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header12.xml" ContentType="application/vnd.openxmlformats-officedocument.wordprocessingml.header+xml"/>
  <Override PartName="/word/footer19.xml" ContentType="application/vnd.openxmlformats-officedocument.wordprocessingml.footer+xml"/>
  <Override PartName="/word/header13.xml" ContentType="application/vnd.openxmlformats-officedocument.wordprocessingml.header+xml"/>
  <Override PartName="/word/footer20.xml" ContentType="application/vnd.openxmlformats-officedocument.wordprocessingml.footer+xml"/>
  <Override PartName="/word/header14.xml" ContentType="application/vnd.openxmlformats-officedocument.wordprocessingml.header+xml"/>
  <Override PartName="/word/footer21.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36.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header24.xml" ContentType="application/vnd.openxmlformats-officedocument.wordprocessingml.header+xml"/>
  <Override PartName="/word/footer45.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header27.xml" ContentType="application/vnd.openxmlformats-officedocument.wordprocessingml.header+xml"/>
  <Override PartName="/word/footer58.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header30.xml" ContentType="application/vnd.openxmlformats-officedocument.wordprocessingml.header+xml"/>
  <Override PartName="/word/footer67.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header33.xml" ContentType="application/vnd.openxmlformats-officedocument.wordprocessingml.header+xml"/>
  <Override PartName="/word/footer75.xml" ContentType="application/vnd.openxmlformats-officedocument.wordprocessingml.footer+xml"/>
  <Override PartName="/word/header34.xml" ContentType="application/vnd.openxmlformats-officedocument.wordprocessingml.header+xml"/>
  <Override PartName="/word/footer76.xml" ContentType="application/vnd.openxmlformats-officedocument.wordprocessingml.footer+xml"/>
  <Override PartName="/word/header35.xml" ContentType="application/vnd.openxmlformats-officedocument.wordprocessingml.header+xml"/>
  <Override PartName="/word/footer77.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header38.xml" ContentType="application/vnd.openxmlformats-officedocument.wordprocessingml.header+xml"/>
  <Override PartName="/word/footer86.xml" ContentType="application/vnd.openxmlformats-officedocument.wordprocessingml.footer+xml"/>
  <Override PartName="/word/header39.xml" ContentType="application/vnd.openxmlformats-officedocument.wordprocessingml.header+xml"/>
  <Override PartName="/word/footer87.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header42.xml" ContentType="application/vnd.openxmlformats-officedocument.wordprocessingml.header+xml"/>
  <Override PartName="/word/footer102.xml" ContentType="application/vnd.openxmlformats-officedocument.wordprocessingml.footer+xml"/>
  <Override PartName="/word/header43.xml" ContentType="application/vnd.openxmlformats-officedocument.wordprocessingml.header+xml"/>
  <Override PartName="/word/footer103.xml" ContentType="application/vnd.openxmlformats-officedocument.wordprocessingml.footer+xml"/>
  <Override PartName="/word/header44.xml" ContentType="application/vnd.openxmlformats-officedocument.wordprocessingml.header+xml"/>
  <Override PartName="/word/header45.xml" ContentType="application/vnd.openxmlformats-officedocument.wordprocessingml.head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header46.xml" ContentType="application/vnd.openxmlformats-officedocument.wordprocessingml.header+xml"/>
  <Override PartName="/word/footer116.xml" ContentType="application/vnd.openxmlformats-officedocument.wordprocessingml.footer+xml"/>
  <Override PartName="/word/header47.xml" ContentType="application/vnd.openxmlformats-officedocument.wordprocessingml.header+xml"/>
  <Override PartName="/word/header48.xml" ContentType="application/vnd.openxmlformats-officedocument.wordprocessingml.head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header49.xml" ContentType="application/vnd.openxmlformats-officedocument.wordprocessingml.header+xml"/>
  <Override PartName="/word/footer129.xml" ContentType="application/vnd.openxmlformats-officedocument.wordprocessingml.footer+xml"/>
  <Override PartName="/word/header50.xml" ContentType="application/vnd.openxmlformats-officedocument.wordprocessingml.header+xml"/>
  <Override PartName="/word/footer130.xml" ContentType="application/vnd.openxmlformats-officedocument.wordprocessingml.footer+xml"/>
  <Override PartName="/word/header51.xml" ContentType="application/vnd.openxmlformats-officedocument.wordprocessingml.header+xml"/>
  <Override PartName="/word/footer131.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header54.xml" ContentType="application/vnd.openxmlformats-officedocument.wordprocessingml.header+xml"/>
  <Override PartName="/word/footer142.xml" ContentType="application/vnd.openxmlformats-officedocument.wordprocessingml.footer+xml"/>
  <Override PartName="/word/header55.xml" ContentType="application/vnd.openxmlformats-officedocument.wordprocessingml.header+xml"/>
  <Override PartName="/word/footer143.xml" ContentType="application/vnd.openxmlformats-officedocument.wordprocessingml.footer+xml"/>
  <Override PartName="/word/header56.xml" ContentType="application/vnd.openxmlformats-officedocument.wordprocessingml.header+xml"/>
  <Override PartName="/word/header57.xml" ContentType="application/vnd.openxmlformats-officedocument.wordprocessingml.head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header58.xml" ContentType="application/vnd.openxmlformats-officedocument.wordprocessingml.header+xml"/>
  <Override PartName="/word/footer154.xml" ContentType="application/vnd.openxmlformats-officedocument.wordprocessingml.footer+xml"/>
  <Override PartName="/word/header59.xml" ContentType="application/vnd.openxmlformats-officedocument.wordprocessingml.header+xml"/>
  <Override PartName="/word/footer155.xml" ContentType="application/vnd.openxmlformats-officedocument.wordprocessingml.footer+xml"/>
  <Override PartName="/word/header60.xml" ContentType="application/vnd.openxmlformats-officedocument.wordprocessingml.header+xml"/>
  <Override PartName="/word/footer156.xml" ContentType="application/vnd.openxmlformats-officedocument.wordprocessingml.footer+xml"/>
  <Override PartName="/word/header61.xml" ContentType="application/vnd.openxmlformats-officedocument.wordprocessingml.header+xml"/>
  <Override PartName="/word/footer157.xml" ContentType="application/vnd.openxmlformats-officedocument.wordprocessingml.footer+xml"/>
  <Override PartName="/word/header62.xml" ContentType="application/vnd.openxmlformats-officedocument.wordprocessingml.header+xml"/>
  <Override PartName="/word/header63.xml" ContentType="application/vnd.openxmlformats-officedocument.wordprocessingml.head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header64.xml" ContentType="application/vnd.openxmlformats-officedocument.wordprocessingml.header+xml"/>
  <Override PartName="/word/footer166.xml" ContentType="application/vnd.openxmlformats-officedocument.wordprocessingml.footer+xml"/>
  <Override PartName="/word/header65.xml" ContentType="application/vnd.openxmlformats-officedocument.wordprocessingml.header+xml"/>
  <Override PartName="/word/footer167.xml" ContentType="application/vnd.openxmlformats-officedocument.wordprocessingml.footer+xml"/>
  <Override PartName="/word/header66.xml" ContentType="application/vnd.openxmlformats-officedocument.wordprocessingml.header+xml"/>
  <Override PartName="/word/header67.xml" ContentType="application/vnd.openxmlformats-officedocument.wordprocessingml.head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header68.xml" ContentType="application/vnd.openxmlformats-officedocument.wordprocessingml.header+xml"/>
  <Override PartName="/word/footer178.xml" ContentType="application/vnd.openxmlformats-officedocument.wordprocessingml.footer+xml"/>
  <Override PartName="/word/header69.xml" ContentType="application/vnd.openxmlformats-officedocument.wordprocessingml.header+xml"/>
  <Override PartName="/word/header70.xml" ContentType="application/vnd.openxmlformats-officedocument.wordprocessingml.head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header71.xml" ContentType="application/vnd.openxmlformats-officedocument.wordprocessingml.header+xml"/>
  <Override PartName="/word/footer191.xml" ContentType="application/vnd.openxmlformats-officedocument.wordprocessingml.footer+xml"/>
  <Override PartName="/word/header72.xml" ContentType="application/vnd.openxmlformats-officedocument.wordprocessingml.header+xml"/>
  <Override PartName="/word/footer192.xml" ContentType="application/vnd.openxmlformats-officedocument.wordprocessingml.footer+xml"/>
  <Override PartName="/word/header73.xml" ContentType="application/vnd.openxmlformats-officedocument.wordprocessingml.header+xml"/>
  <Override PartName="/word/header74.xml" ContentType="application/vnd.openxmlformats-officedocument.wordprocessingml.head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header75.xml" ContentType="application/vnd.openxmlformats-officedocument.wordprocessingml.header+xml"/>
  <Override PartName="/word/footer214.xml" ContentType="application/vnd.openxmlformats-officedocument.wordprocessingml.footer+xml"/>
  <Override PartName="/word/header76.xml" ContentType="application/vnd.openxmlformats-officedocument.wordprocessingml.header+xml"/>
  <Override PartName="/word/header77.xml" ContentType="application/vnd.openxmlformats-officedocument.wordprocessingml.head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header78.xml" ContentType="application/vnd.openxmlformats-officedocument.wordprocessingml.header+xml"/>
  <Override PartName="/word/footer229.xml" ContentType="application/vnd.openxmlformats-officedocument.wordprocessingml.footer+xml"/>
  <Override PartName="/word/header79.xml" ContentType="application/vnd.openxmlformats-officedocument.wordprocessingml.header+xml"/>
  <Override PartName="/word/footer230.xml" ContentType="application/vnd.openxmlformats-officedocument.wordprocessingml.footer+xml"/>
  <Override PartName="/word/header80.xml" ContentType="application/vnd.openxmlformats-officedocument.wordprocessingml.header+xml"/>
  <Override PartName="/word/footer23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26"/>
        <w:ind w:left="323" w:right="1248" w:firstLine="0"/>
        <w:jc w:val="center"/>
        <w:rPr>
          <w:rFonts w:ascii="Times New Roman" w:hAnsi="Times New Roman"/>
          <w:b/>
          <w:sz w:val="23"/>
        </w:rPr>
      </w:pPr>
      <w:r>
        <w:rPr/>
        <w:pict>
          <v:group style="position:absolute;margin-left:-.000009pt;margin-top:-.000013pt;width:435.95pt;height:626.35pt;mso-position-horizontal-relative:page;mso-position-vertical-relative:page;z-index:-257584" coordorigin="0,0" coordsize="8719,12527">
            <v:shape style="position:absolute;left:4366;top:3479;width:4205;height:3264" coordorigin="4366,3479" coordsize="4205,3264" path="m8570,6077l4366,6077,4366,6742,8570,6742,8570,6077m8570,4778l4366,4778,4366,5442,8570,5442,8570,4778m8570,3479l4366,3479,4366,4143,8570,4143,8570,3479e" filled="true" fillcolor="#ed1c24" stroked="false">
              <v:path arrowok="t"/>
              <v:fill type="solid"/>
            </v:shape>
            <v:rect style="position:absolute;left:168;top:2217;width:4198;height:4524" filled="true" fillcolor="#303188" stroked="false">
              <v:fill type="solid"/>
            </v:rect>
            <v:shape style="position:absolute;left:168;top:2392;width:3963;height:4114" coordorigin="168,2392" coordsize="3963,4114" path="m330,6232l168,6232,168,6451,242,6505,187,6336,330,6232m330,5314l168,5314,168,5533,242,5587,187,5418,330,5314m330,4396l168,4396,168,4616,242,4669,187,4500,330,4396m330,3478l168,3478,168,3698,242,3751,187,3582,330,3478m330,2560l168,2560,168,2780,242,2833,187,2665,330,2560m806,5773l629,5773,573,5604,518,5773,341,5773,485,5877,430,6046,573,5942,717,6046,683,5942,662,5877,806,5773m806,4855l629,4855,573,4686,518,4855,341,4855,485,4959,430,5128,573,5024,717,5128,683,5024,662,4959,806,4855m806,3937l629,3937,573,3768,518,3937,341,3937,485,4041,430,4210,573,4106,717,4210,683,4106,662,4041,806,3937m806,3019l629,3019,573,2850,518,3019,341,3019,485,3123,430,3292,573,3188,717,3292,683,3188,662,3123,806,3019m1280,6232l1103,6232,1048,6063,993,6232,816,6232,959,6336,905,6505,1048,6400,1192,6505,1158,6400,1137,6336,1280,6232m1280,5314l1103,5314,1048,5145,993,5314,816,5314,959,5418,905,5587,1048,5483,1192,5587,1158,5483,1137,5418,1280,5314m1280,4396l1103,4396,1048,4227,993,4396,816,4396,959,4500,905,4669,1048,4565,1192,4669,1158,4565,1137,4500,1280,4396m1280,3478l1103,3478,1048,3309,993,3478,816,3478,959,3582,905,3751,1048,3647,1192,3751,1158,3647,1137,3582,1280,3478m1280,2560l1103,2560,1048,2392,993,2560,816,2560,959,2665,905,2833,1048,2729,1192,2833,1158,2729,1137,2665,1280,2560m1756,5773l1578,5773,1523,5604,1468,5773,1291,5773,1434,5877,1379,6046,1523,5942,1667,6046,1633,5942,1612,5877,1756,5773m1756,4855l1578,4855,1523,4686,1468,4855,1291,4855,1434,4959,1379,5128,1523,5024,1667,5128,1633,5024,1612,4959,1756,4855m1756,3937l1578,3937,1523,3768,1468,3937,1291,3937,1434,4041,1379,4210,1523,4106,1667,4210,1633,4106,1612,4041,1756,3937m1756,3019l1578,3019,1523,2850,1468,3019,1291,3019,1434,3123,1379,3292,1523,3188,1667,3292,1633,3188,1612,3123,1756,3019m2230,6232l2053,6232,1998,6063,1943,6232,1766,6232,1909,6336,1854,6505,1998,6400,2142,6505,2108,6400,2087,6336,2230,6232m2230,5314l2053,5314,1998,5145,1943,5314,1766,5314,1909,5418,1854,5587,1998,5483,2142,5587,2108,5483,2087,5418,2230,5314m2230,4396l2053,4396,1998,4227,1943,4396,1766,4396,1909,4500,1854,4669,1998,4565,2142,4669,2108,4565,2087,4500,2230,4396m2230,3478l2053,3478,1998,3309,1943,3478,1766,3478,1909,3582,1854,3751,1998,3647,2142,3751,2108,3647,2087,3582,2230,3478m2230,2560l2053,2560,1998,2392,1943,2560,1766,2560,1909,2665,1854,2833,1998,2729,2142,2833,2108,2729,2087,2665,2230,2560m2705,5773l2528,5773,2473,5604,2419,5773,2241,5773,2384,5877,2330,6046,2473,5942,2617,6046,2583,5942,2562,5877,2705,5773m2705,4855l2528,4855,2473,4686,2419,4855,2241,4855,2384,4959,2330,5128,2473,5024,2617,5128,2583,5024,2562,4959,2705,4855m2705,3937l2528,3937,2473,3768,2419,3937,2241,3937,2384,4041,2330,4210,2473,4106,2617,4210,2583,4106,2562,4041,2705,3937m2705,3019l2528,3019,2473,2850,2419,3019,2241,3019,2384,3123,2330,3292,2473,3188,2617,3292,2583,3188,2562,3123,2705,3019m3181,6232l3003,6232,2948,6063,2893,6232,2716,6232,2860,6336,2805,6505,2948,6400,3092,6505,3058,6400,3037,6336,3181,6232m3181,5314l3003,5314,2948,5145,2893,5314,2716,5314,2860,5418,2805,5587,2948,5483,3092,5587,3058,5483,3037,5418,3181,5314m3181,4396l3003,4396,2948,4227,2893,4396,2716,4396,2860,4500,2805,4669,2948,4565,3092,4669,3058,4565,3037,4500,3181,4396m3181,3478l3003,3478,2948,3309,2893,3478,2716,3478,2860,3582,2805,3751,2948,3647,3092,3751,3058,3647,3037,3582,3181,3478m3181,2560l3003,2560,2948,2392,2893,2560,2716,2560,2860,2665,2805,2833,2948,2729,3092,2833,3058,2729,3037,2665,3181,2560m3656,5773l3478,5773,3424,5604,3368,5773,3191,5773,3334,5877,3280,6046,3424,5942,3567,6046,3533,5942,3512,5877,3656,5773m3656,4855l3478,4855,3424,4686,3368,4855,3191,4855,3334,4959,3280,5128,3424,5024,3567,5128,3533,5024,3512,4959,3656,4855m3656,3937l3478,3937,3424,3768,3368,3937,3191,3937,3334,4041,3280,4210,3424,4106,3567,4210,3533,4106,3512,4041,3656,3937m3656,3019l3478,3019,3424,2850,3368,3019,3191,3019,3334,3123,3280,3292,3424,3188,3567,3292,3533,3188,3512,3123,3656,3019m4130,6232l3953,6232,3898,6063,3843,6232,3666,6232,3809,6336,3755,6505,3898,6400,4042,6505,4008,6400,3987,6336,4130,6232m4130,5314l3953,5314,3898,5145,3843,5314,3666,5314,3809,5418,3755,5587,3898,5483,4042,5587,4008,5483,3987,5418,4130,5314m4130,4396l3953,4396,3898,4227,3843,4396,3666,4396,3809,4500,3755,4669,3898,4565,4042,4669,4008,4565,3987,4500,4130,4396m4130,3478l3953,3478,3898,3309,3843,3478,3666,3478,3809,3582,3755,3751,3898,3647,4042,3751,4008,3647,3987,3582,4130,3478m4130,2560l3953,2560,3898,2392,3843,2560,3666,2560,3809,2665,3755,2833,3898,2729,4042,2833,4008,2729,3987,2665,4130,2560e" filled="true" fillcolor="#ffffff" stroked="false">
              <v:path arrowok="t"/>
              <v:fill type="solid"/>
            </v:shape>
            <v:shape style="position:absolute;left:0;top:0;width:8719;height:5904" type="#_x0000_t75" stroked="false">
              <v:imagedata r:id="rId5" o:title=""/>
            </v:shape>
            <v:shape style="position:absolute;left:0;top:0;width:8719;height:5646" coordorigin="0,0" coordsize="8719,5646" path="m8570,2214l179,2214,4374,5646,8570,2214xm8719,0l0,0,0,2214,8719,2214,8719,0xe" filled="true" fillcolor="#001722" stroked="false">
              <v:path arrowok="t"/>
              <v:fill type="solid"/>
            </v:shape>
            <v:shape style="position:absolute;left:168;top:7377;width:8402;height:3227" coordorigin="168,7377" coordsize="8402,3227" path="m8570,9975l168,9975,168,10603,8570,10603,8570,9975m8570,8676l168,8676,168,9340,8570,9340,8570,8676m8570,7377l168,7377,168,8041,8570,8041,8570,7377e" filled="true" fillcolor="#ed1c24" stroked="false">
              <v:path arrowok="t"/>
              <v:fill type="solid"/>
            </v:shape>
            <v:shape style="position:absolute;left:0;top:6918;width:8719;height:5608" type="#_x0000_t75" stroked="false">
              <v:imagedata r:id="rId6" o:title=""/>
            </v:shape>
            <v:shape style="position:absolute;left:0;top:7173;width:8719;height:5354" coordorigin="0,7173" coordsize="8719,5354" path="m8719,10603l0,10603,0,12526,8719,12526,8719,10603xm4374,7173l179,10603,8570,10603,4374,7173xe" filled="true" fillcolor="#001722" stroked="false">
              <v:path arrowok="t"/>
              <v:fill type="solid"/>
            </v:shape>
            <v:shape style="position:absolute;left:0;top:0;width:3870;height:12526" type="#_x0000_t75" stroked="false">
              <v:imagedata r:id="rId7" o:title=""/>
            </v:shape>
            <v:shape style="position:absolute;left:0;top:0;width:3614;height:12527" coordorigin="0,0" coordsize="3614,12527" path="m168,0l0,0,0,12526,168,12526,168,10608,3613,6412,168,2217,168,0xe" filled="true" fillcolor="#001722" stroked="false">
              <v:path arrowok="t"/>
              <v:fill type="solid"/>
            </v:shape>
            <v:shape style="position:absolute;left:4880;top:0;width:3839;height:12526" type="#_x0000_t75" stroked="false">
              <v:imagedata r:id="rId8" o:title=""/>
            </v:shape>
            <v:shape style="position:absolute;left:5135;top:0;width:3584;height:12527" coordorigin="5135,0" coordsize="3584,12527" path="m8719,0l8579,0,8579,2217,5135,6412,8579,10608,8579,12526,8719,12526,8719,0xe" filled="true" fillcolor="#001722" stroked="false">
              <v:path arrowok="t"/>
              <v:fill type="solid"/>
            </v:shape>
            <v:shape style="position:absolute;left:5919;top:11652;width:335;height:335" coordorigin="5919,11652" coordsize="335,335" path="m6191,11926l6029,11926,6040,11950,6056,11969,6077,11982,6102,11987,6125,11983,6145,11974,6161,11958,6172,11937,6188,11935,6191,11926xm6070,11652l6047,11655,6027,11665,6011,11680,6000,11702,5983,11703,5968,11762,5980,11763,5955,11773,5936,11789,5923,11811,5919,11835,5922,11858,5931,11879,5947,11895,5969,11905,5970,11922,6029,11938,6029,11926,6191,11926,6204,11876,6192,11876,6217,11866,6236,11849,6249,11828,6253,11803,6250,11781,6241,11760,6225,11744,6203,11734,6202,11717,6187,11713,6143,11713,6132,11689,6116,11669,6095,11657,6070,11652xm6143,11701l6143,11713,6187,11713,6143,11701xe" filled="true" fillcolor="#ffffff" stroked="false">
              <v:path arrowok="t"/>
              <v:fill type="solid"/>
            </v:shape>
            <v:shape style="position:absolute;left:5919;top:11763;width:166;height:175" type="#_x0000_t75" stroked="false">
              <v:imagedata r:id="rId9" o:title=""/>
            </v:shape>
            <v:shape style="position:absolute;left:5968;top:11652;width:175;height:166" type="#_x0000_t75" stroked="false">
              <v:imagedata r:id="rId10" o:title=""/>
            </v:shape>
            <v:shape style="position:absolute;left:6087;top:11701;width:166;height:175" type="#_x0000_t75" stroked="false">
              <v:imagedata r:id="rId11" o:title=""/>
            </v:shape>
            <v:shape style="position:absolute;left:6029;top:11821;width:175;height:166" type="#_x0000_t75" stroked="false">
              <v:imagedata r:id="rId12" o:title=""/>
            </v:shape>
            <v:shape style="position:absolute;left:5993;top:11726;width:187;height:187" coordorigin="5993,11726" coordsize="187,187" path="m6028,11812l6021,11804,6011,11804,6002,11804,5993,11811,5993,11830,6000,11839,6020,11839,6028,11832,6028,11821,6028,11812m6102,11735l6094,11727,6075,11726,6067,11734,6066,11753,6074,11761,6093,11762,6101,11754,6101,11745,6102,11735m6106,11886l6098,11877,6089,11877,6079,11877,6071,11884,6071,11894,6070,11904,6078,11912,6097,11912,6105,11905,6106,11886m6179,11808l6172,11800,6152,11799,6144,11807,6144,11826,6151,11834,6170,11835,6179,11827,6179,11808e" filled="true" fillcolor="#231f20" stroked="false">
              <v:path arrowok="t"/>
              <v:fill type="solid"/>
            </v:shape>
            <v:shape style="position:absolute;left:6405;top:11732;width:178;height:175" type="#_x0000_t75" stroked="false">
              <v:imagedata r:id="rId13" o:title=""/>
            </v:shape>
            <v:shape style="position:absolute;left:6615;top:11715;width:374;height:187" type="#_x0000_t75" stroked="false">
              <v:imagedata r:id="rId14" o:title=""/>
            </v:shape>
            <v:shape style="position:absolute;left:7023;top:11732;width:178;height:175" type="#_x0000_t75" stroked="false">
              <v:imagedata r:id="rId15" o:title=""/>
            </v:shape>
            <v:shape style="position:absolute;left:7238;top:11732;width:164;height:175" type="#_x0000_t75" stroked="false">
              <v:imagedata r:id="rId16" o:title=""/>
            </v:shape>
            <v:shape style="position:absolute;left:7441;top:11732;width:192;height:175" type="#_x0000_t75" stroked="false">
              <v:imagedata r:id="rId17" o:title=""/>
            </v:shape>
            <w10:wrap type="none"/>
          </v:group>
        </w:pict>
      </w:r>
      <w:r>
        <w:rPr>
          <w:rFonts w:ascii="Times New Roman" w:hAnsi="Times New Roman"/>
          <w:b/>
          <w:color w:val="FFFFFF"/>
          <w:w w:val="85"/>
          <w:sz w:val="34"/>
        </w:rPr>
        <w:t>Marco A. Gandásegui, hijo </w:t>
      </w:r>
      <w:r>
        <w:rPr>
          <w:rFonts w:ascii="Times New Roman" w:hAnsi="Times New Roman"/>
          <w:b/>
          <w:color w:val="FFFFFF"/>
          <w:w w:val="85"/>
          <w:position w:val="2"/>
          <w:sz w:val="23"/>
        </w:rPr>
        <w:t>(Coordinador)</w:t>
      </w:r>
    </w:p>
    <w:p>
      <w:pPr>
        <w:pStyle w:val="BodyText"/>
        <w:rPr>
          <w:rFonts w:ascii="Times New Roman"/>
          <w:b/>
          <w:sz w:val="34"/>
        </w:rPr>
      </w:pPr>
    </w:p>
    <w:p>
      <w:pPr>
        <w:spacing w:line="955" w:lineRule="exact" w:before="284"/>
        <w:ind w:left="335" w:right="1248" w:firstLine="0"/>
        <w:jc w:val="center"/>
        <w:rPr>
          <w:rFonts w:ascii="Calibri"/>
          <w:sz w:val="80"/>
        </w:rPr>
      </w:pPr>
      <w:r>
        <w:rPr>
          <w:rFonts w:ascii="Calibri"/>
          <w:color w:val="ED1C24"/>
          <w:spacing w:val="12"/>
          <w:sz w:val="80"/>
        </w:rPr>
        <w:t>ESTADOS</w:t>
      </w:r>
      <w:r>
        <w:rPr>
          <w:rFonts w:ascii="Calibri"/>
          <w:color w:val="ED1C24"/>
          <w:spacing w:val="70"/>
          <w:sz w:val="80"/>
        </w:rPr>
        <w:t> </w:t>
      </w:r>
      <w:r>
        <w:rPr>
          <w:rFonts w:ascii="Calibri"/>
          <w:color w:val="ED1C24"/>
          <w:spacing w:val="20"/>
          <w:sz w:val="80"/>
        </w:rPr>
        <w:t>UNIDOS</w:t>
      </w:r>
    </w:p>
    <w:p>
      <w:pPr>
        <w:tabs>
          <w:tab w:pos="7589" w:val="left" w:leader="none"/>
        </w:tabs>
        <w:spacing w:line="380" w:lineRule="exact" w:before="0"/>
        <w:ind w:left="384" w:right="0" w:firstLine="0"/>
        <w:jc w:val="left"/>
        <w:rPr>
          <w:rFonts w:ascii="Times New Roman" w:hAnsi="Times New Roman"/>
          <w:b/>
          <w:sz w:val="35"/>
        </w:rPr>
      </w:pPr>
      <w:r>
        <w:rPr>
          <w:rFonts w:ascii="Times New Roman" w:hAnsi="Times New Roman"/>
          <w:b/>
          <w:color w:val="FFFFFF"/>
          <w:w w:val="90"/>
          <w:sz w:val="35"/>
        </w:rPr>
        <w:t>y</w:t>
      </w:r>
      <w:r>
        <w:rPr>
          <w:rFonts w:ascii="Times New Roman" w:hAnsi="Times New Roman"/>
          <w:b/>
          <w:color w:val="FFFFFF"/>
          <w:spacing w:val="-43"/>
          <w:w w:val="90"/>
          <w:sz w:val="35"/>
        </w:rPr>
        <w:t> </w:t>
      </w:r>
      <w:r>
        <w:rPr>
          <w:rFonts w:ascii="Times New Roman" w:hAnsi="Times New Roman"/>
          <w:b/>
          <w:color w:val="FFFFFF"/>
          <w:w w:val="90"/>
          <w:sz w:val="35"/>
        </w:rPr>
        <w:t>la</w:t>
      </w:r>
      <w:r>
        <w:rPr>
          <w:rFonts w:ascii="Times New Roman" w:hAnsi="Times New Roman"/>
          <w:b/>
          <w:color w:val="FFFFFF"/>
          <w:spacing w:val="-43"/>
          <w:w w:val="90"/>
          <w:sz w:val="35"/>
        </w:rPr>
        <w:t> </w:t>
      </w:r>
      <w:r>
        <w:rPr>
          <w:rFonts w:ascii="Times New Roman" w:hAnsi="Times New Roman"/>
          <w:b/>
          <w:color w:val="FFFFFF"/>
          <w:spacing w:val="-3"/>
          <w:w w:val="90"/>
          <w:sz w:val="35"/>
        </w:rPr>
        <w:t>nueva</w:t>
      </w:r>
      <w:r>
        <w:rPr>
          <w:rFonts w:ascii="Times New Roman" w:hAnsi="Times New Roman"/>
          <w:b/>
          <w:color w:val="FFFFFF"/>
          <w:spacing w:val="-43"/>
          <w:w w:val="90"/>
          <w:sz w:val="35"/>
        </w:rPr>
        <w:t> </w:t>
      </w:r>
      <w:r>
        <w:rPr>
          <w:rFonts w:ascii="Times New Roman" w:hAnsi="Times New Roman"/>
          <w:b/>
          <w:color w:val="FFFFFF"/>
          <w:w w:val="90"/>
          <w:sz w:val="35"/>
        </w:rPr>
        <w:t>correlación</w:t>
      </w:r>
      <w:r>
        <w:rPr>
          <w:rFonts w:ascii="Times New Roman" w:hAnsi="Times New Roman"/>
          <w:b/>
          <w:color w:val="FFFFFF"/>
          <w:spacing w:val="-43"/>
          <w:w w:val="90"/>
          <w:sz w:val="35"/>
        </w:rPr>
        <w:t> </w:t>
      </w:r>
      <w:r>
        <w:rPr>
          <w:rFonts w:ascii="Times New Roman" w:hAnsi="Times New Roman"/>
          <w:b/>
          <w:color w:val="FFFFFF"/>
          <w:w w:val="90"/>
          <w:sz w:val="35"/>
        </w:rPr>
        <w:t>d</w:t>
      </w:r>
      <w:r>
        <w:rPr>
          <w:rFonts w:ascii="Times New Roman" w:hAnsi="Times New Roman"/>
          <w:b/>
          <w:color w:val="FFFFFF"/>
          <w:w w:val="90"/>
          <w:sz w:val="35"/>
          <w:shd w:fill="ED1C24" w:color="auto" w:val="clear"/>
        </w:rPr>
        <w:t>e</w:t>
      </w:r>
      <w:r>
        <w:rPr>
          <w:rFonts w:ascii="Times New Roman" w:hAnsi="Times New Roman"/>
          <w:b/>
          <w:color w:val="FFFFFF"/>
          <w:spacing w:val="-43"/>
          <w:w w:val="90"/>
          <w:sz w:val="35"/>
          <w:shd w:fill="ED1C24" w:color="auto" w:val="clear"/>
        </w:rPr>
        <w:t> </w:t>
      </w:r>
      <w:r>
        <w:rPr>
          <w:rFonts w:ascii="Times New Roman" w:hAnsi="Times New Roman"/>
          <w:b/>
          <w:color w:val="FFFFFF"/>
          <w:w w:val="90"/>
          <w:sz w:val="35"/>
          <w:shd w:fill="ED1C24" w:color="auto" w:val="clear"/>
        </w:rPr>
        <w:t>fuerzas</w:t>
      </w:r>
      <w:r>
        <w:rPr>
          <w:rFonts w:ascii="Times New Roman" w:hAnsi="Times New Roman"/>
          <w:b/>
          <w:color w:val="FFFFFF"/>
          <w:spacing w:val="-43"/>
          <w:w w:val="90"/>
          <w:sz w:val="35"/>
          <w:shd w:fill="ED1C24" w:color="auto" w:val="clear"/>
        </w:rPr>
        <w:t> </w:t>
      </w:r>
      <w:r>
        <w:rPr>
          <w:rFonts w:ascii="Times New Roman" w:hAnsi="Times New Roman"/>
          <w:b/>
          <w:color w:val="FFFFFF"/>
          <w:w w:val="90"/>
          <w:sz w:val="35"/>
          <w:shd w:fill="ED1C24" w:color="auto" w:val="clear"/>
        </w:rPr>
        <w:t>internacional</w:t>
      </w:r>
      <w:r>
        <w:rPr>
          <w:rFonts w:ascii="Times New Roman" w:hAnsi="Times New Roman"/>
          <w:b/>
          <w:color w:val="FFFFFF"/>
          <w:sz w:val="35"/>
          <w:shd w:fill="ED1C24" w:color="auto" w:val="clear"/>
        </w:rPr>
        <w:tab/>
      </w:r>
    </w:p>
    <w:p>
      <w:pPr>
        <w:pStyle w:val="BodyText"/>
        <w:rPr>
          <w:rFonts w:ascii="Times New Roman"/>
          <w:b/>
          <w:sz w:val="36"/>
        </w:rPr>
      </w:pPr>
    </w:p>
    <w:p>
      <w:pPr>
        <w:pStyle w:val="BodyText"/>
        <w:rPr>
          <w:rFonts w:ascii="Times New Roman"/>
          <w:b/>
          <w:sz w:val="36"/>
        </w:rPr>
      </w:pPr>
    </w:p>
    <w:p>
      <w:pPr>
        <w:pStyle w:val="BodyText"/>
        <w:spacing w:before="3"/>
        <w:rPr>
          <w:rFonts w:ascii="Times New Roman"/>
          <w:b/>
          <w:sz w:val="30"/>
        </w:rPr>
      </w:pPr>
    </w:p>
    <w:p>
      <w:pPr>
        <w:spacing w:line="235" w:lineRule="exact" w:before="0"/>
        <w:ind w:left="319" w:right="1248" w:firstLine="0"/>
        <w:jc w:val="center"/>
        <w:rPr>
          <w:rFonts w:ascii="Times New Roman"/>
          <w:b/>
          <w:sz w:val="21"/>
        </w:rPr>
      </w:pPr>
      <w:r>
        <w:rPr>
          <w:rFonts w:ascii="Times New Roman"/>
          <w:b/>
          <w:color w:val="FFFFFF"/>
          <w:w w:val="85"/>
          <w:sz w:val="21"/>
        </w:rPr>
        <w:t>Pablo Gentili y Pablo Vommaro</w:t>
      </w:r>
    </w:p>
    <w:p>
      <w:pPr>
        <w:spacing w:line="178" w:lineRule="exact" w:before="0"/>
        <w:ind w:left="319" w:right="1248" w:firstLine="0"/>
        <w:jc w:val="center"/>
        <w:rPr>
          <w:rFonts w:ascii="Times New Roman" w:hAnsi="Times New Roman"/>
          <w:b/>
          <w:sz w:val="16"/>
        </w:rPr>
      </w:pPr>
      <w:r>
        <w:rPr>
          <w:rFonts w:ascii="Times New Roman" w:hAnsi="Times New Roman"/>
          <w:b/>
          <w:color w:val="FFFFFF"/>
          <w:w w:val="95"/>
          <w:sz w:val="16"/>
        </w:rPr>
        <w:t>Presentación</w:t>
      </w:r>
    </w:p>
    <w:p>
      <w:pPr>
        <w:spacing w:line="235" w:lineRule="exact" w:before="120"/>
        <w:ind w:left="319" w:right="1248" w:firstLine="0"/>
        <w:jc w:val="center"/>
        <w:rPr>
          <w:rFonts w:ascii="Times New Roman"/>
          <w:b/>
          <w:sz w:val="21"/>
        </w:rPr>
      </w:pPr>
      <w:r>
        <w:rPr>
          <w:rFonts w:ascii="Times New Roman"/>
          <w:b/>
          <w:color w:val="FFFFFF"/>
          <w:w w:val="85"/>
          <w:sz w:val="21"/>
        </w:rPr>
        <w:t>Ronald H. Chilcote</w:t>
      </w:r>
    </w:p>
    <w:p>
      <w:pPr>
        <w:spacing w:line="178" w:lineRule="exact" w:before="0"/>
        <w:ind w:left="319" w:right="1248" w:firstLine="0"/>
        <w:jc w:val="center"/>
        <w:rPr>
          <w:rFonts w:ascii="Times New Roman" w:hAnsi="Times New Roman"/>
          <w:b/>
          <w:sz w:val="16"/>
        </w:rPr>
      </w:pPr>
      <w:r>
        <w:rPr>
          <w:rFonts w:ascii="Times New Roman" w:hAnsi="Times New Roman"/>
          <w:b/>
          <w:color w:val="FFFFFF"/>
          <w:sz w:val="16"/>
        </w:rPr>
        <w:t>Prólogo</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8"/>
        <w:rPr>
          <w:rFonts w:ascii="Times New Roman"/>
          <w:b/>
          <w:sz w:val="15"/>
        </w:rPr>
      </w:pPr>
    </w:p>
    <w:p>
      <w:pPr>
        <w:pStyle w:val="Heading4"/>
        <w:spacing w:before="70"/>
        <w:ind w:right="1248"/>
        <w:jc w:val="center"/>
      </w:pPr>
      <w:r>
        <w:rPr>
          <w:color w:val="FFFFFF"/>
          <w:w w:val="75"/>
        </w:rPr>
        <w:t>Carlos Eduardo Martins</w:t>
      </w:r>
    </w:p>
    <w:p>
      <w:pPr>
        <w:spacing w:line="242" w:lineRule="auto" w:before="4"/>
        <w:ind w:left="1266" w:right="2125" w:firstLine="456"/>
        <w:jc w:val="left"/>
        <w:rPr>
          <w:rFonts w:ascii="Arial" w:hAnsi="Arial"/>
          <w:b/>
          <w:sz w:val="24"/>
        </w:rPr>
      </w:pPr>
      <w:r>
        <w:rPr>
          <w:rFonts w:ascii="Arial" w:hAnsi="Arial"/>
          <w:b/>
          <w:color w:val="FFFFFF"/>
          <w:spacing w:val="-6"/>
          <w:w w:val="80"/>
          <w:sz w:val="24"/>
        </w:rPr>
        <w:t>Marco </w:t>
      </w:r>
      <w:r>
        <w:rPr>
          <w:rFonts w:ascii="Arial" w:hAnsi="Arial"/>
          <w:b/>
          <w:color w:val="FFFFFF"/>
          <w:spacing w:val="-4"/>
          <w:w w:val="80"/>
          <w:sz w:val="24"/>
        </w:rPr>
        <w:t>A. </w:t>
      </w:r>
      <w:r>
        <w:rPr>
          <w:rFonts w:ascii="Arial" w:hAnsi="Arial"/>
          <w:b/>
          <w:color w:val="FFFFFF"/>
          <w:spacing w:val="-7"/>
          <w:w w:val="80"/>
          <w:sz w:val="24"/>
        </w:rPr>
        <w:t>Gandásegui, </w:t>
      </w:r>
      <w:r>
        <w:rPr>
          <w:rFonts w:ascii="Arial" w:hAnsi="Arial"/>
          <w:b/>
          <w:color w:val="FFFFFF"/>
          <w:spacing w:val="-6"/>
          <w:w w:val="80"/>
          <w:sz w:val="24"/>
        </w:rPr>
        <w:t>hijo </w:t>
      </w:r>
      <w:r>
        <w:rPr>
          <w:rFonts w:ascii="Arial" w:hAnsi="Arial"/>
          <w:b/>
          <w:color w:val="FFFFFF"/>
          <w:w w:val="80"/>
          <w:sz w:val="24"/>
        </w:rPr>
        <w:t>| </w:t>
      </w:r>
      <w:r>
        <w:rPr>
          <w:rFonts w:ascii="Arial" w:hAnsi="Arial"/>
          <w:b/>
          <w:color w:val="FFFFFF"/>
          <w:spacing w:val="-6"/>
          <w:w w:val="80"/>
          <w:sz w:val="24"/>
        </w:rPr>
        <w:t>Gladys </w:t>
      </w:r>
      <w:r>
        <w:rPr>
          <w:rFonts w:ascii="Arial" w:hAnsi="Arial"/>
          <w:b/>
          <w:color w:val="FFFFFF"/>
          <w:spacing w:val="-7"/>
          <w:w w:val="80"/>
          <w:sz w:val="24"/>
        </w:rPr>
        <w:t>Cecilia </w:t>
      </w:r>
      <w:r>
        <w:rPr>
          <w:rFonts w:ascii="Arial" w:hAnsi="Arial"/>
          <w:b/>
          <w:color w:val="FFFFFF"/>
          <w:spacing w:val="-7"/>
          <w:w w:val="75"/>
          <w:sz w:val="24"/>
        </w:rPr>
        <w:t>Hernández </w:t>
      </w:r>
      <w:r>
        <w:rPr>
          <w:rFonts w:ascii="Arial" w:hAnsi="Arial"/>
          <w:b/>
          <w:color w:val="FFFFFF"/>
          <w:spacing w:val="-6"/>
          <w:w w:val="75"/>
          <w:sz w:val="24"/>
        </w:rPr>
        <w:t>Pedraza </w:t>
      </w:r>
      <w:r>
        <w:rPr>
          <w:rFonts w:ascii="Arial" w:hAnsi="Arial"/>
          <w:b/>
          <w:color w:val="FFFFFF"/>
          <w:w w:val="75"/>
          <w:sz w:val="24"/>
        </w:rPr>
        <w:t>| </w:t>
      </w:r>
      <w:r>
        <w:rPr>
          <w:rFonts w:ascii="Arial" w:hAnsi="Arial"/>
          <w:b/>
          <w:color w:val="FFFFFF"/>
          <w:spacing w:val="-7"/>
          <w:w w:val="75"/>
          <w:sz w:val="24"/>
        </w:rPr>
        <w:t>Santiago </w:t>
      </w:r>
      <w:r>
        <w:rPr>
          <w:rFonts w:ascii="Arial" w:hAnsi="Arial"/>
          <w:b/>
          <w:color w:val="FFFFFF"/>
          <w:spacing w:val="-6"/>
          <w:w w:val="75"/>
          <w:sz w:val="24"/>
        </w:rPr>
        <w:t>Pérez Benítez </w:t>
      </w:r>
      <w:r>
        <w:rPr>
          <w:rFonts w:ascii="Arial" w:hAnsi="Arial"/>
          <w:b/>
          <w:color w:val="FFFFFF"/>
          <w:w w:val="75"/>
          <w:sz w:val="24"/>
        </w:rPr>
        <w:t>| </w:t>
      </w:r>
      <w:r>
        <w:rPr>
          <w:rFonts w:ascii="Arial" w:hAnsi="Arial"/>
          <w:b/>
          <w:color w:val="FFFFFF"/>
          <w:spacing w:val="-7"/>
          <w:w w:val="75"/>
          <w:sz w:val="24"/>
        </w:rPr>
        <w:t>Claudio</w:t>
      </w:r>
    </w:p>
    <w:p>
      <w:pPr>
        <w:spacing w:line="242" w:lineRule="auto" w:before="1"/>
        <w:ind w:left="600" w:right="1423" w:firstLine="464"/>
        <w:jc w:val="left"/>
        <w:rPr>
          <w:rFonts w:ascii="Arial" w:hAnsi="Arial"/>
          <w:b/>
          <w:sz w:val="24"/>
        </w:rPr>
      </w:pPr>
      <w:r>
        <w:rPr>
          <w:rFonts w:ascii="Arial" w:hAnsi="Arial"/>
          <w:b/>
          <w:color w:val="FFFFFF"/>
          <w:spacing w:val="-6"/>
          <w:w w:val="80"/>
          <w:sz w:val="24"/>
        </w:rPr>
        <w:t>Katz </w:t>
      </w:r>
      <w:r>
        <w:rPr>
          <w:rFonts w:ascii="Arial" w:hAnsi="Arial"/>
          <w:b/>
          <w:color w:val="FFFFFF"/>
          <w:w w:val="80"/>
          <w:sz w:val="24"/>
        </w:rPr>
        <w:t>| </w:t>
      </w:r>
      <w:r>
        <w:rPr>
          <w:rFonts w:ascii="Arial" w:hAnsi="Arial"/>
          <w:b/>
          <w:color w:val="FFFFFF"/>
          <w:spacing w:val="-6"/>
          <w:w w:val="80"/>
          <w:sz w:val="24"/>
        </w:rPr>
        <w:t>Dídimo </w:t>
      </w:r>
      <w:r>
        <w:rPr>
          <w:rFonts w:ascii="Arial" w:hAnsi="Arial"/>
          <w:b/>
          <w:color w:val="FFFFFF"/>
          <w:spacing w:val="-7"/>
          <w:w w:val="80"/>
          <w:sz w:val="24"/>
        </w:rPr>
        <w:t>Castillo Fernández </w:t>
      </w:r>
      <w:r>
        <w:rPr>
          <w:rFonts w:ascii="Arial" w:hAnsi="Arial"/>
          <w:b/>
          <w:color w:val="FFFFFF"/>
          <w:w w:val="80"/>
          <w:sz w:val="24"/>
        </w:rPr>
        <w:t>| </w:t>
      </w:r>
      <w:r>
        <w:rPr>
          <w:rFonts w:ascii="Arial" w:hAnsi="Arial"/>
          <w:b/>
          <w:color w:val="FFFFFF"/>
          <w:spacing w:val="-6"/>
          <w:w w:val="80"/>
          <w:sz w:val="24"/>
        </w:rPr>
        <w:t>Fabio Grobart </w:t>
      </w:r>
      <w:r>
        <w:rPr>
          <w:rFonts w:ascii="Arial" w:hAnsi="Arial"/>
          <w:b/>
          <w:color w:val="FFFFFF"/>
          <w:spacing w:val="-7"/>
          <w:w w:val="80"/>
          <w:sz w:val="24"/>
        </w:rPr>
        <w:t>Sunshine </w:t>
      </w:r>
      <w:r>
        <w:rPr>
          <w:rFonts w:ascii="Arial" w:hAnsi="Arial"/>
          <w:b/>
          <w:color w:val="FFFFFF"/>
          <w:w w:val="80"/>
          <w:sz w:val="24"/>
        </w:rPr>
        <w:t>| </w:t>
      </w:r>
      <w:r>
        <w:rPr>
          <w:rFonts w:ascii="Arial" w:hAnsi="Arial"/>
          <w:b/>
          <w:color w:val="FFFFFF"/>
          <w:spacing w:val="-7"/>
          <w:w w:val="75"/>
          <w:sz w:val="24"/>
        </w:rPr>
        <w:t>Casandra Castorena </w:t>
      </w:r>
      <w:r>
        <w:rPr>
          <w:rFonts w:ascii="Arial" w:hAnsi="Arial"/>
          <w:b/>
          <w:color w:val="FFFFFF"/>
          <w:spacing w:val="-6"/>
          <w:w w:val="75"/>
          <w:sz w:val="24"/>
        </w:rPr>
        <w:t>Sánchez </w:t>
      </w:r>
      <w:r>
        <w:rPr>
          <w:rFonts w:ascii="Arial" w:hAnsi="Arial"/>
          <w:b/>
          <w:color w:val="FFFFFF"/>
          <w:w w:val="75"/>
          <w:sz w:val="24"/>
        </w:rPr>
        <w:t>| </w:t>
      </w:r>
      <w:r>
        <w:rPr>
          <w:rFonts w:ascii="Arial" w:hAnsi="Arial"/>
          <w:b/>
          <w:color w:val="FFFFFF"/>
          <w:spacing w:val="-5"/>
          <w:w w:val="75"/>
          <w:sz w:val="24"/>
        </w:rPr>
        <w:t>Ary </w:t>
      </w:r>
      <w:r>
        <w:rPr>
          <w:rFonts w:ascii="Arial" w:hAnsi="Arial"/>
          <w:b/>
          <w:color w:val="FFFFFF"/>
          <w:spacing w:val="-6"/>
          <w:w w:val="75"/>
          <w:sz w:val="24"/>
        </w:rPr>
        <w:t>Cesar Minella </w:t>
      </w:r>
      <w:r>
        <w:rPr>
          <w:rFonts w:ascii="Arial" w:hAnsi="Arial"/>
          <w:b/>
          <w:color w:val="FFFFFF"/>
          <w:w w:val="75"/>
          <w:sz w:val="24"/>
        </w:rPr>
        <w:t>| </w:t>
      </w:r>
      <w:r>
        <w:rPr>
          <w:rFonts w:ascii="Arial" w:hAnsi="Arial"/>
          <w:b/>
          <w:color w:val="FFFFFF"/>
          <w:spacing w:val="-6"/>
          <w:w w:val="75"/>
          <w:sz w:val="24"/>
        </w:rPr>
        <w:t>Silvina </w:t>
      </w:r>
      <w:r>
        <w:rPr>
          <w:rFonts w:ascii="Arial" w:hAnsi="Arial"/>
          <w:b/>
          <w:color w:val="FFFFFF"/>
          <w:spacing w:val="-4"/>
          <w:w w:val="75"/>
          <w:sz w:val="24"/>
        </w:rPr>
        <w:t>M. </w:t>
      </w:r>
      <w:r>
        <w:rPr>
          <w:rFonts w:ascii="Arial" w:hAnsi="Arial"/>
          <w:b/>
          <w:color w:val="FFFFFF"/>
          <w:spacing w:val="-6"/>
          <w:w w:val="75"/>
          <w:sz w:val="24"/>
        </w:rPr>
        <w:t>Romano </w:t>
      </w:r>
      <w:r>
        <w:rPr>
          <w:rFonts w:ascii="Arial" w:hAnsi="Arial"/>
          <w:b/>
          <w:color w:val="FFFFFF"/>
          <w:w w:val="75"/>
          <w:sz w:val="24"/>
        </w:rPr>
        <w:t>|</w:t>
      </w:r>
    </w:p>
    <w:p>
      <w:pPr>
        <w:spacing w:line="242" w:lineRule="auto" w:before="1"/>
        <w:ind w:left="327" w:right="1248" w:firstLine="0"/>
        <w:jc w:val="center"/>
        <w:rPr>
          <w:rFonts w:ascii="Arial" w:hAnsi="Arial"/>
          <w:b/>
          <w:sz w:val="24"/>
        </w:rPr>
      </w:pPr>
      <w:r>
        <w:rPr>
          <w:rFonts w:ascii="Arial" w:hAnsi="Arial"/>
          <w:b/>
          <w:color w:val="FFFFFF"/>
          <w:spacing w:val="-6"/>
          <w:w w:val="75"/>
          <w:sz w:val="24"/>
        </w:rPr>
        <w:t>Jorge </w:t>
      </w:r>
      <w:r>
        <w:rPr>
          <w:rFonts w:ascii="Arial" w:hAnsi="Arial"/>
          <w:b/>
          <w:color w:val="FFFFFF"/>
          <w:spacing w:val="-7"/>
          <w:w w:val="75"/>
          <w:sz w:val="24"/>
        </w:rPr>
        <w:t>Hernández Martínez </w:t>
      </w:r>
      <w:r>
        <w:rPr>
          <w:rFonts w:ascii="Arial" w:hAnsi="Arial"/>
          <w:b/>
          <w:color w:val="FFFFFF"/>
          <w:w w:val="75"/>
          <w:sz w:val="24"/>
        </w:rPr>
        <w:t>| </w:t>
      </w:r>
      <w:r>
        <w:rPr>
          <w:rFonts w:ascii="Arial" w:hAnsi="Arial"/>
          <w:b/>
          <w:color w:val="FFFFFF"/>
          <w:spacing w:val="-6"/>
          <w:w w:val="75"/>
          <w:sz w:val="24"/>
        </w:rPr>
        <w:t>Jaime Zuluaga Nieto </w:t>
      </w:r>
      <w:r>
        <w:rPr>
          <w:rFonts w:ascii="Arial" w:hAnsi="Arial"/>
          <w:b/>
          <w:color w:val="FFFFFF"/>
          <w:w w:val="75"/>
          <w:sz w:val="24"/>
        </w:rPr>
        <w:t>| </w:t>
      </w:r>
      <w:r>
        <w:rPr>
          <w:rFonts w:ascii="Arial" w:hAnsi="Arial"/>
          <w:b/>
          <w:color w:val="FFFFFF"/>
          <w:spacing w:val="-6"/>
          <w:w w:val="75"/>
          <w:sz w:val="24"/>
        </w:rPr>
        <w:t>Darío Salinas </w:t>
      </w:r>
      <w:r>
        <w:rPr>
          <w:rFonts w:ascii="Arial" w:hAnsi="Arial"/>
          <w:b/>
          <w:color w:val="FFFFFF"/>
          <w:spacing w:val="-7"/>
          <w:w w:val="75"/>
          <w:sz w:val="24"/>
        </w:rPr>
        <w:t>Figueredo </w:t>
      </w:r>
      <w:r>
        <w:rPr>
          <w:rFonts w:ascii="Arial" w:hAnsi="Arial"/>
          <w:b/>
          <w:color w:val="FFFFFF"/>
          <w:w w:val="75"/>
          <w:sz w:val="24"/>
        </w:rPr>
        <w:t>| </w:t>
      </w:r>
      <w:r>
        <w:rPr>
          <w:rFonts w:ascii="Arial" w:hAnsi="Arial"/>
          <w:b/>
          <w:color w:val="FFFFFF"/>
          <w:spacing w:val="-6"/>
          <w:w w:val="75"/>
          <w:sz w:val="24"/>
        </w:rPr>
        <w:t>Luis Suárez Salazar </w:t>
      </w:r>
      <w:r>
        <w:rPr>
          <w:rFonts w:ascii="Arial" w:hAnsi="Arial"/>
          <w:b/>
          <w:color w:val="FFFFFF"/>
          <w:w w:val="75"/>
          <w:sz w:val="24"/>
        </w:rPr>
        <w:t>| </w:t>
      </w:r>
      <w:r>
        <w:rPr>
          <w:rFonts w:ascii="Arial" w:hAnsi="Arial"/>
          <w:b/>
          <w:color w:val="FFFFFF"/>
          <w:spacing w:val="-6"/>
          <w:w w:val="75"/>
          <w:sz w:val="24"/>
        </w:rPr>
        <w:t>Leandro </w:t>
      </w:r>
      <w:r>
        <w:rPr>
          <w:rFonts w:ascii="Arial" w:hAnsi="Arial"/>
          <w:b/>
          <w:color w:val="FFFFFF"/>
          <w:spacing w:val="-7"/>
          <w:w w:val="75"/>
          <w:sz w:val="24"/>
        </w:rPr>
        <w:t>Morgenfeld </w:t>
      </w:r>
      <w:r>
        <w:rPr>
          <w:rFonts w:ascii="Arial" w:hAnsi="Arial"/>
          <w:b/>
          <w:color w:val="FFFFFF"/>
          <w:w w:val="75"/>
          <w:sz w:val="24"/>
        </w:rPr>
        <w:t>| </w:t>
      </w:r>
      <w:r>
        <w:rPr>
          <w:rFonts w:ascii="Arial" w:hAnsi="Arial"/>
          <w:b/>
          <w:color w:val="FFFFFF"/>
          <w:spacing w:val="-6"/>
          <w:w w:val="75"/>
          <w:sz w:val="24"/>
        </w:rPr>
        <w:t>Laneydi </w:t>
      </w:r>
      <w:r>
        <w:rPr>
          <w:rFonts w:ascii="Arial" w:hAnsi="Arial"/>
          <w:b/>
          <w:color w:val="FFFFFF"/>
          <w:spacing w:val="-7"/>
          <w:w w:val="75"/>
          <w:sz w:val="24"/>
        </w:rPr>
        <w:t>Martínez Alfonso</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1"/>
        </w:rPr>
      </w:pPr>
    </w:p>
    <w:p>
      <w:pPr>
        <w:spacing w:before="1"/>
        <w:ind w:left="107" w:right="0" w:firstLine="0"/>
        <w:jc w:val="left"/>
        <w:rPr>
          <w:rFonts w:ascii="Arial" w:hAnsi="Arial"/>
          <w:b/>
          <w:sz w:val="18"/>
        </w:rPr>
      </w:pPr>
      <w:r>
        <w:rPr>
          <w:rFonts w:ascii="Arial" w:hAnsi="Arial"/>
          <w:color w:val="FFFFFF"/>
          <w:w w:val="75"/>
          <w:sz w:val="18"/>
        </w:rPr>
        <w:t>COLECCIÓN </w:t>
      </w:r>
      <w:r>
        <w:rPr>
          <w:rFonts w:ascii="Arial" w:hAnsi="Arial"/>
          <w:b/>
          <w:color w:val="FFFFFF"/>
          <w:w w:val="75"/>
          <w:sz w:val="18"/>
        </w:rPr>
        <w:t>GRUPOS DE TRABAJO</w:t>
      </w:r>
    </w:p>
    <w:p>
      <w:pPr>
        <w:spacing w:after="0"/>
        <w:jc w:val="left"/>
        <w:rPr>
          <w:rFonts w:ascii="Arial" w:hAnsi="Arial"/>
          <w:sz w:val="18"/>
        </w:rPr>
        <w:sectPr>
          <w:type w:val="continuous"/>
          <w:pgSz w:w="8720" w:h="12530"/>
          <w:pgMar w:top="360" w:bottom="280" w:left="980" w:right="40"/>
        </w:sectPr>
      </w:pPr>
    </w:p>
    <w:p>
      <w:pPr>
        <w:pStyle w:val="BodyText"/>
        <w:spacing w:before="4"/>
        <w:rPr>
          <w:rFonts w:ascii="Times New Roman"/>
          <w:sz w:val="17"/>
        </w:rPr>
      </w:pPr>
    </w:p>
    <w:p>
      <w:pPr>
        <w:spacing w:after="0"/>
        <w:rPr>
          <w:rFonts w:ascii="Times New Roman"/>
          <w:sz w:val="17"/>
        </w:rPr>
        <w:sectPr>
          <w:pgSz w:w="8790" w:h="12760"/>
          <w:pgMar w:top="1180" w:bottom="280" w:left="1200" w:right="1200"/>
        </w:sectPr>
      </w:pPr>
    </w:p>
    <w:p>
      <w:pPr>
        <w:pStyle w:val="BodyText"/>
        <w:spacing w:before="4"/>
        <w:rPr>
          <w:rFonts w:ascii="Times New Roman"/>
          <w:sz w:val="17"/>
        </w:rPr>
      </w:pPr>
    </w:p>
    <w:p>
      <w:pPr>
        <w:spacing w:after="0"/>
        <w:rPr>
          <w:rFonts w:ascii="Times New Roman"/>
          <w:sz w:val="17"/>
        </w:rPr>
        <w:sectPr>
          <w:pgSz w:w="8790" w:h="12760"/>
          <w:pgMar w:top="1180" w:bottom="280" w:left="120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7"/>
        </w:rPr>
      </w:pPr>
    </w:p>
    <w:p>
      <w:pPr>
        <w:pStyle w:val="Heading1"/>
        <w:spacing w:line="240" w:lineRule="auto" w:before="46"/>
        <w:ind w:left="1617"/>
      </w:pPr>
      <w:r>
        <w:rPr>
          <w:w w:val="135"/>
        </w:rPr>
        <w:t>Estados Unidos</w:t>
      </w:r>
    </w:p>
    <w:p>
      <w:pPr>
        <w:spacing w:after="0" w:line="240" w:lineRule="auto"/>
        <w:sectPr>
          <w:pgSz w:w="8790" w:h="12760"/>
          <w:pgMar w:top="1180" w:bottom="280" w:left="120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after="1"/>
        <w:rPr>
          <w:rFonts w:ascii="Times New Roman"/>
          <w:sz w:val="15"/>
        </w:rPr>
      </w:pPr>
    </w:p>
    <w:p>
      <w:pPr>
        <w:pStyle w:val="BodyText"/>
        <w:ind w:left="118"/>
        <w:rPr>
          <w:rFonts w:ascii="Times New Roman"/>
          <w:sz w:val="20"/>
        </w:rPr>
      </w:pPr>
      <w:r>
        <w:rPr>
          <w:rFonts w:ascii="Times New Roman"/>
          <w:sz w:val="20"/>
        </w:rPr>
        <w:pict>
          <v:shapetype id="_x0000_t202" o:spt="202" coordsize="21600,21600" path="m,l,21600r21600,l21600,xe">
            <v:stroke joinstyle="miter"/>
            <v:path gradientshapeok="t" o:connecttype="rect"/>
          </v:shapetype>
          <v:shape style="width:241.2pt;height:148.65pt;mso-position-horizontal-relative:char;mso-position-vertical-relative:line" type="#_x0000_t202" filled="false" stroked="true" strokeweight=".5pt" strokecolor="#000000">
            <w10:anchorlock/>
            <v:textbox inset="0,0,0,0">
              <w:txbxContent>
                <w:p>
                  <w:pPr>
                    <w:pStyle w:val="BodyText"/>
                    <w:rPr>
                      <w:rFonts w:ascii="Times New Roman"/>
                      <w:sz w:val="14"/>
                    </w:rPr>
                  </w:pPr>
                </w:p>
                <w:p>
                  <w:pPr>
                    <w:spacing w:line="244" w:lineRule="auto" w:before="1"/>
                    <w:ind w:left="340" w:right="95" w:hanging="171"/>
                    <w:jc w:val="left"/>
                    <w:rPr>
                      <w:rFonts w:ascii="Arial" w:hAnsi="Arial"/>
                      <w:sz w:val="17"/>
                    </w:rPr>
                  </w:pPr>
                  <w:r>
                    <w:rPr>
                      <w:rFonts w:ascii="Arial" w:hAnsi="Arial"/>
                      <w:spacing w:val="-3"/>
                      <w:w w:val="90"/>
                      <w:sz w:val="17"/>
                    </w:rPr>
                    <w:t>Estados</w:t>
                  </w:r>
                  <w:r>
                    <w:rPr>
                      <w:rFonts w:ascii="Arial" w:hAnsi="Arial"/>
                      <w:spacing w:val="-27"/>
                      <w:w w:val="90"/>
                      <w:sz w:val="17"/>
                    </w:rPr>
                    <w:t> </w:t>
                  </w:r>
                  <w:r>
                    <w:rPr>
                      <w:rFonts w:ascii="Arial" w:hAnsi="Arial"/>
                      <w:spacing w:val="-3"/>
                      <w:w w:val="90"/>
                      <w:sz w:val="17"/>
                    </w:rPr>
                    <w:t>Unidos</w:t>
                  </w:r>
                  <w:r>
                    <w:rPr>
                      <w:rFonts w:ascii="Arial" w:hAnsi="Arial"/>
                      <w:spacing w:val="-27"/>
                      <w:w w:val="90"/>
                      <w:sz w:val="17"/>
                    </w:rPr>
                    <w:t> </w:t>
                  </w:r>
                  <w:r>
                    <w:rPr>
                      <w:rFonts w:ascii="Arial" w:hAnsi="Arial"/>
                      <w:w w:val="90"/>
                      <w:sz w:val="17"/>
                    </w:rPr>
                    <w:t>y</w:t>
                  </w:r>
                  <w:r>
                    <w:rPr>
                      <w:rFonts w:ascii="Arial" w:hAnsi="Arial"/>
                      <w:spacing w:val="-25"/>
                      <w:w w:val="90"/>
                      <w:sz w:val="17"/>
                    </w:rPr>
                    <w:t> </w:t>
                  </w:r>
                  <w:r>
                    <w:rPr>
                      <w:rFonts w:ascii="Arial" w:hAnsi="Arial"/>
                      <w:w w:val="90"/>
                      <w:sz w:val="17"/>
                    </w:rPr>
                    <w:t>la</w:t>
                  </w:r>
                  <w:r>
                    <w:rPr>
                      <w:rFonts w:ascii="Arial" w:hAnsi="Arial"/>
                      <w:spacing w:val="-25"/>
                      <w:w w:val="90"/>
                      <w:sz w:val="17"/>
                    </w:rPr>
                    <w:t> </w:t>
                  </w:r>
                  <w:r>
                    <w:rPr>
                      <w:rFonts w:ascii="Arial" w:hAnsi="Arial"/>
                      <w:spacing w:val="-3"/>
                      <w:w w:val="90"/>
                      <w:sz w:val="17"/>
                    </w:rPr>
                    <w:t>nueva</w:t>
                  </w:r>
                  <w:r>
                    <w:rPr>
                      <w:rFonts w:ascii="Arial" w:hAnsi="Arial"/>
                      <w:spacing w:val="-27"/>
                      <w:w w:val="90"/>
                      <w:sz w:val="17"/>
                    </w:rPr>
                    <w:t> </w:t>
                  </w:r>
                  <w:r>
                    <w:rPr>
                      <w:rFonts w:ascii="Arial" w:hAnsi="Arial"/>
                      <w:spacing w:val="-3"/>
                      <w:w w:val="90"/>
                      <w:sz w:val="17"/>
                    </w:rPr>
                    <w:t>correlación</w:t>
                  </w:r>
                  <w:r>
                    <w:rPr>
                      <w:rFonts w:ascii="Arial" w:hAnsi="Arial"/>
                      <w:spacing w:val="-27"/>
                      <w:w w:val="90"/>
                      <w:sz w:val="17"/>
                    </w:rPr>
                    <w:t> </w:t>
                  </w:r>
                  <w:r>
                    <w:rPr>
                      <w:rFonts w:ascii="Arial" w:hAnsi="Arial"/>
                      <w:w w:val="90"/>
                      <w:sz w:val="17"/>
                    </w:rPr>
                    <w:t>de</w:t>
                  </w:r>
                  <w:r>
                    <w:rPr>
                      <w:rFonts w:ascii="Arial" w:hAnsi="Arial"/>
                      <w:spacing w:val="-25"/>
                      <w:w w:val="90"/>
                      <w:sz w:val="17"/>
                    </w:rPr>
                    <w:t> </w:t>
                  </w:r>
                  <w:r>
                    <w:rPr>
                      <w:rFonts w:ascii="Arial" w:hAnsi="Arial"/>
                      <w:spacing w:val="-3"/>
                      <w:w w:val="90"/>
                      <w:sz w:val="17"/>
                    </w:rPr>
                    <w:t>fuerzas</w:t>
                  </w:r>
                  <w:r>
                    <w:rPr>
                      <w:rFonts w:ascii="Arial" w:hAnsi="Arial"/>
                      <w:spacing w:val="-27"/>
                      <w:w w:val="90"/>
                      <w:sz w:val="17"/>
                    </w:rPr>
                    <w:t> </w:t>
                  </w:r>
                  <w:r>
                    <w:rPr>
                      <w:rFonts w:ascii="Arial" w:hAnsi="Arial"/>
                      <w:spacing w:val="-3"/>
                      <w:w w:val="90"/>
                      <w:sz w:val="17"/>
                    </w:rPr>
                    <w:t>internacional</w:t>
                  </w:r>
                  <w:r>
                    <w:rPr>
                      <w:rFonts w:ascii="Arial" w:hAnsi="Arial"/>
                      <w:spacing w:val="-27"/>
                      <w:w w:val="90"/>
                      <w:sz w:val="17"/>
                    </w:rPr>
                    <w:t> </w:t>
                  </w:r>
                  <w:r>
                    <w:rPr>
                      <w:rFonts w:ascii="Arial" w:hAnsi="Arial"/>
                      <w:w w:val="90"/>
                      <w:sz w:val="17"/>
                    </w:rPr>
                    <w:t>/</w:t>
                  </w:r>
                  <w:r>
                    <w:rPr>
                      <w:rFonts w:ascii="Arial" w:hAnsi="Arial"/>
                      <w:spacing w:val="-25"/>
                      <w:w w:val="90"/>
                      <w:sz w:val="17"/>
                    </w:rPr>
                    <w:t> </w:t>
                  </w:r>
                  <w:r>
                    <w:rPr>
                      <w:rFonts w:ascii="Arial" w:hAnsi="Arial"/>
                      <w:spacing w:val="-3"/>
                      <w:w w:val="90"/>
                      <w:sz w:val="17"/>
                    </w:rPr>
                    <w:t>Carlos </w:t>
                  </w:r>
                  <w:r>
                    <w:rPr>
                      <w:rFonts w:ascii="Arial" w:hAnsi="Arial"/>
                      <w:spacing w:val="-3"/>
                      <w:w w:val="95"/>
                      <w:sz w:val="17"/>
                    </w:rPr>
                    <w:t>Eduardo Martins </w:t>
                  </w:r>
                  <w:r>
                    <w:rPr>
                      <w:rFonts w:ascii="Arial" w:hAnsi="Arial"/>
                      <w:w w:val="95"/>
                      <w:sz w:val="17"/>
                    </w:rPr>
                    <w:t>... [et </w:t>
                  </w:r>
                  <w:r>
                    <w:rPr>
                      <w:rFonts w:ascii="Arial" w:hAnsi="Arial"/>
                      <w:spacing w:val="-3"/>
                      <w:w w:val="95"/>
                      <w:sz w:val="17"/>
                    </w:rPr>
                    <w:t>al.] </w:t>
                  </w:r>
                  <w:r>
                    <w:rPr>
                      <w:rFonts w:ascii="Arial" w:hAnsi="Arial"/>
                      <w:w w:val="95"/>
                      <w:sz w:val="17"/>
                    </w:rPr>
                    <w:t>; </w:t>
                  </w:r>
                  <w:r>
                    <w:rPr>
                      <w:rFonts w:ascii="Arial" w:hAnsi="Arial"/>
                      <w:spacing w:val="-3"/>
                      <w:w w:val="95"/>
                      <w:sz w:val="17"/>
                    </w:rPr>
                    <w:t>coordinación general </w:t>
                  </w:r>
                  <w:r>
                    <w:rPr>
                      <w:rFonts w:ascii="Arial" w:hAnsi="Arial"/>
                      <w:w w:val="95"/>
                      <w:sz w:val="17"/>
                    </w:rPr>
                    <w:t>de </w:t>
                  </w:r>
                  <w:r>
                    <w:rPr>
                      <w:rFonts w:ascii="Arial" w:hAnsi="Arial"/>
                      <w:spacing w:val="-3"/>
                      <w:w w:val="95"/>
                      <w:sz w:val="17"/>
                    </w:rPr>
                    <w:t>Marco A. </w:t>
                  </w:r>
                  <w:r>
                    <w:rPr>
                      <w:rFonts w:ascii="Arial" w:hAnsi="Arial"/>
                      <w:spacing w:val="-3"/>
                      <w:w w:val="85"/>
                      <w:sz w:val="17"/>
                    </w:rPr>
                    <w:t>Gandásegui</w:t>
                  </w:r>
                  <w:r>
                    <w:rPr>
                      <w:rFonts w:ascii="Arial" w:hAnsi="Arial"/>
                      <w:spacing w:val="-20"/>
                      <w:w w:val="85"/>
                      <w:sz w:val="17"/>
                    </w:rPr>
                    <w:t> </w:t>
                  </w:r>
                  <w:r>
                    <w:rPr>
                      <w:rFonts w:ascii="Arial" w:hAnsi="Arial"/>
                      <w:w w:val="85"/>
                      <w:sz w:val="17"/>
                    </w:rPr>
                    <w:t>;</w:t>
                  </w:r>
                  <w:r>
                    <w:rPr>
                      <w:rFonts w:ascii="Arial" w:hAnsi="Arial"/>
                      <w:spacing w:val="-20"/>
                      <w:w w:val="85"/>
                      <w:sz w:val="17"/>
                    </w:rPr>
                    <w:t> </w:t>
                  </w:r>
                  <w:r>
                    <w:rPr>
                      <w:rFonts w:ascii="Arial" w:hAnsi="Arial"/>
                      <w:spacing w:val="-3"/>
                      <w:w w:val="85"/>
                      <w:sz w:val="17"/>
                    </w:rPr>
                    <w:t>prefacio</w:t>
                  </w:r>
                  <w:r>
                    <w:rPr>
                      <w:rFonts w:ascii="Arial" w:hAnsi="Arial"/>
                      <w:spacing w:val="-20"/>
                      <w:w w:val="85"/>
                      <w:sz w:val="17"/>
                    </w:rPr>
                    <w:t> </w:t>
                  </w:r>
                  <w:r>
                    <w:rPr>
                      <w:rFonts w:ascii="Arial" w:hAnsi="Arial"/>
                      <w:w w:val="85"/>
                      <w:sz w:val="17"/>
                    </w:rPr>
                    <w:t>de</w:t>
                  </w:r>
                  <w:r>
                    <w:rPr>
                      <w:rFonts w:ascii="Arial" w:hAnsi="Arial"/>
                      <w:spacing w:val="-20"/>
                      <w:w w:val="85"/>
                      <w:sz w:val="17"/>
                    </w:rPr>
                    <w:t> </w:t>
                  </w:r>
                  <w:r>
                    <w:rPr>
                      <w:rFonts w:ascii="Arial" w:hAnsi="Arial"/>
                      <w:spacing w:val="-3"/>
                      <w:w w:val="85"/>
                      <w:sz w:val="17"/>
                    </w:rPr>
                    <w:t>Pablo</w:t>
                  </w:r>
                  <w:r>
                    <w:rPr>
                      <w:rFonts w:ascii="Arial" w:hAnsi="Arial"/>
                      <w:spacing w:val="-20"/>
                      <w:w w:val="85"/>
                      <w:sz w:val="17"/>
                    </w:rPr>
                    <w:t> </w:t>
                  </w:r>
                  <w:r>
                    <w:rPr>
                      <w:rFonts w:ascii="Arial" w:hAnsi="Arial"/>
                      <w:spacing w:val="-3"/>
                      <w:w w:val="85"/>
                      <w:sz w:val="17"/>
                    </w:rPr>
                    <w:t>Gentili</w:t>
                  </w:r>
                  <w:r>
                    <w:rPr>
                      <w:rFonts w:ascii="Arial" w:hAnsi="Arial"/>
                      <w:spacing w:val="-20"/>
                      <w:w w:val="85"/>
                      <w:sz w:val="17"/>
                    </w:rPr>
                    <w:t> </w:t>
                  </w:r>
                  <w:r>
                    <w:rPr>
                      <w:rFonts w:ascii="Arial" w:hAnsi="Arial"/>
                      <w:w w:val="85"/>
                      <w:sz w:val="17"/>
                    </w:rPr>
                    <w:t>;</w:t>
                  </w:r>
                  <w:r>
                    <w:rPr>
                      <w:rFonts w:ascii="Arial" w:hAnsi="Arial"/>
                      <w:spacing w:val="-20"/>
                      <w:w w:val="85"/>
                      <w:sz w:val="17"/>
                    </w:rPr>
                    <w:t> </w:t>
                  </w:r>
                  <w:r>
                    <w:rPr>
                      <w:rFonts w:ascii="Arial" w:hAnsi="Arial"/>
                      <w:spacing w:val="-3"/>
                      <w:w w:val="85"/>
                      <w:sz w:val="17"/>
                    </w:rPr>
                    <w:t>prólogo</w:t>
                  </w:r>
                  <w:r>
                    <w:rPr>
                      <w:rFonts w:ascii="Arial" w:hAnsi="Arial"/>
                      <w:spacing w:val="-20"/>
                      <w:w w:val="85"/>
                      <w:sz w:val="17"/>
                    </w:rPr>
                    <w:t> </w:t>
                  </w:r>
                  <w:r>
                    <w:rPr>
                      <w:rFonts w:ascii="Arial" w:hAnsi="Arial"/>
                      <w:w w:val="85"/>
                      <w:sz w:val="17"/>
                    </w:rPr>
                    <w:t>de</w:t>
                  </w:r>
                  <w:r>
                    <w:rPr>
                      <w:rFonts w:ascii="Arial" w:hAnsi="Arial"/>
                      <w:spacing w:val="-20"/>
                      <w:w w:val="85"/>
                      <w:sz w:val="17"/>
                    </w:rPr>
                    <w:t> </w:t>
                  </w:r>
                  <w:r>
                    <w:rPr>
                      <w:rFonts w:ascii="Arial" w:hAnsi="Arial"/>
                      <w:spacing w:val="-3"/>
                      <w:w w:val="85"/>
                      <w:sz w:val="17"/>
                    </w:rPr>
                    <w:t>Ronald</w:t>
                  </w:r>
                  <w:r>
                    <w:rPr>
                      <w:rFonts w:ascii="Arial" w:hAnsi="Arial"/>
                      <w:spacing w:val="-20"/>
                      <w:w w:val="85"/>
                      <w:sz w:val="17"/>
                    </w:rPr>
                    <w:t> </w:t>
                  </w:r>
                  <w:r>
                    <w:rPr>
                      <w:rFonts w:ascii="Arial" w:hAnsi="Arial"/>
                      <w:w w:val="85"/>
                      <w:sz w:val="17"/>
                    </w:rPr>
                    <w:t>H.</w:t>
                  </w:r>
                  <w:r>
                    <w:rPr>
                      <w:rFonts w:ascii="Arial" w:hAnsi="Arial"/>
                      <w:spacing w:val="-24"/>
                      <w:w w:val="85"/>
                      <w:sz w:val="17"/>
                    </w:rPr>
                    <w:t> </w:t>
                  </w:r>
                  <w:r>
                    <w:rPr>
                      <w:rFonts w:ascii="Arial" w:hAnsi="Arial"/>
                      <w:spacing w:val="-3"/>
                      <w:w w:val="85"/>
                      <w:sz w:val="17"/>
                    </w:rPr>
                    <w:t>Chilcote.</w:t>
                  </w:r>
                  <w:r>
                    <w:rPr>
                      <w:rFonts w:ascii="Arial" w:hAnsi="Arial"/>
                      <w:spacing w:val="-24"/>
                      <w:w w:val="85"/>
                      <w:sz w:val="17"/>
                    </w:rPr>
                    <w:t> </w:t>
                  </w:r>
                  <w:r>
                    <w:rPr>
                      <w:rFonts w:ascii="Arial" w:hAnsi="Arial"/>
                      <w:w w:val="85"/>
                      <w:sz w:val="17"/>
                    </w:rPr>
                    <w:t>- 1a</w:t>
                  </w:r>
                  <w:r>
                    <w:rPr>
                      <w:rFonts w:ascii="Arial" w:hAnsi="Arial"/>
                      <w:spacing w:val="-24"/>
                      <w:w w:val="85"/>
                      <w:sz w:val="17"/>
                    </w:rPr>
                    <w:t> </w:t>
                  </w:r>
                  <w:r>
                    <w:rPr>
                      <w:rFonts w:ascii="Arial" w:hAnsi="Arial"/>
                      <w:w w:val="85"/>
                      <w:sz w:val="17"/>
                    </w:rPr>
                    <w:t>ed</w:t>
                  </w:r>
                  <w:r>
                    <w:rPr>
                      <w:rFonts w:ascii="Arial" w:hAnsi="Arial"/>
                      <w:spacing w:val="-24"/>
                      <w:w w:val="85"/>
                      <w:sz w:val="17"/>
                    </w:rPr>
                    <w:t> </w:t>
                  </w:r>
                  <w:r>
                    <w:rPr>
                      <w:rFonts w:ascii="Arial" w:hAnsi="Arial"/>
                      <w:w w:val="85"/>
                      <w:sz w:val="17"/>
                    </w:rPr>
                    <w:t>.</w:t>
                  </w:r>
                  <w:r>
                    <w:rPr>
                      <w:rFonts w:ascii="Arial" w:hAnsi="Arial"/>
                      <w:spacing w:val="-27"/>
                      <w:w w:val="85"/>
                      <w:sz w:val="17"/>
                    </w:rPr>
                    <w:t> </w:t>
                  </w:r>
                  <w:r>
                    <w:rPr>
                      <w:rFonts w:ascii="Arial" w:hAnsi="Arial"/>
                      <w:w w:val="85"/>
                      <w:sz w:val="17"/>
                    </w:rPr>
                    <w:t>-</w:t>
                  </w:r>
                  <w:r>
                    <w:rPr>
                      <w:rFonts w:ascii="Arial" w:hAnsi="Arial"/>
                      <w:spacing w:val="-24"/>
                      <w:w w:val="85"/>
                      <w:sz w:val="17"/>
                    </w:rPr>
                    <w:t> </w:t>
                  </w:r>
                  <w:r>
                    <w:rPr>
                      <w:rFonts w:ascii="Arial" w:hAnsi="Arial"/>
                      <w:spacing w:val="-3"/>
                      <w:w w:val="85"/>
                      <w:sz w:val="17"/>
                    </w:rPr>
                    <w:t>Ciudad</w:t>
                  </w:r>
                  <w:r>
                    <w:rPr>
                      <w:rFonts w:ascii="Arial" w:hAnsi="Arial"/>
                      <w:spacing w:val="-27"/>
                      <w:w w:val="85"/>
                      <w:sz w:val="17"/>
                    </w:rPr>
                    <w:t> </w:t>
                  </w:r>
                  <w:r>
                    <w:rPr>
                      <w:rFonts w:ascii="Arial" w:hAnsi="Arial"/>
                      <w:spacing w:val="-3"/>
                      <w:w w:val="85"/>
                      <w:sz w:val="17"/>
                    </w:rPr>
                    <w:t>Autónoma</w:t>
                  </w:r>
                  <w:r>
                    <w:rPr>
                      <w:rFonts w:ascii="Arial" w:hAnsi="Arial"/>
                      <w:spacing w:val="-24"/>
                      <w:w w:val="85"/>
                      <w:sz w:val="17"/>
                    </w:rPr>
                    <w:t> </w:t>
                  </w:r>
                  <w:r>
                    <w:rPr>
                      <w:rFonts w:ascii="Arial" w:hAnsi="Arial"/>
                      <w:w w:val="85"/>
                      <w:sz w:val="17"/>
                    </w:rPr>
                    <w:t>de</w:t>
                  </w:r>
                  <w:r>
                    <w:rPr>
                      <w:rFonts w:ascii="Arial" w:hAnsi="Arial"/>
                      <w:spacing w:val="-24"/>
                      <w:w w:val="85"/>
                      <w:sz w:val="17"/>
                    </w:rPr>
                    <w:t> </w:t>
                  </w:r>
                  <w:r>
                    <w:rPr>
                      <w:rFonts w:ascii="Arial" w:hAnsi="Arial"/>
                      <w:spacing w:val="-3"/>
                      <w:w w:val="85"/>
                      <w:sz w:val="17"/>
                    </w:rPr>
                    <w:t>Buenos</w:t>
                  </w:r>
                  <w:r>
                    <w:rPr>
                      <w:rFonts w:ascii="Arial" w:hAnsi="Arial"/>
                      <w:spacing w:val="-27"/>
                      <w:w w:val="85"/>
                      <w:sz w:val="17"/>
                    </w:rPr>
                    <w:t> </w:t>
                  </w:r>
                  <w:r>
                    <w:rPr>
                      <w:rFonts w:ascii="Arial" w:hAnsi="Arial"/>
                      <w:spacing w:val="-3"/>
                      <w:w w:val="85"/>
                      <w:sz w:val="17"/>
                    </w:rPr>
                    <w:t>Aires</w:t>
                  </w:r>
                  <w:r>
                    <w:rPr>
                      <w:rFonts w:ascii="Arial" w:hAnsi="Arial"/>
                      <w:spacing w:val="-24"/>
                      <w:w w:val="85"/>
                      <w:sz w:val="17"/>
                    </w:rPr>
                    <w:t> </w:t>
                  </w:r>
                  <w:r>
                    <w:rPr>
                      <w:rFonts w:ascii="Arial" w:hAnsi="Arial"/>
                      <w:w w:val="85"/>
                      <w:sz w:val="17"/>
                    </w:rPr>
                    <w:t>:</w:t>
                  </w:r>
                  <w:r>
                    <w:rPr>
                      <w:rFonts w:ascii="Arial" w:hAnsi="Arial"/>
                      <w:spacing w:val="-27"/>
                      <w:w w:val="85"/>
                      <w:sz w:val="17"/>
                    </w:rPr>
                    <w:t> </w:t>
                  </w:r>
                  <w:r>
                    <w:rPr>
                      <w:rFonts w:ascii="Arial" w:hAnsi="Arial"/>
                      <w:spacing w:val="-3"/>
                      <w:w w:val="85"/>
                      <w:sz w:val="17"/>
                    </w:rPr>
                    <w:t>CLACSO,</w:t>
                  </w:r>
                  <w:r>
                    <w:rPr>
                      <w:rFonts w:ascii="Arial" w:hAnsi="Arial"/>
                      <w:spacing w:val="-27"/>
                      <w:w w:val="85"/>
                      <w:sz w:val="17"/>
                    </w:rPr>
                    <w:t> </w:t>
                  </w:r>
                  <w:r>
                    <w:rPr>
                      <w:rFonts w:ascii="Arial" w:hAnsi="Arial"/>
                      <w:spacing w:val="-3"/>
                      <w:w w:val="85"/>
                      <w:sz w:val="17"/>
                    </w:rPr>
                    <w:t>2016.</w:t>
                  </w:r>
                </w:p>
                <w:p>
                  <w:pPr>
                    <w:spacing w:before="0"/>
                    <w:ind w:left="283" w:right="95" w:firstLine="0"/>
                    <w:jc w:val="left"/>
                    <w:rPr>
                      <w:rFonts w:ascii="Arial"/>
                      <w:sz w:val="17"/>
                    </w:rPr>
                  </w:pPr>
                  <w:r>
                    <w:rPr>
                      <w:rFonts w:ascii="Arial"/>
                      <w:w w:val="80"/>
                      <w:sz w:val="17"/>
                    </w:rPr>
                    <w:t>Libro digital, PDF</w:t>
                  </w:r>
                </w:p>
                <w:p>
                  <w:pPr>
                    <w:pStyle w:val="BodyText"/>
                    <w:spacing w:before="9"/>
                    <w:rPr>
                      <w:rFonts w:ascii="Times New Roman"/>
                      <w:sz w:val="17"/>
                    </w:rPr>
                  </w:pPr>
                </w:p>
                <w:p>
                  <w:pPr>
                    <w:spacing w:line="244" w:lineRule="auto" w:before="0"/>
                    <w:ind w:left="283" w:right="2487" w:hanging="7"/>
                    <w:jc w:val="left"/>
                    <w:rPr>
                      <w:rFonts w:ascii="Arial"/>
                      <w:sz w:val="17"/>
                    </w:rPr>
                  </w:pPr>
                  <w:r>
                    <w:rPr>
                      <w:rFonts w:ascii="Arial"/>
                      <w:spacing w:val="-3"/>
                      <w:w w:val="85"/>
                      <w:sz w:val="17"/>
                    </w:rPr>
                    <w:t>Archivo Digital: descarga </w:t>
                  </w:r>
                  <w:r>
                    <w:rPr>
                      <w:rFonts w:ascii="Arial"/>
                      <w:w w:val="85"/>
                      <w:sz w:val="17"/>
                    </w:rPr>
                    <w:t>y </w:t>
                  </w:r>
                  <w:r>
                    <w:rPr>
                      <w:rFonts w:ascii="Arial"/>
                      <w:spacing w:val="-3"/>
                      <w:w w:val="85"/>
                      <w:sz w:val="17"/>
                    </w:rPr>
                    <w:t>online ISBN 978-987-722-182-4</w:t>
                  </w:r>
                </w:p>
                <w:p>
                  <w:pPr>
                    <w:pStyle w:val="BodyText"/>
                    <w:spacing w:before="5"/>
                    <w:rPr>
                      <w:rFonts w:ascii="Times New Roman"/>
                      <w:sz w:val="17"/>
                    </w:rPr>
                  </w:pPr>
                </w:p>
                <w:p>
                  <w:pPr>
                    <w:spacing w:line="244" w:lineRule="auto" w:before="0"/>
                    <w:ind w:left="340" w:right="95" w:hanging="57"/>
                    <w:jc w:val="left"/>
                    <w:rPr>
                      <w:rFonts w:ascii="Arial" w:hAnsi="Arial"/>
                      <w:sz w:val="17"/>
                    </w:rPr>
                  </w:pPr>
                  <w:r>
                    <w:rPr>
                      <w:rFonts w:ascii="Arial" w:hAnsi="Arial"/>
                      <w:w w:val="85"/>
                      <w:sz w:val="17"/>
                    </w:rPr>
                    <w:t>1.</w:t>
                  </w:r>
                  <w:r>
                    <w:rPr>
                      <w:rFonts w:ascii="Arial" w:hAnsi="Arial"/>
                      <w:spacing w:val="-25"/>
                      <w:w w:val="85"/>
                      <w:sz w:val="17"/>
                    </w:rPr>
                    <w:t> </w:t>
                  </w:r>
                  <w:r>
                    <w:rPr>
                      <w:rFonts w:ascii="Arial" w:hAnsi="Arial"/>
                      <w:spacing w:val="-3"/>
                      <w:w w:val="85"/>
                      <w:sz w:val="17"/>
                    </w:rPr>
                    <w:t>Estados</w:t>
                  </w:r>
                  <w:r>
                    <w:rPr>
                      <w:rFonts w:ascii="Arial" w:hAnsi="Arial"/>
                      <w:spacing w:val="-22"/>
                      <w:w w:val="85"/>
                      <w:sz w:val="17"/>
                    </w:rPr>
                    <w:t> </w:t>
                  </w:r>
                  <w:r>
                    <w:rPr>
                      <w:rFonts w:ascii="Arial" w:hAnsi="Arial"/>
                      <w:spacing w:val="-3"/>
                      <w:w w:val="85"/>
                      <w:sz w:val="17"/>
                    </w:rPr>
                    <w:t>Unidos.</w:t>
                  </w:r>
                  <w:r>
                    <w:rPr>
                      <w:rFonts w:ascii="Arial" w:hAnsi="Arial"/>
                      <w:spacing w:val="-25"/>
                      <w:w w:val="85"/>
                      <w:sz w:val="17"/>
                    </w:rPr>
                    <w:t> </w:t>
                  </w:r>
                  <w:r>
                    <w:rPr>
                      <w:rFonts w:ascii="Arial" w:hAnsi="Arial"/>
                      <w:w w:val="85"/>
                      <w:sz w:val="17"/>
                    </w:rPr>
                    <w:t>2.</w:t>
                  </w:r>
                  <w:r>
                    <w:rPr>
                      <w:rFonts w:ascii="Arial" w:hAnsi="Arial"/>
                      <w:spacing w:val="-25"/>
                      <w:w w:val="85"/>
                      <w:sz w:val="17"/>
                    </w:rPr>
                    <w:t> </w:t>
                  </w:r>
                  <w:r>
                    <w:rPr>
                      <w:rFonts w:ascii="Arial" w:hAnsi="Arial"/>
                      <w:spacing w:val="-3"/>
                      <w:w w:val="85"/>
                      <w:sz w:val="17"/>
                    </w:rPr>
                    <w:t>Capitalismo.</w:t>
                  </w:r>
                  <w:r>
                    <w:rPr>
                      <w:rFonts w:ascii="Arial" w:hAnsi="Arial"/>
                      <w:spacing w:val="-25"/>
                      <w:w w:val="85"/>
                      <w:sz w:val="17"/>
                    </w:rPr>
                    <w:t> </w:t>
                  </w:r>
                  <w:r>
                    <w:rPr>
                      <w:rFonts w:ascii="Arial" w:hAnsi="Arial"/>
                      <w:w w:val="85"/>
                      <w:sz w:val="17"/>
                    </w:rPr>
                    <w:t>3.</w:t>
                  </w:r>
                  <w:r>
                    <w:rPr>
                      <w:rFonts w:ascii="Arial" w:hAnsi="Arial"/>
                      <w:spacing w:val="-25"/>
                      <w:w w:val="85"/>
                      <w:sz w:val="17"/>
                    </w:rPr>
                    <w:t> </w:t>
                  </w:r>
                  <w:r>
                    <w:rPr>
                      <w:rFonts w:ascii="Arial" w:hAnsi="Arial"/>
                      <w:spacing w:val="-3"/>
                      <w:w w:val="85"/>
                      <w:sz w:val="17"/>
                    </w:rPr>
                    <w:t>Hegemonía.</w:t>
                  </w:r>
                  <w:r>
                    <w:rPr>
                      <w:rFonts w:ascii="Arial" w:hAnsi="Arial"/>
                      <w:spacing w:val="-25"/>
                      <w:w w:val="85"/>
                      <w:sz w:val="17"/>
                    </w:rPr>
                    <w:t> </w:t>
                  </w:r>
                  <w:r>
                    <w:rPr>
                      <w:rFonts w:ascii="Arial" w:hAnsi="Arial"/>
                      <w:w w:val="85"/>
                      <w:sz w:val="17"/>
                    </w:rPr>
                    <w:t>I.</w:t>
                  </w:r>
                  <w:r>
                    <w:rPr>
                      <w:rFonts w:ascii="Arial" w:hAnsi="Arial"/>
                      <w:spacing w:val="-25"/>
                      <w:w w:val="85"/>
                      <w:sz w:val="17"/>
                    </w:rPr>
                    <w:t> </w:t>
                  </w:r>
                  <w:r>
                    <w:rPr>
                      <w:rFonts w:ascii="Arial" w:hAnsi="Arial"/>
                      <w:spacing w:val="-3"/>
                      <w:w w:val="85"/>
                      <w:sz w:val="17"/>
                    </w:rPr>
                    <w:t>Martins,</w:t>
                  </w:r>
                  <w:r>
                    <w:rPr>
                      <w:rFonts w:ascii="Arial" w:hAnsi="Arial"/>
                      <w:spacing w:val="-25"/>
                      <w:w w:val="85"/>
                      <w:sz w:val="17"/>
                    </w:rPr>
                    <w:t> </w:t>
                  </w:r>
                  <w:r>
                    <w:rPr>
                      <w:rFonts w:ascii="Arial" w:hAnsi="Arial"/>
                      <w:spacing w:val="-3"/>
                      <w:w w:val="85"/>
                      <w:sz w:val="17"/>
                    </w:rPr>
                    <w:t>Carlos Eduardo</w:t>
                  </w:r>
                  <w:r>
                    <w:rPr>
                      <w:rFonts w:ascii="Arial" w:hAnsi="Arial"/>
                      <w:spacing w:val="-6"/>
                      <w:w w:val="85"/>
                      <w:sz w:val="17"/>
                    </w:rPr>
                    <w:t> </w:t>
                  </w:r>
                  <w:r>
                    <w:rPr>
                      <w:rFonts w:ascii="Arial" w:hAnsi="Arial"/>
                      <w:w w:val="85"/>
                      <w:sz w:val="17"/>
                    </w:rPr>
                    <w:t>II.</w:t>
                  </w:r>
                  <w:r>
                    <w:rPr>
                      <w:rFonts w:ascii="Arial" w:hAnsi="Arial"/>
                      <w:spacing w:val="-27"/>
                      <w:w w:val="85"/>
                      <w:sz w:val="17"/>
                    </w:rPr>
                    <w:t> </w:t>
                  </w:r>
                  <w:r>
                    <w:rPr>
                      <w:rFonts w:ascii="Arial" w:hAnsi="Arial"/>
                      <w:spacing w:val="-3"/>
                      <w:w w:val="85"/>
                      <w:sz w:val="17"/>
                    </w:rPr>
                    <w:t>Gandásegui,</w:t>
                  </w:r>
                  <w:r>
                    <w:rPr>
                      <w:rFonts w:ascii="Arial" w:hAnsi="Arial"/>
                      <w:spacing w:val="-27"/>
                      <w:w w:val="85"/>
                      <w:sz w:val="17"/>
                    </w:rPr>
                    <w:t> </w:t>
                  </w:r>
                  <w:r>
                    <w:rPr>
                      <w:rFonts w:ascii="Arial" w:hAnsi="Arial"/>
                      <w:spacing w:val="-3"/>
                      <w:w w:val="85"/>
                      <w:sz w:val="17"/>
                    </w:rPr>
                    <w:t>Marco</w:t>
                  </w:r>
                  <w:r>
                    <w:rPr>
                      <w:rFonts w:ascii="Arial" w:hAnsi="Arial"/>
                      <w:spacing w:val="-27"/>
                      <w:w w:val="85"/>
                      <w:sz w:val="17"/>
                    </w:rPr>
                    <w:t> </w:t>
                  </w:r>
                  <w:r>
                    <w:rPr>
                      <w:rFonts w:ascii="Arial" w:hAnsi="Arial"/>
                      <w:w w:val="85"/>
                      <w:sz w:val="17"/>
                    </w:rPr>
                    <w:t>A.</w:t>
                  </w:r>
                  <w:r>
                    <w:rPr>
                      <w:rFonts w:ascii="Arial" w:hAnsi="Arial"/>
                      <w:spacing w:val="-27"/>
                      <w:w w:val="85"/>
                      <w:sz w:val="17"/>
                    </w:rPr>
                    <w:t> </w:t>
                  </w:r>
                  <w:r>
                    <w:rPr>
                      <w:rFonts w:ascii="Arial" w:hAnsi="Arial"/>
                      <w:w w:val="85"/>
                      <w:sz w:val="17"/>
                    </w:rPr>
                    <w:t>,</w:t>
                  </w:r>
                  <w:r>
                    <w:rPr>
                      <w:rFonts w:ascii="Arial" w:hAnsi="Arial"/>
                      <w:spacing w:val="-27"/>
                      <w:w w:val="85"/>
                      <w:sz w:val="17"/>
                    </w:rPr>
                    <w:t> </w:t>
                  </w:r>
                  <w:r>
                    <w:rPr>
                      <w:rFonts w:ascii="Arial" w:hAnsi="Arial"/>
                      <w:spacing w:val="-3"/>
                      <w:w w:val="85"/>
                      <w:sz w:val="17"/>
                    </w:rPr>
                    <w:t>coord.</w:t>
                  </w:r>
                  <w:r>
                    <w:rPr>
                      <w:rFonts w:ascii="Arial" w:hAnsi="Arial"/>
                      <w:spacing w:val="-27"/>
                      <w:w w:val="85"/>
                      <w:sz w:val="17"/>
                    </w:rPr>
                    <w:t> </w:t>
                  </w:r>
                  <w:r>
                    <w:rPr>
                      <w:rFonts w:ascii="Arial" w:hAnsi="Arial"/>
                      <w:spacing w:val="-3"/>
                      <w:w w:val="85"/>
                      <w:sz w:val="17"/>
                    </w:rPr>
                    <w:t>III.</w:t>
                  </w:r>
                  <w:r>
                    <w:rPr>
                      <w:rFonts w:ascii="Arial" w:hAnsi="Arial"/>
                      <w:spacing w:val="-27"/>
                      <w:w w:val="85"/>
                      <w:sz w:val="17"/>
                    </w:rPr>
                    <w:t> </w:t>
                  </w:r>
                  <w:r>
                    <w:rPr>
                      <w:rFonts w:ascii="Arial" w:hAnsi="Arial"/>
                      <w:spacing w:val="-3"/>
                      <w:w w:val="85"/>
                      <w:sz w:val="17"/>
                    </w:rPr>
                    <w:t>Gentili,</w:t>
                  </w:r>
                  <w:r>
                    <w:rPr>
                      <w:rFonts w:ascii="Arial" w:hAnsi="Arial"/>
                      <w:spacing w:val="-27"/>
                      <w:w w:val="85"/>
                      <w:sz w:val="17"/>
                    </w:rPr>
                    <w:t> </w:t>
                  </w:r>
                  <w:r>
                    <w:rPr>
                      <w:rFonts w:ascii="Arial" w:hAnsi="Arial"/>
                      <w:spacing w:val="-3"/>
                      <w:w w:val="85"/>
                      <w:sz w:val="17"/>
                    </w:rPr>
                    <w:t>Pablo,</w:t>
                  </w:r>
                  <w:r>
                    <w:rPr>
                      <w:rFonts w:ascii="Arial" w:hAnsi="Arial"/>
                      <w:spacing w:val="-27"/>
                      <w:w w:val="85"/>
                      <w:sz w:val="17"/>
                    </w:rPr>
                    <w:t> </w:t>
                  </w:r>
                  <w:r>
                    <w:rPr>
                      <w:rFonts w:ascii="Arial" w:hAnsi="Arial"/>
                      <w:spacing w:val="-3"/>
                      <w:w w:val="85"/>
                      <w:sz w:val="17"/>
                    </w:rPr>
                    <w:t>pref.</w:t>
                  </w:r>
                  <w:r>
                    <w:rPr>
                      <w:rFonts w:ascii="Arial" w:hAnsi="Arial"/>
                      <w:spacing w:val="-27"/>
                      <w:w w:val="85"/>
                      <w:sz w:val="17"/>
                    </w:rPr>
                    <w:t> </w:t>
                  </w:r>
                  <w:r>
                    <w:rPr>
                      <w:rFonts w:ascii="Arial" w:hAnsi="Arial"/>
                      <w:spacing w:val="-7"/>
                      <w:w w:val="85"/>
                      <w:sz w:val="17"/>
                    </w:rPr>
                    <w:t>IV. </w:t>
                  </w:r>
                  <w:r>
                    <w:rPr>
                      <w:rFonts w:ascii="Arial" w:hAnsi="Arial"/>
                      <w:spacing w:val="-3"/>
                      <w:w w:val="80"/>
                      <w:sz w:val="17"/>
                    </w:rPr>
                    <w:t>Chilcote, Ronald </w:t>
                  </w:r>
                  <w:r>
                    <w:rPr>
                      <w:rFonts w:ascii="Arial" w:hAnsi="Arial"/>
                      <w:w w:val="80"/>
                      <w:sz w:val="17"/>
                    </w:rPr>
                    <w:t>H.,</w:t>
                  </w:r>
                  <w:r>
                    <w:rPr>
                      <w:rFonts w:ascii="Arial" w:hAnsi="Arial"/>
                      <w:spacing w:val="1"/>
                      <w:w w:val="80"/>
                      <w:sz w:val="17"/>
                    </w:rPr>
                    <w:t> </w:t>
                  </w:r>
                  <w:r>
                    <w:rPr>
                      <w:rFonts w:ascii="Arial" w:hAnsi="Arial"/>
                      <w:spacing w:val="-3"/>
                      <w:w w:val="80"/>
                      <w:sz w:val="17"/>
                    </w:rPr>
                    <w:t>prolog.</w:t>
                  </w:r>
                </w:p>
                <w:p>
                  <w:pPr>
                    <w:spacing w:before="0"/>
                    <w:ind w:left="283" w:right="95" w:firstLine="0"/>
                    <w:jc w:val="left"/>
                    <w:rPr>
                      <w:rFonts w:ascii="Arial"/>
                      <w:sz w:val="17"/>
                    </w:rPr>
                  </w:pPr>
                  <w:r>
                    <w:rPr>
                      <w:rFonts w:ascii="Arial"/>
                      <w:w w:val="80"/>
                      <w:sz w:val="17"/>
                    </w:rPr>
                    <w:t>CDD 327.1</w:t>
                  </w:r>
                </w:p>
              </w:txbxContent>
            </v:textbox>
          </v:shape>
        </w:pict>
      </w:r>
      <w:r>
        <w:rPr>
          <w:rFonts w:ascii="Times New Roman"/>
          <w:sz w:val="20"/>
        </w:rPr>
      </w:r>
    </w:p>
    <w:p>
      <w:pPr>
        <w:pStyle w:val="BodyText"/>
        <w:rPr>
          <w:rFonts w:ascii="Times New Roman"/>
          <w:sz w:val="17"/>
        </w:rPr>
      </w:pPr>
      <w:r>
        <w:rPr/>
        <w:pict>
          <v:shape style="position:absolute;margin-left:56.943001pt;margin-top:12.014pt;width:241.2pt;height:51.1pt;mso-position-horizontal-relative:page;mso-position-vertical-relative:paragraph;z-index:1072;mso-wrap-distance-left:0;mso-wrap-distance-right:0" type="#_x0000_t202" filled="false" stroked="true" strokeweight=".5pt" strokecolor="#000000">
            <v:textbox inset="0,0,0,0">
              <w:txbxContent>
                <w:p>
                  <w:pPr>
                    <w:spacing w:before="97"/>
                    <w:ind w:left="113" w:right="95" w:firstLine="0"/>
                    <w:jc w:val="left"/>
                    <w:rPr>
                      <w:rFonts w:ascii="Arial"/>
                      <w:sz w:val="17"/>
                    </w:rPr>
                  </w:pPr>
                  <w:r>
                    <w:rPr>
                      <w:rFonts w:ascii="Arial"/>
                      <w:w w:val="80"/>
                      <w:sz w:val="17"/>
                    </w:rPr>
                    <w:t>Otros descriptores asignados por CLACSO:</w:t>
                  </w:r>
                </w:p>
                <w:p>
                  <w:pPr>
                    <w:spacing w:line="244" w:lineRule="auto" w:before="4"/>
                    <w:ind w:left="340" w:right="480" w:firstLine="0"/>
                    <w:jc w:val="left"/>
                    <w:rPr>
                      <w:rFonts w:ascii="Arial" w:hAnsi="Arial"/>
                      <w:sz w:val="17"/>
                    </w:rPr>
                  </w:pPr>
                  <w:r>
                    <w:rPr>
                      <w:rFonts w:ascii="Arial" w:hAnsi="Arial"/>
                      <w:w w:val="85"/>
                      <w:sz w:val="17"/>
                    </w:rPr>
                    <w:t>Hegemonía</w:t>
                  </w:r>
                  <w:r>
                    <w:rPr>
                      <w:rFonts w:ascii="Arial" w:hAnsi="Arial"/>
                      <w:spacing w:val="-24"/>
                      <w:w w:val="85"/>
                      <w:sz w:val="17"/>
                    </w:rPr>
                    <w:t> </w:t>
                  </w:r>
                  <w:r>
                    <w:rPr>
                      <w:rFonts w:ascii="Arial" w:hAnsi="Arial"/>
                      <w:w w:val="85"/>
                      <w:sz w:val="17"/>
                    </w:rPr>
                    <w:t>/</w:t>
                  </w:r>
                  <w:r>
                    <w:rPr>
                      <w:rFonts w:ascii="Arial" w:hAnsi="Arial"/>
                      <w:spacing w:val="-24"/>
                      <w:w w:val="85"/>
                      <w:sz w:val="17"/>
                    </w:rPr>
                    <w:t> </w:t>
                  </w:r>
                  <w:r>
                    <w:rPr>
                      <w:rFonts w:ascii="Arial" w:hAnsi="Arial"/>
                      <w:w w:val="85"/>
                      <w:sz w:val="17"/>
                    </w:rPr>
                    <w:t>Relaciones</w:t>
                  </w:r>
                  <w:r>
                    <w:rPr>
                      <w:rFonts w:ascii="Arial" w:hAnsi="Arial"/>
                      <w:spacing w:val="-24"/>
                      <w:w w:val="85"/>
                      <w:sz w:val="17"/>
                    </w:rPr>
                    <w:t> </w:t>
                  </w:r>
                  <w:r>
                    <w:rPr>
                      <w:rFonts w:ascii="Arial" w:hAnsi="Arial"/>
                      <w:w w:val="85"/>
                      <w:sz w:val="17"/>
                    </w:rPr>
                    <w:t>Internacionales</w:t>
                  </w:r>
                  <w:r>
                    <w:rPr>
                      <w:rFonts w:ascii="Arial" w:hAnsi="Arial"/>
                      <w:spacing w:val="-24"/>
                      <w:w w:val="85"/>
                      <w:sz w:val="17"/>
                    </w:rPr>
                    <w:t> </w:t>
                  </w:r>
                  <w:r>
                    <w:rPr>
                      <w:rFonts w:ascii="Arial" w:hAnsi="Arial"/>
                      <w:w w:val="85"/>
                      <w:sz w:val="17"/>
                    </w:rPr>
                    <w:t>/</w:t>
                  </w:r>
                  <w:r>
                    <w:rPr>
                      <w:rFonts w:ascii="Arial" w:hAnsi="Arial"/>
                      <w:spacing w:val="-24"/>
                      <w:w w:val="85"/>
                      <w:sz w:val="17"/>
                    </w:rPr>
                    <w:t> </w:t>
                  </w:r>
                  <w:r>
                    <w:rPr>
                      <w:rFonts w:ascii="Arial" w:hAnsi="Arial"/>
                      <w:w w:val="85"/>
                      <w:sz w:val="17"/>
                    </w:rPr>
                    <w:t>Política</w:t>
                  </w:r>
                  <w:r>
                    <w:rPr>
                      <w:rFonts w:ascii="Arial" w:hAnsi="Arial"/>
                      <w:spacing w:val="-24"/>
                      <w:w w:val="85"/>
                      <w:sz w:val="17"/>
                    </w:rPr>
                    <w:t> </w:t>
                  </w:r>
                  <w:r>
                    <w:rPr>
                      <w:rFonts w:ascii="Arial" w:hAnsi="Arial"/>
                      <w:w w:val="85"/>
                      <w:sz w:val="17"/>
                    </w:rPr>
                    <w:t>internacional</w:t>
                  </w:r>
                  <w:r>
                    <w:rPr>
                      <w:rFonts w:ascii="Arial" w:hAnsi="Arial"/>
                      <w:spacing w:val="-24"/>
                      <w:w w:val="85"/>
                      <w:sz w:val="17"/>
                    </w:rPr>
                    <w:t> </w:t>
                  </w:r>
                  <w:r>
                    <w:rPr>
                      <w:rFonts w:ascii="Arial" w:hAnsi="Arial"/>
                      <w:w w:val="85"/>
                      <w:sz w:val="17"/>
                    </w:rPr>
                    <w:t>/ Estado / Gobierno / Organizaciones Internacionales / Política / Economía</w:t>
                  </w:r>
                  <w:r>
                    <w:rPr>
                      <w:rFonts w:ascii="Arial" w:hAnsi="Arial"/>
                      <w:spacing w:val="-24"/>
                      <w:w w:val="85"/>
                      <w:sz w:val="17"/>
                    </w:rPr>
                    <w:t> </w:t>
                  </w:r>
                  <w:r>
                    <w:rPr>
                      <w:rFonts w:ascii="Arial" w:hAnsi="Arial"/>
                      <w:w w:val="85"/>
                      <w:sz w:val="17"/>
                    </w:rPr>
                    <w:t>/</w:t>
                  </w:r>
                  <w:r>
                    <w:rPr>
                      <w:rFonts w:ascii="Arial" w:hAnsi="Arial"/>
                      <w:spacing w:val="-24"/>
                      <w:w w:val="85"/>
                      <w:sz w:val="17"/>
                    </w:rPr>
                    <w:t> </w:t>
                  </w:r>
                  <w:r>
                    <w:rPr>
                      <w:rFonts w:ascii="Arial" w:hAnsi="Arial"/>
                      <w:w w:val="85"/>
                      <w:sz w:val="17"/>
                    </w:rPr>
                    <w:t>EEUU</w:t>
                  </w:r>
                  <w:r>
                    <w:rPr>
                      <w:rFonts w:ascii="Arial" w:hAnsi="Arial"/>
                      <w:spacing w:val="-24"/>
                      <w:w w:val="85"/>
                      <w:sz w:val="17"/>
                    </w:rPr>
                    <w:t> </w:t>
                  </w:r>
                  <w:r>
                    <w:rPr>
                      <w:rFonts w:ascii="Arial" w:hAnsi="Arial"/>
                      <w:w w:val="85"/>
                      <w:sz w:val="17"/>
                    </w:rPr>
                    <w:t>/</w:t>
                  </w:r>
                  <w:r>
                    <w:rPr>
                      <w:rFonts w:ascii="Arial" w:hAnsi="Arial"/>
                      <w:spacing w:val="-26"/>
                      <w:w w:val="85"/>
                      <w:sz w:val="17"/>
                    </w:rPr>
                    <w:t> </w:t>
                  </w:r>
                  <w:r>
                    <w:rPr>
                      <w:rFonts w:ascii="Arial" w:hAnsi="Arial"/>
                      <w:w w:val="85"/>
                      <w:sz w:val="17"/>
                    </w:rPr>
                    <w:t>América</w:t>
                  </w:r>
                  <w:r>
                    <w:rPr>
                      <w:rFonts w:ascii="Arial" w:hAnsi="Arial"/>
                      <w:spacing w:val="-24"/>
                      <w:w w:val="85"/>
                      <w:sz w:val="17"/>
                    </w:rPr>
                    <w:t> </w:t>
                  </w:r>
                  <w:r>
                    <w:rPr>
                      <w:rFonts w:ascii="Arial" w:hAnsi="Arial"/>
                      <w:w w:val="85"/>
                      <w:sz w:val="17"/>
                    </w:rPr>
                    <w:t>Latina</w:t>
                  </w:r>
                </w:p>
              </w:txbxContent>
            </v:textbox>
            <w10:wrap type="topAndBottom"/>
          </v:shape>
        </w:pict>
      </w:r>
    </w:p>
    <w:p>
      <w:pPr>
        <w:spacing w:after="0"/>
        <w:rPr>
          <w:rFonts w:ascii="Times New Roman"/>
          <w:sz w:val="17"/>
        </w:rPr>
        <w:sectPr>
          <w:pgSz w:w="8790" w:h="12760"/>
          <w:pgMar w:top="1180" w:bottom="280" w:left="1020" w:right="1200"/>
        </w:sectPr>
      </w:pPr>
    </w:p>
    <w:p>
      <w:pPr>
        <w:pStyle w:val="Heading5"/>
        <w:spacing w:before="149"/>
        <w:ind w:left="1329" w:right="1169" w:firstLine="0"/>
        <w:jc w:val="center"/>
      </w:pPr>
      <w:r>
        <w:rPr>
          <w:w w:val="120"/>
        </w:rPr>
        <w:t>Colección Grupos de Trabajo</w:t>
      </w:r>
    </w:p>
    <w:p>
      <w:pPr>
        <w:pStyle w:val="BodyText"/>
        <w:rPr>
          <w:rFonts w:ascii="Times New Roman"/>
          <w:sz w:val="24"/>
        </w:rPr>
      </w:pPr>
    </w:p>
    <w:p>
      <w:pPr>
        <w:pStyle w:val="BodyText"/>
        <w:rPr>
          <w:rFonts w:ascii="Times New Roman"/>
          <w:sz w:val="24"/>
        </w:rPr>
      </w:pPr>
    </w:p>
    <w:p>
      <w:pPr>
        <w:pStyle w:val="BodyText"/>
        <w:spacing w:before="3"/>
        <w:rPr>
          <w:rFonts w:ascii="Times New Roman"/>
          <w:sz w:val="31"/>
        </w:rPr>
      </w:pPr>
    </w:p>
    <w:p>
      <w:pPr>
        <w:spacing w:before="0"/>
        <w:ind w:left="1329" w:right="1169" w:firstLine="0"/>
        <w:jc w:val="center"/>
        <w:rPr>
          <w:rFonts w:ascii="Times New Roman"/>
          <w:b/>
          <w:sz w:val="36"/>
        </w:rPr>
      </w:pPr>
      <w:r>
        <w:rPr>
          <w:rFonts w:ascii="Times New Roman"/>
          <w:b/>
          <w:w w:val="135"/>
          <w:sz w:val="36"/>
        </w:rPr>
        <w:t>Estados Unidos</w:t>
      </w:r>
    </w:p>
    <w:p>
      <w:pPr>
        <w:pStyle w:val="BodyText"/>
        <w:spacing w:before="1"/>
        <w:rPr>
          <w:rFonts w:ascii="Times New Roman"/>
          <w:b/>
          <w:sz w:val="33"/>
        </w:rPr>
      </w:pPr>
    </w:p>
    <w:p>
      <w:pPr>
        <w:spacing w:before="0"/>
        <w:ind w:left="1334" w:right="1169" w:firstLine="0"/>
        <w:jc w:val="center"/>
        <w:rPr>
          <w:rFonts w:ascii="Times New Roman" w:hAnsi="Times New Roman"/>
          <w:b/>
          <w:sz w:val="28"/>
        </w:rPr>
      </w:pPr>
      <w:r>
        <w:rPr>
          <w:rFonts w:ascii="Times New Roman" w:hAnsi="Times New Roman"/>
          <w:b/>
          <w:w w:val="140"/>
          <w:sz w:val="28"/>
        </w:rPr>
        <w:t>y la nueva correlación de fuerzas internacional</w:t>
      </w:r>
    </w:p>
    <w:p>
      <w:pPr>
        <w:pStyle w:val="BodyText"/>
        <w:rPr>
          <w:rFonts w:ascii="Times New Roman"/>
          <w:b/>
          <w:sz w:val="28"/>
        </w:rPr>
      </w:pPr>
    </w:p>
    <w:p>
      <w:pPr>
        <w:pStyle w:val="BodyText"/>
        <w:spacing w:before="11"/>
        <w:rPr>
          <w:rFonts w:ascii="Times New Roman"/>
          <w:b/>
          <w:sz w:val="22"/>
        </w:rPr>
      </w:pPr>
    </w:p>
    <w:p>
      <w:pPr>
        <w:spacing w:before="0"/>
        <w:ind w:left="1329" w:right="1169" w:firstLine="0"/>
        <w:jc w:val="center"/>
        <w:rPr>
          <w:rFonts w:ascii="Times New Roman" w:hAnsi="Times New Roman"/>
          <w:b/>
          <w:sz w:val="26"/>
        </w:rPr>
      </w:pPr>
      <w:r>
        <w:rPr>
          <w:rFonts w:ascii="Times New Roman" w:hAnsi="Times New Roman"/>
          <w:b/>
          <w:w w:val="105"/>
          <w:sz w:val="26"/>
        </w:rPr>
        <w:t>Marco a. Gandásegui, hijo</w:t>
      </w:r>
    </w:p>
    <w:p>
      <w:pPr>
        <w:spacing w:before="14"/>
        <w:ind w:left="1329" w:right="1169" w:firstLine="0"/>
        <w:jc w:val="center"/>
        <w:rPr>
          <w:sz w:val="22"/>
        </w:rPr>
      </w:pPr>
      <w:r>
        <w:rPr>
          <w:sz w:val="22"/>
        </w:rPr>
        <w:t>(Coordinador)</w:t>
      </w:r>
    </w:p>
    <w:p>
      <w:pPr>
        <w:pStyle w:val="BodyText"/>
        <w:spacing w:before="1"/>
        <w:rPr>
          <w:sz w:val="25"/>
        </w:rPr>
      </w:pPr>
    </w:p>
    <w:p>
      <w:pPr>
        <w:spacing w:after="0"/>
        <w:rPr>
          <w:sz w:val="25"/>
        </w:rPr>
        <w:sectPr>
          <w:pgSz w:w="8790" w:h="12760"/>
          <w:pgMar w:top="1180" w:bottom="280" w:left="1040" w:right="1200"/>
        </w:sectPr>
      </w:pPr>
    </w:p>
    <w:p>
      <w:pPr>
        <w:pStyle w:val="Heading6"/>
        <w:spacing w:before="68"/>
        <w:jc w:val="center"/>
      </w:pPr>
      <w:r>
        <w:rPr>
          <w:w w:val="105"/>
        </w:rPr>
        <w:t>Pablo</w:t>
      </w:r>
      <w:r>
        <w:rPr>
          <w:spacing w:val="-16"/>
          <w:w w:val="105"/>
        </w:rPr>
        <w:t> </w:t>
      </w:r>
      <w:r>
        <w:rPr>
          <w:w w:val="105"/>
        </w:rPr>
        <w:t>Gentili</w:t>
      </w:r>
      <w:r>
        <w:rPr>
          <w:spacing w:val="-16"/>
          <w:w w:val="105"/>
        </w:rPr>
        <w:t> </w:t>
      </w:r>
      <w:r>
        <w:rPr>
          <w:w w:val="105"/>
        </w:rPr>
        <w:t>y</w:t>
      </w:r>
      <w:r>
        <w:rPr>
          <w:spacing w:val="-16"/>
          <w:w w:val="105"/>
        </w:rPr>
        <w:t> </w:t>
      </w:r>
      <w:r>
        <w:rPr>
          <w:w w:val="105"/>
        </w:rPr>
        <w:t>Pablo</w:t>
      </w:r>
      <w:r>
        <w:rPr>
          <w:spacing w:val="-16"/>
          <w:w w:val="105"/>
        </w:rPr>
        <w:t> </w:t>
      </w:r>
      <w:r>
        <w:rPr>
          <w:spacing w:val="-3"/>
          <w:w w:val="105"/>
        </w:rPr>
        <w:t>vommaro</w:t>
      </w:r>
    </w:p>
    <w:p>
      <w:pPr>
        <w:spacing w:before="24"/>
        <w:ind w:left="101" w:right="0" w:firstLine="0"/>
        <w:jc w:val="center"/>
        <w:rPr>
          <w:sz w:val="16"/>
        </w:rPr>
      </w:pPr>
      <w:r>
        <w:rPr>
          <w:sz w:val="16"/>
        </w:rPr>
        <w:t>Presentación</w:t>
      </w:r>
    </w:p>
    <w:p>
      <w:pPr>
        <w:pStyle w:val="Heading6"/>
        <w:spacing w:before="68"/>
        <w:ind w:left="72" w:right="139"/>
        <w:jc w:val="center"/>
      </w:pPr>
      <w:r>
        <w:rPr>
          <w:b w:val="0"/>
        </w:rPr>
        <w:br w:type="column"/>
      </w:r>
      <w:r>
        <w:rPr>
          <w:w w:val="110"/>
        </w:rPr>
        <w:t>ronald H. chilcote</w:t>
      </w:r>
    </w:p>
    <w:p>
      <w:pPr>
        <w:spacing w:before="24"/>
        <w:ind w:left="72" w:right="49" w:firstLine="0"/>
        <w:jc w:val="center"/>
        <w:rPr>
          <w:sz w:val="16"/>
        </w:rPr>
      </w:pPr>
      <w:r>
        <w:rPr>
          <w:sz w:val="16"/>
        </w:rPr>
        <w:t>Prólogo</w:t>
      </w:r>
    </w:p>
    <w:p>
      <w:pPr>
        <w:spacing w:after="0"/>
        <w:jc w:val="center"/>
        <w:rPr>
          <w:sz w:val="16"/>
        </w:rPr>
        <w:sectPr>
          <w:type w:val="continuous"/>
          <w:pgSz w:w="8790" w:h="12760"/>
          <w:pgMar w:top="360" w:bottom="280" w:left="1040" w:right="1200"/>
          <w:cols w:num="2" w:equalWidth="0">
            <w:col w:w="2848" w:space="1769"/>
            <w:col w:w="1933"/>
          </w:cols>
        </w:sectPr>
      </w:pPr>
    </w:p>
    <w:p>
      <w:pPr>
        <w:pStyle w:val="BodyText"/>
        <w:rPr>
          <w:sz w:val="20"/>
        </w:rPr>
      </w:pPr>
    </w:p>
    <w:p>
      <w:pPr>
        <w:pStyle w:val="BodyText"/>
        <w:spacing w:before="6"/>
      </w:pPr>
    </w:p>
    <w:p>
      <w:pPr>
        <w:spacing w:line="278" w:lineRule="auto" w:before="71"/>
        <w:ind w:left="2311" w:right="2149" w:hanging="1"/>
        <w:jc w:val="center"/>
        <w:rPr>
          <w:rFonts w:ascii="Times New Roman" w:hAnsi="Times New Roman"/>
          <w:b/>
          <w:sz w:val="18"/>
        </w:rPr>
      </w:pPr>
      <w:r>
        <w:rPr>
          <w:rFonts w:ascii="Times New Roman" w:hAnsi="Times New Roman"/>
          <w:b/>
          <w:w w:val="105"/>
          <w:sz w:val="18"/>
        </w:rPr>
        <w:t>carlos eduardo Martins Marco</w:t>
      </w:r>
      <w:r>
        <w:rPr>
          <w:rFonts w:ascii="Times New Roman" w:hAnsi="Times New Roman"/>
          <w:b/>
          <w:spacing w:val="-21"/>
          <w:w w:val="105"/>
          <w:sz w:val="18"/>
        </w:rPr>
        <w:t> </w:t>
      </w:r>
      <w:r>
        <w:rPr>
          <w:rFonts w:ascii="Times New Roman" w:hAnsi="Times New Roman"/>
          <w:b/>
          <w:spacing w:val="2"/>
          <w:w w:val="105"/>
          <w:sz w:val="18"/>
        </w:rPr>
        <w:t>a.</w:t>
      </w:r>
      <w:r>
        <w:rPr>
          <w:rFonts w:ascii="Times New Roman" w:hAnsi="Times New Roman"/>
          <w:b/>
          <w:spacing w:val="-21"/>
          <w:w w:val="105"/>
          <w:sz w:val="18"/>
        </w:rPr>
        <w:t> </w:t>
      </w:r>
      <w:r>
        <w:rPr>
          <w:rFonts w:ascii="Times New Roman" w:hAnsi="Times New Roman"/>
          <w:b/>
          <w:w w:val="105"/>
          <w:sz w:val="18"/>
        </w:rPr>
        <w:t>Gandásegui,</w:t>
      </w:r>
      <w:r>
        <w:rPr>
          <w:rFonts w:ascii="Times New Roman" w:hAnsi="Times New Roman"/>
          <w:b/>
          <w:spacing w:val="-21"/>
          <w:w w:val="105"/>
          <w:sz w:val="18"/>
        </w:rPr>
        <w:t> </w:t>
      </w:r>
      <w:r>
        <w:rPr>
          <w:rFonts w:ascii="Times New Roman" w:hAnsi="Times New Roman"/>
          <w:b/>
          <w:w w:val="105"/>
          <w:sz w:val="18"/>
        </w:rPr>
        <w:t>hijo</w:t>
      </w:r>
    </w:p>
    <w:p>
      <w:pPr>
        <w:spacing w:line="278" w:lineRule="auto" w:before="1"/>
        <w:ind w:left="1961" w:right="1798" w:firstLine="0"/>
        <w:jc w:val="center"/>
        <w:rPr>
          <w:rFonts w:ascii="Times New Roman" w:hAnsi="Times New Roman"/>
          <w:b/>
          <w:sz w:val="18"/>
        </w:rPr>
      </w:pPr>
      <w:r>
        <w:rPr>
          <w:rFonts w:ascii="Times New Roman" w:hAnsi="Times New Roman"/>
          <w:b/>
          <w:w w:val="105"/>
          <w:sz w:val="18"/>
        </w:rPr>
        <w:t>Gladys cecilia Hernández Pedraza santiago Pérez Benítez</w:t>
      </w:r>
    </w:p>
    <w:p>
      <w:pPr>
        <w:spacing w:line="278" w:lineRule="auto" w:before="1"/>
        <w:ind w:left="2291" w:right="2060" w:firstLine="552"/>
        <w:jc w:val="left"/>
        <w:rPr>
          <w:rFonts w:ascii="Times New Roman" w:hAnsi="Times New Roman"/>
          <w:b/>
          <w:sz w:val="18"/>
        </w:rPr>
      </w:pPr>
      <w:r>
        <w:rPr>
          <w:rFonts w:ascii="Times New Roman" w:hAnsi="Times New Roman"/>
          <w:b/>
          <w:w w:val="110"/>
          <w:sz w:val="18"/>
        </w:rPr>
        <w:t>claudio Katz dídimo castillo fernández</w:t>
      </w:r>
    </w:p>
    <w:p>
      <w:pPr>
        <w:spacing w:line="278" w:lineRule="auto" w:before="1"/>
        <w:ind w:left="2173" w:right="2011" w:firstLine="0"/>
        <w:jc w:val="center"/>
        <w:rPr>
          <w:rFonts w:ascii="Times New Roman" w:hAnsi="Times New Roman"/>
          <w:b/>
          <w:sz w:val="18"/>
        </w:rPr>
      </w:pPr>
      <w:r>
        <w:rPr>
          <w:rFonts w:ascii="Times New Roman" w:hAnsi="Times New Roman"/>
          <w:b/>
          <w:w w:val="110"/>
          <w:sz w:val="18"/>
        </w:rPr>
        <w:t>fabio Grobart sunshine casandra castorena sánchez ary cesar Minella</w:t>
      </w:r>
    </w:p>
    <w:p>
      <w:pPr>
        <w:spacing w:line="278" w:lineRule="auto" w:before="1"/>
        <w:ind w:left="2309" w:right="2141" w:firstLine="297"/>
        <w:jc w:val="left"/>
        <w:rPr>
          <w:rFonts w:ascii="Times New Roman" w:hAnsi="Times New Roman"/>
          <w:b/>
          <w:sz w:val="18"/>
        </w:rPr>
      </w:pPr>
      <w:r>
        <w:rPr>
          <w:rFonts w:ascii="Times New Roman" w:hAnsi="Times New Roman"/>
          <w:b/>
          <w:w w:val="105"/>
          <w:sz w:val="18"/>
        </w:rPr>
        <w:t>silvina M. romano </w:t>
      </w:r>
      <w:r>
        <w:rPr>
          <w:rFonts w:ascii="Times New Roman" w:hAnsi="Times New Roman"/>
          <w:b/>
          <w:sz w:val="18"/>
        </w:rPr>
        <w:t>Jorge Hernández Martínez</w:t>
      </w:r>
    </w:p>
    <w:p>
      <w:pPr>
        <w:spacing w:line="278" w:lineRule="auto" w:before="1"/>
        <w:ind w:left="2335" w:right="2172" w:hanging="1"/>
        <w:jc w:val="center"/>
        <w:rPr>
          <w:rFonts w:ascii="Times New Roman" w:hAnsi="Times New Roman"/>
          <w:b/>
          <w:sz w:val="18"/>
        </w:rPr>
      </w:pPr>
      <w:r>
        <w:rPr>
          <w:rFonts w:ascii="Times New Roman" w:hAnsi="Times New Roman"/>
          <w:b/>
          <w:w w:val="110"/>
          <w:sz w:val="18"/>
        </w:rPr>
        <w:t>Jaime zuluaga nieto darío salinas figueredo luis suárez salazar </w:t>
      </w:r>
      <w:r>
        <w:rPr>
          <w:rFonts w:ascii="Times New Roman" w:hAnsi="Times New Roman"/>
          <w:b/>
          <w:spacing w:val="2"/>
          <w:w w:val="201"/>
          <w:sz w:val="18"/>
        </w:rPr>
        <w:t>l</w:t>
      </w:r>
      <w:r>
        <w:rPr>
          <w:rFonts w:ascii="Times New Roman" w:hAnsi="Times New Roman"/>
          <w:b/>
          <w:spacing w:val="-1"/>
          <w:w w:val="113"/>
          <w:sz w:val="18"/>
        </w:rPr>
        <w:t>e</w:t>
      </w:r>
      <w:r>
        <w:rPr>
          <w:rFonts w:ascii="Times New Roman" w:hAnsi="Times New Roman"/>
          <w:b/>
          <w:w w:val="105"/>
          <w:sz w:val="18"/>
        </w:rPr>
        <w:t>an</w:t>
      </w:r>
      <w:r>
        <w:rPr>
          <w:rFonts w:ascii="Times New Roman" w:hAnsi="Times New Roman"/>
          <w:b/>
          <w:w w:val="98"/>
          <w:sz w:val="18"/>
        </w:rPr>
        <w:t>d</w:t>
      </w:r>
      <w:r>
        <w:rPr>
          <w:rFonts w:ascii="Times New Roman" w:hAnsi="Times New Roman"/>
          <w:b/>
          <w:spacing w:val="-2"/>
          <w:w w:val="98"/>
          <w:sz w:val="18"/>
        </w:rPr>
        <w:t>r</w:t>
      </w:r>
      <w:r>
        <w:rPr>
          <w:rFonts w:ascii="Times New Roman" w:hAnsi="Times New Roman"/>
          <w:b/>
          <w:w w:val="110"/>
          <w:sz w:val="18"/>
        </w:rPr>
        <w:t>o</w:t>
      </w:r>
      <w:r>
        <w:rPr>
          <w:rFonts w:ascii="Times New Roman" w:hAnsi="Times New Roman"/>
          <w:b/>
          <w:spacing w:val="-9"/>
          <w:sz w:val="18"/>
        </w:rPr>
        <w:t> </w:t>
      </w:r>
      <w:r>
        <w:rPr>
          <w:rFonts w:ascii="Times New Roman" w:hAnsi="Times New Roman"/>
          <w:b/>
          <w:spacing w:val="-2"/>
          <w:w w:val="92"/>
          <w:sz w:val="18"/>
        </w:rPr>
        <w:t>M</w:t>
      </w:r>
      <w:r>
        <w:rPr>
          <w:rFonts w:ascii="Times New Roman" w:hAnsi="Times New Roman"/>
          <w:b/>
          <w:w w:val="101"/>
          <w:sz w:val="18"/>
        </w:rPr>
        <w:t>org</w:t>
      </w:r>
      <w:r>
        <w:rPr>
          <w:rFonts w:ascii="Times New Roman" w:hAnsi="Times New Roman"/>
          <w:b/>
          <w:w w:val="106"/>
          <w:sz w:val="18"/>
        </w:rPr>
        <w:t>enfeld </w:t>
      </w:r>
      <w:r>
        <w:rPr>
          <w:rFonts w:ascii="Times New Roman" w:hAnsi="Times New Roman"/>
          <w:b/>
          <w:w w:val="201"/>
          <w:sz w:val="18"/>
        </w:rPr>
        <w:t>l</w:t>
      </w:r>
      <w:r>
        <w:rPr>
          <w:rFonts w:ascii="Times New Roman" w:hAnsi="Times New Roman"/>
          <w:b/>
          <w:w w:val="105"/>
          <w:sz w:val="18"/>
        </w:rPr>
        <w:t>an</w:t>
      </w:r>
      <w:r>
        <w:rPr>
          <w:rFonts w:ascii="Times New Roman" w:hAnsi="Times New Roman"/>
          <w:b/>
          <w:spacing w:val="1"/>
          <w:w w:val="113"/>
          <w:sz w:val="18"/>
        </w:rPr>
        <w:t>e</w:t>
      </w:r>
      <w:r>
        <w:rPr>
          <w:rFonts w:ascii="Times New Roman" w:hAnsi="Times New Roman"/>
          <w:b/>
          <w:spacing w:val="-1"/>
          <w:w w:val="98"/>
          <w:sz w:val="18"/>
        </w:rPr>
        <w:t>y</w:t>
      </w:r>
      <w:r>
        <w:rPr>
          <w:rFonts w:ascii="Times New Roman" w:hAnsi="Times New Roman"/>
          <w:b/>
          <w:w w:val="103"/>
          <w:sz w:val="18"/>
        </w:rPr>
        <w:t>d</w:t>
      </w:r>
      <w:r>
        <w:rPr>
          <w:rFonts w:ascii="Times New Roman" w:hAnsi="Times New Roman"/>
          <w:b/>
          <w:w w:val="105"/>
          <w:sz w:val="18"/>
        </w:rPr>
        <w:t>i</w:t>
      </w:r>
      <w:r>
        <w:rPr>
          <w:rFonts w:ascii="Times New Roman" w:hAnsi="Times New Roman"/>
          <w:b/>
          <w:spacing w:val="-9"/>
          <w:sz w:val="18"/>
        </w:rPr>
        <w:t> </w:t>
      </w:r>
      <w:r>
        <w:rPr>
          <w:rFonts w:ascii="Times New Roman" w:hAnsi="Times New Roman"/>
          <w:b/>
          <w:spacing w:val="-4"/>
          <w:w w:val="92"/>
          <w:sz w:val="18"/>
        </w:rPr>
        <w:t>M</w:t>
      </w:r>
      <w:r>
        <w:rPr>
          <w:rFonts w:ascii="Times New Roman" w:hAnsi="Times New Roman"/>
          <w:b/>
          <w:w w:val="98"/>
          <w:sz w:val="18"/>
        </w:rPr>
        <w:t>ar</w:t>
      </w:r>
      <w:r>
        <w:rPr>
          <w:rFonts w:ascii="Times New Roman" w:hAnsi="Times New Roman"/>
          <w:b/>
          <w:w w:val="104"/>
          <w:sz w:val="18"/>
        </w:rPr>
        <w:t>tín</w:t>
      </w:r>
      <w:r>
        <w:rPr>
          <w:rFonts w:ascii="Times New Roman" w:hAnsi="Times New Roman"/>
          <w:b/>
          <w:w w:val="109"/>
          <w:sz w:val="18"/>
        </w:rPr>
        <w:t>ez</w:t>
      </w:r>
      <w:r>
        <w:rPr>
          <w:rFonts w:ascii="Times New Roman" w:hAnsi="Times New Roman"/>
          <w:b/>
          <w:spacing w:val="-9"/>
          <w:sz w:val="18"/>
        </w:rPr>
        <w:t> </w:t>
      </w:r>
      <w:r>
        <w:rPr>
          <w:rFonts w:ascii="Times New Roman" w:hAnsi="Times New Roman"/>
          <w:b/>
          <w:w w:val="129"/>
          <w:sz w:val="18"/>
        </w:rPr>
        <w:t>a</w:t>
      </w:r>
      <w:r>
        <w:rPr>
          <w:rFonts w:ascii="Times New Roman" w:hAnsi="Times New Roman"/>
          <w:b/>
          <w:w w:val="105"/>
          <w:sz w:val="18"/>
        </w:rPr>
        <w:t>lfon</w:t>
      </w:r>
      <w:r>
        <w:rPr>
          <w:rFonts w:ascii="Times New Roman" w:hAnsi="Times New Roman"/>
          <w:b/>
          <w:spacing w:val="2"/>
          <w:w w:val="105"/>
          <w:sz w:val="18"/>
        </w:rPr>
        <w:t>s</w:t>
      </w:r>
      <w:r>
        <w:rPr>
          <w:rFonts w:ascii="Times New Roman" w:hAnsi="Times New Roman"/>
          <w:b/>
          <w:w w:val="110"/>
          <w:sz w:val="18"/>
        </w:rPr>
        <w:t>o</w:t>
      </w:r>
    </w:p>
    <w:p>
      <w:pPr>
        <w:pStyle w:val="BodyText"/>
        <w:rPr>
          <w:rFonts w:ascii="Times New Roman"/>
          <w:b/>
          <w:sz w:val="20"/>
        </w:rPr>
      </w:pPr>
    </w:p>
    <w:p>
      <w:pPr>
        <w:pStyle w:val="BodyText"/>
        <w:spacing w:before="6"/>
        <w:rPr>
          <w:rFonts w:ascii="Times New Roman"/>
          <w:b/>
          <w:sz w:val="21"/>
        </w:rPr>
      </w:pPr>
      <w:r>
        <w:rPr/>
        <w:pict>
          <v:group style="position:absolute;margin-left:199.559494pt;margin-top:14.344168pt;width:40.3pt;height:40.3pt;mso-position-horizontal-relative:page;mso-position-vertical-relative:paragraph;z-index:1096;mso-wrap-distance-left:0;mso-wrap-distance-right:0" coordorigin="3991,287" coordsize="806,806">
            <v:shape style="position:absolute;left:3991;top:978;width:116;height:115" type="#_x0000_t75" stroked="false">
              <v:imagedata r:id="rId18" o:title=""/>
            </v:shape>
            <v:shape style="position:absolute;left:4139;top:978;width:657;height:115" type="#_x0000_t75" stroked="false">
              <v:imagedata r:id="rId19" o:title=""/>
            </v:shape>
            <v:shape style="position:absolute;left:4073;top:499;width:318;height:336" type="#_x0000_t75" stroked="false">
              <v:imagedata r:id="rId20" o:title=""/>
            </v:shape>
            <v:shape style="position:absolute;left:4167;top:287;width:336;height:318" type="#_x0000_t75" stroked="false">
              <v:imagedata r:id="rId21" o:title=""/>
            </v:shape>
            <v:shape style="position:absolute;left:4396;top:381;width:318;height:336" type="#_x0000_t75" stroked="false">
              <v:imagedata r:id="rId22" o:title=""/>
            </v:shape>
            <v:shape style="position:absolute;left:4285;top:610;width:336;height:318" type="#_x0000_t75" stroked="false">
              <v:imagedata r:id="rId23" o:title=""/>
            </v:shape>
            <v:shape style="position:absolute;left:4216;top:578;width:67;height:67" coordorigin="4216,578" coordsize="67,67" path="m4250,578l4237,581,4226,587,4219,598,4216,611,4218,624,4225,635,4235,642,4248,645,4261,643,4272,636,4280,626,4283,613,4280,600,4274,589,4263,581,4250,578xe" filled="true" fillcolor="#000000" stroked="false">
              <v:path arrowok="t"/>
              <v:fill type="solid"/>
            </v:shape>
            <v:shape style="position:absolute;left:4356;top:430;width:67;height:67" coordorigin="4356,430" coordsize="67,67" path="m4391,430l4378,432,4367,439,4359,449,4356,462,4358,475,4365,486,4376,494,4389,497,4402,494,4413,488,4420,477,4423,464,4421,451,4414,440,4404,433,4391,430xe" filled="true" fillcolor="#000000" stroked="false">
              <v:path arrowok="t"/>
              <v:fill type="solid"/>
            </v:shape>
            <v:shape style="position:absolute;left:4505;top:570;width:67;height:67" coordorigin="4505,570" coordsize="67,67" path="m4540,570l4526,572,4516,579,4508,590,4505,603,4507,616,4514,627,4524,634,4537,637,4550,635,4561,628,4569,618,4572,605,4570,592,4563,581,4552,573,4540,570xe" filled="true" fillcolor="#000000" stroked="false">
              <v:path arrowok="t"/>
              <v:fill type="solid"/>
            </v:shape>
            <v:shape style="position:absolute;left:4364;top:719;width:67;height:67" coordorigin="4364,719" coordsize="67,67" path="m4399,719l4386,721,4375,728,4367,738,4364,751,4367,764,4373,775,4384,783,4397,786,4410,784,4421,777,4428,766,4431,754,4429,740,4422,730,4412,722,4399,719xe" filled="true" fillcolor="#000000" stroked="false">
              <v:path arrowok="t"/>
              <v:fill type="solid"/>
            </v:shape>
            <w10:wrap type="topAndBottom"/>
          </v:group>
        </w:pict>
      </w:r>
    </w:p>
    <w:p>
      <w:pPr>
        <w:spacing w:after="0"/>
        <w:rPr>
          <w:rFonts w:ascii="Times New Roman"/>
          <w:sz w:val="21"/>
        </w:rPr>
        <w:sectPr>
          <w:type w:val="continuous"/>
          <w:pgSz w:w="8790" w:h="12760"/>
          <w:pgMar w:top="360" w:bottom="280" w:left="1040" w:right="1200"/>
        </w:sectPr>
      </w:pPr>
    </w:p>
    <w:p>
      <w:pPr>
        <w:pStyle w:val="BodyText"/>
        <w:spacing w:before="9"/>
        <w:rPr>
          <w:rFonts w:ascii="Times New Roman"/>
          <w:b/>
          <w:sz w:val="2"/>
        </w:rPr>
      </w:pPr>
    </w:p>
    <w:p>
      <w:pPr>
        <w:pStyle w:val="Heading7"/>
        <w:spacing w:line="240" w:lineRule="auto"/>
        <w:ind w:left="1622" w:right="136"/>
        <w:rPr>
          <w:rFonts w:ascii="Times New Roman"/>
        </w:rPr>
      </w:pPr>
      <w:r>
        <w:rPr>
          <w:rFonts w:ascii="Times New Roman"/>
        </w:rPr>
        <w:pict>
          <v:group style="width:62.65pt;height:11pt;mso-position-horizontal-relative:char;mso-position-vertical-relative:line" coordorigin="0,0" coordsize="1253,220">
            <v:shape style="position:absolute;left:0;top:0;width:1249;height:214" type="#_x0000_t75" stroked="false">
              <v:imagedata r:id="rId24" o:title=""/>
            </v:shape>
            <v:shape style="position:absolute;left:846;top:119;width:406;height:100" type="#_x0000_t75" stroked="false">
              <v:imagedata r:id="rId25" o:title=""/>
            </v:shape>
          </v:group>
        </w:pict>
      </w:r>
      <w:r>
        <w:rPr>
          <w:rFonts w:ascii="Times New Roman"/>
        </w:rPr>
      </w:r>
      <w:r>
        <w:rPr>
          <w:rFonts w:ascii="Times New Roman"/>
          <w:spacing w:val="125"/>
        </w:rPr>
        <w:t> </w:t>
      </w:r>
      <w:r>
        <w:rPr>
          <w:rFonts w:ascii="Times New Roman"/>
          <w:spacing w:val="125"/>
          <w:position w:val="1"/>
        </w:rPr>
        <w:pict>
          <v:group style="width:31.55pt;height:31.6pt;mso-position-horizontal-relative:char;mso-position-vertical-relative:line" coordorigin="0,0" coordsize="631,632">
            <v:shape style="position:absolute;left:0;top:541;width:92;height:90" coordorigin="0,541" coordsize="92,90" path="m47,541l29,544,14,553,4,567,0,586,3,606,13,620,28,628,47,631,64,629,77,622,83,616,29,616,22,602,22,562,37,557,84,557,80,552,67,544,47,541xm91,600l70,600,67,610,59,616,83,616,86,612,91,600xm84,557l65,557,70,572,91,572,88,561,84,557xe" filled="true" fillcolor="#000000" stroked="false">
              <v:path arrowok="t"/>
              <v:fill type="solid"/>
            </v:shape>
            <v:shape style="position:absolute;left:116;top:544;width:73;height:86" coordorigin="116,544" coordsize="73,86" path="m137,544l116,544,116,629,188,629,188,613,137,613,137,544xe" filled="true" fillcolor="#000000" stroked="false">
              <v:path arrowok="t"/>
              <v:fill type="solid"/>
            </v:shape>
            <v:shape style="position:absolute;left:203;top:544;width:98;height:86" coordorigin="203,544" coordsize="98,86" path="m264,544l240,544,203,629,226,629,233,611,293,611,287,597,239,597,252,563,273,563,264,544xm293,611l271,611,277,629,300,629,293,611xm273,563l252,563,265,597,287,597,273,563xe" filled="true" fillcolor="#000000" stroked="false">
              <v:path arrowok="t"/>
              <v:fill type="solid"/>
            </v:shape>
            <v:shape style="position:absolute;left:318;top:541;width:92;height:90" coordorigin="318,541" coordsize="92,90" path="m365,541l346,544,332,553,322,567,318,586,321,606,331,620,346,628,365,631,382,629,395,622,401,616,347,616,340,602,340,562,355,557,402,557,398,552,385,544,365,541xm409,600l388,600,385,610,377,616,401,616,404,612,409,600xm402,557l383,557,388,572,409,572,406,561,402,557xe" filled="true" fillcolor="#000000" stroked="false">
              <v:path arrowok="t"/>
              <v:fill type="solid"/>
            </v:shape>
            <v:shape style="position:absolute;left:428;top:541;width:85;height:90" coordorigin="428,541" coordsize="85,90" path="m449,603l428,603,430,612,436,621,450,628,472,631,482,630,496,627,508,618,508,616,452,616,449,607,449,603xm469,541l449,544,437,551,431,559,430,568,433,579,440,586,450,590,462,593,484,597,492,599,492,614,481,616,508,616,513,603,513,588,500,583,461,575,457,574,450,573,450,559,460,556,504,556,501,551,489,544,469,541xm504,556l486,556,488,565,489,569,509,569,507,560,504,556xe" filled="true" fillcolor="#000000" stroked="false">
              <v:path arrowok="t"/>
              <v:fill type="solid"/>
            </v:shape>
            <v:shape style="position:absolute;left:533;top:541;width:99;height:90" coordorigin="533,541" coordsize="99,90" path="m582,541l568,543,552,549,538,562,533,586,538,610,552,624,568,630,582,631,595,630,611,624,619,616,582,616,572,615,563,610,557,601,554,586,557,572,563,562,572,558,582,556,619,556,611,549,595,543,582,541xm619,556l582,556,591,558,600,562,607,572,610,586,607,601,600,610,591,615,582,616,619,616,625,610,631,586,625,562,619,556xe" filled="true" fillcolor="#000000" stroked="false">
              <v:path arrowok="t"/>
              <v:fill type="solid"/>
            </v:shape>
            <v:shape style="position:absolute;left:64;top:166;width:249;height:263" type="#_x0000_t75" stroked="false">
              <v:imagedata r:id="rId26" o:title=""/>
            </v:shape>
            <v:shape style="position:absolute;left:138;top:0;width:263;height:249" type="#_x0000_t75" stroked="false">
              <v:imagedata r:id="rId27" o:title=""/>
            </v:shape>
            <v:shape style="position:absolute;left:318;top:74;width:249;height:263" type="#_x0000_t75" stroked="false">
              <v:imagedata r:id="rId28" o:title=""/>
            </v:shape>
            <v:shape style="position:absolute;left:230;top:254;width:263;height:250" type="#_x0000_t75" stroked="false">
              <v:imagedata r:id="rId29" o:title=""/>
            </v:shape>
            <v:shape style="position:absolute;left:175;top:228;width:54;height:54" coordorigin="175,228" coordsize="54,54" path="m188,228l176,239,175,268,187,281,216,281,228,270,229,241,217,229,188,228xe" filled="true" fillcolor="#000000" stroked="false">
              <v:path arrowok="t"/>
              <v:fill type="solid"/>
            </v:shape>
            <v:shape style="position:absolute;left:286;top:111;width:54;height:54" coordorigin="286,111" coordsize="54,54" path="m299,111l286,123,286,152,297,164,326,165,338,153,339,124,328,112,299,111xe" filled="true" fillcolor="#000000" stroked="false">
              <v:path arrowok="t"/>
              <v:fill type="solid"/>
            </v:shape>
            <v:shape style="position:absolute;left:402;top:222;width:54;height:54" coordorigin="402,222" coordsize="54,54" path="m415,222l403,233,402,262,414,274,443,275,455,264,456,235,444,222,415,222xe" filled="true" fillcolor="#000000" stroked="false">
              <v:path arrowok="t"/>
              <v:fill type="solid"/>
            </v:shape>
            <v:shape style="position:absolute;left:292;top:338;width:54;height:54" coordorigin="292,338" coordsize="54,54" path="m305,338l293,350,292,379,303,391,332,392,345,380,345,351,334,339,305,338xe" filled="true" fillcolor="#000000" stroked="false">
              <v:path arrowok="t"/>
              <v:fill type="solid"/>
            </v:shape>
          </v:group>
        </w:pict>
      </w:r>
      <w:r>
        <w:rPr>
          <w:rFonts w:ascii="Times New Roman"/>
          <w:spacing w:val="125"/>
          <w:position w:val="1"/>
        </w:rPr>
      </w:r>
      <w:r>
        <w:rPr>
          <w:rFonts w:ascii="Times New Roman"/>
          <w:spacing w:val="115"/>
          <w:position w:val="1"/>
        </w:rPr>
        <w:t> </w:t>
      </w:r>
      <w:r>
        <w:rPr>
          <w:rFonts w:ascii="Times New Roman"/>
          <w:spacing w:val="115"/>
          <w:position w:val="1"/>
        </w:rPr>
        <w:drawing>
          <wp:inline distT="0" distB="0" distL="0" distR="0">
            <wp:extent cx="784458" cy="138112"/>
            <wp:effectExtent l="0" t="0" r="0" b="0"/>
            <wp:docPr id="1" name="image26.png" descr=""/>
            <wp:cNvGraphicFramePr>
              <a:graphicFrameLocks noChangeAspect="1"/>
            </wp:cNvGraphicFramePr>
            <a:graphic>
              <a:graphicData uri="http://schemas.openxmlformats.org/drawingml/2006/picture">
                <pic:pic>
                  <pic:nvPicPr>
                    <pic:cNvPr id="2" name="image26.png"/>
                    <pic:cNvPicPr/>
                  </pic:nvPicPr>
                  <pic:blipFill>
                    <a:blip r:embed="rId30" cstate="print"/>
                    <a:stretch>
                      <a:fillRect/>
                    </a:stretch>
                  </pic:blipFill>
                  <pic:spPr>
                    <a:xfrm>
                      <a:off x="0" y="0"/>
                      <a:ext cx="784458" cy="138112"/>
                    </a:xfrm>
                    <a:prstGeom prst="rect">
                      <a:avLst/>
                    </a:prstGeom>
                  </pic:spPr>
                </pic:pic>
              </a:graphicData>
            </a:graphic>
          </wp:inline>
        </w:drawing>
      </w:r>
      <w:r>
        <w:rPr>
          <w:rFonts w:ascii="Times New Roman"/>
          <w:spacing w:val="115"/>
          <w:position w:val="1"/>
        </w:rPr>
      </w:r>
    </w:p>
    <w:p>
      <w:pPr>
        <w:pStyle w:val="BodyText"/>
        <w:spacing w:before="5"/>
        <w:rPr>
          <w:rFonts w:ascii="Times New Roman"/>
          <w:b/>
          <w:sz w:val="7"/>
        </w:rPr>
      </w:pPr>
    </w:p>
    <w:p>
      <w:pPr>
        <w:pStyle w:val="BodyText"/>
        <w:spacing w:line="101" w:lineRule="exact"/>
        <w:ind w:left="2386"/>
        <w:rPr>
          <w:rFonts w:ascii="Times New Roman"/>
          <w:sz w:val="10"/>
        </w:rPr>
      </w:pPr>
      <w:r>
        <w:rPr>
          <w:rFonts w:ascii="Times New Roman"/>
          <w:position w:val="-1"/>
          <w:sz w:val="10"/>
        </w:rPr>
        <w:pict>
          <v:group style="width:98.95pt;height:5.1pt;mso-position-horizontal-relative:char;mso-position-vertical-relative:line" coordorigin="0,0" coordsize="1979,102">
            <v:shape style="position:absolute;left:0;top:8;width:48;height:85" coordorigin="0,8" coordsize="48,85" path="m17,8l0,8,0,93,48,93,48,79,17,79,17,8xe" filled="true" fillcolor="#000000" stroked="false">
              <v:path arrowok="t"/>
              <v:fill type="solid"/>
            </v:shape>
            <v:shape style="position:absolute;left:53;top:28;width:50;height:68" coordorigin="53,28" coordsize="50,68" path="m100,39l82,39,85,42,85,51,83,53,57,60,53,64,53,85,57,95,76,95,80,93,84,87,100,87,100,84,70,84,68,80,68,69,71,66,78,64,80,64,82,63,85,61,100,61,100,39xm100,87l85,87,85,90,85,91,87,93,102,93,101,90,100,87,100,87xm100,61l85,61,85,81,79,84,100,84,100,61xm97,28l65,28,55,33,55,49,69,49,69,42,72,39,100,39,100,36,97,28xe" filled="true" fillcolor="#000000" stroked="false">
              <v:path arrowok="t"/>
              <v:fill type="solid"/>
            </v:shape>
            <v:shape style="position:absolute;left:107;top:11;width:35;height:84" coordorigin="107,11" coordsize="35,84" path="m132,40l115,40,115,90,118,94,135,94,138,94,141,93,141,82,133,82,132,80,132,40xm141,82l133,82,141,82,141,82xm141,29l107,29,107,40,141,40,141,29xm132,11l115,11,115,29,132,29,132,11xe" filled="true" fillcolor="#000000" stroked="false">
              <v:path arrowok="t"/>
              <v:fill type="solid"/>
            </v:shape>
            <v:shape style="position:absolute;left:148;top:7;width:17;height:86" coordorigin="148,7" coordsize="17,86" path="m164,29l148,29,148,93,164,93,164,29xm164,7l148,7,148,21,164,21,164,7xe" filled="true" fillcolor="#000000" stroked="false">
              <v:path arrowok="t"/>
              <v:fill type="solid"/>
            </v:shape>
            <v:shape style="position:absolute;left:176;top:27;width:49;height:66" coordorigin="176,27" coordsize="49,66" path="m191,29l176,29,176,93,192,93,192,44,195,40,224,40,224,37,191,37,191,29xm224,40l206,40,208,43,208,93,224,93,224,40xm218,27l201,27,195,30,192,37,224,37,224,33,218,27xe" filled="true" fillcolor="#000000" stroked="false">
              <v:path arrowok="t"/>
              <v:fill type="solid"/>
            </v:shape>
            <v:shape style="position:absolute;left:258;top:8;width:67;height:85" coordorigin="258,8" coordsize="67,85" path="m302,8l281,8,258,93,276,93,280,75,320,75,316,61,283,61,291,23,306,23,302,8xm320,75l303,75,307,93,325,93,320,75xm306,23l292,23,300,61,316,61,306,23xe" filled="true" fillcolor="#000000" stroked="false">
              <v:path arrowok="t"/>
              <v:fill type="solid"/>
            </v:shape>
            <v:shape style="position:absolute;left:330;top:27;width:80;height:66" coordorigin="330,27" coordsize="80,66" path="m346,29l330,29,330,93,346,93,346,44,350,40,409,40,409,38,377,38,376,36,346,36,346,29xm381,40l360,40,361,43,361,93,378,93,378,44,381,40xm409,40l391,40,393,43,393,93,409,93,409,40xm404,27l386,27,380,31,377,38,409,38,409,34,404,27xm370,27l355,27,350,30,346,36,376,36,375,31,370,27xe" filled="true" fillcolor="#000000" stroked="false">
              <v:path arrowok="t"/>
              <v:fill type="solid"/>
            </v:shape>
            <v:shape style="position:absolute;left:418;top:27;width:49;height:68" coordorigin="418,27" coordsize="49,68" path="m443,27l430,30,422,38,419,48,418,60,418,64,418,73,421,84,429,92,443,95,458,95,465,87,465,84,436,84,434,76,434,64,467,64,467,60,466,54,434,54,434,45,436,39,463,39,462,36,455,30,443,27xm466,72l451,72,450,80,448,84,465,84,466,72xm463,39l450,39,451,44,451,54,466,54,466,47,463,39xe" filled="true" fillcolor="#000000" stroked="false">
              <v:path arrowok="t"/>
              <v:fill type="solid"/>
            </v:shape>
            <v:shape style="position:absolute;left:475;top:27;width:34;height:66" coordorigin="475,27" coordsize="34,66" path="m491,29l475,29,475,93,492,93,492,46,498,43,509,43,509,38,491,38,491,29xm509,43l506,43,509,43,509,43xm499,27l495,32,491,38,509,38,509,28,499,27xe" filled="true" fillcolor="#000000" stroked="false">
              <v:path arrowok="t"/>
              <v:fill type="solid"/>
            </v:shape>
            <v:shape style="position:absolute;left:516;top:7;width:17;height:86" coordorigin="516,7" coordsize="17,86" path="m532,29l516,29,516,93,532,93,532,29xm532,7l516,7,516,21,532,21,532,7xe" filled="true" fillcolor="#000000" stroked="false">
              <v:path arrowok="t"/>
              <v:fill type="solid"/>
            </v:shape>
            <v:shape style="position:absolute;left:541;top:28;width:49;height:68" coordorigin="541,28" coordsize="49,68" path="m582,28l567,28,557,29,549,34,543,45,541,61,543,77,547,88,555,93,566,95,583,95,590,85,590,84,559,84,558,77,558,46,559,39,590,39,590,37,582,28xm590,69l574,69,574,79,572,84,590,84,590,69xm590,39l573,39,574,46,574,52,590,52,590,39xe" filled="true" fillcolor="#000000" stroked="false">
              <v:path arrowok="t"/>
              <v:fill type="solid"/>
            </v:shape>
            <v:shape style="position:absolute;left:597;top:28;width:50;height:68" coordorigin="597,28" coordsize="50,68" path="m644,39l626,39,629,42,629,51,627,53,601,60,597,64,597,85,601,95,620,95,625,93,628,87,644,87,644,84,614,84,612,80,612,69,615,66,622,64,624,64,626,63,629,61,644,61,644,39xm644,87l629,87,629,90,630,91,631,93,646,93,645,90,644,87,644,87xm644,61l629,61,629,81,623,84,644,84,644,61xm641,28l609,28,599,33,599,49,613,49,613,42,616,39,644,39,644,36,641,28xe" filled="true" fillcolor="#000000" stroked="false">
              <v:path arrowok="t"/>
              <v:fill type="solid"/>
            </v:shape>
            <v:shape style="position:absolute;left:656;top:27;width:49;height:66" coordorigin="656,27" coordsize="49,66" path="m672,29l656,29,656,93,672,93,672,44,676,40,705,40,705,37,672,37,672,29xm705,40l686,40,688,43,688,93,705,93,705,40xm699,27l681,27,675,30,672,37,705,37,705,33,699,27xe" filled="true" fillcolor="#000000" stroked="false">
              <v:path arrowok="t"/>
              <v:fill type="solid"/>
            </v:shape>
            <v:shape style="position:absolute;left:743;top:0;width:342;height:101" type="#_x0000_t75" stroked="false">
              <v:imagedata r:id="rId31" o:title=""/>
            </v:shape>
            <v:shape style="position:absolute;left:1123;top:28;width:51;height:68" coordorigin="1123,28" coordsize="51,68" path="m1148,28l1136,30,1129,36,1124,47,1123,61,1124,76,1128,87,1136,93,1148,95,1160,93,1168,86,1169,84,1140,84,1140,76,1140,45,1140,39,1169,39,1168,36,1160,29,1148,28xm1169,39l1155,39,1157,45,1157,77,1155,84,1169,84,1172,76,1173,61,1172,46,1169,39xe" filled="true" fillcolor="#000000" stroked="false">
              <v:path arrowok="t"/>
              <v:fill type="solid"/>
            </v:shape>
            <v:shape style="position:absolute;left:1178;top:7;width:35;height:87" coordorigin="1178,7" coordsize="35,87" path="m1202,40l1186,40,1186,93,1202,93,1202,40xm1212,29l1178,29,1178,40,1212,40,1212,29xm1192,7l1186,10,1186,29,1202,29,1202,20,1204,18,1212,18,1212,7,1209,7,1192,7xm1212,18l1204,18,1212,19,1212,18xe" filled="true" fillcolor="#000000" stroked="false">
              <v:path arrowok="t"/>
              <v:fill type="solid"/>
            </v:shape>
            <v:shape style="position:absolute;left:1243;top:0;width:280;height:101" type="#_x0000_t75" stroked="false">
              <v:imagedata r:id="rId32" o:title=""/>
            </v:shape>
            <v:shape style="position:absolute;left:1560;top:7;width:57;height:89" coordorigin="1560,7" coordsize="57,89" path="m1577,67l1560,67,1560,86,1568,95,1606,95,1617,87,1617,82,1580,82,1577,77,1577,67xm1603,7l1572,7,1561,15,1561,46,1569,52,1595,61,1599,64,1599,79,1594,82,1617,82,1617,58,1613,52,1580,38,1579,34,1579,24,1581,19,1614,19,1614,13,1603,7xm1614,19l1595,19,1598,24,1598,32,1614,32,1614,19xe" filled="true" fillcolor="#000000" stroked="false">
              <v:path arrowok="t"/>
              <v:fill type="solid"/>
            </v:shape>
            <v:shape style="position:absolute;left:1623;top:28;width:49;height:68" coordorigin="1623,28" coordsize="49,68" path="m1664,28l1649,28,1638,29,1630,34,1624,45,1623,61,1624,77,1629,88,1636,93,1647,95,1664,95,1671,85,1671,84,1640,84,1639,77,1639,46,1640,39,1671,39,1671,37,1664,28xm1671,69l1656,69,1656,79,1653,84,1671,84,1671,69xm1671,39l1655,39,1656,46,1656,52,1671,52,1671,39xe" filled="true" fillcolor="#000000" stroked="false">
              <v:path arrowok="t"/>
              <v:fill type="solid"/>
            </v:shape>
            <v:shape style="position:absolute;left:1681;top:7;width:17;height:86" coordorigin="1681,7" coordsize="17,86" path="m1697,29l1681,29,1681,93,1697,93,1697,29xm1697,7l1681,7,1681,21,1697,21,1697,7xe" filled="true" fillcolor="#000000" stroked="false">
              <v:path arrowok="t"/>
              <v:fill type="solid"/>
            </v:shape>
            <v:shape style="position:absolute;left:1706;top:27;width:49;height:68" coordorigin="1706,27" coordsize="49,68" path="m1732,27l1718,30,1711,38,1707,48,1706,60,1706,64,1707,73,1710,84,1717,92,1731,95,1746,95,1754,87,1754,84,1725,84,1723,76,1723,64,1755,64,1755,60,1755,54,1723,54,1723,45,1725,39,1751,39,1751,36,1743,30,1732,27xm1754,72l1739,72,1739,80,1736,84,1754,84,1754,72xm1751,39l1738,39,1739,44,1739,54,1755,54,1754,47,1751,39xe" filled="true" fillcolor="#000000" stroked="false">
              <v:path arrowok="t"/>
              <v:fill type="solid"/>
            </v:shape>
            <v:shape style="position:absolute;left:1764;top:27;width:49;height:66" coordorigin="1764,27" coordsize="49,66" path="m1779,29l1764,29,1764,93,1780,93,1780,44,1783,40,1812,40,1812,37,1779,37,1779,29xm1812,40l1794,40,1796,43,1796,93,1812,93,1812,40xm1806,27l1789,27,1783,30,1780,37,1812,37,1812,33,1806,27xe" filled="true" fillcolor="#000000" stroked="false">
              <v:path arrowok="t"/>
              <v:fill type="solid"/>
            </v:shape>
            <v:shape style="position:absolute;left:1821;top:28;width:49;height:68" coordorigin="1821,28" coordsize="49,68" path="m1862,28l1847,28,1836,29,1828,34,1823,45,1821,61,1822,77,1827,88,1835,93,1845,95,1863,95,1870,85,1870,84,1839,84,1837,77,1837,46,1839,39,1870,39,1870,37,1862,28xm1870,69l1854,69,1854,79,1852,84,1870,84,1870,69xm1870,39l1853,39,1854,46,1854,52,1870,52,1870,39xe" filled="true" fillcolor="#000000" stroked="false">
              <v:path arrowok="t"/>
              <v:fill type="solid"/>
            </v:shape>
            <v:shape style="position:absolute;left:1876;top:27;width:49;height:68" coordorigin="1876,27" coordsize="49,68" path="m1902,27l1888,30,1880,38,1877,48,1876,60,1876,64,1877,73,1879,84,1887,92,1901,95,1916,95,1923,87,1924,84,1894,84,1892,76,1892,64,1925,64,1925,60,1925,54,1892,54,1892,45,1894,39,1921,39,1920,36,1913,30,1902,27xm1924,72l1909,72,1908,80,1906,84,1924,84,1924,72xm1921,39l1908,39,1909,44,1909,54,1925,54,1924,47,1921,39xe" filled="true" fillcolor="#000000" stroked="false">
              <v:path arrowok="t"/>
              <v:fill type="solid"/>
            </v:shape>
            <v:shape style="position:absolute;left:1931;top:28;width:48;height:68" coordorigin="1931,28" coordsize="48,68" path="m1946,72l1931,72,1931,87,1936,95,1968,95,1978,88,1978,84,1949,84,1946,80,1946,72xm1970,28l1938,28,1931,36,1931,56,1936,61,1957,69,1960,70,1962,72,1962,81,1959,84,1978,84,1978,65,1974,60,1954,53,1949,51,1947,49,1947,41,1951,39,1977,39,1977,34,1970,28xm1977,39l1960,39,1962,42,1962,48,1977,48,1977,39xe" filled="true" fillcolor="#000000" stroked="false">
              <v:path arrowok="t"/>
              <v:fill type="solid"/>
            </v:shape>
          </v:group>
        </w:pict>
      </w:r>
      <w:r>
        <w:rPr>
          <w:rFonts w:ascii="Times New Roman"/>
          <w:position w:val="-1"/>
          <w:sz w:val="10"/>
        </w:rPr>
      </w:r>
    </w:p>
    <w:p>
      <w:pPr>
        <w:pStyle w:val="BodyText"/>
        <w:spacing w:before="2"/>
        <w:rPr>
          <w:rFonts w:ascii="Times New Roman"/>
          <w:b/>
          <w:sz w:val="16"/>
        </w:rPr>
      </w:pPr>
    </w:p>
    <w:p>
      <w:pPr>
        <w:spacing w:line="398" w:lineRule="auto" w:before="82"/>
        <w:ind w:left="118" w:right="3405" w:firstLine="0"/>
        <w:jc w:val="left"/>
        <w:rPr>
          <w:rFonts w:ascii="Arial" w:hAnsi="Arial"/>
          <w:b/>
          <w:sz w:val="16"/>
        </w:rPr>
      </w:pPr>
      <w:r>
        <w:rPr>
          <w:rFonts w:ascii="Arial" w:hAnsi="Arial"/>
          <w:b/>
          <w:w w:val="80"/>
          <w:sz w:val="16"/>
        </w:rPr>
        <w:t>Secretario Ejecutivo de CLACSO </w:t>
      </w:r>
      <w:r>
        <w:rPr>
          <w:rFonts w:ascii="Arial" w:hAnsi="Arial"/>
          <w:w w:val="80"/>
          <w:sz w:val="16"/>
        </w:rPr>
        <w:t>Pablo Gentili </w:t>
      </w:r>
      <w:r>
        <w:rPr>
          <w:rFonts w:ascii="Arial" w:hAnsi="Arial"/>
          <w:b/>
          <w:w w:val="85"/>
          <w:sz w:val="16"/>
        </w:rPr>
        <w:t>Directora Académica </w:t>
      </w:r>
      <w:r>
        <w:rPr>
          <w:rFonts w:ascii="Arial" w:hAnsi="Arial"/>
          <w:w w:val="85"/>
          <w:sz w:val="16"/>
        </w:rPr>
        <w:t>Fernanda Saforcada </w:t>
      </w:r>
      <w:r>
        <w:rPr>
          <w:rFonts w:ascii="Arial" w:hAnsi="Arial"/>
          <w:b/>
          <w:w w:val="85"/>
          <w:sz w:val="16"/>
        </w:rPr>
        <w:t>Programa Grupos de Trabajo</w:t>
      </w:r>
    </w:p>
    <w:p>
      <w:pPr>
        <w:spacing w:line="131" w:lineRule="exact" w:before="0"/>
        <w:ind w:left="118" w:right="136" w:firstLine="0"/>
        <w:jc w:val="left"/>
        <w:rPr>
          <w:rFonts w:ascii="Arial"/>
          <w:sz w:val="16"/>
        </w:rPr>
      </w:pPr>
      <w:r>
        <w:rPr>
          <w:rFonts w:ascii="Arial"/>
          <w:b/>
          <w:w w:val="80"/>
          <w:sz w:val="16"/>
        </w:rPr>
        <w:t>Coordinador </w:t>
      </w:r>
      <w:r>
        <w:rPr>
          <w:rFonts w:ascii="Arial"/>
          <w:w w:val="80"/>
          <w:sz w:val="16"/>
        </w:rPr>
        <w:t>Pablo Vommaro</w:t>
      </w:r>
    </w:p>
    <w:p>
      <w:pPr>
        <w:spacing w:before="8"/>
        <w:ind w:left="118" w:right="136" w:firstLine="0"/>
        <w:jc w:val="left"/>
        <w:rPr>
          <w:rFonts w:ascii="Arial" w:hAnsi="Arial"/>
          <w:sz w:val="16"/>
        </w:rPr>
      </w:pPr>
      <w:r>
        <w:rPr>
          <w:rFonts w:ascii="Arial" w:hAnsi="Arial"/>
          <w:b/>
          <w:w w:val="80"/>
          <w:sz w:val="16"/>
        </w:rPr>
        <w:t>Asistentes </w:t>
      </w:r>
      <w:r>
        <w:rPr>
          <w:rFonts w:ascii="Arial" w:hAnsi="Arial"/>
          <w:w w:val="80"/>
          <w:sz w:val="16"/>
        </w:rPr>
        <w:t>Rodolfo Gómez, Valentina Vélez y Giovanny Daza</w:t>
      </w:r>
    </w:p>
    <w:p>
      <w:pPr>
        <w:spacing w:line="250" w:lineRule="atLeast" w:before="55"/>
        <w:ind w:left="118" w:right="3405" w:firstLine="0"/>
        <w:jc w:val="left"/>
        <w:rPr>
          <w:rFonts w:ascii="Arial" w:hAnsi="Arial"/>
          <w:sz w:val="16"/>
        </w:rPr>
      </w:pPr>
      <w:r>
        <w:rPr>
          <w:rFonts w:ascii="Arial" w:hAnsi="Arial"/>
          <w:b/>
          <w:w w:val="85"/>
          <w:sz w:val="16"/>
        </w:rPr>
        <w:t>Área</w:t>
      </w:r>
      <w:r>
        <w:rPr>
          <w:rFonts w:ascii="Arial" w:hAnsi="Arial"/>
          <w:b/>
          <w:spacing w:val="-17"/>
          <w:w w:val="85"/>
          <w:sz w:val="16"/>
        </w:rPr>
        <w:t> </w:t>
      </w:r>
      <w:r>
        <w:rPr>
          <w:rFonts w:ascii="Arial" w:hAnsi="Arial"/>
          <w:b/>
          <w:w w:val="85"/>
          <w:sz w:val="16"/>
        </w:rPr>
        <w:t>de</w:t>
      </w:r>
      <w:r>
        <w:rPr>
          <w:rFonts w:ascii="Arial" w:hAnsi="Arial"/>
          <w:b/>
          <w:spacing w:val="-17"/>
          <w:w w:val="85"/>
          <w:sz w:val="16"/>
        </w:rPr>
        <w:t> </w:t>
      </w:r>
      <w:r>
        <w:rPr>
          <w:rFonts w:ascii="Arial" w:hAnsi="Arial"/>
          <w:b/>
          <w:w w:val="85"/>
          <w:sz w:val="16"/>
        </w:rPr>
        <w:t>Acceso</w:t>
      </w:r>
      <w:r>
        <w:rPr>
          <w:rFonts w:ascii="Arial" w:hAnsi="Arial"/>
          <w:b/>
          <w:spacing w:val="-17"/>
          <w:w w:val="85"/>
          <w:sz w:val="16"/>
        </w:rPr>
        <w:t> </w:t>
      </w:r>
      <w:r>
        <w:rPr>
          <w:rFonts w:ascii="Arial" w:hAnsi="Arial"/>
          <w:b/>
          <w:w w:val="85"/>
          <w:sz w:val="16"/>
        </w:rPr>
        <w:t>Abierto</w:t>
      </w:r>
      <w:r>
        <w:rPr>
          <w:rFonts w:ascii="Arial" w:hAnsi="Arial"/>
          <w:b/>
          <w:spacing w:val="-17"/>
          <w:w w:val="85"/>
          <w:sz w:val="16"/>
        </w:rPr>
        <w:t> </w:t>
      </w:r>
      <w:r>
        <w:rPr>
          <w:rFonts w:ascii="Arial" w:hAnsi="Arial"/>
          <w:b/>
          <w:w w:val="85"/>
          <w:sz w:val="16"/>
        </w:rPr>
        <w:t>al</w:t>
      </w:r>
      <w:r>
        <w:rPr>
          <w:rFonts w:ascii="Arial" w:hAnsi="Arial"/>
          <w:b/>
          <w:spacing w:val="-17"/>
          <w:w w:val="85"/>
          <w:sz w:val="16"/>
        </w:rPr>
        <w:t> </w:t>
      </w:r>
      <w:r>
        <w:rPr>
          <w:rFonts w:ascii="Arial" w:hAnsi="Arial"/>
          <w:b/>
          <w:w w:val="85"/>
          <w:sz w:val="16"/>
        </w:rPr>
        <w:t>Conocimiento</w:t>
      </w:r>
      <w:r>
        <w:rPr>
          <w:rFonts w:ascii="Arial" w:hAnsi="Arial"/>
          <w:b/>
          <w:spacing w:val="-17"/>
          <w:w w:val="85"/>
          <w:sz w:val="16"/>
        </w:rPr>
        <w:t> </w:t>
      </w:r>
      <w:r>
        <w:rPr>
          <w:rFonts w:ascii="Arial" w:hAnsi="Arial"/>
          <w:b/>
          <w:w w:val="85"/>
          <w:sz w:val="16"/>
        </w:rPr>
        <w:t>y</w:t>
      </w:r>
      <w:r>
        <w:rPr>
          <w:rFonts w:ascii="Arial" w:hAnsi="Arial"/>
          <w:b/>
          <w:spacing w:val="-17"/>
          <w:w w:val="85"/>
          <w:sz w:val="16"/>
        </w:rPr>
        <w:t> </w:t>
      </w:r>
      <w:r>
        <w:rPr>
          <w:rFonts w:ascii="Arial" w:hAnsi="Arial"/>
          <w:b/>
          <w:w w:val="85"/>
          <w:sz w:val="16"/>
        </w:rPr>
        <w:t>Difusión </w:t>
      </w:r>
      <w:r>
        <w:rPr>
          <w:rFonts w:ascii="Arial" w:hAnsi="Arial"/>
          <w:b/>
          <w:w w:val="80"/>
          <w:sz w:val="16"/>
        </w:rPr>
        <w:t>Coordinador Editorial </w:t>
      </w:r>
      <w:r>
        <w:rPr>
          <w:rFonts w:ascii="Arial" w:hAnsi="Arial"/>
          <w:w w:val="80"/>
          <w:sz w:val="16"/>
        </w:rPr>
        <w:t>Lucas</w:t>
      </w:r>
      <w:r>
        <w:rPr>
          <w:rFonts w:ascii="Arial" w:hAnsi="Arial"/>
          <w:spacing w:val="14"/>
          <w:w w:val="80"/>
          <w:sz w:val="16"/>
        </w:rPr>
        <w:t> </w:t>
      </w:r>
      <w:r>
        <w:rPr>
          <w:rFonts w:ascii="Arial" w:hAnsi="Arial"/>
          <w:w w:val="80"/>
          <w:sz w:val="16"/>
        </w:rPr>
        <w:t>Sablich</w:t>
      </w:r>
    </w:p>
    <w:p>
      <w:pPr>
        <w:spacing w:before="8"/>
        <w:ind w:left="118" w:right="136" w:firstLine="0"/>
        <w:jc w:val="left"/>
        <w:rPr>
          <w:rFonts w:ascii="Arial"/>
          <w:sz w:val="16"/>
        </w:rPr>
      </w:pPr>
      <w:r>
        <w:rPr>
          <w:rFonts w:ascii="Arial"/>
          <w:b/>
          <w:w w:val="80"/>
          <w:sz w:val="16"/>
        </w:rPr>
        <w:t>Coordinador de Arte </w:t>
      </w:r>
      <w:r>
        <w:rPr>
          <w:rFonts w:ascii="Arial"/>
          <w:w w:val="80"/>
          <w:sz w:val="16"/>
        </w:rPr>
        <w:t>Marcelo Giardino</w:t>
      </w:r>
    </w:p>
    <w:p>
      <w:pPr>
        <w:pStyle w:val="BodyText"/>
        <w:rPr>
          <w:rFonts w:ascii="Arial"/>
          <w:sz w:val="16"/>
        </w:rPr>
      </w:pPr>
    </w:p>
    <w:p>
      <w:pPr>
        <w:spacing w:before="129"/>
        <w:ind w:left="118" w:right="136" w:firstLine="0"/>
        <w:jc w:val="left"/>
        <w:rPr>
          <w:rFonts w:ascii="Arial" w:hAnsi="Arial"/>
          <w:sz w:val="16"/>
        </w:rPr>
      </w:pPr>
      <w:r>
        <w:rPr>
          <w:rFonts w:ascii="Arial" w:hAnsi="Arial"/>
          <w:b/>
          <w:w w:val="80"/>
          <w:sz w:val="16"/>
        </w:rPr>
        <w:t>Producción </w:t>
      </w:r>
      <w:r>
        <w:rPr>
          <w:rFonts w:ascii="Arial" w:hAnsi="Arial"/>
          <w:w w:val="80"/>
          <w:sz w:val="16"/>
        </w:rPr>
        <w:t>Fluxus Estudio</w:t>
      </w:r>
    </w:p>
    <w:p>
      <w:pPr>
        <w:spacing w:before="8"/>
        <w:ind w:left="118" w:right="136" w:firstLine="0"/>
        <w:jc w:val="left"/>
        <w:rPr>
          <w:rFonts w:ascii="Arial"/>
          <w:sz w:val="16"/>
        </w:rPr>
      </w:pPr>
      <w:r>
        <w:rPr>
          <w:rFonts w:ascii="Arial"/>
          <w:b/>
          <w:w w:val="85"/>
          <w:sz w:val="16"/>
        </w:rPr>
        <w:t>Arte de tapa </w:t>
      </w:r>
      <w:r>
        <w:rPr>
          <w:rFonts w:ascii="Arial"/>
          <w:w w:val="85"/>
          <w:sz w:val="16"/>
        </w:rPr>
        <w:t>Ignacio Solveyra</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17"/>
        </w:rPr>
      </w:pPr>
    </w:p>
    <w:p>
      <w:pPr>
        <w:spacing w:before="78"/>
        <w:ind w:left="118" w:right="136" w:firstLine="0"/>
        <w:jc w:val="left"/>
        <w:rPr>
          <w:rFonts w:ascii="Arial" w:hAnsi="Arial"/>
          <w:b/>
          <w:sz w:val="16"/>
        </w:rPr>
      </w:pPr>
      <w:r>
        <w:rPr>
          <w:rFonts w:ascii="Arial" w:hAnsi="Arial"/>
          <w:b/>
          <w:w w:val="90"/>
          <w:sz w:val="16"/>
        </w:rPr>
        <w:t>Primera edición en español</w:t>
      </w:r>
    </w:p>
    <w:p>
      <w:pPr>
        <w:spacing w:before="8"/>
        <w:ind w:left="118" w:right="136" w:firstLine="0"/>
        <w:jc w:val="left"/>
        <w:rPr>
          <w:rFonts w:ascii="Arial" w:hAnsi="Arial"/>
          <w:sz w:val="16"/>
        </w:rPr>
      </w:pPr>
      <w:r>
        <w:rPr>
          <w:rFonts w:ascii="Arial" w:hAnsi="Arial"/>
          <w:i/>
          <w:w w:val="80"/>
          <w:sz w:val="16"/>
        </w:rPr>
        <w:t>Estados Unidos y la nueva correlación de fuerzas internacional </w:t>
      </w:r>
      <w:r>
        <w:rPr>
          <w:rFonts w:ascii="Arial" w:hAnsi="Arial"/>
          <w:w w:val="80"/>
          <w:sz w:val="16"/>
        </w:rPr>
        <w:t>(Buenos Aires: CLACSO, marzo de 2016)</w:t>
      </w:r>
    </w:p>
    <w:p>
      <w:pPr>
        <w:pStyle w:val="BodyText"/>
        <w:rPr>
          <w:rFonts w:ascii="Arial"/>
          <w:sz w:val="16"/>
        </w:rPr>
      </w:pPr>
    </w:p>
    <w:p>
      <w:pPr>
        <w:pStyle w:val="BodyText"/>
        <w:spacing w:before="1"/>
        <w:rPr>
          <w:rFonts w:ascii="Arial"/>
          <w:sz w:val="18"/>
        </w:rPr>
      </w:pPr>
    </w:p>
    <w:p>
      <w:pPr>
        <w:spacing w:before="0"/>
        <w:ind w:left="118" w:right="136" w:firstLine="0"/>
        <w:jc w:val="left"/>
        <w:rPr>
          <w:rFonts w:ascii="Arial"/>
          <w:sz w:val="16"/>
        </w:rPr>
      </w:pPr>
      <w:r>
        <w:rPr>
          <w:rFonts w:ascii="Arial"/>
          <w:w w:val="80"/>
          <w:sz w:val="16"/>
        </w:rPr>
        <w:t>ISBN 978-987-722-182-4</w:t>
      </w:r>
    </w:p>
    <w:p>
      <w:pPr>
        <w:spacing w:line="249" w:lineRule="auto" w:before="8"/>
        <w:ind w:left="118" w:right="3620" w:firstLine="0"/>
        <w:jc w:val="left"/>
        <w:rPr>
          <w:rFonts w:ascii="Arial" w:hAnsi="Arial"/>
          <w:sz w:val="16"/>
        </w:rPr>
      </w:pPr>
      <w:r>
        <w:rPr>
          <w:rFonts w:ascii="Arial" w:hAnsi="Arial"/>
          <w:w w:val="85"/>
          <w:sz w:val="16"/>
        </w:rPr>
        <w:t>© Consejo Latinoamericano de Ciencias Sociales </w:t>
      </w:r>
      <w:r>
        <w:rPr>
          <w:rFonts w:ascii="Arial" w:hAnsi="Arial"/>
          <w:w w:val="80"/>
          <w:sz w:val="16"/>
        </w:rPr>
        <w:t>Queda</w:t>
      </w:r>
      <w:r>
        <w:rPr>
          <w:rFonts w:ascii="Arial" w:hAnsi="Arial"/>
          <w:spacing w:val="-13"/>
          <w:w w:val="80"/>
          <w:sz w:val="16"/>
        </w:rPr>
        <w:t> </w:t>
      </w:r>
      <w:r>
        <w:rPr>
          <w:rFonts w:ascii="Arial" w:hAnsi="Arial"/>
          <w:w w:val="80"/>
          <w:sz w:val="16"/>
        </w:rPr>
        <w:t>hecho</w:t>
      </w:r>
      <w:r>
        <w:rPr>
          <w:rFonts w:ascii="Arial" w:hAnsi="Arial"/>
          <w:spacing w:val="-13"/>
          <w:w w:val="80"/>
          <w:sz w:val="16"/>
        </w:rPr>
        <w:t> </w:t>
      </w:r>
      <w:r>
        <w:rPr>
          <w:rFonts w:ascii="Arial" w:hAnsi="Arial"/>
          <w:w w:val="80"/>
          <w:sz w:val="16"/>
        </w:rPr>
        <w:t>el</w:t>
      </w:r>
      <w:r>
        <w:rPr>
          <w:rFonts w:ascii="Arial" w:hAnsi="Arial"/>
          <w:spacing w:val="-13"/>
          <w:w w:val="80"/>
          <w:sz w:val="16"/>
        </w:rPr>
        <w:t> </w:t>
      </w:r>
      <w:r>
        <w:rPr>
          <w:rFonts w:ascii="Arial" w:hAnsi="Arial"/>
          <w:w w:val="80"/>
          <w:sz w:val="16"/>
        </w:rPr>
        <w:t>depósito</w:t>
      </w:r>
      <w:r>
        <w:rPr>
          <w:rFonts w:ascii="Arial" w:hAnsi="Arial"/>
          <w:spacing w:val="-13"/>
          <w:w w:val="80"/>
          <w:sz w:val="16"/>
        </w:rPr>
        <w:t> </w:t>
      </w:r>
      <w:r>
        <w:rPr>
          <w:rFonts w:ascii="Arial" w:hAnsi="Arial"/>
          <w:w w:val="80"/>
          <w:sz w:val="16"/>
        </w:rPr>
        <w:t>que</w:t>
      </w:r>
      <w:r>
        <w:rPr>
          <w:rFonts w:ascii="Arial" w:hAnsi="Arial"/>
          <w:spacing w:val="-13"/>
          <w:w w:val="80"/>
          <w:sz w:val="16"/>
        </w:rPr>
        <w:t> </w:t>
      </w:r>
      <w:r>
        <w:rPr>
          <w:rFonts w:ascii="Arial" w:hAnsi="Arial"/>
          <w:w w:val="80"/>
          <w:sz w:val="16"/>
        </w:rPr>
        <w:t>establece</w:t>
      </w:r>
      <w:r>
        <w:rPr>
          <w:rFonts w:ascii="Arial" w:hAnsi="Arial"/>
          <w:spacing w:val="-13"/>
          <w:w w:val="80"/>
          <w:sz w:val="16"/>
        </w:rPr>
        <w:t> </w:t>
      </w:r>
      <w:r>
        <w:rPr>
          <w:rFonts w:ascii="Arial" w:hAnsi="Arial"/>
          <w:w w:val="80"/>
          <w:sz w:val="16"/>
        </w:rPr>
        <w:t>la</w:t>
      </w:r>
      <w:r>
        <w:rPr>
          <w:rFonts w:ascii="Arial" w:hAnsi="Arial"/>
          <w:spacing w:val="-13"/>
          <w:w w:val="80"/>
          <w:sz w:val="16"/>
        </w:rPr>
        <w:t> </w:t>
      </w:r>
      <w:r>
        <w:rPr>
          <w:rFonts w:ascii="Arial" w:hAnsi="Arial"/>
          <w:w w:val="80"/>
          <w:sz w:val="16"/>
        </w:rPr>
        <w:t>Ley</w:t>
      </w:r>
      <w:r>
        <w:rPr>
          <w:rFonts w:ascii="Arial" w:hAnsi="Arial"/>
          <w:spacing w:val="-13"/>
          <w:w w:val="80"/>
          <w:sz w:val="16"/>
        </w:rPr>
        <w:t> </w:t>
      </w:r>
      <w:r>
        <w:rPr>
          <w:rFonts w:ascii="Arial" w:hAnsi="Arial"/>
          <w:w w:val="80"/>
          <w:sz w:val="16"/>
        </w:rPr>
        <w:t>11.723.</w:t>
      </w:r>
    </w:p>
    <w:p>
      <w:pPr>
        <w:pStyle w:val="BodyText"/>
        <w:rPr>
          <w:rFonts w:ascii="Arial"/>
          <w:sz w:val="16"/>
        </w:rPr>
      </w:pPr>
    </w:p>
    <w:p>
      <w:pPr>
        <w:pStyle w:val="BodyText"/>
        <w:rPr>
          <w:rFonts w:ascii="Arial"/>
          <w:sz w:val="16"/>
        </w:rPr>
      </w:pPr>
    </w:p>
    <w:p>
      <w:pPr>
        <w:pStyle w:val="BodyText"/>
        <w:spacing w:before="1"/>
        <w:rPr>
          <w:rFonts w:ascii="Arial"/>
          <w:sz w:val="18"/>
        </w:rPr>
      </w:pPr>
    </w:p>
    <w:p>
      <w:pPr>
        <w:spacing w:before="1"/>
        <w:ind w:left="118" w:right="136" w:firstLine="0"/>
        <w:jc w:val="left"/>
        <w:rPr>
          <w:rFonts w:ascii="Arial" w:hAnsi="Arial"/>
          <w:sz w:val="16"/>
        </w:rPr>
      </w:pPr>
      <w:r>
        <w:rPr>
          <w:rFonts w:ascii="Arial" w:hAnsi="Arial"/>
          <w:w w:val="80"/>
          <w:sz w:val="16"/>
        </w:rPr>
        <w:t>Este</w:t>
      </w:r>
      <w:r>
        <w:rPr>
          <w:rFonts w:ascii="Arial" w:hAnsi="Arial"/>
          <w:spacing w:val="-22"/>
          <w:w w:val="80"/>
          <w:sz w:val="16"/>
        </w:rPr>
        <w:t> </w:t>
      </w:r>
      <w:r>
        <w:rPr>
          <w:rFonts w:ascii="Arial" w:hAnsi="Arial"/>
          <w:w w:val="80"/>
          <w:sz w:val="16"/>
        </w:rPr>
        <w:t>libro</w:t>
      </w:r>
      <w:r>
        <w:rPr>
          <w:rFonts w:ascii="Arial" w:hAnsi="Arial"/>
          <w:spacing w:val="-22"/>
          <w:w w:val="80"/>
          <w:sz w:val="16"/>
        </w:rPr>
        <w:t> </w:t>
      </w:r>
      <w:r>
        <w:rPr>
          <w:rFonts w:ascii="Arial" w:hAnsi="Arial"/>
          <w:w w:val="80"/>
          <w:sz w:val="16"/>
        </w:rPr>
        <w:t>está</w:t>
      </w:r>
      <w:r>
        <w:rPr>
          <w:rFonts w:ascii="Arial" w:hAnsi="Arial"/>
          <w:spacing w:val="-22"/>
          <w:w w:val="80"/>
          <w:sz w:val="16"/>
        </w:rPr>
        <w:t> </w:t>
      </w:r>
      <w:r>
        <w:rPr>
          <w:rFonts w:ascii="Arial" w:hAnsi="Arial"/>
          <w:w w:val="80"/>
          <w:sz w:val="16"/>
        </w:rPr>
        <w:t>disponible</w:t>
      </w:r>
      <w:r>
        <w:rPr>
          <w:rFonts w:ascii="Arial" w:hAnsi="Arial"/>
          <w:spacing w:val="-22"/>
          <w:w w:val="80"/>
          <w:sz w:val="16"/>
        </w:rPr>
        <w:t> </w:t>
      </w:r>
      <w:r>
        <w:rPr>
          <w:rFonts w:ascii="Arial" w:hAnsi="Arial"/>
          <w:w w:val="80"/>
          <w:sz w:val="16"/>
        </w:rPr>
        <w:t>en</w:t>
      </w:r>
      <w:r>
        <w:rPr>
          <w:rFonts w:ascii="Arial" w:hAnsi="Arial"/>
          <w:spacing w:val="-22"/>
          <w:w w:val="80"/>
          <w:sz w:val="16"/>
        </w:rPr>
        <w:t> </w:t>
      </w:r>
      <w:r>
        <w:rPr>
          <w:rFonts w:ascii="Arial" w:hAnsi="Arial"/>
          <w:w w:val="80"/>
          <w:sz w:val="16"/>
        </w:rPr>
        <w:t>texto</w:t>
      </w:r>
      <w:r>
        <w:rPr>
          <w:rFonts w:ascii="Arial" w:hAnsi="Arial"/>
          <w:spacing w:val="-22"/>
          <w:w w:val="80"/>
          <w:sz w:val="16"/>
        </w:rPr>
        <w:t> </w:t>
      </w:r>
      <w:r>
        <w:rPr>
          <w:rFonts w:ascii="Arial" w:hAnsi="Arial"/>
          <w:w w:val="80"/>
          <w:sz w:val="16"/>
        </w:rPr>
        <w:t>completo</w:t>
      </w:r>
      <w:r>
        <w:rPr>
          <w:rFonts w:ascii="Arial" w:hAnsi="Arial"/>
          <w:spacing w:val="-22"/>
          <w:w w:val="80"/>
          <w:sz w:val="16"/>
        </w:rPr>
        <w:t> </w:t>
      </w:r>
      <w:r>
        <w:rPr>
          <w:rFonts w:ascii="Arial" w:hAnsi="Arial"/>
          <w:w w:val="80"/>
          <w:sz w:val="16"/>
        </w:rPr>
        <w:t>en</w:t>
      </w:r>
      <w:r>
        <w:rPr>
          <w:rFonts w:ascii="Arial" w:hAnsi="Arial"/>
          <w:spacing w:val="-22"/>
          <w:w w:val="80"/>
          <w:sz w:val="16"/>
        </w:rPr>
        <w:t> </w:t>
      </w:r>
      <w:r>
        <w:rPr>
          <w:rFonts w:ascii="Arial" w:hAnsi="Arial"/>
          <w:w w:val="80"/>
          <w:sz w:val="16"/>
        </w:rPr>
        <w:t>la</w:t>
      </w:r>
      <w:r>
        <w:rPr>
          <w:rFonts w:ascii="Arial" w:hAnsi="Arial"/>
          <w:spacing w:val="-22"/>
          <w:w w:val="80"/>
          <w:sz w:val="16"/>
        </w:rPr>
        <w:t> </w:t>
      </w:r>
      <w:r>
        <w:rPr>
          <w:rFonts w:ascii="Arial" w:hAnsi="Arial"/>
          <w:w w:val="80"/>
          <w:sz w:val="16"/>
        </w:rPr>
        <w:t>Red</w:t>
      </w:r>
      <w:r>
        <w:rPr>
          <w:rFonts w:ascii="Arial" w:hAnsi="Arial"/>
          <w:spacing w:val="-22"/>
          <w:w w:val="80"/>
          <w:sz w:val="16"/>
        </w:rPr>
        <w:t> </w:t>
      </w:r>
      <w:r>
        <w:rPr>
          <w:rFonts w:ascii="Arial" w:hAnsi="Arial"/>
          <w:w w:val="80"/>
          <w:sz w:val="16"/>
        </w:rPr>
        <w:t>de</w:t>
      </w:r>
      <w:r>
        <w:rPr>
          <w:rFonts w:ascii="Arial" w:hAnsi="Arial"/>
          <w:spacing w:val="-22"/>
          <w:w w:val="80"/>
          <w:sz w:val="16"/>
        </w:rPr>
        <w:t> </w:t>
      </w:r>
      <w:r>
        <w:rPr>
          <w:rFonts w:ascii="Arial" w:hAnsi="Arial"/>
          <w:w w:val="80"/>
          <w:sz w:val="16"/>
        </w:rPr>
        <w:t>Bibliotecas</w:t>
      </w:r>
      <w:r>
        <w:rPr>
          <w:rFonts w:ascii="Arial" w:hAnsi="Arial"/>
          <w:spacing w:val="-22"/>
          <w:w w:val="80"/>
          <w:sz w:val="16"/>
        </w:rPr>
        <w:t> </w:t>
      </w:r>
      <w:r>
        <w:rPr>
          <w:rFonts w:ascii="Arial" w:hAnsi="Arial"/>
          <w:w w:val="80"/>
          <w:sz w:val="16"/>
        </w:rPr>
        <w:t>Virtuales</w:t>
      </w:r>
      <w:r>
        <w:rPr>
          <w:rFonts w:ascii="Arial" w:hAnsi="Arial"/>
          <w:spacing w:val="-22"/>
          <w:w w:val="80"/>
          <w:sz w:val="16"/>
        </w:rPr>
        <w:t> </w:t>
      </w:r>
      <w:r>
        <w:rPr>
          <w:rFonts w:ascii="Arial" w:hAnsi="Arial"/>
          <w:w w:val="80"/>
          <w:sz w:val="16"/>
        </w:rPr>
        <w:t>de</w:t>
      </w:r>
      <w:r>
        <w:rPr>
          <w:rFonts w:ascii="Arial" w:hAnsi="Arial"/>
          <w:spacing w:val="-22"/>
          <w:w w:val="80"/>
          <w:sz w:val="16"/>
        </w:rPr>
        <w:t> </w:t>
      </w:r>
      <w:r>
        <w:rPr>
          <w:rFonts w:ascii="Arial" w:hAnsi="Arial"/>
          <w:w w:val="80"/>
          <w:sz w:val="16"/>
        </w:rPr>
        <w:t>CLACSO</w:t>
      </w:r>
      <w:r>
        <w:rPr>
          <w:rFonts w:ascii="Arial" w:hAnsi="Arial"/>
          <w:spacing w:val="-22"/>
          <w:w w:val="80"/>
          <w:sz w:val="16"/>
        </w:rPr>
        <w:t> </w:t>
      </w:r>
      <w:hyperlink r:id="rId33">
        <w:r>
          <w:rPr>
            <w:rFonts w:ascii="Arial" w:hAnsi="Arial"/>
            <w:spacing w:val="-3"/>
            <w:w w:val="80"/>
            <w:sz w:val="16"/>
          </w:rPr>
          <w:t>www.biblioteca.clacso.edu.ar</w:t>
        </w:r>
      </w:hyperlink>
    </w:p>
    <w:p>
      <w:pPr>
        <w:pStyle w:val="BodyText"/>
        <w:spacing w:before="4"/>
        <w:rPr>
          <w:rFonts w:ascii="Arial"/>
          <w:sz w:val="17"/>
        </w:rPr>
      </w:pPr>
    </w:p>
    <w:p>
      <w:pPr>
        <w:spacing w:before="0"/>
        <w:ind w:left="118" w:right="136" w:firstLine="0"/>
        <w:jc w:val="left"/>
        <w:rPr>
          <w:rFonts w:ascii="Arial"/>
          <w:b/>
          <w:sz w:val="16"/>
        </w:rPr>
      </w:pPr>
      <w:r>
        <w:rPr>
          <w:rFonts w:ascii="Arial"/>
          <w:b/>
          <w:w w:val="90"/>
          <w:sz w:val="16"/>
        </w:rPr>
        <w:t>CLACSO</w:t>
      </w:r>
    </w:p>
    <w:p>
      <w:pPr>
        <w:spacing w:line="249" w:lineRule="auto" w:before="8"/>
        <w:ind w:left="118" w:right="136" w:firstLine="0"/>
        <w:jc w:val="left"/>
        <w:rPr>
          <w:rFonts w:ascii="Arial" w:hAnsi="Arial"/>
          <w:b/>
          <w:sz w:val="16"/>
        </w:rPr>
      </w:pPr>
      <w:r>
        <w:rPr>
          <w:rFonts w:ascii="Arial" w:hAnsi="Arial"/>
          <w:b/>
          <w:w w:val="85"/>
          <w:sz w:val="16"/>
        </w:rPr>
        <w:t>Consejo</w:t>
      </w:r>
      <w:r>
        <w:rPr>
          <w:rFonts w:ascii="Arial" w:hAnsi="Arial"/>
          <w:b/>
          <w:spacing w:val="-12"/>
          <w:w w:val="85"/>
          <w:sz w:val="16"/>
        </w:rPr>
        <w:t> </w:t>
      </w:r>
      <w:r>
        <w:rPr>
          <w:rFonts w:ascii="Arial" w:hAnsi="Arial"/>
          <w:b/>
          <w:w w:val="85"/>
          <w:sz w:val="16"/>
        </w:rPr>
        <w:t>Latinoamericano</w:t>
      </w:r>
      <w:r>
        <w:rPr>
          <w:rFonts w:ascii="Arial" w:hAnsi="Arial"/>
          <w:b/>
          <w:spacing w:val="-12"/>
          <w:w w:val="85"/>
          <w:sz w:val="16"/>
        </w:rPr>
        <w:t> </w:t>
      </w:r>
      <w:r>
        <w:rPr>
          <w:rFonts w:ascii="Arial" w:hAnsi="Arial"/>
          <w:b/>
          <w:w w:val="85"/>
          <w:sz w:val="16"/>
        </w:rPr>
        <w:t>de</w:t>
      </w:r>
      <w:r>
        <w:rPr>
          <w:rFonts w:ascii="Arial" w:hAnsi="Arial"/>
          <w:b/>
          <w:spacing w:val="-12"/>
          <w:w w:val="85"/>
          <w:sz w:val="16"/>
        </w:rPr>
        <w:t> </w:t>
      </w:r>
      <w:r>
        <w:rPr>
          <w:rFonts w:ascii="Arial" w:hAnsi="Arial"/>
          <w:b/>
          <w:w w:val="85"/>
          <w:sz w:val="16"/>
        </w:rPr>
        <w:t>Ciencias</w:t>
      </w:r>
      <w:r>
        <w:rPr>
          <w:rFonts w:ascii="Arial" w:hAnsi="Arial"/>
          <w:b/>
          <w:spacing w:val="-12"/>
          <w:w w:val="85"/>
          <w:sz w:val="16"/>
        </w:rPr>
        <w:t> </w:t>
      </w:r>
      <w:r>
        <w:rPr>
          <w:rFonts w:ascii="Arial" w:hAnsi="Arial"/>
          <w:b/>
          <w:w w:val="85"/>
          <w:sz w:val="16"/>
        </w:rPr>
        <w:t>Sociales</w:t>
      </w:r>
      <w:r>
        <w:rPr>
          <w:rFonts w:ascii="Arial" w:hAnsi="Arial"/>
          <w:b/>
          <w:spacing w:val="-12"/>
          <w:w w:val="85"/>
          <w:sz w:val="16"/>
        </w:rPr>
        <w:t> </w:t>
      </w:r>
      <w:r>
        <w:rPr>
          <w:rFonts w:ascii="Arial" w:hAnsi="Arial"/>
          <w:b/>
          <w:w w:val="85"/>
          <w:sz w:val="16"/>
        </w:rPr>
        <w:t>-</w:t>
      </w:r>
      <w:r>
        <w:rPr>
          <w:rFonts w:ascii="Arial" w:hAnsi="Arial"/>
          <w:b/>
          <w:spacing w:val="-12"/>
          <w:w w:val="85"/>
          <w:sz w:val="16"/>
        </w:rPr>
        <w:t> </w:t>
      </w:r>
      <w:r>
        <w:rPr>
          <w:rFonts w:ascii="Arial" w:hAnsi="Arial"/>
          <w:b/>
          <w:w w:val="85"/>
          <w:sz w:val="16"/>
        </w:rPr>
        <w:t>Conselho</w:t>
      </w:r>
      <w:r>
        <w:rPr>
          <w:rFonts w:ascii="Arial" w:hAnsi="Arial"/>
          <w:b/>
          <w:spacing w:val="-12"/>
          <w:w w:val="85"/>
          <w:sz w:val="16"/>
        </w:rPr>
        <w:t> </w:t>
      </w:r>
      <w:r>
        <w:rPr>
          <w:rFonts w:ascii="Arial" w:hAnsi="Arial"/>
          <w:b/>
          <w:w w:val="85"/>
          <w:sz w:val="16"/>
        </w:rPr>
        <w:t>Latino-americano</w:t>
      </w:r>
      <w:r>
        <w:rPr>
          <w:rFonts w:ascii="Arial" w:hAnsi="Arial"/>
          <w:b/>
          <w:spacing w:val="-12"/>
          <w:w w:val="85"/>
          <w:sz w:val="16"/>
        </w:rPr>
        <w:t> </w:t>
      </w:r>
      <w:r>
        <w:rPr>
          <w:rFonts w:ascii="Arial" w:hAnsi="Arial"/>
          <w:b/>
          <w:w w:val="85"/>
          <w:sz w:val="16"/>
        </w:rPr>
        <w:t>de</w:t>
      </w:r>
      <w:r>
        <w:rPr>
          <w:rFonts w:ascii="Arial" w:hAnsi="Arial"/>
          <w:b/>
          <w:spacing w:val="-12"/>
          <w:w w:val="85"/>
          <w:sz w:val="16"/>
        </w:rPr>
        <w:t> </w:t>
      </w:r>
      <w:r>
        <w:rPr>
          <w:rFonts w:ascii="Arial" w:hAnsi="Arial"/>
          <w:b/>
          <w:w w:val="85"/>
          <w:sz w:val="16"/>
        </w:rPr>
        <w:t>Ciências</w:t>
      </w:r>
      <w:r>
        <w:rPr>
          <w:rFonts w:ascii="Arial" w:hAnsi="Arial"/>
          <w:b/>
          <w:spacing w:val="-12"/>
          <w:w w:val="85"/>
          <w:sz w:val="16"/>
        </w:rPr>
        <w:t> </w:t>
      </w:r>
      <w:r>
        <w:rPr>
          <w:rFonts w:ascii="Arial" w:hAnsi="Arial"/>
          <w:b/>
          <w:w w:val="85"/>
          <w:sz w:val="16"/>
        </w:rPr>
        <w:t>Sociais (Latin</w:t>
      </w:r>
      <w:r>
        <w:rPr>
          <w:rFonts w:ascii="Arial" w:hAnsi="Arial"/>
          <w:b/>
          <w:spacing w:val="-12"/>
          <w:w w:val="85"/>
          <w:sz w:val="16"/>
        </w:rPr>
        <w:t> </w:t>
      </w:r>
      <w:r>
        <w:rPr>
          <w:rFonts w:ascii="Arial" w:hAnsi="Arial"/>
          <w:b/>
          <w:w w:val="85"/>
          <w:sz w:val="16"/>
        </w:rPr>
        <w:t>American</w:t>
      </w:r>
      <w:r>
        <w:rPr>
          <w:rFonts w:ascii="Arial" w:hAnsi="Arial"/>
          <w:b/>
          <w:spacing w:val="-12"/>
          <w:w w:val="85"/>
          <w:sz w:val="16"/>
        </w:rPr>
        <w:t> </w:t>
      </w:r>
      <w:r>
        <w:rPr>
          <w:rFonts w:ascii="Arial" w:hAnsi="Arial"/>
          <w:b/>
          <w:w w:val="85"/>
          <w:sz w:val="16"/>
        </w:rPr>
        <w:t>Council</w:t>
      </w:r>
      <w:r>
        <w:rPr>
          <w:rFonts w:ascii="Arial" w:hAnsi="Arial"/>
          <w:b/>
          <w:spacing w:val="-12"/>
          <w:w w:val="85"/>
          <w:sz w:val="16"/>
        </w:rPr>
        <w:t> </w:t>
      </w:r>
      <w:r>
        <w:rPr>
          <w:rFonts w:ascii="Arial" w:hAnsi="Arial"/>
          <w:b/>
          <w:w w:val="85"/>
          <w:sz w:val="16"/>
        </w:rPr>
        <w:t>of</w:t>
      </w:r>
      <w:r>
        <w:rPr>
          <w:rFonts w:ascii="Arial" w:hAnsi="Arial"/>
          <w:b/>
          <w:spacing w:val="-12"/>
          <w:w w:val="85"/>
          <w:sz w:val="16"/>
        </w:rPr>
        <w:t> </w:t>
      </w:r>
      <w:r>
        <w:rPr>
          <w:rFonts w:ascii="Arial" w:hAnsi="Arial"/>
          <w:b/>
          <w:w w:val="85"/>
          <w:sz w:val="16"/>
        </w:rPr>
        <w:t>Social</w:t>
      </w:r>
      <w:r>
        <w:rPr>
          <w:rFonts w:ascii="Arial" w:hAnsi="Arial"/>
          <w:b/>
          <w:spacing w:val="-12"/>
          <w:w w:val="85"/>
          <w:sz w:val="16"/>
        </w:rPr>
        <w:t> </w:t>
      </w:r>
      <w:r>
        <w:rPr>
          <w:rFonts w:ascii="Arial" w:hAnsi="Arial"/>
          <w:b/>
          <w:w w:val="85"/>
          <w:sz w:val="16"/>
        </w:rPr>
        <w:t>Sciences)</w:t>
      </w:r>
    </w:p>
    <w:p>
      <w:pPr>
        <w:spacing w:before="1"/>
        <w:ind w:left="118" w:right="136" w:firstLine="0"/>
        <w:jc w:val="left"/>
        <w:rPr>
          <w:rFonts w:ascii="Arial"/>
          <w:sz w:val="16"/>
        </w:rPr>
      </w:pPr>
      <w:r>
        <w:rPr>
          <w:rFonts w:ascii="Arial"/>
          <w:w w:val="80"/>
          <w:sz w:val="16"/>
        </w:rPr>
        <w:t>Estados Unidos 1168 </w:t>
      </w:r>
      <w:r>
        <w:rPr>
          <w:rFonts w:ascii="Arial"/>
          <w:b/>
          <w:w w:val="80"/>
          <w:sz w:val="16"/>
        </w:rPr>
        <w:t>| </w:t>
      </w:r>
      <w:r>
        <w:rPr>
          <w:rFonts w:ascii="Arial"/>
          <w:w w:val="80"/>
          <w:sz w:val="16"/>
        </w:rPr>
        <w:t>C1101AAX Ciudad de Buenos Aires, Argentina</w:t>
      </w:r>
    </w:p>
    <w:p>
      <w:pPr>
        <w:spacing w:before="8"/>
        <w:ind w:left="118" w:right="136" w:firstLine="0"/>
        <w:jc w:val="left"/>
        <w:rPr>
          <w:rFonts w:ascii="Arial"/>
          <w:sz w:val="16"/>
        </w:rPr>
      </w:pPr>
      <w:r>
        <w:rPr>
          <w:rFonts w:ascii="Arial"/>
          <w:w w:val="85"/>
          <w:sz w:val="16"/>
        </w:rPr>
        <w:t>Tel. [54 11] 4304 9145 </w:t>
      </w:r>
      <w:r>
        <w:rPr>
          <w:rFonts w:ascii="Arial"/>
          <w:b/>
          <w:w w:val="85"/>
          <w:sz w:val="16"/>
        </w:rPr>
        <w:t>| </w:t>
      </w:r>
      <w:r>
        <w:rPr>
          <w:rFonts w:ascii="Arial"/>
          <w:w w:val="85"/>
          <w:sz w:val="16"/>
        </w:rPr>
        <w:t>Fax [54 11] 4305 0875 </w:t>
      </w:r>
      <w:r>
        <w:rPr>
          <w:rFonts w:ascii="Arial"/>
          <w:b/>
          <w:w w:val="85"/>
          <w:sz w:val="16"/>
        </w:rPr>
        <w:t>| </w:t>
      </w:r>
      <w:r>
        <w:rPr>
          <w:rFonts w:ascii="Arial"/>
          <w:w w:val="85"/>
          <w:sz w:val="16"/>
        </w:rPr>
        <w:t>&lt;</w:t>
      </w:r>
      <w:hyperlink r:id="rId34">
        <w:r>
          <w:rPr>
            <w:rFonts w:ascii="Arial"/>
            <w:w w:val="85"/>
            <w:sz w:val="16"/>
          </w:rPr>
          <w:t>clacsoinst@clacso.edu.ar</w:t>
        </w:r>
      </w:hyperlink>
      <w:r>
        <w:rPr>
          <w:rFonts w:ascii="Arial"/>
          <w:w w:val="85"/>
          <w:sz w:val="16"/>
        </w:rPr>
        <w:t>&gt; </w:t>
      </w:r>
      <w:r>
        <w:rPr>
          <w:rFonts w:ascii="Arial"/>
          <w:b/>
          <w:w w:val="85"/>
          <w:sz w:val="16"/>
        </w:rPr>
        <w:t>| </w:t>
      </w:r>
      <w:r>
        <w:rPr>
          <w:rFonts w:ascii="Arial"/>
          <w:w w:val="85"/>
          <w:sz w:val="16"/>
        </w:rPr>
        <w:t>&lt;</w:t>
      </w:r>
      <w:hyperlink r:id="rId35">
        <w:r>
          <w:rPr>
            <w:rFonts w:ascii="Arial"/>
            <w:w w:val="85"/>
            <w:sz w:val="16"/>
          </w:rPr>
          <w:t>www.clacso.org&gt;</w:t>
        </w:r>
      </w:hyperlink>
    </w:p>
    <w:p>
      <w:pPr>
        <w:pStyle w:val="BodyText"/>
        <w:rPr>
          <w:rFonts w:ascii="Arial"/>
          <w:sz w:val="20"/>
        </w:rPr>
      </w:pPr>
    </w:p>
    <w:p>
      <w:pPr>
        <w:pStyle w:val="BodyText"/>
        <w:rPr>
          <w:rFonts w:ascii="Arial"/>
          <w:sz w:val="20"/>
        </w:rPr>
      </w:pPr>
    </w:p>
    <w:p>
      <w:pPr>
        <w:pStyle w:val="BodyText"/>
        <w:spacing w:before="4"/>
        <w:rPr>
          <w:rFonts w:ascii="Arial"/>
          <w:sz w:val="25"/>
        </w:rPr>
      </w:pPr>
    </w:p>
    <w:p>
      <w:pPr>
        <w:spacing w:before="78"/>
        <w:ind w:left="113" w:right="136" w:firstLine="0"/>
        <w:jc w:val="left"/>
        <w:rPr>
          <w:rFonts w:ascii="Arial"/>
          <w:sz w:val="16"/>
        </w:rPr>
      </w:pPr>
      <w:r>
        <w:rPr/>
        <w:pict>
          <v:group style="position:absolute;margin-left:234.979599pt;margin-top:-2.238694pt;width:52.1pt;height:19.5pt;mso-position-horizontal-relative:page;mso-position-vertical-relative:paragraph;z-index:1216" coordorigin="4700,-45" coordsize="1042,390">
            <v:shape style="position:absolute;left:4700;top:-45;width:390;height:390" type="#_x0000_t75" stroked="false">
              <v:imagedata r:id="rId36" o:title=""/>
            </v:shape>
            <v:shape style="position:absolute;left:5124;top:16;width:618;height:266" type="#_x0000_t75" stroked="false">
              <v:imagedata r:id="rId37" o:title=""/>
            </v:shape>
            <w10:wrap type="none"/>
          </v:group>
        </w:pict>
      </w:r>
      <w:r>
        <w:rPr>
          <w:rFonts w:ascii="Arial"/>
          <w:w w:val="80"/>
          <w:sz w:val="16"/>
        </w:rPr>
        <w:t>Patrocinado por la Agencia Sueca de Desarrollo Internacional</w:t>
      </w:r>
    </w:p>
    <w:p>
      <w:pPr>
        <w:pStyle w:val="BodyText"/>
        <w:rPr>
          <w:rFonts w:ascii="Arial"/>
          <w:sz w:val="20"/>
        </w:rPr>
      </w:pPr>
    </w:p>
    <w:p>
      <w:pPr>
        <w:pStyle w:val="BodyText"/>
        <w:rPr>
          <w:rFonts w:ascii="Arial"/>
          <w:sz w:val="20"/>
        </w:rPr>
      </w:pPr>
    </w:p>
    <w:p>
      <w:pPr>
        <w:pStyle w:val="BodyText"/>
        <w:spacing w:before="2"/>
        <w:rPr>
          <w:rFonts w:ascii="Arial"/>
          <w:sz w:val="20"/>
        </w:rPr>
      </w:pPr>
      <w:r>
        <w:rPr/>
        <w:pict>
          <v:shape style="position:absolute;margin-left:56.943001pt;margin-top:13.83524pt;width:325.5pt;height:23.9pt;mso-position-horizontal-relative:page;mso-position-vertical-relative:paragraph;z-index:1192;mso-wrap-distance-left:0;mso-wrap-distance-right:0" type="#_x0000_t202" filled="false" stroked="true" strokeweight=".5pt" strokecolor="#000000">
            <v:textbox inset="0,0,0,0">
              <w:txbxContent>
                <w:p>
                  <w:pPr>
                    <w:spacing w:line="249" w:lineRule="auto" w:before="68"/>
                    <w:ind w:left="342" w:right="57" w:hanging="208"/>
                    <w:jc w:val="left"/>
                    <w:rPr>
                      <w:rFonts w:ascii="Arial" w:hAnsi="Arial"/>
                      <w:sz w:val="14"/>
                    </w:rPr>
                  </w:pPr>
                  <w:r>
                    <w:rPr>
                      <w:rFonts w:ascii="Arial" w:hAnsi="Arial"/>
                      <w:w w:val="80"/>
                      <w:sz w:val="14"/>
                    </w:rPr>
                    <w:t>La</w:t>
                  </w:r>
                  <w:r>
                    <w:rPr>
                      <w:rFonts w:ascii="Arial" w:hAnsi="Arial"/>
                      <w:spacing w:val="-20"/>
                      <w:w w:val="80"/>
                      <w:sz w:val="14"/>
                    </w:rPr>
                    <w:t> </w:t>
                  </w:r>
                  <w:r>
                    <w:rPr>
                      <w:rFonts w:ascii="Arial" w:hAnsi="Arial"/>
                      <w:w w:val="80"/>
                      <w:sz w:val="14"/>
                    </w:rPr>
                    <w:t>responsabilidad</w:t>
                  </w:r>
                  <w:r>
                    <w:rPr>
                      <w:rFonts w:ascii="Arial" w:hAnsi="Arial"/>
                      <w:spacing w:val="-20"/>
                      <w:w w:val="80"/>
                      <w:sz w:val="14"/>
                    </w:rPr>
                    <w:t> </w:t>
                  </w:r>
                  <w:r>
                    <w:rPr>
                      <w:rFonts w:ascii="Arial" w:hAnsi="Arial"/>
                      <w:w w:val="80"/>
                      <w:sz w:val="14"/>
                    </w:rPr>
                    <w:t>por</w:t>
                  </w:r>
                  <w:r>
                    <w:rPr>
                      <w:rFonts w:ascii="Arial" w:hAnsi="Arial"/>
                      <w:spacing w:val="-20"/>
                      <w:w w:val="80"/>
                      <w:sz w:val="14"/>
                    </w:rPr>
                    <w:t> </w:t>
                  </w:r>
                  <w:r>
                    <w:rPr>
                      <w:rFonts w:ascii="Arial" w:hAnsi="Arial"/>
                      <w:w w:val="80"/>
                      <w:sz w:val="14"/>
                    </w:rPr>
                    <w:t>las</w:t>
                  </w:r>
                  <w:r>
                    <w:rPr>
                      <w:rFonts w:ascii="Arial" w:hAnsi="Arial"/>
                      <w:spacing w:val="-20"/>
                      <w:w w:val="80"/>
                      <w:sz w:val="14"/>
                    </w:rPr>
                    <w:t> </w:t>
                  </w:r>
                  <w:r>
                    <w:rPr>
                      <w:rFonts w:ascii="Arial" w:hAnsi="Arial"/>
                      <w:w w:val="80"/>
                      <w:sz w:val="14"/>
                    </w:rPr>
                    <w:t>opiniones</w:t>
                  </w:r>
                  <w:r>
                    <w:rPr>
                      <w:rFonts w:ascii="Arial" w:hAnsi="Arial"/>
                      <w:spacing w:val="-20"/>
                      <w:w w:val="80"/>
                      <w:sz w:val="14"/>
                    </w:rPr>
                    <w:t> </w:t>
                  </w:r>
                  <w:r>
                    <w:rPr>
                      <w:rFonts w:ascii="Arial" w:hAnsi="Arial"/>
                      <w:w w:val="80"/>
                      <w:sz w:val="14"/>
                    </w:rPr>
                    <w:t>expresadas</w:t>
                  </w:r>
                  <w:r>
                    <w:rPr>
                      <w:rFonts w:ascii="Arial" w:hAnsi="Arial"/>
                      <w:spacing w:val="-20"/>
                      <w:w w:val="80"/>
                      <w:sz w:val="14"/>
                    </w:rPr>
                    <w:t> </w:t>
                  </w:r>
                  <w:r>
                    <w:rPr>
                      <w:rFonts w:ascii="Arial" w:hAnsi="Arial"/>
                      <w:w w:val="80"/>
                      <w:sz w:val="14"/>
                    </w:rPr>
                    <w:t>en</w:t>
                  </w:r>
                  <w:r>
                    <w:rPr>
                      <w:rFonts w:ascii="Arial" w:hAnsi="Arial"/>
                      <w:spacing w:val="-20"/>
                      <w:w w:val="80"/>
                      <w:sz w:val="14"/>
                    </w:rPr>
                    <w:t> </w:t>
                  </w:r>
                  <w:r>
                    <w:rPr>
                      <w:rFonts w:ascii="Arial" w:hAnsi="Arial"/>
                      <w:w w:val="80"/>
                      <w:sz w:val="14"/>
                    </w:rPr>
                    <w:t>los</w:t>
                  </w:r>
                  <w:r>
                    <w:rPr>
                      <w:rFonts w:ascii="Arial" w:hAnsi="Arial"/>
                      <w:spacing w:val="-20"/>
                      <w:w w:val="80"/>
                      <w:sz w:val="14"/>
                    </w:rPr>
                    <w:t> </w:t>
                  </w:r>
                  <w:r>
                    <w:rPr>
                      <w:rFonts w:ascii="Arial" w:hAnsi="Arial"/>
                      <w:w w:val="80"/>
                      <w:sz w:val="14"/>
                    </w:rPr>
                    <w:t>libros,</w:t>
                  </w:r>
                  <w:r>
                    <w:rPr>
                      <w:rFonts w:ascii="Arial" w:hAnsi="Arial"/>
                      <w:spacing w:val="-20"/>
                      <w:w w:val="80"/>
                      <w:sz w:val="14"/>
                    </w:rPr>
                    <w:t> </w:t>
                  </w:r>
                  <w:r>
                    <w:rPr>
                      <w:rFonts w:ascii="Arial" w:hAnsi="Arial"/>
                      <w:w w:val="80"/>
                      <w:sz w:val="14"/>
                    </w:rPr>
                    <w:t>artículos,</w:t>
                  </w:r>
                  <w:r>
                    <w:rPr>
                      <w:rFonts w:ascii="Arial" w:hAnsi="Arial"/>
                      <w:spacing w:val="-20"/>
                      <w:w w:val="80"/>
                      <w:sz w:val="14"/>
                    </w:rPr>
                    <w:t> </w:t>
                  </w:r>
                  <w:r>
                    <w:rPr>
                      <w:rFonts w:ascii="Arial" w:hAnsi="Arial"/>
                      <w:w w:val="80"/>
                      <w:sz w:val="14"/>
                    </w:rPr>
                    <w:t>estudios</w:t>
                  </w:r>
                  <w:r>
                    <w:rPr>
                      <w:rFonts w:ascii="Arial" w:hAnsi="Arial"/>
                      <w:spacing w:val="-20"/>
                      <w:w w:val="80"/>
                      <w:sz w:val="14"/>
                    </w:rPr>
                    <w:t> </w:t>
                  </w:r>
                  <w:r>
                    <w:rPr>
                      <w:rFonts w:ascii="Arial" w:hAnsi="Arial"/>
                      <w:w w:val="80"/>
                      <w:sz w:val="14"/>
                    </w:rPr>
                    <w:t>y</w:t>
                  </w:r>
                  <w:r>
                    <w:rPr>
                      <w:rFonts w:ascii="Arial" w:hAnsi="Arial"/>
                      <w:spacing w:val="-20"/>
                      <w:w w:val="80"/>
                      <w:sz w:val="14"/>
                    </w:rPr>
                    <w:t> </w:t>
                  </w:r>
                  <w:r>
                    <w:rPr>
                      <w:rFonts w:ascii="Arial" w:hAnsi="Arial"/>
                      <w:w w:val="80"/>
                      <w:sz w:val="14"/>
                    </w:rPr>
                    <w:t>otras</w:t>
                  </w:r>
                  <w:r>
                    <w:rPr>
                      <w:rFonts w:ascii="Arial" w:hAnsi="Arial"/>
                      <w:spacing w:val="-20"/>
                      <w:w w:val="80"/>
                      <w:sz w:val="14"/>
                    </w:rPr>
                    <w:t> </w:t>
                  </w:r>
                  <w:r>
                    <w:rPr>
                      <w:rFonts w:ascii="Arial" w:hAnsi="Arial"/>
                      <w:w w:val="80"/>
                      <w:sz w:val="14"/>
                    </w:rPr>
                    <w:t>colaboraciones</w:t>
                  </w:r>
                  <w:r>
                    <w:rPr>
                      <w:rFonts w:ascii="Arial" w:hAnsi="Arial"/>
                      <w:spacing w:val="-20"/>
                      <w:w w:val="80"/>
                      <w:sz w:val="14"/>
                    </w:rPr>
                    <w:t> </w:t>
                  </w:r>
                  <w:r>
                    <w:rPr>
                      <w:rFonts w:ascii="Arial" w:hAnsi="Arial"/>
                      <w:w w:val="80"/>
                      <w:sz w:val="14"/>
                    </w:rPr>
                    <w:t>incumbe</w:t>
                  </w:r>
                  <w:r>
                    <w:rPr>
                      <w:rFonts w:ascii="Arial" w:hAnsi="Arial"/>
                      <w:spacing w:val="-20"/>
                      <w:w w:val="80"/>
                      <w:sz w:val="14"/>
                    </w:rPr>
                    <w:t> </w:t>
                  </w:r>
                  <w:r>
                    <w:rPr>
                      <w:rFonts w:ascii="Arial" w:hAnsi="Arial"/>
                      <w:w w:val="80"/>
                      <w:sz w:val="14"/>
                    </w:rPr>
                    <w:t>exclusivamente</w:t>
                  </w:r>
                  <w:r>
                    <w:rPr>
                      <w:rFonts w:ascii="Arial" w:hAnsi="Arial"/>
                      <w:spacing w:val="-20"/>
                      <w:w w:val="80"/>
                      <w:sz w:val="14"/>
                    </w:rPr>
                    <w:t> </w:t>
                  </w:r>
                  <w:r>
                    <w:rPr>
                      <w:rFonts w:ascii="Arial" w:hAnsi="Arial"/>
                      <w:w w:val="80"/>
                      <w:sz w:val="14"/>
                    </w:rPr>
                    <w:t>a </w:t>
                  </w:r>
                  <w:r>
                    <w:rPr>
                      <w:rFonts w:ascii="Arial" w:hAnsi="Arial"/>
                      <w:w w:val="75"/>
                      <w:sz w:val="14"/>
                    </w:rPr>
                    <w:t>los</w:t>
                  </w:r>
                  <w:r>
                    <w:rPr>
                      <w:rFonts w:ascii="Arial" w:hAnsi="Arial"/>
                      <w:spacing w:val="-2"/>
                      <w:w w:val="75"/>
                      <w:sz w:val="14"/>
                    </w:rPr>
                    <w:t> </w:t>
                  </w:r>
                  <w:r>
                    <w:rPr>
                      <w:rFonts w:ascii="Arial" w:hAnsi="Arial"/>
                      <w:w w:val="75"/>
                      <w:sz w:val="14"/>
                    </w:rPr>
                    <w:t>autores</w:t>
                  </w:r>
                  <w:r>
                    <w:rPr>
                      <w:rFonts w:ascii="Arial" w:hAnsi="Arial"/>
                      <w:spacing w:val="-2"/>
                      <w:w w:val="75"/>
                      <w:sz w:val="14"/>
                    </w:rPr>
                    <w:t> </w:t>
                  </w:r>
                  <w:r>
                    <w:rPr>
                      <w:rFonts w:ascii="Arial" w:hAnsi="Arial"/>
                      <w:w w:val="75"/>
                      <w:sz w:val="14"/>
                    </w:rPr>
                    <w:t>firmantes,</w:t>
                  </w:r>
                  <w:r>
                    <w:rPr>
                      <w:rFonts w:ascii="Arial" w:hAnsi="Arial"/>
                      <w:spacing w:val="-2"/>
                      <w:w w:val="75"/>
                      <w:sz w:val="14"/>
                    </w:rPr>
                    <w:t> </w:t>
                  </w:r>
                  <w:r>
                    <w:rPr>
                      <w:rFonts w:ascii="Arial" w:hAnsi="Arial"/>
                      <w:w w:val="75"/>
                      <w:sz w:val="14"/>
                    </w:rPr>
                    <w:t>y</w:t>
                  </w:r>
                  <w:r>
                    <w:rPr>
                      <w:rFonts w:ascii="Arial" w:hAnsi="Arial"/>
                      <w:spacing w:val="-2"/>
                      <w:w w:val="75"/>
                      <w:sz w:val="14"/>
                    </w:rPr>
                    <w:t> </w:t>
                  </w:r>
                  <w:r>
                    <w:rPr>
                      <w:rFonts w:ascii="Arial" w:hAnsi="Arial"/>
                      <w:w w:val="75"/>
                      <w:sz w:val="14"/>
                    </w:rPr>
                    <w:t>su</w:t>
                  </w:r>
                  <w:r>
                    <w:rPr>
                      <w:rFonts w:ascii="Arial" w:hAnsi="Arial"/>
                      <w:spacing w:val="-2"/>
                      <w:w w:val="75"/>
                      <w:sz w:val="14"/>
                    </w:rPr>
                    <w:t> </w:t>
                  </w:r>
                  <w:r>
                    <w:rPr>
                      <w:rFonts w:ascii="Arial" w:hAnsi="Arial"/>
                      <w:w w:val="75"/>
                      <w:sz w:val="14"/>
                    </w:rPr>
                    <w:t>publicación</w:t>
                  </w:r>
                  <w:r>
                    <w:rPr>
                      <w:rFonts w:ascii="Arial" w:hAnsi="Arial"/>
                      <w:spacing w:val="-2"/>
                      <w:w w:val="75"/>
                      <w:sz w:val="14"/>
                    </w:rPr>
                    <w:t> </w:t>
                  </w:r>
                  <w:r>
                    <w:rPr>
                      <w:rFonts w:ascii="Arial" w:hAnsi="Arial"/>
                      <w:w w:val="75"/>
                      <w:sz w:val="14"/>
                    </w:rPr>
                    <w:t>no</w:t>
                  </w:r>
                  <w:r>
                    <w:rPr>
                      <w:rFonts w:ascii="Arial" w:hAnsi="Arial"/>
                      <w:spacing w:val="-2"/>
                      <w:w w:val="75"/>
                      <w:sz w:val="14"/>
                    </w:rPr>
                    <w:t> </w:t>
                  </w:r>
                  <w:r>
                    <w:rPr>
                      <w:rFonts w:ascii="Arial" w:hAnsi="Arial"/>
                      <w:w w:val="75"/>
                      <w:sz w:val="14"/>
                    </w:rPr>
                    <w:t>necesariamente</w:t>
                  </w:r>
                  <w:r>
                    <w:rPr>
                      <w:rFonts w:ascii="Arial" w:hAnsi="Arial"/>
                      <w:spacing w:val="-2"/>
                      <w:w w:val="75"/>
                      <w:sz w:val="14"/>
                    </w:rPr>
                    <w:t> </w:t>
                  </w:r>
                  <w:r>
                    <w:rPr>
                      <w:rFonts w:ascii="Arial" w:hAnsi="Arial"/>
                      <w:w w:val="75"/>
                      <w:sz w:val="14"/>
                    </w:rPr>
                    <w:t>refleja</w:t>
                  </w:r>
                  <w:r>
                    <w:rPr>
                      <w:rFonts w:ascii="Arial" w:hAnsi="Arial"/>
                      <w:spacing w:val="-2"/>
                      <w:w w:val="75"/>
                      <w:sz w:val="14"/>
                    </w:rPr>
                    <w:t> </w:t>
                  </w:r>
                  <w:r>
                    <w:rPr>
                      <w:rFonts w:ascii="Arial" w:hAnsi="Arial"/>
                      <w:w w:val="75"/>
                      <w:sz w:val="14"/>
                    </w:rPr>
                    <w:t>los</w:t>
                  </w:r>
                  <w:r>
                    <w:rPr>
                      <w:rFonts w:ascii="Arial" w:hAnsi="Arial"/>
                      <w:spacing w:val="-2"/>
                      <w:w w:val="75"/>
                      <w:sz w:val="14"/>
                    </w:rPr>
                    <w:t> </w:t>
                  </w:r>
                  <w:r>
                    <w:rPr>
                      <w:rFonts w:ascii="Arial" w:hAnsi="Arial"/>
                      <w:w w:val="75"/>
                      <w:sz w:val="14"/>
                    </w:rPr>
                    <w:t>puntos</w:t>
                  </w:r>
                  <w:r>
                    <w:rPr>
                      <w:rFonts w:ascii="Arial" w:hAnsi="Arial"/>
                      <w:spacing w:val="-2"/>
                      <w:w w:val="75"/>
                      <w:sz w:val="14"/>
                    </w:rPr>
                    <w:t> </w:t>
                  </w:r>
                  <w:r>
                    <w:rPr>
                      <w:rFonts w:ascii="Arial" w:hAnsi="Arial"/>
                      <w:w w:val="75"/>
                      <w:sz w:val="14"/>
                    </w:rPr>
                    <w:t>de</w:t>
                  </w:r>
                  <w:r>
                    <w:rPr>
                      <w:rFonts w:ascii="Arial" w:hAnsi="Arial"/>
                      <w:spacing w:val="-2"/>
                      <w:w w:val="75"/>
                      <w:sz w:val="14"/>
                    </w:rPr>
                    <w:t> </w:t>
                  </w:r>
                  <w:r>
                    <w:rPr>
                      <w:rFonts w:ascii="Arial" w:hAnsi="Arial"/>
                      <w:w w:val="75"/>
                      <w:sz w:val="14"/>
                    </w:rPr>
                    <w:t>vista</w:t>
                  </w:r>
                  <w:r>
                    <w:rPr>
                      <w:rFonts w:ascii="Arial" w:hAnsi="Arial"/>
                      <w:spacing w:val="-2"/>
                      <w:w w:val="75"/>
                      <w:sz w:val="14"/>
                    </w:rPr>
                    <w:t> </w:t>
                  </w:r>
                  <w:r>
                    <w:rPr>
                      <w:rFonts w:ascii="Arial" w:hAnsi="Arial"/>
                      <w:w w:val="75"/>
                      <w:sz w:val="14"/>
                    </w:rPr>
                    <w:t>de</w:t>
                  </w:r>
                  <w:r>
                    <w:rPr>
                      <w:rFonts w:ascii="Arial" w:hAnsi="Arial"/>
                      <w:spacing w:val="-2"/>
                      <w:w w:val="75"/>
                      <w:sz w:val="14"/>
                    </w:rPr>
                    <w:t> </w:t>
                  </w:r>
                  <w:r>
                    <w:rPr>
                      <w:rFonts w:ascii="Arial" w:hAnsi="Arial"/>
                      <w:w w:val="75"/>
                      <w:sz w:val="14"/>
                    </w:rPr>
                    <w:t>la</w:t>
                  </w:r>
                  <w:r>
                    <w:rPr>
                      <w:rFonts w:ascii="Arial" w:hAnsi="Arial"/>
                      <w:spacing w:val="-2"/>
                      <w:w w:val="75"/>
                      <w:sz w:val="14"/>
                    </w:rPr>
                    <w:t> </w:t>
                  </w:r>
                  <w:r>
                    <w:rPr>
                      <w:rFonts w:ascii="Arial" w:hAnsi="Arial"/>
                      <w:w w:val="75"/>
                      <w:sz w:val="14"/>
                    </w:rPr>
                    <w:t>Secretaría</w:t>
                  </w:r>
                  <w:r>
                    <w:rPr>
                      <w:rFonts w:ascii="Arial" w:hAnsi="Arial"/>
                      <w:spacing w:val="-2"/>
                      <w:w w:val="75"/>
                      <w:sz w:val="14"/>
                    </w:rPr>
                    <w:t> </w:t>
                  </w:r>
                  <w:r>
                    <w:rPr>
                      <w:rFonts w:ascii="Arial" w:hAnsi="Arial"/>
                      <w:w w:val="75"/>
                      <w:sz w:val="14"/>
                    </w:rPr>
                    <w:t>Ejecutiva</w:t>
                  </w:r>
                  <w:r>
                    <w:rPr>
                      <w:rFonts w:ascii="Arial" w:hAnsi="Arial"/>
                      <w:spacing w:val="-2"/>
                      <w:w w:val="75"/>
                      <w:sz w:val="14"/>
                    </w:rPr>
                    <w:t> </w:t>
                  </w:r>
                  <w:r>
                    <w:rPr>
                      <w:rFonts w:ascii="Arial" w:hAnsi="Arial"/>
                      <w:w w:val="75"/>
                      <w:sz w:val="14"/>
                    </w:rPr>
                    <w:t>de</w:t>
                  </w:r>
                  <w:r>
                    <w:rPr>
                      <w:rFonts w:ascii="Arial" w:hAnsi="Arial"/>
                      <w:spacing w:val="-2"/>
                      <w:w w:val="75"/>
                      <w:sz w:val="14"/>
                    </w:rPr>
                    <w:t> </w:t>
                  </w:r>
                  <w:r>
                    <w:rPr>
                      <w:rFonts w:ascii="Arial" w:hAnsi="Arial"/>
                      <w:w w:val="75"/>
                      <w:sz w:val="14"/>
                    </w:rPr>
                    <w:t>CLACSO.</w:t>
                  </w:r>
                </w:p>
              </w:txbxContent>
            </v:textbox>
            <w10:wrap type="topAndBottom"/>
          </v:shape>
        </w:pict>
      </w:r>
    </w:p>
    <w:p>
      <w:pPr>
        <w:spacing w:after="0"/>
        <w:rPr>
          <w:rFonts w:ascii="Arial"/>
          <w:sz w:val="20"/>
        </w:rPr>
        <w:sectPr>
          <w:pgSz w:w="8790" w:h="12760"/>
          <w:pgMar w:top="1180" w:bottom="280" w:left="1020" w:right="1020"/>
        </w:sectPr>
      </w:pPr>
    </w:p>
    <w:p>
      <w:pPr>
        <w:pStyle w:val="BodyText"/>
        <w:rPr>
          <w:rFonts w:ascii="Arial"/>
          <w:sz w:val="20"/>
        </w:rPr>
      </w:pPr>
    </w:p>
    <w:p>
      <w:pPr>
        <w:spacing w:before="199"/>
        <w:ind w:left="789" w:right="1014" w:firstLine="0"/>
        <w:jc w:val="center"/>
        <w:rPr>
          <w:rFonts w:ascii="Times New Roman" w:hAnsi="Times New Roman"/>
          <w:b/>
          <w:sz w:val="30"/>
        </w:rPr>
      </w:pPr>
      <w:r>
        <w:rPr>
          <w:rFonts w:ascii="Times New Roman" w:hAnsi="Times New Roman"/>
          <w:b/>
          <w:w w:val="130"/>
          <w:sz w:val="30"/>
        </w:rPr>
        <w:t>Índice</w:t>
      </w: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spacing w:before="265"/>
        <w:ind w:left="100" w:right="0" w:firstLine="0"/>
        <w:jc w:val="left"/>
        <w:rPr>
          <w:rFonts w:ascii="Times New Roman"/>
          <w:b/>
          <w:sz w:val="18"/>
        </w:rPr>
      </w:pPr>
      <w:r>
        <w:rPr>
          <w:rFonts w:ascii="Times New Roman"/>
          <w:b/>
          <w:w w:val="105"/>
          <w:sz w:val="18"/>
        </w:rPr>
        <w:t>Pablo Gentili y Pablo vommaro</w:t>
      </w:r>
    </w:p>
    <w:sdt>
      <w:sdtPr>
        <w:docPartObj>
          <w:docPartGallery w:val="Table of Contents"/>
          <w:docPartUnique/>
        </w:docPartObj>
      </w:sdtPr>
      <w:sdtEndPr/>
      <w:sdtContent>
        <w:p>
          <w:pPr>
            <w:pStyle w:val="TOC2"/>
            <w:tabs>
              <w:tab w:pos="6320" w:val="right" w:leader="none"/>
            </w:tabs>
          </w:pPr>
          <w:r>
            <w:rPr/>
            <w:pict>
              <v:line style="position:absolute;mso-position-horizontal-relative:page;mso-position-vertical-relative:paragraph;z-index:-257200" from="334.738190pt,2.06087pt" to="334.738190pt,13.39987pt" stroked="true" strokeweight=".7pt" strokecolor="#000000">
                <w10:wrap type="none"/>
              </v:line>
            </w:pict>
          </w:r>
          <w:hyperlink w:history="true" w:anchor="_TOC_250003">
            <w:r>
              <w:rPr/>
              <w:t>Presentación</w:t>
              <w:tab/>
              <w:t>9</w:t>
            </w:r>
          </w:hyperlink>
        </w:p>
        <w:p>
          <w:pPr>
            <w:pStyle w:val="TOC1"/>
          </w:pPr>
          <w:hyperlink w:history="true" w:anchor="_TOC_250002">
            <w:r>
              <w:rPr>
                <w:w w:val="110"/>
              </w:rPr>
              <w:t>ronald H. chilcote</w:t>
            </w:r>
          </w:hyperlink>
        </w:p>
        <w:p>
          <w:pPr>
            <w:pStyle w:val="TOC2"/>
            <w:tabs>
              <w:tab w:pos="6320" w:val="right" w:leader="none"/>
            </w:tabs>
          </w:pPr>
          <w:r>
            <w:rPr/>
            <w:pict>
              <v:line style="position:absolute;mso-position-horizontal-relative:page;mso-position-vertical-relative:paragraph;z-index:-257224" from="334.738190pt,1.270544pt" to="334.738190pt,12.609544pt" stroked="true" strokeweight=".7pt" strokecolor="#000000">
                <w10:wrap type="none"/>
              </v:line>
            </w:pict>
          </w:r>
          <w:r>
            <w:rPr/>
            <w:t>Prólogo</w:t>
            <w:tab/>
            <w:t>15</w:t>
          </w:r>
        </w:p>
        <w:p>
          <w:pPr>
            <w:pStyle w:val="TOC1"/>
          </w:pPr>
          <w:hyperlink w:history="true" w:anchor="_TOC_250001">
            <w:r>
              <w:rPr>
                <w:w w:val="105"/>
              </w:rPr>
              <w:t>Marco a. Gandásegui, hijo</w:t>
            </w:r>
          </w:hyperlink>
        </w:p>
        <w:p>
          <w:pPr>
            <w:pStyle w:val="TOC2"/>
            <w:tabs>
              <w:tab w:pos="6320" w:val="right" w:leader="none"/>
            </w:tabs>
          </w:pPr>
          <w:r>
            <w:rPr/>
            <w:pict>
              <v:line style="position:absolute;mso-position-horizontal-relative:page;mso-position-vertical-relative:paragraph;z-index:-257176" from="334.738190pt,.740149pt" to="334.738190pt,12.079149pt" stroked="true" strokeweight=".7pt" strokecolor="#000000">
                <w10:wrap type="none"/>
              </v:line>
            </w:pict>
          </w:r>
          <w:hyperlink w:history="true" w:anchor="_TOC_250000">
            <w:r>
              <w:rPr/>
              <w:t>Introducción</w:t>
              <w:tab/>
              <w:t>23</w:t>
            </w:r>
          </w:hyperlink>
        </w:p>
      </w:sdtContent>
    </w:sdt>
    <w:p>
      <w:pPr>
        <w:pStyle w:val="BodyText"/>
        <w:spacing w:before="9"/>
        <w:rPr>
          <w:sz w:val="17"/>
        </w:rPr>
      </w:pPr>
    </w:p>
    <w:p>
      <w:pPr>
        <w:spacing w:before="0"/>
        <w:ind w:left="789" w:right="1017" w:firstLine="0"/>
        <w:jc w:val="center"/>
        <w:rPr>
          <w:sz w:val="18"/>
        </w:rPr>
      </w:pPr>
      <w:r>
        <w:rPr>
          <w:w w:val="105"/>
          <w:sz w:val="18"/>
        </w:rPr>
        <w:t>CRISIS DE HEGEMONÍA DE ESTADOS UNIDOS</w:t>
      </w:r>
    </w:p>
    <w:p>
      <w:pPr>
        <w:pStyle w:val="BodyText"/>
        <w:spacing w:before="4"/>
        <w:rPr>
          <w:sz w:val="16"/>
        </w:rPr>
      </w:pPr>
    </w:p>
    <w:p>
      <w:pPr>
        <w:spacing w:before="0"/>
        <w:ind w:left="100" w:right="0" w:firstLine="0"/>
        <w:jc w:val="left"/>
        <w:rPr>
          <w:rFonts w:ascii="Times New Roman"/>
          <w:b/>
          <w:sz w:val="18"/>
        </w:rPr>
      </w:pPr>
      <w:r>
        <w:rPr>
          <w:rFonts w:ascii="Times New Roman"/>
          <w:b/>
          <w:w w:val="105"/>
          <w:sz w:val="18"/>
        </w:rPr>
        <w:t>carlos eduardo Martins</w:t>
      </w:r>
    </w:p>
    <w:p>
      <w:pPr>
        <w:spacing w:before="10"/>
        <w:ind w:left="100" w:right="0" w:firstLine="0"/>
        <w:jc w:val="left"/>
        <w:rPr>
          <w:sz w:val="18"/>
        </w:rPr>
      </w:pPr>
      <w:r>
        <w:rPr/>
        <w:pict>
          <v:line style="position:absolute;mso-position-horizontal-relative:page;mso-position-vertical-relative:paragraph;z-index:-257248" from="334.738190pt,11.416468pt" to="334.738190pt,22.755468pt" stroked="true" strokeweight=".7pt" strokecolor="#000000">
            <w10:wrap type="none"/>
          </v:line>
        </w:pict>
      </w:r>
      <w:r>
        <w:rPr>
          <w:sz w:val="18"/>
        </w:rPr>
        <w:t>El Sistema-Mundo Capitalista y los Nuevos Alineamientos</w:t>
      </w:r>
    </w:p>
    <w:p>
      <w:pPr>
        <w:tabs>
          <w:tab w:pos="6140" w:val="left" w:leader="none"/>
        </w:tabs>
        <w:spacing w:before="9"/>
        <w:ind w:left="100" w:right="0" w:firstLine="0"/>
        <w:jc w:val="left"/>
        <w:rPr>
          <w:sz w:val="18"/>
        </w:rPr>
      </w:pPr>
      <w:r>
        <w:rPr>
          <w:sz w:val="18"/>
        </w:rPr>
        <w:t>Geopolíticos en el Siglo XXI. Una</w:t>
      </w:r>
      <w:r>
        <w:rPr>
          <w:spacing w:val="18"/>
          <w:sz w:val="18"/>
        </w:rPr>
        <w:t> </w:t>
      </w:r>
      <w:r>
        <w:rPr>
          <w:sz w:val="18"/>
        </w:rPr>
        <w:t>Visión</w:t>
      </w:r>
      <w:r>
        <w:rPr>
          <w:spacing w:val="3"/>
          <w:sz w:val="18"/>
        </w:rPr>
        <w:t> </w:t>
      </w:r>
      <w:r>
        <w:rPr>
          <w:sz w:val="18"/>
        </w:rPr>
        <w:t>Prospectiva</w:t>
        <w:tab/>
        <w:t>39</w:t>
      </w:r>
    </w:p>
    <w:p>
      <w:pPr>
        <w:pStyle w:val="BodyText"/>
        <w:rPr>
          <w:sz w:val="18"/>
        </w:rPr>
      </w:pPr>
    </w:p>
    <w:p>
      <w:pPr>
        <w:spacing w:before="1"/>
        <w:ind w:left="100" w:right="0" w:firstLine="0"/>
        <w:jc w:val="left"/>
        <w:rPr>
          <w:rFonts w:ascii="Times New Roman" w:hAnsi="Times New Roman"/>
          <w:b/>
          <w:sz w:val="18"/>
        </w:rPr>
      </w:pPr>
      <w:r>
        <w:rPr/>
        <w:pict>
          <v:line style="position:absolute;mso-position-horizontal-relative:page;mso-position-vertical-relative:paragraph;z-index:-257272" from="334.738190pt,10.877144pt" to="334.738190pt,22.216144pt" stroked="true" strokeweight=".7pt" strokecolor="#000000">
            <w10:wrap type="none"/>
          </v:line>
        </w:pict>
      </w:r>
      <w:r>
        <w:rPr>
          <w:rFonts w:ascii="Times New Roman" w:hAnsi="Times New Roman"/>
          <w:b/>
          <w:w w:val="105"/>
          <w:sz w:val="18"/>
        </w:rPr>
        <w:t>Marco a. Gandásegui, hijo</w:t>
      </w:r>
    </w:p>
    <w:p>
      <w:pPr>
        <w:tabs>
          <w:tab w:pos="6140" w:val="left" w:leader="none"/>
        </w:tabs>
        <w:spacing w:before="10"/>
        <w:ind w:left="100" w:right="0" w:firstLine="0"/>
        <w:jc w:val="left"/>
        <w:rPr>
          <w:sz w:val="18"/>
        </w:rPr>
      </w:pPr>
      <w:r>
        <w:rPr>
          <w:sz w:val="18"/>
        </w:rPr>
        <w:t>Hegemonía, geopolítica y</w:t>
      </w:r>
      <w:r>
        <w:rPr>
          <w:spacing w:val="7"/>
          <w:sz w:val="18"/>
        </w:rPr>
        <w:t> </w:t>
      </w:r>
      <w:r>
        <w:rPr>
          <w:sz w:val="18"/>
        </w:rPr>
        <w:t>Estados</w:t>
      </w:r>
      <w:r>
        <w:rPr>
          <w:spacing w:val="2"/>
          <w:sz w:val="18"/>
        </w:rPr>
        <w:t> </w:t>
      </w:r>
      <w:r>
        <w:rPr>
          <w:sz w:val="18"/>
        </w:rPr>
        <w:t>Unidos</w:t>
        <w:tab/>
        <w:t>69</w:t>
      </w:r>
    </w:p>
    <w:p>
      <w:pPr>
        <w:pStyle w:val="BodyText"/>
        <w:rPr>
          <w:sz w:val="18"/>
        </w:rPr>
      </w:pPr>
    </w:p>
    <w:p>
      <w:pPr>
        <w:spacing w:before="1"/>
        <w:ind w:left="100" w:right="0" w:firstLine="0"/>
        <w:jc w:val="left"/>
        <w:rPr>
          <w:rFonts w:ascii="Times New Roman" w:hAnsi="Times New Roman"/>
          <w:b/>
          <w:sz w:val="18"/>
        </w:rPr>
      </w:pPr>
      <w:r>
        <w:rPr>
          <w:rFonts w:ascii="Times New Roman" w:hAnsi="Times New Roman"/>
          <w:b/>
          <w:w w:val="105"/>
          <w:sz w:val="18"/>
        </w:rPr>
        <w:t>Gladys cecilia Hernández Pedraza</w:t>
      </w:r>
    </w:p>
    <w:p>
      <w:pPr>
        <w:tabs>
          <w:tab w:pos="6140" w:val="left" w:leader="none"/>
        </w:tabs>
        <w:spacing w:before="10"/>
        <w:ind w:left="100" w:right="0" w:firstLine="0"/>
        <w:jc w:val="left"/>
        <w:rPr>
          <w:sz w:val="18"/>
        </w:rPr>
      </w:pPr>
      <w:r>
        <w:rPr/>
        <w:pict>
          <v:line style="position:absolute;mso-position-horizontal-relative:page;mso-position-vertical-relative:paragraph;z-index:-257344" from="334.738190pt,1.247361pt" to="334.738190pt,12.586361pt" stroked="true" strokeweight=".7pt" strokecolor="#000000">
            <w10:wrap type="none"/>
          </v:line>
        </w:pict>
      </w:r>
      <w:r>
        <w:rPr>
          <w:sz w:val="18"/>
        </w:rPr>
        <w:t>Estados Unidos y China en torno al</w:t>
      </w:r>
      <w:r>
        <w:rPr>
          <w:spacing w:val="-8"/>
          <w:sz w:val="18"/>
        </w:rPr>
        <w:t> </w:t>
      </w:r>
      <w:r>
        <w:rPr>
          <w:sz w:val="18"/>
        </w:rPr>
        <w:t>“pivote</w:t>
      </w:r>
      <w:r>
        <w:rPr>
          <w:spacing w:val="-2"/>
          <w:sz w:val="18"/>
        </w:rPr>
        <w:t> </w:t>
      </w:r>
      <w:r>
        <w:rPr>
          <w:sz w:val="18"/>
        </w:rPr>
        <w:t>asiático”</w:t>
        <w:tab/>
        <w:t>89</w:t>
      </w:r>
    </w:p>
    <w:p>
      <w:pPr>
        <w:pStyle w:val="BodyText"/>
        <w:rPr>
          <w:sz w:val="18"/>
        </w:rPr>
      </w:pPr>
    </w:p>
    <w:p>
      <w:pPr>
        <w:spacing w:before="1"/>
        <w:ind w:left="100" w:right="0" w:firstLine="0"/>
        <w:jc w:val="left"/>
        <w:rPr>
          <w:rFonts w:ascii="Times New Roman" w:hAnsi="Times New Roman"/>
          <w:b/>
          <w:sz w:val="18"/>
        </w:rPr>
      </w:pPr>
      <w:r>
        <w:rPr/>
        <w:pict>
          <v:line style="position:absolute;mso-position-horizontal-relative:page;mso-position-vertical-relative:paragraph;z-index:-257368" from="334.738190pt,10.265038pt" to="334.738190pt,21.604038pt" stroked="true" strokeweight=".7pt" strokecolor="#000000">
            <w10:wrap type="none"/>
          </v:line>
        </w:pict>
      </w:r>
      <w:r>
        <w:rPr>
          <w:rFonts w:ascii="Times New Roman" w:hAnsi="Times New Roman"/>
          <w:b/>
          <w:w w:val="105"/>
          <w:sz w:val="18"/>
        </w:rPr>
        <w:t>santiago Pérez Benítez</w:t>
      </w:r>
    </w:p>
    <w:p>
      <w:pPr>
        <w:tabs>
          <w:tab w:pos="6050" w:val="left" w:leader="none"/>
        </w:tabs>
        <w:spacing w:before="10"/>
        <w:ind w:left="100" w:right="0" w:firstLine="0"/>
        <w:jc w:val="left"/>
        <w:rPr>
          <w:sz w:val="18"/>
        </w:rPr>
      </w:pPr>
      <w:r>
        <w:rPr>
          <w:sz w:val="18"/>
        </w:rPr>
        <w:t>Las relaciones Estados Unidos-Rusia y la crisis</w:t>
      </w:r>
      <w:r>
        <w:rPr>
          <w:spacing w:val="-22"/>
          <w:sz w:val="18"/>
        </w:rPr>
        <w:t> </w:t>
      </w:r>
      <w:r>
        <w:rPr>
          <w:sz w:val="18"/>
        </w:rPr>
        <w:t>en</w:t>
      </w:r>
      <w:r>
        <w:rPr>
          <w:spacing w:val="-4"/>
          <w:sz w:val="18"/>
        </w:rPr>
        <w:t> </w:t>
      </w:r>
      <w:r>
        <w:rPr>
          <w:sz w:val="18"/>
        </w:rPr>
        <w:t>ucrania</w:t>
        <w:tab/>
        <w:t>115</w:t>
      </w:r>
    </w:p>
    <w:p>
      <w:pPr>
        <w:pStyle w:val="BodyText"/>
        <w:rPr>
          <w:sz w:val="18"/>
        </w:rPr>
      </w:pPr>
    </w:p>
    <w:p>
      <w:pPr>
        <w:spacing w:before="1"/>
        <w:ind w:left="100" w:right="0" w:firstLine="0"/>
        <w:jc w:val="left"/>
        <w:rPr>
          <w:rFonts w:ascii="Times New Roman"/>
          <w:b/>
          <w:sz w:val="18"/>
        </w:rPr>
      </w:pPr>
      <w:r>
        <w:rPr>
          <w:rFonts w:ascii="Times New Roman"/>
          <w:b/>
          <w:w w:val="105"/>
          <w:sz w:val="18"/>
        </w:rPr>
        <w:t>claudio Katz</w:t>
      </w:r>
    </w:p>
    <w:p>
      <w:pPr>
        <w:tabs>
          <w:tab w:pos="6050" w:val="left" w:leader="none"/>
        </w:tabs>
        <w:spacing w:before="10"/>
        <w:ind w:left="100" w:right="0" w:firstLine="0"/>
        <w:jc w:val="left"/>
        <w:rPr>
          <w:sz w:val="18"/>
        </w:rPr>
      </w:pPr>
      <w:r>
        <w:rPr/>
        <w:pict>
          <v:line style="position:absolute;mso-position-horizontal-relative:page;mso-position-vertical-relative:paragraph;z-index:-257296" from="334.738190pt,1.107756pt" to="334.738190pt,12.446756pt" stroked="true" strokeweight=".7pt" strokecolor="#000000">
            <w10:wrap type="none"/>
          </v:line>
        </w:pict>
      </w:r>
      <w:r>
        <w:rPr>
          <w:sz w:val="18"/>
        </w:rPr>
        <w:t>La nueva estrategia imperial de</w:t>
      </w:r>
      <w:r>
        <w:rPr>
          <w:spacing w:val="-20"/>
          <w:sz w:val="18"/>
        </w:rPr>
        <w:t> </w:t>
      </w:r>
      <w:r>
        <w:rPr>
          <w:sz w:val="18"/>
        </w:rPr>
        <w:t>Estados</w:t>
      </w:r>
      <w:r>
        <w:rPr>
          <w:spacing w:val="-4"/>
          <w:sz w:val="18"/>
        </w:rPr>
        <w:t> </w:t>
      </w:r>
      <w:r>
        <w:rPr>
          <w:sz w:val="18"/>
        </w:rPr>
        <w:t>Unidos</w:t>
        <w:tab/>
        <w:t>129</w:t>
      </w:r>
    </w:p>
    <w:p>
      <w:pPr>
        <w:pStyle w:val="BodyText"/>
        <w:spacing w:before="9"/>
        <w:rPr>
          <w:sz w:val="17"/>
        </w:rPr>
      </w:pPr>
    </w:p>
    <w:p>
      <w:pPr>
        <w:spacing w:before="0"/>
        <w:ind w:left="789" w:right="1017" w:firstLine="0"/>
        <w:jc w:val="center"/>
        <w:rPr>
          <w:sz w:val="18"/>
        </w:rPr>
      </w:pPr>
      <w:r>
        <w:rPr>
          <w:w w:val="105"/>
          <w:sz w:val="18"/>
        </w:rPr>
        <w:t>ESTRUCTURA INTERNA DE ESTADOS UNIDOS</w:t>
      </w:r>
    </w:p>
    <w:p>
      <w:pPr>
        <w:pStyle w:val="BodyText"/>
        <w:spacing w:before="4"/>
        <w:rPr>
          <w:sz w:val="16"/>
        </w:rPr>
      </w:pPr>
    </w:p>
    <w:p>
      <w:pPr>
        <w:spacing w:before="0"/>
        <w:ind w:left="100" w:right="0" w:firstLine="0"/>
        <w:jc w:val="left"/>
        <w:rPr>
          <w:rFonts w:ascii="Times New Roman" w:hAnsi="Times New Roman"/>
          <w:b/>
          <w:sz w:val="18"/>
        </w:rPr>
      </w:pPr>
      <w:r>
        <w:rPr>
          <w:rFonts w:ascii="Times New Roman" w:hAnsi="Times New Roman"/>
          <w:b/>
          <w:w w:val="110"/>
          <w:sz w:val="18"/>
        </w:rPr>
        <w:t>dídimo castillo fernández</w:t>
      </w:r>
    </w:p>
    <w:p>
      <w:pPr>
        <w:spacing w:before="10"/>
        <w:ind w:left="100" w:right="0" w:firstLine="0"/>
        <w:jc w:val="left"/>
        <w:rPr>
          <w:sz w:val="18"/>
        </w:rPr>
      </w:pPr>
      <w:r>
        <w:rPr>
          <w:sz w:val="18"/>
        </w:rPr>
        <w:t>Estados Unidos. Trabajo, precariedad laboral y desigualdades</w:t>
      </w:r>
    </w:p>
    <w:p>
      <w:pPr>
        <w:tabs>
          <w:tab w:pos="6050" w:val="left" w:leader="none"/>
        </w:tabs>
        <w:spacing w:before="9"/>
        <w:ind w:left="100" w:right="0" w:firstLine="0"/>
        <w:jc w:val="left"/>
        <w:rPr>
          <w:sz w:val="18"/>
        </w:rPr>
      </w:pPr>
      <w:r>
        <w:rPr/>
        <w:pict>
          <v:line style="position:absolute;mso-position-horizontal-relative:page;mso-position-vertical-relative:paragraph;z-index:-257320" from="334.738190pt,.901359pt" to="334.738190pt,12.240359pt" stroked="true" strokeweight=".7pt" strokecolor="#000000">
            <w10:wrap type="none"/>
          </v:line>
        </w:pict>
      </w:r>
      <w:r>
        <w:rPr>
          <w:sz w:val="18"/>
        </w:rPr>
        <w:t>de ingresos de</w:t>
      </w:r>
      <w:r>
        <w:rPr>
          <w:spacing w:val="-15"/>
          <w:sz w:val="18"/>
        </w:rPr>
        <w:t> </w:t>
      </w:r>
      <w:r>
        <w:rPr>
          <w:sz w:val="18"/>
        </w:rPr>
        <w:t>los</w:t>
      </w:r>
      <w:r>
        <w:rPr>
          <w:spacing w:val="-5"/>
          <w:sz w:val="18"/>
        </w:rPr>
        <w:t> </w:t>
      </w:r>
      <w:r>
        <w:rPr>
          <w:sz w:val="18"/>
        </w:rPr>
        <w:t>jóvenes</w:t>
        <w:tab/>
        <w:t>145</w:t>
      </w:r>
    </w:p>
    <w:p>
      <w:pPr>
        <w:spacing w:after="0"/>
        <w:jc w:val="left"/>
        <w:rPr>
          <w:sz w:val="18"/>
        </w:rPr>
        <w:sectPr>
          <w:pgSz w:w="8790" w:h="12760"/>
          <w:pgMar w:top="1180" w:bottom="280" w:left="920" w:right="1200"/>
        </w:sectPr>
      </w:pPr>
    </w:p>
    <w:p>
      <w:pPr>
        <w:spacing w:before="127"/>
        <w:ind w:left="330" w:right="0" w:firstLine="0"/>
        <w:jc w:val="left"/>
        <w:rPr>
          <w:rFonts w:ascii="Times New Roman"/>
          <w:b/>
          <w:sz w:val="18"/>
        </w:rPr>
      </w:pPr>
      <w:r>
        <w:rPr>
          <w:rFonts w:ascii="Times New Roman"/>
          <w:b/>
          <w:w w:val="105"/>
          <w:sz w:val="18"/>
        </w:rPr>
        <w:t>fabio Grobart sunshine</w:t>
      </w:r>
    </w:p>
    <w:p>
      <w:pPr>
        <w:spacing w:before="10"/>
        <w:ind w:left="330" w:right="0" w:firstLine="0"/>
        <w:jc w:val="left"/>
        <w:rPr>
          <w:sz w:val="18"/>
        </w:rPr>
      </w:pPr>
      <w:r>
        <w:rPr>
          <w:sz w:val="18"/>
        </w:rPr>
        <w:t>Ciencia y tecnología en Estados Unidos. Deterioro sistémico-estructural</w:t>
      </w:r>
    </w:p>
    <w:p>
      <w:pPr>
        <w:tabs>
          <w:tab w:pos="6550" w:val="right" w:leader="none"/>
        </w:tabs>
        <w:spacing w:before="9"/>
        <w:ind w:left="330" w:right="0" w:firstLine="0"/>
        <w:jc w:val="left"/>
        <w:rPr>
          <w:sz w:val="18"/>
        </w:rPr>
      </w:pPr>
      <w:r>
        <w:rPr/>
        <w:pict>
          <v:line style="position:absolute;mso-position-horizontal-relative:page;mso-position-vertical-relative:paragraph;z-index:-257152" from="359.216187pt,1.099478pt" to="359.216187pt,12.438478pt" stroked="true" strokeweight=".7pt" strokecolor="#000000">
            <w10:wrap type="none"/>
          </v:line>
        </w:pict>
      </w:r>
      <w:r>
        <w:rPr>
          <w:sz w:val="18"/>
        </w:rPr>
        <w:t>y la</w:t>
      </w:r>
      <w:r>
        <w:rPr>
          <w:spacing w:val="-7"/>
          <w:sz w:val="18"/>
        </w:rPr>
        <w:t> </w:t>
      </w:r>
      <w:r>
        <w:rPr>
          <w:sz w:val="18"/>
        </w:rPr>
        <w:t>agenda</w:t>
      </w:r>
      <w:r>
        <w:rPr>
          <w:spacing w:val="-4"/>
          <w:sz w:val="18"/>
        </w:rPr>
        <w:t> </w:t>
      </w:r>
      <w:r>
        <w:rPr>
          <w:sz w:val="18"/>
        </w:rPr>
        <w:t>Obama</w:t>
        <w:tab/>
        <w:t>163</w:t>
      </w:r>
    </w:p>
    <w:p>
      <w:pPr>
        <w:spacing w:before="232"/>
        <w:ind w:left="330" w:right="0" w:firstLine="0"/>
        <w:jc w:val="left"/>
        <w:rPr>
          <w:rFonts w:ascii="Times New Roman" w:hAnsi="Times New Roman"/>
          <w:b/>
          <w:sz w:val="18"/>
        </w:rPr>
      </w:pPr>
      <w:r>
        <w:rPr>
          <w:rFonts w:ascii="Times New Roman" w:hAnsi="Times New Roman"/>
          <w:b/>
          <w:w w:val="110"/>
          <w:sz w:val="18"/>
        </w:rPr>
        <w:t>casandra castorena sánchez</w:t>
      </w:r>
    </w:p>
    <w:p>
      <w:pPr>
        <w:spacing w:before="10"/>
        <w:ind w:left="330" w:right="0" w:firstLine="0"/>
        <w:jc w:val="left"/>
        <w:rPr>
          <w:sz w:val="18"/>
        </w:rPr>
      </w:pPr>
      <w:r>
        <w:rPr>
          <w:sz w:val="18"/>
        </w:rPr>
        <w:t>Los cuatro pilares de la política exterior de Estados Unidos hacia</w:t>
      </w:r>
    </w:p>
    <w:p>
      <w:pPr>
        <w:tabs>
          <w:tab w:pos="6550" w:val="right" w:leader="none"/>
        </w:tabs>
        <w:spacing w:before="9"/>
        <w:ind w:left="330" w:right="0" w:firstLine="0"/>
        <w:jc w:val="left"/>
        <w:rPr>
          <w:sz w:val="18"/>
        </w:rPr>
      </w:pPr>
      <w:r>
        <w:rPr/>
        <w:pict>
          <v:line style="position:absolute;mso-position-horizontal-relative:page;mso-position-vertical-relative:paragraph;z-index:-257056" from="359.216187pt,1.186143pt" to="359.216187pt,12.525143pt" stroked="true" strokeweight=".7pt" strokecolor="#000000">
            <w10:wrap type="none"/>
          </v:line>
        </w:pict>
      </w:r>
      <w:r>
        <w:rPr>
          <w:sz w:val="18"/>
        </w:rPr>
        <w:t>el Hemisferio Occidental en el</w:t>
      </w:r>
      <w:r>
        <w:rPr>
          <w:spacing w:val="-14"/>
          <w:sz w:val="18"/>
        </w:rPr>
        <w:t> </w:t>
      </w:r>
      <w:r>
        <w:rPr>
          <w:sz w:val="18"/>
        </w:rPr>
        <w:t>siglo</w:t>
      </w:r>
      <w:r>
        <w:rPr>
          <w:spacing w:val="-3"/>
          <w:sz w:val="18"/>
        </w:rPr>
        <w:t> </w:t>
      </w:r>
      <w:r>
        <w:rPr>
          <w:sz w:val="18"/>
        </w:rPr>
        <w:t>XXI</w:t>
        <w:tab/>
        <w:t>197</w:t>
      </w:r>
    </w:p>
    <w:p>
      <w:pPr>
        <w:spacing w:before="232"/>
        <w:ind w:left="330" w:right="0" w:firstLine="0"/>
        <w:jc w:val="left"/>
        <w:rPr>
          <w:rFonts w:ascii="Times New Roman"/>
          <w:b/>
          <w:sz w:val="18"/>
        </w:rPr>
      </w:pPr>
      <w:r>
        <w:rPr>
          <w:rFonts w:ascii="Times New Roman"/>
          <w:b/>
          <w:w w:val="105"/>
          <w:sz w:val="18"/>
        </w:rPr>
        <w:t>ary cesar Minella</w:t>
      </w:r>
    </w:p>
    <w:p>
      <w:pPr>
        <w:spacing w:before="10"/>
        <w:ind w:left="330" w:right="0" w:firstLine="0"/>
        <w:jc w:val="left"/>
        <w:rPr>
          <w:sz w:val="18"/>
        </w:rPr>
      </w:pPr>
      <w:r>
        <w:rPr>
          <w:sz w:val="18"/>
        </w:rPr>
        <w:t>Reformas políticas y económicas. La actuación del Center for</w:t>
      </w:r>
    </w:p>
    <w:p>
      <w:pPr>
        <w:tabs>
          <w:tab w:pos="6550" w:val="right" w:leader="none"/>
        </w:tabs>
        <w:spacing w:before="9"/>
        <w:ind w:left="330" w:right="0" w:firstLine="0"/>
        <w:jc w:val="left"/>
        <w:rPr>
          <w:sz w:val="18"/>
        </w:rPr>
      </w:pPr>
      <w:r>
        <w:rPr/>
        <w:pict>
          <v:line style="position:absolute;mso-position-horizontal-relative:page;mso-position-vertical-relative:paragraph;z-index:-257104" from="359.216187pt,1.320169pt" to="359.216187pt,12.659169pt" stroked="true" strokeweight=".7pt" strokecolor="#000000">
            <w10:wrap type="none"/>
          </v:line>
        </w:pict>
      </w:r>
      <w:r>
        <w:rPr>
          <w:sz w:val="18"/>
        </w:rPr>
        <w:t>International Private Enterprise (CIPE) en</w:t>
      </w:r>
      <w:r>
        <w:rPr>
          <w:spacing w:val="-21"/>
          <w:sz w:val="18"/>
        </w:rPr>
        <w:t> </w:t>
      </w:r>
      <w:r>
        <w:rPr>
          <w:sz w:val="18"/>
        </w:rPr>
        <w:t>América</w:t>
      </w:r>
      <w:r>
        <w:rPr>
          <w:spacing w:val="-5"/>
          <w:sz w:val="18"/>
        </w:rPr>
        <w:t> </w:t>
      </w:r>
      <w:r>
        <w:rPr>
          <w:sz w:val="18"/>
        </w:rPr>
        <w:t>Latina</w:t>
        <w:tab/>
        <w:t>219</w:t>
      </w:r>
    </w:p>
    <w:p>
      <w:pPr>
        <w:spacing w:before="232"/>
        <w:ind w:left="330" w:right="0" w:firstLine="0"/>
        <w:jc w:val="left"/>
        <w:rPr>
          <w:rFonts w:ascii="Times New Roman"/>
          <w:b/>
          <w:sz w:val="18"/>
        </w:rPr>
      </w:pPr>
      <w:r>
        <w:rPr>
          <w:rFonts w:ascii="Times New Roman"/>
          <w:b/>
          <w:w w:val="105"/>
          <w:sz w:val="18"/>
        </w:rPr>
        <w:t>silvina M. romano</w:t>
      </w:r>
    </w:p>
    <w:p>
      <w:pPr>
        <w:spacing w:before="10"/>
        <w:ind w:left="330" w:right="0" w:firstLine="0"/>
        <w:jc w:val="left"/>
        <w:rPr>
          <w:sz w:val="18"/>
        </w:rPr>
      </w:pPr>
      <w:r>
        <w:rPr>
          <w:sz w:val="18"/>
        </w:rPr>
        <w:t>La conmemoración oficial del olvido de Vietnam en Estados  Unidos.</w:t>
      </w:r>
    </w:p>
    <w:p>
      <w:pPr>
        <w:tabs>
          <w:tab w:pos="6550" w:val="right" w:leader="none"/>
        </w:tabs>
        <w:spacing w:before="9"/>
        <w:ind w:left="330" w:right="0" w:firstLine="0"/>
        <w:jc w:val="left"/>
        <w:rPr>
          <w:sz w:val="18"/>
        </w:rPr>
      </w:pPr>
      <w:r>
        <w:rPr/>
        <w:pict>
          <v:line style="position:absolute;mso-position-horizontal-relative:page;mso-position-vertical-relative:paragraph;z-index:-257008" from="359.216187pt,1.312465pt" to="359.216187pt,12.651465pt" stroked="true" strokeweight=".7pt" strokecolor="#000000">
            <w10:wrap type="none"/>
          </v:line>
        </w:pict>
      </w:r>
      <w:r>
        <w:rPr>
          <w:sz w:val="18"/>
        </w:rPr>
        <w:t>Apuntes básicos para recuperar</w:t>
      </w:r>
      <w:r>
        <w:rPr>
          <w:spacing w:val="-15"/>
          <w:sz w:val="18"/>
        </w:rPr>
        <w:t> </w:t>
      </w:r>
      <w:r>
        <w:rPr>
          <w:sz w:val="18"/>
        </w:rPr>
        <w:t>la</w:t>
      </w:r>
      <w:r>
        <w:rPr>
          <w:spacing w:val="-4"/>
          <w:sz w:val="18"/>
        </w:rPr>
        <w:t> </w:t>
      </w:r>
      <w:r>
        <w:rPr>
          <w:sz w:val="18"/>
        </w:rPr>
        <w:t>memoria</w:t>
        <w:tab/>
        <w:t>251</w:t>
      </w:r>
    </w:p>
    <w:p>
      <w:pPr>
        <w:spacing w:before="232"/>
        <w:ind w:left="330" w:right="0" w:firstLine="0"/>
        <w:jc w:val="left"/>
        <w:rPr>
          <w:rFonts w:ascii="Times New Roman" w:hAnsi="Times New Roman"/>
          <w:b/>
          <w:sz w:val="18"/>
        </w:rPr>
      </w:pPr>
      <w:r>
        <w:rPr>
          <w:rFonts w:ascii="Times New Roman" w:hAnsi="Times New Roman"/>
          <w:b/>
          <w:sz w:val="18"/>
        </w:rPr>
        <w:t>Jorge Hernández Martínez</w:t>
      </w:r>
    </w:p>
    <w:p>
      <w:pPr>
        <w:spacing w:before="10"/>
        <w:ind w:left="330" w:right="0" w:firstLine="0"/>
        <w:jc w:val="left"/>
        <w:rPr>
          <w:sz w:val="18"/>
        </w:rPr>
      </w:pPr>
      <w:r>
        <w:rPr>
          <w:sz w:val="18"/>
        </w:rPr>
        <w:t>Estados Unidos y el antinorteamericanismo. Identidad cultural</w:t>
      </w:r>
    </w:p>
    <w:p>
      <w:pPr>
        <w:tabs>
          <w:tab w:pos="6550" w:val="right" w:leader="none"/>
        </w:tabs>
        <w:spacing w:before="9"/>
        <w:ind w:left="330" w:right="0" w:firstLine="0"/>
        <w:jc w:val="left"/>
        <w:rPr>
          <w:sz w:val="18"/>
        </w:rPr>
      </w:pPr>
      <w:r>
        <w:rPr/>
        <w:pict>
          <v:line style="position:absolute;mso-position-horizontal-relative:page;mso-position-vertical-relative:paragraph;z-index:-256960" from="359.216187pt,.926761pt" to="359.216187pt,12.265761pt" stroked="true" strokeweight=".7pt" strokecolor="#000000">
            <w10:wrap type="none"/>
          </v:line>
        </w:pict>
      </w:r>
      <w:r>
        <w:rPr>
          <w:sz w:val="18"/>
        </w:rPr>
        <w:t>y</w:t>
      </w:r>
      <w:r>
        <w:rPr>
          <w:spacing w:val="-4"/>
          <w:sz w:val="18"/>
        </w:rPr>
        <w:t> </w:t>
      </w:r>
      <w:r>
        <w:rPr>
          <w:sz w:val="18"/>
        </w:rPr>
        <w:t>seguridad</w:t>
      </w:r>
      <w:r>
        <w:rPr>
          <w:spacing w:val="-4"/>
          <w:sz w:val="18"/>
        </w:rPr>
        <w:t> </w:t>
      </w:r>
      <w:r>
        <w:rPr>
          <w:sz w:val="18"/>
        </w:rPr>
        <w:t>nacional</w:t>
        <w:tab/>
        <w:t>273</w:t>
      </w:r>
    </w:p>
    <w:p>
      <w:pPr>
        <w:pStyle w:val="BodyText"/>
        <w:spacing w:before="6"/>
      </w:pPr>
    </w:p>
    <w:p>
      <w:pPr>
        <w:spacing w:before="0"/>
        <w:ind w:left="789" w:right="559" w:firstLine="0"/>
        <w:jc w:val="center"/>
        <w:rPr>
          <w:sz w:val="18"/>
        </w:rPr>
      </w:pPr>
      <w:r>
        <w:rPr>
          <w:w w:val="105"/>
          <w:sz w:val="18"/>
        </w:rPr>
        <w:t>AMÉRICA LATINA Y ESTADOS UNIDOS</w:t>
      </w:r>
    </w:p>
    <w:p>
      <w:pPr>
        <w:pStyle w:val="BodyText"/>
        <w:spacing w:before="9"/>
      </w:pPr>
    </w:p>
    <w:p>
      <w:pPr>
        <w:spacing w:before="0"/>
        <w:ind w:left="330" w:right="0" w:firstLine="0"/>
        <w:jc w:val="left"/>
        <w:rPr>
          <w:rFonts w:ascii="Times New Roman"/>
          <w:b/>
          <w:sz w:val="18"/>
        </w:rPr>
      </w:pPr>
      <w:r>
        <w:rPr>
          <w:rFonts w:ascii="Times New Roman"/>
          <w:b/>
          <w:w w:val="105"/>
          <w:sz w:val="18"/>
        </w:rPr>
        <w:t>Jaime zuluaga nieto</w:t>
      </w:r>
    </w:p>
    <w:p>
      <w:pPr>
        <w:spacing w:before="10"/>
        <w:ind w:left="330" w:right="0" w:firstLine="0"/>
        <w:jc w:val="left"/>
        <w:rPr>
          <w:sz w:val="18"/>
        </w:rPr>
      </w:pPr>
      <w:r>
        <w:rPr>
          <w:sz w:val="18"/>
        </w:rPr>
        <w:t>Estados Unidos. Políticas de defensa en un contexto mundial económico</w:t>
      </w:r>
    </w:p>
    <w:p>
      <w:pPr>
        <w:tabs>
          <w:tab w:pos="6280" w:val="left" w:leader="none"/>
        </w:tabs>
        <w:spacing w:before="9"/>
        <w:ind w:left="330" w:right="0" w:firstLine="0"/>
        <w:jc w:val="left"/>
        <w:rPr>
          <w:sz w:val="18"/>
        </w:rPr>
      </w:pPr>
      <w:r>
        <w:rPr/>
        <w:pict>
          <v:line style="position:absolute;mso-position-horizontal-relative:page;mso-position-vertical-relative:paragraph;z-index:-257128" from="359.216187pt,.844254pt" to="359.216187pt,12.183254pt" stroked="true" strokeweight=".7pt" strokecolor="#000000">
            <w10:wrap type="none"/>
          </v:line>
        </w:pict>
      </w:r>
      <w:r>
        <w:rPr>
          <w:sz w:val="18"/>
        </w:rPr>
        <w:t>y</w:t>
      </w:r>
      <w:r>
        <w:rPr>
          <w:spacing w:val="-4"/>
          <w:sz w:val="18"/>
        </w:rPr>
        <w:t> </w:t>
      </w:r>
      <w:r>
        <w:rPr>
          <w:sz w:val="18"/>
        </w:rPr>
        <w:t>político</w:t>
      </w:r>
      <w:r>
        <w:rPr>
          <w:spacing w:val="-4"/>
          <w:sz w:val="18"/>
        </w:rPr>
        <w:t> </w:t>
      </w:r>
      <w:r>
        <w:rPr>
          <w:sz w:val="18"/>
        </w:rPr>
        <w:t>inestable</w:t>
        <w:tab/>
        <w:t>303</w:t>
      </w:r>
    </w:p>
    <w:p>
      <w:pPr>
        <w:pStyle w:val="BodyText"/>
        <w:spacing w:before="9"/>
      </w:pPr>
    </w:p>
    <w:p>
      <w:pPr>
        <w:spacing w:before="0"/>
        <w:ind w:left="330" w:right="0" w:firstLine="0"/>
        <w:jc w:val="left"/>
        <w:rPr>
          <w:rFonts w:ascii="Times New Roman" w:hAnsi="Times New Roman"/>
          <w:b/>
          <w:sz w:val="18"/>
        </w:rPr>
      </w:pPr>
      <w:r>
        <w:rPr>
          <w:rFonts w:ascii="Times New Roman" w:hAnsi="Times New Roman"/>
          <w:b/>
          <w:w w:val="110"/>
          <w:sz w:val="18"/>
        </w:rPr>
        <w:t>darío salinas figueredo</w:t>
      </w:r>
    </w:p>
    <w:p>
      <w:pPr>
        <w:spacing w:before="10"/>
        <w:ind w:left="330" w:right="0" w:firstLine="0"/>
        <w:jc w:val="left"/>
        <w:rPr>
          <w:sz w:val="18"/>
        </w:rPr>
      </w:pPr>
      <w:r>
        <w:rPr>
          <w:sz w:val="18"/>
        </w:rPr>
        <w:t>Cambios en la ecuación de poder, constantes estratégicas</w:t>
      </w:r>
    </w:p>
    <w:p>
      <w:pPr>
        <w:tabs>
          <w:tab w:pos="6280" w:val="left" w:leader="none"/>
        </w:tabs>
        <w:spacing w:before="9"/>
        <w:ind w:left="330" w:right="0" w:firstLine="0"/>
        <w:jc w:val="left"/>
        <w:rPr>
          <w:sz w:val="18"/>
        </w:rPr>
      </w:pPr>
      <w:r>
        <w:rPr/>
        <w:pict>
          <v:line style="position:absolute;mso-position-horizontal-relative:page;mso-position-vertical-relative:paragraph;z-index:-257032" from="359.216187pt,1.639665pt" to="359.216187pt,12.978665pt" stroked="true" strokeweight=".7pt" strokecolor="#000000">
            <w10:wrap type="none"/>
          </v:line>
        </w:pict>
      </w:r>
      <w:r>
        <w:rPr>
          <w:sz w:val="18"/>
        </w:rPr>
        <w:t>estadounidenses y procesos políticos en</w:t>
      </w:r>
      <w:r>
        <w:rPr>
          <w:spacing w:val="-12"/>
          <w:sz w:val="18"/>
        </w:rPr>
        <w:t> </w:t>
      </w:r>
      <w:r>
        <w:rPr>
          <w:sz w:val="18"/>
        </w:rPr>
        <w:t>América</w:t>
      </w:r>
      <w:r>
        <w:rPr>
          <w:spacing w:val="-3"/>
          <w:sz w:val="18"/>
        </w:rPr>
        <w:t> </w:t>
      </w:r>
      <w:r>
        <w:rPr>
          <w:sz w:val="18"/>
        </w:rPr>
        <w:t>Latina</w:t>
        <w:tab/>
        <w:t>323</w:t>
      </w:r>
    </w:p>
    <w:p>
      <w:pPr>
        <w:pStyle w:val="BodyText"/>
        <w:spacing w:before="9"/>
      </w:pPr>
    </w:p>
    <w:p>
      <w:pPr>
        <w:spacing w:before="0"/>
        <w:ind w:left="330" w:right="0" w:firstLine="0"/>
        <w:jc w:val="left"/>
        <w:rPr>
          <w:rFonts w:ascii="Times New Roman" w:hAnsi="Times New Roman"/>
          <w:b/>
          <w:sz w:val="18"/>
        </w:rPr>
      </w:pPr>
      <w:r>
        <w:rPr>
          <w:rFonts w:ascii="Times New Roman" w:hAnsi="Times New Roman"/>
          <w:b/>
          <w:w w:val="110"/>
          <w:sz w:val="18"/>
        </w:rPr>
        <w:t>luis suárez salazar</w:t>
      </w:r>
    </w:p>
    <w:p>
      <w:pPr>
        <w:spacing w:before="10"/>
        <w:ind w:left="330" w:right="0" w:firstLine="0"/>
        <w:jc w:val="left"/>
        <w:rPr>
          <w:sz w:val="18"/>
        </w:rPr>
      </w:pPr>
      <w:r>
        <w:rPr>
          <w:sz w:val="18"/>
        </w:rPr>
        <w:t>La política hacia América Latina y el Caribe de la segunda presidencia</w:t>
      </w:r>
    </w:p>
    <w:p>
      <w:pPr>
        <w:tabs>
          <w:tab w:pos="6280" w:val="left" w:leader="none"/>
        </w:tabs>
        <w:spacing w:before="9"/>
        <w:ind w:left="330" w:right="0" w:firstLine="0"/>
        <w:jc w:val="left"/>
        <w:rPr>
          <w:sz w:val="18"/>
        </w:rPr>
      </w:pPr>
      <w:r>
        <w:rPr/>
        <w:pict>
          <v:line style="position:absolute;mso-position-horizontal-relative:page;mso-position-vertical-relative:paragraph;z-index:-257080" from="359.216187pt,1.77356pt" to="359.216187pt,13.11256pt" stroked="true" strokeweight=".7pt" strokecolor="#000000">
            <w10:wrap type="none"/>
          </v:line>
        </w:pict>
      </w:r>
      <w:r>
        <w:rPr>
          <w:sz w:val="18"/>
        </w:rPr>
        <w:t>de Barack Obama. Una mirada desde la</w:t>
      </w:r>
      <w:r>
        <w:rPr>
          <w:spacing w:val="-7"/>
          <w:sz w:val="18"/>
        </w:rPr>
        <w:t> </w:t>
      </w:r>
      <w:r>
        <w:rPr>
          <w:sz w:val="18"/>
        </w:rPr>
        <w:t>prospectiva</w:t>
      </w:r>
      <w:r>
        <w:rPr>
          <w:spacing w:val="-1"/>
          <w:sz w:val="18"/>
        </w:rPr>
        <w:t> </w:t>
      </w:r>
      <w:r>
        <w:rPr>
          <w:sz w:val="18"/>
        </w:rPr>
        <w:t>crítica</w:t>
        <w:tab/>
        <w:t>349</w:t>
      </w:r>
    </w:p>
    <w:p>
      <w:pPr>
        <w:pStyle w:val="BodyText"/>
        <w:spacing w:before="9"/>
      </w:pPr>
    </w:p>
    <w:p>
      <w:pPr>
        <w:spacing w:before="0"/>
        <w:ind w:left="330" w:right="0" w:firstLine="0"/>
        <w:jc w:val="left"/>
        <w:rPr>
          <w:rFonts w:ascii="Times New Roman"/>
          <w:b/>
          <w:sz w:val="18"/>
        </w:rPr>
      </w:pPr>
      <w:r>
        <w:rPr>
          <w:rFonts w:ascii="Times New Roman"/>
          <w:b/>
          <w:spacing w:val="2"/>
          <w:w w:val="201"/>
          <w:sz w:val="18"/>
        </w:rPr>
        <w:t>l</w:t>
      </w:r>
      <w:r>
        <w:rPr>
          <w:rFonts w:ascii="Times New Roman"/>
          <w:b/>
          <w:spacing w:val="-1"/>
          <w:w w:val="113"/>
          <w:sz w:val="18"/>
        </w:rPr>
        <w:t>e</w:t>
      </w:r>
      <w:r>
        <w:rPr>
          <w:rFonts w:ascii="Times New Roman"/>
          <w:b/>
          <w:w w:val="105"/>
          <w:sz w:val="18"/>
        </w:rPr>
        <w:t>an</w:t>
      </w:r>
      <w:r>
        <w:rPr>
          <w:rFonts w:ascii="Times New Roman"/>
          <w:b/>
          <w:w w:val="98"/>
          <w:sz w:val="18"/>
        </w:rPr>
        <w:t>d</w:t>
      </w:r>
      <w:r>
        <w:rPr>
          <w:rFonts w:ascii="Times New Roman"/>
          <w:b/>
          <w:spacing w:val="-2"/>
          <w:w w:val="98"/>
          <w:sz w:val="18"/>
        </w:rPr>
        <w:t>r</w:t>
      </w:r>
      <w:r>
        <w:rPr>
          <w:rFonts w:ascii="Times New Roman"/>
          <w:b/>
          <w:w w:val="110"/>
          <w:sz w:val="18"/>
        </w:rPr>
        <w:t>o</w:t>
      </w:r>
      <w:r>
        <w:rPr>
          <w:rFonts w:ascii="Times New Roman"/>
          <w:b/>
          <w:spacing w:val="-9"/>
          <w:sz w:val="18"/>
        </w:rPr>
        <w:t> </w:t>
      </w:r>
      <w:r>
        <w:rPr>
          <w:rFonts w:ascii="Times New Roman"/>
          <w:b/>
          <w:spacing w:val="-2"/>
          <w:w w:val="92"/>
          <w:sz w:val="18"/>
        </w:rPr>
        <w:t>M</w:t>
      </w:r>
      <w:r>
        <w:rPr>
          <w:rFonts w:ascii="Times New Roman"/>
          <w:b/>
          <w:w w:val="101"/>
          <w:sz w:val="18"/>
        </w:rPr>
        <w:t>org</w:t>
      </w:r>
      <w:r>
        <w:rPr>
          <w:rFonts w:ascii="Times New Roman"/>
          <w:b/>
          <w:w w:val="106"/>
          <w:sz w:val="18"/>
        </w:rPr>
        <w:t>enfeld</w:t>
      </w:r>
    </w:p>
    <w:p>
      <w:pPr>
        <w:spacing w:before="10"/>
        <w:ind w:left="330" w:right="0" w:firstLine="0"/>
        <w:jc w:val="left"/>
        <w:rPr>
          <w:sz w:val="18"/>
        </w:rPr>
      </w:pPr>
      <w:r>
        <w:rPr>
          <w:sz w:val="18"/>
        </w:rPr>
        <w:t>Estados Unidos y sus vecinos del sur en las Cumbres de las Américas.</w:t>
      </w:r>
    </w:p>
    <w:p>
      <w:pPr>
        <w:tabs>
          <w:tab w:pos="6280" w:val="left" w:leader="none"/>
        </w:tabs>
        <w:spacing w:before="9"/>
        <w:ind w:left="330" w:right="0" w:firstLine="0"/>
        <w:jc w:val="left"/>
        <w:rPr>
          <w:sz w:val="18"/>
        </w:rPr>
      </w:pPr>
      <w:r>
        <w:rPr/>
        <w:pict>
          <v:line style="position:absolute;mso-position-horizontal-relative:page;mso-position-vertical-relative:paragraph;z-index:-256984" from="359.216187pt,1.765856pt" to="359.216187pt,13.104856pt" stroked="true" strokeweight=".7pt" strokecolor="#000000">
            <w10:wrap type="none"/>
          </v:line>
        </w:pict>
      </w:r>
      <w:r>
        <w:rPr>
          <w:sz w:val="18"/>
        </w:rPr>
        <w:t>De la subordinación</w:t>
      </w:r>
      <w:r>
        <w:rPr>
          <w:spacing w:val="1"/>
          <w:sz w:val="18"/>
        </w:rPr>
        <w:t> </w:t>
      </w:r>
      <w:r>
        <w:rPr>
          <w:sz w:val="18"/>
        </w:rPr>
        <w:t>al desafío</w:t>
        <w:tab/>
        <w:t>381</w:t>
      </w:r>
    </w:p>
    <w:p>
      <w:pPr>
        <w:pStyle w:val="BodyText"/>
        <w:spacing w:before="9"/>
      </w:pPr>
    </w:p>
    <w:p>
      <w:pPr>
        <w:spacing w:before="0"/>
        <w:ind w:left="330" w:right="0" w:firstLine="0"/>
        <w:jc w:val="left"/>
        <w:rPr>
          <w:rFonts w:ascii="Times New Roman" w:hAnsi="Times New Roman"/>
          <w:b/>
          <w:sz w:val="18"/>
        </w:rPr>
      </w:pPr>
      <w:r>
        <w:rPr>
          <w:rFonts w:ascii="Times New Roman" w:hAnsi="Times New Roman"/>
          <w:b/>
          <w:w w:val="201"/>
          <w:sz w:val="18"/>
        </w:rPr>
        <w:t>l</w:t>
      </w:r>
      <w:r>
        <w:rPr>
          <w:rFonts w:ascii="Times New Roman" w:hAnsi="Times New Roman"/>
          <w:b/>
          <w:w w:val="105"/>
          <w:sz w:val="18"/>
        </w:rPr>
        <w:t>an</w:t>
      </w:r>
      <w:r>
        <w:rPr>
          <w:rFonts w:ascii="Times New Roman" w:hAnsi="Times New Roman"/>
          <w:b/>
          <w:spacing w:val="1"/>
          <w:w w:val="113"/>
          <w:sz w:val="18"/>
        </w:rPr>
        <w:t>e</w:t>
      </w:r>
      <w:r>
        <w:rPr>
          <w:rFonts w:ascii="Times New Roman" w:hAnsi="Times New Roman"/>
          <w:b/>
          <w:spacing w:val="-1"/>
          <w:w w:val="98"/>
          <w:sz w:val="18"/>
        </w:rPr>
        <w:t>y</w:t>
      </w:r>
      <w:r>
        <w:rPr>
          <w:rFonts w:ascii="Times New Roman" w:hAnsi="Times New Roman"/>
          <w:b/>
          <w:w w:val="103"/>
          <w:sz w:val="18"/>
        </w:rPr>
        <w:t>d</w:t>
      </w:r>
      <w:r>
        <w:rPr>
          <w:rFonts w:ascii="Times New Roman" w:hAnsi="Times New Roman"/>
          <w:b/>
          <w:w w:val="105"/>
          <w:sz w:val="18"/>
        </w:rPr>
        <w:t>i</w:t>
      </w:r>
      <w:r>
        <w:rPr>
          <w:rFonts w:ascii="Times New Roman" w:hAnsi="Times New Roman"/>
          <w:b/>
          <w:spacing w:val="-9"/>
          <w:sz w:val="18"/>
        </w:rPr>
        <w:t> </w:t>
      </w:r>
      <w:r>
        <w:rPr>
          <w:rFonts w:ascii="Times New Roman" w:hAnsi="Times New Roman"/>
          <w:b/>
          <w:spacing w:val="-4"/>
          <w:w w:val="92"/>
          <w:sz w:val="18"/>
        </w:rPr>
        <w:t>M</w:t>
      </w:r>
      <w:r>
        <w:rPr>
          <w:rFonts w:ascii="Times New Roman" w:hAnsi="Times New Roman"/>
          <w:b/>
          <w:w w:val="98"/>
          <w:sz w:val="18"/>
        </w:rPr>
        <w:t>ar</w:t>
      </w:r>
      <w:r>
        <w:rPr>
          <w:rFonts w:ascii="Times New Roman" w:hAnsi="Times New Roman"/>
          <w:b/>
          <w:w w:val="104"/>
          <w:sz w:val="18"/>
        </w:rPr>
        <w:t>tín</w:t>
      </w:r>
      <w:r>
        <w:rPr>
          <w:rFonts w:ascii="Times New Roman" w:hAnsi="Times New Roman"/>
          <w:b/>
          <w:w w:val="109"/>
          <w:sz w:val="18"/>
        </w:rPr>
        <w:t>ez</w:t>
      </w:r>
      <w:r>
        <w:rPr>
          <w:rFonts w:ascii="Times New Roman" w:hAnsi="Times New Roman"/>
          <w:b/>
          <w:spacing w:val="-9"/>
          <w:sz w:val="18"/>
        </w:rPr>
        <w:t> </w:t>
      </w:r>
      <w:r>
        <w:rPr>
          <w:rFonts w:ascii="Times New Roman" w:hAnsi="Times New Roman"/>
          <w:b/>
          <w:w w:val="129"/>
          <w:sz w:val="18"/>
        </w:rPr>
        <w:t>a</w:t>
      </w:r>
      <w:r>
        <w:rPr>
          <w:rFonts w:ascii="Times New Roman" w:hAnsi="Times New Roman"/>
          <w:b/>
          <w:w w:val="105"/>
          <w:sz w:val="18"/>
        </w:rPr>
        <w:t>lfon</w:t>
      </w:r>
      <w:r>
        <w:rPr>
          <w:rFonts w:ascii="Times New Roman" w:hAnsi="Times New Roman"/>
          <w:b/>
          <w:spacing w:val="2"/>
          <w:w w:val="105"/>
          <w:sz w:val="18"/>
        </w:rPr>
        <w:t>s</w:t>
      </w:r>
      <w:r>
        <w:rPr>
          <w:rFonts w:ascii="Times New Roman" w:hAnsi="Times New Roman"/>
          <w:b/>
          <w:w w:val="110"/>
          <w:sz w:val="18"/>
        </w:rPr>
        <w:t>o</w:t>
      </w:r>
    </w:p>
    <w:p>
      <w:pPr>
        <w:tabs>
          <w:tab w:pos="6280" w:val="left" w:leader="none"/>
        </w:tabs>
        <w:spacing w:line="249" w:lineRule="auto" w:before="11"/>
        <w:ind w:left="330" w:right="114" w:firstLine="0"/>
        <w:jc w:val="left"/>
        <w:rPr>
          <w:sz w:val="18"/>
        </w:rPr>
      </w:pPr>
      <w:r>
        <w:rPr/>
        <w:pict>
          <v:line style="position:absolute;mso-position-horizontal-relative:page;mso-position-vertical-relative:paragraph;z-index:-256936" from="359.216187pt,12.400165pt" to="359.216187pt,23.739165pt" stroked="true" strokeweight=".7pt" strokecolor="#000000">
            <w10:wrap type="none"/>
          </v:line>
        </w:pict>
      </w:r>
      <w:r>
        <w:rPr>
          <w:spacing w:val="-4"/>
          <w:sz w:val="18"/>
        </w:rPr>
        <w:t>Estados </w:t>
      </w:r>
      <w:r>
        <w:rPr>
          <w:spacing w:val="-5"/>
          <w:sz w:val="18"/>
        </w:rPr>
        <w:t>Unidos-América </w:t>
      </w:r>
      <w:r>
        <w:rPr>
          <w:spacing w:val="-4"/>
          <w:sz w:val="18"/>
        </w:rPr>
        <w:t>Latina </w:t>
      </w:r>
      <w:r>
        <w:rPr>
          <w:sz w:val="18"/>
        </w:rPr>
        <w:t>y el </w:t>
      </w:r>
      <w:r>
        <w:rPr>
          <w:spacing w:val="-4"/>
          <w:sz w:val="18"/>
        </w:rPr>
        <w:t>Caribe </w:t>
      </w:r>
      <w:r>
        <w:rPr>
          <w:sz w:val="18"/>
        </w:rPr>
        <w:t>en un </w:t>
      </w:r>
      <w:r>
        <w:rPr>
          <w:spacing w:val="-4"/>
          <w:sz w:val="18"/>
        </w:rPr>
        <w:t>nuevo contexto económico </w:t>
      </w:r>
      <w:r>
        <w:rPr>
          <w:sz w:val="18"/>
        </w:rPr>
        <w:t>internacional. Los cambios en la transmisión de</w:t>
      </w:r>
      <w:r>
        <w:rPr>
          <w:spacing w:val="7"/>
          <w:sz w:val="18"/>
        </w:rPr>
        <w:t> </w:t>
      </w:r>
      <w:r>
        <w:rPr>
          <w:sz w:val="18"/>
        </w:rPr>
        <w:t>impulsos</w:t>
      </w:r>
      <w:r>
        <w:rPr>
          <w:spacing w:val="1"/>
          <w:sz w:val="18"/>
        </w:rPr>
        <w:t> </w:t>
      </w:r>
      <w:r>
        <w:rPr>
          <w:sz w:val="18"/>
        </w:rPr>
        <w:t>cíclicos</w:t>
        <w:tab/>
      </w:r>
      <w:r>
        <w:rPr>
          <w:w w:val="90"/>
          <w:sz w:val="18"/>
        </w:rPr>
        <w:t>411</w:t>
      </w:r>
    </w:p>
    <w:p>
      <w:pPr>
        <w:spacing w:after="0" w:line="249" w:lineRule="auto"/>
        <w:jc w:val="left"/>
        <w:rPr>
          <w:sz w:val="18"/>
        </w:rPr>
        <w:sectPr>
          <w:pgSz w:w="8790" w:h="12760"/>
          <w:pgMar w:top="1180" w:bottom="280" w:left="1200" w:right="920"/>
        </w:sectPr>
      </w:pPr>
    </w:p>
    <w:p>
      <w:pPr>
        <w:pStyle w:val="BodyText"/>
        <w:rPr>
          <w:sz w:val="20"/>
        </w:rPr>
      </w:pPr>
    </w:p>
    <w:p>
      <w:pPr>
        <w:pStyle w:val="BodyText"/>
        <w:rPr>
          <w:sz w:val="20"/>
        </w:rPr>
      </w:pPr>
    </w:p>
    <w:p>
      <w:pPr>
        <w:pStyle w:val="BodyText"/>
        <w:rPr>
          <w:sz w:val="25"/>
        </w:rPr>
      </w:pPr>
    </w:p>
    <w:p>
      <w:pPr>
        <w:pStyle w:val="Heading2"/>
        <w:spacing w:line="240" w:lineRule="auto" w:before="51"/>
        <w:ind w:left="1044" w:right="1249"/>
      </w:pPr>
      <w:bookmarkStart w:name="_TOC_250003" w:id="1"/>
      <w:bookmarkEnd w:id="1"/>
      <w:r>
        <w:rPr>
          <w:w w:val="135"/>
        </w:rPr>
        <w:t>Presentación</w:t>
      </w:r>
    </w:p>
    <w:p>
      <w:pPr>
        <w:pStyle w:val="Heading3"/>
        <w:spacing w:before="262"/>
        <w:ind w:left="1041" w:right="1249"/>
      </w:pPr>
      <w:r>
        <w:rPr/>
        <w:t>Pablo Gentili* y Pablo Vommaro**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3"/>
        <w:rPr>
          <w:sz w:val="37"/>
        </w:rPr>
      </w:pPr>
    </w:p>
    <w:p>
      <w:pPr>
        <w:spacing w:line="252" w:lineRule="auto" w:before="0"/>
        <w:ind w:left="120" w:right="327" w:firstLine="0"/>
        <w:jc w:val="both"/>
        <w:rPr>
          <w:sz w:val="19"/>
        </w:rPr>
      </w:pPr>
      <w:r>
        <w:rPr>
          <w:w w:val="155"/>
          <w:sz w:val="19"/>
        </w:rPr>
        <w:t>EstE</w:t>
      </w:r>
      <w:r>
        <w:rPr>
          <w:spacing w:val="-26"/>
          <w:w w:val="155"/>
          <w:sz w:val="19"/>
        </w:rPr>
        <w:t> </w:t>
      </w:r>
      <w:r>
        <w:rPr>
          <w:w w:val="155"/>
          <w:sz w:val="19"/>
        </w:rPr>
        <w:t>libro</w:t>
      </w:r>
      <w:r>
        <w:rPr>
          <w:spacing w:val="-26"/>
          <w:w w:val="155"/>
          <w:sz w:val="19"/>
        </w:rPr>
        <w:t> </w:t>
      </w:r>
      <w:r>
        <w:rPr>
          <w:w w:val="115"/>
          <w:sz w:val="19"/>
        </w:rPr>
        <w:t>Es</w:t>
      </w:r>
      <w:r>
        <w:rPr>
          <w:spacing w:val="-9"/>
          <w:w w:val="115"/>
          <w:sz w:val="19"/>
        </w:rPr>
        <w:t> </w:t>
      </w:r>
      <w:r>
        <w:rPr>
          <w:w w:val="155"/>
          <w:sz w:val="19"/>
        </w:rPr>
        <w:t>El</w:t>
      </w:r>
      <w:r>
        <w:rPr>
          <w:spacing w:val="-26"/>
          <w:w w:val="155"/>
          <w:sz w:val="19"/>
        </w:rPr>
        <w:t> </w:t>
      </w:r>
      <w:r>
        <w:rPr>
          <w:spacing w:val="-4"/>
          <w:w w:val="155"/>
          <w:sz w:val="19"/>
        </w:rPr>
        <w:t>rEsultado</w:t>
      </w:r>
      <w:r>
        <w:rPr>
          <w:spacing w:val="-26"/>
          <w:w w:val="155"/>
          <w:sz w:val="19"/>
        </w:rPr>
        <w:t> </w:t>
      </w:r>
      <w:r>
        <w:rPr>
          <w:w w:val="115"/>
          <w:sz w:val="19"/>
        </w:rPr>
        <w:t>del</w:t>
      </w:r>
      <w:r>
        <w:rPr>
          <w:spacing w:val="-9"/>
          <w:w w:val="115"/>
          <w:sz w:val="19"/>
        </w:rPr>
        <w:t> </w:t>
      </w:r>
      <w:r>
        <w:rPr>
          <w:w w:val="115"/>
          <w:sz w:val="19"/>
        </w:rPr>
        <w:t>trabajo</w:t>
      </w:r>
      <w:r>
        <w:rPr>
          <w:spacing w:val="-9"/>
          <w:w w:val="115"/>
          <w:sz w:val="19"/>
        </w:rPr>
        <w:t> </w:t>
      </w:r>
      <w:r>
        <w:rPr>
          <w:w w:val="115"/>
          <w:sz w:val="19"/>
        </w:rPr>
        <w:t>colectivo</w:t>
      </w:r>
      <w:r>
        <w:rPr>
          <w:spacing w:val="-9"/>
          <w:w w:val="115"/>
          <w:sz w:val="19"/>
        </w:rPr>
        <w:t> </w:t>
      </w:r>
      <w:r>
        <w:rPr>
          <w:w w:val="115"/>
          <w:sz w:val="19"/>
        </w:rPr>
        <w:t>llevado</w:t>
      </w:r>
      <w:r>
        <w:rPr>
          <w:spacing w:val="-9"/>
          <w:w w:val="115"/>
          <w:sz w:val="19"/>
        </w:rPr>
        <w:t> </w:t>
      </w:r>
      <w:r>
        <w:rPr>
          <w:w w:val="115"/>
          <w:sz w:val="19"/>
        </w:rPr>
        <w:t>a</w:t>
      </w:r>
      <w:r>
        <w:rPr>
          <w:spacing w:val="-9"/>
          <w:w w:val="115"/>
          <w:sz w:val="19"/>
        </w:rPr>
        <w:t> </w:t>
      </w:r>
      <w:r>
        <w:rPr>
          <w:w w:val="115"/>
          <w:sz w:val="19"/>
        </w:rPr>
        <w:t>cabo por</w:t>
      </w:r>
      <w:r>
        <w:rPr>
          <w:spacing w:val="-29"/>
          <w:w w:val="115"/>
          <w:sz w:val="19"/>
        </w:rPr>
        <w:t> </w:t>
      </w:r>
      <w:r>
        <w:rPr>
          <w:w w:val="115"/>
          <w:sz w:val="19"/>
        </w:rPr>
        <w:t>algunos</w:t>
      </w:r>
      <w:r>
        <w:rPr>
          <w:spacing w:val="-29"/>
          <w:w w:val="115"/>
          <w:sz w:val="19"/>
        </w:rPr>
        <w:t> </w:t>
      </w:r>
      <w:r>
        <w:rPr>
          <w:w w:val="115"/>
          <w:sz w:val="19"/>
        </w:rPr>
        <w:t>de</w:t>
      </w:r>
      <w:r>
        <w:rPr>
          <w:spacing w:val="-29"/>
          <w:w w:val="115"/>
          <w:sz w:val="19"/>
        </w:rPr>
        <w:t> </w:t>
      </w:r>
      <w:r>
        <w:rPr>
          <w:w w:val="115"/>
          <w:sz w:val="19"/>
        </w:rPr>
        <w:t>los</w:t>
      </w:r>
      <w:r>
        <w:rPr>
          <w:spacing w:val="-29"/>
          <w:w w:val="115"/>
          <w:sz w:val="19"/>
        </w:rPr>
        <w:t> </w:t>
      </w:r>
      <w:r>
        <w:rPr>
          <w:w w:val="115"/>
          <w:sz w:val="19"/>
        </w:rPr>
        <w:t>más</w:t>
      </w:r>
      <w:r>
        <w:rPr>
          <w:spacing w:val="-29"/>
          <w:w w:val="115"/>
          <w:sz w:val="19"/>
        </w:rPr>
        <w:t> </w:t>
      </w:r>
      <w:r>
        <w:rPr>
          <w:w w:val="115"/>
          <w:sz w:val="19"/>
        </w:rPr>
        <w:t>destacados</w:t>
      </w:r>
      <w:r>
        <w:rPr>
          <w:spacing w:val="-29"/>
          <w:w w:val="115"/>
          <w:sz w:val="19"/>
        </w:rPr>
        <w:t> </w:t>
      </w:r>
      <w:r>
        <w:rPr>
          <w:w w:val="115"/>
          <w:sz w:val="19"/>
        </w:rPr>
        <w:t>intelectuales</w:t>
      </w:r>
      <w:r>
        <w:rPr>
          <w:spacing w:val="-29"/>
          <w:w w:val="115"/>
          <w:sz w:val="19"/>
        </w:rPr>
        <w:t> </w:t>
      </w:r>
      <w:r>
        <w:rPr>
          <w:w w:val="115"/>
          <w:sz w:val="19"/>
        </w:rPr>
        <w:t>de</w:t>
      </w:r>
      <w:r>
        <w:rPr>
          <w:spacing w:val="-29"/>
          <w:w w:val="115"/>
          <w:sz w:val="19"/>
        </w:rPr>
        <w:t> </w:t>
      </w:r>
      <w:r>
        <w:rPr>
          <w:w w:val="115"/>
          <w:sz w:val="19"/>
        </w:rPr>
        <w:t>nuestra</w:t>
      </w:r>
      <w:r>
        <w:rPr>
          <w:spacing w:val="-29"/>
          <w:w w:val="115"/>
          <w:sz w:val="19"/>
        </w:rPr>
        <w:t> </w:t>
      </w:r>
      <w:r>
        <w:rPr>
          <w:w w:val="115"/>
          <w:sz w:val="19"/>
        </w:rPr>
        <w:t>región</w:t>
      </w:r>
      <w:r>
        <w:rPr>
          <w:spacing w:val="-29"/>
          <w:w w:val="115"/>
          <w:sz w:val="19"/>
        </w:rPr>
        <w:t> </w:t>
      </w:r>
      <w:r>
        <w:rPr>
          <w:w w:val="115"/>
          <w:sz w:val="19"/>
        </w:rPr>
        <w:t>que estudian, analizan y nos ayudan a comprender críticamente las re- </w:t>
      </w:r>
      <w:r>
        <w:rPr>
          <w:w w:val="110"/>
          <w:sz w:val="19"/>
        </w:rPr>
        <w:t>laciones</w:t>
      </w:r>
      <w:r>
        <w:rPr>
          <w:sz w:val="19"/>
        </w:rPr>
        <w:t> </w:t>
      </w:r>
      <w:r>
        <w:rPr>
          <w:spacing w:val="-14"/>
          <w:sz w:val="19"/>
        </w:rPr>
        <w:t> </w:t>
      </w:r>
      <w:r>
        <w:rPr>
          <w:w w:val="106"/>
          <w:sz w:val="19"/>
        </w:rPr>
        <w:t>entre</w:t>
      </w:r>
      <w:r>
        <w:rPr>
          <w:sz w:val="19"/>
        </w:rPr>
        <w:t> </w:t>
      </w:r>
      <w:r>
        <w:rPr>
          <w:spacing w:val="-14"/>
          <w:sz w:val="19"/>
        </w:rPr>
        <w:t> </w:t>
      </w:r>
      <w:r>
        <w:rPr>
          <w:w w:val="111"/>
          <w:sz w:val="19"/>
        </w:rPr>
        <w:t>Estados</w:t>
      </w:r>
      <w:r>
        <w:rPr>
          <w:sz w:val="19"/>
        </w:rPr>
        <w:t> </w:t>
      </w:r>
      <w:r>
        <w:rPr>
          <w:spacing w:val="-14"/>
          <w:sz w:val="19"/>
        </w:rPr>
        <w:t> </w:t>
      </w:r>
      <w:r>
        <w:rPr>
          <w:w w:val="140"/>
          <w:sz w:val="19"/>
        </w:rPr>
        <w:t>u</w:t>
      </w:r>
      <w:r>
        <w:rPr>
          <w:w w:val="110"/>
          <w:sz w:val="19"/>
        </w:rPr>
        <w:t>nidos</w:t>
      </w:r>
      <w:r>
        <w:rPr>
          <w:sz w:val="19"/>
        </w:rPr>
        <w:t> </w:t>
      </w:r>
      <w:r>
        <w:rPr>
          <w:spacing w:val="-14"/>
          <w:sz w:val="19"/>
        </w:rPr>
        <w:t> </w:t>
      </w:r>
      <w:r>
        <w:rPr>
          <w:w w:val="105"/>
          <w:sz w:val="19"/>
        </w:rPr>
        <w:t>y</w:t>
      </w:r>
      <w:r>
        <w:rPr>
          <w:sz w:val="19"/>
        </w:rPr>
        <w:t> </w:t>
      </w:r>
      <w:r>
        <w:rPr>
          <w:spacing w:val="-14"/>
          <w:sz w:val="19"/>
        </w:rPr>
        <w:t> </w:t>
      </w:r>
      <w:r>
        <w:rPr>
          <w:w w:val="139"/>
          <w:sz w:val="19"/>
        </w:rPr>
        <w:t>a</w:t>
      </w:r>
      <w:r>
        <w:rPr>
          <w:w w:val="111"/>
          <w:sz w:val="19"/>
        </w:rPr>
        <w:t>mérica</w:t>
      </w:r>
      <w:r>
        <w:rPr>
          <w:sz w:val="19"/>
        </w:rPr>
        <w:t> </w:t>
      </w:r>
      <w:r>
        <w:rPr>
          <w:spacing w:val="-14"/>
          <w:sz w:val="19"/>
        </w:rPr>
        <w:t> </w:t>
      </w:r>
      <w:r>
        <w:rPr>
          <w:w w:val="243"/>
          <w:sz w:val="19"/>
        </w:rPr>
        <w:t>l</w:t>
      </w:r>
      <w:r>
        <w:rPr>
          <w:w w:val="113"/>
          <w:sz w:val="19"/>
        </w:rPr>
        <w:t>atina.</w:t>
      </w:r>
      <w:r>
        <w:rPr>
          <w:sz w:val="19"/>
        </w:rPr>
        <w:t> </w:t>
      </w:r>
      <w:r>
        <w:rPr>
          <w:spacing w:val="-14"/>
          <w:sz w:val="19"/>
        </w:rPr>
        <w:t> </w:t>
      </w:r>
      <w:r>
        <w:rPr>
          <w:w w:val="110"/>
          <w:sz w:val="19"/>
        </w:rPr>
        <w:t>Constituye</w:t>
      </w:r>
      <w:r>
        <w:rPr>
          <w:sz w:val="19"/>
        </w:rPr>
        <w:t> </w:t>
      </w:r>
      <w:r>
        <w:rPr>
          <w:spacing w:val="-14"/>
          <w:sz w:val="19"/>
        </w:rPr>
        <w:t> </w:t>
      </w:r>
      <w:r>
        <w:rPr>
          <w:w w:val="107"/>
          <w:sz w:val="19"/>
        </w:rPr>
        <w:t>el</w:t>
      </w:r>
      <w:r>
        <w:rPr>
          <w:sz w:val="19"/>
        </w:rPr>
        <w:t> </w:t>
      </w:r>
      <w:r>
        <w:rPr>
          <w:spacing w:val="-14"/>
          <w:sz w:val="19"/>
        </w:rPr>
        <w:t> </w:t>
      </w:r>
      <w:r>
        <w:rPr>
          <w:w w:val="111"/>
          <w:sz w:val="19"/>
        </w:rPr>
        <w:t>cua</w:t>
      </w:r>
      <w:r>
        <w:rPr>
          <w:spacing w:val="-15"/>
          <w:w w:val="111"/>
          <w:sz w:val="19"/>
        </w:rPr>
        <w:t>r</w:t>
      </w:r>
      <w:r>
        <w:rPr>
          <w:w w:val="102"/>
          <w:sz w:val="19"/>
        </w:rPr>
        <w:t>- </w:t>
      </w:r>
      <w:r>
        <w:rPr>
          <w:w w:val="115"/>
          <w:sz w:val="19"/>
        </w:rPr>
        <w:t>to libro de una serie inaugurada con </w:t>
      </w:r>
      <w:r>
        <w:rPr>
          <w:i/>
          <w:w w:val="115"/>
          <w:sz w:val="19"/>
        </w:rPr>
        <w:t>Crisis de hegemonía de Estados </w:t>
      </w:r>
      <w:r>
        <w:rPr>
          <w:i/>
          <w:w w:val="115"/>
          <w:sz w:val="19"/>
        </w:rPr>
        <w:t>Unidos</w:t>
      </w:r>
      <w:r>
        <w:rPr>
          <w:i/>
          <w:spacing w:val="-12"/>
          <w:w w:val="115"/>
          <w:sz w:val="19"/>
        </w:rPr>
        <w:t> </w:t>
      </w:r>
      <w:r>
        <w:rPr>
          <w:w w:val="115"/>
          <w:sz w:val="19"/>
        </w:rPr>
        <w:t>(2007);</w:t>
      </w:r>
      <w:r>
        <w:rPr>
          <w:spacing w:val="-12"/>
          <w:w w:val="115"/>
          <w:sz w:val="19"/>
        </w:rPr>
        <w:t> </w:t>
      </w:r>
      <w:r>
        <w:rPr>
          <w:i/>
          <w:w w:val="115"/>
          <w:sz w:val="19"/>
        </w:rPr>
        <w:t>Estados</w:t>
      </w:r>
      <w:r>
        <w:rPr>
          <w:i/>
          <w:spacing w:val="-12"/>
          <w:w w:val="115"/>
          <w:sz w:val="19"/>
        </w:rPr>
        <w:t> </w:t>
      </w:r>
      <w:r>
        <w:rPr>
          <w:i/>
          <w:w w:val="115"/>
          <w:sz w:val="19"/>
        </w:rPr>
        <w:t>Unidos.</w:t>
      </w:r>
      <w:r>
        <w:rPr>
          <w:i/>
          <w:spacing w:val="-12"/>
          <w:w w:val="115"/>
          <w:sz w:val="19"/>
        </w:rPr>
        <w:t> </w:t>
      </w:r>
      <w:r>
        <w:rPr>
          <w:i/>
          <w:w w:val="115"/>
          <w:sz w:val="19"/>
        </w:rPr>
        <w:t>La</w:t>
      </w:r>
      <w:r>
        <w:rPr>
          <w:i/>
          <w:spacing w:val="-12"/>
          <w:w w:val="115"/>
          <w:sz w:val="19"/>
        </w:rPr>
        <w:t> </w:t>
      </w:r>
      <w:r>
        <w:rPr>
          <w:i/>
          <w:w w:val="115"/>
          <w:sz w:val="19"/>
        </w:rPr>
        <w:t>crisis</w:t>
      </w:r>
      <w:r>
        <w:rPr>
          <w:i/>
          <w:spacing w:val="-12"/>
          <w:w w:val="115"/>
          <w:sz w:val="19"/>
        </w:rPr>
        <w:t> </w:t>
      </w:r>
      <w:r>
        <w:rPr>
          <w:i/>
          <w:w w:val="115"/>
          <w:sz w:val="19"/>
        </w:rPr>
        <w:t>sistémica</w:t>
      </w:r>
      <w:r>
        <w:rPr>
          <w:i/>
          <w:spacing w:val="-12"/>
          <w:w w:val="115"/>
          <w:sz w:val="19"/>
        </w:rPr>
        <w:t> </w:t>
      </w:r>
      <w:r>
        <w:rPr>
          <w:i/>
          <w:w w:val="115"/>
          <w:sz w:val="19"/>
        </w:rPr>
        <w:t>y</w:t>
      </w:r>
      <w:r>
        <w:rPr>
          <w:i/>
          <w:spacing w:val="-12"/>
          <w:w w:val="115"/>
          <w:sz w:val="19"/>
        </w:rPr>
        <w:t> </w:t>
      </w:r>
      <w:r>
        <w:rPr>
          <w:i/>
          <w:w w:val="115"/>
          <w:sz w:val="19"/>
        </w:rPr>
        <w:t>las</w:t>
      </w:r>
      <w:r>
        <w:rPr>
          <w:i/>
          <w:spacing w:val="-12"/>
          <w:w w:val="115"/>
          <w:sz w:val="19"/>
        </w:rPr>
        <w:t> </w:t>
      </w:r>
      <w:r>
        <w:rPr>
          <w:i/>
          <w:w w:val="115"/>
          <w:sz w:val="19"/>
        </w:rPr>
        <w:t>nuevas</w:t>
      </w:r>
      <w:r>
        <w:rPr>
          <w:i/>
          <w:spacing w:val="-12"/>
          <w:w w:val="115"/>
          <w:sz w:val="19"/>
        </w:rPr>
        <w:t> </w:t>
      </w:r>
      <w:r>
        <w:rPr>
          <w:i/>
          <w:w w:val="115"/>
          <w:sz w:val="19"/>
        </w:rPr>
        <w:t>formas </w:t>
      </w:r>
      <w:r>
        <w:rPr>
          <w:i/>
          <w:w w:val="115"/>
          <w:sz w:val="19"/>
        </w:rPr>
        <w:t>de</w:t>
      </w:r>
      <w:r>
        <w:rPr>
          <w:i/>
          <w:spacing w:val="-15"/>
          <w:w w:val="115"/>
          <w:sz w:val="19"/>
        </w:rPr>
        <w:t> </w:t>
      </w:r>
      <w:r>
        <w:rPr>
          <w:i/>
          <w:w w:val="115"/>
          <w:sz w:val="19"/>
        </w:rPr>
        <w:t>legitimación</w:t>
      </w:r>
      <w:r>
        <w:rPr>
          <w:i/>
          <w:spacing w:val="-15"/>
          <w:w w:val="115"/>
          <w:sz w:val="19"/>
        </w:rPr>
        <w:t> </w:t>
      </w:r>
      <w:r>
        <w:rPr>
          <w:w w:val="115"/>
          <w:sz w:val="19"/>
        </w:rPr>
        <w:t>(2010);</w:t>
      </w:r>
      <w:r>
        <w:rPr>
          <w:spacing w:val="-15"/>
          <w:w w:val="115"/>
          <w:sz w:val="19"/>
        </w:rPr>
        <w:t> </w:t>
      </w:r>
      <w:r>
        <w:rPr>
          <w:spacing w:val="-11"/>
          <w:w w:val="115"/>
          <w:sz w:val="19"/>
        </w:rPr>
        <w:t>y,</w:t>
      </w:r>
      <w:r>
        <w:rPr>
          <w:spacing w:val="-15"/>
          <w:w w:val="115"/>
          <w:sz w:val="19"/>
        </w:rPr>
        <w:t> </w:t>
      </w:r>
      <w:r>
        <w:rPr>
          <w:i/>
          <w:w w:val="115"/>
          <w:sz w:val="19"/>
        </w:rPr>
        <w:t>Estados</w:t>
      </w:r>
      <w:r>
        <w:rPr>
          <w:i/>
          <w:spacing w:val="-15"/>
          <w:w w:val="115"/>
          <w:sz w:val="19"/>
        </w:rPr>
        <w:t> </w:t>
      </w:r>
      <w:r>
        <w:rPr>
          <w:i/>
          <w:w w:val="115"/>
          <w:sz w:val="19"/>
        </w:rPr>
        <w:t>Unidos</w:t>
      </w:r>
      <w:r>
        <w:rPr>
          <w:i/>
          <w:spacing w:val="-15"/>
          <w:w w:val="115"/>
          <w:sz w:val="19"/>
        </w:rPr>
        <w:t> </w:t>
      </w:r>
      <w:r>
        <w:rPr>
          <w:i/>
          <w:w w:val="115"/>
          <w:sz w:val="19"/>
        </w:rPr>
        <w:t>más</w:t>
      </w:r>
      <w:r>
        <w:rPr>
          <w:i/>
          <w:spacing w:val="-15"/>
          <w:w w:val="115"/>
          <w:sz w:val="19"/>
        </w:rPr>
        <w:t> </w:t>
      </w:r>
      <w:r>
        <w:rPr>
          <w:i/>
          <w:w w:val="115"/>
          <w:sz w:val="19"/>
        </w:rPr>
        <w:t>allá</w:t>
      </w:r>
      <w:r>
        <w:rPr>
          <w:i/>
          <w:spacing w:val="-15"/>
          <w:w w:val="115"/>
          <w:sz w:val="19"/>
        </w:rPr>
        <w:t> </w:t>
      </w:r>
      <w:r>
        <w:rPr>
          <w:i/>
          <w:w w:val="115"/>
          <w:sz w:val="19"/>
        </w:rPr>
        <w:t>de</w:t>
      </w:r>
      <w:r>
        <w:rPr>
          <w:i/>
          <w:spacing w:val="-15"/>
          <w:w w:val="115"/>
          <w:sz w:val="19"/>
        </w:rPr>
        <w:t> </w:t>
      </w:r>
      <w:r>
        <w:rPr>
          <w:i/>
          <w:w w:val="115"/>
          <w:sz w:val="19"/>
        </w:rPr>
        <w:t>la</w:t>
      </w:r>
      <w:r>
        <w:rPr>
          <w:i/>
          <w:spacing w:val="-15"/>
          <w:w w:val="115"/>
          <w:sz w:val="19"/>
        </w:rPr>
        <w:t> </w:t>
      </w:r>
      <w:r>
        <w:rPr>
          <w:i/>
          <w:w w:val="115"/>
          <w:sz w:val="19"/>
        </w:rPr>
        <w:t>crisis</w:t>
      </w:r>
      <w:r>
        <w:rPr>
          <w:i/>
          <w:spacing w:val="-15"/>
          <w:w w:val="115"/>
          <w:sz w:val="19"/>
        </w:rPr>
        <w:t> </w:t>
      </w:r>
      <w:r>
        <w:rPr>
          <w:w w:val="115"/>
          <w:sz w:val="19"/>
        </w:rPr>
        <w:t>(2012).</w:t>
      </w:r>
      <w:r>
        <w:rPr>
          <w:w w:val="115"/>
          <w:position w:val="6"/>
          <w:sz w:val="11"/>
        </w:rPr>
        <w:t>1 </w:t>
      </w:r>
      <w:r>
        <w:rPr>
          <w:w w:val="115"/>
          <w:sz w:val="19"/>
        </w:rPr>
        <w:t>Cuatro libros a los que se suman artículos, cuadernos y documen- tos</w:t>
      </w:r>
      <w:r>
        <w:rPr>
          <w:spacing w:val="-5"/>
          <w:w w:val="115"/>
          <w:sz w:val="19"/>
        </w:rPr>
        <w:t> </w:t>
      </w:r>
      <w:r>
        <w:rPr>
          <w:w w:val="115"/>
          <w:sz w:val="19"/>
        </w:rPr>
        <w:t>que</w:t>
      </w:r>
      <w:r>
        <w:rPr>
          <w:spacing w:val="-5"/>
          <w:w w:val="115"/>
          <w:sz w:val="19"/>
        </w:rPr>
        <w:t> </w:t>
      </w:r>
      <w:r>
        <w:rPr>
          <w:w w:val="115"/>
          <w:sz w:val="19"/>
        </w:rPr>
        <w:t>resumen</w:t>
      </w:r>
      <w:r>
        <w:rPr>
          <w:spacing w:val="-5"/>
          <w:w w:val="115"/>
          <w:sz w:val="19"/>
        </w:rPr>
        <w:t> </w:t>
      </w:r>
      <w:r>
        <w:rPr>
          <w:w w:val="115"/>
          <w:sz w:val="19"/>
        </w:rPr>
        <w:t>el</w:t>
      </w:r>
      <w:r>
        <w:rPr>
          <w:spacing w:val="-5"/>
          <w:w w:val="115"/>
          <w:sz w:val="19"/>
        </w:rPr>
        <w:t> </w:t>
      </w:r>
      <w:r>
        <w:rPr>
          <w:w w:val="115"/>
          <w:sz w:val="19"/>
        </w:rPr>
        <w:t>esfuerzo</w:t>
      </w:r>
      <w:r>
        <w:rPr>
          <w:spacing w:val="-5"/>
          <w:w w:val="115"/>
          <w:sz w:val="19"/>
        </w:rPr>
        <w:t> </w:t>
      </w:r>
      <w:r>
        <w:rPr>
          <w:w w:val="115"/>
          <w:sz w:val="19"/>
        </w:rPr>
        <w:t>de</w:t>
      </w:r>
      <w:r>
        <w:rPr>
          <w:spacing w:val="-5"/>
          <w:w w:val="115"/>
          <w:sz w:val="19"/>
        </w:rPr>
        <w:t> </w:t>
      </w:r>
      <w:r>
        <w:rPr>
          <w:w w:val="115"/>
          <w:sz w:val="19"/>
        </w:rPr>
        <w:t>una</w:t>
      </w:r>
      <w:r>
        <w:rPr>
          <w:spacing w:val="-5"/>
          <w:w w:val="115"/>
          <w:sz w:val="19"/>
        </w:rPr>
        <w:t> </w:t>
      </w:r>
      <w:r>
        <w:rPr>
          <w:w w:val="115"/>
          <w:sz w:val="19"/>
        </w:rPr>
        <w:t>década</w:t>
      </w:r>
      <w:r>
        <w:rPr>
          <w:spacing w:val="-5"/>
          <w:w w:val="115"/>
          <w:sz w:val="19"/>
        </w:rPr>
        <w:t> </w:t>
      </w:r>
      <w:r>
        <w:rPr>
          <w:w w:val="115"/>
          <w:sz w:val="19"/>
        </w:rPr>
        <w:t>de</w:t>
      </w:r>
      <w:r>
        <w:rPr>
          <w:spacing w:val="-5"/>
          <w:w w:val="115"/>
          <w:sz w:val="19"/>
        </w:rPr>
        <w:t> </w:t>
      </w:r>
      <w:r>
        <w:rPr>
          <w:w w:val="115"/>
          <w:sz w:val="19"/>
        </w:rPr>
        <w:t>investigación</w:t>
      </w:r>
      <w:r>
        <w:rPr>
          <w:spacing w:val="-5"/>
          <w:w w:val="115"/>
          <w:sz w:val="19"/>
        </w:rPr>
        <w:t> </w:t>
      </w:r>
      <w:r>
        <w:rPr>
          <w:w w:val="115"/>
          <w:sz w:val="19"/>
        </w:rPr>
        <w:t>llevado a cabo por el Grupo de </w:t>
      </w:r>
      <w:r>
        <w:rPr>
          <w:spacing w:val="-3"/>
          <w:w w:val="115"/>
          <w:sz w:val="19"/>
        </w:rPr>
        <w:t>trabajo </w:t>
      </w:r>
      <w:r>
        <w:rPr>
          <w:w w:val="115"/>
          <w:sz w:val="19"/>
        </w:rPr>
        <w:t>sobre Estados unidos de </w:t>
      </w:r>
      <w:r>
        <w:rPr>
          <w:w w:val="155"/>
          <w:sz w:val="19"/>
        </w:rPr>
        <w:t>ClaCso, </w:t>
      </w:r>
      <w:r>
        <w:rPr>
          <w:w w:val="115"/>
          <w:sz w:val="19"/>
        </w:rPr>
        <w:t>liderado</w:t>
      </w:r>
      <w:r>
        <w:rPr>
          <w:spacing w:val="-10"/>
          <w:w w:val="115"/>
          <w:sz w:val="19"/>
        </w:rPr>
        <w:t> </w:t>
      </w:r>
      <w:r>
        <w:rPr>
          <w:w w:val="115"/>
          <w:sz w:val="19"/>
        </w:rPr>
        <w:t>por</w:t>
      </w:r>
      <w:r>
        <w:rPr>
          <w:spacing w:val="-10"/>
          <w:w w:val="115"/>
          <w:sz w:val="19"/>
        </w:rPr>
        <w:t> </w:t>
      </w:r>
      <w:r>
        <w:rPr>
          <w:w w:val="115"/>
          <w:sz w:val="19"/>
        </w:rPr>
        <w:t>Marco</w:t>
      </w:r>
      <w:r>
        <w:rPr>
          <w:spacing w:val="-10"/>
          <w:w w:val="115"/>
          <w:sz w:val="19"/>
        </w:rPr>
        <w:t> </w:t>
      </w:r>
      <w:r>
        <w:rPr>
          <w:w w:val="115"/>
          <w:sz w:val="19"/>
        </w:rPr>
        <w:t>Gandásegui</w:t>
      </w:r>
      <w:r>
        <w:rPr>
          <w:spacing w:val="-10"/>
          <w:w w:val="115"/>
          <w:sz w:val="19"/>
        </w:rPr>
        <w:t> </w:t>
      </w:r>
      <w:r>
        <w:rPr>
          <w:w w:val="115"/>
          <w:sz w:val="19"/>
        </w:rPr>
        <w:t>(h)</w:t>
      </w:r>
      <w:r>
        <w:rPr>
          <w:spacing w:val="-10"/>
          <w:w w:val="115"/>
          <w:sz w:val="19"/>
        </w:rPr>
        <w:t> </w:t>
      </w:r>
      <w:r>
        <w:rPr>
          <w:w w:val="115"/>
          <w:sz w:val="19"/>
        </w:rPr>
        <w:t>y</w:t>
      </w:r>
      <w:r>
        <w:rPr>
          <w:spacing w:val="-10"/>
          <w:w w:val="115"/>
          <w:sz w:val="19"/>
        </w:rPr>
        <w:t> </w:t>
      </w:r>
      <w:r>
        <w:rPr>
          <w:w w:val="115"/>
          <w:sz w:val="19"/>
        </w:rPr>
        <w:t>dídimo</w:t>
      </w:r>
      <w:r>
        <w:rPr>
          <w:spacing w:val="-10"/>
          <w:w w:val="115"/>
          <w:sz w:val="19"/>
        </w:rPr>
        <w:t> </w:t>
      </w:r>
      <w:r>
        <w:rPr>
          <w:w w:val="115"/>
          <w:sz w:val="19"/>
        </w:rPr>
        <w:t>Castillo.</w:t>
      </w:r>
    </w:p>
    <w:p>
      <w:pPr>
        <w:pStyle w:val="BodyText"/>
        <w:spacing w:line="252" w:lineRule="auto"/>
        <w:ind w:left="120" w:right="328" w:firstLine="396"/>
        <w:jc w:val="both"/>
      </w:pPr>
      <w:r>
        <w:rPr>
          <w:w w:val="110"/>
        </w:rPr>
        <w:t>En su presentación del primer libro de esta serie, atilio boron destacaba algunas de las razones que exigían la conformación de un grupo</w:t>
      </w:r>
      <w:r>
        <w:rPr>
          <w:spacing w:val="-4"/>
          <w:w w:val="110"/>
        </w:rPr>
        <w:t> </w:t>
      </w:r>
      <w:r>
        <w:rPr>
          <w:w w:val="110"/>
        </w:rPr>
        <w:t>con</w:t>
      </w:r>
      <w:r>
        <w:rPr>
          <w:spacing w:val="-4"/>
          <w:w w:val="110"/>
        </w:rPr>
        <w:t> </w:t>
      </w:r>
      <w:r>
        <w:rPr>
          <w:w w:val="110"/>
        </w:rPr>
        <w:t>estas</w:t>
      </w:r>
      <w:r>
        <w:rPr>
          <w:spacing w:val="-4"/>
          <w:w w:val="110"/>
        </w:rPr>
        <w:t> </w:t>
      </w:r>
      <w:r>
        <w:rPr>
          <w:w w:val="110"/>
        </w:rPr>
        <w:t>características:</w:t>
      </w:r>
      <w:r>
        <w:rPr>
          <w:spacing w:val="-4"/>
          <w:w w:val="110"/>
        </w:rPr>
        <w:t> </w:t>
      </w:r>
      <w:r>
        <w:rPr>
          <w:w w:val="110"/>
        </w:rPr>
        <w:t>la</w:t>
      </w:r>
      <w:r>
        <w:rPr>
          <w:spacing w:val="-4"/>
          <w:w w:val="110"/>
        </w:rPr>
        <w:t> </w:t>
      </w:r>
      <w:r>
        <w:rPr>
          <w:w w:val="110"/>
        </w:rPr>
        <w:t>necesidad</w:t>
      </w:r>
      <w:r>
        <w:rPr>
          <w:spacing w:val="-4"/>
          <w:w w:val="110"/>
        </w:rPr>
        <w:t> </w:t>
      </w:r>
      <w:r>
        <w:rPr>
          <w:w w:val="110"/>
        </w:rPr>
        <w:t>de</w:t>
      </w:r>
      <w:r>
        <w:rPr>
          <w:spacing w:val="-4"/>
          <w:w w:val="110"/>
        </w:rPr>
        <w:t> </w:t>
      </w:r>
      <w:r>
        <w:rPr>
          <w:w w:val="110"/>
        </w:rPr>
        <w:t>comprender</w:t>
      </w:r>
      <w:r>
        <w:rPr>
          <w:spacing w:val="-4"/>
          <w:w w:val="110"/>
        </w:rPr>
        <w:t> </w:t>
      </w:r>
      <w:r>
        <w:rPr>
          <w:w w:val="110"/>
        </w:rPr>
        <w:t>la</w:t>
      </w:r>
      <w:r>
        <w:rPr>
          <w:spacing w:val="-4"/>
          <w:w w:val="110"/>
        </w:rPr>
        <w:t> </w:t>
      </w:r>
      <w:r>
        <w:rPr>
          <w:w w:val="110"/>
        </w:rPr>
        <w:t>natura- leza y las transformaciones de la sociedad norteamericana; la urgen- cia</w:t>
      </w:r>
      <w:r>
        <w:rPr>
          <w:spacing w:val="19"/>
          <w:w w:val="110"/>
        </w:rPr>
        <w:t> </w:t>
      </w:r>
      <w:r>
        <w:rPr>
          <w:w w:val="110"/>
        </w:rPr>
        <w:t>por</w:t>
      </w:r>
      <w:r>
        <w:rPr>
          <w:spacing w:val="19"/>
          <w:w w:val="110"/>
        </w:rPr>
        <w:t> </w:t>
      </w:r>
      <w:r>
        <w:rPr>
          <w:w w:val="110"/>
        </w:rPr>
        <w:t>ayudarnos</w:t>
      </w:r>
      <w:r>
        <w:rPr>
          <w:spacing w:val="19"/>
          <w:w w:val="110"/>
        </w:rPr>
        <w:t> </w:t>
      </w:r>
      <w:r>
        <w:rPr>
          <w:w w:val="110"/>
        </w:rPr>
        <w:t>a</w:t>
      </w:r>
      <w:r>
        <w:rPr>
          <w:spacing w:val="19"/>
          <w:w w:val="110"/>
        </w:rPr>
        <w:t> </w:t>
      </w:r>
      <w:r>
        <w:rPr>
          <w:w w:val="110"/>
        </w:rPr>
        <w:t>interpretar</w:t>
      </w:r>
      <w:r>
        <w:rPr>
          <w:spacing w:val="19"/>
          <w:w w:val="110"/>
        </w:rPr>
        <w:t> </w:t>
      </w:r>
      <w:r>
        <w:rPr>
          <w:w w:val="110"/>
        </w:rPr>
        <w:t>las</w:t>
      </w:r>
      <w:r>
        <w:rPr>
          <w:spacing w:val="19"/>
          <w:w w:val="110"/>
        </w:rPr>
        <w:t> </w:t>
      </w:r>
      <w:r>
        <w:rPr>
          <w:w w:val="110"/>
        </w:rPr>
        <w:t>raíces</w:t>
      </w:r>
      <w:r>
        <w:rPr>
          <w:spacing w:val="19"/>
          <w:w w:val="110"/>
        </w:rPr>
        <w:t> </w:t>
      </w:r>
      <w:r>
        <w:rPr>
          <w:w w:val="110"/>
        </w:rPr>
        <w:t>históricas</w:t>
      </w:r>
      <w:r>
        <w:rPr>
          <w:spacing w:val="19"/>
          <w:w w:val="110"/>
        </w:rPr>
        <w:t> </w:t>
      </w:r>
      <w:r>
        <w:rPr>
          <w:w w:val="110"/>
        </w:rPr>
        <w:t>y</w:t>
      </w:r>
      <w:r>
        <w:rPr>
          <w:spacing w:val="19"/>
          <w:w w:val="110"/>
        </w:rPr>
        <w:t> </w:t>
      </w:r>
      <w:r>
        <w:rPr>
          <w:w w:val="110"/>
        </w:rPr>
        <w:t>las</w:t>
      </w:r>
      <w:r>
        <w:rPr>
          <w:spacing w:val="19"/>
          <w:w w:val="110"/>
        </w:rPr>
        <w:t> </w:t>
      </w:r>
      <w:r>
        <w:rPr>
          <w:w w:val="110"/>
        </w:rPr>
        <w:t>formas</w:t>
      </w:r>
      <w:r>
        <w:rPr>
          <w:spacing w:val="19"/>
          <w:w w:val="110"/>
        </w:rPr>
        <w:t> </w:t>
      </w:r>
      <w:r>
        <w:rPr>
          <w:w w:val="110"/>
        </w:rPr>
        <w:t>ac-</w:t>
      </w:r>
    </w:p>
    <w:p>
      <w:pPr>
        <w:pStyle w:val="BodyText"/>
        <w:spacing w:before="6"/>
        <w:rPr>
          <w:sz w:val="8"/>
        </w:rPr>
      </w:pPr>
    </w:p>
    <w:p>
      <w:pPr>
        <w:tabs>
          <w:tab w:pos="517" w:val="left" w:leader="none"/>
        </w:tabs>
        <w:spacing w:before="74"/>
        <w:ind w:left="202" w:right="321" w:firstLine="0"/>
        <w:jc w:val="left"/>
        <w:rPr>
          <w:sz w:val="16"/>
        </w:rPr>
      </w:pPr>
      <w:r>
        <w:rPr>
          <w:w w:val="115"/>
          <w:sz w:val="16"/>
        </w:rPr>
        <w:t>*</w:t>
        <w:tab/>
        <w:t>secretario Ejecutivo de</w:t>
      </w:r>
      <w:r>
        <w:rPr>
          <w:spacing w:val="20"/>
          <w:w w:val="115"/>
          <w:sz w:val="16"/>
        </w:rPr>
        <w:t> </w:t>
      </w:r>
      <w:r>
        <w:rPr>
          <w:w w:val="125"/>
          <w:sz w:val="16"/>
        </w:rPr>
        <w:t>ClaCso.</w:t>
      </w:r>
    </w:p>
    <w:p>
      <w:pPr>
        <w:tabs>
          <w:tab w:pos="517" w:val="left" w:leader="none"/>
        </w:tabs>
        <w:spacing w:before="59"/>
        <w:ind w:left="120" w:right="321" w:firstLine="0"/>
        <w:jc w:val="left"/>
        <w:rPr>
          <w:sz w:val="16"/>
        </w:rPr>
      </w:pPr>
      <w:r>
        <w:rPr>
          <w:w w:val="115"/>
          <w:sz w:val="16"/>
        </w:rPr>
        <w:t>**</w:t>
        <w:tab/>
        <w:t>Coordinador</w:t>
      </w:r>
      <w:r>
        <w:rPr>
          <w:spacing w:val="-7"/>
          <w:w w:val="115"/>
          <w:sz w:val="16"/>
        </w:rPr>
        <w:t> </w:t>
      </w:r>
      <w:r>
        <w:rPr>
          <w:w w:val="115"/>
          <w:sz w:val="16"/>
        </w:rPr>
        <w:t>del</w:t>
      </w:r>
      <w:r>
        <w:rPr>
          <w:spacing w:val="-7"/>
          <w:w w:val="115"/>
          <w:sz w:val="16"/>
        </w:rPr>
        <w:t> </w:t>
      </w:r>
      <w:r>
        <w:rPr>
          <w:w w:val="115"/>
          <w:sz w:val="16"/>
        </w:rPr>
        <w:t>Programa</w:t>
      </w:r>
      <w:r>
        <w:rPr>
          <w:spacing w:val="-7"/>
          <w:w w:val="115"/>
          <w:sz w:val="16"/>
        </w:rPr>
        <w:t> </w:t>
      </w:r>
      <w:r>
        <w:rPr>
          <w:w w:val="115"/>
          <w:sz w:val="16"/>
        </w:rPr>
        <w:t>de</w:t>
      </w:r>
      <w:r>
        <w:rPr>
          <w:spacing w:val="-7"/>
          <w:w w:val="115"/>
          <w:sz w:val="16"/>
        </w:rPr>
        <w:t> </w:t>
      </w:r>
      <w:r>
        <w:rPr>
          <w:w w:val="115"/>
          <w:sz w:val="16"/>
        </w:rPr>
        <w:t>Grupos</w:t>
      </w:r>
      <w:r>
        <w:rPr>
          <w:spacing w:val="-7"/>
          <w:w w:val="115"/>
          <w:sz w:val="16"/>
        </w:rPr>
        <w:t> </w:t>
      </w:r>
      <w:r>
        <w:rPr>
          <w:w w:val="115"/>
          <w:sz w:val="16"/>
        </w:rPr>
        <w:t>de</w:t>
      </w:r>
      <w:r>
        <w:rPr>
          <w:spacing w:val="-7"/>
          <w:w w:val="115"/>
          <w:sz w:val="16"/>
        </w:rPr>
        <w:t> </w:t>
      </w:r>
      <w:r>
        <w:rPr>
          <w:spacing w:val="-3"/>
          <w:w w:val="115"/>
          <w:sz w:val="16"/>
        </w:rPr>
        <w:t>trabajo</w:t>
      </w:r>
      <w:r>
        <w:rPr>
          <w:spacing w:val="-7"/>
          <w:w w:val="115"/>
          <w:sz w:val="16"/>
        </w:rPr>
        <w:t> </w:t>
      </w:r>
      <w:r>
        <w:rPr>
          <w:w w:val="115"/>
          <w:sz w:val="16"/>
        </w:rPr>
        <w:t>de</w:t>
      </w:r>
      <w:r>
        <w:rPr>
          <w:spacing w:val="-7"/>
          <w:w w:val="115"/>
          <w:sz w:val="16"/>
        </w:rPr>
        <w:t> </w:t>
      </w:r>
      <w:r>
        <w:rPr>
          <w:w w:val="125"/>
          <w:sz w:val="16"/>
        </w:rPr>
        <w:t>ClaCso.</w:t>
      </w:r>
    </w:p>
    <w:p>
      <w:pPr>
        <w:pStyle w:val="BodyText"/>
        <w:spacing w:before="3"/>
        <w:rPr>
          <w:sz w:val="11"/>
        </w:rPr>
      </w:pPr>
      <w:r>
        <w:rPr/>
        <w:pict>
          <v:line style="position:absolute;mso-position-horizontal-relative:page;mso-position-vertical-relative:paragraph;z-index:1696;mso-wrap-distance-left:0;mso-wrap-distance-right:0" from="51.023602pt,8.806656pt" to="79.369602pt,8.806656pt" stroked="true" strokeweight=".5pt" strokecolor="#000000">
            <w10:wrap type="topAndBottom"/>
          </v:line>
        </w:pict>
      </w:r>
    </w:p>
    <w:p>
      <w:pPr>
        <w:spacing w:line="242" w:lineRule="auto" w:before="89"/>
        <w:ind w:left="120" w:right="321" w:firstLine="0"/>
        <w:jc w:val="left"/>
        <w:rPr>
          <w:sz w:val="16"/>
        </w:rPr>
      </w:pPr>
      <w:r>
        <w:rPr>
          <w:w w:val="110"/>
          <w:sz w:val="16"/>
        </w:rPr>
        <w:t>1 todos estos libros están disponibles en acceso abierto en la biblioteca Virtual y en </w:t>
      </w:r>
      <w:r>
        <w:rPr>
          <w:w w:val="109"/>
          <w:sz w:val="16"/>
        </w:rPr>
        <w:t>la</w:t>
      </w:r>
      <w:r>
        <w:rPr>
          <w:sz w:val="16"/>
        </w:rPr>
        <w:t> </w:t>
      </w:r>
      <w:r>
        <w:rPr>
          <w:w w:val="238"/>
          <w:sz w:val="16"/>
        </w:rPr>
        <w:t>l</w:t>
      </w:r>
      <w:r>
        <w:rPr>
          <w:w w:val="107"/>
          <w:sz w:val="16"/>
        </w:rPr>
        <w:t>ibrería</w:t>
      </w:r>
      <w:r>
        <w:rPr>
          <w:sz w:val="16"/>
        </w:rPr>
        <w:t> </w:t>
      </w:r>
      <w:r>
        <w:rPr>
          <w:w w:val="238"/>
          <w:sz w:val="16"/>
        </w:rPr>
        <w:t>l</w:t>
      </w:r>
      <w:r>
        <w:rPr>
          <w:w w:val="109"/>
          <w:sz w:val="16"/>
        </w:rPr>
        <w:t>atinoamericana</w:t>
      </w:r>
      <w:r>
        <w:rPr>
          <w:sz w:val="16"/>
        </w:rPr>
        <w:t> </w:t>
      </w:r>
      <w:r>
        <w:rPr>
          <w:w w:val="102"/>
          <w:sz w:val="16"/>
        </w:rPr>
        <w:t>y</w:t>
      </w:r>
      <w:r>
        <w:rPr>
          <w:sz w:val="16"/>
        </w:rPr>
        <w:t> </w:t>
      </w:r>
      <w:r>
        <w:rPr>
          <w:w w:val="109"/>
          <w:sz w:val="16"/>
        </w:rPr>
        <w:t>Caribeña</w:t>
      </w:r>
      <w:r>
        <w:rPr>
          <w:sz w:val="16"/>
        </w:rPr>
        <w:t> </w:t>
      </w:r>
      <w:r>
        <w:rPr>
          <w:w w:val="104"/>
          <w:sz w:val="16"/>
        </w:rPr>
        <w:t>de</w:t>
      </w:r>
      <w:r>
        <w:rPr>
          <w:sz w:val="16"/>
        </w:rPr>
        <w:t> </w:t>
      </w:r>
      <w:r>
        <w:rPr>
          <w:w w:val="110"/>
          <w:sz w:val="16"/>
        </w:rPr>
        <w:t>Ciencias</w:t>
      </w:r>
      <w:r>
        <w:rPr>
          <w:sz w:val="16"/>
        </w:rPr>
        <w:t> </w:t>
      </w:r>
      <w:r>
        <w:rPr>
          <w:w w:val="146"/>
          <w:sz w:val="16"/>
        </w:rPr>
        <w:t>s</w:t>
      </w:r>
      <w:r>
        <w:rPr>
          <w:w w:val="108"/>
          <w:sz w:val="16"/>
        </w:rPr>
        <w:t>ociales</w:t>
      </w:r>
      <w:r>
        <w:rPr>
          <w:sz w:val="16"/>
        </w:rPr>
        <w:t> </w:t>
      </w:r>
      <w:r>
        <w:rPr>
          <w:w w:val="104"/>
          <w:sz w:val="16"/>
        </w:rPr>
        <w:t>de</w:t>
      </w:r>
      <w:r>
        <w:rPr>
          <w:sz w:val="16"/>
        </w:rPr>
        <w:t> </w:t>
      </w:r>
      <w:r>
        <w:rPr>
          <w:w w:val="121"/>
          <w:sz w:val="16"/>
        </w:rPr>
        <w:t>C</w:t>
      </w:r>
      <w:r>
        <w:rPr>
          <w:w w:val="173"/>
          <w:sz w:val="16"/>
        </w:rPr>
        <w:t>la</w:t>
      </w:r>
      <w:r>
        <w:rPr>
          <w:w w:val="121"/>
          <w:sz w:val="16"/>
        </w:rPr>
        <w:t>C</w:t>
      </w:r>
      <w:r>
        <w:rPr>
          <w:w w:val="146"/>
          <w:sz w:val="16"/>
        </w:rPr>
        <w:t>so</w:t>
      </w:r>
      <w:r>
        <w:rPr>
          <w:w w:val="135"/>
          <w:sz w:val="16"/>
        </w:rPr>
        <w:t>.</w:t>
      </w:r>
    </w:p>
    <w:p>
      <w:pPr>
        <w:pStyle w:val="BodyText"/>
        <w:spacing w:before="1"/>
        <w:rPr>
          <w:sz w:val="25"/>
        </w:rPr>
      </w:pPr>
    </w:p>
    <w:p>
      <w:pPr>
        <w:pStyle w:val="Heading7"/>
        <w:spacing w:line="240" w:lineRule="auto" w:before="65"/>
        <w:ind w:left="0" w:right="208"/>
        <w:jc w:val="center"/>
      </w:pPr>
      <w:r>
        <w:rPr>
          <w:w w:val="90"/>
        </w:rPr>
        <w:t>9</w:t>
      </w:r>
    </w:p>
    <w:p>
      <w:pPr>
        <w:spacing w:after="0" w:line="240" w:lineRule="auto"/>
        <w:jc w:val="center"/>
        <w:sectPr>
          <w:pgSz w:w="8790" w:h="12760"/>
          <w:pgMar w:top="1180" w:bottom="280" w:left="900" w:right="1200"/>
        </w:sectPr>
      </w:pPr>
    </w:p>
    <w:p>
      <w:pPr>
        <w:pStyle w:val="BodyText"/>
        <w:spacing w:before="7"/>
        <w:rPr>
          <w:sz w:val="28"/>
        </w:rPr>
      </w:pPr>
    </w:p>
    <w:p>
      <w:pPr>
        <w:pStyle w:val="BodyText"/>
        <w:spacing w:line="252" w:lineRule="auto" w:before="73"/>
        <w:ind w:left="330" w:right="117"/>
        <w:jc w:val="both"/>
      </w:pPr>
      <w:r>
        <w:rPr>
          <w:w w:val="115"/>
        </w:rPr>
        <w:t>tuales</w:t>
      </w:r>
      <w:r>
        <w:rPr>
          <w:spacing w:val="-20"/>
          <w:w w:val="115"/>
        </w:rPr>
        <w:t> </w:t>
      </w:r>
      <w:r>
        <w:rPr>
          <w:w w:val="115"/>
        </w:rPr>
        <w:t>que</w:t>
      </w:r>
      <w:r>
        <w:rPr>
          <w:spacing w:val="-20"/>
          <w:w w:val="115"/>
        </w:rPr>
        <w:t> </w:t>
      </w:r>
      <w:r>
        <w:rPr>
          <w:w w:val="115"/>
        </w:rPr>
        <w:t>asume</w:t>
      </w:r>
      <w:r>
        <w:rPr>
          <w:spacing w:val="-20"/>
          <w:w w:val="115"/>
        </w:rPr>
        <w:t> </w:t>
      </w:r>
      <w:r>
        <w:rPr>
          <w:w w:val="115"/>
        </w:rPr>
        <w:t>el</w:t>
      </w:r>
      <w:r>
        <w:rPr>
          <w:spacing w:val="-20"/>
          <w:w w:val="115"/>
        </w:rPr>
        <w:t> </w:t>
      </w:r>
      <w:r>
        <w:rPr>
          <w:w w:val="115"/>
        </w:rPr>
        <w:t>imperialismo,</w:t>
      </w:r>
      <w:r>
        <w:rPr>
          <w:spacing w:val="-20"/>
          <w:w w:val="115"/>
        </w:rPr>
        <w:t> </w:t>
      </w:r>
      <w:r>
        <w:rPr>
          <w:w w:val="115"/>
        </w:rPr>
        <w:t>así</w:t>
      </w:r>
      <w:r>
        <w:rPr>
          <w:spacing w:val="-20"/>
          <w:w w:val="115"/>
        </w:rPr>
        <w:t> </w:t>
      </w:r>
      <w:r>
        <w:rPr>
          <w:w w:val="115"/>
        </w:rPr>
        <w:t>como</w:t>
      </w:r>
      <w:r>
        <w:rPr>
          <w:spacing w:val="-20"/>
          <w:w w:val="115"/>
        </w:rPr>
        <w:t> </w:t>
      </w:r>
      <w:r>
        <w:rPr>
          <w:w w:val="115"/>
        </w:rPr>
        <w:t>las</w:t>
      </w:r>
      <w:r>
        <w:rPr>
          <w:spacing w:val="-20"/>
          <w:w w:val="115"/>
        </w:rPr>
        <w:t> </w:t>
      </w:r>
      <w:r>
        <w:rPr>
          <w:w w:val="115"/>
        </w:rPr>
        <w:t>luchas</w:t>
      </w:r>
      <w:r>
        <w:rPr>
          <w:spacing w:val="-20"/>
          <w:w w:val="115"/>
        </w:rPr>
        <w:t> </w:t>
      </w:r>
      <w:r>
        <w:rPr>
          <w:w w:val="115"/>
        </w:rPr>
        <w:t>que</w:t>
      </w:r>
      <w:r>
        <w:rPr>
          <w:spacing w:val="-20"/>
          <w:w w:val="115"/>
        </w:rPr>
        <w:t> </w:t>
      </w:r>
      <w:r>
        <w:rPr>
          <w:w w:val="115"/>
        </w:rPr>
        <w:t>en</w:t>
      </w:r>
      <w:r>
        <w:rPr>
          <w:spacing w:val="-20"/>
          <w:w w:val="115"/>
        </w:rPr>
        <w:t> </w:t>
      </w:r>
      <w:r>
        <w:rPr>
          <w:w w:val="115"/>
        </w:rPr>
        <w:t>américa </w:t>
      </w:r>
      <w:r>
        <w:rPr>
          <w:w w:val="243"/>
        </w:rPr>
        <w:t>l</w:t>
      </w:r>
      <w:r>
        <w:rPr>
          <w:w w:val="111"/>
        </w:rPr>
        <w:t>atina</w:t>
      </w:r>
      <w:r>
        <w:rPr>
          <w:spacing w:val="14"/>
        </w:rPr>
        <w:t> </w:t>
      </w:r>
      <w:r>
        <w:rPr>
          <w:w w:val="112"/>
        </w:rPr>
        <w:t>han</w:t>
      </w:r>
      <w:r>
        <w:rPr>
          <w:spacing w:val="14"/>
        </w:rPr>
        <w:t> </w:t>
      </w:r>
      <w:r>
        <w:rPr>
          <w:w w:val="109"/>
        </w:rPr>
        <w:t>permitido</w:t>
      </w:r>
      <w:r>
        <w:rPr>
          <w:spacing w:val="14"/>
        </w:rPr>
        <w:t> </w:t>
      </w:r>
      <w:r>
        <w:rPr>
          <w:w w:val="107"/>
        </w:rPr>
        <w:t>resistir</w:t>
      </w:r>
      <w:r>
        <w:rPr>
          <w:spacing w:val="14"/>
        </w:rPr>
        <w:t> </w:t>
      </w:r>
      <w:r>
        <w:rPr>
          <w:w w:val="105"/>
        </w:rPr>
        <w:t>y</w:t>
      </w:r>
      <w:r>
        <w:rPr>
          <w:spacing w:val="14"/>
        </w:rPr>
        <w:t> </w:t>
      </w:r>
      <w:r>
        <w:rPr>
          <w:w w:val="105"/>
        </w:rPr>
        <w:t>se</w:t>
      </w:r>
      <w:r>
        <w:rPr>
          <w:spacing w:val="14"/>
        </w:rPr>
        <w:t> </w:t>
      </w:r>
      <w:r>
        <w:rPr>
          <w:w w:val="112"/>
        </w:rPr>
        <w:t>han</w:t>
      </w:r>
      <w:r>
        <w:rPr>
          <w:spacing w:val="14"/>
        </w:rPr>
        <w:t> </w:t>
      </w:r>
      <w:r>
        <w:rPr>
          <w:w w:val="109"/>
        </w:rPr>
        <w:t>enfrentado</w:t>
      </w:r>
      <w:r>
        <w:rPr>
          <w:spacing w:val="14"/>
        </w:rPr>
        <w:t> </w:t>
      </w:r>
      <w:r>
        <w:rPr>
          <w:w w:val="108"/>
        </w:rPr>
        <w:t>en</w:t>
      </w:r>
      <w:r>
        <w:rPr>
          <w:spacing w:val="14"/>
        </w:rPr>
        <w:t> </w:t>
      </w:r>
      <w:r>
        <w:rPr>
          <w:w w:val="108"/>
        </w:rPr>
        <w:t>nuestra</w:t>
      </w:r>
      <w:r>
        <w:rPr>
          <w:spacing w:val="14"/>
        </w:rPr>
        <w:t> </w:t>
      </w:r>
      <w:r>
        <w:rPr>
          <w:w w:val="109"/>
        </w:rPr>
        <w:t>región</w:t>
      </w:r>
      <w:r>
        <w:rPr>
          <w:spacing w:val="14"/>
        </w:rPr>
        <w:t> </w:t>
      </w:r>
      <w:r>
        <w:rPr>
          <w:w w:val="112"/>
        </w:rPr>
        <w:t>a </w:t>
      </w:r>
      <w:r>
        <w:rPr>
          <w:w w:val="115"/>
        </w:rPr>
        <w:t>los avances coloniales e intervencionistas de los Estados unidos. al mismo</w:t>
      </w:r>
      <w:r>
        <w:rPr>
          <w:spacing w:val="-13"/>
          <w:w w:val="115"/>
        </w:rPr>
        <w:t> </w:t>
      </w:r>
      <w:r>
        <w:rPr>
          <w:w w:val="115"/>
        </w:rPr>
        <w:t>tiempo,</w:t>
      </w:r>
      <w:r>
        <w:rPr>
          <w:spacing w:val="-13"/>
          <w:w w:val="115"/>
        </w:rPr>
        <w:t> </w:t>
      </w:r>
      <w:r>
        <w:rPr>
          <w:w w:val="115"/>
        </w:rPr>
        <w:t>boron</w:t>
      </w:r>
      <w:r>
        <w:rPr>
          <w:spacing w:val="-13"/>
          <w:w w:val="115"/>
        </w:rPr>
        <w:t> </w:t>
      </w:r>
      <w:r>
        <w:rPr>
          <w:w w:val="115"/>
        </w:rPr>
        <w:t>indicaba,</w:t>
      </w:r>
      <w:r>
        <w:rPr>
          <w:spacing w:val="-13"/>
          <w:w w:val="115"/>
        </w:rPr>
        <w:t> </w:t>
      </w:r>
      <w:r>
        <w:rPr>
          <w:w w:val="115"/>
        </w:rPr>
        <w:t>con</w:t>
      </w:r>
      <w:r>
        <w:rPr>
          <w:spacing w:val="-13"/>
          <w:w w:val="115"/>
        </w:rPr>
        <w:t> </w:t>
      </w:r>
      <w:r>
        <w:rPr>
          <w:w w:val="115"/>
        </w:rPr>
        <w:t>toda</w:t>
      </w:r>
      <w:r>
        <w:rPr>
          <w:spacing w:val="-13"/>
          <w:w w:val="115"/>
        </w:rPr>
        <w:t> </w:t>
      </w:r>
      <w:r>
        <w:rPr>
          <w:w w:val="115"/>
        </w:rPr>
        <w:t>pertinencia,</w:t>
      </w:r>
      <w:r>
        <w:rPr>
          <w:spacing w:val="-13"/>
          <w:w w:val="115"/>
        </w:rPr>
        <w:t> </w:t>
      </w:r>
      <w:r>
        <w:rPr>
          <w:w w:val="115"/>
        </w:rPr>
        <w:t>que</w:t>
      </w:r>
      <w:r>
        <w:rPr>
          <w:spacing w:val="-13"/>
          <w:w w:val="115"/>
        </w:rPr>
        <w:t> </w:t>
      </w:r>
      <w:r>
        <w:rPr>
          <w:w w:val="115"/>
        </w:rPr>
        <w:t>el</w:t>
      </w:r>
      <w:r>
        <w:rPr>
          <w:spacing w:val="-13"/>
          <w:w w:val="115"/>
        </w:rPr>
        <w:t> </w:t>
      </w:r>
      <w:r>
        <w:rPr>
          <w:w w:val="115"/>
        </w:rPr>
        <w:t>amplio</w:t>
      </w:r>
      <w:r>
        <w:rPr>
          <w:spacing w:val="-13"/>
          <w:w w:val="115"/>
        </w:rPr>
        <w:t> </w:t>
      </w:r>
      <w:r>
        <w:rPr>
          <w:w w:val="115"/>
        </w:rPr>
        <w:t>y </w:t>
      </w:r>
      <w:r>
        <w:rPr>
          <w:w w:val="108"/>
        </w:rPr>
        <w:t>diversificado</w:t>
      </w:r>
      <w:r>
        <w:rPr>
          <w:spacing w:val="8"/>
        </w:rPr>
        <w:t> </w:t>
      </w:r>
      <w:r>
        <w:rPr>
          <w:w w:val="107"/>
        </w:rPr>
        <w:t>interés</w:t>
      </w:r>
      <w:r>
        <w:rPr>
          <w:spacing w:val="8"/>
        </w:rPr>
        <w:t> </w:t>
      </w:r>
      <w:r>
        <w:rPr>
          <w:w w:val="112"/>
        </w:rPr>
        <w:t>académico</w:t>
      </w:r>
      <w:r>
        <w:rPr>
          <w:spacing w:val="8"/>
        </w:rPr>
        <w:t> </w:t>
      </w:r>
      <w:r>
        <w:rPr>
          <w:w w:val="108"/>
        </w:rPr>
        <w:t>por</w:t>
      </w:r>
      <w:r>
        <w:rPr>
          <w:spacing w:val="8"/>
        </w:rPr>
        <w:t> </w:t>
      </w:r>
      <w:r>
        <w:rPr>
          <w:w w:val="139"/>
        </w:rPr>
        <w:t>a</w:t>
      </w:r>
      <w:r>
        <w:rPr>
          <w:w w:val="111"/>
        </w:rPr>
        <w:t>mérica</w:t>
      </w:r>
      <w:r>
        <w:rPr>
          <w:spacing w:val="8"/>
        </w:rPr>
        <w:t> </w:t>
      </w:r>
      <w:r>
        <w:rPr>
          <w:w w:val="243"/>
        </w:rPr>
        <w:t>l</w:t>
      </w:r>
      <w:r>
        <w:rPr>
          <w:w w:val="111"/>
        </w:rPr>
        <w:t>atina</w:t>
      </w:r>
      <w:r>
        <w:rPr>
          <w:spacing w:val="8"/>
        </w:rPr>
        <w:t> </w:t>
      </w:r>
      <w:r>
        <w:rPr>
          <w:w w:val="108"/>
        </w:rPr>
        <w:t>en</w:t>
      </w:r>
      <w:r>
        <w:rPr>
          <w:spacing w:val="8"/>
        </w:rPr>
        <w:t> </w:t>
      </w:r>
      <w:r>
        <w:rPr>
          <w:w w:val="109"/>
        </w:rPr>
        <w:t>las</w:t>
      </w:r>
      <w:r>
        <w:rPr>
          <w:spacing w:val="8"/>
        </w:rPr>
        <w:t> </w:t>
      </w:r>
      <w:r>
        <w:rPr>
          <w:w w:val="109"/>
        </w:rPr>
        <w:t>universida</w:t>
      </w:r>
      <w:r>
        <w:rPr>
          <w:w w:val="102"/>
        </w:rPr>
        <w:t>- </w:t>
      </w:r>
      <w:r>
        <w:rPr>
          <w:w w:val="115"/>
        </w:rPr>
        <w:t>des</w:t>
      </w:r>
      <w:r>
        <w:rPr>
          <w:spacing w:val="-20"/>
          <w:w w:val="115"/>
        </w:rPr>
        <w:t> </w:t>
      </w:r>
      <w:r>
        <w:rPr>
          <w:w w:val="115"/>
        </w:rPr>
        <w:t>norteamericanas,</w:t>
      </w:r>
      <w:r>
        <w:rPr>
          <w:spacing w:val="-20"/>
          <w:w w:val="115"/>
        </w:rPr>
        <w:t> </w:t>
      </w:r>
      <w:r>
        <w:rPr>
          <w:w w:val="115"/>
        </w:rPr>
        <w:t>no</w:t>
      </w:r>
      <w:r>
        <w:rPr>
          <w:spacing w:val="-20"/>
          <w:w w:val="115"/>
        </w:rPr>
        <w:t> </w:t>
      </w:r>
      <w:r>
        <w:rPr>
          <w:w w:val="115"/>
        </w:rPr>
        <w:t>se</w:t>
      </w:r>
      <w:r>
        <w:rPr>
          <w:spacing w:val="-20"/>
          <w:w w:val="115"/>
        </w:rPr>
        <w:t> </w:t>
      </w:r>
      <w:r>
        <w:rPr>
          <w:w w:val="115"/>
        </w:rPr>
        <w:t>correspondía</w:t>
      </w:r>
      <w:r>
        <w:rPr>
          <w:spacing w:val="-20"/>
          <w:w w:val="115"/>
        </w:rPr>
        <w:t> </w:t>
      </w:r>
      <w:r>
        <w:rPr>
          <w:w w:val="115"/>
        </w:rPr>
        <w:t>con</w:t>
      </w:r>
      <w:r>
        <w:rPr>
          <w:spacing w:val="-20"/>
          <w:w w:val="115"/>
        </w:rPr>
        <w:t> </w:t>
      </w:r>
      <w:r>
        <w:rPr>
          <w:w w:val="115"/>
        </w:rPr>
        <w:t>un</w:t>
      </w:r>
      <w:r>
        <w:rPr>
          <w:spacing w:val="-20"/>
          <w:w w:val="115"/>
        </w:rPr>
        <w:t> </w:t>
      </w:r>
      <w:r>
        <w:rPr>
          <w:w w:val="115"/>
        </w:rPr>
        <w:t>interés</w:t>
      </w:r>
      <w:r>
        <w:rPr>
          <w:spacing w:val="-20"/>
          <w:w w:val="115"/>
        </w:rPr>
        <w:t> </w:t>
      </w:r>
      <w:r>
        <w:rPr>
          <w:w w:val="115"/>
        </w:rPr>
        <w:t>recíproco</w:t>
      </w:r>
      <w:r>
        <w:rPr>
          <w:spacing w:val="-20"/>
          <w:w w:val="115"/>
        </w:rPr>
        <w:t> </w:t>
      </w:r>
      <w:r>
        <w:rPr>
          <w:w w:val="115"/>
        </w:rPr>
        <w:t>en el</w:t>
      </w:r>
      <w:r>
        <w:rPr>
          <w:spacing w:val="-6"/>
          <w:w w:val="115"/>
        </w:rPr>
        <w:t> </w:t>
      </w:r>
      <w:r>
        <w:rPr>
          <w:w w:val="115"/>
        </w:rPr>
        <w:t>estudio</w:t>
      </w:r>
      <w:r>
        <w:rPr>
          <w:spacing w:val="-6"/>
          <w:w w:val="115"/>
        </w:rPr>
        <w:t> </w:t>
      </w:r>
      <w:r>
        <w:rPr>
          <w:w w:val="115"/>
        </w:rPr>
        <w:t>e</w:t>
      </w:r>
      <w:r>
        <w:rPr>
          <w:spacing w:val="-6"/>
          <w:w w:val="115"/>
        </w:rPr>
        <w:t> </w:t>
      </w:r>
      <w:r>
        <w:rPr>
          <w:w w:val="115"/>
        </w:rPr>
        <w:t>investigación</w:t>
      </w:r>
      <w:r>
        <w:rPr>
          <w:spacing w:val="-6"/>
          <w:w w:val="115"/>
        </w:rPr>
        <w:t> </w:t>
      </w:r>
      <w:r>
        <w:rPr>
          <w:w w:val="115"/>
        </w:rPr>
        <w:t>sobre</w:t>
      </w:r>
      <w:r>
        <w:rPr>
          <w:spacing w:val="-6"/>
          <w:w w:val="115"/>
        </w:rPr>
        <w:t> </w:t>
      </w:r>
      <w:r>
        <w:rPr>
          <w:w w:val="115"/>
        </w:rPr>
        <w:t>los</w:t>
      </w:r>
      <w:r>
        <w:rPr>
          <w:spacing w:val="-6"/>
          <w:w w:val="115"/>
        </w:rPr>
        <w:t> </w:t>
      </w:r>
      <w:r>
        <w:rPr>
          <w:w w:val="115"/>
        </w:rPr>
        <w:t>Estados</w:t>
      </w:r>
      <w:r>
        <w:rPr>
          <w:spacing w:val="-6"/>
          <w:w w:val="115"/>
        </w:rPr>
        <w:t> </w:t>
      </w:r>
      <w:r>
        <w:rPr>
          <w:w w:val="115"/>
        </w:rPr>
        <w:t>unidos</w:t>
      </w:r>
      <w:r>
        <w:rPr>
          <w:spacing w:val="-6"/>
          <w:w w:val="115"/>
        </w:rPr>
        <w:t> </w:t>
      </w:r>
      <w:r>
        <w:rPr>
          <w:w w:val="115"/>
        </w:rPr>
        <w:t>en</w:t>
      </w:r>
      <w:r>
        <w:rPr>
          <w:spacing w:val="-6"/>
          <w:w w:val="115"/>
        </w:rPr>
        <w:t> </w:t>
      </w:r>
      <w:r>
        <w:rPr>
          <w:w w:val="115"/>
        </w:rPr>
        <w:t>las</w:t>
      </w:r>
      <w:r>
        <w:rPr>
          <w:spacing w:val="-6"/>
          <w:w w:val="115"/>
        </w:rPr>
        <w:t> </w:t>
      </w:r>
      <w:r>
        <w:rPr>
          <w:w w:val="115"/>
        </w:rPr>
        <w:t>institucio- nes</w:t>
      </w:r>
      <w:r>
        <w:rPr>
          <w:spacing w:val="-17"/>
          <w:w w:val="115"/>
        </w:rPr>
        <w:t> </w:t>
      </w:r>
      <w:r>
        <w:rPr>
          <w:w w:val="115"/>
        </w:rPr>
        <w:t>académicas</w:t>
      </w:r>
      <w:r>
        <w:rPr>
          <w:spacing w:val="-17"/>
          <w:w w:val="115"/>
        </w:rPr>
        <w:t> </w:t>
      </w:r>
      <w:r>
        <w:rPr>
          <w:w w:val="115"/>
        </w:rPr>
        <w:t>latinoamericanas</w:t>
      </w:r>
      <w:r>
        <w:rPr>
          <w:spacing w:val="-17"/>
          <w:w w:val="115"/>
        </w:rPr>
        <w:t> </w:t>
      </w:r>
      <w:r>
        <w:rPr>
          <w:w w:val="115"/>
        </w:rPr>
        <w:t>o</w:t>
      </w:r>
      <w:r>
        <w:rPr>
          <w:spacing w:val="-17"/>
          <w:w w:val="115"/>
        </w:rPr>
        <w:t> </w:t>
      </w:r>
      <w:r>
        <w:rPr>
          <w:w w:val="115"/>
        </w:rPr>
        <w:t>caribeñas.</w:t>
      </w:r>
      <w:r>
        <w:rPr>
          <w:spacing w:val="-17"/>
          <w:w w:val="115"/>
        </w:rPr>
        <w:t> </w:t>
      </w:r>
      <w:r>
        <w:rPr>
          <w:w w:val="115"/>
        </w:rPr>
        <w:t>señalaba,</w:t>
      </w:r>
      <w:r>
        <w:rPr>
          <w:spacing w:val="-17"/>
          <w:w w:val="115"/>
        </w:rPr>
        <w:t> </w:t>
      </w:r>
      <w:r>
        <w:rPr>
          <w:w w:val="115"/>
        </w:rPr>
        <w:t>como</w:t>
      </w:r>
      <w:r>
        <w:rPr>
          <w:spacing w:val="-17"/>
          <w:w w:val="115"/>
        </w:rPr>
        <w:t> </w:t>
      </w:r>
      <w:r>
        <w:rPr>
          <w:w w:val="115"/>
        </w:rPr>
        <w:t>efecto demostrativo,</w:t>
      </w:r>
      <w:r>
        <w:rPr>
          <w:spacing w:val="-13"/>
          <w:w w:val="115"/>
        </w:rPr>
        <w:t> </w:t>
      </w:r>
      <w:r>
        <w:rPr>
          <w:w w:val="115"/>
        </w:rPr>
        <w:t>lo</w:t>
      </w:r>
      <w:r>
        <w:rPr>
          <w:spacing w:val="-13"/>
          <w:w w:val="115"/>
        </w:rPr>
        <w:t> </w:t>
      </w:r>
      <w:r>
        <w:rPr>
          <w:w w:val="115"/>
        </w:rPr>
        <w:t>que</w:t>
      </w:r>
      <w:r>
        <w:rPr>
          <w:spacing w:val="-13"/>
          <w:w w:val="115"/>
        </w:rPr>
        <w:t> </w:t>
      </w:r>
      <w:r>
        <w:rPr>
          <w:w w:val="115"/>
        </w:rPr>
        <w:t>ya</w:t>
      </w:r>
      <w:r>
        <w:rPr>
          <w:spacing w:val="-13"/>
          <w:w w:val="115"/>
        </w:rPr>
        <w:t> </w:t>
      </w:r>
      <w:r>
        <w:rPr>
          <w:w w:val="115"/>
        </w:rPr>
        <w:t>una</w:t>
      </w:r>
      <w:r>
        <w:rPr>
          <w:spacing w:val="-13"/>
          <w:w w:val="115"/>
        </w:rPr>
        <w:t> </w:t>
      </w:r>
      <w:r>
        <w:rPr>
          <w:w w:val="115"/>
        </w:rPr>
        <w:t>década</w:t>
      </w:r>
      <w:r>
        <w:rPr>
          <w:spacing w:val="-13"/>
          <w:w w:val="115"/>
        </w:rPr>
        <w:t> </w:t>
      </w:r>
      <w:r>
        <w:rPr>
          <w:w w:val="115"/>
        </w:rPr>
        <w:t>atrás</w:t>
      </w:r>
      <w:r>
        <w:rPr>
          <w:spacing w:val="-13"/>
          <w:w w:val="115"/>
        </w:rPr>
        <w:t> </w:t>
      </w:r>
      <w:r>
        <w:rPr>
          <w:w w:val="115"/>
        </w:rPr>
        <w:t>era</w:t>
      </w:r>
      <w:r>
        <w:rPr>
          <w:spacing w:val="-13"/>
          <w:w w:val="115"/>
        </w:rPr>
        <w:t> </w:t>
      </w:r>
      <w:r>
        <w:rPr>
          <w:w w:val="115"/>
        </w:rPr>
        <w:t>la</w:t>
      </w:r>
      <w:r>
        <w:rPr>
          <w:spacing w:val="-13"/>
          <w:w w:val="115"/>
        </w:rPr>
        <w:t> </w:t>
      </w:r>
      <w:r>
        <w:rPr>
          <w:w w:val="115"/>
        </w:rPr>
        <w:t>gran</w:t>
      </w:r>
      <w:r>
        <w:rPr>
          <w:spacing w:val="-13"/>
          <w:w w:val="115"/>
        </w:rPr>
        <w:t> </w:t>
      </w:r>
      <w:r>
        <w:rPr>
          <w:w w:val="115"/>
        </w:rPr>
        <w:t>vitalidad</w:t>
      </w:r>
      <w:r>
        <w:rPr>
          <w:spacing w:val="-13"/>
          <w:w w:val="115"/>
        </w:rPr>
        <w:t> </w:t>
      </w:r>
      <w:r>
        <w:rPr>
          <w:w w:val="115"/>
        </w:rPr>
        <w:t>de</w:t>
      </w:r>
      <w:r>
        <w:rPr>
          <w:spacing w:val="-13"/>
          <w:w w:val="115"/>
        </w:rPr>
        <w:t> </w:t>
      </w:r>
      <w:r>
        <w:rPr>
          <w:w w:val="115"/>
        </w:rPr>
        <w:t>una </w:t>
      </w:r>
      <w:r>
        <w:rPr>
          <w:w w:val="111"/>
        </w:rPr>
        <w:t>organización</w:t>
      </w:r>
      <w:r>
        <w:rPr>
          <w:spacing w:val="12"/>
        </w:rPr>
        <w:t> </w:t>
      </w:r>
      <w:r>
        <w:rPr>
          <w:w w:val="112"/>
        </w:rPr>
        <w:t>como</w:t>
      </w:r>
      <w:r>
        <w:rPr>
          <w:spacing w:val="12"/>
        </w:rPr>
        <w:t> </w:t>
      </w:r>
      <w:r>
        <w:rPr>
          <w:w w:val="111"/>
        </w:rPr>
        <w:t>la</w:t>
      </w:r>
      <w:r>
        <w:rPr>
          <w:spacing w:val="12"/>
        </w:rPr>
        <w:t> </w:t>
      </w:r>
      <w:r>
        <w:rPr>
          <w:w w:val="243"/>
        </w:rPr>
        <w:t>l</w:t>
      </w:r>
      <w:r>
        <w:rPr>
          <w:w w:val="111"/>
        </w:rPr>
        <w:t>atin</w:t>
      </w:r>
      <w:r>
        <w:rPr>
          <w:spacing w:val="12"/>
        </w:rPr>
        <w:t> </w:t>
      </w:r>
      <w:r>
        <w:rPr>
          <w:w w:val="139"/>
        </w:rPr>
        <w:t>a</w:t>
      </w:r>
      <w:r>
        <w:rPr>
          <w:w w:val="111"/>
        </w:rPr>
        <w:t>merican</w:t>
      </w:r>
      <w:r>
        <w:rPr>
          <w:spacing w:val="12"/>
        </w:rPr>
        <w:t> </w:t>
      </w:r>
      <w:r>
        <w:rPr>
          <w:w w:val="149"/>
        </w:rPr>
        <w:t>s</w:t>
      </w:r>
      <w:r>
        <w:rPr>
          <w:w w:val="108"/>
        </w:rPr>
        <w:t>tudies</w:t>
      </w:r>
      <w:r>
        <w:rPr>
          <w:spacing w:val="12"/>
        </w:rPr>
        <w:t> </w:t>
      </w:r>
      <w:r>
        <w:rPr>
          <w:w w:val="139"/>
        </w:rPr>
        <w:t>a</w:t>
      </w:r>
      <w:r>
        <w:rPr>
          <w:w w:val="110"/>
        </w:rPr>
        <w:t>ssociation</w:t>
      </w:r>
      <w:r>
        <w:rPr>
          <w:spacing w:val="12"/>
        </w:rPr>
        <w:t> </w:t>
      </w:r>
      <w:r>
        <w:rPr>
          <w:w w:val="98"/>
        </w:rPr>
        <w:t>(</w:t>
      </w:r>
      <w:r>
        <w:rPr>
          <w:w w:val="158"/>
        </w:rPr>
        <w:t>lasa</w:t>
      </w:r>
      <w:r>
        <w:rPr>
          <w:w w:val="112"/>
        </w:rPr>
        <w:t>),</w:t>
      </w:r>
      <w:r>
        <w:rPr>
          <w:spacing w:val="12"/>
        </w:rPr>
        <w:t> </w:t>
      </w:r>
      <w:r>
        <w:rPr>
          <w:w w:val="108"/>
        </w:rPr>
        <w:t>en </w:t>
      </w:r>
      <w:r>
        <w:rPr>
          <w:w w:val="115"/>
        </w:rPr>
        <w:t>contraposición a la casi total ausencia de centros, departamentos o núcleos</w:t>
      </w:r>
      <w:r>
        <w:rPr>
          <w:spacing w:val="-20"/>
          <w:w w:val="115"/>
        </w:rPr>
        <w:t> </w:t>
      </w:r>
      <w:r>
        <w:rPr>
          <w:w w:val="115"/>
        </w:rPr>
        <w:t>de</w:t>
      </w:r>
      <w:r>
        <w:rPr>
          <w:spacing w:val="-20"/>
          <w:w w:val="115"/>
        </w:rPr>
        <w:t> </w:t>
      </w:r>
      <w:r>
        <w:rPr>
          <w:w w:val="115"/>
        </w:rPr>
        <w:t>estudios</w:t>
      </w:r>
      <w:r>
        <w:rPr>
          <w:spacing w:val="-20"/>
          <w:w w:val="115"/>
        </w:rPr>
        <w:t> </w:t>
      </w:r>
      <w:r>
        <w:rPr>
          <w:w w:val="115"/>
        </w:rPr>
        <w:t>sobre</w:t>
      </w:r>
      <w:r>
        <w:rPr>
          <w:spacing w:val="-20"/>
          <w:w w:val="115"/>
        </w:rPr>
        <w:t> </w:t>
      </w:r>
      <w:r>
        <w:rPr>
          <w:w w:val="115"/>
        </w:rPr>
        <w:t>asuntos</w:t>
      </w:r>
      <w:r>
        <w:rPr>
          <w:spacing w:val="-20"/>
          <w:w w:val="115"/>
        </w:rPr>
        <w:t> </w:t>
      </w:r>
      <w:r>
        <w:rPr>
          <w:w w:val="115"/>
        </w:rPr>
        <w:t>norteamericanos</w:t>
      </w:r>
      <w:r>
        <w:rPr>
          <w:spacing w:val="-20"/>
          <w:w w:val="115"/>
        </w:rPr>
        <w:t> </w:t>
      </w:r>
      <w:r>
        <w:rPr>
          <w:w w:val="115"/>
        </w:rPr>
        <w:t>en</w:t>
      </w:r>
      <w:r>
        <w:rPr>
          <w:spacing w:val="-20"/>
          <w:w w:val="115"/>
        </w:rPr>
        <w:t> </w:t>
      </w:r>
      <w:r>
        <w:rPr>
          <w:w w:val="115"/>
        </w:rPr>
        <w:t>las</w:t>
      </w:r>
      <w:r>
        <w:rPr>
          <w:spacing w:val="-20"/>
          <w:w w:val="115"/>
        </w:rPr>
        <w:t> </w:t>
      </w:r>
      <w:r>
        <w:rPr>
          <w:w w:val="115"/>
        </w:rPr>
        <w:t>institucio- nes</w:t>
      </w:r>
      <w:r>
        <w:rPr>
          <w:spacing w:val="-23"/>
          <w:w w:val="115"/>
        </w:rPr>
        <w:t> </w:t>
      </w:r>
      <w:r>
        <w:rPr>
          <w:w w:val="115"/>
        </w:rPr>
        <w:t>universitarias</w:t>
      </w:r>
      <w:r>
        <w:rPr>
          <w:spacing w:val="-23"/>
          <w:w w:val="115"/>
        </w:rPr>
        <w:t> </w:t>
      </w:r>
      <w:r>
        <w:rPr>
          <w:w w:val="115"/>
        </w:rPr>
        <w:t>del</w:t>
      </w:r>
      <w:r>
        <w:rPr>
          <w:spacing w:val="-23"/>
          <w:w w:val="115"/>
        </w:rPr>
        <w:t> </w:t>
      </w:r>
      <w:r>
        <w:rPr>
          <w:w w:val="115"/>
        </w:rPr>
        <w:t>sur</w:t>
      </w:r>
      <w:r>
        <w:rPr>
          <w:spacing w:val="-23"/>
          <w:w w:val="115"/>
        </w:rPr>
        <w:t> </w:t>
      </w:r>
      <w:r>
        <w:rPr>
          <w:w w:val="115"/>
        </w:rPr>
        <w:t>del</w:t>
      </w:r>
      <w:r>
        <w:rPr>
          <w:spacing w:val="-23"/>
          <w:w w:val="115"/>
        </w:rPr>
        <w:t> </w:t>
      </w:r>
      <w:r>
        <w:rPr>
          <w:w w:val="115"/>
        </w:rPr>
        <w:t>continente.</w:t>
      </w:r>
    </w:p>
    <w:p>
      <w:pPr>
        <w:pStyle w:val="BodyText"/>
        <w:spacing w:line="252" w:lineRule="auto"/>
        <w:ind w:left="330" w:right="118" w:firstLine="396"/>
        <w:jc w:val="both"/>
      </w:pPr>
      <w:r>
        <w:rPr>
          <w:w w:val="110"/>
        </w:rPr>
        <w:t>Con el objetivo de contribuir a revertir esta tendencia y munido de una importancia estratégica vital  para  </w:t>
      </w:r>
      <w:r>
        <w:rPr>
          <w:w w:val="125"/>
        </w:rPr>
        <w:t>ClaCso,  </w:t>
      </w:r>
      <w:r>
        <w:rPr>
          <w:w w:val="110"/>
        </w:rPr>
        <w:t>nació  el  Grupo  de </w:t>
      </w:r>
      <w:r>
        <w:rPr>
          <w:spacing w:val="-3"/>
          <w:w w:val="110"/>
        </w:rPr>
        <w:t>trabajo </w:t>
      </w:r>
      <w:r>
        <w:rPr>
          <w:w w:val="110"/>
        </w:rPr>
        <w:t>sobre Estados unidos. desde entonces, no paró de </w:t>
      </w:r>
      <w:r>
        <w:rPr>
          <w:spacing w:val="-4"/>
          <w:w w:val="110"/>
        </w:rPr>
        <w:t>crecer, </w:t>
      </w:r>
      <w:r>
        <w:rPr>
          <w:w w:val="110"/>
        </w:rPr>
        <w:t>fortaleciéndose y ampliando su </w:t>
      </w:r>
      <w:r>
        <w:rPr>
          <w:spacing w:val="10"/>
          <w:w w:val="110"/>
        </w:rPr>
        <w:t> </w:t>
      </w:r>
      <w:r>
        <w:rPr>
          <w:w w:val="110"/>
        </w:rPr>
        <w:t>producción.</w:t>
      </w:r>
    </w:p>
    <w:p>
      <w:pPr>
        <w:pStyle w:val="BodyText"/>
        <w:spacing w:line="252" w:lineRule="auto"/>
        <w:ind w:left="330" w:right="117" w:firstLine="396"/>
        <w:jc w:val="both"/>
      </w:pPr>
      <w:r>
        <w:rPr>
          <w:w w:val="243"/>
        </w:rPr>
        <w:t>l</w:t>
      </w:r>
      <w:r>
        <w:rPr>
          <w:w w:val="112"/>
        </w:rPr>
        <w:t>a</w:t>
      </w:r>
      <w:r>
        <w:rPr>
          <w:spacing w:val="2"/>
        </w:rPr>
        <w:t> </w:t>
      </w:r>
      <w:r>
        <w:rPr>
          <w:w w:val="111"/>
        </w:rPr>
        <w:t>aparición</w:t>
      </w:r>
      <w:r>
        <w:rPr>
          <w:spacing w:val="2"/>
        </w:rPr>
        <w:t> </w:t>
      </w:r>
      <w:r>
        <w:rPr>
          <w:w w:val="107"/>
        </w:rPr>
        <w:t>de</w:t>
      </w:r>
      <w:r>
        <w:rPr>
          <w:spacing w:val="2"/>
        </w:rPr>
        <w:t> </w:t>
      </w:r>
      <w:r>
        <w:rPr>
          <w:w w:val="105"/>
        </w:rPr>
        <w:t>este</w:t>
      </w:r>
      <w:r>
        <w:rPr>
          <w:spacing w:val="2"/>
        </w:rPr>
        <w:t> </w:t>
      </w:r>
      <w:r>
        <w:rPr>
          <w:w w:val="110"/>
        </w:rPr>
        <w:t>cuarto</w:t>
      </w:r>
      <w:r>
        <w:rPr>
          <w:spacing w:val="2"/>
        </w:rPr>
        <w:t> </w:t>
      </w:r>
      <w:r>
        <w:rPr>
          <w:w w:val="110"/>
        </w:rPr>
        <w:t>libro</w:t>
      </w:r>
      <w:r>
        <w:rPr>
          <w:spacing w:val="2"/>
        </w:rPr>
        <w:t> </w:t>
      </w:r>
      <w:r>
        <w:rPr>
          <w:w w:val="111"/>
        </w:rPr>
        <w:t>coincide</w:t>
      </w:r>
      <w:r>
        <w:rPr>
          <w:spacing w:val="2"/>
        </w:rPr>
        <w:t> </w:t>
      </w:r>
      <w:r>
        <w:rPr>
          <w:w w:val="112"/>
        </w:rPr>
        <w:t>con</w:t>
      </w:r>
      <w:r>
        <w:rPr>
          <w:spacing w:val="2"/>
        </w:rPr>
        <w:t> </w:t>
      </w:r>
      <w:r>
        <w:rPr>
          <w:w w:val="107"/>
        </w:rPr>
        <w:t>el</w:t>
      </w:r>
      <w:r>
        <w:rPr>
          <w:spacing w:val="2"/>
        </w:rPr>
        <w:t> </w:t>
      </w:r>
      <w:r>
        <w:rPr>
          <w:w w:val="107"/>
        </w:rPr>
        <w:t>fin</w:t>
      </w:r>
      <w:r>
        <w:rPr>
          <w:spacing w:val="2"/>
        </w:rPr>
        <w:t> </w:t>
      </w:r>
      <w:r>
        <w:rPr>
          <w:w w:val="107"/>
        </w:rPr>
        <w:t>de</w:t>
      </w:r>
      <w:r>
        <w:rPr>
          <w:spacing w:val="2"/>
        </w:rPr>
        <w:t> </w:t>
      </w:r>
      <w:r>
        <w:rPr>
          <w:w w:val="112"/>
        </w:rPr>
        <w:t>una</w:t>
      </w:r>
      <w:r>
        <w:rPr>
          <w:spacing w:val="2"/>
        </w:rPr>
        <w:t> </w:t>
      </w:r>
      <w:r>
        <w:rPr>
          <w:w w:val="110"/>
        </w:rPr>
        <w:t>década </w:t>
      </w:r>
      <w:r>
        <w:rPr>
          <w:w w:val="115"/>
        </w:rPr>
        <w:t>de</w:t>
      </w:r>
      <w:r>
        <w:rPr>
          <w:spacing w:val="-20"/>
          <w:w w:val="115"/>
        </w:rPr>
        <w:t> </w:t>
      </w:r>
      <w:r>
        <w:rPr>
          <w:w w:val="115"/>
        </w:rPr>
        <w:t>características</w:t>
      </w:r>
      <w:r>
        <w:rPr>
          <w:spacing w:val="-20"/>
          <w:w w:val="115"/>
        </w:rPr>
        <w:t> </w:t>
      </w:r>
      <w:r>
        <w:rPr>
          <w:w w:val="115"/>
        </w:rPr>
        <w:t>muy</w:t>
      </w:r>
      <w:r>
        <w:rPr>
          <w:spacing w:val="-20"/>
          <w:w w:val="115"/>
        </w:rPr>
        <w:t> </w:t>
      </w:r>
      <w:r>
        <w:rPr>
          <w:w w:val="115"/>
        </w:rPr>
        <w:t>peculiares</w:t>
      </w:r>
      <w:r>
        <w:rPr>
          <w:spacing w:val="-20"/>
          <w:w w:val="115"/>
        </w:rPr>
        <w:t> </w:t>
      </w:r>
      <w:r>
        <w:rPr>
          <w:w w:val="115"/>
        </w:rPr>
        <w:t>en</w:t>
      </w:r>
      <w:r>
        <w:rPr>
          <w:spacing w:val="-20"/>
          <w:w w:val="115"/>
        </w:rPr>
        <w:t> </w:t>
      </w:r>
      <w:r>
        <w:rPr>
          <w:w w:val="115"/>
        </w:rPr>
        <w:t>la</w:t>
      </w:r>
      <w:r>
        <w:rPr>
          <w:spacing w:val="-20"/>
          <w:w w:val="115"/>
        </w:rPr>
        <w:t> </w:t>
      </w:r>
      <w:r>
        <w:rPr>
          <w:w w:val="115"/>
        </w:rPr>
        <w:t>relación</w:t>
      </w:r>
      <w:r>
        <w:rPr>
          <w:spacing w:val="-20"/>
          <w:w w:val="115"/>
        </w:rPr>
        <w:t> </w:t>
      </w:r>
      <w:r>
        <w:rPr>
          <w:w w:val="115"/>
        </w:rPr>
        <w:t>entre</w:t>
      </w:r>
      <w:r>
        <w:rPr>
          <w:spacing w:val="-20"/>
          <w:w w:val="115"/>
        </w:rPr>
        <w:t> </w:t>
      </w:r>
      <w:r>
        <w:rPr>
          <w:w w:val="115"/>
        </w:rPr>
        <w:t>Estados</w:t>
      </w:r>
      <w:r>
        <w:rPr>
          <w:spacing w:val="-20"/>
          <w:w w:val="115"/>
        </w:rPr>
        <w:t> </w:t>
      </w:r>
      <w:r>
        <w:rPr>
          <w:w w:val="115"/>
        </w:rPr>
        <w:t>unidos </w:t>
      </w:r>
      <w:r>
        <w:rPr>
          <w:w w:val="105"/>
        </w:rPr>
        <w:t>y</w:t>
      </w:r>
      <w:r>
        <w:rPr>
          <w:spacing w:val="12"/>
        </w:rPr>
        <w:t> </w:t>
      </w:r>
      <w:r>
        <w:rPr>
          <w:w w:val="139"/>
        </w:rPr>
        <w:t>a</w:t>
      </w:r>
      <w:r>
        <w:rPr>
          <w:w w:val="111"/>
        </w:rPr>
        <w:t>mérica</w:t>
      </w:r>
      <w:r>
        <w:rPr>
          <w:spacing w:val="12"/>
        </w:rPr>
        <w:t> </w:t>
      </w:r>
      <w:r>
        <w:rPr>
          <w:w w:val="243"/>
        </w:rPr>
        <w:t>l</w:t>
      </w:r>
      <w:r>
        <w:rPr>
          <w:w w:val="113"/>
        </w:rPr>
        <w:t>atina.</w:t>
      </w:r>
    </w:p>
    <w:p>
      <w:pPr>
        <w:pStyle w:val="BodyText"/>
        <w:spacing w:line="252" w:lineRule="auto"/>
        <w:ind w:left="330" w:right="116" w:firstLine="396"/>
        <w:jc w:val="both"/>
      </w:pPr>
      <w:r>
        <w:rPr>
          <w:w w:val="115"/>
        </w:rPr>
        <w:t>En efecto, nuestro Grupo de trabajo fue constituido original- mente cuando arreciaba la presión norteamericana por la confor- </w:t>
      </w:r>
      <w:r>
        <w:rPr>
          <w:spacing w:val="1"/>
          <w:w w:val="114"/>
        </w:rPr>
        <w:t>mació</w:t>
      </w:r>
      <w:r>
        <w:rPr>
          <w:w w:val="114"/>
        </w:rPr>
        <w:t>n</w:t>
      </w:r>
      <w:r>
        <w:rPr/>
        <w:t> </w:t>
      </w:r>
      <w:r>
        <w:rPr>
          <w:spacing w:val="18"/>
        </w:rPr>
        <w:t> </w:t>
      </w:r>
      <w:r>
        <w:rPr>
          <w:spacing w:val="1"/>
          <w:w w:val="109"/>
        </w:rPr>
        <w:t>de</w:t>
      </w:r>
      <w:r>
        <w:rPr>
          <w:w w:val="109"/>
        </w:rPr>
        <w:t>l</w:t>
      </w:r>
      <w:r>
        <w:rPr/>
        <w:t> </w:t>
      </w:r>
      <w:r>
        <w:rPr>
          <w:spacing w:val="18"/>
        </w:rPr>
        <w:t> </w:t>
      </w:r>
      <w:r>
        <w:rPr>
          <w:spacing w:val="1"/>
          <w:w w:val="109"/>
        </w:rPr>
        <w:t>Áre</w:t>
      </w:r>
      <w:r>
        <w:rPr>
          <w:w w:val="109"/>
        </w:rPr>
        <w:t>a</w:t>
      </w:r>
      <w:r>
        <w:rPr/>
        <w:t> </w:t>
      </w:r>
      <w:r>
        <w:rPr>
          <w:spacing w:val="18"/>
        </w:rPr>
        <w:t> </w:t>
      </w:r>
      <w:r>
        <w:rPr>
          <w:spacing w:val="1"/>
          <w:w w:val="108"/>
        </w:rPr>
        <w:t>d</w:t>
      </w:r>
      <w:r>
        <w:rPr>
          <w:w w:val="108"/>
        </w:rPr>
        <w:t>e</w:t>
      </w:r>
      <w:r>
        <w:rPr/>
        <w:t> </w:t>
      </w:r>
      <w:r>
        <w:rPr>
          <w:spacing w:val="18"/>
        </w:rPr>
        <w:t> </w:t>
      </w:r>
      <w:r>
        <w:rPr>
          <w:spacing w:val="1"/>
          <w:w w:val="246"/>
        </w:rPr>
        <w:t>l</w:t>
      </w:r>
      <w:r>
        <w:rPr>
          <w:spacing w:val="1"/>
          <w:w w:val="109"/>
        </w:rPr>
        <w:t>ibr</w:t>
      </w:r>
      <w:r>
        <w:rPr>
          <w:w w:val="109"/>
        </w:rPr>
        <w:t>e</w:t>
      </w:r>
      <w:r>
        <w:rPr/>
        <w:t> </w:t>
      </w:r>
      <w:r>
        <w:rPr>
          <w:spacing w:val="18"/>
        </w:rPr>
        <w:t> </w:t>
      </w:r>
      <w:r>
        <w:rPr>
          <w:spacing w:val="1"/>
          <w:w w:val="113"/>
        </w:rPr>
        <w:t>Comerci</w:t>
      </w:r>
      <w:r>
        <w:rPr>
          <w:w w:val="113"/>
        </w:rPr>
        <w:t>o</w:t>
      </w:r>
      <w:r>
        <w:rPr/>
        <w:t> </w:t>
      </w:r>
      <w:r>
        <w:rPr>
          <w:spacing w:val="18"/>
        </w:rPr>
        <w:t> </w:t>
      </w:r>
      <w:r>
        <w:rPr>
          <w:spacing w:val="1"/>
          <w:w w:val="108"/>
        </w:rPr>
        <w:t>d</w:t>
      </w:r>
      <w:r>
        <w:rPr>
          <w:w w:val="108"/>
        </w:rPr>
        <w:t>e</w:t>
      </w:r>
      <w:r>
        <w:rPr/>
        <w:t> </w:t>
      </w:r>
      <w:r>
        <w:rPr>
          <w:spacing w:val="18"/>
        </w:rPr>
        <w:t> </w:t>
      </w:r>
      <w:r>
        <w:rPr>
          <w:spacing w:val="1"/>
          <w:w w:val="110"/>
        </w:rPr>
        <w:t>la</w:t>
      </w:r>
      <w:r>
        <w:rPr>
          <w:w w:val="110"/>
        </w:rPr>
        <w:t>s</w:t>
      </w:r>
      <w:r>
        <w:rPr/>
        <w:t> </w:t>
      </w:r>
      <w:r>
        <w:rPr>
          <w:spacing w:val="18"/>
        </w:rPr>
        <w:t> </w:t>
      </w:r>
      <w:r>
        <w:rPr>
          <w:spacing w:val="1"/>
          <w:w w:val="140"/>
        </w:rPr>
        <w:t>a</w:t>
      </w:r>
      <w:r>
        <w:rPr>
          <w:spacing w:val="1"/>
          <w:w w:val="111"/>
        </w:rPr>
        <w:t>mérica</w:t>
      </w:r>
      <w:r>
        <w:rPr>
          <w:w w:val="111"/>
        </w:rPr>
        <w:t>s</w:t>
      </w:r>
      <w:r>
        <w:rPr/>
        <w:t> </w:t>
      </w:r>
      <w:r>
        <w:rPr>
          <w:spacing w:val="18"/>
        </w:rPr>
        <w:t> </w:t>
      </w:r>
      <w:r>
        <w:rPr>
          <w:spacing w:val="1"/>
          <w:w w:val="99"/>
        </w:rPr>
        <w:t>(</w:t>
      </w:r>
      <w:r>
        <w:rPr>
          <w:spacing w:val="1"/>
          <w:w w:val="178"/>
        </w:rPr>
        <w:t>al</w:t>
      </w:r>
      <w:r>
        <w:rPr>
          <w:spacing w:val="1"/>
          <w:w w:val="125"/>
        </w:rPr>
        <w:t>C</w:t>
      </w:r>
      <w:r>
        <w:rPr>
          <w:spacing w:val="1"/>
          <w:w w:val="140"/>
        </w:rPr>
        <w:t>a</w:t>
      </w:r>
      <w:r>
        <w:rPr>
          <w:spacing w:val="1"/>
          <w:w w:val="113"/>
        </w:rPr>
        <w:t>)</w:t>
      </w:r>
      <w:r>
        <w:rPr>
          <w:w w:val="113"/>
        </w:rPr>
        <w:t>,</w:t>
      </w:r>
      <w:r>
        <w:rPr/>
        <w:t> </w:t>
      </w:r>
      <w:r>
        <w:rPr>
          <w:spacing w:val="18"/>
        </w:rPr>
        <w:t> </w:t>
      </w:r>
      <w:r>
        <w:rPr>
          <w:spacing w:val="1"/>
          <w:w w:val="108"/>
        </w:rPr>
        <w:t>el </w:t>
      </w:r>
      <w:r>
        <w:rPr>
          <w:w w:val="115"/>
        </w:rPr>
        <w:t>corolario dramático de más de una década de activa intervención norteamericana</w:t>
      </w:r>
      <w:r>
        <w:rPr>
          <w:spacing w:val="-20"/>
          <w:w w:val="115"/>
        </w:rPr>
        <w:t> </w:t>
      </w:r>
      <w:r>
        <w:rPr>
          <w:w w:val="115"/>
        </w:rPr>
        <w:t>en</w:t>
      </w:r>
      <w:r>
        <w:rPr>
          <w:spacing w:val="-20"/>
          <w:w w:val="115"/>
        </w:rPr>
        <w:t> </w:t>
      </w:r>
      <w:r>
        <w:rPr>
          <w:w w:val="115"/>
        </w:rPr>
        <w:t>todos</w:t>
      </w:r>
      <w:r>
        <w:rPr>
          <w:spacing w:val="-20"/>
          <w:w w:val="115"/>
        </w:rPr>
        <w:t> </w:t>
      </w:r>
      <w:r>
        <w:rPr>
          <w:w w:val="115"/>
        </w:rPr>
        <w:t>los</w:t>
      </w:r>
      <w:r>
        <w:rPr>
          <w:spacing w:val="-20"/>
          <w:w w:val="115"/>
        </w:rPr>
        <w:t> </w:t>
      </w:r>
      <w:r>
        <w:rPr>
          <w:w w:val="115"/>
        </w:rPr>
        <w:t>gobiernos</w:t>
      </w:r>
      <w:r>
        <w:rPr>
          <w:spacing w:val="-20"/>
          <w:w w:val="115"/>
        </w:rPr>
        <w:t> </w:t>
      </w:r>
      <w:r>
        <w:rPr>
          <w:w w:val="115"/>
        </w:rPr>
        <w:t>neoliberales</w:t>
      </w:r>
      <w:r>
        <w:rPr>
          <w:spacing w:val="-20"/>
          <w:w w:val="115"/>
        </w:rPr>
        <w:t> </w:t>
      </w:r>
      <w:r>
        <w:rPr>
          <w:w w:val="115"/>
        </w:rPr>
        <w:t>del</w:t>
      </w:r>
      <w:r>
        <w:rPr>
          <w:spacing w:val="-20"/>
          <w:w w:val="115"/>
        </w:rPr>
        <w:t> </w:t>
      </w:r>
      <w:r>
        <w:rPr>
          <w:w w:val="115"/>
        </w:rPr>
        <w:t>continente</w:t>
      </w:r>
      <w:r>
        <w:rPr>
          <w:spacing w:val="-20"/>
          <w:w w:val="115"/>
        </w:rPr>
        <w:t> </w:t>
      </w:r>
      <w:r>
        <w:rPr>
          <w:w w:val="115"/>
        </w:rPr>
        <w:t>y de imposición del Consenso de Washington como el límite político, ideológico</w:t>
      </w:r>
      <w:r>
        <w:rPr>
          <w:spacing w:val="-15"/>
          <w:w w:val="115"/>
        </w:rPr>
        <w:t> </w:t>
      </w:r>
      <w:r>
        <w:rPr>
          <w:w w:val="115"/>
        </w:rPr>
        <w:t>y</w:t>
      </w:r>
      <w:r>
        <w:rPr>
          <w:spacing w:val="-15"/>
          <w:w w:val="115"/>
        </w:rPr>
        <w:t> </w:t>
      </w:r>
      <w:r>
        <w:rPr>
          <w:w w:val="115"/>
        </w:rPr>
        <w:t>militar</w:t>
      </w:r>
      <w:r>
        <w:rPr>
          <w:spacing w:val="-15"/>
          <w:w w:val="115"/>
        </w:rPr>
        <w:t> </w:t>
      </w:r>
      <w:r>
        <w:rPr>
          <w:w w:val="115"/>
        </w:rPr>
        <w:t>desde</w:t>
      </w:r>
      <w:r>
        <w:rPr>
          <w:spacing w:val="-15"/>
          <w:w w:val="115"/>
        </w:rPr>
        <w:t> </w:t>
      </w:r>
      <w:r>
        <w:rPr>
          <w:w w:val="115"/>
        </w:rPr>
        <w:t>el</w:t>
      </w:r>
      <w:r>
        <w:rPr>
          <w:spacing w:val="-15"/>
          <w:w w:val="115"/>
        </w:rPr>
        <w:t> </w:t>
      </w:r>
      <w:r>
        <w:rPr>
          <w:w w:val="115"/>
        </w:rPr>
        <w:t>cual</w:t>
      </w:r>
      <w:r>
        <w:rPr>
          <w:spacing w:val="-15"/>
          <w:w w:val="115"/>
        </w:rPr>
        <w:t> </w:t>
      </w:r>
      <w:r>
        <w:rPr>
          <w:w w:val="115"/>
        </w:rPr>
        <w:t>era</w:t>
      </w:r>
      <w:r>
        <w:rPr>
          <w:spacing w:val="-15"/>
          <w:w w:val="115"/>
        </w:rPr>
        <w:t> </w:t>
      </w:r>
      <w:r>
        <w:rPr>
          <w:w w:val="115"/>
        </w:rPr>
        <w:t>posible</w:t>
      </w:r>
      <w:r>
        <w:rPr>
          <w:spacing w:val="-15"/>
          <w:w w:val="115"/>
        </w:rPr>
        <w:t> </w:t>
      </w:r>
      <w:r>
        <w:rPr>
          <w:w w:val="115"/>
        </w:rPr>
        <w:t>pensar</w:t>
      </w:r>
      <w:r>
        <w:rPr>
          <w:spacing w:val="-15"/>
          <w:w w:val="115"/>
        </w:rPr>
        <w:t> </w:t>
      </w:r>
      <w:r>
        <w:rPr>
          <w:w w:val="115"/>
        </w:rPr>
        <w:t>y</w:t>
      </w:r>
      <w:r>
        <w:rPr>
          <w:spacing w:val="-15"/>
          <w:w w:val="115"/>
        </w:rPr>
        <w:t> </w:t>
      </w:r>
      <w:r>
        <w:rPr>
          <w:w w:val="115"/>
        </w:rPr>
        <w:t>diseñar</w:t>
      </w:r>
      <w:r>
        <w:rPr>
          <w:spacing w:val="-15"/>
          <w:w w:val="115"/>
        </w:rPr>
        <w:t> </w:t>
      </w:r>
      <w:r>
        <w:rPr>
          <w:w w:val="115"/>
        </w:rPr>
        <w:t>el</w:t>
      </w:r>
      <w:r>
        <w:rPr>
          <w:spacing w:val="-15"/>
          <w:w w:val="115"/>
        </w:rPr>
        <w:t> </w:t>
      </w:r>
      <w:r>
        <w:rPr>
          <w:w w:val="115"/>
        </w:rPr>
        <w:t>pre- </w:t>
      </w:r>
      <w:r>
        <w:rPr>
          <w:spacing w:val="1"/>
          <w:w w:val="107"/>
        </w:rPr>
        <w:t>sent</w:t>
      </w:r>
      <w:r>
        <w:rPr>
          <w:w w:val="107"/>
        </w:rPr>
        <w:t>e</w:t>
      </w:r>
      <w:r>
        <w:rPr>
          <w:spacing w:val="19"/>
        </w:rPr>
        <w:t> </w:t>
      </w:r>
      <w:r>
        <w:rPr>
          <w:w w:val="106"/>
        </w:rPr>
        <w:t>y</w:t>
      </w:r>
      <w:r>
        <w:rPr>
          <w:spacing w:val="19"/>
        </w:rPr>
        <w:t> </w:t>
      </w:r>
      <w:r>
        <w:rPr>
          <w:spacing w:val="1"/>
          <w:w w:val="108"/>
        </w:rPr>
        <w:t>e</w:t>
      </w:r>
      <w:r>
        <w:rPr>
          <w:w w:val="108"/>
        </w:rPr>
        <w:t>l</w:t>
      </w:r>
      <w:r>
        <w:rPr>
          <w:spacing w:val="19"/>
        </w:rPr>
        <w:t> </w:t>
      </w:r>
      <w:r>
        <w:rPr>
          <w:spacing w:val="1"/>
          <w:w w:val="112"/>
        </w:rPr>
        <w:t>futur</w:t>
      </w:r>
      <w:r>
        <w:rPr>
          <w:w w:val="112"/>
        </w:rPr>
        <w:t>o</w:t>
      </w:r>
      <w:r>
        <w:rPr>
          <w:spacing w:val="19"/>
        </w:rPr>
        <w:t> </w:t>
      </w:r>
      <w:r>
        <w:rPr>
          <w:spacing w:val="1"/>
          <w:w w:val="108"/>
        </w:rPr>
        <w:t>d</w:t>
      </w:r>
      <w:r>
        <w:rPr>
          <w:w w:val="108"/>
        </w:rPr>
        <w:t>e</w:t>
      </w:r>
      <w:r>
        <w:rPr>
          <w:spacing w:val="19"/>
        </w:rPr>
        <w:t> </w:t>
      </w:r>
      <w:r>
        <w:rPr>
          <w:spacing w:val="1"/>
          <w:w w:val="140"/>
        </w:rPr>
        <w:t>a</w:t>
      </w:r>
      <w:r>
        <w:rPr>
          <w:spacing w:val="1"/>
          <w:w w:val="112"/>
        </w:rPr>
        <w:t>méric</w:t>
      </w:r>
      <w:r>
        <w:rPr>
          <w:w w:val="112"/>
        </w:rPr>
        <w:t>a</w:t>
      </w:r>
      <w:r>
        <w:rPr>
          <w:spacing w:val="19"/>
        </w:rPr>
        <w:t> </w:t>
      </w:r>
      <w:r>
        <w:rPr>
          <w:spacing w:val="1"/>
          <w:w w:val="246"/>
        </w:rPr>
        <w:t>l</w:t>
      </w:r>
      <w:r>
        <w:rPr>
          <w:spacing w:val="1"/>
          <w:w w:val="115"/>
        </w:rPr>
        <w:t>atina</w:t>
      </w:r>
      <w:r>
        <w:rPr>
          <w:w w:val="115"/>
        </w:rPr>
        <w:t>.</w:t>
      </w:r>
      <w:r>
        <w:rPr>
          <w:spacing w:val="19"/>
        </w:rPr>
        <w:t> </w:t>
      </w:r>
      <w:r>
        <w:rPr>
          <w:spacing w:val="1"/>
          <w:w w:val="246"/>
        </w:rPr>
        <w:t>l</w:t>
      </w:r>
      <w:r>
        <w:rPr>
          <w:spacing w:val="1"/>
          <w:w w:val="109"/>
        </w:rPr>
        <w:t>o</w:t>
      </w:r>
      <w:r>
        <w:rPr>
          <w:w w:val="109"/>
        </w:rPr>
        <w:t>s</w:t>
      </w:r>
      <w:r>
        <w:rPr>
          <w:spacing w:val="19"/>
        </w:rPr>
        <w:t> </w:t>
      </w:r>
      <w:r>
        <w:rPr>
          <w:spacing w:val="1"/>
          <w:w w:val="111"/>
        </w:rPr>
        <w:t>año</w:t>
      </w:r>
      <w:r>
        <w:rPr>
          <w:w w:val="111"/>
        </w:rPr>
        <w:t>s</w:t>
      </w:r>
      <w:r>
        <w:rPr>
          <w:spacing w:val="19"/>
        </w:rPr>
        <w:t> </w:t>
      </w:r>
      <w:r>
        <w:rPr>
          <w:spacing w:val="1"/>
          <w:w w:val="111"/>
        </w:rPr>
        <w:t>ochent</w:t>
      </w:r>
      <w:r>
        <w:rPr>
          <w:w w:val="111"/>
        </w:rPr>
        <w:t>a</w:t>
      </w:r>
      <w:r>
        <w:rPr>
          <w:spacing w:val="19"/>
        </w:rPr>
        <w:t> </w:t>
      </w:r>
      <w:r>
        <w:rPr>
          <w:spacing w:val="-20"/>
          <w:w w:val="106"/>
        </w:rPr>
        <w:t>y</w:t>
      </w:r>
      <w:r>
        <w:rPr>
          <w:w w:val="139"/>
        </w:rPr>
        <w:t>,</w:t>
      </w:r>
      <w:r>
        <w:rPr>
          <w:spacing w:val="19"/>
        </w:rPr>
        <w:t> </w:t>
      </w:r>
      <w:r>
        <w:rPr>
          <w:spacing w:val="1"/>
          <w:w w:val="111"/>
        </w:rPr>
        <w:t>particula</w:t>
      </w:r>
      <w:r>
        <w:rPr>
          <w:spacing w:val="-13"/>
          <w:w w:val="111"/>
        </w:rPr>
        <w:t>r</w:t>
      </w:r>
      <w:r>
        <w:rPr>
          <w:w w:val="103"/>
        </w:rPr>
        <w:t>- </w:t>
      </w:r>
      <w:r>
        <w:rPr>
          <w:w w:val="115"/>
        </w:rPr>
        <w:t>mente, los noventa, constituyeron un período en el que el gobierno norteamericano afianzó su poder intervencionista en la región. El </w:t>
      </w:r>
      <w:r>
        <w:rPr>
          <w:w w:val="130"/>
        </w:rPr>
        <w:t>alCa </w:t>
      </w:r>
      <w:r>
        <w:rPr>
          <w:w w:val="115"/>
        </w:rPr>
        <w:t>cerraría ese ciclo y daría inicio a una nueva etapa en la im- posición de los intereses norteamericanos sobre el conjunto de los países</w:t>
      </w:r>
      <w:r>
        <w:rPr>
          <w:spacing w:val="-29"/>
          <w:w w:val="115"/>
        </w:rPr>
        <w:t> </w:t>
      </w:r>
      <w:r>
        <w:rPr>
          <w:w w:val="115"/>
        </w:rPr>
        <w:t>latinoamericanos.</w:t>
      </w:r>
    </w:p>
    <w:p>
      <w:pPr>
        <w:pStyle w:val="BodyText"/>
        <w:spacing w:line="252" w:lineRule="auto"/>
        <w:ind w:left="330" w:right="117" w:firstLine="396"/>
        <w:jc w:val="both"/>
      </w:pPr>
      <w:r>
        <w:rPr>
          <w:w w:val="115"/>
        </w:rPr>
        <w:t>sin embargo, y como resultado de los procesos movilización y lucha</w:t>
      </w:r>
      <w:r>
        <w:rPr>
          <w:spacing w:val="-8"/>
          <w:w w:val="115"/>
        </w:rPr>
        <w:t> </w:t>
      </w:r>
      <w:r>
        <w:rPr>
          <w:w w:val="115"/>
        </w:rPr>
        <w:t>populares</w:t>
      </w:r>
      <w:r>
        <w:rPr>
          <w:spacing w:val="-8"/>
          <w:w w:val="115"/>
        </w:rPr>
        <w:t> </w:t>
      </w:r>
      <w:r>
        <w:rPr>
          <w:w w:val="115"/>
        </w:rPr>
        <w:t>contra</w:t>
      </w:r>
      <w:r>
        <w:rPr>
          <w:spacing w:val="-8"/>
          <w:w w:val="115"/>
        </w:rPr>
        <w:t> </w:t>
      </w:r>
      <w:r>
        <w:rPr>
          <w:w w:val="115"/>
        </w:rPr>
        <w:t>el</w:t>
      </w:r>
      <w:r>
        <w:rPr>
          <w:spacing w:val="-8"/>
          <w:w w:val="115"/>
        </w:rPr>
        <w:t> </w:t>
      </w:r>
      <w:r>
        <w:rPr>
          <w:w w:val="115"/>
        </w:rPr>
        <w:t>neoliberalismo</w:t>
      </w:r>
      <w:r>
        <w:rPr>
          <w:spacing w:val="-8"/>
          <w:w w:val="115"/>
        </w:rPr>
        <w:t> </w:t>
      </w:r>
      <w:r>
        <w:rPr>
          <w:w w:val="115"/>
        </w:rPr>
        <w:t>y</w:t>
      </w:r>
      <w:r>
        <w:rPr>
          <w:spacing w:val="-8"/>
          <w:w w:val="115"/>
        </w:rPr>
        <w:t> </w:t>
      </w:r>
      <w:r>
        <w:rPr>
          <w:w w:val="115"/>
        </w:rPr>
        <w:t>las</w:t>
      </w:r>
      <w:r>
        <w:rPr>
          <w:spacing w:val="-8"/>
          <w:w w:val="115"/>
        </w:rPr>
        <w:t> </w:t>
      </w:r>
      <w:r>
        <w:rPr>
          <w:w w:val="115"/>
        </w:rPr>
        <w:t>políticas</w:t>
      </w:r>
      <w:r>
        <w:rPr>
          <w:spacing w:val="-8"/>
          <w:w w:val="115"/>
        </w:rPr>
        <w:t> </w:t>
      </w:r>
      <w:r>
        <w:rPr>
          <w:w w:val="115"/>
        </w:rPr>
        <w:t>de</w:t>
      </w:r>
      <w:r>
        <w:rPr>
          <w:spacing w:val="-8"/>
          <w:w w:val="115"/>
        </w:rPr>
        <w:t> </w:t>
      </w:r>
      <w:r>
        <w:rPr>
          <w:w w:val="115"/>
        </w:rPr>
        <w:t>ajuste</w:t>
      </w:r>
      <w:r>
        <w:rPr>
          <w:spacing w:val="-8"/>
          <w:w w:val="115"/>
        </w:rPr>
        <w:t> </w:t>
      </w:r>
      <w:r>
        <w:rPr>
          <w:w w:val="115"/>
        </w:rPr>
        <w:t>es- tructural</w:t>
      </w:r>
      <w:r>
        <w:rPr>
          <w:spacing w:val="-16"/>
          <w:w w:val="115"/>
        </w:rPr>
        <w:t> </w:t>
      </w:r>
      <w:r>
        <w:rPr>
          <w:w w:val="115"/>
        </w:rPr>
        <w:t>que</w:t>
      </w:r>
      <w:r>
        <w:rPr>
          <w:spacing w:val="-16"/>
          <w:w w:val="115"/>
        </w:rPr>
        <w:t> </w:t>
      </w:r>
      <w:r>
        <w:rPr>
          <w:w w:val="115"/>
        </w:rPr>
        <w:t>habían</w:t>
      </w:r>
      <w:r>
        <w:rPr>
          <w:spacing w:val="-16"/>
          <w:w w:val="115"/>
        </w:rPr>
        <w:t> </w:t>
      </w:r>
      <w:r>
        <w:rPr>
          <w:w w:val="115"/>
        </w:rPr>
        <w:t>condenado</w:t>
      </w:r>
      <w:r>
        <w:rPr>
          <w:spacing w:val="-16"/>
          <w:w w:val="115"/>
        </w:rPr>
        <w:t> </w:t>
      </w:r>
      <w:r>
        <w:rPr>
          <w:w w:val="115"/>
        </w:rPr>
        <w:t>a</w:t>
      </w:r>
      <w:r>
        <w:rPr>
          <w:spacing w:val="-16"/>
          <w:w w:val="115"/>
        </w:rPr>
        <w:t> </w:t>
      </w:r>
      <w:r>
        <w:rPr>
          <w:w w:val="115"/>
        </w:rPr>
        <w:t>la</w:t>
      </w:r>
      <w:r>
        <w:rPr>
          <w:spacing w:val="-16"/>
          <w:w w:val="115"/>
        </w:rPr>
        <w:t> </w:t>
      </w:r>
      <w:r>
        <w:rPr>
          <w:w w:val="115"/>
        </w:rPr>
        <w:t>miseria</w:t>
      </w:r>
      <w:r>
        <w:rPr>
          <w:spacing w:val="-16"/>
          <w:w w:val="115"/>
        </w:rPr>
        <w:t> </w:t>
      </w:r>
      <w:r>
        <w:rPr>
          <w:w w:val="115"/>
        </w:rPr>
        <w:t>y</w:t>
      </w:r>
      <w:r>
        <w:rPr>
          <w:spacing w:val="-16"/>
          <w:w w:val="115"/>
        </w:rPr>
        <w:t> </w:t>
      </w:r>
      <w:r>
        <w:rPr>
          <w:w w:val="115"/>
        </w:rPr>
        <w:t>la</w:t>
      </w:r>
      <w:r>
        <w:rPr>
          <w:spacing w:val="-16"/>
          <w:w w:val="115"/>
        </w:rPr>
        <w:t> </w:t>
      </w:r>
      <w:r>
        <w:rPr>
          <w:w w:val="115"/>
        </w:rPr>
        <w:t>exclusión</w:t>
      </w:r>
      <w:r>
        <w:rPr>
          <w:spacing w:val="-16"/>
          <w:w w:val="115"/>
        </w:rPr>
        <w:t> </w:t>
      </w:r>
      <w:r>
        <w:rPr>
          <w:w w:val="115"/>
        </w:rPr>
        <w:t>a</w:t>
      </w:r>
      <w:r>
        <w:rPr>
          <w:spacing w:val="-16"/>
          <w:w w:val="115"/>
        </w:rPr>
        <w:t> </w:t>
      </w:r>
      <w:r>
        <w:rPr>
          <w:w w:val="115"/>
        </w:rPr>
        <w:t>millones de</w:t>
      </w:r>
      <w:r>
        <w:rPr>
          <w:spacing w:val="-18"/>
          <w:w w:val="115"/>
        </w:rPr>
        <w:t> </w:t>
      </w:r>
      <w:r>
        <w:rPr>
          <w:w w:val="115"/>
        </w:rPr>
        <w:t>latinoamericanos</w:t>
      </w:r>
      <w:r>
        <w:rPr>
          <w:spacing w:val="-18"/>
          <w:w w:val="115"/>
        </w:rPr>
        <w:t> </w:t>
      </w:r>
      <w:r>
        <w:rPr>
          <w:w w:val="115"/>
        </w:rPr>
        <w:t>y</w:t>
      </w:r>
      <w:r>
        <w:rPr>
          <w:spacing w:val="-18"/>
          <w:w w:val="115"/>
        </w:rPr>
        <w:t> </w:t>
      </w:r>
      <w:r>
        <w:rPr>
          <w:w w:val="115"/>
        </w:rPr>
        <w:t>latinoamericanas,</w:t>
      </w:r>
      <w:r>
        <w:rPr>
          <w:spacing w:val="-18"/>
          <w:w w:val="115"/>
        </w:rPr>
        <w:t> </w:t>
      </w:r>
      <w:r>
        <w:rPr>
          <w:w w:val="115"/>
        </w:rPr>
        <w:t>la</w:t>
      </w:r>
      <w:r>
        <w:rPr>
          <w:spacing w:val="-18"/>
          <w:w w:val="115"/>
        </w:rPr>
        <w:t> </w:t>
      </w:r>
      <w:r>
        <w:rPr>
          <w:w w:val="115"/>
        </w:rPr>
        <w:t>emergencia</w:t>
      </w:r>
      <w:r>
        <w:rPr>
          <w:spacing w:val="-18"/>
          <w:w w:val="115"/>
        </w:rPr>
        <w:t> </w:t>
      </w:r>
      <w:r>
        <w:rPr>
          <w:w w:val="115"/>
        </w:rPr>
        <w:t>de</w:t>
      </w:r>
      <w:r>
        <w:rPr>
          <w:spacing w:val="-18"/>
          <w:w w:val="115"/>
        </w:rPr>
        <w:t> </w:t>
      </w:r>
      <w:r>
        <w:rPr>
          <w:w w:val="115"/>
        </w:rPr>
        <w:t>gobiernos progresistas, populares y de izquierda en diversos países del conti- nente, frenaron las ambiciones neocoloniales norteamericanas</w:t>
      </w:r>
      <w:r>
        <w:rPr>
          <w:spacing w:val="-31"/>
          <w:w w:val="115"/>
        </w:rPr>
        <w:t> </w:t>
      </w:r>
      <w:r>
        <w:rPr>
          <w:spacing w:val="-11"/>
          <w:w w:val="115"/>
        </w:rPr>
        <w:t>y, </w:t>
      </w:r>
      <w:r>
        <w:rPr>
          <w:w w:val="115"/>
        </w:rPr>
        <w:t>en la histórica Cumbre de Mar del Plata, nuestros países le dijeron</w:t>
      </w:r>
      <w:r>
        <w:rPr>
          <w:spacing w:val="-20"/>
          <w:w w:val="115"/>
        </w:rPr>
        <w:t> </w:t>
      </w:r>
      <w:r>
        <w:rPr>
          <w:w w:val="115"/>
        </w:rPr>
        <w:t>“No </w:t>
      </w:r>
      <w:r>
        <w:rPr>
          <w:w w:val="150"/>
        </w:rPr>
        <w:t>al</w:t>
      </w:r>
      <w:r>
        <w:rPr>
          <w:spacing w:val="-27"/>
          <w:w w:val="150"/>
        </w:rPr>
        <w:t> </w:t>
      </w:r>
      <w:r>
        <w:rPr>
          <w:w w:val="150"/>
        </w:rPr>
        <w:t>alCa”.</w:t>
      </w:r>
      <w:r>
        <w:rPr>
          <w:spacing w:val="-27"/>
          <w:w w:val="150"/>
        </w:rPr>
        <w:t> </w:t>
      </w:r>
      <w:r>
        <w:rPr>
          <w:w w:val="115"/>
        </w:rPr>
        <w:t>se</w:t>
      </w:r>
      <w:r>
        <w:rPr>
          <w:spacing w:val="-12"/>
          <w:w w:val="115"/>
        </w:rPr>
        <w:t> </w:t>
      </w:r>
      <w:r>
        <w:rPr>
          <w:w w:val="115"/>
        </w:rPr>
        <w:t>inauguraba</w:t>
      </w:r>
      <w:r>
        <w:rPr>
          <w:spacing w:val="-12"/>
          <w:w w:val="115"/>
        </w:rPr>
        <w:t> </w:t>
      </w:r>
      <w:r>
        <w:rPr>
          <w:w w:val="115"/>
        </w:rPr>
        <w:t>así</w:t>
      </w:r>
      <w:r>
        <w:rPr>
          <w:spacing w:val="-12"/>
          <w:w w:val="115"/>
        </w:rPr>
        <w:t> </w:t>
      </w:r>
      <w:r>
        <w:rPr>
          <w:w w:val="115"/>
        </w:rPr>
        <w:t>una</w:t>
      </w:r>
      <w:r>
        <w:rPr>
          <w:spacing w:val="-12"/>
          <w:w w:val="115"/>
        </w:rPr>
        <w:t> </w:t>
      </w:r>
      <w:r>
        <w:rPr>
          <w:w w:val="115"/>
        </w:rPr>
        <w:t>nueva</w:t>
      </w:r>
      <w:r>
        <w:rPr>
          <w:spacing w:val="-12"/>
          <w:w w:val="115"/>
        </w:rPr>
        <w:t> </w:t>
      </w:r>
      <w:r>
        <w:rPr>
          <w:w w:val="115"/>
        </w:rPr>
        <w:t>etapa,</w:t>
      </w:r>
      <w:r>
        <w:rPr>
          <w:spacing w:val="-12"/>
          <w:w w:val="115"/>
        </w:rPr>
        <w:t> </w:t>
      </w:r>
      <w:r>
        <w:rPr>
          <w:w w:val="115"/>
        </w:rPr>
        <w:t>no</w:t>
      </w:r>
      <w:r>
        <w:rPr>
          <w:spacing w:val="-12"/>
          <w:w w:val="115"/>
        </w:rPr>
        <w:t> </w:t>
      </w:r>
      <w:r>
        <w:rPr>
          <w:w w:val="115"/>
        </w:rPr>
        <w:t>menos</w:t>
      </w:r>
      <w:r>
        <w:rPr>
          <w:spacing w:val="-12"/>
          <w:w w:val="115"/>
        </w:rPr>
        <w:t> </w:t>
      </w:r>
      <w:r>
        <w:rPr>
          <w:w w:val="115"/>
        </w:rPr>
        <w:t>conflictiva</w:t>
      </w:r>
      <w:r>
        <w:rPr>
          <w:spacing w:val="-12"/>
          <w:w w:val="115"/>
        </w:rPr>
        <w:t> </w:t>
      </w:r>
      <w:r>
        <w:rPr>
          <w:w w:val="115"/>
        </w:rPr>
        <w:t>y compleja,</w:t>
      </w:r>
      <w:r>
        <w:rPr>
          <w:spacing w:val="-30"/>
          <w:w w:val="115"/>
        </w:rPr>
        <w:t> </w:t>
      </w:r>
      <w:r>
        <w:rPr>
          <w:w w:val="115"/>
        </w:rPr>
        <w:t>pero</w:t>
      </w:r>
      <w:r>
        <w:rPr>
          <w:spacing w:val="-30"/>
          <w:w w:val="115"/>
        </w:rPr>
        <w:t> </w:t>
      </w:r>
      <w:r>
        <w:rPr>
          <w:w w:val="115"/>
        </w:rPr>
        <w:t>muy</w:t>
      </w:r>
      <w:r>
        <w:rPr>
          <w:spacing w:val="-30"/>
          <w:w w:val="115"/>
        </w:rPr>
        <w:t> </w:t>
      </w:r>
      <w:r>
        <w:rPr>
          <w:w w:val="115"/>
        </w:rPr>
        <w:t>diferente</w:t>
      </w:r>
      <w:r>
        <w:rPr>
          <w:spacing w:val="-30"/>
          <w:w w:val="115"/>
        </w:rPr>
        <w:t> </w:t>
      </w:r>
      <w:r>
        <w:rPr>
          <w:w w:val="115"/>
        </w:rPr>
        <w:t>a</w:t>
      </w:r>
      <w:r>
        <w:rPr>
          <w:spacing w:val="-30"/>
          <w:w w:val="115"/>
        </w:rPr>
        <w:t> </w:t>
      </w:r>
      <w:r>
        <w:rPr>
          <w:w w:val="115"/>
        </w:rPr>
        <w:t>la</w:t>
      </w:r>
      <w:r>
        <w:rPr>
          <w:spacing w:val="-30"/>
          <w:w w:val="115"/>
        </w:rPr>
        <w:t> </w:t>
      </w:r>
      <w:r>
        <w:rPr>
          <w:w w:val="115"/>
        </w:rPr>
        <w:t>esperada</w:t>
      </w:r>
      <w:r>
        <w:rPr>
          <w:spacing w:val="-30"/>
          <w:w w:val="115"/>
        </w:rPr>
        <w:t> </w:t>
      </w:r>
      <w:r>
        <w:rPr>
          <w:w w:val="115"/>
        </w:rPr>
        <w:t>por</w:t>
      </w:r>
      <w:r>
        <w:rPr>
          <w:spacing w:val="-30"/>
          <w:w w:val="115"/>
        </w:rPr>
        <w:t> </w:t>
      </w:r>
      <w:r>
        <w:rPr>
          <w:w w:val="115"/>
        </w:rPr>
        <w:t>el</w:t>
      </w:r>
      <w:r>
        <w:rPr>
          <w:spacing w:val="-30"/>
          <w:w w:val="115"/>
        </w:rPr>
        <w:t> </w:t>
      </w:r>
      <w:r>
        <w:rPr>
          <w:w w:val="115"/>
        </w:rPr>
        <w:t>gobierno</w:t>
      </w:r>
      <w:r>
        <w:rPr>
          <w:spacing w:val="-30"/>
          <w:w w:val="115"/>
        </w:rPr>
        <w:t> </w:t>
      </w:r>
      <w:r>
        <w:rPr>
          <w:w w:val="115"/>
        </w:rPr>
        <w:t>estadouni- </w:t>
      </w:r>
      <w:r>
        <w:rPr>
          <w:w w:val="107"/>
        </w:rPr>
        <w:t>dense</w:t>
      </w:r>
      <w:r>
        <w:rPr>
          <w:spacing w:val="12"/>
        </w:rPr>
        <w:t> </w:t>
      </w:r>
      <w:r>
        <w:rPr>
          <w:w w:val="108"/>
        </w:rPr>
        <w:t>en</w:t>
      </w:r>
      <w:r>
        <w:rPr>
          <w:spacing w:val="12"/>
        </w:rPr>
        <w:t> </w:t>
      </w:r>
      <w:r>
        <w:rPr>
          <w:w w:val="109"/>
        </w:rPr>
        <w:t>su</w:t>
      </w:r>
      <w:r>
        <w:rPr>
          <w:spacing w:val="12"/>
        </w:rPr>
        <w:t> </w:t>
      </w:r>
      <w:r>
        <w:rPr>
          <w:w w:val="110"/>
        </w:rPr>
        <w:t>relación</w:t>
      </w:r>
      <w:r>
        <w:rPr>
          <w:spacing w:val="12"/>
        </w:rPr>
        <w:t> </w:t>
      </w:r>
      <w:r>
        <w:rPr>
          <w:w w:val="112"/>
        </w:rPr>
        <w:t>con</w:t>
      </w:r>
      <w:r>
        <w:rPr>
          <w:spacing w:val="12"/>
        </w:rPr>
        <w:t> </w:t>
      </w:r>
      <w:r>
        <w:rPr>
          <w:w w:val="139"/>
        </w:rPr>
        <w:t>a</w:t>
      </w:r>
      <w:r>
        <w:rPr>
          <w:w w:val="111"/>
        </w:rPr>
        <w:t>mérica</w:t>
      </w:r>
      <w:r>
        <w:rPr>
          <w:spacing w:val="12"/>
        </w:rPr>
        <w:t> </w:t>
      </w:r>
      <w:r>
        <w:rPr>
          <w:w w:val="243"/>
        </w:rPr>
        <w:t>l</w:t>
      </w:r>
      <w:r>
        <w:rPr>
          <w:w w:val="113"/>
        </w:rPr>
        <w:t>atina.</w:t>
      </w:r>
    </w:p>
    <w:p>
      <w:pPr>
        <w:spacing w:after="0" w:line="252" w:lineRule="auto"/>
        <w:jc w:val="both"/>
        <w:sectPr>
          <w:headerReference w:type="even" r:id="rId38"/>
          <w:footerReference w:type="even" r:id="rId39"/>
          <w:footerReference w:type="default" r:id="rId40"/>
          <w:pgSz w:w="8790" w:h="12760"/>
          <w:pgMar w:header="697" w:footer="725" w:top="880" w:bottom="920" w:left="1200" w:right="900"/>
          <w:pgNumType w:start="10"/>
        </w:sectPr>
      </w:pPr>
    </w:p>
    <w:p>
      <w:pPr>
        <w:spacing w:before="62"/>
        <w:ind w:left="100" w:right="328" w:firstLine="0"/>
        <w:jc w:val="right"/>
        <w:rPr>
          <w:sz w:val="15"/>
        </w:rPr>
      </w:pPr>
      <w:r>
        <w:rPr>
          <w:sz w:val="15"/>
        </w:rPr>
        <w:t>Presentación</w:t>
      </w:r>
    </w:p>
    <w:p>
      <w:pPr>
        <w:pStyle w:val="BodyText"/>
        <w:rPr>
          <w:sz w:val="14"/>
        </w:rPr>
      </w:pPr>
    </w:p>
    <w:p>
      <w:pPr>
        <w:pStyle w:val="BodyText"/>
        <w:rPr>
          <w:sz w:val="14"/>
        </w:rPr>
      </w:pPr>
    </w:p>
    <w:p>
      <w:pPr>
        <w:pStyle w:val="BodyText"/>
        <w:spacing w:line="252" w:lineRule="auto" w:before="82"/>
        <w:ind w:left="100" w:right="328" w:firstLine="396"/>
        <w:jc w:val="both"/>
      </w:pPr>
      <w:r>
        <w:rPr>
          <w:w w:val="243"/>
        </w:rPr>
        <w:t>l</w:t>
      </w:r>
      <w:r>
        <w:rPr>
          <w:w w:val="112"/>
        </w:rPr>
        <w:t>a</w:t>
      </w:r>
      <w:r>
        <w:rPr/>
        <w:t> </w:t>
      </w:r>
      <w:r>
        <w:rPr>
          <w:spacing w:val="-7"/>
        </w:rPr>
        <w:t> </w:t>
      </w:r>
      <w:r>
        <w:rPr>
          <w:w w:val="107"/>
        </w:rPr>
        <w:t>derrota</w:t>
      </w:r>
      <w:r>
        <w:rPr/>
        <w:t> </w:t>
      </w:r>
      <w:r>
        <w:rPr>
          <w:spacing w:val="-7"/>
        </w:rPr>
        <w:t> </w:t>
      </w:r>
      <w:r>
        <w:rPr>
          <w:w w:val="107"/>
        </w:rPr>
        <w:t>del</w:t>
      </w:r>
      <w:r>
        <w:rPr/>
        <w:t> </w:t>
      </w:r>
      <w:r>
        <w:rPr>
          <w:spacing w:val="-7"/>
        </w:rPr>
        <w:t> </w:t>
      </w:r>
      <w:r>
        <w:rPr>
          <w:w w:val="176"/>
        </w:rPr>
        <w:t>al</w:t>
      </w:r>
      <w:r>
        <w:rPr>
          <w:w w:val="124"/>
        </w:rPr>
        <w:t>C</w:t>
      </w:r>
      <w:r>
        <w:rPr>
          <w:w w:val="139"/>
        </w:rPr>
        <w:t>a</w:t>
      </w:r>
      <w:r>
        <w:rPr/>
        <w:t> </w:t>
      </w:r>
      <w:r>
        <w:rPr>
          <w:spacing w:val="-7"/>
        </w:rPr>
        <w:t> </w:t>
      </w:r>
      <w:r>
        <w:rPr>
          <w:w w:val="111"/>
        </w:rPr>
        <w:t>no</w:t>
      </w:r>
      <w:r>
        <w:rPr/>
        <w:t> </w:t>
      </w:r>
      <w:r>
        <w:rPr>
          <w:spacing w:val="-7"/>
        </w:rPr>
        <w:t> </w:t>
      </w:r>
      <w:r>
        <w:rPr>
          <w:w w:val="111"/>
        </w:rPr>
        <w:t>supuso,</w:t>
      </w:r>
      <w:r>
        <w:rPr/>
        <w:t> </w:t>
      </w:r>
      <w:r>
        <w:rPr>
          <w:spacing w:val="-7"/>
        </w:rPr>
        <w:t> </w:t>
      </w:r>
      <w:r>
        <w:rPr>
          <w:w w:val="110"/>
        </w:rPr>
        <w:t>naturalmente,</w:t>
      </w:r>
      <w:r>
        <w:rPr/>
        <w:t> </w:t>
      </w:r>
      <w:r>
        <w:rPr>
          <w:spacing w:val="-7"/>
        </w:rPr>
        <w:t> </w:t>
      </w:r>
      <w:r>
        <w:rPr>
          <w:w w:val="112"/>
        </w:rPr>
        <w:t>un</w:t>
      </w:r>
      <w:r>
        <w:rPr/>
        <w:t> </w:t>
      </w:r>
      <w:r>
        <w:rPr>
          <w:spacing w:val="-7"/>
        </w:rPr>
        <w:t> </w:t>
      </w:r>
      <w:r>
        <w:rPr>
          <w:w w:val="107"/>
        </w:rPr>
        <w:t>retroceso</w:t>
      </w:r>
      <w:r>
        <w:rPr/>
        <w:t> </w:t>
      </w:r>
      <w:r>
        <w:rPr>
          <w:spacing w:val="-7"/>
        </w:rPr>
        <w:t> </w:t>
      </w:r>
      <w:r>
        <w:rPr>
          <w:w w:val="107"/>
        </w:rPr>
        <w:t>de </w:t>
      </w:r>
      <w:r>
        <w:rPr>
          <w:w w:val="115"/>
        </w:rPr>
        <w:t>la</w:t>
      </w:r>
      <w:r>
        <w:rPr>
          <w:spacing w:val="-22"/>
          <w:w w:val="115"/>
        </w:rPr>
        <w:t> </w:t>
      </w:r>
      <w:r>
        <w:rPr>
          <w:w w:val="115"/>
        </w:rPr>
        <w:t>vocación</w:t>
      </w:r>
      <w:r>
        <w:rPr>
          <w:spacing w:val="-22"/>
          <w:w w:val="115"/>
        </w:rPr>
        <w:t> </w:t>
      </w:r>
      <w:r>
        <w:rPr>
          <w:w w:val="115"/>
        </w:rPr>
        <w:t>y</w:t>
      </w:r>
      <w:r>
        <w:rPr>
          <w:spacing w:val="-22"/>
          <w:w w:val="115"/>
        </w:rPr>
        <w:t> </w:t>
      </w:r>
      <w:r>
        <w:rPr>
          <w:w w:val="115"/>
        </w:rPr>
        <w:t>del</w:t>
      </w:r>
      <w:r>
        <w:rPr>
          <w:spacing w:val="-22"/>
          <w:w w:val="115"/>
        </w:rPr>
        <w:t> </w:t>
      </w:r>
      <w:r>
        <w:rPr>
          <w:w w:val="115"/>
        </w:rPr>
        <w:t>persistente</w:t>
      </w:r>
      <w:r>
        <w:rPr>
          <w:spacing w:val="-22"/>
          <w:w w:val="115"/>
        </w:rPr>
        <w:t> </w:t>
      </w:r>
      <w:r>
        <w:rPr>
          <w:w w:val="115"/>
        </w:rPr>
        <w:t>esfuerzo</w:t>
      </w:r>
      <w:r>
        <w:rPr>
          <w:spacing w:val="-22"/>
          <w:w w:val="115"/>
        </w:rPr>
        <w:t> </w:t>
      </w:r>
      <w:r>
        <w:rPr>
          <w:w w:val="115"/>
        </w:rPr>
        <w:t>estadounidense</w:t>
      </w:r>
      <w:r>
        <w:rPr>
          <w:spacing w:val="-22"/>
          <w:w w:val="115"/>
        </w:rPr>
        <w:t> </w:t>
      </w:r>
      <w:r>
        <w:rPr>
          <w:w w:val="115"/>
        </w:rPr>
        <w:t>por</w:t>
      </w:r>
      <w:r>
        <w:rPr>
          <w:spacing w:val="-22"/>
          <w:w w:val="115"/>
        </w:rPr>
        <w:t> </w:t>
      </w:r>
      <w:r>
        <w:rPr>
          <w:w w:val="115"/>
        </w:rPr>
        <w:t>intervenir, </w:t>
      </w:r>
      <w:r>
        <w:rPr>
          <w:spacing w:val="-3"/>
          <w:w w:val="115"/>
        </w:rPr>
        <w:t>tutelar,</w:t>
      </w:r>
      <w:r>
        <w:rPr>
          <w:spacing w:val="-28"/>
          <w:w w:val="115"/>
        </w:rPr>
        <w:t> </w:t>
      </w:r>
      <w:r>
        <w:rPr>
          <w:w w:val="115"/>
        </w:rPr>
        <w:t>dominar</w:t>
      </w:r>
      <w:r>
        <w:rPr>
          <w:spacing w:val="-28"/>
          <w:w w:val="115"/>
        </w:rPr>
        <w:t> </w:t>
      </w:r>
      <w:r>
        <w:rPr>
          <w:w w:val="115"/>
        </w:rPr>
        <w:t>e</w:t>
      </w:r>
      <w:r>
        <w:rPr>
          <w:spacing w:val="-28"/>
          <w:w w:val="115"/>
        </w:rPr>
        <w:t> </w:t>
      </w:r>
      <w:r>
        <w:rPr>
          <w:w w:val="115"/>
        </w:rPr>
        <w:t>imponer</w:t>
      </w:r>
      <w:r>
        <w:rPr>
          <w:spacing w:val="-28"/>
          <w:w w:val="115"/>
        </w:rPr>
        <w:t> </w:t>
      </w:r>
      <w:r>
        <w:rPr>
          <w:w w:val="115"/>
        </w:rPr>
        <w:t>sus</w:t>
      </w:r>
      <w:r>
        <w:rPr>
          <w:spacing w:val="-28"/>
          <w:w w:val="115"/>
        </w:rPr>
        <w:t> </w:t>
      </w:r>
      <w:r>
        <w:rPr>
          <w:w w:val="115"/>
        </w:rPr>
        <w:t>políticas</w:t>
      </w:r>
      <w:r>
        <w:rPr>
          <w:spacing w:val="-28"/>
          <w:w w:val="115"/>
        </w:rPr>
        <w:t> </w:t>
      </w:r>
      <w:r>
        <w:rPr>
          <w:w w:val="115"/>
        </w:rPr>
        <w:t>en</w:t>
      </w:r>
      <w:r>
        <w:rPr>
          <w:spacing w:val="-28"/>
          <w:w w:val="115"/>
        </w:rPr>
        <w:t> </w:t>
      </w:r>
      <w:r>
        <w:rPr>
          <w:w w:val="115"/>
        </w:rPr>
        <w:t>un</w:t>
      </w:r>
      <w:r>
        <w:rPr>
          <w:spacing w:val="-28"/>
          <w:w w:val="115"/>
        </w:rPr>
        <w:t> </w:t>
      </w:r>
      <w:r>
        <w:rPr>
          <w:w w:val="115"/>
        </w:rPr>
        <w:t>continente</w:t>
      </w:r>
      <w:r>
        <w:rPr>
          <w:spacing w:val="-28"/>
          <w:w w:val="115"/>
        </w:rPr>
        <w:t> </w:t>
      </w:r>
      <w:r>
        <w:rPr>
          <w:w w:val="115"/>
        </w:rPr>
        <w:t>que</w:t>
      </w:r>
      <w:r>
        <w:rPr>
          <w:spacing w:val="-28"/>
          <w:w w:val="115"/>
        </w:rPr>
        <w:t> </w:t>
      </w:r>
      <w:r>
        <w:rPr>
          <w:w w:val="115"/>
        </w:rPr>
        <w:t>siempre consideró</w:t>
      </w:r>
      <w:r>
        <w:rPr>
          <w:spacing w:val="-22"/>
          <w:w w:val="115"/>
        </w:rPr>
        <w:t> </w:t>
      </w:r>
      <w:r>
        <w:rPr>
          <w:w w:val="115"/>
        </w:rPr>
        <w:t>subalterno</w:t>
      </w:r>
      <w:r>
        <w:rPr>
          <w:spacing w:val="-22"/>
          <w:w w:val="115"/>
        </w:rPr>
        <w:t> </w:t>
      </w:r>
      <w:r>
        <w:rPr>
          <w:w w:val="115"/>
        </w:rPr>
        <w:t>y</w:t>
      </w:r>
      <w:r>
        <w:rPr>
          <w:spacing w:val="-22"/>
          <w:w w:val="115"/>
        </w:rPr>
        <w:t> </w:t>
      </w:r>
      <w:r>
        <w:rPr>
          <w:w w:val="115"/>
        </w:rPr>
        <w:t>que</w:t>
      </w:r>
      <w:r>
        <w:rPr>
          <w:spacing w:val="-22"/>
          <w:w w:val="115"/>
        </w:rPr>
        <w:t> </w:t>
      </w:r>
      <w:r>
        <w:rPr>
          <w:w w:val="115"/>
        </w:rPr>
        <w:t>siempre</w:t>
      </w:r>
      <w:r>
        <w:rPr>
          <w:spacing w:val="-22"/>
          <w:w w:val="115"/>
        </w:rPr>
        <w:t> </w:t>
      </w:r>
      <w:r>
        <w:rPr>
          <w:w w:val="115"/>
        </w:rPr>
        <w:t>trató</w:t>
      </w:r>
      <w:r>
        <w:rPr>
          <w:spacing w:val="-22"/>
          <w:w w:val="115"/>
        </w:rPr>
        <w:t> </w:t>
      </w:r>
      <w:r>
        <w:rPr>
          <w:w w:val="115"/>
        </w:rPr>
        <w:t>de</w:t>
      </w:r>
      <w:r>
        <w:rPr>
          <w:spacing w:val="-22"/>
          <w:w w:val="115"/>
        </w:rPr>
        <w:t> </w:t>
      </w:r>
      <w:r>
        <w:rPr>
          <w:w w:val="115"/>
        </w:rPr>
        <w:t>manera</w:t>
      </w:r>
      <w:r>
        <w:rPr>
          <w:spacing w:val="-22"/>
          <w:w w:val="115"/>
        </w:rPr>
        <w:t> </w:t>
      </w:r>
      <w:r>
        <w:rPr>
          <w:w w:val="115"/>
        </w:rPr>
        <w:t>humillante</w:t>
      </w:r>
      <w:r>
        <w:rPr>
          <w:spacing w:val="-22"/>
          <w:w w:val="115"/>
        </w:rPr>
        <w:t> </w:t>
      </w:r>
      <w:r>
        <w:rPr>
          <w:w w:val="115"/>
        </w:rPr>
        <w:t>y</w:t>
      </w:r>
      <w:r>
        <w:rPr>
          <w:spacing w:val="-22"/>
          <w:w w:val="115"/>
        </w:rPr>
        <w:t> </w:t>
      </w:r>
      <w:r>
        <w:rPr>
          <w:w w:val="115"/>
        </w:rPr>
        <w:t>de- </w:t>
      </w:r>
      <w:r>
        <w:rPr>
          <w:w w:val="112"/>
        </w:rPr>
        <w:t>grada.</w:t>
      </w:r>
      <w:r>
        <w:rPr>
          <w:spacing w:val="10"/>
        </w:rPr>
        <w:t> </w:t>
      </w:r>
      <w:r>
        <w:rPr>
          <w:w w:val="112"/>
        </w:rPr>
        <w:t>Entre</w:t>
      </w:r>
      <w:r>
        <w:rPr>
          <w:spacing w:val="10"/>
        </w:rPr>
        <w:t> </w:t>
      </w:r>
      <w:r>
        <w:rPr>
          <w:w w:val="112"/>
        </w:rPr>
        <w:t>tanto,</w:t>
      </w:r>
      <w:r>
        <w:rPr>
          <w:spacing w:val="10"/>
        </w:rPr>
        <w:t> </w:t>
      </w:r>
      <w:r>
        <w:rPr>
          <w:w w:val="111"/>
        </w:rPr>
        <w:t>la</w:t>
      </w:r>
      <w:r>
        <w:rPr>
          <w:spacing w:val="10"/>
        </w:rPr>
        <w:t> </w:t>
      </w:r>
      <w:r>
        <w:rPr>
          <w:w w:val="110"/>
        </w:rPr>
        <w:t>llegada</w:t>
      </w:r>
      <w:r>
        <w:rPr>
          <w:spacing w:val="10"/>
        </w:rPr>
        <w:t> </w:t>
      </w:r>
      <w:r>
        <w:rPr>
          <w:w w:val="107"/>
        </w:rPr>
        <w:t>de</w:t>
      </w:r>
      <w:r>
        <w:rPr>
          <w:spacing w:val="10"/>
        </w:rPr>
        <w:t> </w:t>
      </w:r>
      <w:r>
        <w:rPr>
          <w:w w:val="243"/>
        </w:rPr>
        <w:t>l</w:t>
      </w:r>
      <w:r>
        <w:rPr>
          <w:w w:val="113"/>
        </w:rPr>
        <w:t>uiz</w:t>
      </w:r>
      <w:r>
        <w:rPr>
          <w:spacing w:val="10"/>
        </w:rPr>
        <w:t> </w:t>
      </w:r>
      <w:r>
        <w:rPr>
          <w:w w:val="142"/>
        </w:rPr>
        <w:t>i</w:t>
      </w:r>
      <w:r>
        <w:rPr>
          <w:w w:val="112"/>
        </w:rPr>
        <w:t>nácio</w:t>
      </w:r>
      <w:r>
        <w:rPr>
          <w:spacing w:val="10"/>
        </w:rPr>
        <w:t> </w:t>
      </w:r>
      <w:r>
        <w:rPr>
          <w:w w:val="243"/>
        </w:rPr>
        <w:t>l</w:t>
      </w:r>
      <w:r>
        <w:rPr>
          <w:w w:val="112"/>
        </w:rPr>
        <w:t>ula</w:t>
      </w:r>
      <w:r>
        <w:rPr>
          <w:spacing w:val="10"/>
        </w:rPr>
        <w:t> </w:t>
      </w:r>
      <w:r>
        <w:rPr>
          <w:w w:val="110"/>
        </w:rPr>
        <w:t>da</w:t>
      </w:r>
      <w:r>
        <w:rPr>
          <w:spacing w:val="10"/>
        </w:rPr>
        <w:t> </w:t>
      </w:r>
      <w:r>
        <w:rPr>
          <w:w w:val="149"/>
        </w:rPr>
        <w:t>s</w:t>
      </w:r>
      <w:r>
        <w:rPr>
          <w:w w:val="109"/>
        </w:rPr>
        <w:t>ilva</w:t>
      </w:r>
      <w:r>
        <w:rPr>
          <w:spacing w:val="10"/>
        </w:rPr>
        <w:t> </w:t>
      </w:r>
      <w:r>
        <w:rPr>
          <w:w w:val="111"/>
        </w:rPr>
        <w:t>al</w:t>
      </w:r>
      <w:r>
        <w:rPr>
          <w:spacing w:val="10"/>
        </w:rPr>
        <w:t> </w:t>
      </w:r>
      <w:r>
        <w:rPr>
          <w:w w:val="109"/>
        </w:rPr>
        <w:t>gobierno </w:t>
      </w:r>
      <w:r>
        <w:rPr>
          <w:w w:val="115"/>
        </w:rPr>
        <w:t>de</w:t>
      </w:r>
      <w:r>
        <w:rPr>
          <w:spacing w:val="-10"/>
          <w:w w:val="115"/>
        </w:rPr>
        <w:t> </w:t>
      </w:r>
      <w:r>
        <w:rPr>
          <w:w w:val="115"/>
        </w:rPr>
        <w:t>brasil,</w:t>
      </w:r>
      <w:r>
        <w:rPr>
          <w:spacing w:val="-10"/>
          <w:w w:val="115"/>
        </w:rPr>
        <w:t> </w:t>
      </w:r>
      <w:r>
        <w:rPr>
          <w:w w:val="115"/>
        </w:rPr>
        <w:t>realizando</w:t>
      </w:r>
      <w:r>
        <w:rPr>
          <w:spacing w:val="-10"/>
          <w:w w:val="115"/>
        </w:rPr>
        <w:t> </w:t>
      </w:r>
      <w:r>
        <w:rPr>
          <w:w w:val="115"/>
        </w:rPr>
        <w:t>una</w:t>
      </w:r>
      <w:r>
        <w:rPr>
          <w:spacing w:val="-10"/>
          <w:w w:val="115"/>
        </w:rPr>
        <w:t> </w:t>
      </w:r>
      <w:r>
        <w:rPr>
          <w:w w:val="115"/>
        </w:rPr>
        <w:t>importantísima</w:t>
      </w:r>
      <w:r>
        <w:rPr>
          <w:spacing w:val="-10"/>
          <w:w w:val="115"/>
        </w:rPr>
        <w:t> </w:t>
      </w:r>
      <w:r>
        <w:rPr>
          <w:w w:val="115"/>
        </w:rPr>
        <w:t>y</w:t>
      </w:r>
      <w:r>
        <w:rPr>
          <w:spacing w:val="-10"/>
          <w:w w:val="115"/>
        </w:rPr>
        <w:t> </w:t>
      </w:r>
      <w:r>
        <w:rPr>
          <w:w w:val="115"/>
        </w:rPr>
        <w:t>copernicana</w:t>
      </w:r>
      <w:r>
        <w:rPr>
          <w:spacing w:val="-10"/>
          <w:w w:val="115"/>
        </w:rPr>
        <w:t> </w:t>
      </w:r>
      <w:r>
        <w:rPr>
          <w:w w:val="115"/>
        </w:rPr>
        <w:t>transforma- ción</w:t>
      </w:r>
      <w:r>
        <w:rPr>
          <w:spacing w:val="-31"/>
          <w:w w:val="115"/>
        </w:rPr>
        <w:t> </w:t>
      </w:r>
      <w:r>
        <w:rPr>
          <w:w w:val="115"/>
        </w:rPr>
        <w:t>de</w:t>
      </w:r>
      <w:r>
        <w:rPr>
          <w:spacing w:val="-31"/>
          <w:w w:val="115"/>
        </w:rPr>
        <w:t> </w:t>
      </w:r>
      <w:r>
        <w:rPr>
          <w:w w:val="115"/>
        </w:rPr>
        <w:t>la</w:t>
      </w:r>
      <w:r>
        <w:rPr>
          <w:spacing w:val="-31"/>
          <w:w w:val="115"/>
        </w:rPr>
        <w:t> </w:t>
      </w:r>
      <w:r>
        <w:rPr>
          <w:w w:val="115"/>
        </w:rPr>
        <w:t>política</w:t>
      </w:r>
      <w:r>
        <w:rPr>
          <w:spacing w:val="-31"/>
          <w:w w:val="115"/>
        </w:rPr>
        <w:t> </w:t>
      </w:r>
      <w:r>
        <w:rPr>
          <w:w w:val="115"/>
        </w:rPr>
        <w:t>exterior</w:t>
      </w:r>
      <w:r>
        <w:rPr>
          <w:spacing w:val="-31"/>
          <w:w w:val="115"/>
        </w:rPr>
        <w:t> </w:t>
      </w:r>
      <w:r>
        <w:rPr>
          <w:w w:val="115"/>
        </w:rPr>
        <w:t>brasileña</w:t>
      </w:r>
      <w:r>
        <w:rPr>
          <w:spacing w:val="-31"/>
          <w:w w:val="115"/>
        </w:rPr>
        <w:t> </w:t>
      </w:r>
      <w:r>
        <w:rPr>
          <w:w w:val="115"/>
        </w:rPr>
        <w:t>al</w:t>
      </w:r>
      <w:r>
        <w:rPr>
          <w:spacing w:val="-31"/>
          <w:w w:val="115"/>
        </w:rPr>
        <w:t> </w:t>
      </w:r>
      <w:r>
        <w:rPr>
          <w:w w:val="115"/>
        </w:rPr>
        <w:t>reorientar</w:t>
      </w:r>
      <w:r>
        <w:rPr>
          <w:spacing w:val="-31"/>
          <w:w w:val="115"/>
        </w:rPr>
        <w:t> </w:t>
      </w:r>
      <w:r>
        <w:rPr>
          <w:w w:val="115"/>
        </w:rPr>
        <w:t>sus</w:t>
      </w:r>
      <w:r>
        <w:rPr>
          <w:spacing w:val="-31"/>
          <w:w w:val="115"/>
        </w:rPr>
        <w:t> </w:t>
      </w:r>
      <w:r>
        <w:rPr>
          <w:w w:val="115"/>
        </w:rPr>
        <w:t>relaciones</w:t>
      </w:r>
      <w:r>
        <w:rPr>
          <w:spacing w:val="-31"/>
          <w:w w:val="115"/>
        </w:rPr>
        <w:t> </w:t>
      </w:r>
      <w:r>
        <w:rPr>
          <w:w w:val="115"/>
        </w:rPr>
        <w:t>políti- cas</w:t>
      </w:r>
      <w:r>
        <w:rPr>
          <w:spacing w:val="-13"/>
          <w:w w:val="115"/>
        </w:rPr>
        <w:t> </w:t>
      </w:r>
      <w:r>
        <w:rPr>
          <w:w w:val="115"/>
        </w:rPr>
        <w:t>y</w:t>
      </w:r>
      <w:r>
        <w:rPr>
          <w:spacing w:val="-13"/>
          <w:w w:val="115"/>
        </w:rPr>
        <w:t> </w:t>
      </w:r>
      <w:r>
        <w:rPr>
          <w:w w:val="115"/>
        </w:rPr>
        <w:t>comerciales</w:t>
      </w:r>
      <w:r>
        <w:rPr>
          <w:spacing w:val="-13"/>
          <w:w w:val="115"/>
        </w:rPr>
        <w:t> </w:t>
      </w:r>
      <w:r>
        <w:rPr>
          <w:w w:val="115"/>
        </w:rPr>
        <w:t>con</w:t>
      </w:r>
      <w:r>
        <w:rPr>
          <w:spacing w:val="-13"/>
          <w:w w:val="115"/>
        </w:rPr>
        <w:t> </w:t>
      </w:r>
      <w:r>
        <w:rPr>
          <w:w w:val="115"/>
        </w:rPr>
        <w:t>américa</w:t>
      </w:r>
      <w:r>
        <w:rPr>
          <w:spacing w:val="-13"/>
          <w:w w:val="115"/>
        </w:rPr>
        <w:t> </w:t>
      </w:r>
      <w:r>
        <w:rPr>
          <w:w w:val="115"/>
        </w:rPr>
        <w:t>del</w:t>
      </w:r>
      <w:r>
        <w:rPr>
          <w:spacing w:val="-13"/>
          <w:w w:val="115"/>
        </w:rPr>
        <w:t> </w:t>
      </w:r>
      <w:r>
        <w:rPr>
          <w:w w:val="115"/>
        </w:rPr>
        <w:t>sur</w:t>
      </w:r>
      <w:r>
        <w:rPr>
          <w:spacing w:val="-13"/>
          <w:w w:val="115"/>
        </w:rPr>
        <w:t> </w:t>
      </w:r>
      <w:r>
        <w:rPr>
          <w:w w:val="115"/>
        </w:rPr>
        <w:t>y</w:t>
      </w:r>
      <w:r>
        <w:rPr>
          <w:spacing w:val="-13"/>
          <w:w w:val="115"/>
        </w:rPr>
        <w:t> </w:t>
      </w:r>
      <w:r>
        <w:rPr>
          <w:w w:val="115"/>
        </w:rPr>
        <w:t>África;</w:t>
      </w:r>
      <w:r>
        <w:rPr>
          <w:spacing w:val="-13"/>
          <w:w w:val="115"/>
        </w:rPr>
        <w:t> </w:t>
      </w:r>
      <w:r>
        <w:rPr>
          <w:w w:val="115"/>
        </w:rPr>
        <w:t>la</w:t>
      </w:r>
      <w:r>
        <w:rPr>
          <w:spacing w:val="-13"/>
          <w:w w:val="115"/>
        </w:rPr>
        <w:t> </w:t>
      </w:r>
      <w:r>
        <w:rPr>
          <w:w w:val="115"/>
        </w:rPr>
        <w:t>rápida</w:t>
      </w:r>
      <w:r>
        <w:rPr>
          <w:spacing w:val="-13"/>
          <w:w w:val="115"/>
        </w:rPr>
        <w:t> </w:t>
      </w:r>
      <w:r>
        <w:rPr>
          <w:w w:val="115"/>
        </w:rPr>
        <w:t>y</w:t>
      </w:r>
      <w:r>
        <w:rPr>
          <w:spacing w:val="-13"/>
          <w:w w:val="115"/>
        </w:rPr>
        <w:t> </w:t>
      </w:r>
      <w:r>
        <w:rPr>
          <w:w w:val="115"/>
        </w:rPr>
        <w:t>espectacu- lar</w:t>
      </w:r>
      <w:r>
        <w:rPr>
          <w:spacing w:val="-14"/>
          <w:w w:val="115"/>
        </w:rPr>
        <w:t> </w:t>
      </w:r>
      <w:r>
        <w:rPr>
          <w:w w:val="115"/>
        </w:rPr>
        <w:t>consolidación</w:t>
      </w:r>
      <w:r>
        <w:rPr>
          <w:spacing w:val="-14"/>
          <w:w w:val="115"/>
        </w:rPr>
        <w:t> </w:t>
      </w:r>
      <w:r>
        <w:rPr>
          <w:w w:val="115"/>
        </w:rPr>
        <w:t>de</w:t>
      </w:r>
      <w:r>
        <w:rPr>
          <w:spacing w:val="-14"/>
          <w:w w:val="115"/>
        </w:rPr>
        <w:t> </w:t>
      </w:r>
      <w:r>
        <w:rPr>
          <w:w w:val="115"/>
        </w:rPr>
        <w:t>la</w:t>
      </w:r>
      <w:r>
        <w:rPr>
          <w:spacing w:val="-14"/>
          <w:w w:val="115"/>
        </w:rPr>
        <w:t> </w:t>
      </w:r>
      <w:r>
        <w:rPr>
          <w:w w:val="115"/>
        </w:rPr>
        <w:t>revolución</w:t>
      </w:r>
      <w:r>
        <w:rPr>
          <w:spacing w:val="-14"/>
          <w:w w:val="115"/>
        </w:rPr>
        <w:t> </w:t>
      </w:r>
      <w:r>
        <w:rPr>
          <w:w w:val="115"/>
        </w:rPr>
        <w:t>bolivariana</w:t>
      </w:r>
      <w:r>
        <w:rPr>
          <w:spacing w:val="-14"/>
          <w:w w:val="115"/>
        </w:rPr>
        <w:t> </w:t>
      </w:r>
      <w:r>
        <w:rPr>
          <w:w w:val="115"/>
        </w:rPr>
        <w:t>en</w:t>
      </w:r>
      <w:r>
        <w:rPr>
          <w:spacing w:val="-14"/>
          <w:w w:val="115"/>
        </w:rPr>
        <w:t> </w:t>
      </w:r>
      <w:r>
        <w:rPr>
          <w:w w:val="115"/>
        </w:rPr>
        <w:t>Venezuela,</w:t>
      </w:r>
      <w:r>
        <w:rPr>
          <w:spacing w:val="-14"/>
          <w:w w:val="115"/>
        </w:rPr>
        <w:t> </w:t>
      </w:r>
      <w:r>
        <w:rPr>
          <w:w w:val="115"/>
        </w:rPr>
        <w:t>sumada al</w:t>
      </w:r>
      <w:r>
        <w:rPr>
          <w:spacing w:val="-5"/>
          <w:w w:val="115"/>
        </w:rPr>
        <w:t> </w:t>
      </w:r>
      <w:r>
        <w:rPr>
          <w:w w:val="115"/>
        </w:rPr>
        <w:t>liderazgo</w:t>
      </w:r>
      <w:r>
        <w:rPr>
          <w:spacing w:val="-5"/>
          <w:w w:val="115"/>
        </w:rPr>
        <w:t> </w:t>
      </w:r>
      <w:r>
        <w:rPr>
          <w:w w:val="115"/>
        </w:rPr>
        <w:t>regional</w:t>
      </w:r>
      <w:r>
        <w:rPr>
          <w:spacing w:val="-5"/>
          <w:w w:val="115"/>
        </w:rPr>
        <w:t> </w:t>
      </w:r>
      <w:r>
        <w:rPr>
          <w:w w:val="115"/>
        </w:rPr>
        <w:t>de</w:t>
      </w:r>
      <w:r>
        <w:rPr>
          <w:spacing w:val="-5"/>
          <w:w w:val="115"/>
        </w:rPr>
        <w:t> </w:t>
      </w:r>
      <w:r>
        <w:rPr>
          <w:w w:val="115"/>
        </w:rPr>
        <w:t>Hugo</w:t>
      </w:r>
      <w:r>
        <w:rPr>
          <w:spacing w:val="-5"/>
          <w:w w:val="115"/>
        </w:rPr>
        <w:t> </w:t>
      </w:r>
      <w:r>
        <w:rPr>
          <w:w w:val="115"/>
        </w:rPr>
        <w:t>Chávez;</w:t>
      </w:r>
      <w:r>
        <w:rPr>
          <w:spacing w:val="-5"/>
          <w:w w:val="115"/>
        </w:rPr>
        <w:t> </w:t>
      </w:r>
      <w:r>
        <w:rPr>
          <w:w w:val="115"/>
        </w:rPr>
        <w:t>el</w:t>
      </w:r>
      <w:r>
        <w:rPr>
          <w:spacing w:val="-5"/>
          <w:w w:val="115"/>
        </w:rPr>
        <w:t> </w:t>
      </w:r>
      <w:r>
        <w:rPr>
          <w:w w:val="115"/>
        </w:rPr>
        <w:t>inesperado</w:t>
      </w:r>
      <w:r>
        <w:rPr>
          <w:spacing w:val="-5"/>
          <w:w w:val="115"/>
        </w:rPr>
        <w:t> </w:t>
      </w:r>
      <w:r>
        <w:rPr>
          <w:w w:val="115"/>
        </w:rPr>
        <w:t>y</w:t>
      </w:r>
      <w:r>
        <w:rPr>
          <w:spacing w:val="-5"/>
          <w:w w:val="115"/>
        </w:rPr>
        <w:t> </w:t>
      </w:r>
      <w:r>
        <w:rPr>
          <w:w w:val="115"/>
        </w:rPr>
        <w:t>sorprendente gobierno</w:t>
      </w:r>
      <w:r>
        <w:rPr>
          <w:spacing w:val="-8"/>
          <w:w w:val="115"/>
        </w:rPr>
        <w:t> </w:t>
      </w:r>
      <w:r>
        <w:rPr>
          <w:w w:val="115"/>
        </w:rPr>
        <w:t>progresista</w:t>
      </w:r>
      <w:r>
        <w:rPr>
          <w:spacing w:val="-8"/>
          <w:w w:val="115"/>
        </w:rPr>
        <w:t> </w:t>
      </w:r>
      <w:r>
        <w:rPr>
          <w:w w:val="115"/>
        </w:rPr>
        <w:t>y</w:t>
      </w:r>
      <w:r>
        <w:rPr>
          <w:spacing w:val="-8"/>
          <w:w w:val="115"/>
        </w:rPr>
        <w:t> </w:t>
      </w:r>
      <w:r>
        <w:rPr>
          <w:w w:val="115"/>
        </w:rPr>
        <w:t>popular</w:t>
      </w:r>
      <w:r>
        <w:rPr>
          <w:spacing w:val="-8"/>
          <w:w w:val="115"/>
        </w:rPr>
        <w:t> </w:t>
      </w:r>
      <w:r>
        <w:rPr>
          <w:w w:val="115"/>
        </w:rPr>
        <w:t>liderado</w:t>
      </w:r>
      <w:r>
        <w:rPr>
          <w:spacing w:val="-8"/>
          <w:w w:val="115"/>
        </w:rPr>
        <w:t> </w:t>
      </w:r>
      <w:r>
        <w:rPr>
          <w:w w:val="115"/>
        </w:rPr>
        <w:t>primero</w:t>
      </w:r>
      <w:r>
        <w:rPr>
          <w:spacing w:val="-8"/>
          <w:w w:val="115"/>
        </w:rPr>
        <w:t> </w:t>
      </w:r>
      <w:r>
        <w:rPr>
          <w:w w:val="115"/>
        </w:rPr>
        <w:t>por</w:t>
      </w:r>
      <w:r>
        <w:rPr>
          <w:spacing w:val="-8"/>
          <w:w w:val="115"/>
        </w:rPr>
        <w:t> </w:t>
      </w:r>
      <w:r>
        <w:rPr>
          <w:w w:val="115"/>
        </w:rPr>
        <w:t>Néstor</w:t>
      </w:r>
      <w:r>
        <w:rPr>
          <w:spacing w:val="-8"/>
          <w:w w:val="115"/>
        </w:rPr>
        <w:t> </w:t>
      </w:r>
      <w:r>
        <w:rPr>
          <w:w w:val="115"/>
        </w:rPr>
        <w:t>y</w:t>
      </w:r>
      <w:r>
        <w:rPr>
          <w:spacing w:val="-8"/>
          <w:w w:val="115"/>
        </w:rPr>
        <w:t> </w:t>
      </w:r>
      <w:r>
        <w:rPr>
          <w:w w:val="115"/>
        </w:rPr>
        <w:t>luego por</w:t>
      </w:r>
      <w:r>
        <w:rPr>
          <w:spacing w:val="-11"/>
          <w:w w:val="115"/>
        </w:rPr>
        <w:t> </w:t>
      </w:r>
      <w:r>
        <w:rPr>
          <w:w w:val="115"/>
        </w:rPr>
        <w:t>Cristina</w:t>
      </w:r>
      <w:r>
        <w:rPr>
          <w:spacing w:val="-11"/>
          <w:w w:val="115"/>
        </w:rPr>
        <w:t> </w:t>
      </w:r>
      <w:r>
        <w:rPr>
          <w:w w:val="115"/>
        </w:rPr>
        <w:t>Kirchner;</w:t>
      </w:r>
      <w:r>
        <w:rPr>
          <w:spacing w:val="-11"/>
          <w:w w:val="115"/>
        </w:rPr>
        <w:t> </w:t>
      </w:r>
      <w:r>
        <w:rPr>
          <w:w w:val="115"/>
        </w:rPr>
        <w:t>los</w:t>
      </w:r>
      <w:r>
        <w:rPr>
          <w:spacing w:val="-11"/>
          <w:w w:val="115"/>
        </w:rPr>
        <w:t> </w:t>
      </w:r>
      <w:r>
        <w:rPr>
          <w:w w:val="115"/>
        </w:rPr>
        <w:t>procesos</w:t>
      </w:r>
      <w:r>
        <w:rPr>
          <w:spacing w:val="-11"/>
          <w:w w:val="115"/>
        </w:rPr>
        <w:t> </w:t>
      </w:r>
      <w:r>
        <w:rPr>
          <w:w w:val="115"/>
        </w:rPr>
        <w:t>de</w:t>
      </w:r>
      <w:r>
        <w:rPr>
          <w:spacing w:val="-11"/>
          <w:w w:val="115"/>
        </w:rPr>
        <w:t> </w:t>
      </w:r>
      <w:r>
        <w:rPr>
          <w:w w:val="115"/>
        </w:rPr>
        <w:t>transformación</w:t>
      </w:r>
      <w:r>
        <w:rPr>
          <w:spacing w:val="-11"/>
          <w:w w:val="115"/>
        </w:rPr>
        <w:t> </w:t>
      </w:r>
      <w:r>
        <w:rPr>
          <w:w w:val="115"/>
        </w:rPr>
        <w:t>democráticos llevados a cabo en </w:t>
      </w:r>
      <w:r>
        <w:rPr>
          <w:spacing w:val="-3"/>
          <w:w w:val="115"/>
        </w:rPr>
        <w:t>uruguay, Ecuador, </w:t>
      </w:r>
      <w:r>
        <w:rPr>
          <w:w w:val="115"/>
        </w:rPr>
        <w:t>bolivia, Nicaragua, Paraguay  y El </w:t>
      </w:r>
      <w:r>
        <w:rPr>
          <w:spacing w:val="-3"/>
          <w:w w:val="115"/>
        </w:rPr>
        <w:t>salvador, </w:t>
      </w:r>
      <w:r>
        <w:rPr>
          <w:w w:val="115"/>
        </w:rPr>
        <w:t>transformaron la agenda regional y pusieron un</w:t>
      </w:r>
      <w:r>
        <w:rPr>
          <w:spacing w:val="-33"/>
          <w:w w:val="115"/>
        </w:rPr>
        <w:t> </w:t>
      </w:r>
      <w:r>
        <w:rPr>
          <w:w w:val="115"/>
        </w:rPr>
        <w:t>freno histórico</w:t>
      </w:r>
      <w:r>
        <w:rPr>
          <w:spacing w:val="-16"/>
          <w:w w:val="115"/>
        </w:rPr>
        <w:t> </w:t>
      </w:r>
      <w:r>
        <w:rPr>
          <w:w w:val="115"/>
        </w:rPr>
        <w:t>al</w:t>
      </w:r>
      <w:r>
        <w:rPr>
          <w:spacing w:val="-16"/>
          <w:w w:val="115"/>
        </w:rPr>
        <w:t> </w:t>
      </w:r>
      <w:r>
        <w:rPr>
          <w:w w:val="115"/>
        </w:rPr>
        <w:t>colonialismo</w:t>
      </w:r>
      <w:r>
        <w:rPr>
          <w:spacing w:val="-16"/>
          <w:w w:val="115"/>
        </w:rPr>
        <w:t> </w:t>
      </w:r>
      <w:r>
        <w:rPr>
          <w:w w:val="115"/>
        </w:rPr>
        <w:t>norteamericano</w:t>
      </w:r>
      <w:r>
        <w:rPr>
          <w:spacing w:val="-16"/>
          <w:w w:val="115"/>
        </w:rPr>
        <w:t> </w:t>
      </w:r>
      <w:r>
        <w:rPr>
          <w:w w:val="115"/>
        </w:rPr>
        <w:t>y</w:t>
      </w:r>
      <w:r>
        <w:rPr>
          <w:spacing w:val="-16"/>
          <w:w w:val="115"/>
        </w:rPr>
        <w:t> </w:t>
      </w:r>
      <w:r>
        <w:rPr>
          <w:w w:val="115"/>
        </w:rPr>
        <w:t>a</w:t>
      </w:r>
      <w:r>
        <w:rPr>
          <w:spacing w:val="-16"/>
          <w:w w:val="115"/>
        </w:rPr>
        <w:t> </w:t>
      </w:r>
      <w:r>
        <w:rPr>
          <w:w w:val="115"/>
        </w:rPr>
        <w:t>sus</w:t>
      </w:r>
      <w:r>
        <w:rPr>
          <w:spacing w:val="-16"/>
          <w:w w:val="115"/>
        </w:rPr>
        <w:t> </w:t>
      </w:r>
      <w:r>
        <w:rPr>
          <w:w w:val="115"/>
        </w:rPr>
        <w:t>permanentes</w:t>
      </w:r>
      <w:r>
        <w:rPr>
          <w:spacing w:val="-16"/>
          <w:w w:val="115"/>
        </w:rPr>
        <w:t> </w:t>
      </w:r>
      <w:r>
        <w:rPr>
          <w:w w:val="115"/>
        </w:rPr>
        <w:t>ambi- </w:t>
      </w:r>
      <w:r>
        <w:rPr>
          <w:w w:val="110"/>
        </w:rPr>
        <w:t>ciones</w:t>
      </w:r>
      <w:r>
        <w:rPr>
          <w:spacing w:val="7"/>
        </w:rPr>
        <w:t> </w:t>
      </w:r>
      <w:r>
        <w:rPr>
          <w:w w:val="109"/>
        </w:rPr>
        <w:t>imperiales</w:t>
      </w:r>
      <w:r>
        <w:rPr>
          <w:spacing w:val="7"/>
        </w:rPr>
        <w:t> </w:t>
      </w:r>
      <w:r>
        <w:rPr>
          <w:w w:val="108"/>
        </w:rPr>
        <w:t>en</w:t>
      </w:r>
      <w:r>
        <w:rPr>
          <w:spacing w:val="7"/>
        </w:rPr>
        <w:t> </w:t>
      </w:r>
      <w:r>
        <w:rPr>
          <w:w w:val="139"/>
        </w:rPr>
        <w:t>a</w:t>
      </w:r>
      <w:r>
        <w:rPr>
          <w:w w:val="111"/>
        </w:rPr>
        <w:t>mérica</w:t>
      </w:r>
      <w:r>
        <w:rPr>
          <w:spacing w:val="7"/>
        </w:rPr>
        <w:t> </w:t>
      </w:r>
      <w:r>
        <w:rPr>
          <w:w w:val="243"/>
        </w:rPr>
        <w:t>l</w:t>
      </w:r>
      <w:r>
        <w:rPr>
          <w:w w:val="113"/>
        </w:rPr>
        <w:t>atina,</w:t>
      </w:r>
      <w:r>
        <w:rPr>
          <w:spacing w:val="7"/>
        </w:rPr>
        <w:t> </w:t>
      </w:r>
      <w:r>
        <w:rPr>
          <w:w w:val="109"/>
        </w:rPr>
        <w:t>su</w:t>
      </w:r>
      <w:r>
        <w:rPr>
          <w:spacing w:val="7"/>
        </w:rPr>
        <w:t> </w:t>
      </w:r>
      <w:r>
        <w:rPr>
          <w:w w:val="110"/>
        </w:rPr>
        <w:t>despreciado,</w:t>
      </w:r>
      <w:r>
        <w:rPr>
          <w:spacing w:val="7"/>
        </w:rPr>
        <w:t> </w:t>
      </w:r>
      <w:r>
        <w:rPr>
          <w:w w:val="110"/>
        </w:rPr>
        <w:t>aunque</w:t>
      </w:r>
      <w:r>
        <w:rPr>
          <w:spacing w:val="7"/>
        </w:rPr>
        <w:t> </w:t>
      </w:r>
      <w:r>
        <w:rPr>
          <w:w w:val="108"/>
        </w:rPr>
        <w:t>siempre </w:t>
      </w:r>
      <w:r>
        <w:rPr>
          <w:w w:val="110"/>
        </w:rPr>
        <w:t>necesario y estratégico, </w:t>
      </w:r>
      <w:r>
        <w:rPr>
          <w:i/>
          <w:w w:val="110"/>
        </w:rPr>
        <w:t>patio</w:t>
      </w:r>
      <w:r>
        <w:rPr>
          <w:i/>
          <w:spacing w:val="-10"/>
          <w:w w:val="110"/>
        </w:rPr>
        <w:t> </w:t>
      </w:r>
      <w:r>
        <w:rPr>
          <w:i/>
          <w:w w:val="110"/>
        </w:rPr>
        <w:t>trasero</w:t>
      </w:r>
      <w:r>
        <w:rPr>
          <w:w w:val="110"/>
        </w:rPr>
        <w:t>.</w:t>
      </w:r>
    </w:p>
    <w:p>
      <w:pPr>
        <w:pStyle w:val="BodyText"/>
        <w:spacing w:line="252" w:lineRule="auto"/>
        <w:ind w:left="100" w:right="328" w:firstLine="396"/>
        <w:jc w:val="both"/>
      </w:pPr>
      <w:r>
        <w:rPr>
          <w:w w:val="243"/>
        </w:rPr>
        <w:t>l</w:t>
      </w:r>
      <w:r>
        <w:rPr>
          <w:w w:val="108"/>
        </w:rPr>
        <w:t>os</w:t>
      </w:r>
      <w:r>
        <w:rPr>
          <w:spacing w:val="20"/>
        </w:rPr>
        <w:t> </w:t>
      </w:r>
      <w:r>
        <w:rPr>
          <w:w w:val="110"/>
        </w:rPr>
        <w:t>cuatro</w:t>
      </w:r>
      <w:r>
        <w:rPr>
          <w:spacing w:val="20"/>
        </w:rPr>
        <w:t> </w:t>
      </w:r>
      <w:r>
        <w:rPr>
          <w:w w:val="109"/>
        </w:rPr>
        <w:t>libros</w:t>
      </w:r>
      <w:r>
        <w:rPr>
          <w:spacing w:val="20"/>
        </w:rPr>
        <w:t> </w:t>
      </w:r>
      <w:r>
        <w:rPr>
          <w:w w:val="108"/>
        </w:rPr>
        <w:t>que</w:t>
      </w:r>
      <w:r>
        <w:rPr>
          <w:spacing w:val="20"/>
        </w:rPr>
        <w:t> </w:t>
      </w:r>
      <w:r>
        <w:rPr>
          <w:w w:val="107"/>
        </w:rPr>
        <w:t>el</w:t>
      </w:r>
      <w:r>
        <w:rPr>
          <w:spacing w:val="20"/>
        </w:rPr>
        <w:t> </w:t>
      </w:r>
      <w:r>
        <w:rPr>
          <w:w w:val="114"/>
        </w:rPr>
        <w:t>Grupo</w:t>
      </w:r>
      <w:r>
        <w:rPr>
          <w:spacing w:val="20"/>
        </w:rPr>
        <w:t> </w:t>
      </w:r>
      <w:r>
        <w:rPr>
          <w:w w:val="107"/>
        </w:rPr>
        <w:t>de</w:t>
      </w:r>
      <w:r>
        <w:rPr>
          <w:spacing w:val="20"/>
        </w:rPr>
        <w:t> </w:t>
      </w:r>
      <w:r>
        <w:rPr>
          <w:spacing w:val="-18"/>
          <w:w w:val="195"/>
        </w:rPr>
        <w:t>t</w:t>
      </w:r>
      <w:r>
        <w:rPr>
          <w:w w:val="110"/>
        </w:rPr>
        <w:t>rabajo</w:t>
      </w:r>
      <w:r>
        <w:rPr>
          <w:spacing w:val="20"/>
        </w:rPr>
        <w:t> </w:t>
      </w:r>
      <w:r>
        <w:rPr>
          <w:w w:val="107"/>
        </w:rPr>
        <w:t>sobre</w:t>
      </w:r>
      <w:r>
        <w:rPr>
          <w:spacing w:val="20"/>
        </w:rPr>
        <w:t> </w:t>
      </w:r>
      <w:r>
        <w:rPr>
          <w:w w:val="111"/>
        </w:rPr>
        <w:t>Estados</w:t>
      </w:r>
      <w:r>
        <w:rPr>
          <w:spacing w:val="20"/>
        </w:rPr>
        <w:t> </w:t>
      </w:r>
      <w:r>
        <w:rPr>
          <w:w w:val="140"/>
        </w:rPr>
        <w:t>u</w:t>
      </w:r>
      <w:r>
        <w:rPr>
          <w:w w:val="110"/>
        </w:rPr>
        <w:t>nidos </w:t>
      </w:r>
      <w:r>
        <w:rPr>
          <w:w w:val="115"/>
        </w:rPr>
        <w:t>ha</w:t>
      </w:r>
      <w:r>
        <w:rPr>
          <w:spacing w:val="-9"/>
          <w:w w:val="115"/>
        </w:rPr>
        <w:t> </w:t>
      </w:r>
      <w:r>
        <w:rPr>
          <w:w w:val="115"/>
        </w:rPr>
        <w:t>producido</w:t>
      </w:r>
      <w:r>
        <w:rPr>
          <w:spacing w:val="-9"/>
          <w:w w:val="115"/>
        </w:rPr>
        <w:t> </w:t>
      </w:r>
      <w:r>
        <w:rPr>
          <w:w w:val="115"/>
        </w:rPr>
        <w:t>desde</w:t>
      </w:r>
      <w:r>
        <w:rPr>
          <w:spacing w:val="-9"/>
          <w:w w:val="115"/>
        </w:rPr>
        <w:t> </w:t>
      </w:r>
      <w:r>
        <w:rPr>
          <w:w w:val="115"/>
        </w:rPr>
        <w:t>su</w:t>
      </w:r>
      <w:r>
        <w:rPr>
          <w:spacing w:val="-9"/>
          <w:w w:val="115"/>
        </w:rPr>
        <w:t> </w:t>
      </w:r>
      <w:r>
        <w:rPr>
          <w:w w:val="115"/>
        </w:rPr>
        <w:t>creación</w:t>
      </w:r>
      <w:r>
        <w:rPr>
          <w:spacing w:val="-9"/>
          <w:w w:val="115"/>
        </w:rPr>
        <w:t> </w:t>
      </w:r>
      <w:r>
        <w:rPr>
          <w:w w:val="115"/>
        </w:rPr>
        <w:t>en</w:t>
      </w:r>
      <w:r>
        <w:rPr>
          <w:spacing w:val="-9"/>
          <w:w w:val="115"/>
        </w:rPr>
        <w:t> </w:t>
      </w:r>
      <w:r>
        <w:rPr>
          <w:w w:val="115"/>
        </w:rPr>
        <w:t>2004,</w:t>
      </w:r>
      <w:r>
        <w:rPr>
          <w:spacing w:val="-9"/>
          <w:w w:val="115"/>
        </w:rPr>
        <w:t> </w:t>
      </w:r>
      <w:r>
        <w:rPr>
          <w:w w:val="115"/>
        </w:rPr>
        <w:t>constituyen</w:t>
      </w:r>
      <w:r>
        <w:rPr>
          <w:spacing w:val="-9"/>
          <w:w w:val="115"/>
        </w:rPr>
        <w:t> </w:t>
      </w:r>
      <w:r>
        <w:rPr>
          <w:w w:val="115"/>
        </w:rPr>
        <w:t>un</w:t>
      </w:r>
      <w:r>
        <w:rPr>
          <w:spacing w:val="-9"/>
          <w:w w:val="115"/>
        </w:rPr>
        <w:t> </w:t>
      </w:r>
      <w:r>
        <w:rPr>
          <w:w w:val="115"/>
        </w:rPr>
        <w:t>aporte</w:t>
      </w:r>
      <w:r>
        <w:rPr>
          <w:spacing w:val="-9"/>
          <w:w w:val="115"/>
        </w:rPr>
        <w:t> </w:t>
      </w:r>
      <w:r>
        <w:rPr>
          <w:w w:val="115"/>
        </w:rPr>
        <w:t>fun- damental</w:t>
      </w:r>
      <w:r>
        <w:rPr>
          <w:spacing w:val="-20"/>
          <w:w w:val="115"/>
        </w:rPr>
        <w:t> </w:t>
      </w:r>
      <w:r>
        <w:rPr>
          <w:w w:val="115"/>
        </w:rPr>
        <w:t>para</w:t>
      </w:r>
      <w:r>
        <w:rPr>
          <w:spacing w:val="-20"/>
          <w:w w:val="115"/>
        </w:rPr>
        <w:t> </w:t>
      </w:r>
      <w:r>
        <w:rPr>
          <w:w w:val="115"/>
        </w:rPr>
        <w:t>comprender</w:t>
      </w:r>
      <w:r>
        <w:rPr>
          <w:spacing w:val="-20"/>
          <w:w w:val="115"/>
        </w:rPr>
        <w:t> </w:t>
      </w:r>
      <w:r>
        <w:rPr>
          <w:w w:val="115"/>
        </w:rPr>
        <w:t>como</w:t>
      </w:r>
      <w:r>
        <w:rPr>
          <w:spacing w:val="-20"/>
          <w:w w:val="115"/>
        </w:rPr>
        <w:t> </w:t>
      </w:r>
      <w:r>
        <w:rPr>
          <w:w w:val="115"/>
        </w:rPr>
        <w:t>se</w:t>
      </w:r>
      <w:r>
        <w:rPr>
          <w:spacing w:val="-20"/>
          <w:w w:val="115"/>
        </w:rPr>
        <w:t> </w:t>
      </w:r>
      <w:r>
        <w:rPr>
          <w:w w:val="115"/>
        </w:rPr>
        <w:t>han</w:t>
      </w:r>
      <w:r>
        <w:rPr>
          <w:spacing w:val="-20"/>
          <w:w w:val="115"/>
        </w:rPr>
        <w:t> </w:t>
      </w:r>
      <w:r>
        <w:rPr>
          <w:w w:val="115"/>
        </w:rPr>
        <w:t>reconfigurado</w:t>
      </w:r>
      <w:r>
        <w:rPr>
          <w:spacing w:val="-20"/>
          <w:w w:val="115"/>
        </w:rPr>
        <w:t> </w:t>
      </w:r>
      <w:r>
        <w:rPr>
          <w:w w:val="115"/>
        </w:rPr>
        <w:t>las</w:t>
      </w:r>
      <w:r>
        <w:rPr>
          <w:spacing w:val="-20"/>
          <w:w w:val="115"/>
        </w:rPr>
        <w:t> </w:t>
      </w:r>
      <w:r>
        <w:rPr>
          <w:w w:val="115"/>
        </w:rPr>
        <w:t>formas</w:t>
      </w:r>
      <w:r>
        <w:rPr>
          <w:spacing w:val="-20"/>
          <w:w w:val="115"/>
        </w:rPr>
        <w:t> </w:t>
      </w:r>
      <w:r>
        <w:rPr>
          <w:w w:val="115"/>
        </w:rPr>
        <w:t>de intervención</w:t>
      </w:r>
      <w:r>
        <w:rPr>
          <w:spacing w:val="-29"/>
          <w:w w:val="115"/>
        </w:rPr>
        <w:t> </w:t>
      </w:r>
      <w:r>
        <w:rPr>
          <w:w w:val="115"/>
        </w:rPr>
        <w:t>norteamericanas</w:t>
      </w:r>
      <w:r>
        <w:rPr>
          <w:spacing w:val="-29"/>
          <w:w w:val="115"/>
        </w:rPr>
        <w:t> </w:t>
      </w:r>
      <w:r>
        <w:rPr>
          <w:w w:val="115"/>
        </w:rPr>
        <w:t>en</w:t>
      </w:r>
      <w:r>
        <w:rPr>
          <w:spacing w:val="-29"/>
          <w:w w:val="115"/>
        </w:rPr>
        <w:t> </w:t>
      </w:r>
      <w:r>
        <w:rPr>
          <w:w w:val="115"/>
        </w:rPr>
        <w:t>la</w:t>
      </w:r>
      <w:r>
        <w:rPr>
          <w:spacing w:val="-29"/>
          <w:w w:val="115"/>
        </w:rPr>
        <w:t> </w:t>
      </w:r>
      <w:r>
        <w:rPr>
          <w:w w:val="115"/>
        </w:rPr>
        <w:t>región</w:t>
      </w:r>
      <w:r>
        <w:rPr>
          <w:spacing w:val="-29"/>
          <w:w w:val="115"/>
        </w:rPr>
        <w:t> </w:t>
      </w:r>
      <w:r>
        <w:rPr>
          <w:w w:val="115"/>
        </w:rPr>
        <w:t>durante</w:t>
      </w:r>
      <w:r>
        <w:rPr>
          <w:spacing w:val="-29"/>
          <w:w w:val="115"/>
        </w:rPr>
        <w:t> </w:t>
      </w:r>
      <w:r>
        <w:rPr>
          <w:w w:val="115"/>
        </w:rPr>
        <w:t>la</w:t>
      </w:r>
      <w:r>
        <w:rPr>
          <w:spacing w:val="-29"/>
          <w:w w:val="115"/>
        </w:rPr>
        <w:t> </w:t>
      </w:r>
      <w:r>
        <w:rPr>
          <w:w w:val="115"/>
        </w:rPr>
        <w:t>década</w:t>
      </w:r>
      <w:r>
        <w:rPr>
          <w:spacing w:val="-29"/>
          <w:w w:val="115"/>
        </w:rPr>
        <w:t> </w:t>
      </w:r>
      <w:r>
        <w:rPr>
          <w:w w:val="115"/>
        </w:rPr>
        <w:t>posneo- liberal. </w:t>
      </w:r>
      <w:r>
        <w:rPr>
          <w:spacing w:val="-3"/>
          <w:w w:val="115"/>
        </w:rPr>
        <w:t>también, </w:t>
      </w:r>
      <w:r>
        <w:rPr>
          <w:w w:val="115"/>
        </w:rPr>
        <w:t>como ha cambiado la sociedad norteamericana y cómo esto ha influenciado en los países del sur del continente. sus aportes permiten, así mismo, comprender los movimientos, las </w:t>
      </w:r>
      <w:r>
        <w:rPr>
          <w:spacing w:val="-4"/>
          <w:w w:val="115"/>
        </w:rPr>
        <w:t>for- </w:t>
      </w:r>
      <w:r>
        <w:rPr>
          <w:w w:val="115"/>
        </w:rPr>
        <w:t>mas</w:t>
      </w:r>
      <w:r>
        <w:rPr>
          <w:spacing w:val="-21"/>
          <w:w w:val="115"/>
        </w:rPr>
        <w:t> </w:t>
      </w:r>
      <w:r>
        <w:rPr>
          <w:w w:val="115"/>
        </w:rPr>
        <w:t>de</w:t>
      </w:r>
      <w:r>
        <w:rPr>
          <w:spacing w:val="-21"/>
          <w:w w:val="115"/>
        </w:rPr>
        <w:t> </w:t>
      </w:r>
      <w:r>
        <w:rPr>
          <w:w w:val="115"/>
        </w:rPr>
        <w:t>organización</w:t>
      </w:r>
      <w:r>
        <w:rPr>
          <w:spacing w:val="-21"/>
          <w:w w:val="115"/>
        </w:rPr>
        <w:t> </w:t>
      </w:r>
      <w:r>
        <w:rPr>
          <w:w w:val="115"/>
        </w:rPr>
        <w:t>y</w:t>
      </w:r>
      <w:r>
        <w:rPr>
          <w:spacing w:val="-21"/>
          <w:w w:val="115"/>
        </w:rPr>
        <w:t> </w:t>
      </w:r>
      <w:r>
        <w:rPr>
          <w:w w:val="115"/>
        </w:rPr>
        <w:t>las</w:t>
      </w:r>
      <w:r>
        <w:rPr>
          <w:spacing w:val="-21"/>
          <w:w w:val="115"/>
        </w:rPr>
        <w:t> </w:t>
      </w:r>
      <w:r>
        <w:rPr>
          <w:w w:val="115"/>
        </w:rPr>
        <w:t>dinámicas</w:t>
      </w:r>
      <w:r>
        <w:rPr>
          <w:spacing w:val="-21"/>
          <w:w w:val="115"/>
        </w:rPr>
        <w:t> </w:t>
      </w:r>
      <w:r>
        <w:rPr>
          <w:w w:val="115"/>
        </w:rPr>
        <w:t>de</w:t>
      </w:r>
      <w:r>
        <w:rPr>
          <w:spacing w:val="-21"/>
          <w:w w:val="115"/>
        </w:rPr>
        <w:t> </w:t>
      </w:r>
      <w:r>
        <w:rPr>
          <w:w w:val="115"/>
        </w:rPr>
        <w:t>las</w:t>
      </w:r>
      <w:r>
        <w:rPr>
          <w:spacing w:val="-21"/>
          <w:w w:val="115"/>
        </w:rPr>
        <w:t> </w:t>
      </w:r>
      <w:r>
        <w:rPr>
          <w:w w:val="115"/>
        </w:rPr>
        <w:t>luchas</w:t>
      </w:r>
      <w:r>
        <w:rPr>
          <w:spacing w:val="-21"/>
          <w:w w:val="115"/>
        </w:rPr>
        <w:t> </w:t>
      </w:r>
      <w:r>
        <w:rPr>
          <w:w w:val="115"/>
        </w:rPr>
        <w:t>populares</w:t>
      </w:r>
      <w:r>
        <w:rPr>
          <w:spacing w:val="-21"/>
          <w:w w:val="115"/>
        </w:rPr>
        <w:t> </w:t>
      </w:r>
      <w:r>
        <w:rPr>
          <w:w w:val="115"/>
        </w:rPr>
        <w:t>protago- </w:t>
      </w:r>
      <w:r>
        <w:rPr>
          <w:w w:val="110"/>
        </w:rPr>
        <w:t>nizadas por quienes han resistido y siguen resistiendo al</w:t>
      </w:r>
      <w:r>
        <w:rPr>
          <w:spacing w:val="-21"/>
          <w:w w:val="110"/>
        </w:rPr>
        <w:t> </w:t>
      </w:r>
      <w:r>
        <w:rPr>
          <w:w w:val="110"/>
        </w:rPr>
        <w:t>imperialismo </w:t>
      </w:r>
      <w:r>
        <w:rPr>
          <w:w w:val="115"/>
        </w:rPr>
        <w:t>norteamericano en el campo económico, político, </w:t>
      </w:r>
      <w:r>
        <w:rPr>
          <w:spacing w:val="-3"/>
          <w:w w:val="115"/>
        </w:rPr>
        <w:t>militar, </w:t>
      </w:r>
      <w:r>
        <w:rPr>
          <w:w w:val="115"/>
        </w:rPr>
        <w:t>cultural, </w:t>
      </w:r>
      <w:r>
        <w:rPr>
          <w:w w:val="113"/>
        </w:rPr>
        <w:t>comunicacional</w:t>
      </w:r>
      <w:r>
        <w:rPr/>
        <w:t> </w:t>
      </w:r>
      <w:r>
        <w:rPr>
          <w:spacing w:val="-6"/>
        </w:rPr>
        <w:t> </w:t>
      </w:r>
      <w:r>
        <w:rPr>
          <w:w w:val="105"/>
        </w:rPr>
        <w:t>y</w:t>
      </w:r>
      <w:r>
        <w:rPr/>
        <w:t> </w:t>
      </w:r>
      <w:r>
        <w:rPr>
          <w:spacing w:val="-6"/>
        </w:rPr>
        <w:t> </w:t>
      </w:r>
      <w:r>
        <w:rPr>
          <w:w w:val="110"/>
        </w:rPr>
        <w:t>educativo.</w:t>
      </w:r>
      <w:r>
        <w:rPr/>
        <w:t> </w:t>
      </w:r>
      <w:r>
        <w:rPr>
          <w:spacing w:val="-6"/>
        </w:rPr>
        <w:t> </w:t>
      </w:r>
      <w:r>
        <w:rPr>
          <w:w w:val="243"/>
        </w:rPr>
        <w:t>l</w:t>
      </w:r>
      <w:r>
        <w:rPr>
          <w:w w:val="108"/>
        </w:rPr>
        <w:t>os</w:t>
      </w:r>
      <w:r>
        <w:rPr/>
        <w:t> </w:t>
      </w:r>
      <w:r>
        <w:rPr>
          <w:spacing w:val="-6"/>
        </w:rPr>
        <w:t> </w:t>
      </w:r>
      <w:r>
        <w:rPr>
          <w:w w:val="107"/>
        </w:rPr>
        <w:t>aportes</w:t>
      </w:r>
      <w:r>
        <w:rPr/>
        <w:t> </w:t>
      </w:r>
      <w:r>
        <w:rPr>
          <w:spacing w:val="-6"/>
        </w:rPr>
        <w:t> </w:t>
      </w:r>
      <w:r>
        <w:rPr>
          <w:w w:val="107"/>
        </w:rPr>
        <w:t>del</w:t>
      </w:r>
      <w:r>
        <w:rPr/>
        <w:t> </w:t>
      </w:r>
      <w:r>
        <w:rPr>
          <w:spacing w:val="-6"/>
        </w:rPr>
        <w:t> </w:t>
      </w:r>
      <w:r>
        <w:rPr>
          <w:w w:val="130"/>
        </w:rPr>
        <w:t>G</w:t>
      </w:r>
      <w:r>
        <w:rPr>
          <w:w w:val="195"/>
        </w:rPr>
        <w:t>t</w:t>
      </w:r>
      <w:r>
        <w:rPr/>
        <w:t> </w:t>
      </w:r>
      <w:r>
        <w:rPr>
          <w:spacing w:val="-6"/>
        </w:rPr>
        <w:t> </w:t>
      </w:r>
      <w:r>
        <w:rPr>
          <w:w w:val="109"/>
        </w:rPr>
        <w:t>permiten</w:t>
      </w:r>
      <w:r>
        <w:rPr/>
        <w:t> </w:t>
      </w:r>
      <w:r>
        <w:rPr>
          <w:spacing w:val="-6"/>
        </w:rPr>
        <w:t> </w:t>
      </w:r>
      <w:r>
        <w:rPr>
          <w:w w:val="107"/>
        </w:rPr>
        <w:t>entender </w:t>
      </w:r>
      <w:r>
        <w:rPr>
          <w:w w:val="115"/>
        </w:rPr>
        <w:t>los</w:t>
      </w:r>
      <w:r>
        <w:rPr>
          <w:spacing w:val="-27"/>
          <w:w w:val="115"/>
        </w:rPr>
        <w:t> </w:t>
      </w:r>
      <w:r>
        <w:rPr>
          <w:w w:val="115"/>
        </w:rPr>
        <w:t>procesos</w:t>
      </w:r>
      <w:r>
        <w:rPr>
          <w:spacing w:val="-27"/>
          <w:w w:val="115"/>
        </w:rPr>
        <w:t> </w:t>
      </w:r>
      <w:r>
        <w:rPr>
          <w:w w:val="115"/>
        </w:rPr>
        <w:t>de</w:t>
      </w:r>
      <w:r>
        <w:rPr>
          <w:spacing w:val="-27"/>
          <w:w w:val="115"/>
        </w:rPr>
        <w:t> </w:t>
      </w:r>
      <w:r>
        <w:rPr>
          <w:w w:val="115"/>
        </w:rPr>
        <w:t>construcción</w:t>
      </w:r>
      <w:r>
        <w:rPr>
          <w:spacing w:val="-27"/>
          <w:w w:val="115"/>
        </w:rPr>
        <w:t> </w:t>
      </w:r>
      <w:r>
        <w:rPr>
          <w:w w:val="115"/>
        </w:rPr>
        <w:t>de</w:t>
      </w:r>
      <w:r>
        <w:rPr>
          <w:spacing w:val="-27"/>
          <w:w w:val="115"/>
        </w:rPr>
        <w:t> </w:t>
      </w:r>
      <w:r>
        <w:rPr>
          <w:w w:val="115"/>
        </w:rPr>
        <w:t>hegemonía</w:t>
      </w:r>
      <w:r>
        <w:rPr>
          <w:spacing w:val="-27"/>
          <w:w w:val="115"/>
        </w:rPr>
        <w:t> </w:t>
      </w:r>
      <w:r>
        <w:rPr>
          <w:w w:val="115"/>
        </w:rPr>
        <w:t>de</w:t>
      </w:r>
      <w:r>
        <w:rPr>
          <w:spacing w:val="-27"/>
          <w:w w:val="115"/>
        </w:rPr>
        <w:t> </w:t>
      </w:r>
      <w:r>
        <w:rPr>
          <w:w w:val="115"/>
        </w:rPr>
        <w:t>manera</w:t>
      </w:r>
      <w:r>
        <w:rPr>
          <w:spacing w:val="-27"/>
          <w:w w:val="115"/>
        </w:rPr>
        <w:t> </w:t>
      </w:r>
      <w:r>
        <w:rPr>
          <w:w w:val="115"/>
        </w:rPr>
        <w:t>dinámica,</w:t>
      </w:r>
      <w:r>
        <w:rPr>
          <w:spacing w:val="-27"/>
          <w:w w:val="115"/>
        </w:rPr>
        <w:t> </w:t>
      </w:r>
      <w:r>
        <w:rPr>
          <w:w w:val="115"/>
        </w:rPr>
        <w:t>ayu- dándonos así a comprender las mutaciones, metamorfosis y trans- formaciones</w:t>
      </w:r>
      <w:r>
        <w:rPr>
          <w:spacing w:val="-22"/>
          <w:w w:val="115"/>
        </w:rPr>
        <w:t> </w:t>
      </w:r>
      <w:r>
        <w:rPr>
          <w:w w:val="115"/>
        </w:rPr>
        <w:t>que</w:t>
      </w:r>
      <w:r>
        <w:rPr>
          <w:spacing w:val="-22"/>
          <w:w w:val="115"/>
        </w:rPr>
        <w:t> </w:t>
      </w:r>
      <w:r>
        <w:rPr>
          <w:w w:val="115"/>
        </w:rPr>
        <w:t>experimenta</w:t>
      </w:r>
      <w:r>
        <w:rPr>
          <w:spacing w:val="-22"/>
          <w:w w:val="115"/>
        </w:rPr>
        <w:t> </w:t>
      </w:r>
      <w:r>
        <w:rPr>
          <w:w w:val="115"/>
        </w:rPr>
        <w:t>el</w:t>
      </w:r>
      <w:r>
        <w:rPr>
          <w:spacing w:val="-22"/>
          <w:w w:val="115"/>
        </w:rPr>
        <w:t> </w:t>
      </w:r>
      <w:r>
        <w:rPr>
          <w:w w:val="115"/>
        </w:rPr>
        <w:t>proyecto</w:t>
      </w:r>
      <w:r>
        <w:rPr>
          <w:spacing w:val="-22"/>
          <w:w w:val="115"/>
        </w:rPr>
        <w:t> </w:t>
      </w:r>
      <w:r>
        <w:rPr>
          <w:w w:val="115"/>
        </w:rPr>
        <w:t>de</w:t>
      </w:r>
      <w:r>
        <w:rPr>
          <w:spacing w:val="-22"/>
          <w:w w:val="115"/>
        </w:rPr>
        <w:t> </w:t>
      </w:r>
      <w:r>
        <w:rPr>
          <w:w w:val="115"/>
        </w:rPr>
        <w:t>dominación</w:t>
      </w:r>
      <w:r>
        <w:rPr>
          <w:spacing w:val="-22"/>
          <w:w w:val="115"/>
        </w:rPr>
        <w:t> </w:t>
      </w:r>
      <w:r>
        <w:rPr>
          <w:w w:val="115"/>
        </w:rPr>
        <w:t>imperial</w:t>
      </w:r>
      <w:r>
        <w:rPr>
          <w:spacing w:val="-22"/>
          <w:w w:val="115"/>
        </w:rPr>
        <w:t> </w:t>
      </w:r>
      <w:r>
        <w:rPr>
          <w:w w:val="115"/>
        </w:rPr>
        <w:t>de </w:t>
      </w:r>
      <w:r>
        <w:rPr>
          <w:w w:val="111"/>
        </w:rPr>
        <w:t>Estados</w:t>
      </w:r>
      <w:r>
        <w:rPr>
          <w:spacing w:val="10"/>
        </w:rPr>
        <w:t> </w:t>
      </w:r>
      <w:r>
        <w:rPr>
          <w:w w:val="140"/>
        </w:rPr>
        <w:t>u</w:t>
      </w:r>
      <w:r>
        <w:rPr>
          <w:w w:val="110"/>
        </w:rPr>
        <w:t>nidos</w:t>
      </w:r>
      <w:r>
        <w:rPr>
          <w:spacing w:val="10"/>
        </w:rPr>
        <w:t> </w:t>
      </w:r>
      <w:r>
        <w:rPr>
          <w:w w:val="107"/>
        </w:rPr>
        <w:t>sobre</w:t>
      </w:r>
      <w:r>
        <w:rPr>
          <w:spacing w:val="10"/>
        </w:rPr>
        <w:t> </w:t>
      </w:r>
      <w:r>
        <w:rPr>
          <w:w w:val="139"/>
        </w:rPr>
        <w:t>a</w:t>
      </w:r>
      <w:r>
        <w:rPr>
          <w:w w:val="111"/>
        </w:rPr>
        <w:t>mérica</w:t>
      </w:r>
      <w:r>
        <w:rPr>
          <w:spacing w:val="10"/>
        </w:rPr>
        <w:t> </w:t>
      </w:r>
      <w:r>
        <w:rPr>
          <w:w w:val="243"/>
        </w:rPr>
        <w:t>l</w:t>
      </w:r>
      <w:r>
        <w:rPr>
          <w:w w:val="111"/>
        </w:rPr>
        <w:t>atina</w:t>
      </w:r>
      <w:r>
        <w:rPr>
          <w:spacing w:val="10"/>
        </w:rPr>
        <w:t> </w:t>
      </w:r>
      <w:r>
        <w:rPr>
          <w:w w:val="105"/>
        </w:rPr>
        <w:t>y</w:t>
      </w:r>
      <w:r>
        <w:rPr>
          <w:spacing w:val="10"/>
        </w:rPr>
        <w:t> </w:t>
      </w:r>
      <w:r>
        <w:rPr>
          <w:w w:val="107"/>
        </w:rPr>
        <w:t>el</w:t>
      </w:r>
      <w:r>
        <w:rPr>
          <w:spacing w:val="10"/>
        </w:rPr>
        <w:t> </w:t>
      </w:r>
      <w:r>
        <w:rPr>
          <w:w w:val="114"/>
        </w:rPr>
        <w:t>Caribe.</w:t>
      </w:r>
      <w:r>
        <w:rPr>
          <w:spacing w:val="10"/>
        </w:rPr>
        <w:t> </w:t>
      </w:r>
      <w:r>
        <w:rPr>
          <w:w w:val="111"/>
        </w:rPr>
        <w:t>Permite,</w:t>
      </w:r>
      <w:r>
        <w:rPr>
          <w:spacing w:val="10"/>
        </w:rPr>
        <w:t> </w:t>
      </w:r>
      <w:r>
        <w:rPr>
          <w:w w:val="112"/>
        </w:rPr>
        <w:t>asimismo, </w:t>
      </w:r>
      <w:r>
        <w:rPr>
          <w:w w:val="115"/>
        </w:rPr>
        <w:t>comprender</w:t>
      </w:r>
      <w:r>
        <w:rPr>
          <w:spacing w:val="-11"/>
          <w:w w:val="115"/>
        </w:rPr>
        <w:t> </w:t>
      </w:r>
      <w:r>
        <w:rPr>
          <w:w w:val="115"/>
        </w:rPr>
        <w:t>las</w:t>
      </w:r>
      <w:r>
        <w:rPr>
          <w:spacing w:val="-11"/>
          <w:w w:val="115"/>
        </w:rPr>
        <w:t> </w:t>
      </w:r>
      <w:r>
        <w:rPr>
          <w:w w:val="115"/>
        </w:rPr>
        <w:t>victorias</w:t>
      </w:r>
      <w:r>
        <w:rPr>
          <w:spacing w:val="-11"/>
          <w:w w:val="115"/>
        </w:rPr>
        <w:t> </w:t>
      </w:r>
      <w:r>
        <w:rPr>
          <w:w w:val="115"/>
        </w:rPr>
        <w:t>norteamericanas,</w:t>
      </w:r>
      <w:r>
        <w:rPr>
          <w:spacing w:val="-11"/>
          <w:w w:val="115"/>
        </w:rPr>
        <w:t> </w:t>
      </w:r>
      <w:r>
        <w:rPr>
          <w:w w:val="115"/>
        </w:rPr>
        <w:t>pero</w:t>
      </w:r>
      <w:r>
        <w:rPr>
          <w:spacing w:val="-11"/>
          <w:w w:val="115"/>
        </w:rPr>
        <w:t> </w:t>
      </w:r>
      <w:r>
        <w:rPr>
          <w:w w:val="115"/>
        </w:rPr>
        <w:t>también</w:t>
      </w:r>
      <w:r>
        <w:rPr>
          <w:spacing w:val="-11"/>
          <w:w w:val="115"/>
        </w:rPr>
        <w:t> </w:t>
      </w:r>
      <w:r>
        <w:rPr>
          <w:w w:val="115"/>
        </w:rPr>
        <w:t>las</w:t>
      </w:r>
      <w:r>
        <w:rPr>
          <w:spacing w:val="-11"/>
          <w:w w:val="115"/>
        </w:rPr>
        <w:t> </w:t>
      </w:r>
      <w:r>
        <w:rPr>
          <w:w w:val="115"/>
        </w:rPr>
        <w:t>dimen- siones</w:t>
      </w:r>
      <w:r>
        <w:rPr>
          <w:spacing w:val="-17"/>
          <w:w w:val="115"/>
        </w:rPr>
        <w:t> </w:t>
      </w:r>
      <w:r>
        <w:rPr>
          <w:w w:val="115"/>
        </w:rPr>
        <w:t>de</w:t>
      </w:r>
      <w:r>
        <w:rPr>
          <w:spacing w:val="-17"/>
          <w:w w:val="115"/>
        </w:rPr>
        <w:t> </w:t>
      </w:r>
      <w:r>
        <w:rPr>
          <w:w w:val="115"/>
        </w:rPr>
        <w:t>la</w:t>
      </w:r>
      <w:r>
        <w:rPr>
          <w:spacing w:val="-17"/>
          <w:w w:val="115"/>
        </w:rPr>
        <w:t> </w:t>
      </w:r>
      <w:r>
        <w:rPr>
          <w:w w:val="115"/>
        </w:rPr>
        <w:t>crisis</w:t>
      </w:r>
      <w:r>
        <w:rPr>
          <w:spacing w:val="-17"/>
          <w:w w:val="115"/>
        </w:rPr>
        <w:t> </w:t>
      </w:r>
      <w:r>
        <w:rPr>
          <w:w w:val="115"/>
        </w:rPr>
        <w:t>capitalista</w:t>
      </w:r>
      <w:r>
        <w:rPr>
          <w:spacing w:val="-17"/>
          <w:w w:val="115"/>
        </w:rPr>
        <w:t> </w:t>
      </w:r>
      <w:r>
        <w:rPr>
          <w:w w:val="115"/>
        </w:rPr>
        <w:t>que</w:t>
      </w:r>
      <w:r>
        <w:rPr>
          <w:spacing w:val="-17"/>
          <w:w w:val="115"/>
        </w:rPr>
        <w:t> </w:t>
      </w:r>
      <w:r>
        <w:rPr>
          <w:w w:val="115"/>
        </w:rPr>
        <w:t>estamos</w:t>
      </w:r>
      <w:r>
        <w:rPr>
          <w:spacing w:val="-17"/>
          <w:w w:val="115"/>
        </w:rPr>
        <w:t> </w:t>
      </w:r>
      <w:r>
        <w:rPr>
          <w:w w:val="115"/>
        </w:rPr>
        <w:t>viviendo</w:t>
      </w:r>
      <w:r>
        <w:rPr>
          <w:spacing w:val="-17"/>
          <w:w w:val="115"/>
        </w:rPr>
        <w:t> </w:t>
      </w:r>
      <w:r>
        <w:rPr>
          <w:w w:val="115"/>
        </w:rPr>
        <w:t>y</w:t>
      </w:r>
      <w:r>
        <w:rPr>
          <w:spacing w:val="-17"/>
          <w:w w:val="115"/>
        </w:rPr>
        <w:t> </w:t>
      </w:r>
      <w:r>
        <w:rPr>
          <w:w w:val="115"/>
        </w:rPr>
        <w:t>las</w:t>
      </w:r>
      <w:r>
        <w:rPr>
          <w:spacing w:val="-17"/>
          <w:w w:val="115"/>
        </w:rPr>
        <w:t> </w:t>
      </w:r>
      <w:r>
        <w:rPr>
          <w:w w:val="115"/>
        </w:rPr>
        <w:t>derrotas</w:t>
      </w:r>
      <w:r>
        <w:rPr>
          <w:spacing w:val="-17"/>
          <w:w w:val="115"/>
        </w:rPr>
        <w:t> </w:t>
      </w:r>
      <w:r>
        <w:rPr>
          <w:w w:val="115"/>
        </w:rPr>
        <w:t>que le</w:t>
      </w:r>
      <w:r>
        <w:rPr>
          <w:spacing w:val="-24"/>
          <w:w w:val="115"/>
        </w:rPr>
        <w:t> </w:t>
      </w:r>
      <w:r>
        <w:rPr>
          <w:w w:val="115"/>
        </w:rPr>
        <w:t>han</w:t>
      </w:r>
      <w:r>
        <w:rPr>
          <w:spacing w:val="-24"/>
          <w:w w:val="115"/>
        </w:rPr>
        <w:t> </w:t>
      </w:r>
      <w:r>
        <w:rPr>
          <w:w w:val="115"/>
        </w:rPr>
        <w:t>impreso</w:t>
      </w:r>
      <w:r>
        <w:rPr>
          <w:spacing w:val="-24"/>
          <w:w w:val="115"/>
        </w:rPr>
        <w:t> </w:t>
      </w:r>
      <w:r>
        <w:rPr>
          <w:w w:val="115"/>
        </w:rPr>
        <w:t>los</w:t>
      </w:r>
      <w:r>
        <w:rPr>
          <w:spacing w:val="-24"/>
          <w:w w:val="115"/>
        </w:rPr>
        <w:t> </w:t>
      </w:r>
      <w:r>
        <w:rPr>
          <w:w w:val="115"/>
        </w:rPr>
        <w:t>gobiernos</w:t>
      </w:r>
      <w:r>
        <w:rPr>
          <w:spacing w:val="-24"/>
          <w:w w:val="115"/>
        </w:rPr>
        <w:t> </w:t>
      </w:r>
      <w:r>
        <w:rPr>
          <w:w w:val="115"/>
        </w:rPr>
        <w:t>populares</w:t>
      </w:r>
      <w:r>
        <w:rPr>
          <w:spacing w:val="-24"/>
          <w:w w:val="115"/>
        </w:rPr>
        <w:t> </w:t>
      </w:r>
      <w:r>
        <w:rPr>
          <w:w w:val="115"/>
        </w:rPr>
        <w:t>al</w:t>
      </w:r>
      <w:r>
        <w:rPr>
          <w:spacing w:val="-24"/>
          <w:w w:val="115"/>
        </w:rPr>
        <w:t> </w:t>
      </w:r>
      <w:r>
        <w:rPr>
          <w:w w:val="115"/>
        </w:rPr>
        <w:t>intervencionismo</w:t>
      </w:r>
      <w:r>
        <w:rPr>
          <w:spacing w:val="-24"/>
          <w:w w:val="115"/>
        </w:rPr>
        <w:t> </w:t>
      </w:r>
      <w:r>
        <w:rPr>
          <w:w w:val="115"/>
        </w:rPr>
        <w:t>estadou- nidense,</w:t>
      </w:r>
      <w:r>
        <w:rPr>
          <w:spacing w:val="-19"/>
          <w:w w:val="115"/>
        </w:rPr>
        <w:t> </w:t>
      </w:r>
      <w:r>
        <w:rPr>
          <w:w w:val="115"/>
        </w:rPr>
        <w:t>algunas</w:t>
      </w:r>
      <w:r>
        <w:rPr>
          <w:spacing w:val="-19"/>
          <w:w w:val="115"/>
        </w:rPr>
        <w:t> </w:t>
      </w:r>
      <w:r>
        <w:rPr>
          <w:w w:val="115"/>
        </w:rPr>
        <w:t>de</w:t>
      </w:r>
      <w:r>
        <w:rPr>
          <w:spacing w:val="-19"/>
          <w:w w:val="115"/>
        </w:rPr>
        <w:t> </w:t>
      </w:r>
      <w:r>
        <w:rPr>
          <w:w w:val="115"/>
        </w:rPr>
        <w:t>ellas</w:t>
      </w:r>
      <w:r>
        <w:rPr>
          <w:spacing w:val="-19"/>
          <w:w w:val="115"/>
        </w:rPr>
        <w:t> </w:t>
      </w:r>
      <w:r>
        <w:rPr>
          <w:w w:val="115"/>
        </w:rPr>
        <w:t>muy</w:t>
      </w:r>
      <w:r>
        <w:rPr>
          <w:spacing w:val="-19"/>
          <w:w w:val="115"/>
        </w:rPr>
        <w:t> </w:t>
      </w:r>
      <w:r>
        <w:rPr>
          <w:w w:val="115"/>
        </w:rPr>
        <w:t>vigorosas</w:t>
      </w:r>
      <w:r>
        <w:rPr>
          <w:spacing w:val="-19"/>
          <w:w w:val="115"/>
        </w:rPr>
        <w:t> </w:t>
      </w:r>
      <w:r>
        <w:rPr>
          <w:w w:val="115"/>
        </w:rPr>
        <w:t>y</w:t>
      </w:r>
      <w:r>
        <w:rPr>
          <w:spacing w:val="-19"/>
          <w:w w:val="115"/>
        </w:rPr>
        <w:t> </w:t>
      </w:r>
      <w:r>
        <w:rPr>
          <w:w w:val="115"/>
        </w:rPr>
        <w:t>de</w:t>
      </w:r>
      <w:r>
        <w:rPr>
          <w:spacing w:val="-19"/>
          <w:w w:val="115"/>
        </w:rPr>
        <w:t> </w:t>
      </w:r>
      <w:r>
        <w:rPr>
          <w:w w:val="115"/>
        </w:rPr>
        <w:t>alcances</w:t>
      </w:r>
      <w:r>
        <w:rPr>
          <w:spacing w:val="-19"/>
          <w:w w:val="115"/>
        </w:rPr>
        <w:t> </w:t>
      </w:r>
      <w:r>
        <w:rPr>
          <w:w w:val="115"/>
        </w:rPr>
        <w:t>casi</w:t>
      </w:r>
      <w:r>
        <w:rPr>
          <w:spacing w:val="-19"/>
          <w:w w:val="115"/>
        </w:rPr>
        <w:t> </w:t>
      </w:r>
      <w:r>
        <w:rPr>
          <w:w w:val="115"/>
        </w:rPr>
        <w:t>inimagina- bles</w:t>
      </w:r>
      <w:r>
        <w:rPr>
          <w:spacing w:val="-23"/>
          <w:w w:val="115"/>
        </w:rPr>
        <w:t> </w:t>
      </w:r>
      <w:r>
        <w:rPr>
          <w:w w:val="115"/>
        </w:rPr>
        <w:t>algunos</w:t>
      </w:r>
      <w:r>
        <w:rPr>
          <w:spacing w:val="-23"/>
          <w:w w:val="115"/>
        </w:rPr>
        <w:t> </w:t>
      </w:r>
      <w:r>
        <w:rPr>
          <w:w w:val="115"/>
        </w:rPr>
        <w:t>años</w:t>
      </w:r>
      <w:r>
        <w:rPr>
          <w:spacing w:val="-23"/>
          <w:w w:val="115"/>
        </w:rPr>
        <w:t> </w:t>
      </w:r>
      <w:r>
        <w:rPr>
          <w:w w:val="115"/>
        </w:rPr>
        <w:t>atrás.</w:t>
      </w:r>
    </w:p>
    <w:p>
      <w:pPr>
        <w:pStyle w:val="BodyText"/>
        <w:spacing w:line="252" w:lineRule="auto"/>
        <w:ind w:left="100" w:right="327" w:firstLine="396"/>
        <w:jc w:val="both"/>
      </w:pPr>
      <w:r>
        <w:rPr>
          <w:w w:val="110"/>
        </w:rPr>
        <w:t>Ha pasado una década y estamos asistiendo a un reposiciona- </w:t>
      </w:r>
      <w:r>
        <w:rPr>
          <w:w w:val="110"/>
        </w:rPr>
        <w:t>miento</w:t>
      </w:r>
      <w:r>
        <w:rPr/>
        <w:t> </w:t>
      </w:r>
      <w:r>
        <w:rPr>
          <w:spacing w:val="-15"/>
        </w:rPr>
        <w:t> </w:t>
      </w:r>
      <w:r>
        <w:rPr>
          <w:w w:val="108"/>
        </w:rPr>
        <w:t>estratégico</w:t>
      </w:r>
      <w:r>
        <w:rPr/>
        <w:t> </w:t>
      </w:r>
      <w:r>
        <w:rPr>
          <w:spacing w:val="-15"/>
        </w:rPr>
        <w:t> </w:t>
      </w:r>
      <w:r>
        <w:rPr>
          <w:w w:val="107"/>
        </w:rPr>
        <w:t>de</w:t>
      </w:r>
      <w:r>
        <w:rPr/>
        <w:t> </w:t>
      </w:r>
      <w:r>
        <w:rPr>
          <w:spacing w:val="-15"/>
        </w:rPr>
        <w:t> </w:t>
      </w:r>
      <w:r>
        <w:rPr>
          <w:w w:val="108"/>
        </w:rPr>
        <w:t>los</w:t>
      </w:r>
      <w:r>
        <w:rPr/>
        <w:t> </w:t>
      </w:r>
      <w:r>
        <w:rPr>
          <w:spacing w:val="-15"/>
        </w:rPr>
        <w:t> </w:t>
      </w:r>
      <w:r>
        <w:rPr>
          <w:w w:val="111"/>
        </w:rPr>
        <w:t>Estados</w:t>
      </w:r>
      <w:r>
        <w:rPr/>
        <w:t> </w:t>
      </w:r>
      <w:r>
        <w:rPr>
          <w:spacing w:val="-15"/>
        </w:rPr>
        <w:t> </w:t>
      </w:r>
      <w:r>
        <w:rPr>
          <w:w w:val="140"/>
        </w:rPr>
        <w:t>u</w:t>
      </w:r>
      <w:r>
        <w:rPr>
          <w:w w:val="110"/>
        </w:rPr>
        <w:t>nidos</w:t>
      </w:r>
      <w:r>
        <w:rPr/>
        <w:t> </w:t>
      </w:r>
      <w:r>
        <w:rPr>
          <w:spacing w:val="-15"/>
        </w:rPr>
        <w:t> </w:t>
      </w:r>
      <w:r>
        <w:rPr>
          <w:w w:val="108"/>
        </w:rPr>
        <w:t>en</w:t>
      </w:r>
      <w:r>
        <w:rPr/>
        <w:t> </w:t>
      </w:r>
      <w:r>
        <w:rPr>
          <w:spacing w:val="-15"/>
        </w:rPr>
        <w:t> </w:t>
      </w:r>
      <w:r>
        <w:rPr>
          <w:w w:val="108"/>
        </w:rPr>
        <w:t>nuestra</w:t>
      </w:r>
      <w:r>
        <w:rPr/>
        <w:t> </w:t>
      </w:r>
      <w:r>
        <w:rPr>
          <w:spacing w:val="-15"/>
        </w:rPr>
        <w:t> </w:t>
      </w:r>
      <w:r>
        <w:rPr>
          <w:w w:val="111"/>
        </w:rPr>
        <w:t>región.</w:t>
      </w:r>
      <w:r>
        <w:rPr/>
        <w:t> </w:t>
      </w:r>
      <w:r>
        <w:rPr>
          <w:spacing w:val="-15"/>
        </w:rPr>
        <w:t> </w:t>
      </w:r>
      <w:r>
        <w:rPr>
          <w:w w:val="243"/>
        </w:rPr>
        <w:t>l</w:t>
      </w:r>
      <w:r>
        <w:rPr>
          <w:w w:val="109"/>
        </w:rPr>
        <w:t>as</w:t>
      </w:r>
      <w:r>
        <w:rPr/>
        <w:t> </w:t>
      </w:r>
      <w:r>
        <w:rPr>
          <w:spacing w:val="-15"/>
        </w:rPr>
        <w:t> </w:t>
      </w:r>
      <w:r>
        <w:rPr>
          <w:w w:val="107"/>
        </w:rPr>
        <w:t>de</w:t>
      </w:r>
      <w:r>
        <w:rPr>
          <w:w w:val="102"/>
        </w:rPr>
        <w:t>- </w:t>
      </w:r>
      <w:r>
        <w:rPr>
          <w:w w:val="110"/>
        </w:rPr>
        <w:t>rrotas electorales y las crisis políticas de los gobiernos progresistas   le han permitido al gobierno norteamericano ganar nuevo impulso   en sus ambiciones intervencionistas. El restablecimiento de las rela- ciones con Cuba, expresa un enorme avance en las históricas y  </w:t>
      </w:r>
      <w:r>
        <w:rPr>
          <w:spacing w:val="40"/>
          <w:w w:val="110"/>
        </w:rPr>
        <w:t> </w:t>
      </w:r>
      <w:r>
        <w:rPr>
          <w:w w:val="110"/>
        </w:rPr>
        <w:t>justas</w:t>
      </w:r>
    </w:p>
    <w:p>
      <w:pPr>
        <w:spacing w:after="0" w:line="252" w:lineRule="auto"/>
        <w:jc w:val="both"/>
        <w:sectPr>
          <w:headerReference w:type="even" r:id="rId41"/>
          <w:pgSz w:w="8790" w:h="12760"/>
          <w:pgMar w:header="0" w:footer="725" w:top="640" w:bottom="920" w:left="920" w:right="1200"/>
        </w:sectPr>
      </w:pPr>
    </w:p>
    <w:p>
      <w:pPr>
        <w:pStyle w:val="BodyText"/>
        <w:spacing w:before="7"/>
        <w:rPr>
          <w:sz w:val="28"/>
        </w:rPr>
      </w:pPr>
    </w:p>
    <w:p>
      <w:pPr>
        <w:pStyle w:val="BodyText"/>
        <w:spacing w:line="252" w:lineRule="auto" w:before="73"/>
        <w:ind w:left="330" w:right="117"/>
        <w:jc w:val="both"/>
      </w:pPr>
      <w:r>
        <w:rPr>
          <w:w w:val="115"/>
        </w:rPr>
        <w:t>reivindicaciones de soberanía y autonomía del pueblo cubano con- tra</w:t>
      </w:r>
      <w:r>
        <w:rPr>
          <w:spacing w:val="-10"/>
          <w:w w:val="115"/>
        </w:rPr>
        <w:t> </w:t>
      </w:r>
      <w:r>
        <w:rPr>
          <w:w w:val="115"/>
        </w:rPr>
        <w:t>el</w:t>
      </w:r>
      <w:r>
        <w:rPr>
          <w:spacing w:val="-10"/>
          <w:w w:val="115"/>
        </w:rPr>
        <w:t> </w:t>
      </w:r>
      <w:r>
        <w:rPr>
          <w:w w:val="115"/>
        </w:rPr>
        <w:t>bloqueo</w:t>
      </w:r>
      <w:r>
        <w:rPr>
          <w:spacing w:val="-10"/>
          <w:w w:val="115"/>
        </w:rPr>
        <w:t> </w:t>
      </w:r>
      <w:r>
        <w:rPr>
          <w:w w:val="115"/>
        </w:rPr>
        <w:t>impuesto</w:t>
      </w:r>
      <w:r>
        <w:rPr>
          <w:spacing w:val="-10"/>
          <w:w w:val="115"/>
        </w:rPr>
        <w:t> </w:t>
      </w:r>
      <w:r>
        <w:rPr>
          <w:w w:val="115"/>
        </w:rPr>
        <w:t>más</w:t>
      </w:r>
      <w:r>
        <w:rPr>
          <w:spacing w:val="-10"/>
          <w:w w:val="115"/>
        </w:rPr>
        <w:t> </w:t>
      </w:r>
      <w:r>
        <w:rPr>
          <w:w w:val="115"/>
        </w:rPr>
        <w:t>de</w:t>
      </w:r>
      <w:r>
        <w:rPr>
          <w:spacing w:val="-10"/>
          <w:w w:val="115"/>
        </w:rPr>
        <w:t> </w:t>
      </w:r>
      <w:r>
        <w:rPr>
          <w:w w:val="115"/>
        </w:rPr>
        <w:t>50</w:t>
      </w:r>
      <w:r>
        <w:rPr>
          <w:spacing w:val="-10"/>
          <w:w w:val="115"/>
        </w:rPr>
        <w:t> </w:t>
      </w:r>
      <w:r>
        <w:rPr>
          <w:w w:val="115"/>
        </w:rPr>
        <w:t>años</w:t>
      </w:r>
      <w:r>
        <w:rPr>
          <w:spacing w:val="-10"/>
          <w:w w:val="115"/>
        </w:rPr>
        <w:t> </w:t>
      </w:r>
      <w:r>
        <w:rPr>
          <w:w w:val="115"/>
        </w:rPr>
        <w:t>atrás,</w:t>
      </w:r>
      <w:r>
        <w:rPr>
          <w:spacing w:val="-10"/>
          <w:w w:val="115"/>
        </w:rPr>
        <w:t> </w:t>
      </w:r>
      <w:r>
        <w:rPr>
          <w:w w:val="115"/>
        </w:rPr>
        <w:t>aunque</w:t>
      </w:r>
      <w:r>
        <w:rPr>
          <w:spacing w:val="-10"/>
          <w:w w:val="115"/>
        </w:rPr>
        <w:t> </w:t>
      </w:r>
      <w:r>
        <w:rPr>
          <w:w w:val="115"/>
        </w:rPr>
        <w:t>también</w:t>
      </w:r>
      <w:r>
        <w:rPr>
          <w:spacing w:val="-10"/>
          <w:w w:val="115"/>
        </w:rPr>
        <w:t> </w:t>
      </w:r>
      <w:r>
        <w:rPr>
          <w:w w:val="115"/>
        </w:rPr>
        <w:t>pone de</w:t>
      </w:r>
      <w:r>
        <w:rPr>
          <w:spacing w:val="-18"/>
          <w:w w:val="115"/>
        </w:rPr>
        <w:t> </w:t>
      </w:r>
      <w:r>
        <w:rPr>
          <w:w w:val="115"/>
        </w:rPr>
        <w:t>relevancia</w:t>
      </w:r>
      <w:r>
        <w:rPr>
          <w:spacing w:val="-18"/>
          <w:w w:val="115"/>
        </w:rPr>
        <w:t> </w:t>
      </w:r>
      <w:r>
        <w:rPr>
          <w:w w:val="115"/>
        </w:rPr>
        <w:t>la</w:t>
      </w:r>
      <w:r>
        <w:rPr>
          <w:spacing w:val="-18"/>
          <w:w w:val="115"/>
        </w:rPr>
        <w:t> </w:t>
      </w:r>
      <w:r>
        <w:rPr>
          <w:w w:val="115"/>
        </w:rPr>
        <w:t>mutación</w:t>
      </w:r>
      <w:r>
        <w:rPr>
          <w:spacing w:val="-18"/>
          <w:w w:val="115"/>
        </w:rPr>
        <w:t> </w:t>
      </w:r>
      <w:r>
        <w:rPr>
          <w:w w:val="115"/>
        </w:rPr>
        <w:t>de</w:t>
      </w:r>
      <w:r>
        <w:rPr>
          <w:spacing w:val="-18"/>
          <w:w w:val="115"/>
        </w:rPr>
        <w:t> </w:t>
      </w:r>
      <w:r>
        <w:rPr>
          <w:w w:val="115"/>
        </w:rPr>
        <w:t>la</w:t>
      </w:r>
      <w:r>
        <w:rPr>
          <w:spacing w:val="-18"/>
          <w:w w:val="115"/>
        </w:rPr>
        <w:t> </w:t>
      </w:r>
      <w:r>
        <w:rPr>
          <w:w w:val="115"/>
        </w:rPr>
        <w:t>estrategia</w:t>
      </w:r>
      <w:r>
        <w:rPr>
          <w:spacing w:val="-18"/>
          <w:w w:val="115"/>
        </w:rPr>
        <w:t> </w:t>
      </w:r>
      <w:r>
        <w:rPr>
          <w:w w:val="115"/>
        </w:rPr>
        <w:t>de</w:t>
      </w:r>
      <w:r>
        <w:rPr>
          <w:spacing w:val="-18"/>
          <w:w w:val="115"/>
        </w:rPr>
        <w:t> </w:t>
      </w:r>
      <w:r>
        <w:rPr>
          <w:w w:val="115"/>
        </w:rPr>
        <w:t>intervención</w:t>
      </w:r>
      <w:r>
        <w:rPr>
          <w:spacing w:val="-18"/>
          <w:w w:val="115"/>
        </w:rPr>
        <w:t> </w:t>
      </w:r>
      <w:r>
        <w:rPr>
          <w:w w:val="115"/>
        </w:rPr>
        <w:t>de</w:t>
      </w:r>
      <w:r>
        <w:rPr>
          <w:spacing w:val="-18"/>
          <w:w w:val="115"/>
        </w:rPr>
        <w:t> </w:t>
      </w:r>
      <w:r>
        <w:rPr>
          <w:w w:val="115"/>
        </w:rPr>
        <w:t>Estados </w:t>
      </w:r>
      <w:r>
        <w:rPr>
          <w:w w:val="140"/>
        </w:rPr>
        <w:t>u</w:t>
      </w:r>
      <w:r>
        <w:rPr>
          <w:w w:val="110"/>
        </w:rPr>
        <w:t>nidos</w:t>
      </w:r>
      <w:r>
        <w:rPr/>
        <w:t> </w:t>
      </w:r>
      <w:r>
        <w:rPr>
          <w:spacing w:val="-18"/>
        </w:rPr>
        <w:t> </w:t>
      </w:r>
      <w:r>
        <w:rPr>
          <w:w w:val="108"/>
        </w:rPr>
        <w:t>en</w:t>
      </w:r>
      <w:r>
        <w:rPr/>
        <w:t> </w:t>
      </w:r>
      <w:r>
        <w:rPr>
          <w:spacing w:val="-18"/>
        </w:rPr>
        <w:t> </w:t>
      </w:r>
      <w:r>
        <w:rPr>
          <w:w w:val="107"/>
        </w:rPr>
        <w:t>el</w:t>
      </w:r>
      <w:r>
        <w:rPr/>
        <w:t> </w:t>
      </w:r>
      <w:r>
        <w:rPr>
          <w:spacing w:val="-18"/>
        </w:rPr>
        <w:t> </w:t>
      </w:r>
      <w:r>
        <w:rPr>
          <w:w w:val="111"/>
        </w:rPr>
        <w:t>continente.</w:t>
      </w:r>
      <w:r>
        <w:rPr/>
        <w:t> </w:t>
      </w:r>
      <w:r>
        <w:rPr>
          <w:spacing w:val="-18"/>
        </w:rPr>
        <w:t> </w:t>
      </w:r>
      <w:r>
        <w:rPr>
          <w:w w:val="243"/>
        </w:rPr>
        <w:t>l</w:t>
      </w:r>
      <w:r>
        <w:rPr>
          <w:w w:val="112"/>
        </w:rPr>
        <w:t>a</w:t>
      </w:r>
      <w:r>
        <w:rPr/>
        <w:t> </w:t>
      </w:r>
      <w:r>
        <w:rPr>
          <w:spacing w:val="-18"/>
        </w:rPr>
        <w:t> </w:t>
      </w:r>
      <w:r>
        <w:rPr>
          <w:w w:val="110"/>
        </w:rPr>
        <w:t>reaproximación</w:t>
      </w:r>
      <w:r>
        <w:rPr/>
        <w:t> </w:t>
      </w:r>
      <w:r>
        <w:rPr>
          <w:spacing w:val="-18"/>
        </w:rPr>
        <w:t> </w:t>
      </w:r>
      <w:r>
        <w:rPr>
          <w:w w:val="106"/>
        </w:rPr>
        <w:t>entre</w:t>
      </w:r>
      <w:r>
        <w:rPr/>
        <w:t> </w:t>
      </w:r>
      <w:r>
        <w:rPr>
          <w:spacing w:val="-18"/>
        </w:rPr>
        <w:t> </w:t>
      </w:r>
      <w:r>
        <w:rPr>
          <w:w w:val="108"/>
        </w:rPr>
        <w:t>los</w:t>
      </w:r>
      <w:r>
        <w:rPr/>
        <w:t> </w:t>
      </w:r>
      <w:r>
        <w:rPr>
          <w:spacing w:val="-18"/>
        </w:rPr>
        <w:t> </w:t>
      </w:r>
      <w:r>
        <w:rPr>
          <w:w w:val="109"/>
        </w:rPr>
        <w:t>gobiernos</w:t>
      </w:r>
      <w:r>
        <w:rPr/>
        <w:t> </w:t>
      </w:r>
      <w:r>
        <w:rPr>
          <w:spacing w:val="-18"/>
        </w:rPr>
        <w:t> </w:t>
      </w:r>
      <w:r>
        <w:rPr>
          <w:w w:val="109"/>
        </w:rPr>
        <w:t>no</w:t>
      </w:r>
      <w:r>
        <w:rPr>
          <w:spacing w:val="-14"/>
          <w:w w:val="109"/>
        </w:rPr>
        <w:t>r</w:t>
      </w:r>
      <w:r>
        <w:rPr>
          <w:w w:val="102"/>
        </w:rPr>
        <w:t>- </w:t>
      </w:r>
      <w:r>
        <w:rPr>
          <w:w w:val="115"/>
        </w:rPr>
        <w:t>teamericano y cubano debe ser interpretada como uno de los más </w:t>
      </w:r>
      <w:r>
        <w:rPr>
          <w:w w:val="110"/>
        </w:rPr>
        <w:t>evidentes y relevantes triunfos de revolucionarios de esa pequeña isla </w:t>
      </w:r>
      <w:r>
        <w:rPr>
          <w:w w:val="115"/>
        </w:rPr>
        <w:t>del</w:t>
      </w:r>
      <w:r>
        <w:rPr>
          <w:spacing w:val="-8"/>
          <w:w w:val="115"/>
        </w:rPr>
        <w:t> </w:t>
      </w:r>
      <w:r>
        <w:rPr>
          <w:w w:val="115"/>
        </w:rPr>
        <w:t>Caribe,</w:t>
      </w:r>
      <w:r>
        <w:rPr>
          <w:spacing w:val="-8"/>
          <w:w w:val="115"/>
        </w:rPr>
        <w:t> </w:t>
      </w:r>
      <w:r>
        <w:rPr>
          <w:w w:val="115"/>
        </w:rPr>
        <w:t>pero</w:t>
      </w:r>
      <w:r>
        <w:rPr>
          <w:spacing w:val="-8"/>
          <w:w w:val="115"/>
        </w:rPr>
        <w:t> </w:t>
      </w:r>
      <w:r>
        <w:rPr>
          <w:w w:val="115"/>
        </w:rPr>
        <w:t>también</w:t>
      </w:r>
      <w:r>
        <w:rPr>
          <w:spacing w:val="-8"/>
          <w:w w:val="115"/>
        </w:rPr>
        <w:t> </w:t>
      </w:r>
      <w:r>
        <w:rPr>
          <w:w w:val="115"/>
        </w:rPr>
        <w:t>como</w:t>
      </w:r>
      <w:r>
        <w:rPr>
          <w:spacing w:val="-8"/>
          <w:w w:val="115"/>
        </w:rPr>
        <w:t> </w:t>
      </w:r>
      <w:r>
        <w:rPr>
          <w:w w:val="115"/>
        </w:rPr>
        <w:t>el</w:t>
      </w:r>
      <w:r>
        <w:rPr>
          <w:spacing w:val="-8"/>
          <w:w w:val="115"/>
        </w:rPr>
        <w:t> </w:t>
      </w:r>
      <w:r>
        <w:rPr>
          <w:w w:val="115"/>
        </w:rPr>
        <w:t>inicio</w:t>
      </w:r>
      <w:r>
        <w:rPr>
          <w:spacing w:val="-8"/>
          <w:w w:val="115"/>
        </w:rPr>
        <w:t> </w:t>
      </w:r>
      <w:r>
        <w:rPr>
          <w:w w:val="115"/>
        </w:rPr>
        <w:t>de</w:t>
      </w:r>
      <w:r>
        <w:rPr>
          <w:spacing w:val="-8"/>
          <w:w w:val="115"/>
        </w:rPr>
        <w:t> </w:t>
      </w:r>
      <w:r>
        <w:rPr>
          <w:w w:val="115"/>
        </w:rPr>
        <w:t>una</w:t>
      </w:r>
      <w:r>
        <w:rPr>
          <w:spacing w:val="-8"/>
          <w:w w:val="115"/>
        </w:rPr>
        <w:t> </w:t>
      </w:r>
      <w:r>
        <w:rPr>
          <w:w w:val="115"/>
        </w:rPr>
        <w:t>nueva</w:t>
      </w:r>
      <w:r>
        <w:rPr>
          <w:spacing w:val="-8"/>
          <w:w w:val="115"/>
        </w:rPr>
        <w:t> </w:t>
      </w:r>
      <w:r>
        <w:rPr>
          <w:w w:val="115"/>
        </w:rPr>
        <w:t>y</w:t>
      </w:r>
      <w:r>
        <w:rPr>
          <w:spacing w:val="-8"/>
          <w:w w:val="115"/>
        </w:rPr>
        <w:t> </w:t>
      </w:r>
      <w:r>
        <w:rPr>
          <w:w w:val="115"/>
        </w:rPr>
        <w:t>también</w:t>
      </w:r>
      <w:r>
        <w:rPr>
          <w:spacing w:val="-8"/>
          <w:w w:val="115"/>
        </w:rPr>
        <w:t> </w:t>
      </w:r>
      <w:r>
        <w:rPr>
          <w:w w:val="115"/>
        </w:rPr>
        <w:t>más compleja</w:t>
      </w:r>
      <w:r>
        <w:rPr>
          <w:spacing w:val="-10"/>
          <w:w w:val="115"/>
        </w:rPr>
        <w:t> </w:t>
      </w:r>
      <w:r>
        <w:rPr>
          <w:w w:val="115"/>
        </w:rPr>
        <w:t>forma</w:t>
      </w:r>
      <w:r>
        <w:rPr>
          <w:spacing w:val="-10"/>
          <w:w w:val="115"/>
        </w:rPr>
        <w:t> </w:t>
      </w:r>
      <w:r>
        <w:rPr>
          <w:w w:val="115"/>
        </w:rPr>
        <w:t>de</w:t>
      </w:r>
      <w:r>
        <w:rPr>
          <w:spacing w:val="-10"/>
          <w:w w:val="115"/>
        </w:rPr>
        <w:t> </w:t>
      </w:r>
      <w:r>
        <w:rPr>
          <w:w w:val="115"/>
        </w:rPr>
        <w:t>intervención</w:t>
      </w:r>
      <w:r>
        <w:rPr>
          <w:spacing w:val="-10"/>
          <w:w w:val="115"/>
        </w:rPr>
        <w:t> </w:t>
      </w:r>
      <w:r>
        <w:rPr>
          <w:w w:val="115"/>
        </w:rPr>
        <w:t>de</w:t>
      </w:r>
      <w:r>
        <w:rPr>
          <w:spacing w:val="-10"/>
          <w:w w:val="115"/>
        </w:rPr>
        <w:t> </w:t>
      </w:r>
      <w:r>
        <w:rPr>
          <w:w w:val="115"/>
        </w:rPr>
        <w:t>Estados</w:t>
      </w:r>
      <w:r>
        <w:rPr>
          <w:spacing w:val="-10"/>
          <w:w w:val="115"/>
        </w:rPr>
        <w:t> </w:t>
      </w:r>
      <w:r>
        <w:rPr>
          <w:w w:val="115"/>
        </w:rPr>
        <w:t>unidos</w:t>
      </w:r>
      <w:r>
        <w:rPr>
          <w:spacing w:val="-10"/>
          <w:w w:val="115"/>
        </w:rPr>
        <w:t> </w:t>
      </w:r>
      <w:r>
        <w:rPr>
          <w:w w:val="115"/>
        </w:rPr>
        <w:t>en</w:t>
      </w:r>
      <w:r>
        <w:rPr>
          <w:spacing w:val="-10"/>
          <w:w w:val="115"/>
        </w:rPr>
        <w:t> </w:t>
      </w:r>
      <w:r>
        <w:rPr>
          <w:w w:val="115"/>
        </w:rPr>
        <w:t>un</w:t>
      </w:r>
      <w:r>
        <w:rPr>
          <w:spacing w:val="-10"/>
          <w:w w:val="115"/>
        </w:rPr>
        <w:t> </w:t>
      </w:r>
      <w:r>
        <w:rPr>
          <w:w w:val="115"/>
        </w:rPr>
        <w:t>continente en el que aspira a imponer nuevamente su hegemonía. siempre los </w:t>
      </w:r>
      <w:r>
        <w:rPr>
          <w:w w:val="111"/>
        </w:rPr>
        <w:t>Estados</w:t>
      </w:r>
      <w:r>
        <w:rPr/>
        <w:t> </w:t>
      </w:r>
      <w:r>
        <w:rPr>
          <w:spacing w:val="-18"/>
        </w:rPr>
        <w:t> </w:t>
      </w:r>
      <w:r>
        <w:rPr>
          <w:w w:val="140"/>
        </w:rPr>
        <w:t>u</w:t>
      </w:r>
      <w:r>
        <w:rPr>
          <w:w w:val="110"/>
        </w:rPr>
        <w:t>nidos</w:t>
      </w:r>
      <w:r>
        <w:rPr/>
        <w:t> </w:t>
      </w:r>
      <w:r>
        <w:rPr>
          <w:spacing w:val="-18"/>
        </w:rPr>
        <w:t> </w:t>
      </w:r>
      <w:r>
        <w:rPr>
          <w:w w:val="109"/>
        </w:rPr>
        <w:t>necesitaron</w:t>
      </w:r>
      <w:r>
        <w:rPr/>
        <w:t> </w:t>
      </w:r>
      <w:r>
        <w:rPr>
          <w:spacing w:val="-18"/>
        </w:rPr>
        <w:t> </w:t>
      </w:r>
      <w:r>
        <w:rPr>
          <w:w w:val="109"/>
        </w:rPr>
        <w:t>subordinar</w:t>
      </w:r>
      <w:r>
        <w:rPr/>
        <w:t> </w:t>
      </w:r>
      <w:r>
        <w:rPr>
          <w:spacing w:val="-18"/>
        </w:rPr>
        <w:t> </w:t>
      </w:r>
      <w:r>
        <w:rPr>
          <w:w w:val="139"/>
        </w:rPr>
        <w:t>a</w:t>
      </w:r>
      <w:r>
        <w:rPr>
          <w:w w:val="111"/>
        </w:rPr>
        <w:t>mérica</w:t>
      </w:r>
      <w:r>
        <w:rPr/>
        <w:t> </w:t>
      </w:r>
      <w:r>
        <w:rPr>
          <w:spacing w:val="-18"/>
        </w:rPr>
        <w:t> </w:t>
      </w:r>
      <w:r>
        <w:rPr>
          <w:w w:val="243"/>
        </w:rPr>
        <w:t>l</w:t>
      </w:r>
      <w:r>
        <w:rPr>
          <w:w w:val="111"/>
        </w:rPr>
        <w:t>atina</w:t>
      </w:r>
      <w:r>
        <w:rPr/>
        <w:t> </w:t>
      </w:r>
      <w:r>
        <w:rPr>
          <w:spacing w:val="-18"/>
        </w:rPr>
        <w:t> </w:t>
      </w:r>
      <w:r>
        <w:rPr>
          <w:w w:val="112"/>
        </w:rPr>
        <w:t>a</w:t>
      </w:r>
      <w:r>
        <w:rPr/>
        <w:t> </w:t>
      </w:r>
      <w:r>
        <w:rPr>
          <w:spacing w:val="-18"/>
        </w:rPr>
        <w:t> </w:t>
      </w:r>
      <w:r>
        <w:rPr>
          <w:w w:val="108"/>
        </w:rPr>
        <w:t>sus</w:t>
      </w:r>
      <w:r>
        <w:rPr/>
        <w:t> </w:t>
      </w:r>
      <w:r>
        <w:rPr>
          <w:spacing w:val="-18"/>
        </w:rPr>
        <w:t> </w:t>
      </w:r>
      <w:r>
        <w:rPr>
          <w:w w:val="107"/>
        </w:rPr>
        <w:t>intere</w:t>
      </w:r>
      <w:r>
        <w:rPr>
          <w:w w:val="102"/>
        </w:rPr>
        <w:t>- </w:t>
      </w:r>
      <w:r>
        <w:rPr>
          <w:w w:val="105"/>
        </w:rPr>
        <w:t>ses</w:t>
      </w:r>
      <w:r>
        <w:rPr/>
        <w:t> </w:t>
      </w:r>
      <w:r>
        <w:rPr>
          <w:spacing w:val="-5"/>
        </w:rPr>
        <w:t> </w:t>
      </w:r>
      <w:r>
        <w:rPr>
          <w:w w:val="112"/>
        </w:rPr>
        <w:t>políticos,</w:t>
      </w:r>
      <w:r>
        <w:rPr/>
        <w:t> </w:t>
      </w:r>
      <w:r>
        <w:rPr>
          <w:spacing w:val="-5"/>
        </w:rPr>
        <w:t> </w:t>
      </w:r>
      <w:r>
        <w:rPr>
          <w:w w:val="111"/>
        </w:rPr>
        <w:t>comerciales,</w:t>
      </w:r>
      <w:r>
        <w:rPr/>
        <w:t> </w:t>
      </w:r>
      <w:r>
        <w:rPr>
          <w:spacing w:val="-5"/>
        </w:rPr>
        <w:t> </w:t>
      </w:r>
      <w:r>
        <w:rPr>
          <w:w w:val="109"/>
        </w:rPr>
        <w:t>militares</w:t>
      </w:r>
      <w:r>
        <w:rPr/>
        <w:t> </w:t>
      </w:r>
      <w:r>
        <w:rPr>
          <w:spacing w:val="-5"/>
        </w:rPr>
        <w:t> </w:t>
      </w:r>
      <w:r>
        <w:rPr>
          <w:w w:val="105"/>
        </w:rPr>
        <w:t>y</w:t>
      </w:r>
      <w:r>
        <w:rPr/>
        <w:t> </w:t>
      </w:r>
      <w:r>
        <w:rPr>
          <w:spacing w:val="-5"/>
        </w:rPr>
        <w:t> </w:t>
      </w:r>
      <w:r>
        <w:rPr>
          <w:w w:val="111"/>
        </w:rPr>
        <w:t>culturales.</w:t>
      </w:r>
      <w:r>
        <w:rPr/>
        <w:t> </w:t>
      </w:r>
      <w:r>
        <w:rPr>
          <w:spacing w:val="-5"/>
        </w:rPr>
        <w:t> </w:t>
      </w:r>
      <w:r>
        <w:rPr>
          <w:w w:val="243"/>
        </w:rPr>
        <w:t>l</w:t>
      </w:r>
      <w:r>
        <w:rPr>
          <w:w w:val="112"/>
        </w:rPr>
        <w:t>a</w:t>
      </w:r>
      <w:r>
        <w:rPr/>
        <w:t> </w:t>
      </w:r>
      <w:r>
        <w:rPr>
          <w:spacing w:val="-5"/>
        </w:rPr>
        <w:t> </w:t>
      </w:r>
      <w:r>
        <w:rPr>
          <w:w w:val="111"/>
        </w:rPr>
        <w:t>importancia</w:t>
      </w:r>
      <w:r>
        <w:rPr/>
        <w:t> </w:t>
      </w:r>
      <w:r>
        <w:rPr>
          <w:spacing w:val="-5"/>
        </w:rPr>
        <w:t> </w:t>
      </w:r>
      <w:r>
        <w:rPr>
          <w:w w:val="107"/>
        </w:rPr>
        <w:t>de </w:t>
      </w:r>
      <w:r>
        <w:rPr>
          <w:w w:val="115"/>
        </w:rPr>
        <w:t>nuestro</w:t>
      </w:r>
      <w:r>
        <w:rPr>
          <w:spacing w:val="-11"/>
          <w:w w:val="115"/>
        </w:rPr>
        <w:t> </w:t>
      </w:r>
      <w:r>
        <w:rPr>
          <w:w w:val="115"/>
        </w:rPr>
        <w:t>continente</w:t>
      </w:r>
      <w:r>
        <w:rPr>
          <w:spacing w:val="-11"/>
          <w:w w:val="115"/>
        </w:rPr>
        <w:t> </w:t>
      </w:r>
      <w:r>
        <w:rPr>
          <w:w w:val="115"/>
        </w:rPr>
        <w:t>para</w:t>
      </w:r>
      <w:r>
        <w:rPr>
          <w:spacing w:val="-11"/>
          <w:w w:val="115"/>
        </w:rPr>
        <w:t> </w:t>
      </w:r>
      <w:r>
        <w:rPr>
          <w:w w:val="115"/>
        </w:rPr>
        <w:t>el</w:t>
      </w:r>
      <w:r>
        <w:rPr>
          <w:spacing w:val="-11"/>
          <w:w w:val="115"/>
        </w:rPr>
        <w:t> </w:t>
      </w:r>
      <w:r>
        <w:rPr>
          <w:w w:val="115"/>
        </w:rPr>
        <w:t>proyecto</w:t>
      </w:r>
      <w:r>
        <w:rPr>
          <w:spacing w:val="-11"/>
          <w:w w:val="115"/>
        </w:rPr>
        <w:t> </w:t>
      </w:r>
      <w:r>
        <w:rPr>
          <w:w w:val="115"/>
        </w:rPr>
        <w:t>de</w:t>
      </w:r>
      <w:r>
        <w:rPr>
          <w:spacing w:val="-11"/>
          <w:w w:val="115"/>
        </w:rPr>
        <w:t> </w:t>
      </w:r>
      <w:r>
        <w:rPr>
          <w:w w:val="115"/>
        </w:rPr>
        <w:t>dominación</w:t>
      </w:r>
      <w:r>
        <w:rPr>
          <w:spacing w:val="-11"/>
          <w:w w:val="115"/>
        </w:rPr>
        <w:t> </w:t>
      </w:r>
      <w:r>
        <w:rPr>
          <w:w w:val="115"/>
        </w:rPr>
        <w:t>mundial</w:t>
      </w:r>
      <w:r>
        <w:rPr>
          <w:spacing w:val="-11"/>
          <w:w w:val="115"/>
        </w:rPr>
        <w:t> </w:t>
      </w:r>
      <w:r>
        <w:rPr>
          <w:w w:val="115"/>
        </w:rPr>
        <w:t>nortea- mericano</w:t>
      </w:r>
      <w:r>
        <w:rPr>
          <w:spacing w:val="-14"/>
          <w:w w:val="115"/>
        </w:rPr>
        <w:t> </w:t>
      </w:r>
      <w:r>
        <w:rPr>
          <w:w w:val="115"/>
        </w:rPr>
        <w:t>siempre</w:t>
      </w:r>
      <w:r>
        <w:rPr>
          <w:spacing w:val="-14"/>
          <w:w w:val="115"/>
        </w:rPr>
        <w:t> </w:t>
      </w:r>
      <w:r>
        <w:rPr>
          <w:w w:val="115"/>
        </w:rPr>
        <w:t>ha</w:t>
      </w:r>
      <w:r>
        <w:rPr>
          <w:spacing w:val="-14"/>
          <w:w w:val="115"/>
        </w:rPr>
        <w:t> </w:t>
      </w:r>
      <w:r>
        <w:rPr>
          <w:w w:val="115"/>
        </w:rPr>
        <w:t>sido</w:t>
      </w:r>
      <w:r>
        <w:rPr>
          <w:spacing w:val="-14"/>
          <w:w w:val="115"/>
        </w:rPr>
        <w:t> </w:t>
      </w:r>
      <w:r>
        <w:rPr>
          <w:w w:val="115"/>
        </w:rPr>
        <w:t>vital,</w:t>
      </w:r>
      <w:r>
        <w:rPr>
          <w:spacing w:val="-14"/>
          <w:w w:val="115"/>
        </w:rPr>
        <w:t> </w:t>
      </w:r>
      <w:r>
        <w:rPr>
          <w:w w:val="115"/>
        </w:rPr>
        <w:t>aunque</w:t>
      </w:r>
      <w:r>
        <w:rPr>
          <w:spacing w:val="-14"/>
          <w:w w:val="115"/>
        </w:rPr>
        <w:t> </w:t>
      </w:r>
      <w:r>
        <w:rPr>
          <w:w w:val="115"/>
        </w:rPr>
        <w:t>su</w:t>
      </w:r>
      <w:r>
        <w:rPr>
          <w:spacing w:val="-14"/>
          <w:w w:val="115"/>
        </w:rPr>
        <w:t> </w:t>
      </w:r>
      <w:r>
        <w:rPr>
          <w:w w:val="115"/>
        </w:rPr>
        <w:t>gobierno</w:t>
      </w:r>
      <w:r>
        <w:rPr>
          <w:spacing w:val="-14"/>
          <w:w w:val="115"/>
        </w:rPr>
        <w:t> </w:t>
      </w:r>
      <w:r>
        <w:rPr>
          <w:w w:val="115"/>
        </w:rPr>
        <w:t>nunca</w:t>
      </w:r>
      <w:r>
        <w:rPr>
          <w:spacing w:val="-14"/>
          <w:w w:val="115"/>
        </w:rPr>
        <w:t> </w:t>
      </w:r>
      <w:r>
        <w:rPr>
          <w:w w:val="115"/>
        </w:rPr>
        <w:t>ha</w:t>
      </w:r>
      <w:r>
        <w:rPr>
          <w:spacing w:val="-14"/>
          <w:w w:val="115"/>
        </w:rPr>
        <w:t> </w:t>
      </w:r>
      <w:r>
        <w:rPr>
          <w:w w:val="115"/>
        </w:rPr>
        <w:t>dejado de</w:t>
      </w:r>
      <w:r>
        <w:rPr>
          <w:spacing w:val="-18"/>
          <w:w w:val="115"/>
        </w:rPr>
        <w:t> </w:t>
      </w:r>
      <w:r>
        <w:rPr>
          <w:w w:val="115"/>
        </w:rPr>
        <w:t>ocultarlo</w:t>
      </w:r>
      <w:r>
        <w:rPr>
          <w:spacing w:val="-18"/>
          <w:w w:val="115"/>
        </w:rPr>
        <w:t> </w:t>
      </w:r>
      <w:r>
        <w:rPr>
          <w:w w:val="115"/>
        </w:rPr>
        <w:t>en</w:t>
      </w:r>
      <w:r>
        <w:rPr>
          <w:spacing w:val="-18"/>
          <w:w w:val="115"/>
        </w:rPr>
        <w:t> </w:t>
      </w:r>
      <w:r>
        <w:rPr>
          <w:w w:val="115"/>
        </w:rPr>
        <w:t>el</w:t>
      </w:r>
      <w:r>
        <w:rPr>
          <w:spacing w:val="-18"/>
          <w:w w:val="115"/>
        </w:rPr>
        <w:t> </w:t>
      </w:r>
      <w:r>
        <w:rPr>
          <w:w w:val="115"/>
        </w:rPr>
        <w:t>desprecio</w:t>
      </w:r>
      <w:r>
        <w:rPr>
          <w:spacing w:val="-18"/>
          <w:w w:val="115"/>
        </w:rPr>
        <w:t> </w:t>
      </w:r>
      <w:r>
        <w:rPr>
          <w:w w:val="115"/>
        </w:rPr>
        <w:t>de</w:t>
      </w:r>
      <w:r>
        <w:rPr>
          <w:spacing w:val="-18"/>
          <w:w w:val="115"/>
        </w:rPr>
        <w:t> </w:t>
      </w:r>
      <w:r>
        <w:rPr>
          <w:w w:val="115"/>
        </w:rPr>
        <w:t>un</w:t>
      </w:r>
      <w:r>
        <w:rPr>
          <w:spacing w:val="-18"/>
          <w:w w:val="115"/>
        </w:rPr>
        <w:t> </w:t>
      </w:r>
      <w:r>
        <w:rPr>
          <w:w w:val="115"/>
        </w:rPr>
        <w:t>tratamiento</w:t>
      </w:r>
      <w:r>
        <w:rPr>
          <w:spacing w:val="-18"/>
          <w:w w:val="115"/>
        </w:rPr>
        <w:t> </w:t>
      </w:r>
      <w:r>
        <w:rPr>
          <w:w w:val="115"/>
        </w:rPr>
        <w:t>subalterno</w:t>
      </w:r>
      <w:r>
        <w:rPr>
          <w:spacing w:val="-18"/>
          <w:w w:val="115"/>
        </w:rPr>
        <w:t> </w:t>
      </w:r>
      <w:r>
        <w:rPr>
          <w:w w:val="115"/>
        </w:rPr>
        <w:t>y</w:t>
      </w:r>
      <w:r>
        <w:rPr>
          <w:spacing w:val="-18"/>
          <w:w w:val="115"/>
        </w:rPr>
        <w:t> </w:t>
      </w:r>
      <w:r>
        <w:rPr>
          <w:w w:val="115"/>
        </w:rPr>
        <w:t>servil</w:t>
      </w:r>
      <w:r>
        <w:rPr>
          <w:spacing w:val="-18"/>
          <w:w w:val="115"/>
        </w:rPr>
        <w:t> </w:t>
      </w:r>
      <w:r>
        <w:rPr>
          <w:w w:val="115"/>
        </w:rPr>
        <w:t>ha- cia</w:t>
      </w:r>
      <w:r>
        <w:rPr>
          <w:spacing w:val="-28"/>
          <w:w w:val="115"/>
        </w:rPr>
        <w:t> </w:t>
      </w:r>
      <w:r>
        <w:rPr>
          <w:w w:val="115"/>
        </w:rPr>
        <w:t>nuestros</w:t>
      </w:r>
      <w:r>
        <w:rPr>
          <w:spacing w:val="-28"/>
          <w:w w:val="115"/>
        </w:rPr>
        <w:t> </w:t>
      </w:r>
      <w:r>
        <w:rPr>
          <w:w w:val="115"/>
        </w:rPr>
        <w:t>países.</w:t>
      </w:r>
      <w:r>
        <w:rPr>
          <w:spacing w:val="-28"/>
          <w:w w:val="115"/>
        </w:rPr>
        <w:t> </w:t>
      </w:r>
      <w:r>
        <w:rPr>
          <w:w w:val="115"/>
        </w:rPr>
        <w:t>Esta</w:t>
      </w:r>
      <w:r>
        <w:rPr>
          <w:spacing w:val="-28"/>
          <w:w w:val="115"/>
        </w:rPr>
        <w:t> </w:t>
      </w:r>
      <w:r>
        <w:rPr>
          <w:w w:val="115"/>
        </w:rPr>
        <w:t>importancia</w:t>
      </w:r>
      <w:r>
        <w:rPr>
          <w:spacing w:val="-28"/>
          <w:w w:val="115"/>
        </w:rPr>
        <w:t> </w:t>
      </w:r>
      <w:r>
        <w:rPr>
          <w:w w:val="115"/>
        </w:rPr>
        <w:t>hoy</w:t>
      </w:r>
      <w:r>
        <w:rPr>
          <w:spacing w:val="-28"/>
          <w:w w:val="115"/>
        </w:rPr>
        <w:t> </w:t>
      </w:r>
      <w:r>
        <w:rPr>
          <w:w w:val="115"/>
        </w:rPr>
        <w:t>gana</w:t>
      </w:r>
      <w:r>
        <w:rPr>
          <w:spacing w:val="-28"/>
          <w:w w:val="115"/>
        </w:rPr>
        <w:t> </w:t>
      </w:r>
      <w:r>
        <w:rPr>
          <w:w w:val="115"/>
        </w:rPr>
        <w:t>mucho</w:t>
      </w:r>
      <w:r>
        <w:rPr>
          <w:spacing w:val="-28"/>
          <w:w w:val="115"/>
        </w:rPr>
        <w:t> </w:t>
      </w:r>
      <w:r>
        <w:rPr>
          <w:w w:val="115"/>
        </w:rPr>
        <w:t>mayor</w:t>
      </w:r>
      <w:r>
        <w:rPr>
          <w:spacing w:val="-28"/>
          <w:w w:val="115"/>
        </w:rPr>
        <w:t> </w:t>
      </w:r>
      <w:r>
        <w:rPr>
          <w:w w:val="115"/>
        </w:rPr>
        <w:t>relevan- cia</w:t>
      </w:r>
      <w:r>
        <w:rPr>
          <w:spacing w:val="-19"/>
          <w:w w:val="115"/>
        </w:rPr>
        <w:t> </w:t>
      </w:r>
      <w:r>
        <w:rPr>
          <w:w w:val="115"/>
        </w:rPr>
        <w:t>en</w:t>
      </w:r>
      <w:r>
        <w:rPr>
          <w:spacing w:val="-19"/>
          <w:w w:val="115"/>
        </w:rPr>
        <w:t> </w:t>
      </w:r>
      <w:r>
        <w:rPr>
          <w:w w:val="115"/>
        </w:rPr>
        <w:t>un</w:t>
      </w:r>
      <w:r>
        <w:rPr>
          <w:spacing w:val="-19"/>
          <w:w w:val="115"/>
        </w:rPr>
        <w:t> </w:t>
      </w:r>
      <w:r>
        <w:rPr>
          <w:w w:val="115"/>
        </w:rPr>
        <w:t>contexto</w:t>
      </w:r>
      <w:r>
        <w:rPr>
          <w:spacing w:val="-19"/>
          <w:w w:val="115"/>
        </w:rPr>
        <w:t> </w:t>
      </w:r>
      <w:r>
        <w:rPr>
          <w:w w:val="115"/>
        </w:rPr>
        <w:t>mundial</w:t>
      </w:r>
      <w:r>
        <w:rPr>
          <w:spacing w:val="-19"/>
          <w:w w:val="115"/>
        </w:rPr>
        <w:t> </w:t>
      </w:r>
      <w:r>
        <w:rPr>
          <w:w w:val="115"/>
        </w:rPr>
        <w:t>en</w:t>
      </w:r>
      <w:r>
        <w:rPr>
          <w:spacing w:val="-19"/>
          <w:w w:val="115"/>
        </w:rPr>
        <w:t> </w:t>
      </w:r>
      <w:r>
        <w:rPr>
          <w:w w:val="115"/>
        </w:rPr>
        <w:t>el</w:t>
      </w:r>
      <w:r>
        <w:rPr>
          <w:spacing w:val="-19"/>
          <w:w w:val="115"/>
        </w:rPr>
        <w:t> </w:t>
      </w:r>
      <w:r>
        <w:rPr>
          <w:w w:val="115"/>
        </w:rPr>
        <w:t>que</w:t>
      </w:r>
      <w:r>
        <w:rPr>
          <w:spacing w:val="-19"/>
          <w:w w:val="115"/>
        </w:rPr>
        <w:t> </w:t>
      </w:r>
      <w:r>
        <w:rPr>
          <w:w w:val="115"/>
        </w:rPr>
        <w:t>Estados</w:t>
      </w:r>
      <w:r>
        <w:rPr>
          <w:spacing w:val="-19"/>
          <w:w w:val="115"/>
        </w:rPr>
        <w:t> </w:t>
      </w:r>
      <w:r>
        <w:rPr>
          <w:w w:val="115"/>
        </w:rPr>
        <w:t>unidos</w:t>
      </w:r>
      <w:r>
        <w:rPr>
          <w:spacing w:val="-19"/>
          <w:w w:val="115"/>
        </w:rPr>
        <w:t> </w:t>
      </w:r>
      <w:r>
        <w:rPr>
          <w:w w:val="115"/>
        </w:rPr>
        <w:t>pretende</w:t>
      </w:r>
      <w:r>
        <w:rPr>
          <w:spacing w:val="-19"/>
          <w:w w:val="115"/>
        </w:rPr>
        <w:t> </w:t>
      </w:r>
      <w:r>
        <w:rPr>
          <w:w w:val="115"/>
        </w:rPr>
        <w:t>limitar el avance de China y consolidar la decadencia económica, social y política de Europa. Que en una misma semana, barack obama haya visitado</w:t>
      </w:r>
      <w:r>
        <w:rPr>
          <w:spacing w:val="-28"/>
          <w:w w:val="115"/>
        </w:rPr>
        <w:t> </w:t>
      </w:r>
      <w:r>
        <w:rPr>
          <w:w w:val="115"/>
        </w:rPr>
        <w:t>Cuba</w:t>
      </w:r>
      <w:r>
        <w:rPr>
          <w:spacing w:val="-28"/>
          <w:w w:val="115"/>
        </w:rPr>
        <w:t> </w:t>
      </w:r>
      <w:r>
        <w:rPr>
          <w:w w:val="115"/>
        </w:rPr>
        <w:t>y</w:t>
      </w:r>
      <w:r>
        <w:rPr>
          <w:spacing w:val="-28"/>
          <w:w w:val="115"/>
        </w:rPr>
        <w:t> </w:t>
      </w:r>
      <w:r>
        <w:rPr>
          <w:w w:val="115"/>
        </w:rPr>
        <w:t>la</w:t>
      </w:r>
      <w:r>
        <w:rPr>
          <w:spacing w:val="-28"/>
          <w:w w:val="115"/>
        </w:rPr>
        <w:t> </w:t>
      </w:r>
      <w:r>
        <w:rPr>
          <w:w w:val="115"/>
        </w:rPr>
        <w:t>argentina,</w:t>
      </w:r>
      <w:r>
        <w:rPr>
          <w:spacing w:val="-28"/>
          <w:w w:val="115"/>
        </w:rPr>
        <w:t> </w:t>
      </w:r>
      <w:r>
        <w:rPr>
          <w:w w:val="115"/>
        </w:rPr>
        <w:t>que</w:t>
      </w:r>
      <w:r>
        <w:rPr>
          <w:spacing w:val="-28"/>
          <w:w w:val="115"/>
        </w:rPr>
        <w:t> </w:t>
      </w:r>
      <w:r>
        <w:rPr>
          <w:w w:val="115"/>
        </w:rPr>
        <w:t>estrenaba</w:t>
      </w:r>
      <w:r>
        <w:rPr>
          <w:spacing w:val="-28"/>
          <w:w w:val="115"/>
        </w:rPr>
        <w:t> </w:t>
      </w:r>
      <w:r>
        <w:rPr>
          <w:w w:val="115"/>
        </w:rPr>
        <w:t>su</w:t>
      </w:r>
      <w:r>
        <w:rPr>
          <w:spacing w:val="-28"/>
          <w:w w:val="115"/>
        </w:rPr>
        <w:t> </w:t>
      </w:r>
      <w:r>
        <w:rPr>
          <w:w w:val="115"/>
        </w:rPr>
        <w:t>nuevo</w:t>
      </w:r>
      <w:r>
        <w:rPr>
          <w:spacing w:val="-28"/>
          <w:w w:val="115"/>
        </w:rPr>
        <w:t> </w:t>
      </w:r>
      <w:r>
        <w:rPr>
          <w:w w:val="115"/>
        </w:rPr>
        <w:t>gobierno</w:t>
      </w:r>
      <w:r>
        <w:rPr>
          <w:spacing w:val="-28"/>
          <w:w w:val="115"/>
        </w:rPr>
        <w:t> </w:t>
      </w:r>
      <w:r>
        <w:rPr>
          <w:w w:val="115"/>
        </w:rPr>
        <w:t>conser- </w:t>
      </w:r>
      <w:r>
        <w:rPr>
          <w:spacing w:val="-4"/>
          <w:w w:val="115"/>
        </w:rPr>
        <w:t>vador,</w:t>
      </w:r>
      <w:r>
        <w:rPr>
          <w:spacing w:val="-13"/>
          <w:w w:val="115"/>
        </w:rPr>
        <w:t> </w:t>
      </w:r>
      <w:r>
        <w:rPr>
          <w:w w:val="115"/>
        </w:rPr>
        <w:t>es</w:t>
      </w:r>
      <w:r>
        <w:rPr>
          <w:spacing w:val="-13"/>
          <w:w w:val="115"/>
        </w:rPr>
        <w:t> </w:t>
      </w:r>
      <w:r>
        <w:rPr>
          <w:w w:val="115"/>
        </w:rPr>
        <w:t>mucho</w:t>
      </w:r>
      <w:r>
        <w:rPr>
          <w:spacing w:val="-13"/>
          <w:w w:val="115"/>
        </w:rPr>
        <w:t> </w:t>
      </w:r>
      <w:r>
        <w:rPr>
          <w:w w:val="115"/>
        </w:rPr>
        <w:t>más</w:t>
      </w:r>
      <w:r>
        <w:rPr>
          <w:spacing w:val="-13"/>
          <w:w w:val="115"/>
        </w:rPr>
        <w:t> </w:t>
      </w:r>
      <w:r>
        <w:rPr>
          <w:w w:val="115"/>
        </w:rPr>
        <w:t>que</w:t>
      </w:r>
      <w:r>
        <w:rPr>
          <w:spacing w:val="-13"/>
          <w:w w:val="115"/>
        </w:rPr>
        <w:t> </w:t>
      </w:r>
      <w:r>
        <w:rPr>
          <w:w w:val="115"/>
        </w:rPr>
        <w:t>una</w:t>
      </w:r>
      <w:r>
        <w:rPr>
          <w:spacing w:val="-13"/>
          <w:w w:val="115"/>
        </w:rPr>
        <w:t> </w:t>
      </w:r>
      <w:r>
        <w:rPr>
          <w:w w:val="115"/>
        </w:rPr>
        <w:t>coincidencia.</w:t>
      </w:r>
    </w:p>
    <w:p>
      <w:pPr>
        <w:pStyle w:val="BodyText"/>
        <w:ind w:left="727" w:right="321"/>
      </w:pPr>
      <w:r>
        <w:rPr>
          <w:w w:val="110"/>
        </w:rPr>
        <w:t>Como los otros tres de la serie, éste es un libro  fundamental.</w:t>
      </w:r>
    </w:p>
    <w:p>
      <w:pPr>
        <w:pStyle w:val="BodyText"/>
        <w:spacing w:line="252" w:lineRule="auto" w:before="11"/>
        <w:ind w:left="330" w:right="117" w:firstLine="396"/>
        <w:jc w:val="both"/>
      </w:pPr>
      <w:r>
        <w:rPr>
          <w:w w:val="243"/>
        </w:rPr>
        <w:t>l</w:t>
      </w:r>
      <w:r>
        <w:rPr>
          <w:w w:val="110"/>
        </w:rPr>
        <w:t>o</w:t>
      </w:r>
      <w:r>
        <w:rPr/>
        <w:t> </w:t>
      </w:r>
      <w:r>
        <w:rPr>
          <w:spacing w:val="-15"/>
        </w:rPr>
        <w:t> </w:t>
      </w:r>
      <w:r>
        <w:rPr>
          <w:w w:val="109"/>
        </w:rPr>
        <w:t>prologa</w:t>
      </w:r>
      <w:r>
        <w:rPr/>
        <w:t> </w:t>
      </w:r>
      <w:r>
        <w:rPr>
          <w:spacing w:val="-15"/>
        </w:rPr>
        <w:t> </w:t>
      </w:r>
      <w:r>
        <w:rPr>
          <w:w w:val="182"/>
        </w:rPr>
        <w:t>r</w:t>
      </w:r>
      <w:r>
        <w:rPr>
          <w:w w:val="110"/>
        </w:rPr>
        <w:t>onald</w:t>
      </w:r>
      <w:r>
        <w:rPr/>
        <w:t> </w:t>
      </w:r>
      <w:r>
        <w:rPr>
          <w:spacing w:val="-15"/>
        </w:rPr>
        <w:t> </w:t>
      </w:r>
      <w:r>
        <w:rPr>
          <w:w w:val="114"/>
        </w:rPr>
        <w:t>Chilcote,</w:t>
      </w:r>
      <w:r>
        <w:rPr/>
        <w:t> </w:t>
      </w:r>
      <w:r>
        <w:rPr>
          <w:spacing w:val="-15"/>
        </w:rPr>
        <w:t> </w:t>
      </w:r>
      <w:r>
        <w:rPr>
          <w:w w:val="108"/>
        </w:rPr>
        <w:t>profesor</w:t>
      </w:r>
      <w:r>
        <w:rPr/>
        <w:t> </w:t>
      </w:r>
      <w:r>
        <w:rPr>
          <w:spacing w:val="-15"/>
        </w:rPr>
        <w:t> </w:t>
      </w:r>
      <w:r>
        <w:rPr>
          <w:w w:val="107"/>
        </w:rPr>
        <w:t>de</w:t>
      </w:r>
      <w:r>
        <w:rPr/>
        <w:t> </w:t>
      </w:r>
      <w:r>
        <w:rPr>
          <w:spacing w:val="-15"/>
        </w:rPr>
        <w:t> </w:t>
      </w:r>
      <w:r>
        <w:rPr>
          <w:w w:val="111"/>
        </w:rPr>
        <w:t>la</w:t>
      </w:r>
      <w:r>
        <w:rPr/>
        <w:t> </w:t>
      </w:r>
      <w:r>
        <w:rPr>
          <w:spacing w:val="-15"/>
        </w:rPr>
        <w:t> </w:t>
      </w:r>
      <w:r>
        <w:rPr>
          <w:w w:val="140"/>
        </w:rPr>
        <w:t>u</w:t>
      </w:r>
      <w:r>
        <w:rPr>
          <w:w w:val="108"/>
        </w:rPr>
        <w:t>niversidad</w:t>
      </w:r>
      <w:r>
        <w:rPr/>
        <w:t> </w:t>
      </w:r>
      <w:r>
        <w:rPr>
          <w:spacing w:val="-15"/>
        </w:rPr>
        <w:t> </w:t>
      </w:r>
      <w:r>
        <w:rPr>
          <w:w w:val="107"/>
        </w:rPr>
        <w:t>de</w:t>
      </w:r>
      <w:r>
        <w:rPr/>
        <w:t> </w:t>
      </w:r>
      <w:r>
        <w:rPr>
          <w:spacing w:val="-15"/>
        </w:rPr>
        <w:t> </w:t>
      </w:r>
      <w:r>
        <w:rPr>
          <w:w w:val="116"/>
        </w:rPr>
        <w:t>Cal</w:t>
      </w:r>
      <w:r>
        <w:rPr>
          <w:spacing w:val="-1"/>
          <w:w w:val="116"/>
        </w:rPr>
        <w:t>i</w:t>
      </w:r>
      <w:r>
        <w:rPr>
          <w:w w:val="102"/>
        </w:rPr>
        <w:t>- </w:t>
      </w:r>
      <w:r>
        <w:rPr>
          <w:w w:val="115"/>
        </w:rPr>
        <w:t>fornia,</w:t>
      </w:r>
      <w:r>
        <w:rPr>
          <w:spacing w:val="-12"/>
          <w:w w:val="115"/>
        </w:rPr>
        <w:t> </w:t>
      </w:r>
      <w:r>
        <w:rPr>
          <w:w w:val="115"/>
        </w:rPr>
        <w:t>uno</w:t>
      </w:r>
      <w:r>
        <w:rPr>
          <w:spacing w:val="-12"/>
          <w:w w:val="115"/>
        </w:rPr>
        <w:t> </w:t>
      </w:r>
      <w:r>
        <w:rPr>
          <w:w w:val="115"/>
        </w:rPr>
        <w:t>de</w:t>
      </w:r>
      <w:r>
        <w:rPr>
          <w:spacing w:val="-12"/>
          <w:w w:val="115"/>
        </w:rPr>
        <w:t> </w:t>
      </w:r>
      <w:r>
        <w:rPr>
          <w:w w:val="115"/>
        </w:rPr>
        <w:t>los</w:t>
      </w:r>
      <w:r>
        <w:rPr>
          <w:spacing w:val="-12"/>
          <w:w w:val="115"/>
        </w:rPr>
        <w:t> </w:t>
      </w:r>
      <w:r>
        <w:rPr>
          <w:w w:val="115"/>
        </w:rPr>
        <w:t>mayores</w:t>
      </w:r>
      <w:r>
        <w:rPr>
          <w:spacing w:val="-12"/>
          <w:w w:val="115"/>
        </w:rPr>
        <w:t> </w:t>
      </w:r>
      <w:r>
        <w:rPr>
          <w:w w:val="115"/>
        </w:rPr>
        <w:t>conocedores</w:t>
      </w:r>
      <w:r>
        <w:rPr>
          <w:spacing w:val="-12"/>
          <w:w w:val="115"/>
        </w:rPr>
        <w:t> </w:t>
      </w:r>
      <w:r>
        <w:rPr>
          <w:w w:val="115"/>
        </w:rPr>
        <w:t>de</w:t>
      </w:r>
      <w:r>
        <w:rPr>
          <w:spacing w:val="-12"/>
          <w:w w:val="115"/>
        </w:rPr>
        <w:t> </w:t>
      </w:r>
      <w:r>
        <w:rPr>
          <w:w w:val="115"/>
        </w:rPr>
        <w:t>las</w:t>
      </w:r>
      <w:r>
        <w:rPr>
          <w:spacing w:val="-12"/>
          <w:w w:val="115"/>
        </w:rPr>
        <w:t> </w:t>
      </w:r>
      <w:r>
        <w:rPr>
          <w:w w:val="115"/>
        </w:rPr>
        <w:t>relaciones</w:t>
      </w:r>
      <w:r>
        <w:rPr>
          <w:spacing w:val="-12"/>
          <w:w w:val="115"/>
        </w:rPr>
        <w:t> </w:t>
      </w:r>
      <w:r>
        <w:rPr>
          <w:w w:val="115"/>
        </w:rPr>
        <w:t>entre</w:t>
      </w:r>
      <w:r>
        <w:rPr>
          <w:spacing w:val="-12"/>
          <w:w w:val="115"/>
        </w:rPr>
        <w:t> </w:t>
      </w:r>
      <w:r>
        <w:rPr>
          <w:w w:val="115"/>
        </w:rPr>
        <w:t>Esta- </w:t>
      </w:r>
      <w:r>
        <w:rPr>
          <w:w w:val="108"/>
        </w:rPr>
        <w:t>dos</w:t>
      </w:r>
      <w:r>
        <w:rPr/>
        <w:t> </w:t>
      </w:r>
      <w:r>
        <w:rPr>
          <w:spacing w:val="-10"/>
        </w:rPr>
        <w:t> </w:t>
      </w:r>
      <w:r>
        <w:rPr>
          <w:w w:val="140"/>
        </w:rPr>
        <w:t>u</w:t>
      </w:r>
      <w:r>
        <w:rPr>
          <w:w w:val="110"/>
        </w:rPr>
        <w:t>nidos</w:t>
      </w:r>
      <w:r>
        <w:rPr/>
        <w:t> </w:t>
      </w:r>
      <w:r>
        <w:rPr>
          <w:spacing w:val="-10"/>
        </w:rPr>
        <w:t> </w:t>
      </w:r>
      <w:r>
        <w:rPr>
          <w:w w:val="105"/>
        </w:rPr>
        <w:t>y</w:t>
      </w:r>
      <w:r>
        <w:rPr/>
        <w:t> </w:t>
      </w:r>
      <w:r>
        <w:rPr>
          <w:spacing w:val="-10"/>
        </w:rPr>
        <w:t> </w:t>
      </w:r>
      <w:r>
        <w:rPr>
          <w:w w:val="139"/>
        </w:rPr>
        <w:t>a</w:t>
      </w:r>
      <w:r>
        <w:rPr>
          <w:w w:val="111"/>
        </w:rPr>
        <w:t>mérica</w:t>
      </w:r>
      <w:r>
        <w:rPr/>
        <w:t> </w:t>
      </w:r>
      <w:r>
        <w:rPr>
          <w:spacing w:val="-10"/>
        </w:rPr>
        <w:t> </w:t>
      </w:r>
      <w:r>
        <w:rPr>
          <w:w w:val="243"/>
        </w:rPr>
        <w:t>l</w:t>
      </w:r>
      <w:r>
        <w:rPr>
          <w:w w:val="113"/>
        </w:rPr>
        <w:t>atina.</w:t>
      </w:r>
      <w:r>
        <w:rPr/>
        <w:t> </w:t>
      </w:r>
      <w:r>
        <w:rPr>
          <w:spacing w:val="-10"/>
        </w:rPr>
        <w:t> </w:t>
      </w:r>
      <w:r>
        <w:rPr>
          <w:w w:val="182"/>
        </w:rPr>
        <w:t>r</w:t>
      </w:r>
      <w:r>
        <w:rPr>
          <w:w w:val="110"/>
        </w:rPr>
        <w:t>onald</w:t>
      </w:r>
      <w:r>
        <w:rPr/>
        <w:t> </w:t>
      </w:r>
      <w:r>
        <w:rPr>
          <w:spacing w:val="-10"/>
        </w:rPr>
        <w:t> </w:t>
      </w:r>
      <w:r>
        <w:rPr>
          <w:w w:val="105"/>
        </w:rPr>
        <w:t>es</w:t>
      </w:r>
      <w:r>
        <w:rPr/>
        <w:t> </w:t>
      </w:r>
      <w:r>
        <w:rPr>
          <w:spacing w:val="-10"/>
        </w:rPr>
        <w:t> </w:t>
      </w:r>
      <w:r>
        <w:rPr>
          <w:w w:val="110"/>
        </w:rPr>
        <w:t>además</w:t>
      </w:r>
      <w:r>
        <w:rPr/>
        <w:t> </w:t>
      </w:r>
      <w:r>
        <w:rPr>
          <w:spacing w:val="-10"/>
        </w:rPr>
        <w:t> </w:t>
      </w:r>
      <w:r>
        <w:rPr>
          <w:w w:val="110"/>
        </w:rPr>
        <w:t>fundador</w:t>
      </w:r>
      <w:r>
        <w:rPr/>
        <w:t> </w:t>
      </w:r>
      <w:r>
        <w:rPr>
          <w:spacing w:val="-10"/>
        </w:rPr>
        <w:t> </w:t>
      </w:r>
      <w:r>
        <w:rPr>
          <w:w w:val="105"/>
        </w:rPr>
        <w:t>y</w:t>
      </w:r>
      <w:r>
        <w:rPr/>
        <w:t> </w:t>
      </w:r>
      <w:r>
        <w:rPr>
          <w:spacing w:val="-10"/>
        </w:rPr>
        <w:t> </w:t>
      </w:r>
      <w:r>
        <w:rPr>
          <w:w w:val="108"/>
        </w:rPr>
        <w:t>jefe</w:t>
      </w:r>
      <w:r>
        <w:rPr/>
        <w:t> </w:t>
      </w:r>
      <w:r>
        <w:rPr>
          <w:spacing w:val="-10"/>
        </w:rPr>
        <w:t> </w:t>
      </w:r>
      <w:r>
        <w:rPr>
          <w:w w:val="107"/>
        </w:rPr>
        <w:t>de </w:t>
      </w:r>
      <w:r>
        <w:rPr>
          <w:w w:val="110"/>
        </w:rPr>
        <w:t>redacción de una de las mejores revistas de estudios</w:t>
      </w:r>
      <w:r>
        <w:rPr>
          <w:spacing w:val="-22"/>
          <w:w w:val="110"/>
        </w:rPr>
        <w:t> </w:t>
      </w:r>
      <w:r>
        <w:rPr>
          <w:w w:val="110"/>
        </w:rPr>
        <w:t>latinoamericanos </w:t>
      </w:r>
      <w:r>
        <w:rPr>
          <w:w w:val="115"/>
        </w:rPr>
        <w:t>que</w:t>
      </w:r>
      <w:r>
        <w:rPr>
          <w:spacing w:val="-7"/>
          <w:w w:val="115"/>
        </w:rPr>
        <w:t> </w:t>
      </w:r>
      <w:r>
        <w:rPr>
          <w:w w:val="115"/>
        </w:rPr>
        <w:t>existen</w:t>
      </w:r>
      <w:r>
        <w:rPr>
          <w:spacing w:val="-7"/>
          <w:w w:val="115"/>
        </w:rPr>
        <w:t> </w:t>
      </w:r>
      <w:r>
        <w:rPr>
          <w:w w:val="115"/>
        </w:rPr>
        <w:t>desde</w:t>
      </w:r>
      <w:r>
        <w:rPr>
          <w:spacing w:val="-7"/>
          <w:w w:val="115"/>
        </w:rPr>
        <w:t> </w:t>
      </w:r>
      <w:r>
        <w:rPr>
          <w:w w:val="115"/>
        </w:rPr>
        <w:t>hace</w:t>
      </w:r>
      <w:r>
        <w:rPr>
          <w:spacing w:val="-7"/>
          <w:w w:val="115"/>
        </w:rPr>
        <w:t> </w:t>
      </w:r>
      <w:r>
        <w:rPr>
          <w:w w:val="115"/>
        </w:rPr>
        <w:t>ya</w:t>
      </w:r>
      <w:r>
        <w:rPr>
          <w:spacing w:val="-7"/>
          <w:w w:val="115"/>
        </w:rPr>
        <w:t> </w:t>
      </w:r>
      <w:r>
        <w:rPr>
          <w:w w:val="115"/>
        </w:rPr>
        <w:t>algunas</w:t>
      </w:r>
      <w:r>
        <w:rPr>
          <w:spacing w:val="-7"/>
          <w:w w:val="115"/>
        </w:rPr>
        <w:t> </w:t>
      </w:r>
      <w:r>
        <w:rPr>
          <w:w w:val="115"/>
        </w:rPr>
        <w:t>décadas,</w:t>
      </w:r>
      <w:r>
        <w:rPr>
          <w:spacing w:val="-7"/>
          <w:w w:val="115"/>
        </w:rPr>
        <w:t> </w:t>
      </w:r>
      <w:r>
        <w:rPr>
          <w:i/>
          <w:w w:val="115"/>
        </w:rPr>
        <w:t>Latin</w:t>
      </w:r>
      <w:r>
        <w:rPr>
          <w:i/>
          <w:spacing w:val="-7"/>
          <w:w w:val="115"/>
        </w:rPr>
        <w:t> </w:t>
      </w:r>
      <w:r>
        <w:rPr>
          <w:i/>
          <w:w w:val="115"/>
        </w:rPr>
        <w:t>American</w:t>
      </w:r>
      <w:r>
        <w:rPr>
          <w:i/>
          <w:spacing w:val="-7"/>
          <w:w w:val="115"/>
        </w:rPr>
        <w:t> </w:t>
      </w:r>
      <w:r>
        <w:rPr>
          <w:i/>
          <w:w w:val="115"/>
        </w:rPr>
        <w:t>Perspec- </w:t>
      </w:r>
      <w:r>
        <w:rPr>
          <w:i/>
          <w:w w:val="115"/>
        </w:rPr>
        <w:t>tives</w:t>
      </w:r>
      <w:r>
        <w:rPr>
          <w:w w:val="115"/>
        </w:rPr>
        <w:t>, donde el Grupo de </w:t>
      </w:r>
      <w:r>
        <w:rPr>
          <w:spacing w:val="-3"/>
          <w:w w:val="115"/>
        </w:rPr>
        <w:t>trabajo </w:t>
      </w:r>
      <w:r>
        <w:rPr>
          <w:w w:val="115"/>
        </w:rPr>
        <w:t>sobre Estados unidos de </w:t>
      </w:r>
      <w:r>
        <w:rPr>
          <w:w w:val="150"/>
        </w:rPr>
        <w:t>ClaCso </w:t>
      </w:r>
      <w:r>
        <w:rPr>
          <w:w w:val="110"/>
        </w:rPr>
        <w:t>realizó diversas</w:t>
      </w:r>
      <w:r>
        <w:rPr>
          <w:spacing w:val="15"/>
          <w:w w:val="110"/>
        </w:rPr>
        <w:t> </w:t>
      </w:r>
      <w:r>
        <w:rPr>
          <w:w w:val="110"/>
        </w:rPr>
        <w:t>colaboraciones.</w:t>
      </w:r>
    </w:p>
    <w:p>
      <w:pPr>
        <w:pStyle w:val="BodyText"/>
        <w:spacing w:line="252" w:lineRule="auto"/>
        <w:ind w:left="330" w:right="118" w:firstLine="396"/>
        <w:jc w:val="both"/>
      </w:pPr>
      <w:r>
        <w:rPr>
          <w:w w:val="110"/>
        </w:rPr>
        <w:t>El libro se estructura en tres partes que Marco Gandásegui (h) sintetiza y articula de manera ejemplar en la introducción del volu- men: la crisis de hegemonía de Estados unidos, su estructura interna </w:t>
      </w:r>
      <w:r>
        <w:rPr>
          <w:w w:val="105"/>
        </w:rPr>
        <w:t>y</w:t>
      </w:r>
      <w:r>
        <w:rPr/>
        <w:t> </w:t>
      </w:r>
      <w:r>
        <w:rPr>
          <w:spacing w:val="-18"/>
        </w:rPr>
        <w:t> </w:t>
      </w:r>
      <w:r>
        <w:rPr>
          <w:w w:val="111"/>
        </w:rPr>
        <w:t>la</w:t>
      </w:r>
      <w:r>
        <w:rPr/>
        <w:t> </w:t>
      </w:r>
      <w:r>
        <w:rPr>
          <w:spacing w:val="-18"/>
        </w:rPr>
        <w:t> </w:t>
      </w:r>
      <w:r>
        <w:rPr>
          <w:w w:val="110"/>
        </w:rPr>
        <w:t>relación</w:t>
      </w:r>
      <w:r>
        <w:rPr/>
        <w:t> </w:t>
      </w:r>
      <w:r>
        <w:rPr>
          <w:spacing w:val="-18"/>
        </w:rPr>
        <w:t> </w:t>
      </w:r>
      <w:r>
        <w:rPr>
          <w:w w:val="106"/>
        </w:rPr>
        <w:t>entre</w:t>
      </w:r>
      <w:r>
        <w:rPr/>
        <w:t> </w:t>
      </w:r>
      <w:r>
        <w:rPr>
          <w:spacing w:val="-18"/>
        </w:rPr>
        <w:t> </w:t>
      </w:r>
      <w:r>
        <w:rPr>
          <w:w w:val="105"/>
        </w:rPr>
        <w:t>éste</w:t>
      </w:r>
      <w:r>
        <w:rPr/>
        <w:t> </w:t>
      </w:r>
      <w:r>
        <w:rPr>
          <w:spacing w:val="-18"/>
        </w:rPr>
        <w:t> </w:t>
      </w:r>
      <w:r>
        <w:rPr>
          <w:w w:val="105"/>
        </w:rPr>
        <w:t>y</w:t>
      </w:r>
      <w:r>
        <w:rPr/>
        <w:t> </w:t>
      </w:r>
      <w:r>
        <w:rPr>
          <w:spacing w:val="-18"/>
        </w:rPr>
        <w:t> </w:t>
      </w:r>
      <w:r>
        <w:rPr>
          <w:w w:val="139"/>
        </w:rPr>
        <w:t>a</w:t>
      </w:r>
      <w:r>
        <w:rPr>
          <w:w w:val="111"/>
        </w:rPr>
        <w:t>mérica</w:t>
      </w:r>
      <w:r>
        <w:rPr/>
        <w:t> </w:t>
      </w:r>
      <w:r>
        <w:rPr>
          <w:spacing w:val="-18"/>
        </w:rPr>
        <w:t> </w:t>
      </w:r>
      <w:r>
        <w:rPr>
          <w:w w:val="243"/>
        </w:rPr>
        <w:t>l</w:t>
      </w:r>
      <w:r>
        <w:rPr>
          <w:w w:val="113"/>
        </w:rPr>
        <w:t>atina.</w:t>
      </w:r>
      <w:r>
        <w:rPr/>
        <w:t> </w:t>
      </w:r>
      <w:r>
        <w:rPr>
          <w:spacing w:val="-18"/>
        </w:rPr>
        <w:t> </w:t>
      </w:r>
      <w:r>
        <w:rPr>
          <w:w w:val="139"/>
        </w:rPr>
        <w:t>a</w:t>
      </w:r>
      <w:r>
        <w:rPr>
          <w:w w:val="109"/>
        </w:rPr>
        <w:t>demás</w:t>
      </w:r>
      <w:r>
        <w:rPr/>
        <w:t> </w:t>
      </w:r>
      <w:r>
        <w:rPr>
          <w:spacing w:val="-18"/>
        </w:rPr>
        <w:t> </w:t>
      </w:r>
      <w:r>
        <w:rPr>
          <w:w w:val="107"/>
        </w:rPr>
        <w:t>del</w:t>
      </w:r>
      <w:r>
        <w:rPr/>
        <w:t> </w:t>
      </w:r>
      <w:r>
        <w:rPr>
          <w:spacing w:val="-18"/>
        </w:rPr>
        <w:t> </w:t>
      </w:r>
      <w:r>
        <w:rPr>
          <w:w w:val="109"/>
        </w:rPr>
        <w:t>propio</w:t>
      </w:r>
      <w:r>
        <w:rPr/>
        <w:t> </w:t>
      </w:r>
      <w:r>
        <w:rPr>
          <w:spacing w:val="-18"/>
        </w:rPr>
        <w:t> </w:t>
      </w:r>
      <w:r>
        <w:rPr>
          <w:w w:val="115"/>
        </w:rPr>
        <w:t>Marco, </w:t>
      </w:r>
      <w:r>
        <w:rPr>
          <w:w w:val="110"/>
        </w:rPr>
        <w:t>15 autores y autoras realizan aportes fundamentales para compren- der una nueva correlación de fuerzas y una dinámica de conflictos y tensiones de las cuales dependerá, en buena medida, el futuro de la democracia y de las luchas por la igualdad a nivel  </w:t>
      </w:r>
      <w:r>
        <w:rPr>
          <w:spacing w:val="28"/>
          <w:w w:val="110"/>
        </w:rPr>
        <w:t> </w:t>
      </w:r>
      <w:r>
        <w:rPr>
          <w:w w:val="110"/>
        </w:rPr>
        <w:t>mundial.</w:t>
      </w:r>
    </w:p>
    <w:p>
      <w:pPr>
        <w:pStyle w:val="BodyText"/>
        <w:spacing w:line="252" w:lineRule="auto"/>
        <w:ind w:left="330" w:right="117" w:firstLine="396"/>
        <w:jc w:val="both"/>
      </w:pPr>
      <w:r>
        <w:rPr>
          <w:w w:val="110"/>
        </w:rPr>
        <w:t>Finalmente, queremos destacar la importancia estratégica que reviste para </w:t>
      </w:r>
      <w:r>
        <w:rPr>
          <w:w w:val="130"/>
        </w:rPr>
        <w:t>ClaCso </w:t>
      </w:r>
      <w:r>
        <w:rPr>
          <w:w w:val="110"/>
        </w:rPr>
        <w:t>un Grupo de trabajo como éste. Creemos funda- mental que </w:t>
      </w:r>
      <w:r>
        <w:rPr>
          <w:w w:val="130"/>
        </w:rPr>
        <w:t>ClaCso </w:t>
      </w:r>
      <w:r>
        <w:rPr>
          <w:w w:val="110"/>
        </w:rPr>
        <w:t>contribuya a la comprensión, la investigación, el debate y el análisis crítico de la realidad latinoamericana y caribeña. Pero también creemos que es indispensable que podamos formular una interpretación latinoamericana del mundo. Constituye un impe- rativo académico que los estudios y los grupos de investigación so-</w:t>
      </w:r>
    </w:p>
    <w:p>
      <w:pPr>
        <w:spacing w:after="0" w:line="252" w:lineRule="auto"/>
        <w:jc w:val="both"/>
        <w:sectPr>
          <w:headerReference w:type="even" r:id="rId42"/>
          <w:footerReference w:type="even" r:id="rId43"/>
          <w:footerReference w:type="default" r:id="rId44"/>
          <w:pgSz w:w="8790" w:h="12760"/>
          <w:pgMar w:header="697" w:footer="725" w:top="880" w:bottom="920" w:left="1200" w:right="900"/>
          <w:pgNumType w:start="12"/>
        </w:sectPr>
      </w:pPr>
    </w:p>
    <w:p>
      <w:pPr>
        <w:spacing w:before="64"/>
        <w:ind w:left="100" w:right="328" w:firstLine="0"/>
        <w:jc w:val="right"/>
        <w:rPr>
          <w:rFonts w:ascii="Times New Roman" w:hAnsi="Times New Roman"/>
          <w:sz w:val="15"/>
        </w:rPr>
      </w:pPr>
      <w:r>
        <w:rPr>
          <w:rFonts w:ascii="Times New Roman" w:hAnsi="Times New Roman"/>
          <w:w w:val="105"/>
          <w:sz w:val="15"/>
        </w:rPr>
        <w:t>Prólogo</w:t>
      </w:r>
    </w:p>
    <w:p>
      <w:pPr>
        <w:pStyle w:val="BodyText"/>
        <w:rPr>
          <w:rFonts w:ascii="Times New Roman"/>
          <w:sz w:val="14"/>
        </w:rPr>
      </w:pPr>
    </w:p>
    <w:p>
      <w:pPr>
        <w:pStyle w:val="BodyText"/>
        <w:rPr>
          <w:rFonts w:ascii="Times New Roman"/>
          <w:sz w:val="14"/>
        </w:rPr>
      </w:pPr>
    </w:p>
    <w:p>
      <w:pPr>
        <w:pStyle w:val="BodyText"/>
        <w:spacing w:line="252" w:lineRule="auto" w:before="89"/>
        <w:ind w:left="100" w:right="327"/>
        <w:jc w:val="both"/>
      </w:pPr>
      <w:r>
        <w:rPr>
          <w:w w:val="107"/>
        </w:rPr>
        <w:t>bre</w:t>
      </w:r>
      <w:r>
        <w:rPr>
          <w:spacing w:val="20"/>
        </w:rPr>
        <w:t> </w:t>
      </w:r>
      <w:r>
        <w:rPr>
          <w:w w:val="111"/>
        </w:rPr>
        <w:t>Estados</w:t>
      </w:r>
      <w:r>
        <w:rPr>
          <w:spacing w:val="20"/>
        </w:rPr>
        <w:t> </w:t>
      </w:r>
      <w:r>
        <w:rPr>
          <w:w w:val="140"/>
        </w:rPr>
        <w:t>u</w:t>
      </w:r>
      <w:r>
        <w:rPr>
          <w:w w:val="110"/>
        </w:rPr>
        <w:t>nidos</w:t>
      </w:r>
      <w:r>
        <w:rPr>
          <w:spacing w:val="20"/>
        </w:rPr>
        <w:t> </w:t>
      </w:r>
      <w:r>
        <w:rPr>
          <w:w w:val="105"/>
        </w:rPr>
        <w:t>se</w:t>
      </w:r>
      <w:r>
        <w:rPr>
          <w:spacing w:val="20"/>
        </w:rPr>
        <w:t> </w:t>
      </w:r>
      <w:r>
        <w:rPr>
          <w:w w:val="110"/>
        </w:rPr>
        <w:t>multipliquen</w:t>
      </w:r>
      <w:r>
        <w:rPr>
          <w:spacing w:val="20"/>
        </w:rPr>
        <w:t> </w:t>
      </w:r>
      <w:r>
        <w:rPr>
          <w:w w:val="108"/>
        </w:rPr>
        <w:t>en</w:t>
      </w:r>
      <w:r>
        <w:rPr>
          <w:spacing w:val="20"/>
        </w:rPr>
        <w:t> </w:t>
      </w:r>
      <w:r>
        <w:rPr>
          <w:w w:val="139"/>
        </w:rPr>
        <w:t>a</w:t>
      </w:r>
      <w:r>
        <w:rPr>
          <w:w w:val="111"/>
        </w:rPr>
        <w:t>mérica</w:t>
      </w:r>
      <w:r>
        <w:rPr>
          <w:spacing w:val="20"/>
        </w:rPr>
        <w:t> </w:t>
      </w:r>
      <w:r>
        <w:rPr>
          <w:w w:val="243"/>
        </w:rPr>
        <w:t>l</w:t>
      </w:r>
      <w:r>
        <w:rPr>
          <w:w w:val="113"/>
        </w:rPr>
        <w:t>atina.</w:t>
      </w:r>
      <w:r>
        <w:rPr>
          <w:spacing w:val="20"/>
        </w:rPr>
        <w:t> </w:t>
      </w:r>
      <w:r>
        <w:rPr>
          <w:w w:val="113"/>
        </w:rPr>
        <w:t>Que</w:t>
      </w:r>
      <w:r>
        <w:rPr>
          <w:spacing w:val="20"/>
        </w:rPr>
        <w:t> </w:t>
      </w:r>
      <w:r>
        <w:rPr>
          <w:w w:val="111"/>
        </w:rPr>
        <w:t>Estados </w:t>
      </w:r>
      <w:r>
        <w:rPr>
          <w:w w:val="115"/>
        </w:rPr>
        <w:t>unidos</w:t>
      </w:r>
      <w:r>
        <w:rPr>
          <w:spacing w:val="-20"/>
          <w:w w:val="115"/>
        </w:rPr>
        <w:t> </w:t>
      </w:r>
      <w:r>
        <w:rPr>
          <w:w w:val="115"/>
        </w:rPr>
        <w:t>haya</w:t>
      </w:r>
      <w:r>
        <w:rPr>
          <w:spacing w:val="-20"/>
          <w:w w:val="115"/>
        </w:rPr>
        <w:t> </w:t>
      </w:r>
      <w:r>
        <w:rPr>
          <w:w w:val="115"/>
        </w:rPr>
        <w:t>desarrollado</w:t>
      </w:r>
      <w:r>
        <w:rPr>
          <w:spacing w:val="-20"/>
          <w:w w:val="115"/>
        </w:rPr>
        <w:t> </w:t>
      </w:r>
      <w:r>
        <w:rPr>
          <w:w w:val="115"/>
        </w:rPr>
        <w:t>una</w:t>
      </w:r>
      <w:r>
        <w:rPr>
          <w:spacing w:val="-20"/>
          <w:w w:val="115"/>
        </w:rPr>
        <w:t> </w:t>
      </w:r>
      <w:r>
        <w:rPr>
          <w:w w:val="115"/>
        </w:rPr>
        <w:t>serie</w:t>
      </w:r>
      <w:r>
        <w:rPr>
          <w:spacing w:val="-20"/>
          <w:w w:val="115"/>
        </w:rPr>
        <w:t> </w:t>
      </w:r>
      <w:r>
        <w:rPr>
          <w:w w:val="115"/>
        </w:rPr>
        <w:t>de</w:t>
      </w:r>
      <w:r>
        <w:rPr>
          <w:spacing w:val="-20"/>
          <w:w w:val="115"/>
        </w:rPr>
        <w:t> </w:t>
      </w:r>
      <w:r>
        <w:rPr>
          <w:w w:val="115"/>
        </w:rPr>
        <w:t>instituciones</w:t>
      </w:r>
      <w:r>
        <w:rPr>
          <w:spacing w:val="-20"/>
          <w:w w:val="115"/>
        </w:rPr>
        <w:t> </w:t>
      </w:r>
      <w:r>
        <w:rPr>
          <w:w w:val="115"/>
        </w:rPr>
        <w:t>académicas</w:t>
      </w:r>
      <w:r>
        <w:rPr>
          <w:spacing w:val="-20"/>
          <w:w w:val="115"/>
        </w:rPr>
        <w:t> </w:t>
      </w:r>
      <w:r>
        <w:rPr>
          <w:w w:val="115"/>
        </w:rPr>
        <w:t>para </w:t>
      </w:r>
      <w:r>
        <w:rPr>
          <w:w w:val="107"/>
        </w:rPr>
        <w:t>interpretar</w:t>
      </w:r>
      <w:r>
        <w:rPr>
          <w:spacing w:val="19"/>
        </w:rPr>
        <w:t> </w:t>
      </w:r>
      <w:r>
        <w:rPr>
          <w:w w:val="139"/>
        </w:rPr>
        <w:t>a</w:t>
      </w:r>
      <w:r>
        <w:rPr>
          <w:w w:val="111"/>
        </w:rPr>
        <w:t>mérica</w:t>
      </w:r>
      <w:r>
        <w:rPr>
          <w:spacing w:val="19"/>
        </w:rPr>
        <w:t> </w:t>
      </w:r>
      <w:r>
        <w:rPr>
          <w:w w:val="243"/>
        </w:rPr>
        <w:t>l</w:t>
      </w:r>
      <w:r>
        <w:rPr>
          <w:w w:val="111"/>
        </w:rPr>
        <w:t>atina</w:t>
      </w:r>
      <w:r>
        <w:rPr>
          <w:spacing w:val="19"/>
        </w:rPr>
        <w:t> </w:t>
      </w:r>
      <w:r>
        <w:rPr>
          <w:w w:val="108"/>
        </w:rPr>
        <w:t>porque</w:t>
      </w:r>
      <w:r>
        <w:rPr>
          <w:spacing w:val="19"/>
        </w:rPr>
        <w:t> </w:t>
      </w:r>
      <w:r>
        <w:rPr>
          <w:w w:val="107"/>
        </w:rPr>
        <w:t>le</w:t>
      </w:r>
      <w:r>
        <w:rPr>
          <w:spacing w:val="19"/>
        </w:rPr>
        <w:t> </w:t>
      </w:r>
      <w:r>
        <w:rPr>
          <w:w w:val="108"/>
        </w:rPr>
        <w:t>interesa</w:t>
      </w:r>
      <w:r>
        <w:rPr>
          <w:spacing w:val="19"/>
        </w:rPr>
        <w:t> </w:t>
      </w:r>
      <w:r>
        <w:rPr>
          <w:w w:val="107"/>
        </w:rPr>
        <w:t>perpetuar</w:t>
      </w:r>
      <w:r>
        <w:rPr>
          <w:spacing w:val="19"/>
        </w:rPr>
        <w:t> </w:t>
      </w:r>
      <w:r>
        <w:rPr>
          <w:w w:val="109"/>
        </w:rPr>
        <w:t>su</w:t>
      </w:r>
      <w:r>
        <w:rPr>
          <w:spacing w:val="19"/>
        </w:rPr>
        <w:t> </w:t>
      </w:r>
      <w:r>
        <w:rPr>
          <w:w w:val="107"/>
        </w:rPr>
        <w:t>poder</w:t>
      </w:r>
      <w:r>
        <w:rPr>
          <w:spacing w:val="19"/>
        </w:rPr>
        <w:t> </w:t>
      </w:r>
      <w:r>
        <w:rPr>
          <w:w w:val="108"/>
        </w:rPr>
        <w:t>so</w:t>
      </w:r>
      <w:r>
        <w:rPr>
          <w:w w:val="102"/>
        </w:rPr>
        <w:t>- </w:t>
      </w:r>
      <w:r>
        <w:rPr>
          <w:w w:val="115"/>
        </w:rPr>
        <w:t>bre la región </w:t>
      </w:r>
      <w:r>
        <w:rPr>
          <w:spacing w:val="-11"/>
          <w:w w:val="115"/>
        </w:rPr>
        <w:t>y, </w:t>
      </w:r>
      <w:r>
        <w:rPr>
          <w:w w:val="115"/>
        </w:rPr>
        <w:t>para hacerlo, es necesario conocerla cada vez </w:t>
      </w:r>
      <w:r>
        <w:rPr>
          <w:spacing w:val="-4"/>
          <w:w w:val="115"/>
        </w:rPr>
        <w:t>mejor, </w:t>
      </w:r>
      <w:r>
        <w:rPr>
          <w:w w:val="108"/>
        </w:rPr>
        <w:t>puede</w:t>
      </w:r>
      <w:r>
        <w:rPr>
          <w:spacing w:val="20"/>
        </w:rPr>
        <w:t> </w:t>
      </w:r>
      <w:r>
        <w:rPr>
          <w:w w:val="105"/>
        </w:rPr>
        <w:t>ser</w:t>
      </w:r>
      <w:r>
        <w:rPr>
          <w:spacing w:val="20"/>
        </w:rPr>
        <w:t> </w:t>
      </w:r>
      <w:r>
        <w:rPr>
          <w:w w:val="112"/>
        </w:rPr>
        <w:t>criticable,</w:t>
      </w:r>
      <w:r>
        <w:rPr>
          <w:spacing w:val="20"/>
        </w:rPr>
        <w:t> </w:t>
      </w:r>
      <w:r>
        <w:rPr>
          <w:w w:val="110"/>
        </w:rPr>
        <w:t>aunque</w:t>
      </w:r>
      <w:r>
        <w:rPr>
          <w:spacing w:val="20"/>
        </w:rPr>
        <w:t> </w:t>
      </w:r>
      <w:r>
        <w:rPr>
          <w:w w:val="108"/>
        </w:rPr>
        <w:t>parece</w:t>
      </w:r>
      <w:r>
        <w:rPr>
          <w:spacing w:val="20"/>
        </w:rPr>
        <w:t> </w:t>
      </w:r>
      <w:r>
        <w:rPr>
          <w:w w:val="111"/>
        </w:rPr>
        <w:t>razonable.</w:t>
      </w:r>
      <w:r>
        <w:rPr>
          <w:spacing w:val="20"/>
        </w:rPr>
        <w:t> </w:t>
      </w:r>
      <w:r>
        <w:rPr>
          <w:w w:val="243"/>
        </w:rPr>
        <w:t>l</w:t>
      </w:r>
      <w:r>
        <w:rPr>
          <w:w w:val="110"/>
        </w:rPr>
        <w:t>o</w:t>
      </w:r>
      <w:r>
        <w:rPr>
          <w:spacing w:val="20"/>
        </w:rPr>
        <w:t> </w:t>
      </w:r>
      <w:r>
        <w:rPr>
          <w:w w:val="108"/>
        </w:rPr>
        <w:t>que</w:t>
      </w:r>
      <w:r>
        <w:rPr>
          <w:spacing w:val="20"/>
        </w:rPr>
        <w:t> </w:t>
      </w:r>
      <w:r>
        <w:rPr>
          <w:w w:val="111"/>
        </w:rPr>
        <w:t>no</w:t>
      </w:r>
      <w:r>
        <w:rPr>
          <w:spacing w:val="20"/>
        </w:rPr>
        <w:t> </w:t>
      </w:r>
      <w:r>
        <w:rPr>
          <w:w w:val="109"/>
        </w:rPr>
        <w:t>deja</w:t>
      </w:r>
      <w:r>
        <w:rPr>
          <w:spacing w:val="20"/>
        </w:rPr>
        <w:t> </w:t>
      </w:r>
      <w:r>
        <w:rPr>
          <w:w w:val="107"/>
        </w:rPr>
        <w:t>de</w:t>
      </w:r>
      <w:r>
        <w:rPr>
          <w:spacing w:val="20"/>
        </w:rPr>
        <w:t> </w:t>
      </w:r>
      <w:r>
        <w:rPr>
          <w:w w:val="105"/>
        </w:rPr>
        <w:t>ser </w:t>
      </w:r>
      <w:r>
        <w:rPr>
          <w:w w:val="112"/>
        </w:rPr>
        <w:t>una</w:t>
      </w:r>
      <w:r>
        <w:rPr/>
        <w:t> </w:t>
      </w:r>
      <w:r>
        <w:rPr>
          <w:spacing w:val="1"/>
        </w:rPr>
        <w:t> </w:t>
      </w:r>
      <w:r>
        <w:rPr>
          <w:w w:val="108"/>
        </w:rPr>
        <w:t>insensatez</w:t>
      </w:r>
      <w:r>
        <w:rPr/>
        <w:t> </w:t>
      </w:r>
      <w:r>
        <w:rPr>
          <w:spacing w:val="1"/>
        </w:rPr>
        <w:t> </w:t>
      </w:r>
      <w:r>
        <w:rPr>
          <w:w w:val="105"/>
        </w:rPr>
        <w:t>es</w:t>
      </w:r>
      <w:r>
        <w:rPr/>
        <w:t> </w:t>
      </w:r>
      <w:r>
        <w:rPr>
          <w:spacing w:val="1"/>
        </w:rPr>
        <w:t> </w:t>
      </w:r>
      <w:r>
        <w:rPr>
          <w:w w:val="111"/>
        </w:rPr>
        <w:t>que,</w:t>
      </w:r>
      <w:r>
        <w:rPr/>
        <w:t> </w:t>
      </w:r>
      <w:r>
        <w:rPr>
          <w:spacing w:val="1"/>
        </w:rPr>
        <w:t> </w:t>
      </w:r>
      <w:r>
        <w:rPr>
          <w:w w:val="108"/>
        </w:rPr>
        <w:t>en</w:t>
      </w:r>
      <w:r>
        <w:rPr/>
        <w:t> </w:t>
      </w:r>
      <w:r>
        <w:rPr>
          <w:spacing w:val="1"/>
        </w:rPr>
        <w:t> </w:t>
      </w:r>
      <w:r>
        <w:rPr>
          <w:w w:val="139"/>
        </w:rPr>
        <w:t>a</w:t>
      </w:r>
      <w:r>
        <w:rPr>
          <w:w w:val="111"/>
        </w:rPr>
        <w:t>mérica</w:t>
      </w:r>
      <w:r>
        <w:rPr/>
        <w:t> </w:t>
      </w:r>
      <w:r>
        <w:rPr>
          <w:spacing w:val="1"/>
        </w:rPr>
        <w:t> </w:t>
      </w:r>
      <w:r>
        <w:rPr>
          <w:w w:val="243"/>
        </w:rPr>
        <w:t>l</w:t>
      </w:r>
      <w:r>
        <w:rPr>
          <w:w w:val="113"/>
        </w:rPr>
        <w:t>atina,</w:t>
      </w:r>
      <w:r>
        <w:rPr/>
        <w:t> </w:t>
      </w:r>
      <w:r>
        <w:rPr>
          <w:spacing w:val="1"/>
        </w:rPr>
        <w:t> </w:t>
      </w:r>
      <w:r>
        <w:rPr>
          <w:w w:val="107"/>
        </w:rPr>
        <w:t>sea</w:t>
      </w:r>
      <w:r>
        <w:rPr/>
        <w:t> </w:t>
      </w:r>
      <w:r>
        <w:rPr>
          <w:spacing w:val="1"/>
        </w:rPr>
        <w:t> </w:t>
      </w:r>
      <w:r>
        <w:rPr>
          <w:w w:val="110"/>
        </w:rPr>
        <w:t>tan</w:t>
      </w:r>
      <w:r>
        <w:rPr/>
        <w:t> </w:t>
      </w:r>
      <w:r>
        <w:rPr>
          <w:spacing w:val="1"/>
        </w:rPr>
        <w:t> </w:t>
      </w:r>
      <w:r>
        <w:rPr>
          <w:w w:val="108"/>
        </w:rPr>
        <w:t>raro</w:t>
      </w:r>
      <w:r>
        <w:rPr/>
        <w:t> </w:t>
      </w:r>
      <w:r>
        <w:rPr>
          <w:spacing w:val="1"/>
        </w:rPr>
        <w:t> </w:t>
      </w:r>
      <w:r>
        <w:rPr>
          <w:w w:val="108"/>
        </w:rPr>
        <w:t>estudiar</w:t>
      </w:r>
      <w:r>
        <w:rPr/>
        <w:t> </w:t>
      </w:r>
      <w:r>
        <w:rPr>
          <w:spacing w:val="1"/>
        </w:rPr>
        <w:t> </w:t>
      </w:r>
      <w:r>
        <w:rPr>
          <w:w w:val="111"/>
        </w:rPr>
        <w:t>la </w:t>
      </w:r>
      <w:r>
        <w:rPr>
          <w:w w:val="115"/>
        </w:rPr>
        <w:t>realidad</w:t>
      </w:r>
      <w:r>
        <w:rPr>
          <w:spacing w:val="-23"/>
          <w:w w:val="115"/>
        </w:rPr>
        <w:t> </w:t>
      </w:r>
      <w:r>
        <w:rPr>
          <w:w w:val="115"/>
        </w:rPr>
        <w:t>política,</w:t>
      </w:r>
      <w:r>
        <w:rPr>
          <w:spacing w:val="-23"/>
          <w:w w:val="115"/>
        </w:rPr>
        <w:t> </w:t>
      </w:r>
      <w:r>
        <w:rPr>
          <w:w w:val="115"/>
        </w:rPr>
        <w:t>económica,</w:t>
      </w:r>
      <w:r>
        <w:rPr>
          <w:spacing w:val="-23"/>
          <w:w w:val="115"/>
        </w:rPr>
        <w:t> </w:t>
      </w:r>
      <w:r>
        <w:rPr>
          <w:spacing w:val="-3"/>
          <w:w w:val="115"/>
        </w:rPr>
        <w:t>militar,</w:t>
      </w:r>
      <w:r>
        <w:rPr>
          <w:spacing w:val="-23"/>
          <w:w w:val="115"/>
        </w:rPr>
        <w:t> </w:t>
      </w:r>
      <w:r>
        <w:rPr>
          <w:w w:val="115"/>
        </w:rPr>
        <w:t>cultural,</w:t>
      </w:r>
      <w:r>
        <w:rPr>
          <w:spacing w:val="-23"/>
          <w:w w:val="115"/>
        </w:rPr>
        <w:t> </w:t>
      </w:r>
      <w:r>
        <w:rPr>
          <w:w w:val="115"/>
        </w:rPr>
        <w:t>educativa,</w:t>
      </w:r>
      <w:r>
        <w:rPr>
          <w:spacing w:val="-23"/>
          <w:w w:val="115"/>
        </w:rPr>
        <w:t> </w:t>
      </w:r>
      <w:r>
        <w:rPr>
          <w:w w:val="115"/>
        </w:rPr>
        <w:t>social</w:t>
      </w:r>
      <w:r>
        <w:rPr>
          <w:spacing w:val="-23"/>
          <w:w w:val="115"/>
        </w:rPr>
        <w:t> </w:t>
      </w:r>
      <w:r>
        <w:rPr>
          <w:w w:val="115"/>
        </w:rPr>
        <w:t>y</w:t>
      </w:r>
      <w:r>
        <w:rPr>
          <w:spacing w:val="-23"/>
          <w:w w:val="115"/>
        </w:rPr>
        <w:t> </w:t>
      </w:r>
      <w:r>
        <w:rPr>
          <w:w w:val="115"/>
        </w:rPr>
        <w:t>cien- tífica del mayor imperio de la historia humana. Entender y</w:t>
      </w:r>
      <w:r>
        <w:rPr>
          <w:spacing w:val="-11"/>
          <w:w w:val="115"/>
        </w:rPr>
        <w:t> </w:t>
      </w:r>
      <w:r>
        <w:rPr>
          <w:w w:val="115"/>
        </w:rPr>
        <w:t>estudiar qué</w:t>
      </w:r>
      <w:r>
        <w:rPr>
          <w:spacing w:val="-14"/>
          <w:w w:val="115"/>
        </w:rPr>
        <w:t> </w:t>
      </w:r>
      <w:r>
        <w:rPr>
          <w:w w:val="115"/>
        </w:rPr>
        <w:t>han</w:t>
      </w:r>
      <w:r>
        <w:rPr>
          <w:spacing w:val="-14"/>
          <w:w w:val="115"/>
        </w:rPr>
        <w:t> </w:t>
      </w:r>
      <w:r>
        <w:rPr>
          <w:w w:val="115"/>
        </w:rPr>
        <w:t>sido,</w:t>
      </w:r>
      <w:r>
        <w:rPr>
          <w:spacing w:val="-14"/>
          <w:w w:val="115"/>
        </w:rPr>
        <w:t> </w:t>
      </w:r>
      <w:r>
        <w:rPr>
          <w:w w:val="115"/>
        </w:rPr>
        <w:t>qué</w:t>
      </w:r>
      <w:r>
        <w:rPr>
          <w:spacing w:val="-14"/>
          <w:w w:val="115"/>
        </w:rPr>
        <w:t> </w:t>
      </w:r>
      <w:r>
        <w:rPr>
          <w:w w:val="115"/>
        </w:rPr>
        <w:t>son</w:t>
      </w:r>
      <w:r>
        <w:rPr>
          <w:spacing w:val="-14"/>
          <w:w w:val="115"/>
        </w:rPr>
        <w:t> </w:t>
      </w:r>
      <w:r>
        <w:rPr>
          <w:w w:val="115"/>
        </w:rPr>
        <w:t>y</w:t>
      </w:r>
      <w:r>
        <w:rPr>
          <w:spacing w:val="-14"/>
          <w:w w:val="115"/>
        </w:rPr>
        <w:t> </w:t>
      </w:r>
      <w:r>
        <w:rPr>
          <w:w w:val="115"/>
        </w:rPr>
        <w:t>en</w:t>
      </w:r>
      <w:r>
        <w:rPr>
          <w:spacing w:val="-14"/>
          <w:w w:val="115"/>
        </w:rPr>
        <w:t> </w:t>
      </w:r>
      <w:r>
        <w:rPr>
          <w:w w:val="115"/>
        </w:rPr>
        <w:t>que</w:t>
      </w:r>
      <w:r>
        <w:rPr>
          <w:spacing w:val="-14"/>
          <w:w w:val="115"/>
        </w:rPr>
        <w:t> </w:t>
      </w:r>
      <w:r>
        <w:rPr>
          <w:w w:val="115"/>
        </w:rPr>
        <w:t>pretenden</w:t>
      </w:r>
      <w:r>
        <w:rPr>
          <w:spacing w:val="-14"/>
          <w:w w:val="115"/>
        </w:rPr>
        <w:t> </w:t>
      </w:r>
      <w:r>
        <w:rPr>
          <w:w w:val="115"/>
        </w:rPr>
        <w:t>transformar</w:t>
      </w:r>
      <w:r>
        <w:rPr>
          <w:spacing w:val="-14"/>
          <w:w w:val="115"/>
        </w:rPr>
        <w:t> </w:t>
      </w:r>
      <w:r>
        <w:rPr>
          <w:w w:val="115"/>
        </w:rPr>
        <w:t>sus</w:t>
      </w:r>
      <w:r>
        <w:rPr>
          <w:spacing w:val="-14"/>
          <w:w w:val="115"/>
        </w:rPr>
        <w:t> </w:t>
      </w:r>
      <w:r>
        <w:rPr>
          <w:w w:val="115"/>
        </w:rPr>
        <w:t>élites</w:t>
      </w:r>
      <w:r>
        <w:rPr>
          <w:spacing w:val="-14"/>
          <w:w w:val="115"/>
        </w:rPr>
        <w:t> </w:t>
      </w:r>
      <w:r>
        <w:rPr>
          <w:w w:val="115"/>
        </w:rPr>
        <w:t>a</w:t>
      </w:r>
      <w:r>
        <w:rPr>
          <w:spacing w:val="-14"/>
          <w:w w:val="115"/>
        </w:rPr>
        <w:t> </w:t>
      </w:r>
      <w:r>
        <w:rPr>
          <w:w w:val="115"/>
        </w:rPr>
        <w:t>los Estados</w:t>
      </w:r>
      <w:r>
        <w:rPr>
          <w:spacing w:val="-18"/>
          <w:w w:val="115"/>
        </w:rPr>
        <w:t> </w:t>
      </w:r>
      <w:r>
        <w:rPr>
          <w:w w:val="115"/>
        </w:rPr>
        <w:t>unidos,</w:t>
      </w:r>
      <w:r>
        <w:rPr>
          <w:spacing w:val="-18"/>
          <w:w w:val="115"/>
        </w:rPr>
        <w:t> </w:t>
      </w:r>
      <w:r>
        <w:rPr>
          <w:w w:val="115"/>
        </w:rPr>
        <w:t>es</w:t>
      </w:r>
      <w:r>
        <w:rPr>
          <w:spacing w:val="-18"/>
          <w:w w:val="115"/>
        </w:rPr>
        <w:t> </w:t>
      </w:r>
      <w:r>
        <w:rPr>
          <w:w w:val="115"/>
        </w:rPr>
        <w:t>un</w:t>
      </w:r>
      <w:r>
        <w:rPr>
          <w:spacing w:val="-18"/>
          <w:w w:val="115"/>
        </w:rPr>
        <w:t> </w:t>
      </w:r>
      <w:r>
        <w:rPr>
          <w:w w:val="115"/>
        </w:rPr>
        <w:t>requisito</w:t>
      </w:r>
      <w:r>
        <w:rPr>
          <w:spacing w:val="-18"/>
          <w:w w:val="115"/>
        </w:rPr>
        <w:t> </w:t>
      </w:r>
      <w:r>
        <w:rPr>
          <w:w w:val="115"/>
        </w:rPr>
        <w:t>fundamental</w:t>
      </w:r>
      <w:r>
        <w:rPr>
          <w:spacing w:val="-18"/>
          <w:w w:val="115"/>
        </w:rPr>
        <w:t> </w:t>
      </w:r>
      <w:r>
        <w:rPr>
          <w:w w:val="115"/>
        </w:rPr>
        <w:t>no</w:t>
      </w:r>
      <w:r>
        <w:rPr>
          <w:spacing w:val="-18"/>
          <w:w w:val="115"/>
        </w:rPr>
        <w:t> </w:t>
      </w:r>
      <w:r>
        <w:rPr>
          <w:w w:val="115"/>
        </w:rPr>
        <w:t>sólo</w:t>
      </w:r>
      <w:r>
        <w:rPr>
          <w:spacing w:val="-18"/>
          <w:w w:val="115"/>
        </w:rPr>
        <w:t> </w:t>
      </w:r>
      <w:r>
        <w:rPr>
          <w:w w:val="115"/>
        </w:rPr>
        <w:t>para</w:t>
      </w:r>
      <w:r>
        <w:rPr>
          <w:spacing w:val="-18"/>
          <w:w w:val="115"/>
        </w:rPr>
        <w:t> </w:t>
      </w:r>
      <w:r>
        <w:rPr>
          <w:w w:val="115"/>
        </w:rPr>
        <w:t>luchar</w:t>
      </w:r>
      <w:r>
        <w:rPr>
          <w:spacing w:val="-18"/>
          <w:w w:val="115"/>
        </w:rPr>
        <w:t> </w:t>
      </w:r>
      <w:r>
        <w:rPr>
          <w:w w:val="115"/>
        </w:rPr>
        <w:t>con- tra</w:t>
      </w:r>
      <w:r>
        <w:rPr>
          <w:spacing w:val="-4"/>
          <w:w w:val="115"/>
        </w:rPr>
        <w:t> </w:t>
      </w:r>
      <w:r>
        <w:rPr>
          <w:w w:val="115"/>
        </w:rPr>
        <w:t>las</w:t>
      </w:r>
      <w:r>
        <w:rPr>
          <w:spacing w:val="-4"/>
          <w:w w:val="115"/>
        </w:rPr>
        <w:t> </w:t>
      </w:r>
      <w:r>
        <w:rPr>
          <w:w w:val="115"/>
        </w:rPr>
        <w:t>formas</w:t>
      </w:r>
      <w:r>
        <w:rPr>
          <w:spacing w:val="-4"/>
          <w:w w:val="115"/>
        </w:rPr>
        <w:t> </w:t>
      </w:r>
      <w:r>
        <w:rPr>
          <w:w w:val="115"/>
        </w:rPr>
        <w:t>de</w:t>
      </w:r>
      <w:r>
        <w:rPr>
          <w:spacing w:val="-4"/>
          <w:w w:val="115"/>
        </w:rPr>
        <w:t> </w:t>
      </w:r>
      <w:r>
        <w:rPr>
          <w:w w:val="115"/>
        </w:rPr>
        <w:t>dominación</w:t>
      </w:r>
      <w:r>
        <w:rPr>
          <w:spacing w:val="-4"/>
          <w:w w:val="115"/>
        </w:rPr>
        <w:t> </w:t>
      </w:r>
      <w:r>
        <w:rPr>
          <w:w w:val="115"/>
        </w:rPr>
        <w:t>e</w:t>
      </w:r>
      <w:r>
        <w:rPr>
          <w:spacing w:val="-4"/>
          <w:w w:val="115"/>
        </w:rPr>
        <w:t> </w:t>
      </w:r>
      <w:r>
        <w:rPr>
          <w:w w:val="115"/>
        </w:rPr>
        <w:t>intervención</w:t>
      </w:r>
      <w:r>
        <w:rPr>
          <w:spacing w:val="-4"/>
          <w:w w:val="115"/>
        </w:rPr>
        <w:t> </w:t>
      </w:r>
      <w:r>
        <w:rPr>
          <w:w w:val="115"/>
        </w:rPr>
        <w:t>colonial</w:t>
      </w:r>
      <w:r>
        <w:rPr>
          <w:spacing w:val="-4"/>
          <w:w w:val="115"/>
        </w:rPr>
        <w:t> </w:t>
      </w:r>
      <w:r>
        <w:rPr>
          <w:w w:val="115"/>
        </w:rPr>
        <w:t>que</w:t>
      </w:r>
      <w:r>
        <w:rPr>
          <w:spacing w:val="-4"/>
          <w:w w:val="115"/>
        </w:rPr>
        <w:t> </w:t>
      </w:r>
      <w:r>
        <w:rPr>
          <w:w w:val="115"/>
        </w:rPr>
        <w:t>dicho</w:t>
      </w:r>
      <w:r>
        <w:rPr>
          <w:spacing w:val="-4"/>
          <w:w w:val="115"/>
        </w:rPr>
        <w:t> </w:t>
      </w:r>
      <w:r>
        <w:rPr>
          <w:w w:val="115"/>
        </w:rPr>
        <w:t>país </w:t>
      </w:r>
      <w:r>
        <w:rPr>
          <w:w w:val="112"/>
        </w:rPr>
        <w:t>ha</w:t>
      </w:r>
      <w:r>
        <w:rPr/>
        <w:t> </w:t>
      </w:r>
      <w:r>
        <w:rPr>
          <w:spacing w:val="-21"/>
        </w:rPr>
        <w:t> </w:t>
      </w:r>
      <w:r>
        <w:rPr>
          <w:w w:val="110"/>
        </w:rPr>
        <w:t>impuesto</w:t>
      </w:r>
      <w:r>
        <w:rPr/>
        <w:t> </w:t>
      </w:r>
      <w:r>
        <w:rPr>
          <w:spacing w:val="-21"/>
        </w:rPr>
        <w:t> </w:t>
      </w:r>
      <w:r>
        <w:rPr>
          <w:w w:val="112"/>
        </w:rPr>
        <w:t>a</w:t>
      </w:r>
      <w:r>
        <w:rPr/>
        <w:t> </w:t>
      </w:r>
      <w:r>
        <w:rPr>
          <w:spacing w:val="-21"/>
        </w:rPr>
        <w:t> </w:t>
      </w:r>
      <w:r>
        <w:rPr>
          <w:w w:val="139"/>
        </w:rPr>
        <w:t>a</w:t>
      </w:r>
      <w:r>
        <w:rPr>
          <w:w w:val="111"/>
        </w:rPr>
        <w:t>mérica</w:t>
      </w:r>
      <w:r>
        <w:rPr/>
        <w:t> </w:t>
      </w:r>
      <w:r>
        <w:rPr>
          <w:spacing w:val="-21"/>
        </w:rPr>
        <w:t> </w:t>
      </w:r>
      <w:r>
        <w:rPr>
          <w:w w:val="243"/>
        </w:rPr>
        <w:t>l</w:t>
      </w:r>
      <w:r>
        <w:rPr>
          <w:w w:val="111"/>
        </w:rPr>
        <w:t>atina</w:t>
      </w:r>
      <w:r>
        <w:rPr/>
        <w:t> </w:t>
      </w:r>
      <w:r>
        <w:rPr>
          <w:spacing w:val="-21"/>
        </w:rPr>
        <w:t> </w:t>
      </w:r>
      <w:r>
        <w:rPr>
          <w:w w:val="109"/>
        </w:rPr>
        <w:t>durante</w:t>
      </w:r>
      <w:r>
        <w:rPr/>
        <w:t> </w:t>
      </w:r>
      <w:r>
        <w:rPr>
          <w:spacing w:val="-21"/>
        </w:rPr>
        <w:t> </w:t>
      </w:r>
      <w:r>
        <w:rPr>
          <w:w w:val="107"/>
        </w:rPr>
        <w:t>el</w:t>
      </w:r>
      <w:r>
        <w:rPr/>
        <w:t> </w:t>
      </w:r>
      <w:r>
        <w:rPr>
          <w:spacing w:val="-21"/>
        </w:rPr>
        <w:t> </w:t>
      </w:r>
      <w:r>
        <w:rPr>
          <w:w w:val="111"/>
        </w:rPr>
        <w:t>último</w:t>
      </w:r>
      <w:r>
        <w:rPr/>
        <w:t> </w:t>
      </w:r>
      <w:r>
        <w:rPr>
          <w:spacing w:val="-21"/>
        </w:rPr>
        <w:t> </w:t>
      </w:r>
      <w:r>
        <w:rPr>
          <w:w w:val="112"/>
        </w:rPr>
        <w:t>siglo,</w:t>
      </w:r>
      <w:r>
        <w:rPr/>
        <w:t> </w:t>
      </w:r>
      <w:r>
        <w:rPr>
          <w:spacing w:val="-21"/>
        </w:rPr>
        <w:t> </w:t>
      </w:r>
      <w:r>
        <w:rPr>
          <w:w w:val="110"/>
        </w:rPr>
        <w:t>sino</w:t>
      </w:r>
      <w:r>
        <w:rPr/>
        <w:t> </w:t>
      </w:r>
      <w:r>
        <w:rPr>
          <w:spacing w:val="-21"/>
        </w:rPr>
        <w:t> </w:t>
      </w:r>
      <w:r>
        <w:rPr>
          <w:w w:val="112"/>
        </w:rPr>
        <w:t>también, </w:t>
      </w:r>
      <w:r>
        <w:rPr>
          <w:w w:val="115"/>
        </w:rPr>
        <w:t>para</w:t>
      </w:r>
      <w:r>
        <w:rPr>
          <w:spacing w:val="-14"/>
          <w:w w:val="115"/>
        </w:rPr>
        <w:t> </w:t>
      </w:r>
      <w:r>
        <w:rPr>
          <w:w w:val="115"/>
        </w:rPr>
        <w:t>establecer</w:t>
      </w:r>
      <w:r>
        <w:rPr>
          <w:spacing w:val="-14"/>
          <w:w w:val="115"/>
        </w:rPr>
        <w:t> </w:t>
      </w:r>
      <w:r>
        <w:rPr>
          <w:w w:val="115"/>
        </w:rPr>
        <w:t>alianzas</w:t>
      </w:r>
      <w:r>
        <w:rPr>
          <w:spacing w:val="-14"/>
          <w:w w:val="115"/>
        </w:rPr>
        <w:t> </w:t>
      </w:r>
      <w:r>
        <w:rPr>
          <w:w w:val="115"/>
        </w:rPr>
        <w:t>y</w:t>
      </w:r>
      <w:r>
        <w:rPr>
          <w:spacing w:val="-14"/>
          <w:w w:val="115"/>
        </w:rPr>
        <w:t> </w:t>
      </w:r>
      <w:r>
        <w:rPr>
          <w:w w:val="115"/>
        </w:rPr>
        <w:t>redes</w:t>
      </w:r>
      <w:r>
        <w:rPr>
          <w:spacing w:val="-14"/>
          <w:w w:val="115"/>
        </w:rPr>
        <w:t> </w:t>
      </w:r>
      <w:r>
        <w:rPr>
          <w:w w:val="115"/>
        </w:rPr>
        <w:t>de</w:t>
      </w:r>
      <w:r>
        <w:rPr>
          <w:spacing w:val="-14"/>
          <w:w w:val="115"/>
        </w:rPr>
        <w:t> </w:t>
      </w:r>
      <w:r>
        <w:rPr>
          <w:w w:val="115"/>
        </w:rPr>
        <w:t>solidaridad</w:t>
      </w:r>
      <w:r>
        <w:rPr>
          <w:spacing w:val="-14"/>
          <w:w w:val="115"/>
        </w:rPr>
        <w:t> </w:t>
      </w:r>
      <w:r>
        <w:rPr>
          <w:w w:val="115"/>
        </w:rPr>
        <w:t>con</w:t>
      </w:r>
      <w:r>
        <w:rPr>
          <w:spacing w:val="-14"/>
          <w:w w:val="115"/>
        </w:rPr>
        <w:t> </w:t>
      </w:r>
      <w:r>
        <w:rPr>
          <w:w w:val="115"/>
        </w:rPr>
        <w:t>los</w:t>
      </w:r>
      <w:r>
        <w:rPr>
          <w:spacing w:val="-14"/>
          <w:w w:val="115"/>
        </w:rPr>
        <w:t> </w:t>
      </w:r>
      <w:r>
        <w:rPr>
          <w:w w:val="115"/>
        </w:rPr>
        <w:t>movimientos, grupos y organizaciones, con los intelectuales y activistas que, casi siempre enfrentando la persecución y en muy difíciles condiciones políticas, luchan día a día para hacer de los Estados unidos una na- ción más justa, más democrática y que pueda pensarse y asumirse como</w:t>
      </w:r>
      <w:r>
        <w:rPr>
          <w:spacing w:val="-14"/>
          <w:w w:val="115"/>
        </w:rPr>
        <w:t> </w:t>
      </w:r>
      <w:r>
        <w:rPr>
          <w:w w:val="115"/>
        </w:rPr>
        <w:t>parte</w:t>
      </w:r>
      <w:r>
        <w:rPr>
          <w:spacing w:val="-14"/>
          <w:w w:val="115"/>
        </w:rPr>
        <w:t> </w:t>
      </w:r>
      <w:r>
        <w:rPr>
          <w:w w:val="115"/>
        </w:rPr>
        <w:t>de</w:t>
      </w:r>
      <w:r>
        <w:rPr>
          <w:spacing w:val="-14"/>
          <w:w w:val="115"/>
        </w:rPr>
        <w:t> </w:t>
      </w:r>
      <w:r>
        <w:rPr>
          <w:w w:val="115"/>
        </w:rPr>
        <w:t>un</w:t>
      </w:r>
      <w:r>
        <w:rPr>
          <w:spacing w:val="-14"/>
          <w:w w:val="115"/>
        </w:rPr>
        <w:t> </w:t>
      </w:r>
      <w:r>
        <w:rPr>
          <w:w w:val="115"/>
        </w:rPr>
        <w:t>proyecto</w:t>
      </w:r>
      <w:r>
        <w:rPr>
          <w:spacing w:val="-14"/>
          <w:w w:val="115"/>
        </w:rPr>
        <w:t> </w:t>
      </w:r>
      <w:r>
        <w:rPr>
          <w:w w:val="115"/>
        </w:rPr>
        <w:t>de</w:t>
      </w:r>
      <w:r>
        <w:rPr>
          <w:spacing w:val="-14"/>
          <w:w w:val="115"/>
        </w:rPr>
        <w:t> </w:t>
      </w:r>
      <w:r>
        <w:rPr>
          <w:w w:val="115"/>
        </w:rPr>
        <w:t>integración</w:t>
      </w:r>
      <w:r>
        <w:rPr>
          <w:spacing w:val="-14"/>
          <w:w w:val="115"/>
        </w:rPr>
        <w:t> </w:t>
      </w:r>
      <w:r>
        <w:rPr>
          <w:w w:val="115"/>
        </w:rPr>
        <w:t>continental</w:t>
      </w:r>
      <w:r>
        <w:rPr>
          <w:spacing w:val="-14"/>
          <w:w w:val="115"/>
        </w:rPr>
        <w:t> </w:t>
      </w:r>
      <w:r>
        <w:rPr>
          <w:w w:val="115"/>
        </w:rPr>
        <w:t>trasformador, </w:t>
      </w:r>
      <w:r>
        <w:rPr>
          <w:w w:val="110"/>
        </w:rPr>
        <w:t>soberano y</w:t>
      </w:r>
      <w:r>
        <w:rPr>
          <w:spacing w:val="16"/>
          <w:w w:val="110"/>
        </w:rPr>
        <w:t> </w:t>
      </w:r>
      <w:r>
        <w:rPr>
          <w:w w:val="110"/>
        </w:rPr>
        <w:t>solidario.</w:t>
      </w:r>
    </w:p>
    <w:p>
      <w:pPr>
        <w:pStyle w:val="BodyText"/>
        <w:spacing w:line="252" w:lineRule="auto"/>
        <w:ind w:left="100" w:right="328" w:firstLine="396"/>
        <w:jc w:val="both"/>
      </w:pPr>
      <w:r>
        <w:rPr>
          <w:w w:val="115"/>
        </w:rPr>
        <w:t>Este interés nos ha llevado no sólo a tratar de colaborar</w:t>
      </w:r>
      <w:r>
        <w:rPr>
          <w:spacing w:val="-14"/>
          <w:w w:val="115"/>
        </w:rPr>
        <w:t> </w:t>
      </w:r>
      <w:r>
        <w:rPr>
          <w:w w:val="115"/>
        </w:rPr>
        <w:t>activa- mente</w:t>
      </w:r>
      <w:r>
        <w:rPr>
          <w:spacing w:val="-14"/>
          <w:w w:val="115"/>
        </w:rPr>
        <w:t> </w:t>
      </w:r>
      <w:r>
        <w:rPr>
          <w:w w:val="115"/>
        </w:rPr>
        <w:t>para</w:t>
      </w:r>
      <w:r>
        <w:rPr>
          <w:spacing w:val="-14"/>
          <w:w w:val="115"/>
        </w:rPr>
        <w:t> </w:t>
      </w:r>
      <w:r>
        <w:rPr>
          <w:w w:val="115"/>
        </w:rPr>
        <w:t>que</w:t>
      </w:r>
      <w:r>
        <w:rPr>
          <w:spacing w:val="-14"/>
          <w:w w:val="115"/>
        </w:rPr>
        <w:t> </w:t>
      </w:r>
      <w:r>
        <w:rPr>
          <w:w w:val="115"/>
        </w:rPr>
        <w:t>Grupos</w:t>
      </w:r>
      <w:r>
        <w:rPr>
          <w:spacing w:val="-14"/>
          <w:w w:val="115"/>
        </w:rPr>
        <w:t> </w:t>
      </w:r>
      <w:r>
        <w:rPr>
          <w:w w:val="115"/>
        </w:rPr>
        <w:t>como</w:t>
      </w:r>
      <w:r>
        <w:rPr>
          <w:spacing w:val="-14"/>
          <w:w w:val="115"/>
        </w:rPr>
        <w:t> </w:t>
      </w:r>
      <w:r>
        <w:rPr>
          <w:w w:val="115"/>
        </w:rPr>
        <w:t>éste</w:t>
      </w:r>
      <w:r>
        <w:rPr>
          <w:spacing w:val="-14"/>
          <w:w w:val="115"/>
        </w:rPr>
        <w:t> </w:t>
      </w:r>
      <w:r>
        <w:rPr>
          <w:w w:val="115"/>
        </w:rPr>
        <w:t>realicen</w:t>
      </w:r>
      <w:r>
        <w:rPr>
          <w:spacing w:val="-14"/>
          <w:w w:val="115"/>
        </w:rPr>
        <w:t> </w:t>
      </w:r>
      <w:r>
        <w:rPr>
          <w:w w:val="115"/>
        </w:rPr>
        <w:t>sus</w:t>
      </w:r>
      <w:r>
        <w:rPr>
          <w:spacing w:val="-14"/>
          <w:w w:val="115"/>
        </w:rPr>
        <w:t> </w:t>
      </w:r>
      <w:r>
        <w:rPr>
          <w:w w:val="115"/>
        </w:rPr>
        <w:t>valiosos</w:t>
      </w:r>
      <w:r>
        <w:rPr>
          <w:spacing w:val="-14"/>
          <w:w w:val="115"/>
        </w:rPr>
        <w:t> </w:t>
      </w:r>
      <w:r>
        <w:rPr>
          <w:w w:val="115"/>
        </w:rPr>
        <w:t>aportes,</w:t>
      </w:r>
      <w:r>
        <w:rPr>
          <w:spacing w:val="-14"/>
          <w:w w:val="115"/>
        </w:rPr>
        <w:t> </w:t>
      </w:r>
      <w:r>
        <w:rPr>
          <w:w w:val="115"/>
        </w:rPr>
        <w:t>sino también a fortalecer la relación entre </w:t>
      </w:r>
      <w:r>
        <w:rPr>
          <w:w w:val="130"/>
        </w:rPr>
        <w:t>ClaCso </w:t>
      </w:r>
      <w:r>
        <w:rPr>
          <w:w w:val="115"/>
        </w:rPr>
        <w:t>y </w:t>
      </w:r>
      <w:r>
        <w:rPr>
          <w:w w:val="130"/>
        </w:rPr>
        <w:t>lasa; </w:t>
      </w:r>
      <w:r>
        <w:rPr>
          <w:w w:val="115"/>
        </w:rPr>
        <w:t>a sumar a nuestra</w:t>
      </w:r>
      <w:r>
        <w:rPr>
          <w:spacing w:val="-10"/>
          <w:w w:val="115"/>
        </w:rPr>
        <w:t> </w:t>
      </w:r>
      <w:r>
        <w:rPr>
          <w:w w:val="115"/>
        </w:rPr>
        <w:t>red</w:t>
      </w:r>
      <w:r>
        <w:rPr>
          <w:spacing w:val="-10"/>
          <w:w w:val="115"/>
        </w:rPr>
        <w:t> </w:t>
      </w:r>
      <w:r>
        <w:rPr>
          <w:w w:val="115"/>
        </w:rPr>
        <w:t>institucional</w:t>
      </w:r>
      <w:r>
        <w:rPr>
          <w:spacing w:val="-10"/>
          <w:w w:val="115"/>
        </w:rPr>
        <w:t> </w:t>
      </w:r>
      <w:r>
        <w:rPr>
          <w:w w:val="115"/>
        </w:rPr>
        <w:t>a</w:t>
      </w:r>
      <w:r>
        <w:rPr>
          <w:spacing w:val="-10"/>
          <w:w w:val="115"/>
        </w:rPr>
        <w:t> </w:t>
      </w:r>
      <w:r>
        <w:rPr>
          <w:w w:val="115"/>
        </w:rPr>
        <w:t>más</w:t>
      </w:r>
      <w:r>
        <w:rPr>
          <w:spacing w:val="-10"/>
          <w:w w:val="115"/>
        </w:rPr>
        <w:t> </w:t>
      </w:r>
      <w:r>
        <w:rPr>
          <w:w w:val="115"/>
        </w:rPr>
        <w:t>de</w:t>
      </w:r>
      <w:r>
        <w:rPr>
          <w:spacing w:val="-10"/>
          <w:w w:val="115"/>
        </w:rPr>
        <w:t> </w:t>
      </w:r>
      <w:r>
        <w:rPr>
          <w:w w:val="115"/>
        </w:rPr>
        <w:t>diez</w:t>
      </w:r>
      <w:r>
        <w:rPr>
          <w:spacing w:val="-10"/>
          <w:w w:val="115"/>
        </w:rPr>
        <w:t> </w:t>
      </w:r>
      <w:r>
        <w:rPr>
          <w:w w:val="115"/>
        </w:rPr>
        <w:t>centros</w:t>
      </w:r>
      <w:r>
        <w:rPr>
          <w:spacing w:val="-10"/>
          <w:w w:val="115"/>
        </w:rPr>
        <w:t> </w:t>
      </w:r>
      <w:r>
        <w:rPr>
          <w:w w:val="115"/>
        </w:rPr>
        <w:t>de</w:t>
      </w:r>
      <w:r>
        <w:rPr>
          <w:spacing w:val="-10"/>
          <w:w w:val="115"/>
        </w:rPr>
        <w:t> </w:t>
      </w:r>
      <w:r>
        <w:rPr>
          <w:w w:val="115"/>
        </w:rPr>
        <w:t>investigación</w:t>
      </w:r>
      <w:r>
        <w:rPr>
          <w:spacing w:val="-10"/>
          <w:w w:val="115"/>
        </w:rPr>
        <w:t> </w:t>
      </w:r>
      <w:r>
        <w:rPr>
          <w:spacing w:val="-4"/>
          <w:w w:val="115"/>
        </w:rPr>
        <w:t>nor- </w:t>
      </w:r>
      <w:r>
        <w:rPr>
          <w:w w:val="115"/>
        </w:rPr>
        <w:t>teamericanos;</w:t>
      </w:r>
      <w:r>
        <w:rPr>
          <w:spacing w:val="-24"/>
          <w:w w:val="115"/>
        </w:rPr>
        <w:t> </w:t>
      </w:r>
      <w:r>
        <w:rPr>
          <w:w w:val="115"/>
        </w:rPr>
        <w:t>a</w:t>
      </w:r>
      <w:r>
        <w:rPr>
          <w:spacing w:val="-24"/>
          <w:w w:val="115"/>
        </w:rPr>
        <w:t> </w:t>
      </w:r>
      <w:r>
        <w:rPr>
          <w:w w:val="115"/>
        </w:rPr>
        <w:t>promover</w:t>
      </w:r>
      <w:r>
        <w:rPr>
          <w:spacing w:val="-24"/>
          <w:w w:val="115"/>
        </w:rPr>
        <w:t> </w:t>
      </w:r>
      <w:r>
        <w:rPr>
          <w:w w:val="115"/>
        </w:rPr>
        <w:t>coloquios</w:t>
      </w:r>
      <w:r>
        <w:rPr>
          <w:spacing w:val="-24"/>
          <w:w w:val="115"/>
        </w:rPr>
        <w:t> </w:t>
      </w:r>
      <w:r>
        <w:rPr>
          <w:w w:val="115"/>
        </w:rPr>
        <w:t>y</w:t>
      </w:r>
      <w:r>
        <w:rPr>
          <w:spacing w:val="-24"/>
          <w:w w:val="115"/>
        </w:rPr>
        <w:t> </w:t>
      </w:r>
      <w:r>
        <w:rPr>
          <w:w w:val="115"/>
        </w:rPr>
        <w:t>reuniones</w:t>
      </w:r>
      <w:r>
        <w:rPr>
          <w:spacing w:val="-24"/>
          <w:w w:val="115"/>
        </w:rPr>
        <w:t> </w:t>
      </w:r>
      <w:r>
        <w:rPr>
          <w:w w:val="115"/>
        </w:rPr>
        <w:t>científicas,</w:t>
      </w:r>
      <w:r>
        <w:rPr>
          <w:spacing w:val="-24"/>
          <w:w w:val="115"/>
        </w:rPr>
        <w:t> </w:t>
      </w:r>
      <w:r>
        <w:rPr>
          <w:w w:val="115"/>
        </w:rPr>
        <w:t>premios y</w:t>
      </w:r>
      <w:r>
        <w:rPr>
          <w:spacing w:val="-28"/>
          <w:w w:val="115"/>
        </w:rPr>
        <w:t> </w:t>
      </w:r>
      <w:r>
        <w:rPr>
          <w:w w:val="115"/>
        </w:rPr>
        <w:t>convocatorias</w:t>
      </w:r>
      <w:r>
        <w:rPr>
          <w:spacing w:val="-28"/>
          <w:w w:val="115"/>
        </w:rPr>
        <w:t> </w:t>
      </w:r>
      <w:r>
        <w:rPr>
          <w:w w:val="115"/>
        </w:rPr>
        <w:t>de</w:t>
      </w:r>
      <w:r>
        <w:rPr>
          <w:spacing w:val="-28"/>
          <w:w w:val="115"/>
        </w:rPr>
        <w:t> </w:t>
      </w:r>
      <w:r>
        <w:rPr>
          <w:w w:val="115"/>
        </w:rPr>
        <w:t>investigación</w:t>
      </w:r>
      <w:r>
        <w:rPr>
          <w:spacing w:val="-28"/>
          <w:w w:val="115"/>
        </w:rPr>
        <w:t> </w:t>
      </w:r>
      <w:r>
        <w:rPr>
          <w:w w:val="115"/>
        </w:rPr>
        <w:t>que</w:t>
      </w:r>
      <w:r>
        <w:rPr>
          <w:spacing w:val="-28"/>
          <w:w w:val="115"/>
        </w:rPr>
        <w:t> </w:t>
      </w:r>
      <w:r>
        <w:rPr>
          <w:w w:val="115"/>
        </w:rPr>
        <w:t>integran</w:t>
      </w:r>
      <w:r>
        <w:rPr>
          <w:spacing w:val="-28"/>
          <w:w w:val="115"/>
        </w:rPr>
        <w:t> </w:t>
      </w:r>
      <w:r>
        <w:rPr>
          <w:w w:val="115"/>
        </w:rPr>
        <w:t>a</w:t>
      </w:r>
      <w:r>
        <w:rPr>
          <w:spacing w:val="-28"/>
          <w:w w:val="115"/>
        </w:rPr>
        <w:t> </w:t>
      </w:r>
      <w:r>
        <w:rPr>
          <w:w w:val="115"/>
        </w:rPr>
        <w:t>académicos</w:t>
      </w:r>
      <w:r>
        <w:rPr>
          <w:spacing w:val="-28"/>
          <w:w w:val="115"/>
        </w:rPr>
        <w:t> </w:t>
      </w:r>
      <w:r>
        <w:rPr>
          <w:w w:val="115"/>
        </w:rPr>
        <w:t>de</w:t>
      </w:r>
      <w:r>
        <w:rPr>
          <w:spacing w:val="-28"/>
          <w:w w:val="115"/>
        </w:rPr>
        <w:t> </w:t>
      </w:r>
      <w:r>
        <w:rPr>
          <w:w w:val="115"/>
        </w:rPr>
        <w:t>todo</w:t>
      </w:r>
      <w:r>
        <w:rPr>
          <w:spacing w:val="-28"/>
          <w:w w:val="115"/>
        </w:rPr>
        <w:t> </w:t>
      </w:r>
      <w:r>
        <w:rPr>
          <w:w w:val="115"/>
        </w:rPr>
        <w:t>el continente,</w:t>
      </w:r>
      <w:r>
        <w:rPr>
          <w:spacing w:val="-14"/>
          <w:w w:val="115"/>
        </w:rPr>
        <w:t> </w:t>
      </w:r>
      <w:r>
        <w:rPr>
          <w:w w:val="115"/>
        </w:rPr>
        <w:t>contribuyendo,</w:t>
      </w:r>
      <w:r>
        <w:rPr>
          <w:spacing w:val="-14"/>
          <w:w w:val="115"/>
        </w:rPr>
        <w:t> </w:t>
      </w:r>
      <w:r>
        <w:rPr>
          <w:w w:val="115"/>
        </w:rPr>
        <w:t>en</w:t>
      </w:r>
      <w:r>
        <w:rPr>
          <w:spacing w:val="-14"/>
          <w:w w:val="115"/>
        </w:rPr>
        <w:t> </w:t>
      </w:r>
      <w:r>
        <w:rPr>
          <w:w w:val="115"/>
        </w:rPr>
        <w:t>particular,</w:t>
      </w:r>
      <w:r>
        <w:rPr>
          <w:spacing w:val="-14"/>
          <w:w w:val="115"/>
        </w:rPr>
        <w:t> </w:t>
      </w:r>
      <w:r>
        <w:rPr>
          <w:w w:val="115"/>
        </w:rPr>
        <w:t>al</w:t>
      </w:r>
      <w:r>
        <w:rPr>
          <w:spacing w:val="-14"/>
          <w:w w:val="115"/>
        </w:rPr>
        <w:t> </w:t>
      </w:r>
      <w:r>
        <w:rPr>
          <w:w w:val="115"/>
        </w:rPr>
        <w:t>diálogo</w:t>
      </w:r>
      <w:r>
        <w:rPr>
          <w:spacing w:val="-14"/>
          <w:w w:val="115"/>
        </w:rPr>
        <w:t> </w:t>
      </w:r>
      <w:r>
        <w:rPr>
          <w:w w:val="115"/>
        </w:rPr>
        <w:t>de</w:t>
      </w:r>
      <w:r>
        <w:rPr>
          <w:spacing w:val="-14"/>
          <w:w w:val="115"/>
        </w:rPr>
        <w:t> </w:t>
      </w:r>
      <w:r>
        <w:rPr>
          <w:w w:val="115"/>
        </w:rPr>
        <w:t>saberes</w:t>
      </w:r>
      <w:r>
        <w:rPr>
          <w:spacing w:val="-14"/>
          <w:w w:val="115"/>
        </w:rPr>
        <w:t> </w:t>
      </w:r>
      <w:r>
        <w:rPr>
          <w:w w:val="115"/>
        </w:rPr>
        <w:t>entre </w:t>
      </w:r>
      <w:r>
        <w:rPr>
          <w:w w:val="111"/>
        </w:rPr>
        <w:t>Estados</w:t>
      </w:r>
      <w:r>
        <w:rPr/>
        <w:t> </w:t>
      </w:r>
      <w:r>
        <w:rPr>
          <w:spacing w:val="2"/>
        </w:rPr>
        <w:t> </w:t>
      </w:r>
      <w:r>
        <w:rPr>
          <w:w w:val="140"/>
        </w:rPr>
        <w:t>u</w:t>
      </w:r>
      <w:r>
        <w:rPr>
          <w:w w:val="110"/>
        </w:rPr>
        <w:t>nidos</w:t>
      </w:r>
      <w:r>
        <w:rPr/>
        <w:t> </w:t>
      </w:r>
      <w:r>
        <w:rPr>
          <w:spacing w:val="2"/>
        </w:rPr>
        <w:t> </w:t>
      </w:r>
      <w:r>
        <w:rPr>
          <w:w w:val="105"/>
        </w:rPr>
        <w:t>y</w:t>
      </w:r>
      <w:r>
        <w:rPr/>
        <w:t> </w:t>
      </w:r>
      <w:r>
        <w:rPr>
          <w:spacing w:val="2"/>
        </w:rPr>
        <w:t> </w:t>
      </w:r>
      <w:r>
        <w:rPr>
          <w:w w:val="139"/>
        </w:rPr>
        <w:t>a</w:t>
      </w:r>
      <w:r>
        <w:rPr>
          <w:w w:val="111"/>
        </w:rPr>
        <w:t>mérica</w:t>
      </w:r>
      <w:r>
        <w:rPr/>
        <w:t> </w:t>
      </w:r>
      <w:r>
        <w:rPr>
          <w:spacing w:val="2"/>
        </w:rPr>
        <w:t> </w:t>
      </w:r>
      <w:r>
        <w:rPr>
          <w:w w:val="243"/>
        </w:rPr>
        <w:t>l</w:t>
      </w:r>
      <w:r>
        <w:rPr>
          <w:w w:val="113"/>
        </w:rPr>
        <w:t>atina.</w:t>
      </w:r>
      <w:r>
        <w:rPr/>
        <w:t> </w:t>
      </w:r>
      <w:r>
        <w:rPr>
          <w:spacing w:val="2"/>
        </w:rPr>
        <w:t> </w:t>
      </w:r>
      <w:r>
        <w:rPr>
          <w:w w:val="140"/>
        </w:rPr>
        <w:t>u</w:t>
      </w:r>
      <w:r>
        <w:rPr>
          <w:w w:val="111"/>
        </w:rPr>
        <w:t>n</w:t>
      </w:r>
      <w:r>
        <w:rPr/>
        <w:t> </w:t>
      </w:r>
      <w:r>
        <w:rPr>
          <w:spacing w:val="2"/>
        </w:rPr>
        <w:t> </w:t>
      </w:r>
      <w:r>
        <w:rPr>
          <w:w w:val="111"/>
        </w:rPr>
        <w:t>diálogo</w:t>
      </w:r>
      <w:r>
        <w:rPr/>
        <w:t> </w:t>
      </w:r>
      <w:r>
        <w:rPr>
          <w:spacing w:val="2"/>
        </w:rPr>
        <w:t> </w:t>
      </w:r>
      <w:r>
        <w:rPr>
          <w:w w:val="111"/>
        </w:rPr>
        <w:t>recíproco,</w:t>
      </w:r>
      <w:r>
        <w:rPr/>
        <w:t> </w:t>
      </w:r>
      <w:r>
        <w:rPr>
          <w:spacing w:val="2"/>
        </w:rPr>
        <w:t> </w:t>
      </w:r>
      <w:r>
        <w:rPr>
          <w:w w:val="108"/>
        </w:rPr>
        <w:t>en</w:t>
      </w:r>
      <w:r>
        <w:rPr/>
        <w:t> </w:t>
      </w:r>
      <w:r>
        <w:rPr>
          <w:spacing w:val="2"/>
        </w:rPr>
        <w:t> </w:t>
      </w:r>
      <w:r>
        <w:rPr>
          <w:w w:val="107"/>
        </w:rPr>
        <w:t>el</w:t>
      </w:r>
      <w:r>
        <w:rPr/>
        <w:t> </w:t>
      </w:r>
      <w:r>
        <w:rPr>
          <w:spacing w:val="2"/>
        </w:rPr>
        <w:t> </w:t>
      </w:r>
      <w:r>
        <w:rPr>
          <w:w w:val="108"/>
        </w:rPr>
        <w:t>que </w:t>
      </w:r>
      <w:r>
        <w:rPr>
          <w:w w:val="115"/>
        </w:rPr>
        <w:t>nos</w:t>
      </w:r>
      <w:r>
        <w:rPr>
          <w:spacing w:val="-7"/>
          <w:w w:val="115"/>
        </w:rPr>
        <w:t> </w:t>
      </w:r>
      <w:r>
        <w:rPr>
          <w:w w:val="115"/>
        </w:rPr>
        <w:t>alimentamos</w:t>
      </w:r>
      <w:r>
        <w:rPr>
          <w:spacing w:val="-7"/>
          <w:w w:val="115"/>
        </w:rPr>
        <w:t> </w:t>
      </w:r>
      <w:r>
        <w:rPr>
          <w:w w:val="115"/>
        </w:rPr>
        <w:t>del</w:t>
      </w:r>
      <w:r>
        <w:rPr>
          <w:spacing w:val="-7"/>
          <w:w w:val="115"/>
        </w:rPr>
        <w:t> </w:t>
      </w:r>
      <w:r>
        <w:rPr>
          <w:w w:val="115"/>
        </w:rPr>
        <w:t>aporte</w:t>
      </w:r>
      <w:r>
        <w:rPr>
          <w:spacing w:val="-7"/>
          <w:w w:val="115"/>
        </w:rPr>
        <w:t> </w:t>
      </w:r>
      <w:r>
        <w:rPr>
          <w:w w:val="115"/>
        </w:rPr>
        <w:t>que</w:t>
      </w:r>
      <w:r>
        <w:rPr>
          <w:spacing w:val="-7"/>
          <w:w w:val="115"/>
        </w:rPr>
        <w:t> </w:t>
      </w:r>
      <w:r>
        <w:rPr>
          <w:w w:val="115"/>
        </w:rPr>
        <w:t>la</w:t>
      </w:r>
      <w:r>
        <w:rPr>
          <w:spacing w:val="-7"/>
          <w:w w:val="115"/>
        </w:rPr>
        <w:t> </w:t>
      </w:r>
      <w:r>
        <w:rPr>
          <w:w w:val="115"/>
        </w:rPr>
        <w:t>academia</w:t>
      </w:r>
      <w:r>
        <w:rPr>
          <w:spacing w:val="-7"/>
          <w:w w:val="115"/>
        </w:rPr>
        <w:t> </w:t>
      </w:r>
      <w:r>
        <w:rPr>
          <w:w w:val="115"/>
        </w:rPr>
        <w:t>norteamericana</w:t>
      </w:r>
      <w:r>
        <w:rPr>
          <w:spacing w:val="-7"/>
          <w:w w:val="115"/>
        </w:rPr>
        <w:t> </w:t>
      </w:r>
      <w:r>
        <w:rPr>
          <w:w w:val="115"/>
        </w:rPr>
        <w:t>puede y</w:t>
      </w:r>
      <w:r>
        <w:rPr>
          <w:spacing w:val="-7"/>
          <w:w w:val="115"/>
        </w:rPr>
        <w:t> </w:t>
      </w:r>
      <w:r>
        <w:rPr>
          <w:w w:val="115"/>
        </w:rPr>
        <w:t>debe</w:t>
      </w:r>
      <w:r>
        <w:rPr>
          <w:spacing w:val="-7"/>
          <w:w w:val="115"/>
        </w:rPr>
        <w:t> </w:t>
      </w:r>
      <w:r>
        <w:rPr>
          <w:w w:val="115"/>
        </w:rPr>
        <w:t>hacer</w:t>
      </w:r>
      <w:r>
        <w:rPr>
          <w:spacing w:val="-7"/>
          <w:w w:val="115"/>
        </w:rPr>
        <w:t> </w:t>
      </w:r>
      <w:r>
        <w:rPr>
          <w:w w:val="115"/>
        </w:rPr>
        <w:t>sobre</w:t>
      </w:r>
      <w:r>
        <w:rPr>
          <w:spacing w:val="-7"/>
          <w:w w:val="115"/>
        </w:rPr>
        <w:t> </w:t>
      </w:r>
      <w:r>
        <w:rPr>
          <w:w w:val="115"/>
        </w:rPr>
        <w:t>la</w:t>
      </w:r>
      <w:r>
        <w:rPr>
          <w:spacing w:val="-7"/>
          <w:w w:val="115"/>
        </w:rPr>
        <w:t> </w:t>
      </w:r>
      <w:r>
        <w:rPr>
          <w:w w:val="115"/>
        </w:rPr>
        <w:t>realidad</w:t>
      </w:r>
      <w:r>
        <w:rPr>
          <w:spacing w:val="-7"/>
          <w:w w:val="115"/>
        </w:rPr>
        <w:t> </w:t>
      </w:r>
      <w:r>
        <w:rPr>
          <w:w w:val="115"/>
        </w:rPr>
        <w:t>latinoamericana,</w:t>
      </w:r>
      <w:r>
        <w:rPr>
          <w:spacing w:val="-7"/>
          <w:w w:val="115"/>
        </w:rPr>
        <w:t> </w:t>
      </w:r>
      <w:r>
        <w:rPr>
          <w:w w:val="115"/>
        </w:rPr>
        <w:t>pero</w:t>
      </w:r>
      <w:r>
        <w:rPr>
          <w:spacing w:val="-7"/>
          <w:w w:val="115"/>
        </w:rPr>
        <w:t> </w:t>
      </w:r>
      <w:r>
        <w:rPr>
          <w:w w:val="115"/>
        </w:rPr>
        <w:t>también</w:t>
      </w:r>
      <w:r>
        <w:rPr>
          <w:spacing w:val="-7"/>
          <w:w w:val="115"/>
        </w:rPr>
        <w:t> </w:t>
      </w:r>
      <w:r>
        <w:rPr>
          <w:w w:val="115"/>
        </w:rPr>
        <w:t>con</w:t>
      </w:r>
      <w:r>
        <w:rPr>
          <w:spacing w:val="-7"/>
          <w:w w:val="115"/>
        </w:rPr>
        <w:t> </w:t>
      </w:r>
      <w:r>
        <w:rPr>
          <w:w w:val="115"/>
        </w:rPr>
        <w:t>la </w:t>
      </w:r>
      <w:r>
        <w:rPr>
          <w:w w:val="110"/>
        </w:rPr>
        <w:t>expectativa de que la academia norteamericana se alimente y</w:t>
      </w:r>
      <w:r>
        <w:rPr>
          <w:spacing w:val="-21"/>
          <w:w w:val="110"/>
        </w:rPr>
        <w:t> </w:t>
      </w:r>
      <w:r>
        <w:rPr>
          <w:w w:val="110"/>
        </w:rPr>
        <w:t>fortalez- </w:t>
      </w:r>
      <w:r>
        <w:rPr>
          <w:w w:val="113"/>
        </w:rPr>
        <w:t>ca</w:t>
      </w:r>
      <w:r>
        <w:rPr>
          <w:spacing w:val="8"/>
        </w:rPr>
        <w:t> </w:t>
      </w:r>
      <w:r>
        <w:rPr>
          <w:w w:val="112"/>
        </w:rPr>
        <w:t>con</w:t>
      </w:r>
      <w:r>
        <w:rPr>
          <w:spacing w:val="8"/>
        </w:rPr>
        <w:t> </w:t>
      </w:r>
      <w:r>
        <w:rPr>
          <w:w w:val="108"/>
        </w:rPr>
        <w:t>los</w:t>
      </w:r>
      <w:r>
        <w:rPr>
          <w:spacing w:val="8"/>
        </w:rPr>
        <w:t> </w:t>
      </w:r>
      <w:r>
        <w:rPr>
          <w:w w:val="107"/>
        </w:rPr>
        <w:t>aportes</w:t>
      </w:r>
      <w:r>
        <w:rPr>
          <w:spacing w:val="8"/>
        </w:rPr>
        <w:t> </w:t>
      </w:r>
      <w:r>
        <w:rPr>
          <w:w w:val="108"/>
        </w:rPr>
        <w:t>que</w:t>
      </w:r>
      <w:r>
        <w:rPr>
          <w:spacing w:val="8"/>
        </w:rPr>
        <w:t> </w:t>
      </w:r>
      <w:r>
        <w:rPr>
          <w:w w:val="106"/>
        </w:rPr>
        <w:t>desde</w:t>
      </w:r>
      <w:r>
        <w:rPr>
          <w:spacing w:val="8"/>
        </w:rPr>
        <w:t> </w:t>
      </w:r>
      <w:r>
        <w:rPr>
          <w:w w:val="139"/>
        </w:rPr>
        <w:t>a</w:t>
      </w:r>
      <w:r>
        <w:rPr>
          <w:w w:val="111"/>
        </w:rPr>
        <w:t>mérica</w:t>
      </w:r>
      <w:r>
        <w:rPr>
          <w:spacing w:val="8"/>
        </w:rPr>
        <w:t> </w:t>
      </w:r>
      <w:r>
        <w:rPr>
          <w:w w:val="243"/>
        </w:rPr>
        <w:t>l</w:t>
      </w:r>
      <w:r>
        <w:rPr>
          <w:w w:val="111"/>
        </w:rPr>
        <w:t>atina</w:t>
      </w:r>
      <w:r>
        <w:rPr>
          <w:spacing w:val="8"/>
        </w:rPr>
        <w:t> </w:t>
      </w:r>
      <w:r>
        <w:rPr>
          <w:w w:val="109"/>
        </w:rPr>
        <w:t>podemos</w:t>
      </w:r>
      <w:r>
        <w:rPr>
          <w:spacing w:val="8"/>
        </w:rPr>
        <w:t> </w:t>
      </w:r>
      <w:r>
        <w:rPr>
          <w:w w:val="110"/>
        </w:rPr>
        <w:t>hacer</w:t>
      </w:r>
      <w:r>
        <w:rPr>
          <w:spacing w:val="8"/>
        </w:rPr>
        <w:t> </w:t>
      </w:r>
      <w:r>
        <w:rPr>
          <w:w w:val="107"/>
        </w:rPr>
        <w:t>sobre</w:t>
      </w:r>
      <w:r>
        <w:rPr>
          <w:spacing w:val="8"/>
        </w:rPr>
        <w:t> </w:t>
      </w:r>
      <w:r>
        <w:rPr>
          <w:w w:val="108"/>
        </w:rPr>
        <w:t>los </w:t>
      </w:r>
      <w:r>
        <w:rPr>
          <w:w w:val="115"/>
        </w:rPr>
        <w:t>Estados</w:t>
      </w:r>
      <w:r>
        <w:rPr>
          <w:spacing w:val="-1"/>
          <w:w w:val="115"/>
        </w:rPr>
        <w:t> </w:t>
      </w:r>
      <w:r>
        <w:rPr>
          <w:w w:val="115"/>
        </w:rPr>
        <w:t>unidos.</w:t>
      </w:r>
    </w:p>
    <w:p>
      <w:pPr>
        <w:pStyle w:val="BodyText"/>
        <w:ind w:left="497"/>
      </w:pPr>
      <w:r>
        <w:rPr>
          <w:w w:val="110"/>
        </w:rPr>
        <w:t>Por eso este libro es tan fundamental y  necesario.</w:t>
      </w:r>
    </w:p>
    <w:p>
      <w:pPr>
        <w:pStyle w:val="BodyText"/>
        <w:rPr>
          <w:sz w:val="18"/>
        </w:rPr>
      </w:pPr>
    </w:p>
    <w:p>
      <w:pPr>
        <w:pStyle w:val="BodyText"/>
        <w:spacing w:before="10"/>
        <w:rPr>
          <w:sz w:val="22"/>
        </w:rPr>
      </w:pPr>
    </w:p>
    <w:p>
      <w:pPr>
        <w:pStyle w:val="BodyText"/>
        <w:ind w:left="100" w:right="328"/>
        <w:jc w:val="right"/>
      </w:pPr>
      <w:r>
        <w:rPr>
          <w:w w:val="110"/>
        </w:rPr>
        <w:t>buenos aires, 25 de abril de 2016</w:t>
      </w:r>
    </w:p>
    <w:p>
      <w:pPr>
        <w:spacing w:after="0"/>
        <w:jc w:val="right"/>
        <w:sectPr>
          <w:headerReference w:type="even" r:id="rId45"/>
          <w:pgSz w:w="8790" w:h="12760"/>
          <w:pgMar w:header="0" w:footer="725" w:top="640" w:bottom="920" w:left="920" w:right="1200"/>
        </w:sectPr>
      </w:pPr>
    </w:p>
    <w:p>
      <w:pPr>
        <w:pStyle w:val="BodyText"/>
        <w:spacing w:before="4"/>
        <w:rPr>
          <w:rFonts w:ascii="Times New Roman"/>
          <w:sz w:val="17"/>
        </w:rPr>
      </w:pPr>
    </w:p>
    <w:p>
      <w:pPr>
        <w:spacing w:after="0"/>
        <w:rPr>
          <w:rFonts w:ascii="Times New Roman"/>
          <w:sz w:val="17"/>
        </w:rPr>
        <w:sectPr>
          <w:headerReference w:type="default" r:id="rId46"/>
          <w:footerReference w:type="default" r:id="rId47"/>
          <w:pgSz w:w="8790" w:h="12760"/>
          <w:pgMar w:header="0" w:footer="0" w:top="1180" w:bottom="280" w:left="1200" w:right="1200"/>
        </w:sectPr>
      </w:pPr>
    </w:p>
    <w:p>
      <w:pPr>
        <w:pStyle w:val="BodyText"/>
        <w:rPr>
          <w:rFonts w:ascii="Times New Roman"/>
          <w:sz w:val="20"/>
        </w:rPr>
      </w:pPr>
    </w:p>
    <w:p>
      <w:pPr>
        <w:pStyle w:val="BodyText"/>
        <w:rPr>
          <w:rFonts w:ascii="Times New Roman"/>
          <w:sz w:val="20"/>
        </w:rPr>
      </w:pPr>
    </w:p>
    <w:p>
      <w:pPr>
        <w:pStyle w:val="BodyText"/>
        <w:spacing w:before="7"/>
        <w:rPr>
          <w:rFonts w:ascii="Times New Roman"/>
          <w:sz w:val="26"/>
        </w:rPr>
      </w:pPr>
    </w:p>
    <w:p>
      <w:pPr>
        <w:pStyle w:val="Heading2"/>
        <w:spacing w:line="240" w:lineRule="auto" w:before="51"/>
        <w:ind w:right="1015"/>
      </w:pPr>
      <w:r>
        <w:rPr>
          <w:spacing w:val="3"/>
          <w:w w:val="99"/>
        </w:rPr>
        <w:t>P</w:t>
      </w:r>
      <w:r>
        <w:rPr>
          <w:spacing w:val="2"/>
          <w:w w:val="145"/>
        </w:rPr>
        <w:t>r</w:t>
      </w:r>
      <w:r>
        <w:rPr>
          <w:spacing w:val="3"/>
          <w:w w:val="165"/>
        </w:rPr>
        <w:t>ó</w:t>
      </w:r>
      <w:r>
        <w:rPr>
          <w:spacing w:val="2"/>
          <w:w w:val="165"/>
        </w:rPr>
        <w:t>l</w:t>
      </w:r>
      <w:r>
        <w:rPr>
          <w:spacing w:val="8"/>
          <w:w w:val="145"/>
        </w:rPr>
        <w:t>o</w:t>
      </w:r>
      <w:r>
        <w:rPr>
          <w:spacing w:val="8"/>
          <w:w w:val="89"/>
        </w:rPr>
        <w:t>G</w:t>
      </w:r>
      <w:r>
        <w:rPr>
          <w:spacing w:val="1"/>
          <w:w w:val="145"/>
        </w:rPr>
        <w:t>o</w:t>
      </w:r>
      <w:r>
        <w:rPr>
          <w:w w:val="81"/>
        </w:rPr>
        <w:t>*</w:t>
      </w:r>
    </w:p>
    <w:p>
      <w:pPr>
        <w:pStyle w:val="Heading3"/>
        <w:spacing w:before="262"/>
      </w:pPr>
      <w:bookmarkStart w:name="_TOC_250002" w:id="2"/>
      <w:bookmarkEnd w:id="2"/>
      <w:r>
        <w:rPr/>
        <w:t>Ronald H. Chilcote**</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Heading6"/>
        <w:spacing w:line="244" w:lineRule="auto" w:before="206"/>
        <w:ind w:right="819" w:hanging="1"/>
        <w:jc w:val="left"/>
      </w:pPr>
      <w:r>
        <w:rPr>
          <w:spacing w:val="2"/>
          <w:w w:val="140"/>
        </w:rPr>
        <w:t>reflexiones</w:t>
      </w:r>
      <w:r>
        <w:rPr>
          <w:spacing w:val="-46"/>
          <w:w w:val="140"/>
        </w:rPr>
        <w:t> </w:t>
      </w:r>
      <w:r>
        <w:rPr>
          <w:w w:val="140"/>
        </w:rPr>
        <w:t>soBre</w:t>
      </w:r>
      <w:r>
        <w:rPr>
          <w:spacing w:val="-46"/>
          <w:w w:val="140"/>
        </w:rPr>
        <w:t> </w:t>
      </w:r>
      <w:r>
        <w:rPr>
          <w:spacing w:val="2"/>
          <w:w w:val="140"/>
        </w:rPr>
        <w:t>las</w:t>
      </w:r>
      <w:r>
        <w:rPr>
          <w:spacing w:val="-46"/>
          <w:w w:val="140"/>
        </w:rPr>
        <w:t> </w:t>
      </w:r>
      <w:r>
        <w:rPr>
          <w:w w:val="140"/>
        </w:rPr>
        <w:t>tendencias</w:t>
      </w:r>
      <w:r>
        <w:rPr>
          <w:spacing w:val="-46"/>
          <w:w w:val="140"/>
        </w:rPr>
        <w:t> </w:t>
      </w:r>
      <w:r>
        <w:rPr>
          <w:w w:val="140"/>
        </w:rPr>
        <w:t>y</w:t>
      </w:r>
      <w:r>
        <w:rPr>
          <w:spacing w:val="-46"/>
          <w:w w:val="140"/>
        </w:rPr>
        <w:t> </w:t>
      </w:r>
      <w:r>
        <w:rPr>
          <w:spacing w:val="3"/>
          <w:w w:val="140"/>
        </w:rPr>
        <w:t>la</w:t>
      </w:r>
      <w:r>
        <w:rPr>
          <w:spacing w:val="-46"/>
          <w:w w:val="140"/>
        </w:rPr>
        <w:t> </w:t>
      </w:r>
      <w:r>
        <w:rPr>
          <w:w w:val="140"/>
        </w:rPr>
        <w:t>investiGación internacional</w:t>
      </w:r>
    </w:p>
    <w:p>
      <w:pPr>
        <w:pStyle w:val="BodyText"/>
        <w:spacing w:line="252" w:lineRule="auto" w:before="5"/>
        <w:ind w:left="100" w:right="328"/>
        <w:jc w:val="both"/>
      </w:pPr>
      <w:r>
        <w:rPr>
          <w:w w:val="110"/>
        </w:rPr>
        <w:t>desde hace veinticinco años he dedicado mi atención a una agenda de investigación de trascendencia para el futuro. dicha agenda ha girado en torno a las tensiones globales que se generaron durante la Guerra Fría mientras la unión soviética extendió su apoyo a una américa </w:t>
      </w:r>
      <w:r>
        <w:rPr>
          <w:w w:val="243"/>
        </w:rPr>
        <w:t>l</w:t>
      </w:r>
      <w:r>
        <w:rPr>
          <w:w w:val="111"/>
        </w:rPr>
        <w:t>atina</w:t>
      </w:r>
      <w:r>
        <w:rPr/>
        <w:t> </w:t>
      </w:r>
      <w:r>
        <w:rPr>
          <w:spacing w:val="-12"/>
        </w:rPr>
        <w:t> </w:t>
      </w:r>
      <w:r>
        <w:rPr>
          <w:w w:val="108"/>
        </w:rPr>
        <w:t>que</w:t>
      </w:r>
      <w:r>
        <w:rPr/>
        <w:t> </w:t>
      </w:r>
      <w:r>
        <w:rPr>
          <w:spacing w:val="-12"/>
        </w:rPr>
        <w:t> </w:t>
      </w:r>
      <w:r>
        <w:rPr>
          <w:w w:val="108"/>
        </w:rPr>
        <w:t>estaba</w:t>
      </w:r>
      <w:r>
        <w:rPr/>
        <w:t> </w:t>
      </w:r>
      <w:r>
        <w:rPr>
          <w:spacing w:val="-12"/>
        </w:rPr>
        <w:t> </w:t>
      </w:r>
      <w:r>
        <w:rPr>
          <w:w w:val="108"/>
        </w:rPr>
        <w:t>en</w:t>
      </w:r>
      <w:r>
        <w:rPr/>
        <w:t> </w:t>
      </w:r>
      <w:r>
        <w:rPr>
          <w:spacing w:val="-12"/>
        </w:rPr>
        <w:t> </w:t>
      </w:r>
      <w:r>
        <w:rPr>
          <w:w w:val="110"/>
        </w:rPr>
        <w:t>declive,</w:t>
      </w:r>
      <w:r>
        <w:rPr/>
        <w:t> </w:t>
      </w:r>
      <w:r>
        <w:rPr>
          <w:spacing w:val="-12"/>
        </w:rPr>
        <w:t> </w:t>
      </w:r>
      <w:r>
        <w:rPr>
          <w:w w:val="109"/>
        </w:rPr>
        <w:t>mientras</w:t>
      </w:r>
      <w:r>
        <w:rPr/>
        <w:t> </w:t>
      </w:r>
      <w:r>
        <w:rPr>
          <w:spacing w:val="-12"/>
        </w:rPr>
        <w:t> </w:t>
      </w:r>
      <w:r>
        <w:rPr>
          <w:w w:val="115"/>
        </w:rPr>
        <w:t>Cuba</w:t>
      </w:r>
      <w:r>
        <w:rPr/>
        <w:t> </w:t>
      </w:r>
      <w:r>
        <w:rPr>
          <w:spacing w:val="-12"/>
        </w:rPr>
        <w:t> </w:t>
      </w:r>
      <w:r>
        <w:rPr>
          <w:w w:val="108"/>
        </w:rPr>
        <w:t>estaba</w:t>
      </w:r>
      <w:r>
        <w:rPr/>
        <w:t> </w:t>
      </w:r>
      <w:r>
        <w:rPr>
          <w:spacing w:val="-12"/>
        </w:rPr>
        <w:t> </w:t>
      </w:r>
      <w:r>
        <w:rPr>
          <w:w w:val="108"/>
        </w:rPr>
        <w:t>en</w:t>
      </w:r>
      <w:r>
        <w:rPr/>
        <w:t> </w:t>
      </w:r>
      <w:r>
        <w:rPr>
          <w:spacing w:val="-12"/>
        </w:rPr>
        <w:t> </w:t>
      </w:r>
      <w:r>
        <w:rPr>
          <w:w w:val="109"/>
        </w:rPr>
        <w:t>búsqueda</w:t>
      </w:r>
      <w:r>
        <w:rPr/>
        <w:t> </w:t>
      </w:r>
      <w:r>
        <w:rPr>
          <w:spacing w:val="-12"/>
        </w:rPr>
        <w:t> </w:t>
      </w:r>
      <w:r>
        <w:rPr>
          <w:w w:val="107"/>
        </w:rPr>
        <w:t>de </w:t>
      </w:r>
      <w:r>
        <w:rPr>
          <w:w w:val="110"/>
        </w:rPr>
        <w:t>una autonomía para garantizar su progreso y supervivencia, o bien cuando los movimientos revolucionarios en Centroamérica sucum- bían a las estrategias contrainsurgentes de Estados unidos y los </w:t>
      </w:r>
      <w:r>
        <w:rPr>
          <w:spacing w:val="-4"/>
          <w:w w:val="110"/>
        </w:rPr>
        <w:t>par- </w:t>
      </w:r>
      <w:r>
        <w:rPr>
          <w:w w:val="110"/>
        </w:rPr>
        <w:t>tidos políticos comunistas evidenciaban una falta de solidez interna   </w:t>
      </w:r>
      <w:r>
        <w:rPr>
          <w:spacing w:val="-11"/>
          <w:w w:val="110"/>
        </w:rPr>
        <w:t>y, </w:t>
      </w:r>
      <w:r>
        <w:rPr>
          <w:w w:val="110"/>
        </w:rPr>
        <w:t>por el contrario, se encontraban en declive mientras el marxismo anunciaba su retiro frente al dominio del discurso neoliberal y post- marxista. después del cambio de siglo, también se hizo evidente que  el</w:t>
      </w:r>
      <w:r>
        <w:rPr>
          <w:spacing w:val="36"/>
          <w:w w:val="110"/>
        </w:rPr>
        <w:t> </w:t>
      </w:r>
      <w:r>
        <w:rPr>
          <w:w w:val="110"/>
        </w:rPr>
        <w:t>interés</w:t>
      </w:r>
      <w:r>
        <w:rPr>
          <w:spacing w:val="36"/>
          <w:w w:val="110"/>
        </w:rPr>
        <w:t> </w:t>
      </w:r>
      <w:r>
        <w:rPr>
          <w:w w:val="110"/>
        </w:rPr>
        <w:t>de</w:t>
      </w:r>
      <w:r>
        <w:rPr>
          <w:spacing w:val="36"/>
          <w:w w:val="110"/>
        </w:rPr>
        <w:t> </w:t>
      </w:r>
      <w:r>
        <w:rPr>
          <w:w w:val="110"/>
        </w:rPr>
        <w:t>Estados</w:t>
      </w:r>
      <w:r>
        <w:rPr>
          <w:spacing w:val="36"/>
          <w:w w:val="110"/>
        </w:rPr>
        <w:t> </w:t>
      </w:r>
      <w:r>
        <w:rPr>
          <w:w w:val="110"/>
        </w:rPr>
        <w:t>unidos</w:t>
      </w:r>
      <w:r>
        <w:rPr>
          <w:spacing w:val="36"/>
          <w:w w:val="110"/>
        </w:rPr>
        <w:t> </w:t>
      </w:r>
      <w:r>
        <w:rPr>
          <w:w w:val="110"/>
        </w:rPr>
        <w:t>–y</w:t>
      </w:r>
      <w:r>
        <w:rPr>
          <w:spacing w:val="36"/>
          <w:w w:val="110"/>
        </w:rPr>
        <w:t> </w:t>
      </w:r>
      <w:r>
        <w:rPr>
          <w:w w:val="110"/>
        </w:rPr>
        <w:t>en</w:t>
      </w:r>
      <w:r>
        <w:rPr>
          <w:spacing w:val="36"/>
          <w:w w:val="110"/>
        </w:rPr>
        <w:t> </w:t>
      </w:r>
      <w:r>
        <w:rPr>
          <w:w w:val="110"/>
        </w:rPr>
        <w:t>cierta</w:t>
      </w:r>
      <w:r>
        <w:rPr>
          <w:spacing w:val="36"/>
          <w:w w:val="110"/>
        </w:rPr>
        <w:t> </w:t>
      </w:r>
      <w:r>
        <w:rPr>
          <w:w w:val="110"/>
        </w:rPr>
        <w:t>medida–</w:t>
      </w:r>
      <w:r>
        <w:rPr>
          <w:spacing w:val="36"/>
          <w:w w:val="110"/>
        </w:rPr>
        <w:t> </w:t>
      </w:r>
      <w:r>
        <w:rPr>
          <w:w w:val="110"/>
        </w:rPr>
        <w:t>su</w:t>
      </w:r>
      <w:r>
        <w:rPr>
          <w:spacing w:val="36"/>
          <w:w w:val="110"/>
        </w:rPr>
        <w:t> </w:t>
      </w:r>
      <w:r>
        <w:rPr>
          <w:w w:val="110"/>
        </w:rPr>
        <w:t>influencia</w:t>
      </w:r>
      <w:r>
        <w:rPr>
          <w:spacing w:val="36"/>
          <w:w w:val="110"/>
        </w:rPr>
        <w:t> </w:t>
      </w:r>
      <w:r>
        <w:rPr>
          <w:w w:val="110"/>
        </w:rPr>
        <w:t>en</w:t>
      </w:r>
    </w:p>
    <w:p>
      <w:pPr>
        <w:pStyle w:val="BodyText"/>
        <w:rPr>
          <w:sz w:val="15"/>
        </w:rPr>
      </w:pPr>
    </w:p>
    <w:p>
      <w:pPr>
        <w:spacing w:before="0"/>
        <w:ind w:left="182" w:right="0" w:firstLine="0"/>
        <w:jc w:val="both"/>
        <w:rPr>
          <w:sz w:val="16"/>
        </w:rPr>
      </w:pPr>
      <w:r>
        <w:rPr>
          <w:w w:val="110"/>
          <w:sz w:val="16"/>
        </w:rPr>
        <w:t>*      traducción al español de Casandra Castorena  sánchez.</w:t>
      </w:r>
    </w:p>
    <w:p>
      <w:pPr>
        <w:spacing w:line="242" w:lineRule="auto" w:before="59"/>
        <w:ind w:left="497" w:right="327" w:hanging="397"/>
        <w:jc w:val="both"/>
        <w:rPr>
          <w:sz w:val="16"/>
        </w:rPr>
      </w:pPr>
      <w:r>
        <w:rPr>
          <w:w w:val="110"/>
          <w:sz w:val="16"/>
        </w:rPr>
        <w:t>** Profesor de Economía y Ciencias Políticas en la universidad de California (riverside), y fundador y jefe de redacción de la revista bimensual </w:t>
      </w:r>
      <w:r>
        <w:rPr>
          <w:i/>
          <w:w w:val="110"/>
          <w:sz w:val="16"/>
        </w:rPr>
        <w:t>Latin Ame- </w:t>
      </w:r>
      <w:r>
        <w:rPr>
          <w:i/>
          <w:w w:val="107"/>
          <w:sz w:val="16"/>
        </w:rPr>
        <w:t>rican</w:t>
      </w:r>
      <w:r>
        <w:rPr>
          <w:i/>
          <w:sz w:val="16"/>
        </w:rPr>
        <w:t>  </w:t>
      </w:r>
      <w:r>
        <w:rPr>
          <w:i/>
          <w:w w:val="105"/>
          <w:sz w:val="16"/>
        </w:rPr>
        <w:t>Perspectives</w:t>
      </w:r>
      <w:r>
        <w:rPr>
          <w:i/>
          <w:sz w:val="16"/>
        </w:rPr>
        <w:t>  </w:t>
      </w:r>
      <w:r>
        <w:rPr>
          <w:w w:val="96"/>
          <w:sz w:val="16"/>
        </w:rPr>
        <w:t>(</w:t>
      </w:r>
      <w:r>
        <w:rPr>
          <w:w w:val="243"/>
          <w:sz w:val="11"/>
        </w:rPr>
        <w:t>l</w:t>
      </w:r>
      <w:r>
        <w:rPr>
          <w:w w:val="139"/>
          <w:sz w:val="11"/>
        </w:rPr>
        <w:t>a</w:t>
      </w:r>
      <w:r>
        <w:rPr>
          <w:w w:val="115"/>
          <w:sz w:val="11"/>
        </w:rPr>
        <w:t>p</w:t>
      </w:r>
      <w:r>
        <w:rPr>
          <w:w w:val="110"/>
          <w:sz w:val="16"/>
        </w:rPr>
        <w:t>).</w:t>
      </w:r>
      <w:r>
        <w:rPr>
          <w:sz w:val="16"/>
        </w:rPr>
        <w:t>  </w:t>
      </w:r>
      <w:r>
        <w:rPr>
          <w:w w:val="146"/>
          <w:sz w:val="16"/>
        </w:rPr>
        <w:t>s</w:t>
      </w:r>
      <w:r>
        <w:rPr>
          <w:w w:val="110"/>
          <w:sz w:val="16"/>
        </w:rPr>
        <w:t>u</w:t>
      </w:r>
      <w:r>
        <w:rPr>
          <w:sz w:val="16"/>
        </w:rPr>
        <w:t>  </w:t>
      </w:r>
      <w:r>
        <w:rPr>
          <w:w w:val="107"/>
          <w:sz w:val="16"/>
        </w:rPr>
        <w:t>libro</w:t>
      </w:r>
      <w:r>
        <w:rPr>
          <w:sz w:val="16"/>
        </w:rPr>
        <w:t>  </w:t>
      </w:r>
      <w:r>
        <w:rPr>
          <w:w w:val="108"/>
          <w:sz w:val="16"/>
        </w:rPr>
        <w:t>más</w:t>
      </w:r>
      <w:r>
        <w:rPr>
          <w:sz w:val="16"/>
        </w:rPr>
        <w:t>  </w:t>
      </w:r>
      <w:r>
        <w:rPr>
          <w:w w:val="106"/>
          <w:sz w:val="16"/>
        </w:rPr>
        <w:t>reciente</w:t>
      </w:r>
      <w:r>
        <w:rPr>
          <w:sz w:val="16"/>
        </w:rPr>
        <w:t>  </w:t>
      </w:r>
      <w:r>
        <w:rPr>
          <w:w w:val="102"/>
          <w:sz w:val="16"/>
        </w:rPr>
        <w:t>se</w:t>
      </w:r>
      <w:r>
        <w:rPr>
          <w:sz w:val="16"/>
        </w:rPr>
        <w:t>  </w:t>
      </w:r>
      <w:r>
        <w:rPr>
          <w:w w:val="108"/>
          <w:sz w:val="16"/>
        </w:rPr>
        <w:t>titula</w:t>
      </w:r>
      <w:r>
        <w:rPr>
          <w:sz w:val="16"/>
        </w:rPr>
        <w:t>  </w:t>
      </w:r>
      <w:r>
        <w:rPr>
          <w:i/>
          <w:w w:val="107"/>
          <w:sz w:val="16"/>
        </w:rPr>
        <w:t>Intellectuals</w:t>
      </w:r>
      <w:r>
        <w:rPr>
          <w:i/>
          <w:sz w:val="16"/>
        </w:rPr>
        <w:t>  </w:t>
      </w:r>
      <w:r>
        <w:rPr>
          <w:i/>
          <w:w w:val="107"/>
          <w:sz w:val="16"/>
        </w:rPr>
        <w:t>and</w:t>
      </w:r>
      <w:r>
        <w:rPr>
          <w:i/>
          <w:sz w:val="16"/>
        </w:rPr>
        <w:t>  </w:t>
      </w:r>
      <w:r>
        <w:rPr>
          <w:i/>
          <w:w w:val="102"/>
          <w:sz w:val="16"/>
        </w:rPr>
        <w:t>the</w:t>
      </w:r>
      <w:r>
        <w:rPr>
          <w:i/>
          <w:w w:val="102"/>
          <w:sz w:val="16"/>
        </w:rPr>
        <w:t> </w:t>
      </w:r>
      <w:r>
        <w:rPr>
          <w:i/>
          <w:w w:val="110"/>
          <w:sz w:val="16"/>
        </w:rPr>
        <w:t>Search for National Identity in Brazil </w:t>
      </w:r>
      <w:r>
        <w:rPr>
          <w:w w:val="110"/>
          <w:sz w:val="16"/>
        </w:rPr>
        <w:t>(New York/Cambridge: Cambridge uni- versity Press), 2014.</w:t>
      </w:r>
    </w:p>
    <w:p>
      <w:pPr>
        <w:pStyle w:val="BodyText"/>
        <w:rPr>
          <w:sz w:val="20"/>
        </w:rPr>
      </w:pPr>
    </w:p>
    <w:p>
      <w:pPr>
        <w:pStyle w:val="BodyText"/>
        <w:spacing w:before="2"/>
        <w:rPr>
          <w:sz w:val="16"/>
        </w:rPr>
      </w:pPr>
    </w:p>
    <w:p>
      <w:pPr>
        <w:pStyle w:val="Heading7"/>
        <w:spacing w:line="240" w:lineRule="auto"/>
        <w:ind w:left="789" w:right="1017"/>
        <w:jc w:val="center"/>
      </w:pPr>
      <w:r>
        <w:rPr/>
        <w:t>15</w:t>
      </w:r>
    </w:p>
    <w:p>
      <w:pPr>
        <w:spacing w:after="0" w:line="240" w:lineRule="auto"/>
        <w:jc w:val="center"/>
        <w:sectPr>
          <w:headerReference w:type="even" r:id="rId48"/>
          <w:footerReference w:type="even" r:id="rId49"/>
          <w:pgSz w:w="8790" w:h="12760"/>
          <w:pgMar w:header="0" w:footer="0" w:top="1180" w:bottom="280" w:left="920" w:right="1200"/>
        </w:sectPr>
      </w:pPr>
    </w:p>
    <w:p>
      <w:pPr>
        <w:pStyle w:val="BodyText"/>
        <w:spacing w:before="7"/>
        <w:rPr>
          <w:sz w:val="28"/>
        </w:rPr>
      </w:pPr>
    </w:p>
    <w:p>
      <w:pPr>
        <w:pStyle w:val="BodyText"/>
        <w:spacing w:line="252" w:lineRule="auto" w:before="73"/>
        <w:ind w:left="330" w:right="117"/>
        <w:jc w:val="both"/>
      </w:pPr>
      <w:r>
        <w:rPr>
          <w:w w:val="139"/>
        </w:rPr>
        <w:t>a</w:t>
      </w:r>
      <w:r>
        <w:rPr>
          <w:w w:val="111"/>
        </w:rPr>
        <w:t>mérica</w:t>
      </w:r>
      <w:r>
        <w:rPr/>
        <w:t>  </w:t>
      </w:r>
      <w:r>
        <w:rPr>
          <w:w w:val="243"/>
        </w:rPr>
        <w:t>l</w:t>
      </w:r>
      <w:r>
        <w:rPr>
          <w:w w:val="111"/>
        </w:rPr>
        <w:t>atina</w:t>
      </w:r>
      <w:r>
        <w:rPr/>
        <w:t>  </w:t>
      </w:r>
      <w:r>
        <w:rPr>
          <w:w w:val="105"/>
        </w:rPr>
        <w:t>y</w:t>
      </w:r>
      <w:r>
        <w:rPr/>
        <w:t>  </w:t>
      </w:r>
      <w:r>
        <w:rPr>
          <w:w w:val="107"/>
        </w:rPr>
        <w:t>el</w:t>
      </w:r>
      <w:r>
        <w:rPr/>
        <w:t>  </w:t>
      </w:r>
      <w:r>
        <w:rPr>
          <w:w w:val="112"/>
        </w:rPr>
        <w:t>Caribe</w:t>
      </w:r>
      <w:r>
        <w:rPr/>
        <w:t>  </w:t>
      </w:r>
      <w:r>
        <w:rPr>
          <w:w w:val="112"/>
        </w:rPr>
        <w:t>habían</w:t>
      </w:r>
      <w:r>
        <w:rPr/>
        <w:t>  </w:t>
      </w:r>
      <w:r>
        <w:rPr>
          <w:w w:val="111"/>
        </w:rPr>
        <w:t>disminuido</w:t>
      </w:r>
      <w:r>
        <w:rPr/>
        <w:t>  </w:t>
      </w:r>
      <w:r>
        <w:rPr>
          <w:w w:val="108"/>
        </w:rPr>
        <w:t>en</w:t>
      </w:r>
      <w:r>
        <w:rPr/>
        <w:t>  </w:t>
      </w:r>
      <w:r>
        <w:rPr>
          <w:w w:val="111"/>
        </w:rPr>
        <w:t>la</w:t>
      </w:r>
      <w:r>
        <w:rPr/>
        <w:t>  </w:t>
      </w:r>
      <w:r>
        <w:rPr>
          <w:w w:val="109"/>
        </w:rPr>
        <w:t>región</w:t>
      </w:r>
      <w:r>
        <w:rPr/>
        <w:t>  </w:t>
      </w:r>
      <w:r>
        <w:rPr>
          <w:w w:val="109"/>
        </w:rPr>
        <w:t>debido </w:t>
      </w:r>
      <w:r>
        <w:rPr>
          <w:w w:val="110"/>
        </w:rPr>
        <w:t>a las costosas guerras que la administración de George </w:t>
      </w:r>
      <w:r>
        <w:rPr>
          <w:spacing w:val="-11"/>
          <w:w w:val="110"/>
        </w:rPr>
        <w:t>W. </w:t>
      </w:r>
      <w:r>
        <w:rPr>
          <w:w w:val="110"/>
        </w:rPr>
        <w:t>bush em- prendió en afganistán e irak. se pensó que gracias a esa </w:t>
      </w:r>
      <w:r>
        <w:rPr>
          <w:i/>
          <w:w w:val="110"/>
        </w:rPr>
        <w:t>indiferencia </w:t>
      </w:r>
      <w:r>
        <w:rPr>
          <w:w w:val="139"/>
        </w:rPr>
        <w:t>a</w:t>
      </w:r>
      <w:r>
        <w:rPr>
          <w:w w:val="111"/>
        </w:rPr>
        <w:t>mérica</w:t>
      </w:r>
      <w:r>
        <w:rPr>
          <w:spacing w:val="15"/>
        </w:rPr>
        <w:t> </w:t>
      </w:r>
      <w:r>
        <w:rPr>
          <w:w w:val="243"/>
        </w:rPr>
        <w:t>l</w:t>
      </w:r>
      <w:r>
        <w:rPr>
          <w:w w:val="111"/>
        </w:rPr>
        <w:t>atina</w:t>
      </w:r>
      <w:r>
        <w:rPr>
          <w:spacing w:val="15"/>
        </w:rPr>
        <w:t> </w:t>
      </w:r>
      <w:r>
        <w:rPr>
          <w:w w:val="109"/>
        </w:rPr>
        <w:t>tendría</w:t>
      </w:r>
      <w:r>
        <w:rPr>
          <w:spacing w:val="15"/>
        </w:rPr>
        <w:t> </w:t>
      </w:r>
      <w:r>
        <w:rPr>
          <w:w w:val="110"/>
        </w:rPr>
        <w:t>oportunidad</w:t>
      </w:r>
      <w:r>
        <w:rPr>
          <w:spacing w:val="15"/>
        </w:rPr>
        <w:t> </w:t>
      </w:r>
      <w:r>
        <w:rPr>
          <w:w w:val="107"/>
        </w:rPr>
        <w:t>de</w:t>
      </w:r>
      <w:r>
        <w:rPr>
          <w:spacing w:val="15"/>
        </w:rPr>
        <w:t> </w:t>
      </w:r>
      <w:r>
        <w:rPr>
          <w:w w:val="109"/>
        </w:rPr>
        <w:t>encontrar</w:t>
      </w:r>
      <w:r>
        <w:rPr>
          <w:spacing w:val="15"/>
        </w:rPr>
        <w:t> </w:t>
      </w:r>
      <w:r>
        <w:rPr>
          <w:w w:val="108"/>
        </w:rPr>
        <w:t>nuevas</w:t>
      </w:r>
      <w:r>
        <w:rPr>
          <w:spacing w:val="15"/>
        </w:rPr>
        <w:t> </w:t>
      </w:r>
      <w:r>
        <w:rPr>
          <w:w w:val="109"/>
        </w:rPr>
        <w:t>direcciones </w:t>
      </w:r>
      <w:r>
        <w:rPr>
          <w:w w:val="110"/>
        </w:rPr>
        <w:t>y</w:t>
      </w:r>
      <w:r>
        <w:rPr>
          <w:spacing w:val="-5"/>
          <w:w w:val="110"/>
        </w:rPr>
        <w:t> </w:t>
      </w:r>
      <w:r>
        <w:rPr>
          <w:w w:val="110"/>
        </w:rPr>
        <w:t>respuestas</w:t>
      </w:r>
      <w:r>
        <w:rPr>
          <w:spacing w:val="-5"/>
          <w:w w:val="110"/>
        </w:rPr>
        <w:t> </w:t>
      </w:r>
      <w:r>
        <w:rPr>
          <w:w w:val="110"/>
        </w:rPr>
        <w:t>para</w:t>
      </w:r>
      <w:r>
        <w:rPr>
          <w:spacing w:val="-5"/>
          <w:w w:val="110"/>
        </w:rPr>
        <w:t> </w:t>
      </w:r>
      <w:r>
        <w:rPr>
          <w:w w:val="110"/>
        </w:rPr>
        <w:t>resolver</w:t>
      </w:r>
      <w:r>
        <w:rPr>
          <w:spacing w:val="-5"/>
          <w:w w:val="110"/>
        </w:rPr>
        <w:t> </w:t>
      </w:r>
      <w:r>
        <w:rPr>
          <w:w w:val="110"/>
        </w:rPr>
        <w:t>viejas</w:t>
      </w:r>
      <w:r>
        <w:rPr>
          <w:spacing w:val="-5"/>
          <w:w w:val="110"/>
        </w:rPr>
        <w:t> </w:t>
      </w:r>
      <w:r>
        <w:rPr>
          <w:w w:val="110"/>
        </w:rPr>
        <w:t>preguntas</w:t>
      </w:r>
      <w:r>
        <w:rPr>
          <w:spacing w:val="-5"/>
          <w:w w:val="110"/>
        </w:rPr>
        <w:t> </w:t>
      </w:r>
      <w:r>
        <w:rPr>
          <w:w w:val="110"/>
        </w:rPr>
        <w:t>a</w:t>
      </w:r>
      <w:r>
        <w:rPr>
          <w:spacing w:val="-5"/>
          <w:w w:val="110"/>
        </w:rPr>
        <w:t> </w:t>
      </w:r>
      <w:r>
        <w:rPr>
          <w:w w:val="110"/>
        </w:rPr>
        <w:t>través</w:t>
      </w:r>
      <w:r>
        <w:rPr>
          <w:spacing w:val="-5"/>
          <w:w w:val="110"/>
        </w:rPr>
        <w:t> </w:t>
      </w:r>
      <w:r>
        <w:rPr>
          <w:w w:val="110"/>
        </w:rPr>
        <w:t>de</w:t>
      </w:r>
      <w:r>
        <w:rPr>
          <w:spacing w:val="-5"/>
          <w:w w:val="110"/>
        </w:rPr>
        <w:t> </w:t>
      </w:r>
      <w:r>
        <w:rPr>
          <w:w w:val="110"/>
        </w:rPr>
        <w:t>la</w:t>
      </w:r>
      <w:r>
        <w:rPr>
          <w:spacing w:val="-5"/>
          <w:w w:val="110"/>
        </w:rPr>
        <w:t> </w:t>
      </w:r>
      <w:r>
        <w:rPr>
          <w:w w:val="110"/>
        </w:rPr>
        <w:t>reevaluación y prueba de modelos autónomos que permitan la transición pacífi-    ca hacia un modo de producción diferente al capitalismo </w:t>
      </w:r>
      <w:r>
        <w:rPr>
          <w:i/>
          <w:w w:val="110"/>
        </w:rPr>
        <w:t>decadente      </w:t>
      </w:r>
      <w:r>
        <w:rPr>
          <w:w w:val="110"/>
        </w:rPr>
        <w:t>y la búsqueda del socialismo a través de la mitigación de presiones e intervenciones externas; la posibilidad de trascender las limitaciones de la democracia representativa formal a través de vías políticas inno- vadoras y la aplicación de la democracia participativa al margen de  los partidos políticos tradicionales y en el marco de los movimientos sociales</w:t>
      </w:r>
      <w:r>
        <w:rPr>
          <w:spacing w:val="-4"/>
          <w:w w:val="110"/>
        </w:rPr>
        <w:t> </w:t>
      </w:r>
      <w:r>
        <w:rPr>
          <w:w w:val="110"/>
        </w:rPr>
        <w:t>de</w:t>
      </w:r>
      <w:r>
        <w:rPr>
          <w:spacing w:val="-5"/>
          <w:w w:val="110"/>
        </w:rPr>
        <w:t> </w:t>
      </w:r>
      <w:r>
        <w:rPr>
          <w:w w:val="110"/>
        </w:rPr>
        <w:t>ese</w:t>
      </w:r>
      <w:r>
        <w:rPr>
          <w:spacing w:val="-5"/>
          <w:w w:val="110"/>
        </w:rPr>
        <w:t> </w:t>
      </w:r>
      <w:r>
        <w:rPr>
          <w:w w:val="110"/>
        </w:rPr>
        <w:t>momento;</w:t>
      </w:r>
      <w:r>
        <w:rPr>
          <w:spacing w:val="-5"/>
          <w:w w:val="110"/>
        </w:rPr>
        <w:t> </w:t>
      </w:r>
      <w:r>
        <w:rPr>
          <w:w w:val="110"/>
        </w:rPr>
        <w:t>además,</w:t>
      </w:r>
      <w:r>
        <w:rPr>
          <w:spacing w:val="-5"/>
          <w:w w:val="110"/>
        </w:rPr>
        <w:t> </w:t>
      </w:r>
      <w:r>
        <w:rPr>
          <w:w w:val="110"/>
        </w:rPr>
        <w:t>el</w:t>
      </w:r>
      <w:r>
        <w:rPr>
          <w:spacing w:val="-5"/>
          <w:w w:val="110"/>
        </w:rPr>
        <w:t> </w:t>
      </w:r>
      <w:r>
        <w:rPr>
          <w:w w:val="110"/>
        </w:rPr>
        <w:t>desafío</w:t>
      </w:r>
      <w:r>
        <w:rPr>
          <w:spacing w:val="-5"/>
          <w:w w:val="110"/>
        </w:rPr>
        <w:t> </w:t>
      </w:r>
      <w:r>
        <w:rPr>
          <w:w w:val="110"/>
        </w:rPr>
        <w:t>de</w:t>
      </w:r>
      <w:r>
        <w:rPr>
          <w:spacing w:val="-5"/>
          <w:w w:val="110"/>
        </w:rPr>
        <w:t> </w:t>
      </w:r>
      <w:r>
        <w:rPr>
          <w:w w:val="110"/>
        </w:rPr>
        <w:t>las</w:t>
      </w:r>
      <w:r>
        <w:rPr>
          <w:spacing w:val="-4"/>
          <w:w w:val="110"/>
        </w:rPr>
        <w:t> </w:t>
      </w:r>
      <w:r>
        <w:rPr>
          <w:w w:val="110"/>
        </w:rPr>
        <w:t>fuerzas</w:t>
      </w:r>
      <w:r>
        <w:rPr>
          <w:spacing w:val="-5"/>
          <w:w w:val="110"/>
        </w:rPr>
        <w:t> </w:t>
      </w:r>
      <w:r>
        <w:rPr>
          <w:w w:val="110"/>
        </w:rPr>
        <w:t>populares</w:t>
      </w:r>
      <w:r>
        <w:rPr>
          <w:spacing w:val="-5"/>
          <w:w w:val="110"/>
        </w:rPr>
        <w:t> </w:t>
      </w:r>
      <w:r>
        <w:rPr>
          <w:w w:val="110"/>
        </w:rPr>
        <w:t>a las clases dominantes y gobernantes a través de una dispersión de in- tereses. </w:t>
      </w:r>
      <w:r>
        <w:rPr>
          <w:spacing w:val="-3"/>
          <w:w w:val="110"/>
        </w:rPr>
        <w:t>también </w:t>
      </w:r>
      <w:r>
        <w:rPr>
          <w:w w:val="110"/>
        </w:rPr>
        <w:t>fue un período en el que muchos observadores, entre ellos algunos de la izquierda, hicieron una nueva lectura del conflicto clásico entre trabajo y capital; empezaron a analizar las estrategias que el trabajo utilizaba para alinearse tanto con el capital como con el Estado a fin de obtener beneficios a corto plazo y –de este modo– evi- denciar cómo dichas estrategias se vinculan con la movimiento</w:t>
      </w:r>
      <w:r>
        <w:rPr>
          <w:spacing w:val="-21"/>
          <w:w w:val="110"/>
        </w:rPr>
        <w:t> </w:t>
      </w:r>
      <w:r>
        <w:rPr>
          <w:w w:val="110"/>
        </w:rPr>
        <w:t>obrero global y el capital </w:t>
      </w:r>
      <w:r>
        <w:rPr>
          <w:spacing w:val="12"/>
          <w:w w:val="110"/>
        </w:rPr>
        <w:t> </w:t>
      </w:r>
      <w:r>
        <w:rPr>
          <w:w w:val="110"/>
        </w:rPr>
        <w:t>internacional.</w:t>
      </w:r>
    </w:p>
    <w:p>
      <w:pPr>
        <w:pStyle w:val="BodyText"/>
        <w:spacing w:line="252" w:lineRule="auto"/>
        <w:ind w:left="330" w:right="117" w:firstLine="396"/>
        <w:jc w:val="both"/>
      </w:pPr>
      <w:r>
        <w:rPr>
          <w:w w:val="110"/>
        </w:rPr>
        <w:t>Entonces, nos encontrábamos frente a un periodo de reevalua- ción sobre la caracterización tradicional de las diferencias más evi- dentes</w:t>
      </w:r>
      <w:r>
        <w:rPr>
          <w:spacing w:val="-6"/>
          <w:w w:val="110"/>
        </w:rPr>
        <w:t> </w:t>
      </w:r>
      <w:r>
        <w:rPr>
          <w:w w:val="110"/>
        </w:rPr>
        <w:t>entre</w:t>
      </w:r>
      <w:r>
        <w:rPr>
          <w:spacing w:val="-6"/>
          <w:w w:val="110"/>
        </w:rPr>
        <w:t> </w:t>
      </w:r>
      <w:r>
        <w:rPr>
          <w:w w:val="110"/>
        </w:rPr>
        <w:t>capitalismo</w:t>
      </w:r>
      <w:r>
        <w:rPr>
          <w:spacing w:val="-6"/>
          <w:w w:val="110"/>
        </w:rPr>
        <w:t> </w:t>
      </w:r>
      <w:r>
        <w:rPr>
          <w:w w:val="110"/>
        </w:rPr>
        <w:t>y</w:t>
      </w:r>
      <w:r>
        <w:rPr>
          <w:spacing w:val="-6"/>
          <w:w w:val="110"/>
        </w:rPr>
        <w:t> </w:t>
      </w:r>
      <w:r>
        <w:rPr>
          <w:w w:val="110"/>
        </w:rPr>
        <w:t>socialismo;</w:t>
      </w:r>
      <w:r>
        <w:rPr>
          <w:spacing w:val="-6"/>
          <w:w w:val="110"/>
        </w:rPr>
        <w:t> </w:t>
      </w:r>
      <w:r>
        <w:rPr>
          <w:w w:val="110"/>
        </w:rPr>
        <w:t>ante</w:t>
      </w:r>
      <w:r>
        <w:rPr>
          <w:spacing w:val="-6"/>
          <w:w w:val="110"/>
        </w:rPr>
        <w:t> </w:t>
      </w:r>
      <w:r>
        <w:rPr>
          <w:w w:val="110"/>
        </w:rPr>
        <w:t>la</w:t>
      </w:r>
      <w:r>
        <w:rPr>
          <w:spacing w:val="-6"/>
          <w:w w:val="110"/>
        </w:rPr>
        <w:t> </w:t>
      </w:r>
      <w:r>
        <w:rPr>
          <w:w w:val="110"/>
        </w:rPr>
        <w:t>necesidad</w:t>
      </w:r>
      <w:r>
        <w:rPr>
          <w:spacing w:val="-6"/>
          <w:w w:val="110"/>
        </w:rPr>
        <w:t> </w:t>
      </w:r>
      <w:r>
        <w:rPr>
          <w:w w:val="110"/>
        </w:rPr>
        <w:t>de</w:t>
      </w:r>
      <w:r>
        <w:rPr>
          <w:spacing w:val="-6"/>
          <w:w w:val="110"/>
        </w:rPr>
        <w:t> </w:t>
      </w:r>
      <w:r>
        <w:rPr>
          <w:w w:val="110"/>
        </w:rPr>
        <w:t>desarrollar las fuerzas de producción capitalistas en los países menos desarrolla- dos y con tendencias a transitar hacia un modelo socialista sin tener que recurrir a medios revolucionarios o violentos para lograr dicha transición. una pregunta clave era si había necesidad de construir un poder dual ante el eventual golpe del Estado y/o del aparato estatal,   o si sería posible para las fuerzas progresistas el poder infiltrarse en dichas estructuras estatales y generar cambios tanto al interior del Estado como fuera de éste. Posteriormente, se abordó la tensión entre los objetivos colectivos e individuales y cómo hacer frente a las nece- sidades humanas entre todos los pueblos, y si esto debía concretarse</w:t>
      </w:r>
      <w:r>
        <w:rPr>
          <w:spacing w:val="-14"/>
          <w:w w:val="110"/>
        </w:rPr>
        <w:t> </w:t>
      </w:r>
      <w:r>
        <w:rPr>
          <w:w w:val="110"/>
        </w:rPr>
        <w:t>a través del (libre) mercado o bien de una economía </w:t>
      </w:r>
      <w:r>
        <w:rPr>
          <w:spacing w:val="16"/>
          <w:w w:val="110"/>
        </w:rPr>
        <w:t> </w:t>
      </w:r>
      <w:r>
        <w:rPr>
          <w:w w:val="110"/>
        </w:rPr>
        <w:t>planificada.</w:t>
      </w:r>
    </w:p>
    <w:p>
      <w:pPr>
        <w:pStyle w:val="BodyText"/>
        <w:spacing w:line="252" w:lineRule="auto"/>
        <w:ind w:left="330" w:right="117" w:firstLine="396"/>
        <w:jc w:val="both"/>
      </w:pPr>
      <w:r>
        <w:rPr>
          <w:w w:val="110"/>
        </w:rPr>
        <w:t>Estas</w:t>
      </w:r>
      <w:r>
        <w:rPr>
          <w:spacing w:val="-6"/>
          <w:w w:val="110"/>
        </w:rPr>
        <w:t> </w:t>
      </w:r>
      <w:r>
        <w:rPr>
          <w:w w:val="110"/>
        </w:rPr>
        <w:t>viejas</w:t>
      </w:r>
      <w:r>
        <w:rPr>
          <w:spacing w:val="-6"/>
          <w:w w:val="110"/>
        </w:rPr>
        <w:t> </w:t>
      </w:r>
      <w:r>
        <w:rPr>
          <w:w w:val="110"/>
        </w:rPr>
        <w:t>preguntas</w:t>
      </w:r>
      <w:r>
        <w:rPr>
          <w:spacing w:val="-6"/>
          <w:w w:val="110"/>
        </w:rPr>
        <w:t> </w:t>
      </w:r>
      <w:r>
        <w:rPr>
          <w:w w:val="110"/>
        </w:rPr>
        <w:t>y</w:t>
      </w:r>
      <w:r>
        <w:rPr>
          <w:spacing w:val="-6"/>
          <w:w w:val="110"/>
        </w:rPr>
        <w:t> </w:t>
      </w:r>
      <w:r>
        <w:rPr>
          <w:w w:val="110"/>
        </w:rPr>
        <w:t>paradojas</w:t>
      </w:r>
      <w:r>
        <w:rPr>
          <w:spacing w:val="-6"/>
          <w:w w:val="110"/>
        </w:rPr>
        <w:t> </w:t>
      </w:r>
      <w:r>
        <w:rPr>
          <w:w w:val="110"/>
        </w:rPr>
        <w:t>aún</w:t>
      </w:r>
      <w:r>
        <w:rPr>
          <w:spacing w:val="-6"/>
          <w:w w:val="110"/>
        </w:rPr>
        <w:t> </w:t>
      </w:r>
      <w:r>
        <w:rPr>
          <w:w w:val="110"/>
        </w:rPr>
        <w:t>persisten</w:t>
      </w:r>
      <w:r>
        <w:rPr>
          <w:spacing w:val="-6"/>
          <w:w w:val="110"/>
        </w:rPr>
        <w:t> </w:t>
      </w:r>
      <w:r>
        <w:rPr>
          <w:w w:val="110"/>
        </w:rPr>
        <w:t>y</w:t>
      </w:r>
      <w:r>
        <w:rPr>
          <w:spacing w:val="-6"/>
          <w:w w:val="110"/>
        </w:rPr>
        <w:t> </w:t>
      </w:r>
      <w:r>
        <w:rPr>
          <w:w w:val="110"/>
        </w:rPr>
        <w:t>deben</w:t>
      </w:r>
      <w:r>
        <w:rPr>
          <w:spacing w:val="-6"/>
          <w:w w:val="110"/>
        </w:rPr>
        <w:t> </w:t>
      </w:r>
      <w:r>
        <w:rPr>
          <w:w w:val="110"/>
        </w:rPr>
        <w:t>ser</w:t>
      </w:r>
      <w:r>
        <w:rPr>
          <w:spacing w:val="-6"/>
          <w:w w:val="110"/>
        </w:rPr>
        <w:t> </w:t>
      </w:r>
      <w:r>
        <w:rPr>
          <w:w w:val="110"/>
        </w:rPr>
        <w:t>aten- didas</w:t>
      </w:r>
      <w:r>
        <w:rPr>
          <w:spacing w:val="-4"/>
          <w:w w:val="110"/>
        </w:rPr>
        <w:t> </w:t>
      </w:r>
      <w:r>
        <w:rPr>
          <w:w w:val="110"/>
        </w:rPr>
        <w:t>por</w:t>
      </w:r>
      <w:r>
        <w:rPr>
          <w:spacing w:val="-4"/>
          <w:w w:val="110"/>
        </w:rPr>
        <w:t> </w:t>
      </w:r>
      <w:r>
        <w:rPr>
          <w:w w:val="110"/>
        </w:rPr>
        <w:t>los</w:t>
      </w:r>
      <w:r>
        <w:rPr>
          <w:spacing w:val="-4"/>
          <w:w w:val="110"/>
        </w:rPr>
        <w:t> </w:t>
      </w:r>
      <w:r>
        <w:rPr>
          <w:w w:val="110"/>
        </w:rPr>
        <w:t>gobiernos</w:t>
      </w:r>
      <w:r>
        <w:rPr>
          <w:spacing w:val="-4"/>
          <w:w w:val="110"/>
        </w:rPr>
        <w:t> </w:t>
      </w:r>
      <w:r>
        <w:rPr>
          <w:w w:val="110"/>
        </w:rPr>
        <w:t>progresistas</w:t>
      </w:r>
      <w:r>
        <w:rPr>
          <w:spacing w:val="-4"/>
          <w:w w:val="110"/>
        </w:rPr>
        <w:t> </w:t>
      </w:r>
      <w:r>
        <w:rPr>
          <w:w w:val="110"/>
        </w:rPr>
        <w:t>que</w:t>
      </w:r>
      <w:r>
        <w:rPr>
          <w:spacing w:val="-4"/>
          <w:w w:val="110"/>
        </w:rPr>
        <w:t> </w:t>
      </w:r>
      <w:r>
        <w:rPr>
          <w:w w:val="110"/>
        </w:rPr>
        <w:t>surgieron</w:t>
      </w:r>
      <w:r>
        <w:rPr>
          <w:spacing w:val="-4"/>
          <w:w w:val="110"/>
        </w:rPr>
        <w:t> </w:t>
      </w:r>
      <w:r>
        <w:rPr>
          <w:w w:val="110"/>
        </w:rPr>
        <w:t>desde</w:t>
      </w:r>
      <w:r>
        <w:rPr>
          <w:spacing w:val="-4"/>
          <w:w w:val="110"/>
        </w:rPr>
        <w:t> </w:t>
      </w:r>
      <w:r>
        <w:rPr>
          <w:w w:val="110"/>
        </w:rPr>
        <w:t>el</w:t>
      </w:r>
      <w:r>
        <w:rPr>
          <w:spacing w:val="-4"/>
          <w:w w:val="110"/>
        </w:rPr>
        <w:t> </w:t>
      </w:r>
      <w:r>
        <w:rPr>
          <w:w w:val="110"/>
        </w:rPr>
        <w:t>cambio</w:t>
      </w:r>
      <w:r>
        <w:rPr>
          <w:spacing w:val="-4"/>
          <w:w w:val="110"/>
        </w:rPr>
        <w:t> </w:t>
      </w:r>
      <w:r>
        <w:rPr>
          <w:w w:val="110"/>
        </w:rPr>
        <w:t>de siglo. aunque en algún momento el campo socialista consiguió com- pensar parcialmente el dominio y las ambiciones imperiales de los </w:t>
      </w:r>
      <w:r>
        <w:rPr>
          <w:w w:val="111"/>
        </w:rPr>
        <w:t>Estados</w:t>
      </w:r>
      <w:r>
        <w:rPr/>
        <w:t> </w:t>
      </w:r>
      <w:r>
        <w:rPr>
          <w:spacing w:val="-16"/>
        </w:rPr>
        <w:t> </w:t>
      </w:r>
      <w:r>
        <w:rPr>
          <w:w w:val="140"/>
        </w:rPr>
        <w:t>u</w:t>
      </w:r>
      <w:r>
        <w:rPr>
          <w:w w:val="112"/>
        </w:rPr>
        <w:t>nidos,</w:t>
      </w:r>
      <w:r>
        <w:rPr/>
        <w:t> </w:t>
      </w:r>
      <w:r>
        <w:rPr>
          <w:spacing w:val="-16"/>
        </w:rPr>
        <w:t> </w:t>
      </w:r>
      <w:r>
        <w:rPr>
          <w:w w:val="112"/>
        </w:rPr>
        <w:t>dicha</w:t>
      </w:r>
      <w:r>
        <w:rPr/>
        <w:t> </w:t>
      </w:r>
      <w:r>
        <w:rPr>
          <w:spacing w:val="-16"/>
        </w:rPr>
        <w:t> </w:t>
      </w:r>
      <w:r>
        <w:rPr>
          <w:w w:val="109"/>
        </w:rPr>
        <w:t>realidad</w:t>
      </w:r>
      <w:r>
        <w:rPr/>
        <w:t> </w:t>
      </w:r>
      <w:r>
        <w:rPr>
          <w:spacing w:val="-16"/>
        </w:rPr>
        <w:t> </w:t>
      </w:r>
      <w:r>
        <w:rPr>
          <w:w w:val="108"/>
        </w:rPr>
        <w:t>ya</w:t>
      </w:r>
      <w:r>
        <w:rPr/>
        <w:t> </w:t>
      </w:r>
      <w:r>
        <w:rPr>
          <w:spacing w:val="-16"/>
        </w:rPr>
        <w:t> </w:t>
      </w:r>
      <w:r>
        <w:rPr>
          <w:w w:val="111"/>
        </w:rPr>
        <w:t>no</w:t>
      </w:r>
      <w:r>
        <w:rPr/>
        <w:t> </w:t>
      </w:r>
      <w:r>
        <w:rPr>
          <w:spacing w:val="-16"/>
        </w:rPr>
        <w:t> </w:t>
      </w:r>
      <w:r>
        <w:rPr>
          <w:w w:val="107"/>
        </w:rPr>
        <w:t>existe</w:t>
      </w:r>
      <w:r>
        <w:rPr/>
        <w:t> </w:t>
      </w:r>
      <w:r>
        <w:rPr>
          <w:spacing w:val="-16"/>
        </w:rPr>
        <w:t> </w:t>
      </w:r>
      <w:r>
        <w:rPr>
          <w:w w:val="109"/>
        </w:rPr>
        <w:t>hoy</w:t>
      </w:r>
      <w:r>
        <w:rPr/>
        <w:t> </w:t>
      </w:r>
      <w:r>
        <w:rPr>
          <w:spacing w:val="-16"/>
        </w:rPr>
        <w:t> </w:t>
      </w:r>
      <w:r>
        <w:rPr>
          <w:w w:val="108"/>
        </w:rPr>
        <w:t>en</w:t>
      </w:r>
      <w:r>
        <w:rPr/>
        <w:t> </w:t>
      </w:r>
      <w:r>
        <w:rPr>
          <w:spacing w:val="-16"/>
        </w:rPr>
        <w:t> </w:t>
      </w:r>
      <w:r>
        <w:rPr>
          <w:w w:val="115"/>
        </w:rPr>
        <w:t>día.</w:t>
      </w:r>
      <w:r>
        <w:rPr/>
        <w:t> </w:t>
      </w:r>
      <w:r>
        <w:rPr>
          <w:spacing w:val="-16"/>
        </w:rPr>
        <w:t> </w:t>
      </w:r>
      <w:r>
        <w:rPr>
          <w:w w:val="243"/>
        </w:rPr>
        <w:t>l</w:t>
      </w:r>
      <w:r>
        <w:rPr>
          <w:w w:val="108"/>
        </w:rPr>
        <w:t>os</w:t>
      </w:r>
      <w:r>
        <w:rPr/>
        <w:t> </w:t>
      </w:r>
      <w:r>
        <w:rPr>
          <w:spacing w:val="-16"/>
        </w:rPr>
        <w:t> </w:t>
      </w:r>
      <w:r>
        <w:rPr>
          <w:w w:val="109"/>
        </w:rPr>
        <w:t>avances </w:t>
      </w:r>
      <w:r>
        <w:rPr>
          <w:w w:val="110"/>
        </w:rPr>
        <w:t>alcanzados por el neoliberalismo están siendo contrarrestados</w:t>
      </w:r>
      <w:r>
        <w:rPr>
          <w:spacing w:val="-20"/>
          <w:w w:val="110"/>
        </w:rPr>
        <w:t> </w:t>
      </w:r>
      <w:r>
        <w:rPr>
          <w:w w:val="110"/>
        </w:rPr>
        <w:t>recien- temente por algunos representantes electos que rechazan un mundo que promueve riqueza para unos pocos y profundiza la pobreza de  </w:t>
      </w:r>
      <w:r>
        <w:rPr>
          <w:spacing w:val="10"/>
          <w:w w:val="110"/>
        </w:rPr>
        <w:t> </w:t>
      </w:r>
      <w:r>
        <w:rPr>
          <w:w w:val="110"/>
        </w:rPr>
        <w:t>la</w:t>
      </w:r>
    </w:p>
    <w:p>
      <w:pPr>
        <w:spacing w:after="0" w:line="252" w:lineRule="auto"/>
        <w:jc w:val="both"/>
        <w:sectPr>
          <w:headerReference w:type="even" r:id="rId50"/>
          <w:headerReference w:type="default" r:id="rId51"/>
          <w:footerReference w:type="even" r:id="rId52"/>
          <w:footerReference w:type="default" r:id="rId53"/>
          <w:pgSz w:w="8790" w:h="12760"/>
          <w:pgMar w:header="697" w:footer="725" w:top="880" w:bottom="920" w:left="1200" w:right="900"/>
          <w:pgNumType w:start="16"/>
        </w:sectPr>
      </w:pPr>
    </w:p>
    <w:p>
      <w:pPr>
        <w:pStyle w:val="BodyText"/>
        <w:spacing w:before="9"/>
        <w:rPr>
          <w:sz w:val="28"/>
        </w:rPr>
      </w:pPr>
    </w:p>
    <w:p>
      <w:pPr>
        <w:pStyle w:val="BodyText"/>
        <w:spacing w:line="252" w:lineRule="auto" w:before="73"/>
        <w:ind w:left="100" w:right="327"/>
        <w:jc w:val="both"/>
      </w:pPr>
      <w:r>
        <w:rPr>
          <w:w w:val="112"/>
        </w:rPr>
        <w:t>mayoría.</w:t>
      </w:r>
      <w:r>
        <w:rPr/>
        <w:t> </w:t>
      </w:r>
      <w:r>
        <w:rPr>
          <w:spacing w:val="-10"/>
        </w:rPr>
        <w:t> </w:t>
      </w:r>
      <w:r>
        <w:rPr>
          <w:w w:val="243"/>
        </w:rPr>
        <w:t>l</w:t>
      </w:r>
      <w:r>
        <w:rPr>
          <w:w w:val="108"/>
        </w:rPr>
        <w:t>os</w:t>
      </w:r>
      <w:r>
        <w:rPr/>
        <w:t> </w:t>
      </w:r>
      <w:r>
        <w:rPr>
          <w:spacing w:val="-10"/>
        </w:rPr>
        <w:t> </w:t>
      </w:r>
      <w:r>
        <w:rPr>
          <w:w w:val="109"/>
        </w:rPr>
        <w:t>gobiernos</w:t>
      </w:r>
      <w:r>
        <w:rPr/>
        <w:t> </w:t>
      </w:r>
      <w:r>
        <w:rPr>
          <w:spacing w:val="-10"/>
        </w:rPr>
        <w:t> </w:t>
      </w:r>
      <w:r>
        <w:rPr>
          <w:w w:val="107"/>
        </w:rPr>
        <w:t>progresistas</w:t>
      </w:r>
      <w:r>
        <w:rPr/>
        <w:t> </w:t>
      </w:r>
      <w:r>
        <w:rPr>
          <w:spacing w:val="-10"/>
        </w:rPr>
        <w:t> </w:t>
      </w:r>
      <w:r>
        <w:rPr>
          <w:w w:val="107"/>
        </w:rPr>
        <w:t>emergentes</w:t>
      </w:r>
      <w:r>
        <w:rPr/>
        <w:t> </w:t>
      </w:r>
      <w:r>
        <w:rPr>
          <w:spacing w:val="-10"/>
        </w:rPr>
        <w:t> </w:t>
      </w:r>
      <w:r>
        <w:rPr>
          <w:w w:val="107"/>
        </w:rPr>
        <w:t>de</w:t>
      </w:r>
      <w:r>
        <w:rPr/>
        <w:t> </w:t>
      </w:r>
      <w:r>
        <w:rPr>
          <w:spacing w:val="-11"/>
        </w:rPr>
        <w:t> </w:t>
      </w:r>
      <w:r>
        <w:rPr>
          <w:w w:val="139"/>
        </w:rPr>
        <w:t>a</w:t>
      </w:r>
      <w:r>
        <w:rPr>
          <w:w w:val="111"/>
        </w:rPr>
        <w:t>mérica</w:t>
      </w:r>
      <w:r>
        <w:rPr/>
        <w:t> </w:t>
      </w:r>
      <w:r>
        <w:rPr>
          <w:spacing w:val="-10"/>
        </w:rPr>
        <w:t> </w:t>
      </w:r>
      <w:r>
        <w:rPr>
          <w:w w:val="243"/>
        </w:rPr>
        <w:t>l</w:t>
      </w:r>
      <w:r>
        <w:rPr>
          <w:w w:val="113"/>
        </w:rPr>
        <w:t>atina, </w:t>
      </w:r>
      <w:r>
        <w:rPr>
          <w:w w:val="110"/>
        </w:rPr>
        <w:t>sin embargo, cuentan con programas y recursos limitados, y aunque las condiciones para una transformación profunda deberían ser esta- bles, la propia transformación es </w:t>
      </w:r>
      <w:r>
        <w:rPr>
          <w:i/>
          <w:w w:val="110"/>
        </w:rPr>
        <w:t>materializable </w:t>
      </w:r>
      <w:r>
        <w:rPr>
          <w:w w:val="110"/>
        </w:rPr>
        <w:t>sólo en el futuro. Por otro lado, muchos de estos gobiernos se encuentran experimentando desafíos profundos, sobre todo porque dan cuenta de una evolución vía la práctica formal de la democracia participativa y aunque con problemas para poner en práctica el gobierno participativo. No sólo son evidentes las diferencias de clase, también existe una lucha entre las mismas fuerzas políticas de izquierda así como un lastimoso uso de prácticas de corrupción al interior de los gobiernos progresistas, como sucede en brasil bajo la administración de dilma  rousseff  o bien Michelle bachelet en Chile. adicionalmente, algunos partidos políticos de izquierda resultan sospechosos, especialmente en los sis- temas parlamentarios en los que, debido a su posicionamiento y nece- sidad de construcción de coaliciones, suelen imitar o acercarse a las prácticas y la retórica de los partidos conservadores y liberales tradi- cionales. bajo el escenario </w:t>
      </w:r>
      <w:r>
        <w:rPr>
          <w:spacing w:val="-3"/>
          <w:w w:val="110"/>
        </w:rPr>
        <w:t>anterior, </w:t>
      </w:r>
      <w:r>
        <w:rPr>
          <w:w w:val="110"/>
        </w:rPr>
        <w:t>los movimientos sociales y las </w:t>
      </w:r>
      <w:r>
        <w:rPr>
          <w:spacing w:val="-5"/>
          <w:w w:val="110"/>
        </w:rPr>
        <w:t>or- </w:t>
      </w:r>
      <w:r>
        <w:rPr>
          <w:w w:val="110"/>
        </w:rPr>
        <w:t>ganizaciones no gubernamentales son visualizados como la promesa bajo la cual triunfarán los proyectos sociales opuestos al capitalismo, sin embargo son fácilmente marginados o limitados a atender causas particulares y no pueden producir cambios que benefician a una am- plia gama de</w:t>
      </w:r>
      <w:r>
        <w:rPr>
          <w:spacing w:val="31"/>
          <w:w w:val="110"/>
        </w:rPr>
        <w:t> </w:t>
      </w:r>
      <w:r>
        <w:rPr>
          <w:w w:val="110"/>
        </w:rPr>
        <w:t>personas.</w:t>
      </w:r>
    </w:p>
    <w:p>
      <w:pPr>
        <w:pStyle w:val="BodyText"/>
        <w:spacing w:before="5"/>
      </w:pPr>
    </w:p>
    <w:p>
      <w:pPr>
        <w:pStyle w:val="Heading6"/>
      </w:pPr>
      <w:r>
        <w:rPr>
          <w:w w:val="140"/>
        </w:rPr>
        <w:t>las orientaciones teóricas y el internacionalisMo</w:t>
      </w:r>
    </w:p>
    <w:p>
      <w:pPr>
        <w:pStyle w:val="BodyText"/>
        <w:spacing w:line="252" w:lineRule="auto" w:before="10"/>
        <w:ind w:left="100" w:right="328"/>
        <w:jc w:val="both"/>
      </w:pPr>
      <w:r>
        <w:rPr>
          <w:w w:val="115"/>
        </w:rPr>
        <w:t>Más allá de la investigación de ciertos temas como el papel del Es- tado en la formación de capital público y privado o la prestación de </w:t>
      </w:r>
      <w:r>
        <w:rPr>
          <w:w w:val="110"/>
        </w:rPr>
        <w:t>servicios</w:t>
      </w:r>
      <w:r>
        <w:rPr>
          <w:spacing w:val="-6"/>
          <w:w w:val="110"/>
        </w:rPr>
        <w:t> </w:t>
      </w:r>
      <w:r>
        <w:rPr>
          <w:w w:val="110"/>
        </w:rPr>
        <w:t>esenciales</w:t>
      </w:r>
      <w:r>
        <w:rPr>
          <w:spacing w:val="-6"/>
          <w:w w:val="110"/>
        </w:rPr>
        <w:t> </w:t>
      </w:r>
      <w:r>
        <w:rPr>
          <w:w w:val="110"/>
        </w:rPr>
        <w:t>a</w:t>
      </w:r>
      <w:r>
        <w:rPr>
          <w:spacing w:val="-6"/>
          <w:w w:val="110"/>
        </w:rPr>
        <w:t> </w:t>
      </w:r>
      <w:r>
        <w:rPr>
          <w:w w:val="110"/>
        </w:rPr>
        <w:t>todas</w:t>
      </w:r>
      <w:r>
        <w:rPr>
          <w:spacing w:val="-6"/>
          <w:w w:val="110"/>
        </w:rPr>
        <w:t> </w:t>
      </w:r>
      <w:r>
        <w:rPr>
          <w:w w:val="110"/>
        </w:rPr>
        <w:t>las</w:t>
      </w:r>
      <w:r>
        <w:rPr>
          <w:spacing w:val="-6"/>
          <w:w w:val="110"/>
        </w:rPr>
        <w:t> </w:t>
      </w:r>
      <w:r>
        <w:rPr>
          <w:w w:val="110"/>
        </w:rPr>
        <w:t>personas</w:t>
      </w:r>
      <w:r>
        <w:rPr>
          <w:spacing w:val="-6"/>
          <w:w w:val="110"/>
        </w:rPr>
        <w:t> </w:t>
      </w:r>
      <w:r>
        <w:rPr>
          <w:w w:val="110"/>
        </w:rPr>
        <w:t>necesitadas,</w:t>
      </w:r>
      <w:r>
        <w:rPr>
          <w:spacing w:val="-6"/>
          <w:w w:val="110"/>
        </w:rPr>
        <w:t> </w:t>
      </w:r>
      <w:r>
        <w:rPr>
          <w:w w:val="110"/>
        </w:rPr>
        <w:t>varias</w:t>
      </w:r>
      <w:r>
        <w:rPr>
          <w:spacing w:val="-6"/>
          <w:w w:val="110"/>
        </w:rPr>
        <w:t> </w:t>
      </w:r>
      <w:r>
        <w:rPr>
          <w:w w:val="110"/>
        </w:rPr>
        <w:t>de</w:t>
      </w:r>
      <w:r>
        <w:rPr>
          <w:spacing w:val="-6"/>
          <w:w w:val="110"/>
        </w:rPr>
        <w:t> </w:t>
      </w:r>
      <w:r>
        <w:rPr>
          <w:w w:val="110"/>
        </w:rPr>
        <w:t>las</w:t>
      </w:r>
      <w:r>
        <w:rPr>
          <w:spacing w:val="-6"/>
          <w:w w:val="110"/>
        </w:rPr>
        <w:t> </w:t>
      </w:r>
      <w:r>
        <w:rPr>
          <w:w w:val="110"/>
        </w:rPr>
        <w:t>pre- </w:t>
      </w:r>
      <w:r>
        <w:rPr>
          <w:w w:val="110"/>
        </w:rPr>
        <w:t>guntas</w:t>
      </w:r>
      <w:r>
        <w:rPr>
          <w:spacing w:val="13"/>
        </w:rPr>
        <w:t> </w:t>
      </w:r>
      <w:r>
        <w:rPr>
          <w:w w:val="108"/>
        </w:rPr>
        <w:t>que</w:t>
      </w:r>
      <w:r>
        <w:rPr>
          <w:spacing w:val="13"/>
        </w:rPr>
        <w:t> </w:t>
      </w:r>
      <w:r>
        <w:rPr>
          <w:w w:val="110"/>
        </w:rPr>
        <w:t>involucra</w:t>
      </w:r>
      <w:r>
        <w:rPr>
          <w:spacing w:val="13"/>
        </w:rPr>
        <w:t> </w:t>
      </w:r>
      <w:r>
        <w:rPr>
          <w:w w:val="107"/>
        </w:rPr>
        <w:t>el</w:t>
      </w:r>
      <w:r>
        <w:rPr>
          <w:spacing w:val="13"/>
        </w:rPr>
        <w:t> </w:t>
      </w:r>
      <w:r>
        <w:rPr>
          <w:w w:val="108"/>
        </w:rPr>
        <w:t>debate</w:t>
      </w:r>
      <w:r>
        <w:rPr>
          <w:spacing w:val="13"/>
        </w:rPr>
        <w:t> </w:t>
      </w:r>
      <w:r>
        <w:rPr>
          <w:w w:val="112"/>
        </w:rPr>
        <w:t>académico</w:t>
      </w:r>
      <w:r>
        <w:rPr>
          <w:spacing w:val="13"/>
        </w:rPr>
        <w:t> </w:t>
      </w:r>
      <w:r>
        <w:rPr>
          <w:w w:val="106"/>
        </w:rPr>
        <w:t>referente</w:t>
      </w:r>
      <w:r>
        <w:rPr>
          <w:spacing w:val="13"/>
        </w:rPr>
        <w:t> </w:t>
      </w:r>
      <w:r>
        <w:rPr>
          <w:w w:val="112"/>
        </w:rPr>
        <w:t>a</w:t>
      </w:r>
      <w:r>
        <w:rPr>
          <w:spacing w:val="13"/>
        </w:rPr>
        <w:t> </w:t>
      </w:r>
      <w:r>
        <w:rPr>
          <w:w w:val="139"/>
        </w:rPr>
        <w:t>a</w:t>
      </w:r>
      <w:r>
        <w:rPr>
          <w:w w:val="111"/>
        </w:rPr>
        <w:t>mérica</w:t>
      </w:r>
      <w:r>
        <w:rPr>
          <w:spacing w:val="13"/>
        </w:rPr>
        <w:t> </w:t>
      </w:r>
      <w:r>
        <w:rPr>
          <w:w w:val="243"/>
        </w:rPr>
        <w:t>l</w:t>
      </w:r>
      <w:r>
        <w:rPr>
          <w:w w:val="111"/>
        </w:rPr>
        <w:t>atina </w:t>
      </w:r>
      <w:r>
        <w:rPr>
          <w:w w:val="115"/>
        </w:rPr>
        <w:t>(y</w:t>
      </w:r>
      <w:r>
        <w:rPr>
          <w:spacing w:val="-12"/>
          <w:w w:val="115"/>
        </w:rPr>
        <w:t> </w:t>
      </w:r>
      <w:r>
        <w:rPr>
          <w:w w:val="115"/>
        </w:rPr>
        <w:t>el</w:t>
      </w:r>
      <w:r>
        <w:rPr>
          <w:spacing w:val="-12"/>
          <w:w w:val="115"/>
        </w:rPr>
        <w:t> </w:t>
      </w:r>
      <w:r>
        <w:rPr>
          <w:w w:val="115"/>
        </w:rPr>
        <w:t>Caribe)</w:t>
      </w:r>
      <w:r>
        <w:rPr>
          <w:spacing w:val="-12"/>
          <w:w w:val="115"/>
        </w:rPr>
        <w:t> </w:t>
      </w:r>
      <w:r>
        <w:rPr>
          <w:w w:val="115"/>
        </w:rPr>
        <w:t>han</w:t>
      </w:r>
      <w:r>
        <w:rPr>
          <w:spacing w:val="-12"/>
          <w:w w:val="115"/>
        </w:rPr>
        <w:t> </w:t>
      </w:r>
      <w:r>
        <w:rPr>
          <w:w w:val="115"/>
        </w:rPr>
        <w:t>dedicado</w:t>
      </w:r>
      <w:r>
        <w:rPr>
          <w:spacing w:val="-12"/>
          <w:w w:val="115"/>
        </w:rPr>
        <w:t> </w:t>
      </w:r>
      <w:r>
        <w:rPr>
          <w:w w:val="115"/>
        </w:rPr>
        <w:t>su</w:t>
      </w:r>
      <w:r>
        <w:rPr>
          <w:spacing w:val="-12"/>
          <w:w w:val="115"/>
        </w:rPr>
        <w:t> </w:t>
      </w:r>
      <w:r>
        <w:rPr>
          <w:w w:val="115"/>
        </w:rPr>
        <w:t>interés</w:t>
      </w:r>
      <w:r>
        <w:rPr>
          <w:spacing w:val="-12"/>
          <w:w w:val="115"/>
        </w:rPr>
        <w:t> </w:t>
      </w:r>
      <w:r>
        <w:rPr>
          <w:w w:val="115"/>
        </w:rPr>
        <w:t>a</w:t>
      </w:r>
      <w:r>
        <w:rPr>
          <w:spacing w:val="-12"/>
          <w:w w:val="115"/>
        </w:rPr>
        <w:t> </w:t>
      </w:r>
      <w:r>
        <w:rPr>
          <w:w w:val="115"/>
        </w:rPr>
        <w:t>revisar</w:t>
      </w:r>
      <w:r>
        <w:rPr>
          <w:spacing w:val="-12"/>
          <w:w w:val="115"/>
        </w:rPr>
        <w:t> </w:t>
      </w:r>
      <w:r>
        <w:rPr>
          <w:w w:val="115"/>
        </w:rPr>
        <w:t>el</w:t>
      </w:r>
      <w:r>
        <w:rPr>
          <w:spacing w:val="-12"/>
          <w:w w:val="115"/>
        </w:rPr>
        <w:t> </w:t>
      </w:r>
      <w:r>
        <w:rPr>
          <w:w w:val="115"/>
        </w:rPr>
        <w:t>papel</w:t>
      </w:r>
      <w:r>
        <w:rPr>
          <w:spacing w:val="-12"/>
          <w:w w:val="115"/>
        </w:rPr>
        <w:t> </w:t>
      </w:r>
      <w:r>
        <w:rPr>
          <w:w w:val="115"/>
        </w:rPr>
        <w:t>y</w:t>
      </w:r>
      <w:r>
        <w:rPr>
          <w:spacing w:val="-12"/>
          <w:w w:val="115"/>
        </w:rPr>
        <w:t> </w:t>
      </w:r>
      <w:r>
        <w:rPr>
          <w:w w:val="115"/>
        </w:rPr>
        <w:t>la</w:t>
      </w:r>
      <w:r>
        <w:rPr>
          <w:spacing w:val="-12"/>
          <w:w w:val="115"/>
        </w:rPr>
        <w:t> </w:t>
      </w:r>
      <w:r>
        <w:rPr>
          <w:w w:val="115"/>
        </w:rPr>
        <w:t>influencia de los Estados unidos en la región. al respecto, propongo examinar brevemente si la perspectiva de la globalización resulta útil hoy en día</w:t>
      </w:r>
      <w:r>
        <w:rPr>
          <w:spacing w:val="-15"/>
          <w:w w:val="115"/>
        </w:rPr>
        <w:t> </w:t>
      </w:r>
      <w:r>
        <w:rPr>
          <w:w w:val="115"/>
        </w:rPr>
        <w:t>a</w:t>
      </w:r>
      <w:r>
        <w:rPr>
          <w:spacing w:val="-15"/>
          <w:w w:val="115"/>
        </w:rPr>
        <w:t> </w:t>
      </w:r>
      <w:r>
        <w:rPr>
          <w:w w:val="115"/>
        </w:rPr>
        <w:t>fin</w:t>
      </w:r>
      <w:r>
        <w:rPr>
          <w:spacing w:val="-15"/>
          <w:w w:val="115"/>
        </w:rPr>
        <w:t> </w:t>
      </w:r>
      <w:r>
        <w:rPr>
          <w:w w:val="115"/>
        </w:rPr>
        <w:t>de</w:t>
      </w:r>
      <w:r>
        <w:rPr>
          <w:spacing w:val="-15"/>
          <w:w w:val="115"/>
        </w:rPr>
        <w:t> </w:t>
      </w:r>
      <w:r>
        <w:rPr>
          <w:w w:val="115"/>
        </w:rPr>
        <w:t>comprender</w:t>
      </w:r>
      <w:r>
        <w:rPr>
          <w:spacing w:val="-15"/>
          <w:w w:val="115"/>
        </w:rPr>
        <w:t> </w:t>
      </w:r>
      <w:r>
        <w:rPr>
          <w:w w:val="115"/>
        </w:rPr>
        <w:t>el</w:t>
      </w:r>
      <w:r>
        <w:rPr>
          <w:spacing w:val="-15"/>
          <w:w w:val="115"/>
        </w:rPr>
        <w:t> </w:t>
      </w:r>
      <w:r>
        <w:rPr>
          <w:w w:val="115"/>
        </w:rPr>
        <w:t>vínculo</w:t>
      </w:r>
      <w:r>
        <w:rPr>
          <w:spacing w:val="-15"/>
          <w:w w:val="115"/>
        </w:rPr>
        <w:t> </w:t>
      </w:r>
      <w:r>
        <w:rPr>
          <w:w w:val="115"/>
        </w:rPr>
        <w:t>entre</w:t>
      </w:r>
      <w:r>
        <w:rPr>
          <w:spacing w:val="-15"/>
          <w:w w:val="115"/>
        </w:rPr>
        <w:t> </w:t>
      </w:r>
      <w:r>
        <w:rPr>
          <w:w w:val="115"/>
        </w:rPr>
        <w:t>la</w:t>
      </w:r>
      <w:r>
        <w:rPr>
          <w:spacing w:val="-15"/>
          <w:w w:val="115"/>
        </w:rPr>
        <w:t> </w:t>
      </w:r>
      <w:r>
        <w:rPr>
          <w:w w:val="115"/>
        </w:rPr>
        <w:t>experiencia</w:t>
      </w:r>
      <w:r>
        <w:rPr>
          <w:spacing w:val="-15"/>
          <w:w w:val="115"/>
        </w:rPr>
        <w:t> </w:t>
      </w:r>
      <w:r>
        <w:rPr>
          <w:w w:val="115"/>
        </w:rPr>
        <w:t>histórica</w:t>
      </w:r>
      <w:r>
        <w:rPr>
          <w:spacing w:val="-15"/>
          <w:w w:val="115"/>
        </w:rPr>
        <w:t> </w:t>
      </w:r>
      <w:r>
        <w:rPr>
          <w:w w:val="115"/>
        </w:rPr>
        <w:t>de</w:t>
      </w:r>
      <w:r>
        <w:rPr>
          <w:spacing w:val="-15"/>
          <w:w w:val="115"/>
        </w:rPr>
        <w:t> </w:t>
      </w:r>
      <w:r>
        <w:rPr>
          <w:w w:val="115"/>
        </w:rPr>
        <w:t>la dominación de Estados unidos y las posibilidades de un desarrollo real</w:t>
      </w:r>
      <w:r>
        <w:rPr>
          <w:spacing w:val="-9"/>
          <w:w w:val="115"/>
        </w:rPr>
        <w:t> </w:t>
      </w:r>
      <w:r>
        <w:rPr>
          <w:w w:val="115"/>
        </w:rPr>
        <w:t>bajo</w:t>
      </w:r>
      <w:r>
        <w:rPr>
          <w:spacing w:val="-9"/>
          <w:w w:val="115"/>
        </w:rPr>
        <w:t> </w:t>
      </w:r>
      <w:r>
        <w:rPr>
          <w:w w:val="115"/>
        </w:rPr>
        <w:t>un</w:t>
      </w:r>
      <w:r>
        <w:rPr>
          <w:spacing w:val="-9"/>
          <w:w w:val="115"/>
        </w:rPr>
        <w:t> </w:t>
      </w:r>
      <w:r>
        <w:rPr>
          <w:w w:val="115"/>
        </w:rPr>
        <w:t>régimen</w:t>
      </w:r>
      <w:r>
        <w:rPr>
          <w:spacing w:val="-9"/>
          <w:w w:val="115"/>
        </w:rPr>
        <w:t> </w:t>
      </w:r>
      <w:r>
        <w:rPr>
          <w:w w:val="115"/>
        </w:rPr>
        <w:t>capitalista</w:t>
      </w:r>
      <w:r>
        <w:rPr>
          <w:spacing w:val="-9"/>
          <w:w w:val="115"/>
        </w:rPr>
        <w:t> </w:t>
      </w:r>
      <w:r>
        <w:rPr>
          <w:w w:val="115"/>
        </w:rPr>
        <w:t>complejo.</w:t>
      </w:r>
      <w:r>
        <w:rPr>
          <w:spacing w:val="-9"/>
          <w:w w:val="115"/>
        </w:rPr>
        <w:t> </w:t>
      </w:r>
      <w:r>
        <w:rPr>
          <w:w w:val="115"/>
        </w:rPr>
        <w:t>Para</w:t>
      </w:r>
      <w:r>
        <w:rPr>
          <w:spacing w:val="-9"/>
          <w:w w:val="115"/>
        </w:rPr>
        <w:t> </w:t>
      </w:r>
      <w:r>
        <w:rPr>
          <w:w w:val="115"/>
        </w:rPr>
        <w:t>entender</w:t>
      </w:r>
      <w:r>
        <w:rPr>
          <w:spacing w:val="-9"/>
          <w:w w:val="115"/>
        </w:rPr>
        <w:t> </w:t>
      </w:r>
      <w:r>
        <w:rPr>
          <w:w w:val="115"/>
        </w:rPr>
        <w:t>lo</w:t>
      </w:r>
      <w:r>
        <w:rPr>
          <w:spacing w:val="-9"/>
          <w:w w:val="115"/>
        </w:rPr>
        <w:t> </w:t>
      </w:r>
      <w:r>
        <w:rPr>
          <w:spacing w:val="-3"/>
          <w:w w:val="115"/>
        </w:rPr>
        <w:t>anterior, </w:t>
      </w:r>
      <w:r>
        <w:rPr>
          <w:w w:val="115"/>
        </w:rPr>
        <w:t>permítanme iniciar centrando nuestro estudio a partir del</w:t>
      </w:r>
      <w:r>
        <w:rPr>
          <w:spacing w:val="-4"/>
          <w:w w:val="115"/>
        </w:rPr>
        <w:t> </w:t>
      </w:r>
      <w:r>
        <w:rPr>
          <w:w w:val="115"/>
        </w:rPr>
        <w:t>desarro- llo y vínculos entre el imperialismo y la globalización, sobre lo cual mencionaré</w:t>
      </w:r>
      <w:r>
        <w:rPr>
          <w:spacing w:val="-10"/>
          <w:w w:val="115"/>
        </w:rPr>
        <w:t> </w:t>
      </w:r>
      <w:r>
        <w:rPr>
          <w:w w:val="115"/>
        </w:rPr>
        <w:t>brevemente</w:t>
      </w:r>
      <w:r>
        <w:rPr>
          <w:spacing w:val="-10"/>
          <w:w w:val="115"/>
        </w:rPr>
        <w:t> </w:t>
      </w:r>
      <w:r>
        <w:rPr>
          <w:w w:val="115"/>
        </w:rPr>
        <w:t>algunas</w:t>
      </w:r>
      <w:r>
        <w:rPr>
          <w:spacing w:val="-10"/>
          <w:w w:val="115"/>
        </w:rPr>
        <w:t> </w:t>
      </w:r>
      <w:r>
        <w:rPr>
          <w:w w:val="115"/>
        </w:rPr>
        <w:t>ideas.</w:t>
      </w:r>
      <w:r>
        <w:rPr>
          <w:spacing w:val="-10"/>
          <w:w w:val="115"/>
        </w:rPr>
        <w:t> </w:t>
      </w:r>
      <w:r>
        <w:rPr>
          <w:w w:val="115"/>
        </w:rPr>
        <w:t>a</w:t>
      </w:r>
      <w:r>
        <w:rPr>
          <w:spacing w:val="-10"/>
          <w:w w:val="115"/>
        </w:rPr>
        <w:t> </w:t>
      </w:r>
      <w:r>
        <w:rPr>
          <w:w w:val="115"/>
        </w:rPr>
        <w:t>finales</w:t>
      </w:r>
      <w:r>
        <w:rPr>
          <w:spacing w:val="-10"/>
          <w:w w:val="115"/>
        </w:rPr>
        <w:t> </w:t>
      </w:r>
      <w:r>
        <w:rPr>
          <w:w w:val="115"/>
        </w:rPr>
        <w:t>del</w:t>
      </w:r>
      <w:r>
        <w:rPr>
          <w:spacing w:val="-10"/>
          <w:w w:val="115"/>
        </w:rPr>
        <w:t> </w:t>
      </w:r>
      <w:r>
        <w:rPr>
          <w:w w:val="115"/>
        </w:rPr>
        <w:t>siglo</w:t>
      </w:r>
      <w:r>
        <w:rPr>
          <w:spacing w:val="-10"/>
          <w:w w:val="115"/>
        </w:rPr>
        <w:t> </w:t>
      </w:r>
      <w:r>
        <w:rPr>
          <w:w w:val="130"/>
        </w:rPr>
        <w:t>xix</w:t>
      </w:r>
      <w:r>
        <w:rPr>
          <w:spacing w:val="-16"/>
          <w:w w:val="130"/>
        </w:rPr>
        <w:t> </w:t>
      </w:r>
      <w:r>
        <w:rPr>
          <w:w w:val="115"/>
        </w:rPr>
        <w:t>y</w:t>
      </w:r>
      <w:r>
        <w:rPr>
          <w:spacing w:val="-10"/>
          <w:w w:val="115"/>
        </w:rPr>
        <w:t> </w:t>
      </w:r>
      <w:r>
        <w:rPr>
          <w:w w:val="115"/>
        </w:rPr>
        <w:t>hasta la</w:t>
      </w:r>
      <w:r>
        <w:rPr>
          <w:spacing w:val="-11"/>
          <w:w w:val="115"/>
        </w:rPr>
        <w:t> </w:t>
      </w:r>
      <w:r>
        <w:rPr>
          <w:w w:val="115"/>
        </w:rPr>
        <w:t>segunda</w:t>
      </w:r>
      <w:r>
        <w:rPr>
          <w:spacing w:val="-11"/>
          <w:w w:val="115"/>
        </w:rPr>
        <w:t> </w:t>
      </w:r>
      <w:r>
        <w:rPr>
          <w:w w:val="115"/>
        </w:rPr>
        <w:t>Guerra</w:t>
      </w:r>
      <w:r>
        <w:rPr>
          <w:spacing w:val="-11"/>
          <w:w w:val="115"/>
        </w:rPr>
        <w:t> </w:t>
      </w:r>
      <w:r>
        <w:rPr>
          <w:w w:val="115"/>
        </w:rPr>
        <w:t>Mundial,</w:t>
      </w:r>
      <w:r>
        <w:rPr>
          <w:spacing w:val="-11"/>
          <w:w w:val="115"/>
        </w:rPr>
        <w:t> </w:t>
      </w:r>
      <w:r>
        <w:rPr>
          <w:w w:val="115"/>
        </w:rPr>
        <w:t>el</w:t>
      </w:r>
      <w:r>
        <w:rPr>
          <w:spacing w:val="-11"/>
          <w:w w:val="115"/>
        </w:rPr>
        <w:t> </w:t>
      </w:r>
      <w:r>
        <w:rPr>
          <w:w w:val="115"/>
        </w:rPr>
        <w:t>imperialismo</w:t>
      </w:r>
      <w:r>
        <w:rPr>
          <w:spacing w:val="-11"/>
          <w:w w:val="115"/>
        </w:rPr>
        <w:t> </w:t>
      </w:r>
      <w:r>
        <w:rPr>
          <w:w w:val="115"/>
        </w:rPr>
        <w:t>fue</w:t>
      </w:r>
      <w:r>
        <w:rPr>
          <w:spacing w:val="-11"/>
          <w:w w:val="115"/>
        </w:rPr>
        <w:t> </w:t>
      </w:r>
      <w:r>
        <w:rPr>
          <w:w w:val="115"/>
        </w:rPr>
        <w:t>la</w:t>
      </w:r>
      <w:r>
        <w:rPr>
          <w:spacing w:val="-11"/>
          <w:w w:val="115"/>
        </w:rPr>
        <w:t> </w:t>
      </w:r>
      <w:r>
        <w:rPr>
          <w:w w:val="115"/>
        </w:rPr>
        <w:t>expresión</w:t>
      </w:r>
      <w:r>
        <w:rPr>
          <w:spacing w:val="-11"/>
          <w:w w:val="115"/>
        </w:rPr>
        <w:t> </w:t>
      </w:r>
      <w:r>
        <w:rPr>
          <w:w w:val="115"/>
        </w:rPr>
        <w:t>general para</w:t>
      </w:r>
      <w:r>
        <w:rPr>
          <w:spacing w:val="-11"/>
          <w:w w:val="115"/>
        </w:rPr>
        <w:t> </w:t>
      </w:r>
      <w:r>
        <w:rPr>
          <w:w w:val="115"/>
        </w:rPr>
        <w:t>estas</w:t>
      </w:r>
      <w:r>
        <w:rPr>
          <w:spacing w:val="-11"/>
          <w:w w:val="115"/>
        </w:rPr>
        <w:t> </w:t>
      </w:r>
      <w:r>
        <w:rPr>
          <w:w w:val="115"/>
        </w:rPr>
        <w:t>relaciones;</w:t>
      </w:r>
      <w:r>
        <w:rPr>
          <w:spacing w:val="-11"/>
          <w:w w:val="115"/>
        </w:rPr>
        <w:t> </w:t>
      </w:r>
      <w:r>
        <w:rPr>
          <w:w w:val="115"/>
        </w:rPr>
        <w:t>posteriormente,</w:t>
      </w:r>
      <w:r>
        <w:rPr>
          <w:spacing w:val="-11"/>
          <w:w w:val="115"/>
        </w:rPr>
        <w:t> </w:t>
      </w:r>
      <w:r>
        <w:rPr>
          <w:w w:val="115"/>
        </w:rPr>
        <w:t>durante</w:t>
      </w:r>
      <w:r>
        <w:rPr>
          <w:spacing w:val="-11"/>
          <w:w w:val="115"/>
        </w:rPr>
        <w:t> </w:t>
      </w:r>
      <w:r>
        <w:rPr>
          <w:w w:val="115"/>
        </w:rPr>
        <w:t>la</w:t>
      </w:r>
      <w:r>
        <w:rPr>
          <w:spacing w:val="-11"/>
          <w:w w:val="115"/>
        </w:rPr>
        <w:t> </w:t>
      </w:r>
      <w:r>
        <w:rPr>
          <w:w w:val="115"/>
        </w:rPr>
        <w:t>segunda</w:t>
      </w:r>
      <w:r>
        <w:rPr>
          <w:spacing w:val="-11"/>
          <w:w w:val="115"/>
        </w:rPr>
        <w:t> </w:t>
      </w:r>
      <w:r>
        <w:rPr>
          <w:w w:val="115"/>
        </w:rPr>
        <w:t>mitad</w:t>
      </w:r>
      <w:r>
        <w:rPr>
          <w:spacing w:val="-11"/>
          <w:w w:val="115"/>
        </w:rPr>
        <w:t> </w:t>
      </w:r>
      <w:r>
        <w:rPr>
          <w:w w:val="115"/>
        </w:rPr>
        <w:t>del siglo </w:t>
      </w:r>
      <w:r>
        <w:rPr>
          <w:w w:val="130"/>
        </w:rPr>
        <w:t>xx, </w:t>
      </w:r>
      <w:r>
        <w:rPr>
          <w:w w:val="115"/>
        </w:rPr>
        <w:t>las teorías del subdesarrollo y la dependencia adquirieron </w:t>
      </w:r>
      <w:r>
        <w:rPr>
          <w:w w:val="110"/>
        </w:rPr>
        <w:t>mayor popularidad; desde 1990 la globalización ha contribuido direc- tamente al debate y controversia</w:t>
      </w:r>
      <w:r>
        <w:rPr>
          <w:spacing w:val="12"/>
          <w:w w:val="110"/>
        </w:rPr>
        <w:t> </w:t>
      </w:r>
      <w:r>
        <w:rPr>
          <w:w w:val="110"/>
        </w:rPr>
        <w:t>teóricos.</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firstLine="396"/>
        <w:jc w:val="both"/>
      </w:pPr>
      <w:r>
        <w:rPr>
          <w:w w:val="243"/>
        </w:rPr>
        <w:t>l</w:t>
      </w:r>
      <w:r>
        <w:rPr>
          <w:w w:val="109"/>
        </w:rPr>
        <w:t>as</w:t>
      </w:r>
      <w:r>
        <w:rPr/>
        <w:t> </w:t>
      </w:r>
      <w:r>
        <w:rPr>
          <w:spacing w:val="2"/>
        </w:rPr>
        <w:t> </w:t>
      </w:r>
      <w:r>
        <w:rPr>
          <w:w w:val="108"/>
        </w:rPr>
        <w:t>referencias</w:t>
      </w:r>
      <w:r>
        <w:rPr/>
        <w:t> </w:t>
      </w:r>
      <w:r>
        <w:rPr>
          <w:spacing w:val="2"/>
        </w:rPr>
        <w:t> </w:t>
      </w:r>
      <w:r>
        <w:rPr>
          <w:w w:val="111"/>
        </w:rPr>
        <w:t>al</w:t>
      </w:r>
      <w:r>
        <w:rPr/>
        <w:t> </w:t>
      </w:r>
      <w:r>
        <w:rPr>
          <w:spacing w:val="2"/>
        </w:rPr>
        <w:t> </w:t>
      </w:r>
      <w:r>
        <w:rPr>
          <w:w w:val="110"/>
        </w:rPr>
        <w:t>imperialismo</w:t>
      </w:r>
      <w:r>
        <w:rPr/>
        <w:t> </w:t>
      </w:r>
      <w:r>
        <w:rPr>
          <w:spacing w:val="2"/>
        </w:rPr>
        <w:t> </w:t>
      </w:r>
      <w:r>
        <w:rPr>
          <w:w w:val="108"/>
        </w:rPr>
        <w:t>pueden</w:t>
      </w:r>
      <w:r>
        <w:rPr/>
        <w:t> </w:t>
      </w:r>
      <w:r>
        <w:rPr>
          <w:spacing w:val="2"/>
        </w:rPr>
        <w:t> </w:t>
      </w:r>
      <w:r>
        <w:rPr>
          <w:w w:val="106"/>
        </w:rPr>
        <w:t>rastrearse</w:t>
      </w:r>
      <w:r>
        <w:rPr/>
        <w:t> </w:t>
      </w:r>
      <w:r>
        <w:rPr>
          <w:spacing w:val="2"/>
        </w:rPr>
        <w:t> </w:t>
      </w:r>
      <w:r>
        <w:rPr>
          <w:w w:val="106"/>
        </w:rPr>
        <w:t>desde</w:t>
      </w:r>
      <w:r>
        <w:rPr/>
        <w:t> </w:t>
      </w:r>
      <w:r>
        <w:rPr>
          <w:spacing w:val="2"/>
        </w:rPr>
        <w:t> </w:t>
      </w:r>
      <w:r>
        <w:rPr>
          <w:w w:val="111"/>
        </w:rPr>
        <w:t>la</w:t>
      </w:r>
      <w:r>
        <w:rPr/>
        <w:t> </w:t>
      </w:r>
      <w:r>
        <w:rPr>
          <w:spacing w:val="2"/>
        </w:rPr>
        <w:t> </w:t>
      </w:r>
      <w:r>
        <w:rPr>
          <w:w w:val="107"/>
        </w:rPr>
        <w:t>ex</w:t>
      </w:r>
      <w:r>
        <w:rPr>
          <w:w w:val="102"/>
        </w:rPr>
        <w:t>- </w:t>
      </w:r>
      <w:r>
        <w:rPr>
          <w:w w:val="115"/>
        </w:rPr>
        <w:t>pansión romana así como la palabra latina </w:t>
      </w:r>
      <w:r>
        <w:rPr>
          <w:i/>
          <w:w w:val="115"/>
        </w:rPr>
        <w:t>imperium </w:t>
      </w:r>
      <w:r>
        <w:rPr>
          <w:w w:val="115"/>
        </w:rPr>
        <w:t>para expresar mando y autoridad suprema. a inicios del siglo </w:t>
      </w:r>
      <w:r>
        <w:rPr>
          <w:w w:val="125"/>
        </w:rPr>
        <w:t>xix, </w:t>
      </w:r>
      <w:r>
        <w:rPr>
          <w:w w:val="115"/>
        </w:rPr>
        <w:t>dicha</w:t>
      </w:r>
      <w:r>
        <w:rPr>
          <w:spacing w:val="-10"/>
          <w:w w:val="115"/>
        </w:rPr>
        <w:t> </w:t>
      </w:r>
      <w:r>
        <w:rPr>
          <w:w w:val="115"/>
        </w:rPr>
        <w:t>expresión fue</w:t>
      </w:r>
      <w:r>
        <w:rPr>
          <w:spacing w:val="-28"/>
          <w:w w:val="115"/>
        </w:rPr>
        <w:t> </w:t>
      </w:r>
      <w:r>
        <w:rPr>
          <w:w w:val="115"/>
        </w:rPr>
        <w:t>asociada</w:t>
      </w:r>
      <w:r>
        <w:rPr>
          <w:spacing w:val="-28"/>
          <w:w w:val="115"/>
        </w:rPr>
        <w:t> </w:t>
      </w:r>
      <w:r>
        <w:rPr>
          <w:w w:val="115"/>
        </w:rPr>
        <w:t>con</w:t>
      </w:r>
      <w:r>
        <w:rPr>
          <w:spacing w:val="-28"/>
          <w:w w:val="115"/>
        </w:rPr>
        <w:t> </w:t>
      </w:r>
      <w:r>
        <w:rPr>
          <w:w w:val="115"/>
        </w:rPr>
        <w:t>el</w:t>
      </w:r>
      <w:r>
        <w:rPr>
          <w:spacing w:val="-28"/>
          <w:w w:val="115"/>
        </w:rPr>
        <w:t> </w:t>
      </w:r>
      <w:r>
        <w:rPr>
          <w:w w:val="115"/>
        </w:rPr>
        <w:t>imperio</w:t>
      </w:r>
      <w:r>
        <w:rPr>
          <w:spacing w:val="-28"/>
          <w:w w:val="115"/>
        </w:rPr>
        <w:t> </w:t>
      </w:r>
      <w:r>
        <w:rPr>
          <w:w w:val="115"/>
        </w:rPr>
        <w:t>napoleónico,</w:t>
      </w:r>
      <w:r>
        <w:rPr>
          <w:spacing w:val="-28"/>
          <w:w w:val="115"/>
        </w:rPr>
        <w:t> </w:t>
      </w:r>
      <w:r>
        <w:rPr>
          <w:w w:val="115"/>
        </w:rPr>
        <w:t>después</w:t>
      </w:r>
      <w:r>
        <w:rPr>
          <w:spacing w:val="-28"/>
          <w:w w:val="115"/>
        </w:rPr>
        <w:t> </w:t>
      </w:r>
      <w:r>
        <w:rPr>
          <w:w w:val="115"/>
        </w:rPr>
        <w:t>con</w:t>
      </w:r>
      <w:r>
        <w:rPr>
          <w:spacing w:val="-28"/>
          <w:w w:val="115"/>
        </w:rPr>
        <w:t> </w:t>
      </w:r>
      <w:r>
        <w:rPr>
          <w:w w:val="115"/>
        </w:rPr>
        <w:t>la</w:t>
      </w:r>
      <w:r>
        <w:rPr>
          <w:spacing w:val="-28"/>
          <w:w w:val="115"/>
        </w:rPr>
        <w:t> </w:t>
      </w:r>
      <w:r>
        <w:rPr>
          <w:w w:val="115"/>
        </w:rPr>
        <w:t>expansión</w:t>
      </w:r>
      <w:r>
        <w:rPr>
          <w:spacing w:val="-28"/>
          <w:w w:val="115"/>
        </w:rPr>
        <w:t> </w:t>
      </w:r>
      <w:r>
        <w:rPr>
          <w:w w:val="115"/>
        </w:rPr>
        <w:t>del colonialismo</w:t>
      </w:r>
      <w:r>
        <w:rPr>
          <w:spacing w:val="-27"/>
          <w:w w:val="115"/>
        </w:rPr>
        <w:t> </w:t>
      </w:r>
      <w:r>
        <w:rPr>
          <w:w w:val="115"/>
        </w:rPr>
        <w:t>británico,</w:t>
      </w:r>
      <w:r>
        <w:rPr>
          <w:spacing w:val="-27"/>
          <w:w w:val="115"/>
        </w:rPr>
        <w:t> </w:t>
      </w:r>
      <w:r>
        <w:rPr>
          <w:w w:val="115"/>
        </w:rPr>
        <w:t>y</w:t>
      </w:r>
      <w:r>
        <w:rPr>
          <w:spacing w:val="-27"/>
          <w:w w:val="115"/>
        </w:rPr>
        <w:t> </w:t>
      </w:r>
      <w:r>
        <w:rPr>
          <w:w w:val="115"/>
        </w:rPr>
        <w:t>para</w:t>
      </w:r>
      <w:r>
        <w:rPr>
          <w:spacing w:val="-27"/>
          <w:w w:val="115"/>
        </w:rPr>
        <w:t> </w:t>
      </w:r>
      <w:r>
        <w:rPr>
          <w:w w:val="115"/>
        </w:rPr>
        <w:t>finales</w:t>
      </w:r>
      <w:r>
        <w:rPr>
          <w:spacing w:val="-27"/>
          <w:w w:val="115"/>
        </w:rPr>
        <w:t> </w:t>
      </w:r>
      <w:r>
        <w:rPr>
          <w:w w:val="115"/>
        </w:rPr>
        <w:t>del</w:t>
      </w:r>
      <w:r>
        <w:rPr>
          <w:spacing w:val="-27"/>
          <w:w w:val="115"/>
        </w:rPr>
        <w:t> </w:t>
      </w:r>
      <w:r>
        <w:rPr>
          <w:w w:val="115"/>
        </w:rPr>
        <w:t>siglo</w:t>
      </w:r>
      <w:r>
        <w:rPr>
          <w:spacing w:val="-27"/>
          <w:w w:val="115"/>
        </w:rPr>
        <w:t> </w:t>
      </w:r>
      <w:r>
        <w:rPr>
          <w:w w:val="115"/>
        </w:rPr>
        <w:t>el</w:t>
      </w:r>
      <w:r>
        <w:rPr>
          <w:spacing w:val="-27"/>
          <w:w w:val="115"/>
        </w:rPr>
        <w:t> </w:t>
      </w:r>
      <w:r>
        <w:rPr>
          <w:w w:val="115"/>
        </w:rPr>
        <w:t>imperialismo</w:t>
      </w:r>
      <w:r>
        <w:rPr>
          <w:spacing w:val="-27"/>
          <w:w w:val="115"/>
        </w:rPr>
        <w:t> </w:t>
      </w:r>
      <w:r>
        <w:rPr>
          <w:w w:val="115"/>
        </w:rPr>
        <w:t>fue</w:t>
      </w:r>
      <w:r>
        <w:rPr>
          <w:spacing w:val="-27"/>
          <w:w w:val="115"/>
        </w:rPr>
        <w:t> </w:t>
      </w:r>
      <w:r>
        <w:rPr>
          <w:w w:val="115"/>
        </w:rPr>
        <w:t>res- catado</w:t>
      </w:r>
      <w:r>
        <w:rPr>
          <w:spacing w:val="-9"/>
          <w:w w:val="115"/>
        </w:rPr>
        <w:t> </w:t>
      </w:r>
      <w:r>
        <w:rPr>
          <w:w w:val="115"/>
        </w:rPr>
        <w:t>para</w:t>
      </w:r>
      <w:r>
        <w:rPr>
          <w:spacing w:val="-9"/>
          <w:w w:val="115"/>
        </w:rPr>
        <w:t> </w:t>
      </w:r>
      <w:r>
        <w:rPr>
          <w:w w:val="115"/>
        </w:rPr>
        <w:t>describir</w:t>
      </w:r>
      <w:r>
        <w:rPr>
          <w:spacing w:val="-9"/>
          <w:w w:val="115"/>
        </w:rPr>
        <w:t> </w:t>
      </w:r>
      <w:r>
        <w:rPr>
          <w:w w:val="115"/>
        </w:rPr>
        <w:t>la</w:t>
      </w:r>
      <w:r>
        <w:rPr>
          <w:spacing w:val="-9"/>
          <w:w w:val="115"/>
        </w:rPr>
        <w:t> </w:t>
      </w:r>
      <w:r>
        <w:rPr>
          <w:w w:val="115"/>
        </w:rPr>
        <w:t>dominación</w:t>
      </w:r>
      <w:r>
        <w:rPr>
          <w:spacing w:val="-9"/>
          <w:w w:val="115"/>
        </w:rPr>
        <w:t> </w:t>
      </w:r>
      <w:r>
        <w:rPr>
          <w:w w:val="115"/>
        </w:rPr>
        <w:t>de</w:t>
      </w:r>
      <w:r>
        <w:rPr>
          <w:spacing w:val="-9"/>
          <w:w w:val="115"/>
        </w:rPr>
        <w:t> </w:t>
      </w:r>
      <w:r>
        <w:rPr>
          <w:w w:val="115"/>
        </w:rPr>
        <w:t>una</w:t>
      </w:r>
      <w:r>
        <w:rPr>
          <w:spacing w:val="-9"/>
          <w:w w:val="115"/>
        </w:rPr>
        <w:t> </w:t>
      </w:r>
      <w:r>
        <w:rPr>
          <w:w w:val="115"/>
        </w:rPr>
        <w:t>nación</w:t>
      </w:r>
      <w:r>
        <w:rPr>
          <w:spacing w:val="-9"/>
          <w:w w:val="115"/>
        </w:rPr>
        <w:t> </w:t>
      </w:r>
      <w:r>
        <w:rPr>
          <w:w w:val="115"/>
        </w:rPr>
        <w:t>sobre</w:t>
      </w:r>
      <w:r>
        <w:rPr>
          <w:spacing w:val="-9"/>
          <w:w w:val="115"/>
        </w:rPr>
        <w:t> </w:t>
      </w:r>
      <w:r>
        <w:rPr>
          <w:w w:val="115"/>
        </w:rPr>
        <w:t>otra</w:t>
      </w:r>
      <w:r>
        <w:rPr>
          <w:spacing w:val="-9"/>
          <w:w w:val="115"/>
        </w:rPr>
        <w:t> </w:t>
      </w:r>
      <w:r>
        <w:rPr>
          <w:w w:val="115"/>
        </w:rPr>
        <w:t>o</w:t>
      </w:r>
      <w:r>
        <w:rPr>
          <w:spacing w:val="-9"/>
          <w:w w:val="115"/>
        </w:rPr>
        <w:t> </w:t>
      </w:r>
      <w:r>
        <w:rPr>
          <w:w w:val="115"/>
        </w:rPr>
        <w:t>bien el</w:t>
      </w:r>
      <w:r>
        <w:rPr>
          <w:spacing w:val="-18"/>
          <w:w w:val="115"/>
        </w:rPr>
        <w:t> </w:t>
      </w:r>
      <w:r>
        <w:rPr>
          <w:w w:val="115"/>
        </w:rPr>
        <w:t>“nuevo”</w:t>
      </w:r>
      <w:r>
        <w:rPr>
          <w:spacing w:val="-18"/>
          <w:w w:val="115"/>
        </w:rPr>
        <w:t> </w:t>
      </w:r>
      <w:r>
        <w:rPr>
          <w:w w:val="115"/>
        </w:rPr>
        <w:t>imperialismo</w:t>
      </w:r>
      <w:r>
        <w:rPr>
          <w:spacing w:val="-18"/>
          <w:w w:val="115"/>
        </w:rPr>
        <w:t> </w:t>
      </w:r>
      <w:r>
        <w:rPr>
          <w:w w:val="115"/>
        </w:rPr>
        <w:t>identificado</w:t>
      </w:r>
      <w:r>
        <w:rPr>
          <w:spacing w:val="-18"/>
          <w:w w:val="115"/>
        </w:rPr>
        <w:t> </w:t>
      </w:r>
      <w:r>
        <w:rPr>
          <w:w w:val="115"/>
        </w:rPr>
        <w:t>con</w:t>
      </w:r>
      <w:r>
        <w:rPr>
          <w:spacing w:val="-18"/>
          <w:w w:val="115"/>
        </w:rPr>
        <w:t> </w:t>
      </w:r>
      <w:r>
        <w:rPr>
          <w:w w:val="115"/>
        </w:rPr>
        <w:t>Europa</w:t>
      </w:r>
      <w:r>
        <w:rPr>
          <w:spacing w:val="-18"/>
          <w:w w:val="115"/>
        </w:rPr>
        <w:t> </w:t>
      </w:r>
      <w:r>
        <w:rPr>
          <w:w w:val="115"/>
        </w:rPr>
        <w:t>y</w:t>
      </w:r>
      <w:r>
        <w:rPr>
          <w:spacing w:val="-18"/>
          <w:w w:val="115"/>
        </w:rPr>
        <w:t> </w:t>
      </w:r>
      <w:r>
        <w:rPr>
          <w:w w:val="115"/>
        </w:rPr>
        <w:t>Estados</w:t>
      </w:r>
      <w:r>
        <w:rPr>
          <w:spacing w:val="-18"/>
          <w:w w:val="115"/>
        </w:rPr>
        <w:t> </w:t>
      </w:r>
      <w:r>
        <w:rPr>
          <w:w w:val="115"/>
        </w:rPr>
        <w:t>unidos,</w:t>
      </w:r>
      <w:r>
        <w:rPr>
          <w:spacing w:val="-18"/>
          <w:w w:val="115"/>
        </w:rPr>
        <w:t> </w:t>
      </w:r>
      <w:r>
        <w:rPr>
          <w:w w:val="115"/>
        </w:rPr>
        <w:t>el expansionismo.</w:t>
      </w:r>
      <w:r>
        <w:rPr>
          <w:spacing w:val="-18"/>
          <w:w w:val="115"/>
        </w:rPr>
        <w:t> </w:t>
      </w:r>
      <w:r>
        <w:rPr>
          <w:w w:val="115"/>
        </w:rPr>
        <w:t>Marx</w:t>
      </w:r>
      <w:r>
        <w:rPr>
          <w:spacing w:val="-18"/>
          <w:w w:val="115"/>
        </w:rPr>
        <w:t> </w:t>
      </w:r>
      <w:r>
        <w:rPr>
          <w:w w:val="115"/>
        </w:rPr>
        <w:t>y</w:t>
      </w:r>
      <w:r>
        <w:rPr>
          <w:spacing w:val="-18"/>
          <w:w w:val="115"/>
        </w:rPr>
        <w:t> </w:t>
      </w:r>
      <w:r>
        <w:rPr>
          <w:w w:val="115"/>
        </w:rPr>
        <w:t>Engels</w:t>
      </w:r>
      <w:r>
        <w:rPr>
          <w:spacing w:val="-18"/>
          <w:w w:val="115"/>
        </w:rPr>
        <w:t> </w:t>
      </w:r>
      <w:r>
        <w:rPr>
          <w:w w:val="115"/>
        </w:rPr>
        <w:t>no</w:t>
      </w:r>
      <w:r>
        <w:rPr>
          <w:spacing w:val="-18"/>
          <w:w w:val="115"/>
        </w:rPr>
        <w:t> </w:t>
      </w:r>
      <w:r>
        <w:rPr>
          <w:w w:val="115"/>
        </w:rPr>
        <w:t>centraron</w:t>
      </w:r>
      <w:r>
        <w:rPr>
          <w:spacing w:val="-18"/>
          <w:w w:val="115"/>
        </w:rPr>
        <w:t> </w:t>
      </w:r>
      <w:r>
        <w:rPr>
          <w:w w:val="115"/>
        </w:rPr>
        <w:t>su</w:t>
      </w:r>
      <w:r>
        <w:rPr>
          <w:spacing w:val="-18"/>
          <w:w w:val="115"/>
        </w:rPr>
        <w:t> </w:t>
      </w:r>
      <w:r>
        <w:rPr>
          <w:w w:val="115"/>
        </w:rPr>
        <w:t>análisis</w:t>
      </w:r>
      <w:r>
        <w:rPr>
          <w:spacing w:val="-18"/>
          <w:w w:val="115"/>
        </w:rPr>
        <w:t> </w:t>
      </w:r>
      <w:r>
        <w:rPr>
          <w:w w:val="115"/>
        </w:rPr>
        <w:t>en</w:t>
      </w:r>
      <w:r>
        <w:rPr>
          <w:spacing w:val="-18"/>
          <w:w w:val="115"/>
        </w:rPr>
        <w:t> </w:t>
      </w:r>
      <w:r>
        <w:rPr>
          <w:w w:val="115"/>
        </w:rPr>
        <w:t>el</w:t>
      </w:r>
      <w:r>
        <w:rPr>
          <w:spacing w:val="-18"/>
          <w:w w:val="115"/>
        </w:rPr>
        <w:t> </w:t>
      </w:r>
      <w:r>
        <w:rPr>
          <w:w w:val="115"/>
        </w:rPr>
        <w:t>imperia- lismo</w:t>
      </w:r>
      <w:r>
        <w:rPr>
          <w:spacing w:val="-10"/>
          <w:w w:val="115"/>
        </w:rPr>
        <w:t> </w:t>
      </w:r>
      <w:r>
        <w:rPr>
          <w:w w:val="115"/>
        </w:rPr>
        <w:t>a</w:t>
      </w:r>
      <w:r>
        <w:rPr>
          <w:spacing w:val="-10"/>
          <w:w w:val="115"/>
        </w:rPr>
        <w:t> </w:t>
      </w:r>
      <w:r>
        <w:rPr>
          <w:w w:val="115"/>
        </w:rPr>
        <w:t>pesar</w:t>
      </w:r>
      <w:r>
        <w:rPr>
          <w:spacing w:val="-10"/>
          <w:w w:val="115"/>
        </w:rPr>
        <w:t> </w:t>
      </w:r>
      <w:r>
        <w:rPr>
          <w:w w:val="115"/>
        </w:rPr>
        <w:t>de</w:t>
      </w:r>
      <w:r>
        <w:rPr>
          <w:spacing w:val="-10"/>
          <w:w w:val="115"/>
        </w:rPr>
        <w:t> </w:t>
      </w:r>
      <w:r>
        <w:rPr>
          <w:w w:val="115"/>
        </w:rPr>
        <w:t>sus</w:t>
      </w:r>
      <w:r>
        <w:rPr>
          <w:spacing w:val="-10"/>
          <w:w w:val="115"/>
        </w:rPr>
        <w:t> </w:t>
      </w:r>
      <w:r>
        <w:rPr>
          <w:w w:val="115"/>
        </w:rPr>
        <w:t>referencias</w:t>
      </w:r>
      <w:r>
        <w:rPr>
          <w:spacing w:val="-10"/>
          <w:w w:val="115"/>
        </w:rPr>
        <w:t> </w:t>
      </w:r>
      <w:r>
        <w:rPr>
          <w:w w:val="115"/>
        </w:rPr>
        <w:t>a</w:t>
      </w:r>
      <w:r>
        <w:rPr>
          <w:spacing w:val="-10"/>
          <w:w w:val="115"/>
        </w:rPr>
        <w:t> </w:t>
      </w:r>
      <w:r>
        <w:rPr>
          <w:w w:val="115"/>
        </w:rPr>
        <w:t>la</w:t>
      </w:r>
      <w:r>
        <w:rPr>
          <w:spacing w:val="-10"/>
          <w:w w:val="115"/>
        </w:rPr>
        <w:t> </w:t>
      </w:r>
      <w:r>
        <w:rPr>
          <w:w w:val="115"/>
        </w:rPr>
        <w:t>expansión</w:t>
      </w:r>
      <w:r>
        <w:rPr>
          <w:spacing w:val="-10"/>
          <w:w w:val="115"/>
        </w:rPr>
        <w:t> </w:t>
      </w:r>
      <w:r>
        <w:rPr>
          <w:w w:val="115"/>
        </w:rPr>
        <w:t>del</w:t>
      </w:r>
      <w:r>
        <w:rPr>
          <w:spacing w:val="-10"/>
          <w:w w:val="115"/>
        </w:rPr>
        <w:t> </w:t>
      </w:r>
      <w:r>
        <w:rPr>
          <w:w w:val="115"/>
        </w:rPr>
        <w:t>mercado</w:t>
      </w:r>
      <w:r>
        <w:rPr>
          <w:spacing w:val="-10"/>
          <w:w w:val="115"/>
        </w:rPr>
        <w:t> </w:t>
      </w:r>
      <w:r>
        <w:rPr>
          <w:w w:val="115"/>
        </w:rPr>
        <w:t>interna- </w:t>
      </w:r>
      <w:r>
        <w:rPr>
          <w:w w:val="110"/>
        </w:rPr>
        <w:t>cional que, posteriormente, serían estudiados con mayor profundidad </w:t>
      </w:r>
      <w:r>
        <w:rPr>
          <w:w w:val="115"/>
        </w:rPr>
        <w:t>por John a. Hobson, rudolf Hilferding, Nicolai bujarin y Vladimir  </w:t>
      </w:r>
      <w:r>
        <w:rPr>
          <w:w w:val="142"/>
        </w:rPr>
        <w:t>i</w:t>
      </w:r>
      <w:r>
        <w:rPr>
          <w:w w:val="114"/>
        </w:rPr>
        <w:t>lich</w:t>
      </w:r>
      <w:r>
        <w:rPr>
          <w:spacing w:val="8"/>
        </w:rPr>
        <w:t> </w:t>
      </w:r>
      <w:r>
        <w:rPr>
          <w:w w:val="243"/>
        </w:rPr>
        <w:t>l</w:t>
      </w:r>
      <w:r>
        <w:rPr>
          <w:w w:val="110"/>
        </w:rPr>
        <w:t>enin</w:t>
      </w:r>
      <w:r>
        <w:rPr>
          <w:spacing w:val="8"/>
        </w:rPr>
        <w:t> </w:t>
      </w:r>
      <w:r>
        <w:rPr>
          <w:w w:val="112"/>
        </w:rPr>
        <w:t>a</w:t>
      </w:r>
      <w:r>
        <w:rPr>
          <w:spacing w:val="8"/>
        </w:rPr>
        <w:t> </w:t>
      </w:r>
      <w:r>
        <w:rPr>
          <w:w w:val="105"/>
        </w:rPr>
        <w:t>través</w:t>
      </w:r>
      <w:r>
        <w:rPr>
          <w:spacing w:val="8"/>
        </w:rPr>
        <w:t> </w:t>
      </w:r>
      <w:r>
        <w:rPr>
          <w:w w:val="107"/>
        </w:rPr>
        <w:t>de</w:t>
      </w:r>
      <w:r>
        <w:rPr>
          <w:spacing w:val="8"/>
        </w:rPr>
        <w:t> </w:t>
      </w:r>
      <w:r>
        <w:rPr>
          <w:w w:val="112"/>
        </w:rPr>
        <w:t>una</w:t>
      </w:r>
      <w:r>
        <w:rPr>
          <w:spacing w:val="8"/>
        </w:rPr>
        <w:t> </w:t>
      </w:r>
      <w:r>
        <w:rPr>
          <w:w w:val="110"/>
        </w:rPr>
        <w:t>comprensión</w:t>
      </w:r>
      <w:r>
        <w:rPr>
          <w:spacing w:val="8"/>
        </w:rPr>
        <w:t> </w:t>
      </w:r>
      <w:r>
        <w:rPr>
          <w:w w:val="110"/>
        </w:rPr>
        <w:t>marxista</w:t>
      </w:r>
      <w:r>
        <w:rPr>
          <w:spacing w:val="8"/>
        </w:rPr>
        <w:t> </w:t>
      </w:r>
      <w:r>
        <w:rPr>
          <w:w w:val="112"/>
        </w:rPr>
        <w:t>clásica</w:t>
      </w:r>
      <w:r>
        <w:rPr>
          <w:spacing w:val="8"/>
        </w:rPr>
        <w:t> </w:t>
      </w:r>
      <w:r>
        <w:rPr>
          <w:w w:val="107"/>
        </w:rPr>
        <w:t>del</w:t>
      </w:r>
      <w:r>
        <w:rPr>
          <w:spacing w:val="8"/>
        </w:rPr>
        <w:t> </w:t>
      </w:r>
      <w:r>
        <w:rPr>
          <w:w w:val="110"/>
        </w:rPr>
        <w:t>imperi</w:t>
      </w:r>
      <w:r>
        <w:rPr>
          <w:spacing w:val="-1"/>
          <w:w w:val="110"/>
        </w:rPr>
        <w:t>a</w:t>
      </w:r>
      <w:r>
        <w:rPr>
          <w:w w:val="102"/>
        </w:rPr>
        <w:t>- </w:t>
      </w:r>
      <w:r>
        <w:rPr>
          <w:w w:val="115"/>
        </w:rPr>
        <w:t>lismo,</w:t>
      </w:r>
      <w:r>
        <w:rPr>
          <w:spacing w:val="-9"/>
          <w:w w:val="115"/>
        </w:rPr>
        <w:t> </w:t>
      </w:r>
      <w:r>
        <w:rPr>
          <w:w w:val="115"/>
        </w:rPr>
        <w:t>con</w:t>
      </w:r>
      <w:r>
        <w:rPr>
          <w:spacing w:val="-9"/>
          <w:w w:val="115"/>
        </w:rPr>
        <w:t> </w:t>
      </w:r>
      <w:r>
        <w:rPr>
          <w:w w:val="115"/>
        </w:rPr>
        <w:t>énfasis</w:t>
      </w:r>
      <w:r>
        <w:rPr>
          <w:spacing w:val="-9"/>
          <w:w w:val="115"/>
        </w:rPr>
        <w:t> </w:t>
      </w:r>
      <w:r>
        <w:rPr>
          <w:w w:val="115"/>
        </w:rPr>
        <w:t>en</w:t>
      </w:r>
      <w:r>
        <w:rPr>
          <w:spacing w:val="-9"/>
          <w:w w:val="115"/>
        </w:rPr>
        <w:t> </w:t>
      </w:r>
      <w:r>
        <w:rPr>
          <w:w w:val="115"/>
        </w:rPr>
        <w:t>la</w:t>
      </w:r>
      <w:r>
        <w:rPr>
          <w:spacing w:val="-9"/>
          <w:w w:val="115"/>
        </w:rPr>
        <w:t> </w:t>
      </w:r>
      <w:r>
        <w:rPr>
          <w:w w:val="115"/>
        </w:rPr>
        <w:t>fusión</w:t>
      </w:r>
      <w:r>
        <w:rPr>
          <w:spacing w:val="-9"/>
          <w:w w:val="115"/>
        </w:rPr>
        <w:t> </w:t>
      </w:r>
      <w:r>
        <w:rPr>
          <w:w w:val="115"/>
        </w:rPr>
        <w:t>del</w:t>
      </w:r>
      <w:r>
        <w:rPr>
          <w:spacing w:val="-9"/>
          <w:w w:val="115"/>
        </w:rPr>
        <w:t> </w:t>
      </w:r>
      <w:r>
        <w:rPr>
          <w:w w:val="115"/>
        </w:rPr>
        <w:t>capital</w:t>
      </w:r>
      <w:r>
        <w:rPr>
          <w:spacing w:val="-9"/>
          <w:w w:val="115"/>
        </w:rPr>
        <w:t> </w:t>
      </w:r>
      <w:r>
        <w:rPr>
          <w:w w:val="115"/>
        </w:rPr>
        <w:t>industrial,</w:t>
      </w:r>
      <w:r>
        <w:rPr>
          <w:spacing w:val="-9"/>
          <w:w w:val="115"/>
        </w:rPr>
        <w:t> </w:t>
      </w:r>
      <w:r>
        <w:rPr>
          <w:w w:val="115"/>
        </w:rPr>
        <w:t>el</w:t>
      </w:r>
      <w:r>
        <w:rPr>
          <w:spacing w:val="-9"/>
          <w:w w:val="115"/>
        </w:rPr>
        <w:t> </w:t>
      </w:r>
      <w:r>
        <w:rPr>
          <w:w w:val="115"/>
        </w:rPr>
        <w:t>capital</w:t>
      </w:r>
      <w:r>
        <w:rPr>
          <w:spacing w:val="-9"/>
          <w:w w:val="115"/>
        </w:rPr>
        <w:t> </w:t>
      </w:r>
      <w:r>
        <w:rPr>
          <w:w w:val="115"/>
        </w:rPr>
        <w:t>banca- rio</w:t>
      </w:r>
      <w:r>
        <w:rPr>
          <w:spacing w:val="-14"/>
          <w:w w:val="115"/>
        </w:rPr>
        <w:t> </w:t>
      </w:r>
      <w:r>
        <w:rPr>
          <w:w w:val="115"/>
        </w:rPr>
        <w:t>y</w:t>
      </w:r>
      <w:r>
        <w:rPr>
          <w:spacing w:val="-14"/>
          <w:w w:val="115"/>
        </w:rPr>
        <w:t> </w:t>
      </w:r>
      <w:r>
        <w:rPr>
          <w:w w:val="115"/>
        </w:rPr>
        <w:t>el</w:t>
      </w:r>
      <w:r>
        <w:rPr>
          <w:spacing w:val="-14"/>
          <w:w w:val="115"/>
        </w:rPr>
        <w:t> </w:t>
      </w:r>
      <w:r>
        <w:rPr>
          <w:w w:val="115"/>
        </w:rPr>
        <w:t>capital</w:t>
      </w:r>
      <w:r>
        <w:rPr>
          <w:spacing w:val="-14"/>
          <w:w w:val="115"/>
        </w:rPr>
        <w:t> </w:t>
      </w:r>
      <w:r>
        <w:rPr>
          <w:w w:val="115"/>
        </w:rPr>
        <w:t>financiero</w:t>
      </w:r>
      <w:r>
        <w:rPr>
          <w:spacing w:val="-14"/>
          <w:w w:val="115"/>
        </w:rPr>
        <w:t> </w:t>
      </w:r>
      <w:r>
        <w:rPr>
          <w:w w:val="115"/>
        </w:rPr>
        <w:t>y</w:t>
      </w:r>
      <w:r>
        <w:rPr>
          <w:spacing w:val="-14"/>
          <w:w w:val="115"/>
        </w:rPr>
        <w:t> </w:t>
      </w:r>
      <w:r>
        <w:rPr>
          <w:w w:val="115"/>
        </w:rPr>
        <w:t>monopolista.</w:t>
      </w:r>
      <w:r>
        <w:rPr>
          <w:spacing w:val="-14"/>
          <w:w w:val="115"/>
        </w:rPr>
        <w:t> </w:t>
      </w:r>
      <w:r>
        <w:rPr>
          <w:w w:val="115"/>
        </w:rPr>
        <w:t>Estos</w:t>
      </w:r>
      <w:r>
        <w:rPr>
          <w:spacing w:val="-14"/>
          <w:w w:val="115"/>
        </w:rPr>
        <w:t> </w:t>
      </w:r>
      <w:r>
        <w:rPr>
          <w:w w:val="115"/>
        </w:rPr>
        <w:t>fundamentos</w:t>
      </w:r>
      <w:r>
        <w:rPr>
          <w:spacing w:val="-14"/>
          <w:w w:val="115"/>
        </w:rPr>
        <w:t> </w:t>
      </w:r>
      <w:r>
        <w:rPr>
          <w:w w:val="115"/>
        </w:rPr>
        <w:t>teóricos del imperialismo fueron aceptados bajo una lógica de condenación polémica, denuncia de la dominación capitalista y la explotación de </w:t>
      </w:r>
      <w:r>
        <w:rPr>
          <w:w w:val="110"/>
        </w:rPr>
        <w:t>los países avanzados sobre áreas</w:t>
      </w:r>
      <w:r>
        <w:rPr>
          <w:spacing w:val="11"/>
          <w:w w:val="110"/>
        </w:rPr>
        <w:t> </w:t>
      </w:r>
      <w:r>
        <w:rPr>
          <w:w w:val="110"/>
        </w:rPr>
        <w:t>atrasadas.</w:t>
      </w:r>
    </w:p>
    <w:p>
      <w:pPr>
        <w:pStyle w:val="BodyText"/>
        <w:spacing w:line="252" w:lineRule="auto"/>
        <w:ind w:left="330" w:right="117" w:firstLine="396"/>
        <w:jc w:val="both"/>
      </w:pPr>
      <w:r>
        <w:rPr>
          <w:w w:val="115"/>
        </w:rPr>
        <w:t>después de la segunda Guerra Mundial, los intelectuales de las naciones</w:t>
      </w:r>
      <w:r>
        <w:rPr>
          <w:spacing w:val="-21"/>
          <w:w w:val="115"/>
        </w:rPr>
        <w:t> </w:t>
      </w:r>
      <w:r>
        <w:rPr>
          <w:w w:val="115"/>
        </w:rPr>
        <w:t>emergentes</w:t>
      </w:r>
      <w:r>
        <w:rPr>
          <w:spacing w:val="-21"/>
          <w:w w:val="115"/>
        </w:rPr>
        <w:t> </w:t>
      </w:r>
      <w:r>
        <w:rPr>
          <w:w w:val="115"/>
        </w:rPr>
        <w:t>comenzaron</w:t>
      </w:r>
      <w:r>
        <w:rPr>
          <w:spacing w:val="-21"/>
          <w:w w:val="115"/>
        </w:rPr>
        <w:t> </w:t>
      </w:r>
      <w:r>
        <w:rPr>
          <w:w w:val="115"/>
        </w:rPr>
        <w:t>a</w:t>
      </w:r>
      <w:r>
        <w:rPr>
          <w:spacing w:val="-21"/>
          <w:w w:val="115"/>
        </w:rPr>
        <w:t> </w:t>
      </w:r>
      <w:r>
        <w:rPr>
          <w:w w:val="115"/>
        </w:rPr>
        <w:t>buscar</w:t>
      </w:r>
      <w:r>
        <w:rPr>
          <w:spacing w:val="-21"/>
          <w:w w:val="115"/>
        </w:rPr>
        <w:t> </w:t>
      </w:r>
      <w:r>
        <w:rPr>
          <w:w w:val="115"/>
        </w:rPr>
        <w:t>una</w:t>
      </w:r>
      <w:r>
        <w:rPr>
          <w:spacing w:val="-21"/>
          <w:w w:val="115"/>
        </w:rPr>
        <w:t> </w:t>
      </w:r>
      <w:r>
        <w:rPr>
          <w:w w:val="115"/>
        </w:rPr>
        <w:t>nueva</w:t>
      </w:r>
      <w:r>
        <w:rPr>
          <w:spacing w:val="-21"/>
          <w:w w:val="115"/>
        </w:rPr>
        <w:t> </w:t>
      </w:r>
      <w:r>
        <w:rPr>
          <w:w w:val="115"/>
        </w:rPr>
        <w:t>teoría</w:t>
      </w:r>
      <w:r>
        <w:rPr>
          <w:spacing w:val="-21"/>
          <w:w w:val="115"/>
        </w:rPr>
        <w:t> </w:t>
      </w:r>
      <w:r>
        <w:rPr>
          <w:w w:val="115"/>
        </w:rPr>
        <w:t>para</w:t>
      </w:r>
      <w:r>
        <w:rPr>
          <w:spacing w:val="-21"/>
          <w:w w:val="115"/>
        </w:rPr>
        <w:t> </w:t>
      </w:r>
      <w:r>
        <w:rPr>
          <w:w w:val="115"/>
        </w:rPr>
        <w:t>ex- plicar</w:t>
      </w:r>
      <w:r>
        <w:rPr>
          <w:spacing w:val="-21"/>
          <w:w w:val="115"/>
        </w:rPr>
        <w:t> </w:t>
      </w:r>
      <w:r>
        <w:rPr>
          <w:w w:val="115"/>
        </w:rPr>
        <w:t>su</w:t>
      </w:r>
      <w:r>
        <w:rPr>
          <w:spacing w:val="-21"/>
          <w:w w:val="115"/>
        </w:rPr>
        <w:t> </w:t>
      </w:r>
      <w:r>
        <w:rPr>
          <w:w w:val="115"/>
        </w:rPr>
        <w:t>atraso.</w:t>
      </w:r>
      <w:r>
        <w:rPr>
          <w:spacing w:val="-21"/>
          <w:w w:val="115"/>
        </w:rPr>
        <w:t> </w:t>
      </w:r>
      <w:r>
        <w:rPr>
          <w:w w:val="115"/>
        </w:rPr>
        <w:t>Hay</w:t>
      </w:r>
      <w:r>
        <w:rPr>
          <w:spacing w:val="-21"/>
          <w:w w:val="115"/>
        </w:rPr>
        <w:t> </w:t>
      </w:r>
      <w:r>
        <w:rPr>
          <w:w w:val="115"/>
        </w:rPr>
        <w:t>sido</w:t>
      </w:r>
      <w:r>
        <w:rPr>
          <w:spacing w:val="-21"/>
          <w:w w:val="115"/>
        </w:rPr>
        <w:t> </w:t>
      </w:r>
      <w:r>
        <w:rPr>
          <w:w w:val="115"/>
        </w:rPr>
        <w:t>útil</w:t>
      </w:r>
      <w:r>
        <w:rPr>
          <w:spacing w:val="-21"/>
          <w:w w:val="115"/>
        </w:rPr>
        <w:t> </w:t>
      </w:r>
      <w:r>
        <w:rPr>
          <w:w w:val="115"/>
        </w:rPr>
        <w:t>entender</w:t>
      </w:r>
      <w:r>
        <w:rPr>
          <w:spacing w:val="-21"/>
          <w:w w:val="115"/>
        </w:rPr>
        <w:t> </w:t>
      </w:r>
      <w:r>
        <w:rPr>
          <w:w w:val="115"/>
        </w:rPr>
        <w:t>el</w:t>
      </w:r>
      <w:r>
        <w:rPr>
          <w:spacing w:val="-21"/>
          <w:w w:val="115"/>
        </w:rPr>
        <w:t> </w:t>
      </w:r>
      <w:r>
        <w:rPr>
          <w:w w:val="115"/>
        </w:rPr>
        <w:t>imperialismo</w:t>
      </w:r>
      <w:r>
        <w:rPr>
          <w:spacing w:val="-21"/>
          <w:w w:val="115"/>
        </w:rPr>
        <w:t> </w:t>
      </w:r>
      <w:r>
        <w:rPr>
          <w:w w:val="115"/>
        </w:rPr>
        <w:t>como</w:t>
      </w:r>
      <w:r>
        <w:rPr>
          <w:spacing w:val="-21"/>
          <w:w w:val="115"/>
        </w:rPr>
        <w:t> </w:t>
      </w:r>
      <w:r>
        <w:rPr>
          <w:w w:val="115"/>
        </w:rPr>
        <w:t>una</w:t>
      </w:r>
      <w:r>
        <w:rPr>
          <w:spacing w:val="-21"/>
          <w:w w:val="115"/>
        </w:rPr>
        <w:t> </w:t>
      </w:r>
      <w:r>
        <w:rPr>
          <w:w w:val="115"/>
        </w:rPr>
        <w:t>ma- nifestación</w:t>
      </w:r>
      <w:r>
        <w:rPr>
          <w:spacing w:val="-15"/>
          <w:w w:val="115"/>
        </w:rPr>
        <w:t> </w:t>
      </w:r>
      <w:r>
        <w:rPr>
          <w:w w:val="115"/>
        </w:rPr>
        <w:t>del</w:t>
      </w:r>
      <w:r>
        <w:rPr>
          <w:spacing w:val="-15"/>
          <w:w w:val="115"/>
        </w:rPr>
        <w:t> </w:t>
      </w:r>
      <w:r>
        <w:rPr>
          <w:w w:val="115"/>
        </w:rPr>
        <w:t>capitalismo</w:t>
      </w:r>
      <w:r>
        <w:rPr>
          <w:spacing w:val="-15"/>
          <w:w w:val="115"/>
        </w:rPr>
        <w:t> </w:t>
      </w:r>
      <w:r>
        <w:rPr>
          <w:w w:val="115"/>
        </w:rPr>
        <w:t>en</w:t>
      </w:r>
      <w:r>
        <w:rPr>
          <w:spacing w:val="-15"/>
          <w:w w:val="115"/>
        </w:rPr>
        <w:t> </w:t>
      </w:r>
      <w:r>
        <w:rPr>
          <w:w w:val="115"/>
        </w:rPr>
        <w:t>una</w:t>
      </w:r>
      <w:r>
        <w:rPr>
          <w:spacing w:val="-15"/>
          <w:w w:val="115"/>
        </w:rPr>
        <w:t> </w:t>
      </w:r>
      <w:r>
        <w:rPr>
          <w:w w:val="115"/>
        </w:rPr>
        <w:t>fase</w:t>
      </w:r>
      <w:r>
        <w:rPr>
          <w:spacing w:val="-15"/>
          <w:w w:val="115"/>
        </w:rPr>
        <w:t> </w:t>
      </w:r>
      <w:r>
        <w:rPr>
          <w:w w:val="115"/>
        </w:rPr>
        <w:t>avanzada,</w:t>
      </w:r>
      <w:r>
        <w:rPr>
          <w:spacing w:val="-15"/>
          <w:w w:val="115"/>
        </w:rPr>
        <w:t> </w:t>
      </w:r>
      <w:r>
        <w:rPr>
          <w:w w:val="115"/>
        </w:rPr>
        <w:t>pero</w:t>
      </w:r>
      <w:r>
        <w:rPr>
          <w:spacing w:val="-15"/>
          <w:w w:val="115"/>
        </w:rPr>
        <w:t> </w:t>
      </w:r>
      <w:r>
        <w:rPr>
          <w:w w:val="115"/>
        </w:rPr>
        <w:t>también</w:t>
      </w:r>
      <w:r>
        <w:rPr>
          <w:spacing w:val="-15"/>
          <w:w w:val="115"/>
        </w:rPr>
        <w:t> </w:t>
      </w:r>
      <w:r>
        <w:rPr>
          <w:w w:val="115"/>
        </w:rPr>
        <w:t>se</w:t>
      </w:r>
      <w:r>
        <w:rPr>
          <w:spacing w:val="-15"/>
          <w:w w:val="115"/>
        </w:rPr>
        <w:t> </w:t>
      </w:r>
      <w:r>
        <w:rPr>
          <w:w w:val="115"/>
        </w:rPr>
        <w:t>ha explicado</w:t>
      </w:r>
      <w:r>
        <w:rPr>
          <w:spacing w:val="-12"/>
          <w:w w:val="115"/>
        </w:rPr>
        <w:t> </w:t>
      </w:r>
      <w:r>
        <w:rPr>
          <w:w w:val="115"/>
        </w:rPr>
        <w:t>a</w:t>
      </w:r>
      <w:r>
        <w:rPr>
          <w:spacing w:val="-13"/>
          <w:w w:val="115"/>
        </w:rPr>
        <w:t> </w:t>
      </w:r>
      <w:r>
        <w:rPr>
          <w:w w:val="115"/>
        </w:rPr>
        <w:t>través</w:t>
      </w:r>
      <w:r>
        <w:rPr>
          <w:spacing w:val="-13"/>
          <w:w w:val="115"/>
        </w:rPr>
        <w:t> </w:t>
      </w:r>
      <w:r>
        <w:rPr>
          <w:w w:val="115"/>
        </w:rPr>
        <w:t>de</w:t>
      </w:r>
      <w:r>
        <w:rPr>
          <w:spacing w:val="-13"/>
          <w:w w:val="115"/>
        </w:rPr>
        <w:t> </w:t>
      </w:r>
      <w:r>
        <w:rPr>
          <w:w w:val="115"/>
        </w:rPr>
        <w:t>una</w:t>
      </w:r>
      <w:r>
        <w:rPr>
          <w:spacing w:val="-12"/>
          <w:w w:val="115"/>
        </w:rPr>
        <w:t> </w:t>
      </w:r>
      <w:r>
        <w:rPr>
          <w:w w:val="115"/>
        </w:rPr>
        <w:t>teoría</w:t>
      </w:r>
      <w:r>
        <w:rPr>
          <w:spacing w:val="-12"/>
          <w:w w:val="115"/>
        </w:rPr>
        <w:t> </w:t>
      </w:r>
      <w:r>
        <w:rPr>
          <w:w w:val="115"/>
        </w:rPr>
        <w:t>basada</w:t>
      </w:r>
      <w:r>
        <w:rPr>
          <w:spacing w:val="-13"/>
          <w:w w:val="115"/>
        </w:rPr>
        <w:t> </w:t>
      </w:r>
      <w:r>
        <w:rPr>
          <w:w w:val="115"/>
        </w:rPr>
        <w:t>en</w:t>
      </w:r>
      <w:r>
        <w:rPr>
          <w:spacing w:val="-12"/>
          <w:w w:val="115"/>
        </w:rPr>
        <w:t> </w:t>
      </w:r>
      <w:r>
        <w:rPr>
          <w:w w:val="115"/>
        </w:rPr>
        <w:t>consideraciones</w:t>
      </w:r>
      <w:r>
        <w:rPr>
          <w:spacing w:val="-12"/>
          <w:w w:val="115"/>
        </w:rPr>
        <w:t> </w:t>
      </w:r>
      <w:r>
        <w:rPr>
          <w:w w:val="115"/>
        </w:rPr>
        <w:t>externas para</w:t>
      </w:r>
      <w:r>
        <w:rPr>
          <w:spacing w:val="-22"/>
          <w:w w:val="115"/>
        </w:rPr>
        <w:t> </w:t>
      </w:r>
      <w:r>
        <w:rPr>
          <w:w w:val="115"/>
        </w:rPr>
        <w:t>analizar</w:t>
      </w:r>
      <w:r>
        <w:rPr>
          <w:spacing w:val="-22"/>
          <w:w w:val="115"/>
        </w:rPr>
        <w:t> </w:t>
      </w:r>
      <w:r>
        <w:rPr>
          <w:w w:val="115"/>
        </w:rPr>
        <w:t>el</w:t>
      </w:r>
      <w:r>
        <w:rPr>
          <w:spacing w:val="-22"/>
          <w:w w:val="115"/>
        </w:rPr>
        <w:t> </w:t>
      </w:r>
      <w:r>
        <w:rPr>
          <w:w w:val="115"/>
        </w:rPr>
        <w:t>porqué</w:t>
      </w:r>
      <w:r>
        <w:rPr>
          <w:spacing w:val="-22"/>
          <w:w w:val="115"/>
        </w:rPr>
        <w:t> </w:t>
      </w:r>
      <w:r>
        <w:rPr>
          <w:w w:val="115"/>
        </w:rPr>
        <w:t>y</w:t>
      </w:r>
      <w:r>
        <w:rPr>
          <w:spacing w:val="-22"/>
          <w:w w:val="115"/>
        </w:rPr>
        <w:t> </w:t>
      </w:r>
      <w:r>
        <w:rPr>
          <w:w w:val="115"/>
        </w:rPr>
        <w:t>cómo</w:t>
      </w:r>
      <w:r>
        <w:rPr>
          <w:spacing w:val="-22"/>
          <w:w w:val="115"/>
        </w:rPr>
        <w:t> </w:t>
      </w:r>
      <w:r>
        <w:rPr>
          <w:w w:val="115"/>
        </w:rPr>
        <w:t>el</w:t>
      </w:r>
      <w:r>
        <w:rPr>
          <w:spacing w:val="-22"/>
          <w:w w:val="115"/>
        </w:rPr>
        <w:t> </w:t>
      </w:r>
      <w:r>
        <w:rPr>
          <w:w w:val="115"/>
        </w:rPr>
        <w:t>imperialismo</w:t>
      </w:r>
      <w:r>
        <w:rPr>
          <w:spacing w:val="-22"/>
          <w:w w:val="115"/>
        </w:rPr>
        <w:t> </w:t>
      </w:r>
      <w:r>
        <w:rPr>
          <w:w w:val="115"/>
        </w:rPr>
        <w:t>ha</w:t>
      </w:r>
      <w:r>
        <w:rPr>
          <w:spacing w:val="-22"/>
          <w:w w:val="115"/>
        </w:rPr>
        <w:t> </w:t>
      </w:r>
      <w:r>
        <w:rPr>
          <w:w w:val="115"/>
        </w:rPr>
        <w:t>impactado</w:t>
      </w:r>
      <w:r>
        <w:rPr>
          <w:spacing w:val="-22"/>
          <w:w w:val="115"/>
        </w:rPr>
        <w:t> </w:t>
      </w:r>
      <w:r>
        <w:rPr>
          <w:w w:val="115"/>
        </w:rPr>
        <w:t>sobre</w:t>
      </w:r>
      <w:r>
        <w:rPr>
          <w:spacing w:val="-22"/>
          <w:w w:val="115"/>
        </w:rPr>
        <w:t> </w:t>
      </w:r>
      <w:r>
        <w:rPr>
          <w:w w:val="115"/>
        </w:rPr>
        <w:t>la situación</w:t>
      </w:r>
      <w:r>
        <w:rPr>
          <w:spacing w:val="-28"/>
          <w:w w:val="115"/>
        </w:rPr>
        <w:t> </w:t>
      </w:r>
      <w:r>
        <w:rPr>
          <w:w w:val="115"/>
        </w:rPr>
        <w:t>nacional</w:t>
      </w:r>
      <w:r>
        <w:rPr>
          <w:spacing w:val="-28"/>
          <w:w w:val="115"/>
        </w:rPr>
        <w:t> </w:t>
      </w:r>
      <w:r>
        <w:rPr>
          <w:w w:val="115"/>
        </w:rPr>
        <w:t>interna</w:t>
      </w:r>
      <w:r>
        <w:rPr>
          <w:spacing w:val="-28"/>
          <w:w w:val="115"/>
        </w:rPr>
        <w:t> </w:t>
      </w:r>
      <w:r>
        <w:rPr>
          <w:spacing w:val="-11"/>
          <w:w w:val="115"/>
        </w:rPr>
        <w:t>y,</w:t>
      </w:r>
      <w:r>
        <w:rPr>
          <w:spacing w:val="-28"/>
          <w:w w:val="115"/>
        </w:rPr>
        <w:t> </w:t>
      </w:r>
      <w:r>
        <w:rPr>
          <w:w w:val="115"/>
        </w:rPr>
        <w:t>en</w:t>
      </w:r>
      <w:r>
        <w:rPr>
          <w:spacing w:val="-28"/>
          <w:w w:val="115"/>
        </w:rPr>
        <w:t> </w:t>
      </w:r>
      <w:r>
        <w:rPr>
          <w:w w:val="115"/>
        </w:rPr>
        <w:t>particular,</w:t>
      </w:r>
      <w:r>
        <w:rPr>
          <w:spacing w:val="-28"/>
          <w:w w:val="115"/>
        </w:rPr>
        <w:t> </w:t>
      </w:r>
      <w:r>
        <w:rPr>
          <w:w w:val="115"/>
        </w:rPr>
        <w:t>sobre</w:t>
      </w:r>
      <w:r>
        <w:rPr>
          <w:spacing w:val="-28"/>
          <w:w w:val="115"/>
        </w:rPr>
        <w:t> </w:t>
      </w:r>
      <w:r>
        <w:rPr>
          <w:w w:val="115"/>
        </w:rPr>
        <w:t>las</w:t>
      </w:r>
      <w:r>
        <w:rPr>
          <w:spacing w:val="-28"/>
          <w:w w:val="115"/>
        </w:rPr>
        <w:t> </w:t>
      </w:r>
      <w:r>
        <w:rPr>
          <w:w w:val="115"/>
        </w:rPr>
        <w:t>diferencias</w:t>
      </w:r>
      <w:r>
        <w:rPr>
          <w:spacing w:val="-28"/>
          <w:w w:val="115"/>
        </w:rPr>
        <w:t> </w:t>
      </w:r>
      <w:r>
        <w:rPr>
          <w:w w:val="115"/>
        </w:rPr>
        <w:t>de</w:t>
      </w:r>
      <w:r>
        <w:rPr>
          <w:spacing w:val="-28"/>
          <w:w w:val="115"/>
        </w:rPr>
        <w:t> </w:t>
      </w:r>
      <w:r>
        <w:rPr>
          <w:w w:val="115"/>
        </w:rPr>
        <w:t>cla- ses</w:t>
      </w:r>
      <w:r>
        <w:rPr>
          <w:spacing w:val="-24"/>
          <w:w w:val="115"/>
        </w:rPr>
        <w:t> </w:t>
      </w:r>
      <w:r>
        <w:rPr>
          <w:w w:val="115"/>
        </w:rPr>
        <w:t>sociales</w:t>
      </w:r>
      <w:r>
        <w:rPr>
          <w:spacing w:val="-24"/>
          <w:w w:val="115"/>
        </w:rPr>
        <w:t> </w:t>
      </w:r>
      <w:r>
        <w:rPr>
          <w:w w:val="115"/>
        </w:rPr>
        <w:t>y</w:t>
      </w:r>
      <w:r>
        <w:rPr>
          <w:spacing w:val="-24"/>
          <w:w w:val="115"/>
        </w:rPr>
        <w:t> </w:t>
      </w:r>
      <w:r>
        <w:rPr>
          <w:w w:val="115"/>
        </w:rPr>
        <w:t>su</w:t>
      </w:r>
      <w:r>
        <w:rPr>
          <w:spacing w:val="-24"/>
          <w:w w:val="115"/>
        </w:rPr>
        <w:t> </w:t>
      </w:r>
      <w:r>
        <w:rPr>
          <w:w w:val="115"/>
        </w:rPr>
        <w:t>lucha.</w:t>
      </w:r>
      <w:r>
        <w:rPr>
          <w:spacing w:val="-24"/>
          <w:w w:val="115"/>
        </w:rPr>
        <w:t> </w:t>
      </w:r>
      <w:r>
        <w:rPr>
          <w:w w:val="115"/>
        </w:rPr>
        <w:t>Esta</w:t>
      </w:r>
      <w:r>
        <w:rPr>
          <w:spacing w:val="-24"/>
          <w:w w:val="115"/>
        </w:rPr>
        <w:t> </w:t>
      </w:r>
      <w:r>
        <w:rPr>
          <w:w w:val="115"/>
        </w:rPr>
        <w:t>teoría</w:t>
      </w:r>
      <w:r>
        <w:rPr>
          <w:spacing w:val="-24"/>
          <w:w w:val="115"/>
        </w:rPr>
        <w:t> </w:t>
      </w:r>
      <w:r>
        <w:rPr>
          <w:w w:val="115"/>
        </w:rPr>
        <w:t>se</w:t>
      </w:r>
      <w:r>
        <w:rPr>
          <w:spacing w:val="-24"/>
          <w:w w:val="115"/>
        </w:rPr>
        <w:t> </w:t>
      </w:r>
      <w:r>
        <w:rPr>
          <w:w w:val="115"/>
        </w:rPr>
        <w:t>dio</w:t>
      </w:r>
      <w:r>
        <w:rPr>
          <w:spacing w:val="-24"/>
          <w:w w:val="115"/>
        </w:rPr>
        <w:t> </w:t>
      </w:r>
      <w:r>
        <w:rPr>
          <w:w w:val="115"/>
        </w:rPr>
        <w:t>a</w:t>
      </w:r>
      <w:r>
        <w:rPr>
          <w:spacing w:val="-24"/>
          <w:w w:val="115"/>
        </w:rPr>
        <w:t> </w:t>
      </w:r>
      <w:r>
        <w:rPr>
          <w:w w:val="115"/>
        </w:rPr>
        <w:t>conocer</w:t>
      </w:r>
      <w:r>
        <w:rPr>
          <w:spacing w:val="-24"/>
          <w:w w:val="115"/>
        </w:rPr>
        <w:t> </w:t>
      </w:r>
      <w:r>
        <w:rPr>
          <w:w w:val="115"/>
        </w:rPr>
        <w:t>en</w:t>
      </w:r>
      <w:r>
        <w:rPr>
          <w:spacing w:val="-24"/>
          <w:w w:val="115"/>
        </w:rPr>
        <w:t> </w:t>
      </w:r>
      <w:r>
        <w:rPr>
          <w:w w:val="115"/>
        </w:rPr>
        <w:t>diversas</w:t>
      </w:r>
      <w:r>
        <w:rPr>
          <w:spacing w:val="-24"/>
          <w:w w:val="115"/>
        </w:rPr>
        <w:t> </w:t>
      </w:r>
      <w:r>
        <w:rPr>
          <w:w w:val="115"/>
        </w:rPr>
        <w:t>formas, desde</w:t>
      </w:r>
      <w:r>
        <w:rPr>
          <w:spacing w:val="-28"/>
          <w:w w:val="115"/>
        </w:rPr>
        <w:t> </w:t>
      </w:r>
      <w:r>
        <w:rPr>
          <w:w w:val="115"/>
        </w:rPr>
        <w:t>la</w:t>
      </w:r>
      <w:r>
        <w:rPr>
          <w:spacing w:val="-28"/>
          <w:w w:val="115"/>
        </w:rPr>
        <w:t> </w:t>
      </w:r>
      <w:r>
        <w:rPr>
          <w:w w:val="115"/>
        </w:rPr>
        <w:t>atención</w:t>
      </w:r>
      <w:r>
        <w:rPr>
          <w:spacing w:val="-28"/>
          <w:w w:val="115"/>
        </w:rPr>
        <w:t> </w:t>
      </w:r>
      <w:r>
        <w:rPr>
          <w:w w:val="115"/>
        </w:rPr>
        <w:t>al</w:t>
      </w:r>
      <w:r>
        <w:rPr>
          <w:spacing w:val="-28"/>
          <w:w w:val="115"/>
        </w:rPr>
        <w:t> </w:t>
      </w:r>
      <w:r>
        <w:rPr>
          <w:w w:val="115"/>
        </w:rPr>
        <w:t>excedente</w:t>
      </w:r>
      <w:r>
        <w:rPr>
          <w:spacing w:val="-28"/>
          <w:w w:val="115"/>
        </w:rPr>
        <w:t> </w:t>
      </w:r>
      <w:r>
        <w:rPr>
          <w:w w:val="115"/>
        </w:rPr>
        <w:t>económico</w:t>
      </w:r>
      <w:r>
        <w:rPr>
          <w:spacing w:val="-28"/>
          <w:w w:val="115"/>
        </w:rPr>
        <w:t> </w:t>
      </w:r>
      <w:r>
        <w:rPr>
          <w:w w:val="115"/>
        </w:rPr>
        <w:t>y</w:t>
      </w:r>
      <w:r>
        <w:rPr>
          <w:spacing w:val="-28"/>
          <w:w w:val="115"/>
        </w:rPr>
        <w:t> </w:t>
      </w:r>
      <w:r>
        <w:rPr>
          <w:w w:val="115"/>
        </w:rPr>
        <w:t>el</w:t>
      </w:r>
      <w:r>
        <w:rPr>
          <w:spacing w:val="-28"/>
          <w:w w:val="115"/>
        </w:rPr>
        <w:t> </w:t>
      </w:r>
      <w:r>
        <w:rPr>
          <w:w w:val="115"/>
        </w:rPr>
        <w:t>atraso</w:t>
      </w:r>
      <w:r>
        <w:rPr>
          <w:spacing w:val="-28"/>
          <w:w w:val="115"/>
        </w:rPr>
        <w:t> </w:t>
      </w:r>
      <w:r>
        <w:rPr>
          <w:w w:val="115"/>
        </w:rPr>
        <w:t>descrito</w:t>
      </w:r>
      <w:r>
        <w:rPr>
          <w:spacing w:val="-28"/>
          <w:w w:val="115"/>
        </w:rPr>
        <w:t> </w:t>
      </w:r>
      <w:r>
        <w:rPr>
          <w:w w:val="115"/>
        </w:rPr>
        <w:t>por</w:t>
      </w:r>
      <w:r>
        <w:rPr>
          <w:spacing w:val="-28"/>
          <w:w w:val="115"/>
        </w:rPr>
        <w:t> </w:t>
      </w:r>
      <w:r>
        <w:rPr>
          <w:w w:val="115"/>
        </w:rPr>
        <w:t>Paul baran hasta la teoría del desarrollo capitalista del subdesarrollo en andré Gunder Frank o la nueva dependencia de theotonio dos san- tos, o bien el subimperialismo de ruy Mauro Marini o el</w:t>
      </w:r>
      <w:r>
        <w:rPr>
          <w:spacing w:val="-26"/>
          <w:w w:val="115"/>
        </w:rPr>
        <w:t> </w:t>
      </w:r>
      <w:r>
        <w:rPr>
          <w:w w:val="115"/>
        </w:rPr>
        <w:t>capitalismo dependiente</w:t>
      </w:r>
      <w:r>
        <w:rPr>
          <w:spacing w:val="-22"/>
          <w:w w:val="115"/>
        </w:rPr>
        <w:t> </w:t>
      </w:r>
      <w:r>
        <w:rPr>
          <w:w w:val="115"/>
        </w:rPr>
        <w:t>asociado</w:t>
      </w:r>
      <w:r>
        <w:rPr>
          <w:spacing w:val="-22"/>
          <w:w w:val="115"/>
        </w:rPr>
        <w:t> </w:t>
      </w:r>
      <w:r>
        <w:rPr>
          <w:w w:val="115"/>
        </w:rPr>
        <w:t>de</w:t>
      </w:r>
      <w:r>
        <w:rPr>
          <w:spacing w:val="-22"/>
          <w:w w:val="115"/>
        </w:rPr>
        <w:t> </w:t>
      </w:r>
      <w:r>
        <w:rPr>
          <w:w w:val="115"/>
        </w:rPr>
        <w:t>Fernando</w:t>
      </w:r>
      <w:r>
        <w:rPr>
          <w:spacing w:val="-22"/>
          <w:w w:val="115"/>
        </w:rPr>
        <w:t> </w:t>
      </w:r>
      <w:r>
        <w:rPr>
          <w:w w:val="115"/>
        </w:rPr>
        <w:t>Henrique</w:t>
      </w:r>
      <w:r>
        <w:rPr>
          <w:spacing w:val="-22"/>
          <w:w w:val="115"/>
        </w:rPr>
        <w:t> </w:t>
      </w:r>
      <w:r>
        <w:rPr>
          <w:w w:val="115"/>
        </w:rPr>
        <w:t>Cardoso.</w:t>
      </w:r>
      <w:r>
        <w:rPr>
          <w:spacing w:val="-22"/>
          <w:w w:val="115"/>
        </w:rPr>
        <w:t> </w:t>
      </w:r>
      <w:r>
        <w:rPr>
          <w:w w:val="115"/>
        </w:rPr>
        <w:t>dichas</w:t>
      </w:r>
      <w:r>
        <w:rPr>
          <w:spacing w:val="-22"/>
          <w:w w:val="115"/>
        </w:rPr>
        <w:t> </w:t>
      </w:r>
      <w:r>
        <w:rPr>
          <w:w w:val="115"/>
        </w:rPr>
        <w:t>teorías </w:t>
      </w:r>
      <w:r>
        <w:rPr>
          <w:w w:val="108"/>
        </w:rPr>
        <w:t>raras</w:t>
      </w:r>
      <w:r>
        <w:rPr>
          <w:spacing w:val="18"/>
        </w:rPr>
        <w:t> </w:t>
      </w:r>
      <w:r>
        <w:rPr>
          <w:w w:val="106"/>
        </w:rPr>
        <w:t>veces</w:t>
      </w:r>
      <w:r>
        <w:rPr>
          <w:spacing w:val="18"/>
        </w:rPr>
        <w:t> </w:t>
      </w:r>
      <w:r>
        <w:rPr>
          <w:w w:val="111"/>
        </w:rPr>
        <w:t>hicieron</w:t>
      </w:r>
      <w:r>
        <w:rPr>
          <w:spacing w:val="18"/>
        </w:rPr>
        <w:t> </w:t>
      </w:r>
      <w:r>
        <w:rPr>
          <w:w w:val="109"/>
        </w:rPr>
        <w:t>referencia</w:t>
      </w:r>
      <w:r>
        <w:rPr>
          <w:spacing w:val="18"/>
        </w:rPr>
        <w:t> </w:t>
      </w:r>
      <w:r>
        <w:rPr>
          <w:w w:val="112"/>
        </w:rPr>
        <w:t>a</w:t>
      </w:r>
      <w:r>
        <w:rPr>
          <w:spacing w:val="18"/>
        </w:rPr>
        <w:t> </w:t>
      </w:r>
      <w:r>
        <w:rPr>
          <w:w w:val="109"/>
        </w:rPr>
        <w:t>las</w:t>
      </w:r>
      <w:r>
        <w:rPr>
          <w:spacing w:val="18"/>
        </w:rPr>
        <w:t> </w:t>
      </w:r>
      <w:r>
        <w:rPr>
          <w:w w:val="109"/>
        </w:rPr>
        <w:t>primeras</w:t>
      </w:r>
      <w:r>
        <w:rPr>
          <w:spacing w:val="18"/>
        </w:rPr>
        <w:t> </w:t>
      </w:r>
      <w:r>
        <w:rPr>
          <w:w w:val="108"/>
        </w:rPr>
        <w:t>ideas</w:t>
      </w:r>
      <w:r>
        <w:rPr>
          <w:spacing w:val="18"/>
        </w:rPr>
        <w:t> </w:t>
      </w:r>
      <w:r>
        <w:rPr>
          <w:w w:val="107"/>
        </w:rPr>
        <w:t>de</w:t>
      </w:r>
      <w:r>
        <w:rPr>
          <w:spacing w:val="18"/>
        </w:rPr>
        <w:t> </w:t>
      </w:r>
      <w:r>
        <w:rPr>
          <w:w w:val="113"/>
        </w:rPr>
        <w:t>Marx</w:t>
      </w:r>
      <w:r>
        <w:rPr>
          <w:spacing w:val="18"/>
        </w:rPr>
        <w:t> </w:t>
      </w:r>
      <w:r>
        <w:rPr>
          <w:w w:val="105"/>
        </w:rPr>
        <w:t>y</w:t>
      </w:r>
      <w:r>
        <w:rPr>
          <w:spacing w:val="18"/>
        </w:rPr>
        <w:t> </w:t>
      </w:r>
      <w:r>
        <w:rPr>
          <w:w w:val="243"/>
        </w:rPr>
        <w:t>l</w:t>
      </w:r>
      <w:r>
        <w:rPr>
          <w:w w:val="113"/>
        </w:rPr>
        <w:t>enin, </w:t>
      </w:r>
      <w:r>
        <w:rPr>
          <w:w w:val="115"/>
        </w:rPr>
        <w:t>sin</w:t>
      </w:r>
      <w:r>
        <w:rPr>
          <w:spacing w:val="-15"/>
          <w:w w:val="115"/>
        </w:rPr>
        <w:t> </w:t>
      </w:r>
      <w:r>
        <w:rPr>
          <w:w w:val="115"/>
        </w:rPr>
        <w:t>embargo,</w:t>
      </w:r>
      <w:r>
        <w:rPr>
          <w:spacing w:val="-15"/>
          <w:w w:val="115"/>
        </w:rPr>
        <w:t> </w:t>
      </w:r>
      <w:r>
        <w:rPr>
          <w:w w:val="115"/>
        </w:rPr>
        <w:t>rápidamente</w:t>
      </w:r>
      <w:r>
        <w:rPr>
          <w:spacing w:val="-15"/>
          <w:w w:val="115"/>
        </w:rPr>
        <w:t> </w:t>
      </w:r>
      <w:r>
        <w:rPr>
          <w:w w:val="115"/>
        </w:rPr>
        <w:t>opacaron</w:t>
      </w:r>
      <w:r>
        <w:rPr>
          <w:spacing w:val="-15"/>
          <w:w w:val="115"/>
        </w:rPr>
        <w:t> </w:t>
      </w:r>
      <w:r>
        <w:rPr>
          <w:w w:val="115"/>
        </w:rPr>
        <w:t>las</w:t>
      </w:r>
      <w:r>
        <w:rPr>
          <w:spacing w:val="-15"/>
          <w:w w:val="115"/>
        </w:rPr>
        <w:t> </w:t>
      </w:r>
      <w:r>
        <w:rPr>
          <w:w w:val="115"/>
        </w:rPr>
        <w:t>viejas</w:t>
      </w:r>
      <w:r>
        <w:rPr>
          <w:spacing w:val="-15"/>
          <w:w w:val="115"/>
        </w:rPr>
        <w:t> </w:t>
      </w:r>
      <w:r>
        <w:rPr>
          <w:w w:val="115"/>
        </w:rPr>
        <w:t>teorías</w:t>
      </w:r>
      <w:r>
        <w:rPr>
          <w:spacing w:val="-15"/>
          <w:w w:val="115"/>
        </w:rPr>
        <w:t> </w:t>
      </w:r>
      <w:r>
        <w:rPr>
          <w:w w:val="115"/>
        </w:rPr>
        <w:t>del</w:t>
      </w:r>
      <w:r>
        <w:rPr>
          <w:spacing w:val="-15"/>
          <w:w w:val="115"/>
        </w:rPr>
        <w:t> </w:t>
      </w:r>
      <w:r>
        <w:rPr>
          <w:w w:val="115"/>
        </w:rPr>
        <w:t>imperialis- mo</w:t>
      </w:r>
      <w:r>
        <w:rPr>
          <w:spacing w:val="-25"/>
          <w:w w:val="115"/>
        </w:rPr>
        <w:t> </w:t>
      </w:r>
      <w:r>
        <w:rPr>
          <w:w w:val="115"/>
        </w:rPr>
        <w:t>y</w:t>
      </w:r>
      <w:r>
        <w:rPr>
          <w:spacing w:val="-25"/>
          <w:w w:val="115"/>
        </w:rPr>
        <w:t> </w:t>
      </w:r>
      <w:r>
        <w:rPr>
          <w:w w:val="115"/>
        </w:rPr>
        <w:t>se</w:t>
      </w:r>
      <w:r>
        <w:rPr>
          <w:spacing w:val="-25"/>
          <w:w w:val="115"/>
        </w:rPr>
        <w:t> </w:t>
      </w:r>
      <w:r>
        <w:rPr>
          <w:w w:val="115"/>
        </w:rPr>
        <w:t>hicieron</w:t>
      </w:r>
      <w:r>
        <w:rPr>
          <w:spacing w:val="-25"/>
          <w:w w:val="115"/>
        </w:rPr>
        <w:t> </w:t>
      </w:r>
      <w:r>
        <w:rPr>
          <w:w w:val="115"/>
        </w:rPr>
        <w:t>muy</w:t>
      </w:r>
      <w:r>
        <w:rPr>
          <w:spacing w:val="-25"/>
          <w:w w:val="115"/>
        </w:rPr>
        <w:t> </w:t>
      </w:r>
      <w:r>
        <w:rPr>
          <w:w w:val="115"/>
        </w:rPr>
        <w:t>populares</w:t>
      </w:r>
      <w:r>
        <w:rPr>
          <w:spacing w:val="-25"/>
          <w:w w:val="115"/>
        </w:rPr>
        <w:t> </w:t>
      </w:r>
      <w:r>
        <w:rPr>
          <w:w w:val="115"/>
        </w:rPr>
        <w:t>entre</w:t>
      </w:r>
      <w:r>
        <w:rPr>
          <w:spacing w:val="-25"/>
          <w:w w:val="115"/>
        </w:rPr>
        <w:t> </w:t>
      </w:r>
      <w:r>
        <w:rPr>
          <w:w w:val="115"/>
        </w:rPr>
        <w:t>los</w:t>
      </w:r>
      <w:r>
        <w:rPr>
          <w:spacing w:val="-25"/>
          <w:w w:val="115"/>
        </w:rPr>
        <w:t> </w:t>
      </w:r>
      <w:r>
        <w:rPr>
          <w:w w:val="115"/>
        </w:rPr>
        <w:t>intelectuales</w:t>
      </w:r>
      <w:r>
        <w:rPr>
          <w:spacing w:val="-25"/>
          <w:w w:val="115"/>
        </w:rPr>
        <w:t> </w:t>
      </w:r>
      <w:r>
        <w:rPr>
          <w:w w:val="115"/>
        </w:rPr>
        <w:t>en</w:t>
      </w:r>
      <w:r>
        <w:rPr>
          <w:spacing w:val="-25"/>
          <w:w w:val="115"/>
        </w:rPr>
        <w:t> </w:t>
      </w:r>
      <w:r>
        <w:rPr>
          <w:w w:val="115"/>
        </w:rPr>
        <w:t>las</w:t>
      </w:r>
      <w:r>
        <w:rPr>
          <w:spacing w:val="-25"/>
          <w:w w:val="115"/>
        </w:rPr>
        <w:t> </w:t>
      </w:r>
      <w:r>
        <w:rPr>
          <w:w w:val="115"/>
        </w:rPr>
        <w:t>regiones </w:t>
      </w:r>
      <w:r>
        <w:rPr>
          <w:w w:val="110"/>
        </w:rPr>
        <w:t>fuera</w:t>
      </w:r>
      <w:r>
        <w:rPr>
          <w:spacing w:val="19"/>
        </w:rPr>
        <w:t> </w:t>
      </w:r>
      <w:r>
        <w:rPr>
          <w:w w:val="107"/>
        </w:rPr>
        <w:t>de</w:t>
      </w:r>
      <w:r>
        <w:rPr>
          <w:spacing w:val="19"/>
        </w:rPr>
        <w:t> </w:t>
      </w:r>
      <w:r>
        <w:rPr>
          <w:w w:val="113"/>
        </w:rPr>
        <w:t>Europa</w:t>
      </w:r>
      <w:r>
        <w:rPr>
          <w:spacing w:val="19"/>
        </w:rPr>
        <w:t> </w:t>
      </w:r>
      <w:r>
        <w:rPr>
          <w:w w:val="105"/>
        </w:rPr>
        <w:t>y</w:t>
      </w:r>
      <w:r>
        <w:rPr>
          <w:spacing w:val="19"/>
        </w:rPr>
        <w:t> </w:t>
      </w:r>
      <w:r>
        <w:rPr>
          <w:w w:val="111"/>
        </w:rPr>
        <w:t>Estados</w:t>
      </w:r>
      <w:r>
        <w:rPr>
          <w:spacing w:val="19"/>
        </w:rPr>
        <w:t> </w:t>
      </w:r>
      <w:r>
        <w:rPr>
          <w:w w:val="140"/>
        </w:rPr>
        <w:t>u</w:t>
      </w:r>
      <w:r>
        <w:rPr>
          <w:w w:val="112"/>
        </w:rPr>
        <w:t>nidos,</w:t>
      </w:r>
      <w:r>
        <w:rPr>
          <w:spacing w:val="19"/>
        </w:rPr>
        <w:t> </w:t>
      </w:r>
      <w:r>
        <w:rPr>
          <w:w w:val="109"/>
        </w:rPr>
        <w:t>especialmente</w:t>
      </w:r>
      <w:r>
        <w:rPr>
          <w:spacing w:val="19"/>
        </w:rPr>
        <w:t> </w:t>
      </w:r>
      <w:r>
        <w:rPr>
          <w:w w:val="108"/>
        </w:rPr>
        <w:t>en</w:t>
      </w:r>
      <w:r>
        <w:rPr>
          <w:spacing w:val="19"/>
        </w:rPr>
        <w:t> </w:t>
      </w:r>
      <w:r>
        <w:rPr>
          <w:w w:val="139"/>
        </w:rPr>
        <w:t>a</w:t>
      </w:r>
      <w:r>
        <w:rPr>
          <w:w w:val="111"/>
        </w:rPr>
        <w:t>mérica</w:t>
      </w:r>
      <w:r>
        <w:rPr>
          <w:spacing w:val="19"/>
        </w:rPr>
        <w:t> </w:t>
      </w:r>
      <w:r>
        <w:rPr>
          <w:w w:val="243"/>
        </w:rPr>
        <w:t>l</w:t>
      </w:r>
      <w:r>
        <w:rPr>
          <w:w w:val="111"/>
        </w:rPr>
        <w:t>atina </w:t>
      </w:r>
      <w:r>
        <w:rPr>
          <w:w w:val="115"/>
        </w:rPr>
        <w:t>y</w:t>
      </w:r>
      <w:r>
        <w:rPr>
          <w:spacing w:val="-24"/>
          <w:w w:val="115"/>
        </w:rPr>
        <w:t> </w:t>
      </w:r>
      <w:r>
        <w:rPr>
          <w:w w:val="115"/>
        </w:rPr>
        <w:t>el</w:t>
      </w:r>
      <w:r>
        <w:rPr>
          <w:spacing w:val="-24"/>
          <w:w w:val="115"/>
        </w:rPr>
        <w:t> </w:t>
      </w:r>
      <w:r>
        <w:rPr>
          <w:w w:val="115"/>
        </w:rPr>
        <w:t>Caribe.</w:t>
      </w:r>
      <w:r>
        <w:rPr>
          <w:spacing w:val="-24"/>
          <w:w w:val="115"/>
        </w:rPr>
        <w:t> </w:t>
      </w:r>
      <w:r>
        <w:rPr>
          <w:w w:val="115"/>
        </w:rPr>
        <w:t>dos</w:t>
      </w:r>
      <w:r>
        <w:rPr>
          <w:spacing w:val="-24"/>
          <w:w w:val="115"/>
        </w:rPr>
        <w:t> </w:t>
      </w:r>
      <w:r>
        <w:rPr>
          <w:w w:val="115"/>
        </w:rPr>
        <w:t>orientaciones</w:t>
      </w:r>
      <w:r>
        <w:rPr>
          <w:spacing w:val="-24"/>
          <w:w w:val="115"/>
        </w:rPr>
        <w:t> </w:t>
      </w:r>
      <w:r>
        <w:rPr>
          <w:w w:val="115"/>
        </w:rPr>
        <w:t>teóricas</w:t>
      </w:r>
      <w:r>
        <w:rPr>
          <w:spacing w:val="-24"/>
          <w:w w:val="115"/>
        </w:rPr>
        <w:t> </w:t>
      </w:r>
      <w:r>
        <w:rPr>
          <w:w w:val="115"/>
        </w:rPr>
        <w:t>surgieron,</w:t>
      </w:r>
      <w:r>
        <w:rPr>
          <w:spacing w:val="-24"/>
          <w:w w:val="115"/>
        </w:rPr>
        <w:t> </w:t>
      </w:r>
      <w:r>
        <w:rPr>
          <w:w w:val="115"/>
        </w:rPr>
        <w:t>una</w:t>
      </w:r>
      <w:r>
        <w:rPr>
          <w:spacing w:val="-24"/>
          <w:w w:val="115"/>
        </w:rPr>
        <w:t> </w:t>
      </w:r>
      <w:r>
        <w:rPr>
          <w:w w:val="115"/>
        </w:rPr>
        <w:t>defendiendo</w:t>
      </w:r>
      <w:r>
        <w:rPr>
          <w:spacing w:val="-24"/>
          <w:w w:val="115"/>
        </w:rPr>
        <w:t> </w:t>
      </w:r>
      <w:r>
        <w:rPr>
          <w:w w:val="115"/>
        </w:rPr>
        <w:t>re- sultados revolucionarios y socialistas, apoyados en la promesa y el ejemplo</w:t>
      </w:r>
      <w:r>
        <w:rPr>
          <w:spacing w:val="-8"/>
          <w:w w:val="115"/>
        </w:rPr>
        <w:t> </w:t>
      </w:r>
      <w:r>
        <w:rPr>
          <w:w w:val="115"/>
        </w:rPr>
        <w:t>de</w:t>
      </w:r>
      <w:r>
        <w:rPr>
          <w:spacing w:val="-8"/>
          <w:w w:val="115"/>
        </w:rPr>
        <w:t> </w:t>
      </w:r>
      <w:r>
        <w:rPr>
          <w:w w:val="115"/>
        </w:rPr>
        <w:t>la</w:t>
      </w:r>
      <w:r>
        <w:rPr>
          <w:spacing w:val="-8"/>
          <w:w w:val="115"/>
        </w:rPr>
        <w:t> </w:t>
      </w:r>
      <w:r>
        <w:rPr>
          <w:w w:val="115"/>
        </w:rPr>
        <w:t>revolución</w:t>
      </w:r>
      <w:r>
        <w:rPr>
          <w:spacing w:val="-8"/>
          <w:w w:val="115"/>
        </w:rPr>
        <w:t> </w:t>
      </w:r>
      <w:r>
        <w:rPr>
          <w:w w:val="115"/>
        </w:rPr>
        <w:t>Cubana;</w:t>
      </w:r>
      <w:r>
        <w:rPr>
          <w:spacing w:val="-8"/>
          <w:w w:val="115"/>
        </w:rPr>
        <w:t> </w:t>
      </w:r>
      <w:r>
        <w:rPr>
          <w:w w:val="115"/>
        </w:rPr>
        <w:t>la</w:t>
      </w:r>
      <w:r>
        <w:rPr>
          <w:spacing w:val="-8"/>
          <w:w w:val="115"/>
        </w:rPr>
        <w:t> </w:t>
      </w:r>
      <w:r>
        <w:rPr>
          <w:w w:val="115"/>
        </w:rPr>
        <w:t>segunda,</w:t>
      </w:r>
      <w:r>
        <w:rPr>
          <w:spacing w:val="-8"/>
          <w:w w:val="115"/>
        </w:rPr>
        <w:t> </w:t>
      </w:r>
      <w:r>
        <w:rPr>
          <w:w w:val="115"/>
        </w:rPr>
        <w:t>pronosticando</w:t>
      </w:r>
      <w:r>
        <w:rPr>
          <w:spacing w:val="-8"/>
          <w:w w:val="115"/>
        </w:rPr>
        <w:t> </w:t>
      </w:r>
      <w:r>
        <w:rPr>
          <w:w w:val="115"/>
        </w:rPr>
        <w:t>una</w:t>
      </w:r>
      <w:r>
        <w:rPr>
          <w:spacing w:val="-8"/>
          <w:w w:val="115"/>
        </w:rPr>
        <w:t> </w:t>
      </w:r>
      <w:r>
        <w:rPr>
          <w:w w:val="115"/>
        </w:rPr>
        <w:t>vía reformista</w:t>
      </w:r>
      <w:r>
        <w:rPr>
          <w:spacing w:val="-24"/>
          <w:w w:val="115"/>
        </w:rPr>
        <w:t> </w:t>
      </w:r>
      <w:r>
        <w:rPr>
          <w:w w:val="115"/>
        </w:rPr>
        <w:t>y</w:t>
      </w:r>
      <w:r>
        <w:rPr>
          <w:spacing w:val="-24"/>
          <w:w w:val="115"/>
        </w:rPr>
        <w:t> </w:t>
      </w:r>
      <w:r>
        <w:rPr>
          <w:w w:val="115"/>
        </w:rPr>
        <w:t>el</w:t>
      </w:r>
      <w:r>
        <w:rPr>
          <w:spacing w:val="-24"/>
          <w:w w:val="115"/>
        </w:rPr>
        <w:t> </w:t>
      </w:r>
      <w:r>
        <w:rPr>
          <w:w w:val="115"/>
        </w:rPr>
        <w:t>desarrollo</w:t>
      </w:r>
      <w:r>
        <w:rPr>
          <w:spacing w:val="-24"/>
          <w:w w:val="115"/>
        </w:rPr>
        <w:t> </w:t>
      </w:r>
      <w:r>
        <w:rPr>
          <w:w w:val="115"/>
        </w:rPr>
        <w:t>de</w:t>
      </w:r>
      <w:r>
        <w:rPr>
          <w:spacing w:val="-24"/>
          <w:w w:val="115"/>
        </w:rPr>
        <w:t> </w:t>
      </w:r>
      <w:r>
        <w:rPr>
          <w:w w:val="115"/>
        </w:rPr>
        <w:t>los</w:t>
      </w:r>
      <w:r>
        <w:rPr>
          <w:spacing w:val="-24"/>
          <w:w w:val="115"/>
        </w:rPr>
        <w:t> </w:t>
      </w:r>
      <w:r>
        <w:rPr>
          <w:w w:val="115"/>
        </w:rPr>
        <w:t>medios</w:t>
      </w:r>
      <w:r>
        <w:rPr>
          <w:spacing w:val="-24"/>
          <w:w w:val="115"/>
        </w:rPr>
        <w:t> </w:t>
      </w:r>
      <w:r>
        <w:rPr>
          <w:w w:val="115"/>
        </w:rPr>
        <w:t>de</w:t>
      </w:r>
      <w:r>
        <w:rPr>
          <w:spacing w:val="-24"/>
          <w:w w:val="115"/>
        </w:rPr>
        <w:t> </w:t>
      </w:r>
      <w:r>
        <w:rPr>
          <w:w w:val="115"/>
        </w:rPr>
        <w:t>producción</w:t>
      </w:r>
      <w:r>
        <w:rPr>
          <w:spacing w:val="-24"/>
          <w:w w:val="115"/>
        </w:rPr>
        <w:t> </w:t>
      </w:r>
      <w:r>
        <w:rPr>
          <w:w w:val="115"/>
        </w:rPr>
        <w:t>capitalistas.</w:t>
      </w:r>
    </w:p>
    <w:p>
      <w:pPr>
        <w:pStyle w:val="BodyText"/>
        <w:spacing w:line="252" w:lineRule="auto"/>
        <w:ind w:left="330" w:right="118" w:firstLine="396"/>
        <w:jc w:val="both"/>
      </w:pPr>
      <w:r>
        <w:rPr>
          <w:w w:val="110"/>
        </w:rPr>
        <w:t>algunas de las similitudes entre las teorías de la dependencia y   el imperialismo se encuentran en la periodización alrededor de la dependencia y los monopolios comerciales bajo el colonialismo, la industrialización financiera al final del siglo </w:t>
      </w:r>
      <w:r>
        <w:rPr>
          <w:w w:val="125"/>
        </w:rPr>
        <w:t>xix, </w:t>
      </w:r>
      <w:r>
        <w:rPr>
          <w:w w:val="110"/>
        </w:rPr>
        <w:t>y la inversión de capital de las empresas multinacionales y su penetración en los   </w:t>
      </w:r>
      <w:r>
        <w:rPr>
          <w:spacing w:val="6"/>
          <w:w w:val="110"/>
        </w:rPr>
        <w:t> </w:t>
      </w:r>
      <w:r>
        <w:rPr>
          <w:spacing w:val="-4"/>
          <w:w w:val="110"/>
        </w:rPr>
        <w:t>mer-</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cados internos de los países subdesarrollados después de la segunda </w:t>
      </w:r>
      <w:r>
        <w:rPr>
          <w:w w:val="112"/>
        </w:rPr>
        <w:t>Guerra</w:t>
      </w:r>
      <w:r>
        <w:rPr/>
        <w:t> </w:t>
      </w:r>
      <w:r>
        <w:rPr>
          <w:spacing w:val="-14"/>
        </w:rPr>
        <w:t> </w:t>
      </w:r>
      <w:r>
        <w:rPr>
          <w:w w:val="115"/>
        </w:rPr>
        <w:t>Mundial.</w:t>
      </w:r>
      <w:r>
        <w:rPr/>
        <w:t> </w:t>
      </w:r>
      <w:r>
        <w:rPr>
          <w:spacing w:val="-14"/>
        </w:rPr>
        <w:t> </w:t>
      </w:r>
      <w:r>
        <w:rPr>
          <w:w w:val="243"/>
        </w:rPr>
        <w:t>l</w:t>
      </w:r>
      <w:r>
        <w:rPr>
          <w:w w:val="109"/>
        </w:rPr>
        <w:t>as</w:t>
      </w:r>
      <w:r>
        <w:rPr/>
        <w:t> </w:t>
      </w:r>
      <w:r>
        <w:rPr>
          <w:spacing w:val="-14"/>
        </w:rPr>
        <w:t> </w:t>
      </w:r>
      <w:r>
        <w:rPr>
          <w:w w:val="108"/>
        </w:rPr>
        <w:t>teorías</w:t>
      </w:r>
      <w:r>
        <w:rPr/>
        <w:t> </w:t>
      </w:r>
      <w:r>
        <w:rPr>
          <w:spacing w:val="-14"/>
        </w:rPr>
        <w:t> </w:t>
      </w:r>
      <w:r>
        <w:rPr>
          <w:w w:val="110"/>
        </w:rPr>
        <w:t>también</w:t>
      </w:r>
      <w:r>
        <w:rPr/>
        <w:t> </w:t>
      </w:r>
      <w:r>
        <w:rPr>
          <w:spacing w:val="-14"/>
        </w:rPr>
        <w:t> </w:t>
      </w:r>
      <w:r>
        <w:rPr>
          <w:w w:val="105"/>
        </w:rPr>
        <w:t>se</w:t>
      </w:r>
      <w:r>
        <w:rPr/>
        <w:t> </w:t>
      </w:r>
      <w:r>
        <w:rPr>
          <w:spacing w:val="-14"/>
        </w:rPr>
        <w:t> </w:t>
      </w:r>
      <w:r>
        <w:rPr>
          <w:w w:val="109"/>
        </w:rPr>
        <w:t>basaron</w:t>
      </w:r>
      <w:r>
        <w:rPr/>
        <w:t> </w:t>
      </w:r>
      <w:r>
        <w:rPr>
          <w:spacing w:val="-14"/>
        </w:rPr>
        <w:t> </w:t>
      </w:r>
      <w:r>
        <w:rPr>
          <w:w w:val="108"/>
        </w:rPr>
        <w:t>en</w:t>
      </w:r>
      <w:r>
        <w:rPr/>
        <w:t> </w:t>
      </w:r>
      <w:r>
        <w:rPr>
          <w:spacing w:val="-14"/>
        </w:rPr>
        <w:t> </w:t>
      </w:r>
      <w:r>
        <w:rPr>
          <w:w w:val="107"/>
        </w:rPr>
        <w:t>diversas</w:t>
      </w:r>
      <w:r>
        <w:rPr/>
        <w:t> </w:t>
      </w:r>
      <w:r>
        <w:rPr>
          <w:spacing w:val="-14"/>
        </w:rPr>
        <w:t> </w:t>
      </w:r>
      <w:r>
        <w:rPr>
          <w:w w:val="111"/>
        </w:rPr>
        <w:t>dicot</w:t>
      </w:r>
      <w:r>
        <w:rPr>
          <w:spacing w:val="-1"/>
          <w:w w:val="111"/>
        </w:rPr>
        <w:t>o</w:t>
      </w:r>
      <w:r>
        <w:rPr>
          <w:w w:val="102"/>
        </w:rPr>
        <w:t>- </w:t>
      </w:r>
      <w:r>
        <w:rPr>
          <w:w w:val="110"/>
        </w:rPr>
        <w:t>mías estructurales: política (metrópoli </w:t>
      </w:r>
      <w:r>
        <w:rPr>
          <w:i/>
          <w:w w:val="110"/>
        </w:rPr>
        <w:t>vs </w:t>
      </w:r>
      <w:r>
        <w:rPr>
          <w:w w:val="110"/>
        </w:rPr>
        <w:t>satélite), geográfica (centro </w:t>
      </w:r>
      <w:r>
        <w:rPr>
          <w:i/>
          <w:w w:val="110"/>
        </w:rPr>
        <w:t>vs </w:t>
      </w:r>
      <w:r>
        <w:rPr>
          <w:w w:val="110"/>
        </w:rPr>
        <w:t>periferia) y económica (desarrollo </w:t>
      </w:r>
      <w:r>
        <w:rPr>
          <w:i/>
          <w:w w:val="110"/>
        </w:rPr>
        <w:t>vs </w:t>
      </w:r>
      <w:r>
        <w:rPr>
          <w:w w:val="110"/>
        </w:rPr>
        <w:t>subdesarrollo). Por último,  las teorías destacaron las implicaciones internacionales de desarrollo desigual e</w:t>
      </w:r>
      <w:r>
        <w:rPr>
          <w:spacing w:val="17"/>
          <w:w w:val="110"/>
        </w:rPr>
        <w:t> </w:t>
      </w:r>
      <w:r>
        <w:rPr>
          <w:w w:val="110"/>
        </w:rPr>
        <w:t>inequitativo.</w:t>
      </w:r>
    </w:p>
    <w:p>
      <w:pPr>
        <w:pStyle w:val="BodyText"/>
        <w:spacing w:line="252" w:lineRule="auto"/>
        <w:ind w:left="100" w:right="327" w:firstLine="396"/>
        <w:jc w:val="both"/>
      </w:pPr>
      <w:r>
        <w:rPr>
          <w:w w:val="110"/>
        </w:rPr>
        <w:t>El uso acrítico y generalizado del término </w:t>
      </w:r>
      <w:r>
        <w:rPr>
          <w:i/>
          <w:w w:val="110"/>
        </w:rPr>
        <w:t>globalización </w:t>
      </w:r>
      <w:r>
        <w:rPr>
          <w:w w:val="110"/>
        </w:rPr>
        <w:t>ha con- centrado la atención en el impacto negativo del desarrollo capitalista  y el imperialismo. En un sentido general, la globalización se utiliza a menudo como un concepto ideológico con fines políticos, lo que ha implicado la evolución de un orden mundial armonioso e integrado para mitigar las tensiones y luchas que históricamente han afectado  la economía política internacional. a pesar de que  la  globalización rara vez fue conceptualizada en los debates teóricos históricos, ésta también podría ser vista como una reminiscencia del pensamiento de autores como Karl </w:t>
      </w:r>
      <w:r>
        <w:rPr>
          <w:spacing w:val="-3"/>
          <w:w w:val="110"/>
        </w:rPr>
        <w:t>Kautsky, </w:t>
      </w:r>
      <w:r>
        <w:rPr>
          <w:w w:val="110"/>
        </w:rPr>
        <w:t>que argumentaron que el capitalismo </w:t>
      </w:r>
      <w:r>
        <w:rPr>
          <w:spacing w:val="-4"/>
          <w:w w:val="110"/>
        </w:rPr>
        <w:t>ter- </w:t>
      </w:r>
      <w:r>
        <w:rPr>
          <w:w w:val="110"/>
        </w:rPr>
        <w:t>minaría por trascender los problemas forjados hace mucho tiempo por las naciones imperialistas y evolucionaría hacia una alianza pací- fica del capital financiero internacional; o bien, como esbozó Joseph schumpeter al enunciar que el imperialismo desaparecería eventual- </w:t>
      </w:r>
      <w:r>
        <w:rPr>
          <w:w w:val="109"/>
        </w:rPr>
        <w:t>mente</w:t>
      </w:r>
      <w:r>
        <w:rPr/>
        <w:t> </w:t>
      </w:r>
      <w:r>
        <w:rPr>
          <w:spacing w:val="-6"/>
        </w:rPr>
        <w:t> </w:t>
      </w:r>
      <w:r>
        <w:rPr>
          <w:w w:val="108"/>
        </w:rPr>
        <w:t>en</w:t>
      </w:r>
      <w:r>
        <w:rPr/>
        <w:t> </w:t>
      </w:r>
      <w:r>
        <w:rPr>
          <w:spacing w:val="-6"/>
        </w:rPr>
        <w:t> </w:t>
      </w:r>
      <w:r>
        <w:rPr>
          <w:w w:val="112"/>
        </w:rPr>
        <w:t>una</w:t>
      </w:r>
      <w:r>
        <w:rPr/>
        <w:t> </w:t>
      </w:r>
      <w:r>
        <w:rPr>
          <w:spacing w:val="-6"/>
        </w:rPr>
        <w:t> </w:t>
      </w:r>
      <w:r>
        <w:rPr>
          <w:w w:val="107"/>
        </w:rPr>
        <w:t>era</w:t>
      </w:r>
      <w:r>
        <w:rPr/>
        <w:t> </w:t>
      </w:r>
      <w:r>
        <w:rPr>
          <w:spacing w:val="-6"/>
        </w:rPr>
        <w:t> </w:t>
      </w:r>
      <w:r>
        <w:rPr>
          <w:w w:val="111"/>
        </w:rPr>
        <w:t>racional</w:t>
      </w:r>
      <w:r>
        <w:rPr/>
        <w:t> </w:t>
      </w:r>
      <w:r>
        <w:rPr>
          <w:spacing w:val="-6"/>
        </w:rPr>
        <w:t> </w:t>
      </w:r>
      <w:r>
        <w:rPr>
          <w:w w:val="105"/>
        </w:rPr>
        <w:t>y</w:t>
      </w:r>
      <w:r>
        <w:rPr/>
        <w:t> </w:t>
      </w:r>
      <w:r>
        <w:rPr>
          <w:spacing w:val="-6"/>
        </w:rPr>
        <w:t> </w:t>
      </w:r>
      <w:r>
        <w:rPr>
          <w:w w:val="107"/>
        </w:rPr>
        <w:t>progresiva</w:t>
      </w:r>
      <w:r>
        <w:rPr/>
        <w:t> </w:t>
      </w:r>
      <w:r>
        <w:rPr>
          <w:spacing w:val="-6"/>
        </w:rPr>
        <w:t> </w:t>
      </w:r>
      <w:r>
        <w:rPr>
          <w:w w:val="107"/>
        </w:rPr>
        <w:t>del</w:t>
      </w:r>
      <w:r>
        <w:rPr/>
        <w:t> </w:t>
      </w:r>
      <w:r>
        <w:rPr>
          <w:spacing w:val="-6"/>
        </w:rPr>
        <w:t> </w:t>
      </w:r>
      <w:r>
        <w:rPr>
          <w:w w:val="112"/>
        </w:rPr>
        <w:t>capitalismo.</w:t>
      </w:r>
      <w:r>
        <w:rPr/>
        <w:t> </w:t>
      </w:r>
      <w:r>
        <w:rPr>
          <w:spacing w:val="-6"/>
        </w:rPr>
        <w:t> </w:t>
      </w:r>
      <w:r>
        <w:rPr>
          <w:w w:val="243"/>
        </w:rPr>
        <w:t>l</w:t>
      </w:r>
      <w:r>
        <w:rPr>
          <w:w w:val="112"/>
        </w:rPr>
        <w:t>a</w:t>
      </w:r>
      <w:r>
        <w:rPr/>
        <w:t> </w:t>
      </w:r>
      <w:r>
        <w:rPr>
          <w:spacing w:val="-6"/>
        </w:rPr>
        <w:t> </w:t>
      </w:r>
      <w:r>
        <w:rPr>
          <w:w w:val="111"/>
        </w:rPr>
        <w:t>globali</w:t>
      </w:r>
      <w:r>
        <w:rPr>
          <w:w w:val="102"/>
        </w:rPr>
        <w:t>- </w:t>
      </w:r>
      <w:r>
        <w:rPr>
          <w:w w:val="110"/>
        </w:rPr>
        <w:t>zación podría emanar de la literatura difusionista que se centró en    un orden mundial de naciones interdependientes, lo que implica la expansión del capitalismo y la tecnología hacia el </w:t>
      </w:r>
      <w:r>
        <w:rPr>
          <w:spacing w:val="-3"/>
          <w:w w:val="110"/>
        </w:rPr>
        <w:t>exterior, </w:t>
      </w:r>
      <w:r>
        <w:rPr>
          <w:w w:val="110"/>
        </w:rPr>
        <w:t>desde el centro capitalista desarrollado, a fin de elevar y permitir que las re- </w:t>
      </w:r>
      <w:r>
        <w:rPr>
          <w:w w:val="109"/>
        </w:rPr>
        <w:t>giones</w:t>
      </w:r>
      <w:r>
        <w:rPr>
          <w:spacing w:val="5"/>
        </w:rPr>
        <w:t> </w:t>
      </w:r>
      <w:r>
        <w:rPr>
          <w:w w:val="109"/>
        </w:rPr>
        <w:t>menos</w:t>
      </w:r>
      <w:r>
        <w:rPr>
          <w:spacing w:val="5"/>
        </w:rPr>
        <w:t> </w:t>
      </w:r>
      <w:r>
        <w:rPr>
          <w:w w:val="108"/>
        </w:rPr>
        <w:t>desarrolladas</w:t>
      </w:r>
      <w:r>
        <w:rPr>
          <w:spacing w:val="5"/>
        </w:rPr>
        <w:t> </w:t>
      </w:r>
      <w:r>
        <w:rPr>
          <w:w w:val="111"/>
        </w:rPr>
        <w:t>alcancen</w:t>
      </w:r>
      <w:r>
        <w:rPr>
          <w:spacing w:val="5"/>
        </w:rPr>
        <w:t> </w:t>
      </w:r>
      <w:r>
        <w:rPr>
          <w:w w:val="107"/>
        </w:rPr>
        <w:t>el</w:t>
      </w:r>
      <w:r>
        <w:rPr>
          <w:spacing w:val="5"/>
        </w:rPr>
        <w:t> </w:t>
      </w:r>
      <w:r>
        <w:rPr>
          <w:w w:val="112"/>
        </w:rPr>
        <w:t>mismo</w:t>
      </w:r>
      <w:r>
        <w:rPr>
          <w:spacing w:val="5"/>
        </w:rPr>
        <w:t> </w:t>
      </w:r>
      <w:r>
        <w:rPr>
          <w:w w:val="110"/>
        </w:rPr>
        <w:t>nivel.</w:t>
      </w:r>
      <w:r>
        <w:rPr>
          <w:spacing w:val="5"/>
        </w:rPr>
        <w:t> </w:t>
      </w:r>
      <w:r>
        <w:rPr>
          <w:w w:val="243"/>
        </w:rPr>
        <w:t>l</w:t>
      </w:r>
      <w:r>
        <w:rPr>
          <w:w w:val="112"/>
        </w:rPr>
        <w:t>a</w:t>
      </w:r>
      <w:r>
        <w:rPr>
          <w:spacing w:val="5"/>
        </w:rPr>
        <w:t> </w:t>
      </w:r>
      <w:r>
        <w:rPr>
          <w:w w:val="112"/>
        </w:rPr>
        <w:t>globalización </w:t>
      </w:r>
      <w:r>
        <w:rPr>
          <w:w w:val="110"/>
        </w:rPr>
        <w:t>también implica que acumulación de capital, comercio e inversión ya no se limitan al Estado-nación, en cambio, sugiere que los flujos de capital han creado un nuevo orden mundial con sus propias institu- ciones y redes de relaciones de</w:t>
      </w:r>
      <w:r>
        <w:rPr>
          <w:spacing w:val="12"/>
          <w:w w:val="110"/>
        </w:rPr>
        <w:t> </w:t>
      </w:r>
      <w:r>
        <w:rPr>
          <w:spacing w:val="-4"/>
          <w:w w:val="110"/>
        </w:rPr>
        <w:t>poder.</w:t>
      </w:r>
    </w:p>
    <w:p>
      <w:pPr>
        <w:pStyle w:val="BodyText"/>
        <w:spacing w:line="252" w:lineRule="auto"/>
        <w:ind w:left="100" w:right="328" w:firstLine="396"/>
        <w:jc w:val="both"/>
      </w:pPr>
      <w:r>
        <w:rPr>
          <w:w w:val="110"/>
        </w:rPr>
        <w:t>Hasta aquí he presentado mi argumento en contra del concepto de la globalización en la etapa actual del capitalismo, pues las tenden- cias actuales forman parte de una continuación del pasado. aunque podemos hablar de capitalismo global, sugiero el rescate del imperia- lismo</w:t>
      </w:r>
      <w:r>
        <w:rPr>
          <w:spacing w:val="-9"/>
          <w:w w:val="110"/>
        </w:rPr>
        <w:t> </w:t>
      </w:r>
      <w:r>
        <w:rPr>
          <w:w w:val="110"/>
        </w:rPr>
        <w:t>y</w:t>
      </w:r>
      <w:r>
        <w:rPr>
          <w:spacing w:val="-9"/>
          <w:w w:val="110"/>
        </w:rPr>
        <w:t> </w:t>
      </w:r>
      <w:r>
        <w:rPr>
          <w:w w:val="110"/>
        </w:rPr>
        <w:t>sus</w:t>
      </w:r>
      <w:r>
        <w:rPr>
          <w:spacing w:val="-9"/>
          <w:w w:val="110"/>
        </w:rPr>
        <w:t> </w:t>
      </w:r>
      <w:r>
        <w:rPr>
          <w:w w:val="110"/>
        </w:rPr>
        <w:t>explicaciones</w:t>
      </w:r>
      <w:r>
        <w:rPr>
          <w:spacing w:val="-9"/>
          <w:w w:val="110"/>
        </w:rPr>
        <w:t> </w:t>
      </w:r>
      <w:r>
        <w:rPr>
          <w:w w:val="110"/>
        </w:rPr>
        <w:t>teórico-históricas</w:t>
      </w:r>
      <w:r>
        <w:rPr>
          <w:spacing w:val="-9"/>
          <w:w w:val="110"/>
        </w:rPr>
        <w:t> </w:t>
      </w:r>
      <w:r>
        <w:rPr>
          <w:w w:val="110"/>
        </w:rPr>
        <w:t>a</w:t>
      </w:r>
      <w:r>
        <w:rPr>
          <w:spacing w:val="-9"/>
          <w:w w:val="110"/>
        </w:rPr>
        <w:t> </w:t>
      </w:r>
      <w:r>
        <w:rPr>
          <w:w w:val="110"/>
        </w:rPr>
        <w:t>fin</w:t>
      </w:r>
      <w:r>
        <w:rPr>
          <w:spacing w:val="-9"/>
          <w:w w:val="110"/>
        </w:rPr>
        <w:t> </w:t>
      </w:r>
      <w:r>
        <w:rPr>
          <w:w w:val="110"/>
        </w:rPr>
        <w:t>de</w:t>
      </w:r>
      <w:r>
        <w:rPr>
          <w:spacing w:val="-9"/>
          <w:w w:val="110"/>
        </w:rPr>
        <w:t> </w:t>
      </w:r>
      <w:r>
        <w:rPr>
          <w:w w:val="110"/>
        </w:rPr>
        <w:t>analizar</w:t>
      </w:r>
      <w:r>
        <w:rPr>
          <w:spacing w:val="-9"/>
          <w:w w:val="110"/>
        </w:rPr>
        <w:t> </w:t>
      </w:r>
      <w:r>
        <w:rPr>
          <w:w w:val="110"/>
        </w:rPr>
        <w:t>y</w:t>
      </w:r>
      <w:r>
        <w:rPr>
          <w:spacing w:val="-9"/>
          <w:w w:val="110"/>
        </w:rPr>
        <w:t> </w:t>
      </w:r>
      <w:r>
        <w:rPr>
          <w:w w:val="110"/>
        </w:rPr>
        <w:t>entender el mundo de </w:t>
      </w:r>
      <w:r>
        <w:rPr>
          <w:spacing w:val="-6"/>
          <w:w w:val="110"/>
        </w:rPr>
        <w:t>hoy. </w:t>
      </w:r>
      <w:r>
        <w:rPr>
          <w:w w:val="110"/>
        </w:rPr>
        <w:t>algunos podrían argumentar que la globalización implica una nueva era de armonía y paz en el mundo actual, repre- </w:t>
      </w:r>
      <w:r>
        <w:rPr>
          <w:w w:val="108"/>
        </w:rPr>
        <w:t>sentado</w:t>
      </w:r>
      <w:r>
        <w:rPr>
          <w:spacing w:val="18"/>
        </w:rPr>
        <w:t> </w:t>
      </w:r>
      <w:r>
        <w:rPr>
          <w:w w:val="108"/>
        </w:rPr>
        <w:t>en</w:t>
      </w:r>
      <w:r>
        <w:rPr>
          <w:spacing w:val="18"/>
        </w:rPr>
        <w:t> </w:t>
      </w:r>
      <w:r>
        <w:rPr>
          <w:w w:val="139"/>
        </w:rPr>
        <w:t>a</w:t>
      </w:r>
      <w:r>
        <w:rPr>
          <w:w w:val="111"/>
        </w:rPr>
        <w:t>mérica</w:t>
      </w:r>
      <w:r>
        <w:rPr>
          <w:spacing w:val="18"/>
        </w:rPr>
        <w:t> </w:t>
      </w:r>
      <w:r>
        <w:rPr>
          <w:w w:val="243"/>
        </w:rPr>
        <w:t>l</w:t>
      </w:r>
      <w:r>
        <w:rPr>
          <w:w w:val="111"/>
        </w:rPr>
        <w:t>atina</w:t>
      </w:r>
      <w:r>
        <w:rPr>
          <w:spacing w:val="18"/>
        </w:rPr>
        <w:t> </w:t>
      </w:r>
      <w:r>
        <w:rPr>
          <w:w w:val="105"/>
        </w:rPr>
        <w:t>y</w:t>
      </w:r>
      <w:r>
        <w:rPr>
          <w:spacing w:val="18"/>
        </w:rPr>
        <w:t> </w:t>
      </w:r>
      <w:r>
        <w:rPr>
          <w:w w:val="107"/>
        </w:rPr>
        <w:t>el</w:t>
      </w:r>
      <w:r>
        <w:rPr>
          <w:spacing w:val="18"/>
        </w:rPr>
        <w:t> </w:t>
      </w:r>
      <w:r>
        <w:rPr>
          <w:w w:val="112"/>
        </w:rPr>
        <w:t>Caribe</w:t>
      </w:r>
      <w:r>
        <w:rPr>
          <w:spacing w:val="18"/>
        </w:rPr>
        <w:t> </w:t>
      </w:r>
      <w:r>
        <w:rPr>
          <w:w w:val="108"/>
        </w:rPr>
        <w:t>por</w:t>
      </w:r>
      <w:r>
        <w:rPr>
          <w:spacing w:val="18"/>
        </w:rPr>
        <w:t> </w:t>
      </w:r>
      <w:r>
        <w:rPr>
          <w:w w:val="109"/>
        </w:rPr>
        <w:t>grupos</w:t>
      </w:r>
      <w:r>
        <w:rPr>
          <w:spacing w:val="18"/>
        </w:rPr>
        <w:t> </w:t>
      </w:r>
      <w:r>
        <w:rPr>
          <w:w w:val="109"/>
        </w:rPr>
        <w:t>revolucionarios</w:t>
      </w:r>
      <w:r>
        <w:rPr>
          <w:spacing w:val="18"/>
        </w:rPr>
        <w:t> </w:t>
      </w:r>
      <w:r>
        <w:rPr>
          <w:w w:val="107"/>
        </w:rPr>
        <w:t>de </w:t>
      </w:r>
      <w:r>
        <w:rPr>
          <w:w w:val="110"/>
        </w:rPr>
        <w:t>izquierda, especialmente en américa Central, que han negociado pac- tos políticos a fin de participar en la política electoral; sin embargo,   la violencia persiste y la actividad revolucionaria es evidente en otros lugares </w:t>
      </w:r>
      <w:r>
        <w:rPr>
          <w:spacing w:val="-11"/>
          <w:w w:val="110"/>
        </w:rPr>
        <w:t>y, </w:t>
      </w:r>
      <w:r>
        <w:rPr>
          <w:w w:val="110"/>
        </w:rPr>
        <w:t>actualmente, hay espacio para nuevas ideas de modo que las tensiones y luchas por el cambio continuarán en el  </w:t>
      </w:r>
      <w:r>
        <w:rPr>
          <w:spacing w:val="3"/>
          <w:w w:val="110"/>
        </w:rPr>
        <w:t> </w:t>
      </w:r>
      <w:r>
        <w:rPr>
          <w:w w:val="110"/>
        </w:rPr>
        <w:t>futuro.</w:t>
      </w:r>
    </w:p>
    <w:p>
      <w:pPr>
        <w:spacing w:after="0" w:line="252" w:lineRule="auto"/>
        <w:jc w:val="both"/>
        <w:sectPr>
          <w:pgSz w:w="8790" w:h="12760"/>
          <w:pgMar w:header="695" w:footer="723" w:top="880" w:bottom="920" w:left="920" w:right="1200"/>
        </w:sectPr>
      </w:pPr>
    </w:p>
    <w:p>
      <w:pPr>
        <w:pStyle w:val="BodyText"/>
        <w:spacing w:before="4"/>
        <w:rPr>
          <w:sz w:val="28"/>
        </w:rPr>
      </w:pPr>
    </w:p>
    <w:p>
      <w:pPr>
        <w:spacing w:before="68"/>
        <w:ind w:left="331" w:right="0" w:firstLine="0"/>
        <w:jc w:val="both"/>
        <w:rPr>
          <w:rFonts w:ascii="Times New Roman"/>
          <w:b/>
          <w:sz w:val="20"/>
        </w:rPr>
      </w:pPr>
      <w:r>
        <w:rPr>
          <w:rFonts w:ascii="Times New Roman"/>
          <w:b/>
          <w:w w:val="135"/>
          <w:sz w:val="20"/>
        </w:rPr>
        <w:t>teMas iMPortantes</w:t>
      </w:r>
    </w:p>
    <w:p>
      <w:pPr>
        <w:pStyle w:val="BodyText"/>
        <w:spacing w:line="252" w:lineRule="auto" w:before="10"/>
        <w:ind w:left="330" w:right="117"/>
        <w:jc w:val="both"/>
      </w:pPr>
      <w:r>
        <w:rPr>
          <w:w w:val="110"/>
        </w:rPr>
        <w:t>Entre las cuestiones y preguntas que quedan pendientes se encuentra el impacto del capital sobre las clases y fuerzas institucionales debido a la reorganización del capital, tanto dentro de las naciones como en todo el sistema capitalista internacional. al examinar la cuestión de clase, tenemos que mirar a las nuevas clases medias en el sector</w:t>
      </w:r>
      <w:r>
        <w:rPr>
          <w:spacing w:val="-29"/>
          <w:w w:val="110"/>
        </w:rPr>
        <w:t> </w:t>
      </w:r>
      <w:r>
        <w:rPr>
          <w:w w:val="110"/>
        </w:rPr>
        <w:t>públi- co o estatal y su rol tanto en el ámbito nacional como internacional.  En vista de la inclinación de muchos observadores, entre ellos algunos de izquierda, para subestimar el papel del movimiento obrero urbano, también será necesario reevaluar el tradicional conflicto entre traba- jo y capital, las estrategias en que el trabajo a veces se alinea con el capital o con el Estado a fin de obtener beneficios a corto plazo </w:t>
      </w:r>
      <w:r>
        <w:rPr>
          <w:spacing w:val="-11"/>
          <w:w w:val="110"/>
        </w:rPr>
        <w:t>y, </w:t>
      </w:r>
      <w:r>
        <w:rPr>
          <w:w w:val="110"/>
        </w:rPr>
        <w:t>finalmente, entender cómo estas estrategias se relacionan con el mo- vimiento obrero en todo el mundo y el capital internacional. </w:t>
      </w:r>
      <w:r>
        <w:rPr>
          <w:spacing w:val="-3"/>
          <w:w w:val="110"/>
        </w:rPr>
        <w:t>también </w:t>
      </w:r>
      <w:r>
        <w:rPr>
          <w:w w:val="110"/>
        </w:rPr>
        <w:t>somos conscientes de la organización constante del trabajo en las zo- </w:t>
      </w:r>
      <w:r>
        <w:rPr>
          <w:w w:val="110"/>
        </w:rPr>
        <w:t>nas</w:t>
      </w:r>
      <w:r>
        <w:rPr>
          <w:spacing w:val="2"/>
        </w:rPr>
        <w:t> </w:t>
      </w:r>
      <w:r>
        <w:rPr>
          <w:w w:val="110"/>
        </w:rPr>
        <w:t>rurales.</w:t>
      </w:r>
      <w:r>
        <w:rPr>
          <w:spacing w:val="2"/>
        </w:rPr>
        <w:t> </w:t>
      </w:r>
      <w:r>
        <w:rPr>
          <w:w w:val="243"/>
        </w:rPr>
        <w:t>l</w:t>
      </w:r>
      <w:r>
        <w:rPr>
          <w:w w:val="112"/>
        </w:rPr>
        <w:t>a</w:t>
      </w:r>
      <w:r>
        <w:rPr>
          <w:spacing w:val="2"/>
        </w:rPr>
        <w:t> </w:t>
      </w:r>
      <w:r>
        <w:rPr>
          <w:w w:val="109"/>
        </w:rPr>
        <w:t>ruptura</w:t>
      </w:r>
      <w:r>
        <w:rPr>
          <w:spacing w:val="2"/>
        </w:rPr>
        <w:t> </w:t>
      </w:r>
      <w:r>
        <w:rPr>
          <w:w w:val="110"/>
        </w:rPr>
        <w:t>o</w:t>
      </w:r>
      <w:r>
        <w:rPr>
          <w:spacing w:val="2"/>
        </w:rPr>
        <w:t> </w:t>
      </w:r>
      <w:r>
        <w:rPr>
          <w:w w:val="111"/>
        </w:rPr>
        <w:t>la</w:t>
      </w:r>
      <w:r>
        <w:rPr>
          <w:spacing w:val="2"/>
        </w:rPr>
        <w:t> </w:t>
      </w:r>
      <w:r>
        <w:rPr>
          <w:w w:val="112"/>
        </w:rPr>
        <w:t>unión</w:t>
      </w:r>
      <w:r>
        <w:rPr>
          <w:spacing w:val="2"/>
        </w:rPr>
        <w:t> </w:t>
      </w:r>
      <w:r>
        <w:rPr>
          <w:w w:val="107"/>
        </w:rPr>
        <w:t>de</w:t>
      </w:r>
      <w:r>
        <w:rPr>
          <w:spacing w:val="2"/>
        </w:rPr>
        <w:t> </w:t>
      </w:r>
      <w:r>
        <w:rPr>
          <w:w w:val="108"/>
        </w:rPr>
        <w:t>los</w:t>
      </w:r>
      <w:r>
        <w:rPr>
          <w:spacing w:val="2"/>
        </w:rPr>
        <w:t> </w:t>
      </w:r>
      <w:r>
        <w:rPr>
          <w:w w:val="110"/>
        </w:rPr>
        <w:t>movimientos</w:t>
      </w:r>
      <w:r>
        <w:rPr>
          <w:spacing w:val="2"/>
        </w:rPr>
        <w:t> </w:t>
      </w:r>
      <w:r>
        <w:rPr>
          <w:w w:val="107"/>
        </w:rPr>
        <w:t>obreros</w:t>
      </w:r>
      <w:r>
        <w:rPr>
          <w:spacing w:val="2"/>
        </w:rPr>
        <w:t> </w:t>
      </w:r>
      <w:r>
        <w:rPr>
          <w:w w:val="110"/>
        </w:rPr>
        <w:t>podrían </w:t>
      </w:r>
      <w:r>
        <w:rPr>
          <w:w w:val="110"/>
        </w:rPr>
        <w:t>evaluarse junto con las implicaciones de los conflictos intra-clase en  el marco de las luchas entre clases capitalistas nacionales e interna- cionales. a la luz de la necesidad de desarrollar fuerzas capitalistas    de producción en los países menos desarrollados y en vías hacia el socialismo, o bien, estrategias que eviten el uso de medios revolucio- narios o violentos para lograr la transición, sería útil examinar cómo las fuerzas progresistas podrían penetrar el aparato estatal y</w:t>
      </w:r>
      <w:r>
        <w:rPr>
          <w:spacing w:val="-9"/>
          <w:w w:val="110"/>
        </w:rPr>
        <w:t> </w:t>
      </w:r>
      <w:r>
        <w:rPr>
          <w:w w:val="110"/>
        </w:rPr>
        <w:t>producir cambios dentro y fuera del </w:t>
      </w:r>
      <w:r>
        <w:rPr>
          <w:spacing w:val="14"/>
          <w:w w:val="110"/>
        </w:rPr>
        <w:t> </w:t>
      </w:r>
      <w:r>
        <w:rPr>
          <w:w w:val="110"/>
        </w:rPr>
        <w:t>Estado.</w:t>
      </w:r>
    </w:p>
    <w:p>
      <w:pPr>
        <w:pStyle w:val="BodyText"/>
        <w:spacing w:line="252" w:lineRule="auto"/>
        <w:ind w:left="330" w:right="117" w:firstLine="396"/>
        <w:jc w:val="both"/>
      </w:pPr>
      <w:r>
        <w:rPr>
          <w:spacing w:val="-3"/>
          <w:w w:val="110"/>
        </w:rPr>
        <w:t>teniendo  </w:t>
      </w:r>
      <w:r>
        <w:rPr>
          <w:w w:val="110"/>
        </w:rPr>
        <w:t>en cuenta los éxitos y fracasos de los diversos inten-   tos de aplicar una u otra teoría marxista a la situación contemporá- nea, el discurso intelectual ha buscado una “nueva” democracia y un </w:t>
      </w:r>
      <w:r>
        <w:rPr>
          <w:w w:val="110"/>
        </w:rPr>
        <w:t>“nuevo”</w:t>
      </w:r>
      <w:r>
        <w:rPr>
          <w:spacing w:val="13"/>
        </w:rPr>
        <w:t> </w:t>
      </w:r>
      <w:r>
        <w:rPr>
          <w:w w:val="112"/>
        </w:rPr>
        <w:t>socialismo.</w:t>
      </w:r>
      <w:r>
        <w:rPr>
          <w:spacing w:val="13"/>
        </w:rPr>
        <w:t> </w:t>
      </w:r>
      <w:r>
        <w:rPr>
          <w:w w:val="243"/>
        </w:rPr>
        <w:t>l</w:t>
      </w:r>
      <w:r>
        <w:rPr>
          <w:w w:val="112"/>
        </w:rPr>
        <w:t>a</w:t>
      </w:r>
      <w:r>
        <w:rPr>
          <w:spacing w:val="13"/>
        </w:rPr>
        <w:t> </w:t>
      </w:r>
      <w:r>
        <w:rPr>
          <w:w w:val="110"/>
        </w:rPr>
        <w:t>problemática</w:t>
      </w:r>
      <w:r>
        <w:rPr>
          <w:spacing w:val="13"/>
        </w:rPr>
        <w:t> </w:t>
      </w:r>
      <w:r>
        <w:rPr>
          <w:w w:val="107"/>
        </w:rPr>
        <w:t>de</w:t>
      </w:r>
      <w:r>
        <w:rPr>
          <w:spacing w:val="13"/>
        </w:rPr>
        <w:t> </w:t>
      </w:r>
      <w:r>
        <w:rPr>
          <w:w w:val="108"/>
        </w:rPr>
        <w:t>los</w:t>
      </w:r>
      <w:r>
        <w:rPr>
          <w:spacing w:val="13"/>
        </w:rPr>
        <w:t> </w:t>
      </w:r>
      <w:r>
        <w:rPr>
          <w:w w:val="109"/>
        </w:rPr>
        <w:t>intelectuales</w:t>
      </w:r>
      <w:r>
        <w:rPr>
          <w:spacing w:val="13"/>
        </w:rPr>
        <w:t> </w:t>
      </w:r>
      <w:r>
        <w:rPr>
          <w:w w:val="107"/>
        </w:rPr>
        <w:t>de</w:t>
      </w:r>
      <w:r>
        <w:rPr>
          <w:spacing w:val="13"/>
        </w:rPr>
        <w:t> </w:t>
      </w:r>
      <w:r>
        <w:rPr>
          <w:w w:val="110"/>
        </w:rPr>
        <w:t>izquierda </w:t>
      </w:r>
      <w:r>
        <w:rPr>
          <w:w w:val="110"/>
        </w:rPr>
        <w:t>es, en primer </w:t>
      </w:r>
      <w:r>
        <w:rPr>
          <w:spacing w:val="-4"/>
          <w:w w:val="110"/>
        </w:rPr>
        <w:t>lugar,  </w:t>
      </w:r>
      <w:r>
        <w:rPr>
          <w:w w:val="110"/>
        </w:rPr>
        <w:t>encontrar una forma para lograr una transición     a una sociedad mejor a través de la democracia y el socialismo. En    los primeros ensayos democráticos fuera de la dictadura, la retórica política podría haber sugerido una ilusión de una posibilidad socia- lista, sin embargo, en la realidad una transición socialista no puede ocurrir debido a que no todos los medios de producción privados son socializados, y las clases populares no emergen al poder con o sin la vanguardia de un movimiento obrero o partido proletario; en el capi- talismo extremo, los intereses económicos de la burguesía son deci- sivos para detener la transición hacia el socialismo, mientras que los nuevos regímenes generalmente evolucionan a partir de las opciones políticas radicales a formas democráticas parlamentarias, sociales y representativas; los partidos políticos eclipsan a los movimientos so- ciales populares y revolucionarios. dado que los esfuerzos para poner en</w:t>
      </w:r>
      <w:r>
        <w:rPr>
          <w:spacing w:val="23"/>
          <w:w w:val="110"/>
        </w:rPr>
        <w:t> </w:t>
      </w:r>
      <w:r>
        <w:rPr>
          <w:w w:val="110"/>
        </w:rPr>
        <w:t>práctica</w:t>
      </w:r>
      <w:r>
        <w:rPr>
          <w:spacing w:val="23"/>
          <w:w w:val="110"/>
        </w:rPr>
        <w:t> </w:t>
      </w:r>
      <w:r>
        <w:rPr>
          <w:w w:val="110"/>
        </w:rPr>
        <w:t>la</w:t>
      </w:r>
      <w:r>
        <w:rPr>
          <w:spacing w:val="23"/>
          <w:w w:val="110"/>
        </w:rPr>
        <w:t> </w:t>
      </w:r>
      <w:r>
        <w:rPr>
          <w:w w:val="110"/>
        </w:rPr>
        <w:t>democracia</w:t>
      </w:r>
      <w:r>
        <w:rPr>
          <w:spacing w:val="23"/>
          <w:w w:val="110"/>
        </w:rPr>
        <w:t> </w:t>
      </w:r>
      <w:r>
        <w:rPr>
          <w:w w:val="110"/>
        </w:rPr>
        <w:t>participativa</w:t>
      </w:r>
      <w:r>
        <w:rPr>
          <w:spacing w:val="23"/>
          <w:w w:val="110"/>
        </w:rPr>
        <w:t> </w:t>
      </w:r>
      <w:r>
        <w:rPr>
          <w:w w:val="110"/>
        </w:rPr>
        <w:t>directa</w:t>
      </w:r>
      <w:r>
        <w:rPr>
          <w:spacing w:val="23"/>
          <w:w w:val="110"/>
        </w:rPr>
        <w:t> </w:t>
      </w:r>
      <w:r>
        <w:rPr>
          <w:w w:val="110"/>
        </w:rPr>
        <w:t>suelen</w:t>
      </w:r>
      <w:r>
        <w:rPr>
          <w:spacing w:val="23"/>
          <w:w w:val="110"/>
        </w:rPr>
        <w:t> </w:t>
      </w:r>
      <w:r>
        <w:rPr>
          <w:w w:val="110"/>
        </w:rPr>
        <w:t>ser</w:t>
      </w:r>
      <w:r>
        <w:rPr>
          <w:spacing w:val="23"/>
          <w:w w:val="110"/>
        </w:rPr>
        <w:t> </w:t>
      </w:r>
      <w:r>
        <w:rPr>
          <w:w w:val="110"/>
        </w:rPr>
        <w:t>socavados</w:t>
      </w:r>
    </w:p>
    <w:p>
      <w:pPr>
        <w:spacing w:after="0" w:line="252" w:lineRule="auto"/>
        <w:jc w:val="both"/>
        <w:sectPr>
          <w:footerReference w:type="default" r:id="rId54"/>
          <w:footerReference w:type="even" r:id="rId55"/>
          <w:pgSz w:w="8790" w:h="12760"/>
          <w:pgMar w:footer="725" w:header="695" w:top="880" w:bottom="920" w:left="1200" w:right="900"/>
        </w:sectPr>
      </w:pPr>
    </w:p>
    <w:p>
      <w:pPr>
        <w:pStyle w:val="BodyText"/>
        <w:spacing w:before="9"/>
        <w:rPr>
          <w:sz w:val="28"/>
        </w:rPr>
      </w:pPr>
    </w:p>
    <w:p>
      <w:pPr>
        <w:pStyle w:val="BodyText"/>
        <w:spacing w:line="252" w:lineRule="auto" w:before="73"/>
        <w:ind w:left="100" w:right="114"/>
      </w:pPr>
      <w:r>
        <w:rPr>
          <w:w w:val="110"/>
        </w:rPr>
        <w:t>por las formas representativas formales, también necesitamos encon- trar soluciones en medio de crisis económicas y  políticas.</w:t>
      </w:r>
    </w:p>
    <w:p>
      <w:pPr>
        <w:pStyle w:val="BodyText"/>
        <w:spacing w:line="252" w:lineRule="auto"/>
        <w:ind w:left="100" w:right="327" w:firstLine="396"/>
        <w:jc w:val="both"/>
      </w:pPr>
      <w:r>
        <w:rPr>
          <w:w w:val="110"/>
        </w:rPr>
        <w:t>asimismo, debemos preguntarnos qué tipo de democracia y socialismo son posibles si las principales fuerzas políticas son más afectas a los procesos parlamentarios y el dominio de los partidos políticos. además, si el pluralismo tiene como premisa la elección in- dividual, la negociación y el compromiso, aminoran las perspectivas de alianzas y coaliciones de movimientos populares fuera del sistema de partidos políticos; en este contexto, ¿cuáles son las perspectivas de resistencia a la desclasificación total del proyecto socialista? </w:t>
      </w:r>
      <w:r>
        <w:rPr>
          <w:spacing w:val="-3"/>
          <w:w w:val="110"/>
        </w:rPr>
        <w:t>tenemos </w:t>
      </w:r>
      <w:r>
        <w:rPr>
          <w:w w:val="110"/>
        </w:rPr>
        <w:t>que tenerlo en cuenta para la comunicación global y la transferencia de información a través de internet y la web, su uso potencial y el im- pacto en la movilización de las fuerzas de izquierda en todo el mundo. </w:t>
      </w:r>
      <w:r>
        <w:rPr>
          <w:spacing w:val="-3"/>
          <w:w w:val="110"/>
        </w:rPr>
        <w:t>también </w:t>
      </w:r>
      <w:r>
        <w:rPr>
          <w:w w:val="110"/>
        </w:rPr>
        <w:t>está la cuestión de la estrategia revolucionaria para transitar hacia una democracia o bien hacia el socialismo; el rol de las clases y la lucha de clases en la búsqueda de una teoría de la transformación. se trata de una clase obrera como agente de cambio al margen de la revolución.</w:t>
      </w:r>
    </w:p>
    <w:p>
      <w:pPr>
        <w:pStyle w:val="BodyText"/>
        <w:spacing w:line="252" w:lineRule="auto"/>
        <w:ind w:left="100" w:right="328" w:firstLine="396"/>
        <w:jc w:val="both"/>
      </w:pPr>
      <w:r>
        <w:rPr>
          <w:w w:val="115"/>
        </w:rPr>
        <w:t>El camino hacia el socialismo será difícil si se toma un curso </w:t>
      </w:r>
      <w:r>
        <w:rPr>
          <w:w w:val="107"/>
        </w:rPr>
        <w:t>evolutivo</w:t>
      </w:r>
      <w:r>
        <w:rPr>
          <w:spacing w:val="17"/>
        </w:rPr>
        <w:t> </w:t>
      </w:r>
      <w:r>
        <w:rPr>
          <w:w w:val="110"/>
        </w:rPr>
        <w:t>o</w:t>
      </w:r>
      <w:r>
        <w:rPr>
          <w:spacing w:val="17"/>
        </w:rPr>
        <w:t> </w:t>
      </w:r>
      <w:r>
        <w:rPr>
          <w:w w:val="110"/>
        </w:rPr>
        <w:t>revolucionario.</w:t>
      </w:r>
      <w:r>
        <w:rPr>
          <w:spacing w:val="17"/>
        </w:rPr>
        <w:t> </w:t>
      </w:r>
      <w:r>
        <w:rPr>
          <w:w w:val="120"/>
        </w:rPr>
        <w:t>En</w:t>
      </w:r>
      <w:r>
        <w:rPr>
          <w:spacing w:val="17"/>
        </w:rPr>
        <w:t> </w:t>
      </w:r>
      <w:r>
        <w:rPr>
          <w:w w:val="139"/>
        </w:rPr>
        <w:t>a</w:t>
      </w:r>
      <w:r>
        <w:rPr>
          <w:w w:val="111"/>
        </w:rPr>
        <w:t>mérica</w:t>
      </w:r>
      <w:r>
        <w:rPr>
          <w:spacing w:val="17"/>
        </w:rPr>
        <w:t> </w:t>
      </w:r>
      <w:r>
        <w:rPr>
          <w:w w:val="243"/>
        </w:rPr>
        <w:t>l</w:t>
      </w:r>
      <w:r>
        <w:rPr>
          <w:w w:val="113"/>
        </w:rPr>
        <w:t>atina,</w:t>
      </w:r>
      <w:r>
        <w:rPr>
          <w:spacing w:val="17"/>
        </w:rPr>
        <w:t> </w:t>
      </w:r>
      <w:r>
        <w:rPr>
          <w:w w:val="107"/>
        </w:rPr>
        <w:t>el</w:t>
      </w:r>
      <w:r>
        <w:rPr>
          <w:spacing w:val="17"/>
        </w:rPr>
        <w:t> </w:t>
      </w:r>
      <w:r>
        <w:rPr>
          <w:w w:val="108"/>
        </w:rPr>
        <w:t>nivel</w:t>
      </w:r>
      <w:r>
        <w:rPr>
          <w:spacing w:val="17"/>
        </w:rPr>
        <w:t> </w:t>
      </w:r>
      <w:r>
        <w:rPr>
          <w:w w:val="107"/>
        </w:rPr>
        <w:t>de</w:t>
      </w:r>
      <w:r>
        <w:rPr>
          <w:spacing w:val="17"/>
        </w:rPr>
        <w:t> </w:t>
      </w:r>
      <w:r>
        <w:rPr>
          <w:w w:val="109"/>
        </w:rPr>
        <w:t>las</w:t>
      </w:r>
      <w:r>
        <w:rPr>
          <w:spacing w:val="17"/>
        </w:rPr>
        <w:t> </w:t>
      </w:r>
      <w:r>
        <w:rPr>
          <w:w w:val="109"/>
        </w:rPr>
        <w:t>fuerzas </w:t>
      </w:r>
      <w:r>
        <w:rPr>
          <w:w w:val="115"/>
        </w:rPr>
        <w:t>productivas</w:t>
      </w:r>
      <w:r>
        <w:rPr>
          <w:spacing w:val="-10"/>
          <w:w w:val="115"/>
        </w:rPr>
        <w:t> </w:t>
      </w:r>
      <w:r>
        <w:rPr>
          <w:w w:val="115"/>
        </w:rPr>
        <w:t>y</w:t>
      </w:r>
      <w:r>
        <w:rPr>
          <w:spacing w:val="-10"/>
          <w:w w:val="115"/>
        </w:rPr>
        <w:t> </w:t>
      </w:r>
      <w:r>
        <w:rPr>
          <w:w w:val="115"/>
        </w:rPr>
        <w:t>los</w:t>
      </w:r>
      <w:r>
        <w:rPr>
          <w:spacing w:val="-10"/>
          <w:w w:val="115"/>
        </w:rPr>
        <w:t> </w:t>
      </w:r>
      <w:r>
        <w:rPr>
          <w:w w:val="115"/>
        </w:rPr>
        <w:t>problemas</w:t>
      </w:r>
      <w:r>
        <w:rPr>
          <w:spacing w:val="-10"/>
          <w:w w:val="115"/>
        </w:rPr>
        <w:t> </w:t>
      </w:r>
      <w:r>
        <w:rPr>
          <w:w w:val="115"/>
        </w:rPr>
        <w:t>aparentemente</w:t>
      </w:r>
      <w:r>
        <w:rPr>
          <w:spacing w:val="-10"/>
          <w:w w:val="115"/>
        </w:rPr>
        <w:t> </w:t>
      </w:r>
      <w:r>
        <w:rPr>
          <w:w w:val="115"/>
        </w:rPr>
        <w:t>insuperables</w:t>
      </w:r>
      <w:r>
        <w:rPr>
          <w:spacing w:val="-10"/>
          <w:w w:val="115"/>
        </w:rPr>
        <w:t> </w:t>
      </w:r>
      <w:r>
        <w:rPr>
          <w:w w:val="115"/>
        </w:rPr>
        <w:t>de</w:t>
      </w:r>
      <w:r>
        <w:rPr>
          <w:spacing w:val="-10"/>
          <w:w w:val="115"/>
        </w:rPr>
        <w:t> </w:t>
      </w:r>
      <w:r>
        <w:rPr>
          <w:w w:val="115"/>
        </w:rPr>
        <w:t>la</w:t>
      </w:r>
      <w:r>
        <w:rPr>
          <w:spacing w:val="-10"/>
          <w:w w:val="115"/>
        </w:rPr>
        <w:t> </w:t>
      </w:r>
      <w:r>
        <w:rPr>
          <w:w w:val="115"/>
        </w:rPr>
        <w:t>deu- da externa e interna, la inflación, el desempleo, etc. parecen</w:t>
      </w:r>
      <w:r>
        <w:rPr>
          <w:spacing w:val="-22"/>
          <w:w w:val="115"/>
        </w:rPr>
        <w:t> </w:t>
      </w:r>
      <w:r>
        <w:rPr>
          <w:w w:val="115"/>
        </w:rPr>
        <w:t>sofocar </w:t>
      </w:r>
      <w:r>
        <w:rPr>
          <w:w w:val="107"/>
        </w:rPr>
        <w:t>el</w:t>
      </w:r>
      <w:r>
        <w:rPr/>
        <w:t> </w:t>
      </w:r>
      <w:r>
        <w:rPr>
          <w:spacing w:val="-8"/>
        </w:rPr>
        <w:t> </w:t>
      </w:r>
      <w:r>
        <w:rPr>
          <w:w w:val="107"/>
        </w:rPr>
        <w:t>progreso</w:t>
      </w:r>
      <w:r>
        <w:rPr/>
        <w:t> </w:t>
      </w:r>
      <w:r>
        <w:rPr>
          <w:spacing w:val="-8"/>
        </w:rPr>
        <w:t> </w:t>
      </w:r>
      <w:r>
        <w:rPr>
          <w:w w:val="113"/>
        </w:rPr>
        <w:t>hacia</w:t>
      </w:r>
      <w:r>
        <w:rPr/>
        <w:t> </w:t>
      </w:r>
      <w:r>
        <w:rPr>
          <w:spacing w:val="-8"/>
        </w:rPr>
        <w:t> </w:t>
      </w:r>
      <w:r>
        <w:rPr>
          <w:w w:val="107"/>
        </w:rPr>
        <w:t>el</w:t>
      </w:r>
      <w:r>
        <w:rPr/>
        <w:t> </w:t>
      </w:r>
      <w:r>
        <w:rPr>
          <w:spacing w:val="-8"/>
        </w:rPr>
        <w:t> </w:t>
      </w:r>
      <w:r>
        <w:rPr>
          <w:w w:val="111"/>
        </w:rPr>
        <w:t>socialismo</w:t>
      </w:r>
      <w:r>
        <w:rPr/>
        <w:t> </w:t>
      </w:r>
      <w:r>
        <w:rPr>
          <w:spacing w:val="-8"/>
        </w:rPr>
        <w:t> </w:t>
      </w:r>
      <w:r>
        <w:rPr>
          <w:w w:val="105"/>
        </w:rPr>
        <w:t>y</w:t>
      </w:r>
      <w:r>
        <w:rPr/>
        <w:t> </w:t>
      </w:r>
      <w:r>
        <w:rPr>
          <w:spacing w:val="-8"/>
        </w:rPr>
        <w:t> </w:t>
      </w:r>
      <w:r>
        <w:rPr>
          <w:w w:val="111"/>
        </w:rPr>
        <w:t>la</w:t>
      </w:r>
      <w:r>
        <w:rPr/>
        <w:t> </w:t>
      </w:r>
      <w:r>
        <w:rPr>
          <w:spacing w:val="-8"/>
        </w:rPr>
        <w:t> </w:t>
      </w:r>
      <w:r>
        <w:rPr>
          <w:w w:val="112"/>
        </w:rPr>
        <w:t>democracia.</w:t>
      </w:r>
      <w:r>
        <w:rPr/>
        <w:t> </w:t>
      </w:r>
      <w:r>
        <w:rPr>
          <w:spacing w:val="-8"/>
        </w:rPr>
        <w:t> </w:t>
      </w:r>
      <w:r>
        <w:rPr>
          <w:w w:val="243"/>
        </w:rPr>
        <w:t>l</w:t>
      </w:r>
      <w:r>
        <w:rPr>
          <w:w w:val="112"/>
        </w:rPr>
        <w:t>a</w:t>
      </w:r>
      <w:r>
        <w:rPr/>
        <w:t> </w:t>
      </w:r>
      <w:r>
        <w:rPr>
          <w:spacing w:val="-8"/>
        </w:rPr>
        <w:t> </w:t>
      </w:r>
      <w:r>
        <w:rPr>
          <w:w w:val="109"/>
        </w:rPr>
        <w:t>persistencia</w:t>
      </w:r>
      <w:r>
        <w:rPr/>
        <w:t> </w:t>
      </w:r>
      <w:r>
        <w:rPr>
          <w:spacing w:val="-8"/>
        </w:rPr>
        <w:t> </w:t>
      </w:r>
      <w:r>
        <w:rPr>
          <w:w w:val="107"/>
        </w:rPr>
        <w:t>del </w:t>
      </w:r>
      <w:r>
        <w:rPr>
          <w:w w:val="115"/>
        </w:rPr>
        <w:t>capitalismo y su impacto generalizado dificultan la evolución hacia el</w:t>
      </w:r>
      <w:r>
        <w:rPr>
          <w:spacing w:val="-16"/>
          <w:w w:val="115"/>
        </w:rPr>
        <w:t> </w:t>
      </w:r>
      <w:r>
        <w:rPr>
          <w:w w:val="115"/>
        </w:rPr>
        <w:t>socialismo.</w:t>
      </w:r>
      <w:r>
        <w:rPr>
          <w:spacing w:val="-16"/>
          <w:w w:val="115"/>
        </w:rPr>
        <w:t> </w:t>
      </w:r>
      <w:r>
        <w:rPr>
          <w:w w:val="115"/>
        </w:rPr>
        <w:t>En</w:t>
      </w:r>
      <w:r>
        <w:rPr>
          <w:spacing w:val="-16"/>
          <w:w w:val="115"/>
        </w:rPr>
        <w:t> </w:t>
      </w:r>
      <w:r>
        <w:rPr>
          <w:w w:val="115"/>
        </w:rPr>
        <w:t>su</w:t>
      </w:r>
      <w:r>
        <w:rPr>
          <w:spacing w:val="-16"/>
          <w:w w:val="115"/>
        </w:rPr>
        <w:t> </w:t>
      </w:r>
      <w:r>
        <w:rPr>
          <w:w w:val="115"/>
        </w:rPr>
        <w:t>esfuerzo</w:t>
      </w:r>
      <w:r>
        <w:rPr>
          <w:spacing w:val="-16"/>
          <w:w w:val="115"/>
        </w:rPr>
        <w:t> </w:t>
      </w:r>
      <w:r>
        <w:rPr>
          <w:w w:val="115"/>
        </w:rPr>
        <w:t>por</w:t>
      </w:r>
      <w:r>
        <w:rPr>
          <w:spacing w:val="-16"/>
          <w:w w:val="115"/>
        </w:rPr>
        <w:t> </w:t>
      </w:r>
      <w:r>
        <w:rPr>
          <w:w w:val="115"/>
        </w:rPr>
        <w:t>evitar</w:t>
      </w:r>
      <w:r>
        <w:rPr>
          <w:spacing w:val="-16"/>
          <w:w w:val="115"/>
        </w:rPr>
        <w:t> </w:t>
      </w:r>
      <w:r>
        <w:rPr>
          <w:w w:val="115"/>
        </w:rPr>
        <w:t>el</w:t>
      </w:r>
      <w:r>
        <w:rPr>
          <w:spacing w:val="-16"/>
          <w:w w:val="115"/>
        </w:rPr>
        <w:t> </w:t>
      </w:r>
      <w:r>
        <w:rPr>
          <w:w w:val="115"/>
        </w:rPr>
        <w:t>análisis</w:t>
      </w:r>
      <w:r>
        <w:rPr>
          <w:spacing w:val="-16"/>
          <w:w w:val="115"/>
        </w:rPr>
        <w:t> </w:t>
      </w:r>
      <w:r>
        <w:rPr>
          <w:w w:val="115"/>
        </w:rPr>
        <w:t>deterministas</w:t>
      </w:r>
      <w:r>
        <w:rPr>
          <w:spacing w:val="-16"/>
          <w:w w:val="115"/>
        </w:rPr>
        <w:t> </w:t>
      </w:r>
      <w:r>
        <w:rPr>
          <w:w w:val="115"/>
        </w:rPr>
        <w:t>y</w:t>
      </w:r>
      <w:r>
        <w:rPr>
          <w:spacing w:val="-16"/>
          <w:w w:val="115"/>
        </w:rPr>
        <w:t> </w:t>
      </w:r>
      <w:r>
        <w:rPr>
          <w:w w:val="115"/>
        </w:rPr>
        <w:t>re- duccionistas,</w:t>
      </w:r>
      <w:r>
        <w:rPr>
          <w:spacing w:val="-11"/>
          <w:w w:val="115"/>
        </w:rPr>
        <w:t> </w:t>
      </w:r>
      <w:r>
        <w:rPr>
          <w:w w:val="115"/>
        </w:rPr>
        <w:t>muchos</w:t>
      </w:r>
      <w:r>
        <w:rPr>
          <w:spacing w:val="-11"/>
          <w:w w:val="115"/>
        </w:rPr>
        <w:t> </w:t>
      </w:r>
      <w:r>
        <w:rPr>
          <w:w w:val="115"/>
        </w:rPr>
        <w:t>intelectuales</w:t>
      </w:r>
      <w:r>
        <w:rPr>
          <w:spacing w:val="-11"/>
          <w:w w:val="115"/>
        </w:rPr>
        <w:t> </w:t>
      </w:r>
      <w:r>
        <w:rPr>
          <w:w w:val="115"/>
        </w:rPr>
        <w:t>progresistas</w:t>
      </w:r>
      <w:r>
        <w:rPr>
          <w:spacing w:val="-11"/>
          <w:w w:val="115"/>
        </w:rPr>
        <w:t> </w:t>
      </w:r>
      <w:r>
        <w:rPr>
          <w:w w:val="115"/>
        </w:rPr>
        <w:t>han</w:t>
      </w:r>
      <w:r>
        <w:rPr>
          <w:spacing w:val="-11"/>
          <w:w w:val="115"/>
        </w:rPr>
        <w:t> </w:t>
      </w:r>
      <w:r>
        <w:rPr>
          <w:w w:val="115"/>
        </w:rPr>
        <w:t>retrocedido</w:t>
      </w:r>
      <w:r>
        <w:rPr>
          <w:spacing w:val="-11"/>
          <w:w w:val="115"/>
        </w:rPr>
        <w:t> </w:t>
      </w:r>
      <w:r>
        <w:rPr>
          <w:w w:val="115"/>
        </w:rPr>
        <w:t>del marxismo</w:t>
      </w:r>
      <w:r>
        <w:rPr>
          <w:spacing w:val="-6"/>
          <w:w w:val="115"/>
        </w:rPr>
        <w:t> </w:t>
      </w:r>
      <w:r>
        <w:rPr>
          <w:w w:val="115"/>
        </w:rPr>
        <w:t>a</w:t>
      </w:r>
      <w:r>
        <w:rPr>
          <w:spacing w:val="-6"/>
          <w:w w:val="115"/>
        </w:rPr>
        <w:t> </w:t>
      </w:r>
      <w:r>
        <w:rPr>
          <w:w w:val="115"/>
        </w:rPr>
        <w:t>un</w:t>
      </w:r>
      <w:r>
        <w:rPr>
          <w:spacing w:val="-6"/>
          <w:w w:val="115"/>
        </w:rPr>
        <w:t> </w:t>
      </w:r>
      <w:r>
        <w:rPr>
          <w:w w:val="115"/>
        </w:rPr>
        <w:t>pluralismo</w:t>
      </w:r>
      <w:r>
        <w:rPr>
          <w:spacing w:val="-6"/>
          <w:w w:val="115"/>
        </w:rPr>
        <w:t> </w:t>
      </w:r>
      <w:r>
        <w:rPr>
          <w:w w:val="115"/>
        </w:rPr>
        <w:t>de</w:t>
      </w:r>
      <w:r>
        <w:rPr>
          <w:spacing w:val="-6"/>
          <w:w w:val="115"/>
        </w:rPr>
        <w:t> </w:t>
      </w:r>
      <w:r>
        <w:rPr>
          <w:w w:val="115"/>
        </w:rPr>
        <w:t>amplios</w:t>
      </w:r>
      <w:r>
        <w:rPr>
          <w:spacing w:val="-6"/>
          <w:w w:val="115"/>
        </w:rPr>
        <w:t> </w:t>
      </w:r>
      <w:r>
        <w:rPr>
          <w:w w:val="115"/>
        </w:rPr>
        <w:t>alcances</w:t>
      </w:r>
      <w:r>
        <w:rPr>
          <w:spacing w:val="-6"/>
          <w:w w:val="115"/>
        </w:rPr>
        <w:t> </w:t>
      </w:r>
      <w:r>
        <w:rPr>
          <w:w w:val="115"/>
        </w:rPr>
        <w:t>que</w:t>
      </w:r>
      <w:r>
        <w:rPr>
          <w:spacing w:val="-6"/>
          <w:w w:val="115"/>
        </w:rPr>
        <w:t> </w:t>
      </w:r>
      <w:r>
        <w:rPr>
          <w:w w:val="115"/>
        </w:rPr>
        <w:t>va</w:t>
      </w:r>
      <w:r>
        <w:rPr>
          <w:spacing w:val="-6"/>
          <w:w w:val="115"/>
        </w:rPr>
        <w:t> </w:t>
      </w:r>
      <w:r>
        <w:rPr>
          <w:w w:val="115"/>
        </w:rPr>
        <w:t>más</w:t>
      </w:r>
      <w:r>
        <w:rPr>
          <w:spacing w:val="-6"/>
          <w:w w:val="115"/>
        </w:rPr>
        <w:t> </w:t>
      </w:r>
      <w:r>
        <w:rPr>
          <w:w w:val="115"/>
        </w:rPr>
        <w:t>allá</w:t>
      </w:r>
      <w:r>
        <w:rPr>
          <w:spacing w:val="-6"/>
          <w:w w:val="115"/>
        </w:rPr>
        <w:t> </w:t>
      </w:r>
      <w:r>
        <w:rPr>
          <w:w w:val="115"/>
        </w:rPr>
        <w:t>de</w:t>
      </w:r>
      <w:r>
        <w:rPr>
          <w:spacing w:val="-6"/>
          <w:w w:val="115"/>
        </w:rPr>
        <w:t> </w:t>
      </w:r>
      <w:r>
        <w:rPr>
          <w:w w:val="115"/>
        </w:rPr>
        <w:t>la clase</w:t>
      </w:r>
      <w:r>
        <w:rPr>
          <w:spacing w:val="-14"/>
          <w:w w:val="115"/>
        </w:rPr>
        <w:t> </w:t>
      </w:r>
      <w:r>
        <w:rPr>
          <w:w w:val="115"/>
        </w:rPr>
        <w:t>obrera,</w:t>
      </w:r>
      <w:r>
        <w:rPr>
          <w:spacing w:val="-14"/>
          <w:w w:val="115"/>
        </w:rPr>
        <w:t> </w:t>
      </w:r>
      <w:r>
        <w:rPr>
          <w:w w:val="115"/>
        </w:rPr>
        <w:t>e</w:t>
      </w:r>
      <w:r>
        <w:rPr>
          <w:spacing w:val="-14"/>
          <w:w w:val="115"/>
        </w:rPr>
        <w:t> </w:t>
      </w:r>
      <w:r>
        <w:rPr>
          <w:w w:val="115"/>
        </w:rPr>
        <w:t>incluye</w:t>
      </w:r>
      <w:r>
        <w:rPr>
          <w:spacing w:val="-14"/>
          <w:w w:val="115"/>
        </w:rPr>
        <w:t> </w:t>
      </w:r>
      <w:r>
        <w:rPr>
          <w:w w:val="115"/>
        </w:rPr>
        <w:t>en</w:t>
      </w:r>
      <w:r>
        <w:rPr>
          <w:spacing w:val="-14"/>
          <w:w w:val="115"/>
        </w:rPr>
        <w:t> </w:t>
      </w:r>
      <w:r>
        <w:rPr>
          <w:w w:val="115"/>
        </w:rPr>
        <w:t>cambio</w:t>
      </w:r>
      <w:r>
        <w:rPr>
          <w:spacing w:val="-14"/>
          <w:w w:val="115"/>
        </w:rPr>
        <w:t> </w:t>
      </w:r>
      <w:r>
        <w:rPr>
          <w:w w:val="115"/>
        </w:rPr>
        <w:t>a</w:t>
      </w:r>
      <w:r>
        <w:rPr>
          <w:spacing w:val="-14"/>
          <w:w w:val="115"/>
        </w:rPr>
        <w:t> </w:t>
      </w:r>
      <w:r>
        <w:rPr>
          <w:w w:val="115"/>
        </w:rPr>
        <w:t>otros</w:t>
      </w:r>
      <w:r>
        <w:rPr>
          <w:spacing w:val="-14"/>
          <w:w w:val="115"/>
        </w:rPr>
        <w:t> </w:t>
      </w:r>
      <w:r>
        <w:rPr>
          <w:w w:val="115"/>
        </w:rPr>
        <w:t>movimientos</w:t>
      </w:r>
      <w:r>
        <w:rPr>
          <w:spacing w:val="-14"/>
          <w:w w:val="115"/>
        </w:rPr>
        <w:t> </w:t>
      </w:r>
      <w:r>
        <w:rPr>
          <w:w w:val="115"/>
        </w:rPr>
        <w:t>sociales</w:t>
      </w:r>
      <w:r>
        <w:rPr>
          <w:spacing w:val="-14"/>
          <w:w w:val="115"/>
        </w:rPr>
        <w:t> </w:t>
      </w:r>
      <w:r>
        <w:rPr>
          <w:w w:val="115"/>
        </w:rPr>
        <w:t>como los</w:t>
      </w:r>
      <w:r>
        <w:rPr>
          <w:spacing w:val="-33"/>
          <w:w w:val="115"/>
        </w:rPr>
        <w:t> </w:t>
      </w:r>
      <w:r>
        <w:rPr>
          <w:w w:val="115"/>
        </w:rPr>
        <w:t>feministas,</w:t>
      </w:r>
      <w:r>
        <w:rPr>
          <w:spacing w:val="-33"/>
          <w:w w:val="115"/>
        </w:rPr>
        <w:t> </w:t>
      </w:r>
      <w:r>
        <w:rPr>
          <w:w w:val="115"/>
        </w:rPr>
        <w:t>ecologistas</w:t>
      </w:r>
      <w:r>
        <w:rPr>
          <w:spacing w:val="-33"/>
          <w:w w:val="115"/>
        </w:rPr>
        <w:t> </w:t>
      </w:r>
      <w:r>
        <w:rPr>
          <w:w w:val="115"/>
        </w:rPr>
        <w:t>y</w:t>
      </w:r>
      <w:r>
        <w:rPr>
          <w:spacing w:val="-33"/>
          <w:w w:val="115"/>
        </w:rPr>
        <w:t> </w:t>
      </w:r>
      <w:r>
        <w:rPr>
          <w:w w:val="115"/>
        </w:rPr>
        <w:t>pacifistas.</w:t>
      </w:r>
      <w:r>
        <w:rPr>
          <w:spacing w:val="-33"/>
          <w:w w:val="115"/>
        </w:rPr>
        <w:t> </w:t>
      </w:r>
      <w:r>
        <w:rPr>
          <w:w w:val="115"/>
        </w:rPr>
        <w:t>dichos</w:t>
      </w:r>
      <w:r>
        <w:rPr>
          <w:spacing w:val="-33"/>
          <w:w w:val="115"/>
        </w:rPr>
        <w:t> </w:t>
      </w:r>
      <w:r>
        <w:rPr>
          <w:w w:val="115"/>
        </w:rPr>
        <w:t>movimientos</w:t>
      </w:r>
      <w:r>
        <w:rPr>
          <w:spacing w:val="-33"/>
          <w:w w:val="115"/>
        </w:rPr>
        <w:t> </w:t>
      </w:r>
      <w:r>
        <w:rPr>
          <w:w w:val="115"/>
        </w:rPr>
        <w:t>se</w:t>
      </w:r>
      <w:r>
        <w:rPr>
          <w:spacing w:val="-33"/>
          <w:w w:val="115"/>
        </w:rPr>
        <w:t> </w:t>
      </w:r>
      <w:r>
        <w:rPr>
          <w:w w:val="115"/>
        </w:rPr>
        <w:t>vuelven relevantes con el análisis de clase que examina las posibilidades de movilización, tanto para los trabajadores urbanos como rurales,</w:t>
      </w:r>
      <w:r>
        <w:rPr>
          <w:spacing w:val="-16"/>
          <w:w w:val="115"/>
        </w:rPr>
        <w:t> </w:t>
      </w:r>
      <w:r>
        <w:rPr>
          <w:w w:val="115"/>
        </w:rPr>
        <w:t>así como</w:t>
      </w:r>
      <w:r>
        <w:rPr>
          <w:spacing w:val="-21"/>
          <w:w w:val="115"/>
        </w:rPr>
        <w:t> </w:t>
      </w:r>
      <w:r>
        <w:rPr>
          <w:w w:val="115"/>
        </w:rPr>
        <w:t>para</w:t>
      </w:r>
      <w:r>
        <w:rPr>
          <w:spacing w:val="-21"/>
          <w:w w:val="115"/>
        </w:rPr>
        <w:t> </w:t>
      </w:r>
      <w:r>
        <w:rPr>
          <w:w w:val="115"/>
        </w:rPr>
        <w:t>movilizaciones</w:t>
      </w:r>
      <w:r>
        <w:rPr>
          <w:spacing w:val="-21"/>
          <w:w w:val="115"/>
        </w:rPr>
        <w:t> </w:t>
      </w:r>
      <w:r>
        <w:rPr>
          <w:w w:val="115"/>
        </w:rPr>
        <w:t>espontáneas</w:t>
      </w:r>
      <w:r>
        <w:rPr>
          <w:spacing w:val="-21"/>
          <w:w w:val="115"/>
        </w:rPr>
        <w:t> </w:t>
      </w:r>
      <w:r>
        <w:rPr>
          <w:w w:val="115"/>
        </w:rPr>
        <w:t>y/u</w:t>
      </w:r>
      <w:r>
        <w:rPr>
          <w:spacing w:val="-21"/>
          <w:w w:val="115"/>
        </w:rPr>
        <w:t> </w:t>
      </w:r>
      <w:r>
        <w:rPr>
          <w:w w:val="115"/>
        </w:rPr>
        <w:t>organizadas</w:t>
      </w:r>
      <w:r>
        <w:rPr>
          <w:spacing w:val="-21"/>
          <w:w w:val="115"/>
        </w:rPr>
        <w:t> </w:t>
      </w:r>
      <w:r>
        <w:rPr>
          <w:w w:val="115"/>
        </w:rPr>
        <w:t>de</w:t>
      </w:r>
      <w:r>
        <w:rPr>
          <w:spacing w:val="-21"/>
          <w:w w:val="115"/>
        </w:rPr>
        <w:t> </w:t>
      </w:r>
      <w:r>
        <w:rPr>
          <w:w w:val="115"/>
        </w:rPr>
        <w:t>personas en</w:t>
      </w:r>
      <w:r>
        <w:rPr>
          <w:spacing w:val="-10"/>
          <w:w w:val="115"/>
        </w:rPr>
        <w:t> </w:t>
      </w:r>
      <w:r>
        <w:rPr>
          <w:w w:val="115"/>
        </w:rPr>
        <w:t>las</w:t>
      </w:r>
      <w:r>
        <w:rPr>
          <w:spacing w:val="-10"/>
          <w:w w:val="115"/>
        </w:rPr>
        <w:t> </w:t>
      </w:r>
      <w:r>
        <w:rPr>
          <w:w w:val="115"/>
        </w:rPr>
        <w:t>zonas</w:t>
      </w:r>
      <w:r>
        <w:rPr>
          <w:spacing w:val="-10"/>
          <w:w w:val="115"/>
        </w:rPr>
        <w:t> </w:t>
      </w:r>
      <w:r>
        <w:rPr>
          <w:w w:val="115"/>
        </w:rPr>
        <w:t>urbanas</w:t>
      </w:r>
      <w:r>
        <w:rPr>
          <w:spacing w:val="-10"/>
          <w:w w:val="115"/>
        </w:rPr>
        <w:t> </w:t>
      </w:r>
      <w:r>
        <w:rPr>
          <w:w w:val="115"/>
        </w:rPr>
        <w:t>pobres</w:t>
      </w:r>
      <w:r>
        <w:rPr>
          <w:spacing w:val="-10"/>
          <w:w w:val="115"/>
        </w:rPr>
        <w:t> </w:t>
      </w:r>
      <w:r>
        <w:rPr>
          <w:w w:val="115"/>
        </w:rPr>
        <w:t>y</w:t>
      </w:r>
      <w:r>
        <w:rPr>
          <w:spacing w:val="-10"/>
          <w:w w:val="115"/>
        </w:rPr>
        <w:t> </w:t>
      </w:r>
      <w:r>
        <w:rPr>
          <w:w w:val="115"/>
        </w:rPr>
        <w:t>en</w:t>
      </w:r>
      <w:r>
        <w:rPr>
          <w:spacing w:val="-10"/>
          <w:w w:val="115"/>
        </w:rPr>
        <w:t> </w:t>
      </w:r>
      <w:r>
        <w:rPr>
          <w:w w:val="115"/>
        </w:rPr>
        <w:t>el</w:t>
      </w:r>
      <w:r>
        <w:rPr>
          <w:spacing w:val="-10"/>
          <w:w w:val="115"/>
        </w:rPr>
        <w:t> </w:t>
      </w:r>
      <w:r>
        <w:rPr>
          <w:w w:val="115"/>
        </w:rPr>
        <w:t>campo.</w:t>
      </w:r>
      <w:r>
        <w:rPr>
          <w:spacing w:val="-10"/>
          <w:w w:val="115"/>
        </w:rPr>
        <w:t> </w:t>
      </w:r>
      <w:r>
        <w:rPr>
          <w:w w:val="115"/>
        </w:rPr>
        <w:t>un</w:t>
      </w:r>
      <w:r>
        <w:rPr>
          <w:spacing w:val="-10"/>
          <w:w w:val="115"/>
        </w:rPr>
        <w:t> </w:t>
      </w:r>
      <w:r>
        <w:rPr>
          <w:w w:val="115"/>
        </w:rPr>
        <w:t>trabajo</w:t>
      </w:r>
      <w:r>
        <w:rPr>
          <w:spacing w:val="-10"/>
          <w:w w:val="115"/>
        </w:rPr>
        <w:t> </w:t>
      </w:r>
      <w:r>
        <w:rPr>
          <w:w w:val="115"/>
        </w:rPr>
        <w:t>serio</w:t>
      </w:r>
      <w:r>
        <w:rPr>
          <w:spacing w:val="-10"/>
          <w:w w:val="115"/>
        </w:rPr>
        <w:t> </w:t>
      </w:r>
      <w:r>
        <w:rPr>
          <w:w w:val="115"/>
        </w:rPr>
        <w:t>en</w:t>
      </w:r>
      <w:r>
        <w:rPr>
          <w:spacing w:val="-10"/>
          <w:w w:val="115"/>
        </w:rPr>
        <w:t> </w:t>
      </w:r>
      <w:r>
        <w:rPr>
          <w:w w:val="115"/>
        </w:rPr>
        <w:t>torno a</w:t>
      </w:r>
      <w:r>
        <w:rPr>
          <w:spacing w:val="-24"/>
          <w:w w:val="115"/>
        </w:rPr>
        <w:t> </w:t>
      </w:r>
      <w:r>
        <w:rPr>
          <w:w w:val="115"/>
        </w:rPr>
        <w:t>estos</w:t>
      </w:r>
      <w:r>
        <w:rPr>
          <w:spacing w:val="-24"/>
          <w:w w:val="115"/>
        </w:rPr>
        <w:t> </w:t>
      </w:r>
      <w:r>
        <w:rPr>
          <w:w w:val="115"/>
        </w:rPr>
        <w:t>temas</w:t>
      </w:r>
      <w:r>
        <w:rPr>
          <w:spacing w:val="-24"/>
          <w:w w:val="115"/>
        </w:rPr>
        <w:t> </w:t>
      </w:r>
      <w:r>
        <w:rPr>
          <w:w w:val="115"/>
        </w:rPr>
        <w:t>puede</w:t>
      </w:r>
      <w:r>
        <w:rPr>
          <w:spacing w:val="-24"/>
          <w:w w:val="115"/>
        </w:rPr>
        <w:t> </w:t>
      </w:r>
      <w:r>
        <w:rPr>
          <w:w w:val="115"/>
        </w:rPr>
        <w:t>mitigar</w:t>
      </w:r>
      <w:r>
        <w:rPr>
          <w:spacing w:val="-24"/>
          <w:w w:val="115"/>
        </w:rPr>
        <w:t> </w:t>
      </w:r>
      <w:r>
        <w:rPr>
          <w:w w:val="115"/>
        </w:rPr>
        <w:t>la</w:t>
      </w:r>
      <w:r>
        <w:rPr>
          <w:spacing w:val="-24"/>
          <w:w w:val="115"/>
        </w:rPr>
        <w:t> </w:t>
      </w:r>
      <w:r>
        <w:rPr>
          <w:w w:val="115"/>
        </w:rPr>
        <w:t>crisis</w:t>
      </w:r>
      <w:r>
        <w:rPr>
          <w:spacing w:val="-24"/>
          <w:w w:val="115"/>
        </w:rPr>
        <w:t> </w:t>
      </w:r>
      <w:r>
        <w:rPr>
          <w:w w:val="115"/>
        </w:rPr>
        <w:t>del</w:t>
      </w:r>
      <w:r>
        <w:rPr>
          <w:spacing w:val="-24"/>
          <w:w w:val="115"/>
        </w:rPr>
        <w:t> </w:t>
      </w:r>
      <w:r>
        <w:rPr>
          <w:w w:val="115"/>
        </w:rPr>
        <w:t>marxismo</w:t>
      </w:r>
      <w:r>
        <w:rPr>
          <w:spacing w:val="-24"/>
          <w:w w:val="115"/>
        </w:rPr>
        <w:t> </w:t>
      </w:r>
      <w:r>
        <w:rPr>
          <w:w w:val="115"/>
        </w:rPr>
        <w:t>y</w:t>
      </w:r>
      <w:r>
        <w:rPr>
          <w:spacing w:val="-24"/>
          <w:w w:val="115"/>
        </w:rPr>
        <w:t> </w:t>
      </w:r>
      <w:r>
        <w:rPr>
          <w:w w:val="115"/>
        </w:rPr>
        <w:t>estimular</w:t>
      </w:r>
      <w:r>
        <w:rPr>
          <w:spacing w:val="-24"/>
          <w:w w:val="115"/>
        </w:rPr>
        <w:t> </w:t>
      </w:r>
      <w:r>
        <w:rPr>
          <w:w w:val="115"/>
        </w:rPr>
        <w:t>nuevas ideas</w:t>
      </w:r>
      <w:r>
        <w:rPr>
          <w:spacing w:val="-22"/>
          <w:w w:val="115"/>
        </w:rPr>
        <w:t> </w:t>
      </w:r>
      <w:r>
        <w:rPr>
          <w:w w:val="115"/>
        </w:rPr>
        <w:t>al</w:t>
      </w:r>
      <w:r>
        <w:rPr>
          <w:spacing w:val="-22"/>
          <w:w w:val="115"/>
        </w:rPr>
        <w:t> </w:t>
      </w:r>
      <w:r>
        <w:rPr>
          <w:w w:val="115"/>
        </w:rPr>
        <w:t>aplicar</w:t>
      </w:r>
      <w:r>
        <w:rPr>
          <w:spacing w:val="-22"/>
          <w:w w:val="115"/>
        </w:rPr>
        <w:t> </w:t>
      </w:r>
      <w:r>
        <w:rPr>
          <w:w w:val="115"/>
        </w:rPr>
        <w:t>la</w:t>
      </w:r>
      <w:r>
        <w:rPr>
          <w:spacing w:val="-22"/>
          <w:w w:val="115"/>
        </w:rPr>
        <w:t> </w:t>
      </w:r>
      <w:r>
        <w:rPr>
          <w:w w:val="115"/>
        </w:rPr>
        <w:t>teoría</w:t>
      </w:r>
      <w:r>
        <w:rPr>
          <w:spacing w:val="-22"/>
          <w:w w:val="115"/>
        </w:rPr>
        <w:t> </w:t>
      </w:r>
      <w:r>
        <w:rPr>
          <w:w w:val="115"/>
        </w:rPr>
        <w:t>a</w:t>
      </w:r>
      <w:r>
        <w:rPr>
          <w:spacing w:val="-22"/>
          <w:w w:val="115"/>
        </w:rPr>
        <w:t> </w:t>
      </w:r>
      <w:r>
        <w:rPr>
          <w:w w:val="115"/>
        </w:rPr>
        <w:t>las</w:t>
      </w:r>
      <w:r>
        <w:rPr>
          <w:spacing w:val="-22"/>
          <w:w w:val="115"/>
        </w:rPr>
        <w:t> </w:t>
      </w:r>
      <w:r>
        <w:rPr>
          <w:w w:val="115"/>
        </w:rPr>
        <w:t>condiciones</w:t>
      </w:r>
      <w:r>
        <w:rPr>
          <w:spacing w:val="-22"/>
          <w:w w:val="115"/>
        </w:rPr>
        <w:t> </w:t>
      </w:r>
      <w:r>
        <w:rPr>
          <w:w w:val="115"/>
        </w:rPr>
        <w:t>delineadas</w:t>
      </w:r>
      <w:r>
        <w:rPr>
          <w:spacing w:val="-22"/>
          <w:w w:val="115"/>
        </w:rPr>
        <w:t> </w:t>
      </w:r>
      <w:r>
        <w:rPr>
          <w:w w:val="115"/>
        </w:rPr>
        <w:t>por</w:t>
      </w:r>
      <w:r>
        <w:rPr>
          <w:spacing w:val="-22"/>
          <w:w w:val="115"/>
        </w:rPr>
        <w:t> </w:t>
      </w:r>
      <w:r>
        <w:rPr>
          <w:w w:val="115"/>
        </w:rPr>
        <w:t>las</w:t>
      </w:r>
      <w:r>
        <w:rPr>
          <w:spacing w:val="-22"/>
          <w:w w:val="115"/>
        </w:rPr>
        <w:t> </w:t>
      </w:r>
      <w:r>
        <w:rPr>
          <w:w w:val="115"/>
        </w:rPr>
        <w:t>personas que</w:t>
      </w:r>
      <w:r>
        <w:rPr>
          <w:spacing w:val="-9"/>
          <w:w w:val="115"/>
        </w:rPr>
        <w:t> </w:t>
      </w:r>
      <w:r>
        <w:rPr>
          <w:w w:val="115"/>
        </w:rPr>
        <w:t>están</w:t>
      </w:r>
      <w:r>
        <w:rPr>
          <w:spacing w:val="-9"/>
          <w:w w:val="115"/>
        </w:rPr>
        <w:t> </w:t>
      </w:r>
      <w:r>
        <w:rPr>
          <w:w w:val="115"/>
        </w:rPr>
        <w:t>determinando</w:t>
      </w:r>
      <w:r>
        <w:rPr>
          <w:spacing w:val="-9"/>
          <w:w w:val="115"/>
        </w:rPr>
        <w:t> </w:t>
      </w:r>
      <w:r>
        <w:rPr>
          <w:w w:val="115"/>
        </w:rPr>
        <w:t>sus</w:t>
      </w:r>
      <w:r>
        <w:rPr>
          <w:spacing w:val="-9"/>
          <w:w w:val="115"/>
        </w:rPr>
        <w:t> </w:t>
      </w:r>
      <w:r>
        <w:rPr>
          <w:w w:val="115"/>
        </w:rPr>
        <w:t>propios</w:t>
      </w:r>
      <w:r>
        <w:rPr>
          <w:spacing w:val="-9"/>
          <w:w w:val="115"/>
        </w:rPr>
        <w:t> </w:t>
      </w:r>
      <w:r>
        <w:rPr>
          <w:w w:val="115"/>
        </w:rPr>
        <w:t>destinos</w:t>
      </w:r>
      <w:r>
        <w:rPr>
          <w:spacing w:val="-9"/>
          <w:w w:val="115"/>
        </w:rPr>
        <w:t> </w:t>
      </w:r>
      <w:r>
        <w:rPr>
          <w:w w:val="115"/>
        </w:rPr>
        <w:t>a</w:t>
      </w:r>
      <w:r>
        <w:rPr>
          <w:spacing w:val="-9"/>
          <w:w w:val="115"/>
        </w:rPr>
        <w:t> </w:t>
      </w:r>
      <w:r>
        <w:rPr>
          <w:w w:val="115"/>
        </w:rPr>
        <w:t>nivel</w:t>
      </w:r>
      <w:r>
        <w:rPr>
          <w:spacing w:val="-9"/>
          <w:w w:val="115"/>
        </w:rPr>
        <w:t> </w:t>
      </w:r>
      <w:r>
        <w:rPr>
          <w:w w:val="115"/>
        </w:rPr>
        <w:t>local,</w:t>
      </w:r>
      <w:r>
        <w:rPr>
          <w:spacing w:val="-9"/>
          <w:w w:val="115"/>
        </w:rPr>
        <w:t> </w:t>
      </w:r>
      <w:r>
        <w:rPr>
          <w:w w:val="115"/>
        </w:rPr>
        <w:t>mientras confrontan</w:t>
      </w:r>
      <w:r>
        <w:rPr>
          <w:spacing w:val="-7"/>
          <w:w w:val="115"/>
        </w:rPr>
        <w:t> </w:t>
      </w:r>
      <w:r>
        <w:rPr>
          <w:w w:val="115"/>
        </w:rPr>
        <w:t>las</w:t>
      </w:r>
      <w:r>
        <w:rPr>
          <w:spacing w:val="-7"/>
          <w:w w:val="115"/>
        </w:rPr>
        <w:t> </w:t>
      </w:r>
      <w:r>
        <w:rPr>
          <w:w w:val="115"/>
        </w:rPr>
        <w:t>influencias</w:t>
      </w:r>
      <w:r>
        <w:rPr>
          <w:spacing w:val="-7"/>
          <w:w w:val="115"/>
        </w:rPr>
        <w:t> </w:t>
      </w:r>
      <w:r>
        <w:rPr>
          <w:w w:val="115"/>
        </w:rPr>
        <w:t>y</w:t>
      </w:r>
      <w:r>
        <w:rPr>
          <w:spacing w:val="-7"/>
          <w:w w:val="115"/>
        </w:rPr>
        <w:t> </w:t>
      </w:r>
      <w:r>
        <w:rPr>
          <w:w w:val="115"/>
        </w:rPr>
        <w:t>los</w:t>
      </w:r>
      <w:r>
        <w:rPr>
          <w:spacing w:val="-7"/>
          <w:w w:val="115"/>
        </w:rPr>
        <w:t> </w:t>
      </w:r>
      <w:r>
        <w:rPr>
          <w:w w:val="115"/>
        </w:rPr>
        <w:t>impactos</w:t>
      </w:r>
      <w:r>
        <w:rPr>
          <w:spacing w:val="-7"/>
          <w:w w:val="115"/>
        </w:rPr>
        <w:t> </w:t>
      </w:r>
      <w:r>
        <w:rPr>
          <w:w w:val="115"/>
        </w:rPr>
        <w:t>generalizados</w:t>
      </w:r>
      <w:r>
        <w:rPr>
          <w:spacing w:val="-7"/>
          <w:w w:val="115"/>
        </w:rPr>
        <w:t> </w:t>
      </w:r>
      <w:r>
        <w:rPr>
          <w:w w:val="115"/>
        </w:rPr>
        <w:t>de</w:t>
      </w:r>
      <w:r>
        <w:rPr>
          <w:spacing w:val="-7"/>
          <w:w w:val="115"/>
        </w:rPr>
        <w:t> </w:t>
      </w:r>
      <w:r>
        <w:rPr>
          <w:w w:val="115"/>
        </w:rPr>
        <w:t>un</w:t>
      </w:r>
      <w:r>
        <w:rPr>
          <w:spacing w:val="-7"/>
          <w:w w:val="115"/>
        </w:rPr>
        <w:t> </w:t>
      </w:r>
      <w:r>
        <w:rPr>
          <w:w w:val="115"/>
        </w:rPr>
        <w:t>orden </w:t>
      </w:r>
      <w:r>
        <w:rPr>
          <w:w w:val="110"/>
        </w:rPr>
        <w:t>capitalista  internacional  en</w:t>
      </w:r>
      <w:r>
        <w:rPr>
          <w:spacing w:val="-23"/>
          <w:w w:val="110"/>
        </w:rPr>
        <w:t> </w:t>
      </w:r>
      <w:r>
        <w:rPr>
          <w:w w:val="110"/>
        </w:rPr>
        <w:t>maduración.</w:t>
      </w:r>
    </w:p>
    <w:p>
      <w:pPr>
        <w:pStyle w:val="BodyText"/>
        <w:spacing w:line="252" w:lineRule="auto"/>
        <w:ind w:left="100" w:right="328" w:firstLine="396"/>
        <w:jc w:val="both"/>
      </w:pPr>
      <w:r>
        <w:rPr>
          <w:w w:val="110"/>
        </w:rPr>
        <w:t>Mi esquema de orientaciones teóricas ha tratado de mostrar la necesidad de dirigir nuestra atención a la dinámica interna de los </w:t>
      </w:r>
      <w:r>
        <w:rPr>
          <w:spacing w:val="-1"/>
          <w:w w:val="108"/>
        </w:rPr>
        <w:t>paíse</w:t>
      </w:r>
      <w:r>
        <w:rPr>
          <w:w w:val="108"/>
        </w:rPr>
        <w:t>s</w:t>
      </w:r>
      <w:r>
        <w:rPr/>
        <w:t> </w:t>
      </w:r>
      <w:r>
        <w:rPr>
          <w:spacing w:val="-2"/>
        </w:rPr>
        <w:t> </w:t>
      </w:r>
      <w:r>
        <w:rPr>
          <w:spacing w:val="-1"/>
          <w:w w:val="107"/>
        </w:rPr>
        <w:t>d</w:t>
      </w:r>
      <w:r>
        <w:rPr>
          <w:w w:val="107"/>
        </w:rPr>
        <w:t>e</w:t>
      </w:r>
      <w:r>
        <w:rPr/>
        <w:t> </w:t>
      </w:r>
      <w:r>
        <w:rPr>
          <w:spacing w:val="-2"/>
        </w:rPr>
        <w:t> </w:t>
      </w:r>
      <w:r>
        <w:rPr>
          <w:spacing w:val="-1"/>
          <w:w w:val="139"/>
        </w:rPr>
        <w:t>a</w:t>
      </w:r>
      <w:r>
        <w:rPr>
          <w:spacing w:val="-1"/>
          <w:w w:val="111"/>
        </w:rPr>
        <w:t>méric</w:t>
      </w:r>
      <w:r>
        <w:rPr>
          <w:w w:val="111"/>
        </w:rPr>
        <w:t>a</w:t>
      </w:r>
      <w:r>
        <w:rPr/>
        <w:t> </w:t>
      </w:r>
      <w:r>
        <w:rPr>
          <w:spacing w:val="-2"/>
        </w:rPr>
        <w:t> </w:t>
      </w:r>
      <w:r>
        <w:rPr>
          <w:spacing w:val="-1"/>
          <w:w w:val="243"/>
        </w:rPr>
        <w:t>l</w:t>
      </w:r>
      <w:r>
        <w:rPr>
          <w:spacing w:val="-1"/>
          <w:w w:val="111"/>
        </w:rPr>
        <w:t>atin</w:t>
      </w:r>
      <w:r>
        <w:rPr>
          <w:w w:val="111"/>
        </w:rPr>
        <w:t>a</w:t>
      </w:r>
      <w:r>
        <w:rPr/>
        <w:t> </w:t>
      </w:r>
      <w:r>
        <w:rPr>
          <w:spacing w:val="-2"/>
        </w:rPr>
        <w:t> </w:t>
      </w:r>
      <w:r>
        <w:rPr>
          <w:w w:val="105"/>
        </w:rPr>
        <w:t>y</w:t>
      </w:r>
      <w:r>
        <w:rPr/>
        <w:t> </w:t>
      </w:r>
      <w:r>
        <w:rPr>
          <w:spacing w:val="-2"/>
        </w:rPr>
        <w:t> </w:t>
      </w:r>
      <w:r>
        <w:rPr>
          <w:spacing w:val="-1"/>
          <w:w w:val="107"/>
        </w:rPr>
        <w:t>e</w:t>
      </w:r>
      <w:r>
        <w:rPr>
          <w:w w:val="107"/>
        </w:rPr>
        <w:t>l</w:t>
      </w:r>
      <w:r>
        <w:rPr/>
        <w:t> </w:t>
      </w:r>
      <w:r>
        <w:rPr>
          <w:spacing w:val="-2"/>
        </w:rPr>
        <w:t> </w:t>
      </w:r>
      <w:r>
        <w:rPr>
          <w:spacing w:val="-1"/>
          <w:w w:val="112"/>
        </w:rPr>
        <w:t>Carib</w:t>
      </w:r>
      <w:r>
        <w:rPr>
          <w:w w:val="112"/>
        </w:rPr>
        <w:t>e</w:t>
      </w:r>
      <w:r>
        <w:rPr/>
        <w:t> </w:t>
      </w:r>
      <w:r>
        <w:rPr>
          <w:spacing w:val="-2"/>
        </w:rPr>
        <w:t> </w:t>
      </w:r>
      <w:r>
        <w:rPr>
          <w:spacing w:val="-1"/>
          <w:w w:val="108"/>
        </w:rPr>
        <w:t>e</w:t>
      </w:r>
      <w:r>
        <w:rPr>
          <w:w w:val="108"/>
        </w:rPr>
        <w:t>n</w:t>
      </w:r>
      <w:r>
        <w:rPr/>
        <w:t> </w:t>
      </w:r>
      <w:r>
        <w:rPr>
          <w:spacing w:val="-2"/>
        </w:rPr>
        <w:t> </w:t>
      </w:r>
      <w:r>
        <w:rPr>
          <w:spacing w:val="-1"/>
          <w:w w:val="109"/>
        </w:rPr>
        <w:t>s</w:t>
      </w:r>
      <w:r>
        <w:rPr>
          <w:w w:val="109"/>
        </w:rPr>
        <w:t>u</w:t>
      </w:r>
      <w:r>
        <w:rPr/>
        <w:t> </w:t>
      </w:r>
      <w:r>
        <w:rPr>
          <w:spacing w:val="-2"/>
        </w:rPr>
        <w:t> </w:t>
      </w:r>
      <w:r>
        <w:rPr>
          <w:spacing w:val="-1"/>
          <w:w w:val="113"/>
        </w:rPr>
        <w:t>luch</w:t>
      </w:r>
      <w:r>
        <w:rPr>
          <w:w w:val="113"/>
        </w:rPr>
        <w:t>a</w:t>
      </w:r>
      <w:r>
        <w:rPr/>
        <w:t> </w:t>
      </w:r>
      <w:r>
        <w:rPr>
          <w:spacing w:val="-2"/>
        </w:rPr>
        <w:t> </w:t>
      </w:r>
      <w:r>
        <w:rPr>
          <w:spacing w:val="-1"/>
          <w:w w:val="108"/>
        </w:rPr>
        <w:t>po</w:t>
      </w:r>
      <w:r>
        <w:rPr>
          <w:w w:val="108"/>
        </w:rPr>
        <w:t>r</w:t>
      </w:r>
      <w:r>
        <w:rPr/>
        <w:t> </w:t>
      </w:r>
      <w:r>
        <w:rPr>
          <w:spacing w:val="-2"/>
        </w:rPr>
        <w:t> </w:t>
      </w:r>
      <w:r>
        <w:rPr>
          <w:spacing w:val="-1"/>
          <w:w w:val="107"/>
        </w:rPr>
        <w:t>e</w:t>
      </w:r>
      <w:r>
        <w:rPr>
          <w:w w:val="107"/>
        </w:rPr>
        <w:t>l</w:t>
      </w:r>
      <w:r>
        <w:rPr/>
        <w:t> </w:t>
      </w:r>
      <w:r>
        <w:rPr>
          <w:spacing w:val="-2"/>
        </w:rPr>
        <w:t> </w:t>
      </w:r>
      <w:r>
        <w:rPr>
          <w:spacing w:val="-1"/>
          <w:w w:val="107"/>
        </w:rPr>
        <w:t>progres</w:t>
      </w:r>
      <w:r>
        <w:rPr>
          <w:w w:val="107"/>
        </w:rPr>
        <w:t>o</w:t>
      </w:r>
      <w:r>
        <w:rPr/>
        <w:t> </w:t>
      </w:r>
      <w:r>
        <w:rPr>
          <w:spacing w:val="-2"/>
        </w:rPr>
        <w:t> </w:t>
      </w:r>
      <w:r>
        <w:rPr>
          <w:w w:val="104"/>
        </w:rPr>
        <w:t>e </w:t>
      </w:r>
      <w:r>
        <w:rPr>
          <w:w w:val="110"/>
        </w:rPr>
        <w:t>identificación de soluciones a problemas graves. En este proceso de- bemos ampliar la perspectiva de los asuntos internacionales, y esto</w:t>
      </w:r>
      <w:r>
        <w:rPr>
          <w:spacing w:val="16"/>
          <w:w w:val="110"/>
        </w:rPr>
        <w:t> </w:t>
      </w:r>
      <w:r>
        <w:rPr>
          <w:w w:val="110"/>
        </w:rPr>
        <w:t>es</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98"/>
        <w:jc w:val="both"/>
      </w:pPr>
      <w:r>
        <w:rPr>
          <w:spacing w:val="-1"/>
          <w:w w:val="109"/>
        </w:rPr>
        <w:t>especialment</w:t>
      </w:r>
      <w:r>
        <w:rPr>
          <w:w w:val="109"/>
        </w:rPr>
        <w:t>e</w:t>
      </w:r>
      <w:r>
        <w:rPr>
          <w:spacing w:val="4"/>
        </w:rPr>
        <w:t> </w:t>
      </w:r>
      <w:r>
        <w:rPr>
          <w:spacing w:val="-1"/>
          <w:w w:val="106"/>
        </w:rPr>
        <w:t>relevant</w:t>
      </w:r>
      <w:r>
        <w:rPr>
          <w:w w:val="106"/>
        </w:rPr>
        <w:t>e</w:t>
      </w:r>
      <w:r>
        <w:rPr>
          <w:spacing w:val="4"/>
        </w:rPr>
        <w:t> </w:t>
      </w:r>
      <w:r>
        <w:rPr>
          <w:spacing w:val="-1"/>
          <w:w w:val="111"/>
        </w:rPr>
        <w:t>a</w:t>
      </w:r>
      <w:r>
        <w:rPr>
          <w:w w:val="111"/>
        </w:rPr>
        <w:t>l</w:t>
      </w:r>
      <w:r>
        <w:rPr>
          <w:spacing w:val="4"/>
        </w:rPr>
        <w:t> </w:t>
      </w:r>
      <w:r>
        <w:rPr>
          <w:spacing w:val="-1"/>
          <w:w w:val="109"/>
        </w:rPr>
        <w:t>escribi</w:t>
      </w:r>
      <w:r>
        <w:rPr>
          <w:w w:val="109"/>
        </w:rPr>
        <w:t>r</w:t>
      </w:r>
      <w:r>
        <w:rPr>
          <w:spacing w:val="4"/>
        </w:rPr>
        <w:t> </w:t>
      </w:r>
      <w:r>
        <w:rPr>
          <w:spacing w:val="-1"/>
          <w:w w:val="107"/>
        </w:rPr>
        <w:t>sobr</w:t>
      </w:r>
      <w:r>
        <w:rPr>
          <w:w w:val="107"/>
        </w:rPr>
        <w:t>e</w:t>
      </w:r>
      <w:r>
        <w:rPr>
          <w:spacing w:val="4"/>
        </w:rPr>
        <w:t> </w:t>
      </w:r>
      <w:r>
        <w:rPr>
          <w:spacing w:val="-1"/>
          <w:w w:val="139"/>
        </w:rPr>
        <w:t>a</w:t>
      </w:r>
      <w:r>
        <w:rPr>
          <w:spacing w:val="-1"/>
          <w:w w:val="111"/>
        </w:rPr>
        <w:t>méric</w:t>
      </w:r>
      <w:r>
        <w:rPr>
          <w:w w:val="111"/>
        </w:rPr>
        <w:t>a</w:t>
      </w:r>
      <w:r>
        <w:rPr>
          <w:spacing w:val="4"/>
        </w:rPr>
        <w:t> </w:t>
      </w:r>
      <w:r>
        <w:rPr>
          <w:spacing w:val="-1"/>
          <w:w w:val="243"/>
        </w:rPr>
        <w:t>l</w:t>
      </w:r>
      <w:r>
        <w:rPr>
          <w:spacing w:val="-1"/>
          <w:w w:val="113"/>
        </w:rPr>
        <w:t>atina</w:t>
      </w:r>
      <w:r>
        <w:rPr>
          <w:w w:val="113"/>
        </w:rPr>
        <w:t>,</w:t>
      </w:r>
      <w:r>
        <w:rPr>
          <w:spacing w:val="4"/>
        </w:rPr>
        <w:t> </w:t>
      </w:r>
      <w:r>
        <w:rPr>
          <w:spacing w:val="-1"/>
          <w:w w:val="111"/>
        </w:rPr>
        <w:t>Estado</w:t>
      </w:r>
      <w:r>
        <w:rPr>
          <w:w w:val="111"/>
        </w:rPr>
        <w:t>s</w:t>
      </w:r>
      <w:r>
        <w:rPr>
          <w:spacing w:val="4"/>
        </w:rPr>
        <w:t> </w:t>
      </w:r>
      <w:r>
        <w:rPr>
          <w:spacing w:val="-1"/>
          <w:w w:val="140"/>
        </w:rPr>
        <w:t>u</w:t>
      </w:r>
      <w:r>
        <w:rPr>
          <w:spacing w:val="-1"/>
          <w:w w:val="113"/>
        </w:rPr>
        <w:t>n</w:t>
      </w:r>
      <w:r>
        <w:rPr>
          <w:spacing w:val="-2"/>
          <w:w w:val="113"/>
        </w:rPr>
        <w:t>i</w:t>
      </w:r>
      <w:r>
        <w:rPr>
          <w:w w:val="102"/>
        </w:rPr>
        <w:t>- </w:t>
      </w:r>
      <w:r>
        <w:rPr>
          <w:w w:val="115"/>
        </w:rPr>
        <w:t>dos</w:t>
      </w:r>
      <w:r>
        <w:rPr>
          <w:spacing w:val="-13"/>
          <w:w w:val="115"/>
        </w:rPr>
        <w:t> </w:t>
      </w:r>
      <w:r>
        <w:rPr>
          <w:w w:val="115"/>
        </w:rPr>
        <w:t>y</w:t>
      </w:r>
      <w:r>
        <w:rPr>
          <w:spacing w:val="-13"/>
          <w:w w:val="115"/>
        </w:rPr>
        <w:t> </w:t>
      </w:r>
      <w:r>
        <w:rPr>
          <w:w w:val="115"/>
        </w:rPr>
        <w:t>otras</w:t>
      </w:r>
      <w:r>
        <w:rPr>
          <w:spacing w:val="-13"/>
          <w:w w:val="115"/>
        </w:rPr>
        <w:t> </w:t>
      </w:r>
      <w:r>
        <w:rPr>
          <w:w w:val="115"/>
        </w:rPr>
        <w:t>regiones</w:t>
      </w:r>
      <w:r>
        <w:rPr>
          <w:spacing w:val="-13"/>
          <w:w w:val="115"/>
        </w:rPr>
        <w:t> </w:t>
      </w:r>
      <w:r>
        <w:rPr>
          <w:w w:val="115"/>
        </w:rPr>
        <w:t>del</w:t>
      </w:r>
      <w:r>
        <w:rPr>
          <w:spacing w:val="-13"/>
          <w:w w:val="115"/>
        </w:rPr>
        <w:t> </w:t>
      </w:r>
      <w:r>
        <w:rPr>
          <w:w w:val="115"/>
        </w:rPr>
        <w:t>mundo.</w:t>
      </w:r>
      <w:r>
        <w:rPr>
          <w:spacing w:val="-13"/>
          <w:w w:val="115"/>
        </w:rPr>
        <w:t> </w:t>
      </w:r>
      <w:r>
        <w:rPr>
          <w:w w:val="115"/>
        </w:rPr>
        <w:t>Es</w:t>
      </w:r>
      <w:r>
        <w:rPr>
          <w:spacing w:val="-13"/>
          <w:w w:val="115"/>
        </w:rPr>
        <w:t> </w:t>
      </w:r>
      <w:r>
        <w:rPr>
          <w:w w:val="115"/>
        </w:rPr>
        <w:t>un</w:t>
      </w:r>
      <w:r>
        <w:rPr>
          <w:spacing w:val="-13"/>
          <w:w w:val="115"/>
        </w:rPr>
        <w:t> </w:t>
      </w:r>
      <w:r>
        <w:rPr>
          <w:w w:val="115"/>
        </w:rPr>
        <w:t>gran</w:t>
      </w:r>
      <w:r>
        <w:rPr>
          <w:spacing w:val="-13"/>
          <w:w w:val="115"/>
        </w:rPr>
        <w:t> </w:t>
      </w:r>
      <w:r>
        <w:rPr>
          <w:w w:val="115"/>
        </w:rPr>
        <w:t>honor</w:t>
      </w:r>
      <w:r>
        <w:rPr>
          <w:spacing w:val="-13"/>
          <w:w w:val="115"/>
        </w:rPr>
        <w:t> </w:t>
      </w:r>
      <w:r>
        <w:rPr>
          <w:w w:val="115"/>
        </w:rPr>
        <w:t>para</w:t>
      </w:r>
      <w:r>
        <w:rPr>
          <w:spacing w:val="-13"/>
          <w:w w:val="115"/>
        </w:rPr>
        <w:t> </w:t>
      </w:r>
      <w:r>
        <w:rPr>
          <w:w w:val="115"/>
        </w:rPr>
        <w:t>mí</w:t>
      </w:r>
      <w:r>
        <w:rPr>
          <w:spacing w:val="-13"/>
          <w:w w:val="115"/>
        </w:rPr>
        <w:t> </w:t>
      </w:r>
      <w:r>
        <w:rPr>
          <w:w w:val="115"/>
        </w:rPr>
        <w:t>haber</w:t>
      </w:r>
      <w:r>
        <w:rPr>
          <w:spacing w:val="-13"/>
          <w:w w:val="115"/>
        </w:rPr>
        <w:t> </w:t>
      </w:r>
      <w:r>
        <w:rPr>
          <w:w w:val="115"/>
        </w:rPr>
        <w:t>sido </w:t>
      </w:r>
      <w:r>
        <w:rPr>
          <w:spacing w:val="-1"/>
          <w:w w:val="109"/>
        </w:rPr>
        <w:t>invitad</w:t>
      </w:r>
      <w:r>
        <w:rPr>
          <w:w w:val="109"/>
        </w:rPr>
        <w:t>o</w:t>
      </w:r>
      <w:r>
        <w:rPr/>
        <w:t> </w:t>
      </w:r>
      <w:r>
        <w:rPr>
          <w:spacing w:val="-17"/>
        </w:rPr>
        <w:t> </w:t>
      </w:r>
      <w:r>
        <w:rPr>
          <w:w w:val="112"/>
        </w:rPr>
        <w:t>a</w:t>
      </w:r>
      <w:r>
        <w:rPr/>
        <w:t> </w:t>
      </w:r>
      <w:r>
        <w:rPr>
          <w:spacing w:val="-17"/>
        </w:rPr>
        <w:t> </w:t>
      </w:r>
      <w:r>
        <w:rPr>
          <w:spacing w:val="-1"/>
          <w:w w:val="110"/>
        </w:rPr>
        <w:t>unirm</w:t>
      </w:r>
      <w:r>
        <w:rPr>
          <w:w w:val="110"/>
        </w:rPr>
        <w:t>e</w:t>
      </w:r>
      <w:r>
        <w:rPr/>
        <w:t> </w:t>
      </w:r>
      <w:r>
        <w:rPr>
          <w:spacing w:val="-17"/>
        </w:rPr>
        <w:t> </w:t>
      </w:r>
      <w:r>
        <w:rPr>
          <w:w w:val="112"/>
        </w:rPr>
        <w:t>a</w:t>
      </w:r>
      <w:r>
        <w:rPr/>
        <w:t> </w:t>
      </w:r>
      <w:r>
        <w:rPr>
          <w:spacing w:val="-17"/>
        </w:rPr>
        <w:t> </w:t>
      </w:r>
      <w:r>
        <w:rPr>
          <w:spacing w:val="-1"/>
          <w:w w:val="110"/>
        </w:rPr>
        <w:t>compañero</w:t>
      </w:r>
      <w:r>
        <w:rPr>
          <w:w w:val="110"/>
        </w:rPr>
        <w:t>s</w:t>
      </w:r>
      <w:r>
        <w:rPr/>
        <w:t> </w:t>
      </w:r>
      <w:r>
        <w:rPr>
          <w:spacing w:val="-17"/>
        </w:rPr>
        <w:t> </w:t>
      </w:r>
      <w:r>
        <w:rPr>
          <w:spacing w:val="-1"/>
          <w:w w:val="107"/>
        </w:rPr>
        <w:t>d</w:t>
      </w:r>
      <w:r>
        <w:rPr>
          <w:w w:val="107"/>
        </w:rPr>
        <w:t>e</w:t>
      </w:r>
      <w:r>
        <w:rPr/>
        <w:t> </w:t>
      </w:r>
      <w:r>
        <w:rPr>
          <w:spacing w:val="-17"/>
        </w:rPr>
        <w:t> </w:t>
      </w:r>
      <w:r>
        <w:rPr>
          <w:spacing w:val="-1"/>
          <w:w w:val="139"/>
        </w:rPr>
        <w:t>a</w:t>
      </w:r>
      <w:r>
        <w:rPr>
          <w:spacing w:val="-1"/>
          <w:w w:val="111"/>
        </w:rPr>
        <w:t>méric</w:t>
      </w:r>
      <w:r>
        <w:rPr>
          <w:w w:val="111"/>
        </w:rPr>
        <w:t>a</w:t>
      </w:r>
      <w:r>
        <w:rPr/>
        <w:t> </w:t>
      </w:r>
      <w:r>
        <w:rPr>
          <w:spacing w:val="-17"/>
        </w:rPr>
        <w:t> </w:t>
      </w:r>
      <w:r>
        <w:rPr>
          <w:spacing w:val="-1"/>
          <w:w w:val="243"/>
        </w:rPr>
        <w:t>l</w:t>
      </w:r>
      <w:r>
        <w:rPr>
          <w:spacing w:val="-1"/>
          <w:w w:val="111"/>
        </w:rPr>
        <w:t>atin</w:t>
      </w:r>
      <w:r>
        <w:rPr>
          <w:w w:val="111"/>
        </w:rPr>
        <w:t>a</w:t>
      </w:r>
      <w:r>
        <w:rPr/>
        <w:t> </w:t>
      </w:r>
      <w:r>
        <w:rPr>
          <w:spacing w:val="-17"/>
        </w:rPr>
        <w:t> </w:t>
      </w:r>
      <w:r>
        <w:rPr>
          <w:spacing w:val="-1"/>
          <w:w w:val="111"/>
        </w:rPr>
        <w:t>a</w:t>
      </w:r>
      <w:r>
        <w:rPr>
          <w:w w:val="111"/>
        </w:rPr>
        <w:t>l</w:t>
      </w:r>
      <w:r>
        <w:rPr/>
        <w:t> </w:t>
      </w:r>
      <w:r>
        <w:rPr>
          <w:spacing w:val="-17"/>
        </w:rPr>
        <w:t> </w:t>
      </w:r>
      <w:r>
        <w:rPr>
          <w:spacing w:val="-1"/>
          <w:w w:val="107"/>
        </w:rPr>
        <w:t>presenta</w:t>
      </w:r>
      <w:r>
        <w:rPr>
          <w:w w:val="107"/>
        </w:rPr>
        <w:t>r</w:t>
      </w:r>
      <w:r>
        <w:rPr/>
        <w:t> </w:t>
      </w:r>
      <w:r>
        <w:rPr>
          <w:spacing w:val="-17"/>
        </w:rPr>
        <w:t> </w:t>
      </w:r>
      <w:r>
        <w:rPr>
          <w:spacing w:val="-1"/>
          <w:w w:val="105"/>
        </w:rPr>
        <w:t>este </w:t>
      </w:r>
      <w:r>
        <w:rPr>
          <w:w w:val="115"/>
        </w:rPr>
        <w:t>breve</w:t>
      </w:r>
      <w:r>
        <w:rPr>
          <w:spacing w:val="-28"/>
          <w:w w:val="115"/>
        </w:rPr>
        <w:t> </w:t>
      </w:r>
      <w:r>
        <w:rPr>
          <w:w w:val="115"/>
        </w:rPr>
        <w:t>prólogo.</w:t>
      </w:r>
      <w:r>
        <w:rPr>
          <w:spacing w:val="-28"/>
          <w:w w:val="115"/>
        </w:rPr>
        <w:t> </w:t>
      </w:r>
      <w:r>
        <w:rPr>
          <w:w w:val="115"/>
        </w:rPr>
        <w:t>Hace</w:t>
      </w:r>
      <w:r>
        <w:rPr>
          <w:spacing w:val="-28"/>
          <w:w w:val="115"/>
        </w:rPr>
        <w:t> </w:t>
      </w:r>
      <w:r>
        <w:rPr>
          <w:w w:val="115"/>
        </w:rPr>
        <w:t>una</w:t>
      </w:r>
      <w:r>
        <w:rPr>
          <w:spacing w:val="-28"/>
          <w:w w:val="115"/>
        </w:rPr>
        <w:t> </w:t>
      </w:r>
      <w:r>
        <w:rPr>
          <w:w w:val="115"/>
        </w:rPr>
        <w:t>década</w:t>
      </w:r>
      <w:r>
        <w:rPr>
          <w:spacing w:val="-28"/>
          <w:w w:val="115"/>
        </w:rPr>
        <w:t> </w:t>
      </w:r>
      <w:r>
        <w:rPr>
          <w:w w:val="115"/>
        </w:rPr>
        <w:t>iniciamos</w:t>
      </w:r>
      <w:r>
        <w:rPr>
          <w:spacing w:val="-28"/>
          <w:w w:val="115"/>
        </w:rPr>
        <w:t> </w:t>
      </w:r>
      <w:r>
        <w:rPr>
          <w:w w:val="115"/>
        </w:rPr>
        <w:t>esta</w:t>
      </w:r>
      <w:r>
        <w:rPr>
          <w:spacing w:val="-28"/>
          <w:w w:val="115"/>
        </w:rPr>
        <w:t> </w:t>
      </w:r>
      <w:r>
        <w:rPr>
          <w:w w:val="115"/>
        </w:rPr>
        <w:t>colaboración</w:t>
      </w:r>
      <w:r>
        <w:rPr>
          <w:spacing w:val="-28"/>
          <w:w w:val="115"/>
        </w:rPr>
        <w:t> </w:t>
      </w:r>
      <w:r>
        <w:rPr>
          <w:w w:val="115"/>
        </w:rPr>
        <w:t>conjunta gracias</w:t>
      </w:r>
      <w:r>
        <w:rPr>
          <w:spacing w:val="-13"/>
          <w:w w:val="115"/>
        </w:rPr>
        <w:t> </w:t>
      </w:r>
      <w:r>
        <w:rPr>
          <w:w w:val="115"/>
        </w:rPr>
        <w:t>a</w:t>
      </w:r>
      <w:r>
        <w:rPr>
          <w:spacing w:val="-13"/>
          <w:w w:val="115"/>
        </w:rPr>
        <w:t> </w:t>
      </w:r>
      <w:r>
        <w:rPr>
          <w:w w:val="115"/>
        </w:rPr>
        <w:t>la</w:t>
      </w:r>
      <w:r>
        <w:rPr>
          <w:spacing w:val="-13"/>
          <w:w w:val="115"/>
        </w:rPr>
        <w:t> </w:t>
      </w:r>
      <w:r>
        <w:rPr>
          <w:w w:val="115"/>
        </w:rPr>
        <w:t>publicación</w:t>
      </w:r>
      <w:r>
        <w:rPr>
          <w:spacing w:val="-13"/>
          <w:w w:val="115"/>
        </w:rPr>
        <w:t> </w:t>
      </w:r>
      <w:r>
        <w:rPr>
          <w:w w:val="115"/>
        </w:rPr>
        <w:t>de</w:t>
      </w:r>
      <w:r>
        <w:rPr>
          <w:spacing w:val="-13"/>
          <w:w w:val="115"/>
        </w:rPr>
        <w:t> </w:t>
      </w:r>
      <w:r>
        <w:rPr>
          <w:w w:val="115"/>
        </w:rPr>
        <w:t>un</w:t>
      </w:r>
      <w:r>
        <w:rPr>
          <w:spacing w:val="-13"/>
          <w:w w:val="115"/>
        </w:rPr>
        <w:t> </w:t>
      </w:r>
      <w:r>
        <w:rPr>
          <w:w w:val="115"/>
        </w:rPr>
        <w:t>volumen</w:t>
      </w:r>
      <w:r>
        <w:rPr>
          <w:spacing w:val="-13"/>
          <w:w w:val="115"/>
        </w:rPr>
        <w:t> </w:t>
      </w:r>
      <w:r>
        <w:rPr>
          <w:w w:val="115"/>
        </w:rPr>
        <w:t>titulado</w:t>
      </w:r>
      <w:r>
        <w:rPr>
          <w:spacing w:val="-13"/>
          <w:w w:val="115"/>
        </w:rPr>
        <w:t> </w:t>
      </w:r>
      <w:r>
        <w:rPr>
          <w:w w:val="115"/>
        </w:rPr>
        <w:t>“Crisis</w:t>
      </w:r>
      <w:r>
        <w:rPr>
          <w:spacing w:val="-13"/>
          <w:w w:val="115"/>
        </w:rPr>
        <w:t> </w:t>
      </w:r>
      <w:r>
        <w:rPr>
          <w:w w:val="115"/>
        </w:rPr>
        <w:t>de</w:t>
      </w:r>
      <w:r>
        <w:rPr>
          <w:spacing w:val="-13"/>
          <w:w w:val="115"/>
        </w:rPr>
        <w:t> </w:t>
      </w:r>
      <w:r>
        <w:rPr>
          <w:w w:val="115"/>
        </w:rPr>
        <w:t>la</w:t>
      </w:r>
      <w:r>
        <w:rPr>
          <w:spacing w:val="-13"/>
          <w:w w:val="115"/>
        </w:rPr>
        <w:t> </w:t>
      </w:r>
      <w:r>
        <w:rPr>
          <w:w w:val="115"/>
        </w:rPr>
        <w:t>hegemo- nía</w:t>
      </w:r>
      <w:r>
        <w:rPr>
          <w:spacing w:val="-28"/>
          <w:w w:val="115"/>
        </w:rPr>
        <w:t> </w:t>
      </w:r>
      <w:r>
        <w:rPr>
          <w:w w:val="115"/>
        </w:rPr>
        <w:t>estadounidense”,</w:t>
      </w:r>
      <w:r>
        <w:rPr>
          <w:spacing w:val="-28"/>
          <w:w w:val="115"/>
        </w:rPr>
        <w:t> </w:t>
      </w:r>
      <w:r>
        <w:rPr>
          <w:w w:val="115"/>
        </w:rPr>
        <w:t>publicado</w:t>
      </w:r>
      <w:r>
        <w:rPr>
          <w:spacing w:val="-28"/>
          <w:w w:val="115"/>
        </w:rPr>
        <w:t> </w:t>
      </w:r>
      <w:r>
        <w:rPr>
          <w:w w:val="115"/>
        </w:rPr>
        <w:t>por</w:t>
      </w:r>
      <w:r>
        <w:rPr>
          <w:spacing w:val="-28"/>
          <w:w w:val="115"/>
        </w:rPr>
        <w:t> </w:t>
      </w:r>
      <w:r>
        <w:rPr>
          <w:w w:val="115"/>
        </w:rPr>
        <w:t>primera</w:t>
      </w:r>
      <w:r>
        <w:rPr>
          <w:spacing w:val="-28"/>
          <w:w w:val="115"/>
        </w:rPr>
        <w:t> </w:t>
      </w:r>
      <w:r>
        <w:rPr>
          <w:w w:val="115"/>
        </w:rPr>
        <w:t>vez</w:t>
      </w:r>
      <w:r>
        <w:rPr>
          <w:spacing w:val="-28"/>
          <w:w w:val="115"/>
        </w:rPr>
        <w:t> </w:t>
      </w:r>
      <w:r>
        <w:rPr>
          <w:w w:val="115"/>
        </w:rPr>
        <w:t>en</w:t>
      </w:r>
      <w:r>
        <w:rPr>
          <w:spacing w:val="-28"/>
          <w:w w:val="115"/>
        </w:rPr>
        <w:t> </w:t>
      </w:r>
      <w:r>
        <w:rPr>
          <w:w w:val="115"/>
        </w:rPr>
        <w:t>inglés</w:t>
      </w:r>
      <w:r>
        <w:rPr>
          <w:spacing w:val="-28"/>
          <w:w w:val="115"/>
        </w:rPr>
        <w:t> </w:t>
      </w:r>
      <w:r>
        <w:rPr>
          <w:w w:val="115"/>
        </w:rPr>
        <w:t>en</w:t>
      </w:r>
      <w:r>
        <w:rPr>
          <w:spacing w:val="-28"/>
          <w:w w:val="115"/>
        </w:rPr>
        <w:t> </w:t>
      </w:r>
      <w:r>
        <w:rPr>
          <w:w w:val="115"/>
        </w:rPr>
        <w:t>la</w:t>
      </w:r>
      <w:r>
        <w:rPr>
          <w:spacing w:val="-28"/>
          <w:w w:val="115"/>
        </w:rPr>
        <w:t> </w:t>
      </w:r>
      <w:r>
        <w:rPr>
          <w:w w:val="115"/>
        </w:rPr>
        <w:t>revista bimestral</w:t>
      </w:r>
      <w:r>
        <w:rPr>
          <w:spacing w:val="-16"/>
          <w:w w:val="115"/>
        </w:rPr>
        <w:t> </w:t>
      </w:r>
      <w:r>
        <w:rPr>
          <w:w w:val="115"/>
        </w:rPr>
        <w:t>progresiva</w:t>
      </w:r>
      <w:r>
        <w:rPr>
          <w:spacing w:val="-16"/>
          <w:w w:val="115"/>
        </w:rPr>
        <w:t> </w:t>
      </w:r>
      <w:r>
        <w:rPr>
          <w:i/>
          <w:w w:val="115"/>
        </w:rPr>
        <w:t>Latin</w:t>
      </w:r>
      <w:r>
        <w:rPr>
          <w:i/>
          <w:spacing w:val="-16"/>
          <w:w w:val="115"/>
        </w:rPr>
        <w:t> </w:t>
      </w:r>
      <w:r>
        <w:rPr>
          <w:i/>
          <w:w w:val="115"/>
        </w:rPr>
        <w:t>American</w:t>
      </w:r>
      <w:r>
        <w:rPr>
          <w:i/>
          <w:spacing w:val="-16"/>
          <w:w w:val="115"/>
        </w:rPr>
        <w:t> </w:t>
      </w:r>
      <w:r>
        <w:rPr>
          <w:i/>
          <w:w w:val="115"/>
        </w:rPr>
        <w:t>Perspectives</w:t>
      </w:r>
      <w:r>
        <w:rPr>
          <w:i/>
          <w:spacing w:val="-16"/>
          <w:w w:val="115"/>
        </w:rPr>
        <w:t> </w:t>
      </w:r>
      <w:r>
        <w:rPr>
          <w:w w:val="115"/>
        </w:rPr>
        <w:t>(laP)</w:t>
      </w:r>
      <w:r>
        <w:rPr>
          <w:spacing w:val="-16"/>
          <w:w w:val="115"/>
        </w:rPr>
        <w:t> </w:t>
      </w:r>
      <w:r>
        <w:rPr>
          <w:spacing w:val="-4"/>
          <w:w w:val="115"/>
        </w:rPr>
        <w:t>(Vol.</w:t>
      </w:r>
      <w:r>
        <w:rPr>
          <w:spacing w:val="-16"/>
          <w:w w:val="115"/>
        </w:rPr>
        <w:t> </w:t>
      </w:r>
      <w:r>
        <w:rPr>
          <w:w w:val="115"/>
        </w:rPr>
        <w:t>34,</w:t>
      </w:r>
      <w:r>
        <w:rPr>
          <w:spacing w:val="-16"/>
          <w:w w:val="115"/>
        </w:rPr>
        <w:t> </w:t>
      </w:r>
      <w:r>
        <w:rPr>
          <w:w w:val="115"/>
        </w:rPr>
        <w:t>Nº</w:t>
      </w:r>
      <w:r>
        <w:rPr>
          <w:spacing w:val="-16"/>
          <w:w w:val="115"/>
        </w:rPr>
        <w:t> </w:t>
      </w:r>
      <w:r>
        <w:rPr>
          <w:w w:val="115"/>
        </w:rPr>
        <w:t>1, enero</w:t>
      </w:r>
      <w:r>
        <w:rPr>
          <w:spacing w:val="-28"/>
          <w:w w:val="115"/>
        </w:rPr>
        <w:t> </w:t>
      </w:r>
      <w:r>
        <w:rPr>
          <w:w w:val="115"/>
        </w:rPr>
        <w:t>2007),</w:t>
      </w:r>
      <w:r>
        <w:rPr>
          <w:spacing w:val="-28"/>
          <w:w w:val="115"/>
        </w:rPr>
        <w:t> </w:t>
      </w:r>
      <w:r>
        <w:rPr>
          <w:w w:val="115"/>
        </w:rPr>
        <w:t>que</w:t>
      </w:r>
      <w:r>
        <w:rPr>
          <w:spacing w:val="-28"/>
          <w:w w:val="115"/>
        </w:rPr>
        <w:t> </w:t>
      </w:r>
      <w:r>
        <w:rPr>
          <w:w w:val="115"/>
        </w:rPr>
        <w:t>más</w:t>
      </w:r>
      <w:r>
        <w:rPr>
          <w:spacing w:val="-28"/>
          <w:w w:val="115"/>
        </w:rPr>
        <w:t> </w:t>
      </w:r>
      <w:r>
        <w:rPr>
          <w:w w:val="115"/>
        </w:rPr>
        <w:t>tarde</w:t>
      </w:r>
      <w:r>
        <w:rPr>
          <w:spacing w:val="-28"/>
          <w:w w:val="115"/>
        </w:rPr>
        <w:t> </w:t>
      </w:r>
      <w:r>
        <w:rPr>
          <w:w w:val="115"/>
        </w:rPr>
        <w:t>sería</w:t>
      </w:r>
      <w:r>
        <w:rPr>
          <w:spacing w:val="-28"/>
          <w:w w:val="115"/>
        </w:rPr>
        <w:t> </w:t>
      </w:r>
      <w:r>
        <w:rPr>
          <w:w w:val="115"/>
        </w:rPr>
        <w:t>publicada</w:t>
      </w:r>
      <w:r>
        <w:rPr>
          <w:spacing w:val="-28"/>
          <w:w w:val="115"/>
        </w:rPr>
        <w:t> </w:t>
      </w:r>
      <w:r>
        <w:rPr>
          <w:w w:val="115"/>
        </w:rPr>
        <w:t>en</w:t>
      </w:r>
      <w:r>
        <w:rPr>
          <w:spacing w:val="-28"/>
          <w:w w:val="115"/>
        </w:rPr>
        <w:t> </w:t>
      </w:r>
      <w:r>
        <w:rPr>
          <w:w w:val="115"/>
        </w:rPr>
        <w:t>español</w:t>
      </w:r>
      <w:r>
        <w:rPr>
          <w:spacing w:val="-28"/>
          <w:w w:val="115"/>
        </w:rPr>
        <w:t> </w:t>
      </w:r>
      <w:r>
        <w:rPr>
          <w:w w:val="115"/>
        </w:rPr>
        <w:t>como</w:t>
      </w:r>
      <w:r>
        <w:rPr>
          <w:spacing w:val="-28"/>
          <w:w w:val="115"/>
        </w:rPr>
        <w:t> </w:t>
      </w:r>
      <w:r>
        <w:rPr>
          <w:w w:val="115"/>
        </w:rPr>
        <w:t>el</w:t>
      </w:r>
      <w:r>
        <w:rPr>
          <w:spacing w:val="-28"/>
          <w:w w:val="115"/>
        </w:rPr>
        <w:t> </w:t>
      </w:r>
      <w:r>
        <w:rPr>
          <w:w w:val="115"/>
        </w:rPr>
        <w:t>prime- ro</w:t>
      </w:r>
      <w:r>
        <w:rPr>
          <w:spacing w:val="-21"/>
          <w:w w:val="115"/>
        </w:rPr>
        <w:t> </w:t>
      </w:r>
      <w:r>
        <w:rPr>
          <w:w w:val="115"/>
        </w:rPr>
        <w:t>de</w:t>
      </w:r>
      <w:r>
        <w:rPr>
          <w:spacing w:val="-21"/>
          <w:w w:val="115"/>
        </w:rPr>
        <w:t> </w:t>
      </w:r>
      <w:r>
        <w:rPr>
          <w:w w:val="115"/>
        </w:rPr>
        <w:t>cuatro</w:t>
      </w:r>
      <w:r>
        <w:rPr>
          <w:spacing w:val="-21"/>
          <w:w w:val="115"/>
        </w:rPr>
        <w:t> </w:t>
      </w:r>
      <w:r>
        <w:rPr>
          <w:w w:val="115"/>
        </w:rPr>
        <w:t>volúmenes</w:t>
      </w:r>
      <w:r>
        <w:rPr>
          <w:spacing w:val="-21"/>
          <w:w w:val="115"/>
        </w:rPr>
        <w:t> </w:t>
      </w:r>
      <w:r>
        <w:rPr>
          <w:w w:val="115"/>
        </w:rPr>
        <w:t>de</w:t>
      </w:r>
      <w:r>
        <w:rPr>
          <w:spacing w:val="-21"/>
          <w:w w:val="115"/>
        </w:rPr>
        <w:t> </w:t>
      </w:r>
      <w:r>
        <w:rPr>
          <w:w w:val="115"/>
        </w:rPr>
        <w:t>una</w:t>
      </w:r>
      <w:r>
        <w:rPr>
          <w:spacing w:val="-21"/>
          <w:w w:val="115"/>
        </w:rPr>
        <w:t> </w:t>
      </w:r>
      <w:r>
        <w:rPr>
          <w:w w:val="115"/>
        </w:rPr>
        <w:t>colección</w:t>
      </w:r>
      <w:r>
        <w:rPr>
          <w:spacing w:val="-21"/>
          <w:w w:val="115"/>
        </w:rPr>
        <w:t> </w:t>
      </w:r>
      <w:r>
        <w:rPr>
          <w:w w:val="115"/>
        </w:rPr>
        <w:t>publicada</w:t>
      </w:r>
      <w:r>
        <w:rPr>
          <w:spacing w:val="-21"/>
          <w:w w:val="115"/>
        </w:rPr>
        <w:t> </w:t>
      </w:r>
      <w:r>
        <w:rPr>
          <w:w w:val="115"/>
        </w:rPr>
        <w:t>por</w:t>
      </w:r>
      <w:r>
        <w:rPr>
          <w:spacing w:val="-21"/>
          <w:w w:val="115"/>
        </w:rPr>
        <w:t> </w:t>
      </w:r>
      <w:r>
        <w:rPr>
          <w:w w:val="115"/>
        </w:rPr>
        <w:t>la</w:t>
      </w:r>
      <w:r>
        <w:rPr>
          <w:spacing w:val="-21"/>
          <w:w w:val="115"/>
        </w:rPr>
        <w:t> </w:t>
      </w:r>
      <w:r>
        <w:rPr>
          <w:w w:val="115"/>
        </w:rPr>
        <w:t>distinguida Editorial</w:t>
      </w:r>
      <w:r>
        <w:rPr>
          <w:spacing w:val="-16"/>
          <w:w w:val="115"/>
        </w:rPr>
        <w:t> </w:t>
      </w:r>
      <w:r>
        <w:rPr>
          <w:w w:val="115"/>
        </w:rPr>
        <w:t>siglo</w:t>
      </w:r>
      <w:r>
        <w:rPr>
          <w:spacing w:val="-16"/>
          <w:w w:val="115"/>
        </w:rPr>
        <w:t> </w:t>
      </w:r>
      <w:r>
        <w:rPr>
          <w:w w:val="135"/>
        </w:rPr>
        <w:t>xxi.</w:t>
      </w:r>
      <w:r>
        <w:rPr>
          <w:spacing w:val="-25"/>
          <w:w w:val="135"/>
        </w:rPr>
        <w:t> </w:t>
      </w:r>
      <w:r>
        <w:rPr>
          <w:w w:val="115"/>
        </w:rPr>
        <w:t>Entre</w:t>
      </w:r>
      <w:r>
        <w:rPr>
          <w:spacing w:val="-16"/>
          <w:w w:val="115"/>
        </w:rPr>
        <w:t> </w:t>
      </w:r>
      <w:r>
        <w:rPr>
          <w:w w:val="115"/>
        </w:rPr>
        <w:t>los</w:t>
      </w:r>
      <w:r>
        <w:rPr>
          <w:spacing w:val="-16"/>
          <w:w w:val="115"/>
        </w:rPr>
        <w:t> </w:t>
      </w:r>
      <w:r>
        <w:rPr>
          <w:w w:val="115"/>
        </w:rPr>
        <w:t>autores</w:t>
      </w:r>
      <w:r>
        <w:rPr>
          <w:spacing w:val="-16"/>
          <w:w w:val="115"/>
        </w:rPr>
        <w:t> </w:t>
      </w:r>
      <w:r>
        <w:rPr>
          <w:w w:val="115"/>
        </w:rPr>
        <w:t>participantes</w:t>
      </w:r>
      <w:r>
        <w:rPr>
          <w:spacing w:val="-16"/>
          <w:w w:val="115"/>
        </w:rPr>
        <w:t> </w:t>
      </w:r>
      <w:r>
        <w:rPr>
          <w:w w:val="115"/>
        </w:rPr>
        <w:t>se</w:t>
      </w:r>
      <w:r>
        <w:rPr>
          <w:spacing w:val="-16"/>
          <w:w w:val="115"/>
        </w:rPr>
        <w:t> </w:t>
      </w:r>
      <w:r>
        <w:rPr>
          <w:w w:val="115"/>
        </w:rPr>
        <w:t>hallaban</w:t>
      </w:r>
      <w:r>
        <w:rPr>
          <w:spacing w:val="-16"/>
          <w:w w:val="115"/>
        </w:rPr>
        <w:t> </w:t>
      </w:r>
      <w:r>
        <w:rPr>
          <w:w w:val="115"/>
        </w:rPr>
        <w:t>Marco </w:t>
      </w:r>
      <w:r>
        <w:rPr>
          <w:spacing w:val="-1"/>
          <w:w w:val="113"/>
        </w:rPr>
        <w:t>Gandásegui</w:t>
      </w:r>
      <w:r>
        <w:rPr>
          <w:w w:val="113"/>
        </w:rPr>
        <w:t>,</w:t>
      </w:r>
      <w:r>
        <w:rPr/>
        <w:t> </w:t>
      </w:r>
      <w:r>
        <w:rPr>
          <w:spacing w:val="2"/>
        </w:rPr>
        <w:t> </w:t>
      </w:r>
      <w:r>
        <w:rPr>
          <w:spacing w:val="-1"/>
          <w:w w:val="149"/>
        </w:rPr>
        <w:t>o</w:t>
      </w:r>
      <w:r>
        <w:rPr>
          <w:spacing w:val="-1"/>
          <w:w w:val="110"/>
        </w:rPr>
        <w:t>rland</w:t>
      </w:r>
      <w:r>
        <w:rPr>
          <w:w w:val="110"/>
        </w:rPr>
        <w:t>o</w:t>
      </w:r>
      <w:r>
        <w:rPr/>
        <w:t> </w:t>
      </w:r>
      <w:r>
        <w:rPr>
          <w:spacing w:val="2"/>
        </w:rPr>
        <w:t> </w:t>
      </w:r>
      <w:r>
        <w:rPr>
          <w:spacing w:val="-1"/>
          <w:w w:val="113"/>
        </w:rPr>
        <w:t>Caput</w:t>
      </w:r>
      <w:r>
        <w:rPr>
          <w:w w:val="113"/>
        </w:rPr>
        <w:t>o</w:t>
      </w:r>
      <w:r>
        <w:rPr/>
        <w:t> </w:t>
      </w:r>
      <w:r>
        <w:rPr>
          <w:spacing w:val="2"/>
        </w:rPr>
        <w:t> </w:t>
      </w:r>
      <w:r>
        <w:rPr>
          <w:spacing w:val="-1"/>
          <w:w w:val="243"/>
        </w:rPr>
        <w:t>l</w:t>
      </w:r>
      <w:r>
        <w:rPr>
          <w:spacing w:val="-1"/>
          <w:w w:val="110"/>
        </w:rPr>
        <w:t>eiva</w:t>
      </w:r>
      <w:r>
        <w:rPr>
          <w:w w:val="110"/>
        </w:rPr>
        <w:t>,</w:t>
      </w:r>
      <w:r>
        <w:rPr/>
        <w:t> </w:t>
      </w:r>
      <w:r>
        <w:rPr>
          <w:spacing w:val="2"/>
        </w:rPr>
        <w:t> </w:t>
      </w:r>
      <w:r>
        <w:rPr>
          <w:spacing w:val="-1"/>
          <w:w w:val="112"/>
        </w:rPr>
        <w:t>Carlo</w:t>
      </w:r>
      <w:r>
        <w:rPr>
          <w:w w:val="112"/>
        </w:rPr>
        <w:t>s</w:t>
      </w:r>
      <w:r>
        <w:rPr/>
        <w:t> </w:t>
      </w:r>
      <w:r>
        <w:rPr>
          <w:spacing w:val="2"/>
        </w:rPr>
        <w:t> </w:t>
      </w:r>
      <w:r>
        <w:rPr>
          <w:spacing w:val="-1"/>
          <w:w w:val="112"/>
        </w:rPr>
        <w:t>Eduard</w:t>
      </w:r>
      <w:r>
        <w:rPr>
          <w:w w:val="112"/>
        </w:rPr>
        <w:t>o</w:t>
      </w:r>
      <w:r>
        <w:rPr/>
        <w:t> </w:t>
      </w:r>
      <w:r>
        <w:rPr>
          <w:spacing w:val="2"/>
        </w:rPr>
        <w:t> </w:t>
      </w:r>
      <w:r>
        <w:rPr>
          <w:spacing w:val="-1"/>
          <w:w w:val="113"/>
        </w:rPr>
        <w:t>Martins</w:t>
      </w:r>
      <w:r>
        <w:rPr>
          <w:w w:val="113"/>
        </w:rPr>
        <w:t>,</w:t>
      </w:r>
      <w:r>
        <w:rPr/>
        <w:t> </w:t>
      </w:r>
      <w:r>
        <w:rPr>
          <w:spacing w:val="2"/>
        </w:rPr>
        <w:t> </w:t>
      </w:r>
      <w:r>
        <w:rPr>
          <w:spacing w:val="-1"/>
          <w:w w:val="113"/>
        </w:rPr>
        <w:t>Fabio </w:t>
      </w:r>
      <w:r>
        <w:rPr>
          <w:w w:val="115"/>
        </w:rPr>
        <w:t>Grobart sol, Jorge Hernández Martínez, dídimo Castillo Fernández, </w:t>
      </w:r>
      <w:r>
        <w:rPr>
          <w:spacing w:val="-1"/>
          <w:w w:val="139"/>
        </w:rPr>
        <w:t>a</w:t>
      </w:r>
      <w:r>
        <w:rPr>
          <w:spacing w:val="-1"/>
          <w:w w:val="109"/>
        </w:rPr>
        <w:t>lejandr</w:t>
      </w:r>
      <w:r>
        <w:rPr>
          <w:w w:val="109"/>
        </w:rPr>
        <w:t>o</w:t>
      </w:r>
      <w:r>
        <w:rPr>
          <w:spacing w:val="15"/>
        </w:rPr>
        <w:t> </w:t>
      </w:r>
      <w:r>
        <w:rPr>
          <w:spacing w:val="-1"/>
          <w:w w:val="113"/>
        </w:rPr>
        <w:t>Canales</w:t>
      </w:r>
      <w:r>
        <w:rPr>
          <w:w w:val="113"/>
        </w:rPr>
        <w:t>,</w:t>
      </w:r>
      <w:r>
        <w:rPr>
          <w:spacing w:val="15"/>
        </w:rPr>
        <w:t> </w:t>
      </w:r>
      <w:r>
        <w:rPr>
          <w:spacing w:val="-1"/>
          <w:w w:val="109"/>
        </w:rPr>
        <w:t>Ánge</w:t>
      </w:r>
      <w:r>
        <w:rPr>
          <w:w w:val="109"/>
        </w:rPr>
        <w:t>l</w:t>
      </w:r>
      <w:r>
        <w:rPr>
          <w:spacing w:val="15"/>
        </w:rPr>
        <w:t> </w:t>
      </w:r>
      <w:r>
        <w:rPr>
          <w:spacing w:val="-1"/>
          <w:w w:val="111"/>
        </w:rPr>
        <w:t>Quinter</w:t>
      </w:r>
      <w:r>
        <w:rPr>
          <w:w w:val="111"/>
        </w:rPr>
        <w:t>o</w:t>
      </w:r>
      <w:r>
        <w:rPr>
          <w:spacing w:val="15"/>
        </w:rPr>
        <w:t> </w:t>
      </w:r>
      <w:r>
        <w:rPr>
          <w:spacing w:val="-1"/>
          <w:w w:val="182"/>
        </w:rPr>
        <w:t>r</w:t>
      </w:r>
      <w:r>
        <w:rPr>
          <w:spacing w:val="-1"/>
          <w:w w:val="109"/>
        </w:rPr>
        <w:t>ivera</w:t>
      </w:r>
      <w:r>
        <w:rPr>
          <w:w w:val="109"/>
        </w:rPr>
        <w:t>,</w:t>
      </w:r>
      <w:r>
        <w:rPr>
          <w:spacing w:val="15"/>
        </w:rPr>
        <w:t> </w:t>
      </w:r>
      <w:r>
        <w:rPr>
          <w:spacing w:val="-1"/>
          <w:w w:val="243"/>
        </w:rPr>
        <w:t>l</w:t>
      </w:r>
      <w:r>
        <w:rPr>
          <w:spacing w:val="-1"/>
          <w:w w:val="111"/>
        </w:rPr>
        <w:t>ui</w:t>
      </w:r>
      <w:r>
        <w:rPr>
          <w:w w:val="111"/>
        </w:rPr>
        <w:t>s</w:t>
      </w:r>
      <w:r>
        <w:rPr>
          <w:spacing w:val="15"/>
        </w:rPr>
        <w:t> </w:t>
      </w:r>
      <w:r>
        <w:rPr>
          <w:spacing w:val="-1"/>
          <w:w w:val="149"/>
        </w:rPr>
        <w:t>s</w:t>
      </w:r>
      <w:r>
        <w:rPr>
          <w:spacing w:val="-1"/>
          <w:w w:val="109"/>
        </w:rPr>
        <w:t>uáre</w:t>
      </w:r>
      <w:r>
        <w:rPr>
          <w:w w:val="109"/>
        </w:rPr>
        <w:t>z</w:t>
      </w:r>
      <w:r>
        <w:rPr>
          <w:spacing w:val="15"/>
        </w:rPr>
        <w:t> </w:t>
      </w:r>
      <w:r>
        <w:rPr>
          <w:spacing w:val="-1"/>
          <w:w w:val="149"/>
        </w:rPr>
        <w:t>s</w:t>
      </w:r>
      <w:r>
        <w:rPr>
          <w:spacing w:val="-1"/>
          <w:w w:val="112"/>
        </w:rPr>
        <w:t>alaza</w:t>
      </w:r>
      <w:r>
        <w:rPr>
          <w:spacing w:val="-23"/>
          <w:w w:val="105"/>
        </w:rPr>
        <w:t>r</w:t>
      </w:r>
      <w:r>
        <w:rPr>
          <w:w w:val="138"/>
        </w:rPr>
        <w:t>,</w:t>
      </w:r>
      <w:r>
        <w:rPr>
          <w:spacing w:val="15"/>
        </w:rPr>
        <w:t> </w:t>
      </w:r>
      <w:r>
        <w:rPr>
          <w:spacing w:val="-1"/>
          <w:w w:val="116"/>
        </w:rPr>
        <w:t>Jaime </w:t>
      </w:r>
      <w:r>
        <w:rPr>
          <w:w w:val="115"/>
        </w:rPr>
        <w:t>Zuluago Nieto, Catalina </w:t>
      </w:r>
      <w:r>
        <w:rPr>
          <w:spacing w:val="-6"/>
          <w:w w:val="115"/>
        </w:rPr>
        <w:t>toro </w:t>
      </w:r>
      <w:r>
        <w:rPr>
          <w:w w:val="115"/>
        </w:rPr>
        <w:t>Pérez y Gustavo Esteva. Esta iniciativa se llevó a cabo a través de un grupo de trabajo asociado con el Con- </w:t>
      </w:r>
      <w:r>
        <w:rPr>
          <w:spacing w:val="-1"/>
          <w:w w:val="108"/>
        </w:rPr>
        <w:t>sej</w:t>
      </w:r>
      <w:r>
        <w:rPr>
          <w:w w:val="108"/>
        </w:rPr>
        <w:t>o</w:t>
      </w:r>
      <w:r>
        <w:rPr/>
        <w:t> </w:t>
      </w:r>
      <w:r>
        <w:rPr>
          <w:spacing w:val="-17"/>
        </w:rPr>
        <w:t> </w:t>
      </w:r>
      <w:r>
        <w:rPr>
          <w:spacing w:val="-1"/>
          <w:w w:val="243"/>
        </w:rPr>
        <w:t>l</w:t>
      </w:r>
      <w:r>
        <w:rPr>
          <w:spacing w:val="-1"/>
          <w:w w:val="111"/>
        </w:rPr>
        <w:t>atinoamerican</w:t>
      </w:r>
      <w:r>
        <w:rPr>
          <w:w w:val="111"/>
        </w:rPr>
        <w:t>o</w:t>
      </w:r>
      <w:r>
        <w:rPr/>
        <w:t> </w:t>
      </w:r>
      <w:r>
        <w:rPr>
          <w:spacing w:val="-17"/>
        </w:rPr>
        <w:t> </w:t>
      </w:r>
      <w:r>
        <w:rPr>
          <w:spacing w:val="-1"/>
          <w:w w:val="107"/>
        </w:rPr>
        <w:t>d</w:t>
      </w:r>
      <w:r>
        <w:rPr>
          <w:w w:val="107"/>
        </w:rPr>
        <w:t>e</w:t>
      </w:r>
      <w:r>
        <w:rPr/>
        <w:t> </w:t>
      </w:r>
      <w:r>
        <w:rPr>
          <w:spacing w:val="-17"/>
        </w:rPr>
        <w:t> </w:t>
      </w:r>
      <w:r>
        <w:rPr>
          <w:spacing w:val="-1"/>
          <w:w w:val="113"/>
        </w:rPr>
        <w:t>Ciencia</w:t>
      </w:r>
      <w:r>
        <w:rPr>
          <w:w w:val="113"/>
        </w:rPr>
        <w:t>s</w:t>
      </w:r>
      <w:r>
        <w:rPr/>
        <w:t> </w:t>
      </w:r>
      <w:r>
        <w:rPr>
          <w:spacing w:val="-17"/>
        </w:rPr>
        <w:t> </w:t>
      </w:r>
      <w:r>
        <w:rPr>
          <w:spacing w:val="-1"/>
          <w:w w:val="149"/>
        </w:rPr>
        <w:t>s</w:t>
      </w:r>
      <w:r>
        <w:rPr>
          <w:spacing w:val="-1"/>
          <w:w w:val="110"/>
        </w:rPr>
        <w:t>ociale</w:t>
      </w:r>
      <w:r>
        <w:rPr>
          <w:w w:val="110"/>
        </w:rPr>
        <w:t>s</w:t>
      </w:r>
      <w:r>
        <w:rPr/>
        <w:t> </w:t>
      </w:r>
      <w:r>
        <w:rPr>
          <w:spacing w:val="-17"/>
        </w:rPr>
        <w:t> </w:t>
      </w:r>
      <w:r>
        <w:rPr>
          <w:spacing w:val="-1"/>
          <w:w w:val="98"/>
        </w:rPr>
        <w:t>(</w:t>
      </w:r>
      <w:r>
        <w:rPr>
          <w:spacing w:val="-1"/>
          <w:w w:val="124"/>
        </w:rPr>
        <w:t>C</w:t>
      </w:r>
      <w:r>
        <w:rPr>
          <w:spacing w:val="-1"/>
          <w:w w:val="176"/>
        </w:rPr>
        <w:t>la</w:t>
      </w:r>
      <w:r>
        <w:rPr>
          <w:spacing w:val="-1"/>
          <w:w w:val="124"/>
        </w:rPr>
        <w:t>C</w:t>
      </w:r>
      <w:r>
        <w:rPr>
          <w:spacing w:val="-1"/>
          <w:w w:val="149"/>
        </w:rPr>
        <w:t>so</w:t>
      </w:r>
      <w:r>
        <w:rPr>
          <w:spacing w:val="-1"/>
          <w:w w:val="112"/>
        </w:rPr>
        <w:t>)</w:t>
      </w:r>
      <w:r>
        <w:rPr>
          <w:w w:val="112"/>
        </w:rPr>
        <w:t>,</w:t>
      </w:r>
      <w:r>
        <w:rPr/>
        <w:t> </w:t>
      </w:r>
      <w:r>
        <w:rPr>
          <w:spacing w:val="-17"/>
        </w:rPr>
        <w:t> </w:t>
      </w:r>
      <w:r>
        <w:rPr>
          <w:spacing w:val="-1"/>
          <w:w w:val="112"/>
        </w:rPr>
        <w:t>dich</w:t>
      </w:r>
      <w:r>
        <w:rPr>
          <w:w w:val="112"/>
        </w:rPr>
        <w:t>o</w:t>
      </w:r>
      <w:r>
        <w:rPr/>
        <w:t> </w:t>
      </w:r>
      <w:r>
        <w:rPr>
          <w:spacing w:val="-17"/>
        </w:rPr>
        <w:t> </w:t>
      </w:r>
      <w:r>
        <w:rPr>
          <w:spacing w:val="-1"/>
          <w:w w:val="111"/>
        </w:rPr>
        <w:t>Consejo </w:t>
      </w:r>
      <w:r>
        <w:rPr>
          <w:w w:val="115"/>
        </w:rPr>
        <w:t>también había incluido a </w:t>
      </w:r>
      <w:r>
        <w:rPr>
          <w:w w:val="135"/>
        </w:rPr>
        <w:t>laP </w:t>
      </w:r>
      <w:r>
        <w:rPr>
          <w:w w:val="115"/>
        </w:rPr>
        <w:t>como su primera filial de américa del Norte,</w:t>
      </w:r>
      <w:r>
        <w:rPr>
          <w:spacing w:val="-27"/>
          <w:w w:val="115"/>
        </w:rPr>
        <w:t> </w:t>
      </w:r>
      <w:r>
        <w:rPr>
          <w:w w:val="115"/>
        </w:rPr>
        <w:t>una</w:t>
      </w:r>
      <w:r>
        <w:rPr>
          <w:spacing w:val="-27"/>
          <w:w w:val="115"/>
        </w:rPr>
        <w:t> </w:t>
      </w:r>
      <w:r>
        <w:rPr>
          <w:w w:val="115"/>
        </w:rPr>
        <w:t>distinción</w:t>
      </w:r>
      <w:r>
        <w:rPr>
          <w:spacing w:val="-27"/>
          <w:w w:val="115"/>
        </w:rPr>
        <w:t> </w:t>
      </w:r>
      <w:r>
        <w:rPr>
          <w:w w:val="115"/>
        </w:rPr>
        <w:t>de</w:t>
      </w:r>
      <w:r>
        <w:rPr>
          <w:spacing w:val="-27"/>
          <w:w w:val="115"/>
        </w:rPr>
        <w:t> </w:t>
      </w:r>
      <w:r>
        <w:rPr>
          <w:w w:val="115"/>
        </w:rPr>
        <w:t>gran</w:t>
      </w:r>
      <w:r>
        <w:rPr>
          <w:spacing w:val="-27"/>
          <w:w w:val="115"/>
        </w:rPr>
        <w:t> </w:t>
      </w:r>
      <w:r>
        <w:rPr>
          <w:w w:val="115"/>
        </w:rPr>
        <w:t>importancia</w:t>
      </w:r>
      <w:r>
        <w:rPr>
          <w:spacing w:val="-27"/>
          <w:w w:val="115"/>
        </w:rPr>
        <w:t> </w:t>
      </w:r>
      <w:r>
        <w:rPr>
          <w:w w:val="115"/>
        </w:rPr>
        <w:t>para</w:t>
      </w:r>
      <w:r>
        <w:rPr>
          <w:spacing w:val="-27"/>
          <w:w w:val="115"/>
        </w:rPr>
        <w:t> </w:t>
      </w:r>
      <w:r>
        <w:rPr>
          <w:w w:val="115"/>
        </w:rPr>
        <w:t>esta</w:t>
      </w:r>
      <w:r>
        <w:rPr>
          <w:spacing w:val="-27"/>
          <w:w w:val="115"/>
        </w:rPr>
        <w:t> </w:t>
      </w:r>
      <w:r>
        <w:rPr>
          <w:w w:val="115"/>
        </w:rPr>
        <w:t>revista.</w:t>
      </w:r>
      <w:r>
        <w:rPr>
          <w:spacing w:val="-27"/>
          <w:w w:val="115"/>
        </w:rPr>
        <w:t> </w:t>
      </w:r>
      <w:r>
        <w:rPr>
          <w:w w:val="115"/>
        </w:rPr>
        <w:t>Más</w:t>
      </w:r>
      <w:r>
        <w:rPr>
          <w:spacing w:val="-27"/>
          <w:w w:val="115"/>
        </w:rPr>
        <w:t> </w:t>
      </w:r>
      <w:r>
        <w:rPr>
          <w:w w:val="115"/>
        </w:rPr>
        <w:t>tarde nuestros</w:t>
      </w:r>
      <w:r>
        <w:rPr>
          <w:spacing w:val="-15"/>
          <w:w w:val="115"/>
        </w:rPr>
        <w:t> </w:t>
      </w:r>
      <w:r>
        <w:rPr>
          <w:w w:val="115"/>
        </w:rPr>
        <w:t>dos</w:t>
      </w:r>
      <w:r>
        <w:rPr>
          <w:spacing w:val="-15"/>
          <w:w w:val="115"/>
        </w:rPr>
        <w:t> </w:t>
      </w:r>
      <w:r>
        <w:rPr>
          <w:w w:val="115"/>
        </w:rPr>
        <w:t>grupos</w:t>
      </w:r>
      <w:r>
        <w:rPr>
          <w:spacing w:val="-15"/>
          <w:w w:val="115"/>
        </w:rPr>
        <w:t> </w:t>
      </w:r>
      <w:r>
        <w:rPr>
          <w:w w:val="115"/>
        </w:rPr>
        <w:t>colaboraron</w:t>
      </w:r>
      <w:r>
        <w:rPr>
          <w:spacing w:val="-15"/>
          <w:w w:val="115"/>
        </w:rPr>
        <w:t> </w:t>
      </w:r>
      <w:r>
        <w:rPr>
          <w:w w:val="115"/>
        </w:rPr>
        <w:t>en</w:t>
      </w:r>
      <w:r>
        <w:rPr>
          <w:spacing w:val="-15"/>
          <w:w w:val="115"/>
        </w:rPr>
        <w:t> </w:t>
      </w:r>
      <w:r>
        <w:rPr>
          <w:w w:val="115"/>
        </w:rPr>
        <w:t>una</w:t>
      </w:r>
      <w:r>
        <w:rPr>
          <w:spacing w:val="-15"/>
          <w:w w:val="115"/>
        </w:rPr>
        <w:t> </w:t>
      </w:r>
      <w:r>
        <w:rPr>
          <w:w w:val="115"/>
        </w:rPr>
        <w:t>evaluación</w:t>
      </w:r>
      <w:r>
        <w:rPr>
          <w:spacing w:val="-15"/>
          <w:w w:val="115"/>
        </w:rPr>
        <w:t> </w:t>
      </w:r>
      <w:r>
        <w:rPr>
          <w:w w:val="115"/>
        </w:rPr>
        <w:t>crítica</w:t>
      </w:r>
      <w:r>
        <w:rPr>
          <w:spacing w:val="-15"/>
          <w:w w:val="115"/>
        </w:rPr>
        <w:t> </w:t>
      </w:r>
      <w:r>
        <w:rPr>
          <w:w w:val="115"/>
        </w:rPr>
        <w:t>de</w:t>
      </w:r>
      <w:r>
        <w:rPr>
          <w:spacing w:val="-15"/>
          <w:w w:val="115"/>
        </w:rPr>
        <w:t> </w:t>
      </w:r>
      <w:r>
        <w:rPr>
          <w:w w:val="115"/>
        </w:rPr>
        <w:t>la</w:t>
      </w:r>
      <w:r>
        <w:rPr>
          <w:spacing w:val="-15"/>
          <w:w w:val="115"/>
        </w:rPr>
        <w:t> </w:t>
      </w:r>
      <w:r>
        <w:rPr>
          <w:w w:val="115"/>
        </w:rPr>
        <w:t>falla de los Estados unidos bajo la administración de obama en américa </w:t>
      </w:r>
      <w:r>
        <w:rPr>
          <w:spacing w:val="-1"/>
          <w:w w:val="243"/>
        </w:rPr>
        <w:t>l</w:t>
      </w:r>
      <w:r>
        <w:rPr>
          <w:spacing w:val="-1"/>
          <w:w w:val="113"/>
        </w:rPr>
        <w:t>atina</w:t>
      </w:r>
      <w:r>
        <w:rPr>
          <w:w w:val="113"/>
        </w:rPr>
        <w:t>,</w:t>
      </w:r>
      <w:r>
        <w:rPr>
          <w:spacing w:val="8"/>
        </w:rPr>
        <w:t> </w:t>
      </w:r>
      <w:r>
        <w:rPr>
          <w:spacing w:val="-1"/>
          <w:w w:val="110"/>
        </w:rPr>
        <w:t>tambié</w:t>
      </w:r>
      <w:r>
        <w:rPr>
          <w:w w:val="110"/>
        </w:rPr>
        <w:t>n</w:t>
      </w:r>
      <w:r>
        <w:rPr>
          <w:spacing w:val="8"/>
        </w:rPr>
        <w:t> </w:t>
      </w:r>
      <w:r>
        <w:rPr>
          <w:spacing w:val="-1"/>
          <w:w w:val="111"/>
        </w:rPr>
        <w:t>publicad</w:t>
      </w:r>
      <w:r>
        <w:rPr>
          <w:w w:val="111"/>
        </w:rPr>
        <w:t>o</w:t>
      </w:r>
      <w:r>
        <w:rPr>
          <w:spacing w:val="8"/>
        </w:rPr>
        <w:t> </w:t>
      </w:r>
      <w:r>
        <w:rPr>
          <w:spacing w:val="-1"/>
          <w:w w:val="112"/>
        </w:rPr>
        <w:t>com</w:t>
      </w:r>
      <w:r>
        <w:rPr>
          <w:w w:val="112"/>
        </w:rPr>
        <w:t>o</w:t>
      </w:r>
      <w:r>
        <w:rPr>
          <w:spacing w:val="8"/>
        </w:rPr>
        <w:t> </w:t>
      </w:r>
      <w:r>
        <w:rPr>
          <w:spacing w:val="-1"/>
          <w:w w:val="112"/>
        </w:rPr>
        <w:t>“Complacencia</w:t>
      </w:r>
      <w:r>
        <w:rPr>
          <w:w w:val="112"/>
        </w:rPr>
        <w:t>s</w:t>
      </w:r>
      <w:r>
        <w:rPr>
          <w:spacing w:val="8"/>
        </w:rPr>
        <w:t> </w:t>
      </w:r>
      <w:r>
        <w:rPr>
          <w:spacing w:val="-1"/>
          <w:w w:val="108"/>
        </w:rPr>
        <w:t>peligrosas</w:t>
      </w:r>
      <w:r>
        <w:rPr>
          <w:w w:val="108"/>
        </w:rPr>
        <w:t>:</w:t>
      </w:r>
      <w:r>
        <w:rPr>
          <w:spacing w:val="8"/>
        </w:rPr>
        <w:t> </w:t>
      </w:r>
      <w:r>
        <w:rPr>
          <w:spacing w:val="-1"/>
          <w:w w:val="149"/>
        </w:rPr>
        <w:t>o</w:t>
      </w:r>
      <w:r>
        <w:rPr>
          <w:spacing w:val="-1"/>
          <w:w w:val="112"/>
        </w:rPr>
        <w:t>bam</w:t>
      </w:r>
      <w:r>
        <w:rPr>
          <w:w w:val="112"/>
        </w:rPr>
        <w:t>a</w:t>
      </w:r>
      <w:r>
        <w:rPr>
          <w:spacing w:val="8"/>
        </w:rPr>
        <w:t> </w:t>
      </w:r>
      <w:r>
        <w:rPr>
          <w:w w:val="105"/>
        </w:rPr>
        <w:t>y </w:t>
      </w:r>
      <w:r>
        <w:rPr>
          <w:spacing w:val="-1"/>
          <w:w w:val="139"/>
        </w:rPr>
        <w:t>a</w:t>
      </w:r>
      <w:r>
        <w:rPr>
          <w:spacing w:val="-1"/>
          <w:w w:val="111"/>
        </w:rPr>
        <w:t>méric</w:t>
      </w:r>
      <w:r>
        <w:rPr>
          <w:w w:val="111"/>
        </w:rPr>
        <w:t>a</w:t>
      </w:r>
      <w:r>
        <w:rPr>
          <w:spacing w:val="15"/>
        </w:rPr>
        <w:t> </w:t>
      </w:r>
      <w:r>
        <w:rPr>
          <w:spacing w:val="-1"/>
          <w:w w:val="243"/>
        </w:rPr>
        <w:t>l</w:t>
      </w:r>
      <w:r>
        <w:rPr>
          <w:spacing w:val="-1"/>
          <w:w w:val="112"/>
        </w:rPr>
        <w:t>atina</w:t>
      </w:r>
      <w:r>
        <w:rPr>
          <w:w w:val="112"/>
        </w:rPr>
        <w:t>”</w:t>
      </w:r>
      <w:r>
        <w:rPr>
          <w:spacing w:val="15"/>
        </w:rPr>
        <w:t> </w:t>
      </w:r>
      <w:r>
        <w:rPr>
          <w:spacing w:val="-1"/>
          <w:w w:val="108"/>
        </w:rPr>
        <w:t>e</w:t>
      </w:r>
      <w:r>
        <w:rPr>
          <w:w w:val="108"/>
        </w:rPr>
        <w:t>n</w:t>
      </w:r>
      <w:r>
        <w:rPr>
          <w:spacing w:val="15"/>
        </w:rPr>
        <w:t> </w:t>
      </w:r>
      <w:r>
        <w:rPr>
          <w:spacing w:val="-1"/>
          <w:w w:val="176"/>
        </w:rPr>
        <w:t>la</w:t>
      </w:r>
      <w:r>
        <w:rPr>
          <w:w w:val="113"/>
        </w:rPr>
        <w:t>P</w:t>
      </w:r>
      <w:r>
        <w:rPr>
          <w:spacing w:val="15"/>
        </w:rPr>
        <w:t> </w:t>
      </w:r>
      <w:r>
        <w:rPr>
          <w:spacing w:val="-1"/>
          <w:w w:val="111"/>
        </w:rPr>
        <w:t>(</w:t>
      </w:r>
      <w:r>
        <w:rPr>
          <w:spacing w:val="-16"/>
          <w:w w:val="111"/>
        </w:rPr>
        <w:t>V</w:t>
      </w:r>
      <w:r>
        <w:rPr>
          <w:spacing w:val="-1"/>
          <w:w w:val="116"/>
        </w:rPr>
        <w:t>ol</w:t>
      </w:r>
      <w:r>
        <w:rPr>
          <w:w w:val="116"/>
        </w:rPr>
        <w:t>.</w:t>
      </w:r>
      <w:r>
        <w:rPr>
          <w:spacing w:val="15"/>
        </w:rPr>
        <w:t> </w:t>
      </w:r>
      <w:r>
        <w:rPr>
          <w:spacing w:val="-1"/>
          <w:w w:val="108"/>
        </w:rPr>
        <w:t>38</w:t>
      </w:r>
      <w:r>
        <w:rPr>
          <w:w w:val="108"/>
        </w:rPr>
        <w:t>,</w:t>
      </w:r>
      <w:r>
        <w:rPr>
          <w:spacing w:val="15"/>
        </w:rPr>
        <w:t> </w:t>
      </w:r>
      <w:r>
        <w:rPr>
          <w:spacing w:val="-1"/>
          <w:w w:val="105"/>
        </w:rPr>
        <w:t>N</w:t>
      </w:r>
      <w:r>
        <w:rPr>
          <w:w w:val="105"/>
        </w:rPr>
        <w:t>º</w:t>
      </w:r>
      <w:r>
        <w:rPr>
          <w:spacing w:val="15"/>
        </w:rPr>
        <w:t> </w:t>
      </w:r>
      <w:r>
        <w:rPr>
          <w:spacing w:val="-1"/>
          <w:w w:val="112"/>
        </w:rPr>
        <w:t>4</w:t>
      </w:r>
      <w:r>
        <w:rPr>
          <w:w w:val="112"/>
        </w:rPr>
        <w:t>,</w:t>
      </w:r>
      <w:r>
        <w:rPr>
          <w:spacing w:val="15"/>
        </w:rPr>
        <w:t> </w:t>
      </w:r>
      <w:r>
        <w:rPr>
          <w:spacing w:val="-1"/>
          <w:w w:val="112"/>
        </w:rPr>
        <w:t>juli</w:t>
      </w:r>
      <w:r>
        <w:rPr>
          <w:w w:val="112"/>
        </w:rPr>
        <w:t>o</w:t>
      </w:r>
      <w:r>
        <w:rPr>
          <w:spacing w:val="15"/>
        </w:rPr>
        <w:t> </w:t>
      </w:r>
      <w:r>
        <w:rPr>
          <w:spacing w:val="-1"/>
          <w:w w:val="104"/>
        </w:rPr>
        <w:t>2011)</w:t>
      </w:r>
      <w:r>
        <w:rPr>
          <w:w w:val="104"/>
        </w:rPr>
        <w:t>.</w:t>
      </w:r>
      <w:r>
        <w:rPr>
          <w:spacing w:val="15"/>
        </w:rPr>
        <w:t> </w:t>
      </w:r>
      <w:r>
        <w:rPr>
          <w:spacing w:val="-1"/>
          <w:w w:val="142"/>
        </w:rPr>
        <w:t>i</w:t>
      </w:r>
      <w:r>
        <w:rPr>
          <w:spacing w:val="-1"/>
          <w:w w:val="113"/>
        </w:rPr>
        <w:t>ncluí</w:t>
      </w:r>
      <w:r>
        <w:rPr>
          <w:w w:val="113"/>
        </w:rPr>
        <w:t>a</w:t>
      </w:r>
      <w:r>
        <w:rPr>
          <w:spacing w:val="15"/>
        </w:rPr>
        <w:t> </w:t>
      </w:r>
      <w:r>
        <w:rPr>
          <w:spacing w:val="-1"/>
          <w:w w:val="108"/>
        </w:rPr>
        <w:t>ensayo</w:t>
      </w:r>
      <w:r>
        <w:rPr>
          <w:w w:val="108"/>
        </w:rPr>
        <w:t>s</w:t>
      </w:r>
      <w:r>
        <w:rPr>
          <w:spacing w:val="15"/>
        </w:rPr>
        <w:t> </w:t>
      </w:r>
      <w:r>
        <w:rPr>
          <w:spacing w:val="-1"/>
          <w:w w:val="107"/>
        </w:rPr>
        <w:t>de </w:t>
      </w:r>
      <w:r>
        <w:rPr>
          <w:spacing w:val="-1"/>
          <w:w w:val="243"/>
        </w:rPr>
        <w:t>l</w:t>
      </w:r>
      <w:r>
        <w:rPr>
          <w:spacing w:val="-1"/>
          <w:w w:val="111"/>
        </w:rPr>
        <w:t>ui</w:t>
      </w:r>
      <w:r>
        <w:rPr>
          <w:w w:val="111"/>
        </w:rPr>
        <w:t>s</w:t>
      </w:r>
      <w:r>
        <w:rPr>
          <w:spacing w:val="2"/>
        </w:rPr>
        <w:t> </w:t>
      </w:r>
      <w:r>
        <w:rPr>
          <w:spacing w:val="-1"/>
          <w:w w:val="149"/>
        </w:rPr>
        <w:t>s</w:t>
      </w:r>
      <w:r>
        <w:rPr>
          <w:spacing w:val="-1"/>
          <w:w w:val="109"/>
        </w:rPr>
        <w:t>uáre</w:t>
      </w:r>
      <w:r>
        <w:rPr>
          <w:w w:val="109"/>
        </w:rPr>
        <w:t>z</w:t>
      </w:r>
      <w:r>
        <w:rPr>
          <w:spacing w:val="2"/>
        </w:rPr>
        <w:t> </w:t>
      </w:r>
      <w:r>
        <w:rPr>
          <w:spacing w:val="-1"/>
          <w:w w:val="149"/>
        </w:rPr>
        <w:t>s</w:t>
      </w:r>
      <w:r>
        <w:rPr>
          <w:spacing w:val="-1"/>
          <w:w w:val="112"/>
        </w:rPr>
        <w:t>alaza</w:t>
      </w:r>
      <w:r>
        <w:rPr>
          <w:spacing w:val="-23"/>
          <w:w w:val="105"/>
        </w:rPr>
        <w:t>r</w:t>
      </w:r>
      <w:r>
        <w:rPr>
          <w:w w:val="138"/>
        </w:rPr>
        <w:t>,</w:t>
      </w:r>
      <w:r>
        <w:rPr>
          <w:spacing w:val="2"/>
        </w:rPr>
        <w:t> </w:t>
      </w:r>
      <w:r>
        <w:rPr>
          <w:spacing w:val="-1"/>
          <w:w w:val="118"/>
        </w:rPr>
        <w:t>Gia</w:t>
      </w:r>
      <w:r>
        <w:rPr>
          <w:w w:val="118"/>
        </w:rPr>
        <w:t>n</w:t>
      </w:r>
      <w:r>
        <w:rPr>
          <w:spacing w:val="2"/>
        </w:rPr>
        <w:t> </w:t>
      </w:r>
      <w:r>
        <w:rPr>
          <w:spacing w:val="-1"/>
          <w:w w:val="113"/>
        </w:rPr>
        <w:t>Carl</w:t>
      </w:r>
      <w:r>
        <w:rPr>
          <w:w w:val="113"/>
        </w:rPr>
        <w:t>o</w:t>
      </w:r>
      <w:r>
        <w:rPr>
          <w:spacing w:val="2"/>
        </w:rPr>
        <w:t> </w:t>
      </w:r>
      <w:r>
        <w:rPr>
          <w:spacing w:val="-1"/>
          <w:w w:val="139"/>
        </w:rPr>
        <w:t>d</w:t>
      </w:r>
      <w:r>
        <w:rPr>
          <w:spacing w:val="-1"/>
          <w:w w:val="108"/>
        </w:rPr>
        <w:t>elgado-</w:t>
      </w:r>
      <w:r>
        <w:rPr>
          <w:spacing w:val="-1"/>
          <w:w w:val="182"/>
        </w:rPr>
        <w:t>r</w:t>
      </w:r>
      <w:r>
        <w:rPr>
          <w:spacing w:val="-1"/>
          <w:w w:val="113"/>
        </w:rPr>
        <w:t>amos</w:t>
      </w:r>
      <w:r>
        <w:rPr>
          <w:w w:val="113"/>
        </w:rPr>
        <w:t>,</w:t>
      </w:r>
      <w:r>
        <w:rPr>
          <w:spacing w:val="2"/>
        </w:rPr>
        <w:t> </w:t>
      </w:r>
      <w:r>
        <w:rPr>
          <w:spacing w:val="-1"/>
          <w:w w:val="149"/>
        </w:rPr>
        <w:t>s</w:t>
      </w:r>
      <w:r>
        <w:rPr>
          <w:spacing w:val="-1"/>
          <w:w w:val="110"/>
        </w:rPr>
        <w:t>ilvan</w:t>
      </w:r>
      <w:r>
        <w:rPr>
          <w:w w:val="110"/>
        </w:rPr>
        <w:t>a</w:t>
      </w:r>
      <w:r>
        <w:rPr>
          <w:spacing w:val="2"/>
        </w:rPr>
        <w:t> </w:t>
      </w:r>
      <w:r>
        <w:rPr>
          <w:spacing w:val="-1"/>
          <w:w w:val="114"/>
        </w:rPr>
        <w:t>Marí</w:t>
      </w:r>
      <w:r>
        <w:rPr>
          <w:w w:val="114"/>
        </w:rPr>
        <w:t>a</w:t>
      </w:r>
      <w:r>
        <w:rPr>
          <w:spacing w:val="2"/>
        </w:rPr>
        <w:t> </w:t>
      </w:r>
      <w:r>
        <w:rPr>
          <w:spacing w:val="-1"/>
          <w:w w:val="182"/>
        </w:rPr>
        <w:t>r</w:t>
      </w:r>
      <w:r>
        <w:rPr>
          <w:spacing w:val="-1"/>
          <w:w w:val="112"/>
        </w:rPr>
        <w:t>oma</w:t>
      </w:r>
      <w:r>
        <w:rPr>
          <w:w w:val="102"/>
        </w:rPr>
        <w:t>- </w:t>
      </w:r>
      <w:r>
        <w:rPr>
          <w:w w:val="115"/>
        </w:rPr>
        <w:t>no,</w:t>
      </w:r>
      <w:r>
        <w:rPr>
          <w:spacing w:val="-11"/>
          <w:w w:val="115"/>
        </w:rPr>
        <w:t> </w:t>
      </w:r>
      <w:r>
        <w:rPr>
          <w:w w:val="115"/>
        </w:rPr>
        <w:t>Marco</w:t>
      </w:r>
      <w:r>
        <w:rPr>
          <w:spacing w:val="-11"/>
          <w:w w:val="115"/>
        </w:rPr>
        <w:t> </w:t>
      </w:r>
      <w:r>
        <w:rPr>
          <w:w w:val="115"/>
        </w:rPr>
        <w:t>a.</w:t>
      </w:r>
      <w:r>
        <w:rPr>
          <w:spacing w:val="-11"/>
          <w:w w:val="115"/>
        </w:rPr>
        <w:t> </w:t>
      </w:r>
      <w:r>
        <w:rPr>
          <w:w w:val="115"/>
        </w:rPr>
        <w:t>Gandásegui</w:t>
      </w:r>
      <w:r>
        <w:rPr>
          <w:spacing w:val="-11"/>
          <w:w w:val="115"/>
        </w:rPr>
        <w:t> </w:t>
      </w:r>
      <w:r>
        <w:rPr>
          <w:spacing w:val="-8"/>
          <w:w w:val="115"/>
        </w:rPr>
        <w:t>Jr.</w:t>
      </w:r>
      <w:r>
        <w:rPr>
          <w:spacing w:val="-11"/>
          <w:w w:val="115"/>
        </w:rPr>
        <w:t> </w:t>
      </w:r>
      <w:r>
        <w:rPr>
          <w:w w:val="115"/>
        </w:rPr>
        <w:t>y</w:t>
      </w:r>
      <w:r>
        <w:rPr>
          <w:spacing w:val="-11"/>
          <w:w w:val="115"/>
        </w:rPr>
        <w:t> </w:t>
      </w:r>
      <w:r>
        <w:rPr>
          <w:w w:val="115"/>
        </w:rPr>
        <w:t>Faustino</w:t>
      </w:r>
      <w:r>
        <w:rPr>
          <w:spacing w:val="-11"/>
          <w:w w:val="115"/>
        </w:rPr>
        <w:t> </w:t>
      </w:r>
      <w:r>
        <w:rPr>
          <w:w w:val="115"/>
        </w:rPr>
        <w:t>Cobarrubia</w:t>
      </w:r>
      <w:r>
        <w:rPr>
          <w:spacing w:val="-11"/>
          <w:w w:val="115"/>
        </w:rPr>
        <w:t> </w:t>
      </w:r>
      <w:r>
        <w:rPr>
          <w:w w:val="115"/>
        </w:rPr>
        <w:t>Gómez.</w:t>
      </w:r>
      <w:r>
        <w:rPr>
          <w:spacing w:val="-11"/>
          <w:w w:val="115"/>
        </w:rPr>
        <w:t> </w:t>
      </w:r>
      <w:r>
        <w:rPr>
          <w:spacing w:val="-4"/>
          <w:w w:val="115"/>
        </w:rPr>
        <w:t>téngase</w:t>
      </w:r>
      <w:r>
        <w:rPr>
          <w:spacing w:val="-11"/>
          <w:w w:val="115"/>
        </w:rPr>
        <w:t> </w:t>
      </w:r>
      <w:r>
        <w:rPr>
          <w:w w:val="115"/>
        </w:rPr>
        <w:t>en cuenta</w:t>
      </w:r>
      <w:r>
        <w:rPr>
          <w:spacing w:val="-21"/>
          <w:w w:val="115"/>
        </w:rPr>
        <w:t> </w:t>
      </w:r>
      <w:r>
        <w:rPr>
          <w:w w:val="115"/>
        </w:rPr>
        <w:t>que</w:t>
      </w:r>
      <w:r>
        <w:rPr>
          <w:spacing w:val="-21"/>
          <w:w w:val="115"/>
        </w:rPr>
        <w:t> </w:t>
      </w:r>
      <w:r>
        <w:rPr>
          <w:w w:val="115"/>
        </w:rPr>
        <w:t>diez</w:t>
      </w:r>
      <w:r>
        <w:rPr>
          <w:spacing w:val="-21"/>
          <w:w w:val="115"/>
        </w:rPr>
        <w:t> </w:t>
      </w:r>
      <w:r>
        <w:rPr>
          <w:w w:val="115"/>
        </w:rPr>
        <w:t>de</w:t>
      </w:r>
      <w:r>
        <w:rPr>
          <w:spacing w:val="-21"/>
          <w:w w:val="115"/>
        </w:rPr>
        <w:t> </w:t>
      </w:r>
      <w:r>
        <w:rPr>
          <w:w w:val="115"/>
        </w:rPr>
        <w:t>estos</w:t>
      </w:r>
      <w:r>
        <w:rPr>
          <w:spacing w:val="-21"/>
          <w:w w:val="115"/>
        </w:rPr>
        <w:t> </w:t>
      </w:r>
      <w:r>
        <w:rPr>
          <w:w w:val="115"/>
        </w:rPr>
        <w:t>colaboradores</w:t>
      </w:r>
      <w:r>
        <w:rPr>
          <w:spacing w:val="-21"/>
          <w:w w:val="115"/>
        </w:rPr>
        <w:t> </w:t>
      </w:r>
      <w:r>
        <w:rPr>
          <w:w w:val="115"/>
        </w:rPr>
        <w:t>aparecen</w:t>
      </w:r>
      <w:r>
        <w:rPr>
          <w:spacing w:val="-21"/>
          <w:w w:val="115"/>
        </w:rPr>
        <w:t> </w:t>
      </w:r>
      <w:r>
        <w:rPr>
          <w:w w:val="115"/>
        </w:rPr>
        <w:t>en</w:t>
      </w:r>
      <w:r>
        <w:rPr>
          <w:spacing w:val="-21"/>
          <w:w w:val="115"/>
        </w:rPr>
        <w:t> </w:t>
      </w:r>
      <w:r>
        <w:rPr>
          <w:w w:val="115"/>
        </w:rPr>
        <w:t>el</w:t>
      </w:r>
      <w:r>
        <w:rPr>
          <w:spacing w:val="-21"/>
          <w:w w:val="115"/>
        </w:rPr>
        <w:t> </w:t>
      </w:r>
      <w:r>
        <w:rPr>
          <w:w w:val="115"/>
        </w:rPr>
        <w:t>presente</w:t>
      </w:r>
      <w:r>
        <w:rPr>
          <w:spacing w:val="-21"/>
          <w:w w:val="115"/>
        </w:rPr>
        <w:t> </w:t>
      </w:r>
      <w:r>
        <w:rPr>
          <w:w w:val="115"/>
        </w:rPr>
        <w:t>volu- men.</w:t>
      </w:r>
      <w:r>
        <w:rPr>
          <w:spacing w:val="-20"/>
          <w:w w:val="115"/>
        </w:rPr>
        <w:t> </w:t>
      </w:r>
      <w:r>
        <w:rPr>
          <w:w w:val="115"/>
        </w:rPr>
        <w:t>somos</w:t>
      </w:r>
      <w:r>
        <w:rPr>
          <w:spacing w:val="-20"/>
          <w:w w:val="115"/>
        </w:rPr>
        <w:t> </w:t>
      </w:r>
      <w:r>
        <w:rPr>
          <w:w w:val="115"/>
        </w:rPr>
        <w:t>conscientes</w:t>
      </w:r>
      <w:r>
        <w:rPr>
          <w:spacing w:val="-20"/>
          <w:w w:val="115"/>
        </w:rPr>
        <w:t> </w:t>
      </w:r>
      <w:r>
        <w:rPr>
          <w:w w:val="115"/>
        </w:rPr>
        <w:t>de</w:t>
      </w:r>
      <w:r>
        <w:rPr>
          <w:spacing w:val="-20"/>
          <w:w w:val="115"/>
        </w:rPr>
        <w:t> </w:t>
      </w:r>
      <w:r>
        <w:rPr>
          <w:w w:val="115"/>
        </w:rPr>
        <w:t>que</w:t>
      </w:r>
      <w:r>
        <w:rPr>
          <w:spacing w:val="-20"/>
          <w:w w:val="115"/>
        </w:rPr>
        <w:t> </w:t>
      </w:r>
      <w:r>
        <w:rPr>
          <w:w w:val="115"/>
        </w:rPr>
        <w:t>el</w:t>
      </w:r>
      <w:r>
        <w:rPr>
          <w:spacing w:val="-20"/>
          <w:w w:val="115"/>
        </w:rPr>
        <w:t> </w:t>
      </w:r>
      <w:r>
        <w:rPr>
          <w:w w:val="115"/>
        </w:rPr>
        <w:t>grupo</w:t>
      </w:r>
      <w:r>
        <w:rPr>
          <w:spacing w:val="-20"/>
          <w:w w:val="115"/>
        </w:rPr>
        <w:t> </w:t>
      </w:r>
      <w:r>
        <w:rPr>
          <w:w w:val="115"/>
        </w:rPr>
        <w:t>de</w:t>
      </w:r>
      <w:r>
        <w:rPr>
          <w:spacing w:val="-20"/>
          <w:w w:val="115"/>
        </w:rPr>
        <w:t> </w:t>
      </w:r>
      <w:r>
        <w:rPr>
          <w:w w:val="115"/>
        </w:rPr>
        <w:t>trabajo</w:t>
      </w:r>
      <w:r>
        <w:rPr>
          <w:spacing w:val="-20"/>
          <w:w w:val="115"/>
        </w:rPr>
        <w:t> </w:t>
      </w:r>
      <w:r>
        <w:rPr>
          <w:w w:val="115"/>
        </w:rPr>
        <w:t>de</w:t>
      </w:r>
      <w:r>
        <w:rPr>
          <w:spacing w:val="-20"/>
          <w:w w:val="115"/>
        </w:rPr>
        <w:t> </w:t>
      </w:r>
      <w:r>
        <w:rPr>
          <w:w w:val="135"/>
        </w:rPr>
        <w:t>ClaCso</w:t>
      </w:r>
      <w:r>
        <w:rPr>
          <w:spacing w:val="-28"/>
          <w:w w:val="135"/>
        </w:rPr>
        <w:t> </w:t>
      </w:r>
      <w:r>
        <w:rPr>
          <w:w w:val="115"/>
        </w:rPr>
        <w:t>lidera- do</w:t>
      </w:r>
      <w:r>
        <w:rPr>
          <w:spacing w:val="-5"/>
          <w:w w:val="115"/>
        </w:rPr>
        <w:t> </w:t>
      </w:r>
      <w:r>
        <w:rPr>
          <w:w w:val="115"/>
        </w:rPr>
        <w:t>por</w:t>
      </w:r>
      <w:r>
        <w:rPr>
          <w:spacing w:val="-5"/>
          <w:w w:val="115"/>
        </w:rPr>
        <w:t> </w:t>
      </w:r>
      <w:r>
        <w:rPr>
          <w:w w:val="115"/>
        </w:rPr>
        <w:t>Marco</w:t>
      </w:r>
      <w:r>
        <w:rPr>
          <w:spacing w:val="-5"/>
          <w:w w:val="115"/>
        </w:rPr>
        <w:t> </w:t>
      </w:r>
      <w:r>
        <w:rPr>
          <w:w w:val="115"/>
        </w:rPr>
        <w:t>Gandásegui</w:t>
      </w:r>
      <w:r>
        <w:rPr>
          <w:spacing w:val="-5"/>
          <w:w w:val="115"/>
        </w:rPr>
        <w:t> </w:t>
      </w:r>
      <w:r>
        <w:rPr>
          <w:w w:val="115"/>
        </w:rPr>
        <w:t>y</w:t>
      </w:r>
      <w:r>
        <w:rPr>
          <w:spacing w:val="-5"/>
          <w:w w:val="115"/>
        </w:rPr>
        <w:t> </w:t>
      </w:r>
      <w:r>
        <w:rPr>
          <w:w w:val="115"/>
        </w:rPr>
        <w:t>dídimo</w:t>
      </w:r>
      <w:r>
        <w:rPr>
          <w:spacing w:val="-5"/>
          <w:w w:val="115"/>
        </w:rPr>
        <w:t> </w:t>
      </w:r>
      <w:r>
        <w:rPr>
          <w:w w:val="115"/>
        </w:rPr>
        <w:t>Castillo</w:t>
      </w:r>
      <w:r>
        <w:rPr>
          <w:spacing w:val="-5"/>
          <w:w w:val="115"/>
        </w:rPr>
        <w:t> </w:t>
      </w:r>
      <w:r>
        <w:rPr>
          <w:w w:val="115"/>
        </w:rPr>
        <w:t>Fernández</w:t>
      </w:r>
      <w:r>
        <w:rPr>
          <w:spacing w:val="-5"/>
          <w:w w:val="115"/>
        </w:rPr>
        <w:t> </w:t>
      </w:r>
      <w:r>
        <w:rPr>
          <w:w w:val="115"/>
        </w:rPr>
        <w:t>continúa</w:t>
      </w:r>
      <w:r>
        <w:rPr>
          <w:spacing w:val="-5"/>
          <w:w w:val="115"/>
        </w:rPr>
        <w:t> </w:t>
      </w:r>
      <w:r>
        <w:rPr>
          <w:w w:val="115"/>
        </w:rPr>
        <w:t>con </w:t>
      </w:r>
      <w:r>
        <w:rPr>
          <w:spacing w:val="-1"/>
          <w:w w:val="108"/>
        </w:rPr>
        <w:t>su</w:t>
      </w:r>
      <w:r>
        <w:rPr>
          <w:w w:val="108"/>
        </w:rPr>
        <w:t>s</w:t>
      </w:r>
      <w:r>
        <w:rPr>
          <w:spacing w:val="7"/>
        </w:rPr>
        <w:t> </w:t>
      </w:r>
      <w:r>
        <w:rPr>
          <w:spacing w:val="-1"/>
          <w:w w:val="109"/>
        </w:rPr>
        <w:t>investigacione</w:t>
      </w:r>
      <w:r>
        <w:rPr>
          <w:w w:val="109"/>
        </w:rPr>
        <w:t>s</w:t>
      </w:r>
      <w:r>
        <w:rPr>
          <w:spacing w:val="7"/>
        </w:rPr>
        <w:t> </w:t>
      </w:r>
      <w:r>
        <w:rPr>
          <w:spacing w:val="-1"/>
          <w:w w:val="109"/>
        </w:rPr>
        <w:t>significativa</w:t>
      </w:r>
      <w:r>
        <w:rPr>
          <w:w w:val="109"/>
        </w:rPr>
        <w:t>s</w:t>
      </w:r>
      <w:r>
        <w:rPr>
          <w:spacing w:val="7"/>
        </w:rPr>
        <w:t> </w:t>
      </w:r>
      <w:r>
        <w:rPr>
          <w:w w:val="105"/>
        </w:rPr>
        <w:t>y</w:t>
      </w:r>
      <w:r>
        <w:rPr>
          <w:spacing w:val="7"/>
        </w:rPr>
        <w:t> </w:t>
      </w:r>
      <w:r>
        <w:rPr>
          <w:spacing w:val="-1"/>
          <w:w w:val="109"/>
        </w:rPr>
        <w:t>escribiend</w:t>
      </w:r>
      <w:r>
        <w:rPr>
          <w:w w:val="109"/>
        </w:rPr>
        <w:t>o</w:t>
      </w:r>
      <w:r>
        <w:rPr>
          <w:spacing w:val="7"/>
        </w:rPr>
        <w:t> </w:t>
      </w:r>
      <w:r>
        <w:rPr>
          <w:spacing w:val="-1"/>
          <w:w w:val="107"/>
        </w:rPr>
        <w:t>sobr</w:t>
      </w:r>
      <w:r>
        <w:rPr>
          <w:w w:val="107"/>
        </w:rPr>
        <w:t>e</w:t>
      </w:r>
      <w:r>
        <w:rPr>
          <w:spacing w:val="7"/>
        </w:rPr>
        <w:t> </w:t>
      </w:r>
      <w:r>
        <w:rPr>
          <w:spacing w:val="-1"/>
          <w:w w:val="139"/>
        </w:rPr>
        <w:t>a</w:t>
      </w:r>
      <w:r>
        <w:rPr>
          <w:spacing w:val="-1"/>
          <w:w w:val="111"/>
        </w:rPr>
        <w:t>méric</w:t>
      </w:r>
      <w:r>
        <w:rPr>
          <w:w w:val="111"/>
        </w:rPr>
        <w:t>a</w:t>
      </w:r>
      <w:r>
        <w:rPr>
          <w:spacing w:val="7"/>
        </w:rPr>
        <w:t> </w:t>
      </w:r>
      <w:r>
        <w:rPr>
          <w:spacing w:val="-1"/>
          <w:w w:val="243"/>
        </w:rPr>
        <w:t>l</w:t>
      </w:r>
      <w:r>
        <w:rPr>
          <w:spacing w:val="-1"/>
          <w:w w:val="111"/>
        </w:rPr>
        <w:t>atin</w:t>
      </w:r>
      <w:r>
        <w:rPr>
          <w:w w:val="111"/>
        </w:rPr>
        <w:t>a</w:t>
      </w:r>
      <w:r>
        <w:rPr>
          <w:spacing w:val="7"/>
        </w:rPr>
        <w:t> </w:t>
      </w:r>
      <w:r>
        <w:rPr>
          <w:w w:val="105"/>
        </w:rPr>
        <w:t>y </w:t>
      </w:r>
      <w:r>
        <w:rPr>
          <w:w w:val="115"/>
        </w:rPr>
        <w:t>los Estados unidos. Fijan su mirada en la colaboración, la investiga- ción,</w:t>
      </w:r>
      <w:r>
        <w:rPr>
          <w:spacing w:val="-15"/>
          <w:w w:val="115"/>
        </w:rPr>
        <w:t> </w:t>
      </w:r>
      <w:r>
        <w:rPr>
          <w:w w:val="115"/>
        </w:rPr>
        <w:t>la</w:t>
      </w:r>
      <w:r>
        <w:rPr>
          <w:spacing w:val="-15"/>
          <w:w w:val="115"/>
        </w:rPr>
        <w:t> </w:t>
      </w:r>
      <w:r>
        <w:rPr>
          <w:w w:val="115"/>
        </w:rPr>
        <w:t>escritura</w:t>
      </w:r>
      <w:r>
        <w:rPr>
          <w:spacing w:val="-15"/>
          <w:w w:val="115"/>
        </w:rPr>
        <w:t> </w:t>
      </w:r>
      <w:r>
        <w:rPr>
          <w:w w:val="115"/>
        </w:rPr>
        <w:t>y</w:t>
      </w:r>
      <w:r>
        <w:rPr>
          <w:spacing w:val="-15"/>
          <w:w w:val="115"/>
        </w:rPr>
        <w:t> </w:t>
      </w:r>
      <w:r>
        <w:rPr>
          <w:w w:val="115"/>
        </w:rPr>
        <w:t>la</w:t>
      </w:r>
      <w:r>
        <w:rPr>
          <w:spacing w:val="-15"/>
          <w:w w:val="115"/>
        </w:rPr>
        <w:t> </w:t>
      </w:r>
      <w:r>
        <w:rPr>
          <w:w w:val="115"/>
        </w:rPr>
        <w:t>participación</w:t>
      </w:r>
      <w:r>
        <w:rPr>
          <w:spacing w:val="-15"/>
          <w:w w:val="115"/>
        </w:rPr>
        <w:t> </w:t>
      </w:r>
      <w:r>
        <w:rPr>
          <w:w w:val="115"/>
        </w:rPr>
        <w:t>en</w:t>
      </w:r>
      <w:r>
        <w:rPr>
          <w:spacing w:val="-15"/>
          <w:w w:val="115"/>
        </w:rPr>
        <w:t> </w:t>
      </w:r>
      <w:r>
        <w:rPr>
          <w:w w:val="115"/>
        </w:rPr>
        <w:t>las</w:t>
      </w:r>
      <w:r>
        <w:rPr>
          <w:spacing w:val="-15"/>
          <w:w w:val="115"/>
        </w:rPr>
        <w:t> </w:t>
      </w:r>
      <w:r>
        <w:rPr>
          <w:w w:val="115"/>
        </w:rPr>
        <w:t>principales</w:t>
      </w:r>
      <w:r>
        <w:rPr>
          <w:spacing w:val="-15"/>
          <w:w w:val="115"/>
        </w:rPr>
        <w:t> </w:t>
      </w:r>
      <w:r>
        <w:rPr>
          <w:w w:val="115"/>
        </w:rPr>
        <w:t>conferencias</w:t>
      </w:r>
      <w:r>
        <w:rPr>
          <w:spacing w:val="-15"/>
          <w:w w:val="115"/>
        </w:rPr>
        <w:t> </w:t>
      </w:r>
      <w:r>
        <w:rPr>
          <w:w w:val="115"/>
        </w:rPr>
        <w:t>en </w:t>
      </w:r>
      <w:r>
        <w:rPr>
          <w:spacing w:val="-1"/>
          <w:w w:val="108"/>
        </w:rPr>
        <w:t>lo</w:t>
      </w:r>
      <w:r>
        <w:rPr>
          <w:w w:val="108"/>
        </w:rPr>
        <w:t>s</w:t>
      </w:r>
      <w:r>
        <w:rPr>
          <w:spacing w:val="13"/>
        </w:rPr>
        <w:t> </w:t>
      </w:r>
      <w:r>
        <w:rPr>
          <w:spacing w:val="-1"/>
          <w:w w:val="111"/>
        </w:rPr>
        <w:t>Estado</w:t>
      </w:r>
      <w:r>
        <w:rPr>
          <w:w w:val="111"/>
        </w:rPr>
        <w:t>s</w:t>
      </w:r>
      <w:r>
        <w:rPr>
          <w:spacing w:val="13"/>
        </w:rPr>
        <w:t> </w:t>
      </w:r>
      <w:r>
        <w:rPr>
          <w:spacing w:val="-1"/>
          <w:w w:val="140"/>
        </w:rPr>
        <w:t>u</w:t>
      </w:r>
      <w:r>
        <w:rPr>
          <w:spacing w:val="-1"/>
          <w:w w:val="110"/>
        </w:rPr>
        <w:t>nido</w:t>
      </w:r>
      <w:r>
        <w:rPr>
          <w:w w:val="110"/>
        </w:rPr>
        <w:t>s</w:t>
      </w:r>
      <w:r>
        <w:rPr>
          <w:spacing w:val="13"/>
        </w:rPr>
        <w:t> </w:t>
      </w:r>
      <w:r>
        <w:rPr>
          <w:w w:val="105"/>
        </w:rPr>
        <w:t>y</w:t>
      </w:r>
      <w:r>
        <w:rPr>
          <w:spacing w:val="13"/>
        </w:rPr>
        <w:t> </w:t>
      </w:r>
      <w:r>
        <w:rPr>
          <w:spacing w:val="-1"/>
          <w:w w:val="139"/>
        </w:rPr>
        <w:t>a</w:t>
      </w:r>
      <w:r>
        <w:rPr>
          <w:spacing w:val="-1"/>
          <w:w w:val="111"/>
        </w:rPr>
        <w:t>méric</w:t>
      </w:r>
      <w:r>
        <w:rPr>
          <w:w w:val="111"/>
        </w:rPr>
        <w:t>a</w:t>
      </w:r>
      <w:r>
        <w:rPr>
          <w:spacing w:val="13"/>
        </w:rPr>
        <w:t> </w:t>
      </w:r>
      <w:r>
        <w:rPr>
          <w:spacing w:val="-1"/>
          <w:w w:val="243"/>
        </w:rPr>
        <w:t>l</w:t>
      </w:r>
      <w:r>
        <w:rPr>
          <w:spacing w:val="-1"/>
          <w:w w:val="113"/>
        </w:rPr>
        <w:t>atina</w:t>
      </w:r>
      <w:r>
        <w:rPr>
          <w:w w:val="113"/>
        </w:rPr>
        <w:t>,</w:t>
      </w:r>
      <w:r>
        <w:rPr>
          <w:spacing w:val="13"/>
        </w:rPr>
        <w:t> </w:t>
      </w:r>
      <w:r>
        <w:rPr>
          <w:w w:val="105"/>
        </w:rPr>
        <w:t>y</w:t>
      </w:r>
      <w:r>
        <w:rPr>
          <w:spacing w:val="13"/>
        </w:rPr>
        <w:t> </w:t>
      </w:r>
      <w:r>
        <w:rPr>
          <w:spacing w:val="-1"/>
          <w:w w:val="112"/>
        </w:rPr>
        <w:t>ha</w:t>
      </w:r>
      <w:r>
        <w:rPr>
          <w:w w:val="112"/>
        </w:rPr>
        <w:t>n</w:t>
      </w:r>
      <w:r>
        <w:rPr>
          <w:spacing w:val="13"/>
        </w:rPr>
        <w:t> </w:t>
      </w:r>
      <w:r>
        <w:rPr>
          <w:spacing w:val="-1"/>
          <w:w w:val="109"/>
        </w:rPr>
        <w:t>tenid</w:t>
      </w:r>
      <w:r>
        <w:rPr>
          <w:w w:val="109"/>
        </w:rPr>
        <w:t>o</w:t>
      </w:r>
      <w:r>
        <w:rPr>
          <w:spacing w:val="13"/>
        </w:rPr>
        <w:t> </w:t>
      </w:r>
      <w:r>
        <w:rPr>
          <w:spacing w:val="-1"/>
          <w:w w:val="108"/>
        </w:rPr>
        <w:t>éxit</w:t>
      </w:r>
      <w:r>
        <w:rPr>
          <w:w w:val="108"/>
        </w:rPr>
        <w:t>o</w:t>
      </w:r>
      <w:r>
        <w:rPr>
          <w:spacing w:val="13"/>
        </w:rPr>
        <w:t> </w:t>
      </w:r>
      <w:r>
        <w:rPr>
          <w:spacing w:val="-1"/>
          <w:w w:val="112"/>
        </w:rPr>
        <w:t>co</w:t>
      </w:r>
      <w:r>
        <w:rPr>
          <w:w w:val="112"/>
        </w:rPr>
        <w:t>n</w:t>
      </w:r>
      <w:r>
        <w:rPr>
          <w:spacing w:val="13"/>
        </w:rPr>
        <w:t> </w:t>
      </w:r>
      <w:r>
        <w:rPr>
          <w:spacing w:val="-1"/>
          <w:w w:val="113"/>
        </w:rPr>
        <w:t>Editorial </w:t>
      </w:r>
      <w:r>
        <w:rPr>
          <w:w w:val="115"/>
        </w:rPr>
        <w:t>siglo </w:t>
      </w:r>
      <w:r>
        <w:rPr>
          <w:w w:val="135"/>
        </w:rPr>
        <w:t>xxi </w:t>
      </w:r>
      <w:r>
        <w:rPr>
          <w:w w:val="115"/>
        </w:rPr>
        <w:t>en la publicación de cuatro grandes volúmenes. </w:t>
      </w:r>
      <w:r>
        <w:rPr>
          <w:spacing w:val="-13"/>
          <w:w w:val="115"/>
        </w:rPr>
        <w:t>Y, </w:t>
      </w:r>
      <w:r>
        <w:rPr>
          <w:w w:val="115"/>
        </w:rPr>
        <w:t>por</w:t>
      </w:r>
      <w:r>
        <w:rPr>
          <w:spacing w:val="-22"/>
          <w:w w:val="115"/>
        </w:rPr>
        <w:t> </w:t>
      </w:r>
      <w:r>
        <w:rPr>
          <w:w w:val="115"/>
        </w:rPr>
        <w:t>últi- mo, muchas gracias a Gandásegui, Quintero rivera y suárez </w:t>
      </w:r>
      <w:r>
        <w:rPr>
          <w:spacing w:val="-4"/>
          <w:w w:val="115"/>
        </w:rPr>
        <w:t>salazar, </w:t>
      </w:r>
      <w:r>
        <w:rPr>
          <w:w w:val="115"/>
        </w:rPr>
        <w:t>quienes</w:t>
      </w:r>
      <w:r>
        <w:rPr>
          <w:spacing w:val="-13"/>
          <w:w w:val="115"/>
        </w:rPr>
        <w:t> </w:t>
      </w:r>
      <w:r>
        <w:rPr>
          <w:w w:val="115"/>
        </w:rPr>
        <w:t>durante</w:t>
      </w:r>
      <w:r>
        <w:rPr>
          <w:spacing w:val="-13"/>
          <w:w w:val="115"/>
        </w:rPr>
        <w:t> </w:t>
      </w:r>
      <w:r>
        <w:rPr>
          <w:w w:val="115"/>
        </w:rPr>
        <w:t>muchos</w:t>
      </w:r>
      <w:r>
        <w:rPr>
          <w:spacing w:val="-13"/>
          <w:w w:val="115"/>
        </w:rPr>
        <w:t> </w:t>
      </w:r>
      <w:r>
        <w:rPr>
          <w:w w:val="115"/>
        </w:rPr>
        <w:t>años</w:t>
      </w:r>
      <w:r>
        <w:rPr>
          <w:spacing w:val="-13"/>
          <w:w w:val="115"/>
        </w:rPr>
        <w:t> </w:t>
      </w:r>
      <w:r>
        <w:rPr>
          <w:w w:val="115"/>
        </w:rPr>
        <w:t>han</w:t>
      </w:r>
      <w:r>
        <w:rPr>
          <w:spacing w:val="-13"/>
          <w:w w:val="115"/>
        </w:rPr>
        <w:t> </w:t>
      </w:r>
      <w:r>
        <w:rPr>
          <w:w w:val="115"/>
        </w:rPr>
        <w:t>participado</w:t>
      </w:r>
      <w:r>
        <w:rPr>
          <w:spacing w:val="-13"/>
          <w:w w:val="115"/>
        </w:rPr>
        <w:t> </w:t>
      </w:r>
      <w:r>
        <w:rPr>
          <w:w w:val="115"/>
        </w:rPr>
        <w:t>en</w:t>
      </w:r>
      <w:r>
        <w:rPr>
          <w:spacing w:val="-13"/>
          <w:w w:val="115"/>
        </w:rPr>
        <w:t> </w:t>
      </w:r>
      <w:r>
        <w:rPr>
          <w:w w:val="135"/>
        </w:rPr>
        <w:t>laP</w:t>
      </w:r>
      <w:r>
        <w:rPr>
          <w:spacing w:val="-21"/>
          <w:w w:val="135"/>
        </w:rPr>
        <w:t> </w:t>
      </w:r>
      <w:r>
        <w:rPr>
          <w:w w:val="115"/>
        </w:rPr>
        <w:t>como</w:t>
      </w:r>
      <w:r>
        <w:rPr>
          <w:spacing w:val="-13"/>
          <w:w w:val="115"/>
        </w:rPr>
        <w:t> </w:t>
      </w:r>
      <w:r>
        <w:rPr>
          <w:w w:val="115"/>
        </w:rPr>
        <w:t>editores distinguidos.</w:t>
      </w:r>
    </w:p>
    <w:p>
      <w:pPr>
        <w:spacing w:after="0" w:line="252" w:lineRule="auto"/>
        <w:jc w:val="both"/>
        <w:sectPr>
          <w:footerReference w:type="even" r:id="rId56"/>
          <w:pgSz w:w="8790" w:h="12760"/>
          <w:pgMar w:footer="725" w:header="697" w:top="880" w:bottom="920" w:left="1200" w:right="920"/>
          <w:pgNumType w:start="22"/>
        </w:sectPr>
      </w:pPr>
    </w:p>
    <w:p>
      <w:pPr>
        <w:pStyle w:val="BodyText"/>
        <w:rPr>
          <w:sz w:val="20"/>
        </w:rPr>
      </w:pPr>
    </w:p>
    <w:p>
      <w:pPr>
        <w:pStyle w:val="BodyText"/>
        <w:rPr>
          <w:sz w:val="20"/>
        </w:rPr>
      </w:pPr>
    </w:p>
    <w:p>
      <w:pPr>
        <w:pStyle w:val="BodyText"/>
        <w:spacing w:before="4"/>
        <w:rPr>
          <w:sz w:val="25"/>
        </w:rPr>
      </w:pPr>
    </w:p>
    <w:p>
      <w:pPr>
        <w:pStyle w:val="Heading2"/>
        <w:spacing w:line="240" w:lineRule="auto" w:before="51"/>
        <w:ind w:right="1014"/>
      </w:pPr>
      <w:r>
        <w:rPr>
          <w:w w:val="140"/>
        </w:rPr>
        <w:t>introducción</w:t>
      </w:r>
    </w:p>
    <w:p>
      <w:pPr>
        <w:pStyle w:val="Heading3"/>
        <w:spacing w:before="262"/>
      </w:pPr>
      <w:bookmarkStart w:name="_TOC_250001" w:id="3"/>
      <w:bookmarkEnd w:id="3"/>
      <w:r>
        <w:rPr>
          <w:w w:val="105"/>
        </w:rPr>
        <w:t>Marco A. Gandásegui, hijo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line="252" w:lineRule="auto" w:before="212"/>
        <w:ind w:left="100" w:right="328"/>
        <w:jc w:val="both"/>
      </w:pPr>
      <w:r>
        <w:rPr>
          <w:w w:val="165"/>
        </w:rPr>
        <w:t>la </w:t>
      </w:r>
      <w:r>
        <w:rPr>
          <w:w w:val="130"/>
        </w:rPr>
        <w:t>Crisis </w:t>
      </w:r>
      <w:r>
        <w:rPr>
          <w:w w:val="165"/>
        </w:rPr>
        <w:t>dEl </w:t>
      </w:r>
      <w:r>
        <w:rPr>
          <w:w w:val="130"/>
        </w:rPr>
        <w:t>sistEMa-MuNdo </w:t>
      </w:r>
      <w:r>
        <w:rPr>
          <w:w w:val="115"/>
        </w:rPr>
        <w:t>capitalista se ha acelerado en el </w:t>
      </w:r>
      <w:r>
        <w:rPr>
          <w:w w:val="108"/>
        </w:rPr>
        <w:t>nuevo</w:t>
      </w:r>
      <w:r>
        <w:rPr>
          <w:spacing w:val="12"/>
        </w:rPr>
        <w:t> </w:t>
      </w:r>
      <w:r>
        <w:rPr>
          <w:w w:val="111"/>
        </w:rPr>
        <w:t>milenio</w:t>
      </w:r>
      <w:r>
        <w:rPr>
          <w:spacing w:val="12"/>
        </w:rPr>
        <w:t> </w:t>
      </w:r>
      <w:r>
        <w:rPr>
          <w:w w:val="111"/>
        </w:rPr>
        <w:t>inaugurado</w:t>
      </w:r>
      <w:r>
        <w:rPr>
          <w:spacing w:val="12"/>
        </w:rPr>
        <w:t> </w:t>
      </w:r>
      <w:r>
        <w:rPr>
          <w:w w:val="111"/>
        </w:rPr>
        <w:t>hace</w:t>
      </w:r>
      <w:r>
        <w:rPr>
          <w:spacing w:val="12"/>
        </w:rPr>
        <w:t> </w:t>
      </w:r>
      <w:r>
        <w:rPr>
          <w:w w:val="102"/>
        </w:rPr>
        <w:t>15</w:t>
      </w:r>
      <w:r>
        <w:rPr>
          <w:spacing w:val="12"/>
        </w:rPr>
        <w:t> </w:t>
      </w:r>
      <w:r>
        <w:rPr>
          <w:w w:val="112"/>
        </w:rPr>
        <w:t>años.</w:t>
      </w:r>
      <w:r>
        <w:rPr>
          <w:spacing w:val="12"/>
        </w:rPr>
        <w:t> </w:t>
      </w:r>
      <w:r>
        <w:rPr>
          <w:w w:val="243"/>
        </w:rPr>
        <w:t>l</w:t>
      </w:r>
      <w:r>
        <w:rPr>
          <w:w w:val="109"/>
        </w:rPr>
        <w:t>as</w:t>
      </w:r>
      <w:r>
        <w:rPr>
          <w:spacing w:val="12"/>
        </w:rPr>
        <w:t> </w:t>
      </w:r>
      <w:r>
        <w:rPr>
          <w:w w:val="108"/>
        </w:rPr>
        <w:t>guerras</w:t>
      </w:r>
      <w:r>
        <w:rPr>
          <w:spacing w:val="12"/>
        </w:rPr>
        <w:t> </w:t>
      </w:r>
      <w:r>
        <w:rPr>
          <w:w w:val="110"/>
        </w:rPr>
        <w:t>imperialistas</w:t>
      </w:r>
      <w:r>
        <w:rPr>
          <w:spacing w:val="12"/>
        </w:rPr>
        <w:t> </w:t>
      </w:r>
      <w:r>
        <w:rPr>
          <w:w w:val="108"/>
        </w:rPr>
        <w:t>en </w:t>
      </w:r>
      <w:r>
        <w:rPr>
          <w:w w:val="115"/>
        </w:rPr>
        <w:t>el Medio oriente y su periferia, así como la emergencia de nuevas potencias,</w:t>
      </w:r>
      <w:r>
        <w:rPr>
          <w:spacing w:val="-8"/>
          <w:w w:val="115"/>
        </w:rPr>
        <w:t> </w:t>
      </w:r>
      <w:r>
        <w:rPr>
          <w:w w:val="115"/>
        </w:rPr>
        <w:t>han</w:t>
      </w:r>
      <w:r>
        <w:rPr>
          <w:spacing w:val="-8"/>
          <w:w w:val="115"/>
        </w:rPr>
        <w:t> </w:t>
      </w:r>
      <w:r>
        <w:rPr>
          <w:w w:val="115"/>
        </w:rPr>
        <w:t>sacudido</w:t>
      </w:r>
      <w:r>
        <w:rPr>
          <w:spacing w:val="-8"/>
          <w:w w:val="115"/>
        </w:rPr>
        <w:t> </w:t>
      </w:r>
      <w:r>
        <w:rPr>
          <w:w w:val="115"/>
        </w:rPr>
        <w:t>la</w:t>
      </w:r>
      <w:r>
        <w:rPr>
          <w:spacing w:val="-8"/>
          <w:w w:val="115"/>
        </w:rPr>
        <w:t> </w:t>
      </w:r>
      <w:r>
        <w:rPr>
          <w:w w:val="115"/>
        </w:rPr>
        <w:t>estructura</w:t>
      </w:r>
      <w:r>
        <w:rPr>
          <w:spacing w:val="-8"/>
          <w:w w:val="115"/>
        </w:rPr>
        <w:t> </w:t>
      </w:r>
      <w:r>
        <w:rPr>
          <w:w w:val="115"/>
        </w:rPr>
        <w:t>de</w:t>
      </w:r>
      <w:r>
        <w:rPr>
          <w:spacing w:val="-8"/>
          <w:w w:val="115"/>
        </w:rPr>
        <w:t> </w:t>
      </w:r>
      <w:r>
        <w:rPr>
          <w:w w:val="115"/>
        </w:rPr>
        <w:t>dominación</w:t>
      </w:r>
      <w:r>
        <w:rPr>
          <w:spacing w:val="-8"/>
          <w:w w:val="115"/>
        </w:rPr>
        <w:t> </w:t>
      </w:r>
      <w:r>
        <w:rPr>
          <w:w w:val="115"/>
        </w:rPr>
        <w:t>global.</w:t>
      </w:r>
      <w:r>
        <w:rPr>
          <w:spacing w:val="-8"/>
          <w:w w:val="115"/>
        </w:rPr>
        <w:t> </w:t>
      </w:r>
      <w:r>
        <w:rPr>
          <w:w w:val="130"/>
        </w:rPr>
        <w:t>En</w:t>
      </w:r>
      <w:r>
        <w:rPr>
          <w:spacing w:val="-15"/>
          <w:w w:val="130"/>
        </w:rPr>
        <w:t> </w:t>
      </w:r>
      <w:r>
        <w:rPr>
          <w:w w:val="115"/>
        </w:rPr>
        <w:t>este marco, Estados unidos ha recurrido a la utilización de sus recursos militares</w:t>
      </w:r>
      <w:r>
        <w:rPr>
          <w:spacing w:val="-18"/>
          <w:w w:val="115"/>
        </w:rPr>
        <w:t> </w:t>
      </w:r>
      <w:r>
        <w:rPr>
          <w:w w:val="115"/>
        </w:rPr>
        <w:t>y</w:t>
      </w:r>
      <w:r>
        <w:rPr>
          <w:spacing w:val="-18"/>
          <w:w w:val="115"/>
        </w:rPr>
        <w:t> </w:t>
      </w:r>
      <w:r>
        <w:rPr>
          <w:w w:val="115"/>
        </w:rPr>
        <w:t>ha</w:t>
      </w:r>
      <w:r>
        <w:rPr>
          <w:spacing w:val="-18"/>
          <w:w w:val="115"/>
        </w:rPr>
        <w:t> </w:t>
      </w:r>
      <w:r>
        <w:rPr>
          <w:w w:val="115"/>
        </w:rPr>
        <w:t>intentado</w:t>
      </w:r>
      <w:r>
        <w:rPr>
          <w:spacing w:val="-18"/>
          <w:w w:val="115"/>
        </w:rPr>
        <w:t> </w:t>
      </w:r>
      <w:r>
        <w:rPr>
          <w:w w:val="115"/>
        </w:rPr>
        <w:t>movilizar</w:t>
      </w:r>
      <w:r>
        <w:rPr>
          <w:spacing w:val="-18"/>
          <w:w w:val="115"/>
        </w:rPr>
        <w:t> </w:t>
      </w:r>
      <w:r>
        <w:rPr>
          <w:w w:val="115"/>
        </w:rPr>
        <w:t>su</w:t>
      </w:r>
      <w:r>
        <w:rPr>
          <w:spacing w:val="-18"/>
          <w:w w:val="115"/>
        </w:rPr>
        <w:t> </w:t>
      </w:r>
      <w:r>
        <w:rPr>
          <w:w w:val="115"/>
        </w:rPr>
        <w:t>capacidad</w:t>
      </w:r>
      <w:r>
        <w:rPr>
          <w:spacing w:val="-18"/>
          <w:w w:val="115"/>
        </w:rPr>
        <w:t> </w:t>
      </w:r>
      <w:r>
        <w:rPr>
          <w:w w:val="115"/>
        </w:rPr>
        <w:t>financiera</w:t>
      </w:r>
      <w:r>
        <w:rPr>
          <w:spacing w:val="-18"/>
          <w:w w:val="115"/>
        </w:rPr>
        <w:t> </w:t>
      </w:r>
      <w:r>
        <w:rPr>
          <w:w w:val="115"/>
        </w:rPr>
        <w:t>para</w:t>
      </w:r>
      <w:r>
        <w:rPr>
          <w:spacing w:val="-18"/>
          <w:w w:val="115"/>
        </w:rPr>
        <w:t> </w:t>
      </w:r>
      <w:r>
        <w:rPr>
          <w:w w:val="115"/>
        </w:rPr>
        <w:t>debi- litar</w:t>
      </w:r>
      <w:r>
        <w:rPr>
          <w:spacing w:val="-25"/>
          <w:w w:val="115"/>
        </w:rPr>
        <w:t> </w:t>
      </w:r>
      <w:r>
        <w:rPr>
          <w:w w:val="115"/>
        </w:rPr>
        <w:t>a</w:t>
      </w:r>
      <w:r>
        <w:rPr>
          <w:spacing w:val="-25"/>
          <w:w w:val="115"/>
        </w:rPr>
        <w:t> </w:t>
      </w:r>
      <w:r>
        <w:rPr>
          <w:w w:val="115"/>
        </w:rPr>
        <w:t>sus</w:t>
      </w:r>
      <w:r>
        <w:rPr>
          <w:spacing w:val="-25"/>
          <w:w w:val="115"/>
        </w:rPr>
        <w:t> </w:t>
      </w:r>
      <w:r>
        <w:rPr>
          <w:w w:val="115"/>
        </w:rPr>
        <w:t>competidores.</w:t>
      </w:r>
    </w:p>
    <w:p>
      <w:pPr>
        <w:pStyle w:val="BodyText"/>
        <w:spacing w:line="252" w:lineRule="auto"/>
        <w:ind w:left="100" w:right="328" w:firstLine="396"/>
        <w:jc w:val="both"/>
      </w:pPr>
      <w:r>
        <w:rPr>
          <w:w w:val="243"/>
        </w:rPr>
        <w:t>l</w:t>
      </w:r>
      <w:r>
        <w:rPr>
          <w:w w:val="112"/>
        </w:rPr>
        <w:t>a</w:t>
      </w:r>
      <w:r>
        <w:rPr/>
        <w:t> </w:t>
      </w:r>
      <w:r>
        <w:rPr>
          <w:spacing w:val="2"/>
        </w:rPr>
        <w:t> </w:t>
      </w:r>
      <w:r>
        <w:rPr>
          <w:w w:val="109"/>
        </w:rPr>
        <w:t>“recesión</w:t>
      </w:r>
      <w:r>
        <w:rPr/>
        <w:t> </w:t>
      </w:r>
      <w:r>
        <w:rPr>
          <w:spacing w:val="2"/>
        </w:rPr>
        <w:t> </w:t>
      </w:r>
      <w:r>
        <w:rPr>
          <w:w w:val="111"/>
        </w:rPr>
        <w:t>profunda”</w:t>
      </w:r>
      <w:r>
        <w:rPr/>
        <w:t> </w:t>
      </w:r>
      <w:r>
        <w:rPr>
          <w:spacing w:val="2"/>
        </w:rPr>
        <w:t> </w:t>
      </w:r>
      <w:r>
        <w:rPr>
          <w:w w:val="107"/>
        </w:rPr>
        <w:t>de</w:t>
      </w:r>
      <w:r>
        <w:rPr/>
        <w:t> </w:t>
      </w:r>
      <w:r>
        <w:rPr>
          <w:spacing w:val="2"/>
        </w:rPr>
        <w:t> </w:t>
      </w:r>
      <w:r>
        <w:rPr>
          <w:w w:val="102"/>
        </w:rPr>
        <w:t>2007-2008</w:t>
      </w:r>
      <w:r>
        <w:rPr/>
        <w:t> </w:t>
      </w:r>
      <w:r>
        <w:rPr>
          <w:spacing w:val="2"/>
        </w:rPr>
        <w:t> </w:t>
      </w:r>
      <w:r>
        <w:rPr>
          <w:w w:val="108"/>
        </w:rPr>
        <w:t>que</w:t>
      </w:r>
      <w:r>
        <w:rPr/>
        <w:t> </w:t>
      </w:r>
      <w:r>
        <w:rPr>
          <w:spacing w:val="2"/>
        </w:rPr>
        <w:t> </w:t>
      </w:r>
      <w:r>
        <w:rPr>
          <w:w w:val="109"/>
        </w:rPr>
        <w:t>frenó</w:t>
      </w:r>
      <w:r>
        <w:rPr/>
        <w:t> </w:t>
      </w:r>
      <w:r>
        <w:rPr>
          <w:spacing w:val="2"/>
        </w:rPr>
        <w:t> </w:t>
      </w:r>
      <w:r>
        <w:rPr>
          <w:w w:val="107"/>
        </w:rPr>
        <w:t>el</w:t>
      </w:r>
      <w:r>
        <w:rPr/>
        <w:t> </w:t>
      </w:r>
      <w:r>
        <w:rPr>
          <w:spacing w:val="2"/>
        </w:rPr>
        <w:t> </w:t>
      </w:r>
      <w:r>
        <w:rPr>
          <w:w w:val="110"/>
        </w:rPr>
        <w:t>crecimiento </w:t>
      </w:r>
      <w:r>
        <w:rPr>
          <w:w w:val="110"/>
        </w:rPr>
        <w:t>especulativo de Estados unidos y sus aliados más cercanos, aún no </w:t>
      </w:r>
      <w:r>
        <w:rPr>
          <w:w w:val="110"/>
        </w:rPr>
        <w:t>logra</w:t>
      </w:r>
      <w:r>
        <w:rPr>
          <w:spacing w:val="18"/>
        </w:rPr>
        <w:t> </w:t>
      </w:r>
      <w:r>
        <w:rPr>
          <w:w w:val="108"/>
        </w:rPr>
        <w:t>superarse.</w:t>
      </w:r>
      <w:r>
        <w:rPr>
          <w:spacing w:val="18"/>
        </w:rPr>
        <w:t> </w:t>
      </w:r>
      <w:r>
        <w:rPr>
          <w:w w:val="243"/>
        </w:rPr>
        <w:t>l</w:t>
      </w:r>
      <w:r>
        <w:rPr>
          <w:w w:val="109"/>
        </w:rPr>
        <w:t>as</w:t>
      </w:r>
      <w:r>
        <w:rPr>
          <w:spacing w:val="18"/>
        </w:rPr>
        <w:t> </w:t>
      </w:r>
      <w:r>
        <w:rPr>
          <w:w w:val="108"/>
        </w:rPr>
        <w:t>tasas</w:t>
      </w:r>
      <w:r>
        <w:rPr>
          <w:spacing w:val="18"/>
        </w:rPr>
        <w:t> </w:t>
      </w:r>
      <w:r>
        <w:rPr>
          <w:w w:val="107"/>
        </w:rPr>
        <w:t>de</w:t>
      </w:r>
      <w:r>
        <w:rPr>
          <w:spacing w:val="18"/>
        </w:rPr>
        <w:t> </w:t>
      </w:r>
      <w:r>
        <w:rPr>
          <w:w w:val="110"/>
        </w:rPr>
        <w:t>crecimiento</w:t>
      </w:r>
      <w:r>
        <w:rPr>
          <w:spacing w:val="18"/>
        </w:rPr>
        <w:t> </w:t>
      </w:r>
      <w:r>
        <w:rPr>
          <w:w w:val="111"/>
        </w:rPr>
        <w:t>económico</w:t>
      </w:r>
      <w:r>
        <w:rPr>
          <w:spacing w:val="18"/>
        </w:rPr>
        <w:t> </w:t>
      </w:r>
      <w:r>
        <w:rPr>
          <w:w w:val="112"/>
        </w:rPr>
        <w:t>aún</w:t>
      </w:r>
      <w:r>
        <w:rPr>
          <w:spacing w:val="18"/>
        </w:rPr>
        <w:t> </w:t>
      </w:r>
      <w:r>
        <w:rPr>
          <w:w w:val="111"/>
        </w:rPr>
        <w:t>no</w:t>
      </w:r>
      <w:r>
        <w:rPr>
          <w:spacing w:val="18"/>
        </w:rPr>
        <w:t> </w:t>
      </w:r>
      <w:r>
        <w:rPr>
          <w:w w:val="105"/>
        </w:rPr>
        <w:t>se</w:t>
      </w:r>
      <w:r>
        <w:rPr>
          <w:spacing w:val="18"/>
        </w:rPr>
        <w:t> </w:t>
      </w:r>
      <w:r>
        <w:rPr>
          <w:w w:val="109"/>
        </w:rPr>
        <w:t>rec</w:t>
      </w:r>
      <w:r>
        <w:rPr>
          <w:spacing w:val="-1"/>
          <w:w w:val="109"/>
        </w:rPr>
        <w:t>u</w:t>
      </w:r>
      <w:r>
        <w:rPr>
          <w:w w:val="102"/>
        </w:rPr>
        <w:t>- </w:t>
      </w:r>
      <w:r>
        <w:rPr>
          <w:w w:val="110"/>
        </w:rPr>
        <w:t>peran y la salud financiera del sistema sigue en duda a escala</w:t>
      </w:r>
      <w:r>
        <w:rPr>
          <w:spacing w:val="-13"/>
          <w:w w:val="110"/>
        </w:rPr>
        <w:t> </w:t>
      </w:r>
      <w:r>
        <w:rPr>
          <w:w w:val="110"/>
        </w:rPr>
        <w:t>mundial. El presidente barack obama ha apostado a políticas comerciales que sitúen a Estados unidos en el centro de las transacciones globales.    sin embargo, no ha podido liberarse de las guerras desatadas por sus políticas de despojo en la periferia e, incluso, en  </w:t>
      </w:r>
      <w:r>
        <w:rPr>
          <w:spacing w:val="21"/>
          <w:w w:val="110"/>
        </w:rPr>
        <w:t> </w:t>
      </w:r>
      <w:r>
        <w:rPr>
          <w:w w:val="110"/>
        </w:rPr>
        <w:t>Europa.</w:t>
      </w:r>
    </w:p>
    <w:p>
      <w:pPr>
        <w:pStyle w:val="BodyText"/>
        <w:spacing w:line="252" w:lineRule="auto"/>
        <w:ind w:left="100" w:right="327" w:firstLine="396"/>
        <w:jc w:val="both"/>
      </w:pPr>
      <w:r>
        <w:rPr>
          <w:w w:val="110"/>
        </w:rPr>
        <w:t>Por crisis se entiende cambios. son cambios radicales, de raíz,  que se remontan a la década de 1970 del siglo </w:t>
      </w:r>
      <w:r>
        <w:rPr>
          <w:w w:val="150"/>
        </w:rPr>
        <w:t>xx. </w:t>
      </w:r>
      <w:r>
        <w:rPr>
          <w:w w:val="110"/>
        </w:rPr>
        <w:t>Mientras que el presidente Jimmy Carter intentó recortar los gastos militares para en- frentar las pérdidas de los agentes capitalistas, ronald reagan optó  por reducir la participación de los trabajadores en la distribución de </w:t>
      </w:r>
      <w:r>
        <w:rPr>
          <w:w w:val="108"/>
        </w:rPr>
        <w:t>los</w:t>
      </w:r>
      <w:r>
        <w:rPr/>
        <w:t>  </w:t>
      </w:r>
      <w:r>
        <w:rPr>
          <w:w w:val="109"/>
        </w:rPr>
        <w:t>excedentes.</w:t>
      </w:r>
      <w:r>
        <w:rPr/>
        <w:t>  </w:t>
      </w:r>
      <w:r>
        <w:rPr>
          <w:w w:val="243"/>
        </w:rPr>
        <w:t>l</w:t>
      </w:r>
      <w:r>
        <w:rPr>
          <w:w w:val="112"/>
        </w:rPr>
        <w:t>a</w:t>
      </w:r>
      <w:r>
        <w:rPr/>
        <w:t>  </w:t>
      </w:r>
      <w:r>
        <w:rPr>
          <w:w w:val="108"/>
        </w:rPr>
        <w:t>nueva</w:t>
      </w:r>
      <w:r>
        <w:rPr/>
        <w:t>  </w:t>
      </w:r>
      <w:r>
        <w:rPr>
          <w:w w:val="111"/>
        </w:rPr>
        <w:t>política</w:t>
      </w:r>
      <w:r>
        <w:rPr/>
        <w:t>  </w:t>
      </w:r>
      <w:r>
        <w:rPr>
          <w:w w:val="107"/>
        </w:rPr>
        <w:t>de</w:t>
      </w:r>
      <w:r>
        <w:rPr/>
        <w:t>  </w:t>
      </w:r>
      <w:r>
        <w:rPr>
          <w:w w:val="111"/>
        </w:rPr>
        <w:t>“austeridad”,</w:t>
      </w:r>
      <w:r>
        <w:rPr/>
        <w:t>  </w:t>
      </w:r>
      <w:r>
        <w:rPr>
          <w:w w:val="111"/>
        </w:rPr>
        <w:t>bautizada</w:t>
      </w:r>
      <w:r>
        <w:rPr/>
        <w:t>  </w:t>
      </w:r>
      <w:r>
        <w:rPr>
          <w:w w:val="112"/>
        </w:rPr>
        <w:t>con</w:t>
      </w:r>
      <w:r>
        <w:rPr/>
        <w:t>  </w:t>
      </w:r>
      <w:r>
        <w:rPr>
          <w:w w:val="107"/>
        </w:rPr>
        <w:t>el</w:t>
      </w:r>
    </w:p>
    <w:p>
      <w:pPr>
        <w:pStyle w:val="BodyText"/>
        <w:spacing w:before="11"/>
        <w:rPr>
          <w:sz w:val="27"/>
        </w:rPr>
      </w:pPr>
    </w:p>
    <w:p>
      <w:pPr>
        <w:pStyle w:val="Heading7"/>
        <w:spacing w:line="240" w:lineRule="auto" w:before="65"/>
        <w:ind w:left="789" w:right="1017"/>
        <w:jc w:val="center"/>
      </w:pPr>
      <w:r>
        <w:rPr/>
        <w:t>23</w:t>
      </w:r>
    </w:p>
    <w:p>
      <w:pPr>
        <w:spacing w:after="0" w:line="240" w:lineRule="auto"/>
        <w:jc w:val="center"/>
        <w:sectPr>
          <w:headerReference w:type="even" r:id="rId57"/>
          <w:footerReference w:type="even" r:id="rId58"/>
          <w:pgSz w:w="8790" w:h="12760"/>
          <w:pgMar w:header="0" w:footer="0" w:top="1180" w:bottom="280" w:left="920" w:right="1200"/>
        </w:sectPr>
      </w:pPr>
    </w:p>
    <w:p>
      <w:pPr>
        <w:pStyle w:val="BodyText"/>
        <w:spacing w:before="7"/>
        <w:rPr>
          <w:sz w:val="28"/>
        </w:rPr>
      </w:pPr>
    </w:p>
    <w:p>
      <w:pPr>
        <w:pStyle w:val="BodyText"/>
        <w:spacing w:line="252" w:lineRule="auto" w:before="73"/>
        <w:ind w:left="330" w:right="117"/>
        <w:jc w:val="both"/>
      </w:pPr>
      <w:r>
        <w:rPr>
          <w:w w:val="110"/>
        </w:rPr>
        <w:t>nombre de “neoliberal”, le permitió a los capitalistas de Estados uni- dos acelerar el incremento de sus ganancias con tres consecuencias inmediatas: 1) El debilitamiento de los movimientos sociales en Es- tados unidos </w:t>
      </w:r>
      <w:r>
        <w:rPr>
          <w:spacing w:val="-11"/>
          <w:w w:val="110"/>
        </w:rPr>
        <w:t>y, </w:t>
      </w:r>
      <w:r>
        <w:rPr>
          <w:w w:val="110"/>
        </w:rPr>
        <w:t>en gran parte, en el resto del mundo; 2) El colapso y desmembramiento de la unión soviética, que no pudo seguir compi- </w:t>
      </w:r>
      <w:r>
        <w:rPr>
          <w:w w:val="109"/>
        </w:rPr>
        <w:t>tiendo</w:t>
      </w:r>
      <w:r>
        <w:rPr/>
        <w:t> </w:t>
      </w:r>
      <w:r>
        <w:rPr>
          <w:spacing w:val="-21"/>
        </w:rPr>
        <w:t> </w:t>
      </w:r>
      <w:r>
        <w:rPr>
          <w:w w:val="112"/>
        </w:rPr>
        <w:t>con</w:t>
      </w:r>
      <w:r>
        <w:rPr/>
        <w:t> </w:t>
      </w:r>
      <w:r>
        <w:rPr>
          <w:spacing w:val="-21"/>
        </w:rPr>
        <w:t> </w:t>
      </w:r>
      <w:r>
        <w:rPr>
          <w:w w:val="109"/>
        </w:rPr>
        <w:t>su</w:t>
      </w:r>
      <w:r>
        <w:rPr/>
        <w:t> </w:t>
      </w:r>
      <w:r>
        <w:rPr>
          <w:spacing w:val="-21"/>
        </w:rPr>
        <w:t> </w:t>
      </w:r>
      <w:r>
        <w:rPr>
          <w:w w:val="107"/>
        </w:rPr>
        <w:t>adversario</w:t>
      </w:r>
      <w:r>
        <w:rPr/>
        <w:t> </w:t>
      </w:r>
      <w:r>
        <w:rPr>
          <w:spacing w:val="-21"/>
        </w:rPr>
        <w:t> </w:t>
      </w:r>
      <w:r>
        <w:rPr>
          <w:w w:val="107"/>
        </w:rPr>
        <w:t>de</w:t>
      </w:r>
      <w:r>
        <w:rPr/>
        <w:t> </w:t>
      </w:r>
      <w:r>
        <w:rPr>
          <w:spacing w:val="-21"/>
        </w:rPr>
        <w:t> </w:t>
      </w:r>
      <w:r>
        <w:rPr>
          <w:w w:val="111"/>
        </w:rPr>
        <w:t>la</w:t>
      </w:r>
      <w:r>
        <w:rPr/>
        <w:t> </w:t>
      </w:r>
      <w:r>
        <w:rPr>
          <w:spacing w:val="-21"/>
        </w:rPr>
        <w:t> </w:t>
      </w:r>
      <w:r>
        <w:rPr>
          <w:w w:val="107"/>
        </w:rPr>
        <w:t>pos-</w:t>
      </w:r>
      <w:r>
        <w:rPr>
          <w:w w:val="149"/>
        </w:rPr>
        <w:t>s</w:t>
      </w:r>
      <w:r>
        <w:rPr>
          <w:w w:val="110"/>
        </w:rPr>
        <w:t>egunda</w:t>
      </w:r>
      <w:r>
        <w:rPr/>
        <w:t> </w:t>
      </w:r>
      <w:r>
        <w:rPr>
          <w:spacing w:val="-21"/>
        </w:rPr>
        <w:t> </w:t>
      </w:r>
      <w:r>
        <w:rPr>
          <w:w w:val="112"/>
        </w:rPr>
        <w:t>Guerra</w:t>
      </w:r>
      <w:r>
        <w:rPr/>
        <w:t> </w:t>
      </w:r>
      <w:r>
        <w:rPr>
          <w:spacing w:val="-21"/>
        </w:rPr>
        <w:t> </w:t>
      </w:r>
      <w:r>
        <w:rPr>
          <w:w w:val="113"/>
        </w:rPr>
        <w:t>Mundial;</w:t>
      </w:r>
      <w:r>
        <w:rPr/>
        <w:t> </w:t>
      </w:r>
      <w:r>
        <w:rPr>
          <w:spacing w:val="-21"/>
        </w:rPr>
        <w:t> </w:t>
      </w:r>
      <w:r>
        <w:rPr>
          <w:w w:val="105"/>
        </w:rPr>
        <w:t>y</w:t>
      </w:r>
      <w:r>
        <w:rPr/>
        <w:t> </w:t>
      </w:r>
      <w:r>
        <w:rPr>
          <w:spacing w:val="-21"/>
        </w:rPr>
        <w:t> </w:t>
      </w:r>
      <w:r>
        <w:rPr>
          <w:w w:val="101"/>
        </w:rPr>
        <w:t>3)</w:t>
      </w:r>
      <w:r>
        <w:rPr/>
        <w:t> </w:t>
      </w:r>
      <w:r>
        <w:rPr>
          <w:spacing w:val="-21"/>
        </w:rPr>
        <w:t> </w:t>
      </w:r>
      <w:r>
        <w:rPr>
          <w:w w:val="243"/>
        </w:rPr>
        <w:t>l</w:t>
      </w:r>
      <w:r>
        <w:rPr>
          <w:w w:val="112"/>
        </w:rPr>
        <w:t>a </w:t>
      </w:r>
      <w:r>
        <w:rPr>
          <w:i/>
          <w:w w:val="110"/>
        </w:rPr>
        <w:t>externalización </w:t>
      </w:r>
      <w:r>
        <w:rPr>
          <w:w w:val="110"/>
        </w:rPr>
        <w:t>de la industria norteamericana hacia el este asiático (especialmente</w:t>
      </w:r>
      <w:r>
        <w:rPr>
          <w:spacing w:val="19"/>
          <w:w w:val="110"/>
        </w:rPr>
        <w:t> </w:t>
      </w:r>
      <w:r>
        <w:rPr>
          <w:w w:val="110"/>
        </w:rPr>
        <w:t>China).</w:t>
      </w:r>
    </w:p>
    <w:p>
      <w:pPr>
        <w:pStyle w:val="BodyText"/>
        <w:spacing w:line="252" w:lineRule="auto"/>
        <w:ind w:left="330" w:right="117" w:firstLine="396"/>
        <w:jc w:val="both"/>
      </w:pPr>
      <w:r>
        <w:rPr>
          <w:w w:val="243"/>
        </w:rPr>
        <w:t>l</w:t>
      </w:r>
      <w:r>
        <w:rPr>
          <w:w w:val="112"/>
        </w:rPr>
        <w:t>a</w:t>
      </w:r>
      <w:r>
        <w:rPr/>
        <w:t> </w:t>
      </w:r>
      <w:r>
        <w:rPr>
          <w:spacing w:val="-18"/>
        </w:rPr>
        <w:t> </w:t>
      </w:r>
      <w:r>
        <w:rPr>
          <w:w w:val="109"/>
        </w:rPr>
        <w:t>emergencia</w:t>
      </w:r>
      <w:r>
        <w:rPr/>
        <w:t> </w:t>
      </w:r>
      <w:r>
        <w:rPr>
          <w:spacing w:val="-18"/>
        </w:rPr>
        <w:t> </w:t>
      </w:r>
      <w:r>
        <w:rPr>
          <w:w w:val="113"/>
        </w:rPr>
        <w:t>china</w:t>
      </w:r>
      <w:r>
        <w:rPr/>
        <w:t> </w:t>
      </w:r>
      <w:r>
        <w:rPr>
          <w:spacing w:val="-18"/>
        </w:rPr>
        <w:t> </w:t>
      </w:r>
      <w:r>
        <w:rPr>
          <w:w w:val="111"/>
        </w:rPr>
        <w:t>impactó</w:t>
      </w:r>
      <w:r>
        <w:rPr/>
        <w:t> </w:t>
      </w:r>
      <w:r>
        <w:rPr>
          <w:spacing w:val="-18"/>
        </w:rPr>
        <w:t> </w:t>
      </w:r>
      <w:r>
        <w:rPr>
          <w:w w:val="112"/>
        </w:rPr>
        <w:t>a</w:t>
      </w:r>
      <w:r>
        <w:rPr/>
        <w:t> </w:t>
      </w:r>
      <w:r>
        <w:rPr>
          <w:spacing w:val="-18"/>
        </w:rPr>
        <w:t> </w:t>
      </w:r>
      <w:r>
        <w:rPr>
          <w:w w:val="109"/>
        </w:rPr>
        <w:t>las</w:t>
      </w:r>
      <w:r>
        <w:rPr/>
        <w:t> </w:t>
      </w:r>
      <w:r>
        <w:rPr>
          <w:spacing w:val="-18"/>
        </w:rPr>
        <w:t> </w:t>
      </w:r>
      <w:r>
        <w:rPr>
          <w:w w:val="111"/>
        </w:rPr>
        <w:t>economías</w:t>
      </w:r>
      <w:r>
        <w:rPr/>
        <w:t> </w:t>
      </w:r>
      <w:r>
        <w:rPr>
          <w:spacing w:val="-18"/>
        </w:rPr>
        <w:t> </w:t>
      </w:r>
      <w:r>
        <w:rPr>
          <w:w w:val="111"/>
        </w:rPr>
        <w:t>latinoamericanas </w:t>
      </w:r>
      <w:r>
        <w:rPr>
          <w:w w:val="110"/>
        </w:rPr>
        <w:t>y dio lugar a lo que algunos llamaron el “giro hacia los gobiernos pro- </w:t>
      </w:r>
      <w:r>
        <w:rPr>
          <w:w w:val="109"/>
        </w:rPr>
        <w:t>gresistas”.</w:t>
      </w:r>
      <w:r>
        <w:rPr>
          <w:spacing w:val="3"/>
        </w:rPr>
        <w:t> </w:t>
      </w:r>
      <w:r>
        <w:rPr>
          <w:w w:val="243"/>
        </w:rPr>
        <w:t>l</w:t>
      </w:r>
      <w:r>
        <w:rPr>
          <w:w w:val="109"/>
        </w:rPr>
        <w:t>as</w:t>
      </w:r>
      <w:r>
        <w:rPr>
          <w:spacing w:val="3"/>
        </w:rPr>
        <w:t> </w:t>
      </w:r>
      <w:r>
        <w:rPr>
          <w:w w:val="110"/>
        </w:rPr>
        <w:t>demandas</w:t>
      </w:r>
      <w:r>
        <w:rPr>
          <w:spacing w:val="3"/>
        </w:rPr>
        <w:t> </w:t>
      </w:r>
      <w:r>
        <w:rPr>
          <w:w w:val="107"/>
        </w:rPr>
        <w:t>de</w:t>
      </w:r>
      <w:r>
        <w:rPr>
          <w:spacing w:val="3"/>
        </w:rPr>
        <w:t> </w:t>
      </w:r>
      <w:r>
        <w:rPr>
          <w:w w:val="109"/>
        </w:rPr>
        <w:t>materias</w:t>
      </w:r>
      <w:r>
        <w:rPr>
          <w:spacing w:val="3"/>
        </w:rPr>
        <w:t> </w:t>
      </w:r>
      <w:r>
        <w:rPr>
          <w:w w:val="110"/>
        </w:rPr>
        <w:t>primas</w:t>
      </w:r>
      <w:r>
        <w:rPr>
          <w:spacing w:val="3"/>
        </w:rPr>
        <w:t> </w:t>
      </w:r>
      <w:r>
        <w:rPr>
          <w:w w:val="102"/>
        </w:rPr>
        <w:t>(y</w:t>
      </w:r>
      <w:r>
        <w:rPr>
          <w:spacing w:val="3"/>
        </w:rPr>
        <w:t> </w:t>
      </w:r>
      <w:r>
        <w:rPr>
          <w:w w:val="107"/>
        </w:rPr>
        <w:t>servicios)</w:t>
      </w:r>
      <w:r>
        <w:rPr>
          <w:spacing w:val="3"/>
        </w:rPr>
        <w:t> </w:t>
      </w:r>
      <w:r>
        <w:rPr>
          <w:w w:val="108"/>
        </w:rPr>
        <w:t>por</w:t>
      </w:r>
      <w:r>
        <w:rPr>
          <w:spacing w:val="3"/>
        </w:rPr>
        <w:t> </w:t>
      </w:r>
      <w:r>
        <w:rPr>
          <w:w w:val="107"/>
        </w:rPr>
        <w:t>parte</w:t>
      </w:r>
      <w:r>
        <w:rPr>
          <w:spacing w:val="3"/>
        </w:rPr>
        <w:t> </w:t>
      </w:r>
      <w:r>
        <w:rPr>
          <w:w w:val="107"/>
        </w:rPr>
        <w:t>de </w:t>
      </w:r>
      <w:r>
        <w:rPr>
          <w:w w:val="110"/>
        </w:rPr>
        <w:t>China, les permitió a los gobiernos latinoamericanos poner a funcio- nar programas “asistencialistas” que redujeron las tasas de pobreza. En la actualidad, sin embargo, el péndulo se inclina en la dirección opuesta con la reducción de los precios de los </w:t>
      </w:r>
      <w:r>
        <w:rPr>
          <w:i/>
          <w:w w:val="110"/>
        </w:rPr>
        <w:t>commodities </w:t>
      </w:r>
      <w:r>
        <w:rPr>
          <w:w w:val="110"/>
        </w:rPr>
        <w:t>que </w:t>
      </w:r>
      <w:r>
        <w:rPr>
          <w:spacing w:val="-3"/>
          <w:w w:val="110"/>
        </w:rPr>
        <w:t>expor- </w:t>
      </w:r>
      <w:r>
        <w:rPr>
          <w:w w:val="110"/>
        </w:rPr>
        <w:t>ta la región a </w:t>
      </w:r>
      <w:r>
        <w:rPr>
          <w:spacing w:val="24"/>
          <w:w w:val="110"/>
        </w:rPr>
        <w:t> </w:t>
      </w:r>
      <w:r>
        <w:rPr>
          <w:w w:val="110"/>
        </w:rPr>
        <w:t>China.</w:t>
      </w:r>
    </w:p>
    <w:p>
      <w:pPr>
        <w:pStyle w:val="BodyText"/>
        <w:spacing w:line="252" w:lineRule="auto"/>
        <w:ind w:left="330" w:right="116" w:firstLine="396"/>
        <w:jc w:val="both"/>
      </w:pPr>
      <w:r>
        <w:rPr>
          <w:w w:val="110"/>
        </w:rPr>
        <w:t>Casi medio siglo después del inicio de las políticas neoliberales que golpearon a los trabajadores del centro así como a los de la peri- feria del sistema capitalista, que puso fin a la experiencia soviética y que –indirectamente– convirtió a China en el “motor industrial” del siglo </w:t>
      </w:r>
      <w:r>
        <w:rPr>
          <w:w w:val="150"/>
        </w:rPr>
        <w:t>xxi, </w:t>
      </w:r>
      <w:r>
        <w:rPr>
          <w:w w:val="110"/>
        </w:rPr>
        <w:t>Estados unidos no tiene alternativas claras para conser- </w:t>
      </w:r>
      <w:r>
        <w:rPr>
          <w:w w:val="106"/>
        </w:rPr>
        <w:t>var</w:t>
      </w:r>
      <w:r>
        <w:rPr/>
        <w:t>  </w:t>
      </w:r>
      <w:r>
        <w:rPr>
          <w:w w:val="109"/>
        </w:rPr>
        <w:t>su</w:t>
      </w:r>
      <w:r>
        <w:rPr/>
        <w:t>  </w:t>
      </w:r>
      <w:r>
        <w:rPr>
          <w:w w:val="112"/>
        </w:rPr>
        <w:t>dominio</w:t>
      </w:r>
      <w:r>
        <w:rPr/>
        <w:t>  </w:t>
      </w:r>
      <w:r>
        <w:rPr>
          <w:w w:val="113"/>
        </w:rPr>
        <w:t>global.</w:t>
      </w:r>
      <w:r>
        <w:rPr/>
        <w:t>  </w:t>
      </w:r>
      <w:r>
        <w:rPr>
          <w:w w:val="243"/>
        </w:rPr>
        <w:t>l</w:t>
      </w:r>
      <w:r>
        <w:rPr>
          <w:w w:val="112"/>
        </w:rPr>
        <w:t>a</w:t>
      </w:r>
      <w:r>
        <w:rPr/>
        <w:t>  </w:t>
      </w:r>
      <w:r>
        <w:rPr>
          <w:w w:val="107"/>
        </w:rPr>
        <w:t>derrota</w:t>
      </w:r>
      <w:r>
        <w:rPr/>
        <w:t>  </w:t>
      </w:r>
      <w:r>
        <w:rPr>
          <w:w w:val="107"/>
        </w:rPr>
        <w:t>del</w:t>
      </w:r>
      <w:r>
        <w:rPr/>
        <w:t>  </w:t>
      </w:r>
      <w:r>
        <w:rPr>
          <w:w w:val="176"/>
        </w:rPr>
        <w:t>al</w:t>
      </w:r>
      <w:r>
        <w:rPr>
          <w:w w:val="124"/>
        </w:rPr>
        <w:t>C</w:t>
      </w:r>
      <w:r>
        <w:rPr>
          <w:w w:val="139"/>
        </w:rPr>
        <w:t>a</w:t>
      </w:r>
      <w:r>
        <w:rPr/>
        <w:t>  </w:t>
      </w:r>
      <w:r>
        <w:rPr>
          <w:w w:val="108"/>
        </w:rPr>
        <w:t>en</w:t>
      </w:r>
      <w:r>
        <w:rPr/>
        <w:t>  </w:t>
      </w:r>
      <w:r>
        <w:rPr>
          <w:w w:val="111"/>
        </w:rPr>
        <w:t>la</w:t>
      </w:r>
      <w:r>
        <w:rPr/>
        <w:t>  </w:t>
      </w:r>
      <w:r>
        <w:rPr>
          <w:w w:val="112"/>
        </w:rPr>
        <w:t>Cumbre</w:t>
      </w:r>
      <w:r>
        <w:rPr/>
        <w:t>  </w:t>
      </w:r>
      <w:r>
        <w:rPr>
          <w:w w:val="107"/>
        </w:rPr>
        <w:t>de</w:t>
      </w:r>
      <w:r>
        <w:rPr/>
        <w:t>  </w:t>
      </w:r>
      <w:r>
        <w:rPr>
          <w:w w:val="105"/>
        </w:rPr>
        <w:t>2005, </w:t>
      </w:r>
      <w:r>
        <w:rPr>
          <w:w w:val="110"/>
        </w:rPr>
        <w:t>en Mar del Plata, reorientó la política de Estados unidos. En pocos años celebró tratados con más de la mitad de los países de la región.    a su vez, amarró un tratado comercial trans-Pacífico (exceptuando       a China) y otro trans-atlántico con Europa (exceptuando a rusia). además, lanzó un proyecto de tratado centrado en los servicios que se transan en el mercado mundial. El éxito de estas nuevas estructuras llenará las expectativas de Washington si puede respaldarlas con su poderío militar.</w:t>
      </w:r>
    </w:p>
    <w:p>
      <w:pPr>
        <w:pStyle w:val="BodyText"/>
        <w:spacing w:line="252" w:lineRule="auto"/>
        <w:ind w:left="330" w:right="118" w:firstLine="396"/>
        <w:jc w:val="both"/>
      </w:pPr>
      <w:r>
        <w:rPr>
          <w:w w:val="110"/>
        </w:rPr>
        <w:t>En el tercer libro del grupo de trabajo de Estudios sobre Esta-  dos unidos –</w:t>
      </w:r>
      <w:r>
        <w:rPr>
          <w:i/>
          <w:w w:val="110"/>
        </w:rPr>
        <w:t>Estados Unidos, más allá de la crisis– </w:t>
      </w:r>
      <w:r>
        <w:rPr>
          <w:w w:val="110"/>
        </w:rPr>
        <w:t>publicado en 2012, planteábamos que a lo largo de la primera década del nuevo milenio “la nueva pirámide social que emerge de la crisis de hegemonía no     se parece a la estructura social prevaleciente en Estados unidos du- </w:t>
      </w:r>
      <w:r>
        <w:rPr>
          <w:w w:val="108"/>
        </w:rPr>
        <w:t>rante</w:t>
      </w:r>
      <w:r>
        <w:rPr/>
        <w:t> </w:t>
      </w:r>
      <w:r>
        <w:rPr>
          <w:spacing w:val="-18"/>
        </w:rPr>
        <w:t> </w:t>
      </w:r>
      <w:r>
        <w:rPr>
          <w:w w:val="111"/>
        </w:rPr>
        <w:t>la</w:t>
      </w:r>
      <w:r>
        <w:rPr/>
        <w:t> </w:t>
      </w:r>
      <w:r>
        <w:rPr>
          <w:spacing w:val="-18"/>
        </w:rPr>
        <w:t> </w:t>
      </w:r>
      <w:r>
        <w:rPr>
          <w:w w:val="109"/>
        </w:rPr>
        <w:t>segunda</w:t>
      </w:r>
      <w:r>
        <w:rPr/>
        <w:t> </w:t>
      </w:r>
      <w:r>
        <w:rPr>
          <w:spacing w:val="-18"/>
        </w:rPr>
        <w:t> </w:t>
      </w:r>
      <w:r>
        <w:rPr>
          <w:w w:val="111"/>
        </w:rPr>
        <w:t>mitad</w:t>
      </w:r>
      <w:r>
        <w:rPr/>
        <w:t> </w:t>
      </w:r>
      <w:r>
        <w:rPr>
          <w:spacing w:val="-18"/>
        </w:rPr>
        <w:t> </w:t>
      </w:r>
      <w:r>
        <w:rPr>
          <w:w w:val="107"/>
        </w:rPr>
        <w:t>del</w:t>
      </w:r>
      <w:r>
        <w:rPr/>
        <w:t> </w:t>
      </w:r>
      <w:r>
        <w:rPr>
          <w:spacing w:val="-18"/>
        </w:rPr>
        <w:t> </w:t>
      </w:r>
      <w:r>
        <w:rPr>
          <w:w w:val="110"/>
        </w:rPr>
        <w:t>siglo</w:t>
      </w:r>
      <w:r>
        <w:rPr/>
        <w:t> </w:t>
      </w:r>
      <w:r>
        <w:rPr>
          <w:spacing w:val="-18"/>
        </w:rPr>
        <w:t> </w:t>
      </w:r>
      <w:r>
        <w:rPr>
          <w:w w:val="160"/>
        </w:rPr>
        <w:t>xx</w:t>
      </w:r>
      <w:r>
        <w:rPr>
          <w:w w:val="138"/>
        </w:rPr>
        <w:t>.</w:t>
      </w:r>
      <w:r>
        <w:rPr/>
        <w:t> </w:t>
      </w:r>
      <w:r>
        <w:rPr>
          <w:spacing w:val="-18"/>
        </w:rPr>
        <w:t> </w:t>
      </w:r>
      <w:r>
        <w:rPr>
          <w:w w:val="243"/>
        </w:rPr>
        <w:t>l</w:t>
      </w:r>
      <w:r>
        <w:rPr>
          <w:w w:val="112"/>
        </w:rPr>
        <w:t>a</w:t>
      </w:r>
      <w:r>
        <w:rPr/>
        <w:t> </w:t>
      </w:r>
      <w:r>
        <w:rPr>
          <w:spacing w:val="-18"/>
        </w:rPr>
        <w:t> </w:t>
      </w:r>
      <w:r>
        <w:rPr>
          <w:w w:val="109"/>
        </w:rPr>
        <w:t>crisis</w:t>
      </w:r>
      <w:r>
        <w:rPr/>
        <w:t> </w:t>
      </w:r>
      <w:r>
        <w:rPr>
          <w:spacing w:val="-18"/>
        </w:rPr>
        <w:t> </w:t>
      </w:r>
      <w:r>
        <w:rPr>
          <w:w w:val="107"/>
        </w:rPr>
        <w:t>de</w:t>
      </w:r>
      <w:r>
        <w:rPr/>
        <w:t> </w:t>
      </w:r>
      <w:r>
        <w:rPr>
          <w:spacing w:val="-18"/>
        </w:rPr>
        <w:t> </w:t>
      </w:r>
      <w:r>
        <w:rPr>
          <w:w w:val="110"/>
        </w:rPr>
        <w:t>hegemonía</w:t>
      </w:r>
      <w:r>
        <w:rPr/>
        <w:t> </w:t>
      </w:r>
      <w:r>
        <w:rPr>
          <w:spacing w:val="-18"/>
        </w:rPr>
        <w:t> </w:t>
      </w:r>
      <w:r>
        <w:rPr>
          <w:w w:val="111"/>
        </w:rPr>
        <w:t>no</w:t>
      </w:r>
      <w:r>
        <w:rPr/>
        <w:t> </w:t>
      </w:r>
      <w:r>
        <w:rPr>
          <w:spacing w:val="-18"/>
        </w:rPr>
        <w:t> </w:t>
      </w:r>
      <w:r>
        <w:rPr>
          <w:w w:val="109"/>
        </w:rPr>
        <w:t>sólo </w:t>
      </w:r>
      <w:r>
        <w:rPr>
          <w:w w:val="110"/>
        </w:rPr>
        <w:t>representa un reto para la clase social tradicionalmente dominante, también es un reto para una clase obrera que ha sido arrinconada y </w:t>
      </w:r>
      <w:r>
        <w:rPr>
          <w:w w:val="110"/>
        </w:rPr>
        <w:t>desarmada.</w:t>
      </w:r>
      <w:r>
        <w:rPr>
          <w:spacing w:val="15"/>
        </w:rPr>
        <w:t> </w:t>
      </w:r>
      <w:r>
        <w:rPr>
          <w:w w:val="243"/>
        </w:rPr>
        <w:t>l</w:t>
      </w:r>
      <w:r>
        <w:rPr>
          <w:w w:val="112"/>
        </w:rPr>
        <w:t>a</w:t>
      </w:r>
      <w:r>
        <w:rPr>
          <w:spacing w:val="15"/>
        </w:rPr>
        <w:t> </w:t>
      </w:r>
      <w:r>
        <w:rPr>
          <w:w w:val="109"/>
        </w:rPr>
        <w:t>clase</w:t>
      </w:r>
      <w:r>
        <w:rPr>
          <w:spacing w:val="15"/>
        </w:rPr>
        <w:t> </w:t>
      </w:r>
      <w:r>
        <w:rPr>
          <w:w w:val="110"/>
        </w:rPr>
        <w:t>capitalista</w:t>
      </w:r>
      <w:r>
        <w:rPr>
          <w:spacing w:val="15"/>
        </w:rPr>
        <w:t> </w:t>
      </w:r>
      <w:r>
        <w:rPr>
          <w:w w:val="108"/>
        </w:rPr>
        <w:t>quiere</w:t>
      </w:r>
      <w:r>
        <w:rPr>
          <w:spacing w:val="15"/>
        </w:rPr>
        <w:t> </w:t>
      </w:r>
      <w:r>
        <w:rPr>
          <w:w w:val="108"/>
        </w:rPr>
        <w:t>asegurar</w:t>
      </w:r>
      <w:r>
        <w:rPr>
          <w:spacing w:val="15"/>
        </w:rPr>
        <w:t> </w:t>
      </w:r>
      <w:r>
        <w:rPr>
          <w:w w:val="108"/>
        </w:rPr>
        <w:t>nuevamente</w:t>
      </w:r>
      <w:r>
        <w:rPr>
          <w:spacing w:val="15"/>
        </w:rPr>
        <w:t> </w:t>
      </w:r>
      <w:r>
        <w:rPr>
          <w:w w:val="109"/>
        </w:rPr>
        <w:t>las</w:t>
      </w:r>
      <w:r>
        <w:rPr>
          <w:spacing w:val="15"/>
        </w:rPr>
        <w:t> </w:t>
      </w:r>
      <w:r>
        <w:rPr>
          <w:w w:val="108"/>
        </w:rPr>
        <w:t>tasas </w:t>
      </w:r>
      <w:r>
        <w:rPr>
          <w:w w:val="110"/>
        </w:rPr>
        <w:t>de ganancia de mediados del siglo pasado. </w:t>
      </w:r>
      <w:r>
        <w:rPr>
          <w:w w:val="150"/>
        </w:rPr>
        <w:t>a </w:t>
      </w:r>
      <w:r>
        <w:rPr>
          <w:w w:val="110"/>
        </w:rPr>
        <w:t>su vez, los trabajadores añoran la estabilidad de sus empleos propia de una época </w:t>
      </w:r>
      <w:r>
        <w:rPr>
          <w:spacing w:val="38"/>
          <w:w w:val="110"/>
        </w:rPr>
        <w:t> </w:t>
      </w:r>
      <w:r>
        <w:rPr>
          <w:w w:val="110"/>
        </w:rPr>
        <w:t>pasada”.</w:t>
      </w:r>
    </w:p>
    <w:p>
      <w:pPr>
        <w:pStyle w:val="BodyText"/>
        <w:spacing w:line="252" w:lineRule="auto"/>
        <w:ind w:left="330" w:right="118" w:firstLine="396"/>
        <w:jc w:val="both"/>
      </w:pPr>
      <w:r>
        <w:rPr>
          <w:w w:val="110"/>
        </w:rPr>
        <w:t>agregábamos que “los capitalistas buscarán en cualquier parte  del</w:t>
      </w:r>
      <w:r>
        <w:rPr>
          <w:spacing w:val="38"/>
          <w:w w:val="110"/>
        </w:rPr>
        <w:t> </w:t>
      </w:r>
      <w:r>
        <w:rPr>
          <w:w w:val="110"/>
        </w:rPr>
        <w:t>mundo</w:t>
      </w:r>
      <w:r>
        <w:rPr>
          <w:spacing w:val="38"/>
          <w:w w:val="110"/>
        </w:rPr>
        <w:t> </w:t>
      </w:r>
      <w:r>
        <w:rPr>
          <w:w w:val="110"/>
        </w:rPr>
        <w:t>las</w:t>
      </w:r>
      <w:r>
        <w:rPr>
          <w:spacing w:val="38"/>
          <w:w w:val="110"/>
        </w:rPr>
        <w:t> </w:t>
      </w:r>
      <w:r>
        <w:rPr>
          <w:w w:val="110"/>
        </w:rPr>
        <w:t>condiciones</w:t>
      </w:r>
      <w:r>
        <w:rPr>
          <w:spacing w:val="38"/>
          <w:w w:val="110"/>
        </w:rPr>
        <w:t> </w:t>
      </w:r>
      <w:r>
        <w:rPr>
          <w:w w:val="110"/>
        </w:rPr>
        <w:t>para</w:t>
      </w:r>
      <w:r>
        <w:rPr>
          <w:spacing w:val="38"/>
          <w:w w:val="110"/>
        </w:rPr>
        <w:t> </w:t>
      </w:r>
      <w:r>
        <w:rPr>
          <w:w w:val="110"/>
        </w:rPr>
        <w:t>generar</w:t>
      </w:r>
      <w:r>
        <w:rPr>
          <w:spacing w:val="38"/>
          <w:w w:val="110"/>
        </w:rPr>
        <w:t> </w:t>
      </w:r>
      <w:r>
        <w:rPr>
          <w:w w:val="110"/>
        </w:rPr>
        <w:t>ganancias.</w:t>
      </w:r>
      <w:r>
        <w:rPr>
          <w:spacing w:val="38"/>
          <w:w w:val="110"/>
        </w:rPr>
        <w:t> </w:t>
      </w:r>
      <w:r>
        <w:rPr>
          <w:w w:val="110"/>
        </w:rPr>
        <w:t>El</w:t>
      </w:r>
      <w:r>
        <w:rPr>
          <w:spacing w:val="38"/>
          <w:w w:val="110"/>
        </w:rPr>
        <w:t> </w:t>
      </w:r>
      <w:r>
        <w:rPr>
          <w:w w:val="110"/>
        </w:rPr>
        <w:t>capital</w:t>
      </w:r>
      <w:r>
        <w:rPr>
          <w:spacing w:val="38"/>
          <w:w w:val="110"/>
        </w:rPr>
        <w:t> </w:t>
      </w:r>
      <w:r>
        <w:rPr>
          <w:w w:val="110"/>
        </w:rPr>
        <w:t>tiene</w:t>
      </w:r>
    </w:p>
    <w:p>
      <w:pPr>
        <w:spacing w:after="0" w:line="252" w:lineRule="auto"/>
        <w:jc w:val="both"/>
        <w:sectPr>
          <w:headerReference w:type="even" r:id="rId59"/>
          <w:headerReference w:type="default" r:id="rId60"/>
          <w:footerReference w:type="even" r:id="rId61"/>
          <w:footerReference w:type="default" r:id="rId62"/>
          <w:pgSz w:w="8790" w:h="12760"/>
          <w:pgMar w:header="697" w:footer="725" w:top="880" w:bottom="920" w:left="1200" w:right="900"/>
          <w:pgNumType w:start="24"/>
        </w:sectPr>
      </w:pPr>
    </w:p>
    <w:p>
      <w:pPr>
        <w:pStyle w:val="BodyText"/>
        <w:spacing w:before="9"/>
        <w:rPr>
          <w:sz w:val="28"/>
        </w:rPr>
      </w:pPr>
    </w:p>
    <w:p>
      <w:pPr>
        <w:pStyle w:val="BodyText"/>
        <w:spacing w:line="252" w:lineRule="auto" w:before="73"/>
        <w:ind w:left="100" w:right="328"/>
        <w:jc w:val="both"/>
      </w:pPr>
      <w:r>
        <w:rPr>
          <w:w w:val="110"/>
        </w:rPr>
        <w:t>esa facilidad que no tienen los trabajadores: se mueve con rapidez y puede reconstruirse políticamente, con relativa facilidad, en cualquier parte del mundo. China y la mayoría de los países con economías emergentes cuentan con reservas importantes de fuerza de trabajo. </w:t>
      </w:r>
      <w:r>
        <w:rPr>
          <w:w w:val="243"/>
        </w:rPr>
        <w:t>l</w:t>
      </w:r>
      <w:r>
        <w:rPr>
          <w:w w:val="108"/>
        </w:rPr>
        <w:t>os</w:t>
      </w:r>
      <w:r>
        <w:rPr/>
        <w:t> </w:t>
      </w:r>
      <w:r>
        <w:rPr>
          <w:w w:val="109"/>
        </w:rPr>
        <w:t>flujos</w:t>
      </w:r>
      <w:r>
        <w:rPr/>
        <w:t> </w:t>
      </w:r>
      <w:r>
        <w:rPr>
          <w:w w:val="109"/>
        </w:rPr>
        <w:t>financieros</w:t>
      </w:r>
      <w:r>
        <w:rPr/>
        <w:t> </w:t>
      </w:r>
      <w:r>
        <w:rPr>
          <w:w w:val="105"/>
        </w:rPr>
        <w:t>se</w:t>
      </w:r>
      <w:r>
        <w:rPr/>
        <w:t> </w:t>
      </w:r>
      <w:r>
        <w:rPr>
          <w:w w:val="108"/>
        </w:rPr>
        <w:t>convierten</w:t>
      </w:r>
      <w:r>
        <w:rPr/>
        <w:t> </w:t>
      </w:r>
      <w:r>
        <w:rPr>
          <w:w w:val="109"/>
        </w:rPr>
        <w:t>rápidamente</w:t>
      </w:r>
      <w:r>
        <w:rPr/>
        <w:t> </w:t>
      </w:r>
      <w:r>
        <w:rPr>
          <w:w w:val="108"/>
        </w:rPr>
        <w:t>en</w:t>
      </w:r>
      <w:r>
        <w:rPr/>
        <w:t> </w:t>
      </w:r>
      <w:r>
        <w:rPr>
          <w:w w:val="110"/>
        </w:rPr>
        <w:t>capitales</w:t>
      </w:r>
      <w:r>
        <w:rPr/>
        <w:t> </w:t>
      </w:r>
      <w:r>
        <w:rPr>
          <w:w w:val="105"/>
        </w:rPr>
        <w:t>y</w:t>
      </w:r>
      <w:r>
        <w:rPr/>
        <w:t> </w:t>
      </w:r>
      <w:r>
        <w:rPr>
          <w:w w:val="111"/>
        </w:rPr>
        <w:t>ganan</w:t>
      </w:r>
      <w:r>
        <w:rPr>
          <w:w w:val="102"/>
        </w:rPr>
        <w:t>- </w:t>
      </w:r>
      <w:r>
        <w:rPr>
          <w:w w:val="110"/>
        </w:rPr>
        <w:t>cias”. </w:t>
      </w:r>
      <w:r>
        <w:rPr>
          <w:w w:val="125"/>
        </w:rPr>
        <w:t>a </w:t>
      </w:r>
      <w:r>
        <w:rPr>
          <w:w w:val="110"/>
        </w:rPr>
        <w:t>pesar de la reducción en el crecimiento económico de China, aún sigue vigente la tendencia. incluso, la agresividad global de China se siente en el sector financiero y en la industria de alta  tecnología.</w:t>
      </w:r>
    </w:p>
    <w:p>
      <w:pPr>
        <w:pStyle w:val="BodyText"/>
        <w:spacing w:line="252" w:lineRule="auto"/>
        <w:ind w:left="100" w:right="328" w:firstLine="396"/>
        <w:jc w:val="both"/>
      </w:pPr>
      <w:r>
        <w:rPr>
          <w:w w:val="110"/>
        </w:rPr>
        <w:t>El grupo de trabajo se ocupa desde 2004 en torno a la hipóte-     sis que centra su atención sobre la crisis de hegemonía de Estados unidos. En el segundo libro publicado en 2010 decíamos entender el concepto de </w:t>
      </w:r>
      <w:r>
        <w:rPr>
          <w:i/>
          <w:w w:val="110"/>
        </w:rPr>
        <w:t>crisis </w:t>
      </w:r>
      <w:r>
        <w:rPr>
          <w:w w:val="110"/>
        </w:rPr>
        <w:t>así como el de </w:t>
      </w:r>
      <w:r>
        <w:rPr>
          <w:i/>
          <w:w w:val="110"/>
        </w:rPr>
        <w:t>hegemonía </w:t>
      </w:r>
      <w:r>
        <w:rPr>
          <w:w w:val="110"/>
        </w:rPr>
        <w:t>en un sentido amplio. El primero, como momento de cambio e incertidumbre </w:t>
      </w:r>
      <w:r>
        <w:rPr>
          <w:spacing w:val="-11"/>
          <w:w w:val="110"/>
        </w:rPr>
        <w:t>y, </w:t>
      </w:r>
      <w:r>
        <w:rPr>
          <w:w w:val="110"/>
        </w:rPr>
        <w:t>el segundo, como capacidad de legitimación de las relaciones de dominación en- </w:t>
      </w:r>
      <w:r>
        <w:rPr>
          <w:w w:val="105"/>
        </w:rPr>
        <w:t>tre</w:t>
      </w:r>
      <w:r>
        <w:rPr/>
        <w:t> </w:t>
      </w:r>
      <w:r>
        <w:rPr>
          <w:spacing w:val="-10"/>
        </w:rPr>
        <w:t> </w:t>
      </w:r>
      <w:r>
        <w:rPr>
          <w:w w:val="111"/>
        </w:rPr>
        <w:t>clases,</w:t>
      </w:r>
      <w:r>
        <w:rPr/>
        <w:t> </w:t>
      </w:r>
      <w:r>
        <w:rPr>
          <w:spacing w:val="-10"/>
        </w:rPr>
        <w:t> </w:t>
      </w:r>
      <w:r>
        <w:rPr>
          <w:w w:val="109"/>
        </w:rPr>
        <w:t>grupos</w:t>
      </w:r>
      <w:r>
        <w:rPr/>
        <w:t> </w:t>
      </w:r>
      <w:r>
        <w:rPr>
          <w:spacing w:val="-10"/>
        </w:rPr>
        <w:t> </w:t>
      </w:r>
      <w:r>
        <w:rPr>
          <w:w w:val="109"/>
        </w:rPr>
        <w:t>sociales</w:t>
      </w:r>
      <w:r>
        <w:rPr/>
        <w:t> </w:t>
      </w:r>
      <w:r>
        <w:rPr>
          <w:spacing w:val="-10"/>
        </w:rPr>
        <w:t> </w:t>
      </w:r>
      <w:r>
        <w:rPr>
          <w:w w:val="110"/>
        </w:rPr>
        <w:t>o</w:t>
      </w:r>
      <w:r>
        <w:rPr/>
        <w:t> </w:t>
      </w:r>
      <w:r>
        <w:rPr>
          <w:spacing w:val="-10"/>
        </w:rPr>
        <w:t> </w:t>
      </w:r>
      <w:r>
        <w:rPr>
          <w:w w:val="110"/>
        </w:rPr>
        <w:t>países.</w:t>
      </w:r>
      <w:r>
        <w:rPr/>
        <w:t> </w:t>
      </w:r>
      <w:r>
        <w:rPr>
          <w:spacing w:val="-10"/>
        </w:rPr>
        <w:t> </w:t>
      </w:r>
      <w:r>
        <w:rPr>
          <w:w w:val="115"/>
        </w:rPr>
        <w:t>“</w:t>
      </w:r>
      <w:r>
        <w:rPr>
          <w:w w:val="243"/>
        </w:rPr>
        <w:t>l</w:t>
      </w:r>
      <w:r>
        <w:rPr>
          <w:w w:val="112"/>
        </w:rPr>
        <w:t>a</w:t>
      </w:r>
      <w:r>
        <w:rPr/>
        <w:t> </w:t>
      </w:r>
      <w:r>
        <w:rPr>
          <w:spacing w:val="-10"/>
        </w:rPr>
        <w:t> </w:t>
      </w:r>
      <w:r>
        <w:rPr>
          <w:w w:val="111"/>
        </w:rPr>
        <w:t>hegemonía,</w:t>
      </w:r>
      <w:r>
        <w:rPr/>
        <w:t> </w:t>
      </w:r>
      <w:r>
        <w:rPr>
          <w:spacing w:val="-10"/>
        </w:rPr>
        <w:t> </w:t>
      </w:r>
      <w:r>
        <w:rPr>
          <w:w w:val="108"/>
        </w:rPr>
        <w:t>en</w:t>
      </w:r>
      <w:r>
        <w:rPr/>
        <w:t> </w:t>
      </w:r>
      <w:r>
        <w:rPr>
          <w:spacing w:val="-10"/>
        </w:rPr>
        <w:t> </w:t>
      </w:r>
      <w:r>
        <w:rPr>
          <w:w w:val="105"/>
        </w:rPr>
        <w:t>este</w:t>
      </w:r>
      <w:r>
        <w:rPr/>
        <w:t> </w:t>
      </w:r>
      <w:r>
        <w:rPr>
          <w:spacing w:val="-10"/>
        </w:rPr>
        <w:t> </w:t>
      </w:r>
      <w:r>
        <w:rPr>
          <w:w w:val="110"/>
        </w:rPr>
        <w:t>sentido, </w:t>
      </w:r>
      <w:r>
        <w:rPr>
          <w:w w:val="110"/>
        </w:rPr>
        <w:t>se asume desde dos perspectivas o componentes complementarias, </w:t>
      </w:r>
      <w:r>
        <w:rPr>
          <w:w w:val="110"/>
        </w:rPr>
        <w:t>aunque</w:t>
      </w:r>
      <w:r>
        <w:rPr>
          <w:spacing w:val="4"/>
        </w:rPr>
        <w:t> </w:t>
      </w:r>
      <w:r>
        <w:rPr>
          <w:w w:val="111"/>
        </w:rPr>
        <w:t>no</w:t>
      </w:r>
      <w:r>
        <w:rPr>
          <w:spacing w:val="4"/>
        </w:rPr>
        <w:t> </w:t>
      </w:r>
      <w:r>
        <w:rPr>
          <w:w w:val="109"/>
        </w:rPr>
        <w:t>necesariamente</w:t>
      </w:r>
      <w:r>
        <w:rPr>
          <w:spacing w:val="4"/>
        </w:rPr>
        <w:t> </w:t>
      </w:r>
      <w:r>
        <w:rPr>
          <w:w w:val="111"/>
        </w:rPr>
        <w:t>coincidente.</w:t>
      </w:r>
      <w:r>
        <w:rPr>
          <w:spacing w:val="4"/>
        </w:rPr>
        <w:t> </w:t>
      </w:r>
      <w:r>
        <w:rPr>
          <w:w w:val="243"/>
        </w:rPr>
        <w:t>l</w:t>
      </w:r>
      <w:r>
        <w:rPr>
          <w:w w:val="112"/>
        </w:rPr>
        <w:t>a</w:t>
      </w:r>
      <w:r>
        <w:rPr>
          <w:spacing w:val="4"/>
        </w:rPr>
        <w:t> </w:t>
      </w:r>
      <w:r>
        <w:rPr>
          <w:w w:val="113"/>
        </w:rPr>
        <w:t>global,</w:t>
      </w:r>
      <w:r>
        <w:rPr>
          <w:spacing w:val="4"/>
        </w:rPr>
        <w:t> </w:t>
      </w:r>
      <w:r>
        <w:rPr>
          <w:w w:val="107"/>
        </w:rPr>
        <w:t>representada</w:t>
      </w:r>
      <w:r>
        <w:rPr>
          <w:spacing w:val="4"/>
        </w:rPr>
        <w:t> </w:t>
      </w:r>
      <w:r>
        <w:rPr>
          <w:w w:val="108"/>
        </w:rPr>
        <w:t>por</w:t>
      </w:r>
      <w:r>
        <w:rPr>
          <w:spacing w:val="4"/>
        </w:rPr>
        <w:t> </w:t>
      </w:r>
      <w:r>
        <w:rPr>
          <w:w w:val="107"/>
        </w:rPr>
        <w:t>el </w:t>
      </w:r>
      <w:r>
        <w:rPr>
          <w:w w:val="110"/>
        </w:rPr>
        <w:t>centro y la capacidad para imponer sobre la periferia (otros países)</w:t>
      </w:r>
      <w:r>
        <w:rPr>
          <w:spacing w:val="-17"/>
          <w:w w:val="110"/>
        </w:rPr>
        <w:t> </w:t>
      </w:r>
      <w:r>
        <w:rPr>
          <w:w w:val="110"/>
        </w:rPr>
        <w:t>su </w:t>
      </w:r>
      <w:r>
        <w:rPr>
          <w:w w:val="108"/>
        </w:rPr>
        <w:t>proyecto</w:t>
      </w:r>
      <w:r>
        <w:rPr>
          <w:spacing w:val="5"/>
        </w:rPr>
        <w:t> </w:t>
      </w:r>
      <w:r>
        <w:rPr>
          <w:w w:val="107"/>
        </w:rPr>
        <w:t>de</w:t>
      </w:r>
      <w:r>
        <w:rPr>
          <w:spacing w:val="5"/>
        </w:rPr>
        <w:t> </w:t>
      </w:r>
      <w:r>
        <w:rPr>
          <w:w w:val="112"/>
        </w:rPr>
        <w:t>dominación</w:t>
      </w:r>
      <w:r>
        <w:rPr>
          <w:spacing w:val="5"/>
        </w:rPr>
        <w:t> </w:t>
      </w:r>
      <w:r>
        <w:rPr>
          <w:w w:val="113"/>
        </w:rPr>
        <w:t>económico,</w:t>
      </w:r>
      <w:r>
        <w:rPr>
          <w:spacing w:val="5"/>
        </w:rPr>
        <w:t> </w:t>
      </w:r>
      <w:r>
        <w:rPr>
          <w:w w:val="112"/>
        </w:rPr>
        <w:t>cultural,</w:t>
      </w:r>
      <w:r>
        <w:rPr>
          <w:spacing w:val="5"/>
        </w:rPr>
        <w:t> </w:t>
      </w:r>
      <w:r>
        <w:rPr>
          <w:w w:val="111"/>
        </w:rPr>
        <w:t>político</w:t>
      </w:r>
      <w:r>
        <w:rPr>
          <w:spacing w:val="5"/>
        </w:rPr>
        <w:t> </w:t>
      </w:r>
      <w:r>
        <w:rPr>
          <w:w w:val="104"/>
        </w:rPr>
        <w:t>e</w:t>
      </w:r>
      <w:r>
        <w:rPr>
          <w:spacing w:val="5"/>
        </w:rPr>
        <w:t> </w:t>
      </w:r>
      <w:r>
        <w:rPr>
          <w:w w:val="112"/>
        </w:rPr>
        <w:t>ideológico.</w:t>
      </w:r>
      <w:r>
        <w:rPr>
          <w:spacing w:val="5"/>
        </w:rPr>
        <w:t> </w:t>
      </w:r>
      <w:r>
        <w:rPr>
          <w:w w:val="243"/>
        </w:rPr>
        <w:t>l</w:t>
      </w:r>
      <w:r>
        <w:rPr>
          <w:w w:val="112"/>
        </w:rPr>
        <w:t>a </w:t>
      </w:r>
      <w:r>
        <w:rPr>
          <w:w w:val="110"/>
        </w:rPr>
        <w:t>otra se refiere a las condiciones nacionales, a las contradicciones de clases y a la legitimidad con la que se configura y reproduce el orden interno de dominación </w:t>
      </w:r>
      <w:r>
        <w:rPr>
          <w:spacing w:val="12"/>
          <w:w w:val="110"/>
        </w:rPr>
        <w:t> </w:t>
      </w:r>
      <w:r>
        <w:rPr>
          <w:w w:val="110"/>
        </w:rPr>
        <w:t>social”.</w:t>
      </w:r>
    </w:p>
    <w:p>
      <w:pPr>
        <w:pStyle w:val="BodyText"/>
        <w:spacing w:line="252" w:lineRule="auto"/>
        <w:ind w:left="100" w:right="326" w:firstLine="396"/>
        <w:jc w:val="both"/>
      </w:pPr>
      <w:r>
        <w:rPr>
          <w:w w:val="110"/>
        </w:rPr>
        <w:t>El concepto de hegemonía,  en  sentido  amplio,  ofrece  también un marco de referencia sobre el ejercicio de la dominación de cla-     se, la capacidad para expandirla y las posibilidades de mantenerla. decíamos que “en contraste con el concepto  de  ‘imperialismo’,  el  cual –al igual que la globalización– es una constante del capitalismo,  el concepto de hegemonía permite entender (e hipotetizar) sobre el futuro de Estados unidos en cuanto a su posición en el sistema ca- pitalista </w:t>
      </w:r>
      <w:r>
        <w:rPr>
          <w:spacing w:val="13"/>
          <w:w w:val="110"/>
        </w:rPr>
        <w:t> </w:t>
      </w:r>
      <w:r>
        <w:rPr>
          <w:w w:val="110"/>
        </w:rPr>
        <w:t>mundial”.</w:t>
      </w:r>
    </w:p>
    <w:p>
      <w:pPr>
        <w:pStyle w:val="BodyText"/>
        <w:spacing w:line="252" w:lineRule="auto"/>
        <w:ind w:left="100" w:right="328" w:firstLine="396"/>
        <w:jc w:val="both"/>
      </w:pPr>
      <w:r>
        <w:rPr>
          <w:w w:val="110"/>
        </w:rPr>
        <w:t>desde el primer libro publicado en 2007 –</w:t>
      </w:r>
      <w:r>
        <w:rPr>
          <w:i/>
          <w:w w:val="110"/>
        </w:rPr>
        <w:t>La crisis de hegemonía </w:t>
      </w:r>
      <w:r>
        <w:rPr>
          <w:i/>
          <w:w w:val="110"/>
        </w:rPr>
        <w:t>de Estados Unidos</w:t>
      </w:r>
      <w:r>
        <w:rPr>
          <w:w w:val="110"/>
        </w:rPr>
        <w:t>– el grupo asumió una distribución del trabajo que </w:t>
      </w:r>
      <w:r>
        <w:rPr>
          <w:w w:val="111"/>
        </w:rPr>
        <w:t>abarca</w:t>
      </w:r>
      <w:r>
        <w:rPr/>
        <w:t> </w:t>
      </w:r>
      <w:r>
        <w:rPr>
          <w:w w:val="105"/>
        </w:rPr>
        <w:t>tres</w:t>
      </w:r>
      <w:r>
        <w:rPr/>
        <w:t> </w:t>
      </w:r>
      <w:r>
        <w:rPr>
          <w:w w:val="108"/>
        </w:rPr>
        <w:t>grandes</w:t>
      </w:r>
      <w:r>
        <w:rPr/>
        <w:t> </w:t>
      </w:r>
      <w:r>
        <w:rPr>
          <w:w w:val="110"/>
        </w:rPr>
        <w:t>áreas.</w:t>
      </w:r>
      <w:r>
        <w:rPr/>
        <w:t> </w:t>
      </w:r>
      <w:r>
        <w:rPr>
          <w:w w:val="243"/>
        </w:rPr>
        <w:t>l</w:t>
      </w:r>
      <w:r>
        <w:rPr>
          <w:w w:val="108"/>
        </w:rPr>
        <w:t>os</w:t>
      </w:r>
      <w:r>
        <w:rPr/>
        <w:t> </w:t>
      </w:r>
      <w:r>
        <w:rPr>
          <w:w w:val="110"/>
        </w:rPr>
        <w:t>miembros</w:t>
      </w:r>
      <w:r>
        <w:rPr/>
        <w:t> </w:t>
      </w:r>
      <w:r>
        <w:rPr>
          <w:w w:val="107"/>
        </w:rPr>
        <w:t>del</w:t>
      </w:r>
      <w:r>
        <w:rPr/>
        <w:t> </w:t>
      </w:r>
      <w:r>
        <w:rPr>
          <w:w w:val="109"/>
        </w:rPr>
        <w:t>equipo</w:t>
      </w:r>
      <w:r>
        <w:rPr/>
        <w:t> </w:t>
      </w:r>
      <w:r>
        <w:rPr>
          <w:w w:val="105"/>
        </w:rPr>
        <w:t>se</w:t>
      </w:r>
      <w:r>
        <w:rPr/>
        <w:t> </w:t>
      </w:r>
      <w:r>
        <w:rPr>
          <w:w w:val="109"/>
        </w:rPr>
        <w:t>dividieron</w:t>
      </w:r>
      <w:r>
        <w:rPr/>
        <w:t> </w:t>
      </w:r>
      <w:r>
        <w:rPr>
          <w:w w:val="109"/>
        </w:rPr>
        <w:t>las </w:t>
      </w:r>
      <w:r>
        <w:rPr>
          <w:w w:val="110"/>
        </w:rPr>
        <w:t>tareas enfocando el objeto de estudio como un problema que podía ser analizado desde diferentes aristas.</w:t>
      </w:r>
    </w:p>
    <w:p>
      <w:pPr>
        <w:pStyle w:val="BodyText"/>
        <w:spacing w:line="252" w:lineRule="auto"/>
        <w:ind w:left="100" w:right="327" w:firstLine="396"/>
        <w:jc w:val="both"/>
      </w:pPr>
      <w:r>
        <w:rPr>
          <w:w w:val="110"/>
        </w:rPr>
        <w:t>Es así que –en primer lugar– en cada libro que se ha publica-     do, aparecen trabajos que abordan la cambiante situación global y     el papel que juega Estados unidos en ese escenario que no cesa de </w:t>
      </w:r>
      <w:r>
        <w:rPr>
          <w:w w:val="110"/>
        </w:rPr>
        <w:t>transformarse.</w:t>
      </w:r>
      <w:r>
        <w:rPr/>
        <w:t> </w:t>
      </w:r>
      <w:r>
        <w:rPr>
          <w:spacing w:val="-6"/>
        </w:rPr>
        <w:t> </w:t>
      </w:r>
      <w:r>
        <w:rPr>
          <w:w w:val="243"/>
        </w:rPr>
        <w:t>l</w:t>
      </w:r>
      <w:r>
        <w:rPr>
          <w:w w:val="108"/>
        </w:rPr>
        <w:t>os</w:t>
      </w:r>
      <w:r>
        <w:rPr/>
        <w:t> </w:t>
      </w:r>
      <w:r>
        <w:rPr>
          <w:spacing w:val="-6"/>
        </w:rPr>
        <w:t> </w:t>
      </w:r>
      <w:r>
        <w:rPr>
          <w:w w:val="110"/>
        </w:rPr>
        <w:t>miembros</w:t>
      </w:r>
      <w:r>
        <w:rPr/>
        <w:t> </w:t>
      </w:r>
      <w:r>
        <w:rPr>
          <w:spacing w:val="-6"/>
        </w:rPr>
        <w:t> </w:t>
      </w:r>
      <w:r>
        <w:rPr>
          <w:w w:val="107"/>
        </w:rPr>
        <w:t>del</w:t>
      </w:r>
      <w:r>
        <w:rPr/>
        <w:t> </w:t>
      </w:r>
      <w:r>
        <w:rPr>
          <w:spacing w:val="-6"/>
        </w:rPr>
        <w:t> </w:t>
      </w:r>
      <w:r>
        <w:rPr>
          <w:w w:val="109"/>
        </w:rPr>
        <w:t>grupo</w:t>
      </w:r>
      <w:r>
        <w:rPr/>
        <w:t> </w:t>
      </w:r>
      <w:r>
        <w:rPr>
          <w:spacing w:val="-6"/>
        </w:rPr>
        <w:t> </w:t>
      </w:r>
      <w:r>
        <w:rPr>
          <w:w w:val="107"/>
        </w:rPr>
        <w:t>de</w:t>
      </w:r>
      <w:r>
        <w:rPr/>
        <w:t> </w:t>
      </w:r>
      <w:r>
        <w:rPr>
          <w:spacing w:val="-6"/>
        </w:rPr>
        <w:t> </w:t>
      </w:r>
      <w:r>
        <w:rPr>
          <w:w w:val="110"/>
        </w:rPr>
        <w:t>trabajo</w:t>
      </w:r>
      <w:r>
        <w:rPr/>
        <w:t> </w:t>
      </w:r>
      <w:r>
        <w:rPr>
          <w:spacing w:val="-6"/>
        </w:rPr>
        <w:t> </w:t>
      </w:r>
      <w:r>
        <w:rPr>
          <w:w w:val="111"/>
        </w:rPr>
        <w:t>no</w:t>
      </w:r>
      <w:r>
        <w:rPr/>
        <w:t> </w:t>
      </w:r>
      <w:r>
        <w:rPr>
          <w:spacing w:val="-6"/>
        </w:rPr>
        <w:t> </w:t>
      </w:r>
      <w:r>
        <w:rPr>
          <w:w w:val="105"/>
        </w:rPr>
        <w:t>se</w:t>
      </w:r>
      <w:r>
        <w:rPr/>
        <w:t> </w:t>
      </w:r>
      <w:r>
        <w:rPr>
          <w:spacing w:val="-6"/>
        </w:rPr>
        <w:t> </w:t>
      </w:r>
      <w:r>
        <w:rPr>
          <w:w w:val="112"/>
        </w:rPr>
        <w:t>han</w:t>
      </w:r>
      <w:r>
        <w:rPr/>
        <w:t> </w:t>
      </w:r>
      <w:r>
        <w:rPr>
          <w:spacing w:val="-6"/>
        </w:rPr>
        <w:t> </w:t>
      </w:r>
      <w:r>
        <w:rPr>
          <w:w w:val="108"/>
        </w:rPr>
        <w:t>pue</w:t>
      </w:r>
      <w:r>
        <w:rPr>
          <w:spacing w:val="-1"/>
          <w:w w:val="108"/>
        </w:rPr>
        <w:t>s</w:t>
      </w:r>
      <w:r>
        <w:rPr>
          <w:w w:val="102"/>
        </w:rPr>
        <w:t>- </w:t>
      </w:r>
      <w:r>
        <w:rPr>
          <w:w w:val="110"/>
        </w:rPr>
        <w:t>to de acuerdo en problemas teóricos como la causa de la aparente pérdida de hegemonía de Estados unidos. Hay varios miembros que sostienen que la tasa de ganancia de la economía norteamericana ha disminuido significativamente. otros sostienen que a pesar de ello,  </w:t>
      </w:r>
      <w:r>
        <w:rPr>
          <w:spacing w:val="26"/>
          <w:w w:val="110"/>
        </w:rPr>
        <w:t> </w:t>
      </w:r>
      <w:r>
        <w:rPr>
          <w:w w:val="110"/>
        </w:rPr>
        <w:t>la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41"/>
      </w:pPr>
      <w:r>
        <w:rPr>
          <w:w w:val="110"/>
        </w:rPr>
        <w:t>economía está robusta. Prueba de ello es su presencia en los diferentes escenarios mundiales.</w:t>
      </w:r>
    </w:p>
    <w:p>
      <w:pPr>
        <w:pStyle w:val="BodyText"/>
        <w:spacing w:line="252" w:lineRule="auto"/>
        <w:ind w:left="330" w:right="117" w:firstLine="396"/>
        <w:jc w:val="both"/>
      </w:pPr>
      <w:r>
        <w:rPr>
          <w:w w:val="110"/>
        </w:rPr>
        <w:t>El libro </w:t>
      </w:r>
      <w:r>
        <w:rPr>
          <w:i/>
          <w:w w:val="110"/>
        </w:rPr>
        <w:t>Estados Unidos y la nueva correlación de fuerzas inter- </w:t>
      </w:r>
      <w:r>
        <w:rPr>
          <w:i/>
          <w:w w:val="110"/>
        </w:rPr>
        <w:t>nacional </w:t>
      </w:r>
      <w:r>
        <w:rPr>
          <w:w w:val="110"/>
        </w:rPr>
        <w:t>analiza además la emergencia china como otro factor que    ha asumido un papel central en los aportes del grupo de trabajo. Pe- kín se ha convertido en un exportador de manufacturas, capitales y cultura en todos los continentes. su relación privilegiada con rusia       y los </w:t>
      </w:r>
      <w:r>
        <w:rPr>
          <w:w w:val="135"/>
        </w:rPr>
        <w:t>briCs </w:t>
      </w:r>
      <w:r>
        <w:rPr>
          <w:w w:val="110"/>
        </w:rPr>
        <w:t>constituyen un reto al proyecto de dominación global </w:t>
      </w:r>
      <w:r>
        <w:rPr>
          <w:w w:val="107"/>
        </w:rPr>
        <w:t>de</w:t>
      </w:r>
      <w:r>
        <w:rPr/>
        <w:t> </w:t>
      </w:r>
      <w:r>
        <w:rPr>
          <w:spacing w:val="-13"/>
        </w:rPr>
        <w:t> </w:t>
      </w:r>
      <w:r>
        <w:rPr>
          <w:w w:val="111"/>
        </w:rPr>
        <w:t>Estados</w:t>
      </w:r>
      <w:r>
        <w:rPr/>
        <w:t> </w:t>
      </w:r>
      <w:r>
        <w:rPr>
          <w:spacing w:val="-13"/>
        </w:rPr>
        <w:t> </w:t>
      </w:r>
      <w:r>
        <w:rPr>
          <w:w w:val="140"/>
        </w:rPr>
        <w:t>u</w:t>
      </w:r>
      <w:r>
        <w:rPr>
          <w:w w:val="112"/>
        </w:rPr>
        <w:t>nidos.</w:t>
      </w:r>
      <w:r>
        <w:rPr/>
        <w:t> </w:t>
      </w:r>
      <w:r>
        <w:rPr>
          <w:spacing w:val="-13"/>
        </w:rPr>
        <w:t> </w:t>
      </w:r>
      <w:r>
        <w:rPr>
          <w:w w:val="115"/>
        </w:rPr>
        <w:t>“</w:t>
      </w:r>
      <w:r>
        <w:rPr>
          <w:w w:val="243"/>
        </w:rPr>
        <w:t>l</w:t>
      </w:r>
      <w:r>
        <w:rPr>
          <w:w w:val="112"/>
        </w:rPr>
        <w:t>a</w:t>
      </w:r>
      <w:r>
        <w:rPr/>
        <w:t> </w:t>
      </w:r>
      <w:r>
        <w:rPr>
          <w:spacing w:val="-13"/>
        </w:rPr>
        <w:t> </w:t>
      </w:r>
      <w:r>
        <w:rPr>
          <w:w w:val="182"/>
        </w:rPr>
        <w:t>r</w:t>
      </w:r>
      <w:r>
        <w:rPr>
          <w:w w:val="111"/>
        </w:rPr>
        <w:t>uta</w:t>
      </w:r>
      <w:r>
        <w:rPr/>
        <w:t> </w:t>
      </w:r>
      <w:r>
        <w:rPr>
          <w:spacing w:val="-13"/>
        </w:rPr>
        <w:t> </w:t>
      </w:r>
      <w:r>
        <w:rPr>
          <w:w w:val="107"/>
        </w:rPr>
        <w:t>de</w:t>
      </w:r>
      <w:r>
        <w:rPr/>
        <w:t> </w:t>
      </w:r>
      <w:r>
        <w:rPr>
          <w:spacing w:val="-13"/>
        </w:rPr>
        <w:t> </w:t>
      </w:r>
      <w:r>
        <w:rPr>
          <w:w w:val="111"/>
        </w:rPr>
        <w:t>la</w:t>
      </w:r>
      <w:r>
        <w:rPr/>
        <w:t> </w:t>
      </w:r>
      <w:r>
        <w:rPr>
          <w:spacing w:val="-13"/>
        </w:rPr>
        <w:t> </w:t>
      </w:r>
      <w:r>
        <w:rPr>
          <w:w w:val="149"/>
        </w:rPr>
        <w:t>s</w:t>
      </w:r>
      <w:r>
        <w:rPr>
          <w:w w:val="112"/>
        </w:rPr>
        <w:t>eda”,</w:t>
      </w:r>
      <w:r>
        <w:rPr/>
        <w:t> </w:t>
      </w:r>
      <w:r>
        <w:rPr>
          <w:spacing w:val="-13"/>
        </w:rPr>
        <w:t> </w:t>
      </w:r>
      <w:r>
        <w:rPr>
          <w:w w:val="107"/>
        </w:rPr>
        <w:t>el</w:t>
      </w:r>
      <w:r>
        <w:rPr/>
        <w:t> </w:t>
      </w:r>
      <w:r>
        <w:rPr>
          <w:spacing w:val="-13"/>
        </w:rPr>
        <w:t> </w:t>
      </w:r>
      <w:r>
        <w:rPr>
          <w:w w:val="134"/>
        </w:rPr>
        <w:t>b</w:t>
      </w:r>
      <w:r>
        <w:rPr>
          <w:w w:val="112"/>
        </w:rPr>
        <w:t>anco</w:t>
      </w:r>
      <w:r>
        <w:rPr/>
        <w:t> </w:t>
      </w:r>
      <w:r>
        <w:rPr>
          <w:spacing w:val="-13"/>
        </w:rPr>
        <w:t> </w:t>
      </w:r>
      <w:r>
        <w:rPr>
          <w:w w:val="107"/>
        </w:rPr>
        <w:t>de</w:t>
      </w:r>
      <w:r>
        <w:rPr/>
        <w:t> </w:t>
      </w:r>
      <w:r>
        <w:rPr>
          <w:spacing w:val="-13"/>
        </w:rPr>
        <w:t> </w:t>
      </w:r>
      <w:r>
        <w:rPr>
          <w:w w:val="142"/>
        </w:rPr>
        <w:t>i</w:t>
      </w:r>
      <w:r>
        <w:rPr>
          <w:w w:val="107"/>
        </w:rPr>
        <w:t>nversiones</w:t>
      </w:r>
      <w:r>
        <w:rPr/>
        <w:t> </w:t>
      </w:r>
      <w:r>
        <w:rPr>
          <w:spacing w:val="-13"/>
        </w:rPr>
        <w:t> </w:t>
      </w:r>
      <w:r>
        <w:rPr>
          <w:w w:val="104"/>
        </w:rPr>
        <w:t>e </w:t>
      </w:r>
      <w:r>
        <w:rPr>
          <w:w w:val="110"/>
        </w:rPr>
        <w:t>infraestructura asiática (biia) y el proyecto de eje Euroasiático se proyectan hacia un futuro que choca con Estados unidos. Washington ha repostado con sus tratados comerciales y pactos militares tanto en </w:t>
      </w:r>
      <w:r>
        <w:rPr>
          <w:w w:val="113"/>
        </w:rPr>
        <w:t>Europa</w:t>
      </w:r>
      <w:r>
        <w:rPr>
          <w:spacing w:val="12"/>
        </w:rPr>
        <w:t> </w:t>
      </w:r>
      <w:r>
        <w:rPr>
          <w:w w:val="112"/>
        </w:rPr>
        <w:t>como</w:t>
      </w:r>
      <w:r>
        <w:rPr>
          <w:spacing w:val="12"/>
        </w:rPr>
        <w:t> </w:t>
      </w:r>
      <w:r>
        <w:rPr>
          <w:w w:val="108"/>
        </w:rPr>
        <w:t>en</w:t>
      </w:r>
      <w:r>
        <w:rPr>
          <w:spacing w:val="12"/>
        </w:rPr>
        <w:t> </w:t>
      </w:r>
      <w:r>
        <w:rPr>
          <w:w w:val="107"/>
        </w:rPr>
        <w:t>el</w:t>
      </w:r>
      <w:r>
        <w:rPr>
          <w:spacing w:val="12"/>
        </w:rPr>
        <w:t> </w:t>
      </w:r>
      <w:r>
        <w:rPr>
          <w:w w:val="243"/>
        </w:rPr>
        <w:t>l</w:t>
      </w:r>
      <w:r>
        <w:rPr>
          <w:w w:val="110"/>
        </w:rPr>
        <w:t>ejano</w:t>
      </w:r>
      <w:r>
        <w:rPr>
          <w:spacing w:val="12"/>
        </w:rPr>
        <w:t> </w:t>
      </w:r>
      <w:r>
        <w:rPr>
          <w:w w:val="149"/>
        </w:rPr>
        <w:t>o</w:t>
      </w:r>
      <w:r>
        <w:rPr>
          <w:w w:val="109"/>
        </w:rPr>
        <w:t>riente.</w:t>
      </w:r>
    </w:p>
    <w:p>
      <w:pPr>
        <w:pStyle w:val="BodyText"/>
        <w:spacing w:line="252" w:lineRule="auto"/>
        <w:ind w:left="330" w:right="117" w:firstLine="396"/>
        <w:jc w:val="both"/>
      </w:pPr>
      <w:r>
        <w:rPr>
          <w:w w:val="110"/>
        </w:rPr>
        <w:t>igualmente, el libro no pasa por alto –en segundo lugar– que Es- tados unidos es una entidad política con ribetes nacionales y es fun- </w:t>
      </w:r>
      <w:r>
        <w:rPr>
          <w:w w:val="110"/>
        </w:rPr>
        <w:t>damental</w:t>
      </w:r>
      <w:r>
        <w:rPr/>
        <w:t> </w:t>
      </w:r>
      <w:r>
        <w:rPr>
          <w:spacing w:val="-13"/>
        </w:rPr>
        <w:t> </w:t>
      </w:r>
      <w:r>
        <w:rPr>
          <w:w w:val="110"/>
        </w:rPr>
        <w:t>conocer</w:t>
      </w:r>
      <w:r>
        <w:rPr/>
        <w:t> </w:t>
      </w:r>
      <w:r>
        <w:rPr>
          <w:spacing w:val="-13"/>
        </w:rPr>
        <w:t> </w:t>
      </w:r>
      <w:r>
        <w:rPr>
          <w:w w:val="109"/>
        </w:rPr>
        <w:t>su</w:t>
      </w:r>
      <w:r>
        <w:rPr/>
        <w:t> </w:t>
      </w:r>
      <w:r>
        <w:rPr>
          <w:spacing w:val="-13"/>
        </w:rPr>
        <w:t> </w:t>
      </w:r>
      <w:r>
        <w:rPr>
          <w:w w:val="109"/>
        </w:rPr>
        <w:t>estructura</w:t>
      </w:r>
      <w:r>
        <w:rPr/>
        <w:t> </w:t>
      </w:r>
      <w:r>
        <w:rPr>
          <w:spacing w:val="-13"/>
        </w:rPr>
        <w:t> </w:t>
      </w:r>
      <w:r>
        <w:rPr>
          <w:w w:val="111"/>
        </w:rPr>
        <w:t>interna.</w:t>
      </w:r>
      <w:r>
        <w:rPr/>
        <w:t> </w:t>
      </w:r>
      <w:r>
        <w:rPr>
          <w:spacing w:val="-13"/>
        </w:rPr>
        <w:t> </w:t>
      </w:r>
      <w:r>
        <w:rPr>
          <w:w w:val="243"/>
        </w:rPr>
        <w:t>l</w:t>
      </w:r>
      <w:r>
        <w:rPr>
          <w:w w:val="112"/>
        </w:rPr>
        <w:t>a</w:t>
      </w:r>
      <w:r>
        <w:rPr/>
        <w:t> </w:t>
      </w:r>
      <w:r>
        <w:rPr>
          <w:spacing w:val="-13"/>
        </w:rPr>
        <w:t> </w:t>
      </w:r>
      <w:r>
        <w:rPr>
          <w:w w:val="111"/>
        </w:rPr>
        <w:t>forma</w:t>
      </w:r>
      <w:r>
        <w:rPr/>
        <w:t> </w:t>
      </w:r>
      <w:r>
        <w:rPr>
          <w:spacing w:val="-13"/>
        </w:rPr>
        <w:t> </w:t>
      </w:r>
      <w:r>
        <w:rPr>
          <w:w w:val="108"/>
        </w:rPr>
        <w:t>en</w:t>
      </w:r>
      <w:r>
        <w:rPr/>
        <w:t> </w:t>
      </w:r>
      <w:r>
        <w:rPr>
          <w:spacing w:val="-13"/>
        </w:rPr>
        <w:t> </w:t>
      </w:r>
      <w:r>
        <w:rPr>
          <w:w w:val="108"/>
        </w:rPr>
        <w:t>que</w:t>
      </w:r>
      <w:r>
        <w:rPr/>
        <w:t> </w:t>
      </w:r>
      <w:r>
        <w:rPr>
          <w:spacing w:val="-13"/>
        </w:rPr>
        <w:t> </w:t>
      </w:r>
      <w:r>
        <w:rPr>
          <w:w w:val="108"/>
        </w:rPr>
        <w:t>sus</w:t>
      </w:r>
      <w:r>
        <w:rPr/>
        <w:t> </w:t>
      </w:r>
      <w:r>
        <w:rPr>
          <w:spacing w:val="-13"/>
        </w:rPr>
        <w:t> </w:t>
      </w:r>
      <w:r>
        <w:rPr>
          <w:w w:val="109"/>
        </w:rPr>
        <w:t>clases </w:t>
      </w:r>
      <w:r>
        <w:rPr>
          <w:w w:val="110"/>
        </w:rPr>
        <w:t>sociales se organizan, generan movimientos sociales y definen corre- </w:t>
      </w:r>
      <w:r>
        <w:rPr>
          <w:w w:val="112"/>
        </w:rPr>
        <w:t>lación</w:t>
      </w:r>
      <w:r>
        <w:rPr>
          <w:spacing w:val="8"/>
        </w:rPr>
        <w:t> </w:t>
      </w:r>
      <w:r>
        <w:rPr>
          <w:w w:val="107"/>
        </w:rPr>
        <w:t>de</w:t>
      </w:r>
      <w:r>
        <w:rPr>
          <w:spacing w:val="8"/>
        </w:rPr>
        <w:t> </w:t>
      </w:r>
      <w:r>
        <w:rPr>
          <w:w w:val="109"/>
        </w:rPr>
        <w:t>fuerzas</w:t>
      </w:r>
      <w:r>
        <w:rPr>
          <w:spacing w:val="8"/>
        </w:rPr>
        <w:t> </w:t>
      </w:r>
      <w:r>
        <w:rPr>
          <w:w w:val="108"/>
        </w:rPr>
        <w:t>en</w:t>
      </w:r>
      <w:r>
        <w:rPr>
          <w:spacing w:val="8"/>
        </w:rPr>
        <w:t> </w:t>
      </w:r>
      <w:r>
        <w:rPr>
          <w:w w:val="109"/>
        </w:rPr>
        <w:t>constantes</w:t>
      </w:r>
      <w:r>
        <w:rPr>
          <w:spacing w:val="8"/>
        </w:rPr>
        <w:t> </w:t>
      </w:r>
      <w:r>
        <w:rPr>
          <w:w w:val="111"/>
        </w:rPr>
        <w:t>modificaciones.</w:t>
      </w:r>
      <w:r>
        <w:rPr>
          <w:spacing w:val="8"/>
        </w:rPr>
        <w:t> </w:t>
      </w:r>
      <w:r>
        <w:rPr>
          <w:w w:val="243"/>
        </w:rPr>
        <w:t>l</w:t>
      </w:r>
      <w:r>
        <w:rPr>
          <w:w w:val="109"/>
        </w:rPr>
        <w:t>as</w:t>
      </w:r>
      <w:r>
        <w:rPr>
          <w:spacing w:val="8"/>
        </w:rPr>
        <w:t> </w:t>
      </w:r>
      <w:r>
        <w:rPr>
          <w:w w:val="111"/>
        </w:rPr>
        <w:t>políticas</w:t>
      </w:r>
      <w:r>
        <w:rPr>
          <w:spacing w:val="8"/>
        </w:rPr>
        <w:t> </w:t>
      </w:r>
      <w:r>
        <w:rPr>
          <w:w w:val="107"/>
        </w:rPr>
        <w:t>de</w:t>
      </w:r>
      <w:r>
        <w:rPr>
          <w:spacing w:val="8"/>
        </w:rPr>
        <w:t> </w:t>
      </w:r>
      <w:r>
        <w:rPr>
          <w:w w:val="106"/>
        </w:rPr>
        <w:t>exte</w:t>
      </w:r>
      <w:r>
        <w:rPr>
          <w:spacing w:val="-15"/>
          <w:w w:val="106"/>
        </w:rPr>
        <w:t>r</w:t>
      </w:r>
      <w:r>
        <w:rPr>
          <w:w w:val="102"/>
        </w:rPr>
        <w:t>- </w:t>
      </w:r>
      <w:r>
        <w:rPr>
          <w:w w:val="110"/>
        </w:rPr>
        <w:t>nalización en Estados unidos han acelerado la desindustrialización   ya anunciada a partir de la década de 1970. El movimiento obrero organizado se ha debilitado y han aparecido fuertes movimientos so- ciales que expresan las reivindicaciones de los sectores étnicos </w:t>
      </w:r>
      <w:r>
        <w:rPr>
          <w:spacing w:val="-4"/>
          <w:w w:val="110"/>
        </w:rPr>
        <w:t>mar- </w:t>
      </w:r>
      <w:r>
        <w:rPr>
          <w:w w:val="110"/>
        </w:rPr>
        <w:t>ginados, el movimiento feminista y una amplia gama de grupos que protestan en torno a una variedad de problemas </w:t>
      </w:r>
      <w:r>
        <w:rPr>
          <w:spacing w:val="3"/>
          <w:w w:val="110"/>
        </w:rPr>
        <w:t> </w:t>
      </w:r>
      <w:r>
        <w:rPr>
          <w:w w:val="110"/>
        </w:rPr>
        <w:t>(</w:t>
      </w:r>
      <w:r>
        <w:rPr>
          <w:i/>
          <w:w w:val="110"/>
        </w:rPr>
        <w:t>issues</w:t>
      </w:r>
      <w:r>
        <w:rPr>
          <w:w w:val="110"/>
        </w:rPr>
        <w:t>).</w:t>
      </w:r>
    </w:p>
    <w:p>
      <w:pPr>
        <w:pStyle w:val="BodyText"/>
        <w:spacing w:line="252" w:lineRule="auto"/>
        <w:ind w:left="330" w:right="116" w:firstLine="396"/>
        <w:jc w:val="both"/>
      </w:pPr>
      <w:r>
        <w:rPr>
          <w:w w:val="243"/>
        </w:rPr>
        <w:t>l</w:t>
      </w:r>
      <w:r>
        <w:rPr>
          <w:w w:val="108"/>
        </w:rPr>
        <w:t>os</w:t>
      </w:r>
      <w:r>
        <w:rPr/>
        <w:t> </w:t>
      </w:r>
      <w:r>
        <w:rPr>
          <w:w w:val="109"/>
        </w:rPr>
        <w:t>gobiernos</w:t>
      </w:r>
      <w:r>
        <w:rPr/>
        <w:t> </w:t>
      </w:r>
      <w:r>
        <w:rPr>
          <w:w w:val="112"/>
        </w:rPr>
        <w:t>han</w:t>
      </w:r>
      <w:r>
        <w:rPr/>
        <w:t> </w:t>
      </w:r>
      <w:r>
        <w:rPr>
          <w:w w:val="110"/>
        </w:rPr>
        <w:t>impuesto</w:t>
      </w:r>
      <w:r>
        <w:rPr/>
        <w:t> </w:t>
      </w:r>
      <w:r>
        <w:rPr>
          <w:w w:val="105"/>
        </w:rPr>
        <w:t>severas</w:t>
      </w:r>
      <w:r>
        <w:rPr/>
        <w:t> </w:t>
      </w:r>
      <w:r>
        <w:rPr>
          <w:w w:val="110"/>
        </w:rPr>
        <w:t>medidas</w:t>
      </w:r>
      <w:r>
        <w:rPr/>
        <w:t> </w:t>
      </w:r>
      <w:r>
        <w:rPr>
          <w:w w:val="107"/>
        </w:rPr>
        <w:t>de</w:t>
      </w:r>
      <w:r>
        <w:rPr/>
        <w:t> </w:t>
      </w:r>
      <w:r>
        <w:rPr>
          <w:w w:val="109"/>
        </w:rPr>
        <w:t>austeridad</w:t>
      </w:r>
      <w:r>
        <w:rPr/>
        <w:t> </w:t>
      </w:r>
      <w:r>
        <w:rPr>
          <w:w w:val="108"/>
        </w:rPr>
        <w:t>que </w:t>
      </w:r>
      <w:r>
        <w:rPr>
          <w:w w:val="110"/>
        </w:rPr>
        <w:t>han alterado drásticamente la distribución de las riquezas que se producen en el país y que revierten a su economía gracias a su pre- sencia imperialista a escala global. una señal de esta realidad es la situación económica de los 100 miembros del senado de Estados unidos o de sus candidatos a la presidencia en la campaña de 2016: todos  son millonarios.</w:t>
      </w:r>
    </w:p>
    <w:p>
      <w:pPr>
        <w:pStyle w:val="BodyText"/>
        <w:spacing w:line="252" w:lineRule="auto"/>
        <w:ind w:left="330" w:right="117" w:firstLine="396"/>
        <w:jc w:val="both"/>
      </w:pPr>
      <w:r>
        <w:rPr>
          <w:w w:val="110"/>
        </w:rPr>
        <w:t>En los discursos y debates de la campaña presidencial de 2016 predomina el futuro de Estados unidos como potencia hegemónica. </w:t>
      </w:r>
      <w:r>
        <w:rPr>
          <w:w w:val="243"/>
        </w:rPr>
        <w:t>l</w:t>
      </w:r>
      <w:r>
        <w:rPr>
          <w:w w:val="108"/>
        </w:rPr>
        <w:t>os</w:t>
      </w:r>
      <w:r>
        <w:rPr/>
        <w:t> </w:t>
      </w:r>
      <w:r>
        <w:rPr>
          <w:spacing w:val="-11"/>
        </w:rPr>
        <w:t> </w:t>
      </w:r>
      <w:r>
        <w:rPr>
          <w:w w:val="110"/>
        </w:rPr>
        <w:t>candidatos</w:t>
      </w:r>
      <w:r>
        <w:rPr/>
        <w:t> </w:t>
      </w:r>
      <w:r>
        <w:rPr>
          <w:spacing w:val="-11"/>
        </w:rPr>
        <w:t> </w:t>
      </w:r>
      <w:r>
        <w:rPr>
          <w:w w:val="109"/>
        </w:rPr>
        <w:t>levantan</w:t>
      </w:r>
      <w:r>
        <w:rPr/>
        <w:t> </w:t>
      </w:r>
      <w:r>
        <w:rPr>
          <w:spacing w:val="-11"/>
        </w:rPr>
        <w:t> </w:t>
      </w:r>
      <w:r>
        <w:rPr>
          <w:w w:val="112"/>
        </w:rPr>
        <w:t>como</w:t>
      </w:r>
      <w:r>
        <w:rPr/>
        <w:t> </w:t>
      </w:r>
      <w:r>
        <w:rPr>
          <w:spacing w:val="-11"/>
        </w:rPr>
        <w:t> </w:t>
      </w:r>
      <w:r>
        <w:rPr>
          <w:w w:val="109"/>
        </w:rPr>
        <w:t>bandera</w:t>
      </w:r>
      <w:r>
        <w:rPr/>
        <w:t> </w:t>
      </w:r>
      <w:r>
        <w:rPr>
          <w:spacing w:val="-11"/>
        </w:rPr>
        <w:t> </w:t>
      </w:r>
      <w:r>
        <w:rPr>
          <w:w w:val="111"/>
        </w:rPr>
        <w:t>falsa</w:t>
      </w:r>
      <w:r>
        <w:rPr/>
        <w:t> </w:t>
      </w:r>
      <w:r>
        <w:rPr>
          <w:spacing w:val="-11"/>
        </w:rPr>
        <w:t> </w:t>
      </w:r>
      <w:r>
        <w:rPr>
          <w:w w:val="111"/>
        </w:rPr>
        <w:t>la</w:t>
      </w:r>
      <w:r>
        <w:rPr/>
        <w:t> </w:t>
      </w:r>
      <w:r>
        <w:rPr>
          <w:spacing w:val="-11"/>
        </w:rPr>
        <w:t> </w:t>
      </w:r>
      <w:r>
        <w:rPr>
          <w:w w:val="110"/>
        </w:rPr>
        <w:t>preocupación</w:t>
      </w:r>
      <w:r>
        <w:rPr/>
        <w:t> </w:t>
      </w:r>
      <w:r>
        <w:rPr>
          <w:spacing w:val="-11"/>
        </w:rPr>
        <w:t> </w:t>
      </w:r>
      <w:r>
        <w:rPr>
          <w:w w:val="108"/>
        </w:rPr>
        <w:t>por</w:t>
      </w:r>
      <w:r>
        <w:rPr/>
        <w:t> </w:t>
      </w:r>
      <w:r>
        <w:rPr>
          <w:spacing w:val="-11"/>
        </w:rPr>
        <w:t> </w:t>
      </w:r>
      <w:r>
        <w:rPr>
          <w:w w:val="107"/>
        </w:rPr>
        <w:t>el </w:t>
      </w:r>
      <w:r>
        <w:rPr>
          <w:w w:val="110"/>
        </w:rPr>
        <w:t>“terrorismo” o por las migraciones, pero en el fondo están enviando mensajes altos y claros sobre la pérdida de hegemonía que siente su clase gobernante sobre el futuro de la potencia. sólo un candidato menciona</w:t>
      </w:r>
      <w:r>
        <w:rPr>
          <w:spacing w:val="-6"/>
          <w:w w:val="110"/>
        </w:rPr>
        <w:t> </w:t>
      </w:r>
      <w:r>
        <w:rPr>
          <w:w w:val="110"/>
        </w:rPr>
        <w:t>la</w:t>
      </w:r>
      <w:r>
        <w:rPr>
          <w:spacing w:val="-6"/>
          <w:w w:val="110"/>
        </w:rPr>
        <w:t> </w:t>
      </w:r>
      <w:r>
        <w:rPr>
          <w:w w:val="110"/>
        </w:rPr>
        <w:t>necesidad</w:t>
      </w:r>
      <w:r>
        <w:rPr>
          <w:spacing w:val="-6"/>
          <w:w w:val="110"/>
        </w:rPr>
        <w:t> </w:t>
      </w:r>
      <w:r>
        <w:rPr>
          <w:w w:val="110"/>
        </w:rPr>
        <w:t>de</w:t>
      </w:r>
      <w:r>
        <w:rPr>
          <w:spacing w:val="-6"/>
          <w:w w:val="110"/>
        </w:rPr>
        <w:t> </w:t>
      </w:r>
      <w:r>
        <w:rPr>
          <w:w w:val="110"/>
        </w:rPr>
        <w:t>recuperar</w:t>
      </w:r>
      <w:r>
        <w:rPr>
          <w:spacing w:val="-6"/>
          <w:w w:val="110"/>
        </w:rPr>
        <w:t> </w:t>
      </w:r>
      <w:r>
        <w:rPr>
          <w:w w:val="110"/>
        </w:rPr>
        <w:t>el</w:t>
      </w:r>
      <w:r>
        <w:rPr>
          <w:spacing w:val="-6"/>
          <w:w w:val="110"/>
        </w:rPr>
        <w:t> </w:t>
      </w:r>
      <w:r>
        <w:rPr>
          <w:w w:val="110"/>
        </w:rPr>
        <w:t>poderío</w:t>
      </w:r>
      <w:r>
        <w:rPr>
          <w:spacing w:val="-6"/>
          <w:w w:val="110"/>
        </w:rPr>
        <w:t> </w:t>
      </w:r>
      <w:r>
        <w:rPr>
          <w:w w:val="110"/>
        </w:rPr>
        <w:t>productivo</w:t>
      </w:r>
      <w:r>
        <w:rPr>
          <w:spacing w:val="-6"/>
          <w:w w:val="110"/>
        </w:rPr>
        <w:t> </w:t>
      </w:r>
      <w:r>
        <w:rPr>
          <w:w w:val="110"/>
        </w:rPr>
        <w:t>(industrial) </w:t>
      </w:r>
      <w:r>
        <w:rPr>
          <w:w w:val="107"/>
        </w:rPr>
        <w:t>del</w:t>
      </w:r>
      <w:r>
        <w:rPr>
          <w:spacing w:val="7"/>
        </w:rPr>
        <w:t> </w:t>
      </w:r>
      <w:r>
        <w:rPr>
          <w:w w:val="110"/>
        </w:rPr>
        <w:t>país</w:t>
      </w:r>
      <w:r>
        <w:rPr>
          <w:spacing w:val="7"/>
        </w:rPr>
        <w:t> </w:t>
      </w:r>
      <w:r>
        <w:rPr>
          <w:w w:val="105"/>
        </w:rPr>
        <w:t>y</w:t>
      </w:r>
      <w:r>
        <w:rPr>
          <w:spacing w:val="7"/>
        </w:rPr>
        <w:t> </w:t>
      </w:r>
      <w:r>
        <w:rPr>
          <w:w w:val="107"/>
        </w:rPr>
        <w:t>de</w:t>
      </w:r>
      <w:r>
        <w:rPr>
          <w:spacing w:val="7"/>
        </w:rPr>
        <w:t> </w:t>
      </w:r>
      <w:r>
        <w:rPr>
          <w:w w:val="109"/>
        </w:rPr>
        <w:t>su</w:t>
      </w:r>
      <w:r>
        <w:rPr>
          <w:spacing w:val="7"/>
        </w:rPr>
        <w:t> </w:t>
      </w:r>
      <w:r>
        <w:rPr>
          <w:w w:val="109"/>
        </w:rPr>
        <w:t>clase</w:t>
      </w:r>
      <w:r>
        <w:rPr>
          <w:spacing w:val="7"/>
        </w:rPr>
        <w:t> </w:t>
      </w:r>
      <w:r>
        <w:rPr>
          <w:w w:val="111"/>
        </w:rPr>
        <w:t>trabajadora.</w:t>
      </w:r>
      <w:r>
        <w:rPr>
          <w:spacing w:val="7"/>
        </w:rPr>
        <w:t> </w:t>
      </w:r>
      <w:r>
        <w:rPr>
          <w:w w:val="243"/>
        </w:rPr>
        <w:t>l</w:t>
      </w:r>
      <w:r>
        <w:rPr>
          <w:w w:val="108"/>
        </w:rPr>
        <w:t>os</w:t>
      </w:r>
      <w:r>
        <w:rPr>
          <w:spacing w:val="7"/>
        </w:rPr>
        <w:t> </w:t>
      </w:r>
      <w:r>
        <w:rPr>
          <w:w w:val="109"/>
        </w:rPr>
        <w:t>demás</w:t>
      </w:r>
      <w:r>
        <w:rPr>
          <w:spacing w:val="7"/>
        </w:rPr>
        <w:t> </w:t>
      </w:r>
      <w:r>
        <w:rPr>
          <w:w w:val="109"/>
        </w:rPr>
        <w:t>(una</w:t>
      </w:r>
      <w:r>
        <w:rPr>
          <w:spacing w:val="7"/>
        </w:rPr>
        <w:t> </w:t>
      </w:r>
      <w:r>
        <w:rPr>
          <w:w w:val="109"/>
        </w:rPr>
        <w:t>docena)</w:t>
      </w:r>
      <w:r>
        <w:rPr>
          <w:spacing w:val="7"/>
        </w:rPr>
        <w:t> </w:t>
      </w:r>
      <w:r>
        <w:rPr>
          <w:w w:val="109"/>
        </w:rPr>
        <w:t>insisten</w:t>
      </w:r>
      <w:r>
        <w:rPr>
          <w:spacing w:val="7"/>
        </w:rPr>
        <w:t> </w:t>
      </w:r>
      <w:r>
        <w:rPr>
          <w:w w:val="108"/>
        </w:rPr>
        <w:t>en </w:t>
      </w:r>
      <w:r>
        <w:rPr>
          <w:w w:val="110"/>
        </w:rPr>
        <w:t>fortalecer la capacidad militar de Estados unidos para conservar su dominación a escala </w:t>
      </w:r>
      <w:r>
        <w:rPr>
          <w:spacing w:val="19"/>
          <w:w w:val="110"/>
        </w:rPr>
        <w:t> </w:t>
      </w:r>
      <w:r>
        <w:rPr>
          <w:w w:val="110"/>
        </w:rPr>
        <w:t>global.</w:t>
      </w:r>
    </w:p>
    <w:p>
      <w:pPr>
        <w:pStyle w:val="BodyText"/>
        <w:spacing w:line="252" w:lineRule="auto"/>
        <w:ind w:left="330" w:right="118" w:firstLine="396"/>
        <w:jc w:val="both"/>
      </w:pPr>
      <w:r>
        <w:rPr>
          <w:w w:val="110"/>
        </w:rPr>
        <w:t>Por último, el libro enfoca –en tercer lugar– el ascenso como po- tencia mundial hegemónica de Estados unidos que se realizó desde</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w w:val="115"/>
        </w:rPr>
        <w:t>la primera mitad del siglo </w:t>
      </w:r>
      <w:r>
        <w:rPr>
          <w:w w:val="130"/>
        </w:rPr>
        <w:t>xix </w:t>
      </w:r>
      <w:r>
        <w:rPr>
          <w:w w:val="115"/>
        </w:rPr>
        <w:t>explotando las riquezas naturales y </w:t>
      </w:r>
      <w:r>
        <w:rPr>
          <w:w w:val="111"/>
        </w:rPr>
        <w:t>humanas</w:t>
      </w:r>
      <w:r>
        <w:rPr>
          <w:spacing w:val="11"/>
        </w:rPr>
        <w:t> </w:t>
      </w:r>
      <w:r>
        <w:rPr>
          <w:w w:val="107"/>
        </w:rPr>
        <w:t>de</w:t>
      </w:r>
      <w:r>
        <w:rPr>
          <w:spacing w:val="11"/>
        </w:rPr>
        <w:t> </w:t>
      </w:r>
      <w:r>
        <w:rPr>
          <w:w w:val="139"/>
        </w:rPr>
        <w:t>a</w:t>
      </w:r>
      <w:r>
        <w:rPr>
          <w:w w:val="111"/>
        </w:rPr>
        <w:t>mérica</w:t>
      </w:r>
      <w:r>
        <w:rPr>
          <w:spacing w:val="11"/>
        </w:rPr>
        <w:t> </w:t>
      </w:r>
      <w:r>
        <w:rPr>
          <w:w w:val="243"/>
        </w:rPr>
        <w:t>l</w:t>
      </w:r>
      <w:r>
        <w:rPr>
          <w:w w:val="113"/>
        </w:rPr>
        <w:t>atina,</w:t>
      </w:r>
      <w:r>
        <w:rPr>
          <w:spacing w:val="11"/>
        </w:rPr>
        <w:t> </w:t>
      </w:r>
      <w:r>
        <w:rPr>
          <w:w w:val="111"/>
        </w:rPr>
        <w:t>comenzando</w:t>
      </w:r>
      <w:r>
        <w:rPr>
          <w:spacing w:val="11"/>
        </w:rPr>
        <w:t> </w:t>
      </w:r>
      <w:r>
        <w:rPr>
          <w:w w:val="108"/>
        </w:rPr>
        <w:t>por</w:t>
      </w:r>
      <w:r>
        <w:rPr>
          <w:spacing w:val="11"/>
        </w:rPr>
        <w:t> </w:t>
      </w:r>
      <w:r>
        <w:rPr>
          <w:w w:val="113"/>
        </w:rPr>
        <w:t>México</w:t>
      </w:r>
      <w:r>
        <w:rPr>
          <w:spacing w:val="11"/>
        </w:rPr>
        <w:t> </w:t>
      </w:r>
      <w:r>
        <w:rPr>
          <w:w w:val="105"/>
        </w:rPr>
        <w:t>y</w:t>
      </w:r>
      <w:r>
        <w:rPr>
          <w:spacing w:val="11"/>
        </w:rPr>
        <w:t> </w:t>
      </w:r>
      <w:r>
        <w:rPr>
          <w:w w:val="111"/>
        </w:rPr>
        <w:t>la</w:t>
      </w:r>
      <w:r>
        <w:rPr>
          <w:spacing w:val="11"/>
        </w:rPr>
        <w:t> </w:t>
      </w:r>
      <w:r>
        <w:rPr>
          <w:w w:val="112"/>
        </w:rPr>
        <w:t>cuenca</w:t>
      </w:r>
      <w:r>
        <w:rPr>
          <w:spacing w:val="11"/>
        </w:rPr>
        <w:t> </w:t>
      </w:r>
      <w:r>
        <w:rPr>
          <w:w w:val="107"/>
        </w:rPr>
        <w:t>del </w:t>
      </w:r>
      <w:r>
        <w:rPr>
          <w:w w:val="115"/>
        </w:rPr>
        <w:t>gran Caribe. En el siglo </w:t>
      </w:r>
      <w:r>
        <w:rPr>
          <w:w w:val="130"/>
        </w:rPr>
        <w:t>xx, </w:t>
      </w:r>
      <w:r>
        <w:rPr>
          <w:w w:val="115"/>
        </w:rPr>
        <w:t>el gran capital norteamericano se</w:t>
      </w:r>
      <w:r>
        <w:rPr>
          <w:spacing w:val="-25"/>
          <w:w w:val="115"/>
        </w:rPr>
        <w:t> </w:t>
      </w:r>
      <w:r>
        <w:rPr>
          <w:w w:val="115"/>
        </w:rPr>
        <w:t>exten- dió</w:t>
      </w:r>
      <w:r>
        <w:rPr>
          <w:spacing w:val="-8"/>
          <w:w w:val="115"/>
        </w:rPr>
        <w:t> </w:t>
      </w:r>
      <w:r>
        <w:rPr>
          <w:w w:val="115"/>
        </w:rPr>
        <w:t>sobre</w:t>
      </w:r>
      <w:r>
        <w:rPr>
          <w:spacing w:val="-8"/>
          <w:w w:val="115"/>
        </w:rPr>
        <w:t> </w:t>
      </w:r>
      <w:r>
        <w:rPr>
          <w:w w:val="115"/>
        </w:rPr>
        <w:t>suramérica</w:t>
      </w:r>
      <w:r>
        <w:rPr>
          <w:spacing w:val="-8"/>
          <w:w w:val="115"/>
        </w:rPr>
        <w:t> </w:t>
      </w:r>
      <w:r>
        <w:rPr>
          <w:w w:val="115"/>
        </w:rPr>
        <w:t>para</w:t>
      </w:r>
      <w:r>
        <w:rPr>
          <w:spacing w:val="-8"/>
          <w:w w:val="115"/>
        </w:rPr>
        <w:t> </w:t>
      </w:r>
      <w:r>
        <w:rPr>
          <w:w w:val="115"/>
        </w:rPr>
        <w:t>absorber</w:t>
      </w:r>
      <w:r>
        <w:rPr>
          <w:spacing w:val="-8"/>
          <w:w w:val="115"/>
        </w:rPr>
        <w:t> </w:t>
      </w:r>
      <w:r>
        <w:rPr>
          <w:w w:val="115"/>
        </w:rPr>
        <w:t>la</w:t>
      </w:r>
      <w:r>
        <w:rPr>
          <w:spacing w:val="-8"/>
          <w:w w:val="115"/>
        </w:rPr>
        <w:t> </w:t>
      </w:r>
      <w:r>
        <w:rPr>
          <w:w w:val="115"/>
        </w:rPr>
        <w:t>totalidad</w:t>
      </w:r>
      <w:r>
        <w:rPr>
          <w:spacing w:val="-8"/>
          <w:w w:val="115"/>
        </w:rPr>
        <w:t> </w:t>
      </w:r>
      <w:r>
        <w:rPr>
          <w:w w:val="115"/>
        </w:rPr>
        <w:t>de</w:t>
      </w:r>
      <w:r>
        <w:rPr>
          <w:spacing w:val="-8"/>
          <w:w w:val="115"/>
        </w:rPr>
        <w:t> </w:t>
      </w:r>
      <w:r>
        <w:rPr>
          <w:w w:val="115"/>
        </w:rPr>
        <w:t>Nuestra</w:t>
      </w:r>
      <w:r>
        <w:rPr>
          <w:spacing w:val="-8"/>
          <w:w w:val="115"/>
        </w:rPr>
        <w:t> </w:t>
      </w:r>
      <w:r>
        <w:rPr>
          <w:w w:val="115"/>
        </w:rPr>
        <w:t>américa en su red de dominación. El grupo de trabajo está estudiando esta relación</w:t>
      </w:r>
      <w:r>
        <w:rPr>
          <w:spacing w:val="-13"/>
          <w:w w:val="115"/>
        </w:rPr>
        <w:t> </w:t>
      </w:r>
      <w:r>
        <w:rPr>
          <w:w w:val="115"/>
        </w:rPr>
        <w:t>y</w:t>
      </w:r>
      <w:r>
        <w:rPr>
          <w:spacing w:val="-13"/>
          <w:w w:val="115"/>
        </w:rPr>
        <w:t> </w:t>
      </w:r>
      <w:r>
        <w:rPr>
          <w:w w:val="115"/>
        </w:rPr>
        <w:t>sus</w:t>
      </w:r>
      <w:r>
        <w:rPr>
          <w:spacing w:val="-13"/>
          <w:w w:val="115"/>
        </w:rPr>
        <w:t> </w:t>
      </w:r>
      <w:r>
        <w:rPr>
          <w:w w:val="115"/>
        </w:rPr>
        <w:t>cambios</w:t>
      </w:r>
      <w:r>
        <w:rPr>
          <w:spacing w:val="-13"/>
          <w:w w:val="115"/>
        </w:rPr>
        <w:t> </w:t>
      </w:r>
      <w:r>
        <w:rPr>
          <w:w w:val="115"/>
        </w:rPr>
        <w:t>correspondientes</w:t>
      </w:r>
      <w:r>
        <w:rPr>
          <w:spacing w:val="-13"/>
          <w:w w:val="115"/>
        </w:rPr>
        <w:t> </w:t>
      </w:r>
      <w:r>
        <w:rPr>
          <w:w w:val="115"/>
        </w:rPr>
        <w:t>al</w:t>
      </w:r>
      <w:r>
        <w:rPr>
          <w:spacing w:val="-13"/>
          <w:w w:val="115"/>
        </w:rPr>
        <w:t> </w:t>
      </w:r>
      <w:r>
        <w:rPr>
          <w:w w:val="115"/>
        </w:rPr>
        <w:t>siglo</w:t>
      </w:r>
      <w:r>
        <w:rPr>
          <w:spacing w:val="-13"/>
          <w:w w:val="115"/>
        </w:rPr>
        <w:t> </w:t>
      </w:r>
      <w:r>
        <w:rPr>
          <w:w w:val="130"/>
        </w:rPr>
        <w:t>xxi.</w:t>
      </w:r>
    </w:p>
    <w:p>
      <w:pPr>
        <w:pStyle w:val="BodyText"/>
        <w:spacing w:line="252" w:lineRule="auto"/>
        <w:ind w:left="100" w:right="328" w:firstLine="396"/>
        <w:jc w:val="both"/>
      </w:pPr>
      <w:r>
        <w:rPr>
          <w:w w:val="243"/>
        </w:rPr>
        <w:t>l</w:t>
      </w:r>
      <w:r>
        <w:rPr>
          <w:w w:val="109"/>
        </w:rPr>
        <w:t>as</w:t>
      </w:r>
      <w:r>
        <w:rPr/>
        <w:t> </w:t>
      </w:r>
      <w:r>
        <w:rPr>
          <w:spacing w:val="-12"/>
        </w:rPr>
        <w:t> </w:t>
      </w:r>
      <w:r>
        <w:rPr>
          <w:w w:val="109"/>
        </w:rPr>
        <w:t>relaciones</w:t>
      </w:r>
      <w:r>
        <w:rPr/>
        <w:t> </w:t>
      </w:r>
      <w:r>
        <w:rPr>
          <w:spacing w:val="-12"/>
        </w:rPr>
        <w:t> </w:t>
      </w:r>
      <w:r>
        <w:rPr>
          <w:w w:val="106"/>
        </w:rPr>
        <w:t>entre</w:t>
      </w:r>
      <w:r>
        <w:rPr/>
        <w:t> </w:t>
      </w:r>
      <w:r>
        <w:rPr>
          <w:spacing w:val="-12"/>
        </w:rPr>
        <w:t> </w:t>
      </w:r>
      <w:r>
        <w:rPr>
          <w:w w:val="111"/>
        </w:rPr>
        <w:t>Estados</w:t>
      </w:r>
      <w:r>
        <w:rPr/>
        <w:t> </w:t>
      </w:r>
      <w:r>
        <w:rPr>
          <w:spacing w:val="-12"/>
        </w:rPr>
        <w:t> </w:t>
      </w:r>
      <w:r>
        <w:rPr>
          <w:w w:val="140"/>
        </w:rPr>
        <w:t>u</w:t>
      </w:r>
      <w:r>
        <w:rPr>
          <w:w w:val="110"/>
        </w:rPr>
        <w:t>nidos</w:t>
      </w:r>
      <w:r>
        <w:rPr/>
        <w:t> </w:t>
      </w:r>
      <w:r>
        <w:rPr>
          <w:spacing w:val="-12"/>
        </w:rPr>
        <w:t> </w:t>
      </w:r>
      <w:r>
        <w:rPr>
          <w:w w:val="105"/>
        </w:rPr>
        <w:t>y</w:t>
      </w:r>
      <w:r>
        <w:rPr/>
        <w:t> </w:t>
      </w:r>
      <w:r>
        <w:rPr>
          <w:spacing w:val="-12"/>
        </w:rPr>
        <w:t> </w:t>
      </w:r>
      <w:r>
        <w:rPr>
          <w:w w:val="139"/>
        </w:rPr>
        <w:t>a</w:t>
      </w:r>
      <w:r>
        <w:rPr>
          <w:w w:val="111"/>
        </w:rPr>
        <w:t>mérica</w:t>
      </w:r>
      <w:r>
        <w:rPr/>
        <w:t> </w:t>
      </w:r>
      <w:r>
        <w:rPr>
          <w:spacing w:val="-12"/>
        </w:rPr>
        <w:t> </w:t>
      </w:r>
      <w:r>
        <w:rPr>
          <w:w w:val="243"/>
        </w:rPr>
        <w:t>l</w:t>
      </w:r>
      <w:r>
        <w:rPr>
          <w:w w:val="111"/>
        </w:rPr>
        <w:t>atina</w:t>
      </w:r>
      <w:r>
        <w:rPr/>
        <w:t> </w:t>
      </w:r>
      <w:r>
        <w:rPr>
          <w:spacing w:val="-12"/>
        </w:rPr>
        <w:t> </w:t>
      </w:r>
      <w:r>
        <w:rPr>
          <w:w w:val="112"/>
        </w:rPr>
        <w:t>han</w:t>
      </w:r>
      <w:r>
        <w:rPr/>
        <w:t> </w:t>
      </w:r>
      <w:r>
        <w:rPr>
          <w:spacing w:val="-12"/>
        </w:rPr>
        <w:t> </w:t>
      </w:r>
      <w:r>
        <w:rPr>
          <w:w w:val="109"/>
        </w:rPr>
        <w:t>sido </w:t>
      </w:r>
      <w:r>
        <w:rPr>
          <w:w w:val="115"/>
        </w:rPr>
        <w:t>conflictivas,</w:t>
      </w:r>
      <w:r>
        <w:rPr>
          <w:spacing w:val="-21"/>
          <w:w w:val="115"/>
        </w:rPr>
        <w:t> </w:t>
      </w:r>
      <w:r>
        <w:rPr>
          <w:w w:val="115"/>
        </w:rPr>
        <w:t>incluso</w:t>
      </w:r>
      <w:r>
        <w:rPr>
          <w:spacing w:val="-21"/>
          <w:w w:val="115"/>
        </w:rPr>
        <w:t> </w:t>
      </w:r>
      <w:r>
        <w:rPr>
          <w:w w:val="115"/>
        </w:rPr>
        <w:t>antes</w:t>
      </w:r>
      <w:r>
        <w:rPr>
          <w:spacing w:val="-21"/>
          <w:w w:val="115"/>
        </w:rPr>
        <w:t> </w:t>
      </w:r>
      <w:r>
        <w:rPr>
          <w:w w:val="115"/>
        </w:rPr>
        <w:t>de</w:t>
      </w:r>
      <w:r>
        <w:rPr>
          <w:spacing w:val="-21"/>
          <w:w w:val="115"/>
        </w:rPr>
        <w:t> </w:t>
      </w:r>
      <w:r>
        <w:rPr>
          <w:w w:val="115"/>
        </w:rPr>
        <w:t>los</w:t>
      </w:r>
      <w:r>
        <w:rPr>
          <w:spacing w:val="-21"/>
          <w:w w:val="115"/>
        </w:rPr>
        <w:t> </w:t>
      </w:r>
      <w:r>
        <w:rPr>
          <w:w w:val="115"/>
        </w:rPr>
        <w:t>movimientos</w:t>
      </w:r>
      <w:r>
        <w:rPr>
          <w:spacing w:val="-21"/>
          <w:w w:val="115"/>
        </w:rPr>
        <w:t> </w:t>
      </w:r>
      <w:r>
        <w:rPr>
          <w:w w:val="115"/>
        </w:rPr>
        <w:t>emancipadores</w:t>
      </w:r>
      <w:r>
        <w:rPr>
          <w:spacing w:val="-21"/>
          <w:w w:val="115"/>
        </w:rPr>
        <w:t> </w:t>
      </w:r>
      <w:r>
        <w:rPr>
          <w:w w:val="115"/>
        </w:rPr>
        <w:t>de</w:t>
      </w:r>
      <w:r>
        <w:rPr>
          <w:spacing w:val="-21"/>
          <w:w w:val="115"/>
        </w:rPr>
        <w:t> </w:t>
      </w:r>
      <w:r>
        <w:rPr>
          <w:w w:val="115"/>
        </w:rPr>
        <w:t>am- </w:t>
      </w:r>
      <w:r>
        <w:rPr>
          <w:w w:val="109"/>
        </w:rPr>
        <w:t>bos</w:t>
      </w:r>
      <w:r>
        <w:rPr/>
        <w:t> </w:t>
      </w:r>
      <w:r>
        <w:rPr>
          <w:spacing w:val="-2"/>
        </w:rPr>
        <w:t> </w:t>
      </w:r>
      <w:r>
        <w:rPr>
          <w:w w:val="112"/>
        </w:rPr>
        <w:t>a</w:t>
      </w:r>
      <w:r>
        <w:rPr/>
        <w:t> </w:t>
      </w:r>
      <w:r>
        <w:rPr>
          <w:spacing w:val="-2"/>
        </w:rPr>
        <w:t> </w:t>
      </w:r>
      <w:r>
        <w:rPr>
          <w:w w:val="106"/>
        </w:rPr>
        <w:t>fines</w:t>
      </w:r>
      <w:r>
        <w:rPr/>
        <w:t> </w:t>
      </w:r>
      <w:r>
        <w:rPr>
          <w:spacing w:val="-2"/>
        </w:rPr>
        <w:t> </w:t>
      </w:r>
      <w:r>
        <w:rPr>
          <w:w w:val="107"/>
        </w:rPr>
        <w:t>del</w:t>
      </w:r>
      <w:r>
        <w:rPr/>
        <w:t> </w:t>
      </w:r>
      <w:r>
        <w:rPr>
          <w:spacing w:val="-2"/>
        </w:rPr>
        <w:t> </w:t>
      </w:r>
      <w:r>
        <w:rPr>
          <w:w w:val="110"/>
        </w:rPr>
        <w:t>siglo</w:t>
      </w:r>
      <w:r>
        <w:rPr/>
        <w:t> </w:t>
      </w:r>
      <w:r>
        <w:rPr>
          <w:spacing w:val="-2"/>
        </w:rPr>
        <w:t> </w:t>
      </w:r>
      <w:r>
        <w:rPr>
          <w:w w:val="160"/>
        </w:rPr>
        <w:t>x</w:t>
      </w:r>
      <w:r>
        <w:rPr>
          <w:w w:val="119"/>
        </w:rPr>
        <w:t>V</w:t>
      </w:r>
      <w:r>
        <w:rPr>
          <w:w w:val="142"/>
        </w:rPr>
        <w:t>iii</w:t>
      </w:r>
      <w:r>
        <w:rPr/>
        <w:t> </w:t>
      </w:r>
      <w:r>
        <w:rPr>
          <w:spacing w:val="-2"/>
        </w:rPr>
        <w:t> </w:t>
      </w:r>
      <w:r>
        <w:rPr>
          <w:w w:val="105"/>
        </w:rPr>
        <w:t>y</w:t>
      </w:r>
      <w:r>
        <w:rPr/>
        <w:t> </w:t>
      </w:r>
      <w:r>
        <w:rPr>
          <w:spacing w:val="-2"/>
        </w:rPr>
        <w:t> </w:t>
      </w:r>
      <w:r>
        <w:rPr>
          <w:w w:val="110"/>
        </w:rPr>
        <w:t>principios</w:t>
      </w:r>
      <w:r>
        <w:rPr/>
        <w:t> </w:t>
      </w:r>
      <w:r>
        <w:rPr>
          <w:spacing w:val="-2"/>
        </w:rPr>
        <w:t> </w:t>
      </w:r>
      <w:r>
        <w:rPr>
          <w:w w:val="107"/>
        </w:rPr>
        <w:t>del</w:t>
      </w:r>
      <w:r>
        <w:rPr/>
        <w:t> </w:t>
      </w:r>
      <w:r>
        <w:rPr>
          <w:spacing w:val="-2"/>
        </w:rPr>
        <w:t> </w:t>
      </w:r>
      <w:r>
        <w:rPr>
          <w:w w:val="110"/>
        </w:rPr>
        <w:t>siglo</w:t>
      </w:r>
      <w:r>
        <w:rPr/>
        <w:t> </w:t>
      </w:r>
      <w:r>
        <w:rPr>
          <w:spacing w:val="-2"/>
        </w:rPr>
        <w:t> </w:t>
      </w:r>
      <w:r>
        <w:rPr>
          <w:w w:val="156"/>
        </w:rPr>
        <w:t>xix</w:t>
      </w:r>
      <w:r>
        <w:rPr>
          <w:w w:val="138"/>
        </w:rPr>
        <w:t>.</w:t>
      </w:r>
      <w:r>
        <w:rPr/>
        <w:t> </w:t>
      </w:r>
      <w:r>
        <w:rPr>
          <w:spacing w:val="-2"/>
        </w:rPr>
        <w:t> </w:t>
      </w:r>
      <w:r>
        <w:rPr>
          <w:w w:val="243"/>
        </w:rPr>
        <w:t>l</w:t>
      </w:r>
      <w:r>
        <w:rPr>
          <w:w w:val="108"/>
        </w:rPr>
        <w:t>os</w:t>
      </w:r>
      <w:r>
        <w:rPr/>
        <w:t> </w:t>
      </w:r>
      <w:r>
        <w:rPr>
          <w:spacing w:val="-2"/>
        </w:rPr>
        <w:t> </w:t>
      </w:r>
      <w:r>
        <w:rPr>
          <w:w w:val="107"/>
        </w:rPr>
        <w:t>próceres </w:t>
      </w:r>
      <w:r>
        <w:rPr>
          <w:w w:val="115"/>
        </w:rPr>
        <w:t>norteamericanos</w:t>
      </w:r>
      <w:r>
        <w:rPr>
          <w:spacing w:val="-14"/>
          <w:w w:val="115"/>
        </w:rPr>
        <w:t> </w:t>
      </w:r>
      <w:r>
        <w:rPr>
          <w:w w:val="115"/>
        </w:rPr>
        <w:t>entendieron</w:t>
      </w:r>
      <w:r>
        <w:rPr>
          <w:spacing w:val="-14"/>
          <w:w w:val="115"/>
        </w:rPr>
        <w:t> </w:t>
      </w:r>
      <w:r>
        <w:rPr>
          <w:w w:val="115"/>
        </w:rPr>
        <w:t>que</w:t>
      </w:r>
      <w:r>
        <w:rPr>
          <w:spacing w:val="-14"/>
          <w:w w:val="115"/>
        </w:rPr>
        <w:t> </w:t>
      </w:r>
      <w:r>
        <w:rPr>
          <w:w w:val="115"/>
        </w:rPr>
        <w:t>las</w:t>
      </w:r>
      <w:r>
        <w:rPr>
          <w:spacing w:val="-14"/>
          <w:w w:val="115"/>
        </w:rPr>
        <w:t> </w:t>
      </w:r>
      <w:r>
        <w:rPr>
          <w:w w:val="115"/>
        </w:rPr>
        <w:t>repúblicas</w:t>
      </w:r>
      <w:r>
        <w:rPr>
          <w:spacing w:val="-14"/>
          <w:w w:val="115"/>
        </w:rPr>
        <w:t> </w:t>
      </w:r>
      <w:r>
        <w:rPr>
          <w:w w:val="115"/>
        </w:rPr>
        <w:t>que</w:t>
      </w:r>
      <w:r>
        <w:rPr>
          <w:spacing w:val="-14"/>
          <w:w w:val="115"/>
        </w:rPr>
        <w:t> </w:t>
      </w:r>
      <w:r>
        <w:rPr>
          <w:w w:val="115"/>
        </w:rPr>
        <w:t>nacieron</w:t>
      </w:r>
      <w:r>
        <w:rPr>
          <w:spacing w:val="-14"/>
          <w:w w:val="115"/>
        </w:rPr>
        <w:t> </w:t>
      </w:r>
      <w:r>
        <w:rPr>
          <w:w w:val="115"/>
        </w:rPr>
        <w:t>como consecuencia</w:t>
      </w:r>
      <w:r>
        <w:rPr>
          <w:spacing w:val="-14"/>
          <w:w w:val="115"/>
        </w:rPr>
        <w:t> </w:t>
      </w:r>
      <w:r>
        <w:rPr>
          <w:w w:val="115"/>
        </w:rPr>
        <w:t>del</w:t>
      </w:r>
      <w:r>
        <w:rPr>
          <w:spacing w:val="-14"/>
          <w:w w:val="115"/>
        </w:rPr>
        <w:t> </w:t>
      </w:r>
      <w:r>
        <w:rPr>
          <w:w w:val="115"/>
        </w:rPr>
        <w:t>colapso</w:t>
      </w:r>
      <w:r>
        <w:rPr>
          <w:spacing w:val="-14"/>
          <w:w w:val="115"/>
        </w:rPr>
        <w:t> </w:t>
      </w:r>
      <w:r>
        <w:rPr>
          <w:w w:val="115"/>
        </w:rPr>
        <w:t>del</w:t>
      </w:r>
      <w:r>
        <w:rPr>
          <w:spacing w:val="-14"/>
          <w:w w:val="115"/>
        </w:rPr>
        <w:t> </w:t>
      </w:r>
      <w:r>
        <w:rPr>
          <w:w w:val="115"/>
        </w:rPr>
        <w:t>imperio</w:t>
      </w:r>
      <w:r>
        <w:rPr>
          <w:spacing w:val="-14"/>
          <w:w w:val="115"/>
        </w:rPr>
        <w:t> </w:t>
      </w:r>
      <w:r>
        <w:rPr>
          <w:w w:val="115"/>
        </w:rPr>
        <w:t>español</w:t>
      </w:r>
      <w:r>
        <w:rPr>
          <w:spacing w:val="-14"/>
          <w:w w:val="115"/>
        </w:rPr>
        <w:t> </w:t>
      </w:r>
      <w:r>
        <w:rPr>
          <w:w w:val="115"/>
        </w:rPr>
        <w:t>constituían</w:t>
      </w:r>
      <w:r>
        <w:rPr>
          <w:spacing w:val="-14"/>
          <w:w w:val="115"/>
        </w:rPr>
        <w:t> </w:t>
      </w:r>
      <w:r>
        <w:rPr>
          <w:w w:val="115"/>
        </w:rPr>
        <w:t>un</w:t>
      </w:r>
      <w:r>
        <w:rPr>
          <w:spacing w:val="-14"/>
          <w:w w:val="115"/>
        </w:rPr>
        <w:t> </w:t>
      </w:r>
      <w:r>
        <w:rPr>
          <w:w w:val="115"/>
        </w:rPr>
        <w:t>premio estratégico</w:t>
      </w:r>
      <w:r>
        <w:rPr>
          <w:spacing w:val="-26"/>
          <w:w w:val="115"/>
        </w:rPr>
        <w:t> </w:t>
      </w:r>
      <w:r>
        <w:rPr>
          <w:w w:val="115"/>
        </w:rPr>
        <w:t>para</w:t>
      </w:r>
      <w:r>
        <w:rPr>
          <w:spacing w:val="-26"/>
          <w:w w:val="115"/>
        </w:rPr>
        <w:t> </w:t>
      </w:r>
      <w:r>
        <w:rPr>
          <w:w w:val="115"/>
        </w:rPr>
        <w:t>su</w:t>
      </w:r>
      <w:r>
        <w:rPr>
          <w:spacing w:val="-26"/>
          <w:w w:val="115"/>
        </w:rPr>
        <w:t> </w:t>
      </w:r>
      <w:r>
        <w:rPr>
          <w:w w:val="115"/>
        </w:rPr>
        <w:t>expansión</w:t>
      </w:r>
      <w:r>
        <w:rPr>
          <w:spacing w:val="-26"/>
          <w:w w:val="115"/>
        </w:rPr>
        <w:t> </w:t>
      </w:r>
      <w:r>
        <w:rPr>
          <w:w w:val="115"/>
        </w:rPr>
        <w:t>y</w:t>
      </w:r>
      <w:r>
        <w:rPr>
          <w:spacing w:val="-26"/>
          <w:w w:val="115"/>
        </w:rPr>
        <w:t> </w:t>
      </w:r>
      <w:r>
        <w:rPr>
          <w:w w:val="115"/>
        </w:rPr>
        <w:t>ulterior</w:t>
      </w:r>
      <w:r>
        <w:rPr>
          <w:spacing w:val="-26"/>
          <w:w w:val="115"/>
        </w:rPr>
        <w:t> </w:t>
      </w:r>
      <w:r>
        <w:rPr>
          <w:w w:val="115"/>
        </w:rPr>
        <w:t>consolidación</w:t>
      </w:r>
      <w:r>
        <w:rPr>
          <w:spacing w:val="-26"/>
          <w:w w:val="115"/>
        </w:rPr>
        <w:t> </w:t>
      </w:r>
      <w:r>
        <w:rPr>
          <w:w w:val="115"/>
        </w:rPr>
        <w:t>como</w:t>
      </w:r>
      <w:r>
        <w:rPr>
          <w:spacing w:val="-26"/>
          <w:w w:val="115"/>
        </w:rPr>
        <w:t> </w:t>
      </w:r>
      <w:r>
        <w:rPr>
          <w:w w:val="115"/>
        </w:rPr>
        <w:t>potencia </w:t>
      </w:r>
      <w:r>
        <w:rPr>
          <w:w w:val="112"/>
        </w:rPr>
        <w:t>mundial</w:t>
      </w:r>
      <w:r>
        <w:rPr/>
        <w:t> </w:t>
      </w:r>
      <w:r>
        <w:rPr>
          <w:spacing w:val="-7"/>
        </w:rPr>
        <w:t> </w:t>
      </w:r>
      <w:r>
        <w:rPr>
          <w:w w:val="104"/>
        </w:rPr>
        <w:t>(el</w:t>
      </w:r>
      <w:r>
        <w:rPr/>
        <w:t> </w:t>
      </w:r>
      <w:r>
        <w:rPr>
          <w:spacing w:val="-7"/>
        </w:rPr>
        <w:t> </w:t>
      </w:r>
      <w:r>
        <w:rPr>
          <w:w w:val="109"/>
        </w:rPr>
        <w:t>“destino</w:t>
      </w:r>
      <w:r>
        <w:rPr/>
        <w:t> </w:t>
      </w:r>
      <w:r>
        <w:rPr>
          <w:spacing w:val="-7"/>
        </w:rPr>
        <w:t> </w:t>
      </w:r>
      <w:r>
        <w:rPr>
          <w:w w:val="110"/>
        </w:rPr>
        <w:t>manifiesto”).</w:t>
      </w:r>
      <w:r>
        <w:rPr/>
        <w:t> </w:t>
      </w:r>
      <w:r>
        <w:rPr>
          <w:spacing w:val="-7"/>
        </w:rPr>
        <w:t> </w:t>
      </w:r>
      <w:r>
        <w:rPr>
          <w:w w:val="243"/>
        </w:rPr>
        <w:t>l</w:t>
      </w:r>
      <w:r>
        <w:rPr>
          <w:w w:val="108"/>
        </w:rPr>
        <w:t>os</w:t>
      </w:r>
      <w:r>
        <w:rPr/>
        <w:t> </w:t>
      </w:r>
      <w:r>
        <w:rPr>
          <w:spacing w:val="-7"/>
        </w:rPr>
        <w:t> </w:t>
      </w:r>
      <w:r>
        <w:rPr>
          <w:w w:val="108"/>
        </w:rPr>
        <w:t>enormes</w:t>
      </w:r>
      <w:r>
        <w:rPr/>
        <w:t> </w:t>
      </w:r>
      <w:r>
        <w:rPr>
          <w:spacing w:val="-7"/>
        </w:rPr>
        <w:t> </w:t>
      </w:r>
      <w:r>
        <w:rPr>
          <w:w w:val="109"/>
        </w:rPr>
        <w:t>territorios,</w:t>
      </w:r>
      <w:r>
        <w:rPr/>
        <w:t> </w:t>
      </w:r>
      <w:r>
        <w:rPr>
          <w:spacing w:val="-7"/>
        </w:rPr>
        <w:t> </w:t>
      </w:r>
      <w:r>
        <w:rPr>
          <w:w w:val="108"/>
        </w:rPr>
        <w:t>recursos </w:t>
      </w:r>
      <w:r>
        <w:rPr>
          <w:w w:val="115"/>
        </w:rPr>
        <w:t>naturales y mano de obra barata le resultaban muy rentables. Para lograr</w:t>
      </w:r>
      <w:r>
        <w:rPr>
          <w:spacing w:val="-15"/>
          <w:w w:val="115"/>
        </w:rPr>
        <w:t> </w:t>
      </w:r>
      <w:r>
        <w:rPr>
          <w:w w:val="115"/>
        </w:rPr>
        <w:t>estos</w:t>
      </w:r>
      <w:r>
        <w:rPr>
          <w:spacing w:val="-15"/>
          <w:w w:val="115"/>
        </w:rPr>
        <w:t> </w:t>
      </w:r>
      <w:r>
        <w:rPr>
          <w:w w:val="115"/>
        </w:rPr>
        <w:t>objetivos</w:t>
      </w:r>
      <w:r>
        <w:rPr>
          <w:spacing w:val="-15"/>
          <w:w w:val="115"/>
        </w:rPr>
        <w:t> </w:t>
      </w:r>
      <w:r>
        <w:rPr>
          <w:w w:val="115"/>
        </w:rPr>
        <w:t>necesitaba</w:t>
      </w:r>
      <w:r>
        <w:rPr>
          <w:spacing w:val="-15"/>
          <w:w w:val="115"/>
        </w:rPr>
        <w:t> </w:t>
      </w:r>
      <w:r>
        <w:rPr>
          <w:w w:val="115"/>
        </w:rPr>
        <w:t>anexionar</w:t>
      </w:r>
      <w:r>
        <w:rPr>
          <w:spacing w:val="-15"/>
          <w:w w:val="115"/>
        </w:rPr>
        <w:t> </w:t>
      </w:r>
      <w:r>
        <w:rPr>
          <w:w w:val="115"/>
        </w:rPr>
        <w:t>los</w:t>
      </w:r>
      <w:r>
        <w:rPr>
          <w:spacing w:val="-15"/>
          <w:w w:val="115"/>
        </w:rPr>
        <w:t> </w:t>
      </w:r>
      <w:r>
        <w:rPr>
          <w:w w:val="115"/>
        </w:rPr>
        <w:t>territorios</w:t>
      </w:r>
      <w:r>
        <w:rPr>
          <w:spacing w:val="-15"/>
          <w:w w:val="115"/>
        </w:rPr>
        <w:t> </w:t>
      </w:r>
      <w:r>
        <w:rPr>
          <w:w w:val="115"/>
        </w:rPr>
        <w:t>o</w:t>
      </w:r>
      <w:r>
        <w:rPr>
          <w:spacing w:val="-15"/>
          <w:w w:val="115"/>
        </w:rPr>
        <w:t> </w:t>
      </w:r>
      <w:r>
        <w:rPr>
          <w:w w:val="115"/>
        </w:rPr>
        <w:t>someter a sus oligarquías. ambas alternativas exigían medios militares </w:t>
      </w:r>
      <w:r>
        <w:rPr>
          <w:spacing w:val="-11"/>
          <w:w w:val="115"/>
        </w:rPr>
        <w:t>y, </w:t>
      </w:r>
      <w:r>
        <w:rPr>
          <w:w w:val="115"/>
        </w:rPr>
        <w:t>al </w:t>
      </w:r>
      <w:r>
        <w:rPr>
          <w:w w:val="110"/>
        </w:rPr>
        <w:t>mismo tiempo, nuevas estructuras </w:t>
      </w:r>
      <w:r>
        <w:rPr>
          <w:spacing w:val="4"/>
          <w:w w:val="110"/>
        </w:rPr>
        <w:t> </w:t>
      </w:r>
      <w:r>
        <w:rPr>
          <w:w w:val="110"/>
        </w:rPr>
        <w:t>políticas.</w:t>
      </w:r>
    </w:p>
    <w:p>
      <w:pPr>
        <w:pStyle w:val="BodyText"/>
        <w:spacing w:line="252" w:lineRule="auto"/>
        <w:ind w:left="100" w:right="328" w:firstLine="396"/>
        <w:jc w:val="both"/>
      </w:pPr>
      <w:r>
        <w:rPr>
          <w:w w:val="110"/>
        </w:rPr>
        <w:t>El neocolonialismo o las formas de dependencia que caracteriza- ron las nuevas relaciones entre ambos extremos del hemisferio</w:t>
      </w:r>
      <w:r>
        <w:rPr>
          <w:spacing w:val="-23"/>
          <w:w w:val="110"/>
        </w:rPr>
        <w:t> </w:t>
      </w:r>
      <w:r>
        <w:rPr>
          <w:w w:val="110"/>
        </w:rPr>
        <w:t>fueron acompañados por una ofensiva ideológica que se traducía en la ela- boración de un fino tejido hegemónico que subordinaba el sur al </w:t>
      </w:r>
      <w:r>
        <w:rPr>
          <w:spacing w:val="-4"/>
          <w:w w:val="110"/>
        </w:rPr>
        <w:t>nor- </w:t>
      </w:r>
      <w:r>
        <w:rPr>
          <w:w w:val="110"/>
        </w:rPr>
        <w:t>te. En la actualidad, la evolución de esta historia arroja una relación económica que subordina a Nuestra américa al Norte de américa. </w:t>
      </w:r>
      <w:r>
        <w:rPr>
          <w:spacing w:val="-3"/>
          <w:w w:val="110"/>
        </w:rPr>
        <w:t>también </w:t>
      </w:r>
      <w:r>
        <w:rPr>
          <w:w w:val="110"/>
        </w:rPr>
        <w:t>consolida la presencia militar de Estados unidos en casi to- dos los países de la región latinoamericana. En 2016, el giro hacia la izquierda, que fue la característica de los gobiernos en los tres prime- ros lustros del siglo </w:t>
      </w:r>
      <w:r>
        <w:rPr>
          <w:w w:val="125"/>
        </w:rPr>
        <w:t>xxi, </w:t>
      </w:r>
      <w:r>
        <w:rPr>
          <w:w w:val="110"/>
        </w:rPr>
        <w:t>pareciera estar </w:t>
      </w:r>
      <w:r>
        <w:rPr>
          <w:spacing w:val="24"/>
          <w:w w:val="110"/>
        </w:rPr>
        <w:t> </w:t>
      </w:r>
      <w:r>
        <w:rPr>
          <w:w w:val="110"/>
        </w:rPr>
        <w:t>revirtiéndose.</w:t>
      </w:r>
    </w:p>
    <w:p>
      <w:pPr>
        <w:pStyle w:val="BodyText"/>
        <w:spacing w:line="252" w:lineRule="auto"/>
        <w:ind w:left="100" w:right="328" w:firstLine="396"/>
        <w:jc w:val="both"/>
      </w:pPr>
      <w:r>
        <w:rPr>
          <w:w w:val="110"/>
        </w:rPr>
        <w:t>El libro, como los tres anteriores, se estructura en tres secciones, teniendo como centro la crisis de hegemonía Estados unidos, la es- tructura y condiciones internas del país, las nuevas relaciones entre </w:t>
      </w:r>
      <w:r>
        <w:rPr>
          <w:w w:val="111"/>
        </w:rPr>
        <w:t>Estados</w:t>
      </w:r>
      <w:r>
        <w:rPr/>
        <w:t> </w:t>
      </w:r>
      <w:r>
        <w:rPr>
          <w:w w:val="140"/>
        </w:rPr>
        <w:t>u</w:t>
      </w:r>
      <w:r>
        <w:rPr>
          <w:w w:val="110"/>
        </w:rPr>
        <w:t>nidos</w:t>
      </w:r>
      <w:r>
        <w:rPr/>
        <w:t> </w:t>
      </w:r>
      <w:r>
        <w:rPr>
          <w:w w:val="105"/>
        </w:rPr>
        <w:t>y</w:t>
      </w:r>
      <w:r>
        <w:rPr/>
        <w:t> </w:t>
      </w:r>
      <w:r>
        <w:rPr>
          <w:w w:val="139"/>
        </w:rPr>
        <w:t>a</w:t>
      </w:r>
      <w:r>
        <w:rPr>
          <w:w w:val="111"/>
        </w:rPr>
        <w:t>mérica</w:t>
      </w:r>
      <w:r>
        <w:rPr/>
        <w:t> </w:t>
      </w:r>
      <w:r>
        <w:rPr>
          <w:w w:val="243"/>
        </w:rPr>
        <w:t>l</w:t>
      </w:r>
      <w:r>
        <w:rPr>
          <w:w w:val="113"/>
        </w:rPr>
        <w:t>atina.</w:t>
      </w:r>
    </w:p>
    <w:p>
      <w:pPr>
        <w:pStyle w:val="BodyText"/>
        <w:spacing w:before="5"/>
      </w:pPr>
    </w:p>
    <w:p>
      <w:pPr>
        <w:spacing w:before="0"/>
        <w:ind w:left="101" w:right="0" w:firstLine="0"/>
        <w:jc w:val="both"/>
        <w:rPr>
          <w:rFonts w:ascii="Times New Roman" w:hAnsi="Times New Roman"/>
          <w:b/>
          <w:sz w:val="20"/>
        </w:rPr>
      </w:pPr>
      <w:r>
        <w:rPr>
          <w:rFonts w:ascii="Times New Roman" w:hAnsi="Times New Roman"/>
          <w:b/>
          <w:w w:val="130"/>
          <w:sz w:val="20"/>
        </w:rPr>
        <w:t>crisis de HeGeMonÍa de estados unidos</w:t>
      </w:r>
    </w:p>
    <w:p>
      <w:pPr>
        <w:pStyle w:val="BodyText"/>
        <w:spacing w:line="252" w:lineRule="auto" w:before="10"/>
        <w:ind w:left="100" w:right="328"/>
        <w:jc w:val="both"/>
      </w:pPr>
      <w:r>
        <w:rPr>
          <w:w w:val="115"/>
        </w:rPr>
        <w:t>Esta</w:t>
      </w:r>
      <w:r>
        <w:rPr>
          <w:spacing w:val="-7"/>
          <w:w w:val="115"/>
        </w:rPr>
        <w:t> </w:t>
      </w:r>
      <w:r>
        <w:rPr>
          <w:w w:val="115"/>
        </w:rPr>
        <w:t>sección</w:t>
      </w:r>
      <w:r>
        <w:rPr>
          <w:spacing w:val="-7"/>
          <w:w w:val="115"/>
        </w:rPr>
        <w:t> </w:t>
      </w:r>
      <w:r>
        <w:rPr>
          <w:w w:val="115"/>
        </w:rPr>
        <w:t>se</w:t>
      </w:r>
      <w:r>
        <w:rPr>
          <w:spacing w:val="-7"/>
          <w:w w:val="115"/>
        </w:rPr>
        <w:t> </w:t>
      </w:r>
      <w:r>
        <w:rPr>
          <w:w w:val="115"/>
        </w:rPr>
        <w:t>inicia</w:t>
      </w:r>
      <w:r>
        <w:rPr>
          <w:spacing w:val="-7"/>
          <w:w w:val="115"/>
        </w:rPr>
        <w:t> </w:t>
      </w:r>
      <w:r>
        <w:rPr>
          <w:w w:val="115"/>
        </w:rPr>
        <w:t>con</w:t>
      </w:r>
      <w:r>
        <w:rPr>
          <w:spacing w:val="-7"/>
          <w:w w:val="115"/>
        </w:rPr>
        <w:t> </w:t>
      </w:r>
      <w:r>
        <w:rPr>
          <w:w w:val="115"/>
        </w:rPr>
        <w:t>la</w:t>
      </w:r>
      <w:r>
        <w:rPr>
          <w:spacing w:val="-7"/>
          <w:w w:val="115"/>
        </w:rPr>
        <w:t> </w:t>
      </w:r>
      <w:r>
        <w:rPr>
          <w:w w:val="115"/>
        </w:rPr>
        <w:t>reflexión</w:t>
      </w:r>
      <w:r>
        <w:rPr>
          <w:spacing w:val="-7"/>
          <w:w w:val="115"/>
        </w:rPr>
        <w:t> </w:t>
      </w:r>
      <w:r>
        <w:rPr>
          <w:w w:val="115"/>
        </w:rPr>
        <w:t>de</w:t>
      </w:r>
      <w:r>
        <w:rPr>
          <w:spacing w:val="-7"/>
          <w:w w:val="115"/>
        </w:rPr>
        <w:t> </w:t>
      </w:r>
      <w:r>
        <w:rPr>
          <w:w w:val="115"/>
        </w:rPr>
        <w:t>Carlos</w:t>
      </w:r>
      <w:r>
        <w:rPr>
          <w:spacing w:val="-7"/>
          <w:w w:val="115"/>
        </w:rPr>
        <w:t> </w:t>
      </w:r>
      <w:r>
        <w:rPr>
          <w:w w:val="115"/>
        </w:rPr>
        <w:t>Eduardo</w:t>
      </w:r>
      <w:r>
        <w:rPr>
          <w:spacing w:val="-7"/>
          <w:w w:val="115"/>
        </w:rPr>
        <w:t> </w:t>
      </w:r>
      <w:r>
        <w:rPr>
          <w:w w:val="115"/>
        </w:rPr>
        <w:t>Martins,</w:t>
      </w:r>
      <w:r>
        <w:rPr>
          <w:spacing w:val="-7"/>
          <w:w w:val="115"/>
        </w:rPr>
        <w:t> </w:t>
      </w:r>
      <w:r>
        <w:rPr>
          <w:w w:val="115"/>
        </w:rPr>
        <w:t>in- vestigador</w:t>
      </w:r>
      <w:r>
        <w:rPr>
          <w:spacing w:val="-14"/>
          <w:w w:val="115"/>
        </w:rPr>
        <w:t> </w:t>
      </w:r>
      <w:r>
        <w:rPr>
          <w:w w:val="115"/>
        </w:rPr>
        <w:t>de</w:t>
      </w:r>
      <w:r>
        <w:rPr>
          <w:spacing w:val="-14"/>
          <w:w w:val="115"/>
        </w:rPr>
        <w:t> </w:t>
      </w:r>
      <w:r>
        <w:rPr>
          <w:w w:val="115"/>
        </w:rPr>
        <w:t>la</w:t>
      </w:r>
      <w:r>
        <w:rPr>
          <w:spacing w:val="-14"/>
          <w:w w:val="115"/>
        </w:rPr>
        <w:t> </w:t>
      </w:r>
      <w:r>
        <w:rPr>
          <w:w w:val="115"/>
        </w:rPr>
        <w:t>universidad</w:t>
      </w:r>
      <w:r>
        <w:rPr>
          <w:spacing w:val="-14"/>
          <w:w w:val="115"/>
        </w:rPr>
        <w:t> </w:t>
      </w:r>
      <w:r>
        <w:rPr>
          <w:w w:val="115"/>
        </w:rPr>
        <w:t>Federal</w:t>
      </w:r>
      <w:r>
        <w:rPr>
          <w:spacing w:val="-14"/>
          <w:w w:val="115"/>
        </w:rPr>
        <w:t> </w:t>
      </w:r>
      <w:r>
        <w:rPr>
          <w:w w:val="115"/>
        </w:rPr>
        <w:t>de</w:t>
      </w:r>
      <w:r>
        <w:rPr>
          <w:spacing w:val="-14"/>
          <w:w w:val="115"/>
        </w:rPr>
        <w:t> </w:t>
      </w:r>
      <w:r>
        <w:rPr>
          <w:w w:val="115"/>
        </w:rPr>
        <w:t>río</w:t>
      </w:r>
      <w:r>
        <w:rPr>
          <w:spacing w:val="-14"/>
          <w:w w:val="115"/>
        </w:rPr>
        <w:t> </w:t>
      </w:r>
      <w:r>
        <w:rPr>
          <w:w w:val="115"/>
        </w:rPr>
        <w:t>de</w:t>
      </w:r>
      <w:r>
        <w:rPr>
          <w:spacing w:val="-14"/>
          <w:w w:val="115"/>
        </w:rPr>
        <w:t> </w:t>
      </w:r>
      <w:r>
        <w:rPr>
          <w:w w:val="115"/>
        </w:rPr>
        <w:t>Janeiro</w:t>
      </w:r>
      <w:r>
        <w:rPr>
          <w:spacing w:val="-14"/>
          <w:w w:val="115"/>
        </w:rPr>
        <w:t> </w:t>
      </w:r>
      <w:r>
        <w:rPr>
          <w:w w:val="115"/>
        </w:rPr>
        <w:t>y</w:t>
      </w:r>
      <w:r>
        <w:rPr>
          <w:spacing w:val="-14"/>
          <w:w w:val="115"/>
        </w:rPr>
        <w:t> </w:t>
      </w:r>
      <w:r>
        <w:rPr>
          <w:w w:val="115"/>
        </w:rPr>
        <w:t>Coordinador </w:t>
      </w:r>
      <w:r>
        <w:rPr>
          <w:w w:val="107"/>
        </w:rPr>
        <w:t>del</w:t>
      </w:r>
      <w:r>
        <w:rPr>
          <w:spacing w:val="2"/>
        </w:rPr>
        <w:t> </w:t>
      </w:r>
      <w:r>
        <w:rPr>
          <w:w w:val="114"/>
        </w:rPr>
        <w:t>Grupo</w:t>
      </w:r>
      <w:r>
        <w:rPr>
          <w:spacing w:val="2"/>
        </w:rPr>
        <w:t> </w:t>
      </w:r>
      <w:r>
        <w:rPr>
          <w:w w:val="107"/>
        </w:rPr>
        <w:t>de</w:t>
      </w:r>
      <w:r>
        <w:rPr>
          <w:spacing w:val="2"/>
        </w:rPr>
        <w:t> </w:t>
      </w:r>
      <w:r>
        <w:rPr>
          <w:spacing w:val="-18"/>
          <w:w w:val="195"/>
        </w:rPr>
        <w:t>t</w:t>
      </w:r>
      <w:r>
        <w:rPr>
          <w:w w:val="110"/>
        </w:rPr>
        <w:t>rabajo</w:t>
      </w:r>
      <w:r>
        <w:rPr>
          <w:spacing w:val="2"/>
        </w:rPr>
        <w:t> </w:t>
      </w:r>
      <w:r>
        <w:rPr>
          <w:w w:val="142"/>
        </w:rPr>
        <w:t>i</w:t>
      </w:r>
      <w:r>
        <w:rPr>
          <w:w w:val="110"/>
        </w:rPr>
        <w:t>ntegración</w:t>
      </w:r>
      <w:r>
        <w:rPr>
          <w:spacing w:val="2"/>
        </w:rPr>
        <w:t> </w:t>
      </w:r>
      <w:r>
        <w:rPr>
          <w:w w:val="182"/>
        </w:rPr>
        <w:t>r</w:t>
      </w:r>
      <w:r>
        <w:rPr>
          <w:w w:val="110"/>
        </w:rPr>
        <w:t>egional</w:t>
      </w:r>
      <w:r>
        <w:rPr>
          <w:spacing w:val="2"/>
        </w:rPr>
        <w:t> </w:t>
      </w:r>
      <w:r>
        <w:rPr>
          <w:w w:val="105"/>
        </w:rPr>
        <w:t>y</w:t>
      </w:r>
      <w:r>
        <w:rPr>
          <w:spacing w:val="2"/>
        </w:rPr>
        <w:t> </w:t>
      </w:r>
      <w:r>
        <w:rPr>
          <w:w w:val="140"/>
        </w:rPr>
        <w:t>u</w:t>
      </w:r>
      <w:r>
        <w:rPr>
          <w:w w:val="111"/>
        </w:rPr>
        <w:t>nidad</w:t>
      </w:r>
      <w:r>
        <w:rPr>
          <w:spacing w:val="2"/>
        </w:rPr>
        <w:t> </w:t>
      </w:r>
      <w:r>
        <w:rPr>
          <w:w w:val="243"/>
        </w:rPr>
        <w:t>l</w:t>
      </w:r>
      <w:r>
        <w:rPr>
          <w:w w:val="111"/>
        </w:rPr>
        <w:t>atinoamericana </w:t>
      </w:r>
      <w:r>
        <w:rPr>
          <w:w w:val="115"/>
        </w:rPr>
        <w:t>de </w:t>
      </w:r>
      <w:r>
        <w:rPr>
          <w:w w:val="150"/>
        </w:rPr>
        <w:t>ClaCso,</w:t>
      </w:r>
      <w:r>
        <w:rPr>
          <w:spacing w:val="-36"/>
          <w:w w:val="150"/>
        </w:rPr>
        <w:t> </w:t>
      </w:r>
      <w:r>
        <w:rPr>
          <w:w w:val="115"/>
        </w:rPr>
        <w:t>el capítulo se titula “El sistema-mundo capitalista y los nuevos alineamientos geopolíticos en el siglo </w:t>
      </w:r>
      <w:r>
        <w:rPr>
          <w:w w:val="150"/>
        </w:rPr>
        <w:t>xxi: </w:t>
      </w:r>
      <w:r>
        <w:rPr>
          <w:w w:val="115"/>
        </w:rPr>
        <w:t>una visión pros- pectiva”,</w:t>
      </w:r>
      <w:r>
        <w:rPr>
          <w:spacing w:val="-5"/>
          <w:w w:val="115"/>
        </w:rPr>
        <w:t> </w:t>
      </w:r>
      <w:r>
        <w:rPr>
          <w:w w:val="115"/>
        </w:rPr>
        <w:t>que</w:t>
      </w:r>
      <w:r>
        <w:rPr>
          <w:spacing w:val="-5"/>
          <w:w w:val="115"/>
        </w:rPr>
        <w:t> </w:t>
      </w:r>
      <w:r>
        <w:rPr>
          <w:w w:val="115"/>
        </w:rPr>
        <w:t>analiza</w:t>
      </w:r>
      <w:r>
        <w:rPr>
          <w:spacing w:val="-5"/>
          <w:w w:val="115"/>
        </w:rPr>
        <w:t> </w:t>
      </w:r>
      <w:r>
        <w:rPr>
          <w:w w:val="115"/>
        </w:rPr>
        <w:t>la</w:t>
      </w:r>
      <w:r>
        <w:rPr>
          <w:spacing w:val="-5"/>
          <w:w w:val="115"/>
        </w:rPr>
        <w:t> </w:t>
      </w:r>
      <w:r>
        <w:rPr>
          <w:w w:val="115"/>
        </w:rPr>
        <w:t>coyuntura</w:t>
      </w:r>
      <w:r>
        <w:rPr>
          <w:spacing w:val="-5"/>
          <w:w w:val="115"/>
        </w:rPr>
        <w:t> </w:t>
      </w:r>
      <w:r>
        <w:rPr>
          <w:w w:val="115"/>
        </w:rPr>
        <w:t>mundial</w:t>
      </w:r>
      <w:r>
        <w:rPr>
          <w:spacing w:val="-5"/>
          <w:w w:val="115"/>
        </w:rPr>
        <w:t> </w:t>
      </w:r>
      <w:r>
        <w:rPr>
          <w:w w:val="115"/>
        </w:rPr>
        <w:t>contemporánea</w:t>
      </w:r>
      <w:r>
        <w:rPr>
          <w:spacing w:val="-5"/>
          <w:w w:val="115"/>
        </w:rPr>
        <w:t> </w:t>
      </w:r>
      <w:r>
        <w:rPr>
          <w:w w:val="115"/>
        </w:rPr>
        <w:t>desde</w:t>
      </w:r>
      <w:r>
        <w:rPr>
          <w:spacing w:val="-5"/>
          <w:w w:val="115"/>
        </w:rPr>
        <w:t> </w:t>
      </w:r>
      <w:r>
        <w:rPr>
          <w:w w:val="115"/>
        </w:rPr>
        <w:t>la perspectiva de la larga duración, que interpreta el tiempo concreto </w:t>
      </w:r>
      <w:r>
        <w:rPr>
          <w:w w:val="110"/>
        </w:rPr>
        <w:t>como la combinación simultánea de tres temporalidades distintas que </w:t>
      </w:r>
      <w:r>
        <w:rPr>
          <w:w w:val="105"/>
        </w:rPr>
        <w:t>se</w:t>
      </w:r>
      <w:r>
        <w:rPr>
          <w:spacing w:val="7"/>
        </w:rPr>
        <w:t> </w:t>
      </w:r>
      <w:r>
        <w:rPr>
          <w:w w:val="111"/>
        </w:rPr>
        <w:t>articulan:</w:t>
      </w:r>
      <w:r>
        <w:rPr>
          <w:spacing w:val="7"/>
        </w:rPr>
        <w:t> </w:t>
      </w:r>
      <w:r>
        <w:rPr>
          <w:w w:val="111"/>
        </w:rPr>
        <w:t>la</w:t>
      </w:r>
      <w:r>
        <w:rPr>
          <w:spacing w:val="7"/>
        </w:rPr>
        <w:t> </w:t>
      </w:r>
      <w:r>
        <w:rPr>
          <w:w w:val="110"/>
        </w:rPr>
        <w:t>estructural,</w:t>
      </w:r>
      <w:r>
        <w:rPr>
          <w:spacing w:val="7"/>
        </w:rPr>
        <w:t> </w:t>
      </w:r>
      <w:r>
        <w:rPr>
          <w:w w:val="111"/>
        </w:rPr>
        <w:t>la</w:t>
      </w:r>
      <w:r>
        <w:rPr>
          <w:spacing w:val="7"/>
        </w:rPr>
        <w:t> </w:t>
      </w:r>
      <w:r>
        <w:rPr>
          <w:w w:val="114"/>
        </w:rPr>
        <w:t>cíclica</w:t>
      </w:r>
      <w:r>
        <w:rPr>
          <w:spacing w:val="7"/>
        </w:rPr>
        <w:t> </w:t>
      </w:r>
      <w:r>
        <w:rPr>
          <w:w w:val="105"/>
        </w:rPr>
        <w:t>y</w:t>
      </w:r>
      <w:r>
        <w:rPr>
          <w:spacing w:val="7"/>
        </w:rPr>
        <w:t> </w:t>
      </w:r>
      <w:r>
        <w:rPr>
          <w:w w:val="111"/>
        </w:rPr>
        <w:t>la</w:t>
      </w:r>
      <w:r>
        <w:rPr>
          <w:spacing w:val="7"/>
        </w:rPr>
        <w:t> </w:t>
      </w:r>
      <w:r>
        <w:rPr>
          <w:w w:val="107"/>
        </w:rPr>
        <w:t>del</w:t>
      </w:r>
      <w:r>
        <w:rPr>
          <w:spacing w:val="7"/>
        </w:rPr>
        <w:t> </w:t>
      </w:r>
      <w:r>
        <w:rPr>
          <w:w w:val="111"/>
        </w:rPr>
        <w:t>día</w:t>
      </w:r>
      <w:r>
        <w:rPr>
          <w:spacing w:val="7"/>
        </w:rPr>
        <w:t> </w:t>
      </w:r>
      <w:r>
        <w:rPr>
          <w:w w:val="112"/>
        </w:rPr>
        <w:t>a</w:t>
      </w:r>
      <w:r>
        <w:rPr>
          <w:spacing w:val="7"/>
        </w:rPr>
        <w:t> </w:t>
      </w:r>
      <w:r>
        <w:rPr>
          <w:w w:val="115"/>
        </w:rPr>
        <w:t>día.</w:t>
      </w:r>
      <w:r>
        <w:rPr>
          <w:spacing w:val="7"/>
        </w:rPr>
        <w:t> </w:t>
      </w:r>
      <w:r>
        <w:rPr>
          <w:w w:val="243"/>
        </w:rPr>
        <w:t>l</w:t>
      </w:r>
      <w:r>
        <w:rPr>
          <w:w w:val="112"/>
        </w:rPr>
        <w:t>a</w:t>
      </w:r>
      <w:r>
        <w:rPr>
          <w:spacing w:val="7"/>
        </w:rPr>
        <w:t> </w:t>
      </w:r>
      <w:r>
        <w:rPr>
          <w:w w:val="110"/>
        </w:rPr>
        <w:t>singularidad </w:t>
      </w:r>
      <w:r>
        <w:rPr>
          <w:w w:val="115"/>
        </w:rPr>
        <w:t>de nuestro tiempo no puede ser comprendida si no examinamos</w:t>
      </w:r>
      <w:r>
        <w:rPr>
          <w:spacing w:val="47"/>
          <w:w w:val="115"/>
        </w:rPr>
        <w:t> </w:t>
      </w:r>
      <w:r>
        <w:rPr>
          <w:w w:val="115"/>
        </w:rPr>
        <w:t>la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articulación específica entre los tiempos estructural y cíclico que se desarrollan actualmente. El primero es acumulativo e irreversible y las repeticiones cíclicas inciden sobre sus configuraciones concretas singulares, asumiendo también formatos individualizados. Martins arguye que “cuanto mayor sea la capacidad de las ciencias sociales para describir los procesos estructurales y cíclicos en marcha y las formas concretas que asumen en el tiempo inmediato, mayor será su posibilidad de desarrollar un pensamiento estratégico capaz de seña- lar las fuerzas hegemónicas; las contra-hegemónicas; los arreglos de poder de largo, mediano y corto plazos que resultan de las guerras de posición y de movimiento, y las bifurcaciones históricas que podrán dar lugar a una amplia reconfiguración jerárquica del sistema-mundo y de sus expresiones de poder globales, regionales y nacionales”.</w:t>
      </w:r>
    </w:p>
    <w:p>
      <w:pPr>
        <w:pStyle w:val="BodyText"/>
        <w:spacing w:line="252" w:lineRule="auto"/>
        <w:ind w:left="330" w:right="117" w:firstLine="396"/>
        <w:jc w:val="both"/>
      </w:pPr>
      <w:r>
        <w:rPr>
          <w:w w:val="115"/>
        </w:rPr>
        <w:t>a continuación, Marco a. Gandásegui hijo, docente de la </w:t>
      </w:r>
      <w:r>
        <w:rPr>
          <w:spacing w:val="-3"/>
          <w:w w:val="115"/>
        </w:rPr>
        <w:t>univer- </w:t>
      </w:r>
      <w:r>
        <w:rPr>
          <w:w w:val="109"/>
        </w:rPr>
        <w:t>sidad</w:t>
      </w:r>
      <w:r>
        <w:rPr>
          <w:spacing w:val="19"/>
        </w:rPr>
        <w:t> </w:t>
      </w:r>
      <w:r>
        <w:rPr>
          <w:w w:val="107"/>
        </w:rPr>
        <w:t>de</w:t>
      </w:r>
      <w:r>
        <w:rPr>
          <w:spacing w:val="19"/>
        </w:rPr>
        <w:t> </w:t>
      </w:r>
      <w:r>
        <w:rPr>
          <w:w w:val="112"/>
        </w:rPr>
        <w:t>Panamá</w:t>
      </w:r>
      <w:r>
        <w:rPr>
          <w:spacing w:val="19"/>
        </w:rPr>
        <w:t> </w:t>
      </w:r>
      <w:r>
        <w:rPr>
          <w:w w:val="104"/>
        </w:rPr>
        <w:t>e</w:t>
      </w:r>
      <w:r>
        <w:rPr>
          <w:spacing w:val="19"/>
        </w:rPr>
        <w:t> </w:t>
      </w:r>
      <w:r>
        <w:rPr>
          <w:w w:val="108"/>
        </w:rPr>
        <w:t>investigador</w:t>
      </w:r>
      <w:r>
        <w:rPr>
          <w:spacing w:val="19"/>
        </w:rPr>
        <w:t> </w:t>
      </w:r>
      <w:r>
        <w:rPr>
          <w:w w:val="107"/>
        </w:rPr>
        <w:t>del</w:t>
      </w:r>
      <w:r>
        <w:rPr>
          <w:spacing w:val="19"/>
        </w:rPr>
        <w:t> </w:t>
      </w:r>
      <w:r>
        <w:rPr>
          <w:w w:val="111"/>
        </w:rPr>
        <w:t>Centro</w:t>
      </w:r>
      <w:r>
        <w:rPr>
          <w:spacing w:val="19"/>
        </w:rPr>
        <w:t> </w:t>
      </w:r>
      <w:r>
        <w:rPr>
          <w:w w:val="107"/>
        </w:rPr>
        <w:t>de</w:t>
      </w:r>
      <w:r>
        <w:rPr>
          <w:spacing w:val="19"/>
        </w:rPr>
        <w:t> </w:t>
      </w:r>
      <w:r>
        <w:rPr>
          <w:w w:val="112"/>
        </w:rPr>
        <w:t>Estudios</w:t>
      </w:r>
      <w:r>
        <w:rPr>
          <w:spacing w:val="19"/>
        </w:rPr>
        <w:t> </w:t>
      </w:r>
      <w:r>
        <w:rPr>
          <w:w w:val="243"/>
        </w:rPr>
        <w:t>l</w:t>
      </w:r>
      <w:r>
        <w:rPr>
          <w:w w:val="110"/>
        </w:rPr>
        <w:t>atinoamer</w:t>
      </w:r>
      <w:r>
        <w:rPr>
          <w:spacing w:val="-1"/>
          <w:w w:val="110"/>
        </w:rPr>
        <w:t>i</w:t>
      </w:r>
      <w:r>
        <w:rPr>
          <w:w w:val="102"/>
        </w:rPr>
        <w:t>- </w:t>
      </w:r>
      <w:r>
        <w:rPr>
          <w:w w:val="115"/>
        </w:rPr>
        <w:t>canos (CEla) “Justo arosamena”, presenta el artículo “Hegemonía, geopolítica</w:t>
      </w:r>
      <w:r>
        <w:rPr>
          <w:spacing w:val="-23"/>
          <w:w w:val="115"/>
        </w:rPr>
        <w:t> </w:t>
      </w:r>
      <w:r>
        <w:rPr>
          <w:w w:val="115"/>
        </w:rPr>
        <w:t>y</w:t>
      </w:r>
      <w:r>
        <w:rPr>
          <w:spacing w:val="-23"/>
          <w:w w:val="115"/>
        </w:rPr>
        <w:t> </w:t>
      </w:r>
      <w:r>
        <w:rPr>
          <w:w w:val="115"/>
        </w:rPr>
        <w:t>Estados</w:t>
      </w:r>
      <w:r>
        <w:rPr>
          <w:spacing w:val="-24"/>
          <w:w w:val="115"/>
        </w:rPr>
        <w:t> </w:t>
      </w:r>
      <w:r>
        <w:rPr>
          <w:w w:val="115"/>
        </w:rPr>
        <w:t>unidos”</w:t>
      </w:r>
      <w:r>
        <w:rPr>
          <w:spacing w:val="-23"/>
          <w:w w:val="115"/>
        </w:rPr>
        <w:t> </w:t>
      </w:r>
      <w:r>
        <w:rPr>
          <w:w w:val="115"/>
        </w:rPr>
        <w:t>en</w:t>
      </w:r>
      <w:r>
        <w:rPr>
          <w:spacing w:val="-23"/>
          <w:w w:val="115"/>
        </w:rPr>
        <w:t> </w:t>
      </w:r>
      <w:r>
        <w:rPr>
          <w:w w:val="115"/>
        </w:rPr>
        <w:t>el</w:t>
      </w:r>
      <w:r>
        <w:rPr>
          <w:spacing w:val="-23"/>
          <w:w w:val="115"/>
        </w:rPr>
        <w:t> </w:t>
      </w:r>
      <w:r>
        <w:rPr>
          <w:w w:val="115"/>
        </w:rPr>
        <w:t>cual</w:t>
      </w:r>
      <w:r>
        <w:rPr>
          <w:spacing w:val="-23"/>
          <w:w w:val="115"/>
        </w:rPr>
        <w:t> </w:t>
      </w:r>
      <w:r>
        <w:rPr>
          <w:w w:val="115"/>
        </w:rPr>
        <w:t>analiza</w:t>
      </w:r>
      <w:r>
        <w:rPr>
          <w:spacing w:val="-23"/>
          <w:w w:val="115"/>
        </w:rPr>
        <w:t> </w:t>
      </w:r>
      <w:r>
        <w:rPr>
          <w:w w:val="115"/>
        </w:rPr>
        <w:t>las</w:t>
      </w:r>
      <w:r>
        <w:rPr>
          <w:spacing w:val="-23"/>
          <w:w w:val="115"/>
        </w:rPr>
        <w:t> </w:t>
      </w:r>
      <w:r>
        <w:rPr>
          <w:w w:val="115"/>
        </w:rPr>
        <w:t>acciones</w:t>
      </w:r>
      <w:r>
        <w:rPr>
          <w:spacing w:val="-23"/>
          <w:w w:val="115"/>
        </w:rPr>
        <w:t> </w:t>
      </w:r>
      <w:r>
        <w:rPr>
          <w:w w:val="115"/>
        </w:rPr>
        <w:t>que</w:t>
      </w:r>
      <w:r>
        <w:rPr>
          <w:spacing w:val="-23"/>
          <w:w w:val="115"/>
        </w:rPr>
        <w:t> </w:t>
      </w:r>
      <w:r>
        <w:rPr>
          <w:w w:val="115"/>
        </w:rPr>
        <w:t>China ha</w:t>
      </w:r>
      <w:r>
        <w:rPr>
          <w:spacing w:val="-6"/>
          <w:w w:val="115"/>
        </w:rPr>
        <w:t> </w:t>
      </w:r>
      <w:r>
        <w:rPr>
          <w:w w:val="115"/>
        </w:rPr>
        <w:t>emprendido</w:t>
      </w:r>
      <w:r>
        <w:rPr>
          <w:spacing w:val="-6"/>
          <w:w w:val="115"/>
        </w:rPr>
        <w:t> </w:t>
      </w:r>
      <w:r>
        <w:rPr>
          <w:w w:val="115"/>
        </w:rPr>
        <w:t>para</w:t>
      </w:r>
      <w:r>
        <w:rPr>
          <w:spacing w:val="-6"/>
          <w:w w:val="115"/>
        </w:rPr>
        <w:t> </w:t>
      </w:r>
      <w:r>
        <w:rPr>
          <w:w w:val="115"/>
        </w:rPr>
        <w:t>construir</w:t>
      </w:r>
      <w:r>
        <w:rPr>
          <w:spacing w:val="-6"/>
          <w:w w:val="115"/>
        </w:rPr>
        <w:t> </w:t>
      </w:r>
      <w:r>
        <w:rPr>
          <w:w w:val="115"/>
        </w:rPr>
        <w:t>una</w:t>
      </w:r>
      <w:r>
        <w:rPr>
          <w:spacing w:val="-6"/>
          <w:w w:val="115"/>
        </w:rPr>
        <w:t> </w:t>
      </w:r>
      <w:r>
        <w:rPr>
          <w:w w:val="115"/>
        </w:rPr>
        <w:t>alianza</w:t>
      </w:r>
      <w:r>
        <w:rPr>
          <w:spacing w:val="-6"/>
          <w:w w:val="115"/>
        </w:rPr>
        <w:t> </w:t>
      </w:r>
      <w:r>
        <w:rPr>
          <w:w w:val="115"/>
        </w:rPr>
        <w:t>con</w:t>
      </w:r>
      <w:r>
        <w:rPr>
          <w:spacing w:val="-6"/>
          <w:w w:val="115"/>
        </w:rPr>
        <w:t> </w:t>
      </w:r>
      <w:r>
        <w:rPr>
          <w:w w:val="115"/>
        </w:rPr>
        <w:t>Estados</w:t>
      </w:r>
      <w:r>
        <w:rPr>
          <w:spacing w:val="-6"/>
          <w:w w:val="115"/>
        </w:rPr>
        <w:t> </w:t>
      </w:r>
      <w:r>
        <w:rPr>
          <w:w w:val="115"/>
        </w:rPr>
        <w:t>unidos.</w:t>
      </w:r>
      <w:r>
        <w:rPr>
          <w:spacing w:val="-6"/>
          <w:w w:val="115"/>
        </w:rPr>
        <w:t> </w:t>
      </w:r>
      <w:r>
        <w:rPr>
          <w:w w:val="115"/>
        </w:rPr>
        <w:t>Gan- dásegui</w:t>
      </w:r>
      <w:r>
        <w:rPr>
          <w:spacing w:val="-18"/>
          <w:w w:val="115"/>
        </w:rPr>
        <w:t> </w:t>
      </w:r>
      <w:r>
        <w:rPr>
          <w:w w:val="115"/>
        </w:rPr>
        <w:t>expone</w:t>
      </w:r>
      <w:r>
        <w:rPr>
          <w:spacing w:val="-18"/>
          <w:w w:val="115"/>
        </w:rPr>
        <w:t> </w:t>
      </w:r>
      <w:r>
        <w:rPr>
          <w:w w:val="115"/>
        </w:rPr>
        <w:t>que</w:t>
      </w:r>
      <w:r>
        <w:rPr>
          <w:spacing w:val="-18"/>
          <w:w w:val="115"/>
        </w:rPr>
        <w:t> </w:t>
      </w:r>
      <w:r>
        <w:rPr>
          <w:w w:val="115"/>
        </w:rPr>
        <w:t>desde</w:t>
      </w:r>
      <w:r>
        <w:rPr>
          <w:spacing w:val="-18"/>
          <w:w w:val="115"/>
        </w:rPr>
        <w:t> </w:t>
      </w:r>
      <w:r>
        <w:rPr>
          <w:w w:val="115"/>
        </w:rPr>
        <w:t>las</w:t>
      </w:r>
      <w:r>
        <w:rPr>
          <w:spacing w:val="-18"/>
          <w:w w:val="115"/>
        </w:rPr>
        <w:t> </w:t>
      </w:r>
      <w:r>
        <w:rPr>
          <w:w w:val="115"/>
        </w:rPr>
        <w:t>visitas</w:t>
      </w:r>
      <w:r>
        <w:rPr>
          <w:spacing w:val="-18"/>
          <w:w w:val="115"/>
        </w:rPr>
        <w:t> </w:t>
      </w:r>
      <w:r>
        <w:rPr>
          <w:w w:val="115"/>
        </w:rPr>
        <w:t>de</w:t>
      </w:r>
      <w:r>
        <w:rPr>
          <w:spacing w:val="-18"/>
          <w:w w:val="115"/>
        </w:rPr>
        <w:t> </w:t>
      </w:r>
      <w:r>
        <w:rPr>
          <w:w w:val="115"/>
        </w:rPr>
        <w:t>Kissinger</w:t>
      </w:r>
      <w:r>
        <w:rPr>
          <w:spacing w:val="-18"/>
          <w:w w:val="115"/>
        </w:rPr>
        <w:t> </w:t>
      </w:r>
      <w:r>
        <w:rPr>
          <w:w w:val="115"/>
        </w:rPr>
        <w:t>y</w:t>
      </w:r>
      <w:r>
        <w:rPr>
          <w:spacing w:val="-18"/>
          <w:w w:val="115"/>
        </w:rPr>
        <w:t> </w:t>
      </w:r>
      <w:r>
        <w:rPr>
          <w:w w:val="115"/>
        </w:rPr>
        <w:t>Nixon</w:t>
      </w:r>
      <w:r>
        <w:rPr>
          <w:spacing w:val="-18"/>
          <w:w w:val="115"/>
        </w:rPr>
        <w:t> </w:t>
      </w:r>
      <w:r>
        <w:rPr>
          <w:w w:val="115"/>
        </w:rPr>
        <w:t>a</w:t>
      </w:r>
      <w:r>
        <w:rPr>
          <w:spacing w:val="-18"/>
          <w:w w:val="115"/>
        </w:rPr>
        <w:t> </w:t>
      </w:r>
      <w:r>
        <w:rPr>
          <w:w w:val="115"/>
        </w:rPr>
        <w:t>China,</w:t>
      </w:r>
      <w:r>
        <w:rPr>
          <w:spacing w:val="-18"/>
          <w:w w:val="115"/>
        </w:rPr>
        <w:t> </w:t>
      </w:r>
      <w:r>
        <w:rPr>
          <w:w w:val="115"/>
        </w:rPr>
        <w:t>los </w:t>
      </w:r>
      <w:r>
        <w:rPr>
          <w:w w:val="107"/>
        </w:rPr>
        <w:t>líderes</w:t>
      </w:r>
      <w:r>
        <w:rPr>
          <w:spacing w:val="14"/>
        </w:rPr>
        <w:t> </w:t>
      </w:r>
      <w:r>
        <w:rPr>
          <w:w w:val="107"/>
        </w:rPr>
        <w:t>de</w:t>
      </w:r>
      <w:r>
        <w:rPr>
          <w:spacing w:val="14"/>
        </w:rPr>
        <w:t> </w:t>
      </w:r>
      <w:r>
        <w:rPr>
          <w:w w:val="110"/>
        </w:rPr>
        <w:t>Pekín</w:t>
      </w:r>
      <w:r>
        <w:rPr>
          <w:spacing w:val="14"/>
        </w:rPr>
        <w:t> </w:t>
      </w:r>
      <w:r>
        <w:rPr>
          <w:w w:val="112"/>
        </w:rPr>
        <w:t>han</w:t>
      </w:r>
      <w:r>
        <w:rPr>
          <w:spacing w:val="14"/>
        </w:rPr>
        <w:t> </w:t>
      </w:r>
      <w:r>
        <w:rPr>
          <w:w w:val="108"/>
        </w:rPr>
        <w:t>enviado</w:t>
      </w:r>
      <w:r>
        <w:rPr>
          <w:spacing w:val="14"/>
        </w:rPr>
        <w:t> </w:t>
      </w:r>
      <w:r>
        <w:rPr>
          <w:w w:val="107"/>
        </w:rPr>
        <w:t>señales</w:t>
      </w:r>
      <w:r>
        <w:rPr>
          <w:spacing w:val="14"/>
        </w:rPr>
        <w:t> </w:t>
      </w:r>
      <w:r>
        <w:rPr>
          <w:w w:val="110"/>
        </w:rPr>
        <w:t>claras</w:t>
      </w:r>
      <w:r>
        <w:rPr>
          <w:spacing w:val="14"/>
        </w:rPr>
        <w:t> </w:t>
      </w:r>
      <w:r>
        <w:rPr>
          <w:w w:val="112"/>
        </w:rPr>
        <w:t>a</w:t>
      </w:r>
      <w:r>
        <w:rPr>
          <w:spacing w:val="14"/>
        </w:rPr>
        <w:t> </w:t>
      </w:r>
      <w:r>
        <w:rPr>
          <w:spacing w:val="-11"/>
          <w:w w:val="110"/>
        </w:rPr>
        <w:t>W</w:t>
      </w:r>
      <w:r>
        <w:rPr>
          <w:w w:val="112"/>
        </w:rPr>
        <w:t>ashington.</w:t>
      </w:r>
      <w:r>
        <w:rPr>
          <w:spacing w:val="14"/>
        </w:rPr>
        <w:t> </w:t>
      </w:r>
      <w:r>
        <w:rPr>
          <w:w w:val="243"/>
        </w:rPr>
        <w:t>l</w:t>
      </w:r>
      <w:r>
        <w:rPr>
          <w:w w:val="112"/>
        </w:rPr>
        <w:t>a</w:t>
      </w:r>
      <w:r>
        <w:rPr>
          <w:spacing w:val="14"/>
        </w:rPr>
        <w:t> </w:t>
      </w:r>
      <w:r>
        <w:rPr>
          <w:w w:val="112"/>
        </w:rPr>
        <w:t>falta</w:t>
      </w:r>
      <w:r>
        <w:rPr>
          <w:spacing w:val="14"/>
        </w:rPr>
        <w:t> </w:t>
      </w:r>
      <w:r>
        <w:rPr>
          <w:w w:val="107"/>
        </w:rPr>
        <w:t>de </w:t>
      </w:r>
      <w:r>
        <w:rPr>
          <w:w w:val="115"/>
        </w:rPr>
        <w:t>comprensión</w:t>
      </w:r>
      <w:r>
        <w:rPr>
          <w:spacing w:val="-6"/>
          <w:w w:val="115"/>
        </w:rPr>
        <w:t> </w:t>
      </w:r>
      <w:r>
        <w:rPr>
          <w:w w:val="115"/>
        </w:rPr>
        <w:t>entre</w:t>
      </w:r>
      <w:r>
        <w:rPr>
          <w:spacing w:val="-6"/>
          <w:w w:val="115"/>
        </w:rPr>
        <w:t> </w:t>
      </w:r>
      <w:r>
        <w:rPr>
          <w:w w:val="115"/>
        </w:rPr>
        <w:t>los</w:t>
      </w:r>
      <w:r>
        <w:rPr>
          <w:spacing w:val="-6"/>
          <w:w w:val="115"/>
        </w:rPr>
        <w:t> </w:t>
      </w:r>
      <w:r>
        <w:rPr>
          <w:w w:val="115"/>
        </w:rPr>
        <w:t>dos</w:t>
      </w:r>
      <w:r>
        <w:rPr>
          <w:spacing w:val="-6"/>
          <w:w w:val="115"/>
        </w:rPr>
        <w:t> </w:t>
      </w:r>
      <w:r>
        <w:rPr>
          <w:w w:val="115"/>
        </w:rPr>
        <w:t>gigantes</w:t>
      </w:r>
      <w:r>
        <w:rPr>
          <w:spacing w:val="-6"/>
          <w:w w:val="115"/>
        </w:rPr>
        <w:t> </w:t>
      </w:r>
      <w:r>
        <w:rPr>
          <w:w w:val="115"/>
        </w:rPr>
        <w:t>económicos</w:t>
      </w:r>
      <w:r>
        <w:rPr>
          <w:spacing w:val="-6"/>
          <w:w w:val="115"/>
        </w:rPr>
        <w:t> </w:t>
      </w:r>
      <w:r>
        <w:rPr>
          <w:w w:val="115"/>
        </w:rPr>
        <w:t>ha</w:t>
      </w:r>
      <w:r>
        <w:rPr>
          <w:spacing w:val="-6"/>
          <w:w w:val="115"/>
        </w:rPr>
        <w:t> </w:t>
      </w:r>
      <w:r>
        <w:rPr>
          <w:w w:val="115"/>
        </w:rPr>
        <w:t>empujado</w:t>
      </w:r>
      <w:r>
        <w:rPr>
          <w:spacing w:val="-6"/>
          <w:w w:val="115"/>
        </w:rPr>
        <w:t> </w:t>
      </w:r>
      <w:r>
        <w:rPr>
          <w:w w:val="115"/>
        </w:rPr>
        <w:t>a</w:t>
      </w:r>
      <w:r>
        <w:rPr>
          <w:spacing w:val="-6"/>
          <w:w w:val="115"/>
        </w:rPr>
        <w:t> </w:t>
      </w:r>
      <w:r>
        <w:rPr>
          <w:w w:val="115"/>
        </w:rPr>
        <w:t>Chi- na hacia rusia, un aliado estratégico con el cual comparte una larga frontera</w:t>
      </w:r>
      <w:r>
        <w:rPr>
          <w:spacing w:val="-20"/>
          <w:w w:val="115"/>
        </w:rPr>
        <w:t> </w:t>
      </w:r>
      <w:r>
        <w:rPr>
          <w:w w:val="115"/>
        </w:rPr>
        <w:t>y</w:t>
      </w:r>
      <w:r>
        <w:rPr>
          <w:spacing w:val="-20"/>
          <w:w w:val="115"/>
        </w:rPr>
        <w:t> </w:t>
      </w:r>
      <w:r>
        <w:rPr>
          <w:w w:val="115"/>
        </w:rPr>
        <w:t>cuyas</w:t>
      </w:r>
      <w:r>
        <w:rPr>
          <w:spacing w:val="-20"/>
          <w:w w:val="115"/>
        </w:rPr>
        <w:t> </w:t>
      </w:r>
      <w:r>
        <w:rPr>
          <w:w w:val="115"/>
        </w:rPr>
        <w:t>economías</w:t>
      </w:r>
      <w:r>
        <w:rPr>
          <w:spacing w:val="-20"/>
          <w:w w:val="115"/>
        </w:rPr>
        <w:t> </w:t>
      </w:r>
      <w:r>
        <w:rPr>
          <w:w w:val="115"/>
        </w:rPr>
        <w:t>se</w:t>
      </w:r>
      <w:r>
        <w:rPr>
          <w:spacing w:val="-20"/>
          <w:w w:val="115"/>
        </w:rPr>
        <w:t> </w:t>
      </w:r>
      <w:r>
        <w:rPr>
          <w:w w:val="115"/>
        </w:rPr>
        <w:t>complementan</w:t>
      </w:r>
      <w:r>
        <w:rPr>
          <w:spacing w:val="-20"/>
          <w:w w:val="115"/>
        </w:rPr>
        <w:t> </w:t>
      </w:r>
      <w:r>
        <w:rPr>
          <w:w w:val="115"/>
        </w:rPr>
        <w:t>(industrial</w:t>
      </w:r>
      <w:r>
        <w:rPr>
          <w:spacing w:val="-20"/>
          <w:w w:val="115"/>
        </w:rPr>
        <w:t> </w:t>
      </w:r>
      <w:r>
        <w:rPr>
          <w:w w:val="115"/>
        </w:rPr>
        <w:t>vs</w:t>
      </w:r>
      <w:r>
        <w:rPr>
          <w:spacing w:val="-20"/>
          <w:w w:val="115"/>
        </w:rPr>
        <w:t> </w:t>
      </w:r>
      <w:r>
        <w:rPr>
          <w:w w:val="115"/>
        </w:rPr>
        <w:t>recursos naturales).</w:t>
      </w:r>
      <w:r>
        <w:rPr>
          <w:spacing w:val="-30"/>
          <w:w w:val="115"/>
        </w:rPr>
        <w:t> </w:t>
      </w:r>
      <w:r>
        <w:rPr>
          <w:w w:val="115"/>
        </w:rPr>
        <w:t>Pekín</w:t>
      </w:r>
      <w:r>
        <w:rPr>
          <w:spacing w:val="-30"/>
          <w:w w:val="115"/>
        </w:rPr>
        <w:t> </w:t>
      </w:r>
      <w:r>
        <w:rPr>
          <w:w w:val="115"/>
        </w:rPr>
        <w:t>también</w:t>
      </w:r>
      <w:r>
        <w:rPr>
          <w:spacing w:val="-30"/>
          <w:w w:val="115"/>
        </w:rPr>
        <w:t> </w:t>
      </w:r>
      <w:r>
        <w:rPr>
          <w:w w:val="115"/>
        </w:rPr>
        <w:t>ha</w:t>
      </w:r>
      <w:r>
        <w:rPr>
          <w:spacing w:val="-30"/>
          <w:w w:val="115"/>
        </w:rPr>
        <w:t> </w:t>
      </w:r>
      <w:r>
        <w:rPr>
          <w:w w:val="115"/>
        </w:rPr>
        <w:t>dado</w:t>
      </w:r>
      <w:r>
        <w:rPr>
          <w:spacing w:val="-30"/>
          <w:w w:val="115"/>
        </w:rPr>
        <w:t> </w:t>
      </w:r>
      <w:r>
        <w:rPr>
          <w:w w:val="115"/>
        </w:rPr>
        <w:t>un</w:t>
      </w:r>
      <w:r>
        <w:rPr>
          <w:spacing w:val="-30"/>
          <w:w w:val="115"/>
        </w:rPr>
        <w:t> </w:t>
      </w:r>
      <w:r>
        <w:rPr>
          <w:w w:val="115"/>
        </w:rPr>
        <w:t>paso</w:t>
      </w:r>
      <w:r>
        <w:rPr>
          <w:spacing w:val="-30"/>
          <w:w w:val="115"/>
        </w:rPr>
        <w:t> </w:t>
      </w:r>
      <w:r>
        <w:rPr>
          <w:w w:val="115"/>
        </w:rPr>
        <w:t>adicional,</w:t>
      </w:r>
      <w:r>
        <w:rPr>
          <w:spacing w:val="-30"/>
          <w:w w:val="115"/>
        </w:rPr>
        <w:t> </w:t>
      </w:r>
      <w:r>
        <w:rPr>
          <w:w w:val="115"/>
        </w:rPr>
        <w:t>busca</w:t>
      </w:r>
      <w:r>
        <w:rPr>
          <w:spacing w:val="-30"/>
          <w:w w:val="115"/>
        </w:rPr>
        <w:t> </w:t>
      </w:r>
      <w:r>
        <w:rPr>
          <w:w w:val="115"/>
        </w:rPr>
        <w:t>establecer una alianza estratégica con Europa, especialmente con berlín, pues necesita</w:t>
      </w:r>
      <w:r>
        <w:rPr>
          <w:spacing w:val="-14"/>
          <w:w w:val="115"/>
        </w:rPr>
        <w:t> </w:t>
      </w:r>
      <w:r>
        <w:rPr>
          <w:w w:val="115"/>
        </w:rPr>
        <w:t>nuevos</w:t>
      </w:r>
      <w:r>
        <w:rPr>
          <w:spacing w:val="-14"/>
          <w:w w:val="115"/>
        </w:rPr>
        <w:t> </w:t>
      </w:r>
      <w:r>
        <w:rPr>
          <w:w w:val="115"/>
        </w:rPr>
        <w:t>mercados.</w:t>
      </w:r>
      <w:r>
        <w:rPr>
          <w:spacing w:val="-14"/>
          <w:w w:val="115"/>
        </w:rPr>
        <w:t> </w:t>
      </w:r>
      <w:r>
        <w:rPr>
          <w:spacing w:val="-3"/>
          <w:w w:val="115"/>
        </w:rPr>
        <w:t>tiene</w:t>
      </w:r>
      <w:r>
        <w:rPr>
          <w:spacing w:val="-14"/>
          <w:w w:val="115"/>
        </w:rPr>
        <w:t> </w:t>
      </w:r>
      <w:r>
        <w:rPr>
          <w:w w:val="115"/>
        </w:rPr>
        <w:t>el</w:t>
      </w:r>
      <w:r>
        <w:rPr>
          <w:spacing w:val="-14"/>
          <w:w w:val="115"/>
        </w:rPr>
        <w:t> </w:t>
      </w:r>
      <w:r>
        <w:rPr>
          <w:w w:val="115"/>
        </w:rPr>
        <w:t>capital</w:t>
      </w:r>
      <w:r>
        <w:rPr>
          <w:spacing w:val="-14"/>
          <w:w w:val="115"/>
        </w:rPr>
        <w:t> </w:t>
      </w:r>
      <w:r>
        <w:rPr>
          <w:w w:val="115"/>
        </w:rPr>
        <w:t>y</w:t>
      </w:r>
      <w:r>
        <w:rPr>
          <w:spacing w:val="-14"/>
          <w:w w:val="115"/>
        </w:rPr>
        <w:t> </w:t>
      </w:r>
      <w:r>
        <w:rPr>
          <w:w w:val="115"/>
        </w:rPr>
        <w:t>el</w:t>
      </w:r>
      <w:r>
        <w:rPr>
          <w:spacing w:val="-14"/>
          <w:w w:val="115"/>
        </w:rPr>
        <w:t> </w:t>
      </w:r>
      <w:r>
        <w:rPr>
          <w:w w:val="115"/>
        </w:rPr>
        <w:t>flujo</w:t>
      </w:r>
      <w:r>
        <w:rPr>
          <w:spacing w:val="-14"/>
          <w:w w:val="115"/>
        </w:rPr>
        <w:t> </w:t>
      </w:r>
      <w:r>
        <w:rPr>
          <w:w w:val="115"/>
        </w:rPr>
        <w:t>de</w:t>
      </w:r>
      <w:r>
        <w:rPr>
          <w:spacing w:val="-14"/>
          <w:w w:val="115"/>
        </w:rPr>
        <w:t> </w:t>
      </w:r>
      <w:r>
        <w:rPr>
          <w:w w:val="115"/>
        </w:rPr>
        <w:t>efectivo</w:t>
      </w:r>
      <w:r>
        <w:rPr>
          <w:spacing w:val="-14"/>
          <w:w w:val="115"/>
        </w:rPr>
        <w:t> </w:t>
      </w:r>
      <w:r>
        <w:rPr>
          <w:w w:val="115"/>
        </w:rPr>
        <w:t>que</w:t>
      </w:r>
      <w:r>
        <w:rPr>
          <w:spacing w:val="-14"/>
          <w:w w:val="115"/>
        </w:rPr>
        <w:t> </w:t>
      </w:r>
      <w:r>
        <w:rPr>
          <w:w w:val="115"/>
        </w:rPr>
        <w:t>le falta</w:t>
      </w:r>
      <w:r>
        <w:rPr>
          <w:spacing w:val="-5"/>
          <w:w w:val="115"/>
        </w:rPr>
        <w:t> </w:t>
      </w:r>
      <w:r>
        <w:rPr>
          <w:w w:val="115"/>
        </w:rPr>
        <w:t>a</w:t>
      </w:r>
      <w:r>
        <w:rPr>
          <w:spacing w:val="-5"/>
          <w:w w:val="115"/>
        </w:rPr>
        <w:t> </w:t>
      </w:r>
      <w:r>
        <w:rPr>
          <w:w w:val="115"/>
        </w:rPr>
        <w:t>Europa.</w:t>
      </w:r>
      <w:r>
        <w:rPr>
          <w:spacing w:val="-5"/>
          <w:w w:val="115"/>
        </w:rPr>
        <w:t> </w:t>
      </w:r>
      <w:r>
        <w:rPr>
          <w:w w:val="115"/>
        </w:rPr>
        <w:t>En</w:t>
      </w:r>
      <w:r>
        <w:rPr>
          <w:spacing w:val="-5"/>
          <w:w w:val="115"/>
        </w:rPr>
        <w:t> </w:t>
      </w:r>
      <w:r>
        <w:rPr>
          <w:w w:val="115"/>
        </w:rPr>
        <w:t>este</w:t>
      </w:r>
      <w:r>
        <w:rPr>
          <w:spacing w:val="-5"/>
          <w:w w:val="115"/>
        </w:rPr>
        <w:t> </w:t>
      </w:r>
      <w:r>
        <w:rPr>
          <w:w w:val="115"/>
        </w:rPr>
        <w:t>punto</w:t>
      </w:r>
      <w:r>
        <w:rPr>
          <w:spacing w:val="-5"/>
          <w:w w:val="115"/>
        </w:rPr>
        <w:t> </w:t>
      </w:r>
      <w:r>
        <w:rPr>
          <w:w w:val="115"/>
        </w:rPr>
        <w:t>radica</w:t>
      </w:r>
      <w:r>
        <w:rPr>
          <w:spacing w:val="-5"/>
          <w:w w:val="115"/>
        </w:rPr>
        <w:t> </w:t>
      </w:r>
      <w:r>
        <w:rPr>
          <w:w w:val="115"/>
        </w:rPr>
        <w:t>la</w:t>
      </w:r>
      <w:r>
        <w:rPr>
          <w:spacing w:val="-5"/>
          <w:w w:val="115"/>
        </w:rPr>
        <w:t> </w:t>
      </w:r>
      <w:r>
        <w:rPr>
          <w:w w:val="115"/>
        </w:rPr>
        <w:t>importancia</w:t>
      </w:r>
      <w:r>
        <w:rPr>
          <w:spacing w:val="-5"/>
          <w:w w:val="115"/>
        </w:rPr>
        <w:t> </w:t>
      </w:r>
      <w:r>
        <w:rPr>
          <w:w w:val="115"/>
        </w:rPr>
        <w:t>de</w:t>
      </w:r>
      <w:r>
        <w:rPr>
          <w:spacing w:val="-5"/>
          <w:w w:val="115"/>
        </w:rPr>
        <w:t> </w:t>
      </w:r>
      <w:r>
        <w:rPr>
          <w:w w:val="115"/>
        </w:rPr>
        <w:t>la</w:t>
      </w:r>
      <w:r>
        <w:rPr>
          <w:spacing w:val="-5"/>
          <w:w w:val="115"/>
        </w:rPr>
        <w:t> </w:t>
      </w:r>
      <w:r>
        <w:rPr>
          <w:w w:val="115"/>
        </w:rPr>
        <w:t>proyectada “ruta</w:t>
      </w:r>
      <w:r>
        <w:rPr>
          <w:spacing w:val="-12"/>
          <w:w w:val="115"/>
        </w:rPr>
        <w:t> </w:t>
      </w:r>
      <w:r>
        <w:rPr>
          <w:w w:val="115"/>
        </w:rPr>
        <w:t>de</w:t>
      </w:r>
      <w:r>
        <w:rPr>
          <w:spacing w:val="-12"/>
          <w:w w:val="115"/>
        </w:rPr>
        <w:t> </w:t>
      </w:r>
      <w:r>
        <w:rPr>
          <w:w w:val="115"/>
        </w:rPr>
        <w:t>la</w:t>
      </w:r>
      <w:r>
        <w:rPr>
          <w:spacing w:val="-13"/>
          <w:w w:val="115"/>
        </w:rPr>
        <w:t> </w:t>
      </w:r>
      <w:r>
        <w:rPr>
          <w:w w:val="115"/>
        </w:rPr>
        <w:t>seda”.</w:t>
      </w:r>
      <w:r>
        <w:rPr>
          <w:spacing w:val="-12"/>
          <w:w w:val="115"/>
        </w:rPr>
        <w:t> </w:t>
      </w:r>
      <w:r>
        <w:rPr>
          <w:w w:val="115"/>
        </w:rPr>
        <w:t>El</w:t>
      </w:r>
      <w:r>
        <w:rPr>
          <w:spacing w:val="-12"/>
          <w:w w:val="115"/>
        </w:rPr>
        <w:t> </w:t>
      </w:r>
      <w:r>
        <w:rPr>
          <w:w w:val="115"/>
        </w:rPr>
        <w:t>enlace</w:t>
      </w:r>
      <w:r>
        <w:rPr>
          <w:spacing w:val="-12"/>
          <w:w w:val="115"/>
        </w:rPr>
        <w:t> </w:t>
      </w:r>
      <w:r>
        <w:rPr>
          <w:w w:val="115"/>
        </w:rPr>
        <w:t>entre</w:t>
      </w:r>
      <w:r>
        <w:rPr>
          <w:spacing w:val="-12"/>
          <w:w w:val="115"/>
        </w:rPr>
        <w:t> </w:t>
      </w:r>
      <w:r>
        <w:rPr>
          <w:w w:val="115"/>
        </w:rPr>
        <w:t>Pekín</w:t>
      </w:r>
      <w:r>
        <w:rPr>
          <w:spacing w:val="-12"/>
          <w:w w:val="115"/>
        </w:rPr>
        <w:t> </w:t>
      </w:r>
      <w:r>
        <w:rPr>
          <w:w w:val="115"/>
        </w:rPr>
        <w:t>y</w:t>
      </w:r>
      <w:r>
        <w:rPr>
          <w:spacing w:val="-12"/>
          <w:w w:val="115"/>
        </w:rPr>
        <w:t> </w:t>
      </w:r>
      <w:r>
        <w:rPr>
          <w:w w:val="115"/>
        </w:rPr>
        <w:t>berlín</w:t>
      </w:r>
      <w:r>
        <w:rPr>
          <w:spacing w:val="-12"/>
          <w:w w:val="115"/>
        </w:rPr>
        <w:t> </w:t>
      </w:r>
      <w:r>
        <w:rPr>
          <w:w w:val="115"/>
        </w:rPr>
        <w:t>resolvería</w:t>
      </w:r>
      <w:r>
        <w:rPr>
          <w:spacing w:val="-12"/>
          <w:w w:val="115"/>
        </w:rPr>
        <w:t> </w:t>
      </w:r>
      <w:r>
        <w:rPr>
          <w:w w:val="115"/>
        </w:rPr>
        <w:t>los</w:t>
      </w:r>
      <w:r>
        <w:rPr>
          <w:spacing w:val="-12"/>
          <w:w w:val="115"/>
        </w:rPr>
        <w:t> </w:t>
      </w:r>
      <w:r>
        <w:rPr>
          <w:w w:val="115"/>
        </w:rPr>
        <w:t>proble- mas europeos de estancamiento de su acumulación capitalista. a su vez,</w:t>
      </w:r>
      <w:r>
        <w:rPr>
          <w:spacing w:val="-9"/>
          <w:w w:val="115"/>
        </w:rPr>
        <w:t> </w:t>
      </w:r>
      <w:r>
        <w:rPr>
          <w:w w:val="115"/>
        </w:rPr>
        <w:t>representaría</w:t>
      </w:r>
      <w:r>
        <w:rPr>
          <w:spacing w:val="-9"/>
          <w:w w:val="115"/>
        </w:rPr>
        <w:t> </w:t>
      </w:r>
      <w:r>
        <w:rPr>
          <w:w w:val="115"/>
        </w:rPr>
        <w:t>un</w:t>
      </w:r>
      <w:r>
        <w:rPr>
          <w:spacing w:val="-9"/>
          <w:w w:val="115"/>
        </w:rPr>
        <w:t> </w:t>
      </w:r>
      <w:r>
        <w:rPr>
          <w:w w:val="115"/>
        </w:rPr>
        <w:t>nuevo</w:t>
      </w:r>
      <w:r>
        <w:rPr>
          <w:spacing w:val="-9"/>
          <w:w w:val="115"/>
        </w:rPr>
        <w:t> </w:t>
      </w:r>
      <w:r>
        <w:rPr>
          <w:w w:val="115"/>
        </w:rPr>
        <w:t>salto</w:t>
      </w:r>
      <w:r>
        <w:rPr>
          <w:spacing w:val="-9"/>
          <w:w w:val="115"/>
        </w:rPr>
        <w:t> </w:t>
      </w:r>
      <w:r>
        <w:rPr>
          <w:w w:val="115"/>
        </w:rPr>
        <w:t>hacia</w:t>
      </w:r>
      <w:r>
        <w:rPr>
          <w:spacing w:val="-9"/>
          <w:w w:val="115"/>
        </w:rPr>
        <w:t> </w:t>
      </w:r>
      <w:r>
        <w:rPr>
          <w:w w:val="115"/>
        </w:rPr>
        <w:t>adelante</w:t>
      </w:r>
      <w:r>
        <w:rPr>
          <w:spacing w:val="-9"/>
          <w:w w:val="115"/>
        </w:rPr>
        <w:t> </w:t>
      </w:r>
      <w:r>
        <w:rPr>
          <w:w w:val="115"/>
        </w:rPr>
        <w:t>para</w:t>
      </w:r>
      <w:r>
        <w:rPr>
          <w:spacing w:val="-9"/>
          <w:w w:val="115"/>
        </w:rPr>
        <w:t> </w:t>
      </w:r>
      <w:r>
        <w:rPr>
          <w:w w:val="115"/>
        </w:rPr>
        <w:t>China.</w:t>
      </w:r>
      <w:r>
        <w:rPr>
          <w:spacing w:val="-9"/>
          <w:w w:val="115"/>
        </w:rPr>
        <w:t> </w:t>
      </w:r>
      <w:r>
        <w:rPr>
          <w:w w:val="115"/>
        </w:rPr>
        <w:t>¿dónde </w:t>
      </w:r>
      <w:r>
        <w:rPr>
          <w:w w:val="105"/>
        </w:rPr>
        <w:t>se</w:t>
      </w:r>
      <w:r>
        <w:rPr/>
        <w:t> </w:t>
      </w:r>
      <w:r>
        <w:rPr>
          <w:spacing w:val="-1"/>
        </w:rPr>
        <w:t> </w:t>
      </w:r>
      <w:r>
        <w:rPr>
          <w:w w:val="108"/>
        </w:rPr>
        <w:t>inserta</w:t>
      </w:r>
      <w:r>
        <w:rPr/>
        <w:t> </w:t>
      </w:r>
      <w:r>
        <w:rPr>
          <w:spacing w:val="-1"/>
        </w:rPr>
        <w:t> </w:t>
      </w:r>
      <w:r>
        <w:rPr>
          <w:w w:val="139"/>
        </w:rPr>
        <w:t>a</w:t>
      </w:r>
      <w:r>
        <w:rPr>
          <w:w w:val="111"/>
        </w:rPr>
        <w:t>mérica</w:t>
      </w:r>
      <w:r>
        <w:rPr/>
        <w:t> </w:t>
      </w:r>
      <w:r>
        <w:rPr>
          <w:spacing w:val="-1"/>
        </w:rPr>
        <w:t> </w:t>
      </w:r>
      <w:r>
        <w:rPr>
          <w:w w:val="243"/>
        </w:rPr>
        <w:t>l</w:t>
      </w:r>
      <w:r>
        <w:rPr>
          <w:w w:val="111"/>
        </w:rPr>
        <w:t>atina</w:t>
      </w:r>
      <w:r>
        <w:rPr/>
        <w:t> </w:t>
      </w:r>
      <w:r>
        <w:rPr>
          <w:spacing w:val="-1"/>
        </w:rPr>
        <w:t> </w:t>
      </w:r>
      <w:r>
        <w:rPr>
          <w:w w:val="108"/>
        </w:rPr>
        <w:t>en</w:t>
      </w:r>
      <w:r>
        <w:rPr/>
        <w:t> </w:t>
      </w:r>
      <w:r>
        <w:rPr>
          <w:spacing w:val="-1"/>
        </w:rPr>
        <w:t> </w:t>
      </w:r>
      <w:r>
        <w:rPr>
          <w:w w:val="105"/>
        </w:rPr>
        <w:t>este</w:t>
      </w:r>
      <w:r>
        <w:rPr/>
        <w:t> </w:t>
      </w:r>
      <w:r>
        <w:rPr>
          <w:spacing w:val="-1"/>
        </w:rPr>
        <w:t> </w:t>
      </w:r>
      <w:r>
        <w:rPr>
          <w:w w:val="108"/>
        </w:rPr>
        <w:t>nuevo</w:t>
      </w:r>
      <w:r>
        <w:rPr/>
        <w:t> </w:t>
      </w:r>
      <w:r>
        <w:rPr>
          <w:spacing w:val="-1"/>
        </w:rPr>
        <w:t> </w:t>
      </w:r>
      <w:r>
        <w:rPr>
          <w:w w:val="109"/>
        </w:rPr>
        <w:t>escenario</w:t>
      </w:r>
      <w:r>
        <w:rPr/>
        <w:t> </w:t>
      </w:r>
      <w:r>
        <w:rPr>
          <w:spacing w:val="-1"/>
        </w:rPr>
        <w:t> </w:t>
      </w:r>
      <w:r>
        <w:rPr>
          <w:w w:val="110"/>
        </w:rPr>
        <w:t>geopolítico</w:t>
      </w:r>
      <w:r>
        <w:rPr/>
        <w:t> </w:t>
      </w:r>
      <w:r>
        <w:rPr>
          <w:spacing w:val="-1"/>
        </w:rPr>
        <w:t> </w:t>
      </w:r>
      <w:r>
        <w:rPr>
          <w:w w:val="105"/>
        </w:rPr>
        <w:t>y</w:t>
      </w:r>
      <w:r>
        <w:rPr/>
        <w:t> </w:t>
      </w:r>
      <w:r>
        <w:rPr>
          <w:spacing w:val="-1"/>
        </w:rPr>
        <w:t> </w:t>
      </w:r>
      <w:r>
        <w:rPr>
          <w:w w:val="107"/>
        </w:rPr>
        <w:t>de </w:t>
      </w:r>
      <w:r>
        <w:rPr>
          <w:w w:val="115"/>
        </w:rPr>
        <w:t>giros</w:t>
      </w:r>
      <w:r>
        <w:rPr>
          <w:spacing w:val="-18"/>
          <w:w w:val="115"/>
        </w:rPr>
        <w:t> </w:t>
      </w:r>
      <w:r>
        <w:rPr>
          <w:w w:val="115"/>
        </w:rPr>
        <w:t>hegemónicos?</w:t>
      </w:r>
      <w:r>
        <w:rPr>
          <w:spacing w:val="-18"/>
          <w:w w:val="115"/>
        </w:rPr>
        <w:t> </w:t>
      </w:r>
      <w:r>
        <w:rPr>
          <w:w w:val="115"/>
        </w:rPr>
        <w:t>En</w:t>
      </w:r>
      <w:r>
        <w:rPr>
          <w:spacing w:val="-18"/>
          <w:w w:val="115"/>
        </w:rPr>
        <w:t> </w:t>
      </w:r>
      <w:r>
        <w:rPr>
          <w:w w:val="115"/>
        </w:rPr>
        <w:t>la</w:t>
      </w:r>
      <w:r>
        <w:rPr>
          <w:spacing w:val="-18"/>
          <w:w w:val="115"/>
        </w:rPr>
        <w:t> </w:t>
      </w:r>
      <w:r>
        <w:rPr>
          <w:w w:val="115"/>
        </w:rPr>
        <w:t>actualidad,</w:t>
      </w:r>
      <w:r>
        <w:rPr>
          <w:spacing w:val="-18"/>
          <w:w w:val="115"/>
        </w:rPr>
        <w:t> </w:t>
      </w:r>
      <w:r>
        <w:rPr>
          <w:w w:val="115"/>
        </w:rPr>
        <w:t>las</w:t>
      </w:r>
      <w:r>
        <w:rPr>
          <w:spacing w:val="-18"/>
          <w:w w:val="115"/>
        </w:rPr>
        <w:t> </w:t>
      </w:r>
      <w:r>
        <w:rPr>
          <w:w w:val="115"/>
        </w:rPr>
        <w:t>relaciones</w:t>
      </w:r>
      <w:r>
        <w:rPr>
          <w:spacing w:val="-18"/>
          <w:w w:val="115"/>
        </w:rPr>
        <w:t> </w:t>
      </w:r>
      <w:r>
        <w:rPr>
          <w:w w:val="115"/>
        </w:rPr>
        <w:t>con</w:t>
      </w:r>
      <w:r>
        <w:rPr>
          <w:spacing w:val="-18"/>
          <w:w w:val="115"/>
        </w:rPr>
        <w:t> </w:t>
      </w:r>
      <w:r>
        <w:rPr>
          <w:w w:val="115"/>
        </w:rPr>
        <w:t>China</w:t>
      </w:r>
      <w:r>
        <w:rPr>
          <w:spacing w:val="-18"/>
          <w:w w:val="115"/>
        </w:rPr>
        <w:t> </w:t>
      </w:r>
      <w:r>
        <w:rPr>
          <w:w w:val="115"/>
        </w:rPr>
        <w:t>son</w:t>
      </w:r>
      <w:r>
        <w:rPr>
          <w:spacing w:val="-18"/>
          <w:w w:val="115"/>
        </w:rPr>
        <w:t> </w:t>
      </w:r>
      <w:r>
        <w:rPr>
          <w:w w:val="115"/>
        </w:rPr>
        <w:t>ex- celentes.</w:t>
      </w:r>
      <w:r>
        <w:rPr>
          <w:spacing w:val="-26"/>
          <w:w w:val="115"/>
        </w:rPr>
        <w:t> </w:t>
      </w:r>
      <w:r>
        <w:rPr>
          <w:w w:val="115"/>
        </w:rPr>
        <w:t>¿seguirá</w:t>
      </w:r>
      <w:r>
        <w:rPr>
          <w:spacing w:val="-26"/>
          <w:w w:val="115"/>
        </w:rPr>
        <w:t> </w:t>
      </w:r>
      <w:r>
        <w:rPr>
          <w:w w:val="115"/>
        </w:rPr>
        <w:t>siendo</w:t>
      </w:r>
      <w:r>
        <w:rPr>
          <w:spacing w:val="-26"/>
          <w:w w:val="115"/>
        </w:rPr>
        <w:t> </w:t>
      </w:r>
      <w:r>
        <w:rPr>
          <w:w w:val="115"/>
        </w:rPr>
        <w:t>una</w:t>
      </w:r>
      <w:r>
        <w:rPr>
          <w:spacing w:val="-26"/>
          <w:w w:val="115"/>
        </w:rPr>
        <w:t> </w:t>
      </w:r>
      <w:r>
        <w:rPr>
          <w:w w:val="115"/>
        </w:rPr>
        <w:t>región</w:t>
      </w:r>
      <w:r>
        <w:rPr>
          <w:spacing w:val="-26"/>
          <w:w w:val="115"/>
        </w:rPr>
        <w:t> </w:t>
      </w:r>
      <w:r>
        <w:rPr>
          <w:w w:val="115"/>
        </w:rPr>
        <w:t>atrasada</w:t>
      </w:r>
      <w:r>
        <w:rPr>
          <w:spacing w:val="-26"/>
          <w:w w:val="115"/>
        </w:rPr>
        <w:t> </w:t>
      </w:r>
      <w:r>
        <w:rPr>
          <w:w w:val="115"/>
        </w:rPr>
        <w:t>supliendo</w:t>
      </w:r>
      <w:r>
        <w:rPr>
          <w:spacing w:val="-26"/>
          <w:w w:val="115"/>
        </w:rPr>
        <w:t> </w:t>
      </w:r>
      <w:r>
        <w:rPr>
          <w:w w:val="115"/>
        </w:rPr>
        <w:t>materias</w:t>
      </w:r>
      <w:r>
        <w:rPr>
          <w:spacing w:val="-26"/>
          <w:w w:val="115"/>
        </w:rPr>
        <w:t> </w:t>
      </w:r>
      <w:r>
        <w:rPr>
          <w:w w:val="115"/>
        </w:rPr>
        <w:t>pri- mas?</w:t>
      </w:r>
      <w:r>
        <w:rPr>
          <w:spacing w:val="-29"/>
          <w:w w:val="115"/>
        </w:rPr>
        <w:t> </w:t>
      </w:r>
      <w:r>
        <w:rPr>
          <w:w w:val="115"/>
        </w:rPr>
        <w:t>¿Encontrará</w:t>
      </w:r>
      <w:r>
        <w:rPr>
          <w:spacing w:val="-29"/>
          <w:w w:val="115"/>
        </w:rPr>
        <w:t> </w:t>
      </w:r>
      <w:r>
        <w:rPr>
          <w:w w:val="115"/>
        </w:rPr>
        <w:t>una</w:t>
      </w:r>
      <w:r>
        <w:rPr>
          <w:spacing w:val="-29"/>
          <w:w w:val="115"/>
        </w:rPr>
        <w:t> </w:t>
      </w:r>
      <w:r>
        <w:rPr>
          <w:w w:val="115"/>
        </w:rPr>
        <w:t>fórmula</w:t>
      </w:r>
      <w:r>
        <w:rPr>
          <w:spacing w:val="-29"/>
          <w:w w:val="115"/>
        </w:rPr>
        <w:t> </w:t>
      </w:r>
      <w:r>
        <w:rPr>
          <w:w w:val="115"/>
        </w:rPr>
        <w:t>para</w:t>
      </w:r>
      <w:r>
        <w:rPr>
          <w:spacing w:val="-29"/>
          <w:w w:val="115"/>
        </w:rPr>
        <w:t> </w:t>
      </w:r>
      <w:r>
        <w:rPr>
          <w:w w:val="115"/>
        </w:rPr>
        <w:t>insertarse</w:t>
      </w:r>
      <w:r>
        <w:rPr>
          <w:spacing w:val="-29"/>
          <w:w w:val="115"/>
        </w:rPr>
        <w:t> </w:t>
      </w:r>
      <w:r>
        <w:rPr>
          <w:w w:val="115"/>
        </w:rPr>
        <w:t>en</w:t>
      </w:r>
      <w:r>
        <w:rPr>
          <w:spacing w:val="-29"/>
          <w:w w:val="115"/>
        </w:rPr>
        <w:t> </w:t>
      </w:r>
      <w:r>
        <w:rPr>
          <w:w w:val="115"/>
        </w:rPr>
        <w:t>el</w:t>
      </w:r>
      <w:r>
        <w:rPr>
          <w:spacing w:val="-29"/>
          <w:w w:val="115"/>
        </w:rPr>
        <w:t> </w:t>
      </w:r>
      <w:r>
        <w:rPr>
          <w:w w:val="115"/>
        </w:rPr>
        <w:t>eje</w:t>
      </w:r>
      <w:r>
        <w:rPr>
          <w:spacing w:val="-29"/>
          <w:w w:val="115"/>
        </w:rPr>
        <w:t> </w:t>
      </w:r>
      <w:r>
        <w:rPr>
          <w:w w:val="115"/>
        </w:rPr>
        <w:t>euro-asiático?</w:t>
      </w:r>
    </w:p>
    <w:p>
      <w:pPr>
        <w:pStyle w:val="BodyText"/>
        <w:spacing w:line="252" w:lineRule="auto"/>
        <w:ind w:left="330" w:right="117"/>
        <w:jc w:val="right"/>
      </w:pPr>
      <w:r>
        <w:rPr>
          <w:w w:val="110"/>
        </w:rPr>
        <w:t>¿o tendrá que desconectarse de su dependencia histórica y encontrar</w:t>
      </w:r>
      <w:r>
        <w:rPr>
          <w:w w:val="109"/>
        </w:rPr>
        <w:t> </w:t>
      </w:r>
      <w:r>
        <w:rPr>
          <w:w w:val="110"/>
        </w:rPr>
        <w:t>un camino nuevo hacia la constitución de una sociedad competitiva?</w:t>
      </w:r>
      <w:r>
        <w:rPr>
          <w:w w:val="110"/>
        </w:rPr>
        <w:t> </w:t>
      </w:r>
      <w:r>
        <w:rPr>
          <w:w w:val="110"/>
        </w:rPr>
        <w:t>Gladys Hernández Pedraza, Jefa del departamento de Finanzas</w:t>
      </w:r>
      <w:r>
        <w:rPr>
          <w:w w:val="112"/>
        </w:rPr>
        <w:t> </w:t>
      </w:r>
      <w:r>
        <w:rPr>
          <w:w w:val="110"/>
        </w:rPr>
        <w:t>internacionales del Centro de investigaciones de la Economía Mun-</w:t>
      </w:r>
      <w:r>
        <w:rPr>
          <w:w w:val="102"/>
        </w:rPr>
        <w:t> </w:t>
      </w:r>
      <w:r>
        <w:rPr>
          <w:w w:val="110"/>
        </w:rPr>
        <w:t>dial (CiEM), da continuidad  a  la  reflexión  precedente  al  presentar</w:t>
      </w:r>
      <w:r>
        <w:rPr>
          <w:w w:val="107"/>
        </w:rPr>
        <w:t> </w:t>
      </w:r>
      <w:r>
        <w:rPr>
          <w:w w:val="110"/>
        </w:rPr>
        <w:t>el capítulo “Estados unidos y China en torno al ‘pivote asiático’”, el</w:t>
      </w:r>
      <w:r>
        <w:rPr>
          <w:w w:val="107"/>
        </w:rPr>
        <w:t> </w:t>
      </w:r>
      <w:r>
        <w:rPr>
          <w:w w:val="110"/>
        </w:rPr>
        <w:t>trabajo rescata las implicaciones de la última reunión del Foro de</w:t>
      </w:r>
      <w:r>
        <w:rPr>
          <w:w w:val="107"/>
        </w:rPr>
        <w:t> </w:t>
      </w:r>
      <w:r>
        <w:rPr>
          <w:w w:val="110"/>
        </w:rPr>
        <w:t>Cooperación Económica  asia-Pacífico  (aPEC),  celebrada  en  beijing</w:t>
      </w:r>
      <w:r>
        <w:rPr>
          <w:w w:val="111"/>
        </w:rPr>
        <w:t> </w:t>
      </w:r>
      <w:r>
        <w:rPr>
          <w:w w:val="110"/>
        </w:rPr>
        <w:t>a finales de 2014, pues esta cumbre sirvió como colofón para la gran</w:t>
      </w:r>
    </w:p>
    <w:p>
      <w:pPr>
        <w:spacing w:after="0" w:line="252" w:lineRule="auto"/>
        <w:jc w:val="right"/>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actividad diplomática que China ha estado desplegando con el propó- sito de conformar un proyecto singular de integración para la región asiática. Martínez arguye que dicha estrategia cuenta con impulso y acciones suficientes que de hecho trascienden las limitaciones y</w:t>
      </w:r>
      <w:r>
        <w:rPr>
          <w:spacing w:val="-27"/>
          <w:w w:val="110"/>
        </w:rPr>
        <w:t> </w:t>
      </w:r>
      <w:r>
        <w:rPr>
          <w:w w:val="110"/>
        </w:rPr>
        <w:t>dudas generadas por la doctrina del denominado “pivote asiático” de la ad- ministración obama. El elemento destacable en este contexto es que las autoridades chinas postulan un asia donde las decisiones globales, de importancia estratégica para los países del área, sean discutidas entre todos los interesados, una región realmente gobernada por los propios asiáticos, por lo cual tanto Estados unidos como su política injerencista pasarían a un segundo </w:t>
      </w:r>
      <w:r>
        <w:rPr>
          <w:spacing w:val="13"/>
          <w:w w:val="110"/>
        </w:rPr>
        <w:t> </w:t>
      </w:r>
      <w:r>
        <w:rPr>
          <w:w w:val="110"/>
        </w:rPr>
        <w:t>plano.</w:t>
      </w:r>
    </w:p>
    <w:p>
      <w:pPr>
        <w:pStyle w:val="BodyText"/>
        <w:spacing w:line="252" w:lineRule="auto"/>
        <w:ind w:left="100" w:right="328" w:firstLine="396"/>
        <w:jc w:val="both"/>
      </w:pPr>
      <w:r>
        <w:rPr>
          <w:w w:val="115"/>
        </w:rPr>
        <w:t>No</w:t>
      </w:r>
      <w:r>
        <w:rPr>
          <w:spacing w:val="-12"/>
          <w:w w:val="115"/>
        </w:rPr>
        <w:t> </w:t>
      </w:r>
      <w:r>
        <w:rPr>
          <w:w w:val="115"/>
        </w:rPr>
        <w:t>muy</w:t>
      </w:r>
      <w:r>
        <w:rPr>
          <w:spacing w:val="-12"/>
          <w:w w:val="115"/>
        </w:rPr>
        <w:t> </w:t>
      </w:r>
      <w:r>
        <w:rPr>
          <w:w w:val="115"/>
        </w:rPr>
        <w:t>alejado</w:t>
      </w:r>
      <w:r>
        <w:rPr>
          <w:spacing w:val="-12"/>
          <w:w w:val="115"/>
        </w:rPr>
        <w:t> </w:t>
      </w:r>
      <w:r>
        <w:rPr>
          <w:w w:val="115"/>
        </w:rPr>
        <w:t>de</w:t>
      </w:r>
      <w:r>
        <w:rPr>
          <w:spacing w:val="-12"/>
          <w:w w:val="115"/>
        </w:rPr>
        <w:t> </w:t>
      </w:r>
      <w:r>
        <w:rPr>
          <w:w w:val="115"/>
        </w:rPr>
        <w:t>esta</w:t>
      </w:r>
      <w:r>
        <w:rPr>
          <w:spacing w:val="-12"/>
          <w:w w:val="115"/>
        </w:rPr>
        <w:t> </w:t>
      </w:r>
      <w:r>
        <w:rPr>
          <w:w w:val="115"/>
        </w:rPr>
        <w:t>dinámica</w:t>
      </w:r>
      <w:r>
        <w:rPr>
          <w:spacing w:val="-12"/>
          <w:w w:val="115"/>
        </w:rPr>
        <w:t> </w:t>
      </w:r>
      <w:r>
        <w:rPr>
          <w:w w:val="115"/>
        </w:rPr>
        <w:t>en</w:t>
      </w:r>
      <w:r>
        <w:rPr>
          <w:spacing w:val="-12"/>
          <w:w w:val="115"/>
        </w:rPr>
        <w:t> </w:t>
      </w:r>
      <w:r>
        <w:rPr>
          <w:w w:val="115"/>
        </w:rPr>
        <w:t>el</w:t>
      </w:r>
      <w:r>
        <w:rPr>
          <w:spacing w:val="-12"/>
          <w:w w:val="115"/>
        </w:rPr>
        <w:t> </w:t>
      </w:r>
      <w:r>
        <w:rPr>
          <w:w w:val="115"/>
        </w:rPr>
        <w:t>sudeste</w:t>
      </w:r>
      <w:r>
        <w:rPr>
          <w:spacing w:val="-12"/>
          <w:w w:val="115"/>
        </w:rPr>
        <w:t> </w:t>
      </w:r>
      <w:r>
        <w:rPr>
          <w:w w:val="115"/>
        </w:rPr>
        <w:t>asiático,</w:t>
      </w:r>
      <w:r>
        <w:rPr>
          <w:spacing w:val="-12"/>
          <w:w w:val="115"/>
        </w:rPr>
        <w:t> </w:t>
      </w:r>
      <w:r>
        <w:rPr>
          <w:w w:val="115"/>
        </w:rPr>
        <w:t>santiago Pérez</w:t>
      </w:r>
      <w:r>
        <w:rPr>
          <w:spacing w:val="-32"/>
          <w:w w:val="115"/>
        </w:rPr>
        <w:t> </w:t>
      </w:r>
      <w:r>
        <w:rPr>
          <w:w w:val="115"/>
        </w:rPr>
        <w:t>benítez,</w:t>
      </w:r>
      <w:r>
        <w:rPr>
          <w:spacing w:val="-32"/>
          <w:w w:val="115"/>
        </w:rPr>
        <w:t> </w:t>
      </w:r>
      <w:r>
        <w:rPr>
          <w:w w:val="115"/>
        </w:rPr>
        <w:t>investigador</w:t>
      </w:r>
      <w:r>
        <w:rPr>
          <w:spacing w:val="-32"/>
          <w:w w:val="115"/>
        </w:rPr>
        <w:t> </w:t>
      </w:r>
      <w:r>
        <w:rPr>
          <w:w w:val="115"/>
        </w:rPr>
        <w:t>del</w:t>
      </w:r>
      <w:r>
        <w:rPr>
          <w:spacing w:val="-32"/>
          <w:w w:val="115"/>
        </w:rPr>
        <w:t> </w:t>
      </w:r>
      <w:r>
        <w:rPr>
          <w:w w:val="115"/>
        </w:rPr>
        <w:t>Centro</w:t>
      </w:r>
      <w:r>
        <w:rPr>
          <w:spacing w:val="-32"/>
          <w:w w:val="115"/>
        </w:rPr>
        <w:t> </w:t>
      </w:r>
      <w:r>
        <w:rPr>
          <w:w w:val="115"/>
        </w:rPr>
        <w:t>de</w:t>
      </w:r>
      <w:r>
        <w:rPr>
          <w:spacing w:val="-32"/>
          <w:w w:val="115"/>
        </w:rPr>
        <w:t> </w:t>
      </w:r>
      <w:r>
        <w:rPr>
          <w:w w:val="115"/>
        </w:rPr>
        <w:t>investigaciones</w:t>
      </w:r>
      <w:r>
        <w:rPr>
          <w:spacing w:val="-32"/>
          <w:w w:val="115"/>
        </w:rPr>
        <w:t> </w:t>
      </w:r>
      <w:r>
        <w:rPr>
          <w:w w:val="115"/>
        </w:rPr>
        <w:t>sobre</w:t>
      </w:r>
      <w:r>
        <w:rPr>
          <w:spacing w:val="-32"/>
          <w:w w:val="115"/>
        </w:rPr>
        <w:t> </w:t>
      </w:r>
      <w:r>
        <w:rPr>
          <w:w w:val="115"/>
        </w:rPr>
        <w:t>Políti- </w:t>
      </w:r>
      <w:r>
        <w:rPr>
          <w:w w:val="120"/>
        </w:rPr>
        <w:t>ca</w:t>
      </w:r>
      <w:r>
        <w:rPr>
          <w:spacing w:val="-28"/>
          <w:w w:val="120"/>
        </w:rPr>
        <w:t> </w:t>
      </w:r>
      <w:r>
        <w:rPr>
          <w:w w:val="120"/>
        </w:rPr>
        <w:t>internacional</w:t>
      </w:r>
      <w:r>
        <w:rPr>
          <w:spacing w:val="-28"/>
          <w:w w:val="120"/>
        </w:rPr>
        <w:t> </w:t>
      </w:r>
      <w:r>
        <w:rPr>
          <w:w w:val="120"/>
        </w:rPr>
        <w:t>(CiPi)</w:t>
      </w:r>
      <w:r>
        <w:rPr>
          <w:spacing w:val="-28"/>
          <w:w w:val="120"/>
        </w:rPr>
        <w:t> </w:t>
      </w:r>
      <w:r>
        <w:rPr>
          <w:w w:val="120"/>
        </w:rPr>
        <w:t>y</w:t>
      </w:r>
      <w:r>
        <w:rPr>
          <w:spacing w:val="-28"/>
          <w:w w:val="120"/>
        </w:rPr>
        <w:t> </w:t>
      </w:r>
      <w:r>
        <w:rPr>
          <w:w w:val="120"/>
        </w:rPr>
        <w:t>docente</w:t>
      </w:r>
      <w:r>
        <w:rPr>
          <w:spacing w:val="-28"/>
          <w:w w:val="120"/>
        </w:rPr>
        <w:t> </w:t>
      </w:r>
      <w:r>
        <w:rPr>
          <w:w w:val="120"/>
        </w:rPr>
        <w:t>en</w:t>
      </w:r>
      <w:r>
        <w:rPr>
          <w:spacing w:val="-28"/>
          <w:w w:val="120"/>
        </w:rPr>
        <w:t> </w:t>
      </w:r>
      <w:r>
        <w:rPr>
          <w:w w:val="120"/>
        </w:rPr>
        <w:t>el</w:t>
      </w:r>
      <w:r>
        <w:rPr>
          <w:spacing w:val="-28"/>
          <w:w w:val="120"/>
        </w:rPr>
        <w:t> </w:t>
      </w:r>
      <w:r>
        <w:rPr>
          <w:w w:val="120"/>
        </w:rPr>
        <w:t>instituto</w:t>
      </w:r>
      <w:r>
        <w:rPr>
          <w:spacing w:val="-28"/>
          <w:w w:val="120"/>
        </w:rPr>
        <w:t> </w:t>
      </w:r>
      <w:r>
        <w:rPr>
          <w:w w:val="120"/>
        </w:rPr>
        <w:t>superior</w:t>
      </w:r>
      <w:r>
        <w:rPr>
          <w:spacing w:val="-28"/>
          <w:w w:val="120"/>
        </w:rPr>
        <w:t> </w:t>
      </w:r>
      <w:r>
        <w:rPr>
          <w:w w:val="120"/>
        </w:rPr>
        <w:t>de</w:t>
      </w:r>
      <w:r>
        <w:rPr>
          <w:spacing w:val="-28"/>
          <w:w w:val="120"/>
        </w:rPr>
        <w:t> </w:t>
      </w:r>
      <w:r>
        <w:rPr>
          <w:w w:val="120"/>
        </w:rPr>
        <w:t>relacio- </w:t>
      </w:r>
      <w:r>
        <w:rPr>
          <w:w w:val="107"/>
        </w:rPr>
        <w:t>nes</w:t>
      </w:r>
      <w:r>
        <w:rPr>
          <w:spacing w:val="6"/>
        </w:rPr>
        <w:t> </w:t>
      </w:r>
      <w:r>
        <w:rPr>
          <w:w w:val="142"/>
        </w:rPr>
        <w:t>i</w:t>
      </w:r>
      <w:r>
        <w:rPr>
          <w:w w:val="109"/>
        </w:rPr>
        <w:t>nternacionales</w:t>
      </w:r>
      <w:r>
        <w:rPr>
          <w:spacing w:val="6"/>
        </w:rPr>
        <w:t> </w:t>
      </w:r>
      <w:r>
        <w:rPr>
          <w:w w:val="98"/>
        </w:rPr>
        <w:t>(</w:t>
      </w:r>
      <w:r>
        <w:rPr>
          <w:w w:val="156"/>
        </w:rPr>
        <w:t>isri</w:t>
      </w:r>
      <w:r>
        <w:rPr>
          <w:w w:val="98"/>
        </w:rPr>
        <w:t>)</w:t>
      </w:r>
      <w:r>
        <w:rPr>
          <w:spacing w:val="6"/>
        </w:rPr>
        <w:t> </w:t>
      </w:r>
      <w:r>
        <w:rPr>
          <w:w w:val="107"/>
        </w:rPr>
        <w:t>presenta</w:t>
      </w:r>
      <w:r>
        <w:rPr>
          <w:spacing w:val="6"/>
        </w:rPr>
        <w:t> </w:t>
      </w:r>
      <w:r>
        <w:rPr>
          <w:w w:val="107"/>
        </w:rPr>
        <w:t>el</w:t>
      </w:r>
      <w:r>
        <w:rPr>
          <w:spacing w:val="6"/>
        </w:rPr>
        <w:t> </w:t>
      </w:r>
      <w:r>
        <w:rPr>
          <w:w w:val="110"/>
        </w:rPr>
        <w:t>trabajo</w:t>
      </w:r>
      <w:r>
        <w:rPr>
          <w:spacing w:val="6"/>
        </w:rPr>
        <w:t> </w:t>
      </w:r>
      <w:r>
        <w:rPr>
          <w:w w:val="115"/>
        </w:rPr>
        <w:t>“</w:t>
      </w:r>
      <w:r>
        <w:rPr>
          <w:w w:val="243"/>
        </w:rPr>
        <w:t>l</w:t>
      </w:r>
      <w:r>
        <w:rPr>
          <w:w w:val="109"/>
        </w:rPr>
        <w:t>as</w:t>
      </w:r>
      <w:r>
        <w:rPr>
          <w:spacing w:val="6"/>
        </w:rPr>
        <w:t> </w:t>
      </w:r>
      <w:r>
        <w:rPr>
          <w:w w:val="109"/>
        </w:rPr>
        <w:t>relaciones</w:t>
      </w:r>
      <w:r>
        <w:rPr>
          <w:spacing w:val="6"/>
        </w:rPr>
        <w:t> </w:t>
      </w:r>
      <w:r>
        <w:rPr>
          <w:w w:val="111"/>
        </w:rPr>
        <w:t>Estados </w:t>
      </w:r>
      <w:r>
        <w:rPr>
          <w:w w:val="120"/>
        </w:rPr>
        <w:t>unidos-rusia</w:t>
      </w:r>
      <w:r>
        <w:rPr>
          <w:spacing w:val="-28"/>
          <w:w w:val="120"/>
        </w:rPr>
        <w:t> </w:t>
      </w:r>
      <w:r>
        <w:rPr>
          <w:w w:val="120"/>
        </w:rPr>
        <w:t>y</w:t>
      </w:r>
      <w:r>
        <w:rPr>
          <w:spacing w:val="-28"/>
          <w:w w:val="120"/>
        </w:rPr>
        <w:t> </w:t>
      </w:r>
      <w:r>
        <w:rPr>
          <w:w w:val="120"/>
        </w:rPr>
        <w:t>la</w:t>
      </w:r>
      <w:r>
        <w:rPr>
          <w:spacing w:val="-28"/>
          <w:w w:val="120"/>
        </w:rPr>
        <w:t> </w:t>
      </w:r>
      <w:r>
        <w:rPr>
          <w:w w:val="120"/>
        </w:rPr>
        <w:t>crisis</w:t>
      </w:r>
      <w:r>
        <w:rPr>
          <w:spacing w:val="-28"/>
          <w:w w:val="120"/>
        </w:rPr>
        <w:t> </w:t>
      </w:r>
      <w:r>
        <w:rPr>
          <w:w w:val="120"/>
        </w:rPr>
        <w:t>de</w:t>
      </w:r>
      <w:r>
        <w:rPr>
          <w:spacing w:val="-28"/>
          <w:w w:val="120"/>
        </w:rPr>
        <w:t> </w:t>
      </w:r>
      <w:r>
        <w:rPr>
          <w:w w:val="120"/>
        </w:rPr>
        <w:t>ucrania”,</w:t>
      </w:r>
      <w:r>
        <w:rPr>
          <w:spacing w:val="-28"/>
          <w:w w:val="120"/>
        </w:rPr>
        <w:t> </w:t>
      </w:r>
      <w:r>
        <w:rPr>
          <w:w w:val="120"/>
        </w:rPr>
        <w:t>el</w:t>
      </w:r>
      <w:r>
        <w:rPr>
          <w:spacing w:val="-28"/>
          <w:w w:val="120"/>
        </w:rPr>
        <w:t> </w:t>
      </w:r>
      <w:r>
        <w:rPr>
          <w:w w:val="120"/>
        </w:rPr>
        <w:t>capítulo</w:t>
      </w:r>
      <w:r>
        <w:rPr>
          <w:spacing w:val="-28"/>
          <w:w w:val="120"/>
        </w:rPr>
        <w:t> </w:t>
      </w:r>
      <w:r>
        <w:rPr>
          <w:w w:val="120"/>
        </w:rPr>
        <w:t>menciona</w:t>
      </w:r>
      <w:r>
        <w:rPr>
          <w:spacing w:val="-28"/>
          <w:w w:val="120"/>
        </w:rPr>
        <w:t> </w:t>
      </w:r>
      <w:r>
        <w:rPr>
          <w:w w:val="120"/>
        </w:rPr>
        <w:t>que</w:t>
      </w:r>
      <w:r>
        <w:rPr>
          <w:spacing w:val="-28"/>
          <w:w w:val="120"/>
        </w:rPr>
        <w:t> </w:t>
      </w:r>
      <w:r>
        <w:rPr>
          <w:w w:val="120"/>
        </w:rPr>
        <w:t>las</w:t>
      </w:r>
      <w:r>
        <w:rPr>
          <w:spacing w:val="-28"/>
          <w:w w:val="120"/>
        </w:rPr>
        <w:t> </w:t>
      </w:r>
      <w:r>
        <w:rPr>
          <w:w w:val="120"/>
        </w:rPr>
        <w:t>su- </w:t>
      </w:r>
      <w:r>
        <w:rPr>
          <w:w w:val="115"/>
        </w:rPr>
        <w:t>cesivas administraciones norteamericanas desde el fin de la</w:t>
      </w:r>
      <w:r>
        <w:rPr>
          <w:spacing w:val="-18"/>
          <w:w w:val="115"/>
        </w:rPr>
        <w:t> </w:t>
      </w:r>
      <w:r>
        <w:rPr>
          <w:w w:val="115"/>
        </w:rPr>
        <w:t>Guerra Fría han proyectado una estrategia hacia rusia como “país</w:t>
      </w:r>
      <w:r>
        <w:rPr>
          <w:spacing w:val="-14"/>
          <w:w w:val="115"/>
        </w:rPr>
        <w:t> </w:t>
      </w:r>
      <w:r>
        <w:rPr>
          <w:w w:val="115"/>
        </w:rPr>
        <w:t>vencido” en</w:t>
      </w:r>
      <w:r>
        <w:rPr>
          <w:spacing w:val="-15"/>
          <w:w w:val="115"/>
        </w:rPr>
        <w:t> </w:t>
      </w:r>
      <w:r>
        <w:rPr>
          <w:w w:val="115"/>
        </w:rPr>
        <w:t>la</w:t>
      </w:r>
      <w:r>
        <w:rPr>
          <w:spacing w:val="-15"/>
          <w:w w:val="115"/>
        </w:rPr>
        <w:t> </w:t>
      </w:r>
      <w:r>
        <w:rPr>
          <w:w w:val="115"/>
        </w:rPr>
        <w:t>Guerra</w:t>
      </w:r>
      <w:r>
        <w:rPr>
          <w:spacing w:val="-15"/>
          <w:w w:val="115"/>
        </w:rPr>
        <w:t> </w:t>
      </w:r>
      <w:r>
        <w:rPr>
          <w:w w:val="115"/>
        </w:rPr>
        <w:t>Fría</w:t>
      </w:r>
      <w:r>
        <w:rPr>
          <w:spacing w:val="-15"/>
          <w:w w:val="115"/>
        </w:rPr>
        <w:t> </w:t>
      </w:r>
      <w:r>
        <w:rPr>
          <w:w w:val="115"/>
        </w:rPr>
        <w:t>(Cohen,</w:t>
      </w:r>
      <w:r>
        <w:rPr>
          <w:spacing w:val="-15"/>
          <w:w w:val="115"/>
        </w:rPr>
        <w:t> </w:t>
      </w:r>
      <w:r>
        <w:rPr>
          <w:w w:val="115"/>
        </w:rPr>
        <w:t>2011).</w:t>
      </w:r>
      <w:r>
        <w:rPr>
          <w:spacing w:val="-15"/>
          <w:w w:val="115"/>
        </w:rPr>
        <w:t> </w:t>
      </w:r>
      <w:r>
        <w:rPr>
          <w:w w:val="115"/>
        </w:rPr>
        <w:t>Pérez</w:t>
      </w:r>
      <w:r>
        <w:rPr>
          <w:spacing w:val="-15"/>
          <w:w w:val="115"/>
        </w:rPr>
        <w:t> </w:t>
      </w:r>
      <w:r>
        <w:rPr>
          <w:w w:val="115"/>
        </w:rPr>
        <w:t>menciona</w:t>
      </w:r>
      <w:r>
        <w:rPr>
          <w:spacing w:val="-15"/>
          <w:w w:val="115"/>
        </w:rPr>
        <w:t> </w:t>
      </w:r>
      <w:r>
        <w:rPr>
          <w:w w:val="115"/>
        </w:rPr>
        <w:t>que</w:t>
      </w:r>
      <w:r>
        <w:rPr>
          <w:spacing w:val="-15"/>
          <w:w w:val="115"/>
        </w:rPr>
        <w:t> </w:t>
      </w:r>
      <w:r>
        <w:rPr>
          <w:w w:val="115"/>
        </w:rPr>
        <w:t>Estados</w:t>
      </w:r>
      <w:r>
        <w:rPr>
          <w:spacing w:val="-15"/>
          <w:w w:val="115"/>
        </w:rPr>
        <w:t> </w:t>
      </w:r>
      <w:r>
        <w:rPr>
          <w:w w:val="115"/>
        </w:rPr>
        <w:t>unidos desconoció</w:t>
      </w:r>
      <w:r>
        <w:rPr>
          <w:spacing w:val="-11"/>
          <w:w w:val="115"/>
        </w:rPr>
        <w:t> </w:t>
      </w:r>
      <w:r>
        <w:rPr>
          <w:w w:val="115"/>
        </w:rPr>
        <w:t>desde</w:t>
      </w:r>
      <w:r>
        <w:rPr>
          <w:spacing w:val="-11"/>
          <w:w w:val="115"/>
        </w:rPr>
        <w:t> </w:t>
      </w:r>
      <w:r>
        <w:rPr>
          <w:w w:val="115"/>
        </w:rPr>
        <w:t>el</w:t>
      </w:r>
      <w:r>
        <w:rPr>
          <w:spacing w:val="-11"/>
          <w:w w:val="115"/>
        </w:rPr>
        <w:t> </w:t>
      </w:r>
      <w:r>
        <w:rPr>
          <w:w w:val="115"/>
        </w:rPr>
        <w:t>inicio</w:t>
      </w:r>
      <w:r>
        <w:rPr>
          <w:spacing w:val="-11"/>
          <w:w w:val="115"/>
        </w:rPr>
        <w:t> </w:t>
      </w:r>
      <w:r>
        <w:rPr>
          <w:w w:val="115"/>
        </w:rPr>
        <w:t>los</w:t>
      </w:r>
      <w:r>
        <w:rPr>
          <w:spacing w:val="-11"/>
          <w:w w:val="115"/>
        </w:rPr>
        <w:t> </w:t>
      </w:r>
      <w:r>
        <w:rPr>
          <w:w w:val="115"/>
        </w:rPr>
        <w:t>intereses</w:t>
      </w:r>
      <w:r>
        <w:rPr>
          <w:spacing w:val="-11"/>
          <w:w w:val="115"/>
        </w:rPr>
        <w:t> </w:t>
      </w:r>
      <w:r>
        <w:rPr>
          <w:w w:val="115"/>
        </w:rPr>
        <w:t>de</w:t>
      </w:r>
      <w:r>
        <w:rPr>
          <w:spacing w:val="-11"/>
          <w:w w:val="115"/>
        </w:rPr>
        <w:t> </w:t>
      </w:r>
      <w:r>
        <w:rPr>
          <w:w w:val="115"/>
        </w:rPr>
        <w:t>seguridad</w:t>
      </w:r>
      <w:r>
        <w:rPr>
          <w:spacing w:val="-11"/>
          <w:w w:val="115"/>
        </w:rPr>
        <w:t> </w:t>
      </w:r>
      <w:r>
        <w:rPr>
          <w:w w:val="115"/>
        </w:rPr>
        <w:t>nacional</w:t>
      </w:r>
      <w:r>
        <w:rPr>
          <w:spacing w:val="-11"/>
          <w:w w:val="115"/>
        </w:rPr>
        <w:t> </w:t>
      </w:r>
      <w:r>
        <w:rPr>
          <w:w w:val="115"/>
        </w:rPr>
        <w:t>de</w:t>
      </w:r>
      <w:r>
        <w:rPr>
          <w:spacing w:val="-11"/>
          <w:w w:val="115"/>
        </w:rPr>
        <w:t> </w:t>
      </w:r>
      <w:r>
        <w:rPr>
          <w:w w:val="115"/>
        </w:rPr>
        <w:t>ru- sia</w:t>
      </w:r>
      <w:r>
        <w:rPr>
          <w:spacing w:val="-12"/>
          <w:w w:val="115"/>
        </w:rPr>
        <w:t> </w:t>
      </w:r>
      <w:r>
        <w:rPr>
          <w:w w:val="115"/>
        </w:rPr>
        <w:t>en</w:t>
      </w:r>
      <w:r>
        <w:rPr>
          <w:spacing w:val="-12"/>
          <w:w w:val="115"/>
        </w:rPr>
        <w:t> </w:t>
      </w:r>
      <w:r>
        <w:rPr>
          <w:w w:val="115"/>
        </w:rPr>
        <w:t>las</w:t>
      </w:r>
      <w:r>
        <w:rPr>
          <w:spacing w:val="-12"/>
          <w:w w:val="115"/>
        </w:rPr>
        <w:t> </w:t>
      </w:r>
      <w:r>
        <w:rPr>
          <w:w w:val="115"/>
        </w:rPr>
        <w:t>regiones</w:t>
      </w:r>
      <w:r>
        <w:rPr>
          <w:spacing w:val="-12"/>
          <w:w w:val="115"/>
        </w:rPr>
        <w:t> </w:t>
      </w:r>
      <w:r>
        <w:rPr>
          <w:w w:val="115"/>
        </w:rPr>
        <w:t>vecinas</w:t>
      </w:r>
      <w:r>
        <w:rPr>
          <w:spacing w:val="-12"/>
          <w:w w:val="115"/>
        </w:rPr>
        <w:t> </w:t>
      </w:r>
      <w:r>
        <w:rPr>
          <w:spacing w:val="-11"/>
          <w:w w:val="115"/>
        </w:rPr>
        <w:t>y,</w:t>
      </w:r>
      <w:r>
        <w:rPr>
          <w:spacing w:val="-12"/>
          <w:w w:val="115"/>
        </w:rPr>
        <w:t> </w:t>
      </w:r>
      <w:r>
        <w:rPr>
          <w:w w:val="115"/>
        </w:rPr>
        <w:t>en</w:t>
      </w:r>
      <w:r>
        <w:rPr>
          <w:spacing w:val="-12"/>
          <w:w w:val="115"/>
        </w:rPr>
        <w:t> </w:t>
      </w:r>
      <w:r>
        <w:rPr>
          <w:w w:val="115"/>
        </w:rPr>
        <w:t>cambio,</w:t>
      </w:r>
      <w:r>
        <w:rPr>
          <w:spacing w:val="-12"/>
          <w:w w:val="115"/>
        </w:rPr>
        <w:t> </w:t>
      </w:r>
      <w:r>
        <w:rPr>
          <w:w w:val="115"/>
        </w:rPr>
        <w:t>buscó</w:t>
      </w:r>
      <w:r>
        <w:rPr>
          <w:spacing w:val="-12"/>
          <w:w w:val="115"/>
        </w:rPr>
        <w:t> </w:t>
      </w:r>
      <w:r>
        <w:rPr>
          <w:w w:val="115"/>
        </w:rPr>
        <w:t>lograr</w:t>
      </w:r>
      <w:r>
        <w:rPr>
          <w:spacing w:val="-12"/>
          <w:w w:val="115"/>
        </w:rPr>
        <w:t> </w:t>
      </w:r>
      <w:r>
        <w:rPr>
          <w:w w:val="115"/>
        </w:rPr>
        <w:t>la</w:t>
      </w:r>
      <w:r>
        <w:rPr>
          <w:spacing w:val="-12"/>
          <w:w w:val="115"/>
        </w:rPr>
        <w:t> </w:t>
      </w:r>
      <w:r>
        <w:rPr>
          <w:w w:val="115"/>
        </w:rPr>
        <w:t>superioridad estratégica</w:t>
      </w:r>
      <w:r>
        <w:rPr>
          <w:spacing w:val="-24"/>
          <w:w w:val="115"/>
        </w:rPr>
        <w:t> </w:t>
      </w:r>
      <w:r>
        <w:rPr>
          <w:w w:val="115"/>
        </w:rPr>
        <w:t>sobre</w:t>
      </w:r>
      <w:r>
        <w:rPr>
          <w:spacing w:val="-24"/>
          <w:w w:val="115"/>
        </w:rPr>
        <w:t> </w:t>
      </w:r>
      <w:r>
        <w:rPr>
          <w:w w:val="115"/>
        </w:rPr>
        <w:t>rusia,</w:t>
      </w:r>
      <w:r>
        <w:rPr>
          <w:spacing w:val="-24"/>
          <w:w w:val="115"/>
        </w:rPr>
        <w:t> </w:t>
      </w:r>
      <w:r>
        <w:rPr>
          <w:w w:val="115"/>
        </w:rPr>
        <w:t>sobre</w:t>
      </w:r>
      <w:r>
        <w:rPr>
          <w:spacing w:val="-24"/>
          <w:w w:val="115"/>
        </w:rPr>
        <w:t> </w:t>
      </w:r>
      <w:r>
        <w:rPr>
          <w:w w:val="115"/>
        </w:rPr>
        <w:t>todo</w:t>
      </w:r>
      <w:r>
        <w:rPr>
          <w:spacing w:val="-24"/>
          <w:w w:val="115"/>
        </w:rPr>
        <w:t> </w:t>
      </w:r>
      <w:r>
        <w:rPr>
          <w:w w:val="115"/>
        </w:rPr>
        <w:t>a</w:t>
      </w:r>
      <w:r>
        <w:rPr>
          <w:spacing w:val="-24"/>
          <w:w w:val="115"/>
        </w:rPr>
        <w:t> </w:t>
      </w:r>
      <w:r>
        <w:rPr>
          <w:w w:val="115"/>
        </w:rPr>
        <w:t>partir</w:t>
      </w:r>
      <w:r>
        <w:rPr>
          <w:spacing w:val="-24"/>
          <w:w w:val="115"/>
        </w:rPr>
        <w:t> </w:t>
      </w:r>
      <w:r>
        <w:rPr>
          <w:w w:val="115"/>
        </w:rPr>
        <w:t>de</w:t>
      </w:r>
      <w:r>
        <w:rPr>
          <w:spacing w:val="-24"/>
          <w:w w:val="115"/>
        </w:rPr>
        <w:t> </w:t>
      </w:r>
      <w:r>
        <w:rPr>
          <w:w w:val="115"/>
        </w:rPr>
        <w:t>2002</w:t>
      </w:r>
      <w:r>
        <w:rPr>
          <w:spacing w:val="-24"/>
          <w:w w:val="115"/>
        </w:rPr>
        <w:t> </w:t>
      </w:r>
      <w:r>
        <w:rPr>
          <w:w w:val="115"/>
        </w:rPr>
        <w:t>con</w:t>
      </w:r>
      <w:r>
        <w:rPr>
          <w:spacing w:val="-24"/>
          <w:w w:val="115"/>
        </w:rPr>
        <w:t> </w:t>
      </w:r>
      <w:r>
        <w:rPr>
          <w:w w:val="115"/>
        </w:rPr>
        <w:t>el</w:t>
      </w:r>
      <w:r>
        <w:rPr>
          <w:spacing w:val="-24"/>
          <w:w w:val="115"/>
        </w:rPr>
        <w:t> </w:t>
      </w:r>
      <w:r>
        <w:rPr>
          <w:w w:val="115"/>
        </w:rPr>
        <w:t>proyecto</w:t>
      </w:r>
      <w:r>
        <w:rPr>
          <w:spacing w:val="-24"/>
          <w:w w:val="115"/>
        </w:rPr>
        <w:t> </w:t>
      </w:r>
      <w:r>
        <w:rPr>
          <w:w w:val="115"/>
        </w:rPr>
        <w:t>de un escudo antimisiles; comprometer a rusia favoreciendo su mem- bresía</w:t>
      </w:r>
      <w:r>
        <w:rPr>
          <w:spacing w:val="-30"/>
          <w:w w:val="115"/>
        </w:rPr>
        <w:t> </w:t>
      </w:r>
      <w:r>
        <w:rPr>
          <w:w w:val="115"/>
        </w:rPr>
        <w:t>en</w:t>
      </w:r>
      <w:r>
        <w:rPr>
          <w:spacing w:val="-30"/>
          <w:w w:val="115"/>
        </w:rPr>
        <w:t> </w:t>
      </w:r>
      <w:r>
        <w:rPr>
          <w:w w:val="115"/>
        </w:rPr>
        <w:t>el</w:t>
      </w:r>
      <w:r>
        <w:rPr>
          <w:spacing w:val="-30"/>
          <w:w w:val="115"/>
        </w:rPr>
        <w:t> </w:t>
      </w:r>
      <w:r>
        <w:rPr>
          <w:w w:val="115"/>
        </w:rPr>
        <w:t>sistema</w:t>
      </w:r>
      <w:r>
        <w:rPr>
          <w:spacing w:val="-30"/>
          <w:w w:val="115"/>
        </w:rPr>
        <w:t> </w:t>
      </w:r>
      <w:r>
        <w:rPr>
          <w:w w:val="115"/>
        </w:rPr>
        <w:t>de</w:t>
      </w:r>
      <w:r>
        <w:rPr>
          <w:spacing w:val="-30"/>
          <w:w w:val="115"/>
        </w:rPr>
        <w:t> </w:t>
      </w:r>
      <w:r>
        <w:rPr>
          <w:w w:val="115"/>
        </w:rPr>
        <w:t>organismos</w:t>
      </w:r>
      <w:r>
        <w:rPr>
          <w:spacing w:val="-30"/>
          <w:w w:val="115"/>
        </w:rPr>
        <w:t> </w:t>
      </w:r>
      <w:r>
        <w:rPr>
          <w:w w:val="115"/>
        </w:rPr>
        <w:t>internacionales</w:t>
      </w:r>
      <w:r>
        <w:rPr>
          <w:spacing w:val="-30"/>
          <w:w w:val="115"/>
        </w:rPr>
        <w:t> </w:t>
      </w:r>
      <w:r>
        <w:rPr>
          <w:w w:val="115"/>
        </w:rPr>
        <w:t>creados</w:t>
      </w:r>
      <w:r>
        <w:rPr>
          <w:spacing w:val="-30"/>
          <w:w w:val="115"/>
        </w:rPr>
        <w:t> </w:t>
      </w:r>
      <w:r>
        <w:rPr>
          <w:w w:val="115"/>
        </w:rPr>
        <w:t>bajo</w:t>
      </w:r>
      <w:r>
        <w:rPr>
          <w:spacing w:val="-30"/>
          <w:w w:val="115"/>
        </w:rPr>
        <w:t> </w:t>
      </w:r>
      <w:r>
        <w:rPr>
          <w:w w:val="115"/>
        </w:rPr>
        <w:t>la</w:t>
      </w:r>
      <w:r>
        <w:rPr>
          <w:spacing w:val="-30"/>
          <w:w w:val="115"/>
        </w:rPr>
        <w:t> </w:t>
      </w:r>
      <w:r>
        <w:rPr>
          <w:w w:val="115"/>
        </w:rPr>
        <w:t>he- </w:t>
      </w:r>
      <w:r>
        <w:rPr>
          <w:w w:val="120"/>
        </w:rPr>
        <w:t>gemonía</w:t>
      </w:r>
      <w:r>
        <w:rPr>
          <w:spacing w:val="-7"/>
          <w:w w:val="120"/>
        </w:rPr>
        <w:t> </w:t>
      </w:r>
      <w:r>
        <w:rPr>
          <w:w w:val="120"/>
        </w:rPr>
        <w:t>de</w:t>
      </w:r>
      <w:r>
        <w:rPr>
          <w:spacing w:val="-7"/>
          <w:w w:val="120"/>
        </w:rPr>
        <w:t> </w:t>
      </w:r>
      <w:r>
        <w:rPr>
          <w:w w:val="120"/>
        </w:rPr>
        <w:t>Estados</w:t>
      </w:r>
      <w:r>
        <w:rPr>
          <w:spacing w:val="-7"/>
          <w:w w:val="120"/>
        </w:rPr>
        <w:t> </w:t>
      </w:r>
      <w:r>
        <w:rPr>
          <w:w w:val="120"/>
        </w:rPr>
        <w:t>unidos</w:t>
      </w:r>
      <w:r>
        <w:rPr>
          <w:spacing w:val="-7"/>
          <w:w w:val="120"/>
        </w:rPr>
        <w:t> </w:t>
      </w:r>
      <w:r>
        <w:rPr>
          <w:w w:val="120"/>
        </w:rPr>
        <w:t>(Consejo</w:t>
      </w:r>
      <w:r>
        <w:rPr>
          <w:spacing w:val="-7"/>
          <w:w w:val="120"/>
        </w:rPr>
        <w:t> </w:t>
      </w:r>
      <w:r>
        <w:rPr>
          <w:w w:val="120"/>
        </w:rPr>
        <w:t>rusia-otaN,</w:t>
      </w:r>
      <w:r>
        <w:rPr>
          <w:spacing w:val="-7"/>
          <w:w w:val="120"/>
        </w:rPr>
        <w:t> </w:t>
      </w:r>
      <w:r>
        <w:rPr>
          <w:w w:val="120"/>
        </w:rPr>
        <w:t>organización</w:t>
      </w:r>
      <w:r>
        <w:rPr>
          <w:spacing w:val="-7"/>
          <w:w w:val="120"/>
        </w:rPr>
        <w:t> </w:t>
      </w:r>
      <w:r>
        <w:rPr>
          <w:w w:val="120"/>
        </w:rPr>
        <w:t>de </w:t>
      </w:r>
      <w:r>
        <w:rPr>
          <w:w w:val="115"/>
        </w:rPr>
        <w:t>seguridad</w:t>
      </w:r>
      <w:r>
        <w:rPr>
          <w:spacing w:val="-17"/>
          <w:w w:val="115"/>
        </w:rPr>
        <w:t> </w:t>
      </w:r>
      <w:r>
        <w:rPr>
          <w:w w:val="115"/>
        </w:rPr>
        <w:t>y</w:t>
      </w:r>
      <w:r>
        <w:rPr>
          <w:spacing w:val="-17"/>
          <w:w w:val="115"/>
        </w:rPr>
        <w:t> </w:t>
      </w:r>
      <w:r>
        <w:rPr>
          <w:w w:val="115"/>
        </w:rPr>
        <w:t>Cooperación</w:t>
      </w:r>
      <w:r>
        <w:rPr>
          <w:spacing w:val="-17"/>
          <w:w w:val="115"/>
        </w:rPr>
        <w:t> </w:t>
      </w:r>
      <w:r>
        <w:rPr>
          <w:w w:val="115"/>
        </w:rPr>
        <w:t>en</w:t>
      </w:r>
      <w:r>
        <w:rPr>
          <w:spacing w:val="-17"/>
          <w:w w:val="115"/>
        </w:rPr>
        <w:t> </w:t>
      </w:r>
      <w:r>
        <w:rPr>
          <w:w w:val="115"/>
        </w:rPr>
        <w:t>Europa,</w:t>
      </w:r>
      <w:r>
        <w:rPr>
          <w:spacing w:val="-17"/>
          <w:w w:val="115"/>
        </w:rPr>
        <w:t> </w:t>
      </w:r>
      <w:r>
        <w:rPr>
          <w:w w:val="115"/>
        </w:rPr>
        <w:t>Fondo</w:t>
      </w:r>
      <w:r>
        <w:rPr>
          <w:spacing w:val="-17"/>
          <w:w w:val="115"/>
        </w:rPr>
        <w:t> </w:t>
      </w:r>
      <w:r>
        <w:rPr>
          <w:w w:val="115"/>
        </w:rPr>
        <w:t>Monetario</w:t>
      </w:r>
      <w:r>
        <w:rPr>
          <w:spacing w:val="-17"/>
          <w:w w:val="115"/>
        </w:rPr>
        <w:t> </w:t>
      </w:r>
      <w:r>
        <w:rPr>
          <w:w w:val="115"/>
        </w:rPr>
        <w:t>internacional, Grupo</w:t>
      </w:r>
      <w:r>
        <w:rPr>
          <w:spacing w:val="-15"/>
          <w:w w:val="115"/>
        </w:rPr>
        <w:t> </w:t>
      </w:r>
      <w:r>
        <w:rPr>
          <w:w w:val="115"/>
        </w:rPr>
        <w:t>de</w:t>
      </w:r>
      <w:r>
        <w:rPr>
          <w:spacing w:val="-15"/>
          <w:w w:val="115"/>
        </w:rPr>
        <w:t> </w:t>
      </w:r>
      <w:r>
        <w:rPr>
          <w:w w:val="115"/>
        </w:rPr>
        <w:t>los</w:t>
      </w:r>
      <w:r>
        <w:rPr>
          <w:spacing w:val="-15"/>
          <w:w w:val="115"/>
        </w:rPr>
        <w:t> </w:t>
      </w:r>
      <w:r>
        <w:rPr>
          <w:w w:val="115"/>
        </w:rPr>
        <w:t>ocho);</w:t>
      </w:r>
      <w:r>
        <w:rPr>
          <w:spacing w:val="-15"/>
          <w:w w:val="115"/>
        </w:rPr>
        <w:t> </w:t>
      </w:r>
      <w:r>
        <w:rPr>
          <w:w w:val="115"/>
        </w:rPr>
        <w:t>y</w:t>
      </w:r>
      <w:r>
        <w:rPr>
          <w:spacing w:val="-15"/>
          <w:w w:val="115"/>
        </w:rPr>
        <w:t> </w:t>
      </w:r>
      <w:r>
        <w:rPr>
          <w:w w:val="115"/>
        </w:rPr>
        <w:t>emplear</w:t>
      </w:r>
      <w:r>
        <w:rPr>
          <w:spacing w:val="-15"/>
          <w:w w:val="115"/>
        </w:rPr>
        <w:t> </w:t>
      </w:r>
      <w:r>
        <w:rPr>
          <w:w w:val="115"/>
        </w:rPr>
        <w:t>los</w:t>
      </w:r>
      <w:r>
        <w:rPr>
          <w:spacing w:val="-15"/>
          <w:w w:val="115"/>
        </w:rPr>
        <w:t> </w:t>
      </w:r>
      <w:r>
        <w:rPr>
          <w:w w:val="115"/>
        </w:rPr>
        <w:t>concursos</w:t>
      </w:r>
      <w:r>
        <w:rPr>
          <w:spacing w:val="-15"/>
          <w:w w:val="115"/>
        </w:rPr>
        <w:t> </w:t>
      </w:r>
      <w:r>
        <w:rPr>
          <w:w w:val="115"/>
        </w:rPr>
        <w:t>de</w:t>
      </w:r>
      <w:r>
        <w:rPr>
          <w:spacing w:val="-15"/>
          <w:w w:val="115"/>
        </w:rPr>
        <w:t> </w:t>
      </w:r>
      <w:r>
        <w:rPr>
          <w:w w:val="115"/>
        </w:rPr>
        <w:t>la</w:t>
      </w:r>
      <w:r>
        <w:rPr>
          <w:spacing w:val="-15"/>
          <w:w w:val="115"/>
        </w:rPr>
        <w:t> </w:t>
      </w:r>
      <w:r>
        <w:rPr>
          <w:w w:val="115"/>
        </w:rPr>
        <w:t>diplomacia</w:t>
      </w:r>
      <w:r>
        <w:rPr>
          <w:spacing w:val="-15"/>
          <w:w w:val="115"/>
        </w:rPr>
        <w:t> </w:t>
      </w:r>
      <w:r>
        <w:rPr>
          <w:w w:val="115"/>
        </w:rPr>
        <w:t>rusa</w:t>
      </w:r>
      <w:r>
        <w:rPr>
          <w:spacing w:val="-15"/>
          <w:w w:val="115"/>
        </w:rPr>
        <w:t> </w:t>
      </w:r>
      <w:r>
        <w:rPr>
          <w:w w:val="115"/>
        </w:rPr>
        <w:t>en función</w:t>
      </w:r>
      <w:r>
        <w:rPr>
          <w:spacing w:val="-12"/>
          <w:w w:val="115"/>
        </w:rPr>
        <w:t> </w:t>
      </w:r>
      <w:r>
        <w:rPr>
          <w:w w:val="115"/>
        </w:rPr>
        <w:t>de</w:t>
      </w:r>
      <w:r>
        <w:rPr>
          <w:spacing w:val="-12"/>
          <w:w w:val="115"/>
        </w:rPr>
        <w:t> </w:t>
      </w:r>
      <w:r>
        <w:rPr>
          <w:w w:val="115"/>
        </w:rPr>
        <w:t>sus</w:t>
      </w:r>
      <w:r>
        <w:rPr>
          <w:spacing w:val="-12"/>
          <w:w w:val="115"/>
        </w:rPr>
        <w:t> </w:t>
      </w:r>
      <w:r>
        <w:rPr>
          <w:w w:val="115"/>
        </w:rPr>
        <w:t>intereses,</w:t>
      </w:r>
      <w:r>
        <w:rPr>
          <w:spacing w:val="-12"/>
          <w:w w:val="115"/>
        </w:rPr>
        <w:t> </w:t>
      </w:r>
      <w:r>
        <w:rPr>
          <w:w w:val="115"/>
        </w:rPr>
        <w:t>sobre</w:t>
      </w:r>
      <w:r>
        <w:rPr>
          <w:spacing w:val="-12"/>
          <w:w w:val="115"/>
        </w:rPr>
        <w:t> </w:t>
      </w:r>
      <w:r>
        <w:rPr>
          <w:w w:val="115"/>
        </w:rPr>
        <w:t>todo</w:t>
      </w:r>
      <w:r>
        <w:rPr>
          <w:spacing w:val="-12"/>
          <w:w w:val="115"/>
        </w:rPr>
        <w:t> </w:t>
      </w:r>
      <w:r>
        <w:rPr>
          <w:w w:val="115"/>
        </w:rPr>
        <w:t>en</w:t>
      </w:r>
      <w:r>
        <w:rPr>
          <w:spacing w:val="-12"/>
          <w:w w:val="115"/>
        </w:rPr>
        <w:t> </w:t>
      </w:r>
      <w:r>
        <w:rPr>
          <w:w w:val="115"/>
        </w:rPr>
        <w:t>la</w:t>
      </w:r>
      <w:r>
        <w:rPr>
          <w:spacing w:val="-12"/>
          <w:w w:val="115"/>
        </w:rPr>
        <w:t> </w:t>
      </w:r>
      <w:r>
        <w:rPr>
          <w:w w:val="115"/>
        </w:rPr>
        <w:t>lucha</w:t>
      </w:r>
      <w:r>
        <w:rPr>
          <w:spacing w:val="-12"/>
          <w:w w:val="115"/>
        </w:rPr>
        <w:t> </w:t>
      </w:r>
      <w:r>
        <w:rPr>
          <w:w w:val="115"/>
        </w:rPr>
        <w:t>contra</w:t>
      </w:r>
      <w:r>
        <w:rPr>
          <w:spacing w:val="-12"/>
          <w:w w:val="115"/>
        </w:rPr>
        <w:t> </w:t>
      </w:r>
      <w:r>
        <w:rPr>
          <w:w w:val="115"/>
        </w:rPr>
        <w:t>el</w:t>
      </w:r>
      <w:r>
        <w:rPr>
          <w:spacing w:val="-12"/>
          <w:w w:val="115"/>
        </w:rPr>
        <w:t> </w:t>
      </w:r>
      <w:r>
        <w:rPr>
          <w:w w:val="115"/>
        </w:rPr>
        <w:t>terrorismo, </w:t>
      </w:r>
      <w:r>
        <w:rPr>
          <w:w w:val="120"/>
        </w:rPr>
        <w:t>la</w:t>
      </w:r>
      <w:r>
        <w:rPr>
          <w:spacing w:val="-10"/>
          <w:w w:val="120"/>
        </w:rPr>
        <w:t> </w:t>
      </w:r>
      <w:r>
        <w:rPr>
          <w:w w:val="120"/>
        </w:rPr>
        <w:t>no</w:t>
      </w:r>
      <w:r>
        <w:rPr>
          <w:spacing w:val="-10"/>
          <w:w w:val="120"/>
        </w:rPr>
        <w:t> </w:t>
      </w:r>
      <w:r>
        <w:rPr>
          <w:w w:val="120"/>
        </w:rPr>
        <w:t>proliferación</w:t>
      </w:r>
      <w:r>
        <w:rPr>
          <w:spacing w:val="-10"/>
          <w:w w:val="120"/>
        </w:rPr>
        <w:t> </w:t>
      </w:r>
      <w:r>
        <w:rPr>
          <w:w w:val="120"/>
        </w:rPr>
        <w:t>y</w:t>
      </w:r>
      <w:r>
        <w:rPr>
          <w:spacing w:val="-10"/>
          <w:w w:val="120"/>
        </w:rPr>
        <w:t> </w:t>
      </w:r>
      <w:r>
        <w:rPr>
          <w:w w:val="120"/>
        </w:rPr>
        <w:t>los</w:t>
      </w:r>
      <w:r>
        <w:rPr>
          <w:spacing w:val="-10"/>
          <w:w w:val="120"/>
        </w:rPr>
        <w:t> </w:t>
      </w:r>
      <w:r>
        <w:rPr>
          <w:w w:val="120"/>
        </w:rPr>
        <w:t>temas</w:t>
      </w:r>
      <w:r>
        <w:rPr>
          <w:spacing w:val="-10"/>
          <w:w w:val="120"/>
        </w:rPr>
        <w:t> </w:t>
      </w:r>
      <w:r>
        <w:rPr>
          <w:w w:val="120"/>
        </w:rPr>
        <w:t>de</w:t>
      </w:r>
      <w:r>
        <w:rPr>
          <w:spacing w:val="-10"/>
          <w:w w:val="120"/>
        </w:rPr>
        <w:t> </w:t>
      </w:r>
      <w:r>
        <w:rPr>
          <w:w w:val="120"/>
        </w:rPr>
        <w:t>afganistán</w:t>
      </w:r>
      <w:r>
        <w:rPr>
          <w:spacing w:val="-10"/>
          <w:w w:val="120"/>
        </w:rPr>
        <w:t> </w:t>
      </w:r>
      <w:r>
        <w:rPr>
          <w:w w:val="120"/>
        </w:rPr>
        <w:t>e</w:t>
      </w:r>
      <w:r>
        <w:rPr>
          <w:spacing w:val="-10"/>
          <w:w w:val="120"/>
        </w:rPr>
        <w:t> </w:t>
      </w:r>
      <w:r>
        <w:rPr>
          <w:w w:val="120"/>
        </w:rPr>
        <w:t>irán.</w:t>
      </w:r>
      <w:r>
        <w:rPr>
          <w:spacing w:val="-10"/>
          <w:w w:val="120"/>
        </w:rPr>
        <w:t> </w:t>
      </w:r>
      <w:r>
        <w:rPr>
          <w:w w:val="120"/>
        </w:rPr>
        <w:t>Finalmente,</w:t>
      </w:r>
      <w:r>
        <w:rPr>
          <w:spacing w:val="-10"/>
          <w:w w:val="120"/>
        </w:rPr>
        <w:t> </w:t>
      </w:r>
      <w:r>
        <w:rPr>
          <w:w w:val="120"/>
        </w:rPr>
        <w:t>el autor</w:t>
      </w:r>
      <w:r>
        <w:rPr>
          <w:spacing w:val="-15"/>
          <w:w w:val="120"/>
        </w:rPr>
        <w:t> </w:t>
      </w:r>
      <w:r>
        <w:rPr>
          <w:w w:val="120"/>
        </w:rPr>
        <w:t>hace</w:t>
      </w:r>
      <w:r>
        <w:rPr>
          <w:spacing w:val="-15"/>
          <w:w w:val="120"/>
        </w:rPr>
        <w:t> </w:t>
      </w:r>
      <w:r>
        <w:rPr>
          <w:w w:val="120"/>
        </w:rPr>
        <w:t>una</w:t>
      </w:r>
      <w:r>
        <w:rPr>
          <w:spacing w:val="-15"/>
          <w:w w:val="120"/>
        </w:rPr>
        <w:t> </w:t>
      </w:r>
      <w:r>
        <w:rPr>
          <w:w w:val="120"/>
        </w:rPr>
        <w:t>reflexión</w:t>
      </w:r>
      <w:r>
        <w:rPr>
          <w:spacing w:val="-15"/>
          <w:w w:val="120"/>
        </w:rPr>
        <w:t> </w:t>
      </w:r>
      <w:r>
        <w:rPr>
          <w:w w:val="120"/>
        </w:rPr>
        <w:t>sobre</w:t>
      </w:r>
      <w:r>
        <w:rPr>
          <w:spacing w:val="-15"/>
          <w:w w:val="120"/>
        </w:rPr>
        <w:t> </w:t>
      </w:r>
      <w:r>
        <w:rPr>
          <w:w w:val="120"/>
        </w:rPr>
        <w:t>el</w:t>
      </w:r>
      <w:r>
        <w:rPr>
          <w:spacing w:val="-15"/>
          <w:w w:val="120"/>
        </w:rPr>
        <w:t> </w:t>
      </w:r>
      <w:r>
        <w:rPr>
          <w:w w:val="120"/>
        </w:rPr>
        <w:t>papel</w:t>
      </w:r>
      <w:r>
        <w:rPr>
          <w:spacing w:val="-15"/>
          <w:w w:val="120"/>
        </w:rPr>
        <w:t> </w:t>
      </w:r>
      <w:r>
        <w:rPr>
          <w:w w:val="120"/>
        </w:rPr>
        <w:t>que</w:t>
      </w:r>
      <w:r>
        <w:rPr>
          <w:spacing w:val="-15"/>
          <w:w w:val="120"/>
        </w:rPr>
        <w:t> </w:t>
      </w:r>
      <w:r>
        <w:rPr>
          <w:w w:val="120"/>
        </w:rPr>
        <w:t>juega</w:t>
      </w:r>
      <w:r>
        <w:rPr>
          <w:spacing w:val="-15"/>
          <w:w w:val="120"/>
        </w:rPr>
        <w:t> </w:t>
      </w:r>
      <w:r>
        <w:rPr>
          <w:w w:val="120"/>
        </w:rPr>
        <w:t>la</w:t>
      </w:r>
      <w:r>
        <w:rPr>
          <w:spacing w:val="-15"/>
          <w:w w:val="120"/>
        </w:rPr>
        <w:t> </w:t>
      </w:r>
      <w:r>
        <w:rPr>
          <w:w w:val="120"/>
        </w:rPr>
        <w:t>relación</w:t>
      </w:r>
      <w:r>
        <w:rPr>
          <w:spacing w:val="-15"/>
          <w:w w:val="120"/>
        </w:rPr>
        <w:t> </w:t>
      </w:r>
      <w:r>
        <w:rPr>
          <w:w w:val="120"/>
        </w:rPr>
        <w:t>entre Estados</w:t>
      </w:r>
      <w:r>
        <w:rPr>
          <w:spacing w:val="-22"/>
          <w:w w:val="120"/>
        </w:rPr>
        <w:t> </w:t>
      </w:r>
      <w:r>
        <w:rPr>
          <w:w w:val="120"/>
        </w:rPr>
        <w:t>unidos</w:t>
      </w:r>
      <w:r>
        <w:rPr>
          <w:spacing w:val="-22"/>
          <w:w w:val="120"/>
        </w:rPr>
        <w:t> </w:t>
      </w:r>
      <w:r>
        <w:rPr>
          <w:w w:val="120"/>
        </w:rPr>
        <w:t>y</w:t>
      </w:r>
      <w:r>
        <w:rPr>
          <w:spacing w:val="-22"/>
          <w:w w:val="120"/>
        </w:rPr>
        <w:t> </w:t>
      </w:r>
      <w:r>
        <w:rPr>
          <w:w w:val="120"/>
        </w:rPr>
        <w:t>rusia</w:t>
      </w:r>
      <w:r>
        <w:rPr>
          <w:spacing w:val="-22"/>
          <w:w w:val="120"/>
        </w:rPr>
        <w:t> </w:t>
      </w:r>
      <w:r>
        <w:rPr>
          <w:w w:val="120"/>
        </w:rPr>
        <w:t>frente</w:t>
      </w:r>
      <w:r>
        <w:rPr>
          <w:spacing w:val="-22"/>
          <w:w w:val="120"/>
        </w:rPr>
        <w:t> </w:t>
      </w:r>
      <w:r>
        <w:rPr>
          <w:w w:val="120"/>
        </w:rPr>
        <w:t>al</w:t>
      </w:r>
      <w:r>
        <w:rPr>
          <w:spacing w:val="-22"/>
          <w:w w:val="120"/>
        </w:rPr>
        <w:t> </w:t>
      </w:r>
      <w:r>
        <w:rPr>
          <w:w w:val="120"/>
        </w:rPr>
        <w:t>escenario</w:t>
      </w:r>
      <w:r>
        <w:rPr>
          <w:spacing w:val="-22"/>
          <w:w w:val="120"/>
        </w:rPr>
        <w:t> </w:t>
      </w:r>
      <w:r>
        <w:rPr>
          <w:w w:val="120"/>
        </w:rPr>
        <w:t>de</w:t>
      </w:r>
      <w:r>
        <w:rPr>
          <w:spacing w:val="-22"/>
          <w:w w:val="120"/>
        </w:rPr>
        <w:t> </w:t>
      </w:r>
      <w:r>
        <w:rPr>
          <w:w w:val="120"/>
        </w:rPr>
        <w:t>crisis</w:t>
      </w:r>
      <w:r>
        <w:rPr>
          <w:spacing w:val="-22"/>
          <w:w w:val="120"/>
        </w:rPr>
        <w:t> </w:t>
      </w:r>
      <w:r>
        <w:rPr>
          <w:w w:val="120"/>
        </w:rPr>
        <w:t>que</w:t>
      </w:r>
      <w:r>
        <w:rPr>
          <w:spacing w:val="-22"/>
          <w:w w:val="120"/>
        </w:rPr>
        <w:t> </w:t>
      </w:r>
      <w:r>
        <w:rPr>
          <w:w w:val="120"/>
        </w:rPr>
        <w:t>vive</w:t>
      </w:r>
      <w:r>
        <w:rPr>
          <w:spacing w:val="-22"/>
          <w:w w:val="120"/>
        </w:rPr>
        <w:t> </w:t>
      </w:r>
      <w:r>
        <w:rPr>
          <w:w w:val="120"/>
        </w:rPr>
        <w:t>actual- </w:t>
      </w:r>
      <w:r>
        <w:rPr>
          <w:w w:val="115"/>
        </w:rPr>
        <w:t>mente</w:t>
      </w:r>
      <w:r>
        <w:rPr>
          <w:spacing w:val="-5"/>
          <w:w w:val="115"/>
        </w:rPr>
        <w:t> </w:t>
      </w:r>
      <w:r>
        <w:rPr>
          <w:w w:val="115"/>
        </w:rPr>
        <w:t>ucrania.</w:t>
      </w:r>
    </w:p>
    <w:p>
      <w:pPr>
        <w:pStyle w:val="BodyText"/>
        <w:spacing w:line="252" w:lineRule="auto"/>
        <w:ind w:left="100" w:right="328" w:firstLine="396"/>
        <w:jc w:val="both"/>
      </w:pPr>
      <w:r>
        <w:rPr>
          <w:w w:val="115"/>
        </w:rPr>
        <w:t>Claudio Katz, Profesor </w:t>
      </w:r>
      <w:r>
        <w:rPr>
          <w:spacing w:val="-3"/>
          <w:w w:val="115"/>
        </w:rPr>
        <w:t>titular </w:t>
      </w:r>
      <w:r>
        <w:rPr>
          <w:w w:val="115"/>
        </w:rPr>
        <w:t>en la universidad de buenos aires e investigador del Consejo Nacional de Ciencia y tecnología (CoNi- </w:t>
      </w:r>
      <w:r>
        <w:rPr>
          <w:w w:val="126"/>
        </w:rPr>
        <w:t>CE</w:t>
      </w:r>
      <w:r>
        <w:rPr>
          <w:w w:val="195"/>
        </w:rPr>
        <w:t>t</w:t>
      </w:r>
      <w:r>
        <w:rPr>
          <w:w w:val="112"/>
        </w:rPr>
        <w:t>),</w:t>
      </w:r>
      <w:r>
        <w:rPr>
          <w:spacing w:val="19"/>
        </w:rPr>
        <w:t> </w:t>
      </w:r>
      <w:r>
        <w:rPr>
          <w:w w:val="107"/>
        </w:rPr>
        <w:t>presenta</w:t>
      </w:r>
      <w:r>
        <w:rPr>
          <w:spacing w:val="19"/>
        </w:rPr>
        <w:t> </w:t>
      </w:r>
      <w:r>
        <w:rPr>
          <w:w w:val="115"/>
        </w:rPr>
        <w:t>“</w:t>
      </w:r>
      <w:r>
        <w:rPr>
          <w:w w:val="243"/>
        </w:rPr>
        <w:t>l</w:t>
      </w:r>
      <w:r>
        <w:rPr>
          <w:w w:val="112"/>
        </w:rPr>
        <w:t>a</w:t>
      </w:r>
      <w:r>
        <w:rPr>
          <w:spacing w:val="19"/>
        </w:rPr>
        <w:t> </w:t>
      </w:r>
      <w:r>
        <w:rPr>
          <w:w w:val="108"/>
        </w:rPr>
        <w:t>nueva</w:t>
      </w:r>
      <w:r>
        <w:rPr>
          <w:spacing w:val="19"/>
        </w:rPr>
        <w:t> </w:t>
      </w:r>
      <w:r>
        <w:rPr>
          <w:w w:val="108"/>
        </w:rPr>
        <w:t>estrategia</w:t>
      </w:r>
      <w:r>
        <w:rPr>
          <w:spacing w:val="19"/>
        </w:rPr>
        <w:t> </w:t>
      </w:r>
      <w:r>
        <w:rPr>
          <w:w w:val="110"/>
        </w:rPr>
        <w:t>imperial</w:t>
      </w:r>
      <w:r>
        <w:rPr>
          <w:spacing w:val="19"/>
        </w:rPr>
        <w:t> </w:t>
      </w:r>
      <w:r>
        <w:rPr>
          <w:w w:val="107"/>
        </w:rPr>
        <w:t>de</w:t>
      </w:r>
      <w:r>
        <w:rPr>
          <w:spacing w:val="19"/>
        </w:rPr>
        <w:t> </w:t>
      </w:r>
      <w:r>
        <w:rPr>
          <w:w w:val="111"/>
        </w:rPr>
        <w:t>Estados</w:t>
      </w:r>
      <w:r>
        <w:rPr>
          <w:spacing w:val="19"/>
        </w:rPr>
        <w:t> </w:t>
      </w:r>
      <w:r>
        <w:rPr>
          <w:w w:val="140"/>
        </w:rPr>
        <w:t>u</w:t>
      </w:r>
      <w:r>
        <w:rPr>
          <w:w w:val="112"/>
        </w:rPr>
        <w:t>nidos”,</w:t>
      </w:r>
      <w:r>
        <w:rPr>
          <w:spacing w:val="19"/>
        </w:rPr>
        <w:t> </w:t>
      </w:r>
      <w:r>
        <w:rPr>
          <w:w w:val="108"/>
        </w:rPr>
        <w:t>en </w:t>
      </w:r>
      <w:r>
        <w:rPr>
          <w:w w:val="115"/>
        </w:rPr>
        <w:t>el cual expone que los bancos estadounidenses fueron salvados</w:t>
      </w:r>
      <w:r>
        <w:rPr>
          <w:spacing w:val="-25"/>
          <w:w w:val="115"/>
        </w:rPr>
        <w:t> </w:t>
      </w:r>
      <w:r>
        <w:rPr>
          <w:w w:val="115"/>
        </w:rPr>
        <w:t>con mayor bache fiscal y una enorme inyección monetaria que incenti- va</w:t>
      </w:r>
      <w:r>
        <w:rPr>
          <w:spacing w:val="-13"/>
          <w:w w:val="115"/>
        </w:rPr>
        <w:t> </w:t>
      </w:r>
      <w:r>
        <w:rPr>
          <w:w w:val="115"/>
        </w:rPr>
        <w:t>más</w:t>
      </w:r>
      <w:r>
        <w:rPr>
          <w:spacing w:val="-13"/>
          <w:w w:val="115"/>
        </w:rPr>
        <w:t> </w:t>
      </w:r>
      <w:r>
        <w:rPr>
          <w:w w:val="115"/>
        </w:rPr>
        <w:t>burbujas</w:t>
      </w:r>
      <w:r>
        <w:rPr>
          <w:spacing w:val="-13"/>
          <w:w w:val="115"/>
        </w:rPr>
        <w:t> </w:t>
      </w:r>
      <w:r>
        <w:rPr>
          <w:w w:val="115"/>
        </w:rPr>
        <w:t>que</w:t>
      </w:r>
      <w:r>
        <w:rPr>
          <w:spacing w:val="-13"/>
          <w:w w:val="115"/>
        </w:rPr>
        <w:t> </w:t>
      </w:r>
      <w:r>
        <w:rPr>
          <w:w w:val="115"/>
        </w:rPr>
        <w:t>reactivaciones</w:t>
      </w:r>
      <w:r>
        <w:rPr>
          <w:spacing w:val="-13"/>
          <w:w w:val="115"/>
        </w:rPr>
        <w:t> </w:t>
      </w:r>
      <w:r>
        <w:rPr>
          <w:w w:val="115"/>
        </w:rPr>
        <w:t>productivas.</w:t>
      </w:r>
      <w:r>
        <w:rPr>
          <w:spacing w:val="-13"/>
          <w:w w:val="115"/>
        </w:rPr>
        <w:t> </w:t>
      </w:r>
      <w:r>
        <w:rPr>
          <w:w w:val="115"/>
        </w:rPr>
        <w:t>Katz</w:t>
      </w:r>
      <w:r>
        <w:rPr>
          <w:spacing w:val="-13"/>
          <w:w w:val="115"/>
        </w:rPr>
        <w:t> </w:t>
      </w:r>
      <w:r>
        <w:rPr>
          <w:w w:val="115"/>
        </w:rPr>
        <w:t>menciona</w:t>
      </w:r>
      <w:r>
        <w:rPr>
          <w:spacing w:val="-13"/>
          <w:w w:val="115"/>
        </w:rPr>
        <w:t> </w:t>
      </w:r>
      <w:r>
        <w:rPr>
          <w:w w:val="115"/>
        </w:rPr>
        <w:t>que Estados unidos es el principal exportador y agente del ciclo finan- ciero global porque mantiene la supremacía del </w:t>
      </w:r>
      <w:r>
        <w:rPr>
          <w:spacing w:val="-4"/>
          <w:w w:val="115"/>
        </w:rPr>
        <w:t>dólar, </w:t>
      </w:r>
      <w:r>
        <w:rPr>
          <w:w w:val="115"/>
        </w:rPr>
        <w:t>el manejo de los</w:t>
      </w:r>
      <w:r>
        <w:rPr>
          <w:spacing w:val="-7"/>
          <w:w w:val="115"/>
        </w:rPr>
        <w:t> </w:t>
      </w:r>
      <w:r>
        <w:rPr>
          <w:w w:val="115"/>
        </w:rPr>
        <w:t>grandes</w:t>
      </w:r>
      <w:r>
        <w:rPr>
          <w:spacing w:val="-7"/>
          <w:w w:val="115"/>
        </w:rPr>
        <w:t> </w:t>
      </w:r>
      <w:r>
        <w:rPr>
          <w:w w:val="115"/>
        </w:rPr>
        <w:t>bancos</w:t>
      </w:r>
      <w:r>
        <w:rPr>
          <w:spacing w:val="-7"/>
          <w:w w:val="115"/>
        </w:rPr>
        <w:t> </w:t>
      </w:r>
      <w:r>
        <w:rPr>
          <w:w w:val="115"/>
        </w:rPr>
        <w:t>y</w:t>
      </w:r>
      <w:r>
        <w:rPr>
          <w:spacing w:val="-7"/>
          <w:w w:val="115"/>
        </w:rPr>
        <w:t> </w:t>
      </w:r>
      <w:r>
        <w:rPr>
          <w:w w:val="115"/>
        </w:rPr>
        <w:t>el</w:t>
      </w:r>
      <w:r>
        <w:rPr>
          <w:spacing w:val="-7"/>
          <w:w w:val="115"/>
        </w:rPr>
        <w:t> </w:t>
      </w:r>
      <w:r>
        <w:rPr>
          <w:w w:val="115"/>
        </w:rPr>
        <w:t>control</w:t>
      </w:r>
      <w:r>
        <w:rPr>
          <w:spacing w:val="-7"/>
          <w:w w:val="115"/>
        </w:rPr>
        <w:t> </w:t>
      </w:r>
      <w:r>
        <w:rPr>
          <w:w w:val="115"/>
        </w:rPr>
        <w:t>sobre</w:t>
      </w:r>
      <w:r>
        <w:rPr>
          <w:spacing w:val="-7"/>
          <w:w w:val="115"/>
        </w:rPr>
        <w:t> </w:t>
      </w:r>
      <w:r>
        <w:rPr>
          <w:w w:val="115"/>
        </w:rPr>
        <w:t>el</w:t>
      </w:r>
      <w:r>
        <w:rPr>
          <w:spacing w:val="-7"/>
          <w:w w:val="115"/>
        </w:rPr>
        <w:t> </w:t>
      </w:r>
      <w:r>
        <w:rPr>
          <w:w w:val="115"/>
        </w:rPr>
        <w:t>FMi.</w:t>
      </w:r>
      <w:r>
        <w:rPr>
          <w:spacing w:val="-7"/>
          <w:w w:val="115"/>
        </w:rPr>
        <w:t> </w:t>
      </w:r>
      <w:r>
        <w:rPr>
          <w:w w:val="115"/>
        </w:rPr>
        <w:t>Pero</w:t>
      </w:r>
      <w:r>
        <w:rPr>
          <w:spacing w:val="-7"/>
          <w:w w:val="115"/>
        </w:rPr>
        <w:t> </w:t>
      </w:r>
      <w:r>
        <w:rPr>
          <w:w w:val="115"/>
        </w:rPr>
        <w:t>la</w:t>
      </w:r>
      <w:r>
        <w:rPr>
          <w:spacing w:val="-7"/>
          <w:w w:val="115"/>
        </w:rPr>
        <w:t> </w:t>
      </w:r>
      <w:r>
        <w:rPr>
          <w:w w:val="115"/>
        </w:rPr>
        <w:t>deuda</w:t>
      </w:r>
      <w:r>
        <w:rPr>
          <w:spacing w:val="-7"/>
          <w:w w:val="115"/>
        </w:rPr>
        <w:t> </w:t>
      </w:r>
      <w:r>
        <w:rPr>
          <w:w w:val="115"/>
        </w:rPr>
        <w:t>pública</w:t>
      </w:r>
      <w:r>
        <w:rPr>
          <w:spacing w:val="-7"/>
          <w:w w:val="115"/>
        </w:rPr>
        <w:t> </w:t>
      </w:r>
      <w:r>
        <w:rPr>
          <w:w w:val="115"/>
        </w:rPr>
        <w:t>y </w:t>
      </w:r>
      <w:r>
        <w:rPr>
          <w:w w:val="110"/>
        </w:rPr>
        <w:t>la regresividad impositiva acentúan su deterioro industrial. Mantiene </w:t>
      </w:r>
      <w:r>
        <w:rPr>
          <w:w w:val="115"/>
        </w:rPr>
        <w:t>protagonismo</w:t>
      </w:r>
      <w:r>
        <w:rPr>
          <w:spacing w:val="-19"/>
          <w:w w:val="115"/>
        </w:rPr>
        <w:t> </w:t>
      </w:r>
      <w:r>
        <w:rPr>
          <w:w w:val="115"/>
        </w:rPr>
        <w:t>por</w:t>
      </w:r>
      <w:r>
        <w:rPr>
          <w:spacing w:val="-19"/>
          <w:w w:val="115"/>
        </w:rPr>
        <w:t> </w:t>
      </w:r>
      <w:r>
        <w:rPr>
          <w:w w:val="115"/>
        </w:rPr>
        <w:t>una</w:t>
      </w:r>
      <w:r>
        <w:rPr>
          <w:spacing w:val="-19"/>
          <w:w w:val="115"/>
        </w:rPr>
        <w:t> </w:t>
      </w:r>
      <w:r>
        <w:rPr>
          <w:w w:val="115"/>
        </w:rPr>
        <w:t>preeminencia</w:t>
      </w:r>
      <w:r>
        <w:rPr>
          <w:spacing w:val="-19"/>
          <w:w w:val="115"/>
        </w:rPr>
        <w:t> </w:t>
      </w:r>
      <w:r>
        <w:rPr>
          <w:spacing w:val="-3"/>
          <w:w w:val="115"/>
        </w:rPr>
        <w:t>militar,</w:t>
      </w:r>
      <w:r>
        <w:rPr>
          <w:spacing w:val="-19"/>
          <w:w w:val="115"/>
        </w:rPr>
        <w:t> </w:t>
      </w:r>
      <w:r>
        <w:rPr>
          <w:w w:val="115"/>
        </w:rPr>
        <w:t>que</w:t>
      </w:r>
      <w:r>
        <w:rPr>
          <w:spacing w:val="-19"/>
          <w:w w:val="115"/>
        </w:rPr>
        <w:t> </w:t>
      </w:r>
      <w:r>
        <w:rPr>
          <w:w w:val="115"/>
        </w:rPr>
        <w:t>reorganiza</w:t>
      </w:r>
      <w:r>
        <w:rPr>
          <w:spacing w:val="-19"/>
          <w:w w:val="115"/>
        </w:rPr>
        <w:t> </w:t>
      </w:r>
      <w:r>
        <w:rPr>
          <w:w w:val="115"/>
        </w:rPr>
        <w:t>con</w:t>
      </w:r>
      <w:r>
        <w:rPr>
          <w:spacing w:val="-19"/>
          <w:w w:val="115"/>
        </w:rPr>
        <w:t> </w:t>
      </w:r>
      <w:r>
        <w:rPr>
          <w:w w:val="115"/>
        </w:rPr>
        <w:t>más</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5"/>
        </w:rPr>
        <w:t>tecnología</w:t>
      </w:r>
      <w:r>
        <w:rPr>
          <w:spacing w:val="-17"/>
          <w:w w:val="115"/>
        </w:rPr>
        <w:t> </w:t>
      </w:r>
      <w:r>
        <w:rPr>
          <w:w w:val="115"/>
        </w:rPr>
        <w:t>y</w:t>
      </w:r>
      <w:r>
        <w:rPr>
          <w:spacing w:val="-17"/>
          <w:w w:val="115"/>
        </w:rPr>
        <w:t> </w:t>
      </w:r>
      <w:r>
        <w:rPr>
          <w:w w:val="115"/>
        </w:rPr>
        <w:t>menos</w:t>
      </w:r>
      <w:r>
        <w:rPr>
          <w:spacing w:val="-17"/>
          <w:w w:val="115"/>
        </w:rPr>
        <w:t> </w:t>
      </w:r>
      <w:r>
        <w:rPr>
          <w:w w:val="115"/>
        </w:rPr>
        <w:t>tropas.</w:t>
      </w:r>
      <w:r>
        <w:rPr>
          <w:spacing w:val="-17"/>
          <w:w w:val="115"/>
        </w:rPr>
        <w:t> </w:t>
      </w:r>
      <w:r>
        <w:rPr>
          <w:w w:val="115"/>
        </w:rPr>
        <w:t>reajusta</w:t>
      </w:r>
      <w:r>
        <w:rPr>
          <w:spacing w:val="-17"/>
          <w:w w:val="115"/>
        </w:rPr>
        <w:t> </w:t>
      </w:r>
      <w:r>
        <w:rPr>
          <w:w w:val="115"/>
        </w:rPr>
        <w:t>prioridades</w:t>
      </w:r>
      <w:r>
        <w:rPr>
          <w:spacing w:val="-17"/>
          <w:w w:val="115"/>
        </w:rPr>
        <w:t> </w:t>
      </w:r>
      <w:r>
        <w:rPr>
          <w:w w:val="115"/>
        </w:rPr>
        <w:t>estrechando</w:t>
      </w:r>
      <w:r>
        <w:rPr>
          <w:spacing w:val="-17"/>
          <w:w w:val="115"/>
        </w:rPr>
        <w:t> </w:t>
      </w:r>
      <w:r>
        <w:rPr>
          <w:w w:val="115"/>
        </w:rPr>
        <w:t>la</w:t>
      </w:r>
      <w:r>
        <w:rPr>
          <w:spacing w:val="-17"/>
          <w:w w:val="115"/>
        </w:rPr>
        <w:t> </w:t>
      </w:r>
      <w:r>
        <w:rPr>
          <w:spacing w:val="-3"/>
          <w:w w:val="115"/>
        </w:rPr>
        <w:t>coor- </w:t>
      </w:r>
      <w:r>
        <w:rPr>
          <w:w w:val="115"/>
        </w:rPr>
        <w:t>dinación</w:t>
      </w:r>
      <w:r>
        <w:rPr>
          <w:spacing w:val="-23"/>
          <w:w w:val="115"/>
        </w:rPr>
        <w:t> </w:t>
      </w:r>
      <w:r>
        <w:rPr>
          <w:w w:val="115"/>
        </w:rPr>
        <w:t>con</w:t>
      </w:r>
      <w:r>
        <w:rPr>
          <w:spacing w:val="-23"/>
          <w:w w:val="115"/>
        </w:rPr>
        <w:t> </w:t>
      </w:r>
      <w:r>
        <w:rPr>
          <w:w w:val="115"/>
        </w:rPr>
        <w:t>los</w:t>
      </w:r>
      <w:r>
        <w:rPr>
          <w:spacing w:val="-23"/>
          <w:w w:val="115"/>
        </w:rPr>
        <w:t> </w:t>
      </w:r>
      <w:r>
        <w:rPr>
          <w:w w:val="115"/>
        </w:rPr>
        <w:t>aliados.</w:t>
      </w:r>
      <w:r>
        <w:rPr>
          <w:spacing w:val="-23"/>
          <w:w w:val="115"/>
        </w:rPr>
        <w:t> </w:t>
      </w:r>
      <w:r>
        <w:rPr>
          <w:w w:val="115"/>
        </w:rPr>
        <w:t>Estados</w:t>
      </w:r>
      <w:r>
        <w:rPr>
          <w:spacing w:val="-23"/>
          <w:w w:val="115"/>
        </w:rPr>
        <w:t> </w:t>
      </w:r>
      <w:r>
        <w:rPr>
          <w:w w:val="115"/>
        </w:rPr>
        <w:t>unidos</w:t>
      </w:r>
      <w:r>
        <w:rPr>
          <w:spacing w:val="-23"/>
          <w:w w:val="115"/>
        </w:rPr>
        <w:t> </w:t>
      </w:r>
      <w:r>
        <w:rPr>
          <w:w w:val="115"/>
        </w:rPr>
        <w:t>no</w:t>
      </w:r>
      <w:r>
        <w:rPr>
          <w:spacing w:val="-23"/>
          <w:w w:val="115"/>
        </w:rPr>
        <w:t> </w:t>
      </w:r>
      <w:r>
        <w:rPr>
          <w:w w:val="115"/>
        </w:rPr>
        <w:t>se</w:t>
      </w:r>
      <w:r>
        <w:rPr>
          <w:spacing w:val="-23"/>
          <w:w w:val="115"/>
        </w:rPr>
        <w:t> </w:t>
      </w:r>
      <w:r>
        <w:rPr>
          <w:w w:val="115"/>
        </w:rPr>
        <w:t>desinteresa</w:t>
      </w:r>
      <w:r>
        <w:rPr>
          <w:spacing w:val="-23"/>
          <w:w w:val="115"/>
        </w:rPr>
        <w:t> </w:t>
      </w:r>
      <w:r>
        <w:rPr>
          <w:w w:val="115"/>
        </w:rPr>
        <w:t>de</w:t>
      </w:r>
      <w:r>
        <w:rPr>
          <w:spacing w:val="-23"/>
          <w:w w:val="115"/>
        </w:rPr>
        <w:t> </w:t>
      </w:r>
      <w:r>
        <w:rPr>
          <w:w w:val="115"/>
        </w:rPr>
        <w:t>américa </w:t>
      </w:r>
      <w:r>
        <w:rPr>
          <w:w w:val="243"/>
        </w:rPr>
        <w:t>l</w:t>
      </w:r>
      <w:r>
        <w:rPr>
          <w:w w:val="113"/>
        </w:rPr>
        <w:t>atina.</w:t>
      </w:r>
      <w:r>
        <w:rPr>
          <w:spacing w:val="15"/>
        </w:rPr>
        <w:t> </w:t>
      </w:r>
      <w:r>
        <w:rPr>
          <w:w w:val="115"/>
        </w:rPr>
        <w:t>Con</w:t>
      </w:r>
      <w:r>
        <w:rPr>
          <w:spacing w:val="15"/>
        </w:rPr>
        <w:t> </w:t>
      </w:r>
      <w:r>
        <w:rPr>
          <w:w w:val="112"/>
        </w:rPr>
        <w:t>una</w:t>
      </w:r>
      <w:r>
        <w:rPr>
          <w:spacing w:val="15"/>
        </w:rPr>
        <w:t> </w:t>
      </w:r>
      <w:r>
        <w:rPr>
          <w:w w:val="112"/>
        </w:rPr>
        <w:t>diplomacia</w:t>
      </w:r>
      <w:r>
        <w:rPr>
          <w:spacing w:val="15"/>
        </w:rPr>
        <w:t> </w:t>
      </w:r>
      <w:r>
        <w:rPr>
          <w:w w:val="111"/>
        </w:rPr>
        <w:t>más</w:t>
      </w:r>
      <w:r>
        <w:rPr>
          <w:spacing w:val="15"/>
        </w:rPr>
        <w:t> </w:t>
      </w:r>
      <w:r>
        <w:rPr>
          <w:w w:val="111"/>
        </w:rPr>
        <w:t>afable</w:t>
      </w:r>
      <w:r>
        <w:rPr>
          <w:spacing w:val="15"/>
        </w:rPr>
        <w:t> </w:t>
      </w:r>
      <w:r>
        <w:rPr>
          <w:w w:val="108"/>
        </w:rPr>
        <w:t>despliega</w:t>
      </w:r>
      <w:r>
        <w:rPr>
          <w:spacing w:val="15"/>
        </w:rPr>
        <w:t> </w:t>
      </w:r>
      <w:r>
        <w:rPr>
          <w:w w:val="108"/>
        </w:rPr>
        <w:t>tropas</w:t>
      </w:r>
      <w:r>
        <w:rPr>
          <w:spacing w:val="15"/>
        </w:rPr>
        <w:t> </w:t>
      </w:r>
      <w:r>
        <w:rPr>
          <w:w w:val="109"/>
        </w:rPr>
        <w:t>para</w:t>
      </w:r>
      <w:r>
        <w:rPr>
          <w:spacing w:val="15"/>
        </w:rPr>
        <w:t> </w:t>
      </w:r>
      <w:r>
        <w:rPr>
          <w:w w:val="108"/>
        </w:rPr>
        <w:t>reorg</w:t>
      </w:r>
      <w:r>
        <w:rPr>
          <w:spacing w:val="-1"/>
          <w:w w:val="108"/>
        </w:rPr>
        <w:t>a</w:t>
      </w:r>
      <w:r>
        <w:rPr>
          <w:w w:val="102"/>
        </w:rPr>
        <w:t>- </w:t>
      </w:r>
      <w:r>
        <w:rPr>
          <w:w w:val="115"/>
        </w:rPr>
        <w:t>nizar su dominación. </w:t>
      </w:r>
      <w:r>
        <w:rPr>
          <w:spacing w:val="-4"/>
          <w:w w:val="115"/>
        </w:rPr>
        <w:t>todas </w:t>
      </w:r>
      <w:r>
        <w:rPr>
          <w:w w:val="115"/>
        </w:rPr>
        <w:t>las potencias apetecen los recursos na- turales</w:t>
      </w:r>
      <w:r>
        <w:rPr>
          <w:spacing w:val="-8"/>
          <w:w w:val="115"/>
        </w:rPr>
        <w:t> </w:t>
      </w:r>
      <w:r>
        <w:rPr>
          <w:w w:val="115"/>
        </w:rPr>
        <w:t>de</w:t>
      </w:r>
      <w:r>
        <w:rPr>
          <w:spacing w:val="-8"/>
          <w:w w:val="115"/>
        </w:rPr>
        <w:t> </w:t>
      </w:r>
      <w:r>
        <w:rPr>
          <w:w w:val="115"/>
        </w:rPr>
        <w:t>la</w:t>
      </w:r>
      <w:r>
        <w:rPr>
          <w:spacing w:val="-8"/>
          <w:w w:val="115"/>
        </w:rPr>
        <w:t> </w:t>
      </w:r>
      <w:r>
        <w:rPr>
          <w:w w:val="115"/>
        </w:rPr>
        <w:t>región.</w:t>
      </w:r>
      <w:r>
        <w:rPr>
          <w:spacing w:val="-8"/>
          <w:w w:val="115"/>
        </w:rPr>
        <w:t> </w:t>
      </w:r>
      <w:r>
        <w:rPr>
          <w:w w:val="115"/>
        </w:rPr>
        <w:t>El</w:t>
      </w:r>
      <w:r>
        <w:rPr>
          <w:spacing w:val="-8"/>
          <w:w w:val="115"/>
        </w:rPr>
        <w:t> </w:t>
      </w:r>
      <w:r>
        <w:rPr>
          <w:w w:val="115"/>
        </w:rPr>
        <w:t>avance</w:t>
      </w:r>
      <w:r>
        <w:rPr>
          <w:spacing w:val="-8"/>
          <w:w w:val="115"/>
        </w:rPr>
        <w:t> </w:t>
      </w:r>
      <w:r>
        <w:rPr>
          <w:w w:val="115"/>
        </w:rPr>
        <w:t>europeo</w:t>
      </w:r>
      <w:r>
        <w:rPr>
          <w:spacing w:val="-8"/>
          <w:w w:val="115"/>
        </w:rPr>
        <w:t> </w:t>
      </w:r>
      <w:r>
        <w:rPr>
          <w:w w:val="115"/>
        </w:rPr>
        <w:t>se</w:t>
      </w:r>
      <w:r>
        <w:rPr>
          <w:spacing w:val="-8"/>
          <w:w w:val="115"/>
        </w:rPr>
        <w:t> </w:t>
      </w:r>
      <w:r>
        <w:rPr>
          <w:w w:val="115"/>
        </w:rPr>
        <w:t>ha</w:t>
      </w:r>
      <w:r>
        <w:rPr>
          <w:spacing w:val="-8"/>
          <w:w w:val="115"/>
        </w:rPr>
        <w:t> </w:t>
      </w:r>
      <w:r>
        <w:rPr>
          <w:w w:val="115"/>
        </w:rPr>
        <w:t>detenido</w:t>
      </w:r>
      <w:r>
        <w:rPr>
          <w:spacing w:val="-8"/>
          <w:w w:val="115"/>
        </w:rPr>
        <w:t> </w:t>
      </w:r>
      <w:r>
        <w:rPr>
          <w:w w:val="115"/>
        </w:rPr>
        <w:t>y</w:t>
      </w:r>
      <w:r>
        <w:rPr>
          <w:spacing w:val="-8"/>
          <w:w w:val="115"/>
        </w:rPr>
        <w:t> </w:t>
      </w:r>
      <w:r>
        <w:rPr>
          <w:w w:val="115"/>
        </w:rPr>
        <w:t>la</w:t>
      </w:r>
      <w:r>
        <w:rPr>
          <w:spacing w:val="-8"/>
          <w:w w:val="115"/>
        </w:rPr>
        <w:t> </w:t>
      </w:r>
      <w:r>
        <w:rPr>
          <w:w w:val="115"/>
        </w:rPr>
        <w:t>presencia china</w:t>
      </w:r>
      <w:r>
        <w:rPr>
          <w:spacing w:val="-16"/>
          <w:w w:val="115"/>
        </w:rPr>
        <w:t> </w:t>
      </w:r>
      <w:r>
        <w:rPr>
          <w:w w:val="115"/>
        </w:rPr>
        <w:t>se</w:t>
      </w:r>
      <w:r>
        <w:rPr>
          <w:spacing w:val="-16"/>
          <w:w w:val="115"/>
        </w:rPr>
        <w:t> </w:t>
      </w:r>
      <w:r>
        <w:rPr>
          <w:w w:val="115"/>
        </w:rPr>
        <w:t>acrecienta,</w:t>
      </w:r>
      <w:r>
        <w:rPr>
          <w:spacing w:val="-16"/>
          <w:w w:val="115"/>
        </w:rPr>
        <w:t> </w:t>
      </w:r>
      <w:r>
        <w:rPr>
          <w:w w:val="115"/>
        </w:rPr>
        <w:t>disputando</w:t>
      </w:r>
      <w:r>
        <w:rPr>
          <w:spacing w:val="-16"/>
          <w:w w:val="115"/>
        </w:rPr>
        <w:t> </w:t>
      </w:r>
      <w:r>
        <w:rPr>
          <w:w w:val="115"/>
        </w:rPr>
        <w:t>negocios</w:t>
      </w:r>
      <w:r>
        <w:rPr>
          <w:spacing w:val="-16"/>
          <w:w w:val="115"/>
        </w:rPr>
        <w:t> </w:t>
      </w:r>
      <w:r>
        <w:rPr>
          <w:w w:val="115"/>
        </w:rPr>
        <w:t>pero</w:t>
      </w:r>
      <w:r>
        <w:rPr>
          <w:spacing w:val="-16"/>
          <w:w w:val="115"/>
        </w:rPr>
        <w:t> </w:t>
      </w:r>
      <w:r>
        <w:rPr>
          <w:w w:val="115"/>
        </w:rPr>
        <w:t>no</w:t>
      </w:r>
      <w:r>
        <w:rPr>
          <w:spacing w:val="-16"/>
          <w:w w:val="115"/>
        </w:rPr>
        <w:t> </w:t>
      </w:r>
      <w:r>
        <w:rPr>
          <w:w w:val="115"/>
        </w:rPr>
        <w:t>preeminencia</w:t>
      </w:r>
      <w:r>
        <w:rPr>
          <w:spacing w:val="-16"/>
          <w:w w:val="115"/>
        </w:rPr>
        <w:t> </w:t>
      </w:r>
      <w:r>
        <w:rPr>
          <w:w w:val="115"/>
        </w:rPr>
        <w:t>polí- tico-militar. El objetivo del </w:t>
      </w:r>
      <w:r>
        <w:rPr>
          <w:w w:val="125"/>
        </w:rPr>
        <w:t>alCa </w:t>
      </w:r>
      <w:r>
        <w:rPr>
          <w:w w:val="115"/>
        </w:rPr>
        <w:t>resurge con el </w:t>
      </w:r>
      <w:r>
        <w:rPr>
          <w:spacing w:val="-3"/>
          <w:w w:val="115"/>
        </w:rPr>
        <w:t>tratado </w:t>
      </w:r>
      <w:r>
        <w:rPr>
          <w:w w:val="115"/>
        </w:rPr>
        <w:t>del</w:t>
      </w:r>
      <w:r>
        <w:rPr>
          <w:spacing w:val="-23"/>
          <w:w w:val="115"/>
        </w:rPr>
        <w:t> </w:t>
      </w:r>
      <w:r>
        <w:rPr>
          <w:w w:val="115"/>
        </w:rPr>
        <w:t>Pacífico.</w:t>
      </w:r>
    </w:p>
    <w:p>
      <w:pPr>
        <w:pStyle w:val="BodyText"/>
        <w:spacing w:before="5"/>
      </w:pPr>
    </w:p>
    <w:p>
      <w:pPr>
        <w:pStyle w:val="Heading6"/>
        <w:ind w:left="331"/>
      </w:pPr>
      <w:r>
        <w:rPr>
          <w:w w:val="140"/>
        </w:rPr>
        <w:t>estructura interna de estados unidos</w:t>
      </w:r>
    </w:p>
    <w:p>
      <w:pPr>
        <w:pStyle w:val="BodyText"/>
        <w:spacing w:line="252" w:lineRule="auto" w:before="10"/>
        <w:ind w:left="330" w:right="117"/>
        <w:jc w:val="both"/>
      </w:pPr>
      <w:r>
        <w:rPr>
          <w:w w:val="110"/>
        </w:rPr>
        <w:t>Esta sección la encabeza el capítulo de dídimo Castillo Fernández, profesor investigador de la Facultad de Ciencias Políticas y sociales  de la universidad autónoma del Estado de México, titulado “Estados unidos: trabajo, precariedad laboral y desigualdades de ingresos de los jóvenes”, el cual analiza la situación laboral, particularmente la participación económica, el desempleo, la precariedad y sus efectos  en las desigualdades de ingreso de los jóvenes estadounidenses en el marco del modelo neoliberal dominante y la crisis de 2008, bajo el supuesto de que las condiciones de desempleo son estructurales, con creciente precariedad y desigualdad de los ingresos, y que dichas con- diciones endémicas han repercutido en el interés de los jóvenes por  la entrada al mercado de trabajo, erosionado los fundamentos que dieron sentido, coherencia y pertenencia a una sociedad fundada en  la ética del trabajo, centrada en la utopía del “sueño americano”, que asumía el trabajo como la fuente primaria y garantía de la movilidad social ascendente en dicho  país.</w:t>
      </w:r>
    </w:p>
    <w:p>
      <w:pPr>
        <w:pStyle w:val="BodyText"/>
        <w:spacing w:line="252" w:lineRule="auto"/>
        <w:ind w:left="330" w:right="117" w:firstLine="396"/>
        <w:jc w:val="both"/>
      </w:pPr>
      <w:r>
        <w:rPr>
          <w:w w:val="110"/>
        </w:rPr>
        <w:t>El siguiente capítulo es de Fabio Grobart sunshine, profesor in- vestigador del Centro de investigaciones de Economía internacional </w:t>
      </w:r>
      <w:r>
        <w:rPr>
          <w:w w:val="107"/>
        </w:rPr>
        <w:t>de</w:t>
      </w:r>
      <w:r>
        <w:rPr/>
        <w:t> </w:t>
      </w:r>
      <w:r>
        <w:rPr>
          <w:spacing w:val="2"/>
        </w:rPr>
        <w:t> </w:t>
      </w:r>
      <w:r>
        <w:rPr>
          <w:w w:val="111"/>
        </w:rPr>
        <w:t>la</w:t>
      </w:r>
      <w:r>
        <w:rPr/>
        <w:t> </w:t>
      </w:r>
      <w:r>
        <w:rPr>
          <w:spacing w:val="2"/>
        </w:rPr>
        <w:t> </w:t>
      </w:r>
      <w:r>
        <w:rPr>
          <w:w w:val="140"/>
        </w:rPr>
        <w:t>u</w:t>
      </w:r>
      <w:r>
        <w:rPr>
          <w:w w:val="108"/>
        </w:rPr>
        <w:t>niversidad</w:t>
      </w:r>
      <w:r>
        <w:rPr/>
        <w:t> </w:t>
      </w:r>
      <w:r>
        <w:rPr>
          <w:spacing w:val="2"/>
        </w:rPr>
        <w:t> </w:t>
      </w:r>
      <w:r>
        <w:rPr>
          <w:w w:val="107"/>
        </w:rPr>
        <w:t>de</w:t>
      </w:r>
      <w:r>
        <w:rPr/>
        <w:t> </w:t>
      </w:r>
      <w:r>
        <w:rPr>
          <w:spacing w:val="2"/>
        </w:rPr>
        <w:t> </w:t>
      </w:r>
      <w:r>
        <w:rPr>
          <w:w w:val="243"/>
        </w:rPr>
        <w:t>l</w:t>
      </w:r>
      <w:r>
        <w:rPr>
          <w:w w:val="112"/>
        </w:rPr>
        <w:t>a</w:t>
      </w:r>
      <w:r>
        <w:rPr/>
        <w:t> </w:t>
      </w:r>
      <w:r>
        <w:rPr>
          <w:spacing w:val="2"/>
        </w:rPr>
        <w:t> </w:t>
      </w:r>
      <w:r>
        <w:rPr>
          <w:w w:val="115"/>
        </w:rPr>
        <w:t>Habana,</w:t>
      </w:r>
      <w:r>
        <w:rPr/>
        <w:t> </w:t>
      </w:r>
      <w:r>
        <w:rPr>
          <w:spacing w:val="2"/>
        </w:rPr>
        <w:t> </w:t>
      </w:r>
      <w:r>
        <w:rPr>
          <w:w w:val="114"/>
        </w:rPr>
        <w:t>“Ciencia</w:t>
      </w:r>
      <w:r>
        <w:rPr/>
        <w:t> </w:t>
      </w:r>
      <w:r>
        <w:rPr>
          <w:spacing w:val="2"/>
        </w:rPr>
        <w:t> </w:t>
      </w:r>
      <w:r>
        <w:rPr>
          <w:w w:val="105"/>
        </w:rPr>
        <w:t>y</w:t>
      </w:r>
      <w:r>
        <w:rPr/>
        <w:t> </w:t>
      </w:r>
      <w:r>
        <w:rPr>
          <w:spacing w:val="2"/>
        </w:rPr>
        <w:t> </w:t>
      </w:r>
      <w:r>
        <w:rPr>
          <w:w w:val="110"/>
        </w:rPr>
        <w:t>tecnología</w:t>
      </w:r>
      <w:r>
        <w:rPr/>
        <w:t> </w:t>
      </w:r>
      <w:r>
        <w:rPr>
          <w:spacing w:val="2"/>
        </w:rPr>
        <w:t> </w:t>
      </w:r>
      <w:r>
        <w:rPr>
          <w:w w:val="108"/>
        </w:rPr>
        <w:t>en</w:t>
      </w:r>
      <w:r>
        <w:rPr/>
        <w:t> </w:t>
      </w:r>
      <w:r>
        <w:rPr>
          <w:spacing w:val="2"/>
        </w:rPr>
        <w:t> </w:t>
      </w:r>
      <w:r>
        <w:rPr>
          <w:w w:val="111"/>
        </w:rPr>
        <w:t>Estados </w:t>
      </w:r>
      <w:r>
        <w:rPr>
          <w:w w:val="110"/>
        </w:rPr>
        <w:t>unidos: deterioro sistémico-estructural y la agenda obama”, el cual analiza la continuidad del relativo agotamiento y pérdida de liderazgo de Estados unidos en lo que a ciencia, tecnología e innovación con- cierne, componentes esenciales del modelo reproductivo de la pro- clamada sociedad basada en el conocimiento; y la agudización de la crisis de las otrora ventajas competitivas dinámicas y sistémicas del capitalismo monopolista transnacionalizado en su metrópoli, como pilar estratégico de su hegemonía y dominio </w:t>
      </w:r>
      <w:r>
        <w:rPr>
          <w:spacing w:val="-3"/>
          <w:w w:val="110"/>
        </w:rPr>
        <w:t>unipolar. </w:t>
      </w:r>
      <w:r>
        <w:rPr>
          <w:w w:val="110"/>
        </w:rPr>
        <w:t>En ese sentido, se constata el creciente divorcio entre el discurso electoral del presi- dente obama y las tendencias reales observadas en esta </w:t>
      </w:r>
      <w:r>
        <w:rPr>
          <w:spacing w:val="9"/>
          <w:w w:val="110"/>
        </w:rPr>
        <w:t> </w:t>
      </w:r>
      <w:r>
        <w:rPr>
          <w:w w:val="110"/>
        </w:rPr>
        <w:t>esfera.</w:t>
      </w:r>
    </w:p>
    <w:p>
      <w:pPr>
        <w:pStyle w:val="BodyText"/>
        <w:spacing w:line="252" w:lineRule="auto"/>
        <w:ind w:left="330" w:right="117" w:firstLine="396"/>
        <w:jc w:val="both"/>
      </w:pPr>
      <w:r>
        <w:rPr>
          <w:w w:val="115"/>
        </w:rPr>
        <w:t>Posteriormente,</w:t>
      </w:r>
      <w:r>
        <w:rPr>
          <w:spacing w:val="-16"/>
          <w:w w:val="115"/>
        </w:rPr>
        <w:t> </w:t>
      </w:r>
      <w:r>
        <w:rPr>
          <w:w w:val="115"/>
        </w:rPr>
        <w:t>se</w:t>
      </w:r>
      <w:r>
        <w:rPr>
          <w:spacing w:val="-16"/>
          <w:w w:val="115"/>
        </w:rPr>
        <w:t> </w:t>
      </w:r>
      <w:r>
        <w:rPr>
          <w:w w:val="115"/>
        </w:rPr>
        <w:t>encuentra</w:t>
      </w:r>
      <w:r>
        <w:rPr>
          <w:spacing w:val="-16"/>
          <w:w w:val="115"/>
        </w:rPr>
        <w:t> </w:t>
      </w:r>
      <w:r>
        <w:rPr>
          <w:w w:val="115"/>
        </w:rPr>
        <w:t>el</w:t>
      </w:r>
      <w:r>
        <w:rPr>
          <w:spacing w:val="-16"/>
          <w:w w:val="115"/>
        </w:rPr>
        <w:t> </w:t>
      </w:r>
      <w:r>
        <w:rPr>
          <w:w w:val="115"/>
        </w:rPr>
        <w:t>capítulo</w:t>
      </w:r>
      <w:r>
        <w:rPr>
          <w:spacing w:val="-16"/>
          <w:w w:val="115"/>
        </w:rPr>
        <w:t> </w:t>
      </w:r>
      <w:r>
        <w:rPr>
          <w:w w:val="115"/>
        </w:rPr>
        <w:t>de</w:t>
      </w:r>
      <w:r>
        <w:rPr>
          <w:spacing w:val="-16"/>
          <w:w w:val="115"/>
        </w:rPr>
        <w:t> </w:t>
      </w:r>
      <w:r>
        <w:rPr>
          <w:w w:val="115"/>
        </w:rPr>
        <w:t>Casandra</w:t>
      </w:r>
      <w:r>
        <w:rPr>
          <w:spacing w:val="-16"/>
          <w:w w:val="115"/>
        </w:rPr>
        <w:t> </w:t>
      </w:r>
      <w:r>
        <w:rPr>
          <w:w w:val="115"/>
        </w:rPr>
        <w:t>Castorena sánchez, profesora e investigadora del Centro de relaciones </w:t>
      </w:r>
      <w:r>
        <w:rPr>
          <w:spacing w:val="-3"/>
          <w:w w:val="115"/>
        </w:rPr>
        <w:t>inter- </w:t>
      </w:r>
      <w:r>
        <w:rPr>
          <w:w w:val="115"/>
        </w:rPr>
        <w:t>nacionales de la Facultad de Ciencias Políticas y sociales de la uni- versidad</w:t>
      </w:r>
      <w:r>
        <w:rPr>
          <w:spacing w:val="-6"/>
          <w:w w:val="115"/>
        </w:rPr>
        <w:t> </w:t>
      </w:r>
      <w:r>
        <w:rPr>
          <w:w w:val="115"/>
        </w:rPr>
        <w:t>Nacional</w:t>
      </w:r>
      <w:r>
        <w:rPr>
          <w:spacing w:val="-6"/>
          <w:w w:val="115"/>
        </w:rPr>
        <w:t> </w:t>
      </w:r>
      <w:r>
        <w:rPr>
          <w:w w:val="115"/>
        </w:rPr>
        <w:t>autónoma</w:t>
      </w:r>
      <w:r>
        <w:rPr>
          <w:spacing w:val="-6"/>
          <w:w w:val="115"/>
        </w:rPr>
        <w:t> </w:t>
      </w:r>
      <w:r>
        <w:rPr>
          <w:w w:val="115"/>
        </w:rPr>
        <w:t>de</w:t>
      </w:r>
      <w:r>
        <w:rPr>
          <w:spacing w:val="-6"/>
          <w:w w:val="115"/>
        </w:rPr>
        <w:t> </w:t>
      </w:r>
      <w:r>
        <w:rPr>
          <w:w w:val="115"/>
        </w:rPr>
        <w:t>México</w:t>
      </w:r>
      <w:r>
        <w:rPr>
          <w:spacing w:val="-6"/>
          <w:w w:val="115"/>
        </w:rPr>
        <w:t> </w:t>
      </w:r>
      <w:r>
        <w:rPr>
          <w:w w:val="115"/>
        </w:rPr>
        <w:t>(uNaM),</w:t>
      </w:r>
      <w:r>
        <w:rPr>
          <w:spacing w:val="-6"/>
          <w:w w:val="115"/>
        </w:rPr>
        <w:t> </w:t>
      </w:r>
      <w:r>
        <w:rPr>
          <w:w w:val="115"/>
        </w:rPr>
        <w:t>que</w:t>
      </w:r>
      <w:r>
        <w:rPr>
          <w:spacing w:val="-6"/>
          <w:w w:val="115"/>
        </w:rPr>
        <w:t> </w:t>
      </w:r>
      <w:r>
        <w:rPr>
          <w:w w:val="115"/>
        </w:rPr>
        <w:t>lleva</w:t>
      </w:r>
      <w:r>
        <w:rPr>
          <w:spacing w:val="-6"/>
          <w:w w:val="115"/>
        </w:rPr>
        <w:t> </w:t>
      </w:r>
      <w:r>
        <w:rPr>
          <w:w w:val="115"/>
        </w:rPr>
        <w:t>por</w:t>
      </w:r>
      <w:r>
        <w:rPr>
          <w:spacing w:val="-6"/>
          <w:w w:val="115"/>
        </w:rPr>
        <w:t> </w:t>
      </w:r>
      <w:r>
        <w:rPr>
          <w:w w:val="115"/>
        </w:rPr>
        <w:t>título </w:t>
      </w:r>
      <w:r>
        <w:rPr>
          <w:w w:val="115"/>
        </w:rPr>
        <w:t>“</w:t>
      </w:r>
      <w:r>
        <w:rPr>
          <w:w w:val="243"/>
        </w:rPr>
        <w:t>l</w:t>
      </w:r>
      <w:r>
        <w:rPr>
          <w:w w:val="108"/>
        </w:rPr>
        <w:t>os</w:t>
      </w:r>
      <w:r>
        <w:rPr/>
        <w:t> </w:t>
      </w:r>
      <w:r>
        <w:rPr>
          <w:spacing w:val="-21"/>
        </w:rPr>
        <w:t> </w:t>
      </w:r>
      <w:r>
        <w:rPr>
          <w:w w:val="110"/>
        </w:rPr>
        <w:t>cuatro</w:t>
      </w:r>
      <w:r>
        <w:rPr/>
        <w:t> </w:t>
      </w:r>
      <w:r>
        <w:rPr>
          <w:spacing w:val="-21"/>
        </w:rPr>
        <w:t> </w:t>
      </w:r>
      <w:r>
        <w:rPr>
          <w:w w:val="108"/>
        </w:rPr>
        <w:t>pilares</w:t>
      </w:r>
      <w:r>
        <w:rPr/>
        <w:t> </w:t>
      </w:r>
      <w:r>
        <w:rPr>
          <w:spacing w:val="-21"/>
        </w:rPr>
        <w:t> </w:t>
      </w:r>
      <w:r>
        <w:rPr>
          <w:w w:val="107"/>
        </w:rPr>
        <w:t>de</w:t>
      </w:r>
      <w:r>
        <w:rPr/>
        <w:t> </w:t>
      </w:r>
      <w:r>
        <w:rPr>
          <w:spacing w:val="-21"/>
        </w:rPr>
        <w:t> </w:t>
      </w:r>
      <w:r>
        <w:rPr>
          <w:w w:val="111"/>
        </w:rPr>
        <w:t>la</w:t>
      </w:r>
      <w:r>
        <w:rPr/>
        <w:t> </w:t>
      </w:r>
      <w:r>
        <w:rPr>
          <w:spacing w:val="-21"/>
        </w:rPr>
        <w:t> </w:t>
      </w:r>
      <w:r>
        <w:rPr>
          <w:w w:val="111"/>
        </w:rPr>
        <w:t>política</w:t>
      </w:r>
      <w:r>
        <w:rPr/>
        <w:t> </w:t>
      </w:r>
      <w:r>
        <w:rPr>
          <w:spacing w:val="-21"/>
        </w:rPr>
        <w:t> </w:t>
      </w:r>
      <w:r>
        <w:rPr>
          <w:w w:val="107"/>
        </w:rPr>
        <w:t>exterior</w:t>
      </w:r>
      <w:r>
        <w:rPr/>
        <w:t> </w:t>
      </w:r>
      <w:r>
        <w:rPr>
          <w:spacing w:val="-21"/>
        </w:rPr>
        <w:t> </w:t>
      </w:r>
      <w:r>
        <w:rPr>
          <w:w w:val="107"/>
        </w:rPr>
        <w:t>de</w:t>
      </w:r>
      <w:r>
        <w:rPr/>
        <w:t> </w:t>
      </w:r>
      <w:r>
        <w:rPr>
          <w:spacing w:val="-21"/>
        </w:rPr>
        <w:t> </w:t>
      </w:r>
      <w:r>
        <w:rPr>
          <w:w w:val="111"/>
        </w:rPr>
        <w:t>Estados</w:t>
      </w:r>
      <w:r>
        <w:rPr/>
        <w:t> </w:t>
      </w:r>
      <w:r>
        <w:rPr>
          <w:spacing w:val="-21"/>
        </w:rPr>
        <w:t> </w:t>
      </w:r>
      <w:r>
        <w:rPr>
          <w:w w:val="140"/>
        </w:rPr>
        <w:t>u</w:t>
      </w:r>
      <w:r>
        <w:rPr>
          <w:w w:val="110"/>
        </w:rPr>
        <w:t>nidos</w:t>
      </w:r>
      <w:r>
        <w:rPr/>
        <w:t> </w:t>
      </w:r>
      <w:r>
        <w:rPr>
          <w:spacing w:val="-21"/>
        </w:rPr>
        <w:t> </w:t>
      </w:r>
      <w:r>
        <w:rPr>
          <w:w w:val="113"/>
        </w:rPr>
        <w:t>hacia</w:t>
      </w:r>
      <w:r>
        <w:rPr/>
        <w:t> </w:t>
      </w:r>
      <w:r>
        <w:rPr>
          <w:spacing w:val="-21"/>
        </w:rPr>
        <w:t> </w:t>
      </w:r>
      <w:r>
        <w:rPr>
          <w:w w:val="107"/>
        </w:rPr>
        <w:t>el</w:t>
      </w:r>
    </w:p>
    <w:p>
      <w:pPr>
        <w:spacing w:after="0" w:line="252" w:lineRule="auto"/>
        <w:jc w:val="both"/>
        <w:sectPr>
          <w:footerReference w:type="default" r:id="rId63"/>
          <w:footerReference w:type="even" r:id="rId64"/>
          <w:pgSz w:w="8790" w:h="12760"/>
          <w:pgMar w:footer="725" w:header="695" w:top="880" w:bottom="920" w:left="1200" w:right="900"/>
        </w:sectPr>
      </w:pPr>
    </w:p>
    <w:p>
      <w:pPr>
        <w:pStyle w:val="BodyText"/>
        <w:spacing w:before="9"/>
        <w:rPr>
          <w:sz w:val="28"/>
        </w:rPr>
      </w:pPr>
    </w:p>
    <w:p>
      <w:pPr>
        <w:pStyle w:val="BodyText"/>
        <w:spacing w:line="252" w:lineRule="auto" w:before="73"/>
        <w:ind w:left="100" w:right="328"/>
        <w:jc w:val="right"/>
      </w:pPr>
      <w:r>
        <w:rPr>
          <w:w w:val="115"/>
        </w:rPr>
        <w:t>Hemisferio occidental en el siglo xxi”, el cual se</w:t>
      </w:r>
      <w:r>
        <w:rPr>
          <w:spacing w:val="6"/>
          <w:w w:val="115"/>
        </w:rPr>
        <w:t> </w:t>
      </w:r>
      <w:r>
        <w:rPr>
          <w:w w:val="115"/>
        </w:rPr>
        <w:t>encuentra</w:t>
      </w:r>
      <w:r>
        <w:rPr>
          <w:spacing w:val="6"/>
          <w:w w:val="115"/>
        </w:rPr>
        <w:t> </w:t>
      </w:r>
      <w:r>
        <w:rPr>
          <w:w w:val="115"/>
        </w:rPr>
        <w:t>dividido</w:t>
      </w:r>
      <w:r>
        <w:rPr>
          <w:w w:val="109"/>
        </w:rPr>
        <w:t> </w:t>
      </w:r>
      <w:r>
        <w:rPr>
          <w:w w:val="115"/>
        </w:rPr>
        <w:t>en dos secciones, la primera hace una revisión</w:t>
      </w:r>
      <w:r>
        <w:rPr>
          <w:spacing w:val="-22"/>
          <w:w w:val="115"/>
        </w:rPr>
        <w:t> </w:t>
      </w:r>
      <w:r>
        <w:rPr>
          <w:w w:val="115"/>
        </w:rPr>
        <w:t>teórico-conceptual</w:t>
      </w:r>
      <w:r>
        <w:rPr>
          <w:spacing w:val="-3"/>
          <w:w w:val="115"/>
        </w:rPr>
        <w:t> </w:t>
      </w:r>
      <w:r>
        <w:rPr>
          <w:w w:val="115"/>
        </w:rPr>
        <w:t>y</w:t>
      </w:r>
      <w:r>
        <w:rPr>
          <w:w w:val="105"/>
        </w:rPr>
        <w:t> </w:t>
      </w:r>
      <w:r>
        <w:rPr>
          <w:w w:val="115"/>
        </w:rPr>
        <w:t>metodológica</w:t>
      </w:r>
      <w:r>
        <w:rPr>
          <w:spacing w:val="-21"/>
          <w:w w:val="115"/>
        </w:rPr>
        <w:t> </w:t>
      </w:r>
      <w:r>
        <w:rPr>
          <w:w w:val="115"/>
        </w:rPr>
        <w:t>sobre</w:t>
      </w:r>
      <w:r>
        <w:rPr>
          <w:spacing w:val="-21"/>
          <w:w w:val="115"/>
        </w:rPr>
        <w:t> </w:t>
      </w:r>
      <w:r>
        <w:rPr>
          <w:w w:val="115"/>
        </w:rPr>
        <w:t>los</w:t>
      </w:r>
      <w:r>
        <w:rPr>
          <w:spacing w:val="-21"/>
          <w:w w:val="115"/>
        </w:rPr>
        <w:t> </w:t>
      </w:r>
      <w:r>
        <w:rPr>
          <w:w w:val="115"/>
        </w:rPr>
        <w:t>actores</w:t>
      </w:r>
      <w:r>
        <w:rPr>
          <w:spacing w:val="-21"/>
          <w:w w:val="115"/>
        </w:rPr>
        <w:t> </w:t>
      </w:r>
      <w:r>
        <w:rPr>
          <w:w w:val="115"/>
        </w:rPr>
        <w:t>y</w:t>
      </w:r>
      <w:r>
        <w:rPr>
          <w:spacing w:val="-21"/>
          <w:w w:val="115"/>
        </w:rPr>
        <w:t> </w:t>
      </w:r>
      <w:r>
        <w:rPr>
          <w:w w:val="115"/>
        </w:rPr>
        <w:t>categorías</w:t>
      </w:r>
      <w:r>
        <w:rPr>
          <w:spacing w:val="-21"/>
          <w:w w:val="115"/>
        </w:rPr>
        <w:t> </w:t>
      </w:r>
      <w:r>
        <w:rPr>
          <w:w w:val="115"/>
        </w:rPr>
        <w:t>de</w:t>
      </w:r>
      <w:r>
        <w:rPr>
          <w:spacing w:val="-21"/>
          <w:w w:val="115"/>
        </w:rPr>
        <w:t> </w:t>
      </w:r>
      <w:r>
        <w:rPr>
          <w:w w:val="115"/>
        </w:rPr>
        <w:t>análisis</w:t>
      </w:r>
      <w:r>
        <w:rPr>
          <w:spacing w:val="-21"/>
          <w:w w:val="115"/>
        </w:rPr>
        <w:t> </w:t>
      </w:r>
      <w:r>
        <w:rPr>
          <w:w w:val="115"/>
        </w:rPr>
        <w:t>que</w:t>
      </w:r>
      <w:r>
        <w:rPr>
          <w:spacing w:val="-21"/>
          <w:w w:val="115"/>
        </w:rPr>
        <w:t> </w:t>
      </w:r>
      <w:r>
        <w:rPr>
          <w:w w:val="115"/>
        </w:rPr>
        <w:t>deben</w:t>
      </w:r>
      <w:r>
        <w:rPr>
          <w:spacing w:val="-21"/>
          <w:w w:val="115"/>
        </w:rPr>
        <w:t> </w:t>
      </w:r>
      <w:r>
        <w:rPr>
          <w:w w:val="115"/>
        </w:rPr>
        <w:t>ser</w:t>
      </w:r>
      <w:r>
        <w:rPr>
          <w:w w:val="105"/>
        </w:rPr>
        <w:t> </w:t>
      </w:r>
      <w:r>
        <w:rPr>
          <w:w w:val="115"/>
        </w:rPr>
        <w:t>tomadas</w:t>
      </w:r>
      <w:r>
        <w:rPr>
          <w:spacing w:val="-28"/>
          <w:w w:val="115"/>
        </w:rPr>
        <w:t> </w:t>
      </w:r>
      <w:r>
        <w:rPr>
          <w:w w:val="115"/>
        </w:rPr>
        <w:t>en</w:t>
      </w:r>
      <w:r>
        <w:rPr>
          <w:spacing w:val="-28"/>
          <w:w w:val="115"/>
        </w:rPr>
        <w:t> </w:t>
      </w:r>
      <w:r>
        <w:rPr>
          <w:w w:val="115"/>
        </w:rPr>
        <w:t>cuenta</w:t>
      </w:r>
      <w:r>
        <w:rPr>
          <w:spacing w:val="-28"/>
          <w:w w:val="115"/>
        </w:rPr>
        <w:t> </w:t>
      </w:r>
      <w:r>
        <w:rPr>
          <w:w w:val="115"/>
        </w:rPr>
        <w:t>para</w:t>
      </w:r>
      <w:r>
        <w:rPr>
          <w:spacing w:val="-28"/>
          <w:w w:val="115"/>
        </w:rPr>
        <w:t> </w:t>
      </w:r>
      <w:r>
        <w:rPr>
          <w:w w:val="115"/>
        </w:rPr>
        <w:t>aproximarse</w:t>
      </w:r>
      <w:r>
        <w:rPr>
          <w:spacing w:val="-28"/>
          <w:w w:val="115"/>
        </w:rPr>
        <w:t> </w:t>
      </w:r>
      <w:r>
        <w:rPr>
          <w:w w:val="115"/>
        </w:rPr>
        <w:t>al</w:t>
      </w:r>
      <w:r>
        <w:rPr>
          <w:spacing w:val="-28"/>
          <w:w w:val="115"/>
        </w:rPr>
        <w:t> </w:t>
      </w:r>
      <w:r>
        <w:rPr>
          <w:w w:val="115"/>
        </w:rPr>
        <w:t>estudio</w:t>
      </w:r>
      <w:r>
        <w:rPr>
          <w:spacing w:val="-28"/>
          <w:w w:val="115"/>
        </w:rPr>
        <w:t> </w:t>
      </w:r>
      <w:r>
        <w:rPr>
          <w:w w:val="115"/>
        </w:rPr>
        <w:t>del</w:t>
      </w:r>
      <w:r>
        <w:rPr>
          <w:spacing w:val="-28"/>
          <w:w w:val="115"/>
        </w:rPr>
        <w:t> </w:t>
      </w:r>
      <w:r>
        <w:rPr>
          <w:w w:val="115"/>
        </w:rPr>
        <w:t>proceso</w:t>
      </w:r>
      <w:r>
        <w:rPr>
          <w:spacing w:val="-28"/>
          <w:w w:val="115"/>
        </w:rPr>
        <w:t> </w:t>
      </w:r>
      <w:r>
        <w:rPr>
          <w:w w:val="115"/>
        </w:rPr>
        <w:t>de</w:t>
      </w:r>
      <w:r>
        <w:rPr>
          <w:spacing w:val="-28"/>
          <w:w w:val="115"/>
        </w:rPr>
        <w:t> </w:t>
      </w:r>
      <w:r>
        <w:rPr>
          <w:w w:val="115"/>
        </w:rPr>
        <w:t>formu-</w:t>
      </w:r>
      <w:r>
        <w:rPr>
          <w:w w:val="102"/>
        </w:rPr>
        <w:t> </w:t>
      </w:r>
      <w:r>
        <w:rPr>
          <w:w w:val="115"/>
        </w:rPr>
        <w:t>lación de la política exterior de Estados unidos </w:t>
      </w:r>
      <w:r>
        <w:rPr>
          <w:spacing w:val="-11"/>
          <w:w w:val="115"/>
        </w:rPr>
        <w:t>y, </w:t>
      </w:r>
      <w:r>
        <w:rPr>
          <w:w w:val="115"/>
        </w:rPr>
        <w:t>en</w:t>
      </w:r>
      <w:r>
        <w:rPr>
          <w:spacing w:val="6"/>
          <w:w w:val="115"/>
        </w:rPr>
        <w:t> </w:t>
      </w:r>
      <w:r>
        <w:rPr>
          <w:w w:val="115"/>
        </w:rPr>
        <w:t>segundo</w:t>
      </w:r>
      <w:r>
        <w:rPr>
          <w:spacing w:val="4"/>
          <w:w w:val="115"/>
        </w:rPr>
        <w:t> </w:t>
      </w:r>
      <w:r>
        <w:rPr>
          <w:spacing w:val="-4"/>
          <w:w w:val="115"/>
        </w:rPr>
        <w:t>lugar,</w:t>
      </w:r>
      <w:r>
        <w:rPr>
          <w:w w:val="138"/>
        </w:rPr>
        <w:t> </w:t>
      </w:r>
      <w:r>
        <w:rPr>
          <w:w w:val="115"/>
        </w:rPr>
        <w:t>Castorena</w:t>
      </w:r>
      <w:r>
        <w:rPr>
          <w:spacing w:val="-7"/>
          <w:w w:val="115"/>
        </w:rPr>
        <w:t> </w:t>
      </w:r>
      <w:r>
        <w:rPr>
          <w:w w:val="115"/>
        </w:rPr>
        <w:t>presenta</w:t>
      </w:r>
      <w:r>
        <w:rPr>
          <w:spacing w:val="-7"/>
          <w:w w:val="115"/>
        </w:rPr>
        <w:t> </w:t>
      </w:r>
      <w:r>
        <w:rPr>
          <w:w w:val="115"/>
        </w:rPr>
        <w:t>una</w:t>
      </w:r>
      <w:r>
        <w:rPr>
          <w:spacing w:val="-7"/>
          <w:w w:val="115"/>
        </w:rPr>
        <w:t> </w:t>
      </w:r>
      <w:r>
        <w:rPr>
          <w:w w:val="115"/>
        </w:rPr>
        <w:t>radiografía</w:t>
      </w:r>
      <w:r>
        <w:rPr>
          <w:spacing w:val="-7"/>
          <w:w w:val="115"/>
        </w:rPr>
        <w:t> </w:t>
      </w:r>
      <w:r>
        <w:rPr>
          <w:w w:val="115"/>
        </w:rPr>
        <w:t>actual</w:t>
      </w:r>
      <w:r>
        <w:rPr>
          <w:spacing w:val="-7"/>
          <w:w w:val="115"/>
        </w:rPr>
        <w:t> </w:t>
      </w:r>
      <w:r>
        <w:rPr>
          <w:w w:val="115"/>
        </w:rPr>
        <w:t>de</w:t>
      </w:r>
      <w:r>
        <w:rPr>
          <w:spacing w:val="-7"/>
          <w:w w:val="115"/>
        </w:rPr>
        <w:t> </w:t>
      </w:r>
      <w:r>
        <w:rPr>
          <w:w w:val="115"/>
        </w:rPr>
        <w:t>los</w:t>
      </w:r>
      <w:r>
        <w:rPr>
          <w:spacing w:val="-7"/>
          <w:w w:val="115"/>
        </w:rPr>
        <w:t> </w:t>
      </w:r>
      <w:r>
        <w:rPr>
          <w:w w:val="115"/>
        </w:rPr>
        <w:t>temas</w:t>
      </w:r>
      <w:r>
        <w:rPr>
          <w:spacing w:val="-7"/>
          <w:w w:val="115"/>
        </w:rPr>
        <w:t> </w:t>
      </w:r>
      <w:r>
        <w:rPr>
          <w:w w:val="115"/>
        </w:rPr>
        <w:t>prioritarios,</w:t>
      </w:r>
      <w:r>
        <w:rPr>
          <w:w w:val="110"/>
        </w:rPr>
        <w:t> </w:t>
      </w:r>
      <w:r>
        <w:rPr>
          <w:w w:val="115"/>
        </w:rPr>
        <w:t>estrategias</w:t>
      </w:r>
      <w:r>
        <w:rPr>
          <w:spacing w:val="-31"/>
          <w:w w:val="115"/>
        </w:rPr>
        <w:t> </w:t>
      </w:r>
      <w:r>
        <w:rPr>
          <w:w w:val="115"/>
        </w:rPr>
        <w:t>y</w:t>
      </w:r>
      <w:r>
        <w:rPr>
          <w:spacing w:val="-31"/>
          <w:w w:val="115"/>
        </w:rPr>
        <w:t> </w:t>
      </w:r>
      <w:r>
        <w:rPr>
          <w:w w:val="115"/>
        </w:rPr>
        <w:t>objetivos</w:t>
      </w:r>
      <w:r>
        <w:rPr>
          <w:spacing w:val="-31"/>
          <w:w w:val="115"/>
        </w:rPr>
        <w:t> </w:t>
      </w:r>
      <w:r>
        <w:rPr>
          <w:w w:val="115"/>
        </w:rPr>
        <w:t>de</w:t>
      </w:r>
      <w:r>
        <w:rPr>
          <w:spacing w:val="-31"/>
          <w:w w:val="115"/>
        </w:rPr>
        <w:t> </w:t>
      </w:r>
      <w:r>
        <w:rPr>
          <w:w w:val="115"/>
        </w:rPr>
        <w:t>política</w:t>
      </w:r>
      <w:r>
        <w:rPr>
          <w:spacing w:val="-31"/>
          <w:w w:val="115"/>
        </w:rPr>
        <w:t> </w:t>
      </w:r>
      <w:r>
        <w:rPr>
          <w:w w:val="115"/>
        </w:rPr>
        <w:t>exterior</w:t>
      </w:r>
      <w:r>
        <w:rPr>
          <w:spacing w:val="-31"/>
          <w:w w:val="115"/>
        </w:rPr>
        <w:t> </w:t>
      </w:r>
      <w:r>
        <w:rPr>
          <w:w w:val="115"/>
        </w:rPr>
        <w:t>para</w:t>
      </w:r>
      <w:r>
        <w:rPr>
          <w:spacing w:val="-31"/>
          <w:w w:val="115"/>
        </w:rPr>
        <w:t> </w:t>
      </w:r>
      <w:r>
        <w:rPr>
          <w:w w:val="115"/>
        </w:rPr>
        <w:t>el</w:t>
      </w:r>
      <w:r>
        <w:rPr>
          <w:spacing w:val="-31"/>
          <w:w w:val="115"/>
        </w:rPr>
        <w:t> </w:t>
      </w:r>
      <w:r>
        <w:rPr>
          <w:w w:val="115"/>
        </w:rPr>
        <w:t>Hemisferio</w:t>
      </w:r>
      <w:r>
        <w:rPr>
          <w:spacing w:val="-31"/>
          <w:w w:val="115"/>
        </w:rPr>
        <w:t> </w:t>
      </w:r>
      <w:r>
        <w:rPr>
          <w:w w:val="115"/>
        </w:rPr>
        <w:t>occiden-</w:t>
      </w:r>
      <w:r>
        <w:rPr>
          <w:w w:val="102"/>
        </w:rPr>
        <w:t> </w:t>
      </w:r>
      <w:r>
        <w:rPr>
          <w:w w:val="115"/>
        </w:rPr>
        <w:t>tal de ambas administraciones de barack obama; el</w:t>
      </w:r>
      <w:r>
        <w:rPr>
          <w:spacing w:val="4"/>
          <w:w w:val="115"/>
        </w:rPr>
        <w:t> </w:t>
      </w:r>
      <w:r>
        <w:rPr>
          <w:w w:val="115"/>
        </w:rPr>
        <w:t>objetivo princi-</w:t>
      </w:r>
      <w:r>
        <w:rPr>
          <w:w w:val="102"/>
        </w:rPr>
        <w:t> </w:t>
      </w:r>
      <w:r>
        <w:rPr>
          <w:w w:val="115"/>
        </w:rPr>
        <w:t>pal</w:t>
      </w:r>
      <w:r>
        <w:rPr>
          <w:spacing w:val="-9"/>
          <w:w w:val="115"/>
        </w:rPr>
        <w:t> </w:t>
      </w:r>
      <w:r>
        <w:rPr>
          <w:w w:val="115"/>
        </w:rPr>
        <w:t>del</w:t>
      </w:r>
      <w:r>
        <w:rPr>
          <w:spacing w:val="-9"/>
          <w:w w:val="115"/>
        </w:rPr>
        <w:t> </w:t>
      </w:r>
      <w:r>
        <w:rPr>
          <w:w w:val="115"/>
        </w:rPr>
        <w:t>texto</w:t>
      </w:r>
      <w:r>
        <w:rPr>
          <w:spacing w:val="-9"/>
          <w:w w:val="115"/>
        </w:rPr>
        <w:t> </w:t>
      </w:r>
      <w:r>
        <w:rPr>
          <w:w w:val="115"/>
        </w:rPr>
        <w:t>es</w:t>
      </w:r>
      <w:r>
        <w:rPr>
          <w:spacing w:val="-9"/>
          <w:w w:val="115"/>
        </w:rPr>
        <w:t> </w:t>
      </w:r>
      <w:r>
        <w:rPr>
          <w:w w:val="115"/>
        </w:rPr>
        <w:t>recordarnos</w:t>
      </w:r>
      <w:r>
        <w:rPr>
          <w:spacing w:val="-9"/>
          <w:w w:val="115"/>
        </w:rPr>
        <w:t> </w:t>
      </w:r>
      <w:r>
        <w:rPr>
          <w:w w:val="115"/>
        </w:rPr>
        <w:t>que</w:t>
      </w:r>
      <w:r>
        <w:rPr>
          <w:spacing w:val="-9"/>
          <w:w w:val="115"/>
        </w:rPr>
        <w:t> </w:t>
      </w:r>
      <w:r>
        <w:rPr>
          <w:w w:val="115"/>
        </w:rPr>
        <w:t>las</w:t>
      </w:r>
      <w:r>
        <w:rPr>
          <w:spacing w:val="-9"/>
          <w:w w:val="115"/>
        </w:rPr>
        <w:t> </w:t>
      </w:r>
      <w:r>
        <w:rPr>
          <w:w w:val="115"/>
        </w:rPr>
        <w:t>relaciones</w:t>
      </w:r>
      <w:r>
        <w:rPr>
          <w:spacing w:val="-9"/>
          <w:w w:val="115"/>
        </w:rPr>
        <w:t> </w:t>
      </w:r>
      <w:r>
        <w:rPr>
          <w:w w:val="115"/>
        </w:rPr>
        <w:t>entre</w:t>
      </w:r>
      <w:r>
        <w:rPr>
          <w:spacing w:val="-9"/>
          <w:w w:val="115"/>
        </w:rPr>
        <w:t> </w:t>
      </w:r>
      <w:r>
        <w:rPr>
          <w:w w:val="115"/>
        </w:rPr>
        <w:t>Estados</w:t>
      </w:r>
      <w:r>
        <w:rPr>
          <w:spacing w:val="-9"/>
          <w:w w:val="115"/>
        </w:rPr>
        <w:t> </w:t>
      </w:r>
      <w:r>
        <w:rPr>
          <w:w w:val="115"/>
        </w:rPr>
        <w:t>unidos</w:t>
      </w:r>
      <w:r>
        <w:rPr>
          <w:w w:val="110"/>
        </w:rPr>
        <w:t> </w:t>
      </w:r>
      <w:r>
        <w:rPr>
          <w:w w:val="105"/>
        </w:rPr>
        <w:t>y</w:t>
      </w:r>
      <w:r>
        <w:rPr/>
        <w:t> </w:t>
      </w:r>
      <w:r>
        <w:rPr>
          <w:spacing w:val="-14"/>
        </w:rPr>
        <w:t> </w:t>
      </w:r>
      <w:r>
        <w:rPr>
          <w:w w:val="108"/>
        </w:rPr>
        <w:t>los</w:t>
      </w:r>
      <w:r>
        <w:rPr/>
        <w:t> </w:t>
      </w:r>
      <w:r>
        <w:rPr>
          <w:spacing w:val="-14"/>
        </w:rPr>
        <w:t> </w:t>
      </w:r>
      <w:r>
        <w:rPr>
          <w:w w:val="108"/>
        </w:rPr>
        <w:t>países</w:t>
      </w:r>
      <w:r>
        <w:rPr/>
        <w:t> </w:t>
      </w:r>
      <w:r>
        <w:rPr>
          <w:spacing w:val="-14"/>
        </w:rPr>
        <w:t> </w:t>
      </w:r>
      <w:r>
        <w:rPr>
          <w:w w:val="107"/>
        </w:rPr>
        <w:t>de</w:t>
      </w:r>
      <w:r>
        <w:rPr/>
        <w:t> </w:t>
      </w:r>
      <w:r>
        <w:rPr>
          <w:spacing w:val="-14"/>
        </w:rPr>
        <w:t> </w:t>
      </w:r>
      <w:r>
        <w:rPr>
          <w:w w:val="139"/>
        </w:rPr>
        <w:t>a</w:t>
      </w:r>
      <w:r>
        <w:rPr>
          <w:w w:val="111"/>
        </w:rPr>
        <w:t>mérica</w:t>
      </w:r>
      <w:r>
        <w:rPr/>
        <w:t> </w:t>
      </w:r>
      <w:r>
        <w:rPr>
          <w:spacing w:val="-14"/>
        </w:rPr>
        <w:t> </w:t>
      </w:r>
      <w:r>
        <w:rPr>
          <w:w w:val="243"/>
        </w:rPr>
        <w:t>l</w:t>
      </w:r>
      <w:r>
        <w:rPr>
          <w:w w:val="111"/>
        </w:rPr>
        <w:t>atina</w:t>
      </w:r>
      <w:r>
        <w:rPr/>
        <w:t> </w:t>
      </w:r>
      <w:r>
        <w:rPr>
          <w:spacing w:val="-14"/>
        </w:rPr>
        <w:t> </w:t>
      </w:r>
      <w:r>
        <w:rPr>
          <w:w w:val="105"/>
        </w:rPr>
        <w:t>y</w:t>
      </w:r>
      <w:r>
        <w:rPr/>
        <w:t> </w:t>
      </w:r>
      <w:r>
        <w:rPr>
          <w:spacing w:val="-14"/>
        </w:rPr>
        <w:t> </w:t>
      </w:r>
      <w:r>
        <w:rPr>
          <w:w w:val="107"/>
        </w:rPr>
        <w:t>el</w:t>
      </w:r>
      <w:r>
        <w:rPr/>
        <w:t> </w:t>
      </w:r>
      <w:r>
        <w:rPr>
          <w:spacing w:val="-14"/>
        </w:rPr>
        <w:t> </w:t>
      </w:r>
      <w:r>
        <w:rPr>
          <w:w w:val="112"/>
        </w:rPr>
        <w:t>Caribe</w:t>
      </w:r>
      <w:r>
        <w:rPr/>
        <w:t> </w:t>
      </w:r>
      <w:r>
        <w:rPr>
          <w:spacing w:val="-14"/>
        </w:rPr>
        <w:t> </w:t>
      </w:r>
      <w:r>
        <w:rPr>
          <w:w w:val="112"/>
        </w:rPr>
        <w:t>han</w:t>
      </w:r>
      <w:r>
        <w:rPr/>
        <w:t> </w:t>
      </w:r>
      <w:r>
        <w:rPr>
          <w:spacing w:val="-14"/>
        </w:rPr>
        <w:t> </w:t>
      </w:r>
      <w:r>
        <w:rPr>
          <w:w w:val="108"/>
        </w:rPr>
        <w:t>superado</w:t>
      </w:r>
      <w:r>
        <w:rPr/>
        <w:t> </w:t>
      </w:r>
      <w:r>
        <w:rPr>
          <w:spacing w:val="-14"/>
        </w:rPr>
        <w:t> </w:t>
      </w:r>
      <w:r>
        <w:rPr>
          <w:w w:val="108"/>
        </w:rPr>
        <w:t>ya</w:t>
      </w:r>
      <w:r>
        <w:rPr/>
        <w:t> </w:t>
      </w:r>
      <w:r>
        <w:rPr>
          <w:spacing w:val="-14"/>
        </w:rPr>
        <w:t> </w:t>
      </w:r>
      <w:r>
        <w:rPr>
          <w:w w:val="111"/>
        </w:rPr>
        <w:t>la</w:t>
      </w:r>
      <w:r>
        <w:rPr/>
        <w:t> </w:t>
      </w:r>
      <w:r>
        <w:rPr>
          <w:spacing w:val="-14"/>
        </w:rPr>
        <w:t> </w:t>
      </w:r>
      <w:r>
        <w:rPr>
          <w:w w:val="109"/>
        </w:rPr>
        <w:t>etapa </w:t>
      </w:r>
      <w:r>
        <w:rPr>
          <w:w w:val="115"/>
        </w:rPr>
        <w:t>de</w:t>
      </w:r>
      <w:r>
        <w:rPr>
          <w:spacing w:val="-5"/>
          <w:w w:val="115"/>
        </w:rPr>
        <w:t> </w:t>
      </w:r>
      <w:r>
        <w:rPr>
          <w:w w:val="115"/>
        </w:rPr>
        <w:t>Guerra</w:t>
      </w:r>
      <w:r>
        <w:rPr>
          <w:spacing w:val="-5"/>
          <w:w w:val="115"/>
        </w:rPr>
        <w:t> </w:t>
      </w:r>
      <w:r>
        <w:rPr>
          <w:w w:val="115"/>
        </w:rPr>
        <w:t>Fría</w:t>
      </w:r>
      <w:r>
        <w:rPr>
          <w:spacing w:val="-5"/>
          <w:w w:val="115"/>
        </w:rPr>
        <w:t> </w:t>
      </w:r>
      <w:r>
        <w:rPr>
          <w:w w:val="115"/>
        </w:rPr>
        <w:t>y</w:t>
      </w:r>
      <w:r>
        <w:rPr>
          <w:spacing w:val="-5"/>
          <w:w w:val="115"/>
        </w:rPr>
        <w:t> </w:t>
      </w:r>
      <w:r>
        <w:rPr>
          <w:w w:val="115"/>
        </w:rPr>
        <w:t>que</w:t>
      </w:r>
      <w:r>
        <w:rPr>
          <w:spacing w:val="-5"/>
          <w:w w:val="115"/>
        </w:rPr>
        <w:t> </w:t>
      </w:r>
      <w:r>
        <w:rPr>
          <w:w w:val="115"/>
        </w:rPr>
        <w:t>actualmente</w:t>
      </w:r>
      <w:r>
        <w:rPr>
          <w:spacing w:val="-5"/>
          <w:w w:val="115"/>
        </w:rPr>
        <w:t> </w:t>
      </w:r>
      <w:r>
        <w:rPr>
          <w:w w:val="115"/>
        </w:rPr>
        <w:t>dichas</w:t>
      </w:r>
      <w:r>
        <w:rPr>
          <w:spacing w:val="-5"/>
          <w:w w:val="115"/>
        </w:rPr>
        <w:t> </w:t>
      </w:r>
      <w:r>
        <w:rPr>
          <w:w w:val="115"/>
        </w:rPr>
        <w:t>relaciones</w:t>
      </w:r>
      <w:r>
        <w:rPr>
          <w:spacing w:val="-5"/>
          <w:w w:val="115"/>
        </w:rPr>
        <w:t> </w:t>
      </w:r>
      <w:r>
        <w:rPr>
          <w:w w:val="115"/>
        </w:rPr>
        <w:t>y</w:t>
      </w:r>
      <w:r>
        <w:rPr>
          <w:spacing w:val="-5"/>
          <w:w w:val="115"/>
        </w:rPr>
        <w:t> </w:t>
      </w:r>
      <w:r>
        <w:rPr>
          <w:w w:val="115"/>
        </w:rPr>
        <w:t>agendas</w:t>
      </w:r>
      <w:r>
        <w:rPr>
          <w:spacing w:val="-5"/>
          <w:w w:val="115"/>
        </w:rPr>
        <w:t> </w:t>
      </w:r>
      <w:r>
        <w:rPr>
          <w:w w:val="115"/>
        </w:rPr>
        <w:t>están</w:t>
      </w:r>
      <w:r>
        <w:rPr>
          <w:w w:val="108"/>
        </w:rPr>
        <w:t> </w:t>
      </w:r>
      <w:r>
        <w:rPr>
          <w:w w:val="110"/>
        </w:rPr>
        <w:t>guiadas por otras lógicas bilaterales, subregionales y</w:t>
      </w:r>
      <w:r>
        <w:rPr>
          <w:spacing w:val="-9"/>
          <w:w w:val="110"/>
        </w:rPr>
        <w:t> </w:t>
      </w:r>
      <w:r>
        <w:rPr>
          <w:w w:val="110"/>
        </w:rPr>
        <w:t>hemisféricas</w:t>
      </w:r>
      <w:r>
        <w:rPr>
          <w:spacing w:val="-2"/>
          <w:w w:val="110"/>
        </w:rPr>
        <w:t> </w:t>
      </w:r>
      <w:r>
        <w:rPr>
          <w:w w:val="110"/>
        </w:rPr>
        <w:t>que</w:t>
      </w:r>
      <w:r>
        <w:rPr>
          <w:w w:val="108"/>
        </w:rPr>
        <w:t> </w:t>
      </w:r>
      <w:r>
        <w:rPr>
          <w:w w:val="115"/>
        </w:rPr>
        <w:t>giran</w:t>
      </w:r>
      <w:r>
        <w:rPr>
          <w:spacing w:val="-24"/>
          <w:w w:val="115"/>
        </w:rPr>
        <w:t> </w:t>
      </w:r>
      <w:r>
        <w:rPr>
          <w:w w:val="115"/>
        </w:rPr>
        <w:t>en</w:t>
      </w:r>
      <w:r>
        <w:rPr>
          <w:spacing w:val="-24"/>
          <w:w w:val="115"/>
        </w:rPr>
        <w:t> </w:t>
      </w:r>
      <w:r>
        <w:rPr>
          <w:w w:val="115"/>
        </w:rPr>
        <w:t>torno</w:t>
      </w:r>
      <w:r>
        <w:rPr>
          <w:spacing w:val="-24"/>
          <w:w w:val="115"/>
        </w:rPr>
        <w:t> </w:t>
      </w:r>
      <w:r>
        <w:rPr>
          <w:w w:val="115"/>
        </w:rPr>
        <w:t>a</w:t>
      </w:r>
      <w:r>
        <w:rPr>
          <w:spacing w:val="-24"/>
          <w:w w:val="115"/>
        </w:rPr>
        <w:t> </w:t>
      </w:r>
      <w:r>
        <w:rPr>
          <w:w w:val="115"/>
        </w:rPr>
        <w:t>la</w:t>
      </w:r>
      <w:r>
        <w:rPr>
          <w:spacing w:val="-24"/>
          <w:w w:val="115"/>
        </w:rPr>
        <w:t> </w:t>
      </w:r>
      <w:r>
        <w:rPr>
          <w:w w:val="115"/>
        </w:rPr>
        <w:t>seguridad</w:t>
      </w:r>
      <w:r>
        <w:rPr>
          <w:spacing w:val="-24"/>
          <w:w w:val="115"/>
        </w:rPr>
        <w:t> </w:t>
      </w:r>
      <w:r>
        <w:rPr>
          <w:w w:val="115"/>
        </w:rPr>
        <w:t>ciudadana,</w:t>
      </w:r>
      <w:r>
        <w:rPr>
          <w:spacing w:val="-24"/>
          <w:w w:val="115"/>
        </w:rPr>
        <w:t> </w:t>
      </w:r>
      <w:r>
        <w:rPr>
          <w:w w:val="115"/>
        </w:rPr>
        <w:t>la</w:t>
      </w:r>
      <w:r>
        <w:rPr>
          <w:spacing w:val="-24"/>
          <w:w w:val="115"/>
        </w:rPr>
        <w:t> </w:t>
      </w:r>
      <w:r>
        <w:rPr>
          <w:w w:val="115"/>
        </w:rPr>
        <w:t>promoción</w:t>
      </w:r>
      <w:r>
        <w:rPr>
          <w:spacing w:val="-24"/>
          <w:w w:val="115"/>
        </w:rPr>
        <w:t> </w:t>
      </w:r>
      <w:r>
        <w:rPr>
          <w:w w:val="115"/>
        </w:rPr>
        <w:t>y</w:t>
      </w:r>
      <w:r>
        <w:rPr>
          <w:spacing w:val="-24"/>
          <w:w w:val="115"/>
        </w:rPr>
        <w:t> </w:t>
      </w:r>
      <w:r>
        <w:rPr>
          <w:i/>
          <w:w w:val="115"/>
        </w:rPr>
        <w:t>defensa</w:t>
      </w:r>
      <w:r>
        <w:rPr>
          <w:i/>
          <w:spacing w:val="-24"/>
          <w:w w:val="115"/>
        </w:rPr>
        <w:t> </w:t>
      </w:r>
      <w:r>
        <w:rPr>
          <w:w w:val="115"/>
        </w:rPr>
        <w:t>de</w:t>
      </w:r>
      <w:r>
        <w:rPr>
          <w:spacing w:val="-24"/>
          <w:w w:val="115"/>
        </w:rPr>
        <w:t> </w:t>
      </w:r>
      <w:r>
        <w:rPr>
          <w:w w:val="115"/>
        </w:rPr>
        <w:t>los</w:t>
      </w:r>
      <w:r>
        <w:rPr>
          <w:w w:val="108"/>
        </w:rPr>
        <w:t> </w:t>
      </w:r>
      <w:r>
        <w:rPr>
          <w:w w:val="115"/>
        </w:rPr>
        <w:t>derechos</w:t>
      </w:r>
      <w:r>
        <w:rPr>
          <w:spacing w:val="-22"/>
          <w:w w:val="115"/>
        </w:rPr>
        <w:t> </w:t>
      </w:r>
      <w:r>
        <w:rPr>
          <w:w w:val="115"/>
        </w:rPr>
        <w:t>humanos,</w:t>
      </w:r>
      <w:r>
        <w:rPr>
          <w:spacing w:val="-22"/>
          <w:w w:val="115"/>
        </w:rPr>
        <w:t> </w:t>
      </w:r>
      <w:r>
        <w:rPr>
          <w:w w:val="115"/>
        </w:rPr>
        <w:t>la</w:t>
      </w:r>
      <w:r>
        <w:rPr>
          <w:spacing w:val="-22"/>
          <w:w w:val="115"/>
        </w:rPr>
        <w:t> </w:t>
      </w:r>
      <w:r>
        <w:rPr>
          <w:w w:val="115"/>
        </w:rPr>
        <w:t>democracia,</w:t>
      </w:r>
      <w:r>
        <w:rPr>
          <w:spacing w:val="-22"/>
          <w:w w:val="115"/>
        </w:rPr>
        <w:t> </w:t>
      </w:r>
      <w:r>
        <w:rPr>
          <w:w w:val="115"/>
        </w:rPr>
        <w:t>los</w:t>
      </w:r>
      <w:r>
        <w:rPr>
          <w:spacing w:val="-22"/>
          <w:w w:val="115"/>
        </w:rPr>
        <w:t> </w:t>
      </w:r>
      <w:r>
        <w:rPr>
          <w:w w:val="115"/>
        </w:rPr>
        <w:t>negocios</w:t>
      </w:r>
      <w:r>
        <w:rPr>
          <w:spacing w:val="-22"/>
          <w:w w:val="115"/>
        </w:rPr>
        <w:t> </w:t>
      </w:r>
      <w:r>
        <w:rPr>
          <w:w w:val="115"/>
        </w:rPr>
        <w:t>y</w:t>
      </w:r>
      <w:r>
        <w:rPr>
          <w:spacing w:val="-22"/>
          <w:w w:val="115"/>
        </w:rPr>
        <w:t> </w:t>
      </w:r>
      <w:r>
        <w:rPr>
          <w:w w:val="115"/>
        </w:rPr>
        <w:t>el</w:t>
      </w:r>
      <w:r>
        <w:rPr>
          <w:spacing w:val="-22"/>
          <w:w w:val="115"/>
        </w:rPr>
        <w:t> </w:t>
      </w:r>
      <w:r>
        <w:rPr>
          <w:w w:val="115"/>
        </w:rPr>
        <w:t>cambio</w:t>
      </w:r>
      <w:r>
        <w:rPr>
          <w:spacing w:val="-22"/>
          <w:w w:val="115"/>
        </w:rPr>
        <w:t> </w:t>
      </w:r>
      <w:r>
        <w:rPr>
          <w:w w:val="115"/>
        </w:rPr>
        <w:t>climático.</w:t>
      </w:r>
      <w:r>
        <w:rPr>
          <w:w w:val="114"/>
        </w:rPr>
        <w:t> </w:t>
      </w:r>
      <w:r>
        <w:rPr>
          <w:w w:val="115"/>
        </w:rPr>
        <w:t>a</w:t>
      </w:r>
      <w:r>
        <w:rPr>
          <w:spacing w:val="-5"/>
          <w:w w:val="115"/>
        </w:rPr>
        <w:t> </w:t>
      </w:r>
      <w:r>
        <w:rPr>
          <w:w w:val="115"/>
        </w:rPr>
        <w:t>fin</w:t>
      </w:r>
      <w:r>
        <w:rPr>
          <w:spacing w:val="-5"/>
          <w:w w:val="115"/>
        </w:rPr>
        <w:t> </w:t>
      </w:r>
      <w:r>
        <w:rPr>
          <w:w w:val="115"/>
        </w:rPr>
        <w:t>de</w:t>
      </w:r>
      <w:r>
        <w:rPr>
          <w:spacing w:val="-5"/>
          <w:w w:val="115"/>
        </w:rPr>
        <w:t> </w:t>
      </w:r>
      <w:r>
        <w:rPr>
          <w:w w:val="115"/>
        </w:rPr>
        <w:t>continuar</w:t>
      </w:r>
      <w:r>
        <w:rPr>
          <w:spacing w:val="-5"/>
          <w:w w:val="115"/>
        </w:rPr>
        <w:t> </w:t>
      </w:r>
      <w:r>
        <w:rPr>
          <w:w w:val="115"/>
        </w:rPr>
        <w:t>con</w:t>
      </w:r>
      <w:r>
        <w:rPr>
          <w:spacing w:val="-5"/>
          <w:w w:val="115"/>
        </w:rPr>
        <w:t> </w:t>
      </w:r>
      <w:r>
        <w:rPr>
          <w:w w:val="115"/>
        </w:rPr>
        <w:t>el</w:t>
      </w:r>
      <w:r>
        <w:rPr>
          <w:spacing w:val="-5"/>
          <w:w w:val="115"/>
        </w:rPr>
        <w:t> </w:t>
      </w:r>
      <w:r>
        <w:rPr>
          <w:w w:val="115"/>
        </w:rPr>
        <w:t>análisis</w:t>
      </w:r>
      <w:r>
        <w:rPr>
          <w:spacing w:val="-5"/>
          <w:w w:val="115"/>
        </w:rPr>
        <w:t> </w:t>
      </w:r>
      <w:r>
        <w:rPr>
          <w:w w:val="115"/>
        </w:rPr>
        <w:t>de</w:t>
      </w:r>
      <w:r>
        <w:rPr>
          <w:spacing w:val="-5"/>
          <w:w w:val="115"/>
        </w:rPr>
        <w:t> </w:t>
      </w:r>
      <w:r>
        <w:rPr>
          <w:w w:val="115"/>
        </w:rPr>
        <w:t>la</w:t>
      </w:r>
      <w:r>
        <w:rPr>
          <w:spacing w:val="-5"/>
          <w:w w:val="115"/>
        </w:rPr>
        <w:t> </w:t>
      </w:r>
      <w:r>
        <w:rPr>
          <w:w w:val="115"/>
        </w:rPr>
        <w:t>actividad</w:t>
      </w:r>
      <w:r>
        <w:rPr>
          <w:spacing w:val="-5"/>
          <w:w w:val="115"/>
        </w:rPr>
        <w:t> </w:t>
      </w:r>
      <w:r>
        <w:rPr>
          <w:w w:val="115"/>
        </w:rPr>
        <w:t>de</w:t>
      </w:r>
      <w:r>
        <w:rPr>
          <w:spacing w:val="-5"/>
          <w:w w:val="115"/>
        </w:rPr>
        <w:t> </w:t>
      </w:r>
      <w:r>
        <w:rPr>
          <w:w w:val="115"/>
        </w:rPr>
        <w:t>actores</w:t>
      </w:r>
      <w:r>
        <w:rPr>
          <w:spacing w:val="-5"/>
          <w:w w:val="115"/>
        </w:rPr>
        <w:t> </w:t>
      </w:r>
      <w:r>
        <w:rPr>
          <w:w w:val="115"/>
        </w:rPr>
        <w:t>esta-</w:t>
      </w:r>
      <w:r>
        <w:rPr>
          <w:w w:val="102"/>
        </w:rPr>
        <w:t> </w:t>
      </w:r>
      <w:r>
        <w:rPr>
          <w:w w:val="115"/>
        </w:rPr>
        <w:t>dounidenses en el </w:t>
      </w:r>
      <w:r>
        <w:rPr>
          <w:spacing w:val="-3"/>
          <w:w w:val="115"/>
        </w:rPr>
        <w:t>exterior, </w:t>
      </w:r>
      <w:r>
        <w:rPr>
          <w:w w:val="115"/>
        </w:rPr>
        <w:t>ary Cesar Minella, profesor adscrito</w:t>
      </w:r>
      <w:r>
        <w:rPr>
          <w:spacing w:val="8"/>
          <w:w w:val="115"/>
        </w:rPr>
        <w:t> </w:t>
      </w:r>
      <w:r>
        <w:rPr>
          <w:w w:val="115"/>
        </w:rPr>
        <w:t>a la</w:t>
      </w:r>
      <w:r>
        <w:rPr>
          <w:w w:val="111"/>
        </w:rPr>
        <w:t> </w:t>
      </w:r>
      <w:r>
        <w:rPr>
          <w:w w:val="115"/>
        </w:rPr>
        <w:t>universidad Federal de santa Catarina (uFsC), presenta</w:t>
      </w:r>
      <w:r>
        <w:rPr>
          <w:spacing w:val="43"/>
          <w:w w:val="115"/>
        </w:rPr>
        <w:t> </w:t>
      </w:r>
      <w:r>
        <w:rPr>
          <w:w w:val="115"/>
        </w:rPr>
        <w:t>un</w:t>
      </w:r>
      <w:r>
        <w:rPr>
          <w:spacing w:val="13"/>
          <w:w w:val="115"/>
        </w:rPr>
        <w:t> </w:t>
      </w:r>
      <w:r>
        <w:rPr>
          <w:w w:val="115"/>
        </w:rPr>
        <w:t>trabajo</w:t>
      </w:r>
      <w:r>
        <w:rPr>
          <w:w w:val="110"/>
        </w:rPr>
        <w:t> </w:t>
      </w:r>
      <w:r>
        <w:rPr>
          <w:w w:val="115"/>
        </w:rPr>
        <w:t>detallado</w:t>
      </w:r>
      <w:r>
        <w:rPr>
          <w:spacing w:val="-18"/>
          <w:w w:val="115"/>
        </w:rPr>
        <w:t> </w:t>
      </w:r>
      <w:r>
        <w:rPr>
          <w:w w:val="115"/>
        </w:rPr>
        <w:t>de</w:t>
      </w:r>
      <w:r>
        <w:rPr>
          <w:spacing w:val="-18"/>
          <w:w w:val="115"/>
        </w:rPr>
        <w:t> </w:t>
      </w:r>
      <w:r>
        <w:rPr>
          <w:w w:val="115"/>
        </w:rPr>
        <w:t>investigación</w:t>
      </w:r>
      <w:r>
        <w:rPr>
          <w:spacing w:val="-18"/>
          <w:w w:val="115"/>
        </w:rPr>
        <w:t> </w:t>
      </w:r>
      <w:r>
        <w:rPr>
          <w:w w:val="115"/>
        </w:rPr>
        <w:t>cuantitativa</w:t>
      </w:r>
      <w:r>
        <w:rPr>
          <w:spacing w:val="-18"/>
          <w:w w:val="115"/>
        </w:rPr>
        <w:t> </w:t>
      </w:r>
      <w:r>
        <w:rPr>
          <w:w w:val="115"/>
        </w:rPr>
        <w:t>y</w:t>
      </w:r>
      <w:r>
        <w:rPr>
          <w:spacing w:val="-18"/>
          <w:w w:val="115"/>
        </w:rPr>
        <w:t> </w:t>
      </w:r>
      <w:r>
        <w:rPr>
          <w:w w:val="115"/>
        </w:rPr>
        <w:t>análisis</w:t>
      </w:r>
      <w:r>
        <w:rPr>
          <w:spacing w:val="-18"/>
          <w:w w:val="115"/>
        </w:rPr>
        <w:t> </w:t>
      </w:r>
      <w:r>
        <w:rPr>
          <w:w w:val="115"/>
        </w:rPr>
        <w:t>político-económico</w:t>
      </w:r>
      <w:r>
        <w:rPr>
          <w:w w:val="111"/>
        </w:rPr>
        <w:t> </w:t>
      </w:r>
      <w:r>
        <w:rPr>
          <w:w w:val="115"/>
        </w:rPr>
        <w:t>que</w:t>
      </w:r>
      <w:r>
        <w:rPr>
          <w:spacing w:val="-22"/>
          <w:w w:val="115"/>
        </w:rPr>
        <w:t> </w:t>
      </w:r>
      <w:r>
        <w:rPr>
          <w:w w:val="115"/>
        </w:rPr>
        <w:t>lleva</w:t>
      </w:r>
      <w:r>
        <w:rPr>
          <w:spacing w:val="-22"/>
          <w:w w:val="115"/>
        </w:rPr>
        <w:t> </w:t>
      </w:r>
      <w:r>
        <w:rPr>
          <w:w w:val="115"/>
        </w:rPr>
        <w:t>por</w:t>
      </w:r>
      <w:r>
        <w:rPr>
          <w:spacing w:val="-22"/>
          <w:w w:val="115"/>
        </w:rPr>
        <w:t> </w:t>
      </w:r>
      <w:r>
        <w:rPr>
          <w:w w:val="115"/>
        </w:rPr>
        <w:t>título</w:t>
      </w:r>
      <w:r>
        <w:rPr>
          <w:spacing w:val="-22"/>
          <w:w w:val="115"/>
        </w:rPr>
        <w:t> </w:t>
      </w:r>
      <w:r>
        <w:rPr>
          <w:w w:val="115"/>
        </w:rPr>
        <w:t>“reformas</w:t>
      </w:r>
      <w:r>
        <w:rPr>
          <w:spacing w:val="-22"/>
          <w:w w:val="115"/>
        </w:rPr>
        <w:t> </w:t>
      </w:r>
      <w:r>
        <w:rPr>
          <w:w w:val="115"/>
        </w:rPr>
        <w:t>políticas</w:t>
      </w:r>
      <w:r>
        <w:rPr>
          <w:spacing w:val="-22"/>
          <w:w w:val="115"/>
        </w:rPr>
        <w:t> </w:t>
      </w:r>
      <w:r>
        <w:rPr>
          <w:w w:val="115"/>
        </w:rPr>
        <w:t>y</w:t>
      </w:r>
      <w:r>
        <w:rPr>
          <w:spacing w:val="-22"/>
          <w:w w:val="115"/>
        </w:rPr>
        <w:t> </w:t>
      </w:r>
      <w:r>
        <w:rPr>
          <w:w w:val="115"/>
        </w:rPr>
        <w:t>económicas:</w:t>
      </w:r>
      <w:r>
        <w:rPr>
          <w:spacing w:val="-22"/>
          <w:w w:val="115"/>
        </w:rPr>
        <w:t> </w:t>
      </w:r>
      <w:r>
        <w:rPr>
          <w:w w:val="115"/>
        </w:rPr>
        <w:t>la</w:t>
      </w:r>
      <w:r>
        <w:rPr>
          <w:spacing w:val="-22"/>
          <w:w w:val="115"/>
        </w:rPr>
        <w:t> </w:t>
      </w:r>
      <w:r>
        <w:rPr>
          <w:w w:val="115"/>
        </w:rPr>
        <w:t>actuación</w:t>
      </w:r>
      <w:r>
        <w:rPr>
          <w:spacing w:val="-22"/>
          <w:w w:val="115"/>
        </w:rPr>
        <w:t> </w:t>
      </w:r>
      <w:r>
        <w:rPr>
          <w:w w:val="115"/>
        </w:rPr>
        <w:t>del</w:t>
      </w:r>
      <w:r>
        <w:rPr>
          <w:w w:val="107"/>
        </w:rPr>
        <w:t> </w:t>
      </w:r>
      <w:r>
        <w:rPr>
          <w:i/>
          <w:w w:val="115"/>
        </w:rPr>
        <w:t>Center</w:t>
      </w:r>
      <w:r>
        <w:rPr>
          <w:i/>
          <w:spacing w:val="-11"/>
          <w:w w:val="115"/>
        </w:rPr>
        <w:t> </w:t>
      </w:r>
      <w:r>
        <w:rPr>
          <w:i/>
          <w:w w:val="115"/>
        </w:rPr>
        <w:t>for</w:t>
      </w:r>
      <w:r>
        <w:rPr>
          <w:i/>
          <w:spacing w:val="-11"/>
          <w:w w:val="115"/>
        </w:rPr>
        <w:t> </w:t>
      </w:r>
      <w:r>
        <w:rPr>
          <w:i/>
          <w:w w:val="115"/>
        </w:rPr>
        <w:t>International</w:t>
      </w:r>
      <w:r>
        <w:rPr>
          <w:i/>
          <w:spacing w:val="-11"/>
          <w:w w:val="115"/>
        </w:rPr>
        <w:t> </w:t>
      </w:r>
      <w:r>
        <w:rPr>
          <w:i/>
          <w:w w:val="115"/>
        </w:rPr>
        <w:t>Private</w:t>
      </w:r>
      <w:r>
        <w:rPr>
          <w:i/>
          <w:spacing w:val="-11"/>
          <w:w w:val="115"/>
        </w:rPr>
        <w:t> </w:t>
      </w:r>
      <w:r>
        <w:rPr>
          <w:i/>
          <w:w w:val="115"/>
        </w:rPr>
        <w:t>Enterprise</w:t>
      </w:r>
      <w:r>
        <w:rPr>
          <w:i/>
          <w:spacing w:val="-11"/>
          <w:w w:val="115"/>
        </w:rPr>
        <w:t> </w:t>
      </w:r>
      <w:r>
        <w:rPr>
          <w:w w:val="115"/>
        </w:rPr>
        <w:t>(CiPE</w:t>
      </w:r>
      <w:r>
        <w:rPr>
          <w:spacing w:val="-11"/>
          <w:w w:val="115"/>
        </w:rPr>
        <w:t> </w:t>
      </w:r>
      <w:r>
        <w:rPr>
          <w:w w:val="115"/>
        </w:rPr>
        <w:t>por</w:t>
      </w:r>
      <w:r>
        <w:rPr>
          <w:spacing w:val="-11"/>
          <w:w w:val="115"/>
        </w:rPr>
        <w:t> </w:t>
      </w:r>
      <w:r>
        <w:rPr>
          <w:w w:val="115"/>
        </w:rPr>
        <w:t>sus</w:t>
      </w:r>
      <w:r>
        <w:rPr>
          <w:spacing w:val="-11"/>
          <w:w w:val="115"/>
        </w:rPr>
        <w:t> </w:t>
      </w:r>
      <w:r>
        <w:rPr>
          <w:w w:val="115"/>
        </w:rPr>
        <w:t>siglas</w:t>
      </w:r>
      <w:r>
        <w:rPr>
          <w:spacing w:val="-11"/>
          <w:w w:val="115"/>
        </w:rPr>
        <w:t> </w:t>
      </w:r>
      <w:r>
        <w:rPr>
          <w:w w:val="115"/>
        </w:rPr>
        <w:t>en</w:t>
      </w:r>
      <w:r>
        <w:rPr>
          <w:spacing w:val="-11"/>
          <w:w w:val="115"/>
        </w:rPr>
        <w:t> </w:t>
      </w:r>
      <w:r>
        <w:rPr>
          <w:w w:val="115"/>
        </w:rPr>
        <w:t>in-</w:t>
      </w:r>
      <w:r>
        <w:rPr>
          <w:w w:val="102"/>
        </w:rPr>
        <w:t> </w:t>
      </w:r>
      <w:r>
        <w:rPr>
          <w:w w:val="106"/>
        </w:rPr>
        <w:t>glés)</w:t>
      </w:r>
      <w:r>
        <w:rPr>
          <w:spacing w:val="14"/>
        </w:rPr>
        <w:t> </w:t>
      </w:r>
      <w:r>
        <w:rPr>
          <w:w w:val="108"/>
        </w:rPr>
        <w:t>en</w:t>
      </w:r>
      <w:r>
        <w:rPr>
          <w:spacing w:val="14"/>
        </w:rPr>
        <w:t> </w:t>
      </w:r>
      <w:r>
        <w:rPr>
          <w:w w:val="139"/>
        </w:rPr>
        <w:t>a</w:t>
      </w:r>
      <w:r>
        <w:rPr>
          <w:w w:val="111"/>
        </w:rPr>
        <w:t>mérica</w:t>
      </w:r>
      <w:r>
        <w:rPr>
          <w:spacing w:val="14"/>
        </w:rPr>
        <w:t> </w:t>
      </w:r>
      <w:r>
        <w:rPr>
          <w:w w:val="243"/>
        </w:rPr>
        <w:t>l</w:t>
      </w:r>
      <w:r>
        <w:rPr>
          <w:w w:val="113"/>
        </w:rPr>
        <w:t>atina,</w:t>
      </w:r>
      <w:r>
        <w:rPr>
          <w:spacing w:val="14"/>
        </w:rPr>
        <w:t> </w:t>
      </w:r>
      <w:r>
        <w:rPr>
          <w:w w:val="107"/>
        </w:rPr>
        <w:t>el</w:t>
      </w:r>
      <w:r>
        <w:rPr>
          <w:spacing w:val="14"/>
        </w:rPr>
        <w:t> </w:t>
      </w:r>
      <w:r>
        <w:rPr>
          <w:w w:val="113"/>
        </w:rPr>
        <w:t>cual</w:t>
      </w:r>
      <w:r>
        <w:rPr>
          <w:spacing w:val="14"/>
        </w:rPr>
        <w:t> </w:t>
      </w:r>
      <w:r>
        <w:rPr>
          <w:w w:val="111"/>
        </w:rPr>
        <w:t>busca</w:t>
      </w:r>
      <w:r>
        <w:rPr>
          <w:spacing w:val="14"/>
        </w:rPr>
        <w:t> </w:t>
      </w:r>
      <w:r>
        <w:rPr>
          <w:w w:val="111"/>
        </w:rPr>
        <w:t>analizar</w:t>
      </w:r>
      <w:r>
        <w:rPr>
          <w:spacing w:val="14"/>
        </w:rPr>
        <w:t> </w:t>
      </w:r>
      <w:r>
        <w:rPr>
          <w:w w:val="107"/>
        </w:rPr>
        <w:t>el</w:t>
      </w:r>
      <w:r>
        <w:rPr>
          <w:spacing w:val="14"/>
        </w:rPr>
        <w:t> </w:t>
      </w:r>
      <w:r>
        <w:rPr>
          <w:w w:val="108"/>
        </w:rPr>
        <w:t>proceso</w:t>
      </w:r>
      <w:r>
        <w:rPr>
          <w:spacing w:val="14"/>
        </w:rPr>
        <w:t> </w:t>
      </w:r>
      <w:r>
        <w:rPr>
          <w:w w:val="107"/>
        </w:rPr>
        <w:t>de</w:t>
      </w:r>
      <w:r>
        <w:rPr>
          <w:spacing w:val="14"/>
        </w:rPr>
        <w:t> </w:t>
      </w:r>
      <w:r>
        <w:rPr>
          <w:w w:val="107"/>
        </w:rPr>
        <w:t>redefini</w:t>
      </w:r>
      <w:r>
        <w:rPr>
          <w:w w:val="102"/>
        </w:rPr>
        <w:t>- </w:t>
      </w:r>
      <w:r>
        <w:rPr>
          <w:w w:val="115"/>
        </w:rPr>
        <w:t>ción</w:t>
      </w:r>
      <w:r>
        <w:rPr>
          <w:spacing w:val="-26"/>
          <w:w w:val="115"/>
        </w:rPr>
        <w:t> </w:t>
      </w:r>
      <w:r>
        <w:rPr>
          <w:w w:val="115"/>
        </w:rPr>
        <w:t>y</w:t>
      </w:r>
      <w:r>
        <w:rPr>
          <w:spacing w:val="-26"/>
          <w:w w:val="115"/>
        </w:rPr>
        <w:t> </w:t>
      </w:r>
      <w:r>
        <w:rPr>
          <w:w w:val="115"/>
        </w:rPr>
        <w:t>actuación</w:t>
      </w:r>
      <w:r>
        <w:rPr>
          <w:spacing w:val="-26"/>
          <w:w w:val="115"/>
        </w:rPr>
        <w:t> </w:t>
      </w:r>
      <w:r>
        <w:rPr>
          <w:w w:val="115"/>
        </w:rPr>
        <w:t>del</w:t>
      </w:r>
      <w:r>
        <w:rPr>
          <w:spacing w:val="-26"/>
          <w:w w:val="115"/>
        </w:rPr>
        <w:t> </w:t>
      </w:r>
      <w:r>
        <w:rPr>
          <w:w w:val="115"/>
        </w:rPr>
        <w:t>gobierno</w:t>
      </w:r>
      <w:r>
        <w:rPr>
          <w:spacing w:val="-26"/>
          <w:w w:val="115"/>
        </w:rPr>
        <w:t> </w:t>
      </w:r>
      <w:r>
        <w:rPr>
          <w:w w:val="115"/>
        </w:rPr>
        <w:t>de</w:t>
      </w:r>
      <w:r>
        <w:rPr>
          <w:spacing w:val="-26"/>
          <w:w w:val="115"/>
        </w:rPr>
        <w:t> </w:t>
      </w:r>
      <w:r>
        <w:rPr>
          <w:w w:val="115"/>
        </w:rPr>
        <w:t>Estados</w:t>
      </w:r>
      <w:r>
        <w:rPr>
          <w:spacing w:val="-26"/>
          <w:w w:val="115"/>
        </w:rPr>
        <w:t> </w:t>
      </w:r>
      <w:r>
        <w:rPr>
          <w:w w:val="115"/>
        </w:rPr>
        <w:t>unidos</w:t>
      </w:r>
      <w:r>
        <w:rPr>
          <w:spacing w:val="-26"/>
          <w:w w:val="115"/>
        </w:rPr>
        <w:t> </w:t>
      </w:r>
      <w:r>
        <w:rPr>
          <w:w w:val="115"/>
        </w:rPr>
        <w:t>en</w:t>
      </w:r>
      <w:r>
        <w:rPr>
          <w:spacing w:val="-26"/>
          <w:w w:val="115"/>
        </w:rPr>
        <w:t> </w:t>
      </w:r>
      <w:r>
        <w:rPr>
          <w:w w:val="115"/>
        </w:rPr>
        <w:t>el</w:t>
      </w:r>
      <w:r>
        <w:rPr>
          <w:spacing w:val="-26"/>
          <w:w w:val="115"/>
        </w:rPr>
        <w:t> </w:t>
      </w:r>
      <w:r>
        <w:rPr>
          <w:w w:val="115"/>
        </w:rPr>
        <w:t>exterior</w:t>
      </w:r>
      <w:r>
        <w:rPr>
          <w:spacing w:val="-26"/>
          <w:w w:val="115"/>
        </w:rPr>
        <w:t> </w:t>
      </w:r>
      <w:r>
        <w:rPr>
          <w:w w:val="115"/>
        </w:rPr>
        <w:t>a</w:t>
      </w:r>
      <w:r>
        <w:rPr>
          <w:spacing w:val="-26"/>
          <w:w w:val="115"/>
        </w:rPr>
        <w:t> </w:t>
      </w:r>
      <w:r>
        <w:rPr>
          <w:w w:val="115"/>
        </w:rPr>
        <w:t>través</w:t>
      </w:r>
      <w:r>
        <w:rPr>
          <w:w w:val="105"/>
        </w:rPr>
        <w:t> </w:t>
      </w:r>
      <w:r>
        <w:rPr>
          <w:w w:val="115"/>
        </w:rPr>
        <w:t>de</w:t>
      </w:r>
      <w:r>
        <w:rPr>
          <w:spacing w:val="-13"/>
          <w:w w:val="115"/>
        </w:rPr>
        <w:t> </w:t>
      </w:r>
      <w:r>
        <w:rPr>
          <w:w w:val="115"/>
        </w:rPr>
        <w:t>la</w:t>
      </w:r>
      <w:r>
        <w:rPr>
          <w:spacing w:val="-13"/>
          <w:w w:val="115"/>
        </w:rPr>
        <w:t> </w:t>
      </w:r>
      <w:r>
        <w:rPr>
          <w:w w:val="115"/>
        </w:rPr>
        <w:t>creación</w:t>
      </w:r>
      <w:r>
        <w:rPr>
          <w:spacing w:val="-13"/>
          <w:w w:val="115"/>
        </w:rPr>
        <w:t> </w:t>
      </w:r>
      <w:r>
        <w:rPr>
          <w:w w:val="115"/>
        </w:rPr>
        <w:t>de</w:t>
      </w:r>
      <w:r>
        <w:rPr>
          <w:spacing w:val="-13"/>
          <w:w w:val="115"/>
        </w:rPr>
        <w:t> </w:t>
      </w:r>
      <w:r>
        <w:rPr>
          <w:w w:val="115"/>
        </w:rPr>
        <w:t>varias</w:t>
      </w:r>
      <w:r>
        <w:rPr>
          <w:spacing w:val="-13"/>
          <w:w w:val="115"/>
        </w:rPr>
        <w:t> </w:t>
      </w:r>
      <w:r>
        <w:rPr>
          <w:w w:val="115"/>
        </w:rPr>
        <w:t>organizaciones</w:t>
      </w:r>
      <w:r>
        <w:rPr>
          <w:spacing w:val="-13"/>
          <w:w w:val="115"/>
        </w:rPr>
        <w:t> </w:t>
      </w:r>
      <w:r>
        <w:rPr>
          <w:w w:val="115"/>
        </w:rPr>
        <w:t>a</w:t>
      </w:r>
      <w:r>
        <w:rPr>
          <w:spacing w:val="-13"/>
          <w:w w:val="115"/>
        </w:rPr>
        <w:t> </w:t>
      </w:r>
      <w:r>
        <w:rPr>
          <w:w w:val="115"/>
        </w:rPr>
        <w:t>inicios</w:t>
      </w:r>
      <w:r>
        <w:rPr>
          <w:spacing w:val="-13"/>
          <w:w w:val="115"/>
        </w:rPr>
        <w:t> </w:t>
      </w:r>
      <w:r>
        <w:rPr>
          <w:w w:val="115"/>
        </w:rPr>
        <w:t>de</w:t>
      </w:r>
      <w:r>
        <w:rPr>
          <w:spacing w:val="-13"/>
          <w:w w:val="115"/>
        </w:rPr>
        <w:t> </w:t>
      </w:r>
      <w:r>
        <w:rPr>
          <w:w w:val="115"/>
        </w:rPr>
        <w:t>los</w:t>
      </w:r>
      <w:r>
        <w:rPr>
          <w:spacing w:val="-13"/>
          <w:w w:val="115"/>
        </w:rPr>
        <w:t> </w:t>
      </w:r>
      <w:r>
        <w:rPr>
          <w:w w:val="115"/>
        </w:rPr>
        <w:t>años</w:t>
      </w:r>
      <w:r>
        <w:rPr>
          <w:spacing w:val="-13"/>
          <w:w w:val="115"/>
        </w:rPr>
        <w:t> </w:t>
      </w:r>
      <w:r>
        <w:rPr>
          <w:w w:val="115"/>
        </w:rPr>
        <w:t>ochenta,</w:t>
      </w:r>
      <w:r>
        <w:rPr>
          <w:w w:val="112"/>
        </w:rPr>
        <w:t> </w:t>
      </w:r>
      <w:r>
        <w:rPr>
          <w:w w:val="115"/>
        </w:rPr>
        <w:t>entre las que se encuentra el CiPE, entidad político-privada</w:t>
      </w:r>
      <w:r>
        <w:rPr>
          <w:spacing w:val="45"/>
          <w:w w:val="115"/>
        </w:rPr>
        <w:t> </w:t>
      </w:r>
      <w:r>
        <w:rPr>
          <w:w w:val="115"/>
        </w:rPr>
        <w:t>que</w:t>
      </w:r>
      <w:r>
        <w:rPr>
          <w:spacing w:val="10"/>
          <w:w w:val="115"/>
        </w:rPr>
        <w:t> </w:t>
      </w:r>
      <w:r>
        <w:rPr>
          <w:w w:val="115"/>
        </w:rPr>
        <w:t>se</w:t>
      </w:r>
      <w:r>
        <w:rPr>
          <w:w w:val="105"/>
        </w:rPr>
        <w:t> </w:t>
      </w:r>
      <w:r>
        <w:rPr>
          <w:w w:val="115"/>
        </w:rPr>
        <w:t>encuentra</w:t>
      </w:r>
      <w:r>
        <w:rPr>
          <w:spacing w:val="-7"/>
          <w:w w:val="115"/>
        </w:rPr>
        <w:t> </w:t>
      </w:r>
      <w:r>
        <w:rPr>
          <w:w w:val="115"/>
        </w:rPr>
        <w:t>vinculada</w:t>
      </w:r>
      <w:r>
        <w:rPr>
          <w:spacing w:val="-7"/>
          <w:w w:val="115"/>
        </w:rPr>
        <w:t> </w:t>
      </w:r>
      <w:r>
        <w:rPr>
          <w:w w:val="115"/>
        </w:rPr>
        <w:t>a</w:t>
      </w:r>
      <w:r>
        <w:rPr>
          <w:spacing w:val="-7"/>
          <w:w w:val="115"/>
        </w:rPr>
        <w:t> </w:t>
      </w:r>
      <w:r>
        <w:rPr>
          <w:w w:val="115"/>
        </w:rPr>
        <w:t>la</w:t>
      </w:r>
      <w:r>
        <w:rPr>
          <w:spacing w:val="-7"/>
          <w:w w:val="115"/>
        </w:rPr>
        <w:t> </w:t>
      </w:r>
      <w:r>
        <w:rPr>
          <w:w w:val="115"/>
        </w:rPr>
        <w:t>Cámara</w:t>
      </w:r>
      <w:r>
        <w:rPr>
          <w:spacing w:val="-7"/>
          <w:w w:val="115"/>
        </w:rPr>
        <w:t> </w:t>
      </w:r>
      <w:r>
        <w:rPr>
          <w:w w:val="115"/>
        </w:rPr>
        <w:t>de</w:t>
      </w:r>
      <w:r>
        <w:rPr>
          <w:spacing w:val="-7"/>
          <w:w w:val="115"/>
        </w:rPr>
        <w:t> </w:t>
      </w:r>
      <w:r>
        <w:rPr>
          <w:w w:val="115"/>
        </w:rPr>
        <w:t>Comercio</w:t>
      </w:r>
      <w:r>
        <w:rPr>
          <w:spacing w:val="-7"/>
          <w:w w:val="115"/>
        </w:rPr>
        <w:t> </w:t>
      </w:r>
      <w:r>
        <w:rPr>
          <w:w w:val="115"/>
        </w:rPr>
        <w:t>de</w:t>
      </w:r>
      <w:r>
        <w:rPr>
          <w:spacing w:val="-7"/>
          <w:w w:val="115"/>
        </w:rPr>
        <w:t> </w:t>
      </w:r>
      <w:r>
        <w:rPr>
          <w:w w:val="115"/>
        </w:rPr>
        <w:t>los</w:t>
      </w:r>
      <w:r>
        <w:rPr>
          <w:spacing w:val="-7"/>
          <w:w w:val="115"/>
        </w:rPr>
        <w:t> </w:t>
      </w:r>
      <w:r>
        <w:rPr>
          <w:w w:val="115"/>
        </w:rPr>
        <w:t>Estados</w:t>
      </w:r>
      <w:r>
        <w:rPr>
          <w:spacing w:val="-7"/>
          <w:w w:val="115"/>
        </w:rPr>
        <w:t> </w:t>
      </w:r>
      <w:r>
        <w:rPr>
          <w:w w:val="115"/>
        </w:rPr>
        <w:t>unidos</w:t>
      </w:r>
      <w:r>
        <w:rPr>
          <w:w w:val="110"/>
        </w:rPr>
        <w:t> </w:t>
      </w:r>
      <w:r>
        <w:rPr>
          <w:w w:val="115"/>
        </w:rPr>
        <w:t>y</w:t>
      </w:r>
      <w:r>
        <w:rPr>
          <w:spacing w:val="-12"/>
          <w:w w:val="115"/>
        </w:rPr>
        <w:t> </w:t>
      </w:r>
      <w:r>
        <w:rPr>
          <w:w w:val="115"/>
        </w:rPr>
        <w:t>a</w:t>
      </w:r>
      <w:r>
        <w:rPr>
          <w:spacing w:val="-12"/>
          <w:w w:val="115"/>
        </w:rPr>
        <w:t> </w:t>
      </w:r>
      <w:r>
        <w:rPr>
          <w:w w:val="115"/>
        </w:rPr>
        <w:t>la</w:t>
      </w:r>
      <w:r>
        <w:rPr>
          <w:spacing w:val="-12"/>
          <w:w w:val="115"/>
        </w:rPr>
        <w:t> </w:t>
      </w:r>
      <w:r>
        <w:rPr>
          <w:w w:val="115"/>
        </w:rPr>
        <w:t>Fundación</w:t>
      </w:r>
      <w:r>
        <w:rPr>
          <w:spacing w:val="-12"/>
          <w:w w:val="115"/>
        </w:rPr>
        <w:t> </w:t>
      </w:r>
      <w:r>
        <w:rPr>
          <w:w w:val="115"/>
        </w:rPr>
        <w:t>para</w:t>
      </w:r>
      <w:r>
        <w:rPr>
          <w:spacing w:val="-12"/>
          <w:w w:val="115"/>
        </w:rPr>
        <w:t> </w:t>
      </w:r>
      <w:r>
        <w:rPr>
          <w:w w:val="115"/>
        </w:rPr>
        <w:t>la</w:t>
      </w:r>
      <w:r>
        <w:rPr>
          <w:spacing w:val="-12"/>
          <w:w w:val="115"/>
        </w:rPr>
        <w:t> </w:t>
      </w:r>
      <w:r>
        <w:rPr>
          <w:w w:val="115"/>
        </w:rPr>
        <w:t>democracia</w:t>
      </w:r>
      <w:r>
        <w:rPr>
          <w:spacing w:val="-12"/>
          <w:w w:val="115"/>
        </w:rPr>
        <w:t> </w:t>
      </w:r>
      <w:r>
        <w:rPr>
          <w:w w:val="115"/>
        </w:rPr>
        <w:t>(</w:t>
      </w:r>
      <w:r>
        <w:rPr>
          <w:i/>
          <w:w w:val="115"/>
        </w:rPr>
        <w:t>National</w:t>
      </w:r>
      <w:r>
        <w:rPr>
          <w:i/>
          <w:spacing w:val="-12"/>
          <w:w w:val="115"/>
        </w:rPr>
        <w:t> </w:t>
      </w:r>
      <w:r>
        <w:rPr>
          <w:i/>
          <w:w w:val="115"/>
        </w:rPr>
        <w:t>Endowment</w:t>
      </w:r>
      <w:r>
        <w:rPr>
          <w:i/>
          <w:spacing w:val="-12"/>
          <w:w w:val="115"/>
        </w:rPr>
        <w:t> </w:t>
      </w:r>
      <w:r>
        <w:rPr>
          <w:i/>
          <w:w w:val="115"/>
        </w:rPr>
        <w:t>for</w:t>
      </w:r>
      <w:r>
        <w:rPr>
          <w:i/>
          <w:spacing w:val="-12"/>
          <w:w w:val="115"/>
        </w:rPr>
        <w:t> </w:t>
      </w:r>
      <w:r>
        <w:rPr>
          <w:i/>
          <w:w w:val="115"/>
        </w:rPr>
        <w:t>Demo-</w:t>
      </w:r>
      <w:r>
        <w:rPr>
          <w:i/>
          <w:w w:val="106"/>
        </w:rPr>
        <w:t> </w:t>
      </w:r>
      <w:r>
        <w:rPr>
          <w:i/>
          <w:w w:val="115"/>
        </w:rPr>
        <w:t>cracy</w:t>
      </w:r>
      <w:r>
        <w:rPr>
          <w:w w:val="115"/>
        </w:rPr>
        <w:t>, NEd por sus siglas en inglés). dicho centro</w:t>
      </w:r>
      <w:r>
        <w:rPr>
          <w:spacing w:val="20"/>
          <w:w w:val="115"/>
        </w:rPr>
        <w:t> </w:t>
      </w:r>
      <w:r>
        <w:rPr>
          <w:w w:val="115"/>
        </w:rPr>
        <w:t>tiene</w:t>
      </w:r>
      <w:r>
        <w:rPr>
          <w:spacing w:val="2"/>
          <w:w w:val="115"/>
        </w:rPr>
        <w:t> </w:t>
      </w:r>
      <w:r>
        <w:rPr>
          <w:w w:val="115"/>
        </w:rPr>
        <w:t>operaciones</w:t>
      </w:r>
      <w:r>
        <w:rPr>
          <w:w w:val="109"/>
        </w:rPr>
        <w:t> </w:t>
      </w:r>
      <w:r>
        <w:rPr>
          <w:w w:val="115"/>
        </w:rPr>
        <w:t>en</w:t>
      </w:r>
      <w:r>
        <w:rPr>
          <w:spacing w:val="-27"/>
          <w:w w:val="115"/>
        </w:rPr>
        <w:t> </w:t>
      </w:r>
      <w:r>
        <w:rPr>
          <w:w w:val="115"/>
        </w:rPr>
        <w:t>decenas</w:t>
      </w:r>
      <w:r>
        <w:rPr>
          <w:spacing w:val="-27"/>
          <w:w w:val="115"/>
        </w:rPr>
        <w:t> </w:t>
      </w:r>
      <w:r>
        <w:rPr>
          <w:w w:val="115"/>
        </w:rPr>
        <w:t>de</w:t>
      </w:r>
      <w:r>
        <w:rPr>
          <w:spacing w:val="-27"/>
          <w:w w:val="115"/>
        </w:rPr>
        <w:t> </w:t>
      </w:r>
      <w:r>
        <w:rPr>
          <w:w w:val="115"/>
        </w:rPr>
        <w:t>países</w:t>
      </w:r>
      <w:r>
        <w:rPr>
          <w:spacing w:val="-27"/>
          <w:w w:val="115"/>
        </w:rPr>
        <w:t> </w:t>
      </w:r>
      <w:r>
        <w:rPr>
          <w:w w:val="115"/>
        </w:rPr>
        <w:t>a</w:t>
      </w:r>
      <w:r>
        <w:rPr>
          <w:spacing w:val="-27"/>
          <w:w w:val="115"/>
        </w:rPr>
        <w:t> </w:t>
      </w:r>
      <w:r>
        <w:rPr>
          <w:w w:val="115"/>
        </w:rPr>
        <w:t>través</w:t>
      </w:r>
      <w:r>
        <w:rPr>
          <w:spacing w:val="-27"/>
          <w:w w:val="115"/>
        </w:rPr>
        <w:t> </w:t>
      </w:r>
      <w:r>
        <w:rPr>
          <w:w w:val="115"/>
        </w:rPr>
        <w:t>de</w:t>
      </w:r>
      <w:r>
        <w:rPr>
          <w:spacing w:val="-27"/>
          <w:w w:val="115"/>
        </w:rPr>
        <w:t> </w:t>
      </w:r>
      <w:r>
        <w:rPr>
          <w:w w:val="115"/>
        </w:rPr>
        <w:t>asociaciones</w:t>
      </w:r>
      <w:r>
        <w:rPr>
          <w:spacing w:val="-27"/>
          <w:w w:val="115"/>
        </w:rPr>
        <w:t> </w:t>
      </w:r>
      <w:r>
        <w:rPr>
          <w:w w:val="115"/>
        </w:rPr>
        <w:t>con</w:t>
      </w:r>
      <w:r>
        <w:rPr>
          <w:spacing w:val="-27"/>
          <w:w w:val="115"/>
        </w:rPr>
        <w:t> </w:t>
      </w:r>
      <w:r>
        <w:rPr>
          <w:w w:val="115"/>
        </w:rPr>
        <w:t>entidades</w:t>
      </w:r>
      <w:r>
        <w:rPr>
          <w:spacing w:val="-27"/>
          <w:w w:val="115"/>
        </w:rPr>
        <w:t> </w:t>
      </w:r>
      <w:r>
        <w:rPr>
          <w:w w:val="115"/>
        </w:rPr>
        <w:t>empresa-</w:t>
      </w:r>
      <w:r>
        <w:rPr>
          <w:w w:val="102"/>
        </w:rPr>
        <w:t> </w:t>
      </w:r>
      <w:r>
        <w:rPr>
          <w:w w:val="115"/>
        </w:rPr>
        <w:t>riales,</w:t>
      </w:r>
      <w:r>
        <w:rPr>
          <w:spacing w:val="-13"/>
          <w:w w:val="115"/>
        </w:rPr>
        <w:t> </w:t>
      </w:r>
      <w:r>
        <w:rPr>
          <w:w w:val="115"/>
        </w:rPr>
        <w:t>organizaciones</w:t>
      </w:r>
      <w:r>
        <w:rPr>
          <w:spacing w:val="-13"/>
          <w:w w:val="115"/>
        </w:rPr>
        <w:t> </w:t>
      </w:r>
      <w:r>
        <w:rPr>
          <w:w w:val="115"/>
        </w:rPr>
        <w:t>no</w:t>
      </w:r>
      <w:r>
        <w:rPr>
          <w:spacing w:val="-13"/>
          <w:w w:val="115"/>
        </w:rPr>
        <w:t> </w:t>
      </w:r>
      <w:r>
        <w:rPr>
          <w:w w:val="115"/>
        </w:rPr>
        <w:t>gubernamentales</w:t>
      </w:r>
      <w:r>
        <w:rPr>
          <w:spacing w:val="-13"/>
          <w:w w:val="115"/>
        </w:rPr>
        <w:t> </w:t>
      </w:r>
      <w:r>
        <w:rPr>
          <w:w w:val="115"/>
        </w:rPr>
        <w:t>(oNGs)</w:t>
      </w:r>
      <w:r>
        <w:rPr>
          <w:spacing w:val="-13"/>
          <w:w w:val="115"/>
        </w:rPr>
        <w:t> </w:t>
      </w:r>
      <w:r>
        <w:rPr>
          <w:w w:val="115"/>
        </w:rPr>
        <w:t>y</w:t>
      </w:r>
      <w:r>
        <w:rPr>
          <w:spacing w:val="-13"/>
          <w:w w:val="115"/>
        </w:rPr>
        <w:t> </w:t>
      </w:r>
      <w:r>
        <w:rPr>
          <w:w w:val="115"/>
        </w:rPr>
        <w:t>centros</w:t>
      </w:r>
      <w:r>
        <w:rPr>
          <w:spacing w:val="-13"/>
          <w:w w:val="115"/>
        </w:rPr>
        <w:t> </w:t>
      </w:r>
      <w:r>
        <w:rPr>
          <w:w w:val="115"/>
        </w:rPr>
        <w:t>de</w:t>
      </w:r>
      <w:r>
        <w:rPr>
          <w:spacing w:val="-13"/>
          <w:w w:val="115"/>
        </w:rPr>
        <w:t> </w:t>
      </w:r>
      <w:r>
        <w:rPr>
          <w:w w:val="115"/>
        </w:rPr>
        <w:t>pen-</w:t>
      </w:r>
      <w:r>
        <w:rPr>
          <w:w w:val="102"/>
        </w:rPr>
        <w:t> </w:t>
      </w:r>
      <w:r>
        <w:rPr>
          <w:w w:val="115"/>
        </w:rPr>
        <w:t>samiento</w:t>
      </w:r>
      <w:r>
        <w:rPr>
          <w:spacing w:val="-32"/>
          <w:w w:val="115"/>
        </w:rPr>
        <w:t> </w:t>
      </w:r>
      <w:r>
        <w:rPr>
          <w:w w:val="115"/>
        </w:rPr>
        <w:t>(</w:t>
      </w:r>
      <w:r>
        <w:rPr>
          <w:i/>
          <w:w w:val="115"/>
        </w:rPr>
        <w:t>think</w:t>
      </w:r>
      <w:r>
        <w:rPr>
          <w:i/>
          <w:spacing w:val="-32"/>
          <w:w w:val="115"/>
        </w:rPr>
        <w:t> </w:t>
      </w:r>
      <w:r>
        <w:rPr>
          <w:i/>
          <w:w w:val="115"/>
        </w:rPr>
        <w:t>tanks</w:t>
      </w:r>
      <w:r>
        <w:rPr>
          <w:w w:val="115"/>
        </w:rPr>
        <w:t>)</w:t>
      </w:r>
      <w:r>
        <w:rPr>
          <w:spacing w:val="-32"/>
          <w:w w:val="115"/>
        </w:rPr>
        <w:t> </w:t>
      </w:r>
      <w:r>
        <w:rPr>
          <w:w w:val="115"/>
        </w:rPr>
        <w:t>a</w:t>
      </w:r>
      <w:r>
        <w:rPr>
          <w:spacing w:val="-32"/>
          <w:w w:val="115"/>
        </w:rPr>
        <w:t> </w:t>
      </w:r>
      <w:r>
        <w:rPr>
          <w:w w:val="115"/>
        </w:rPr>
        <w:t>fin</w:t>
      </w:r>
      <w:r>
        <w:rPr>
          <w:spacing w:val="-32"/>
          <w:w w:val="115"/>
        </w:rPr>
        <w:t> </w:t>
      </w:r>
      <w:r>
        <w:rPr>
          <w:w w:val="115"/>
        </w:rPr>
        <w:t>de</w:t>
      </w:r>
      <w:r>
        <w:rPr>
          <w:spacing w:val="-32"/>
          <w:w w:val="115"/>
        </w:rPr>
        <w:t> </w:t>
      </w:r>
      <w:r>
        <w:rPr>
          <w:w w:val="115"/>
        </w:rPr>
        <w:t>promover</w:t>
      </w:r>
      <w:r>
        <w:rPr>
          <w:spacing w:val="-32"/>
          <w:w w:val="115"/>
        </w:rPr>
        <w:t> </w:t>
      </w:r>
      <w:r>
        <w:rPr>
          <w:w w:val="115"/>
        </w:rPr>
        <w:t>la</w:t>
      </w:r>
      <w:r>
        <w:rPr>
          <w:spacing w:val="-32"/>
          <w:w w:val="115"/>
        </w:rPr>
        <w:t> </w:t>
      </w:r>
      <w:r>
        <w:rPr>
          <w:w w:val="115"/>
        </w:rPr>
        <w:t>participación</w:t>
      </w:r>
      <w:r>
        <w:rPr>
          <w:spacing w:val="-32"/>
          <w:w w:val="115"/>
        </w:rPr>
        <w:t> </w:t>
      </w:r>
      <w:r>
        <w:rPr>
          <w:w w:val="115"/>
        </w:rPr>
        <w:t>de</w:t>
      </w:r>
      <w:r>
        <w:rPr>
          <w:spacing w:val="-32"/>
          <w:w w:val="115"/>
        </w:rPr>
        <w:t> </w:t>
      </w:r>
      <w:r>
        <w:rPr>
          <w:w w:val="115"/>
        </w:rPr>
        <w:t>entidades</w:t>
      </w:r>
      <w:r>
        <w:rPr>
          <w:w w:val="108"/>
        </w:rPr>
        <w:t> </w:t>
      </w:r>
      <w:r>
        <w:rPr>
          <w:w w:val="115"/>
        </w:rPr>
        <w:t>empresariales</w:t>
      </w:r>
      <w:r>
        <w:rPr>
          <w:spacing w:val="-32"/>
          <w:w w:val="115"/>
        </w:rPr>
        <w:t> </w:t>
      </w:r>
      <w:r>
        <w:rPr>
          <w:w w:val="115"/>
        </w:rPr>
        <w:t>en</w:t>
      </w:r>
      <w:r>
        <w:rPr>
          <w:spacing w:val="-32"/>
          <w:w w:val="115"/>
        </w:rPr>
        <w:t> </w:t>
      </w:r>
      <w:r>
        <w:rPr>
          <w:w w:val="115"/>
        </w:rPr>
        <w:t>la</w:t>
      </w:r>
      <w:r>
        <w:rPr>
          <w:spacing w:val="-32"/>
          <w:w w:val="115"/>
        </w:rPr>
        <w:t> </w:t>
      </w:r>
      <w:r>
        <w:rPr>
          <w:w w:val="115"/>
        </w:rPr>
        <w:t>definición</w:t>
      </w:r>
      <w:r>
        <w:rPr>
          <w:spacing w:val="-32"/>
          <w:w w:val="115"/>
        </w:rPr>
        <w:t> </w:t>
      </w:r>
      <w:r>
        <w:rPr>
          <w:w w:val="115"/>
        </w:rPr>
        <w:t>de</w:t>
      </w:r>
      <w:r>
        <w:rPr>
          <w:spacing w:val="-32"/>
          <w:w w:val="115"/>
        </w:rPr>
        <w:t> </w:t>
      </w:r>
      <w:r>
        <w:rPr>
          <w:w w:val="115"/>
        </w:rPr>
        <w:t>políticas</w:t>
      </w:r>
      <w:r>
        <w:rPr>
          <w:spacing w:val="-32"/>
          <w:w w:val="115"/>
        </w:rPr>
        <w:t> </w:t>
      </w:r>
      <w:r>
        <w:rPr>
          <w:w w:val="115"/>
        </w:rPr>
        <w:t>públicas</w:t>
      </w:r>
      <w:r>
        <w:rPr>
          <w:spacing w:val="-32"/>
          <w:w w:val="115"/>
        </w:rPr>
        <w:t> </w:t>
      </w:r>
      <w:r>
        <w:rPr>
          <w:w w:val="115"/>
        </w:rPr>
        <w:t>y</w:t>
      </w:r>
      <w:r>
        <w:rPr>
          <w:spacing w:val="-32"/>
          <w:w w:val="115"/>
        </w:rPr>
        <w:t> </w:t>
      </w:r>
      <w:r>
        <w:rPr>
          <w:w w:val="115"/>
        </w:rPr>
        <w:t>económicas</w:t>
      </w:r>
      <w:r>
        <w:rPr>
          <w:spacing w:val="-32"/>
          <w:w w:val="115"/>
        </w:rPr>
        <w:t> </w:t>
      </w:r>
      <w:r>
        <w:rPr>
          <w:w w:val="115"/>
        </w:rPr>
        <w:t>para</w:t>
      </w:r>
      <w:r>
        <w:rPr>
          <w:w w:val="109"/>
        </w:rPr>
        <w:t> </w:t>
      </w:r>
      <w:r>
        <w:rPr>
          <w:w w:val="115"/>
        </w:rPr>
        <w:t>que</w:t>
      </w:r>
      <w:r>
        <w:rPr>
          <w:spacing w:val="-19"/>
          <w:w w:val="115"/>
        </w:rPr>
        <w:t> </w:t>
      </w:r>
      <w:r>
        <w:rPr>
          <w:w w:val="115"/>
        </w:rPr>
        <w:t>éstas</w:t>
      </w:r>
      <w:r>
        <w:rPr>
          <w:spacing w:val="-19"/>
          <w:w w:val="115"/>
        </w:rPr>
        <w:t> </w:t>
      </w:r>
      <w:r>
        <w:rPr>
          <w:w w:val="115"/>
        </w:rPr>
        <w:t>sean</w:t>
      </w:r>
      <w:r>
        <w:rPr>
          <w:spacing w:val="-19"/>
          <w:w w:val="115"/>
        </w:rPr>
        <w:t> </w:t>
      </w:r>
      <w:r>
        <w:rPr>
          <w:w w:val="115"/>
        </w:rPr>
        <w:t>configuradas</w:t>
      </w:r>
      <w:r>
        <w:rPr>
          <w:spacing w:val="-19"/>
          <w:w w:val="115"/>
        </w:rPr>
        <w:t> </w:t>
      </w:r>
      <w:r>
        <w:rPr>
          <w:w w:val="115"/>
        </w:rPr>
        <w:t>según</w:t>
      </w:r>
      <w:r>
        <w:rPr>
          <w:spacing w:val="-19"/>
          <w:w w:val="115"/>
        </w:rPr>
        <w:t> </w:t>
      </w:r>
      <w:r>
        <w:rPr>
          <w:w w:val="115"/>
        </w:rPr>
        <w:t>los</w:t>
      </w:r>
      <w:r>
        <w:rPr>
          <w:spacing w:val="-19"/>
          <w:w w:val="115"/>
        </w:rPr>
        <w:t> </w:t>
      </w:r>
      <w:r>
        <w:rPr>
          <w:w w:val="115"/>
        </w:rPr>
        <w:t>criterios</w:t>
      </w:r>
      <w:r>
        <w:rPr>
          <w:spacing w:val="-19"/>
          <w:w w:val="115"/>
        </w:rPr>
        <w:t> </w:t>
      </w:r>
      <w:r>
        <w:rPr>
          <w:w w:val="115"/>
        </w:rPr>
        <w:t>que</w:t>
      </w:r>
      <w:r>
        <w:rPr>
          <w:spacing w:val="-19"/>
          <w:w w:val="115"/>
        </w:rPr>
        <w:t> </w:t>
      </w:r>
      <w:r>
        <w:rPr>
          <w:w w:val="115"/>
        </w:rPr>
        <w:t>dicta</w:t>
      </w:r>
      <w:r>
        <w:rPr>
          <w:spacing w:val="-19"/>
          <w:w w:val="115"/>
        </w:rPr>
        <w:t> </w:t>
      </w:r>
      <w:r>
        <w:rPr>
          <w:w w:val="115"/>
        </w:rPr>
        <w:t>la</w:t>
      </w:r>
      <w:r>
        <w:rPr>
          <w:spacing w:val="-19"/>
          <w:w w:val="115"/>
        </w:rPr>
        <w:t> </w:t>
      </w:r>
      <w:r>
        <w:rPr>
          <w:w w:val="115"/>
        </w:rPr>
        <w:t>democra-</w:t>
      </w:r>
      <w:r>
        <w:rPr>
          <w:w w:val="102"/>
        </w:rPr>
        <w:t> </w:t>
      </w:r>
      <w:r>
        <w:rPr>
          <w:w w:val="115"/>
        </w:rPr>
        <w:t>cia</w:t>
      </w:r>
      <w:r>
        <w:rPr>
          <w:spacing w:val="-24"/>
          <w:w w:val="115"/>
        </w:rPr>
        <w:t> </w:t>
      </w:r>
      <w:r>
        <w:rPr>
          <w:w w:val="115"/>
        </w:rPr>
        <w:t>y</w:t>
      </w:r>
      <w:r>
        <w:rPr>
          <w:spacing w:val="-24"/>
          <w:w w:val="115"/>
        </w:rPr>
        <w:t> </w:t>
      </w:r>
      <w:r>
        <w:rPr>
          <w:w w:val="115"/>
        </w:rPr>
        <w:t>libre</w:t>
      </w:r>
      <w:r>
        <w:rPr>
          <w:spacing w:val="-24"/>
          <w:w w:val="115"/>
        </w:rPr>
        <w:t> </w:t>
      </w:r>
      <w:r>
        <w:rPr>
          <w:w w:val="115"/>
        </w:rPr>
        <w:t>mercado,</w:t>
      </w:r>
      <w:r>
        <w:rPr>
          <w:spacing w:val="-24"/>
          <w:w w:val="115"/>
        </w:rPr>
        <w:t> </w:t>
      </w:r>
      <w:r>
        <w:rPr>
          <w:w w:val="115"/>
        </w:rPr>
        <w:t>ambos</w:t>
      </w:r>
      <w:r>
        <w:rPr>
          <w:spacing w:val="-24"/>
          <w:w w:val="115"/>
        </w:rPr>
        <w:t> </w:t>
      </w:r>
      <w:r>
        <w:rPr>
          <w:w w:val="115"/>
        </w:rPr>
        <w:t>baluartes</w:t>
      </w:r>
      <w:r>
        <w:rPr>
          <w:spacing w:val="-24"/>
          <w:w w:val="115"/>
        </w:rPr>
        <w:t> </w:t>
      </w:r>
      <w:r>
        <w:rPr>
          <w:w w:val="115"/>
        </w:rPr>
        <w:t>de</w:t>
      </w:r>
      <w:r>
        <w:rPr>
          <w:spacing w:val="-24"/>
          <w:w w:val="115"/>
        </w:rPr>
        <w:t> </w:t>
      </w:r>
      <w:r>
        <w:rPr>
          <w:w w:val="115"/>
        </w:rPr>
        <w:t>la</w:t>
      </w:r>
      <w:r>
        <w:rPr>
          <w:spacing w:val="-24"/>
          <w:w w:val="115"/>
        </w:rPr>
        <w:t> </w:t>
      </w:r>
      <w:r>
        <w:rPr>
          <w:w w:val="115"/>
        </w:rPr>
        <w:t>política</w:t>
      </w:r>
      <w:r>
        <w:rPr>
          <w:spacing w:val="-24"/>
          <w:w w:val="115"/>
        </w:rPr>
        <w:t> </w:t>
      </w:r>
      <w:r>
        <w:rPr>
          <w:w w:val="115"/>
        </w:rPr>
        <w:t>exterior</w:t>
      </w:r>
      <w:r>
        <w:rPr>
          <w:spacing w:val="-24"/>
          <w:w w:val="115"/>
        </w:rPr>
        <w:t> </w:t>
      </w:r>
      <w:r>
        <w:rPr>
          <w:w w:val="115"/>
        </w:rPr>
        <w:t>de</w:t>
      </w:r>
      <w:r>
        <w:rPr>
          <w:spacing w:val="-24"/>
          <w:w w:val="115"/>
        </w:rPr>
        <w:t> </w:t>
      </w:r>
      <w:r>
        <w:rPr>
          <w:w w:val="115"/>
        </w:rPr>
        <w:t>Estados</w:t>
      </w:r>
      <w:r>
        <w:rPr>
          <w:w w:val="111"/>
        </w:rPr>
        <w:t> </w:t>
      </w:r>
      <w:r>
        <w:rPr>
          <w:w w:val="115"/>
        </w:rPr>
        <w:t>unidos. Específicamente, el trabajo estudia las operaciones</w:t>
      </w:r>
      <w:r>
        <w:rPr>
          <w:spacing w:val="14"/>
          <w:w w:val="115"/>
        </w:rPr>
        <w:t> </w:t>
      </w:r>
      <w:r>
        <w:rPr>
          <w:w w:val="115"/>
        </w:rPr>
        <w:t>de</w:t>
      </w:r>
      <w:r>
        <w:rPr>
          <w:spacing w:val="2"/>
          <w:w w:val="115"/>
        </w:rPr>
        <w:t> </w:t>
      </w:r>
      <w:r>
        <w:rPr>
          <w:w w:val="115"/>
        </w:rPr>
        <w:t>CiPE</w:t>
      </w:r>
      <w:r>
        <w:rPr>
          <w:w w:val="120"/>
        </w:rPr>
        <w:t> </w:t>
      </w:r>
      <w:r>
        <w:rPr>
          <w:w w:val="110"/>
        </w:rPr>
        <w:t>en argentina y Perú, considera especialmente las</w:t>
      </w:r>
      <w:r>
        <w:rPr>
          <w:spacing w:val="-3"/>
          <w:w w:val="110"/>
        </w:rPr>
        <w:t> </w:t>
      </w:r>
      <w:r>
        <w:rPr>
          <w:w w:val="110"/>
        </w:rPr>
        <w:t>asociaciones</w:t>
      </w:r>
      <w:r>
        <w:rPr>
          <w:spacing w:val="-1"/>
          <w:w w:val="110"/>
        </w:rPr>
        <w:t> </w:t>
      </w:r>
      <w:r>
        <w:rPr>
          <w:w w:val="110"/>
        </w:rPr>
        <w:t>creadas</w:t>
      </w:r>
      <w:r>
        <w:rPr>
          <w:w w:val="109"/>
        </w:rPr>
        <w:t> </w:t>
      </w:r>
      <w:r>
        <w:rPr>
          <w:w w:val="110"/>
        </w:rPr>
        <w:t>con organizaciones latinoamericanas que promueven</w:t>
      </w:r>
      <w:r>
        <w:rPr>
          <w:spacing w:val="44"/>
          <w:w w:val="110"/>
        </w:rPr>
        <w:t> </w:t>
      </w:r>
      <w:r>
        <w:rPr>
          <w:w w:val="110"/>
        </w:rPr>
        <w:t>la</w:t>
      </w:r>
      <w:r>
        <w:rPr>
          <w:spacing w:val="18"/>
          <w:w w:val="110"/>
        </w:rPr>
        <w:t> </w:t>
      </w:r>
      <w:r>
        <w:rPr>
          <w:w w:val="110"/>
        </w:rPr>
        <w:t>“gobernanza</w:t>
      </w:r>
      <w:r>
        <w:rPr>
          <w:w w:val="110"/>
        </w:rPr>
        <w:t> </w:t>
      </w:r>
      <w:r>
        <w:rPr>
          <w:w w:val="110"/>
        </w:rPr>
        <w:t>corporativa” (</w:t>
      </w:r>
      <w:r>
        <w:rPr>
          <w:i/>
          <w:w w:val="110"/>
        </w:rPr>
        <w:t>corporate governance</w:t>
      </w:r>
      <w:r>
        <w:rPr>
          <w:w w:val="110"/>
        </w:rPr>
        <w:t>). En general, el estudio</w:t>
      </w:r>
      <w:r>
        <w:rPr>
          <w:spacing w:val="16"/>
          <w:w w:val="110"/>
        </w:rPr>
        <w:t> </w:t>
      </w:r>
      <w:r>
        <w:rPr>
          <w:w w:val="110"/>
        </w:rPr>
        <w:t>de</w:t>
      </w:r>
      <w:r>
        <w:rPr>
          <w:spacing w:val="2"/>
          <w:w w:val="110"/>
        </w:rPr>
        <w:t> </w:t>
      </w:r>
      <w:r>
        <w:rPr>
          <w:w w:val="110"/>
        </w:rPr>
        <w:t>Minella</w:t>
      </w:r>
      <w:r>
        <w:rPr>
          <w:w w:val="113"/>
        </w:rPr>
        <w:t> </w:t>
      </w:r>
      <w:r>
        <w:rPr>
          <w:w w:val="110"/>
        </w:rPr>
        <w:t>permite</w:t>
      </w:r>
      <w:r>
        <w:rPr>
          <w:spacing w:val="-11"/>
          <w:w w:val="110"/>
        </w:rPr>
        <w:t> </w:t>
      </w:r>
      <w:r>
        <w:rPr>
          <w:w w:val="110"/>
        </w:rPr>
        <w:t>constatar</w:t>
      </w:r>
      <w:r>
        <w:rPr>
          <w:spacing w:val="-11"/>
          <w:w w:val="110"/>
        </w:rPr>
        <w:t> </w:t>
      </w:r>
      <w:r>
        <w:rPr>
          <w:w w:val="110"/>
        </w:rPr>
        <w:t>que</w:t>
      </w:r>
      <w:r>
        <w:rPr>
          <w:spacing w:val="-11"/>
          <w:w w:val="110"/>
        </w:rPr>
        <w:t> </w:t>
      </w:r>
      <w:r>
        <w:rPr>
          <w:w w:val="110"/>
        </w:rPr>
        <w:t>las</w:t>
      </w:r>
      <w:r>
        <w:rPr>
          <w:spacing w:val="-11"/>
          <w:w w:val="110"/>
        </w:rPr>
        <w:t> </w:t>
      </w:r>
      <w:r>
        <w:rPr>
          <w:w w:val="110"/>
        </w:rPr>
        <w:t>relaciones</w:t>
      </w:r>
      <w:r>
        <w:rPr>
          <w:spacing w:val="-11"/>
          <w:w w:val="110"/>
        </w:rPr>
        <w:t> </w:t>
      </w:r>
      <w:r>
        <w:rPr>
          <w:w w:val="110"/>
        </w:rPr>
        <w:t>establecidas</w:t>
      </w:r>
      <w:r>
        <w:rPr>
          <w:spacing w:val="-11"/>
          <w:w w:val="110"/>
        </w:rPr>
        <w:t> </w:t>
      </w:r>
      <w:r>
        <w:rPr>
          <w:w w:val="110"/>
        </w:rPr>
        <w:t>entre</w:t>
      </w:r>
      <w:r>
        <w:rPr>
          <w:spacing w:val="-11"/>
          <w:w w:val="110"/>
        </w:rPr>
        <w:t> </w:t>
      </w:r>
      <w:r>
        <w:rPr>
          <w:w w:val="110"/>
        </w:rPr>
        <w:t>estas</w:t>
      </w:r>
      <w:r>
        <w:rPr>
          <w:spacing w:val="-11"/>
          <w:w w:val="110"/>
        </w:rPr>
        <w:t> </w:t>
      </w:r>
      <w:r>
        <w:rPr>
          <w:w w:val="110"/>
        </w:rPr>
        <w:t>entidades</w:t>
      </w:r>
      <w:r>
        <w:rPr>
          <w:w w:val="108"/>
        </w:rPr>
        <w:t> </w:t>
      </w:r>
      <w:r>
        <w:rPr>
          <w:w w:val="115"/>
        </w:rPr>
        <w:t>contribuyen</w:t>
      </w:r>
      <w:r>
        <w:rPr>
          <w:spacing w:val="-11"/>
          <w:w w:val="115"/>
        </w:rPr>
        <w:t> </w:t>
      </w:r>
      <w:r>
        <w:rPr>
          <w:w w:val="115"/>
        </w:rPr>
        <w:t>al</w:t>
      </w:r>
      <w:r>
        <w:rPr>
          <w:spacing w:val="-11"/>
          <w:w w:val="115"/>
        </w:rPr>
        <w:t> </w:t>
      </w:r>
      <w:r>
        <w:rPr>
          <w:w w:val="115"/>
        </w:rPr>
        <w:t>proceso</w:t>
      </w:r>
      <w:r>
        <w:rPr>
          <w:spacing w:val="-11"/>
          <w:w w:val="115"/>
        </w:rPr>
        <w:t> </w:t>
      </w:r>
      <w:r>
        <w:rPr>
          <w:w w:val="115"/>
        </w:rPr>
        <w:t>de</w:t>
      </w:r>
      <w:r>
        <w:rPr>
          <w:spacing w:val="-11"/>
          <w:w w:val="115"/>
        </w:rPr>
        <w:t> </w:t>
      </w:r>
      <w:r>
        <w:rPr>
          <w:w w:val="115"/>
        </w:rPr>
        <w:t>construcción</w:t>
      </w:r>
      <w:r>
        <w:rPr>
          <w:spacing w:val="-11"/>
          <w:w w:val="115"/>
        </w:rPr>
        <w:t> </w:t>
      </w:r>
      <w:r>
        <w:rPr>
          <w:w w:val="115"/>
        </w:rPr>
        <w:t>de</w:t>
      </w:r>
      <w:r>
        <w:rPr>
          <w:spacing w:val="-11"/>
          <w:w w:val="115"/>
        </w:rPr>
        <w:t> </w:t>
      </w:r>
      <w:r>
        <w:rPr>
          <w:w w:val="115"/>
        </w:rPr>
        <w:t>la</w:t>
      </w:r>
      <w:r>
        <w:rPr>
          <w:spacing w:val="-11"/>
          <w:w w:val="115"/>
        </w:rPr>
        <w:t> </w:t>
      </w:r>
      <w:r>
        <w:rPr>
          <w:w w:val="115"/>
        </w:rPr>
        <w:t>hegemonía</w:t>
      </w:r>
      <w:r>
        <w:rPr>
          <w:spacing w:val="-11"/>
          <w:w w:val="115"/>
        </w:rPr>
        <w:t> </w:t>
      </w:r>
      <w:r>
        <w:rPr>
          <w:w w:val="115"/>
        </w:rPr>
        <w:t>de</w:t>
      </w:r>
      <w:r>
        <w:rPr>
          <w:spacing w:val="-11"/>
          <w:w w:val="115"/>
        </w:rPr>
        <w:t> </w:t>
      </w:r>
      <w:r>
        <w:rPr>
          <w:w w:val="115"/>
        </w:rPr>
        <w:t>carácter</w:t>
      </w:r>
      <w:r>
        <w:rPr>
          <w:w w:val="109"/>
        </w:rPr>
        <w:t> </w:t>
      </w:r>
      <w:r>
        <w:rPr>
          <w:w w:val="115"/>
        </w:rPr>
        <w:t>liberal en el continente, incluye el procedimiento metodológico y</w:t>
      </w:r>
      <w:r>
        <w:rPr>
          <w:spacing w:val="-4"/>
          <w:w w:val="115"/>
        </w:rPr>
        <w:t> </w:t>
      </w:r>
      <w:r>
        <w:rPr>
          <w:w w:val="115"/>
        </w:rPr>
        <w:t>la</w:t>
      </w:r>
    </w:p>
    <w:p>
      <w:pPr>
        <w:pStyle w:val="BodyText"/>
        <w:ind w:left="100"/>
      </w:pPr>
      <w:r>
        <w:rPr>
          <w:w w:val="110"/>
        </w:rPr>
        <w:t>bibliografía para revisar detalladamente la  investigación.</w:t>
      </w:r>
    </w:p>
    <w:p>
      <w:pPr>
        <w:pStyle w:val="BodyText"/>
        <w:spacing w:line="252" w:lineRule="auto" w:before="11"/>
        <w:ind w:left="100" w:right="328" w:firstLine="396"/>
        <w:jc w:val="right"/>
      </w:pPr>
      <w:r>
        <w:rPr>
          <w:w w:val="149"/>
        </w:rPr>
        <w:t>s</w:t>
      </w:r>
      <w:r>
        <w:rPr>
          <w:w w:val="110"/>
        </w:rPr>
        <w:t>ilvina</w:t>
      </w:r>
      <w:r>
        <w:rPr/>
        <w:t> </w:t>
      </w:r>
      <w:r>
        <w:rPr>
          <w:spacing w:val="-11"/>
        </w:rPr>
        <w:t> </w:t>
      </w:r>
      <w:r>
        <w:rPr>
          <w:w w:val="124"/>
        </w:rPr>
        <w:t>M.</w:t>
      </w:r>
      <w:r>
        <w:rPr/>
        <w:t> </w:t>
      </w:r>
      <w:r>
        <w:rPr>
          <w:spacing w:val="-11"/>
        </w:rPr>
        <w:t> </w:t>
      </w:r>
      <w:r>
        <w:rPr>
          <w:w w:val="182"/>
        </w:rPr>
        <w:t>r</w:t>
      </w:r>
      <w:r>
        <w:rPr>
          <w:w w:val="111"/>
        </w:rPr>
        <w:t>omano</w:t>
      </w:r>
      <w:r>
        <w:rPr/>
        <w:t> </w:t>
      </w:r>
      <w:r>
        <w:rPr>
          <w:spacing w:val="-11"/>
        </w:rPr>
        <w:t> </w:t>
      </w:r>
      <w:r>
        <w:rPr>
          <w:w w:val="107"/>
        </w:rPr>
        <w:t>presenta</w:t>
      </w:r>
      <w:r>
        <w:rPr/>
        <w:t> </w:t>
      </w:r>
      <w:r>
        <w:rPr>
          <w:spacing w:val="-11"/>
        </w:rPr>
        <w:t> </w:t>
      </w:r>
      <w:r>
        <w:rPr>
          <w:w w:val="112"/>
        </w:rPr>
        <w:t>un</w:t>
      </w:r>
      <w:r>
        <w:rPr/>
        <w:t> </w:t>
      </w:r>
      <w:r>
        <w:rPr>
          <w:spacing w:val="-11"/>
        </w:rPr>
        <w:t> </w:t>
      </w:r>
      <w:r>
        <w:rPr>
          <w:w w:val="110"/>
        </w:rPr>
        <w:t>trabajo</w:t>
      </w:r>
      <w:r>
        <w:rPr/>
        <w:t> </w:t>
      </w:r>
      <w:r>
        <w:rPr>
          <w:spacing w:val="-11"/>
        </w:rPr>
        <w:t> </w:t>
      </w:r>
      <w:r>
        <w:rPr>
          <w:w w:val="110"/>
        </w:rPr>
        <w:t>titulado</w:t>
      </w:r>
      <w:r>
        <w:rPr/>
        <w:t> </w:t>
      </w:r>
      <w:r>
        <w:rPr>
          <w:spacing w:val="-11"/>
        </w:rPr>
        <w:t> </w:t>
      </w:r>
      <w:r>
        <w:rPr>
          <w:w w:val="115"/>
        </w:rPr>
        <w:t>“</w:t>
      </w:r>
      <w:r>
        <w:rPr>
          <w:w w:val="243"/>
        </w:rPr>
        <w:t>l</w:t>
      </w:r>
      <w:r>
        <w:rPr>
          <w:w w:val="112"/>
        </w:rPr>
        <w:t>a</w:t>
      </w:r>
      <w:r>
        <w:rPr/>
        <w:t> </w:t>
      </w:r>
      <w:r>
        <w:rPr>
          <w:spacing w:val="-11"/>
        </w:rPr>
        <w:t> </w:t>
      </w:r>
      <w:r>
        <w:rPr>
          <w:w w:val="111"/>
        </w:rPr>
        <w:t>conmem</w:t>
      </w:r>
      <w:r>
        <w:rPr>
          <w:spacing w:val="-1"/>
          <w:w w:val="111"/>
        </w:rPr>
        <w:t>o</w:t>
      </w:r>
      <w:r>
        <w:rPr>
          <w:w w:val="102"/>
        </w:rPr>
        <w:t>- </w:t>
      </w:r>
      <w:r>
        <w:rPr>
          <w:w w:val="115"/>
        </w:rPr>
        <w:t>ración</w:t>
      </w:r>
      <w:r>
        <w:rPr>
          <w:spacing w:val="-15"/>
          <w:w w:val="115"/>
        </w:rPr>
        <w:t> </w:t>
      </w:r>
      <w:r>
        <w:rPr>
          <w:w w:val="115"/>
        </w:rPr>
        <w:t>oficial</w:t>
      </w:r>
      <w:r>
        <w:rPr>
          <w:spacing w:val="-15"/>
          <w:w w:val="115"/>
        </w:rPr>
        <w:t> </w:t>
      </w:r>
      <w:r>
        <w:rPr>
          <w:w w:val="115"/>
        </w:rPr>
        <w:t>del</w:t>
      </w:r>
      <w:r>
        <w:rPr>
          <w:spacing w:val="-15"/>
          <w:w w:val="115"/>
        </w:rPr>
        <w:t> </w:t>
      </w:r>
      <w:r>
        <w:rPr>
          <w:w w:val="115"/>
        </w:rPr>
        <w:t>olvido</w:t>
      </w:r>
      <w:r>
        <w:rPr>
          <w:spacing w:val="-15"/>
          <w:w w:val="115"/>
        </w:rPr>
        <w:t> </w:t>
      </w:r>
      <w:r>
        <w:rPr>
          <w:w w:val="115"/>
        </w:rPr>
        <w:t>de</w:t>
      </w:r>
      <w:r>
        <w:rPr>
          <w:spacing w:val="-15"/>
          <w:w w:val="115"/>
        </w:rPr>
        <w:t> </w:t>
      </w:r>
      <w:r>
        <w:rPr>
          <w:w w:val="115"/>
        </w:rPr>
        <w:t>Vietnam</w:t>
      </w:r>
      <w:r>
        <w:rPr>
          <w:spacing w:val="-15"/>
          <w:w w:val="115"/>
        </w:rPr>
        <w:t> </w:t>
      </w:r>
      <w:r>
        <w:rPr>
          <w:w w:val="115"/>
        </w:rPr>
        <w:t>en</w:t>
      </w:r>
      <w:r>
        <w:rPr>
          <w:spacing w:val="-15"/>
          <w:w w:val="115"/>
        </w:rPr>
        <w:t> </w:t>
      </w:r>
      <w:r>
        <w:rPr>
          <w:w w:val="115"/>
        </w:rPr>
        <w:t>Estados</w:t>
      </w:r>
      <w:r>
        <w:rPr>
          <w:spacing w:val="-15"/>
          <w:w w:val="115"/>
        </w:rPr>
        <w:t> </w:t>
      </w:r>
      <w:r>
        <w:rPr>
          <w:w w:val="115"/>
        </w:rPr>
        <w:t>unidos:</w:t>
      </w:r>
      <w:r>
        <w:rPr>
          <w:spacing w:val="-15"/>
          <w:w w:val="115"/>
        </w:rPr>
        <w:t> </w:t>
      </w:r>
      <w:r>
        <w:rPr>
          <w:w w:val="115"/>
        </w:rPr>
        <w:t>apuntes</w:t>
      </w:r>
      <w:r>
        <w:rPr>
          <w:spacing w:val="-15"/>
          <w:w w:val="115"/>
        </w:rPr>
        <w:t> </w:t>
      </w:r>
      <w:r>
        <w:rPr>
          <w:w w:val="115"/>
        </w:rPr>
        <w:t>bási-</w:t>
      </w:r>
    </w:p>
    <w:p>
      <w:pPr>
        <w:spacing w:after="0" w:line="252" w:lineRule="auto"/>
        <w:jc w:val="right"/>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cos para recuperar la memoria”. El capítulo aborda el modo en que    el gobierno estadounidense ha propuesto “rememorar” la guerra de Vietnam, que incluyen, entre otras cuestiones, el lanzamiento de una página web destinada a proveer de información y datos para los estu- diantes y público en general. Esta propuesta muestra las continuida- des en cuanto a la desinformación y ocultamiento de ciertos procesos a los ojos de los ciudadanos estadounidenses, como uno de los pilares sobre los que se construyen el discurso y la práctica de la guerra </w:t>
      </w:r>
      <w:r>
        <w:rPr>
          <w:spacing w:val="-4"/>
          <w:w w:val="110"/>
        </w:rPr>
        <w:t>per- </w:t>
      </w:r>
      <w:r>
        <w:rPr>
          <w:w w:val="110"/>
        </w:rPr>
        <w:t>petua como parte del “modo de vida americano”. romano expone su revisión de los textos críticos publicados entre mediados de los ’60 y principios de los ’70, considerando especialmente el contexto de ebu- llición política y social, así como la participación de los jóvenes en la </w:t>
      </w:r>
      <w:r>
        <w:rPr>
          <w:w w:val="108"/>
        </w:rPr>
        <w:t>vida</w:t>
      </w:r>
      <w:r>
        <w:rPr/>
        <w:t> </w:t>
      </w:r>
      <w:r>
        <w:rPr>
          <w:spacing w:val="-16"/>
        </w:rPr>
        <w:t> </w:t>
      </w:r>
      <w:r>
        <w:rPr>
          <w:w w:val="113"/>
        </w:rPr>
        <w:t>política.</w:t>
      </w:r>
      <w:r>
        <w:rPr/>
        <w:t> </w:t>
      </w:r>
      <w:r>
        <w:rPr>
          <w:spacing w:val="-16"/>
        </w:rPr>
        <w:t> </w:t>
      </w:r>
      <w:r>
        <w:rPr>
          <w:w w:val="243"/>
        </w:rPr>
        <w:t>l</w:t>
      </w:r>
      <w:r>
        <w:rPr>
          <w:w w:val="112"/>
        </w:rPr>
        <w:t>a</w:t>
      </w:r>
      <w:r>
        <w:rPr/>
        <w:t> </w:t>
      </w:r>
      <w:r>
        <w:rPr>
          <w:spacing w:val="-16"/>
        </w:rPr>
        <w:t> </w:t>
      </w:r>
      <w:r>
        <w:rPr>
          <w:w w:val="110"/>
        </w:rPr>
        <w:t>condena</w:t>
      </w:r>
      <w:r>
        <w:rPr/>
        <w:t> </w:t>
      </w:r>
      <w:r>
        <w:rPr>
          <w:spacing w:val="-16"/>
        </w:rPr>
        <w:t> </w:t>
      </w:r>
      <w:r>
        <w:rPr>
          <w:w w:val="108"/>
        </w:rPr>
        <w:t>general</w:t>
      </w:r>
      <w:r>
        <w:rPr/>
        <w:t> </w:t>
      </w:r>
      <w:r>
        <w:rPr>
          <w:spacing w:val="-16"/>
        </w:rPr>
        <w:t> </w:t>
      </w:r>
      <w:r>
        <w:rPr>
          <w:w w:val="111"/>
        </w:rPr>
        <w:t>al</w:t>
      </w:r>
      <w:r>
        <w:rPr/>
        <w:t> </w:t>
      </w:r>
      <w:r>
        <w:rPr>
          <w:spacing w:val="-16"/>
        </w:rPr>
        <w:t> </w:t>
      </w:r>
      <w:r>
        <w:rPr>
          <w:w w:val="110"/>
        </w:rPr>
        <w:t>movimiento</w:t>
      </w:r>
      <w:r>
        <w:rPr/>
        <w:t> </w:t>
      </w:r>
      <w:r>
        <w:rPr>
          <w:spacing w:val="-16"/>
        </w:rPr>
        <w:t> </w:t>
      </w:r>
      <w:r>
        <w:rPr>
          <w:w w:val="105"/>
        </w:rPr>
        <w:t>y</w:t>
      </w:r>
      <w:r>
        <w:rPr/>
        <w:t> </w:t>
      </w:r>
      <w:r>
        <w:rPr>
          <w:spacing w:val="-16"/>
        </w:rPr>
        <w:t> </w:t>
      </w:r>
      <w:r>
        <w:rPr>
          <w:w w:val="108"/>
        </w:rPr>
        <w:t>los</w:t>
      </w:r>
      <w:r>
        <w:rPr/>
        <w:t> </w:t>
      </w:r>
      <w:r>
        <w:rPr>
          <w:spacing w:val="-16"/>
        </w:rPr>
        <w:t> </w:t>
      </w:r>
      <w:r>
        <w:rPr>
          <w:w w:val="109"/>
        </w:rPr>
        <w:t>grupos</w:t>
      </w:r>
      <w:r>
        <w:rPr/>
        <w:t> </w:t>
      </w:r>
      <w:r>
        <w:rPr>
          <w:spacing w:val="-16"/>
        </w:rPr>
        <w:t> </w:t>
      </w:r>
      <w:r>
        <w:rPr>
          <w:w w:val="108"/>
        </w:rPr>
        <w:t>que</w:t>
      </w:r>
      <w:r>
        <w:rPr/>
        <w:t> </w:t>
      </w:r>
      <w:r>
        <w:rPr>
          <w:spacing w:val="-16"/>
        </w:rPr>
        <w:t> </w:t>
      </w:r>
      <w:r>
        <w:rPr>
          <w:w w:val="105"/>
        </w:rPr>
        <w:t>se </w:t>
      </w:r>
      <w:r>
        <w:rPr>
          <w:w w:val="110"/>
        </w:rPr>
        <w:t>oponían a la guerra, las estrategias para desarticularlos y “eliminar- los”, permiten comprender por qué y para qué el gobierno estadouni- dense hoy prefiere “evitar”, “olvidar”, no nombrar un sinnúmero de eventos vinculados a la guerra, al tiempo que busca realzar los</w:t>
      </w:r>
      <w:r>
        <w:rPr>
          <w:spacing w:val="-9"/>
          <w:w w:val="110"/>
        </w:rPr>
        <w:t> </w:t>
      </w:r>
      <w:r>
        <w:rPr>
          <w:w w:val="110"/>
        </w:rPr>
        <w:t>valores militares y la idea de “sacrificio” del pueblo estadounidense en pos de la libertad de los “oprimidos”. Para esta reconstrucción de lo dicho y lo no dicho, la autora recurre a aportes de académicos, manifiestos y publicaciones que dan cuenta de la oposición a la guerra entre media- dos de los ’60 y principios de los ’70; para contrastar las</w:t>
      </w:r>
      <w:r>
        <w:rPr>
          <w:spacing w:val="-21"/>
          <w:w w:val="110"/>
        </w:rPr>
        <w:t> </w:t>
      </w:r>
      <w:r>
        <w:rPr>
          <w:w w:val="110"/>
        </w:rPr>
        <w:t>apreciaciones de académicos y de la prensa en la actualidad, que hicieron referencia al rol de Estados unidos en dicha guerra y que también se refieren a las estrategias de conmemoración planteadas por el departamento de defensa en</w:t>
      </w:r>
      <w:r>
        <w:rPr>
          <w:spacing w:val="33"/>
          <w:w w:val="110"/>
        </w:rPr>
        <w:t> </w:t>
      </w:r>
      <w:r>
        <w:rPr>
          <w:w w:val="110"/>
        </w:rPr>
        <w:t>particular.</w:t>
      </w:r>
    </w:p>
    <w:p>
      <w:pPr>
        <w:pStyle w:val="BodyText"/>
        <w:spacing w:line="252" w:lineRule="auto"/>
        <w:ind w:left="330" w:right="117" w:firstLine="396"/>
        <w:jc w:val="both"/>
      </w:pPr>
      <w:r>
        <w:rPr>
          <w:w w:val="110"/>
        </w:rPr>
        <w:t>Para cerrar este segundo bloque, Jorge Hernández Martínez, Pro- fesor </w:t>
      </w:r>
      <w:r>
        <w:rPr>
          <w:spacing w:val="-3"/>
          <w:w w:val="110"/>
        </w:rPr>
        <w:t>titular </w:t>
      </w:r>
      <w:r>
        <w:rPr>
          <w:w w:val="110"/>
        </w:rPr>
        <w:t>y director del Centro de Estudios Hemisféricos y sobre </w:t>
      </w:r>
      <w:r>
        <w:rPr>
          <w:w w:val="111"/>
        </w:rPr>
        <w:t>Estados</w:t>
      </w:r>
      <w:r>
        <w:rPr/>
        <w:t> </w:t>
      </w:r>
      <w:r>
        <w:rPr>
          <w:spacing w:val="-5"/>
        </w:rPr>
        <w:t> </w:t>
      </w:r>
      <w:r>
        <w:rPr>
          <w:w w:val="140"/>
        </w:rPr>
        <w:t>u</w:t>
      </w:r>
      <w:r>
        <w:rPr>
          <w:w w:val="110"/>
        </w:rPr>
        <w:t>nidos</w:t>
      </w:r>
      <w:r>
        <w:rPr/>
        <w:t> </w:t>
      </w:r>
      <w:r>
        <w:rPr>
          <w:spacing w:val="-5"/>
        </w:rPr>
        <w:t> </w:t>
      </w:r>
      <w:r>
        <w:rPr>
          <w:w w:val="98"/>
        </w:rPr>
        <w:t>(</w:t>
      </w:r>
      <w:r>
        <w:rPr>
          <w:w w:val="125"/>
        </w:rPr>
        <w:t>CEH</w:t>
      </w:r>
      <w:r>
        <w:rPr>
          <w:w w:val="149"/>
        </w:rPr>
        <w:t>s</w:t>
      </w:r>
      <w:r>
        <w:rPr>
          <w:w w:val="128"/>
        </w:rPr>
        <w:t>E</w:t>
      </w:r>
      <w:r>
        <w:rPr>
          <w:w w:val="140"/>
        </w:rPr>
        <w:t>u</w:t>
      </w:r>
      <w:r>
        <w:rPr>
          <w:w w:val="98"/>
        </w:rPr>
        <w:t>)</w:t>
      </w:r>
      <w:r>
        <w:rPr/>
        <w:t> </w:t>
      </w:r>
      <w:r>
        <w:rPr>
          <w:spacing w:val="-5"/>
        </w:rPr>
        <w:t> </w:t>
      </w:r>
      <w:r>
        <w:rPr>
          <w:w w:val="107"/>
        </w:rPr>
        <w:t>de</w:t>
      </w:r>
      <w:r>
        <w:rPr/>
        <w:t> </w:t>
      </w:r>
      <w:r>
        <w:rPr>
          <w:spacing w:val="-5"/>
        </w:rPr>
        <w:t> </w:t>
      </w:r>
      <w:r>
        <w:rPr>
          <w:w w:val="111"/>
        </w:rPr>
        <w:t>la</w:t>
      </w:r>
      <w:r>
        <w:rPr/>
        <w:t> </w:t>
      </w:r>
      <w:r>
        <w:rPr>
          <w:spacing w:val="-5"/>
        </w:rPr>
        <w:t> </w:t>
      </w:r>
      <w:r>
        <w:rPr>
          <w:w w:val="140"/>
        </w:rPr>
        <w:t>u</w:t>
      </w:r>
      <w:r>
        <w:rPr>
          <w:w w:val="108"/>
        </w:rPr>
        <w:t>niversidad</w:t>
      </w:r>
      <w:r>
        <w:rPr/>
        <w:t> </w:t>
      </w:r>
      <w:r>
        <w:rPr>
          <w:spacing w:val="-5"/>
        </w:rPr>
        <w:t> </w:t>
      </w:r>
      <w:r>
        <w:rPr>
          <w:w w:val="107"/>
        </w:rPr>
        <w:t>de</w:t>
      </w:r>
      <w:r>
        <w:rPr/>
        <w:t> </w:t>
      </w:r>
      <w:r>
        <w:rPr>
          <w:spacing w:val="-5"/>
        </w:rPr>
        <w:t> </w:t>
      </w:r>
      <w:r>
        <w:rPr>
          <w:w w:val="243"/>
        </w:rPr>
        <w:t>l</w:t>
      </w:r>
      <w:r>
        <w:rPr>
          <w:w w:val="112"/>
        </w:rPr>
        <w:t>a</w:t>
      </w:r>
      <w:r>
        <w:rPr/>
        <w:t> </w:t>
      </w:r>
      <w:r>
        <w:rPr>
          <w:spacing w:val="-5"/>
        </w:rPr>
        <w:t> </w:t>
      </w:r>
      <w:r>
        <w:rPr>
          <w:w w:val="115"/>
        </w:rPr>
        <w:t>Habana,</w:t>
      </w:r>
      <w:r>
        <w:rPr/>
        <w:t> </w:t>
      </w:r>
      <w:r>
        <w:rPr>
          <w:spacing w:val="-5"/>
        </w:rPr>
        <w:t> </w:t>
      </w:r>
      <w:r>
        <w:rPr>
          <w:w w:val="117"/>
        </w:rPr>
        <w:t>Cuba, </w:t>
      </w:r>
      <w:r>
        <w:rPr>
          <w:w w:val="110"/>
        </w:rPr>
        <w:t>presenta el trabajo titulado “Estados unidos y el antinorteamericanis- mo: la seguridad nacional como función ideológica de la hegemonía”. dicho artículo busca reflexionar en torno a la lógica que explica el surgimiento, estructuración y funcionalidad del antinorteamericanis- mo –fundamentalmente en su expresión hacia el interior de Estados unidos. Con ello no se pretende exponer una lectura del mismo en </w:t>
      </w:r>
      <w:r>
        <w:rPr>
          <w:spacing w:val="-4"/>
          <w:w w:val="110"/>
        </w:rPr>
        <w:t>tér- </w:t>
      </w:r>
      <w:r>
        <w:rPr>
          <w:w w:val="110"/>
        </w:rPr>
        <w:t>minos anecdóticos más cercanos al ejercicio periodístico o al análisis coyuntural (también útiles), sino en términos histórico-estructurales. </w:t>
      </w:r>
      <w:r>
        <w:rPr>
          <w:w w:val="243"/>
        </w:rPr>
        <w:t>l</w:t>
      </w:r>
      <w:r>
        <w:rPr>
          <w:w w:val="112"/>
        </w:rPr>
        <w:t>a</w:t>
      </w:r>
      <w:r>
        <w:rPr/>
        <w:t> </w:t>
      </w:r>
      <w:r>
        <w:rPr>
          <w:spacing w:val="-21"/>
        </w:rPr>
        <w:t> </w:t>
      </w:r>
      <w:r>
        <w:rPr>
          <w:w w:val="108"/>
        </w:rPr>
        <w:t>reflexión</w:t>
      </w:r>
      <w:r>
        <w:rPr/>
        <w:t> </w:t>
      </w:r>
      <w:r>
        <w:rPr>
          <w:spacing w:val="-21"/>
        </w:rPr>
        <w:t> </w:t>
      </w:r>
      <w:r>
        <w:rPr>
          <w:w w:val="108"/>
        </w:rPr>
        <w:t>propone</w:t>
      </w:r>
      <w:r>
        <w:rPr/>
        <w:t> </w:t>
      </w:r>
      <w:r>
        <w:rPr>
          <w:spacing w:val="-21"/>
        </w:rPr>
        <w:t> </w:t>
      </w:r>
      <w:r>
        <w:rPr>
          <w:w w:val="112"/>
        </w:rPr>
        <w:t>una</w:t>
      </w:r>
      <w:r>
        <w:rPr/>
        <w:t> </w:t>
      </w:r>
      <w:r>
        <w:rPr>
          <w:spacing w:val="-21"/>
        </w:rPr>
        <w:t> </w:t>
      </w:r>
      <w:r>
        <w:rPr>
          <w:w w:val="109"/>
        </w:rPr>
        <w:t>lectura</w:t>
      </w:r>
      <w:r>
        <w:rPr/>
        <w:t> </w:t>
      </w:r>
      <w:r>
        <w:rPr>
          <w:spacing w:val="-21"/>
        </w:rPr>
        <w:t> </w:t>
      </w:r>
      <w:r>
        <w:rPr>
          <w:w w:val="108"/>
        </w:rPr>
        <w:t>que</w:t>
      </w:r>
      <w:r>
        <w:rPr/>
        <w:t> </w:t>
      </w:r>
      <w:r>
        <w:rPr>
          <w:spacing w:val="-21"/>
        </w:rPr>
        <w:t> </w:t>
      </w:r>
      <w:r>
        <w:rPr>
          <w:w w:val="108"/>
        </w:rPr>
        <w:t>interpreta</w:t>
      </w:r>
      <w:r>
        <w:rPr/>
        <w:t> </w:t>
      </w:r>
      <w:r>
        <w:rPr>
          <w:spacing w:val="-21"/>
        </w:rPr>
        <w:t> </w:t>
      </w:r>
      <w:r>
        <w:rPr>
          <w:w w:val="107"/>
        </w:rPr>
        <w:t>el</w:t>
      </w:r>
      <w:r>
        <w:rPr/>
        <w:t> </w:t>
      </w:r>
      <w:r>
        <w:rPr>
          <w:spacing w:val="-21"/>
        </w:rPr>
        <w:t> </w:t>
      </w:r>
      <w:r>
        <w:rPr>
          <w:w w:val="110"/>
        </w:rPr>
        <w:t>antinorteamerica</w:t>
      </w:r>
      <w:r>
        <w:rPr>
          <w:w w:val="102"/>
        </w:rPr>
        <w:t>- </w:t>
      </w:r>
      <w:r>
        <w:rPr>
          <w:w w:val="110"/>
        </w:rPr>
        <w:t>nismo como producto de las contradicciones enraizadas en el núcleo más íntimo y sensible de la cultura y el sistema político de Estados unidos, lo cual lo vincula con cuestiones como la xenofobia, el nati- vismo, la seguridad nacional, la hegemonía. El trabajo muestra cómo la situación que se impone luego del 11-s establece un terreno  </w:t>
      </w:r>
      <w:r>
        <w:rPr>
          <w:spacing w:val="16"/>
          <w:w w:val="110"/>
        </w:rPr>
        <w:t> </w:t>
      </w:r>
      <w:r>
        <w:rPr>
          <w:w w:val="110"/>
        </w:rPr>
        <w:t>suma-</w:t>
      </w:r>
    </w:p>
    <w:p>
      <w:pPr>
        <w:spacing w:after="0" w:line="252" w:lineRule="auto"/>
        <w:jc w:val="both"/>
        <w:sectPr>
          <w:footerReference w:type="even" r:id="rId65"/>
          <w:footerReference w:type="default" r:id="rId66"/>
          <w:pgSz w:w="8790" w:h="12760"/>
          <w:pgMar w:footer="725" w:header="697" w:top="880" w:bottom="920" w:left="1200" w:right="900"/>
          <w:pgNumType w:start="32"/>
        </w:sectPr>
      </w:pPr>
    </w:p>
    <w:p>
      <w:pPr>
        <w:pStyle w:val="BodyText"/>
        <w:spacing w:before="9"/>
        <w:rPr>
          <w:sz w:val="28"/>
        </w:rPr>
      </w:pPr>
    </w:p>
    <w:p>
      <w:pPr>
        <w:pStyle w:val="BodyText"/>
        <w:spacing w:line="252" w:lineRule="auto" w:before="73"/>
        <w:ind w:left="100" w:right="328"/>
        <w:jc w:val="both"/>
      </w:pPr>
      <w:r>
        <w:rPr>
          <w:w w:val="110"/>
        </w:rPr>
        <w:t>mente fértil para la continuidad, florecimiento y renovación del con- senso –que es esencialmente conservador– a la luz del nuevo contexto interno e internacional. desde entonces se argumenta la lucha contra el “antinorteamericanismo”. de ese modo, el “americanismo” (los va- lores que lo integran, que conforman la identidad norteamericana), como credo político-ideológico, se ha convertido en el siglo </w:t>
      </w:r>
      <w:r>
        <w:rPr>
          <w:w w:val="125"/>
        </w:rPr>
        <w:t>xxi </w:t>
      </w:r>
      <w:r>
        <w:rPr>
          <w:w w:val="110"/>
        </w:rPr>
        <w:t>en     un componente esencial de la cultura política estadounidense. así, re- tomando una línea de razonamiento ya anticipada en este trabajo, el “antinorteamericanismo” se emparenta con el “anticomunismo” o el “antifascismo”. Y como sucedió bajo otras circunstancias, el saldo es sumamente funcional a la hora de justificar una tarea cultural impos- tergable, en la que la (re)creación de símbolos es indispensable para superar la aparente o real pérdida de legitimidad interna a partir de percepciones del</w:t>
      </w:r>
      <w:r>
        <w:rPr>
          <w:spacing w:val="22"/>
          <w:w w:val="110"/>
        </w:rPr>
        <w:t> </w:t>
      </w:r>
      <w:r>
        <w:rPr>
          <w:w w:val="110"/>
        </w:rPr>
        <w:t>“enemigo”.</w:t>
      </w:r>
    </w:p>
    <w:p>
      <w:pPr>
        <w:pStyle w:val="BodyText"/>
        <w:spacing w:before="5"/>
      </w:pPr>
    </w:p>
    <w:p>
      <w:pPr>
        <w:pStyle w:val="Heading6"/>
      </w:pPr>
      <w:r>
        <w:rPr>
          <w:w w:val="135"/>
        </w:rPr>
        <w:t>aMérica latina y estados unidos</w:t>
      </w:r>
    </w:p>
    <w:p>
      <w:pPr>
        <w:pStyle w:val="BodyText"/>
        <w:spacing w:line="252" w:lineRule="auto" w:before="10"/>
        <w:ind w:left="100" w:right="326"/>
        <w:jc w:val="both"/>
      </w:pPr>
      <w:r>
        <w:rPr>
          <w:w w:val="243"/>
        </w:rPr>
        <w:t>l</w:t>
      </w:r>
      <w:r>
        <w:rPr>
          <w:w w:val="112"/>
        </w:rPr>
        <w:t>a</w:t>
      </w:r>
      <w:r>
        <w:rPr>
          <w:spacing w:val="6"/>
        </w:rPr>
        <w:t> </w:t>
      </w:r>
      <w:r>
        <w:rPr>
          <w:w w:val="107"/>
        </w:rPr>
        <w:t>tercera</w:t>
      </w:r>
      <w:r>
        <w:rPr>
          <w:spacing w:val="6"/>
        </w:rPr>
        <w:t> </w:t>
      </w:r>
      <w:r>
        <w:rPr>
          <w:w w:val="111"/>
        </w:rPr>
        <w:t>sección</w:t>
      </w:r>
      <w:r>
        <w:rPr>
          <w:spacing w:val="6"/>
        </w:rPr>
        <w:t> </w:t>
      </w:r>
      <w:r>
        <w:rPr>
          <w:w w:val="107"/>
        </w:rPr>
        <w:t>de</w:t>
      </w:r>
      <w:r>
        <w:rPr>
          <w:spacing w:val="6"/>
        </w:rPr>
        <w:t> </w:t>
      </w:r>
      <w:r>
        <w:rPr>
          <w:w w:val="105"/>
        </w:rPr>
        <w:t>este</w:t>
      </w:r>
      <w:r>
        <w:rPr>
          <w:spacing w:val="6"/>
        </w:rPr>
        <w:t> </w:t>
      </w:r>
      <w:r>
        <w:rPr>
          <w:w w:val="110"/>
        </w:rPr>
        <w:t>libro</w:t>
      </w:r>
      <w:r>
        <w:rPr>
          <w:spacing w:val="6"/>
        </w:rPr>
        <w:t> </w:t>
      </w:r>
      <w:r>
        <w:rPr>
          <w:w w:val="111"/>
        </w:rPr>
        <w:t>busca</w:t>
      </w:r>
      <w:r>
        <w:rPr>
          <w:spacing w:val="6"/>
        </w:rPr>
        <w:t> </w:t>
      </w:r>
      <w:r>
        <w:rPr>
          <w:w w:val="111"/>
        </w:rPr>
        <w:t>ampliar</w:t>
      </w:r>
      <w:r>
        <w:rPr>
          <w:spacing w:val="6"/>
        </w:rPr>
        <w:t> </w:t>
      </w:r>
      <w:r>
        <w:rPr>
          <w:w w:val="111"/>
        </w:rPr>
        <w:t>la</w:t>
      </w:r>
      <w:r>
        <w:rPr>
          <w:spacing w:val="6"/>
        </w:rPr>
        <w:t> </w:t>
      </w:r>
      <w:r>
        <w:rPr>
          <w:w w:val="111"/>
        </w:rPr>
        <w:t>discusión</w:t>
      </w:r>
      <w:r>
        <w:rPr>
          <w:spacing w:val="6"/>
        </w:rPr>
        <w:t> </w:t>
      </w:r>
      <w:r>
        <w:rPr>
          <w:w w:val="105"/>
        </w:rPr>
        <w:t>y</w:t>
      </w:r>
      <w:r>
        <w:rPr>
          <w:spacing w:val="6"/>
        </w:rPr>
        <w:t> </w:t>
      </w:r>
      <w:r>
        <w:rPr>
          <w:w w:val="107"/>
        </w:rPr>
        <w:t>el</w:t>
      </w:r>
      <w:r>
        <w:rPr>
          <w:spacing w:val="6"/>
        </w:rPr>
        <w:t> </w:t>
      </w:r>
      <w:r>
        <w:rPr>
          <w:w w:val="108"/>
        </w:rPr>
        <w:t>debate </w:t>
      </w:r>
      <w:r>
        <w:rPr>
          <w:w w:val="107"/>
        </w:rPr>
        <w:t>sobre</w:t>
      </w:r>
      <w:r>
        <w:rPr/>
        <w:t> </w:t>
      </w:r>
      <w:r>
        <w:rPr>
          <w:spacing w:val="-5"/>
        </w:rPr>
        <w:t> </w:t>
      </w:r>
      <w:r>
        <w:rPr>
          <w:w w:val="109"/>
        </w:rPr>
        <w:t>las</w:t>
      </w:r>
      <w:r>
        <w:rPr/>
        <w:t> </w:t>
      </w:r>
      <w:r>
        <w:rPr>
          <w:spacing w:val="-5"/>
        </w:rPr>
        <w:t> </w:t>
      </w:r>
      <w:r>
        <w:rPr>
          <w:w w:val="109"/>
        </w:rPr>
        <w:t>relaciones</w:t>
      </w:r>
      <w:r>
        <w:rPr/>
        <w:t> </w:t>
      </w:r>
      <w:r>
        <w:rPr>
          <w:spacing w:val="-5"/>
        </w:rPr>
        <w:t> </w:t>
      </w:r>
      <w:r>
        <w:rPr>
          <w:w w:val="110"/>
        </w:rPr>
        <w:t>actuales</w:t>
      </w:r>
      <w:r>
        <w:rPr/>
        <w:t> </w:t>
      </w:r>
      <w:r>
        <w:rPr>
          <w:spacing w:val="-5"/>
        </w:rPr>
        <w:t> </w:t>
      </w:r>
      <w:r>
        <w:rPr>
          <w:w w:val="106"/>
        </w:rPr>
        <w:t>entre</w:t>
      </w:r>
      <w:r>
        <w:rPr/>
        <w:t> </w:t>
      </w:r>
      <w:r>
        <w:rPr>
          <w:spacing w:val="-5"/>
        </w:rPr>
        <w:t> </w:t>
      </w:r>
      <w:r>
        <w:rPr>
          <w:w w:val="111"/>
        </w:rPr>
        <w:t>Estados</w:t>
      </w:r>
      <w:r>
        <w:rPr/>
        <w:t> </w:t>
      </w:r>
      <w:r>
        <w:rPr>
          <w:spacing w:val="-5"/>
        </w:rPr>
        <w:t> </w:t>
      </w:r>
      <w:r>
        <w:rPr>
          <w:w w:val="140"/>
        </w:rPr>
        <w:t>u</w:t>
      </w:r>
      <w:r>
        <w:rPr>
          <w:w w:val="110"/>
        </w:rPr>
        <w:t>nidos</w:t>
      </w:r>
      <w:r>
        <w:rPr/>
        <w:t> </w:t>
      </w:r>
      <w:r>
        <w:rPr>
          <w:spacing w:val="-5"/>
        </w:rPr>
        <w:t> </w:t>
      </w:r>
      <w:r>
        <w:rPr>
          <w:w w:val="105"/>
        </w:rPr>
        <w:t>y</w:t>
      </w:r>
      <w:r>
        <w:rPr/>
        <w:t> </w:t>
      </w:r>
      <w:r>
        <w:rPr>
          <w:spacing w:val="-5"/>
        </w:rPr>
        <w:t> </w:t>
      </w:r>
      <w:r>
        <w:rPr>
          <w:w w:val="139"/>
        </w:rPr>
        <w:t>a</w:t>
      </w:r>
      <w:r>
        <w:rPr>
          <w:w w:val="111"/>
        </w:rPr>
        <w:t>mérica</w:t>
      </w:r>
      <w:r>
        <w:rPr/>
        <w:t> </w:t>
      </w:r>
      <w:r>
        <w:rPr>
          <w:spacing w:val="-5"/>
        </w:rPr>
        <w:t> </w:t>
      </w:r>
      <w:r>
        <w:rPr>
          <w:w w:val="243"/>
        </w:rPr>
        <w:t>l</w:t>
      </w:r>
      <w:r>
        <w:rPr>
          <w:w w:val="111"/>
        </w:rPr>
        <w:t>at</w:t>
      </w:r>
      <w:r>
        <w:rPr>
          <w:spacing w:val="1"/>
          <w:w w:val="111"/>
        </w:rPr>
        <w:t>i</w:t>
      </w:r>
      <w:r>
        <w:rPr>
          <w:w w:val="102"/>
        </w:rPr>
        <w:t>- </w:t>
      </w:r>
      <w:r>
        <w:rPr>
          <w:w w:val="115"/>
        </w:rPr>
        <w:t>na y el Caribe. Para iniciar el debate, Jaime Zuluaga Nieto, docente e investigador de la universidad Externado de Colombia y profesor Emérito de la universidad Nacional de Colombia, presenta un tra- bajo titulado “Estados unidos: políticas de defensa en un contexto mundial económico y político inestable”, en el cual se analizan las reacciones que tuvo la administración de barack obama al asumir la</w:t>
      </w:r>
      <w:r>
        <w:rPr>
          <w:spacing w:val="-17"/>
          <w:w w:val="115"/>
        </w:rPr>
        <w:t> </w:t>
      </w:r>
      <w:r>
        <w:rPr>
          <w:w w:val="115"/>
        </w:rPr>
        <w:t>presidencia</w:t>
      </w:r>
      <w:r>
        <w:rPr>
          <w:spacing w:val="-17"/>
          <w:w w:val="115"/>
        </w:rPr>
        <w:t> </w:t>
      </w:r>
      <w:r>
        <w:rPr>
          <w:w w:val="115"/>
        </w:rPr>
        <w:t>en</w:t>
      </w:r>
      <w:r>
        <w:rPr>
          <w:spacing w:val="-17"/>
          <w:w w:val="115"/>
        </w:rPr>
        <w:t> </w:t>
      </w:r>
      <w:r>
        <w:rPr>
          <w:w w:val="115"/>
        </w:rPr>
        <w:t>enero</w:t>
      </w:r>
      <w:r>
        <w:rPr>
          <w:spacing w:val="-17"/>
          <w:w w:val="115"/>
        </w:rPr>
        <w:t> </w:t>
      </w:r>
      <w:r>
        <w:rPr>
          <w:w w:val="115"/>
        </w:rPr>
        <w:t>de</w:t>
      </w:r>
      <w:r>
        <w:rPr>
          <w:spacing w:val="-17"/>
          <w:w w:val="115"/>
        </w:rPr>
        <w:t> </w:t>
      </w:r>
      <w:r>
        <w:rPr>
          <w:w w:val="115"/>
        </w:rPr>
        <w:t>2009</w:t>
      </w:r>
      <w:r>
        <w:rPr>
          <w:spacing w:val="-17"/>
          <w:w w:val="115"/>
        </w:rPr>
        <w:t> </w:t>
      </w:r>
      <w:r>
        <w:rPr>
          <w:w w:val="115"/>
        </w:rPr>
        <w:t>para</w:t>
      </w:r>
      <w:r>
        <w:rPr>
          <w:spacing w:val="-17"/>
          <w:w w:val="115"/>
        </w:rPr>
        <w:t> </w:t>
      </w:r>
      <w:r>
        <w:rPr>
          <w:w w:val="115"/>
        </w:rPr>
        <w:t>administrar</w:t>
      </w:r>
      <w:r>
        <w:rPr>
          <w:spacing w:val="-17"/>
          <w:w w:val="115"/>
        </w:rPr>
        <w:t> </w:t>
      </w:r>
      <w:r>
        <w:rPr>
          <w:w w:val="115"/>
        </w:rPr>
        <w:t>dos</w:t>
      </w:r>
      <w:r>
        <w:rPr>
          <w:spacing w:val="-17"/>
          <w:w w:val="115"/>
        </w:rPr>
        <w:t> </w:t>
      </w:r>
      <w:r>
        <w:rPr>
          <w:w w:val="115"/>
        </w:rPr>
        <w:t>“herencias”</w:t>
      </w:r>
      <w:r>
        <w:rPr>
          <w:spacing w:val="-17"/>
          <w:w w:val="115"/>
        </w:rPr>
        <w:t> </w:t>
      </w:r>
      <w:r>
        <w:rPr>
          <w:w w:val="115"/>
        </w:rPr>
        <w:t>de la administración bush </w:t>
      </w:r>
      <w:r>
        <w:rPr>
          <w:spacing w:val="-6"/>
          <w:w w:val="115"/>
        </w:rPr>
        <w:t>Jr.: </w:t>
      </w:r>
      <w:r>
        <w:rPr>
          <w:w w:val="115"/>
        </w:rPr>
        <w:t>la crisis financiera mundial de finales de 2007</w:t>
      </w:r>
      <w:r>
        <w:rPr>
          <w:spacing w:val="-21"/>
          <w:w w:val="115"/>
        </w:rPr>
        <w:t> </w:t>
      </w:r>
      <w:r>
        <w:rPr>
          <w:w w:val="115"/>
        </w:rPr>
        <w:t>y</w:t>
      </w:r>
      <w:r>
        <w:rPr>
          <w:spacing w:val="-21"/>
          <w:w w:val="115"/>
        </w:rPr>
        <w:t> </w:t>
      </w:r>
      <w:r>
        <w:rPr>
          <w:w w:val="115"/>
        </w:rPr>
        <w:t>las</w:t>
      </w:r>
      <w:r>
        <w:rPr>
          <w:spacing w:val="-21"/>
          <w:w w:val="115"/>
        </w:rPr>
        <w:t> </w:t>
      </w:r>
      <w:r>
        <w:rPr>
          <w:w w:val="115"/>
        </w:rPr>
        <w:t>guerras</w:t>
      </w:r>
      <w:r>
        <w:rPr>
          <w:spacing w:val="-21"/>
          <w:w w:val="115"/>
        </w:rPr>
        <w:t> </w:t>
      </w:r>
      <w:r>
        <w:rPr>
          <w:w w:val="115"/>
        </w:rPr>
        <w:t>asociadas</w:t>
      </w:r>
      <w:r>
        <w:rPr>
          <w:spacing w:val="-21"/>
          <w:w w:val="115"/>
        </w:rPr>
        <w:t> </w:t>
      </w:r>
      <w:r>
        <w:rPr>
          <w:w w:val="115"/>
        </w:rPr>
        <w:t>a</w:t>
      </w:r>
      <w:r>
        <w:rPr>
          <w:spacing w:val="-21"/>
          <w:w w:val="115"/>
        </w:rPr>
        <w:t> </w:t>
      </w:r>
      <w:r>
        <w:rPr>
          <w:w w:val="115"/>
        </w:rPr>
        <w:t>la</w:t>
      </w:r>
      <w:r>
        <w:rPr>
          <w:spacing w:val="-21"/>
          <w:w w:val="115"/>
        </w:rPr>
        <w:t> </w:t>
      </w:r>
      <w:r>
        <w:rPr>
          <w:w w:val="115"/>
        </w:rPr>
        <w:t>“cruzada</w:t>
      </w:r>
      <w:r>
        <w:rPr>
          <w:spacing w:val="-21"/>
          <w:w w:val="115"/>
        </w:rPr>
        <w:t> </w:t>
      </w:r>
      <w:r>
        <w:rPr>
          <w:w w:val="115"/>
        </w:rPr>
        <w:t>mundial</w:t>
      </w:r>
      <w:r>
        <w:rPr>
          <w:spacing w:val="-21"/>
          <w:w w:val="115"/>
        </w:rPr>
        <w:t> </w:t>
      </w:r>
      <w:r>
        <w:rPr>
          <w:w w:val="115"/>
        </w:rPr>
        <w:t>contra</w:t>
      </w:r>
      <w:r>
        <w:rPr>
          <w:spacing w:val="-21"/>
          <w:w w:val="115"/>
        </w:rPr>
        <w:t> </w:t>
      </w:r>
      <w:r>
        <w:rPr>
          <w:w w:val="115"/>
        </w:rPr>
        <w:t>el</w:t>
      </w:r>
      <w:r>
        <w:rPr>
          <w:spacing w:val="-21"/>
          <w:w w:val="115"/>
        </w:rPr>
        <w:t> </w:t>
      </w:r>
      <w:r>
        <w:rPr>
          <w:w w:val="115"/>
        </w:rPr>
        <w:t>terroris- mo”</w:t>
      </w:r>
      <w:r>
        <w:rPr>
          <w:spacing w:val="-29"/>
          <w:w w:val="115"/>
        </w:rPr>
        <w:t> </w:t>
      </w:r>
      <w:r>
        <w:rPr>
          <w:w w:val="115"/>
        </w:rPr>
        <w:t>desatadas</w:t>
      </w:r>
      <w:r>
        <w:rPr>
          <w:spacing w:val="-29"/>
          <w:w w:val="115"/>
        </w:rPr>
        <w:t> </w:t>
      </w:r>
      <w:r>
        <w:rPr>
          <w:w w:val="115"/>
        </w:rPr>
        <w:t>a</w:t>
      </w:r>
      <w:r>
        <w:rPr>
          <w:spacing w:val="-29"/>
          <w:w w:val="115"/>
        </w:rPr>
        <w:t> </w:t>
      </w:r>
      <w:r>
        <w:rPr>
          <w:w w:val="115"/>
        </w:rPr>
        <w:t>raíz</w:t>
      </w:r>
      <w:r>
        <w:rPr>
          <w:spacing w:val="-29"/>
          <w:w w:val="115"/>
        </w:rPr>
        <w:t> </w:t>
      </w:r>
      <w:r>
        <w:rPr>
          <w:w w:val="115"/>
        </w:rPr>
        <w:t>de</w:t>
      </w:r>
      <w:r>
        <w:rPr>
          <w:spacing w:val="-29"/>
          <w:w w:val="115"/>
        </w:rPr>
        <w:t> </w:t>
      </w:r>
      <w:r>
        <w:rPr>
          <w:w w:val="115"/>
        </w:rPr>
        <w:t>los</w:t>
      </w:r>
      <w:r>
        <w:rPr>
          <w:spacing w:val="-29"/>
          <w:w w:val="115"/>
        </w:rPr>
        <w:t> </w:t>
      </w:r>
      <w:r>
        <w:rPr>
          <w:w w:val="115"/>
        </w:rPr>
        <w:t>atentados</w:t>
      </w:r>
      <w:r>
        <w:rPr>
          <w:spacing w:val="-29"/>
          <w:w w:val="115"/>
        </w:rPr>
        <w:t> </w:t>
      </w:r>
      <w:r>
        <w:rPr>
          <w:w w:val="115"/>
        </w:rPr>
        <w:t>terroristas</w:t>
      </w:r>
      <w:r>
        <w:rPr>
          <w:spacing w:val="-29"/>
          <w:w w:val="115"/>
        </w:rPr>
        <w:t> </w:t>
      </w:r>
      <w:r>
        <w:rPr>
          <w:w w:val="115"/>
        </w:rPr>
        <w:t>del</w:t>
      </w:r>
      <w:r>
        <w:rPr>
          <w:spacing w:val="-29"/>
          <w:w w:val="115"/>
        </w:rPr>
        <w:t> </w:t>
      </w:r>
      <w:r>
        <w:rPr>
          <w:w w:val="115"/>
        </w:rPr>
        <w:t>11</w:t>
      </w:r>
      <w:r>
        <w:rPr>
          <w:spacing w:val="-29"/>
          <w:w w:val="115"/>
        </w:rPr>
        <w:t> </w:t>
      </w:r>
      <w:r>
        <w:rPr>
          <w:w w:val="115"/>
        </w:rPr>
        <w:t>de</w:t>
      </w:r>
      <w:r>
        <w:rPr>
          <w:spacing w:val="-29"/>
          <w:w w:val="115"/>
        </w:rPr>
        <w:t> </w:t>
      </w:r>
      <w:r>
        <w:rPr>
          <w:w w:val="115"/>
        </w:rPr>
        <w:t>septiembre de 2001. Frente a la primera, se trataba de “poner orden en casa” y sanear</w:t>
      </w:r>
      <w:r>
        <w:rPr>
          <w:spacing w:val="-21"/>
          <w:w w:val="115"/>
        </w:rPr>
        <w:t> </w:t>
      </w:r>
      <w:r>
        <w:rPr>
          <w:w w:val="115"/>
        </w:rPr>
        <w:t>la</w:t>
      </w:r>
      <w:r>
        <w:rPr>
          <w:spacing w:val="-21"/>
          <w:w w:val="115"/>
        </w:rPr>
        <w:t> </w:t>
      </w:r>
      <w:r>
        <w:rPr>
          <w:w w:val="115"/>
        </w:rPr>
        <w:t>situación</w:t>
      </w:r>
      <w:r>
        <w:rPr>
          <w:spacing w:val="-21"/>
          <w:w w:val="115"/>
        </w:rPr>
        <w:t> </w:t>
      </w:r>
      <w:r>
        <w:rPr>
          <w:w w:val="115"/>
        </w:rPr>
        <w:t>económica,</w:t>
      </w:r>
      <w:r>
        <w:rPr>
          <w:spacing w:val="-21"/>
          <w:w w:val="115"/>
        </w:rPr>
        <w:t> </w:t>
      </w:r>
      <w:r>
        <w:rPr>
          <w:w w:val="115"/>
        </w:rPr>
        <w:t>mientras</w:t>
      </w:r>
      <w:r>
        <w:rPr>
          <w:spacing w:val="-21"/>
          <w:w w:val="115"/>
        </w:rPr>
        <w:t> </w:t>
      </w:r>
      <w:r>
        <w:rPr>
          <w:w w:val="115"/>
        </w:rPr>
        <w:t>que</w:t>
      </w:r>
      <w:r>
        <w:rPr>
          <w:spacing w:val="-21"/>
          <w:w w:val="115"/>
        </w:rPr>
        <w:t> </w:t>
      </w:r>
      <w:r>
        <w:rPr>
          <w:w w:val="115"/>
        </w:rPr>
        <w:t>la</w:t>
      </w:r>
      <w:r>
        <w:rPr>
          <w:spacing w:val="-21"/>
          <w:w w:val="115"/>
        </w:rPr>
        <w:t> </w:t>
      </w:r>
      <w:r>
        <w:rPr>
          <w:w w:val="115"/>
        </w:rPr>
        <w:t>segunda</w:t>
      </w:r>
      <w:r>
        <w:rPr>
          <w:spacing w:val="-21"/>
          <w:w w:val="115"/>
        </w:rPr>
        <w:t> </w:t>
      </w:r>
      <w:r>
        <w:rPr>
          <w:w w:val="115"/>
        </w:rPr>
        <w:t>buscaba</w:t>
      </w:r>
      <w:r>
        <w:rPr>
          <w:spacing w:val="-21"/>
          <w:w w:val="115"/>
        </w:rPr>
        <w:t> </w:t>
      </w:r>
      <w:r>
        <w:rPr>
          <w:w w:val="115"/>
        </w:rPr>
        <w:t>“ha- cer un retiro gradual de los escenarios de guerra” en el marco de la guerra</w:t>
      </w:r>
      <w:r>
        <w:rPr>
          <w:spacing w:val="-10"/>
          <w:w w:val="115"/>
        </w:rPr>
        <w:t> </w:t>
      </w:r>
      <w:r>
        <w:rPr>
          <w:w w:val="115"/>
        </w:rPr>
        <w:t>global</w:t>
      </w:r>
      <w:r>
        <w:rPr>
          <w:spacing w:val="-10"/>
          <w:w w:val="115"/>
        </w:rPr>
        <w:t> </w:t>
      </w:r>
      <w:r>
        <w:rPr>
          <w:w w:val="115"/>
        </w:rPr>
        <w:t>contra</w:t>
      </w:r>
      <w:r>
        <w:rPr>
          <w:spacing w:val="-10"/>
          <w:w w:val="115"/>
        </w:rPr>
        <w:t> </w:t>
      </w:r>
      <w:r>
        <w:rPr>
          <w:w w:val="115"/>
        </w:rPr>
        <w:t>el</w:t>
      </w:r>
      <w:r>
        <w:rPr>
          <w:spacing w:val="-10"/>
          <w:w w:val="115"/>
        </w:rPr>
        <w:t> </w:t>
      </w:r>
      <w:r>
        <w:rPr>
          <w:w w:val="115"/>
        </w:rPr>
        <w:t>terrorismo.</w:t>
      </w:r>
      <w:r>
        <w:rPr>
          <w:spacing w:val="-10"/>
          <w:w w:val="115"/>
        </w:rPr>
        <w:t> </w:t>
      </w:r>
      <w:r>
        <w:rPr>
          <w:w w:val="115"/>
        </w:rPr>
        <w:t>Zulaga</w:t>
      </w:r>
      <w:r>
        <w:rPr>
          <w:spacing w:val="-10"/>
          <w:w w:val="115"/>
        </w:rPr>
        <w:t> </w:t>
      </w:r>
      <w:r>
        <w:rPr>
          <w:w w:val="115"/>
        </w:rPr>
        <w:t>arguye</w:t>
      </w:r>
      <w:r>
        <w:rPr>
          <w:spacing w:val="-10"/>
          <w:w w:val="115"/>
        </w:rPr>
        <w:t> </w:t>
      </w:r>
      <w:r>
        <w:rPr>
          <w:w w:val="115"/>
        </w:rPr>
        <w:t>que</w:t>
      </w:r>
      <w:r>
        <w:rPr>
          <w:spacing w:val="-10"/>
          <w:w w:val="115"/>
        </w:rPr>
        <w:t> </w:t>
      </w:r>
      <w:r>
        <w:rPr>
          <w:w w:val="115"/>
        </w:rPr>
        <w:t>“se</w:t>
      </w:r>
      <w:r>
        <w:rPr>
          <w:spacing w:val="-10"/>
          <w:w w:val="115"/>
        </w:rPr>
        <w:t> </w:t>
      </w:r>
      <w:r>
        <w:rPr>
          <w:w w:val="115"/>
        </w:rPr>
        <w:t>trataba</w:t>
      </w:r>
      <w:r>
        <w:rPr>
          <w:spacing w:val="-10"/>
          <w:w w:val="115"/>
        </w:rPr>
        <w:t> </w:t>
      </w:r>
      <w:r>
        <w:rPr>
          <w:w w:val="115"/>
        </w:rPr>
        <w:t>de volver</w:t>
      </w:r>
      <w:r>
        <w:rPr>
          <w:spacing w:val="-17"/>
          <w:w w:val="115"/>
        </w:rPr>
        <w:t> </w:t>
      </w:r>
      <w:r>
        <w:rPr>
          <w:w w:val="115"/>
        </w:rPr>
        <w:t>sobre</w:t>
      </w:r>
      <w:r>
        <w:rPr>
          <w:spacing w:val="-17"/>
          <w:w w:val="115"/>
        </w:rPr>
        <w:t> </w:t>
      </w:r>
      <w:r>
        <w:rPr>
          <w:w w:val="115"/>
        </w:rPr>
        <w:t>una</w:t>
      </w:r>
      <w:r>
        <w:rPr>
          <w:spacing w:val="-17"/>
          <w:w w:val="115"/>
        </w:rPr>
        <w:t> </w:t>
      </w:r>
      <w:r>
        <w:rPr>
          <w:w w:val="115"/>
        </w:rPr>
        <w:t>relación</w:t>
      </w:r>
      <w:r>
        <w:rPr>
          <w:spacing w:val="-17"/>
          <w:w w:val="115"/>
        </w:rPr>
        <w:t> </w:t>
      </w:r>
      <w:r>
        <w:rPr>
          <w:w w:val="115"/>
        </w:rPr>
        <w:t>fundamental</w:t>
      </w:r>
      <w:r>
        <w:rPr>
          <w:spacing w:val="-17"/>
          <w:w w:val="115"/>
        </w:rPr>
        <w:t> </w:t>
      </w:r>
      <w:r>
        <w:rPr>
          <w:w w:val="115"/>
        </w:rPr>
        <w:t>planteada</w:t>
      </w:r>
      <w:r>
        <w:rPr>
          <w:spacing w:val="-17"/>
          <w:w w:val="115"/>
        </w:rPr>
        <w:t> </w:t>
      </w:r>
      <w:r>
        <w:rPr>
          <w:w w:val="115"/>
        </w:rPr>
        <w:t>desde</w:t>
      </w:r>
      <w:r>
        <w:rPr>
          <w:spacing w:val="-17"/>
          <w:w w:val="115"/>
        </w:rPr>
        <w:t> </w:t>
      </w:r>
      <w:r>
        <w:rPr>
          <w:w w:val="115"/>
        </w:rPr>
        <w:t>los</w:t>
      </w:r>
      <w:r>
        <w:rPr>
          <w:spacing w:val="-17"/>
          <w:w w:val="115"/>
        </w:rPr>
        <w:t> </w:t>
      </w:r>
      <w:r>
        <w:rPr>
          <w:w w:val="115"/>
        </w:rPr>
        <w:t>orígenes de su nación: fortalecer la economía sobre la cual se ha edificado  su poderío militar y la influencia cultural al extender por el planeta el </w:t>
      </w:r>
      <w:r>
        <w:rPr>
          <w:i/>
          <w:w w:val="115"/>
        </w:rPr>
        <w:t>American way of life </w:t>
      </w:r>
      <w:r>
        <w:rPr>
          <w:w w:val="115"/>
        </w:rPr>
        <w:t>en el que se articulan la libertad y la riqueza material, elementos esenciales de su hegemonía”, pues la crisis de 2008</w:t>
      </w:r>
      <w:r>
        <w:rPr>
          <w:spacing w:val="-21"/>
          <w:w w:val="115"/>
        </w:rPr>
        <w:t> </w:t>
      </w:r>
      <w:r>
        <w:rPr>
          <w:w w:val="115"/>
        </w:rPr>
        <w:t>evidenció</w:t>
      </w:r>
      <w:r>
        <w:rPr>
          <w:spacing w:val="-21"/>
          <w:w w:val="115"/>
        </w:rPr>
        <w:t> </w:t>
      </w:r>
      <w:r>
        <w:rPr>
          <w:w w:val="115"/>
        </w:rPr>
        <w:t>la</w:t>
      </w:r>
      <w:r>
        <w:rPr>
          <w:spacing w:val="-21"/>
          <w:w w:val="115"/>
        </w:rPr>
        <w:t> </w:t>
      </w:r>
      <w:r>
        <w:rPr>
          <w:w w:val="115"/>
        </w:rPr>
        <w:t>urgencia</w:t>
      </w:r>
      <w:r>
        <w:rPr>
          <w:spacing w:val="-21"/>
          <w:w w:val="115"/>
        </w:rPr>
        <w:t> </w:t>
      </w:r>
      <w:r>
        <w:rPr>
          <w:w w:val="115"/>
        </w:rPr>
        <w:t>de</w:t>
      </w:r>
      <w:r>
        <w:rPr>
          <w:spacing w:val="-21"/>
          <w:w w:val="115"/>
        </w:rPr>
        <w:t> </w:t>
      </w:r>
      <w:r>
        <w:rPr>
          <w:w w:val="115"/>
        </w:rPr>
        <w:t>recuperar</w:t>
      </w:r>
      <w:r>
        <w:rPr>
          <w:spacing w:val="-21"/>
          <w:w w:val="115"/>
        </w:rPr>
        <w:t> </w:t>
      </w:r>
      <w:r>
        <w:rPr>
          <w:w w:val="115"/>
        </w:rPr>
        <w:t>la</w:t>
      </w:r>
      <w:r>
        <w:rPr>
          <w:spacing w:val="-21"/>
          <w:w w:val="115"/>
        </w:rPr>
        <w:t> </w:t>
      </w:r>
      <w:r>
        <w:rPr>
          <w:w w:val="115"/>
        </w:rPr>
        <w:t>economía</w:t>
      </w:r>
      <w:r>
        <w:rPr>
          <w:spacing w:val="-21"/>
          <w:w w:val="115"/>
        </w:rPr>
        <w:t> </w:t>
      </w:r>
      <w:r>
        <w:rPr>
          <w:w w:val="115"/>
        </w:rPr>
        <w:t>como</w:t>
      </w:r>
      <w:r>
        <w:rPr>
          <w:spacing w:val="-21"/>
          <w:w w:val="115"/>
        </w:rPr>
        <w:t> </w:t>
      </w:r>
      <w:r>
        <w:rPr>
          <w:w w:val="115"/>
        </w:rPr>
        <w:t>elemento fundamental</w:t>
      </w:r>
      <w:r>
        <w:rPr>
          <w:spacing w:val="-7"/>
          <w:w w:val="115"/>
        </w:rPr>
        <w:t> </w:t>
      </w:r>
      <w:r>
        <w:rPr>
          <w:w w:val="115"/>
        </w:rPr>
        <w:t>para</w:t>
      </w:r>
      <w:r>
        <w:rPr>
          <w:spacing w:val="-7"/>
          <w:w w:val="115"/>
        </w:rPr>
        <w:t> </w:t>
      </w:r>
      <w:r>
        <w:rPr>
          <w:w w:val="115"/>
        </w:rPr>
        <w:t>detener</w:t>
      </w:r>
      <w:r>
        <w:rPr>
          <w:spacing w:val="-7"/>
          <w:w w:val="115"/>
        </w:rPr>
        <w:t> </w:t>
      </w:r>
      <w:r>
        <w:rPr>
          <w:w w:val="115"/>
        </w:rPr>
        <w:t>la</w:t>
      </w:r>
      <w:r>
        <w:rPr>
          <w:spacing w:val="-7"/>
          <w:w w:val="115"/>
        </w:rPr>
        <w:t> </w:t>
      </w:r>
      <w:r>
        <w:rPr>
          <w:w w:val="115"/>
        </w:rPr>
        <w:t>declinación</w:t>
      </w:r>
      <w:r>
        <w:rPr>
          <w:spacing w:val="-7"/>
          <w:w w:val="115"/>
        </w:rPr>
        <w:t> </w:t>
      </w:r>
      <w:r>
        <w:rPr>
          <w:w w:val="115"/>
        </w:rPr>
        <w:t>de</w:t>
      </w:r>
      <w:r>
        <w:rPr>
          <w:spacing w:val="-7"/>
          <w:w w:val="115"/>
        </w:rPr>
        <w:t> </w:t>
      </w:r>
      <w:r>
        <w:rPr>
          <w:w w:val="115"/>
        </w:rPr>
        <w:t>la</w:t>
      </w:r>
      <w:r>
        <w:rPr>
          <w:spacing w:val="-7"/>
          <w:w w:val="115"/>
        </w:rPr>
        <w:t> </w:t>
      </w:r>
      <w:r>
        <w:rPr>
          <w:w w:val="115"/>
        </w:rPr>
        <w:t>hegemonía</w:t>
      </w:r>
      <w:r>
        <w:rPr>
          <w:spacing w:val="-7"/>
          <w:w w:val="115"/>
        </w:rPr>
        <w:t> </w:t>
      </w:r>
      <w:r>
        <w:rPr>
          <w:w w:val="115"/>
        </w:rPr>
        <w:t>y</w:t>
      </w:r>
      <w:r>
        <w:rPr>
          <w:spacing w:val="-7"/>
          <w:w w:val="115"/>
        </w:rPr>
        <w:t> </w:t>
      </w:r>
      <w:r>
        <w:rPr>
          <w:w w:val="115"/>
        </w:rPr>
        <w:t>superar las limitaciones que imponía a las políticas de seguridad y defensa. Por</w:t>
      </w:r>
      <w:r>
        <w:rPr>
          <w:spacing w:val="-10"/>
          <w:w w:val="115"/>
        </w:rPr>
        <w:t> </w:t>
      </w:r>
      <w:r>
        <w:rPr>
          <w:w w:val="115"/>
        </w:rPr>
        <w:t>otro</w:t>
      </w:r>
      <w:r>
        <w:rPr>
          <w:spacing w:val="-10"/>
          <w:w w:val="115"/>
        </w:rPr>
        <w:t> </w:t>
      </w:r>
      <w:r>
        <w:rPr>
          <w:w w:val="115"/>
        </w:rPr>
        <w:t>lado,</w:t>
      </w:r>
      <w:r>
        <w:rPr>
          <w:spacing w:val="-10"/>
          <w:w w:val="115"/>
        </w:rPr>
        <w:t> </w:t>
      </w:r>
      <w:r>
        <w:rPr>
          <w:w w:val="115"/>
        </w:rPr>
        <w:t>el</w:t>
      </w:r>
      <w:r>
        <w:rPr>
          <w:spacing w:val="-10"/>
          <w:w w:val="115"/>
        </w:rPr>
        <w:t> </w:t>
      </w:r>
      <w:r>
        <w:rPr>
          <w:w w:val="115"/>
        </w:rPr>
        <w:t>autor</w:t>
      </w:r>
      <w:r>
        <w:rPr>
          <w:spacing w:val="-10"/>
          <w:w w:val="115"/>
        </w:rPr>
        <w:t> </w:t>
      </w:r>
      <w:r>
        <w:rPr>
          <w:w w:val="115"/>
        </w:rPr>
        <w:t>desarrolla</w:t>
      </w:r>
      <w:r>
        <w:rPr>
          <w:spacing w:val="-10"/>
          <w:w w:val="115"/>
        </w:rPr>
        <w:t> </w:t>
      </w:r>
      <w:r>
        <w:rPr>
          <w:w w:val="115"/>
        </w:rPr>
        <w:t>los</w:t>
      </w:r>
      <w:r>
        <w:rPr>
          <w:spacing w:val="-10"/>
          <w:w w:val="115"/>
        </w:rPr>
        <w:t> </w:t>
      </w:r>
      <w:r>
        <w:rPr>
          <w:w w:val="115"/>
        </w:rPr>
        <w:t>retos</w:t>
      </w:r>
      <w:r>
        <w:rPr>
          <w:spacing w:val="-10"/>
          <w:w w:val="115"/>
        </w:rPr>
        <w:t> </w:t>
      </w:r>
      <w:r>
        <w:rPr>
          <w:w w:val="115"/>
        </w:rPr>
        <w:t>externos</w:t>
      </w:r>
      <w:r>
        <w:rPr>
          <w:spacing w:val="-10"/>
          <w:w w:val="115"/>
        </w:rPr>
        <w:t> </w:t>
      </w:r>
      <w:r>
        <w:rPr>
          <w:w w:val="115"/>
        </w:rPr>
        <w:t>a</w:t>
      </w:r>
      <w:r>
        <w:rPr>
          <w:spacing w:val="-10"/>
          <w:w w:val="115"/>
        </w:rPr>
        <w:t> </w:t>
      </w:r>
      <w:r>
        <w:rPr>
          <w:w w:val="115"/>
        </w:rPr>
        <w:t>los</w:t>
      </w:r>
      <w:r>
        <w:rPr>
          <w:spacing w:val="-10"/>
          <w:w w:val="115"/>
        </w:rPr>
        <w:t> </w:t>
      </w:r>
      <w:r>
        <w:rPr>
          <w:w w:val="115"/>
        </w:rPr>
        <w:t>cuales</w:t>
      </w:r>
      <w:r>
        <w:rPr>
          <w:spacing w:val="-10"/>
          <w:w w:val="115"/>
        </w:rPr>
        <w:t> </w:t>
      </w:r>
      <w:r>
        <w:rPr>
          <w:w w:val="115"/>
        </w:rPr>
        <w:t>tuvo que</w:t>
      </w:r>
      <w:r>
        <w:rPr>
          <w:spacing w:val="-24"/>
          <w:w w:val="115"/>
        </w:rPr>
        <w:t> </w:t>
      </w:r>
      <w:r>
        <w:rPr>
          <w:w w:val="115"/>
        </w:rPr>
        <w:t>enfrentarse</w:t>
      </w:r>
      <w:r>
        <w:rPr>
          <w:spacing w:val="-24"/>
          <w:w w:val="115"/>
        </w:rPr>
        <w:t> </w:t>
      </w:r>
      <w:r>
        <w:rPr>
          <w:w w:val="115"/>
        </w:rPr>
        <w:t>la</w:t>
      </w:r>
      <w:r>
        <w:rPr>
          <w:spacing w:val="-24"/>
          <w:w w:val="115"/>
        </w:rPr>
        <w:t> </w:t>
      </w:r>
      <w:r>
        <w:rPr>
          <w:w w:val="115"/>
        </w:rPr>
        <w:t>“ortodoxia</w:t>
      </w:r>
      <w:r>
        <w:rPr>
          <w:spacing w:val="-24"/>
          <w:w w:val="115"/>
        </w:rPr>
        <w:t> </w:t>
      </w:r>
      <w:r>
        <w:rPr>
          <w:w w:val="115"/>
        </w:rPr>
        <w:t>liberal</w:t>
      </w:r>
      <w:r>
        <w:rPr>
          <w:spacing w:val="-24"/>
          <w:w w:val="115"/>
        </w:rPr>
        <w:t> </w:t>
      </w:r>
      <w:r>
        <w:rPr>
          <w:w w:val="115"/>
        </w:rPr>
        <w:t>estadounidense”,</w:t>
      </w:r>
      <w:r>
        <w:rPr>
          <w:spacing w:val="-24"/>
          <w:w w:val="115"/>
        </w:rPr>
        <w:t> </w:t>
      </w:r>
      <w:r>
        <w:rPr>
          <w:w w:val="115"/>
        </w:rPr>
        <w:t>entre</w:t>
      </w:r>
      <w:r>
        <w:rPr>
          <w:spacing w:val="-24"/>
          <w:w w:val="115"/>
        </w:rPr>
        <w:t> </w:t>
      </w:r>
      <w:r>
        <w:rPr>
          <w:w w:val="115"/>
        </w:rPr>
        <w:t>ellas,</w:t>
      </w:r>
      <w:r>
        <w:rPr>
          <w:spacing w:val="-24"/>
          <w:w w:val="115"/>
        </w:rPr>
        <w:t> </w:t>
      </w:r>
      <w:r>
        <w:rPr>
          <w:w w:val="115"/>
        </w:rPr>
        <w:t>las debilidades</w:t>
      </w:r>
      <w:r>
        <w:rPr>
          <w:spacing w:val="-26"/>
          <w:w w:val="115"/>
        </w:rPr>
        <w:t> </w:t>
      </w:r>
      <w:r>
        <w:rPr>
          <w:w w:val="115"/>
        </w:rPr>
        <w:t>multilaterales</w:t>
      </w:r>
      <w:r>
        <w:rPr>
          <w:spacing w:val="-26"/>
          <w:w w:val="115"/>
        </w:rPr>
        <w:t> </w:t>
      </w:r>
      <w:r>
        <w:rPr>
          <w:w w:val="115"/>
        </w:rPr>
        <w:t>e</w:t>
      </w:r>
      <w:r>
        <w:rPr>
          <w:spacing w:val="-26"/>
          <w:w w:val="115"/>
        </w:rPr>
        <w:t> </w:t>
      </w:r>
      <w:r>
        <w:rPr>
          <w:w w:val="115"/>
        </w:rPr>
        <w:t>institucionales</w:t>
      </w:r>
      <w:r>
        <w:rPr>
          <w:spacing w:val="-26"/>
          <w:w w:val="115"/>
        </w:rPr>
        <w:t> </w:t>
      </w:r>
      <w:r>
        <w:rPr>
          <w:w w:val="115"/>
        </w:rPr>
        <w:t>construidas</w:t>
      </w:r>
      <w:r>
        <w:rPr>
          <w:spacing w:val="-26"/>
          <w:w w:val="115"/>
        </w:rPr>
        <w:t> </w:t>
      </w:r>
      <w:r>
        <w:rPr>
          <w:w w:val="115"/>
        </w:rPr>
        <w:t>a</w:t>
      </w:r>
      <w:r>
        <w:rPr>
          <w:spacing w:val="-26"/>
          <w:w w:val="115"/>
        </w:rPr>
        <w:t> </w:t>
      </w:r>
      <w:r>
        <w:rPr>
          <w:w w:val="115"/>
        </w:rPr>
        <w:t>nivel</w:t>
      </w:r>
      <w:r>
        <w:rPr>
          <w:spacing w:val="-26"/>
          <w:w w:val="115"/>
        </w:rPr>
        <w:t> </w:t>
      </w:r>
      <w:r>
        <w:rPr>
          <w:spacing w:val="-3"/>
          <w:w w:val="115"/>
        </w:rPr>
        <w:t>inter-</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nacional, las intenciones recientes de las potencias emergentes por reconfigurar la economía mundo </w:t>
      </w:r>
      <w:r>
        <w:rPr>
          <w:spacing w:val="-11"/>
          <w:w w:val="110"/>
        </w:rPr>
        <w:t>y, </w:t>
      </w:r>
      <w:r>
        <w:rPr>
          <w:w w:val="110"/>
        </w:rPr>
        <w:t>particularmente, el papel de Chi- na que busca posicionarse como primera economía del mundo con   su política de “una nación, dos sistemas” en los marcos del capitalis- mo</w:t>
      </w:r>
      <w:r>
        <w:rPr>
          <w:spacing w:val="3"/>
          <w:w w:val="110"/>
        </w:rPr>
        <w:t> </w:t>
      </w:r>
      <w:r>
        <w:rPr>
          <w:w w:val="110"/>
        </w:rPr>
        <w:t>presente.</w:t>
      </w:r>
    </w:p>
    <w:p>
      <w:pPr>
        <w:pStyle w:val="BodyText"/>
        <w:spacing w:line="252" w:lineRule="auto"/>
        <w:ind w:left="330" w:right="117" w:firstLine="396"/>
        <w:jc w:val="both"/>
      </w:pPr>
      <w:r>
        <w:rPr>
          <w:w w:val="115"/>
        </w:rPr>
        <w:t>a fin de seguir el tono de la discusión el libro incluye un capítu- lo</w:t>
      </w:r>
      <w:r>
        <w:rPr>
          <w:spacing w:val="-15"/>
          <w:w w:val="115"/>
        </w:rPr>
        <w:t> </w:t>
      </w:r>
      <w:r>
        <w:rPr>
          <w:w w:val="115"/>
        </w:rPr>
        <w:t>titulado</w:t>
      </w:r>
      <w:r>
        <w:rPr>
          <w:spacing w:val="-15"/>
          <w:w w:val="115"/>
        </w:rPr>
        <w:t> </w:t>
      </w:r>
      <w:r>
        <w:rPr>
          <w:w w:val="115"/>
        </w:rPr>
        <w:t>“Cambios</w:t>
      </w:r>
      <w:r>
        <w:rPr>
          <w:spacing w:val="-15"/>
          <w:w w:val="115"/>
        </w:rPr>
        <w:t> </w:t>
      </w:r>
      <w:r>
        <w:rPr>
          <w:w w:val="115"/>
        </w:rPr>
        <w:t>en</w:t>
      </w:r>
      <w:r>
        <w:rPr>
          <w:spacing w:val="-15"/>
          <w:w w:val="115"/>
        </w:rPr>
        <w:t> </w:t>
      </w:r>
      <w:r>
        <w:rPr>
          <w:w w:val="115"/>
        </w:rPr>
        <w:t>la</w:t>
      </w:r>
      <w:r>
        <w:rPr>
          <w:spacing w:val="-15"/>
          <w:w w:val="115"/>
        </w:rPr>
        <w:t> </w:t>
      </w:r>
      <w:r>
        <w:rPr>
          <w:w w:val="115"/>
        </w:rPr>
        <w:t>ecuación</w:t>
      </w:r>
      <w:r>
        <w:rPr>
          <w:spacing w:val="-15"/>
          <w:w w:val="115"/>
        </w:rPr>
        <w:t> </w:t>
      </w:r>
      <w:r>
        <w:rPr>
          <w:w w:val="115"/>
        </w:rPr>
        <w:t>de</w:t>
      </w:r>
      <w:r>
        <w:rPr>
          <w:spacing w:val="-15"/>
          <w:w w:val="115"/>
        </w:rPr>
        <w:t> </w:t>
      </w:r>
      <w:r>
        <w:rPr>
          <w:spacing w:val="-4"/>
          <w:w w:val="115"/>
        </w:rPr>
        <w:t>poder,</w:t>
      </w:r>
      <w:r>
        <w:rPr>
          <w:spacing w:val="-15"/>
          <w:w w:val="115"/>
        </w:rPr>
        <w:t> </w:t>
      </w:r>
      <w:r>
        <w:rPr>
          <w:w w:val="115"/>
        </w:rPr>
        <w:t>constantes</w:t>
      </w:r>
      <w:r>
        <w:rPr>
          <w:spacing w:val="-15"/>
          <w:w w:val="115"/>
        </w:rPr>
        <w:t> </w:t>
      </w:r>
      <w:r>
        <w:rPr>
          <w:w w:val="115"/>
        </w:rPr>
        <w:t>estratégicas </w:t>
      </w:r>
      <w:r>
        <w:rPr>
          <w:w w:val="108"/>
        </w:rPr>
        <w:t>estadounidenses</w:t>
      </w:r>
      <w:r>
        <w:rPr/>
        <w:t> </w:t>
      </w:r>
      <w:r>
        <w:rPr>
          <w:spacing w:val="-21"/>
        </w:rPr>
        <w:t> </w:t>
      </w:r>
      <w:r>
        <w:rPr>
          <w:w w:val="105"/>
        </w:rPr>
        <w:t>y</w:t>
      </w:r>
      <w:r>
        <w:rPr/>
        <w:t> </w:t>
      </w:r>
      <w:r>
        <w:rPr>
          <w:spacing w:val="-21"/>
        </w:rPr>
        <w:t> </w:t>
      </w:r>
      <w:r>
        <w:rPr>
          <w:w w:val="108"/>
        </w:rPr>
        <w:t>procesos</w:t>
      </w:r>
      <w:r>
        <w:rPr/>
        <w:t> </w:t>
      </w:r>
      <w:r>
        <w:rPr>
          <w:spacing w:val="-21"/>
        </w:rPr>
        <w:t> </w:t>
      </w:r>
      <w:r>
        <w:rPr>
          <w:w w:val="110"/>
        </w:rPr>
        <w:t>políticos</w:t>
      </w:r>
      <w:r>
        <w:rPr/>
        <w:t> </w:t>
      </w:r>
      <w:r>
        <w:rPr>
          <w:spacing w:val="-21"/>
        </w:rPr>
        <w:t> </w:t>
      </w:r>
      <w:r>
        <w:rPr>
          <w:w w:val="108"/>
        </w:rPr>
        <w:t>en</w:t>
      </w:r>
      <w:r>
        <w:rPr/>
        <w:t> </w:t>
      </w:r>
      <w:r>
        <w:rPr>
          <w:spacing w:val="-21"/>
        </w:rPr>
        <w:t> </w:t>
      </w:r>
      <w:r>
        <w:rPr>
          <w:w w:val="139"/>
        </w:rPr>
        <w:t>a</w:t>
      </w:r>
      <w:r>
        <w:rPr>
          <w:w w:val="111"/>
        </w:rPr>
        <w:t>mérica</w:t>
      </w:r>
      <w:r>
        <w:rPr/>
        <w:t> </w:t>
      </w:r>
      <w:r>
        <w:rPr>
          <w:spacing w:val="-21"/>
        </w:rPr>
        <w:t> </w:t>
      </w:r>
      <w:r>
        <w:rPr>
          <w:w w:val="243"/>
        </w:rPr>
        <w:t>l</w:t>
      </w:r>
      <w:r>
        <w:rPr>
          <w:w w:val="114"/>
        </w:rPr>
        <w:t>atina”,</w:t>
      </w:r>
      <w:r>
        <w:rPr/>
        <w:t> </w:t>
      </w:r>
      <w:r>
        <w:rPr>
          <w:spacing w:val="-21"/>
        </w:rPr>
        <w:t> </w:t>
      </w:r>
      <w:r>
        <w:rPr>
          <w:w w:val="110"/>
        </w:rPr>
        <w:t>cuyo</w:t>
      </w:r>
      <w:r>
        <w:rPr/>
        <w:t> </w:t>
      </w:r>
      <w:r>
        <w:rPr>
          <w:spacing w:val="-21"/>
        </w:rPr>
        <w:t> </w:t>
      </w:r>
      <w:r>
        <w:rPr>
          <w:w w:val="109"/>
        </w:rPr>
        <w:t>autor </w:t>
      </w:r>
      <w:r>
        <w:rPr>
          <w:w w:val="115"/>
        </w:rPr>
        <w:t>es</w:t>
      </w:r>
      <w:r>
        <w:rPr>
          <w:spacing w:val="-7"/>
          <w:w w:val="115"/>
        </w:rPr>
        <w:t> </w:t>
      </w:r>
      <w:r>
        <w:rPr>
          <w:w w:val="115"/>
        </w:rPr>
        <w:t>darío</w:t>
      </w:r>
      <w:r>
        <w:rPr>
          <w:spacing w:val="-7"/>
          <w:w w:val="115"/>
        </w:rPr>
        <w:t> </w:t>
      </w:r>
      <w:r>
        <w:rPr>
          <w:w w:val="115"/>
        </w:rPr>
        <w:t>salinas</w:t>
      </w:r>
      <w:r>
        <w:rPr>
          <w:spacing w:val="-7"/>
          <w:w w:val="115"/>
        </w:rPr>
        <w:t> </w:t>
      </w:r>
      <w:r>
        <w:rPr>
          <w:w w:val="115"/>
        </w:rPr>
        <w:t>Figueredo,</w:t>
      </w:r>
      <w:r>
        <w:rPr>
          <w:spacing w:val="-7"/>
          <w:w w:val="115"/>
        </w:rPr>
        <w:t> </w:t>
      </w:r>
      <w:r>
        <w:rPr>
          <w:w w:val="115"/>
        </w:rPr>
        <w:t>docente</w:t>
      </w:r>
      <w:r>
        <w:rPr>
          <w:spacing w:val="-7"/>
          <w:w w:val="115"/>
        </w:rPr>
        <w:t> </w:t>
      </w:r>
      <w:r>
        <w:rPr>
          <w:w w:val="115"/>
        </w:rPr>
        <w:t>e</w:t>
      </w:r>
      <w:r>
        <w:rPr>
          <w:spacing w:val="-7"/>
          <w:w w:val="115"/>
        </w:rPr>
        <w:t> </w:t>
      </w:r>
      <w:r>
        <w:rPr>
          <w:w w:val="115"/>
        </w:rPr>
        <w:t>investigador</w:t>
      </w:r>
      <w:r>
        <w:rPr>
          <w:spacing w:val="-7"/>
          <w:w w:val="115"/>
        </w:rPr>
        <w:t> </w:t>
      </w:r>
      <w:r>
        <w:rPr>
          <w:w w:val="115"/>
        </w:rPr>
        <w:t>de</w:t>
      </w:r>
      <w:r>
        <w:rPr>
          <w:spacing w:val="-7"/>
          <w:w w:val="115"/>
        </w:rPr>
        <w:t> </w:t>
      </w:r>
      <w:r>
        <w:rPr>
          <w:w w:val="115"/>
        </w:rPr>
        <w:t>la</w:t>
      </w:r>
      <w:r>
        <w:rPr>
          <w:spacing w:val="-7"/>
          <w:w w:val="115"/>
        </w:rPr>
        <w:t> </w:t>
      </w:r>
      <w:r>
        <w:rPr>
          <w:w w:val="115"/>
        </w:rPr>
        <w:t>universidad iberoamericana. El contenido de este estudio replantea la pregunta </w:t>
      </w:r>
      <w:r>
        <w:rPr>
          <w:w w:val="107"/>
        </w:rPr>
        <w:t>sobre</w:t>
      </w:r>
      <w:r>
        <w:rPr>
          <w:spacing w:val="15"/>
        </w:rPr>
        <w:t> </w:t>
      </w:r>
      <w:r>
        <w:rPr>
          <w:w w:val="107"/>
        </w:rPr>
        <w:t>el</w:t>
      </w:r>
      <w:r>
        <w:rPr>
          <w:spacing w:val="15"/>
        </w:rPr>
        <w:t> </w:t>
      </w:r>
      <w:r>
        <w:rPr>
          <w:w w:val="110"/>
        </w:rPr>
        <w:t>lugar</w:t>
      </w:r>
      <w:r>
        <w:rPr>
          <w:spacing w:val="15"/>
        </w:rPr>
        <w:t> </w:t>
      </w:r>
      <w:r>
        <w:rPr>
          <w:w w:val="108"/>
        </w:rPr>
        <w:t>estratégico</w:t>
      </w:r>
      <w:r>
        <w:rPr>
          <w:spacing w:val="15"/>
        </w:rPr>
        <w:t> </w:t>
      </w:r>
      <w:r>
        <w:rPr>
          <w:w w:val="108"/>
        </w:rPr>
        <w:t>que</w:t>
      </w:r>
      <w:r>
        <w:rPr>
          <w:spacing w:val="15"/>
        </w:rPr>
        <w:t> </w:t>
      </w:r>
      <w:r>
        <w:rPr>
          <w:w w:val="110"/>
        </w:rPr>
        <w:t>juega</w:t>
      </w:r>
      <w:r>
        <w:rPr>
          <w:spacing w:val="15"/>
        </w:rPr>
        <w:t> </w:t>
      </w:r>
      <w:r>
        <w:rPr>
          <w:w w:val="139"/>
        </w:rPr>
        <w:t>a</w:t>
      </w:r>
      <w:r>
        <w:rPr>
          <w:w w:val="111"/>
        </w:rPr>
        <w:t>mérica</w:t>
      </w:r>
      <w:r>
        <w:rPr>
          <w:spacing w:val="15"/>
        </w:rPr>
        <w:t> </w:t>
      </w:r>
      <w:r>
        <w:rPr>
          <w:w w:val="243"/>
        </w:rPr>
        <w:t>l</w:t>
      </w:r>
      <w:r>
        <w:rPr>
          <w:w w:val="111"/>
        </w:rPr>
        <w:t>atina</w:t>
      </w:r>
      <w:r>
        <w:rPr>
          <w:spacing w:val="15"/>
        </w:rPr>
        <w:t> </w:t>
      </w:r>
      <w:r>
        <w:rPr>
          <w:w w:val="105"/>
        </w:rPr>
        <w:t>y</w:t>
      </w:r>
      <w:r>
        <w:rPr>
          <w:spacing w:val="15"/>
        </w:rPr>
        <w:t> </w:t>
      </w:r>
      <w:r>
        <w:rPr>
          <w:w w:val="107"/>
        </w:rPr>
        <w:t>el</w:t>
      </w:r>
      <w:r>
        <w:rPr>
          <w:spacing w:val="15"/>
        </w:rPr>
        <w:t> </w:t>
      </w:r>
      <w:r>
        <w:rPr>
          <w:w w:val="112"/>
        </w:rPr>
        <w:t>Caribe</w:t>
      </w:r>
      <w:r>
        <w:rPr>
          <w:spacing w:val="15"/>
        </w:rPr>
        <w:t> </w:t>
      </w:r>
      <w:r>
        <w:rPr>
          <w:w w:val="108"/>
        </w:rPr>
        <w:t>en</w:t>
      </w:r>
      <w:r>
        <w:rPr>
          <w:spacing w:val="15"/>
        </w:rPr>
        <w:t> </w:t>
      </w:r>
      <w:r>
        <w:rPr>
          <w:w w:val="108"/>
        </w:rPr>
        <w:t>los </w:t>
      </w:r>
      <w:r>
        <w:rPr>
          <w:w w:val="115"/>
        </w:rPr>
        <w:t>reacomodos globales de fuerza en un contexto de crisis del capita- lismo y los desafíos de construcción contra-hegemónica en las nue- vas tendencias hemisféricas. salinas anuncia que si el problema en la</w:t>
      </w:r>
      <w:r>
        <w:rPr>
          <w:spacing w:val="-20"/>
          <w:w w:val="115"/>
        </w:rPr>
        <w:t> </w:t>
      </w:r>
      <w:r>
        <w:rPr>
          <w:w w:val="115"/>
        </w:rPr>
        <w:t>balanza</w:t>
      </w:r>
      <w:r>
        <w:rPr>
          <w:spacing w:val="-20"/>
          <w:w w:val="115"/>
        </w:rPr>
        <w:t> </w:t>
      </w:r>
      <w:r>
        <w:rPr>
          <w:w w:val="115"/>
        </w:rPr>
        <w:t>de</w:t>
      </w:r>
      <w:r>
        <w:rPr>
          <w:spacing w:val="-20"/>
          <w:w w:val="115"/>
        </w:rPr>
        <w:t> </w:t>
      </w:r>
      <w:r>
        <w:rPr>
          <w:w w:val="115"/>
        </w:rPr>
        <w:t>poder</w:t>
      </w:r>
      <w:r>
        <w:rPr>
          <w:spacing w:val="-20"/>
          <w:w w:val="115"/>
        </w:rPr>
        <w:t> </w:t>
      </w:r>
      <w:r>
        <w:rPr>
          <w:w w:val="115"/>
        </w:rPr>
        <w:t>a</w:t>
      </w:r>
      <w:r>
        <w:rPr>
          <w:spacing w:val="-20"/>
          <w:w w:val="115"/>
        </w:rPr>
        <w:t> </w:t>
      </w:r>
      <w:r>
        <w:rPr>
          <w:w w:val="115"/>
        </w:rPr>
        <w:t>nivel</w:t>
      </w:r>
      <w:r>
        <w:rPr>
          <w:spacing w:val="-20"/>
          <w:w w:val="115"/>
        </w:rPr>
        <w:t> </w:t>
      </w:r>
      <w:r>
        <w:rPr>
          <w:w w:val="115"/>
        </w:rPr>
        <w:t>global</w:t>
      </w:r>
      <w:r>
        <w:rPr>
          <w:spacing w:val="-20"/>
          <w:w w:val="115"/>
        </w:rPr>
        <w:t> </w:t>
      </w:r>
      <w:r>
        <w:rPr>
          <w:w w:val="115"/>
        </w:rPr>
        <w:t>encontrara</w:t>
      </w:r>
      <w:r>
        <w:rPr>
          <w:spacing w:val="-20"/>
          <w:w w:val="115"/>
        </w:rPr>
        <w:t> </w:t>
      </w:r>
      <w:r>
        <w:rPr>
          <w:w w:val="115"/>
        </w:rPr>
        <w:t>su</w:t>
      </w:r>
      <w:r>
        <w:rPr>
          <w:spacing w:val="-20"/>
          <w:w w:val="115"/>
        </w:rPr>
        <w:t> </w:t>
      </w:r>
      <w:r>
        <w:rPr>
          <w:w w:val="115"/>
        </w:rPr>
        <w:t>definición</w:t>
      </w:r>
      <w:r>
        <w:rPr>
          <w:spacing w:val="-20"/>
          <w:w w:val="115"/>
        </w:rPr>
        <w:t> </w:t>
      </w:r>
      <w:r>
        <w:rPr>
          <w:w w:val="115"/>
        </w:rPr>
        <w:t>solamente a</w:t>
      </w:r>
      <w:r>
        <w:rPr>
          <w:spacing w:val="-5"/>
          <w:w w:val="115"/>
        </w:rPr>
        <w:t> </w:t>
      </w:r>
      <w:r>
        <w:rPr>
          <w:w w:val="115"/>
        </w:rPr>
        <w:t>partir</w:t>
      </w:r>
      <w:r>
        <w:rPr>
          <w:spacing w:val="-5"/>
          <w:w w:val="115"/>
        </w:rPr>
        <w:t> </w:t>
      </w:r>
      <w:r>
        <w:rPr>
          <w:w w:val="115"/>
        </w:rPr>
        <w:t>de</w:t>
      </w:r>
      <w:r>
        <w:rPr>
          <w:spacing w:val="-5"/>
          <w:w w:val="115"/>
        </w:rPr>
        <w:t> </w:t>
      </w:r>
      <w:r>
        <w:rPr>
          <w:w w:val="115"/>
        </w:rPr>
        <w:t>la</w:t>
      </w:r>
      <w:r>
        <w:rPr>
          <w:spacing w:val="-5"/>
          <w:w w:val="115"/>
        </w:rPr>
        <w:t> </w:t>
      </w:r>
      <w:r>
        <w:rPr>
          <w:w w:val="115"/>
        </w:rPr>
        <w:t>supremacía</w:t>
      </w:r>
      <w:r>
        <w:rPr>
          <w:spacing w:val="-5"/>
          <w:w w:val="115"/>
        </w:rPr>
        <w:t> </w:t>
      </w:r>
      <w:r>
        <w:rPr>
          <w:spacing w:val="-3"/>
          <w:w w:val="115"/>
        </w:rPr>
        <w:t>militar,</w:t>
      </w:r>
      <w:r>
        <w:rPr>
          <w:spacing w:val="-5"/>
          <w:w w:val="115"/>
        </w:rPr>
        <w:t> </w:t>
      </w:r>
      <w:r>
        <w:rPr>
          <w:w w:val="115"/>
        </w:rPr>
        <w:t>el</w:t>
      </w:r>
      <w:r>
        <w:rPr>
          <w:spacing w:val="-5"/>
          <w:w w:val="115"/>
        </w:rPr>
        <w:t> </w:t>
      </w:r>
      <w:r>
        <w:rPr>
          <w:w w:val="115"/>
        </w:rPr>
        <w:t>liderazgo</w:t>
      </w:r>
      <w:r>
        <w:rPr>
          <w:spacing w:val="-5"/>
          <w:w w:val="115"/>
        </w:rPr>
        <w:t> </w:t>
      </w:r>
      <w:r>
        <w:rPr>
          <w:w w:val="115"/>
        </w:rPr>
        <w:t>estadounidense</w:t>
      </w:r>
      <w:r>
        <w:rPr>
          <w:spacing w:val="-5"/>
          <w:w w:val="115"/>
        </w:rPr>
        <w:t> </w:t>
      </w:r>
      <w:r>
        <w:rPr>
          <w:w w:val="115"/>
        </w:rPr>
        <w:t>no</w:t>
      </w:r>
      <w:r>
        <w:rPr>
          <w:spacing w:val="-5"/>
          <w:w w:val="115"/>
        </w:rPr>
        <w:t> </w:t>
      </w:r>
      <w:r>
        <w:rPr>
          <w:w w:val="115"/>
        </w:rPr>
        <w:t>es- taría</w:t>
      </w:r>
      <w:r>
        <w:rPr>
          <w:spacing w:val="-14"/>
          <w:w w:val="115"/>
        </w:rPr>
        <w:t> </w:t>
      </w:r>
      <w:r>
        <w:rPr>
          <w:w w:val="115"/>
        </w:rPr>
        <w:t>en</w:t>
      </w:r>
      <w:r>
        <w:rPr>
          <w:spacing w:val="-14"/>
          <w:w w:val="115"/>
        </w:rPr>
        <w:t> </w:t>
      </w:r>
      <w:r>
        <w:rPr>
          <w:w w:val="115"/>
        </w:rPr>
        <w:t>discusión.</w:t>
      </w:r>
      <w:r>
        <w:rPr>
          <w:spacing w:val="-14"/>
          <w:w w:val="115"/>
        </w:rPr>
        <w:t> </w:t>
      </w:r>
      <w:r>
        <w:rPr>
          <w:w w:val="115"/>
        </w:rPr>
        <w:t>sin</w:t>
      </w:r>
      <w:r>
        <w:rPr>
          <w:spacing w:val="-14"/>
          <w:w w:val="115"/>
        </w:rPr>
        <w:t> </w:t>
      </w:r>
      <w:r>
        <w:rPr>
          <w:w w:val="115"/>
        </w:rPr>
        <w:t>embargo,</w:t>
      </w:r>
      <w:r>
        <w:rPr>
          <w:spacing w:val="-14"/>
          <w:w w:val="115"/>
        </w:rPr>
        <w:t> </w:t>
      </w:r>
      <w:r>
        <w:rPr>
          <w:w w:val="115"/>
        </w:rPr>
        <w:t>como</w:t>
      </w:r>
      <w:r>
        <w:rPr>
          <w:spacing w:val="-14"/>
          <w:w w:val="115"/>
        </w:rPr>
        <w:t> </w:t>
      </w:r>
      <w:r>
        <w:rPr>
          <w:w w:val="115"/>
        </w:rPr>
        <w:t>está</w:t>
      </w:r>
      <w:r>
        <w:rPr>
          <w:spacing w:val="-14"/>
          <w:w w:val="115"/>
        </w:rPr>
        <w:t> </w:t>
      </w:r>
      <w:r>
        <w:rPr>
          <w:w w:val="115"/>
        </w:rPr>
        <w:t>visto,</w:t>
      </w:r>
      <w:r>
        <w:rPr>
          <w:spacing w:val="-14"/>
          <w:w w:val="115"/>
        </w:rPr>
        <w:t> </w:t>
      </w:r>
      <w:r>
        <w:rPr>
          <w:w w:val="115"/>
        </w:rPr>
        <w:t>esa</w:t>
      </w:r>
      <w:r>
        <w:rPr>
          <w:spacing w:val="-14"/>
          <w:w w:val="115"/>
        </w:rPr>
        <w:t> </w:t>
      </w:r>
      <w:r>
        <w:rPr>
          <w:w w:val="115"/>
        </w:rPr>
        <w:t>superioridad</w:t>
      </w:r>
      <w:r>
        <w:rPr>
          <w:spacing w:val="-14"/>
          <w:w w:val="115"/>
        </w:rPr>
        <w:t> </w:t>
      </w:r>
      <w:r>
        <w:rPr>
          <w:w w:val="115"/>
        </w:rPr>
        <w:t>no </w:t>
      </w:r>
      <w:r>
        <w:rPr>
          <w:w w:val="107"/>
        </w:rPr>
        <w:t>le</w:t>
      </w:r>
      <w:r>
        <w:rPr/>
        <w:t>  </w:t>
      </w:r>
      <w:r>
        <w:rPr>
          <w:w w:val="109"/>
        </w:rPr>
        <w:t>reditúa</w:t>
      </w:r>
      <w:r>
        <w:rPr/>
        <w:t>  </w:t>
      </w:r>
      <w:r>
        <w:rPr>
          <w:w w:val="109"/>
        </w:rPr>
        <w:t>necesariamente</w:t>
      </w:r>
      <w:r>
        <w:rPr/>
        <w:t>  </w:t>
      </w:r>
      <w:r>
        <w:rPr>
          <w:w w:val="109"/>
        </w:rPr>
        <w:t>las</w:t>
      </w:r>
      <w:r>
        <w:rPr/>
        <w:t>  </w:t>
      </w:r>
      <w:r>
        <w:rPr>
          <w:w w:val="109"/>
        </w:rPr>
        <w:t>victorias</w:t>
      </w:r>
      <w:r>
        <w:rPr/>
        <w:t>  </w:t>
      </w:r>
      <w:r>
        <w:rPr>
          <w:w w:val="111"/>
        </w:rPr>
        <w:t>políticas</w:t>
      </w:r>
      <w:r>
        <w:rPr/>
        <w:t>  </w:t>
      </w:r>
      <w:r>
        <w:rPr>
          <w:w w:val="109"/>
        </w:rPr>
        <w:t>requeridas.</w:t>
      </w:r>
      <w:r>
        <w:rPr/>
        <w:t>  </w:t>
      </w:r>
      <w:r>
        <w:rPr>
          <w:w w:val="243"/>
        </w:rPr>
        <w:t>l</w:t>
      </w:r>
      <w:r>
        <w:rPr>
          <w:w w:val="110"/>
        </w:rPr>
        <w:t>o</w:t>
      </w:r>
      <w:r>
        <w:rPr/>
        <w:t>  </w:t>
      </w:r>
      <w:r>
        <w:rPr>
          <w:w w:val="108"/>
        </w:rPr>
        <w:t>que </w:t>
      </w:r>
      <w:r>
        <w:rPr>
          <w:w w:val="115"/>
        </w:rPr>
        <w:t>consigue</w:t>
      </w:r>
      <w:r>
        <w:rPr>
          <w:spacing w:val="-16"/>
          <w:w w:val="115"/>
        </w:rPr>
        <w:t> </w:t>
      </w:r>
      <w:r>
        <w:rPr>
          <w:w w:val="115"/>
        </w:rPr>
        <w:t>proyectar</w:t>
      </w:r>
      <w:r>
        <w:rPr>
          <w:spacing w:val="-16"/>
          <w:w w:val="115"/>
        </w:rPr>
        <w:t> </w:t>
      </w:r>
      <w:r>
        <w:rPr>
          <w:w w:val="115"/>
        </w:rPr>
        <w:t>en</w:t>
      </w:r>
      <w:r>
        <w:rPr>
          <w:spacing w:val="-16"/>
          <w:w w:val="115"/>
        </w:rPr>
        <w:t> </w:t>
      </w:r>
      <w:r>
        <w:rPr>
          <w:w w:val="115"/>
        </w:rPr>
        <w:t>el</w:t>
      </w:r>
      <w:r>
        <w:rPr>
          <w:spacing w:val="-16"/>
          <w:w w:val="115"/>
        </w:rPr>
        <w:t> </w:t>
      </w:r>
      <w:r>
        <w:rPr>
          <w:w w:val="115"/>
        </w:rPr>
        <w:t>escenario</w:t>
      </w:r>
      <w:r>
        <w:rPr>
          <w:spacing w:val="-16"/>
          <w:w w:val="115"/>
        </w:rPr>
        <w:t> </w:t>
      </w:r>
      <w:r>
        <w:rPr>
          <w:w w:val="115"/>
        </w:rPr>
        <w:t>político</w:t>
      </w:r>
      <w:r>
        <w:rPr>
          <w:spacing w:val="-16"/>
          <w:w w:val="115"/>
        </w:rPr>
        <w:t> </w:t>
      </w:r>
      <w:r>
        <w:rPr>
          <w:w w:val="115"/>
        </w:rPr>
        <w:t>no</w:t>
      </w:r>
      <w:r>
        <w:rPr>
          <w:spacing w:val="-16"/>
          <w:w w:val="115"/>
        </w:rPr>
        <w:t> </w:t>
      </w:r>
      <w:r>
        <w:rPr>
          <w:w w:val="115"/>
        </w:rPr>
        <w:t>le</w:t>
      </w:r>
      <w:r>
        <w:rPr>
          <w:spacing w:val="-16"/>
          <w:w w:val="115"/>
        </w:rPr>
        <w:t> </w:t>
      </w:r>
      <w:r>
        <w:rPr>
          <w:w w:val="115"/>
        </w:rPr>
        <w:t>resulta</w:t>
      </w:r>
      <w:r>
        <w:rPr>
          <w:spacing w:val="-16"/>
          <w:w w:val="115"/>
        </w:rPr>
        <w:t> </w:t>
      </w:r>
      <w:r>
        <w:rPr>
          <w:w w:val="115"/>
        </w:rPr>
        <w:t>globalmente favorable. si la mantención de la visión fundada en el unipolarismo no</w:t>
      </w:r>
      <w:r>
        <w:rPr>
          <w:spacing w:val="-29"/>
          <w:w w:val="115"/>
        </w:rPr>
        <w:t> </w:t>
      </w:r>
      <w:r>
        <w:rPr>
          <w:w w:val="115"/>
        </w:rPr>
        <w:t>le</w:t>
      </w:r>
      <w:r>
        <w:rPr>
          <w:spacing w:val="-29"/>
          <w:w w:val="115"/>
        </w:rPr>
        <w:t> </w:t>
      </w:r>
      <w:r>
        <w:rPr>
          <w:w w:val="115"/>
        </w:rPr>
        <w:t>aporta</w:t>
      </w:r>
      <w:r>
        <w:rPr>
          <w:spacing w:val="-29"/>
          <w:w w:val="115"/>
        </w:rPr>
        <w:t> </w:t>
      </w:r>
      <w:r>
        <w:rPr>
          <w:w w:val="115"/>
        </w:rPr>
        <w:t>beneficios</w:t>
      </w:r>
      <w:r>
        <w:rPr>
          <w:spacing w:val="-29"/>
          <w:w w:val="115"/>
        </w:rPr>
        <w:t> </w:t>
      </w:r>
      <w:r>
        <w:rPr>
          <w:w w:val="115"/>
        </w:rPr>
        <w:t>estratégicos</w:t>
      </w:r>
      <w:r>
        <w:rPr>
          <w:spacing w:val="-29"/>
          <w:w w:val="115"/>
        </w:rPr>
        <w:t> </w:t>
      </w:r>
      <w:r>
        <w:rPr>
          <w:w w:val="115"/>
        </w:rPr>
        <w:t>para</w:t>
      </w:r>
      <w:r>
        <w:rPr>
          <w:spacing w:val="-29"/>
          <w:w w:val="115"/>
        </w:rPr>
        <w:t> </w:t>
      </w:r>
      <w:r>
        <w:rPr>
          <w:w w:val="115"/>
        </w:rPr>
        <w:t>apuntalar</w:t>
      </w:r>
      <w:r>
        <w:rPr>
          <w:spacing w:val="-29"/>
          <w:w w:val="115"/>
        </w:rPr>
        <w:t> </w:t>
      </w:r>
      <w:r>
        <w:rPr>
          <w:w w:val="115"/>
        </w:rPr>
        <w:t>su</w:t>
      </w:r>
      <w:r>
        <w:rPr>
          <w:spacing w:val="-29"/>
          <w:w w:val="115"/>
        </w:rPr>
        <w:t> </w:t>
      </w:r>
      <w:r>
        <w:rPr>
          <w:w w:val="115"/>
        </w:rPr>
        <w:t>cuestionada</w:t>
      </w:r>
      <w:r>
        <w:rPr>
          <w:spacing w:val="-29"/>
          <w:w w:val="115"/>
        </w:rPr>
        <w:t> </w:t>
      </w:r>
      <w:r>
        <w:rPr>
          <w:w w:val="115"/>
        </w:rPr>
        <w:t>he- gemonía, queda abierta la pregunta si Estados unidos sabrá hacer prevalecer sus grandes intereses dentro de un esquema</w:t>
      </w:r>
      <w:r>
        <w:rPr>
          <w:spacing w:val="-23"/>
          <w:w w:val="115"/>
        </w:rPr>
        <w:t> </w:t>
      </w:r>
      <w:r>
        <w:rPr>
          <w:w w:val="115"/>
        </w:rPr>
        <w:t>multipolar. En</w:t>
      </w:r>
      <w:r>
        <w:rPr>
          <w:spacing w:val="-16"/>
          <w:w w:val="115"/>
        </w:rPr>
        <w:t> </w:t>
      </w:r>
      <w:r>
        <w:rPr>
          <w:w w:val="115"/>
        </w:rPr>
        <w:t>cualquier</w:t>
      </w:r>
      <w:r>
        <w:rPr>
          <w:spacing w:val="-16"/>
          <w:w w:val="115"/>
        </w:rPr>
        <w:t> </w:t>
      </w:r>
      <w:r>
        <w:rPr>
          <w:w w:val="115"/>
        </w:rPr>
        <w:t>caso,</w:t>
      </w:r>
      <w:r>
        <w:rPr>
          <w:spacing w:val="-16"/>
          <w:w w:val="115"/>
        </w:rPr>
        <w:t> </w:t>
      </w:r>
      <w:r>
        <w:rPr>
          <w:w w:val="115"/>
        </w:rPr>
        <w:t>para</w:t>
      </w:r>
      <w:r>
        <w:rPr>
          <w:spacing w:val="-16"/>
          <w:w w:val="115"/>
        </w:rPr>
        <w:t> </w:t>
      </w:r>
      <w:r>
        <w:rPr>
          <w:w w:val="115"/>
        </w:rPr>
        <w:t>encarar</w:t>
      </w:r>
      <w:r>
        <w:rPr>
          <w:spacing w:val="-16"/>
          <w:w w:val="115"/>
        </w:rPr>
        <w:t> </w:t>
      </w:r>
      <w:r>
        <w:rPr>
          <w:w w:val="115"/>
        </w:rPr>
        <w:t>esa</w:t>
      </w:r>
      <w:r>
        <w:rPr>
          <w:spacing w:val="-16"/>
          <w:w w:val="115"/>
        </w:rPr>
        <w:t> </w:t>
      </w:r>
      <w:r>
        <w:rPr>
          <w:w w:val="115"/>
        </w:rPr>
        <w:t>redefinición</w:t>
      </w:r>
      <w:r>
        <w:rPr>
          <w:spacing w:val="-16"/>
          <w:w w:val="115"/>
        </w:rPr>
        <w:t> </w:t>
      </w:r>
      <w:r>
        <w:rPr>
          <w:w w:val="115"/>
        </w:rPr>
        <w:t>la</w:t>
      </w:r>
      <w:r>
        <w:rPr>
          <w:spacing w:val="-16"/>
          <w:w w:val="115"/>
        </w:rPr>
        <w:t> </w:t>
      </w:r>
      <w:r>
        <w:rPr>
          <w:w w:val="115"/>
        </w:rPr>
        <w:t>región</w:t>
      </w:r>
      <w:r>
        <w:rPr>
          <w:spacing w:val="-16"/>
          <w:w w:val="115"/>
        </w:rPr>
        <w:t> </w:t>
      </w:r>
      <w:r>
        <w:rPr>
          <w:w w:val="115"/>
        </w:rPr>
        <w:t>de</w:t>
      </w:r>
      <w:r>
        <w:rPr>
          <w:spacing w:val="-16"/>
          <w:w w:val="115"/>
        </w:rPr>
        <w:t> </w:t>
      </w:r>
      <w:r>
        <w:rPr>
          <w:w w:val="115"/>
        </w:rPr>
        <w:t>américa </w:t>
      </w:r>
      <w:r>
        <w:rPr>
          <w:w w:val="243"/>
        </w:rPr>
        <w:t>l</w:t>
      </w:r>
      <w:r>
        <w:rPr>
          <w:w w:val="111"/>
        </w:rPr>
        <w:t>atina</w:t>
      </w:r>
      <w:r>
        <w:rPr/>
        <w:t> </w:t>
      </w:r>
      <w:r>
        <w:rPr>
          <w:spacing w:val="-21"/>
        </w:rPr>
        <w:t> </w:t>
      </w:r>
      <w:r>
        <w:rPr>
          <w:w w:val="105"/>
        </w:rPr>
        <w:t>y</w:t>
      </w:r>
      <w:r>
        <w:rPr/>
        <w:t> </w:t>
      </w:r>
      <w:r>
        <w:rPr>
          <w:spacing w:val="-21"/>
        </w:rPr>
        <w:t> </w:t>
      </w:r>
      <w:r>
        <w:rPr>
          <w:w w:val="107"/>
        </w:rPr>
        <w:t>el</w:t>
      </w:r>
      <w:r>
        <w:rPr/>
        <w:t> </w:t>
      </w:r>
      <w:r>
        <w:rPr>
          <w:spacing w:val="-21"/>
        </w:rPr>
        <w:t> </w:t>
      </w:r>
      <w:r>
        <w:rPr>
          <w:w w:val="112"/>
        </w:rPr>
        <w:t>Caribe</w:t>
      </w:r>
      <w:r>
        <w:rPr/>
        <w:t> </w:t>
      </w:r>
      <w:r>
        <w:rPr>
          <w:spacing w:val="-21"/>
        </w:rPr>
        <w:t> </w:t>
      </w:r>
      <w:r>
        <w:rPr>
          <w:w w:val="109"/>
        </w:rPr>
        <w:t>constituye</w:t>
      </w:r>
      <w:r>
        <w:rPr/>
        <w:t> </w:t>
      </w:r>
      <w:r>
        <w:rPr>
          <w:spacing w:val="-21"/>
        </w:rPr>
        <w:t> </w:t>
      </w:r>
      <w:r>
        <w:rPr>
          <w:w w:val="112"/>
        </w:rPr>
        <w:t>una</w:t>
      </w:r>
      <w:r>
        <w:rPr/>
        <w:t> </w:t>
      </w:r>
      <w:r>
        <w:rPr>
          <w:spacing w:val="-21"/>
        </w:rPr>
        <w:t> </w:t>
      </w:r>
      <w:r>
        <w:rPr>
          <w:w w:val="110"/>
        </w:rPr>
        <w:t>pieza</w:t>
      </w:r>
      <w:r>
        <w:rPr/>
        <w:t> </w:t>
      </w:r>
      <w:r>
        <w:rPr>
          <w:spacing w:val="-21"/>
        </w:rPr>
        <w:t> </w:t>
      </w:r>
      <w:r>
        <w:rPr>
          <w:w w:val="111"/>
        </w:rPr>
        <w:t>fundamental</w:t>
      </w:r>
      <w:r>
        <w:rPr/>
        <w:t> </w:t>
      </w:r>
      <w:r>
        <w:rPr>
          <w:spacing w:val="-21"/>
        </w:rPr>
        <w:t> </w:t>
      </w:r>
      <w:r>
        <w:rPr>
          <w:w w:val="110"/>
        </w:rPr>
        <w:t>aunque</w:t>
      </w:r>
      <w:r>
        <w:rPr/>
        <w:t> </w:t>
      </w:r>
      <w:r>
        <w:rPr>
          <w:spacing w:val="-21"/>
        </w:rPr>
        <w:t> </w:t>
      </w:r>
      <w:r>
        <w:rPr>
          <w:w w:val="111"/>
        </w:rPr>
        <w:t>no</w:t>
      </w:r>
      <w:r>
        <w:rPr/>
        <w:t> </w:t>
      </w:r>
      <w:r>
        <w:rPr>
          <w:spacing w:val="-21"/>
        </w:rPr>
        <w:t> </w:t>
      </w:r>
      <w:r>
        <w:rPr>
          <w:w w:val="111"/>
        </w:rPr>
        <w:t>ap</w:t>
      </w:r>
      <w:r>
        <w:rPr>
          <w:spacing w:val="-1"/>
          <w:w w:val="111"/>
        </w:rPr>
        <w:t>a</w:t>
      </w:r>
      <w:r>
        <w:rPr>
          <w:w w:val="102"/>
        </w:rPr>
        <w:t>- </w:t>
      </w:r>
      <w:r>
        <w:rPr>
          <w:w w:val="115"/>
        </w:rPr>
        <w:t>rezca expresamente en la conceptualización de sus prioridades. Es aquí donde toda visión prospectiva que intente una reconstrucción analítica</w:t>
      </w:r>
      <w:r>
        <w:rPr>
          <w:spacing w:val="-18"/>
          <w:w w:val="115"/>
        </w:rPr>
        <w:t> </w:t>
      </w:r>
      <w:r>
        <w:rPr>
          <w:w w:val="115"/>
        </w:rPr>
        <w:t>del</w:t>
      </w:r>
      <w:r>
        <w:rPr>
          <w:spacing w:val="-18"/>
          <w:w w:val="115"/>
        </w:rPr>
        <w:t> </w:t>
      </w:r>
      <w:r>
        <w:rPr>
          <w:w w:val="115"/>
        </w:rPr>
        <w:t>presente</w:t>
      </w:r>
      <w:r>
        <w:rPr>
          <w:spacing w:val="-18"/>
          <w:w w:val="115"/>
        </w:rPr>
        <w:t> </w:t>
      </w:r>
      <w:r>
        <w:rPr>
          <w:w w:val="115"/>
        </w:rPr>
        <w:t>político</w:t>
      </w:r>
      <w:r>
        <w:rPr>
          <w:spacing w:val="-18"/>
          <w:w w:val="115"/>
        </w:rPr>
        <w:t> </w:t>
      </w:r>
      <w:r>
        <w:rPr>
          <w:w w:val="115"/>
        </w:rPr>
        <w:t>y</w:t>
      </w:r>
      <w:r>
        <w:rPr>
          <w:spacing w:val="-18"/>
          <w:w w:val="115"/>
        </w:rPr>
        <w:t> </w:t>
      </w:r>
      <w:r>
        <w:rPr>
          <w:w w:val="115"/>
        </w:rPr>
        <w:t>el</w:t>
      </w:r>
      <w:r>
        <w:rPr>
          <w:spacing w:val="-18"/>
          <w:w w:val="115"/>
        </w:rPr>
        <w:t> </w:t>
      </w:r>
      <w:r>
        <w:rPr>
          <w:w w:val="115"/>
        </w:rPr>
        <w:t>futuro</w:t>
      </w:r>
      <w:r>
        <w:rPr>
          <w:spacing w:val="-18"/>
          <w:w w:val="115"/>
        </w:rPr>
        <w:t> </w:t>
      </w:r>
      <w:r>
        <w:rPr>
          <w:w w:val="115"/>
        </w:rPr>
        <w:t>de</w:t>
      </w:r>
      <w:r>
        <w:rPr>
          <w:spacing w:val="-18"/>
          <w:w w:val="115"/>
        </w:rPr>
        <w:t> </w:t>
      </w:r>
      <w:r>
        <w:rPr>
          <w:w w:val="115"/>
        </w:rPr>
        <w:t>la</w:t>
      </w:r>
      <w:r>
        <w:rPr>
          <w:spacing w:val="-18"/>
          <w:w w:val="115"/>
        </w:rPr>
        <w:t> </w:t>
      </w:r>
      <w:r>
        <w:rPr>
          <w:w w:val="115"/>
        </w:rPr>
        <w:t>región</w:t>
      </w:r>
      <w:r>
        <w:rPr>
          <w:spacing w:val="-18"/>
          <w:w w:val="115"/>
        </w:rPr>
        <w:t> </w:t>
      </w:r>
      <w:r>
        <w:rPr>
          <w:w w:val="115"/>
        </w:rPr>
        <w:t>implica</w:t>
      </w:r>
      <w:r>
        <w:rPr>
          <w:spacing w:val="-18"/>
          <w:w w:val="115"/>
        </w:rPr>
        <w:t> </w:t>
      </w:r>
      <w:r>
        <w:rPr>
          <w:w w:val="115"/>
        </w:rPr>
        <w:t>conocer mejor</w:t>
      </w:r>
      <w:r>
        <w:rPr>
          <w:spacing w:val="-7"/>
          <w:w w:val="115"/>
        </w:rPr>
        <w:t> </w:t>
      </w:r>
      <w:r>
        <w:rPr>
          <w:w w:val="115"/>
        </w:rPr>
        <w:t>a</w:t>
      </w:r>
      <w:r>
        <w:rPr>
          <w:spacing w:val="-7"/>
          <w:w w:val="115"/>
        </w:rPr>
        <w:t> </w:t>
      </w:r>
      <w:r>
        <w:rPr>
          <w:w w:val="115"/>
        </w:rPr>
        <w:t>Estados</w:t>
      </w:r>
      <w:r>
        <w:rPr>
          <w:spacing w:val="-7"/>
          <w:w w:val="115"/>
        </w:rPr>
        <w:t> </w:t>
      </w:r>
      <w:r>
        <w:rPr>
          <w:w w:val="115"/>
        </w:rPr>
        <w:t>unidos</w:t>
      </w:r>
      <w:r>
        <w:rPr>
          <w:spacing w:val="-7"/>
          <w:w w:val="115"/>
        </w:rPr>
        <w:t> </w:t>
      </w:r>
      <w:r>
        <w:rPr>
          <w:w w:val="115"/>
        </w:rPr>
        <w:t>en</w:t>
      </w:r>
      <w:r>
        <w:rPr>
          <w:spacing w:val="-7"/>
          <w:w w:val="115"/>
        </w:rPr>
        <w:t> </w:t>
      </w:r>
      <w:r>
        <w:rPr>
          <w:w w:val="115"/>
        </w:rPr>
        <w:t>sus</w:t>
      </w:r>
      <w:r>
        <w:rPr>
          <w:spacing w:val="-7"/>
          <w:w w:val="115"/>
        </w:rPr>
        <w:t> </w:t>
      </w:r>
      <w:r>
        <w:rPr>
          <w:w w:val="115"/>
        </w:rPr>
        <w:t>invocaciones,</w:t>
      </w:r>
      <w:r>
        <w:rPr>
          <w:spacing w:val="-7"/>
          <w:w w:val="115"/>
        </w:rPr>
        <w:t> </w:t>
      </w:r>
      <w:r>
        <w:rPr>
          <w:w w:val="115"/>
        </w:rPr>
        <w:t>recursos</w:t>
      </w:r>
      <w:r>
        <w:rPr>
          <w:spacing w:val="-7"/>
          <w:w w:val="115"/>
        </w:rPr>
        <w:t> </w:t>
      </w:r>
      <w:r>
        <w:rPr>
          <w:w w:val="115"/>
        </w:rPr>
        <w:t>estratégicos</w:t>
      </w:r>
      <w:r>
        <w:rPr>
          <w:spacing w:val="-7"/>
          <w:w w:val="115"/>
        </w:rPr>
        <w:t> </w:t>
      </w:r>
      <w:r>
        <w:rPr>
          <w:w w:val="115"/>
        </w:rPr>
        <w:t>y </w:t>
      </w:r>
      <w:r>
        <w:rPr>
          <w:w w:val="110"/>
        </w:rPr>
        <w:t>objetivos</w:t>
      </w:r>
      <w:r>
        <w:rPr>
          <w:spacing w:val="11"/>
          <w:w w:val="110"/>
        </w:rPr>
        <w:t> </w:t>
      </w:r>
      <w:r>
        <w:rPr>
          <w:w w:val="110"/>
        </w:rPr>
        <w:t>políticos.</w:t>
      </w:r>
    </w:p>
    <w:p>
      <w:pPr>
        <w:pStyle w:val="BodyText"/>
        <w:spacing w:line="252" w:lineRule="auto"/>
        <w:ind w:left="330" w:right="117" w:firstLine="396"/>
        <w:jc w:val="both"/>
      </w:pPr>
      <w:r>
        <w:rPr>
          <w:w w:val="243"/>
        </w:rPr>
        <w:t>l</w:t>
      </w:r>
      <w:r>
        <w:rPr>
          <w:w w:val="111"/>
        </w:rPr>
        <w:t>uis</w:t>
      </w:r>
      <w:r>
        <w:rPr>
          <w:spacing w:val="2"/>
        </w:rPr>
        <w:t> </w:t>
      </w:r>
      <w:r>
        <w:rPr>
          <w:w w:val="149"/>
        </w:rPr>
        <w:t>s</w:t>
      </w:r>
      <w:r>
        <w:rPr>
          <w:w w:val="109"/>
        </w:rPr>
        <w:t>uárez</w:t>
      </w:r>
      <w:r>
        <w:rPr>
          <w:spacing w:val="2"/>
        </w:rPr>
        <w:t> </w:t>
      </w:r>
      <w:r>
        <w:rPr>
          <w:w w:val="149"/>
        </w:rPr>
        <w:t>s</w:t>
      </w:r>
      <w:r>
        <w:rPr>
          <w:w w:val="112"/>
        </w:rPr>
        <w:t>alaza</w:t>
      </w:r>
      <w:r>
        <w:rPr>
          <w:spacing w:val="-22"/>
          <w:w w:val="105"/>
        </w:rPr>
        <w:t>r</w:t>
      </w:r>
      <w:r>
        <w:rPr>
          <w:w w:val="138"/>
        </w:rPr>
        <w:t>,</w:t>
      </w:r>
      <w:r>
        <w:rPr>
          <w:spacing w:val="2"/>
        </w:rPr>
        <w:t> </w:t>
      </w:r>
      <w:r>
        <w:rPr>
          <w:w w:val="108"/>
        </w:rPr>
        <w:t>escritor</w:t>
      </w:r>
      <w:r>
        <w:rPr>
          <w:spacing w:val="2"/>
        </w:rPr>
        <w:t> </w:t>
      </w:r>
      <w:r>
        <w:rPr>
          <w:w w:val="105"/>
        </w:rPr>
        <w:t>y</w:t>
      </w:r>
      <w:r>
        <w:rPr>
          <w:spacing w:val="2"/>
        </w:rPr>
        <w:t> </w:t>
      </w:r>
      <w:r>
        <w:rPr>
          <w:w w:val="108"/>
        </w:rPr>
        <w:t>ensayista</w:t>
      </w:r>
      <w:r>
        <w:rPr>
          <w:spacing w:val="2"/>
        </w:rPr>
        <w:t> </w:t>
      </w:r>
      <w:r>
        <w:rPr>
          <w:w w:val="108"/>
        </w:rPr>
        <w:t>integrante</w:t>
      </w:r>
      <w:r>
        <w:rPr>
          <w:spacing w:val="2"/>
        </w:rPr>
        <w:t> </w:t>
      </w:r>
      <w:r>
        <w:rPr>
          <w:w w:val="107"/>
        </w:rPr>
        <w:t>de</w:t>
      </w:r>
      <w:r>
        <w:rPr>
          <w:spacing w:val="2"/>
        </w:rPr>
        <w:t> </w:t>
      </w:r>
      <w:r>
        <w:rPr>
          <w:w w:val="111"/>
        </w:rPr>
        <w:t>la</w:t>
      </w:r>
      <w:r>
        <w:rPr>
          <w:spacing w:val="2"/>
        </w:rPr>
        <w:t> </w:t>
      </w:r>
      <w:r>
        <w:rPr>
          <w:w w:val="140"/>
        </w:rPr>
        <w:t>u</w:t>
      </w:r>
      <w:r>
        <w:rPr>
          <w:w w:val="111"/>
        </w:rPr>
        <w:t>nión</w:t>
      </w:r>
      <w:r>
        <w:rPr>
          <w:spacing w:val="2"/>
        </w:rPr>
        <w:t> </w:t>
      </w:r>
      <w:r>
        <w:rPr>
          <w:w w:val="107"/>
        </w:rPr>
        <w:t>de </w:t>
      </w:r>
      <w:r>
        <w:rPr>
          <w:w w:val="115"/>
        </w:rPr>
        <w:t>Escritores</w:t>
      </w:r>
      <w:r>
        <w:rPr>
          <w:spacing w:val="-11"/>
          <w:w w:val="115"/>
        </w:rPr>
        <w:t> </w:t>
      </w:r>
      <w:r>
        <w:rPr>
          <w:w w:val="115"/>
        </w:rPr>
        <w:t>y</w:t>
      </w:r>
      <w:r>
        <w:rPr>
          <w:spacing w:val="-11"/>
          <w:w w:val="115"/>
        </w:rPr>
        <w:t> </w:t>
      </w:r>
      <w:r>
        <w:rPr>
          <w:w w:val="115"/>
        </w:rPr>
        <w:t>artistas</w:t>
      </w:r>
      <w:r>
        <w:rPr>
          <w:spacing w:val="-11"/>
          <w:w w:val="115"/>
        </w:rPr>
        <w:t> </w:t>
      </w:r>
      <w:r>
        <w:rPr>
          <w:w w:val="115"/>
        </w:rPr>
        <w:t>de</w:t>
      </w:r>
      <w:r>
        <w:rPr>
          <w:spacing w:val="-11"/>
          <w:w w:val="115"/>
        </w:rPr>
        <w:t> </w:t>
      </w:r>
      <w:r>
        <w:rPr>
          <w:w w:val="115"/>
        </w:rPr>
        <w:t>Cuba</w:t>
      </w:r>
      <w:r>
        <w:rPr>
          <w:spacing w:val="-11"/>
          <w:w w:val="115"/>
        </w:rPr>
        <w:t> </w:t>
      </w:r>
      <w:r>
        <w:rPr>
          <w:w w:val="115"/>
        </w:rPr>
        <w:t>(uNEaC),</w:t>
      </w:r>
      <w:r>
        <w:rPr>
          <w:spacing w:val="-11"/>
          <w:w w:val="115"/>
        </w:rPr>
        <w:t> </w:t>
      </w:r>
      <w:r>
        <w:rPr>
          <w:w w:val="115"/>
        </w:rPr>
        <w:t>y</w:t>
      </w:r>
      <w:r>
        <w:rPr>
          <w:spacing w:val="-11"/>
          <w:w w:val="115"/>
        </w:rPr>
        <w:t> </w:t>
      </w:r>
      <w:r>
        <w:rPr>
          <w:w w:val="115"/>
        </w:rPr>
        <w:t>Profesor</w:t>
      </w:r>
      <w:r>
        <w:rPr>
          <w:spacing w:val="-11"/>
          <w:w w:val="115"/>
        </w:rPr>
        <w:t> </w:t>
      </w:r>
      <w:r>
        <w:rPr>
          <w:spacing w:val="-3"/>
          <w:w w:val="115"/>
        </w:rPr>
        <w:t>titular</w:t>
      </w:r>
      <w:r>
        <w:rPr>
          <w:spacing w:val="-11"/>
          <w:w w:val="115"/>
        </w:rPr>
        <w:t> </w:t>
      </w:r>
      <w:r>
        <w:rPr>
          <w:w w:val="115"/>
        </w:rPr>
        <w:t>del</w:t>
      </w:r>
      <w:r>
        <w:rPr>
          <w:spacing w:val="-11"/>
          <w:w w:val="115"/>
        </w:rPr>
        <w:t> </w:t>
      </w:r>
      <w:r>
        <w:rPr>
          <w:w w:val="115"/>
        </w:rPr>
        <w:t>instituto </w:t>
      </w:r>
      <w:r>
        <w:rPr>
          <w:w w:val="120"/>
        </w:rPr>
        <w:t>superior</w:t>
      </w:r>
      <w:r>
        <w:rPr>
          <w:spacing w:val="-6"/>
          <w:w w:val="120"/>
        </w:rPr>
        <w:t> </w:t>
      </w:r>
      <w:r>
        <w:rPr>
          <w:w w:val="120"/>
        </w:rPr>
        <w:t>de</w:t>
      </w:r>
      <w:r>
        <w:rPr>
          <w:spacing w:val="-6"/>
          <w:w w:val="120"/>
        </w:rPr>
        <w:t> </w:t>
      </w:r>
      <w:r>
        <w:rPr>
          <w:w w:val="120"/>
        </w:rPr>
        <w:t>relaciones</w:t>
      </w:r>
      <w:r>
        <w:rPr>
          <w:spacing w:val="-6"/>
          <w:w w:val="120"/>
        </w:rPr>
        <w:t> </w:t>
      </w:r>
      <w:r>
        <w:rPr>
          <w:w w:val="120"/>
        </w:rPr>
        <w:t>internacionales</w:t>
      </w:r>
      <w:r>
        <w:rPr>
          <w:spacing w:val="-6"/>
          <w:w w:val="120"/>
        </w:rPr>
        <w:t> </w:t>
      </w:r>
      <w:r>
        <w:rPr>
          <w:w w:val="120"/>
        </w:rPr>
        <w:t>“raúl</w:t>
      </w:r>
      <w:r>
        <w:rPr>
          <w:spacing w:val="-6"/>
          <w:w w:val="120"/>
        </w:rPr>
        <w:t> </w:t>
      </w:r>
      <w:r>
        <w:rPr>
          <w:w w:val="120"/>
        </w:rPr>
        <w:t>roa</w:t>
      </w:r>
      <w:r>
        <w:rPr>
          <w:spacing w:val="-6"/>
          <w:w w:val="120"/>
        </w:rPr>
        <w:t> </w:t>
      </w:r>
      <w:r>
        <w:rPr>
          <w:w w:val="120"/>
        </w:rPr>
        <w:t>García”,</w:t>
      </w:r>
      <w:r>
        <w:rPr>
          <w:spacing w:val="-6"/>
          <w:w w:val="120"/>
        </w:rPr>
        <w:t> </w:t>
      </w:r>
      <w:r>
        <w:rPr>
          <w:w w:val="120"/>
        </w:rPr>
        <w:t>comple- </w:t>
      </w:r>
      <w:r>
        <w:rPr>
          <w:w w:val="110"/>
        </w:rPr>
        <w:t>menta</w:t>
      </w:r>
      <w:r>
        <w:rPr/>
        <w:t> </w:t>
      </w:r>
      <w:r>
        <w:rPr>
          <w:spacing w:val="-13"/>
        </w:rPr>
        <w:t> </w:t>
      </w:r>
      <w:r>
        <w:rPr>
          <w:w w:val="107"/>
        </w:rPr>
        <w:t>esta</w:t>
      </w:r>
      <w:r>
        <w:rPr/>
        <w:t> </w:t>
      </w:r>
      <w:r>
        <w:rPr>
          <w:spacing w:val="-13"/>
        </w:rPr>
        <w:t> </w:t>
      </w:r>
      <w:r>
        <w:rPr>
          <w:w w:val="111"/>
        </w:rPr>
        <w:t>sección</w:t>
      </w:r>
      <w:r>
        <w:rPr/>
        <w:t> </w:t>
      </w:r>
      <w:r>
        <w:rPr>
          <w:spacing w:val="-13"/>
        </w:rPr>
        <w:t> </w:t>
      </w:r>
      <w:r>
        <w:rPr>
          <w:w w:val="112"/>
        </w:rPr>
        <w:t>con</w:t>
      </w:r>
      <w:r>
        <w:rPr/>
        <w:t> </w:t>
      </w:r>
      <w:r>
        <w:rPr>
          <w:spacing w:val="-13"/>
        </w:rPr>
        <w:t> </w:t>
      </w:r>
      <w:r>
        <w:rPr>
          <w:w w:val="107"/>
        </w:rPr>
        <w:t>el</w:t>
      </w:r>
      <w:r>
        <w:rPr/>
        <w:t> </w:t>
      </w:r>
      <w:r>
        <w:rPr>
          <w:spacing w:val="-13"/>
        </w:rPr>
        <w:t> </w:t>
      </w:r>
      <w:r>
        <w:rPr>
          <w:w w:val="110"/>
        </w:rPr>
        <w:t>trabajo</w:t>
      </w:r>
      <w:r>
        <w:rPr/>
        <w:t> </w:t>
      </w:r>
      <w:r>
        <w:rPr>
          <w:spacing w:val="-13"/>
        </w:rPr>
        <w:t> </w:t>
      </w:r>
      <w:r>
        <w:rPr>
          <w:w w:val="115"/>
        </w:rPr>
        <w:t>“</w:t>
      </w:r>
      <w:r>
        <w:rPr>
          <w:w w:val="243"/>
        </w:rPr>
        <w:t>l</w:t>
      </w:r>
      <w:r>
        <w:rPr>
          <w:w w:val="112"/>
        </w:rPr>
        <w:t>a</w:t>
      </w:r>
      <w:r>
        <w:rPr/>
        <w:t> </w:t>
      </w:r>
      <w:r>
        <w:rPr>
          <w:spacing w:val="-13"/>
        </w:rPr>
        <w:t> </w:t>
      </w:r>
      <w:r>
        <w:rPr>
          <w:w w:val="111"/>
        </w:rPr>
        <w:t>política</w:t>
      </w:r>
      <w:r>
        <w:rPr/>
        <w:t> </w:t>
      </w:r>
      <w:r>
        <w:rPr>
          <w:spacing w:val="-13"/>
        </w:rPr>
        <w:t> </w:t>
      </w:r>
      <w:r>
        <w:rPr>
          <w:w w:val="113"/>
        </w:rPr>
        <w:t>hacia</w:t>
      </w:r>
      <w:r>
        <w:rPr/>
        <w:t> </w:t>
      </w:r>
      <w:r>
        <w:rPr>
          <w:spacing w:val="-13"/>
        </w:rPr>
        <w:t> </w:t>
      </w:r>
      <w:r>
        <w:rPr>
          <w:w w:val="139"/>
        </w:rPr>
        <w:t>a</w:t>
      </w:r>
      <w:r>
        <w:rPr>
          <w:w w:val="111"/>
        </w:rPr>
        <w:t>merica</w:t>
      </w:r>
      <w:r>
        <w:rPr/>
        <w:t> </w:t>
      </w:r>
      <w:r>
        <w:rPr>
          <w:spacing w:val="-13"/>
        </w:rPr>
        <w:t> </w:t>
      </w:r>
      <w:r>
        <w:rPr>
          <w:w w:val="243"/>
        </w:rPr>
        <w:t>l</w:t>
      </w:r>
      <w:r>
        <w:rPr>
          <w:w w:val="111"/>
        </w:rPr>
        <w:t>atina </w:t>
      </w:r>
      <w:r>
        <w:rPr>
          <w:w w:val="120"/>
        </w:rPr>
        <w:t>y</w:t>
      </w:r>
      <w:r>
        <w:rPr>
          <w:spacing w:val="-25"/>
          <w:w w:val="120"/>
        </w:rPr>
        <w:t> </w:t>
      </w:r>
      <w:r>
        <w:rPr>
          <w:w w:val="120"/>
        </w:rPr>
        <w:t>el</w:t>
      </w:r>
      <w:r>
        <w:rPr>
          <w:spacing w:val="-25"/>
          <w:w w:val="120"/>
        </w:rPr>
        <w:t> </w:t>
      </w:r>
      <w:r>
        <w:rPr>
          <w:w w:val="120"/>
        </w:rPr>
        <w:t>Caribe</w:t>
      </w:r>
      <w:r>
        <w:rPr>
          <w:spacing w:val="-25"/>
          <w:w w:val="120"/>
        </w:rPr>
        <w:t> </w:t>
      </w:r>
      <w:r>
        <w:rPr>
          <w:w w:val="120"/>
        </w:rPr>
        <w:t>de</w:t>
      </w:r>
      <w:r>
        <w:rPr>
          <w:spacing w:val="-25"/>
          <w:w w:val="120"/>
        </w:rPr>
        <w:t> </w:t>
      </w:r>
      <w:r>
        <w:rPr>
          <w:w w:val="120"/>
        </w:rPr>
        <w:t>la</w:t>
      </w:r>
      <w:r>
        <w:rPr>
          <w:spacing w:val="-25"/>
          <w:w w:val="120"/>
        </w:rPr>
        <w:t> </w:t>
      </w:r>
      <w:r>
        <w:rPr>
          <w:w w:val="120"/>
        </w:rPr>
        <w:t>segunda</w:t>
      </w:r>
      <w:r>
        <w:rPr>
          <w:spacing w:val="-25"/>
          <w:w w:val="120"/>
        </w:rPr>
        <w:t> </w:t>
      </w:r>
      <w:r>
        <w:rPr>
          <w:w w:val="120"/>
        </w:rPr>
        <w:t>presidencia</w:t>
      </w:r>
      <w:r>
        <w:rPr>
          <w:spacing w:val="-25"/>
          <w:w w:val="120"/>
        </w:rPr>
        <w:t> </w:t>
      </w:r>
      <w:r>
        <w:rPr>
          <w:w w:val="120"/>
        </w:rPr>
        <w:t>de</w:t>
      </w:r>
      <w:r>
        <w:rPr>
          <w:spacing w:val="-25"/>
          <w:w w:val="120"/>
        </w:rPr>
        <w:t> </w:t>
      </w:r>
      <w:r>
        <w:rPr>
          <w:w w:val="120"/>
        </w:rPr>
        <w:t>barack</w:t>
      </w:r>
      <w:r>
        <w:rPr>
          <w:spacing w:val="-25"/>
          <w:w w:val="120"/>
        </w:rPr>
        <w:t> </w:t>
      </w:r>
      <w:r>
        <w:rPr>
          <w:w w:val="120"/>
        </w:rPr>
        <w:t>obama:</w:t>
      </w:r>
      <w:r>
        <w:rPr>
          <w:spacing w:val="-25"/>
          <w:w w:val="120"/>
        </w:rPr>
        <w:t> </w:t>
      </w:r>
      <w:r>
        <w:rPr>
          <w:w w:val="120"/>
        </w:rPr>
        <w:t>una</w:t>
      </w:r>
      <w:r>
        <w:rPr>
          <w:spacing w:val="-25"/>
          <w:w w:val="120"/>
        </w:rPr>
        <w:t> </w:t>
      </w:r>
      <w:r>
        <w:rPr>
          <w:w w:val="120"/>
        </w:rPr>
        <w:t>mirada </w:t>
      </w:r>
      <w:r>
        <w:rPr>
          <w:w w:val="115"/>
        </w:rPr>
        <w:t>desde</w:t>
      </w:r>
      <w:r>
        <w:rPr>
          <w:spacing w:val="-10"/>
          <w:w w:val="115"/>
        </w:rPr>
        <w:t> </w:t>
      </w:r>
      <w:r>
        <w:rPr>
          <w:w w:val="115"/>
        </w:rPr>
        <w:t>la</w:t>
      </w:r>
      <w:r>
        <w:rPr>
          <w:spacing w:val="-10"/>
          <w:w w:val="115"/>
        </w:rPr>
        <w:t> </w:t>
      </w:r>
      <w:r>
        <w:rPr>
          <w:w w:val="115"/>
        </w:rPr>
        <w:t>prospectiva</w:t>
      </w:r>
      <w:r>
        <w:rPr>
          <w:spacing w:val="-10"/>
          <w:w w:val="115"/>
        </w:rPr>
        <w:t> </w:t>
      </w:r>
      <w:r>
        <w:rPr>
          <w:w w:val="115"/>
        </w:rPr>
        <w:t>crítica”.</w:t>
      </w:r>
      <w:r>
        <w:rPr>
          <w:spacing w:val="-10"/>
          <w:w w:val="115"/>
        </w:rPr>
        <w:t> </w:t>
      </w:r>
      <w:r>
        <w:rPr>
          <w:w w:val="115"/>
        </w:rPr>
        <w:t>Como</w:t>
      </w:r>
      <w:r>
        <w:rPr>
          <w:spacing w:val="-10"/>
          <w:w w:val="115"/>
        </w:rPr>
        <w:t> </w:t>
      </w:r>
      <w:r>
        <w:rPr>
          <w:w w:val="115"/>
        </w:rPr>
        <w:t>sugiere</w:t>
      </w:r>
      <w:r>
        <w:rPr>
          <w:spacing w:val="-10"/>
          <w:w w:val="115"/>
        </w:rPr>
        <w:t> </w:t>
      </w:r>
      <w:r>
        <w:rPr>
          <w:w w:val="115"/>
        </w:rPr>
        <w:t>su</w:t>
      </w:r>
      <w:r>
        <w:rPr>
          <w:spacing w:val="-10"/>
          <w:w w:val="115"/>
        </w:rPr>
        <w:t> </w:t>
      </w:r>
      <w:r>
        <w:rPr>
          <w:w w:val="115"/>
        </w:rPr>
        <w:t>título,</w:t>
      </w:r>
      <w:r>
        <w:rPr>
          <w:spacing w:val="-10"/>
          <w:w w:val="115"/>
        </w:rPr>
        <w:t> </w:t>
      </w:r>
      <w:r>
        <w:rPr>
          <w:w w:val="115"/>
        </w:rPr>
        <w:t>el</w:t>
      </w:r>
      <w:r>
        <w:rPr>
          <w:spacing w:val="-10"/>
          <w:w w:val="115"/>
        </w:rPr>
        <w:t> </w:t>
      </w:r>
      <w:r>
        <w:rPr>
          <w:w w:val="115"/>
        </w:rPr>
        <w:t>escrito</w:t>
      </w:r>
      <w:r>
        <w:rPr>
          <w:spacing w:val="-10"/>
          <w:w w:val="115"/>
        </w:rPr>
        <w:t> </w:t>
      </w:r>
      <w:r>
        <w:rPr>
          <w:w w:val="115"/>
        </w:rPr>
        <w:t>sinte- </w:t>
      </w:r>
      <w:r>
        <w:rPr>
          <w:w w:val="120"/>
        </w:rPr>
        <w:t>tiza</w:t>
      </w:r>
      <w:r>
        <w:rPr>
          <w:spacing w:val="-16"/>
          <w:w w:val="120"/>
        </w:rPr>
        <w:t> </w:t>
      </w:r>
      <w:r>
        <w:rPr>
          <w:w w:val="120"/>
        </w:rPr>
        <w:t>y</w:t>
      </w:r>
      <w:r>
        <w:rPr>
          <w:spacing w:val="-16"/>
          <w:w w:val="120"/>
        </w:rPr>
        <w:t> </w:t>
      </w:r>
      <w:r>
        <w:rPr>
          <w:w w:val="120"/>
        </w:rPr>
        <w:t>actualiza</w:t>
      </w:r>
      <w:r>
        <w:rPr>
          <w:spacing w:val="-16"/>
          <w:w w:val="120"/>
        </w:rPr>
        <w:t> </w:t>
      </w:r>
      <w:r>
        <w:rPr>
          <w:w w:val="120"/>
        </w:rPr>
        <w:t>algunas</w:t>
      </w:r>
      <w:r>
        <w:rPr>
          <w:spacing w:val="-16"/>
          <w:w w:val="120"/>
        </w:rPr>
        <w:t> </w:t>
      </w:r>
      <w:r>
        <w:rPr>
          <w:w w:val="120"/>
        </w:rPr>
        <w:t>de</w:t>
      </w:r>
      <w:r>
        <w:rPr>
          <w:spacing w:val="-16"/>
          <w:w w:val="120"/>
        </w:rPr>
        <w:t> </w:t>
      </w:r>
      <w:r>
        <w:rPr>
          <w:w w:val="120"/>
        </w:rPr>
        <w:t>las</w:t>
      </w:r>
      <w:r>
        <w:rPr>
          <w:spacing w:val="-16"/>
          <w:w w:val="120"/>
        </w:rPr>
        <w:t> </w:t>
      </w:r>
      <w:r>
        <w:rPr>
          <w:w w:val="120"/>
        </w:rPr>
        <w:t>políticas</w:t>
      </w:r>
      <w:r>
        <w:rPr>
          <w:spacing w:val="-16"/>
          <w:w w:val="120"/>
        </w:rPr>
        <w:t> </w:t>
      </w:r>
      <w:r>
        <w:rPr>
          <w:w w:val="120"/>
        </w:rPr>
        <w:t>de</w:t>
      </w:r>
      <w:r>
        <w:rPr>
          <w:spacing w:val="-16"/>
          <w:w w:val="120"/>
        </w:rPr>
        <w:t> </w:t>
      </w:r>
      <w:r>
        <w:rPr>
          <w:w w:val="120"/>
        </w:rPr>
        <w:t>la</w:t>
      </w:r>
      <w:r>
        <w:rPr>
          <w:spacing w:val="-16"/>
          <w:w w:val="120"/>
        </w:rPr>
        <w:t> </w:t>
      </w:r>
      <w:r>
        <w:rPr>
          <w:w w:val="120"/>
        </w:rPr>
        <w:t>presidencia</w:t>
      </w:r>
      <w:r>
        <w:rPr>
          <w:spacing w:val="-16"/>
          <w:w w:val="120"/>
        </w:rPr>
        <w:t> </w:t>
      </w:r>
      <w:r>
        <w:rPr>
          <w:w w:val="120"/>
        </w:rPr>
        <w:t>de</w:t>
      </w:r>
      <w:r>
        <w:rPr>
          <w:spacing w:val="-16"/>
          <w:w w:val="120"/>
        </w:rPr>
        <w:t> </w:t>
      </w:r>
      <w:r>
        <w:rPr>
          <w:w w:val="120"/>
        </w:rPr>
        <w:t>barack </w:t>
      </w:r>
      <w:r>
        <w:rPr>
          <w:w w:val="149"/>
        </w:rPr>
        <w:t>o</w:t>
      </w:r>
      <w:r>
        <w:rPr>
          <w:w w:val="112"/>
        </w:rPr>
        <w:t>bama</w:t>
      </w:r>
      <w:r>
        <w:rPr>
          <w:spacing w:val="3"/>
        </w:rPr>
        <w:t> </w:t>
      </w:r>
      <w:r>
        <w:rPr>
          <w:w w:val="113"/>
        </w:rPr>
        <w:t>hacia</w:t>
      </w:r>
      <w:r>
        <w:rPr>
          <w:spacing w:val="3"/>
        </w:rPr>
        <w:t> </w:t>
      </w:r>
      <w:r>
        <w:rPr>
          <w:w w:val="139"/>
        </w:rPr>
        <w:t>a</w:t>
      </w:r>
      <w:r>
        <w:rPr>
          <w:w w:val="111"/>
        </w:rPr>
        <w:t>mérica</w:t>
      </w:r>
      <w:r>
        <w:rPr>
          <w:spacing w:val="3"/>
        </w:rPr>
        <w:t> </w:t>
      </w:r>
      <w:r>
        <w:rPr>
          <w:w w:val="243"/>
        </w:rPr>
        <w:t>l</w:t>
      </w:r>
      <w:r>
        <w:rPr>
          <w:w w:val="111"/>
        </w:rPr>
        <w:t>atina</w:t>
      </w:r>
      <w:r>
        <w:rPr>
          <w:spacing w:val="3"/>
        </w:rPr>
        <w:t> </w:t>
      </w:r>
      <w:r>
        <w:rPr>
          <w:w w:val="105"/>
        </w:rPr>
        <w:t>y</w:t>
      </w:r>
      <w:r>
        <w:rPr>
          <w:spacing w:val="3"/>
        </w:rPr>
        <w:t> </w:t>
      </w:r>
      <w:r>
        <w:rPr>
          <w:w w:val="107"/>
        </w:rPr>
        <w:t>el</w:t>
      </w:r>
      <w:r>
        <w:rPr>
          <w:spacing w:val="3"/>
        </w:rPr>
        <w:t> </w:t>
      </w:r>
      <w:r>
        <w:rPr>
          <w:w w:val="112"/>
        </w:rPr>
        <w:t>Caribe</w:t>
      </w:r>
      <w:r>
        <w:rPr>
          <w:spacing w:val="3"/>
        </w:rPr>
        <w:t> </w:t>
      </w:r>
      <w:r>
        <w:rPr>
          <w:w w:val="112"/>
        </w:rPr>
        <w:t>a</w:t>
      </w:r>
      <w:r>
        <w:rPr>
          <w:spacing w:val="3"/>
        </w:rPr>
        <w:t> </w:t>
      </w:r>
      <w:r>
        <w:rPr>
          <w:w w:val="107"/>
        </w:rPr>
        <w:t>fin</w:t>
      </w:r>
      <w:r>
        <w:rPr>
          <w:spacing w:val="3"/>
        </w:rPr>
        <w:t> </w:t>
      </w:r>
      <w:r>
        <w:rPr>
          <w:w w:val="107"/>
        </w:rPr>
        <w:t>de</w:t>
      </w:r>
      <w:r>
        <w:rPr>
          <w:spacing w:val="3"/>
        </w:rPr>
        <w:t> </w:t>
      </w:r>
      <w:r>
        <w:rPr>
          <w:w w:val="107"/>
        </w:rPr>
        <w:t>presentar</w:t>
      </w:r>
      <w:r>
        <w:rPr>
          <w:spacing w:val="3"/>
        </w:rPr>
        <w:t> </w:t>
      </w:r>
      <w:r>
        <w:rPr>
          <w:w w:val="107"/>
        </w:rPr>
        <w:t>el</w:t>
      </w:r>
      <w:r>
        <w:rPr>
          <w:spacing w:val="3"/>
        </w:rPr>
        <w:t> </w:t>
      </w:r>
      <w:r>
        <w:rPr>
          <w:i/>
          <w:w w:val="108"/>
        </w:rPr>
        <w:t>escenario</w:t>
      </w:r>
      <w:r>
        <w:rPr>
          <w:i/>
          <w:w w:val="108"/>
        </w:rPr>
        <w:t> </w:t>
      </w:r>
      <w:r>
        <w:rPr>
          <w:i/>
          <w:w w:val="120"/>
        </w:rPr>
        <w:t>más</w:t>
      </w:r>
      <w:r>
        <w:rPr>
          <w:i/>
          <w:spacing w:val="-15"/>
          <w:w w:val="120"/>
        </w:rPr>
        <w:t> </w:t>
      </w:r>
      <w:r>
        <w:rPr>
          <w:i/>
          <w:w w:val="120"/>
        </w:rPr>
        <w:t>probable</w:t>
      </w:r>
      <w:r>
        <w:rPr>
          <w:i/>
          <w:spacing w:val="-15"/>
          <w:w w:val="120"/>
        </w:rPr>
        <w:t> </w:t>
      </w:r>
      <w:r>
        <w:rPr>
          <w:w w:val="120"/>
        </w:rPr>
        <w:t>de</w:t>
      </w:r>
      <w:r>
        <w:rPr>
          <w:spacing w:val="-15"/>
          <w:w w:val="120"/>
        </w:rPr>
        <w:t> </w:t>
      </w:r>
      <w:r>
        <w:rPr>
          <w:w w:val="120"/>
        </w:rPr>
        <w:t>la</w:t>
      </w:r>
      <w:r>
        <w:rPr>
          <w:spacing w:val="-15"/>
          <w:w w:val="120"/>
        </w:rPr>
        <w:t> </w:t>
      </w:r>
      <w:r>
        <w:rPr>
          <w:w w:val="120"/>
        </w:rPr>
        <w:t>política</w:t>
      </w:r>
      <w:r>
        <w:rPr>
          <w:spacing w:val="-15"/>
          <w:w w:val="120"/>
        </w:rPr>
        <w:t> </w:t>
      </w:r>
      <w:r>
        <w:rPr>
          <w:w w:val="120"/>
        </w:rPr>
        <w:t>hacia</w:t>
      </w:r>
      <w:r>
        <w:rPr>
          <w:spacing w:val="-15"/>
          <w:w w:val="120"/>
        </w:rPr>
        <w:t> </w:t>
      </w:r>
      <w:r>
        <w:rPr>
          <w:w w:val="120"/>
        </w:rPr>
        <w:t>el</w:t>
      </w:r>
      <w:r>
        <w:rPr>
          <w:spacing w:val="-15"/>
          <w:w w:val="120"/>
        </w:rPr>
        <w:t> </w:t>
      </w:r>
      <w:r>
        <w:rPr>
          <w:w w:val="120"/>
        </w:rPr>
        <w:t>ahora</w:t>
      </w:r>
      <w:r>
        <w:rPr>
          <w:spacing w:val="-15"/>
          <w:w w:val="120"/>
        </w:rPr>
        <w:t> </w:t>
      </w:r>
      <w:r>
        <w:rPr>
          <w:w w:val="120"/>
        </w:rPr>
        <w:t>llamado</w:t>
      </w:r>
      <w:r>
        <w:rPr>
          <w:spacing w:val="-15"/>
          <w:w w:val="120"/>
        </w:rPr>
        <w:t> </w:t>
      </w:r>
      <w:r>
        <w:rPr>
          <w:w w:val="120"/>
        </w:rPr>
        <w:t>“sur</w:t>
      </w:r>
      <w:r>
        <w:rPr>
          <w:spacing w:val="-15"/>
          <w:w w:val="120"/>
        </w:rPr>
        <w:t> </w:t>
      </w:r>
      <w:r>
        <w:rPr>
          <w:w w:val="120"/>
        </w:rPr>
        <w:t>político</w:t>
      </w:r>
      <w:r>
        <w:rPr>
          <w:spacing w:val="-15"/>
          <w:w w:val="120"/>
        </w:rPr>
        <w:t> </w:t>
      </w:r>
      <w:r>
        <w:rPr>
          <w:w w:val="120"/>
        </w:rPr>
        <w:t>del </w:t>
      </w:r>
      <w:r>
        <w:rPr>
          <w:w w:val="115"/>
        </w:rPr>
        <w:t>continente</w:t>
      </w:r>
      <w:r>
        <w:rPr>
          <w:spacing w:val="-19"/>
          <w:w w:val="115"/>
        </w:rPr>
        <w:t> </w:t>
      </w:r>
      <w:r>
        <w:rPr>
          <w:w w:val="115"/>
        </w:rPr>
        <w:t>americano”</w:t>
      </w:r>
      <w:r>
        <w:rPr>
          <w:spacing w:val="-19"/>
          <w:w w:val="115"/>
        </w:rPr>
        <w:t> </w:t>
      </w:r>
      <w:r>
        <w:rPr>
          <w:w w:val="115"/>
        </w:rPr>
        <w:t>a</w:t>
      </w:r>
      <w:r>
        <w:rPr>
          <w:spacing w:val="-19"/>
          <w:w w:val="115"/>
        </w:rPr>
        <w:t> </w:t>
      </w:r>
      <w:r>
        <w:rPr>
          <w:w w:val="115"/>
        </w:rPr>
        <w:t>través</w:t>
      </w:r>
      <w:r>
        <w:rPr>
          <w:spacing w:val="-19"/>
          <w:w w:val="115"/>
        </w:rPr>
        <w:t> </w:t>
      </w:r>
      <w:r>
        <w:rPr>
          <w:w w:val="115"/>
        </w:rPr>
        <w:t>del</w:t>
      </w:r>
      <w:r>
        <w:rPr>
          <w:spacing w:val="-19"/>
          <w:w w:val="115"/>
        </w:rPr>
        <w:t> </w:t>
      </w:r>
      <w:r>
        <w:rPr>
          <w:w w:val="115"/>
        </w:rPr>
        <w:t>estudio</w:t>
      </w:r>
      <w:r>
        <w:rPr>
          <w:spacing w:val="-19"/>
          <w:w w:val="115"/>
        </w:rPr>
        <w:t> </w:t>
      </w:r>
      <w:r>
        <w:rPr>
          <w:w w:val="115"/>
        </w:rPr>
        <w:t>y</w:t>
      </w:r>
      <w:r>
        <w:rPr>
          <w:spacing w:val="-19"/>
          <w:w w:val="115"/>
        </w:rPr>
        <w:t> </w:t>
      </w:r>
      <w:r>
        <w:rPr>
          <w:w w:val="115"/>
        </w:rPr>
        <w:t>análisis</w:t>
      </w:r>
      <w:r>
        <w:rPr>
          <w:spacing w:val="-19"/>
          <w:w w:val="115"/>
        </w:rPr>
        <w:t> </w:t>
      </w:r>
      <w:r>
        <w:rPr>
          <w:w w:val="115"/>
        </w:rPr>
        <w:t>de</w:t>
      </w:r>
      <w:r>
        <w:rPr>
          <w:spacing w:val="-19"/>
          <w:w w:val="115"/>
        </w:rPr>
        <w:t> </w:t>
      </w:r>
      <w:r>
        <w:rPr>
          <w:w w:val="115"/>
        </w:rPr>
        <w:t>sus</w:t>
      </w:r>
      <w:r>
        <w:rPr>
          <w:spacing w:val="-19"/>
          <w:w w:val="115"/>
        </w:rPr>
        <w:t> </w:t>
      </w:r>
      <w:r>
        <w:rPr>
          <w:w w:val="115"/>
        </w:rPr>
        <w:t>objetivos estratégicos</w:t>
      </w:r>
      <w:r>
        <w:rPr>
          <w:spacing w:val="-25"/>
          <w:w w:val="115"/>
        </w:rPr>
        <w:t> </w:t>
      </w:r>
      <w:r>
        <w:rPr>
          <w:w w:val="115"/>
        </w:rPr>
        <w:t>y</w:t>
      </w:r>
      <w:r>
        <w:rPr>
          <w:spacing w:val="-25"/>
          <w:w w:val="115"/>
        </w:rPr>
        <w:t> </w:t>
      </w:r>
      <w:r>
        <w:rPr>
          <w:w w:val="115"/>
        </w:rPr>
        <w:t>diversas</w:t>
      </w:r>
      <w:r>
        <w:rPr>
          <w:spacing w:val="-25"/>
          <w:w w:val="115"/>
        </w:rPr>
        <w:t> </w:t>
      </w:r>
      <w:r>
        <w:rPr>
          <w:w w:val="115"/>
        </w:rPr>
        <w:t>acciones</w:t>
      </w:r>
      <w:r>
        <w:rPr>
          <w:spacing w:val="-25"/>
          <w:w w:val="115"/>
        </w:rPr>
        <w:t> </w:t>
      </w:r>
      <w:r>
        <w:rPr>
          <w:w w:val="115"/>
        </w:rPr>
        <w:t>desplegadas</w:t>
      </w:r>
      <w:r>
        <w:rPr>
          <w:spacing w:val="-25"/>
          <w:w w:val="115"/>
        </w:rPr>
        <w:t> </w:t>
      </w:r>
      <w:r>
        <w:rPr>
          <w:w w:val="115"/>
        </w:rPr>
        <w:t>por</w:t>
      </w:r>
      <w:r>
        <w:rPr>
          <w:spacing w:val="-25"/>
          <w:w w:val="115"/>
        </w:rPr>
        <w:t> </w:t>
      </w:r>
      <w:r>
        <w:rPr>
          <w:w w:val="115"/>
        </w:rPr>
        <w:t>la</w:t>
      </w:r>
      <w:r>
        <w:rPr>
          <w:spacing w:val="-25"/>
          <w:w w:val="115"/>
        </w:rPr>
        <w:t> </w:t>
      </w:r>
      <w:r>
        <w:rPr>
          <w:w w:val="115"/>
        </w:rPr>
        <w:t>maquinaria</w:t>
      </w:r>
      <w:r>
        <w:rPr>
          <w:spacing w:val="-25"/>
          <w:w w:val="115"/>
        </w:rPr>
        <w:t> </w:t>
      </w:r>
      <w:r>
        <w:rPr>
          <w:w w:val="115"/>
        </w:rPr>
        <w:t>buro- </w:t>
      </w:r>
      <w:r>
        <w:rPr>
          <w:w w:val="110"/>
        </w:rPr>
        <w:t>crático-militar, económico-financiera e ideológica-cultural de ese país </w:t>
      </w:r>
      <w:r>
        <w:rPr>
          <w:w w:val="115"/>
        </w:rPr>
        <w:t>entre</w:t>
      </w:r>
      <w:r>
        <w:rPr>
          <w:spacing w:val="-24"/>
          <w:w w:val="115"/>
        </w:rPr>
        <w:t> </w:t>
      </w:r>
      <w:r>
        <w:rPr>
          <w:w w:val="115"/>
        </w:rPr>
        <w:t>el</w:t>
      </w:r>
      <w:r>
        <w:rPr>
          <w:spacing w:val="-24"/>
          <w:w w:val="115"/>
        </w:rPr>
        <w:t> </w:t>
      </w:r>
      <w:r>
        <w:rPr>
          <w:w w:val="115"/>
        </w:rPr>
        <w:t>20</w:t>
      </w:r>
      <w:r>
        <w:rPr>
          <w:spacing w:val="-24"/>
          <w:w w:val="115"/>
        </w:rPr>
        <w:t> </w:t>
      </w:r>
      <w:r>
        <w:rPr>
          <w:w w:val="115"/>
        </w:rPr>
        <w:t>de</w:t>
      </w:r>
      <w:r>
        <w:rPr>
          <w:spacing w:val="-24"/>
          <w:w w:val="115"/>
        </w:rPr>
        <w:t> </w:t>
      </w:r>
      <w:r>
        <w:rPr>
          <w:w w:val="115"/>
        </w:rPr>
        <w:t>enero</w:t>
      </w:r>
      <w:r>
        <w:rPr>
          <w:spacing w:val="-24"/>
          <w:w w:val="115"/>
        </w:rPr>
        <w:t> </w:t>
      </w:r>
      <w:r>
        <w:rPr>
          <w:w w:val="115"/>
        </w:rPr>
        <w:t>de</w:t>
      </w:r>
      <w:r>
        <w:rPr>
          <w:spacing w:val="-24"/>
          <w:w w:val="115"/>
        </w:rPr>
        <w:t> </w:t>
      </w:r>
      <w:r>
        <w:rPr>
          <w:w w:val="115"/>
        </w:rPr>
        <w:t>2009</w:t>
      </w:r>
      <w:r>
        <w:rPr>
          <w:spacing w:val="-24"/>
          <w:w w:val="115"/>
        </w:rPr>
        <w:t> </w:t>
      </w:r>
      <w:r>
        <w:rPr>
          <w:w w:val="115"/>
        </w:rPr>
        <w:t>y</w:t>
      </w:r>
      <w:r>
        <w:rPr>
          <w:spacing w:val="-24"/>
          <w:w w:val="115"/>
        </w:rPr>
        <w:t> </w:t>
      </w:r>
      <w:r>
        <w:rPr>
          <w:w w:val="115"/>
        </w:rPr>
        <w:t>de</w:t>
      </w:r>
      <w:r>
        <w:rPr>
          <w:spacing w:val="-24"/>
          <w:w w:val="115"/>
        </w:rPr>
        <w:t> </w:t>
      </w:r>
      <w:r>
        <w:rPr>
          <w:w w:val="115"/>
        </w:rPr>
        <w:t>2013.</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7" w:firstLine="396"/>
        <w:jc w:val="both"/>
      </w:pPr>
      <w:r>
        <w:rPr>
          <w:w w:val="110"/>
        </w:rPr>
        <w:t>Por</w:t>
      </w:r>
      <w:r>
        <w:rPr>
          <w:spacing w:val="15"/>
        </w:rPr>
        <w:t> </w:t>
      </w:r>
      <w:r>
        <w:rPr>
          <w:w w:val="108"/>
        </w:rPr>
        <w:t>otro</w:t>
      </w:r>
      <w:r>
        <w:rPr>
          <w:spacing w:val="15"/>
        </w:rPr>
        <w:t> </w:t>
      </w:r>
      <w:r>
        <w:rPr>
          <w:w w:val="113"/>
        </w:rPr>
        <w:t>lado,</w:t>
      </w:r>
      <w:r>
        <w:rPr>
          <w:spacing w:val="15"/>
        </w:rPr>
        <w:t> </w:t>
      </w:r>
      <w:r>
        <w:rPr>
          <w:w w:val="243"/>
        </w:rPr>
        <w:t>l</w:t>
      </w:r>
      <w:r>
        <w:rPr>
          <w:w w:val="109"/>
        </w:rPr>
        <w:t>eandro</w:t>
      </w:r>
      <w:r>
        <w:rPr>
          <w:spacing w:val="15"/>
        </w:rPr>
        <w:t> </w:t>
      </w:r>
      <w:r>
        <w:rPr>
          <w:w w:val="112"/>
        </w:rPr>
        <w:t>Morgenfeld,</w:t>
      </w:r>
      <w:r>
        <w:rPr>
          <w:spacing w:val="15"/>
        </w:rPr>
        <w:t> </w:t>
      </w:r>
      <w:r>
        <w:rPr>
          <w:w w:val="109"/>
        </w:rPr>
        <w:t>docente</w:t>
      </w:r>
      <w:r>
        <w:rPr>
          <w:spacing w:val="15"/>
        </w:rPr>
        <w:t> </w:t>
      </w:r>
      <w:r>
        <w:rPr>
          <w:w w:val="108"/>
        </w:rPr>
        <w:t>en</w:t>
      </w:r>
      <w:r>
        <w:rPr>
          <w:spacing w:val="15"/>
        </w:rPr>
        <w:t> </w:t>
      </w:r>
      <w:r>
        <w:rPr>
          <w:w w:val="109"/>
        </w:rPr>
        <w:t>las</w:t>
      </w:r>
      <w:r>
        <w:rPr>
          <w:spacing w:val="15"/>
        </w:rPr>
        <w:t> </w:t>
      </w:r>
      <w:r>
        <w:rPr>
          <w:w w:val="111"/>
        </w:rPr>
        <w:t>Facultades</w:t>
      </w:r>
      <w:r>
        <w:rPr>
          <w:spacing w:val="15"/>
        </w:rPr>
        <w:t> </w:t>
      </w:r>
      <w:r>
        <w:rPr>
          <w:w w:val="107"/>
        </w:rPr>
        <w:t>de </w:t>
      </w:r>
      <w:r>
        <w:rPr>
          <w:w w:val="115"/>
        </w:rPr>
        <w:t>Ciencias</w:t>
      </w:r>
      <w:r>
        <w:rPr>
          <w:spacing w:val="-13"/>
          <w:w w:val="115"/>
        </w:rPr>
        <w:t> </w:t>
      </w:r>
      <w:r>
        <w:rPr>
          <w:w w:val="115"/>
        </w:rPr>
        <w:t>sociales</w:t>
      </w:r>
      <w:r>
        <w:rPr>
          <w:spacing w:val="-13"/>
          <w:w w:val="115"/>
        </w:rPr>
        <w:t> </w:t>
      </w:r>
      <w:r>
        <w:rPr>
          <w:w w:val="115"/>
        </w:rPr>
        <w:t>y</w:t>
      </w:r>
      <w:r>
        <w:rPr>
          <w:spacing w:val="-13"/>
          <w:w w:val="115"/>
        </w:rPr>
        <w:t> </w:t>
      </w:r>
      <w:r>
        <w:rPr>
          <w:w w:val="115"/>
        </w:rPr>
        <w:t>Ciencias</w:t>
      </w:r>
      <w:r>
        <w:rPr>
          <w:spacing w:val="-13"/>
          <w:w w:val="115"/>
        </w:rPr>
        <w:t> </w:t>
      </w:r>
      <w:r>
        <w:rPr>
          <w:w w:val="115"/>
        </w:rPr>
        <w:t>Económicas</w:t>
      </w:r>
      <w:r>
        <w:rPr>
          <w:spacing w:val="-13"/>
          <w:w w:val="115"/>
        </w:rPr>
        <w:t> </w:t>
      </w:r>
      <w:r>
        <w:rPr>
          <w:w w:val="115"/>
        </w:rPr>
        <w:t>de</w:t>
      </w:r>
      <w:r>
        <w:rPr>
          <w:spacing w:val="-13"/>
          <w:w w:val="115"/>
        </w:rPr>
        <w:t> </w:t>
      </w:r>
      <w:r>
        <w:rPr>
          <w:w w:val="115"/>
        </w:rPr>
        <w:t>la</w:t>
      </w:r>
      <w:r>
        <w:rPr>
          <w:spacing w:val="-13"/>
          <w:w w:val="115"/>
        </w:rPr>
        <w:t> </w:t>
      </w:r>
      <w:r>
        <w:rPr>
          <w:w w:val="115"/>
        </w:rPr>
        <w:t>universidad</w:t>
      </w:r>
      <w:r>
        <w:rPr>
          <w:spacing w:val="-13"/>
          <w:w w:val="115"/>
        </w:rPr>
        <w:t> </w:t>
      </w:r>
      <w:r>
        <w:rPr>
          <w:w w:val="115"/>
        </w:rPr>
        <w:t>de</w:t>
      </w:r>
      <w:r>
        <w:rPr>
          <w:spacing w:val="-13"/>
          <w:w w:val="115"/>
        </w:rPr>
        <w:t> </w:t>
      </w:r>
      <w:r>
        <w:rPr>
          <w:w w:val="115"/>
        </w:rPr>
        <w:t>buenos aires</w:t>
      </w:r>
      <w:r>
        <w:rPr>
          <w:spacing w:val="-5"/>
          <w:w w:val="115"/>
        </w:rPr>
        <w:t> </w:t>
      </w:r>
      <w:r>
        <w:rPr>
          <w:w w:val="115"/>
        </w:rPr>
        <w:t>e</w:t>
      </w:r>
      <w:r>
        <w:rPr>
          <w:spacing w:val="-5"/>
          <w:w w:val="115"/>
        </w:rPr>
        <w:t> </w:t>
      </w:r>
      <w:r>
        <w:rPr>
          <w:w w:val="115"/>
        </w:rPr>
        <w:t>investigador</w:t>
      </w:r>
      <w:r>
        <w:rPr>
          <w:spacing w:val="-5"/>
          <w:w w:val="115"/>
        </w:rPr>
        <w:t> </w:t>
      </w:r>
      <w:r>
        <w:rPr>
          <w:w w:val="115"/>
        </w:rPr>
        <w:t>del</w:t>
      </w:r>
      <w:r>
        <w:rPr>
          <w:spacing w:val="-5"/>
          <w:w w:val="115"/>
        </w:rPr>
        <w:t> </w:t>
      </w:r>
      <w:r>
        <w:rPr>
          <w:spacing w:val="-3"/>
          <w:w w:val="115"/>
        </w:rPr>
        <w:t>CoNiCEt,</w:t>
      </w:r>
      <w:r>
        <w:rPr>
          <w:spacing w:val="-5"/>
          <w:w w:val="115"/>
        </w:rPr>
        <w:t> </w:t>
      </w:r>
      <w:r>
        <w:rPr>
          <w:w w:val="115"/>
        </w:rPr>
        <w:t>presenta</w:t>
      </w:r>
      <w:r>
        <w:rPr>
          <w:spacing w:val="-5"/>
          <w:w w:val="115"/>
        </w:rPr>
        <w:t> </w:t>
      </w:r>
      <w:r>
        <w:rPr>
          <w:w w:val="115"/>
        </w:rPr>
        <w:t>un</w:t>
      </w:r>
      <w:r>
        <w:rPr>
          <w:spacing w:val="-5"/>
          <w:w w:val="115"/>
        </w:rPr>
        <w:t> </w:t>
      </w:r>
      <w:r>
        <w:rPr>
          <w:w w:val="115"/>
        </w:rPr>
        <w:t>trabajo</w:t>
      </w:r>
      <w:r>
        <w:rPr>
          <w:spacing w:val="-5"/>
          <w:w w:val="115"/>
        </w:rPr>
        <w:t> </w:t>
      </w:r>
      <w:r>
        <w:rPr>
          <w:w w:val="115"/>
        </w:rPr>
        <w:t>titulado</w:t>
      </w:r>
      <w:r>
        <w:rPr>
          <w:spacing w:val="-5"/>
          <w:w w:val="115"/>
        </w:rPr>
        <w:t> </w:t>
      </w:r>
      <w:r>
        <w:rPr>
          <w:w w:val="115"/>
        </w:rPr>
        <w:t>“Esta- dos</w:t>
      </w:r>
      <w:r>
        <w:rPr>
          <w:spacing w:val="-17"/>
          <w:w w:val="115"/>
        </w:rPr>
        <w:t> </w:t>
      </w:r>
      <w:r>
        <w:rPr>
          <w:w w:val="115"/>
        </w:rPr>
        <w:t>unidos</w:t>
      </w:r>
      <w:r>
        <w:rPr>
          <w:spacing w:val="-17"/>
          <w:w w:val="115"/>
        </w:rPr>
        <w:t> </w:t>
      </w:r>
      <w:r>
        <w:rPr>
          <w:w w:val="115"/>
        </w:rPr>
        <w:t>y</w:t>
      </w:r>
      <w:r>
        <w:rPr>
          <w:spacing w:val="-17"/>
          <w:w w:val="115"/>
        </w:rPr>
        <w:t> </w:t>
      </w:r>
      <w:r>
        <w:rPr>
          <w:w w:val="115"/>
        </w:rPr>
        <w:t>sus</w:t>
      </w:r>
      <w:r>
        <w:rPr>
          <w:spacing w:val="-17"/>
          <w:w w:val="115"/>
        </w:rPr>
        <w:t> </w:t>
      </w:r>
      <w:r>
        <w:rPr>
          <w:w w:val="115"/>
        </w:rPr>
        <w:t>vecinos</w:t>
      </w:r>
      <w:r>
        <w:rPr>
          <w:spacing w:val="-17"/>
          <w:w w:val="115"/>
        </w:rPr>
        <w:t> </w:t>
      </w:r>
      <w:r>
        <w:rPr>
          <w:w w:val="115"/>
        </w:rPr>
        <w:t>del</w:t>
      </w:r>
      <w:r>
        <w:rPr>
          <w:spacing w:val="-17"/>
          <w:w w:val="115"/>
        </w:rPr>
        <w:t> </w:t>
      </w:r>
      <w:r>
        <w:rPr>
          <w:w w:val="115"/>
        </w:rPr>
        <w:t>sur</w:t>
      </w:r>
      <w:r>
        <w:rPr>
          <w:spacing w:val="-17"/>
          <w:w w:val="115"/>
        </w:rPr>
        <w:t> </w:t>
      </w:r>
      <w:r>
        <w:rPr>
          <w:w w:val="115"/>
        </w:rPr>
        <w:t>en</w:t>
      </w:r>
      <w:r>
        <w:rPr>
          <w:spacing w:val="-17"/>
          <w:w w:val="115"/>
        </w:rPr>
        <w:t> </w:t>
      </w:r>
      <w:r>
        <w:rPr>
          <w:w w:val="115"/>
        </w:rPr>
        <w:t>las</w:t>
      </w:r>
      <w:r>
        <w:rPr>
          <w:spacing w:val="-17"/>
          <w:w w:val="115"/>
        </w:rPr>
        <w:t> </w:t>
      </w:r>
      <w:r>
        <w:rPr>
          <w:w w:val="115"/>
        </w:rPr>
        <w:t>Cumbres</w:t>
      </w:r>
      <w:r>
        <w:rPr>
          <w:spacing w:val="-17"/>
          <w:w w:val="115"/>
        </w:rPr>
        <w:t> </w:t>
      </w:r>
      <w:r>
        <w:rPr>
          <w:w w:val="115"/>
        </w:rPr>
        <w:t>de</w:t>
      </w:r>
      <w:r>
        <w:rPr>
          <w:spacing w:val="-17"/>
          <w:w w:val="115"/>
        </w:rPr>
        <w:t> </w:t>
      </w:r>
      <w:r>
        <w:rPr>
          <w:w w:val="115"/>
        </w:rPr>
        <w:t>las</w:t>
      </w:r>
      <w:r>
        <w:rPr>
          <w:spacing w:val="-17"/>
          <w:w w:val="115"/>
        </w:rPr>
        <w:t> </w:t>
      </w:r>
      <w:r>
        <w:rPr>
          <w:w w:val="115"/>
        </w:rPr>
        <w:t>américas:</w:t>
      </w:r>
      <w:r>
        <w:rPr>
          <w:spacing w:val="-17"/>
          <w:w w:val="115"/>
        </w:rPr>
        <w:t> </w:t>
      </w:r>
      <w:r>
        <w:rPr>
          <w:w w:val="115"/>
        </w:rPr>
        <w:t>de</w:t>
      </w:r>
      <w:r>
        <w:rPr>
          <w:spacing w:val="-17"/>
          <w:w w:val="115"/>
        </w:rPr>
        <w:t> </w:t>
      </w:r>
      <w:r>
        <w:rPr>
          <w:w w:val="115"/>
        </w:rPr>
        <w:t>la subordinación</w:t>
      </w:r>
      <w:r>
        <w:rPr>
          <w:spacing w:val="-18"/>
          <w:w w:val="115"/>
        </w:rPr>
        <w:t> </w:t>
      </w:r>
      <w:r>
        <w:rPr>
          <w:w w:val="115"/>
        </w:rPr>
        <w:t>al</w:t>
      </w:r>
      <w:r>
        <w:rPr>
          <w:spacing w:val="-18"/>
          <w:w w:val="115"/>
        </w:rPr>
        <w:t> </w:t>
      </w:r>
      <w:r>
        <w:rPr>
          <w:w w:val="115"/>
        </w:rPr>
        <w:t>desafío”,</w:t>
      </w:r>
      <w:r>
        <w:rPr>
          <w:spacing w:val="-18"/>
          <w:w w:val="115"/>
        </w:rPr>
        <w:t> </w:t>
      </w:r>
      <w:r>
        <w:rPr>
          <w:w w:val="115"/>
        </w:rPr>
        <w:t>en</w:t>
      </w:r>
      <w:r>
        <w:rPr>
          <w:spacing w:val="-18"/>
          <w:w w:val="115"/>
        </w:rPr>
        <w:t> </w:t>
      </w:r>
      <w:r>
        <w:rPr>
          <w:w w:val="115"/>
        </w:rPr>
        <w:t>el</w:t>
      </w:r>
      <w:r>
        <w:rPr>
          <w:spacing w:val="-18"/>
          <w:w w:val="115"/>
        </w:rPr>
        <w:t> </w:t>
      </w:r>
      <w:r>
        <w:rPr>
          <w:w w:val="115"/>
        </w:rPr>
        <w:t>cual</w:t>
      </w:r>
      <w:r>
        <w:rPr>
          <w:spacing w:val="-18"/>
          <w:w w:val="115"/>
        </w:rPr>
        <w:t> </w:t>
      </w:r>
      <w:r>
        <w:rPr>
          <w:w w:val="115"/>
        </w:rPr>
        <w:t>se</w:t>
      </w:r>
      <w:r>
        <w:rPr>
          <w:spacing w:val="-18"/>
          <w:w w:val="115"/>
        </w:rPr>
        <w:t> </w:t>
      </w:r>
      <w:r>
        <w:rPr>
          <w:w w:val="115"/>
        </w:rPr>
        <w:t>revisa</w:t>
      </w:r>
      <w:r>
        <w:rPr>
          <w:spacing w:val="-18"/>
          <w:w w:val="115"/>
        </w:rPr>
        <w:t> </w:t>
      </w:r>
      <w:r>
        <w:rPr>
          <w:w w:val="115"/>
        </w:rPr>
        <w:t>el</w:t>
      </w:r>
      <w:r>
        <w:rPr>
          <w:spacing w:val="-18"/>
          <w:w w:val="115"/>
        </w:rPr>
        <w:t> </w:t>
      </w:r>
      <w:r>
        <w:rPr>
          <w:w w:val="115"/>
        </w:rPr>
        <w:t>papel</w:t>
      </w:r>
      <w:r>
        <w:rPr>
          <w:spacing w:val="-18"/>
          <w:w w:val="115"/>
        </w:rPr>
        <w:t> </w:t>
      </w:r>
      <w:r>
        <w:rPr>
          <w:w w:val="115"/>
        </w:rPr>
        <w:t>de</w:t>
      </w:r>
      <w:r>
        <w:rPr>
          <w:spacing w:val="-18"/>
          <w:w w:val="115"/>
        </w:rPr>
        <w:t> </w:t>
      </w:r>
      <w:r>
        <w:rPr>
          <w:w w:val="115"/>
        </w:rPr>
        <w:t>las</w:t>
      </w:r>
      <w:r>
        <w:rPr>
          <w:spacing w:val="-18"/>
          <w:w w:val="115"/>
        </w:rPr>
        <w:t> </w:t>
      </w:r>
      <w:r>
        <w:rPr>
          <w:w w:val="115"/>
        </w:rPr>
        <w:t>Cumbres de</w:t>
      </w:r>
      <w:r>
        <w:rPr>
          <w:spacing w:val="-13"/>
          <w:w w:val="115"/>
        </w:rPr>
        <w:t> </w:t>
      </w:r>
      <w:r>
        <w:rPr>
          <w:w w:val="115"/>
        </w:rPr>
        <w:t>las</w:t>
      </w:r>
      <w:r>
        <w:rPr>
          <w:spacing w:val="-13"/>
          <w:w w:val="115"/>
        </w:rPr>
        <w:t> </w:t>
      </w:r>
      <w:r>
        <w:rPr>
          <w:w w:val="115"/>
        </w:rPr>
        <w:t>américas</w:t>
      </w:r>
      <w:r>
        <w:rPr>
          <w:spacing w:val="-13"/>
          <w:w w:val="115"/>
        </w:rPr>
        <w:t> </w:t>
      </w:r>
      <w:r>
        <w:rPr>
          <w:w w:val="115"/>
        </w:rPr>
        <w:t>como</w:t>
      </w:r>
      <w:r>
        <w:rPr>
          <w:spacing w:val="-13"/>
          <w:w w:val="115"/>
        </w:rPr>
        <w:t> </w:t>
      </w:r>
      <w:r>
        <w:rPr>
          <w:w w:val="115"/>
        </w:rPr>
        <w:t>un</w:t>
      </w:r>
      <w:r>
        <w:rPr>
          <w:spacing w:val="-13"/>
          <w:w w:val="115"/>
        </w:rPr>
        <w:t> </w:t>
      </w:r>
      <w:r>
        <w:rPr>
          <w:w w:val="115"/>
        </w:rPr>
        <w:t>indicador</w:t>
      </w:r>
      <w:r>
        <w:rPr>
          <w:spacing w:val="-13"/>
          <w:w w:val="115"/>
        </w:rPr>
        <w:t> </w:t>
      </w:r>
      <w:r>
        <w:rPr>
          <w:w w:val="115"/>
        </w:rPr>
        <w:t>para</w:t>
      </w:r>
      <w:r>
        <w:rPr>
          <w:spacing w:val="-13"/>
          <w:w w:val="115"/>
        </w:rPr>
        <w:t> </w:t>
      </w:r>
      <w:r>
        <w:rPr>
          <w:w w:val="115"/>
        </w:rPr>
        <w:t>analizar</w:t>
      </w:r>
      <w:r>
        <w:rPr>
          <w:spacing w:val="-13"/>
          <w:w w:val="115"/>
        </w:rPr>
        <w:t> </w:t>
      </w:r>
      <w:r>
        <w:rPr>
          <w:w w:val="115"/>
        </w:rPr>
        <w:t>las</w:t>
      </w:r>
      <w:r>
        <w:rPr>
          <w:spacing w:val="-13"/>
          <w:w w:val="115"/>
        </w:rPr>
        <w:t> </w:t>
      </w:r>
      <w:r>
        <w:rPr>
          <w:w w:val="115"/>
        </w:rPr>
        <w:t>relaciones</w:t>
      </w:r>
      <w:r>
        <w:rPr>
          <w:spacing w:val="-13"/>
          <w:w w:val="115"/>
        </w:rPr>
        <w:t> </w:t>
      </w:r>
      <w:r>
        <w:rPr>
          <w:w w:val="115"/>
        </w:rPr>
        <w:t>entre </w:t>
      </w:r>
      <w:r>
        <w:rPr>
          <w:w w:val="120"/>
        </w:rPr>
        <w:t>Washington</w:t>
      </w:r>
      <w:r>
        <w:rPr>
          <w:spacing w:val="-9"/>
          <w:w w:val="120"/>
        </w:rPr>
        <w:t> </w:t>
      </w:r>
      <w:r>
        <w:rPr>
          <w:w w:val="120"/>
        </w:rPr>
        <w:t>y</w:t>
      </w:r>
      <w:r>
        <w:rPr>
          <w:spacing w:val="-9"/>
          <w:w w:val="120"/>
        </w:rPr>
        <w:t> </w:t>
      </w:r>
      <w:r>
        <w:rPr>
          <w:w w:val="120"/>
        </w:rPr>
        <w:t>sus</w:t>
      </w:r>
      <w:r>
        <w:rPr>
          <w:spacing w:val="-9"/>
          <w:w w:val="120"/>
        </w:rPr>
        <w:t> </w:t>
      </w:r>
      <w:r>
        <w:rPr>
          <w:w w:val="120"/>
        </w:rPr>
        <w:t>vecinos</w:t>
      </w:r>
      <w:r>
        <w:rPr>
          <w:spacing w:val="-9"/>
          <w:w w:val="120"/>
        </w:rPr>
        <w:t> </w:t>
      </w:r>
      <w:r>
        <w:rPr>
          <w:w w:val="120"/>
        </w:rPr>
        <w:t>del</w:t>
      </w:r>
      <w:r>
        <w:rPr>
          <w:spacing w:val="-9"/>
          <w:w w:val="120"/>
        </w:rPr>
        <w:t> </w:t>
      </w:r>
      <w:r>
        <w:rPr>
          <w:spacing w:val="-6"/>
          <w:w w:val="120"/>
        </w:rPr>
        <w:t>sur,</w:t>
      </w:r>
      <w:r>
        <w:rPr>
          <w:spacing w:val="-9"/>
          <w:w w:val="120"/>
        </w:rPr>
        <w:t> </w:t>
      </w:r>
      <w:r>
        <w:rPr>
          <w:w w:val="120"/>
        </w:rPr>
        <w:t>pues</w:t>
      </w:r>
      <w:r>
        <w:rPr>
          <w:spacing w:val="-9"/>
          <w:w w:val="120"/>
        </w:rPr>
        <w:t> </w:t>
      </w:r>
      <w:r>
        <w:rPr>
          <w:w w:val="120"/>
        </w:rPr>
        <w:t>se</w:t>
      </w:r>
      <w:r>
        <w:rPr>
          <w:spacing w:val="-9"/>
          <w:w w:val="120"/>
        </w:rPr>
        <w:t> </w:t>
      </w:r>
      <w:r>
        <w:rPr>
          <w:w w:val="120"/>
        </w:rPr>
        <w:t>ha</w:t>
      </w:r>
      <w:r>
        <w:rPr>
          <w:spacing w:val="-9"/>
          <w:w w:val="120"/>
        </w:rPr>
        <w:t> </w:t>
      </w:r>
      <w:r>
        <w:rPr>
          <w:w w:val="120"/>
        </w:rPr>
        <w:t>posicionado</w:t>
      </w:r>
      <w:r>
        <w:rPr>
          <w:spacing w:val="-9"/>
          <w:w w:val="120"/>
        </w:rPr>
        <w:t> </w:t>
      </w:r>
      <w:r>
        <w:rPr>
          <w:w w:val="120"/>
        </w:rPr>
        <w:t>como</w:t>
      </w:r>
      <w:r>
        <w:rPr>
          <w:spacing w:val="-9"/>
          <w:w w:val="120"/>
        </w:rPr>
        <w:t> </w:t>
      </w:r>
      <w:r>
        <w:rPr>
          <w:w w:val="120"/>
        </w:rPr>
        <w:t>la </w:t>
      </w:r>
      <w:r>
        <w:rPr>
          <w:w w:val="115"/>
        </w:rPr>
        <w:t>máxima</w:t>
      </w:r>
      <w:r>
        <w:rPr>
          <w:spacing w:val="-30"/>
          <w:w w:val="115"/>
        </w:rPr>
        <w:t> </w:t>
      </w:r>
      <w:r>
        <w:rPr>
          <w:w w:val="115"/>
        </w:rPr>
        <w:t>instancia</w:t>
      </w:r>
      <w:r>
        <w:rPr>
          <w:spacing w:val="-30"/>
          <w:w w:val="115"/>
        </w:rPr>
        <w:t> </w:t>
      </w:r>
      <w:r>
        <w:rPr>
          <w:w w:val="115"/>
        </w:rPr>
        <w:t>de</w:t>
      </w:r>
      <w:r>
        <w:rPr>
          <w:spacing w:val="-30"/>
          <w:w w:val="115"/>
        </w:rPr>
        <w:t> </w:t>
      </w:r>
      <w:r>
        <w:rPr>
          <w:w w:val="115"/>
        </w:rPr>
        <w:t>articulación</w:t>
      </w:r>
      <w:r>
        <w:rPr>
          <w:spacing w:val="-30"/>
          <w:w w:val="115"/>
        </w:rPr>
        <w:t> </w:t>
      </w:r>
      <w:r>
        <w:rPr>
          <w:w w:val="115"/>
        </w:rPr>
        <w:t>interamericana</w:t>
      </w:r>
      <w:r>
        <w:rPr>
          <w:spacing w:val="-30"/>
          <w:w w:val="115"/>
        </w:rPr>
        <w:t> </w:t>
      </w:r>
      <w:r>
        <w:rPr>
          <w:w w:val="115"/>
        </w:rPr>
        <w:t>a</w:t>
      </w:r>
      <w:r>
        <w:rPr>
          <w:spacing w:val="-30"/>
          <w:w w:val="115"/>
        </w:rPr>
        <w:t> </w:t>
      </w:r>
      <w:r>
        <w:rPr>
          <w:w w:val="115"/>
        </w:rPr>
        <w:t>nivel</w:t>
      </w:r>
      <w:r>
        <w:rPr>
          <w:spacing w:val="-30"/>
          <w:w w:val="115"/>
        </w:rPr>
        <w:t> </w:t>
      </w:r>
      <w:r>
        <w:rPr>
          <w:w w:val="115"/>
        </w:rPr>
        <w:t>presidencial. Particularmente, el trabajo de Morgenfeld analiza las seis cumbres realizadas</w:t>
      </w:r>
      <w:r>
        <w:rPr>
          <w:spacing w:val="-26"/>
          <w:w w:val="115"/>
        </w:rPr>
        <w:t> </w:t>
      </w:r>
      <w:r>
        <w:rPr>
          <w:w w:val="115"/>
        </w:rPr>
        <w:t>en</w:t>
      </w:r>
      <w:r>
        <w:rPr>
          <w:spacing w:val="-26"/>
          <w:w w:val="115"/>
        </w:rPr>
        <w:t> </w:t>
      </w:r>
      <w:r>
        <w:rPr>
          <w:w w:val="115"/>
        </w:rPr>
        <w:t>las</w:t>
      </w:r>
      <w:r>
        <w:rPr>
          <w:spacing w:val="-26"/>
          <w:w w:val="115"/>
        </w:rPr>
        <w:t> </w:t>
      </w:r>
      <w:r>
        <w:rPr>
          <w:w w:val="115"/>
        </w:rPr>
        <w:t>últimas</w:t>
      </w:r>
      <w:r>
        <w:rPr>
          <w:spacing w:val="-26"/>
          <w:w w:val="115"/>
        </w:rPr>
        <w:t> </w:t>
      </w:r>
      <w:r>
        <w:rPr>
          <w:w w:val="115"/>
        </w:rPr>
        <w:t>dos</w:t>
      </w:r>
      <w:r>
        <w:rPr>
          <w:spacing w:val="-26"/>
          <w:w w:val="115"/>
        </w:rPr>
        <w:t> </w:t>
      </w:r>
      <w:r>
        <w:rPr>
          <w:w w:val="115"/>
        </w:rPr>
        <w:t>décadas:</w:t>
      </w:r>
      <w:r>
        <w:rPr>
          <w:spacing w:val="-26"/>
          <w:w w:val="115"/>
        </w:rPr>
        <w:t> </w:t>
      </w:r>
      <w:r>
        <w:rPr>
          <w:w w:val="115"/>
        </w:rPr>
        <w:t>la</w:t>
      </w:r>
      <w:r>
        <w:rPr>
          <w:spacing w:val="-26"/>
          <w:w w:val="115"/>
        </w:rPr>
        <w:t> </w:t>
      </w:r>
      <w:r>
        <w:rPr>
          <w:w w:val="115"/>
        </w:rPr>
        <w:t>de</w:t>
      </w:r>
      <w:r>
        <w:rPr>
          <w:spacing w:val="-26"/>
          <w:w w:val="115"/>
        </w:rPr>
        <w:t> </w:t>
      </w:r>
      <w:r>
        <w:rPr>
          <w:w w:val="115"/>
        </w:rPr>
        <w:t>Miami</w:t>
      </w:r>
      <w:r>
        <w:rPr>
          <w:spacing w:val="-26"/>
          <w:w w:val="115"/>
        </w:rPr>
        <w:t> </w:t>
      </w:r>
      <w:r>
        <w:rPr>
          <w:w w:val="115"/>
        </w:rPr>
        <w:t>(1994),</w:t>
      </w:r>
      <w:r>
        <w:rPr>
          <w:spacing w:val="-26"/>
          <w:w w:val="115"/>
        </w:rPr>
        <w:t> </w:t>
      </w:r>
      <w:r>
        <w:rPr>
          <w:w w:val="115"/>
        </w:rPr>
        <w:t>primera</w:t>
      </w:r>
      <w:r>
        <w:rPr>
          <w:spacing w:val="-26"/>
          <w:w w:val="115"/>
        </w:rPr>
        <w:t> </w:t>
      </w:r>
      <w:r>
        <w:rPr>
          <w:w w:val="115"/>
        </w:rPr>
        <w:t>re- unión</w:t>
      </w:r>
      <w:r>
        <w:rPr>
          <w:spacing w:val="-19"/>
          <w:w w:val="115"/>
        </w:rPr>
        <w:t> </w:t>
      </w:r>
      <w:r>
        <w:rPr>
          <w:w w:val="115"/>
        </w:rPr>
        <w:t>de</w:t>
      </w:r>
      <w:r>
        <w:rPr>
          <w:spacing w:val="-19"/>
          <w:w w:val="115"/>
        </w:rPr>
        <w:t> </w:t>
      </w:r>
      <w:r>
        <w:rPr>
          <w:w w:val="115"/>
        </w:rPr>
        <w:t>mandatarios</w:t>
      </w:r>
      <w:r>
        <w:rPr>
          <w:spacing w:val="-19"/>
          <w:w w:val="115"/>
        </w:rPr>
        <w:t> </w:t>
      </w:r>
      <w:r>
        <w:rPr>
          <w:w w:val="115"/>
        </w:rPr>
        <w:t>americanos</w:t>
      </w:r>
      <w:r>
        <w:rPr>
          <w:spacing w:val="-19"/>
          <w:w w:val="115"/>
        </w:rPr>
        <w:t> </w:t>
      </w:r>
      <w:r>
        <w:rPr>
          <w:w w:val="115"/>
        </w:rPr>
        <w:t>en</w:t>
      </w:r>
      <w:r>
        <w:rPr>
          <w:spacing w:val="-19"/>
          <w:w w:val="115"/>
        </w:rPr>
        <w:t> </w:t>
      </w:r>
      <w:r>
        <w:rPr>
          <w:w w:val="115"/>
        </w:rPr>
        <w:t>la</w:t>
      </w:r>
      <w:r>
        <w:rPr>
          <w:spacing w:val="-19"/>
          <w:w w:val="115"/>
        </w:rPr>
        <w:t> </w:t>
      </w:r>
      <w:r>
        <w:rPr>
          <w:w w:val="115"/>
        </w:rPr>
        <w:t>posguerra</w:t>
      </w:r>
      <w:r>
        <w:rPr>
          <w:spacing w:val="-19"/>
          <w:w w:val="115"/>
        </w:rPr>
        <w:t> </w:t>
      </w:r>
      <w:r>
        <w:rPr>
          <w:w w:val="115"/>
        </w:rPr>
        <w:t>fría;</w:t>
      </w:r>
      <w:r>
        <w:rPr>
          <w:spacing w:val="-19"/>
          <w:w w:val="115"/>
        </w:rPr>
        <w:t> </w:t>
      </w:r>
      <w:r>
        <w:rPr>
          <w:w w:val="115"/>
        </w:rPr>
        <w:t>la</w:t>
      </w:r>
      <w:r>
        <w:rPr>
          <w:spacing w:val="-19"/>
          <w:w w:val="115"/>
        </w:rPr>
        <w:t> </w:t>
      </w:r>
      <w:r>
        <w:rPr>
          <w:w w:val="115"/>
        </w:rPr>
        <w:t>de</w:t>
      </w:r>
      <w:r>
        <w:rPr>
          <w:spacing w:val="-19"/>
          <w:w w:val="115"/>
        </w:rPr>
        <w:t> </w:t>
      </w:r>
      <w:r>
        <w:rPr>
          <w:w w:val="115"/>
        </w:rPr>
        <w:t>santiago </w:t>
      </w:r>
      <w:r>
        <w:rPr>
          <w:w w:val="120"/>
        </w:rPr>
        <w:t>de</w:t>
      </w:r>
      <w:r>
        <w:rPr>
          <w:spacing w:val="-24"/>
          <w:w w:val="120"/>
        </w:rPr>
        <w:t> </w:t>
      </w:r>
      <w:r>
        <w:rPr>
          <w:w w:val="120"/>
        </w:rPr>
        <w:t>Chile</w:t>
      </w:r>
      <w:r>
        <w:rPr>
          <w:spacing w:val="-24"/>
          <w:w w:val="120"/>
        </w:rPr>
        <w:t> </w:t>
      </w:r>
      <w:r>
        <w:rPr>
          <w:w w:val="120"/>
        </w:rPr>
        <w:t>(1998),</w:t>
      </w:r>
      <w:r>
        <w:rPr>
          <w:spacing w:val="-24"/>
          <w:w w:val="120"/>
        </w:rPr>
        <w:t> </w:t>
      </w:r>
      <w:r>
        <w:rPr>
          <w:w w:val="120"/>
        </w:rPr>
        <w:t>última</w:t>
      </w:r>
      <w:r>
        <w:rPr>
          <w:spacing w:val="-24"/>
          <w:w w:val="120"/>
        </w:rPr>
        <w:t> </w:t>
      </w:r>
      <w:r>
        <w:rPr>
          <w:w w:val="120"/>
        </w:rPr>
        <w:t>bajo</w:t>
      </w:r>
      <w:r>
        <w:rPr>
          <w:spacing w:val="-24"/>
          <w:w w:val="120"/>
        </w:rPr>
        <w:t> </w:t>
      </w:r>
      <w:r>
        <w:rPr>
          <w:w w:val="120"/>
        </w:rPr>
        <w:t>la</w:t>
      </w:r>
      <w:r>
        <w:rPr>
          <w:spacing w:val="-24"/>
          <w:w w:val="120"/>
        </w:rPr>
        <w:t> </w:t>
      </w:r>
      <w:r>
        <w:rPr>
          <w:w w:val="120"/>
        </w:rPr>
        <w:t>presidencia</w:t>
      </w:r>
      <w:r>
        <w:rPr>
          <w:spacing w:val="-24"/>
          <w:w w:val="120"/>
        </w:rPr>
        <w:t> </w:t>
      </w:r>
      <w:r>
        <w:rPr>
          <w:w w:val="120"/>
        </w:rPr>
        <w:t>de</w:t>
      </w:r>
      <w:r>
        <w:rPr>
          <w:spacing w:val="-24"/>
          <w:w w:val="120"/>
        </w:rPr>
        <w:t> </w:t>
      </w:r>
      <w:r>
        <w:rPr>
          <w:w w:val="120"/>
        </w:rPr>
        <w:t>Clinton;</w:t>
      </w:r>
      <w:r>
        <w:rPr>
          <w:spacing w:val="-24"/>
          <w:w w:val="120"/>
        </w:rPr>
        <w:t> </w:t>
      </w:r>
      <w:r>
        <w:rPr>
          <w:w w:val="120"/>
        </w:rPr>
        <w:t>la</w:t>
      </w:r>
      <w:r>
        <w:rPr>
          <w:spacing w:val="-24"/>
          <w:w w:val="120"/>
        </w:rPr>
        <w:t> </w:t>
      </w:r>
      <w:r>
        <w:rPr>
          <w:w w:val="120"/>
        </w:rPr>
        <w:t>de</w:t>
      </w:r>
      <w:r>
        <w:rPr>
          <w:spacing w:val="-24"/>
          <w:w w:val="120"/>
        </w:rPr>
        <w:t> </w:t>
      </w:r>
      <w:r>
        <w:rPr>
          <w:w w:val="120"/>
        </w:rPr>
        <w:t>Québec </w:t>
      </w:r>
      <w:r>
        <w:rPr>
          <w:w w:val="103"/>
        </w:rPr>
        <w:t>(2001),</w:t>
      </w:r>
      <w:r>
        <w:rPr>
          <w:spacing w:val="20"/>
        </w:rPr>
        <w:t> </w:t>
      </w:r>
      <w:r>
        <w:rPr>
          <w:w w:val="111"/>
        </w:rPr>
        <w:t>cuando</w:t>
      </w:r>
      <w:r>
        <w:rPr>
          <w:spacing w:val="20"/>
        </w:rPr>
        <w:t> </w:t>
      </w:r>
      <w:r>
        <w:rPr>
          <w:w w:val="107"/>
        </w:rPr>
        <w:t>el</w:t>
      </w:r>
      <w:r>
        <w:rPr>
          <w:spacing w:val="20"/>
        </w:rPr>
        <w:t> </w:t>
      </w:r>
      <w:r>
        <w:rPr>
          <w:w w:val="108"/>
        </w:rPr>
        <w:t>proyecto</w:t>
      </w:r>
      <w:r>
        <w:rPr>
          <w:spacing w:val="20"/>
        </w:rPr>
        <w:t> </w:t>
      </w:r>
      <w:r>
        <w:rPr>
          <w:w w:val="107"/>
        </w:rPr>
        <w:t>del</w:t>
      </w:r>
      <w:r>
        <w:rPr>
          <w:spacing w:val="20"/>
        </w:rPr>
        <w:t> </w:t>
      </w:r>
      <w:r>
        <w:rPr>
          <w:w w:val="108"/>
        </w:rPr>
        <w:t>Área</w:t>
      </w:r>
      <w:r>
        <w:rPr>
          <w:spacing w:val="20"/>
        </w:rPr>
        <w:t> </w:t>
      </w:r>
      <w:r>
        <w:rPr>
          <w:w w:val="107"/>
        </w:rPr>
        <w:t>de</w:t>
      </w:r>
      <w:r>
        <w:rPr>
          <w:spacing w:val="20"/>
        </w:rPr>
        <w:t> </w:t>
      </w:r>
      <w:r>
        <w:rPr>
          <w:w w:val="243"/>
        </w:rPr>
        <w:t>l</w:t>
      </w:r>
      <w:r>
        <w:rPr>
          <w:w w:val="108"/>
        </w:rPr>
        <w:t>ibre</w:t>
      </w:r>
      <w:r>
        <w:rPr>
          <w:spacing w:val="20"/>
        </w:rPr>
        <w:t> </w:t>
      </w:r>
      <w:r>
        <w:rPr>
          <w:w w:val="112"/>
        </w:rPr>
        <w:t>Comercio</w:t>
      </w:r>
      <w:r>
        <w:rPr>
          <w:spacing w:val="20"/>
        </w:rPr>
        <w:t> </w:t>
      </w:r>
      <w:r>
        <w:rPr>
          <w:w w:val="107"/>
        </w:rPr>
        <w:t>de</w:t>
      </w:r>
      <w:r>
        <w:rPr>
          <w:spacing w:val="20"/>
        </w:rPr>
        <w:t> </w:t>
      </w:r>
      <w:r>
        <w:rPr>
          <w:w w:val="109"/>
        </w:rPr>
        <w:t>las</w:t>
      </w:r>
      <w:r>
        <w:rPr>
          <w:spacing w:val="20"/>
        </w:rPr>
        <w:t> </w:t>
      </w:r>
      <w:r>
        <w:rPr>
          <w:w w:val="139"/>
        </w:rPr>
        <w:t>a</w:t>
      </w:r>
      <w:r>
        <w:rPr>
          <w:w w:val="110"/>
        </w:rPr>
        <w:t>méri</w:t>
      </w:r>
      <w:r>
        <w:rPr>
          <w:w w:val="102"/>
        </w:rPr>
        <w:t>- </w:t>
      </w:r>
      <w:r>
        <w:rPr>
          <w:w w:val="120"/>
        </w:rPr>
        <w:t>cas</w:t>
      </w:r>
      <w:r>
        <w:rPr>
          <w:spacing w:val="-22"/>
          <w:w w:val="120"/>
        </w:rPr>
        <w:t> </w:t>
      </w:r>
      <w:r>
        <w:rPr>
          <w:w w:val="120"/>
        </w:rPr>
        <w:t>(alCa)</w:t>
      </w:r>
      <w:r>
        <w:rPr>
          <w:spacing w:val="-22"/>
          <w:w w:val="120"/>
        </w:rPr>
        <w:t> </w:t>
      </w:r>
      <w:r>
        <w:rPr>
          <w:w w:val="120"/>
        </w:rPr>
        <w:t>avanzaba</w:t>
      </w:r>
      <w:r>
        <w:rPr>
          <w:spacing w:val="-22"/>
          <w:w w:val="120"/>
        </w:rPr>
        <w:t> </w:t>
      </w:r>
      <w:r>
        <w:rPr>
          <w:w w:val="120"/>
        </w:rPr>
        <w:t>sin</w:t>
      </w:r>
      <w:r>
        <w:rPr>
          <w:spacing w:val="-22"/>
          <w:w w:val="120"/>
        </w:rPr>
        <w:t> </w:t>
      </w:r>
      <w:r>
        <w:rPr>
          <w:w w:val="120"/>
        </w:rPr>
        <w:t>demasiados</w:t>
      </w:r>
      <w:r>
        <w:rPr>
          <w:spacing w:val="-22"/>
          <w:w w:val="120"/>
        </w:rPr>
        <w:t> </w:t>
      </w:r>
      <w:r>
        <w:rPr>
          <w:w w:val="120"/>
        </w:rPr>
        <w:t>obstáculos;</w:t>
      </w:r>
      <w:r>
        <w:rPr>
          <w:spacing w:val="-22"/>
          <w:w w:val="120"/>
        </w:rPr>
        <w:t> </w:t>
      </w:r>
      <w:r>
        <w:rPr>
          <w:w w:val="120"/>
        </w:rPr>
        <w:t>la</w:t>
      </w:r>
      <w:r>
        <w:rPr>
          <w:spacing w:val="-22"/>
          <w:w w:val="120"/>
        </w:rPr>
        <w:t> </w:t>
      </w:r>
      <w:r>
        <w:rPr>
          <w:w w:val="120"/>
        </w:rPr>
        <w:t>de</w:t>
      </w:r>
      <w:r>
        <w:rPr>
          <w:spacing w:val="-22"/>
          <w:w w:val="120"/>
        </w:rPr>
        <w:t> </w:t>
      </w:r>
      <w:r>
        <w:rPr>
          <w:w w:val="120"/>
        </w:rPr>
        <w:t>Mar</w:t>
      </w:r>
      <w:r>
        <w:rPr>
          <w:spacing w:val="-22"/>
          <w:w w:val="120"/>
        </w:rPr>
        <w:t> </w:t>
      </w:r>
      <w:r>
        <w:rPr>
          <w:w w:val="120"/>
        </w:rPr>
        <w:t>del</w:t>
      </w:r>
      <w:r>
        <w:rPr>
          <w:spacing w:val="-22"/>
          <w:w w:val="120"/>
        </w:rPr>
        <w:t> </w:t>
      </w:r>
      <w:r>
        <w:rPr>
          <w:w w:val="120"/>
        </w:rPr>
        <w:t>Plata </w:t>
      </w:r>
      <w:r>
        <w:rPr>
          <w:w w:val="115"/>
        </w:rPr>
        <w:t>(2005),</w:t>
      </w:r>
      <w:r>
        <w:rPr>
          <w:spacing w:val="-12"/>
          <w:w w:val="115"/>
        </w:rPr>
        <w:t> </w:t>
      </w:r>
      <w:r>
        <w:rPr>
          <w:w w:val="115"/>
        </w:rPr>
        <w:t>momento</w:t>
      </w:r>
      <w:r>
        <w:rPr>
          <w:spacing w:val="-12"/>
          <w:w w:val="115"/>
        </w:rPr>
        <w:t> </w:t>
      </w:r>
      <w:r>
        <w:rPr>
          <w:w w:val="115"/>
        </w:rPr>
        <w:t>en</w:t>
      </w:r>
      <w:r>
        <w:rPr>
          <w:spacing w:val="-12"/>
          <w:w w:val="115"/>
        </w:rPr>
        <w:t> </w:t>
      </w:r>
      <w:r>
        <w:rPr>
          <w:w w:val="115"/>
        </w:rPr>
        <w:t>que</w:t>
      </w:r>
      <w:r>
        <w:rPr>
          <w:spacing w:val="-12"/>
          <w:w w:val="115"/>
        </w:rPr>
        <w:t> </w:t>
      </w:r>
      <w:r>
        <w:rPr>
          <w:w w:val="115"/>
        </w:rPr>
        <w:t>se</w:t>
      </w:r>
      <w:r>
        <w:rPr>
          <w:spacing w:val="-12"/>
          <w:w w:val="115"/>
        </w:rPr>
        <w:t> </w:t>
      </w:r>
      <w:r>
        <w:rPr>
          <w:w w:val="115"/>
        </w:rPr>
        <w:t>produjo</w:t>
      </w:r>
      <w:r>
        <w:rPr>
          <w:spacing w:val="-12"/>
          <w:w w:val="115"/>
        </w:rPr>
        <w:t> </w:t>
      </w:r>
      <w:r>
        <w:rPr>
          <w:w w:val="115"/>
        </w:rPr>
        <w:t>la</w:t>
      </w:r>
      <w:r>
        <w:rPr>
          <w:spacing w:val="-12"/>
          <w:w w:val="115"/>
        </w:rPr>
        <w:t> </w:t>
      </w:r>
      <w:r>
        <w:rPr>
          <w:w w:val="115"/>
        </w:rPr>
        <w:t>derrota</w:t>
      </w:r>
      <w:r>
        <w:rPr>
          <w:spacing w:val="-12"/>
          <w:w w:val="115"/>
        </w:rPr>
        <w:t> </w:t>
      </w:r>
      <w:r>
        <w:rPr>
          <w:w w:val="115"/>
        </w:rPr>
        <w:t>de</w:t>
      </w:r>
      <w:r>
        <w:rPr>
          <w:spacing w:val="-12"/>
          <w:w w:val="115"/>
        </w:rPr>
        <w:t> </w:t>
      </w:r>
      <w:r>
        <w:rPr>
          <w:w w:val="115"/>
        </w:rPr>
        <w:t>ese</w:t>
      </w:r>
      <w:r>
        <w:rPr>
          <w:spacing w:val="-12"/>
          <w:w w:val="115"/>
        </w:rPr>
        <w:t> </w:t>
      </w:r>
      <w:r>
        <w:rPr>
          <w:w w:val="115"/>
        </w:rPr>
        <w:t>proyecto;</w:t>
      </w:r>
      <w:r>
        <w:rPr>
          <w:spacing w:val="-12"/>
          <w:w w:val="115"/>
        </w:rPr>
        <w:t> </w:t>
      </w:r>
      <w:r>
        <w:rPr>
          <w:w w:val="115"/>
        </w:rPr>
        <w:t>la</w:t>
      </w:r>
      <w:r>
        <w:rPr>
          <w:spacing w:val="-12"/>
          <w:w w:val="115"/>
        </w:rPr>
        <w:t> </w:t>
      </w:r>
      <w:r>
        <w:rPr>
          <w:w w:val="115"/>
        </w:rPr>
        <w:t>de Puerto</w:t>
      </w:r>
      <w:r>
        <w:rPr>
          <w:spacing w:val="-9"/>
          <w:w w:val="115"/>
        </w:rPr>
        <w:t> </w:t>
      </w:r>
      <w:r>
        <w:rPr>
          <w:w w:val="115"/>
        </w:rPr>
        <w:t>España</w:t>
      </w:r>
      <w:r>
        <w:rPr>
          <w:spacing w:val="-9"/>
          <w:w w:val="115"/>
        </w:rPr>
        <w:t> </w:t>
      </w:r>
      <w:r>
        <w:rPr>
          <w:w w:val="115"/>
        </w:rPr>
        <w:t>(2009),</w:t>
      </w:r>
      <w:r>
        <w:rPr>
          <w:spacing w:val="-9"/>
          <w:w w:val="115"/>
        </w:rPr>
        <w:t> </w:t>
      </w:r>
      <w:r>
        <w:rPr>
          <w:w w:val="115"/>
        </w:rPr>
        <w:t>en</w:t>
      </w:r>
      <w:r>
        <w:rPr>
          <w:spacing w:val="-9"/>
          <w:w w:val="115"/>
        </w:rPr>
        <w:t> </w:t>
      </w:r>
      <w:r>
        <w:rPr>
          <w:w w:val="115"/>
        </w:rPr>
        <w:t>la</w:t>
      </w:r>
      <w:r>
        <w:rPr>
          <w:spacing w:val="-9"/>
          <w:w w:val="115"/>
        </w:rPr>
        <w:t> </w:t>
      </w:r>
      <w:r>
        <w:rPr>
          <w:w w:val="115"/>
        </w:rPr>
        <w:t>que</w:t>
      </w:r>
      <w:r>
        <w:rPr>
          <w:spacing w:val="-9"/>
          <w:w w:val="115"/>
        </w:rPr>
        <w:t> </w:t>
      </w:r>
      <w:r>
        <w:rPr>
          <w:w w:val="115"/>
        </w:rPr>
        <w:t>primó</w:t>
      </w:r>
      <w:r>
        <w:rPr>
          <w:spacing w:val="-9"/>
          <w:w w:val="115"/>
        </w:rPr>
        <w:t> </w:t>
      </w:r>
      <w:r>
        <w:rPr>
          <w:w w:val="115"/>
        </w:rPr>
        <w:t>la</w:t>
      </w:r>
      <w:r>
        <w:rPr>
          <w:spacing w:val="-9"/>
          <w:w w:val="115"/>
        </w:rPr>
        <w:t> </w:t>
      </w:r>
      <w:r>
        <w:rPr>
          <w:w w:val="115"/>
        </w:rPr>
        <w:t>expectativa</w:t>
      </w:r>
      <w:r>
        <w:rPr>
          <w:spacing w:val="-9"/>
          <w:w w:val="115"/>
        </w:rPr>
        <w:t> </w:t>
      </w:r>
      <w:r>
        <w:rPr>
          <w:w w:val="115"/>
        </w:rPr>
        <w:t>por</w:t>
      </w:r>
      <w:r>
        <w:rPr>
          <w:spacing w:val="-9"/>
          <w:w w:val="115"/>
        </w:rPr>
        <w:t> </w:t>
      </w:r>
      <w:r>
        <w:rPr>
          <w:w w:val="115"/>
        </w:rPr>
        <w:t>la</w:t>
      </w:r>
      <w:r>
        <w:rPr>
          <w:spacing w:val="-9"/>
          <w:w w:val="115"/>
        </w:rPr>
        <w:t> </w:t>
      </w:r>
      <w:r>
        <w:rPr>
          <w:w w:val="115"/>
        </w:rPr>
        <w:t>relación entre</w:t>
      </w:r>
      <w:r>
        <w:rPr>
          <w:spacing w:val="-18"/>
          <w:w w:val="115"/>
        </w:rPr>
        <w:t> </w:t>
      </w:r>
      <w:r>
        <w:rPr>
          <w:w w:val="115"/>
        </w:rPr>
        <w:t>iguales</w:t>
      </w:r>
      <w:r>
        <w:rPr>
          <w:spacing w:val="-18"/>
          <w:w w:val="115"/>
        </w:rPr>
        <w:t> </w:t>
      </w:r>
      <w:r>
        <w:rPr>
          <w:w w:val="115"/>
        </w:rPr>
        <w:t>que</w:t>
      </w:r>
      <w:r>
        <w:rPr>
          <w:spacing w:val="-18"/>
          <w:w w:val="115"/>
        </w:rPr>
        <w:t> </w:t>
      </w:r>
      <w:r>
        <w:rPr>
          <w:w w:val="115"/>
        </w:rPr>
        <w:t>prometió</w:t>
      </w:r>
      <w:r>
        <w:rPr>
          <w:spacing w:val="-18"/>
          <w:w w:val="115"/>
        </w:rPr>
        <w:t> </w:t>
      </w:r>
      <w:r>
        <w:rPr>
          <w:w w:val="115"/>
        </w:rPr>
        <w:t>el</w:t>
      </w:r>
      <w:r>
        <w:rPr>
          <w:spacing w:val="-18"/>
          <w:w w:val="115"/>
        </w:rPr>
        <w:t> </w:t>
      </w:r>
      <w:r>
        <w:rPr>
          <w:w w:val="115"/>
        </w:rPr>
        <w:t>recién</w:t>
      </w:r>
      <w:r>
        <w:rPr>
          <w:spacing w:val="-18"/>
          <w:w w:val="115"/>
        </w:rPr>
        <w:t> </w:t>
      </w:r>
      <w:r>
        <w:rPr>
          <w:w w:val="115"/>
        </w:rPr>
        <w:t>asumido</w:t>
      </w:r>
      <w:r>
        <w:rPr>
          <w:spacing w:val="-18"/>
          <w:w w:val="115"/>
        </w:rPr>
        <w:t> </w:t>
      </w:r>
      <w:r>
        <w:rPr>
          <w:w w:val="115"/>
        </w:rPr>
        <w:t>obama;</w:t>
      </w:r>
      <w:r>
        <w:rPr>
          <w:spacing w:val="-18"/>
          <w:w w:val="115"/>
        </w:rPr>
        <w:t> </w:t>
      </w:r>
      <w:r>
        <w:rPr>
          <w:w w:val="115"/>
        </w:rPr>
        <w:t>y</w:t>
      </w:r>
      <w:r>
        <w:rPr>
          <w:spacing w:val="-18"/>
          <w:w w:val="115"/>
        </w:rPr>
        <w:t> </w:t>
      </w:r>
      <w:r>
        <w:rPr>
          <w:w w:val="115"/>
        </w:rPr>
        <w:t>la</w:t>
      </w:r>
      <w:r>
        <w:rPr>
          <w:spacing w:val="-18"/>
          <w:w w:val="115"/>
        </w:rPr>
        <w:t> </w:t>
      </w:r>
      <w:r>
        <w:rPr>
          <w:w w:val="115"/>
        </w:rPr>
        <w:t>de</w:t>
      </w:r>
      <w:r>
        <w:rPr>
          <w:spacing w:val="-18"/>
          <w:w w:val="115"/>
        </w:rPr>
        <w:t> </w:t>
      </w:r>
      <w:r>
        <w:rPr>
          <w:w w:val="115"/>
        </w:rPr>
        <w:t>Cartage- na</w:t>
      </w:r>
      <w:r>
        <w:rPr>
          <w:spacing w:val="-12"/>
          <w:w w:val="115"/>
        </w:rPr>
        <w:t> </w:t>
      </w:r>
      <w:r>
        <w:rPr>
          <w:w w:val="115"/>
        </w:rPr>
        <w:t>(2012),</w:t>
      </w:r>
      <w:r>
        <w:rPr>
          <w:spacing w:val="-12"/>
          <w:w w:val="115"/>
        </w:rPr>
        <w:t> </w:t>
      </w:r>
      <w:r>
        <w:rPr>
          <w:w w:val="115"/>
        </w:rPr>
        <w:t>cuando</w:t>
      </w:r>
      <w:r>
        <w:rPr>
          <w:spacing w:val="-12"/>
          <w:w w:val="115"/>
        </w:rPr>
        <w:t> </w:t>
      </w:r>
      <w:r>
        <w:rPr>
          <w:w w:val="115"/>
        </w:rPr>
        <w:t>emergió</w:t>
      </w:r>
      <w:r>
        <w:rPr>
          <w:spacing w:val="-12"/>
          <w:w w:val="115"/>
        </w:rPr>
        <w:t> </w:t>
      </w:r>
      <w:r>
        <w:rPr>
          <w:w w:val="115"/>
        </w:rPr>
        <w:t>una</w:t>
      </w:r>
      <w:r>
        <w:rPr>
          <w:spacing w:val="-12"/>
          <w:w w:val="115"/>
        </w:rPr>
        <w:t> </w:t>
      </w:r>
      <w:r>
        <w:rPr>
          <w:w w:val="115"/>
        </w:rPr>
        <w:t>nueva</w:t>
      </w:r>
      <w:r>
        <w:rPr>
          <w:spacing w:val="-12"/>
          <w:w w:val="115"/>
        </w:rPr>
        <w:t> </w:t>
      </w:r>
      <w:r>
        <w:rPr>
          <w:w w:val="115"/>
        </w:rPr>
        <w:t>agenda</w:t>
      </w:r>
      <w:r>
        <w:rPr>
          <w:spacing w:val="-12"/>
          <w:w w:val="115"/>
        </w:rPr>
        <w:t> </w:t>
      </w:r>
      <w:r>
        <w:rPr>
          <w:w w:val="115"/>
        </w:rPr>
        <w:t>impuesta</w:t>
      </w:r>
      <w:r>
        <w:rPr>
          <w:spacing w:val="-12"/>
          <w:w w:val="115"/>
        </w:rPr>
        <w:t> </w:t>
      </w:r>
      <w:r>
        <w:rPr>
          <w:w w:val="115"/>
        </w:rPr>
        <w:t>por</w:t>
      </w:r>
      <w:r>
        <w:rPr>
          <w:spacing w:val="-12"/>
          <w:w w:val="115"/>
        </w:rPr>
        <w:t> </w:t>
      </w:r>
      <w:r>
        <w:rPr>
          <w:w w:val="115"/>
        </w:rPr>
        <w:t>américa </w:t>
      </w:r>
      <w:r>
        <w:rPr>
          <w:w w:val="243"/>
        </w:rPr>
        <w:t>l</w:t>
      </w:r>
      <w:r>
        <w:rPr>
          <w:w w:val="113"/>
        </w:rPr>
        <w:t>atina,</w:t>
      </w:r>
      <w:r>
        <w:rPr>
          <w:spacing w:val="18"/>
        </w:rPr>
        <w:t> </w:t>
      </w:r>
      <w:r>
        <w:rPr>
          <w:w w:val="106"/>
        </w:rPr>
        <w:t>pese</w:t>
      </w:r>
      <w:r>
        <w:rPr>
          <w:spacing w:val="18"/>
        </w:rPr>
        <w:t> </w:t>
      </w:r>
      <w:r>
        <w:rPr>
          <w:w w:val="112"/>
        </w:rPr>
        <w:t>a</w:t>
      </w:r>
      <w:r>
        <w:rPr>
          <w:spacing w:val="18"/>
        </w:rPr>
        <w:t> </w:t>
      </w:r>
      <w:r>
        <w:rPr>
          <w:w w:val="109"/>
        </w:rPr>
        <w:t>las</w:t>
      </w:r>
      <w:r>
        <w:rPr>
          <w:spacing w:val="18"/>
        </w:rPr>
        <w:t> </w:t>
      </w:r>
      <w:r>
        <w:rPr>
          <w:w w:val="107"/>
        </w:rPr>
        <w:t>presiones</w:t>
      </w:r>
      <w:r>
        <w:rPr>
          <w:spacing w:val="18"/>
        </w:rPr>
        <w:t> </w:t>
      </w:r>
      <w:r>
        <w:rPr>
          <w:w w:val="107"/>
        </w:rPr>
        <w:t>de</w:t>
      </w:r>
      <w:r>
        <w:rPr>
          <w:spacing w:val="18"/>
        </w:rPr>
        <w:t> </w:t>
      </w:r>
      <w:r>
        <w:rPr>
          <w:spacing w:val="-11"/>
          <w:w w:val="110"/>
        </w:rPr>
        <w:t>W</w:t>
      </w:r>
      <w:r>
        <w:rPr>
          <w:w w:val="112"/>
        </w:rPr>
        <w:t>ashington.</w:t>
      </w:r>
      <w:r>
        <w:rPr>
          <w:spacing w:val="18"/>
        </w:rPr>
        <w:t> </w:t>
      </w:r>
      <w:r>
        <w:rPr>
          <w:w w:val="120"/>
        </w:rPr>
        <w:t>En</w:t>
      </w:r>
      <w:r>
        <w:rPr>
          <w:spacing w:val="18"/>
        </w:rPr>
        <w:t> </w:t>
      </w:r>
      <w:r>
        <w:rPr>
          <w:w w:val="110"/>
        </w:rPr>
        <w:t>diciembre</w:t>
      </w:r>
      <w:r>
        <w:rPr>
          <w:spacing w:val="18"/>
        </w:rPr>
        <w:t> </w:t>
      </w:r>
      <w:r>
        <w:rPr>
          <w:w w:val="107"/>
        </w:rPr>
        <w:t>de</w:t>
      </w:r>
      <w:r>
        <w:rPr>
          <w:spacing w:val="18"/>
        </w:rPr>
        <w:t> </w:t>
      </w:r>
      <w:r>
        <w:rPr>
          <w:w w:val="102"/>
        </w:rPr>
        <w:t>2014</w:t>
      </w:r>
      <w:r>
        <w:rPr>
          <w:spacing w:val="18"/>
        </w:rPr>
        <w:t> </w:t>
      </w:r>
      <w:r>
        <w:rPr>
          <w:w w:val="105"/>
        </w:rPr>
        <w:t>se </w:t>
      </w:r>
      <w:r>
        <w:rPr>
          <w:w w:val="115"/>
        </w:rPr>
        <w:t>anunció</w:t>
      </w:r>
      <w:r>
        <w:rPr>
          <w:spacing w:val="-15"/>
          <w:w w:val="115"/>
        </w:rPr>
        <w:t> </w:t>
      </w:r>
      <w:r>
        <w:rPr>
          <w:w w:val="115"/>
        </w:rPr>
        <w:t>un</w:t>
      </w:r>
      <w:r>
        <w:rPr>
          <w:spacing w:val="-15"/>
          <w:w w:val="115"/>
        </w:rPr>
        <w:t> </w:t>
      </w:r>
      <w:r>
        <w:rPr>
          <w:w w:val="115"/>
        </w:rPr>
        <w:t>giro</w:t>
      </w:r>
      <w:r>
        <w:rPr>
          <w:spacing w:val="-15"/>
          <w:w w:val="115"/>
        </w:rPr>
        <w:t> </w:t>
      </w:r>
      <w:r>
        <w:rPr>
          <w:w w:val="115"/>
        </w:rPr>
        <w:t>en</w:t>
      </w:r>
      <w:r>
        <w:rPr>
          <w:spacing w:val="-15"/>
          <w:w w:val="115"/>
        </w:rPr>
        <w:t> </w:t>
      </w:r>
      <w:r>
        <w:rPr>
          <w:w w:val="115"/>
        </w:rPr>
        <w:t>la</w:t>
      </w:r>
      <w:r>
        <w:rPr>
          <w:spacing w:val="-15"/>
          <w:w w:val="115"/>
        </w:rPr>
        <w:t> </w:t>
      </w:r>
      <w:r>
        <w:rPr>
          <w:w w:val="115"/>
        </w:rPr>
        <w:t>política</w:t>
      </w:r>
      <w:r>
        <w:rPr>
          <w:spacing w:val="-15"/>
          <w:w w:val="115"/>
        </w:rPr>
        <w:t> </w:t>
      </w:r>
      <w:r>
        <w:rPr>
          <w:w w:val="115"/>
        </w:rPr>
        <w:t>de</w:t>
      </w:r>
      <w:r>
        <w:rPr>
          <w:spacing w:val="-15"/>
          <w:w w:val="115"/>
        </w:rPr>
        <w:t> </w:t>
      </w:r>
      <w:r>
        <w:rPr>
          <w:w w:val="115"/>
        </w:rPr>
        <w:t>Estados</w:t>
      </w:r>
      <w:r>
        <w:rPr>
          <w:spacing w:val="-15"/>
          <w:w w:val="115"/>
        </w:rPr>
        <w:t> </w:t>
      </w:r>
      <w:r>
        <w:rPr>
          <w:w w:val="115"/>
        </w:rPr>
        <w:t>unidos</w:t>
      </w:r>
      <w:r>
        <w:rPr>
          <w:spacing w:val="-15"/>
          <w:w w:val="115"/>
        </w:rPr>
        <w:t> </w:t>
      </w:r>
      <w:r>
        <w:rPr>
          <w:w w:val="115"/>
        </w:rPr>
        <w:t>hacia</w:t>
      </w:r>
      <w:r>
        <w:rPr>
          <w:spacing w:val="-15"/>
          <w:w w:val="115"/>
        </w:rPr>
        <w:t> </w:t>
      </w:r>
      <w:r>
        <w:rPr>
          <w:w w:val="115"/>
        </w:rPr>
        <w:t>Cuba</w:t>
      </w:r>
      <w:r>
        <w:rPr>
          <w:spacing w:val="-15"/>
          <w:w w:val="115"/>
        </w:rPr>
        <w:t> </w:t>
      </w:r>
      <w:r>
        <w:rPr>
          <w:w w:val="115"/>
        </w:rPr>
        <w:t>y</w:t>
      </w:r>
      <w:r>
        <w:rPr>
          <w:spacing w:val="-15"/>
          <w:w w:val="115"/>
        </w:rPr>
        <w:t> </w:t>
      </w:r>
      <w:r>
        <w:rPr>
          <w:w w:val="115"/>
        </w:rPr>
        <w:t>el</w:t>
      </w:r>
      <w:r>
        <w:rPr>
          <w:spacing w:val="-15"/>
          <w:w w:val="115"/>
        </w:rPr>
        <w:t> </w:t>
      </w:r>
      <w:r>
        <w:rPr>
          <w:w w:val="115"/>
        </w:rPr>
        <w:t>inicio de</w:t>
      </w:r>
      <w:r>
        <w:rPr>
          <w:spacing w:val="-27"/>
          <w:w w:val="115"/>
        </w:rPr>
        <w:t> </w:t>
      </w:r>
      <w:r>
        <w:rPr>
          <w:w w:val="115"/>
        </w:rPr>
        <w:t>conversaciones</w:t>
      </w:r>
      <w:r>
        <w:rPr>
          <w:spacing w:val="-27"/>
          <w:w w:val="115"/>
        </w:rPr>
        <w:t> </w:t>
      </w:r>
      <w:r>
        <w:rPr>
          <w:w w:val="115"/>
        </w:rPr>
        <w:t>para</w:t>
      </w:r>
      <w:r>
        <w:rPr>
          <w:spacing w:val="-27"/>
          <w:w w:val="115"/>
        </w:rPr>
        <w:t> </w:t>
      </w:r>
      <w:r>
        <w:rPr>
          <w:w w:val="115"/>
        </w:rPr>
        <w:t>normalizar</w:t>
      </w:r>
      <w:r>
        <w:rPr>
          <w:spacing w:val="-27"/>
          <w:w w:val="115"/>
        </w:rPr>
        <w:t> </w:t>
      </w:r>
      <w:r>
        <w:rPr>
          <w:w w:val="115"/>
        </w:rPr>
        <w:t>el</w:t>
      </w:r>
      <w:r>
        <w:rPr>
          <w:spacing w:val="-27"/>
          <w:w w:val="115"/>
        </w:rPr>
        <w:t> </w:t>
      </w:r>
      <w:r>
        <w:rPr>
          <w:w w:val="115"/>
        </w:rPr>
        <w:t>vínculo</w:t>
      </w:r>
      <w:r>
        <w:rPr>
          <w:spacing w:val="-27"/>
          <w:w w:val="115"/>
        </w:rPr>
        <w:t> </w:t>
      </w:r>
      <w:r>
        <w:rPr>
          <w:w w:val="115"/>
        </w:rPr>
        <w:t>bilateral.</w:t>
      </w:r>
      <w:r>
        <w:rPr>
          <w:spacing w:val="-27"/>
          <w:w w:val="115"/>
        </w:rPr>
        <w:t> </w:t>
      </w:r>
      <w:r>
        <w:rPr>
          <w:w w:val="115"/>
        </w:rPr>
        <w:t>Finalmente,</w:t>
      </w:r>
      <w:r>
        <w:rPr>
          <w:spacing w:val="-27"/>
          <w:w w:val="115"/>
        </w:rPr>
        <w:t> </w:t>
      </w:r>
      <w:r>
        <w:rPr>
          <w:w w:val="115"/>
        </w:rPr>
        <w:t>la </w:t>
      </w:r>
      <w:r>
        <w:rPr>
          <w:w w:val="120"/>
        </w:rPr>
        <w:t>Vii</w:t>
      </w:r>
      <w:r>
        <w:rPr>
          <w:spacing w:val="-17"/>
          <w:w w:val="120"/>
        </w:rPr>
        <w:t> </w:t>
      </w:r>
      <w:r>
        <w:rPr>
          <w:w w:val="120"/>
        </w:rPr>
        <w:t>Cumbre</w:t>
      </w:r>
      <w:r>
        <w:rPr>
          <w:spacing w:val="-17"/>
          <w:w w:val="120"/>
        </w:rPr>
        <w:t> </w:t>
      </w:r>
      <w:r>
        <w:rPr>
          <w:w w:val="120"/>
        </w:rPr>
        <w:t>de</w:t>
      </w:r>
      <w:r>
        <w:rPr>
          <w:spacing w:val="-17"/>
          <w:w w:val="120"/>
        </w:rPr>
        <w:t> </w:t>
      </w:r>
      <w:r>
        <w:rPr>
          <w:w w:val="120"/>
        </w:rPr>
        <w:t>las</w:t>
      </w:r>
      <w:r>
        <w:rPr>
          <w:spacing w:val="-17"/>
          <w:w w:val="120"/>
        </w:rPr>
        <w:t> </w:t>
      </w:r>
      <w:r>
        <w:rPr>
          <w:w w:val="120"/>
        </w:rPr>
        <w:t>américas</w:t>
      </w:r>
      <w:r>
        <w:rPr>
          <w:spacing w:val="-17"/>
          <w:w w:val="120"/>
        </w:rPr>
        <w:t> </w:t>
      </w:r>
      <w:r>
        <w:rPr>
          <w:w w:val="120"/>
        </w:rPr>
        <w:t>en</w:t>
      </w:r>
      <w:r>
        <w:rPr>
          <w:spacing w:val="-17"/>
          <w:w w:val="120"/>
        </w:rPr>
        <w:t> </w:t>
      </w:r>
      <w:r>
        <w:rPr>
          <w:w w:val="120"/>
        </w:rPr>
        <w:t>Panamá,</w:t>
      </w:r>
      <w:r>
        <w:rPr>
          <w:spacing w:val="-17"/>
          <w:w w:val="120"/>
        </w:rPr>
        <w:t> </w:t>
      </w:r>
      <w:r>
        <w:rPr>
          <w:w w:val="120"/>
        </w:rPr>
        <w:t>realizada</w:t>
      </w:r>
      <w:r>
        <w:rPr>
          <w:spacing w:val="-17"/>
          <w:w w:val="120"/>
        </w:rPr>
        <w:t> </w:t>
      </w:r>
      <w:r>
        <w:rPr>
          <w:w w:val="120"/>
        </w:rPr>
        <w:t>en</w:t>
      </w:r>
      <w:r>
        <w:rPr>
          <w:spacing w:val="-17"/>
          <w:w w:val="120"/>
        </w:rPr>
        <w:t> </w:t>
      </w:r>
      <w:r>
        <w:rPr>
          <w:w w:val="120"/>
        </w:rPr>
        <w:t>abril</w:t>
      </w:r>
      <w:r>
        <w:rPr>
          <w:spacing w:val="-17"/>
          <w:w w:val="120"/>
        </w:rPr>
        <w:t> </w:t>
      </w:r>
      <w:r>
        <w:rPr>
          <w:w w:val="120"/>
        </w:rPr>
        <w:t>de</w:t>
      </w:r>
      <w:r>
        <w:rPr>
          <w:spacing w:val="-17"/>
          <w:w w:val="120"/>
        </w:rPr>
        <w:t> </w:t>
      </w:r>
      <w:r>
        <w:rPr>
          <w:w w:val="120"/>
        </w:rPr>
        <w:t>2015, </w:t>
      </w:r>
      <w:r>
        <w:rPr>
          <w:w w:val="115"/>
        </w:rPr>
        <w:t>lo</w:t>
      </w:r>
      <w:r>
        <w:rPr>
          <w:spacing w:val="-10"/>
          <w:w w:val="115"/>
        </w:rPr>
        <w:t> </w:t>
      </w:r>
      <w:r>
        <w:rPr>
          <w:w w:val="115"/>
        </w:rPr>
        <w:t>cual</w:t>
      </w:r>
      <w:r>
        <w:rPr>
          <w:spacing w:val="-10"/>
          <w:w w:val="115"/>
        </w:rPr>
        <w:t> </w:t>
      </w:r>
      <w:r>
        <w:rPr>
          <w:w w:val="115"/>
        </w:rPr>
        <w:t>implicó</w:t>
      </w:r>
      <w:r>
        <w:rPr>
          <w:spacing w:val="-10"/>
          <w:w w:val="115"/>
        </w:rPr>
        <w:t> </w:t>
      </w:r>
      <w:r>
        <w:rPr>
          <w:w w:val="115"/>
        </w:rPr>
        <w:t>una</w:t>
      </w:r>
      <w:r>
        <w:rPr>
          <w:spacing w:val="-10"/>
          <w:w w:val="115"/>
        </w:rPr>
        <w:t> </w:t>
      </w:r>
      <w:r>
        <w:rPr>
          <w:w w:val="115"/>
        </w:rPr>
        <w:t>novedad</w:t>
      </w:r>
      <w:r>
        <w:rPr>
          <w:spacing w:val="-10"/>
          <w:w w:val="115"/>
        </w:rPr>
        <w:t> </w:t>
      </w:r>
      <w:r>
        <w:rPr>
          <w:w w:val="115"/>
        </w:rPr>
        <w:t>en</w:t>
      </w:r>
      <w:r>
        <w:rPr>
          <w:spacing w:val="-10"/>
          <w:w w:val="115"/>
        </w:rPr>
        <w:t> </w:t>
      </w:r>
      <w:r>
        <w:rPr>
          <w:w w:val="115"/>
        </w:rPr>
        <w:t>estos</w:t>
      </w:r>
      <w:r>
        <w:rPr>
          <w:spacing w:val="-10"/>
          <w:w w:val="115"/>
        </w:rPr>
        <w:t> </w:t>
      </w:r>
      <w:r>
        <w:rPr>
          <w:w w:val="115"/>
        </w:rPr>
        <w:t>encuentros</w:t>
      </w:r>
      <w:r>
        <w:rPr>
          <w:spacing w:val="-10"/>
          <w:w w:val="115"/>
        </w:rPr>
        <w:t> </w:t>
      </w:r>
      <w:r>
        <w:rPr>
          <w:w w:val="115"/>
        </w:rPr>
        <w:t>de</w:t>
      </w:r>
      <w:r>
        <w:rPr>
          <w:spacing w:val="-10"/>
          <w:w w:val="115"/>
        </w:rPr>
        <w:t> </w:t>
      </w:r>
      <w:r>
        <w:rPr>
          <w:w w:val="115"/>
        </w:rPr>
        <w:t>los</w:t>
      </w:r>
      <w:r>
        <w:rPr>
          <w:spacing w:val="-10"/>
          <w:w w:val="115"/>
        </w:rPr>
        <w:t> </w:t>
      </w:r>
      <w:r>
        <w:rPr>
          <w:w w:val="115"/>
        </w:rPr>
        <w:t>mandatarios americanos.</w:t>
      </w:r>
      <w:r>
        <w:rPr>
          <w:spacing w:val="-20"/>
          <w:w w:val="115"/>
        </w:rPr>
        <w:t> </w:t>
      </w:r>
      <w:r>
        <w:rPr>
          <w:w w:val="115"/>
        </w:rPr>
        <w:t>Estas</w:t>
      </w:r>
      <w:r>
        <w:rPr>
          <w:spacing w:val="-20"/>
          <w:w w:val="115"/>
        </w:rPr>
        <w:t> </w:t>
      </w:r>
      <w:r>
        <w:rPr>
          <w:w w:val="115"/>
        </w:rPr>
        <w:t>cumbres</w:t>
      </w:r>
      <w:r>
        <w:rPr>
          <w:spacing w:val="-20"/>
          <w:w w:val="115"/>
        </w:rPr>
        <w:t> </w:t>
      </w:r>
      <w:r>
        <w:rPr>
          <w:w w:val="115"/>
        </w:rPr>
        <w:t>se</w:t>
      </w:r>
      <w:r>
        <w:rPr>
          <w:spacing w:val="-20"/>
          <w:w w:val="115"/>
        </w:rPr>
        <w:t> </w:t>
      </w:r>
      <w:r>
        <w:rPr>
          <w:w w:val="115"/>
        </w:rPr>
        <w:t>inscriben</w:t>
      </w:r>
      <w:r>
        <w:rPr>
          <w:spacing w:val="-20"/>
          <w:w w:val="115"/>
        </w:rPr>
        <w:t> </w:t>
      </w:r>
      <w:r>
        <w:rPr>
          <w:w w:val="115"/>
        </w:rPr>
        <w:t>en</w:t>
      </w:r>
      <w:r>
        <w:rPr>
          <w:spacing w:val="-20"/>
          <w:w w:val="115"/>
        </w:rPr>
        <w:t> </w:t>
      </w:r>
      <w:r>
        <w:rPr>
          <w:w w:val="115"/>
        </w:rPr>
        <w:t>diferentes</w:t>
      </w:r>
      <w:r>
        <w:rPr>
          <w:spacing w:val="-20"/>
          <w:w w:val="115"/>
        </w:rPr>
        <w:t> </w:t>
      </w:r>
      <w:r>
        <w:rPr>
          <w:w w:val="115"/>
        </w:rPr>
        <w:t>etapas</w:t>
      </w:r>
      <w:r>
        <w:rPr>
          <w:spacing w:val="-20"/>
          <w:w w:val="115"/>
        </w:rPr>
        <w:t> </w:t>
      </w:r>
      <w:r>
        <w:rPr>
          <w:w w:val="115"/>
        </w:rPr>
        <w:t>de</w:t>
      </w:r>
      <w:r>
        <w:rPr>
          <w:spacing w:val="-20"/>
          <w:w w:val="115"/>
        </w:rPr>
        <w:t> </w:t>
      </w:r>
      <w:r>
        <w:rPr>
          <w:w w:val="115"/>
        </w:rPr>
        <w:t>la</w:t>
      </w:r>
      <w:r>
        <w:rPr>
          <w:spacing w:val="-20"/>
          <w:w w:val="115"/>
        </w:rPr>
        <w:t> </w:t>
      </w:r>
      <w:r>
        <w:rPr>
          <w:w w:val="115"/>
        </w:rPr>
        <w:t>re- lación entre Estados unidos y el resto del hemisferio, que</w:t>
      </w:r>
      <w:r>
        <w:rPr>
          <w:spacing w:val="-9"/>
          <w:w w:val="115"/>
        </w:rPr>
        <w:t> </w:t>
      </w:r>
      <w:r>
        <w:rPr>
          <w:w w:val="115"/>
        </w:rPr>
        <w:t>muestran </w:t>
      </w:r>
      <w:r>
        <w:rPr>
          <w:w w:val="120"/>
        </w:rPr>
        <w:t>alcances</w:t>
      </w:r>
      <w:r>
        <w:rPr>
          <w:spacing w:val="-28"/>
          <w:w w:val="120"/>
        </w:rPr>
        <w:t> </w:t>
      </w:r>
      <w:r>
        <w:rPr>
          <w:w w:val="120"/>
        </w:rPr>
        <w:t>y</w:t>
      </w:r>
      <w:r>
        <w:rPr>
          <w:spacing w:val="-28"/>
          <w:w w:val="120"/>
        </w:rPr>
        <w:t> </w:t>
      </w:r>
      <w:r>
        <w:rPr>
          <w:w w:val="120"/>
        </w:rPr>
        <w:t>límites</w:t>
      </w:r>
      <w:r>
        <w:rPr>
          <w:spacing w:val="-28"/>
          <w:w w:val="120"/>
        </w:rPr>
        <w:t> </w:t>
      </w:r>
      <w:r>
        <w:rPr>
          <w:w w:val="120"/>
        </w:rPr>
        <w:t>de</w:t>
      </w:r>
      <w:r>
        <w:rPr>
          <w:spacing w:val="-28"/>
          <w:w w:val="120"/>
        </w:rPr>
        <w:t> </w:t>
      </w:r>
      <w:r>
        <w:rPr>
          <w:w w:val="120"/>
        </w:rPr>
        <w:t>las</w:t>
      </w:r>
      <w:r>
        <w:rPr>
          <w:spacing w:val="-28"/>
          <w:w w:val="120"/>
        </w:rPr>
        <w:t> </w:t>
      </w:r>
      <w:r>
        <w:rPr>
          <w:w w:val="120"/>
        </w:rPr>
        <w:t>estrategias</w:t>
      </w:r>
      <w:r>
        <w:rPr>
          <w:spacing w:val="-28"/>
          <w:w w:val="120"/>
        </w:rPr>
        <w:t> </w:t>
      </w:r>
      <w:r>
        <w:rPr>
          <w:w w:val="120"/>
        </w:rPr>
        <w:t>de</w:t>
      </w:r>
      <w:r>
        <w:rPr>
          <w:spacing w:val="-28"/>
          <w:w w:val="120"/>
        </w:rPr>
        <w:t> </w:t>
      </w:r>
      <w:r>
        <w:rPr>
          <w:w w:val="120"/>
        </w:rPr>
        <w:t>la</w:t>
      </w:r>
      <w:r>
        <w:rPr>
          <w:spacing w:val="-28"/>
          <w:w w:val="120"/>
        </w:rPr>
        <w:t> </w:t>
      </w:r>
      <w:r>
        <w:rPr>
          <w:w w:val="120"/>
        </w:rPr>
        <w:t>Casa</w:t>
      </w:r>
      <w:r>
        <w:rPr>
          <w:spacing w:val="-28"/>
          <w:w w:val="120"/>
        </w:rPr>
        <w:t> </w:t>
      </w:r>
      <w:r>
        <w:rPr>
          <w:w w:val="120"/>
        </w:rPr>
        <w:t>blanca</w:t>
      </w:r>
      <w:r>
        <w:rPr>
          <w:spacing w:val="-28"/>
          <w:w w:val="120"/>
        </w:rPr>
        <w:t> </w:t>
      </w:r>
      <w:r>
        <w:rPr>
          <w:w w:val="120"/>
        </w:rPr>
        <w:t>y</w:t>
      </w:r>
      <w:r>
        <w:rPr>
          <w:spacing w:val="-28"/>
          <w:w w:val="120"/>
        </w:rPr>
        <w:t> </w:t>
      </w:r>
      <w:r>
        <w:rPr>
          <w:w w:val="120"/>
        </w:rPr>
        <w:t>reconfigura- </w:t>
      </w:r>
      <w:r>
        <w:rPr>
          <w:w w:val="115"/>
        </w:rPr>
        <w:t>ciones</w:t>
      </w:r>
      <w:r>
        <w:rPr>
          <w:spacing w:val="-17"/>
          <w:w w:val="115"/>
        </w:rPr>
        <w:t> </w:t>
      </w:r>
      <w:r>
        <w:rPr>
          <w:w w:val="115"/>
        </w:rPr>
        <w:t>regionales</w:t>
      </w:r>
      <w:r>
        <w:rPr>
          <w:spacing w:val="-17"/>
          <w:w w:val="115"/>
        </w:rPr>
        <w:t> </w:t>
      </w:r>
      <w:r>
        <w:rPr>
          <w:w w:val="115"/>
        </w:rPr>
        <w:t>para</w:t>
      </w:r>
      <w:r>
        <w:rPr>
          <w:spacing w:val="-17"/>
          <w:w w:val="115"/>
        </w:rPr>
        <w:t> </w:t>
      </w:r>
      <w:r>
        <w:rPr>
          <w:w w:val="115"/>
        </w:rPr>
        <w:t>enfrentar</w:t>
      </w:r>
      <w:r>
        <w:rPr>
          <w:spacing w:val="-17"/>
          <w:w w:val="115"/>
        </w:rPr>
        <w:t> </w:t>
      </w:r>
      <w:r>
        <w:rPr>
          <w:w w:val="115"/>
        </w:rPr>
        <w:t>el</w:t>
      </w:r>
      <w:r>
        <w:rPr>
          <w:spacing w:val="-17"/>
          <w:w w:val="115"/>
        </w:rPr>
        <w:t> </w:t>
      </w:r>
      <w:r>
        <w:rPr>
          <w:w w:val="115"/>
        </w:rPr>
        <w:t>poder</w:t>
      </w:r>
      <w:r>
        <w:rPr>
          <w:spacing w:val="-17"/>
          <w:w w:val="115"/>
        </w:rPr>
        <w:t> </w:t>
      </w:r>
      <w:r>
        <w:rPr>
          <w:w w:val="115"/>
        </w:rPr>
        <w:t>de</w:t>
      </w:r>
      <w:r>
        <w:rPr>
          <w:spacing w:val="-17"/>
          <w:w w:val="115"/>
        </w:rPr>
        <w:t> </w:t>
      </w:r>
      <w:r>
        <w:rPr>
          <w:w w:val="115"/>
        </w:rPr>
        <w:t>Estados</w:t>
      </w:r>
      <w:r>
        <w:rPr>
          <w:spacing w:val="-17"/>
          <w:w w:val="115"/>
        </w:rPr>
        <w:t> </w:t>
      </w:r>
      <w:r>
        <w:rPr>
          <w:w w:val="115"/>
        </w:rPr>
        <w:t>unidos.</w:t>
      </w:r>
      <w:r>
        <w:rPr>
          <w:spacing w:val="-17"/>
          <w:w w:val="115"/>
        </w:rPr>
        <w:t> </w:t>
      </w:r>
      <w:r>
        <w:rPr>
          <w:w w:val="115"/>
        </w:rPr>
        <w:t>además de presentar una reflexión sobre la coyuntura hemisférica actual,</w:t>
      </w:r>
      <w:r>
        <w:rPr>
          <w:spacing w:val="-31"/>
          <w:w w:val="115"/>
        </w:rPr>
        <w:t> </w:t>
      </w:r>
      <w:r>
        <w:rPr>
          <w:w w:val="115"/>
        </w:rPr>
        <w:t>el trabajo</w:t>
      </w:r>
      <w:r>
        <w:rPr>
          <w:spacing w:val="-19"/>
          <w:w w:val="115"/>
        </w:rPr>
        <w:t> </w:t>
      </w:r>
      <w:r>
        <w:rPr>
          <w:w w:val="115"/>
        </w:rPr>
        <w:t>incluye</w:t>
      </w:r>
      <w:r>
        <w:rPr>
          <w:spacing w:val="-19"/>
          <w:w w:val="115"/>
        </w:rPr>
        <w:t> </w:t>
      </w:r>
      <w:r>
        <w:rPr>
          <w:w w:val="115"/>
        </w:rPr>
        <w:t>una</w:t>
      </w:r>
      <w:r>
        <w:rPr>
          <w:spacing w:val="-19"/>
          <w:w w:val="115"/>
        </w:rPr>
        <w:t> </w:t>
      </w:r>
      <w:r>
        <w:rPr>
          <w:w w:val="115"/>
        </w:rPr>
        <w:t>revisión</w:t>
      </w:r>
      <w:r>
        <w:rPr>
          <w:spacing w:val="-19"/>
          <w:w w:val="115"/>
        </w:rPr>
        <w:t> </w:t>
      </w:r>
      <w:r>
        <w:rPr>
          <w:w w:val="115"/>
        </w:rPr>
        <w:t>de</w:t>
      </w:r>
      <w:r>
        <w:rPr>
          <w:spacing w:val="-19"/>
          <w:w w:val="115"/>
        </w:rPr>
        <w:t> </w:t>
      </w:r>
      <w:r>
        <w:rPr>
          <w:w w:val="115"/>
        </w:rPr>
        <w:t>la</w:t>
      </w:r>
      <w:r>
        <w:rPr>
          <w:spacing w:val="-19"/>
          <w:w w:val="115"/>
        </w:rPr>
        <w:t> </w:t>
      </w:r>
      <w:r>
        <w:rPr>
          <w:w w:val="115"/>
        </w:rPr>
        <w:t>historia</w:t>
      </w:r>
      <w:r>
        <w:rPr>
          <w:spacing w:val="-19"/>
          <w:w w:val="115"/>
        </w:rPr>
        <w:t> </w:t>
      </w:r>
      <w:r>
        <w:rPr>
          <w:w w:val="115"/>
        </w:rPr>
        <w:t>de</w:t>
      </w:r>
      <w:r>
        <w:rPr>
          <w:spacing w:val="-19"/>
          <w:w w:val="115"/>
        </w:rPr>
        <w:t> </w:t>
      </w:r>
      <w:r>
        <w:rPr>
          <w:w w:val="115"/>
        </w:rPr>
        <w:t>las</w:t>
      </w:r>
      <w:r>
        <w:rPr>
          <w:spacing w:val="-19"/>
          <w:w w:val="115"/>
        </w:rPr>
        <w:t> </w:t>
      </w:r>
      <w:r>
        <w:rPr>
          <w:w w:val="115"/>
        </w:rPr>
        <w:t>relaciones</w:t>
      </w:r>
      <w:r>
        <w:rPr>
          <w:spacing w:val="-19"/>
          <w:w w:val="115"/>
        </w:rPr>
        <w:t> </w:t>
      </w:r>
      <w:r>
        <w:rPr>
          <w:w w:val="115"/>
        </w:rPr>
        <w:t>interame- </w:t>
      </w:r>
      <w:r>
        <w:rPr>
          <w:w w:val="120"/>
        </w:rPr>
        <w:t>ricanas</w:t>
      </w:r>
      <w:r>
        <w:rPr>
          <w:spacing w:val="-18"/>
          <w:w w:val="120"/>
        </w:rPr>
        <w:t> </w:t>
      </w:r>
      <w:r>
        <w:rPr>
          <w:w w:val="120"/>
        </w:rPr>
        <w:t>a</w:t>
      </w:r>
      <w:r>
        <w:rPr>
          <w:spacing w:val="-18"/>
          <w:w w:val="120"/>
        </w:rPr>
        <w:t> </w:t>
      </w:r>
      <w:r>
        <w:rPr>
          <w:w w:val="120"/>
        </w:rPr>
        <w:t>través</w:t>
      </w:r>
      <w:r>
        <w:rPr>
          <w:spacing w:val="-18"/>
          <w:w w:val="120"/>
        </w:rPr>
        <w:t> </w:t>
      </w:r>
      <w:r>
        <w:rPr>
          <w:w w:val="120"/>
        </w:rPr>
        <w:t>del</w:t>
      </w:r>
      <w:r>
        <w:rPr>
          <w:spacing w:val="-18"/>
          <w:w w:val="120"/>
        </w:rPr>
        <w:t> </w:t>
      </w:r>
      <w:r>
        <w:rPr>
          <w:w w:val="120"/>
        </w:rPr>
        <w:t>análisis</w:t>
      </w:r>
      <w:r>
        <w:rPr>
          <w:spacing w:val="-18"/>
          <w:w w:val="120"/>
        </w:rPr>
        <w:t> </w:t>
      </w:r>
      <w:r>
        <w:rPr>
          <w:w w:val="120"/>
        </w:rPr>
        <w:t>de</w:t>
      </w:r>
      <w:r>
        <w:rPr>
          <w:spacing w:val="-18"/>
          <w:w w:val="120"/>
        </w:rPr>
        <w:t> </w:t>
      </w:r>
      <w:r>
        <w:rPr>
          <w:w w:val="120"/>
        </w:rPr>
        <w:t>aspectos</w:t>
      </w:r>
      <w:r>
        <w:rPr>
          <w:spacing w:val="-18"/>
          <w:w w:val="120"/>
        </w:rPr>
        <w:t> </w:t>
      </w:r>
      <w:r>
        <w:rPr>
          <w:w w:val="120"/>
        </w:rPr>
        <w:t>económicos,</w:t>
      </w:r>
      <w:r>
        <w:rPr>
          <w:spacing w:val="-18"/>
          <w:w w:val="120"/>
        </w:rPr>
        <w:t> </w:t>
      </w:r>
      <w:r>
        <w:rPr>
          <w:w w:val="120"/>
        </w:rPr>
        <w:t>políticos,</w:t>
      </w:r>
      <w:r>
        <w:rPr>
          <w:spacing w:val="-18"/>
          <w:w w:val="120"/>
        </w:rPr>
        <w:t> </w:t>
      </w:r>
      <w:r>
        <w:rPr>
          <w:w w:val="120"/>
        </w:rPr>
        <w:t>mi- </w:t>
      </w:r>
      <w:r>
        <w:rPr>
          <w:w w:val="115"/>
        </w:rPr>
        <w:t>litares, sociales e ideológicos de la hegemonía estadounidense en</w:t>
      </w:r>
      <w:r>
        <w:rPr>
          <w:spacing w:val="-19"/>
          <w:w w:val="115"/>
        </w:rPr>
        <w:t> </w:t>
      </w:r>
      <w:r>
        <w:rPr>
          <w:w w:val="115"/>
        </w:rPr>
        <w:t>la región,</w:t>
      </w:r>
      <w:r>
        <w:rPr>
          <w:spacing w:val="-27"/>
          <w:w w:val="115"/>
        </w:rPr>
        <w:t> </w:t>
      </w:r>
      <w:r>
        <w:rPr>
          <w:w w:val="115"/>
        </w:rPr>
        <w:t>y</w:t>
      </w:r>
      <w:r>
        <w:rPr>
          <w:spacing w:val="-27"/>
          <w:w w:val="115"/>
        </w:rPr>
        <w:t> </w:t>
      </w:r>
      <w:r>
        <w:rPr>
          <w:w w:val="115"/>
        </w:rPr>
        <w:t>discute</w:t>
      </w:r>
      <w:r>
        <w:rPr>
          <w:spacing w:val="-27"/>
          <w:w w:val="115"/>
        </w:rPr>
        <w:t> </w:t>
      </w:r>
      <w:r>
        <w:rPr>
          <w:w w:val="115"/>
        </w:rPr>
        <w:t>el</w:t>
      </w:r>
      <w:r>
        <w:rPr>
          <w:spacing w:val="-27"/>
          <w:w w:val="115"/>
        </w:rPr>
        <w:t> </w:t>
      </w:r>
      <w:r>
        <w:rPr>
          <w:w w:val="115"/>
        </w:rPr>
        <w:t>alcance</w:t>
      </w:r>
      <w:r>
        <w:rPr>
          <w:spacing w:val="-27"/>
          <w:w w:val="115"/>
        </w:rPr>
        <w:t> </w:t>
      </w:r>
      <w:r>
        <w:rPr>
          <w:w w:val="115"/>
        </w:rPr>
        <w:t>de</w:t>
      </w:r>
      <w:r>
        <w:rPr>
          <w:spacing w:val="-27"/>
          <w:w w:val="115"/>
        </w:rPr>
        <w:t> </w:t>
      </w:r>
      <w:r>
        <w:rPr>
          <w:w w:val="115"/>
        </w:rPr>
        <w:t>la</w:t>
      </w:r>
      <w:r>
        <w:rPr>
          <w:spacing w:val="-27"/>
          <w:w w:val="115"/>
        </w:rPr>
        <w:t> </w:t>
      </w:r>
      <w:r>
        <w:rPr>
          <w:w w:val="115"/>
        </w:rPr>
        <w:t>declinación</w:t>
      </w:r>
      <w:r>
        <w:rPr>
          <w:spacing w:val="-27"/>
          <w:w w:val="115"/>
        </w:rPr>
        <w:t> </w:t>
      </w:r>
      <w:r>
        <w:rPr>
          <w:w w:val="115"/>
        </w:rPr>
        <w:t>de</w:t>
      </w:r>
      <w:r>
        <w:rPr>
          <w:spacing w:val="-27"/>
          <w:w w:val="115"/>
        </w:rPr>
        <w:t> </w:t>
      </w:r>
      <w:r>
        <w:rPr>
          <w:w w:val="115"/>
        </w:rPr>
        <w:t>Washington</w:t>
      </w:r>
      <w:r>
        <w:rPr>
          <w:spacing w:val="-27"/>
          <w:w w:val="115"/>
        </w:rPr>
        <w:t> </w:t>
      </w:r>
      <w:r>
        <w:rPr>
          <w:w w:val="115"/>
        </w:rPr>
        <w:t>en</w:t>
      </w:r>
      <w:r>
        <w:rPr>
          <w:spacing w:val="-27"/>
          <w:w w:val="115"/>
        </w:rPr>
        <w:t> </w:t>
      </w:r>
      <w:r>
        <w:rPr>
          <w:w w:val="115"/>
        </w:rPr>
        <w:t>el</w:t>
      </w:r>
      <w:r>
        <w:rPr>
          <w:spacing w:val="-27"/>
          <w:w w:val="115"/>
        </w:rPr>
        <w:t> </w:t>
      </w:r>
      <w:r>
        <w:rPr>
          <w:w w:val="115"/>
        </w:rPr>
        <w:t>resto del</w:t>
      </w:r>
      <w:r>
        <w:rPr>
          <w:spacing w:val="-13"/>
          <w:w w:val="115"/>
        </w:rPr>
        <w:t> </w:t>
      </w:r>
      <w:r>
        <w:rPr>
          <w:w w:val="115"/>
        </w:rPr>
        <w:t>continente</w:t>
      </w:r>
      <w:r>
        <w:rPr>
          <w:spacing w:val="-13"/>
          <w:w w:val="115"/>
        </w:rPr>
        <w:t> </w:t>
      </w:r>
      <w:r>
        <w:rPr>
          <w:w w:val="115"/>
        </w:rPr>
        <w:t>y</w:t>
      </w:r>
      <w:r>
        <w:rPr>
          <w:spacing w:val="-13"/>
          <w:w w:val="115"/>
        </w:rPr>
        <w:t> </w:t>
      </w:r>
      <w:r>
        <w:rPr>
          <w:w w:val="115"/>
        </w:rPr>
        <w:t>cómo</w:t>
      </w:r>
      <w:r>
        <w:rPr>
          <w:spacing w:val="-13"/>
          <w:w w:val="115"/>
        </w:rPr>
        <w:t> </w:t>
      </w:r>
      <w:r>
        <w:rPr>
          <w:w w:val="115"/>
        </w:rPr>
        <w:t>estas</w:t>
      </w:r>
      <w:r>
        <w:rPr>
          <w:spacing w:val="-13"/>
          <w:w w:val="115"/>
        </w:rPr>
        <w:t> </w:t>
      </w:r>
      <w:r>
        <w:rPr>
          <w:w w:val="115"/>
        </w:rPr>
        <w:t>tendencias</w:t>
      </w:r>
      <w:r>
        <w:rPr>
          <w:spacing w:val="-13"/>
          <w:w w:val="115"/>
        </w:rPr>
        <w:t> </w:t>
      </w:r>
      <w:r>
        <w:rPr>
          <w:w w:val="115"/>
        </w:rPr>
        <w:t>y</w:t>
      </w:r>
      <w:r>
        <w:rPr>
          <w:spacing w:val="-13"/>
          <w:w w:val="115"/>
        </w:rPr>
        <w:t> </w:t>
      </w:r>
      <w:r>
        <w:rPr>
          <w:w w:val="115"/>
        </w:rPr>
        <w:t>contra-tendencias</w:t>
      </w:r>
      <w:r>
        <w:rPr>
          <w:spacing w:val="-13"/>
          <w:w w:val="115"/>
        </w:rPr>
        <w:t> </w:t>
      </w:r>
      <w:r>
        <w:rPr>
          <w:w w:val="115"/>
        </w:rPr>
        <w:t>influyen en los procesos de integración latinoamericana y se manifiestan,</w:t>
      </w:r>
      <w:r>
        <w:rPr>
          <w:spacing w:val="-22"/>
          <w:w w:val="115"/>
        </w:rPr>
        <w:t> </w:t>
      </w:r>
      <w:r>
        <w:rPr>
          <w:w w:val="115"/>
        </w:rPr>
        <w:t>en particular,</w:t>
      </w:r>
      <w:r>
        <w:rPr>
          <w:spacing w:val="-15"/>
          <w:w w:val="115"/>
        </w:rPr>
        <w:t> </w:t>
      </w:r>
      <w:r>
        <w:rPr>
          <w:w w:val="115"/>
        </w:rPr>
        <w:t>en</w:t>
      </w:r>
      <w:r>
        <w:rPr>
          <w:spacing w:val="-15"/>
          <w:w w:val="115"/>
        </w:rPr>
        <w:t> </w:t>
      </w:r>
      <w:r>
        <w:rPr>
          <w:w w:val="115"/>
        </w:rPr>
        <w:t>las</w:t>
      </w:r>
      <w:r>
        <w:rPr>
          <w:spacing w:val="-15"/>
          <w:w w:val="115"/>
        </w:rPr>
        <w:t> </w:t>
      </w:r>
      <w:r>
        <w:rPr>
          <w:w w:val="115"/>
        </w:rPr>
        <w:t>Cumbres</w:t>
      </w:r>
      <w:r>
        <w:rPr>
          <w:spacing w:val="-15"/>
          <w:w w:val="115"/>
        </w:rPr>
        <w:t> </w:t>
      </w:r>
      <w:r>
        <w:rPr>
          <w:w w:val="115"/>
        </w:rPr>
        <w:t>de</w:t>
      </w:r>
      <w:r>
        <w:rPr>
          <w:spacing w:val="-15"/>
          <w:w w:val="115"/>
        </w:rPr>
        <w:t> </w:t>
      </w:r>
      <w:r>
        <w:rPr>
          <w:w w:val="115"/>
        </w:rPr>
        <w:t>las</w:t>
      </w:r>
      <w:r>
        <w:rPr>
          <w:spacing w:val="-15"/>
          <w:w w:val="115"/>
        </w:rPr>
        <w:t> </w:t>
      </w:r>
      <w:r>
        <w:rPr>
          <w:w w:val="115"/>
        </w:rPr>
        <w:t>américas.</w:t>
      </w:r>
    </w:p>
    <w:p>
      <w:pPr>
        <w:pStyle w:val="BodyText"/>
        <w:spacing w:line="252" w:lineRule="auto"/>
        <w:ind w:left="100" w:right="327" w:firstLine="396"/>
        <w:jc w:val="both"/>
      </w:pPr>
      <w:r>
        <w:rPr>
          <w:w w:val="111"/>
        </w:rPr>
        <w:t>Para</w:t>
      </w:r>
      <w:r>
        <w:rPr/>
        <w:t> </w:t>
      </w:r>
      <w:r>
        <w:rPr>
          <w:spacing w:val="-17"/>
        </w:rPr>
        <w:t> </w:t>
      </w:r>
      <w:r>
        <w:rPr>
          <w:w w:val="112"/>
        </w:rPr>
        <w:t>concluir</w:t>
      </w:r>
      <w:r>
        <w:rPr/>
        <w:t> </w:t>
      </w:r>
      <w:r>
        <w:rPr>
          <w:spacing w:val="-17"/>
        </w:rPr>
        <w:t> </w:t>
      </w:r>
      <w:r>
        <w:rPr>
          <w:w w:val="107"/>
        </w:rPr>
        <w:t>esta</w:t>
      </w:r>
      <w:r>
        <w:rPr/>
        <w:t> </w:t>
      </w:r>
      <w:r>
        <w:rPr>
          <w:spacing w:val="-17"/>
        </w:rPr>
        <w:t> </w:t>
      </w:r>
      <w:r>
        <w:rPr>
          <w:w w:val="112"/>
        </w:rPr>
        <w:t>sección,</w:t>
      </w:r>
      <w:r>
        <w:rPr/>
        <w:t> </w:t>
      </w:r>
      <w:r>
        <w:rPr>
          <w:spacing w:val="-17"/>
        </w:rPr>
        <w:t> </w:t>
      </w:r>
      <w:r>
        <w:rPr>
          <w:w w:val="243"/>
        </w:rPr>
        <w:t>l</w:t>
      </w:r>
      <w:r>
        <w:rPr>
          <w:w w:val="109"/>
        </w:rPr>
        <w:t>aneydi</w:t>
      </w:r>
      <w:r>
        <w:rPr/>
        <w:t> </w:t>
      </w:r>
      <w:r>
        <w:rPr>
          <w:spacing w:val="-17"/>
        </w:rPr>
        <w:t> </w:t>
      </w:r>
      <w:r>
        <w:rPr>
          <w:w w:val="111"/>
        </w:rPr>
        <w:t>Martínez</w:t>
      </w:r>
      <w:r>
        <w:rPr/>
        <w:t> </w:t>
      </w:r>
      <w:r>
        <w:rPr>
          <w:spacing w:val="-17"/>
        </w:rPr>
        <w:t> </w:t>
      </w:r>
      <w:r>
        <w:rPr>
          <w:w w:val="139"/>
        </w:rPr>
        <w:t>a</w:t>
      </w:r>
      <w:r>
        <w:rPr>
          <w:w w:val="112"/>
        </w:rPr>
        <w:t>lfonso,</w:t>
      </w:r>
      <w:r>
        <w:rPr/>
        <w:t> </w:t>
      </w:r>
      <w:r>
        <w:rPr>
          <w:spacing w:val="-17"/>
        </w:rPr>
        <w:t> </w:t>
      </w:r>
      <w:r>
        <w:rPr>
          <w:w w:val="108"/>
        </w:rPr>
        <w:t>investig</w:t>
      </w:r>
      <w:r>
        <w:rPr>
          <w:spacing w:val="-1"/>
          <w:w w:val="108"/>
        </w:rPr>
        <w:t>a</w:t>
      </w:r>
      <w:r>
        <w:rPr>
          <w:w w:val="102"/>
        </w:rPr>
        <w:t>- </w:t>
      </w:r>
      <w:r>
        <w:rPr>
          <w:w w:val="115"/>
        </w:rPr>
        <w:t>dora</w:t>
      </w:r>
      <w:r>
        <w:rPr>
          <w:spacing w:val="-24"/>
          <w:w w:val="115"/>
        </w:rPr>
        <w:t> </w:t>
      </w:r>
      <w:r>
        <w:rPr>
          <w:w w:val="115"/>
        </w:rPr>
        <w:t>y</w:t>
      </w:r>
      <w:r>
        <w:rPr>
          <w:spacing w:val="-24"/>
          <w:w w:val="115"/>
        </w:rPr>
        <w:t> </w:t>
      </w:r>
      <w:r>
        <w:rPr>
          <w:w w:val="115"/>
        </w:rPr>
        <w:t>profesora</w:t>
      </w:r>
      <w:r>
        <w:rPr>
          <w:spacing w:val="-24"/>
          <w:w w:val="115"/>
        </w:rPr>
        <w:t> </w:t>
      </w:r>
      <w:r>
        <w:rPr>
          <w:w w:val="115"/>
        </w:rPr>
        <w:t>del</w:t>
      </w:r>
      <w:r>
        <w:rPr>
          <w:spacing w:val="-24"/>
          <w:w w:val="115"/>
        </w:rPr>
        <w:t> </w:t>
      </w:r>
      <w:r>
        <w:rPr>
          <w:w w:val="115"/>
        </w:rPr>
        <w:t>Centro</w:t>
      </w:r>
      <w:r>
        <w:rPr>
          <w:spacing w:val="-24"/>
          <w:w w:val="115"/>
        </w:rPr>
        <w:t> </w:t>
      </w:r>
      <w:r>
        <w:rPr>
          <w:w w:val="115"/>
        </w:rPr>
        <w:t>de</w:t>
      </w:r>
      <w:r>
        <w:rPr>
          <w:spacing w:val="-24"/>
          <w:w w:val="115"/>
        </w:rPr>
        <w:t> </w:t>
      </w:r>
      <w:r>
        <w:rPr>
          <w:w w:val="115"/>
        </w:rPr>
        <w:t>Estudios</w:t>
      </w:r>
      <w:r>
        <w:rPr>
          <w:spacing w:val="-24"/>
          <w:w w:val="115"/>
        </w:rPr>
        <w:t> </w:t>
      </w:r>
      <w:r>
        <w:rPr>
          <w:w w:val="115"/>
        </w:rPr>
        <w:t>Hemisféricos</w:t>
      </w:r>
      <w:r>
        <w:rPr>
          <w:spacing w:val="-24"/>
          <w:w w:val="115"/>
        </w:rPr>
        <w:t> </w:t>
      </w:r>
      <w:r>
        <w:rPr>
          <w:w w:val="115"/>
        </w:rPr>
        <w:t>y</w:t>
      </w:r>
      <w:r>
        <w:rPr>
          <w:spacing w:val="-24"/>
          <w:w w:val="115"/>
        </w:rPr>
        <w:t> </w:t>
      </w:r>
      <w:r>
        <w:rPr>
          <w:w w:val="115"/>
        </w:rPr>
        <w:t>sobre</w:t>
      </w:r>
      <w:r>
        <w:rPr>
          <w:spacing w:val="-24"/>
          <w:w w:val="115"/>
        </w:rPr>
        <w:t> </w:t>
      </w:r>
      <w:r>
        <w:rPr>
          <w:w w:val="115"/>
        </w:rPr>
        <w:t>Estados </w:t>
      </w:r>
      <w:r>
        <w:rPr>
          <w:w w:val="140"/>
        </w:rPr>
        <w:t>u</w:t>
      </w:r>
      <w:r>
        <w:rPr>
          <w:w w:val="110"/>
        </w:rPr>
        <w:t>nidos</w:t>
      </w:r>
      <w:r>
        <w:rPr/>
        <w:t> </w:t>
      </w:r>
      <w:r>
        <w:rPr>
          <w:spacing w:val="-12"/>
        </w:rPr>
        <w:t> </w:t>
      </w:r>
      <w:r>
        <w:rPr>
          <w:w w:val="98"/>
        </w:rPr>
        <w:t>(</w:t>
      </w:r>
      <w:r>
        <w:rPr>
          <w:w w:val="125"/>
        </w:rPr>
        <w:t>CEH</w:t>
      </w:r>
      <w:r>
        <w:rPr>
          <w:w w:val="149"/>
        </w:rPr>
        <w:t>s</w:t>
      </w:r>
      <w:r>
        <w:rPr>
          <w:w w:val="128"/>
        </w:rPr>
        <w:t>E</w:t>
      </w:r>
      <w:r>
        <w:rPr>
          <w:w w:val="140"/>
        </w:rPr>
        <w:t>u</w:t>
      </w:r>
      <w:r>
        <w:rPr>
          <w:w w:val="98"/>
        </w:rPr>
        <w:t>)</w:t>
      </w:r>
      <w:r>
        <w:rPr/>
        <w:t> </w:t>
      </w:r>
      <w:r>
        <w:rPr>
          <w:spacing w:val="-12"/>
        </w:rPr>
        <w:t> </w:t>
      </w:r>
      <w:r>
        <w:rPr>
          <w:w w:val="107"/>
        </w:rPr>
        <w:t>de</w:t>
      </w:r>
      <w:r>
        <w:rPr/>
        <w:t> </w:t>
      </w:r>
      <w:r>
        <w:rPr>
          <w:spacing w:val="-12"/>
        </w:rPr>
        <w:t> </w:t>
      </w:r>
      <w:r>
        <w:rPr>
          <w:w w:val="111"/>
        </w:rPr>
        <w:t>la</w:t>
      </w:r>
      <w:r>
        <w:rPr/>
        <w:t> </w:t>
      </w:r>
      <w:r>
        <w:rPr>
          <w:spacing w:val="-12"/>
        </w:rPr>
        <w:t> </w:t>
      </w:r>
      <w:r>
        <w:rPr>
          <w:w w:val="140"/>
        </w:rPr>
        <w:t>u</w:t>
      </w:r>
      <w:r>
        <w:rPr>
          <w:w w:val="108"/>
        </w:rPr>
        <w:t>niversidad</w:t>
      </w:r>
      <w:r>
        <w:rPr/>
        <w:t> </w:t>
      </w:r>
      <w:r>
        <w:rPr>
          <w:spacing w:val="-12"/>
        </w:rPr>
        <w:t> </w:t>
      </w:r>
      <w:r>
        <w:rPr>
          <w:w w:val="107"/>
        </w:rPr>
        <w:t>de</w:t>
      </w:r>
      <w:r>
        <w:rPr/>
        <w:t> </w:t>
      </w:r>
      <w:r>
        <w:rPr>
          <w:spacing w:val="-12"/>
        </w:rPr>
        <w:t> </w:t>
      </w:r>
      <w:r>
        <w:rPr>
          <w:w w:val="243"/>
        </w:rPr>
        <w:t>l</w:t>
      </w:r>
      <w:r>
        <w:rPr>
          <w:w w:val="112"/>
        </w:rPr>
        <w:t>a</w:t>
      </w:r>
      <w:r>
        <w:rPr/>
        <w:t> </w:t>
      </w:r>
      <w:r>
        <w:rPr>
          <w:spacing w:val="-12"/>
        </w:rPr>
        <w:t> </w:t>
      </w:r>
      <w:r>
        <w:rPr>
          <w:w w:val="115"/>
        </w:rPr>
        <w:t>Habana,</w:t>
      </w:r>
      <w:r>
        <w:rPr/>
        <w:t> </w:t>
      </w:r>
      <w:r>
        <w:rPr>
          <w:spacing w:val="-12"/>
        </w:rPr>
        <w:t> </w:t>
      </w:r>
      <w:r>
        <w:rPr>
          <w:w w:val="117"/>
        </w:rPr>
        <w:t>Cuba,</w:t>
      </w:r>
      <w:r>
        <w:rPr/>
        <w:t> </w:t>
      </w:r>
      <w:r>
        <w:rPr>
          <w:spacing w:val="-12"/>
        </w:rPr>
        <w:t> </w:t>
      </w:r>
      <w:r>
        <w:rPr>
          <w:w w:val="107"/>
        </w:rPr>
        <w:t>presenta </w:t>
      </w:r>
      <w:r>
        <w:rPr>
          <w:w w:val="112"/>
        </w:rPr>
        <w:t>un</w:t>
      </w:r>
      <w:r>
        <w:rPr/>
        <w:t>  </w:t>
      </w:r>
      <w:r>
        <w:rPr>
          <w:w w:val="110"/>
        </w:rPr>
        <w:t>trabajo</w:t>
      </w:r>
      <w:r>
        <w:rPr/>
        <w:t>  </w:t>
      </w:r>
      <w:r>
        <w:rPr>
          <w:w w:val="110"/>
        </w:rPr>
        <w:t>titulado</w:t>
      </w:r>
      <w:r>
        <w:rPr/>
        <w:t>  </w:t>
      </w:r>
      <w:r>
        <w:rPr>
          <w:w w:val="112"/>
        </w:rPr>
        <w:t>“Estados</w:t>
      </w:r>
      <w:r>
        <w:rPr/>
        <w:t>  </w:t>
      </w:r>
      <w:r>
        <w:rPr>
          <w:w w:val="140"/>
        </w:rPr>
        <w:t>u</w:t>
      </w:r>
      <w:r>
        <w:rPr>
          <w:w w:val="109"/>
        </w:rPr>
        <w:t>nidos-</w:t>
      </w:r>
      <w:r>
        <w:rPr>
          <w:w w:val="139"/>
        </w:rPr>
        <w:t>a</w:t>
      </w:r>
      <w:r>
        <w:rPr>
          <w:w w:val="111"/>
        </w:rPr>
        <w:t>mérica</w:t>
      </w:r>
      <w:r>
        <w:rPr/>
        <w:t>  </w:t>
      </w:r>
      <w:r>
        <w:rPr>
          <w:w w:val="243"/>
        </w:rPr>
        <w:t>l</w:t>
      </w:r>
      <w:r>
        <w:rPr>
          <w:w w:val="111"/>
        </w:rPr>
        <w:t>atina</w:t>
      </w:r>
      <w:r>
        <w:rPr/>
        <w:t>  </w:t>
      </w:r>
      <w:r>
        <w:rPr>
          <w:w w:val="105"/>
        </w:rPr>
        <w:t>y</w:t>
      </w:r>
      <w:r>
        <w:rPr/>
        <w:t>  </w:t>
      </w:r>
      <w:r>
        <w:rPr>
          <w:w w:val="107"/>
        </w:rPr>
        <w:t>el</w:t>
      </w:r>
      <w:r>
        <w:rPr/>
        <w:t>  </w:t>
      </w:r>
      <w:r>
        <w:rPr>
          <w:w w:val="112"/>
        </w:rPr>
        <w:t>Caribe</w:t>
      </w:r>
      <w:r>
        <w:rPr/>
        <w:t>  </w:t>
      </w:r>
      <w:r>
        <w:rPr>
          <w:w w:val="108"/>
        </w:rPr>
        <w:t>en </w:t>
      </w:r>
      <w:r>
        <w:rPr>
          <w:w w:val="115"/>
        </w:rPr>
        <w:t>un</w:t>
      </w:r>
      <w:r>
        <w:rPr>
          <w:spacing w:val="-16"/>
          <w:w w:val="115"/>
        </w:rPr>
        <w:t> </w:t>
      </w:r>
      <w:r>
        <w:rPr>
          <w:w w:val="115"/>
        </w:rPr>
        <w:t>nuevo</w:t>
      </w:r>
      <w:r>
        <w:rPr>
          <w:spacing w:val="-16"/>
          <w:w w:val="115"/>
        </w:rPr>
        <w:t> </w:t>
      </w:r>
      <w:r>
        <w:rPr>
          <w:w w:val="115"/>
        </w:rPr>
        <w:t>contexto</w:t>
      </w:r>
      <w:r>
        <w:rPr>
          <w:spacing w:val="-16"/>
          <w:w w:val="115"/>
        </w:rPr>
        <w:t> </w:t>
      </w:r>
      <w:r>
        <w:rPr>
          <w:w w:val="115"/>
        </w:rPr>
        <w:t>económico</w:t>
      </w:r>
      <w:r>
        <w:rPr>
          <w:spacing w:val="-16"/>
          <w:w w:val="115"/>
        </w:rPr>
        <w:t> </w:t>
      </w:r>
      <w:r>
        <w:rPr>
          <w:w w:val="115"/>
        </w:rPr>
        <w:t>internacional:</w:t>
      </w:r>
      <w:r>
        <w:rPr>
          <w:spacing w:val="-16"/>
          <w:w w:val="115"/>
        </w:rPr>
        <w:t> </w:t>
      </w:r>
      <w:r>
        <w:rPr>
          <w:w w:val="115"/>
        </w:rPr>
        <w:t>los</w:t>
      </w:r>
      <w:r>
        <w:rPr>
          <w:spacing w:val="-16"/>
          <w:w w:val="115"/>
        </w:rPr>
        <w:t> </w:t>
      </w:r>
      <w:r>
        <w:rPr>
          <w:w w:val="115"/>
        </w:rPr>
        <w:t>cambios</w:t>
      </w:r>
      <w:r>
        <w:rPr>
          <w:spacing w:val="-16"/>
          <w:w w:val="115"/>
        </w:rPr>
        <w:t> </w:t>
      </w:r>
      <w:r>
        <w:rPr>
          <w:w w:val="115"/>
        </w:rPr>
        <w:t>en</w:t>
      </w:r>
      <w:r>
        <w:rPr>
          <w:spacing w:val="-16"/>
          <w:w w:val="115"/>
        </w:rPr>
        <w:t> </w:t>
      </w:r>
      <w:r>
        <w:rPr>
          <w:w w:val="115"/>
        </w:rPr>
        <w:t>la</w:t>
      </w:r>
      <w:r>
        <w:rPr>
          <w:spacing w:val="-16"/>
          <w:w w:val="115"/>
        </w:rPr>
        <w:t> </w:t>
      </w:r>
      <w:r>
        <w:rPr>
          <w:w w:val="115"/>
        </w:rPr>
        <w:t>trans- misión</w:t>
      </w:r>
      <w:r>
        <w:rPr>
          <w:spacing w:val="-17"/>
          <w:w w:val="115"/>
        </w:rPr>
        <w:t> </w:t>
      </w:r>
      <w:r>
        <w:rPr>
          <w:w w:val="115"/>
        </w:rPr>
        <w:t>de</w:t>
      </w:r>
      <w:r>
        <w:rPr>
          <w:spacing w:val="-17"/>
          <w:w w:val="115"/>
        </w:rPr>
        <w:t> </w:t>
      </w:r>
      <w:r>
        <w:rPr>
          <w:w w:val="115"/>
        </w:rPr>
        <w:t>impulsos</w:t>
      </w:r>
      <w:r>
        <w:rPr>
          <w:spacing w:val="-17"/>
          <w:w w:val="115"/>
        </w:rPr>
        <w:t> </w:t>
      </w:r>
      <w:r>
        <w:rPr>
          <w:w w:val="115"/>
        </w:rPr>
        <w:t>cíclicos”,</w:t>
      </w:r>
      <w:r>
        <w:rPr>
          <w:spacing w:val="-17"/>
          <w:w w:val="115"/>
        </w:rPr>
        <w:t> </w:t>
      </w:r>
      <w:r>
        <w:rPr>
          <w:w w:val="115"/>
        </w:rPr>
        <w:t>trabajo</w:t>
      </w:r>
      <w:r>
        <w:rPr>
          <w:spacing w:val="-17"/>
          <w:w w:val="115"/>
        </w:rPr>
        <w:t> </w:t>
      </w:r>
      <w:r>
        <w:rPr>
          <w:w w:val="115"/>
        </w:rPr>
        <w:t>que</w:t>
      </w:r>
      <w:r>
        <w:rPr>
          <w:spacing w:val="-17"/>
          <w:w w:val="115"/>
        </w:rPr>
        <w:t> </w:t>
      </w:r>
      <w:r>
        <w:rPr>
          <w:w w:val="115"/>
        </w:rPr>
        <w:t>pretende</w:t>
      </w:r>
      <w:r>
        <w:rPr>
          <w:spacing w:val="-17"/>
          <w:w w:val="115"/>
        </w:rPr>
        <w:t> </w:t>
      </w:r>
      <w:r>
        <w:rPr>
          <w:w w:val="115"/>
        </w:rPr>
        <w:t>analizar</w:t>
      </w:r>
      <w:r>
        <w:rPr>
          <w:spacing w:val="-17"/>
          <w:w w:val="115"/>
        </w:rPr>
        <w:t> </w:t>
      </w:r>
      <w:r>
        <w:rPr>
          <w:w w:val="115"/>
        </w:rPr>
        <w:t>las</w:t>
      </w:r>
      <w:r>
        <w:rPr>
          <w:spacing w:val="-17"/>
          <w:w w:val="115"/>
        </w:rPr>
        <w:t> </w:t>
      </w:r>
      <w:r>
        <w:rPr>
          <w:w w:val="115"/>
        </w:rPr>
        <w:t>trans- formaciones</w:t>
      </w:r>
      <w:r>
        <w:rPr>
          <w:spacing w:val="-13"/>
          <w:w w:val="115"/>
        </w:rPr>
        <w:t> </w:t>
      </w:r>
      <w:r>
        <w:rPr>
          <w:w w:val="115"/>
        </w:rPr>
        <w:t>en</w:t>
      </w:r>
      <w:r>
        <w:rPr>
          <w:spacing w:val="-13"/>
          <w:w w:val="115"/>
        </w:rPr>
        <w:t> </w:t>
      </w:r>
      <w:r>
        <w:rPr>
          <w:w w:val="115"/>
        </w:rPr>
        <w:t>el</w:t>
      </w:r>
      <w:r>
        <w:rPr>
          <w:spacing w:val="-13"/>
          <w:w w:val="115"/>
        </w:rPr>
        <w:t> </w:t>
      </w:r>
      <w:r>
        <w:rPr>
          <w:w w:val="115"/>
        </w:rPr>
        <w:t>marco</w:t>
      </w:r>
      <w:r>
        <w:rPr>
          <w:spacing w:val="-13"/>
          <w:w w:val="115"/>
        </w:rPr>
        <w:t> </w:t>
      </w:r>
      <w:r>
        <w:rPr>
          <w:w w:val="115"/>
        </w:rPr>
        <w:t>de</w:t>
      </w:r>
      <w:r>
        <w:rPr>
          <w:spacing w:val="-13"/>
          <w:w w:val="115"/>
        </w:rPr>
        <w:t> </w:t>
      </w:r>
      <w:r>
        <w:rPr>
          <w:w w:val="115"/>
        </w:rPr>
        <w:t>las</w:t>
      </w:r>
      <w:r>
        <w:rPr>
          <w:spacing w:val="-13"/>
          <w:w w:val="115"/>
        </w:rPr>
        <w:t> </w:t>
      </w:r>
      <w:r>
        <w:rPr>
          <w:w w:val="115"/>
        </w:rPr>
        <w:t>relaciones</w:t>
      </w:r>
      <w:r>
        <w:rPr>
          <w:spacing w:val="-13"/>
          <w:w w:val="115"/>
        </w:rPr>
        <w:t> </w:t>
      </w:r>
      <w:r>
        <w:rPr>
          <w:w w:val="115"/>
        </w:rPr>
        <w:t>económicas</w:t>
      </w:r>
      <w:r>
        <w:rPr>
          <w:spacing w:val="-13"/>
          <w:w w:val="115"/>
        </w:rPr>
        <w:t> </w:t>
      </w:r>
      <w:r>
        <w:rPr>
          <w:w w:val="115"/>
        </w:rPr>
        <w:t>entre</w:t>
      </w:r>
      <w:r>
        <w:rPr>
          <w:spacing w:val="-13"/>
          <w:w w:val="115"/>
        </w:rPr>
        <w:t> </w:t>
      </w:r>
      <w:r>
        <w:rPr>
          <w:w w:val="115"/>
        </w:rPr>
        <w:t>Estados </w:t>
      </w:r>
      <w:r>
        <w:rPr>
          <w:w w:val="140"/>
        </w:rPr>
        <w:t>u</w:t>
      </w:r>
      <w:r>
        <w:rPr>
          <w:w w:val="110"/>
        </w:rPr>
        <w:t>nidos</w:t>
      </w:r>
      <w:r>
        <w:rPr/>
        <w:t> </w:t>
      </w:r>
      <w:r>
        <w:rPr>
          <w:spacing w:val="-6"/>
        </w:rPr>
        <w:t> </w:t>
      </w:r>
      <w:r>
        <w:rPr>
          <w:w w:val="105"/>
        </w:rPr>
        <w:t>y</w:t>
      </w:r>
      <w:r>
        <w:rPr/>
        <w:t> </w:t>
      </w:r>
      <w:r>
        <w:rPr>
          <w:spacing w:val="-6"/>
        </w:rPr>
        <w:t> </w:t>
      </w:r>
      <w:r>
        <w:rPr>
          <w:w w:val="139"/>
        </w:rPr>
        <w:t>a</w:t>
      </w:r>
      <w:r>
        <w:rPr>
          <w:w w:val="111"/>
        </w:rPr>
        <w:t>mérica</w:t>
      </w:r>
      <w:r>
        <w:rPr/>
        <w:t> </w:t>
      </w:r>
      <w:r>
        <w:rPr>
          <w:spacing w:val="-6"/>
        </w:rPr>
        <w:t> </w:t>
      </w:r>
      <w:r>
        <w:rPr>
          <w:w w:val="243"/>
        </w:rPr>
        <w:t>l</w:t>
      </w:r>
      <w:r>
        <w:rPr>
          <w:w w:val="111"/>
        </w:rPr>
        <w:t>atina</w:t>
      </w:r>
      <w:r>
        <w:rPr/>
        <w:t> </w:t>
      </w:r>
      <w:r>
        <w:rPr>
          <w:spacing w:val="-6"/>
        </w:rPr>
        <w:t> </w:t>
      </w:r>
      <w:r>
        <w:rPr>
          <w:w w:val="105"/>
        </w:rPr>
        <w:t>y</w:t>
      </w:r>
      <w:r>
        <w:rPr/>
        <w:t> </w:t>
      </w:r>
      <w:r>
        <w:rPr>
          <w:spacing w:val="-6"/>
        </w:rPr>
        <w:t> </w:t>
      </w:r>
      <w:r>
        <w:rPr>
          <w:w w:val="107"/>
        </w:rPr>
        <w:t>el</w:t>
      </w:r>
      <w:r>
        <w:rPr/>
        <w:t> </w:t>
      </w:r>
      <w:r>
        <w:rPr>
          <w:spacing w:val="-6"/>
        </w:rPr>
        <w:t> </w:t>
      </w:r>
      <w:r>
        <w:rPr>
          <w:w w:val="114"/>
        </w:rPr>
        <w:t>Caribe.</w:t>
      </w:r>
      <w:r>
        <w:rPr/>
        <w:t> </w:t>
      </w:r>
      <w:r>
        <w:rPr>
          <w:spacing w:val="-6"/>
        </w:rPr>
        <w:t> </w:t>
      </w:r>
      <w:r>
        <w:rPr>
          <w:w w:val="139"/>
        </w:rPr>
        <w:t>a</w:t>
      </w:r>
      <w:r>
        <w:rPr/>
        <w:t> </w:t>
      </w:r>
      <w:r>
        <w:rPr>
          <w:spacing w:val="-6"/>
        </w:rPr>
        <w:t> </w:t>
      </w:r>
      <w:r>
        <w:rPr>
          <w:w w:val="111"/>
        </w:rPr>
        <w:t>la</w:t>
      </w:r>
      <w:r>
        <w:rPr/>
        <w:t> </w:t>
      </w:r>
      <w:r>
        <w:rPr>
          <w:spacing w:val="-6"/>
        </w:rPr>
        <w:t> </w:t>
      </w:r>
      <w:r>
        <w:rPr>
          <w:w w:val="112"/>
        </w:rPr>
        <w:t>luz</w:t>
      </w:r>
      <w:r>
        <w:rPr/>
        <w:t> </w:t>
      </w:r>
      <w:r>
        <w:rPr>
          <w:spacing w:val="-6"/>
        </w:rPr>
        <w:t> </w:t>
      </w:r>
      <w:r>
        <w:rPr>
          <w:w w:val="107"/>
        </w:rPr>
        <w:t>de</w:t>
      </w:r>
      <w:r>
        <w:rPr/>
        <w:t> </w:t>
      </w:r>
      <w:r>
        <w:rPr>
          <w:spacing w:val="-6"/>
        </w:rPr>
        <w:t> </w:t>
      </w:r>
      <w:r>
        <w:rPr>
          <w:w w:val="108"/>
        </w:rPr>
        <w:t>los</w:t>
      </w:r>
      <w:r>
        <w:rPr/>
        <w:t> </w:t>
      </w:r>
      <w:r>
        <w:rPr>
          <w:spacing w:val="-6"/>
        </w:rPr>
        <w:t> </w:t>
      </w:r>
      <w:r>
        <w:rPr>
          <w:w w:val="111"/>
        </w:rPr>
        <w:t>cambios</w:t>
      </w:r>
      <w:r>
        <w:rPr/>
        <w:t> </w:t>
      </w:r>
      <w:r>
        <w:rPr>
          <w:spacing w:val="-6"/>
        </w:rPr>
        <w:t> </w:t>
      </w:r>
      <w:r>
        <w:rPr>
          <w:w w:val="108"/>
        </w:rPr>
        <w:t>en</w:t>
      </w:r>
      <w:r>
        <w:rPr/>
        <w:t> </w:t>
      </w:r>
      <w:r>
        <w:rPr>
          <w:spacing w:val="-6"/>
        </w:rPr>
        <w:t> </w:t>
      </w:r>
      <w:r>
        <w:rPr>
          <w:w w:val="111"/>
        </w:rPr>
        <w:t>la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economía internacional del siglo </w:t>
      </w:r>
      <w:r>
        <w:rPr>
          <w:w w:val="125"/>
        </w:rPr>
        <w:t>xxi, </w:t>
      </w:r>
      <w:r>
        <w:rPr>
          <w:w w:val="110"/>
        </w:rPr>
        <w:t>la autora parte de la premisa en la cual Estados unidos constituye un actor de importancia dual para  la región: como principal actor económico hemisférico y su crucial   rol en la arquitectura monetario-financiera internacional. Por consi- guiente, una interpretación actualizada de los debates del presente   en la transmisión de impulsos cíclicos desde este país hacia la región es un elemento trascendental a no desconocer para las proyecciones estratégicas de la región. En definitiva, la construcción de una región latinoamericana y caribeña menos vulnerable y dependiente, más di- versificada geográficamente en su inserción internacional y adaptada a las nuevas condiciones de la economía mundial, no puede desco- nocer los cambios en los patrones que marcan la interrelación de la región con la mayor economía del hemisferio, Estados   </w:t>
      </w:r>
      <w:r>
        <w:rPr>
          <w:spacing w:val="9"/>
          <w:w w:val="110"/>
        </w:rPr>
        <w:t> </w:t>
      </w:r>
      <w:r>
        <w:rPr>
          <w:w w:val="110"/>
        </w:rPr>
        <w:t>unidos.</w:t>
      </w:r>
    </w:p>
    <w:p>
      <w:pPr>
        <w:spacing w:after="0" w:line="252" w:lineRule="auto"/>
        <w:jc w:val="both"/>
        <w:sectPr>
          <w:pgSz w:w="8790" w:h="12760"/>
          <w:pgMar w:header="697" w:footer="725" w:top="880" w:bottom="920" w:left="120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Heading1"/>
        <w:ind w:hanging="169"/>
      </w:pPr>
      <w:r>
        <w:rPr>
          <w:spacing w:val="2"/>
          <w:w w:val="125"/>
        </w:rPr>
        <w:t>crisis</w:t>
      </w:r>
      <w:r>
        <w:rPr>
          <w:spacing w:val="-86"/>
          <w:w w:val="125"/>
        </w:rPr>
        <w:t> </w:t>
      </w:r>
      <w:r>
        <w:rPr>
          <w:w w:val="125"/>
        </w:rPr>
        <w:t>de</w:t>
      </w:r>
      <w:r>
        <w:rPr>
          <w:spacing w:val="-86"/>
          <w:w w:val="125"/>
        </w:rPr>
        <w:t> </w:t>
      </w:r>
      <w:r>
        <w:rPr>
          <w:spacing w:val="3"/>
          <w:w w:val="125"/>
        </w:rPr>
        <w:t>HeGeMonÍa </w:t>
      </w:r>
      <w:r>
        <w:rPr>
          <w:w w:val="135"/>
        </w:rPr>
        <w:t>de estados </w:t>
      </w:r>
      <w:r>
        <w:rPr>
          <w:spacing w:val="4"/>
          <w:w w:val="135"/>
        </w:rPr>
        <w:t>unidos</w:t>
      </w:r>
    </w:p>
    <w:p>
      <w:pPr>
        <w:spacing w:after="0"/>
        <w:sectPr>
          <w:headerReference w:type="even" r:id="rId67"/>
          <w:footerReference w:type="even" r:id="rId68"/>
          <w:pgSz w:w="8790" w:h="12760"/>
          <w:pgMar w:header="0" w:footer="0" w:top="1180" w:bottom="280" w:left="1200" w:right="1200"/>
        </w:sectPr>
      </w:pPr>
    </w:p>
    <w:p>
      <w:pPr>
        <w:pStyle w:val="BodyText"/>
        <w:spacing w:before="4"/>
        <w:rPr>
          <w:rFonts w:ascii="Times New Roman"/>
          <w:sz w:val="17"/>
        </w:rPr>
      </w:pPr>
    </w:p>
    <w:p>
      <w:pPr>
        <w:spacing w:after="0"/>
        <w:rPr>
          <w:rFonts w:ascii="Times New Roman"/>
          <w:sz w:val="17"/>
        </w:rPr>
        <w:sectPr>
          <w:headerReference w:type="default" r:id="rId69"/>
          <w:footerReference w:type="default" r:id="rId70"/>
          <w:pgSz w:w="8790" w:h="12760"/>
          <w:pgMar w:header="0" w:footer="0" w:top="1180" w:bottom="280" w:left="1200" w:right="12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pStyle w:val="Heading3"/>
      </w:pPr>
      <w:r>
        <w:rPr/>
        <w:t>Carlos Eduardo Martins*</w:t>
      </w:r>
    </w:p>
    <w:p>
      <w:pPr>
        <w:pStyle w:val="BodyText"/>
        <w:spacing w:before="9"/>
        <w:rPr>
          <w:sz w:val="20"/>
        </w:rPr>
      </w:pPr>
    </w:p>
    <w:p>
      <w:pPr>
        <w:spacing w:line="340" w:lineRule="exact" w:before="0"/>
        <w:ind w:left="789" w:right="1017" w:firstLine="0"/>
        <w:jc w:val="center"/>
        <w:rPr>
          <w:rFonts w:ascii="Times New Roman" w:hAnsi="Times New Roman"/>
          <w:b/>
          <w:sz w:val="30"/>
        </w:rPr>
      </w:pPr>
      <w:r>
        <w:rPr>
          <w:rFonts w:ascii="Times New Roman" w:hAnsi="Times New Roman"/>
          <w:b/>
          <w:spacing w:val="-2"/>
          <w:w w:val="135"/>
          <w:sz w:val="30"/>
        </w:rPr>
        <w:t>el</w:t>
      </w:r>
      <w:r>
        <w:rPr>
          <w:rFonts w:ascii="Times New Roman" w:hAnsi="Times New Roman"/>
          <w:b/>
          <w:spacing w:val="-61"/>
          <w:w w:val="135"/>
          <w:sz w:val="30"/>
        </w:rPr>
        <w:t> </w:t>
      </w:r>
      <w:r>
        <w:rPr>
          <w:rFonts w:ascii="Times New Roman" w:hAnsi="Times New Roman"/>
          <w:b/>
          <w:spacing w:val="-2"/>
          <w:w w:val="135"/>
          <w:sz w:val="30"/>
        </w:rPr>
        <w:t>sisteMa-Mundo</w:t>
      </w:r>
      <w:r>
        <w:rPr>
          <w:rFonts w:ascii="Times New Roman" w:hAnsi="Times New Roman"/>
          <w:b/>
          <w:spacing w:val="-61"/>
          <w:w w:val="135"/>
          <w:sz w:val="30"/>
        </w:rPr>
        <w:t> </w:t>
      </w:r>
      <w:r>
        <w:rPr>
          <w:rFonts w:ascii="Times New Roman" w:hAnsi="Times New Roman"/>
          <w:b/>
          <w:spacing w:val="-1"/>
          <w:w w:val="135"/>
          <w:sz w:val="30"/>
        </w:rPr>
        <w:t>caPitalista </w:t>
      </w:r>
      <w:r>
        <w:rPr>
          <w:rFonts w:ascii="Times New Roman" w:hAnsi="Times New Roman"/>
          <w:b/>
          <w:w w:val="119"/>
          <w:sz w:val="30"/>
        </w:rPr>
        <w:t>y</w:t>
      </w:r>
      <w:r>
        <w:rPr>
          <w:rFonts w:ascii="Times New Roman" w:hAnsi="Times New Roman"/>
          <w:b/>
          <w:sz w:val="30"/>
        </w:rPr>
        <w:t> </w:t>
      </w:r>
      <w:r>
        <w:rPr>
          <w:rFonts w:ascii="Times New Roman" w:hAnsi="Times New Roman"/>
          <w:b/>
          <w:spacing w:val="2"/>
          <w:w w:val="201"/>
          <w:sz w:val="30"/>
        </w:rPr>
        <w:t>l</w:t>
      </w:r>
      <w:r>
        <w:rPr>
          <w:rFonts w:ascii="Times New Roman" w:hAnsi="Times New Roman"/>
          <w:b/>
          <w:spacing w:val="4"/>
          <w:w w:val="145"/>
          <w:sz w:val="30"/>
        </w:rPr>
        <w:t>o</w:t>
      </w:r>
      <w:r>
        <w:rPr>
          <w:rFonts w:ascii="Times New Roman" w:hAnsi="Times New Roman"/>
          <w:b/>
          <w:w w:val="136"/>
          <w:sz w:val="30"/>
        </w:rPr>
        <w:t>s</w:t>
      </w:r>
      <w:r>
        <w:rPr>
          <w:rFonts w:ascii="Times New Roman" w:hAnsi="Times New Roman"/>
          <w:b/>
          <w:sz w:val="30"/>
        </w:rPr>
        <w:t> </w:t>
      </w:r>
      <w:r>
        <w:rPr>
          <w:rFonts w:ascii="Times New Roman" w:hAnsi="Times New Roman"/>
          <w:b/>
          <w:spacing w:val="1"/>
          <w:w w:val="128"/>
          <w:sz w:val="30"/>
        </w:rPr>
        <w:t>n</w:t>
      </w:r>
      <w:r>
        <w:rPr>
          <w:rFonts w:ascii="Times New Roman" w:hAnsi="Times New Roman"/>
          <w:b/>
          <w:spacing w:val="3"/>
          <w:w w:val="131"/>
          <w:sz w:val="30"/>
        </w:rPr>
        <w:t>ue</w:t>
      </w:r>
      <w:r>
        <w:rPr>
          <w:rFonts w:ascii="Times New Roman" w:hAnsi="Times New Roman"/>
          <w:b/>
          <w:spacing w:val="2"/>
          <w:w w:val="131"/>
          <w:sz w:val="30"/>
        </w:rPr>
        <w:t>v</w:t>
      </w:r>
      <w:r>
        <w:rPr>
          <w:rFonts w:ascii="Times New Roman" w:hAnsi="Times New Roman"/>
          <w:b/>
          <w:spacing w:val="4"/>
          <w:w w:val="145"/>
          <w:sz w:val="30"/>
        </w:rPr>
        <w:t>o</w:t>
      </w:r>
      <w:r>
        <w:rPr>
          <w:rFonts w:ascii="Times New Roman" w:hAnsi="Times New Roman"/>
          <w:b/>
          <w:w w:val="136"/>
          <w:sz w:val="30"/>
        </w:rPr>
        <w:t>s</w:t>
      </w:r>
      <w:r>
        <w:rPr>
          <w:rFonts w:ascii="Times New Roman" w:hAnsi="Times New Roman"/>
          <w:b/>
          <w:sz w:val="30"/>
        </w:rPr>
        <w:t> </w:t>
      </w:r>
      <w:r>
        <w:rPr>
          <w:rFonts w:ascii="Times New Roman" w:hAnsi="Times New Roman"/>
          <w:b/>
          <w:spacing w:val="3"/>
          <w:w w:val="129"/>
          <w:sz w:val="30"/>
        </w:rPr>
        <w:t>a</w:t>
      </w:r>
      <w:r>
        <w:rPr>
          <w:rFonts w:ascii="Times New Roman" w:hAnsi="Times New Roman"/>
          <w:b/>
          <w:spacing w:val="4"/>
          <w:w w:val="201"/>
          <w:sz w:val="30"/>
        </w:rPr>
        <w:t>l</w:t>
      </w:r>
      <w:r>
        <w:rPr>
          <w:rFonts w:ascii="Times New Roman" w:hAnsi="Times New Roman"/>
          <w:b/>
          <w:spacing w:val="3"/>
          <w:w w:val="130"/>
          <w:sz w:val="30"/>
        </w:rPr>
        <w:t>in</w:t>
      </w:r>
      <w:r>
        <w:rPr>
          <w:rFonts w:ascii="Times New Roman" w:hAnsi="Times New Roman"/>
          <w:b/>
          <w:spacing w:val="9"/>
          <w:w w:val="130"/>
          <w:sz w:val="30"/>
        </w:rPr>
        <w:t>e</w:t>
      </w:r>
      <w:r>
        <w:rPr>
          <w:rFonts w:ascii="Times New Roman" w:hAnsi="Times New Roman"/>
          <w:b/>
          <w:spacing w:val="3"/>
          <w:w w:val="129"/>
          <w:sz w:val="30"/>
        </w:rPr>
        <w:t>a</w:t>
      </w:r>
      <w:r>
        <w:rPr>
          <w:rFonts w:ascii="Times New Roman" w:hAnsi="Times New Roman"/>
          <w:b/>
          <w:spacing w:val="3"/>
          <w:w w:val="92"/>
          <w:sz w:val="30"/>
        </w:rPr>
        <w:t>M</w:t>
      </w:r>
      <w:r>
        <w:rPr>
          <w:rFonts w:ascii="Times New Roman" w:hAnsi="Times New Roman"/>
          <w:b/>
          <w:spacing w:val="3"/>
          <w:w w:val="132"/>
          <w:sz w:val="30"/>
        </w:rPr>
        <w:t>i</w:t>
      </w:r>
      <w:r>
        <w:rPr>
          <w:rFonts w:ascii="Times New Roman" w:hAnsi="Times New Roman"/>
          <w:b/>
          <w:spacing w:val="4"/>
          <w:w w:val="132"/>
          <w:sz w:val="30"/>
        </w:rPr>
        <w:t>e</w:t>
      </w:r>
      <w:r>
        <w:rPr>
          <w:rFonts w:ascii="Times New Roman" w:hAnsi="Times New Roman"/>
          <w:b/>
          <w:spacing w:val="4"/>
          <w:w w:val="128"/>
          <w:sz w:val="30"/>
        </w:rPr>
        <w:t>n</w:t>
      </w:r>
      <w:r>
        <w:rPr>
          <w:rFonts w:ascii="Times New Roman" w:hAnsi="Times New Roman"/>
          <w:b/>
          <w:spacing w:val="3"/>
          <w:w w:val="180"/>
          <w:sz w:val="30"/>
        </w:rPr>
        <w:t>t</w:t>
      </w:r>
      <w:r>
        <w:rPr>
          <w:rFonts w:ascii="Times New Roman" w:hAnsi="Times New Roman"/>
          <w:b/>
          <w:spacing w:val="4"/>
          <w:w w:val="145"/>
          <w:sz w:val="30"/>
        </w:rPr>
        <w:t>o</w:t>
      </w:r>
      <w:r>
        <w:rPr>
          <w:rFonts w:ascii="Times New Roman" w:hAnsi="Times New Roman"/>
          <w:b/>
          <w:w w:val="136"/>
          <w:sz w:val="30"/>
        </w:rPr>
        <w:t>s </w:t>
      </w:r>
      <w:r>
        <w:rPr>
          <w:rFonts w:ascii="Times New Roman" w:hAnsi="Times New Roman"/>
          <w:b/>
          <w:spacing w:val="4"/>
          <w:w w:val="89"/>
          <w:sz w:val="30"/>
        </w:rPr>
        <w:t>G</w:t>
      </w:r>
      <w:r>
        <w:rPr>
          <w:rFonts w:ascii="Times New Roman" w:hAnsi="Times New Roman"/>
          <w:b/>
          <w:spacing w:val="4"/>
          <w:w w:val="134"/>
          <w:sz w:val="30"/>
        </w:rPr>
        <w:t>e</w:t>
      </w:r>
      <w:r>
        <w:rPr>
          <w:rFonts w:ascii="Times New Roman" w:hAnsi="Times New Roman"/>
          <w:b/>
          <w:spacing w:val="3"/>
          <w:w w:val="145"/>
          <w:sz w:val="30"/>
        </w:rPr>
        <w:t>o</w:t>
      </w:r>
      <w:r>
        <w:rPr>
          <w:rFonts w:ascii="Times New Roman" w:hAnsi="Times New Roman"/>
          <w:b/>
          <w:spacing w:val="6"/>
          <w:w w:val="99"/>
          <w:sz w:val="30"/>
        </w:rPr>
        <w:t>P</w:t>
      </w:r>
      <w:r>
        <w:rPr>
          <w:rFonts w:ascii="Times New Roman" w:hAnsi="Times New Roman"/>
          <w:b/>
          <w:spacing w:val="3"/>
          <w:w w:val="165"/>
          <w:sz w:val="30"/>
        </w:rPr>
        <w:t>o</w:t>
      </w:r>
      <w:r>
        <w:rPr>
          <w:rFonts w:ascii="Times New Roman" w:hAnsi="Times New Roman"/>
          <w:b/>
          <w:spacing w:val="4"/>
          <w:w w:val="165"/>
          <w:sz w:val="30"/>
        </w:rPr>
        <w:t>l</w:t>
      </w:r>
      <w:r>
        <w:rPr>
          <w:rFonts w:ascii="Times New Roman" w:hAnsi="Times New Roman"/>
          <w:b/>
          <w:spacing w:val="3"/>
          <w:w w:val="92"/>
          <w:sz w:val="30"/>
        </w:rPr>
        <w:t>Í</w:t>
      </w:r>
      <w:r>
        <w:rPr>
          <w:rFonts w:ascii="Times New Roman" w:hAnsi="Times New Roman"/>
          <w:b/>
          <w:spacing w:val="3"/>
          <w:w w:val="150"/>
          <w:sz w:val="30"/>
        </w:rPr>
        <w:t>tic</w:t>
      </w:r>
      <w:r>
        <w:rPr>
          <w:rFonts w:ascii="Times New Roman" w:hAnsi="Times New Roman"/>
          <w:b/>
          <w:spacing w:val="4"/>
          <w:w w:val="150"/>
          <w:sz w:val="30"/>
        </w:rPr>
        <w:t>o</w:t>
      </w:r>
      <w:r>
        <w:rPr>
          <w:rFonts w:ascii="Times New Roman" w:hAnsi="Times New Roman"/>
          <w:b/>
          <w:w w:val="136"/>
          <w:sz w:val="30"/>
        </w:rPr>
        <w:t>s</w:t>
      </w:r>
      <w:r>
        <w:rPr>
          <w:rFonts w:ascii="Times New Roman" w:hAnsi="Times New Roman"/>
          <w:b/>
          <w:sz w:val="30"/>
        </w:rPr>
        <w:t> </w:t>
      </w:r>
      <w:r>
        <w:rPr>
          <w:rFonts w:ascii="Times New Roman" w:hAnsi="Times New Roman"/>
          <w:b/>
          <w:spacing w:val="4"/>
          <w:w w:val="134"/>
          <w:sz w:val="30"/>
        </w:rPr>
        <w:t>e</w:t>
      </w:r>
      <w:r>
        <w:rPr>
          <w:rFonts w:ascii="Times New Roman" w:hAnsi="Times New Roman"/>
          <w:b/>
          <w:w w:val="128"/>
          <w:sz w:val="30"/>
        </w:rPr>
        <w:t>n</w:t>
      </w:r>
      <w:r>
        <w:rPr>
          <w:rFonts w:ascii="Times New Roman" w:hAnsi="Times New Roman"/>
          <w:b/>
          <w:sz w:val="30"/>
        </w:rPr>
        <w:t> </w:t>
      </w:r>
      <w:r>
        <w:rPr>
          <w:rFonts w:ascii="Times New Roman" w:hAnsi="Times New Roman"/>
          <w:b/>
          <w:spacing w:val="4"/>
          <w:w w:val="134"/>
          <w:sz w:val="30"/>
        </w:rPr>
        <w:t>e</w:t>
      </w:r>
      <w:r>
        <w:rPr>
          <w:rFonts w:ascii="Times New Roman" w:hAnsi="Times New Roman"/>
          <w:b/>
          <w:w w:val="201"/>
          <w:sz w:val="30"/>
        </w:rPr>
        <w:t>l</w:t>
      </w:r>
      <w:r>
        <w:rPr>
          <w:rFonts w:ascii="Times New Roman" w:hAnsi="Times New Roman"/>
          <w:b/>
          <w:sz w:val="30"/>
        </w:rPr>
        <w:t> </w:t>
      </w:r>
      <w:r>
        <w:rPr>
          <w:rFonts w:ascii="Times New Roman" w:hAnsi="Times New Roman"/>
          <w:b/>
          <w:spacing w:val="3"/>
          <w:w w:val="136"/>
          <w:sz w:val="30"/>
        </w:rPr>
        <w:t>s</w:t>
      </w:r>
      <w:r>
        <w:rPr>
          <w:rFonts w:ascii="Times New Roman" w:hAnsi="Times New Roman"/>
          <w:b/>
          <w:spacing w:val="3"/>
          <w:w w:val="129"/>
          <w:sz w:val="30"/>
        </w:rPr>
        <w:t>i</w:t>
      </w:r>
      <w:r>
        <w:rPr>
          <w:rFonts w:ascii="Times New Roman" w:hAnsi="Times New Roman"/>
          <w:b/>
          <w:spacing w:val="4"/>
          <w:w w:val="89"/>
          <w:sz w:val="30"/>
        </w:rPr>
        <w:t>G</w:t>
      </w:r>
      <w:r>
        <w:rPr>
          <w:rFonts w:ascii="Times New Roman" w:hAnsi="Times New Roman"/>
          <w:b/>
          <w:spacing w:val="2"/>
          <w:w w:val="201"/>
          <w:sz w:val="30"/>
        </w:rPr>
        <w:t>l</w:t>
      </w:r>
      <w:r>
        <w:rPr>
          <w:rFonts w:ascii="Times New Roman" w:hAnsi="Times New Roman"/>
          <w:b/>
          <w:w w:val="145"/>
          <w:sz w:val="30"/>
        </w:rPr>
        <w:t>o</w:t>
      </w:r>
      <w:r>
        <w:rPr>
          <w:rFonts w:ascii="Times New Roman" w:hAnsi="Times New Roman"/>
          <w:b/>
          <w:sz w:val="30"/>
        </w:rPr>
        <w:t> </w:t>
      </w:r>
      <w:r>
        <w:rPr>
          <w:rFonts w:ascii="Times New Roman" w:hAnsi="Times New Roman"/>
          <w:b/>
          <w:spacing w:val="4"/>
          <w:w w:val="124"/>
          <w:sz w:val="30"/>
        </w:rPr>
        <w:t>x</w:t>
      </w:r>
      <w:r>
        <w:rPr>
          <w:rFonts w:ascii="Times New Roman" w:hAnsi="Times New Roman"/>
          <w:b/>
          <w:spacing w:val="5"/>
          <w:w w:val="124"/>
          <w:sz w:val="30"/>
        </w:rPr>
        <w:t>x</w:t>
      </w:r>
      <w:r>
        <w:rPr>
          <w:rFonts w:ascii="Times New Roman" w:hAnsi="Times New Roman"/>
          <w:b/>
          <w:w w:val="129"/>
          <w:sz w:val="30"/>
        </w:rPr>
        <w:t>i</w:t>
      </w:r>
    </w:p>
    <w:p>
      <w:pPr>
        <w:pStyle w:val="Heading4"/>
        <w:ind w:left="1712"/>
        <w:rPr>
          <w:rFonts w:ascii="Times New Roman" w:hAnsi="Times New Roman"/>
        </w:rPr>
      </w:pPr>
      <w:r>
        <w:rPr>
          <w:rFonts w:ascii="Times New Roman" w:hAnsi="Times New Roman"/>
          <w:w w:val="130"/>
        </w:rPr>
        <w:t>una visión ProsPectiva</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Heading6"/>
        <w:spacing w:before="187"/>
      </w:pPr>
      <w:bookmarkStart w:name="_TOC_250000" w:id="4"/>
      <w:bookmarkEnd w:id="4"/>
      <w:r>
        <w:rPr>
          <w:w w:val="140"/>
        </w:rPr>
        <w:t>introducción</w:t>
      </w:r>
    </w:p>
    <w:p>
      <w:pPr>
        <w:pStyle w:val="BodyText"/>
        <w:spacing w:line="252" w:lineRule="auto" w:before="10"/>
        <w:ind w:left="100" w:right="328"/>
        <w:jc w:val="both"/>
      </w:pPr>
      <w:r>
        <w:rPr>
          <w:w w:val="110"/>
        </w:rPr>
        <w:t>En este trabajo analizo la coyuntura mundial contemporánea desde   la perspectiva de la larga duración, que interpreta el tiempo concreto como la combinación simultánea de tres temporalidades distintas que </w:t>
      </w:r>
      <w:r>
        <w:rPr>
          <w:w w:val="105"/>
        </w:rPr>
        <w:t>se</w:t>
      </w:r>
      <w:r>
        <w:rPr/>
        <w:t> </w:t>
      </w:r>
      <w:r>
        <w:rPr>
          <w:spacing w:val="-14"/>
        </w:rPr>
        <w:t> </w:t>
      </w:r>
      <w:r>
        <w:rPr>
          <w:w w:val="111"/>
        </w:rPr>
        <w:t>articulan:</w:t>
      </w:r>
      <w:r>
        <w:rPr/>
        <w:t> </w:t>
      </w:r>
      <w:r>
        <w:rPr>
          <w:spacing w:val="-14"/>
        </w:rPr>
        <w:t> </w:t>
      </w:r>
      <w:r>
        <w:rPr>
          <w:w w:val="111"/>
        </w:rPr>
        <w:t>la</w:t>
      </w:r>
      <w:r>
        <w:rPr/>
        <w:t> </w:t>
      </w:r>
      <w:r>
        <w:rPr>
          <w:spacing w:val="-14"/>
        </w:rPr>
        <w:t> </w:t>
      </w:r>
      <w:r>
        <w:rPr>
          <w:w w:val="110"/>
        </w:rPr>
        <w:t>estructural,</w:t>
      </w:r>
      <w:r>
        <w:rPr/>
        <w:t> </w:t>
      </w:r>
      <w:r>
        <w:rPr>
          <w:spacing w:val="-14"/>
        </w:rPr>
        <w:t> </w:t>
      </w:r>
      <w:r>
        <w:rPr>
          <w:w w:val="111"/>
        </w:rPr>
        <w:t>la</w:t>
      </w:r>
      <w:r>
        <w:rPr/>
        <w:t> </w:t>
      </w:r>
      <w:r>
        <w:rPr>
          <w:spacing w:val="-14"/>
        </w:rPr>
        <w:t> </w:t>
      </w:r>
      <w:r>
        <w:rPr>
          <w:w w:val="114"/>
        </w:rPr>
        <w:t>cíclica</w:t>
      </w:r>
      <w:r>
        <w:rPr/>
        <w:t> </w:t>
      </w:r>
      <w:r>
        <w:rPr>
          <w:spacing w:val="-14"/>
        </w:rPr>
        <w:t> </w:t>
      </w:r>
      <w:r>
        <w:rPr>
          <w:w w:val="105"/>
        </w:rPr>
        <w:t>y</w:t>
      </w:r>
      <w:r>
        <w:rPr/>
        <w:t> </w:t>
      </w:r>
      <w:r>
        <w:rPr>
          <w:spacing w:val="-14"/>
        </w:rPr>
        <w:t> </w:t>
      </w:r>
      <w:r>
        <w:rPr>
          <w:w w:val="111"/>
        </w:rPr>
        <w:t>la</w:t>
      </w:r>
      <w:r>
        <w:rPr/>
        <w:t> </w:t>
      </w:r>
      <w:r>
        <w:rPr>
          <w:spacing w:val="-14"/>
        </w:rPr>
        <w:t> </w:t>
      </w:r>
      <w:r>
        <w:rPr>
          <w:w w:val="107"/>
        </w:rPr>
        <w:t>del</w:t>
      </w:r>
      <w:r>
        <w:rPr/>
        <w:t> </w:t>
      </w:r>
      <w:r>
        <w:rPr>
          <w:spacing w:val="-14"/>
        </w:rPr>
        <w:t> </w:t>
      </w:r>
      <w:r>
        <w:rPr>
          <w:w w:val="111"/>
        </w:rPr>
        <w:t>día</w:t>
      </w:r>
      <w:r>
        <w:rPr/>
        <w:t> </w:t>
      </w:r>
      <w:r>
        <w:rPr>
          <w:spacing w:val="-14"/>
        </w:rPr>
        <w:t> </w:t>
      </w:r>
      <w:r>
        <w:rPr>
          <w:w w:val="112"/>
        </w:rPr>
        <w:t>a</w:t>
      </w:r>
      <w:r>
        <w:rPr/>
        <w:t> </w:t>
      </w:r>
      <w:r>
        <w:rPr>
          <w:spacing w:val="-14"/>
        </w:rPr>
        <w:t> </w:t>
      </w:r>
      <w:r>
        <w:rPr>
          <w:w w:val="115"/>
        </w:rPr>
        <w:t>día.</w:t>
      </w:r>
      <w:r>
        <w:rPr/>
        <w:t> </w:t>
      </w:r>
      <w:r>
        <w:rPr>
          <w:spacing w:val="-14"/>
        </w:rPr>
        <w:t> </w:t>
      </w:r>
      <w:r>
        <w:rPr>
          <w:w w:val="243"/>
        </w:rPr>
        <w:t>l</w:t>
      </w:r>
      <w:r>
        <w:rPr>
          <w:w w:val="112"/>
        </w:rPr>
        <w:t>a</w:t>
      </w:r>
      <w:r>
        <w:rPr/>
        <w:t> </w:t>
      </w:r>
      <w:r>
        <w:rPr>
          <w:spacing w:val="-14"/>
        </w:rPr>
        <w:t> </w:t>
      </w:r>
      <w:r>
        <w:rPr>
          <w:w w:val="111"/>
        </w:rPr>
        <w:t>singulari</w:t>
      </w:r>
      <w:r>
        <w:rPr>
          <w:w w:val="102"/>
        </w:rPr>
        <w:t>- </w:t>
      </w:r>
      <w:r>
        <w:rPr>
          <w:w w:val="110"/>
        </w:rPr>
        <w:t>dad de nuestro tiempo no puede ser comprendida si no examinamos la articulación específica entre los tiempos estructural y cíclico que    se desarrollan actualmente. El primero es acumulativo e irreversible   y las repeticiones cíclicas inciden sobre sus configuraciones concre- tas singulares, asumiendo también formatos individualizados. Cuan- to mayor sea la capacidad de las ciencias sociales para describir los procesos estructurales y cíclicos en marcha y las formas concretas  que asumen en el tiempo inmediato, mayor será su posibilidad de desarrollar un pensamiento estratégico capaz de señalar las fuerzas hegemónicas, las contra-hegemónicas, los arreglos de poder de largo, mediano y corto plazo que resultan de las guerras de posición y de movimiento, y las bifurcaciones históricas que podrán dar lugar a</w:t>
      </w:r>
      <w:r>
        <w:rPr>
          <w:spacing w:val="31"/>
          <w:w w:val="110"/>
        </w:rPr>
        <w:t> </w:t>
      </w:r>
      <w:r>
        <w:rPr>
          <w:w w:val="110"/>
        </w:rPr>
        <w:t>una</w:t>
      </w:r>
    </w:p>
    <w:p>
      <w:pPr>
        <w:pStyle w:val="BodyText"/>
        <w:spacing w:before="3"/>
        <w:rPr>
          <w:sz w:val="26"/>
        </w:rPr>
      </w:pPr>
    </w:p>
    <w:p>
      <w:pPr>
        <w:spacing w:line="242" w:lineRule="auto" w:before="0"/>
        <w:ind w:left="270" w:right="328" w:hanging="171"/>
        <w:jc w:val="both"/>
        <w:rPr>
          <w:sz w:val="16"/>
        </w:rPr>
      </w:pPr>
      <w:r>
        <w:rPr>
          <w:w w:val="115"/>
          <w:sz w:val="16"/>
        </w:rPr>
        <w:t>* Profesor del departamento de Ciencia Política de la universidad Federal de</w:t>
      </w:r>
      <w:r>
        <w:rPr>
          <w:spacing w:val="-18"/>
          <w:w w:val="115"/>
          <w:sz w:val="16"/>
        </w:rPr>
        <w:t> </w:t>
      </w:r>
      <w:r>
        <w:rPr>
          <w:w w:val="125"/>
          <w:sz w:val="16"/>
        </w:rPr>
        <w:t>río </w:t>
      </w:r>
      <w:r>
        <w:rPr>
          <w:w w:val="115"/>
          <w:sz w:val="16"/>
        </w:rPr>
        <w:t>de Janeiro y Coordinador del Grupo de </w:t>
      </w:r>
      <w:r>
        <w:rPr>
          <w:spacing w:val="-3"/>
          <w:w w:val="115"/>
          <w:sz w:val="16"/>
        </w:rPr>
        <w:t>trabajo </w:t>
      </w:r>
      <w:r>
        <w:rPr>
          <w:w w:val="115"/>
          <w:sz w:val="16"/>
        </w:rPr>
        <w:t>integración regional y unidad </w:t>
      </w:r>
      <w:r>
        <w:rPr>
          <w:w w:val="238"/>
          <w:sz w:val="16"/>
        </w:rPr>
        <w:t>l</w:t>
      </w:r>
      <w:r>
        <w:rPr>
          <w:w w:val="109"/>
          <w:sz w:val="16"/>
        </w:rPr>
        <w:t>atinoamericana</w:t>
      </w:r>
      <w:r>
        <w:rPr>
          <w:spacing w:val="9"/>
          <w:sz w:val="16"/>
        </w:rPr>
        <w:t> </w:t>
      </w:r>
      <w:r>
        <w:rPr>
          <w:w w:val="104"/>
          <w:sz w:val="16"/>
        </w:rPr>
        <w:t>de</w:t>
      </w:r>
      <w:r>
        <w:rPr>
          <w:spacing w:val="9"/>
          <w:sz w:val="16"/>
        </w:rPr>
        <w:t> </w:t>
      </w:r>
      <w:r>
        <w:rPr>
          <w:w w:val="121"/>
          <w:sz w:val="16"/>
        </w:rPr>
        <w:t>C</w:t>
      </w:r>
      <w:r>
        <w:rPr>
          <w:w w:val="173"/>
          <w:sz w:val="16"/>
        </w:rPr>
        <w:t>la</w:t>
      </w:r>
      <w:r>
        <w:rPr>
          <w:w w:val="121"/>
          <w:sz w:val="16"/>
        </w:rPr>
        <w:t>C</w:t>
      </w:r>
      <w:r>
        <w:rPr>
          <w:w w:val="146"/>
          <w:sz w:val="16"/>
        </w:rPr>
        <w:t>so</w:t>
      </w:r>
      <w:r>
        <w:rPr>
          <w:w w:val="135"/>
          <w:sz w:val="16"/>
        </w:rPr>
        <w:t>.</w:t>
      </w:r>
    </w:p>
    <w:p>
      <w:pPr>
        <w:pStyle w:val="BodyText"/>
        <w:rPr>
          <w:sz w:val="20"/>
        </w:rPr>
      </w:pPr>
    </w:p>
    <w:p>
      <w:pPr>
        <w:pStyle w:val="BodyText"/>
        <w:spacing w:before="5"/>
        <w:rPr>
          <w:sz w:val="16"/>
        </w:rPr>
      </w:pPr>
    </w:p>
    <w:p>
      <w:pPr>
        <w:pStyle w:val="Heading7"/>
        <w:spacing w:line="240" w:lineRule="auto"/>
        <w:ind w:left="789" w:right="1017"/>
        <w:jc w:val="center"/>
      </w:pPr>
      <w:r>
        <w:rPr/>
        <w:t>39</w:t>
      </w:r>
    </w:p>
    <w:p>
      <w:pPr>
        <w:spacing w:after="0" w:line="240" w:lineRule="auto"/>
        <w:jc w:val="center"/>
        <w:sectPr>
          <w:headerReference w:type="even" r:id="rId71"/>
          <w:footerReference w:type="even" r:id="rId72"/>
          <w:pgSz w:w="8790" w:h="12760"/>
          <w:pgMar w:header="0" w:footer="0" w:top="1180" w:bottom="280" w:left="920" w:right="1200"/>
        </w:sectPr>
      </w:pPr>
    </w:p>
    <w:p>
      <w:pPr>
        <w:pStyle w:val="BodyText"/>
        <w:spacing w:before="7"/>
        <w:rPr>
          <w:sz w:val="28"/>
        </w:rPr>
      </w:pPr>
    </w:p>
    <w:p>
      <w:pPr>
        <w:pStyle w:val="BodyText"/>
        <w:spacing w:line="252" w:lineRule="auto" w:before="73"/>
        <w:ind w:left="330" w:right="118"/>
        <w:jc w:val="both"/>
      </w:pPr>
      <w:r>
        <w:rPr>
          <w:w w:val="110"/>
        </w:rPr>
        <w:t>amplia reconfiguración jerárquica del sistema-mundo y de sus expre- siones de poder globales, regionales y nacionales.</w:t>
      </w:r>
    </w:p>
    <w:p>
      <w:pPr>
        <w:pStyle w:val="BodyText"/>
        <w:spacing w:line="252" w:lineRule="auto"/>
        <w:ind w:left="330" w:right="113" w:firstLine="396"/>
        <w:jc w:val="both"/>
      </w:pPr>
      <w:r>
        <w:rPr>
          <w:w w:val="120"/>
        </w:rPr>
        <w:t>En </w:t>
      </w:r>
      <w:r>
        <w:rPr>
          <w:spacing w:val="2"/>
          <w:w w:val="120"/>
        </w:rPr>
        <w:t>este capítulo destaco </w:t>
      </w:r>
      <w:r>
        <w:rPr>
          <w:w w:val="120"/>
        </w:rPr>
        <w:t>las </w:t>
      </w:r>
      <w:r>
        <w:rPr>
          <w:spacing w:val="2"/>
          <w:w w:val="120"/>
        </w:rPr>
        <w:t>principales características </w:t>
      </w:r>
      <w:r>
        <w:rPr>
          <w:spacing w:val="3"/>
          <w:w w:val="120"/>
        </w:rPr>
        <w:t>de  </w:t>
      </w:r>
      <w:r>
        <w:rPr>
          <w:w w:val="120"/>
        </w:rPr>
        <w:t>la </w:t>
      </w:r>
      <w:r>
        <w:rPr>
          <w:spacing w:val="2"/>
          <w:w w:val="120"/>
        </w:rPr>
        <w:t>coyuntura mundial contemporánea, </w:t>
      </w:r>
      <w:r>
        <w:rPr>
          <w:w w:val="120"/>
        </w:rPr>
        <w:t>sus </w:t>
      </w:r>
      <w:r>
        <w:rPr>
          <w:spacing w:val="2"/>
          <w:w w:val="120"/>
        </w:rPr>
        <w:t>tendencias cíclicas </w:t>
      </w:r>
      <w:r>
        <w:rPr>
          <w:w w:val="120"/>
        </w:rPr>
        <w:t>y </w:t>
      </w:r>
      <w:r>
        <w:rPr>
          <w:spacing w:val="2"/>
          <w:w w:val="120"/>
        </w:rPr>
        <w:t>seculares, </w:t>
      </w:r>
      <w:r>
        <w:rPr>
          <w:w w:val="120"/>
        </w:rPr>
        <w:t>las </w:t>
      </w:r>
      <w:r>
        <w:rPr>
          <w:spacing w:val="2"/>
          <w:w w:val="120"/>
        </w:rPr>
        <w:t>configuraciones </w:t>
      </w:r>
      <w:r>
        <w:rPr>
          <w:w w:val="120"/>
        </w:rPr>
        <w:t>de </w:t>
      </w:r>
      <w:r>
        <w:rPr>
          <w:spacing w:val="2"/>
          <w:w w:val="120"/>
        </w:rPr>
        <w:t>poder dominantes, </w:t>
      </w:r>
      <w:r>
        <w:rPr>
          <w:w w:val="120"/>
        </w:rPr>
        <w:t>las </w:t>
      </w:r>
      <w:r>
        <w:rPr>
          <w:spacing w:val="3"/>
          <w:w w:val="120"/>
        </w:rPr>
        <w:t>fuerzas </w:t>
      </w:r>
      <w:r>
        <w:rPr>
          <w:spacing w:val="2"/>
          <w:w w:val="120"/>
        </w:rPr>
        <w:t>antisistémicas,</w:t>
      </w:r>
      <w:r>
        <w:rPr>
          <w:spacing w:val="-6"/>
          <w:w w:val="120"/>
        </w:rPr>
        <w:t> </w:t>
      </w:r>
      <w:r>
        <w:rPr>
          <w:w w:val="120"/>
        </w:rPr>
        <w:t>los</w:t>
      </w:r>
      <w:r>
        <w:rPr>
          <w:spacing w:val="-6"/>
          <w:w w:val="120"/>
        </w:rPr>
        <w:t> </w:t>
      </w:r>
      <w:r>
        <w:rPr>
          <w:spacing w:val="2"/>
          <w:w w:val="120"/>
        </w:rPr>
        <w:t>nuevos</w:t>
      </w:r>
      <w:r>
        <w:rPr>
          <w:spacing w:val="-6"/>
          <w:w w:val="120"/>
        </w:rPr>
        <w:t> </w:t>
      </w:r>
      <w:r>
        <w:rPr>
          <w:spacing w:val="2"/>
          <w:w w:val="120"/>
        </w:rPr>
        <w:t>alineamientos</w:t>
      </w:r>
      <w:r>
        <w:rPr>
          <w:spacing w:val="-6"/>
          <w:w w:val="120"/>
        </w:rPr>
        <w:t> </w:t>
      </w:r>
      <w:r>
        <w:rPr>
          <w:spacing w:val="2"/>
          <w:w w:val="120"/>
        </w:rPr>
        <w:t>geopolíticos</w:t>
      </w:r>
      <w:r>
        <w:rPr>
          <w:spacing w:val="-6"/>
          <w:w w:val="120"/>
        </w:rPr>
        <w:t> </w:t>
      </w:r>
      <w:r>
        <w:rPr>
          <w:w w:val="120"/>
        </w:rPr>
        <w:t>a</w:t>
      </w:r>
      <w:r>
        <w:rPr>
          <w:spacing w:val="-6"/>
          <w:w w:val="120"/>
        </w:rPr>
        <w:t> </w:t>
      </w:r>
      <w:r>
        <w:rPr>
          <w:w w:val="120"/>
        </w:rPr>
        <w:t>que</w:t>
      </w:r>
      <w:r>
        <w:rPr>
          <w:spacing w:val="-6"/>
          <w:w w:val="120"/>
        </w:rPr>
        <w:t> </w:t>
      </w:r>
      <w:r>
        <w:rPr>
          <w:spacing w:val="3"/>
          <w:w w:val="120"/>
        </w:rPr>
        <w:t>dan </w:t>
      </w:r>
      <w:r>
        <w:rPr>
          <w:spacing w:val="2"/>
          <w:w w:val="120"/>
        </w:rPr>
        <w:t>lugar </w:t>
      </w:r>
      <w:r>
        <w:rPr>
          <w:w w:val="120"/>
        </w:rPr>
        <w:t>y la </w:t>
      </w:r>
      <w:r>
        <w:rPr>
          <w:spacing w:val="2"/>
          <w:w w:val="120"/>
        </w:rPr>
        <w:t>bifurcación </w:t>
      </w:r>
      <w:r>
        <w:rPr>
          <w:w w:val="120"/>
        </w:rPr>
        <w:t>de </w:t>
      </w:r>
      <w:r>
        <w:rPr>
          <w:spacing w:val="2"/>
          <w:w w:val="120"/>
        </w:rPr>
        <w:t>poder </w:t>
      </w:r>
      <w:r>
        <w:rPr>
          <w:w w:val="120"/>
        </w:rPr>
        <w:t>que se </w:t>
      </w:r>
      <w:r>
        <w:rPr>
          <w:spacing w:val="2"/>
          <w:w w:val="120"/>
        </w:rPr>
        <w:t>espera para </w:t>
      </w:r>
      <w:r>
        <w:rPr>
          <w:w w:val="120"/>
        </w:rPr>
        <w:t>los </w:t>
      </w:r>
      <w:r>
        <w:rPr>
          <w:spacing w:val="3"/>
          <w:w w:val="120"/>
        </w:rPr>
        <w:t>próximos </w:t>
      </w:r>
      <w:r>
        <w:rPr>
          <w:spacing w:val="2"/>
          <w:w w:val="120"/>
        </w:rPr>
        <w:t>años. </w:t>
      </w:r>
      <w:r>
        <w:rPr>
          <w:w w:val="120"/>
        </w:rPr>
        <w:t>también </w:t>
      </w:r>
      <w:r>
        <w:rPr>
          <w:spacing w:val="2"/>
          <w:w w:val="120"/>
        </w:rPr>
        <w:t>muestro </w:t>
      </w:r>
      <w:r>
        <w:rPr>
          <w:w w:val="120"/>
        </w:rPr>
        <w:t>los </w:t>
      </w:r>
      <w:r>
        <w:rPr>
          <w:spacing w:val="2"/>
          <w:w w:val="120"/>
        </w:rPr>
        <w:t>desafíos </w:t>
      </w:r>
      <w:r>
        <w:rPr>
          <w:w w:val="120"/>
        </w:rPr>
        <w:t>que </w:t>
      </w:r>
      <w:r>
        <w:rPr>
          <w:spacing w:val="2"/>
          <w:w w:val="120"/>
        </w:rPr>
        <w:t>estarían </w:t>
      </w:r>
      <w:r>
        <w:rPr>
          <w:spacing w:val="3"/>
          <w:w w:val="120"/>
        </w:rPr>
        <w:t>enfrentando </w:t>
      </w:r>
      <w:r>
        <w:rPr>
          <w:spacing w:val="3"/>
          <w:w w:val="142"/>
        </w:rPr>
        <w:t>a</w:t>
      </w:r>
      <w:r>
        <w:rPr>
          <w:spacing w:val="3"/>
          <w:w w:val="113"/>
        </w:rPr>
        <w:t>méric</w:t>
      </w:r>
      <w:r>
        <w:rPr>
          <w:w w:val="113"/>
        </w:rPr>
        <w:t>a</w:t>
      </w:r>
      <w:r>
        <w:rPr/>
        <w:t> </w:t>
      </w:r>
      <w:r>
        <w:rPr>
          <w:spacing w:val="-7"/>
        </w:rPr>
        <w:t> </w:t>
      </w:r>
      <w:r>
        <w:rPr>
          <w:spacing w:val="3"/>
          <w:w w:val="248"/>
        </w:rPr>
        <w:t>l</w:t>
      </w:r>
      <w:r>
        <w:rPr>
          <w:spacing w:val="3"/>
          <w:w w:val="113"/>
        </w:rPr>
        <w:t>atin</w:t>
      </w:r>
      <w:r>
        <w:rPr>
          <w:w w:val="113"/>
        </w:rPr>
        <w:t>a</w:t>
      </w:r>
      <w:r>
        <w:rPr/>
        <w:t> </w:t>
      </w:r>
      <w:r>
        <w:rPr>
          <w:spacing w:val="-7"/>
        </w:rPr>
        <w:t> </w:t>
      </w:r>
      <w:r>
        <w:rPr>
          <w:w w:val="107"/>
        </w:rPr>
        <w:t>y</w:t>
      </w:r>
      <w:r>
        <w:rPr/>
        <w:t> </w:t>
      </w:r>
      <w:r>
        <w:rPr>
          <w:spacing w:val="-7"/>
        </w:rPr>
        <w:t> </w:t>
      </w:r>
      <w:r>
        <w:rPr>
          <w:spacing w:val="3"/>
          <w:w w:val="137"/>
        </w:rPr>
        <w:t>b</w:t>
      </w:r>
      <w:r>
        <w:rPr>
          <w:spacing w:val="3"/>
          <w:w w:val="111"/>
        </w:rPr>
        <w:t>rasi</w:t>
      </w:r>
      <w:r>
        <w:rPr>
          <w:w w:val="111"/>
        </w:rPr>
        <w:t>l</w:t>
      </w:r>
      <w:r>
        <w:rPr/>
        <w:t> </w:t>
      </w:r>
      <w:r>
        <w:rPr>
          <w:spacing w:val="-7"/>
        </w:rPr>
        <w:t> </w:t>
      </w:r>
      <w:r>
        <w:rPr>
          <w:spacing w:val="3"/>
          <w:w w:val="110"/>
        </w:rPr>
        <w:t>e</w:t>
      </w:r>
      <w:r>
        <w:rPr>
          <w:w w:val="110"/>
        </w:rPr>
        <w:t>n</w:t>
      </w:r>
      <w:r>
        <w:rPr/>
        <w:t> </w:t>
      </w:r>
      <w:r>
        <w:rPr>
          <w:spacing w:val="-7"/>
        </w:rPr>
        <w:t> </w:t>
      </w:r>
      <w:r>
        <w:rPr>
          <w:spacing w:val="3"/>
          <w:w w:val="109"/>
        </w:rPr>
        <w:t>e</w:t>
      </w:r>
      <w:r>
        <w:rPr>
          <w:w w:val="109"/>
        </w:rPr>
        <w:t>l</w:t>
      </w:r>
      <w:r>
        <w:rPr/>
        <w:t> </w:t>
      </w:r>
      <w:r>
        <w:rPr>
          <w:spacing w:val="-7"/>
        </w:rPr>
        <w:t> </w:t>
      </w:r>
      <w:r>
        <w:rPr>
          <w:spacing w:val="3"/>
          <w:w w:val="111"/>
        </w:rPr>
        <w:t>context</w:t>
      </w:r>
      <w:r>
        <w:rPr>
          <w:w w:val="111"/>
        </w:rPr>
        <w:t>o</w:t>
      </w:r>
      <w:r>
        <w:rPr/>
        <w:t> </w:t>
      </w:r>
      <w:r>
        <w:rPr>
          <w:spacing w:val="-7"/>
        </w:rPr>
        <w:t> </w:t>
      </w:r>
      <w:r>
        <w:rPr>
          <w:spacing w:val="3"/>
          <w:w w:val="114"/>
        </w:rPr>
        <w:t>actua</w:t>
      </w:r>
      <w:r>
        <w:rPr>
          <w:w w:val="114"/>
        </w:rPr>
        <w:t>l</w:t>
      </w:r>
      <w:r>
        <w:rPr/>
        <w:t> </w:t>
      </w:r>
      <w:r>
        <w:rPr>
          <w:spacing w:val="-7"/>
        </w:rPr>
        <w:t> </w:t>
      </w:r>
      <w:r>
        <w:rPr>
          <w:w w:val="107"/>
        </w:rPr>
        <w:t>y</w:t>
      </w:r>
      <w:r>
        <w:rPr/>
        <w:t> </w:t>
      </w:r>
      <w:r>
        <w:rPr>
          <w:spacing w:val="-7"/>
        </w:rPr>
        <w:t> </w:t>
      </w:r>
      <w:r>
        <w:rPr>
          <w:spacing w:val="3"/>
          <w:w w:val="110"/>
        </w:rPr>
        <w:t>e</w:t>
      </w:r>
      <w:r>
        <w:rPr>
          <w:w w:val="110"/>
        </w:rPr>
        <w:t>n</w:t>
      </w:r>
      <w:r>
        <w:rPr/>
        <w:t> </w:t>
      </w:r>
      <w:r>
        <w:rPr>
          <w:spacing w:val="-7"/>
        </w:rPr>
        <w:t> </w:t>
      </w:r>
      <w:r>
        <w:rPr>
          <w:spacing w:val="3"/>
          <w:w w:val="111"/>
        </w:rPr>
        <w:t>la</w:t>
      </w:r>
      <w:r>
        <w:rPr>
          <w:w w:val="111"/>
        </w:rPr>
        <w:t>s</w:t>
      </w:r>
      <w:r>
        <w:rPr/>
        <w:t> </w:t>
      </w:r>
      <w:r>
        <w:rPr>
          <w:spacing w:val="-7"/>
        </w:rPr>
        <w:t> </w:t>
      </w:r>
      <w:r>
        <w:rPr>
          <w:spacing w:val="3"/>
          <w:w w:val="111"/>
        </w:rPr>
        <w:t>siguientes </w:t>
      </w:r>
      <w:r>
        <w:rPr>
          <w:spacing w:val="2"/>
          <w:w w:val="120"/>
        </w:rPr>
        <w:t>décadas.</w:t>
      </w:r>
      <w:r>
        <w:rPr>
          <w:spacing w:val="-11"/>
          <w:w w:val="120"/>
        </w:rPr>
        <w:t> </w:t>
      </w:r>
      <w:r>
        <w:rPr>
          <w:spacing w:val="2"/>
          <w:w w:val="120"/>
        </w:rPr>
        <w:t>desde</w:t>
      </w:r>
      <w:r>
        <w:rPr>
          <w:spacing w:val="-11"/>
          <w:w w:val="120"/>
        </w:rPr>
        <w:t> </w:t>
      </w:r>
      <w:r>
        <w:rPr>
          <w:spacing w:val="2"/>
          <w:w w:val="120"/>
        </w:rPr>
        <w:t>1994,</w:t>
      </w:r>
      <w:r>
        <w:rPr>
          <w:spacing w:val="-11"/>
          <w:w w:val="120"/>
        </w:rPr>
        <w:t> </w:t>
      </w:r>
      <w:r>
        <w:rPr>
          <w:spacing w:val="2"/>
          <w:w w:val="120"/>
        </w:rPr>
        <w:t>asistimos</w:t>
      </w:r>
      <w:r>
        <w:rPr>
          <w:spacing w:val="-11"/>
          <w:w w:val="120"/>
        </w:rPr>
        <w:t> </w:t>
      </w:r>
      <w:r>
        <w:rPr>
          <w:w w:val="120"/>
        </w:rPr>
        <w:t>a</w:t>
      </w:r>
      <w:r>
        <w:rPr>
          <w:spacing w:val="-11"/>
          <w:w w:val="120"/>
        </w:rPr>
        <w:t> </w:t>
      </w:r>
      <w:r>
        <w:rPr>
          <w:w w:val="120"/>
        </w:rPr>
        <w:t>una</w:t>
      </w:r>
      <w:r>
        <w:rPr>
          <w:spacing w:val="-11"/>
          <w:w w:val="120"/>
        </w:rPr>
        <w:t> </w:t>
      </w:r>
      <w:r>
        <w:rPr>
          <w:spacing w:val="2"/>
          <w:w w:val="120"/>
        </w:rPr>
        <w:t>fase</w:t>
      </w:r>
      <w:r>
        <w:rPr>
          <w:spacing w:val="-11"/>
          <w:w w:val="120"/>
        </w:rPr>
        <w:t> </w:t>
      </w:r>
      <w:r>
        <w:rPr>
          <w:w w:val="120"/>
        </w:rPr>
        <w:t>de</w:t>
      </w:r>
      <w:r>
        <w:rPr>
          <w:spacing w:val="-11"/>
          <w:w w:val="120"/>
        </w:rPr>
        <w:t> </w:t>
      </w:r>
      <w:r>
        <w:rPr>
          <w:spacing w:val="2"/>
          <w:w w:val="120"/>
        </w:rPr>
        <w:t>expansión</w:t>
      </w:r>
      <w:r>
        <w:rPr>
          <w:spacing w:val="-11"/>
          <w:w w:val="120"/>
        </w:rPr>
        <w:t> </w:t>
      </w:r>
      <w:r>
        <w:rPr>
          <w:w w:val="120"/>
        </w:rPr>
        <w:t>del</w:t>
      </w:r>
      <w:r>
        <w:rPr>
          <w:spacing w:val="-11"/>
          <w:w w:val="120"/>
        </w:rPr>
        <w:t> </w:t>
      </w:r>
      <w:r>
        <w:rPr>
          <w:spacing w:val="3"/>
          <w:w w:val="120"/>
        </w:rPr>
        <w:t>ciclo </w:t>
      </w:r>
      <w:r>
        <w:rPr>
          <w:spacing w:val="2"/>
          <w:w w:val="120"/>
        </w:rPr>
        <w:t>Kondratiev </w:t>
      </w:r>
      <w:r>
        <w:rPr>
          <w:w w:val="120"/>
        </w:rPr>
        <w:t>que se </w:t>
      </w:r>
      <w:r>
        <w:rPr>
          <w:spacing w:val="2"/>
          <w:w w:val="120"/>
        </w:rPr>
        <w:t>articula </w:t>
      </w:r>
      <w:r>
        <w:rPr>
          <w:w w:val="120"/>
        </w:rPr>
        <w:t>a dos </w:t>
      </w:r>
      <w:r>
        <w:rPr>
          <w:spacing w:val="2"/>
          <w:w w:val="120"/>
        </w:rPr>
        <w:t>movimientos descendentes </w:t>
      </w:r>
      <w:r>
        <w:rPr>
          <w:spacing w:val="3"/>
          <w:w w:val="120"/>
        </w:rPr>
        <w:t>de </w:t>
      </w:r>
      <w:r>
        <w:rPr>
          <w:spacing w:val="2"/>
          <w:w w:val="120"/>
        </w:rPr>
        <w:t>larga</w:t>
      </w:r>
      <w:r>
        <w:rPr>
          <w:spacing w:val="-19"/>
          <w:w w:val="120"/>
        </w:rPr>
        <w:t> </w:t>
      </w:r>
      <w:r>
        <w:rPr>
          <w:spacing w:val="2"/>
          <w:w w:val="120"/>
        </w:rPr>
        <w:t>duración:</w:t>
      </w:r>
      <w:r>
        <w:rPr>
          <w:spacing w:val="-19"/>
          <w:w w:val="120"/>
        </w:rPr>
        <w:t> </w:t>
      </w:r>
      <w:r>
        <w:rPr>
          <w:w w:val="120"/>
        </w:rPr>
        <w:t>la</w:t>
      </w:r>
      <w:r>
        <w:rPr>
          <w:spacing w:val="-19"/>
          <w:w w:val="120"/>
        </w:rPr>
        <w:t> </w:t>
      </w:r>
      <w:r>
        <w:rPr>
          <w:spacing w:val="2"/>
          <w:w w:val="120"/>
        </w:rPr>
        <w:t>fase</w:t>
      </w:r>
      <w:r>
        <w:rPr>
          <w:spacing w:val="-19"/>
          <w:w w:val="120"/>
        </w:rPr>
        <w:t> </w:t>
      </w:r>
      <w:r>
        <w:rPr>
          <w:w w:val="120"/>
        </w:rPr>
        <w:t>b</w:t>
      </w:r>
      <w:r>
        <w:rPr>
          <w:spacing w:val="-19"/>
          <w:w w:val="120"/>
        </w:rPr>
        <w:t> </w:t>
      </w:r>
      <w:r>
        <w:rPr>
          <w:w w:val="120"/>
        </w:rPr>
        <w:t>del</w:t>
      </w:r>
      <w:r>
        <w:rPr>
          <w:spacing w:val="-19"/>
          <w:w w:val="120"/>
        </w:rPr>
        <w:t> </w:t>
      </w:r>
      <w:r>
        <w:rPr>
          <w:spacing w:val="2"/>
          <w:w w:val="120"/>
        </w:rPr>
        <w:t>ciclo</w:t>
      </w:r>
      <w:r>
        <w:rPr>
          <w:spacing w:val="-19"/>
          <w:w w:val="120"/>
        </w:rPr>
        <w:t> </w:t>
      </w:r>
      <w:r>
        <w:rPr>
          <w:spacing w:val="2"/>
          <w:w w:val="120"/>
        </w:rPr>
        <w:t>sistémico</w:t>
      </w:r>
      <w:r>
        <w:rPr>
          <w:spacing w:val="-19"/>
          <w:w w:val="120"/>
        </w:rPr>
        <w:t> </w:t>
      </w:r>
      <w:r>
        <w:rPr>
          <w:spacing w:val="2"/>
          <w:w w:val="120"/>
        </w:rPr>
        <w:t>estadounidense,</w:t>
      </w:r>
      <w:r>
        <w:rPr>
          <w:spacing w:val="-19"/>
          <w:w w:val="120"/>
        </w:rPr>
        <w:t> </w:t>
      </w:r>
      <w:r>
        <w:rPr>
          <w:w w:val="120"/>
        </w:rPr>
        <w:t>mar- </w:t>
      </w:r>
      <w:r>
        <w:rPr>
          <w:spacing w:val="2"/>
          <w:w w:val="120"/>
        </w:rPr>
        <w:t>cada</w:t>
      </w:r>
      <w:r>
        <w:rPr>
          <w:spacing w:val="-7"/>
          <w:w w:val="120"/>
        </w:rPr>
        <w:t> </w:t>
      </w:r>
      <w:r>
        <w:rPr>
          <w:w w:val="120"/>
        </w:rPr>
        <w:t>por</w:t>
      </w:r>
      <w:r>
        <w:rPr>
          <w:spacing w:val="-7"/>
          <w:w w:val="120"/>
        </w:rPr>
        <w:t> </w:t>
      </w:r>
      <w:r>
        <w:rPr>
          <w:w w:val="120"/>
        </w:rPr>
        <w:t>la</w:t>
      </w:r>
      <w:r>
        <w:rPr>
          <w:spacing w:val="-7"/>
          <w:w w:val="120"/>
        </w:rPr>
        <w:t> </w:t>
      </w:r>
      <w:r>
        <w:rPr>
          <w:spacing w:val="2"/>
          <w:w w:val="120"/>
        </w:rPr>
        <w:t>crisis</w:t>
      </w:r>
      <w:r>
        <w:rPr>
          <w:spacing w:val="-7"/>
          <w:w w:val="120"/>
        </w:rPr>
        <w:t> </w:t>
      </w:r>
      <w:r>
        <w:rPr>
          <w:w w:val="120"/>
        </w:rPr>
        <w:t>de</w:t>
      </w:r>
      <w:r>
        <w:rPr>
          <w:spacing w:val="-7"/>
          <w:w w:val="120"/>
        </w:rPr>
        <w:t> </w:t>
      </w:r>
      <w:r>
        <w:rPr>
          <w:spacing w:val="2"/>
          <w:w w:val="120"/>
        </w:rPr>
        <w:t>esta</w:t>
      </w:r>
      <w:r>
        <w:rPr>
          <w:spacing w:val="-7"/>
          <w:w w:val="120"/>
        </w:rPr>
        <w:t> </w:t>
      </w:r>
      <w:r>
        <w:rPr>
          <w:spacing w:val="2"/>
          <w:w w:val="120"/>
        </w:rPr>
        <w:t>hegemonía,</w:t>
      </w:r>
      <w:r>
        <w:rPr>
          <w:spacing w:val="-7"/>
          <w:w w:val="120"/>
        </w:rPr>
        <w:t> </w:t>
      </w:r>
      <w:r>
        <w:rPr>
          <w:spacing w:val="2"/>
          <w:w w:val="120"/>
        </w:rPr>
        <w:t>iniciada</w:t>
      </w:r>
      <w:r>
        <w:rPr>
          <w:spacing w:val="-7"/>
          <w:w w:val="120"/>
        </w:rPr>
        <w:t> </w:t>
      </w:r>
      <w:r>
        <w:rPr>
          <w:w w:val="120"/>
        </w:rPr>
        <w:t>en</w:t>
      </w:r>
      <w:r>
        <w:rPr>
          <w:spacing w:val="-7"/>
          <w:w w:val="120"/>
        </w:rPr>
        <w:t> </w:t>
      </w:r>
      <w:r>
        <w:rPr>
          <w:spacing w:val="2"/>
          <w:w w:val="120"/>
        </w:rPr>
        <w:t>1970,</w:t>
      </w:r>
      <w:r>
        <w:rPr>
          <w:spacing w:val="-7"/>
          <w:w w:val="120"/>
        </w:rPr>
        <w:t> </w:t>
      </w:r>
      <w:r>
        <w:rPr>
          <w:w w:val="120"/>
        </w:rPr>
        <w:t>y</w:t>
      </w:r>
      <w:r>
        <w:rPr>
          <w:spacing w:val="-7"/>
          <w:w w:val="120"/>
        </w:rPr>
        <w:t> </w:t>
      </w:r>
      <w:r>
        <w:rPr>
          <w:w w:val="120"/>
        </w:rPr>
        <w:t>la</w:t>
      </w:r>
      <w:r>
        <w:rPr>
          <w:spacing w:val="-7"/>
          <w:w w:val="120"/>
        </w:rPr>
        <w:t> </w:t>
      </w:r>
      <w:r>
        <w:rPr>
          <w:spacing w:val="3"/>
          <w:w w:val="120"/>
        </w:rPr>
        <w:t>crisis </w:t>
      </w:r>
      <w:r>
        <w:rPr>
          <w:spacing w:val="2"/>
          <w:w w:val="120"/>
        </w:rPr>
        <w:t>civilizatoria</w:t>
      </w:r>
      <w:r>
        <w:rPr>
          <w:spacing w:val="-12"/>
          <w:w w:val="120"/>
        </w:rPr>
        <w:t> </w:t>
      </w:r>
      <w:r>
        <w:rPr>
          <w:w w:val="120"/>
        </w:rPr>
        <w:t>del</w:t>
      </w:r>
      <w:r>
        <w:rPr>
          <w:spacing w:val="-12"/>
          <w:w w:val="120"/>
        </w:rPr>
        <w:t> </w:t>
      </w:r>
      <w:r>
        <w:rPr>
          <w:spacing w:val="2"/>
          <w:w w:val="120"/>
        </w:rPr>
        <w:t>modo</w:t>
      </w:r>
      <w:r>
        <w:rPr>
          <w:spacing w:val="-12"/>
          <w:w w:val="120"/>
        </w:rPr>
        <w:t> </w:t>
      </w:r>
      <w:r>
        <w:rPr>
          <w:w w:val="120"/>
        </w:rPr>
        <w:t>de</w:t>
      </w:r>
      <w:r>
        <w:rPr>
          <w:spacing w:val="-12"/>
          <w:w w:val="120"/>
        </w:rPr>
        <w:t> </w:t>
      </w:r>
      <w:r>
        <w:rPr>
          <w:spacing w:val="2"/>
          <w:w w:val="120"/>
        </w:rPr>
        <w:t>producción</w:t>
      </w:r>
      <w:r>
        <w:rPr>
          <w:spacing w:val="-12"/>
          <w:w w:val="120"/>
        </w:rPr>
        <w:t> </w:t>
      </w:r>
      <w:r>
        <w:rPr>
          <w:spacing w:val="2"/>
          <w:w w:val="120"/>
        </w:rPr>
        <w:t>capitalista,</w:t>
      </w:r>
      <w:r>
        <w:rPr>
          <w:spacing w:val="-12"/>
          <w:w w:val="120"/>
        </w:rPr>
        <w:t> </w:t>
      </w:r>
      <w:r>
        <w:rPr>
          <w:w w:val="120"/>
        </w:rPr>
        <w:t>a</w:t>
      </w:r>
      <w:r>
        <w:rPr>
          <w:spacing w:val="-12"/>
          <w:w w:val="120"/>
        </w:rPr>
        <w:t> </w:t>
      </w:r>
      <w:r>
        <w:rPr>
          <w:spacing w:val="2"/>
          <w:w w:val="120"/>
        </w:rPr>
        <w:t>partir</w:t>
      </w:r>
      <w:r>
        <w:rPr>
          <w:spacing w:val="-12"/>
          <w:w w:val="120"/>
        </w:rPr>
        <w:t> </w:t>
      </w:r>
      <w:r>
        <w:rPr>
          <w:w w:val="120"/>
        </w:rPr>
        <w:t>del</w:t>
      </w:r>
      <w:r>
        <w:rPr>
          <w:spacing w:val="-12"/>
          <w:w w:val="120"/>
        </w:rPr>
        <w:t> </w:t>
      </w:r>
      <w:r>
        <w:rPr>
          <w:w w:val="120"/>
        </w:rPr>
        <w:t>sur- </w:t>
      </w:r>
      <w:r>
        <w:rPr>
          <w:spacing w:val="2"/>
          <w:w w:val="115"/>
        </w:rPr>
        <w:t>gimiento </w:t>
      </w:r>
      <w:r>
        <w:rPr>
          <w:w w:val="115"/>
        </w:rPr>
        <w:t>de la </w:t>
      </w:r>
      <w:r>
        <w:rPr>
          <w:spacing w:val="2"/>
          <w:w w:val="115"/>
        </w:rPr>
        <w:t>revolución científico-técnica, como nueva estructu- </w:t>
      </w:r>
      <w:r>
        <w:rPr>
          <w:w w:val="120"/>
        </w:rPr>
        <w:t>ra</w:t>
      </w:r>
      <w:r>
        <w:rPr>
          <w:spacing w:val="-18"/>
          <w:w w:val="120"/>
        </w:rPr>
        <w:t> </w:t>
      </w:r>
      <w:r>
        <w:rPr>
          <w:w w:val="120"/>
        </w:rPr>
        <w:t>de</w:t>
      </w:r>
      <w:r>
        <w:rPr>
          <w:spacing w:val="-18"/>
          <w:w w:val="120"/>
        </w:rPr>
        <w:t> </w:t>
      </w:r>
      <w:r>
        <w:rPr>
          <w:spacing w:val="2"/>
          <w:w w:val="120"/>
        </w:rPr>
        <w:t>fuerzas</w:t>
      </w:r>
      <w:r>
        <w:rPr>
          <w:spacing w:val="-18"/>
          <w:w w:val="120"/>
        </w:rPr>
        <w:t> </w:t>
      </w:r>
      <w:r>
        <w:rPr>
          <w:spacing w:val="2"/>
          <w:w w:val="120"/>
        </w:rPr>
        <w:t>productivas</w:t>
      </w:r>
      <w:r>
        <w:rPr>
          <w:spacing w:val="-18"/>
          <w:w w:val="120"/>
        </w:rPr>
        <w:t> </w:t>
      </w:r>
      <w:r>
        <w:rPr>
          <w:w w:val="120"/>
        </w:rPr>
        <w:t>que</w:t>
      </w:r>
      <w:r>
        <w:rPr>
          <w:spacing w:val="-18"/>
          <w:w w:val="120"/>
        </w:rPr>
        <w:t> </w:t>
      </w:r>
      <w:r>
        <w:rPr>
          <w:spacing w:val="2"/>
          <w:w w:val="120"/>
        </w:rPr>
        <w:t>impulsa</w:t>
      </w:r>
      <w:r>
        <w:rPr>
          <w:spacing w:val="-18"/>
          <w:w w:val="120"/>
        </w:rPr>
        <w:t> </w:t>
      </w:r>
      <w:r>
        <w:rPr>
          <w:spacing w:val="2"/>
          <w:w w:val="120"/>
        </w:rPr>
        <w:t>cada</w:t>
      </w:r>
      <w:r>
        <w:rPr>
          <w:spacing w:val="-18"/>
          <w:w w:val="120"/>
        </w:rPr>
        <w:t> </w:t>
      </w:r>
      <w:r>
        <w:rPr>
          <w:w w:val="120"/>
        </w:rPr>
        <w:t>vez</w:t>
      </w:r>
      <w:r>
        <w:rPr>
          <w:spacing w:val="-18"/>
          <w:w w:val="120"/>
        </w:rPr>
        <w:t> </w:t>
      </w:r>
      <w:r>
        <w:rPr>
          <w:w w:val="120"/>
        </w:rPr>
        <w:t>más</w:t>
      </w:r>
      <w:r>
        <w:rPr>
          <w:spacing w:val="-18"/>
          <w:w w:val="120"/>
        </w:rPr>
        <w:t> </w:t>
      </w:r>
      <w:r>
        <w:rPr>
          <w:w w:val="120"/>
        </w:rPr>
        <w:t>el</w:t>
      </w:r>
      <w:r>
        <w:rPr>
          <w:spacing w:val="-18"/>
          <w:w w:val="120"/>
        </w:rPr>
        <w:t> </w:t>
      </w:r>
      <w:r>
        <w:rPr>
          <w:spacing w:val="3"/>
          <w:w w:val="120"/>
        </w:rPr>
        <w:t>desarrollo </w:t>
      </w:r>
      <w:r>
        <w:rPr>
          <w:spacing w:val="2"/>
          <w:w w:val="120"/>
        </w:rPr>
        <w:t>material</w:t>
      </w:r>
      <w:r>
        <w:rPr>
          <w:spacing w:val="-6"/>
          <w:w w:val="120"/>
        </w:rPr>
        <w:t> </w:t>
      </w:r>
      <w:r>
        <w:rPr>
          <w:w w:val="120"/>
        </w:rPr>
        <w:t>de</w:t>
      </w:r>
      <w:r>
        <w:rPr>
          <w:spacing w:val="-6"/>
          <w:w w:val="120"/>
        </w:rPr>
        <w:t> </w:t>
      </w:r>
      <w:r>
        <w:rPr>
          <w:w w:val="120"/>
        </w:rPr>
        <w:t>la</w:t>
      </w:r>
      <w:r>
        <w:rPr>
          <w:spacing w:val="-6"/>
          <w:w w:val="120"/>
        </w:rPr>
        <w:t> </w:t>
      </w:r>
      <w:r>
        <w:rPr>
          <w:spacing w:val="2"/>
          <w:w w:val="120"/>
        </w:rPr>
        <w:t>economía</w:t>
      </w:r>
      <w:r>
        <w:rPr>
          <w:spacing w:val="-6"/>
          <w:w w:val="120"/>
        </w:rPr>
        <w:t> </w:t>
      </w:r>
      <w:r>
        <w:rPr>
          <w:spacing w:val="2"/>
          <w:w w:val="120"/>
        </w:rPr>
        <w:t>mundial.</w:t>
      </w:r>
      <w:r>
        <w:rPr>
          <w:spacing w:val="-6"/>
          <w:w w:val="120"/>
        </w:rPr>
        <w:t> </w:t>
      </w:r>
      <w:r>
        <w:rPr>
          <w:spacing w:val="-4"/>
          <w:w w:val="120"/>
        </w:rPr>
        <w:t>tal</w:t>
      </w:r>
      <w:r>
        <w:rPr>
          <w:spacing w:val="-6"/>
          <w:w w:val="120"/>
        </w:rPr>
        <w:t> </w:t>
      </w:r>
      <w:r>
        <w:rPr>
          <w:spacing w:val="2"/>
          <w:w w:val="120"/>
        </w:rPr>
        <w:t>combinación</w:t>
      </w:r>
      <w:r>
        <w:rPr>
          <w:spacing w:val="-6"/>
          <w:w w:val="120"/>
        </w:rPr>
        <w:t> </w:t>
      </w:r>
      <w:r>
        <w:rPr>
          <w:spacing w:val="2"/>
          <w:w w:val="120"/>
        </w:rPr>
        <w:t>aporta</w:t>
      </w:r>
      <w:r>
        <w:rPr>
          <w:spacing w:val="-6"/>
          <w:w w:val="120"/>
        </w:rPr>
        <w:t> </w:t>
      </w:r>
      <w:r>
        <w:rPr>
          <w:spacing w:val="2"/>
          <w:w w:val="120"/>
        </w:rPr>
        <w:t>carac- terísticas</w:t>
      </w:r>
      <w:r>
        <w:rPr>
          <w:spacing w:val="-22"/>
          <w:w w:val="120"/>
        </w:rPr>
        <w:t> </w:t>
      </w:r>
      <w:r>
        <w:rPr>
          <w:w w:val="120"/>
        </w:rPr>
        <w:t>muy</w:t>
      </w:r>
      <w:r>
        <w:rPr>
          <w:spacing w:val="-22"/>
          <w:w w:val="120"/>
        </w:rPr>
        <w:t> </w:t>
      </w:r>
      <w:r>
        <w:rPr>
          <w:spacing w:val="2"/>
          <w:w w:val="120"/>
        </w:rPr>
        <w:t>específicas</w:t>
      </w:r>
      <w:r>
        <w:rPr>
          <w:spacing w:val="-22"/>
          <w:w w:val="120"/>
        </w:rPr>
        <w:t> </w:t>
      </w:r>
      <w:r>
        <w:rPr>
          <w:spacing w:val="2"/>
          <w:w w:val="120"/>
        </w:rPr>
        <w:t>para</w:t>
      </w:r>
      <w:r>
        <w:rPr>
          <w:spacing w:val="-22"/>
          <w:w w:val="120"/>
        </w:rPr>
        <w:t> </w:t>
      </w:r>
      <w:r>
        <w:rPr>
          <w:w w:val="120"/>
        </w:rPr>
        <w:t>el</w:t>
      </w:r>
      <w:r>
        <w:rPr>
          <w:spacing w:val="-22"/>
          <w:w w:val="120"/>
        </w:rPr>
        <w:t> </w:t>
      </w:r>
      <w:r>
        <w:rPr>
          <w:spacing w:val="2"/>
          <w:w w:val="120"/>
        </w:rPr>
        <w:t>ciclo</w:t>
      </w:r>
      <w:r>
        <w:rPr>
          <w:spacing w:val="-22"/>
          <w:w w:val="120"/>
        </w:rPr>
        <w:t> </w:t>
      </w:r>
      <w:r>
        <w:rPr>
          <w:spacing w:val="2"/>
          <w:w w:val="120"/>
        </w:rPr>
        <w:t>largo</w:t>
      </w:r>
      <w:r>
        <w:rPr>
          <w:spacing w:val="-22"/>
          <w:w w:val="120"/>
        </w:rPr>
        <w:t> </w:t>
      </w:r>
      <w:r>
        <w:rPr>
          <w:w w:val="120"/>
        </w:rPr>
        <w:t>de</w:t>
      </w:r>
      <w:r>
        <w:rPr>
          <w:spacing w:val="-22"/>
          <w:w w:val="120"/>
        </w:rPr>
        <w:t> </w:t>
      </w:r>
      <w:r>
        <w:rPr>
          <w:spacing w:val="2"/>
          <w:w w:val="120"/>
        </w:rPr>
        <w:t>expansión:</w:t>
      </w:r>
      <w:r>
        <w:rPr>
          <w:spacing w:val="-22"/>
          <w:w w:val="120"/>
        </w:rPr>
        <w:t> </w:t>
      </w:r>
      <w:r>
        <w:rPr>
          <w:w w:val="120"/>
        </w:rPr>
        <w:t>por</w:t>
      </w:r>
      <w:r>
        <w:rPr>
          <w:spacing w:val="-22"/>
          <w:w w:val="120"/>
        </w:rPr>
        <w:t> </w:t>
      </w:r>
      <w:r>
        <w:rPr>
          <w:spacing w:val="3"/>
          <w:w w:val="120"/>
        </w:rPr>
        <w:t>un </w:t>
      </w:r>
      <w:r>
        <w:rPr>
          <w:spacing w:val="2"/>
          <w:w w:val="120"/>
        </w:rPr>
        <w:t>lado, </w:t>
      </w:r>
      <w:r>
        <w:rPr>
          <w:w w:val="120"/>
        </w:rPr>
        <w:t>la </w:t>
      </w:r>
      <w:r>
        <w:rPr>
          <w:spacing w:val="2"/>
          <w:w w:val="120"/>
        </w:rPr>
        <w:t>financiarización </w:t>
      </w:r>
      <w:r>
        <w:rPr>
          <w:w w:val="120"/>
        </w:rPr>
        <w:t>del </w:t>
      </w:r>
      <w:r>
        <w:rPr>
          <w:spacing w:val="2"/>
          <w:w w:val="120"/>
        </w:rPr>
        <w:t>capital, </w:t>
      </w:r>
      <w:r>
        <w:rPr>
          <w:w w:val="120"/>
        </w:rPr>
        <w:t>la </w:t>
      </w:r>
      <w:r>
        <w:rPr>
          <w:spacing w:val="2"/>
          <w:w w:val="120"/>
        </w:rPr>
        <w:t>crisis </w:t>
      </w:r>
      <w:r>
        <w:rPr>
          <w:w w:val="120"/>
        </w:rPr>
        <w:t>del eje </w:t>
      </w:r>
      <w:r>
        <w:rPr>
          <w:spacing w:val="2"/>
          <w:w w:val="120"/>
        </w:rPr>
        <w:t>atlantista </w:t>
      </w:r>
      <w:r>
        <w:rPr>
          <w:spacing w:val="3"/>
          <w:w w:val="120"/>
        </w:rPr>
        <w:t>de </w:t>
      </w:r>
      <w:r>
        <w:rPr>
          <w:w w:val="120"/>
        </w:rPr>
        <w:t>la</w:t>
      </w:r>
      <w:r>
        <w:rPr>
          <w:spacing w:val="-14"/>
          <w:w w:val="120"/>
        </w:rPr>
        <w:t> </w:t>
      </w:r>
      <w:r>
        <w:rPr>
          <w:spacing w:val="2"/>
          <w:w w:val="120"/>
        </w:rPr>
        <w:t>economía</w:t>
      </w:r>
      <w:r>
        <w:rPr>
          <w:spacing w:val="-14"/>
          <w:w w:val="120"/>
        </w:rPr>
        <w:t> </w:t>
      </w:r>
      <w:r>
        <w:rPr>
          <w:spacing w:val="2"/>
          <w:w w:val="120"/>
        </w:rPr>
        <w:t>mundial</w:t>
      </w:r>
      <w:r>
        <w:rPr>
          <w:spacing w:val="-14"/>
          <w:w w:val="120"/>
        </w:rPr>
        <w:t> </w:t>
      </w:r>
      <w:r>
        <w:rPr>
          <w:w w:val="120"/>
        </w:rPr>
        <w:t>y</w:t>
      </w:r>
      <w:r>
        <w:rPr>
          <w:spacing w:val="-14"/>
          <w:w w:val="120"/>
        </w:rPr>
        <w:t> </w:t>
      </w:r>
      <w:r>
        <w:rPr>
          <w:w w:val="120"/>
        </w:rPr>
        <w:t>el</w:t>
      </w:r>
      <w:r>
        <w:rPr>
          <w:spacing w:val="-14"/>
          <w:w w:val="120"/>
        </w:rPr>
        <w:t> </w:t>
      </w:r>
      <w:r>
        <w:rPr>
          <w:spacing w:val="2"/>
          <w:w w:val="120"/>
        </w:rPr>
        <w:t>declive</w:t>
      </w:r>
      <w:r>
        <w:rPr>
          <w:spacing w:val="-14"/>
          <w:w w:val="120"/>
        </w:rPr>
        <w:t> </w:t>
      </w:r>
      <w:r>
        <w:rPr>
          <w:w w:val="120"/>
        </w:rPr>
        <w:t>de</w:t>
      </w:r>
      <w:r>
        <w:rPr>
          <w:spacing w:val="-14"/>
          <w:w w:val="120"/>
        </w:rPr>
        <w:t> </w:t>
      </w:r>
      <w:r>
        <w:rPr>
          <w:w w:val="120"/>
        </w:rPr>
        <w:t>las</w:t>
      </w:r>
      <w:r>
        <w:rPr>
          <w:spacing w:val="-14"/>
          <w:w w:val="120"/>
        </w:rPr>
        <w:t> </w:t>
      </w:r>
      <w:r>
        <w:rPr>
          <w:spacing w:val="2"/>
          <w:w w:val="120"/>
        </w:rPr>
        <w:t>potencias</w:t>
      </w:r>
      <w:r>
        <w:rPr>
          <w:spacing w:val="-14"/>
          <w:w w:val="120"/>
        </w:rPr>
        <w:t> </w:t>
      </w:r>
      <w:r>
        <w:rPr>
          <w:spacing w:val="2"/>
          <w:w w:val="120"/>
        </w:rPr>
        <w:t>marítimas,</w:t>
      </w:r>
      <w:r>
        <w:rPr>
          <w:spacing w:val="-14"/>
          <w:w w:val="120"/>
        </w:rPr>
        <w:t> </w:t>
      </w:r>
      <w:r>
        <w:rPr>
          <w:spacing w:val="3"/>
          <w:w w:val="120"/>
        </w:rPr>
        <w:t>que </w:t>
      </w:r>
      <w:r>
        <w:rPr>
          <w:spacing w:val="2"/>
          <w:w w:val="120"/>
        </w:rPr>
        <w:t>tradicionalmente</w:t>
      </w:r>
      <w:r>
        <w:rPr>
          <w:spacing w:val="-17"/>
          <w:w w:val="120"/>
        </w:rPr>
        <w:t> </w:t>
      </w:r>
      <w:r>
        <w:rPr>
          <w:spacing w:val="2"/>
          <w:w w:val="120"/>
        </w:rPr>
        <w:t>dirigieron</w:t>
      </w:r>
      <w:r>
        <w:rPr>
          <w:spacing w:val="-17"/>
          <w:w w:val="120"/>
        </w:rPr>
        <w:t> </w:t>
      </w:r>
      <w:r>
        <w:rPr>
          <w:w w:val="120"/>
        </w:rPr>
        <w:t>la</w:t>
      </w:r>
      <w:r>
        <w:rPr>
          <w:spacing w:val="-17"/>
          <w:w w:val="120"/>
        </w:rPr>
        <w:t> </w:t>
      </w:r>
      <w:r>
        <w:rPr>
          <w:spacing w:val="2"/>
          <w:w w:val="120"/>
        </w:rPr>
        <w:t>civilización</w:t>
      </w:r>
      <w:r>
        <w:rPr>
          <w:spacing w:val="-17"/>
          <w:w w:val="120"/>
        </w:rPr>
        <w:t> </w:t>
      </w:r>
      <w:r>
        <w:rPr>
          <w:spacing w:val="2"/>
          <w:w w:val="120"/>
        </w:rPr>
        <w:t>capitalista,</w:t>
      </w:r>
      <w:r>
        <w:rPr>
          <w:spacing w:val="-17"/>
          <w:w w:val="120"/>
        </w:rPr>
        <w:t> </w:t>
      </w:r>
      <w:r>
        <w:rPr>
          <w:spacing w:val="3"/>
          <w:w w:val="120"/>
        </w:rPr>
        <w:t>centradas </w:t>
      </w:r>
      <w:r>
        <w:rPr>
          <w:spacing w:val="2"/>
          <w:w w:val="120"/>
        </w:rPr>
        <w:t>principalmente</w:t>
      </w:r>
      <w:r>
        <w:rPr>
          <w:spacing w:val="-9"/>
          <w:w w:val="120"/>
        </w:rPr>
        <w:t> </w:t>
      </w:r>
      <w:r>
        <w:rPr>
          <w:w w:val="120"/>
        </w:rPr>
        <w:t>en</w:t>
      </w:r>
      <w:r>
        <w:rPr>
          <w:spacing w:val="-9"/>
          <w:w w:val="120"/>
        </w:rPr>
        <w:t> </w:t>
      </w:r>
      <w:r>
        <w:rPr>
          <w:w w:val="120"/>
        </w:rPr>
        <w:t>el</w:t>
      </w:r>
      <w:r>
        <w:rPr>
          <w:spacing w:val="-9"/>
          <w:w w:val="120"/>
        </w:rPr>
        <w:t> </w:t>
      </w:r>
      <w:r>
        <w:rPr>
          <w:spacing w:val="2"/>
          <w:w w:val="120"/>
        </w:rPr>
        <w:t>norte</w:t>
      </w:r>
      <w:r>
        <w:rPr>
          <w:spacing w:val="-9"/>
          <w:w w:val="120"/>
        </w:rPr>
        <w:t> </w:t>
      </w:r>
      <w:r>
        <w:rPr>
          <w:w w:val="120"/>
        </w:rPr>
        <w:t>de</w:t>
      </w:r>
      <w:r>
        <w:rPr>
          <w:spacing w:val="-9"/>
          <w:w w:val="120"/>
        </w:rPr>
        <w:t> </w:t>
      </w:r>
      <w:r>
        <w:rPr>
          <w:spacing w:val="2"/>
          <w:w w:val="120"/>
        </w:rPr>
        <w:t>Europa</w:t>
      </w:r>
      <w:r>
        <w:rPr>
          <w:spacing w:val="-9"/>
          <w:w w:val="120"/>
        </w:rPr>
        <w:t> </w:t>
      </w:r>
      <w:r>
        <w:rPr>
          <w:spacing w:val="2"/>
          <w:w w:val="120"/>
        </w:rPr>
        <w:t>occidental</w:t>
      </w:r>
      <w:r>
        <w:rPr>
          <w:spacing w:val="-9"/>
          <w:w w:val="120"/>
        </w:rPr>
        <w:t> y, </w:t>
      </w:r>
      <w:r>
        <w:rPr>
          <w:spacing w:val="3"/>
          <w:w w:val="120"/>
        </w:rPr>
        <w:t>actualmente, </w:t>
      </w:r>
      <w:r>
        <w:rPr>
          <w:spacing w:val="2"/>
          <w:w w:val="120"/>
        </w:rPr>
        <w:t>bajo </w:t>
      </w:r>
      <w:r>
        <w:rPr>
          <w:w w:val="120"/>
        </w:rPr>
        <w:t>la </w:t>
      </w:r>
      <w:r>
        <w:rPr>
          <w:spacing w:val="2"/>
          <w:w w:val="120"/>
        </w:rPr>
        <w:t>dirección estadounidense; </w:t>
      </w:r>
      <w:r>
        <w:rPr>
          <w:spacing w:val="-9"/>
          <w:w w:val="120"/>
        </w:rPr>
        <w:t>y, </w:t>
      </w:r>
      <w:r>
        <w:rPr>
          <w:w w:val="120"/>
        </w:rPr>
        <w:t>por </w:t>
      </w:r>
      <w:r>
        <w:rPr>
          <w:spacing w:val="2"/>
          <w:w w:val="120"/>
        </w:rPr>
        <w:t>otro lado, </w:t>
      </w:r>
      <w:r>
        <w:rPr>
          <w:w w:val="120"/>
        </w:rPr>
        <w:t>el </w:t>
      </w:r>
      <w:r>
        <w:rPr>
          <w:spacing w:val="2"/>
          <w:w w:val="120"/>
        </w:rPr>
        <w:t>desplaza- miento</w:t>
      </w:r>
      <w:r>
        <w:rPr>
          <w:spacing w:val="-17"/>
          <w:w w:val="120"/>
        </w:rPr>
        <w:t> </w:t>
      </w:r>
      <w:r>
        <w:rPr>
          <w:w w:val="120"/>
        </w:rPr>
        <w:t>del</w:t>
      </w:r>
      <w:r>
        <w:rPr>
          <w:spacing w:val="-17"/>
          <w:w w:val="120"/>
        </w:rPr>
        <w:t> </w:t>
      </w:r>
      <w:r>
        <w:rPr>
          <w:spacing w:val="2"/>
          <w:w w:val="120"/>
        </w:rPr>
        <w:t>dinamismo</w:t>
      </w:r>
      <w:r>
        <w:rPr>
          <w:spacing w:val="-17"/>
          <w:w w:val="120"/>
        </w:rPr>
        <w:t> </w:t>
      </w:r>
      <w:r>
        <w:rPr>
          <w:spacing w:val="2"/>
          <w:w w:val="120"/>
        </w:rPr>
        <w:t>hacia</w:t>
      </w:r>
      <w:r>
        <w:rPr>
          <w:spacing w:val="-17"/>
          <w:w w:val="120"/>
        </w:rPr>
        <w:t> </w:t>
      </w:r>
      <w:r>
        <w:rPr>
          <w:spacing w:val="2"/>
          <w:w w:val="120"/>
        </w:rPr>
        <w:t>China</w:t>
      </w:r>
      <w:r>
        <w:rPr>
          <w:spacing w:val="-17"/>
          <w:w w:val="120"/>
        </w:rPr>
        <w:t> </w:t>
      </w:r>
      <w:r>
        <w:rPr>
          <w:w w:val="120"/>
        </w:rPr>
        <w:t>y</w:t>
      </w:r>
      <w:r>
        <w:rPr>
          <w:spacing w:val="-17"/>
          <w:w w:val="120"/>
        </w:rPr>
        <w:t> </w:t>
      </w:r>
      <w:r>
        <w:rPr>
          <w:w w:val="120"/>
        </w:rPr>
        <w:t>el</w:t>
      </w:r>
      <w:r>
        <w:rPr>
          <w:spacing w:val="-17"/>
          <w:w w:val="120"/>
        </w:rPr>
        <w:t> </w:t>
      </w:r>
      <w:r>
        <w:rPr>
          <w:spacing w:val="2"/>
          <w:w w:val="120"/>
        </w:rPr>
        <w:t>Este</w:t>
      </w:r>
      <w:r>
        <w:rPr>
          <w:spacing w:val="-17"/>
          <w:w w:val="120"/>
        </w:rPr>
        <w:t> </w:t>
      </w:r>
      <w:r>
        <w:rPr>
          <w:spacing w:val="2"/>
          <w:w w:val="120"/>
        </w:rPr>
        <w:t>asiático,</w:t>
      </w:r>
      <w:r>
        <w:rPr>
          <w:spacing w:val="-17"/>
          <w:w w:val="120"/>
        </w:rPr>
        <w:t> </w:t>
      </w:r>
      <w:r>
        <w:rPr>
          <w:w w:val="120"/>
        </w:rPr>
        <w:t>la</w:t>
      </w:r>
      <w:r>
        <w:rPr>
          <w:spacing w:val="-17"/>
          <w:w w:val="120"/>
        </w:rPr>
        <w:t> </w:t>
      </w:r>
      <w:r>
        <w:rPr>
          <w:spacing w:val="3"/>
          <w:w w:val="120"/>
        </w:rPr>
        <w:t>ascensión </w:t>
      </w:r>
      <w:r>
        <w:rPr>
          <w:w w:val="120"/>
        </w:rPr>
        <w:t>de</w:t>
      </w:r>
      <w:r>
        <w:rPr>
          <w:spacing w:val="-23"/>
          <w:w w:val="120"/>
        </w:rPr>
        <w:t> </w:t>
      </w:r>
      <w:r>
        <w:rPr>
          <w:w w:val="120"/>
        </w:rPr>
        <w:t>los</w:t>
      </w:r>
      <w:r>
        <w:rPr>
          <w:spacing w:val="-23"/>
          <w:w w:val="120"/>
        </w:rPr>
        <w:t> </w:t>
      </w:r>
      <w:r>
        <w:rPr>
          <w:spacing w:val="2"/>
          <w:w w:val="120"/>
        </w:rPr>
        <w:t>regionalismos</w:t>
      </w:r>
      <w:r>
        <w:rPr>
          <w:spacing w:val="-23"/>
          <w:w w:val="120"/>
        </w:rPr>
        <w:t> </w:t>
      </w:r>
      <w:r>
        <w:rPr>
          <w:w w:val="120"/>
        </w:rPr>
        <w:t>y</w:t>
      </w:r>
      <w:r>
        <w:rPr>
          <w:spacing w:val="-23"/>
          <w:w w:val="120"/>
        </w:rPr>
        <w:t> </w:t>
      </w:r>
      <w:r>
        <w:rPr>
          <w:w w:val="120"/>
        </w:rPr>
        <w:t>de</w:t>
      </w:r>
      <w:r>
        <w:rPr>
          <w:spacing w:val="-23"/>
          <w:w w:val="120"/>
        </w:rPr>
        <w:t> </w:t>
      </w:r>
      <w:r>
        <w:rPr>
          <w:w w:val="120"/>
        </w:rPr>
        <w:t>los</w:t>
      </w:r>
      <w:r>
        <w:rPr>
          <w:spacing w:val="-23"/>
          <w:w w:val="120"/>
        </w:rPr>
        <w:t> </w:t>
      </w:r>
      <w:r>
        <w:rPr>
          <w:i/>
          <w:spacing w:val="2"/>
          <w:w w:val="120"/>
        </w:rPr>
        <w:t>hinterlands</w:t>
      </w:r>
      <w:r>
        <w:rPr>
          <w:i/>
          <w:spacing w:val="-23"/>
          <w:w w:val="120"/>
        </w:rPr>
        <w:t> </w:t>
      </w:r>
      <w:r>
        <w:rPr>
          <w:spacing w:val="2"/>
          <w:w w:val="120"/>
        </w:rPr>
        <w:t>como</w:t>
      </w:r>
      <w:r>
        <w:rPr>
          <w:spacing w:val="-23"/>
          <w:w w:val="120"/>
        </w:rPr>
        <w:t> </w:t>
      </w:r>
      <w:r>
        <w:rPr>
          <w:spacing w:val="2"/>
          <w:w w:val="120"/>
        </w:rPr>
        <w:t>nuevo</w:t>
      </w:r>
      <w:r>
        <w:rPr>
          <w:spacing w:val="-23"/>
          <w:w w:val="120"/>
        </w:rPr>
        <w:t> </w:t>
      </w:r>
      <w:r>
        <w:rPr>
          <w:spacing w:val="2"/>
          <w:w w:val="120"/>
        </w:rPr>
        <w:t>posible</w:t>
      </w:r>
      <w:r>
        <w:rPr>
          <w:spacing w:val="-23"/>
          <w:w w:val="120"/>
        </w:rPr>
        <w:t> </w:t>
      </w:r>
      <w:r>
        <w:rPr>
          <w:spacing w:val="2"/>
          <w:w w:val="120"/>
        </w:rPr>
        <w:t>fun- damento</w:t>
      </w:r>
      <w:r>
        <w:rPr>
          <w:spacing w:val="-25"/>
          <w:w w:val="120"/>
        </w:rPr>
        <w:t> </w:t>
      </w:r>
      <w:r>
        <w:rPr>
          <w:spacing w:val="2"/>
          <w:w w:val="120"/>
        </w:rPr>
        <w:t>geopolítico</w:t>
      </w:r>
      <w:r>
        <w:rPr>
          <w:spacing w:val="-25"/>
          <w:w w:val="120"/>
        </w:rPr>
        <w:t> </w:t>
      </w:r>
      <w:r>
        <w:rPr>
          <w:w w:val="120"/>
        </w:rPr>
        <w:t>de</w:t>
      </w:r>
      <w:r>
        <w:rPr>
          <w:spacing w:val="-25"/>
          <w:w w:val="120"/>
        </w:rPr>
        <w:t> </w:t>
      </w:r>
      <w:r>
        <w:rPr>
          <w:w w:val="120"/>
        </w:rPr>
        <w:t>la</w:t>
      </w:r>
      <w:r>
        <w:rPr>
          <w:spacing w:val="-25"/>
          <w:w w:val="120"/>
        </w:rPr>
        <w:t> </w:t>
      </w:r>
      <w:r>
        <w:rPr>
          <w:spacing w:val="2"/>
          <w:w w:val="120"/>
        </w:rPr>
        <w:t>economía</w:t>
      </w:r>
      <w:r>
        <w:rPr>
          <w:spacing w:val="-25"/>
          <w:w w:val="120"/>
        </w:rPr>
        <w:t> </w:t>
      </w:r>
      <w:r>
        <w:rPr>
          <w:spacing w:val="2"/>
          <w:w w:val="120"/>
        </w:rPr>
        <w:t>mundial</w:t>
      </w:r>
      <w:r>
        <w:rPr>
          <w:spacing w:val="-25"/>
          <w:w w:val="120"/>
        </w:rPr>
        <w:t> </w:t>
      </w:r>
      <w:r>
        <w:rPr>
          <w:w w:val="120"/>
        </w:rPr>
        <w:t>y</w:t>
      </w:r>
      <w:r>
        <w:rPr>
          <w:spacing w:val="-25"/>
          <w:w w:val="120"/>
        </w:rPr>
        <w:t> </w:t>
      </w:r>
      <w:r>
        <w:rPr>
          <w:w w:val="120"/>
        </w:rPr>
        <w:t>de</w:t>
      </w:r>
      <w:r>
        <w:rPr>
          <w:spacing w:val="-25"/>
          <w:w w:val="120"/>
        </w:rPr>
        <w:t> </w:t>
      </w:r>
      <w:r>
        <w:rPr>
          <w:w w:val="120"/>
        </w:rPr>
        <w:t>la</w:t>
      </w:r>
      <w:r>
        <w:rPr>
          <w:spacing w:val="-25"/>
          <w:w w:val="120"/>
        </w:rPr>
        <w:t> </w:t>
      </w:r>
      <w:r>
        <w:rPr>
          <w:spacing w:val="3"/>
          <w:w w:val="120"/>
        </w:rPr>
        <w:t>construcción </w:t>
      </w:r>
      <w:r>
        <w:rPr>
          <w:w w:val="115"/>
        </w:rPr>
        <w:t>de un </w:t>
      </w:r>
      <w:r>
        <w:rPr>
          <w:spacing w:val="2"/>
          <w:w w:val="115"/>
        </w:rPr>
        <w:t>sistema-mundo</w:t>
      </w:r>
      <w:r>
        <w:rPr>
          <w:spacing w:val="17"/>
          <w:w w:val="115"/>
        </w:rPr>
        <w:t> </w:t>
      </w:r>
      <w:r>
        <w:rPr>
          <w:w w:val="115"/>
        </w:rPr>
        <w:t>multipolar.</w:t>
      </w:r>
    </w:p>
    <w:p>
      <w:pPr>
        <w:pStyle w:val="BodyText"/>
        <w:spacing w:line="252" w:lineRule="auto"/>
        <w:ind w:left="330" w:right="117" w:firstLine="396"/>
        <w:jc w:val="both"/>
      </w:pPr>
      <w:r>
        <w:rPr>
          <w:w w:val="110"/>
        </w:rPr>
        <w:t>El texto está dividido en tres partes: en la primera, analizo las principales características del Kondratiev vigente y los fundamentos de la crisis de hegemonía del atlantismo sobre la economía mundial; en la segunda, examino el ascenso de China y de los </w:t>
      </w:r>
      <w:r>
        <w:rPr>
          <w:w w:val="125"/>
        </w:rPr>
        <w:t>briCs </w:t>
      </w:r>
      <w:r>
        <w:rPr>
          <w:w w:val="110"/>
        </w:rPr>
        <w:t>y sus posi- bles impactos geopolíticos; y en la tercera, abordo las perspectivas de </w:t>
      </w:r>
      <w:r>
        <w:rPr>
          <w:w w:val="110"/>
        </w:rPr>
        <w:t>inserción</w:t>
      </w:r>
      <w:r>
        <w:rPr/>
        <w:t> </w:t>
      </w:r>
      <w:r>
        <w:rPr>
          <w:spacing w:val="-15"/>
        </w:rPr>
        <w:t> </w:t>
      </w:r>
      <w:r>
        <w:rPr>
          <w:w w:val="110"/>
        </w:rPr>
        <w:t>internacional</w:t>
      </w:r>
      <w:r>
        <w:rPr/>
        <w:t> </w:t>
      </w:r>
      <w:r>
        <w:rPr>
          <w:spacing w:val="-15"/>
        </w:rPr>
        <w:t> </w:t>
      </w:r>
      <w:r>
        <w:rPr>
          <w:w w:val="108"/>
        </w:rPr>
        <w:t>que</w:t>
      </w:r>
      <w:r>
        <w:rPr/>
        <w:t> </w:t>
      </w:r>
      <w:r>
        <w:rPr>
          <w:spacing w:val="-15"/>
        </w:rPr>
        <w:t> </w:t>
      </w:r>
      <w:r>
        <w:rPr>
          <w:w w:val="105"/>
        </w:rPr>
        <w:t>se</w:t>
      </w:r>
      <w:r>
        <w:rPr/>
        <w:t> </w:t>
      </w:r>
      <w:r>
        <w:rPr>
          <w:spacing w:val="-15"/>
        </w:rPr>
        <w:t> </w:t>
      </w:r>
      <w:r>
        <w:rPr>
          <w:w w:val="109"/>
        </w:rPr>
        <w:t>abren</w:t>
      </w:r>
      <w:r>
        <w:rPr/>
        <w:t> </w:t>
      </w:r>
      <w:r>
        <w:rPr>
          <w:spacing w:val="-15"/>
        </w:rPr>
        <w:t> </w:t>
      </w:r>
      <w:r>
        <w:rPr>
          <w:w w:val="109"/>
        </w:rPr>
        <w:t>para</w:t>
      </w:r>
      <w:r>
        <w:rPr/>
        <w:t> </w:t>
      </w:r>
      <w:r>
        <w:rPr>
          <w:spacing w:val="-15"/>
        </w:rPr>
        <w:t> </w:t>
      </w:r>
      <w:r>
        <w:rPr>
          <w:w w:val="139"/>
        </w:rPr>
        <w:t>a</w:t>
      </w:r>
      <w:r>
        <w:rPr>
          <w:w w:val="111"/>
        </w:rPr>
        <w:t>mérica</w:t>
      </w:r>
      <w:r>
        <w:rPr/>
        <w:t> </w:t>
      </w:r>
      <w:r>
        <w:rPr>
          <w:spacing w:val="-15"/>
        </w:rPr>
        <w:t> </w:t>
      </w:r>
      <w:r>
        <w:rPr>
          <w:w w:val="243"/>
        </w:rPr>
        <w:t>l</w:t>
      </w:r>
      <w:r>
        <w:rPr>
          <w:w w:val="111"/>
        </w:rPr>
        <w:t>atina</w:t>
      </w:r>
      <w:r>
        <w:rPr/>
        <w:t> </w:t>
      </w:r>
      <w:r>
        <w:rPr>
          <w:spacing w:val="-15"/>
        </w:rPr>
        <w:t> </w:t>
      </w:r>
      <w:r>
        <w:rPr>
          <w:w w:val="105"/>
        </w:rPr>
        <w:t>y</w:t>
      </w:r>
      <w:r>
        <w:rPr/>
        <w:t> </w:t>
      </w:r>
      <w:r>
        <w:rPr>
          <w:spacing w:val="-15"/>
        </w:rPr>
        <w:t> </w:t>
      </w:r>
      <w:r>
        <w:rPr>
          <w:w w:val="107"/>
        </w:rPr>
        <w:t>el</w:t>
      </w:r>
      <w:r>
        <w:rPr/>
        <w:t> </w:t>
      </w:r>
      <w:r>
        <w:rPr>
          <w:spacing w:val="-15"/>
        </w:rPr>
        <w:t> </w:t>
      </w:r>
      <w:r>
        <w:rPr>
          <w:w w:val="108"/>
        </w:rPr>
        <w:t>papel </w:t>
      </w:r>
      <w:r>
        <w:rPr>
          <w:w w:val="110"/>
        </w:rPr>
        <w:t>que brasil puede jugar en la región para un reposicionamiento estra- tégico en el</w:t>
      </w:r>
      <w:r>
        <w:rPr>
          <w:spacing w:val="30"/>
          <w:w w:val="110"/>
        </w:rPr>
        <w:t> </w:t>
      </w:r>
      <w:r>
        <w:rPr>
          <w:w w:val="110"/>
        </w:rPr>
        <w:t>sistema-mundo.</w:t>
      </w:r>
    </w:p>
    <w:p>
      <w:pPr>
        <w:pStyle w:val="BodyText"/>
        <w:spacing w:before="5"/>
      </w:pPr>
    </w:p>
    <w:p>
      <w:pPr>
        <w:pStyle w:val="Heading6"/>
        <w:ind w:left="331"/>
      </w:pPr>
      <w:r>
        <w:rPr>
          <w:spacing w:val="3"/>
          <w:w w:val="134"/>
        </w:rPr>
        <w:t>e</w:t>
      </w:r>
      <w:r>
        <w:rPr>
          <w:w w:val="201"/>
        </w:rPr>
        <w:t>l</w:t>
      </w:r>
      <w:r>
        <w:rPr>
          <w:spacing w:val="-8"/>
        </w:rPr>
        <w:t> </w:t>
      </w:r>
      <w:r>
        <w:rPr>
          <w:spacing w:val="2"/>
          <w:w w:val="154"/>
        </w:rPr>
        <w:t>cic</w:t>
      </w:r>
      <w:r>
        <w:rPr>
          <w:spacing w:val="1"/>
          <w:w w:val="154"/>
        </w:rPr>
        <w:t>l</w:t>
      </w:r>
      <w:r>
        <w:rPr>
          <w:w w:val="145"/>
        </w:rPr>
        <w:t>o</w:t>
      </w:r>
      <w:r>
        <w:rPr>
          <w:spacing w:val="-8"/>
        </w:rPr>
        <w:t> </w:t>
      </w:r>
      <w:r>
        <w:rPr>
          <w:spacing w:val="7"/>
          <w:w w:val="201"/>
        </w:rPr>
        <w:t>l</w:t>
      </w:r>
      <w:r>
        <w:rPr>
          <w:spacing w:val="2"/>
          <w:w w:val="136"/>
        </w:rPr>
        <w:t>a</w:t>
      </w:r>
      <w:r>
        <w:rPr>
          <w:spacing w:val="1"/>
          <w:w w:val="136"/>
        </w:rPr>
        <w:t>r</w:t>
      </w:r>
      <w:r>
        <w:rPr>
          <w:spacing w:val="5"/>
          <w:w w:val="89"/>
        </w:rPr>
        <w:t>G</w:t>
      </w:r>
      <w:r>
        <w:rPr>
          <w:w w:val="145"/>
        </w:rPr>
        <w:t>o</w:t>
      </w:r>
      <w:r>
        <w:rPr>
          <w:spacing w:val="-8"/>
        </w:rPr>
        <w:t> </w:t>
      </w:r>
      <w:r>
        <w:rPr>
          <w:spacing w:val="1"/>
          <w:w w:val="129"/>
        </w:rPr>
        <w:t>a</w:t>
      </w:r>
      <w:r>
        <w:rPr>
          <w:spacing w:val="2"/>
          <w:w w:val="147"/>
        </w:rPr>
        <w:t>c</w:t>
      </w:r>
      <w:r>
        <w:rPr>
          <w:spacing w:val="3"/>
          <w:w w:val="180"/>
        </w:rPr>
        <w:t>t</w:t>
      </w:r>
      <w:r>
        <w:rPr>
          <w:spacing w:val="-5"/>
          <w:w w:val="131"/>
        </w:rPr>
        <w:t>u</w:t>
      </w:r>
      <w:r>
        <w:rPr>
          <w:spacing w:val="2"/>
          <w:w w:val="155"/>
        </w:rPr>
        <w:t>a</w:t>
      </w:r>
      <w:r>
        <w:rPr>
          <w:w w:val="155"/>
        </w:rPr>
        <w:t>l</w:t>
      </w:r>
      <w:r>
        <w:rPr>
          <w:spacing w:val="-8"/>
        </w:rPr>
        <w:t> </w:t>
      </w:r>
      <w:r>
        <w:rPr>
          <w:w w:val="119"/>
        </w:rPr>
        <w:t>y</w:t>
      </w:r>
      <w:r>
        <w:rPr>
          <w:spacing w:val="-8"/>
        </w:rPr>
        <w:t> </w:t>
      </w:r>
      <w:r>
        <w:rPr>
          <w:spacing w:val="7"/>
          <w:w w:val="201"/>
        </w:rPr>
        <w:t>l</w:t>
      </w:r>
      <w:r>
        <w:rPr>
          <w:w w:val="129"/>
        </w:rPr>
        <w:t>a</w:t>
      </w:r>
      <w:r>
        <w:rPr>
          <w:spacing w:val="-8"/>
        </w:rPr>
        <w:t> </w:t>
      </w:r>
      <w:r>
        <w:rPr>
          <w:spacing w:val="3"/>
          <w:w w:val="134"/>
        </w:rPr>
        <w:t>e</w:t>
      </w:r>
      <w:r>
        <w:rPr>
          <w:spacing w:val="2"/>
          <w:w w:val="140"/>
        </w:rPr>
        <w:t>cono</w:t>
      </w:r>
      <w:r>
        <w:rPr>
          <w:spacing w:val="2"/>
          <w:w w:val="92"/>
        </w:rPr>
        <w:t>MÍ</w:t>
      </w:r>
      <w:r>
        <w:rPr>
          <w:w w:val="129"/>
        </w:rPr>
        <w:t>a</w:t>
      </w:r>
      <w:r>
        <w:rPr>
          <w:spacing w:val="-8"/>
        </w:rPr>
        <w:t> </w:t>
      </w:r>
      <w:r>
        <w:rPr>
          <w:spacing w:val="2"/>
          <w:w w:val="92"/>
        </w:rPr>
        <w:t>M</w:t>
      </w:r>
      <w:r>
        <w:rPr>
          <w:spacing w:val="2"/>
          <w:w w:val="137"/>
        </w:rPr>
        <w:t>undial</w:t>
      </w:r>
    </w:p>
    <w:p>
      <w:pPr>
        <w:pStyle w:val="BodyText"/>
        <w:spacing w:line="252" w:lineRule="auto" w:before="10"/>
        <w:ind w:left="330" w:right="117"/>
        <w:jc w:val="both"/>
        <w:rPr>
          <w:i/>
        </w:rPr>
      </w:pPr>
      <w:r>
        <w:rPr>
          <w:w w:val="243"/>
        </w:rPr>
        <w:t>l</w:t>
      </w:r>
      <w:r>
        <w:rPr>
          <w:w w:val="108"/>
        </w:rPr>
        <w:t>os</w:t>
      </w:r>
      <w:r>
        <w:rPr/>
        <w:t> </w:t>
      </w:r>
      <w:r>
        <w:rPr>
          <w:spacing w:val="-3"/>
        </w:rPr>
        <w:t> </w:t>
      </w:r>
      <w:r>
        <w:rPr>
          <w:w w:val="112"/>
        </w:rPr>
        <w:t>ciclos</w:t>
      </w:r>
      <w:r>
        <w:rPr/>
        <w:t> </w:t>
      </w:r>
      <w:r>
        <w:rPr>
          <w:spacing w:val="-3"/>
        </w:rPr>
        <w:t> </w:t>
      </w:r>
      <w:r>
        <w:rPr>
          <w:w w:val="112"/>
        </w:rPr>
        <w:t>u</w:t>
      </w:r>
      <w:r>
        <w:rPr/>
        <w:t> </w:t>
      </w:r>
      <w:r>
        <w:rPr>
          <w:spacing w:val="-3"/>
        </w:rPr>
        <w:t> </w:t>
      </w:r>
      <w:r>
        <w:rPr>
          <w:w w:val="109"/>
        </w:rPr>
        <w:t>ondas</w:t>
      </w:r>
      <w:r>
        <w:rPr/>
        <w:t> </w:t>
      </w:r>
      <w:r>
        <w:rPr>
          <w:spacing w:val="-3"/>
        </w:rPr>
        <w:t> </w:t>
      </w:r>
      <w:r>
        <w:rPr>
          <w:w w:val="109"/>
        </w:rPr>
        <w:t>largos</w:t>
      </w:r>
      <w:r>
        <w:rPr/>
        <w:t> </w:t>
      </w:r>
      <w:r>
        <w:rPr>
          <w:spacing w:val="-3"/>
        </w:rPr>
        <w:t> </w:t>
      </w:r>
      <w:r>
        <w:rPr>
          <w:w w:val="112"/>
        </w:rPr>
        <w:t>han</w:t>
      </w:r>
      <w:r>
        <w:rPr/>
        <w:t> </w:t>
      </w:r>
      <w:r>
        <w:rPr>
          <w:spacing w:val="-3"/>
        </w:rPr>
        <w:t> </w:t>
      </w:r>
      <w:r>
        <w:rPr>
          <w:w w:val="109"/>
        </w:rPr>
        <w:t>sido</w:t>
      </w:r>
      <w:r>
        <w:rPr/>
        <w:t> </w:t>
      </w:r>
      <w:r>
        <w:rPr>
          <w:spacing w:val="-3"/>
        </w:rPr>
        <w:t> </w:t>
      </w:r>
      <w:r>
        <w:rPr>
          <w:w w:val="109"/>
        </w:rPr>
        <w:t>estudiados</w:t>
      </w:r>
      <w:r>
        <w:rPr/>
        <w:t> </w:t>
      </w:r>
      <w:r>
        <w:rPr>
          <w:spacing w:val="-3"/>
        </w:rPr>
        <w:t> </w:t>
      </w:r>
      <w:r>
        <w:rPr>
          <w:w w:val="108"/>
        </w:rPr>
        <w:t>por</w:t>
      </w:r>
      <w:r>
        <w:rPr/>
        <w:t> </w:t>
      </w:r>
      <w:r>
        <w:rPr>
          <w:spacing w:val="-3"/>
        </w:rPr>
        <w:t> </w:t>
      </w:r>
      <w:r>
        <w:rPr>
          <w:w w:val="106"/>
        </w:rPr>
        <w:t>diversos</w:t>
      </w:r>
      <w:r>
        <w:rPr/>
        <w:t> </w:t>
      </w:r>
      <w:r>
        <w:rPr>
          <w:spacing w:val="-3"/>
        </w:rPr>
        <w:t> </w:t>
      </w:r>
      <w:r>
        <w:rPr>
          <w:w w:val="108"/>
        </w:rPr>
        <w:t>autores </w:t>
      </w:r>
      <w:r>
        <w:rPr>
          <w:w w:val="110"/>
        </w:rPr>
        <w:t>desde las décadas de 1910 y 1920. Entre ellos destacan Jacob </w:t>
      </w:r>
      <w:r>
        <w:rPr>
          <w:spacing w:val="-5"/>
          <w:w w:val="110"/>
        </w:rPr>
        <w:t>Van </w:t>
      </w:r>
      <w:r>
        <w:rPr>
          <w:w w:val="110"/>
        </w:rPr>
        <w:t>Gel- deren, Nicolai Kondratiev, Joseph schumpeter, Ernst Mandel, Christo- pher Freeman, Carlota Pérez y theotonio dos santos. Por cuestiones  de espacio, no volveré a este debate teórico, pues lo desarrollo en profundidad  en  mi  libro  </w:t>
      </w:r>
      <w:r>
        <w:rPr>
          <w:i/>
          <w:w w:val="110"/>
        </w:rPr>
        <w:t>Globalização,  dependência  e</w:t>
      </w:r>
      <w:r>
        <w:rPr>
          <w:i/>
          <w:spacing w:val="-8"/>
          <w:w w:val="110"/>
        </w:rPr>
        <w:t> </w:t>
      </w:r>
      <w:r>
        <w:rPr>
          <w:i/>
          <w:w w:val="110"/>
        </w:rPr>
        <w:t>neoliberalismo</w:t>
      </w:r>
    </w:p>
    <w:p>
      <w:pPr>
        <w:spacing w:after="0" w:line="252" w:lineRule="auto"/>
        <w:jc w:val="both"/>
        <w:sectPr>
          <w:headerReference w:type="default" r:id="rId73"/>
          <w:headerReference w:type="even" r:id="rId74"/>
          <w:footerReference w:type="default" r:id="rId75"/>
          <w:footerReference w:type="even" r:id="rId76"/>
          <w:pgSz w:w="8790" w:h="12760"/>
          <w:pgMar w:header="697" w:footer="725" w:top="880" w:bottom="920" w:left="1200" w:right="900"/>
        </w:sectPr>
      </w:pPr>
    </w:p>
    <w:p>
      <w:pPr>
        <w:pStyle w:val="BodyText"/>
        <w:spacing w:before="9"/>
        <w:rPr>
          <w:i/>
          <w:sz w:val="28"/>
        </w:rPr>
      </w:pPr>
    </w:p>
    <w:p>
      <w:pPr>
        <w:pStyle w:val="BodyText"/>
        <w:spacing w:line="252" w:lineRule="auto" w:before="73"/>
        <w:ind w:left="100" w:right="327"/>
        <w:jc w:val="both"/>
      </w:pPr>
      <w:r>
        <w:rPr>
          <w:i/>
          <w:w w:val="115"/>
        </w:rPr>
        <w:t>na</w:t>
      </w:r>
      <w:r>
        <w:rPr>
          <w:i/>
          <w:spacing w:val="-16"/>
          <w:w w:val="115"/>
        </w:rPr>
        <w:t> </w:t>
      </w:r>
      <w:r>
        <w:rPr>
          <w:i/>
          <w:w w:val="115"/>
        </w:rPr>
        <w:t>América</w:t>
      </w:r>
      <w:r>
        <w:rPr>
          <w:i/>
          <w:spacing w:val="-16"/>
          <w:w w:val="115"/>
        </w:rPr>
        <w:t> </w:t>
      </w:r>
      <w:r>
        <w:rPr>
          <w:i/>
          <w:w w:val="115"/>
        </w:rPr>
        <w:t>Latina</w:t>
      </w:r>
      <w:r>
        <w:rPr>
          <w:i/>
          <w:spacing w:val="-16"/>
          <w:w w:val="115"/>
        </w:rPr>
        <w:t> </w:t>
      </w:r>
      <w:r>
        <w:rPr>
          <w:w w:val="115"/>
        </w:rPr>
        <w:t>(2011);</w:t>
      </w:r>
      <w:r>
        <w:rPr>
          <w:spacing w:val="-16"/>
          <w:w w:val="115"/>
        </w:rPr>
        <w:t> </w:t>
      </w:r>
      <w:r>
        <w:rPr>
          <w:w w:val="115"/>
        </w:rPr>
        <w:t>sin</w:t>
      </w:r>
      <w:r>
        <w:rPr>
          <w:spacing w:val="-16"/>
          <w:w w:val="115"/>
        </w:rPr>
        <w:t> </w:t>
      </w:r>
      <w:r>
        <w:rPr>
          <w:w w:val="115"/>
        </w:rPr>
        <w:t>embargo,</w:t>
      </w:r>
      <w:r>
        <w:rPr>
          <w:spacing w:val="-16"/>
          <w:w w:val="115"/>
        </w:rPr>
        <w:t> </w:t>
      </w:r>
      <w:r>
        <w:rPr>
          <w:w w:val="115"/>
        </w:rPr>
        <w:t>utilizaré</w:t>
      </w:r>
      <w:r>
        <w:rPr>
          <w:spacing w:val="-16"/>
          <w:w w:val="115"/>
        </w:rPr>
        <w:t> </w:t>
      </w:r>
      <w:r>
        <w:rPr>
          <w:w w:val="115"/>
        </w:rPr>
        <w:t>aquí</w:t>
      </w:r>
      <w:r>
        <w:rPr>
          <w:spacing w:val="-16"/>
          <w:w w:val="115"/>
        </w:rPr>
        <w:t> </w:t>
      </w:r>
      <w:r>
        <w:rPr>
          <w:w w:val="115"/>
        </w:rPr>
        <w:t>los</w:t>
      </w:r>
      <w:r>
        <w:rPr>
          <w:spacing w:val="-16"/>
          <w:w w:val="115"/>
        </w:rPr>
        <w:t> </w:t>
      </w:r>
      <w:r>
        <w:rPr>
          <w:w w:val="115"/>
        </w:rPr>
        <w:t>principales instrumentos</w:t>
      </w:r>
      <w:r>
        <w:rPr>
          <w:spacing w:val="-24"/>
          <w:w w:val="115"/>
        </w:rPr>
        <w:t> </w:t>
      </w:r>
      <w:r>
        <w:rPr>
          <w:w w:val="115"/>
        </w:rPr>
        <w:t>analíticos</w:t>
      </w:r>
      <w:r>
        <w:rPr>
          <w:spacing w:val="-24"/>
          <w:w w:val="115"/>
        </w:rPr>
        <w:t> </w:t>
      </w:r>
      <w:r>
        <w:rPr>
          <w:w w:val="115"/>
        </w:rPr>
        <w:t>para</w:t>
      </w:r>
      <w:r>
        <w:rPr>
          <w:spacing w:val="-24"/>
          <w:w w:val="115"/>
        </w:rPr>
        <w:t> </w:t>
      </w:r>
      <w:r>
        <w:rPr>
          <w:w w:val="115"/>
        </w:rPr>
        <w:t>comprender</w:t>
      </w:r>
      <w:r>
        <w:rPr>
          <w:spacing w:val="-24"/>
          <w:w w:val="115"/>
        </w:rPr>
        <w:t> </w:t>
      </w:r>
      <w:r>
        <w:rPr>
          <w:w w:val="115"/>
        </w:rPr>
        <w:t>estos</w:t>
      </w:r>
      <w:r>
        <w:rPr>
          <w:spacing w:val="-24"/>
          <w:w w:val="115"/>
        </w:rPr>
        <w:t> </w:t>
      </w:r>
      <w:r>
        <w:rPr>
          <w:w w:val="115"/>
        </w:rPr>
        <w:t>ciclos</w:t>
      </w:r>
      <w:r>
        <w:rPr>
          <w:spacing w:val="-24"/>
          <w:w w:val="115"/>
        </w:rPr>
        <w:t> </w:t>
      </w:r>
      <w:r>
        <w:rPr>
          <w:w w:val="115"/>
        </w:rPr>
        <w:t>en</w:t>
      </w:r>
      <w:r>
        <w:rPr>
          <w:spacing w:val="-24"/>
          <w:w w:val="115"/>
        </w:rPr>
        <w:t> </w:t>
      </w:r>
      <w:r>
        <w:rPr>
          <w:w w:val="115"/>
        </w:rPr>
        <w:t>la</w:t>
      </w:r>
      <w:r>
        <w:rPr>
          <w:spacing w:val="-24"/>
          <w:w w:val="115"/>
        </w:rPr>
        <w:t> </w:t>
      </w:r>
      <w:r>
        <w:rPr>
          <w:w w:val="115"/>
        </w:rPr>
        <w:t>economía </w:t>
      </w:r>
      <w:r>
        <w:rPr>
          <w:w w:val="112"/>
        </w:rPr>
        <w:t>mundial</w:t>
      </w:r>
      <w:r>
        <w:rPr>
          <w:spacing w:val="19"/>
        </w:rPr>
        <w:t> </w:t>
      </w:r>
      <w:r>
        <w:rPr>
          <w:w w:val="111"/>
        </w:rPr>
        <w:t>contemporánea.</w:t>
      </w:r>
      <w:r>
        <w:rPr>
          <w:spacing w:val="19"/>
        </w:rPr>
        <w:t> </w:t>
      </w:r>
      <w:r>
        <w:rPr>
          <w:w w:val="243"/>
        </w:rPr>
        <w:t>l</w:t>
      </w:r>
      <w:r>
        <w:rPr>
          <w:w w:val="108"/>
        </w:rPr>
        <w:t>os</w:t>
      </w:r>
      <w:r>
        <w:rPr>
          <w:spacing w:val="19"/>
        </w:rPr>
        <w:t> </w:t>
      </w:r>
      <w:r>
        <w:rPr>
          <w:w w:val="112"/>
        </w:rPr>
        <w:t>ciclos</w:t>
      </w:r>
      <w:r>
        <w:rPr>
          <w:spacing w:val="19"/>
        </w:rPr>
        <w:t> </w:t>
      </w:r>
      <w:r>
        <w:rPr>
          <w:w w:val="109"/>
        </w:rPr>
        <w:t>largos</w:t>
      </w:r>
      <w:r>
        <w:rPr>
          <w:spacing w:val="19"/>
        </w:rPr>
        <w:t> </w:t>
      </w:r>
      <w:r>
        <w:rPr>
          <w:w w:val="110"/>
        </w:rPr>
        <w:t>o</w:t>
      </w:r>
      <w:r>
        <w:rPr>
          <w:spacing w:val="19"/>
        </w:rPr>
        <w:t> </w:t>
      </w:r>
      <w:r>
        <w:rPr>
          <w:w w:val="112"/>
        </w:rPr>
        <w:t>ciclos</w:t>
      </w:r>
      <w:r>
        <w:rPr>
          <w:spacing w:val="19"/>
        </w:rPr>
        <w:t> </w:t>
      </w:r>
      <w:r>
        <w:rPr>
          <w:w w:val="107"/>
        </w:rPr>
        <w:t>de</w:t>
      </w:r>
      <w:r>
        <w:rPr>
          <w:spacing w:val="19"/>
        </w:rPr>
        <w:t> </w:t>
      </w:r>
      <w:r>
        <w:rPr>
          <w:w w:val="110"/>
        </w:rPr>
        <w:t>Kondratiev</w:t>
      </w:r>
      <w:r>
        <w:rPr>
          <w:spacing w:val="19"/>
        </w:rPr>
        <w:t> </w:t>
      </w:r>
      <w:r>
        <w:rPr>
          <w:w w:val="105"/>
        </w:rPr>
        <w:t>–el </w:t>
      </w:r>
      <w:r>
        <w:rPr>
          <w:w w:val="115"/>
        </w:rPr>
        <w:t>autor</w:t>
      </w:r>
      <w:r>
        <w:rPr>
          <w:spacing w:val="-30"/>
          <w:w w:val="115"/>
        </w:rPr>
        <w:t> </w:t>
      </w:r>
      <w:r>
        <w:rPr>
          <w:w w:val="115"/>
        </w:rPr>
        <w:t>ruso,</w:t>
      </w:r>
      <w:r>
        <w:rPr>
          <w:spacing w:val="-30"/>
          <w:w w:val="115"/>
        </w:rPr>
        <w:t> </w:t>
      </w:r>
      <w:r>
        <w:rPr>
          <w:w w:val="115"/>
        </w:rPr>
        <w:t>por</w:t>
      </w:r>
      <w:r>
        <w:rPr>
          <w:spacing w:val="-30"/>
          <w:w w:val="115"/>
        </w:rPr>
        <w:t> </w:t>
      </w:r>
      <w:r>
        <w:rPr>
          <w:w w:val="115"/>
        </w:rPr>
        <w:t>sus</w:t>
      </w:r>
      <w:r>
        <w:rPr>
          <w:spacing w:val="-30"/>
          <w:w w:val="115"/>
        </w:rPr>
        <w:t> </w:t>
      </w:r>
      <w:r>
        <w:rPr>
          <w:w w:val="115"/>
        </w:rPr>
        <w:t>estudios,</w:t>
      </w:r>
      <w:r>
        <w:rPr>
          <w:spacing w:val="-30"/>
          <w:w w:val="115"/>
        </w:rPr>
        <w:t> </w:t>
      </w:r>
      <w:r>
        <w:rPr>
          <w:w w:val="115"/>
        </w:rPr>
        <w:t>dio</w:t>
      </w:r>
      <w:r>
        <w:rPr>
          <w:spacing w:val="-30"/>
          <w:w w:val="115"/>
        </w:rPr>
        <w:t> </w:t>
      </w:r>
      <w:r>
        <w:rPr>
          <w:w w:val="115"/>
        </w:rPr>
        <w:t>nombre</w:t>
      </w:r>
      <w:r>
        <w:rPr>
          <w:spacing w:val="-30"/>
          <w:w w:val="115"/>
        </w:rPr>
        <w:t> </w:t>
      </w:r>
      <w:r>
        <w:rPr>
          <w:w w:val="115"/>
        </w:rPr>
        <w:t>a</w:t>
      </w:r>
      <w:r>
        <w:rPr>
          <w:spacing w:val="-30"/>
          <w:w w:val="115"/>
        </w:rPr>
        <w:t> </w:t>
      </w:r>
      <w:r>
        <w:rPr>
          <w:w w:val="115"/>
        </w:rPr>
        <w:t>estos</w:t>
      </w:r>
      <w:r>
        <w:rPr>
          <w:spacing w:val="-30"/>
          <w:w w:val="115"/>
        </w:rPr>
        <w:t> </w:t>
      </w:r>
      <w:r>
        <w:rPr>
          <w:w w:val="115"/>
        </w:rPr>
        <w:t>procesos–</w:t>
      </w:r>
      <w:r>
        <w:rPr>
          <w:spacing w:val="-30"/>
          <w:w w:val="115"/>
        </w:rPr>
        <w:t> </w:t>
      </w:r>
      <w:r>
        <w:rPr>
          <w:w w:val="115"/>
        </w:rPr>
        <w:t>son</w:t>
      </w:r>
      <w:r>
        <w:rPr>
          <w:spacing w:val="-30"/>
          <w:w w:val="115"/>
        </w:rPr>
        <w:t> </w:t>
      </w:r>
      <w:r>
        <w:rPr>
          <w:w w:val="115"/>
        </w:rPr>
        <w:t>una</w:t>
      </w:r>
      <w:r>
        <w:rPr>
          <w:spacing w:val="-30"/>
          <w:w w:val="115"/>
        </w:rPr>
        <w:t> </w:t>
      </w:r>
      <w:r>
        <w:rPr>
          <w:spacing w:val="-4"/>
          <w:w w:val="115"/>
        </w:rPr>
        <w:t>for- </w:t>
      </w:r>
      <w:r>
        <w:rPr>
          <w:w w:val="115"/>
        </w:rPr>
        <w:t>ma</w:t>
      </w:r>
      <w:r>
        <w:rPr>
          <w:spacing w:val="-14"/>
          <w:w w:val="115"/>
        </w:rPr>
        <w:t> </w:t>
      </w:r>
      <w:r>
        <w:rPr>
          <w:w w:val="115"/>
        </w:rPr>
        <w:t>de</w:t>
      </w:r>
      <w:r>
        <w:rPr>
          <w:spacing w:val="-14"/>
          <w:w w:val="115"/>
        </w:rPr>
        <w:t> </w:t>
      </w:r>
      <w:r>
        <w:rPr>
          <w:w w:val="115"/>
        </w:rPr>
        <w:t>expresión</w:t>
      </w:r>
      <w:r>
        <w:rPr>
          <w:spacing w:val="-14"/>
          <w:w w:val="115"/>
        </w:rPr>
        <w:t> </w:t>
      </w:r>
      <w:r>
        <w:rPr>
          <w:w w:val="115"/>
        </w:rPr>
        <w:t>razonablemente</w:t>
      </w:r>
      <w:r>
        <w:rPr>
          <w:spacing w:val="-14"/>
          <w:w w:val="115"/>
        </w:rPr>
        <w:t> </w:t>
      </w:r>
      <w:r>
        <w:rPr>
          <w:w w:val="115"/>
        </w:rPr>
        <w:t>sistemática</w:t>
      </w:r>
      <w:r>
        <w:rPr>
          <w:spacing w:val="-14"/>
          <w:w w:val="115"/>
        </w:rPr>
        <w:t> </w:t>
      </w:r>
      <w:r>
        <w:rPr>
          <w:w w:val="115"/>
        </w:rPr>
        <w:t>del</w:t>
      </w:r>
      <w:r>
        <w:rPr>
          <w:spacing w:val="-14"/>
          <w:w w:val="115"/>
        </w:rPr>
        <w:t> </w:t>
      </w:r>
      <w:r>
        <w:rPr>
          <w:w w:val="115"/>
        </w:rPr>
        <w:t>funcionamiento</w:t>
      </w:r>
      <w:r>
        <w:rPr>
          <w:spacing w:val="-14"/>
          <w:w w:val="115"/>
        </w:rPr>
        <w:t> </w:t>
      </w:r>
      <w:r>
        <w:rPr>
          <w:w w:val="115"/>
        </w:rPr>
        <w:t>de la</w:t>
      </w:r>
      <w:r>
        <w:rPr>
          <w:spacing w:val="-26"/>
          <w:w w:val="115"/>
        </w:rPr>
        <w:t> </w:t>
      </w:r>
      <w:r>
        <w:rPr>
          <w:w w:val="115"/>
        </w:rPr>
        <w:t>economía</w:t>
      </w:r>
      <w:r>
        <w:rPr>
          <w:spacing w:val="-26"/>
          <w:w w:val="115"/>
        </w:rPr>
        <w:t> </w:t>
      </w:r>
      <w:r>
        <w:rPr>
          <w:w w:val="115"/>
        </w:rPr>
        <w:t>capitalista,</w:t>
      </w:r>
      <w:r>
        <w:rPr>
          <w:spacing w:val="-26"/>
          <w:w w:val="115"/>
        </w:rPr>
        <w:t> </w:t>
      </w:r>
      <w:r>
        <w:rPr>
          <w:w w:val="115"/>
        </w:rPr>
        <w:t>concentrándose</w:t>
      </w:r>
      <w:r>
        <w:rPr>
          <w:spacing w:val="-26"/>
          <w:w w:val="115"/>
        </w:rPr>
        <w:t> </w:t>
      </w:r>
      <w:r>
        <w:rPr>
          <w:w w:val="115"/>
        </w:rPr>
        <w:t>en</w:t>
      </w:r>
      <w:r>
        <w:rPr>
          <w:spacing w:val="-26"/>
          <w:w w:val="115"/>
        </w:rPr>
        <w:t> </w:t>
      </w:r>
      <w:r>
        <w:rPr>
          <w:w w:val="115"/>
        </w:rPr>
        <w:t>los</w:t>
      </w:r>
      <w:r>
        <w:rPr>
          <w:spacing w:val="-26"/>
          <w:w w:val="115"/>
        </w:rPr>
        <w:t> </w:t>
      </w:r>
      <w:r>
        <w:rPr>
          <w:w w:val="115"/>
        </w:rPr>
        <w:t>países</w:t>
      </w:r>
      <w:r>
        <w:rPr>
          <w:spacing w:val="-26"/>
          <w:w w:val="115"/>
        </w:rPr>
        <w:t> </w:t>
      </w:r>
      <w:r>
        <w:rPr>
          <w:w w:val="115"/>
        </w:rPr>
        <w:t>centrales</w:t>
      </w:r>
      <w:r>
        <w:rPr>
          <w:spacing w:val="-26"/>
          <w:w w:val="115"/>
        </w:rPr>
        <w:t> </w:t>
      </w:r>
      <w:r>
        <w:rPr>
          <w:w w:val="115"/>
        </w:rPr>
        <w:t>desde </w:t>
      </w:r>
      <w:r>
        <w:rPr>
          <w:w w:val="120"/>
        </w:rPr>
        <w:t>el</w:t>
      </w:r>
      <w:r>
        <w:rPr>
          <w:spacing w:val="-35"/>
          <w:w w:val="120"/>
        </w:rPr>
        <w:t> </w:t>
      </w:r>
      <w:r>
        <w:rPr>
          <w:w w:val="120"/>
        </w:rPr>
        <w:t>surgimiento</w:t>
      </w:r>
      <w:r>
        <w:rPr>
          <w:spacing w:val="-35"/>
          <w:w w:val="120"/>
        </w:rPr>
        <w:t> </w:t>
      </w:r>
      <w:r>
        <w:rPr>
          <w:w w:val="120"/>
        </w:rPr>
        <w:t>de</w:t>
      </w:r>
      <w:r>
        <w:rPr>
          <w:spacing w:val="-35"/>
          <w:w w:val="120"/>
        </w:rPr>
        <w:t> </w:t>
      </w:r>
      <w:r>
        <w:rPr>
          <w:w w:val="120"/>
        </w:rPr>
        <w:t>la</w:t>
      </w:r>
      <w:r>
        <w:rPr>
          <w:spacing w:val="-35"/>
          <w:w w:val="120"/>
        </w:rPr>
        <w:t> </w:t>
      </w:r>
      <w:r>
        <w:rPr>
          <w:w w:val="120"/>
        </w:rPr>
        <w:t>revolución</w:t>
      </w:r>
      <w:r>
        <w:rPr>
          <w:spacing w:val="-35"/>
          <w:w w:val="120"/>
        </w:rPr>
        <w:t> </w:t>
      </w:r>
      <w:r>
        <w:rPr>
          <w:w w:val="120"/>
        </w:rPr>
        <w:t>industrial</w:t>
      </w:r>
      <w:r>
        <w:rPr>
          <w:spacing w:val="-35"/>
          <w:w w:val="120"/>
        </w:rPr>
        <w:t> </w:t>
      </w:r>
      <w:r>
        <w:rPr>
          <w:w w:val="120"/>
        </w:rPr>
        <w:t>a</w:t>
      </w:r>
      <w:r>
        <w:rPr>
          <w:spacing w:val="-35"/>
          <w:w w:val="120"/>
        </w:rPr>
        <w:t> </w:t>
      </w:r>
      <w:r>
        <w:rPr>
          <w:w w:val="120"/>
        </w:rPr>
        <w:t>finales</w:t>
      </w:r>
      <w:r>
        <w:rPr>
          <w:spacing w:val="-35"/>
          <w:w w:val="120"/>
        </w:rPr>
        <w:t> </w:t>
      </w:r>
      <w:r>
        <w:rPr>
          <w:w w:val="120"/>
        </w:rPr>
        <w:t>del</w:t>
      </w:r>
      <w:r>
        <w:rPr>
          <w:spacing w:val="-35"/>
          <w:w w:val="120"/>
        </w:rPr>
        <w:t> </w:t>
      </w:r>
      <w:r>
        <w:rPr>
          <w:w w:val="120"/>
        </w:rPr>
        <w:t>siglo</w:t>
      </w:r>
      <w:r>
        <w:rPr>
          <w:spacing w:val="-35"/>
          <w:w w:val="120"/>
        </w:rPr>
        <w:t> </w:t>
      </w:r>
      <w:r>
        <w:rPr>
          <w:w w:val="120"/>
        </w:rPr>
        <w:t>xViii.</w:t>
      </w:r>
      <w:r>
        <w:rPr>
          <w:spacing w:val="-35"/>
          <w:w w:val="120"/>
        </w:rPr>
        <w:t> </w:t>
      </w:r>
      <w:r>
        <w:rPr>
          <w:w w:val="120"/>
        </w:rPr>
        <w:t>Ex- </w:t>
      </w:r>
      <w:r>
        <w:rPr>
          <w:w w:val="110"/>
        </w:rPr>
        <w:t>presan la combinación y los desajustes entre paradigmas tecnológicos </w:t>
      </w:r>
      <w:r>
        <w:rPr>
          <w:w w:val="115"/>
        </w:rPr>
        <w:t>y</w:t>
      </w:r>
      <w:r>
        <w:rPr>
          <w:spacing w:val="-6"/>
          <w:w w:val="115"/>
        </w:rPr>
        <w:t> </w:t>
      </w:r>
      <w:r>
        <w:rPr>
          <w:w w:val="115"/>
        </w:rPr>
        <w:t>organizacionales</w:t>
      </w:r>
      <w:r>
        <w:rPr>
          <w:spacing w:val="-6"/>
          <w:w w:val="115"/>
        </w:rPr>
        <w:t> </w:t>
      </w:r>
      <w:r>
        <w:rPr>
          <w:w w:val="115"/>
        </w:rPr>
        <w:t>a</w:t>
      </w:r>
      <w:r>
        <w:rPr>
          <w:spacing w:val="-6"/>
          <w:w w:val="115"/>
        </w:rPr>
        <w:t> </w:t>
      </w:r>
      <w:r>
        <w:rPr>
          <w:w w:val="115"/>
        </w:rPr>
        <w:t>éstos</w:t>
      </w:r>
      <w:r>
        <w:rPr>
          <w:spacing w:val="-6"/>
          <w:w w:val="115"/>
        </w:rPr>
        <w:t> </w:t>
      </w:r>
      <w:r>
        <w:rPr>
          <w:w w:val="115"/>
        </w:rPr>
        <w:t>relacionados.</w:t>
      </w:r>
      <w:r>
        <w:rPr>
          <w:spacing w:val="-6"/>
          <w:w w:val="115"/>
        </w:rPr>
        <w:t> </w:t>
      </w:r>
      <w:r>
        <w:rPr>
          <w:w w:val="115"/>
        </w:rPr>
        <w:t>rupturas</w:t>
      </w:r>
      <w:r>
        <w:rPr>
          <w:spacing w:val="-6"/>
          <w:w w:val="115"/>
        </w:rPr>
        <w:t> </w:t>
      </w:r>
      <w:r>
        <w:rPr>
          <w:w w:val="115"/>
        </w:rPr>
        <w:t>tecnológicas</w:t>
      </w:r>
      <w:r>
        <w:rPr>
          <w:spacing w:val="-6"/>
          <w:w w:val="115"/>
        </w:rPr>
        <w:t> </w:t>
      </w:r>
      <w:r>
        <w:rPr>
          <w:w w:val="115"/>
        </w:rPr>
        <w:t>radi- cales</w:t>
      </w:r>
      <w:r>
        <w:rPr>
          <w:spacing w:val="-28"/>
          <w:w w:val="115"/>
        </w:rPr>
        <w:t> </w:t>
      </w:r>
      <w:r>
        <w:rPr>
          <w:w w:val="115"/>
        </w:rPr>
        <w:t>dan</w:t>
      </w:r>
      <w:r>
        <w:rPr>
          <w:spacing w:val="-28"/>
          <w:w w:val="115"/>
        </w:rPr>
        <w:t> </w:t>
      </w:r>
      <w:r>
        <w:rPr>
          <w:w w:val="115"/>
        </w:rPr>
        <w:t>lugar</w:t>
      </w:r>
      <w:r>
        <w:rPr>
          <w:spacing w:val="-28"/>
          <w:w w:val="115"/>
        </w:rPr>
        <w:t> </w:t>
      </w:r>
      <w:r>
        <w:rPr>
          <w:w w:val="115"/>
        </w:rPr>
        <w:t>a</w:t>
      </w:r>
      <w:r>
        <w:rPr>
          <w:spacing w:val="-28"/>
          <w:w w:val="115"/>
        </w:rPr>
        <w:t> </w:t>
      </w:r>
      <w:r>
        <w:rPr>
          <w:w w:val="115"/>
        </w:rPr>
        <w:t>innovaciones</w:t>
      </w:r>
      <w:r>
        <w:rPr>
          <w:spacing w:val="-28"/>
          <w:w w:val="115"/>
        </w:rPr>
        <w:t> </w:t>
      </w:r>
      <w:r>
        <w:rPr>
          <w:w w:val="115"/>
        </w:rPr>
        <w:t>primarias,</w:t>
      </w:r>
      <w:r>
        <w:rPr>
          <w:spacing w:val="-28"/>
          <w:w w:val="115"/>
        </w:rPr>
        <w:t> </w:t>
      </w:r>
      <w:r>
        <w:rPr>
          <w:w w:val="115"/>
        </w:rPr>
        <w:t>secundarias</w:t>
      </w:r>
      <w:r>
        <w:rPr>
          <w:spacing w:val="-28"/>
          <w:w w:val="115"/>
        </w:rPr>
        <w:t> </w:t>
      </w:r>
      <w:r>
        <w:rPr>
          <w:w w:val="115"/>
        </w:rPr>
        <w:t>y</w:t>
      </w:r>
      <w:r>
        <w:rPr>
          <w:spacing w:val="-28"/>
          <w:w w:val="115"/>
        </w:rPr>
        <w:t> </w:t>
      </w:r>
      <w:r>
        <w:rPr>
          <w:w w:val="115"/>
        </w:rPr>
        <w:t>terciarias</w:t>
      </w:r>
      <w:r>
        <w:rPr>
          <w:spacing w:val="-28"/>
          <w:w w:val="115"/>
        </w:rPr>
        <w:t> </w:t>
      </w:r>
      <w:r>
        <w:rPr>
          <w:w w:val="115"/>
        </w:rPr>
        <w:t>que confrontan</w:t>
      </w:r>
      <w:r>
        <w:rPr>
          <w:spacing w:val="-23"/>
          <w:w w:val="115"/>
        </w:rPr>
        <w:t> </w:t>
      </w:r>
      <w:r>
        <w:rPr>
          <w:w w:val="115"/>
        </w:rPr>
        <w:t>estructuras</w:t>
      </w:r>
      <w:r>
        <w:rPr>
          <w:spacing w:val="-23"/>
          <w:w w:val="115"/>
        </w:rPr>
        <w:t> </w:t>
      </w:r>
      <w:r>
        <w:rPr>
          <w:w w:val="115"/>
        </w:rPr>
        <w:t>e</w:t>
      </w:r>
      <w:r>
        <w:rPr>
          <w:spacing w:val="-23"/>
          <w:w w:val="115"/>
        </w:rPr>
        <w:t> </w:t>
      </w:r>
      <w:r>
        <w:rPr>
          <w:w w:val="115"/>
        </w:rPr>
        <w:t>inercias</w:t>
      </w:r>
      <w:r>
        <w:rPr>
          <w:spacing w:val="-23"/>
          <w:w w:val="115"/>
        </w:rPr>
        <w:t> </w:t>
      </w:r>
      <w:r>
        <w:rPr>
          <w:w w:val="115"/>
        </w:rPr>
        <w:t>organizacionales</w:t>
      </w:r>
      <w:r>
        <w:rPr>
          <w:spacing w:val="-23"/>
          <w:w w:val="115"/>
        </w:rPr>
        <w:t> </w:t>
      </w:r>
      <w:r>
        <w:rPr>
          <w:w w:val="115"/>
        </w:rPr>
        <w:t>y</w:t>
      </w:r>
      <w:r>
        <w:rPr>
          <w:spacing w:val="-23"/>
          <w:w w:val="115"/>
        </w:rPr>
        <w:t> </w:t>
      </w:r>
      <w:r>
        <w:rPr>
          <w:w w:val="115"/>
        </w:rPr>
        <w:t>abren</w:t>
      </w:r>
      <w:r>
        <w:rPr>
          <w:spacing w:val="-23"/>
          <w:w w:val="115"/>
        </w:rPr>
        <w:t> </w:t>
      </w:r>
      <w:r>
        <w:rPr>
          <w:w w:val="115"/>
        </w:rPr>
        <w:t>el</w:t>
      </w:r>
      <w:r>
        <w:rPr>
          <w:spacing w:val="-23"/>
          <w:w w:val="115"/>
        </w:rPr>
        <w:t> </w:t>
      </w:r>
      <w:r>
        <w:rPr>
          <w:w w:val="115"/>
        </w:rPr>
        <w:t>espacio para innovaciones institucionales que se combinan con las tecnoló- gicas</w:t>
      </w:r>
      <w:r>
        <w:rPr>
          <w:spacing w:val="-10"/>
          <w:w w:val="115"/>
        </w:rPr>
        <w:t> </w:t>
      </w:r>
      <w:r>
        <w:rPr>
          <w:w w:val="115"/>
        </w:rPr>
        <w:t>para</w:t>
      </w:r>
      <w:r>
        <w:rPr>
          <w:spacing w:val="-10"/>
          <w:w w:val="115"/>
        </w:rPr>
        <w:t> </w:t>
      </w:r>
      <w:r>
        <w:rPr>
          <w:w w:val="115"/>
        </w:rPr>
        <w:t>desarrollarlas.</w:t>
      </w:r>
      <w:r>
        <w:rPr>
          <w:spacing w:val="-10"/>
          <w:w w:val="115"/>
        </w:rPr>
        <w:t> </w:t>
      </w:r>
      <w:r>
        <w:rPr>
          <w:w w:val="115"/>
        </w:rPr>
        <w:t>En</w:t>
      </w:r>
      <w:r>
        <w:rPr>
          <w:spacing w:val="-10"/>
          <w:w w:val="115"/>
        </w:rPr>
        <w:t> </w:t>
      </w:r>
      <w:r>
        <w:rPr>
          <w:w w:val="115"/>
        </w:rPr>
        <w:t>líneas</w:t>
      </w:r>
      <w:r>
        <w:rPr>
          <w:spacing w:val="-10"/>
          <w:w w:val="115"/>
        </w:rPr>
        <w:t> </w:t>
      </w:r>
      <w:r>
        <w:rPr>
          <w:w w:val="115"/>
        </w:rPr>
        <w:t>generales,</w:t>
      </w:r>
      <w:r>
        <w:rPr>
          <w:spacing w:val="-10"/>
          <w:w w:val="115"/>
        </w:rPr>
        <w:t> </w:t>
      </w:r>
      <w:r>
        <w:rPr>
          <w:w w:val="115"/>
        </w:rPr>
        <w:t>estos</w:t>
      </w:r>
      <w:r>
        <w:rPr>
          <w:spacing w:val="-10"/>
          <w:w w:val="115"/>
        </w:rPr>
        <w:t> </w:t>
      </w:r>
      <w:r>
        <w:rPr>
          <w:w w:val="115"/>
        </w:rPr>
        <w:t>ciclos</w:t>
      </w:r>
      <w:r>
        <w:rPr>
          <w:spacing w:val="-10"/>
          <w:w w:val="115"/>
        </w:rPr>
        <w:t> </w:t>
      </w:r>
      <w:r>
        <w:rPr>
          <w:w w:val="115"/>
        </w:rPr>
        <w:t>se</w:t>
      </w:r>
      <w:r>
        <w:rPr>
          <w:spacing w:val="-10"/>
          <w:w w:val="115"/>
        </w:rPr>
        <w:t> </w:t>
      </w:r>
      <w:r>
        <w:rPr>
          <w:w w:val="115"/>
        </w:rPr>
        <w:t>dividen </w:t>
      </w:r>
      <w:r>
        <w:rPr>
          <w:w w:val="120"/>
        </w:rPr>
        <w:t>en</w:t>
      </w:r>
      <w:r>
        <w:rPr>
          <w:spacing w:val="-17"/>
          <w:w w:val="120"/>
        </w:rPr>
        <w:t> </w:t>
      </w:r>
      <w:r>
        <w:rPr>
          <w:w w:val="120"/>
        </w:rPr>
        <w:t>fases:</w:t>
      </w:r>
      <w:r>
        <w:rPr>
          <w:spacing w:val="-17"/>
          <w:w w:val="120"/>
        </w:rPr>
        <w:t> </w:t>
      </w:r>
      <w:r>
        <w:rPr>
          <w:w w:val="120"/>
        </w:rPr>
        <w:t>a)</w:t>
      </w:r>
      <w:r>
        <w:rPr>
          <w:spacing w:val="-17"/>
          <w:w w:val="120"/>
        </w:rPr>
        <w:t> </w:t>
      </w:r>
      <w:r>
        <w:rPr>
          <w:w w:val="120"/>
        </w:rPr>
        <w:t>de</w:t>
      </w:r>
      <w:r>
        <w:rPr>
          <w:spacing w:val="-17"/>
          <w:w w:val="120"/>
        </w:rPr>
        <w:t> </w:t>
      </w:r>
      <w:r>
        <w:rPr>
          <w:w w:val="120"/>
        </w:rPr>
        <w:t>alto</w:t>
      </w:r>
      <w:r>
        <w:rPr>
          <w:spacing w:val="-17"/>
          <w:w w:val="120"/>
        </w:rPr>
        <w:t> </w:t>
      </w:r>
      <w:r>
        <w:rPr>
          <w:w w:val="120"/>
        </w:rPr>
        <w:t>crecimiento,</w:t>
      </w:r>
      <w:r>
        <w:rPr>
          <w:spacing w:val="-17"/>
          <w:w w:val="120"/>
        </w:rPr>
        <w:t> </w:t>
      </w:r>
      <w:r>
        <w:rPr>
          <w:w w:val="120"/>
        </w:rPr>
        <w:t>y</w:t>
      </w:r>
      <w:r>
        <w:rPr>
          <w:spacing w:val="-17"/>
          <w:w w:val="120"/>
        </w:rPr>
        <w:t> </w:t>
      </w:r>
      <w:r>
        <w:rPr>
          <w:w w:val="120"/>
        </w:rPr>
        <w:t>b)</w:t>
      </w:r>
      <w:r>
        <w:rPr>
          <w:spacing w:val="-17"/>
          <w:w w:val="120"/>
        </w:rPr>
        <w:t> </w:t>
      </w:r>
      <w:r>
        <w:rPr>
          <w:w w:val="120"/>
        </w:rPr>
        <w:t>de</w:t>
      </w:r>
      <w:r>
        <w:rPr>
          <w:spacing w:val="-17"/>
          <w:w w:val="120"/>
        </w:rPr>
        <w:t> </w:t>
      </w:r>
      <w:r>
        <w:rPr>
          <w:w w:val="120"/>
        </w:rPr>
        <w:t>bajo</w:t>
      </w:r>
      <w:r>
        <w:rPr>
          <w:spacing w:val="-17"/>
          <w:w w:val="120"/>
        </w:rPr>
        <w:t> </w:t>
      </w:r>
      <w:r>
        <w:rPr>
          <w:w w:val="120"/>
        </w:rPr>
        <w:t>crecimiento,</w:t>
      </w:r>
      <w:r>
        <w:rPr>
          <w:spacing w:val="-17"/>
          <w:w w:val="120"/>
        </w:rPr>
        <w:t> </w:t>
      </w:r>
      <w:r>
        <w:rPr>
          <w:w w:val="120"/>
        </w:rPr>
        <w:t>y</w:t>
      </w:r>
      <w:r>
        <w:rPr>
          <w:spacing w:val="-17"/>
          <w:w w:val="120"/>
        </w:rPr>
        <w:t> </w:t>
      </w:r>
      <w:r>
        <w:rPr>
          <w:w w:val="120"/>
        </w:rPr>
        <w:t>pueden </w:t>
      </w:r>
      <w:r>
        <w:rPr>
          <w:w w:val="115"/>
        </w:rPr>
        <w:t>ser</w:t>
      </w:r>
      <w:r>
        <w:rPr>
          <w:spacing w:val="-14"/>
          <w:w w:val="115"/>
        </w:rPr>
        <w:t> </w:t>
      </w:r>
      <w:r>
        <w:rPr>
          <w:w w:val="115"/>
        </w:rPr>
        <w:t>medidas</w:t>
      </w:r>
      <w:r>
        <w:rPr>
          <w:spacing w:val="-14"/>
          <w:w w:val="115"/>
        </w:rPr>
        <w:t> </w:t>
      </w:r>
      <w:r>
        <w:rPr>
          <w:w w:val="115"/>
        </w:rPr>
        <w:t>por</w:t>
      </w:r>
      <w:r>
        <w:rPr>
          <w:spacing w:val="-14"/>
          <w:w w:val="115"/>
        </w:rPr>
        <w:t> </w:t>
      </w:r>
      <w:r>
        <w:rPr>
          <w:w w:val="115"/>
        </w:rPr>
        <w:t>las</w:t>
      </w:r>
      <w:r>
        <w:rPr>
          <w:spacing w:val="-14"/>
          <w:w w:val="115"/>
        </w:rPr>
        <w:t> </w:t>
      </w:r>
      <w:r>
        <w:rPr>
          <w:w w:val="115"/>
        </w:rPr>
        <w:t>oscilaciones</w:t>
      </w:r>
      <w:r>
        <w:rPr>
          <w:spacing w:val="-14"/>
          <w:w w:val="115"/>
        </w:rPr>
        <w:t> </w:t>
      </w:r>
      <w:r>
        <w:rPr>
          <w:w w:val="115"/>
        </w:rPr>
        <w:t>de</w:t>
      </w:r>
      <w:r>
        <w:rPr>
          <w:spacing w:val="-14"/>
          <w:w w:val="115"/>
        </w:rPr>
        <w:t> </w:t>
      </w:r>
      <w:r>
        <w:rPr>
          <w:w w:val="115"/>
        </w:rPr>
        <w:t>la</w:t>
      </w:r>
      <w:r>
        <w:rPr>
          <w:spacing w:val="-14"/>
          <w:w w:val="115"/>
        </w:rPr>
        <w:t> </w:t>
      </w:r>
      <w:r>
        <w:rPr>
          <w:w w:val="115"/>
        </w:rPr>
        <w:t>tasa</w:t>
      </w:r>
      <w:r>
        <w:rPr>
          <w:spacing w:val="-14"/>
          <w:w w:val="115"/>
        </w:rPr>
        <w:t> </w:t>
      </w:r>
      <w:r>
        <w:rPr>
          <w:w w:val="115"/>
        </w:rPr>
        <w:t>de</w:t>
      </w:r>
      <w:r>
        <w:rPr>
          <w:spacing w:val="-14"/>
          <w:w w:val="115"/>
        </w:rPr>
        <w:t> </w:t>
      </w:r>
      <w:r>
        <w:rPr>
          <w:w w:val="115"/>
        </w:rPr>
        <w:t>crecimiento</w:t>
      </w:r>
      <w:r>
        <w:rPr>
          <w:spacing w:val="-14"/>
          <w:w w:val="115"/>
        </w:rPr>
        <w:t> </w:t>
      </w:r>
      <w:r>
        <w:rPr>
          <w:w w:val="115"/>
        </w:rPr>
        <w:t>del</w:t>
      </w:r>
      <w:r>
        <w:rPr>
          <w:spacing w:val="-14"/>
          <w:w w:val="115"/>
        </w:rPr>
        <w:t> </w:t>
      </w:r>
      <w:r>
        <w:rPr>
          <w:w w:val="115"/>
        </w:rPr>
        <w:t>Pib</w:t>
      </w:r>
      <w:r>
        <w:rPr>
          <w:spacing w:val="-14"/>
          <w:w w:val="115"/>
        </w:rPr>
        <w:t> </w:t>
      </w:r>
      <w:r>
        <w:rPr>
          <w:w w:val="115"/>
        </w:rPr>
        <w:t>per </w:t>
      </w:r>
      <w:r>
        <w:rPr>
          <w:w w:val="120"/>
        </w:rPr>
        <w:t>cápita</w:t>
      </w:r>
      <w:r>
        <w:rPr>
          <w:spacing w:val="-18"/>
          <w:w w:val="120"/>
        </w:rPr>
        <w:t> </w:t>
      </w:r>
      <w:r>
        <w:rPr>
          <w:w w:val="120"/>
        </w:rPr>
        <w:t>y</w:t>
      </w:r>
      <w:r>
        <w:rPr>
          <w:spacing w:val="-18"/>
          <w:w w:val="120"/>
        </w:rPr>
        <w:t> </w:t>
      </w:r>
      <w:r>
        <w:rPr>
          <w:w w:val="120"/>
        </w:rPr>
        <w:t>de</w:t>
      </w:r>
      <w:r>
        <w:rPr>
          <w:spacing w:val="-18"/>
          <w:w w:val="120"/>
        </w:rPr>
        <w:t> </w:t>
      </w:r>
      <w:r>
        <w:rPr>
          <w:w w:val="120"/>
        </w:rPr>
        <w:t>la</w:t>
      </w:r>
      <w:r>
        <w:rPr>
          <w:spacing w:val="-18"/>
          <w:w w:val="120"/>
        </w:rPr>
        <w:t> </w:t>
      </w:r>
      <w:r>
        <w:rPr>
          <w:w w:val="120"/>
        </w:rPr>
        <w:t>tasa</w:t>
      </w:r>
      <w:r>
        <w:rPr>
          <w:spacing w:val="-18"/>
          <w:w w:val="120"/>
        </w:rPr>
        <w:t> </w:t>
      </w:r>
      <w:r>
        <w:rPr>
          <w:w w:val="120"/>
        </w:rPr>
        <w:t>de</w:t>
      </w:r>
      <w:r>
        <w:rPr>
          <w:spacing w:val="-18"/>
          <w:w w:val="120"/>
        </w:rPr>
        <w:t> </w:t>
      </w:r>
      <w:r>
        <w:rPr>
          <w:w w:val="120"/>
        </w:rPr>
        <w:t>ganancia.</w:t>
      </w:r>
      <w:r>
        <w:rPr>
          <w:spacing w:val="-18"/>
          <w:w w:val="120"/>
        </w:rPr>
        <w:t> </w:t>
      </w:r>
      <w:r>
        <w:rPr>
          <w:w w:val="120"/>
        </w:rPr>
        <w:t>Estas</w:t>
      </w:r>
      <w:r>
        <w:rPr>
          <w:spacing w:val="-18"/>
          <w:w w:val="120"/>
        </w:rPr>
        <w:t> </w:t>
      </w:r>
      <w:r>
        <w:rPr>
          <w:w w:val="120"/>
        </w:rPr>
        <w:t>fases</w:t>
      </w:r>
      <w:r>
        <w:rPr>
          <w:spacing w:val="-18"/>
          <w:w w:val="120"/>
        </w:rPr>
        <w:t> </w:t>
      </w:r>
      <w:r>
        <w:rPr>
          <w:w w:val="120"/>
        </w:rPr>
        <w:t>influyen</w:t>
      </w:r>
      <w:r>
        <w:rPr>
          <w:spacing w:val="-18"/>
          <w:w w:val="120"/>
        </w:rPr>
        <w:t> </w:t>
      </w:r>
      <w:r>
        <w:rPr>
          <w:w w:val="120"/>
        </w:rPr>
        <w:t>sobre</w:t>
      </w:r>
      <w:r>
        <w:rPr>
          <w:spacing w:val="-18"/>
          <w:w w:val="120"/>
        </w:rPr>
        <w:t> </w:t>
      </w:r>
      <w:r>
        <w:rPr>
          <w:w w:val="120"/>
        </w:rPr>
        <w:t>los</w:t>
      </w:r>
      <w:r>
        <w:rPr>
          <w:spacing w:val="-18"/>
          <w:w w:val="120"/>
        </w:rPr>
        <w:t> </w:t>
      </w:r>
      <w:r>
        <w:rPr>
          <w:w w:val="120"/>
        </w:rPr>
        <w:t>ciclos </w:t>
      </w:r>
      <w:r>
        <w:rPr>
          <w:w w:val="115"/>
        </w:rPr>
        <w:t>más</w:t>
      </w:r>
      <w:r>
        <w:rPr>
          <w:spacing w:val="-11"/>
          <w:w w:val="115"/>
        </w:rPr>
        <w:t> </w:t>
      </w:r>
      <w:r>
        <w:rPr>
          <w:w w:val="115"/>
        </w:rPr>
        <w:t>cortos</w:t>
      </w:r>
      <w:r>
        <w:rPr>
          <w:spacing w:val="-11"/>
          <w:w w:val="115"/>
        </w:rPr>
        <w:t> </w:t>
      </w:r>
      <w:r>
        <w:rPr>
          <w:w w:val="115"/>
        </w:rPr>
        <w:t>transmitiéndoles</w:t>
      </w:r>
      <w:r>
        <w:rPr>
          <w:spacing w:val="-11"/>
          <w:w w:val="115"/>
        </w:rPr>
        <w:t> </w:t>
      </w:r>
      <w:r>
        <w:rPr>
          <w:w w:val="115"/>
        </w:rPr>
        <w:t>su</w:t>
      </w:r>
      <w:r>
        <w:rPr>
          <w:spacing w:val="-11"/>
          <w:w w:val="115"/>
        </w:rPr>
        <w:t> </w:t>
      </w:r>
      <w:r>
        <w:rPr>
          <w:w w:val="115"/>
        </w:rPr>
        <w:t>ritmo</w:t>
      </w:r>
      <w:r>
        <w:rPr>
          <w:spacing w:val="-11"/>
          <w:w w:val="115"/>
        </w:rPr>
        <w:t> </w:t>
      </w:r>
      <w:r>
        <w:rPr>
          <w:w w:val="115"/>
        </w:rPr>
        <w:t>y</w:t>
      </w:r>
      <w:r>
        <w:rPr>
          <w:spacing w:val="-11"/>
          <w:w w:val="115"/>
        </w:rPr>
        <w:t> </w:t>
      </w:r>
      <w:r>
        <w:rPr>
          <w:w w:val="115"/>
        </w:rPr>
        <w:t>sufren,</w:t>
      </w:r>
      <w:r>
        <w:rPr>
          <w:spacing w:val="-11"/>
          <w:w w:val="115"/>
        </w:rPr>
        <w:t> </w:t>
      </w:r>
      <w:r>
        <w:rPr>
          <w:w w:val="115"/>
        </w:rPr>
        <w:t>a</w:t>
      </w:r>
      <w:r>
        <w:rPr>
          <w:spacing w:val="-11"/>
          <w:w w:val="115"/>
        </w:rPr>
        <w:t> </w:t>
      </w:r>
      <w:r>
        <w:rPr>
          <w:w w:val="115"/>
        </w:rPr>
        <w:t>su</w:t>
      </w:r>
      <w:r>
        <w:rPr>
          <w:spacing w:val="-11"/>
          <w:w w:val="115"/>
        </w:rPr>
        <w:t> </w:t>
      </w:r>
      <w:r>
        <w:rPr>
          <w:w w:val="115"/>
        </w:rPr>
        <w:t>vez,</w:t>
      </w:r>
      <w:r>
        <w:rPr>
          <w:spacing w:val="-11"/>
          <w:w w:val="115"/>
        </w:rPr>
        <w:t> </w:t>
      </w:r>
      <w:r>
        <w:rPr>
          <w:w w:val="115"/>
        </w:rPr>
        <w:t>la</w:t>
      </w:r>
      <w:r>
        <w:rPr>
          <w:spacing w:val="-11"/>
          <w:w w:val="115"/>
        </w:rPr>
        <w:t> </w:t>
      </w:r>
      <w:r>
        <w:rPr>
          <w:w w:val="115"/>
        </w:rPr>
        <w:t>influencia </w:t>
      </w:r>
      <w:r>
        <w:rPr>
          <w:w w:val="107"/>
        </w:rPr>
        <w:t>de</w:t>
      </w:r>
      <w:r>
        <w:rPr>
          <w:spacing w:val="11"/>
        </w:rPr>
        <w:t> </w:t>
      </w:r>
      <w:r>
        <w:rPr>
          <w:w w:val="110"/>
        </w:rPr>
        <w:t>movimientos</w:t>
      </w:r>
      <w:r>
        <w:rPr>
          <w:spacing w:val="11"/>
        </w:rPr>
        <w:t> </w:t>
      </w:r>
      <w:r>
        <w:rPr>
          <w:w w:val="111"/>
        </w:rPr>
        <w:t>más</w:t>
      </w:r>
      <w:r>
        <w:rPr>
          <w:spacing w:val="11"/>
        </w:rPr>
        <w:t> </w:t>
      </w:r>
      <w:r>
        <w:rPr>
          <w:w w:val="112"/>
        </w:rPr>
        <w:t>amplios.</w:t>
      </w:r>
      <w:r>
        <w:rPr>
          <w:spacing w:val="11"/>
        </w:rPr>
        <w:t> </w:t>
      </w:r>
      <w:r>
        <w:rPr>
          <w:w w:val="243"/>
        </w:rPr>
        <w:t>l</w:t>
      </w:r>
      <w:r>
        <w:rPr>
          <w:w w:val="108"/>
        </w:rPr>
        <w:t>os</w:t>
      </w:r>
      <w:r>
        <w:rPr>
          <w:spacing w:val="11"/>
        </w:rPr>
        <w:t> </w:t>
      </w:r>
      <w:r>
        <w:rPr>
          <w:w w:val="108"/>
        </w:rPr>
        <w:t>periodos</w:t>
      </w:r>
      <w:r>
        <w:rPr>
          <w:spacing w:val="11"/>
        </w:rPr>
        <w:t> </w:t>
      </w:r>
      <w:r>
        <w:rPr>
          <w:w w:val="107"/>
        </w:rPr>
        <w:t>de</w:t>
      </w:r>
      <w:r>
        <w:rPr>
          <w:spacing w:val="11"/>
        </w:rPr>
        <w:t> </w:t>
      </w:r>
      <w:r>
        <w:rPr>
          <w:w w:val="110"/>
        </w:rPr>
        <w:t>alta</w:t>
      </w:r>
      <w:r>
        <w:rPr>
          <w:spacing w:val="11"/>
        </w:rPr>
        <w:t> </w:t>
      </w:r>
      <w:r>
        <w:rPr>
          <w:w w:val="109"/>
        </w:rPr>
        <w:t>expansión</w:t>
      </w:r>
      <w:r>
        <w:rPr>
          <w:spacing w:val="11"/>
        </w:rPr>
        <w:t> </w:t>
      </w:r>
      <w:r>
        <w:rPr>
          <w:w w:val="105"/>
        </w:rPr>
        <w:t>y</w:t>
      </w:r>
      <w:r>
        <w:rPr>
          <w:spacing w:val="11"/>
        </w:rPr>
        <w:t> </w:t>
      </w:r>
      <w:r>
        <w:rPr>
          <w:w w:val="108"/>
        </w:rPr>
        <w:t>los</w:t>
      </w:r>
      <w:r>
        <w:rPr>
          <w:spacing w:val="11"/>
        </w:rPr>
        <w:t> </w:t>
      </w:r>
      <w:r>
        <w:rPr>
          <w:w w:val="107"/>
        </w:rPr>
        <w:t>de </w:t>
      </w:r>
      <w:r>
        <w:rPr>
          <w:w w:val="115"/>
        </w:rPr>
        <w:t>bajo crecimiento se dividen en subfases: los primeros en</w:t>
      </w:r>
      <w:r>
        <w:rPr>
          <w:spacing w:val="-8"/>
          <w:w w:val="115"/>
        </w:rPr>
        <w:t> </w:t>
      </w:r>
      <w:r>
        <w:rPr>
          <w:w w:val="115"/>
        </w:rPr>
        <w:t>retomada, prosperidad</w:t>
      </w:r>
      <w:r>
        <w:rPr>
          <w:spacing w:val="-30"/>
          <w:w w:val="115"/>
        </w:rPr>
        <w:t> </w:t>
      </w:r>
      <w:r>
        <w:rPr>
          <w:w w:val="115"/>
        </w:rPr>
        <w:t>y</w:t>
      </w:r>
      <w:r>
        <w:rPr>
          <w:spacing w:val="-30"/>
          <w:w w:val="115"/>
        </w:rPr>
        <w:t> </w:t>
      </w:r>
      <w:r>
        <w:rPr>
          <w:w w:val="115"/>
        </w:rPr>
        <w:t>madurez,</w:t>
      </w:r>
      <w:r>
        <w:rPr>
          <w:spacing w:val="-30"/>
          <w:w w:val="115"/>
        </w:rPr>
        <w:t> </w:t>
      </w:r>
      <w:r>
        <w:rPr>
          <w:w w:val="115"/>
        </w:rPr>
        <w:t>y</w:t>
      </w:r>
      <w:r>
        <w:rPr>
          <w:spacing w:val="-30"/>
          <w:w w:val="115"/>
        </w:rPr>
        <w:t> </w:t>
      </w:r>
      <w:r>
        <w:rPr>
          <w:w w:val="115"/>
        </w:rPr>
        <w:t>los</w:t>
      </w:r>
      <w:r>
        <w:rPr>
          <w:spacing w:val="-30"/>
          <w:w w:val="115"/>
        </w:rPr>
        <w:t> </w:t>
      </w:r>
      <w:r>
        <w:rPr>
          <w:w w:val="115"/>
        </w:rPr>
        <w:t>últimos</w:t>
      </w:r>
      <w:r>
        <w:rPr>
          <w:spacing w:val="-30"/>
          <w:w w:val="115"/>
        </w:rPr>
        <w:t> </w:t>
      </w:r>
      <w:r>
        <w:rPr>
          <w:w w:val="115"/>
        </w:rPr>
        <w:t>en</w:t>
      </w:r>
      <w:r>
        <w:rPr>
          <w:spacing w:val="-30"/>
          <w:w w:val="115"/>
        </w:rPr>
        <w:t> </w:t>
      </w:r>
      <w:r>
        <w:rPr>
          <w:w w:val="115"/>
        </w:rPr>
        <w:t>recesión,</w:t>
      </w:r>
      <w:r>
        <w:rPr>
          <w:spacing w:val="-30"/>
          <w:w w:val="115"/>
        </w:rPr>
        <w:t> </w:t>
      </w:r>
      <w:r>
        <w:rPr>
          <w:w w:val="115"/>
        </w:rPr>
        <w:t>depresión</w:t>
      </w:r>
      <w:r>
        <w:rPr>
          <w:spacing w:val="-30"/>
          <w:w w:val="115"/>
        </w:rPr>
        <w:t> </w:t>
      </w:r>
      <w:r>
        <w:rPr>
          <w:w w:val="115"/>
        </w:rPr>
        <w:t>y</w:t>
      </w:r>
      <w:r>
        <w:rPr>
          <w:spacing w:val="-30"/>
          <w:w w:val="115"/>
        </w:rPr>
        <w:t> </w:t>
      </w:r>
      <w:r>
        <w:rPr>
          <w:w w:val="115"/>
        </w:rPr>
        <w:t>recupe- ración.</w:t>
      </w:r>
      <w:r>
        <w:rPr>
          <w:spacing w:val="-9"/>
          <w:w w:val="115"/>
        </w:rPr>
        <w:t> </w:t>
      </w:r>
      <w:r>
        <w:rPr>
          <w:w w:val="115"/>
        </w:rPr>
        <w:t>El</w:t>
      </w:r>
      <w:r>
        <w:rPr>
          <w:spacing w:val="-9"/>
          <w:w w:val="115"/>
        </w:rPr>
        <w:t> </w:t>
      </w:r>
      <w:r>
        <w:rPr>
          <w:w w:val="115"/>
        </w:rPr>
        <w:t>tránsito</w:t>
      </w:r>
      <w:r>
        <w:rPr>
          <w:spacing w:val="-9"/>
          <w:w w:val="115"/>
        </w:rPr>
        <w:t> </w:t>
      </w:r>
      <w:r>
        <w:rPr>
          <w:w w:val="115"/>
        </w:rPr>
        <w:t>a</w:t>
      </w:r>
      <w:r>
        <w:rPr>
          <w:spacing w:val="-9"/>
          <w:w w:val="115"/>
        </w:rPr>
        <w:t> </w:t>
      </w:r>
      <w:r>
        <w:rPr>
          <w:w w:val="115"/>
        </w:rPr>
        <w:t>cada</w:t>
      </w:r>
      <w:r>
        <w:rPr>
          <w:spacing w:val="-9"/>
          <w:w w:val="115"/>
        </w:rPr>
        <w:t> </w:t>
      </w:r>
      <w:r>
        <w:rPr>
          <w:w w:val="115"/>
        </w:rPr>
        <w:t>subfase</w:t>
      </w:r>
      <w:r>
        <w:rPr>
          <w:spacing w:val="-9"/>
          <w:w w:val="115"/>
        </w:rPr>
        <w:t> </w:t>
      </w:r>
      <w:r>
        <w:rPr>
          <w:w w:val="115"/>
        </w:rPr>
        <w:t>es</w:t>
      </w:r>
      <w:r>
        <w:rPr>
          <w:spacing w:val="-9"/>
          <w:w w:val="115"/>
        </w:rPr>
        <w:t> </w:t>
      </w:r>
      <w:r>
        <w:rPr>
          <w:w w:val="115"/>
        </w:rPr>
        <w:t>mediado</w:t>
      </w:r>
      <w:r>
        <w:rPr>
          <w:spacing w:val="-9"/>
          <w:w w:val="115"/>
        </w:rPr>
        <w:t> </w:t>
      </w:r>
      <w:r>
        <w:rPr>
          <w:w w:val="115"/>
        </w:rPr>
        <w:t>por</w:t>
      </w:r>
      <w:r>
        <w:rPr>
          <w:spacing w:val="-9"/>
          <w:w w:val="115"/>
        </w:rPr>
        <w:t> </w:t>
      </w:r>
      <w:r>
        <w:rPr>
          <w:w w:val="115"/>
        </w:rPr>
        <w:t>una</w:t>
      </w:r>
      <w:r>
        <w:rPr>
          <w:spacing w:val="-9"/>
          <w:w w:val="115"/>
        </w:rPr>
        <w:t> </w:t>
      </w:r>
      <w:r>
        <w:rPr>
          <w:w w:val="115"/>
        </w:rPr>
        <w:t>pequeña</w:t>
      </w:r>
      <w:r>
        <w:rPr>
          <w:spacing w:val="-9"/>
          <w:w w:val="115"/>
        </w:rPr>
        <w:t> </w:t>
      </w:r>
      <w:r>
        <w:rPr>
          <w:w w:val="115"/>
        </w:rPr>
        <w:t>crisis </w:t>
      </w:r>
      <w:r>
        <w:rPr>
          <w:w w:val="110"/>
        </w:rPr>
        <w:t>o corta inflexión</w:t>
      </w:r>
      <w:r>
        <w:rPr>
          <w:spacing w:val="17"/>
          <w:w w:val="110"/>
        </w:rPr>
        <w:t> </w:t>
      </w:r>
      <w:r>
        <w:rPr>
          <w:w w:val="110"/>
        </w:rPr>
        <w:t>descendente.</w:t>
      </w:r>
    </w:p>
    <w:p>
      <w:pPr>
        <w:pStyle w:val="BodyText"/>
        <w:spacing w:line="252" w:lineRule="auto"/>
        <w:ind w:left="100" w:right="327" w:firstLine="396"/>
        <w:jc w:val="both"/>
      </w:pPr>
      <w:r>
        <w:rPr>
          <w:w w:val="110"/>
        </w:rPr>
        <w:t>desde 1994 podemos situar la emergencia de una nueva fase de expansión del ciclo largo en la economía mundial, lo cual se observa por los movimientos de la tasa de crecimiento del Pib per cápita mun- dial y de la tasa de ganancia que se elevan significativamente frente a los niveles alcanzados entre 1974 y 1993. Esta fase expansiva se inicia con una recuperación entre 1994 y 1998, presentando una moderada inflexión en su ritmo de crecimiento en 2001, para retomar su fuerte </w:t>
      </w:r>
      <w:r>
        <w:rPr>
          <w:w w:val="109"/>
        </w:rPr>
        <w:t>expansión</w:t>
      </w:r>
      <w:r>
        <w:rPr/>
        <w:t> </w:t>
      </w:r>
      <w:r>
        <w:rPr>
          <w:spacing w:val="-16"/>
        </w:rPr>
        <w:t> </w:t>
      </w:r>
      <w:r>
        <w:rPr>
          <w:w w:val="108"/>
        </w:rPr>
        <w:t>en</w:t>
      </w:r>
      <w:r>
        <w:rPr/>
        <w:t> </w:t>
      </w:r>
      <w:r>
        <w:rPr>
          <w:spacing w:val="-16"/>
        </w:rPr>
        <w:t> </w:t>
      </w:r>
      <w:r>
        <w:rPr>
          <w:w w:val="111"/>
        </w:rPr>
        <w:t>la</w:t>
      </w:r>
      <w:r>
        <w:rPr/>
        <w:t> </w:t>
      </w:r>
      <w:r>
        <w:rPr>
          <w:spacing w:val="-16"/>
        </w:rPr>
        <w:t> </w:t>
      </w:r>
      <w:r>
        <w:rPr>
          <w:w w:val="108"/>
        </w:rPr>
        <w:t>prosperidad</w:t>
      </w:r>
      <w:r>
        <w:rPr/>
        <w:t> </w:t>
      </w:r>
      <w:r>
        <w:rPr>
          <w:spacing w:val="-16"/>
        </w:rPr>
        <w:t> </w:t>
      </w:r>
      <w:r>
        <w:rPr>
          <w:w w:val="108"/>
        </w:rPr>
        <w:t>que</w:t>
      </w:r>
      <w:r>
        <w:rPr/>
        <w:t> </w:t>
      </w:r>
      <w:r>
        <w:rPr>
          <w:spacing w:val="-16"/>
        </w:rPr>
        <w:t> </w:t>
      </w:r>
      <w:r>
        <w:rPr>
          <w:w w:val="105"/>
        </w:rPr>
        <w:t>se</w:t>
      </w:r>
      <w:r>
        <w:rPr/>
        <w:t> </w:t>
      </w:r>
      <w:r>
        <w:rPr>
          <w:spacing w:val="-16"/>
        </w:rPr>
        <w:t> </w:t>
      </w:r>
      <w:r>
        <w:rPr>
          <w:w w:val="109"/>
        </w:rPr>
        <w:t>estableció</w:t>
      </w:r>
      <w:r>
        <w:rPr/>
        <w:t> </w:t>
      </w:r>
      <w:r>
        <w:rPr>
          <w:spacing w:val="-16"/>
        </w:rPr>
        <w:t> </w:t>
      </w:r>
      <w:r>
        <w:rPr>
          <w:w w:val="106"/>
        </w:rPr>
        <w:t>entre</w:t>
      </w:r>
      <w:r>
        <w:rPr/>
        <w:t> </w:t>
      </w:r>
      <w:r>
        <w:rPr>
          <w:spacing w:val="-16"/>
        </w:rPr>
        <w:t> </w:t>
      </w:r>
      <w:r>
        <w:rPr>
          <w:w w:val="102"/>
        </w:rPr>
        <w:t>2002</w:t>
      </w:r>
      <w:r>
        <w:rPr/>
        <w:t> </w:t>
      </w:r>
      <w:r>
        <w:rPr>
          <w:spacing w:val="-16"/>
        </w:rPr>
        <w:t> </w:t>
      </w:r>
      <w:r>
        <w:rPr>
          <w:w w:val="105"/>
        </w:rPr>
        <w:t>y</w:t>
      </w:r>
      <w:r>
        <w:rPr/>
        <w:t> </w:t>
      </w:r>
      <w:r>
        <w:rPr>
          <w:spacing w:val="-16"/>
        </w:rPr>
        <w:t> </w:t>
      </w:r>
      <w:r>
        <w:rPr>
          <w:w w:val="105"/>
        </w:rPr>
        <w:t>2007.</w:t>
      </w:r>
      <w:r>
        <w:rPr/>
        <w:t> </w:t>
      </w:r>
      <w:r>
        <w:rPr>
          <w:spacing w:val="-17"/>
        </w:rPr>
        <w:t> </w:t>
      </w:r>
      <w:r>
        <w:rPr>
          <w:w w:val="243"/>
        </w:rPr>
        <w:t>l</w:t>
      </w:r>
      <w:r>
        <w:rPr>
          <w:w w:val="112"/>
        </w:rPr>
        <w:t>a </w:t>
      </w:r>
      <w:r>
        <w:rPr>
          <w:w w:val="110"/>
        </w:rPr>
        <w:t>crisis de 2008-2009 es una inflexión aguda que produjo un crecimien- to negativo durante un corto periodo, abriendo espacio para la subfa- se</w:t>
      </w:r>
      <w:r>
        <w:rPr>
          <w:spacing w:val="-5"/>
          <w:w w:val="110"/>
        </w:rPr>
        <w:t> </w:t>
      </w:r>
      <w:r>
        <w:rPr>
          <w:w w:val="110"/>
        </w:rPr>
        <w:t>de</w:t>
      </w:r>
      <w:r>
        <w:rPr>
          <w:spacing w:val="-5"/>
          <w:w w:val="110"/>
        </w:rPr>
        <w:t> </w:t>
      </w:r>
      <w:r>
        <w:rPr>
          <w:w w:val="110"/>
        </w:rPr>
        <w:t>madurez</w:t>
      </w:r>
      <w:r>
        <w:rPr>
          <w:spacing w:val="-5"/>
          <w:w w:val="110"/>
        </w:rPr>
        <w:t> </w:t>
      </w:r>
      <w:r>
        <w:rPr>
          <w:w w:val="110"/>
        </w:rPr>
        <w:t>que</w:t>
      </w:r>
      <w:r>
        <w:rPr>
          <w:spacing w:val="-5"/>
          <w:w w:val="110"/>
        </w:rPr>
        <w:t> </w:t>
      </w:r>
      <w:r>
        <w:rPr>
          <w:w w:val="110"/>
        </w:rPr>
        <w:t>inició</w:t>
      </w:r>
      <w:r>
        <w:rPr>
          <w:spacing w:val="-5"/>
          <w:w w:val="110"/>
        </w:rPr>
        <w:t> </w:t>
      </w:r>
      <w:r>
        <w:rPr>
          <w:w w:val="110"/>
        </w:rPr>
        <w:t>a</w:t>
      </w:r>
      <w:r>
        <w:rPr>
          <w:spacing w:val="-5"/>
          <w:w w:val="110"/>
        </w:rPr>
        <w:t> </w:t>
      </w:r>
      <w:r>
        <w:rPr>
          <w:w w:val="110"/>
        </w:rPr>
        <w:t>partir</w:t>
      </w:r>
      <w:r>
        <w:rPr>
          <w:spacing w:val="-5"/>
          <w:w w:val="110"/>
        </w:rPr>
        <w:t> </w:t>
      </w:r>
      <w:r>
        <w:rPr>
          <w:w w:val="110"/>
        </w:rPr>
        <w:t>de</w:t>
      </w:r>
      <w:r>
        <w:rPr>
          <w:spacing w:val="-5"/>
          <w:w w:val="110"/>
        </w:rPr>
        <w:t> </w:t>
      </w:r>
      <w:r>
        <w:rPr>
          <w:w w:val="110"/>
        </w:rPr>
        <w:t>2010.</w:t>
      </w:r>
      <w:r>
        <w:rPr>
          <w:spacing w:val="-5"/>
          <w:w w:val="110"/>
        </w:rPr>
        <w:t> </w:t>
      </w:r>
      <w:r>
        <w:rPr>
          <w:w w:val="110"/>
        </w:rPr>
        <w:t>Este</w:t>
      </w:r>
      <w:r>
        <w:rPr>
          <w:spacing w:val="-5"/>
          <w:w w:val="110"/>
        </w:rPr>
        <w:t> </w:t>
      </w:r>
      <w:r>
        <w:rPr>
          <w:w w:val="110"/>
        </w:rPr>
        <w:t>periodo</w:t>
      </w:r>
      <w:r>
        <w:rPr>
          <w:spacing w:val="-5"/>
          <w:w w:val="110"/>
        </w:rPr>
        <w:t> </w:t>
      </w:r>
      <w:r>
        <w:rPr>
          <w:w w:val="110"/>
        </w:rPr>
        <w:t>de</w:t>
      </w:r>
      <w:r>
        <w:rPr>
          <w:spacing w:val="-5"/>
          <w:w w:val="110"/>
        </w:rPr>
        <w:t> </w:t>
      </w:r>
      <w:r>
        <w:rPr>
          <w:w w:val="110"/>
        </w:rPr>
        <w:t>crecimiento largo, que probablemente ingresa en su última subfase y se deberá agotar en esta década, presenta las siguientes</w:t>
      </w:r>
      <w:r>
        <w:rPr>
          <w:spacing w:val="31"/>
          <w:w w:val="110"/>
        </w:rPr>
        <w:t> </w:t>
      </w:r>
      <w:r>
        <w:rPr>
          <w:w w:val="110"/>
        </w:rPr>
        <w:t>características:</w:t>
      </w:r>
    </w:p>
    <w:p>
      <w:pPr>
        <w:pStyle w:val="BodyText"/>
        <w:spacing w:before="11"/>
      </w:pPr>
    </w:p>
    <w:p>
      <w:pPr>
        <w:pStyle w:val="ListParagraph"/>
        <w:numPr>
          <w:ilvl w:val="0"/>
          <w:numId w:val="1"/>
        </w:numPr>
        <w:tabs>
          <w:tab w:pos="725" w:val="left" w:leader="none"/>
        </w:tabs>
        <w:spacing w:line="252" w:lineRule="auto" w:before="0" w:after="0"/>
        <w:ind w:left="724" w:right="328" w:hanging="227"/>
        <w:jc w:val="both"/>
        <w:rPr>
          <w:sz w:val="19"/>
        </w:rPr>
      </w:pPr>
      <w:r>
        <w:rPr>
          <w:w w:val="110"/>
          <w:sz w:val="19"/>
        </w:rPr>
        <w:t>Menor intensidad de expansión en relación con el periodo 1950-1973, en razón de otros movimientos más amplios de carácter descendente que actúan sobre</w:t>
      </w:r>
      <w:r>
        <w:rPr>
          <w:spacing w:val="9"/>
          <w:w w:val="110"/>
          <w:sz w:val="19"/>
        </w:rPr>
        <w:t> </w:t>
      </w:r>
      <w:r>
        <w:rPr>
          <w:w w:val="110"/>
          <w:sz w:val="19"/>
        </w:rPr>
        <w:t>él;</w:t>
      </w:r>
    </w:p>
    <w:p>
      <w:pPr>
        <w:pStyle w:val="ListParagraph"/>
        <w:numPr>
          <w:ilvl w:val="0"/>
          <w:numId w:val="1"/>
        </w:numPr>
        <w:tabs>
          <w:tab w:pos="725" w:val="left" w:leader="none"/>
        </w:tabs>
        <w:spacing w:line="252" w:lineRule="auto" w:before="85" w:after="0"/>
        <w:ind w:left="724" w:right="328" w:hanging="227"/>
        <w:jc w:val="both"/>
        <w:rPr>
          <w:sz w:val="19"/>
        </w:rPr>
      </w:pPr>
      <w:r>
        <w:rPr>
          <w:w w:val="110"/>
          <w:sz w:val="19"/>
        </w:rPr>
        <w:t>desplazamiento creciente del dinamismo económico para el Este asiático, en particular hacia China, con encadenamientos  a las regiones que se articulan con </w:t>
      </w:r>
      <w:r>
        <w:rPr>
          <w:spacing w:val="1"/>
          <w:w w:val="110"/>
          <w:sz w:val="19"/>
        </w:rPr>
        <w:t> </w:t>
      </w:r>
      <w:r>
        <w:rPr>
          <w:w w:val="110"/>
          <w:sz w:val="19"/>
        </w:rPr>
        <w:t>ella;</w:t>
      </w:r>
    </w:p>
    <w:p>
      <w:pPr>
        <w:spacing w:after="0" w:line="252" w:lineRule="auto"/>
        <w:jc w:val="both"/>
        <w:rPr>
          <w:sz w:val="19"/>
        </w:rPr>
        <w:sectPr>
          <w:pgSz w:w="8790" w:h="12760"/>
          <w:pgMar w:header="695" w:footer="723" w:top="880" w:bottom="920" w:left="920" w:right="1200"/>
        </w:sectPr>
      </w:pPr>
    </w:p>
    <w:p>
      <w:pPr>
        <w:pStyle w:val="BodyText"/>
        <w:spacing w:before="7"/>
        <w:rPr>
          <w:sz w:val="28"/>
        </w:rPr>
      </w:pPr>
    </w:p>
    <w:p>
      <w:pPr>
        <w:pStyle w:val="ListParagraph"/>
        <w:numPr>
          <w:ilvl w:val="0"/>
          <w:numId w:val="1"/>
        </w:numPr>
        <w:tabs>
          <w:tab w:pos="955" w:val="left" w:leader="none"/>
        </w:tabs>
        <w:spacing w:line="252" w:lineRule="auto" w:before="73" w:after="0"/>
        <w:ind w:left="954" w:right="117" w:hanging="227"/>
        <w:jc w:val="both"/>
        <w:rPr>
          <w:sz w:val="19"/>
        </w:rPr>
      </w:pPr>
      <w:r>
        <w:rPr>
          <w:w w:val="110"/>
          <w:sz w:val="19"/>
        </w:rPr>
        <w:t>Crisis de la hegemonía del eje atlantista de la economía mun- dial –y de las periferias o semi-periferias a él articuladas– que avanza con la progresión de las subfases y sus</w:t>
      </w:r>
      <w:r>
        <w:rPr>
          <w:spacing w:val="41"/>
          <w:w w:val="110"/>
          <w:sz w:val="19"/>
        </w:rPr>
        <w:t> </w:t>
      </w:r>
      <w:r>
        <w:rPr>
          <w:w w:val="110"/>
          <w:sz w:val="19"/>
        </w:rPr>
        <w:t>inflexiones;</w:t>
      </w:r>
    </w:p>
    <w:p>
      <w:pPr>
        <w:pStyle w:val="ListParagraph"/>
        <w:numPr>
          <w:ilvl w:val="0"/>
          <w:numId w:val="1"/>
        </w:numPr>
        <w:tabs>
          <w:tab w:pos="955" w:val="left" w:leader="none"/>
        </w:tabs>
        <w:spacing w:line="252" w:lineRule="auto" w:before="85" w:after="0"/>
        <w:ind w:left="954" w:right="118" w:hanging="227"/>
        <w:jc w:val="both"/>
        <w:rPr>
          <w:i/>
          <w:sz w:val="19"/>
        </w:rPr>
      </w:pPr>
      <w:r>
        <w:rPr>
          <w:w w:val="243"/>
          <w:sz w:val="19"/>
        </w:rPr>
        <w:t>l</w:t>
      </w:r>
      <w:r>
        <w:rPr>
          <w:w w:val="108"/>
          <w:sz w:val="19"/>
        </w:rPr>
        <w:t>ento</w:t>
      </w:r>
      <w:r>
        <w:rPr>
          <w:spacing w:val="9"/>
          <w:sz w:val="19"/>
        </w:rPr>
        <w:t> </w:t>
      </w:r>
      <w:r>
        <w:rPr>
          <w:w w:val="105"/>
          <w:sz w:val="19"/>
        </w:rPr>
        <w:t>y</w:t>
      </w:r>
      <w:r>
        <w:rPr>
          <w:spacing w:val="9"/>
          <w:sz w:val="19"/>
        </w:rPr>
        <w:t> </w:t>
      </w:r>
      <w:r>
        <w:rPr>
          <w:w w:val="107"/>
          <w:sz w:val="19"/>
        </w:rPr>
        <w:t>progresivo</w:t>
      </w:r>
      <w:r>
        <w:rPr>
          <w:spacing w:val="9"/>
          <w:sz w:val="19"/>
        </w:rPr>
        <w:t> </w:t>
      </w:r>
      <w:r>
        <w:rPr>
          <w:w w:val="109"/>
          <w:sz w:val="19"/>
        </w:rPr>
        <w:t>establecimiento</w:t>
      </w:r>
      <w:r>
        <w:rPr>
          <w:spacing w:val="9"/>
          <w:sz w:val="19"/>
        </w:rPr>
        <w:t> </w:t>
      </w:r>
      <w:r>
        <w:rPr>
          <w:w w:val="107"/>
          <w:sz w:val="19"/>
        </w:rPr>
        <w:t>de</w:t>
      </w:r>
      <w:r>
        <w:rPr>
          <w:spacing w:val="9"/>
          <w:sz w:val="19"/>
        </w:rPr>
        <w:t> </w:t>
      </w:r>
      <w:r>
        <w:rPr>
          <w:w w:val="112"/>
          <w:sz w:val="19"/>
        </w:rPr>
        <w:t>una</w:t>
      </w:r>
      <w:r>
        <w:rPr>
          <w:spacing w:val="9"/>
          <w:sz w:val="19"/>
        </w:rPr>
        <w:t> </w:t>
      </w:r>
      <w:r>
        <w:rPr>
          <w:w w:val="112"/>
          <w:sz w:val="19"/>
        </w:rPr>
        <w:t>bifurcación</w:t>
      </w:r>
      <w:r>
        <w:rPr>
          <w:spacing w:val="9"/>
          <w:sz w:val="19"/>
        </w:rPr>
        <w:t> </w:t>
      </w:r>
      <w:r>
        <w:rPr>
          <w:w w:val="106"/>
          <w:sz w:val="19"/>
        </w:rPr>
        <w:t>entre</w:t>
      </w:r>
      <w:r>
        <w:rPr>
          <w:spacing w:val="9"/>
          <w:sz w:val="19"/>
        </w:rPr>
        <w:t> </w:t>
      </w:r>
      <w:r>
        <w:rPr>
          <w:w w:val="111"/>
          <w:sz w:val="19"/>
        </w:rPr>
        <w:t>la </w:t>
      </w:r>
      <w:r>
        <w:rPr>
          <w:w w:val="110"/>
          <w:sz w:val="19"/>
        </w:rPr>
        <w:t>hegemonía atlantista de las potencias marítimas y la ascensión de regionalismos y de los</w:t>
      </w:r>
      <w:r>
        <w:rPr>
          <w:spacing w:val="27"/>
          <w:w w:val="110"/>
          <w:sz w:val="19"/>
        </w:rPr>
        <w:t> </w:t>
      </w:r>
      <w:r>
        <w:rPr>
          <w:i/>
          <w:w w:val="110"/>
          <w:sz w:val="19"/>
        </w:rPr>
        <w:t>hinterlands.</w:t>
      </w:r>
    </w:p>
    <w:p>
      <w:pPr>
        <w:pStyle w:val="BodyText"/>
        <w:spacing w:before="11"/>
        <w:rPr>
          <w:i/>
        </w:rPr>
      </w:pPr>
    </w:p>
    <w:p>
      <w:pPr>
        <w:pStyle w:val="BodyText"/>
        <w:spacing w:line="252" w:lineRule="auto"/>
        <w:ind w:left="330" w:right="117"/>
        <w:jc w:val="both"/>
        <w:rPr>
          <w:sz w:val="11"/>
        </w:rPr>
      </w:pPr>
      <w:r>
        <w:rPr>
          <w:w w:val="115"/>
        </w:rPr>
        <w:t>El</w:t>
      </w:r>
      <w:r>
        <w:rPr>
          <w:spacing w:val="-17"/>
          <w:w w:val="115"/>
        </w:rPr>
        <w:t> </w:t>
      </w:r>
      <w:r>
        <w:rPr>
          <w:w w:val="115"/>
        </w:rPr>
        <w:t>análisis</w:t>
      </w:r>
      <w:r>
        <w:rPr>
          <w:spacing w:val="-17"/>
          <w:w w:val="115"/>
        </w:rPr>
        <w:t> </w:t>
      </w:r>
      <w:r>
        <w:rPr>
          <w:w w:val="115"/>
        </w:rPr>
        <w:t>empírico</w:t>
      </w:r>
      <w:r>
        <w:rPr>
          <w:spacing w:val="-17"/>
          <w:w w:val="115"/>
        </w:rPr>
        <w:t> </w:t>
      </w:r>
      <w:r>
        <w:rPr>
          <w:w w:val="115"/>
        </w:rPr>
        <w:t>basado</w:t>
      </w:r>
      <w:r>
        <w:rPr>
          <w:spacing w:val="-17"/>
          <w:w w:val="115"/>
        </w:rPr>
        <w:t> </w:t>
      </w:r>
      <w:r>
        <w:rPr>
          <w:w w:val="115"/>
        </w:rPr>
        <w:t>en</w:t>
      </w:r>
      <w:r>
        <w:rPr>
          <w:spacing w:val="-17"/>
          <w:w w:val="115"/>
        </w:rPr>
        <w:t> </w:t>
      </w:r>
      <w:r>
        <w:rPr>
          <w:w w:val="115"/>
        </w:rPr>
        <w:t>el</w:t>
      </w:r>
      <w:r>
        <w:rPr>
          <w:spacing w:val="-17"/>
          <w:w w:val="115"/>
        </w:rPr>
        <w:t> </w:t>
      </w:r>
      <w:r>
        <w:rPr>
          <w:w w:val="115"/>
        </w:rPr>
        <w:t>Pib</w:t>
      </w:r>
      <w:r>
        <w:rPr>
          <w:spacing w:val="-17"/>
          <w:w w:val="115"/>
        </w:rPr>
        <w:t> </w:t>
      </w:r>
      <w:r>
        <w:rPr>
          <w:w w:val="115"/>
        </w:rPr>
        <w:t>per</w:t>
      </w:r>
      <w:r>
        <w:rPr>
          <w:spacing w:val="-17"/>
          <w:w w:val="115"/>
        </w:rPr>
        <w:t> </w:t>
      </w:r>
      <w:r>
        <w:rPr>
          <w:w w:val="115"/>
        </w:rPr>
        <w:t>cápita</w:t>
      </w:r>
      <w:r>
        <w:rPr>
          <w:spacing w:val="-17"/>
          <w:w w:val="115"/>
        </w:rPr>
        <w:t> </w:t>
      </w:r>
      <w:r>
        <w:rPr>
          <w:w w:val="115"/>
        </w:rPr>
        <w:t>mundial,</w:t>
      </w:r>
      <w:r>
        <w:rPr>
          <w:spacing w:val="-17"/>
          <w:w w:val="115"/>
        </w:rPr>
        <w:t> </w:t>
      </w:r>
      <w:r>
        <w:rPr>
          <w:w w:val="115"/>
        </w:rPr>
        <w:t>sistematiza- do</w:t>
      </w:r>
      <w:r>
        <w:rPr>
          <w:spacing w:val="-10"/>
          <w:w w:val="115"/>
        </w:rPr>
        <w:t> </w:t>
      </w:r>
      <w:r>
        <w:rPr>
          <w:w w:val="115"/>
        </w:rPr>
        <w:t>por</w:t>
      </w:r>
      <w:r>
        <w:rPr>
          <w:spacing w:val="-10"/>
          <w:w w:val="115"/>
        </w:rPr>
        <w:t> </w:t>
      </w:r>
      <w:r>
        <w:rPr>
          <w:w w:val="115"/>
        </w:rPr>
        <w:t>la</w:t>
      </w:r>
      <w:r>
        <w:rPr>
          <w:spacing w:val="-10"/>
          <w:w w:val="115"/>
        </w:rPr>
        <w:t> </w:t>
      </w:r>
      <w:r>
        <w:rPr>
          <w:w w:val="115"/>
        </w:rPr>
        <w:t>serie</w:t>
      </w:r>
      <w:r>
        <w:rPr>
          <w:spacing w:val="-10"/>
          <w:w w:val="115"/>
        </w:rPr>
        <w:t> </w:t>
      </w:r>
      <w:r>
        <w:rPr>
          <w:w w:val="115"/>
        </w:rPr>
        <w:t>formulada</w:t>
      </w:r>
      <w:r>
        <w:rPr>
          <w:spacing w:val="-10"/>
          <w:w w:val="115"/>
        </w:rPr>
        <w:t> </w:t>
      </w:r>
      <w:r>
        <w:rPr>
          <w:w w:val="115"/>
        </w:rPr>
        <w:t>por</w:t>
      </w:r>
      <w:r>
        <w:rPr>
          <w:spacing w:val="-10"/>
          <w:w w:val="115"/>
        </w:rPr>
        <w:t> </w:t>
      </w:r>
      <w:r>
        <w:rPr>
          <w:w w:val="115"/>
        </w:rPr>
        <w:t>angus</w:t>
      </w:r>
      <w:r>
        <w:rPr>
          <w:spacing w:val="-10"/>
          <w:w w:val="115"/>
        </w:rPr>
        <w:t> </w:t>
      </w:r>
      <w:r>
        <w:rPr>
          <w:w w:val="115"/>
        </w:rPr>
        <w:t>Maddison</w:t>
      </w:r>
      <w:r>
        <w:rPr>
          <w:spacing w:val="-10"/>
          <w:w w:val="115"/>
        </w:rPr>
        <w:t> </w:t>
      </w:r>
      <w:r>
        <w:rPr>
          <w:w w:val="115"/>
        </w:rPr>
        <w:t>y</w:t>
      </w:r>
      <w:r>
        <w:rPr>
          <w:spacing w:val="-10"/>
          <w:w w:val="115"/>
        </w:rPr>
        <w:t> </w:t>
      </w:r>
      <w:r>
        <w:rPr>
          <w:w w:val="115"/>
        </w:rPr>
        <w:t>sus</w:t>
      </w:r>
      <w:r>
        <w:rPr>
          <w:spacing w:val="-10"/>
          <w:w w:val="115"/>
        </w:rPr>
        <w:t> </w:t>
      </w:r>
      <w:r>
        <w:rPr>
          <w:w w:val="115"/>
        </w:rPr>
        <w:t>seguidores,</w:t>
      </w:r>
      <w:r>
        <w:rPr>
          <w:spacing w:val="-10"/>
          <w:w w:val="115"/>
        </w:rPr>
        <w:t> </w:t>
      </w:r>
      <w:r>
        <w:rPr>
          <w:spacing w:val="-4"/>
          <w:w w:val="115"/>
        </w:rPr>
        <w:t>per- </w:t>
      </w:r>
      <w:r>
        <w:rPr>
          <w:w w:val="115"/>
        </w:rPr>
        <w:t>mite</w:t>
      </w:r>
      <w:r>
        <w:rPr>
          <w:spacing w:val="-16"/>
          <w:w w:val="115"/>
        </w:rPr>
        <w:t> </w:t>
      </w:r>
      <w:r>
        <w:rPr>
          <w:w w:val="115"/>
        </w:rPr>
        <w:t>visualizar</w:t>
      </w:r>
      <w:r>
        <w:rPr>
          <w:spacing w:val="-16"/>
          <w:w w:val="115"/>
        </w:rPr>
        <w:t> </w:t>
      </w:r>
      <w:r>
        <w:rPr>
          <w:w w:val="115"/>
        </w:rPr>
        <w:t>los</w:t>
      </w:r>
      <w:r>
        <w:rPr>
          <w:spacing w:val="-16"/>
          <w:w w:val="115"/>
        </w:rPr>
        <w:t> </w:t>
      </w:r>
      <w:r>
        <w:rPr>
          <w:w w:val="115"/>
        </w:rPr>
        <w:t>Kondratiev</w:t>
      </w:r>
      <w:r>
        <w:rPr>
          <w:spacing w:val="-16"/>
          <w:w w:val="115"/>
        </w:rPr>
        <w:t> </w:t>
      </w:r>
      <w:r>
        <w:rPr>
          <w:w w:val="115"/>
        </w:rPr>
        <w:t>desde</w:t>
      </w:r>
      <w:r>
        <w:rPr>
          <w:spacing w:val="-16"/>
          <w:w w:val="115"/>
        </w:rPr>
        <w:t> </w:t>
      </w:r>
      <w:r>
        <w:rPr>
          <w:w w:val="115"/>
        </w:rPr>
        <w:t>mediados</w:t>
      </w:r>
      <w:r>
        <w:rPr>
          <w:spacing w:val="-16"/>
          <w:w w:val="115"/>
        </w:rPr>
        <w:t> </w:t>
      </w:r>
      <w:r>
        <w:rPr>
          <w:w w:val="115"/>
        </w:rPr>
        <w:t>de</w:t>
      </w:r>
      <w:r>
        <w:rPr>
          <w:spacing w:val="-16"/>
          <w:w w:val="115"/>
        </w:rPr>
        <w:t> </w:t>
      </w:r>
      <w:r>
        <w:rPr>
          <w:w w:val="115"/>
        </w:rPr>
        <w:t>la</w:t>
      </w:r>
      <w:r>
        <w:rPr>
          <w:spacing w:val="-16"/>
          <w:w w:val="115"/>
        </w:rPr>
        <w:t> </w:t>
      </w:r>
      <w:r>
        <w:rPr>
          <w:w w:val="115"/>
        </w:rPr>
        <w:t>década</w:t>
      </w:r>
      <w:r>
        <w:rPr>
          <w:spacing w:val="-16"/>
          <w:w w:val="115"/>
        </w:rPr>
        <w:t> </w:t>
      </w:r>
      <w:r>
        <w:rPr>
          <w:w w:val="115"/>
        </w:rPr>
        <w:t>de</w:t>
      </w:r>
      <w:r>
        <w:rPr>
          <w:spacing w:val="-16"/>
          <w:w w:val="115"/>
        </w:rPr>
        <w:t> </w:t>
      </w:r>
      <w:r>
        <w:rPr>
          <w:w w:val="115"/>
        </w:rPr>
        <w:t>1870, cuando</w:t>
      </w:r>
      <w:r>
        <w:rPr>
          <w:spacing w:val="-12"/>
          <w:w w:val="115"/>
        </w:rPr>
        <w:t> </w:t>
      </w:r>
      <w:r>
        <w:rPr>
          <w:w w:val="115"/>
        </w:rPr>
        <w:t>comienzan</w:t>
      </w:r>
      <w:r>
        <w:rPr>
          <w:spacing w:val="-12"/>
          <w:w w:val="115"/>
        </w:rPr>
        <w:t> </w:t>
      </w:r>
      <w:r>
        <w:rPr>
          <w:w w:val="115"/>
        </w:rPr>
        <w:t>efectivamente</w:t>
      </w:r>
      <w:r>
        <w:rPr>
          <w:spacing w:val="-12"/>
          <w:w w:val="115"/>
        </w:rPr>
        <w:t> </w:t>
      </w:r>
      <w:r>
        <w:rPr>
          <w:w w:val="115"/>
        </w:rPr>
        <w:t>a</w:t>
      </w:r>
      <w:r>
        <w:rPr>
          <w:spacing w:val="-12"/>
          <w:w w:val="115"/>
        </w:rPr>
        <w:t> </w:t>
      </w:r>
      <w:r>
        <w:rPr>
          <w:w w:val="115"/>
        </w:rPr>
        <w:t>mundializarse</w:t>
      </w:r>
      <w:r>
        <w:rPr>
          <w:spacing w:val="-12"/>
          <w:w w:val="115"/>
        </w:rPr>
        <w:t> </w:t>
      </w:r>
      <w:r>
        <w:rPr>
          <w:w w:val="115"/>
        </w:rPr>
        <w:t>con</w:t>
      </w:r>
      <w:r>
        <w:rPr>
          <w:spacing w:val="-12"/>
          <w:w w:val="115"/>
        </w:rPr>
        <w:t> </w:t>
      </w:r>
      <w:r>
        <w:rPr>
          <w:w w:val="115"/>
        </w:rPr>
        <w:t>la</w:t>
      </w:r>
      <w:r>
        <w:rPr>
          <w:spacing w:val="-12"/>
          <w:w w:val="115"/>
        </w:rPr>
        <w:t> </w:t>
      </w:r>
      <w:r>
        <w:rPr>
          <w:w w:val="115"/>
        </w:rPr>
        <w:t>difusión</w:t>
      </w:r>
      <w:r>
        <w:rPr>
          <w:spacing w:val="-12"/>
          <w:w w:val="115"/>
        </w:rPr>
        <w:t> </w:t>
      </w:r>
      <w:r>
        <w:rPr>
          <w:w w:val="115"/>
        </w:rPr>
        <w:t>de la gran industria y la organización de una división internacional</w:t>
      </w:r>
      <w:r>
        <w:rPr>
          <w:spacing w:val="-23"/>
          <w:w w:val="115"/>
        </w:rPr>
        <w:t> </w:t>
      </w:r>
      <w:r>
        <w:rPr>
          <w:w w:val="115"/>
        </w:rPr>
        <w:t>del trabajo</w:t>
      </w:r>
      <w:r>
        <w:rPr>
          <w:spacing w:val="-29"/>
          <w:w w:val="115"/>
        </w:rPr>
        <w:t> </w:t>
      </w:r>
      <w:r>
        <w:rPr>
          <w:w w:val="115"/>
        </w:rPr>
        <w:t>a</w:t>
      </w:r>
      <w:r>
        <w:rPr>
          <w:spacing w:val="-29"/>
          <w:w w:val="115"/>
        </w:rPr>
        <w:t> </w:t>
      </w:r>
      <w:r>
        <w:rPr>
          <w:w w:val="115"/>
        </w:rPr>
        <w:t>ella</w:t>
      </w:r>
      <w:r>
        <w:rPr>
          <w:spacing w:val="-29"/>
          <w:w w:val="115"/>
        </w:rPr>
        <w:t> </w:t>
      </w:r>
      <w:r>
        <w:rPr>
          <w:w w:val="115"/>
        </w:rPr>
        <w:t>articulada;</w:t>
      </w:r>
      <w:r>
        <w:rPr>
          <w:spacing w:val="-29"/>
          <w:w w:val="115"/>
        </w:rPr>
        <w:t> </w:t>
      </w:r>
      <w:r>
        <w:rPr>
          <w:w w:val="115"/>
        </w:rPr>
        <w:t>no</w:t>
      </w:r>
      <w:r>
        <w:rPr>
          <w:spacing w:val="-29"/>
          <w:w w:val="115"/>
        </w:rPr>
        <w:t> </w:t>
      </w:r>
      <w:r>
        <w:rPr>
          <w:w w:val="115"/>
        </w:rPr>
        <w:t>obstante,</w:t>
      </w:r>
      <w:r>
        <w:rPr>
          <w:spacing w:val="-29"/>
          <w:w w:val="115"/>
        </w:rPr>
        <w:t> </w:t>
      </w:r>
      <w:r>
        <w:rPr>
          <w:w w:val="115"/>
        </w:rPr>
        <w:t>pueden</w:t>
      </w:r>
      <w:r>
        <w:rPr>
          <w:spacing w:val="-29"/>
          <w:w w:val="115"/>
        </w:rPr>
        <w:t> </w:t>
      </w:r>
      <w:r>
        <w:rPr>
          <w:w w:val="115"/>
        </w:rPr>
        <w:t>ser</w:t>
      </w:r>
      <w:r>
        <w:rPr>
          <w:spacing w:val="-29"/>
          <w:w w:val="115"/>
        </w:rPr>
        <w:t> </w:t>
      </w:r>
      <w:r>
        <w:rPr>
          <w:w w:val="115"/>
        </w:rPr>
        <w:t>visualizados</w:t>
      </w:r>
      <w:r>
        <w:rPr>
          <w:spacing w:val="-29"/>
          <w:w w:val="115"/>
        </w:rPr>
        <w:t> </w:t>
      </w:r>
      <w:r>
        <w:rPr>
          <w:w w:val="115"/>
        </w:rPr>
        <w:t>para</w:t>
      </w:r>
      <w:r>
        <w:rPr>
          <w:spacing w:val="-29"/>
          <w:w w:val="115"/>
        </w:rPr>
        <w:t> </w:t>
      </w:r>
      <w:r>
        <w:rPr>
          <w:w w:val="115"/>
        </w:rPr>
        <w:t>los principales</w:t>
      </w:r>
      <w:r>
        <w:rPr>
          <w:spacing w:val="-22"/>
          <w:w w:val="115"/>
        </w:rPr>
        <w:t> </w:t>
      </w:r>
      <w:r>
        <w:rPr>
          <w:w w:val="115"/>
        </w:rPr>
        <w:t>países</w:t>
      </w:r>
      <w:r>
        <w:rPr>
          <w:spacing w:val="-22"/>
          <w:w w:val="115"/>
        </w:rPr>
        <w:t> </w:t>
      </w:r>
      <w:r>
        <w:rPr>
          <w:w w:val="115"/>
        </w:rPr>
        <w:t>industrializados</w:t>
      </w:r>
      <w:r>
        <w:rPr>
          <w:spacing w:val="-22"/>
          <w:w w:val="115"/>
        </w:rPr>
        <w:t> </w:t>
      </w:r>
      <w:r>
        <w:rPr>
          <w:w w:val="115"/>
        </w:rPr>
        <w:t>como</w:t>
      </w:r>
      <w:r>
        <w:rPr>
          <w:spacing w:val="-22"/>
          <w:w w:val="115"/>
        </w:rPr>
        <w:t> </w:t>
      </w:r>
      <w:r>
        <w:rPr>
          <w:w w:val="115"/>
        </w:rPr>
        <w:t>Gran</w:t>
      </w:r>
      <w:r>
        <w:rPr>
          <w:spacing w:val="-22"/>
          <w:w w:val="115"/>
        </w:rPr>
        <w:t> </w:t>
      </w:r>
      <w:r>
        <w:rPr>
          <w:w w:val="115"/>
        </w:rPr>
        <w:t>bretaña</w:t>
      </w:r>
      <w:r>
        <w:rPr>
          <w:spacing w:val="-22"/>
          <w:w w:val="115"/>
        </w:rPr>
        <w:t> </w:t>
      </w:r>
      <w:r>
        <w:rPr>
          <w:w w:val="115"/>
        </w:rPr>
        <w:t>o</w:t>
      </w:r>
      <w:r>
        <w:rPr>
          <w:spacing w:val="-22"/>
          <w:w w:val="115"/>
        </w:rPr>
        <w:t> </w:t>
      </w:r>
      <w:r>
        <w:rPr>
          <w:w w:val="115"/>
        </w:rPr>
        <w:t>Francia</w:t>
      </w:r>
      <w:r>
        <w:rPr>
          <w:spacing w:val="-22"/>
          <w:w w:val="115"/>
        </w:rPr>
        <w:t> </w:t>
      </w:r>
      <w:r>
        <w:rPr>
          <w:w w:val="115"/>
        </w:rPr>
        <w:t>des- </w:t>
      </w:r>
      <w:r>
        <w:rPr>
          <w:w w:val="120"/>
        </w:rPr>
        <w:t>de</w:t>
      </w:r>
      <w:r>
        <w:rPr>
          <w:spacing w:val="-27"/>
          <w:w w:val="120"/>
        </w:rPr>
        <w:t> </w:t>
      </w:r>
      <w:r>
        <w:rPr>
          <w:w w:val="120"/>
        </w:rPr>
        <w:t>fines</w:t>
      </w:r>
      <w:r>
        <w:rPr>
          <w:spacing w:val="-27"/>
          <w:w w:val="120"/>
        </w:rPr>
        <w:t> </w:t>
      </w:r>
      <w:r>
        <w:rPr>
          <w:w w:val="120"/>
        </w:rPr>
        <w:t>del</w:t>
      </w:r>
      <w:r>
        <w:rPr>
          <w:spacing w:val="-27"/>
          <w:w w:val="120"/>
        </w:rPr>
        <w:t> </w:t>
      </w:r>
      <w:r>
        <w:rPr>
          <w:w w:val="120"/>
        </w:rPr>
        <w:t>siglo</w:t>
      </w:r>
      <w:r>
        <w:rPr>
          <w:spacing w:val="-27"/>
          <w:w w:val="120"/>
        </w:rPr>
        <w:t> </w:t>
      </w:r>
      <w:r>
        <w:rPr>
          <w:w w:val="120"/>
        </w:rPr>
        <w:t>xViii,</w:t>
      </w:r>
      <w:r>
        <w:rPr>
          <w:spacing w:val="-27"/>
          <w:w w:val="120"/>
        </w:rPr>
        <w:t> </w:t>
      </w:r>
      <w:r>
        <w:rPr>
          <w:w w:val="120"/>
        </w:rPr>
        <w:t>utilizándose</w:t>
      </w:r>
      <w:r>
        <w:rPr>
          <w:spacing w:val="-27"/>
          <w:w w:val="120"/>
        </w:rPr>
        <w:t> </w:t>
      </w:r>
      <w:r>
        <w:rPr>
          <w:w w:val="120"/>
        </w:rPr>
        <w:t>como</w:t>
      </w:r>
      <w:r>
        <w:rPr>
          <w:spacing w:val="-27"/>
          <w:w w:val="120"/>
        </w:rPr>
        <w:t> </w:t>
      </w:r>
      <w:r>
        <w:rPr>
          <w:w w:val="120"/>
        </w:rPr>
        <w:t>base</w:t>
      </w:r>
      <w:r>
        <w:rPr>
          <w:spacing w:val="-27"/>
          <w:w w:val="120"/>
        </w:rPr>
        <w:t> </w:t>
      </w:r>
      <w:r>
        <w:rPr>
          <w:w w:val="120"/>
        </w:rPr>
        <w:t>estadística</w:t>
      </w:r>
      <w:r>
        <w:rPr>
          <w:spacing w:val="-27"/>
          <w:w w:val="120"/>
        </w:rPr>
        <w:t> </w:t>
      </w:r>
      <w:r>
        <w:rPr>
          <w:w w:val="120"/>
        </w:rPr>
        <w:t>el</w:t>
      </w:r>
      <w:r>
        <w:rPr>
          <w:spacing w:val="-27"/>
          <w:w w:val="120"/>
        </w:rPr>
        <w:t> </w:t>
      </w:r>
      <w:r>
        <w:rPr>
          <w:w w:val="120"/>
        </w:rPr>
        <w:t>Pib</w:t>
      </w:r>
      <w:r>
        <w:rPr>
          <w:spacing w:val="-27"/>
          <w:w w:val="120"/>
        </w:rPr>
        <w:t> </w:t>
      </w:r>
      <w:r>
        <w:rPr>
          <w:w w:val="120"/>
        </w:rPr>
        <w:t>per cápita</w:t>
      </w:r>
      <w:r>
        <w:rPr>
          <w:spacing w:val="-17"/>
          <w:w w:val="120"/>
        </w:rPr>
        <w:t> </w:t>
      </w:r>
      <w:r>
        <w:rPr>
          <w:w w:val="120"/>
        </w:rPr>
        <w:t>nacional.</w:t>
      </w:r>
      <w:r>
        <w:rPr>
          <w:w w:val="120"/>
          <w:position w:val="6"/>
          <w:sz w:val="11"/>
        </w:rPr>
        <w:t>1</w:t>
      </w:r>
      <w:r>
        <w:rPr>
          <w:spacing w:val="4"/>
          <w:w w:val="120"/>
          <w:position w:val="6"/>
          <w:sz w:val="11"/>
        </w:rPr>
        <w:t> </w:t>
      </w:r>
      <w:r>
        <w:rPr>
          <w:w w:val="120"/>
        </w:rPr>
        <w:t>si</w:t>
      </w:r>
      <w:r>
        <w:rPr>
          <w:spacing w:val="-17"/>
          <w:w w:val="120"/>
        </w:rPr>
        <w:t> </w:t>
      </w:r>
      <w:r>
        <w:rPr>
          <w:w w:val="120"/>
        </w:rPr>
        <w:t>consideramos</w:t>
      </w:r>
      <w:r>
        <w:rPr>
          <w:spacing w:val="-17"/>
          <w:w w:val="120"/>
        </w:rPr>
        <w:t> </w:t>
      </w:r>
      <w:r>
        <w:rPr>
          <w:w w:val="120"/>
        </w:rPr>
        <w:t>el</w:t>
      </w:r>
      <w:r>
        <w:rPr>
          <w:spacing w:val="-17"/>
          <w:w w:val="120"/>
        </w:rPr>
        <w:t> </w:t>
      </w:r>
      <w:r>
        <w:rPr>
          <w:w w:val="120"/>
        </w:rPr>
        <w:t>crecimiento</w:t>
      </w:r>
      <w:r>
        <w:rPr>
          <w:spacing w:val="-17"/>
          <w:w w:val="120"/>
        </w:rPr>
        <w:t> </w:t>
      </w:r>
      <w:r>
        <w:rPr>
          <w:w w:val="120"/>
        </w:rPr>
        <w:t>del</w:t>
      </w:r>
      <w:r>
        <w:rPr>
          <w:spacing w:val="-17"/>
          <w:w w:val="120"/>
        </w:rPr>
        <w:t> </w:t>
      </w:r>
      <w:r>
        <w:rPr>
          <w:w w:val="120"/>
        </w:rPr>
        <w:t>Pib</w:t>
      </w:r>
      <w:r>
        <w:rPr>
          <w:spacing w:val="-17"/>
          <w:w w:val="120"/>
        </w:rPr>
        <w:t> </w:t>
      </w:r>
      <w:r>
        <w:rPr>
          <w:w w:val="120"/>
        </w:rPr>
        <w:t>per</w:t>
      </w:r>
      <w:r>
        <w:rPr>
          <w:spacing w:val="-17"/>
          <w:w w:val="120"/>
        </w:rPr>
        <w:t> </w:t>
      </w:r>
      <w:r>
        <w:rPr>
          <w:w w:val="120"/>
        </w:rPr>
        <w:t>cápita </w:t>
      </w:r>
      <w:r>
        <w:rPr>
          <w:w w:val="115"/>
        </w:rPr>
        <w:t>como</w:t>
      </w:r>
      <w:r>
        <w:rPr>
          <w:spacing w:val="-19"/>
          <w:w w:val="115"/>
        </w:rPr>
        <w:t> </w:t>
      </w:r>
      <w:r>
        <w:rPr>
          <w:w w:val="115"/>
        </w:rPr>
        <w:t>criterio</w:t>
      </w:r>
      <w:r>
        <w:rPr>
          <w:spacing w:val="-19"/>
          <w:w w:val="115"/>
        </w:rPr>
        <w:t> </w:t>
      </w:r>
      <w:r>
        <w:rPr>
          <w:w w:val="115"/>
        </w:rPr>
        <w:t>podemos</w:t>
      </w:r>
      <w:r>
        <w:rPr>
          <w:spacing w:val="-19"/>
          <w:w w:val="115"/>
        </w:rPr>
        <w:t> </w:t>
      </w:r>
      <w:r>
        <w:rPr>
          <w:w w:val="115"/>
        </w:rPr>
        <w:t>observar</w:t>
      </w:r>
      <w:r>
        <w:rPr>
          <w:spacing w:val="-19"/>
          <w:w w:val="115"/>
        </w:rPr>
        <w:t> </w:t>
      </w:r>
      <w:r>
        <w:rPr>
          <w:w w:val="115"/>
        </w:rPr>
        <w:t>que</w:t>
      </w:r>
      <w:r>
        <w:rPr>
          <w:spacing w:val="-19"/>
          <w:w w:val="115"/>
        </w:rPr>
        <w:t> </w:t>
      </w:r>
      <w:r>
        <w:rPr>
          <w:w w:val="115"/>
        </w:rPr>
        <w:t>entre</w:t>
      </w:r>
      <w:r>
        <w:rPr>
          <w:spacing w:val="-19"/>
          <w:w w:val="115"/>
        </w:rPr>
        <w:t> </w:t>
      </w:r>
      <w:r>
        <w:rPr>
          <w:w w:val="115"/>
        </w:rPr>
        <w:t>1994</w:t>
      </w:r>
      <w:r>
        <w:rPr>
          <w:spacing w:val="-19"/>
          <w:w w:val="115"/>
        </w:rPr>
        <w:t> </w:t>
      </w:r>
      <w:r>
        <w:rPr>
          <w:w w:val="115"/>
        </w:rPr>
        <w:t>y</w:t>
      </w:r>
      <w:r>
        <w:rPr>
          <w:spacing w:val="-19"/>
          <w:w w:val="115"/>
        </w:rPr>
        <w:t> </w:t>
      </w:r>
      <w:r>
        <w:rPr>
          <w:w w:val="115"/>
        </w:rPr>
        <w:t>2010</w:t>
      </w:r>
      <w:r>
        <w:rPr>
          <w:spacing w:val="-19"/>
          <w:w w:val="115"/>
        </w:rPr>
        <w:t> </w:t>
      </w:r>
      <w:r>
        <w:rPr>
          <w:w w:val="115"/>
        </w:rPr>
        <w:t>la</w:t>
      </w:r>
      <w:r>
        <w:rPr>
          <w:spacing w:val="-19"/>
          <w:w w:val="115"/>
        </w:rPr>
        <w:t> </w:t>
      </w:r>
      <w:r>
        <w:rPr>
          <w:w w:val="115"/>
        </w:rPr>
        <w:t>expansión </w:t>
      </w:r>
      <w:r>
        <w:rPr>
          <w:w w:val="120"/>
        </w:rPr>
        <w:t>anual</w:t>
      </w:r>
      <w:r>
        <w:rPr>
          <w:spacing w:val="-28"/>
          <w:w w:val="120"/>
        </w:rPr>
        <w:t> </w:t>
      </w:r>
      <w:r>
        <w:rPr>
          <w:w w:val="120"/>
        </w:rPr>
        <w:t>alcanzó</w:t>
      </w:r>
      <w:r>
        <w:rPr>
          <w:spacing w:val="-28"/>
          <w:w w:val="120"/>
        </w:rPr>
        <w:t> </w:t>
      </w:r>
      <w:r>
        <w:rPr>
          <w:w w:val="120"/>
        </w:rPr>
        <w:t>2.4%,</w:t>
      </w:r>
      <w:r>
        <w:rPr>
          <w:spacing w:val="-28"/>
          <w:w w:val="120"/>
        </w:rPr>
        <w:t> </w:t>
      </w:r>
      <w:r>
        <w:rPr>
          <w:w w:val="120"/>
        </w:rPr>
        <w:t>un</w:t>
      </w:r>
      <w:r>
        <w:rPr>
          <w:spacing w:val="-28"/>
          <w:w w:val="120"/>
        </w:rPr>
        <w:t> </w:t>
      </w:r>
      <w:r>
        <w:rPr>
          <w:w w:val="120"/>
        </w:rPr>
        <w:t>salto</w:t>
      </w:r>
      <w:r>
        <w:rPr>
          <w:spacing w:val="-28"/>
          <w:w w:val="120"/>
        </w:rPr>
        <w:t> </w:t>
      </w:r>
      <w:r>
        <w:rPr>
          <w:w w:val="120"/>
        </w:rPr>
        <w:t>drástico</w:t>
      </w:r>
      <w:r>
        <w:rPr>
          <w:spacing w:val="-28"/>
          <w:w w:val="120"/>
        </w:rPr>
        <w:t> </w:t>
      </w:r>
      <w:r>
        <w:rPr>
          <w:w w:val="120"/>
        </w:rPr>
        <w:t>en</w:t>
      </w:r>
      <w:r>
        <w:rPr>
          <w:spacing w:val="-28"/>
          <w:w w:val="120"/>
        </w:rPr>
        <w:t> </w:t>
      </w:r>
      <w:r>
        <w:rPr>
          <w:w w:val="120"/>
        </w:rPr>
        <w:t>relación</w:t>
      </w:r>
      <w:r>
        <w:rPr>
          <w:spacing w:val="-28"/>
          <w:w w:val="120"/>
        </w:rPr>
        <w:t> </w:t>
      </w:r>
      <w:r>
        <w:rPr>
          <w:w w:val="120"/>
        </w:rPr>
        <w:t>con</w:t>
      </w:r>
      <w:r>
        <w:rPr>
          <w:spacing w:val="-28"/>
          <w:w w:val="120"/>
        </w:rPr>
        <w:t> </w:t>
      </w:r>
      <w:r>
        <w:rPr>
          <w:w w:val="120"/>
        </w:rPr>
        <w:t>la</w:t>
      </w:r>
      <w:r>
        <w:rPr>
          <w:spacing w:val="-28"/>
          <w:w w:val="120"/>
        </w:rPr>
        <w:t> </w:t>
      </w:r>
      <w:r>
        <w:rPr>
          <w:w w:val="120"/>
        </w:rPr>
        <w:t>fase</w:t>
      </w:r>
      <w:r>
        <w:rPr>
          <w:spacing w:val="-28"/>
          <w:w w:val="120"/>
        </w:rPr>
        <w:t> </w:t>
      </w:r>
      <w:r>
        <w:rPr>
          <w:w w:val="120"/>
        </w:rPr>
        <w:t>de</w:t>
      </w:r>
      <w:r>
        <w:rPr>
          <w:spacing w:val="-28"/>
          <w:w w:val="120"/>
        </w:rPr>
        <w:t> </w:t>
      </w:r>
      <w:r>
        <w:rPr>
          <w:w w:val="120"/>
        </w:rPr>
        <w:t>rela- </w:t>
      </w:r>
      <w:r>
        <w:rPr>
          <w:w w:val="115"/>
        </w:rPr>
        <w:t>tivo</w:t>
      </w:r>
      <w:r>
        <w:rPr>
          <w:spacing w:val="-9"/>
          <w:w w:val="115"/>
        </w:rPr>
        <w:t> </w:t>
      </w:r>
      <w:r>
        <w:rPr>
          <w:w w:val="115"/>
        </w:rPr>
        <w:t>estancamiento</w:t>
      </w:r>
      <w:r>
        <w:rPr>
          <w:spacing w:val="-9"/>
          <w:w w:val="115"/>
        </w:rPr>
        <w:t> </w:t>
      </w:r>
      <w:r>
        <w:rPr>
          <w:w w:val="115"/>
        </w:rPr>
        <w:t>que</w:t>
      </w:r>
      <w:r>
        <w:rPr>
          <w:spacing w:val="-9"/>
          <w:w w:val="115"/>
        </w:rPr>
        <w:t> </w:t>
      </w:r>
      <w:r>
        <w:rPr>
          <w:w w:val="115"/>
        </w:rPr>
        <w:t>la</w:t>
      </w:r>
      <w:r>
        <w:rPr>
          <w:spacing w:val="-9"/>
          <w:w w:val="115"/>
        </w:rPr>
        <w:t> </w:t>
      </w:r>
      <w:r>
        <w:rPr>
          <w:w w:val="115"/>
        </w:rPr>
        <w:t>precedió,</w:t>
      </w:r>
      <w:r>
        <w:rPr>
          <w:spacing w:val="-9"/>
          <w:w w:val="115"/>
        </w:rPr>
        <w:t> </w:t>
      </w:r>
      <w:r>
        <w:rPr>
          <w:w w:val="115"/>
        </w:rPr>
        <w:t>cuando</w:t>
      </w:r>
      <w:r>
        <w:rPr>
          <w:spacing w:val="-9"/>
          <w:w w:val="115"/>
        </w:rPr>
        <w:t> </w:t>
      </w:r>
      <w:r>
        <w:rPr>
          <w:w w:val="115"/>
        </w:rPr>
        <w:t>éste</w:t>
      </w:r>
      <w:r>
        <w:rPr>
          <w:spacing w:val="-9"/>
          <w:w w:val="115"/>
        </w:rPr>
        <w:t> </w:t>
      </w:r>
      <w:r>
        <w:rPr>
          <w:w w:val="115"/>
        </w:rPr>
        <w:t>alcanzó</w:t>
      </w:r>
      <w:r>
        <w:rPr>
          <w:spacing w:val="-9"/>
          <w:w w:val="115"/>
        </w:rPr>
        <w:t> </w:t>
      </w:r>
      <w:r>
        <w:rPr>
          <w:w w:val="115"/>
        </w:rPr>
        <w:t>apenas</w:t>
      </w:r>
      <w:r>
        <w:rPr>
          <w:spacing w:val="-9"/>
          <w:w w:val="115"/>
        </w:rPr>
        <w:t> </w:t>
      </w:r>
      <w:r>
        <w:rPr>
          <w:w w:val="115"/>
        </w:rPr>
        <w:t>una tasa</w:t>
      </w:r>
      <w:r>
        <w:rPr>
          <w:spacing w:val="-33"/>
          <w:w w:val="115"/>
        </w:rPr>
        <w:t> </w:t>
      </w:r>
      <w:r>
        <w:rPr>
          <w:w w:val="115"/>
        </w:rPr>
        <w:t>de</w:t>
      </w:r>
      <w:r>
        <w:rPr>
          <w:spacing w:val="-33"/>
          <w:w w:val="115"/>
        </w:rPr>
        <w:t> </w:t>
      </w:r>
      <w:r>
        <w:rPr>
          <w:w w:val="115"/>
        </w:rPr>
        <w:t>crecimiento</w:t>
      </w:r>
      <w:r>
        <w:rPr>
          <w:spacing w:val="-33"/>
          <w:w w:val="115"/>
        </w:rPr>
        <w:t> </w:t>
      </w:r>
      <w:r>
        <w:rPr>
          <w:w w:val="115"/>
        </w:rPr>
        <w:t>anual</w:t>
      </w:r>
      <w:r>
        <w:rPr>
          <w:spacing w:val="-33"/>
          <w:w w:val="115"/>
        </w:rPr>
        <w:t> </w:t>
      </w:r>
      <w:r>
        <w:rPr>
          <w:w w:val="115"/>
        </w:rPr>
        <w:t>de</w:t>
      </w:r>
      <w:r>
        <w:rPr>
          <w:spacing w:val="-33"/>
          <w:w w:val="115"/>
        </w:rPr>
        <w:t> </w:t>
      </w:r>
      <w:r>
        <w:rPr>
          <w:w w:val="115"/>
        </w:rPr>
        <w:t>1.2%</w:t>
      </w:r>
      <w:r>
        <w:rPr>
          <w:spacing w:val="-33"/>
          <w:w w:val="115"/>
        </w:rPr>
        <w:t> </w:t>
      </w:r>
      <w:r>
        <w:rPr>
          <w:w w:val="115"/>
        </w:rPr>
        <w:t>entre</w:t>
      </w:r>
      <w:r>
        <w:rPr>
          <w:spacing w:val="-33"/>
          <w:w w:val="115"/>
        </w:rPr>
        <w:t> </w:t>
      </w:r>
      <w:r>
        <w:rPr>
          <w:w w:val="115"/>
        </w:rPr>
        <w:t>1974</w:t>
      </w:r>
      <w:r>
        <w:rPr>
          <w:spacing w:val="-33"/>
          <w:w w:val="115"/>
        </w:rPr>
        <w:t> </w:t>
      </w:r>
      <w:r>
        <w:rPr>
          <w:w w:val="115"/>
        </w:rPr>
        <w:t>y</w:t>
      </w:r>
      <w:r>
        <w:rPr>
          <w:spacing w:val="-33"/>
          <w:w w:val="115"/>
        </w:rPr>
        <w:t> </w:t>
      </w:r>
      <w:r>
        <w:rPr>
          <w:w w:val="115"/>
        </w:rPr>
        <w:t>1993,</w:t>
      </w:r>
      <w:r>
        <w:rPr>
          <w:spacing w:val="-33"/>
          <w:w w:val="115"/>
        </w:rPr>
        <w:t> </w:t>
      </w:r>
      <w:r>
        <w:rPr>
          <w:w w:val="115"/>
        </w:rPr>
        <w:t>todavía</w:t>
      </w:r>
      <w:r>
        <w:rPr>
          <w:spacing w:val="-33"/>
          <w:w w:val="115"/>
        </w:rPr>
        <w:t> </w:t>
      </w:r>
      <w:r>
        <w:rPr>
          <w:w w:val="115"/>
        </w:rPr>
        <w:t>más</w:t>
      </w:r>
      <w:r>
        <w:rPr>
          <w:spacing w:val="-33"/>
          <w:w w:val="115"/>
        </w:rPr>
        <w:t> </w:t>
      </w:r>
      <w:r>
        <w:rPr>
          <w:w w:val="115"/>
        </w:rPr>
        <w:t>bajo que</w:t>
      </w:r>
      <w:r>
        <w:rPr>
          <w:spacing w:val="-15"/>
          <w:w w:val="115"/>
        </w:rPr>
        <w:t> </w:t>
      </w:r>
      <w:r>
        <w:rPr>
          <w:w w:val="115"/>
        </w:rPr>
        <w:t>el</w:t>
      </w:r>
      <w:r>
        <w:rPr>
          <w:spacing w:val="-15"/>
          <w:w w:val="115"/>
        </w:rPr>
        <w:t> </w:t>
      </w:r>
      <w:r>
        <w:rPr>
          <w:w w:val="115"/>
        </w:rPr>
        <w:t>2.9%</w:t>
      </w:r>
      <w:r>
        <w:rPr>
          <w:spacing w:val="-15"/>
          <w:w w:val="115"/>
        </w:rPr>
        <w:t> </w:t>
      </w:r>
      <w:r>
        <w:rPr>
          <w:w w:val="115"/>
        </w:rPr>
        <w:t>del</w:t>
      </w:r>
      <w:r>
        <w:rPr>
          <w:spacing w:val="-15"/>
          <w:w w:val="115"/>
        </w:rPr>
        <w:t> </w:t>
      </w:r>
      <w:r>
        <w:rPr>
          <w:w w:val="115"/>
        </w:rPr>
        <w:t>periodo</w:t>
      </w:r>
      <w:r>
        <w:rPr>
          <w:spacing w:val="-15"/>
          <w:w w:val="115"/>
        </w:rPr>
        <w:t> </w:t>
      </w:r>
      <w:r>
        <w:rPr>
          <w:w w:val="115"/>
        </w:rPr>
        <w:t>de</w:t>
      </w:r>
      <w:r>
        <w:rPr>
          <w:spacing w:val="-15"/>
          <w:w w:val="115"/>
        </w:rPr>
        <w:t> </w:t>
      </w:r>
      <w:r>
        <w:rPr>
          <w:w w:val="115"/>
        </w:rPr>
        <w:t>los</w:t>
      </w:r>
      <w:r>
        <w:rPr>
          <w:spacing w:val="-15"/>
          <w:w w:val="115"/>
        </w:rPr>
        <w:t> </w:t>
      </w:r>
      <w:r>
        <w:rPr>
          <w:w w:val="115"/>
        </w:rPr>
        <w:t>años</w:t>
      </w:r>
      <w:r>
        <w:rPr>
          <w:spacing w:val="-15"/>
          <w:w w:val="115"/>
        </w:rPr>
        <w:t> </w:t>
      </w:r>
      <w:r>
        <w:rPr>
          <w:w w:val="115"/>
        </w:rPr>
        <w:t>dorados</w:t>
      </w:r>
      <w:r>
        <w:rPr>
          <w:spacing w:val="-15"/>
          <w:w w:val="115"/>
        </w:rPr>
        <w:t> </w:t>
      </w:r>
      <w:r>
        <w:rPr>
          <w:w w:val="115"/>
        </w:rPr>
        <w:t>de</w:t>
      </w:r>
      <w:r>
        <w:rPr>
          <w:spacing w:val="-15"/>
          <w:w w:val="115"/>
        </w:rPr>
        <w:t> </w:t>
      </w:r>
      <w:r>
        <w:rPr>
          <w:w w:val="115"/>
        </w:rPr>
        <w:t>la</w:t>
      </w:r>
      <w:r>
        <w:rPr>
          <w:spacing w:val="-15"/>
          <w:w w:val="115"/>
        </w:rPr>
        <w:t> </w:t>
      </w:r>
      <w:r>
        <w:rPr>
          <w:w w:val="115"/>
        </w:rPr>
        <w:t>economía</w:t>
      </w:r>
      <w:r>
        <w:rPr>
          <w:spacing w:val="-15"/>
          <w:w w:val="115"/>
        </w:rPr>
        <w:t> </w:t>
      </w:r>
      <w:r>
        <w:rPr>
          <w:w w:val="115"/>
        </w:rPr>
        <w:t>mundial, cuando</w:t>
      </w:r>
      <w:r>
        <w:rPr>
          <w:spacing w:val="-25"/>
          <w:w w:val="115"/>
        </w:rPr>
        <w:t> </w:t>
      </w:r>
      <w:r>
        <w:rPr>
          <w:w w:val="115"/>
        </w:rPr>
        <w:t>convergieron</w:t>
      </w:r>
      <w:r>
        <w:rPr>
          <w:spacing w:val="-25"/>
          <w:w w:val="115"/>
        </w:rPr>
        <w:t> </w:t>
      </w:r>
      <w:r>
        <w:rPr>
          <w:w w:val="115"/>
        </w:rPr>
        <w:t>las</w:t>
      </w:r>
      <w:r>
        <w:rPr>
          <w:spacing w:val="-25"/>
          <w:w w:val="115"/>
        </w:rPr>
        <w:t> </w:t>
      </w:r>
      <w:r>
        <w:rPr>
          <w:w w:val="115"/>
        </w:rPr>
        <w:t>fases</w:t>
      </w:r>
      <w:r>
        <w:rPr>
          <w:spacing w:val="-25"/>
          <w:w w:val="115"/>
        </w:rPr>
        <w:t> </w:t>
      </w:r>
      <w:r>
        <w:rPr>
          <w:w w:val="115"/>
        </w:rPr>
        <w:t>expansivas</w:t>
      </w:r>
      <w:r>
        <w:rPr>
          <w:spacing w:val="-25"/>
          <w:w w:val="115"/>
        </w:rPr>
        <w:t> </w:t>
      </w:r>
      <w:r>
        <w:rPr>
          <w:w w:val="115"/>
        </w:rPr>
        <w:t>del</w:t>
      </w:r>
      <w:r>
        <w:rPr>
          <w:spacing w:val="-25"/>
          <w:w w:val="115"/>
        </w:rPr>
        <w:t> </w:t>
      </w:r>
      <w:r>
        <w:rPr>
          <w:w w:val="115"/>
        </w:rPr>
        <w:t>Kondratiev</w:t>
      </w:r>
      <w:r>
        <w:rPr>
          <w:spacing w:val="-25"/>
          <w:w w:val="115"/>
        </w:rPr>
        <w:t> </w:t>
      </w:r>
      <w:r>
        <w:rPr>
          <w:w w:val="115"/>
        </w:rPr>
        <w:t>y</w:t>
      </w:r>
      <w:r>
        <w:rPr>
          <w:spacing w:val="-25"/>
          <w:w w:val="115"/>
        </w:rPr>
        <w:t> </w:t>
      </w:r>
      <w:r>
        <w:rPr>
          <w:w w:val="115"/>
        </w:rPr>
        <w:t>del</w:t>
      </w:r>
      <w:r>
        <w:rPr>
          <w:spacing w:val="-25"/>
          <w:w w:val="115"/>
        </w:rPr>
        <w:t> </w:t>
      </w:r>
      <w:r>
        <w:rPr>
          <w:w w:val="115"/>
        </w:rPr>
        <w:t>último </w:t>
      </w:r>
      <w:r>
        <w:rPr>
          <w:w w:val="120"/>
        </w:rPr>
        <w:t>ciclo</w:t>
      </w:r>
      <w:r>
        <w:rPr>
          <w:spacing w:val="-19"/>
          <w:w w:val="120"/>
        </w:rPr>
        <w:t> </w:t>
      </w:r>
      <w:r>
        <w:rPr>
          <w:w w:val="120"/>
        </w:rPr>
        <w:t>sistémico</w:t>
      </w:r>
      <w:r>
        <w:rPr>
          <w:spacing w:val="-19"/>
          <w:w w:val="120"/>
        </w:rPr>
        <w:t> </w:t>
      </w:r>
      <w:r>
        <w:rPr>
          <w:w w:val="120"/>
        </w:rPr>
        <w:t>de</w:t>
      </w:r>
      <w:r>
        <w:rPr>
          <w:spacing w:val="-19"/>
          <w:w w:val="120"/>
        </w:rPr>
        <w:t> </w:t>
      </w:r>
      <w:r>
        <w:rPr>
          <w:w w:val="120"/>
        </w:rPr>
        <w:t>la</w:t>
      </w:r>
      <w:r>
        <w:rPr>
          <w:spacing w:val="-19"/>
          <w:w w:val="120"/>
        </w:rPr>
        <w:t> </w:t>
      </w:r>
      <w:r>
        <w:rPr>
          <w:w w:val="120"/>
        </w:rPr>
        <w:t>economía-mundo,</w:t>
      </w:r>
      <w:r>
        <w:rPr>
          <w:spacing w:val="-19"/>
          <w:w w:val="120"/>
        </w:rPr>
        <w:t> </w:t>
      </w:r>
      <w:r>
        <w:rPr>
          <w:w w:val="120"/>
        </w:rPr>
        <w:t>basado</w:t>
      </w:r>
      <w:r>
        <w:rPr>
          <w:spacing w:val="-19"/>
          <w:w w:val="120"/>
        </w:rPr>
        <w:t> </w:t>
      </w:r>
      <w:r>
        <w:rPr>
          <w:w w:val="120"/>
        </w:rPr>
        <w:t>en</w:t>
      </w:r>
      <w:r>
        <w:rPr>
          <w:spacing w:val="-19"/>
          <w:w w:val="120"/>
        </w:rPr>
        <w:t> </w:t>
      </w:r>
      <w:r>
        <w:rPr>
          <w:w w:val="120"/>
        </w:rPr>
        <w:t>la</w:t>
      </w:r>
      <w:r>
        <w:rPr>
          <w:spacing w:val="-19"/>
          <w:w w:val="120"/>
        </w:rPr>
        <w:t> </w:t>
      </w:r>
      <w:r>
        <w:rPr>
          <w:w w:val="120"/>
        </w:rPr>
        <w:t>hegemonía</w:t>
      </w:r>
      <w:r>
        <w:rPr>
          <w:spacing w:val="-19"/>
          <w:w w:val="120"/>
        </w:rPr>
        <w:t> </w:t>
      </w:r>
      <w:r>
        <w:rPr>
          <w:w w:val="120"/>
        </w:rPr>
        <w:t>de Estados</w:t>
      </w:r>
      <w:r>
        <w:rPr>
          <w:spacing w:val="-12"/>
          <w:w w:val="120"/>
        </w:rPr>
        <w:t> </w:t>
      </w:r>
      <w:r>
        <w:rPr>
          <w:w w:val="120"/>
        </w:rPr>
        <w:t>unidos.</w:t>
      </w:r>
      <w:r>
        <w:rPr>
          <w:spacing w:val="-12"/>
          <w:w w:val="120"/>
        </w:rPr>
        <w:t> </w:t>
      </w:r>
      <w:r>
        <w:rPr>
          <w:w w:val="120"/>
        </w:rPr>
        <w:t>otro</w:t>
      </w:r>
      <w:r>
        <w:rPr>
          <w:spacing w:val="-12"/>
          <w:w w:val="120"/>
        </w:rPr>
        <w:t> </w:t>
      </w:r>
      <w:r>
        <w:rPr>
          <w:w w:val="120"/>
        </w:rPr>
        <w:t>criterio</w:t>
      </w:r>
      <w:r>
        <w:rPr>
          <w:spacing w:val="-12"/>
          <w:w w:val="120"/>
        </w:rPr>
        <w:t> </w:t>
      </w:r>
      <w:r>
        <w:rPr>
          <w:w w:val="120"/>
        </w:rPr>
        <w:t>de</w:t>
      </w:r>
      <w:r>
        <w:rPr>
          <w:spacing w:val="-12"/>
          <w:w w:val="120"/>
        </w:rPr>
        <w:t> </w:t>
      </w:r>
      <w:r>
        <w:rPr>
          <w:w w:val="120"/>
        </w:rPr>
        <w:t>medida</w:t>
      </w:r>
      <w:r>
        <w:rPr>
          <w:spacing w:val="-12"/>
          <w:w w:val="120"/>
        </w:rPr>
        <w:t> </w:t>
      </w:r>
      <w:r>
        <w:rPr>
          <w:w w:val="120"/>
        </w:rPr>
        <w:t>es</w:t>
      </w:r>
      <w:r>
        <w:rPr>
          <w:spacing w:val="-12"/>
          <w:w w:val="120"/>
        </w:rPr>
        <w:t> </w:t>
      </w:r>
      <w:r>
        <w:rPr>
          <w:w w:val="120"/>
        </w:rPr>
        <w:t>la</w:t>
      </w:r>
      <w:r>
        <w:rPr>
          <w:spacing w:val="-12"/>
          <w:w w:val="120"/>
        </w:rPr>
        <w:t> </w:t>
      </w:r>
      <w:r>
        <w:rPr>
          <w:w w:val="120"/>
        </w:rPr>
        <w:t>tasa</w:t>
      </w:r>
      <w:r>
        <w:rPr>
          <w:spacing w:val="-12"/>
          <w:w w:val="120"/>
        </w:rPr>
        <w:t> </w:t>
      </w:r>
      <w:r>
        <w:rPr>
          <w:w w:val="120"/>
        </w:rPr>
        <w:t>de</w:t>
      </w:r>
      <w:r>
        <w:rPr>
          <w:spacing w:val="-12"/>
          <w:w w:val="120"/>
        </w:rPr>
        <w:t> </w:t>
      </w:r>
      <w:r>
        <w:rPr>
          <w:w w:val="120"/>
        </w:rPr>
        <w:t>ganancia,</w:t>
      </w:r>
      <w:r>
        <w:rPr>
          <w:spacing w:val="-12"/>
          <w:w w:val="120"/>
        </w:rPr>
        <w:t> </w:t>
      </w:r>
      <w:r>
        <w:rPr>
          <w:w w:val="120"/>
        </w:rPr>
        <w:t>cu- </w:t>
      </w:r>
      <w:r>
        <w:rPr>
          <w:w w:val="115"/>
        </w:rPr>
        <w:t>yos</w:t>
      </w:r>
      <w:r>
        <w:rPr>
          <w:spacing w:val="-22"/>
          <w:w w:val="115"/>
        </w:rPr>
        <w:t> </w:t>
      </w:r>
      <w:r>
        <w:rPr>
          <w:w w:val="115"/>
        </w:rPr>
        <w:t>datos</w:t>
      </w:r>
      <w:r>
        <w:rPr>
          <w:spacing w:val="-22"/>
          <w:w w:val="115"/>
        </w:rPr>
        <w:t> </w:t>
      </w:r>
      <w:r>
        <w:rPr>
          <w:w w:val="115"/>
        </w:rPr>
        <w:t>empíricos</w:t>
      </w:r>
      <w:r>
        <w:rPr>
          <w:spacing w:val="-22"/>
          <w:w w:val="115"/>
        </w:rPr>
        <w:t> </w:t>
      </w:r>
      <w:r>
        <w:rPr>
          <w:w w:val="115"/>
        </w:rPr>
        <w:t>disponibles</w:t>
      </w:r>
      <w:r>
        <w:rPr>
          <w:spacing w:val="-22"/>
          <w:w w:val="115"/>
        </w:rPr>
        <w:t> </w:t>
      </w:r>
      <w:r>
        <w:rPr>
          <w:w w:val="115"/>
        </w:rPr>
        <w:t>son</w:t>
      </w:r>
      <w:r>
        <w:rPr>
          <w:spacing w:val="-22"/>
          <w:w w:val="115"/>
        </w:rPr>
        <w:t> </w:t>
      </w:r>
      <w:r>
        <w:rPr>
          <w:w w:val="115"/>
        </w:rPr>
        <w:t>de</w:t>
      </w:r>
      <w:r>
        <w:rPr>
          <w:spacing w:val="-22"/>
          <w:w w:val="115"/>
        </w:rPr>
        <w:t> </w:t>
      </w:r>
      <w:r>
        <w:rPr>
          <w:w w:val="115"/>
        </w:rPr>
        <w:t>menor</w:t>
      </w:r>
      <w:r>
        <w:rPr>
          <w:spacing w:val="-22"/>
          <w:w w:val="115"/>
        </w:rPr>
        <w:t> </w:t>
      </w:r>
      <w:r>
        <w:rPr>
          <w:w w:val="115"/>
        </w:rPr>
        <w:t>alcance</w:t>
      </w:r>
      <w:r>
        <w:rPr>
          <w:spacing w:val="-22"/>
          <w:w w:val="115"/>
        </w:rPr>
        <w:t> </w:t>
      </w:r>
      <w:r>
        <w:rPr>
          <w:w w:val="115"/>
        </w:rPr>
        <w:t>y</w:t>
      </w:r>
      <w:r>
        <w:rPr>
          <w:spacing w:val="-22"/>
          <w:w w:val="115"/>
        </w:rPr>
        <w:t> </w:t>
      </w:r>
      <w:r>
        <w:rPr>
          <w:w w:val="115"/>
        </w:rPr>
        <w:t>comprenden series</w:t>
      </w:r>
      <w:r>
        <w:rPr>
          <w:spacing w:val="-8"/>
          <w:w w:val="115"/>
        </w:rPr>
        <w:t> </w:t>
      </w:r>
      <w:r>
        <w:rPr>
          <w:w w:val="115"/>
        </w:rPr>
        <w:t>más</w:t>
      </w:r>
      <w:r>
        <w:rPr>
          <w:spacing w:val="-8"/>
          <w:w w:val="115"/>
        </w:rPr>
        <w:t> </w:t>
      </w:r>
      <w:r>
        <w:rPr>
          <w:w w:val="115"/>
        </w:rPr>
        <w:t>limitadas</w:t>
      </w:r>
      <w:r>
        <w:rPr>
          <w:spacing w:val="-8"/>
          <w:w w:val="115"/>
        </w:rPr>
        <w:t> </w:t>
      </w:r>
      <w:r>
        <w:rPr>
          <w:w w:val="115"/>
        </w:rPr>
        <w:t>cronológicamente.</w:t>
      </w:r>
      <w:r>
        <w:rPr>
          <w:spacing w:val="-8"/>
          <w:w w:val="115"/>
        </w:rPr>
        <w:t> </w:t>
      </w:r>
      <w:r>
        <w:rPr>
          <w:w w:val="115"/>
        </w:rPr>
        <w:t>aquí</w:t>
      </w:r>
      <w:r>
        <w:rPr>
          <w:spacing w:val="-8"/>
          <w:w w:val="115"/>
        </w:rPr>
        <w:t> </w:t>
      </w:r>
      <w:r>
        <w:rPr>
          <w:w w:val="115"/>
        </w:rPr>
        <w:t>utilizo</w:t>
      </w:r>
      <w:r>
        <w:rPr>
          <w:spacing w:val="-8"/>
          <w:w w:val="115"/>
        </w:rPr>
        <w:t> </w:t>
      </w:r>
      <w:r>
        <w:rPr>
          <w:w w:val="115"/>
        </w:rPr>
        <w:t>sólo</w:t>
      </w:r>
      <w:r>
        <w:rPr>
          <w:spacing w:val="-8"/>
          <w:w w:val="115"/>
        </w:rPr>
        <w:t> </w:t>
      </w:r>
      <w:r>
        <w:rPr>
          <w:w w:val="115"/>
        </w:rPr>
        <w:t>las</w:t>
      </w:r>
      <w:r>
        <w:rPr>
          <w:spacing w:val="-8"/>
          <w:w w:val="115"/>
        </w:rPr>
        <w:t> </w:t>
      </w:r>
      <w:r>
        <w:rPr>
          <w:w w:val="115"/>
        </w:rPr>
        <w:t>tasas</w:t>
      </w:r>
      <w:r>
        <w:rPr>
          <w:spacing w:val="-8"/>
          <w:w w:val="115"/>
        </w:rPr>
        <w:t> </w:t>
      </w:r>
      <w:r>
        <w:rPr>
          <w:w w:val="115"/>
        </w:rPr>
        <w:t>de </w:t>
      </w:r>
      <w:r>
        <w:rPr>
          <w:w w:val="120"/>
        </w:rPr>
        <w:t>ganancia</w:t>
      </w:r>
      <w:r>
        <w:rPr>
          <w:spacing w:val="-19"/>
          <w:w w:val="120"/>
        </w:rPr>
        <w:t> </w:t>
      </w:r>
      <w:r>
        <w:rPr>
          <w:w w:val="120"/>
        </w:rPr>
        <w:t>de</w:t>
      </w:r>
      <w:r>
        <w:rPr>
          <w:spacing w:val="-19"/>
          <w:w w:val="120"/>
        </w:rPr>
        <w:t> </w:t>
      </w:r>
      <w:r>
        <w:rPr>
          <w:w w:val="120"/>
        </w:rPr>
        <w:t>Estados</w:t>
      </w:r>
      <w:r>
        <w:rPr>
          <w:spacing w:val="-19"/>
          <w:w w:val="120"/>
        </w:rPr>
        <w:t> </w:t>
      </w:r>
      <w:r>
        <w:rPr>
          <w:w w:val="120"/>
        </w:rPr>
        <w:t>unidos;</w:t>
      </w:r>
      <w:r>
        <w:rPr>
          <w:spacing w:val="-19"/>
          <w:w w:val="120"/>
        </w:rPr>
        <w:t> </w:t>
      </w:r>
      <w:r>
        <w:rPr>
          <w:w w:val="120"/>
        </w:rPr>
        <w:t>sin</w:t>
      </w:r>
      <w:r>
        <w:rPr>
          <w:spacing w:val="-19"/>
          <w:w w:val="120"/>
        </w:rPr>
        <w:t> </w:t>
      </w:r>
      <w:r>
        <w:rPr>
          <w:w w:val="120"/>
        </w:rPr>
        <w:t>embargo,</w:t>
      </w:r>
      <w:r>
        <w:rPr>
          <w:spacing w:val="-19"/>
          <w:w w:val="120"/>
        </w:rPr>
        <w:t> </w:t>
      </w:r>
      <w:r>
        <w:rPr>
          <w:w w:val="120"/>
        </w:rPr>
        <w:t>el</w:t>
      </w:r>
      <w:r>
        <w:rPr>
          <w:spacing w:val="-19"/>
          <w:w w:val="120"/>
        </w:rPr>
        <w:t> </w:t>
      </w:r>
      <w:r>
        <w:rPr>
          <w:w w:val="120"/>
        </w:rPr>
        <w:t>peso</w:t>
      </w:r>
      <w:r>
        <w:rPr>
          <w:spacing w:val="-19"/>
          <w:w w:val="120"/>
        </w:rPr>
        <w:t> </w:t>
      </w:r>
      <w:r>
        <w:rPr>
          <w:w w:val="120"/>
        </w:rPr>
        <w:t>de</w:t>
      </w:r>
      <w:r>
        <w:rPr>
          <w:spacing w:val="-19"/>
          <w:w w:val="120"/>
        </w:rPr>
        <w:t> </w:t>
      </w:r>
      <w:r>
        <w:rPr>
          <w:w w:val="120"/>
        </w:rPr>
        <w:t>este</w:t>
      </w:r>
      <w:r>
        <w:rPr>
          <w:spacing w:val="-19"/>
          <w:w w:val="120"/>
        </w:rPr>
        <w:t> </w:t>
      </w:r>
      <w:r>
        <w:rPr>
          <w:w w:val="120"/>
        </w:rPr>
        <w:t>país</w:t>
      </w:r>
      <w:r>
        <w:rPr>
          <w:spacing w:val="-19"/>
          <w:w w:val="120"/>
        </w:rPr>
        <w:t> </w:t>
      </w:r>
      <w:r>
        <w:rPr>
          <w:w w:val="120"/>
        </w:rPr>
        <w:t>en</w:t>
      </w:r>
      <w:r>
        <w:rPr>
          <w:spacing w:val="-19"/>
          <w:w w:val="120"/>
        </w:rPr>
        <w:t> </w:t>
      </w:r>
      <w:r>
        <w:rPr>
          <w:w w:val="120"/>
        </w:rPr>
        <w:t>la </w:t>
      </w:r>
      <w:r>
        <w:rPr>
          <w:w w:val="115"/>
        </w:rPr>
        <w:t>economía</w:t>
      </w:r>
      <w:r>
        <w:rPr>
          <w:spacing w:val="-17"/>
          <w:w w:val="115"/>
        </w:rPr>
        <w:t> </w:t>
      </w:r>
      <w:r>
        <w:rPr>
          <w:w w:val="115"/>
        </w:rPr>
        <w:t>mundial</w:t>
      </w:r>
      <w:r>
        <w:rPr>
          <w:spacing w:val="-17"/>
          <w:w w:val="115"/>
        </w:rPr>
        <w:t> </w:t>
      </w:r>
      <w:r>
        <w:rPr>
          <w:w w:val="115"/>
        </w:rPr>
        <w:t>–como</w:t>
      </w:r>
      <w:r>
        <w:rPr>
          <w:spacing w:val="-17"/>
          <w:w w:val="115"/>
        </w:rPr>
        <w:t> </w:t>
      </w:r>
      <w:r>
        <w:rPr>
          <w:w w:val="115"/>
        </w:rPr>
        <w:t>Pib</w:t>
      </w:r>
      <w:r>
        <w:rPr>
          <w:spacing w:val="-17"/>
          <w:w w:val="115"/>
        </w:rPr>
        <w:t> </w:t>
      </w:r>
      <w:r>
        <w:rPr>
          <w:w w:val="115"/>
        </w:rPr>
        <w:t>o</w:t>
      </w:r>
      <w:r>
        <w:rPr>
          <w:spacing w:val="-17"/>
          <w:w w:val="115"/>
        </w:rPr>
        <w:t> </w:t>
      </w:r>
      <w:r>
        <w:rPr>
          <w:w w:val="115"/>
        </w:rPr>
        <w:t>como</w:t>
      </w:r>
      <w:r>
        <w:rPr>
          <w:spacing w:val="-17"/>
          <w:w w:val="115"/>
        </w:rPr>
        <w:t> </w:t>
      </w:r>
      <w:r>
        <w:rPr>
          <w:w w:val="115"/>
        </w:rPr>
        <w:t>mercado</w:t>
      </w:r>
      <w:r>
        <w:rPr>
          <w:spacing w:val="-17"/>
          <w:w w:val="115"/>
        </w:rPr>
        <w:t> </w:t>
      </w:r>
      <w:r>
        <w:rPr>
          <w:w w:val="115"/>
        </w:rPr>
        <w:t>mundial–</w:t>
      </w:r>
      <w:r>
        <w:rPr>
          <w:spacing w:val="-17"/>
          <w:w w:val="115"/>
        </w:rPr>
        <w:t> </w:t>
      </w:r>
      <w:r>
        <w:rPr>
          <w:w w:val="115"/>
        </w:rPr>
        <w:t>y</w:t>
      </w:r>
      <w:r>
        <w:rPr>
          <w:spacing w:val="-17"/>
          <w:w w:val="115"/>
        </w:rPr>
        <w:t> </w:t>
      </w:r>
      <w:r>
        <w:rPr>
          <w:w w:val="115"/>
        </w:rPr>
        <w:t>la</w:t>
      </w:r>
      <w:r>
        <w:rPr>
          <w:spacing w:val="-17"/>
          <w:w w:val="115"/>
        </w:rPr>
        <w:t> </w:t>
      </w:r>
      <w:r>
        <w:rPr>
          <w:w w:val="115"/>
        </w:rPr>
        <w:t>profun- da</w:t>
      </w:r>
      <w:r>
        <w:rPr>
          <w:spacing w:val="-24"/>
          <w:w w:val="115"/>
        </w:rPr>
        <w:t> </w:t>
      </w:r>
      <w:r>
        <w:rPr>
          <w:w w:val="115"/>
        </w:rPr>
        <w:t>asociación</w:t>
      </w:r>
      <w:r>
        <w:rPr>
          <w:spacing w:val="-24"/>
          <w:w w:val="115"/>
        </w:rPr>
        <w:t> </w:t>
      </w:r>
      <w:r>
        <w:rPr>
          <w:w w:val="115"/>
        </w:rPr>
        <w:t>de</w:t>
      </w:r>
      <w:r>
        <w:rPr>
          <w:spacing w:val="-24"/>
          <w:w w:val="115"/>
        </w:rPr>
        <w:t> </w:t>
      </w:r>
      <w:r>
        <w:rPr>
          <w:w w:val="115"/>
        </w:rPr>
        <w:t>las</w:t>
      </w:r>
      <w:r>
        <w:rPr>
          <w:spacing w:val="-24"/>
          <w:w w:val="115"/>
        </w:rPr>
        <w:t> </w:t>
      </w:r>
      <w:r>
        <w:rPr>
          <w:w w:val="115"/>
        </w:rPr>
        <w:t>oscilaciones</w:t>
      </w:r>
      <w:r>
        <w:rPr>
          <w:spacing w:val="-24"/>
          <w:w w:val="115"/>
        </w:rPr>
        <w:t> </w:t>
      </w:r>
      <w:r>
        <w:rPr>
          <w:w w:val="115"/>
        </w:rPr>
        <w:t>de</w:t>
      </w:r>
      <w:r>
        <w:rPr>
          <w:spacing w:val="-24"/>
          <w:w w:val="115"/>
        </w:rPr>
        <w:t> </w:t>
      </w:r>
      <w:r>
        <w:rPr>
          <w:w w:val="115"/>
        </w:rPr>
        <w:t>la</w:t>
      </w:r>
      <w:r>
        <w:rPr>
          <w:spacing w:val="-24"/>
          <w:w w:val="115"/>
        </w:rPr>
        <w:t> </w:t>
      </w:r>
      <w:r>
        <w:rPr>
          <w:w w:val="115"/>
        </w:rPr>
        <w:t>tasa</w:t>
      </w:r>
      <w:r>
        <w:rPr>
          <w:spacing w:val="-24"/>
          <w:w w:val="115"/>
        </w:rPr>
        <w:t> </w:t>
      </w:r>
      <w:r>
        <w:rPr>
          <w:w w:val="115"/>
        </w:rPr>
        <w:t>de</w:t>
      </w:r>
      <w:r>
        <w:rPr>
          <w:spacing w:val="-24"/>
          <w:w w:val="115"/>
        </w:rPr>
        <w:t> </w:t>
      </w:r>
      <w:r>
        <w:rPr>
          <w:w w:val="115"/>
        </w:rPr>
        <w:t>ganancia</w:t>
      </w:r>
      <w:r>
        <w:rPr>
          <w:spacing w:val="-24"/>
          <w:w w:val="115"/>
        </w:rPr>
        <w:t> </w:t>
      </w:r>
      <w:r>
        <w:rPr>
          <w:w w:val="115"/>
        </w:rPr>
        <w:t>estadouniden- se</w:t>
      </w:r>
      <w:r>
        <w:rPr>
          <w:spacing w:val="-7"/>
          <w:w w:val="115"/>
        </w:rPr>
        <w:t> </w:t>
      </w:r>
      <w:r>
        <w:rPr>
          <w:w w:val="115"/>
        </w:rPr>
        <w:t>con</w:t>
      </w:r>
      <w:r>
        <w:rPr>
          <w:spacing w:val="-7"/>
          <w:w w:val="115"/>
        </w:rPr>
        <w:t> </w:t>
      </w:r>
      <w:r>
        <w:rPr>
          <w:w w:val="115"/>
        </w:rPr>
        <w:t>las</w:t>
      </w:r>
      <w:r>
        <w:rPr>
          <w:spacing w:val="-7"/>
          <w:w w:val="115"/>
        </w:rPr>
        <w:t> </w:t>
      </w:r>
      <w:r>
        <w:rPr>
          <w:w w:val="115"/>
        </w:rPr>
        <w:t>del</w:t>
      </w:r>
      <w:r>
        <w:rPr>
          <w:spacing w:val="-7"/>
          <w:w w:val="115"/>
        </w:rPr>
        <w:t> </w:t>
      </w:r>
      <w:r>
        <w:rPr>
          <w:w w:val="115"/>
        </w:rPr>
        <w:t>crecimiento</w:t>
      </w:r>
      <w:r>
        <w:rPr>
          <w:spacing w:val="-7"/>
          <w:w w:val="115"/>
        </w:rPr>
        <w:t> </w:t>
      </w:r>
      <w:r>
        <w:rPr>
          <w:w w:val="115"/>
        </w:rPr>
        <w:t>económico</w:t>
      </w:r>
      <w:r>
        <w:rPr>
          <w:spacing w:val="-7"/>
          <w:w w:val="115"/>
        </w:rPr>
        <w:t> </w:t>
      </w:r>
      <w:r>
        <w:rPr>
          <w:w w:val="115"/>
        </w:rPr>
        <w:t>del</w:t>
      </w:r>
      <w:r>
        <w:rPr>
          <w:spacing w:val="-7"/>
          <w:w w:val="115"/>
        </w:rPr>
        <w:t> </w:t>
      </w:r>
      <w:r>
        <w:rPr>
          <w:w w:val="115"/>
        </w:rPr>
        <w:t>Pib</w:t>
      </w:r>
      <w:r>
        <w:rPr>
          <w:spacing w:val="-7"/>
          <w:w w:val="115"/>
        </w:rPr>
        <w:t> </w:t>
      </w:r>
      <w:r>
        <w:rPr>
          <w:w w:val="115"/>
        </w:rPr>
        <w:t>global,</w:t>
      </w:r>
      <w:r>
        <w:rPr>
          <w:spacing w:val="-7"/>
          <w:w w:val="115"/>
        </w:rPr>
        <w:t> </w:t>
      </w:r>
      <w:r>
        <w:rPr>
          <w:w w:val="115"/>
        </w:rPr>
        <w:t>permite</w:t>
      </w:r>
      <w:r>
        <w:rPr>
          <w:spacing w:val="-7"/>
          <w:w w:val="115"/>
        </w:rPr>
        <w:t> </w:t>
      </w:r>
      <w:r>
        <w:rPr>
          <w:w w:val="115"/>
        </w:rPr>
        <w:t>utilizar este</w:t>
      </w:r>
      <w:r>
        <w:rPr>
          <w:spacing w:val="-27"/>
          <w:w w:val="115"/>
        </w:rPr>
        <w:t> </w:t>
      </w:r>
      <w:r>
        <w:rPr>
          <w:w w:val="115"/>
        </w:rPr>
        <w:t>indicador</w:t>
      </w:r>
      <w:r>
        <w:rPr>
          <w:spacing w:val="-27"/>
          <w:w w:val="115"/>
        </w:rPr>
        <w:t> </w:t>
      </w:r>
      <w:r>
        <w:rPr>
          <w:w w:val="115"/>
        </w:rPr>
        <w:t>como</w:t>
      </w:r>
      <w:r>
        <w:rPr>
          <w:spacing w:val="-27"/>
          <w:w w:val="115"/>
        </w:rPr>
        <w:t> </w:t>
      </w:r>
      <w:r>
        <w:rPr>
          <w:w w:val="115"/>
        </w:rPr>
        <w:t>evidencia</w:t>
      </w:r>
      <w:r>
        <w:rPr>
          <w:spacing w:val="-27"/>
          <w:w w:val="115"/>
        </w:rPr>
        <w:t> </w:t>
      </w:r>
      <w:r>
        <w:rPr>
          <w:w w:val="115"/>
        </w:rPr>
        <w:t>probabilística</w:t>
      </w:r>
      <w:r>
        <w:rPr>
          <w:spacing w:val="-27"/>
          <w:w w:val="115"/>
        </w:rPr>
        <w:t> </w:t>
      </w:r>
      <w:r>
        <w:rPr>
          <w:w w:val="115"/>
        </w:rPr>
        <w:t>de</w:t>
      </w:r>
      <w:r>
        <w:rPr>
          <w:spacing w:val="-27"/>
          <w:w w:val="115"/>
        </w:rPr>
        <w:t> </w:t>
      </w:r>
      <w:r>
        <w:rPr>
          <w:w w:val="115"/>
        </w:rPr>
        <w:t>estos</w:t>
      </w:r>
      <w:r>
        <w:rPr>
          <w:spacing w:val="-27"/>
          <w:w w:val="115"/>
        </w:rPr>
        <w:t> </w:t>
      </w:r>
      <w:r>
        <w:rPr>
          <w:w w:val="115"/>
        </w:rPr>
        <w:t>ciclos.</w:t>
      </w:r>
      <w:r>
        <w:rPr>
          <w:w w:val="115"/>
          <w:position w:val="6"/>
          <w:sz w:val="11"/>
        </w:rPr>
        <w:t>2</w:t>
      </w:r>
    </w:p>
    <w:p>
      <w:pPr>
        <w:pStyle w:val="BodyText"/>
        <w:spacing w:line="252" w:lineRule="auto"/>
        <w:ind w:left="330" w:right="118" w:firstLine="396"/>
        <w:jc w:val="both"/>
      </w:pPr>
      <w:r>
        <w:rPr>
          <w:w w:val="110"/>
        </w:rPr>
        <w:t>Más allá de que la tasa de ganancia creció significativamente en Estados unidos a partir de 1994, frente al nivel que mantuvo entre 1974 y 1993, la masa de ganancia de las corporaciones estadouniden-</w:t>
      </w:r>
    </w:p>
    <w:p>
      <w:pPr>
        <w:pStyle w:val="BodyText"/>
        <w:spacing w:before="9"/>
        <w:rPr>
          <w:sz w:val="29"/>
        </w:rPr>
      </w:pPr>
      <w:r>
        <w:rPr/>
        <w:pict>
          <v:line style="position:absolute;mso-position-horizontal-relative:page;mso-position-vertical-relative:paragraph;z-index:1720;mso-wrap-distance-left:0;mso-wrap-distance-right:0" from="76.5354pt,19.675240pt" to="104.8814pt,19.675240pt" stroked="true" strokeweight=".5pt" strokecolor="#000000">
            <w10:wrap type="topAndBottom"/>
          </v:line>
        </w:pict>
      </w:r>
    </w:p>
    <w:p>
      <w:pPr>
        <w:pStyle w:val="ListParagraph"/>
        <w:numPr>
          <w:ilvl w:val="0"/>
          <w:numId w:val="2"/>
        </w:numPr>
        <w:tabs>
          <w:tab w:pos="586" w:val="left" w:leader="none"/>
        </w:tabs>
        <w:spacing w:line="242" w:lineRule="auto" w:before="89" w:after="0"/>
        <w:ind w:left="330" w:right="118" w:firstLine="0"/>
        <w:jc w:val="both"/>
        <w:rPr>
          <w:sz w:val="16"/>
        </w:rPr>
      </w:pPr>
      <w:r>
        <w:rPr>
          <w:w w:val="238"/>
          <w:sz w:val="16"/>
        </w:rPr>
        <w:t>l</w:t>
      </w:r>
      <w:r>
        <w:rPr>
          <w:w w:val="109"/>
          <w:sz w:val="16"/>
        </w:rPr>
        <w:t>a</w:t>
      </w:r>
      <w:r>
        <w:rPr>
          <w:sz w:val="16"/>
        </w:rPr>
        <w:t> </w:t>
      </w:r>
      <w:r>
        <w:rPr>
          <w:spacing w:val="8"/>
          <w:sz w:val="16"/>
        </w:rPr>
        <w:t> </w:t>
      </w:r>
      <w:r>
        <w:rPr>
          <w:w w:val="104"/>
          <w:sz w:val="16"/>
        </w:rPr>
        <w:t>serie</w:t>
      </w:r>
      <w:r>
        <w:rPr>
          <w:sz w:val="16"/>
        </w:rPr>
        <w:t> </w:t>
      </w:r>
      <w:r>
        <w:rPr>
          <w:spacing w:val="8"/>
          <w:sz w:val="16"/>
        </w:rPr>
        <w:t> </w:t>
      </w:r>
      <w:r>
        <w:rPr>
          <w:w w:val="107"/>
          <w:sz w:val="16"/>
        </w:rPr>
        <w:t>estadística</w:t>
      </w:r>
      <w:r>
        <w:rPr>
          <w:sz w:val="16"/>
        </w:rPr>
        <w:t> </w:t>
      </w:r>
      <w:r>
        <w:rPr>
          <w:spacing w:val="8"/>
          <w:sz w:val="16"/>
        </w:rPr>
        <w:t> </w:t>
      </w:r>
      <w:r>
        <w:rPr>
          <w:w w:val="106"/>
          <w:sz w:val="16"/>
        </w:rPr>
        <w:t>puede</w:t>
      </w:r>
      <w:r>
        <w:rPr>
          <w:sz w:val="16"/>
        </w:rPr>
        <w:t> </w:t>
      </w:r>
      <w:r>
        <w:rPr>
          <w:spacing w:val="8"/>
          <w:sz w:val="16"/>
        </w:rPr>
        <w:t> </w:t>
      </w:r>
      <w:r>
        <w:rPr>
          <w:w w:val="102"/>
          <w:sz w:val="16"/>
        </w:rPr>
        <w:t>verse</w:t>
      </w:r>
      <w:r>
        <w:rPr>
          <w:sz w:val="16"/>
        </w:rPr>
        <w:t> </w:t>
      </w:r>
      <w:r>
        <w:rPr>
          <w:spacing w:val="8"/>
          <w:sz w:val="16"/>
        </w:rPr>
        <w:t> </w:t>
      </w:r>
      <w:r>
        <w:rPr>
          <w:w w:val="106"/>
          <w:sz w:val="16"/>
        </w:rPr>
        <w:t>en</w:t>
      </w:r>
      <w:r>
        <w:rPr>
          <w:sz w:val="16"/>
        </w:rPr>
        <w:t> </w:t>
      </w:r>
      <w:r>
        <w:rPr>
          <w:spacing w:val="8"/>
          <w:sz w:val="16"/>
        </w:rPr>
        <w:t> </w:t>
      </w:r>
      <w:hyperlink r:id="rId79">
        <w:r>
          <w:rPr>
            <w:w w:val="97"/>
            <w:sz w:val="16"/>
          </w:rPr>
          <w:t>&lt;http://ww</w:t>
        </w:r>
        <w:r>
          <w:rPr>
            <w:spacing w:val="-15"/>
            <w:w w:val="97"/>
            <w:sz w:val="16"/>
          </w:rPr>
          <w:t>w</w:t>
        </w:r>
        <w:r>
          <w:rPr>
            <w:w w:val="105"/>
            <w:sz w:val="16"/>
          </w:rPr>
          <w:t>.ggdc.net/maddison/maddison-</w:t>
        </w:r>
      </w:hyperlink>
      <w:r>
        <w:rPr>
          <w:w w:val="105"/>
          <w:sz w:val="16"/>
        </w:rPr>
        <w:t> </w:t>
      </w:r>
      <w:r>
        <w:rPr>
          <w:w w:val="115"/>
          <w:sz w:val="16"/>
        </w:rPr>
        <w:t>project/home.htm&gt;.</w:t>
      </w:r>
    </w:p>
    <w:p>
      <w:pPr>
        <w:pStyle w:val="ListParagraph"/>
        <w:numPr>
          <w:ilvl w:val="0"/>
          <w:numId w:val="2"/>
        </w:numPr>
        <w:tabs>
          <w:tab w:pos="586" w:val="left" w:leader="none"/>
        </w:tabs>
        <w:spacing w:line="242" w:lineRule="auto" w:before="57" w:after="0"/>
        <w:ind w:left="330" w:right="117" w:firstLine="0"/>
        <w:jc w:val="both"/>
        <w:rPr>
          <w:sz w:val="16"/>
        </w:rPr>
      </w:pPr>
      <w:r>
        <w:rPr>
          <w:w w:val="110"/>
          <w:sz w:val="16"/>
        </w:rPr>
        <w:t>según el </w:t>
      </w:r>
      <w:r>
        <w:rPr>
          <w:i/>
          <w:w w:val="110"/>
          <w:sz w:val="16"/>
        </w:rPr>
        <w:t>oECD Economic outlook 2014</w:t>
      </w:r>
      <w:r>
        <w:rPr>
          <w:w w:val="110"/>
          <w:sz w:val="16"/>
        </w:rPr>
        <w:t>, Estados unidos representaban apro- ximadamente 12% de las importaciones mundiales y 9% de estas exportaciones en 2012</w:t>
      </w:r>
      <w:r>
        <w:rPr>
          <w:spacing w:val="-16"/>
          <w:w w:val="110"/>
          <w:sz w:val="16"/>
        </w:rPr>
        <w:t> </w:t>
      </w:r>
      <w:r>
        <w:rPr>
          <w:w w:val="110"/>
          <w:sz w:val="16"/>
        </w:rPr>
        <w:t>al</w:t>
      </w:r>
      <w:r>
        <w:rPr>
          <w:spacing w:val="-16"/>
          <w:w w:val="110"/>
          <w:sz w:val="16"/>
        </w:rPr>
        <w:t> </w:t>
      </w:r>
      <w:r>
        <w:rPr>
          <w:w w:val="110"/>
          <w:sz w:val="16"/>
        </w:rPr>
        <w:t>tiempo</w:t>
      </w:r>
      <w:r>
        <w:rPr>
          <w:spacing w:val="-16"/>
          <w:w w:val="110"/>
          <w:sz w:val="16"/>
        </w:rPr>
        <w:t> </w:t>
      </w:r>
      <w:r>
        <w:rPr>
          <w:w w:val="110"/>
          <w:sz w:val="16"/>
        </w:rPr>
        <w:t>que,</w:t>
      </w:r>
      <w:r>
        <w:rPr>
          <w:spacing w:val="-16"/>
          <w:w w:val="110"/>
          <w:sz w:val="16"/>
        </w:rPr>
        <w:t> </w:t>
      </w:r>
      <w:r>
        <w:rPr>
          <w:w w:val="110"/>
          <w:sz w:val="16"/>
        </w:rPr>
        <w:t>en</w:t>
      </w:r>
      <w:r>
        <w:rPr>
          <w:spacing w:val="-16"/>
          <w:w w:val="110"/>
          <w:sz w:val="16"/>
        </w:rPr>
        <w:t> </w:t>
      </w:r>
      <w:r>
        <w:rPr>
          <w:w w:val="110"/>
          <w:sz w:val="16"/>
        </w:rPr>
        <w:t>1998,</w:t>
      </w:r>
      <w:r>
        <w:rPr>
          <w:spacing w:val="-16"/>
          <w:w w:val="110"/>
          <w:sz w:val="16"/>
        </w:rPr>
        <w:t> </w:t>
      </w:r>
      <w:r>
        <w:rPr>
          <w:w w:val="110"/>
          <w:sz w:val="16"/>
        </w:rPr>
        <w:t>representaron</w:t>
      </w:r>
      <w:r>
        <w:rPr>
          <w:spacing w:val="-16"/>
          <w:w w:val="110"/>
          <w:sz w:val="16"/>
        </w:rPr>
        <w:t> </w:t>
      </w:r>
      <w:r>
        <w:rPr>
          <w:w w:val="110"/>
          <w:sz w:val="16"/>
        </w:rPr>
        <w:t>16.3</w:t>
      </w:r>
      <w:r>
        <w:rPr>
          <w:spacing w:val="-16"/>
          <w:w w:val="110"/>
          <w:sz w:val="16"/>
        </w:rPr>
        <w:t> </w:t>
      </w:r>
      <w:r>
        <w:rPr>
          <w:w w:val="110"/>
          <w:sz w:val="16"/>
        </w:rPr>
        <w:t>y</w:t>
      </w:r>
      <w:r>
        <w:rPr>
          <w:spacing w:val="-16"/>
          <w:w w:val="110"/>
          <w:sz w:val="16"/>
        </w:rPr>
        <w:t> </w:t>
      </w:r>
      <w:r>
        <w:rPr>
          <w:w w:val="110"/>
          <w:sz w:val="16"/>
        </w:rPr>
        <w:t>13.8%,</w:t>
      </w:r>
      <w:r>
        <w:rPr>
          <w:spacing w:val="-16"/>
          <w:w w:val="110"/>
          <w:sz w:val="16"/>
        </w:rPr>
        <w:t> </w:t>
      </w:r>
      <w:r>
        <w:rPr>
          <w:w w:val="110"/>
          <w:sz w:val="16"/>
        </w:rPr>
        <w:t>respectivamente.</w:t>
      </w:r>
      <w:r>
        <w:rPr>
          <w:spacing w:val="-16"/>
          <w:w w:val="110"/>
          <w:sz w:val="16"/>
        </w:rPr>
        <w:t> </w:t>
      </w:r>
      <w:r>
        <w:rPr>
          <w:w w:val="110"/>
          <w:sz w:val="16"/>
        </w:rPr>
        <w:t>de</w:t>
      </w:r>
      <w:r>
        <w:rPr>
          <w:spacing w:val="-16"/>
          <w:w w:val="110"/>
          <w:sz w:val="16"/>
        </w:rPr>
        <w:t> </w:t>
      </w:r>
      <w:r>
        <w:rPr>
          <w:w w:val="110"/>
          <w:sz w:val="16"/>
        </w:rPr>
        <w:t>acuer- do</w:t>
      </w:r>
      <w:r>
        <w:rPr>
          <w:spacing w:val="-7"/>
          <w:w w:val="110"/>
          <w:sz w:val="16"/>
        </w:rPr>
        <w:t> </w:t>
      </w:r>
      <w:r>
        <w:rPr>
          <w:w w:val="110"/>
          <w:sz w:val="16"/>
        </w:rPr>
        <w:t>con</w:t>
      </w:r>
      <w:r>
        <w:rPr>
          <w:spacing w:val="-7"/>
          <w:w w:val="110"/>
          <w:sz w:val="16"/>
        </w:rPr>
        <w:t> </w:t>
      </w:r>
      <w:r>
        <w:rPr>
          <w:w w:val="110"/>
          <w:sz w:val="16"/>
        </w:rPr>
        <w:t>la</w:t>
      </w:r>
      <w:r>
        <w:rPr>
          <w:spacing w:val="-7"/>
          <w:w w:val="110"/>
          <w:sz w:val="16"/>
        </w:rPr>
        <w:t> </w:t>
      </w:r>
      <w:r>
        <w:rPr>
          <w:w w:val="110"/>
          <w:sz w:val="16"/>
        </w:rPr>
        <w:t>serie</w:t>
      </w:r>
      <w:r>
        <w:rPr>
          <w:spacing w:val="-7"/>
          <w:w w:val="110"/>
          <w:sz w:val="16"/>
        </w:rPr>
        <w:t> </w:t>
      </w:r>
      <w:r>
        <w:rPr>
          <w:w w:val="110"/>
          <w:sz w:val="16"/>
        </w:rPr>
        <w:t>establecida</w:t>
      </w:r>
      <w:r>
        <w:rPr>
          <w:spacing w:val="-7"/>
          <w:w w:val="110"/>
          <w:sz w:val="16"/>
        </w:rPr>
        <w:t> </w:t>
      </w:r>
      <w:r>
        <w:rPr>
          <w:w w:val="110"/>
          <w:sz w:val="16"/>
        </w:rPr>
        <w:t>por</w:t>
      </w:r>
      <w:r>
        <w:rPr>
          <w:spacing w:val="-7"/>
          <w:w w:val="110"/>
          <w:sz w:val="16"/>
        </w:rPr>
        <w:t> </w:t>
      </w:r>
      <w:r>
        <w:rPr>
          <w:w w:val="110"/>
          <w:sz w:val="16"/>
        </w:rPr>
        <w:t>angus</w:t>
      </w:r>
      <w:r>
        <w:rPr>
          <w:spacing w:val="-7"/>
          <w:w w:val="110"/>
          <w:sz w:val="16"/>
        </w:rPr>
        <w:t> </w:t>
      </w:r>
      <w:r>
        <w:rPr>
          <w:w w:val="110"/>
          <w:sz w:val="16"/>
        </w:rPr>
        <w:t>Maddison,</w:t>
      </w:r>
      <w:r>
        <w:rPr>
          <w:spacing w:val="-7"/>
          <w:w w:val="110"/>
          <w:sz w:val="16"/>
        </w:rPr>
        <w:t> </w:t>
      </w:r>
      <w:r>
        <w:rPr>
          <w:w w:val="110"/>
          <w:sz w:val="16"/>
        </w:rPr>
        <w:t>en</w:t>
      </w:r>
      <w:r>
        <w:rPr>
          <w:spacing w:val="-7"/>
          <w:w w:val="110"/>
          <w:sz w:val="16"/>
        </w:rPr>
        <w:t> </w:t>
      </w:r>
      <w:r>
        <w:rPr>
          <w:w w:val="110"/>
          <w:sz w:val="16"/>
        </w:rPr>
        <w:t>2008</w:t>
      </w:r>
      <w:r>
        <w:rPr>
          <w:spacing w:val="-7"/>
          <w:w w:val="110"/>
          <w:sz w:val="16"/>
        </w:rPr>
        <w:t> </w:t>
      </w:r>
      <w:r>
        <w:rPr>
          <w:w w:val="110"/>
          <w:sz w:val="16"/>
        </w:rPr>
        <w:t>Estados</w:t>
      </w:r>
      <w:r>
        <w:rPr>
          <w:spacing w:val="-7"/>
          <w:w w:val="110"/>
          <w:sz w:val="16"/>
        </w:rPr>
        <w:t> </w:t>
      </w:r>
      <w:r>
        <w:rPr>
          <w:w w:val="110"/>
          <w:sz w:val="16"/>
        </w:rPr>
        <w:t>unidos</w:t>
      </w:r>
      <w:r>
        <w:rPr>
          <w:spacing w:val="-7"/>
          <w:w w:val="110"/>
          <w:sz w:val="16"/>
        </w:rPr>
        <w:t> </w:t>
      </w:r>
      <w:r>
        <w:rPr>
          <w:w w:val="110"/>
          <w:sz w:val="16"/>
        </w:rPr>
        <w:t>representa- </w:t>
      </w:r>
      <w:r>
        <w:rPr>
          <w:w w:val="109"/>
          <w:sz w:val="16"/>
        </w:rPr>
        <w:t>ba</w:t>
      </w:r>
      <w:r>
        <w:rPr>
          <w:spacing w:val="4"/>
          <w:sz w:val="16"/>
        </w:rPr>
        <w:t> </w:t>
      </w:r>
      <w:r>
        <w:rPr>
          <w:w w:val="104"/>
          <w:sz w:val="16"/>
        </w:rPr>
        <w:t>el</w:t>
      </w:r>
      <w:r>
        <w:rPr>
          <w:spacing w:val="4"/>
          <w:sz w:val="16"/>
        </w:rPr>
        <w:t> </w:t>
      </w:r>
      <w:r>
        <w:rPr>
          <w:w w:val="102"/>
          <w:sz w:val="16"/>
        </w:rPr>
        <w:t>18.6%</w:t>
      </w:r>
      <w:r>
        <w:rPr>
          <w:spacing w:val="4"/>
          <w:sz w:val="16"/>
        </w:rPr>
        <w:t> </w:t>
      </w:r>
      <w:r>
        <w:rPr>
          <w:w w:val="105"/>
          <w:sz w:val="16"/>
        </w:rPr>
        <w:t>del</w:t>
      </w:r>
      <w:r>
        <w:rPr>
          <w:spacing w:val="4"/>
          <w:sz w:val="16"/>
        </w:rPr>
        <w:t> </w:t>
      </w:r>
      <w:r>
        <w:rPr>
          <w:w w:val="110"/>
          <w:sz w:val="16"/>
        </w:rPr>
        <w:t>P</w:t>
      </w:r>
      <w:r>
        <w:rPr>
          <w:w w:val="134"/>
          <w:sz w:val="16"/>
        </w:rPr>
        <w:t>ib</w:t>
      </w:r>
      <w:r>
        <w:rPr>
          <w:spacing w:val="4"/>
          <w:sz w:val="16"/>
        </w:rPr>
        <w:t> </w:t>
      </w:r>
      <w:r>
        <w:rPr>
          <w:w w:val="110"/>
          <w:sz w:val="16"/>
        </w:rPr>
        <w:t>mundial</w:t>
      </w:r>
      <w:r>
        <w:rPr>
          <w:spacing w:val="4"/>
          <w:sz w:val="16"/>
        </w:rPr>
        <w:t> </w:t>
      </w:r>
      <w:r>
        <w:rPr>
          <w:w w:val="102"/>
          <w:sz w:val="16"/>
        </w:rPr>
        <w:t>y</w:t>
      </w:r>
      <w:r>
        <w:rPr>
          <w:spacing w:val="4"/>
          <w:sz w:val="16"/>
        </w:rPr>
        <w:t> </w:t>
      </w:r>
      <w:r>
        <w:rPr>
          <w:w w:val="106"/>
          <w:sz w:val="16"/>
        </w:rPr>
        <w:t>en</w:t>
      </w:r>
      <w:r>
        <w:rPr>
          <w:spacing w:val="4"/>
          <w:sz w:val="16"/>
        </w:rPr>
        <w:t> </w:t>
      </w:r>
      <w:r>
        <w:rPr>
          <w:w w:val="100"/>
          <w:sz w:val="16"/>
        </w:rPr>
        <w:t>1994</w:t>
      </w:r>
      <w:r>
        <w:rPr>
          <w:spacing w:val="4"/>
          <w:sz w:val="16"/>
        </w:rPr>
        <w:t> </w:t>
      </w:r>
      <w:r>
        <w:rPr>
          <w:w w:val="104"/>
          <w:sz w:val="16"/>
        </w:rPr>
        <w:t>el</w:t>
      </w:r>
      <w:r>
        <w:rPr>
          <w:spacing w:val="4"/>
          <w:sz w:val="16"/>
        </w:rPr>
        <w:t> </w:t>
      </w:r>
      <w:r>
        <w:rPr>
          <w:w w:val="105"/>
          <w:sz w:val="16"/>
        </w:rPr>
        <w:t>21.5%.</w:t>
      </w:r>
      <w:r>
        <w:rPr>
          <w:spacing w:val="4"/>
          <w:sz w:val="16"/>
        </w:rPr>
        <w:t> </w:t>
      </w:r>
      <w:r>
        <w:rPr>
          <w:w w:val="238"/>
          <w:sz w:val="16"/>
        </w:rPr>
        <w:t>l</w:t>
      </w:r>
      <w:r>
        <w:rPr>
          <w:w w:val="109"/>
          <w:sz w:val="16"/>
        </w:rPr>
        <w:t>a</w:t>
      </w:r>
      <w:r>
        <w:rPr>
          <w:spacing w:val="4"/>
          <w:sz w:val="16"/>
        </w:rPr>
        <w:t> </w:t>
      </w:r>
      <w:r>
        <w:rPr>
          <w:w w:val="107"/>
          <w:sz w:val="16"/>
        </w:rPr>
        <w:t>crisis</w:t>
      </w:r>
      <w:r>
        <w:rPr>
          <w:spacing w:val="4"/>
          <w:sz w:val="16"/>
        </w:rPr>
        <w:t> </w:t>
      </w:r>
      <w:r>
        <w:rPr>
          <w:w w:val="104"/>
          <w:sz w:val="16"/>
        </w:rPr>
        <w:t>de</w:t>
      </w:r>
      <w:r>
        <w:rPr>
          <w:spacing w:val="4"/>
          <w:sz w:val="16"/>
        </w:rPr>
        <w:t> </w:t>
      </w:r>
      <w:r>
        <w:rPr>
          <w:w w:val="100"/>
          <w:sz w:val="16"/>
        </w:rPr>
        <w:t>2008-2010</w:t>
      </w:r>
      <w:r>
        <w:rPr>
          <w:spacing w:val="4"/>
          <w:sz w:val="16"/>
        </w:rPr>
        <w:t> </w:t>
      </w:r>
      <w:r>
        <w:rPr>
          <w:w w:val="109"/>
          <w:sz w:val="16"/>
        </w:rPr>
        <w:t>bajó</w:t>
      </w:r>
      <w:r>
        <w:rPr>
          <w:spacing w:val="4"/>
          <w:sz w:val="16"/>
        </w:rPr>
        <w:t> </w:t>
      </w:r>
      <w:r>
        <w:rPr>
          <w:w w:val="110"/>
          <w:sz w:val="16"/>
        </w:rPr>
        <w:t>aún</w:t>
      </w:r>
      <w:r>
        <w:rPr>
          <w:spacing w:val="4"/>
          <w:sz w:val="16"/>
        </w:rPr>
        <w:t> </w:t>
      </w:r>
      <w:r>
        <w:rPr>
          <w:w w:val="108"/>
          <w:sz w:val="16"/>
        </w:rPr>
        <w:t>más </w:t>
      </w:r>
      <w:r>
        <w:rPr>
          <w:w w:val="110"/>
          <w:sz w:val="16"/>
        </w:rPr>
        <w:t>la</w:t>
      </w:r>
      <w:r>
        <w:rPr>
          <w:spacing w:val="-5"/>
          <w:w w:val="110"/>
          <w:sz w:val="16"/>
        </w:rPr>
        <w:t> </w:t>
      </w:r>
      <w:r>
        <w:rPr>
          <w:w w:val="110"/>
          <w:sz w:val="16"/>
        </w:rPr>
        <w:t>participación</w:t>
      </w:r>
      <w:r>
        <w:rPr>
          <w:spacing w:val="-5"/>
          <w:w w:val="110"/>
          <w:sz w:val="16"/>
        </w:rPr>
        <w:t> </w:t>
      </w:r>
      <w:r>
        <w:rPr>
          <w:w w:val="110"/>
          <w:sz w:val="16"/>
        </w:rPr>
        <w:t>del</w:t>
      </w:r>
      <w:r>
        <w:rPr>
          <w:spacing w:val="-5"/>
          <w:w w:val="110"/>
          <w:sz w:val="16"/>
        </w:rPr>
        <w:t> </w:t>
      </w:r>
      <w:r>
        <w:rPr>
          <w:w w:val="110"/>
          <w:sz w:val="16"/>
        </w:rPr>
        <w:t>Pib</w:t>
      </w:r>
      <w:r>
        <w:rPr>
          <w:spacing w:val="-5"/>
          <w:w w:val="110"/>
          <w:sz w:val="16"/>
        </w:rPr>
        <w:t> </w:t>
      </w:r>
      <w:r>
        <w:rPr>
          <w:w w:val="110"/>
          <w:sz w:val="16"/>
        </w:rPr>
        <w:t>estadounidense,</w:t>
      </w:r>
      <w:r>
        <w:rPr>
          <w:spacing w:val="-5"/>
          <w:w w:val="110"/>
          <w:sz w:val="16"/>
        </w:rPr>
        <w:t> </w:t>
      </w:r>
      <w:r>
        <w:rPr>
          <w:w w:val="110"/>
          <w:sz w:val="16"/>
        </w:rPr>
        <w:t>aproximándolo</w:t>
      </w:r>
      <w:r>
        <w:rPr>
          <w:spacing w:val="-5"/>
          <w:w w:val="110"/>
          <w:sz w:val="16"/>
        </w:rPr>
        <w:t> </w:t>
      </w:r>
      <w:r>
        <w:rPr>
          <w:w w:val="110"/>
          <w:sz w:val="16"/>
        </w:rPr>
        <w:t>al</w:t>
      </w:r>
      <w:r>
        <w:rPr>
          <w:spacing w:val="-5"/>
          <w:w w:val="110"/>
          <w:sz w:val="16"/>
        </w:rPr>
        <w:t> </w:t>
      </w:r>
      <w:r>
        <w:rPr>
          <w:w w:val="110"/>
          <w:sz w:val="16"/>
        </w:rPr>
        <w:t>17%</w:t>
      </w:r>
      <w:r>
        <w:rPr>
          <w:spacing w:val="-5"/>
          <w:w w:val="110"/>
          <w:sz w:val="16"/>
        </w:rPr>
        <w:t> </w:t>
      </w:r>
      <w:r>
        <w:rPr>
          <w:w w:val="110"/>
          <w:sz w:val="16"/>
        </w:rPr>
        <w:t>en</w:t>
      </w:r>
      <w:r>
        <w:rPr>
          <w:spacing w:val="-5"/>
          <w:w w:val="110"/>
          <w:sz w:val="16"/>
        </w:rPr>
        <w:t> </w:t>
      </w:r>
      <w:r>
        <w:rPr>
          <w:w w:val="110"/>
          <w:sz w:val="16"/>
        </w:rPr>
        <w:t>2010.</w:t>
      </w:r>
    </w:p>
    <w:p>
      <w:pPr>
        <w:spacing w:after="0" w:line="242" w:lineRule="auto"/>
        <w:jc w:val="both"/>
        <w:rPr>
          <w:sz w:val="16"/>
        </w:rPr>
        <w:sectPr>
          <w:footerReference w:type="even" r:id="rId77"/>
          <w:footerReference w:type="default" r:id="rId78"/>
          <w:pgSz w:w="8790" w:h="12760"/>
          <w:pgMar w:footer="725" w:header="695" w:top="880" w:bottom="920" w:left="1200" w:right="900"/>
          <w:pgNumType w:start="42"/>
        </w:sectPr>
      </w:pPr>
    </w:p>
    <w:p>
      <w:pPr>
        <w:pStyle w:val="BodyText"/>
        <w:spacing w:before="9"/>
        <w:rPr>
          <w:sz w:val="28"/>
        </w:rPr>
      </w:pPr>
    </w:p>
    <w:p>
      <w:pPr>
        <w:pStyle w:val="BodyText"/>
        <w:spacing w:line="252" w:lineRule="auto" w:before="73"/>
        <w:ind w:left="100" w:right="327"/>
        <w:jc w:val="both"/>
      </w:pPr>
      <w:r>
        <w:rPr>
          <w:w w:val="110"/>
        </w:rPr>
        <w:t>ses no financieras originadas en el exterior se elevó drásticamente, indicando el carácter internacional del crecimiento de las tasas de ga- nancia. Entre 1991 y 1994 la tasa de ganancia se elevó abruptamente en Estados unidos, en movimiento similar pero contrario al de 1967- 1970, cuando cayó 52%, saltando del nivel de 6.4% entre 1968-1993, para alcanzar la media de 9.1% entre 1994 y 2013, nivel cercano al de </w:t>
      </w:r>
      <w:r>
        <w:rPr>
          <w:w w:val="104"/>
        </w:rPr>
        <w:t>1959-1968,</w:t>
      </w:r>
      <w:r>
        <w:rPr>
          <w:spacing w:val="12"/>
        </w:rPr>
        <w:t> </w:t>
      </w:r>
      <w:r>
        <w:rPr>
          <w:w w:val="111"/>
        </w:rPr>
        <w:t>cuando</w:t>
      </w:r>
      <w:r>
        <w:rPr>
          <w:spacing w:val="12"/>
        </w:rPr>
        <w:t> </w:t>
      </w:r>
      <w:r>
        <w:rPr>
          <w:w w:val="105"/>
        </w:rPr>
        <w:t>se</w:t>
      </w:r>
      <w:r>
        <w:rPr>
          <w:spacing w:val="12"/>
        </w:rPr>
        <w:t> </w:t>
      </w:r>
      <w:r>
        <w:rPr>
          <w:w w:val="108"/>
        </w:rPr>
        <w:t>niveló</w:t>
      </w:r>
      <w:r>
        <w:rPr>
          <w:spacing w:val="12"/>
        </w:rPr>
        <w:t> </w:t>
      </w:r>
      <w:r>
        <w:rPr>
          <w:w w:val="108"/>
        </w:rPr>
        <w:t>en</w:t>
      </w:r>
      <w:r>
        <w:rPr>
          <w:spacing w:val="12"/>
        </w:rPr>
        <w:t> </w:t>
      </w:r>
      <w:r>
        <w:rPr>
          <w:w w:val="105"/>
        </w:rPr>
        <w:t>10.3%</w:t>
      </w:r>
      <w:r>
        <w:rPr>
          <w:spacing w:val="12"/>
        </w:rPr>
        <w:t> </w:t>
      </w:r>
      <w:r>
        <w:rPr>
          <w:w w:val="111"/>
        </w:rPr>
        <w:t>(Gráfico</w:t>
      </w:r>
      <w:r>
        <w:rPr>
          <w:spacing w:val="12"/>
        </w:rPr>
        <w:t> </w:t>
      </w:r>
      <w:r>
        <w:rPr>
          <w:w w:val="107"/>
        </w:rPr>
        <w:t>1).</w:t>
      </w:r>
      <w:r>
        <w:rPr>
          <w:spacing w:val="12"/>
        </w:rPr>
        <w:t> </w:t>
      </w:r>
      <w:r>
        <w:rPr>
          <w:w w:val="243"/>
        </w:rPr>
        <w:t>l</w:t>
      </w:r>
      <w:r>
        <w:rPr>
          <w:w w:val="112"/>
        </w:rPr>
        <w:t>a</w:t>
      </w:r>
      <w:r>
        <w:rPr>
          <w:spacing w:val="12"/>
        </w:rPr>
        <w:t> </w:t>
      </w:r>
      <w:r>
        <w:rPr>
          <w:w w:val="111"/>
        </w:rPr>
        <w:t>masa</w:t>
      </w:r>
      <w:r>
        <w:rPr>
          <w:spacing w:val="12"/>
        </w:rPr>
        <w:t> </w:t>
      </w:r>
      <w:r>
        <w:rPr>
          <w:w w:val="107"/>
        </w:rPr>
        <w:t>de</w:t>
      </w:r>
      <w:r>
        <w:rPr>
          <w:spacing w:val="12"/>
        </w:rPr>
        <w:t> </w:t>
      </w:r>
      <w:r>
        <w:rPr>
          <w:w w:val="111"/>
        </w:rPr>
        <w:t>ganan</w:t>
      </w:r>
      <w:r>
        <w:rPr>
          <w:w w:val="102"/>
        </w:rPr>
        <w:t>- </w:t>
      </w:r>
      <w:r>
        <w:rPr>
          <w:w w:val="110"/>
        </w:rPr>
        <w:t>cia de las corporaciones estadounidenses generada en el </w:t>
      </w:r>
      <w:r>
        <w:rPr>
          <w:spacing w:val="-3"/>
          <w:w w:val="110"/>
        </w:rPr>
        <w:t>exterior, </w:t>
      </w:r>
      <w:r>
        <w:rPr>
          <w:w w:val="110"/>
        </w:rPr>
        <w:t>a su vez,</w:t>
      </w:r>
      <w:r>
        <w:rPr>
          <w:spacing w:val="-12"/>
          <w:w w:val="110"/>
        </w:rPr>
        <w:t> </w:t>
      </w:r>
      <w:r>
        <w:rPr>
          <w:w w:val="110"/>
        </w:rPr>
        <w:t>se</w:t>
      </w:r>
      <w:r>
        <w:rPr>
          <w:spacing w:val="-12"/>
          <w:w w:val="110"/>
        </w:rPr>
        <w:t> </w:t>
      </w:r>
      <w:r>
        <w:rPr>
          <w:w w:val="110"/>
        </w:rPr>
        <w:t>elevó</w:t>
      </w:r>
      <w:r>
        <w:rPr>
          <w:spacing w:val="-12"/>
          <w:w w:val="110"/>
        </w:rPr>
        <w:t> </w:t>
      </w:r>
      <w:r>
        <w:rPr>
          <w:w w:val="110"/>
        </w:rPr>
        <w:t>de</w:t>
      </w:r>
      <w:r>
        <w:rPr>
          <w:spacing w:val="-12"/>
          <w:w w:val="110"/>
        </w:rPr>
        <w:t> </w:t>
      </w:r>
      <w:r>
        <w:rPr>
          <w:w w:val="110"/>
        </w:rPr>
        <w:t>una</w:t>
      </w:r>
      <w:r>
        <w:rPr>
          <w:spacing w:val="-12"/>
          <w:w w:val="110"/>
        </w:rPr>
        <w:t> </w:t>
      </w:r>
      <w:r>
        <w:rPr>
          <w:w w:val="110"/>
        </w:rPr>
        <w:t>franja</w:t>
      </w:r>
      <w:r>
        <w:rPr>
          <w:spacing w:val="-12"/>
          <w:w w:val="110"/>
        </w:rPr>
        <w:t> </w:t>
      </w:r>
      <w:r>
        <w:rPr>
          <w:w w:val="110"/>
        </w:rPr>
        <w:t>de</w:t>
      </w:r>
      <w:r>
        <w:rPr>
          <w:spacing w:val="-12"/>
          <w:w w:val="110"/>
        </w:rPr>
        <w:t> </w:t>
      </w:r>
      <w:r>
        <w:rPr>
          <w:w w:val="110"/>
        </w:rPr>
        <w:t>5-10%</w:t>
      </w:r>
      <w:r>
        <w:rPr>
          <w:spacing w:val="-12"/>
          <w:w w:val="110"/>
        </w:rPr>
        <w:t> </w:t>
      </w:r>
      <w:r>
        <w:rPr>
          <w:w w:val="110"/>
        </w:rPr>
        <w:t>entre</w:t>
      </w:r>
      <w:r>
        <w:rPr>
          <w:spacing w:val="-12"/>
          <w:w w:val="110"/>
        </w:rPr>
        <w:t> </w:t>
      </w:r>
      <w:r>
        <w:rPr>
          <w:w w:val="110"/>
        </w:rPr>
        <w:t>1967</w:t>
      </w:r>
      <w:r>
        <w:rPr>
          <w:spacing w:val="-12"/>
          <w:w w:val="110"/>
        </w:rPr>
        <w:t> </w:t>
      </w:r>
      <w:r>
        <w:rPr>
          <w:w w:val="110"/>
        </w:rPr>
        <w:t>y</w:t>
      </w:r>
      <w:r>
        <w:rPr>
          <w:spacing w:val="-12"/>
          <w:w w:val="110"/>
        </w:rPr>
        <w:t> </w:t>
      </w:r>
      <w:r>
        <w:rPr>
          <w:w w:val="110"/>
        </w:rPr>
        <w:t>1970,</w:t>
      </w:r>
      <w:r>
        <w:rPr>
          <w:spacing w:val="-12"/>
          <w:w w:val="110"/>
        </w:rPr>
        <w:t> </w:t>
      </w:r>
      <w:r>
        <w:rPr>
          <w:w w:val="110"/>
        </w:rPr>
        <w:t>a</w:t>
      </w:r>
      <w:r>
        <w:rPr>
          <w:spacing w:val="-12"/>
          <w:w w:val="110"/>
        </w:rPr>
        <w:t> </w:t>
      </w:r>
      <w:r>
        <w:rPr>
          <w:w w:val="110"/>
        </w:rPr>
        <w:t>15-20%</w:t>
      </w:r>
      <w:r>
        <w:rPr>
          <w:spacing w:val="-12"/>
          <w:w w:val="110"/>
        </w:rPr>
        <w:t> </w:t>
      </w:r>
      <w:r>
        <w:rPr>
          <w:w w:val="110"/>
        </w:rPr>
        <w:t>entre 1994</w:t>
      </w:r>
      <w:r>
        <w:rPr>
          <w:spacing w:val="-12"/>
          <w:w w:val="110"/>
        </w:rPr>
        <w:t> </w:t>
      </w:r>
      <w:r>
        <w:rPr>
          <w:w w:val="110"/>
        </w:rPr>
        <w:t>y</w:t>
      </w:r>
      <w:r>
        <w:rPr>
          <w:spacing w:val="-12"/>
          <w:w w:val="110"/>
        </w:rPr>
        <w:t> </w:t>
      </w:r>
      <w:r>
        <w:rPr>
          <w:w w:val="110"/>
        </w:rPr>
        <w:t>2000</w:t>
      </w:r>
      <w:r>
        <w:rPr>
          <w:spacing w:val="-12"/>
          <w:w w:val="110"/>
        </w:rPr>
        <w:t> </w:t>
      </w:r>
      <w:r>
        <w:rPr>
          <w:w w:val="110"/>
        </w:rPr>
        <w:t>y</w:t>
      </w:r>
      <w:r>
        <w:rPr>
          <w:spacing w:val="-12"/>
          <w:w w:val="110"/>
        </w:rPr>
        <w:t> </w:t>
      </w:r>
      <w:r>
        <w:rPr>
          <w:w w:val="110"/>
        </w:rPr>
        <w:t>20-30%</w:t>
      </w:r>
      <w:r>
        <w:rPr>
          <w:spacing w:val="-12"/>
          <w:w w:val="110"/>
        </w:rPr>
        <w:t> </w:t>
      </w:r>
      <w:r>
        <w:rPr>
          <w:w w:val="110"/>
        </w:rPr>
        <w:t>entre</w:t>
      </w:r>
      <w:r>
        <w:rPr>
          <w:spacing w:val="-12"/>
          <w:w w:val="110"/>
        </w:rPr>
        <w:t> </w:t>
      </w:r>
      <w:r>
        <w:rPr>
          <w:w w:val="110"/>
        </w:rPr>
        <w:t>2008</w:t>
      </w:r>
      <w:r>
        <w:rPr>
          <w:spacing w:val="-12"/>
          <w:w w:val="110"/>
        </w:rPr>
        <w:t> </w:t>
      </w:r>
      <w:r>
        <w:rPr>
          <w:w w:val="110"/>
        </w:rPr>
        <w:t>y</w:t>
      </w:r>
      <w:r>
        <w:rPr>
          <w:spacing w:val="-12"/>
          <w:w w:val="110"/>
        </w:rPr>
        <w:t> </w:t>
      </w:r>
      <w:r>
        <w:rPr>
          <w:w w:val="110"/>
        </w:rPr>
        <w:t>2013</w:t>
      </w:r>
      <w:r>
        <w:rPr>
          <w:spacing w:val="-12"/>
          <w:w w:val="110"/>
        </w:rPr>
        <w:t> </w:t>
      </w:r>
      <w:r>
        <w:rPr>
          <w:w w:val="110"/>
        </w:rPr>
        <w:t>(Gráfico</w:t>
      </w:r>
      <w:r>
        <w:rPr>
          <w:spacing w:val="-12"/>
          <w:w w:val="110"/>
        </w:rPr>
        <w:t> </w:t>
      </w:r>
      <w:r>
        <w:rPr>
          <w:w w:val="110"/>
        </w:rPr>
        <w:t>2).</w:t>
      </w:r>
    </w:p>
    <w:p>
      <w:pPr>
        <w:pStyle w:val="BodyText"/>
        <w:spacing w:line="252" w:lineRule="auto"/>
        <w:ind w:left="100" w:right="327" w:firstLine="396"/>
        <w:jc w:val="both"/>
      </w:pPr>
      <w:r>
        <w:rPr>
          <w:w w:val="243"/>
        </w:rPr>
        <w:t>l</w:t>
      </w:r>
      <w:r>
        <w:rPr>
          <w:w w:val="112"/>
        </w:rPr>
        <w:t>a</w:t>
      </w:r>
      <w:r>
        <w:rPr/>
        <w:t> </w:t>
      </w:r>
      <w:r>
        <w:rPr>
          <w:spacing w:val="-19"/>
        </w:rPr>
        <w:t> </w:t>
      </w:r>
      <w:r>
        <w:rPr>
          <w:w w:val="110"/>
        </w:rPr>
        <w:t>dificultad</w:t>
      </w:r>
      <w:r>
        <w:rPr/>
        <w:t> </w:t>
      </w:r>
      <w:r>
        <w:rPr>
          <w:spacing w:val="-19"/>
        </w:rPr>
        <w:t> </w:t>
      </w:r>
      <w:r>
        <w:rPr>
          <w:w w:val="107"/>
        </w:rPr>
        <w:t>de</w:t>
      </w:r>
      <w:r>
        <w:rPr/>
        <w:t> </w:t>
      </w:r>
      <w:r>
        <w:rPr>
          <w:spacing w:val="-19"/>
        </w:rPr>
        <w:t> </w:t>
      </w:r>
      <w:r>
        <w:rPr>
          <w:w w:val="112"/>
        </w:rPr>
        <w:t>muchos</w:t>
      </w:r>
      <w:r>
        <w:rPr/>
        <w:t> </w:t>
      </w:r>
      <w:r>
        <w:rPr>
          <w:spacing w:val="-19"/>
        </w:rPr>
        <w:t> </w:t>
      </w:r>
      <w:r>
        <w:rPr>
          <w:w w:val="109"/>
        </w:rPr>
        <w:t>cientistas</w:t>
      </w:r>
      <w:r>
        <w:rPr/>
        <w:t> </w:t>
      </w:r>
      <w:r>
        <w:rPr>
          <w:spacing w:val="-19"/>
        </w:rPr>
        <w:t> </w:t>
      </w:r>
      <w:r>
        <w:rPr>
          <w:w w:val="109"/>
        </w:rPr>
        <w:t>sociales</w:t>
      </w:r>
      <w:r>
        <w:rPr/>
        <w:t> </w:t>
      </w:r>
      <w:r>
        <w:rPr>
          <w:spacing w:val="-19"/>
        </w:rPr>
        <w:t> </w:t>
      </w:r>
      <w:r>
        <w:rPr>
          <w:w w:val="109"/>
        </w:rPr>
        <w:t>para</w:t>
      </w:r>
      <w:r>
        <w:rPr/>
        <w:t> </w:t>
      </w:r>
      <w:r>
        <w:rPr>
          <w:spacing w:val="-19"/>
        </w:rPr>
        <w:t> </w:t>
      </w:r>
      <w:r>
        <w:rPr>
          <w:w w:val="109"/>
        </w:rPr>
        <w:t>percibir</w:t>
      </w:r>
      <w:r>
        <w:rPr/>
        <w:t> </w:t>
      </w:r>
      <w:r>
        <w:rPr>
          <w:spacing w:val="-19"/>
        </w:rPr>
        <w:t> </w:t>
      </w:r>
      <w:r>
        <w:rPr>
          <w:w w:val="107"/>
        </w:rPr>
        <w:t>el</w:t>
      </w:r>
      <w:r>
        <w:rPr/>
        <w:t> </w:t>
      </w:r>
      <w:r>
        <w:rPr>
          <w:spacing w:val="-19"/>
        </w:rPr>
        <w:t> </w:t>
      </w:r>
      <w:r>
        <w:rPr>
          <w:w w:val="113"/>
        </w:rPr>
        <w:t>ciclo </w:t>
      </w:r>
      <w:r>
        <w:rPr>
          <w:w w:val="110"/>
        </w:rPr>
        <w:t>de expansión, más allá de problemas analíticos, puede ser atribuida a la mediocridad del desempeño de Europa occidental y Japón en esta fase de expansión, donde el crecimiento económico es fuertemente desplazado hacia el Este asiático, en particular hacia China. Estados unidos y Europa occidental presentan una tasa anual del crecimien-  to del Pib per cápita de 1.5% entre 1994 y 2010, muy cercana a la     del periodo </w:t>
      </w:r>
      <w:r>
        <w:rPr>
          <w:spacing w:val="-3"/>
          <w:w w:val="110"/>
        </w:rPr>
        <w:t>anterior, </w:t>
      </w:r>
      <w:r>
        <w:rPr>
          <w:w w:val="110"/>
        </w:rPr>
        <w:t>de crisis larga. </w:t>
      </w:r>
      <w:r>
        <w:rPr>
          <w:spacing w:val="-6"/>
          <w:w w:val="150"/>
        </w:rPr>
        <w:t>tal </w:t>
      </w:r>
      <w:r>
        <w:rPr>
          <w:w w:val="110"/>
        </w:rPr>
        <w:t>desempeño mediocre se viene profundizando durante la trayectoria de esta fase expansiva. si en-   tre 1994 y 2000 Estados unidos y Europa occidental sobrepasaron    la tasa de crecimiento mundial, en el periodo 2001-2010 presentaron un pésimo desempeño. de 1980 a 2000, el primero creció por arriba de la economía mundial, utilizando la elevación de tasas de interés       y la sobrevaluación del dólar como instrumentos de reacción contra  el deterioro productivo de su hegemonía, bloqueando el dinamismo económico mundial. En este lapso, el Pib per cápita estadounidense   se expandió 2.2% contra 1.4% del Pib per cápita mundial. sin em- bargo, los desequilibrios financieros y cambiarios que resultaron y el aumento</w:t>
      </w:r>
      <w:r>
        <w:rPr>
          <w:spacing w:val="-5"/>
          <w:w w:val="110"/>
        </w:rPr>
        <w:t> </w:t>
      </w:r>
      <w:r>
        <w:rPr>
          <w:w w:val="110"/>
        </w:rPr>
        <w:t>de</w:t>
      </w:r>
      <w:r>
        <w:rPr>
          <w:spacing w:val="-5"/>
          <w:w w:val="110"/>
        </w:rPr>
        <w:t> </w:t>
      </w:r>
      <w:r>
        <w:rPr>
          <w:w w:val="110"/>
        </w:rPr>
        <w:t>la</w:t>
      </w:r>
      <w:r>
        <w:rPr>
          <w:spacing w:val="-5"/>
          <w:w w:val="110"/>
        </w:rPr>
        <w:t> </w:t>
      </w:r>
      <w:r>
        <w:rPr>
          <w:w w:val="110"/>
        </w:rPr>
        <w:t>competitividad</w:t>
      </w:r>
      <w:r>
        <w:rPr>
          <w:spacing w:val="-5"/>
          <w:w w:val="110"/>
        </w:rPr>
        <w:t> </w:t>
      </w:r>
      <w:r>
        <w:rPr>
          <w:w w:val="110"/>
        </w:rPr>
        <w:t>provocado</w:t>
      </w:r>
      <w:r>
        <w:rPr>
          <w:spacing w:val="-5"/>
          <w:w w:val="110"/>
        </w:rPr>
        <w:t> </w:t>
      </w:r>
      <w:r>
        <w:rPr>
          <w:w w:val="110"/>
        </w:rPr>
        <w:t>por</w:t>
      </w:r>
      <w:r>
        <w:rPr>
          <w:spacing w:val="-5"/>
          <w:w w:val="110"/>
        </w:rPr>
        <w:t> </w:t>
      </w:r>
      <w:r>
        <w:rPr>
          <w:w w:val="110"/>
        </w:rPr>
        <w:t>la</w:t>
      </w:r>
      <w:r>
        <w:rPr>
          <w:spacing w:val="-5"/>
          <w:w w:val="110"/>
        </w:rPr>
        <w:t> </w:t>
      </w:r>
      <w:r>
        <w:rPr>
          <w:w w:val="110"/>
        </w:rPr>
        <w:t>restauración</w:t>
      </w:r>
      <w:r>
        <w:rPr>
          <w:spacing w:val="-4"/>
          <w:w w:val="110"/>
        </w:rPr>
        <w:t> </w:t>
      </w:r>
      <w:r>
        <w:rPr>
          <w:w w:val="110"/>
        </w:rPr>
        <w:t>de</w:t>
      </w:r>
      <w:r>
        <w:rPr>
          <w:spacing w:val="-5"/>
          <w:w w:val="110"/>
        </w:rPr>
        <w:t> </w:t>
      </w:r>
      <w:r>
        <w:rPr>
          <w:w w:val="110"/>
        </w:rPr>
        <w:t>la</w:t>
      </w:r>
      <w:r>
        <w:rPr>
          <w:spacing w:val="-5"/>
          <w:w w:val="110"/>
        </w:rPr>
        <w:t> </w:t>
      </w:r>
      <w:r>
        <w:rPr>
          <w:w w:val="110"/>
        </w:rPr>
        <w:t>fase expansiva evidenciaron cada vez más los límites y contradicciones de la estrategia de financiarización del capital, obligando a los Estados que la adoptaran a redefinir sus términos, lo que no les impide ser arrastrados crecientemente al parasitismo y a la crisis económica, so- cial,  política  e</w:t>
      </w:r>
      <w:r>
        <w:rPr>
          <w:spacing w:val="-21"/>
          <w:w w:val="110"/>
        </w:rPr>
        <w:t> </w:t>
      </w:r>
      <w:r>
        <w:rPr>
          <w:w w:val="110"/>
        </w:rPr>
        <w:t>ideológica.</w:t>
      </w:r>
    </w:p>
    <w:p>
      <w:pPr>
        <w:pStyle w:val="BodyText"/>
        <w:spacing w:line="252" w:lineRule="auto"/>
        <w:ind w:left="100" w:right="327" w:firstLine="396"/>
        <w:jc w:val="both"/>
      </w:pPr>
      <w:r>
        <w:rPr>
          <w:w w:val="110"/>
        </w:rPr>
        <w:t>si entre 1994 y 2000 Estados unidos y Europa occidental supera- ron el crecimiento del Pib per cápita mundial, a partir de entonces la relación se invierte: el Pib mundial pasó a crecer cada vez más cuanto mayor era la mediocridad de los desempeños estadounidense y euro- peo. Entre 2001 y 2010, el Pib per cápita de Estados unidos creció 0.6%, el de Europa occidental 0.8% y el del mundo 2.6%, articulán- </w:t>
      </w:r>
      <w:r>
        <w:rPr>
          <w:w w:val="107"/>
        </w:rPr>
        <w:t>dose</w:t>
      </w:r>
      <w:r>
        <w:rPr/>
        <w:t> </w:t>
      </w:r>
      <w:r>
        <w:rPr>
          <w:w w:val="112"/>
        </w:rPr>
        <w:t>cada</w:t>
      </w:r>
      <w:r>
        <w:rPr/>
        <w:t> </w:t>
      </w:r>
      <w:r>
        <w:rPr>
          <w:w w:val="105"/>
        </w:rPr>
        <w:t>vez</w:t>
      </w:r>
      <w:r>
        <w:rPr/>
        <w:t> </w:t>
      </w:r>
      <w:r>
        <w:rPr>
          <w:w w:val="111"/>
        </w:rPr>
        <w:t>más</w:t>
      </w:r>
      <w:r>
        <w:rPr/>
        <w:t> </w:t>
      </w:r>
      <w:r>
        <w:rPr>
          <w:w w:val="112"/>
        </w:rPr>
        <w:t>a</w:t>
      </w:r>
      <w:r>
        <w:rPr/>
        <w:t> </w:t>
      </w:r>
      <w:r>
        <w:rPr>
          <w:w w:val="111"/>
        </w:rPr>
        <w:t>la</w:t>
      </w:r>
      <w:r>
        <w:rPr/>
        <w:t> </w:t>
      </w:r>
      <w:r>
        <w:rPr>
          <w:w w:val="112"/>
        </w:rPr>
        <w:t>dinámica</w:t>
      </w:r>
      <w:r>
        <w:rPr/>
        <w:t> </w:t>
      </w:r>
      <w:r>
        <w:rPr>
          <w:w w:val="115"/>
        </w:rPr>
        <w:t>china.</w:t>
      </w:r>
      <w:r>
        <w:rPr/>
        <w:t> </w:t>
      </w:r>
      <w:r>
        <w:rPr>
          <w:w w:val="243"/>
        </w:rPr>
        <w:t>l</w:t>
      </w:r>
      <w:r>
        <w:rPr>
          <w:w w:val="112"/>
        </w:rPr>
        <w:t>a</w:t>
      </w:r>
      <w:r>
        <w:rPr/>
        <w:t> </w:t>
      </w:r>
      <w:r>
        <w:rPr>
          <w:w w:val="108"/>
        </w:rPr>
        <w:t>trayectoria</w:t>
      </w:r>
      <w:r>
        <w:rPr/>
        <w:t> </w:t>
      </w:r>
      <w:r>
        <w:rPr>
          <w:w w:val="107"/>
        </w:rPr>
        <w:t>del</w:t>
      </w:r>
      <w:r>
        <w:rPr/>
        <w:t> </w:t>
      </w:r>
      <w:r>
        <w:rPr>
          <w:w w:val="110"/>
        </w:rPr>
        <w:t>Kondratiev </w:t>
      </w:r>
      <w:r>
        <w:rPr>
          <w:w w:val="110"/>
        </w:rPr>
        <w:t>vigente se profundiza, así como la crisis del eje atlantista que se inició desde la década de 1970.</w:t>
      </w:r>
    </w:p>
    <w:p>
      <w:pPr>
        <w:spacing w:after="0" w:line="252" w:lineRule="auto"/>
        <w:jc w:val="both"/>
        <w:sectPr>
          <w:pgSz w:w="8790" w:h="12760"/>
          <w:pgMar w:header="697" w:footer="723" w:top="880" w:bottom="920" w:left="920" w:right="1200"/>
        </w:sectPr>
      </w:pPr>
    </w:p>
    <w:p>
      <w:pPr>
        <w:pStyle w:val="BodyText"/>
        <w:spacing w:before="4"/>
        <w:rPr>
          <w:sz w:val="28"/>
        </w:rPr>
      </w:pPr>
    </w:p>
    <w:p>
      <w:pPr>
        <w:pStyle w:val="Heading6"/>
        <w:spacing w:line="244" w:lineRule="auto" w:before="68"/>
        <w:ind w:left="331" w:right="1068" w:hanging="1"/>
        <w:jc w:val="left"/>
      </w:pPr>
      <w:r>
        <w:rPr>
          <w:w w:val="201"/>
        </w:rPr>
        <w:t>l</w:t>
      </w:r>
      <w:r>
        <w:rPr>
          <w:w w:val="129"/>
        </w:rPr>
        <w:t>a</w:t>
      </w:r>
      <w:r>
        <w:rPr/>
        <w:t> </w:t>
      </w:r>
      <w:r>
        <w:rPr>
          <w:w w:val="138"/>
        </w:rPr>
        <w:t>crisis</w:t>
      </w:r>
      <w:r>
        <w:rPr/>
        <w:t> </w:t>
      </w:r>
      <w:r>
        <w:rPr>
          <w:w w:val="132"/>
        </w:rPr>
        <w:t>de</w:t>
      </w:r>
      <w:r>
        <w:rPr/>
        <w:t> </w:t>
      </w:r>
      <w:r>
        <w:rPr>
          <w:w w:val="97"/>
        </w:rPr>
        <w:t>H</w:t>
      </w:r>
      <w:r>
        <w:rPr>
          <w:w w:val="134"/>
        </w:rPr>
        <w:t>e</w:t>
      </w:r>
      <w:r>
        <w:rPr>
          <w:w w:val="89"/>
        </w:rPr>
        <w:t>G</w:t>
      </w:r>
      <w:r>
        <w:rPr>
          <w:w w:val="134"/>
        </w:rPr>
        <w:t>e</w:t>
      </w:r>
      <w:r>
        <w:rPr>
          <w:w w:val="92"/>
        </w:rPr>
        <w:t>M</w:t>
      </w:r>
      <w:r>
        <w:rPr>
          <w:w w:val="136"/>
        </w:rPr>
        <w:t>on</w:t>
      </w:r>
      <w:r>
        <w:rPr>
          <w:w w:val="92"/>
        </w:rPr>
        <w:t>Í</w:t>
      </w:r>
      <w:r>
        <w:rPr>
          <w:w w:val="129"/>
        </w:rPr>
        <w:t>a</w:t>
      </w:r>
      <w:r>
        <w:rPr/>
        <w:t> </w:t>
      </w:r>
      <w:r>
        <w:rPr>
          <w:w w:val="129"/>
        </w:rPr>
        <w:t>a</w:t>
      </w:r>
      <w:r>
        <w:rPr>
          <w:w w:val="190"/>
        </w:rPr>
        <w:t>tl</w:t>
      </w:r>
      <w:r>
        <w:rPr>
          <w:w w:val="128"/>
        </w:rPr>
        <w:t>án</w:t>
      </w:r>
      <w:r>
        <w:rPr>
          <w:w w:val="153"/>
        </w:rPr>
        <w:t>tic</w:t>
      </w:r>
      <w:r>
        <w:rPr>
          <w:w w:val="129"/>
        </w:rPr>
        <w:t>a</w:t>
      </w:r>
      <w:r>
        <w:rPr>
          <w:w w:val="78"/>
        </w:rPr>
        <w:t>:</w:t>
      </w:r>
      <w:r>
        <w:rPr/>
        <w:t> </w:t>
      </w:r>
      <w:r>
        <w:rPr>
          <w:w w:val="167"/>
        </w:rPr>
        <w:t>f</w:t>
      </w:r>
      <w:r>
        <w:rPr>
          <w:w w:val="130"/>
        </w:rPr>
        <w:t>und</w:t>
      </w:r>
      <w:r>
        <w:rPr>
          <w:w w:val="129"/>
        </w:rPr>
        <w:t>a</w:t>
      </w:r>
      <w:r>
        <w:rPr>
          <w:w w:val="92"/>
        </w:rPr>
        <w:t>M</w:t>
      </w:r>
      <w:r>
        <w:rPr>
          <w:w w:val="134"/>
        </w:rPr>
        <w:t>e</w:t>
      </w:r>
      <w:r>
        <w:rPr>
          <w:w w:val="128"/>
        </w:rPr>
        <w:t>n</w:t>
      </w:r>
      <w:r>
        <w:rPr>
          <w:w w:val="180"/>
        </w:rPr>
        <w:t>t</w:t>
      </w:r>
      <w:r>
        <w:rPr>
          <w:w w:val="145"/>
        </w:rPr>
        <w:t>o</w:t>
      </w:r>
      <w:r>
        <w:rPr>
          <w:w w:val="136"/>
        </w:rPr>
        <w:t>s </w:t>
      </w:r>
      <w:r>
        <w:rPr>
          <w:w w:val="125"/>
        </w:rPr>
        <w:t>y diMensiones</w:t>
      </w:r>
    </w:p>
    <w:p>
      <w:pPr>
        <w:pStyle w:val="BodyText"/>
        <w:spacing w:line="252" w:lineRule="auto" w:before="6"/>
        <w:ind w:left="330" w:right="117"/>
        <w:jc w:val="both"/>
      </w:pPr>
      <w:r>
        <w:rPr>
          <w:w w:val="243"/>
        </w:rPr>
        <w:t>l</w:t>
      </w:r>
      <w:r>
        <w:rPr>
          <w:w w:val="112"/>
        </w:rPr>
        <w:t>a</w:t>
      </w:r>
      <w:r>
        <w:rPr/>
        <w:t> </w:t>
      </w:r>
      <w:r>
        <w:rPr>
          <w:spacing w:val="-21"/>
        </w:rPr>
        <w:t> </w:t>
      </w:r>
      <w:r>
        <w:rPr>
          <w:w w:val="109"/>
        </w:rPr>
        <w:t>crisis</w:t>
      </w:r>
      <w:r>
        <w:rPr/>
        <w:t> </w:t>
      </w:r>
      <w:r>
        <w:rPr>
          <w:spacing w:val="-21"/>
        </w:rPr>
        <w:t> </w:t>
      </w:r>
      <w:r>
        <w:rPr>
          <w:w w:val="107"/>
        </w:rPr>
        <w:t>de</w:t>
      </w:r>
      <w:r>
        <w:rPr/>
        <w:t> </w:t>
      </w:r>
      <w:r>
        <w:rPr>
          <w:spacing w:val="-21"/>
        </w:rPr>
        <w:t> </w:t>
      </w:r>
      <w:r>
        <w:rPr>
          <w:w w:val="110"/>
        </w:rPr>
        <w:t>hegemonía</w:t>
      </w:r>
      <w:r>
        <w:rPr/>
        <w:t> </w:t>
      </w:r>
      <w:r>
        <w:rPr>
          <w:spacing w:val="-21"/>
        </w:rPr>
        <w:t> </w:t>
      </w:r>
      <w:r>
        <w:rPr>
          <w:w w:val="110"/>
        </w:rPr>
        <w:t>atlantista</w:t>
      </w:r>
      <w:r>
        <w:rPr/>
        <w:t> </w:t>
      </w:r>
      <w:r>
        <w:rPr>
          <w:spacing w:val="-21"/>
        </w:rPr>
        <w:t> </w:t>
      </w:r>
      <w:r>
        <w:rPr>
          <w:w w:val="105"/>
        </w:rPr>
        <w:t>se</w:t>
      </w:r>
      <w:r>
        <w:rPr/>
        <w:t> </w:t>
      </w:r>
      <w:r>
        <w:rPr>
          <w:spacing w:val="-21"/>
        </w:rPr>
        <w:t> </w:t>
      </w:r>
      <w:r>
        <w:rPr>
          <w:w w:val="109"/>
        </w:rPr>
        <w:t>estableció</w:t>
      </w:r>
      <w:r>
        <w:rPr/>
        <w:t> </w:t>
      </w:r>
      <w:r>
        <w:rPr>
          <w:spacing w:val="-21"/>
        </w:rPr>
        <w:t> </w:t>
      </w:r>
      <w:r>
        <w:rPr>
          <w:w w:val="106"/>
        </w:rPr>
        <w:t>desde</w:t>
      </w:r>
      <w:r>
        <w:rPr/>
        <w:t> </w:t>
      </w:r>
      <w:r>
        <w:rPr>
          <w:spacing w:val="-21"/>
        </w:rPr>
        <w:t> </w:t>
      </w:r>
      <w:r>
        <w:rPr>
          <w:w w:val="108"/>
        </w:rPr>
        <w:t>los</w:t>
      </w:r>
      <w:r>
        <w:rPr/>
        <w:t> </w:t>
      </w:r>
      <w:r>
        <w:rPr>
          <w:spacing w:val="-21"/>
        </w:rPr>
        <w:t> </w:t>
      </w:r>
      <w:r>
        <w:rPr>
          <w:w w:val="110"/>
        </w:rPr>
        <w:t>años</w:t>
      </w:r>
      <w:r>
        <w:rPr/>
        <w:t> </w:t>
      </w:r>
      <w:r>
        <w:rPr>
          <w:spacing w:val="-21"/>
        </w:rPr>
        <w:t> </w:t>
      </w:r>
      <w:r>
        <w:rPr>
          <w:w w:val="102"/>
        </w:rPr>
        <w:t>1970</w:t>
      </w:r>
      <w:r>
        <w:rPr/>
        <w:t> </w:t>
      </w:r>
      <w:r>
        <w:rPr>
          <w:spacing w:val="-21"/>
        </w:rPr>
        <w:t> </w:t>
      </w:r>
      <w:r>
        <w:rPr>
          <w:w w:val="105"/>
        </w:rPr>
        <w:t>y </w:t>
      </w:r>
      <w:r>
        <w:rPr>
          <w:w w:val="115"/>
        </w:rPr>
        <w:t>tiene</w:t>
      </w:r>
      <w:r>
        <w:rPr>
          <w:spacing w:val="-19"/>
          <w:w w:val="115"/>
        </w:rPr>
        <w:t> </w:t>
      </w:r>
      <w:r>
        <w:rPr>
          <w:w w:val="115"/>
        </w:rPr>
        <w:t>su</w:t>
      </w:r>
      <w:r>
        <w:rPr>
          <w:spacing w:val="-19"/>
          <w:w w:val="115"/>
        </w:rPr>
        <w:t> </w:t>
      </w:r>
      <w:r>
        <w:rPr>
          <w:w w:val="115"/>
        </w:rPr>
        <w:t>origen</w:t>
      </w:r>
      <w:r>
        <w:rPr>
          <w:spacing w:val="-19"/>
          <w:w w:val="115"/>
        </w:rPr>
        <w:t> </w:t>
      </w:r>
      <w:r>
        <w:rPr>
          <w:w w:val="115"/>
        </w:rPr>
        <w:t>en</w:t>
      </w:r>
      <w:r>
        <w:rPr>
          <w:spacing w:val="-19"/>
          <w:w w:val="115"/>
        </w:rPr>
        <w:t> </w:t>
      </w:r>
      <w:r>
        <w:rPr>
          <w:w w:val="115"/>
        </w:rPr>
        <w:t>el</w:t>
      </w:r>
      <w:r>
        <w:rPr>
          <w:spacing w:val="-19"/>
          <w:w w:val="115"/>
        </w:rPr>
        <w:t> </w:t>
      </w:r>
      <w:r>
        <w:rPr>
          <w:w w:val="115"/>
        </w:rPr>
        <w:t>agotamiento</w:t>
      </w:r>
      <w:r>
        <w:rPr>
          <w:spacing w:val="-19"/>
          <w:w w:val="115"/>
        </w:rPr>
        <w:t> </w:t>
      </w:r>
      <w:r>
        <w:rPr>
          <w:w w:val="115"/>
        </w:rPr>
        <w:t>del</w:t>
      </w:r>
      <w:r>
        <w:rPr>
          <w:spacing w:val="-19"/>
          <w:w w:val="115"/>
        </w:rPr>
        <w:t> </w:t>
      </w:r>
      <w:r>
        <w:rPr>
          <w:w w:val="115"/>
        </w:rPr>
        <w:t>pacto</w:t>
      </w:r>
      <w:r>
        <w:rPr>
          <w:spacing w:val="-19"/>
          <w:w w:val="115"/>
        </w:rPr>
        <w:t> </w:t>
      </w:r>
      <w:r>
        <w:rPr>
          <w:w w:val="115"/>
        </w:rPr>
        <w:t>keynesiano</w:t>
      </w:r>
      <w:r>
        <w:rPr>
          <w:spacing w:val="-19"/>
          <w:w w:val="115"/>
        </w:rPr>
        <w:t> </w:t>
      </w:r>
      <w:r>
        <w:rPr>
          <w:w w:val="115"/>
        </w:rPr>
        <w:t>que</w:t>
      </w:r>
      <w:r>
        <w:rPr>
          <w:spacing w:val="-19"/>
          <w:w w:val="115"/>
        </w:rPr>
        <w:t> </w:t>
      </w:r>
      <w:r>
        <w:rPr>
          <w:w w:val="115"/>
        </w:rPr>
        <w:t>vinculó</w:t>
      </w:r>
      <w:r>
        <w:rPr>
          <w:spacing w:val="-19"/>
          <w:w w:val="115"/>
        </w:rPr>
        <w:t> </w:t>
      </w:r>
      <w:r>
        <w:rPr>
          <w:w w:val="115"/>
        </w:rPr>
        <w:t>el </w:t>
      </w:r>
      <w:r>
        <w:rPr>
          <w:w w:val="120"/>
        </w:rPr>
        <w:t>aumento</w:t>
      </w:r>
      <w:r>
        <w:rPr>
          <w:spacing w:val="-22"/>
          <w:w w:val="120"/>
        </w:rPr>
        <w:t> </w:t>
      </w:r>
      <w:r>
        <w:rPr>
          <w:w w:val="120"/>
        </w:rPr>
        <w:t>del</w:t>
      </w:r>
      <w:r>
        <w:rPr>
          <w:spacing w:val="-22"/>
          <w:w w:val="120"/>
        </w:rPr>
        <w:t> </w:t>
      </w:r>
      <w:r>
        <w:rPr>
          <w:w w:val="120"/>
        </w:rPr>
        <w:t>gasto</w:t>
      </w:r>
      <w:r>
        <w:rPr>
          <w:spacing w:val="-22"/>
          <w:w w:val="120"/>
        </w:rPr>
        <w:t> </w:t>
      </w:r>
      <w:r>
        <w:rPr>
          <w:w w:val="120"/>
        </w:rPr>
        <w:t>público</w:t>
      </w:r>
      <w:r>
        <w:rPr>
          <w:spacing w:val="-22"/>
          <w:w w:val="120"/>
        </w:rPr>
        <w:t> </w:t>
      </w:r>
      <w:r>
        <w:rPr>
          <w:w w:val="120"/>
        </w:rPr>
        <w:t>al</w:t>
      </w:r>
      <w:r>
        <w:rPr>
          <w:spacing w:val="-22"/>
          <w:w w:val="120"/>
        </w:rPr>
        <w:t> </w:t>
      </w:r>
      <w:r>
        <w:rPr>
          <w:w w:val="120"/>
        </w:rPr>
        <w:t>establecimiento</w:t>
      </w:r>
      <w:r>
        <w:rPr>
          <w:spacing w:val="-22"/>
          <w:w w:val="120"/>
        </w:rPr>
        <w:t> </w:t>
      </w:r>
      <w:r>
        <w:rPr>
          <w:w w:val="120"/>
        </w:rPr>
        <w:t>del</w:t>
      </w:r>
      <w:r>
        <w:rPr>
          <w:spacing w:val="-22"/>
          <w:w w:val="120"/>
        </w:rPr>
        <w:t> </w:t>
      </w:r>
      <w:r>
        <w:rPr>
          <w:w w:val="120"/>
        </w:rPr>
        <w:t>pleno</w:t>
      </w:r>
      <w:r>
        <w:rPr>
          <w:spacing w:val="-22"/>
          <w:w w:val="120"/>
        </w:rPr>
        <w:t> </w:t>
      </w:r>
      <w:r>
        <w:rPr>
          <w:w w:val="120"/>
        </w:rPr>
        <w:t>empleo.</w:t>
      </w:r>
      <w:r>
        <w:rPr>
          <w:spacing w:val="-22"/>
          <w:w w:val="120"/>
        </w:rPr>
        <w:t> </w:t>
      </w:r>
      <w:r>
        <w:rPr>
          <w:spacing w:val="-7"/>
          <w:w w:val="120"/>
        </w:rPr>
        <w:t>tal </w:t>
      </w:r>
      <w:r>
        <w:rPr>
          <w:w w:val="115"/>
        </w:rPr>
        <w:t>pacto</w:t>
      </w:r>
      <w:r>
        <w:rPr>
          <w:spacing w:val="-5"/>
          <w:w w:val="115"/>
        </w:rPr>
        <w:t> </w:t>
      </w:r>
      <w:r>
        <w:rPr>
          <w:w w:val="115"/>
        </w:rPr>
        <w:t>se</w:t>
      </w:r>
      <w:r>
        <w:rPr>
          <w:spacing w:val="-5"/>
          <w:w w:val="115"/>
        </w:rPr>
        <w:t> </w:t>
      </w:r>
      <w:r>
        <w:rPr>
          <w:w w:val="115"/>
        </w:rPr>
        <w:t>agota</w:t>
      </w:r>
      <w:r>
        <w:rPr>
          <w:spacing w:val="-5"/>
          <w:w w:val="115"/>
        </w:rPr>
        <w:t> </w:t>
      </w:r>
      <w:r>
        <w:rPr>
          <w:w w:val="115"/>
        </w:rPr>
        <w:t>con</w:t>
      </w:r>
      <w:r>
        <w:rPr>
          <w:spacing w:val="-5"/>
          <w:w w:val="115"/>
        </w:rPr>
        <w:t> </w:t>
      </w:r>
      <w:r>
        <w:rPr>
          <w:w w:val="115"/>
        </w:rPr>
        <w:t>la</w:t>
      </w:r>
      <w:r>
        <w:rPr>
          <w:spacing w:val="-5"/>
          <w:w w:val="115"/>
        </w:rPr>
        <w:t> </w:t>
      </w:r>
      <w:r>
        <w:rPr>
          <w:w w:val="115"/>
        </w:rPr>
        <w:t>amenaza</w:t>
      </w:r>
      <w:r>
        <w:rPr>
          <w:spacing w:val="-5"/>
          <w:w w:val="115"/>
        </w:rPr>
        <w:t> </w:t>
      </w:r>
      <w:r>
        <w:rPr>
          <w:w w:val="115"/>
        </w:rPr>
        <w:t>estructural</w:t>
      </w:r>
      <w:r>
        <w:rPr>
          <w:spacing w:val="-5"/>
          <w:w w:val="115"/>
        </w:rPr>
        <w:t> </w:t>
      </w:r>
      <w:r>
        <w:rPr>
          <w:w w:val="115"/>
        </w:rPr>
        <w:t>que</w:t>
      </w:r>
      <w:r>
        <w:rPr>
          <w:spacing w:val="-5"/>
          <w:w w:val="115"/>
        </w:rPr>
        <w:t> </w:t>
      </w:r>
      <w:r>
        <w:rPr>
          <w:w w:val="115"/>
        </w:rPr>
        <w:t>el</w:t>
      </w:r>
      <w:r>
        <w:rPr>
          <w:spacing w:val="-5"/>
          <w:w w:val="115"/>
        </w:rPr>
        <w:t> </w:t>
      </w:r>
      <w:r>
        <w:rPr>
          <w:w w:val="115"/>
        </w:rPr>
        <w:t>pleno</w:t>
      </w:r>
      <w:r>
        <w:rPr>
          <w:spacing w:val="-5"/>
          <w:w w:val="115"/>
        </w:rPr>
        <w:t> </w:t>
      </w:r>
      <w:r>
        <w:rPr>
          <w:w w:val="115"/>
        </w:rPr>
        <w:t>empleo</w:t>
      </w:r>
      <w:r>
        <w:rPr>
          <w:spacing w:val="-5"/>
          <w:w w:val="115"/>
        </w:rPr>
        <w:t> </w:t>
      </w:r>
      <w:r>
        <w:rPr>
          <w:w w:val="115"/>
        </w:rPr>
        <w:t>pasó a</w:t>
      </w:r>
      <w:r>
        <w:rPr>
          <w:spacing w:val="-13"/>
          <w:w w:val="115"/>
        </w:rPr>
        <w:t> </w:t>
      </w:r>
      <w:r>
        <w:rPr>
          <w:w w:val="115"/>
        </w:rPr>
        <w:t>ejercer</w:t>
      </w:r>
      <w:r>
        <w:rPr>
          <w:spacing w:val="-13"/>
          <w:w w:val="115"/>
        </w:rPr>
        <w:t> </w:t>
      </w:r>
      <w:r>
        <w:rPr>
          <w:w w:val="115"/>
        </w:rPr>
        <w:t>sobre</w:t>
      </w:r>
      <w:r>
        <w:rPr>
          <w:spacing w:val="-13"/>
          <w:w w:val="115"/>
        </w:rPr>
        <w:t> </w:t>
      </w:r>
      <w:r>
        <w:rPr>
          <w:w w:val="115"/>
        </w:rPr>
        <w:t>la</w:t>
      </w:r>
      <w:r>
        <w:rPr>
          <w:spacing w:val="-13"/>
          <w:w w:val="115"/>
        </w:rPr>
        <w:t> </w:t>
      </w:r>
      <w:r>
        <w:rPr>
          <w:w w:val="115"/>
        </w:rPr>
        <w:t>tasa</w:t>
      </w:r>
      <w:r>
        <w:rPr>
          <w:spacing w:val="-13"/>
          <w:w w:val="115"/>
        </w:rPr>
        <w:t> </w:t>
      </w:r>
      <w:r>
        <w:rPr>
          <w:w w:val="115"/>
        </w:rPr>
        <w:t>de</w:t>
      </w:r>
      <w:r>
        <w:rPr>
          <w:spacing w:val="-13"/>
          <w:w w:val="115"/>
        </w:rPr>
        <w:t> </w:t>
      </w:r>
      <w:r>
        <w:rPr>
          <w:w w:val="115"/>
        </w:rPr>
        <w:t>ganancia</w:t>
      </w:r>
      <w:r>
        <w:rPr>
          <w:spacing w:val="-13"/>
          <w:w w:val="115"/>
        </w:rPr>
        <w:t> </w:t>
      </w:r>
      <w:r>
        <w:rPr>
          <w:w w:val="115"/>
        </w:rPr>
        <w:t>a</w:t>
      </w:r>
      <w:r>
        <w:rPr>
          <w:spacing w:val="-13"/>
          <w:w w:val="115"/>
        </w:rPr>
        <w:t> </w:t>
      </w:r>
      <w:r>
        <w:rPr>
          <w:w w:val="115"/>
        </w:rPr>
        <w:t>partir</w:t>
      </w:r>
      <w:r>
        <w:rPr>
          <w:spacing w:val="-13"/>
          <w:w w:val="115"/>
        </w:rPr>
        <w:t> </w:t>
      </w:r>
      <w:r>
        <w:rPr>
          <w:w w:val="115"/>
        </w:rPr>
        <w:t>de</w:t>
      </w:r>
      <w:r>
        <w:rPr>
          <w:spacing w:val="-13"/>
          <w:w w:val="115"/>
        </w:rPr>
        <w:t> </w:t>
      </w:r>
      <w:r>
        <w:rPr>
          <w:w w:val="115"/>
        </w:rPr>
        <w:t>la</w:t>
      </w:r>
      <w:r>
        <w:rPr>
          <w:spacing w:val="-13"/>
          <w:w w:val="115"/>
        </w:rPr>
        <w:t> </w:t>
      </w:r>
      <w:r>
        <w:rPr>
          <w:w w:val="115"/>
        </w:rPr>
        <w:t>mundialización</w:t>
      </w:r>
      <w:r>
        <w:rPr>
          <w:spacing w:val="-13"/>
          <w:w w:val="115"/>
        </w:rPr>
        <w:t> </w:t>
      </w:r>
      <w:r>
        <w:rPr>
          <w:w w:val="115"/>
        </w:rPr>
        <w:t>de</w:t>
      </w:r>
      <w:r>
        <w:rPr>
          <w:spacing w:val="-13"/>
          <w:w w:val="115"/>
        </w:rPr>
        <w:t> </w:t>
      </w:r>
      <w:r>
        <w:rPr>
          <w:w w:val="115"/>
        </w:rPr>
        <w:t>la revolución</w:t>
      </w:r>
      <w:r>
        <w:rPr>
          <w:spacing w:val="-16"/>
          <w:w w:val="115"/>
        </w:rPr>
        <w:t> </w:t>
      </w:r>
      <w:r>
        <w:rPr>
          <w:w w:val="115"/>
        </w:rPr>
        <w:t>científico-técnica.</w:t>
      </w:r>
      <w:r>
        <w:rPr>
          <w:spacing w:val="-16"/>
          <w:w w:val="115"/>
        </w:rPr>
        <w:t> </w:t>
      </w:r>
      <w:r>
        <w:rPr>
          <w:w w:val="115"/>
        </w:rPr>
        <w:t>Ésta</w:t>
      </w:r>
      <w:r>
        <w:rPr>
          <w:spacing w:val="-16"/>
          <w:w w:val="115"/>
        </w:rPr>
        <w:t> </w:t>
      </w:r>
      <w:r>
        <w:rPr>
          <w:w w:val="115"/>
        </w:rPr>
        <w:t>transforma</w:t>
      </w:r>
      <w:r>
        <w:rPr>
          <w:spacing w:val="-16"/>
          <w:w w:val="115"/>
        </w:rPr>
        <w:t> </w:t>
      </w:r>
      <w:r>
        <w:rPr>
          <w:w w:val="115"/>
        </w:rPr>
        <w:t>el</w:t>
      </w:r>
      <w:r>
        <w:rPr>
          <w:spacing w:val="-16"/>
          <w:w w:val="115"/>
        </w:rPr>
        <w:t> </w:t>
      </w:r>
      <w:r>
        <w:rPr>
          <w:w w:val="115"/>
        </w:rPr>
        <w:t>valor</w:t>
      </w:r>
      <w:r>
        <w:rPr>
          <w:spacing w:val="-16"/>
          <w:w w:val="115"/>
        </w:rPr>
        <w:t> </w:t>
      </w:r>
      <w:r>
        <w:rPr>
          <w:w w:val="115"/>
        </w:rPr>
        <w:t>de</w:t>
      </w:r>
      <w:r>
        <w:rPr>
          <w:spacing w:val="-16"/>
          <w:w w:val="115"/>
        </w:rPr>
        <w:t> </w:t>
      </w:r>
      <w:r>
        <w:rPr>
          <w:w w:val="115"/>
        </w:rPr>
        <w:t>la</w:t>
      </w:r>
      <w:r>
        <w:rPr>
          <w:spacing w:val="-16"/>
          <w:w w:val="115"/>
        </w:rPr>
        <w:t> </w:t>
      </w:r>
      <w:r>
        <w:rPr>
          <w:w w:val="115"/>
        </w:rPr>
        <w:t>fuerza</w:t>
      </w:r>
      <w:r>
        <w:rPr>
          <w:spacing w:val="-16"/>
          <w:w w:val="115"/>
        </w:rPr>
        <w:t> </w:t>
      </w:r>
      <w:r>
        <w:rPr>
          <w:w w:val="115"/>
        </w:rPr>
        <w:t>de trabajo</w:t>
      </w:r>
      <w:r>
        <w:rPr>
          <w:spacing w:val="-16"/>
          <w:w w:val="115"/>
        </w:rPr>
        <w:t> </w:t>
      </w:r>
      <w:r>
        <w:rPr>
          <w:w w:val="115"/>
        </w:rPr>
        <w:t>en</w:t>
      </w:r>
      <w:r>
        <w:rPr>
          <w:spacing w:val="-16"/>
          <w:w w:val="115"/>
        </w:rPr>
        <w:t> </w:t>
      </w:r>
      <w:r>
        <w:rPr>
          <w:w w:val="115"/>
        </w:rPr>
        <w:t>el</w:t>
      </w:r>
      <w:r>
        <w:rPr>
          <w:spacing w:val="-16"/>
          <w:w w:val="115"/>
        </w:rPr>
        <w:t> </w:t>
      </w:r>
      <w:r>
        <w:rPr>
          <w:w w:val="115"/>
        </w:rPr>
        <w:t>fundamento</w:t>
      </w:r>
      <w:r>
        <w:rPr>
          <w:spacing w:val="-16"/>
          <w:w w:val="115"/>
        </w:rPr>
        <w:t> </w:t>
      </w:r>
      <w:r>
        <w:rPr>
          <w:w w:val="115"/>
        </w:rPr>
        <w:t>central</w:t>
      </w:r>
      <w:r>
        <w:rPr>
          <w:spacing w:val="-16"/>
          <w:w w:val="115"/>
        </w:rPr>
        <w:t> </w:t>
      </w:r>
      <w:r>
        <w:rPr>
          <w:w w:val="115"/>
        </w:rPr>
        <w:t>de</w:t>
      </w:r>
      <w:r>
        <w:rPr>
          <w:spacing w:val="-16"/>
          <w:w w:val="115"/>
        </w:rPr>
        <w:t> </w:t>
      </w:r>
      <w:r>
        <w:rPr>
          <w:w w:val="115"/>
        </w:rPr>
        <w:t>la</w:t>
      </w:r>
      <w:r>
        <w:rPr>
          <w:spacing w:val="-16"/>
          <w:w w:val="115"/>
        </w:rPr>
        <w:t> </w:t>
      </w:r>
      <w:r>
        <w:rPr>
          <w:w w:val="115"/>
        </w:rPr>
        <w:t>productividad,</w:t>
      </w:r>
      <w:r>
        <w:rPr>
          <w:spacing w:val="-16"/>
          <w:w w:val="115"/>
        </w:rPr>
        <w:t> </w:t>
      </w:r>
      <w:r>
        <w:rPr>
          <w:w w:val="115"/>
        </w:rPr>
        <w:t>al</w:t>
      </w:r>
      <w:r>
        <w:rPr>
          <w:spacing w:val="-16"/>
          <w:w w:val="115"/>
        </w:rPr>
        <w:t> </w:t>
      </w:r>
      <w:r>
        <w:rPr>
          <w:w w:val="115"/>
        </w:rPr>
        <w:t>establecer</w:t>
      </w:r>
      <w:r>
        <w:rPr>
          <w:spacing w:val="-16"/>
          <w:w w:val="115"/>
        </w:rPr>
        <w:t> </w:t>
      </w:r>
      <w:r>
        <w:rPr>
          <w:w w:val="115"/>
        </w:rPr>
        <w:t>el conocimiento</w:t>
      </w:r>
      <w:r>
        <w:rPr>
          <w:spacing w:val="-19"/>
          <w:w w:val="115"/>
        </w:rPr>
        <w:t> </w:t>
      </w:r>
      <w:r>
        <w:rPr>
          <w:w w:val="115"/>
        </w:rPr>
        <w:t>y</w:t>
      </w:r>
      <w:r>
        <w:rPr>
          <w:spacing w:val="-19"/>
          <w:w w:val="115"/>
        </w:rPr>
        <w:t> </w:t>
      </w:r>
      <w:r>
        <w:rPr>
          <w:w w:val="115"/>
        </w:rPr>
        <w:t>la</w:t>
      </w:r>
      <w:r>
        <w:rPr>
          <w:spacing w:val="-19"/>
          <w:w w:val="115"/>
        </w:rPr>
        <w:t> </w:t>
      </w:r>
      <w:r>
        <w:rPr>
          <w:w w:val="115"/>
        </w:rPr>
        <w:t>subjetividad</w:t>
      </w:r>
      <w:r>
        <w:rPr>
          <w:spacing w:val="-19"/>
          <w:w w:val="115"/>
        </w:rPr>
        <w:t> </w:t>
      </w:r>
      <w:r>
        <w:rPr>
          <w:w w:val="115"/>
        </w:rPr>
        <w:t>como</w:t>
      </w:r>
      <w:r>
        <w:rPr>
          <w:spacing w:val="-19"/>
          <w:w w:val="115"/>
        </w:rPr>
        <w:t> </w:t>
      </w:r>
      <w:r>
        <w:rPr>
          <w:w w:val="115"/>
        </w:rPr>
        <w:t>los</w:t>
      </w:r>
      <w:r>
        <w:rPr>
          <w:spacing w:val="-19"/>
          <w:w w:val="115"/>
        </w:rPr>
        <w:t> </w:t>
      </w:r>
      <w:r>
        <w:rPr>
          <w:w w:val="115"/>
        </w:rPr>
        <w:t>principales</w:t>
      </w:r>
      <w:r>
        <w:rPr>
          <w:spacing w:val="-19"/>
          <w:w w:val="115"/>
        </w:rPr>
        <w:t> </w:t>
      </w:r>
      <w:r>
        <w:rPr>
          <w:w w:val="115"/>
        </w:rPr>
        <w:t>elementos</w:t>
      </w:r>
      <w:r>
        <w:rPr>
          <w:spacing w:val="-19"/>
          <w:w w:val="115"/>
        </w:rPr>
        <w:t> </w:t>
      </w:r>
      <w:r>
        <w:rPr>
          <w:w w:val="115"/>
        </w:rPr>
        <w:t>de</w:t>
      </w:r>
      <w:r>
        <w:rPr>
          <w:spacing w:val="-19"/>
          <w:w w:val="115"/>
        </w:rPr>
        <w:t> </w:t>
      </w:r>
      <w:r>
        <w:rPr>
          <w:w w:val="115"/>
        </w:rPr>
        <w:t>las </w:t>
      </w:r>
      <w:r>
        <w:rPr>
          <w:w w:val="120"/>
        </w:rPr>
        <w:t>fuerzas</w:t>
      </w:r>
      <w:r>
        <w:rPr>
          <w:spacing w:val="-28"/>
          <w:w w:val="120"/>
        </w:rPr>
        <w:t> </w:t>
      </w:r>
      <w:r>
        <w:rPr>
          <w:w w:val="120"/>
        </w:rPr>
        <w:t>productivas.</w:t>
      </w:r>
      <w:r>
        <w:rPr>
          <w:spacing w:val="-28"/>
          <w:w w:val="120"/>
        </w:rPr>
        <w:t> </w:t>
      </w:r>
      <w:r>
        <w:rPr>
          <w:w w:val="120"/>
        </w:rPr>
        <w:t>se</w:t>
      </w:r>
      <w:r>
        <w:rPr>
          <w:spacing w:val="-28"/>
          <w:w w:val="120"/>
        </w:rPr>
        <w:t> </w:t>
      </w:r>
      <w:r>
        <w:rPr>
          <w:w w:val="120"/>
        </w:rPr>
        <w:t>invierte</w:t>
      </w:r>
      <w:r>
        <w:rPr>
          <w:spacing w:val="-28"/>
          <w:w w:val="120"/>
        </w:rPr>
        <w:t> </w:t>
      </w:r>
      <w:r>
        <w:rPr>
          <w:w w:val="120"/>
        </w:rPr>
        <w:t>la</w:t>
      </w:r>
      <w:r>
        <w:rPr>
          <w:spacing w:val="-28"/>
          <w:w w:val="120"/>
        </w:rPr>
        <w:t> </w:t>
      </w:r>
      <w:r>
        <w:rPr>
          <w:w w:val="120"/>
        </w:rPr>
        <w:t>lógica</w:t>
      </w:r>
      <w:r>
        <w:rPr>
          <w:spacing w:val="-28"/>
          <w:w w:val="120"/>
        </w:rPr>
        <w:t> </w:t>
      </w:r>
      <w:r>
        <w:rPr>
          <w:w w:val="120"/>
        </w:rPr>
        <w:t>de</w:t>
      </w:r>
      <w:r>
        <w:rPr>
          <w:spacing w:val="-28"/>
          <w:w w:val="120"/>
        </w:rPr>
        <w:t> </w:t>
      </w:r>
      <w:r>
        <w:rPr>
          <w:w w:val="120"/>
        </w:rPr>
        <w:t>la</w:t>
      </w:r>
      <w:r>
        <w:rPr>
          <w:spacing w:val="-28"/>
          <w:w w:val="120"/>
        </w:rPr>
        <w:t> </w:t>
      </w:r>
      <w:r>
        <w:rPr>
          <w:w w:val="120"/>
        </w:rPr>
        <w:t>revolución</w:t>
      </w:r>
      <w:r>
        <w:rPr>
          <w:spacing w:val="-28"/>
          <w:w w:val="120"/>
        </w:rPr>
        <w:t> </w:t>
      </w:r>
      <w:r>
        <w:rPr>
          <w:w w:val="120"/>
        </w:rPr>
        <w:t>industrial </w:t>
      </w:r>
      <w:r>
        <w:rPr>
          <w:w w:val="115"/>
        </w:rPr>
        <w:t>en</w:t>
      </w:r>
      <w:r>
        <w:rPr>
          <w:spacing w:val="-22"/>
          <w:w w:val="115"/>
        </w:rPr>
        <w:t> </w:t>
      </w:r>
      <w:r>
        <w:rPr>
          <w:w w:val="115"/>
        </w:rPr>
        <w:t>la</w:t>
      </w:r>
      <w:r>
        <w:rPr>
          <w:spacing w:val="-22"/>
          <w:w w:val="115"/>
        </w:rPr>
        <w:t> </w:t>
      </w:r>
      <w:r>
        <w:rPr>
          <w:w w:val="115"/>
        </w:rPr>
        <w:t>cual</w:t>
      </w:r>
      <w:r>
        <w:rPr>
          <w:spacing w:val="-22"/>
          <w:w w:val="115"/>
        </w:rPr>
        <w:t> </w:t>
      </w:r>
      <w:r>
        <w:rPr>
          <w:w w:val="115"/>
        </w:rPr>
        <w:t>la</w:t>
      </w:r>
      <w:r>
        <w:rPr>
          <w:spacing w:val="-22"/>
          <w:w w:val="115"/>
        </w:rPr>
        <w:t> </w:t>
      </w:r>
      <w:r>
        <w:rPr>
          <w:w w:val="115"/>
        </w:rPr>
        <w:t>productividad</w:t>
      </w:r>
      <w:r>
        <w:rPr>
          <w:spacing w:val="-22"/>
          <w:w w:val="115"/>
        </w:rPr>
        <w:t> </w:t>
      </w:r>
      <w:r>
        <w:rPr>
          <w:w w:val="115"/>
        </w:rPr>
        <w:t>era</w:t>
      </w:r>
      <w:r>
        <w:rPr>
          <w:spacing w:val="-22"/>
          <w:w w:val="115"/>
        </w:rPr>
        <w:t> </w:t>
      </w:r>
      <w:r>
        <w:rPr>
          <w:w w:val="115"/>
        </w:rPr>
        <w:t>la</w:t>
      </w:r>
      <w:r>
        <w:rPr>
          <w:spacing w:val="-22"/>
          <w:w w:val="115"/>
        </w:rPr>
        <w:t> </w:t>
      </w:r>
      <w:r>
        <w:rPr>
          <w:w w:val="115"/>
        </w:rPr>
        <w:t>expresión</w:t>
      </w:r>
      <w:r>
        <w:rPr>
          <w:spacing w:val="-22"/>
          <w:w w:val="115"/>
        </w:rPr>
        <w:t> </w:t>
      </w:r>
      <w:r>
        <w:rPr>
          <w:w w:val="115"/>
        </w:rPr>
        <w:t>de</w:t>
      </w:r>
      <w:r>
        <w:rPr>
          <w:spacing w:val="-22"/>
          <w:w w:val="115"/>
        </w:rPr>
        <w:t> </w:t>
      </w:r>
      <w:r>
        <w:rPr>
          <w:w w:val="115"/>
        </w:rPr>
        <w:t>la</w:t>
      </w:r>
      <w:r>
        <w:rPr>
          <w:spacing w:val="-22"/>
          <w:w w:val="115"/>
        </w:rPr>
        <w:t> </w:t>
      </w:r>
      <w:r>
        <w:rPr>
          <w:w w:val="115"/>
        </w:rPr>
        <w:t>desvalorización</w:t>
      </w:r>
      <w:r>
        <w:rPr>
          <w:spacing w:val="-22"/>
          <w:w w:val="115"/>
        </w:rPr>
        <w:t> </w:t>
      </w:r>
      <w:r>
        <w:rPr>
          <w:w w:val="115"/>
        </w:rPr>
        <w:t>de</w:t>
      </w:r>
      <w:r>
        <w:rPr>
          <w:spacing w:val="-22"/>
          <w:w w:val="115"/>
        </w:rPr>
        <w:t> </w:t>
      </w:r>
      <w:r>
        <w:rPr>
          <w:w w:val="115"/>
        </w:rPr>
        <w:t>la fuerza</w:t>
      </w:r>
      <w:r>
        <w:rPr>
          <w:spacing w:val="-25"/>
          <w:w w:val="115"/>
        </w:rPr>
        <w:t> </w:t>
      </w:r>
      <w:r>
        <w:rPr>
          <w:w w:val="115"/>
        </w:rPr>
        <w:t>de</w:t>
      </w:r>
      <w:r>
        <w:rPr>
          <w:spacing w:val="-25"/>
          <w:w w:val="115"/>
        </w:rPr>
        <w:t> </w:t>
      </w:r>
      <w:r>
        <w:rPr>
          <w:w w:val="115"/>
        </w:rPr>
        <w:t>trabajo</w:t>
      </w:r>
      <w:r>
        <w:rPr>
          <w:spacing w:val="-25"/>
          <w:w w:val="115"/>
        </w:rPr>
        <w:t> </w:t>
      </w:r>
      <w:r>
        <w:rPr>
          <w:w w:val="115"/>
        </w:rPr>
        <w:t>frente</w:t>
      </w:r>
      <w:r>
        <w:rPr>
          <w:spacing w:val="-25"/>
          <w:w w:val="115"/>
        </w:rPr>
        <w:t> </w:t>
      </w:r>
      <w:r>
        <w:rPr>
          <w:w w:val="115"/>
        </w:rPr>
        <w:t>a</w:t>
      </w:r>
      <w:r>
        <w:rPr>
          <w:spacing w:val="-25"/>
          <w:w w:val="115"/>
        </w:rPr>
        <w:t> </w:t>
      </w:r>
      <w:r>
        <w:rPr>
          <w:w w:val="115"/>
        </w:rPr>
        <w:t>la</w:t>
      </w:r>
      <w:r>
        <w:rPr>
          <w:spacing w:val="-25"/>
          <w:w w:val="115"/>
        </w:rPr>
        <w:t> </w:t>
      </w:r>
      <w:r>
        <w:rPr>
          <w:w w:val="115"/>
        </w:rPr>
        <w:t>maquinaria,</w:t>
      </w:r>
      <w:r>
        <w:rPr>
          <w:spacing w:val="-25"/>
          <w:w w:val="115"/>
        </w:rPr>
        <w:t> </w:t>
      </w:r>
      <w:r>
        <w:rPr>
          <w:w w:val="115"/>
        </w:rPr>
        <w:t>impulsando</w:t>
      </w:r>
      <w:r>
        <w:rPr>
          <w:spacing w:val="-25"/>
          <w:w w:val="115"/>
        </w:rPr>
        <w:t> </w:t>
      </w:r>
      <w:r>
        <w:rPr>
          <w:w w:val="115"/>
        </w:rPr>
        <w:t>el</w:t>
      </w:r>
      <w:r>
        <w:rPr>
          <w:spacing w:val="-25"/>
          <w:w w:val="115"/>
        </w:rPr>
        <w:t> </w:t>
      </w:r>
      <w:r>
        <w:rPr>
          <w:w w:val="115"/>
        </w:rPr>
        <w:t>protagonismo de</w:t>
      </w:r>
      <w:r>
        <w:rPr>
          <w:spacing w:val="-8"/>
          <w:w w:val="115"/>
        </w:rPr>
        <w:t> </w:t>
      </w:r>
      <w:r>
        <w:rPr>
          <w:w w:val="115"/>
        </w:rPr>
        <w:t>la</w:t>
      </w:r>
      <w:r>
        <w:rPr>
          <w:spacing w:val="-8"/>
          <w:w w:val="115"/>
        </w:rPr>
        <w:t> </w:t>
      </w:r>
      <w:r>
        <w:rPr>
          <w:w w:val="115"/>
        </w:rPr>
        <w:t>plusvalía</w:t>
      </w:r>
      <w:r>
        <w:rPr>
          <w:spacing w:val="-8"/>
          <w:w w:val="115"/>
        </w:rPr>
        <w:t> </w:t>
      </w:r>
      <w:r>
        <w:rPr>
          <w:w w:val="115"/>
        </w:rPr>
        <w:t>relativa</w:t>
      </w:r>
      <w:r>
        <w:rPr>
          <w:spacing w:val="-8"/>
          <w:w w:val="115"/>
        </w:rPr>
        <w:t> </w:t>
      </w:r>
      <w:r>
        <w:rPr>
          <w:w w:val="115"/>
        </w:rPr>
        <w:t>y</w:t>
      </w:r>
      <w:r>
        <w:rPr>
          <w:spacing w:val="-8"/>
          <w:w w:val="115"/>
        </w:rPr>
        <w:t> </w:t>
      </w:r>
      <w:r>
        <w:rPr>
          <w:w w:val="115"/>
        </w:rPr>
        <w:t>de</w:t>
      </w:r>
      <w:r>
        <w:rPr>
          <w:spacing w:val="-8"/>
          <w:w w:val="115"/>
        </w:rPr>
        <w:t> </w:t>
      </w:r>
      <w:r>
        <w:rPr>
          <w:w w:val="115"/>
        </w:rPr>
        <w:t>la</w:t>
      </w:r>
      <w:r>
        <w:rPr>
          <w:spacing w:val="-8"/>
          <w:w w:val="115"/>
        </w:rPr>
        <w:t> </w:t>
      </w:r>
      <w:r>
        <w:rPr>
          <w:w w:val="115"/>
        </w:rPr>
        <w:t>subsunción</w:t>
      </w:r>
      <w:r>
        <w:rPr>
          <w:spacing w:val="-8"/>
          <w:w w:val="115"/>
        </w:rPr>
        <w:t> </w:t>
      </w:r>
      <w:r>
        <w:rPr>
          <w:w w:val="115"/>
        </w:rPr>
        <w:t>real</w:t>
      </w:r>
      <w:r>
        <w:rPr>
          <w:spacing w:val="-8"/>
          <w:w w:val="115"/>
        </w:rPr>
        <w:t> </w:t>
      </w:r>
      <w:r>
        <w:rPr>
          <w:w w:val="115"/>
        </w:rPr>
        <w:t>del</w:t>
      </w:r>
      <w:r>
        <w:rPr>
          <w:spacing w:val="-8"/>
          <w:w w:val="115"/>
        </w:rPr>
        <w:t> </w:t>
      </w:r>
      <w:r>
        <w:rPr>
          <w:w w:val="115"/>
        </w:rPr>
        <w:t>trabajo</w:t>
      </w:r>
      <w:r>
        <w:rPr>
          <w:spacing w:val="-8"/>
          <w:w w:val="115"/>
        </w:rPr>
        <w:t> </w:t>
      </w:r>
      <w:r>
        <w:rPr>
          <w:w w:val="115"/>
        </w:rPr>
        <w:t>al</w:t>
      </w:r>
      <w:r>
        <w:rPr>
          <w:spacing w:val="-8"/>
          <w:w w:val="115"/>
        </w:rPr>
        <w:t> </w:t>
      </w:r>
      <w:r>
        <w:rPr>
          <w:w w:val="115"/>
        </w:rPr>
        <w:t>capital.</w:t>
      </w:r>
      <w:r>
        <w:rPr>
          <w:w w:val="115"/>
          <w:position w:val="6"/>
          <w:sz w:val="11"/>
        </w:rPr>
        <w:t>3 </w:t>
      </w:r>
      <w:r>
        <w:rPr>
          <w:w w:val="243"/>
        </w:rPr>
        <w:t>l</w:t>
      </w:r>
      <w:r>
        <w:rPr>
          <w:w w:val="112"/>
        </w:rPr>
        <w:t>a</w:t>
      </w:r>
      <w:r>
        <w:rPr>
          <w:spacing w:val="17"/>
        </w:rPr>
        <w:t> </w:t>
      </w:r>
      <w:r>
        <w:rPr>
          <w:w w:val="109"/>
        </w:rPr>
        <w:t>crisis</w:t>
      </w:r>
      <w:r>
        <w:rPr>
          <w:spacing w:val="17"/>
        </w:rPr>
        <w:t> </w:t>
      </w:r>
      <w:r>
        <w:rPr>
          <w:w w:val="107"/>
        </w:rPr>
        <w:t>de</w:t>
      </w:r>
      <w:r>
        <w:rPr>
          <w:spacing w:val="17"/>
        </w:rPr>
        <w:t> </w:t>
      </w:r>
      <w:r>
        <w:rPr>
          <w:w w:val="111"/>
        </w:rPr>
        <w:t>la</w:t>
      </w:r>
      <w:r>
        <w:rPr>
          <w:spacing w:val="17"/>
        </w:rPr>
        <w:t> </w:t>
      </w:r>
      <w:r>
        <w:rPr>
          <w:w w:val="111"/>
        </w:rPr>
        <w:t>subsunción</w:t>
      </w:r>
      <w:r>
        <w:rPr>
          <w:spacing w:val="17"/>
        </w:rPr>
        <w:t> </w:t>
      </w:r>
      <w:r>
        <w:rPr>
          <w:w w:val="108"/>
        </w:rPr>
        <w:t>real</w:t>
      </w:r>
      <w:r>
        <w:rPr>
          <w:spacing w:val="17"/>
        </w:rPr>
        <w:t> </w:t>
      </w:r>
      <w:r>
        <w:rPr>
          <w:w w:val="105"/>
        </w:rPr>
        <w:t>se</w:t>
      </w:r>
      <w:r>
        <w:rPr>
          <w:spacing w:val="17"/>
        </w:rPr>
        <w:t> </w:t>
      </w:r>
      <w:r>
        <w:rPr>
          <w:w w:val="107"/>
        </w:rPr>
        <w:t>expresó</w:t>
      </w:r>
      <w:r>
        <w:rPr>
          <w:spacing w:val="17"/>
        </w:rPr>
        <w:t> </w:t>
      </w:r>
      <w:r>
        <w:rPr>
          <w:w w:val="108"/>
        </w:rPr>
        <w:t>en</w:t>
      </w:r>
      <w:r>
        <w:rPr>
          <w:spacing w:val="17"/>
        </w:rPr>
        <w:t> </w:t>
      </w:r>
      <w:r>
        <w:rPr>
          <w:w w:val="108"/>
        </w:rPr>
        <w:t>los</w:t>
      </w:r>
      <w:r>
        <w:rPr>
          <w:spacing w:val="17"/>
        </w:rPr>
        <w:t> </w:t>
      </w:r>
      <w:r>
        <w:rPr>
          <w:w w:val="110"/>
        </w:rPr>
        <w:t>movimientos</w:t>
      </w:r>
      <w:r>
        <w:rPr>
          <w:spacing w:val="17"/>
        </w:rPr>
        <w:t> </w:t>
      </w:r>
      <w:r>
        <w:rPr>
          <w:w w:val="107"/>
        </w:rPr>
        <w:t>de</w:t>
      </w:r>
      <w:r>
        <w:rPr>
          <w:spacing w:val="17"/>
        </w:rPr>
        <w:t> </w:t>
      </w:r>
      <w:r>
        <w:rPr>
          <w:w w:val="113"/>
        </w:rPr>
        <w:t>m</w:t>
      </w:r>
      <w:r>
        <w:rPr>
          <w:spacing w:val="-1"/>
          <w:w w:val="113"/>
        </w:rPr>
        <w:t>a</w:t>
      </w:r>
      <w:r>
        <w:rPr>
          <w:w w:val="102"/>
        </w:rPr>
        <w:t>- </w:t>
      </w:r>
      <w:r>
        <w:rPr>
          <w:w w:val="115"/>
        </w:rPr>
        <w:t>sas</w:t>
      </w:r>
      <w:r>
        <w:rPr>
          <w:spacing w:val="-17"/>
          <w:w w:val="115"/>
        </w:rPr>
        <w:t> </w:t>
      </w:r>
      <w:r>
        <w:rPr>
          <w:w w:val="115"/>
        </w:rPr>
        <w:t>que</w:t>
      </w:r>
      <w:r>
        <w:rPr>
          <w:spacing w:val="-17"/>
          <w:w w:val="115"/>
        </w:rPr>
        <w:t> </w:t>
      </w:r>
      <w:r>
        <w:rPr>
          <w:w w:val="115"/>
        </w:rPr>
        <w:t>se</w:t>
      </w:r>
      <w:r>
        <w:rPr>
          <w:spacing w:val="-17"/>
          <w:w w:val="115"/>
        </w:rPr>
        <w:t> </w:t>
      </w:r>
      <w:r>
        <w:rPr>
          <w:w w:val="115"/>
        </w:rPr>
        <w:t>iniciaron</w:t>
      </w:r>
      <w:r>
        <w:rPr>
          <w:spacing w:val="-17"/>
          <w:w w:val="115"/>
        </w:rPr>
        <w:t> </w:t>
      </w:r>
      <w:r>
        <w:rPr>
          <w:w w:val="115"/>
        </w:rPr>
        <w:t>en</w:t>
      </w:r>
      <w:r>
        <w:rPr>
          <w:spacing w:val="-17"/>
          <w:w w:val="115"/>
        </w:rPr>
        <w:t> </w:t>
      </w:r>
      <w:r>
        <w:rPr>
          <w:w w:val="115"/>
        </w:rPr>
        <w:t>forma</w:t>
      </w:r>
      <w:r>
        <w:rPr>
          <w:spacing w:val="-17"/>
          <w:w w:val="115"/>
        </w:rPr>
        <w:t> </w:t>
      </w:r>
      <w:r>
        <w:rPr>
          <w:w w:val="115"/>
        </w:rPr>
        <w:t>explosiva</w:t>
      </w:r>
      <w:r>
        <w:rPr>
          <w:spacing w:val="-17"/>
          <w:w w:val="115"/>
        </w:rPr>
        <w:t> </w:t>
      </w:r>
      <w:r>
        <w:rPr>
          <w:w w:val="115"/>
        </w:rPr>
        <w:t>en</w:t>
      </w:r>
      <w:r>
        <w:rPr>
          <w:spacing w:val="-17"/>
          <w:w w:val="115"/>
        </w:rPr>
        <w:t> </w:t>
      </w:r>
      <w:r>
        <w:rPr>
          <w:w w:val="115"/>
        </w:rPr>
        <w:t>1968</w:t>
      </w:r>
      <w:r>
        <w:rPr>
          <w:spacing w:val="-17"/>
          <w:w w:val="115"/>
        </w:rPr>
        <w:t> </w:t>
      </w:r>
      <w:r>
        <w:rPr>
          <w:w w:val="115"/>
        </w:rPr>
        <w:t>y</w:t>
      </w:r>
      <w:r>
        <w:rPr>
          <w:spacing w:val="-17"/>
          <w:w w:val="115"/>
        </w:rPr>
        <w:t> </w:t>
      </w:r>
      <w:r>
        <w:rPr>
          <w:w w:val="115"/>
        </w:rPr>
        <w:t>avanzaron</w:t>
      </w:r>
      <w:r>
        <w:rPr>
          <w:spacing w:val="-17"/>
          <w:w w:val="115"/>
        </w:rPr>
        <w:t> </w:t>
      </w:r>
      <w:r>
        <w:rPr>
          <w:w w:val="115"/>
        </w:rPr>
        <w:t>durante los años setenta, uniendo a estudiantes, trabajadores y amplias mi- norías</w:t>
      </w:r>
      <w:r>
        <w:rPr>
          <w:spacing w:val="-13"/>
          <w:w w:val="115"/>
        </w:rPr>
        <w:t> </w:t>
      </w:r>
      <w:r>
        <w:rPr>
          <w:w w:val="115"/>
        </w:rPr>
        <w:t>para</w:t>
      </w:r>
      <w:r>
        <w:rPr>
          <w:spacing w:val="-13"/>
          <w:w w:val="115"/>
        </w:rPr>
        <w:t> </w:t>
      </w:r>
      <w:r>
        <w:rPr>
          <w:w w:val="115"/>
        </w:rPr>
        <w:t>confrontar</w:t>
      </w:r>
      <w:r>
        <w:rPr>
          <w:spacing w:val="-13"/>
          <w:w w:val="115"/>
        </w:rPr>
        <w:t> </w:t>
      </w:r>
      <w:r>
        <w:rPr>
          <w:w w:val="115"/>
        </w:rPr>
        <w:t>la</w:t>
      </w:r>
      <w:r>
        <w:rPr>
          <w:spacing w:val="-13"/>
          <w:w w:val="115"/>
        </w:rPr>
        <w:t> </w:t>
      </w:r>
      <w:r>
        <w:rPr>
          <w:w w:val="115"/>
        </w:rPr>
        <w:t>autocracia</w:t>
      </w:r>
      <w:r>
        <w:rPr>
          <w:spacing w:val="-13"/>
          <w:w w:val="115"/>
        </w:rPr>
        <w:t> </w:t>
      </w:r>
      <w:r>
        <w:rPr>
          <w:w w:val="115"/>
        </w:rPr>
        <w:t>o</w:t>
      </w:r>
      <w:r>
        <w:rPr>
          <w:spacing w:val="-13"/>
          <w:w w:val="115"/>
        </w:rPr>
        <w:t> </w:t>
      </w:r>
      <w:r>
        <w:rPr>
          <w:w w:val="115"/>
        </w:rPr>
        <w:t>despotismo</w:t>
      </w:r>
      <w:r>
        <w:rPr>
          <w:spacing w:val="-13"/>
          <w:w w:val="115"/>
        </w:rPr>
        <w:t> </w:t>
      </w:r>
      <w:r>
        <w:rPr>
          <w:w w:val="115"/>
        </w:rPr>
        <w:t>institucional</w:t>
      </w:r>
      <w:r>
        <w:rPr>
          <w:spacing w:val="-13"/>
          <w:w w:val="115"/>
        </w:rPr>
        <w:t> </w:t>
      </w:r>
      <w:r>
        <w:rPr>
          <w:w w:val="115"/>
        </w:rPr>
        <w:t>de</w:t>
      </w:r>
      <w:r>
        <w:rPr>
          <w:spacing w:val="-13"/>
          <w:w w:val="115"/>
        </w:rPr>
        <w:t> </w:t>
      </w:r>
      <w:r>
        <w:rPr>
          <w:w w:val="115"/>
        </w:rPr>
        <w:t>la </w:t>
      </w:r>
      <w:r>
        <w:rPr>
          <w:w w:val="110"/>
        </w:rPr>
        <w:t>burocracia, la separación entre trabajadores manuales e intelectuales, </w:t>
      </w:r>
      <w:r>
        <w:rPr>
          <w:w w:val="115"/>
        </w:rPr>
        <w:t>el</w:t>
      </w:r>
      <w:r>
        <w:rPr>
          <w:spacing w:val="-28"/>
          <w:w w:val="115"/>
        </w:rPr>
        <w:t> </w:t>
      </w:r>
      <w:r>
        <w:rPr>
          <w:w w:val="115"/>
        </w:rPr>
        <w:t>colonialismo</w:t>
      </w:r>
      <w:r>
        <w:rPr>
          <w:spacing w:val="-28"/>
          <w:w w:val="115"/>
        </w:rPr>
        <w:t> </w:t>
      </w:r>
      <w:r>
        <w:rPr>
          <w:w w:val="115"/>
        </w:rPr>
        <w:t>interno,</w:t>
      </w:r>
      <w:r>
        <w:rPr>
          <w:spacing w:val="-28"/>
          <w:w w:val="115"/>
        </w:rPr>
        <w:t> </w:t>
      </w:r>
      <w:r>
        <w:rPr>
          <w:w w:val="115"/>
        </w:rPr>
        <w:t>los</w:t>
      </w:r>
      <w:r>
        <w:rPr>
          <w:spacing w:val="-28"/>
          <w:w w:val="115"/>
        </w:rPr>
        <w:t> </w:t>
      </w:r>
      <w:r>
        <w:rPr>
          <w:w w:val="115"/>
        </w:rPr>
        <w:t>límites</w:t>
      </w:r>
      <w:r>
        <w:rPr>
          <w:spacing w:val="-28"/>
          <w:w w:val="115"/>
        </w:rPr>
        <w:t> </w:t>
      </w:r>
      <w:r>
        <w:rPr>
          <w:w w:val="115"/>
        </w:rPr>
        <w:t>de</w:t>
      </w:r>
      <w:r>
        <w:rPr>
          <w:spacing w:val="-28"/>
          <w:w w:val="115"/>
        </w:rPr>
        <w:t> </w:t>
      </w:r>
      <w:r>
        <w:rPr>
          <w:w w:val="115"/>
        </w:rPr>
        <w:t>la</w:t>
      </w:r>
      <w:r>
        <w:rPr>
          <w:spacing w:val="-28"/>
          <w:w w:val="115"/>
        </w:rPr>
        <w:t> </w:t>
      </w:r>
      <w:r>
        <w:rPr>
          <w:w w:val="115"/>
        </w:rPr>
        <w:t>democracia</w:t>
      </w:r>
      <w:r>
        <w:rPr>
          <w:spacing w:val="-28"/>
          <w:w w:val="115"/>
        </w:rPr>
        <w:t> </w:t>
      </w:r>
      <w:r>
        <w:rPr>
          <w:w w:val="115"/>
        </w:rPr>
        <w:t>representativa,</w:t>
      </w:r>
      <w:r>
        <w:rPr>
          <w:spacing w:val="-28"/>
          <w:w w:val="115"/>
        </w:rPr>
        <w:t> </w:t>
      </w:r>
      <w:r>
        <w:rPr>
          <w:w w:val="115"/>
        </w:rPr>
        <w:t>el imperialismo,</w:t>
      </w:r>
      <w:r>
        <w:rPr>
          <w:spacing w:val="-19"/>
          <w:w w:val="115"/>
        </w:rPr>
        <w:t> </w:t>
      </w:r>
      <w:r>
        <w:rPr>
          <w:w w:val="115"/>
        </w:rPr>
        <w:t>la</w:t>
      </w:r>
      <w:r>
        <w:rPr>
          <w:spacing w:val="-19"/>
          <w:w w:val="115"/>
        </w:rPr>
        <w:t> </w:t>
      </w:r>
      <w:r>
        <w:rPr>
          <w:w w:val="115"/>
        </w:rPr>
        <w:t>guerra</w:t>
      </w:r>
      <w:r>
        <w:rPr>
          <w:spacing w:val="-19"/>
          <w:w w:val="115"/>
        </w:rPr>
        <w:t> </w:t>
      </w:r>
      <w:r>
        <w:rPr>
          <w:w w:val="115"/>
        </w:rPr>
        <w:t>y</w:t>
      </w:r>
      <w:r>
        <w:rPr>
          <w:spacing w:val="-19"/>
          <w:w w:val="115"/>
        </w:rPr>
        <w:t> </w:t>
      </w:r>
      <w:r>
        <w:rPr>
          <w:w w:val="115"/>
        </w:rPr>
        <w:t>la</w:t>
      </w:r>
      <w:r>
        <w:rPr>
          <w:spacing w:val="-19"/>
          <w:w w:val="115"/>
        </w:rPr>
        <w:t> </w:t>
      </w:r>
      <w:r>
        <w:rPr>
          <w:w w:val="115"/>
        </w:rPr>
        <w:t>destrucción</w:t>
      </w:r>
      <w:r>
        <w:rPr>
          <w:spacing w:val="-19"/>
          <w:w w:val="115"/>
        </w:rPr>
        <w:t> </w:t>
      </w:r>
      <w:r>
        <w:rPr>
          <w:w w:val="115"/>
        </w:rPr>
        <w:t>ecológica</w:t>
      </w:r>
      <w:r>
        <w:rPr>
          <w:spacing w:val="-19"/>
          <w:w w:val="115"/>
        </w:rPr>
        <w:t> </w:t>
      </w:r>
      <w:r>
        <w:rPr>
          <w:w w:val="115"/>
        </w:rPr>
        <w:t>del</w:t>
      </w:r>
      <w:r>
        <w:rPr>
          <w:spacing w:val="-19"/>
          <w:w w:val="115"/>
        </w:rPr>
        <w:t> </w:t>
      </w:r>
      <w:r>
        <w:rPr>
          <w:w w:val="115"/>
        </w:rPr>
        <w:t>planeta.</w:t>
      </w:r>
    </w:p>
    <w:p>
      <w:pPr>
        <w:pStyle w:val="BodyText"/>
        <w:spacing w:line="252" w:lineRule="auto"/>
        <w:ind w:left="330" w:right="121" w:firstLine="396"/>
        <w:jc w:val="both"/>
      </w:pPr>
      <w:r>
        <w:rPr>
          <w:w w:val="110"/>
        </w:rPr>
        <w:t>Esta ofensiva avanza durante la década de 1970; pierde su </w:t>
      </w:r>
      <w:r>
        <w:rPr>
          <w:spacing w:val="-2"/>
          <w:w w:val="110"/>
        </w:rPr>
        <w:t>fuerza </w:t>
      </w:r>
      <w:r>
        <w:rPr>
          <w:w w:val="110"/>
        </w:rPr>
        <w:t>explosiva,</w:t>
      </w:r>
      <w:r>
        <w:rPr>
          <w:spacing w:val="-23"/>
          <w:w w:val="110"/>
        </w:rPr>
        <w:t> </w:t>
      </w:r>
      <w:r>
        <w:rPr>
          <w:w w:val="110"/>
        </w:rPr>
        <w:t>siendo</w:t>
      </w:r>
      <w:r>
        <w:rPr>
          <w:spacing w:val="-23"/>
          <w:w w:val="110"/>
        </w:rPr>
        <w:t> </w:t>
      </w:r>
      <w:r>
        <w:rPr>
          <w:w w:val="110"/>
        </w:rPr>
        <w:t>confrontada</w:t>
      </w:r>
      <w:r>
        <w:rPr>
          <w:spacing w:val="-23"/>
          <w:w w:val="110"/>
        </w:rPr>
        <w:t> </w:t>
      </w:r>
      <w:r>
        <w:rPr>
          <w:w w:val="110"/>
        </w:rPr>
        <w:t>por</w:t>
      </w:r>
      <w:r>
        <w:rPr>
          <w:spacing w:val="-23"/>
          <w:w w:val="110"/>
        </w:rPr>
        <w:t> </w:t>
      </w:r>
      <w:r>
        <w:rPr>
          <w:w w:val="110"/>
        </w:rPr>
        <w:t>el</w:t>
      </w:r>
      <w:r>
        <w:rPr>
          <w:spacing w:val="-23"/>
          <w:w w:val="110"/>
        </w:rPr>
        <w:t> </w:t>
      </w:r>
      <w:r>
        <w:rPr>
          <w:w w:val="110"/>
        </w:rPr>
        <w:t>neoliberalismo</w:t>
      </w:r>
      <w:r>
        <w:rPr>
          <w:spacing w:val="-23"/>
          <w:w w:val="110"/>
        </w:rPr>
        <w:t> </w:t>
      </w:r>
      <w:r>
        <w:rPr>
          <w:w w:val="110"/>
        </w:rPr>
        <w:t>a</w:t>
      </w:r>
      <w:r>
        <w:rPr>
          <w:spacing w:val="-23"/>
          <w:w w:val="110"/>
        </w:rPr>
        <w:t> </w:t>
      </w:r>
      <w:r>
        <w:rPr>
          <w:w w:val="110"/>
        </w:rPr>
        <w:t>partir</w:t>
      </w:r>
      <w:r>
        <w:rPr>
          <w:spacing w:val="-23"/>
          <w:w w:val="110"/>
        </w:rPr>
        <w:t> </w:t>
      </w:r>
      <w:r>
        <w:rPr>
          <w:w w:val="110"/>
        </w:rPr>
        <w:t>de</w:t>
      </w:r>
      <w:r>
        <w:rPr>
          <w:spacing w:val="-23"/>
          <w:w w:val="110"/>
        </w:rPr>
        <w:t> </w:t>
      </w:r>
      <w:r>
        <w:rPr>
          <w:w w:val="110"/>
        </w:rPr>
        <w:t>la</w:t>
      </w:r>
      <w:r>
        <w:rPr>
          <w:spacing w:val="-23"/>
          <w:w w:val="110"/>
        </w:rPr>
        <w:t> </w:t>
      </w:r>
      <w:r>
        <w:rPr>
          <w:spacing w:val="-2"/>
          <w:w w:val="110"/>
        </w:rPr>
        <w:t>década </w:t>
      </w:r>
      <w:r>
        <w:rPr>
          <w:w w:val="110"/>
        </w:rPr>
        <w:t>de</w:t>
      </w:r>
      <w:r>
        <w:rPr>
          <w:spacing w:val="-14"/>
          <w:w w:val="110"/>
        </w:rPr>
        <w:t> </w:t>
      </w:r>
      <w:r>
        <w:rPr>
          <w:w w:val="110"/>
        </w:rPr>
        <w:t>1980,</w:t>
      </w:r>
      <w:r>
        <w:rPr>
          <w:spacing w:val="-14"/>
          <w:w w:val="110"/>
        </w:rPr>
        <w:t> </w:t>
      </w:r>
      <w:r>
        <w:rPr>
          <w:w w:val="110"/>
        </w:rPr>
        <w:t>al</w:t>
      </w:r>
      <w:r>
        <w:rPr>
          <w:spacing w:val="-14"/>
          <w:w w:val="110"/>
        </w:rPr>
        <w:t> </w:t>
      </w:r>
      <w:r>
        <w:rPr>
          <w:w w:val="110"/>
        </w:rPr>
        <w:t>sustituir</w:t>
      </w:r>
      <w:r>
        <w:rPr>
          <w:spacing w:val="-14"/>
          <w:w w:val="110"/>
        </w:rPr>
        <w:t> </w:t>
      </w:r>
      <w:r>
        <w:rPr>
          <w:w w:val="110"/>
        </w:rPr>
        <w:t>el</w:t>
      </w:r>
      <w:r>
        <w:rPr>
          <w:spacing w:val="-14"/>
          <w:w w:val="110"/>
        </w:rPr>
        <w:t> </w:t>
      </w:r>
      <w:r>
        <w:rPr>
          <w:w w:val="110"/>
        </w:rPr>
        <w:t>keynesianismo;</w:t>
      </w:r>
      <w:r>
        <w:rPr>
          <w:spacing w:val="-14"/>
          <w:w w:val="110"/>
        </w:rPr>
        <w:t> </w:t>
      </w:r>
      <w:r>
        <w:rPr>
          <w:w w:val="110"/>
        </w:rPr>
        <w:t>de</w:t>
      </w:r>
      <w:r>
        <w:rPr>
          <w:spacing w:val="-14"/>
          <w:w w:val="110"/>
        </w:rPr>
        <w:t> </w:t>
      </w:r>
      <w:r>
        <w:rPr>
          <w:w w:val="110"/>
        </w:rPr>
        <w:t>esta</w:t>
      </w:r>
      <w:r>
        <w:rPr>
          <w:spacing w:val="-14"/>
          <w:w w:val="110"/>
        </w:rPr>
        <w:t> </w:t>
      </w:r>
      <w:r>
        <w:rPr>
          <w:w w:val="110"/>
        </w:rPr>
        <w:t>manera</w:t>
      </w:r>
      <w:r>
        <w:rPr>
          <w:spacing w:val="-14"/>
          <w:w w:val="110"/>
        </w:rPr>
        <w:t> </w:t>
      </w:r>
      <w:r>
        <w:rPr>
          <w:w w:val="110"/>
        </w:rPr>
        <w:t>se</w:t>
      </w:r>
      <w:r>
        <w:rPr>
          <w:spacing w:val="-14"/>
          <w:w w:val="110"/>
        </w:rPr>
        <w:t> </w:t>
      </w:r>
      <w:r>
        <w:rPr>
          <w:w w:val="110"/>
        </w:rPr>
        <w:t>transformó</w:t>
      </w:r>
      <w:r>
        <w:rPr>
          <w:spacing w:val="-14"/>
          <w:w w:val="110"/>
        </w:rPr>
        <w:t> </w:t>
      </w:r>
      <w:r>
        <w:rPr>
          <w:w w:val="110"/>
        </w:rPr>
        <w:t>en un</w:t>
      </w:r>
      <w:r>
        <w:rPr>
          <w:spacing w:val="-25"/>
          <w:w w:val="110"/>
        </w:rPr>
        <w:t> </w:t>
      </w:r>
      <w:r>
        <w:rPr>
          <w:w w:val="110"/>
        </w:rPr>
        <w:t>instrumento</w:t>
      </w:r>
      <w:r>
        <w:rPr>
          <w:spacing w:val="-25"/>
          <w:w w:val="110"/>
        </w:rPr>
        <w:t> </w:t>
      </w:r>
      <w:r>
        <w:rPr>
          <w:w w:val="110"/>
        </w:rPr>
        <w:t>regulatorio</w:t>
      </w:r>
      <w:r>
        <w:rPr>
          <w:spacing w:val="-25"/>
          <w:w w:val="110"/>
        </w:rPr>
        <w:t> </w:t>
      </w:r>
      <w:r>
        <w:rPr>
          <w:w w:val="110"/>
        </w:rPr>
        <w:t>decisivo</w:t>
      </w:r>
      <w:r>
        <w:rPr>
          <w:spacing w:val="-25"/>
          <w:w w:val="110"/>
        </w:rPr>
        <w:t> </w:t>
      </w:r>
      <w:r>
        <w:rPr>
          <w:w w:val="110"/>
        </w:rPr>
        <w:t>del</w:t>
      </w:r>
      <w:r>
        <w:rPr>
          <w:spacing w:val="-25"/>
          <w:w w:val="110"/>
        </w:rPr>
        <w:t> </w:t>
      </w:r>
      <w:r>
        <w:rPr>
          <w:w w:val="110"/>
        </w:rPr>
        <w:t>capital</w:t>
      </w:r>
      <w:r>
        <w:rPr>
          <w:spacing w:val="-25"/>
          <w:w w:val="110"/>
        </w:rPr>
        <w:t> </w:t>
      </w:r>
      <w:r>
        <w:rPr>
          <w:w w:val="110"/>
        </w:rPr>
        <w:t>para</w:t>
      </w:r>
      <w:r>
        <w:rPr>
          <w:spacing w:val="-25"/>
          <w:w w:val="110"/>
        </w:rPr>
        <w:t> </w:t>
      </w:r>
      <w:r>
        <w:rPr>
          <w:w w:val="110"/>
        </w:rPr>
        <w:t>contener</w:t>
      </w:r>
      <w:r>
        <w:rPr>
          <w:spacing w:val="-25"/>
          <w:w w:val="110"/>
        </w:rPr>
        <w:t> </w:t>
      </w:r>
      <w:r>
        <w:rPr>
          <w:w w:val="110"/>
        </w:rPr>
        <w:t>los</w:t>
      </w:r>
      <w:r>
        <w:rPr>
          <w:spacing w:val="-25"/>
          <w:w w:val="110"/>
        </w:rPr>
        <w:t> </w:t>
      </w:r>
      <w:r>
        <w:rPr>
          <w:spacing w:val="-2"/>
          <w:w w:val="110"/>
        </w:rPr>
        <w:t>nuevos </w:t>
      </w:r>
      <w:r>
        <w:rPr>
          <w:w w:val="110"/>
        </w:rPr>
        <w:t>movimientos</w:t>
      </w:r>
      <w:r>
        <w:rPr>
          <w:spacing w:val="-16"/>
          <w:w w:val="110"/>
        </w:rPr>
        <w:t> </w:t>
      </w:r>
      <w:r>
        <w:rPr>
          <w:w w:val="110"/>
        </w:rPr>
        <w:t>sociales,</w:t>
      </w:r>
      <w:r>
        <w:rPr>
          <w:spacing w:val="-16"/>
          <w:w w:val="110"/>
        </w:rPr>
        <w:t> </w:t>
      </w:r>
      <w:r>
        <w:rPr>
          <w:w w:val="110"/>
        </w:rPr>
        <w:t>refundar</w:t>
      </w:r>
      <w:r>
        <w:rPr>
          <w:spacing w:val="-16"/>
          <w:w w:val="110"/>
        </w:rPr>
        <w:t> </w:t>
      </w:r>
      <w:r>
        <w:rPr>
          <w:w w:val="110"/>
        </w:rPr>
        <w:t>el</w:t>
      </w:r>
      <w:r>
        <w:rPr>
          <w:spacing w:val="-16"/>
          <w:w w:val="110"/>
        </w:rPr>
        <w:t> </w:t>
      </w:r>
      <w:r>
        <w:rPr>
          <w:w w:val="110"/>
        </w:rPr>
        <w:t>Estado</w:t>
      </w:r>
      <w:r>
        <w:rPr>
          <w:spacing w:val="-16"/>
          <w:w w:val="110"/>
        </w:rPr>
        <w:t> </w:t>
      </w:r>
      <w:r>
        <w:rPr>
          <w:w w:val="110"/>
        </w:rPr>
        <w:t>y</w:t>
      </w:r>
      <w:r>
        <w:rPr>
          <w:spacing w:val="-16"/>
          <w:w w:val="110"/>
        </w:rPr>
        <w:t> </w:t>
      </w:r>
      <w:r>
        <w:rPr>
          <w:w w:val="110"/>
        </w:rPr>
        <w:t>crear</w:t>
      </w:r>
      <w:r>
        <w:rPr>
          <w:spacing w:val="-16"/>
          <w:w w:val="110"/>
        </w:rPr>
        <w:t> </w:t>
      </w:r>
      <w:r>
        <w:rPr>
          <w:w w:val="110"/>
        </w:rPr>
        <w:t>las</w:t>
      </w:r>
      <w:r>
        <w:rPr>
          <w:spacing w:val="-16"/>
          <w:w w:val="110"/>
        </w:rPr>
        <w:t> </w:t>
      </w:r>
      <w:r>
        <w:rPr>
          <w:w w:val="110"/>
        </w:rPr>
        <w:t>condiciones</w:t>
      </w:r>
      <w:r>
        <w:rPr>
          <w:spacing w:val="-16"/>
          <w:w w:val="110"/>
        </w:rPr>
        <w:t> </w:t>
      </w:r>
      <w:r>
        <w:rPr>
          <w:w w:val="110"/>
        </w:rPr>
        <w:t>para</w:t>
      </w:r>
      <w:r>
        <w:rPr>
          <w:spacing w:val="-16"/>
          <w:w w:val="110"/>
        </w:rPr>
        <w:t> </w:t>
      </w:r>
      <w:r>
        <w:rPr>
          <w:w w:val="110"/>
        </w:rPr>
        <w:t>el</w:t>
      </w:r>
    </w:p>
    <w:p>
      <w:pPr>
        <w:pStyle w:val="BodyText"/>
        <w:spacing w:before="5"/>
        <w:rPr>
          <w:sz w:val="23"/>
        </w:rPr>
      </w:pPr>
      <w:r>
        <w:rPr/>
        <w:pict>
          <v:line style="position:absolute;mso-position-horizontal-relative:page;mso-position-vertical-relative:paragraph;z-index:1744;mso-wrap-distance-left:0;mso-wrap-distance-right:0" from="76.5354pt,15.95744pt" to="104.8814pt,15.95744pt" stroked="true" strokeweight=".5pt" strokecolor="#000000">
            <w10:wrap type="topAndBottom"/>
          </v:line>
        </w:pict>
      </w:r>
    </w:p>
    <w:p>
      <w:pPr>
        <w:pStyle w:val="ListParagraph"/>
        <w:numPr>
          <w:ilvl w:val="0"/>
          <w:numId w:val="2"/>
        </w:numPr>
        <w:tabs>
          <w:tab w:pos="586" w:val="left" w:leader="none"/>
        </w:tabs>
        <w:spacing w:line="242" w:lineRule="auto" w:before="89" w:after="0"/>
        <w:ind w:left="330" w:right="117" w:firstLine="0"/>
        <w:jc w:val="both"/>
        <w:rPr>
          <w:sz w:val="16"/>
        </w:rPr>
      </w:pPr>
      <w:r>
        <w:rPr>
          <w:w w:val="110"/>
          <w:sz w:val="16"/>
        </w:rPr>
        <w:t>Hemos demostrado en un conjunto de trabajos como </w:t>
      </w:r>
      <w:r>
        <w:rPr>
          <w:i/>
          <w:w w:val="110"/>
          <w:sz w:val="16"/>
        </w:rPr>
        <w:t>Globalização, dependência </w:t>
      </w:r>
      <w:r>
        <w:rPr>
          <w:i/>
          <w:w w:val="110"/>
          <w:sz w:val="16"/>
        </w:rPr>
        <w:t>e neoliberalismo na América Latina </w:t>
      </w:r>
      <w:r>
        <w:rPr>
          <w:w w:val="110"/>
          <w:sz w:val="16"/>
        </w:rPr>
        <w:t>(2011) y </w:t>
      </w:r>
      <w:r>
        <w:rPr>
          <w:i/>
          <w:w w:val="110"/>
          <w:sz w:val="16"/>
        </w:rPr>
        <w:t>América Latina e a economia mundial: </w:t>
      </w:r>
      <w:r>
        <w:rPr>
          <w:i/>
          <w:w w:val="110"/>
          <w:sz w:val="16"/>
        </w:rPr>
        <w:t>conjuntura,</w:t>
      </w:r>
      <w:r>
        <w:rPr>
          <w:i/>
          <w:spacing w:val="-13"/>
          <w:w w:val="110"/>
          <w:sz w:val="16"/>
        </w:rPr>
        <w:t> </w:t>
      </w:r>
      <w:r>
        <w:rPr>
          <w:i/>
          <w:w w:val="110"/>
          <w:sz w:val="16"/>
        </w:rPr>
        <w:t>desenvolvimento</w:t>
      </w:r>
      <w:r>
        <w:rPr>
          <w:i/>
          <w:spacing w:val="-13"/>
          <w:w w:val="110"/>
          <w:sz w:val="16"/>
        </w:rPr>
        <w:t> </w:t>
      </w:r>
      <w:r>
        <w:rPr>
          <w:i/>
          <w:w w:val="110"/>
          <w:sz w:val="16"/>
        </w:rPr>
        <w:t>e</w:t>
      </w:r>
      <w:r>
        <w:rPr>
          <w:i/>
          <w:spacing w:val="-13"/>
          <w:w w:val="110"/>
          <w:sz w:val="16"/>
        </w:rPr>
        <w:t> </w:t>
      </w:r>
      <w:r>
        <w:rPr>
          <w:i/>
          <w:w w:val="110"/>
          <w:sz w:val="16"/>
        </w:rPr>
        <w:t>prospectiva</w:t>
      </w:r>
      <w:r>
        <w:rPr>
          <w:i/>
          <w:spacing w:val="-13"/>
          <w:w w:val="110"/>
          <w:sz w:val="16"/>
        </w:rPr>
        <w:t> </w:t>
      </w:r>
      <w:r>
        <w:rPr>
          <w:w w:val="110"/>
          <w:sz w:val="16"/>
        </w:rPr>
        <w:t>(2011),</w:t>
      </w:r>
      <w:r>
        <w:rPr>
          <w:spacing w:val="-13"/>
          <w:w w:val="110"/>
          <w:sz w:val="16"/>
        </w:rPr>
        <w:t> </w:t>
      </w:r>
      <w:r>
        <w:rPr>
          <w:w w:val="110"/>
          <w:sz w:val="16"/>
        </w:rPr>
        <w:t>los</w:t>
      </w:r>
      <w:r>
        <w:rPr>
          <w:spacing w:val="-13"/>
          <w:w w:val="110"/>
          <w:sz w:val="16"/>
        </w:rPr>
        <w:t> </w:t>
      </w:r>
      <w:r>
        <w:rPr>
          <w:w w:val="110"/>
          <w:sz w:val="16"/>
        </w:rPr>
        <w:t>efectos</w:t>
      </w:r>
      <w:r>
        <w:rPr>
          <w:spacing w:val="-13"/>
          <w:w w:val="110"/>
          <w:sz w:val="16"/>
        </w:rPr>
        <w:t> </w:t>
      </w:r>
      <w:r>
        <w:rPr>
          <w:w w:val="110"/>
          <w:sz w:val="16"/>
        </w:rPr>
        <w:t>de</w:t>
      </w:r>
      <w:r>
        <w:rPr>
          <w:spacing w:val="-13"/>
          <w:w w:val="110"/>
          <w:sz w:val="16"/>
        </w:rPr>
        <w:t> </w:t>
      </w:r>
      <w:r>
        <w:rPr>
          <w:w w:val="110"/>
          <w:sz w:val="16"/>
        </w:rPr>
        <w:t>la</w:t>
      </w:r>
      <w:r>
        <w:rPr>
          <w:spacing w:val="-13"/>
          <w:w w:val="110"/>
          <w:sz w:val="16"/>
        </w:rPr>
        <w:t> </w:t>
      </w:r>
      <w:r>
        <w:rPr>
          <w:w w:val="110"/>
          <w:sz w:val="16"/>
        </w:rPr>
        <w:t>mundialización</w:t>
      </w:r>
      <w:r>
        <w:rPr>
          <w:spacing w:val="-13"/>
          <w:w w:val="110"/>
          <w:sz w:val="16"/>
        </w:rPr>
        <w:t> </w:t>
      </w:r>
      <w:r>
        <w:rPr>
          <w:w w:val="110"/>
          <w:sz w:val="16"/>
        </w:rPr>
        <w:t>de la revolución científico-técnica sobre el proceso de trabajo, la formación de valor y los</w:t>
      </w:r>
      <w:r>
        <w:rPr>
          <w:spacing w:val="-3"/>
          <w:w w:val="110"/>
          <w:sz w:val="16"/>
        </w:rPr>
        <w:t> </w:t>
      </w:r>
      <w:r>
        <w:rPr>
          <w:w w:val="110"/>
          <w:sz w:val="16"/>
        </w:rPr>
        <w:t>procesos</w:t>
      </w:r>
      <w:r>
        <w:rPr>
          <w:spacing w:val="-3"/>
          <w:w w:val="110"/>
          <w:sz w:val="16"/>
        </w:rPr>
        <w:t> </w:t>
      </w:r>
      <w:r>
        <w:rPr>
          <w:w w:val="110"/>
          <w:sz w:val="16"/>
        </w:rPr>
        <w:t>de</w:t>
      </w:r>
      <w:r>
        <w:rPr>
          <w:spacing w:val="-3"/>
          <w:w w:val="110"/>
          <w:sz w:val="16"/>
        </w:rPr>
        <w:t> </w:t>
      </w:r>
      <w:r>
        <w:rPr>
          <w:w w:val="110"/>
          <w:sz w:val="16"/>
        </w:rPr>
        <w:t>acumulación</w:t>
      </w:r>
      <w:r>
        <w:rPr>
          <w:spacing w:val="-3"/>
          <w:w w:val="110"/>
          <w:sz w:val="16"/>
        </w:rPr>
        <w:t> </w:t>
      </w:r>
      <w:r>
        <w:rPr>
          <w:w w:val="110"/>
          <w:sz w:val="16"/>
        </w:rPr>
        <w:t>de</w:t>
      </w:r>
      <w:r>
        <w:rPr>
          <w:spacing w:val="-3"/>
          <w:w w:val="110"/>
          <w:sz w:val="16"/>
        </w:rPr>
        <w:t> </w:t>
      </w:r>
      <w:r>
        <w:rPr>
          <w:w w:val="110"/>
          <w:sz w:val="16"/>
        </w:rPr>
        <w:t>capital.</w:t>
      </w:r>
      <w:r>
        <w:rPr>
          <w:spacing w:val="-3"/>
          <w:w w:val="110"/>
          <w:sz w:val="16"/>
        </w:rPr>
        <w:t> </w:t>
      </w:r>
      <w:r>
        <w:rPr>
          <w:w w:val="110"/>
          <w:sz w:val="16"/>
        </w:rPr>
        <w:t>al</w:t>
      </w:r>
      <w:r>
        <w:rPr>
          <w:spacing w:val="-3"/>
          <w:w w:val="110"/>
          <w:sz w:val="16"/>
        </w:rPr>
        <w:t> </w:t>
      </w:r>
      <w:r>
        <w:rPr>
          <w:w w:val="110"/>
          <w:sz w:val="16"/>
        </w:rPr>
        <w:t>establecer</w:t>
      </w:r>
      <w:r>
        <w:rPr>
          <w:spacing w:val="-3"/>
          <w:w w:val="110"/>
          <w:sz w:val="16"/>
        </w:rPr>
        <w:t> </w:t>
      </w:r>
      <w:r>
        <w:rPr>
          <w:w w:val="110"/>
          <w:sz w:val="16"/>
        </w:rPr>
        <w:t>el</w:t>
      </w:r>
      <w:r>
        <w:rPr>
          <w:spacing w:val="-3"/>
          <w:w w:val="110"/>
          <w:sz w:val="16"/>
        </w:rPr>
        <w:t> </w:t>
      </w:r>
      <w:r>
        <w:rPr>
          <w:w w:val="110"/>
          <w:sz w:val="16"/>
        </w:rPr>
        <w:t>valor</w:t>
      </w:r>
      <w:r>
        <w:rPr>
          <w:spacing w:val="-3"/>
          <w:w w:val="110"/>
          <w:sz w:val="16"/>
        </w:rPr>
        <w:t> </w:t>
      </w:r>
      <w:r>
        <w:rPr>
          <w:w w:val="110"/>
          <w:sz w:val="16"/>
        </w:rPr>
        <w:t>de</w:t>
      </w:r>
      <w:r>
        <w:rPr>
          <w:spacing w:val="-3"/>
          <w:w w:val="110"/>
          <w:sz w:val="16"/>
        </w:rPr>
        <w:t> </w:t>
      </w:r>
      <w:r>
        <w:rPr>
          <w:w w:val="110"/>
          <w:sz w:val="16"/>
        </w:rPr>
        <w:t>la</w:t>
      </w:r>
      <w:r>
        <w:rPr>
          <w:spacing w:val="-3"/>
          <w:w w:val="110"/>
          <w:sz w:val="16"/>
        </w:rPr>
        <w:t> </w:t>
      </w:r>
      <w:r>
        <w:rPr>
          <w:w w:val="110"/>
          <w:sz w:val="16"/>
        </w:rPr>
        <w:t>fuerza</w:t>
      </w:r>
      <w:r>
        <w:rPr>
          <w:spacing w:val="-3"/>
          <w:w w:val="110"/>
          <w:sz w:val="16"/>
        </w:rPr>
        <w:t> </w:t>
      </w:r>
      <w:r>
        <w:rPr>
          <w:w w:val="110"/>
          <w:sz w:val="16"/>
        </w:rPr>
        <w:t>de</w:t>
      </w:r>
      <w:r>
        <w:rPr>
          <w:spacing w:val="-3"/>
          <w:w w:val="110"/>
          <w:sz w:val="16"/>
        </w:rPr>
        <w:t> </w:t>
      </w:r>
      <w:r>
        <w:rPr>
          <w:w w:val="110"/>
          <w:sz w:val="16"/>
        </w:rPr>
        <w:t>trabajo, en particular a su calificación, en el elemento central de las fuerzas productivas,     la revolución científico-técnica impulsa la reducción de la diferencia entre el valor del trabajo y el valor de la fuerza de trabajo, presionando negativamente la tasa de plusvalía. a este contexto histórico lo calificamos como crisis civilizatoria y se apro- xima al de la era revolucionaria descrito por Marx en el </w:t>
      </w:r>
      <w:r>
        <w:rPr>
          <w:i/>
          <w:w w:val="110"/>
          <w:sz w:val="16"/>
        </w:rPr>
        <w:t>Prefacio a la Contribución a </w:t>
      </w:r>
      <w:r>
        <w:rPr>
          <w:i/>
          <w:w w:val="110"/>
          <w:sz w:val="16"/>
        </w:rPr>
        <w:t>la crítica de la economía política </w:t>
      </w:r>
      <w:r>
        <w:rPr>
          <w:w w:val="110"/>
          <w:sz w:val="16"/>
        </w:rPr>
        <w:t>(Marx, 2009: 3-7)</w:t>
      </w:r>
      <w:r>
        <w:rPr>
          <w:color w:val="222222"/>
          <w:w w:val="110"/>
          <w:sz w:val="16"/>
        </w:rPr>
        <w:t>, </w:t>
      </w:r>
      <w:r>
        <w:rPr>
          <w:w w:val="110"/>
          <w:sz w:val="16"/>
        </w:rPr>
        <w:t>cuando una nueva estructura de fuerzas productivas entra en contradicción con las relaciones de producción y sus formas de propiedad. Para apropiarse de la revolución científico-técnica, el capital necesita</w:t>
      </w:r>
      <w:r>
        <w:rPr>
          <w:spacing w:val="-7"/>
          <w:w w:val="110"/>
          <w:sz w:val="16"/>
        </w:rPr>
        <w:t> </w:t>
      </w:r>
      <w:r>
        <w:rPr>
          <w:w w:val="110"/>
          <w:sz w:val="16"/>
        </w:rPr>
        <w:t>establecer</w:t>
      </w:r>
      <w:r>
        <w:rPr>
          <w:spacing w:val="-7"/>
          <w:w w:val="110"/>
          <w:sz w:val="16"/>
        </w:rPr>
        <w:t> </w:t>
      </w:r>
      <w:r>
        <w:rPr>
          <w:w w:val="110"/>
          <w:sz w:val="16"/>
        </w:rPr>
        <w:t>políticas</w:t>
      </w:r>
      <w:r>
        <w:rPr>
          <w:spacing w:val="-7"/>
          <w:w w:val="110"/>
          <w:sz w:val="16"/>
        </w:rPr>
        <w:t> </w:t>
      </w:r>
      <w:r>
        <w:rPr>
          <w:w w:val="110"/>
          <w:sz w:val="16"/>
        </w:rPr>
        <w:t>de</w:t>
      </w:r>
      <w:r>
        <w:rPr>
          <w:spacing w:val="-7"/>
          <w:w w:val="110"/>
          <w:sz w:val="16"/>
        </w:rPr>
        <w:t> </w:t>
      </w:r>
      <w:r>
        <w:rPr>
          <w:w w:val="110"/>
          <w:sz w:val="16"/>
        </w:rPr>
        <w:t>superexplotación</w:t>
      </w:r>
      <w:r>
        <w:rPr>
          <w:spacing w:val="-7"/>
          <w:w w:val="110"/>
          <w:sz w:val="16"/>
        </w:rPr>
        <w:t> </w:t>
      </w:r>
      <w:r>
        <w:rPr>
          <w:w w:val="110"/>
          <w:sz w:val="16"/>
        </w:rPr>
        <w:t>del</w:t>
      </w:r>
      <w:r>
        <w:rPr>
          <w:spacing w:val="-7"/>
          <w:w w:val="110"/>
          <w:sz w:val="16"/>
        </w:rPr>
        <w:t> </w:t>
      </w:r>
      <w:r>
        <w:rPr>
          <w:w w:val="110"/>
          <w:sz w:val="16"/>
        </w:rPr>
        <w:t>trabajo,</w:t>
      </w:r>
      <w:r>
        <w:rPr>
          <w:spacing w:val="-7"/>
          <w:w w:val="110"/>
          <w:sz w:val="16"/>
        </w:rPr>
        <w:t> </w:t>
      </w:r>
      <w:r>
        <w:rPr>
          <w:w w:val="110"/>
          <w:sz w:val="16"/>
        </w:rPr>
        <w:t>reduciendo</w:t>
      </w:r>
      <w:r>
        <w:rPr>
          <w:spacing w:val="-7"/>
          <w:w w:val="110"/>
          <w:sz w:val="16"/>
        </w:rPr>
        <w:t> </w:t>
      </w:r>
      <w:r>
        <w:rPr>
          <w:w w:val="110"/>
          <w:sz w:val="16"/>
        </w:rPr>
        <w:t>los</w:t>
      </w:r>
      <w:r>
        <w:rPr>
          <w:spacing w:val="-7"/>
          <w:w w:val="110"/>
          <w:sz w:val="16"/>
        </w:rPr>
        <w:t> </w:t>
      </w:r>
      <w:r>
        <w:rPr>
          <w:w w:val="110"/>
          <w:sz w:val="16"/>
        </w:rPr>
        <w:t>precios de</w:t>
      </w:r>
      <w:r>
        <w:rPr>
          <w:spacing w:val="-4"/>
          <w:w w:val="110"/>
          <w:sz w:val="16"/>
        </w:rPr>
        <w:t> </w:t>
      </w:r>
      <w:r>
        <w:rPr>
          <w:w w:val="110"/>
          <w:sz w:val="16"/>
        </w:rPr>
        <w:t>la</w:t>
      </w:r>
      <w:r>
        <w:rPr>
          <w:spacing w:val="-4"/>
          <w:w w:val="110"/>
          <w:sz w:val="16"/>
        </w:rPr>
        <w:t> </w:t>
      </w:r>
      <w:r>
        <w:rPr>
          <w:w w:val="110"/>
          <w:sz w:val="16"/>
        </w:rPr>
        <w:t>fuerza</w:t>
      </w:r>
      <w:r>
        <w:rPr>
          <w:spacing w:val="-4"/>
          <w:w w:val="110"/>
          <w:sz w:val="16"/>
        </w:rPr>
        <w:t> </w:t>
      </w:r>
      <w:r>
        <w:rPr>
          <w:w w:val="110"/>
          <w:sz w:val="16"/>
        </w:rPr>
        <w:t>de</w:t>
      </w:r>
      <w:r>
        <w:rPr>
          <w:spacing w:val="-4"/>
          <w:w w:val="110"/>
          <w:sz w:val="16"/>
        </w:rPr>
        <w:t> </w:t>
      </w:r>
      <w:r>
        <w:rPr>
          <w:w w:val="110"/>
          <w:sz w:val="16"/>
        </w:rPr>
        <w:t>trabajo</w:t>
      </w:r>
      <w:r>
        <w:rPr>
          <w:spacing w:val="-4"/>
          <w:w w:val="110"/>
          <w:sz w:val="16"/>
        </w:rPr>
        <w:t> </w:t>
      </w:r>
      <w:r>
        <w:rPr>
          <w:w w:val="110"/>
          <w:sz w:val="16"/>
        </w:rPr>
        <w:t>por</w:t>
      </w:r>
      <w:r>
        <w:rPr>
          <w:spacing w:val="-4"/>
          <w:w w:val="110"/>
          <w:sz w:val="16"/>
        </w:rPr>
        <w:t> </w:t>
      </w:r>
      <w:r>
        <w:rPr>
          <w:w w:val="110"/>
          <w:sz w:val="16"/>
        </w:rPr>
        <w:t>debajo</w:t>
      </w:r>
      <w:r>
        <w:rPr>
          <w:spacing w:val="-4"/>
          <w:w w:val="110"/>
          <w:sz w:val="16"/>
        </w:rPr>
        <w:t> </w:t>
      </w:r>
      <w:r>
        <w:rPr>
          <w:w w:val="110"/>
          <w:sz w:val="16"/>
        </w:rPr>
        <w:t>de</w:t>
      </w:r>
      <w:r>
        <w:rPr>
          <w:spacing w:val="-4"/>
          <w:w w:val="110"/>
          <w:sz w:val="16"/>
        </w:rPr>
        <w:t> </w:t>
      </w:r>
      <w:r>
        <w:rPr>
          <w:w w:val="110"/>
          <w:sz w:val="16"/>
        </w:rPr>
        <w:t>su</w:t>
      </w:r>
      <w:r>
        <w:rPr>
          <w:spacing w:val="-4"/>
          <w:w w:val="110"/>
          <w:sz w:val="16"/>
        </w:rPr>
        <w:t> </w:t>
      </w:r>
      <w:r>
        <w:rPr>
          <w:spacing w:val="-3"/>
          <w:w w:val="110"/>
          <w:sz w:val="16"/>
        </w:rPr>
        <w:t>valor,</w:t>
      </w:r>
      <w:r>
        <w:rPr>
          <w:spacing w:val="-4"/>
          <w:w w:val="110"/>
          <w:sz w:val="16"/>
        </w:rPr>
        <w:t> </w:t>
      </w:r>
      <w:r>
        <w:rPr>
          <w:w w:val="110"/>
          <w:sz w:val="16"/>
        </w:rPr>
        <w:t>lo</w:t>
      </w:r>
      <w:r>
        <w:rPr>
          <w:spacing w:val="-4"/>
          <w:w w:val="110"/>
          <w:sz w:val="16"/>
        </w:rPr>
        <w:t> </w:t>
      </w:r>
      <w:r>
        <w:rPr>
          <w:w w:val="110"/>
          <w:sz w:val="16"/>
        </w:rPr>
        <w:t>cual</w:t>
      </w:r>
      <w:r>
        <w:rPr>
          <w:spacing w:val="-4"/>
          <w:w w:val="110"/>
          <w:sz w:val="16"/>
        </w:rPr>
        <w:t> </w:t>
      </w:r>
      <w:r>
        <w:rPr>
          <w:w w:val="110"/>
          <w:sz w:val="16"/>
        </w:rPr>
        <w:t>lo</w:t>
      </w:r>
      <w:r>
        <w:rPr>
          <w:spacing w:val="-4"/>
          <w:w w:val="110"/>
          <w:sz w:val="16"/>
        </w:rPr>
        <w:t> </w:t>
      </w:r>
      <w:r>
        <w:rPr>
          <w:w w:val="110"/>
          <w:sz w:val="16"/>
        </w:rPr>
        <w:t>lleva,</w:t>
      </w:r>
      <w:r>
        <w:rPr>
          <w:spacing w:val="-4"/>
          <w:w w:val="110"/>
          <w:sz w:val="16"/>
        </w:rPr>
        <w:t> </w:t>
      </w:r>
      <w:r>
        <w:rPr>
          <w:w w:val="110"/>
          <w:sz w:val="16"/>
        </w:rPr>
        <w:t>en</w:t>
      </w:r>
      <w:r>
        <w:rPr>
          <w:spacing w:val="-4"/>
          <w:w w:val="110"/>
          <w:sz w:val="16"/>
        </w:rPr>
        <w:t> </w:t>
      </w:r>
      <w:r>
        <w:rPr>
          <w:w w:val="110"/>
          <w:sz w:val="16"/>
        </w:rPr>
        <w:t>los</w:t>
      </w:r>
      <w:r>
        <w:rPr>
          <w:spacing w:val="-4"/>
          <w:w w:val="110"/>
          <w:sz w:val="16"/>
        </w:rPr>
        <w:t> </w:t>
      </w:r>
      <w:r>
        <w:rPr>
          <w:w w:val="110"/>
          <w:sz w:val="16"/>
        </w:rPr>
        <w:t>países</w:t>
      </w:r>
      <w:r>
        <w:rPr>
          <w:spacing w:val="-4"/>
          <w:w w:val="110"/>
          <w:sz w:val="16"/>
        </w:rPr>
        <w:t> </w:t>
      </w:r>
      <w:r>
        <w:rPr>
          <w:w w:val="110"/>
          <w:sz w:val="16"/>
        </w:rPr>
        <w:t>centrales, a romper el pacto keynesiano con los trabajadores y a dislocar parte de su circuito de valorización de capital para la acumulación financiera o para otras regiones del mundo, donde la relación entre el valor del trabajo y el valor de la fuerza de trabajo le sea más</w:t>
      </w:r>
      <w:r>
        <w:rPr>
          <w:spacing w:val="-15"/>
          <w:w w:val="110"/>
          <w:sz w:val="16"/>
        </w:rPr>
        <w:t> </w:t>
      </w:r>
      <w:r>
        <w:rPr>
          <w:w w:val="110"/>
          <w:sz w:val="16"/>
        </w:rPr>
        <w:t>favorable.</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restablecimiento</w:t>
      </w:r>
      <w:r>
        <w:rPr>
          <w:spacing w:val="-17"/>
          <w:w w:val="110"/>
        </w:rPr>
        <w:t> </w:t>
      </w:r>
      <w:r>
        <w:rPr>
          <w:w w:val="110"/>
        </w:rPr>
        <w:t>de</w:t>
      </w:r>
      <w:r>
        <w:rPr>
          <w:spacing w:val="-17"/>
          <w:w w:val="110"/>
        </w:rPr>
        <w:t> </w:t>
      </w:r>
      <w:r>
        <w:rPr>
          <w:w w:val="110"/>
        </w:rPr>
        <w:t>la</w:t>
      </w:r>
      <w:r>
        <w:rPr>
          <w:spacing w:val="-17"/>
          <w:w w:val="110"/>
        </w:rPr>
        <w:t> </w:t>
      </w:r>
      <w:r>
        <w:rPr>
          <w:w w:val="110"/>
        </w:rPr>
        <w:t>tasa</w:t>
      </w:r>
      <w:r>
        <w:rPr>
          <w:spacing w:val="-17"/>
          <w:w w:val="110"/>
        </w:rPr>
        <w:t> </w:t>
      </w:r>
      <w:r>
        <w:rPr>
          <w:w w:val="110"/>
        </w:rPr>
        <w:t>de</w:t>
      </w:r>
      <w:r>
        <w:rPr>
          <w:spacing w:val="-17"/>
          <w:w w:val="110"/>
        </w:rPr>
        <w:t> </w:t>
      </w:r>
      <w:r>
        <w:rPr>
          <w:w w:val="110"/>
        </w:rPr>
        <w:t>ganancia,</w:t>
      </w:r>
      <w:r>
        <w:rPr>
          <w:spacing w:val="-17"/>
          <w:w w:val="110"/>
        </w:rPr>
        <w:t> </w:t>
      </w:r>
      <w:r>
        <w:rPr>
          <w:w w:val="110"/>
        </w:rPr>
        <w:t>imponiendo</w:t>
      </w:r>
      <w:r>
        <w:rPr>
          <w:spacing w:val="-17"/>
          <w:w w:val="110"/>
        </w:rPr>
        <w:t> </w:t>
      </w:r>
      <w:r>
        <w:rPr>
          <w:w w:val="110"/>
        </w:rPr>
        <w:t>un</w:t>
      </w:r>
      <w:r>
        <w:rPr>
          <w:spacing w:val="-17"/>
          <w:w w:val="110"/>
        </w:rPr>
        <w:t> </w:t>
      </w:r>
      <w:r>
        <w:rPr>
          <w:w w:val="110"/>
        </w:rPr>
        <w:t>mercado</w:t>
      </w:r>
      <w:r>
        <w:rPr>
          <w:spacing w:val="-17"/>
          <w:w w:val="110"/>
        </w:rPr>
        <w:t> </w:t>
      </w:r>
      <w:r>
        <w:rPr>
          <w:w w:val="110"/>
        </w:rPr>
        <w:t>de</w:t>
      </w:r>
      <w:r>
        <w:rPr>
          <w:spacing w:val="-17"/>
          <w:w w:val="110"/>
        </w:rPr>
        <w:t> </w:t>
      </w:r>
      <w:r>
        <w:rPr>
          <w:w w:val="110"/>
        </w:rPr>
        <w:t>tra- bajo</w:t>
      </w:r>
      <w:r>
        <w:rPr>
          <w:spacing w:val="-4"/>
          <w:w w:val="110"/>
        </w:rPr>
        <w:t> </w:t>
      </w:r>
      <w:r>
        <w:rPr>
          <w:w w:val="110"/>
        </w:rPr>
        <w:t>con</w:t>
      </w:r>
      <w:r>
        <w:rPr>
          <w:spacing w:val="-4"/>
          <w:w w:val="110"/>
        </w:rPr>
        <w:t> </w:t>
      </w:r>
      <w:r>
        <w:rPr>
          <w:w w:val="110"/>
        </w:rPr>
        <w:t>altos</w:t>
      </w:r>
      <w:r>
        <w:rPr>
          <w:spacing w:val="-4"/>
          <w:w w:val="110"/>
        </w:rPr>
        <w:t> </w:t>
      </w:r>
      <w:r>
        <w:rPr>
          <w:w w:val="110"/>
        </w:rPr>
        <w:t>niveles</w:t>
      </w:r>
      <w:r>
        <w:rPr>
          <w:spacing w:val="-4"/>
          <w:w w:val="110"/>
        </w:rPr>
        <w:t> </w:t>
      </w:r>
      <w:r>
        <w:rPr>
          <w:w w:val="110"/>
        </w:rPr>
        <w:t>de</w:t>
      </w:r>
      <w:r>
        <w:rPr>
          <w:spacing w:val="-4"/>
          <w:w w:val="110"/>
        </w:rPr>
        <w:t> </w:t>
      </w:r>
      <w:r>
        <w:rPr>
          <w:w w:val="110"/>
        </w:rPr>
        <w:t>desempleo,</w:t>
      </w:r>
      <w:r>
        <w:rPr>
          <w:spacing w:val="-4"/>
          <w:w w:val="110"/>
        </w:rPr>
        <w:t> </w:t>
      </w:r>
      <w:r>
        <w:rPr>
          <w:w w:val="110"/>
        </w:rPr>
        <w:t>fundado</w:t>
      </w:r>
      <w:r>
        <w:rPr>
          <w:spacing w:val="-4"/>
          <w:w w:val="110"/>
        </w:rPr>
        <w:t> </w:t>
      </w:r>
      <w:r>
        <w:rPr>
          <w:w w:val="110"/>
        </w:rPr>
        <w:t>en</w:t>
      </w:r>
      <w:r>
        <w:rPr>
          <w:spacing w:val="-4"/>
          <w:w w:val="110"/>
        </w:rPr>
        <w:t> </w:t>
      </w:r>
      <w:r>
        <w:rPr>
          <w:w w:val="110"/>
        </w:rPr>
        <w:t>la</w:t>
      </w:r>
      <w:r>
        <w:rPr>
          <w:spacing w:val="-4"/>
          <w:w w:val="110"/>
        </w:rPr>
        <w:t> </w:t>
      </w:r>
      <w:r>
        <w:rPr>
          <w:w w:val="110"/>
        </w:rPr>
        <w:t>caída</w:t>
      </w:r>
      <w:r>
        <w:rPr>
          <w:spacing w:val="-4"/>
          <w:w w:val="110"/>
        </w:rPr>
        <w:t> </w:t>
      </w:r>
      <w:r>
        <w:rPr>
          <w:w w:val="110"/>
        </w:rPr>
        <w:t>de</w:t>
      </w:r>
      <w:r>
        <w:rPr>
          <w:spacing w:val="-4"/>
          <w:w w:val="110"/>
        </w:rPr>
        <w:t> </w:t>
      </w:r>
      <w:r>
        <w:rPr>
          <w:w w:val="110"/>
        </w:rPr>
        <w:t>los</w:t>
      </w:r>
      <w:r>
        <w:rPr>
          <w:spacing w:val="-4"/>
          <w:w w:val="110"/>
        </w:rPr>
        <w:t> </w:t>
      </w:r>
      <w:r>
        <w:rPr>
          <w:w w:val="110"/>
        </w:rPr>
        <w:t>precios de la fuerza de trabajo por debajo de su </w:t>
      </w:r>
      <w:r>
        <w:rPr>
          <w:spacing w:val="-6"/>
          <w:w w:val="110"/>
        </w:rPr>
        <w:t>valor, </w:t>
      </w:r>
      <w:r>
        <w:rPr>
          <w:w w:val="110"/>
        </w:rPr>
        <w:t>extendiendo a los gran- des</w:t>
      </w:r>
      <w:r>
        <w:rPr>
          <w:spacing w:val="-25"/>
          <w:w w:val="110"/>
        </w:rPr>
        <w:t> </w:t>
      </w:r>
      <w:r>
        <w:rPr>
          <w:w w:val="110"/>
        </w:rPr>
        <w:t>centros</w:t>
      </w:r>
      <w:r>
        <w:rPr>
          <w:spacing w:val="-25"/>
          <w:w w:val="110"/>
        </w:rPr>
        <w:t> </w:t>
      </w:r>
      <w:r>
        <w:rPr>
          <w:w w:val="110"/>
        </w:rPr>
        <w:t>la</w:t>
      </w:r>
      <w:r>
        <w:rPr>
          <w:spacing w:val="-25"/>
          <w:w w:val="110"/>
        </w:rPr>
        <w:t> </w:t>
      </w:r>
      <w:r>
        <w:rPr>
          <w:w w:val="110"/>
        </w:rPr>
        <w:t>superexplotación</w:t>
      </w:r>
      <w:r>
        <w:rPr>
          <w:spacing w:val="-25"/>
          <w:w w:val="110"/>
        </w:rPr>
        <w:t> </w:t>
      </w:r>
      <w:r>
        <w:rPr>
          <w:w w:val="110"/>
        </w:rPr>
        <w:t>del</w:t>
      </w:r>
      <w:r>
        <w:rPr>
          <w:spacing w:val="-25"/>
          <w:w w:val="110"/>
        </w:rPr>
        <w:t> </w:t>
      </w:r>
      <w:r>
        <w:rPr>
          <w:w w:val="110"/>
        </w:rPr>
        <w:t>trabajo</w:t>
      </w:r>
      <w:r>
        <w:rPr>
          <w:spacing w:val="-25"/>
          <w:w w:val="110"/>
        </w:rPr>
        <w:t> </w:t>
      </w:r>
      <w:r>
        <w:rPr>
          <w:w w:val="110"/>
        </w:rPr>
        <w:t>y</w:t>
      </w:r>
      <w:r>
        <w:rPr>
          <w:spacing w:val="-25"/>
          <w:w w:val="110"/>
        </w:rPr>
        <w:t> </w:t>
      </w:r>
      <w:r>
        <w:rPr>
          <w:w w:val="110"/>
        </w:rPr>
        <w:t>destrabando</w:t>
      </w:r>
      <w:r>
        <w:rPr>
          <w:spacing w:val="-25"/>
          <w:w w:val="110"/>
        </w:rPr>
        <w:t> </w:t>
      </w:r>
      <w:r>
        <w:rPr>
          <w:w w:val="110"/>
        </w:rPr>
        <w:t>los</w:t>
      </w:r>
      <w:r>
        <w:rPr>
          <w:spacing w:val="-25"/>
          <w:w w:val="110"/>
        </w:rPr>
        <w:t> </w:t>
      </w:r>
      <w:r>
        <w:rPr>
          <w:w w:val="110"/>
        </w:rPr>
        <w:t>obstáculos para</w:t>
      </w:r>
      <w:r>
        <w:rPr>
          <w:spacing w:val="-13"/>
          <w:w w:val="110"/>
        </w:rPr>
        <w:t> </w:t>
      </w:r>
      <w:r>
        <w:rPr>
          <w:w w:val="110"/>
        </w:rPr>
        <w:t>la</w:t>
      </w:r>
      <w:r>
        <w:rPr>
          <w:spacing w:val="-13"/>
          <w:w w:val="110"/>
        </w:rPr>
        <w:t> </w:t>
      </w:r>
      <w:r>
        <w:rPr>
          <w:w w:val="110"/>
        </w:rPr>
        <w:t>reanudación</w:t>
      </w:r>
      <w:r>
        <w:rPr>
          <w:spacing w:val="-13"/>
          <w:w w:val="110"/>
        </w:rPr>
        <w:t> </w:t>
      </w:r>
      <w:r>
        <w:rPr>
          <w:w w:val="110"/>
        </w:rPr>
        <w:t>de</w:t>
      </w:r>
      <w:r>
        <w:rPr>
          <w:spacing w:val="-13"/>
          <w:w w:val="110"/>
        </w:rPr>
        <w:t> </w:t>
      </w:r>
      <w:r>
        <w:rPr>
          <w:w w:val="110"/>
        </w:rPr>
        <w:t>los</w:t>
      </w:r>
      <w:r>
        <w:rPr>
          <w:spacing w:val="-13"/>
          <w:w w:val="110"/>
        </w:rPr>
        <w:t> </w:t>
      </w:r>
      <w:r>
        <w:rPr>
          <w:w w:val="110"/>
        </w:rPr>
        <w:t>procesos</w:t>
      </w:r>
      <w:r>
        <w:rPr>
          <w:spacing w:val="-13"/>
          <w:w w:val="110"/>
        </w:rPr>
        <w:t> </w:t>
      </w:r>
      <w:r>
        <w:rPr>
          <w:w w:val="110"/>
        </w:rPr>
        <w:t>de</w:t>
      </w:r>
      <w:r>
        <w:rPr>
          <w:spacing w:val="-13"/>
          <w:w w:val="110"/>
        </w:rPr>
        <w:t> </w:t>
      </w:r>
      <w:r>
        <w:rPr>
          <w:w w:val="110"/>
        </w:rPr>
        <w:t>acumulación</w:t>
      </w:r>
      <w:r>
        <w:rPr>
          <w:spacing w:val="-13"/>
          <w:w w:val="110"/>
        </w:rPr>
        <w:t> </w:t>
      </w:r>
      <w:r>
        <w:rPr>
          <w:w w:val="110"/>
        </w:rPr>
        <w:t>productiva.</w:t>
      </w:r>
    </w:p>
    <w:p>
      <w:pPr>
        <w:pStyle w:val="BodyText"/>
        <w:spacing w:line="252" w:lineRule="auto"/>
        <w:ind w:left="100" w:right="327" w:firstLine="396"/>
        <w:jc w:val="both"/>
      </w:pPr>
      <w:r>
        <w:rPr>
          <w:w w:val="243"/>
        </w:rPr>
        <w:t>l</w:t>
      </w:r>
      <w:r>
        <w:rPr>
          <w:w w:val="112"/>
        </w:rPr>
        <w:t>a</w:t>
      </w:r>
      <w:r>
        <w:rPr/>
        <w:t> </w:t>
      </w:r>
      <w:r>
        <w:rPr>
          <w:spacing w:val="4"/>
        </w:rPr>
        <w:t> </w:t>
      </w:r>
      <w:r>
        <w:rPr>
          <w:w w:val="109"/>
        </w:rPr>
        <w:t>experiencia</w:t>
      </w:r>
      <w:r>
        <w:rPr/>
        <w:t> </w:t>
      </w:r>
      <w:r>
        <w:rPr>
          <w:spacing w:val="4"/>
        </w:rPr>
        <w:t> </w:t>
      </w:r>
      <w:r>
        <w:rPr>
          <w:w w:val="109"/>
        </w:rPr>
        <w:t>neoliberal</w:t>
      </w:r>
      <w:r>
        <w:rPr/>
        <w:t> </w:t>
      </w:r>
      <w:r>
        <w:rPr>
          <w:spacing w:val="4"/>
        </w:rPr>
        <w:t> </w:t>
      </w:r>
      <w:r>
        <w:rPr>
          <w:w w:val="105"/>
        </w:rPr>
        <w:t>se</w:t>
      </w:r>
      <w:r>
        <w:rPr/>
        <w:t> </w:t>
      </w:r>
      <w:r>
        <w:rPr>
          <w:spacing w:val="4"/>
        </w:rPr>
        <w:t> </w:t>
      </w:r>
      <w:r>
        <w:rPr>
          <w:w w:val="113"/>
        </w:rPr>
        <w:t>inició</w:t>
      </w:r>
      <w:r>
        <w:rPr/>
        <w:t> </w:t>
      </w:r>
      <w:r>
        <w:rPr>
          <w:spacing w:val="4"/>
        </w:rPr>
        <w:t> </w:t>
      </w:r>
      <w:r>
        <w:rPr>
          <w:w w:val="108"/>
        </w:rPr>
        <w:t>en</w:t>
      </w:r>
      <w:r>
        <w:rPr/>
        <w:t> </w:t>
      </w:r>
      <w:r>
        <w:rPr>
          <w:spacing w:val="4"/>
        </w:rPr>
        <w:t> </w:t>
      </w:r>
      <w:r>
        <w:rPr>
          <w:w w:val="107"/>
        </w:rPr>
        <w:t>el</w:t>
      </w:r>
      <w:r>
        <w:rPr/>
        <w:t> </w:t>
      </w:r>
      <w:r>
        <w:rPr>
          <w:spacing w:val="4"/>
        </w:rPr>
        <w:t> </w:t>
      </w:r>
      <w:r>
        <w:rPr>
          <w:w w:val="114"/>
        </w:rPr>
        <w:t>Chile</w:t>
      </w:r>
      <w:r>
        <w:rPr/>
        <w:t> </w:t>
      </w:r>
      <w:r>
        <w:rPr>
          <w:spacing w:val="4"/>
        </w:rPr>
        <w:t> </w:t>
      </w:r>
      <w:r>
        <w:rPr>
          <w:w w:val="107"/>
        </w:rPr>
        <w:t>de</w:t>
      </w:r>
      <w:r>
        <w:rPr/>
        <w:t> </w:t>
      </w:r>
      <w:r>
        <w:rPr>
          <w:spacing w:val="4"/>
        </w:rPr>
        <w:t> </w:t>
      </w:r>
      <w:r>
        <w:rPr>
          <w:w w:val="111"/>
        </w:rPr>
        <w:t>Pinochet</w:t>
      </w:r>
      <w:r>
        <w:rPr/>
        <w:t> </w:t>
      </w:r>
      <w:r>
        <w:rPr>
          <w:spacing w:val="4"/>
        </w:rPr>
        <w:t> </w:t>
      </w:r>
      <w:r>
        <w:rPr>
          <w:w w:val="107"/>
        </w:rPr>
        <w:t>e</w:t>
      </w:r>
      <w:r>
        <w:rPr>
          <w:spacing w:val="-1"/>
          <w:w w:val="107"/>
        </w:rPr>
        <w:t>x</w:t>
      </w:r>
      <w:r>
        <w:rPr>
          <w:w w:val="102"/>
        </w:rPr>
        <w:t>- </w:t>
      </w:r>
      <w:r>
        <w:rPr>
          <w:w w:val="110"/>
        </w:rPr>
        <w:t>tendiéndose hacia Estados unidos, alemania, reino unido y Europa occidental a principios de los años ochenta. Para eliminar el pleno empleo y establecer la superexplotación del trabajo, el neoliberalismo impuso la financiarización del capital que dislocó parte de la acumula- ción del sector productivo al financiero, impulsando la deuda pública  y la competencia por el capital circulante, bien como la relocalización de las inversiones productivas a través de la apertura comercial y la </w:t>
      </w:r>
      <w:r>
        <w:rPr>
          <w:w w:val="111"/>
        </w:rPr>
        <w:t>liberalización</w:t>
      </w:r>
      <w:r>
        <w:rPr>
          <w:spacing w:val="6"/>
        </w:rPr>
        <w:t> </w:t>
      </w:r>
      <w:r>
        <w:rPr>
          <w:w w:val="107"/>
        </w:rPr>
        <w:t>de</w:t>
      </w:r>
      <w:r>
        <w:rPr>
          <w:spacing w:val="6"/>
        </w:rPr>
        <w:t> </w:t>
      </w:r>
      <w:r>
        <w:rPr>
          <w:w w:val="108"/>
        </w:rPr>
        <w:t>los</w:t>
      </w:r>
      <w:r>
        <w:rPr>
          <w:spacing w:val="6"/>
        </w:rPr>
        <w:t> </w:t>
      </w:r>
      <w:r>
        <w:rPr>
          <w:w w:val="109"/>
        </w:rPr>
        <w:t>flujos</w:t>
      </w:r>
      <w:r>
        <w:rPr>
          <w:spacing w:val="6"/>
        </w:rPr>
        <w:t> </w:t>
      </w:r>
      <w:r>
        <w:rPr>
          <w:w w:val="107"/>
        </w:rPr>
        <w:t>de</w:t>
      </w:r>
      <w:r>
        <w:rPr>
          <w:spacing w:val="6"/>
        </w:rPr>
        <w:t> </w:t>
      </w:r>
      <w:r>
        <w:rPr>
          <w:w w:val="113"/>
        </w:rPr>
        <w:t>capital.</w:t>
      </w:r>
      <w:r>
        <w:rPr>
          <w:spacing w:val="6"/>
        </w:rPr>
        <w:t> </w:t>
      </w:r>
      <w:r>
        <w:rPr>
          <w:w w:val="243"/>
        </w:rPr>
        <w:t>l</w:t>
      </w:r>
      <w:r>
        <w:rPr>
          <w:w w:val="112"/>
        </w:rPr>
        <w:t>a</w:t>
      </w:r>
      <w:r>
        <w:rPr>
          <w:spacing w:val="6"/>
        </w:rPr>
        <w:t> </w:t>
      </w:r>
      <w:r>
        <w:rPr>
          <w:w w:val="109"/>
        </w:rPr>
        <w:t>deuda</w:t>
      </w:r>
      <w:r>
        <w:rPr>
          <w:spacing w:val="6"/>
        </w:rPr>
        <w:t> </w:t>
      </w:r>
      <w:r>
        <w:rPr>
          <w:w w:val="112"/>
        </w:rPr>
        <w:t>pública</w:t>
      </w:r>
      <w:r>
        <w:rPr>
          <w:spacing w:val="6"/>
        </w:rPr>
        <w:t> </w:t>
      </w:r>
      <w:r>
        <w:rPr>
          <w:w w:val="105"/>
        </w:rPr>
        <w:t>se</w:t>
      </w:r>
      <w:r>
        <w:rPr>
          <w:spacing w:val="6"/>
        </w:rPr>
        <w:t> </w:t>
      </w:r>
      <w:r>
        <w:rPr>
          <w:w w:val="109"/>
        </w:rPr>
        <w:t>convirtió</w:t>
      </w:r>
      <w:r>
        <w:rPr>
          <w:spacing w:val="6"/>
        </w:rPr>
        <w:t> </w:t>
      </w:r>
      <w:r>
        <w:rPr>
          <w:w w:val="108"/>
        </w:rPr>
        <w:t>en </w:t>
      </w:r>
      <w:r>
        <w:rPr>
          <w:w w:val="110"/>
        </w:rPr>
        <w:t>un instrumento de generación de capital ficticio y ya no de generación de empleos y elevación de la productividad. El neoliberalismo no sig- nificó la reducción del Estado, pero sí su ampliación mediante el uso del monopolio de la violencia, direccionando los gastos públicos para sustentar los procesos financieros de acumulación y la competencia armamentista y para contener o bajar los gastos en bienestar social. </w:t>
      </w:r>
      <w:r>
        <w:rPr>
          <w:w w:val="243"/>
        </w:rPr>
        <w:t>l</w:t>
      </w:r>
      <w:r>
        <w:rPr>
          <w:w w:val="112"/>
        </w:rPr>
        <w:t>a</w:t>
      </w:r>
      <w:r>
        <w:rPr>
          <w:spacing w:val="13"/>
        </w:rPr>
        <w:t> </w:t>
      </w:r>
      <w:r>
        <w:rPr>
          <w:w w:val="111"/>
        </w:rPr>
        <w:t>relocalización</w:t>
      </w:r>
      <w:r>
        <w:rPr>
          <w:spacing w:val="13"/>
        </w:rPr>
        <w:t> </w:t>
      </w:r>
      <w:r>
        <w:rPr>
          <w:w w:val="107"/>
        </w:rPr>
        <w:t>de</w:t>
      </w:r>
      <w:r>
        <w:rPr>
          <w:spacing w:val="13"/>
        </w:rPr>
        <w:t> </w:t>
      </w:r>
      <w:r>
        <w:rPr>
          <w:w w:val="111"/>
        </w:rPr>
        <w:t>la</w:t>
      </w:r>
      <w:r>
        <w:rPr>
          <w:spacing w:val="13"/>
        </w:rPr>
        <w:t> </w:t>
      </w:r>
      <w:r>
        <w:rPr>
          <w:w w:val="108"/>
        </w:rPr>
        <w:t>inversión</w:t>
      </w:r>
      <w:r>
        <w:rPr>
          <w:spacing w:val="13"/>
        </w:rPr>
        <w:t> </w:t>
      </w:r>
      <w:r>
        <w:rPr>
          <w:w w:val="111"/>
        </w:rPr>
        <w:t>asociada</w:t>
      </w:r>
      <w:r>
        <w:rPr>
          <w:spacing w:val="13"/>
        </w:rPr>
        <w:t> </w:t>
      </w:r>
      <w:r>
        <w:rPr>
          <w:w w:val="112"/>
        </w:rPr>
        <w:t>a</w:t>
      </w:r>
      <w:r>
        <w:rPr>
          <w:spacing w:val="13"/>
        </w:rPr>
        <w:t> </w:t>
      </w:r>
      <w:r>
        <w:rPr>
          <w:w w:val="109"/>
        </w:rPr>
        <w:t>las</w:t>
      </w:r>
      <w:r>
        <w:rPr>
          <w:spacing w:val="13"/>
        </w:rPr>
        <w:t> </w:t>
      </w:r>
      <w:r>
        <w:rPr>
          <w:w w:val="108"/>
        </w:rPr>
        <w:t>nuevas</w:t>
      </w:r>
      <w:r>
        <w:rPr>
          <w:spacing w:val="13"/>
        </w:rPr>
        <w:t> </w:t>
      </w:r>
      <w:r>
        <w:rPr>
          <w:w w:val="110"/>
        </w:rPr>
        <w:t>tecnologías</w:t>
      </w:r>
      <w:r>
        <w:rPr>
          <w:spacing w:val="13"/>
        </w:rPr>
        <w:t> </w:t>
      </w:r>
      <w:r>
        <w:rPr>
          <w:w w:val="107"/>
        </w:rPr>
        <w:t>de </w:t>
      </w:r>
      <w:r>
        <w:rPr>
          <w:w w:val="110"/>
        </w:rPr>
        <w:t>producción para el mercado mundial permitió descentralizar parte de la industria, utilizando las ventajas competitivas de la fuerza de traba- jo en el mundo para redireccionar los flujos de inversión productiva. ambos procesos redujeron la tasa de inversión en los países centrales, contribuyendo a mediano y largo plazo al parasitismo y desmonte del engranaje del crecimiento virtuoso del eje</w:t>
      </w:r>
      <w:r>
        <w:rPr>
          <w:spacing w:val="34"/>
          <w:w w:val="110"/>
        </w:rPr>
        <w:t> </w:t>
      </w:r>
      <w:r>
        <w:rPr>
          <w:w w:val="110"/>
        </w:rPr>
        <w:t>atlantista.</w:t>
      </w:r>
    </w:p>
    <w:p>
      <w:pPr>
        <w:pStyle w:val="BodyText"/>
        <w:spacing w:line="252" w:lineRule="auto"/>
        <w:ind w:left="100" w:right="328" w:firstLine="396"/>
        <w:jc w:val="both"/>
      </w:pPr>
      <w:r>
        <w:rPr>
          <w:w w:val="110"/>
        </w:rPr>
        <w:t>inicialmente, la sobrevaluación del dólar significó un acentuado incremento de la riqueza de la burguesía estadounidense; no obstan- te, el crecimiento de los déficits comerciales, de la deuda pública y su internacionalización entran en contradicción con los bajos stocks que presentaban a inicios de los años ochenta, acumulándose y poniendo en jaque la diplomacia del dólar fuerte. si durante el Kondratiev rece- sivo el incremento de las tasas de interés estadounidenses y la sobre- valuación del dólar se impusieron sobre la economía mundial, sacrifi- cándola en función de su dinámica parasitaria, aunque sin impedir la formación de nuevos centros productivos, a partir de 1994 disminuye la capacidad de Estados unidos y la unión Europea para imponer al mundo la valorización de sus monedas y de su política monetaria. Entre 1979 y 1994, la elevación de las tasas de interés estadouniden- ses provocó un aumentó dramático de los niveles de endeudamiento internacionales, generando el colapso de los proyectos de moderniza- ción acelerada en la periferia –basados en la dependencia financiera</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8"/>
        <w:jc w:val="both"/>
      </w:pPr>
      <w:r>
        <w:rPr>
          <w:w w:val="109"/>
        </w:rPr>
        <w:t>externa,</w:t>
      </w:r>
      <w:r>
        <w:rPr>
          <w:spacing w:val="9"/>
        </w:rPr>
        <w:t> </w:t>
      </w:r>
      <w:r>
        <w:rPr>
          <w:w w:val="108"/>
        </w:rPr>
        <w:t>en</w:t>
      </w:r>
      <w:r>
        <w:rPr>
          <w:spacing w:val="9"/>
        </w:rPr>
        <w:t> </w:t>
      </w:r>
      <w:r>
        <w:rPr>
          <w:w w:val="110"/>
        </w:rPr>
        <w:t>particular</w:t>
      </w:r>
      <w:r>
        <w:rPr>
          <w:spacing w:val="9"/>
        </w:rPr>
        <w:t> </w:t>
      </w:r>
      <w:r>
        <w:rPr>
          <w:w w:val="108"/>
        </w:rPr>
        <w:t>en</w:t>
      </w:r>
      <w:r>
        <w:rPr>
          <w:spacing w:val="9"/>
        </w:rPr>
        <w:t> </w:t>
      </w:r>
      <w:r>
        <w:rPr>
          <w:w w:val="139"/>
        </w:rPr>
        <w:t>a</w:t>
      </w:r>
      <w:r>
        <w:rPr>
          <w:w w:val="111"/>
        </w:rPr>
        <w:t>mérica</w:t>
      </w:r>
      <w:r>
        <w:rPr>
          <w:spacing w:val="9"/>
        </w:rPr>
        <w:t> </w:t>
      </w:r>
      <w:r>
        <w:rPr>
          <w:w w:val="243"/>
        </w:rPr>
        <w:t>l</w:t>
      </w:r>
      <w:r>
        <w:rPr>
          <w:w w:val="113"/>
        </w:rPr>
        <w:t>atina,</w:t>
      </w:r>
      <w:r>
        <w:rPr>
          <w:spacing w:val="9"/>
        </w:rPr>
        <w:t> </w:t>
      </w:r>
      <w:r>
        <w:rPr>
          <w:w w:val="107"/>
        </w:rPr>
        <w:t>el</w:t>
      </w:r>
      <w:r>
        <w:rPr>
          <w:spacing w:val="9"/>
        </w:rPr>
        <w:t> </w:t>
      </w:r>
      <w:r>
        <w:rPr>
          <w:w w:val="112"/>
        </w:rPr>
        <w:t>Este</w:t>
      </w:r>
      <w:r>
        <w:rPr>
          <w:spacing w:val="9"/>
        </w:rPr>
        <w:t> </w:t>
      </w:r>
      <w:r>
        <w:rPr>
          <w:w w:val="108"/>
        </w:rPr>
        <w:t>europeo</w:t>
      </w:r>
      <w:r>
        <w:rPr>
          <w:spacing w:val="9"/>
        </w:rPr>
        <w:t> </w:t>
      </w:r>
      <w:r>
        <w:rPr>
          <w:w w:val="105"/>
        </w:rPr>
        <w:t>y</w:t>
      </w:r>
      <w:r>
        <w:rPr>
          <w:spacing w:val="9"/>
        </w:rPr>
        <w:t> </w:t>
      </w:r>
      <w:r>
        <w:rPr>
          <w:w w:val="112"/>
        </w:rPr>
        <w:t>África–,</w:t>
      </w:r>
      <w:r>
        <w:rPr>
          <w:spacing w:val="9"/>
        </w:rPr>
        <w:t> </w:t>
      </w:r>
      <w:r>
        <w:rPr>
          <w:w w:val="111"/>
        </w:rPr>
        <w:t>la </w:t>
      </w:r>
      <w:r>
        <w:rPr>
          <w:w w:val="115"/>
        </w:rPr>
        <w:t>fuerte</w:t>
      </w:r>
      <w:r>
        <w:rPr>
          <w:spacing w:val="-10"/>
          <w:w w:val="115"/>
        </w:rPr>
        <w:t> </w:t>
      </w:r>
      <w:r>
        <w:rPr>
          <w:w w:val="115"/>
        </w:rPr>
        <w:t>reducción</w:t>
      </w:r>
      <w:r>
        <w:rPr>
          <w:spacing w:val="-10"/>
          <w:w w:val="115"/>
        </w:rPr>
        <w:t> </w:t>
      </w:r>
      <w:r>
        <w:rPr>
          <w:w w:val="115"/>
        </w:rPr>
        <w:t>de</w:t>
      </w:r>
      <w:r>
        <w:rPr>
          <w:spacing w:val="-10"/>
          <w:w w:val="115"/>
        </w:rPr>
        <w:t> </w:t>
      </w:r>
      <w:r>
        <w:rPr>
          <w:w w:val="115"/>
        </w:rPr>
        <w:t>las</w:t>
      </w:r>
      <w:r>
        <w:rPr>
          <w:spacing w:val="-10"/>
          <w:w w:val="115"/>
        </w:rPr>
        <w:t> </w:t>
      </w:r>
      <w:r>
        <w:rPr>
          <w:w w:val="115"/>
        </w:rPr>
        <w:t>tasas</w:t>
      </w:r>
      <w:r>
        <w:rPr>
          <w:spacing w:val="-10"/>
          <w:w w:val="115"/>
        </w:rPr>
        <w:t> </w:t>
      </w:r>
      <w:r>
        <w:rPr>
          <w:w w:val="115"/>
        </w:rPr>
        <w:t>de</w:t>
      </w:r>
      <w:r>
        <w:rPr>
          <w:spacing w:val="-10"/>
          <w:w w:val="115"/>
        </w:rPr>
        <w:t> </w:t>
      </w:r>
      <w:r>
        <w:rPr>
          <w:w w:val="115"/>
        </w:rPr>
        <w:t>crecimiento</w:t>
      </w:r>
      <w:r>
        <w:rPr>
          <w:spacing w:val="-10"/>
          <w:w w:val="115"/>
        </w:rPr>
        <w:t> </w:t>
      </w:r>
      <w:r>
        <w:rPr>
          <w:w w:val="115"/>
        </w:rPr>
        <w:t>económico</w:t>
      </w:r>
      <w:r>
        <w:rPr>
          <w:spacing w:val="-10"/>
          <w:w w:val="115"/>
        </w:rPr>
        <w:t> </w:t>
      </w:r>
      <w:r>
        <w:rPr>
          <w:w w:val="115"/>
        </w:rPr>
        <w:t>mundiales</w:t>
      </w:r>
      <w:r>
        <w:rPr>
          <w:spacing w:val="-10"/>
          <w:w w:val="115"/>
        </w:rPr>
        <w:t> </w:t>
      </w:r>
      <w:r>
        <w:rPr>
          <w:w w:val="115"/>
        </w:rPr>
        <w:t>y la</w:t>
      </w:r>
      <w:r>
        <w:rPr>
          <w:spacing w:val="-13"/>
          <w:w w:val="115"/>
        </w:rPr>
        <w:t> </w:t>
      </w:r>
      <w:r>
        <w:rPr>
          <w:w w:val="115"/>
        </w:rPr>
        <w:t>drástica</w:t>
      </w:r>
      <w:r>
        <w:rPr>
          <w:spacing w:val="-13"/>
          <w:w w:val="115"/>
        </w:rPr>
        <w:t> </w:t>
      </w:r>
      <w:r>
        <w:rPr>
          <w:w w:val="115"/>
        </w:rPr>
        <w:t>caída</w:t>
      </w:r>
      <w:r>
        <w:rPr>
          <w:spacing w:val="-13"/>
          <w:w w:val="115"/>
        </w:rPr>
        <w:t> </w:t>
      </w:r>
      <w:r>
        <w:rPr>
          <w:w w:val="115"/>
        </w:rPr>
        <w:t>de</w:t>
      </w:r>
      <w:r>
        <w:rPr>
          <w:spacing w:val="-13"/>
          <w:w w:val="115"/>
        </w:rPr>
        <w:t> </w:t>
      </w:r>
      <w:r>
        <w:rPr>
          <w:w w:val="115"/>
        </w:rPr>
        <w:t>los</w:t>
      </w:r>
      <w:r>
        <w:rPr>
          <w:spacing w:val="-13"/>
          <w:w w:val="115"/>
        </w:rPr>
        <w:t> </w:t>
      </w:r>
      <w:r>
        <w:rPr>
          <w:w w:val="115"/>
        </w:rPr>
        <w:t>precios</w:t>
      </w:r>
      <w:r>
        <w:rPr>
          <w:spacing w:val="-13"/>
          <w:w w:val="115"/>
        </w:rPr>
        <w:t> </w:t>
      </w:r>
      <w:r>
        <w:rPr>
          <w:w w:val="115"/>
        </w:rPr>
        <w:t>del</w:t>
      </w:r>
      <w:r>
        <w:rPr>
          <w:spacing w:val="-13"/>
          <w:w w:val="115"/>
        </w:rPr>
        <w:t> </w:t>
      </w:r>
      <w:r>
        <w:rPr>
          <w:w w:val="115"/>
        </w:rPr>
        <w:t>petróleo.</w:t>
      </w:r>
      <w:r>
        <w:rPr>
          <w:spacing w:val="-13"/>
          <w:w w:val="115"/>
        </w:rPr>
        <w:t> </w:t>
      </w:r>
      <w:r>
        <w:rPr>
          <w:w w:val="115"/>
        </w:rPr>
        <w:t>En</w:t>
      </w:r>
      <w:r>
        <w:rPr>
          <w:spacing w:val="-13"/>
          <w:w w:val="115"/>
        </w:rPr>
        <w:t> </w:t>
      </w:r>
      <w:r>
        <w:rPr>
          <w:w w:val="115"/>
        </w:rPr>
        <w:t>este</w:t>
      </w:r>
      <w:r>
        <w:rPr>
          <w:spacing w:val="-13"/>
          <w:w w:val="115"/>
        </w:rPr>
        <w:t> </w:t>
      </w:r>
      <w:r>
        <w:rPr>
          <w:w w:val="115"/>
        </w:rPr>
        <w:t>periodo,</w:t>
      </w:r>
      <w:r>
        <w:rPr>
          <w:spacing w:val="-13"/>
          <w:w w:val="115"/>
        </w:rPr>
        <w:t> </w:t>
      </w:r>
      <w:r>
        <w:rPr>
          <w:w w:val="115"/>
        </w:rPr>
        <w:t>Estados unidos</w:t>
      </w:r>
      <w:r>
        <w:rPr>
          <w:spacing w:val="-10"/>
          <w:w w:val="115"/>
        </w:rPr>
        <w:t> </w:t>
      </w:r>
      <w:r>
        <w:rPr>
          <w:w w:val="115"/>
        </w:rPr>
        <w:t>incrementó</w:t>
      </w:r>
      <w:r>
        <w:rPr>
          <w:spacing w:val="-10"/>
          <w:w w:val="115"/>
        </w:rPr>
        <w:t> </w:t>
      </w:r>
      <w:r>
        <w:rPr>
          <w:w w:val="115"/>
        </w:rPr>
        <w:t>sus</w:t>
      </w:r>
      <w:r>
        <w:rPr>
          <w:spacing w:val="-10"/>
          <w:w w:val="115"/>
        </w:rPr>
        <w:t> </w:t>
      </w:r>
      <w:r>
        <w:rPr>
          <w:w w:val="115"/>
        </w:rPr>
        <w:t>niveles</w:t>
      </w:r>
      <w:r>
        <w:rPr>
          <w:spacing w:val="-10"/>
          <w:w w:val="115"/>
        </w:rPr>
        <w:t> </w:t>
      </w:r>
      <w:r>
        <w:rPr>
          <w:w w:val="115"/>
        </w:rPr>
        <w:t>de</w:t>
      </w:r>
      <w:r>
        <w:rPr>
          <w:spacing w:val="-10"/>
          <w:w w:val="115"/>
        </w:rPr>
        <w:t> </w:t>
      </w:r>
      <w:r>
        <w:rPr>
          <w:w w:val="115"/>
        </w:rPr>
        <w:t>renta</w:t>
      </w:r>
      <w:r>
        <w:rPr>
          <w:spacing w:val="-10"/>
          <w:w w:val="115"/>
        </w:rPr>
        <w:t> </w:t>
      </w:r>
      <w:r>
        <w:rPr>
          <w:w w:val="115"/>
        </w:rPr>
        <w:t>per</w:t>
      </w:r>
      <w:r>
        <w:rPr>
          <w:spacing w:val="-10"/>
          <w:w w:val="115"/>
        </w:rPr>
        <w:t> </w:t>
      </w:r>
      <w:r>
        <w:rPr>
          <w:w w:val="115"/>
        </w:rPr>
        <w:t>cápita</w:t>
      </w:r>
      <w:r>
        <w:rPr>
          <w:spacing w:val="-10"/>
          <w:w w:val="115"/>
        </w:rPr>
        <w:t> </w:t>
      </w:r>
      <w:r>
        <w:rPr>
          <w:w w:val="115"/>
        </w:rPr>
        <w:t>de</w:t>
      </w:r>
      <w:r>
        <w:rPr>
          <w:spacing w:val="-10"/>
          <w:w w:val="115"/>
        </w:rPr>
        <w:t> </w:t>
      </w:r>
      <w:r>
        <w:rPr>
          <w:w w:val="115"/>
        </w:rPr>
        <w:t>417</w:t>
      </w:r>
      <w:r>
        <w:rPr>
          <w:spacing w:val="-10"/>
          <w:w w:val="115"/>
        </w:rPr>
        <w:t> </w:t>
      </w:r>
      <w:r>
        <w:rPr>
          <w:w w:val="115"/>
        </w:rPr>
        <w:t>a</w:t>
      </w:r>
      <w:r>
        <w:rPr>
          <w:spacing w:val="-10"/>
          <w:w w:val="115"/>
        </w:rPr>
        <w:t> </w:t>
      </w:r>
      <w:r>
        <w:rPr>
          <w:w w:val="115"/>
        </w:rPr>
        <w:t>458%</w:t>
      </w:r>
      <w:r>
        <w:rPr>
          <w:spacing w:val="-10"/>
          <w:w w:val="115"/>
        </w:rPr>
        <w:t> </w:t>
      </w:r>
      <w:r>
        <w:rPr>
          <w:w w:val="115"/>
        </w:rPr>
        <w:t>en relación con la media de la economía mundial, y el norte de Europa </w:t>
      </w:r>
      <w:r>
        <w:rPr>
          <w:w w:val="110"/>
        </w:rPr>
        <w:t>(sumando</w:t>
      </w:r>
      <w:r>
        <w:rPr>
          <w:spacing w:val="16"/>
        </w:rPr>
        <w:t> </w:t>
      </w:r>
      <w:r>
        <w:rPr>
          <w:w w:val="112"/>
        </w:rPr>
        <w:t>a</w:t>
      </w:r>
      <w:r>
        <w:rPr>
          <w:spacing w:val="16"/>
        </w:rPr>
        <w:t> </w:t>
      </w:r>
      <w:r>
        <w:rPr>
          <w:w w:val="142"/>
        </w:rPr>
        <w:t>i</w:t>
      </w:r>
      <w:r>
        <w:rPr>
          <w:w w:val="109"/>
        </w:rPr>
        <w:t>talia)</w:t>
      </w:r>
      <w:r>
        <w:rPr>
          <w:spacing w:val="16"/>
        </w:rPr>
        <w:t> </w:t>
      </w:r>
      <w:r>
        <w:rPr>
          <w:w w:val="110"/>
        </w:rPr>
        <w:t>lo</w:t>
      </w:r>
      <w:r>
        <w:rPr>
          <w:spacing w:val="16"/>
        </w:rPr>
        <w:t> </w:t>
      </w:r>
      <w:r>
        <w:rPr>
          <w:w w:val="112"/>
        </w:rPr>
        <w:t>hizo</w:t>
      </w:r>
      <w:r>
        <w:rPr>
          <w:spacing w:val="16"/>
        </w:rPr>
        <w:t> </w:t>
      </w:r>
      <w:r>
        <w:rPr>
          <w:w w:val="108"/>
        </w:rPr>
        <w:t>en</w:t>
      </w:r>
      <w:r>
        <w:rPr>
          <w:spacing w:val="16"/>
        </w:rPr>
        <w:t> </w:t>
      </w:r>
      <w:r>
        <w:rPr>
          <w:w w:val="109"/>
        </w:rPr>
        <w:t>menor</w:t>
      </w:r>
      <w:r>
        <w:rPr>
          <w:spacing w:val="16"/>
        </w:rPr>
        <w:t> </w:t>
      </w:r>
      <w:r>
        <w:rPr>
          <w:w w:val="112"/>
        </w:rPr>
        <w:t>escala,</w:t>
      </w:r>
      <w:r>
        <w:rPr>
          <w:spacing w:val="16"/>
        </w:rPr>
        <w:t> </w:t>
      </w:r>
      <w:r>
        <w:rPr>
          <w:w w:val="107"/>
        </w:rPr>
        <w:t>de</w:t>
      </w:r>
      <w:r>
        <w:rPr>
          <w:spacing w:val="16"/>
        </w:rPr>
        <w:t> </w:t>
      </w:r>
      <w:r>
        <w:rPr>
          <w:w w:val="102"/>
        </w:rPr>
        <w:t>308</w:t>
      </w:r>
      <w:r>
        <w:rPr>
          <w:spacing w:val="16"/>
        </w:rPr>
        <w:t> </w:t>
      </w:r>
      <w:r>
        <w:rPr>
          <w:w w:val="112"/>
        </w:rPr>
        <w:t>a</w:t>
      </w:r>
      <w:r>
        <w:rPr>
          <w:spacing w:val="16"/>
        </w:rPr>
        <w:t> </w:t>
      </w:r>
      <w:r>
        <w:rPr>
          <w:w w:val="105"/>
        </w:rPr>
        <w:t>329%</w:t>
      </w:r>
      <w:r>
        <w:rPr>
          <w:spacing w:val="-1"/>
          <w:w w:val="105"/>
        </w:rPr>
        <w:t>.</w:t>
      </w:r>
      <w:r>
        <w:rPr>
          <w:w w:val="103"/>
          <w:position w:val="6"/>
          <w:sz w:val="11"/>
        </w:rPr>
        <w:t>4</w:t>
      </w:r>
      <w:r>
        <w:rPr>
          <w:position w:val="6"/>
          <w:sz w:val="11"/>
        </w:rPr>
        <w:t> </w:t>
      </w:r>
      <w:r>
        <w:rPr>
          <w:spacing w:val="10"/>
          <w:position w:val="6"/>
          <w:sz w:val="11"/>
        </w:rPr>
        <w:t> </w:t>
      </w:r>
      <w:r>
        <w:rPr>
          <w:w w:val="243"/>
        </w:rPr>
        <w:t>l</w:t>
      </w:r>
      <w:r>
        <w:rPr>
          <w:w w:val="109"/>
        </w:rPr>
        <w:t>as</w:t>
      </w:r>
      <w:r>
        <w:rPr>
          <w:spacing w:val="16"/>
        </w:rPr>
        <w:t> </w:t>
      </w:r>
      <w:r>
        <w:rPr>
          <w:w w:val="112"/>
        </w:rPr>
        <w:t>co</w:t>
      </w:r>
      <w:r>
        <w:rPr>
          <w:spacing w:val="-1"/>
          <w:w w:val="112"/>
        </w:rPr>
        <w:t>n</w:t>
      </w:r>
      <w:r>
        <w:rPr>
          <w:w w:val="102"/>
        </w:rPr>
        <w:t>- </w:t>
      </w:r>
      <w:r>
        <w:rPr>
          <w:w w:val="115"/>
        </w:rPr>
        <w:t>tradicciones</w:t>
      </w:r>
      <w:r>
        <w:rPr>
          <w:spacing w:val="-11"/>
          <w:w w:val="115"/>
        </w:rPr>
        <w:t> </w:t>
      </w:r>
      <w:r>
        <w:rPr>
          <w:w w:val="115"/>
        </w:rPr>
        <w:t>de</w:t>
      </w:r>
      <w:r>
        <w:rPr>
          <w:spacing w:val="-11"/>
          <w:w w:val="115"/>
        </w:rPr>
        <w:t> </w:t>
      </w:r>
      <w:r>
        <w:rPr>
          <w:w w:val="115"/>
        </w:rPr>
        <w:t>la</w:t>
      </w:r>
      <w:r>
        <w:rPr>
          <w:spacing w:val="-11"/>
          <w:w w:val="115"/>
        </w:rPr>
        <w:t> </w:t>
      </w:r>
      <w:r>
        <w:rPr>
          <w:w w:val="115"/>
        </w:rPr>
        <w:t>diplomacia</w:t>
      </w:r>
      <w:r>
        <w:rPr>
          <w:spacing w:val="-11"/>
          <w:w w:val="115"/>
        </w:rPr>
        <w:t> </w:t>
      </w:r>
      <w:r>
        <w:rPr>
          <w:w w:val="115"/>
        </w:rPr>
        <w:t>del</w:t>
      </w:r>
      <w:r>
        <w:rPr>
          <w:spacing w:val="-11"/>
          <w:w w:val="115"/>
        </w:rPr>
        <w:t> </w:t>
      </w:r>
      <w:r>
        <w:rPr>
          <w:w w:val="115"/>
        </w:rPr>
        <w:t>dólar</w:t>
      </w:r>
      <w:r>
        <w:rPr>
          <w:spacing w:val="-11"/>
          <w:w w:val="115"/>
        </w:rPr>
        <w:t> </w:t>
      </w:r>
      <w:r>
        <w:rPr>
          <w:w w:val="115"/>
        </w:rPr>
        <w:t>fuerte</w:t>
      </w:r>
      <w:r>
        <w:rPr>
          <w:spacing w:val="-11"/>
          <w:w w:val="115"/>
        </w:rPr>
        <w:t> </w:t>
      </w:r>
      <w:r>
        <w:rPr>
          <w:w w:val="115"/>
        </w:rPr>
        <w:t>en</w:t>
      </w:r>
      <w:r>
        <w:rPr>
          <w:spacing w:val="-11"/>
          <w:w w:val="115"/>
        </w:rPr>
        <w:t> </w:t>
      </w:r>
      <w:r>
        <w:rPr>
          <w:w w:val="115"/>
        </w:rPr>
        <w:t>el</w:t>
      </w:r>
      <w:r>
        <w:rPr>
          <w:spacing w:val="-11"/>
          <w:w w:val="115"/>
        </w:rPr>
        <w:t> </w:t>
      </w:r>
      <w:r>
        <w:rPr>
          <w:w w:val="115"/>
        </w:rPr>
        <w:t>ámbito</w:t>
      </w:r>
      <w:r>
        <w:rPr>
          <w:spacing w:val="-11"/>
          <w:w w:val="115"/>
        </w:rPr>
        <w:t> </w:t>
      </w:r>
      <w:r>
        <w:rPr>
          <w:w w:val="115"/>
        </w:rPr>
        <w:t>del</w:t>
      </w:r>
      <w:r>
        <w:rPr>
          <w:spacing w:val="-11"/>
          <w:w w:val="115"/>
        </w:rPr>
        <w:t> </w:t>
      </w:r>
      <w:r>
        <w:rPr>
          <w:w w:val="115"/>
        </w:rPr>
        <w:t>eje</w:t>
      </w:r>
      <w:r>
        <w:rPr>
          <w:spacing w:val="-11"/>
          <w:w w:val="115"/>
        </w:rPr>
        <w:t> </w:t>
      </w:r>
      <w:r>
        <w:rPr>
          <w:w w:val="115"/>
        </w:rPr>
        <w:t>at- lantista</w:t>
      </w:r>
      <w:r>
        <w:rPr>
          <w:spacing w:val="-30"/>
          <w:w w:val="115"/>
        </w:rPr>
        <w:t> </w:t>
      </w:r>
      <w:r>
        <w:rPr>
          <w:w w:val="115"/>
        </w:rPr>
        <w:t>fueron</w:t>
      </w:r>
      <w:r>
        <w:rPr>
          <w:spacing w:val="-30"/>
          <w:w w:val="115"/>
        </w:rPr>
        <w:t> </w:t>
      </w:r>
      <w:r>
        <w:rPr>
          <w:w w:val="115"/>
        </w:rPr>
        <w:t>resueltas</w:t>
      </w:r>
      <w:r>
        <w:rPr>
          <w:spacing w:val="-30"/>
          <w:w w:val="115"/>
        </w:rPr>
        <w:t> </w:t>
      </w:r>
      <w:r>
        <w:rPr>
          <w:w w:val="115"/>
        </w:rPr>
        <w:t>a</w:t>
      </w:r>
      <w:r>
        <w:rPr>
          <w:spacing w:val="-30"/>
          <w:w w:val="115"/>
        </w:rPr>
        <w:t> </w:t>
      </w:r>
      <w:r>
        <w:rPr>
          <w:w w:val="115"/>
        </w:rPr>
        <w:t>principios</w:t>
      </w:r>
      <w:r>
        <w:rPr>
          <w:spacing w:val="-30"/>
          <w:w w:val="115"/>
        </w:rPr>
        <w:t> </w:t>
      </w:r>
      <w:r>
        <w:rPr>
          <w:w w:val="115"/>
        </w:rPr>
        <w:t>de</w:t>
      </w:r>
      <w:r>
        <w:rPr>
          <w:spacing w:val="-30"/>
          <w:w w:val="115"/>
        </w:rPr>
        <w:t> </w:t>
      </w:r>
      <w:r>
        <w:rPr>
          <w:w w:val="115"/>
        </w:rPr>
        <w:t>la</w:t>
      </w:r>
      <w:r>
        <w:rPr>
          <w:spacing w:val="-30"/>
          <w:w w:val="115"/>
        </w:rPr>
        <w:t> </w:t>
      </w:r>
      <w:r>
        <w:rPr>
          <w:w w:val="115"/>
        </w:rPr>
        <w:t>década</w:t>
      </w:r>
      <w:r>
        <w:rPr>
          <w:spacing w:val="-30"/>
          <w:w w:val="115"/>
        </w:rPr>
        <w:t> </w:t>
      </w:r>
      <w:r>
        <w:rPr>
          <w:w w:val="115"/>
        </w:rPr>
        <w:t>de</w:t>
      </w:r>
      <w:r>
        <w:rPr>
          <w:spacing w:val="-30"/>
          <w:w w:val="115"/>
        </w:rPr>
        <w:t> </w:t>
      </w:r>
      <w:r>
        <w:rPr>
          <w:w w:val="115"/>
        </w:rPr>
        <w:t>1990</w:t>
      </w:r>
      <w:r>
        <w:rPr>
          <w:spacing w:val="-30"/>
          <w:w w:val="115"/>
        </w:rPr>
        <w:t> </w:t>
      </w:r>
      <w:r>
        <w:rPr>
          <w:w w:val="115"/>
        </w:rPr>
        <w:t>mediante</w:t>
      </w:r>
      <w:r>
        <w:rPr>
          <w:spacing w:val="-30"/>
          <w:w w:val="115"/>
        </w:rPr>
        <w:t> </w:t>
      </w:r>
      <w:r>
        <w:rPr>
          <w:w w:val="115"/>
        </w:rPr>
        <w:t>el duro</w:t>
      </w:r>
      <w:r>
        <w:rPr>
          <w:spacing w:val="-20"/>
          <w:w w:val="115"/>
        </w:rPr>
        <w:t> </w:t>
      </w:r>
      <w:r>
        <w:rPr>
          <w:w w:val="115"/>
        </w:rPr>
        <w:t>ajuste</w:t>
      </w:r>
      <w:r>
        <w:rPr>
          <w:spacing w:val="-20"/>
          <w:w w:val="115"/>
        </w:rPr>
        <w:t> </w:t>
      </w:r>
      <w:r>
        <w:rPr>
          <w:w w:val="115"/>
        </w:rPr>
        <w:t>del</w:t>
      </w:r>
      <w:r>
        <w:rPr>
          <w:spacing w:val="-20"/>
          <w:w w:val="115"/>
        </w:rPr>
        <w:t> </w:t>
      </w:r>
      <w:r>
        <w:rPr>
          <w:w w:val="115"/>
        </w:rPr>
        <w:t>yen</w:t>
      </w:r>
      <w:r>
        <w:rPr>
          <w:spacing w:val="-20"/>
          <w:w w:val="115"/>
        </w:rPr>
        <w:t> </w:t>
      </w:r>
      <w:r>
        <w:rPr>
          <w:w w:val="115"/>
        </w:rPr>
        <w:t>y</w:t>
      </w:r>
      <w:r>
        <w:rPr>
          <w:spacing w:val="-20"/>
          <w:w w:val="115"/>
        </w:rPr>
        <w:t> </w:t>
      </w:r>
      <w:r>
        <w:rPr>
          <w:w w:val="115"/>
        </w:rPr>
        <w:t>del</w:t>
      </w:r>
      <w:r>
        <w:rPr>
          <w:spacing w:val="-20"/>
          <w:w w:val="115"/>
        </w:rPr>
        <w:t> </w:t>
      </w:r>
      <w:r>
        <w:rPr>
          <w:w w:val="115"/>
        </w:rPr>
        <w:t>marco,</w:t>
      </w:r>
      <w:r>
        <w:rPr>
          <w:spacing w:val="-20"/>
          <w:w w:val="115"/>
        </w:rPr>
        <w:t> </w:t>
      </w:r>
      <w:r>
        <w:rPr>
          <w:w w:val="115"/>
        </w:rPr>
        <w:t>reduciendo</w:t>
      </w:r>
      <w:r>
        <w:rPr>
          <w:spacing w:val="-20"/>
          <w:w w:val="115"/>
        </w:rPr>
        <w:t> </w:t>
      </w:r>
      <w:r>
        <w:rPr>
          <w:w w:val="115"/>
        </w:rPr>
        <w:t>el</w:t>
      </w:r>
      <w:r>
        <w:rPr>
          <w:spacing w:val="-20"/>
          <w:w w:val="115"/>
        </w:rPr>
        <w:t> </w:t>
      </w:r>
      <w:r>
        <w:rPr>
          <w:w w:val="115"/>
        </w:rPr>
        <w:t>dinamismo</w:t>
      </w:r>
      <w:r>
        <w:rPr>
          <w:spacing w:val="-20"/>
          <w:w w:val="115"/>
        </w:rPr>
        <w:t> </w:t>
      </w:r>
      <w:r>
        <w:rPr>
          <w:w w:val="115"/>
        </w:rPr>
        <w:t>económico y el saldo comercial de estas economías con Estados unidos, lo que provoca</w:t>
      </w:r>
      <w:r>
        <w:rPr>
          <w:spacing w:val="-24"/>
          <w:w w:val="115"/>
        </w:rPr>
        <w:t> </w:t>
      </w:r>
      <w:r>
        <w:rPr>
          <w:w w:val="115"/>
        </w:rPr>
        <w:t>el</w:t>
      </w:r>
      <w:r>
        <w:rPr>
          <w:spacing w:val="-24"/>
          <w:w w:val="115"/>
        </w:rPr>
        <w:t> </w:t>
      </w:r>
      <w:r>
        <w:rPr>
          <w:w w:val="115"/>
        </w:rPr>
        <w:t>inicio</w:t>
      </w:r>
      <w:r>
        <w:rPr>
          <w:spacing w:val="-24"/>
          <w:w w:val="115"/>
        </w:rPr>
        <w:t> </w:t>
      </w:r>
      <w:r>
        <w:rPr>
          <w:w w:val="115"/>
        </w:rPr>
        <w:t>del</w:t>
      </w:r>
      <w:r>
        <w:rPr>
          <w:spacing w:val="-24"/>
          <w:w w:val="115"/>
        </w:rPr>
        <w:t> </w:t>
      </w:r>
      <w:r>
        <w:rPr>
          <w:w w:val="115"/>
        </w:rPr>
        <w:t>largo</w:t>
      </w:r>
      <w:r>
        <w:rPr>
          <w:spacing w:val="-24"/>
          <w:w w:val="115"/>
        </w:rPr>
        <w:t> </w:t>
      </w:r>
      <w:r>
        <w:rPr>
          <w:w w:val="115"/>
        </w:rPr>
        <w:t>estancamiento</w:t>
      </w:r>
      <w:r>
        <w:rPr>
          <w:spacing w:val="-24"/>
          <w:w w:val="115"/>
        </w:rPr>
        <w:t> </w:t>
      </w:r>
      <w:r>
        <w:rPr>
          <w:w w:val="115"/>
        </w:rPr>
        <w:t>japonés.</w:t>
      </w:r>
    </w:p>
    <w:p>
      <w:pPr>
        <w:pStyle w:val="BodyText"/>
        <w:spacing w:line="252" w:lineRule="auto"/>
        <w:ind w:left="330" w:right="117" w:firstLine="396"/>
        <w:jc w:val="both"/>
        <w:rPr>
          <w:sz w:val="11"/>
        </w:rPr>
      </w:pPr>
      <w:r>
        <w:rPr>
          <w:w w:val="243"/>
        </w:rPr>
        <w:t>l</w:t>
      </w:r>
      <w:r>
        <w:rPr>
          <w:w w:val="112"/>
        </w:rPr>
        <w:t>a</w:t>
      </w:r>
      <w:r>
        <w:rPr>
          <w:spacing w:val="15"/>
        </w:rPr>
        <w:t> </w:t>
      </w:r>
      <w:r>
        <w:rPr>
          <w:w w:val="109"/>
        </w:rPr>
        <w:t>crisis</w:t>
      </w:r>
      <w:r>
        <w:rPr>
          <w:spacing w:val="15"/>
        </w:rPr>
        <w:t> </w:t>
      </w:r>
      <w:r>
        <w:rPr>
          <w:w w:val="107"/>
        </w:rPr>
        <w:t>de</w:t>
      </w:r>
      <w:r>
        <w:rPr>
          <w:spacing w:val="15"/>
        </w:rPr>
        <w:t> </w:t>
      </w:r>
      <w:r>
        <w:rPr>
          <w:w w:val="110"/>
        </w:rPr>
        <w:t>hegemonía</w:t>
      </w:r>
      <w:r>
        <w:rPr>
          <w:spacing w:val="15"/>
        </w:rPr>
        <w:t> </w:t>
      </w:r>
      <w:r>
        <w:rPr>
          <w:w w:val="107"/>
        </w:rPr>
        <w:t>del</w:t>
      </w:r>
      <w:r>
        <w:rPr>
          <w:spacing w:val="15"/>
        </w:rPr>
        <w:t> </w:t>
      </w:r>
      <w:r>
        <w:rPr>
          <w:w w:val="106"/>
        </w:rPr>
        <w:t>eje</w:t>
      </w:r>
      <w:r>
        <w:rPr>
          <w:spacing w:val="15"/>
        </w:rPr>
        <w:t> </w:t>
      </w:r>
      <w:r>
        <w:rPr>
          <w:w w:val="110"/>
        </w:rPr>
        <w:t>atlantista</w:t>
      </w:r>
      <w:r>
        <w:rPr>
          <w:spacing w:val="15"/>
        </w:rPr>
        <w:t> </w:t>
      </w:r>
      <w:r>
        <w:rPr>
          <w:w w:val="105"/>
        </w:rPr>
        <w:t>se</w:t>
      </w:r>
      <w:r>
        <w:rPr>
          <w:spacing w:val="15"/>
        </w:rPr>
        <w:t> </w:t>
      </w:r>
      <w:r>
        <w:rPr>
          <w:w w:val="114"/>
        </w:rPr>
        <w:t>inicia</w:t>
      </w:r>
      <w:r>
        <w:rPr>
          <w:spacing w:val="15"/>
        </w:rPr>
        <w:t> </w:t>
      </w:r>
      <w:r>
        <w:rPr>
          <w:w w:val="108"/>
        </w:rPr>
        <w:t>por</w:t>
      </w:r>
      <w:r>
        <w:rPr>
          <w:spacing w:val="15"/>
        </w:rPr>
        <w:t> </w:t>
      </w:r>
      <w:r>
        <w:rPr>
          <w:w w:val="109"/>
        </w:rPr>
        <w:t>razones</w:t>
      </w:r>
      <w:r>
        <w:rPr>
          <w:spacing w:val="15"/>
        </w:rPr>
        <w:t> </w:t>
      </w:r>
      <w:r>
        <w:rPr>
          <w:w w:val="113"/>
        </w:rPr>
        <w:t>in</w:t>
      </w:r>
      <w:r>
        <w:rPr>
          <w:w w:val="102"/>
        </w:rPr>
        <w:t>- </w:t>
      </w:r>
      <w:r>
        <w:rPr>
          <w:w w:val="115"/>
        </w:rPr>
        <w:t>ternas.</w:t>
      </w:r>
      <w:r>
        <w:rPr>
          <w:spacing w:val="-16"/>
          <w:w w:val="115"/>
        </w:rPr>
        <w:t> </w:t>
      </w:r>
      <w:r>
        <w:rPr>
          <w:w w:val="115"/>
        </w:rPr>
        <w:t>Hasta</w:t>
      </w:r>
      <w:r>
        <w:rPr>
          <w:spacing w:val="-16"/>
          <w:w w:val="115"/>
        </w:rPr>
        <w:t> </w:t>
      </w:r>
      <w:r>
        <w:rPr>
          <w:w w:val="115"/>
        </w:rPr>
        <w:t>1979</w:t>
      </w:r>
      <w:r>
        <w:rPr>
          <w:spacing w:val="-16"/>
          <w:w w:val="115"/>
        </w:rPr>
        <w:t> </w:t>
      </w:r>
      <w:r>
        <w:rPr>
          <w:w w:val="115"/>
        </w:rPr>
        <w:t>no</w:t>
      </w:r>
      <w:r>
        <w:rPr>
          <w:spacing w:val="-16"/>
          <w:w w:val="115"/>
        </w:rPr>
        <w:t> </w:t>
      </w:r>
      <w:r>
        <w:rPr>
          <w:w w:val="115"/>
        </w:rPr>
        <w:t>había</w:t>
      </w:r>
      <w:r>
        <w:rPr>
          <w:spacing w:val="-16"/>
          <w:w w:val="115"/>
        </w:rPr>
        <w:t> </w:t>
      </w:r>
      <w:r>
        <w:rPr>
          <w:w w:val="115"/>
        </w:rPr>
        <w:t>un</w:t>
      </w:r>
      <w:r>
        <w:rPr>
          <w:spacing w:val="-16"/>
          <w:w w:val="115"/>
        </w:rPr>
        <w:t> </w:t>
      </w:r>
      <w:r>
        <w:rPr>
          <w:w w:val="115"/>
        </w:rPr>
        <w:t>desafío</w:t>
      </w:r>
      <w:r>
        <w:rPr>
          <w:spacing w:val="-16"/>
          <w:w w:val="115"/>
        </w:rPr>
        <w:t> </w:t>
      </w:r>
      <w:r>
        <w:rPr>
          <w:w w:val="115"/>
        </w:rPr>
        <w:t>significativo</w:t>
      </w:r>
      <w:r>
        <w:rPr>
          <w:spacing w:val="-16"/>
          <w:w w:val="115"/>
        </w:rPr>
        <w:t> </w:t>
      </w:r>
      <w:r>
        <w:rPr>
          <w:w w:val="115"/>
        </w:rPr>
        <w:t>a</w:t>
      </w:r>
      <w:r>
        <w:rPr>
          <w:spacing w:val="-16"/>
          <w:w w:val="115"/>
        </w:rPr>
        <w:t> </w:t>
      </w:r>
      <w:r>
        <w:rPr>
          <w:w w:val="115"/>
        </w:rPr>
        <w:t>su</w:t>
      </w:r>
      <w:r>
        <w:rPr>
          <w:spacing w:val="-16"/>
          <w:w w:val="115"/>
        </w:rPr>
        <w:t> </w:t>
      </w:r>
      <w:r>
        <w:rPr>
          <w:w w:val="115"/>
        </w:rPr>
        <w:t>competitivi- </w:t>
      </w:r>
      <w:r>
        <w:rPr>
          <w:w w:val="110"/>
        </w:rPr>
        <w:t>dad</w:t>
      </w:r>
      <w:r>
        <w:rPr>
          <w:spacing w:val="15"/>
        </w:rPr>
        <w:t> </w:t>
      </w:r>
      <w:r>
        <w:rPr>
          <w:w w:val="108"/>
        </w:rPr>
        <w:t>por</w:t>
      </w:r>
      <w:r>
        <w:rPr>
          <w:spacing w:val="15"/>
        </w:rPr>
        <w:t> </w:t>
      </w:r>
      <w:r>
        <w:rPr>
          <w:w w:val="107"/>
        </w:rPr>
        <w:t>parte</w:t>
      </w:r>
      <w:r>
        <w:rPr>
          <w:spacing w:val="15"/>
        </w:rPr>
        <w:t> </w:t>
      </w:r>
      <w:r>
        <w:rPr>
          <w:w w:val="107"/>
        </w:rPr>
        <w:t>de</w:t>
      </w:r>
      <w:r>
        <w:rPr>
          <w:spacing w:val="15"/>
        </w:rPr>
        <w:t> </w:t>
      </w:r>
      <w:r>
        <w:rPr>
          <w:w w:val="108"/>
        </w:rPr>
        <w:t>otras</w:t>
      </w:r>
      <w:r>
        <w:rPr>
          <w:spacing w:val="15"/>
        </w:rPr>
        <w:t> </w:t>
      </w:r>
      <w:r>
        <w:rPr>
          <w:w w:val="108"/>
        </w:rPr>
        <w:t>regiones</w:t>
      </w:r>
      <w:r>
        <w:rPr>
          <w:spacing w:val="15"/>
        </w:rPr>
        <w:t> </w:t>
      </w:r>
      <w:r>
        <w:rPr>
          <w:w w:val="107"/>
        </w:rPr>
        <w:t>del</w:t>
      </w:r>
      <w:r>
        <w:rPr>
          <w:spacing w:val="15"/>
        </w:rPr>
        <w:t> </w:t>
      </w:r>
      <w:r>
        <w:rPr>
          <w:w w:val="113"/>
        </w:rPr>
        <w:t>mundo.</w:t>
      </w:r>
      <w:r>
        <w:rPr>
          <w:spacing w:val="15"/>
        </w:rPr>
        <w:t> </w:t>
      </w:r>
      <w:r>
        <w:rPr>
          <w:w w:val="243"/>
        </w:rPr>
        <w:t>l</w:t>
      </w:r>
      <w:r>
        <w:rPr>
          <w:w w:val="112"/>
        </w:rPr>
        <w:t>a</w:t>
      </w:r>
      <w:r>
        <w:rPr>
          <w:spacing w:val="15"/>
        </w:rPr>
        <w:t> </w:t>
      </w:r>
      <w:r>
        <w:rPr>
          <w:w w:val="110"/>
        </w:rPr>
        <w:t>hegemonía</w:t>
      </w:r>
      <w:r>
        <w:rPr>
          <w:spacing w:val="15"/>
        </w:rPr>
        <w:t> </w:t>
      </w:r>
      <w:r>
        <w:rPr>
          <w:w w:val="109"/>
        </w:rPr>
        <w:t>estadouni</w:t>
      </w:r>
      <w:r>
        <w:rPr>
          <w:w w:val="102"/>
        </w:rPr>
        <w:t>- </w:t>
      </w:r>
      <w:r>
        <w:rPr>
          <w:w w:val="115"/>
        </w:rPr>
        <w:t>dense</w:t>
      </w:r>
      <w:r>
        <w:rPr>
          <w:spacing w:val="-18"/>
          <w:w w:val="115"/>
        </w:rPr>
        <w:t> </w:t>
      </w:r>
      <w:r>
        <w:rPr>
          <w:w w:val="115"/>
        </w:rPr>
        <w:t>permanecía</w:t>
      </w:r>
      <w:r>
        <w:rPr>
          <w:spacing w:val="-18"/>
          <w:w w:val="115"/>
        </w:rPr>
        <w:t> </w:t>
      </w:r>
      <w:r>
        <w:rPr>
          <w:w w:val="115"/>
        </w:rPr>
        <w:t>sólida</w:t>
      </w:r>
      <w:r>
        <w:rPr>
          <w:spacing w:val="-18"/>
          <w:w w:val="115"/>
        </w:rPr>
        <w:t> </w:t>
      </w:r>
      <w:r>
        <w:rPr>
          <w:w w:val="115"/>
        </w:rPr>
        <w:t>en</w:t>
      </w:r>
      <w:r>
        <w:rPr>
          <w:spacing w:val="-18"/>
          <w:w w:val="115"/>
        </w:rPr>
        <w:t> </w:t>
      </w:r>
      <w:r>
        <w:rPr>
          <w:w w:val="115"/>
        </w:rPr>
        <w:t>el</w:t>
      </w:r>
      <w:r>
        <w:rPr>
          <w:spacing w:val="-18"/>
          <w:w w:val="115"/>
        </w:rPr>
        <w:t> </w:t>
      </w:r>
      <w:r>
        <w:rPr>
          <w:w w:val="115"/>
        </w:rPr>
        <w:t>interior</w:t>
      </w:r>
      <w:r>
        <w:rPr>
          <w:spacing w:val="-18"/>
          <w:w w:val="115"/>
        </w:rPr>
        <w:t> </w:t>
      </w:r>
      <w:r>
        <w:rPr>
          <w:w w:val="115"/>
        </w:rPr>
        <w:t>del</w:t>
      </w:r>
      <w:r>
        <w:rPr>
          <w:spacing w:val="-18"/>
          <w:w w:val="115"/>
        </w:rPr>
        <w:t> </w:t>
      </w:r>
      <w:r>
        <w:rPr>
          <w:w w:val="115"/>
        </w:rPr>
        <w:t>atlantismo</w:t>
      </w:r>
      <w:r>
        <w:rPr>
          <w:spacing w:val="-18"/>
          <w:w w:val="115"/>
        </w:rPr>
        <w:t> </w:t>
      </w:r>
      <w:r>
        <w:rPr>
          <w:w w:val="115"/>
        </w:rPr>
        <w:t>y</w:t>
      </w:r>
      <w:r>
        <w:rPr>
          <w:spacing w:val="-18"/>
          <w:w w:val="115"/>
        </w:rPr>
        <w:t> </w:t>
      </w:r>
      <w:r>
        <w:rPr>
          <w:w w:val="115"/>
        </w:rPr>
        <w:t>neutralizaría, en</w:t>
      </w:r>
      <w:r>
        <w:rPr>
          <w:spacing w:val="-10"/>
          <w:w w:val="115"/>
        </w:rPr>
        <w:t> </w:t>
      </w:r>
      <w:r>
        <w:rPr>
          <w:w w:val="115"/>
        </w:rPr>
        <w:t>los</w:t>
      </w:r>
      <w:r>
        <w:rPr>
          <w:spacing w:val="-10"/>
          <w:w w:val="115"/>
        </w:rPr>
        <w:t> </w:t>
      </w:r>
      <w:r>
        <w:rPr>
          <w:w w:val="115"/>
        </w:rPr>
        <w:t>años</w:t>
      </w:r>
      <w:r>
        <w:rPr>
          <w:spacing w:val="-10"/>
          <w:w w:val="115"/>
        </w:rPr>
        <w:t> </w:t>
      </w:r>
      <w:r>
        <w:rPr>
          <w:w w:val="115"/>
        </w:rPr>
        <w:t>noventa,</w:t>
      </w:r>
      <w:r>
        <w:rPr>
          <w:spacing w:val="-10"/>
          <w:w w:val="115"/>
        </w:rPr>
        <w:t> </w:t>
      </w:r>
      <w:r>
        <w:rPr>
          <w:w w:val="115"/>
        </w:rPr>
        <w:t>la</w:t>
      </w:r>
      <w:r>
        <w:rPr>
          <w:spacing w:val="-10"/>
          <w:w w:val="115"/>
        </w:rPr>
        <w:t> </w:t>
      </w:r>
      <w:r>
        <w:rPr>
          <w:w w:val="115"/>
        </w:rPr>
        <w:t>ofensiva</w:t>
      </w:r>
      <w:r>
        <w:rPr>
          <w:spacing w:val="-10"/>
          <w:w w:val="115"/>
        </w:rPr>
        <w:t> </w:t>
      </w:r>
      <w:r>
        <w:rPr>
          <w:w w:val="115"/>
        </w:rPr>
        <w:t>económica</w:t>
      </w:r>
      <w:r>
        <w:rPr>
          <w:spacing w:val="-10"/>
          <w:w w:val="115"/>
        </w:rPr>
        <w:t> </w:t>
      </w:r>
      <w:r>
        <w:rPr>
          <w:w w:val="115"/>
        </w:rPr>
        <w:t>japonesa</w:t>
      </w:r>
      <w:r>
        <w:rPr>
          <w:spacing w:val="-10"/>
          <w:w w:val="115"/>
        </w:rPr>
        <w:t> </w:t>
      </w:r>
      <w:r>
        <w:rPr>
          <w:w w:val="115"/>
        </w:rPr>
        <w:t>con</w:t>
      </w:r>
      <w:r>
        <w:rPr>
          <w:spacing w:val="-10"/>
          <w:w w:val="115"/>
        </w:rPr>
        <w:t> </w:t>
      </w:r>
      <w:r>
        <w:rPr>
          <w:w w:val="115"/>
        </w:rPr>
        <w:t>el</w:t>
      </w:r>
      <w:r>
        <w:rPr>
          <w:spacing w:val="-10"/>
          <w:w w:val="115"/>
        </w:rPr>
        <w:t> </w:t>
      </w:r>
      <w:r>
        <w:rPr>
          <w:w w:val="115"/>
        </w:rPr>
        <w:t>ajuste</w:t>
      </w:r>
      <w:r>
        <w:rPr>
          <w:spacing w:val="-10"/>
          <w:w w:val="115"/>
        </w:rPr>
        <w:t> </w:t>
      </w:r>
      <w:r>
        <w:rPr>
          <w:w w:val="115"/>
        </w:rPr>
        <w:t>de </w:t>
      </w:r>
      <w:r>
        <w:rPr>
          <w:w w:val="120"/>
        </w:rPr>
        <w:t>las</w:t>
      </w:r>
      <w:r>
        <w:rPr>
          <w:spacing w:val="-23"/>
          <w:w w:val="120"/>
        </w:rPr>
        <w:t> </w:t>
      </w:r>
      <w:r>
        <w:rPr>
          <w:w w:val="120"/>
        </w:rPr>
        <w:t>políticas</w:t>
      </w:r>
      <w:r>
        <w:rPr>
          <w:spacing w:val="-23"/>
          <w:w w:val="120"/>
        </w:rPr>
        <w:t> </w:t>
      </w:r>
      <w:r>
        <w:rPr>
          <w:w w:val="120"/>
        </w:rPr>
        <w:t>cambiarias.</w:t>
      </w:r>
      <w:r>
        <w:rPr>
          <w:spacing w:val="-23"/>
          <w:w w:val="120"/>
        </w:rPr>
        <w:t> </w:t>
      </w:r>
      <w:r>
        <w:rPr>
          <w:w w:val="120"/>
        </w:rPr>
        <w:t>Es</w:t>
      </w:r>
      <w:r>
        <w:rPr>
          <w:spacing w:val="-23"/>
          <w:w w:val="120"/>
        </w:rPr>
        <w:t> </w:t>
      </w:r>
      <w:r>
        <w:rPr>
          <w:w w:val="120"/>
        </w:rPr>
        <w:t>la</w:t>
      </w:r>
      <w:r>
        <w:rPr>
          <w:spacing w:val="-23"/>
          <w:w w:val="120"/>
        </w:rPr>
        <w:t> </w:t>
      </w:r>
      <w:r>
        <w:rPr>
          <w:w w:val="120"/>
        </w:rPr>
        <w:t>necesidad</w:t>
      </w:r>
      <w:r>
        <w:rPr>
          <w:spacing w:val="-23"/>
          <w:w w:val="120"/>
        </w:rPr>
        <w:t> </w:t>
      </w:r>
      <w:r>
        <w:rPr>
          <w:w w:val="120"/>
        </w:rPr>
        <w:t>de</w:t>
      </w:r>
      <w:r>
        <w:rPr>
          <w:spacing w:val="-23"/>
          <w:w w:val="120"/>
        </w:rPr>
        <w:t> </w:t>
      </w:r>
      <w:r>
        <w:rPr>
          <w:w w:val="120"/>
        </w:rPr>
        <w:t>prolongar</w:t>
      </w:r>
      <w:r>
        <w:rPr>
          <w:spacing w:val="-23"/>
          <w:w w:val="120"/>
        </w:rPr>
        <w:t> </w:t>
      </w:r>
      <w:r>
        <w:rPr>
          <w:w w:val="120"/>
        </w:rPr>
        <w:t>la</w:t>
      </w:r>
      <w:r>
        <w:rPr>
          <w:spacing w:val="-23"/>
          <w:w w:val="120"/>
        </w:rPr>
        <w:t> </w:t>
      </w:r>
      <w:r>
        <w:rPr>
          <w:w w:val="120"/>
        </w:rPr>
        <w:t>confronta- ción</w:t>
      </w:r>
      <w:r>
        <w:rPr>
          <w:spacing w:val="-23"/>
          <w:w w:val="120"/>
        </w:rPr>
        <w:t> </w:t>
      </w:r>
      <w:r>
        <w:rPr>
          <w:w w:val="120"/>
        </w:rPr>
        <w:t>con</w:t>
      </w:r>
      <w:r>
        <w:rPr>
          <w:spacing w:val="-23"/>
          <w:w w:val="120"/>
        </w:rPr>
        <w:t> </w:t>
      </w:r>
      <w:r>
        <w:rPr>
          <w:w w:val="120"/>
        </w:rPr>
        <w:t>su</w:t>
      </w:r>
      <w:r>
        <w:rPr>
          <w:spacing w:val="-23"/>
          <w:w w:val="120"/>
        </w:rPr>
        <w:t> </w:t>
      </w:r>
      <w:r>
        <w:rPr>
          <w:w w:val="120"/>
        </w:rPr>
        <w:t>clase</w:t>
      </w:r>
      <w:r>
        <w:rPr>
          <w:spacing w:val="-23"/>
          <w:w w:val="120"/>
        </w:rPr>
        <w:t> </w:t>
      </w:r>
      <w:r>
        <w:rPr>
          <w:w w:val="120"/>
        </w:rPr>
        <w:t>trabajadora,</w:t>
      </w:r>
      <w:r>
        <w:rPr>
          <w:spacing w:val="-23"/>
          <w:w w:val="120"/>
        </w:rPr>
        <w:t> </w:t>
      </w:r>
      <w:r>
        <w:rPr>
          <w:w w:val="120"/>
        </w:rPr>
        <w:t>iniciada</w:t>
      </w:r>
      <w:r>
        <w:rPr>
          <w:spacing w:val="-23"/>
          <w:w w:val="120"/>
        </w:rPr>
        <w:t> </w:t>
      </w:r>
      <w:r>
        <w:rPr>
          <w:w w:val="120"/>
        </w:rPr>
        <w:t>a</w:t>
      </w:r>
      <w:r>
        <w:rPr>
          <w:spacing w:val="-23"/>
          <w:w w:val="120"/>
        </w:rPr>
        <w:t> </w:t>
      </w:r>
      <w:r>
        <w:rPr>
          <w:w w:val="120"/>
        </w:rPr>
        <w:t>finales</w:t>
      </w:r>
      <w:r>
        <w:rPr>
          <w:spacing w:val="-23"/>
          <w:w w:val="120"/>
        </w:rPr>
        <w:t> </w:t>
      </w:r>
      <w:r>
        <w:rPr>
          <w:w w:val="120"/>
        </w:rPr>
        <w:t>de</w:t>
      </w:r>
      <w:r>
        <w:rPr>
          <w:spacing w:val="-23"/>
          <w:w w:val="120"/>
        </w:rPr>
        <w:t> </w:t>
      </w:r>
      <w:r>
        <w:rPr>
          <w:w w:val="120"/>
        </w:rPr>
        <w:t>los</w:t>
      </w:r>
      <w:r>
        <w:rPr>
          <w:spacing w:val="-23"/>
          <w:w w:val="120"/>
        </w:rPr>
        <w:t> </w:t>
      </w:r>
      <w:r>
        <w:rPr>
          <w:w w:val="120"/>
        </w:rPr>
        <w:t>años</w:t>
      </w:r>
      <w:r>
        <w:rPr>
          <w:spacing w:val="-23"/>
          <w:w w:val="120"/>
        </w:rPr>
        <w:t> </w:t>
      </w:r>
      <w:r>
        <w:rPr>
          <w:w w:val="120"/>
        </w:rPr>
        <w:t>sesenta, </w:t>
      </w:r>
      <w:r>
        <w:rPr>
          <w:w w:val="115"/>
        </w:rPr>
        <w:t>convirtiendo</w:t>
      </w:r>
      <w:r>
        <w:rPr>
          <w:spacing w:val="-26"/>
          <w:w w:val="115"/>
        </w:rPr>
        <w:t> </w:t>
      </w:r>
      <w:r>
        <w:rPr>
          <w:w w:val="115"/>
        </w:rPr>
        <w:t>la</w:t>
      </w:r>
      <w:r>
        <w:rPr>
          <w:spacing w:val="-26"/>
          <w:w w:val="115"/>
        </w:rPr>
        <w:t> </w:t>
      </w:r>
      <w:r>
        <w:rPr>
          <w:w w:val="115"/>
        </w:rPr>
        <w:t>superexplotación</w:t>
      </w:r>
      <w:r>
        <w:rPr>
          <w:spacing w:val="-26"/>
          <w:w w:val="115"/>
        </w:rPr>
        <w:t> </w:t>
      </w:r>
      <w:r>
        <w:rPr>
          <w:w w:val="115"/>
        </w:rPr>
        <w:t>del</w:t>
      </w:r>
      <w:r>
        <w:rPr>
          <w:spacing w:val="-26"/>
          <w:w w:val="115"/>
        </w:rPr>
        <w:t> </w:t>
      </w:r>
      <w:r>
        <w:rPr>
          <w:w w:val="115"/>
        </w:rPr>
        <w:t>trabajo</w:t>
      </w:r>
      <w:r>
        <w:rPr>
          <w:spacing w:val="-26"/>
          <w:w w:val="115"/>
        </w:rPr>
        <w:t> </w:t>
      </w:r>
      <w:r>
        <w:rPr>
          <w:w w:val="115"/>
        </w:rPr>
        <w:t>en</w:t>
      </w:r>
      <w:r>
        <w:rPr>
          <w:spacing w:val="-26"/>
          <w:w w:val="115"/>
        </w:rPr>
        <w:t> </w:t>
      </w:r>
      <w:r>
        <w:rPr>
          <w:w w:val="115"/>
        </w:rPr>
        <w:t>una</w:t>
      </w:r>
      <w:r>
        <w:rPr>
          <w:spacing w:val="-26"/>
          <w:w w:val="115"/>
        </w:rPr>
        <w:t> </w:t>
      </w:r>
      <w:r>
        <w:rPr>
          <w:w w:val="115"/>
        </w:rPr>
        <w:t>política</w:t>
      </w:r>
      <w:r>
        <w:rPr>
          <w:spacing w:val="-26"/>
          <w:w w:val="115"/>
        </w:rPr>
        <w:t> </w:t>
      </w:r>
      <w:r>
        <w:rPr>
          <w:w w:val="115"/>
        </w:rPr>
        <w:t>estructu- ral</w:t>
      </w:r>
      <w:r>
        <w:rPr>
          <w:spacing w:val="-18"/>
          <w:w w:val="115"/>
        </w:rPr>
        <w:t> </w:t>
      </w:r>
      <w:r>
        <w:rPr>
          <w:w w:val="115"/>
        </w:rPr>
        <w:t>de</w:t>
      </w:r>
      <w:r>
        <w:rPr>
          <w:spacing w:val="-18"/>
          <w:w w:val="115"/>
        </w:rPr>
        <w:t> </w:t>
      </w:r>
      <w:r>
        <w:rPr>
          <w:w w:val="115"/>
        </w:rPr>
        <w:t>los</w:t>
      </w:r>
      <w:r>
        <w:rPr>
          <w:spacing w:val="-18"/>
          <w:w w:val="115"/>
        </w:rPr>
        <w:t> </w:t>
      </w:r>
      <w:r>
        <w:rPr>
          <w:w w:val="115"/>
        </w:rPr>
        <w:t>centros</w:t>
      </w:r>
      <w:r>
        <w:rPr>
          <w:spacing w:val="-18"/>
          <w:w w:val="115"/>
        </w:rPr>
        <w:t> </w:t>
      </w:r>
      <w:r>
        <w:rPr>
          <w:w w:val="115"/>
        </w:rPr>
        <w:t>del</w:t>
      </w:r>
      <w:r>
        <w:rPr>
          <w:spacing w:val="-18"/>
          <w:w w:val="115"/>
        </w:rPr>
        <w:t> </w:t>
      </w:r>
      <w:r>
        <w:rPr>
          <w:w w:val="115"/>
        </w:rPr>
        <w:t>eje</w:t>
      </w:r>
      <w:r>
        <w:rPr>
          <w:spacing w:val="-18"/>
          <w:w w:val="115"/>
        </w:rPr>
        <w:t> </w:t>
      </w:r>
      <w:r>
        <w:rPr>
          <w:w w:val="115"/>
        </w:rPr>
        <w:t>atlantista,</w:t>
      </w:r>
      <w:r>
        <w:rPr>
          <w:spacing w:val="-18"/>
          <w:w w:val="115"/>
        </w:rPr>
        <w:t> </w:t>
      </w:r>
      <w:r>
        <w:rPr>
          <w:w w:val="115"/>
        </w:rPr>
        <w:t>más</w:t>
      </w:r>
      <w:r>
        <w:rPr>
          <w:spacing w:val="-18"/>
          <w:w w:val="115"/>
        </w:rPr>
        <w:t> </w:t>
      </w:r>
      <w:r>
        <w:rPr>
          <w:w w:val="115"/>
        </w:rPr>
        <w:t>allá</w:t>
      </w:r>
      <w:r>
        <w:rPr>
          <w:spacing w:val="-18"/>
          <w:w w:val="115"/>
        </w:rPr>
        <w:t> </w:t>
      </w:r>
      <w:r>
        <w:rPr>
          <w:w w:val="115"/>
        </w:rPr>
        <w:t>de</w:t>
      </w:r>
      <w:r>
        <w:rPr>
          <w:spacing w:val="-18"/>
          <w:w w:val="115"/>
        </w:rPr>
        <w:t> </w:t>
      </w:r>
      <w:r>
        <w:rPr>
          <w:w w:val="115"/>
        </w:rPr>
        <w:t>las</w:t>
      </w:r>
      <w:r>
        <w:rPr>
          <w:spacing w:val="-18"/>
          <w:w w:val="115"/>
        </w:rPr>
        <w:t> </w:t>
      </w:r>
      <w:r>
        <w:rPr>
          <w:w w:val="115"/>
        </w:rPr>
        <w:t>inflexiones</w:t>
      </w:r>
      <w:r>
        <w:rPr>
          <w:spacing w:val="-18"/>
          <w:w w:val="115"/>
        </w:rPr>
        <w:t> </w:t>
      </w:r>
      <w:r>
        <w:rPr>
          <w:w w:val="115"/>
        </w:rPr>
        <w:t>cíclicas, al</w:t>
      </w:r>
      <w:r>
        <w:rPr>
          <w:spacing w:val="-26"/>
          <w:w w:val="115"/>
        </w:rPr>
        <w:t> </w:t>
      </w:r>
      <w:r>
        <w:rPr>
          <w:w w:val="115"/>
        </w:rPr>
        <w:t>mantener</w:t>
      </w:r>
      <w:r>
        <w:rPr>
          <w:spacing w:val="-26"/>
          <w:w w:val="115"/>
        </w:rPr>
        <w:t> </w:t>
      </w:r>
      <w:r>
        <w:rPr>
          <w:w w:val="115"/>
        </w:rPr>
        <w:t>los</w:t>
      </w:r>
      <w:r>
        <w:rPr>
          <w:spacing w:val="-26"/>
          <w:w w:val="115"/>
        </w:rPr>
        <w:t> </w:t>
      </w:r>
      <w:r>
        <w:rPr>
          <w:w w:val="115"/>
        </w:rPr>
        <w:t>principales</w:t>
      </w:r>
      <w:r>
        <w:rPr>
          <w:spacing w:val="-26"/>
          <w:w w:val="115"/>
        </w:rPr>
        <w:t> </w:t>
      </w:r>
      <w:r>
        <w:rPr>
          <w:w w:val="115"/>
        </w:rPr>
        <w:t>fundamentos</w:t>
      </w:r>
      <w:r>
        <w:rPr>
          <w:spacing w:val="-26"/>
          <w:w w:val="115"/>
        </w:rPr>
        <w:t> </w:t>
      </w:r>
      <w:r>
        <w:rPr>
          <w:w w:val="115"/>
        </w:rPr>
        <w:t>de</w:t>
      </w:r>
      <w:r>
        <w:rPr>
          <w:spacing w:val="-26"/>
          <w:w w:val="115"/>
        </w:rPr>
        <w:t> </w:t>
      </w:r>
      <w:r>
        <w:rPr>
          <w:w w:val="115"/>
        </w:rPr>
        <w:t>la</w:t>
      </w:r>
      <w:r>
        <w:rPr>
          <w:spacing w:val="-26"/>
          <w:w w:val="115"/>
        </w:rPr>
        <w:t> </w:t>
      </w:r>
      <w:r>
        <w:rPr>
          <w:w w:val="115"/>
        </w:rPr>
        <w:t>financiarización</w:t>
      </w:r>
      <w:r>
        <w:rPr>
          <w:spacing w:val="-26"/>
          <w:w w:val="115"/>
        </w:rPr>
        <w:t> </w:t>
      </w:r>
      <w:r>
        <w:rPr>
          <w:w w:val="115"/>
        </w:rPr>
        <w:t>en</w:t>
      </w:r>
      <w:r>
        <w:rPr>
          <w:spacing w:val="-26"/>
          <w:w w:val="115"/>
        </w:rPr>
        <w:t> </w:t>
      </w:r>
      <w:r>
        <w:rPr>
          <w:w w:val="115"/>
        </w:rPr>
        <w:t>pe- </w:t>
      </w:r>
      <w:r>
        <w:rPr>
          <w:w w:val="120"/>
        </w:rPr>
        <w:t>riodo</w:t>
      </w:r>
      <w:r>
        <w:rPr>
          <w:spacing w:val="-27"/>
          <w:w w:val="120"/>
        </w:rPr>
        <w:t> </w:t>
      </w:r>
      <w:r>
        <w:rPr>
          <w:w w:val="120"/>
        </w:rPr>
        <w:t>de</w:t>
      </w:r>
      <w:r>
        <w:rPr>
          <w:spacing w:val="-27"/>
          <w:w w:val="120"/>
        </w:rPr>
        <w:t> </w:t>
      </w:r>
      <w:r>
        <w:rPr>
          <w:w w:val="120"/>
        </w:rPr>
        <w:t>retomada</w:t>
      </w:r>
      <w:r>
        <w:rPr>
          <w:spacing w:val="-27"/>
          <w:w w:val="120"/>
        </w:rPr>
        <w:t> </w:t>
      </w:r>
      <w:r>
        <w:rPr>
          <w:w w:val="120"/>
        </w:rPr>
        <w:t>de</w:t>
      </w:r>
      <w:r>
        <w:rPr>
          <w:spacing w:val="-27"/>
          <w:w w:val="120"/>
        </w:rPr>
        <w:t> </w:t>
      </w:r>
      <w:r>
        <w:rPr>
          <w:w w:val="120"/>
        </w:rPr>
        <w:t>la</w:t>
      </w:r>
      <w:r>
        <w:rPr>
          <w:spacing w:val="-27"/>
          <w:w w:val="120"/>
        </w:rPr>
        <w:t> </w:t>
      </w:r>
      <w:r>
        <w:rPr>
          <w:w w:val="120"/>
        </w:rPr>
        <w:t>dinámica</w:t>
      </w:r>
      <w:r>
        <w:rPr>
          <w:spacing w:val="-27"/>
          <w:w w:val="120"/>
        </w:rPr>
        <w:t> </w:t>
      </w:r>
      <w:r>
        <w:rPr>
          <w:w w:val="120"/>
        </w:rPr>
        <w:t>de</w:t>
      </w:r>
      <w:r>
        <w:rPr>
          <w:spacing w:val="-27"/>
          <w:w w:val="120"/>
        </w:rPr>
        <w:t> </w:t>
      </w:r>
      <w:r>
        <w:rPr>
          <w:w w:val="120"/>
        </w:rPr>
        <w:t>crecimiento</w:t>
      </w:r>
      <w:r>
        <w:rPr>
          <w:spacing w:val="-27"/>
          <w:w w:val="120"/>
        </w:rPr>
        <w:t> </w:t>
      </w:r>
      <w:r>
        <w:rPr>
          <w:w w:val="120"/>
        </w:rPr>
        <w:t>largo</w:t>
      </w:r>
      <w:r>
        <w:rPr>
          <w:spacing w:val="-27"/>
          <w:w w:val="120"/>
        </w:rPr>
        <w:t> </w:t>
      </w:r>
      <w:r>
        <w:rPr>
          <w:w w:val="120"/>
        </w:rPr>
        <w:t>de</w:t>
      </w:r>
      <w:r>
        <w:rPr>
          <w:spacing w:val="-27"/>
          <w:w w:val="120"/>
        </w:rPr>
        <w:t> </w:t>
      </w:r>
      <w:r>
        <w:rPr>
          <w:w w:val="120"/>
        </w:rPr>
        <w:t>la</w:t>
      </w:r>
      <w:r>
        <w:rPr>
          <w:spacing w:val="-27"/>
          <w:w w:val="120"/>
        </w:rPr>
        <w:t> </w:t>
      </w:r>
      <w:r>
        <w:rPr>
          <w:w w:val="120"/>
        </w:rPr>
        <w:t>econo- </w:t>
      </w:r>
      <w:r>
        <w:rPr>
          <w:w w:val="115"/>
        </w:rPr>
        <w:t>mía mundial, que impulsará esta crisis acelerando la relocalización de las inversiones productivas. </w:t>
      </w:r>
      <w:r>
        <w:rPr>
          <w:spacing w:val="-6"/>
          <w:w w:val="115"/>
        </w:rPr>
        <w:t>tal </w:t>
      </w:r>
      <w:r>
        <w:rPr>
          <w:w w:val="115"/>
        </w:rPr>
        <w:t>punto converge con el análisis</w:t>
      </w:r>
      <w:r>
        <w:rPr>
          <w:spacing w:val="-31"/>
          <w:w w:val="115"/>
        </w:rPr>
        <w:t> </w:t>
      </w:r>
      <w:r>
        <w:rPr>
          <w:w w:val="115"/>
        </w:rPr>
        <w:t>de </w:t>
      </w:r>
      <w:r>
        <w:rPr>
          <w:w w:val="120"/>
        </w:rPr>
        <w:t>Giovanni</w:t>
      </w:r>
      <w:r>
        <w:rPr>
          <w:spacing w:val="-14"/>
          <w:w w:val="120"/>
        </w:rPr>
        <w:t> </w:t>
      </w:r>
      <w:r>
        <w:rPr>
          <w:w w:val="120"/>
        </w:rPr>
        <w:t>arrighi</w:t>
      </w:r>
      <w:r>
        <w:rPr>
          <w:spacing w:val="-14"/>
          <w:w w:val="120"/>
        </w:rPr>
        <w:t> </w:t>
      </w:r>
      <w:r>
        <w:rPr>
          <w:w w:val="120"/>
        </w:rPr>
        <w:t>y</w:t>
      </w:r>
      <w:r>
        <w:rPr>
          <w:spacing w:val="-14"/>
          <w:w w:val="120"/>
        </w:rPr>
        <w:t> </w:t>
      </w:r>
      <w:r>
        <w:rPr>
          <w:w w:val="120"/>
        </w:rPr>
        <w:t>beverly</w:t>
      </w:r>
      <w:r>
        <w:rPr>
          <w:spacing w:val="-14"/>
          <w:w w:val="120"/>
        </w:rPr>
        <w:t> </w:t>
      </w:r>
      <w:r>
        <w:rPr>
          <w:spacing w:val="-4"/>
          <w:w w:val="120"/>
        </w:rPr>
        <w:t>silver,</w:t>
      </w:r>
      <w:r>
        <w:rPr>
          <w:spacing w:val="-14"/>
          <w:w w:val="120"/>
        </w:rPr>
        <w:t> </w:t>
      </w:r>
      <w:r>
        <w:rPr>
          <w:w w:val="120"/>
        </w:rPr>
        <w:t>quienes</w:t>
      </w:r>
      <w:r>
        <w:rPr>
          <w:spacing w:val="-14"/>
          <w:w w:val="120"/>
        </w:rPr>
        <w:t> </w:t>
      </w:r>
      <w:r>
        <w:rPr>
          <w:w w:val="120"/>
        </w:rPr>
        <w:t>apuntan</w:t>
      </w:r>
      <w:r>
        <w:rPr>
          <w:spacing w:val="-14"/>
          <w:w w:val="120"/>
        </w:rPr>
        <w:t> </w:t>
      </w:r>
      <w:r>
        <w:rPr>
          <w:w w:val="120"/>
        </w:rPr>
        <w:t>que</w:t>
      </w:r>
      <w:r>
        <w:rPr>
          <w:spacing w:val="-14"/>
          <w:w w:val="120"/>
        </w:rPr>
        <w:t> </w:t>
      </w:r>
      <w:r>
        <w:rPr>
          <w:w w:val="120"/>
        </w:rPr>
        <w:t>en</w:t>
      </w:r>
      <w:r>
        <w:rPr>
          <w:spacing w:val="-14"/>
          <w:w w:val="120"/>
        </w:rPr>
        <w:t> </w:t>
      </w:r>
      <w:r>
        <w:rPr>
          <w:w w:val="120"/>
        </w:rPr>
        <w:t>la</w:t>
      </w:r>
      <w:r>
        <w:rPr>
          <w:spacing w:val="-14"/>
          <w:w w:val="120"/>
        </w:rPr>
        <w:t> </w:t>
      </w:r>
      <w:r>
        <w:rPr>
          <w:w w:val="120"/>
        </w:rPr>
        <w:t>actual </w:t>
      </w:r>
      <w:r>
        <w:rPr>
          <w:w w:val="110"/>
        </w:rPr>
        <w:t>crisis de hegemonía las contradicciones interestatales, a diferencia</w:t>
      </w:r>
      <w:r>
        <w:rPr>
          <w:spacing w:val="-16"/>
          <w:w w:val="110"/>
        </w:rPr>
        <w:t> </w:t>
      </w:r>
      <w:r>
        <w:rPr>
          <w:w w:val="110"/>
        </w:rPr>
        <w:t>del </w:t>
      </w:r>
      <w:r>
        <w:rPr>
          <w:w w:val="115"/>
        </w:rPr>
        <w:t>periodo</w:t>
      </w:r>
      <w:r>
        <w:rPr>
          <w:spacing w:val="-21"/>
          <w:w w:val="115"/>
        </w:rPr>
        <w:t> </w:t>
      </w:r>
      <w:r>
        <w:rPr>
          <w:w w:val="115"/>
        </w:rPr>
        <w:t>precedente</w:t>
      </w:r>
      <w:r>
        <w:rPr>
          <w:spacing w:val="-21"/>
          <w:w w:val="115"/>
        </w:rPr>
        <w:t> </w:t>
      </w:r>
      <w:r>
        <w:rPr>
          <w:w w:val="115"/>
        </w:rPr>
        <w:t>en</w:t>
      </w:r>
      <w:r>
        <w:rPr>
          <w:spacing w:val="-21"/>
          <w:w w:val="115"/>
        </w:rPr>
        <w:t> </w:t>
      </w:r>
      <w:r>
        <w:rPr>
          <w:w w:val="115"/>
        </w:rPr>
        <w:t>el</w:t>
      </w:r>
      <w:r>
        <w:rPr>
          <w:spacing w:val="-21"/>
          <w:w w:val="115"/>
        </w:rPr>
        <w:t> </w:t>
      </w:r>
      <w:r>
        <w:rPr>
          <w:w w:val="115"/>
        </w:rPr>
        <w:t>largo</w:t>
      </w:r>
      <w:r>
        <w:rPr>
          <w:spacing w:val="-21"/>
          <w:w w:val="115"/>
        </w:rPr>
        <w:t> </w:t>
      </w:r>
      <w:r>
        <w:rPr>
          <w:w w:val="115"/>
        </w:rPr>
        <w:t>siglo</w:t>
      </w:r>
      <w:r>
        <w:rPr>
          <w:spacing w:val="-21"/>
          <w:w w:val="115"/>
        </w:rPr>
        <w:t> </w:t>
      </w:r>
      <w:r>
        <w:rPr>
          <w:w w:val="115"/>
        </w:rPr>
        <w:t>británico,</w:t>
      </w:r>
      <w:r>
        <w:rPr>
          <w:spacing w:val="-21"/>
          <w:w w:val="115"/>
        </w:rPr>
        <w:t> </w:t>
      </w:r>
      <w:r>
        <w:rPr>
          <w:w w:val="115"/>
        </w:rPr>
        <w:t>son</w:t>
      </w:r>
      <w:r>
        <w:rPr>
          <w:spacing w:val="-21"/>
          <w:w w:val="115"/>
        </w:rPr>
        <w:t> </w:t>
      </w:r>
      <w:r>
        <w:rPr>
          <w:w w:val="115"/>
        </w:rPr>
        <w:t>condicionadas</w:t>
      </w:r>
      <w:r>
        <w:rPr>
          <w:spacing w:val="-21"/>
          <w:w w:val="115"/>
        </w:rPr>
        <w:t> </w:t>
      </w:r>
      <w:r>
        <w:rPr>
          <w:w w:val="115"/>
        </w:rPr>
        <w:t>por </w:t>
      </w:r>
      <w:r>
        <w:rPr>
          <w:w w:val="110"/>
        </w:rPr>
        <w:t>las contradicciones</w:t>
      </w:r>
      <w:r>
        <w:rPr>
          <w:spacing w:val="16"/>
          <w:w w:val="110"/>
        </w:rPr>
        <w:t> </w:t>
      </w:r>
      <w:r>
        <w:rPr>
          <w:w w:val="110"/>
        </w:rPr>
        <w:t>intraestatales.</w:t>
      </w:r>
      <w:r>
        <w:rPr>
          <w:w w:val="110"/>
          <w:position w:val="6"/>
          <w:sz w:val="11"/>
        </w:rPr>
        <w:t>5</w:t>
      </w:r>
    </w:p>
    <w:p>
      <w:pPr>
        <w:pStyle w:val="BodyText"/>
        <w:spacing w:line="252" w:lineRule="auto"/>
        <w:ind w:left="330" w:right="118" w:firstLine="396"/>
        <w:jc w:val="both"/>
      </w:pPr>
      <w:r>
        <w:rPr>
          <w:w w:val="110"/>
        </w:rPr>
        <w:t>Entre 1994 y 2010, la renta per cápita de Estados unidos cayó    de 458 a 390% de la economía mundial y en el norte de Europa (si sumamos a italia) ésta fue de 329 a 278%. En el periodo, China –que había aprovechado la drástica elevación del yen entre 1991 y 1994 para hacer el movimiento opuesto, al desvalorizar fuertemente su</w:t>
      </w:r>
      <w:r>
        <w:rPr>
          <w:spacing w:val="-23"/>
          <w:w w:val="110"/>
        </w:rPr>
        <w:t> </w:t>
      </w:r>
      <w:r>
        <w:rPr>
          <w:w w:val="110"/>
        </w:rPr>
        <w:t>mo- neda, vincularla al dólar y conducir al fracaso la gestión trilateral de las contradicciones de la financiarización estadounidense</w:t>
      </w:r>
      <w:r>
        <w:rPr>
          <w:w w:val="110"/>
          <w:position w:val="6"/>
          <w:sz w:val="11"/>
        </w:rPr>
        <w:t>6</w:t>
      </w:r>
      <w:r>
        <w:rPr>
          <w:w w:val="110"/>
        </w:rPr>
        <w:t>– eleva    </w:t>
      </w:r>
      <w:r>
        <w:rPr>
          <w:spacing w:val="6"/>
          <w:w w:val="110"/>
        </w:rPr>
        <w:t> </w:t>
      </w:r>
      <w:r>
        <w:rPr>
          <w:w w:val="110"/>
        </w:rPr>
        <w:t>su</w:t>
      </w:r>
    </w:p>
    <w:p>
      <w:pPr>
        <w:pStyle w:val="BodyText"/>
        <w:spacing w:before="5"/>
        <w:rPr>
          <w:sz w:val="28"/>
        </w:rPr>
      </w:pPr>
      <w:r>
        <w:rPr/>
        <w:pict>
          <v:line style="position:absolute;mso-position-horizontal-relative:page;mso-position-vertical-relative:paragraph;z-index:1768;mso-wrap-distance-left:0;mso-wrap-distance-right:0" from="76.5354pt,18.890724pt" to="104.8814pt,18.890724pt" stroked="true" strokeweight=".5pt" strokecolor="#000000">
            <w10:wrap type="topAndBottom"/>
          </v:line>
        </w:pict>
      </w:r>
    </w:p>
    <w:p>
      <w:pPr>
        <w:pStyle w:val="ListParagraph"/>
        <w:numPr>
          <w:ilvl w:val="0"/>
          <w:numId w:val="2"/>
        </w:numPr>
        <w:tabs>
          <w:tab w:pos="586" w:val="left" w:leader="none"/>
        </w:tabs>
        <w:spacing w:line="242" w:lineRule="auto" w:before="89" w:after="0"/>
        <w:ind w:left="330" w:right="118" w:firstLine="0"/>
        <w:jc w:val="left"/>
        <w:rPr>
          <w:sz w:val="16"/>
        </w:rPr>
      </w:pPr>
      <w:r>
        <w:rPr>
          <w:w w:val="105"/>
          <w:sz w:val="16"/>
        </w:rPr>
        <w:t>Cálculos del autor a partir de la serie establecida por angus Maddison y sus dis- cípulos:</w:t>
      </w:r>
    </w:p>
    <w:p>
      <w:pPr>
        <w:spacing w:before="0"/>
        <w:ind w:left="330" w:right="321" w:firstLine="0"/>
        <w:jc w:val="left"/>
        <w:rPr>
          <w:sz w:val="16"/>
        </w:rPr>
      </w:pPr>
      <w:hyperlink r:id="rId80">
        <w:r>
          <w:rPr>
            <w:w w:val="105"/>
            <w:sz w:val="16"/>
          </w:rPr>
          <w:t>&lt;http://www.ggdc.net/maddison/maddison-project/home.htm&gt;.</w:t>
        </w:r>
      </w:hyperlink>
    </w:p>
    <w:p>
      <w:pPr>
        <w:pStyle w:val="ListParagraph"/>
        <w:numPr>
          <w:ilvl w:val="0"/>
          <w:numId w:val="2"/>
        </w:numPr>
        <w:tabs>
          <w:tab w:pos="586" w:val="left" w:leader="none"/>
        </w:tabs>
        <w:spacing w:line="240" w:lineRule="auto" w:before="59" w:after="0"/>
        <w:ind w:left="585" w:right="0" w:hanging="255"/>
        <w:jc w:val="left"/>
        <w:rPr>
          <w:i/>
          <w:sz w:val="16"/>
        </w:rPr>
      </w:pPr>
      <w:r>
        <w:rPr>
          <w:i/>
          <w:spacing w:val="-4"/>
          <w:w w:val="110"/>
          <w:sz w:val="16"/>
        </w:rPr>
        <w:t>Cfr.</w:t>
      </w:r>
      <w:r>
        <w:rPr>
          <w:i/>
          <w:spacing w:val="-5"/>
          <w:w w:val="110"/>
          <w:sz w:val="16"/>
        </w:rPr>
        <w:t> </w:t>
      </w:r>
      <w:r>
        <w:rPr>
          <w:w w:val="110"/>
          <w:sz w:val="16"/>
        </w:rPr>
        <w:t>arrighi,</w:t>
      </w:r>
      <w:r>
        <w:rPr>
          <w:spacing w:val="-5"/>
          <w:w w:val="110"/>
          <w:sz w:val="16"/>
        </w:rPr>
        <w:t> </w:t>
      </w:r>
      <w:r>
        <w:rPr>
          <w:w w:val="110"/>
          <w:sz w:val="16"/>
        </w:rPr>
        <w:t>G</w:t>
      </w:r>
      <w:r>
        <w:rPr>
          <w:spacing w:val="-5"/>
          <w:w w:val="110"/>
          <w:sz w:val="16"/>
        </w:rPr>
        <w:t> </w:t>
      </w:r>
      <w:r>
        <w:rPr>
          <w:w w:val="110"/>
          <w:sz w:val="16"/>
        </w:rPr>
        <w:t>y</w:t>
      </w:r>
      <w:r>
        <w:rPr>
          <w:spacing w:val="-5"/>
          <w:w w:val="110"/>
          <w:sz w:val="16"/>
        </w:rPr>
        <w:t> </w:t>
      </w:r>
      <w:r>
        <w:rPr>
          <w:w w:val="110"/>
          <w:sz w:val="16"/>
        </w:rPr>
        <w:t>silver</w:t>
      </w:r>
      <w:r>
        <w:rPr>
          <w:spacing w:val="-5"/>
          <w:w w:val="110"/>
          <w:sz w:val="16"/>
        </w:rPr>
        <w:t> </w:t>
      </w:r>
      <w:r>
        <w:rPr>
          <w:w w:val="110"/>
          <w:sz w:val="16"/>
        </w:rPr>
        <w:t>y</w:t>
      </w:r>
      <w:r>
        <w:rPr>
          <w:spacing w:val="-5"/>
          <w:w w:val="110"/>
          <w:sz w:val="16"/>
        </w:rPr>
        <w:t> </w:t>
      </w:r>
      <w:r>
        <w:rPr>
          <w:w w:val="110"/>
          <w:sz w:val="16"/>
        </w:rPr>
        <w:t>beverly</w:t>
      </w:r>
      <w:r>
        <w:rPr>
          <w:spacing w:val="-5"/>
          <w:w w:val="110"/>
          <w:sz w:val="16"/>
        </w:rPr>
        <w:t> </w:t>
      </w:r>
      <w:r>
        <w:rPr>
          <w:i/>
          <w:w w:val="110"/>
          <w:sz w:val="16"/>
        </w:rPr>
        <w:t>Chaos</w:t>
      </w:r>
      <w:r>
        <w:rPr>
          <w:i/>
          <w:spacing w:val="-5"/>
          <w:w w:val="110"/>
          <w:sz w:val="16"/>
        </w:rPr>
        <w:t> </w:t>
      </w:r>
      <w:r>
        <w:rPr>
          <w:i/>
          <w:w w:val="110"/>
          <w:sz w:val="16"/>
        </w:rPr>
        <w:t>and</w:t>
      </w:r>
      <w:r>
        <w:rPr>
          <w:i/>
          <w:spacing w:val="-5"/>
          <w:w w:val="110"/>
          <w:sz w:val="16"/>
        </w:rPr>
        <w:t> </w:t>
      </w:r>
      <w:r>
        <w:rPr>
          <w:i/>
          <w:w w:val="110"/>
          <w:sz w:val="16"/>
        </w:rPr>
        <w:t>governance</w:t>
      </w:r>
      <w:r>
        <w:rPr>
          <w:i/>
          <w:spacing w:val="-5"/>
          <w:w w:val="110"/>
          <w:sz w:val="16"/>
        </w:rPr>
        <w:t> </w:t>
      </w:r>
      <w:r>
        <w:rPr>
          <w:i/>
          <w:w w:val="110"/>
          <w:sz w:val="16"/>
        </w:rPr>
        <w:t>in</w:t>
      </w:r>
      <w:r>
        <w:rPr>
          <w:i/>
          <w:spacing w:val="-5"/>
          <w:w w:val="110"/>
          <w:sz w:val="16"/>
        </w:rPr>
        <w:t> </w:t>
      </w:r>
      <w:r>
        <w:rPr>
          <w:i/>
          <w:w w:val="110"/>
          <w:sz w:val="16"/>
        </w:rPr>
        <w:t>the</w:t>
      </w:r>
      <w:r>
        <w:rPr>
          <w:i/>
          <w:spacing w:val="-5"/>
          <w:w w:val="110"/>
          <w:sz w:val="16"/>
        </w:rPr>
        <w:t> </w:t>
      </w:r>
      <w:r>
        <w:rPr>
          <w:i/>
          <w:w w:val="110"/>
          <w:sz w:val="16"/>
        </w:rPr>
        <w:t>modern</w:t>
      </w:r>
      <w:r>
        <w:rPr>
          <w:i/>
          <w:spacing w:val="-5"/>
          <w:w w:val="110"/>
          <w:sz w:val="16"/>
        </w:rPr>
        <w:t> </w:t>
      </w:r>
      <w:r>
        <w:rPr>
          <w:i/>
          <w:w w:val="110"/>
          <w:sz w:val="16"/>
        </w:rPr>
        <w:t>world</w:t>
      </w:r>
      <w:r>
        <w:rPr>
          <w:i/>
          <w:spacing w:val="-5"/>
          <w:w w:val="110"/>
          <w:sz w:val="16"/>
        </w:rPr>
        <w:t> </w:t>
      </w:r>
      <w:r>
        <w:rPr>
          <w:i/>
          <w:w w:val="110"/>
          <w:sz w:val="16"/>
        </w:rPr>
        <w:t>system</w:t>
      </w:r>
    </w:p>
    <w:p>
      <w:pPr>
        <w:spacing w:before="2"/>
        <w:ind w:left="330" w:right="321" w:firstLine="0"/>
        <w:jc w:val="left"/>
        <w:rPr>
          <w:sz w:val="16"/>
        </w:rPr>
      </w:pPr>
      <w:r>
        <w:rPr>
          <w:w w:val="105"/>
          <w:sz w:val="16"/>
        </w:rPr>
        <w:t>(2001),  Minnesotta Press.</w:t>
      </w:r>
    </w:p>
    <w:p>
      <w:pPr>
        <w:pStyle w:val="ListParagraph"/>
        <w:numPr>
          <w:ilvl w:val="0"/>
          <w:numId w:val="2"/>
        </w:numPr>
        <w:tabs>
          <w:tab w:pos="586" w:val="left" w:leader="none"/>
        </w:tabs>
        <w:spacing w:line="242" w:lineRule="auto" w:before="59" w:after="0"/>
        <w:ind w:left="330" w:right="119" w:firstLine="0"/>
        <w:jc w:val="left"/>
        <w:rPr>
          <w:sz w:val="16"/>
        </w:rPr>
      </w:pPr>
      <w:r>
        <w:rPr>
          <w:w w:val="105"/>
          <w:sz w:val="16"/>
        </w:rPr>
        <w:t>de esta manera, China transfiere para sí el saldo comercial con Estados unidos, al apropiarse</w:t>
      </w:r>
      <w:r>
        <w:rPr>
          <w:spacing w:val="14"/>
          <w:w w:val="105"/>
          <w:sz w:val="16"/>
        </w:rPr>
        <w:t> </w:t>
      </w:r>
      <w:r>
        <w:rPr>
          <w:w w:val="105"/>
          <w:sz w:val="16"/>
        </w:rPr>
        <w:t>de</w:t>
      </w:r>
      <w:r>
        <w:rPr>
          <w:spacing w:val="14"/>
          <w:w w:val="105"/>
          <w:sz w:val="16"/>
        </w:rPr>
        <w:t> </w:t>
      </w:r>
      <w:r>
        <w:rPr>
          <w:w w:val="105"/>
          <w:sz w:val="16"/>
        </w:rPr>
        <w:t>gran</w:t>
      </w:r>
      <w:r>
        <w:rPr>
          <w:spacing w:val="14"/>
          <w:w w:val="105"/>
          <w:sz w:val="16"/>
        </w:rPr>
        <w:t> </w:t>
      </w:r>
      <w:r>
        <w:rPr>
          <w:w w:val="105"/>
          <w:sz w:val="16"/>
        </w:rPr>
        <w:t>parte</w:t>
      </w:r>
      <w:r>
        <w:rPr>
          <w:spacing w:val="14"/>
          <w:w w:val="105"/>
          <w:sz w:val="16"/>
        </w:rPr>
        <w:t> </w:t>
      </w:r>
      <w:r>
        <w:rPr>
          <w:w w:val="105"/>
          <w:sz w:val="16"/>
        </w:rPr>
        <w:t>del</w:t>
      </w:r>
      <w:r>
        <w:rPr>
          <w:spacing w:val="14"/>
          <w:w w:val="105"/>
          <w:sz w:val="16"/>
        </w:rPr>
        <w:t> </w:t>
      </w:r>
      <w:r>
        <w:rPr>
          <w:w w:val="105"/>
          <w:sz w:val="16"/>
        </w:rPr>
        <w:t>mercado</w:t>
      </w:r>
      <w:r>
        <w:rPr>
          <w:spacing w:val="14"/>
          <w:w w:val="105"/>
          <w:sz w:val="16"/>
        </w:rPr>
        <w:t> </w:t>
      </w:r>
      <w:r>
        <w:rPr>
          <w:w w:val="105"/>
          <w:sz w:val="16"/>
        </w:rPr>
        <w:t>interno</w:t>
      </w:r>
      <w:r>
        <w:rPr>
          <w:spacing w:val="14"/>
          <w:w w:val="105"/>
          <w:sz w:val="16"/>
        </w:rPr>
        <w:t> </w:t>
      </w:r>
      <w:r>
        <w:rPr>
          <w:w w:val="105"/>
          <w:sz w:val="16"/>
        </w:rPr>
        <w:t>estadounidense</w:t>
      </w:r>
      <w:r>
        <w:rPr>
          <w:spacing w:val="14"/>
          <w:w w:val="105"/>
          <w:sz w:val="16"/>
        </w:rPr>
        <w:t> </w:t>
      </w:r>
      <w:r>
        <w:rPr>
          <w:w w:val="105"/>
          <w:sz w:val="16"/>
        </w:rPr>
        <w:t>y</w:t>
      </w:r>
      <w:r>
        <w:rPr>
          <w:spacing w:val="14"/>
          <w:w w:val="105"/>
          <w:sz w:val="16"/>
        </w:rPr>
        <w:t> </w:t>
      </w:r>
      <w:r>
        <w:rPr>
          <w:w w:val="105"/>
          <w:sz w:val="16"/>
        </w:rPr>
        <w:t>elevar</w:t>
      </w:r>
      <w:r>
        <w:rPr>
          <w:spacing w:val="14"/>
          <w:w w:val="105"/>
          <w:sz w:val="16"/>
        </w:rPr>
        <w:t> </w:t>
      </w:r>
      <w:r>
        <w:rPr>
          <w:w w:val="105"/>
          <w:sz w:val="16"/>
        </w:rPr>
        <w:t>los</w:t>
      </w:r>
      <w:r>
        <w:rPr>
          <w:spacing w:val="14"/>
          <w:w w:val="105"/>
          <w:sz w:val="16"/>
        </w:rPr>
        <w:t> </w:t>
      </w:r>
      <w:r>
        <w:rPr>
          <w:w w:val="105"/>
          <w:sz w:val="16"/>
        </w:rPr>
        <w:t>déficits</w:t>
      </w:r>
      <w:r>
        <w:rPr>
          <w:spacing w:val="14"/>
          <w:w w:val="105"/>
          <w:sz w:val="16"/>
        </w:rPr>
        <w:t> </w:t>
      </w:r>
      <w:r>
        <w:rPr>
          <w:w w:val="105"/>
          <w:sz w:val="16"/>
        </w:rPr>
        <w:t>en</w:t>
      </w:r>
    </w:p>
    <w:p>
      <w:pPr>
        <w:spacing w:after="0" w:line="242" w:lineRule="auto"/>
        <w:jc w:val="left"/>
        <w:rPr>
          <w:sz w:val="16"/>
        </w:rPr>
        <w:sectPr>
          <w:pgSz w:w="8790" w:h="12760"/>
          <w:pgMar w:header="695" w:footer="725" w:top="880" w:bottom="920" w:left="1200" w:right="900"/>
        </w:sectPr>
      </w:pPr>
    </w:p>
    <w:p>
      <w:pPr>
        <w:pStyle w:val="BodyText"/>
        <w:spacing w:before="9"/>
        <w:rPr>
          <w:sz w:val="28"/>
        </w:rPr>
      </w:pPr>
    </w:p>
    <w:p>
      <w:pPr>
        <w:pStyle w:val="BodyText"/>
        <w:spacing w:before="73"/>
        <w:ind w:left="120" w:right="41"/>
      </w:pPr>
      <w:r>
        <w:rPr>
          <w:w w:val="110"/>
        </w:rPr>
        <w:t>participación en el Pib mundial de 5.1% en 1979 a 8.2% en 1991, 10%</w:t>
      </w:r>
    </w:p>
    <w:p>
      <w:pPr>
        <w:pStyle w:val="BodyText"/>
        <w:spacing w:before="11"/>
        <w:ind w:left="120" w:right="321"/>
        <w:rPr>
          <w:sz w:val="11"/>
        </w:rPr>
      </w:pPr>
      <w:r>
        <w:rPr>
          <w:w w:val="105"/>
        </w:rPr>
        <w:t>en 1994 y 17% en  2010.</w:t>
      </w:r>
      <w:r>
        <w:rPr>
          <w:w w:val="105"/>
          <w:position w:val="6"/>
          <w:sz w:val="11"/>
        </w:rPr>
        <w:t>7</w:t>
      </w:r>
    </w:p>
    <w:p>
      <w:pPr>
        <w:pStyle w:val="BodyText"/>
        <w:spacing w:line="252" w:lineRule="auto" w:before="11"/>
        <w:ind w:left="120" w:right="327" w:firstLine="396"/>
        <w:jc w:val="both"/>
      </w:pPr>
      <w:r>
        <w:rPr>
          <w:w w:val="243"/>
        </w:rPr>
        <w:t>l</w:t>
      </w:r>
      <w:r>
        <w:rPr>
          <w:w w:val="112"/>
        </w:rPr>
        <w:t>a</w:t>
      </w:r>
      <w:r>
        <w:rPr/>
        <w:t> </w:t>
      </w:r>
      <w:r>
        <w:rPr>
          <w:spacing w:val="-10"/>
        </w:rPr>
        <w:t> </w:t>
      </w:r>
      <w:r>
        <w:rPr>
          <w:w w:val="109"/>
        </w:rPr>
        <w:t>crisis</w:t>
      </w:r>
      <w:r>
        <w:rPr/>
        <w:t> </w:t>
      </w:r>
      <w:r>
        <w:rPr>
          <w:spacing w:val="-10"/>
        </w:rPr>
        <w:t> </w:t>
      </w:r>
      <w:r>
        <w:rPr>
          <w:w w:val="107"/>
        </w:rPr>
        <w:t>de</w:t>
      </w:r>
      <w:r>
        <w:rPr/>
        <w:t> </w:t>
      </w:r>
      <w:r>
        <w:rPr>
          <w:spacing w:val="-10"/>
        </w:rPr>
        <w:t> </w:t>
      </w:r>
      <w:r>
        <w:rPr>
          <w:w w:val="110"/>
        </w:rPr>
        <w:t>hegemonía</w:t>
      </w:r>
      <w:r>
        <w:rPr/>
        <w:t> </w:t>
      </w:r>
      <w:r>
        <w:rPr>
          <w:spacing w:val="-10"/>
        </w:rPr>
        <w:t> </w:t>
      </w:r>
      <w:r>
        <w:rPr>
          <w:w w:val="107"/>
        </w:rPr>
        <w:t>del</w:t>
      </w:r>
      <w:r>
        <w:rPr/>
        <w:t> </w:t>
      </w:r>
      <w:r>
        <w:rPr>
          <w:spacing w:val="-10"/>
        </w:rPr>
        <w:t> </w:t>
      </w:r>
      <w:r>
        <w:rPr>
          <w:w w:val="106"/>
        </w:rPr>
        <w:t>eje</w:t>
      </w:r>
      <w:r>
        <w:rPr/>
        <w:t> </w:t>
      </w:r>
      <w:r>
        <w:rPr>
          <w:spacing w:val="-10"/>
        </w:rPr>
        <w:t> </w:t>
      </w:r>
      <w:r>
        <w:rPr>
          <w:w w:val="110"/>
        </w:rPr>
        <w:t>atlantista</w:t>
      </w:r>
      <w:r>
        <w:rPr/>
        <w:t> </w:t>
      </w:r>
      <w:r>
        <w:rPr>
          <w:spacing w:val="-10"/>
        </w:rPr>
        <w:t> </w:t>
      </w:r>
      <w:r>
        <w:rPr>
          <w:w w:val="107"/>
        </w:rPr>
        <w:t>presenta</w:t>
      </w:r>
      <w:r>
        <w:rPr/>
        <w:t> </w:t>
      </w:r>
      <w:r>
        <w:rPr>
          <w:spacing w:val="-10"/>
        </w:rPr>
        <w:t> </w:t>
      </w:r>
      <w:r>
        <w:rPr>
          <w:w w:val="108"/>
        </w:rPr>
        <w:t>diferentes</w:t>
      </w:r>
      <w:r>
        <w:rPr/>
        <w:t> </w:t>
      </w:r>
      <w:r>
        <w:rPr>
          <w:spacing w:val="-10"/>
        </w:rPr>
        <w:t> </w:t>
      </w:r>
      <w:r>
        <w:rPr>
          <w:w w:val="111"/>
        </w:rPr>
        <w:t>d</w:t>
      </w:r>
      <w:r>
        <w:rPr>
          <w:spacing w:val="-1"/>
          <w:w w:val="111"/>
        </w:rPr>
        <w:t>i</w:t>
      </w:r>
      <w:r>
        <w:rPr>
          <w:w w:val="102"/>
        </w:rPr>
        <w:t>- </w:t>
      </w:r>
      <w:r>
        <w:rPr>
          <w:w w:val="110"/>
        </w:rPr>
        <w:t>mensiones que se agudizan en este ciclo largo: la financiarización de la economía, la caída de las tasas de inversión, el aumento de la deuda pública, el desplazamiento de las inversiones productivas hacia el ex- </w:t>
      </w:r>
      <w:r>
        <w:rPr>
          <w:spacing w:val="-4"/>
          <w:w w:val="110"/>
        </w:rPr>
        <w:t>terior, </w:t>
      </w:r>
      <w:r>
        <w:rPr>
          <w:w w:val="110"/>
        </w:rPr>
        <w:t>la pérdida de competitividad a nivel internacional y de autono- mía de la política monetaria, el alto nivel de desempleo, la contención o reducción de los salarios reales, el aumento de la desigualdad y de las asimetrías regionales, así como la sustitución del liberalismo por  el neoliberalismo generando la crisis del bipartidismo. ahora veremos estos aspectos en</w:t>
      </w:r>
      <w:r>
        <w:rPr>
          <w:spacing w:val="-2"/>
          <w:w w:val="110"/>
        </w:rPr>
        <w:t> </w:t>
      </w:r>
      <w:r>
        <w:rPr>
          <w:w w:val="110"/>
        </w:rPr>
        <w:t>detalle.</w:t>
      </w:r>
    </w:p>
    <w:p>
      <w:pPr>
        <w:pStyle w:val="BodyText"/>
        <w:spacing w:line="252" w:lineRule="auto"/>
        <w:ind w:left="120" w:right="327" w:firstLine="396"/>
        <w:jc w:val="both"/>
      </w:pPr>
      <w:r>
        <w:rPr>
          <w:w w:val="243"/>
        </w:rPr>
        <w:t>l</w:t>
      </w:r>
      <w:r>
        <w:rPr>
          <w:w w:val="112"/>
        </w:rPr>
        <w:t>a</w:t>
      </w:r>
      <w:r>
        <w:rPr>
          <w:spacing w:val="14"/>
        </w:rPr>
        <w:t> </w:t>
      </w:r>
      <w:r>
        <w:rPr>
          <w:w w:val="111"/>
        </w:rPr>
        <w:t>financiarización</w:t>
      </w:r>
      <w:r>
        <w:rPr>
          <w:spacing w:val="14"/>
        </w:rPr>
        <w:t> </w:t>
      </w:r>
      <w:r>
        <w:rPr>
          <w:w w:val="107"/>
        </w:rPr>
        <w:t>de</w:t>
      </w:r>
      <w:r>
        <w:rPr>
          <w:spacing w:val="14"/>
        </w:rPr>
        <w:t> </w:t>
      </w:r>
      <w:r>
        <w:rPr>
          <w:w w:val="111"/>
        </w:rPr>
        <w:t>la</w:t>
      </w:r>
      <w:r>
        <w:rPr>
          <w:spacing w:val="14"/>
        </w:rPr>
        <w:t> </w:t>
      </w:r>
      <w:r>
        <w:rPr>
          <w:w w:val="111"/>
        </w:rPr>
        <w:t>economía</w:t>
      </w:r>
      <w:r>
        <w:rPr>
          <w:spacing w:val="14"/>
        </w:rPr>
        <w:t> </w:t>
      </w:r>
      <w:r>
        <w:rPr>
          <w:w w:val="110"/>
        </w:rPr>
        <w:t>atlantista</w:t>
      </w:r>
      <w:r>
        <w:rPr>
          <w:spacing w:val="14"/>
        </w:rPr>
        <w:t> </w:t>
      </w:r>
      <w:r>
        <w:rPr>
          <w:w w:val="107"/>
        </w:rPr>
        <w:t>presenta</w:t>
      </w:r>
      <w:r>
        <w:rPr>
          <w:spacing w:val="14"/>
        </w:rPr>
        <w:t> </w:t>
      </w:r>
      <w:r>
        <w:rPr>
          <w:w w:val="108"/>
        </w:rPr>
        <w:t>dos</w:t>
      </w:r>
      <w:r>
        <w:rPr>
          <w:spacing w:val="14"/>
        </w:rPr>
        <w:t> </w:t>
      </w:r>
      <w:r>
        <w:rPr>
          <w:w w:val="108"/>
        </w:rPr>
        <w:t>perio</w:t>
      </w:r>
      <w:r>
        <w:rPr>
          <w:w w:val="102"/>
        </w:rPr>
        <w:t>- </w:t>
      </w:r>
      <w:r>
        <w:rPr>
          <w:w w:val="110"/>
        </w:rPr>
        <w:t>dos: el primero, estimulado por el aumento de las tasas de interés, impulsado por la reserva Federal de Estados unidos (</w:t>
      </w:r>
      <w:r>
        <w:rPr>
          <w:i/>
          <w:w w:val="110"/>
        </w:rPr>
        <w:t>Fed</w:t>
      </w:r>
      <w:r>
        <w:rPr>
          <w:w w:val="110"/>
        </w:rPr>
        <w:t>), para la disputa del capital circulante, que se expresa en un aumento drástico de la deuda pública. Esta etapa predomina en la fase recesiva del Kon- </w:t>
      </w:r>
      <w:r>
        <w:rPr>
          <w:spacing w:val="-3"/>
          <w:w w:val="110"/>
        </w:rPr>
        <w:t>dratiev, </w:t>
      </w:r>
      <w:r>
        <w:rPr>
          <w:w w:val="110"/>
        </w:rPr>
        <w:t>cuando las tasas de interés reales son significativamente</w:t>
      </w:r>
      <w:r>
        <w:rPr>
          <w:spacing w:val="-30"/>
          <w:w w:val="110"/>
        </w:rPr>
        <w:t> </w:t>
      </w:r>
      <w:r>
        <w:rPr>
          <w:w w:val="110"/>
        </w:rPr>
        <w:t>supe- riores a las de crecimiento del Pib e implican un peso significativo y creciente de los intereses en el presupuesto público. se crea una regu- lación de la economía que eleva significativamente el gasto público en relación con el periodo keynesiano clásico, pero lo direcciona en gran parte hacia la valorización del capital ficticio. En el segundo periodo, iniciado a partir del Kondratiev expansivo, las tasas de interés reales caen por debajo de las tasas de expansión del Pib; no obstante, la deuda pública y los gastos públicos continúan creciendo a partir de la intervención del Estado en el mercado privado de títulos financieros, que garantiza la liquidez de activos podres cuando éste </w:t>
      </w:r>
      <w:r>
        <w:rPr>
          <w:spacing w:val="21"/>
          <w:w w:val="110"/>
        </w:rPr>
        <w:t> </w:t>
      </w:r>
      <w:r>
        <w:rPr>
          <w:w w:val="110"/>
        </w:rPr>
        <w:t>colapsa.</w:t>
      </w:r>
    </w:p>
    <w:p>
      <w:pPr>
        <w:pStyle w:val="BodyText"/>
        <w:spacing w:line="252" w:lineRule="auto"/>
        <w:ind w:left="120" w:right="327" w:firstLine="396"/>
        <w:jc w:val="both"/>
      </w:pPr>
      <w:r>
        <w:rPr>
          <w:w w:val="243"/>
        </w:rPr>
        <w:t>l</w:t>
      </w:r>
      <w:r>
        <w:rPr>
          <w:w w:val="112"/>
        </w:rPr>
        <w:t>a</w:t>
      </w:r>
      <w:r>
        <w:rPr/>
        <w:t> </w:t>
      </w:r>
      <w:r>
        <w:rPr>
          <w:spacing w:val="-2"/>
        </w:rPr>
        <w:t> </w:t>
      </w:r>
      <w:r>
        <w:rPr>
          <w:w w:val="111"/>
        </w:rPr>
        <w:t>financiarización</w:t>
      </w:r>
      <w:r>
        <w:rPr/>
        <w:t> </w:t>
      </w:r>
      <w:r>
        <w:rPr>
          <w:spacing w:val="-2"/>
        </w:rPr>
        <w:t> </w:t>
      </w:r>
      <w:r>
        <w:rPr>
          <w:w w:val="113"/>
        </w:rPr>
        <w:t>implica</w:t>
      </w:r>
      <w:r>
        <w:rPr/>
        <w:t> </w:t>
      </w:r>
      <w:r>
        <w:rPr>
          <w:spacing w:val="-2"/>
        </w:rPr>
        <w:t> </w:t>
      </w:r>
      <w:r>
        <w:rPr>
          <w:w w:val="112"/>
        </w:rPr>
        <w:t>aún</w:t>
      </w:r>
      <w:r>
        <w:rPr/>
        <w:t> </w:t>
      </w:r>
      <w:r>
        <w:rPr>
          <w:spacing w:val="-2"/>
        </w:rPr>
        <w:t> </w:t>
      </w:r>
      <w:r>
        <w:rPr>
          <w:w w:val="111"/>
        </w:rPr>
        <w:t>más</w:t>
      </w:r>
      <w:r>
        <w:rPr/>
        <w:t> </w:t>
      </w:r>
      <w:r>
        <w:rPr>
          <w:spacing w:val="-2"/>
        </w:rPr>
        <w:t> </w:t>
      </w:r>
      <w:r>
        <w:rPr>
          <w:w w:val="112"/>
        </w:rPr>
        <w:t>una</w:t>
      </w:r>
      <w:r>
        <w:rPr/>
        <w:t> </w:t>
      </w:r>
      <w:r>
        <w:rPr>
          <w:spacing w:val="-2"/>
        </w:rPr>
        <w:t> </w:t>
      </w:r>
      <w:r>
        <w:rPr>
          <w:w w:val="112"/>
        </w:rPr>
        <w:t>caída</w:t>
      </w:r>
      <w:r>
        <w:rPr/>
        <w:t> </w:t>
      </w:r>
      <w:r>
        <w:rPr>
          <w:spacing w:val="-2"/>
        </w:rPr>
        <w:t> </w:t>
      </w:r>
      <w:r>
        <w:rPr>
          <w:w w:val="110"/>
        </w:rPr>
        <w:t>significativa</w:t>
      </w:r>
      <w:r>
        <w:rPr/>
        <w:t> </w:t>
      </w:r>
      <w:r>
        <w:rPr>
          <w:spacing w:val="-2"/>
        </w:rPr>
        <w:t> </w:t>
      </w:r>
      <w:r>
        <w:rPr>
          <w:w w:val="108"/>
        </w:rPr>
        <w:t>en </w:t>
      </w:r>
      <w:r>
        <w:rPr>
          <w:w w:val="110"/>
        </w:rPr>
        <w:t>la tasa de inversión de los centros atlantistas, asociada a un doble fenómeno que se desarrolla en la formación de las ganancias de sus corporaciones multinacionales: cuotas crecientes de masa de ganan- cia se originan en el sector financiero y en el </w:t>
      </w:r>
      <w:r>
        <w:rPr>
          <w:spacing w:val="-3"/>
          <w:w w:val="110"/>
        </w:rPr>
        <w:t>exterior, </w:t>
      </w:r>
      <w:r>
        <w:rPr>
          <w:w w:val="110"/>
        </w:rPr>
        <w:t>proveniente, en este caso, de las inversiones de filiales de las corporaciones multina- </w:t>
      </w:r>
      <w:r>
        <w:rPr>
          <w:w w:val="112"/>
        </w:rPr>
        <w:t>cionales.</w:t>
      </w:r>
      <w:r>
        <w:rPr>
          <w:spacing w:val="6"/>
        </w:rPr>
        <w:t> </w:t>
      </w:r>
      <w:r>
        <w:rPr>
          <w:w w:val="243"/>
        </w:rPr>
        <w:t>l</w:t>
      </w:r>
      <w:r>
        <w:rPr>
          <w:w w:val="112"/>
        </w:rPr>
        <w:t>a</w:t>
      </w:r>
      <w:r>
        <w:rPr>
          <w:spacing w:val="6"/>
        </w:rPr>
        <w:t> </w:t>
      </w:r>
      <w:r>
        <w:rPr>
          <w:w w:val="108"/>
        </w:rPr>
        <w:t>pérdida</w:t>
      </w:r>
      <w:r>
        <w:rPr>
          <w:spacing w:val="6"/>
        </w:rPr>
        <w:t> </w:t>
      </w:r>
      <w:r>
        <w:rPr>
          <w:w w:val="107"/>
        </w:rPr>
        <w:t>de</w:t>
      </w:r>
      <w:r>
        <w:rPr>
          <w:spacing w:val="6"/>
        </w:rPr>
        <w:t> </w:t>
      </w:r>
      <w:r>
        <w:rPr>
          <w:w w:val="110"/>
        </w:rPr>
        <w:t>competitividad</w:t>
      </w:r>
      <w:r>
        <w:rPr>
          <w:spacing w:val="6"/>
        </w:rPr>
        <w:t> </w:t>
      </w:r>
      <w:r>
        <w:rPr>
          <w:w w:val="107"/>
        </w:rPr>
        <w:t>de</w:t>
      </w:r>
      <w:r>
        <w:rPr>
          <w:spacing w:val="6"/>
        </w:rPr>
        <w:t> </w:t>
      </w:r>
      <w:r>
        <w:rPr>
          <w:w w:val="109"/>
        </w:rPr>
        <w:t>las</w:t>
      </w:r>
      <w:r>
        <w:rPr>
          <w:spacing w:val="6"/>
        </w:rPr>
        <w:t> </w:t>
      </w:r>
      <w:r>
        <w:rPr>
          <w:w w:val="111"/>
        </w:rPr>
        <w:t>economías</w:t>
      </w:r>
      <w:r>
        <w:rPr>
          <w:spacing w:val="6"/>
        </w:rPr>
        <w:t> </w:t>
      </w:r>
      <w:r>
        <w:rPr>
          <w:w w:val="109"/>
        </w:rPr>
        <w:t>atlantistas</w:t>
      </w:r>
      <w:r>
        <w:rPr>
          <w:spacing w:val="6"/>
        </w:rPr>
        <w:t> </w:t>
      </w:r>
      <w:r>
        <w:rPr>
          <w:w w:val="105"/>
        </w:rPr>
        <w:t>se </w:t>
      </w:r>
      <w:r>
        <w:rPr>
          <w:w w:val="110"/>
        </w:rPr>
        <w:t>hace evidente en la reducción de las tasas de crecimiento económico, en la disminución de su participación como cuotas del Pib o del co- mercio mundial –actualmente infladas por la sobrevalorización de</w:t>
      </w:r>
      <w:r>
        <w:rPr>
          <w:spacing w:val="2"/>
          <w:w w:val="110"/>
        </w:rPr>
        <w:t> </w:t>
      </w:r>
      <w:r>
        <w:rPr>
          <w:w w:val="110"/>
        </w:rPr>
        <w:t>sus</w:t>
      </w:r>
    </w:p>
    <w:p>
      <w:pPr>
        <w:pStyle w:val="BodyText"/>
        <w:rPr>
          <w:sz w:val="22"/>
        </w:rPr>
      </w:pPr>
      <w:r>
        <w:rPr/>
        <w:pict>
          <v:line style="position:absolute;mso-position-horizontal-relative:page;mso-position-vertical-relative:paragraph;z-index:1792;mso-wrap-distance-left:0;mso-wrap-distance-right:0" from="51.023602pt,15.123633pt" to="79.369602pt,15.123633pt" stroked="true" strokeweight=".5pt" strokecolor="#000000">
            <w10:wrap type="topAndBottom"/>
          </v:line>
        </w:pict>
      </w:r>
    </w:p>
    <w:p>
      <w:pPr>
        <w:spacing w:line="242" w:lineRule="auto" w:before="89"/>
        <w:ind w:left="120" w:right="319" w:firstLine="0"/>
        <w:jc w:val="left"/>
        <w:rPr>
          <w:sz w:val="16"/>
        </w:rPr>
      </w:pPr>
      <w:r>
        <w:rPr>
          <w:w w:val="110"/>
          <w:sz w:val="16"/>
        </w:rPr>
        <w:t>cuenta</w:t>
      </w:r>
      <w:r>
        <w:rPr>
          <w:spacing w:val="-13"/>
          <w:w w:val="110"/>
          <w:sz w:val="16"/>
        </w:rPr>
        <w:t> </w:t>
      </w:r>
      <w:r>
        <w:rPr>
          <w:w w:val="110"/>
          <w:sz w:val="16"/>
        </w:rPr>
        <w:t>corriente</w:t>
      </w:r>
      <w:r>
        <w:rPr>
          <w:spacing w:val="-13"/>
          <w:w w:val="110"/>
          <w:sz w:val="16"/>
        </w:rPr>
        <w:t> </w:t>
      </w:r>
      <w:r>
        <w:rPr>
          <w:w w:val="110"/>
          <w:sz w:val="16"/>
        </w:rPr>
        <w:t>y</w:t>
      </w:r>
      <w:r>
        <w:rPr>
          <w:spacing w:val="-13"/>
          <w:w w:val="110"/>
          <w:sz w:val="16"/>
        </w:rPr>
        <w:t> </w:t>
      </w:r>
      <w:r>
        <w:rPr>
          <w:w w:val="110"/>
          <w:sz w:val="16"/>
        </w:rPr>
        <w:t>endeudamiento</w:t>
      </w:r>
      <w:r>
        <w:rPr>
          <w:spacing w:val="-13"/>
          <w:w w:val="110"/>
          <w:sz w:val="16"/>
        </w:rPr>
        <w:t> </w:t>
      </w:r>
      <w:r>
        <w:rPr>
          <w:w w:val="110"/>
          <w:sz w:val="16"/>
        </w:rPr>
        <w:t>externo</w:t>
      </w:r>
      <w:r>
        <w:rPr>
          <w:spacing w:val="-13"/>
          <w:w w:val="110"/>
          <w:sz w:val="16"/>
        </w:rPr>
        <w:t> </w:t>
      </w:r>
      <w:r>
        <w:rPr>
          <w:w w:val="110"/>
          <w:sz w:val="16"/>
        </w:rPr>
        <w:t>de</w:t>
      </w:r>
      <w:r>
        <w:rPr>
          <w:spacing w:val="-13"/>
          <w:w w:val="110"/>
          <w:sz w:val="16"/>
        </w:rPr>
        <w:t> </w:t>
      </w:r>
      <w:r>
        <w:rPr>
          <w:w w:val="110"/>
          <w:sz w:val="16"/>
        </w:rPr>
        <w:t>este</w:t>
      </w:r>
      <w:r>
        <w:rPr>
          <w:spacing w:val="-13"/>
          <w:w w:val="110"/>
          <w:sz w:val="16"/>
        </w:rPr>
        <w:t> </w:t>
      </w:r>
      <w:r>
        <w:rPr>
          <w:w w:val="110"/>
          <w:sz w:val="16"/>
        </w:rPr>
        <w:t>país</w:t>
      </w:r>
      <w:r>
        <w:rPr>
          <w:spacing w:val="-13"/>
          <w:w w:val="110"/>
          <w:sz w:val="16"/>
        </w:rPr>
        <w:t> </w:t>
      </w:r>
      <w:r>
        <w:rPr>
          <w:w w:val="110"/>
          <w:sz w:val="16"/>
        </w:rPr>
        <w:t>por</w:t>
      </w:r>
      <w:r>
        <w:rPr>
          <w:spacing w:val="-13"/>
          <w:w w:val="110"/>
          <w:sz w:val="16"/>
        </w:rPr>
        <w:t> </w:t>
      </w:r>
      <w:r>
        <w:rPr>
          <w:w w:val="110"/>
          <w:sz w:val="16"/>
        </w:rPr>
        <w:t>la</w:t>
      </w:r>
      <w:r>
        <w:rPr>
          <w:spacing w:val="-13"/>
          <w:w w:val="110"/>
          <w:sz w:val="16"/>
        </w:rPr>
        <w:t> </w:t>
      </w:r>
      <w:r>
        <w:rPr>
          <w:w w:val="110"/>
          <w:sz w:val="16"/>
        </w:rPr>
        <w:t>vía</w:t>
      </w:r>
      <w:r>
        <w:rPr>
          <w:spacing w:val="-13"/>
          <w:w w:val="110"/>
          <w:sz w:val="16"/>
        </w:rPr>
        <w:t> </w:t>
      </w:r>
      <w:r>
        <w:rPr>
          <w:w w:val="110"/>
          <w:sz w:val="16"/>
        </w:rPr>
        <w:t>de</w:t>
      </w:r>
      <w:r>
        <w:rPr>
          <w:spacing w:val="-13"/>
          <w:w w:val="110"/>
          <w:sz w:val="16"/>
        </w:rPr>
        <w:t> </w:t>
      </w:r>
      <w:r>
        <w:rPr>
          <w:w w:val="110"/>
          <w:sz w:val="16"/>
        </w:rPr>
        <w:t>la</w:t>
      </w:r>
      <w:r>
        <w:rPr>
          <w:spacing w:val="-13"/>
          <w:w w:val="110"/>
          <w:sz w:val="16"/>
        </w:rPr>
        <w:t> </w:t>
      </w:r>
      <w:r>
        <w:rPr>
          <w:w w:val="110"/>
          <w:sz w:val="16"/>
        </w:rPr>
        <w:t>internacionali- zación</w:t>
      </w:r>
      <w:r>
        <w:rPr>
          <w:spacing w:val="-9"/>
          <w:w w:val="110"/>
          <w:sz w:val="16"/>
        </w:rPr>
        <w:t> </w:t>
      </w:r>
      <w:r>
        <w:rPr>
          <w:w w:val="110"/>
          <w:sz w:val="16"/>
        </w:rPr>
        <w:t>de</w:t>
      </w:r>
      <w:r>
        <w:rPr>
          <w:spacing w:val="-9"/>
          <w:w w:val="110"/>
          <w:sz w:val="16"/>
        </w:rPr>
        <w:t> </w:t>
      </w:r>
      <w:r>
        <w:rPr>
          <w:w w:val="110"/>
          <w:sz w:val="16"/>
        </w:rPr>
        <w:t>su</w:t>
      </w:r>
      <w:r>
        <w:rPr>
          <w:spacing w:val="-9"/>
          <w:w w:val="110"/>
          <w:sz w:val="16"/>
        </w:rPr>
        <w:t> </w:t>
      </w:r>
      <w:r>
        <w:rPr>
          <w:w w:val="110"/>
          <w:sz w:val="16"/>
        </w:rPr>
        <w:t>deuda</w:t>
      </w:r>
      <w:r>
        <w:rPr>
          <w:spacing w:val="-9"/>
          <w:w w:val="110"/>
          <w:sz w:val="16"/>
        </w:rPr>
        <w:t> </w:t>
      </w:r>
      <w:r>
        <w:rPr>
          <w:w w:val="110"/>
          <w:sz w:val="16"/>
        </w:rPr>
        <w:t>pública,</w:t>
      </w:r>
      <w:r>
        <w:rPr>
          <w:spacing w:val="-9"/>
          <w:w w:val="110"/>
          <w:sz w:val="16"/>
        </w:rPr>
        <w:t> </w:t>
      </w:r>
      <w:r>
        <w:rPr>
          <w:w w:val="110"/>
          <w:sz w:val="16"/>
        </w:rPr>
        <w:t>en</w:t>
      </w:r>
      <w:r>
        <w:rPr>
          <w:spacing w:val="-9"/>
          <w:w w:val="110"/>
          <w:sz w:val="16"/>
        </w:rPr>
        <w:t> </w:t>
      </w:r>
      <w:r>
        <w:rPr>
          <w:w w:val="110"/>
          <w:sz w:val="16"/>
        </w:rPr>
        <w:t>la</w:t>
      </w:r>
      <w:r>
        <w:rPr>
          <w:spacing w:val="-9"/>
          <w:w w:val="110"/>
          <w:sz w:val="16"/>
        </w:rPr>
        <w:t> </w:t>
      </w:r>
      <w:r>
        <w:rPr>
          <w:w w:val="110"/>
          <w:sz w:val="16"/>
        </w:rPr>
        <w:t>cual</w:t>
      </w:r>
      <w:r>
        <w:rPr>
          <w:spacing w:val="-9"/>
          <w:w w:val="110"/>
          <w:sz w:val="16"/>
        </w:rPr>
        <w:t> </w:t>
      </w:r>
      <w:r>
        <w:rPr>
          <w:w w:val="110"/>
          <w:sz w:val="16"/>
        </w:rPr>
        <w:t>los</w:t>
      </w:r>
      <w:r>
        <w:rPr>
          <w:spacing w:val="-9"/>
          <w:w w:val="110"/>
          <w:sz w:val="16"/>
        </w:rPr>
        <w:t> </w:t>
      </w:r>
      <w:r>
        <w:rPr>
          <w:w w:val="110"/>
          <w:sz w:val="16"/>
        </w:rPr>
        <w:t>chinos</w:t>
      </w:r>
      <w:r>
        <w:rPr>
          <w:spacing w:val="-9"/>
          <w:w w:val="110"/>
          <w:sz w:val="16"/>
        </w:rPr>
        <w:t> </w:t>
      </w:r>
      <w:r>
        <w:rPr>
          <w:w w:val="110"/>
          <w:sz w:val="16"/>
        </w:rPr>
        <w:t>tendrán</w:t>
      </w:r>
      <w:r>
        <w:rPr>
          <w:spacing w:val="-9"/>
          <w:w w:val="110"/>
          <w:sz w:val="16"/>
        </w:rPr>
        <w:t> </w:t>
      </w:r>
      <w:r>
        <w:rPr>
          <w:w w:val="110"/>
          <w:sz w:val="16"/>
        </w:rPr>
        <w:t>una</w:t>
      </w:r>
      <w:r>
        <w:rPr>
          <w:spacing w:val="-9"/>
          <w:w w:val="110"/>
          <w:sz w:val="16"/>
        </w:rPr>
        <w:t> </w:t>
      </w:r>
      <w:r>
        <w:rPr>
          <w:w w:val="110"/>
          <w:sz w:val="16"/>
        </w:rPr>
        <w:t>participación</w:t>
      </w:r>
      <w:r>
        <w:rPr>
          <w:spacing w:val="-9"/>
          <w:w w:val="110"/>
          <w:sz w:val="16"/>
        </w:rPr>
        <w:t> </w:t>
      </w:r>
      <w:r>
        <w:rPr>
          <w:w w:val="110"/>
          <w:sz w:val="16"/>
        </w:rPr>
        <w:t>creciente.</w:t>
      </w:r>
    </w:p>
    <w:p>
      <w:pPr>
        <w:pStyle w:val="ListParagraph"/>
        <w:numPr>
          <w:ilvl w:val="0"/>
          <w:numId w:val="2"/>
        </w:numPr>
        <w:tabs>
          <w:tab w:pos="376" w:val="left" w:leader="none"/>
        </w:tabs>
        <w:spacing w:line="242" w:lineRule="auto" w:before="57" w:after="0"/>
        <w:ind w:left="120" w:right="328" w:firstLine="0"/>
        <w:jc w:val="left"/>
        <w:rPr>
          <w:sz w:val="16"/>
        </w:rPr>
      </w:pPr>
      <w:r>
        <w:rPr>
          <w:w w:val="105"/>
          <w:sz w:val="16"/>
        </w:rPr>
        <w:t>Cálculos del autor a partir de la serie establecida por angus Maddison y sus dis- </w:t>
      </w:r>
      <w:r>
        <w:rPr>
          <w:sz w:val="16"/>
        </w:rPr>
        <w:t>cípulos:      </w:t>
      </w:r>
      <w:r>
        <w:rPr>
          <w:spacing w:val="5"/>
          <w:sz w:val="16"/>
        </w:rPr>
        <w:t> </w:t>
      </w:r>
      <w:hyperlink r:id="rId80">
        <w:r>
          <w:rPr>
            <w:sz w:val="16"/>
          </w:rPr>
          <w:t>&lt;http://www.ggdc.net/maddison/maddison-project/home.htm&gt;.</w:t>
        </w:r>
      </w:hyperlink>
    </w:p>
    <w:p>
      <w:pPr>
        <w:spacing w:after="0" w:line="242" w:lineRule="auto"/>
        <w:jc w:val="left"/>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monedas–, en el crecimiento de sus déficit comerciales, en la </w:t>
      </w:r>
      <w:r>
        <w:rPr>
          <w:spacing w:val="-3"/>
          <w:w w:val="110"/>
        </w:rPr>
        <w:t>inter- </w:t>
      </w:r>
      <w:r>
        <w:rPr>
          <w:w w:val="110"/>
        </w:rPr>
        <w:t>nacionalización de sus deudas públicas y en la vulnerabilidad de sus balanzas de pagos. Esta última y el alto nivel de endeudamiento pú- blico les van retirando crecientemente la autonomía de sus políticas monetarias y cambiarias por los efectos explosivos que pueden tener sobre el gasto público y el equilibrio macroeconómico de las cuen-   tas internacionales. Esos procesos se desenvuelven en mayor o menor grado entre los países atlantistas, presentándose en Estados unidos, su principal potencia, con mayor intensidad y nitidez. En la unión Europea, alemania utiliza la contención de los salarios internos como uno de los pilares de su competitividad, obteniendo un significativo saldo comercial con los países de la zona euro –lo que contribuye a profundizar</w:t>
      </w:r>
      <w:r>
        <w:rPr>
          <w:spacing w:val="-5"/>
          <w:w w:val="110"/>
        </w:rPr>
        <w:t> </w:t>
      </w:r>
      <w:r>
        <w:rPr>
          <w:w w:val="110"/>
        </w:rPr>
        <w:t>decisivamente</w:t>
      </w:r>
      <w:r>
        <w:rPr>
          <w:spacing w:val="-5"/>
          <w:w w:val="110"/>
        </w:rPr>
        <w:t> </w:t>
      </w:r>
      <w:r>
        <w:rPr>
          <w:w w:val="110"/>
        </w:rPr>
        <w:t>sus</w:t>
      </w:r>
      <w:r>
        <w:rPr>
          <w:spacing w:val="-5"/>
          <w:w w:val="110"/>
        </w:rPr>
        <w:t> </w:t>
      </w:r>
      <w:r>
        <w:rPr>
          <w:w w:val="110"/>
        </w:rPr>
        <w:t>asimetrías</w:t>
      </w:r>
      <w:r>
        <w:rPr>
          <w:spacing w:val="-5"/>
          <w:w w:val="110"/>
        </w:rPr>
        <w:t> </w:t>
      </w:r>
      <w:r>
        <w:rPr>
          <w:w w:val="110"/>
        </w:rPr>
        <w:t>internas</w:t>
      </w:r>
      <w:r>
        <w:rPr>
          <w:spacing w:val="-5"/>
          <w:w w:val="110"/>
        </w:rPr>
        <w:t> </w:t>
      </w:r>
      <w:r>
        <w:rPr>
          <w:w w:val="110"/>
        </w:rPr>
        <w:t>y</w:t>
      </w:r>
      <w:r>
        <w:rPr>
          <w:spacing w:val="-5"/>
          <w:w w:val="110"/>
        </w:rPr>
        <w:t> </w:t>
      </w:r>
      <w:r>
        <w:rPr>
          <w:w w:val="110"/>
        </w:rPr>
        <w:t>las</w:t>
      </w:r>
      <w:r>
        <w:rPr>
          <w:spacing w:val="-5"/>
          <w:w w:val="110"/>
        </w:rPr>
        <w:t> </w:t>
      </w:r>
      <w:r>
        <w:rPr>
          <w:w w:val="110"/>
        </w:rPr>
        <w:t>desigualdades sociales y regionales– y con Estados unidos y reino unido –países que mantienen sus monedas sobrevaluadas– sin </w:t>
      </w:r>
      <w:r>
        <w:rPr>
          <w:spacing w:val="-4"/>
          <w:w w:val="110"/>
        </w:rPr>
        <w:t>evitar, </w:t>
      </w:r>
      <w:r>
        <w:rPr>
          <w:w w:val="110"/>
        </w:rPr>
        <w:t>todavía, la caída de su participación relativa en el comercio </w:t>
      </w:r>
      <w:r>
        <w:rPr>
          <w:spacing w:val="35"/>
          <w:w w:val="110"/>
        </w:rPr>
        <w:t> </w:t>
      </w:r>
      <w:r>
        <w:rPr>
          <w:w w:val="110"/>
        </w:rPr>
        <w:t>mundial.</w:t>
      </w:r>
    </w:p>
    <w:p>
      <w:pPr>
        <w:pStyle w:val="BodyText"/>
        <w:spacing w:line="252" w:lineRule="auto"/>
        <w:ind w:left="330" w:right="117" w:firstLine="396"/>
        <w:jc w:val="both"/>
      </w:pPr>
      <w:r>
        <w:rPr>
          <w:w w:val="243"/>
        </w:rPr>
        <w:t>l</w:t>
      </w:r>
      <w:r>
        <w:rPr>
          <w:w w:val="108"/>
        </w:rPr>
        <w:t>os</w:t>
      </w:r>
      <w:r>
        <w:rPr>
          <w:spacing w:val="6"/>
        </w:rPr>
        <w:t> </w:t>
      </w:r>
      <w:r>
        <w:rPr>
          <w:w w:val="112"/>
        </w:rPr>
        <w:t>Gráficos</w:t>
      </w:r>
      <w:r>
        <w:rPr>
          <w:spacing w:val="6"/>
        </w:rPr>
        <w:t> </w:t>
      </w:r>
      <w:r>
        <w:rPr>
          <w:w w:val="102"/>
        </w:rPr>
        <w:t>3</w:t>
      </w:r>
      <w:r>
        <w:rPr>
          <w:spacing w:val="6"/>
        </w:rPr>
        <w:t> </w:t>
      </w:r>
      <w:r>
        <w:rPr>
          <w:w w:val="105"/>
        </w:rPr>
        <w:t>y</w:t>
      </w:r>
      <w:r>
        <w:rPr>
          <w:spacing w:val="6"/>
        </w:rPr>
        <w:t> </w:t>
      </w:r>
      <w:r>
        <w:rPr>
          <w:w w:val="102"/>
        </w:rPr>
        <w:t>4</w:t>
      </w:r>
      <w:r>
        <w:rPr>
          <w:spacing w:val="6"/>
        </w:rPr>
        <w:t> </w:t>
      </w:r>
      <w:r>
        <w:rPr>
          <w:w w:val="109"/>
        </w:rPr>
        <w:t>muestran</w:t>
      </w:r>
      <w:r>
        <w:rPr>
          <w:spacing w:val="6"/>
        </w:rPr>
        <w:t> </w:t>
      </w:r>
      <w:r>
        <w:rPr>
          <w:w w:val="107"/>
        </w:rPr>
        <w:t>el</w:t>
      </w:r>
      <w:r>
        <w:rPr>
          <w:spacing w:val="6"/>
        </w:rPr>
        <w:t> </w:t>
      </w:r>
      <w:r>
        <w:rPr>
          <w:w w:val="110"/>
        </w:rPr>
        <w:t>aumento</w:t>
      </w:r>
      <w:r>
        <w:rPr>
          <w:spacing w:val="6"/>
        </w:rPr>
        <w:t> </w:t>
      </w:r>
      <w:r>
        <w:rPr>
          <w:w w:val="109"/>
        </w:rPr>
        <w:t>significativo</w:t>
      </w:r>
      <w:r>
        <w:rPr>
          <w:spacing w:val="6"/>
        </w:rPr>
        <w:t> </w:t>
      </w:r>
      <w:r>
        <w:rPr>
          <w:w w:val="107"/>
        </w:rPr>
        <w:t>de</w:t>
      </w:r>
      <w:r>
        <w:rPr>
          <w:spacing w:val="6"/>
        </w:rPr>
        <w:t> </w:t>
      </w:r>
      <w:r>
        <w:rPr>
          <w:w w:val="108"/>
        </w:rPr>
        <w:t>los</w:t>
      </w:r>
      <w:r>
        <w:rPr>
          <w:spacing w:val="6"/>
        </w:rPr>
        <w:t> </w:t>
      </w:r>
      <w:r>
        <w:rPr>
          <w:w w:val="108"/>
        </w:rPr>
        <w:t>gastos </w:t>
      </w:r>
      <w:r>
        <w:rPr>
          <w:w w:val="110"/>
        </w:rPr>
        <w:t>públicos y de la deuda pública en Estados unidos, en la zona Euro y países de la organización para la Cooperación y el desarrollo Econó- mico (oCdE). Ésta se eleva drásticamente en la década de 1980, en función del incremento de los intereses y su peso en el presupuesto público </w:t>
      </w:r>
      <w:r>
        <w:rPr>
          <w:spacing w:val="-11"/>
          <w:w w:val="110"/>
        </w:rPr>
        <w:t>y, </w:t>
      </w:r>
      <w:r>
        <w:rPr>
          <w:w w:val="110"/>
        </w:rPr>
        <w:t>posteriormente, a partir de la crisis de 2008, en función de la compra por parte del Estado de títulos podres, sustentando expec- tativas</w:t>
      </w:r>
      <w:r>
        <w:rPr>
          <w:spacing w:val="-9"/>
          <w:w w:val="110"/>
        </w:rPr>
        <w:t> </w:t>
      </w:r>
      <w:r>
        <w:rPr>
          <w:w w:val="110"/>
        </w:rPr>
        <w:t>de</w:t>
      </w:r>
      <w:r>
        <w:rPr>
          <w:spacing w:val="-9"/>
          <w:w w:val="110"/>
        </w:rPr>
        <w:t> </w:t>
      </w:r>
      <w:r>
        <w:rPr>
          <w:w w:val="110"/>
        </w:rPr>
        <w:t>ganancias</w:t>
      </w:r>
      <w:r>
        <w:rPr>
          <w:spacing w:val="-9"/>
          <w:w w:val="110"/>
        </w:rPr>
        <w:t> </w:t>
      </w:r>
      <w:r>
        <w:rPr>
          <w:w w:val="110"/>
        </w:rPr>
        <w:t>extraordinarias</w:t>
      </w:r>
      <w:r>
        <w:rPr>
          <w:spacing w:val="-9"/>
          <w:w w:val="110"/>
        </w:rPr>
        <w:t> </w:t>
      </w:r>
      <w:r>
        <w:rPr>
          <w:w w:val="110"/>
        </w:rPr>
        <w:t>sin</w:t>
      </w:r>
      <w:r>
        <w:rPr>
          <w:spacing w:val="-9"/>
          <w:w w:val="110"/>
        </w:rPr>
        <w:t> </w:t>
      </w:r>
      <w:r>
        <w:rPr>
          <w:w w:val="110"/>
        </w:rPr>
        <w:t>liquidez.</w:t>
      </w:r>
      <w:r>
        <w:rPr>
          <w:spacing w:val="-9"/>
          <w:w w:val="110"/>
        </w:rPr>
        <w:t> </w:t>
      </w:r>
      <w:r>
        <w:rPr>
          <w:w w:val="110"/>
        </w:rPr>
        <w:t>Entre</w:t>
      </w:r>
      <w:r>
        <w:rPr>
          <w:spacing w:val="-9"/>
          <w:w w:val="110"/>
        </w:rPr>
        <w:t> </w:t>
      </w:r>
      <w:r>
        <w:rPr>
          <w:w w:val="110"/>
        </w:rPr>
        <w:t>2008</w:t>
      </w:r>
      <w:r>
        <w:rPr>
          <w:spacing w:val="-9"/>
          <w:w w:val="110"/>
        </w:rPr>
        <w:t> </w:t>
      </w:r>
      <w:r>
        <w:rPr>
          <w:w w:val="110"/>
        </w:rPr>
        <w:t>y</w:t>
      </w:r>
      <w:r>
        <w:rPr>
          <w:spacing w:val="-9"/>
          <w:w w:val="110"/>
        </w:rPr>
        <w:t> </w:t>
      </w:r>
      <w:r>
        <w:rPr>
          <w:w w:val="110"/>
        </w:rPr>
        <w:t>2013/4, en Estados unidos el gobierno federal compró us$ 4.2 trillones en deudas hipotecarias en el mercado privado y las instituciones finan- cieras privadas, a su vez, se deshicieron de us$ 4.5 trillones que te- nían bajo control, lo que indica el alto nivel de rentabilidad de estas operaciones.</w:t>
      </w:r>
      <w:r>
        <w:rPr>
          <w:w w:val="110"/>
          <w:position w:val="6"/>
          <w:sz w:val="11"/>
        </w:rPr>
        <w:t>8 </w:t>
      </w:r>
      <w:r>
        <w:rPr>
          <w:w w:val="110"/>
        </w:rPr>
        <w:t>En la zona euro, la ayuda de los gobiernos europeos a los bancos alcanzó € 4.5 trillones, aproximadamente 36.7% del Pib europeo,</w:t>
      </w:r>
      <w:r>
        <w:rPr>
          <w:spacing w:val="-6"/>
          <w:w w:val="110"/>
        </w:rPr>
        <w:t> </w:t>
      </w:r>
      <w:r>
        <w:rPr>
          <w:w w:val="110"/>
        </w:rPr>
        <w:t>de</w:t>
      </w:r>
      <w:r>
        <w:rPr>
          <w:spacing w:val="-6"/>
          <w:w w:val="110"/>
        </w:rPr>
        <w:t> </w:t>
      </w:r>
      <w:r>
        <w:rPr>
          <w:w w:val="110"/>
        </w:rPr>
        <w:t>los</w:t>
      </w:r>
      <w:r>
        <w:rPr>
          <w:spacing w:val="-6"/>
          <w:w w:val="110"/>
        </w:rPr>
        <w:t> </w:t>
      </w:r>
      <w:r>
        <w:rPr>
          <w:w w:val="110"/>
        </w:rPr>
        <w:t>cuales</w:t>
      </w:r>
      <w:r>
        <w:rPr>
          <w:spacing w:val="-6"/>
          <w:w w:val="110"/>
        </w:rPr>
        <w:t> </w:t>
      </w:r>
      <w:r>
        <w:rPr>
          <w:w w:val="110"/>
        </w:rPr>
        <w:t>fueron</w:t>
      </w:r>
      <w:r>
        <w:rPr>
          <w:spacing w:val="-6"/>
          <w:w w:val="110"/>
        </w:rPr>
        <w:t> </w:t>
      </w:r>
      <w:r>
        <w:rPr>
          <w:w w:val="110"/>
        </w:rPr>
        <w:t>usados</w:t>
      </w:r>
      <w:r>
        <w:rPr>
          <w:spacing w:val="-6"/>
          <w:w w:val="110"/>
        </w:rPr>
        <w:t> </w:t>
      </w:r>
      <w:r>
        <w:rPr>
          <w:w w:val="110"/>
        </w:rPr>
        <w:t>€</w:t>
      </w:r>
      <w:r>
        <w:rPr>
          <w:spacing w:val="-6"/>
          <w:w w:val="110"/>
        </w:rPr>
        <w:t> </w:t>
      </w:r>
      <w:r>
        <w:rPr>
          <w:w w:val="110"/>
        </w:rPr>
        <w:t>1.6</w:t>
      </w:r>
      <w:r>
        <w:rPr>
          <w:spacing w:val="-6"/>
          <w:w w:val="110"/>
        </w:rPr>
        <w:t> </w:t>
      </w:r>
      <w:r>
        <w:rPr>
          <w:w w:val="110"/>
        </w:rPr>
        <w:t>trillones</w:t>
      </w:r>
      <w:r>
        <w:rPr>
          <w:spacing w:val="-6"/>
          <w:w w:val="110"/>
        </w:rPr>
        <w:t> </w:t>
      </w:r>
      <w:r>
        <w:rPr>
          <w:w w:val="110"/>
        </w:rPr>
        <w:t>entre</w:t>
      </w:r>
      <w:r>
        <w:rPr>
          <w:spacing w:val="-6"/>
          <w:w w:val="110"/>
        </w:rPr>
        <w:t> </w:t>
      </w:r>
      <w:r>
        <w:rPr>
          <w:w w:val="110"/>
        </w:rPr>
        <w:t>2008</w:t>
      </w:r>
      <w:r>
        <w:rPr>
          <w:spacing w:val="-6"/>
          <w:w w:val="110"/>
        </w:rPr>
        <w:t> </w:t>
      </w:r>
      <w:r>
        <w:rPr>
          <w:w w:val="110"/>
        </w:rPr>
        <w:t>y</w:t>
      </w:r>
      <w:r>
        <w:rPr>
          <w:spacing w:val="-6"/>
          <w:w w:val="110"/>
        </w:rPr>
        <w:t> </w:t>
      </w:r>
      <w:r>
        <w:rPr>
          <w:w w:val="110"/>
        </w:rPr>
        <w:t>2010. Entre diciembre de 2011 y febrero de 2012 dos nuevos programas de refinanciamiento de largo plazo prestaron € 1.1 trillones a los bancos europeos, de los cuales fueron utilizados € 520 billones. se desarrolla un Estado monopolista que sustenta beneficios extraordinarios </w:t>
      </w:r>
      <w:r>
        <w:rPr>
          <w:spacing w:val="-3"/>
          <w:w w:val="110"/>
        </w:rPr>
        <w:t>fuer- </w:t>
      </w:r>
      <w:r>
        <w:rPr>
          <w:w w:val="110"/>
        </w:rPr>
        <w:t>temente desvinculados del progreso tecnológico de las inversiones productivas en los países</w:t>
      </w:r>
      <w:r>
        <w:rPr>
          <w:spacing w:val="11"/>
          <w:w w:val="110"/>
        </w:rPr>
        <w:t> </w:t>
      </w:r>
      <w:r>
        <w:rPr>
          <w:w w:val="110"/>
        </w:rPr>
        <w:t>centrales.</w:t>
      </w:r>
    </w:p>
    <w:p>
      <w:pPr>
        <w:pStyle w:val="BodyText"/>
        <w:spacing w:line="252" w:lineRule="auto"/>
        <w:ind w:left="330" w:right="117" w:firstLine="396"/>
        <w:jc w:val="both"/>
      </w:pPr>
      <w:r>
        <w:rPr>
          <w:w w:val="110"/>
        </w:rPr>
        <w:t>El proceso de financiarización se vincula a la caída de las tasas   de inversión en los países centrales, que puede ser estimada por un conjunto de indicadores: la caída de la tasa de inversión producti-     va</w:t>
      </w:r>
      <w:r>
        <w:rPr>
          <w:spacing w:val="37"/>
          <w:w w:val="110"/>
        </w:rPr>
        <w:t> </w:t>
      </w:r>
      <w:r>
        <w:rPr>
          <w:w w:val="110"/>
        </w:rPr>
        <w:t>de</w:t>
      </w:r>
      <w:r>
        <w:rPr>
          <w:spacing w:val="37"/>
          <w:w w:val="110"/>
        </w:rPr>
        <w:t> </w:t>
      </w:r>
      <w:r>
        <w:rPr>
          <w:w w:val="110"/>
        </w:rPr>
        <w:t>Estados</w:t>
      </w:r>
      <w:r>
        <w:rPr>
          <w:spacing w:val="37"/>
          <w:w w:val="110"/>
        </w:rPr>
        <w:t> </w:t>
      </w:r>
      <w:r>
        <w:rPr>
          <w:w w:val="110"/>
        </w:rPr>
        <w:t>unidos</w:t>
      </w:r>
      <w:r>
        <w:rPr>
          <w:spacing w:val="37"/>
          <w:w w:val="110"/>
        </w:rPr>
        <w:t> </w:t>
      </w:r>
      <w:r>
        <w:rPr>
          <w:w w:val="110"/>
        </w:rPr>
        <w:t>(Gráfico</w:t>
      </w:r>
      <w:r>
        <w:rPr>
          <w:spacing w:val="37"/>
          <w:w w:val="110"/>
        </w:rPr>
        <w:t> </w:t>
      </w:r>
      <w:r>
        <w:rPr>
          <w:w w:val="110"/>
        </w:rPr>
        <w:t>5),</w:t>
      </w:r>
      <w:r>
        <w:rPr>
          <w:spacing w:val="37"/>
          <w:w w:val="110"/>
        </w:rPr>
        <w:t> </w:t>
      </w:r>
      <w:r>
        <w:rPr>
          <w:w w:val="110"/>
        </w:rPr>
        <w:t>la</w:t>
      </w:r>
      <w:r>
        <w:rPr>
          <w:spacing w:val="37"/>
          <w:w w:val="110"/>
        </w:rPr>
        <w:t> </w:t>
      </w:r>
      <w:r>
        <w:rPr>
          <w:w w:val="110"/>
        </w:rPr>
        <w:t>caída</w:t>
      </w:r>
      <w:r>
        <w:rPr>
          <w:spacing w:val="37"/>
          <w:w w:val="110"/>
        </w:rPr>
        <w:t> </w:t>
      </w:r>
      <w:r>
        <w:rPr>
          <w:w w:val="110"/>
        </w:rPr>
        <w:t>de</w:t>
      </w:r>
      <w:r>
        <w:rPr>
          <w:spacing w:val="37"/>
          <w:w w:val="110"/>
        </w:rPr>
        <w:t> </w:t>
      </w:r>
      <w:r>
        <w:rPr>
          <w:w w:val="110"/>
        </w:rPr>
        <w:t>la</w:t>
      </w:r>
      <w:r>
        <w:rPr>
          <w:spacing w:val="37"/>
          <w:w w:val="110"/>
        </w:rPr>
        <w:t> </w:t>
      </w:r>
      <w:r>
        <w:rPr>
          <w:w w:val="110"/>
        </w:rPr>
        <w:t>tasa</w:t>
      </w:r>
      <w:r>
        <w:rPr>
          <w:spacing w:val="37"/>
          <w:w w:val="110"/>
        </w:rPr>
        <w:t> </w:t>
      </w:r>
      <w:r>
        <w:rPr>
          <w:w w:val="110"/>
        </w:rPr>
        <w:t>de</w:t>
      </w:r>
      <w:r>
        <w:rPr>
          <w:spacing w:val="37"/>
          <w:w w:val="110"/>
        </w:rPr>
        <w:t> </w:t>
      </w:r>
      <w:r>
        <w:rPr>
          <w:w w:val="110"/>
        </w:rPr>
        <w:t>ahorro</w:t>
      </w:r>
      <w:r>
        <w:rPr>
          <w:spacing w:val="37"/>
          <w:w w:val="110"/>
        </w:rPr>
        <w:t> </w:t>
      </w:r>
      <w:r>
        <w:rPr>
          <w:w w:val="110"/>
        </w:rPr>
        <w:t>en</w:t>
      </w:r>
    </w:p>
    <w:p>
      <w:pPr>
        <w:pStyle w:val="BodyText"/>
        <w:spacing w:before="7"/>
        <w:rPr>
          <w:sz w:val="15"/>
        </w:rPr>
      </w:pPr>
      <w:r>
        <w:rPr/>
        <w:pict>
          <v:line style="position:absolute;mso-position-horizontal-relative:page;mso-position-vertical-relative:paragraph;z-index:1816;mso-wrap-distance-left:0;mso-wrap-distance-right:0" from="76.5354pt,11.358235pt" to="104.8814pt,11.358235pt" stroked="true" strokeweight=".5pt" strokecolor="#000000">
            <w10:wrap type="topAndBottom"/>
          </v:line>
        </w:pict>
      </w:r>
    </w:p>
    <w:p>
      <w:pPr>
        <w:pStyle w:val="ListParagraph"/>
        <w:numPr>
          <w:ilvl w:val="0"/>
          <w:numId w:val="2"/>
        </w:numPr>
        <w:tabs>
          <w:tab w:pos="586" w:val="left" w:leader="none"/>
        </w:tabs>
        <w:spacing w:line="240" w:lineRule="auto" w:before="89" w:after="0"/>
        <w:ind w:left="585" w:right="0" w:hanging="255"/>
        <w:jc w:val="left"/>
        <w:rPr>
          <w:sz w:val="16"/>
        </w:rPr>
      </w:pPr>
      <w:r>
        <w:rPr>
          <w:sz w:val="16"/>
        </w:rPr>
        <w:t>&lt;</w:t>
      </w:r>
      <w:hyperlink r:id="rId81">
        <w:r>
          <w:rPr>
            <w:sz w:val="16"/>
          </w:rPr>
          <w:t>http://www.federalreserve.gov/econresdata/releases/mortoutstand/current.htm</w:t>
        </w:r>
      </w:hyperlink>
      <w:r>
        <w:rPr>
          <w:sz w:val="16"/>
        </w:rPr>
        <w:t>&gt;.</w:t>
      </w:r>
    </w:p>
    <w:p>
      <w:pPr>
        <w:spacing w:after="0" w:line="240" w:lineRule="auto"/>
        <w:jc w:val="left"/>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7"/>
        <w:jc w:val="both"/>
        <w:rPr>
          <w:sz w:val="11"/>
        </w:rPr>
      </w:pPr>
      <w:r>
        <w:rPr>
          <w:w w:val="110"/>
        </w:rPr>
        <w:t>Europa occidental y Japón (Gráfico 6), el aumento de los beneficios   de origen financiero (Gráfico 7) y de los beneficios obtenidos en el exterior en la masa general de ganancia de las corporaciones esta- dounidenses (Gráfico 2). El incremento del stock externo de capital extranjero/Pib entre los principales países europeos y Estados uni- dos, Japón señala la relocalización del circuito productivo del capital en las potencias atlantistas (Gráfico 8). </w:t>
      </w:r>
      <w:r>
        <w:rPr>
          <w:spacing w:val="-4"/>
          <w:w w:val="110"/>
        </w:rPr>
        <w:t>tales </w:t>
      </w:r>
      <w:r>
        <w:rPr>
          <w:w w:val="110"/>
        </w:rPr>
        <w:t>factores promueven un lento desplazamiento del eje de poder en la división internacional    del trabajo manifiesta en una significativa pérdida de competitividad en el comercio internacional de Estados unidos, alemania, Francia, </w:t>
      </w:r>
      <w:r>
        <w:rPr>
          <w:w w:val="182"/>
        </w:rPr>
        <w:t>r</w:t>
      </w:r>
      <w:r>
        <w:rPr>
          <w:w w:val="110"/>
        </w:rPr>
        <w:t>eino</w:t>
      </w:r>
      <w:r>
        <w:rPr>
          <w:spacing w:val="7"/>
        </w:rPr>
        <w:t> </w:t>
      </w:r>
      <w:r>
        <w:rPr>
          <w:w w:val="140"/>
        </w:rPr>
        <w:t>u</w:t>
      </w:r>
      <w:r>
        <w:rPr>
          <w:w w:val="113"/>
        </w:rPr>
        <w:t>nido,</w:t>
      </w:r>
      <w:r>
        <w:rPr>
          <w:spacing w:val="7"/>
        </w:rPr>
        <w:t> </w:t>
      </w:r>
      <w:r>
        <w:rPr>
          <w:w w:val="142"/>
        </w:rPr>
        <w:t>i</w:t>
      </w:r>
      <w:r>
        <w:rPr>
          <w:w w:val="111"/>
        </w:rPr>
        <w:t>talia</w:t>
      </w:r>
      <w:r>
        <w:rPr>
          <w:spacing w:val="7"/>
        </w:rPr>
        <w:t> </w:t>
      </w:r>
      <w:r>
        <w:rPr>
          <w:w w:val="105"/>
        </w:rPr>
        <w:t>y</w:t>
      </w:r>
      <w:r>
        <w:rPr>
          <w:spacing w:val="7"/>
        </w:rPr>
        <w:t> </w:t>
      </w:r>
      <w:r>
        <w:rPr>
          <w:w w:val="116"/>
        </w:rPr>
        <w:t>Japón</w:t>
      </w:r>
      <w:r>
        <w:rPr>
          <w:spacing w:val="7"/>
        </w:rPr>
        <w:t> </w:t>
      </w:r>
      <w:r>
        <w:rPr>
          <w:w w:val="111"/>
        </w:rPr>
        <w:t>(Gráfico</w:t>
      </w:r>
      <w:r>
        <w:rPr>
          <w:spacing w:val="7"/>
        </w:rPr>
        <w:t> </w:t>
      </w:r>
      <w:r>
        <w:rPr>
          <w:w w:val="107"/>
        </w:rPr>
        <w:t>9).</w:t>
      </w:r>
      <w:r>
        <w:rPr>
          <w:spacing w:val="7"/>
        </w:rPr>
        <w:t> </w:t>
      </w:r>
      <w:r>
        <w:rPr>
          <w:w w:val="243"/>
        </w:rPr>
        <w:t>l</w:t>
      </w:r>
      <w:r>
        <w:rPr>
          <w:w w:val="112"/>
        </w:rPr>
        <w:t>a</w:t>
      </w:r>
      <w:r>
        <w:rPr>
          <w:spacing w:val="7"/>
        </w:rPr>
        <w:t> </w:t>
      </w:r>
      <w:r>
        <w:rPr>
          <w:w w:val="108"/>
        </w:rPr>
        <w:t>pérdida</w:t>
      </w:r>
      <w:r>
        <w:rPr>
          <w:spacing w:val="7"/>
        </w:rPr>
        <w:t> </w:t>
      </w:r>
      <w:r>
        <w:rPr>
          <w:w w:val="107"/>
        </w:rPr>
        <w:t>de</w:t>
      </w:r>
      <w:r>
        <w:rPr>
          <w:spacing w:val="7"/>
        </w:rPr>
        <w:t> </w:t>
      </w:r>
      <w:r>
        <w:rPr>
          <w:w w:val="110"/>
        </w:rPr>
        <w:t>competitividad </w:t>
      </w:r>
      <w:r>
        <w:rPr>
          <w:w w:val="110"/>
        </w:rPr>
        <w:t>se expresa principalmente en la reducción de la participación relativa en las exportaciones mundiales,</w:t>
      </w:r>
      <w:r>
        <w:rPr>
          <w:w w:val="110"/>
          <w:position w:val="6"/>
          <w:sz w:val="11"/>
        </w:rPr>
        <w:t>9 </w:t>
      </w:r>
      <w:r>
        <w:rPr>
          <w:w w:val="110"/>
        </w:rPr>
        <w:t>pudiéndose presentar como fuerte déficit comercial, en el caso de Estados unidos, aunque no necesaria- mente en el caso de </w:t>
      </w:r>
      <w:r>
        <w:rPr>
          <w:spacing w:val="29"/>
          <w:w w:val="110"/>
        </w:rPr>
        <w:t> </w:t>
      </w:r>
      <w:r>
        <w:rPr>
          <w:w w:val="110"/>
        </w:rPr>
        <w:t>alemania.</w:t>
      </w:r>
      <w:r>
        <w:rPr>
          <w:w w:val="110"/>
          <w:position w:val="6"/>
          <w:sz w:val="11"/>
        </w:rPr>
        <w:t>10</w:t>
      </w:r>
    </w:p>
    <w:p>
      <w:pPr>
        <w:pStyle w:val="BodyText"/>
        <w:spacing w:line="252" w:lineRule="auto"/>
        <w:ind w:left="120" w:right="327" w:firstLine="396"/>
        <w:jc w:val="both"/>
      </w:pPr>
      <w:r>
        <w:rPr>
          <w:w w:val="110"/>
        </w:rPr>
        <w:t>El saldo comercial de alemania pasó de 2.9% del Pib en 2000         a 8% del mismo en 2007, siendo que 65% de éste se obtuvo en el in- terior de Europa, fuente más dinámica del saldo que lo expandió en 230% contra 186% de las regiones fuera de Europa, cuyo principal origen era Estados unidos, de donde provenía más de 50% del supe- rávit comercial extra-europeo. El gran determinante de este saldo fue la contención salarial que combinada con la alta tecnología permi-    tió a alemania impulsar dramáticos desequilibrios comerciales en la zona euro, provocando la crisis de la balanza de pagos y de la deuda soberana de Grecia, España y Portugal, invirtiendo la tendencia a la convergencia de la renta media europea que se establecía lentamente. </w:t>
      </w:r>
      <w:r>
        <w:rPr>
          <w:w w:val="243"/>
        </w:rPr>
        <w:t>l</w:t>
      </w:r>
      <w:r>
        <w:rPr>
          <w:w w:val="109"/>
        </w:rPr>
        <w:t>as</w:t>
      </w:r>
      <w:r>
        <w:rPr>
          <w:spacing w:val="11"/>
        </w:rPr>
        <w:t> </w:t>
      </w:r>
      <w:r>
        <w:rPr>
          <w:w w:val="109"/>
        </w:rPr>
        <w:t>variaciones</w:t>
      </w:r>
      <w:r>
        <w:rPr>
          <w:spacing w:val="11"/>
        </w:rPr>
        <w:t> </w:t>
      </w:r>
      <w:r>
        <w:rPr>
          <w:w w:val="108"/>
        </w:rPr>
        <w:t>positivas</w:t>
      </w:r>
      <w:r>
        <w:rPr>
          <w:spacing w:val="11"/>
        </w:rPr>
        <w:t> </w:t>
      </w:r>
      <w:r>
        <w:rPr>
          <w:w w:val="107"/>
        </w:rPr>
        <w:t>de</w:t>
      </w:r>
      <w:r>
        <w:rPr>
          <w:spacing w:val="11"/>
        </w:rPr>
        <w:t> </w:t>
      </w:r>
      <w:r>
        <w:rPr>
          <w:w w:val="111"/>
        </w:rPr>
        <w:t>compensación</w:t>
      </w:r>
      <w:r>
        <w:rPr>
          <w:spacing w:val="11"/>
        </w:rPr>
        <w:t> </w:t>
      </w:r>
      <w:r>
        <w:rPr>
          <w:w w:val="110"/>
        </w:rPr>
        <w:t>salarial</w:t>
      </w:r>
      <w:r>
        <w:rPr>
          <w:spacing w:val="11"/>
        </w:rPr>
        <w:t> </w:t>
      </w:r>
      <w:r>
        <w:rPr>
          <w:w w:val="106"/>
        </w:rPr>
        <w:t>entre</w:t>
      </w:r>
      <w:r>
        <w:rPr>
          <w:spacing w:val="11"/>
        </w:rPr>
        <w:t> </w:t>
      </w:r>
      <w:r>
        <w:rPr>
          <w:w w:val="111"/>
        </w:rPr>
        <w:t>la</w:t>
      </w:r>
      <w:r>
        <w:rPr>
          <w:spacing w:val="11"/>
        </w:rPr>
        <w:t> </w:t>
      </w:r>
      <w:r>
        <w:rPr>
          <w:w w:val="111"/>
        </w:rPr>
        <w:t>zona</w:t>
      </w:r>
      <w:r>
        <w:rPr>
          <w:spacing w:val="11"/>
        </w:rPr>
        <w:t> </w:t>
      </w:r>
      <w:r>
        <w:rPr>
          <w:w w:val="108"/>
        </w:rPr>
        <w:t>euro </w:t>
      </w:r>
      <w:r>
        <w:rPr>
          <w:w w:val="110"/>
        </w:rPr>
        <w:t>y alemania, desde inicios de 1990 hasta 2008, fueron muy superiores a</w:t>
      </w:r>
      <w:r>
        <w:rPr>
          <w:spacing w:val="14"/>
          <w:w w:val="110"/>
        </w:rPr>
        <w:t> </w:t>
      </w:r>
      <w:r>
        <w:rPr>
          <w:w w:val="110"/>
        </w:rPr>
        <w:t>las</w:t>
      </w:r>
      <w:r>
        <w:rPr>
          <w:spacing w:val="14"/>
          <w:w w:val="110"/>
        </w:rPr>
        <w:t> </w:t>
      </w:r>
      <w:r>
        <w:rPr>
          <w:w w:val="110"/>
        </w:rPr>
        <w:t>de</w:t>
      </w:r>
      <w:r>
        <w:rPr>
          <w:spacing w:val="14"/>
          <w:w w:val="110"/>
        </w:rPr>
        <w:t> </w:t>
      </w:r>
      <w:r>
        <w:rPr>
          <w:w w:val="110"/>
        </w:rPr>
        <w:t>la</w:t>
      </w:r>
      <w:r>
        <w:rPr>
          <w:spacing w:val="14"/>
          <w:w w:val="110"/>
        </w:rPr>
        <w:t> </w:t>
      </w:r>
      <w:r>
        <w:rPr>
          <w:w w:val="110"/>
        </w:rPr>
        <w:t>productividad</w:t>
      </w:r>
      <w:r>
        <w:rPr>
          <w:spacing w:val="14"/>
          <w:w w:val="110"/>
        </w:rPr>
        <w:t> </w:t>
      </w:r>
      <w:r>
        <w:rPr>
          <w:w w:val="110"/>
        </w:rPr>
        <w:t>entre</w:t>
      </w:r>
      <w:r>
        <w:rPr>
          <w:spacing w:val="14"/>
          <w:w w:val="110"/>
        </w:rPr>
        <w:t> </w:t>
      </w:r>
      <w:r>
        <w:rPr>
          <w:w w:val="110"/>
        </w:rPr>
        <w:t>alemania</w:t>
      </w:r>
      <w:r>
        <w:rPr>
          <w:spacing w:val="14"/>
          <w:w w:val="110"/>
        </w:rPr>
        <w:t> </w:t>
      </w:r>
      <w:r>
        <w:rPr>
          <w:w w:val="110"/>
        </w:rPr>
        <w:t>y</w:t>
      </w:r>
      <w:r>
        <w:rPr>
          <w:spacing w:val="14"/>
          <w:w w:val="110"/>
        </w:rPr>
        <w:t> </w:t>
      </w:r>
      <w:r>
        <w:rPr>
          <w:w w:val="110"/>
        </w:rPr>
        <w:t>la</w:t>
      </w:r>
      <w:r>
        <w:rPr>
          <w:spacing w:val="14"/>
          <w:w w:val="110"/>
        </w:rPr>
        <w:t> </w:t>
      </w:r>
      <w:r>
        <w:rPr>
          <w:w w:val="110"/>
        </w:rPr>
        <w:t>zona</w:t>
      </w:r>
      <w:r>
        <w:rPr>
          <w:spacing w:val="14"/>
          <w:w w:val="110"/>
        </w:rPr>
        <w:t> </w:t>
      </w:r>
      <w:r>
        <w:rPr>
          <w:w w:val="110"/>
        </w:rPr>
        <w:t>euro,</w:t>
      </w:r>
      <w:r>
        <w:rPr>
          <w:spacing w:val="14"/>
          <w:w w:val="110"/>
        </w:rPr>
        <w:t> </w:t>
      </w:r>
      <w:r>
        <w:rPr>
          <w:w w:val="110"/>
        </w:rPr>
        <w:t>que</w:t>
      </w:r>
      <w:r>
        <w:rPr>
          <w:spacing w:val="14"/>
          <w:w w:val="110"/>
        </w:rPr>
        <w:t> </w:t>
      </w:r>
      <w:r>
        <w:rPr>
          <w:w w:val="110"/>
        </w:rPr>
        <w:t>se</w:t>
      </w:r>
      <w:r>
        <w:rPr>
          <w:spacing w:val="14"/>
          <w:w w:val="110"/>
        </w:rPr>
        <w:t> </w:t>
      </w:r>
      <w:r>
        <w:rPr>
          <w:w w:val="110"/>
        </w:rPr>
        <w:t>apro-</w:t>
      </w:r>
    </w:p>
    <w:p>
      <w:pPr>
        <w:pStyle w:val="BodyText"/>
        <w:spacing w:before="4"/>
        <w:rPr>
          <w:sz w:val="23"/>
        </w:rPr>
      </w:pPr>
      <w:r>
        <w:rPr/>
        <w:pict>
          <v:line style="position:absolute;mso-position-horizontal-relative:page;mso-position-vertical-relative:paragraph;z-index:1840;mso-wrap-distance-left:0;mso-wrap-distance-right:0" from="51.023701pt,15.923636pt" to="79.369701pt,15.923636pt" stroked="true" strokeweight=".5pt" strokecolor="#000000">
            <w10:wrap type="topAndBottom"/>
          </v:line>
        </w:pict>
      </w:r>
    </w:p>
    <w:p>
      <w:pPr>
        <w:pStyle w:val="ListParagraph"/>
        <w:numPr>
          <w:ilvl w:val="0"/>
          <w:numId w:val="2"/>
        </w:numPr>
        <w:tabs>
          <w:tab w:pos="376" w:val="left" w:leader="none"/>
        </w:tabs>
        <w:spacing w:line="242" w:lineRule="auto" w:before="89" w:after="0"/>
        <w:ind w:left="120" w:right="328" w:firstLine="0"/>
        <w:jc w:val="both"/>
        <w:rPr>
          <w:sz w:val="16"/>
        </w:rPr>
      </w:pPr>
      <w:r>
        <w:rPr>
          <w:w w:val="105"/>
          <w:sz w:val="16"/>
        </w:rPr>
        <w:t>Entre 1994 y 2014 la participación agregada de Estados unidos, alemania, italia, Francia, Gran bretaña y Japón en las exportaciones mundiales cayó de 44.4 a 31.1% (</w:t>
      </w:r>
      <w:r>
        <w:rPr>
          <w:i/>
          <w:w w:val="105"/>
          <w:sz w:val="16"/>
        </w:rPr>
        <w:t>The  Economic  outlook</w:t>
      </w:r>
      <w:r>
        <w:rPr>
          <w:w w:val="105"/>
          <w:sz w:val="16"/>
        </w:rPr>
        <w:t>,  2014:</w:t>
      </w:r>
      <w:r>
        <w:rPr>
          <w:spacing w:val="21"/>
          <w:w w:val="105"/>
          <w:sz w:val="16"/>
        </w:rPr>
        <w:t> </w:t>
      </w:r>
      <w:r>
        <w:rPr>
          <w:w w:val="105"/>
          <w:sz w:val="16"/>
        </w:rPr>
        <w:t>1).</w:t>
      </w:r>
    </w:p>
    <w:p>
      <w:pPr>
        <w:pStyle w:val="ListParagraph"/>
        <w:numPr>
          <w:ilvl w:val="0"/>
          <w:numId w:val="2"/>
        </w:numPr>
        <w:tabs>
          <w:tab w:pos="376" w:val="left" w:leader="none"/>
        </w:tabs>
        <w:spacing w:line="242" w:lineRule="auto" w:before="57" w:after="0"/>
        <w:ind w:left="120" w:right="327" w:firstLine="0"/>
        <w:jc w:val="both"/>
        <w:rPr>
          <w:sz w:val="16"/>
        </w:rPr>
      </w:pPr>
      <w:r>
        <w:rPr>
          <w:w w:val="105"/>
          <w:sz w:val="16"/>
        </w:rPr>
        <w:t>Estados unidos, después de la fuerte escalada de su déficit comercial que alcan-    </w:t>
      </w:r>
      <w:r>
        <w:rPr>
          <w:spacing w:val="37"/>
          <w:w w:val="105"/>
          <w:sz w:val="16"/>
        </w:rPr>
        <w:t> </w:t>
      </w:r>
      <w:r>
        <w:rPr>
          <w:w w:val="105"/>
          <w:sz w:val="16"/>
        </w:rPr>
        <w:t>zó su pico en 2008,  lo  redujo  significativamente  en  función  de  la  desvalorización del </w:t>
      </w:r>
      <w:r>
        <w:rPr>
          <w:spacing w:val="-3"/>
          <w:w w:val="105"/>
          <w:sz w:val="16"/>
        </w:rPr>
        <w:t>dólar, </w:t>
      </w:r>
      <w:r>
        <w:rPr>
          <w:w w:val="105"/>
          <w:sz w:val="16"/>
        </w:rPr>
        <w:t>de la apreciación del yuan y de la disminución del déficit de la cuenta de petróleo. Esta última  se  vincula  principalmente  a  la  sustitución  de  importaciones de petróleo por la producción local y por el gas de esquisto, con fuertes impactos ecológicos. todavía es cada vez menor el impacto de esta reducción en el resultado global de la balanza comercial, una vez que el déficit en la cuenta del petróleo cayó    </w:t>
      </w:r>
      <w:r>
        <w:rPr>
          <w:spacing w:val="37"/>
          <w:w w:val="105"/>
          <w:sz w:val="16"/>
        </w:rPr>
        <w:t> </w:t>
      </w:r>
      <w:r>
        <w:rPr>
          <w:w w:val="105"/>
          <w:sz w:val="16"/>
        </w:rPr>
        <w:t>de 64 a 36% de ésta, entre julio de 2008 y 2014, y aquella continúa siendo presiona- </w:t>
      </w:r>
      <w:r>
        <w:rPr>
          <w:w w:val="108"/>
          <w:sz w:val="16"/>
        </w:rPr>
        <w:t>da</w:t>
      </w:r>
      <w:r>
        <w:rPr>
          <w:spacing w:val="11"/>
          <w:sz w:val="16"/>
        </w:rPr>
        <w:t> </w:t>
      </w:r>
      <w:r>
        <w:rPr>
          <w:w w:val="106"/>
          <w:sz w:val="16"/>
        </w:rPr>
        <w:t>por</w:t>
      </w:r>
      <w:r>
        <w:rPr>
          <w:spacing w:val="11"/>
          <w:sz w:val="16"/>
        </w:rPr>
        <w:t> </w:t>
      </w:r>
      <w:r>
        <w:rPr>
          <w:w w:val="109"/>
          <w:sz w:val="16"/>
        </w:rPr>
        <w:t>la</w:t>
      </w:r>
      <w:r>
        <w:rPr>
          <w:spacing w:val="11"/>
          <w:sz w:val="16"/>
        </w:rPr>
        <w:t> </w:t>
      </w:r>
      <w:r>
        <w:rPr>
          <w:w w:val="107"/>
          <w:sz w:val="16"/>
        </w:rPr>
        <w:t>competitividad</w:t>
      </w:r>
      <w:r>
        <w:rPr>
          <w:spacing w:val="11"/>
          <w:sz w:val="16"/>
        </w:rPr>
        <w:t> </w:t>
      </w:r>
      <w:r>
        <w:rPr>
          <w:w w:val="104"/>
          <w:sz w:val="16"/>
        </w:rPr>
        <w:t>de</w:t>
      </w:r>
      <w:r>
        <w:rPr>
          <w:spacing w:val="11"/>
          <w:sz w:val="16"/>
        </w:rPr>
        <w:t> </w:t>
      </w:r>
      <w:r>
        <w:rPr>
          <w:w w:val="106"/>
          <w:sz w:val="16"/>
        </w:rPr>
        <w:t>otras</w:t>
      </w:r>
      <w:r>
        <w:rPr>
          <w:spacing w:val="11"/>
          <w:sz w:val="16"/>
        </w:rPr>
        <w:t> </w:t>
      </w:r>
      <w:r>
        <w:rPr>
          <w:w w:val="106"/>
          <w:sz w:val="16"/>
        </w:rPr>
        <w:t>regiones</w:t>
      </w:r>
      <w:r>
        <w:rPr>
          <w:spacing w:val="11"/>
          <w:sz w:val="16"/>
        </w:rPr>
        <w:t> </w:t>
      </w:r>
      <w:r>
        <w:rPr>
          <w:w w:val="105"/>
          <w:sz w:val="16"/>
        </w:rPr>
        <w:t>del</w:t>
      </w:r>
      <w:r>
        <w:rPr>
          <w:spacing w:val="11"/>
          <w:sz w:val="16"/>
        </w:rPr>
        <w:t> </w:t>
      </w:r>
      <w:r>
        <w:rPr>
          <w:w w:val="111"/>
          <w:sz w:val="16"/>
        </w:rPr>
        <w:t>mundo,</w:t>
      </w:r>
      <w:r>
        <w:rPr>
          <w:spacing w:val="11"/>
          <w:sz w:val="16"/>
        </w:rPr>
        <w:t> </w:t>
      </w:r>
      <w:r>
        <w:rPr>
          <w:w w:val="108"/>
          <w:sz w:val="16"/>
        </w:rPr>
        <w:t>principalmente</w:t>
      </w:r>
      <w:r>
        <w:rPr>
          <w:spacing w:val="11"/>
          <w:sz w:val="16"/>
        </w:rPr>
        <w:t> </w:t>
      </w:r>
      <w:r>
        <w:rPr>
          <w:w w:val="104"/>
          <w:sz w:val="16"/>
        </w:rPr>
        <w:t>de</w:t>
      </w:r>
      <w:r>
        <w:rPr>
          <w:spacing w:val="11"/>
          <w:sz w:val="16"/>
        </w:rPr>
        <w:t> </w:t>
      </w:r>
      <w:r>
        <w:rPr>
          <w:w w:val="114"/>
          <w:sz w:val="16"/>
        </w:rPr>
        <w:t>China.</w:t>
      </w:r>
      <w:r>
        <w:rPr>
          <w:spacing w:val="11"/>
          <w:sz w:val="16"/>
        </w:rPr>
        <w:t> </w:t>
      </w:r>
      <w:r>
        <w:rPr>
          <w:w w:val="238"/>
          <w:sz w:val="16"/>
        </w:rPr>
        <w:t>l</w:t>
      </w:r>
      <w:r>
        <w:rPr>
          <w:w w:val="109"/>
          <w:sz w:val="16"/>
        </w:rPr>
        <w:t>a </w:t>
      </w:r>
      <w:r>
        <w:rPr>
          <w:w w:val="105"/>
          <w:sz w:val="16"/>
        </w:rPr>
        <w:t>reciente valorización mundial del </w:t>
      </w:r>
      <w:r>
        <w:rPr>
          <w:spacing w:val="-3"/>
          <w:w w:val="105"/>
          <w:sz w:val="16"/>
        </w:rPr>
        <w:t>dólar, </w:t>
      </w:r>
      <w:r>
        <w:rPr>
          <w:w w:val="105"/>
          <w:sz w:val="16"/>
        </w:rPr>
        <w:t>asociada a la recuperación de la economía estadounidense y a la especulación cambiaria, debe impulsar un nuevo ascenso del déficit  comercial </w:t>
      </w:r>
      <w:r>
        <w:rPr>
          <w:spacing w:val="19"/>
          <w:w w:val="105"/>
          <w:sz w:val="16"/>
        </w:rPr>
        <w:t> </w:t>
      </w:r>
      <w:r>
        <w:rPr>
          <w:w w:val="105"/>
          <w:sz w:val="16"/>
        </w:rPr>
        <w:t>norteamericano.</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ximan a uno. En el caso de alemania, la variación de las compensa- ciones salariales fue inferior a sus índices de inflación para la década de 2000. Grecia, que presentó en el periodo una productividad muy superior a la alemana, pero una expansión salarial mucho mayor que los diferenciales de su productividad, fue estrangulada en su proceso de convergencia. Entre 2001 y 2003, si alemania pasó de 116 a 124 respecto de la media de la unión Europea, italia cayó de 119 a 98, Francia de 116 a 108, España de 98 a 95, Grecia de 87 a 75 y Portugal de 81 a 76.</w:t>
      </w:r>
      <w:r>
        <w:rPr>
          <w:w w:val="110"/>
          <w:position w:val="6"/>
          <w:sz w:val="11"/>
        </w:rPr>
        <w:t>11 </w:t>
      </w:r>
      <w:r>
        <w:rPr>
          <w:w w:val="110"/>
        </w:rPr>
        <w:t>Para la contención salarial de los trabajadores alemanes fue esencial la unificación alemana con la destrucción de empresas e incorporación de millones de trabajadores a la alemania    occidental.</w:t>
      </w:r>
    </w:p>
    <w:p>
      <w:pPr>
        <w:pStyle w:val="BodyText"/>
        <w:spacing w:line="252" w:lineRule="auto"/>
        <w:ind w:left="330" w:right="118" w:firstLine="396"/>
        <w:jc w:val="both"/>
      </w:pPr>
      <w:r>
        <w:rPr>
          <w:w w:val="110"/>
        </w:rPr>
        <w:t>alemania mantuvo tasas de inversión muy superiores a la media de la unión Europea debido a que se valió del Mercado Común Euro- peo en un juego de suma cero, echó mano de su ventaja histórica en productividad y la combinó con la reducción salarial; de esta manera, alemania se fortaleció como un espacio de acumulación productiva, sostuvo altos niveles de desempleo que descienden a la mitad entre 2005 y 2013, para alcanzar 5.5%, y atravesó la crisis en una tendencia inversa a la de la región. sin embargo, incluso al valerse del mercado regional para producir asimetrías, esta nación no consigue detener su proceso de deterioro, pues la crisis europea y mediterránea restringe su expansión sostenida: entre 1994 y 2010, el Pib per cápita alemán pasó de 338 a 264% respecto de la media de la economía  mundial.</w:t>
      </w:r>
    </w:p>
    <w:p>
      <w:pPr>
        <w:pStyle w:val="BodyText"/>
        <w:spacing w:line="252" w:lineRule="auto"/>
        <w:ind w:left="330" w:right="117" w:firstLine="396"/>
        <w:jc w:val="both"/>
      </w:pPr>
      <w:r>
        <w:rPr>
          <w:w w:val="243"/>
        </w:rPr>
        <w:t>l</w:t>
      </w:r>
      <w:r>
        <w:rPr>
          <w:w w:val="112"/>
        </w:rPr>
        <w:t>imitada</w:t>
      </w:r>
      <w:r>
        <w:rPr>
          <w:spacing w:val="8"/>
        </w:rPr>
        <w:t> </w:t>
      </w:r>
      <w:r>
        <w:rPr>
          <w:w w:val="110"/>
        </w:rPr>
        <w:t>históricamente</w:t>
      </w:r>
      <w:r>
        <w:rPr>
          <w:spacing w:val="8"/>
        </w:rPr>
        <w:t> </w:t>
      </w:r>
      <w:r>
        <w:rPr>
          <w:w w:val="108"/>
        </w:rPr>
        <w:t>en</w:t>
      </w:r>
      <w:r>
        <w:rPr>
          <w:spacing w:val="8"/>
        </w:rPr>
        <w:t> </w:t>
      </w:r>
      <w:r>
        <w:rPr>
          <w:w w:val="109"/>
        </w:rPr>
        <w:t>su</w:t>
      </w:r>
      <w:r>
        <w:rPr>
          <w:spacing w:val="8"/>
        </w:rPr>
        <w:t> </w:t>
      </w:r>
      <w:r>
        <w:rPr>
          <w:w w:val="109"/>
        </w:rPr>
        <w:t>expansión</w:t>
      </w:r>
      <w:r>
        <w:rPr>
          <w:spacing w:val="8"/>
        </w:rPr>
        <w:t> </w:t>
      </w:r>
      <w:r>
        <w:rPr>
          <w:w w:val="108"/>
        </w:rPr>
        <w:t>por</w:t>
      </w:r>
      <w:r>
        <w:rPr>
          <w:spacing w:val="8"/>
        </w:rPr>
        <w:t> </w:t>
      </w:r>
      <w:r>
        <w:rPr>
          <w:w w:val="109"/>
        </w:rPr>
        <w:t>las</w:t>
      </w:r>
      <w:r>
        <w:rPr>
          <w:spacing w:val="8"/>
        </w:rPr>
        <w:t> </w:t>
      </w:r>
      <w:r>
        <w:rPr>
          <w:w w:val="110"/>
        </w:rPr>
        <w:t>potencias</w:t>
      </w:r>
      <w:r>
        <w:rPr>
          <w:spacing w:val="8"/>
        </w:rPr>
        <w:t> </w:t>
      </w:r>
      <w:r>
        <w:rPr>
          <w:w w:val="111"/>
        </w:rPr>
        <w:t>atlan</w:t>
      </w:r>
      <w:r>
        <w:rPr>
          <w:w w:val="102"/>
        </w:rPr>
        <w:t>- </w:t>
      </w:r>
      <w:r>
        <w:rPr>
          <w:w w:val="110"/>
        </w:rPr>
        <w:t>tistas que impidieron su afirmación territorial y marítima en el siglo </w:t>
      </w:r>
      <w:r>
        <w:rPr>
          <w:w w:val="125"/>
        </w:rPr>
        <w:t>xx, </w:t>
      </w:r>
      <w:r>
        <w:rPr>
          <w:w w:val="110"/>
        </w:rPr>
        <w:t>la alemania reunificada adopta un enfoque neoliberal impulsado desde los principales centros atlantistas: Estados unidos y reino uni- do. al hacerlo, articula la financiarización en Europa con la creación  de un mercado regional regulado por las altas tasas de desempleo. Entra así en contradicción con su vocación de largo plazo para </w:t>
      </w:r>
      <w:r>
        <w:rPr>
          <w:spacing w:val="-3"/>
          <w:w w:val="110"/>
        </w:rPr>
        <w:t>afir- </w:t>
      </w:r>
      <w:r>
        <w:rPr>
          <w:w w:val="110"/>
        </w:rPr>
        <w:t>marse como </w:t>
      </w:r>
      <w:r>
        <w:rPr>
          <w:i/>
          <w:w w:val="110"/>
        </w:rPr>
        <w:t>hinterland </w:t>
      </w:r>
      <w:r>
        <w:rPr>
          <w:w w:val="110"/>
        </w:rPr>
        <w:t>europeo, capaz de vincularse a un nuevo ali- neamiento geopolítico mundial en el cual las potencias territoriales y los mercados internos podrán jugar un papel </w:t>
      </w:r>
      <w:r>
        <w:rPr>
          <w:spacing w:val="26"/>
          <w:w w:val="110"/>
        </w:rPr>
        <w:t> </w:t>
      </w:r>
      <w:r>
        <w:rPr>
          <w:w w:val="110"/>
        </w:rPr>
        <w:t>fundamental.</w:t>
      </w:r>
    </w:p>
    <w:p>
      <w:pPr>
        <w:pStyle w:val="BodyText"/>
        <w:spacing w:line="252" w:lineRule="auto"/>
        <w:ind w:left="330" w:right="117" w:firstLine="396"/>
        <w:jc w:val="both"/>
      </w:pPr>
      <w:r>
        <w:rPr>
          <w:w w:val="243"/>
        </w:rPr>
        <w:t>l</w:t>
      </w:r>
      <w:r>
        <w:rPr>
          <w:w w:val="109"/>
        </w:rPr>
        <w:t>as</w:t>
      </w:r>
      <w:r>
        <w:rPr>
          <w:spacing w:val="7"/>
        </w:rPr>
        <w:t> </w:t>
      </w:r>
      <w:r>
        <w:rPr>
          <w:w w:val="111"/>
        </w:rPr>
        <w:t>políticas</w:t>
      </w:r>
      <w:r>
        <w:rPr>
          <w:spacing w:val="7"/>
        </w:rPr>
        <w:t> </w:t>
      </w:r>
      <w:r>
        <w:rPr>
          <w:w w:val="107"/>
        </w:rPr>
        <w:t>de</w:t>
      </w:r>
      <w:r>
        <w:rPr>
          <w:spacing w:val="7"/>
        </w:rPr>
        <w:t> </w:t>
      </w:r>
      <w:r>
        <w:rPr>
          <w:w w:val="109"/>
        </w:rPr>
        <w:t>superexplotación</w:t>
      </w:r>
      <w:r>
        <w:rPr>
          <w:spacing w:val="7"/>
        </w:rPr>
        <w:t> </w:t>
      </w:r>
      <w:r>
        <w:rPr>
          <w:w w:val="107"/>
        </w:rPr>
        <w:t>del</w:t>
      </w:r>
      <w:r>
        <w:rPr>
          <w:spacing w:val="7"/>
        </w:rPr>
        <w:t> </w:t>
      </w:r>
      <w:r>
        <w:rPr>
          <w:w w:val="110"/>
        </w:rPr>
        <w:t>trabajo</w:t>
      </w:r>
      <w:r>
        <w:rPr>
          <w:spacing w:val="7"/>
        </w:rPr>
        <w:t> </w:t>
      </w:r>
      <w:r>
        <w:rPr>
          <w:w w:val="107"/>
        </w:rPr>
        <w:t>elevan</w:t>
      </w:r>
      <w:r>
        <w:rPr>
          <w:spacing w:val="7"/>
        </w:rPr>
        <w:t> </w:t>
      </w:r>
      <w:r>
        <w:rPr>
          <w:w w:val="110"/>
        </w:rPr>
        <w:t>drásticame</w:t>
      </w:r>
      <w:r>
        <w:rPr>
          <w:spacing w:val="-1"/>
          <w:w w:val="110"/>
        </w:rPr>
        <w:t>n</w:t>
      </w:r>
      <w:r>
        <w:rPr>
          <w:w w:val="102"/>
        </w:rPr>
        <w:t>- </w:t>
      </w:r>
      <w:r>
        <w:rPr>
          <w:w w:val="110"/>
        </w:rPr>
        <w:t>te la desigualdad en los países centrales y ponen en jaque al</w:t>
      </w:r>
      <w:r>
        <w:rPr>
          <w:spacing w:val="-13"/>
          <w:w w:val="110"/>
        </w:rPr>
        <w:t> </w:t>
      </w:r>
      <w:r>
        <w:rPr>
          <w:w w:val="110"/>
        </w:rPr>
        <w:t>centrismo político, expresado en el sistema bipartidista. En Estados unidos, la participación</w:t>
      </w:r>
      <w:r>
        <w:rPr>
          <w:spacing w:val="18"/>
          <w:w w:val="110"/>
        </w:rPr>
        <w:t> </w:t>
      </w:r>
      <w:r>
        <w:rPr>
          <w:w w:val="110"/>
        </w:rPr>
        <w:t>del</w:t>
      </w:r>
      <w:r>
        <w:rPr>
          <w:spacing w:val="18"/>
          <w:w w:val="110"/>
        </w:rPr>
        <w:t> </w:t>
      </w:r>
      <w:r>
        <w:rPr>
          <w:w w:val="110"/>
        </w:rPr>
        <w:t>10%</w:t>
      </w:r>
      <w:r>
        <w:rPr>
          <w:spacing w:val="18"/>
          <w:w w:val="110"/>
        </w:rPr>
        <w:t> </w:t>
      </w:r>
      <w:r>
        <w:rPr>
          <w:w w:val="110"/>
        </w:rPr>
        <w:t>de</w:t>
      </w:r>
      <w:r>
        <w:rPr>
          <w:spacing w:val="18"/>
          <w:w w:val="110"/>
        </w:rPr>
        <w:t> </w:t>
      </w:r>
      <w:r>
        <w:rPr>
          <w:w w:val="110"/>
        </w:rPr>
        <w:t>la</w:t>
      </w:r>
      <w:r>
        <w:rPr>
          <w:spacing w:val="18"/>
          <w:w w:val="110"/>
        </w:rPr>
        <w:t> </w:t>
      </w:r>
      <w:r>
        <w:rPr>
          <w:w w:val="110"/>
        </w:rPr>
        <w:t>población</w:t>
      </w:r>
      <w:r>
        <w:rPr>
          <w:spacing w:val="18"/>
          <w:w w:val="110"/>
        </w:rPr>
        <w:t> </w:t>
      </w:r>
      <w:r>
        <w:rPr>
          <w:w w:val="110"/>
        </w:rPr>
        <w:t>más</w:t>
      </w:r>
      <w:r>
        <w:rPr>
          <w:spacing w:val="18"/>
          <w:w w:val="110"/>
        </w:rPr>
        <w:t> </w:t>
      </w:r>
      <w:r>
        <w:rPr>
          <w:w w:val="110"/>
        </w:rPr>
        <w:t>rica</w:t>
      </w:r>
      <w:r>
        <w:rPr>
          <w:spacing w:val="18"/>
          <w:w w:val="110"/>
        </w:rPr>
        <w:t> </w:t>
      </w:r>
      <w:r>
        <w:rPr>
          <w:w w:val="110"/>
        </w:rPr>
        <w:t>en</w:t>
      </w:r>
      <w:r>
        <w:rPr>
          <w:spacing w:val="18"/>
          <w:w w:val="110"/>
        </w:rPr>
        <w:t> </w:t>
      </w:r>
      <w:r>
        <w:rPr>
          <w:w w:val="110"/>
        </w:rPr>
        <w:t>el</w:t>
      </w:r>
      <w:r>
        <w:rPr>
          <w:spacing w:val="18"/>
          <w:w w:val="110"/>
        </w:rPr>
        <w:t> </w:t>
      </w:r>
      <w:r>
        <w:rPr>
          <w:w w:val="110"/>
        </w:rPr>
        <w:t>Pib</w:t>
      </w:r>
      <w:r>
        <w:rPr>
          <w:spacing w:val="18"/>
          <w:w w:val="110"/>
        </w:rPr>
        <w:t> </w:t>
      </w:r>
      <w:r>
        <w:rPr>
          <w:w w:val="110"/>
        </w:rPr>
        <w:t>se</w:t>
      </w:r>
      <w:r>
        <w:rPr>
          <w:spacing w:val="18"/>
          <w:w w:val="110"/>
        </w:rPr>
        <w:t> </w:t>
      </w:r>
      <w:r>
        <w:rPr>
          <w:w w:val="110"/>
        </w:rPr>
        <w:t>elevó</w:t>
      </w:r>
      <w:r>
        <w:rPr>
          <w:spacing w:val="18"/>
          <w:w w:val="110"/>
        </w:rPr>
        <w:t> </w:t>
      </w:r>
      <w:r>
        <w:rPr>
          <w:w w:val="110"/>
        </w:rPr>
        <w:t>de</w:t>
      </w:r>
    </w:p>
    <w:p>
      <w:pPr>
        <w:pStyle w:val="BodyText"/>
        <w:spacing w:line="252" w:lineRule="auto"/>
        <w:ind w:left="330" w:right="117"/>
        <w:jc w:val="both"/>
      </w:pPr>
      <w:r>
        <w:rPr>
          <w:w w:val="110"/>
        </w:rPr>
        <w:t>33.5 a 47.9% entre 1970 y 2010; y en Europa, de 27.6 a 34.7% entre 1979 y 2010, llegando a 36.9% en el caso de que no se incluya a sue- cia. En Europa, el salto en la concentración de la renta se da prin- cipalmente en el reino unido, que evolucionó de 32.6% en 1980 a</w:t>
      </w:r>
    </w:p>
    <w:p>
      <w:pPr>
        <w:pStyle w:val="BodyText"/>
        <w:spacing w:before="7"/>
        <w:rPr>
          <w:sz w:val="15"/>
        </w:rPr>
      </w:pPr>
      <w:r>
        <w:rPr/>
        <w:pict>
          <v:line style="position:absolute;mso-position-horizontal-relative:page;mso-position-vertical-relative:paragraph;z-index:1864;mso-wrap-distance-left:0;mso-wrap-distance-right:0" from="76.5355pt,11.358235pt" to="104.8815pt,11.358235pt" stroked="true" strokeweight=".5pt" strokecolor="#000000">
            <w10:wrap type="topAndBottom"/>
          </v:line>
        </w:pict>
      </w:r>
    </w:p>
    <w:p>
      <w:pPr>
        <w:pStyle w:val="ListParagraph"/>
        <w:numPr>
          <w:ilvl w:val="0"/>
          <w:numId w:val="2"/>
        </w:numPr>
        <w:tabs>
          <w:tab w:pos="586" w:val="left" w:leader="none"/>
        </w:tabs>
        <w:spacing w:line="240" w:lineRule="auto" w:before="89" w:after="0"/>
        <w:ind w:left="585" w:right="0" w:hanging="255"/>
        <w:jc w:val="left"/>
        <w:rPr>
          <w:sz w:val="16"/>
        </w:rPr>
      </w:pPr>
      <w:r>
        <w:rPr>
          <w:spacing w:val="-3"/>
          <w:sz w:val="16"/>
        </w:rPr>
        <w:t>Véase   </w:t>
      </w:r>
      <w:r>
        <w:rPr>
          <w:spacing w:val="21"/>
          <w:sz w:val="16"/>
        </w:rPr>
        <w:t> </w:t>
      </w:r>
      <w:hyperlink r:id="rId84">
        <w:r>
          <w:rPr>
            <w:sz w:val="16"/>
          </w:rPr>
          <w:t>&lt;http://epp.eurostat.ec.europa.eu/portal/page/portal/eurostat/home/&gt;.</w:t>
        </w:r>
      </w:hyperlink>
    </w:p>
    <w:p>
      <w:pPr>
        <w:spacing w:after="0" w:line="240" w:lineRule="auto"/>
        <w:jc w:val="left"/>
        <w:rPr>
          <w:sz w:val="16"/>
        </w:rPr>
        <w:sectPr>
          <w:footerReference w:type="even" r:id="rId82"/>
          <w:footerReference w:type="default" r:id="rId83"/>
          <w:pgSz w:w="8790" w:h="12760"/>
          <w:pgMar w:footer="725" w:header="695" w:top="880" w:bottom="920" w:left="1200" w:right="900"/>
          <w:pgNumType w:start="50"/>
        </w:sectPr>
      </w:pPr>
    </w:p>
    <w:p>
      <w:pPr>
        <w:pStyle w:val="BodyText"/>
        <w:spacing w:before="9"/>
        <w:rPr>
          <w:sz w:val="28"/>
        </w:rPr>
      </w:pPr>
    </w:p>
    <w:p>
      <w:pPr>
        <w:pStyle w:val="BodyText"/>
        <w:spacing w:before="73"/>
        <w:ind w:left="120"/>
        <w:jc w:val="both"/>
      </w:pPr>
      <w:r>
        <w:rPr>
          <w:w w:val="110"/>
        </w:rPr>
        <w:t>41.6% en 2010, pero también es destacada en alemania donde pasó de</w:t>
      </w:r>
    </w:p>
    <w:p>
      <w:pPr>
        <w:pStyle w:val="BodyText"/>
        <w:spacing w:line="252" w:lineRule="auto" w:before="11"/>
        <w:ind w:left="120" w:right="328"/>
        <w:jc w:val="both"/>
      </w:pPr>
      <w:r>
        <w:rPr>
          <w:w w:val="106"/>
        </w:rPr>
        <w:t>32.6</w:t>
      </w:r>
      <w:r>
        <w:rPr/>
        <w:t> </w:t>
      </w:r>
      <w:r>
        <w:rPr>
          <w:w w:val="112"/>
        </w:rPr>
        <w:t>a</w:t>
      </w:r>
      <w:r>
        <w:rPr/>
        <w:t> </w:t>
      </w:r>
      <w:r>
        <w:rPr>
          <w:w w:val="105"/>
        </w:rPr>
        <w:t>36.1%</w:t>
      </w:r>
      <w:r>
        <w:rPr/>
        <w:t> </w:t>
      </w:r>
      <w:r>
        <w:rPr>
          <w:w w:val="108"/>
        </w:rPr>
        <w:t>en</w:t>
      </w:r>
      <w:r>
        <w:rPr/>
        <w:t> </w:t>
      </w:r>
      <w:r>
        <w:rPr>
          <w:w w:val="107"/>
        </w:rPr>
        <w:t>el</w:t>
      </w:r>
      <w:r>
        <w:rPr/>
        <w:t> </w:t>
      </w:r>
      <w:r>
        <w:rPr>
          <w:w w:val="112"/>
        </w:rPr>
        <w:t>mismo</w:t>
      </w:r>
      <w:r>
        <w:rPr/>
        <w:t> </w:t>
      </w:r>
      <w:r>
        <w:rPr>
          <w:w w:val="108"/>
        </w:rPr>
        <w:t>intervalo</w:t>
      </w:r>
      <w:r>
        <w:rPr/>
        <w:t> </w:t>
      </w:r>
      <w:r>
        <w:rPr>
          <w:w w:val="110"/>
        </w:rPr>
        <w:t>temporal.</w:t>
      </w:r>
      <w:r>
        <w:rPr>
          <w:w w:val="103"/>
          <w:position w:val="6"/>
          <w:sz w:val="11"/>
        </w:rPr>
        <w:t>12</w:t>
      </w:r>
      <w:r>
        <w:rPr>
          <w:position w:val="6"/>
          <w:sz w:val="11"/>
        </w:rPr>
        <w:t>  </w:t>
      </w:r>
      <w:r>
        <w:rPr>
          <w:w w:val="243"/>
        </w:rPr>
        <w:t>l</w:t>
      </w:r>
      <w:r>
        <w:rPr>
          <w:w w:val="109"/>
        </w:rPr>
        <w:t>as</w:t>
      </w:r>
      <w:r>
        <w:rPr/>
        <w:t> </w:t>
      </w:r>
      <w:r>
        <w:rPr>
          <w:w w:val="108"/>
        </w:rPr>
        <w:t>tasas</w:t>
      </w:r>
      <w:r>
        <w:rPr/>
        <w:t> </w:t>
      </w:r>
      <w:r>
        <w:rPr>
          <w:w w:val="107"/>
        </w:rPr>
        <w:t>de</w:t>
      </w:r>
      <w:r>
        <w:rPr/>
        <w:t> </w:t>
      </w:r>
      <w:r>
        <w:rPr>
          <w:w w:val="108"/>
        </w:rPr>
        <w:t>desempleo </w:t>
      </w:r>
      <w:r>
        <w:rPr>
          <w:w w:val="110"/>
        </w:rPr>
        <w:t>promedio se mantienen en niveles altos en Estados unidos y Europa, alcanzando principalmente a la juventud, y los salarios reales se man- tienen deprimidos, situándose en Estados unidos en niveles inferiores a los del inicio de la década de  1970.</w:t>
      </w:r>
    </w:p>
    <w:p>
      <w:pPr>
        <w:pStyle w:val="BodyText"/>
        <w:spacing w:line="252" w:lineRule="auto"/>
        <w:ind w:left="120" w:right="327" w:firstLine="396"/>
        <w:jc w:val="both"/>
      </w:pPr>
      <w:r>
        <w:rPr>
          <w:w w:val="110"/>
        </w:rPr>
        <w:t>En Europa, la crisis del bipartidismo se manifiesta por dos fac- tores: por la caída de la participación de los dos principales partidos en el Parlamento europeo y por el aumento de la abstención. desde 1999, la participación de las dos principales coaliciones partidarias en el</w:t>
      </w:r>
      <w:r>
        <w:rPr>
          <w:spacing w:val="-5"/>
          <w:w w:val="110"/>
        </w:rPr>
        <w:t> </w:t>
      </w:r>
      <w:r>
        <w:rPr>
          <w:w w:val="110"/>
        </w:rPr>
        <w:t>Parlamento</w:t>
      </w:r>
      <w:r>
        <w:rPr>
          <w:spacing w:val="-5"/>
          <w:w w:val="110"/>
        </w:rPr>
        <w:t> </w:t>
      </w:r>
      <w:r>
        <w:rPr>
          <w:w w:val="110"/>
        </w:rPr>
        <w:t>–de</w:t>
      </w:r>
      <w:r>
        <w:rPr>
          <w:spacing w:val="-5"/>
          <w:w w:val="110"/>
        </w:rPr>
        <w:t> </w:t>
      </w:r>
      <w:r>
        <w:rPr>
          <w:w w:val="110"/>
        </w:rPr>
        <w:t>centro-derecha</w:t>
      </w:r>
      <w:r>
        <w:rPr>
          <w:spacing w:val="-5"/>
          <w:w w:val="110"/>
        </w:rPr>
        <w:t> </w:t>
      </w:r>
      <w:r>
        <w:rPr>
          <w:w w:val="110"/>
        </w:rPr>
        <w:t>y</w:t>
      </w:r>
      <w:r>
        <w:rPr>
          <w:spacing w:val="-5"/>
          <w:w w:val="110"/>
        </w:rPr>
        <w:t> </w:t>
      </w:r>
      <w:r>
        <w:rPr>
          <w:w w:val="110"/>
        </w:rPr>
        <w:t>centro-izquierda–</w:t>
      </w:r>
      <w:r>
        <w:rPr>
          <w:spacing w:val="-5"/>
          <w:w w:val="110"/>
        </w:rPr>
        <w:t> </w:t>
      </w:r>
      <w:r>
        <w:rPr>
          <w:w w:val="110"/>
        </w:rPr>
        <w:t>cayó</w:t>
      </w:r>
      <w:r>
        <w:rPr>
          <w:spacing w:val="-5"/>
          <w:w w:val="110"/>
        </w:rPr>
        <w:t> </w:t>
      </w:r>
      <w:r>
        <w:rPr>
          <w:w w:val="110"/>
        </w:rPr>
        <w:t>de</w:t>
      </w:r>
      <w:r>
        <w:rPr>
          <w:spacing w:val="-5"/>
          <w:w w:val="110"/>
        </w:rPr>
        <w:t> </w:t>
      </w:r>
      <w:r>
        <w:rPr>
          <w:w w:val="110"/>
        </w:rPr>
        <w:t>66%</w:t>
      </w:r>
      <w:r>
        <w:rPr>
          <w:spacing w:val="-5"/>
          <w:w w:val="110"/>
        </w:rPr>
        <w:t> </w:t>
      </w:r>
      <w:r>
        <w:rPr>
          <w:w w:val="110"/>
        </w:rPr>
        <w:t>de los escaños a 54.8% en 2014. Por otro lado, la tasa de participación  del electorado se ha venido reduciendo progresivamente desde 1979, pasando de 62 a 42.5% en 2014. En Estados unidos, el sistema </w:t>
      </w:r>
      <w:r>
        <w:rPr>
          <w:spacing w:val="-3"/>
          <w:w w:val="110"/>
        </w:rPr>
        <w:t>bipar- </w:t>
      </w:r>
      <w:r>
        <w:rPr>
          <w:w w:val="110"/>
        </w:rPr>
        <w:t>tidista es mucho más sólido pero también ha sufrido desgaste. investi- gaciones de Gallup indican que la parte de la población que considera necesaria la creación de un tercer partido se elevó de 40% en enero </w:t>
      </w:r>
      <w:r>
        <w:rPr>
          <w:w w:val="107"/>
        </w:rPr>
        <w:t>de</w:t>
      </w:r>
      <w:r>
        <w:rPr>
          <w:spacing w:val="20"/>
        </w:rPr>
        <w:t> </w:t>
      </w:r>
      <w:r>
        <w:rPr>
          <w:w w:val="102"/>
        </w:rPr>
        <w:t>2004</w:t>
      </w:r>
      <w:r>
        <w:rPr>
          <w:spacing w:val="20"/>
        </w:rPr>
        <w:t> </w:t>
      </w:r>
      <w:r>
        <w:rPr>
          <w:w w:val="112"/>
        </w:rPr>
        <w:t>a</w:t>
      </w:r>
      <w:r>
        <w:rPr>
          <w:spacing w:val="20"/>
        </w:rPr>
        <w:t> </w:t>
      </w:r>
      <w:r>
        <w:rPr>
          <w:w w:val="102"/>
        </w:rPr>
        <w:t>58%</w:t>
      </w:r>
      <w:r>
        <w:rPr>
          <w:spacing w:val="20"/>
        </w:rPr>
        <w:t> </w:t>
      </w:r>
      <w:r>
        <w:rPr>
          <w:w w:val="108"/>
        </w:rPr>
        <w:t>en</w:t>
      </w:r>
      <w:r>
        <w:rPr>
          <w:spacing w:val="20"/>
        </w:rPr>
        <w:t> </w:t>
      </w:r>
      <w:r>
        <w:rPr>
          <w:w w:val="107"/>
        </w:rPr>
        <w:t>enero</w:t>
      </w:r>
      <w:r>
        <w:rPr>
          <w:spacing w:val="20"/>
        </w:rPr>
        <w:t> </w:t>
      </w:r>
      <w:r>
        <w:rPr>
          <w:w w:val="107"/>
        </w:rPr>
        <w:t>de</w:t>
      </w:r>
      <w:r>
        <w:rPr>
          <w:spacing w:val="20"/>
        </w:rPr>
        <w:t> </w:t>
      </w:r>
      <w:r>
        <w:rPr>
          <w:w w:val="105"/>
        </w:rPr>
        <w:t>2014.</w:t>
      </w:r>
      <w:r>
        <w:rPr>
          <w:spacing w:val="20"/>
        </w:rPr>
        <w:t> </w:t>
      </w:r>
      <w:r>
        <w:rPr>
          <w:w w:val="243"/>
        </w:rPr>
        <w:t>l</w:t>
      </w:r>
      <w:r>
        <w:rPr>
          <w:w w:val="112"/>
        </w:rPr>
        <w:t>a</w:t>
      </w:r>
      <w:r>
        <w:rPr>
          <w:spacing w:val="20"/>
        </w:rPr>
        <w:t> </w:t>
      </w:r>
      <w:r>
        <w:rPr>
          <w:w w:val="112"/>
        </w:rPr>
        <w:t>misma</w:t>
      </w:r>
      <w:r>
        <w:rPr>
          <w:spacing w:val="20"/>
        </w:rPr>
        <w:t> </w:t>
      </w:r>
      <w:r>
        <w:rPr>
          <w:w w:val="111"/>
        </w:rPr>
        <w:t>institución</w:t>
      </w:r>
      <w:r>
        <w:rPr>
          <w:spacing w:val="20"/>
        </w:rPr>
        <w:t> </w:t>
      </w:r>
      <w:r>
        <w:rPr>
          <w:w w:val="109"/>
        </w:rPr>
        <w:t>señala</w:t>
      </w:r>
      <w:r>
        <w:rPr>
          <w:spacing w:val="20"/>
        </w:rPr>
        <w:t> </w:t>
      </w:r>
      <w:r>
        <w:rPr>
          <w:w w:val="108"/>
        </w:rPr>
        <w:t>que</w:t>
      </w:r>
      <w:r>
        <w:rPr>
          <w:spacing w:val="20"/>
        </w:rPr>
        <w:t> </w:t>
      </w:r>
      <w:r>
        <w:rPr>
          <w:w w:val="111"/>
        </w:rPr>
        <w:t>la </w:t>
      </w:r>
      <w:r>
        <w:rPr>
          <w:w w:val="110"/>
        </w:rPr>
        <w:t>confianza en el Poder Ejecutivo osciló de 70% en 1972 a 60%, aproxi- madamente, entre 1978 y 2001 –destacándose una aguda caída hasta de 40% en la administración Nixon–, elevándose nuevamente a 70% durante el pos 11 de septiembre para tener una drástica caída al final del gobierno de George bush, cercana al 40%. se elevó en el gobierno de obama hasta 56%, pero cayó nuevamente a 43% en 2014. un des- </w:t>
      </w:r>
      <w:r>
        <w:rPr>
          <w:w w:val="109"/>
        </w:rPr>
        <w:t>censo</w:t>
      </w:r>
      <w:r>
        <w:rPr>
          <w:spacing w:val="12"/>
        </w:rPr>
        <w:t> </w:t>
      </w:r>
      <w:r>
        <w:rPr>
          <w:w w:val="111"/>
        </w:rPr>
        <w:t>más</w:t>
      </w:r>
      <w:r>
        <w:rPr>
          <w:spacing w:val="12"/>
        </w:rPr>
        <w:t> </w:t>
      </w:r>
      <w:r>
        <w:rPr>
          <w:w w:val="109"/>
        </w:rPr>
        <w:t>drástico</w:t>
      </w:r>
      <w:r>
        <w:rPr>
          <w:spacing w:val="12"/>
        </w:rPr>
        <w:t> </w:t>
      </w:r>
      <w:r>
        <w:rPr>
          <w:w w:val="110"/>
        </w:rPr>
        <w:t>sufrió</w:t>
      </w:r>
      <w:r>
        <w:rPr>
          <w:spacing w:val="12"/>
        </w:rPr>
        <w:t> </w:t>
      </w:r>
      <w:r>
        <w:rPr>
          <w:w w:val="107"/>
        </w:rPr>
        <w:t>el</w:t>
      </w:r>
      <w:r>
        <w:rPr>
          <w:spacing w:val="12"/>
        </w:rPr>
        <w:t> </w:t>
      </w:r>
      <w:r>
        <w:rPr>
          <w:w w:val="108"/>
        </w:rPr>
        <w:t>Poder</w:t>
      </w:r>
      <w:r>
        <w:rPr>
          <w:spacing w:val="12"/>
        </w:rPr>
        <w:t> </w:t>
      </w:r>
      <w:r>
        <w:rPr>
          <w:w w:val="243"/>
        </w:rPr>
        <w:t>l</w:t>
      </w:r>
      <w:r>
        <w:rPr>
          <w:w w:val="110"/>
        </w:rPr>
        <w:t>egislativo,</w:t>
      </w:r>
      <w:r>
        <w:rPr>
          <w:spacing w:val="12"/>
        </w:rPr>
        <w:t> </w:t>
      </w:r>
      <w:r>
        <w:rPr>
          <w:w w:val="107"/>
        </w:rPr>
        <w:t>de</w:t>
      </w:r>
      <w:r>
        <w:rPr>
          <w:spacing w:val="12"/>
        </w:rPr>
        <w:t> </w:t>
      </w:r>
      <w:r>
        <w:rPr>
          <w:w w:val="102"/>
        </w:rPr>
        <w:t>65%</w:t>
      </w:r>
      <w:r>
        <w:rPr>
          <w:spacing w:val="12"/>
        </w:rPr>
        <w:t> </w:t>
      </w:r>
      <w:r>
        <w:rPr>
          <w:w w:val="108"/>
        </w:rPr>
        <w:t>en</w:t>
      </w:r>
      <w:r>
        <w:rPr>
          <w:spacing w:val="12"/>
        </w:rPr>
        <w:t> </w:t>
      </w:r>
      <w:r>
        <w:rPr>
          <w:w w:val="102"/>
        </w:rPr>
        <w:t>2002</w:t>
      </w:r>
      <w:r>
        <w:rPr>
          <w:spacing w:val="12"/>
        </w:rPr>
        <w:t> </w:t>
      </w:r>
      <w:r>
        <w:rPr>
          <w:w w:val="112"/>
        </w:rPr>
        <w:t>a</w:t>
      </w:r>
      <w:r>
        <w:rPr>
          <w:spacing w:val="12"/>
        </w:rPr>
        <w:t> </w:t>
      </w:r>
      <w:r>
        <w:rPr>
          <w:w w:val="102"/>
        </w:rPr>
        <w:t>28% </w:t>
      </w:r>
      <w:r>
        <w:rPr>
          <w:w w:val="108"/>
        </w:rPr>
        <w:t>en</w:t>
      </w:r>
      <w:r>
        <w:rPr/>
        <w:t> </w:t>
      </w:r>
      <w:r>
        <w:rPr>
          <w:spacing w:val="-14"/>
        </w:rPr>
        <w:t> </w:t>
      </w:r>
      <w:r>
        <w:rPr>
          <w:w w:val="105"/>
        </w:rPr>
        <w:t>2014.</w:t>
      </w:r>
      <w:r>
        <w:rPr/>
        <w:t> </w:t>
      </w:r>
      <w:r>
        <w:rPr>
          <w:spacing w:val="-14"/>
        </w:rPr>
        <w:t> </w:t>
      </w:r>
      <w:r>
        <w:rPr>
          <w:w w:val="243"/>
        </w:rPr>
        <w:t>l</w:t>
      </w:r>
      <w:r>
        <w:rPr>
          <w:w w:val="112"/>
        </w:rPr>
        <w:t>a</w:t>
      </w:r>
      <w:r>
        <w:rPr/>
        <w:t> </w:t>
      </w:r>
      <w:r>
        <w:rPr>
          <w:spacing w:val="-14"/>
        </w:rPr>
        <w:t> </w:t>
      </w:r>
      <w:r>
        <w:rPr>
          <w:w w:val="110"/>
        </w:rPr>
        <w:t>elección</w:t>
      </w:r>
      <w:r>
        <w:rPr/>
        <w:t> </w:t>
      </w:r>
      <w:r>
        <w:rPr>
          <w:spacing w:val="-14"/>
        </w:rPr>
        <w:t> </w:t>
      </w:r>
      <w:r>
        <w:rPr>
          <w:w w:val="107"/>
        </w:rPr>
        <w:t>de</w:t>
      </w:r>
      <w:r>
        <w:rPr/>
        <w:t> </w:t>
      </w:r>
      <w:r>
        <w:rPr>
          <w:spacing w:val="-14"/>
        </w:rPr>
        <w:t> </w:t>
      </w:r>
      <w:r>
        <w:rPr>
          <w:w w:val="149"/>
        </w:rPr>
        <w:t>o</w:t>
      </w:r>
      <w:r>
        <w:rPr>
          <w:w w:val="114"/>
        </w:rPr>
        <w:t>bama,</w:t>
      </w:r>
      <w:r>
        <w:rPr/>
        <w:t> </w:t>
      </w:r>
      <w:r>
        <w:rPr>
          <w:spacing w:val="-14"/>
        </w:rPr>
        <w:t> </w:t>
      </w:r>
      <w:r>
        <w:rPr>
          <w:w w:val="112"/>
        </w:rPr>
        <w:t>un</w:t>
      </w:r>
      <w:r>
        <w:rPr/>
        <w:t> </w:t>
      </w:r>
      <w:r>
        <w:rPr>
          <w:spacing w:val="-14"/>
        </w:rPr>
        <w:t> </w:t>
      </w:r>
      <w:r>
        <w:rPr>
          <w:w w:val="107"/>
        </w:rPr>
        <w:t>presidente</w:t>
      </w:r>
      <w:r>
        <w:rPr/>
        <w:t> </w:t>
      </w:r>
      <w:r>
        <w:rPr>
          <w:spacing w:val="-14"/>
        </w:rPr>
        <w:t> </w:t>
      </w:r>
      <w:r>
        <w:rPr>
          <w:w w:val="111"/>
        </w:rPr>
        <w:t>negro,</w:t>
      </w:r>
      <w:r>
        <w:rPr/>
        <w:t> </w:t>
      </w:r>
      <w:r>
        <w:rPr>
          <w:spacing w:val="-14"/>
        </w:rPr>
        <w:t> </w:t>
      </w:r>
      <w:r>
        <w:rPr>
          <w:w w:val="107"/>
        </w:rPr>
        <w:t>el</w:t>
      </w:r>
      <w:r>
        <w:rPr/>
        <w:t> </w:t>
      </w:r>
      <w:r>
        <w:rPr>
          <w:spacing w:val="-14"/>
        </w:rPr>
        <w:t> </w:t>
      </w:r>
      <w:r>
        <w:rPr>
          <w:w w:val="111"/>
        </w:rPr>
        <w:t>más</w:t>
      </w:r>
      <w:r>
        <w:rPr/>
        <w:t> </w:t>
      </w:r>
      <w:r>
        <w:rPr>
          <w:spacing w:val="-14"/>
        </w:rPr>
        <w:t> </w:t>
      </w:r>
      <w:r>
        <w:rPr>
          <w:w w:val="108"/>
        </w:rPr>
        <w:t>votado </w:t>
      </w:r>
      <w:r>
        <w:rPr>
          <w:w w:val="110"/>
        </w:rPr>
        <w:t>de la historia de Estados unidos, motivando en 2008 la mayor partici- pación electoral estadounidense desde 1968, refuerza la desconfianza en las élites anglosajonas tradicionales y el deseo de cambio, lo que se acentúa con la caída de su popularidad e incapacidad de restablecer  la confianza en el sistema </w:t>
      </w:r>
      <w:r>
        <w:rPr>
          <w:spacing w:val="13"/>
          <w:w w:val="110"/>
        </w:rPr>
        <w:t> </w:t>
      </w:r>
      <w:r>
        <w:rPr>
          <w:w w:val="110"/>
        </w:rPr>
        <w:t>político.</w:t>
      </w:r>
    </w:p>
    <w:p>
      <w:pPr>
        <w:pStyle w:val="BodyText"/>
        <w:spacing w:line="252" w:lineRule="auto"/>
        <w:ind w:left="120" w:right="327" w:firstLine="396"/>
        <w:jc w:val="both"/>
      </w:pPr>
      <w:r>
        <w:rPr>
          <w:w w:val="243"/>
        </w:rPr>
        <w:t>l</w:t>
      </w:r>
      <w:r>
        <w:rPr>
          <w:w w:val="112"/>
        </w:rPr>
        <w:t>a</w:t>
      </w:r>
      <w:r>
        <w:rPr/>
        <w:t> </w:t>
      </w:r>
      <w:r>
        <w:rPr>
          <w:spacing w:val="1"/>
        </w:rPr>
        <w:t> </w:t>
      </w:r>
      <w:r>
        <w:rPr>
          <w:w w:val="112"/>
        </w:rPr>
        <w:t>disminución</w:t>
      </w:r>
      <w:r>
        <w:rPr/>
        <w:t> </w:t>
      </w:r>
      <w:r>
        <w:rPr>
          <w:spacing w:val="1"/>
        </w:rPr>
        <w:t> </w:t>
      </w:r>
      <w:r>
        <w:rPr>
          <w:w w:val="112"/>
        </w:rPr>
        <w:t>continua</w:t>
      </w:r>
      <w:r>
        <w:rPr/>
        <w:t> </w:t>
      </w:r>
      <w:r>
        <w:rPr>
          <w:spacing w:val="1"/>
        </w:rPr>
        <w:t> </w:t>
      </w:r>
      <w:r>
        <w:rPr>
          <w:w w:val="107"/>
        </w:rPr>
        <w:t>de</w:t>
      </w:r>
      <w:r>
        <w:rPr/>
        <w:t> </w:t>
      </w:r>
      <w:r>
        <w:rPr>
          <w:spacing w:val="1"/>
        </w:rPr>
        <w:t> </w:t>
      </w:r>
      <w:r>
        <w:rPr>
          <w:w w:val="108"/>
        </w:rPr>
        <w:t>los</w:t>
      </w:r>
      <w:r>
        <w:rPr/>
        <w:t> </w:t>
      </w:r>
      <w:r>
        <w:rPr>
          <w:spacing w:val="1"/>
        </w:rPr>
        <w:t> </w:t>
      </w:r>
      <w:r>
        <w:rPr>
          <w:w w:val="107"/>
        </w:rPr>
        <w:t>electores</w:t>
      </w:r>
      <w:r>
        <w:rPr/>
        <w:t> </w:t>
      </w:r>
      <w:r>
        <w:rPr>
          <w:spacing w:val="1"/>
        </w:rPr>
        <w:t> </w:t>
      </w:r>
      <w:r>
        <w:rPr>
          <w:w w:val="111"/>
        </w:rPr>
        <w:t>blancos</w:t>
      </w:r>
      <w:r>
        <w:rPr/>
        <w:t> </w:t>
      </w:r>
      <w:r>
        <w:rPr>
          <w:spacing w:val="1"/>
        </w:rPr>
        <w:t> </w:t>
      </w:r>
      <w:r>
        <w:rPr>
          <w:w w:val="105"/>
        </w:rPr>
        <w:t>–de</w:t>
      </w:r>
      <w:r>
        <w:rPr/>
        <w:t> </w:t>
      </w:r>
      <w:r>
        <w:rPr>
          <w:spacing w:val="1"/>
        </w:rPr>
        <w:t> </w:t>
      </w:r>
      <w:r>
        <w:rPr>
          <w:w w:val="102"/>
        </w:rPr>
        <w:t>89%</w:t>
      </w:r>
      <w:r>
        <w:rPr/>
        <w:t> </w:t>
      </w:r>
      <w:r>
        <w:rPr>
          <w:spacing w:val="1"/>
        </w:rPr>
        <w:t> </w:t>
      </w:r>
      <w:r>
        <w:rPr>
          <w:w w:val="107"/>
        </w:rPr>
        <w:t>del </w:t>
      </w:r>
      <w:r>
        <w:rPr>
          <w:w w:val="110"/>
        </w:rPr>
        <w:t>total en 1976 a 72% en 2012–; el aumento de la participación en la población negra, latinoamericana y asiática, así como el incremen-     to de la desigualdad social y la financiarización presionan al sistema político hacia la polarización, reduciendo el espacio estructural de le- </w:t>
      </w:r>
      <w:r>
        <w:rPr>
          <w:w w:val="111"/>
        </w:rPr>
        <w:t>gitimidad</w:t>
      </w:r>
      <w:r>
        <w:rPr/>
        <w:t> </w:t>
      </w:r>
      <w:r>
        <w:rPr>
          <w:spacing w:val="-14"/>
        </w:rPr>
        <w:t> </w:t>
      </w:r>
      <w:r>
        <w:rPr>
          <w:w w:val="107"/>
        </w:rPr>
        <w:t>de</w:t>
      </w:r>
      <w:r>
        <w:rPr/>
        <w:t> </w:t>
      </w:r>
      <w:r>
        <w:rPr>
          <w:spacing w:val="-14"/>
        </w:rPr>
        <w:t> </w:t>
      </w:r>
      <w:r>
        <w:rPr>
          <w:w w:val="112"/>
        </w:rPr>
        <w:t>una</w:t>
      </w:r>
      <w:r>
        <w:rPr/>
        <w:t> </w:t>
      </w:r>
      <w:r>
        <w:rPr>
          <w:spacing w:val="-14"/>
        </w:rPr>
        <w:t> </w:t>
      </w:r>
      <w:r>
        <w:rPr>
          <w:w w:val="111"/>
        </w:rPr>
        <w:t>política</w:t>
      </w:r>
      <w:r>
        <w:rPr/>
        <w:t> </w:t>
      </w:r>
      <w:r>
        <w:rPr>
          <w:spacing w:val="-14"/>
        </w:rPr>
        <w:t> </w:t>
      </w:r>
      <w:r>
        <w:rPr>
          <w:w w:val="110"/>
        </w:rPr>
        <w:t>centrista.</w:t>
      </w:r>
      <w:r>
        <w:rPr/>
        <w:t> </w:t>
      </w:r>
      <w:r>
        <w:rPr>
          <w:spacing w:val="-14"/>
        </w:rPr>
        <w:t> </w:t>
      </w:r>
      <w:r>
        <w:rPr>
          <w:w w:val="243"/>
        </w:rPr>
        <w:t>l</w:t>
      </w:r>
      <w:r>
        <w:rPr>
          <w:w w:val="112"/>
        </w:rPr>
        <w:t>a</w:t>
      </w:r>
      <w:r>
        <w:rPr/>
        <w:t> </w:t>
      </w:r>
      <w:r>
        <w:rPr>
          <w:spacing w:val="-14"/>
        </w:rPr>
        <w:t> </w:t>
      </w:r>
      <w:r>
        <w:rPr>
          <w:w w:val="111"/>
        </w:rPr>
        <w:t>forma</w:t>
      </w:r>
      <w:r>
        <w:rPr/>
        <w:t> </w:t>
      </w:r>
      <w:r>
        <w:rPr>
          <w:spacing w:val="-14"/>
        </w:rPr>
        <w:t> </w:t>
      </w:r>
      <w:r>
        <w:rPr>
          <w:w w:val="108"/>
        </w:rPr>
        <w:t>que</w:t>
      </w:r>
      <w:r>
        <w:rPr/>
        <w:t> </w:t>
      </w:r>
      <w:r>
        <w:rPr>
          <w:spacing w:val="-14"/>
        </w:rPr>
        <w:t> </w:t>
      </w:r>
      <w:r>
        <w:rPr>
          <w:w w:val="106"/>
        </w:rPr>
        <w:t>esto</w:t>
      </w:r>
      <w:r>
        <w:rPr/>
        <w:t> </w:t>
      </w:r>
      <w:r>
        <w:rPr>
          <w:spacing w:val="-14"/>
        </w:rPr>
        <w:t> </w:t>
      </w:r>
      <w:r>
        <w:rPr>
          <w:w w:val="109"/>
        </w:rPr>
        <w:t>podría</w:t>
      </w:r>
      <w:r>
        <w:rPr/>
        <w:t> </w:t>
      </w:r>
      <w:r>
        <w:rPr>
          <w:spacing w:val="-14"/>
        </w:rPr>
        <w:t> </w:t>
      </w:r>
      <w:r>
        <w:rPr>
          <w:w w:val="110"/>
        </w:rPr>
        <w:t>tomar </w:t>
      </w:r>
      <w:r>
        <w:rPr>
          <w:w w:val="110"/>
        </w:rPr>
        <w:t>en Estados unidos en las próximas décadas es impredecible: ¿podrá  el Partido demócrata inclinarse hacia la izquierda y el republicano hacia la derecha, atendiendo a esta polarización? ¿o en el límite  </w:t>
      </w:r>
      <w:r>
        <w:rPr>
          <w:spacing w:val="12"/>
          <w:w w:val="110"/>
        </w:rPr>
        <w:t> </w:t>
      </w:r>
      <w:r>
        <w:rPr>
          <w:w w:val="110"/>
        </w:rPr>
        <w:t>estos</w:t>
      </w:r>
    </w:p>
    <w:p>
      <w:pPr>
        <w:pStyle w:val="BodyText"/>
        <w:spacing w:before="4"/>
      </w:pPr>
      <w:r>
        <w:rPr/>
        <w:pict>
          <v:line style="position:absolute;mso-position-horizontal-relative:page;mso-position-vertical-relative:paragraph;z-index:1888;mso-wrap-distance-left:0;mso-wrap-distance-right:0" from="51.023602pt,13.563634pt" to="79.369602pt,13.563634pt" stroked="true" strokeweight=".5pt" strokecolor="#000000">
            <w10:wrap type="topAndBottom"/>
          </v:line>
        </w:pict>
      </w:r>
    </w:p>
    <w:p>
      <w:pPr>
        <w:pStyle w:val="ListParagraph"/>
        <w:numPr>
          <w:ilvl w:val="0"/>
          <w:numId w:val="2"/>
        </w:numPr>
        <w:tabs>
          <w:tab w:pos="376" w:val="left" w:leader="none"/>
        </w:tabs>
        <w:spacing w:line="242" w:lineRule="auto" w:before="89" w:after="0"/>
        <w:ind w:left="120" w:right="328" w:firstLine="0"/>
        <w:jc w:val="left"/>
        <w:rPr>
          <w:sz w:val="16"/>
        </w:rPr>
      </w:pPr>
      <w:r>
        <w:rPr>
          <w:spacing w:val="-3"/>
          <w:w w:val="105"/>
          <w:sz w:val="16"/>
        </w:rPr>
        <w:t>Véase </w:t>
      </w:r>
      <w:r>
        <w:rPr>
          <w:i/>
          <w:w w:val="105"/>
          <w:sz w:val="16"/>
        </w:rPr>
        <w:t>The Economic Report of The President </w:t>
      </w:r>
      <w:r>
        <w:rPr>
          <w:w w:val="105"/>
          <w:sz w:val="16"/>
        </w:rPr>
        <w:t>(2014) y </w:t>
      </w:r>
      <w:r>
        <w:rPr>
          <w:i/>
          <w:w w:val="105"/>
          <w:sz w:val="16"/>
        </w:rPr>
        <w:t>Capital in the Twenty-First </w:t>
      </w:r>
      <w:r>
        <w:rPr>
          <w:i/>
          <w:w w:val="105"/>
          <w:sz w:val="16"/>
        </w:rPr>
        <w:t>Century  </w:t>
      </w:r>
      <w:r>
        <w:rPr>
          <w:w w:val="105"/>
          <w:sz w:val="16"/>
        </w:rPr>
        <w:t>(2014)  de  thomas</w:t>
      </w:r>
      <w:r>
        <w:rPr>
          <w:spacing w:val="-4"/>
          <w:w w:val="105"/>
          <w:sz w:val="16"/>
        </w:rPr>
        <w:t> </w:t>
      </w:r>
      <w:r>
        <w:rPr>
          <w:spacing w:val="-3"/>
          <w:w w:val="105"/>
          <w:sz w:val="16"/>
        </w:rPr>
        <w:t>Piketty.</w:t>
      </w:r>
    </w:p>
    <w:p>
      <w:pPr>
        <w:spacing w:after="0" w:line="242" w:lineRule="auto"/>
        <w:jc w:val="left"/>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partidos podrán escindirse, creándose un partido a la izquierda del Partido demócrata y otro a la derecha del Partido    republicano?</w:t>
      </w:r>
    </w:p>
    <w:p>
      <w:pPr>
        <w:pStyle w:val="BodyText"/>
        <w:spacing w:before="5"/>
      </w:pPr>
    </w:p>
    <w:p>
      <w:pPr>
        <w:pStyle w:val="Heading6"/>
        <w:spacing w:line="244" w:lineRule="auto"/>
        <w:ind w:left="331" w:right="734"/>
        <w:jc w:val="left"/>
      </w:pPr>
      <w:r>
        <w:rPr>
          <w:spacing w:val="3"/>
          <w:w w:val="135"/>
        </w:rPr>
        <w:t>la</w:t>
      </w:r>
      <w:r>
        <w:rPr>
          <w:spacing w:val="-39"/>
          <w:w w:val="135"/>
        </w:rPr>
        <w:t> </w:t>
      </w:r>
      <w:r>
        <w:rPr>
          <w:spacing w:val="2"/>
          <w:w w:val="135"/>
        </w:rPr>
        <w:t>ascensión</w:t>
      </w:r>
      <w:r>
        <w:rPr>
          <w:spacing w:val="-39"/>
          <w:w w:val="135"/>
        </w:rPr>
        <w:t> </w:t>
      </w:r>
      <w:r>
        <w:rPr>
          <w:w w:val="135"/>
        </w:rPr>
        <w:t>de</w:t>
      </w:r>
      <w:r>
        <w:rPr>
          <w:spacing w:val="-39"/>
          <w:w w:val="135"/>
        </w:rPr>
        <w:t> </w:t>
      </w:r>
      <w:r>
        <w:rPr>
          <w:w w:val="135"/>
        </w:rPr>
        <w:t>cHina</w:t>
      </w:r>
      <w:r>
        <w:rPr>
          <w:spacing w:val="-39"/>
          <w:w w:val="135"/>
        </w:rPr>
        <w:t> </w:t>
      </w:r>
      <w:r>
        <w:rPr>
          <w:w w:val="135"/>
        </w:rPr>
        <w:t>y</w:t>
      </w:r>
      <w:r>
        <w:rPr>
          <w:spacing w:val="-39"/>
          <w:w w:val="135"/>
        </w:rPr>
        <w:t> </w:t>
      </w:r>
      <w:r>
        <w:rPr>
          <w:w w:val="135"/>
        </w:rPr>
        <w:t>los</w:t>
      </w:r>
      <w:r>
        <w:rPr>
          <w:spacing w:val="-39"/>
          <w:w w:val="135"/>
        </w:rPr>
        <w:t> </w:t>
      </w:r>
      <w:r>
        <w:rPr>
          <w:w w:val="135"/>
        </w:rPr>
        <w:t>Brics:</w:t>
      </w:r>
      <w:r>
        <w:rPr>
          <w:spacing w:val="-40"/>
          <w:w w:val="135"/>
        </w:rPr>
        <w:t> </w:t>
      </w:r>
      <w:r>
        <w:rPr>
          <w:w w:val="135"/>
        </w:rPr>
        <w:t>¿forMación</w:t>
      </w:r>
      <w:r>
        <w:rPr>
          <w:spacing w:val="-39"/>
          <w:w w:val="135"/>
        </w:rPr>
        <w:t> </w:t>
      </w:r>
      <w:r>
        <w:rPr>
          <w:w w:val="135"/>
        </w:rPr>
        <w:t>de</w:t>
      </w:r>
      <w:r>
        <w:rPr>
          <w:spacing w:val="-39"/>
          <w:w w:val="135"/>
        </w:rPr>
        <w:t> </w:t>
      </w:r>
      <w:r>
        <w:rPr>
          <w:w w:val="135"/>
        </w:rPr>
        <w:t>un </w:t>
      </w:r>
      <w:r>
        <w:rPr>
          <w:spacing w:val="1"/>
          <w:w w:val="128"/>
        </w:rPr>
        <w:t>n</w:t>
      </w:r>
      <w:r>
        <w:rPr>
          <w:spacing w:val="2"/>
          <w:w w:val="131"/>
        </w:rPr>
        <w:t>ue</w:t>
      </w:r>
      <w:r>
        <w:rPr>
          <w:spacing w:val="1"/>
          <w:w w:val="131"/>
        </w:rPr>
        <w:t>v</w:t>
      </w:r>
      <w:r>
        <w:rPr>
          <w:w w:val="145"/>
        </w:rPr>
        <w:t>o</w:t>
      </w:r>
      <w:r>
        <w:rPr>
          <w:spacing w:val="-8"/>
        </w:rPr>
        <w:t> </w:t>
      </w:r>
      <w:r>
        <w:rPr>
          <w:spacing w:val="1"/>
          <w:w w:val="96"/>
        </w:rPr>
        <w:t>B</w:t>
      </w:r>
      <w:r>
        <w:rPr>
          <w:spacing w:val="1"/>
          <w:w w:val="201"/>
        </w:rPr>
        <w:t>l</w:t>
      </w:r>
      <w:r>
        <w:rPr>
          <w:spacing w:val="5"/>
          <w:w w:val="145"/>
        </w:rPr>
        <w:t>o</w:t>
      </w:r>
      <w:r>
        <w:rPr>
          <w:spacing w:val="2"/>
          <w:w w:val="130"/>
        </w:rPr>
        <w:t>q</w:t>
      </w:r>
      <w:r>
        <w:rPr>
          <w:spacing w:val="2"/>
          <w:w w:val="132"/>
        </w:rPr>
        <w:t>u</w:t>
      </w:r>
      <w:r>
        <w:rPr>
          <w:w w:val="132"/>
        </w:rPr>
        <w:t>e</w:t>
      </w:r>
      <w:r>
        <w:rPr>
          <w:spacing w:val="-8"/>
        </w:rPr>
        <w:t> </w:t>
      </w:r>
      <w:r>
        <w:rPr>
          <w:spacing w:val="2"/>
          <w:w w:val="97"/>
        </w:rPr>
        <w:t>H</w:t>
      </w:r>
      <w:r>
        <w:rPr>
          <w:spacing w:val="2"/>
          <w:w w:val="133"/>
        </w:rPr>
        <w:t>i</w:t>
      </w:r>
      <w:r>
        <w:rPr>
          <w:spacing w:val="1"/>
          <w:w w:val="133"/>
        </w:rPr>
        <w:t>s</w:t>
      </w:r>
      <w:r>
        <w:rPr>
          <w:spacing w:val="2"/>
          <w:w w:val="180"/>
        </w:rPr>
        <w:t>t</w:t>
      </w:r>
      <w:r>
        <w:rPr>
          <w:spacing w:val="2"/>
          <w:w w:val="143"/>
        </w:rPr>
        <w:t>óric</w:t>
      </w:r>
      <w:r>
        <w:rPr>
          <w:spacing w:val="1"/>
          <w:w w:val="143"/>
        </w:rPr>
        <w:t>o</w:t>
      </w:r>
      <w:r>
        <w:rPr>
          <w:w w:val="95"/>
        </w:rPr>
        <w:t>?</w:t>
      </w:r>
    </w:p>
    <w:p>
      <w:pPr>
        <w:pStyle w:val="BodyText"/>
        <w:spacing w:line="252" w:lineRule="auto" w:before="5"/>
        <w:ind w:left="330" w:right="117"/>
        <w:jc w:val="both"/>
        <w:rPr>
          <w:sz w:val="11"/>
        </w:rPr>
      </w:pPr>
      <w:r>
        <w:rPr>
          <w:w w:val="110"/>
        </w:rPr>
        <w:t>Entre el siglo </w:t>
      </w:r>
      <w:r>
        <w:rPr>
          <w:w w:val="150"/>
        </w:rPr>
        <w:t>xix </w:t>
      </w:r>
      <w:r>
        <w:rPr>
          <w:w w:val="110"/>
        </w:rPr>
        <w:t>y la mitad del </w:t>
      </w:r>
      <w:r>
        <w:rPr>
          <w:w w:val="150"/>
        </w:rPr>
        <w:t>xx, </w:t>
      </w:r>
      <w:r>
        <w:rPr>
          <w:w w:val="110"/>
        </w:rPr>
        <w:t>el descenso de la participación</w:t>
      </w:r>
      <w:r>
        <w:rPr>
          <w:spacing w:val="-21"/>
          <w:w w:val="110"/>
        </w:rPr>
        <w:t> </w:t>
      </w:r>
      <w:r>
        <w:rPr>
          <w:w w:val="110"/>
        </w:rPr>
        <w:t>de asia en el producto mundial fue drástica, pues entre 1820 y 1950 cayó de 56.2 a 15.5% del Pib mundial, esto benefició a Europa occidental y a Estados unidos, ya que su participación se elevó de 25.4 a 56.9% en el mismo periodo. Específicamente, China sufre una caída de 32.9 a 4.5%,</w:t>
      </w:r>
      <w:r>
        <w:rPr>
          <w:spacing w:val="-8"/>
          <w:w w:val="110"/>
        </w:rPr>
        <w:t> </w:t>
      </w:r>
      <w:r>
        <w:rPr>
          <w:w w:val="110"/>
        </w:rPr>
        <w:t>que</w:t>
      </w:r>
      <w:r>
        <w:rPr>
          <w:spacing w:val="-8"/>
          <w:w w:val="110"/>
        </w:rPr>
        <w:t> </w:t>
      </w:r>
      <w:r>
        <w:rPr>
          <w:w w:val="110"/>
        </w:rPr>
        <w:t>fue</w:t>
      </w:r>
      <w:r>
        <w:rPr>
          <w:spacing w:val="-8"/>
          <w:w w:val="110"/>
        </w:rPr>
        <w:t> </w:t>
      </w:r>
      <w:r>
        <w:rPr>
          <w:w w:val="110"/>
        </w:rPr>
        <w:t>interrumpida</w:t>
      </w:r>
      <w:r>
        <w:rPr>
          <w:spacing w:val="-8"/>
          <w:w w:val="110"/>
        </w:rPr>
        <w:t> </w:t>
      </w:r>
      <w:r>
        <w:rPr>
          <w:w w:val="110"/>
        </w:rPr>
        <w:t>en</w:t>
      </w:r>
      <w:r>
        <w:rPr>
          <w:spacing w:val="-8"/>
          <w:w w:val="110"/>
        </w:rPr>
        <w:t> </w:t>
      </w:r>
      <w:r>
        <w:rPr>
          <w:w w:val="110"/>
        </w:rPr>
        <w:t>1950,</w:t>
      </w:r>
      <w:r>
        <w:rPr>
          <w:spacing w:val="-8"/>
          <w:w w:val="110"/>
        </w:rPr>
        <w:t> </w:t>
      </w:r>
      <w:r>
        <w:rPr>
          <w:w w:val="110"/>
        </w:rPr>
        <w:t>elevándose</w:t>
      </w:r>
      <w:r>
        <w:rPr>
          <w:spacing w:val="-8"/>
          <w:w w:val="110"/>
        </w:rPr>
        <w:t> </w:t>
      </w:r>
      <w:r>
        <w:rPr>
          <w:w w:val="110"/>
        </w:rPr>
        <w:t>discretamente</w:t>
      </w:r>
      <w:r>
        <w:rPr>
          <w:spacing w:val="-8"/>
          <w:w w:val="110"/>
        </w:rPr>
        <w:t> </w:t>
      </w:r>
      <w:r>
        <w:rPr>
          <w:w w:val="110"/>
        </w:rPr>
        <w:t>a</w:t>
      </w:r>
      <w:r>
        <w:rPr>
          <w:spacing w:val="-8"/>
          <w:w w:val="110"/>
        </w:rPr>
        <w:t> </w:t>
      </w:r>
      <w:r>
        <w:rPr>
          <w:w w:val="110"/>
        </w:rPr>
        <w:t>4.6% en 1973, mientras que la participación de la india continuó cayendo, reduciéndose</w:t>
      </w:r>
      <w:r>
        <w:rPr>
          <w:spacing w:val="-12"/>
          <w:w w:val="110"/>
        </w:rPr>
        <w:t> </w:t>
      </w:r>
      <w:r>
        <w:rPr>
          <w:w w:val="110"/>
        </w:rPr>
        <w:t>de</w:t>
      </w:r>
      <w:r>
        <w:rPr>
          <w:spacing w:val="-12"/>
          <w:w w:val="110"/>
        </w:rPr>
        <w:t> </w:t>
      </w:r>
      <w:r>
        <w:rPr>
          <w:w w:val="110"/>
        </w:rPr>
        <w:t>4.2</w:t>
      </w:r>
      <w:r>
        <w:rPr>
          <w:spacing w:val="-12"/>
          <w:w w:val="110"/>
        </w:rPr>
        <w:t> </w:t>
      </w:r>
      <w:r>
        <w:rPr>
          <w:w w:val="110"/>
        </w:rPr>
        <w:t>a</w:t>
      </w:r>
      <w:r>
        <w:rPr>
          <w:spacing w:val="-12"/>
          <w:w w:val="110"/>
        </w:rPr>
        <w:t> </w:t>
      </w:r>
      <w:r>
        <w:rPr>
          <w:w w:val="110"/>
        </w:rPr>
        <w:t>3.1%</w:t>
      </w:r>
      <w:r>
        <w:rPr>
          <w:spacing w:val="-12"/>
          <w:w w:val="110"/>
        </w:rPr>
        <w:t> </w:t>
      </w:r>
      <w:r>
        <w:rPr>
          <w:w w:val="110"/>
        </w:rPr>
        <w:t>entre</w:t>
      </w:r>
      <w:r>
        <w:rPr>
          <w:spacing w:val="-12"/>
          <w:w w:val="110"/>
        </w:rPr>
        <w:t> </w:t>
      </w:r>
      <w:r>
        <w:rPr>
          <w:w w:val="110"/>
        </w:rPr>
        <w:t>1950</w:t>
      </w:r>
      <w:r>
        <w:rPr>
          <w:spacing w:val="-12"/>
          <w:w w:val="110"/>
        </w:rPr>
        <w:t> </w:t>
      </w:r>
      <w:r>
        <w:rPr>
          <w:w w:val="110"/>
        </w:rPr>
        <w:t>y</w:t>
      </w:r>
      <w:r>
        <w:rPr>
          <w:spacing w:val="-12"/>
          <w:w w:val="110"/>
        </w:rPr>
        <w:t> </w:t>
      </w:r>
      <w:r>
        <w:rPr>
          <w:w w:val="110"/>
        </w:rPr>
        <w:t>1973,</w:t>
      </w:r>
      <w:r>
        <w:rPr>
          <w:spacing w:val="-12"/>
          <w:w w:val="110"/>
        </w:rPr>
        <w:t> </w:t>
      </w:r>
      <w:r>
        <w:rPr>
          <w:w w:val="110"/>
        </w:rPr>
        <w:t>desde</w:t>
      </w:r>
      <w:r>
        <w:rPr>
          <w:spacing w:val="-12"/>
          <w:w w:val="110"/>
        </w:rPr>
        <w:t> </w:t>
      </w:r>
      <w:r>
        <w:rPr>
          <w:w w:val="110"/>
        </w:rPr>
        <w:t>una</w:t>
      </w:r>
      <w:r>
        <w:rPr>
          <w:spacing w:val="-12"/>
          <w:w w:val="110"/>
        </w:rPr>
        <w:t> </w:t>
      </w:r>
      <w:r>
        <w:rPr>
          <w:w w:val="110"/>
        </w:rPr>
        <w:t>participación </w:t>
      </w:r>
      <w:r>
        <w:rPr>
          <w:w w:val="107"/>
        </w:rPr>
        <w:t>de</w:t>
      </w:r>
      <w:r>
        <w:rPr/>
        <w:t> </w:t>
      </w:r>
      <w:r>
        <w:rPr>
          <w:spacing w:val="-17"/>
        </w:rPr>
        <w:t> </w:t>
      </w:r>
      <w:r>
        <w:rPr>
          <w:w w:val="102"/>
        </w:rPr>
        <w:t>16%</w:t>
      </w:r>
      <w:r>
        <w:rPr/>
        <w:t> </w:t>
      </w:r>
      <w:r>
        <w:rPr>
          <w:spacing w:val="-17"/>
        </w:rPr>
        <w:t> </w:t>
      </w:r>
      <w:r>
        <w:rPr>
          <w:w w:val="108"/>
        </w:rPr>
        <w:t>en</w:t>
      </w:r>
      <w:r>
        <w:rPr/>
        <w:t> </w:t>
      </w:r>
      <w:r>
        <w:rPr>
          <w:spacing w:val="-17"/>
        </w:rPr>
        <w:t> </w:t>
      </w:r>
      <w:r>
        <w:rPr>
          <w:w w:val="105"/>
        </w:rPr>
        <w:t>1820.</w:t>
      </w:r>
      <w:r>
        <w:rPr/>
        <w:t> </w:t>
      </w:r>
      <w:r>
        <w:rPr>
          <w:spacing w:val="-17"/>
        </w:rPr>
        <w:t> </w:t>
      </w:r>
      <w:r>
        <w:rPr>
          <w:w w:val="243"/>
        </w:rPr>
        <w:t>l</w:t>
      </w:r>
      <w:r>
        <w:rPr>
          <w:w w:val="112"/>
        </w:rPr>
        <w:t>a</w:t>
      </w:r>
      <w:r>
        <w:rPr/>
        <w:t> </w:t>
      </w:r>
      <w:r>
        <w:rPr>
          <w:spacing w:val="-17"/>
        </w:rPr>
        <w:t> </w:t>
      </w:r>
      <w:r>
        <w:rPr>
          <w:w w:val="111"/>
        </w:rPr>
        <w:t>industrialización</w:t>
      </w:r>
      <w:r>
        <w:rPr/>
        <w:t> </w:t>
      </w:r>
      <w:r>
        <w:rPr>
          <w:spacing w:val="-17"/>
        </w:rPr>
        <w:t> </w:t>
      </w:r>
      <w:r>
        <w:rPr>
          <w:w w:val="106"/>
        </w:rPr>
        <w:t>per</w:t>
      </w:r>
      <w:r>
        <w:rPr/>
        <w:t> </w:t>
      </w:r>
      <w:r>
        <w:rPr>
          <w:spacing w:val="-17"/>
        </w:rPr>
        <w:t> </w:t>
      </w:r>
      <w:r>
        <w:rPr>
          <w:w w:val="111"/>
        </w:rPr>
        <w:t>cápita</w:t>
      </w:r>
      <w:r>
        <w:rPr/>
        <w:t> </w:t>
      </w:r>
      <w:r>
        <w:rPr>
          <w:spacing w:val="-17"/>
        </w:rPr>
        <w:t> </w:t>
      </w:r>
      <w:r>
        <w:rPr>
          <w:w w:val="110"/>
        </w:rPr>
        <w:t>disminuyó</w:t>
      </w:r>
      <w:r>
        <w:rPr/>
        <w:t> </w:t>
      </w:r>
      <w:r>
        <w:rPr>
          <w:spacing w:val="-17"/>
        </w:rPr>
        <w:t> </w:t>
      </w:r>
      <w:r>
        <w:rPr>
          <w:w w:val="110"/>
        </w:rPr>
        <w:t>drástic</w:t>
      </w:r>
      <w:r>
        <w:rPr>
          <w:spacing w:val="-1"/>
          <w:w w:val="110"/>
        </w:rPr>
        <w:t>a</w:t>
      </w:r>
      <w:r>
        <w:rPr>
          <w:w w:val="102"/>
        </w:rPr>
        <w:t>- </w:t>
      </w:r>
      <w:r>
        <w:rPr>
          <w:w w:val="110"/>
        </w:rPr>
        <w:t>mente en las periferias del siglo </w:t>
      </w:r>
      <w:r>
        <w:rPr>
          <w:w w:val="150"/>
        </w:rPr>
        <w:t>xix, </w:t>
      </w:r>
      <w:r>
        <w:rPr>
          <w:w w:val="110"/>
        </w:rPr>
        <w:t>cercano a las seis veces en la india, tres veces en el </w:t>
      </w:r>
      <w:r>
        <w:rPr>
          <w:spacing w:val="-3"/>
          <w:w w:val="110"/>
        </w:rPr>
        <w:t>tercer  </w:t>
      </w:r>
      <w:r>
        <w:rPr>
          <w:w w:val="110"/>
        </w:rPr>
        <w:t>Mundo y dos veces en China, al paso       en que se multiplicó por cuatro en reino unido entre 1830 y 1900.      El auge de la civilización capitalista occidental atlantista se dio entre 1820</w:t>
      </w:r>
      <w:r>
        <w:rPr>
          <w:spacing w:val="-25"/>
          <w:w w:val="110"/>
        </w:rPr>
        <w:t> </w:t>
      </w:r>
      <w:r>
        <w:rPr>
          <w:w w:val="110"/>
        </w:rPr>
        <w:t>y</w:t>
      </w:r>
      <w:r>
        <w:rPr>
          <w:spacing w:val="-25"/>
          <w:w w:val="110"/>
        </w:rPr>
        <w:t> </w:t>
      </w:r>
      <w:r>
        <w:rPr>
          <w:w w:val="110"/>
        </w:rPr>
        <w:t>1970.</w:t>
      </w:r>
      <w:r>
        <w:rPr>
          <w:w w:val="110"/>
          <w:position w:val="6"/>
          <w:sz w:val="11"/>
        </w:rPr>
        <w:t>13</w:t>
      </w:r>
    </w:p>
    <w:p>
      <w:pPr>
        <w:pStyle w:val="BodyText"/>
        <w:spacing w:line="252" w:lineRule="auto"/>
        <w:ind w:left="330" w:right="117" w:firstLine="396"/>
        <w:jc w:val="both"/>
      </w:pPr>
      <w:r>
        <w:rPr>
          <w:w w:val="243"/>
        </w:rPr>
        <w:t>l</w:t>
      </w:r>
      <w:r>
        <w:rPr>
          <w:w w:val="112"/>
        </w:rPr>
        <w:t>a</w:t>
      </w:r>
      <w:r>
        <w:rPr>
          <w:spacing w:val="4"/>
        </w:rPr>
        <w:t> </w:t>
      </w:r>
      <w:r>
        <w:rPr>
          <w:w w:val="109"/>
        </w:rPr>
        <w:t>revolución</w:t>
      </w:r>
      <w:r>
        <w:rPr>
          <w:spacing w:val="4"/>
        </w:rPr>
        <w:t> </w:t>
      </w:r>
      <w:r>
        <w:rPr>
          <w:w w:val="110"/>
        </w:rPr>
        <w:t>socialista</w:t>
      </w:r>
      <w:r>
        <w:rPr>
          <w:spacing w:val="4"/>
        </w:rPr>
        <w:t> </w:t>
      </w:r>
      <w:r>
        <w:rPr>
          <w:w w:val="111"/>
        </w:rPr>
        <w:t>maoísta</w:t>
      </w:r>
      <w:r>
        <w:rPr>
          <w:spacing w:val="4"/>
        </w:rPr>
        <w:t> </w:t>
      </w:r>
      <w:r>
        <w:rPr>
          <w:w w:val="110"/>
        </w:rPr>
        <w:t>interrumpió</w:t>
      </w:r>
      <w:r>
        <w:rPr>
          <w:spacing w:val="4"/>
        </w:rPr>
        <w:t> </w:t>
      </w:r>
      <w:r>
        <w:rPr>
          <w:w w:val="107"/>
        </w:rPr>
        <w:t>esta</w:t>
      </w:r>
      <w:r>
        <w:rPr>
          <w:spacing w:val="4"/>
        </w:rPr>
        <w:t> </w:t>
      </w:r>
      <w:r>
        <w:rPr>
          <w:w w:val="112"/>
        </w:rPr>
        <w:t>caída</w:t>
      </w:r>
      <w:r>
        <w:rPr>
          <w:spacing w:val="4"/>
        </w:rPr>
        <w:t> </w:t>
      </w:r>
      <w:r>
        <w:rPr>
          <w:w w:val="108"/>
        </w:rPr>
        <w:t>en</w:t>
      </w:r>
      <w:r>
        <w:rPr>
          <w:spacing w:val="4"/>
        </w:rPr>
        <w:t> </w:t>
      </w:r>
      <w:r>
        <w:rPr>
          <w:w w:val="117"/>
        </w:rPr>
        <w:t>China, </w:t>
      </w:r>
      <w:r>
        <w:rPr>
          <w:w w:val="110"/>
        </w:rPr>
        <w:t>impulsando la industrialización, la reforma agraria, las inversiones en salud y educación y un proceso de acumulación sin expropiación de los trabajadores. sin embargo, la excesiva centralización administrati- va</w:t>
      </w:r>
      <w:r>
        <w:rPr>
          <w:spacing w:val="-6"/>
          <w:w w:val="110"/>
        </w:rPr>
        <w:t> </w:t>
      </w:r>
      <w:r>
        <w:rPr>
          <w:w w:val="110"/>
        </w:rPr>
        <w:t>de</w:t>
      </w:r>
      <w:r>
        <w:rPr>
          <w:spacing w:val="-6"/>
          <w:w w:val="110"/>
        </w:rPr>
        <w:t> </w:t>
      </w:r>
      <w:r>
        <w:rPr>
          <w:w w:val="110"/>
        </w:rPr>
        <w:t>los</w:t>
      </w:r>
      <w:r>
        <w:rPr>
          <w:spacing w:val="-6"/>
          <w:w w:val="110"/>
        </w:rPr>
        <w:t> </w:t>
      </w:r>
      <w:r>
        <w:rPr>
          <w:w w:val="110"/>
        </w:rPr>
        <w:t>procesos</w:t>
      </w:r>
      <w:r>
        <w:rPr>
          <w:spacing w:val="-6"/>
          <w:w w:val="110"/>
        </w:rPr>
        <w:t> </w:t>
      </w:r>
      <w:r>
        <w:rPr>
          <w:w w:val="110"/>
        </w:rPr>
        <w:t>productivos</w:t>
      </w:r>
      <w:r>
        <w:rPr>
          <w:spacing w:val="-6"/>
          <w:w w:val="110"/>
        </w:rPr>
        <w:t> </w:t>
      </w:r>
      <w:r>
        <w:rPr>
          <w:w w:val="110"/>
        </w:rPr>
        <w:t>por</w:t>
      </w:r>
      <w:r>
        <w:rPr>
          <w:spacing w:val="-6"/>
          <w:w w:val="110"/>
        </w:rPr>
        <w:t> </w:t>
      </w:r>
      <w:r>
        <w:rPr>
          <w:w w:val="110"/>
        </w:rPr>
        <w:t>parte</w:t>
      </w:r>
      <w:r>
        <w:rPr>
          <w:spacing w:val="-6"/>
          <w:w w:val="110"/>
        </w:rPr>
        <w:t> </w:t>
      </w:r>
      <w:r>
        <w:rPr>
          <w:w w:val="110"/>
        </w:rPr>
        <w:t>del</w:t>
      </w:r>
      <w:r>
        <w:rPr>
          <w:spacing w:val="-6"/>
          <w:w w:val="110"/>
        </w:rPr>
        <w:t> </w:t>
      </w:r>
      <w:r>
        <w:rPr>
          <w:w w:val="110"/>
        </w:rPr>
        <w:t>Estado,</w:t>
      </w:r>
      <w:r>
        <w:rPr>
          <w:spacing w:val="-6"/>
          <w:w w:val="110"/>
        </w:rPr>
        <w:t> </w:t>
      </w:r>
      <w:r>
        <w:rPr>
          <w:w w:val="110"/>
        </w:rPr>
        <w:t>la</w:t>
      </w:r>
      <w:r>
        <w:rPr>
          <w:spacing w:val="-6"/>
          <w:w w:val="110"/>
        </w:rPr>
        <w:t> </w:t>
      </w:r>
      <w:r>
        <w:rPr>
          <w:w w:val="110"/>
        </w:rPr>
        <w:t>tentativa</w:t>
      </w:r>
      <w:r>
        <w:rPr>
          <w:spacing w:val="-6"/>
          <w:w w:val="110"/>
        </w:rPr>
        <w:t> </w:t>
      </w:r>
      <w:r>
        <w:rPr>
          <w:w w:val="110"/>
        </w:rPr>
        <w:t>de</w:t>
      </w:r>
      <w:r>
        <w:rPr>
          <w:spacing w:val="-6"/>
          <w:w w:val="110"/>
        </w:rPr>
        <w:t> </w:t>
      </w:r>
      <w:r>
        <w:rPr>
          <w:w w:val="110"/>
        </w:rPr>
        <w:t>im- poner grandes escalas de producción sin la base tecnológica adecuada como correlato, la colectivización forzada y la fuerte transferencia de excedentes del campo a la industria generaron una mala utilización y enormes desperdicios de recursos, limitando el alcance del desarro- </w:t>
      </w:r>
      <w:r>
        <w:rPr>
          <w:w w:val="110"/>
        </w:rPr>
        <w:t>llo</w:t>
      </w:r>
      <w:r>
        <w:rPr/>
        <w:t> </w:t>
      </w:r>
      <w:r>
        <w:rPr>
          <w:spacing w:val="-21"/>
        </w:rPr>
        <w:t> </w:t>
      </w:r>
      <w:r>
        <w:rPr>
          <w:w w:val="115"/>
        </w:rPr>
        <w:t>chino.</w:t>
      </w:r>
      <w:r>
        <w:rPr/>
        <w:t> </w:t>
      </w:r>
      <w:r>
        <w:rPr>
          <w:spacing w:val="-21"/>
        </w:rPr>
        <w:t> </w:t>
      </w:r>
      <w:r>
        <w:rPr>
          <w:w w:val="243"/>
        </w:rPr>
        <w:t>l</w:t>
      </w:r>
      <w:r>
        <w:rPr>
          <w:w w:val="112"/>
        </w:rPr>
        <w:t>a</w:t>
      </w:r>
      <w:r>
        <w:rPr/>
        <w:t> </w:t>
      </w:r>
      <w:r>
        <w:rPr>
          <w:spacing w:val="-21"/>
        </w:rPr>
        <w:t> </w:t>
      </w:r>
      <w:r>
        <w:rPr>
          <w:w w:val="109"/>
        </w:rPr>
        <w:t>ofensiva</w:t>
      </w:r>
      <w:r>
        <w:rPr/>
        <w:t> </w:t>
      </w:r>
      <w:r>
        <w:rPr>
          <w:spacing w:val="-21"/>
        </w:rPr>
        <w:t> </w:t>
      </w:r>
      <w:r>
        <w:rPr>
          <w:w w:val="107"/>
        </w:rPr>
        <w:t>de</w:t>
      </w:r>
      <w:r>
        <w:rPr/>
        <w:t> </w:t>
      </w:r>
      <w:r>
        <w:rPr>
          <w:spacing w:val="-21"/>
        </w:rPr>
        <w:t> </w:t>
      </w:r>
      <w:r>
        <w:rPr>
          <w:w w:val="111"/>
        </w:rPr>
        <w:t>la</w:t>
      </w:r>
      <w:r>
        <w:rPr/>
        <w:t> </w:t>
      </w:r>
      <w:r>
        <w:rPr>
          <w:spacing w:val="-21"/>
        </w:rPr>
        <w:t> </w:t>
      </w:r>
      <w:r>
        <w:rPr>
          <w:w w:val="182"/>
        </w:rPr>
        <w:t>r</w:t>
      </w:r>
      <w:r>
        <w:rPr>
          <w:w w:val="110"/>
        </w:rPr>
        <w:t>evolución</w:t>
      </w:r>
      <w:r>
        <w:rPr/>
        <w:t> </w:t>
      </w:r>
      <w:r>
        <w:rPr>
          <w:spacing w:val="-21"/>
        </w:rPr>
        <w:t> </w:t>
      </w:r>
      <w:r>
        <w:rPr>
          <w:w w:val="112"/>
        </w:rPr>
        <w:t>Cultural</w:t>
      </w:r>
      <w:r>
        <w:rPr/>
        <w:t> </w:t>
      </w:r>
      <w:r>
        <w:rPr>
          <w:spacing w:val="-21"/>
        </w:rPr>
        <w:t> </w:t>
      </w:r>
      <w:r>
        <w:rPr>
          <w:w w:val="110"/>
        </w:rPr>
        <w:t>contra</w:t>
      </w:r>
      <w:r>
        <w:rPr/>
        <w:t> </w:t>
      </w:r>
      <w:r>
        <w:rPr>
          <w:spacing w:val="-21"/>
        </w:rPr>
        <w:t> </w:t>
      </w:r>
      <w:r>
        <w:rPr>
          <w:w w:val="111"/>
        </w:rPr>
        <w:t>la</w:t>
      </w:r>
      <w:r>
        <w:rPr/>
        <w:t> </w:t>
      </w:r>
      <w:r>
        <w:rPr>
          <w:spacing w:val="-21"/>
        </w:rPr>
        <w:t> </w:t>
      </w:r>
      <w:r>
        <w:rPr>
          <w:w w:val="111"/>
        </w:rPr>
        <w:t>burocracia </w:t>
      </w:r>
      <w:r>
        <w:rPr>
          <w:w w:val="110"/>
        </w:rPr>
        <w:t>del Estado y la monopolización del poder político fue reprimida, pero encontró una respuesta en el periodo de deng xiao Ping en la des- centralización administrativa de los procesos productivos, que amplió la autonomía de decisión de las poblaciones locales, transfiriendo el poder empresarial del Estado a las comunidades, manteniéndose, sin embargo, la estructura centralizada del poder </w:t>
      </w:r>
      <w:r>
        <w:rPr>
          <w:spacing w:val="19"/>
          <w:w w:val="110"/>
        </w:rPr>
        <w:t> </w:t>
      </w:r>
      <w:r>
        <w:rPr>
          <w:w w:val="110"/>
        </w:rPr>
        <w:t>político.</w:t>
      </w:r>
    </w:p>
    <w:p>
      <w:pPr>
        <w:pStyle w:val="BodyText"/>
        <w:spacing w:line="252" w:lineRule="auto"/>
        <w:ind w:left="330" w:right="116" w:firstLine="396"/>
        <w:jc w:val="both"/>
      </w:pPr>
      <w:r>
        <w:rPr>
          <w:w w:val="110"/>
        </w:rPr>
        <w:t>Giovanni arrighi, al analizar el proceso de ascenso de China en    la economía mundial en </w:t>
      </w:r>
      <w:r>
        <w:rPr>
          <w:i/>
          <w:w w:val="110"/>
        </w:rPr>
        <w:t>Adam Smith em Pequim </w:t>
      </w:r>
      <w:r>
        <w:rPr>
          <w:w w:val="110"/>
        </w:rPr>
        <w:t>(2007), indica a la revolución industriosa como la clave para el mismo. Ésta, de manera diferente a la revolución industrial, que separaba al trabajador de    los</w:t>
      </w:r>
      <w:r>
        <w:rPr>
          <w:spacing w:val="18"/>
          <w:w w:val="110"/>
        </w:rPr>
        <w:t> </w:t>
      </w:r>
      <w:r>
        <w:rPr>
          <w:w w:val="110"/>
        </w:rPr>
        <w:t>medios</w:t>
      </w:r>
      <w:r>
        <w:rPr>
          <w:spacing w:val="18"/>
          <w:w w:val="110"/>
        </w:rPr>
        <w:t> </w:t>
      </w:r>
      <w:r>
        <w:rPr>
          <w:w w:val="110"/>
        </w:rPr>
        <w:t>de</w:t>
      </w:r>
      <w:r>
        <w:rPr>
          <w:spacing w:val="18"/>
          <w:w w:val="110"/>
        </w:rPr>
        <w:t> </w:t>
      </w:r>
      <w:r>
        <w:rPr>
          <w:w w:val="110"/>
        </w:rPr>
        <w:t>producción,</w:t>
      </w:r>
      <w:r>
        <w:rPr>
          <w:spacing w:val="18"/>
          <w:w w:val="110"/>
        </w:rPr>
        <w:t> </w:t>
      </w:r>
      <w:r>
        <w:rPr>
          <w:w w:val="110"/>
        </w:rPr>
        <w:t>sustituyéndolo</w:t>
      </w:r>
      <w:r>
        <w:rPr>
          <w:spacing w:val="18"/>
          <w:w w:val="110"/>
        </w:rPr>
        <w:t> </w:t>
      </w:r>
      <w:r>
        <w:rPr>
          <w:w w:val="110"/>
        </w:rPr>
        <w:t>por</w:t>
      </w:r>
      <w:r>
        <w:rPr>
          <w:spacing w:val="18"/>
          <w:w w:val="110"/>
        </w:rPr>
        <w:t> </w:t>
      </w:r>
      <w:r>
        <w:rPr>
          <w:w w:val="110"/>
        </w:rPr>
        <w:t>el</w:t>
      </w:r>
      <w:r>
        <w:rPr>
          <w:spacing w:val="18"/>
          <w:w w:val="110"/>
        </w:rPr>
        <w:t> </w:t>
      </w:r>
      <w:r>
        <w:rPr>
          <w:w w:val="110"/>
        </w:rPr>
        <w:t>capital</w:t>
      </w:r>
      <w:r>
        <w:rPr>
          <w:spacing w:val="18"/>
          <w:w w:val="110"/>
        </w:rPr>
        <w:t> </w:t>
      </w:r>
      <w:r>
        <w:rPr>
          <w:w w:val="110"/>
        </w:rPr>
        <w:t>fijo</w:t>
      </w:r>
      <w:r>
        <w:rPr>
          <w:spacing w:val="18"/>
          <w:w w:val="110"/>
        </w:rPr>
        <w:t> </w:t>
      </w:r>
      <w:r>
        <w:rPr>
          <w:w w:val="110"/>
        </w:rPr>
        <w:t>y</w:t>
      </w:r>
      <w:r>
        <w:rPr>
          <w:spacing w:val="18"/>
          <w:w w:val="110"/>
        </w:rPr>
        <w:t> </w:t>
      </w:r>
      <w:r>
        <w:rPr>
          <w:w w:val="110"/>
        </w:rPr>
        <w:t>la</w:t>
      </w:r>
      <w:r>
        <w:rPr>
          <w:spacing w:val="18"/>
          <w:w w:val="110"/>
        </w:rPr>
        <w:t> </w:t>
      </w:r>
      <w:r>
        <w:rPr>
          <w:w w:val="110"/>
        </w:rPr>
        <w:t>ma-</w:t>
      </w:r>
    </w:p>
    <w:p>
      <w:pPr>
        <w:pStyle w:val="BodyText"/>
        <w:spacing w:before="4"/>
      </w:pPr>
      <w:r>
        <w:rPr/>
        <w:pict>
          <v:line style="position:absolute;mso-position-horizontal-relative:page;mso-position-vertical-relative:paragraph;z-index:1912;mso-wrap-distance-left:0;mso-wrap-distance-right:0" from="76.5354pt,13.558232pt" to="104.8814pt,13.558232pt" stroked="true" strokeweight=".5pt" strokecolor="#000000">
            <w10:wrap type="topAndBottom"/>
          </v:line>
        </w:pict>
      </w:r>
    </w:p>
    <w:p>
      <w:pPr>
        <w:pStyle w:val="ListParagraph"/>
        <w:numPr>
          <w:ilvl w:val="0"/>
          <w:numId w:val="2"/>
        </w:numPr>
        <w:tabs>
          <w:tab w:pos="586" w:val="left" w:leader="none"/>
        </w:tabs>
        <w:spacing w:line="242" w:lineRule="auto" w:before="89" w:after="0"/>
        <w:ind w:left="330" w:right="118" w:firstLine="0"/>
        <w:jc w:val="left"/>
        <w:rPr>
          <w:sz w:val="16"/>
        </w:rPr>
      </w:pPr>
      <w:r>
        <w:rPr>
          <w:spacing w:val="-3"/>
          <w:w w:val="105"/>
          <w:sz w:val="16"/>
        </w:rPr>
        <w:t>Véase </w:t>
      </w:r>
      <w:r>
        <w:rPr>
          <w:i/>
          <w:w w:val="105"/>
          <w:sz w:val="16"/>
        </w:rPr>
        <w:t>Ascensão e Queda das Grandes Potencias </w:t>
      </w:r>
      <w:r>
        <w:rPr>
          <w:w w:val="105"/>
          <w:sz w:val="16"/>
        </w:rPr>
        <w:t>(1987), de Paul Kennedy y  </w:t>
      </w:r>
      <w:r>
        <w:rPr>
          <w:i/>
          <w:w w:val="105"/>
          <w:sz w:val="16"/>
        </w:rPr>
        <w:t>The </w:t>
      </w:r>
      <w:r>
        <w:rPr>
          <w:i/>
          <w:w w:val="105"/>
          <w:sz w:val="16"/>
        </w:rPr>
        <w:t>World</w:t>
      </w:r>
      <w:r>
        <w:rPr>
          <w:i/>
          <w:spacing w:val="23"/>
          <w:w w:val="105"/>
          <w:sz w:val="16"/>
        </w:rPr>
        <w:t> </w:t>
      </w:r>
      <w:r>
        <w:rPr>
          <w:i/>
          <w:w w:val="105"/>
          <w:sz w:val="16"/>
        </w:rPr>
        <w:t>Economy:</w:t>
      </w:r>
      <w:r>
        <w:rPr>
          <w:i/>
          <w:spacing w:val="23"/>
          <w:w w:val="105"/>
          <w:sz w:val="16"/>
        </w:rPr>
        <w:t> </w:t>
      </w:r>
      <w:r>
        <w:rPr>
          <w:i/>
          <w:w w:val="105"/>
          <w:sz w:val="16"/>
        </w:rPr>
        <w:t>a</w:t>
      </w:r>
      <w:r>
        <w:rPr>
          <w:i/>
          <w:spacing w:val="23"/>
          <w:w w:val="105"/>
          <w:sz w:val="16"/>
        </w:rPr>
        <w:t> </w:t>
      </w:r>
      <w:r>
        <w:rPr>
          <w:i/>
          <w:w w:val="105"/>
          <w:sz w:val="16"/>
        </w:rPr>
        <w:t>Milennial</w:t>
      </w:r>
      <w:r>
        <w:rPr>
          <w:i/>
          <w:spacing w:val="23"/>
          <w:w w:val="105"/>
          <w:sz w:val="16"/>
        </w:rPr>
        <w:t> </w:t>
      </w:r>
      <w:r>
        <w:rPr>
          <w:i/>
          <w:w w:val="105"/>
          <w:sz w:val="16"/>
        </w:rPr>
        <w:t>Perspective</w:t>
      </w:r>
      <w:r>
        <w:rPr>
          <w:i/>
          <w:spacing w:val="23"/>
          <w:w w:val="105"/>
          <w:sz w:val="16"/>
        </w:rPr>
        <w:t> </w:t>
      </w:r>
      <w:r>
        <w:rPr>
          <w:w w:val="105"/>
          <w:sz w:val="16"/>
        </w:rPr>
        <w:t>(2001),</w:t>
      </w:r>
      <w:r>
        <w:rPr>
          <w:spacing w:val="23"/>
          <w:w w:val="105"/>
          <w:sz w:val="16"/>
        </w:rPr>
        <w:t> </w:t>
      </w:r>
      <w:r>
        <w:rPr>
          <w:w w:val="105"/>
          <w:sz w:val="16"/>
        </w:rPr>
        <w:t>de</w:t>
      </w:r>
      <w:r>
        <w:rPr>
          <w:spacing w:val="23"/>
          <w:w w:val="105"/>
          <w:sz w:val="16"/>
        </w:rPr>
        <w:t> </w:t>
      </w:r>
      <w:r>
        <w:rPr>
          <w:w w:val="105"/>
          <w:sz w:val="16"/>
        </w:rPr>
        <w:t>angus</w:t>
      </w:r>
      <w:r>
        <w:rPr>
          <w:spacing w:val="23"/>
          <w:w w:val="105"/>
          <w:sz w:val="16"/>
        </w:rPr>
        <w:t> </w:t>
      </w:r>
      <w:r>
        <w:rPr>
          <w:w w:val="105"/>
          <w:sz w:val="16"/>
        </w:rPr>
        <w:t>Maddison.</w:t>
      </w:r>
    </w:p>
    <w:p>
      <w:pPr>
        <w:spacing w:after="0" w:line="242" w:lineRule="auto"/>
        <w:jc w:val="left"/>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5"/>
        <w:jc w:val="both"/>
      </w:pPr>
      <w:r>
        <w:rPr>
          <w:w w:val="115"/>
        </w:rPr>
        <w:t>quinaria,</w:t>
      </w:r>
      <w:r>
        <w:rPr>
          <w:spacing w:val="-12"/>
          <w:w w:val="115"/>
        </w:rPr>
        <w:t> </w:t>
      </w:r>
      <w:r>
        <w:rPr>
          <w:w w:val="115"/>
        </w:rPr>
        <w:t>invirtió</w:t>
      </w:r>
      <w:r>
        <w:rPr>
          <w:spacing w:val="-12"/>
          <w:w w:val="115"/>
        </w:rPr>
        <w:t> </w:t>
      </w:r>
      <w:r>
        <w:rPr>
          <w:w w:val="115"/>
        </w:rPr>
        <w:t>en</w:t>
      </w:r>
      <w:r>
        <w:rPr>
          <w:spacing w:val="-12"/>
          <w:w w:val="115"/>
        </w:rPr>
        <w:t> </w:t>
      </w:r>
      <w:r>
        <w:rPr>
          <w:w w:val="115"/>
        </w:rPr>
        <w:t>la</w:t>
      </w:r>
      <w:r>
        <w:rPr>
          <w:spacing w:val="-12"/>
          <w:w w:val="115"/>
        </w:rPr>
        <w:t> </w:t>
      </w:r>
      <w:r>
        <w:rPr>
          <w:w w:val="115"/>
        </w:rPr>
        <w:t>elevación</w:t>
      </w:r>
      <w:r>
        <w:rPr>
          <w:spacing w:val="-12"/>
          <w:w w:val="115"/>
        </w:rPr>
        <w:t> </w:t>
      </w:r>
      <w:r>
        <w:rPr>
          <w:w w:val="115"/>
        </w:rPr>
        <w:t>de</w:t>
      </w:r>
      <w:r>
        <w:rPr>
          <w:spacing w:val="-12"/>
          <w:w w:val="115"/>
        </w:rPr>
        <w:t> </w:t>
      </w:r>
      <w:r>
        <w:rPr>
          <w:w w:val="115"/>
        </w:rPr>
        <w:t>sus</w:t>
      </w:r>
      <w:r>
        <w:rPr>
          <w:spacing w:val="-12"/>
          <w:w w:val="115"/>
        </w:rPr>
        <w:t> </w:t>
      </w:r>
      <w:r>
        <w:rPr>
          <w:w w:val="115"/>
        </w:rPr>
        <w:t>calificaciones</w:t>
      </w:r>
      <w:r>
        <w:rPr>
          <w:spacing w:val="-12"/>
          <w:w w:val="115"/>
        </w:rPr>
        <w:t> </w:t>
      </w:r>
      <w:r>
        <w:rPr>
          <w:w w:val="115"/>
        </w:rPr>
        <w:t>y</w:t>
      </w:r>
      <w:r>
        <w:rPr>
          <w:spacing w:val="-12"/>
          <w:w w:val="115"/>
        </w:rPr>
        <w:t> </w:t>
      </w:r>
      <w:r>
        <w:rPr>
          <w:w w:val="115"/>
        </w:rPr>
        <w:t>en</w:t>
      </w:r>
      <w:r>
        <w:rPr>
          <w:spacing w:val="-12"/>
          <w:w w:val="115"/>
        </w:rPr>
        <w:t> </w:t>
      </w:r>
      <w:r>
        <w:rPr>
          <w:w w:val="115"/>
        </w:rPr>
        <w:t>un</w:t>
      </w:r>
      <w:r>
        <w:rPr>
          <w:spacing w:val="-12"/>
          <w:w w:val="115"/>
        </w:rPr>
        <w:t> </w:t>
      </w:r>
      <w:r>
        <w:rPr>
          <w:w w:val="115"/>
        </w:rPr>
        <w:t>patrón tecnológico intensivo en el uso del trabajo. además, se articuló con la</w:t>
      </w:r>
      <w:r>
        <w:rPr>
          <w:spacing w:val="-9"/>
          <w:w w:val="115"/>
        </w:rPr>
        <w:t> </w:t>
      </w:r>
      <w:r>
        <w:rPr>
          <w:w w:val="115"/>
        </w:rPr>
        <w:t>larga</w:t>
      </w:r>
      <w:r>
        <w:rPr>
          <w:spacing w:val="-9"/>
          <w:w w:val="115"/>
        </w:rPr>
        <w:t> </w:t>
      </w:r>
      <w:r>
        <w:rPr>
          <w:w w:val="115"/>
        </w:rPr>
        <w:t>duración</w:t>
      </w:r>
      <w:r>
        <w:rPr>
          <w:spacing w:val="-9"/>
          <w:w w:val="115"/>
        </w:rPr>
        <w:t> </w:t>
      </w:r>
      <w:r>
        <w:rPr>
          <w:w w:val="115"/>
        </w:rPr>
        <w:t>de</w:t>
      </w:r>
      <w:r>
        <w:rPr>
          <w:spacing w:val="-9"/>
          <w:w w:val="115"/>
        </w:rPr>
        <w:t> </w:t>
      </w:r>
      <w:r>
        <w:rPr>
          <w:w w:val="115"/>
        </w:rPr>
        <w:t>la</w:t>
      </w:r>
      <w:r>
        <w:rPr>
          <w:spacing w:val="-9"/>
          <w:w w:val="115"/>
        </w:rPr>
        <w:t> </w:t>
      </w:r>
      <w:r>
        <w:rPr>
          <w:w w:val="115"/>
        </w:rPr>
        <w:t>revolución</w:t>
      </w:r>
      <w:r>
        <w:rPr>
          <w:spacing w:val="-9"/>
          <w:w w:val="115"/>
        </w:rPr>
        <w:t> </w:t>
      </w:r>
      <w:r>
        <w:rPr>
          <w:w w:val="115"/>
        </w:rPr>
        <w:t>socialista</w:t>
      </w:r>
      <w:r>
        <w:rPr>
          <w:spacing w:val="-9"/>
          <w:w w:val="115"/>
        </w:rPr>
        <w:t> </w:t>
      </w:r>
      <w:r>
        <w:rPr>
          <w:w w:val="115"/>
        </w:rPr>
        <w:t>china</w:t>
      </w:r>
      <w:r>
        <w:rPr>
          <w:spacing w:val="-9"/>
          <w:w w:val="115"/>
        </w:rPr>
        <w:t> </w:t>
      </w:r>
      <w:r>
        <w:rPr>
          <w:w w:val="115"/>
        </w:rPr>
        <w:t>que</w:t>
      </w:r>
      <w:r>
        <w:rPr>
          <w:spacing w:val="-9"/>
          <w:w w:val="115"/>
        </w:rPr>
        <w:t> </w:t>
      </w:r>
      <w:r>
        <w:rPr>
          <w:w w:val="115"/>
        </w:rPr>
        <w:t>se</w:t>
      </w:r>
      <w:r>
        <w:rPr>
          <w:spacing w:val="-9"/>
          <w:w w:val="115"/>
        </w:rPr>
        <w:t> </w:t>
      </w:r>
      <w:r>
        <w:rPr>
          <w:w w:val="115"/>
        </w:rPr>
        <w:t>fundamen- tó en el campesinado, en la línea de masas del Partido Comunista y en inversiones sociales, tales como salud y educación; no obstante, necesitó de la autonomía gerencial para desarrollarse. El estableci- miento del sistema de la responsabilidad familiar en la agricultura, la</w:t>
      </w:r>
      <w:r>
        <w:rPr>
          <w:spacing w:val="-15"/>
          <w:w w:val="115"/>
        </w:rPr>
        <w:t> </w:t>
      </w:r>
      <w:r>
        <w:rPr>
          <w:w w:val="115"/>
        </w:rPr>
        <w:t>creación</w:t>
      </w:r>
      <w:r>
        <w:rPr>
          <w:spacing w:val="-15"/>
          <w:w w:val="115"/>
        </w:rPr>
        <w:t> </w:t>
      </w:r>
      <w:r>
        <w:rPr>
          <w:w w:val="115"/>
        </w:rPr>
        <w:t>de</w:t>
      </w:r>
      <w:r>
        <w:rPr>
          <w:spacing w:val="-15"/>
          <w:w w:val="115"/>
        </w:rPr>
        <w:t> </w:t>
      </w:r>
      <w:r>
        <w:rPr>
          <w:w w:val="115"/>
        </w:rPr>
        <w:t>las</w:t>
      </w:r>
      <w:r>
        <w:rPr>
          <w:spacing w:val="-15"/>
          <w:w w:val="115"/>
        </w:rPr>
        <w:t> </w:t>
      </w:r>
      <w:r>
        <w:rPr>
          <w:i/>
          <w:w w:val="115"/>
        </w:rPr>
        <w:t>towership</w:t>
      </w:r>
      <w:r>
        <w:rPr>
          <w:i/>
          <w:spacing w:val="-15"/>
          <w:w w:val="115"/>
        </w:rPr>
        <w:t> </w:t>
      </w:r>
      <w:r>
        <w:rPr>
          <w:i/>
          <w:w w:val="115"/>
        </w:rPr>
        <w:t>and</w:t>
      </w:r>
      <w:r>
        <w:rPr>
          <w:i/>
          <w:spacing w:val="-15"/>
          <w:w w:val="115"/>
        </w:rPr>
        <w:t> </w:t>
      </w:r>
      <w:r>
        <w:rPr>
          <w:i/>
          <w:w w:val="115"/>
        </w:rPr>
        <w:t>villages</w:t>
      </w:r>
      <w:r>
        <w:rPr>
          <w:i/>
          <w:spacing w:val="-15"/>
          <w:w w:val="115"/>
        </w:rPr>
        <w:t> </w:t>
      </w:r>
      <w:r>
        <w:rPr>
          <w:i/>
          <w:w w:val="115"/>
        </w:rPr>
        <w:t>enterprises</w:t>
      </w:r>
      <w:r>
        <w:rPr>
          <w:i/>
          <w:spacing w:val="-15"/>
          <w:w w:val="115"/>
        </w:rPr>
        <w:t> </w:t>
      </w:r>
      <w:r>
        <w:rPr>
          <w:w w:val="115"/>
        </w:rPr>
        <w:t>(tVE)</w:t>
      </w:r>
      <w:r>
        <w:rPr>
          <w:spacing w:val="-15"/>
          <w:w w:val="115"/>
        </w:rPr>
        <w:t> </w:t>
      </w:r>
      <w:r>
        <w:rPr>
          <w:w w:val="115"/>
        </w:rPr>
        <w:t>–empresas agrícolas</w:t>
      </w:r>
      <w:r>
        <w:rPr>
          <w:spacing w:val="-21"/>
          <w:w w:val="115"/>
        </w:rPr>
        <w:t> </w:t>
      </w:r>
      <w:r>
        <w:rPr>
          <w:w w:val="115"/>
        </w:rPr>
        <w:t>comunales</w:t>
      </w:r>
      <w:r>
        <w:rPr>
          <w:spacing w:val="-21"/>
          <w:w w:val="115"/>
        </w:rPr>
        <w:t> </w:t>
      </w:r>
      <w:r>
        <w:rPr>
          <w:w w:val="115"/>
        </w:rPr>
        <w:t>e</w:t>
      </w:r>
      <w:r>
        <w:rPr>
          <w:spacing w:val="-21"/>
          <w:w w:val="115"/>
        </w:rPr>
        <w:t> </w:t>
      </w:r>
      <w:r>
        <w:rPr>
          <w:w w:val="115"/>
        </w:rPr>
        <w:t>industriales–</w:t>
      </w:r>
      <w:r>
        <w:rPr>
          <w:spacing w:val="-21"/>
          <w:w w:val="115"/>
        </w:rPr>
        <w:t> </w:t>
      </w:r>
      <w:r>
        <w:rPr>
          <w:w w:val="115"/>
        </w:rPr>
        <w:t>produjeron</w:t>
      </w:r>
      <w:r>
        <w:rPr>
          <w:spacing w:val="-21"/>
          <w:w w:val="115"/>
        </w:rPr>
        <w:t> </w:t>
      </w:r>
      <w:r>
        <w:rPr>
          <w:w w:val="115"/>
        </w:rPr>
        <w:t>los</w:t>
      </w:r>
      <w:r>
        <w:rPr>
          <w:spacing w:val="-21"/>
          <w:w w:val="115"/>
        </w:rPr>
        <w:t> </w:t>
      </w:r>
      <w:r>
        <w:rPr>
          <w:w w:val="115"/>
        </w:rPr>
        <w:t>estímulos</w:t>
      </w:r>
      <w:r>
        <w:rPr>
          <w:spacing w:val="-21"/>
          <w:w w:val="115"/>
        </w:rPr>
        <w:t> </w:t>
      </w:r>
      <w:r>
        <w:rPr>
          <w:w w:val="115"/>
        </w:rPr>
        <w:t>para</w:t>
      </w:r>
      <w:r>
        <w:rPr>
          <w:spacing w:val="-21"/>
          <w:w w:val="115"/>
        </w:rPr>
        <w:t> </w:t>
      </w:r>
      <w:r>
        <w:rPr>
          <w:w w:val="115"/>
        </w:rPr>
        <w:t>el uso del trabajo cualificado y el desarrollo de la actividad gerencial con relativa autonomía. a lo anterior, se articuló la promoción, por parte</w:t>
      </w:r>
      <w:r>
        <w:rPr>
          <w:spacing w:val="-12"/>
          <w:w w:val="115"/>
        </w:rPr>
        <w:t> </w:t>
      </w:r>
      <w:r>
        <w:rPr>
          <w:w w:val="115"/>
        </w:rPr>
        <w:t>del</w:t>
      </w:r>
      <w:r>
        <w:rPr>
          <w:spacing w:val="-12"/>
          <w:w w:val="115"/>
        </w:rPr>
        <w:t> </w:t>
      </w:r>
      <w:r>
        <w:rPr>
          <w:w w:val="115"/>
        </w:rPr>
        <w:t>Estado,</w:t>
      </w:r>
      <w:r>
        <w:rPr>
          <w:spacing w:val="-12"/>
          <w:w w:val="115"/>
        </w:rPr>
        <w:t> </w:t>
      </w:r>
      <w:r>
        <w:rPr>
          <w:w w:val="115"/>
        </w:rPr>
        <w:t>de</w:t>
      </w:r>
      <w:r>
        <w:rPr>
          <w:spacing w:val="-12"/>
          <w:w w:val="115"/>
        </w:rPr>
        <w:t> </w:t>
      </w:r>
      <w:r>
        <w:rPr>
          <w:w w:val="115"/>
        </w:rPr>
        <w:t>la</w:t>
      </w:r>
      <w:r>
        <w:rPr>
          <w:spacing w:val="-12"/>
          <w:w w:val="115"/>
        </w:rPr>
        <w:t> </w:t>
      </w:r>
      <w:r>
        <w:rPr>
          <w:w w:val="115"/>
        </w:rPr>
        <w:t>internalización</w:t>
      </w:r>
      <w:r>
        <w:rPr>
          <w:spacing w:val="-12"/>
          <w:w w:val="115"/>
        </w:rPr>
        <w:t> </w:t>
      </w:r>
      <w:r>
        <w:rPr>
          <w:w w:val="115"/>
        </w:rPr>
        <w:t>de</w:t>
      </w:r>
      <w:r>
        <w:rPr>
          <w:spacing w:val="-12"/>
          <w:w w:val="115"/>
        </w:rPr>
        <w:t> </w:t>
      </w:r>
      <w:r>
        <w:rPr>
          <w:w w:val="115"/>
        </w:rPr>
        <w:t>los</w:t>
      </w:r>
      <w:r>
        <w:rPr>
          <w:spacing w:val="-12"/>
          <w:w w:val="115"/>
        </w:rPr>
        <w:t> </w:t>
      </w:r>
      <w:r>
        <w:rPr>
          <w:w w:val="115"/>
        </w:rPr>
        <w:t>capitales</w:t>
      </w:r>
      <w:r>
        <w:rPr>
          <w:spacing w:val="-12"/>
          <w:w w:val="115"/>
        </w:rPr>
        <w:t> </w:t>
      </w:r>
      <w:r>
        <w:rPr>
          <w:w w:val="115"/>
        </w:rPr>
        <w:t>de</w:t>
      </w:r>
      <w:r>
        <w:rPr>
          <w:spacing w:val="-12"/>
          <w:w w:val="115"/>
        </w:rPr>
        <w:t> </w:t>
      </w:r>
      <w:r>
        <w:rPr>
          <w:w w:val="115"/>
        </w:rPr>
        <w:t>la</w:t>
      </w:r>
      <w:r>
        <w:rPr>
          <w:spacing w:val="-12"/>
          <w:w w:val="115"/>
        </w:rPr>
        <w:t> </w:t>
      </w:r>
      <w:r>
        <w:rPr>
          <w:w w:val="115"/>
        </w:rPr>
        <w:t>diáspora china, el desarrollo de sectores estratégicos </w:t>
      </w:r>
      <w:r>
        <w:rPr>
          <w:spacing w:val="-10"/>
          <w:w w:val="115"/>
        </w:rPr>
        <w:t>y, </w:t>
      </w:r>
      <w:r>
        <w:rPr>
          <w:w w:val="115"/>
        </w:rPr>
        <w:t>por fin, de </w:t>
      </w:r>
      <w:r>
        <w:rPr>
          <w:i/>
          <w:w w:val="115"/>
        </w:rPr>
        <w:t>joint-ven- </w:t>
      </w:r>
      <w:r>
        <w:rPr>
          <w:i/>
          <w:w w:val="115"/>
        </w:rPr>
        <w:t>tures </w:t>
      </w:r>
      <w:r>
        <w:rPr>
          <w:w w:val="115"/>
        </w:rPr>
        <w:t>con el capital extranjero para la transferencia de tecnología, mediante una participación significativa en el control decisorio. El Pib chino subió de 5.1 a 7.2% del Pib mundial entre 1978 y 1986 y desde</w:t>
      </w:r>
      <w:r>
        <w:rPr>
          <w:spacing w:val="-19"/>
          <w:w w:val="115"/>
        </w:rPr>
        <w:t> </w:t>
      </w:r>
      <w:r>
        <w:rPr>
          <w:w w:val="115"/>
        </w:rPr>
        <w:t>entonces</w:t>
      </w:r>
      <w:r>
        <w:rPr>
          <w:spacing w:val="-19"/>
          <w:w w:val="115"/>
        </w:rPr>
        <w:t> </w:t>
      </w:r>
      <w:r>
        <w:rPr>
          <w:w w:val="115"/>
        </w:rPr>
        <w:t>China</w:t>
      </w:r>
      <w:r>
        <w:rPr>
          <w:spacing w:val="-19"/>
          <w:w w:val="115"/>
        </w:rPr>
        <w:t> </w:t>
      </w:r>
      <w:r>
        <w:rPr>
          <w:w w:val="115"/>
        </w:rPr>
        <w:t>profundizó</w:t>
      </w:r>
      <w:r>
        <w:rPr>
          <w:spacing w:val="-19"/>
          <w:w w:val="115"/>
        </w:rPr>
        <w:t> </w:t>
      </w:r>
      <w:r>
        <w:rPr>
          <w:w w:val="115"/>
        </w:rPr>
        <w:t>su</w:t>
      </w:r>
      <w:r>
        <w:rPr>
          <w:spacing w:val="-19"/>
          <w:w w:val="115"/>
        </w:rPr>
        <w:t> </w:t>
      </w:r>
      <w:r>
        <w:rPr>
          <w:w w:val="115"/>
        </w:rPr>
        <w:t>vinculación</w:t>
      </w:r>
      <w:r>
        <w:rPr>
          <w:spacing w:val="-19"/>
          <w:w w:val="115"/>
        </w:rPr>
        <w:t> </w:t>
      </w:r>
      <w:r>
        <w:rPr>
          <w:w w:val="115"/>
        </w:rPr>
        <w:t>al</w:t>
      </w:r>
      <w:r>
        <w:rPr>
          <w:spacing w:val="-19"/>
          <w:w w:val="115"/>
        </w:rPr>
        <w:t> </w:t>
      </w:r>
      <w:r>
        <w:rPr>
          <w:w w:val="115"/>
        </w:rPr>
        <w:t>mercado</w:t>
      </w:r>
      <w:r>
        <w:rPr>
          <w:spacing w:val="-19"/>
          <w:w w:val="115"/>
        </w:rPr>
        <w:t> </w:t>
      </w:r>
      <w:r>
        <w:rPr>
          <w:w w:val="115"/>
        </w:rPr>
        <w:t>interna- cional,</w:t>
      </w:r>
      <w:r>
        <w:rPr>
          <w:spacing w:val="-7"/>
          <w:w w:val="115"/>
        </w:rPr>
        <w:t> </w:t>
      </w:r>
      <w:r>
        <w:rPr>
          <w:w w:val="115"/>
        </w:rPr>
        <w:t>elevando</w:t>
      </w:r>
      <w:r>
        <w:rPr>
          <w:spacing w:val="-7"/>
          <w:w w:val="115"/>
        </w:rPr>
        <w:t> </w:t>
      </w:r>
      <w:r>
        <w:rPr>
          <w:w w:val="115"/>
        </w:rPr>
        <w:t>las</w:t>
      </w:r>
      <w:r>
        <w:rPr>
          <w:spacing w:val="-7"/>
          <w:w w:val="115"/>
        </w:rPr>
        <w:t> </w:t>
      </w:r>
      <w:r>
        <w:rPr>
          <w:w w:val="115"/>
        </w:rPr>
        <w:t>exportaciones</w:t>
      </w:r>
      <w:r>
        <w:rPr>
          <w:spacing w:val="-7"/>
          <w:w w:val="115"/>
        </w:rPr>
        <w:t> </w:t>
      </w:r>
      <w:r>
        <w:rPr>
          <w:w w:val="115"/>
        </w:rPr>
        <w:t>de</w:t>
      </w:r>
      <w:r>
        <w:rPr>
          <w:spacing w:val="-7"/>
          <w:w w:val="115"/>
        </w:rPr>
        <w:t> </w:t>
      </w:r>
      <w:r>
        <w:rPr>
          <w:w w:val="115"/>
        </w:rPr>
        <w:t>10%</w:t>
      </w:r>
      <w:r>
        <w:rPr>
          <w:spacing w:val="-7"/>
          <w:w w:val="115"/>
        </w:rPr>
        <w:t> </w:t>
      </w:r>
      <w:r>
        <w:rPr>
          <w:w w:val="115"/>
        </w:rPr>
        <w:t>del</w:t>
      </w:r>
      <w:r>
        <w:rPr>
          <w:spacing w:val="-7"/>
          <w:w w:val="115"/>
        </w:rPr>
        <w:t> </w:t>
      </w:r>
      <w:r>
        <w:rPr>
          <w:w w:val="115"/>
        </w:rPr>
        <w:t>Pib</w:t>
      </w:r>
      <w:r>
        <w:rPr>
          <w:spacing w:val="-7"/>
          <w:w w:val="115"/>
        </w:rPr>
        <w:t> </w:t>
      </w:r>
      <w:r>
        <w:rPr>
          <w:w w:val="115"/>
        </w:rPr>
        <w:t>a</w:t>
      </w:r>
      <w:r>
        <w:rPr>
          <w:spacing w:val="-7"/>
          <w:w w:val="115"/>
        </w:rPr>
        <w:t> </w:t>
      </w:r>
      <w:r>
        <w:rPr>
          <w:w w:val="115"/>
        </w:rPr>
        <w:t>39%</w:t>
      </w:r>
      <w:r>
        <w:rPr>
          <w:spacing w:val="-7"/>
          <w:w w:val="115"/>
        </w:rPr>
        <w:t> </w:t>
      </w:r>
      <w:r>
        <w:rPr>
          <w:w w:val="115"/>
        </w:rPr>
        <w:t>del</w:t>
      </w:r>
      <w:r>
        <w:rPr>
          <w:spacing w:val="-7"/>
          <w:w w:val="115"/>
        </w:rPr>
        <w:t> </w:t>
      </w:r>
      <w:r>
        <w:rPr>
          <w:w w:val="115"/>
        </w:rPr>
        <w:t>mismo </w:t>
      </w:r>
      <w:r>
        <w:rPr>
          <w:w w:val="110"/>
        </w:rPr>
        <w:t>entre 1986 y</w:t>
      </w:r>
      <w:r>
        <w:rPr>
          <w:spacing w:val="-27"/>
          <w:w w:val="110"/>
        </w:rPr>
        <w:t> </w:t>
      </w:r>
      <w:r>
        <w:rPr>
          <w:w w:val="110"/>
        </w:rPr>
        <w:t>2006.</w:t>
      </w:r>
    </w:p>
    <w:p>
      <w:pPr>
        <w:pStyle w:val="BodyText"/>
        <w:spacing w:line="252" w:lineRule="auto"/>
        <w:ind w:left="120" w:right="328" w:firstLine="396"/>
        <w:jc w:val="both"/>
      </w:pPr>
      <w:r>
        <w:rPr>
          <w:w w:val="110"/>
        </w:rPr>
        <w:t>durante este periodo, China se aproximó fuertemente a Estados unidos, aspirando a la condición de G-2. devalúa su moneda y la fija   al </w:t>
      </w:r>
      <w:r>
        <w:rPr>
          <w:spacing w:val="-4"/>
          <w:w w:val="110"/>
        </w:rPr>
        <w:t>dólar, </w:t>
      </w:r>
      <w:r>
        <w:rPr>
          <w:w w:val="110"/>
        </w:rPr>
        <w:t>aprovechando la revaluación del yen, creando gigantescos superávit comerciales, financia una parte creciente de la deuda </w:t>
      </w:r>
      <w:r>
        <w:rPr>
          <w:spacing w:val="-4"/>
          <w:w w:val="110"/>
        </w:rPr>
        <w:t>nor- </w:t>
      </w:r>
      <w:r>
        <w:rPr>
          <w:w w:val="110"/>
        </w:rPr>
        <w:t>teamericana al comprar títulos de la </w:t>
      </w:r>
      <w:r>
        <w:rPr>
          <w:i/>
          <w:w w:val="110"/>
        </w:rPr>
        <w:t>Fed</w:t>
      </w:r>
      <w:r>
        <w:rPr>
          <w:w w:val="110"/>
        </w:rPr>
        <w:t>, y desarrolla procesos de acumulación por desposesión mediante la disminución radical de los empleos en el sector público y de la expropiación de la tierra, volvién- dola urbana por determinación estatal. El coeficiente de Gini se elevó de 0.30 en 1978 a 0.49 en 2008 y la participación de China en el Pib </w:t>
      </w:r>
      <w:r>
        <w:rPr>
          <w:w w:val="112"/>
        </w:rPr>
        <w:t>mundial</w:t>
      </w:r>
      <w:r>
        <w:rPr>
          <w:spacing w:val="11"/>
        </w:rPr>
        <w:t> </w:t>
      </w:r>
      <w:r>
        <w:rPr>
          <w:w w:val="112"/>
        </w:rPr>
        <w:t>alcanzó</w:t>
      </w:r>
      <w:r>
        <w:rPr>
          <w:spacing w:val="11"/>
        </w:rPr>
        <w:t> </w:t>
      </w:r>
      <w:r>
        <w:rPr>
          <w:w w:val="105"/>
        </w:rPr>
        <w:t>17.4%</w:t>
      </w:r>
      <w:r>
        <w:rPr>
          <w:spacing w:val="11"/>
        </w:rPr>
        <w:t> </w:t>
      </w:r>
      <w:r>
        <w:rPr>
          <w:w w:val="108"/>
        </w:rPr>
        <w:t>en</w:t>
      </w:r>
      <w:r>
        <w:rPr>
          <w:spacing w:val="11"/>
        </w:rPr>
        <w:t> </w:t>
      </w:r>
      <w:r>
        <w:rPr>
          <w:w w:val="104"/>
        </w:rPr>
        <w:t>ese</w:t>
      </w:r>
      <w:r>
        <w:rPr>
          <w:spacing w:val="11"/>
        </w:rPr>
        <w:t> </w:t>
      </w:r>
      <w:r>
        <w:rPr>
          <w:w w:val="114"/>
        </w:rPr>
        <w:t>año.</w:t>
      </w:r>
      <w:r>
        <w:rPr>
          <w:spacing w:val="11"/>
        </w:rPr>
        <w:t> </w:t>
      </w:r>
      <w:r>
        <w:rPr>
          <w:w w:val="243"/>
        </w:rPr>
        <w:t>l</w:t>
      </w:r>
      <w:r>
        <w:rPr>
          <w:w w:val="112"/>
        </w:rPr>
        <w:t>a</w:t>
      </w:r>
      <w:r>
        <w:rPr>
          <w:spacing w:val="11"/>
        </w:rPr>
        <w:t> </w:t>
      </w:r>
      <w:r>
        <w:rPr>
          <w:w w:val="111"/>
        </w:rPr>
        <w:t>economía</w:t>
      </w:r>
      <w:r>
        <w:rPr>
          <w:spacing w:val="11"/>
        </w:rPr>
        <w:t> </w:t>
      </w:r>
      <w:r>
        <w:rPr>
          <w:w w:val="113"/>
        </w:rPr>
        <w:t>china</w:t>
      </w:r>
      <w:r>
        <w:rPr>
          <w:spacing w:val="11"/>
        </w:rPr>
        <w:t> </w:t>
      </w:r>
      <w:r>
        <w:rPr>
          <w:w w:val="110"/>
        </w:rPr>
        <w:t>asume</w:t>
      </w:r>
      <w:r>
        <w:rPr>
          <w:spacing w:val="11"/>
        </w:rPr>
        <w:t> </w:t>
      </w:r>
      <w:r>
        <w:rPr>
          <w:w w:val="112"/>
        </w:rPr>
        <w:t>un</w:t>
      </w:r>
      <w:r>
        <w:rPr>
          <w:spacing w:val="11"/>
        </w:rPr>
        <w:t> </w:t>
      </w:r>
      <w:r>
        <w:rPr>
          <w:w w:val="110"/>
        </w:rPr>
        <w:t>alto </w:t>
      </w:r>
      <w:r>
        <w:rPr>
          <w:w w:val="110"/>
        </w:rPr>
        <w:t>perfil industrial respondiendo por el 15% de la producción industrial mundial y 50% del Pib nacional.</w:t>
      </w:r>
      <w:r>
        <w:rPr>
          <w:w w:val="110"/>
          <w:position w:val="6"/>
          <w:sz w:val="11"/>
        </w:rPr>
        <w:t>14 </w:t>
      </w:r>
      <w:r>
        <w:rPr>
          <w:w w:val="110"/>
        </w:rPr>
        <w:t>se estructuró un sector producti-  vo basado en un segmento estatal que comprende aproximadamente 30% del Pib industrial (telecomunicaciones, petróleo, gas, generación y distribución de energía, aviación civil, construcción naval y defen- sa); un segmento de </w:t>
      </w:r>
      <w:r>
        <w:rPr>
          <w:i/>
          <w:w w:val="110"/>
        </w:rPr>
        <w:t>joint-ventures </w:t>
      </w:r>
      <w:r>
        <w:rPr>
          <w:w w:val="110"/>
        </w:rPr>
        <w:t>bajo una amplia presencia del Es- tado (maquinaria, automóviles, tecnologías de la información, P&amp;d, química, metales básicos, acero y exploración geológica), mediante participación accionaria, presencia en los consejos decisorios, control de crédito, encadenamientos tecnológicos; y otro segmento de peque- ñas y medianas empresas donde se destacan las </w:t>
      </w:r>
      <w:r>
        <w:rPr>
          <w:w w:val="150"/>
        </w:rPr>
        <w:t>tVE, </w:t>
      </w:r>
      <w:r>
        <w:rPr>
          <w:w w:val="110"/>
        </w:rPr>
        <w:t>que fueron casi totalmente privatizadas, resultando casos de </w:t>
      </w:r>
      <w:r>
        <w:rPr>
          <w:i/>
          <w:w w:val="110"/>
        </w:rPr>
        <w:t>insider privatization</w:t>
      </w:r>
      <w:r>
        <w:rPr>
          <w:w w:val="110"/>
        </w:rPr>
        <w:t>,  </w:t>
      </w:r>
      <w:r>
        <w:rPr>
          <w:spacing w:val="34"/>
          <w:w w:val="110"/>
        </w:rPr>
        <w:t> </w:t>
      </w:r>
      <w:r>
        <w:rPr>
          <w:w w:val="110"/>
        </w:rPr>
        <w:t>en</w:t>
      </w:r>
    </w:p>
    <w:p>
      <w:pPr>
        <w:pStyle w:val="BodyText"/>
        <w:spacing w:before="7"/>
        <w:rPr>
          <w:sz w:val="15"/>
        </w:rPr>
      </w:pPr>
      <w:r>
        <w:rPr/>
        <w:pict>
          <v:line style="position:absolute;mso-position-horizontal-relative:page;mso-position-vertical-relative:paragraph;z-index:1936;mso-wrap-distance-left:0;mso-wrap-distance-right:0" from="51.023602pt,11.360028pt" to="79.369602pt,11.360028pt" stroked="true" strokeweight=".5pt" strokecolor="#000000">
            <w10:wrap type="topAndBottom"/>
          </v:line>
        </w:pict>
      </w:r>
    </w:p>
    <w:p>
      <w:pPr>
        <w:pStyle w:val="ListParagraph"/>
        <w:numPr>
          <w:ilvl w:val="0"/>
          <w:numId w:val="2"/>
        </w:numPr>
        <w:tabs>
          <w:tab w:pos="376" w:val="left" w:leader="none"/>
        </w:tabs>
        <w:spacing w:line="240" w:lineRule="auto" w:before="89" w:after="0"/>
        <w:ind w:left="375" w:right="0" w:hanging="255"/>
        <w:jc w:val="left"/>
        <w:rPr>
          <w:i/>
          <w:sz w:val="16"/>
        </w:rPr>
      </w:pPr>
      <w:r>
        <w:rPr>
          <w:spacing w:val="-3"/>
          <w:w w:val="115"/>
          <w:sz w:val="16"/>
        </w:rPr>
        <w:t>Véase </w:t>
      </w:r>
      <w:r>
        <w:rPr>
          <w:i/>
          <w:w w:val="115"/>
          <w:sz w:val="16"/>
        </w:rPr>
        <w:t>oECD Economic Surveys: China</w:t>
      </w:r>
      <w:r>
        <w:rPr>
          <w:i/>
          <w:spacing w:val="-22"/>
          <w:w w:val="115"/>
          <w:sz w:val="16"/>
        </w:rPr>
        <w:t> </w:t>
      </w:r>
      <w:r>
        <w:rPr>
          <w:i/>
          <w:w w:val="115"/>
          <w:sz w:val="16"/>
        </w:rPr>
        <w:t>2013.</w:t>
      </w:r>
    </w:p>
    <w:p>
      <w:pPr>
        <w:spacing w:after="0" w:line="240" w:lineRule="auto"/>
        <w:jc w:val="left"/>
        <w:rPr>
          <w:sz w:val="16"/>
        </w:rPr>
        <w:sectPr>
          <w:footerReference w:type="default" r:id="rId85"/>
          <w:footerReference w:type="even" r:id="rId86"/>
          <w:pgSz w:w="8790" w:h="12760"/>
          <w:pgMar w:footer="723" w:header="697" w:top="880" w:bottom="920" w:left="900" w:right="1200"/>
          <w:pgNumType w:start="53"/>
        </w:sectPr>
      </w:pPr>
    </w:p>
    <w:p>
      <w:pPr>
        <w:pStyle w:val="BodyText"/>
        <w:spacing w:before="7"/>
        <w:rPr>
          <w:i/>
          <w:sz w:val="28"/>
        </w:rPr>
      </w:pPr>
    </w:p>
    <w:p>
      <w:pPr>
        <w:pStyle w:val="BodyText"/>
        <w:spacing w:line="252" w:lineRule="auto" w:before="73"/>
        <w:ind w:left="330" w:right="21"/>
        <w:rPr>
          <w:sz w:val="11"/>
        </w:rPr>
      </w:pPr>
      <w:r>
        <w:rPr>
          <w:w w:val="110"/>
        </w:rPr>
        <w:t>los cuales los gerentes se volvieron sus propietarios a partir de estímu- los gubernamentales.</w:t>
      </w:r>
      <w:r>
        <w:rPr>
          <w:w w:val="110"/>
          <w:position w:val="6"/>
          <w:sz w:val="11"/>
        </w:rPr>
        <w:t>15</w:t>
      </w:r>
    </w:p>
    <w:p>
      <w:pPr>
        <w:pStyle w:val="BodyText"/>
        <w:spacing w:line="252" w:lineRule="auto"/>
        <w:ind w:left="330" w:right="117" w:firstLine="396"/>
        <w:jc w:val="both"/>
      </w:pPr>
      <w:r>
        <w:rPr>
          <w:w w:val="110"/>
        </w:rPr>
        <w:t>sin embargo, la crisis mundial de 2008 pone en jaque el modelo    y señala sus importantes límites estructurales: su vinculación prio- ritaria al mercado norteamericano coloca a China en una posición vulnerable frente a sus inestabilidades, arriesgándose a importar sus crisis; el crecimiento de la desigualdad presiona en el sentido de la búsqueda permanente de niveles elevados de crecimiento económico para reducir las tensiones sociales que se acumulan; el alto grado de concentración industrial aumenta los desequilibrios macroeconómi- cos internacionales y eleva la dependencia de las </w:t>
      </w:r>
      <w:r>
        <w:rPr>
          <w:i/>
          <w:w w:val="110"/>
        </w:rPr>
        <w:t>commodities</w:t>
      </w:r>
      <w:r>
        <w:rPr>
          <w:w w:val="110"/>
        </w:rPr>
        <w:t>, la ex- posición a su ciclo de precios y la vulnerabilidad externa; el alto nivel de contaminación, provocado por la concentración industrial y sus altas tasas de crecimiento, degrada las condiciones de vida y viola el desarrollo</w:t>
      </w:r>
      <w:r>
        <w:rPr>
          <w:spacing w:val="-8"/>
          <w:w w:val="110"/>
        </w:rPr>
        <w:t> </w:t>
      </w:r>
      <w:r>
        <w:rPr>
          <w:w w:val="110"/>
        </w:rPr>
        <w:t>sustentable.</w:t>
      </w:r>
    </w:p>
    <w:p>
      <w:pPr>
        <w:pStyle w:val="BodyText"/>
        <w:spacing w:line="252" w:lineRule="auto"/>
        <w:ind w:left="330" w:right="117" w:firstLine="396"/>
        <w:jc w:val="both"/>
      </w:pPr>
      <w:r>
        <w:rPr>
          <w:w w:val="243"/>
        </w:rPr>
        <w:t>l</w:t>
      </w:r>
      <w:r>
        <w:rPr>
          <w:w w:val="112"/>
        </w:rPr>
        <w:t>a</w:t>
      </w:r>
      <w:r>
        <w:rPr>
          <w:spacing w:val="7"/>
        </w:rPr>
        <w:t> </w:t>
      </w:r>
      <w:r>
        <w:rPr>
          <w:w w:val="111"/>
        </w:rPr>
        <w:t>amenaza</w:t>
      </w:r>
      <w:r>
        <w:rPr>
          <w:spacing w:val="7"/>
        </w:rPr>
        <w:t> </w:t>
      </w:r>
      <w:r>
        <w:rPr>
          <w:w w:val="107"/>
        </w:rPr>
        <w:t>de</w:t>
      </w:r>
      <w:r>
        <w:rPr>
          <w:spacing w:val="7"/>
        </w:rPr>
        <w:t> </w:t>
      </w:r>
      <w:r>
        <w:rPr>
          <w:w w:val="111"/>
        </w:rPr>
        <w:t>la</w:t>
      </w:r>
      <w:r>
        <w:rPr>
          <w:spacing w:val="7"/>
        </w:rPr>
        <w:t> </w:t>
      </w:r>
      <w:r>
        <w:rPr>
          <w:w w:val="109"/>
        </w:rPr>
        <w:t>crisis</w:t>
      </w:r>
      <w:r>
        <w:rPr>
          <w:spacing w:val="7"/>
        </w:rPr>
        <w:t> </w:t>
      </w:r>
      <w:r>
        <w:rPr>
          <w:w w:val="107"/>
        </w:rPr>
        <w:t>de</w:t>
      </w:r>
      <w:r>
        <w:rPr>
          <w:spacing w:val="7"/>
        </w:rPr>
        <w:t> </w:t>
      </w:r>
      <w:r>
        <w:rPr>
          <w:w w:val="102"/>
        </w:rPr>
        <w:t>2008</w:t>
      </w:r>
      <w:r>
        <w:rPr>
          <w:spacing w:val="7"/>
        </w:rPr>
        <w:t> </w:t>
      </w:r>
      <w:r>
        <w:rPr>
          <w:w w:val="111"/>
        </w:rPr>
        <w:t>obligó</w:t>
      </w:r>
      <w:r>
        <w:rPr>
          <w:spacing w:val="7"/>
        </w:rPr>
        <w:t> </w:t>
      </w:r>
      <w:r>
        <w:rPr>
          <w:w w:val="111"/>
        </w:rPr>
        <w:t>al</w:t>
      </w:r>
      <w:r>
        <w:rPr>
          <w:spacing w:val="7"/>
        </w:rPr>
        <w:t> </w:t>
      </w:r>
      <w:r>
        <w:rPr>
          <w:w w:val="109"/>
        </w:rPr>
        <w:t>gobierno</w:t>
      </w:r>
      <w:r>
        <w:rPr>
          <w:spacing w:val="7"/>
        </w:rPr>
        <w:t> </w:t>
      </w:r>
      <w:r>
        <w:rPr>
          <w:w w:val="112"/>
        </w:rPr>
        <w:t>chino</w:t>
      </w:r>
      <w:r>
        <w:rPr>
          <w:spacing w:val="7"/>
        </w:rPr>
        <w:t> </w:t>
      </w:r>
      <w:r>
        <w:rPr>
          <w:w w:val="112"/>
        </w:rPr>
        <w:t>a</w:t>
      </w:r>
      <w:r>
        <w:rPr>
          <w:spacing w:val="7"/>
        </w:rPr>
        <w:t> </w:t>
      </w:r>
      <w:r>
        <w:rPr>
          <w:w w:val="112"/>
        </w:rPr>
        <w:t>iniciar </w:t>
      </w:r>
      <w:r>
        <w:rPr>
          <w:w w:val="110"/>
        </w:rPr>
        <w:t>una revisión de este modelo de expansión, priorizando el mercado interno. Estableció un paquete fiscal anticrisis equivalente al 9% del Pib que impulsó el gasto público orientado a la infraestructura, in- novación, vivienda, apoyo a la agricultura, salud y seguridad social; valorizó el yuan para contener las exportaciones; elaboró el 12º Plan quinquenal con el propósito de impulsar la transición de una econo- mía industrial basada en un crecimiento cuantitativo a otra de creci- miento cualitativo, fundada en la construcción de una economía de servicios vinculada a la alta tecnología industrial, la ciencia, la pro- moción del </w:t>
      </w:r>
      <w:r>
        <w:rPr>
          <w:spacing w:val="-3"/>
          <w:w w:val="110"/>
        </w:rPr>
        <w:t>bienestar, </w:t>
      </w:r>
      <w:r>
        <w:rPr>
          <w:w w:val="110"/>
        </w:rPr>
        <w:t>la disminución de la concentración de la renta, la sustentabilidad y reducción del uso de combustibles fósiles; y en el área de la política externa institucionalizó los </w:t>
      </w:r>
      <w:r>
        <w:rPr>
          <w:w w:val="150"/>
        </w:rPr>
        <w:t>briCs, </w:t>
      </w:r>
      <w:r>
        <w:rPr>
          <w:w w:val="110"/>
        </w:rPr>
        <w:t>lo que estable- ció otro foco de expansión de la política externa china, asociada a la construcción de una fuerza internacional centrada en la alianza entre países con fuerte vocación continental y gran proyección hacia el </w:t>
      </w:r>
      <w:r>
        <w:rPr>
          <w:spacing w:val="-6"/>
          <w:w w:val="110"/>
        </w:rPr>
        <w:t>sur, </w:t>
      </w:r>
      <w:r>
        <w:rPr>
          <w:w w:val="110"/>
        </w:rPr>
        <w:t>con expectativas y potencialidad de afectar a mediano o largo plazo la alineación geopolítica internacional y sus estructuras de </w:t>
      </w:r>
      <w:r>
        <w:rPr>
          <w:spacing w:val="17"/>
          <w:w w:val="110"/>
        </w:rPr>
        <w:t> </w:t>
      </w:r>
      <w:r>
        <w:rPr>
          <w:spacing w:val="-4"/>
          <w:w w:val="110"/>
        </w:rPr>
        <w:t>poder.</w:t>
      </w:r>
    </w:p>
    <w:p>
      <w:pPr>
        <w:pStyle w:val="BodyText"/>
        <w:spacing w:line="252" w:lineRule="auto"/>
        <w:ind w:left="330" w:right="116" w:firstLine="396"/>
        <w:jc w:val="both"/>
      </w:pPr>
      <w:r>
        <w:rPr>
          <w:w w:val="243"/>
        </w:rPr>
        <w:t>l</w:t>
      </w:r>
      <w:r>
        <w:rPr>
          <w:w w:val="112"/>
        </w:rPr>
        <w:t>a</w:t>
      </w:r>
      <w:r>
        <w:rPr/>
        <w:t> </w:t>
      </w:r>
      <w:r>
        <w:rPr>
          <w:spacing w:val="-15"/>
        </w:rPr>
        <w:t> </w:t>
      </w:r>
      <w:r>
        <w:rPr>
          <w:w w:val="113"/>
        </w:rPr>
        <w:t>Carta</w:t>
      </w:r>
      <w:r>
        <w:rPr/>
        <w:t> </w:t>
      </w:r>
      <w:r>
        <w:rPr>
          <w:spacing w:val="-15"/>
        </w:rPr>
        <w:t> </w:t>
      </w:r>
      <w:r>
        <w:rPr>
          <w:w w:val="107"/>
        </w:rPr>
        <w:t>de</w:t>
      </w:r>
      <w:r>
        <w:rPr/>
        <w:t> </w:t>
      </w:r>
      <w:r>
        <w:rPr>
          <w:spacing w:val="-15"/>
        </w:rPr>
        <w:t> </w:t>
      </w:r>
      <w:r>
        <w:rPr>
          <w:w w:val="112"/>
        </w:rPr>
        <w:t>Fortaleza,</w:t>
      </w:r>
      <w:r>
        <w:rPr/>
        <w:t> </w:t>
      </w:r>
      <w:r>
        <w:rPr>
          <w:spacing w:val="-15"/>
        </w:rPr>
        <w:t> </w:t>
      </w:r>
      <w:r>
        <w:rPr>
          <w:w w:val="108"/>
        </w:rPr>
        <w:t>resultado</w:t>
      </w:r>
      <w:r>
        <w:rPr/>
        <w:t> </w:t>
      </w:r>
      <w:r>
        <w:rPr>
          <w:spacing w:val="-15"/>
        </w:rPr>
        <w:t> </w:t>
      </w:r>
      <w:r>
        <w:rPr>
          <w:w w:val="107"/>
        </w:rPr>
        <w:t>de</w:t>
      </w:r>
      <w:r>
        <w:rPr/>
        <w:t> </w:t>
      </w:r>
      <w:r>
        <w:rPr>
          <w:spacing w:val="-15"/>
        </w:rPr>
        <w:t> </w:t>
      </w:r>
      <w:r>
        <w:rPr>
          <w:w w:val="111"/>
        </w:rPr>
        <w:t>la</w:t>
      </w:r>
      <w:r>
        <w:rPr/>
        <w:t> </w:t>
      </w:r>
      <w:r>
        <w:rPr>
          <w:spacing w:val="-15"/>
        </w:rPr>
        <w:t> </w:t>
      </w:r>
      <w:r>
        <w:rPr>
          <w:w w:val="119"/>
        </w:rPr>
        <w:t>V</w:t>
      </w:r>
      <w:r>
        <w:rPr>
          <w:w w:val="142"/>
        </w:rPr>
        <w:t>i</w:t>
      </w:r>
      <w:r>
        <w:rPr/>
        <w:t> </w:t>
      </w:r>
      <w:r>
        <w:rPr>
          <w:spacing w:val="-15"/>
        </w:rPr>
        <w:t> </w:t>
      </w:r>
      <w:r>
        <w:rPr>
          <w:w w:val="114"/>
        </w:rPr>
        <w:t>Cúpula</w:t>
      </w:r>
      <w:r>
        <w:rPr/>
        <w:t> </w:t>
      </w:r>
      <w:r>
        <w:rPr>
          <w:spacing w:val="-15"/>
        </w:rPr>
        <w:t> </w:t>
      </w:r>
      <w:r>
        <w:rPr>
          <w:w w:val="107"/>
        </w:rPr>
        <w:t>de</w:t>
      </w:r>
      <w:r>
        <w:rPr/>
        <w:t> </w:t>
      </w:r>
      <w:r>
        <w:rPr>
          <w:spacing w:val="-15"/>
        </w:rPr>
        <w:t> </w:t>
      </w:r>
      <w:r>
        <w:rPr>
          <w:w w:val="108"/>
        </w:rPr>
        <w:t>los</w:t>
      </w:r>
      <w:r>
        <w:rPr/>
        <w:t> </w:t>
      </w:r>
      <w:r>
        <w:rPr>
          <w:spacing w:val="-15"/>
        </w:rPr>
        <w:t> </w:t>
      </w:r>
      <w:r>
        <w:rPr>
          <w:w w:val="152"/>
        </w:rPr>
        <w:t>bri</w:t>
      </w:r>
      <w:r>
        <w:rPr>
          <w:w w:val="124"/>
        </w:rPr>
        <w:t>C</w:t>
      </w:r>
      <w:r>
        <w:rPr>
          <w:w w:val="149"/>
        </w:rPr>
        <w:t>s</w:t>
      </w:r>
      <w:r>
        <w:rPr>
          <w:w w:val="138"/>
        </w:rPr>
        <w:t>, </w:t>
      </w:r>
      <w:r>
        <w:rPr>
          <w:w w:val="110"/>
        </w:rPr>
        <w:t>afirma que estos países están empeñados en la construcción de un marco intergubernamental inclusivo, transparente y  participativo  con una agenda de desarrollo universal dirigida a la erradicación de  la pobreza. Establece la creación de un nuevo banco de desarrollo, dedicado a superar los problemas de financiamiento que los países emergentes y en desarrollo enfrentan para resolver sus problemas</w:t>
      </w:r>
      <w:r>
        <w:rPr>
          <w:spacing w:val="-9"/>
          <w:w w:val="110"/>
        </w:rPr>
        <w:t> </w:t>
      </w:r>
      <w:r>
        <w:rPr>
          <w:w w:val="110"/>
        </w:rPr>
        <w:t>de</w:t>
      </w:r>
    </w:p>
    <w:p>
      <w:pPr>
        <w:pStyle w:val="BodyText"/>
        <w:spacing w:before="3"/>
        <w:rPr>
          <w:sz w:val="27"/>
        </w:rPr>
      </w:pPr>
    </w:p>
    <w:p>
      <w:pPr>
        <w:pStyle w:val="ListParagraph"/>
        <w:numPr>
          <w:ilvl w:val="0"/>
          <w:numId w:val="2"/>
        </w:numPr>
        <w:tabs>
          <w:tab w:pos="586" w:val="left" w:leader="none"/>
        </w:tabs>
        <w:spacing w:line="242" w:lineRule="auto" w:before="75" w:after="0"/>
        <w:ind w:left="330" w:right="119" w:firstLine="0"/>
        <w:jc w:val="left"/>
        <w:rPr>
          <w:sz w:val="16"/>
        </w:rPr>
      </w:pPr>
      <w:r>
        <w:rPr>
          <w:spacing w:val="-3"/>
          <w:w w:val="120"/>
          <w:sz w:val="16"/>
        </w:rPr>
        <w:t>Véase</w:t>
      </w:r>
      <w:r>
        <w:rPr>
          <w:spacing w:val="-21"/>
          <w:w w:val="120"/>
          <w:sz w:val="16"/>
        </w:rPr>
        <w:t> </w:t>
      </w:r>
      <w:r>
        <w:rPr>
          <w:w w:val="120"/>
          <w:sz w:val="16"/>
        </w:rPr>
        <w:t>mi</w:t>
      </w:r>
      <w:r>
        <w:rPr>
          <w:spacing w:val="-21"/>
          <w:w w:val="120"/>
          <w:sz w:val="16"/>
        </w:rPr>
        <w:t> </w:t>
      </w:r>
      <w:r>
        <w:rPr>
          <w:w w:val="120"/>
          <w:sz w:val="16"/>
        </w:rPr>
        <w:t>capítulo</w:t>
      </w:r>
      <w:r>
        <w:rPr>
          <w:spacing w:val="-21"/>
          <w:w w:val="120"/>
          <w:sz w:val="16"/>
        </w:rPr>
        <w:t> </w:t>
      </w:r>
      <w:r>
        <w:rPr>
          <w:w w:val="120"/>
          <w:sz w:val="16"/>
        </w:rPr>
        <w:t>“a</w:t>
      </w:r>
      <w:r>
        <w:rPr>
          <w:spacing w:val="-21"/>
          <w:w w:val="120"/>
          <w:sz w:val="16"/>
        </w:rPr>
        <w:t> </w:t>
      </w:r>
      <w:r>
        <w:rPr>
          <w:w w:val="120"/>
          <w:sz w:val="16"/>
        </w:rPr>
        <w:t>Geopolítica</w:t>
      </w:r>
      <w:r>
        <w:rPr>
          <w:spacing w:val="-21"/>
          <w:w w:val="120"/>
          <w:sz w:val="16"/>
        </w:rPr>
        <w:t> </w:t>
      </w:r>
      <w:r>
        <w:rPr>
          <w:w w:val="120"/>
          <w:sz w:val="16"/>
        </w:rPr>
        <w:t>mundial</w:t>
      </w:r>
      <w:r>
        <w:rPr>
          <w:spacing w:val="-21"/>
          <w:w w:val="120"/>
          <w:sz w:val="16"/>
        </w:rPr>
        <w:t> </w:t>
      </w:r>
      <w:r>
        <w:rPr>
          <w:w w:val="120"/>
          <w:sz w:val="16"/>
        </w:rPr>
        <w:t>e</w:t>
      </w:r>
      <w:r>
        <w:rPr>
          <w:spacing w:val="-21"/>
          <w:w w:val="120"/>
          <w:sz w:val="16"/>
        </w:rPr>
        <w:t> </w:t>
      </w:r>
      <w:r>
        <w:rPr>
          <w:w w:val="120"/>
          <w:sz w:val="16"/>
        </w:rPr>
        <w:t>a</w:t>
      </w:r>
      <w:r>
        <w:rPr>
          <w:spacing w:val="-21"/>
          <w:w w:val="120"/>
          <w:sz w:val="16"/>
        </w:rPr>
        <w:t> </w:t>
      </w:r>
      <w:r>
        <w:rPr>
          <w:w w:val="120"/>
          <w:sz w:val="16"/>
        </w:rPr>
        <w:t>economia</w:t>
      </w:r>
      <w:r>
        <w:rPr>
          <w:spacing w:val="-21"/>
          <w:w w:val="120"/>
          <w:sz w:val="16"/>
        </w:rPr>
        <w:t> </w:t>
      </w:r>
      <w:r>
        <w:rPr>
          <w:w w:val="120"/>
          <w:sz w:val="16"/>
        </w:rPr>
        <w:t>política</w:t>
      </w:r>
      <w:r>
        <w:rPr>
          <w:spacing w:val="-21"/>
          <w:w w:val="120"/>
          <w:sz w:val="16"/>
        </w:rPr>
        <w:t> </w:t>
      </w:r>
      <w:r>
        <w:rPr>
          <w:w w:val="120"/>
          <w:sz w:val="16"/>
        </w:rPr>
        <w:t>no</w:t>
      </w:r>
      <w:r>
        <w:rPr>
          <w:spacing w:val="-21"/>
          <w:w w:val="120"/>
          <w:sz w:val="16"/>
        </w:rPr>
        <w:t> </w:t>
      </w:r>
      <w:r>
        <w:rPr>
          <w:w w:val="120"/>
          <w:sz w:val="16"/>
        </w:rPr>
        <w:t>século</w:t>
      </w:r>
      <w:r>
        <w:rPr>
          <w:spacing w:val="-21"/>
          <w:w w:val="120"/>
          <w:sz w:val="16"/>
        </w:rPr>
        <w:t> </w:t>
      </w:r>
      <w:r>
        <w:rPr>
          <w:w w:val="120"/>
          <w:sz w:val="16"/>
        </w:rPr>
        <w:t>xxi: </w:t>
      </w:r>
      <w:r>
        <w:rPr>
          <w:w w:val="109"/>
          <w:sz w:val="16"/>
        </w:rPr>
        <w:t>hegemonia,</w:t>
      </w:r>
      <w:r>
        <w:rPr>
          <w:spacing w:val="9"/>
          <w:sz w:val="16"/>
        </w:rPr>
        <w:t> </w:t>
      </w:r>
      <w:r>
        <w:rPr>
          <w:w w:val="149"/>
          <w:sz w:val="16"/>
        </w:rPr>
        <w:t>bri</w:t>
      </w:r>
      <w:r>
        <w:rPr>
          <w:w w:val="121"/>
          <w:sz w:val="16"/>
        </w:rPr>
        <w:t>C</w:t>
      </w:r>
      <w:r>
        <w:rPr>
          <w:w w:val="146"/>
          <w:sz w:val="16"/>
        </w:rPr>
        <w:t>s</w:t>
      </w:r>
      <w:r>
        <w:rPr>
          <w:spacing w:val="9"/>
          <w:sz w:val="16"/>
        </w:rPr>
        <w:t> </w:t>
      </w:r>
      <w:r>
        <w:rPr>
          <w:w w:val="102"/>
          <w:sz w:val="16"/>
        </w:rPr>
        <w:t>e</w:t>
      </w:r>
      <w:r>
        <w:rPr>
          <w:spacing w:val="9"/>
          <w:sz w:val="16"/>
        </w:rPr>
        <w:t> </w:t>
      </w:r>
      <w:r>
        <w:rPr>
          <w:w w:val="136"/>
          <w:sz w:val="16"/>
        </w:rPr>
        <w:t>a</w:t>
      </w:r>
      <w:r>
        <w:rPr>
          <w:w w:val="108"/>
          <w:sz w:val="16"/>
        </w:rPr>
        <w:t>mérica</w:t>
      </w:r>
      <w:r>
        <w:rPr>
          <w:spacing w:val="9"/>
          <w:sz w:val="16"/>
        </w:rPr>
        <w:t> </w:t>
      </w:r>
      <w:r>
        <w:rPr>
          <w:w w:val="238"/>
          <w:sz w:val="16"/>
        </w:rPr>
        <w:t>l</w:t>
      </w:r>
      <w:r>
        <w:rPr>
          <w:w w:val="109"/>
          <w:sz w:val="16"/>
        </w:rPr>
        <w:t>atina”</w:t>
      </w:r>
      <w:r>
        <w:rPr>
          <w:spacing w:val="9"/>
          <w:sz w:val="16"/>
        </w:rPr>
        <w:t> </w:t>
      </w:r>
      <w:r>
        <w:rPr>
          <w:w w:val="109"/>
          <w:sz w:val="16"/>
        </w:rPr>
        <w:t>(Martins,</w:t>
      </w:r>
      <w:r>
        <w:rPr>
          <w:spacing w:val="9"/>
          <w:sz w:val="16"/>
        </w:rPr>
        <w:t> </w:t>
      </w:r>
      <w:r>
        <w:rPr>
          <w:w w:val="102"/>
          <w:sz w:val="16"/>
        </w:rPr>
        <w:t>2013).</w:t>
      </w:r>
    </w:p>
    <w:p>
      <w:pPr>
        <w:spacing w:after="0" w:line="242" w:lineRule="auto"/>
        <w:jc w:val="left"/>
        <w:rPr>
          <w:sz w:val="16"/>
        </w:rPr>
        <w:sectPr>
          <w:pgSz w:w="8790" w:h="12760"/>
          <w:pgMar w:header="695" w:footer="1061" w:top="880" w:bottom="1260" w:left="1200" w:right="900"/>
        </w:sectPr>
      </w:pPr>
    </w:p>
    <w:p>
      <w:pPr>
        <w:pStyle w:val="BodyText"/>
        <w:spacing w:before="9"/>
        <w:rPr>
          <w:sz w:val="28"/>
        </w:rPr>
      </w:pPr>
    </w:p>
    <w:p>
      <w:pPr>
        <w:pStyle w:val="BodyText"/>
        <w:spacing w:line="252" w:lineRule="auto" w:before="73"/>
        <w:ind w:left="120" w:right="326"/>
        <w:jc w:val="both"/>
      </w:pPr>
      <w:r>
        <w:rPr>
          <w:w w:val="110"/>
        </w:rPr>
        <w:t>infraestructura. respalda el acuerdo de comercio e inversión en mo- nedas locales, formalizado por los </w:t>
      </w:r>
      <w:r>
        <w:rPr>
          <w:w w:val="150"/>
        </w:rPr>
        <w:t>briCs </w:t>
      </w:r>
      <w:r>
        <w:rPr>
          <w:w w:val="110"/>
        </w:rPr>
        <w:t>en 2012, y propone </w:t>
      </w:r>
      <w:r>
        <w:rPr>
          <w:i/>
          <w:w w:val="110"/>
        </w:rPr>
        <w:t>swaps </w:t>
      </w:r>
      <w:r>
        <w:rPr>
          <w:w w:val="110"/>
        </w:rPr>
        <w:t>de divisas como mecanismo para limitar el uso del </w:t>
      </w:r>
      <w:r>
        <w:rPr>
          <w:spacing w:val="-4"/>
          <w:w w:val="110"/>
        </w:rPr>
        <w:t>dólar. </w:t>
      </w:r>
      <w:r>
        <w:rPr>
          <w:w w:val="110"/>
        </w:rPr>
        <w:t>afirma la importancia de las empresas estatales, de la cooperación y del </w:t>
      </w:r>
      <w:r>
        <w:rPr>
          <w:spacing w:val="-3"/>
          <w:w w:val="110"/>
        </w:rPr>
        <w:t>inter- </w:t>
      </w:r>
      <w:r>
        <w:rPr>
          <w:w w:val="110"/>
        </w:rPr>
        <w:t>cambio internacional entre ellas, para la promoción del desarrollo, tanto de las pequeñas como de las medianas empresas. asume una particular preocupación por el desarrollo de la infraestructura y la in- dustria en África. Establece, sin embargo, un fondo de estabilización contra ataques especulativos internacionales y hace fuertes críticas   al banco Mundial (bM) y al  Fondo  Monetario  internacional  (FMi) por no democratizar sus estructuras de decisión y sus sistemas de cuotas, considerando la meta de la erradicación de la pobreza extre- ma inalcanzable en estos términos. Propone la reforma del Conse-      jo de seguridad para que brasil, india y sudáfrica puedan jugar un papel más decisivo en Naciones unidas. afirma que la seguridad es    un bien colectivo y que ningún Estado debe fortalecer su seguridad </w:t>
      </w:r>
      <w:r>
        <w:rPr>
          <w:w w:val="108"/>
        </w:rPr>
        <w:t>en</w:t>
      </w:r>
      <w:r>
        <w:rPr>
          <w:spacing w:val="18"/>
        </w:rPr>
        <w:t> </w:t>
      </w:r>
      <w:r>
        <w:rPr>
          <w:w w:val="109"/>
        </w:rPr>
        <w:t>detrimento</w:t>
      </w:r>
      <w:r>
        <w:rPr>
          <w:spacing w:val="18"/>
        </w:rPr>
        <w:t> </w:t>
      </w:r>
      <w:r>
        <w:rPr>
          <w:w w:val="107"/>
        </w:rPr>
        <w:t>de</w:t>
      </w:r>
      <w:r>
        <w:rPr>
          <w:spacing w:val="18"/>
        </w:rPr>
        <w:t> </w:t>
      </w:r>
      <w:r>
        <w:rPr>
          <w:w w:val="108"/>
        </w:rPr>
        <w:t>los</w:t>
      </w:r>
      <w:r>
        <w:rPr>
          <w:spacing w:val="18"/>
        </w:rPr>
        <w:t> </w:t>
      </w:r>
      <w:r>
        <w:rPr>
          <w:w w:val="111"/>
        </w:rPr>
        <w:t>demás.</w:t>
      </w:r>
      <w:r>
        <w:rPr>
          <w:spacing w:val="18"/>
        </w:rPr>
        <w:t> </w:t>
      </w:r>
      <w:r>
        <w:rPr>
          <w:w w:val="243"/>
        </w:rPr>
        <w:t>l</w:t>
      </w:r>
      <w:r>
        <w:rPr>
          <w:w w:val="112"/>
        </w:rPr>
        <w:t>a</w:t>
      </w:r>
      <w:r>
        <w:rPr>
          <w:spacing w:val="18"/>
        </w:rPr>
        <w:t> </w:t>
      </w:r>
      <w:r>
        <w:rPr>
          <w:w w:val="110"/>
        </w:rPr>
        <w:t>carta</w:t>
      </w:r>
      <w:r>
        <w:rPr>
          <w:spacing w:val="18"/>
        </w:rPr>
        <w:t> </w:t>
      </w:r>
      <w:r>
        <w:rPr>
          <w:w w:val="110"/>
        </w:rPr>
        <w:t>asume</w:t>
      </w:r>
      <w:r>
        <w:rPr>
          <w:spacing w:val="18"/>
        </w:rPr>
        <w:t> </w:t>
      </w:r>
      <w:r>
        <w:rPr>
          <w:w w:val="110"/>
        </w:rPr>
        <w:t>posiciones</w:t>
      </w:r>
      <w:r>
        <w:rPr>
          <w:spacing w:val="18"/>
        </w:rPr>
        <w:t> </w:t>
      </w:r>
      <w:r>
        <w:rPr>
          <w:w w:val="110"/>
        </w:rPr>
        <w:t>antiimperia</w:t>
      </w:r>
      <w:r>
        <w:rPr>
          <w:w w:val="102"/>
        </w:rPr>
        <w:t>- </w:t>
      </w:r>
      <w:r>
        <w:rPr>
          <w:w w:val="110"/>
        </w:rPr>
        <w:t>listas, defendiendo una solución no militar para la crisis política en siria, el establecimiento de una zona libre de armas nucleares y de destrucción masiva en oriente Medio, y la soberanía de un Estado Palestino con base en las líneas del 4 de junio de 1967, conviviendo pacíficamente con israel. asume la preocupación con las crisis hu- manitarias y políticas en África, oriente Medio y afganistán, propo- niendo la mediación de Naciones unidas y mecanismos negociados y consensuados de</w:t>
      </w:r>
      <w:r>
        <w:rPr>
          <w:spacing w:val="33"/>
          <w:w w:val="110"/>
        </w:rPr>
        <w:t> </w:t>
      </w:r>
      <w:r>
        <w:rPr>
          <w:w w:val="110"/>
        </w:rPr>
        <w:t>solución.</w:t>
      </w:r>
    </w:p>
    <w:p>
      <w:pPr>
        <w:pStyle w:val="BodyText"/>
        <w:spacing w:line="252" w:lineRule="auto"/>
        <w:ind w:left="120" w:right="328" w:firstLine="396"/>
        <w:jc w:val="both"/>
      </w:pPr>
      <w:r>
        <w:rPr>
          <w:w w:val="110"/>
        </w:rPr>
        <w:t>se abre, por tanto, un espacio de acumulación de poder capaz de retomar el espíritu de bandung, anclado en bases materiales mucho más poderosas, impulsadas por el despegue de China en la primera década del siglo </w:t>
      </w:r>
      <w:r>
        <w:rPr>
          <w:w w:val="130"/>
        </w:rPr>
        <w:t>xxi, </w:t>
      </w:r>
      <w:r>
        <w:rPr>
          <w:w w:val="110"/>
        </w:rPr>
        <w:t>como ya mencionaba Giovanni arrighi al ana- </w:t>
      </w:r>
      <w:r>
        <w:rPr>
          <w:w w:val="111"/>
        </w:rPr>
        <w:t>lizar</w:t>
      </w:r>
      <w:r>
        <w:rPr/>
        <w:t> </w:t>
      </w:r>
      <w:r>
        <w:rPr>
          <w:spacing w:val="-21"/>
        </w:rPr>
        <w:t> </w:t>
      </w:r>
      <w:r>
        <w:rPr>
          <w:w w:val="111"/>
        </w:rPr>
        <w:t>la</w:t>
      </w:r>
      <w:r>
        <w:rPr/>
        <w:t> </w:t>
      </w:r>
      <w:r>
        <w:rPr>
          <w:spacing w:val="-21"/>
        </w:rPr>
        <w:t> </w:t>
      </w:r>
      <w:r>
        <w:rPr>
          <w:w w:val="109"/>
        </w:rPr>
        <w:t>emergencia</w:t>
      </w:r>
      <w:r>
        <w:rPr/>
        <w:t> </w:t>
      </w:r>
      <w:r>
        <w:rPr>
          <w:spacing w:val="-21"/>
        </w:rPr>
        <w:t> </w:t>
      </w:r>
      <w:r>
        <w:rPr>
          <w:w w:val="107"/>
        </w:rPr>
        <w:t>de</w:t>
      </w:r>
      <w:r>
        <w:rPr/>
        <w:t> </w:t>
      </w:r>
      <w:r>
        <w:rPr>
          <w:spacing w:val="-21"/>
        </w:rPr>
        <w:t> </w:t>
      </w:r>
      <w:r>
        <w:rPr>
          <w:w w:val="108"/>
        </w:rPr>
        <w:t>los</w:t>
      </w:r>
      <w:r>
        <w:rPr/>
        <w:t> </w:t>
      </w:r>
      <w:r>
        <w:rPr>
          <w:spacing w:val="-21"/>
        </w:rPr>
        <w:t> </w:t>
      </w:r>
      <w:r>
        <w:rPr>
          <w:w w:val="108"/>
        </w:rPr>
        <w:t>países</w:t>
      </w:r>
      <w:r>
        <w:rPr/>
        <w:t> </w:t>
      </w:r>
      <w:r>
        <w:rPr>
          <w:spacing w:val="-21"/>
        </w:rPr>
        <w:t> </w:t>
      </w:r>
      <w:r>
        <w:rPr>
          <w:w w:val="107"/>
        </w:rPr>
        <w:t>del</w:t>
      </w:r>
      <w:r>
        <w:rPr/>
        <w:t> </w:t>
      </w:r>
      <w:r>
        <w:rPr>
          <w:spacing w:val="-21"/>
        </w:rPr>
        <w:t> </w:t>
      </w:r>
      <w:r>
        <w:rPr>
          <w:w w:val="149"/>
        </w:rPr>
        <w:t>s</w:t>
      </w:r>
      <w:r>
        <w:rPr>
          <w:w w:val="112"/>
        </w:rPr>
        <w:t>u</w:t>
      </w:r>
      <w:r>
        <w:rPr>
          <w:spacing w:val="-22"/>
          <w:w w:val="105"/>
        </w:rPr>
        <w:t>r</w:t>
      </w:r>
      <w:r>
        <w:rPr>
          <w:w w:val="138"/>
        </w:rPr>
        <w:t>.</w:t>
      </w:r>
      <w:r>
        <w:rPr>
          <w:w w:val="103"/>
          <w:position w:val="6"/>
          <w:sz w:val="11"/>
        </w:rPr>
        <w:t>16</w:t>
      </w:r>
      <w:r>
        <w:rPr>
          <w:position w:val="6"/>
          <w:sz w:val="11"/>
        </w:rPr>
        <w:t>  </w:t>
      </w:r>
      <w:r>
        <w:rPr>
          <w:spacing w:val="-10"/>
          <w:position w:val="6"/>
          <w:sz w:val="11"/>
        </w:rPr>
        <w:t> </w:t>
      </w:r>
      <w:r>
        <w:rPr>
          <w:w w:val="243"/>
        </w:rPr>
        <w:t>l</w:t>
      </w:r>
      <w:r>
        <w:rPr>
          <w:w w:val="108"/>
        </w:rPr>
        <w:t>os</w:t>
      </w:r>
      <w:r>
        <w:rPr/>
        <w:t> </w:t>
      </w:r>
      <w:r>
        <w:rPr>
          <w:spacing w:val="-21"/>
        </w:rPr>
        <w:t> </w:t>
      </w:r>
      <w:r>
        <w:rPr>
          <w:w w:val="152"/>
        </w:rPr>
        <w:t>bri</w:t>
      </w:r>
      <w:r>
        <w:rPr>
          <w:w w:val="124"/>
        </w:rPr>
        <w:t>C</w:t>
      </w:r>
      <w:r>
        <w:rPr>
          <w:w w:val="149"/>
        </w:rPr>
        <w:t>s</w:t>
      </w:r>
      <w:r>
        <w:rPr/>
        <w:t> </w:t>
      </w:r>
      <w:r>
        <w:rPr>
          <w:spacing w:val="-21"/>
        </w:rPr>
        <w:t> </w:t>
      </w:r>
      <w:r>
        <w:rPr>
          <w:w w:val="108"/>
        </w:rPr>
        <w:t>presentan</w:t>
      </w:r>
      <w:r>
        <w:rPr/>
        <w:t> </w:t>
      </w:r>
      <w:r>
        <w:rPr>
          <w:spacing w:val="-21"/>
        </w:rPr>
        <w:t> </w:t>
      </w:r>
      <w:r>
        <w:rPr>
          <w:w w:val="112"/>
        </w:rPr>
        <w:t>una </w:t>
      </w:r>
      <w:r>
        <w:rPr>
          <w:w w:val="110"/>
        </w:rPr>
        <w:t>agenda que: a) propone un giro de las inversiones financieras hacia las productivas, lo cual en el límite puede amenazar las ganancias monopólicas</w:t>
      </w:r>
      <w:r>
        <w:rPr>
          <w:spacing w:val="27"/>
          <w:w w:val="110"/>
        </w:rPr>
        <w:t> </w:t>
      </w:r>
      <w:r>
        <w:rPr>
          <w:w w:val="110"/>
        </w:rPr>
        <w:t>al</w:t>
      </w:r>
      <w:r>
        <w:rPr>
          <w:spacing w:val="27"/>
          <w:w w:val="110"/>
        </w:rPr>
        <w:t> </w:t>
      </w:r>
      <w:r>
        <w:rPr>
          <w:w w:val="110"/>
        </w:rPr>
        <w:t>presionar</w:t>
      </w:r>
      <w:r>
        <w:rPr>
          <w:spacing w:val="27"/>
          <w:w w:val="110"/>
        </w:rPr>
        <w:t> </w:t>
      </w:r>
      <w:r>
        <w:rPr>
          <w:w w:val="110"/>
        </w:rPr>
        <w:t>hacia</w:t>
      </w:r>
      <w:r>
        <w:rPr>
          <w:spacing w:val="27"/>
          <w:w w:val="110"/>
        </w:rPr>
        <w:t> </w:t>
      </w:r>
      <w:r>
        <w:rPr>
          <w:w w:val="110"/>
        </w:rPr>
        <w:t>abajo</w:t>
      </w:r>
      <w:r>
        <w:rPr>
          <w:spacing w:val="27"/>
          <w:w w:val="110"/>
        </w:rPr>
        <w:t> </w:t>
      </w:r>
      <w:r>
        <w:rPr>
          <w:w w:val="110"/>
        </w:rPr>
        <w:t>los</w:t>
      </w:r>
      <w:r>
        <w:rPr>
          <w:spacing w:val="27"/>
          <w:w w:val="110"/>
        </w:rPr>
        <w:t> </w:t>
      </w:r>
      <w:r>
        <w:rPr>
          <w:w w:val="110"/>
        </w:rPr>
        <w:t>precios</w:t>
      </w:r>
      <w:r>
        <w:rPr>
          <w:spacing w:val="27"/>
          <w:w w:val="110"/>
        </w:rPr>
        <w:t> </w:t>
      </w:r>
      <w:r>
        <w:rPr>
          <w:w w:val="110"/>
        </w:rPr>
        <w:t>de</w:t>
      </w:r>
      <w:r>
        <w:rPr>
          <w:spacing w:val="27"/>
          <w:w w:val="110"/>
        </w:rPr>
        <w:t> </w:t>
      </w:r>
      <w:r>
        <w:rPr>
          <w:w w:val="110"/>
        </w:rPr>
        <w:t>las</w:t>
      </w:r>
      <w:r>
        <w:rPr>
          <w:spacing w:val="27"/>
          <w:w w:val="110"/>
        </w:rPr>
        <w:t> </w:t>
      </w:r>
      <w:r>
        <w:rPr>
          <w:w w:val="110"/>
        </w:rPr>
        <w:t>mercancías;</w:t>
      </w:r>
    </w:p>
    <w:p>
      <w:pPr>
        <w:pStyle w:val="BodyText"/>
        <w:spacing w:line="252" w:lineRule="auto"/>
        <w:ind w:left="120" w:right="328"/>
        <w:jc w:val="both"/>
      </w:pPr>
      <w:r>
        <w:rPr>
          <w:w w:val="110"/>
        </w:rPr>
        <w:t>b) la construcción de marcos intergubernamentales que envuelven di- rectamente al 40% de la humanidad y que pueden ampliarse para el </w:t>
      </w:r>
      <w:r>
        <w:rPr>
          <w:spacing w:val="-6"/>
          <w:w w:val="110"/>
        </w:rPr>
        <w:t>sur, </w:t>
      </w:r>
      <w:r>
        <w:rPr>
          <w:w w:val="110"/>
        </w:rPr>
        <w:t>generando posibilidades mucho menos asimétricas y mucho más convergentes de relación entre los poderes económicos y sociales que las impulsadas globalmente por las potencias marítimas; c) fortalece un</w:t>
      </w:r>
      <w:r>
        <w:rPr>
          <w:spacing w:val="-7"/>
          <w:w w:val="110"/>
        </w:rPr>
        <w:t> </w:t>
      </w:r>
      <w:r>
        <w:rPr>
          <w:w w:val="110"/>
        </w:rPr>
        <w:t>patrón</w:t>
      </w:r>
      <w:r>
        <w:rPr>
          <w:spacing w:val="-7"/>
          <w:w w:val="110"/>
        </w:rPr>
        <w:t> </w:t>
      </w:r>
      <w:r>
        <w:rPr>
          <w:w w:val="110"/>
        </w:rPr>
        <w:t>de</w:t>
      </w:r>
      <w:r>
        <w:rPr>
          <w:spacing w:val="-7"/>
          <w:w w:val="110"/>
        </w:rPr>
        <w:t> </w:t>
      </w:r>
      <w:r>
        <w:rPr>
          <w:w w:val="110"/>
        </w:rPr>
        <w:t>desarrollo</w:t>
      </w:r>
      <w:r>
        <w:rPr>
          <w:spacing w:val="-7"/>
          <w:w w:val="110"/>
        </w:rPr>
        <w:t> </w:t>
      </w:r>
      <w:r>
        <w:rPr>
          <w:w w:val="110"/>
        </w:rPr>
        <w:t>ampliamente</w:t>
      </w:r>
      <w:r>
        <w:rPr>
          <w:spacing w:val="-7"/>
          <w:w w:val="110"/>
        </w:rPr>
        <w:t> </w:t>
      </w:r>
      <w:r>
        <w:rPr>
          <w:w w:val="110"/>
        </w:rPr>
        <w:t>apoyado</w:t>
      </w:r>
      <w:r>
        <w:rPr>
          <w:spacing w:val="-7"/>
          <w:w w:val="110"/>
        </w:rPr>
        <w:t> </w:t>
      </w:r>
      <w:r>
        <w:rPr>
          <w:w w:val="110"/>
        </w:rPr>
        <w:t>en</w:t>
      </w:r>
      <w:r>
        <w:rPr>
          <w:spacing w:val="-7"/>
          <w:w w:val="110"/>
        </w:rPr>
        <w:t> </w:t>
      </w:r>
      <w:r>
        <w:rPr>
          <w:w w:val="110"/>
        </w:rPr>
        <w:t>empresas</w:t>
      </w:r>
      <w:r>
        <w:rPr>
          <w:spacing w:val="-7"/>
          <w:w w:val="110"/>
        </w:rPr>
        <w:t> </w:t>
      </w:r>
      <w:r>
        <w:rPr>
          <w:w w:val="110"/>
        </w:rPr>
        <w:t>estatales</w:t>
      </w:r>
      <w:r>
        <w:rPr>
          <w:spacing w:val="-7"/>
          <w:w w:val="110"/>
        </w:rPr>
        <w:t> </w:t>
      </w:r>
      <w:r>
        <w:rPr>
          <w:w w:val="110"/>
        </w:rPr>
        <w:t>y pequeñas y medianas empresas, de carácter inclusivo y </w:t>
      </w:r>
      <w:r>
        <w:rPr>
          <w:spacing w:val="17"/>
          <w:w w:val="110"/>
        </w:rPr>
        <w:t> </w:t>
      </w:r>
      <w:r>
        <w:rPr>
          <w:w w:val="110"/>
        </w:rPr>
        <w:t>universalista;</w:t>
      </w:r>
    </w:p>
    <w:p>
      <w:pPr>
        <w:pStyle w:val="BodyText"/>
        <w:spacing w:before="4"/>
      </w:pPr>
      <w:r>
        <w:rPr/>
        <w:pict>
          <v:line style="position:absolute;mso-position-horizontal-relative:page;mso-position-vertical-relative:paragraph;z-index:1960;mso-wrap-distance-left:0;mso-wrap-distance-right:0" from="51.023602pt,13.567235pt" to="79.369602pt,13.567235pt" stroked="true" strokeweight=".5pt" strokecolor="#000000">
            <w10:wrap type="topAndBottom"/>
          </v:line>
        </w:pict>
      </w:r>
    </w:p>
    <w:p>
      <w:pPr>
        <w:pStyle w:val="ListParagraph"/>
        <w:numPr>
          <w:ilvl w:val="0"/>
          <w:numId w:val="2"/>
        </w:numPr>
        <w:tabs>
          <w:tab w:pos="376" w:val="left" w:leader="none"/>
        </w:tabs>
        <w:spacing w:line="242" w:lineRule="auto" w:before="89" w:after="0"/>
        <w:ind w:left="120" w:right="328" w:firstLine="0"/>
        <w:jc w:val="left"/>
        <w:rPr>
          <w:sz w:val="16"/>
        </w:rPr>
      </w:pPr>
      <w:r>
        <w:rPr>
          <w:spacing w:val="-3"/>
          <w:w w:val="110"/>
          <w:sz w:val="16"/>
        </w:rPr>
        <w:t>Véase </w:t>
      </w:r>
      <w:r>
        <w:rPr>
          <w:i/>
          <w:w w:val="110"/>
          <w:sz w:val="16"/>
        </w:rPr>
        <w:t>Adam Smith em Pequim </w:t>
      </w:r>
      <w:r>
        <w:rPr>
          <w:w w:val="110"/>
          <w:sz w:val="16"/>
        </w:rPr>
        <w:t>(2008) y </w:t>
      </w:r>
      <w:r>
        <w:rPr>
          <w:i/>
          <w:w w:val="110"/>
          <w:sz w:val="16"/>
        </w:rPr>
        <w:t>Beyond the Washington consensus: a new </w:t>
      </w:r>
      <w:r>
        <w:rPr>
          <w:i/>
          <w:w w:val="105"/>
          <w:sz w:val="16"/>
        </w:rPr>
        <w:t>Bandung?</w:t>
      </w:r>
      <w:r>
        <w:rPr>
          <w:i/>
          <w:spacing w:val="29"/>
          <w:w w:val="105"/>
          <w:sz w:val="16"/>
        </w:rPr>
        <w:t> </w:t>
      </w:r>
      <w:r>
        <w:rPr>
          <w:w w:val="105"/>
          <w:sz w:val="16"/>
        </w:rPr>
        <w:t>(2010).</w:t>
      </w:r>
    </w:p>
    <w:p>
      <w:pPr>
        <w:spacing w:after="0" w:line="242" w:lineRule="auto"/>
        <w:jc w:val="left"/>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d) cuestiona la hegemonía atlantista en la economía mundial mate- rializada en su control del sistema de bretton Woods y la oNu, en el monopolio financiero y tecnológico de sus burguesías y en el imperia- lismo, y e) impulsa un patrón de política externa antiimperialista ba- sado en los principios de soberanía, autodeterminación de los pueblos y solución negociada de  conflictos.</w:t>
      </w:r>
    </w:p>
    <w:p>
      <w:pPr>
        <w:pStyle w:val="BodyText"/>
        <w:spacing w:line="252" w:lineRule="auto"/>
        <w:ind w:left="330" w:right="117" w:firstLine="396"/>
        <w:jc w:val="both"/>
        <w:rPr>
          <w:sz w:val="11"/>
        </w:rPr>
      </w:pPr>
      <w:r>
        <w:rPr>
          <w:w w:val="110"/>
        </w:rPr>
        <w:t>Entre los factores que impulsan a los </w:t>
      </w:r>
      <w:r>
        <w:rPr>
          <w:w w:val="120"/>
        </w:rPr>
        <w:t>briCs </w:t>
      </w:r>
      <w:r>
        <w:rPr>
          <w:w w:val="110"/>
        </w:rPr>
        <w:t>como embrión de un nuevo bloque histórico territorialista, capaz de disputar el poder en el sistema mundial en un periodo de caos sistémico, figuran la posición similar de su población en términos de renta per cápita, próxima a la media de la economía mundial; su amplio potencial de mercado </w:t>
      </w:r>
      <w:r>
        <w:rPr>
          <w:spacing w:val="-3"/>
          <w:w w:val="110"/>
        </w:rPr>
        <w:t>inter- </w:t>
      </w:r>
      <w:r>
        <w:rPr>
          <w:w w:val="110"/>
        </w:rPr>
        <w:t>no y regional como factor de expansión; el hecho de haber sido blan- co de la expansión imperialista de las potencias atlantistas, lo cual limitó su vocación regional; la fuerte presencia del nacionalismo y de las izquierdas como factor interno de legitimación popular de estos Estados y en el conjunto de los países periféricos y semiperiféricos; y el interés de estas fuerzas nacionalistas y de izquierda en quebrar los monopolios tecnológicos, financieros y comerciales mundiales. </w:t>
      </w:r>
      <w:r>
        <w:rPr>
          <w:spacing w:val="-4"/>
          <w:w w:val="110"/>
        </w:rPr>
        <w:t>tales </w:t>
      </w:r>
      <w:r>
        <w:rPr>
          <w:w w:val="110"/>
        </w:rPr>
        <w:t>elementos crean un ambiente sociocultural que responde por el alto grado de convergencia histórica de estos países en las votaciones de la asamblea de Naciones unidas, cerca de 80% del total entre 1974 y 2008, en particular en temas como multilateralismo, defensa de la so- beranía nacional, derechos de autodeterminación y democratización de los poderes internacionales.</w:t>
      </w:r>
      <w:r>
        <w:rPr>
          <w:w w:val="110"/>
          <w:position w:val="6"/>
          <w:sz w:val="11"/>
        </w:rPr>
        <w:t>17</w:t>
      </w:r>
    </w:p>
    <w:p>
      <w:pPr>
        <w:pStyle w:val="BodyText"/>
        <w:spacing w:line="252" w:lineRule="auto"/>
        <w:ind w:left="330" w:right="117" w:firstLine="396"/>
        <w:jc w:val="both"/>
      </w:pPr>
      <w:r>
        <w:rPr>
          <w:w w:val="110"/>
        </w:rPr>
        <w:t>sin embargo, lo que impulsa al bloque territorialista son las lu- chas internas dentro de cada Estado, lo que le permitirá hacer</w:t>
      </w:r>
      <w:r>
        <w:rPr>
          <w:spacing w:val="-13"/>
          <w:w w:val="110"/>
        </w:rPr>
        <w:t> </w:t>
      </w:r>
      <w:r>
        <w:rPr>
          <w:w w:val="110"/>
        </w:rPr>
        <w:t>cumplir o no su vocación estratégica en el sistema mundial. si en la transición  a la hegemonía británica las luchas intraestatales fueron precedidas y condicionadas por las luchas interestatales, en la transición a la hege- monía estadounidense se articularon a ellas, jugando la polarización fascismo o socialismo un papel importante en este proceso, y en una futura transición a otro sistema de poder tienden a ser protagónicas.</w:t>
      </w:r>
      <w:r>
        <w:rPr>
          <w:w w:val="110"/>
          <w:position w:val="6"/>
          <w:sz w:val="11"/>
        </w:rPr>
        <w:t>18 </w:t>
      </w:r>
      <w:r>
        <w:rPr>
          <w:w w:val="243"/>
        </w:rPr>
        <w:t>l</w:t>
      </w:r>
      <w:r>
        <w:rPr>
          <w:w w:val="112"/>
        </w:rPr>
        <w:t>a</w:t>
      </w:r>
      <w:r>
        <w:rPr>
          <w:spacing w:val="20"/>
        </w:rPr>
        <w:t> </w:t>
      </w:r>
      <w:r>
        <w:rPr>
          <w:w w:val="111"/>
        </w:rPr>
        <w:t>explicación</w:t>
      </w:r>
      <w:r>
        <w:rPr>
          <w:spacing w:val="20"/>
        </w:rPr>
        <w:t> </w:t>
      </w:r>
      <w:r>
        <w:rPr>
          <w:w w:val="109"/>
        </w:rPr>
        <w:t>para</w:t>
      </w:r>
      <w:r>
        <w:rPr>
          <w:spacing w:val="20"/>
        </w:rPr>
        <w:t> </w:t>
      </w:r>
      <w:r>
        <w:rPr>
          <w:w w:val="110"/>
        </w:rPr>
        <w:t>tal</w:t>
      </w:r>
      <w:r>
        <w:rPr>
          <w:spacing w:val="20"/>
        </w:rPr>
        <w:t> </w:t>
      </w:r>
      <w:r>
        <w:rPr>
          <w:w w:val="112"/>
        </w:rPr>
        <w:t>cambio</w:t>
      </w:r>
      <w:r>
        <w:rPr>
          <w:spacing w:val="20"/>
        </w:rPr>
        <w:t> </w:t>
      </w:r>
      <w:r>
        <w:rPr>
          <w:w w:val="107"/>
        </w:rPr>
        <w:t>está</w:t>
      </w:r>
      <w:r>
        <w:rPr>
          <w:spacing w:val="20"/>
        </w:rPr>
        <w:t> </w:t>
      </w:r>
      <w:r>
        <w:rPr>
          <w:w w:val="108"/>
        </w:rPr>
        <w:t>en</w:t>
      </w:r>
      <w:r>
        <w:rPr>
          <w:spacing w:val="20"/>
        </w:rPr>
        <w:t> </w:t>
      </w:r>
      <w:r>
        <w:rPr>
          <w:w w:val="107"/>
        </w:rPr>
        <w:t>el</w:t>
      </w:r>
      <w:r>
        <w:rPr>
          <w:spacing w:val="20"/>
        </w:rPr>
        <w:t> </w:t>
      </w:r>
      <w:r>
        <w:rPr>
          <w:w w:val="108"/>
        </w:rPr>
        <w:t>papel</w:t>
      </w:r>
      <w:r>
        <w:rPr>
          <w:spacing w:val="20"/>
        </w:rPr>
        <w:t> </w:t>
      </w:r>
      <w:r>
        <w:rPr>
          <w:w w:val="109"/>
        </w:rPr>
        <w:t>creciente</w:t>
      </w:r>
      <w:r>
        <w:rPr>
          <w:spacing w:val="20"/>
        </w:rPr>
        <w:t> </w:t>
      </w:r>
      <w:r>
        <w:rPr>
          <w:w w:val="108"/>
        </w:rPr>
        <w:t>que</w:t>
      </w:r>
      <w:r>
        <w:rPr>
          <w:spacing w:val="20"/>
        </w:rPr>
        <w:t> </w:t>
      </w:r>
      <w:r>
        <w:rPr>
          <w:w w:val="108"/>
        </w:rPr>
        <w:t>desem</w:t>
      </w:r>
      <w:r>
        <w:rPr>
          <w:w w:val="102"/>
        </w:rPr>
        <w:t>- </w:t>
      </w:r>
      <w:r>
        <w:rPr>
          <w:w w:val="110"/>
        </w:rPr>
        <w:t>peñan</w:t>
      </w:r>
      <w:r>
        <w:rPr>
          <w:spacing w:val="-4"/>
          <w:w w:val="110"/>
        </w:rPr>
        <w:t> </w:t>
      </w:r>
      <w:r>
        <w:rPr>
          <w:w w:val="110"/>
        </w:rPr>
        <w:t>los</w:t>
      </w:r>
      <w:r>
        <w:rPr>
          <w:spacing w:val="-4"/>
          <w:w w:val="110"/>
        </w:rPr>
        <w:t> </w:t>
      </w:r>
      <w:r>
        <w:rPr>
          <w:w w:val="110"/>
        </w:rPr>
        <w:t>trabajadores</w:t>
      </w:r>
      <w:r>
        <w:rPr>
          <w:spacing w:val="-4"/>
          <w:w w:val="110"/>
        </w:rPr>
        <w:t> </w:t>
      </w:r>
      <w:r>
        <w:rPr>
          <w:w w:val="110"/>
        </w:rPr>
        <w:t>y</w:t>
      </w:r>
      <w:r>
        <w:rPr>
          <w:spacing w:val="-4"/>
          <w:w w:val="110"/>
        </w:rPr>
        <w:t> </w:t>
      </w:r>
      <w:r>
        <w:rPr>
          <w:w w:val="110"/>
        </w:rPr>
        <w:t>los</w:t>
      </w:r>
      <w:r>
        <w:rPr>
          <w:spacing w:val="-4"/>
          <w:w w:val="110"/>
        </w:rPr>
        <w:t> </w:t>
      </w:r>
      <w:r>
        <w:rPr>
          <w:w w:val="110"/>
        </w:rPr>
        <w:t>movimientos</w:t>
      </w:r>
      <w:r>
        <w:rPr>
          <w:spacing w:val="-4"/>
          <w:w w:val="110"/>
        </w:rPr>
        <w:t> </w:t>
      </w:r>
      <w:r>
        <w:rPr>
          <w:w w:val="110"/>
        </w:rPr>
        <w:t>sociales</w:t>
      </w:r>
      <w:r>
        <w:rPr>
          <w:spacing w:val="-4"/>
          <w:w w:val="110"/>
        </w:rPr>
        <w:t> </w:t>
      </w:r>
      <w:r>
        <w:rPr>
          <w:w w:val="110"/>
        </w:rPr>
        <w:t>en</w:t>
      </w:r>
      <w:r>
        <w:rPr>
          <w:spacing w:val="-4"/>
          <w:w w:val="110"/>
        </w:rPr>
        <w:t> </w:t>
      </w:r>
      <w:r>
        <w:rPr>
          <w:w w:val="110"/>
        </w:rPr>
        <w:t>la</w:t>
      </w:r>
      <w:r>
        <w:rPr>
          <w:spacing w:val="-4"/>
          <w:w w:val="110"/>
        </w:rPr>
        <w:t> </w:t>
      </w:r>
      <w:r>
        <w:rPr>
          <w:w w:val="110"/>
        </w:rPr>
        <w:t>larga</w:t>
      </w:r>
      <w:r>
        <w:rPr>
          <w:spacing w:val="-4"/>
          <w:w w:val="110"/>
        </w:rPr>
        <w:t> </w:t>
      </w:r>
      <w:r>
        <w:rPr>
          <w:w w:val="110"/>
        </w:rPr>
        <w:t>duración del desarrollo capitalista, presionando al Estado y al sistema político. Por lo tanto, será la lucha de clases en el interior de estos Estados y</w:t>
      </w:r>
      <w:r>
        <w:rPr>
          <w:spacing w:val="2"/>
          <w:w w:val="110"/>
        </w:rPr>
        <w:t> </w:t>
      </w:r>
      <w:r>
        <w:rPr>
          <w:w w:val="110"/>
        </w:rPr>
        <w:t>de</w:t>
      </w:r>
    </w:p>
    <w:p>
      <w:pPr>
        <w:pStyle w:val="BodyText"/>
        <w:spacing w:before="6"/>
        <w:rPr>
          <w:sz w:val="29"/>
        </w:rPr>
      </w:pPr>
      <w:r>
        <w:rPr/>
        <w:pict>
          <v:line style="position:absolute;mso-position-horizontal-relative:page;mso-position-vertical-relative:paragraph;z-index:1984;mso-wrap-distance-left:0;mso-wrap-distance-right:0" from="76.5354pt,19.527229pt" to="104.8814pt,19.527229pt" stroked="true" strokeweight=".5pt" strokecolor="#000000">
            <w10:wrap type="topAndBottom"/>
          </v:line>
        </w:pict>
      </w:r>
    </w:p>
    <w:p>
      <w:pPr>
        <w:pStyle w:val="ListParagraph"/>
        <w:numPr>
          <w:ilvl w:val="0"/>
          <w:numId w:val="2"/>
        </w:numPr>
        <w:tabs>
          <w:tab w:pos="586" w:val="left" w:leader="none"/>
        </w:tabs>
        <w:spacing w:line="242" w:lineRule="auto" w:before="89" w:after="0"/>
        <w:ind w:left="330" w:right="118" w:firstLine="0"/>
        <w:jc w:val="both"/>
        <w:rPr>
          <w:sz w:val="16"/>
        </w:rPr>
      </w:pPr>
      <w:r>
        <w:rPr>
          <w:spacing w:val="-3"/>
          <w:w w:val="105"/>
          <w:sz w:val="16"/>
        </w:rPr>
        <w:t>Véase </w:t>
      </w:r>
      <w:r>
        <w:rPr>
          <w:i/>
          <w:w w:val="105"/>
          <w:sz w:val="16"/>
        </w:rPr>
        <w:t>Rising Powers at the UN: an analisys of the voting behavior of the BRICSAM </w:t>
      </w:r>
      <w:r>
        <w:rPr>
          <w:i/>
          <w:w w:val="105"/>
          <w:sz w:val="16"/>
        </w:rPr>
        <w:t>States in the General Assembly 1974-2008</w:t>
      </w:r>
      <w:r>
        <w:rPr>
          <w:w w:val="105"/>
          <w:sz w:val="16"/>
        </w:rPr>
        <w:t>. disponible en  </w:t>
      </w:r>
      <w:r>
        <w:rPr>
          <w:spacing w:val="33"/>
          <w:w w:val="105"/>
          <w:sz w:val="16"/>
        </w:rPr>
        <w:t> </w:t>
      </w:r>
      <w:hyperlink r:id="rId89">
        <w:r>
          <w:rPr>
            <w:w w:val="105"/>
            <w:sz w:val="16"/>
          </w:rPr>
          <w:t>&lt;http://www.southgov.net&gt;.</w:t>
        </w:r>
      </w:hyperlink>
    </w:p>
    <w:p>
      <w:pPr>
        <w:pStyle w:val="ListParagraph"/>
        <w:numPr>
          <w:ilvl w:val="0"/>
          <w:numId w:val="2"/>
        </w:numPr>
        <w:tabs>
          <w:tab w:pos="586" w:val="left" w:leader="none"/>
        </w:tabs>
        <w:spacing w:line="242" w:lineRule="auto" w:before="57" w:after="0"/>
        <w:ind w:left="330" w:right="118" w:firstLine="0"/>
        <w:jc w:val="both"/>
        <w:rPr>
          <w:sz w:val="16"/>
        </w:rPr>
      </w:pPr>
      <w:r>
        <w:rPr>
          <w:spacing w:val="-3"/>
          <w:w w:val="105"/>
          <w:sz w:val="16"/>
        </w:rPr>
        <w:t>Véase </w:t>
      </w:r>
      <w:r>
        <w:rPr>
          <w:i/>
          <w:w w:val="105"/>
          <w:sz w:val="16"/>
        </w:rPr>
        <w:t>The long twentieth century: Money, power and the origins of our times </w:t>
      </w:r>
      <w:r>
        <w:rPr>
          <w:w w:val="105"/>
          <w:sz w:val="16"/>
        </w:rPr>
        <w:t>(1994) de Giovanni arrighi; </w:t>
      </w:r>
      <w:r>
        <w:rPr>
          <w:i/>
          <w:w w:val="105"/>
          <w:sz w:val="16"/>
        </w:rPr>
        <w:t>Chaos and governance in the modern world system </w:t>
      </w:r>
      <w:r>
        <w:rPr>
          <w:w w:val="105"/>
          <w:sz w:val="16"/>
        </w:rPr>
        <w:t>(1999), de Giovanni arrighi y beverly silver; y mi libro </w:t>
      </w:r>
      <w:r>
        <w:rPr>
          <w:i/>
          <w:w w:val="105"/>
          <w:sz w:val="16"/>
        </w:rPr>
        <w:t>Globalização, dependência e neoliberalis-</w:t>
      </w:r>
      <w:r>
        <w:rPr>
          <w:i/>
          <w:spacing w:val="37"/>
          <w:w w:val="105"/>
          <w:sz w:val="16"/>
        </w:rPr>
        <w:t> </w:t>
      </w:r>
      <w:r>
        <w:rPr>
          <w:i/>
          <w:w w:val="105"/>
          <w:sz w:val="16"/>
        </w:rPr>
        <w:t>mo na América Latina </w:t>
      </w:r>
      <w:r>
        <w:rPr>
          <w:i/>
          <w:spacing w:val="19"/>
          <w:w w:val="105"/>
          <w:sz w:val="16"/>
        </w:rPr>
        <w:t> </w:t>
      </w:r>
      <w:r>
        <w:rPr>
          <w:w w:val="105"/>
          <w:sz w:val="16"/>
        </w:rPr>
        <w:t>(2011).</w:t>
      </w:r>
    </w:p>
    <w:p>
      <w:pPr>
        <w:spacing w:after="0" w:line="242" w:lineRule="auto"/>
        <w:jc w:val="both"/>
        <w:rPr>
          <w:sz w:val="16"/>
        </w:rPr>
        <w:sectPr>
          <w:footerReference w:type="even" r:id="rId87"/>
          <w:footerReference w:type="default" r:id="rId88"/>
          <w:pgSz w:w="8790" w:h="12760"/>
          <w:pgMar w:footer="725" w:header="695" w:top="880" w:bottom="920" w:left="1200" w:right="900"/>
          <w:pgNumType w:start="56"/>
        </w:sectPr>
      </w:pPr>
    </w:p>
    <w:p>
      <w:pPr>
        <w:pStyle w:val="BodyText"/>
        <w:spacing w:before="9"/>
        <w:rPr>
          <w:sz w:val="28"/>
        </w:rPr>
      </w:pPr>
    </w:p>
    <w:p>
      <w:pPr>
        <w:pStyle w:val="BodyText"/>
        <w:spacing w:line="252" w:lineRule="auto" w:before="73"/>
        <w:ind w:left="100"/>
      </w:pPr>
      <w:r>
        <w:rPr>
          <w:w w:val="110"/>
        </w:rPr>
        <w:t>las potencias marítimas la que dará el formato de la transición y de la bifurcación que precede al nuevo sistema de  poder.</w:t>
      </w:r>
    </w:p>
    <w:p>
      <w:pPr>
        <w:pStyle w:val="BodyText"/>
        <w:spacing w:line="252" w:lineRule="auto"/>
        <w:ind w:left="100" w:right="325" w:firstLine="396"/>
        <w:jc w:val="both"/>
      </w:pPr>
      <w:r>
        <w:rPr>
          <w:spacing w:val="1"/>
          <w:w w:val="248"/>
        </w:rPr>
        <w:t>l</w:t>
      </w:r>
      <w:r>
        <w:rPr>
          <w:spacing w:val="1"/>
          <w:w w:val="111"/>
        </w:rPr>
        <w:t>a</w:t>
      </w:r>
      <w:r>
        <w:rPr>
          <w:w w:val="111"/>
        </w:rPr>
        <w:t>s</w:t>
      </w:r>
      <w:r>
        <w:rPr>
          <w:spacing w:val="15"/>
        </w:rPr>
        <w:t> </w:t>
      </w:r>
      <w:r>
        <w:rPr>
          <w:spacing w:val="1"/>
          <w:w w:val="112"/>
        </w:rPr>
        <w:t>crisi</w:t>
      </w:r>
      <w:r>
        <w:rPr>
          <w:w w:val="112"/>
        </w:rPr>
        <w:t>s</w:t>
      </w:r>
      <w:r>
        <w:rPr>
          <w:spacing w:val="15"/>
        </w:rPr>
        <w:t> </w:t>
      </w:r>
      <w:r>
        <w:rPr>
          <w:spacing w:val="1"/>
          <w:w w:val="111"/>
        </w:rPr>
        <w:t>señalizadora</w:t>
      </w:r>
      <w:r>
        <w:rPr>
          <w:w w:val="111"/>
        </w:rPr>
        <w:t>s</w:t>
      </w:r>
      <w:r>
        <w:rPr>
          <w:spacing w:val="15"/>
        </w:rPr>
        <w:t> </w:t>
      </w:r>
      <w:r>
        <w:rPr>
          <w:spacing w:val="1"/>
          <w:w w:val="112"/>
        </w:rPr>
        <w:t>–indicada</w:t>
      </w:r>
      <w:r>
        <w:rPr>
          <w:w w:val="112"/>
        </w:rPr>
        <w:t>s</w:t>
      </w:r>
      <w:r>
        <w:rPr>
          <w:spacing w:val="15"/>
        </w:rPr>
        <w:t> </w:t>
      </w:r>
      <w:r>
        <w:rPr>
          <w:spacing w:val="1"/>
          <w:w w:val="110"/>
        </w:rPr>
        <w:t>po</w:t>
      </w:r>
      <w:r>
        <w:rPr>
          <w:w w:val="110"/>
        </w:rPr>
        <w:t>r</w:t>
      </w:r>
      <w:r>
        <w:rPr>
          <w:spacing w:val="15"/>
        </w:rPr>
        <w:t> </w:t>
      </w:r>
      <w:r>
        <w:rPr>
          <w:spacing w:val="1"/>
          <w:w w:val="116"/>
        </w:rPr>
        <w:t>Giovann</w:t>
      </w:r>
      <w:r>
        <w:rPr>
          <w:w w:val="116"/>
        </w:rPr>
        <w:t>i</w:t>
      </w:r>
      <w:r>
        <w:rPr>
          <w:spacing w:val="15"/>
        </w:rPr>
        <w:t> </w:t>
      </w:r>
      <w:r>
        <w:rPr>
          <w:spacing w:val="1"/>
          <w:w w:val="142"/>
        </w:rPr>
        <w:t>a</w:t>
      </w:r>
      <w:r>
        <w:rPr>
          <w:spacing w:val="1"/>
          <w:w w:val="112"/>
        </w:rPr>
        <w:t>rrigh</w:t>
      </w:r>
      <w:r>
        <w:rPr>
          <w:w w:val="112"/>
        </w:rPr>
        <w:t>i</w:t>
      </w:r>
      <w:r>
        <w:rPr>
          <w:spacing w:val="15"/>
        </w:rPr>
        <w:t> </w:t>
      </w:r>
      <w:r>
        <w:rPr>
          <w:spacing w:val="1"/>
          <w:w w:val="114"/>
        </w:rPr>
        <w:t>como </w:t>
      </w:r>
      <w:r>
        <w:rPr>
          <w:w w:val="120"/>
        </w:rPr>
        <w:t>típicas</w:t>
      </w:r>
      <w:r>
        <w:rPr>
          <w:spacing w:val="-24"/>
          <w:w w:val="120"/>
        </w:rPr>
        <w:t> </w:t>
      </w:r>
      <w:r>
        <w:rPr>
          <w:w w:val="120"/>
        </w:rPr>
        <w:t>del</w:t>
      </w:r>
      <w:r>
        <w:rPr>
          <w:spacing w:val="-24"/>
          <w:w w:val="120"/>
        </w:rPr>
        <w:t> </w:t>
      </w:r>
      <w:r>
        <w:rPr>
          <w:w w:val="120"/>
        </w:rPr>
        <w:t>agotamiento</w:t>
      </w:r>
      <w:r>
        <w:rPr>
          <w:spacing w:val="-24"/>
          <w:w w:val="120"/>
        </w:rPr>
        <w:t> </w:t>
      </w:r>
      <w:r>
        <w:rPr>
          <w:w w:val="120"/>
        </w:rPr>
        <w:t>de</w:t>
      </w:r>
      <w:r>
        <w:rPr>
          <w:spacing w:val="-24"/>
          <w:w w:val="120"/>
        </w:rPr>
        <w:t> </w:t>
      </w:r>
      <w:r>
        <w:rPr>
          <w:w w:val="120"/>
        </w:rPr>
        <w:t>la</w:t>
      </w:r>
      <w:r>
        <w:rPr>
          <w:spacing w:val="-24"/>
          <w:w w:val="120"/>
        </w:rPr>
        <w:t> </w:t>
      </w:r>
      <w:r>
        <w:rPr>
          <w:w w:val="120"/>
        </w:rPr>
        <w:t>fase</w:t>
      </w:r>
      <w:r>
        <w:rPr>
          <w:spacing w:val="-24"/>
          <w:w w:val="120"/>
        </w:rPr>
        <w:t> </w:t>
      </w:r>
      <w:r>
        <w:rPr>
          <w:w w:val="120"/>
        </w:rPr>
        <w:t>de</w:t>
      </w:r>
      <w:r>
        <w:rPr>
          <w:spacing w:val="-24"/>
          <w:w w:val="120"/>
        </w:rPr>
        <w:t> </w:t>
      </w:r>
      <w:r>
        <w:rPr>
          <w:w w:val="120"/>
        </w:rPr>
        <w:t>la</w:t>
      </w:r>
      <w:r>
        <w:rPr>
          <w:spacing w:val="-24"/>
          <w:w w:val="120"/>
        </w:rPr>
        <w:t> </w:t>
      </w:r>
      <w:r>
        <w:rPr>
          <w:w w:val="120"/>
        </w:rPr>
        <w:t>expansión–</w:t>
      </w:r>
      <w:r>
        <w:rPr>
          <w:spacing w:val="-24"/>
          <w:w w:val="120"/>
        </w:rPr>
        <w:t> </w:t>
      </w:r>
      <w:r>
        <w:rPr>
          <w:w w:val="120"/>
        </w:rPr>
        <w:t>son</w:t>
      </w:r>
      <w:r>
        <w:rPr>
          <w:spacing w:val="-24"/>
          <w:w w:val="120"/>
        </w:rPr>
        <w:t> </w:t>
      </w:r>
      <w:r>
        <w:rPr>
          <w:w w:val="120"/>
        </w:rPr>
        <w:t>los</w:t>
      </w:r>
      <w:r>
        <w:rPr>
          <w:spacing w:val="-24"/>
          <w:w w:val="120"/>
        </w:rPr>
        <w:t> </w:t>
      </w:r>
      <w:r>
        <w:rPr>
          <w:w w:val="120"/>
        </w:rPr>
        <w:t>momen- tos</w:t>
      </w:r>
      <w:r>
        <w:rPr>
          <w:spacing w:val="-33"/>
          <w:w w:val="120"/>
        </w:rPr>
        <w:t> </w:t>
      </w:r>
      <w:r>
        <w:rPr>
          <w:w w:val="120"/>
        </w:rPr>
        <w:t>en</w:t>
      </w:r>
      <w:r>
        <w:rPr>
          <w:spacing w:val="-33"/>
          <w:w w:val="120"/>
        </w:rPr>
        <w:t> </w:t>
      </w:r>
      <w:r>
        <w:rPr>
          <w:w w:val="120"/>
        </w:rPr>
        <w:t>los</w:t>
      </w:r>
      <w:r>
        <w:rPr>
          <w:spacing w:val="-33"/>
          <w:w w:val="120"/>
        </w:rPr>
        <w:t> </w:t>
      </w:r>
      <w:r>
        <w:rPr>
          <w:w w:val="120"/>
        </w:rPr>
        <w:t>cuales</w:t>
      </w:r>
      <w:r>
        <w:rPr>
          <w:spacing w:val="-33"/>
          <w:w w:val="120"/>
        </w:rPr>
        <w:t> </w:t>
      </w:r>
      <w:r>
        <w:rPr>
          <w:w w:val="120"/>
        </w:rPr>
        <w:t>se</w:t>
      </w:r>
      <w:r>
        <w:rPr>
          <w:spacing w:val="-33"/>
          <w:w w:val="120"/>
        </w:rPr>
        <w:t> </w:t>
      </w:r>
      <w:r>
        <w:rPr>
          <w:w w:val="120"/>
        </w:rPr>
        <w:t>configuran</w:t>
      </w:r>
      <w:r>
        <w:rPr>
          <w:spacing w:val="-33"/>
          <w:w w:val="120"/>
        </w:rPr>
        <w:t> </w:t>
      </w:r>
      <w:r>
        <w:rPr>
          <w:w w:val="120"/>
        </w:rPr>
        <w:t>los</w:t>
      </w:r>
      <w:r>
        <w:rPr>
          <w:spacing w:val="-33"/>
          <w:w w:val="120"/>
        </w:rPr>
        <w:t> </w:t>
      </w:r>
      <w:r>
        <w:rPr>
          <w:w w:val="120"/>
        </w:rPr>
        <w:t>fundamentos</w:t>
      </w:r>
      <w:r>
        <w:rPr>
          <w:spacing w:val="-33"/>
          <w:w w:val="120"/>
        </w:rPr>
        <w:t> </w:t>
      </w:r>
      <w:r>
        <w:rPr>
          <w:w w:val="120"/>
        </w:rPr>
        <w:t>de</w:t>
      </w:r>
      <w:r>
        <w:rPr>
          <w:spacing w:val="-33"/>
          <w:w w:val="120"/>
        </w:rPr>
        <w:t> </w:t>
      </w:r>
      <w:r>
        <w:rPr>
          <w:w w:val="120"/>
        </w:rPr>
        <w:t>un</w:t>
      </w:r>
      <w:r>
        <w:rPr>
          <w:spacing w:val="-33"/>
          <w:w w:val="120"/>
        </w:rPr>
        <w:t> </w:t>
      </w:r>
      <w:r>
        <w:rPr>
          <w:w w:val="120"/>
        </w:rPr>
        <w:t>futuro</w:t>
      </w:r>
      <w:r>
        <w:rPr>
          <w:spacing w:val="-33"/>
          <w:w w:val="120"/>
        </w:rPr>
        <w:t> </w:t>
      </w:r>
      <w:r>
        <w:rPr>
          <w:w w:val="120"/>
        </w:rPr>
        <w:t>bloque de</w:t>
      </w:r>
      <w:r>
        <w:rPr>
          <w:spacing w:val="-9"/>
          <w:w w:val="120"/>
        </w:rPr>
        <w:t> </w:t>
      </w:r>
      <w:r>
        <w:rPr>
          <w:w w:val="120"/>
        </w:rPr>
        <w:t>poder</w:t>
      </w:r>
      <w:r>
        <w:rPr>
          <w:spacing w:val="-9"/>
          <w:w w:val="120"/>
        </w:rPr>
        <w:t> </w:t>
      </w:r>
      <w:r>
        <w:rPr>
          <w:w w:val="120"/>
        </w:rPr>
        <w:t>para</w:t>
      </w:r>
      <w:r>
        <w:rPr>
          <w:spacing w:val="-9"/>
          <w:w w:val="120"/>
        </w:rPr>
        <w:t> </w:t>
      </w:r>
      <w:r>
        <w:rPr>
          <w:w w:val="120"/>
        </w:rPr>
        <w:t>disputar</w:t>
      </w:r>
      <w:r>
        <w:rPr>
          <w:spacing w:val="-9"/>
          <w:w w:val="120"/>
        </w:rPr>
        <w:t> </w:t>
      </w:r>
      <w:r>
        <w:rPr>
          <w:w w:val="120"/>
        </w:rPr>
        <w:t>la</w:t>
      </w:r>
      <w:r>
        <w:rPr>
          <w:spacing w:val="-9"/>
          <w:w w:val="120"/>
        </w:rPr>
        <w:t> </w:t>
      </w:r>
      <w:r>
        <w:rPr>
          <w:w w:val="120"/>
        </w:rPr>
        <w:t>transición</w:t>
      </w:r>
      <w:r>
        <w:rPr>
          <w:spacing w:val="-9"/>
          <w:w w:val="120"/>
        </w:rPr>
        <w:t> </w:t>
      </w:r>
      <w:r>
        <w:rPr>
          <w:w w:val="120"/>
        </w:rPr>
        <w:t>sistémica.</w:t>
      </w:r>
      <w:r>
        <w:rPr>
          <w:spacing w:val="-9"/>
          <w:w w:val="120"/>
        </w:rPr>
        <w:t> </w:t>
      </w:r>
      <w:r>
        <w:rPr>
          <w:w w:val="120"/>
        </w:rPr>
        <w:t>En</w:t>
      </w:r>
      <w:r>
        <w:rPr>
          <w:spacing w:val="-9"/>
          <w:w w:val="120"/>
        </w:rPr>
        <w:t> </w:t>
      </w:r>
      <w:r>
        <w:rPr>
          <w:w w:val="120"/>
        </w:rPr>
        <w:t>la</w:t>
      </w:r>
      <w:r>
        <w:rPr>
          <w:spacing w:val="-9"/>
          <w:w w:val="120"/>
        </w:rPr>
        <w:t> </w:t>
      </w:r>
      <w:r>
        <w:rPr>
          <w:w w:val="120"/>
        </w:rPr>
        <w:t>crisis</w:t>
      </w:r>
      <w:r>
        <w:rPr>
          <w:spacing w:val="-9"/>
          <w:w w:val="120"/>
        </w:rPr>
        <w:t> </w:t>
      </w:r>
      <w:r>
        <w:rPr>
          <w:w w:val="120"/>
        </w:rPr>
        <w:t>señali- </w:t>
      </w:r>
      <w:r>
        <w:rPr>
          <w:w w:val="115"/>
        </w:rPr>
        <w:t>zadora</w:t>
      </w:r>
      <w:r>
        <w:rPr>
          <w:spacing w:val="-8"/>
          <w:w w:val="115"/>
        </w:rPr>
        <w:t> </w:t>
      </w:r>
      <w:r>
        <w:rPr>
          <w:w w:val="115"/>
        </w:rPr>
        <w:t>británica</w:t>
      </w:r>
      <w:r>
        <w:rPr>
          <w:spacing w:val="-8"/>
          <w:w w:val="115"/>
        </w:rPr>
        <w:t> </w:t>
      </w:r>
      <w:r>
        <w:rPr>
          <w:w w:val="115"/>
        </w:rPr>
        <w:t>se</w:t>
      </w:r>
      <w:r>
        <w:rPr>
          <w:spacing w:val="-8"/>
          <w:w w:val="115"/>
        </w:rPr>
        <w:t> </w:t>
      </w:r>
      <w:r>
        <w:rPr>
          <w:w w:val="115"/>
        </w:rPr>
        <w:t>evidenció</w:t>
      </w:r>
      <w:r>
        <w:rPr>
          <w:spacing w:val="-8"/>
          <w:w w:val="115"/>
        </w:rPr>
        <w:t> </w:t>
      </w:r>
      <w:r>
        <w:rPr>
          <w:w w:val="115"/>
        </w:rPr>
        <w:t>la</w:t>
      </w:r>
      <w:r>
        <w:rPr>
          <w:spacing w:val="-8"/>
          <w:w w:val="115"/>
        </w:rPr>
        <w:t> </w:t>
      </w:r>
      <w:r>
        <w:rPr>
          <w:w w:val="115"/>
        </w:rPr>
        <w:t>emergencia</w:t>
      </w:r>
      <w:r>
        <w:rPr>
          <w:spacing w:val="-8"/>
          <w:w w:val="115"/>
        </w:rPr>
        <w:t> </w:t>
      </w:r>
      <w:r>
        <w:rPr>
          <w:w w:val="115"/>
        </w:rPr>
        <w:t>de</w:t>
      </w:r>
      <w:r>
        <w:rPr>
          <w:spacing w:val="-8"/>
          <w:w w:val="115"/>
        </w:rPr>
        <w:t> </w:t>
      </w:r>
      <w:r>
        <w:rPr>
          <w:w w:val="115"/>
        </w:rPr>
        <w:t>los</w:t>
      </w:r>
      <w:r>
        <w:rPr>
          <w:spacing w:val="-8"/>
          <w:w w:val="115"/>
        </w:rPr>
        <w:t> </w:t>
      </w:r>
      <w:r>
        <w:rPr>
          <w:w w:val="115"/>
        </w:rPr>
        <w:t>proteccionismos </w:t>
      </w:r>
      <w:r>
        <w:rPr>
          <w:w w:val="120"/>
        </w:rPr>
        <w:t>(victoria</w:t>
      </w:r>
      <w:r>
        <w:rPr>
          <w:spacing w:val="-17"/>
          <w:w w:val="120"/>
        </w:rPr>
        <w:t> </w:t>
      </w:r>
      <w:r>
        <w:rPr>
          <w:w w:val="120"/>
        </w:rPr>
        <w:t>del</w:t>
      </w:r>
      <w:r>
        <w:rPr>
          <w:spacing w:val="-17"/>
          <w:w w:val="120"/>
        </w:rPr>
        <w:t> </w:t>
      </w:r>
      <w:r>
        <w:rPr>
          <w:w w:val="120"/>
        </w:rPr>
        <w:t>Norte</w:t>
      </w:r>
      <w:r>
        <w:rPr>
          <w:spacing w:val="-17"/>
          <w:w w:val="120"/>
        </w:rPr>
        <w:t> </w:t>
      </w:r>
      <w:r>
        <w:rPr>
          <w:w w:val="120"/>
        </w:rPr>
        <w:t>en</w:t>
      </w:r>
      <w:r>
        <w:rPr>
          <w:spacing w:val="-17"/>
          <w:w w:val="120"/>
        </w:rPr>
        <w:t> </w:t>
      </w:r>
      <w:r>
        <w:rPr>
          <w:w w:val="120"/>
        </w:rPr>
        <w:t>la</w:t>
      </w:r>
      <w:r>
        <w:rPr>
          <w:spacing w:val="-17"/>
          <w:w w:val="120"/>
        </w:rPr>
        <w:t> </w:t>
      </w:r>
      <w:r>
        <w:rPr>
          <w:w w:val="120"/>
        </w:rPr>
        <w:t>guerra</w:t>
      </w:r>
      <w:r>
        <w:rPr>
          <w:spacing w:val="-17"/>
          <w:w w:val="120"/>
        </w:rPr>
        <w:t> </w:t>
      </w:r>
      <w:r>
        <w:rPr>
          <w:w w:val="120"/>
        </w:rPr>
        <w:t>de</w:t>
      </w:r>
      <w:r>
        <w:rPr>
          <w:spacing w:val="-17"/>
          <w:w w:val="120"/>
        </w:rPr>
        <w:t> </w:t>
      </w:r>
      <w:r>
        <w:rPr>
          <w:w w:val="120"/>
        </w:rPr>
        <w:t>secesión,</w:t>
      </w:r>
      <w:r>
        <w:rPr>
          <w:spacing w:val="-17"/>
          <w:w w:val="120"/>
        </w:rPr>
        <w:t> </w:t>
      </w:r>
      <w:r>
        <w:rPr>
          <w:w w:val="120"/>
        </w:rPr>
        <w:t>unificación</w:t>
      </w:r>
      <w:r>
        <w:rPr>
          <w:spacing w:val="-17"/>
          <w:w w:val="120"/>
        </w:rPr>
        <w:t> </w:t>
      </w:r>
      <w:r>
        <w:rPr>
          <w:w w:val="120"/>
        </w:rPr>
        <w:t>alemana</w:t>
      </w:r>
      <w:r>
        <w:rPr>
          <w:spacing w:val="-17"/>
          <w:w w:val="120"/>
        </w:rPr>
        <w:t> </w:t>
      </w:r>
      <w:r>
        <w:rPr>
          <w:w w:val="120"/>
        </w:rPr>
        <w:t>y </w:t>
      </w:r>
      <w:r>
        <w:rPr>
          <w:w w:val="115"/>
        </w:rPr>
        <w:t>revolución</w:t>
      </w:r>
      <w:r>
        <w:rPr>
          <w:spacing w:val="-11"/>
          <w:w w:val="115"/>
        </w:rPr>
        <w:t> </w:t>
      </w:r>
      <w:r>
        <w:rPr>
          <w:w w:val="115"/>
        </w:rPr>
        <w:t>Meiji)</w:t>
      </w:r>
      <w:r>
        <w:rPr>
          <w:spacing w:val="-11"/>
          <w:w w:val="115"/>
        </w:rPr>
        <w:t> </w:t>
      </w:r>
      <w:r>
        <w:rPr>
          <w:w w:val="115"/>
        </w:rPr>
        <w:t>que</w:t>
      </w:r>
      <w:r>
        <w:rPr>
          <w:spacing w:val="-11"/>
          <w:w w:val="115"/>
        </w:rPr>
        <w:t> </w:t>
      </w:r>
      <w:r>
        <w:rPr>
          <w:w w:val="115"/>
        </w:rPr>
        <w:t>disputarían</w:t>
      </w:r>
      <w:r>
        <w:rPr>
          <w:spacing w:val="-11"/>
          <w:w w:val="115"/>
        </w:rPr>
        <w:t> </w:t>
      </w:r>
      <w:r>
        <w:rPr>
          <w:w w:val="115"/>
        </w:rPr>
        <w:t>posteriormente</w:t>
      </w:r>
      <w:r>
        <w:rPr>
          <w:spacing w:val="-11"/>
          <w:w w:val="115"/>
        </w:rPr>
        <w:t> </w:t>
      </w:r>
      <w:r>
        <w:rPr>
          <w:w w:val="115"/>
        </w:rPr>
        <w:t>la</w:t>
      </w:r>
      <w:r>
        <w:rPr>
          <w:spacing w:val="-11"/>
          <w:w w:val="115"/>
        </w:rPr>
        <w:t> </w:t>
      </w:r>
      <w:r>
        <w:rPr>
          <w:w w:val="115"/>
        </w:rPr>
        <w:t>sucesión</w:t>
      </w:r>
      <w:r>
        <w:rPr>
          <w:spacing w:val="-11"/>
          <w:w w:val="115"/>
        </w:rPr>
        <w:t> </w:t>
      </w:r>
      <w:r>
        <w:rPr>
          <w:w w:val="115"/>
        </w:rPr>
        <w:t>britá- </w:t>
      </w:r>
      <w:r>
        <w:rPr>
          <w:w w:val="120"/>
        </w:rPr>
        <w:t>nica,</w:t>
      </w:r>
      <w:r>
        <w:rPr>
          <w:spacing w:val="-27"/>
          <w:w w:val="120"/>
        </w:rPr>
        <w:t> </w:t>
      </w:r>
      <w:r>
        <w:rPr>
          <w:w w:val="120"/>
        </w:rPr>
        <w:t>panorama</w:t>
      </w:r>
      <w:r>
        <w:rPr>
          <w:spacing w:val="-27"/>
          <w:w w:val="120"/>
        </w:rPr>
        <w:t> </w:t>
      </w:r>
      <w:r>
        <w:rPr>
          <w:w w:val="120"/>
        </w:rPr>
        <w:t>en</w:t>
      </w:r>
      <w:r>
        <w:rPr>
          <w:spacing w:val="-27"/>
          <w:w w:val="120"/>
        </w:rPr>
        <w:t> </w:t>
      </w:r>
      <w:r>
        <w:rPr>
          <w:w w:val="120"/>
        </w:rPr>
        <w:t>el</w:t>
      </w:r>
      <w:r>
        <w:rPr>
          <w:spacing w:val="-27"/>
          <w:w w:val="120"/>
        </w:rPr>
        <w:t> </w:t>
      </w:r>
      <w:r>
        <w:rPr>
          <w:w w:val="120"/>
        </w:rPr>
        <w:t>cual</w:t>
      </w:r>
      <w:r>
        <w:rPr>
          <w:spacing w:val="-27"/>
          <w:w w:val="120"/>
        </w:rPr>
        <w:t> </w:t>
      </w:r>
      <w:r>
        <w:rPr>
          <w:w w:val="120"/>
        </w:rPr>
        <w:t>se</w:t>
      </w:r>
      <w:r>
        <w:rPr>
          <w:spacing w:val="-27"/>
          <w:w w:val="120"/>
        </w:rPr>
        <w:t> </w:t>
      </w:r>
      <w:r>
        <w:rPr>
          <w:w w:val="120"/>
        </w:rPr>
        <w:t>agregaría</w:t>
      </w:r>
      <w:r>
        <w:rPr>
          <w:spacing w:val="-27"/>
          <w:w w:val="120"/>
        </w:rPr>
        <w:t> </w:t>
      </w:r>
      <w:r>
        <w:rPr>
          <w:w w:val="120"/>
        </w:rPr>
        <w:t>el</w:t>
      </w:r>
      <w:r>
        <w:rPr>
          <w:spacing w:val="-27"/>
          <w:w w:val="120"/>
        </w:rPr>
        <w:t> </w:t>
      </w:r>
      <w:r>
        <w:rPr>
          <w:w w:val="120"/>
        </w:rPr>
        <w:t>peso</w:t>
      </w:r>
      <w:r>
        <w:rPr>
          <w:spacing w:val="-27"/>
          <w:w w:val="120"/>
        </w:rPr>
        <w:t> </w:t>
      </w:r>
      <w:r>
        <w:rPr>
          <w:w w:val="120"/>
        </w:rPr>
        <w:t>decisivo</w:t>
      </w:r>
      <w:r>
        <w:rPr>
          <w:spacing w:val="-27"/>
          <w:w w:val="120"/>
        </w:rPr>
        <w:t> </w:t>
      </w:r>
      <w:r>
        <w:rPr>
          <w:w w:val="120"/>
        </w:rPr>
        <w:t>de</w:t>
      </w:r>
      <w:r>
        <w:rPr>
          <w:spacing w:val="-27"/>
          <w:w w:val="120"/>
        </w:rPr>
        <w:t> </w:t>
      </w:r>
      <w:r>
        <w:rPr>
          <w:w w:val="120"/>
        </w:rPr>
        <w:t>la</w:t>
      </w:r>
      <w:r>
        <w:rPr>
          <w:spacing w:val="-27"/>
          <w:w w:val="120"/>
        </w:rPr>
        <w:t> </w:t>
      </w:r>
      <w:r>
        <w:rPr>
          <w:w w:val="120"/>
        </w:rPr>
        <w:t>revolu- ción</w:t>
      </w:r>
      <w:r>
        <w:rPr>
          <w:spacing w:val="-21"/>
          <w:w w:val="120"/>
        </w:rPr>
        <w:t> </w:t>
      </w:r>
      <w:r>
        <w:rPr>
          <w:w w:val="120"/>
        </w:rPr>
        <w:t>soviética;</w:t>
      </w:r>
      <w:r>
        <w:rPr>
          <w:spacing w:val="-21"/>
          <w:w w:val="120"/>
        </w:rPr>
        <w:t> </w:t>
      </w:r>
      <w:r>
        <w:rPr>
          <w:w w:val="120"/>
        </w:rPr>
        <w:t>en</w:t>
      </w:r>
      <w:r>
        <w:rPr>
          <w:spacing w:val="-21"/>
          <w:w w:val="120"/>
        </w:rPr>
        <w:t> </w:t>
      </w:r>
      <w:r>
        <w:rPr>
          <w:w w:val="120"/>
        </w:rPr>
        <w:t>la</w:t>
      </w:r>
      <w:r>
        <w:rPr>
          <w:spacing w:val="-21"/>
          <w:w w:val="120"/>
        </w:rPr>
        <w:t> </w:t>
      </w:r>
      <w:r>
        <w:rPr>
          <w:w w:val="120"/>
        </w:rPr>
        <w:t>crisis</w:t>
      </w:r>
      <w:r>
        <w:rPr>
          <w:spacing w:val="-21"/>
          <w:w w:val="120"/>
        </w:rPr>
        <w:t> </w:t>
      </w:r>
      <w:r>
        <w:rPr>
          <w:w w:val="120"/>
        </w:rPr>
        <w:t>señalizadora</w:t>
      </w:r>
      <w:r>
        <w:rPr>
          <w:spacing w:val="-21"/>
          <w:w w:val="120"/>
        </w:rPr>
        <w:t> </w:t>
      </w:r>
      <w:r>
        <w:rPr>
          <w:w w:val="120"/>
        </w:rPr>
        <w:t>estadounidense</w:t>
      </w:r>
      <w:r>
        <w:rPr>
          <w:spacing w:val="-21"/>
          <w:w w:val="120"/>
        </w:rPr>
        <w:t> </w:t>
      </w:r>
      <w:r>
        <w:rPr>
          <w:w w:val="120"/>
        </w:rPr>
        <w:t>se</w:t>
      </w:r>
      <w:r>
        <w:rPr>
          <w:spacing w:val="-21"/>
          <w:w w:val="120"/>
        </w:rPr>
        <w:t> </w:t>
      </w:r>
      <w:r>
        <w:rPr>
          <w:w w:val="120"/>
        </w:rPr>
        <w:t>eviden- ció, a partir de la derrota norteamericana en Vietnam, la alianza entre</w:t>
      </w:r>
      <w:r>
        <w:rPr>
          <w:spacing w:val="-24"/>
          <w:w w:val="120"/>
        </w:rPr>
        <w:t> </w:t>
      </w:r>
      <w:r>
        <w:rPr>
          <w:w w:val="120"/>
        </w:rPr>
        <w:t>los</w:t>
      </w:r>
      <w:r>
        <w:rPr>
          <w:spacing w:val="-24"/>
          <w:w w:val="120"/>
        </w:rPr>
        <w:t> </w:t>
      </w:r>
      <w:r>
        <w:rPr>
          <w:w w:val="120"/>
        </w:rPr>
        <w:t>pueblos</w:t>
      </w:r>
      <w:r>
        <w:rPr>
          <w:spacing w:val="-24"/>
          <w:w w:val="120"/>
        </w:rPr>
        <w:t> </w:t>
      </w:r>
      <w:r>
        <w:rPr>
          <w:w w:val="120"/>
        </w:rPr>
        <w:t>del</w:t>
      </w:r>
      <w:r>
        <w:rPr>
          <w:spacing w:val="-24"/>
          <w:w w:val="120"/>
        </w:rPr>
        <w:t> </w:t>
      </w:r>
      <w:r>
        <w:rPr>
          <w:w w:val="120"/>
        </w:rPr>
        <w:t>sur</w:t>
      </w:r>
      <w:r>
        <w:rPr>
          <w:spacing w:val="-24"/>
          <w:w w:val="120"/>
        </w:rPr>
        <w:t> </w:t>
      </w:r>
      <w:r>
        <w:rPr>
          <w:w w:val="120"/>
        </w:rPr>
        <w:t>y</w:t>
      </w:r>
      <w:r>
        <w:rPr>
          <w:spacing w:val="-24"/>
          <w:w w:val="120"/>
        </w:rPr>
        <w:t> </w:t>
      </w:r>
      <w:r>
        <w:rPr>
          <w:w w:val="120"/>
        </w:rPr>
        <w:t>los</w:t>
      </w:r>
      <w:r>
        <w:rPr>
          <w:spacing w:val="-24"/>
          <w:w w:val="120"/>
        </w:rPr>
        <w:t> </w:t>
      </w:r>
      <w:r>
        <w:rPr>
          <w:w w:val="120"/>
        </w:rPr>
        <w:t>movimientos</w:t>
      </w:r>
      <w:r>
        <w:rPr>
          <w:spacing w:val="-24"/>
          <w:w w:val="120"/>
        </w:rPr>
        <w:t> </w:t>
      </w:r>
      <w:r>
        <w:rPr>
          <w:w w:val="120"/>
        </w:rPr>
        <w:t>de</w:t>
      </w:r>
      <w:r>
        <w:rPr>
          <w:spacing w:val="-24"/>
          <w:w w:val="120"/>
        </w:rPr>
        <w:t> </w:t>
      </w:r>
      <w:r>
        <w:rPr>
          <w:w w:val="120"/>
        </w:rPr>
        <w:t>masa</w:t>
      </w:r>
      <w:r>
        <w:rPr>
          <w:spacing w:val="-24"/>
          <w:w w:val="120"/>
        </w:rPr>
        <w:t> </w:t>
      </w:r>
      <w:r>
        <w:rPr>
          <w:w w:val="120"/>
        </w:rPr>
        <w:t>en</w:t>
      </w:r>
      <w:r>
        <w:rPr>
          <w:spacing w:val="-24"/>
          <w:w w:val="120"/>
        </w:rPr>
        <w:t> </w:t>
      </w:r>
      <w:r>
        <w:rPr>
          <w:w w:val="120"/>
        </w:rPr>
        <w:t>el</w:t>
      </w:r>
      <w:r>
        <w:rPr>
          <w:spacing w:val="-24"/>
          <w:w w:val="120"/>
        </w:rPr>
        <w:t> </w:t>
      </w:r>
      <w:r>
        <w:rPr>
          <w:w w:val="120"/>
        </w:rPr>
        <w:t>principal centro</w:t>
      </w:r>
      <w:r>
        <w:rPr>
          <w:spacing w:val="-25"/>
          <w:w w:val="120"/>
        </w:rPr>
        <w:t> </w:t>
      </w:r>
      <w:r>
        <w:rPr>
          <w:w w:val="120"/>
        </w:rPr>
        <w:t>atlantista</w:t>
      </w:r>
      <w:r>
        <w:rPr>
          <w:spacing w:val="-25"/>
          <w:w w:val="120"/>
        </w:rPr>
        <w:t> </w:t>
      </w:r>
      <w:r>
        <w:rPr>
          <w:w w:val="120"/>
        </w:rPr>
        <w:t>para</w:t>
      </w:r>
      <w:r>
        <w:rPr>
          <w:spacing w:val="-25"/>
          <w:w w:val="120"/>
        </w:rPr>
        <w:t> </w:t>
      </w:r>
      <w:r>
        <w:rPr>
          <w:w w:val="120"/>
        </w:rPr>
        <w:t>derrotar</w:t>
      </w:r>
      <w:r>
        <w:rPr>
          <w:spacing w:val="-25"/>
          <w:w w:val="120"/>
        </w:rPr>
        <w:t> </w:t>
      </w:r>
      <w:r>
        <w:rPr>
          <w:w w:val="120"/>
        </w:rPr>
        <w:t>políticamente</w:t>
      </w:r>
      <w:r>
        <w:rPr>
          <w:spacing w:val="-25"/>
          <w:w w:val="120"/>
        </w:rPr>
        <w:t> </w:t>
      </w:r>
      <w:r>
        <w:rPr>
          <w:w w:val="120"/>
        </w:rPr>
        <w:t>el</w:t>
      </w:r>
      <w:r>
        <w:rPr>
          <w:spacing w:val="-25"/>
          <w:w w:val="120"/>
        </w:rPr>
        <w:t> </w:t>
      </w:r>
      <w:r>
        <w:rPr>
          <w:w w:val="120"/>
        </w:rPr>
        <w:t>proyecto</w:t>
      </w:r>
      <w:r>
        <w:rPr>
          <w:spacing w:val="-25"/>
          <w:w w:val="120"/>
        </w:rPr>
        <w:t> </w:t>
      </w:r>
      <w:r>
        <w:rPr>
          <w:w w:val="120"/>
        </w:rPr>
        <w:t>de</w:t>
      </w:r>
      <w:r>
        <w:rPr>
          <w:spacing w:val="-25"/>
          <w:w w:val="120"/>
        </w:rPr>
        <w:t> </w:t>
      </w:r>
      <w:r>
        <w:rPr>
          <w:w w:val="120"/>
        </w:rPr>
        <w:t>domi- nación militar imperialista y afirmar una revolución social en la periferia.</w:t>
      </w:r>
      <w:r>
        <w:rPr>
          <w:spacing w:val="-7"/>
          <w:w w:val="120"/>
        </w:rPr>
        <w:t> </w:t>
      </w:r>
      <w:r>
        <w:rPr>
          <w:spacing w:val="-6"/>
          <w:w w:val="120"/>
        </w:rPr>
        <w:t>tal</w:t>
      </w:r>
      <w:r>
        <w:rPr>
          <w:spacing w:val="-7"/>
          <w:w w:val="120"/>
        </w:rPr>
        <w:t> </w:t>
      </w:r>
      <w:r>
        <w:rPr>
          <w:w w:val="120"/>
        </w:rPr>
        <w:t>precedente</w:t>
      </w:r>
      <w:r>
        <w:rPr>
          <w:spacing w:val="-7"/>
          <w:w w:val="120"/>
        </w:rPr>
        <w:t> </w:t>
      </w:r>
      <w:r>
        <w:rPr>
          <w:w w:val="120"/>
        </w:rPr>
        <w:t>histórico</w:t>
      </w:r>
      <w:r>
        <w:rPr>
          <w:spacing w:val="-7"/>
          <w:w w:val="120"/>
        </w:rPr>
        <w:t> </w:t>
      </w:r>
      <w:r>
        <w:rPr>
          <w:w w:val="120"/>
        </w:rPr>
        <w:t>indica</w:t>
      </w:r>
      <w:r>
        <w:rPr>
          <w:spacing w:val="-7"/>
          <w:w w:val="120"/>
        </w:rPr>
        <w:t> </w:t>
      </w:r>
      <w:r>
        <w:rPr>
          <w:w w:val="120"/>
        </w:rPr>
        <w:t>que</w:t>
      </w:r>
      <w:r>
        <w:rPr>
          <w:spacing w:val="-7"/>
          <w:w w:val="120"/>
        </w:rPr>
        <w:t> </w:t>
      </w:r>
      <w:r>
        <w:rPr>
          <w:w w:val="120"/>
        </w:rPr>
        <w:t>el</w:t>
      </w:r>
      <w:r>
        <w:rPr>
          <w:spacing w:val="-7"/>
          <w:w w:val="120"/>
        </w:rPr>
        <w:t> </w:t>
      </w:r>
      <w:r>
        <w:rPr>
          <w:w w:val="120"/>
        </w:rPr>
        <w:t>territorialismo</w:t>
      </w:r>
      <w:r>
        <w:rPr>
          <w:spacing w:val="-7"/>
          <w:w w:val="120"/>
        </w:rPr>
        <w:t> </w:t>
      </w:r>
      <w:r>
        <w:rPr>
          <w:w w:val="120"/>
        </w:rPr>
        <w:t>se podrá</w:t>
      </w:r>
      <w:r>
        <w:rPr>
          <w:spacing w:val="-16"/>
          <w:w w:val="120"/>
        </w:rPr>
        <w:t> </w:t>
      </w:r>
      <w:r>
        <w:rPr>
          <w:w w:val="120"/>
        </w:rPr>
        <w:t>afirmar</w:t>
      </w:r>
      <w:r>
        <w:rPr>
          <w:spacing w:val="-16"/>
          <w:w w:val="120"/>
        </w:rPr>
        <w:t> </w:t>
      </w:r>
      <w:r>
        <w:rPr>
          <w:w w:val="120"/>
        </w:rPr>
        <w:t>como</w:t>
      </w:r>
      <w:r>
        <w:rPr>
          <w:spacing w:val="-16"/>
          <w:w w:val="120"/>
        </w:rPr>
        <w:t> </w:t>
      </w:r>
      <w:r>
        <w:rPr>
          <w:w w:val="120"/>
        </w:rPr>
        <w:t>un</w:t>
      </w:r>
      <w:r>
        <w:rPr>
          <w:spacing w:val="-16"/>
          <w:w w:val="120"/>
        </w:rPr>
        <w:t> </w:t>
      </w:r>
      <w:r>
        <w:rPr>
          <w:w w:val="120"/>
        </w:rPr>
        <w:t>bloque</w:t>
      </w:r>
      <w:r>
        <w:rPr>
          <w:spacing w:val="-16"/>
          <w:w w:val="120"/>
        </w:rPr>
        <w:t> </w:t>
      </w:r>
      <w:r>
        <w:rPr>
          <w:w w:val="120"/>
        </w:rPr>
        <w:t>histórico</w:t>
      </w:r>
      <w:r>
        <w:rPr>
          <w:spacing w:val="-16"/>
          <w:w w:val="120"/>
        </w:rPr>
        <w:t> </w:t>
      </w:r>
      <w:r>
        <w:rPr>
          <w:w w:val="120"/>
        </w:rPr>
        <w:t>que</w:t>
      </w:r>
      <w:r>
        <w:rPr>
          <w:spacing w:val="-16"/>
          <w:w w:val="120"/>
        </w:rPr>
        <w:t> </w:t>
      </w:r>
      <w:r>
        <w:rPr>
          <w:w w:val="120"/>
        </w:rPr>
        <w:t>articule</w:t>
      </w:r>
      <w:r>
        <w:rPr>
          <w:spacing w:val="-16"/>
          <w:w w:val="120"/>
        </w:rPr>
        <w:t> </w:t>
      </w:r>
      <w:r>
        <w:rPr>
          <w:w w:val="120"/>
        </w:rPr>
        <w:t>las</w:t>
      </w:r>
      <w:r>
        <w:rPr>
          <w:spacing w:val="-16"/>
          <w:w w:val="120"/>
        </w:rPr>
        <w:t> </w:t>
      </w:r>
      <w:r>
        <w:rPr>
          <w:w w:val="120"/>
        </w:rPr>
        <w:t>luchas</w:t>
      </w:r>
      <w:r>
        <w:rPr>
          <w:spacing w:val="-16"/>
          <w:w w:val="120"/>
        </w:rPr>
        <w:t> </w:t>
      </w:r>
      <w:r>
        <w:rPr>
          <w:w w:val="120"/>
        </w:rPr>
        <w:t>de </w:t>
      </w:r>
      <w:r>
        <w:rPr>
          <w:w w:val="115"/>
        </w:rPr>
        <w:t>los</w:t>
      </w:r>
      <w:r>
        <w:rPr>
          <w:spacing w:val="-7"/>
          <w:w w:val="115"/>
        </w:rPr>
        <w:t> </w:t>
      </w:r>
      <w:r>
        <w:rPr>
          <w:w w:val="115"/>
        </w:rPr>
        <w:t>trabajadores</w:t>
      </w:r>
      <w:r>
        <w:rPr>
          <w:spacing w:val="-7"/>
          <w:w w:val="115"/>
        </w:rPr>
        <w:t> </w:t>
      </w:r>
      <w:r>
        <w:rPr>
          <w:w w:val="115"/>
        </w:rPr>
        <w:t>de</w:t>
      </w:r>
      <w:r>
        <w:rPr>
          <w:spacing w:val="-7"/>
          <w:w w:val="115"/>
        </w:rPr>
        <w:t> </w:t>
      </w:r>
      <w:r>
        <w:rPr>
          <w:w w:val="115"/>
        </w:rPr>
        <w:t>las</w:t>
      </w:r>
      <w:r>
        <w:rPr>
          <w:spacing w:val="-7"/>
          <w:w w:val="115"/>
        </w:rPr>
        <w:t> </w:t>
      </w:r>
      <w:r>
        <w:rPr>
          <w:w w:val="115"/>
        </w:rPr>
        <w:t>periferias,</w:t>
      </w:r>
      <w:r>
        <w:rPr>
          <w:spacing w:val="-7"/>
          <w:w w:val="115"/>
        </w:rPr>
        <w:t> </w:t>
      </w:r>
      <w:r>
        <w:rPr>
          <w:w w:val="115"/>
        </w:rPr>
        <w:t>semiperiferias</w:t>
      </w:r>
      <w:r>
        <w:rPr>
          <w:spacing w:val="-7"/>
          <w:w w:val="115"/>
        </w:rPr>
        <w:t> </w:t>
      </w:r>
      <w:r>
        <w:rPr>
          <w:w w:val="115"/>
        </w:rPr>
        <w:t>y</w:t>
      </w:r>
      <w:r>
        <w:rPr>
          <w:spacing w:val="-7"/>
          <w:w w:val="115"/>
        </w:rPr>
        <w:t> </w:t>
      </w:r>
      <w:r>
        <w:rPr>
          <w:w w:val="115"/>
        </w:rPr>
        <w:t>centros</w:t>
      </w:r>
      <w:r>
        <w:rPr>
          <w:spacing w:val="-7"/>
          <w:w w:val="115"/>
        </w:rPr>
        <w:t> </w:t>
      </w:r>
      <w:r>
        <w:rPr>
          <w:w w:val="115"/>
        </w:rPr>
        <w:t>contra</w:t>
      </w:r>
      <w:r>
        <w:rPr>
          <w:spacing w:val="-7"/>
          <w:w w:val="115"/>
        </w:rPr>
        <w:t> </w:t>
      </w:r>
      <w:r>
        <w:rPr>
          <w:w w:val="115"/>
        </w:rPr>
        <w:t>la </w:t>
      </w:r>
      <w:r>
        <w:rPr>
          <w:w w:val="120"/>
        </w:rPr>
        <w:t>producción</w:t>
      </w:r>
      <w:r>
        <w:rPr>
          <w:spacing w:val="-30"/>
          <w:w w:val="120"/>
        </w:rPr>
        <w:t> </w:t>
      </w:r>
      <w:r>
        <w:rPr>
          <w:w w:val="120"/>
        </w:rPr>
        <w:t>de</w:t>
      </w:r>
      <w:r>
        <w:rPr>
          <w:spacing w:val="-30"/>
          <w:w w:val="120"/>
        </w:rPr>
        <w:t> </w:t>
      </w:r>
      <w:r>
        <w:rPr>
          <w:w w:val="120"/>
        </w:rPr>
        <w:t>riqueza</w:t>
      </w:r>
      <w:r>
        <w:rPr>
          <w:spacing w:val="-30"/>
          <w:w w:val="120"/>
        </w:rPr>
        <w:t> </w:t>
      </w:r>
      <w:r>
        <w:rPr>
          <w:w w:val="120"/>
        </w:rPr>
        <w:t>oligárquica,</w:t>
      </w:r>
      <w:r>
        <w:rPr>
          <w:spacing w:val="-30"/>
          <w:w w:val="120"/>
        </w:rPr>
        <w:t> </w:t>
      </w:r>
      <w:r>
        <w:rPr>
          <w:w w:val="120"/>
        </w:rPr>
        <w:t>asimetrías</w:t>
      </w:r>
      <w:r>
        <w:rPr>
          <w:spacing w:val="-30"/>
          <w:w w:val="120"/>
        </w:rPr>
        <w:t> </w:t>
      </w:r>
      <w:r>
        <w:rPr>
          <w:w w:val="120"/>
        </w:rPr>
        <w:t>y</w:t>
      </w:r>
      <w:r>
        <w:rPr>
          <w:spacing w:val="-30"/>
          <w:w w:val="120"/>
        </w:rPr>
        <w:t> </w:t>
      </w:r>
      <w:r>
        <w:rPr>
          <w:w w:val="120"/>
        </w:rPr>
        <w:t>guerras</w:t>
      </w:r>
      <w:r>
        <w:rPr>
          <w:spacing w:val="-30"/>
          <w:w w:val="120"/>
        </w:rPr>
        <w:t> </w:t>
      </w:r>
      <w:r>
        <w:rPr>
          <w:w w:val="120"/>
        </w:rPr>
        <w:t>en</w:t>
      </w:r>
      <w:r>
        <w:rPr>
          <w:spacing w:val="-30"/>
          <w:w w:val="120"/>
        </w:rPr>
        <w:t> </w:t>
      </w:r>
      <w:r>
        <w:rPr>
          <w:w w:val="120"/>
        </w:rPr>
        <w:t>el</w:t>
      </w:r>
      <w:r>
        <w:rPr>
          <w:spacing w:val="-30"/>
          <w:w w:val="120"/>
        </w:rPr>
        <w:t> </w:t>
      </w:r>
      <w:r>
        <w:rPr>
          <w:w w:val="120"/>
        </w:rPr>
        <w:t>siste- ma</w:t>
      </w:r>
      <w:r>
        <w:rPr>
          <w:spacing w:val="-27"/>
          <w:w w:val="120"/>
        </w:rPr>
        <w:t> </w:t>
      </w:r>
      <w:r>
        <w:rPr>
          <w:w w:val="120"/>
        </w:rPr>
        <w:t>mundial.</w:t>
      </w:r>
      <w:r>
        <w:rPr>
          <w:spacing w:val="-27"/>
          <w:w w:val="120"/>
        </w:rPr>
        <w:t> </w:t>
      </w:r>
      <w:r>
        <w:rPr>
          <w:w w:val="120"/>
        </w:rPr>
        <w:t>su</w:t>
      </w:r>
      <w:r>
        <w:rPr>
          <w:spacing w:val="-27"/>
          <w:w w:val="120"/>
        </w:rPr>
        <w:t> </w:t>
      </w:r>
      <w:r>
        <w:rPr>
          <w:w w:val="120"/>
        </w:rPr>
        <w:t>epicentro</w:t>
      </w:r>
      <w:r>
        <w:rPr>
          <w:spacing w:val="-27"/>
          <w:w w:val="120"/>
        </w:rPr>
        <w:t> </w:t>
      </w:r>
      <w:r>
        <w:rPr>
          <w:w w:val="120"/>
        </w:rPr>
        <w:t>deberá</w:t>
      </w:r>
      <w:r>
        <w:rPr>
          <w:spacing w:val="-27"/>
          <w:w w:val="120"/>
        </w:rPr>
        <w:t> </w:t>
      </w:r>
      <w:r>
        <w:rPr>
          <w:w w:val="120"/>
        </w:rPr>
        <w:t>estar</w:t>
      </w:r>
      <w:r>
        <w:rPr>
          <w:spacing w:val="-27"/>
          <w:w w:val="120"/>
        </w:rPr>
        <w:t> </w:t>
      </w:r>
      <w:r>
        <w:rPr>
          <w:w w:val="120"/>
        </w:rPr>
        <w:t>en</w:t>
      </w:r>
      <w:r>
        <w:rPr>
          <w:spacing w:val="-27"/>
          <w:w w:val="120"/>
        </w:rPr>
        <w:t> </w:t>
      </w:r>
      <w:r>
        <w:rPr>
          <w:w w:val="120"/>
        </w:rPr>
        <w:t>las</w:t>
      </w:r>
      <w:r>
        <w:rPr>
          <w:spacing w:val="-27"/>
          <w:w w:val="120"/>
        </w:rPr>
        <w:t> </w:t>
      </w:r>
      <w:r>
        <w:rPr>
          <w:w w:val="120"/>
        </w:rPr>
        <w:t>periferias</w:t>
      </w:r>
      <w:r>
        <w:rPr>
          <w:spacing w:val="-27"/>
          <w:w w:val="120"/>
        </w:rPr>
        <w:t> </w:t>
      </w:r>
      <w:r>
        <w:rPr>
          <w:w w:val="120"/>
        </w:rPr>
        <w:t>y</w:t>
      </w:r>
      <w:r>
        <w:rPr>
          <w:spacing w:val="-27"/>
          <w:w w:val="120"/>
        </w:rPr>
        <w:t> </w:t>
      </w:r>
      <w:r>
        <w:rPr>
          <w:w w:val="120"/>
        </w:rPr>
        <w:t>semiperi- ferias,</w:t>
      </w:r>
      <w:r>
        <w:rPr>
          <w:spacing w:val="-22"/>
          <w:w w:val="120"/>
        </w:rPr>
        <w:t> </w:t>
      </w:r>
      <w:r>
        <w:rPr>
          <w:w w:val="120"/>
        </w:rPr>
        <w:t>en</w:t>
      </w:r>
      <w:r>
        <w:rPr>
          <w:spacing w:val="-22"/>
          <w:w w:val="120"/>
        </w:rPr>
        <w:t> </w:t>
      </w:r>
      <w:r>
        <w:rPr>
          <w:w w:val="120"/>
        </w:rPr>
        <w:t>particular</w:t>
      </w:r>
      <w:r>
        <w:rPr>
          <w:spacing w:val="-22"/>
          <w:w w:val="120"/>
        </w:rPr>
        <w:t> </w:t>
      </w:r>
      <w:r>
        <w:rPr>
          <w:w w:val="120"/>
        </w:rPr>
        <w:t>en</w:t>
      </w:r>
      <w:r>
        <w:rPr>
          <w:spacing w:val="-22"/>
          <w:w w:val="120"/>
        </w:rPr>
        <w:t> </w:t>
      </w:r>
      <w:r>
        <w:rPr>
          <w:w w:val="120"/>
        </w:rPr>
        <w:t>las</w:t>
      </w:r>
      <w:r>
        <w:rPr>
          <w:spacing w:val="-22"/>
          <w:w w:val="120"/>
        </w:rPr>
        <w:t> </w:t>
      </w:r>
      <w:r>
        <w:rPr>
          <w:w w:val="120"/>
        </w:rPr>
        <w:t>potencias</w:t>
      </w:r>
      <w:r>
        <w:rPr>
          <w:spacing w:val="-22"/>
          <w:w w:val="120"/>
        </w:rPr>
        <w:t> </w:t>
      </w:r>
      <w:r>
        <w:rPr>
          <w:w w:val="120"/>
        </w:rPr>
        <w:t>emergentes</w:t>
      </w:r>
      <w:r>
        <w:rPr>
          <w:spacing w:val="-22"/>
          <w:w w:val="120"/>
        </w:rPr>
        <w:t> </w:t>
      </w:r>
      <w:r>
        <w:rPr>
          <w:w w:val="120"/>
        </w:rPr>
        <w:t>que</w:t>
      </w:r>
      <w:r>
        <w:rPr>
          <w:spacing w:val="-22"/>
          <w:w w:val="120"/>
        </w:rPr>
        <w:t> </w:t>
      </w:r>
      <w:r>
        <w:rPr>
          <w:w w:val="120"/>
        </w:rPr>
        <w:t>las</w:t>
      </w:r>
      <w:r>
        <w:rPr>
          <w:spacing w:val="-22"/>
          <w:w w:val="120"/>
        </w:rPr>
        <w:t> </w:t>
      </w:r>
      <w:r>
        <w:rPr>
          <w:w w:val="120"/>
        </w:rPr>
        <w:t>articulan; sin embargo, se deberá extender a los grandes centros europeos y</w:t>
      </w:r>
      <w:r>
        <w:rPr>
          <w:spacing w:val="-13"/>
          <w:w w:val="120"/>
        </w:rPr>
        <w:t> </w:t>
      </w:r>
      <w:r>
        <w:rPr>
          <w:w w:val="120"/>
        </w:rPr>
        <w:t>atlantistas,</w:t>
      </w:r>
      <w:r>
        <w:rPr>
          <w:spacing w:val="-13"/>
          <w:w w:val="120"/>
        </w:rPr>
        <w:t> </w:t>
      </w:r>
      <w:r>
        <w:rPr>
          <w:w w:val="120"/>
        </w:rPr>
        <w:t>alcanzando</w:t>
      </w:r>
      <w:r>
        <w:rPr>
          <w:spacing w:val="-13"/>
          <w:w w:val="120"/>
        </w:rPr>
        <w:t> </w:t>
      </w:r>
      <w:r>
        <w:rPr>
          <w:w w:val="120"/>
        </w:rPr>
        <w:t>a</w:t>
      </w:r>
      <w:r>
        <w:rPr>
          <w:spacing w:val="-13"/>
          <w:w w:val="120"/>
        </w:rPr>
        <w:t> </w:t>
      </w:r>
      <w:r>
        <w:rPr>
          <w:w w:val="120"/>
        </w:rPr>
        <w:t>las</w:t>
      </w:r>
      <w:r>
        <w:rPr>
          <w:spacing w:val="-13"/>
          <w:w w:val="120"/>
        </w:rPr>
        <w:t> </w:t>
      </w:r>
      <w:r>
        <w:rPr>
          <w:w w:val="120"/>
        </w:rPr>
        <w:t>masas</w:t>
      </w:r>
      <w:r>
        <w:rPr>
          <w:spacing w:val="-13"/>
          <w:w w:val="120"/>
        </w:rPr>
        <w:t> </w:t>
      </w:r>
      <w:r>
        <w:rPr>
          <w:w w:val="120"/>
        </w:rPr>
        <w:t>de</w:t>
      </w:r>
      <w:r>
        <w:rPr>
          <w:spacing w:val="-13"/>
          <w:w w:val="120"/>
        </w:rPr>
        <w:t> </w:t>
      </w:r>
      <w:r>
        <w:rPr>
          <w:w w:val="120"/>
        </w:rPr>
        <w:t>trabajadores</w:t>
      </w:r>
      <w:r>
        <w:rPr>
          <w:spacing w:val="-13"/>
          <w:w w:val="120"/>
        </w:rPr>
        <w:t> </w:t>
      </w:r>
      <w:r>
        <w:rPr>
          <w:w w:val="120"/>
        </w:rPr>
        <w:t>superexplo- tados, a los migrantes y a los sectores medios que sufren con el avance</w:t>
      </w:r>
      <w:r>
        <w:rPr>
          <w:spacing w:val="-7"/>
          <w:w w:val="120"/>
        </w:rPr>
        <w:t> </w:t>
      </w:r>
      <w:r>
        <w:rPr>
          <w:w w:val="120"/>
        </w:rPr>
        <w:t>de</w:t>
      </w:r>
      <w:r>
        <w:rPr>
          <w:spacing w:val="-7"/>
          <w:w w:val="120"/>
        </w:rPr>
        <w:t> </w:t>
      </w:r>
      <w:r>
        <w:rPr>
          <w:w w:val="120"/>
        </w:rPr>
        <w:t>la</w:t>
      </w:r>
      <w:r>
        <w:rPr>
          <w:spacing w:val="-7"/>
          <w:w w:val="120"/>
        </w:rPr>
        <w:t> </w:t>
      </w:r>
      <w:r>
        <w:rPr>
          <w:w w:val="120"/>
        </w:rPr>
        <w:t>desigualdad,</w:t>
      </w:r>
      <w:r>
        <w:rPr>
          <w:spacing w:val="-7"/>
          <w:w w:val="120"/>
        </w:rPr>
        <w:t> </w:t>
      </w:r>
      <w:r>
        <w:rPr>
          <w:w w:val="120"/>
        </w:rPr>
        <w:t>la</w:t>
      </w:r>
      <w:r>
        <w:rPr>
          <w:spacing w:val="-7"/>
          <w:w w:val="120"/>
        </w:rPr>
        <w:t> </w:t>
      </w:r>
      <w:r>
        <w:rPr>
          <w:w w:val="120"/>
        </w:rPr>
        <w:t>cual</w:t>
      </w:r>
      <w:r>
        <w:rPr>
          <w:spacing w:val="-7"/>
          <w:w w:val="120"/>
        </w:rPr>
        <w:t> </w:t>
      </w:r>
      <w:r>
        <w:rPr>
          <w:w w:val="120"/>
        </w:rPr>
        <w:t>se</w:t>
      </w:r>
      <w:r>
        <w:rPr>
          <w:spacing w:val="-7"/>
          <w:w w:val="120"/>
        </w:rPr>
        <w:t> </w:t>
      </w:r>
      <w:r>
        <w:rPr>
          <w:w w:val="120"/>
        </w:rPr>
        <w:t>estará</w:t>
      </w:r>
      <w:r>
        <w:rPr>
          <w:spacing w:val="-7"/>
          <w:w w:val="120"/>
        </w:rPr>
        <w:t> </w:t>
      </w:r>
      <w:r>
        <w:rPr>
          <w:w w:val="120"/>
        </w:rPr>
        <w:t>profundizando</w:t>
      </w:r>
      <w:r>
        <w:rPr>
          <w:spacing w:val="-7"/>
          <w:w w:val="120"/>
        </w:rPr>
        <w:t> </w:t>
      </w:r>
      <w:r>
        <w:rPr>
          <w:w w:val="120"/>
        </w:rPr>
        <w:t>en</w:t>
      </w:r>
      <w:r>
        <w:rPr>
          <w:spacing w:val="-7"/>
          <w:w w:val="120"/>
        </w:rPr>
        <w:t> </w:t>
      </w:r>
      <w:r>
        <w:rPr>
          <w:w w:val="120"/>
        </w:rPr>
        <w:t>esta década, en el caso de que se agote efectivamente, como postula- mos,</w:t>
      </w:r>
      <w:r>
        <w:rPr>
          <w:spacing w:val="-18"/>
          <w:w w:val="120"/>
        </w:rPr>
        <w:t> </w:t>
      </w:r>
      <w:r>
        <w:rPr>
          <w:w w:val="120"/>
        </w:rPr>
        <w:t>la</w:t>
      </w:r>
      <w:r>
        <w:rPr>
          <w:spacing w:val="-18"/>
          <w:w w:val="120"/>
        </w:rPr>
        <w:t> </w:t>
      </w:r>
      <w:r>
        <w:rPr>
          <w:w w:val="120"/>
        </w:rPr>
        <w:t>fase</w:t>
      </w:r>
      <w:r>
        <w:rPr>
          <w:spacing w:val="-18"/>
          <w:w w:val="120"/>
        </w:rPr>
        <w:t> </w:t>
      </w:r>
      <w:r>
        <w:rPr>
          <w:w w:val="120"/>
        </w:rPr>
        <w:t>expansiva</w:t>
      </w:r>
      <w:r>
        <w:rPr>
          <w:spacing w:val="-18"/>
          <w:w w:val="120"/>
        </w:rPr>
        <w:t> </w:t>
      </w:r>
      <w:r>
        <w:rPr>
          <w:w w:val="120"/>
        </w:rPr>
        <w:t>del</w:t>
      </w:r>
      <w:r>
        <w:rPr>
          <w:spacing w:val="-18"/>
          <w:w w:val="120"/>
        </w:rPr>
        <w:t> </w:t>
      </w:r>
      <w:r>
        <w:rPr>
          <w:w w:val="120"/>
        </w:rPr>
        <w:t>ciclo</w:t>
      </w:r>
      <w:r>
        <w:rPr>
          <w:spacing w:val="-18"/>
          <w:w w:val="120"/>
        </w:rPr>
        <w:t> </w:t>
      </w:r>
      <w:r>
        <w:rPr>
          <w:w w:val="120"/>
        </w:rPr>
        <w:t>Kondratiev.</w:t>
      </w:r>
      <w:r>
        <w:rPr>
          <w:spacing w:val="-18"/>
          <w:w w:val="120"/>
        </w:rPr>
        <w:t> </w:t>
      </w:r>
      <w:r>
        <w:rPr>
          <w:w w:val="120"/>
        </w:rPr>
        <w:t>al</w:t>
      </w:r>
      <w:r>
        <w:rPr>
          <w:spacing w:val="-18"/>
          <w:w w:val="120"/>
        </w:rPr>
        <w:t> </w:t>
      </w:r>
      <w:r>
        <w:rPr>
          <w:w w:val="120"/>
        </w:rPr>
        <w:t>priorizar</w:t>
      </w:r>
      <w:r>
        <w:rPr>
          <w:spacing w:val="-18"/>
          <w:w w:val="120"/>
        </w:rPr>
        <w:t> </w:t>
      </w:r>
      <w:r>
        <w:rPr>
          <w:w w:val="120"/>
        </w:rPr>
        <w:t>los</w:t>
      </w:r>
      <w:r>
        <w:rPr>
          <w:spacing w:val="-18"/>
          <w:w w:val="120"/>
        </w:rPr>
        <w:t> </w:t>
      </w:r>
      <w:r>
        <w:rPr>
          <w:w w:val="120"/>
        </w:rPr>
        <w:t>merca- dos</w:t>
      </w:r>
      <w:r>
        <w:rPr>
          <w:spacing w:val="-14"/>
          <w:w w:val="120"/>
        </w:rPr>
        <w:t> </w:t>
      </w:r>
      <w:r>
        <w:rPr>
          <w:w w:val="120"/>
        </w:rPr>
        <w:t>internos,</w:t>
      </w:r>
      <w:r>
        <w:rPr>
          <w:spacing w:val="-14"/>
          <w:w w:val="120"/>
        </w:rPr>
        <w:t> </w:t>
      </w:r>
      <w:r>
        <w:rPr>
          <w:w w:val="120"/>
        </w:rPr>
        <w:t>la</w:t>
      </w:r>
      <w:r>
        <w:rPr>
          <w:spacing w:val="-14"/>
          <w:w w:val="120"/>
        </w:rPr>
        <w:t> </w:t>
      </w:r>
      <w:r>
        <w:rPr>
          <w:w w:val="120"/>
        </w:rPr>
        <w:t>erradicación</w:t>
      </w:r>
      <w:r>
        <w:rPr>
          <w:spacing w:val="-14"/>
          <w:w w:val="120"/>
        </w:rPr>
        <w:t> </w:t>
      </w:r>
      <w:r>
        <w:rPr>
          <w:w w:val="120"/>
        </w:rPr>
        <w:t>de</w:t>
      </w:r>
      <w:r>
        <w:rPr>
          <w:spacing w:val="-14"/>
          <w:w w:val="120"/>
        </w:rPr>
        <w:t> </w:t>
      </w:r>
      <w:r>
        <w:rPr>
          <w:w w:val="120"/>
        </w:rPr>
        <w:t>la</w:t>
      </w:r>
      <w:r>
        <w:rPr>
          <w:spacing w:val="-14"/>
          <w:w w:val="120"/>
        </w:rPr>
        <w:t> </w:t>
      </w:r>
      <w:r>
        <w:rPr>
          <w:w w:val="120"/>
        </w:rPr>
        <w:t>pobreza,</w:t>
      </w:r>
      <w:r>
        <w:rPr>
          <w:spacing w:val="-14"/>
          <w:w w:val="120"/>
        </w:rPr>
        <w:t> </w:t>
      </w:r>
      <w:r>
        <w:rPr>
          <w:w w:val="120"/>
        </w:rPr>
        <w:t>los</w:t>
      </w:r>
      <w:r>
        <w:rPr>
          <w:spacing w:val="-14"/>
          <w:w w:val="120"/>
        </w:rPr>
        <w:t> </w:t>
      </w:r>
      <w:r>
        <w:rPr>
          <w:w w:val="120"/>
        </w:rPr>
        <w:t>regionalismos,</w:t>
      </w:r>
      <w:r>
        <w:rPr>
          <w:spacing w:val="-14"/>
          <w:w w:val="120"/>
        </w:rPr>
        <w:t> </w:t>
      </w:r>
      <w:r>
        <w:rPr>
          <w:w w:val="120"/>
        </w:rPr>
        <w:t>sus alianzas</w:t>
      </w:r>
      <w:r>
        <w:rPr>
          <w:spacing w:val="-29"/>
          <w:w w:val="120"/>
        </w:rPr>
        <w:t> </w:t>
      </w:r>
      <w:r>
        <w:rPr>
          <w:w w:val="120"/>
        </w:rPr>
        <w:t>y</w:t>
      </w:r>
      <w:r>
        <w:rPr>
          <w:spacing w:val="-29"/>
          <w:w w:val="120"/>
        </w:rPr>
        <w:t> </w:t>
      </w:r>
      <w:r>
        <w:rPr>
          <w:w w:val="120"/>
        </w:rPr>
        <w:t>la</w:t>
      </w:r>
      <w:r>
        <w:rPr>
          <w:spacing w:val="-29"/>
          <w:w w:val="120"/>
        </w:rPr>
        <w:t> </w:t>
      </w:r>
      <w:r>
        <w:rPr>
          <w:w w:val="120"/>
        </w:rPr>
        <w:t>democratización</w:t>
      </w:r>
      <w:r>
        <w:rPr>
          <w:spacing w:val="-29"/>
          <w:w w:val="120"/>
        </w:rPr>
        <w:t> </w:t>
      </w:r>
      <w:r>
        <w:rPr>
          <w:w w:val="120"/>
        </w:rPr>
        <w:t>del</w:t>
      </w:r>
      <w:r>
        <w:rPr>
          <w:spacing w:val="-29"/>
          <w:w w:val="120"/>
        </w:rPr>
        <w:t> </w:t>
      </w:r>
      <w:r>
        <w:rPr>
          <w:w w:val="120"/>
        </w:rPr>
        <w:t>poder</w:t>
      </w:r>
      <w:r>
        <w:rPr>
          <w:spacing w:val="-29"/>
          <w:w w:val="120"/>
        </w:rPr>
        <w:t> </w:t>
      </w:r>
      <w:r>
        <w:rPr>
          <w:w w:val="120"/>
        </w:rPr>
        <w:t>mundial,</w:t>
      </w:r>
      <w:r>
        <w:rPr>
          <w:spacing w:val="-29"/>
          <w:w w:val="120"/>
        </w:rPr>
        <w:t> </w:t>
      </w:r>
      <w:r>
        <w:rPr>
          <w:w w:val="120"/>
        </w:rPr>
        <w:t>el</w:t>
      </w:r>
      <w:r>
        <w:rPr>
          <w:spacing w:val="-29"/>
          <w:w w:val="120"/>
        </w:rPr>
        <w:t> </w:t>
      </w:r>
      <w:r>
        <w:rPr>
          <w:w w:val="120"/>
        </w:rPr>
        <w:t>territorialismo se</w:t>
      </w:r>
      <w:r>
        <w:rPr>
          <w:spacing w:val="-19"/>
          <w:w w:val="120"/>
        </w:rPr>
        <w:t> </w:t>
      </w:r>
      <w:r>
        <w:rPr>
          <w:w w:val="120"/>
        </w:rPr>
        <w:t>constituye</w:t>
      </w:r>
      <w:r>
        <w:rPr>
          <w:spacing w:val="-19"/>
          <w:w w:val="120"/>
        </w:rPr>
        <w:t> </w:t>
      </w:r>
      <w:r>
        <w:rPr>
          <w:w w:val="120"/>
        </w:rPr>
        <w:t>como</w:t>
      </w:r>
      <w:r>
        <w:rPr>
          <w:spacing w:val="-19"/>
          <w:w w:val="120"/>
        </w:rPr>
        <w:t> </w:t>
      </w:r>
      <w:r>
        <w:rPr>
          <w:w w:val="120"/>
        </w:rPr>
        <w:t>una</w:t>
      </w:r>
      <w:r>
        <w:rPr>
          <w:spacing w:val="-19"/>
          <w:w w:val="120"/>
        </w:rPr>
        <w:t> </w:t>
      </w:r>
      <w:r>
        <w:rPr>
          <w:w w:val="120"/>
        </w:rPr>
        <w:t>fuerza</w:t>
      </w:r>
      <w:r>
        <w:rPr>
          <w:spacing w:val="-19"/>
          <w:w w:val="120"/>
        </w:rPr>
        <w:t> </w:t>
      </w:r>
      <w:r>
        <w:rPr>
          <w:w w:val="120"/>
        </w:rPr>
        <w:t>con</w:t>
      </w:r>
      <w:r>
        <w:rPr>
          <w:spacing w:val="-19"/>
          <w:w w:val="120"/>
        </w:rPr>
        <w:t> </w:t>
      </w:r>
      <w:r>
        <w:rPr>
          <w:w w:val="120"/>
        </w:rPr>
        <w:t>alto</w:t>
      </w:r>
      <w:r>
        <w:rPr>
          <w:spacing w:val="-19"/>
          <w:w w:val="120"/>
        </w:rPr>
        <w:t> </w:t>
      </w:r>
      <w:r>
        <w:rPr>
          <w:w w:val="120"/>
        </w:rPr>
        <w:t>potencial</w:t>
      </w:r>
      <w:r>
        <w:rPr>
          <w:spacing w:val="-19"/>
          <w:w w:val="120"/>
        </w:rPr>
        <w:t> </w:t>
      </w:r>
      <w:r>
        <w:rPr>
          <w:w w:val="120"/>
        </w:rPr>
        <w:t>de</w:t>
      </w:r>
      <w:r>
        <w:rPr>
          <w:spacing w:val="-19"/>
          <w:w w:val="120"/>
        </w:rPr>
        <w:t> </w:t>
      </w:r>
      <w:r>
        <w:rPr>
          <w:w w:val="120"/>
        </w:rPr>
        <w:t>contradicción con</w:t>
      </w:r>
      <w:r>
        <w:rPr>
          <w:spacing w:val="-27"/>
          <w:w w:val="120"/>
        </w:rPr>
        <w:t> </w:t>
      </w:r>
      <w:r>
        <w:rPr>
          <w:w w:val="120"/>
        </w:rPr>
        <w:t>la</w:t>
      </w:r>
      <w:r>
        <w:rPr>
          <w:spacing w:val="-27"/>
          <w:w w:val="120"/>
        </w:rPr>
        <w:t> </w:t>
      </w:r>
      <w:r>
        <w:rPr>
          <w:w w:val="120"/>
        </w:rPr>
        <w:t>dinámica</w:t>
      </w:r>
      <w:r>
        <w:rPr>
          <w:spacing w:val="-27"/>
          <w:w w:val="120"/>
        </w:rPr>
        <w:t> </w:t>
      </w:r>
      <w:r>
        <w:rPr>
          <w:w w:val="120"/>
        </w:rPr>
        <w:t>de</w:t>
      </w:r>
      <w:r>
        <w:rPr>
          <w:spacing w:val="-27"/>
          <w:w w:val="120"/>
        </w:rPr>
        <w:t> </w:t>
      </w:r>
      <w:r>
        <w:rPr>
          <w:w w:val="120"/>
        </w:rPr>
        <w:t>la</w:t>
      </w:r>
      <w:r>
        <w:rPr>
          <w:spacing w:val="-27"/>
          <w:w w:val="120"/>
        </w:rPr>
        <w:t> </w:t>
      </w:r>
      <w:r>
        <w:rPr>
          <w:w w:val="120"/>
        </w:rPr>
        <w:t>ganancia</w:t>
      </w:r>
      <w:r>
        <w:rPr>
          <w:spacing w:val="-27"/>
          <w:w w:val="120"/>
        </w:rPr>
        <w:t> </w:t>
      </w:r>
      <w:r>
        <w:rPr>
          <w:w w:val="120"/>
        </w:rPr>
        <w:t>extraordinaria</w:t>
      </w:r>
      <w:r>
        <w:rPr>
          <w:spacing w:val="-27"/>
          <w:w w:val="120"/>
        </w:rPr>
        <w:t> </w:t>
      </w:r>
      <w:r>
        <w:rPr>
          <w:w w:val="120"/>
        </w:rPr>
        <w:t>en</w:t>
      </w:r>
      <w:r>
        <w:rPr>
          <w:spacing w:val="-27"/>
          <w:w w:val="120"/>
        </w:rPr>
        <w:t> </w:t>
      </w:r>
      <w:r>
        <w:rPr>
          <w:w w:val="120"/>
        </w:rPr>
        <w:t>la</w:t>
      </w:r>
      <w:r>
        <w:rPr>
          <w:spacing w:val="-27"/>
          <w:w w:val="120"/>
        </w:rPr>
        <w:t> </w:t>
      </w:r>
      <w:r>
        <w:rPr>
          <w:w w:val="120"/>
        </w:rPr>
        <w:t>economía</w:t>
      </w:r>
      <w:r>
        <w:rPr>
          <w:spacing w:val="-27"/>
          <w:w w:val="120"/>
        </w:rPr>
        <w:t> </w:t>
      </w:r>
      <w:r>
        <w:rPr>
          <w:w w:val="120"/>
        </w:rPr>
        <w:t>mun- dial</w:t>
      </w:r>
      <w:r>
        <w:rPr>
          <w:spacing w:val="-30"/>
          <w:w w:val="120"/>
        </w:rPr>
        <w:t> </w:t>
      </w:r>
      <w:r>
        <w:rPr>
          <w:w w:val="120"/>
        </w:rPr>
        <w:t>que</w:t>
      </w:r>
      <w:r>
        <w:rPr>
          <w:spacing w:val="-30"/>
          <w:w w:val="120"/>
        </w:rPr>
        <w:t> </w:t>
      </w:r>
      <w:r>
        <w:rPr>
          <w:w w:val="120"/>
        </w:rPr>
        <w:t>estructura</w:t>
      </w:r>
      <w:r>
        <w:rPr>
          <w:spacing w:val="-30"/>
          <w:w w:val="120"/>
        </w:rPr>
        <w:t> </w:t>
      </w:r>
      <w:r>
        <w:rPr>
          <w:w w:val="120"/>
        </w:rPr>
        <w:t>la</w:t>
      </w:r>
      <w:r>
        <w:rPr>
          <w:spacing w:val="-30"/>
          <w:w w:val="120"/>
        </w:rPr>
        <w:t> </w:t>
      </w:r>
      <w:r>
        <w:rPr>
          <w:w w:val="120"/>
        </w:rPr>
        <w:t>civilización</w:t>
      </w:r>
      <w:r>
        <w:rPr>
          <w:spacing w:val="-30"/>
          <w:w w:val="120"/>
        </w:rPr>
        <w:t> </w:t>
      </w:r>
      <w:r>
        <w:rPr>
          <w:w w:val="120"/>
        </w:rPr>
        <w:t>capitalista.</w:t>
      </w:r>
    </w:p>
    <w:p>
      <w:pPr>
        <w:pStyle w:val="BodyText"/>
        <w:spacing w:line="252" w:lineRule="auto"/>
        <w:ind w:left="100" w:right="326" w:firstLine="397"/>
        <w:jc w:val="both"/>
      </w:pPr>
      <w:r>
        <w:rPr>
          <w:w w:val="110"/>
        </w:rPr>
        <w:t>sin embargo, es prioritario tener cuidado y evitar los determi- nismos que no explican la complejidad de los periodos caóticos de bifurcaciones históricas a los cuales nos  aproximamos:  si  prevale- cen los intereses competitivos y oligárquicos  de  grupos  y  fraccio- nes de clase que dirigen los Estados más dinámicos de los </w:t>
      </w:r>
      <w:r>
        <w:rPr>
          <w:w w:val="125"/>
        </w:rPr>
        <w:t>briCs, </w:t>
      </w:r>
      <w:r>
        <w:rPr>
          <w:w w:val="110"/>
        </w:rPr>
        <w:t>como China y rusia; o de que subsistan las burguesías dependientes    y su presencia en la estructura estatal de brasil, sudáfrica e india, difícilmente este bloque histórico se podrá </w:t>
      </w:r>
      <w:r>
        <w:rPr>
          <w:spacing w:val="-3"/>
          <w:w w:val="110"/>
        </w:rPr>
        <w:t>formar. </w:t>
      </w:r>
      <w:r>
        <w:rPr>
          <w:w w:val="110"/>
        </w:rPr>
        <w:t>En este caso la ascensión de China representará un reacomodo en un sistema de producción de riqueza oligárquica, que funciona como un juego de suma</w:t>
      </w:r>
      <w:r>
        <w:rPr>
          <w:spacing w:val="29"/>
          <w:w w:val="110"/>
        </w:rPr>
        <w:t> </w:t>
      </w:r>
      <w:r>
        <w:rPr>
          <w:w w:val="110"/>
        </w:rPr>
        <w:t>cero,</w:t>
      </w:r>
      <w:r>
        <w:rPr>
          <w:spacing w:val="29"/>
          <w:w w:val="110"/>
        </w:rPr>
        <w:t> </w:t>
      </w:r>
      <w:r>
        <w:rPr>
          <w:w w:val="110"/>
        </w:rPr>
        <w:t>regulando</w:t>
      </w:r>
      <w:r>
        <w:rPr>
          <w:spacing w:val="29"/>
          <w:w w:val="110"/>
        </w:rPr>
        <w:t> </w:t>
      </w:r>
      <w:r>
        <w:rPr>
          <w:w w:val="110"/>
        </w:rPr>
        <w:t>ascensos</w:t>
      </w:r>
      <w:r>
        <w:rPr>
          <w:spacing w:val="29"/>
          <w:w w:val="110"/>
        </w:rPr>
        <w:t> </w:t>
      </w:r>
      <w:r>
        <w:rPr>
          <w:w w:val="110"/>
        </w:rPr>
        <w:t>y</w:t>
      </w:r>
      <w:r>
        <w:rPr>
          <w:spacing w:val="29"/>
          <w:w w:val="110"/>
        </w:rPr>
        <w:t> </w:t>
      </w:r>
      <w:r>
        <w:rPr>
          <w:w w:val="110"/>
        </w:rPr>
        <w:t>descensos,</w:t>
      </w:r>
      <w:r>
        <w:rPr>
          <w:spacing w:val="29"/>
          <w:w w:val="110"/>
        </w:rPr>
        <w:t> </w:t>
      </w:r>
      <w:r>
        <w:rPr>
          <w:w w:val="110"/>
        </w:rPr>
        <w:t>cuyo</w:t>
      </w:r>
      <w:r>
        <w:rPr>
          <w:spacing w:val="29"/>
          <w:w w:val="110"/>
        </w:rPr>
        <w:t> </w:t>
      </w:r>
      <w:r>
        <w:rPr>
          <w:w w:val="110"/>
        </w:rPr>
        <w:t>resultante</w:t>
      </w:r>
      <w:r>
        <w:rPr>
          <w:spacing w:val="29"/>
          <w:w w:val="110"/>
        </w:rPr>
        <w:t> </w:t>
      </w:r>
      <w:r>
        <w:rPr>
          <w:w w:val="110"/>
        </w:rPr>
        <w:t>lógico,</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como compensación, podría ser la caída de países semiperiféricos y periféricos a las profundidades de la   periferia.</w:t>
      </w:r>
    </w:p>
    <w:p>
      <w:pPr>
        <w:pStyle w:val="BodyText"/>
        <w:spacing w:before="5"/>
      </w:pPr>
    </w:p>
    <w:p>
      <w:pPr>
        <w:pStyle w:val="Heading6"/>
        <w:ind w:left="331"/>
      </w:pPr>
      <w:r>
        <w:rPr>
          <w:w w:val="135"/>
        </w:rPr>
        <w:t>aMérica latina en la encruciJada</w:t>
      </w:r>
    </w:p>
    <w:p>
      <w:pPr>
        <w:pStyle w:val="BodyText"/>
        <w:spacing w:line="252" w:lineRule="auto" w:before="10"/>
        <w:ind w:left="330" w:right="117"/>
        <w:jc w:val="both"/>
      </w:pPr>
      <w:r>
        <w:rPr>
          <w:w w:val="115"/>
        </w:rPr>
        <w:t>El</w:t>
      </w:r>
      <w:r>
        <w:rPr>
          <w:spacing w:val="-5"/>
          <w:w w:val="115"/>
        </w:rPr>
        <w:t> </w:t>
      </w:r>
      <w:r>
        <w:rPr>
          <w:w w:val="115"/>
        </w:rPr>
        <w:t>escenario</w:t>
      </w:r>
      <w:r>
        <w:rPr>
          <w:spacing w:val="-5"/>
          <w:w w:val="115"/>
        </w:rPr>
        <w:t> </w:t>
      </w:r>
      <w:r>
        <w:rPr>
          <w:w w:val="115"/>
        </w:rPr>
        <w:t>estructural</w:t>
      </w:r>
      <w:r>
        <w:rPr>
          <w:spacing w:val="-5"/>
          <w:w w:val="115"/>
        </w:rPr>
        <w:t> </w:t>
      </w:r>
      <w:r>
        <w:rPr>
          <w:w w:val="115"/>
        </w:rPr>
        <w:t>que</w:t>
      </w:r>
      <w:r>
        <w:rPr>
          <w:spacing w:val="-5"/>
          <w:w w:val="115"/>
        </w:rPr>
        <w:t> </w:t>
      </w:r>
      <w:r>
        <w:rPr>
          <w:w w:val="115"/>
        </w:rPr>
        <w:t>apunta</w:t>
      </w:r>
      <w:r>
        <w:rPr>
          <w:spacing w:val="-5"/>
          <w:w w:val="115"/>
        </w:rPr>
        <w:t> </w:t>
      </w:r>
      <w:r>
        <w:rPr>
          <w:w w:val="115"/>
        </w:rPr>
        <w:t>a</w:t>
      </w:r>
      <w:r>
        <w:rPr>
          <w:spacing w:val="-5"/>
          <w:w w:val="115"/>
        </w:rPr>
        <w:t> </w:t>
      </w:r>
      <w:r>
        <w:rPr>
          <w:w w:val="115"/>
        </w:rPr>
        <w:t>la</w:t>
      </w:r>
      <w:r>
        <w:rPr>
          <w:spacing w:val="-5"/>
          <w:w w:val="115"/>
        </w:rPr>
        <w:t> </w:t>
      </w:r>
      <w:r>
        <w:rPr>
          <w:w w:val="115"/>
        </w:rPr>
        <w:t>bifurcación</w:t>
      </w:r>
      <w:r>
        <w:rPr>
          <w:spacing w:val="-5"/>
          <w:w w:val="115"/>
        </w:rPr>
        <w:t> </w:t>
      </w:r>
      <w:r>
        <w:rPr>
          <w:w w:val="115"/>
        </w:rPr>
        <w:t>entre</w:t>
      </w:r>
      <w:r>
        <w:rPr>
          <w:spacing w:val="-5"/>
          <w:w w:val="115"/>
        </w:rPr>
        <w:t> </w:t>
      </w:r>
      <w:r>
        <w:rPr>
          <w:w w:val="115"/>
        </w:rPr>
        <w:t>potencias </w:t>
      </w:r>
      <w:r>
        <w:rPr>
          <w:w w:val="111"/>
        </w:rPr>
        <w:t>marítimas</w:t>
      </w:r>
      <w:r>
        <w:rPr>
          <w:spacing w:val="12"/>
        </w:rPr>
        <w:t> </w:t>
      </w:r>
      <w:r>
        <w:rPr>
          <w:w w:val="105"/>
        </w:rPr>
        <w:t>y</w:t>
      </w:r>
      <w:r>
        <w:rPr>
          <w:spacing w:val="12"/>
        </w:rPr>
        <w:t> </w:t>
      </w:r>
      <w:r>
        <w:rPr>
          <w:w w:val="108"/>
        </w:rPr>
        <w:t>países</w:t>
      </w:r>
      <w:r>
        <w:rPr>
          <w:spacing w:val="12"/>
        </w:rPr>
        <w:t> </w:t>
      </w:r>
      <w:r>
        <w:rPr>
          <w:w w:val="108"/>
        </w:rPr>
        <w:t>territorialistas</w:t>
      </w:r>
      <w:r>
        <w:rPr>
          <w:spacing w:val="12"/>
        </w:rPr>
        <w:t> </w:t>
      </w:r>
      <w:r>
        <w:rPr>
          <w:w w:val="112"/>
        </w:rPr>
        <w:t>ha</w:t>
      </w:r>
      <w:r>
        <w:rPr>
          <w:spacing w:val="12"/>
        </w:rPr>
        <w:t> </w:t>
      </w:r>
      <w:r>
        <w:rPr>
          <w:w w:val="109"/>
        </w:rPr>
        <w:t>favorecido</w:t>
      </w:r>
      <w:r>
        <w:rPr>
          <w:spacing w:val="12"/>
        </w:rPr>
        <w:t> </w:t>
      </w:r>
      <w:r>
        <w:rPr>
          <w:w w:val="112"/>
        </w:rPr>
        <w:t>a</w:t>
      </w:r>
      <w:r>
        <w:rPr>
          <w:spacing w:val="12"/>
        </w:rPr>
        <w:t> </w:t>
      </w:r>
      <w:r>
        <w:rPr>
          <w:w w:val="139"/>
        </w:rPr>
        <w:t>a</w:t>
      </w:r>
      <w:r>
        <w:rPr>
          <w:w w:val="111"/>
        </w:rPr>
        <w:t>mérica</w:t>
      </w:r>
      <w:r>
        <w:rPr>
          <w:spacing w:val="12"/>
        </w:rPr>
        <w:t> </w:t>
      </w:r>
      <w:r>
        <w:rPr>
          <w:w w:val="243"/>
        </w:rPr>
        <w:t>l</w:t>
      </w:r>
      <w:r>
        <w:rPr>
          <w:w w:val="113"/>
        </w:rPr>
        <w:t>atina.</w:t>
      </w:r>
      <w:r>
        <w:rPr>
          <w:spacing w:val="12"/>
        </w:rPr>
        <w:t> </w:t>
      </w:r>
      <w:r>
        <w:rPr>
          <w:w w:val="243"/>
        </w:rPr>
        <w:t>l</w:t>
      </w:r>
      <w:r>
        <w:rPr>
          <w:w w:val="112"/>
        </w:rPr>
        <w:t>a </w:t>
      </w:r>
      <w:r>
        <w:rPr>
          <w:w w:val="115"/>
        </w:rPr>
        <w:t>proyección</w:t>
      </w:r>
      <w:r>
        <w:rPr>
          <w:spacing w:val="-20"/>
          <w:w w:val="115"/>
        </w:rPr>
        <w:t> </w:t>
      </w:r>
      <w:r>
        <w:rPr>
          <w:w w:val="115"/>
        </w:rPr>
        <w:t>de</w:t>
      </w:r>
      <w:r>
        <w:rPr>
          <w:spacing w:val="-20"/>
          <w:w w:val="115"/>
        </w:rPr>
        <w:t> </w:t>
      </w:r>
      <w:r>
        <w:rPr>
          <w:w w:val="115"/>
        </w:rPr>
        <w:t>China</w:t>
      </w:r>
      <w:r>
        <w:rPr>
          <w:spacing w:val="-20"/>
          <w:w w:val="115"/>
        </w:rPr>
        <w:t> </w:t>
      </w:r>
      <w:r>
        <w:rPr>
          <w:w w:val="115"/>
        </w:rPr>
        <w:t>en</w:t>
      </w:r>
      <w:r>
        <w:rPr>
          <w:spacing w:val="-20"/>
          <w:w w:val="115"/>
        </w:rPr>
        <w:t> </w:t>
      </w:r>
      <w:r>
        <w:rPr>
          <w:w w:val="115"/>
        </w:rPr>
        <w:t>la</w:t>
      </w:r>
      <w:r>
        <w:rPr>
          <w:spacing w:val="-20"/>
          <w:w w:val="115"/>
        </w:rPr>
        <w:t> </w:t>
      </w:r>
      <w:r>
        <w:rPr>
          <w:w w:val="115"/>
        </w:rPr>
        <w:t>economía</w:t>
      </w:r>
      <w:r>
        <w:rPr>
          <w:spacing w:val="-20"/>
          <w:w w:val="115"/>
        </w:rPr>
        <w:t> </w:t>
      </w:r>
      <w:r>
        <w:rPr>
          <w:w w:val="115"/>
        </w:rPr>
        <w:t>mundial</w:t>
      </w:r>
      <w:r>
        <w:rPr>
          <w:spacing w:val="-20"/>
          <w:w w:val="115"/>
        </w:rPr>
        <w:t> </w:t>
      </w:r>
      <w:r>
        <w:rPr>
          <w:w w:val="115"/>
        </w:rPr>
        <w:t>ha</w:t>
      </w:r>
      <w:r>
        <w:rPr>
          <w:spacing w:val="-20"/>
          <w:w w:val="115"/>
        </w:rPr>
        <w:t> </w:t>
      </w:r>
      <w:r>
        <w:rPr>
          <w:w w:val="115"/>
        </w:rPr>
        <w:t>generado</w:t>
      </w:r>
      <w:r>
        <w:rPr>
          <w:spacing w:val="-20"/>
          <w:w w:val="115"/>
        </w:rPr>
        <w:t> </w:t>
      </w:r>
      <w:r>
        <w:rPr>
          <w:w w:val="115"/>
        </w:rPr>
        <w:t>efectos</w:t>
      </w:r>
      <w:r>
        <w:rPr>
          <w:spacing w:val="-20"/>
          <w:w w:val="115"/>
        </w:rPr>
        <w:t> </w:t>
      </w:r>
      <w:r>
        <w:rPr>
          <w:spacing w:val="-4"/>
          <w:w w:val="115"/>
        </w:rPr>
        <w:t>vir- </w:t>
      </w:r>
      <w:r>
        <w:rPr>
          <w:w w:val="115"/>
        </w:rPr>
        <w:t>tuosos</w:t>
      </w:r>
      <w:r>
        <w:rPr>
          <w:spacing w:val="-12"/>
          <w:w w:val="115"/>
        </w:rPr>
        <w:t> </w:t>
      </w:r>
      <w:r>
        <w:rPr>
          <w:w w:val="115"/>
        </w:rPr>
        <w:t>para</w:t>
      </w:r>
      <w:r>
        <w:rPr>
          <w:spacing w:val="-12"/>
          <w:w w:val="115"/>
        </w:rPr>
        <w:t> </w:t>
      </w:r>
      <w:r>
        <w:rPr>
          <w:w w:val="115"/>
        </w:rPr>
        <w:t>los</w:t>
      </w:r>
      <w:r>
        <w:rPr>
          <w:spacing w:val="-12"/>
          <w:w w:val="115"/>
        </w:rPr>
        <w:t> </w:t>
      </w:r>
      <w:r>
        <w:rPr>
          <w:w w:val="115"/>
        </w:rPr>
        <w:t>países</w:t>
      </w:r>
      <w:r>
        <w:rPr>
          <w:spacing w:val="-12"/>
          <w:w w:val="115"/>
        </w:rPr>
        <w:t> </w:t>
      </w:r>
      <w:r>
        <w:rPr>
          <w:w w:val="115"/>
        </w:rPr>
        <w:t>periféricos</w:t>
      </w:r>
      <w:r>
        <w:rPr>
          <w:spacing w:val="-12"/>
          <w:w w:val="115"/>
        </w:rPr>
        <w:t> </w:t>
      </w:r>
      <w:r>
        <w:rPr>
          <w:w w:val="115"/>
        </w:rPr>
        <w:t>y</w:t>
      </w:r>
      <w:r>
        <w:rPr>
          <w:spacing w:val="-12"/>
          <w:w w:val="115"/>
        </w:rPr>
        <w:t> </w:t>
      </w:r>
      <w:r>
        <w:rPr>
          <w:w w:val="115"/>
        </w:rPr>
        <w:t>semiperiféricos.</w:t>
      </w:r>
      <w:r>
        <w:rPr>
          <w:spacing w:val="-12"/>
          <w:w w:val="115"/>
        </w:rPr>
        <w:t> </w:t>
      </w:r>
      <w:r>
        <w:rPr>
          <w:w w:val="115"/>
        </w:rPr>
        <w:t>Esta</w:t>
      </w:r>
      <w:r>
        <w:rPr>
          <w:spacing w:val="-12"/>
          <w:w w:val="115"/>
        </w:rPr>
        <w:t> </w:t>
      </w:r>
      <w:r>
        <w:rPr>
          <w:w w:val="115"/>
        </w:rPr>
        <w:t>proyección se</w:t>
      </w:r>
      <w:r>
        <w:rPr>
          <w:spacing w:val="-25"/>
          <w:w w:val="115"/>
        </w:rPr>
        <w:t> </w:t>
      </w:r>
      <w:r>
        <w:rPr>
          <w:w w:val="115"/>
        </w:rPr>
        <w:t>ha</w:t>
      </w:r>
      <w:r>
        <w:rPr>
          <w:spacing w:val="-25"/>
          <w:w w:val="115"/>
        </w:rPr>
        <w:t> </w:t>
      </w:r>
      <w:r>
        <w:rPr>
          <w:w w:val="115"/>
        </w:rPr>
        <w:t>dado</w:t>
      </w:r>
      <w:r>
        <w:rPr>
          <w:spacing w:val="-25"/>
          <w:w w:val="115"/>
        </w:rPr>
        <w:t> </w:t>
      </w:r>
      <w:r>
        <w:rPr>
          <w:w w:val="115"/>
        </w:rPr>
        <w:t>principalmente</w:t>
      </w:r>
      <w:r>
        <w:rPr>
          <w:spacing w:val="-25"/>
          <w:w w:val="115"/>
        </w:rPr>
        <w:t> </w:t>
      </w:r>
      <w:r>
        <w:rPr>
          <w:w w:val="115"/>
        </w:rPr>
        <w:t>a</w:t>
      </w:r>
      <w:r>
        <w:rPr>
          <w:spacing w:val="-25"/>
          <w:w w:val="115"/>
        </w:rPr>
        <w:t> </w:t>
      </w:r>
      <w:r>
        <w:rPr>
          <w:w w:val="115"/>
        </w:rPr>
        <w:t>través</w:t>
      </w:r>
      <w:r>
        <w:rPr>
          <w:spacing w:val="-25"/>
          <w:w w:val="115"/>
        </w:rPr>
        <w:t> </w:t>
      </w:r>
      <w:r>
        <w:rPr>
          <w:w w:val="115"/>
        </w:rPr>
        <w:t>del</w:t>
      </w:r>
      <w:r>
        <w:rPr>
          <w:spacing w:val="-25"/>
          <w:w w:val="115"/>
        </w:rPr>
        <w:t> </w:t>
      </w:r>
      <w:r>
        <w:rPr>
          <w:w w:val="115"/>
        </w:rPr>
        <w:t>comercio</w:t>
      </w:r>
      <w:r>
        <w:rPr>
          <w:spacing w:val="-25"/>
          <w:w w:val="115"/>
        </w:rPr>
        <w:t> </w:t>
      </w:r>
      <w:r>
        <w:rPr>
          <w:w w:val="115"/>
        </w:rPr>
        <w:t>mundial,</w:t>
      </w:r>
      <w:r>
        <w:rPr>
          <w:spacing w:val="-25"/>
          <w:w w:val="115"/>
        </w:rPr>
        <w:t> </w:t>
      </w:r>
      <w:r>
        <w:rPr>
          <w:w w:val="115"/>
        </w:rPr>
        <w:t>mucho</w:t>
      </w:r>
      <w:r>
        <w:rPr>
          <w:spacing w:val="-25"/>
          <w:w w:val="115"/>
        </w:rPr>
        <w:t> </w:t>
      </w:r>
      <w:r>
        <w:rPr>
          <w:w w:val="115"/>
        </w:rPr>
        <w:t>más que por medio de la inversión directa,</w:t>
      </w:r>
      <w:r>
        <w:rPr>
          <w:w w:val="115"/>
          <w:position w:val="6"/>
          <w:sz w:val="11"/>
        </w:rPr>
        <w:t>19 </w:t>
      </w:r>
      <w:r>
        <w:rPr>
          <w:w w:val="115"/>
        </w:rPr>
        <w:t>elevando los precios de las </w:t>
      </w:r>
      <w:r>
        <w:rPr>
          <w:i/>
          <w:w w:val="115"/>
        </w:rPr>
        <w:t>commodities</w:t>
      </w:r>
      <w:r>
        <w:rPr>
          <w:i/>
          <w:spacing w:val="-29"/>
          <w:w w:val="115"/>
        </w:rPr>
        <w:t> </w:t>
      </w:r>
      <w:r>
        <w:rPr>
          <w:w w:val="115"/>
        </w:rPr>
        <w:t>y</w:t>
      </w:r>
      <w:r>
        <w:rPr>
          <w:spacing w:val="-29"/>
          <w:w w:val="115"/>
        </w:rPr>
        <w:t> </w:t>
      </w:r>
      <w:r>
        <w:rPr>
          <w:w w:val="115"/>
        </w:rPr>
        <w:t>revirtiendo</w:t>
      </w:r>
      <w:r>
        <w:rPr>
          <w:spacing w:val="-29"/>
          <w:w w:val="115"/>
        </w:rPr>
        <w:t> </w:t>
      </w:r>
      <w:r>
        <w:rPr>
          <w:w w:val="115"/>
        </w:rPr>
        <w:t>el</w:t>
      </w:r>
      <w:r>
        <w:rPr>
          <w:spacing w:val="-29"/>
          <w:w w:val="115"/>
        </w:rPr>
        <w:t> </w:t>
      </w:r>
      <w:r>
        <w:rPr>
          <w:w w:val="115"/>
        </w:rPr>
        <w:t>tradicional</w:t>
      </w:r>
      <w:r>
        <w:rPr>
          <w:spacing w:val="-29"/>
          <w:w w:val="115"/>
        </w:rPr>
        <w:t> </w:t>
      </w:r>
      <w:r>
        <w:rPr>
          <w:w w:val="115"/>
        </w:rPr>
        <w:t>deterioro</w:t>
      </w:r>
      <w:r>
        <w:rPr>
          <w:spacing w:val="-29"/>
          <w:w w:val="115"/>
        </w:rPr>
        <w:t> </w:t>
      </w:r>
      <w:r>
        <w:rPr>
          <w:w w:val="115"/>
        </w:rPr>
        <w:t>de</w:t>
      </w:r>
      <w:r>
        <w:rPr>
          <w:spacing w:val="-29"/>
          <w:w w:val="115"/>
        </w:rPr>
        <w:t> </w:t>
      </w:r>
      <w:r>
        <w:rPr>
          <w:w w:val="115"/>
        </w:rPr>
        <w:t>las</w:t>
      </w:r>
      <w:r>
        <w:rPr>
          <w:spacing w:val="-29"/>
          <w:w w:val="115"/>
        </w:rPr>
        <w:t> </w:t>
      </w:r>
      <w:r>
        <w:rPr>
          <w:w w:val="115"/>
        </w:rPr>
        <w:t>relaciones</w:t>
      </w:r>
      <w:r>
        <w:rPr>
          <w:spacing w:val="-29"/>
          <w:w w:val="115"/>
        </w:rPr>
        <w:t> </w:t>
      </w:r>
      <w:r>
        <w:rPr>
          <w:w w:val="115"/>
        </w:rPr>
        <w:t>de cambio</w:t>
      </w:r>
      <w:r>
        <w:rPr>
          <w:spacing w:val="-8"/>
          <w:w w:val="115"/>
        </w:rPr>
        <w:t> </w:t>
      </w:r>
      <w:r>
        <w:rPr>
          <w:w w:val="115"/>
        </w:rPr>
        <w:t>entre</w:t>
      </w:r>
      <w:r>
        <w:rPr>
          <w:spacing w:val="-8"/>
          <w:w w:val="115"/>
        </w:rPr>
        <w:t> </w:t>
      </w:r>
      <w:r>
        <w:rPr>
          <w:w w:val="115"/>
        </w:rPr>
        <w:t>productos</w:t>
      </w:r>
      <w:r>
        <w:rPr>
          <w:spacing w:val="-8"/>
          <w:w w:val="115"/>
        </w:rPr>
        <w:t> </w:t>
      </w:r>
      <w:r>
        <w:rPr>
          <w:w w:val="115"/>
        </w:rPr>
        <w:t>manufacturados</w:t>
      </w:r>
      <w:r>
        <w:rPr>
          <w:spacing w:val="-8"/>
          <w:w w:val="115"/>
        </w:rPr>
        <w:t> </w:t>
      </w:r>
      <w:r>
        <w:rPr>
          <w:w w:val="115"/>
        </w:rPr>
        <w:t>y</w:t>
      </w:r>
      <w:r>
        <w:rPr>
          <w:spacing w:val="-8"/>
          <w:w w:val="115"/>
        </w:rPr>
        <w:t> </w:t>
      </w:r>
      <w:r>
        <w:rPr>
          <w:w w:val="115"/>
        </w:rPr>
        <w:t>primarios.</w:t>
      </w:r>
      <w:r>
        <w:rPr>
          <w:spacing w:val="-8"/>
          <w:w w:val="115"/>
        </w:rPr>
        <w:t> </w:t>
      </w:r>
      <w:r>
        <w:rPr>
          <w:w w:val="115"/>
        </w:rPr>
        <w:t>Esto</w:t>
      </w:r>
      <w:r>
        <w:rPr>
          <w:spacing w:val="-8"/>
          <w:w w:val="115"/>
        </w:rPr>
        <w:t> </w:t>
      </w:r>
      <w:r>
        <w:rPr>
          <w:w w:val="115"/>
        </w:rPr>
        <w:t>permitió </w:t>
      </w:r>
      <w:r>
        <w:rPr>
          <w:w w:val="112"/>
        </w:rPr>
        <w:t>a</w:t>
      </w:r>
      <w:r>
        <w:rPr>
          <w:spacing w:val="19"/>
        </w:rPr>
        <w:t> </w:t>
      </w:r>
      <w:r>
        <w:rPr>
          <w:w w:val="139"/>
        </w:rPr>
        <w:t>a</w:t>
      </w:r>
      <w:r>
        <w:rPr>
          <w:w w:val="111"/>
        </w:rPr>
        <w:t>mérica</w:t>
      </w:r>
      <w:r>
        <w:rPr>
          <w:spacing w:val="19"/>
        </w:rPr>
        <w:t> </w:t>
      </w:r>
      <w:r>
        <w:rPr>
          <w:w w:val="243"/>
        </w:rPr>
        <w:t>l</w:t>
      </w:r>
      <w:r>
        <w:rPr>
          <w:w w:val="111"/>
        </w:rPr>
        <w:t>atina</w:t>
      </w:r>
      <w:r>
        <w:rPr>
          <w:spacing w:val="19"/>
        </w:rPr>
        <w:t> </w:t>
      </w:r>
      <w:r>
        <w:rPr>
          <w:w w:val="107"/>
        </w:rPr>
        <w:t>atravesar</w:t>
      </w:r>
      <w:r>
        <w:rPr>
          <w:spacing w:val="19"/>
        </w:rPr>
        <w:t> </w:t>
      </w:r>
      <w:r>
        <w:rPr>
          <w:w w:val="111"/>
        </w:rPr>
        <w:t>la</w:t>
      </w:r>
      <w:r>
        <w:rPr>
          <w:spacing w:val="19"/>
        </w:rPr>
        <w:t> </w:t>
      </w:r>
      <w:r>
        <w:rPr>
          <w:w w:val="109"/>
        </w:rPr>
        <w:t>crisis</w:t>
      </w:r>
      <w:r>
        <w:rPr>
          <w:spacing w:val="19"/>
        </w:rPr>
        <w:t> </w:t>
      </w:r>
      <w:r>
        <w:rPr>
          <w:w w:val="107"/>
        </w:rPr>
        <w:t>del</w:t>
      </w:r>
      <w:r>
        <w:rPr>
          <w:spacing w:val="19"/>
        </w:rPr>
        <w:t> </w:t>
      </w:r>
      <w:r>
        <w:rPr>
          <w:w w:val="110"/>
        </w:rPr>
        <w:t>neoliberalismo</w:t>
      </w:r>
      <w:r>
        <w:rPr>
          <w:spacing w:val="19"/>
        </w:rPr>
        <w:t> </w:t>
      </w:r>
      <w:r>
        <w:rPr>
          <w:w w:val="112"/>
        </w:rPr>
        <w:t>a</w:t>
      </w:r>
      <w:r>
        <w:rPr>
          <w:spacing w:val="19"/>
        </w:rPr>
        <w:t> </w:t>
      </w:r>
      <w:r>
        <w:rPr>
          <w:w w:val="108"/>
        </w:rPr>
        <w:t>finales</w:t>
      </w:r>
      <w:r>
        <w:rPr>
          <w:spacing w:val="19"/>
        </w:rPr>
        <w:t> </w:t>
      </w:r>
      <w:r>
        <w:rPr>
          <w:w w:val="107"/>
        </w:rPr>
        <w:t>de</w:t>
      </w:r>
      <w:r>
        <w:rPr>
          <w:spacing w:val="19"/>
        </w:rPr>
        <w:t> </w:t>
      </w:r>
      <w:r>
        <w:rPr>
          <w:w w:val="111"/>
        </w:rPr>
        <w:t>la </w:t>
      </w:r>
      <w:r>
        <w:rPr>
          <w:w w:val="115"/>
        </w:rPr>
        <w:t>década</w:t>
      </w:r>
      <w:r>
        <w:rPr>
          <w:spacing w:val="-10"/>
          <w:w w:val="115"/>
        </w:rPr>
        <w:t> </w:t>
      </w:r>
      <w:r>
        <w:rPr>
          <w:w w:val="115"/>
        </w:rPr>
        <w:t>de</w:t>
      </w:r>
      <w:r>
        <w:rPr>
          <w:spacing w:val="-10"/>
          <w:w w:val="115"/>
        </w:rPr>
        <w:t> </w:t>
      </w:r>
      <w:r>
        <w:rPr>
          <w:w w:val="115"/>
        </w:rPr>
        <w:t>1990</w:t>
      </w:r>
      <w:r>
        <w:rPr>
          <w:spacing w:val="-10"/>
          <w:w w:val="115"/>
        </w:rPr>
        <w:t> </w:t>
      </w:r>
      <w:r>
        <w:rPr>
          <w:w w:val="115"/>
        </w:rPr>
        <w:t>con</w:t>
      </w:r>
      <w:r>
        <w:rPr>
          <w:spacing w:val="-10"/>
          <w:w w:val="115"/>
        </w:rPr>
        <w:t> </w:t>
      </w:r>
      <w:r>
        <w:rPr>
          <w:w w:val="115"/>
        </w:rPr>
        <w:t>relativa</w:t>
      </w:r>
      <w:r>
        <w:rPr>
          <w:spacing w:val="-10"/>
          <w:w w:val="115"/>
        </w:rPr>
        <w:t> </w:t>
      </w:r>
      <w:r>
        <w:rPr>
          <w:w w:val="115"/>
        </w:rPr>
        <w:t>facilidad</w:t>
      </w:r>
      <w:r>
        <w:rPr>
          <w:spacing w:val="-10"/>
          <w:w w:val="115"/>
        </w:rPr>
        <w:t> </w:t>
      </w:r>
      <w:r>
        <w:rPr>
          <w:w w:val="115"/>
        </w:rPr>
        <w:t>haciendo</w:t>
      </w:r>
      <w:r>
        <w:rPr>
          <w:spacing w:val="-10"/>
          <w:w w:val="115"/>
        </w:rPr>
        <w:t> </w:t>
      </w:r>
      <w:r>
        <w:rPr>
          <w:w w:val="115"/>
        </w:rPr>
        <w:t>frente</w:t>
      </w:r>
      <w:r>
        <w:rPr>
          <w:spacing w:val="-10"/>
          <w:w w:val="115"/>
        </w:rPr>
        <w:t> </w:t>
      </w:r>
      <w:r>
        <w:rPr>
          <w:w w:val="115"/>
        </w:rPr>
        <w:t>al</w:t>
      </w:r>
      <w:r>
        <w:rPr>
          <w:spacing w:val="-10"/>
          <w:w w:val="115"/>
        </w:rPr>
        <w:t> </w:t>
      </w:r>
      <w:r>
        <w:rPr>
          <w:w w:val="115"/>
        </w:rPr>
        <w:t>periodo</w:t>
      </w:r>
      <w:r>
        <w:rPr>
          <w:spacing w:val="-10"/>
          <w:w w:val="115"/>
        </w:rPr>
        <w:t> </w:t>
      </w:r>
      <w:r>
        <w:rPr>
          <w:w w:val="115"/>
        </w:rPr>
        <w:t>crí- tico</w:t>
      </w:r>
      <w:r>
        <w:rPr>
          <w:spacing w:val="-6"/>
          <w:w w:val="115"/>
        </w:rPr>
        <w:t> </w:t>
      </w:r>
      <w:r>
        <w:rPr>
          <w:w w:val="115"/>
        </w:rPr>
        <w:t>de</w:t>
      </w:r>
      <w:r>
        <w:rPr>
          <w:spacing w:val="-6"/>
          <w:w w:val="115"/>
        </w:rPr>
        <w:t> </w:t>
      </w:r>
      <w:r>
        <w:rPr>
          <w:w w:val="115"/>
        </w:rPr>
        <w:t>salida</w:t>
      </w:r>
      <w:r>
        <w:rPr>
          <w:spacing w:val="-6"/>
          <w:w w:val="115"/>
        </w:rPr>
        <w:t> </w:t>
      </w:r>
      <w:r>
        <w:rPr>
          <w:w w:val="115"/>
        </w:rPr>
        <w:t>de</w:t>
      </w:r>
      <w:r>
        <w:rPr>
          <w:spacing w:val="-6"/>
          <w:w w:val="115"/>
        </w:rPr>
        <w:t> </w:t>
      </w:r>
      <w:r>
        <w:rPr>
          <w:w w:val="115"/>
        </w:rPr>
        <w:t>capitales</w:t>
      </w:r>
      <w:r>
        <w:rPr>
          <w:spacing w:val="-6"/>
          <w:w w:val="115"/>
        </w:rPr>
        <w:t> </w:t>
      </w:r>
      <w:r>
        <w:rPr>
          <w:w w:val="115"/>
        </w:rPr>
        <w:t>extranjeros</w:t>
      </w:r>
      <w:r>
        <w:rPr>
          <w:spacing w:val="-6"/>
          <w:w w:val="115"/>
        </w:rPr>
        <w:t> </w:t>
      </w:r>
      <w:r>
        <w:rPr>
          <w:w w:val="115"/>
        </w:rPr>
        <w:t>sobre</w:t>
      </w:r>
      <w:r>
        <w:rPr>
          <w:spacing w:val="-6"/>
          <w:w w:val="115"/>
        </w:rPr>
        <w:t> </w:t>
      </w:r>
      <w:r>
        <w:rPr>
          <w:w w:val="115"/>
        </w:rPr>
        <w:t>la</w:t>
      </w:r>
      <w:r>
        <w:rPr>
          <w:spacing w:val="-6"/>
          <w:w w:val="115"/>
        </w:rPr>
        <w:t> </w:t>
      </w:r>
      <w:r>
        <w:rPr>
          <w:w w:val="115"/>
        </w:rPr>
        <w:t>balanza</w:t>
      </w:r>
      <w:r>
        <w:rPr>
          <w:spacing w:val="-6"/>
          <w:w w:val="115"/>
        </w:rPr>
        <w:t> </w:t>
      </w:r>
      <w:r>
        <w:rPr>
          <w:w w:val="115"/>
        </w:rPr>
        <w:t>de</w:t>
      </w:r>
      <w:r>
        <w:rPr>
          <w:spacing w:val="-6"/>
          <w:w w:val="115"/>
        </w:rPr>
        <w:t> </w:t>
      </w:r>
      <w:r>
        <w:rPr>
          <w:w w:val="115"/>
        </w:rPr>
        <w:t>pagos</w:t>
      </w:r>
      <w:r>
        <w:rPr>
          <w:spacing w:val="-6"/>
          <w:w w:val="115"/>
        </w:rPr>
        <w:t> </w:t>
      </w:r>
      <w:r>
        <w:rPr>
          <w:w w:val="115"/>
        </w:rPr>
        <w:t>con la obtención de saldos comerciales altamente expresivos, los</w:t>
      </w:r>
      <w:r>
        <w:rPr>
          <w:spacing w:val="-23"/>
          <w:w w:val="115"/>
        </w:rPr>
        <w:t> </w:t>
      </w:r>
      <w:r>
        <w:rPr>
          <w:w w:val="115"/>
        </w:rPr>
        <w:t>cuales le posibilitaron alcanzar durante cinco años consecutivos saldos en la</w:t>
      </w:r>
      <w:r>
        <w:rPr>
          <w:spacing w:val="-16"/>
          <w:w w:val="115"/>
        </w:rPr>
        <w:t> </w:t>
      </w:r>
      <w:r>
        <w:rPr>
          <w:w w:val="115"/>
        </w:rPr>
        <w:t>balanza</w:t>
      </w:r>
      <w:r>
        <w:rPr>
          <w:spacing w:val="-16"/>
          <w:w w:val="115"/>
        </w:rPr>
        <w:t> </w:t>
      </w:r>
      <w:r>
        <w:rPr>
          <w:w w:val="115"/>
        </w:rPr>
        <w:t>de</w:t>
      </w:r>
      <w:r>
        <w:rPr>
          <w:spacing w:val="-16"/>
          <w:w w:val="115"/>
        </w:rPr>
        <w:t> </w:t>
      </w:r>
      <w:r>
        <w:rPr>
          <w:w w:val="115"/>
        </w:rPr>
        <w:t>cuenta</w:t>
      </w:r>
      <w:r>
        <w:rPr>
          <w:spacing w:val="-16"/>
          <w:w w:val="115"/>
        </w:rPr>
        <w:t> </w:t>
      </w:r>
      <w:r>
        <w:rPr>
          <w:w w:val="115"/>
        </w:rPr>
        <w:t>corriente,</w:t>
      </w:r>
      <w:r>
        <w:rPr>
          <w:spacing w:val="-16"/>
          <w:w w:val="115"/>
        </w:rPr>
        <w:t> </w:t>
      </w:r>
      <w:r>
        <w:rPr>
          <w:w w:val="115"/>
        </w:rPr>
        <w:t>resultado</w:t>
      </w:r>
      <w:r>
        <w:rPr>
          <w:spacing w:val="-16"/>
          <w:w w:val="115"/>
        </w:rPr>
        <w:t> </w:t>
      </w:r>
      <w:r>
        <w:rPr>
          <w:w w:val="115"/>
        </w:rPr>
        <w:t>inédito</w:t>
      </w:r>
      <w:r>
        <w:rPr>
          <w:spacing w:val="-16"/>
          <w:w w:val="115"/>
        </w:rPr>
        <w:t> </w:t>
      </w:r>
      <w:r>
        <w:rPr>
          <w:w w:val="115"/>
        </w:rPr>
        <w:t>en</w:t>
      </w:r>
      <w:r>
        <w:rPr>
          <w:spacing w:val="-16"/>
          <w:w w:val="115"/>
        </w:rPr>
        <w:t> </w:t>
      </w:r>
      <w:r>
        <w:rPr>
          <w:w w:val="115"/>
        </w:rPr>
        <w:t>su</w:t>
      </w:r>
      <w:r>
        <w:rPr>
          <w:spacing w:val="-16"/>
          <w:w w:val="115"/>
        </w:rPr>
        <w:t> </w:t>
      </w:r>
      <w:r>
        <w:rPr>
          <w:w w:val="115"/>
        </w:rPr>
        <w:t>historia</w:t>
      </w:r>
      <w:r>
        <w:rPr>
          <w:spacing w:val="-16"/>
          <w:w w:val="115"/>
        </w:rPr>
        <w:t> </w:t>
      </w:r>
      <w:r>
        <w:rPr>
          <w:w w:val="115"/>
        </w:rPr>
        <w:t>desde los</w:t>
      </w:r>
      <w:r>
        <w:rPr>
          <w:spacing w:val="-13"/>
          <w:w w:val="115"/>
        </w:rPr>
        <w:t> </w:t>
      </w:r>
      <w:r>
        <w:rPr>
          <w:w w:val="115"/>
        </w:rPr>
        <w:t>años</w:t>
      </w:r>
      <w:r>
        <w:rPr>
          <w:spacing w:val="-13"/>
          <w:w w:val="115"/>
        </w:rPr>
        <w:t> </w:t>
      </w:r>
      <w:r>
        <w:rPr>
          <w:w w:val="115"/>
        </w:rPr>
        <w:t>cincuenta.</w:t>
      </w:r>
      <w:r>
        <w:rPr>
          <w:spacing w:val="-13"/>
          <w:w w:val="115"/>
        </w:rPr>
        <w:t> </w:t>
      </w:r>
      <w:r>
        <w:rPr>
          <w:w w:val="115"/>
        </w:rPr>
        <w:t>Este</w:t>
      </w:r>
      <w:r>
        <w:rPr>
          <w:spacing w:val="-13"/>
          <w:w w:val="115"/>
        </w:rPr>
        <w:t> </w:t>
      </w:r>
      <w:r>
        <w:rPr>
          <w:w w:val="115"/>
        </w:rPr>
        <w:t>desempeño</w:t>
      </w:r>
      <w:r>
        <w:rPr>
          <w:spacing w:val="-13"/>
          <w:w w:val="115"/>
        </w:rPr>
        <w:t> </w:t>
      </w:r>
      <w:r>
        <w:rPr>
          <w:w w:val="115"/>
        </w:rPr>
        <w:t>fue</w:t>
      </w:r>
      <w:r>
        <w:rPr>
          <w:spacing w:val="-13"/>
          <w:w w:val="115"/>
        </w:rPr>
        <w:t> </w:t>
      </w:r>
      <w:r>
        <w:rPr>
          <w:w w:val="115"/>
        </w:rPr>
        <w:t>todavía</w:t>
      </w:r>
      <w:r>
        <w:rPr>
          <w:spacing w:val="-13"/>
          <w:w w:val="115"/>
        </w:rPr>
        <w:t> </w:t>
      </w:r>
      <w:r>
        <w:rPr>
          <w:w w:val="115"/>
        </w:rPr>
        <w:t>más</w:t>
      </w:r>
      <w:r>
        <w:rPr>
          <w:spacing w:val="-13"/>
          <w:w w:val="115"/>
        </w:rPr>
        <w:t> </w:t>
      </w:r>
      <w:r>
        <w:rPr>
          <w:w w:val="115"/>
        </w:rPr>
        <w:t>contundente</w:t>
      </w:r>
      <w:r>
        <w:rPr>
          <w:spacing w:val="-13"/>
          <w:w w:val="115"/>
        </w:rPr>
        <w:t> </w:t>
      </w:r>
      <w:r>
        <w:rPr>
          <w:w w:val="115"/>
        </w:rPr>
        <w:t>en américa</w:t>
      </w:r>
      <w:r>
        <w:rPr>
          <w:spacing w:val="-12"/>
          <w:w w:val="115"/>
        </w:rPr>
        <w:t> </w:t>
      </w:r>
      <w:r>
        <w:rPr>
          <w:w w:val="115"/>
        </w:rPr>
        <w:t>del</w:t>
      </w:r>
      <w:r>
        <w:rPr>
          <w:spacing w:val="-12"/>
          <w:w w:val="115"/>
        </w:rPr>
        <w:t> </w:t>
      </w:r>
      <w:r>
        <w:rPr>
          <w:w w:val="115"/>
        </w:rPr>
        <w:t>sur</w:t>
      </w:r>
      <w:r>
        <w:rPr>
          <w:spacing w:val="-12"/>
          <w:w w:val="115"/>
        </w:rPr>
        <w:t> </w:t>
      </w:r>
      <w:r>
        <w:rPr>
          <w:w w:val="115"/>
        </w:rPr>
        <w:t>y</w:t>
      </w:r>
      <w:r>
        <w:rPr>
          <w:spacing w:val="-12"/>
          <w:w w:val="115"/>
        </w:rPr>
        <w:t> </w:t>
      </w:r>
      <w:r>
        <w:rPr>
          <w:w w:val="115"/>
        </w:rPr>
        <w:t>en</w:t>
      </w:r>
      <w:r>
        <w:rPr>
          <w:spacing w:val="-12"/>
          <w:w w:val="115"/>
        </w:rPr>
        <w:t> </w:t>
      </w:r>
      <w:r>
        <w:rPr>
          <w:w w:val="115"/>
        </w:rPr>
        <w:t>el</w:t>
      </w:r>
      <w:r>
        <w:rPr>
          <w:spacing w:val="-12"/>
          <w:w w:val="115"/>
        </w:rPr>
        <w:t> </w:t>
      </w:r>
      <w:r>
        <w:rPr>
          <w:spacing w:val="-3"/>
          <w:w w:val="115"/>
        </w:rPr>
        <w:t>Mercosur,</w:t>
      </w:r>
      <w:r>
        <w:rPr>
          <w:spacing w:val="-12"/>
          <w:w w:val="115"/>
        </w:rPr>
        <w:t> </w:t>
      </w:r>
      <w:r>
        <w:rPr>
          <w:w w:val="115"/>
        </w:rPr>
        <w:t>que</w:t>
      </w:r>
      <w:r>
        <w:rPr>
          <w:spacing w:val="-12"/>
          <w:w w:val="115"/>
        </w:rPr>
        <w:t> </w:t>
      </w:r>
      <w:r>
        <w:rPr>
          <w:w w:val="115"/>
        </w:rPr>
        <w:t>alcanzó</w:t>
      </w:r>
      <w:r>
        <w:rPr>
          <w:spacing w:val="-12"/>
          <w:w w:val="115"/>
        </w:rPr>
        <w:t> </w:t>
      </w:r>
      <w:r>
        <w:rPr>
          <w:w w:val="115"/>
        </w:rPr>
        <w:t>siete</w:t>
      </w:r>
      <w:r>
        <w:rPr>
          <w:spacing w:val="-12"/>
          <w:w w:val="115"/>
        </w:rPr>
        <w:t> </w:t>
      </w:r>
      <w:r>
        <w:rPr>
          <w:w w:val="115"/>
        </w:rPr>
        <w:t>años</w:t>
      </w:r>
      <w:r>
        <w:rPr>
          <w:spacing w:val="-12"/>
          <w:w w:val="115"/>
        </w:rPr>
        <w:t> </w:t>
      </w:r>
      <w:r>
        <w:rPr>
          <w:w w:val="115"/>
        </w:rPr>
        <w:t>de</w:t>
      </w:r>
      <w:r>
        <w:rPr>
          <w:spacing w:val="-12"/>
          <w:w w:val="115"/>
        </w:rPr>
        <w:t> </w:t>
      </w:r>
      <w:r>
        <w:rPr>
          <w:w w:val="115"/>
        </w:rPr>
        <w:t>superávit en</w:t>
      </w:r>
      <w:r>
        <w:rPr>
          <w:spacing w:val="-28"/>
          <w:w w:val="115"/>
        </w:rPr>
        <w:t> </w:t>
      </w:r>
      <w:r>
        <w:rPr>
          <w:w w:val="115"/>
        </w:rPr>
        <w:t>la</w:t>
      </w:r>
      <w:r>
        <w:rPr>
          <w:spacing w:val="-28"/>
          <w:w w:val="115"/>
        </w:rPr>
        <w:t> </w:t>
      </w:r>
      <w:r>
        <w:rPr>
          <w:w w:val="115"/>
        </w:rPr>
        <w:t>balanza</w:t>
      </w:r>
      <w:r>
        <w:rPr>
          <w:spacing w:val="-28"/>
          <w:w w:val="115"/>
        </w:rPr>
        <w:t> </w:t>
      </w:r>
      <w:r>
        <w:rPr>
          <w:w w:val="115"/>
        </w:rPr>
        <w:t>de</w:t>
      </w:r>
      <w:r>
        <w:rPr>
          <w:spacing w:val="-28"/>
          <w:w w:val="115"/>
        </w:rPr>
        <w:t> </w:t>
      </w:r>
      <w:r>
        <w:rPr>
          <w:w w:val="115"/>
        </w:rPr>
        <w:t>transacciones</w:t>
      </w:r>
      <w:r>
        <w:rPr>
          <w:spacing w:val="-28"/>
          <w:w w:val="115"/>
        </w:rPr>
        <w:t> </w:t>
      </w:r>
      <w:r>
        <w:rPr>
          <w:w w:val="115"/>
        </w:rPr>
        <w:t>corrientes</w:t>
      </w:r>
      <w:r>
        <w:rPr>
          <w:spacing w:val="-28"/>
          <w:w w:val="115"/>
        </w:rPr>
        <w:t> </w:t>
      </w:r>
      <w:r>
        <w:rPr>
          <w:w w:val="115"/>
        </w:rPr>
        <w:t>entre</w:t>
      </w:r>
      <w:r>
        <w:rPr>
          <w:spacing w:val="-28"/>
          <w:w w:val="115"/>
        </w:rPr>
        <w:t> </w:t>
      </w:r>
      <w:r>
        <w:rPr>
          <w:w w:val="115"/>
        </w:rPr>
        <w:t>2002</w:t>
      </w:r>
      <w:r>
        <w:rPr>
          <w:spacing w:val="-28"/>
          <w:w w:val="115"/>
        </w:rPr>
        <w:t> </w:t>
      </w:r>
      <w:r>
        <w:rPr>
          <w:w w:val="115"/>
        </w:rPr>
        <w:t>y</w:t>
      </w:r>
      <w:r>
        <w:rPr>
          <w:spacing w:val="-28"/>
          <w:w w:val="115"/>
        </w:rPr>
        <w:t> </w:t>
      </w:r>
      <w:r>
        <w:rPr>
          <w:w w:val="115"/>
        </w:rPr>
        <w:t>2008.</w:t>
      </w:r>
    </w:p>
    <w:p>
      <w:pPr>
        <w:pStyle w:val="BodyText"/>
        <w:spacing w:line="252" w:lineRule="auto"/>
        <w:ind w:left="330" w:right="117" w:firstLine="396"/>
        <w:jc w:val="both"/>
        <w:rPr>
          <w:sz w:val="11"/>
        </w:rPr>
      </w:pPr>
      <w:r>
        <w:rPr>
          <w:w w:val="149"/>
        </w:rPr>
        <w:t>o</w:t>
      </w:r>
      <w:r>
        <w:rPr>
          <w:w w:val="107"/>
        </w:rPr>
        <w:t>tro</w:t>
      </w:r>
      <w:r>
        <w:rPr>
          <w:spacing w:val="20"/>
        </w:rPr>
        <w:t> </w:t>
      </w:r>
      <w:r>
        <w:rPr>
          <w:w w:val="111"/>
        </w:rPr>
        <w:t>factor</w:t>
      </w:r>
      <w:r>
        <w:rPr>
          <w:spacing w:val="20"/>
        </w:rPr>
        <w:t> </w:t>
      </w:r>
      <w:r>
        <w:rPr>
          <w:w w:val="108"/>
        </w:rPr>
        <w:t>que</w:t>
      </w:r>
      <w:r>
        <w:rPr>
          <w:spacing w:val="20"/>
        </w:rPr>
        <w:t> </w:t>
      </w:r>
      <w:r>
        <w:rPr>
          <w:w w:val="112"/>
        </w:rPr>
        <w:t>ha</w:t>
      </w:r>
      <w:r>
        <w:rPr>
          <w:spacing w:val="20"/>
        </w:rPr>
        <w:t> </w:t>
      </w:r>
      <w:r>
        <w:rPr>
          <w:w w:val="109"/>
        </w:rPr>
        <w:t>beneficiado</w:t>
      </w:r>
      <w:r>
        <w:rPr>
          <w:spacing w:val="20"/>
        </w:rPr>
        <w:t> </w:t>
      </w:r>
      <w:r>
        <w:rPr>
          <w:w w:val="112"/>
        </w:rPr>
        <w:t>a</w:t>
      </w:r>
      <w:r>
        <w:rPr>
          <w:spacing w:val="20"/>
        </w:rPr>
        <w:t> </w:t>
      </w:r>
      <w:r>
        <w:rPr>
          <w:w w:val="139"/>
        </w:rPr>
        <w:t>a</w:t>
      </w:r>
      <w:r>
        <w:rPr>
          <w:w w:val="111"/>
        </w:rPr>
        <w:t>mérica</w:t>
      </w:r>
      <w:r>
        <w:rPr>
          <w:spacing w:val="20"/>
        </w:rPr>
        <w:t> </w:t>
      </w:r>
      <w:r>
        <w:rPr>
          <w:w w:val="243"/>
        </w:rPr>
        <w:t>l</w:t>
      </w:r>
      <w:r>
        <w:rPr>
          <w:w w:val="111"/>
        </w:rPr>
        <w:t>atina</w:t>
      </w:r>
      <w:r>
        <w:rPr>
          <w:spacing w:val="20"/>
        </w:rPr>
        <w:t> </w:t>
      </w:r>
      <w:r>
        <w:rPr>
          <w:w w:val="105"/>
        </w:rPr>
        <w:t>es</w:t>
      </w:r>
      <w:r>
        <w:rPr>
          <w:spacing w:val="20"/>
        </w:rPr>
        <w:t> </w:t>
      </w:r>
      <w:r>
        <w:rPr>
          <w:w w:val="111"/>
        </w:rPr>
        <w:t>la</w:t>
      </w:r>
      <w:r>
        <w:rPr>
          <w:spacing w:val="20"/>
        </w:rPr>
        <w:t> </w:t>
      </w:r>
      <w:r>
        <w:rPr>
          <w:w w:val="109"/>
        </w:rPr>
        <w:t>crisis</w:t>
      </w:r>
      <w:r>
        <w:rPr>
          <w:spacing w:val="20"/>
        </w:rPr>
        <w:t> </w:t>
      </w:r>
      <w:r>
        <w:rPr>
          <w:w w:val="110"/>
        </w:rPr>
        <w:t>eco</w:t>
      </w:r>
      <w:r>
        <w:rPr>
          <w:w w:val="102"/>
        </w:rPr>
        <w:t>- </w:t>
      </w:r>
      <w:r>
        <w:rPr>
          <w:w w:val="115"/>
        </w:rPr>
        <w:t>nómica y la eclosión de la deuda pública en los países centrales, re- </w:t>
      </w:r>
      <w:r>
        <w:rPr>
          <w:w w:val="109"/>
        </w:rPr>
        <w:t>sultado</w:t>
      </w:r>
      <w:r>
        <w:rPr>
          <w:spacing w:val="11"/>
        </w:rPr>
        <w:t> </w:t>
      </w:r>
      <w:r>
        <w:rPr>
          <w:w w:val="107"/>
        </w:rPr>
        <w:t>de</w:t>
      </w:r>
      <w:r>
        <w:rPr>
          <w:spacing w:val="11"/>
        </w:rPr>
        <w:t> </w:t>
      </w:r>
      <w:r>
        <w:rPr>
          <w:w w:val="108"/>
        </w:rPr>
        <w:t>los</w:t>
      </w:r>
      <w:r>
        <w:rPr>
          <w:spacing w:val="11"/>
        </w:rPr>
        <w:t> </w:t>
      </w:r>
      <w:r>
        <w:rPr>
          <w:w w:val="108"/>
        </w:rPr>
        <w:t>procesos</w:t>
      </w:r>
      <w:r>
        <w:rPr>
          <w:spacing w:val="11"/>
        </w:rPr>
        <w:t> </w:t>
      </w:r>
      <w:r>
        <w:rPr>
          <w:w w:val="107"/>
        </w:rPr>
        <w:t>de</w:t>
      </w:r>
      <w:r>
        <w:rPr>
          <w:spacing w:val="11"/>
        </w:rPr>
        <w:t> </w:t>
      </w:r>
      <w:r>
        <w:rPr>
          <w:w w:val="111"/>
        </w:rPr>
        <w:t>financiarización</w:t>
      </w:r>
      <w:r>
        <w:rPr>
          <w:spacing w:val="11"/>
        </w:rPr>
        <w:t> </w:t>
      </w:r>
      <w:r>
        <w:rPr>
          <w:w w:val="108"/>
        </w:rPr>
        <w:t>que</w:t>
      </w:r>
      <w:r>
        <w:rPr>
          <w:spacing w:val="11"/>
        </w:rPr>
        <w:t> </w:t>
      </w:r>
      <w:r>
        <w:rPr>
          <w:w w:val="108"/>
        </w:rPr>
        <w:t>antes</w:t>
      </w:r>
      <w:r>
        <w:rPr>
          <w:spacing w:val="11"/>
        </w:rPr>
        <w:t> </w:t>
      </w:r>
      <w:r>
        <w:rPr>
          <w:w w:val="111"/>
        </w:rPr>
        <w:t>describimos.</w:t>
      </w:r>
      <w:r>
        <w:rPr>
          <w:spacing w:val="11"/>
        </w:rPr>
        <w:t> </w:t>
      </w:r>
      <w:r>
        <w:rPr>
          <w:w w:val="243"/>
        </w:rPr>
        <w:t>l</w:t>
      </w:r>
      <w:r>
        <w:rPr>
          <w:w w:val="112"/>
        </w:rPr>
        <w:t>a </w:t>
      </w:r>
      <w:r>
        <w:rPr>
          <w:w w:val="115"/>
        </w:rPr>
        <w:t>compra</w:t>
      </w:r>
      <w:r>
        <w:rPr>
          <w:spacing w:val="-32"/>
          <w:w w:val="115"/>
        </w:rPr>
        <w:t> </w:t>
      </w:r>
      <w:r>
        <w:rPr>
          <w:w w:val="115"/>
        </w:rPr>
        <w:t>por</w:t>
      </w:r>
      <w:r>
        <w:rPr>
          <w:spacing w:val="-32"/>
          <w:w w:val="115"/>
        </w:rPr>
        <w:t> </w:t>
      </w:r>
      <w:r>
        <w:rPr>
          <w:w w:val="115"/>
        </w:rPr>
        <w:t>parte</w:t>
      </w:r>
      <w:r>
        <w:rPr>
          <w:spacing w:val="-32"/>
          <w:w w:val="115"/>
        </w:rPr>
        <w:t> </w:t>
      </w:r>
      <w:r>
        <w:rPr>
          <w:w w:val="115"/>
        </w:rPr>
        <w:t>del</w:t>
      </w:r>
      <w:r>
        <w:rPr>
          <w:spacing w:val="-32"/>
          <w:w w:val="115"/>
        </w:rPr>
        <w:t> </w:t>
      </w:r>
      <w:r>
        <w:rPr>
          <w:w w:val="115"/>
        </w:rPr>
        <w:t>Estado</w:t>
      </w:r>
      <w:r>
        <w:rPr>
          <w:spacing w:val="-32"/>
          <w:w w:val="115"/>
        </w:rPr>
        <w:t> </w:t>
      </w:r>
      <w:r>
        <w:rPr>
          <w:w w:val="115"/>
        </w:rPr>
        <w:t>de</w:t>
      </w:r>
      <w:r>
        <w:rPr>
          <w:spacing w:val="-32"/>
          <w:w w:val="115"/>
        </w:rPr>
        <w:t> </w:t>
      </w:r>
      <w:r>
        <w:rPr>
          <w:w w:val="115"/>
        </w:rPr>
        <w:t>títulos</w:t>
      </w:r>
      <w:r>
        <w:rPr>
          <w:spacing w:val="-32"/>
          <w:w w:val="115"/>
        </w:rPr>
        <w:t> </w:t>
      </w:r>
      <w:r>
        <w:rPr>
          <w:w w:val="115"/>
        </w:rPr>
        <w:t>privados</w:t>
      </w:r>
      <w:r>
        <w:rPr>
          <w:spacing w:val="-32"/>
          <w:w w:val="115"/>
        </w:rPr>
        <w:t> </w:t>
      </w:r>
      <w:r>
        <w:rPr>
          <w:w w:val="115"/>
        </w:rPr>
        <w:t>podres</w:t>
      </w:r>
      <w:r>
        <w:rPr>
          <w:spacing w:val="-32"/>
          <w:w w:val="115"/>
        </w:rPr>
        <w:t> </w:t>
      </w:r>
      <w:r>
        <w:rPr>
          <w:w w:val="115"/>
        </w:rPr>
        <w:t>en</w:t>
      </w:r>
      <w:r>
        <w:rPr>
          <w:spacing w:val="-32"/>
          <w:w w:val="115"/>
        </w:rPr>
        <w:t> </w:t>
      </w:r>
      <w:r>
        <w:rPr>
          <w:w w:val="115"/>
        </w:rPr>
        <w:t>estos</w:t>
      </w:r>
      <w:r>
        <w:rPr>
          <w:spacing w:val="-32"/>
          <w:w w:val="115"/>
        </w:rPr>
        <w:t> </w:t>
      </w:r>
      <w:r>
        <w:rPr>
          <w:w w:val="115"/>
        </w:rPr>
        <w:t>países y</w:t>
      </w:r>
      <w:r>
        <w:rPr>
          <w:spacing w:val="-15"/>
          <w:w w:val="115"/>
        </w:rPr>
        <w:t> </w:t>
      </w:r>
      <w:r>
        <w:rPr>
          <w:w w:val="115"/>
        </w:rPr>
        <w:t>el</w:t>
      </w:r>
      <w:r>
        <w:rPr>
          <w:spacing w:val="-15"/>
          <w:w w:val="115"/>
        </w:rPr>
        <w:t> </w:t>
      </w:r>
      <w:r>
        <w:rPr>
          <w:w w:val="115"/>
        </w:rPr>
        <w:t>consecuente</w:t>
      </w:r>
      <w:r>
        <w:rPr>
          <w:spacing w:val="-15"/>
          <w:w w:val="115"/>
        </w:rPr>
        <w:t> </w:t>
      </w:r>
      <w:r>
        <w:rPr>
          <w:w w:val="115"/>
        </w:rPr>
        <w:t>aumento</w:t>
      </w:r>
      <w:r>
        <w:rPr>
          <w:spacing w:val="-15"/>
          <w:w w:val="115"/>
        </w:rPr>
        <w:t> </w:t>
      </w:r>
      <w:r>
        <w:rPr>
          <w:w w:val="115"/>
        </w:rPr>
        <w:t>exponencial</w:t>
      </w:r>
      <w:r>
        <w:rPr>
          <w:spacing w:val="-15"/>
          <w:w w:val="115"/>
        </w:rPr>
        <w:t> </w:t>
      </w:r>
      <w:r>
        <w:rPr>
          <w:w w:val="115"/>
        </w:rPr>
        <w:t>de</w:t>
      </w:r>
      <w:r>
        <w:rPr>
          <w:spacing w:val="-15"/>
          <w:w w:val="115"/>
        </w:rPr>
        <w:t> </w:t>
      </w:r>
      <w:r>
        <w:rPr>
          <w:w w:val="115"/>
        </w:rPr>
        <w:t>sus</w:t>
      </w:r>
      <w:r>
        <w:rPr>
          <w:spacing w:val="-15"/>
          <w:w w:val="115"/>
        </w:rPr>
        <w:t> </w:t>
      </w:r>
      <w:r>
        <w:rPr>
          <w:w w:val="115"/>
        </w:rPr>
        <w:t>deudas</w:t>
      </w:r>
      <w:r>
        <w:rPr>
          <w:spacing w:val="-15"/>
          <w:w w:val="115"/>
        </w:rPr>
        <w:t> </w:t>
      </w:r>
      <w:r>
        <w:rPr>
          <w:w w:val="115"/>
        </w:rPr>
        <w:t>públicas,</w:t>
      </w:r>
      <w:r>
        <w:rPr>
          <w:spacing w:val="-15"/>
          <w:w w:val="115"/>
        </w:rPr>
        <w:t> </w:t>
      </w:r>
      <w:r>
        <w:rPr>
          <w:w w:val="115"/>
        </w:rPr>
        <w:t>lleva- ron</w:t>
      </w:r>
      <w:r>
        <w:rPr>
          <w:spacing w:val="-11"/>
          <w:w w:val="115"/>
        </w:rPr>
        <w:t> </w:t>
      </w:r>
      <w:r>
        <w:rPr>
          <w:w w:val="115"/>
        </w:rPr>
        <w:t>simultáneamente</w:t>
      </w:r>
      <w:r>
        <w:rPr>
          <w:spacing w:val="-11"/>
          <w:w w:val="115"/>
        </w:rPr>
        <w:t> </w:t>
      </w:r>
      <w:r>
        <w:rPr>
          <w:w w:val="115"/>
        </w:rPr>
        <w:t>a</w:t>
      </w:r>
      <w:r>
        <w:rPr>
          <w:spacing w:val="-11"/>
          <w:w w:val="115"/>
        </w:rPr>
        <w:t> </w:t>
      </w:r>
      <w:r>
        <w:rPr>
          <w:w w:val="115"/>
        </w:rPr>
        <w:t>la</w:t>
      </w:r>
      <w:r>
        <w:rPr>
          <w:spacing w:val="-11"/>
          <w:w w:val="115"/>
        </w:rPr>
        <w:t> </w:t>
      </w:r>
      <w:r>
        <w:rPr>
          <w:w w:val="115"/>
        </w:rPr>
        <w:t>disminución</w:t>
      </w:r>
      <w:r>
        <w:rPr>
          <w:spacing w:val="-11"/>
          <w:w w:val="115"/>
        </w:rPr>
        <w:t> </w:t>
      </w:r>
      <w:r>
        <w:rPr>
          <w:w w:val="115"/>
        </w:rPr>
        <w:t>radical</w:t>
      </w:r>
      <w:r>
        <w:rPr>
          <w:spacing w:val="-11"/>
          <w:w w:val="115"/>
        </w:rPr>
        <w:t> </w:t>
      </w:r>
      <w:r>
        <w:rPr>
          <w:w w:val="115"/>
        </w:rPr>
        <w:t>de</w:t>
      </w:r>
      <w:r>
        <w:rPr>
          <w:spacing w:val="-11"/>
          <w:w w:val="115"/>
        </w:rPr>
        <w:t> </w:t>
      </w:r>
      <w:r>
        <w:rPr>
          <w:w w:val="115"/>
        </w:rPr>
        <w:t>la</w:t>
      </w:r>
      <w:r>
        <w:rPr>
          <w:spacing w:val="-11"/>
          <w:w w:val="115"/>
        </w:rPr>
        <w:t> </w:t>
      </w:r>
      <w:r>
        <w:rPr>
          <w:w w:val="115"/>
        </w:rPr>
        <w:t>autonomía</w:t>
      </w:r>
      <w:r>
        <w:rPr>
          <w:spacing w:val="-11"/>
          <w:w w:val="115"/>
        </w:rPr>
        <w:t> </w:t>
      </w:r>
      <w:r>
        <w:rPr>
          <w:w w:val="115"/>
        </w:rPr>
        <w:t>de</w:t>
      </w:r>
      <w:r>
        <w:rPr>
          <w:spacing w:val="-11"/>
          <w:w w:val="115"/>
        </w:rPr>
        <w:t> </w:t>
      </w:r>
      <w:r>
        <w:rPr>
          <w:w w:val="115"/>
        </w:rPr>
        <w:t>su política monetaria y a la inyección de liquidez en la economía mun- dial.</w:t>
      </w:r>
      <w:r>
        <w:rPr>
          <w:spacing w:val="-8"/>
          <w:w w:val="115"/>
        </w:rPr>
        <w:t> </w:t>
      </w:r>
      <w:r>
        <w:rPr>
          <w:w w:val="115"/>
        </w:rPr>
        <w:t>Esto</w:t>
      </w:r>
      <w:r>
        <w:rPr>
          <w:spacing w:val="-8"/>
          <w:w w:val="115"/>
        </w:rPr>
        <w:t> </w:t>
      </w:r>
      <w:r>
        <w:rPr>
          <w:w w:val="115"/>
        </w:rPr>
        <w:t>se</w:t>
      </w:r>
      <w:r>
        <w:rPr>
          <w:spacing w:val="-8"/>
          <w:w w:val="115"/>
        </w:rPr>
        <w:t> </w:t>
      </w:r>
      <w:r>
        <w:rPr>
          <w:w w:val="115"/>
        </w:rPr>
        <w:t>expresó</w:t>
      </w:r>
      <w:r>
        <w:rPr>
          <w:spacing w:val="-8"/>
          <w:w w:val="115"/>
        </w:rPr>
        <w:t> </w:t>
      </w:r>
      <w:r>
        <w:rPr>
          <w:w w:val="115"/>
        </w:rPr>
        <w:t>por</w:t>
      </w:r>
      <w:r>
        <w:rPr>
          <w:spacing w:val="-8"/>
          <w:w w:val="115"/>
        </w:rPr>
        <w:t> </w:t>
      </w:r>
      <w:r>
        <w:rPr>
          <w:w w:val="115"/>
        </w:rPr>
        <w:t>la</w:t>
      </w:r>
      <w:r>
        <w:rPr>
          <w:spacing w:val="-8"/>
          <w:w w:val="115"/>
        </w:rPr>
        <w:t> </w:t>
      </w:r>
      <w:r>
        <w:rPr>
          <w:w w:val="115"/>
        </w:rPr>
        <w:t>baja</w:t>
      </w:r>
      <w:r>
        <w:rPr>
          <w:spacing w:val="-8"/>
          <w:w w:val="115"/>
        </w:rPr>
        <w:t> </w:t>
      </w:r>
      <w:r>
        <w:rPr>
          <w:w w:val="115"/>
        </w:rPr>
        <w:t>radical</w:t>
      </w:r>
      <w:r>
        <w:rPr>
          <w:spacing w:val="-8"/>
          <w:w w:val="115"/>
        </w:rPr>
        <w:t> </w:t>
      </w:r>
      <w:r>
        <w:rPr>
          <w:w w:val="115"/>
        </w:rPr>
        <w:t>de</w:t>
      </w:r>
      <w:r>
        <w:rPr>
          <w:spacing w:val="-8"/>
          <w:w w:val="115"/>
        </w:rPr>
        <w:t> </w:t>
      </w:r>
      <w:r>
        <w:rPr>
          <w:w w:val="115"/>
        </w:rPr>
        <w:t>la</w:t>
      </w:r>
      <w:r>
        <w:rPr>
          <w:spacing w:val="-8"/>
          <w:w w:val="115"/>
        </w:rPr>
        <w:t> </w:t>
      </w:r>
      <w:r>
        <w:rPr>
          <w:w w:val="115"/>
        </w:rPr>
        <w:t>tasa</w:t>
      </w:r>
      <w:r>
        <w:rPr>
          <w:spacing w:val="-8"/>
          <w:w w:val="115"/>
        </w:rPr>
        <w:t> </w:t>
      </w:r>
      <w:r>
        <w:rPr>
          <w:w w:val="115"/>
        </w:rPr>
        <w:t>de</w:t>
      </w:r>
      <w:r>
        <w:rPr>
          <w:spacing w:val="-8"/>
          <w:w w:val="115"/>
        </w:rPr>
        <w:t> </w:t>
      </w:r>
      <w:r>
        <w:rPr>
          <w:w w:val="115"/>
        </w:rPr>
        <w:t>interés,</w:t>
      </w:r>
      <w:r>
        <w:rPr>
          <w:spacing w:val="-8"/>
          <w:w w:val="115"/>
        </w:rPr>
        <w:t> </w:t>
      </w:r>
      <w:r>
        <w:rPr>
          <w:w w:val="115"/>
        </w:rPr>
        <w:t>iniciada por Estados unidos (Gráfico 10), y por la elevación de los flujos de capitales</w:t>
      </w:r>
      <w:r>
        <w:rPr>
          <w:spacing w:val="-31"/>
          <w:w w:val="115"/>
        </w:rPr>
        <w:t> </w:t>
      </w:r>
      <w:r>
        <w:rPr>
          <w:w w:val="115"/>
        </w:rPr>
        <w:t>internacionales,</w:t>
      </w:r>
      <w:r>
        <w:rPr>
          <w:spacing w:val="-31"/>
          <w:w w:val="115"/>
        </w:rPr>
        <w:t> </w:t>
      </w:r>
      <w:r>
        <w:rPr>
          <w:w w:val="115"/>
        </w:rPr>
        <w:t>resultado</w:t>
      </w:r>
      <w:r>
        <w:rPr>
          <w:spacing w:val="-31"/>
          <w:w w:val="115"/>
        </w:rPr>
        <w:t> </w:t>
      </w:r>
      <w:r>
        <w:rPr>
          <w:w w:val="115"/>
        </w:rPr>
        <w:t>de</w:t>
      </w:r>
      <w:r>
        <w:rPr>
          <w:spacing w:val="-31"/>
          <w:w w:val="115"/>
        </w:rPr>
        <w:t> </w:t>
      </w:r>
      <w:r>
        <w:rPr>
          <w:w w:val="115"/>
        </w:rPr>
        <w:t>la</w:t>
      </w:r>
      <w:r>
        <w:rPr>
          <w:spacing w:val="-31"/>
          <w:w w:val="115"/>
        </w:rPr>
        <w:t> </w:t>
      </w:r>
      <w:r>
        <w:rPr>
          <w:w w:val="115"/>
        </w:rPr>
        <w:t>caída</w:t>
      </w:r>
      <w:r>
        <w:rPr>
          <w:spacing w:val="-31"/>
          <w:w w:val="115"/>
        </w:rPr>
        <w:t> </w:t>
      </w:r>
      <w:r>
        <w:rPr>
          <w:w w:val="115"/>
        </w:rPr>
        <w:t>estructural</w:t>
      </w:r>
      <w:r>
        <w:rPr>
          <w:spacing w:val="-31"/>
          <w:w w:val="115"/>
        </w:rPr>
        <w:t> </w:t>
      </w:r>
      <w:r>
        <w:rPr>
          <w:w w:val="115"/>
        </w:rPr>
        <w:t>de</w:t>
      </w:r>
      <w:r>
        <w:rPr>
          <w:spacing w:val="-31"/>
          <w:w w:val="115"/>
        </w:rPr>
        <w:t> </w:t>
      </w:r>
      <w:r>
        <w:rPr>
          <w:w w:val="115"/>
        </w:rPr>
        <w:t>las</w:t>
      </w:r>
      <w:r>
        <w:rPr>
          <w:spacing w:val="-31"/>
          <w:w w:val="115"/>
        </w:rPr>
        <w:t> </w:t>
      </w:r>
      <w:r>
        <w:rPr>
          <w:w w:val="115"/>
        </w:rPr>
        <w:t>tasas de</w:t>
      </w:r>
      <w:r>
        <w:rPr>
          <w:spacing w:val="-24"/>
          <w:w w:val="115"/>
        </w:rPr>
        <w:t> </w:t>
      </w:r>
      <w:r>
        <w:rPr>
          <w:w w:val="115"/>
        </w:rPr>
        <w:t>inversión</w:t>
      </w:r>
      <w:r>
        <w:rPr>
          <w:spacing w:val="-24"/>
          <w:w w:val="115"/>
        </w:rPr>
        <w:t> </w:t>
      </w:r>
      <w:r>
        <w:rPr>
          <w:w w:val="115"/>
        </w:rPr>
        <w:t>en</w:t>
      </w:r>
      <w:r>
        <w:rPr>
          <w:spacing w:val="-24"/>
          <w:w w:val="115"/>
        </w:rPr>
        <w:t> </w:t>
      </w:r>
      <w:r>
        <w:rPr>
          <w:w w:val="115"/>
        </w:rPr>
        <w:t>los</w:t>
      </w:r>
      <w:r>
        <w:rPr>
          <w:spacing w:val="-24"/>
          <w:w w:val="115"/>
        </w:rPr>
        <w:t> </w:t>
      </w:r>
      <w:r>
        <w:rPr>
          <w:w w:val="115"/>
        </w:rPr>
        <w:t>países</w:t>
      </w:r>
      <w:r>
        <w:rPr>
          <w:spacing w:val="-24"/>
          <w:w w:val="115"/>
        </w:rPr>
        <w:t> </w:t>
      </w:r>
      <w:r>
        <w:rPr>
          <w:w w:val="115"/>
        </w:rPr>
        <w:t>centrales,</w:t>
      </w:r>
      <w:r>
        <w:rPr>
          <w:spacing w:val="-24"/>
          <w:w w:val="115"/>
        </w:rPr>
        <w:t> </w:t>
      </w:r>
      <w:r>
        <w:rPr>
          <w:w w:val="115"/>
        </w:rPr>
        <w:t>implicando</w:t>
      </w:r>
      <w:r>
        <w:rPr>
          <w:spacing w:val="-24"/>
          <w:w w:val="115"/>
        </w:rPr>
        <w:t> </w:t>
      </w:r>
      <w:r>
        <w:rPr>
          <w:w w:val="115"/>
        </w:rPr>
        <w:t>en</w:t>
      </w:r>
      <w:r>
        <w:rPr>
          <w:spacing w:val="-24"/>
          <w:w w:val="115"/>
        </w:rPr>
        <w:t> </w:t>
      </w:r>
      <w:r>
        <w:rPr>
          <w:w w:val="115"/>
        </w:rPr>
        <w:t>el</w:t>
      </w:r>
      <w:r>
        <w:rPr>
          <w:spacing w:val="-24"/>
          <w:w w:val="115"/>
        </w:rPr>
        <w:t> </w:t>
      </w:r>
      <w:r>
        <w:rPr>
          <w:w w:val="115"/>
        </w:rPr>
        <w:t>aumento</w:t>
      </w:r>
      <w:r>
        <w:rPr>
          <w:spacing w:val="-24"/>
          <w:w w:val="115"/>
        </w:rPr>
        <w:t> </w:t>
      </w:r>
      <w:r>
        <w:rPr>
          <w:w w:val="115"/>
        </w:rPr>
        <w:t>de</w:t>
      </w:r>
      <w:r>
        <w:rPr>
          <w:spacing w:val="-24"/>
          <w:w w:val="115"/>
        </w:rPr>
        <w:t> </w:t>
      </w:r>
      <w:r>
        <w:rPr>
          <w:spacing w:val="-4"/>
          <w:w w:val="115"/>
        </w:rPr>
        <w:t>par- </w:t>
      </w:r>
      <w:r>
        <w:rPr>
          <w:w w:val="105"/>
        </w:rPr>
        <w:t>te</w:t>
      </w:r>
      <w:r>
        <w:rPr>
          <w:spacing w:val="18"/>
        </w:rPr>
        <w:t> </w:t>
      </w:r>
      <w:r>
        <w:rPr>
          <w:w w:val="108"/>
        </w:rPr>
        <w:t>relativa</w:t>
      </w:r>
      <w:r>
        <w:rPr>
          <w:spacing w:val="18"/>
        </w:rPr>
        <w:t> </w:t>
      </w:r>
      <w:r>
        <w:rPr>
          <w:w w:val="109"/>
        </w:rPr>
        <w:t>destinada</w:t>
      </w:r>
      <w:r>
        <w:rPr>
          <w:spacing w:val="18"/>
        </w:rPr>
        <w:t> </w:t>
      </w:r>
      <w:r>
        <w:rPr>
          <w:w w:val="112"/>
        </w:rPr>
        <w:t>a</w:t>
      </w:r>
      <w:r>
        <w:rPr>
          <w:spacing w:val="18"/>
        </w:rPr>
        <w:t> </w:t>
      </w:r>
      <w:r>
        <w:rPr>
          <w:w w:val="139"/>
        </w:rPr>
        <w:t>a</w:t>
      </w:r>
      <w:r>
        <w:rPr>
          <w:w w:val="111"/>
        </w:rPr>
        <w:t>mérica</w:t>
      </w:r>
      <w:r>
        <w:rPr>
          <w:spacing w:val="18"/>
        </w:rPr>
        <w:t> </w:t>
      </w:r>
      <w:r>
        <w:rPr>
          <w:w w:val="243"/>
        </w:rPr>
        <w:t>l</w:t>
      </w:r>
      <w:r>
        <w:rPr>
          <w:w w:val="111"/>
        </w:rPr>
        <w:t>atina</w:t>
      </w:r>
      <w:r>
        <w:rPr>
          <w:spacing w:val="18"/>
        </w:rPr>
        <w:t> </w:t>
      </w:r>
      <w:r>
        <w:rPr>
          <w:w w:val="108"/>
        </w:rPr>
        <w:t>en</w:t>
      </w:r>
      <w:r>
        <w:rPr>
          <w:spacing w:val="18"/>
        </w:rPr>
        <w:t> </w:t>
      </w:r>
      <w:r>
        <w:rPr>
          <w:w w:val="106"/>
        </w:rPr>
        <w:t>estos</w:t>
      </w:r>
      <w:r>
        <w:rPr>
          <w:spacing w:val="18"/>
        </w:rPr>
        <w:t> </w:t>
      </w:r>
      <w:r>
        <w:rPr>
          <w:w w:val="111"/>
        </w:rPr>
        <w:t>flujos,</w:t>
      </w:r>
      <w:r>
        <w:rPr>
          <w:spacing w:val="18"/>
        </w:rPr>
        <w:t> </w:t>
      </w:r>
      <w:r>
        <w:rPr>
          <w:w w:val="108"/>
        </w:rPr>
        <w:t>que</w:t>
      </w:r>
      <w:r>
        <w:rPr>
          <w:spacing w:val="18"/>
        </w:rPr>
        <w:t> </w:t>
      </w:r>
      <w:r>
        <w:rPr>
          <w:w w:val="112"/>
        </w:rPr>
        <w:t>alcanzó</w:t>
      </w:r>
      <w:r>
        <w:rPr>
          <w:spacing w:val="18"/>
        </w:rPr>
        <w:t> </w:t>
      </w:r>
      <w:r>
        <w:rPr>
          <w:w w:val="109"/>
        </w:rPr>
        <w:t>su </w:t>
      </w:r>
      <w:r>
        <w:rPr>
          <w:w w:val="110"/>
        </w:rPr>
        <w:t>record</w:t>
      </w:r>
      <w:r>
        <w:rPr>
          <w:spacing w:val="-12"/>
          <w:w w:val="110"/>
        </w:rPr>
        <w:t> </w:t>
      </w:r>
      <w:r>
        <w:rPr>
          <w:w w:val="110"/>
        </w:rPr>
        <w:t>en</w:t>
      </w:r>
      <w:r>
        <w:rPr>
          <w:spacing w:val="-12"/>
          <w:w w:val="110"/>
        </w:rPr>
        <w:t> </w:t>
      </w:r>
      <w:r>
        <w:rPr>
          <w:w w:val="110"/>
        </w:rPr>
        <w:t>2010</w:t>
      </w:r>
      <w:r>
        <w:rPr>
          <w:spacing w:val="-12"/>
          <w:w w:val="110"/>
        </w:rPr>
        <w:t> </w:t>
      </w:r>
      <w:r>
        <w:rPr>
          <w:w w:val="110"/>
        </w:rPr>
        <w:t>y</w:t>
      </w:r>
      <w:r>
        <w:rPr>
          <w:spacing w:val="-12"/>
          <w:w w:val="110"/>
        </w:rPr>
        <w:t> </w:t>
      </w:r>
      <w:r>
        <w:rPr>
          <w:w w:val="110"/>
        </w:rPr>
        <w:t>2011.</w:t>
      </w:r>
      <w:r>
        <w:rPr>
          <w:w w:val="110"/>
          <w:position w:val="6"/>
          <w:sz w:val="11"/>
        </w:rPr>
        <w:t>20</w:t>
      </w:r>
    </w:p>
    <w:p>
      <w:pPr>
        <w:pStyle w:val="BodyText"/>
        <w:spacing w:line="252" w:lineRule="auto"/>
        <w:ind w:left="330" w:right="117" w:firstLine="396"/>
        <w:jc w:val="both"/>
      </w:pPr>
      <w:r>
        <w:rPr>
          <w:spacing w:val="-4"/>
          <w:w w:val="110"/>
        </w:rPr>
        <w:t>tales </w:t>
      </w:r>
      <w:r>
        <w:rPr>
          <w:w w:val="110"/>
        </w:rPr>
        <w:t>factores asociados a la emergencia de la centro-izquierda y </w:t>
      </w:r>
      <w:r>
        <w:rPr>
          <w:w w:val="107"/>
        </w:rPr>
        <w:t>de</w:t>
      </w:r>
      <w:r>
        <w:rPr/>
        <w:t> </w:t>
      </w:r>
      <w:r>
        <w:rPr>
          <w:spacing w:val="-14"/>
        </w:rPr>
        <w:t> </w:t>
      </w:r>
      <w:r>
        <w:rPr>
          <w:w w:val="109"/>
        </w:rPr>
        <w:t>las</w:t>
      </w:r>
      <w:r>
        <w:rPr/>
        <w:t> </w:t>
      </w:r>
      <w:r>
        <w:rPr>
          <w:spacing w:val="-14"/>
        </w:rPr>
        <w:t> </w:t>
      </w:r>
      <w:r>
        <w:rPr>
          <w:w w:val="109"/>
        </w:rPr>
        <w:t>izquierdas</w:t>
      </w:r>
      <w:r>
        <w:rPr/>
        <w:t> </w:t>
      </w:r>
      <w:r>
        <w:rPr>
          <w:spacing w:val="-14"/>
        </w:rPr>
        <w:t> </w:t>
      </w:r>
      <w:r>
        <w:rPr>
          <w:w w:val="108"/>
        </w:rPr>
        <w:t>en</w:t>
      </w:r>
      <w:r>
        <w:rPr/>
        <w:t> </w:t>
      </w:r>
      <w:r>
        <w:rPr>
          <w:spacing w:val="-14"/>
        </w:rPr>
        <w:t> </w:t>
      </w:r>
      <w:r>
        <w:rPr>
          <w:w w:val="139"/>
        </w:rPr>
        <w:t>a</w:t>
      </w:r>
      <w:r>
        <w:rPr>
          <w:w w:val="111"/>
        </w:rPr>
        <w:t>mérica</w:t>
      </w:r>
      <w:r>
        <w:rPr/>
        <w:t> </w:t>
      </w:r>
      <w:r>
        <w:rPr>
          <w:spacing w:val="-14"/>
        </w:rPr>
        <w:t> </w:t>
      </w:r>
      <w:r>
        <w:rPr>
          <w:w w:val="243"/>
        </w:rPr>
        <w:t>l</w:t>
      </w:r>
      <w:r>
        <w:rPr>
          <w:w w:val="113"/>
        </w:rPr>
        <w:t>atina,</w:t>
      </w:r>
      <w:r>
        <w:rPr/>
        <w:t> </w:t>
      </w:r>
      <w:r>
        <w:rPr>
          <w:spacing w:val="-14"/>
        </w:rPr>
        <w:t> </w:t>
      </w:r>
      <w:r>
        <w:rPr>
          <w:w w:val="110"/>
        </w:rPr>
        <w:t>principalmente</w:t>
      </w:r>
      <w:r>
        <w:rPr/>
        <w:t> </w:t>
      </w:r>
      <w:r>
        <w:rPr>
          <w:spacing w:val="-14"/>
        </w:rPr>
        <w:t> </w:t>
      </w:r>
      <w:r>
        <w:rPr>
          <w:w w:val="108"/>
        </w:rPr>
        <w:t>en</w:t>
      </w:r>
      <w:r>
        <w:rPr/>
        <w:t> </w:t>
      </w:r>
      <w:r>
        <w:rPr>
          <w:spacing w:val="-14"/>
        </w:rPr>
        <w:t> </w:t>
      </w:r>
      <w:r>
        <w:rPr>
          <w:w w:val="139"/>
        </w:rPr>
        <w:t>a</w:t>
      </w:r>
      <w:r>
        <w:rPr>
          <w:w w:val="111"/>
        </w:rPr>
        <w:t>mérica</w:t>
      </w:r>
      <w:r>
        <w:rPr/>
        <w:t> </w:t>
      </w:r>
      <w:r>
        <w:rPr>
          <w:spacing w:val="-14"/>
        </w:rPr>
        <w:t> </w:t>
      </w:r>
      <w:r>
        <w:rPr>
          <w:w w:val="107"/>
        </w:rPr>
        <w:t>del </w:t>
      </w:r>
      <w:r>
        <w:rPr>
          <w:spacing w:val="-6"/>
          <w:w w:val="110"/>
        </w:rPr>
        <w:t>sur,  </w:t>
      </w:r>
      <w:r>
        <w:rPr>
          <w:w w:val="110"/>
        </w:rPr>
        <w:t>dotaron a la región de una fuerte capacidad de   </w:t>
      </w:r>
      <w:r>
        <w:rPr>
          <w:spacing w:val="23"/>
          <w:w w:val="110"/>
        </w:rPr>
        <w:t> </w:t>
      </w:r>
      <w:r>
        <w:rPr>
          <w:w w:val="110"/>
        </w:rPr>
        <w:t>emprendimiento</w:t>
      </w:r>
    </w:p>
    <w:p>
      <w:pPr>
        <w:pStyle w:val="BodyText"/>
        <w:spacing w:before="9"/>
        <w:rPr>
          <w:sz w:val="25"/>
        </w:rPr>
      </w:pPr>
      <w:r>
        <w:rPr/>
        <w:pict>
          <v:line style="position:absolute;mso-position-horizontal-relative:page;mso-position-vertical-relative:paragraph;z-index:2008;mso-wrap-distance-left:0;mso-wrap-distance-right:0" from="76.5354pt,17.327232pt" to="104.8814pt,17.327232pt" stroked="true" strokeweight=".5pt" strokecolor="#000000">
            <w10:wrap type="topAndBottom"/>
          </v:line>
        </w:pict>
      </w:r>
    </w:p>
    <w:p>
      <w:pPr>
        <w:pStyle w:val="ListParagraph"/>
        <w:numPr>
          <w:ilvl w:val="0"/>
          <w:numId w:val="2"/>
        </w:numPr>
        <w:tabs>
          <w:tab w:pos="586" w:val="left" w:leader="none"/>
        </w:tabs>
        <w:spacing w:line="242" w:lineRule="auto" w:before="89" w:after="0"/>
        <w:ind w:left="330" w:right="118" w:firstLine="0"/>
        <w:jc w:val="both"/>
        <w:rPr>
          <w:sz w:val="16"/>
        </w:rPr>
      </w:pPr>
      <w:r>
        <w:rPr>
          <w:spacing w:val="-3"/>
          <w:w w:val="105"/>
          <w:sz w:val="16"/>
        </w:rPr>
        <w:t>Véase </w:t>
      </w:r>
      <w:r>
        <w:rPr>
          <w:w w:val="105"/>
          <w:sz w:val="16"/>
        </w:rPr>
        <w:t>la </w:t>
      </w:r>
      <w:r>
        <w:rPr>
          <w:spacing w:val="-3"/>
          <w:w w:val="105"/>
          <w:sz w:val="16"/>
        </w:rPr>
        <w:t>tabla </w:t>
      </w:r>
      <w:r>
        <w:rPr>
          <w:w w:val="105"/>
          <w:sz w:val="16"/>
        </w:rPr>
        <w:t>8, Fdi outward stock as a percentage of gross domestic product 1990-2013, en </w:t>
      </w:r>
      <w:hyperlink r:id="rId90">
        <w:r>
          <w:rPr>
            <w:w w:val="105"/>
            <w:sz w:val="16"/>
          </w:rPr>
          <w:t>&lt;http://unctad.org/en/pages/diaE/World%20</w:t>
        </w:r>
      </w:hyperlink>
      <w:r>
        <w:rPr>
          <w:w w:val="105"/>
          <w:sz w:val="16"/>
        </w:rPr>
        <w:t>i</w:t>
      </w:r>
      <w:hyperlink r:id="rId90">
        <w:r>
          <w:rPr>
            <w:w w:val="105"/>
            <w:sz w:val="16"/>
          </w:rPr>
          <w:t>nvestment%20report/</w:t>
        </w:r>
      </w:hyperlink>
      <w:r>
        <w:rPr>
          <w:w w:val="105"/>
          <w:sz w:val="16"/>
        </w:rPr>
        <w:t> annex-tables.aspx&gt;.</w:t>
      </w:r>
    </w:p>
    <w:p>
      <w:pPr>
        <w:pStyle w:val="ListParagraph"/>
        <w:numPr>
          <w:ilvl w:val="0"/>
          <w:numId w:val="2"/>
        </w:numPr>
        <w:tabs>
          <w:tab w:pos="586" w:val="left" w:leader="none"/>
        </w:tabs>
        <w:spacing w:line="242" w:lineRule="auto" w:before="57" w:after="0"/>
        <w:ind w:left="330" w:right="118" w:firstLine="0"/>
        <w:jc w:val="both"/>
        <w:rPr>
          <w:sz w:val="16"/>
        </w:rPr>
      </w:pPr>
      <w:r>
        <w:rPr>
          <w:w w:val="110"/>
          <w:sz w:val="16"/>
        </w:rPr>
        <w:t>En</w:t>
      </w:r>
      <w:r>
        <w:rPr>
          <w:spacing w:val="-7"/>
          <w:w w:val="110"/>
          <w:sz w:val="16"/>
        </w:rPr>
        <w:t> </w:t>
      </w:r>
      <w:r>
        <w:rPr>
          <w:w w:val="110"/>
          <w:sz w:val="16"/>
        </w:rPr>
        <w:t>2010</w:t>
      </w:r>
      <w:r>
        <w:rPr>
          <w:spacing w:val="-7"/>
          <w:w w:val="110"/>
          <w:sz w:val="16"/>
        </w:rPr>
        <w:t> </w:t>
      </w:r>
      <w:r>
        <w:rPr>
          <w:w w:val="110"/>
          <w:sz w:val="16"/>
        </w:rPr>
        <w:t>y</w:t>
      </w:r>
      <w:r>
        <w:rPr>
          <w:spacing w:val="-7"/>
          <w:w w:val="110"/>
          <w:sz w:val="16"/>
        </w:rPr>
        <w:t> </w:t>
      </w:r>
      <w:r>
        <w:rPr>
          <w:w w:val="110"/>
          <w:sz w:val="16"/>
        </w:rPr>
        <w:t>2011,</w:t>
      </w:r>
      <w:r>
        <w:rPr>
          <w:spacing w:val="-7"/>
          <w:w w:val="110"/>
          <w:sz w:val="16"/>
        </w:rPr>
        <w:t> </w:t>
      </w:r>
      <w:r>
        <w:rPr>
          <w:w w:val="110"/>
          <w:sz w:val="16"/>
        </w:rPr>
        <w:t>14.3</w:t>
      </w:r>
      <w:r>
        <w:rPr>
          <w:spacing w:val="-7"/>
          <w:w w:val="110"/>
          <w:sz w:val="16"/>
        </w:rPr>
        <w:t> </w:t>
      </w:r>
      <w:r>
        <w:rPr>
          <w:w w:val="110"/>
          <w:sz w:val="16"/>
        </w:rPr>
        <w:t>y</w:t>
      </w:r>
      <w:r>
        <w:rPr>
          <w:spacing w:val="-7"/>
          <w:w w:val="110"/>
          <w:sz w:val="16"/>
        </w:rPr>
        <w:t> </w:t>
      </w:r>
      <w:r>
        <w:rPr>
          <w:w w:val="110"/>
          <w:sz w:val="16"/>
        </w:rPr>
        <w:t>14.2%</w:t>
      </w:r>
      <w:r>
        <w:rPr>
          <w:spacing w:val="-7"/>
          <w:w w:val="110"/>
          <w:sz w:val="16"/>
        </w:rPr>
        <w:t> </w:t>
      </w:r>
      <w:r>
        <w:rPr>
          <w:w w:val="110"/>
          <w:sz w:val="16"/>
        </w:rPr>
        <w:t>de</w:t>
      </w:r>
      <w:r>
        <w:rPr>
          <w:spacing w:val="-7"/>
          <w:w w:val="110"/>
          <w:sz w:val="16"/>
        </w:rPr>
        <w:t> </w:t>
      </w:r>
      <w:r>
        <w:rPr>
          <w:w w:val="110"/>
          <w:sz w:val="16"/>
        </w:rPr>
        <w:t>los</w:t>
      </w:r>
      <w:r>
        <w:rPr>
          <w:spacing w:val="-7"/>
          <w:w w:val="110"/>
          <w:sz w:val="16"/>
        </w:rPr>
        <w:t> </w:t>
      </w:r>
      <w:r>
        <w:rPr>
          <w:w w:val="110"/>
          <w:sz w:val="16"/>
        </w:rPr>
        <w:t>flujos</w:t>
      </w:r>
      <w:r>
        <w:rPr>
          <w:spacing w:val="-7"/>
          <w:w w:val="110"/>
          <w:sz w:val="16"/>
        </w:rPr>
        <w:t> </w:t>
      </w:r>
      <w:r>
        <w:rPr>
          <w:w w:val="110"/>
          <w:sz w:val="16"/>
        </w:rPr>
        <w:t>internacionales</w:t>
      </w:r>
      <w:r>
        <w:rPr>
          <w:spacing w:val="-7"/>
          <w:w w:val="110"/>
          <w:sz w:val="16"/>
        </w:rPr>
        <w:t> </w:t>
      </w:r>
      <w:r>
        <w:rPr>
          <w:w w:val="110"/>
          <w:sz w:val="16"/>
        </w:rPr>
        <w:t>de</w:t>
      </w:r>
      <w:r>
        <w:rPr>
          <w:spacing w:val="-7"/>
          <w:w w:val="110"/>
          <w:sz w:val="16"/>
        </w:rPr>
        <w:t> </w:t>
      </w:r>
      <w:r>
        <w:rPr>
          <w:w w:val="110"/>
          <w:sz w:val="16"/>
        </w:rPr>
        <w:t>capitales</w:t>
      </w:r>
      <w:r>
        <w:rPr>
          <w:spacing w:val="-7"/>
          <w:w w:val="110"/>
          <w:sz w:val="16"/>
        </w:rPr>
        <w:t> </w:t>
      </w:r>
      <w:r>
        <w:rPr>
          <w:w w:val="110"/>
          <w:sz w:val="16"/>
        </w:rPr>
        <w:t>se</w:t>
      </w:r>
      <w:r>
        <w:rPr>
          <w:spacing w:val="-7"/>
          <w:w w:val="110"/>
          <w:sz w:val="16"/>
        </w:rPr>
        <w:t> </w:t>
      </w:r>
      <w:r>
        <w:rPr>
          <w:w w:val="110"/>
          <w:sz w:val="16"/>
        </w:rPr>
        <w:t>dirigen </w:t>
      </w:r>
      <w:r>
        <w:rPr>
          <w:w w:val="109"/>
          <w:sz w:val="16"/>
        </w:rPr>
        <w:t>a</w:t>
      </w:r>
      <w:r>
        <w:rPr>
          <w:spacing w:val="9"/>
          <w:sz w:val="16"/>
        </w:rPr>
        <w:t> </w:t>
      </w:r>
      <w:r>
        <w:rPr>
          <w:w w:val="136"/>
          <w:sz w:val="16"/>
        </w:rPr>
        <w:t>a</w:t>
      </w:r>
      <w:r>
        <w:rPr>
          <w:w w:val="108"/>
          <w:sz w:val="16"/>
        </w:rPr>
        <w:t>mérica</w:t>
      </w:r>
      <w:r>
        <w:rPr>
          <w:spacing w:val="9"/>
          <w:sz w:val="16"/>
        </w:rPr>
        <w:t> </w:t>
      </w:r>
      <w:r>
        <w:rPr>
          <w:w w:val="238"/>
          <w:sz w:val="16"/>
        </w:rPr>
        <w:t>l</w:t>
      </w:r>
      <w:r>
        <w:rPr>
          <w:w w:val="109"/>
          <w:sz w:val="16"/>
        </w:rPr>
        <w:t>atina</w:t>
      </w:r>
      <w:r>
        <w:rPr>
          <w:spacing w:val="9"/>
          <w:sz w:val="16"/>
        </w:rPr>
        <w:t> </w:t>
      </w:r>
      <w:r>
        <w:rPr>
          <w:w w:val="102"/>
          <w:sz w:val="16"/>
        </w:rPr>
        <w:t>(véase</w:t>
      </w:r>
      <w:r>
        <w:rPr>
          <w:spacing w:val="9"/>
          <w:sz w:val="16"/>
        </w:rPr>
        <w:t> </w:t>
      </w:r>
      <w:r>
        <w:rPr>
          <w:w w:val="137"/>
          <w:sz w:val="16"/>
        </w:rPr>
        <w:t>u</w:t>
      </w:r>
      <w:r>
        <w:rPr>
          <w:w w:val="119"/>
          <w:sz w:val="16"/>
        </w:rPr>
        <w:t>NC</w:t>
      </w:r>
      <w:r>
        <w:rPr>
          <w:spacing w:val="-12"/>
          <w:w w:val="191"/>
          <w:sz w:val="16"/>
        </w:rPr>
        <w:t>t</w:t>
      </w:r>
      <w:r>
        <w:rPr>
          <w:w w:val="126"/>
          <w:sz w:val="16"/>
        </w:rPr>
        <w:t>ad)</w:t>
      </w:r>
      <w:r>
        <w:rPr>
          <w:w w:val="135"/>
          <w:sz w:val="16"/>
        </w:rPr>
        <w:t>.</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7"/>
        <w:jc w:val="both"/>
      </w:pPr>
      <w:r>
        <w:rPr>
          <w:w w:val="115"/>
        </w:rPr>
        <w:t>para</w:t>
      </w:r>
      <w:r>
        <w:rPr>
          <w:spacing w:val="-9"/>
          <w:w w:val="115"/>
        </w:rPr>
        <w:t> </w:t>
      </w:r>
      <w:r>
        <w:rPr>
          <w:w w:val="115"/>
        </w:rPr>
        <w:t>reformular</w:t>
      </w:r>
      <w:r>
        <w:rPr>
          <w:spacing w:val="-9"/>
          <w:w w:val="115"/>
        </w:rPr>
        <w:t> </w:t>
      </w:r>
      <w:r>
        <w:rPr>
          <w:w w:val="115"/>
        </w:rPr>
        <w:t>los</w:t>
      </w:r>
      <w:r>
        <w:rPr>
          <w:spacing w:val="-9"/>
          <w:w w:val="115"/>
        </w:rPr>
        <w:t> </w:t>
      </w:r>
      <w:r>
        <w:rPr>
          <w:w w:val="115"/>
        </w:rPr>
        <w:t>marcos</w:t>
      </w:r>
      <w:r>
        <w:rPr>
          <w:spacing w:val="-9"/>
          <w:w w:val="115"/>
        </w:rPr>
        <w:t> </w:t>
      </w:r>
      <w:r>
        <w:rPr>
          <w:w w:val="115"/>
        </w:rPr>
        <w:t>de</w:t>
      </w:r>
      <w:r>
        <w:rPr>
          <w:spacing w:val="-9"/>
          <w:w w:val="115"/>
        </w:rPr>
        <w:t> </w:t>
      </w:r>
      <w:r>
        <w:rPr>
          <w:w w:val="115"/>
        </w:rPr>
        <w:t>la</w:t>
      </w:r>
      <w:r>
        <w:rPr>
          <w:spacing w:val="-9"/>
          <w:w w:val="115"/>
        </w:rPr>
        <w:t> </w:t>
      </w:r>
      <w:r>
        <w:rPr>
          <w:w w:val="115"/>
        </w:rPr>
        <w:t>integración</w:t>
      </w:r>
      <w:r>
        <w:rPr>
          <w:spacing w:val="-9"/>
          <w:w w:val="115"/>
        </w:rPr>
        <w:t> </w:t>
      </w:r>
      <w:r>
        <w:rPr>
          <w:w w:val="115"/>
        </w:rPr>
        <w:t>regional</w:t>
      </w:r>
      <w:r>
        <w:rPr>
          <w:spacing w:val="-9"/>
          <w:w w:val="115"/>
        </w:rPr>
        <w:t> </w:t>
      </w:r>
      <w:r>
        <w:rPr>
          <w:w w:val="115"/>
        </w:rPr>
        <w:t>e</w:t>
      </w:r>
      <w:r>
        <w:rPr>
          <w:spacing w:val="-9"/>
          <w:w w:val="115"/>
        </w:rPr>
        <w:t> </w:t>
      </w:r>
      <w:r>
        <w:rPr>
          <w:w w:val="115"/>
        </w:rPr>
        <w:t>impulsar</w:t>
      </w:r>
      <w:r>
        <w:rPr>
          <w:spacing w:val="-9"/>
          <w:w w:val="115"/>
        </w:rPr>
        <w:t> </w:t>
      </w:r>
      <w:r>
        <w:rPr>
          <w:w w:val="115"/>
        </w:rPr>
        <w:t>los mercados internos. En este contexto se desenvolvieron la unión de </w:t>
      </w:r>
      <w:r>
        <w:rPr>
          <w:w w:val="112"/>
        </w:rPr>
        <w:t>Naciones</w:t>
      </w:r>
      <w:r>
        <w:rPr/>
        <w:t> </w:t>
      </w:r>
      <w:r>
        <w:rPr>
          <w:spacing w:val="-19"/>
        </w:rPr>
        <w:t> </w:t>
      </w:r>
      <w:r>
        <w:rPr>
          <w:w w:val="149"/>
        </w:rPr>
        <w:t>s</w:t>
      </w:r>
      <w:r>
        <w:rPr>
          <w:w w:val="110"/>
        </w:rPr>
        <w:t>uramericanas</w:t>
      </w:r>
      <w:r>
        <w:rPr/>
        <w:t> </w:t>
      </w:r>
      <w:r>
        <w:rPr>
          <w:spacing w:val="-19"/>
        </w:rPr>
        <w:t> </w:t>
      </w:r>
      <w:r>
        <w:rPr>
          <w:w w:val="98"/>
        </w:rPr>
        <w:t>(</w:t>
      </w:r>
      <w:r>
        <w:rPr>
          <w:w w:val="140"/>
        </w:rPr>
        <w:t>u</w:t>
      </w:r>
      <w:r>
        <w:rPr>
          <w:w w:val="119"/>
        </w:rPr>
        <w:t>N</w:t>
      </w:r>
      <w:r>
        <w:rPr>
          <w:w w:val="151"/>
        </w:rPr>
        <w:t>asur</w:t>
      </w:r>
      <w:r>
        <w:rPr>
          <w:w w:val="98"/>
        </w:rPr>
        <w:t>)</w:t>
      </w:r>
      <w:r>
        <w:rPr/>
        <w:t> </w:t>
      </w:r>
      <w:r>
        <w:rPr>
          <w:spacing w:val="-19"/>
        </w:rPr>
        <w:t> </w:t>
      </w:r>
      <w:r>
        <w:rPr>
          <w:w w:val="105"/>
        </w:rPr>
        <w:t>y</w:t>
      </w:r>
      <w:r>
        <w:rPr/>
        <w:t> </w:t>
      </w:r>
      <w:r>
        <w:rPr>
          <w:spacing w:val="-19"/>
        </w:rPr>
        <w:t> </w:t>
      </w:r>
      <w:r>
        <w:rPr>
          <w:w w:val="111"/>
        </w:rPr>
        <w:t>la</w:t>
      </w:r>
      <w:r>
        <w:rPr/>
        <w:t> </w:t>
      </w:r>
      <w:r>
        <w:rPr>
          <w:spacing w:val="-19"/>
        </w:rPr>
        <w:t> </w:t>
      </w:r>
      <w:r>
        <w:rPr>
          <w:w w:val="113"/>
        </w:rPr>
        <w:t>Comunidad</w:t>
      </w:r>
      <w:r>
        <w:rPr/>
        <w:t> </w:t>
      </w:r>
      <w:r>
        <w:rPr>
          <w:spacing w:val="-19"/>
        </w:rPr>
        <w:t> </w:t>
      </w:r>
      <w:r>
        <w:rPr>
          <w:w w:val="107"/>
        </w:rPr>
        <w:t>de</w:t>
      </w:r>
      <w:r>
        <w:rPr/>
        <w:t> </w:t>
      </w:r>
      <w:r>
        <w:rPr>
          <w:spacing w:val="-19"/>
        </w:rPr>
        <w:t> </w:t>
      </w:r>
      <w:r>
        <w:rPr>
          <w:w w:val="111"/>
        </w:rPr>
        <w:t>Estados</w:t>
      </w:r>
      <w:r>
        <w:rPr/>
        <w:t> </w:t>
      </w:r>
      <w:r>
        <w:rPr>
          <w:spacing w:val="-19"/>
        </w:rPr>
        <w:t> </w:t>
      </w:r>
      <w:r>
        <w:rPr>
          <w:w w:val="243"/>
        </w:rPr>
        <w:t>l</w:t>
      </w:r>
      <w:r>
        <w:rPr>
          <w:spacing w:val="-1"/>
          <w:w w:val="112"/>
        </w:rPr>
        <w:t>a</w:t>
      </w:r>
      <w:r>
        <w:rPr>
          <w:w w:val="102"/>
        </w:rPr>
        <w:t>- </w:t>
      </w:r>
      <w:r>
        <w:rPr>
          <w:w w:val="115"/>
        </w:rPr>
        <w:t>tinoamericanos y Caribeños (CElaC), se reformuló el </w:t>
      </w:r>
      <w:r>
        <w:rPr>
          <w:spacing w:val="-3"/>
          <w:w w:val="115"/>
        </w:rPr>
        <w:t>Mercosur, </w:t>
      </w:r>
      <w:r>
        <w:rPr>
          <w:w w:val="115"/>
        </w:rPr>
        <w:t>que integró</w:t>
      </w:r>
      <w:r>
        <w:rPr>
          <w:spacing w:val="-12"/>
          <w:w w:val="115"/>
        </w:rPr>
        <w:t> </w:t>
      </w:r>
      <w:r>
        <w:rPr>
          <w:w w:val="115"/>
        </w:rPr>
        <w:t>a</w:t>
      </w:r>
      <w:r>
        <w:rPr>
          <w:spacing w:val="-12"/>
          <w:w w:val="115"/>
        </w:rPr>
        <w:t> </w:t>
      </w:r>
      <w:r>
        <w:rPr>
          <w:w w:val="115"/>
        </w:rPr>
        <w:t>Venezuela</w:t>
      </w:r>
      <w:r>
        <w:rPr>
          <w:spacing w:val="-12"/>
          <w:w w:val="115"/>
        </w:rPr>
        <w:t> </w:t>
      </w:r>
      <w:r>
        <w:rPr>
          <w:w w:val="115"/>
        </w:rPr>
        <w:t>como</w:t>
      </w:r>
      <w:r>
        <w:rPr>
          <w:spacing w:val="-12"/>
          <w:w w:val="115"/>
        </w:rPr>
        <w:t> </w:t>
      </w:r>
      <w:r>
        <w:rPr>
          <w:w w:val="115"/>
        </w:rPr>
        <w:t>miembro</w:t>
      </w:r>
      <w:r>
        <w:rPr>
          <w:spacing w:val="-12"/>
          <w:w w:val="115"/>
        </w:rPr>
        <w:t> </w:t>
      </w:r>
      <w:r>
        <w:rPr>
          <w:w w:val="115"/>
        </w:rPr>
        <w:t>asociado</w:t>
      </w:r>
      <w:r>
        <w:rPr>
          <w:spacing w:val="-12"/>
          <w:w w:val="115"/>
        </w:rPr>
        <w:t> </w:t>
      </w:r>
      <w:r>
        <w:rPr>
          <w:w w:val="115"/>
        </w:rPr>
        <w:t>pleno,</w:t>
      </w:r>
      <w:r>
        <w:rPr>
          <w:spacing w:val="-12"/>
          <w:w w:val="115"/>
        </w:rPr>
        <w:t> </w:t>
      </w:r>
      <w:r>
        <w:rPr>
          <w:w w:val="115"/>
        </w:rPr>
        <w:t>y</w:t>
      </w:r>
      <w:r>
        <w:rPr>
          <w:spacing w:val="-12"/>
          <w:w w:val="115"/>
        </w:rPr>
        <w:t> </w:t>
      </w:r>
      <w:r>
        <w:rPr>
          <w:w w:val="115"/>
        </w:rPr>
        <w:t>bolivia</w:t>
      </w:r>
      <w:r>
        <w:rPr>
          <w:spacing w:val="-12"/>
          <w:w w:val="115"/>
        </w:rPr>
        <w:t> </w:t>
      </w:r>
      <w:r>
        <w:rPr>
          <w:w w:val="115"/>
        </w:rPr>
        <w:t>y</w:t>
      </w:r>
      <w:r>
        <w:rPr>
          <w:spacing w:val="-12"/>
          <w:w w:val="115"/>
        </w:rPr>
        <w:t> </w:t>
      </w:r>
      <w:r>
        <w:rPr>
          <w:w w:val="115"/>
        </w:rPr>
        <w:t>Ecua- dor</w:t>
      </w:r>
      <w:r>
        <w:rPr>
          <w:spacing w:val="-17"/>
          <w:w w:val="115"/>
        </w:rPr>
        <w:t> </w:t>
      </w:r>
      <w:r>
        <w:rPr>
          <w:w w:val="115"/>
        </w:rPr>
        <w:t>son</w:t>
      </w:r>
      <w:r>
        <w:rPr>
          <w:spacing w:val="-17"/>
          <w:w w:val="115"/>
        </w:rPr>
        <w:t> </w:t>
      </w:r>
      <w:r>
        <w:rPr>
          <w:w w:val="115"/>
        </w:rPr>
        <w:t>candidatos</w:t>
      </w:r>
      <w:r>
        <w:rPr>
          <w:spacing w:val="-17"/>
          <w:w w:val="115"/>
        </w:rPr>
        <w:t> </w:t>
      </w:r>
      <w:r>
        <w:rPr>
          <w:w w:val="115"/>
        </w:rPr>
        <w:t>a</w:t>
      </w:r>
      <w:r>
        <w:rPr>
          <w:spacing w:val="-17"/>
          <w:w w:val="115"/>
        </w:rPr>
        <w:t> </w:t>
      </w:r>
      <w:r>
        <w:rPr>
          <w:w w:val="115"/>
        </w:rPr>
        <w:t>esta</w:t>
      </w:r>
      <w:r>
        <w:rPr>
          <w:spacing w:val="-17"/>
          <w:w w:val="115"/>
        </w:rPr>
        <w:t> </w:t>
      </w:r>
      <w:r>
        <w:rPr>
          <w:w w:val="115"/>
        </w:rPr>
        <w:t>condición.</w:t>
      </w:r>
    </w:p>
    <w:p>
      <w:pPr>
        <w:pStyle w:val="BodyText"/>
        <w:spacing w:line="252" w:lineRule="auto"/>
        <w:ind w:left="100" w:right="328" w:firstLine="396"/>
        <w:jc w:val="both"/>
      </w:pPr>
      <w:r>
        <w:rPr>
          <w:w w:val="110"/>
        </w:rPr>
        <w:t>se desarrolló una concepción teórica de integración regional que se propone impulsar un patrón de desarrollo solidario y sustentable, profundizar la democracia, erradicar la pobreza, reducir las desigual- dades y asimetrías regionales, promover la soberanía y seguridad alimentarias, así como impulsar el desarrollo industrial y científico- tecnológico de la región. Para eso se busca reforzar las instituciones supranacionales y su representación democrática. se diseñan los fun- damentos de una arquitectura financiera soberana, crucial para im- pulsar un patrón de desarrollo productivo para la región y un sistema de innovación regional. </w:t>
      </w:r>
      <w:r>
        <w:rPr>
          <w:spacing w:val="-6"/>
          <w:w w:val="150"/>
        </w:rPr>
        <w:t>tal </w:t>
      </w:r>
      <w:r>
        <w:rPr>
          <w:w w:val="110"/>
        </w:rPr>
        <w:t>arquitectura debería contar con un banco de desarrollo, con un fondo de estabilización y con una moneda re- gional, expresión de una canasta de monedas que permitiría liberar   el intercambio regional del patrón monetario del </w:t>
      </w:r>
      <w:r>
        <w:rPr>
          <w:spacing w:val="-4"/>
          <w:w w:val="110"/>
        </w:rPr>
        <w:t>dólar. </w:t>
      </w:r>
      <w:r>
        <w:rPr>
          <w:w w:val="110"/>
        </w:rPr>
        <w:t>sin embargo, poco se ha avanzado en términos institucionales para construir este </w:t>
      </w:r>
      <w:r>
        <w:rPr>
          <w:w w:val="108"/>
        </w:rPr>
        <w:t>nuevo</w:t>
      </w:r>
      <w:r>
        <w:rPr>
          <w:spacing w:val="14"/>
        </w:rPr>
        <w:t> </w:t>
      </w:r>
      <w:r>
        <w:rPr>
          <w:w w:val="109"/>
        </w:rPr>
        <w:t>patrón</w:t>
      </w:r>
      <w:r>
        <w:rPr>
          <w:spacing w:val="14"/>
        </w:rPr>
        <w:t> </w:t>
      </w:r>
      <w:r>
        <w:rPr>
          <w:w w:val="107"/>
        </w:rPr>
        <w:t>de</w:t>
      </w:r>
      <w:r>
        <w:rPr>
          <w:spacing w:val="14"/>
        </w:rPr>
        <w:t> </w:t>
      </w:r>
      <w:r>
        <w:rPr>
          <w:w w:val="111"/>
        </w:rPr>
        <w:t>integración.</w:t>
      </w:r>
      <w:r>
        <w:rPr>
          <w:spacing w:val="14"/>
        </w:rPr>
        <w:t> </w:t>
      </w:r>
      <w:r>
        <w:rPr>
          <w:w w:val="243"/>
        </w:rPr>
        <w:t>l</w:t>
      </w:r>
      <w:r>
        <w:rPr>
          <w:w w:val="112"/>
        </w:rPr>
        <w:t>a</w:t>
      </w:r>
      <w:r>
        <w:rPr>
          <w:spacing w:val="14"/>
        </w:rPr>
        <w:t> </w:t>
      </w:r>
      <w:r>
        <w:rPr>
          <w:w w:val="108"/>
        </w:rPr>
        <w:t>propuesta</w:t>
      </w:r>
      <w:r>
        <w:rPr>
          <w:spacing w:val="14"/>
        </w:rPr>
        <w:t> </w:t>
      </w:r>
      <w:r>
        <w:rPr>
          <w:w w:val="107"/>
        </w:rPr>
        <w:t>de</w:t>
      </w:r>
      <w:r>
        <w:rPr>
          <w:spacing w:val="14"/>
        </w:rPr>
        <w:t> </w:t>
      </w:r>
      <w:r>
        <w:rPr>
          <w:w w:val="109"/>
        </w:rPr>
        <w:t>arquitectura</w:t>
      </w:r>
      <w:r>
        <w:rPr>
          <w:spacing w:val="14"/>
        </w:rPr>
        <w:t> </w:t>
      </w:r>
      <w:r>
        <w:rPr>
          <w:w w:val="110"/>
        </w:rPr>
        <w:t>financiera </w:t>
      </w:r>
      <w:r>
        <w:rPr>
          <w:w w:val="110"/>
        </w:rPr>
        <w:t>regional quedó reducida al banco del </w:t>
      </w:r>
      <w:r>
        <w:rPr>
          <w:spacing w:val="-6"/>
          <w:w w:val="110"/>
        </w:rPr>
        <w:t>sur, </w:t>
      </w:r>
      <w:r>
        <w:rPr>
          <w:w w:val="110"/>
        </w:rPr>
        <w:t>que aprobado por los presi- dentes de la república de la </w:t>
      </w:r>
      <w:r>
        <w:rPr>
          <w:w w:val="150"/>
        </w:rPr>
        <w:t>uNasur, </w:t>
      </w:r>
      <w:r>
        <w:rPr>
          <w:w w:val="110"/>
        </w:rPr>
        <w:t>hasta hoy no ha sido ratificado </w:t>
      </w:r>
      <w:r>
        <w:rPr>
          <w:w w:val="108"/>
        </w:rPr>
        <w:t>por</w:t>
      </w:r>
      <w:r>
        <w:rPr>
          <w:spacing w:val="16"/>
        </w:rPr>
        <w:t> </w:t>
      </w:r>
      <w:r>
        <w:rPr>
          <w:w w:val="107"/>
        </w:rPr>
        <w:t>el</w:t>
      </w:r>
      <w:r>
        <w:rPr>
          <w:spacing w:val="16"/>
        </w:rPr>
        <w:t> </w:t>
      </w:r>
      <w:r>
        <w:rPr>
          <w:w w:val="110"/>
        </w:rPr>
        <w:t>Congreso</w:t>
      </w:r>
      <w:r>
        <w:rPr>
          <w:spacing w:val="16"/>
        </w:rPr>
        <w:t> </w:t>
      </w:r>
      <w:r>
        <w:rPr>
          <w:w w:val="110"/>
        </w:rPr>
        <w:t>brasileño.</w:t>
      </w:r>
      <w:r>
        <w:rPr>
          <w:spacing w:val="16"/>
        </w:rPr>
        <w:t> </w:t>
      </w:r>
      <w:r>
        <w:rPr>
          <w:w w:val="243"/>
        </w:rPr>
        <w:t>l</w:t>
      </w:r>
      <w:r>
        <w:rPr>
          <w:w w:val="108"/>
        </w:rPr>
        <w:t>os</w:t>
      </w:r>
      <w:r>
        <w:rPr>
          <w:spacing w:val="16"/>
        </w:rPr>
        <w:t> </w:t>
      </w:r>
      <w:r>
        <w:rPr>
          <w:w w:val="110"/>
        </w:rPr>
        <w:t>fondos</w:t>
      </w:r>
      <w:r>
        <w:rPr>
          <w:spacing w:val="16"/>
        </w:rPr>
        <w:t> </w:t>
      </w:r>
      <w:r>
        <w:rPr>
          <w:w w:val="107"/>
        </w:rPr>
        <w:t>de</w:t>
      </w:r>
      <w:r>
        <w:rPr>
          <w:spacing w:val="16"/>
        </w:rPr>
        <w:t> </w:t>
      </w:r>
      <w:r>
        <w:rPr>
          <w:w w:val="111"/>
        </w:rPr>
        <w:t>reducción</w:t>
      </w:r>
      <w:r>
        <w:rPr>
          <w:spacing w:val="16"/>
        </w:rPr>
        <w:t> </w:t>
      </w:r>
      <w:r>
        <w:rPr>
          <w:w w:val="107"/>
        </w:rPr>
        <w:t>de</w:t>
      </w:r>
      <w:r>
        <w:rPr>
          <w:spacing w:val="16"/>
        </w:rPr>
        <w:t> </w:t>
      </w:r>
      <w:r>
        <w:rPr>
          <w:w w:val="109"/>
        </w:rPr>
        <w:t>asimetrías</w:t>
      </w:r>
      <w:r>
        <w:rPr>
          <w:spacing w:val="16"/>
        </w:rPr>
        <w:t> </w:t>
      </w:r>
      <w:r>
        <w:rPr>
          <w:w w:val="107"/>
        </w:rPr>
        <w:t>del </w:t>
      </w:r>
      <w:r>
        <w:rPr>
          <w:w w:val="110"/>
        </w:rPr>
        <w:t>Mercosur continúan extremadamente limitados, a pesar de que este bloque está hegemonizado por gobiernos de izquierda y centro-iz- quierda –cuya excepción es Paraguay– y la agenda de elecciones para el</w:t>
      </w:r>
      <w:r>
        <w:rPr>
          <w:spacing w:val="-7"/>
          <w:w w:val="110"/>
        </w:rPr>
        <w:t> </w:t>
      </w:r>
      <w:r>
        <w:rPr>
          <w:w w:val="110"/>
        </w:rPr>
        <w:t>Parlamento</w:t>
      </w:r>
      <w:r>
        <w:rPr>
          <w:spacing w:val="-7"/>
          <w:w w:val="110"/>
        </w:rPr>
        <w:t> </w:t>
      </w:r>
      <w:r>
        <w:rPr>
          <w:w w:val="110"/>
        </w:rPr>
        <w:t>del</w:t>
      </w:r>
      <w:r>
        <w:rPr>
          <w:spacing w:val="-7"/>
          <w:w w:val="110"/>
        </w:rPr>
        <w:t> </w:t>
      </w:r>
      <w:r>
        <w:rPr>
          <w:w w:val="110"/>
        </w:rPr>
        <w:t>Mercosur</w:t>
      </w:r>
      <w:r>
        <w:rPr>
          <w:spacing w:val="-7"/>
          <w:w w:val="110"/>
        </w:rPr>
        <w:t> </w:t>
      </w:r>
      <w:r>
        <w:rPr>
          <w:w w:val="110"/>
        </w:rPr>
        <w:t>(Parlasur),</w:t>
      </w:r>
      <w:r>
        <w:rPr>
          <w:spacing w:val="-7"/>
          <w:w w:val="110"/>
        </w:rPr>
        <w:t> </w:t>
      </w:r>
      <w:r>
        <w:rPr>
          <w:w w:val="110"/>
        </w:rPr>
        <w:t>que</w:t>
      </w:r>
      <w:r>
        <w:rPr>
          <w:spacing w:val="-7"/>
          <w:w w:val="110"/>
        </w:rPr>
        <w:t> </w:t>
      </w:r>
      <w:r>
        <w:rPr>
          <w:w w:val="110"/>
        </w:rPr>
        <w:t>previas</w:t>
      </w:r>
      <w:r>
        <w:rPr>
          <w:spacing w:val="-7"/>
          <w:w w:val="110"/>
        </w:rPr>
        <w:t> </w:t>
      </w:r>
      <w:r>
        <w:rPr>
          <w:w w:val="110"/>
        </w:rPr>
        <w:t>elecciones</w:t>
      </w:r>
      <w:r>
        <w:rPr>
          <w:spacing w:val="-7"/>
          <w:w w:val="110"/>
        </w:rPr>
        <w:t> </w:t>
      </w:r>
      <w:r>
        <w:rPr>
          <w:w w:val="110"/>
        </w:rPr>
        <w:t>directas de sus representantes entre 2011 y 2014, no fue</w:t>
      </w:r>
      <w:r>
        <w:rPr>
          <w:spacing w:val="-12"/>
          <w:w w:val="110"/>
        </w:rPr>
        <w:t> </w:t>
      </w:r>
      <w:r>
        <w:rPr>
          <w:w w:val="110"/>
        </w:rPr>
        <w:t>cumplida.</w:t>
      </w:r>
    </w:p>
    <w:p>
      <w:pPr>
        <w:pStyle w:val="BodyText"/>
        <w:spacing w:line="252" w:lineRule="auto"/>
        <w:ind w:left="100" w:right="328" w:firstLine="396"/>
        <w:jc w:val="both"/>
      </w:pPr>
      <w:r>
        <w:rPr>
          <w:w w:val="110"/>
        </w:rPr>
        <w:t>se observa así una gran lentitud en los avances institucionales  que necesita américa del sur para caminar en la dirección de los de- safíos propuestos por el nuevo enfoque integracionista. si compara- mos con el periodo neoliberal que se instituyó durante la década de 1990, en periodo cronológicamente más corto, podemos verificar que los gobiernos neoliberales fueron mucho más incisivos y rápidos para transformar sus agendas de gobierno en políticas concretas, institu- cionalizando en gran medida el Consenso de Washington y el regiona- lismo abierto en las políticas comercial, cambiaria, macroeconómica   y</w:t>
      </w:r>
      <w:r>
        <w:rPr>
          <w:spacing w:val="14"/>
          <w:w w:val="110"/>
        </w:rPr>
        <w:t> </w:t>
      </w:r>
      <w:r>
        <w:rPr>
          <w:w w:val="110"/>
        </w:rPr>
        <w:t>regional.</w:t>
      </w:r>
    </w:p>
    <w:p>
      <w:pPr>
        <w:pStyle w:val="BodyText"/>
        <w:spacing w:line="252" w:lineRule="auto"/>
        <w:ind w:left="100" w:right="328" w:firstLine="396"/>
        <w:jc w:val="both"/>
      </w:pPr>
      <w:r>
        <w:rPr>
          <w:w w:val="110"/>
        </w:rPr>
        <w:t>Esta lentitud se explica por la complejidad de las fuerzas que permean al Estado en los países latinoamericanos, mas también en gran parte por el carácter moderado, burocrático e institucionalista  de los gobiernos de centro-izquierda que emergen en la región.  </w:t>
      </w:r>
      <w:r>
        <w:rPr>
          <w:spacing w:val="2"/>
          <w:w w:val="110"/>
        </w:rPr>
        <w:t> </w:t>
      </w:r>
      <w:r>
        <w:rPr>
          <w:w w:val="110"/>
        </w:rPr>
        <w:t>Éstos</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se sitúan muy próximos al enfoque de la tercera vía, manteniendo     un núcleo duro neoliberal en las políticas macroeconómicas que se combinan con políticas compensatorias de renta mínima. buscan una posición centrista en las relaciones internacionales, asumiendo una perspectiva más multilateralista, de distanciamiento relativo de Esta- dos unidos, pero sin mayores confrontaciones, y con un compromiso moderado en procesos de integraciones regionales más avanzados, impulsados por el capitalismo de Estado bolivariano, de fuerte base </w:t>
      </w:r>
      <w:r>
        <w:rPr>
          <w:spacing w:val="-3"/>
          <w:w w:val="110"/>
        </w:rPr>
        <w:t>popular.  </w:t>
      </w:r>
      <w:r>
        <w:rPr>
          <w:w w:val="110"/>
        </w:rPr>
        <w:t>de particular importancia para esta lentitud es la posición  del gobierno brasileño: el país detenta más de 60% de las reservas cambiarias de américa del sur; disfruta de altos superávit comercia- les con este continente, concentrados en productos manufacturados; tiene en el banco Nacional de desarrollo Económico y  social  (bN- dEs) su principal banco de actuación en la región; y mantiene un apoyo discreto al banco del </w:t>
      </w:r>
      <w:r>
        <w:rPr>
          <w:spacing w:val="-6"/>
          <w:w w:val="110"/>
        </w:rPr>
        <w:t>sur, </w:t>
      </w:r>
      <w:r>
        <w:rPr>
          <w:w w:val="110"/>
        </w:rPr>
        <w:t>que se manifiesta tanto en la contri- bución relativa bastante inferior a los demás países para la </w:t>
      </w:r>
      <w:r>
        <w:rPr>
          <w:spacing w:val="-3"/>
          <w:w w:val="110"/>
        </w:rPr>
        <w:t>confor- </w:t>
      </w:r>
      <w:r>
        <w:rPr>
          <w:w w:val="110"/>
        </w:rPr>
        <w:t>mación de su capital suscrito, si la medimos en valores porcentuales del Pib, como en la demora para legalizar la participación de brasil, ratificándola en el Congreso </w:t>
      </w:r>
      <w:r>
        <w:rPr>
          <w:spacing w:val="26"/>
          <w:w w:val="110"/>
        </w:rPr>
        <w:t> </w:t>
      </w:r>
      <w:r>
        <w:rPr>
          <w:w w:val="110"/>
        </w:rPr>
        <w:t>Nacional.</w:t>
      </w:r>
    </w:p>
    <w:p>
      <w:pPr>
        <w:pStyle w:val="BodyText"/>
        <w:spacing w:line="252" w:lineRule="auto"/>
        <w:ind w:left="330" w:right="117" w:firstLine="396"/>
        <w:jc w:val="both"/>
      </w:pPr>
      <w:r>
        <w:rPr>
          <w:w w:val="110"/>
        </w:rPr>
        <w:t>de la misma forma que Venezuela es estratégica para la alianza bolivariana para los Pueblos de américa (alba), teniendo 53% de su </w:t>
      </w:r>
      <w:r>
        <w:rPr>
          <w:w w:val="125"/>
        </w:rPr>
        <w:t>Pib, </w:t>
      </w:r>
      <w:r>
        <w:rPr>
          <w:w w:val="110"/>
        </w:rPr>
        <w:t>brasil es crucial para impulsar grandes escalas de integración en </w:t>
      </w:r>
      <w:r>
        <w:rPr>
          <w:w w:val="139"/>
        </w:rPr>
        <w:t>a</w:t>
      </w:r>
      <w:r>
        <w:rPr>
          <w:w w:val="111"/>
        </w:rPr>
        <w:t>mérica</w:t>
      </w:r>
      <w:r>
        <w:rPr>
          <w:spacing w:val="20"/>
        </w:rPr>
        <w:t> </w:t>
      </w:r>
      <w:r>
        <w:rPr>
          <w:w w:val="107"/>
        </w:rPr>
        <w:t>del</w:t>
      </w:r>
      <w:r>
        <w:rPr>
          <w:spacing w:val="20"/>
        </w:rPr>
        <w:t> </w:t>
      </w:r>
      <w:r>
        <w:rPr>
          <w:w w:val="149"/>
        </w:rPr>
        <w:t>s</w:t>
      </w:r>
      <w:r>
        <w:rPr>
          <w:w w:val="109"/>
        </w:rPr>
        <w:t>ur</w:t>
      </w:r>
      <w:r>
        <w:rPr>
          <w:spacing w:val="20"/>
        </w:rPr>
        <w:t> </w:t>
      </w:r>
      <w:r>
        <w:rPr>
          <w:w w:val="105"/>
        </w:rPr>
        <w:t>y</w:t>
      </w:r>
      <w:r>
        <w:rPr>
          <w:spacing w:val="20"/>
        </w:rPr>
        <w:t> </w:t>
      </w:r>
      <w:r>
        <w:rPr>
          <w:w w:val="243"/>
        </w:rPr>
        <w:t>l</w:t>
      </w:r>
      <w:r>
        <w:rPr>
          <w:w w:val="113"/>
        </w:rPr>
        <w:t>atina,</w:t>
      </w:r>
      <w:r>
        <w:rPr>
          <w:spacing w:val="20"/>
        </w:rPr>
        <w:t> </w:t>
      </w:r>
      <w:r>
        <w:rPr>
          <w:w w:val="110"/>
        </w:rPr>
        <w:t>así</w:t>
      </w:r>
      <w:r>
        <w:rPr>
          <w:spacing w:val="20"/>
        </w:rPr>
        <w:t> </w:t>
      </w:r>
      <w:r>
        <w:rPr>
          <w:w w:val="112"/>
        </w:rPr>
        <w:t>como</w:t>
      </w:r>
      <w:r>
        <w:rPr>
          <w:spacing w:val="20"/>
        </w:rPr>
        <w:t> </w:t>
      </w:r>
      <w:r>
        <w:rPr>
          <w:w w:val="109"/>
        </w:rPr>
        <w:t>para</w:t>
      </w:r>
      <w:r>
        <w:rPr>
          <w:spacing w:val="20"/>
        </w:rPr>
        <w:t> </w:t>
      </w:r>
      <w:r>
        <w:rPr>
          <w:w w:val="110"/>
        </w:rPr>
        <w:t>articularlas</w:t>
      </w:r>
      <w:r>
        <w:rPr>
          <w:spacing w:val="20"/>
        </w:rPr>
        <w:t> </w:t>
      </w:r>
      <w:r>
        <w:rPr>
          <w:w w:val="112"/>
        </w:rPr>
        <w:t>a</w:t>
      </w:r>
      <w:r>
        <w:rPr>
          <w:spacing w:val="20"/>
        </w:rPr>
        <w:t> </w:t>
      </w:r>
      <w:r>
        <w:rPr>
          <w:w w:val="108"/>
        </w:rPr>
        <w:t>los</w:t>
      </w:r>
      <w:r>
        <w:rPr>
          <w:spacing w:val="20"/>
        </w:rPr>
        <w:t> </w:t>
      </w:r>
      <w:r>
        <w:rPr>
          <w:w w:val="152"/>
        </w:rPr>
        <w:t>bri</w:t>
      </w:r>
      <w:r>
        <w:rPr>
          <w:w w:val="124"/>
        </w:rPr>
        <w:t>C</w:t>
      </w:r>
      <w:r>
        <w:rPr>
          <w:w w:val="149"/>
        </w:rPr>
        <w:t>s</w:t>
      </w:r>
      <w:r>
        <w:rPr>
          <w:w w:val="138"/>
        </w:rPr>
        <w:t>.</w:t>
      </w:r>
      <w:r>
        <w:rPr>
          <w:spacing w:val="20"/>
        </w:rPr>
        <w:t> </w:t>
      </w:r>
      <w:r>
        <w:rPr>
          <w:w w:val="122"/>
        </w:rPr>
        <w:t>El </w:t>
      </w:r>
      <w:r>
        <w:rPr>
          <w:w w:val="110"/>
        </w:rPr>
        <w:t>atraso en la construcción de instrumentos supranacionales de </w:t>
      </w:r>
      <w:r>
        <w:rPr>
          <w:spacing w:val="-3"/>
          <w:w w:val="110"/>
        </w:rPr>
        <w:t>gober- </w:t>
      </w:r>
      <w:r>
        <w:rPr>
          <w:w w:val="110"/>
        </w:rPr>
        <w:t>nabilidad, en particular en la promoción de una arquitectura finan- ciera regional capaz de inducir un nuevo patrón productivo regional, desperdicia una ventana de oportunidades que se abre en el</w:t>
      </w:r>
      <w:r>
        <w:rPr>
          <w:spacing w:val="-13"/>
          <w:w w:val="110"/>
        </w:rPr>
        <w:t> </w:t>
      </w:r>
      <w:r>
        <w:rPr>
          <w:w w:val="110"/>
        </w:rPr>
        <w:t>escenario internacional para la afirmación de la región. En la ausencia de un nuevo</w:t>
      </w:r>
      <w:r>
        <w:rPr>
          <w:spacing w:val="-6"/>
          <w:w w:val="110"/>
        </w:rPr>
        <w:t> </w:t>
      </w:r>
      <w:r>
        <w:rPr>
          <w:w w:val="110"/>
        </w:rPr>
        <w:t>arreglo</w:t>
      </w:r>
      <w:r>
        <w:rPr>
          <w:spacing w:val="-6"/>
          <w:w w:val="110"/>
        </w:rPr>
        <w:t> </w:t>
      </w:r>
      <w:r>
        <w:rPr>
          <w:w w:val="110"/>
        </w:rPr>
        <w:t>productivo</w:t>
      </w:r>
      <w:r>
        <w:rPr>
          <w:spacing w:val="-6"/>
          <w:w w:val="110"/>
        </w:rPr>
        <w:t> </w:t>
      </w:r>
      <w:r>
        <w:rPr>
          <w:w w:val="110"/>
        </w:rPr>
        <w:t>que</w:t>
      </w:r>
      <w:r>
        <w:rPr>
          <w:spacing w:val="-6"/>
          <w:w w:val="110"/>
        </w:rPr>
        <w:t> </w:t>
      </w:r>
      <w:r>
        <w:rPr>
          <w:w w:val="110"/>
        </w:rPr>
        <w:t>promueva</w:t>
      </w:r>
      <w:r>
        <w:rPr>
          <w:spacing w:val="-6"/>
          <w:w w:val="110"/>
        </w:rPr>
        <w:t> </w:t>
      </w:r>
      <w:r>
        <w:rPr>
          <w:w w:val="110"/>
        </w:rPr>
        <w:t>el</w:t>
      </w:r>
      <w:r>
        <w:rPr>
          <w:spacing w:val="-6"/>
          <w:w w:val="110"/>
        </w:rPr>
        <w:t> </w:t>
      </w:r>
      <w:r>
        <w:rPr>
          <w:w w:val="110"/>
        </w:rPr>
        <w:t>desarrollo</w:t>
      </w:r>
      <w:r>
        <w:rPr>
          <w:spacing w:val="-6"/>
          <w:w w:val="110"/>
        </w:rPr>
        <w:t> </w:t>
      </w:r>
      <w:r>
        <w:rPr>
          <w:w w:val="110"/>
        </w:rPr>
        <w:t>científico-tecno- lógico e industrial articulado a la utilización de los recursos estratégi- </w:t>
      </w:r>
      <w:r>
        <w:rPr>
          <w:w w:val="110"/>
        </w:rPr>
        <w:t>cos</w:t>
      </w:r>
      <w:r>
        <w:rPr>
          <w:spacing w:val="7"/>
        </w:rPr>
        <w:t> </w:t>
      </w:r>
      <w:r>
        <w:rPr>
          <w:w w:val="107"/>
        </w:rPr>
        <w:t>de</w:t>
      </w:r>
      <w:r>
        <w:rPr>
          <w:spacing w:val="7"/>
        </w:rPr>
        <w:t> </w:t>
      </w:r>
      <w:r>
        <w:rPr>
          <w:w w:val="111"/>
        </w:rPr>
        <w:t>la</w:t>
      </w:r>
      <w:r>
        <w:rPr>
          <w:spacing w:val="7"/>
        </w:rPr>
        <w:t> </w:t>
      </w:r>
      <w:r>
        <w:rPr>
          <w:w w:val="111"/>
        </w:rPr>
        <w:t>región,</w:t>
      </w:r>
      <w:r>
        <w:rPr>
          <w:spacing w:val="7"/>
        </w:rPr>
        <w:t> </w:t>
      </w:r>
      <w:r>
        <w:rPr>
          <w:w w:val="139"/>
        </w:rPr>
        <w:t>a</w:t>
      </w:r>
      <w:r>
        <w:rPr>
          <w:w w:val="111"/>
        </w:rPr>
        <w:t>mérica</w:t>
      </w:r>
      <w:r>
        <w:rPr>
          <w:spacing w:val="7"/>
        </w:rPr>
        <w:t> </w:t>
      </w:r>
      <w:r>
        <w:rPr>
          <w:w w:val="243"/>
        </w:rPr>
        <w:t>l</w:t>
      </w:r>
      <w:r>
        <w:rPr>
          <w:w w:val="111"/>
        </w:rPr>
        <w:t>atina</w:t>
      </w:r>
      <w:r>
        <w:rPr>
          <w:spacing w:val="7"/>
        </w:rPr>
        <w:t> </w:t>
      </w:r>
      <w:r>
        <w:rPr>
          <w:w w:val="109"/>
        </w:rPr>
        <w:t>podrá</w:t>
      </w:r>
      <w:r>
        <w:rPr>
          <w:spacing w:val="7"/>
        </w:rPr>
        <w:t> </w:t>
      </w:r>
      <w:r>
        <w:rPr>
          <w:w w:val="109"/>
        </w:rPr>
        <w:t>sufrir</w:t>
      </w:r>
      <w:r>
        <w:rPr>
          <w:spacing w:val="7"/>
        </w:rPr>
        <w:t> </w:t>
      </w:r>
      <w:r>
        <w:rPr>
          <w:w w:val="108"/>
        </w:rPr>
        <w:t>en</w:t>
      </w:r>
      <w:r>
        <w:rPr>
          <w:spacing w:val="7"/>
        </w:rPr>
        <w:t> </w:t>
      </w:r>
      <w:r>
        <w:rPr>
          <w:w w:val="108"/>
        </w:rPr>
        <w:t>los</w:t>
      </w:r>
      <w:r>
        <w:rPr>
          <w:spacing w:val="7"/>
        </w:rPr>
        <w:t> </w:t>
      </w:r>
      <w:r>
        <w:rPr>
          <w:w w:val="110"/>
        </w:rPr>
        <w:t>próximos</w:t>
      </w:r>
      <w:r>
        <w:rPr>
          <w:spacing w:val="7"/>
        </w:rPr>
        <w:t> </w:t>
      </w:r>
      <w:r>
        <w:rPr>
          <w:w w:val="110"/>
        </w:rPr>
        <w:t>años</w:t>
      </w:r>
      <w:r>
        <w:rPr>
          <w:spacing w:val="7"/>
        </w:rPr>
        <w:t> </w:t>
      </w:r>
      <w:r>
        <w:rPr>
          <w:w w:val="109"/>
        </w:rPr>
        <w:t>las </w:t>
      </w:r>
      <w:r>
        <w:rPr>
          <w:w w:val="110"/>
        </w:rPr>
        <w:t>consecuencias de una re-primarización que viene avanzando sobre su pauta</w:t>
      </w:r>
      <w:r>
        <w:rPr>
          <w:spacing w:val="10"/>
          <w:w w:val="110"/>
        </w:rPr>
        <w:t> </w:t>
      </w:r>
      <w:r>
        <w:rPr>
          <w:w w:val="110"/>
        </w:rPr>
        <w:t>exportadora.</w:t>
      </w:r>
    </w:p>
    <w:p>
      <w:pPr>
        <w:pStyle w:val="BodyText"/>
        <w:spacing w:line="252" w:lineRule="auto"/>
        <w:ind w:left="330" w:right="118" w:firstLine="397"/>
        <w:jc w:val="both"/>
      </w:pPr>
      <w:r>
        <w:rPr>
          <w:w w:val="110"/>
        </w:rPr>
        <w:t>Este nuevo arreglo productivo deberá estar centrado en las em- presas estatales, en la cooperación internacional con los </w:t>
      </w:r>
      <w:r>
        <w:rPr>
          <w:w w:val="125"/>
        </w:rPr>
        <w:t>briCs, </w:t>
      </w:r>
      <w:r>
        <w:rPr>
          <w:w w:val="110"/>
        </w:rPr>
        <w:t>en     la formación de </w:t>
      </w:r>
      <w:r>
        <w:rPr>
          <w:i/>
          <w:w w:val="110"/>
        </w:rPr>
        <w:t>joint-ventures </w:t>
      </w:r>
      <w:r>
        <w:rPr>
          <w:w w:val="110"/>
        </w:rPr>
        <w:t>con fuerte participación estatal para transferencia de tecnología y en el fortalecimiento de las pequeñas y medianas empresas. Hay un amplio espacio potencial de aproxima- </w:t>
      </w:r>
      <w:r>
        <w:rPr>
          <w:w w:val="112"/>
        </w:rPr>
        <w:t>ción</w:t>
      </w:r>
      <w:r>
        <w:rPr/>
        <w:t> </w:t>
      </w:r>
      <w:r>
        <w:rPr>
          <w:spacing w:val="-5"/>
        </w:rPr>
        <w:t> </w:t>
      </w:r>
      <w:r>
        <w:rPr>
          <w:w w:val="106"/>
        </w:rPr>
        <w:t>entre</w:t>
      </w:r>
      <w:r>
        <w:rPr/>
        <w:t> </w:t>
      </w:r>
      <w:r>
        <w:rPr>
          <w:spacing w:val="-5"/>
        </w:rPr>
        <w:t> </w:t>
      </w:r>
      <w:r>
        <w:rPr>
          <w:w w:val="115"/>
        </w:rPr>
        <w:t>China</w:t>
      </w:r>
      <w:r>
        <w:rPr/>
        <w:t> </w:t>
      </w:r>
      <w:r>
        <w:rPr>
          <w:spacing w:val="-5"/>
        </w:rPr>
        <w:t> </w:t>
      </w:r>
      <w:r>
        <w:rPr>
          <w:w w:val="105"/>
        </w:rPr>
        <w:t>y</w:t>
      </w:r>
      <w:r>
        <w:rPr/>
        <w:t> </w:t>
      </w:r>
      <w:r>
        <w:rPr>
          <w:spacing w:val="-5"/>
        </w:rPr>
        <w:t> </w:t>
      </w:r>
      <w:r>
        <w:rPr>
          <w:w w:val="139"/>
        </w:rPr>
        <w:t>a</w:t>
      </w:r>
      <w:r>
        <w:rPr>
          <w:w w:val="111"/>
        </w:rPr>
        <w:t>mérica</w:t>
      </w:r>
      <w:r>
        <w:rPr/>
        <w:t> </w:t>
      </w:r>
      <w:r>
        <w:rPr>
          <w:spacing w:val="-5"/>
        </w:rPr>
        <w:t> </w:t>
      </w:r>
      <w:r>
        <w:rPr>
          <w:w w:val="243"/>
        </w:rPr>
        <w:t>l</w:t>
      </w:r>
      <w:r>
        <w:rPr>
          <w:w w:val="111"/>
        </w:rPr>
        <w:t>atina</w:t>
      </w:r>
      <w:r>
        <w:rPr/>
        <w:t> </w:t>
      </w:r>
      <w:r>
        <w:rPr>
          <w:spacing w:val="-5"/>
        </w:rPr>
        <w:t> </w:t>
      </w:r>
      <w:r>
        <w:rPr>
          <w:w w:val="109"/>
        </w:rPr>
        <w:t>para</w:t>
      </w:r>
      <w:r>
        <w:rPr/>
        <w:t> </w:t>
      </w:r>
      <w:r>
        <w:rPr>
          <w:spacing w:val="-5"/>
        </w:rPr>
        <w:t> </w:t>
      </w:r>
      <w:r>
        <w:rPr>
          <w:w w:val="111"/>
        </w:rPr>
        <w:t>la</w:t>
      </w:r>
      <w:r>
        <w:rPr/>
        <w:t> </w:t>
      </w:r>
      <w:r>
        <w:rPr>
          <w:spacing w:val="-5"/>
        </w:rPr>
        <w:t> </w:t>
      </w:r>
      <w:r>
        <w:rPr>
          <w:w w:val="110"/>
        </w:rPr>
        <w:t>cooperación</w:t>
      </w:r>
      <w:r>
        <w:rPr/>
        <w:t> </w:t>
      </w:r>
      <w:r>
        <w:rPr>
          <w:spacing w:val="-5"/>
        </w:rPr>
        <w:t> </w:t>
      </w:r>
      <w:r>
        <w:rPr>
          <w:w w:val="111"/>
        </w:rPr>
        <w:t>tecnológica </w:t>
      </w:r>
      <w:r>
        <w:rPr>
          <w:w w:val="110"/>
        </w:rPr>
        <w:t>y científica, que signifique la elevación del valor agregado produci- </w:t>
      </w:r>
      <w:r>
        <w:rPr>
          <w:w w:val="109"/>
        </w:rPr>
        <w:t>do</w:t>
      </w:r>
      <w:r>
        <w:rPr/>
        <w:t> </w:t>
      </w:r>
      <w:r>
        <w:rPr>
          <w:spacing w:val="-7"/>
        </w:rPr>
        <w:t> </w:t>
      </w:r>
      <w:r>
        <w:rPr>
          <w:w w:val="108"/>
        </w:rPr>
        <w:t>en</w:t>
      </w:r>
      <w:r>
        <w:rPr/>
        <w:t> </w:t>
      </w:r>
      <w:r>
        <w:rPr>
          <w:spacing w:val="-7"/>
        </w:rPr>
        <w:t> </w:t>
      </w:r>
      <w:r>
        <w:rPr>
          <w:w w:val="111"/>
        </w:rPr>
        <w:t>ambas</w:t>
      </w:r>
      <w:r>
        <w:rPr/>
        <w:t> </w:t>
      </w:r>
      <w:r>
        <w:rPr>
          <w:spacing w:val="-7"/>
        </w:rPr>
        <w:t> </w:t>
      </w:r>
      <w:r>
        <w:rPr>
          <w:w w:val="109"/>
        </w:rPr>
        <w:t>regiones.</w:t>
      </w:r>
      <w:r>
        <w:rPr/>
        <w:t> </w:t>
      </w:r>
      <w:r>
        <w:rPr>
          <w:spacing w:val="-7"/>
        </w:rPr>
        <w:t> </w:t>
      </w:r>
      <w:r>
        <w:rPr>
          <w:w w:val="243"/>
        </w:rPr>
        <w:t>l</w:t>
      </w:r>
      <w:r>
        <w:rPr>
          <w:w w:val="109"/>
        </w:rPr>
        <w:t>as</w:t>
      </w:r>
      <w:r>
        <w:rPr/>
        <w:t> </w:t>
      </w:r>
      <w:r>
        <w:rPr>
          <w:spacing w:val="-7"/>
        </w:rPr>
        <w:t> </w:t>
      </w:r>
      <w:r>
        <w:rPr>
          <w:w w:val="108"/>
        </w:rPr>
        <w:t>necesidades</w:t>
      </w:r>
      <w:r>
        <w:rPr/>
        <w:t> </w:t>
      </w:r>
      <w:r>
        <w:rPr>
          <w:spacing w:val="-7"/>
        </w:rPr>
        <w:t> </w:t>
      </w:r>
      <w:r>
        <w:rPr>
          <w:w w:val="107"/>
        </w:rPr>
        <w:t>de</w:t>
      </w:r>
      <w:r>
        <w:rPr/>
        <w:t> </w:t>
      </w:r>
      <w:r>
        <w:rPr>
          <w:spacing w:val="-7"/>
        </w:rPr>
        <w:t> </w:t>
      </w:r>
      <w:r>
        <w:rPr>
          <w:w w:val="115"/>
        </w:rPr>
        <w:t>China</w:t>
      </w:r>
      <w:r>
        <w:rPr/>
        <w:t> </w:t>
      </w:r>
      <w:r>
        <w:rPr>
          <w:spacing w:val="-7"/>
        </w:rPr>
        <w:t> </w:t>
      </w:r>
      <w:r>
        <w:rPr>
          <w:w w:val="107"/>
        </w:rPr>
        <w:t>de</w:t>
      </w:r>
      <w:r>
        <w:rPr/>
        <w:t> </w:t>
      </w:r>
      <w:r>
        <w:rPr>
          <w:spacing w:val="-7"/>
        </w:rPr>
        <w:t> </w:t>
      </w:r>
      <w:r>
        <w:rPr>
          <w:w w:val="110"/>
        </w:rPr>
        <w:t>buscar</w:t>
      </w:r>
      <w:r>
        <w:rPr/>
        <w:t> </w:t>
      </w:r>
      <w:r>
        <w:rPr>
          <w:spacing w:val="-7"/>
        </w:rPr>
        <w:t> </w:t>
      </w:r>
      <w:r>
        <w:rPr>
          <w:w w:val="112"/>
        </w:rPr>
        <w:t>una</w:t>
      </w:r>
      <w:r>
        <w:rPr/>
        <w:t> </w:t>
      </w:r>
      <w:r>
        <w:rPr>
          <w:spacing w:val="-7"/>
        </w:rPr>
        <w:t> </w:t>
      </w:r>
      <w:r>
        <w:rPr>
          <w:w w:val="105"/>
        </w:rPr>
        <w:t>e</w:t>
      </w:r>
      <w:r>
        <w:rPr>
          <w:spacing w:val="-1"/>
          <w:w w:val="105"/>
        </w:rPr>
        <w:t>s</w:t>
      </w:r>
      <w:r>
        <w:rPr>
          <w:w w:val="102"/>
        </w:rPr>
        <w:t>- </w:t>
      </w:r>
      <w:r>
        <w:rPr>
          <w:w w:val="110"/>
        </w:rPr>
        <w:t>pecialización en el sector de los servicios disminuyendo su nivel de </w:t>
      </w:r>
      <w:r>
        <w:rPr>
          <w:w w:val="112"/>
        </w:rPr>
        <w:t>industrialización,</w:t>
      </w:r>
      <w:r>
        <w:rPr>
          <w:spacing w:val="20"/>
        </w:rPr>
        <w:t> </w:t>
      </w:r>
      <w:r>
        <w:rPr>
          <w:w w:val="110"/>
        </w:rPr>
        <w:t>o</w:t>
      </w:r>
      <w:r>
        <w:rPr>
          <w:spacing w:val="20"/>
        </w:rPr>
        <w:t> </w:t>
      </w:r>
      <w:r>
        <w:rPr>
          <w:w w:val="107"/>
        </w:rPr>
        <w:t>de</w:t>
      </w:r>
      <w:r>
        <w:rPr>
          <w:spacing w:val="20"/>
        </w:rPr>
        <w:t> </w:t>
      </w:r>
      <w:r>
        <w:rPr>
          <w:w w:val="139"/>
        </w:rPr>
        <w:t>a</w:t>
      </w:r>
      <w:r>
        <w:rPr>
          <w:w w:val="111"/>
        </w:rPr>
        <w:t>mérica</w:t>
      </w:r>
      <w:r>
        <w:rPr>
          <w:spacing w:val="20"/>
        </w:rPr>
        <w:t> </w:t>
      </w:r>
      <w:r>
        <w:rPr>
          <w:w w:val="243"/>
        </w:rPr>
        <w:t>l</w:t>
      </w:r>
      <w:r>
        <w:rPr>
          <w:w w:val="111"/>
        </w:rPr>
        <w:t>atina</w:t>
      </w:r>
      <w:r>
        <w:rPr>
          <w:spacing w:val="20"/>
        </w:rPr>
        <w:t> </w:t>
      </w:r>
      <w:r>
        <w:rPr>
          <w:w w:val="107"/>
        </w:rPr>
        <w:t>de</w:t>
      </w:r>
      <w:r>
        <w:rPr>
          <w:spacing w:val="20"/>
        </w:rPr>
        <w:t> </w:t>
      </w:r>
      <w:r>
        <w:rPr>
          <w:w w:val="108"/>
        </w:rPr>
        <w:t>retomar</w:t>
      </w:r>
      <w:r>
        <w:rPr>
          <w:spacing w:val="20"/>
        </w:rPr>
        <w:t> </w:t>
      </w:r>
      <w:r>
        <w:rPr>
          <w:w w:val="109"/>
        </w:rPr>
        <w:t>su</w:t>
      </w:r>
      <w:r>
        <w:rPr>
          <w:spacing w:val="20"/>
        </w:rPr>
        <w:t> </w:t>
      </w:r>
      <w:r>
        <w:rPr>
          <w:w w:val="108"/>
        </w:rPr>
        <w:t>proyecto</w:t>
      </w:r>
      <w:r>
        <w:rPr>
          <w:spacing w:val="20"/>
        </w:rPr>
        <w:t> </w:t>
      </w:r>
      <w:r>
        <w:rPr>
          <w:w w:val="107"/>
        </w:rPr>
        <w:t>de</w:t>
      </w:r>
      <w:r>
        <w:rPr>
          <w:spacing w:val="20"/>
        </w:rPr>
        <w:t> </w:t>
      </w:r>
      <w:r>
        <w:rPr>
          <w:w w:val="113"/>
        </w:rPr>
        <w:t>i</w:t>
      </w:r>
      <w:r>
        <w:rPr>
          <w:spacing w:val="-1"/>
          <w:w w:val="113"/>
        </w:rPr>
        <w:t>n</w:t>
      </w:r>
      <w:r>
        <w:rPr>
          <w:w w:val="102"/>
        </w:rPr>
        <w:t>-</w:t>
      </w:r>
    </w:p>
    <w:p>
      <w:pPr>
        <w:spacing w:after="0" w:line="252" w:lineRule="auto"/>
        <w:jc w:val="both"/>
        <w:sectPr>
          <w:footerReference w:type="default" r:id="rId91"/>
          <w:footerReference w:type="even" r:id="rId92"/>
          <w:pgSz w:w="8790" w:h="12760"/>
          <w:pgMar w:footer="725" w:header="697" w:top="880" w:bottom="920" w:left="1200" w:right="900"/>
        </w:sectPr>
      </w:pPr>
    </w:p>
    <w:p>
      <w:pPr>
        <w:pStyle w:val="BodyText"/>
        <w:spacing w:before="9"/>
        <w:rPr>
          <w:sz w:val="28"/>
        </w:rPr>
      </w:pPr>
    </w:p>
    <w:p>
      <w:pPr>
        <w:pStyle w:val="BodyText"/>
        <w:spacing w:line="252" w:lineRule="auto" w:before="73"/>
        <w:ind w:left="100" w:right="328"/>
        <w:jc w:val="both"/>
      </w:pPr>
      <w:r>
        <w:rPr>
          <w:w w:val="110"/>
        </w:rPr>
        <w:t>dustrialización interrumpida por la crisis de la deuda externa en los años ochenta y por el neoliberalismo, sumadas las metas conjuntas de quebrar barreras y monopolios tecnológicos mundiales pueden cons- </w:t>
      </w:r>
      <w:r>
        <w:rPr>
          <w:w w:val="110"/>
        </w:rPr>
        <w:t>tituir</w:t>
      </w:r>
      <w:r>
        <w:rPr>
          <w:spacing w:val="4"/>
        </w:rPr>
        <w:t> </w:t>
      </w:r>
      <w:r>
        <w:rPr>
          <w:w w:val="111"/>
        </w:rPr>
        <w:t>campos</w:t>
      </w:r>
      <w:r>
        <w:rPr>
          <w:spacing w:val="4"/>
        </w:rPr>
        <w:t> </w:t>
      </w:r>
      <w:r>
        <w:rPr>
          <w:w w:val="107"/>
        </w:rPr>
        <w:t>de</w:t>
      </w:r>
      <w:r>
        <w:rPr>
          <w:spacing w:val="4"/>
        </w:rPr>
        <w:t> </w:t>
      </w:r>
      <w:r>
        <w:rPr>
          <w:w w:val="111"/>
        </w:rPr>
        <w:t>aproximación</w:t>
      </w:r>
      <w:r>
        <w:rPr>
          <w:spacing w:val="4"/>
        </w:rPr>
        <w:t> </w:t>
      </w:r>
      <w:r>
        <w:rPr>
          <w:w w:val="109"/>
        </w:rPr>
        <w:t>concretos</w:t>
      </w:r>
      <w:r>
        <w:rPr>
          <w:spacing w:val="4"/>
        </w:rPr>
        <w:t> </w:t>
      </w:r>
      <w:r>
        <w:rPr>
          <w:w w:val="106"/>
        </w:rPr>
        <w:t>entre</w:t>
      </w:r>
      <w:r>
        <w:rPr>
          <w:spacing w:val="4"/>
        </w:rPr>
        <w:t> </w:t>
      </w:r>
      <w:r>
        <w:rPr>
          <w:w w:val="134"/>
        </w:rPr>
        <w:t>b</w:t>
      </w:r>
      <w:r>
        <w:rPr>
          <w:w w:val="112"/>
        </w:rPr>
        <w:t>rasil,</w:t>
      </w:r>
      <w:r>
        <w:rPr>
          <w:spacing w:val="4"/>
        </w:rPr>
        <w:t> </w:t>
      </w:r>
      <w:r>
        <w:rPr>
          <w:w w:val="139"/>
        </w:rPr>
        <w:t>a</w:t>
      </w:r>
      <w:r>
        <w:rPr>
          <w:w w:val="111"/>
        </w:rPr>
        <w:t>mérica</w:t>
      </w:r>
      <w:r>
        <w:rPr>
          <w:spacing w:val="4"/>
        </w:rPr>
        <w:t> </w:t>
      </w:r>
      <w:r>
        <w:rPr>
          <w:w w:val="243"/>
        </w:rPr>
        <w:t>l</w:t>
      </w:r>
      <w:r>
        <w:rPr>
          <w:w w:val="111"/>
        </w:rPr>
        <w:t>atina </w:t>
      </w:r>
      <w:r>
        <w:rPr>
          <w:w w:val="110"/>
        </w:rPr>
        <w:t>y China. sin embargo, la efectividad de este proyecto depende de la ruptura con las estructuras de la dependencia y la superexplotación del trabajo que limitan la potencialidad y capacidad productiva de los pueblos latinoamericanos para actuar como uno de los pilares de un mundo multicéntrico y de una articulación más profunda de brasil  con la integración regional para proyectarse en los </w:t>
      </w:r>
      <w:r>
        <w:rPr>
          <w:w w:val="125"/>
        </w:rPr>
        <w:t>briCs, </w:t>
      </w:r>
      <w:r>
        <w:rPr>
          <w:w w:val="110"/>
        </w:rPr>
        <w:t>impulsan- </w:t>
      </w:r>
      <w:r>
        <w:rPr>
          <w:w w:val="109"/>
        </w:rPr>
        <w:t>do</w:t>
      </w:r>
      <w:r>
        <w:rPr/>
        <w:t> </w:t>
      </w:r>
      <w:r>
        <w:rPr>
          <w:spacing w:val="-8"/>
        </w:rPr>
        <w:t> </w:t>
      </w:r>
      <w:r>
        <w:rPr>
          <w:w w:val="111"/>
        </w:rPr>
        <w:t>consigo</w:t>
      </w:r>
      <w:r>
        <w:rPr/>
        <w:t> </w:t>
      </w:r>
      <w:r>
        <w:rPr>
          <w:spacing w:val="-8"/>
        </w:rPr>
        <w:t> </w:t>
      </w:r>
      <w:r>
        <w:rPr>
          <w:w w:val="112"/>
        </w:rPr>
        <w:t>a</w:t>
      </w:r>
      <w:r>
        <w:rPr/>
        <w:t> </w:t>
      </w:r>
      <w:r>
        <w:rPr>
          <w:spacing w:val="-8"/>
        </w:rPr>
        <w:t> </w:t>
      </w:r>
      <w:r>
        <w:rPr>
          <w:w w:val="139"/>
        </w:rPr>
        <w:t>a</w:t>
      </w:r>
      <w:r>
        <w:rPr>
          <w:w w:val="111"/>
        </w:rPr>
        <w:t>mérica</w:t>
      </w:r>
      <w:r>
        <w:rPr/>
        <w:t> </w:t>
      </w:r>
      <w:r>
        <w:rPr>
          <w:spacing w:val="-8"/>
        </w:rPr>
        <w:t> </w:t>
      </w:r>
      <w:r>
        <w:rPr>
          <w:w w:val="243"/>
        </w:rPr>
        <w:t>l</w:t>
      </w:r>
      <w:r>
        <w:rPr>
          <w:w w:val="113"/>
        </w:rPr>
        <w:t>atina.</w:t>
      </w:r>
      <w:r>
        <w:rPr/>
        <w:t> </w:t>
      </w:r>
      <w:r>
        <w:rPr>
          <w:spacing w:val="-8"/>
        </w:rPr>
        <w:t> </w:t>
      </w:r>
      <w:r>
        <w:rPr>
          <w:w w:val="113"/>
        </w:rPr>
        <w:t>Esto</w:t>
      </w:r>
      <w:r>
        <w:rPr/>
        <w:t> </w:t>
      </w:r>
      <w:r>
        <w:rPr>
          <w:spacing w:val="-8"/>
        </w:rPr>
        <w:t> </w:t>
      </w:r>
      <w:r>
        <w:rPr>
          <w:w w:val="113"/>
        </w:rPr>
        <w:t>implica</w:t>
      </w:r>
      <w:r>
        <w:rPr/>
        <w:t> </w:t>
      </w:r>
      <w:r>
        <w:rPr>
          <w:spacing w:val="-8"/>
        </w:rPr>
        <w:t> </w:t>
      </w:r>
      <w:r>
        <w:rPr>
          <w:w w:val="108"/>
        </w:rPr>
        <w:t>romper</w:t>
      </w:r>
      <w:r>
        <w:rPr/>
        <w:t> </w:t>
      </w:r>
      <w:r>
        <w:rPr>
          <w:spacing w:val="-8"/>
        </w:rPr>
        <w:t> </w:t>
      </w:r>
      <w:r>
        <w:rPr>
          <w:w w:val="112"/>
        </w:rPr>
        <w:t>con</w:t>
      </w:r>
      <w:r>
        <w:rPr/>
        <w:t> </w:t>
      </w:r>
      <w:r>
        <w:rPr>
          <w:spacing w:val="-8"/>
        </w:rPr>
        <w:t> </w:t>
      </w:r>
      <w:r>
        <w:rPr>
          <w:w w:val="111"/>
        </w:rPr>
        <w:t>la</w:t>
      </w:r>
      <w:r>
        <w:rPr/>
        <w:t> </w:t>
      </w:r>
      <w:r>
        <w:rPr>
          <w:spacing w:val="-8"/>
        </w:rPr>
        <w:t> </w:t>
      </w:r>
      <w:r>
        <w:rPr>
          <w:w w:val="112"/>
        </w:rPr>
        <w:t>lógica</w:t>
      </w:r>
      <w:r>
        <w:rPr/>
        <w:t> </w:t>
      </w:r>
      <w:r>
        <w:rPr>
          <w:spacing w:val="-8"/>
        </w:rPr>
        <w:t> </w:t>
      </w:r>
      <w:r>
        <w:rPr>
          <w:w w:val="107"/>
        </w:rPr>
        <w:t>de </w:t>
      </w:r>
      <w:r>
        <w:rPr>
          <w:w w:val="110"/>
        </w:rPr>
        <w:t>la financiarización que compromete gran parte de los presupuestos públicos, establecer inversiones públicas masivas en educación, salud, ciencia y tecnología; y estructurar sectores productivos estratégicos bajo una fuerte dirección estatal y cooperación internacional para es- tablecer elevados niveles de transferencia de tecnología, de inversión en P&amp;d y de socialización del conocimiento en sistemas nacionales o regionales de</w:t>
      </w:r>
      <w:r>
        <w:rPr>
          <w:spacing w:val="23"/>
          <w:w w:val="110"/>
        </w:rPr>
        <w:t> </w:t>
      </w:r>
      <w:r>
        <w:rPr>
          <w:w w:val="110"/>
        </w:rPr>
        <w:t>innovación.</w:t>
      </w:r>
    </w:p>
    <w:p>
      <w:pPr>
        <w:pStyle w:val="BodyText"/>
        <w:spacing w:line="252" w:lineRule="auto"/>
        <w:ind w:left="100" w:right="328" w:firstLine="396"/>
        <w:jc w:val="both"/>
      </w:pPr>
      <w:r>
        <w:rPr>
          <w:spacing w:val="-3"/>
          <w:w w:val="110"/>
        </w:rPr>
        <w:t>todavía  </w:t>
      </w:r>
      <w:r>
        <w:rPr>
          <w:w w:val="110"/>
        </w:rPr>
        <w:t>el escenario internacional positivo de la primera déca-  da del siglo </w:t>
      </w:r>
      <w:r>
        <w:rPr>
          <w:w w:val="130"/>
        </w:rPr>
        <w:t>xxi </w:t>
      </w:r>
      <w:r>
        <w:rPr>
          <w:w w:val="110"/>
        </w:rPr>
        <w:t>se comienza a invertir en función de a) la caída de    los saldos comerciales latinoamericanos y  sudamericanos  a  partir  de 2011, fuertemente relacionados con la caída de los precios de las </w:t>
      </w:r>
      <w:r>
        <w:rPr>
          <w:i/>
          <w:w w:val="110"/>
        </w:rPr>
        <w:t>commodities</w:t>
      </w:r>
      <w:r>
        <w:rPr>
          <w:w w:val="110"/>
        </w:rPr>
        <w:t>, en particular de los precios del petróleo, motivada por  la extracción de gas de esquisto y por el aumento de la producción    de la organización de Países Exportadores de Petróleo (oPEP) para combatirla, con drásticos efectos sobre las naciones productoras de petróleo y sus derivados, como Venezuela, bolivia, </w:t>
      </w:r>
      <w:r>
        <w:rPr>
          <w:spacing w:val="-3"/>
          <w:w w:val="110"/>
        </w:rPr>
        <w:t>Ecuador,  </w:t>
      </w:r>
      <w:r>
        <w:rPr>
          <w:w w:val="110"/>
        </w:rPr>
        <w:t>México     y rusia; y b) de la elevación de las remesas de las ganancias y de        los pagos en servicios tecnológicos que resultaron del aumento de las entradas de capital extranjero a partir de 2010. </w:t>
      </w:r>
      <w:r>
        <w:rPr>
          <w:spacing w:val="-7"/>
          <w:w w:val="110"/>
        </w:rPr>
        <w:t>tal </w:t>
      </w:r>
      <w:r>
        <w:rPr>
          <w:w w:val="110"/>
        </w:rPr>
        <w:t>escenario crea un ambiente de vulnerabilidad externa con la generación de fuertes défi- cits en la balanza de transacciones corrientes, sustentados por la en- trada de capitales extranjeros, presionando las reservas monetarias, particularmente en américa del </w:t>
      </w:r>
      <w:r>
        <w:rPr>
          <w:spacing w:val="-6"/>
          <w:w w:val="110"/>
        </w:rPr>
        <w:t>sur, </w:t>
      </w:r>
      <w:r>
        <w:rPr>
          <w:w w:val="110"/>
        </w:rPr>
        <w:t>donde son poco representativas las remesas de migrantes. </w:t>
      </w:r>
      <w:r>
        <w:rPr>
          <w:spacing w:val="-7"/>
          <w:w w:val="110"/>
        </w:rPr>
        <w:t>tal </w:t>
      </w:r>
      <w:r>
        <w:rPr>
          <w:w w:val="110"/>
        </w:rPr>
        <w:t>coyuntura tiende a actuar sobre los go- biernos de centro-izquierda y de izquierda en la región, restringiendo el espacio del centrismo o el margen de maniobra para atender a di- </w:t>
      </w:r>
      <w:r>
        <w:rPr>
          <w:w w:val="105"/>
        </w:rPr>
        <w:t>versos</w:t>
      </w:r>
      <w:r>
        <w:rPr>
          <w:spacing w:val="39"/>
          <w:w w:val="105"/>
        </w:rPr>
        <w:t> </w:t>
      </w:r>
      <w:r>
        <w:rPr>
          <w:w w:val="105"/>
        </w:rPr>
        <w:t>intereses.</w:t>
      </w:r>
    </w:p>
    <w:p>
      <w:pPr>
        <w:pStyle w:val="BodyText"/>
        <w:spacing w:line="252" w:lineRule="auto"/>
        <w:ind w:left="100" w:right="328" w:firstLine="396"/>
        <w:jc w:val="both"/>
      </w:pPr>
      <w:r>
        <w:rPr>
          <w:w w:val="122"/>
        </w:rPr>
        <w:t>El</w:t>
      </w:r>
      <w:r>
        <w:rPr/>
        <w:t> </w:t>
      </w:r>
      <w:r>
        <w:rPr>
          <w:spacing w:val="-13"/>
        </w:rPr>
        <w:t> </w:t>
      </w:r>
      <w:r>
        <w:rPr>
          <w:w w:val="109"/>
        </w:rPr>
        <w:t>escenario</w:t>
      </w:r>
      <w:r>
        <w:rPr/>
        <w:t> </w:t>
      </w:r>
      <w:r>
        <w:rPr>
          <w:spacing w:val="-13"/>
        </w:rPr>
        <w:t> </w:t>
      </w:r>
      <w:r>
        <w:rPr>
          <w:w w:val="110"/>
        </w:rPr>
        <w:t>internacional</w:t>
      </w:r>
      <w:r>
        <w:rPr/>
        <w:t> </w:t>
      </w:r>
      <w:r>
        <w:rPr>
          <w:spacing w:val="-13"/>
        </w:rPr>
        <w:t> </w:t>
      </w:r>
      <w:r>
        <w:rPr>
          <w:w w:val="109"/>
        </w:rPr>
        <w:t>para</w:t>
      </w:r>
      <w:r>
        <w:rPr/>
        <w:t> </w:t>
      </w:r>
      <w:r>
        <w:rPr>
          <w:spacing w:val="-13"/>
        </w:rPr>
        <w:t> </w:t>
      </w:r>
      <w:r>
        <w:rPr>
          <w:w w:val="139"/>
        </w:rPr>
        <w:t>a</w:t>
      </w:r>
      <w:r>
        <w:rPr>
          <w:w w:val="111"/>
        </w:rPr>
        <w:t>mérica</w:t>
      </w:r>
      <w:r>
        <w:rPr/>
        <w:t> </w:t>
      </w:r>
      <w:r>
        <w:rPr>
          <w:spacing w:val="-13"/>
        </w:rPr>
        <w:t> </w:t>
      </w:r>
      <w:r>
        <w:rPr>
          <w:w w:val="243"/>
        </w:rPr>
        <w:t>l</w:t>
      </w:r>
      <w:r>
        <w:rPr>
          <w:w w:val="113"/>
        </w:rPr>
        <w:t>atina,</w:t>
      </w:r>
      <w:r>
        <w:rPr/>
        <w:t> </w:t>
      </w:r>
      <w:r>
        <w:rPr>
          <w:spacing w:val="-13"/>
        </w:rPr>
        <w:t> </w:t>
      </w:r>
      <w:r>
        <w:rPr>
          <w:w w:val="108"/>
        </w:rPr>
        <w:t>en</w:t>
      </w:r>
      <w:r>
        <w:rPr/>
        <w:t> </w:t>
      </w:r>
      <w:r>
        <w:rPr>
          <w:spacing w:val="-13"/>
        </w:rPr>
        <w:t> </w:t>
      </w:r>
      <w:r>
        <w:rPr>
          <w:w w:val="111"/>
        </w:rPr>
        <w:t>caso</w:t>
      </w:r>
      <w:r>
        <w:rPr/>
        <w:t> </w:t>
      </w:r>
      <w:r>
        <w:rPr>
          <w:spacing w:val="-13"/>
        </w:rPr>
        <w:t> </w:t>
      </w:r>
      <w:r>
        <w:rPr>
          <w:w w:val="107"/>
        </w:rPr>
        <w:t>de</w:t>
      </w:r>
      <w:r>
        <w:rPr/>
        <w:t> </w:t>
      </w:r>
      <w:r>
        <w:rPr>
          <w:spacing w:val="-13"/>
        </w:rPr>
        <w:t> </w:t>
      </w:r>
      <w:r>
        <w:rPr>
          <w:w w:val="108"/>
        </w:rPr>
        <w:t>que </w:t>
      </w:r>
      <w:r>
        <w:rPr>
          <w:w w:val="110"/>
        </w:rPr>
        <w:t>ésta no modifique el proceso de primarización de su pauta exportado- ra ni impulse su inserción productiva en las cadenas de valor de ma- yor valor agregado, parece preocupante si consideramos los siguien- tes</w:t>
      </w:r>
      <w:r>
        <w:rPr>
          <w:spacing w:val="-7"/>
          <w:w w:val="110"/>
        </w:rPr>
        <w:t> </w:t>
      </w:r>
      <w:r>
        <w:rPr>
          <w:w w:val="110"/>
        </w:rPr>
        <w:t>factores:</w:t>
      </w:r>
    </w:p>
    <w:p>
      <w:pPr>
        <w:spacing w:after="0" w:line="252" w:lineRule="auto"/>
        <w:jc w:val="both"/>
        <w:sectPr>
          <w:pgSz w:w="8790" w:h="12760"/>
          <w:pgMar w:header="695" w:footer="723" w:top="880" w:bottom="920" w:left="920" w:right="1200"/>
        </w:sectPr>
      </w:pPr>
    </w:p>
    <w:p>
      <w:pPr>
        <w:pStyle w:val="BodyText"/>
        <w:spacing w:before="7"/>
        <w:rPr>
          <w:sz w:val="28"/>
        </w:rPr>
      </w:pPr>
    </w:p>
    <w:p>
      <w:pPr>
        <w:pStyle w:val="ListParagraph"/>
        <w:numPr>
          <w:ilvl w:val="1"/>
          <w:numId w:val="2"/>
        </w:numPr>
        <w:tabs>
          <w:tab w:pos="1475" w:val="left" w:leader="none"/>
        </w:tabs>
        <w:spacing w:line="252" w:lineRule="auto" w:before="73" w:after="0"/>
        <w:ind w:left="1474" w:right="117" w:hanging="227"/>
        <w:jc w:val="both"/>
        <w:rPr>
          <w:sz w:val="19"/>
        </w:rPr>
      </w:pPr>
      <w:r>
        <w:rPr>
          <w:w w:val="243"/>
          <w:sz w:val="19"/>
        </w:rPr>
        <w:t>l</w:t>
      </w:r>
      <w:r>
        <w:rPr>
          <w:w w:val="112"/>
          <w:sz w:val="19"/>
        </w:rPr>
        <w:t>a</w:t>
      </w:r>
      <w:r>
        <w:rPr>
          <w:spacing w:val="17"/>
          <w:sz w:val="19"/>
        </w:rPr>
        <w:t> </w:t>
      </w:r>
      <w:r>
        <w:rPr>
          <w:w w:val="110"/>
          <w:sz w:val="19"/>
        </w:rPr>
        <w:t>tendencia</w:t>
      </w:r>
      <w:r>
        <w:rPr>
          <w:spacing w:val="17"/>
          <w:sz w:val="19"/>
        </w:rPr>
        <w:t> </w:t>
      </w:r>
      <w:r>
        <w:rPr>
          <w:w w:val="112"/>
          <w:sz w:val="19"/>
        </w:rPr>
        <w:t>a</w:t>
      </w:r>
      <w:r>
        <w:rPr>
          <w:spacing w:val="17"/>
          <w:sz w:val="19"/>
        </w:rPr>
        <w:t> </w:t>
      </w:r>
      <w:r>
        <w:rPr>
          <w:w w:val="111"/>
          <w:sz w:val="19"/>
        </w:rPr>
        <w:t>la</w:t>
      </w:r>
      <w:r>
        <w:rPr>
          <w:spacing w:val="17"/>
          <w:sz w:val="19"/>
        </w:rPr>
        <w:t> </w:t>
      </w:r>
      <w:r>
        <w:rPr>
          <w:w w:val="111"/>
          <w:sz w:val="19"/>
        </w:rPr>
        <w:t>economía</w:t>
      </w:r>
      <w:r>
        <w:rPr>
          <w:spacing w:val="17"/>
          <w:sz w:val="19"/>
        </w:rPr>
        <w:t> </w:t>
      </w:r>
      <w:r>
        <w:rPr>
          <w:w w:val="108"/>
          <w:sz w:val="19"/>
        </w:rPr>
        <w:t>relativa</w:t>
      </w:r>
      <w:r>
        <w:rPr>
          <w:spacing w:val="17"/>
          <w:sz w:val="19"/>
        </w:rPr>
        <w:t> </w:t>
      </w:r>
      <w:r>
        <w:rPr>
          <w:w w:val="107"/>
          <w:sz w:val="19"/>
        </w:rPr>
        <w:t>de</w:t>
      </w:r>
      <w:r>
        <w:rPr>
          <w:spacing w:val="17"/>
          <w:sz w:val="19"/>
        </w:rPr>
        <w:t> </w:t>
      </w:r>
      <w:r>
        <w:rPr>
          <w:w w:val="111"/>
          <w:sz w:val="19"/>
        </w:rPr>
        <w:t>consumo</w:t>
      </w:r>
      <w:r>
        <w:rPr>
          <w:spacing w:val="17"/>
          <w:sz w:val="19"/>
        </w:rPr>
        <w:t> </w:t>
      </w:r>
      <w:r>
        <w:rPr>
          <w:w w:val="107"/>
          <w:sz w:val="19"/>
        </w:rPr>
        <w:t>de</w:t>
      </w:r>
      <w:r>
        <w:rPr>
          <w:spacing w:val="17"/>
          <w:sz w:val="19"/>
        </w:rPr>
        <w:t> </w:t>
      </w:r>
      <w:r>
        <w:rPr>
          <w:w w:val="109"/>
          <w:sz w:val="19"/>
        </w:rPr>
        <w:t>productos </w:t>
      </w:r>
      <w:r>
        <w:rPr>
          <w:w w:val="110"/>
          <w:sz w:val="19"/>
        </w:rPr>
        <w:t>primarios por parte de China, sea en función de su transición   a una economía de servicios, de la modernización de su indus- tria o de la elevación del nivel de renta de su </w:t>
      </w:r>
      <w:r>
        <w:rPr>
          <w:spacing w:val="10"/>
          <w:w w:val="110"/>
          <w:sz w:val="19"/>
        </w:rPr>
        <w:t> </w:t>
      </w:r>
      <w:r>
        <w:rPr>
          <w:w w:val="110"/>
          <w:sz w:val="19"/>
        </w:rPr>
        <w:t>población;</w:t>
      </w:r>
    </w:p>
    <w:p>
      <w:pPr>
        <w:pStyle w:val="ListParagraph"/>
        <w:numPr>
          <w:ilvl w:val="1"/>
          <w:numId w:val="2"/>
        </w:numPr>
        <w:tabs>
          <w:tab w:pos="1475" w:val="left" w:leader="none"/>
        </w:tabs>
        <w:spacing w:line="252" w:lineRule="auto" w:before="85" w:after="0"/>
        <w:ind w:left="1474" w:right="118" w:hanging="227"/>
        <w:jc w:val="both"/>
        <w:rPr>
          <w:sz w:val="19"/>
        </w:rPr>
      </w:pPr>
      <w:r>
        <w:rPr>
          <w:spacing w:val="-1"/>
          <w:w w:val="243"/>
          <w:sz w:val="19"/>
        </w:rPr>
        <w:t>l</w:t>
      </w:r>
      <w:r>
        <w:rPr>
          <w:w w:val="112"/>
          <w:sz w:val="19"/>
        </w:rPr>
        <w:t>a</w:t>
      </w:r>
      <w:r>
        <w:rPr>
          <w:spacing w:val="18"/>
          <w:sz w:val="19"/>
        </w:rPr>
        <w:t> </w:t>
      </w:r>
      <w:r>
        <w:rPr>
          <w:spacing w:val="-1"/>
          <w:w w:val="109"/>
          <w:sz w:val="19"/>
        </w:rPr>
        <w:t>desaceleració</w:t>
      </w:r>
      <w:r>
        <w:rPr>
          <w:w w:val="109"/>
          <w:sz w:val="19"/>
        </w:rPr>
        <w:t>n</w:t>
      </w:r>
      <w:r>
        <w:rPr>
          <w:spacing w:val="18"/>
          <w:sz w:val="19"/>
        </w:rPr>
        <w:t> </w:t>
      </w:r>
      <w:r>
        <w:rPr>
          <w:spacing w:val="-1"/>
          <w:w w:val="107"/>
          <w:sz w:val="19"/>
        </w:rPr>
        <w:t>d</w:t>
      </w:r>
      <w:r>
        <w:rPr>
          <w:w w:val="107"/>
          <w:sz w:val="19"/>
        </w:rPr>
        <w:t>e</w:t>
      </w:r>
      <w:r>
        <w:rPr>
          <w:spacing w:val="18"/>
          <w:sz w:val="19"/>
        </w:rPr>
        <w:t> </w:t>
      </w:r>
      <w:r>
        <w:rPr>
          <w:spacing w:val="-1"/>
          <w:w w:val="111"/>
          <w:sz w:val="19"/>
        </w:rPr>
        <w:t>l</w:t>
      </w:r>
      <w:r>
        <w:rPr>
          <w:w w:val="111"/>
          <w:sz w:val="19"/>
        </w:rPr>
        <w:t>a</w:t>
      </w:r>
      <w:r>
        <w:rPr>
          <w:spacing w:val="18"/>
          <w:sz w:val="19"/>
        </w:rPr>
        <w:t> </w:t>
      </w:r>
      <w:r>
        <w:rPr>
          <w:spacing w:val="-1"/>
          <w:w w:val="111"/>
          <w:sz w:val="19"/>
        </w:rPr>
        <w:t>economí</w:t>
      </w:r>
      <w:r>
        <w:rPr>
          <w:w w:val="111"/>
          <w:sz w:val="19"/>
        </w:rPr>
        <w:t>a</w:t>
      </w:r>
      <w:r>
        <w:rPr>
          <w:spacing w:val="18"/>
          <w:sz w:val="19"/>
        </w:rPr>
        <w:t> </w:t>
      </w:r>
      <w:r>
        <w:rPr>
          <w:spacing w:val="-1"/>
          <w:w w:val="112"/>
          <w:sz w:val="19"/>
        </w:rPr>
        <w:t>mundia</w:t>
      </w:r>
      <w:r>
        <w:rPr>
          <w:w w:val="112"/>
          <w:sz w:val="19"/>
        </w:rPr>
        <w:t>l</w:t>
      </w:r>
      <w:r>
        <w:rPr>
          <w:spacing w:val="18"/>
          <w:sz w:val="19"/>
        </w:rPr>
        <w:t> </w:t>
      </w:r>
      <w:r>
        <w:rPr>
          <w:spacing w:val="-1"/>
          <w:w w:val="112"/>
          <w:sz w:val="19"/>
        </w:rPr>
        <w:t>co</w:t>
      </w:r>
      <w:r>
        <w:rPr>
          <w:w w:val="112"/>
          <w:sz w:val="19"/>
        </w:rPr>
        <w:t>n</w:t>
      </w:r>
      <w:r>
        <w:rPr>
          <w:spacing w:val="18"/>
          <w:sz w:val="19"/>
        </w:rPr>
        <w:t> </w:t>
      </w:r>
      <w:r>
        <w:rPr>
          <w:spacing w:val="-1"/>
          <w:w w:val="107"/>
          <w:sz w:val="19"/>
        </w:rPr>
        <w:t>e</w:t>
      </w:r>
      <w:r>
        <w:rPr>
          <w:w w:val="107"/>
          <w:sz w:val="19"/>
        </w:rPr>
        <w:t>l</w:t>
      </w:r>
      <w:r>
        <w:rPr>
          <w:spacing w:val="18"/>
          <w:sz w:val="19"/>
        </w:rPr>
        <w:t> </w:t>
      </w:r>
      <w:r>
        <w:rPr>
          <w:spacing w:val="-1"/>
          <w:w w:val="110"/>
          <w:sz w:val="19"/>
        </w:rPr>
        <w:t>agotamiento </w:t>
      </w:r>
      <w:r>
        <w:rPr>
          <w:w w:val="110"/>
          <w:sz w:val="19"/>
        </w:rPr>
        <w:t>de la fase expansiva del </w:t>
      </w:r>
      <w:r>
        <w:rPr>
          <w:spacing w:val="-3"/>
          <w:w w:val="110"/>
          <w:sz w:val="19"/>
        </w:rPr>
        <w:t>Kondratiev, </w:t>
      </w:r>
      <w:r>
        <w:rPr>
          <w:w w:val="110"/>
          <w:sz w:val="19"/>
        </w:rPr>
        <w:t>probablemente, y al final de</w:t>
      </w:r>
      <w:r>
        <w:rPr>
          <w:spacing w:val="-9"/>
          <w:w w:val="110"/>
          <w:sz w:val="19"/>
        </w:rPr>
        <w:t> </w:t>
      </w:r>
      <w:r>
        <w:rPr>
          <w:w w:val="110"/>
          <w:sz w:val="19"/>
        </w:rPr>
        <w:t>esta</w:t>
      </w:r>
      <w:r>
        <w:rPr>
          <w:spacing w:val="-9"/>
          <w:w w:val="110"/>
          <w:sz w:val="19"/>
        </w:rPr>
        <w:t> </w:t>
      </w:r>
      <w:r>
        <w:rPr>
          <w:w w:val="110"/>
          <w:sz w:val="19"/>
        </w:rPr>
        <w:t>década,</w:t>
      </w:r>
      <w:r>
        <w:rPr>
          <w:spacing w:val="-9"/>
          <w:w w:val="110"/>
          <w:sz w:val="19"/>
        </w:rPr>
        <w:t> </w:t>
      </w:r>
      <w:r>
        <w:rPr>
          <w:w w:val="110"/>
          <w:sz w:val="19"/>
        </w:rPr>
        <w:t>lo</w:t>
      </w:r>
      <w:r>
        <w:rPr>
          <w:spacing w:val="-9"/>
          <w:w w:val="110"/>
          <w:sz w:val="19"/>
        </w:rPr>
        <w:t> </w:t>
      </w:r>
      <w:r>
        <w:rPr>
          <w:w w:val="110"/>
          <w:sz w:val="19"/>
        </w:rPr>
        <w:t>que</w:t>
      </w:r>
      <w:r>
        <w:rPr>
          <w:spacing w:val="-9"/>
          <w:w w:val="110"/>
          <w:sz w:val="19"/>
        </w:rPr>
        <w:t> </w:t>
      </w:r>
      <w:r>
        <w:rPr>
          <w:w w:val="110"/>
          <w:sz w:val="19"/>
        </w:rPr>
        <w:t>deberá</w:t>
      </w:r>
      <w:r>
        <w:rPr>
          <w:spacing w:val="-9"/>
          <w:w w:val="110"/>
          <w:sz w:val="19"/>
        </w:rPr>
        <w:t> </w:t>
      </w:r>
      <w:r>
        <w:rPr>
          <w:w w:val="110"/>
          <w:sz w:val="19"/>
        </w:rPr>
        <w:t>impactar</w:t>
      </w:r>
      <w:r>
        <w:rPr>
          <w:spacing w:val="-9"/>
          <w:w w:val="110"/>
          <w:sz w:val="19"/>
        </w:rPr>
        <w:t> </w:t>
      </w:r>
      <w:r>
        <w:rPr>
          <w:w w:val="110"/>
          <w:sz w:val="19"/>
        </w:rPr>
        <w:t>negativamente</w:t>
      </w:r>
      <w:r>
        <w:rPr>
          <w:spacing w:val="-9"/>
          <w:w w:val="110"/>
          <w:sz w:val="19"/>
        </w:rPr>
        <w:t> </w:t>
      </w:r>
      <w:r>
        <w:rPr>
          <w:w w:val="110"/>
          <w:sz w:val="19"/>
        </w:rPr>
        <w:t>sobre</w:t>
      </w:r>
      <w:r>
        <w:rPr>
          <w:spacing w:val="-9"/>
          <w:w w:val="110"/>
          <w:sz w:val="19"/>
        </w:rPr>
        <w:t> </w:t>
      </w:r>
      <w:r>
        <w:rPr>
          <w:w w:val="110"/>
          <w:sz w:val="19"/>
        </w:rPr>
        <w:t>los precios de los productos primarios, intensificando los procesos de economía relativa del consumo de recursos naturales;</w:t>
      </w:r>
      <w:r>
        <w:rPr>
          <w:spacing w:val="-18"/>
          <w:w w:val="110"/>
          <w:sz w:val="19"/>
        </w:rPr>
        <w:t> </w:t>
      </w:r>
      <w:r>
        <w:rPr>
          <w:w w:val="110"/>
          <w:sz w:val="19"/>
        </w:rPr>
        <w:t>y</w:t>
      </w:r>
    </w:p>
    <w:p>
      <w:pPr>
        <w:pStyle w:val="ListParagraph"/>
        <w:numPr>
          <w:ilvl w:val="1"/>
          <w:numId w:val="2"/>
        </w:numPr>
        <w:tabs>
          <w:tab w:pos="1475" w:val="left" w:leader="none"/>
        </w:tabs>
        <w:spacing w:line="252" w:lineRule="auto" w:before="85" w:after="0"/>
        <w:ind w:left="1474" w:right="117" w:hanging="227"/>
        <w:jc w:val="both"/>
        <w:rPr>
          <w:sz w:val="19"/>
        </w:rPr>
      </w:pPr>
      <w:r>
        <w:rPr>
          <w:w w:val="243"/>
          <w:sz w:val="19"/>
        </w:rPr>
        <w:t>l</w:t>
      </w:r>
      <w:r>
        <w:rPr>
          <w:w w:val="112"/>
          <w:sz w:val="19"/>
        </w:rPr>
        <w:t>a</w:t>
      </w:r>
      <w:r>
        <w:rPr>
          <w:sz w:val="19"/>
        </w:rPr>
        <w:t> </w:t>
      </w:r>
      <w:r>
        <w:rPr>
          <w:spacing w:val="-10"/>
          <w:sz w:val="19"/>
        </w:rPr>
        <w:t> </w:t>
      </w:r>
      <w:r>
        <w:rPr>
          <w:w w:val="106"/>
          <w:sz w:val="19"/>
        </w:rPr>
        <w:t>reversión</w:t>
      </w:r>
      <w:r>
        <w:rPr>
          <w:sz w:val="19"/>
        </w:rPr>
        <w:t> </w:t>
      </w:r>
      <w:r>
        <w:rPr>
          <w:spacing w:val="-10"/>
          <w:sz w:val="19"/>
        </w:rPr>
        <w:t> </w:t>
      </w:r>
      <w:r>
        <w:rPr>
          <w:w w:val="107"/>
          <w:sz w:val="19"/>
        </w:rPr>
        <w:t>del</w:t>
      </w:r>
      <w:r>
        <w:rPr>
          <w:sz w:val="19"/>
        </w:rPr>
        <w:t> </w:t>
      </w:r>
      <w:r>
        <w:rPr>
          <w:spacing w:val="-10"/>
          <w:sz w:val="19"/>
        </w:rPr>
        <w:t> </w:t>
      </w:r>
      <w:r>
        <w:rPr>
          <w:w w:val="113"/>
          <w:sz w:val="19"/>
        </w:rPr>
        <w:t>ciclo</w:t>
      </w:r>
      <w:r>
        <w:rPr>
          <w:sz w:val="19"/>
        </w:rPr>
        <w:t> </w:t>
      </w:r>
      <w:r>
        <w:rPr>
          <w:spacing w:val="-10"/>
          <w:sz w:val="19"/>
        </w:rPr>
        <w:t> </w:t>
      </w:r>
      <w:r>
        <w:rPr>
          <w:w w:val="107"/>
          <w:sz w:val="19"/>
        </w:rPr>
        <w:t>de</w:t>
      </w:r>
      <w:r>
        <w:rPr>
          <w:sz w:val="19"/>
        </w:rPr>
        <w:t> </w:t>
      </w:r>
      <w:r>
        <w:rPr>
          <w:spacing w:val="-10"/>
          <w:sz w:val="19"/>
        </w:rPr>
        <w:t> </w:t>
      </w:r>
      <w:r>
        <w:rPr>
          <w:w w:val="108"/>
          <w:sz w:val="19"/>
        </w:rPr>
        <w:t>ingreso</w:t>
      </w:r>
      <w:r>
        <w:rPr>
          <w:sz w:val="19"/>
        </w:rPr>
        <w:t> </w:t>
      </w:r>
      <w:r>
        <w:rPr>
          <w:spacing w:val="-10"/>
          <w:sz w:val="19"/>
        </w:rPr>
        <w:t> </w:t>
      </w:r>
      <w:r>
        <w:rPr>
          <w:w w:val="107"/>
          <w:sz w:val="19"/>
        </w:rPr>
        <w:t>de</w:t>
      </w:r>
      <w:r>
        <w:rPr>
          <w:sz w:val="19"/>
        </w:rPr>
        <w:t> </w:t>
      </w:r>
      <w:r>
        <w:rPr>
          <w:spacing w:val="-10"/>
          <w:sz w:val="19"/>
        </w:rPr>
        <w:t> </w:t>
      </w:r>
      <w:r>
        <w:rPr>
          <w:w w:val="110"/>
          <w:sz w:val="19"/>
        </w:rPr>
        <w:t>capitales</w:t>
      </w:r>
      <w:r>
        <w:rPr>
          <w:sz w:val="19"/>
        </w:rPr>
        <w:t> </w:t>
      </w:r>
      <w:r>
        <w:rPr>
          <w:spacing w:val="-10"/>
          <w:sz w:val="19"/>
        </w:rPr>
        <w:t> </w:t>
      </w:r>
      <w:r>
        <w:rPr>
          <w:w w:val="108"/>
          <w:sz w:val="19"/>
        </w:rPr>
        <w:t>extranjeros</w:t>
      </w:r>
      <w:r>
        <w:rPr>
          <w:sz w:val="19"/>
        </w:rPr>
        <w:t> </w:t>
      </w:r>
      <w:r>
        <w:rPr>
          <w:spacing w:val="-10"/>
          <w:sz w:val="19"/>
        </w:rPr>
        <w:t> </w:t>
      </w:r>
      <w:r>
        <w:rPr>
          <w:w w:val="113"/>
          <w:sz w:val="19"/>
        </w:rPr>
        <w:t>ini</w:t>
      </w:r>
      <w:r>
        <w:rPr>
          <w:w w:val="102"/>
          <w:sz w:val="19"/>
        </w:rPr>
        <w:t>- </w:t>
      </w:r>
      <w:r>
        <w:rPr>
          <w:w w:val="120"/>
          <w:sz w:val="19"/>
        </w:rPr>
        <w:t>ciado</w:t>
      </w:r>
      <w:r>
        <w:rPr>
          <w:spacing w:val="-20"/>
          <w:w w:val="120"/>
          <w:sz w:val="19"/>
        </w:rPr>
        <w:t> </w:t>
      </w:r>
      <w:r>
        <w:rPr>
          <w:w w:val="120"/>
          <w:sz w:val="19"/>
        </w:rPr>
        <w:t>en</w:t>
      </w:r>
      <w:r>
        <w:rPr>
          <w:spacing w:val="-20"/>
          <w:w w:val="120"/>
          <w:sz w:val="19"/>
        </w:rPr>
        <w:t> </w:t>
      </w:r>
      <w:r>
        <w:rPr>
          <w:w w:val="120"/>
          <w:sz w:val="19"/>
        </w:rPr>
        <w:t>2010.</w:t>
      </w:r>
      <w:r>
        <w:rPr>
          <w:spacing w:val="-20"/>
          <w:w w:val="120"/>
          <w:sz w:val="19"/>
        </w:rPr>
        <w:t> </w:t>
      </w:r>
      <w:r>
        <w:rPr>
          <w:spacing w:val="-6"/>
          <w:w w:val="120"/>
          <w:sz w:val="19"/>
        </w:rPr>
        <w:t>tal</w:t>
      </w:r>
      <w:r>
        <w:rPr>
          <w:spacing w:val="-20"/>
          <w:w w:val="120"/>
          <w:sz w:val="19"/>
        </w:rPr>
        <w:t> </w:t>
      </w:r>
      <w:r>
        <w:rPr>
          <w:w w:val="120"/>
          <w:sz w:val="19"/>
        </w:rPr>
        <w:t>ciclo</w:t>
      </w:r>
      <w:r>
        <w:rPr>
          <w:spacing w:val="-20"/>
          <w:w w:val="120"/>
          <w:sz w:val="19"/>
        </w:rPr>
        <w:t> </w:t>
      </w:r>
      <w:r>
        <w:rPr>
          <w:w w:val="120"/>
          <w:sz w:val="19"/>
        </w:rPr>
        <w:t>podrá</w:t>
      </w:r>
      <w:r>
        <w:rPr>
          <w:spacing w:val="-20"/>
          <w:w w:val="120"/>
          <w:sz w:val="19"/>
        </w:rPr>
        <w:t> </w:t>
      </w:r>
      <w:r>
        <w:rPr>
          <w:w w:val="120"/>
          <w:sz w:val="19"/>
        </w:rPr>
        <w:t>ser</w:t>
      </w:r>
      <w:r>
        <w:rPr>
          <w:spacing w:val="-20"/>
          <w:w w:val="120"/>
          <w:sz w:val="19"/>
        </w:rPr>
        <w:t> </w:t>
      </w:r>
      <w:r>
        <w:rPr>
          <w:w w:val="120"/>
          <w:sz w:val="19"/>
        </w:rPr>
        <w:t>revertido</w:t>
      </w:r>
      <w:r>
        <w:rPr>
          <w:spacing w:val="-20"/>
          <w:w w:val="120"/>
          <w:sz w:val="19"/>
        </w:rPr>
        <w:t> </w:t>
      </w:r>
      <w:r>
        <w:rPr>
          <w:w w:val="120"/>
          <w:sz w:val="19"/>
        </w:rPr>
        <w:t>en</w:t>
      </w:r>
      <w:r>
        <w:rPr>
          <w:spacing w:val="-20"/>
          <w:w w:val="120"/>
          <w:sz w:val="19"/>
        </w:rPr>
        <w:t> </w:t>
      </w:r>
      <w:r>
        <w:rPr>
          <w:w w:val="120"/>
          <w:sz w:val="19"/>
        </w:rPr>
        <w:t>razón</w:t>
      </w:r>
      <w:r>
        <w:rPr>
          <w:spacing w:val="-20"/>
          <w:w w:val="120"/>
          <w:sz w:val="19"/>
        </w:rPr>
        <w:t> </w:t>
      </w:r>
      <w:r>
        <w:rPr>
          <w:w w:val="120"/>
          <w:sz w:val="19"/>
        </w:rPr>
        <w:t>de</w:t>
      </w:r>
      <w:r>
        <w:rPr>
          <w:spacing w:val="-20"/>
          <w:w w:val="120"/>
          <w:sz w:val="19"/>
        </w:rPr>
        <w:t> </w:t>
      </w:r>
      <w:r>
        <w:rPr>
          <w:w w:val="120"/>
          <w:sz w:val="19"/>
        </w:rPr>
        <w:t>la</w:t>
      </w:r>
      <w:r>
        <w:rPr>
          <w:spacing w:val="-20"/>
          <w:w w:val="120"/>
          <w:sz w:val="19"/>
        </w:rPr>
        <w:t> </w:t>
      </w:r>
      <w:r>
        <w:rPr>
          <w:w w:val="120"/>
          <w:sz w:val="19"/>
        </w:rPr>
        <w:t>el- evación</w:t>
      </w:r>
      <w:r>
        <w:rPr>
          <w:spacing w:val="-26"/>
          <w:w w:val="120"/>
          <w:sz w:val="19"/>
        </w:rPr>
        <w:t> </w:t>
      </w:r>
      <w:r>
        <w:rPr>
          <w:w w:val="120"/>
          <w:sz w:val="19"/>
        </w:rPr>
        <w:t>de</w:t>
      </w:r>
      <w:r>
        <w:rPr>
          <w:spacing w:val="-26"/>
          <w:w w:val="120"/>
          <w:sz w:val="19"/>
        </w:rPr>
        <w:t> </w:t>
      </w:r>
      <w:r>
        <w:rPr>
          <w:w w:val="120"/>
          <w:sz w:val="19"/>
        </w:rPr>
        <w:t>las</w:t>
      </w:r>
      <w:r>
        <w:rPr>
          <w:spacing w:val="-26"/>
          <w:w w:val="120"/>
          <w:sz w:val="19"/>
        </w:rPr>
        <w:t> </w:t>
      </w:r>
      <w:r>
        <w:rPr>
          <w:w w:val="120"/>
          <w:sz w:val="19"/>
        </w:rPr>
        <w:t>tasas</w:t>
      </w:r>
      <w:r>
        <w:rPr>
          <w:spacing w:val="-26"/>
          <w:w w:val="120"/>
          <w:sz w:val="19"/>
        </w:rPr>
        <w:t> </w:t>
      </w:r>
      <w:r>
        <w:rPr>
          <w:w w:val="120"/>
          <w:sz w:val="19"/>
        </w:rPr>
        <w:t>de</w:t>
      </w:r>
      <w:r>
        <w:rPr>
          <w:spacing w:val="-26"/>
          <w:w w:val="120"/>
          <w:sz w:val="19"/>
        </w:rPr>
        <w:t> </w:t>
      </w:r>
      <w:r>
        <w:rPr>
          <w:w w:val="120"/>
          <w:sz w:val="19"/>
        </w:rPr>
        <w:t>interés</w:t>
      </w:r>
      <w:r>
        <w:rPr>
          <w:spacing w:val="-26"/>
          <w:w w:val="120"/>
          <w:sz w:val="19"/>
        </w:rPr>
        <w:t> </w:t>
      </w:r>
      <w:r>
        <w:rPr>
          <w:w w:val="120"/>
          <w:sz w:val="19"/>
        </w:rPr>
        <w:t>en</w:t>
      </w:r>
      <w:r>
        <w:rPr>
          <w:spacing w:val="-26"/>
          <w:w w:val="120"/>
          <w:sz w:val="19"/>
        </w:rPr>
        <w:t> </w:t>
      </w:r>
      <w:r>
        <w:rPr>
          <w:w w:val="120"/>
          <w:sz w:val="19"/>
        </w:rPr>
        <w:t>Estados</w:t>
      </w:r>
      <w:r>
        <w:rPr>
          <w:spacing w:val="-26"/>
          <w:w w:val="120"/>
          <w:sz w:val="19"/>
        </w:rPr>
        <w:t> </w:t>
      </w:r>
      <w:r>
        <w:rPr>
          <w:w w:val="120"/>
          <w:sz w:val="19"/>
        </w:rPr>
        <w:t>unidos</w:t>
      </w:r>
      <w:r>
        <w:rPr>
          <w:spacing w:val="-26"/>
          <w:w w:val="120"/>
          <w:sz w:val="19"/>
        </w:rPr>
        <w:t> </w:t>
      </w:r>
      <w:r>
        <w:rPr>
          <w:w w:val="120"/>
          <w:sz w:val="19"/>
        </w:rPr>
        <w:t>y</w:t>
      </w:r>
      <w:r>
        <w:rPr>
          <w:spacing w:val="-26"/>
          <w:w w:val="120"/>
          <w:sz w:val="19"/>
        </w:rPr>
        <w:t> </w:t>
      </w:r>
      <w:r>
        <w:rPr>
          <w:w w:val="120"/>
          <w:sz w:val="19"/>
        </w:rPr>
        <w:t>los</w:t>
      </w:r>
      <w:r>
        <w:rPr>
          <w:spacing w:val="-26"/>
          <w:w w:val="120"/>
          <w:sz w:val="19"/>
        </w:rPr>
        <w:t> </w:t>
      </w:r>
      <w:r>
        <w:rPr>
          <w:w w:val="120"/>
          <w:sz w:val="19"/>
        </w:rPr>
        <w:t>países </w:t>
      </w:r>
      <w:r>
        <w:rPr>
          <w:w w:val="115"/>
          <w:sz w:val="19"/>
        </w:rPr>
        <w:t>centrales,</w:t>
      </w:r>
      <w:r>
        <w:rPr>
          <w:spacing w:val="-25"/>
          <w:w w:val="115"/>
          <w:sz w:val="19"/>
        </w:rPr>
        <w:t> </w:t>
      </w:r>
      <w:r>
        <w:rPr>
          <w:w w:val="115"/>
          <w:sz w:val="19"/>
        </w:rPr>
        <w:t>o</w:t>
      </w:r>
      <w:r>
        <w:rPr>
          <w:spacing w:val="-25"/>
          <w:w w:val="115"/>
          <w:sz w:val="19"/>
        </w:rPr>
        <w:t> </w:t>
      </w:r>
      <w:r>
        <w:rPr>
          <w:w w:val="115"/>
          <w:sz w:val="19"/>
        </w:rPr>
        <w:t>del</w:t>
      </w:r>
      <w:r>
        <w:rPr>
          <w:spacing w:val="-25"/>
          <w:w w:val="115"/>
          <w:sz w:val="19"/>
        </w:rPr>
        <w:t> </w:t>
      </w:r>
      <w:r>
        <w:rPr>
          <w:w w:val="115"/>
          <w:sz w:val="19"/>
        </w:rPr>
        <w:t>alza</w:t>
      </w:r>
      <w:r>
        <w:rPr>
          <w:spacing w:val="-25"/>
          <w:w w:val="115"/>
          <w:sz w:val="19"/>
        </w:rPr>
        <w:t> </w:t>
      </w:r>
      <w:r>
        <w:rPr>
          <w:w w:val="115"/>
          <w:sz w:val="19"/>
        </w:rPr>
        <w:t>del</w:t>
      </w:r>
      <w:r>
        <w:rPr>
          <w:spacing w:val="-25"/>
          <w:w w:val="115"/>
          <w:sz w:val="19"/>
        </w:rPr>
        <w:t> </w:t>
      </w:r>
      <w:r>
        <w:rPr>
          <w:w w:val="115"/>
          <w:sz w:val="19"/>
        </w:rPr>
        <w:t>dólar</w:t>
      </w:r>
      <w:r>
        <w:rPr>
          <w:spacing w:val="-25"/>
          <w:w w:val="115"/>
          <w:sz w:val="19"/>
        </w:rPr>
        <w:t> </w:t>
      </w:r>
      <w:r>
        <w:rPr>
          <w:w w:val="115"/>
          <w:sz w:val="19"/>
        </w:rPr>
        <w:t>o</w:t>
      </w:r>
      <w:r>
        <w:rPr>
          <w:spacing w:val="-25"/>
          <w:w w:val="115"/>
          <w:sz w:val="19"/>
        </w:rPr>
        <w:t> </w:t>
      </w:r>
      <w:r>
        <w:rPr>
          <w:w w:val="115"/>
          <w:sz w:val="19"/>
        </w:rPr>
        <w:t>del</w:t>
      </w:r>
      <w:r>
        <w:rPr>
          <w:spacing w:val="-25"/>
          <w:w w:val="115"/>
          <w:sz w:val="19"/>
        </w:rPr>
        <w:t> </w:t>
      </w:r>
      <w:r>
        <w:rPr>
          <w:w w:val="115"/>
          <w:sz w:val="19"/>
        </w:rPr>
        <w:t>euro</w:t>
      </w:r>
      <w:r>
        <w:rPr>
          <w:spacing w:val="-25"/>
          <w:w w:val="115"/>
          <w:sz w:val="19"/>
        </w:rPr>
        <w:t> </w:t>
      </w:r>
      <w:r>
        <w:rPr>
          <w:w w:val="115"/>
          <w:sz w:val="19"/>
        </w:rPr>
        <w:t>que,</w:t>
      </w:r>
      <w:r>
        <w:rPr>
          <w:spacing w:val="-25"/>
          <w:w w:val="115"/>
          <w:sz w:val="19"/>
        </w:rPr>
        <w:t> </w:t>
      </w:r>
      <w:r>
        <w:rPr>
          <w:w w:val="115"/>
          <w:sz w:val="19"/>
        </w:rPr>
        <w:t>motivadas</w:t>
      </w:r>
      <w:r>
        <w:rPr>
          <w:spacing w:val="-25"/>
          <w:w w:val="115"/>
          <w:sz w:val="19"/>
        </w:rPr>
        <w:t> </w:t>
      </w:r>
      <w:r>
        <w:rPr>
          <w:w w:val="115"/>
          <w:sz w:val="19"/>
        </w:rPr>
        <w:t>por</w:t>
      </w:r>
      <w:r>
        <w:rPr>
          <w:spacing w:val="-25"/>
          <w:w w:val="115"/>
          <w:sz w:val="19"/>
        </w:rPr>
        <w:t> </w:t>
      </w:r>
      <w:r>
        <w:rPr>
          <w:w w:val="115"/>
          <w:sz w:val="19"/>
        </w:rPr>
        <w:t>una eventual</w:t>
      </w:r>
      <w:r>
        <w:rPr>
          <w:spacing w:val="-17"/>
          <w:w w:val="115"/>
          <w:sz w:val="19"/>
        </w:rPr>
        <w:t> </w:t>
      </w:r>
      <w:r>
        <w:rPr>
          <w:w w:val="115"/>
          <w:sz w:val="19"/>
        </w:rPr>
        <w:t>recuperación</w:t>
      </w:r>
      <w:r>
        <w:rPr>
          <w:spacing w:val="-17"/>
          <w:w w:val="115"/>
          <w:sz w:val="19"/>
        </w:rPr>
        <w:t> </w:t>
      </w:r>
      <w:r>
        <w:rPr>
          <w:w w:val="115"/>
          <w:sz w:val="19"/>
        </w:rPr>
        <w:t>de</w:t>
      </w:r>
      <w:r>
        <w:rPr>
          <w:spacing w:val="-17"/>
          <w:w w:val="115"/>
          <w:sz w:val="19"/>
        </w:rPr>
        <w:t> </w:t>
      </w:r>
      <w:r>
        <w:rPr>
          <w:w w:val="115"/>
          <w:sz w:val="19"/>
        </w:rPr>
        <w:t>corto</w:t>
      </w:r>
      <w:r>
        <w:rPr>
          <w:spacing w:val="-17"/>
          <w:w w:val="115"/>
          <w:sz w:val="19"/>
        </w:rPr>
        <w:t> </w:t>
      </w:r>
      <w:r>
        <w:rPr>
          <w:w w:val="115"/>
          <w:sz w:val="19"/>
        </w:rPr>
        <w:t>plazo</w:t>
      </w:r>
      <w:r>
        <w:rPr>
          <w:spacing w:val="-17"/>
          <w:w w:val="115"/>
          <w:sz w:val="19"/>
        </w:rPr>
        <w:t> </w:t>
      </w:r>
      <w:r>
        <w:rPr>
          <w:w w:val="115"/>
          <w:sz w:val="19"/>
        </w:rPr>
        <w:t>en</w:t>
      </w:r>
      <w:r>
        <w:rPr>
          <w:spacing w:val="-17"/>
          <w:w w:val="115"/>
          <w:sz w:val="19"/>
        </w:rPr>
        <w:t> </w:t>
      </w:r>
      <w:r>
        <w:rPr>
          <w:w w:val="115"/>
          <w:sz w:val="19"/>
        </w:rPr>
        <w:t>estas</w:t>
      </w:r>
      <w:r>
        <w:rPr>
          <w:spacing w:val="-17"/>
          <w:w w:val="115"/>
          <w:sz w:val="19"/>
        </w:rPr>
        <w:t> </w:t>
      </w:r>
      <w:r>
        <w:rPr>
          <w:w w:val="115"/>
          <w:sz w:val="19"/>
        </w:rPr>
        <w:t>regiones,</w:t>
      </w:r>
      <w:r>
        <w:rPr>
          <w:spacing w:val="-17"/>
          <w:w w:val="115"/>
          <w:sz w:val="19"/>
        </w:rPr>
        <w:t> </w:t>
      </w:r>
      <w:r>
        <w:rPr>
          <w:w w:val="115"/>
          <w:sz w:val="19"/>
        </w:rPr>
        <w:t>incre- menten</w:t>
      </w:r>
      <w:r>
        <w:rPr>
          <w:spacing w:val="-19"/>
          <w:w w:val="115"/>
          <w:sz w:val="19"/>
        </w:rPr>
        <w:t> </w:t>
      </w:r>
      <w:r>
        <w:rPr>
          <w:w w:val="115"/>
          <w:sz w:val="19"/>
        </w:rPr>
        <w:t>la</w:t>
      </w:r>
      <w:r>
        <w:rPr>
          <w:spacing w:val="-19"/>
          <w:w w:val="115"/>
          <w:sz w:val="19"/>
        </w:rPr>
        <w:t> </w:t>
      </w:r>
      <w:r>
        <w:rPr>
          <w:w w:val="115"/>
          <w:sz w:val="19"/>
        </w:rPr>
        <w:t>competencia</w:t>
      </w:r>
      <w:r>
        <w:rPr>
          <w:spacing w:val="-19"/>
          <w:w w:val="115"/>
          <w:sz w:val="19"/>
        </w:rPr>
        <w:t> </w:t>
      </w:r>
      <w:r>
        <w:rPr>
          <w:w w:val="115"/>
          <w:sz w:val="19"/>
        </w:rPr>
        <w:t>mundial</w:t>
      </w:r>
      <w:r>
        <w:rPr>
          <w:spacing w:val="-19"/>
          <w:w w:val="115"/>
          <w:sz w:val="19"/>
        </w:rPr>
        <w:t> </w:t>
      </w:r>
      <w:r>
        <w:rPr>
          <w:w w:val="115"/>
          <w:sz w:val="19"/>
        </w:rPr>
        <w:t>por</w:t>
      </w:r>
      <w:r>
        <w:rPr>
          <w:spacing w:val="-19"/>
          <w:w w:val="115"/>
          <w:sz w:val="19"/>
        </w:rPr>
        <w:t> </w:t>
      </w:r>
      <w:r>
        <w:rPr>
          <w:w w:val="115"/>
          <w:sz w:val="19"/>
        </w:rPr>
        <w:t>el</w:t>
      </w:r>
      <w:r>
        <w:rPr>
          <w:spacing w:val="-19"/>
          <w:w w:val="115"/>
          <w:sz w:val="19"/>
        </w:rPr>
        <w:t> </w:t>
      </w:r>
      <w:r>
        <w:rPr>
          <w:w w:val="115"/>
          <w:sz w:val="19"/>
        </w:rPr>
        <w:t>capital</w:t>
      </w:r>
      <w:r>
        <w:rPr>
          <w:spacing w:val="-19"/>
          <w:w w:val="115"/>
          <w:sz w:val="19"/>
        </w:rPr>
        <w:t> </w:t>
      </w:r>
      <w:r>
        <w:rPr>
          <w:w w:val="115"/>
          <w:sz w:val="19"/>
        </w:rPr>
        <w:t>circulante.</w:t>
      </w:r>
    </w:p>
    <w:p>
      <w:pPr>
        <w:pStyle w:val="BodyText"/>
        <w:spacing w:before="11"/>
      </w:pPr>
    </w:p>
    <w:p>
      <w:pPr>
        <w:pStyle w:val="BodyText"/>
        <w:spacing w:line="252" w:lineRule="auto"/>
        <w:ind w:left="850" w:right="117"/>
        <w:jc w:val="both"/>
      </w:pPr>
      <w:r>
        <w:rPr>
          <w:w w:val="110"/>
        </w:rPr>
        <w:t>Este escenario internacional, en caso de realizarse, deberá presionar al sistema político de la región radicalizándolo en condiciones eco- nómicas precarias. El desafío de las izquierdas latinoamericanas es anticiparse avanzando en una agenda interna e internacional que se articule con las tendencias estructurales multicéntricas para realizar los cambios en las condiciones económicas más  ventajosas.</w:t>
      </w:r>
    </w:p>
    <w:p>
      <w:pPr>
        <w:pStyle w:val="BodyText"/>
        <w:rPr>
          <w:sz w:val="25"/>
        </w:rPr>
      </w:pPr>
    </w:p>
    <w:p>
      <w:pPr>
        <w:spacing w:before="0"/>
        <w:ind w:left="670" w:right="674" w:firstLine="0"/>
        <w:jc w:val="center"/>
        <w:rPr>
          <w:rFonts w:ascii="Arial" w:hAnsi="Arial"/>
          <w:b/>
          <w:sz w:val="17"/>
        </w:rPr>
      </w:pPr>
      <w:r>
        <w:rPr>
          <w:rFonts w:ascii="Arial" w:hAnsi="Arial"/>
          <w:b/>
          <w:w w:val="85"/>
          <w:sz w:val="17"/>
        </w:rPr>
        <w:t>Gráfico 1</w:t>
      </w:r>
    </w:p>
    <w:p>
      <w:pPr>
        <w:spacing w:before="8"/>
        <w:ind w:left="2423" w:right="158" w:firstLine="0"/>
        <w:jc w:val="left"/>
        <w:rPr>
          <w:rFonts w:ascii="Arial"/>
          <w:sz w:val="17"/>
        </w:rPr>
      </w:pPr>
      <w:r>
        <w:rPr>
          <w:rFonts w:ascii="Arial"/>
          <w:w w:val="85"/>
          <w:sz w:val="17"/>
        </w:rPr>
        <w:t>Tasa de ganancias en Estados Unidos</w:t>
      </w:r>
    </w:p>
    <w:p>
      <w:pPr>
        <w:pStyle w:val="BodyText"/>
        <w:spacing w:before="3"/>
        <w:rPr>
          <w:rFonts w:ascii="Arial"/>
          <w:sz w:val="10"/>
        </w:rPr>
      </w:pPr>
      <w:r>
        <w:rPr/>
        <w:pict>
          <v:group style="position:absolute;margin-left:39.185101pt;margin-top:7.885545pt;width:349.7pt;height:182.85pt;mso-position-horizontal-relative:page;mso-position-vertical-relative:paragraph;z-index:2032;mso-wrap-distance-left:0;mso-wrap-distance-right:0" coordorigin="784,158" coordsize="6994,3657">
            <v:shape style="position:absolute;left:1020;top:234;width:6552;height:3580" type="#_x0000_t75" stroked="false">
              <v:imagedata r:id="rId95" o:title=""/>
            </v:shape>
            <v:line style="position:absolute" from="794,168" to="7767,168" stroked="true" strokeweight="1pt" strokecolor="#000000"/>
            <w10:wrap type="topAndBottom"/>
          </v:group>
        </w:pict>
      </w:r>
    </w:p>
    <w:p>
      <w:pPr>
        <w:pStyle w:val="BodyText"/>
        <w:spacing w:before="6"/>
        <w:rPr>
          <w:rFonts w:ascii="Arial"/>
          <w:sz w:val="3"/>
        </w:rPr>
      </w:pPr>
    </w:p>
    <w:p>
      <w:pPr>
        <w:pStyle w:val="BodyText"/>
        <w:spacing w:line="20" w:lineRule="exact"/>
        <w:ind w:left="103"/>
        <w:rPr>
          <w:rFonts w:ascii="Arial"/>
          <w:sz w:val="2"/>
        </w:rPr>
      </w:pPr>
      <w:r>
        <w:rPr>
          <w:rFonts w:ascii="Arial"/>
          <w:sz w:val="2"/>
        </w:rPr>
        <w:pict>
          <v:group style="width:349.7pt;height:1pt;mso-position-horizontal-relative:char;mso-position-vertical-relative:line" coordorigin="0,0" coordsize="6994,20">
            <v:line style="position:absolute" from="10,10" to="6983,10" stroked="true" strokeweight="1pt" strokecolor="#000000"/>
          </v:group>
        </w:pict>
      </w:r>
      <w:r>
        <w:rPr>
          <w:rFonts w:ascii="Arial"/>
          <w:sz w:val="2"/>
        </w:rPr>
      </w:r>
    </w:p>
    <w:p>
      <w:pPr>
        <w:spacing w:before="35"/>
        <w:ind w:left="113" w:right="158" w:firstLine="0"/>
        <w:jc w:val="left"/>
        <w:rPr>
          <w:rFonts w:ascii="Arial"/>
          <w:sz w:val="14"/>
        </w:rPr>
      </w:pPr>
      <w:r>
        <w:rPr>
          <w:rFonts w:ascii="Arial"/>
          <w:w w:val="85"/>
          <w:sz w:val="14"/>
        </w:rPr>
        <w:t>Fuente: Economic Report of The President.</w:t>
      </w:r>
    </w:p>
    <w:p>
      <w:pPr>
        <w:spacing w:after="0"/>
        <w:jc w:val="left"/>
        <w:rPr>
          <w:rFonts w:ascii="Arial"/>
          <w:sz w:val="14"/>
        </w:rPr>
        <w:sectPr>
          <w:footerReference w:type="even" r:id="rId93"/>
          <w:footerReference w:type="default" r:id="rId94"/>
          <w:pgSz w:w="8790" w:h="12760"/>
          <w:pgMar w:footer="725" w:header="695" w:top="880" w:bottom="920" w:left="680" w:right="900"/>
          <w:pgNumType w:start="62"/>
        </w:sectPr>
      </w:pPr>
    </w:p>
    <w:p>
      <w:pPr>
        <w:pStyle w:val="BodyText"/>
        <w:spacing w:before="4"/>
        <w:rPr>
          <w:rFonts w:ascii="Arial"/>
          <w:sz w:val="28"/>
        </w:rPr>
      </w:pPr>
    </w:p>
    <w:p>
      <w:pPr>
        <w:spacing w:before="79"/>
        <w:ind w:left="670" w:right="717" w:firstLine="0"/>
        <w:jc w:val="center"/>
        <w:rPr>
          <w:rFonts w:ascii="Arial" w:hAnsi="Arial"/>
          <w:b/>
          <w:sz w:val="17"/>
        </w:rPr>
      </w:pPr>
      <w:r>
        <w:rPr>
          <w:rFonts w:ascii="Arial" w:hAnsi="Arial"/>
          <w:b/>
          <w:w w:val="85"/>
          <w:sz w:val="17"/>
        </w:rPr>
        <w:t>Gráfico 2</w:t>
      </w:r>
    </w:p>
    <w:p>
      <w:pPr>
        <w:spacing w:before="8"/>
        <w:ind w:left="670" w:right="717" w:firstLine="0"/>
        <w:jc w:val="center"/>
        <w:rPr>
          <w:rFonts w:ascii="Arial"/>
          <w:sz w:val="17"/>
        </w:rPr>
      </w:pPr>
      <w:r>
        <w:rPr>
          <w:rFonts w:ascii="Arial"/>
          <w:w w:val="85"/>
          <w:sz w:val="17"/>
        </w:rPr>
        <w:t>Masa de ganancias de las corporaciones de Estados Unidos oriundas del exterior</w:t>
      </w:r>
    </w:p>
    <w:p>
      <w:pPr>
        <w:pStyle w:val="BodyText"/>
        <w:spacing w:before="8"/>
        <w:rPr>
          <w:rFonts w:ascii="Arial"/>
          <w:sz w:val="9"/>
        </w:rPr>
      </w:pPr>
      <w:r>
        <w:rPr/>
        <w:pict>
          <v:line style="position:absolute;mso-position-horizontal-relative:page;mso-position-vertical-relative:paragraph;z-index:2080;mso-wrap-distance-left:0;mso-wrap-distance-right:0" from="51.023602pt,8.073554pt" to="399.684602pt,8.073554pt" stroked="true" strokeweight="1pt" strokecolor="#000000">
            <w10:wrap type="topAndBottom"/>
          </v:line>
        </w:pict>
      </w:r>
    </w:p>
    <w:p>
      <w:pPr>
        <w:pStyle w:val="BodyText"/>
        <w:spacing w:before="4"/>
        <w:rPr>
          <w:rFonts w:ascii="Arial"/>
          <w:sz w:val="12"/>
        </w:rPr>
      </w:pPr>
    </w:p>
    <w:p>
      <w:pPr>
        <w:spacing w:before="0"/>
        <w:ind w:left="467" w:right="158" w:firstLine="0"/>
        <w:jc w:val="left"/>
        <w:rPr>
          <w:rFonts w:ascii="Arial"/>
          <w:sz w:val="13"/>
        </w:rPr>
      </w:pPr>
      <w:r>
        <w:rPr/>
        <w:pict>
          <v:line style="position:absolute;mso-position-horizontal-relative:page;mso-position-vertical-relative:paragraph;z-index:2224" from="98.548401pt,3.347285pt" to="381.819401pt,3.347285pt" stroked="true" strokeweight=".572pt" strokecolor="#9b9d9f">
            <w10:wrap type="none"/>
          </v:line>
        </w:pict>
      </w:r>
      <w:r>
        <w:rPr>
          <w:rFonts w:ascii="Arial"/>
          <w:color w:val="39383A"/>
          <w:w w:val="110"/>
          <w:sz w:val="13"/>
        </w:rPr>
        <w:t>35,00%</w:t>
      </w:r>
    </w:p>
    <w:p>
      <w:pPr>
        <w:pStyle w:val="BodyText"/>
        <w:spacing w:before="7"/>
        <w:rPr>
          <w:rFonts w:ascii="Arial"/>
          <w:sz w:val="9"/>
        </w:rPr>
      </w:pPr>
    </w:p>
    <w:p>
      <w:pPr>
        <w:spacing w:before="91"/>
        <w:ind w:left="467" w:right="158" w:firstLine="0"/>
        <w:jc w:val="left"/>
        <w:rPr>
          <w:rFonts w:ascii="Arial"/>
          <w:sz w:val="13"/>
        </w:rPr>
      </w:pPr>
      <w:r>
        <w:rPr/>
        <w:pict>
          <v:group style="position:absolute;margin-left:98.248398pt;margin-top:6.676192pt;width:283.9pt;height:89.3pt;mso-position-horizontal-relative:page;mso-position-vertical-relative:paragraph;z-index:2200" coordorigin="1965,134" coordsize="5678,1786">
            <v:line style="position:absolute" from="1971,1913" to="7636,1913" stroked="true" strokeweight=".572pt" strokecolor="#9b9d9f"/>
            <v:shape style="position:absolute;left:0;top:10376;width:579;height:167" coordorigin="0,10376" coordsize="579,167" path="m2030,1803l2147,1843m2147,1843l2260,1893m2260,1893l2378,1851m2378,1851l2491,1822m2491,1822l2608,1726e" filled="false" stroked="true" strokeweight="1.717pt" strokecolor="#000000">
              <v:path arrowok="t"/>
            </v:shape>
            <v:line style="position:absolute" from="1971,1561" to="7636,1561" stroked="true" strokeweight=".572pt" strokecolor="#9b9d9f"/>
            <v:shape style="position:absolute;left:579;top:10003;width:462;height:374" coordorigin="579,10003" coordsize="462,374" path="m2608,1726l2722,1598m2722,1598l2839,1642m2839,1642l2956,1613m2956,1613l3070,1353e" filled="false" stroked="true" strokeweight="1.717pt" strokecolor="#000000">
              <v:path arrowok="t"/>
            </v:shape>
            <v:line style="position:absolute" from="1971,1213" to="7636,1213" stroked="true" strokeweight=".572pt" strokecolor="#9b9d9f"/>
            <v:shape style="position:absolute;left:1040;top:9658;width:1850;height:568" coordorigin="1040,9658" coordsize="1850,568" path="m3070,1353l3187,1140m3187,1140l3301,1506m3301,1506l3418,1561m3418,1561l3532,1576m3532,1576l3649,1550m3649,1550l3762,1217m3762,1217l3880,1093m3880,1093l3997,1316m3997,1316l4110,1030m4110,1030l4228,1184m4228,1184l4341,1298m4341,1298l4458,1224m4458,1224l4572,1169m4572,1169l4689,1169m4689,1169l4803,1177m4803,1177l4920,1008e" filled="false" stroked="true" strokeweight="1.717pt" strokecolor="#000000">
              <v:path arrowok="t"/>
            </v:shape>
            <v:line style="position:absolute" from="1971,862" to="7636,862" stroked="true" strokeweight=".572pt" strokecolor="#9b9d9f"/>
            <v:shape style="position:absolute;left:2890;top:9266;width:2081;height:722" coordorigin="2890,9266" coordsize="2081,722" path="m4920,1008l5037,924m5037,924l5151,1023m5151,1023l5268,1177m5268,1177l5381,1217m5381,1217l5499,1331m5499,1331l5612,1290m5612,1290l5730,1305m5730,1305l5843,1338m5843,1338l5960,1290m5960,1290l6078,1169m6078,1169l6191,1169m6191,1169l6308,616m6308,616l6422,616m6422,616l6539,1056m6539,1056l6653,1056m6653,1056l6770,1217m6770,1217l6883,1254m6883,1254l7001,810e" filled="false" stroked="true" strokeweight="1.717pt" strokecolor="#000000">
              <v:path arrowok="t"/>
            </v:shape>
            <v:shape style="position:absolute;left:0;top:8699;width:5666;height:352" coordorigin="0,8699" coordsize="5666,352" path="m1971,510l7636,510m1971,158l7636,158e" filled="false" stroked="true" strokeweight=".572pt" strokecolor="#9b9d9f">
              <v:path arrowok="t"/>
            </v:shape>
            <v:shape style="position:absolute;left:4971;top:8801;width:578;height:726" coordorigin="4971,8801" coordsize="578,726" path="m7001,810l7118,151m7118,151l7231,550m7231,550l7349,679m7349,679l7462,543m7462,543l7579,876e" filled="false" stroked="true" strokeweight="1.717pt" strokecolor="#000000">
              <v:path arrowok="t"/>
            </v:shape>
            <w10:wrap type="none"/>
          </v:group>
        </w:pict>
      </w:r>
      <w:r>
        <w:rPr>
          <w:rFonts w:ascii="Arial"/>
          <w:color w:val="39383A"/>
          <w:w w:val="110"/>
          <w:sz w:val="13"/>
        </w:rPr>
        <w:t>30,00%</w:t>
      </w:r>
    </w:p>
    <w:p>
      <w:pPr>
        <w:pStyle w:val="BodyText"/>
        <w:spacing w:before="7"/>
        <w:rPr>
          <w:rFonts w:ascii="Arial"/>
          <w:sz w:val="9"/>
        </w:rPr>
      </w:pPr>
    </w:p>
    <w:p>
      <w:pPr>
        <w:spacing w:before="91"/>
        <w:ind w:left="467" w:right="158" w:firstLine="0"/>
        <w:jc w:val="left"/>
        <w:rPr>
          <w:rFonts w:ascii="Arial"/>
          <w:sz w:val="13"/>
        </w:rPr>
      </w:pPr>
      <w:r>
        <w:rPr>
          <w:rFonts w:ascii="Arial"/>
          <w:color w:val="39383A"/>
          <w:w w:val="110"/>
          <w:sz w:val="13"/>
        </w:rPr>
        <w:t>25,00%</w:t>
      </w:r>
    </w:p>
    <w:p>
      <w:pPr>
        <w:pStyle w:val="BodyText"/>
        <w:spacing w:before="7"/>
        <w:rPr>
          <w:rFonts w:ascii="Arial"/>
          <w:sz w:val="9"/>
        </w:rPr>
      </w:pPr>
    </w:p>
    <w:p>
      <w:pPr>
        <w:spacing w:before="91"/>
        <w:ind w:left="467" w:right="158" w:firstLine="0"/>
        <w:jc w:val="left"/>
        <w:rPr>
          <w:rFonts w:ascii="Arial"/>
          <w:sz w:val="13"/>
        </w:rPr>
      </w:pPr>
      <w:r>
        <w:rPr>
          <w:rFonts w:ascii="Arial"/>
          <w:color w:val="39383A"/>
          <w:w w:val="110"/>
          <w:sz w:val="13"/>
        </w:rPr>
        <w:t>20,00%</w:t>
      </w:r>
    </w:p>
    <w:p>
      <w:pPr>
        <w:pStyle w:val="BodyText"/>
        <w:spacing w:before="7"/>
        <w:rPr>
          <w:rFonts w:ascii="Arial"/>
          <w:sz w:val="9"/>
        </w:rPr>
      </w:pPr>
    </w:p>
    <w:p>
      <w:pPr>
        <w:spacing w:before="91"/>
        <w:ind w:left="467" w:right="158" w:firstLine="0"/>
        <w:jc w:val="left"/>
        <w:rPr>
          <w:rFonts w:ascii="Arial"/>
          <w:sz w:val="13"/>
        </w:rPr>
      </w:pPr>
      <w:r>
        <w:rPr>
          <w:rFonts w:ascii="Arial"/>
          <w:color w:val="39383A"/>
          <w:w w:val="110"/>
          <w:sz w:val="13"/>
        </w:rPr>
        <w:t>15,00%</w:t>
      </w:r>
    </w:p>
    <w:p>
      <w:pPr>
        <w:pStyle w:val="BodyText"/>
        <w:spacing w:before="7"/>
        <w:rPr>
          <w:rFonts w:ascii="Arial"/>
          <w:sz w:val="9"/>
        </w:rPr>
      </w:pPr>
    </w:p>
    <w:p>
      <w:pPr>
        <w:spacing w:before="91"/>
        <w:ind w:left="467" w:right="158" w:firstLine="0"/>
        <w:jc w:val="left"/>
        <w:rPr>
          <w:rFonts w:ascii="Arial"/>
          <w:sz w:val="13"/>
        </w:rPr>
      </w:pPr>
      <w:r>
        <w:rPr>
          <w:rFonts w:ascii="Arial"/>
          <w:color w:val="39383A"/>
          <w:w w:val="110"/>
          <w:sz w:val="13"/>
        </w:rPr>
        <w:t>10,00%</w:t>
      </w:r>
    </w:p>
    <w:p>
      <w:pPr>
        <w:pStyle w:val="BodyText"/>
        <w:spacing w:before="7"/>
        <w:rPr>
          <w:rFonts w:ascii="Arial"/>
          <w:sz w:val="9"/>
        </w:rPr>
      </w:pPr>
    </w:p>
    <w:p>
      <w:pPr>
        <w:spacing w:before="91"/>
        <w:ind w:left="544" w:right="158" w:firstLine="0"/>
        <w:jc w:val="left"/>
        <w:rPr>
          <w:rFonts w:ascii="Arial"/>
          <w:sz w:val="13"/>
        </w:rPr>
      </w:pPr>
      <w:r>
        <w:rPr>
          <w:rFonts w:ascii="Arial"/>
          <w:color w:val="39383A"/>
          <w:w w:val="110"/>
          <w:sz w:val="13"/>
        </w:rPr>
        <w:t>5,00%</w:t>
      </w:r>
    </w:p>
    <w:p>
      <w:pPr>
        <w:pStyle w:val="BodyText"/>
        <w:spacing w:before="7"/>
        <w:rPr>
          <w:rFonts w:ascii="Arial"/>
          <w:sz w:val="9"/>
        </w:rPr>
      </w:pPr>
    </w:p>
    <w:p>
      <w:pPr>
        <w:spacing w:before="91"/>
        <w:ind w:left="544" w:right="158" w:firstLine="0"/>
        <w:jc w:val="left"/>
        <w:rPr>
          <w:rFonts w:ascii="Arial"/>
          <w:sz w:val="13"/>
        </w:rPr>
      </w:pPr>
      <w:r>
        <w:rPr/>
        <w:drawing>
          <wp:anchor distT="0" distB="0" distL="0" distR="0" allowOverlap="1" layoutInCell="1" locked="0" behindDoc="0" simplePos="0" relativeHeight="2104">
            <wp:simplePos x="0" y="0"/>
            <wp:positionH relativeFrom="page">
              <wp:posOffset>1144681</wp:posOffset>
            </wp:positionH>
            <wp:positionV relativeFrom="paragraph">
              <wp:posOffset>183883</wp:posOffset>
            </wp:positionV>
            <wp:extent cx="3698451" cy="171450"/>
            <wp:effectExtent l="0" t="0" r="0" b="0"/>
            <wp:wrapTopAndBottom/>
            <wp:docPr id="3" name="image32.png" descr=""/>
            <wp:cNvGraphicFramePr>
              <a:graphicFrameLocks noChangeAspect="1"/>
            </wp:cNvGraphicFramePr>
            <a:graphic>
              <a:graphicData uri="http://schemas.openxmlformats.org/drawingml/2006/picture">
                <pic:pic>
                  <pic:nvPicPr>
                    <pic:cNvPr id="4" name="image32.png"/>
                    <pic:cNvPicPr/>
                  </pic:nvPicPr>
                  <pic:blipFill>
                    <a:blip r:embed="rId96" cstate="print"/>
                    <a:stretch>
                      <a:fillRect/>
                    </a:stretch>
                  </pic:blipFill>
                  <pic:spPr>
                    <a:xfrm>
                      <a:off x="0" y="0"/>
                      <a:ext cx="3698451" cy="171450"/>
                    </a:xfrm>
                    <a:prstGeom prst="rect">
                      <a:avLst/>
                    </a:prstGeom>
                  </pic:spPr>
                </pic:pic>
              </a:graphicData>
            </a:graphic>
          </wp:anchor>
        </w:drawing>
      </w:r>
      <w:r>
        <w:rPr/>
        <w:pict>
          <v:line style="position:absolute;mso-position-horizontal-relative:page;mso-position-vertical-relative:paragraph;z-index:2128;mso-wrap-distance-left:0;mso-wrap-distance-right:0" from="51.023602pt,37.350716pt" to="399.684602pt,37.350716pt" stroked="true" strokeweight="1pt" strokecolor="#000000">
            <w10:wrap type="topAndBottom"/>
          </v:line>
        </w:pict>
      </w:r>
      <w:r>
        <w:rPr/>
        <w:pict>
          <v:line style="position:absolute;mso-position-horizontal-relative:page;mso-position-vertical-relative:paragraph;z-index:2248" from="98.619301pt,7.899514pt" to="381.820301pt,7.899514pt" stroked="true" strokeweight=".572pt" strokecolor="#e3e4e5">
            <w10:wrap type="none"/>
          </v:line>
        </w:pict>
      </w:r>
      <w:r>
        <w:rPr>
          <w:rFonts w:ascii="Arial"/>
          <w:color w:val="39383A"/>
          <w:w w:val="110"/>
          <w:sz w:val="13"/>
        </w:rPr>
        <w:t>0,00%</w:t>
      </w:r>
    </w:p>
    <w:p>
      <w:pPr>
        <w:pStyle w:val="BodyText"/>
        <w:spacing w:before="5"/>
        <w:rPr>
          <w:rFonts w:ascii="Arial"/>
          <w:sz w:val="9"/>
        </w:rPr>
      </w:pPr>
    </w:p>
    <w:p>
      <w:pPr>
        <w:spacing w:before="13"/>
        <w:ind w:left="120" w:right="158" w:firstLine="0"/>
        <w:jc w:val="left"/>
        <w:rPr>
          <w:rFonts w:ascii="Arial"/>
          <w:sz w:val="14"/>
        </w:rPr>
      </w:pPr>
      <w:r>
        <w:rPr>
          <w:rFonts w:ascii="Arial"/>
          <w:w w:val="85"/>
          <w:sz w:val="14"/>
        </w:rPr>
        <w:t>Fuente: Economic Report of The President.</w:t>
      </w:r>
    </w:p>
    <w:p>
      <w:pPr>
        <w:pStyle w:val="BodyText"/>
        <w:rPr>
          <w:rFonts w:ascii="Arial"/>
          <w:sz w:val="20"/>
        </w:rPr>
      </w:pPr>
    </w:p>
    <w:p>
      <w:pPr>
        <w:spacing w:after="0"/>
        <w:rPr>
          <w:rFonts w:ascii="Arial"/>
          <w:sz w:val="20"/>
        </w:rPr>
        <w:sectPr>
          <w:pgSz w:w="8790" w:h="12760"/>
          <w:pgMar w:header="697" w:footer="723" w:top="880" w:bottom="920" w:left="900" w:right="680"/>
        </w:sect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spacing w:before="7"/>
        <w:rPr>
          <w:rFonts w:ascii="Arial"/>
        </w:rPr>
      </w:pPr>
    </w:p>
    <w:p>
      <w:pPr>
        <w:spacing w:before="1"/>
        <w:ind w:left="120" w:right="0" w:firstLine="0"/>
        <w:jc w:val="left"/>
        <w:rPr>
          <w:rFonts w:ascii="Arial"/>
          <w:sz w:val="14"/>
        </w:rPr>
      </w:pPr>
      <w:r>
        <w:rPr/>
        <w:pict>
          <v:line style="position:absolute;mso-position-horizontal-relative:page;mso-position-vertical-relative:paragraph;z-index:2176" from="51.023602pt,-2.155383pt" to="399.684602pt,-2.155383pt" stroked="true" strokeweight="1pt" strokecolor="#000000">
            <w10:wrap type="none"/>
          </v:line>
        </w:pict>
      </w:r>
      <w:r>
        <w:rPr/>
        <w:drawing>
          <wp:anchor distT="0" distB="0" distL="0" distR="0" allowOverlap="1" layoutInCell="1" locked="0" behindDoc="0" simplePos="0" relativeHeight="2272">
            <wp:simplePos x="0" y="0"/>
            <wp:positionH relativeFrom="page">
              <wp:posOffset>806400</wp:posOffset>
            </wp:positionH>
            <wp:positionV relativeFrom="paragraph">
              <wp:posOffset>-1882123</wp:posOffset>
            </wp:positionV>
            <wp:extent cx="4023752" cy="1753492"/>
            <wp:effectExtent l="0" t="0" r="0" b="0"/>
            <wp:wrapNone/>
            <wp:docPr id="5" name="image33.png" descr=""/>
            <wp:cNvGraphicFramePr>
              <a:graphicFrameLocks noChangeAspect="1"/>
            </wp:cNvGraphicFramePr>
            <a:graphic>
              <a:graphicData uri="http://schemas.openxmlformats.org/drawingml/2006/picture">
                <pic:pic>
                  <pic:nvPicPr>
                    <pic:cNvPr id="6" name="image33.png"/>
                    <pic:cNvPicPr/>
                  </pic:nvPicPr>
                  <pic:blipFill>
                    <a:blip r:embed="rId97" cstate="print"/>
                    <a:stretch>
                      <a:fillRect/>
                    </a:stretch>
                  </pic:blipFill>
                  <pic:spPr>
                    <a:xfrm>
                      <a:off x="0" y="0"/>
                      <a:ext cx="4023752" cy="1753492"/>
                    </a:xfrm>
                    <a:prstGeom prst="rect">
                      <a:avLst/>
                    </a:prstGeom>
                  </pic:spPr>
                </pic:pic>
              </a:graphicData>
            </a:graphic>
          </wp:anchor>
        </w:drawing>
      </w:r>
      <w:r>
        <w:rPr>
          <w:rFonts w:ascii="Arial"/>
          <w:w w:val="75"/>
          <w:sz w:val="14"/>
        </w:rPr>
        <w:t>Fuente: OCDE.</w:t>
      </w:r>
    </w:p>
    <w:p>
      <w:pPr>
        <w:pStyle w:val="BodyText"/>
        <w:spacing w:before="11"/>
        <w:rPr>
          <w:rFonts w:ascii="Arial"/>
          <w:sz w:val="21"/>
        </w:rPr>
      </w:pPr>
      <w:r>
        <w:rPr/>
        <w:br w:type="column"/>
      </w:r>
      <w:r>
        <w:rPr>
          <w:rFonts w:ascii="Arial"/>
          <w:sz w:val="21"/>
        </w:rPr>
      </w:r>
    </w:p>
    <w:p>
      <w:pPr>
        <w:spacing w:before="0"/>
        <w:ind w:left="112" w:right="2872" w:firstLine="0"/>
        <w:jc w:val="center"/>
        <w:rPr>
          <w:rFonts w:ascii="Arial" w:hAnsi="Arial"/>
          <w:b/>
          <w:sz w:val="17"/>
        </w:rPr>
      </w:pPr>
      <w:r>
        <w:rPr>
          <w:rFonts w:ascii="Arial" w:hAnsi="Arial"/>
          <w:b/>
          <w:w w:val="85"/>
          <w:sz w:val="17"/>
        </w:rPr>
        <w:t>Gráfico 3</w:t>
      </w:r>
    </w:p>
    <w:p>
      <w:pPr>
        <w:spacing w:before="8"/>
        <w:ind w:left="112" w:right="2872" w:firstLine="0"/>
        <w:jc w:val="center"/>
        <w:rPr>
          <w:rFonts w:ascii="Arial" w:hAnsi="Arial"/>
          <w:sz w:val="17"/>
        </w:rPr>
      </w:pPr>
      <w:r>
        <w:rPr/>
        <w:pict>
          <v:line style="position:absolute;mso-position-horizontal-relative:page;mso-position-vertical-relative:paragraph;z-index:2152" from="51.023602pt,18.319212pt" to="399.684602pt,18.319212pt" stroked="true" strokeweight="1pt" strokecolor="#000000">
            <w10:wrap type="none"/>
          </v:line>
        </w:pict>
      </w:r>
      <w:r>
        <w:rPr>
          <w:rFonts w:ascii="Arial" w:hAnsi="Arial"/>
          <w:w w:val="80"/>
          <w:sz w:val="17"/>
        </w:rPr>
        <w:t>Gastos públicos/PIB (%)</w:t>
      </w:r>
    </w:p>
    <w:p>
      <w:pPr>
        <w:spacing w:after="0"/>
        <w:jc w:val="center"/>
        <w:rPr>
          <w:rFonts w:ascii="Arial" w:hAnsi="Arial"/>
          <w:sz w:val="17"/>
        </w:rPr>
        <w:sectPr>
          <w:type w:val="continuous"/>
          <w:pgSz w:w="8790" w:h="12760"/>
          <w:pgMar w:top="360" w:bottom="280" w:left="900" w:right="680"/>
          <w:cols w:num="2" w:equalWidth="0">
            <w:col w:w="862" w:space="1850"/>
            <w:col w:w="4498"/>
          </w:cols>
        </w:sectPr>
      </w:pPr>
    </w:p>
    <w:p>
      <w:pPr>
        <w:pStyle w:val="BodyText"/>
        <w:spacing w:before="2"/>
        <w:rPr>
          <w:rFonts w:ascii="Arial"/>
          <w:sz w:val="28"/>
        </w:rPr>
      </w:pPr>
    </w:p>
    <w:p>
      <w:pPr>
        <w:spacing w:before="79"/>
        <w:ind w:left="1266" w:right="2170" w:firstLine="0"/>
        <w:jc w:val="center"/>
        <w:rPr>
          <w:rFonts w:ascii="Arial" w:hAnsi="Arial"/>
          <w:b/>
          <w:sz w:val="17"/>
        </w:rPr>
      </w:pPr>
      <w:r>
        <w:rPr>
          <w:rFonts w:ascii="Arial" w:hAnsi="Arial"/>
          <w:b/>
          <w:w w:val="85"/>
          <w:sz w:val="17"/>
        </w:rPr>
        <w:t>Gráfico 4</w:t>
      </w:r>
    </w:p>
    <w:p>
      <w:pPr>
        <w:spacing w:before="8"/>
        <w:ind w:left="1266" w:right="2170" w:firstLine="0"/>
        <w:jc w:val="center"/>
        <w:rPr>
          <w:rFonts w:ascii="Arial"/>
          <w:sz w:val="17"/>
        </w:rPr>
      </w:pPr>
      <w:r>
        <w:rPr>
          <w:rFonts w:ascii="Arial"/>
          <w:w w:val="85"/>
          <w:sz w:val="17"/>
        </w:rPr>
        <w:t>Deuda bruta del gobierno/PIB</w:t>
      </w:r>
    </w:p>
    <w:p>
      <w:pPr>
        <w:pStyle w:val="BodyText"/>
        <w:spacing w:before="3"/>
        <w:rPr>
          <w:rFonts w:ascii="Arial"/>
          <w:sz w:val="9"/>
        </w:rPr>
      </w:pPr>
      <w:r>
        <w:rPr/>
        <w:pict>
          <v:line style="position:absolute;mso-position-horizontal-relative:page;mso-position-vertical-relative:paragraph;z-index:2296;mso-wrap-distance-left:0;mso-wrap-distance-right:0" from="39.685101pt,7.798153pt" to="388.346101pt,7.798153pt" stroked="true" strokeweight="1pt" strokecolor="#000000">
            <w10:wrap type="topAndBottom"/>
          </v:line>
        </w:pict>
      </w:r>
    </w:p>
    <w:p>
      <w:pPr>
        <w:pStyle w:val="BodyText"/>
        <w:rPr>
          <w:rFonts w:ascii="Arial"/>
          <w:sz w:val="12"/>
        </w:rPr>
      </w:pPr>
    </w:p>
    <w:p>
      <w:pPr>
        <w:spacing w:before="0"/>
        <w:ind w:left="686" w:right="1016" w:firstLine="0"/>
        <w:jc w:val="left"/>
        <w:rPr>
          <w:rFonts w:ascii="Arial"/>
          <w:sz w:val="13"/>
        </w:rPr>
      </w:pPr>
      <w:r>
        <w:rPr/>
        <w:pict>
          <v:line style="position:absolute;mso-position-horizontal-relative:page;mso-position-vertical-relative:paragraph;z-index:2416" from="85.566803pt,3.474152pt" to="366.952803pt,3.474152pt" stroked="true" strokeweight=".559pt" strokecolor="#e3e4e5">
            <w10:wrap type="none"/>
          </v:line>
        </w:pict>
      </w:r>
      <w:r>
        <w:rPr>
          <w:rFonts w:ascii="Arial"/>
          <w:sz w:val="13"/>
        </w:rPr>
        <w:t>120</w:t>
      </w:r>
    </w:p>
    <w:p>
      <w:pPr>
        <w:pStyle w:val="BodyText"/>
        <w:spacing w:before="6"/>
        <w:rPr>
          <w:rFonts w:ascii="Arial"/>
          <w:sz w:val="12"/>
        </w:rPr>
      </w:pPr>
    </w:p>
    <w:p>
      <w:pPr>
        <w:spacing w:before="87"/>
        <w:ind w:left="686" w:right="1016" w:firstLine="0"/>
        <w:jc w:val="left"/>
        <w:rPr>
          <w:rFonts w:ascii="Arial"/>
          <w:sz w:val="13"/>
        </w:rPr>
      </w:pPr>
      <w:r>
        <w:rPr/>
        <w:pict>
          <v:group style="position:absolute;margin-left:85.264099pt;margin-top:-1.217898pt;width:282pt;height:105.05pt;mso-position-horizontal-relative:page;mso-position-vertical-relative:paragraph;z-index:2392" coordorigin="1705,-24" coordsize="5640,2101">
            <v:shape style="position:absolute;left:4545;top:9287;width:1084;height:1142" coordorigin="4545,9287" coordsize="1084,1142" path="m7194,1679l7339,1679m7022,1679l7058,1679m6854,1679l6889,1679m6256,1679l6718,1679m6256,1300l6718,1300m6256,917l6718,917m6256,537l6718,537e" filled="false" stroked="true" strokeweight=".559pt" strokecolor="#e3e4e5">
              <v:path arrowok="t"/>
            </v:shape>
            <v:rect style="position:absolute;left:6549;top:423;width:132;height:1639" filled="false" stroked="true" strokeweight="1.491pt" strokecolor="#000000"/>
            <v:shape style="position:absolute;left:0;top:8904;width:5179;height:1146" coordorigin="0,8904" coordsize="5179,1146" path="m6854,1300l6889,1300m6854,917l6889,917m6854,537l6889,537m6854,155l6889,155m1711,155l6718,155e" filled="false" stroked="true" strokeweight=".559pt" strokecolor="#e3e4e5">
              <v:path arrowok="t"/>
            </v:shape>
            <v:rect style="position:absolute;left:6718;top:29;width:136;height:2032" filled="true" fillcolor="#929496" stroked="false">
              <v:fill type="solid"/>
            </v:rect>
            <v:shape style="position:absolute;left:0;top:9287;width:4241;height:1142" coordorigin="0,9287" coordsize="4241,1142" path="m5912,1679l5952,1679m5315,1679l5780,1679m5315,1300l5780,1300m5315,917l5780,917m1711,537l5780,537e" filled="false" stroked="true" strokeweight=".559pt" strokecolor="#e3e4e5">
              <v:path arrowok="t"/>
            </v:shape>
            <v:rect style="position:absolute;left:5608;top:520;width:136;height:1542" filled="false" stroked="true" strokeweight="1.491pt" strokecolor="#000000"/>
            <v:shape style="position:absolute;left:0;top:10049;width:1425;height:380" coordorigin="0,10049" coordsize="1425,380" path="m3100,1679l3136,1679m2502,1679l2967,1679m1711,1300l2967,1300e" filled="false" stroked="true" strokeweight=".559pt" strokecolor="#e3e4e5">
              <v:path arrowok="t"/>
            </v:shape>
            <v:rect style="position:absolute;left:2796;top:1282;width:136;height:780" filled="false" stroked="true" strokeweight="1.491pt" strokecolor="#000000"/>
            <v:shape style="position:absolute;left:0;top:9666;width:1425;height:383" coordorigin="0,9666" coordsize="1425,383" path="m3100,1300l3136,1300m3100,917l3136,917m1711,917l2967,917e" filled="false" stroked="true" strokeweight=".559pt" strokecolor="#e3e4e5">
              <v:path arrowok="t"/>
            </v:shape>
            <v:rect style="position:absolute;left:2967;top:860;width:132;height:1202" filled="true" fillcolor="#929496" stroked="false">
              <v:fill type="solid"/>
            </v:rect>
            <v:shape style="position:absolute;left:1728;top:9666;width:634;height:763" coordorigin="1728,9666" coordsize="634,763" path="m4037,1679l4073,1679m3440,1679l3905,1679m3440,1300l3905,1300m3440,917l3905,917e" filled="false" stroked="true" strokeweight=".559pt" strokecolor="#e3e4e5">
              <v:path arrowok="t"/>
            </v:shape>
            <v:rect style="position:absolute;left:3733;top:910;width:136;height:1152" filled="false" stroked="true" strokeweight="1.491pt" strokecolor="#000000"/>
            <v:shape style="position:absolute;left:2326;top:9666;width:36;height:383" coordorigin="2326,9666" coordsize="36,383" path="m4037,1300l4073,1300m4037,917l4073,917e" filled="false" stroked="true" strokeweight=".559pt" strokecolor="#e3e4e5">
              <v:path arrowok="t"/>
            </v:shape>
            <v:rect style="position:absolute;left:3905;top:616;width:132;height:1445" filled="true" fillcolor="#929496" stroked="false">
              <v:fill type="solid"/>
            </v:rect>
            <v:shape style="position:absolute;left:2498;top:9666;width:802;height:763" coordorigin="2498,9666" coordsize="802,763" path="m4975,1679l5011,1679m4377,1679l4842,1679m4377,1300l4842,1300m4209,917l4842,917e" filled="false" stroked="true" strokeweight=".559pt" strokecolor="#e3e4e5">
              <v:path arrowok="t"/>
            </v:shape>
            <v:rect style="position:absolute;left:4671;top:749;width:136;height:1313" filled="false" stroked="true" strokeweight="1.491pt" strokecolor="#000000"/>
            <v:shape style="position:absolute;left:3264;top:9666;width:36;height:383" coordorigin="3264,9666" coordsize="36,383" path="m4975,1300l5011,1300m4975,917l5011,917e" filled="false" stroked="true" strokeweight=".559pt" strokecolor="#e3e4e5">
              <v:path arrowok="t"/>
            </v:shape>
            <v:rect style="position:absolute;left:4842;top:616;width:132;height:1445" filled="true" fillcolor="#929496" stroked="false">
              <v:fill type="solid"/>
            </v:rect>
            <v:shape style="position:absolute;left:4201;top:9287;width:40;height:763" coordorigin="4201,9287" coordsize="40,763" path="m5912,1300l5952,1300m5912,917l5952,917m5912,537l5952,537e" filled="false" stroked="true" strokeweight=".559pt" strokecolor="#e3e4e5">
              <v:path arrowok="t"/>
            </v:shape>
            <v:rect style="position:absolute;left:5780;top:301;width:132;height:1760" filled="true" fillcolor="#929496" stroked="false">
              <v:fill type="solid"/>
            </v:rect>
            <v:shape style="position:absolute;left:1560;top:9666;width:36;height:763" coordorigin="1560,9666" coordsize="36,763" path="m3272,1679l3307,1679m3272,1300l3307,1300m3272,917l3307,917e" filled="false" stroked="true" strokeweight=".559pt" strokecolor="#e3e4e5">
              <v:path arrowok="t"/>
            </v:shape>
            <v:rect style="position:absolute;left:3136;top:845;width:136;height:1216" filled="true" fillcolor="#d1d3d4" stroked="false">
              <v:fill type="solid"/>
            </v:rect>
            <v:shape style="position:absolute;left:2498;top:10049;width:36;height:380" coordorigin="2498,10049" coordsize="36,380" path="m4209,1679l4245,1679m4209,1300l4245,1300e" filled="false" stroked="true" strokeweight=".559pt" strokecolor="#e3e4e5">
              <v:path arrowok="t"/>
            </v:shape>
            <v:rect style="position:absolute;left:4073;top:734;width:136;height:1327" filled="true" fillcolor="#d1d3d4" stroked="false">
              <v:fill type="solid"/>
            </v:rect>
            <v:shape style="position:absolute;left:3435;top:9666;width:36;height:763" coordorigin="3435,9666" coordsize="36,763" path="m5147,1679l5182,1679m5147,1300l5182,1300m5147,917l5182,917e" filled="false" stroked="true" strokeweight=".559pt" strokecolor="#e3e4e5">
              <v:path arrowok="t"/>
            </v:shape>
            <v:rect style="position:absolute;left:5011;top:555;width:136;height:1506" filled="true" fillcolor="#d1d3d4" stroked="false">
              <v:fill type="solid"/>
            </v:rect>
            <v:shape style="position:absolute;left:4373;top:9287;width:36;height:1142" coordorigin="4373,9287" coordsize="36,1142" path="m6084,1679l6120,1679m6084,1300l6120,1300m6084,917l6120,917m6084,537l6120,537e" filled="false" stroked="true" strokeweight=".559pt" strokecolor="#e3e4e5">
              <v:path arrowok="t"/>
            </v:shape>
            <v:rect style="position:absolute;left:5952;top:237;width:132;height:1825" filled="true" fillcolor="#d1d3d4" stroked="false">
              <v:fill type="solid"/>
            </v:rect>
            <v:shape style="position:absolute;left:5310;top:8904;width:36;height:1146" coordorigin="5310,8904" coordsize="36,1146" path="m7022,1300l7058,1300m7022,917l7058,917m7022,537l7058,537m7022,155l7058,155e" filled="false" stroked="true" strokeweight=".559pt" strokecolor="#e3e4e5">
              <v:path arrowok="t"/>
            </v:shape>
            <v:rect style="position:absolute;left:6889;top:-24;width:132;height:2086" filled="true" fillcolor="#d1d3d4" stroked="false">
              <v:fill type="solid"/>
            </v:rect>
            <v:line style="position:absolute" from="1711,1679" to="2370,1679" stroked="true" strokeweight=".559pt" strokecolor="#e3e4e5"/>
            <v:shape style="position:absolute;left:2370;top:266;width:3887;height:1796" coordorigin="2370,266" coordsize="3887,1796" path="m2502,1428l2370,1428,2370,2061,2502,2061,2502,1428m3440,838l3307,838,3307,2061,3440,2061,3440,838m4377,970l4245,970,4245,2062,4377,2062,4377,970m5315,741l5182,741,5182,2061,5315,2061,5315,741m6256,266l6120,266,6120,2062,6256,2062,6256,266e" filled="true" fillcolor="#000000" stroked="false">
              <v:path arrowok="t"/>
              <v:fill type="solid"/>
            </v:shape>
            <v:shape style="position:absolute;left:5482;top:8904;width:146;height:1146" coordorigin="5482,8904" coordsize="146,1146" path="m7194,1300l7339,1300m7194,917l7339,917m7194,537l7339,537m7194,155l7339,155e" filled="false" stroked="true" strokeweight=".559pt" strokecolor="#e3e4e5">
              <v:path arrowok="t"/>
            </v:shape>
            <v:rect style="position:absolute;left:7058;top:29;width:136;height:2032" filled="true" fillcolor="#000000" stroked="false">
              <v:fill type="solid"/>
            </v:rect>
            <v:line style="position:absolute" from="1711,2061" to="7339,2061" stroked="true" strokeweight=".559pt" strokecolor="#e3e4e5"/>
            <w10:wrap type="none"/>
          </v:group>
        </w:pict>
      </w:r>
      <w:r>
        <w:rPr>
          <w:rFonts w:ascii="Arial"/>
          <w:sz w:val="13"/>
        </w:rPr>
        <w:t>100</w:t>
      </w:r>
    </w:p>
    <w:p>
      <w:pPr>
        <w:pStyle w:val="BodyText"/>
        <w:spacing w:before="6"/>
        <w:rPr>
          <w:rFonts w:ascii="Arial"/>
          <w:sz w:val="12"/>
        </w:rPr>
      </w:pPr>
    </w:p>
    <w:p>
      <w:pPr>
        <w:spacing w:before="87"/>
        <w:ind w:left="761" w:right="1016" w:firstLine="0"/>
        <w:jc w:val="left"/>
        <w:rPr>
          <w:rFonts w:ascii="Arial"/>
          <w:sz w:val="13"/>
        </w:rPr>
      </w:pPr>
      <w:r>
        <w:rPr>
          <w:rFonts w:ascii="Arial"/>
          <w:sz w:val="13"/>
        </w:rPr>
        <w:t>80</w:t>
      </w:r>
    </w:p>
    <w:p>
      <w:pPr>
        <w:pStyle w:val="BodyText"/>
        <w:spacing w:before="6"/>
        <w:rPr>
          <w:rFonts w:ascii="Arial"/>
          <w:sz w:val="12"/>
        </w:rPr>
      </w:pPr>
    </w:p>
    <w:p>
      <w:pPr>
        <w:spacing w:before="87"/>
        <w:ind w:left="761" w:right="1016" w:firstLine="0"/>
        <w:jc w:val="left"/>
        <w:rPr>
          <w:rFonts w:ascii="Arial"/>
          <w:sz w:val="13"/>
        </w:rPr>
      </w:pPr>
      <w:r>
        <w:rPr/>
        <w:pict>
          <v:shape style="position:absolute;margin-left:57.162163pt;margin-top:-4.555748pt;width:9.5pt;height:32.25pt;mso-position-horizontal-relative:page;mso-position-vertical-relative:paragraph;z-index:2680" type="#_x0000_t202" filled="false" stroked="false">
            <v:textbox inset="0,0,0,0" style="layout-flow:vertical;mso-layout-flow-alt:bottom-to-top">
              <w:txbxContent>
                <w:p>
                  <w:pPr>
                    <w:spacing w:before="1"/>
                    <w:ind w:left="20" w:right="-455" w:firstLine="0"/>
                    <w:jc w:val="left"/>
                    <w:rPr>
                      <w:rFonts w:ascii="Arial"/>
                      <w:sz w:val="15"/>
                    </w:rPr>
                  </w:pPr>
                  <w:r>
                    <w:rPr>
                      <w:rFonts w:ascii="Arial"/>
                      <w:w w:val="84"/>
                      <w:sz w:val="15"/>
                    </w:rPr>
                    <w:t>pe</w:t>
                  </w:r>
                  <w:r>
                    <w:rPr>
                      <w:rFonts w:ascii="Arial"/>
                      <w:spacing w:val="-3"/>
                      <w:w w:val="94"/>
                      <w:sz w:val="15"/>
                    </w:rPr>
                    <w:t>r</w:t>
                  </w:r>
                  <w:r>
                    <w:rPr>
                      <w:rFonts w:ascii="Arial"/>
                      <w:w w:val="86"/>
                      <w:sz w:val="15"/>
                    </w:rPr>
                    <w:t>centaje</w:t>
                  </w:r>
                </w:p>
              </w:txbxContent>
            </v:textbox>
            <w10:wrap type="none"/>
          </v:shape>
        </w:pict>
      </w:r>
      <w:r>
        <w:rPr>
          <w:rFonts w:ascii="Arial"/>
          <w:sz w:val="13"/>
        </w:rPr>
        <w:t>60</w:t>
      </w:r>
    </w:p>
    <w:p>
      <w:pPr>
        <w:pStyle w:val="BodyText"/>
        <w:spacing w:before="6"/>
        <w:rPr>
          <w:rFonts w:ascii="Arial"/>
          <w:sz w:val="12"/>
        </w:rPr>
      </w:pPr>
    </w:p>
    <w:p>
      <w:pPr>
        <w:spacing w:before="87"/>
        <w:ind w:left="761" w:right="1016" w:firstLine="0"/>
        <w:jc w:val="left"/>
        <w:rPr>
          <w:rFonts w:ascii="Arial"/>
          <w:sz w:val="13"/>
        </w:rPr>
      </w:pPr>
      <w:r>
        <w:rPr>
          <w:rFonts w:ascii="Arial"/>
          <w:sz w:val="13"/>
        </w:rPr>
        <w:t>40</w:t>
      </w:r>
    </w:p>
    <w:p>
      <w:pPr>
        <w:pStyle w:val="BodyText"/>
        <w:spacing w:before="6"/>
        <w:rPr>
          <w:rFonts w:ascii="Arial"/>
          <w:sz w:val="12"/>
        </w:rPr>
      </w:pPr>
    </w:p>
    <w:p>
      <w:pPr>
        <w:spacing w:before="87"/>
        <w:ind w:left="761" w:right="1016" w:firstLine="0"/>
        <w:jc w:val="left"/>
        <w:rPr>
          <w:rFonts w:ascii="Arial"/>
          <w:sz w:val="13"/>
        </w:rPr>
      </w:pPr>
      <w:r>
        <w:rPr>
          <w:rFonts w:ascii="Arial"/>
          <w:sz w:val="13"/>
        </w:rPr>
        <w:t>20</w:t>
      </w:r>
    </w:p>
    <w:p>
      <w:pPr>
        <w:pStyle w:val="BodyText"/>
        <w:spacing w:before="6"/>
        <w:rPr>
          <w:rFonts w:ascii="Arial"/>
          <w:sz w:val="12"/>
        </w:rPr>
      </w:pPr>
    </w:p>
    <w:p>
      <w:pPr>
        <w:spacing w:before="87"/>
        <w:ind w:left="835" w:right="0" w:firstLine="0"/>
        <w:jc w:val="left"/>
        <w:rPr>
          <w:rFonts w:ascii="Arial"/>
          <w:sz w:val="13"/>
        </w:rPr>
      </w:pPr>
      <w:r>
        <w:rPr>
          <w:rFonts w:ascii="Arial"/>
          <w:w w:val="89"/>
          <w:sz w:val="13"/>
        </w:rPr>
        <w:t>0</w:t>
      </w:r>
    </w:p>
    <w:p>
      <w:pPr>
        <w:tabs>
          <w:tab w:pos="2288" w:val="left" w:leader="none"/>
          <w:tab w:pos="3232" w:val="left" w:leader="none"/>
          <w:tab w:pos="4167" w:val="left" w:leader="none"/>
          <w:tab w:pos="5108" w:val="left" w:leader="none"/>
          <w:tab w:pos="6043" w:val="left" w:leader="none"/>
        </w:tabs>
        <w:spacing w:before="16"/>
        <w:ind w:left="1348" w:right="1016" w:firstLine="0"/>
        <w:jc w:val="left"/>
        <w:rPr>
          <w:rFonts w:ascii="Arial"/>
          <w:sz w:val="13"/>
        </w:rPr>
      </w:pPr>
      <w:r>
        <w:rPr>
          <w:rFonts w:ascii="Arial"/>
          <w:sz w:val="13"/>
        </w:rPr>
        <w:t>1979</w:t>
        <w:tab/>
        <w:t>1992</w:t>
        <w:tab/>
        <w:t>2000</w:t>
        <w:tab/>
        <w:t>2008</w:t>
        <w:tab/>
        <w:t>2010</w:t>
        <w:tab/>
        <w:t>2013</w:t>
      </w:r>
    </w:p>
    <w:p>
      <w:pPr>
        <w:pStyle w:val="BodyText"/>
        <w:spacing w:before="8"/>
        <w:rPr>
          <w:rFonts w:ascii="Arial"/>
          <w:sz w:val="14"/>
        </w:rPr>
      </w:pPr>
    </w:p>
    <w:p>
      <w:pPr>
        <w:tabs>
          <w:tab w:pos="3253" w:val="left" w:leader="none"/>
          <w:tab w:pos="3791" w:val="left" w:leader="none"/>
          <w:tab w:pos="4402" w:val="left" w:leader="none"/>
        </w:tabs>
        <w:spacing w:before="1"/>
        <w:ind w:left="2478" w:right="1016" w:firstLine="0"/>
        <w:jc w:val="left"/>
        <w:rPr>
          <w:rFonts w:ascii="Arial"/>
          <w:sz w:val="13"/>
        </w:rPr>
      </w:pPr>
      <w:r>
        <w:rPr/>
        <w:pict>
          <v:rect style="position:absolute;margin-left:152.999603pt;margin-top:1.586231pt;width:3.516pt;height:3.516pt;mso-position-horizontal-relative:page;mso-position-vertical-relative:paragraph;z-index:2440" filled="false" stroked="true" strokeweight="1.491pt" strokecolor="#000000">
            <w10:wrap type="none"/>
          </v:rect>
        </w:pict>
      </w:r>
      <w:r>
        <w:rPr/>
        <w:pict>
          <v:line style="position:absolute;mso-position-horizontal-relative:page;mso-position-vertical-relative:paragraph;z-index:-256144" from="191.792999pt,3.343731pt" to="195.308999pt,3.343731pt" stroked="true" strokeweight="3.516pt" strokecolor="#929496">
            <w10:wrap type="none"/>
          </v:line>
        </w:pict>
      </w:r>
      <w:r>
        <w:rPr/>
        <w:pict>
          <v:line style="position:absolute;mso-position-horizontal-relative:page;mso-position-vertical-relative:paragraph;z-index:-256120" from="218.656998pt,3.343731pt" to="222.172998pt,3.343731pt" stroked="true" strokeweight="3.516pt" strokecolor="#d1d3d4">
            <w10:wrap type="none"/>
          </v:line>
        </w:pict>
      </w:r>
      <w:r>
        <w:rPr/>
        <w:pict>
          <v:line style="position:absolute;mso-position-horizontal-relative:page;mso-position-vertical-relative:paragraph;z-index:-256096" from="249.242996pt,3.343731pt" to="252.758996pt,3.343731pt" stroked="true" strokeweight="3.516pt" strokecolor="#000000">
            <w10:wrap type="none"/>
          </v:line>
        </w:pict>
      </w:r>
      <w:r>
        <w:rPr>
          <w:rFonts w:ascii="Arial"/>
          <w:w w:val="90"/>
          <w:sz w:val="13"/>
        </w:rPr>
        <w:t>Alemania</w:t>
        <w:tab/>
        <w:t>Euro</w:t>
        <w:tab/>
      </w:r>
      <w:r>
        <w:rPr>
          <w:rFonts w:ascii="Arial"/>
          <w:w w:val="85"/>
          <w:sz w:val="13"/>
        </w:rPr>
        <w:t>OCDE</w:t>
        <w:tab/>
      </w:r>
      <w:r>
        <w:rPr>
          <w:rFonts w:ascii="Arial"/>
          <w:w w:val="90"/>
          <w:sz w:val="13"/>
        </w:rPr>
        <w:t>USA</w:t>
      </w:r>
    </w:p>
    <w:p>
      <w:pPr>
        <w:pStyle w:val="BodyText"/>
        <w:spacing w:before="6"/>
        <w:rPr>
          <w:rFonts w:ascii="Arial"/>
          <w:sz w:val="14"/>
        </w:rPr>
      </w:pPr>
      <w:r>
        <w:rPr/>
        <w:pict>
          <v:line style="position:absolute;mso-position-horizontal-relative:page;mso-position-vertical-relative:paragraph;z-index:2320;mso-wrap-distance-left:0;mso-wrap-distance-right:0" from="39.685101pt,10.807065pt" to="388.346101pt,10.807065pt" stroked="true" strokeweight="1pt" strokecolor="#000000">
            <w10:wrap type="topAndBottom"/>
          </v:line>
        </w:pict>
      </w:r>
    </w:p>
    <w:p>
      <w:pPr>
        <w:spacing w:before="20"/>
        <w:ind w:left="113" w:right="1016" w:firstLine="0"/>
        <w:jc w:val="left"/>
        <w:rPr>
          <w:rFonts w:ascii="Arial"/>
          <w:sz w:val="14"/>
        </w:rPr>
      </w:pPr>
      <w:r>
        <w:rPr>
          <w:rFonts w:ascii="Arial"/>
          <w:w w:val="80"/>
          <w:sz w:val="14"/>
        </w:rPr>
        <w:t>Fuente: OCDE, Economic Outlook.</w:t>
      </w:r>
    </w:p>
    <w:p>
      <w:pPr>
        <w:pStyle w:val="BodyText"/>
        <w:rPr>
          <w:rFonts w:ascii="Arial"/>
          <w:sz w:val="20"/>
        </w:rPr>
      </w:pPr>
    </w:p>
    <w:p>
      <w:pPr>
        <w:pStyle w:val="BodyText"/>
        <w:spacing w:before="11"/>
        <w:rPr>
          <w:rFonts w:ascii="Arial"/>
          <w:sz w:val="21"/>
        </w:rPr>
      </w:pPr>
    </w:p>
    <w:p>
      <w:pPr>
        <w:spacing w:before="0"/>
        <w:ind w:left="1266" w:right="2170" w:firstLine="0"/>
        <w:jc w:val="center"/>
        <w:rPr>
          <w:rFonts w:ascii="Arial" w:hAnsi="Arial"/>
          <w:b/>
          <w:sz w:val="17"/>
        </w:rPr>
      </w:pPr>
      <w:r>
        <w:rPr>
          <w:rFonts w:ascii="Arial" w:hAnsi="Arial"/>
          <w:b/>
          <w:w w:val="85"/>
          <w:sz w:val="17"/>
        </w:rPr>
        <w:t>Gráfico 5</w:t>
      </w:r>
    </w:p>
    <w:p>
      <w:pPr>
        <w:spacing w:before="8"/>
        <w:ind w:left="1266" w:right="2170" w:firstLine="0"/>
        <w:jc w:val="center"/>
        <w:rPr>
          <w:rFonts w:ascii="Arial" w:hAnsi="Arial"/>
          <w:sz w:val="17"/>
        </w:rPr>
      </w:pPr>
      <w:r>
        <w:rPr>
          <w:rFonts w:ascii="Arial" w:hAnsi="Arial"/>
          <w:w w:val="85"/>
          <w:sz w:val="17"/>
        </w:rPr>
        <w:t>Tasa de inversión en Estados Unidos</w:t>
      </w:r>
    </w:p>
    <w:p>
      <w:pPr>
        <w:pStyle w:val="BodyText"/>
        <w:spacing w:before="3"/>
        <w:rPr>
          <w:rFonts w:ascii="Arial"/>
          <w:sz w:val="10"/>
        </w:rPr>
      </w:pPr>
      <w:r>
        <w:rPr/>
        <w:pict>
          <v:line style="position:absolute;mso-position-horizontal-relative:page;mso-position-vertical-relative:paragraph;z-index:2344;mso-wrap-distance-left:0;mso-wrap-distance-right:0" from="39.685101pt,8.377441pt" to="388.346101pt,8.377441pt" stroked="true" strokeweight="1pt" strokecolor="#000000">
            <w10:wrap type="topAndBottom"/>
          </v:line>
        </w:pict>
      </w:r>
    </w:p>
    <w:p>
      <w:pPr>
        <w:pStyle w:val="BodyText"/>
        <w:spacing w:before="11"/>
        <w:rPr>
          <w:rFonts w:ascii="Arial"/>
          <w:sz w:val="12"/>
        </w:rPr>
      </w:pPr>
    </w:p>
    <w:p>
      <w:pPr>
        <w:spacing w:before="0"/>
        <w:ind w:left="555" w:right="1016" w:firstLine="0"/>
        <w:jc w:val="left"/>
        <w:rPr>
          <w:rFonts w:ascii="Arial"/>
          <w:sz w:val="13"/>
        </w:rPr>
      </w:pPr>
      <w:r>
        <w:rPr/>
        <w:pict>
          <v:line style="position:absolute;mso-position-horizontal-relative:page;mso-position-vertical-relative:paragraph;z-index:2632" from="91.8377pt,3.328418pt" to="366.9027pt,3.328418pt" stroked="true" strokeweight=".570pt" strokecolor="#e3e4e5">
            <w10:wrap type="none"/>
          </v:line>
        </w:pict>
      </w:r>
      <w:r>
        <w:rPr>
          <w:rFonts w:ascii="Arial"/>
          <w:color w:val="39383A"/>
          <w:sz w:val="13"/>
        </w:rPr>
        <w:t>25,00%</w:t>
      </w:r>
    </w:p>
    <w:p>
      <w:pPr>
        <w:pStyle w:val="BodyText"/>
        <w:spacing w:before="11"/>
        <w:rPr>
          <w:rFonts w:ascii="Arial"/>
          <w:sz w:val="23"/>
        </w:rPr>
      </w:pPr>
    </w:p>
    <w:p>
      <w:pPr>
        <w:spacing w:before="90"/>
        <w:ind w:left="555" w:right="1016" w:firstLine="0"/>
        <w:jc w:val="left"/>
        <w:rPr>
          <w:rFonts w:ascii="Arial"/>
          <w:sz w:val="13"/>
        </w:rPr>
      </w:pPr>
      <w:r>
        <w:rPr/>
        <w:pict>
          <v:group style="position:absolute;margin-left:91.537697pt;margin-top:-3.282201pt;width:275.7pt;height:57.85pt;mso-position-horizontal-relative:page;mso-position-vertical-relative:paragraph;z-index:2608" coordorigin="1831,-66" coordsize="5514,1157">
            <v:shape style="position:absolute;left:0;top:4155;width:5502;height:515" coordorigin="0,4155" coordsize="5502,515" path="m1837,671l7338,671m1837,156l7338,156e" filled="false" stroked="true" strokeweight=".570pt" strokecolor="#e3e4e5">
              <v:path arrowok="t"/>
            </v:shape>
            <v:shape style="position:absolute;left:0;top:5662;width:5387;height:1122" coordorigin="0,5662" coordsize="5387,1122" path="m1895,-8l2008,-48m2008,-48l2118,14m2118,14l2231,105m2231,105l2344,156m2344,156l2457,138m2457,138l2566,313m2566,313l2679,302m2679,302l2793,251m2793,251l2906,43m2906,43l3015,149m3015,149l3128,353m3128,353l3241,291m3241,291l3354,207m3354,207l3467,76m3467,76l3577,207m3690,207l3803,87m3803,87l3916,251m3916,251l4026,466m4026,466l4139,240m4139,240l4252,415m4252,415l4365,579m4365,579l4474,630m4474,630l4587,393m4587,393l4700,477m4700,477l4814,590m4814,590l4927,579m4927,579l5036,703m5036,703l5149,733m5149,733l5262,619m5262,619l5375,528m5375,528l5485,444m5485,444l5598,331m5598,331l5711,280m5711,280l5824,342m5824,342l5934,353m5934,353l6047,528m6047,528l6160,714m6160,714l6273,784m6273,784l6386,703m6386,703l6495,652m6495,652l6608,528m6608,528l6722,714m6722,714l6835,846m6835,846l6944,1074m6944,1074l7057,959m7057,959l7170,959m7170,959l7282,1013e" filled="false" stroked="true" strokeweight="1.71pt" strokecolor="#000000">
              <v:path arrowok="t"/>
            </v:shape>
            <v:shape style="position:absolute;left:3577;top:100;width:114;height:137" type="#_x0000_t202" filled="false" stroked="false">
              <v:textbox inset="0,0,0,0">
                <w:txbxContent>
                  <w:p>
                    <w:pPr>
                      <w:spacing w:line="137" w:lineRule="exact" w:before="0"/>
                      <w:ind w:left="0" w:right="0" w:firstLine="0"/>
                      <w:jc w:val="left"/>
                      <w:rPr>
                        <w:rFonts w:ascii="Arial"/>
                        <w:sz w:val="13"/>
                      </w:rPr>
                    </w:pPr>
                    <w:r>
                      <w:rPr>
                        <w:rFonts w:ascii="Arial"/>
                        <w:color w:val="39383A"/>
                        <w:w w:val="90"/>
                        <w:sz w:val="13"/>
                        <w:u w:val="thick" w:color="000000"/>
                      </w:rPr>
                      <w:t> </w:t>
                    </w:r>
                    <w:r>
                      <w:rPr>
                        <w:rFonts w:ascii="Arial"/>
                        <w:color w:val="39383A"/>
                        <w:spacing w:val="8"/>
                        <w:sz w:val="13"/>
                        <w:u w:val="thick" w:color="000000"/>
                      </w:rPr>
                      <w:t> </w:t>
                    </w:r>
                  </w:p>
                </w:txbxContent>
              </v:textbox>
              <w10:wrap type="none"/>
            </v:shape>
            <w10:wrap type="none"/>
          </v:group>
        </w:pict>
      </w:r>
      <w:r>
        <w:rPr>
          <w:rFonts w:ascii="Arial"/>
          <w:color w:val="39383A"/>
          <w:sz w:val="13"/>
        </w:rPr>
        <w:t>20,00%</w:t>
      </w:r>
    </w:p>
    <w:p>
      <w:pPr>
        <w:pStyle w:val="BodyText"/>
        <w:spacing w:before="11"/>
        <w:rPr>
          <w:rFonts w:ascii="Arial"/>
          <w:sz w:val="23"/>
        </w:rPr>
      </w:pPr>
    </w:p>
    <w:p>
      <w:pPr>
        <w:spacing w:before="90"/>
        <w:ind w:left="555" w:right="1016" w:firstLine="0"/>
        <w:jc w:val="left"/>
        <w:rPr>
          <w:rFonts w:ascii="Arial"/>
          <w:sz w:val="13"/>
        </w:rPr>
      </w:pPr>
      <w:r>
        <w:rPr>
          <w:rFonts w:ascii="Arial"/>
          <w:color w:val="39383A"/>
          <w:sz w:val="13"/>
        </w:rPr>
        <w:t>15,00%</w:t>
      </w:r>
    </w:p>
    <w:p>
      <w:pPr>
        <w:pStyle w:val="BodyText"/>
        <w:spacing w:before="11"/>
        <w:rPr>
          <w:rFonts w:ascii="Arial"/>
          <w:sz w:val="23"/>
        </w:rPr>
      </w:pPr>
    </w:p>
    <w:p>
      <w:pPr>
        <w:spacing w:before="90"/>
        <w:ind w:left="555" w:right="1016" w:firstLine="0"/>
        <w:jc w:val="left"/>
        <w:rPr>
          <w:rFonts w:ascii="Arial"/>
          <w:sz w:val="13"/>
        </w:rPr>
      </w:pPr>
      <w:r>
        <w:rPr/>
        <w:pict>
          <v:line style="position:absolute;mso-position-horizontal-relative:page;mso-position-vertical-relative:paragraph;z-index:2560" from="91.8377pt,7.949522pt" to="366.9027pt,7.949522pt" stroked="true" strokeweight=".570pt" strokecolor="#e3e4e5">
            <w10:wrap type="none"/>
          </v:line>
        </w:pict>
      </w:r>
      <w:r>
        <w:rPr>
          <w:rFonts w:ascii="Arial"/>
          <w:color w:val="39383A"/>
          <w:sz w:val="13"/>
        </w:rPr>
        <w:t>10,00%</w:t>
      </w:r>
    </w:p>
    <w:p>
      <w:pPr>
        <w:pStyle w:val="BodyText"/>
        <w:spacing w:before="11"/>
        <w:rPr>
          <w:rFonts w:ascii="Arial"/>
          <w:sz w:val="23"/>
        </w:rPr>
      </w:pPr>
    </w:p>
    <w:p>
      <w:pPr>
        <w:spacing w:before="90"/>
        <w:ind w:left="631" w:right="1016" w:firstLine="0"/>
        <w:jc w:val="left"/>
        <w:rPr>
          <w:rFonts w:ascii="Arial"/>
          <w:sz w:val="13"/>
        </w:rPr>
      </w:pPr>
      <w:r>
        <w:rPr/>
        <w:pict>
          <v:line style="position:absolute;mso-position-horizontal-relative:page;mso-position-vertical-relative:paragraph;z-index:2536" from="91.8377pt,7.929218pt" to="366.9027pt,7.929218pt" stroked="true" strokeweight=".570pt" strokecolor="#e3e4e5">
            <w10:wrap type="none"/>
          </v:line>
        </w:pict>
      </w:r>
      <w:r>
        <w:rPr>
          <w:rFonts w:ascii="Arial"/>
          <w:color w:val="39383A"/>
          <w:sz w:val="13"/>
        </w:rPr>
        <w:t>5,00%</w:t>
      </w:r>
    </w:p>
    <w:p>
      <w:pPr>
        <w:pStyle w:val="BodyText"/>
        <w:spacing w:before="11"/>
        <w:rPr>
          <w:rFonts w:ascii="Arial"/>
          <w:sz w:val="23"/>
        </w:rPr>
      </w:pPr>
    </w:p>
    <w:p>
      <w:pPr>
        <w:spacing w:before="90"/>
        <w:ind w:left="631" w:right="1016" w:firstLine="0"/>
        <w:jc w:val="left"/>
        <w:rPr>
          <w:rFonts w:ascii="Arial"/>
          <w:sz w:val="13"/>
        </w:rPr>
      </w:pPr>
      <w:r>
        <w:rPr/>
        <w:pict>
          <v:line style="position:absolute;mso-position-horizontal-relative:page;mso-position-vertical-relative:paragraph;z-index:2656" from="91.901398pt,7.86133pt" to="366.911398pt,7.86133pt" stroked="true" strokeweight=".570pt" strokecolor="#e3e4e5">
            <w10:wrap type="none"/>
          </v:line>
        </w:pict>
      </w:r>
      <w:r>
        <w:rPr/>
        <w:pict>
          <v:shape style="position:absolute;margin-left:90.992172pt;margin-top:13.278396pt;width:278.25pt;height:15.35pt;mso-position-horizontal-relative:page;mso-position-vertical-relative:paragraph;z-index:2704" type="#_x0000_t202" filled="false" stroked="false">
            <v:textbox inset="0,0,0,0" style="layout-flow:vertical;mso-layout-flow-alt:bottom-to-top">
              <w:txbxContent>
                <w:p>
                  <w:pPr>
                    <w:spacing w:before="9"/>
                    <w:ind w:left="20" w:right="0" w:firstLine="0"/>
                    <w:jc w:val="left"/>
                    <w:rPr>
                      <w:rFonts w:ascii="Arial"/>
                      <w:sz w:val="13"/>
                    </w:rPr>
                  </w:pPr>
                  <w:r>
                    <w:rPr>
                      <w:rFonts w:ascii="Arial"/>
                      <w:color w:val="39383A"/>
                      <w:w w:val="90"/>
                      <w:sz w:val="13"/>
                    </w:rPr>
                    <w:t>1964</w:t>
                  </w:r>
                </w:p>
                <w:p>
                  <w:pPr>
                    <w:spacing w:before="75"/>
                    <w:ind w:left="20" w:right="0" w:firstLine="0"/>
                    <w:jc w:val="left"/>
                    <w:rPr>
                      <w:rFonts w:ascii="Arial"/>
                      <w:sz w:val="13"/>
                    </w:rPr>
                  </w:pPr>
                  <w:r>
                    <w:rPr>
                      <w:rFonts w:ascii="Arial"/>
                      <w:color w:val="39383A"/>
                      <w:w w:val="90"/>
                      <w:sz w:val="13"/>
                    </w:rPr>
                    <w:t>1966</w:t>
                  </w:r>
                </w:p>
                <w:p>
                  <w:pPr>
                    <w:spacing w:before="75"/>
                    <w:ind w:left="20" w:right="0" w:firstLine="0"/>
                    <w:jc w:val="left"/>
                    <w:rPr>
                      <w:rFonts w:ascii="Arial"/>
                      <w:sz w:val="13"/>
                    </w:rPr>
                  </w:pPr>
                  <w:r>
                    <w:rPr>
                      <w:rFonts w:ascii="Arial"/>
                      <w:color w:val="39383A"/>
                      <w:w w:val="90"/>
                      <w:sz w:val="13"/>
                    </w:rPr>
                    <w:t>1968</w:t>
                  </w:r>
                </w:p>
                <w:p>
                  <w:pPr>
                    <w:spacing w:before="75"/>
                    <w:ind w:left="23" w:right="0" w:firstLine="0"/>
                    <w:jc w:val="left"/>
                    <w:rPr>
                      <w:rFonts w:ascii="Arial"/>
                      <w:sz w:val="13"/>
                    </w:rPr>
                  </w:pPr>
                  <w:r>
                    <w:rPr>
                      <w:rFonts w:ascii="Arial"/>
                      <w:color w:val="39383A"/>
                      <w:w w:val="90"/>
                      <w:sz w:val="13"/>
                    </w:rPr>
                    <w:t>1970</w:t>
                  </w:r>
                </w:p>
                <w:p>
                  <w:pPr>
                    <w:spacing w:before="75"/>
                    <w:ind w:left="23" w:right="0" w:firstLine="0"/>
                    <w:jc w:val="left"/>
                    <w:rPr>
                      <w:rFonts w:ascii="Arial"/>
                      <w:sz w:val="13"/>
                    </w:rPr>
                  </w:pPr>
                  <w:r>
                    <w:rPr>
                      <w:rFonts w:ascii="Arial"/>
                      <w:color w:val="39383A"/>
                      <w:w w:val="90"/>
                      <w:sz w:val="13"/>
                    </w:rPr>
                    <w:t>1972</w:t>
                  </w:r>
                </w:p>
                <w:p>
                  <w:pPr>
                    <w:spacing w:before="75"/>
                    <w:ind w:left="20" w:right="0" w:firstLine="0"/>
                    <w:jc w:val="left"/>
                    <w:rPr>
                      <w:rFonts w:ascii="Arial"/>
                      <w:sz w:val="13"/>
                    </w:rPr>
                  </w:pPr>
                  <w:r>
                    <w:rPr>
                      <w:rFonts w:ascii="Arial"/>
                      <w:color w:val="39383A"/>
                      <w:w w:val="90"/>
                      <w:sz w:val="13"/>
                    </w:rPr>
                    <w:t>1974</w:t>
                  </w:r>
                </w:p>
                <w:p>
                  <w:pPr>
                    <w:spacing w:before="75"/>
                    <w:ind w:left="20" w:right="0" w:firstLine="0"/>
                    <w:jc w:val="left"/>
                    <w:rPr>
                      <w:rFonts w:ascii="Arial"/>
                      <w:sz w:val="13"/>
                    </w:rPr>
                  </w:pPr>
                  <w:r>
                    <w:rPr>
                      <w:rFonts w:ascii="Arial"/>
                      <w:color w:val="39383A"/>
                      <w:w w:val="90"/>
                      <w:sz w:val="13"/>
                    </w:rPr>
                    <w:t>1976</w:t>
                  </w:r>
                </w:p>
                <w:p>
                  <w:pPr>
                    <w:spacing w:before="75"/>
                    <w:ind w:left="20" w:right="0" w:firstLine="0"/>
                    <w:jc w:val="left"/>
                    <w:rPr>
                      <w:rFonts w:ascii="Arial"/>
                      <w:sz w:val="13"/>
                    </w:rPr>
                  </w:pPr>
                  <w:r>
                    <w:rPr>
                      <w:rFonts w:ascii="Arial"/>
                      <w:color w:val="39383A"/>
                      <w:w w:val="90"/>
                      <w:sz w:val="13"/>
                    </w:rPr>
                    <w:t>1978</w:t>
                  </w:r>
                </w:p>
                <w:p>
                  <w:pPr>
                    <w:spacing w:before="75"/>
                    <w:ind w:left="23" w:right="0" w:firstLine="0"/>
                    <w:jc w:val="left"/>
                    <w:rPr>
                      <w:rFonts w:ascii="Arial"/>
                      <w:sz w:val="13"/>
                    </w:rPr>
                  </w:pPr>
                  <w:r>
                    <w:rPr>
                      <w:rFonts w:ascii="Arial"/>
                      <w:color w:val="39383A"/>
                      <w:w w:val="90"/>
                      <w:sz w:val="13"/>
                    </w:rPr>
                    <w:t>1980</w:t>
                  </w:r>
                </w:p>
                <w:p>
                  <w:pPr>
                    <w:spacing w:before="75"/>
                    <w:ind w:left="23" w:right="0" w:firstLine="0"/>
                    <w:jc w:val="left"/>
                    <w:rPr>
                      <w:rFonts w:ascii="Arial"/>
                      <w:sz w:val="13"/>
                    </w:rPr>
                  </w:pPr>
                  <w:r>
                    <w:rPr>
                      <w:rFonts w:ascii="Arial"/>
                      <w:color w:val="39383A"/>
                      <w:w w:val="90"/>
                      <w:sz w:val="13"/>
                    </w:rPr>
                    <w:t>1982</w:t>
                  </w:r>
                </w:p>
                <w:p>
                  <w:pPr>
                    <w:spacing w:before="75"/>
                    <w:ind w:left="20" w:right="0" w:firstLine="0"/>
                    <w:jc w:val="left"/>
                    <w:rPr>
                      <w:rFonts w:ascii="Arial"/>
                      <w:sz w:val="13"/>
                    </w:rPr>
                  </w:pPr>
                  <w:r>
                    <w:rPr>
                      <w:rFonts w:ascii="Arial"/>
                      <w:color w:val="39383A"/>
                      <w:w w:val="90"/>
                      <w:sz w:val="13"/>
                    </w:rPr>
                    <w:t>1984</w:t>
                  </w:r>
                </w:p>
                <w:p>
                  <w:pPr>
                    <w:spacing w:before="75"/>
                    <w:ind w:left="20" w:right="0" w:firstLine="0"/>
                    <w:jc w:val="left"/>
                    <w:rPr>
                      <w:rFonts w:ascii="Arial"/>
                      <w:sz w:val="13"/>
                    </w:rPr>
                  </w:pPr>
                  <w:r>
                    <w:rPr>
                      <w:rFonts w:ascii="Arial"/>
                      <w:color w:val="39383A"/>
                      <w:w w:val="90"/>
                      <w:sz w:val="13"/>
                    </w:rPr>
                    <w:t>1986</w:t>
                  </w:r>
                </w:p>
                <w:p>
                  <w:pPr>
                    <w:spacing w:before="75"/>
                    <w:ind w:left="20" w:right="0" w:firstLine="0"/>
                    <w:jc w:val="left"/>
                    <w:rPr>
                      <w:rFonts w:ascii="Arial"/>
                      <w:sz w:val="13"/>
                    </w:rPr>
                  </w:pPr>
                  <w:r>
                    <w:rPr>
                      <w:rFonts w:ascii="Arial"/>
                      <w:color w:val="39383A"/>
                      <w:w w:val="90"/>
                      <w:sz w:val="13"/>
                    </w:rPr>
                    <w:t>1988</w:t>
                  </w:r>
                </w:p>
                <w:p>
                  <w:pPr>
                    <w:spacing w:before="75"/>
                    <w:ind w:left="23" w:right="0" w:firstLine="0"/>
                    <w:jc w:val="left"/>
                    <w:rPr>
                      <w:rFonts w:ascii="Arial"/>
                      <w:sz w:val="13"/>
                    </w:rPr>
                  </w:pPr>
                  <w:r>
                    <w:rPr>
                      <w:rFonts w:ascii="Arial"/>
                      <w:color w:val="39383A"/>
                      <w:w w:val="90"/>
                      <w:sz w:val="13"/>
                    </w:rPr>
                    <w:t>1990</w:t>
                  </w:r>
                </w:p>
                <w:p>
                  <w:pPr>
                    <w:spacing w:before="75"/>
                    <w:ind w:left="23" w:right="0" w:firstLine="0"/>
                    <w:jc w:val="left"/>
                    <w:rPr>
                      <w:rFonts w:ascii="Arial"/>
                      <w:sz w:val="13"/>
                    </w:rPr>
                  </w:pPr>
                  <w:r>
                    <w:rPr>
                      <w:rFonts w:ascii="Arial"/>
                      <w:color w:val="39383A"/>
                      <w:w w:val="90"/>
                      <w:sz w:val="13"/>
                    </w:rPr>
                    <w:t>1992</w:t>
                  </w:r>
                </w:p>
                <w:p>
                  <w:pPr>
                    <w:spacing w:before="75"/>
                    <w:ind w:left="20" w:right="0" w:firstLine="0"/>
                    <w:jc w:val="left"/>
                    <w:rPr>
                      <w:rFonts w:ascii="Arial"/>
                      <w:sz w:val="13"/>
                    </w:rPr>
                  </w:pPr>
                  <w:r>
                    <w:rPr>
                      <w:rFonts w:ascii="Arial"/>
                      <w:color w:val="39383A"/>
                      <w:w w:val="90"/>
                      <w:sz w:val="13"/>
                    </w:rPr>
                    <w:t>1994</w:t>
                  </w:r>
                </w:p>
                <w:p>
                  <w:pPr>
                    <w:spacing w:before="75"/>
                    <w:ind w:left="20" w:right="0" w:firstLine="0"/>
                    <w:jc w:val="left"/>
                    <w:rPr>
                      <w:rFonts w:ascii="Arial"/>
                      <w:sz w:val="13"/>
                    </w:rPr>
                  </w:pPr>
                  <w:r>
                    <w:rPr>
                      <w:rFonts w:ascii="Arial"/>
                      <w:color w:val="39383A"/>
                      <w:w w:val="90"/>
                      <w:sz w:val="13"/>
                    </w:rPr>
                    <w:t>1996</w:t>
                  </w:r>
                </w:p>
                <w:p>
                  <w:pPr>
                    <w:spacing w:before="75"/>
                    <w:ind w:left="20" w:right="0" w:firstLine="0"/>
                    <w:jc w:val="left"/>
                    <w:rPr>
                      <w:rFonts w:ascii="Arial"/>
                      <w:sz w:val="13"/>
                    </w:rPr>
                  </w:pPr>
                  <w:r>
                    <w:rPr>
                      <w:rFonts w:ascii="Arial"/>
                      <w:color w:val="39383A"/>
                      <w:w w:val="90"/>
                      <w:sz w:val="13"/>
                    </w:rPr>
                    <w:t>1998</w:t>
                  </w:r>
                </w:p>
                <w:p>
                  <w:pPr>
                    <w:spacing w:before="75"/>
                    <w:ind w:left="23" w:right="0" w:firstLine="0"/>
                    <w:jc w:val="left"/>
                    <w:rPr>
                      <w:rFonts w:ascii="Arial"/>
                      <w:sz w:val="13"/>
                    </w:rPr>
                  </w:pPr>
                  <w:r>
                    <w:rPr>
                      <w:rFonts w:ascii="Arial"/>
                      <w:color w:val="39383A"/>
                      <w:w w:val="90"/>
                      <w:sz w:val="13"/>
                    </w:rPr>
                    <w:t>2000</w:t>
                  </w:r>
                </w:p>
                <w:p>
                  <w:pPr>
                    <w:spacing w:before="75"/>
                    <w:ind w:left="23" w:right="0" w:firstLine="0"/>
                    <w:jc w:val="left"/>
                    <w:rPr>
                      <w:rFonts w:ascii="Arial"/>
                      <w:sz w:val="13"/>
                    </w:rPr>
                  </w:pPr>
                  <w:r>
                    <w:rPr>
                      <w:rFonts w:ascii="Arial"/>
                      <w:color w:val="39383A"/>
                      <w:w w:val="90"/>
                      <w:sz w:val="13"/>
                    </w:rPr>
                    <w:t>2002</w:t>
                  </w:r>
                </w:p>
                <w:p>
                  <w:pPr>
                    <w:spacing w:before="75"/>
                    <w:ind w:left="20" w:right="0" w:firstLine="0"/>
                    <w:jc w:val="left"/>
                    <w:rPr>
                      <w:rFonts w:ascii="Arial"/>
                      <w:sz w:val="13"/>
                    </w:rPr>
                  </w:pPr>
                  <w:r>
                    <w:rPr>
                      <w:rFonts w:ascii="Arial"/>
                      <w:color w:val="39383A"/>
                      <w:w w:val="90"/>
                      <w:sz w:val="13"/>
                    </w:rPr>
                    <w:t>2004</w:t>
                  </w:r>
                </w:p>
                <w:p>
                  <w:pPr>
                    <w:spacing w:before="75"/>
                    <w:ind w:left="20" w:right="0" w:firstLine="0"/>
                    <w:jc w:val="left"/>
                    <w:rPr>
                      <w:rFonts w:ascii="Arial"/>
                      <w:sz w:val="13"/>
                    </w:rPr>
                  </w:pPr>
                  <w:r>
                    <w:rPr>
                      <w:rFonts w:ascii="Arial"/>
                      <w:color w:val="39383A"/>
                      <w:w w:val="90"/>
                      <w:sz w:val="13"/>
                    </w:rPr>
                    <w:t>2006</w:t>
                  </w:r>
                </w:p>
                <w:p>
                  <w:pPr>
                    <w:spacing w:before="75"/>
                    <w:ind w:left="20" w:right="0" w:firstLine="0"/>
                    <w:jc w:val="left"/>
                    <w:rPr>
                      <w:rFonts w:ascii="Arial"/>
                      <w:sz w:val="13"/>
                    </w:rPr>
                  </w:pPr>
                  <w:r>
                    <w:rPr>
                      <w:rFonts w:ascii="Arial"/>
                      <w:color w:val="39383A"/>
                      <w:w w:val="90"/>
                      <w:sz w:val="13"/>
                    </w:rPr>
                    <w:t>2008</w:t>
                  </w:r>
                </w:p>
                <w:p>
                  <w:pPr>
                    <w:spacing w:before="75"/>
                    <w:ind w:left="23" w:right="0" w:firstLine="0"/>
                    <w:jc w:val="left"/>
                    <w:rPr>
                      <w:rFonts w:ascii="Arial"/>
                      <w:sz w:val="13"/>
                    </w:rPr>
                  </w:pPr>
                  <w:r>
                    <w:rPr>
                      <w:rFonts w:ascii="Arial"/>
                      <w:color w:val="39383A"/>
                      <w:w w:val="90"/>
                      <w:sz w:val="13"/>
                    </w:rPr>
                    <w:t>2010</w:t>
                  </w:r>
                </w:p>
                <w:p>
                  <w:pPr>
                    <w:spacing w:before="75"/>
                    <w:ind w:left="23" w:right="0" w:firstLine="0"/>
                    <w:jc w:val="left"/>
                    <w:rPr>
                      <w:rFonts w:ascii="Arial"/>
                      <w:sz w:val="13"/>
                    </w:rPr>
                  </w:pPr>
                  <w:r>
                    <w:rPr>
                      <w:rFonts w:ascii="Arial"/>
                      <w:color w:val="39383A"/>
                      <w:w w:val="90"/>
                      <w:sz w:val="13"/>
                    </w:rPr>
                    <w:t>2012</w:t>
                  </w:r>
                </w:p>
              </w:txbxContent>
            </v:textbox>
            <w10:wrap type="none"/>
          </v:shape>
        </w:pict>
      </w:r>
      <w:r>
        <w:rPr>
          <w:rFonts w:ascii="Arial"/>
          <w:color w:val="39383A"/>
          <w:sz w:val="13"/>
        </w:rPr>
        <w:t>0,00%</w:t>
      </w:r>
    </w:p>
    <w:p>
      <w:pPr>
        <w:pStyle w:val="BodyText"/>
        <w:rPr>
          <w:rFonts w:ascii="Arial"/>
          <w:sz w:val="20"/>
        </w:rPr>
      </w:pPr>
    </w:p>
    <w:p>
      <w:pPr>
        <w:pStyle w:val="BodyText"/>
        <w:spacing w:before="3"/>
        <w:rPr>
          <w:rFonts w:ascii="Arial"/>
          <w:sz w:val="18"/>
        </w:rPr>
      </w:pPr>
      <w:r>
        <w:rPr/>
        <w:pict>
          <v:line style="position:absolute;mso-position-horizontal-relative:page;mso-position-vertical-relative:paragraph;z-index:2368;mso-wrap-distance-left:0;mso-wrap-distance-right:0" from="39.685101pt,12.968041pt" to="388.346101pt,12.968041pt" stroked="true" strokeweight="1pt" strokecolor="#000000">
            <w10:wrap type="topAndBottom"/>
          </v:line>
        </w:pict>
      </w:r>
    </w:p>
    <w:p>
      <w:pPr>
        <w:spacing w:before="23"/>
        <w:ind w:left="113" w:right="1016" w:firstLine="0"/>
        <w:jc w:val="left"/>
        <w:rPr>
          <w:rFonts w:ascii="Arial"/>
          <w:sz w:val="14"/>
        </w:rPr>
      </w:pPr>
      <w:r>
        <w:rPr>
          <w:rFonts w:ascii="Arial"/>
          <w:w w:val="85"/>
          <w:sz w:val="14"/>
        </w:rPr>
        <w:t>Fuente: Economic Report of the President.</w:t>
      </w:r>
    </w:p>
    <w:p>
      <w:pPr>
        <w:spacing w:after="0"/>
        <w:jc w:val="left"/>
        <w:rPr>
          <w:rFonts w:ascii="Arial"/>
          <w:sz w:val="14"/>
        </w:rPr>
        <w:sectPr>
          <w:pgSz w:w="8790" w:h="12760"/>
          <w:pgMar w:header="695" w:footer="725" w:top="880" w:bottom="920" w:left="680" w:right="0"/>
        </w:sectPr>
      </w:pPr>
    </w:p>
    <w:p>
      <w:pPr>
        <w:pStyle w:val="BodyText"/>
        <w:spacing w:before="1"/>
        <w:rPr>
          <w:rFonts w:ascii="Arial"/>
          <w:sz w:val="6"/>
        </w:rPr>
      </w:pPr>
    </w:p>
    <w:p>
      <w:pPr>
        <w:pStyle w:val="BodyText"/>
        <w:ind w:left="262"/>
        <w:rPr>
          <w:rFonts w:ascii="Arial"/>
          <w:sz w:val="20"/>
        </w:rPr>
      </w:pPr>
      <w:r>
        <w:rPr>
          <w:rFonts w:ascii="Arial"/>
          <w:sz w:val="20"/>
        </w:rPr>
        <w:drawing>
          <wp:inline distT="0" distB="0" distL="0" distR="0">
            <wp:extent cx="4226572" cy="2407920"/>
            <wp:effectExtent l="0" t="0" r="0" b="0"/>
            <wp:docPr id="7" name="image34.png" descr=""/>
            <wp:cNvGraphicFramePr>
              <a:graphicFrameLocks noChangeAspect="1"/>
            </wp:cNvGraphicFramePr>
            <a:graphic>
              <a:graphicData uri="http://schemas.openxmlformats.org/drawingml/2006/picture">
                <pic:pic>
                  <pic:nvPicPr>
                    <pic:cNvPr id="8" name="image34.png"/>
                    <pic:cNvPicPr/>
                  </pic:nvPicPr>
                  <pic:blipFill>
                    <a:blip r:embed="rId100" cstate="print"/>
                    <a:stretch>
                      <a:fillRect/>
                    </a:stretch>
                  </pic:blipFill>
                  <pic:spPr>
                    <a:xfrm>
                      <a:off x="0" y="0"/>
                      <a:ext cx="4226572" cy="2407920"/>
                    </a:xfrm>
                    <a:prstGeom prst="rect">
                      <a:avLst/>
                    </a:prstGeom>
                  </pic:spPr>
                </pic:pic>
              </a:graphicData>
            </a:graphic>
          </wp:inline>
        </w:drawing>
      </w:r>
      <w:r>
        <w:rPr>
          <w:rFonts w:ascii="Arial"/>
          <w:sz w:val="20"/>
        </w:rPr>
      </w:r>
    </w:p>
    <w:p>
      <w:pPr>
        <w:pStyle w:val="BodyText"/>
        <w:spacing w:before="9"/>
        <w:rPr>
          <w:rFonts w:ascii="Arial"/>
          <w:sz w:val="5"/>
        </w:rPr>
      </w:pPr>
    </w:p>
    <w:p>
      <w:pPr>
        <w:pStyle w:val="BodyText"/>
        <w:spacing w:line="20" w:lineRule="exact"/>
        <w:ind w:left="110"/>
        <w:rPr>
          <w:rFonts w:ascii="Arial"/>
          <w:sz w:val="2"/>
        </w:rPr>
      </w:pPr>
      <w:r>
        <w:rPr>
          <w:rFonts w:ascii="Arial"/>
          <w:sz w:val="2"/>
        </w:rPr>
        <w:pict>
          <v:group style="width:349.7pt;height:1pt;mso-position-horizontal-relative:char;mso-position-vertical-relative:line" coordorigin="0,0" coordsize="6994,20">
            <v:line style="position:absolute" from="10,10" to="6983,10" stroked="true" strokeweight="1pt" strokecolor="#000000"/>
          </v:group>
        </w:pict>
      </w:r>
      <w:r>
        <w:rPr>
          <w:rFonts w:ascii="Arial"/>
          <w:sz w:val="2"/>
        </w:rPr>
      </w:r>
    </w:p>
    <w:p>
      <w:pPr>
        <w:spacing w:before="38"/>
        <w:ind w:left="120" w:right="158" w:firstLine="0"/>
        <w:jc w:val="left"/>
        <w:rPr>
          <w:rFonts w:ascii="Arial"/>
          <w:sz w:val="14"/>
        </w:rPr>
      </w:pPr>
      <w:r>
        <w:rPr>
          <w:rFonts w:ascii="Arial"/>
          <w:w w:val="75"/>
          <w:sz w:val="14"/>
        </w:rPr>
        <w:t>Fuente: OCDE.</w:t>
      </w:r>
    </w:p>
    <w:p>
      <w:pPr>
        <w:pStyle w:val="BodyText"/>
        <w:spacing w:before="3"/>
        <w:rPr>
          <w:rFonts w:ascii="Arial"/>
          <w:sz w:val="21"/>
        </w:rPr>
      </w:pPr>
    </w:p>
    <w:p>
      <w:pPr>
        <w:spacing w:before="78"/>
        <w:ind w:left="670" w:right="717" w:firstLine="0"/>
        <w:jc w:val="center"/>
        <w:rPr>
          <w:rFonts w:ascii="Arial" w:hAnsi="Arial"/>
          <w:b/>
          <w:sz w:val="17"/>
        </w:rPr>
      </w:pPr>
      <w:r>
        <w:rPr>
          <w:rFonts w:ascii="Arial" w:hAnsi="Arial"/>
          <w:b/>
          <w:w w:val="85"/>
          <w:sz w:val="17"/>
        </w:rPr>
        <w:t>Gráfico 7</w:t>
      </w:r>
    </w:p>
    <w:p>
      <w:pPr>
        <w:spacing w:line="249" w:lineRule="auto" w:before="8"/>
        <w:ind w:left="1639" w:right="1686" w:firstLine="0"/>
        <w:jc w:val="center"/>
        <w:rPr>
          <w:rFonts w:ascii="Arial"/>
          <w:sz w:val="17"/>
        </w:rPr>
      </w:pPr>
      <w:r>
        <w:rPr>
          <w:rFonts w:ascii="Arial"/>
          <w:w w:val="85"/>
          <w:sz w:val="17"/>
        </w:rPr>
        <w:t>Ganancias</w:t>
      </w:r>
      <w:r>
        <w:rPr>
          <w:rFonts w:ascii="Arial"/>
          <w:spacing w:val="-25"/>
          <w:w w:val="85"/>
          <w:sz w:val="17"/>
        </w:rPr>
        <w:t> </w:t>
      </w:r>
      <w:r>
        <w:rPr>
          <w:rFonts w:ascii="Arial"/>
          <w:w w:val="85"/>
          <w:sz w:val="17"/>
        </w:rPr>
        <w:t>de</w:t>
      </w:r>
      <w:r>
        <w:rPr>
          <w:rFonts w:ascii="Arial"/>
          <w:spacing w:val="-25"/>
          <w:w w:val="85"/>
          <w:sz w:val="17"/>
        </w:rPr>
        <w:t> </w:t>
      </w:r>
      <w:r>
        <w:rPr>
          <w:rFonts w:ascii="Arial"/>
          <w:w w:val="85"/>
          <w:sz w:val="17"/>
        </w:rPr>
        <w:t>las</w:t>
      </w:r>
      <w:r>
        <w:rPr>
          <w:rFonts w:ascii="Arial"/>
          <w:spacing w:val="-25"/>
          <w:w w:val="85"/>
          <w:sz w:val="17"/>
        </w:rPr>
        <w:t> </w:t>
      </w:r>
      <w:r>
        <w:rPr>
          <w:rFonts w:ascii="Arial"/>
          <w:w w:val="85"/>
          <w:sz w:val="17"/>
        </w:rPr>
        <w:t>corporaciones</w:t>
      </w:r>
      <w:r>
        <w:rPr>
          <w:rFonts w:ascii="Arial"/>
          <w:spacing w:val="-25"/>
          <w:w w:val="85"/>
          <w:sz w:val="17"/>
        </w:rPr>
        <w:t> </w:t>
      </w:r>
      <w:r>
        <w:rPr>
          <w:rFonts w:ascii="Arial"/>
          <w:w w:val="85"/>
          <w:sz w:val="17"/>
        </w:rPr>
        <w:t>financieras/Ganancias</w:t>
      </w:r>
      <w:r>
        <w:rPr>
          <w:rFonts w:ascii="Arial"/>
          <w:spacing w:val="-25"/>
          <w:w w:val="85"/>
          <w:sz w:val="17"/>
        </w:rPr>
        <w:t> </w:t>
      </w:r>
      <w:r>
        <w:rPr>
          <w:rFonts w:ascii="Arial"/>
          <w:w w:val="85"/>
          <w:sz w:val="17"/>
        </w:rPr>
        <w:t>totales</w:t>
      </w:r>
      <w:r>
        <w:rPr>
          <w:rFonts w:ascii="Arial"/>
          <w:w w:val="83"/>
          <w:sz w:val="17"/>
        </w:rPr>
        <w:t> </w:t>
      </w:r>
      <w:r>
        <w:rPr>
          <w:rFonts w:ascii="Arial"/>
          <w:w w:val="85"/>
          <w:sz w:val="17"/>
        </w:rPr>
        <w:t>de</w:t>
      </w:r>
      <w:r>
        <w:rPr>
          <w:rFonts w:ascii="Arial"/>
          <w:spacing w:val="-27"/>
          <w:w w:val="85"/>
          <w:sz w:val="17"/>
        </w:rPr>
        <w:t> </w:t>
      </w:r>
      <w:r>
        <w:rPr>
          <w:rFonts w:ascii="Arial"/>
          <w:w w:val="85"/>
          <w:sz w:val="17"/>
        </w:rPr>
        <w:t>las</w:t>
      </w:r>
      <w:r>
        <w:rPr>
          <w:rFonts w:ascii="Arial"/>
          <w:spacing w:val="-27"/>
          <w:w w:val="85"/>
          <w:sz w:val="17"/>
        </w:rPr>
        <w:t> </w:t>
      </w:r>
      <w:r>
        <w:rPr>
          <w:rFonts w:ascii="Arial"/>
          <w:w w:val="85"/>
          <w:sz w:val="17"/>
        </w:rPr>
        <w:t>corporaciones</w:t>
      </w:r>
      <w:r>
        <w:rPr>
          <w:rFonts w:ascii="Arial"/>
          <w:spacing w:val="-27"/>
          <w:w w:val="85"/>
          <w:sz w:val="17"/>
        </w:rPr>
        <w:t> </w:t>
      </w:r>
      <w:r>
        <w:rPr>
          <w:rFonts w:ascii="Arial"/>
          <w:w w:val="85"/>
          <w:sz w:val="17"/>
        </w:rPr>
        <w:t>(Estados</w:t>
      </w:r>
      <w:r>
        <w:rPr>
          <w:rFonts w:ascii="Arial"/>
          <w:spacing w:val="-27"/>
          <w:w w:val="85"/>
          <w:sz w:val="17"/>
        </w:rPr>
        <w:t> </w:t>
      </w:r>
      <w:r>
        <w:rPr>
          <w:rFonts w:ascii="Arial"/>
          <w:w w:val="85"/>
          <w:sz w:val="17"/>
        </w:rPr>
        <w:t>Unidos)</w:t>
      </w:r>
    </w:p>
    <w:p>
      <w:pPr>
        <w:pStyle w:val="BodyText"/>
        <w:spacing w:before="2"/>
        <w:rPr>
          <w:rFonts w:ascii="Arial"/>
          <w:sz w:val="11"/>
        </w:rPr>
      </w:pPr>
      <w:r>
        <w:rPr/>
        <w:pict>
          <v:line style="position:absolute;mso-position-horizontal-relative:page;mso-position-vertical-relative:paragraph;z-index:2752;mso-wrap-distance-left:0;mso-wrap-distance-right:0" from="51.023602pt,8.898779pt" to="399.684602pt,8.898779pt" stroked="true" strokeweight="1pt" strokecolor="#000000">
            <w10:wrap type="topAndBottom"/>
          </v:line>
        </w:pict>
      </w:r>
    </w:p>
    <w:p>
      <w:pPr>
        <w:spacing w:before="65"/>
        <w:ind w:left="467" w:right="158" w:firstLine="0"/>
        <w:jc w:val="left"/>
        <w:rPr>
          <w:rFonts w:ascii="Arial"/>
          <w:sz w:val="13"/>
        </w:rPr>
      </w:pPr>
      <w:r>
        <w:rPr>
          <w:rFonts w:ascii="Arial"/>
          <w:color w:val="39383A"/>
          <w:w w:val="110"/>
          <w:sz w:val="13"/>
        </w:rPr>
        <w:t>50,00%</w:t>
      </w:r>
    </w:p>
    <w:p>
      <w:pPr>
        <w:pStyle w:val="BodyText"/>
        <w:spacing w:before="10"/>
        <w:rPr>
          <w:rFonts w:ascii="Arial"/>
          <w:sz w:val="8"/>
        </w:rPr>
      </w:pPr>
    </w:p>
    <w:p>
      <w:pPr>
        <w:spacing w:before="90"/>
        <w:ind w:left="467" w:right="158" w:firstLine="0"/>
        <w:jc w:val="left"/>
        <w:rPr>
          <w:rFonts w:ascii="Arial"/>
          <w:sz w:val="13"/>
        </w:rPr>
      </w:pPr>
      <w:r>
        <w:rPr/>
        <w:pict>
          <v:group style="position:absolute;margin-left:98.089798pt;margin-top:11.16248pt;width:282.55pt;height:108.6pt;mso-position-horizontal-relative:page;mso-position-vertical-relative:paragraph;z-index:2872" coordorigin="1962,223" coordsize="5651,2172">
            <v:line style="position:absolute" from="1968,2206" to="7606,2206" stroked="true" strokeweight=".570pt" strokecolor="#e3e4e5"/>
            <v:shape style="position:absolute;left:0;top:4995;width:576;height:321" coordorigin="0,4995" coordsize="576,321" path="m2026,2337l2143,2377m2143,2377l2256,2315m2256,2315l2372,2242m2372,2242l2485,2180m2485,2180l2602,2056e" filled="false" stroked="true" strokeweight="1.709pt" strokecolor="#000000">
              <v:path arrowok="t"/>
            </v:shape>
            <v:line style="position:absolute" from="1968,1863" to="7606,1863" stroked="true" strokeweight=".570pt" strokecolor="#e3e4e5"/>
            <v:shape style="position:absolute;left:576;top:4605;width:1842;height:533" coordorigin="576,4605" coordsize="1842,533" path="m2602,2056l2715,1666m2715,1666l2832,1735m2832,1735l2948,1859m2948,1859l3062,1735m3062,1735l3178,1735m3178,1735l3291,2082m3291,2082l3408,2111m3408,2111l3521,1987m3521,1987l3638,1878m3638,1878l3751,1830m3751,1830l3867,1914m3867,1914l3984,2188m3984,2188l4097,2111m4097,2111l4214,1969m4214,1969l4327,2198m4327,2198l4443,1797e" filled="false" stroked="true" strokeweight="1.709pt" strokecolor="#000000">
              <v:path arrowok="t"/>
            </v:shape>
            <v:line style="position:absolute" from="1968,1524" to="7606,1524" stroked="true" strokeweight=".570pt" strokecolor="#e3e4e5"/>
            <v:shape style="position:absolute;left:2417;top:4215;width:576;height:522" coordorigin="2417,4215" coordsize="576,522" path="m4443,1797l4556,1415m4556,1415l4673,1633m4673,1633l4786,1721m4786,1721l4903,1447m4903,1447l5019,1276e" filled="false" stroked="true" strokeweight="1.709pt" strokecolor="#000000">
              <v:path arrowok="t"/>
            </v:shape>
            <v:shape style="position:absolute;left:0;top:3227;width:5639;height:343" coordorigin="0,3227" coordsize="5639,343" path="m1968,1181l7606,1181m1968,839l7606,839e" filled="false" stroked="true" strokeweight=".570pt" strokecolor="#e3e4e5">
              <v:path arrowok="t"/>
            </v:shape>
            <v:shape style="position:absolute;left:2993;top:3722;width:1149;height:788" coordorigin="2993,3722" coordsize="1149,788" path="m5019,1276l5132,875m5132,875l5249,784m5249,784l5362,1156m5362,1156l5479,1495m5479,1495l5592,1320m5592,1320l5708,1447m5708,1447l5821,1422m5821,1422l5938,1571m5938,1571l6055,1251m6055,1251l6168,1054e" filled="false" stroked="true" strokeweight="1.709pt" strokecolor="#000000">
              <v:path arrowok="t"/>
            </v:shape>
            <v:line style="position:absolute" from="1968,500" to="7606,500" stroked="true" strokeweight=".570pt" strokecolor="#e3e4e5"/>
            <v:shape style="position:absolute;left:4141;top:3179;width:1381;height:2075" coordorigin="4141,3179" coordsize="1381,2075" path="m6168,1054l6284,408m6284,408l6397,241m6397,241l6514,299m6514,299l6627,729m6627,729l6744,1025m6744,1025l6857,1229m6857,1229l6973,1477m6973,1477l7090,2315m7090,2315l7203,890m7203,890l7320,1119m7320,1119l7433,1174m7433,1174l7548,1320e" filled="false" stroked="true" strokeweight="1.709pt" strokecolor="#000000">
              <v:path arrowok="t"/>
            </v:shape>
            <w10:wrap type="none"/>
          </v:group>
        </w:pict>
      </w:r>
      <w:r>
        <w:rPr/>
        <w:pict>
          <v:line style="position:absolute;mso-position-horizontal-relative:page;mso-position-vertical-relative:paragraph;z-index:2896" from="98.389801pt,7.84378pt" to="380.298801pt,7.84378pt" stroked="true" strokeweight=".570pt" strokecolor="#e3e4e5">
            <w10:wrap type="none"/>
          </v:line>
        </w:pict>
      </w:r>
      <w:r>
        <w:rPr/>
        <w:pict>
          <v:line style="position:absolute;mso-position-horizontal-relative:page;mso-position-vertical-relative:paragraph;z-index:2920" from="98.389801pt,-9.29022pt" to="380.298801pt,-9.29022pt" stroked="true" strokeweight=".570pt" strokecolor="#e3e4e5">
            <w10:wrap type="none"/>
          </v:line>
        </w:pict>
      </w:r>
      <w:r>
        <w:rPr>
          <w:rFonts w:ascii="Arial"/>
          <w:color w:val="39383A"/>
          <w:w w:val="110"/>
          <w:sz w:val="13"/>
        </w:rPr>
        <w:t>45,00%</w:t>
      </w:r>
    </w:p>
    <w:p>
      <w:pPr>
        <w:pStyle w:val="BodyText"/>
        <w:spacing w:before="10"/>
        <w:rPr>
          <w:rFonts w:ascii="Arial"/>
          <w:sz w:val="8"/>
        </w:rPr>
      </w:pPr>
    </w:p>
    <w:p>
      <w:pPr>
        <w:spacing w:before="90"/>
        <w:ind w:left="467" w:right="158" w:firstLine="0"/>
        <w:jc w:val="left"/>
        <w:rPr>
          <w:rFonts w:ascii="Arial"/>
          <w:sz w:val="13"/>
        </w:rPr>
      </w:pPr>
      <w:r>
        <w:rPr>
          <w:rFonts w:ascii="Arial"/>
          <w:color w:val="39383A"/>
          <w:w w:val="110"/>
          <w:sz w:val="13"/>
        </w:rPr>
        <w:t>40,00%</w:t>
      </w:r>
    </w:p>
    <w:p>
      <w:pPr>
        <w:pStyle w:val="BodyText"/>
        <w:spacing w:before="10"/>
        <w:rPr>
          <w:rFonts w:ascii="Arial"/>
          <w:sz w:val="8"/>
        </w:rPr>
      </w:pPr>
    </w:p>
    <w:p>
      <w:pPr>
        <w:spacing w:before="90"/>
        <w:ind w:left="467" w:right="158" w:firstLine="0"/>
        <w:jc w:val="left"/>
        <w:rPr>
          <w:rFonts w:ascii="Arial"/>
          <w:sz w:val="13"/>
        </w:rPr>
      </w:pPr>
      <w:r>
        <w:rPr>
          <w:rFonts w:ascii="Arial"/>
          <w:color w:val="39383A"/>
          <w:w w:val="110"/>
          <w:sz w:val="13"/>
        </w:rPr>
        <w:t>35,00%</w:t>
      </w:r>
    </w:p>
    <w:p>
      <w:pPr>
        <w:pStyle w:val="BodyText"/>
        <w:spacing w:before="10"/>
        <w:rPr>
          <w:rFonts w:ascii="Arial"/>
          <w:sz w:val="8"/>
        </w:rPr>
      </w:pPr>
    </w:p>
    <w:p>
      <w:pPr>
        <w:spacing w:before="90"/>
        <w:ind w:left="467" w:right="158" w:firstLine="0"/>
        <w:jc w:val="left"/>
        <w:rPr>
          <w:rFonts w:ascii="Arial"/>
          <w:sz w:val="13"/>
        </w:rPr>
      </w:pPr>
      <w:r>
        <w:rPr>
          <w:rFonts w:ascii="Arial"/>
          <w:color w:val="39383A"/>
          <w:w w:val="110"/>
          <w:sz w:val="13"/>
        </w:rPr>
        <w:t>30,00%</w:t>
      </w:r>
    </w:p>
    <w:p>
      <w:pPr>
        <w:pStyle w:val="BodyText"/>
        <w:spacing w:before="10"/>
        <w:rPr>
          <w:rFonts w:ascii="Arial"/>
          <w:sz w:val="8"/>
        </w:rPr>
      </w:pPr>
    </w:p>
    <w:p>
      <w:pPr>
        <w:spacing w:before="90"/>
        <w:ind w:left="467" w:right="158" w:firstLine="0"/>
        <w:jc w:val="left"/>
        <w:rPr>
          <w:rFonts w:ascii="Arial"/>
          <w:sz w:val="13"/>
        </w:rPr>
      </w:pPr>
      <w:r>
        <w:rPr>
          <w:rFonts w:ascii="Arial"/>
          <w:color w:val="39383A"/>
          <w:w w:val="110"/>
          <w:sz w:val="13"/>
        </w:rPr>
        <w:t>25,00%</w:t>
      </w:r>
    </w:p>
    <w:p>
      <w:pPr>
        <w:pStyle w:val="BodyText"/>
        <w:spacing w:before="10"/>
        <w:rPr>
          <w:rFonts w:ascii="Arial"/>
          <w:sz w:val="8"/>
        </w:rPr>
      </w:pPr>
    </w:p>
    <w:p>
      <w:pPr>
        <w:spacing w:before="90"/>
        <w:ind w:left="467" w:right="158" w:firstLine="0"/>
        <w:jc w:val="left"/>
        <w:rPr>
          <w:rFonts w:ascii="Arial"/>
          <w:sz w:val="13"/>
        </w:rPr>
      </w:pPr>
      <w:r>
        <w:rPr>
          <w:rFonts w:ascii="Arial"/>
          <w:color w:val="39383A"/>
          <w:w w:val="110"/>
          <w:sz w:val="13"/>
        </w:rPr>
        <w:t>20,00%</w:t>
      </w:r>
    </w:p>
    <w:p>
      <w:pPr>
        <w:pStyle w:val="BodyText"/>
        <w:spacing w:before="10"/>
        <w:rPr>
          <w:rFonts w:ascii="Arial"/>
          <w:sz w:val="8"/>
        </w:rPr>
      </w:pPr>
    </w:p>
    <w:p>
      <w:pPr>
        <w:spacing w:before="90"/>
        <w:ind w:left="467" w:right="158" w:firstLine="0"/>
        <w:jc w:val="left"/>
        <w:rPr>
          <w:rFonts w:ascii="Arial"/>
          <w:sz w:val="13"/>
        </w:rPr>
      </w:pPr>
      <w:r>
        <w:rPr>
          <w:rFonts w:ascii="Arial"/>
          <w:color w:val="39383A"/>
          <w:w w:val="110"/>
          <w:sz w:val="13"/>
        </w:rPr>
        <w:t>15,00%</w:t>
      </w:r>
    </w:p>
    <w:p>
      <w:pPr>
        <w:pStyle w:val="BodyText"/>
        <w:spacing w:before="10"/>
        <w:rPr>
          <w:rFonts w:ascii="Arial"/>
          <w:sz w:val="8"/>
        </w:rPr>
      </w:pPr>
    </w:p>
    <w:p>
      <w:pPr>
        <w:spacing w:before="90"/>
        <w:ind w:left="467" w:right="158" w:firstLine="0"/>
        <w:jc w:val="left"/>
        <w:rPr>
          <w:rFonts w:ascii="Arial"/>
          <w:sz w:val="13"/>
        </w:rPr>
      </w:pPr>
      <w:r>
        <w:rPr/>
        <w:pict>
          <v:line style="position:absolute;mso-position-horizontal-relative:page;mso-position-vertical-relative:paragraph;z-index:2848" from="98.389801pt,7.894482pt" to="380.298801pt,7.894482pt" stroked="true" strokeweight=".570pt" strokecolor="#e3e4e5">
            <w10:wrap type="none"/>
          </v:line>
        </w:pict>
      </w:r>
      <w:r>
        <w:rPr>
          <w:rFonts w:ascii="Arial"/>
          <w:color w:val="39383A"/>
          <w:w w:val="110"/>
          <w:sz w:val="13"/>
        </w:rPr>
        <w:t>10,00%</w:t>
      </w:r>
    </w:p>
    <w:p>
      <w:pPr>
        <w:pStyle w:val="BodyText"/>
        <w:spacing w:before="10"/>
        <w:rPr>
          <w:rFonts w:ascii="Arial"/>
          <w:sz w:val="8"/>
        </w:rPr>
      </w:pPr>
    </w:p>
    <w:p>
      <w:pPr>
        <w:spacing w:before="90"/>
        <w:ind w:left="543" w:right="158" w:firstLine="0"/>
        <w:jc w:val="left"/>
        <w:rPr>
          <w:rFonts w:ascii="Arial"/>
          <w:sz w:val="13"/>
        </w:rPr>
      </w:pPr>
      <w:r>
        <w:rPr/>
        <w:pict>
          <v:line style="position:absolute;mso-position-horizontal-relative:page;mso-position-vertical-relative:paragraph;z-index:2824" from="98.389801pt,7.77215pt" to="380.298801pt,7.77215pt" stroked="true" strokeweight=".570pt" strokecolor="#e3e4e5">
            <w10:wrap type="none"/>
          </v:line>
        </w:pict>
      </w:r>
      <w:r>
        <w:rPr>
          <w:rFonts w:ascii="Arial"/>
          <w:color w:val="39383A"/>
          <w:w w:val="110"/>
          <w:sz w:val="13"/>
        </w:rPr>
        <w:t>5,00%</w:t>
      </w:r>
    </w:p>
    <w:p>
      <w:pPr>
        <w:pStyle w:val="BodyText"/>
        <w:spacing w:before="10"/>
        <w:rPr>
          <w:rFonts w:ascii="Arial"/>
          <w:sz w:val="8"/>
        </w:rPr>
      </w:pPr>
    </w:p>
    <w:p>
      <w:pPr>
        <w:spacing w:before="90"/>
        <w:ind w:left="543" w:right="158" w:firstLine="0"/>
        <w:jc w:val="left"/>
        <w:rPr>
          <w:rFonts w:ascii="Arial"/>
          <w:sz w:val="13"/>
        </w:rPr>
      </w:pPr>
      <w:r>
        <w:rPr/>
        <w:drawing>
          <wp:anchor distT="0" distB="0" distL="0" distR="0" allowOverlap="1" layoutInCell="1" locked="0" behindDoc="0" simplePos="0" relativeHeight="2776">
            <wp:simplePos x="0" y="0"/>
            <wp:positionH relativeFrom="page">
              <wp:posOffset>1144996</wp:posOffset>
            </wp:positionH>
            <wp:positionV relativeFrom="paragraph">
              <wp:posOffset>181205</wp:posOffset>
            </wp:positionV>
            <wp:extent cx="3696331" cy="171450"/>
            <wp:effectExtent l="0" t="0" r="0" b="0"/>
            <wp:wrapTopAndBottom/>
            <wp:docPr id="9" name="image35.png" descr=""/>
            <wp:cNvGraphicFramePr>
              <a:graphicFrameLocks noChangeAspect="1"/>
            </wp:cNvGraphicFramePr>
            <a:graphic>
              <a:graphicData uri="http://schemas.openxmlformats.org/drawingml/2006/picture">
                <pic:pic>
                  <pic:nvPicPr>
                    <pic:cNvPr id="10" name="image35.png"/>
                    <pic:cNvPicPr/>
                  </pic:nvPicPr>
                  <pic:blipFill>
                    <a:blip r:embed="rId101" cstate="print"/>
                    <a:stretch>
                      <a:fillRect/>
                    </a:stretch>
                  </pic:blipFill>
                  <pic:spPr>
                    <a:xfrm>
                      <a:off x="0" y="0"/>
                      <a:ext cx="3696331" cy="171450"/>
                    </a:xfrm>
                    <a:prstGeom prst="rect">
                      <a:avLst/>
                    </a:prstGeom>
                  </pic:spPr>
                </pic:pic>
              </a:graphicData>
            </a:graphic>
          </wp:anchor>
        </w:drawing>
      </w:r>
      <w:r>
        <w:rPr/>
        <w:pict>
          <v:line style="position:absolute;mso-position-horizontal-relative:page;mso-position-vertical-relative:paragraph;z-index:2944" from="98.460403pt,7.862225pt" to="380.299403pt,7.862225pt" stroked="true" strokeweight=".570pt" strokecolor="#e3e4e5">
            <w10:wrap type="none"/>
          </v:line>
        </w:pict>
      </w:r>
      <w:r>
        <w:rPr>
          <w:rFonts w:ascii="Arial"/>
          <w:color w:val="39383A"/>
          <w:w w:val="110"/>
          <w:sz w:val="13"/>
        </w:rPr>
        <w:t>0,00%</w:t>
      </w:r>
    </w:p>
    <w:p>
      <w:pPr>
        <w:pStyle w:val="BodyText"/>
        <w:spacing w:before="9"/>
        <w:rPr>
          <w:rFonts w:ascii="Arial"/>
          <w:sz w:val="5"/>
        </w:rPr>
      </w:pPr>
    </w:p>
    <w:p>
      <w:pPr>
        <w:pStyle w:val="BodyText"/>
        <w:spacing w:line="20" w:lineRule="exact"/>
        <w:ind w:left="110"/>
        <w:rPr>
          <w:rFonts w:ascii="Arial"/>
          <w:sz w:val="2"/>
        </w:rPr>
      </w:pPr>
      <w:r>
        <w:rPr>
          <w:rFonts w:ascii="Arial"/>
          <w:sz w:val="2"/>
        </w:rPr>
        <w:pict>
          <v:group style="width:349.7pt;height:1pt;mso-position-horizontal-relative:char;mso-position-vertical-relative:line" coordorigin="0,0" coordsize="6994,20">
            <v:line style="position:absolute" from="10,10" to="6983,10" stroked="true" strokeweight="1pt" strokecolor="#000000"/>
          </v:group>
        </w:pict>
      </w:r>
      <w:r>
        <w:rPr>
          <w:rFonts w:ascii="Arial"/>
          <w:sz w:val="2"/>
        </w:rPr>
      </w:r>
    </w:p>
    <w:p>
      <w:pPr>
        <w:spacing w:before="27"/>
        <w:ind w:left="120" w:right="158" w:firstLine="0"/>
        <w:jc w:val="left"/>
        <w:rPr>
          <w:rFonts w:ascii="Arial"/>
          <w:sz w:val="14"/>
        </w:rPr>
      </w:pPr>
      <w:r>
        <w:rPr>
          <w:rFonts w:ascii="Arial"/>
          <w:w w:val="85"/>
          <w:sz w:val="14"/>
        </w:rPr>
        <w:t>Fuente: Economic Report of The President.</w:t>
      </w:r>
    </w:p>
    <w:p>
      <w:pPr>
        <w:spacing w:after="0"/>
        <w:jc w:val="left"/>
        <w:rPr>
          <w:rFonts w:ascii="Arial"/>
          <w:sz w:val="14"/>
        </w:rPr>
        <w:sectPr>
          <w:headerReference w:type="even" r:id="rId98"/>
          <w:headerReference w:type="default" r:id="rId99"/>
          <w:pgSz w:w="8790" w:h="12760"/>
          <w:pgMar w:header="745" w:footer="725" w:top="1860" w:bottom="920" w:left="900" w:right="680"/>
        </w:sectPr>
      </w:pPr>
    </w:p>
    <w:p>
      <w:pPr>
        <w:pStyle w:val="BodyText"/>
        <w:spacing w:before="2"/>
        <w:rPr>
          <w:rFonts w:ascii="Arial"/>
          <w:sz w:val="28"/>
        </w:rPr>
      </w:pPr>
    </w:p>
    <w:p>
      <w:pPr>
        <w:spacing w:after="0"/>
        <w:rPr>
          <w:rFonts w:ascii="Arial"/>
          <w:sz w:val="28"/>
        </w:rPr>
        <w:sectPr>
          <w:pgSz w:w="8790" w:h="12760"/>
          <w:pgMar w:header="697" w:footer="723" w:top="880" w:bottom="920" w:left="680" w:right="900"/>
        </w:sect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spacing w:before="90"/>
        <w:ind w:left="113" w:right="0" w:firstLine="0"/>
        <w:jc w:val="left"/>
        <w:rPr>
          <w:rFonts w:ascii="Arial"/>
          <w:sz w:val="14"/>
        </w:rPr>
      </w:pPr>
      <w:r>
        <w:rPr/>
        <w:drawing>
          <wp:anchor distT="0" distB="0" distL="0" distR="0" allowOverlap="1" layoutInCell="1" locked="0" behindDoc="0" simplePos="0" relativeHeight="2968">
            <wp:simplePos x="0" y="0"/>
            <wp:positionH relativeFrom="page">
              <wp:posOffset>577872</wp:posOffset>
            </wp:positionH>
            <wp:positionV relativeFrom="paragraph">
              <wp:posOffset>-2295479</wp:posOffset>
            </wp:positionV>
            <wp:extent cx="4252293" cy="2263695"/>
            <wp:effectExtent l="0" t="0" r="0" b="0"/>
            <wp:wrapNone/>
            <wp:docPr id="11" name="image36.png" descr=""/>
            <wp:cNvGraphicFramePr>
              <a:graphicFrameLocks noChangeAspect="1"/>
            </wp:cNvGraphicFramePr>
            <a:graphic>
              <a:graphicData uri="http://schemas.openxmlformats.org/drawingml/2006/picture">
                <pic:pic>
                  <pic:nvPicPr>
                    <pic:cNvPr id="12" name="image36.png"/>
                    <pic:cNvPicPr/>
                  </pic:nvPicPr>
                  <pic:blipFill>
                    <a:blip r:embed="rId102" cstate="print"/>
                    <a:stretch>
                      <a:fillRect/>
                    </a:stretch>
                  </pic:blipFill>
                  <pic:spPr>
                    <a:xfrm>
                      <a:off x="0" y="0"/>
                      <a:ext cx="4252293" cy="2263695"/>
                    </a:xfrm>
                    <a:prstGeom prst="rect">
                      <a:avLst/>
                    </a:prstGeom>
                  </pic:spPr>
                </pic:pic>
              </a:graphicData>
            </a:graphic>
          </wp:anchor>
        </w:drawing>
      </w:r>
      <w:r>
        <w:rPr/>
        <w:pict>
          <v:line style="position:absolute;mso-position-horizontal-relative:page;mso-position-vertical-relative:paragraph;z-index:3040" from="39.685101pt,2.127023pt" to="388.346101pt,2.127023pt" stroked="true" strokeweight="1pt" strokecolor="#000000">
            <w10:wrap type="none"/>
          </v:line>
        </w:pict>
      </w:r>
      <w:r>
        <w:rPr>
          <w:rFonts w:ascii="Arial"/>
          <w:w w:val="75"/>
          <w:sz w:val="14"/>
        </w:rPr>
        <w:t>Fuente: OCDE.</w:t>
      </w:r>
    </w:p>
    <w:p>
      <w:pPr>
        <w:spacing w:before="79"/>
        <w:ind w:left="65" w:right="2362" w:firstLine="0"/>
        <w:jc w:val="center"/>
        <w:rPr>
          <w:rFonts w:ascii="Arial" w:hAnsi="Arial"/>
          <w:b/>
          <w:sz w:val="17"/>
        </w:rPr>
      </w:pPr>
      <w:r>
        <w:rPr/>
        <w:br w:type="column"/>
      </w:r>
      <w:r>
        <w:rPr>
          <w:rFonts w:ascii="Arial" w:hAnsi="Arial"/>
          <w:b/>
          <w:w w:val="85"/>
          <w:sz w:val="17"/>
        </w:rPr>
        <w:t>Gráfico 8</w:t>
      </w:r>
    </w:p>
    <w:p>
      <w:pPr>
        <w:spacing w:before="8"/>
        <w:ind w:left="65" w:right="2362" w:firstLine="0"/>
        <w:jc w:val="center"/>
        <w:rPr>
          <w:rFonts w:ascii="Arial" w:hAnsi="Arial"/>
          <w:sz w:val="17"/>
        </w:rPr>
      </w:pPr>
      <w:r>
        <w:rPr/>
        <w:pict>
          <v:line style="position:absolute;mso-position-horizontal-relative:page;mso-position-vertical-relative:paragraph;z-index:2992" from="39.685101pt,17.972324pt" to="388.346101pt,17.972324pt" stroked="true" strokeweight="1pt" strokecolor="#000000">
            <w10:wrap type="none"/>
          </v:line>
        </w:pict>
      </w:r>
      <w:r>
        <w:rPr>
          <w:rFonts w:ascii="Arial" w:hAnsi="Arial"/>
          <w:w w:val="85"/>
          <w:sz w:val="17"/>
        </w:rPr>
        <w:t>Stock de inversión directa externa/PIB</w:t>
      </w:r>
    </w:p>
    <w:p>
      <w:pPr>
        <w:spacing w:after="0"/>
        <w:jc w:val="center"/>
        <w:rPr>
          <w:rFonts w:ascii="Arial" w:hAnsi="Arial"/>
          <w:sz w:val="17"/>
        </w:rPr>
        <w:sectPr>
          <w:type w:val="continuous"/>
          <w:pgSz w:w="8790" w:h="12760"/>
          <w:pgMar w:top="360" w:bottom="280" w:left="680" w:right="900"/>
          <w:cols w:num="2" w:equalWidth="0">
            <w:col w:w="855" w:space="1438"/>
            <w:col w:w="4917"/>
          </w:cols>
        </w:sectPr>
      </w:pPr>
    </w:p>
    <w:p>
      <w:pPr>
        <w:pStyle w:val="BodyText"/>
        <w:rPr>
          <w:rFonts w:ascii="Arial"/>
          <w:sz w:val="20"/>
        </w:rPr>
      </w:pPr>
    </w:p>
    <w:p>
      <w:pPr>
        <w:spacing w:after="0"/>
        <w:rPr>
          <w:rFonts w:ascii="Arial"/>
          <w:sz w:val="20"/>
        </w:rPr>
        <w:sectPr>
          <w:type w:val="continuous"/>
          <w:pgSz w:w="8790" w:h="12760"/>
          <w:pgMar w:top="360" w:bottom="280" w:left="680" w:right="900"/>
        </w:sect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pStyle w:val="BodyText"/>
        <w:rPr>
          <w:rFonts w:ascii="Arial"/>
          <w:sz w:val="14"/>
        </w:rPr>
      </w:pPr>
    </w:p>
    <w:p>
      <w:pPr>
        <w:spacing w:before="111"/>
        <w:ind w:left="113" w:right="0" w:firstLine="0"/>
        <w:jc w:val="left"/>
        <w:rPr>
          <w:rFonts w:ascii="Arial"/>
          <w:sz w:val="14"/>
        </w:rPr>
      </w:pPr>
      <w:r>
        <w:rPr/>
        <w:pict>
          <v:line style="position:absolute;mso-position-horizontal-relative:page;mso-position-vertical-relative:paragraph;z-index:3064" from="39.685101pt,3.044621pt" to="388.346101pt,3.044621pt" stroked="true" strokeweight="1pt" strokecolor="#000000">
            <w10:wrap type="none"/>
          </v:line>
        </w:pict>
      </w:r>
      <w:r>
        <w:rPr/>
        <w:drawing>
          <wp:anchor distT="0" distB="0" distL="0" distR="0" allowOverlap="1" layoutInCell="1" locked="0" behindDoc="0" simplePos="0" relativeHeight="3088">
            <wp:simplePos x="0" y="0"/>
            <wp:positionH relativeFrom="page">
              <wp:posOffset>861768</wp:posOffset>
            </wp:positionH>
            <wp:positionV relativeFrom="paragraph">
              <wp:posOffset>-2051581</wp:posOffset>
            </wp:positionV>
            <wp:extent cx="3712454" cy="2029961"/>
            <wp:effectExtent l="0" t="0" r="0" b="0"/>
            <wp:wrapNone/>
            <wp:docPr id="13" name="image37.png" descr=""/>
            <wp:cNvGraphicFramePr>
              <a:graphicFrameLocks noChangeAspect="1"/>
            </wp:cNvGraphicFramePr>
            <a:graphic>
              <a:graphicData uri="http://schemas.openxmlformats.org/drawingml/2006/picture">
                <pic:pic>
                  <pic:nvPicPr>
                    <pic:cNvPr id="14" name="image37.png"/>
                    <pic:cNvPicPr/>
                  </pic:nvPicPr>
                  <pic:blipFill>
                    <a:blip r:embed="rId103" cstate="print"/>
                    <a:stretch>
                      <a:fillRect/>
                    </a:stretch>
                  </pic:blipFill>
                  <pic:spPr>
                    <a:xfrm>
                      <a:off x="0" y="0"/>
                      <a:ext cx="3712454" cy="2029961"/>
                    </a:xfrm>
                    <a:prstGeom prst="rect">
                      <a:avLst/>
                    </a:prstGeom>
                  </pic:spPr>
                </pic:pic>
              </a:graphicData>
            </a:graphic>
          </wp:anchor>
        </w:drawing>
      </w:r>
      <w:r>
        <w:rPr>
          <w:rFonts w:ascii="Arial"/>
          <w:w w:val="75"/>
          <w:sz w:val="14"/>
        </w:rPr>
        <w:t>Fuente: OECD.</w:t>
      </w:r>
    </w:p>
    <w:p>
      <w:pPr>
        <w:pStyle w:val="BodyText"/>
        <w:spacing w:before="11"/>
        <w:rPr>
          <w:rFonts w:ascii="Arial"/>
          <w:sz w:val="21"/>
        </w:rPr>
      </w:pPr>
      <w:r>
        <w:rPr/>
        <w:br w:type="column"/>
      </w:r>
      <w:r>
        <w:rPr>
          <w:rFonts w:ascii="Arial"/>
          <w:sz w:val="21"/>
        </w:rPr>
      </w:r>
    </w:p>
    <w:p>
      <w:pPr>
        <w:spacing w:before="0"/>
        <w:ind w:left="63" w:right="2141" w:firstLine="0"/>
        <w:jc w:val="center"/>
        <w:rPr>
          <w:rFonts w:ascii="Arial" w:hAnsi="Arial"/>
          <w:b/>
          <w:sz w:val="17"/>
        </w:rPr>
      </w:pPr>
      <w:r>
        <w:rPr>
          <w:rFonts w:ascii="Arial" w:hAnsi="Arial"/>
          <w:b/>
          <w:w w:val="85"/>
          <w:sz w:val="17"/>
        </w:rPr>
        <w:t>Gráfico 9</w:t>
      </w:r>
    </w:p>
    <w:p>
      <w:pPr>
        <w:spacing w:before="8"/>
        <w:ind w:left="63" w:right="2141" w:firstLine="0"/>
        <w:jc w:val="center"/>
        <w:rPr>
          <w:rFonts w:ascii="Arial" w:hAnsi="Arial"/>
          <w:sz w:val="17"/>
        </w:rPr>
      </w:pPr>
      <w:r>
        <w:rPr/>
        <w:pict>
          <v:line style="position:absolute;mso-position-horizontal-relative:page;mso-position-vertical-relative:paragraph;z-index:3016" from="39.685101pt,18.440687pt" to="388.346101pt,18.440687pt" stroked="true" strokeweight="1pt" strokecolor="#000000">
            <w10:wrap type="none"/>
          </v:line>
        </w:pict>
      </w:r>
      <w:r>
        <w:rPr>
          <w:rFonts w:ascii="Arial" w:hAnsi="Arial"/>
          <w:w w:val="85"/>
          <w:sz w:val="17"/>
        </w:rPr>
        <w:t>Participación en las exportaciones mundiales</w:t>
      </w:r>
    </w:p>
    <w:p>
      <w:pPr>
        <w:spacing w:after="0"/>
        <w:jc w:val="center"/>
        <w:rPr>
          <w:rFonts w:ascii="Arial" w:hAnsi="Arial"/>
          <w:sz w:val="17"/>
        </w:rPr>
        <w:sectPr>
          <w:type w:val="continuous"/>
          <w:pgSz w:w="8790" w:h="12760"/>
          <w:pgMar w:top="360" w:bottom="280" w:left="680" w:right="900"/>
          <w:cols w:num="2" w:equalWidth="0">
            <w:col w:w="855" w:space="1219"/>
            <w:col w:w="5136"/>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17"/>
        </w:rPr>
      </w:pPr>
    </w:p>
    <w:p>
      <w:pPr>
        <w:spacing w:line="403" w:lineRule="auto" w:before="79"/>
        <w:ind w:left="5638" w:right="1211" w:firstLine="15"/>
        <w:jc w:val="left"/>
        <w:rPr>
          <w:rFonts w:ascii="Arial" w:hAnsi="Arial"/>
          <w:sz w:val="16"/>
        </w:rPr>
      </w:pPr>
      <w:r>
        <w:rPr/>
        <w:pict>
          <v:group style="position:absolute;margin-left:95.00193pt;margin-top:-103.843285pt;width:200.9pt;height:263.4pt;mso-position-horizontal-relative:page;mso-position-vertical-relative:paragraph;z-index:3160" coordorigin="1900,-2077" coordsize="4018,5268">
            <v:shape style="position:absolute;left:0;top:8461;width:3928;height:156" coordorigin="0,8461" coordsize="3928,156" path="m1983,-1915l5911,-1915m1983,-1945l5911,-1945m1983,-1960l5911,-1960m1983,-1979l5911,-1979m1983,-1994l5911,-1994m1983,-2009l5911,-2009m1983,-2025l5911,-2025m1983,-2040l5911,-2040m1983,-2055l5911,-2055m1983,-2070l5911,-2070e" filled="false" stroked="true" strokeweight=".595pt" strokecolor="#9b9d9f">
              <v:path arrowok="t"/>
            </v:shape>
            <v:line style="position:absolute" from="1983,-1915" to="1983,-2070" stroked="true" strokeweight=".595pt" strokecolor="#9b9d9f"/>
            <v:shape style="position:absolute;left:0;top:8461;width:50;height:156" coordorigin="0,8461" coordsize="50,156" path="m1934,-1915l1983,-1915m1934,-1929l1983,-1929m1934,-1945l1983,-1945m1934,-1960l1983,-1960m1934,-1979l1983,-1979m1934,-1994l1983,-1994m1934,-2009l1983,-2009m1934,-2025l1983,-2025m1934,-2040l1983,-2040m1934,-2055l1983,-2055m1934,-2070l1983,-2070e" filled="false" stroked="true" strokeweight=".595pt" strokecolor="#9b9d9f">
              <v:path arrowok="t"/>
            </v:shape>
            <v:line style="position:absolute" from="1983,-1931" to="5911,-1931" stroked="true" strokeweight=".595pt" strokecolor="#9b9d9f"/>
            <v:shape style="position:absolute;left:0;top:8616;width:3928;height:513" coordorigin="0,8616" coordsize="3928,513" path="m1983,-1929l1983,-1880m1983,-1929l1983,-1417m2098,-1929l2098,-1880m2098,-1929l2098,-1417m2216,-1929l2216,-1880m2216,-1929l2216,-1417m2330,-1929l2330,-1880m2330,-1929l2330,-1417m2444,-1929l2444,-1880m2444,-1929l2444,-1417m2562,-1929l2562,-1880m2562,-1929l2562,-1417m2677,-1929l2677,-1880m2677,-1929l2677,-1417m2791,-1929l2791,-1880m2791,-1929l2791,-1417m2909,-1929l2909,-1880m2909,-1929l2909,-1417m3023,-1929l3023,-1880m3023,-1929l3023,-1417m3137,-1929l3137,-1880m3137,-1929l3137,-1417m3255,-1929l3255,-1880m3255,-1929l3255,-1417m3370,-1929l3370,-1880m3370,-1929l3370,-1417m3484,-1929l3484,-1880m3484,-1929l3484,-1417m3602,-1929l3602,-1880m3602,-1929l3602,-1417m3716,-1929l3716,-1880m3716,-1929l3716,-1417m3830,-1929l3830,-1880m3830,-1929l3830,-1417m3948,-1929l3948,-1880m3948,-1929l3948,-1417m4063,-1929l4063,-1880m4063,-1929l4063,-1417m4177,-1929l4177,-1880m4177,-1929l4177,-1417m4295,-1929l4295,-1880m4295,-1929l4295,-1417m4409,-1929l4409,-1880m4409,-1929l4409,-1417m4523,-1929l4523,-1880m4523,-1929l4523,-1417m4641,-1929l4641,-1880m4641,-1929l4641,-1417m4756,-1929l4756,-1880m4756,-1929l4756,-1417m4870,-1929l4870,-1880m4870,-1929l4870,-1417m4988,-1929l4988,-1880m4988,-1929l4988,-1417m5102,-1929l5102,-1880m5102,-1929l5102,-1417m5216,-1929l5216,-1880m5216,-1929l5216,-1417m5335,-1929l5335,-1880m5335,-1929l5335,-1417m5449,-1929l5449,-1880m5449,-1929l5449,-1417m5563,-1929l5563,-1880m5563,-1929l5563,-1417m5681,-1929l5681,-1880m5681,-1929l5681,-1417m5795,-1929l5795,-1880m5795,-1929l5795,-1417m5911,-1929l5911,-1880m5911,-1929l5911,-1417e" filled="false" stroked="true" strokeweight=".595pt" strokecolor="#9b9d9f">
              <v:path arrowok="t"/>
            </v:shape>
            <v:shape style="position:absolute;left:0;top:8616;width:3928;height:305" coordorigin="0,8616" coordsize="3928,305" path="m1983,-1415l1983,-1111m2216,-1415l2216,-1111m2330,-1415l2330,-1111m2444,-1415l2444,-1111m2562,-1415l2562,-1111m2677,-1415l2677,-1111m2791,-1415l2791,-1111m2909,-1415l2909,-1111m3023,-1415l3023,-1111m3137,-1415l3137,-1111m3255,-1415l3255,-1111m3370,-1415l3370,-1111m3484,-1415l3484,-1111m3602,-1415l3602,-1111m3716,-1415l3716,-1111m3830,-1415l3830,-1111m3948,-1415l3948,-1111m4063,-1415l4063,-1111m4177,-1415l4177,-1111m4295,-1415l4295,-1111m4409,-1415l4409,-1111m4523,-1415l4523,-1111m4641,-1415l4641,-1111m4756,-1415l4756,-1111m4870,-1415l4870,-1111m4988,-1415l4988,-1111m5102,-1415l5102,-1111m5216,-1415l5216,-1111m5335,-1415l5335,-1111m5449,-1415l5449,-1111m5563,-1415l5563,-1111m5681,-1415l5681,-1111m5795,-1415l5795,-1111m5911,-1415l5911,-1111e" filled="false" stroked="true" strokeweight=".595pt" strokecolor="#9b9d9f">
              <v:path arrowok="t"/>
            </v:shape>
            <v:shape style="position:absolute;left:0;top:8616;width:3928;height:308" coordorigin="0,8616" coordsize="3928,308" path="m1983,-1111l1983,-803m2216,-1111l2216,-803m2330,-1111l2330,-803m2444,-1111l2444,-803m2562,-1111l2562,-803m2677,-1111l2677,-803m2791,-1111l2791,-803m2909,-1111l2909,-803m3023,-1111l3023,-803m3137,-1111l3137,-803m3255,-1111l3255,-803m3370,-1111l3370,-803m3484,-1111l3484,-803m3602,-1111l3602,-803m3716,-1111l3716,-803m3830,-1111l3830,-803m3948,-1111l3948,-803m4063,-1111l4063,-803m4177,-1111l4177,-803m4295,-1111l4295,-803m4409,-1111l4409,-803m4523,-1111l4523,-803m4641,-1111l4641,-803m4756,-1111l4756,-803m4870,-1111l4870,-803m4988,-1111l4988,-803m5102,-1111l5102,-803m5216,-1111l5216,-803m5335,-1111l5335,-803m5449,-1111l5449,-803m5563,-1111l5563,-803m5681,-1111l5681,-803m5795,-1111l5795,-803m5911,-1111l5911,-803e" filled="false" stroked="true" strokeweight=".595pt" strokecolor="#9b9d9f">
              <v:path arrowok="t"/>
            </v:shape>
            <v:shape style="position:absolute;left:0;top:8616;width:3928;height:305" coordorigin="0,8616" coordsize="3928,305" path="m1983,-802l1983,-498m2216,-802l2216,-498m2330,-802l2330,-498m2444,-802l2444,-498m2562,-802l2562,-498m2677,-802l2677,-498m2791,-802l2791,-498m2909,-802l2909,-498m3023,-802l3023,-498m3137,-802l3137,-498m3255,-802l3255,-498m3370,-802l3370,-498m3484,-802l3484,-498m3602,-802l3602,-498m3716,-802l3716,-498m3830,-802l3830,-498m3948,-802l3948,-498m4063,-802l4063,-498m4177,-802l4177,-498m4295,-802l4295,-498m4409,-802l4409,-498m4523,-802l4523,-498m4641,-802l4641,-498m4756,-802l4756,-498m4870,-802l4870,-498m4988,-802l4988,-498m5102,-802l5102,-498m5216,-802l5216,-498m5335,-802l5335,-498m5449,-802l5449,-498m5563,-802l5563,-498m5681,-802l5681,-498m5795,-802l5795,-498m5911,-802l5911,-498e" filled="false" stroked="true" strokeweight=".595pt" strokecolor="#9b9d9f">
              <v:path arrowok="t"/>
            </v:shape>
            <v:shape style="position:absolute;left:0;top:8616;width:3928;height:309" coordorigin="0,8616" coordsize="3928,309" path="m1983,-498l1983,-190m2216,-498l2216,-190m2330,-498l2330,-190m2444,-498l2444,-190m2562,-498l2562,-190m2677,-498l2677,-190m2791,-498l2791,-190m2909,-498l2909,-190m3023,-498l3023,-190m3137,-498l3137,-190m3255,-498l3255,-190m3370,-498l3370,-190m3484,-498l3484,-190m3602,-498l3602,-190m3716,-498l3716,-190m3830,-498l3830,-190m3948,-498l3948,-190m4063,-498l4063,-190m4177,-498l4177,-190m4295,-498l4295,-190m4409,-498l4409,-190m4523,-498l4523,-190m4641,-498l4641,-190m4756,-498l4756,-190m4870,-498l4870,-190m4988,-498l4988,-190m5102,-498l5102,-190m5216,-498l5216,-190m5335,-498l5335,-190m5449,-498l5449,-190m5563,-498l5563,-190m5681,-498l5681,-190m5795,-498l5795,-190m5911,-498l5911,-190e" filled="false" stroked="true" strokeweight=".595pt" strokecolor="#9b9d9f">
              <v:path arrowok="t"/>
            </v:shape>
            <v:shape style="position:absolute;left:0;top:8616;width:3928;height:305" coordorigin="0,8616" coordsize="3928,305" path="m1983,-189l1983,116m2216,-189l2216,116m2330,-189l2330,116m2444,-189l2444,116m2562,-189l2562,116m2677,-189l2677,116m2791,-189l2791,116m2909,-189l2909,116m3023,-189l3023,116m3137,-189l3137,116m3255,-189l3255,116m3370,-189l3370,116m3484,-189l3484,116m3602,-189l3602,116m3716,-189l3716,116m3830,-189l3830,116m3948,-189l3948,116m4063,-189l4063,116m4177,-189l4177,116m4295,-189l4295,116m4409,-189l4409,116m4523,-189l4523,116m4641,-189l4641,116m4756,-189l4756,116m4870,-189l4870,116m4988,-189l4988,116m5102,-189l5102,116m5216,-189l5216,116m5335,-189l5335,116m5449,-189l5449,116m5563,-189l5563,116m5681,-189l5681,116m5795,-189l5795,116m5911,-189l5911,116e" filled="false" stroked="true" strokeweight=".595pt" strokecolor="#9b9d9f">
              <v:path arrowok="t"/>
            </v:shape>
            <v:shape style="position:absolute;left:0;top:8616;width:3928;height:309" coordorigin="0,8616" coordsize="3928,309" path="m1983,116l1983,424m2216,116l2216,424m2330,116l2330,424m2444,116l2444,424m2562,116l2562,424m2677,116l2677,424m2791,116l2791,424m2909,116l2909,424m3023,116l3023,424m3137,116l3137,424m3255,116l3255,424m3370,116l3370,424m3484,116l3484,424m3602,116l3602,424m3716,116l3716,424m3830,116l3830,424m3948,116l3948,424m4063,116l4063,424m4177,116l4177,424m4295,116l4295,424m4409,116l4409,424m4523,116l4523,424m4641,116l4641,424m4756,116l4756,424m4870,116l4870,424m4988,116l4988,424m5102,116l5102,424m5216,116l5216,424m5335,116l5335,424m5449,116l5449,424m5563,116l5563,424m5681,116l5681,424m5795,116l5795,424m5911,116l5911,424e" filled="false" stroked="true" strokeweight=".595pt" strokecolor="#9b9d9f">
              <v:path arrowok="t"/>
            </v:shape>
            <v:shape style="position:absolute;left:0;top:8616;width:3928;height:308" coordorigin="0,8616" coordsize="3928,308" path="m1983,424l1983,731m2216,424l2216,731m2330,424l2330,731m2444,424l2444,731m2562,424l2562,731m2677,424l2677,731m2791,424l2791,731m2909,424l2909,731m3023,424l3023,731m3137,424l3137,731m3255,424l3255,731m3370,424l3370,731m3484,424l3484,731m3602,424l3602,731m3716,424l3716,731m3830,424l3830,731m3948,424l3948,731m4063,424l4063,731m4177,424l4177,731m4295,424l4295,731m4409,424l4409,731m4523,424l4523,731m4641,424l4641,731m4756,424l4756,731m4870,424l4870,731m4988,424l4988,731m5102,424l5102,731m5216,424l5216,731m5335,424l5335,731m5449,424l5449,731m5563,424l5563,731m5681,424l5681,731m5795,424l5795,731m5911,424l5911,731e" filled="false" stroked="true" strokeweight=".595pt" strokecolor="#9b9d9f">
              <v:path arrowok="t"/>
            </v:shape>
            <v:shape style="position:absolute;left:0;top:8616;width:3928;height:305" coordorigin="0,8616" coordsize="3928,305" path="m1983,732l1983,1037m2216,732l2216,1037m2330,732l2330,1037m2444,732l2444,1037m2562,732l2562,1037m2677,732l2677,1037m2791,732l2791,1037m2909,732l2909,1037m3023,732l3023,1037m3137,732l3137,1037m3255,732l3255,1037m3370,732l3370,1037m3484,732l3484,1037m3602,732l3602,1037m3716,732l3716,1037m3830,732l3830,1037m3948,732l3948,1037m4063,732l4063,1037m4177,732l4177,1037m4295,732l4295,1037m4409,732l4409,1037m4523,732l4523,1037m4641,732l4641,1037m4756,732l4756,1037m4870,732l4870,1037m4988,732l4988,1037m5102,732l5102,1037m5216,732l5216,1037m5335,732l5335,1037m5449,732l5449,1037m5563,732l5563,1037m5681,732l5681,1037m5795,732l5795,1037m5911,732l5911,1037e" filled="false" stroked="true" strokeweight=".595pt" strokecolor="#9b9d9f">
              <v:path arrowok="t"/>
            </v:shape>
            <v:shape style="position:absolute;left:0;top:8616;width:3928;height:308" coordorigin="0,8616" coordsize="3928,308" path="m1983,1037l1983,1345m2216,1037l2216,1345m2330,1037l2330,1345m2444,1037l2444,1345m2562,1037l2562,1345m2677,1037l2677,1345m2791,1037l2791,1345m2909,1037l2909,1345m3023,1037l3023,1345m3137,1037l3137,1345m3255,1037l3255,1345m3370,1037l3370,1345m3484,1037l3484,1345m3602,1037l3602,1345m3716,1037l3716,1345m3830,1037l3830,1345m3948,1037l3948,1345m4063,1037l4063,1345m4177,1037l4177,1345m4295,1037l4295,1345m4409,1037l4409,1345m4523,1037l4523,1345m4641,1037l4641,1345m4756,1037l4756,1345m4870,1037l4870,1345m4988,1037l4988,1345m5102,1037l5102,1345m5216,1037l5216,1345m5335,1037l5335,1345m5449,1037l5449,1345m5563,1037l5563,1345m5681,1037l5681,1345m5795,1037l5795,1345m5911,1037l5911,1345e" filled="false" stroked="true" strokeweight=".595pt" strokecolor="#9b9d9f">
              <v:path arrowok="t"/>
            </v:shape>
            <v:shape style="position:absolute;left:0;top:8616;width:3928;height:305" coordorigin="0,8616" coordsize="3928,305" path="m1983,1346l1983,1650m2216,1346l2216,1650m2330,1346l2330,1650m2444,1346l2444,1650m2562,1346l2562,1650m2677,1346l2677,1650m2791,1346l2791,1650m2909,1346l2909,1650m3023,1346l3023,1650m3137,1346l3137,1650m3255,1346l3255,1650m3370,1346l3370,1650m3484,1346l3484,1650m3602,1346l3602,1650m3716,1346l3716,1650m3830,1346l3830,1650m3948,1346l3948,1650m4063,1346l4063,1650m4177,1346l4177,1650m4295,1346l4295,1650m4409,1346l4409,1650m4523,1346l4523,1650m4641,1346l4641,1650m4756,1346l4756,1650m4870,1346l4870,1650m4988,1346l4988,1650m5102,1346l5102,1650m5216,1346l5216,1650m5335,1346l5335,1650m5449,1346l5449,1650m5563,1346l5563,1650m5681,1346l5681,1650m5795,1346l5795,1650m5911,1346l5911,1650e" filled="false" stroked="true" strokeweight=".595pt" strokecolor="#9b9d9f">
              <v:path arrowok="t"/>
            </v:shape>
            <v:shape style="position:absolute;left:0;top:8616;width:3928;height:309" coordorigin="0,8616" coordsize="3928,309" path="m1983,1650l1983,1959m2216,1650l2216,1959m2330,1650l2330,1959m2444,1650l2444,1959m2562,1650l2562,1959m2677,1650l2677,1959m2791,1650l2791,1959m2909,1650l2909,1959m3023,1650l3023,1959m3137,1650l3137,1959m3255,1650l3255,1959m3370,1650l3370,1959m3484,1650l3484,1959m3602,1650l3602,1959m3716,1650l3716,1959m3830,1650l3830,1959m3948,1650l3948,1959m4063,1650l4063,1959m4177,1650l4177,1959m4295,1650l4295,1959m4409,1650l4409,1959m4523,1650l4523,1959m4641,1650l4641,1959m4756,1650l4756,1959m4870,1650l4870,1959m4988,1650l4988,1959m5102,1650l5102,1959m5216,1650l5216,1959m5335,1650l5335,1959m5449,1650l5449,1959m5563,1650l5563,1959m5681,1650l5681,1959m5795,1650l5795,1959m5911,1650l5911,1959e" filled="false" stroked="true" strokeweight=".595pt" strokecolor="#9b9d9f">
              <v:path arrowok="t"/>
            </v:shape>
            <v:shape style="position:absolute;left:0;top:8616;width:3928;height:308" coordorigin="0,8616" coordsize="3928,308" path="m1983,1959l1983,2266m2216,1959l2216,2266m2330,1959l2330,2266m2444,1959l2444,2266m2562,1959l2562,2266m2677,1959l2677,2266m2791,1959l2791,2266m2909,1959l2909,2266m3023,1959l3023,2266m3137,1959l3137,2266m3255,1959l3255,2266m3370,1959l3370,2266m3484,1959l3484,2266m3602,1959l3602,2266m3716,1959l3716,2266m3830,1959l3830,2266m3948,1959l3948,2266m4063,1959l4063,2266m4177,1959l4177,2266m4295,1959l4295,2266m4409,1959l4409,2266m4523,1959l4523,2266m4641,1959l4641,2266m4756,1959l4756,2266m4870,1959l4870,2266m4988,1959l4988,2266m5102,1959l5102,2266m5216,1959l5216,2266m5335,1959l5335,2266m5449,1959l5449,2266m5563,1959l5563,2266m5681,1959l5681,2266m5795,1959l5795,2266m5911,1959l5911,2266e" filled="false" stroked="true" strokeweight=".595pt" strokecolor="#9b9d9f">
              <v:path arrowok="t"/>
            </v:shape>
            <v:shape style="position:absolute;left:0;top:8616;width:3928;height:305" coordorigin="0,8616" coordsize="3928,305" path="m1983,2267l1983,2572m2216,2267l2216,2572m2330,2267l2330,2572m2444,2267l2444,2572m2562,2267l2562,2572m2677,2267l2677,2572m2791,2267l2791,2572m2909,2267l2909,2572m3023,2267l3023,2572m3137,2267l3137,2572m3255,2267l3255,2572m3370,2267l3370,2572m3484,2267l3484,2572m3602,2267l3602,2572m3716,2267l3716,2572m3830,2267l3830,2572m3948,2267l3948,2572m4063,2267l4063,2572m4177,2267l4177,2572m4295,2267l4295,2572m4409,2267l4409,2572m4523,2267l4523,2572m4641,2267l4641,2572m4756,2267l4756,2572m4870,2267l4870,2572m4988,2267l4988,2572m5102,2267l5102,2572m5216,2267l5216,2572m5335,2267l5335,2572m5449,2267l5449,2572m5563,2267l5563,2572m5681,2267l5681,2572m5795,2267l5795,2572m5911,2267l5911,2572e" filled="false" stroked="true" strokeweight=".595pt" strokecolor="#9b9d9f">
              <v:path arrowok="t"/>
            </v:shape>
            <v:shape style="position:absolute;left:0;top:8616;width:3928;height:308" coordorigin="0,8616" coordsize="3928,308" path="m1983,2572l1983,2880m2216,2572l2216,2880m2330,2572l2330,2880m2444,2572l2444,2880m2562,2572l2562,2880m2677,2572l2677,2880m2791,2572l2791,2880m2909,2572l2909,2880m3023,2572l3023,2880m3137,2572l3137,2880m3255,2572l3255,2880m3370,2572l3370,2880m3484,2572l3484,2880m3602,2572l3602,2880m3716,2572l3716,2880m3830,2572l3830,2880m3948,2572l3948,2880m4063,2572l4063,2880m4177,2572l4177,2880m4295,2572l4295,2880m4409,2572l4409,2880m4523,2572l4523,2880m4641,2572l4641,2880m4756,2572l4756,2880m4870,2572l4870,2880m4988,2572l4988,2880m5102,2572l5102,2880m5216,2572l5216,2880m5335,2572l5335,2880m5449,2572l5449,2880m5563,2572l5563,2880m5681,2572l5681,2880m5795,2572l5795,2880m5911,2572l5911,2880e" filled="false" stroked="true" strokeweight=".595pt" strokecolor="#9b9d9f">
              <v:path arrowok="t"/>
            </v:shape>
            <v:line style="position:absolute" from="5911,2880" to="5911,3185" stroked="true" strokeweight=".595pt" strokecolor="#9b9d9f"/>
            <v:line style="position:absolute" from="5795,2880" to="5795,3185" stroked="true" strokeweight=".595pt" strokecolor="#9b9d9f"/>
            <v:line style="position:absolute" from="5681,2880" to="5681,3185" stroked="true" strokeweight=".595pt" strokecolor="#9b9d9f"/>
            <v:line style="position:absolute" from="5563,2880" to="5563,3185" stroked="true" strokeweight=".595pt" strokecolor="#9b9d9f"/>
            <v:line style="position:absolute" from="5449,2880" to="5449,3185" stroked="true" strokeweight=".595pt" strokecolor="#9b9d9f"/>
            <v:line style="position:absolute" from="5335,2880" to="5335,3185" stroked="true" strokeweight=".595pt" strokecolor="#9b9d9f"/>
            <v:line style="position:absolute" from="5216,2880" to="5216,3185" stroked="true" strokeweight=".595pt" strokecolor="#9b9d9f"/>
            <v:line style="position:absolute" from="5102,2880" to="5102,3185" stroked="true" strokeweight=".595pt" strokecolor="#9b9d9f"/>
            <v:line style="position:absolute" from="4988,2880" to="4988,3185" stroked="true" strokeweight=".595pt" strokecolor="#9b9d9f"/>
            <v:line style="position:absolute" from="4870,2880" to="4870,3185" stroked="true" strokeweight=".595pt" strokecolor="#9b9d9f"/>
            <v:line style="position:absolute" from="4756,2880" to="4756,3185" stroked="true" strokeweight=".595pt" strokecolor="#9b9d9f"/>
            <v:line style="position:absolute" from="4641,2880" to="4641,3185" stroked="true" strokeweight=".595pt" strokecolor="#9b9d9f"/>
            <v:line style="position:absolute" from="4523,2880" to="4523,3185" stroked="true" strokeweight=".595pt" strokecolor="#9b9d9f"/>
            <v:line style="position:absolute" from="4409,2880" to="4409,3185" stroked="true" strokeweight=".595pt" strokecolor="#9b9d9f"/>
            <v:line style="position:absolute" from="4295,2880" to="4295,3185" stroked="true" strokeweight=".595pt" strokecolor="#9b9d9f"/>
            <v:line style="position:absolute" from="4177,2880" to="4177,3185" stroked="true" strokeweight=".595pt" strokecolor="#9b9d9f"/>
            <v:line style="position:absolute" from="4063,2880" to="4063,3185" stroked="true" strokeweight=".595pt" strokecolor="#9b9d9f"/>
            <v:line style="position:absolute" from="3948,2880" to="3948,3185" stroked="true" strokeweight=".595pt" strokecolor="#9b9d9f"/>
            <v:line style="position:absolute" from="3830,2880" to="3830,3185" stroked="true" strokeweight=".595pt" strokecolor="#9b9d9f"/>
            <v:line style="position:absolute" from="3716,2880" to="3716,3185" stroked="true" strokeweight=".595pt" strokecolor="#9b9d9f"/>
            <v:line style="position:absolute" from="3602,2880" to="3602,3185" stroked="true" strokeweight=".595pt" strokecolor="#9b9d9f"/>
            <v:line style="position:absolute" from="3484,2880" to="3484,3185" stroked="true" strokeweight=".595pt" strokecolor="#9b9d9f"/>
            <v:line style="position:absolute" from="3370,2880" to="3370,3185" stroked="true" strokeweight=".595pt" strokecolor="#9b9d9f"/>
            <v:line style="position:absolute" from="3255,2880" to="3255,3185" stroked="true" strokeweight=".595pt" strokecolor="#9b9d9f"/>
            <v:line style="position:absolute" from="3137,2880" to="3137,3185" stroked="true" strokeweight=".595pt" strokecolor="#9b9d9f"/>
            <v:line style="position:absolute" from="3023,2880" to="3023,3185" stroked="true" strokeweight=".595pt" strokecolor="#9b9d9f"/>
            <v:line style="position:absolute" from="2909,2880" to="2909,3185" stroked="true" strokeweight=".595pt" strokecolor="#9b9d9f"/>
            <v:line style="position:absolute" from="2791,2880" to="2791,3185" stroked="true" strokeweight=".595pt" strokecolor="#9b9d9f"/>
            <v:line style="position:absolute" from="2677,2880" to="2677,3185" stroked="true" strokeweight=".595pt" strokecolor="#9b9d9f"/>
            <v:line style="position:absolute" from="2562,2880" to="2562,3185" stroked="true" strokeweight=".595pt" strokecolor="#9b9d9f"/>
            <v:line style="position:absolute" from="2444,2880" to="2444,3185" stroked="true" strokeweight=".595pt" strokecolor="#9b9d9f"/>
            <v:line style="position:absolute" from="2330,2880" to="2330,3185" stroked="true" strokeweight=".595pt" strokecolor="#9b9d9f"/>
            <v:line style="position:absolute" from="2216,2880" to="2216,3185" stroked="true" strokeweight=".595pt" strokecolor="#9b9d9f"/>
            <v:line style="position:absolute" from="1983,2880" to="1983,3185" stroked="true" strokeweight=".595pt" strokecolor="#9b9d9f"/>
            <v:shape style="position:absolute;left:0;top:8574;width:3812;height:126" coordorigin="0,8574" coordsize="3812,126" path="m2041,-2017l2155,-2032m2155,-2032l2273,-2059m2273,-2059l2387,-2025m2387,-2025l2501,-2002m2501,-2002l2619,-2009m2619,-2009l2734,-1994m2734,-1994l2848,-1983m2848,-1983l2966,-1983m2966,-1983l3080,-1990m3080,-1990l3194,-2002m3194,-2002l3312,-1994m3312,-1994l3427,-1975m3427,-1975l3541,-1956m3541,-1956l3659,-1952m3659,-1952l3773,-1964m3773,-1964l3891,-1975m3891,-1975l4006,-1971m4006,-1971l4120,-1975m4120,-1975l4238,-1971m4238,-1971l4352,-1971m4352,-1971l4466,-1979m4466,-1979l4584,-1960m4584,-1960l4699,-1945m4699,-1945l4813,-1941m4813,-1941l4931,-1941m4931,-1941l5045,-1956m5045,-1956l5159,-1971m5159,-1971l5277,-1971m5277,-1971l5392,-1945m5392,-1945l5506,-1933m5506,-1933l5624,-1933m5624,-1933l5738,-1933m5738,-1933l5852,-1933e" filled="false" stroked="true" strokeweight="1.785pt" strokecolor="#000000">
              <v:path arrowok="t"/>
            </v:shape>
            <v:shape style="position:absolute;left:0;top:8597;width:3812;height:107" coordorigin="0,8597" coordsize="3812,107" path="m2041,-2017l2155,-2036m2155,-2036l2273,-2009m2273,-2009l2387,-1979m2387,-1979l2501,-1956m2501,-1956l2619,-1964m2619,-1964l2734,-1960m2734,-1960l2848,-1945m2848,-1945l2966,-1960m2966,-1960l3080,-1964m3080,-1964l3194,-1967m3194,-1967l3312,-1971m3312,-1971l3427,-1964m3427,-1964l3541,-1952m3541,-1952l3659,-1952m3659,-1952l3773,-1952m3773,-1952l3891,-1952m3891,-1952l4006,-1952m4006,-1952l4120,-1948m4120,-1948l4238,-1945m4238,-1945l4352,-1948m4352,-1948l4466,-1956m4466,-1956l4584,-1952m4584,-1952l4699,-1945m4699,-1945l4813,-1948m4813,-1948l4931,-1952m4931,-1952l5045,-1956m5045,-1956l5159,-1956m5159,-1956l5277,-1952m5277,-1952l5392,-1960m5392,-1960l5506,-1929m5506,-1929l5624,-1945m5624,-1945l5738,-1956m5738,-1956l5852,-1948e" filled="false" stroked="true" strokeweight="1.785pt" strokecolor="#929496">
              <v:path arrowok="t"/>
            </v:shape>
            <v:shape style="position:absolute;left:1900;top:-2077;width:4018;height:5268" type="#_x0000_t202" filled="false" stroked="false">
              <v:textbox inset="0,0,0,0">
                <w:txbxContent>
                  <w:p>
                    <w:pPr>
                      <w:spacing w:line="240" w:lineRule="auto" w:before="0"/>
                      <w:rPr>
                        <w:sz w:val="16"/>
                      </w:rPr>
                    </w:pPr>
                  </w:p>
                  <w:p>
                    <w:pPr>
                      <w:spacing w:line="240" w:lineRule="auto" w:before="0"/>
                      <w:rPr>
                        <w:sz w:val="16"/>
                      </w:rPr>
                    </w:pPr>
                  </w:p>
                  <w:p>
                    <w:pPr>
                      <w:spacing w:line="240" w:lineRule="auto" w:before="0"/>
                      <w:rPr>
                        <w:sz w:val="16"/>
                      </w:rPr>
                    </w:pPr>
                  </w:p>
                  <w:p>
                    <w:pPr>
                      <w:spacing w:line="240" w:lineRule="auto" w:before="6"/>
                      <w:rPr>
                        <w:sz w:val="17"/>
                      </w:rPr>
                    </w:pPr>
                  </w:p>
                  <w:p>
                    <w:pPr>
                      <w:spacing w:before="0"/>
                      <w:ind w:left="1" w:right="0" w:firstLine="0"/>
                      <w:jc w:val="left"/>
                      <w:rPr>
                        <w:rFonts w:ascii="Arial"/>
                        <w:sz w:val="16"/>
                      </w:rPr>
                    </w:pPr>
                    <w:r>
                      <w:rPr>
                        <w:rFonts w:ascii="Arial"/>
                        <w:w w:val="95"/>
                        <w:sz w:val="16"/>
                      </w:rPr>
                      <w:t>2011.</w:t>
                    </w:r>
                  </w:p>
                  <w:p>
                    <w:pPr>
                      <w:spacing w:before="123"/>
                      <w:ind w:left="1" w:right="0" w:firstLine="0"/>
                      <w:jc w:val="left"/>
                      <w:rPr>
                        <w:rFonts w:ascii="Arial"/>
                        <w:sz w:val="16"/>
                      </w:rPr>
                    </w:pPr>
                    <w:r>
                      <w:rPr>
                        <w:rFonts w:ascii="Arial"/>
                        <w:w w:val="95"/>
                        <w:sz w:val="16"/>
                      </w:rPr>
                      <w:t>2010.</w:t>
                    </w:r>
                  </w:p>
                  <w:p>
                    <w:pPr>
                      <w:spacing w:before="123"/>
                      <w:ind w:left="1" w:right="0" w:firstLine="0"/>
                      <w:jc w:val="left"/>
                      <w:rPr>
                        <w:rFonts w:ascii="Arial"/>
                        <w:sz w:val="16"/>
                      </w:rPr>
                    </w:pPr>
                    <w:r>
                      <w:rPr>
                        <w:rFonts w:ascii="Arial"/>
                        <w:w w:val="95"/>
                        <w:sz w:val="16"/>
                      </w:rPr>
                      <w:t>2009.</w:t>
                    </w:r>
                  </w:p>
                  <w:p>
                    <w:pPr>
                      <w:spacing w:before="123"/>
                      <w:ind w:left="1" w:right="0" w:firstLine="0"/>
                      <w:jc w:val="left"/>
                      <w:rPr>
                        <w:rFonts w:ascii="Arial"/>
                        <w:sz w:val="16"/>
                      </w:rPr>
                    </w:pPr>
                    <w:r>
                      <w:rPr>
                        <w:rFonts w:ascii="Arial"/>
                        <w:w w:val="95"/>
                        <w:sz w:val="16"/>
                      </w:rPr>
                      <w:t>2008.</w:t>
                    </w:r>
                  </w:p>
                  <w:p>
                    <w:pPr>
                      <w:spacing w:before="123"/>
                      <w:ind w:left="1" w:right="0" w:firstLine="0"/>
                      <w:jc w:val="left"/>
                      <w:rPr>
                        <w:rFonts w:ascii="Arial"/>
                        <w:sz w:val="16"/>
                      </w:rPr>
                    </w:pPr>
                    <w:r>
                      <w:rPr>
                        <w:rFonts w:ascii="Arial"/>
                        <w:w w:val="95"/>
                        <w:sz w:val="16"/>
                      </w:rPr>
                      <w:t>2007.</w:t>
                    </w:r>
                  </w:p>
                  <w:p>
                    <w:pPr>
                      <w:spacing w:before="123"/>
                      <w:ind w:left="1" w:right="0" w:firstLine="0"/>
                      <w:jc w:val="left"/>
                      <w:rPr>
                        <w:rFonts w:ascii="Arial"/>
                        <w:sz w:val="16"/>
                      </w:rPr>
                    </w:pPr>
                    <w:r>
                      <w:rPr>
                        <w:rFonts w:ascii="Arial"/>
                        <w:w w:val="95"/>
                        <w:sz w:val="16"/>
                      </w:rPr>
                      <w:t>2006.</w:t>
                    </w:r>
                  </w:p>
                  <w:p>
                    <w:pPr>
                      <w:spacing w:before="123"/>
                      <w:ind w:left="1" w:right="0" w:firstLine="0"/>
                      <w:jc w:val="left"/>
                      <w:rPr>
                        <w:rFonts w:ascii="Arial"/>
                        <w:sz w:val="16"/>
                      </w:rPr>
                    </w:pPr>
                    <w:r>
                      <w:rPr>
                        <w:rFonts w:ascii="Arial"/>
                        <w:w w:val="95"/>
                        <w:sz w:val="16"/>
                      </w:rPr>
                      <w:t>2005.</w:t>
                    </w:r>
                  </w:p>
                  <w:p>
                    <w:pPr>
                      <w:spacing w:before="123"/>
                      <w:ind w:left="1" w:right="0" w:firstLine="0"/>
                      <w:jc w:val="left"/>
                      <w:rPr>
                        <w:rFonts w:ascii="Arial"/>
                        <w:sz w:val="16"/>
                      </w:rPr>
                    </w:pPr>
                    <w:r>
                      <w:rPr>
                        <w:rFonts w:ascii="Arial"/>
                        <w:w w:val="95"/>
                        <w:sz w:val="16"/>
                      </w:rPr>
                      <w:t>2004.</w:t>
                    </w:r>
                  </w:p>
                  <w:p>
                    <w:pPr>
                      <w:spacing w:before="123"/>
                      <w:ind w:left="1" w:right="0" w:firstLine="0"/>
                      <w:jc w:val="left"/>
                      <w:rPr>
                        <w:rFonts w:ascii="Arial"/>
                        <w:sz w:val="16"/>
                      </w:rPr>
                    </w:pPr>
                    <w:r>
                      <w:rPr>
                        <w:rFonts w:ascii="Arial"/>
                        <w:w w:val="95"/>
                        <w:sz w:val="16"/>
                      </w:rPr>
                      <w:t>2003.</w:t>
                    </w:r>
                  </w:p>
                  <w:p>
                    <w:pPr>
                      <w:spacing w:before="123"/>
                      <w:ind w:left="1" w:right="0" w:firstLine="0"/>
                      <w:jc w:val="left"/>
                      <w:rPr>
                        <w:rFonts w:ascii="Arial"/>
                        <w:sz w:val="16"/>
                      </w:rPr>
                    </w:pPr>
                    <w:r>
                      <w:rPr>
                        <w:rFonts w:ascii="Arial"/>
                        <w:w w:val="95"/>
                        <w:sz w:val="16"/>
                      </w:rPr>
                      <w:t>2002.</w:t>
                    </w:r>
                  </w:p>
                  <w:p>
                    <w:pPr>
                      <w:spacing w:before="123"/>
                      <w:ind w:left="1" w:right="0" w:firstLine="0"/>
                      <w:jc w:val="left"/>
                      <w:rPr>
                        <w:rFonts w:ascii="Arial"/>
                        <w:sz w:val="16"/>
                      </w:rPr>
                    </w:pPr>
                    <w:r>
                      <w:rPr>
                        <w:rFonts w:ascii="Arial"/>
                        <w:w w:val="95"/>
                        <w:sz w:val="16"/>
                      </w:rPr>
                      <w:t>2001.</w:t>
                    </w:r>
                  </w:p>
                  <w:p>
                    <w:pPr>
                      <w:spacing w:before="123"/>
                      <w:ind w:left="1" w:right="0" w:firstLine="0"/>
                      <w:jc w:val="left"/>
                      <w:rPr>
                        <w:rFonts w:ascii="Arial"/>
                        <w:sz w:val="16"/>
                      </w:rPr>
                    </w:pPr>
                    <w:r>
                      <w:rPr>
                        <w:rFonts w:ascii="Arial"/>
                        <w:w w:val="95"/>
                        <w:sz w:val="16"/>
                      </w:rPr>
                      <w:t>2000.</w:t>
                    </w:r>
                  </w:p>
                  <w:p>
                    <w:pPr>
                      <w:spacing w:before="123"/>
                      <w:ind w:left="0" w:right="0" w:firstLine="0"/>
                      <w:jc w:val="left"/>
                      <w:rPr>
                        <w:rFonts w:ascii="Arial"/>
                        <w:sz w:val="16"/>
                      </w:rPr>
                    </w:pPr>
                    <w:r>
                      <w:rPr>
                        <w:rFonts w:ascii="Arial"/>
                        <w:w w:val="95"/>
                        <w:sz w:val="16"/>
                      </w:rPr>
                      <w:t>1999.</w:t>
                    </w:r>
                  </w:p>
                  <w:p>
                    <w:pPr>
                      <w:spacing w:before="123"/>
                      <w:ind w:left="0" w:right="0" w:firstLine="0"/>
                      <w:jc w:val="left"/>
                      <w:rPr>
                        <w:rFonts w:ascii="Arial"/>
                        <w:sz w:val="16"/>
                      </w:rPr>
                    </w:pPr>
                    <w:r>
                      <w:rPr>
                        <w:rFonts w:ascii="Arial"/>
                        <w:w w:val="95"/>
                        <w:sz w:val="16"/>
                      </w:rPr>
                      <w:t>1998.</w:t>
                    </w:r>
                  </w:p>
                </w:txbxContent>
              </v:textbox>
              <w10:wrap type="none"/>
            </v:shape>
            <w10:wrap type="none"/>
          </v:group>
        </w:pict>
      </w:r>
      <w:r>
        <w:rPr/>
        <w:pict>
          <v:line style="position:absolute;mso-position-horizontal-relative:page;mso-position-vertical-relative:paragraph;z-index:3184" from="310.169312pt,8.138018pt" to="325.401312pt,8.138018pt" stroked="true" strokeweight="1.785pt" strokecolor="#000000">
            <w10:wrap type="none"/>
          </v:line>
        </w:pict>
      </w:r>
      <w:r>
        <w:rPr/>
        <w:pict>
          <v:line style="position:absolute;mso-position-horizontal-relative:page;mso-position-vertical-relative:paragraph;z-index:3208" from="310.169312pt,23.626818pt" to="325.401312pt,23.626818pt" stroked="true" strokeweight="1.785pt" strokecolor="#929496">
            <w10:wrap type="none"/>
          </v:line>
        </w:pict>
      </w:r>
      <w:r>
        <w:rPr/>
        <w:pict>
          <v:shape style="position:absolute;margin-left:71.924171pt;margin-top:-93.756584pt;width:9.950pt;height:34.35pt;mso-position-horizontal-relative:page;mso-position-vertical-relative:paragraph;z-index:3232" type="#_x0000_t202" filled="false" stroked="false">
            <v:textbox inset="0,0,0,0" style="layout-flow:vertical;mso-layout-flow-alt:bottom-to-top">
              <w:txbxContent>
                <w:p>
                  <w:pPr>
                    <w:spacing w:line="183" w:lineRule="exact" w:before="0"/>
                    <w:ind w:left="20" w:right="-488" w:firstLine="0"/>
                    <w:jc w:val="left"/>
                    <w:rPr>
                      <w:rFonts w:ascii="Arial"/>
                      <w:sz w:val="16"/>
                    </w:rPr>
                  </w:pPr>
                  <w:r>
                    <w:rPr>
                      <w:rFonts w:ascii="Arial"/>
                      <w:w w:val="78"/>
                      <w:sz w:val="16"/>
                    </w:rPr>
                    <w:t>Pe</w:t>
                  </w:r>
                  <w:r>
                    <w:rPr>
                      <w:rFonts w:ascii="Arial"/>
                      <w:spacing w:val="-3"/>
                      <w:w w:val="93"/>
                      <w:sz w:val="16"/>
                    </w:rPr>
                    <w:t>r</w:t>
                  </w:r>
                  <w:r>
                    <w:rPr>
                      <w:rFonts w:ascii="Arial"/>
                      <w:w w:val="86"/>
                      <w:sz w:val="16"/>
                    </w:rPr>
                    <w:t>centaje</w:t>
                  </w:r>
                </w:p>
              </w:txbxContent>
            </v:textbox>
            <w10:wrap type="none"/>
          </v:shape>
        </w:pict>
      </w:r>
      <w:r>
        <w:rPr/>
        <w:pict>
          <v:shape style="position:absolute;margin-left:97.751656pt;margin-top:-89.78701pt;width:9.950pt;height:19.150pt;mso-position-horizontal-relative:page;mso-position-vertical-relative:paragraph;z-index:3256" type="#_x0000_t202" filled="false" stroked="false">
            <v:textbox inset="0,0,0,0" style="layout-flow:vertical;mso-layout-flow-alt:bottom-to-top">
              <w:txbxContent>
                <w:p>
                  <w:pPr>
                    <w:spacing w:line="183" w:lineRule="exact" w:before="0"/>
                    <w:ind w:left="20" w:right="-184" w:firstLine="0"/>
                    <w:jc w:val="left"/>
                    <w:rPr>
                      <w:rFonts w:ascii="Arial"/>
                      <w:sz w:val="16"/>
                    </w:rPr>
                  </w:pPr>
                  <w:r>
                    <w:rPr>
                      <w:rFonts w:ascii="Arial"/>
                      <w:w w:val="85"/>
                      <w:sz w:val="16"/>
                    </w:rPr>
                    <w:t>2012.</w:t>
                  </w:r>
                </w:p>
              </w:txbxContent>
            </v:textbox>
            <w10:wrap type="none"/>
          </v:shape>
        </w:pict>
      </w:r>
      <w:r>
        <w:rPr>
          <w:rFonts w:ascii="Arial" w:hAnsi="Arial"/>
          <w:w w:val="85"/>
          <w:sz w:val="16"/>
        </w:rPr>
        <w:t>Tasas de interes </w:t>
      </w:r>
      <w:r>
        <w:rPr>
          <w:rFonts w:ascii="Arial" w:hAnsi="Arial"/>
          <w:w w:val="90"/>
          <w:sz w:val="16"/>
        </w:rPr>
        <w:t>inflación</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1"/>
        <w:rPr>
          <w:rFonts w:ascii="Arial"/>
          <w:sz w:val="10"/>
        </w:rPr>
      </w:pPr>
      <w:r>
        <w:rPr/>
        <w:pict>
          <v:line style="position:absolute;mso-position-horizontal-relative:page;mso-position-vertical-relative:paragraph;z-index:3112;mso-wrap-distance-left:0;mso-wrap-distance-right:0" from="51.023602pt,8.750241pt" to="399.684602pt,8.750241pt" stroked="true" strokeweight="1pt" strokecolor="#000000">
            <w10:wrap type="topAndBottom"/>
          </v:line>
        </w:pict>
      </w:r>
    </w:p>
    <w:p>
      <w:pPr>
        <w:spacing w:before="12"/>
        <w:ind w:left="120" w:right="1211" w:firstLine="0"/>
        <w:jc w:val="left"/>
        <w:rPr>
          <w:rFonts w:ascii="Arial"/>
          <w:sz w:val="14"/>
        </w:rPr>
      </w:pPr>
      <w:r>
        <w:rPr>
          <w:rFonts w:ascii="Arial"/>
          <w:w w:val="75"/>
          <w:sz w:val="14"/>
        </w:rPr>
        <w:t>Fuente: OECD.</w:t>
      </w:r>
    </w:p>
    <w:p>
      <w:pPr>
        <w:pStyle w:val="BodyText"/>
        <w:rPr>
          <w:rFonts w:ascii="Arial"/>
          <w:sz w:val="14"/>
        </w:rPr>
      </w:pPr>
    </w:p>
    <w:p>
      <w:pPr>
        <w:pStyle w:val="BodyText"/>
        <w:rPr>
          <w:rFonts w:ascii="Arial"/>
          <w:sz w:val="14"/>
        </w:rPr>
      </w:pPr>
    </w:p>
    <w:p>
      <w:pPr>
        <w:pStyle w:val="Heading6"/>
        <w:spacing w:before="83"/>
        <w:ind w:left="121" w:right="1211"/>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spacing w:line="283" w:lineRule="auto" w:before="10"/>
        <w:ind w:left="120" w:right="1211" w:firstLine="0"/>
        <w:jc w:val="left"/>
        <w:rPr>
          <w:sz w:val="19"/>
        </w:rPr>
      </w:pPr>
      <w:r>
        <w:rPr>
          <w:spacing w:val="-3"/>
          <w:w w:val="110"/>
          <w:sz w:val="19"/>
        </w:rPr>
        <w:t>arrighi, Giovanni 1997 </w:t>
      </w:r>
      <w:r>
        <w:rPr>
          <w:i/>
          <w:w w:val="110"/>
          <w:sz w:val="19"/>
        </w:rPr>
        <w:t>A </w:t>
      </w:r>
      <w:r>
        <w:rPr>
          <w:i/>
          <w:spacing w:val="-3"/>
          <w:w w:val="110"/>
          <w:sz w:val="19"/>
        </w:rPr>
        <w:t>ilusão </w:t>
      </w:r>
      <w:r>
        <w:rPr>
          <w:i/>
          <w:w w:val="110"/>
          <w:sz w:val="19"/>
        </w:rPr>
        <w:t>do </w:t>
      </w:r>
      <w:r>
        <w:rPr>
          <w:i/>
          <w:spacing w:val="-3"/>
          <w:w w:val="110"/>
          <w:sz w:val="19"/>
        </w:rPr>
        <w:t>desenvolvimento </w:t>
      </w:r>
      <w:r>
        <w:rPr>
          <w:spacing w:val="-3"/>
          <w:w w:val="110"/>
          <w:sz w:val="19"/>
        </w:rPr>
        <w:t>(Petrópolis: </w:t>
      </w:r>
      <w:r>
        <w:rPr>
          <w:spacing w:val="-6"/>
          <w:w w:val="110"/>
          <w:sz w:val="19"/>
        </w:rPr>
        <w:t>Vozes). </w:t>
      </w:r>
      <w:r>
        <w:rPr>
          <w:w w:val="110"/>
          <w:sz w:val="19"/>
        </w:rPr>
        <w:t>arrighi, Giovanni 2008 </w:t>
      </w:r>
      <w:r>
        <w:rPr>
          <w:i/>
          <w:w w:val="110"/>
          <w:sz w:val="19"/>
        </w:rPr>
        <w:t>Adam Smith em Pequim </w:t>
      </w:r>
      <w:r>
        <w:rPr>
          <w:w w:val="110"/>
          <w:sz w:val="19"/>
        </w:rPr>
        <w:t>(são    Paulo:</w:t>
      </w:r>
    </w:p>
    <w:p>
      <w:pPr>
        <w:pStyle w:val="BodyText"/>
        <w:spacing w:line="194" w:lineRule="exact"/>
        <w:ind w:left="517" w:right="1211"/>
      </w:pPr>
      <w:r>
        <w:rPr>
          <w:w w:val="115"/>
        </w:rPr>
        <w:t>boitempo).</w:t>
      </w:r>
    </w:p>
    <w:p>
      <w:pPr>
        <w:spacing w:line="252" w:lineRule="auto" w:before="39"/>
        <w:ind w:left="517" w:right="1989" w:hanging="397"/>
        <w:jc w:val="left"/>
        <w:rPr>
          <w:sz w:val="19"/>
        </w:rPr>
      </w:pPr>
      <w:r>
        <w:rPr>
          <w:w w:val="115"/>
          <w:sz w:val="19"/>
        </w:rPr>
        <w:t>arrighi, G.; </w:t>
      </w:r>
      <w:r>
        <w:rPr>
          <w:spacing w:val="-4"/>
          <w:w w:val="115"/>
          <w:sz w:val="19"/>
        </w:rPr>
        <w:t>silver, </w:t>
      </w:r>
      <w:r>
        <w:rPr>
          <w:w w:val="115"/>
          <w:sz w:val="19"/>
        </w:rPr>
        <w:t>b. 1999 </w:t>
      </w:r>
      <w:r>
        <w:rPr>
          <w:i/>
          <w:w w:val="115"/>
          <w:sz w:val="19"/>
        </w:rPr>
        <w:t>Chaos, governance and modern world </w:t>
      </w:r>
      <w:r>
        <w:rPr>
          <w:i/>
          <w:w w:val="110"/>
          <w:sz w:val="19"/>
        </w:rPr>
        <w:t>system </w:t>
      </w:r>
      <w:r>
        <w:rPr>
          <w:w w:val="110"/>
          <w:sz w:val="19"/>
        </w:rPr>
        <w:t>(Minnesotta Press).</w:t>
      </w:r>
    </w:p>
    <w:p>
      <w:pPr>
        <w:spacing w:line="252" w:lineRule="auto" w:before="28"/>
        <w:ind w:left="517" w:right="1211" w:hanging="397"/>
        <w:jc w:val="left"/>
        <w:rPr>
          <w:sz w:val="19"/>
        </w:rPr>
      </w:pPr>
      <w:r>
        <w:rPr>
          <w:w w:val="110"/>
          <w:sz w:val="19"/>
        </w:rPr>
        <w:t>arrighi, G. 2010 </w:t>
      </w:r>
      <w:r>
        <w:rPr>
          <w:i/>
          <w:w w:val="110"/>
          <w:sz w:val="19"/>
        </w:rPr>
        <w:t>Zhang Lu Beyond the Washington consensus: a new </w:t>
      </w:r>
      <w:r>
        <w:rPr>
          <w:i/>
          <w:w w:val="105"/>
          <w:sz w:val="19"/>
        </w:rPr>
        <w:t>Bandung?</w:t>
      </w:r>
      <w:r>
        <w:rPr>
          <w:w w:val="105"/>
          <w:sz w:val="19"/>
        </w:rPr>
        <w:t>,  en </w:t>
      </w:r>
      <w:hyperlink r:id="rId106">
        <w:r>
          <w:rPr>
            <w:w w:val="105"/>
            <w:sz w:val="19"/>
          </w:rPr>
          <w:t>&lt;http://goo.gl/Fy8ztF&gt;.</w:t>
        </w:r>
      </w:hyperlink>
    </w:p>
    <w:p>
      <w:pPr>
        <w:spacing w:line="252" w:lineRule="auto" w:before="28"/>
        <w:ind w:left="517" w:right="1430" w:hanging="397"/>
        <w:jc w:val="left"/>
        <w:rPr>
          <w:sz w:val="19"/>
        </w:rPr>
      </w:pPr>
      <w:r>
        <w:rPr>
          <w:w w:val="115"/>
          <w:sz w:val="19"/>
        </w:rPr>
        <w:t>Cassiolato, </w:t>
      </w:r>
      <w:r>
        <w:rPr>
          <w:w w:val="125"/>
          <w:sz w:val="19"/>
        </w:rPr>
        <w:t>J. </w:t>
      </w:r>
      <w:r>
        <w:rPr>
          <w:w w:val="115"/>
          <w:sz w:val="19"/>
        </w:rPr>
        <w:t>E. y Vitorino, V. 2011 </w:t>
      </w:r>
      <w:r>
        <w:rPr>
          <w:i/>
          <w:w w:val="115"/>
          <w:sz w:val="19"/>
        </w:rPr>
        <w:t>BRICS and Development </w:t>
      </w:r>
      <w:r>
        <w:rPr>
          <w:i/>
          <w:w w:val="107"/>
          <w:sz w:val="19"/>
        </w:rPr>
        <w:t>Alternatives</w:t>
      </w:r>
      <w:r>
        <w:rPr>
          <w:i/>
          <w:sz w:val="19"/>
        </w:rPr>
        <w:t> </w:t>
      </w:r>
      <w:r>
        <w:rPr>
          <w:w w:val="98"/>
          <w:sz w:val="19"/>
        </w:rPr>
        <w:t>(</w:t>
      </w:r>
      <w:r>
        <w:rPr>
          <w:w w:val="243"/>
          <w:sz w:val="19"/>
        </w:rPr>
        <w:t>l</w:t>
      </w:r>
      <w:r>
        <w:rPr>
          <w:w w:val="108"/>
          <w:sz w:val="19"/>
        </w:rPr>
        <w:t>ondres:</w:t>
      </w:r>
      <w:r>
        <w:rPr>
          <w:sz w:val="19"/>
        </w:rPr>
        <w:t> </w:t>
      </w:r>
      <w:r>
        <w:rPr>
          <w:w w:val="139"/>
          <w:sz w:val="19"/>
        </w:rPr>
        <w:t>a</w:t>
      </w:r>
      <w:r>
        <w:rPr>
          <w:w w:val="109"/>
          <w:sz w:val="19"/>
        </w:rPr>
        <w:t>nthen</w:t>
      </w:r>
      <w:r>
        <w:rPr>
          <w:sz w:val="19"/>
        </w:rPr>
        <w:t> </w:t>
      </w:r>
      <w:r>
        <w:rPr>
          <w:w w:val="106"/>
          <w:sz w:val="19"/>
        </w:rPr>
        <w:t>Press);</w:t>
      </w:r>
      <w:r>
        <w:rPr>
          <w:sz w:val="19"/>
        </w:rPr>
        <w:t> </w:t>
      </w:r>
      <w:r>
        <w:rPr>
          <w:i/>
          <w:w w:val="111"/>
          <w:sz w:val="19"/>
        </w:rPr>
        <w:t>La</w:t>
      </w:r>
      <w:r>
        <w:rPr>
          <w:i/>
          <w:sz w:val="19"/>
        </w:rPr>
        <w:t> </w:t>
      </w:r>
      <w:r>
        <w:rPr>
          <w:i/>
          <w:w w:val="106"/>
          <w:sz w:val="19"/>
        </w:rPr>
        <w:t>brecha</w:t>
      </w:r>
      <w:r>
        <w:rPr>
          <w:i/>
          <w:sz w:val="19"/>
        </w:rPr>
        <w:t> </w:t>
      </w:r>
      <w:r>
        <w:rPr>
          <w:i/>
          <w:w w:val="104"/>
          <w:sz w:val="19"/>
        </w:rPr>
        <w:t>de</w:t>
      </w:r>
      <w:r>
        <w:rPr>
          <w:i/>
          <w:sz w:val="19"/>
        </w:rPr>
        <w:t> </w:t>
      </w:r>
      <w:r>
        <w:rPr>
          <w:i/>
          <w:w w:val="108"/>
          <w:sz w:val="19"/>
        </w:rPr>
        <w:t>infraestructura</w:t>
      </w:r>
      <w:r>
        <w:rPr>
          <w:i/>
          <w:w w:val="108"/>
          <w:sz w:val="19"/>
        </w:rPr>
        <w:t> </w:t>
      </w:r>
      <w:r>
        <w:rPr>
          <w:i/>
          <w:w w:val="115"/>
          <w:sz w:val="19"/>
        </w:rPr>
        <w:t>en America Latina y el Caribe </w:t>
      </w:r>
      <w:r>
        <w:rPr>
          <w:w w:val="115"/>
          <w:sz w:val="19"/>
        </w:rPr>
        <w:t>(santiago: </w:t>
      </w:r>
      <w:r>
        <w:rPr>
          <w:w w:val="125"/>
          <w:sz w:val="19"/>
        </w:rPr>
        <w:t>CEPal).</w:t>
      </w:r>
    </w:p>
    <w:p>
      <w:pPr>
        <w:spacing w:before="28"/>
        <w:ind w:left="120" w:right="1211" w:firstLine="0"/>
        <w:jc w:val="left"/>
        <w:rPr>
          <w:i/>
          <w:sz w:val="19"/>
        </w:rPr>
      </w:pPr>
      <w:r>
        <w:rPr>
          <w:w w:val="110"/>
          <w:sz w:val="19"/>
        </w:rPr>
        <w:t>Chen Jiadong </w:t>
      </w:r>
      <w:r>
        <w:rPr>
          <w:i/>
          <w:w w:val="110"/>
          <w:sz w:val="19"/>
        </w:rPr>
        <w:t>et al</w:t>
      </w:r>
      <w:r>
        <w:rPr>
          <w:w w:val="110"/>
          <w:sz w:val="19"/>
        </w:rPr>
        <w:t>. 2010 </w:t>
      </w:r>
      <w:r>
        <w:rPr>
          <w:i/>
          <w:w w:val="110"/>
          <w:sz w:val="19"/>
        </w:rPr>
        <w:t>The trend of the gini coeficient in  China</w:t>
      </w:r>
    </w:p>
    <w:p>
      <w:pPr>
        <w:pStyle w:val="BodyText"/>
        <w:spacing w:before="11"/>
        <w:ind w:left="517" w:right="1211"/>
      </w:pPr>
      <w:r>
        <w:rPr>
          <w:w w:val="110"/>
        </w:rPr>
        <w:t>(Manchester: bWPi Working Paper  Center).</w:t>
      </w:r>
    </w:p>
    <w:p>
      <w:pPr>
        <w:spacing w:after="0"/>
        <w:sectPr>
          <w:headerReference w:type="even" r:id="rId104"/>
          <w:headerReference w:type="default" r:id="rId105"/>
          <w:pgSz w:w="8790" w:h="12760"/>
          <w:pgMar w:header="745" w:footer="725" w:top="1860" w:bottom="920" w:left="900" w:right="0"/>
        </w:sectPr>
      </w:pPr>
    </w:p>
    <w:p>
      <w:pPr>
        <w:pStyle w:val="BodyText"/>
        <w:spacing w:before="7"/>
        <w:rPr>
          <w:sz w:val="28"/>
        </w:rPr>
      </w:pPr>
    </w:p>
    <w:p>
      <w:pPr>
        <w:spacing w:before="73"/>
        <w:ind w:left="330" w:right="0" w:firstLine="0"/>
        <w:jc w:val="left"/>
        <w:rPr>
          <w:i/>
          <w:sz w:val="19"/>
        </w:rPr>
      </w:pPr>
      <w:r>
        <w:rPr>
          <w:w w:val="110"/>
          <w:sz w:val="19"/>
        </w:rPr>
        <w:t>Council of Economic advisers 2014 </w:t>
      </w:r>
      <w:r>
        <w:rPr>
          <w:i/>
          <w:w w:val="110"/>
          <w:sz w:val="19"/>
        </w:rPr>
        <w:t>Economic report of the   president</w:t>
      </w:r>
    </w:p>
    <w:p>
      <w:pPr>
        <w:pStyle w:val="BodyText"/>
        <w:spacing w:before="11"/>
        <w:ind w:left="146" w:right="225"/>
        <w:jc w:val="center"/>
      </w:pPr>
      <w:r>
        <w:rPr>
          <w:w w:val="115"/>
        </w:rPr>
        <w:t>(Washington: united states Government Printing office).</w:t>
      </w:r>
    </w:p>
    <w:p>
      <w:pPr>
        <w:spacing w:line="252" w:lineRule="auto" w:before="39"/>
        <w:ind w:left="727" w:right="0" w:hanging="397"/>
        <w:jc w:val="left"/>
        <w:rPr>
          <w:sz w:val="19"/>
        </w:rPr>
      </w:pPr>
      <w:r>
        <w:rPr>
          <w:w w:val="110"/>
          <w:sz w:val="19"/>
        </w:rPr>
        <w:t>Jabbour, Elias 2012 </w:t>
      </w:r>
      <w:r>
        <w:rPr>
          <w:i/>
          <w:w w:val="110"/>
          <w:sz w:val="19"/>
        </w:rPr>
        <w:t>China Hoje: projeto nacional, desenvolvimento e </w:t>
      </w:r>
      <w:r>
        <w:rPr>
          <w:i/>
          <w:w w:val="110"/>
          <w:sz w:val="19"/>
        </w:rPr>
        <w:t>socialismo  de  Mercado  </w:t>
      </w:r>
      <w:r>
        <w:rPr>
          <w:w w:val="110"/>
          <w:sz w:val="19"/>
        </w:rPr>
        <w:t>(Campina  Grande: EduEb).</w:t>
      </w:r>
    </w:p>
    <w:p>
      <w:pPr>
        <w:pStyle w:val="BodyText"/>
        <w:spacing w:line="252" w:lineRule="auto" w:before="28"/>
        <w:ind w:left="727" w:hanging="397"/>
      </w:pPr>
      <w:r>
        <w:rPr>
          <w:w w:val="117"/>
        </w:rPr>
        <w:t>Kung,</w:t>
      </w:r>
      <w:r>
        <w:rPr/>
        <w:t> </w:t>
      </w:r>
      <w:r>
        <w:rPr>
          <w:w w:val="147"/>
        </w:rPr>
        <w:t>J.</w:t>
      </w:r>
      <w:r>
        <w:rPr/>
        <w:t> </w:t>
      </w:r>
      <w:r>
        <w:rPr>
          <w:w w:val="111"/>
        </w:rPr>
        <w:t>and</w:t>
      </w:r>
      <w:r>
        <w:rPr/>
        <w:t> </w:t>
      </w:r>
      <w:r>
        <w:rPr>
          <w:w w:val="243"/>
        </w:rPr>
        <w:t>l</w:t>
      </w:r>
      <w:r>
        <w:rPr>
          <w:w w:val="113"/>
        </w:rPr>
        <w:t>in</w:t>
      </w:r>
      <w:r>
        <w:rPr/>
        <w:t> </w:t>
      </w:r>
      <w:r>
        <w:rPr>
          <w:w w:val="126"/>
        </w:rPr>
        <w:t>Y</w:t>
      </w:r>
      <w:r>
        <w:rPr>
          <w:w w:val="138"/>
        </w:rPr>
        <w:t>.</w:t>
      </w:r>
      <w:r>
        <w:rPr/>
        <w:t> </w:t>
      </w:r>
      <w:r>
        <w:rPr>
          <w:w w:val="102"/>
        </w:rPr>
        <w:t>2007</w:t>
      </w:r>
      <w:r>
        <w:rPr/>
        <w:t> </w:t>
      </w:r>
      <w:r>
        <w:rPr>
          <w:w w:val="115"/>
        </w:rPr>
        <w:t>“</w:t>
      </w:r>
      <w:r>
        <w:rPr>
          <w:w w:val="195"/>
        </w:rPr>
        <w:t>t</w:t>
      </w:r>
      <w:r>
        <w:rPr>
          <w:w w:val="109"/>
        </w:rPr>
        <w:t>he</w:t>
      </w:r>
      <w:r>
        <w:rPr/>
        <w:t> </w:t>
      </w:r>
      <w:r>
        <w:rPr>
          <w:w w:val="109"/>
        </w:rPr>
        <w:t>decline</w:t>
      </w:r>
      <w:r>
        <w:rPr/>
        <w:t> </w:t>
      </w:r>
      <w:r>
        <w:rPr>
          <w:w w:val="113"/>
        </w:rPr>
        <w:t>of</w:t>
      </w:r>
      <w:r>
        <w:rPr/>
        <w:t> </w:t>
      </w:r>
      <w:r>
        <w:rPr>
          <w:w w:val="109"/>
        </w:rPr>
        <w:t>township</w:t>
      </w:r>
      <w:r>
        <w:rPr/>
        <w:t> </w:t>
      </w:r>
      <w:r>
        <w:rPr>
          <w:w w:val="111"/>
        </w:rPr>
        <w:t>and</w:t>
      </w:r>
      <w:r>
        <w:rPr/>
        <w:t> </w:t>
      </w:r>
      <w:r>
        <w:rPr>
          <w:w w:val="108"/>
        </w:rPr>
        <w:t>village </w:t>
      </w:r>
      <w:r>
        <w:rPr>
          <w:w w:val="115"/>
        </w:rPr>
        <w:t>enterprise in China’s economic transition”, in </w:t>
      </w:r>
      <w:r>
        <w:rPr>
          <w:i/>
          <w:w w:val="115"/>
        </w:rPr>
        <w:t>World </w:t>
      </w:r>
      <w:r>
        <w:rPr>
          <w:i/>
          <w:w w:val="109"/>
        </w:rPr>
        <w:t>Development</w:t>
      </w:r>
      <w:r>
        <w:rPr>
          <w:w w:val="138"/>
        </w:rPr>
        <w:t>,</w:t>
      </w:r>
      <w:r>
        <w:rPr/>
        <w:t> </w:t>
      </w:r>
      <w:r>
        <w:rPr>
          <w:w w:val="119"/>
        </w:rPr>
        <w:t>V</w:t>
      </w:r>
      <w:r>
        <w:rPr>
          <w:w w:val="116"/>
        </w:rPr>
        <w:t>ol.</w:t>
      </w:r>
      <w:r>
        <w:rPr/>
        <w:t> </w:t>
      </w:r>
      <w:r>
        <w:rPr>
          <w:w w:val="108"/>
        </w:rPr>
        <w:t>35,</w:t>
      </w:r>
      <w:r>
        <w:rPr/>
        <w:t> </w:t>
      </w:r>
      <w:r>
        <w:rPr>
          <w:w w:val="105"/>
        </w:rPr>
        <w:t>Nº</w:t>
      </w:r>
      <w:r>
        <w:rPr/>
        <w:t> </w:t>
      </w:r>
      <w:r>
        <w:rPr>
          <w:w w:val="112"/>
        </w:rPr>
        <w:t>4,</w:t>
      </w:r>
      <w:r>
        <w:rPr/>
        <w:t> </w:t>
      </w:r>
      <w:r>
        <w:rPr>
          <w:w w:val="109"/>
        </w:rPr>
        <w:t>Elsevier</w:t>
      </w:r>
      <w:r>
        <w:rPr/>
        <w:t> </w:t>
      </w:r>
      <w:r>
        <w:rPr>
          <w:w w:val="243"/>
        </w:rPr>
        <w:t>l</w:t>
      </w:r>
      <w:r>
        <w:rPr>
          <w:w w:val="113"/>
        </w:rPr>
        <w:t>td.</w:t>
      </w:r>
    </w:p>
    <w:p>
      <w:pPr>
        <w:pStyle w:val="BodyText"/>
        <w:spacing w:line="252" w:lineRule="auto" w:before="28"/>
        <w:ind w:left="727" w:right="65" w:hanging="397"/>
      </w:pPr>
      <w:r>
        <w:rPr>
          <w:w w:val="243"/>
        </w:rPr>
        <w:t>l</w:t>
      </w:r>
      <w:r>
        <w:rPr>
          <w:w w:val="115"/>
        </w:rPr>
        <w:t>i</w:t>
      </w:r>
      <w:r>
        <w:rPr/>
        <w:t> </w:t>
      </w:r>
      <w:r>
        <w:rPr>
          <w:w w:val="126"/>
        </w:rPr>
        <w:t>Y</w:t>
      </w:r>
      <w:r>
        <w:rPr>
          <w:w w:val="111"/>
        </w:rPr>
        <w:t>ongqiang</w:t>
      </w:r>
      <w:r>
        <w:rPr/>
        <w:t> </w:t>
      </w:r>
      <w:r>
        <w:rPr>
          <w:w w:val="102"/>
        </w:rPr>
        <w:t>2009</w:t>
      </w:r>
      <w:r>
        <w:rPr/>
        <w:t> </w:t>
      </w:r>
      <w:r>
        <w:rPr>
          <w:w w:val="115"/>
        </w:rPr>
        <w:t>“</w:t>
      </w:r>
      <w:r>
        <w:rPr>
          <w:w w:val="139"/>
        </w:rPr>
        <w:t>a</w:t>
      </w:r>
      <w:r>
        <w:rPr>
          <w:w w:val="111"/>
        </w:rPr>
        <w:t>n</w:t>
      </w:r>
      <w:r>
        <w:rPr/>
        <w:t> </w:t>
      </w:r>
      <w:r>
        <w:rPr>
          <w:w w:val="149"/>
        </w:rPr>
        <w:t>o</w:t>
      </w:r>
      <w:r>
        <w:rPr>
          <w:w w:val="104"/>
        </w:rPr>
        <w:t>verview</w:t>
      </w:r>
      <w:r>
        <w:rPr/>
        <w:t> </w:t>
      </w:r>
      <w:r>
        <w:rPr>
          <w:w w:val="113"/>
        </w:rPr>
        <w:t>of</w:t>
      </w:r>
      <w:r>
        <w:rPr/>
        <w:t> </w:t>
      </w:r>
      <w:r>
        <w:rPr>
          <w:w w:val="195"/>
        </w:rPr>
        <w:t>t</w:t>
      </w:r>
      <w:r>
        <w:rPr>
          <w:w w:val="109"/>
        </w:rPr>
        <w:t>ownship</w:t>
      </w:r>
      <w:r>
        <w:rPr/>
        <w:t> </w:t>
      </w:r>
      <w:r>
        <w:rPr>
          <w:w w:val="111"/>
        </w:rPr>
        <w:t>and</w:t>
      </w:r>
      <w:r>
        <w:rPr/>
        <w:t> </w:t>
      </w:r>
      <w:r>
        <w:rPr>
          <w:w w:val="119"/>
        </w:rPr>
        <w:t>V</w:t>
      </w:r>
      <w:r>
        <w:rPr>
          <w:w w:val="110"/>
        </w:rPr>
        <w:t>illage</w:t>
      </w:r>
      <w:r>
        <w:rPr/>
        <w:t> </w:t>
      </w:r>
      <w:r>
        <w:rPr>
          <w:w w:val="109"/>
        </w:rPr>
        <w:t>Enterprises </w:t>
      </w:r>
      <w:r>
        <w:rPr>
          <w:w w:val="110"/>
        </w:rPr>
        <w:t>in China during 1949-2009”. Proceedings of the 2nd international Conference on Corporate Governance, en </w:t>
      </w:r>
      <w:r>
        <w:rPr>
          <w:b/>
          <w:w w:val="110"/>
        </w:rPr>
        <w:t>&lt;</w:t>
      </w:r>
      <w:hyperlink r:id="rId107">
        <w:r>
          <w:rPr>
            <w:w w:val="110"/>
          </w:rPr>
          <w:t>http://www.une.edu.</w:t>
        </w:r>
      </w:hyperlink>
      <w:r>
        <w:rPr>
          <w:w w:val="110"/>
        </w:rPr>
        <w:t> </w:t>
      </w:r>
      <w:r>
        <w:rPr>
          <w:w w:val="105"/>
        </w:rPr>
        <w:t>au/business-school/research/corp-gov-conf/papers/li-tves.pdf&gt;.</w:t>
      </w:r>
    </w:p>
    <w:p>
      <w:pPr>
        <w:pStyle w:val="BodyText"/>
        <w:spacing w:before="28"/>
        <w:ind w:left="330"/>
      </w:pPr>
      <w:r>
        <w:rPr>
          <w:w w:val="115"/>
        </w:rPr>
        <w:t>National bureau of statistics of Popular republic of China 2010</w:t>
      </w:r>
    </w:p>
    <w:p>
      <w:pPr>
        <w:spacing w:before="11"/>
        <w:ind w:left="146" w:right="311" w:firstLine="0"/>
        <w:jc w:val="center"/>
        <w:rPr>
          <w:sz w:val="19"/>
        </w:rPr>
      </w:pPr>
      <w:r>
        <w:rPr>
          <w:i/>
          <w:w w:val="110"/>
          <w:sz w:val="19"/>
        </w:rPr>
        <w:t>China Statistical Yearbook</w:t>
      </w:r>
      <w:r>
        <w:rPr>
          <w:w w:val="110"/>
          <w:sz w:val="19"/>
        </w:rPr>
        <w:t>, 1032 (China statistics  Press).</w:t>
      </w:r>
    </w:p>
    <w:p>
      <w:pPr>
        <w:spacing w:line="252" w:lineRule="auto" w:before="39"/>
        <w:ind w:left="727" w:right="114" w:hanging="397"/>
        <w:jc w:val="left"/>
        <w:rPr>
          <w:sz w:val="19"/>
        </w:rPr>
      </w:pPr>
      <w:r>
        <w:rPr>
          <w:w w:val="113"/>
          <w:sz w:val="19"/>
        </w:rPr>
        <w:t>Martins,</w:t>
      </w:r>
      <w:r>
        <w:rPr>
          <w:spacing w:val="12"/>
          <w:sz w:val="19"/>
        </w:rPr>
        <w:t> </w:t>
      </w:r>
      <w:r>
        <w:rPr>
          <w:w w:val="112"/>
          <w:sz w:val="19"/>
        </w:rPr>
        <w:t>Carlos</w:t>
      </w:r>
      <w:r>
        <w:rPr>
          <w:spacing w:val="12"/>
          <w:sz w:val="19"/>
        </w:rPr>
        <w:t> </w:t>
      </w:r>
      <w:r>
        <w:rPr>
          <w:w w:val="112"/>
          <w:sz w:val="19"/>
        </w:rPr>
        <w:t>Eduardo</w:t>
      </w:r>
      <w:r>
        <w:rPr>
          <w:spacing w:val="12"/>
          <w:sz w:val="19"/>
        </w:rPr>
        <w:t> </w:t>
      </w:r>
      <w:r>
        <w:rPr>
          <w:w w:val="104"/>
          <w:sz w:val="19"/>
        </w:rPr>
        <w:t>2011a</w:t>
      </w:r>
      <w:r>
        <w:rPr>
          <w:spacing w:val="12"/>
          <w:sz w:val="19"/>
        </w:rPr>
        <w:t> </w:t>
      </w:r>
      <w:r>
        <w:rPr>
          <w:w w:val="115"/>
          <w:sz w:val="19"/>
        </w:rPr>
        <w:t>“</w:t>
      </w:r>
      <w:r>
        <w:rPr>
          <w:w w:val="139"/>
          <w:sz w:val="19"/>
        </w:rPr>
        <w:t>a</w:t>
      </w:r>
      <w:r>
        <w:rPr>
          <w:spacing w:val="12"/>
          <w:sz w:val="19"/>
        </w:rPr>
        <w:t> </w:t>
      </w:r>
      <w:r>
        <w:rPr>
          <w:w w:val="139"/>
          <w:sz w:val="19"/>
        </w:rPr>
        <w:t>a</w:t>
      </w:r>
      <w:r>
        <w:rPr>
          <w:w w:val="111"/>
          <w:sz w:val="19"/>
        </w:rPr>
        <w:t>mérica</w:t>
      </w:r>
      <w:r>
        <w:rPr>
          <w:spacing w:val="12"/>
          <w:sz w:val="19"/>
        </w:rPr>
        <w:t> </w:t>
      </w:r>
      <w:r>
        <w:rPr>
          <w:w w:val="243"/>
          <w:sz w:val="19"/>
        </w:rPr>
        <w:t>l</w:t>
      </w:r>
      <w:r>
        <w:rPr>
          <w:w w:val="111"/>
          <w:sz w:val="19"/>
        </w:rPr>
        <w:t>atina</w:t>
      </w:r>
      <w:r>
        <w:rPr>
          <w:spacing w:val="12"/>
          <w:sz w:val="19"/>
        </w:rPr>
        <w:t> </w:t>
      </w:r>
      <w:r>
        <w:rPr>
          <w:w w:val="104"/>
          <w:sz w:val="19"/>
        </w:rPr>
        <w:t>e</w:t>
      </w:r>
      <w:r>
        <w:rPr>
          <w:spacing w:val="12"/>
          <w:sz w:val="19"/>
        </w:rPr>
        <w:t> </w:t>
      </w:r>
      <w:r>
        <w:rPr>
          <w:w w:val="112"/>
          <w:sz w:val="19"/>
        </w:rPr>
        <w:t>a</w:t>
      </w:r>
      <w:r>
        <w:rPr>
          <w:spacing w:val="12"/>
          <w:sz w:val="19"/>
        </w:rPr>
        <w:t> </w:t>
      </w:r>
      <w:r>
        <w:rPr>
          <w:w w:val="111"/>
          <w:sz w:val="19"/>
        </w:rPr>
        <w:t>conjuntura </w:t>
      </w:r>
      <w:r>
        <w:rPr>
          <w:w w:val="115"/>
          <w:sz w:val="19"/>
        </w:rPr>
        <w:t>mundial:</w:t>
      </w:r>
      <w:r>
        <w:rPr>
          <w:spacing w:val="-30"/>
          <w:w w:val="115"/>
          <w:sz w:val="19"/>
        </w:rPr>
        <w:t> </w:t>
      </w:r>
      <w:r>
        <w:rPr>
          <w:w w:val="115"/>
          <w:sz w:val="19"/>
        </w:rPr>
        <w:t>conjuntura,</w:t>
      </w:r>
      <w:r>
        <w:rPr>
          <w:spacing w:val="-30"/>
          <w:w w:val="115"/>
          <w:sz w:val="19"/>
        </w:rPr>
        <w:t> </w:t>
      </w:r>
      <w:r>
        <w:rPr>
          <w:w w:val="115"/>
          <w:sz w:val="19"/>
        </w:rPr>
        <w:t>desenvolvimento</w:t>
      </w:r>
      <w:r>
        <w:rPr>
          <w:spacing w:val="-30"/>
          <w:w w:val="115"/>
          <w:sz w:val="19"/>
        </w:rPr>
        <w:t> </w:t>
      </w:r>
      <w:r>
        <w:rPr>
          <w:w w:val="115"/>
          <w:sz w:val="19"/>
        </w:rPr>
        <w:t>e</w:t>
      </w:r>
      <w:r>
        <w:rPr>
          <w:spacing w:val="-30"/>
          <w:w w:val="115"/>
          <w:sz w:val="19"/>
        </w:rPr>
        <w:t> </w:t>
      </w:r>
      <w:r>
        <w:rPr>
          <w:w w:val="115"/>
          <w:sz w:val="19"/>
        </w:rPr>
        <w:t>prospectiva”,</w:t>
      </w:r>
      <w:r>
        <w:rPr>
          <w:spacing w:val="-30"/>
          <w:w w:val="115"/>
          <w:sz w:val="19"/>
        </w:rPr>
        <w:t> </w:t>
      </w:r>
      <w:r>
        <w:rPr>
          <w:w w:val="115"/>
          <w:sz w:val="19"/>
        </w:rPr>
        <w:t>em</w:t>
      </w:r>
      <w:r>
        <w:rPr>
          <w:spacing w:val="-30"/>
          <w:w w:val="115"/>
          <w:sz w:val="19"/>
        </w:rPr>
        <w:t> </w:t>
      </w:r>
      <w:r>
        <w:rPr>
          <w:w w:val="115"/>
          <w:sz w:val="19"/>
        </w:rPr>
        <w:t>Viana, a.;</w:t>
      </w:r>
      <w:r>
        <w:rPr>
          <w:spacing w:val="-8"/>
          <w:w w:val="115"/>
          <w:sz w:val="19"/>
        </w:rPr>
        <w:t> </w:t>
      </w:r>
      <w:r>
        <w:rPr>
          <w:w w:val="115"/>
          <w:sz w:val="19"/>
        </w:rPr>
        <w:t>barros,</w:t>
      </w:r>
      <w:r>
        <w:rPr>
          <w:spacing w:val="-8"/>
          <w:w w:val="115"/>
          <w:sz w:val="19"/>
        </w:rPr>
        <w:t> </w:t>
      </w:r>
      <w:r>
        <w:rPr>
          <w:spacing w:val="-13"/>
          <w:w w:val="115"/>
          <w:sz w:val="19"/>
        </w:rPr>
        <w:t>P.</w:t>
      </w:r>
      <w:r>
        <w:rPr>
          <w:spacing w:val="-8"/>
          <w:w w:val="115"/>
          <w:sz w:val="19"/>
        </w:rPr>
        <w:t> </w:t>
      </w:r>
      <w:r>
        <w:rPr>
          <w:w w:val="115"/>
          <w:sz w:val="19"/>
        </w:rPr>
        <w:t>e</w:t>
      </w:r>
      <w:r>
        <w:rPr>
          <w:spacing w:val="-8"/>
          <w:w w:val="115"/>
          <w:sz w:val="19"/>
        </w:rPr>
        <w:t> </w:t>
      </w:r>
      <w:r>
        <w:rPr>
          <w:w w:val="115"/>
          <w:sz w:val="19"/>
        </w:rPr>
        <w:t>Calixtre,</w:t>
      </w:r>
      <w:r>
        <w:rPr>
          <w:spacing w:val="-8"/>
          <w:w w:val="115"/>
          <w:sz w:val="19"/>
        </w:rPr>
        <w:t> </w:t>
      </w:r>
      <w:r>
        <w:rPr>
          <w:w w:val="115"/>
          <w:sz w:val="19"/>
        </w:rPr>
        <w:t>a.</w:t>
      </w:r>
      <w:r>
        <w:rPr>
          <w:spacing w:val="-8"/>
          <w:w w:val="115"/>
          <w:sz w:val="19"/>
        </w:rPr>
        <w:t> </w:t>
      </w:r>
      <w:r>
        <w:rPr>
          <w:w w:val="115"/>
          <w:sz w:val="19"/>
        </w:rPr>
        <w:t>(org.),</w:t>
      </w:r>
      <w:r>
        <w:rPr>
          <w:spacing w:val="-8"/>
          <w:w w:val="115"/>
          <w:sz w:val="19"/>
        </w:rPr>
        <w:t> </w:t>
      </w:r>
      <w:r>
        <w:rPr>
          <w:i/>
          <w:w w:val="115"/>
          <w:sz w:val="19"/>
        </w:rPr>
        <w:t>Governança</w:t>
      </w:r>
      <w:r>
        <w:rPr>
          <w:i/>
          <w:spacing w:val="-8"/>
          <w:w w:val="115"/>
          <w:sz w:val="19"/>
        </w:rPr>
        <w:t> </w:t>
      </w:r>
      <w:r>
        <w:rPr>
          <w:i/>
          <w:w w:val="115"/>
          <w:sz w:val="19"/>
        </w:rPr>
        <w:t>global</w:t>
      </w:r>
      <w:r>
        <w:rPr>
          <w:i/>
          <w:spacing w:val="-8"/>
          <w:w w:val="115"/>
          <w:sz w:val="19"/>
        </w:rPr>
        <w:t> </w:t>
      </w:r>
      <w:r>
        <w:rPr>
          <w:i/>
          <w:w w:val="115"/>
          <w:sz w:val="19"/>
        </w:rPr>
        <w:t>e</w:t>
      </w:r>
      <w:r>
        <w:rPr>
          <w:i/>
          <w:spacing w:val="-8"/>
          <w:w w:val="115"/>
          <w:sz w:val="19"/>
        </w:rPr>
        <w:t> </w:t>
      </w:r>
      <w:r>
        <w:rPr>
          <w:i/>
          <w:w w:val="115"/>
          <w:sz w:val="19"/>
        </w:rPr>
        <w:t>integração </w:t>
      </w:r>
      <w:r>
        <w:rPr>
          <w:i/>
          <w:w w:val="115"/>
          <w:sz w:val="19"/>
        </w:rPr>
        <w:t>na América do Sul </w:t>
      </w:r>
      <w:r>
        <w:rPr>
          <w:w w:val="115"/>
          <w:sz w:val="19"/>
        </w:rPr>
        <w:t>(brasilia:</w:t>
      </w:r>
      <w:r>
        <w:rPr>
          <w:spacing w:val="16"/>
          <w:w w:val="115"/>
          <w:sz w:val="19"/>
        </w:rPr>
        <w:t> </w:t>
      </w:r>
      <w:r>
        <w:rPr>
          <w:w w:val="115"/>
          <w:sz w:val="19"/>
        </w:rPr>
        <w:t>iPEa).</w:t>
      </w:r>
    </w:p>
    <w:p>
      <w:pPr>
        <w:spacing w:line="252" w:lineRule="auto" w:before="28"/>
        <w:ind w:left="727" w:right="824" w:hanging="397"/>
        <w:jc w:val="left"/>
        <w:rPr>
          <w:sz w:val="19"/>
        </w:rPr>
      </w:pPr>
      <w:r>
        <w:rPr>
          <w:w w:val="110"/>
          <w:sz w:val="19"/>
        </w:rPr>
        <w:t>Martins, Carlos Eduardo 2011b </w:t>
      </w:r>
      <w:r>
        <w:rPr>
          <w:i/>
          <w:w w:val="110"/>
          <w:sz w:val="19"/>
        </w:rPr>
        <w:t>Globalização, dependência e </w:t>
      </w:r>
      <w:r>
        <w:rPr>
          <w:i/>
          <w:w w:val="110"/>
          <w:sz w:val="19"/>
        </w:rPr>
        <w:t>neoliberalismo na América Latina </w:t>
      </w:r>
      <w:r>
        <w:rPr>
          <w:w w:val="110"/>
          <w:sz w:val="19"/>
        </w:rPr>
        <w:t>(são Paulo:   boitempo).</w:t>
      </w:r>
    </w:p>
    <w:p>
      <w:pPr>
        <w:spacing w:line="252" w:lineRule="auto" w:before="28"/>
        <w:ind w:left="727" w:right="194" w:hanging="397"/>
        <w:jc w:val="left"/>
        <w:rPr>
          <w:sz w:val="19"/>
        </w:rPr>
      </w:pPr>
      <w:r>
        <w:rPr>
          <w:w w:val="115"/>
          <w:sz w:val="19"/>
        </w:rPr>
        <w:t>Martins,</w:t>
      </w:r>
      <w:r>
        <w:rPr>
          <w:spacing w:val="-9"/>
          <w:w w:val="115"/>
          <w:sz w:val="19"/>
        </w:rPr>
        <w:t> </w:t>
      </w:r>
      <w:r>
        <w:rPr>
          <w:w w:val="115"/>
          <w:sz w:val="19"/>
        </w:rPr>
        <w:t>Carlos</w:t>
      </w:r>
      <w:r>
        <w:rPr>
          <w:spacing w:val="-9"/>
          <w:w w:val="115"/>
          <w:sz w:val="19"/>
        </w:rPr>
        <w:t> </w:t>
      </w:r>
      <w:r>
        <w:rPr>
          <w:w w:val="115"/>
          <w:sz w:val="19"/>
        </w:rPr>
        <w:t>Eduardo</w:t>
      </w:r>
      <w:r>
        <w:rPr>
          <w:spacing w:val="-9"/>
          <w:w w:val="115"/>
          <w:sz w:val="19"/>
        </w:rPr>
        <w:t> </w:t>
      </w:r>
      <w:r>
        <w:rPr>
          <w:w w:val="115"/>
          <w:sz w:val="19"/>
        </w:rPr>
        <w:t>2013</w:t>
      </w:r>
      <w:r>
        <w:rPr>
          <w:spacing w:val="-9"/>
          <w:w w:val="115"/>
          <w:sz w:val="19"/>
        </w:rPr>
        <w:t> </w:t>
      </w:r>
      <w:r>
        <w:rPr>
          <w:w w:val="115"/>
          <w:sz w:val="19"/>
        </w:rPr>
        <w:t>“a</w:t>
      </w:r>
      <w:r>
        <w:rPr>
          <w:spacing w:val="-9"/>
          <w:w w:val="115"/>
          <w:sz w:val="19"/>
        </w:rPr>
        <w:t> </w:t>
      </w:r>
      <w:r>
        <w:rPr>
          <w:w w:val="115"/>
          <w:sz w:val="19"/>
        </w:rPr>
        <w:t>Geopolítica</w:t>
      </w:r>
      <w:r>
        <w:rPr>
          <w:spacing w:val="-9"/>
          <w:w w:val="115"/>
          <w:sz w:val="19"/>
        </w:rPr>
        <w:t> </w:t>
      </w:r>
      <w:r>
        <w:rPr>
          <w:w w:val="115"/>
          <w:sz w:val="19"/>
        </w:rPr>
        <w:t>Mundial</w:t>
      </w:r>
      <w:r>
        <w:rPr>
          <w:spacing w:val="-9"/>
          <w:w w:val="115"/>
          <w:sz w:val="19"/>
        </w:rPr>
        <w:t> </w:t>
      </w:r>
      <w:r>
        <w:rPr>
          <w:w w:val="115"/>
          <w:sz w:val="19"/>
        </w:rPr>
        <w:t>e</w:t>
      </w:r>
      <w:r>
        <w:rPr>
          <w:spacing w:val="-9"/>
          <w:w w:val="115"/>
          <w:sz w:val="19"/>
        </w:rPr>
        <w:t> </w:t>
      </w:r>
      <w:r>
        <w:rPr>
          <w:w w:val="115"/>
          <w:sz w:val="19"/>
        </w:rPr>
        <w:t>a</w:t>
      </w:r>
      <w:r>
        <w:rPr>
          <w:spacing w:val="-9"/>
          <w:w w:val="115"/>
          <w:sz w:val="19"/>
        </w:rPr>
        <w:t> </w:t>
      </w:r>
      <w:r>
        <w:rPr>
          <w:w w:val="115"/>
          <w:sz w:val="19"/>
        </w:rPr>
        <w:t>economia </w:t>
      </w:r>
      <w:r>
        <w:rPr>
          <w:w w:val="111"/>
          <w:sz w:val="19"/>
        </w:rPr>
        <w:t>política</w:t>
      </w:r>
      <w:r>
        <w:rPr>
          <w:spacing w:val="12"/>
          <w:sz w:val="19"/>
        </w:rPr>
        <w:t> </w:t>
      </w:r>
      <w:r>
        <w:rPr>
          <w:w w:val="111"/>
          <w:sz w:val="19"/>
        </w:rPr>
        <w:t>no</w:t>
      </w:r>
      <w:r>
        <w:rPr>
          <w:spacing w:val="12"/>
          <w:sz w:val="19"/>
        </w:rPr>
        <w:t> </w:t>
      </w:r>
      <w:r>
        <w:rPr>
          <w:w w:val="110"/>
          <w:sz w:val="19"/>
        </w:rPr>
        <w:t>século</w:t>
      </w:r>
      <w:r>
        <w:rPr>
          <w:spacing w:val="12"/>
          <w:sz w:val="19"/>
        </w:rPr>
        <w:t> </w:t>
      </w:r>
      <w:r>
        <w:rPr>
          <w:w w:val="156"/>
          <w:sz w:val="19"/>
        </w:rPr>
        <w:t>xxi</w:t>
      </w:r>
      <w:r>
        <w:rPr>
          <w:w w:val="107"/>
          <w:sz w:val="19"/>
        </w:rPr>
        <w:t>:</w:t>
      </w:r>
      <w:r>
        <w:rPr>
          <w:spacing w:val="12"/>
          <w:sz w:val="19"/>
        </w:rPr>
        <w:t> </w:t>
      </w:r>
      <w:r>
        <w:rPr>
          <w:w w:val="111"/>
          <w:sz w:val="19"/>
        </w:rPr>
        <w:t>hegemonia,</w:t>
      </w:r>
      <w:r>
        <w:rPr>
          <w:spacing w:val="12"/>
          <w:sz w:val="19"/>
        </w:rPr>
        <w:t> </w:t>
      </w:r>
      <w:r>
        <w:rPr>
          <w:w w:val="152"/>
          <w:sz w:val="19"/>
        </w:rPr>
        <w:t>bri</w:t>
      </w:r>
      <w:r>
        <w:rPr>
          <w:w w:val="124"/>
          <w:sz w:val="19"/>
        </w:rPr>
        <w:t>C</w:t>
      </w:r>
      <w:r>
        <w:rPr>
          <w:w w:val="149"/>
          <w:sz w:val="19"/>
        </w:rPr>
        <w:t>s</w:t>
      </w:r>
      <w:r>
        <w:rPr>
          <w:spacing w:val="12"/>
          <w:sz w:val="19"/>
        </w:rPr>
        <w:t> </w:t>
      </w:r>
      <w:r>
        <w:rPr>
          <w:w w:val="104"/>
          <w:sz w:val="19"/>
        </w:rPr>
        <w:t>e</w:t>
      </w:r>
      <w:r>
        <w:rPr>
          <w:spacing w:val="12"/>
          <w:sz w:val="19"/>
        </w:rPr>
        <w:t> </w:t>
      </w:r>
      <w:r>
        <w:rPr>
          <w:w w:val="139"/>
          <w:sz w:val="19"/>
        </w:rPr>
        <w:t>a</w:t>
      </w:r>
      <w:r>
        <w:rPr>
          <w:w w:val="111"/>
          <w:sz w:val="19"/>
        </w:rPr>
        <w:t>mérica</w:t>
      </w:r>
      <w:r>
        <w:rPr>
          <w:spacing w:val="12"/>
          <w:sz w:val="19"/>
        </w:rPr>
        <w:t> </w:t>
      </w:r>
      <w:r>
        <w:rPr>
          <w:w w:val="243"/>
          <w:sz w:val="19"/>
        </w:rPr>
        <w:t>l</w:t>
      </w:r>
      <w:r>
        <w:rPr>
          <w:w w:val="114"/>
          <w:sz w:val="19"/>
        </w:rPr>
        <w:t>atina”, </w:t>
      </w:r>
      <w:r>
        <w:rPr>
          <w:w w:val="115"/>
          <w:sz w:val="19"/>
        </w:rPr>
        <w:t>en</w:t>
      </w:r>
      <w:r>
        <w:rPr>
          <w:spacing w:val="-13"/>
          <w:w w:val="115"/>
          <w:sz w:val="19"/>
        </w:rPr>
        <w:t> </w:t>
      </w:r>
      <w:r>
        <w:rPr>
          <w:w w:val="115"/>
          <w:sz w:val="19"/>
        </w:rPr>
        <w:t>Consuelo</w:t>
      </w:r>
      <w:r>
        <w:rPr>
          <w:spacing w:val="-13"/>
          <w:w w:val="115"/>
          <w:sz w:val="19"/>
        </w:rPr>
        <w:t> </w:t>
      </w:r>
      <w:r>
        <w:rPr>
          <w:w w:val="115"/>
          <w:sz w:val="19"/>
        </w:rPr>
        <w:t>Flores</w:t>
      </w:r>
      <w:r>
        <w:rPr>
          <w:spacing w:val="-13"/>
          <w:w w:val="115"/>
          <w:sz w:val="19"/>
        </w:rPr>
        <w:t> </w:t>
      </w:r>
      <w:r>
        <w:rPr>
          <w:w w:val="115"/>
          <w:sz w:val="19"/>
        </w:rPr>
        <w:t>e</w:t>
      </w:r>
      <w:r>
        <w:rPr>
          <w:spacing w:val="-13"/>
          <w:w w:val="115"/>
          <w:sz w:val="19"/>
        </w:rPr>
        <w:t> </w:t>
      </w:r>
      <w:r>
        <w:rPr>
          <w:w w:val="115"/>
          <w:sz w:val="19"/>
        </w:rPr>
        <w:t>Carlos</w:t>
      </w:r>
      <w:r>
        <w:rPr>
          <w:spacing w:val="-13"/>
          <w:w w:val="115"/>
          <w:sz w:val="19"/>
        </w:rPr>
        <w:t> </w:t>
      </w:r>
      <w:r>
        <w:rPr>
          <w:w w:val="115"/>
          <w:sz w:val="19"/>
        </w:rPr>
        <w:t>Martins,</w:t>
      </w:r>
      <w:r>
        <w:rPr>
          <w:spacing w:val="-13"/>
          <w:w w:val="115"/>
          <w:sz w:val="19"/>
        </w:rPr>
        <w:t> </w:t>
      </w:r>
      <w:r>
        <w:rPr>
          <w:i/>
          <w:w w:val="115"/>
          <w:sz w:val="19"/>
        </w:rPr>
        <w:t>Nuevos</w:t>
      </w:r>
      <w:r>
        <w:rPr>
          <w:i/>
          <w:spacing w:val="-13"/>
          <w:w w:val="115"/>
          <w:sz w:val="19"/>
        </w:rPr>
        <w:t> </w:t>
      </w:r>
      <w:r>
        <w:rPr>
          <w:i/>
          <w:w w:val="115"/>
          <w:sz w:val="19"/>
        </w:rPr>
        <w:t>escenarios</w:t>
      </w:r>
      <w:r>
        <w:rPr>
          <w:i/>
          <w:spacing w:val="-13"/>
          <w:w w:val="115"/>
          <w:sz w:val="19"/>
        </w:rPr>
        <w:t> </w:t>
      </w:r>
      <w:r>
        <w:rPr>
          <w:i/>
          <w:w w:val="115"/>
          <w:sz w:val="19"/>
        </w:rPr>
        <w:t>para</w:t>
      </w:r>
      <w:r>
        <w:rPr>
          <w:i/>
          <w:spacing w:val="-13"/>
          <w:w w:val="115"/>
          <w:sz w:val="19"/>
        </w:rPr>
        <w:t> </w:t>
      </w:r>
      <w:r>
        <w:rPr>
          <w:i/>
          <w:w w:val="115"/>
          <w:sz w:val="19"/>
        </w:rPr>
        <w:t>la </w:t>
      </w:r>
      <w:r>
        <w:rPr>
          <w:i/>
          <w:w w:val="120"/>
          <w:sz w:val="19"/>
        </w:rPr>
        <w:t>integración</w:t>
      </w:r>
      <w:r>
        <w:rPr>
          <w:i/>
          <w:spacing w:val="-32"/>
          <w:w w:val="120"/>
          <w:sz w:val="19"/>
        </w:rPr>
        <w:t> </w:t>
      </w:r>
      <w:r>
        <w:rPr>
          <w:i/>
          <w:w w:val="120"/>
          <w:sz w:val="19"/>
        </w:rPr>
        <w:t>en</w:t>
      </w:r>
      <w:r>
        <w:rPr>
          <w:i/>
          <w:spacing w:val="-32"/>
          <w:w w:val="120"/>
          <w:sz w:val="19"/>
        </w:rPr>
        <w:t> </w:t>
      </w:r>
      <w:r>
        <w:rPr>
          <w:i/>
          <w:w w:val="120"/>
          <w:sz w:val="19"/>
        </w:rPr>
        <w:t>América</w:t>
      </w:r>
      <w:r>
        <w:rPr>
          <w:i/>
          <w:spacing w:val="-32"/>
          <w:w w:val="120"/>
          <w:sz w:val="19"/>
        </w:rPr>
        <w:t> </w:t>
      </w:r>
      <w:r>
        <w:rPr>
          <w:i/>
          <w:w w:val="120"/>
          <w:sz w:val="19"/>
        </w:rPr>
        <w:t>Latina</w:t>
      </w:r>
      <w:r>
        <w:rPr>
          <w:i/>
          <w:spacing w:val="-32"/>
          <w:w w:val="120"/>
          <w:sz w:val="19"/>
        </w:rPr>
        <w:t> </w:t>
      </w:r>
      <w:r>
        <w:rPr>
          <w:w w:val="120"/>
          <w:sz w:val="19"/>
        </w:rPr>
        <w:t>(santiago:</w:t>
      </w:r>
      <w:r>
        <w:rPr>
          <w:spacing w:val="-32"/>
          <w:w w:val="120"/>
          <w:sz w:val="19"/>
        </w:rPr>
        <w:t> </w:t>
      </w:r>
      <w:r>
        <w:rPr>
          <w:w w:val="125"/>
          <w:sz w:val="19"/>
        </w:rPr>
        <w:t>arCis/ClaCso).</w:t>
      </w:r>
    </w:p>
    <w:p>
      <w:pPr>
        <w:spacing w:line="252" w:lineRule="auto" w:before="28"/>
        <w:ind w:left="727" w:right="163" w:hanging="397"/>
        <w:jc w:val="left"/>
        <w:rPr>
          <w:sz w:val="19"/>
        </w:rPr>
      </w:pPr>
      <w:r>
        <w:rPr>
          <w:w w:val="115"/>
          <w:sz w:val="19"/>
        </w:rPr>
        <w:t>Marx,</w:t>
      </w:r>
      <w:r>
        <w:rPr>
          <w:spacing w:val="-16"/>
          <w:w w:val="115"/>
          <w:sz w:val="19"/>
        </w:rPr>
        <w:t> </w:t>
      </w:r>
      <w:r>
        <w:rPr>
          <w:w w:val="115"/>
          <w:sz w:val="19"/>
        </w:rPr>
        <w:t>Karl</w:t>
      </w:r>
      <w:r>
        <w:rPr>
          <w:spacing w:val="-16"/>
          <w:w w:val="115"/>
          <w:sz w:val="19"/>
        </w:rPr>
        <w:t> </w:t>
      </w:r>
      <w:r>
        <w:rPr>
          <w:w w:val="115"/>
          <w:sz w:val="19"/>
        </w:rPr>
        <w:t>2009</w:t>
      </w:r>
      <w:r>
        <w:rPr>
          <w:spacing w:val="-16"/>
          <w:w w:val="115"/>
          <w:sz w:val="19"/>
        </w:rPr>
        <w:t> </w:t>
      </w:r>
      <w:r>
        <w:rPr>
          <w:i/>
          <w:w w:val="115"/>
          <w:sz w:val="19"/>
        </w:rPr>
        <w:t>Prefacio</w:t>
      </w:r>
      <w:r>
        <w:rPr>
          <w:i/>
          <w:spacing w:val="-16"/>
          <w:w w:val="115"/>
          <w:sz w:val="19"/>
        </w:rPr>
        <w:t> </w:t>
      </w:r>
      <w:r>
        <w:rPr>
          <w:i/>
          <w:w w:val="115"/>
          <w:sz w:val="19"/>
        </w:rPr>
        <w:t>a</w:t>
      </w:r>
      <w:r>
        <w:rPr>
          <w:i/>
          <w:spacing w:val="-16"/>
          <w:w w:val="115"/>
          <w:sz w:val="19"/>
        </w:rPr>
        <w:t> </w:t>
      </w:r>
      <w:r>
        <w:rPr>
          <w:i/>
          <w:w w:val="115"/>
          <w:sz w:val="19"/>
        </w:rPr>
        <w:t>la</w:t>
      </w:r>
      <w:r>
        <w:rPr>
          <w:i/>
          <w:spacing w:val="-16"/>
          <w:w w:val="115"/>
          <w:sz w:val="19"/>
        </w:rPr>
        <w:t> </w:t>
      </w:r>
      <w:r>
        <w:rPr>
          <w:i/>
          <w:w w:val="115"/>
          <w:sz w:val="19"/>
        </w:rPr>
        <w:t>Contribución</w:t>
      </w:r>
      <w:r>
        <w:rPr>
          <w:i/>
          <w:spacing w:val="-16"/>
          <w:w w:val="115"/>
          <w:sz w:val="19"/>
        </w:rPr>
        <w:t> </w:t>
      </w:r>
      <w:r>
        <w:rPr>
          <w:i/>
          <w:w w:val="115"/>
          <w:sz w:val="19"/>
        </w:rPr>
        <w:t>a</w:t>
      </w:r>
      <w:r>
        <w:rPr>
          <w:i/>
          <w:spacing w:val="-16"/>
          <w:w w:val="115"/>
          <w:sz w:val="19"/>
        </w:rPr>
        <w:t> </w:t>
      </w:r>
      <w:r>
        <w:rPr>
          <w:i/>
          <w:w w:val="115"/>
          <w:sz w:val="19"/>
        </w:rPr>
        <w:t>la</w:t>
      </w:r>
      <w:r>
        <w:rPr>
          <w:i/>
          <w:spacing w:val="-16"/>
          <w:w w:val="115"/>
          <w:sz w:val="19"/>
        </w:rPr>
        <w:t> </w:t>
      </w:r>
      <w:r>
        <w:rPr>
          <w:i/>
          <w:w w:val="115"/>
          <w:sz w:val="19"/>
        </w:rPr>
        <w:t>crítica</w:t>
      </w:r>
      <w:r>
        <w:rPr>
          <w:i/>
          <w:spacing w:val="-16"/>
          <w:w w:val="115"/>
          <w:sz w:val="19"/>
        </w:rPr>
        <w:t> </w:t>
      </w:r>
      <w:r>
        <w:rPr>
          <w:i/>
          <w:w w:val="115"/>
          <w:sz w:val="19"/>
        </w:rPr>
        <w:t>de</w:t>
      </w:r>
      <w:r>
        <w:rPr>
          <w:i/>
          <w:spacing w:val="-16"/>
          <w:w w:val="115"/>
          <w:sz w:val="19"/>
        </w:rPr>
        <w:t> </w:t>
      </w:r>
      <w:r>
        <w:rPr>
          <w:i/>
          <w:w w:val="115"/>
          <w:sz w:val="19"/>
        </w:rPr>
        <w:t>la</w:t>
      </w:r>
      <w:r>
        <w:rPr>
          <w:i/>
          <w:spacing w:val="-16"/>
          <w:w w:val="115"/>
          <w:sz w:val="19"/>
        </w:rPr>
        <w:t> </w:t>
      </w:r>
      <w:r>
        <w:rPr>
          <w:i/>
          <w:w w:val="115"/>
          <w:sz w:val="19"/>
        </w:rPr>
        <w:t>economía </w:t>
      </w:r>
      <w:r>
        <w:rPr>
          <w:i/>
          <w:w w:val="120"/>
          <w:sz w:val="19"/>
        </w:rPr>
        <w:t>política</w:t>
      </w:r>
      <w:r>
        <w:rPr>
          <w:i/>
          <w:spacing w:val="-20"/>
          <w:w w:val="120"/>
          <w:sz w:val="19"/>
        </w:rPr>
        <w:t> </w:t>
      </w:r>
      <w:r>
        <w:rPr>
          <w:w w:val="120"/>
          <w:sz w:val="19"/>
        </w:rPr>
        <w:t>(México:</w:t>
      </w:r>
      <w:r>
        <w:rPr>
          <w:spacing w:val="-20"/>
          <w:w w:val="120"/>
          <w:sz w:val="19"/>
        </w:rPr>
        <w:t> </w:t>
      </w:r>
      <w:r>
        <w:rPr>
          <w:w w:val="120"/>
          <w:sz w:val="19"/>
        </w:rPr>
        <w:t>Editorial</w:t>
      </w:r>
      <w:r>
        <w:rPr>
          <w:spacing w:val="-20"/>
          <w:w w:val="120"/>
          <w:sz w:val="19"/>
        </w:rPr>
        <w:t> </w:t>
      </w:r>
      <w:r>
        <w:rPr>
          <w:w w:val="120"/>
          <w:sz w:val="19"/>
        </w:rPr>
        <w:t>siglo</w:t>
      </w:r>
      <w:r>
        <w:rPr>
          <w:spacing w:val="-20"/>
          <w:w w:val="120"/>
          <w:sz w:val="19"/>
        </w:rPr>
        <w:t> </w:t>
      </w:r>
      <w:r>
        <w:rPr>
          <w:w w:val="120"/>
          <w:sz w:val="19"/>
        </w:rPr>
        <w:t>xxi).</w:t>
      </w:r>
    </w:p>
    <w:p>
      <w:pPr>
        <w:spacing w:before="28"/>
        <w:ind w:left="330" w:right="0" w:firstLine="0"/>
        <w:jc w:val="left"/>
        <w:rPr>
          <w:sz w:val="19"/>
        </w:rPr>
      </w:pPr>
      <w:r>
        <w:rPr>
          <w:w w:val="115"/>
          <w:sz w:val="19"/>
        </w:rPr>
        <w:t>Maddison, angus 2001 </w:t>
      </w:r>
      <w:r>
        <w:rPr>
          <w:i/>
          <w:w w:val="115"/>
          <w:sz w:val="19"/>
        </w:rPr>
        <w:t>The World Economy </w:t>
      </w:r>
      <w:r>
        <w:rPr>
          <w:w w:val="115"/>
          <w:sz w:val="19"/>
        </w:rPr>
        <w:t>(París: oECd).</w:t>
      </w:r>
    </w:p>
    <w:p>
      <w:pPr>
        <w:spacing w:line="252" w:lineRule="auto" w:before="39"/>
        <w:ind w:left="727" w:right="100" w:hanging="397"/>
        <w:jc w:val="left"/>
        <w:rPr>
          <w:sz w:val="19"/>
        </w:rPr>
      </w:pPr>
      <w:r>
        <w:rPr>
          <w:w w:val="110"/>
          <w:sz w:val="19"/>
        </w:rPr>
        <w:t>McNally, Christopher (org.) 2008 </w:t>
      </w:r>
      <w:r>
        <w:rPr>
          <w:i/>
          <w:w w:val="110"/>
          <w:sz w:val="19"/>
        </w:rPr>
        <w:t>China’s emergente political economy: </w:t>
      </w:r>
      <w:r>
        <w:rPr>
          <w:i/>
          <w:w w:val="110"/>
          <w:sz w:val="19"/>
        </w:rPr>
        <w:t>capitalism in the dragon’s lair </w:t>
      </w:r>
      <w:r>
        <w:rPr>
          <w:w w:val="110"/>
          <w:sz w:val="19"/>
        </w:rPr>
        <w:t>(New York:   routledge).</w:t>
      </w:r>
    </w:p>
    <w:p>
      <w:pPr>
        <w:spacing w:line="252" w:lineRule="auto" w:before="28"/>
        <w:ind w:left="727" w:right="149" w:hanging="397"/>
        <w:jc w:val="left"/>
        <w:rPr>
          <w:sz w:val="19"/>
        </w:rPr>
      </w:pPr>
      <w:r>
        <w:rPr>
          <w:w w:val="115"/>
          <w:sz w:val="19"/>
        </w:rPr>
        <w:t>Moraes, isabella Nogueira 2011 </w:t>
      </w:r>
      <w:r>
        <w:rPr>
          <w:i/>
          <w:w w:val="115"/>
          <w:sz w:val="19"/>
        </w:rPr>
        <w:t>Desenvolvimento econômico, </w:t>
      </w:r>
      <w:r>
        <w:rPr>
          <w:i/>
          <w:w w:val="115"/>
          <w:sz w:val="19"/>
        </w:rPr>
        <w:t>distribuição</w:t>
      </w:r>
      <w:r>
        <w:rPr>
          <w:i/>
          <w:spacing w:val="-21"/>
          <w:w w:val="115"/>
          <w:sz w:val="19"/>
        </w:rPr>
        <w:t> </w:t>
      </w:r>
      <w:r>
        <w:rPr>
          <w:i/>
          <w:w w:val="115"/>
          <w:sz w:val="19"/>
        </w:rPr>
        <w:t>de</w:t>
      </w:r>
      <w:r>
        <w:rPr>
          <w:i/>
          <w:spacing w:val="-21"/>
          <w:w w:val="115"/>
          <w:sz w:val="19"/>
        </w:rPr>
        <w:t> </w:t>
      </w:r>
      <w:r>
        <w:rPr>
          <w:i/>
          <w:w w:val="115"/>
          <w:sz w:val="19"/>
        </w:rPr>
        <w:t>renda</w:t>
      </w:r>
      <w:r>
        <w:rPr>
          <w:i/>
          <w:spacing w:val="-21"/>
          <w:w w:val="115"/>
          <w:sz w:val="19"/>
        </w:rPr>
        <w:t> </w:t>
      </w:r>
      <w:r>
        <w:rPr>
          <w:i/>
          <w:w w:val="115"/>
          <w:sz w:val="19"/>
        </w:rPr>
        <w:t>e</w:t>
      </w:r>
      <w:r>
        <w:rPr>
          <w:i/>
          <w:spacing w:val="-21"/>
          <w:w w:val="115"/>
          <w:sz w:val="19"/>
        </w:rPr>
        <w:t> </w:t>
      </w:r>
      <w:r>
        <w:rPr>
          <w:i/>
          <w:w w:val="115"/>
          <w:sz w:val="19"/>
        </w:rPr>
        <w:t>pobreza</w:t>
      </w:r>
      <w:r>
        <w:rPr>
          <w:i/>
          <w:spacing w:val="-21"/>
          <w:w w:val="115"/>
          <w:sz w:val="19"/>
        </w:rPr>
        <w:t> </w:t>
      </w:r>
      <w:r>
        <w:rPr>
          <w:i/>
          <w:w w:val="115"/>
          <w:sz w:val="19"/>
        </w:rPr>
        <w:t>na</w:t>
      </w:r>
      <w:r>
        <w:rPr>
          <w:i/>
          <w:spacing w:val="-21"/>
          <w:w w:val="115"/>
          <w:sz w:val="19"/>
        </w:rPr>
        <w:t> </w:t>
      </w:r>
      <w:r>
        <w:rPr>
          <w:i/>
          <w:w w:val="115"/>
          <w:sz w:val="19"/>
        </w:rPr>
        <w:t>China</w:t>
      </w:r>
      <w:r>
        <w:rPr>
          <w:i/>
          <w:spacing w:val="-21"/>
          <w:w w:val="115"/>
          <w:sz w:val="19"/>
        </w:rPr>
        <w:t> </w:t>
      </w:r>
      <w:r>
        <w:rPr>
          <w:i/>
          <w:w w:val="115"/>
          <w:sz w:val="19"/>
        </w:rPr>
        <w:t>Contemporânea</w:t>
      </w:r>
      <w:r>
        <w:rPr>
          <w:w w:val="115"/>
          <w:sz w:val="19"/>
        </w:rPr>
        <w:t>.</w:t>
      </w:r>
      <w:r>
        <w:rPr>
          <w:spacing w:val="-21"/>
          <w:w w:val="115"/>
          <w:sz w:val="19"/>
        </w:rPr>
        <w:t> </w:t>
      </w:r>
      <w:r>
        <w:rPr>
          <w:spacing w:val="-5"/>
          <w:w w:val="115"/>
          <w:sz w:val="19"/>
        </w:rPr>
        <w:t>tese</w:t>
      </w:r>
      <w:r>
        <w:rPr>
          <w:spacing w:val="-21"/>
          <w:w w:val="115"/>
          <w:sz w:val="19"/>
        </w:rPr>
        <w:t> </w:t>
      </w:r>
      <w:r>
        <w:rPr>
          <w:w w:val="115"/>
          <w:sz w:val="19"/>
        </w:rPr>
        <w:t>de doutorado apresentada ao</w:t>
      </w:r>
      <w:r>
        <w:rPr>
          <w:spacing w:val="27"/>
          <w:w w:val="115"/>
          <w:sz w:val="19"/>
        </w:rPr>
        <w:t> </w:t>
      </w:r>
      <w:r>
        <w:rPr>
          <w:w w:val="115"/>
          <w:sz w:val="19"/>
        </w:rPr>
        <w:t>iE/uFrJ.</w:t>
      </w:r>
    </w:p>
    <w:p>
      <w:pPr>
        <w:spacing w:line="283" w:lineRule="auto" w:before="28"/>
        <w:ind w:left="330" w:right="900" w:firstLine="0"/>
        <w:jc w:val="left"/>
        <w:rPr>
          <w:sz w:val="19"/>
        </w:rPr>
      </w:pPr>
      <w:r>
        <w:rPr>
          <w:w w:val="120"/>
          <w:sz w:val="19"/>
        </w:rPr>
        <w:t>oECd 2013 </w:t>
      </w:r>
      <w:r>
        <w:rPr>
          <w:i/>
          <w:w w:val="120"/>
          <w:sz w:val="19"/>
        </w:rPr>
        <w:t>oECD Economic Surveys: China </w:t>
      </w:r>
      <w:r>
        <w:rPr>
          <w:w w:val="120"/>
          <w:sz w:val="19"/>
        </w:rPr>
        <w:t>(París: oECd). oECd</w:t>
      </w:r>
      <w:r>
        <w:rPr>
          <w:spacing w:val="-14"/>
          <w:w w:val="120"/>
          <w:sz w:val="19"/>
        </w:rPr>
        <w:t> </w:t>
      </w:r>
      <w:r>
        <w:rPr>
          <w:w w:val="120"/>
          <w:sz w:val="19"/>
        </w:rPr>
        <w:t>2012</w:t>
      </w:r>
      <w:r>
        <w:rPr>
          <w:spacing w:val="-14"/>
          <w:w w:val="120"/>
          <w:sz w:val="19"/>
        </w:rPr>
        <w:t> </w:t>
      </w:r>
      <w:r>
        <w:rPr>
          <w:i/>
          <w:w w:val="120"/>
          <w:sz w:val="19"/>
        </w:rPr>
        <w:t>oECD</w:t>
      </w:r>
      <w:r>
        <w:rPr>
          <w:i/>
          <w:spacing w:val="-14"/>
          <w:w w:val="120"/>
          <w:sz w:val="19"/>
        </w:rPr>
        <w:t> </w:t>
      </w:r>
      <w:r>
        <w:rPr>
          <w:i/>
          <w:w w:val="120"/>
          <w:sz w:val="19"/>
        </w:rPr>
        <w:t>Economic</w:t>
      </w:r>
      <w:r>
        <w:rPr>
          <w:i/>
          <w:spacing w:val="-14"/>
          <w:w w:val="120"/>
          <w:sz w:val="19"/>
        </w:rPr>
        <w:t> </w:t>
      </w:r>
      <w:r>
        <w:rPr>
          <w:i/>
          <w:w w:val="120"/>
          <w:sz w:val="19"/>
        </w:rPr>
        <w:t>outlook</w:t>
      </w:r>
      <w:r>
        <w:rPr>
          <w:i/>
          <w:spacing w:val="-14"/>
          <w:w w:val="120"/>
          <w:sz w:val="19"/>
        </w:rPr>
        <w:t> </w:t>
      </w:r>
      <w:r>
        <w:rPr>
          <w:i/>
          <w:w w:val="120"/>
          <w:sz w:val="19"/>
        </w:rPr>
        <w:t>2012/2</w:t>
      </w:r>
      <w:r>
        <w:rPr>
          <w:i/>
          <w:spacing w:val="-14"/>
          <w:w w:val="120"/>
          <w:sz w:val="19"/>
        </w:rPr>
        <w:t> </w:t>
      </w:r>
      <w:r>
        <w:rPr>
          <w:w w:val="120"/>
          <w:sz w:val="19"/>
        </w:rPr>
        <w:t>(París:</w:t>
      </w:r>
      <w:r>
        <w:rPr>
          <w:spacing w:val="-14"/>
          <w:w w:val="120"/>
          <w:sz w:val="19"/>
        </w:rPr>
        <w:t> </w:t>
      </w:r>
      <w:r>
        <w:rPr>
          <w:w w:val="120"/>
          <w:sz w:val="19"/>
        </w:rPr>
        <w:t>oECd). oECd 2010 </w:t>
      </w:r>
      <w:r>
        <w:rPr>
          <w:i/>
          <w:w w:val="120"/>
          <w:sz w:val="19"/>
        </w:rPr>
        <w:t>oECD Economic Surveys: China </w:t>
      </w:r>
      <w:r>
        <w:rPr>
          <w:w w:val="120"/>
          <w:sz w:val="19"/>
        </w:rPr>
        <w:t>(París: oECd). oECd</w:t>
      </w:r>
      <w:r>
        <w:rPr>
          <w:spacing w:val="-24"/>
          <w:w w:val="120"/>
          <w:sz w:val="19"/>
        </w:rPr>
        <w:t> </w:t>
      </w:r>
      <w:r>
        <w:rPr>
          <w:w w:val="120"/>
          <w:sz w:val="19"/>
        </w:rPr>
        <w:t>2001</w:t>
      </w:r>
      <w:r>
        <w:rPr>
          <w:spacing w:val="-24"/>
          <w:w w:val="120"/>
          <w:sz w:val="19"/>
        </w:rPr>
        <w:t> </w:t>
      </w:r>
      <w:r>
        <w:rPr>
          <w:i/>
          <w:w w:val="120"/>
          <w:sz w:val="19"/>
        </w:rPr>
        <w:t>Historical</w:t>
      </w:r>
      <w:r>
        <w:rPr>
          <w:i/>
          <w:spacing w:val="-24"/>
          <w:w w:val="120"/>
          <w:sz w:val="19"/>
        </w:rPr>
        <w:t> </w:t>
      </w:r>
      <w:r>
        <w:rPr>
          <w:i/>
          <w:w w:val="120"/>
          <w:sz w:val="19"/>
        </w:rPr>
        <w:t>Statistics:</w:t>
      </w:r>
      <w:r>
        <w:rPr>
          <w:i/>
          <w:spacing w:val="-24"/>
          <w:w w:val="120"/>
          <w:sz w:val="19"/>
        </w:rPr>
        <w:t> </w:t>
      </w:r>
      <w:r>
        <w:rPr>
          <w:i/>
          <w:w w:val="120"/>
          <w:sz w:val="19"/>
        </w:rPr>
        <w:t>1970-2000</w:t>
      </w:r>
      <w:r>
        <w:rPr>
          <w:i/>
          <w:spacing w:val="-24"/>
          <w:w w:val="120"/>
          <w:sz w:val="19"/>
        </w:rPr>
        <w:t> </w:t>
      </w:r>
      <w:r>
        <w:rPr>
          <w:w w:val="120"/>
          <w:sz w:val="19"/>
        </w:rPr>
        <w:t>(París:</w:t>
      </w:r>
      <w:r>
        <w:rPr>
          <w:spacing w:val="-24"/>
          <w:w w:val="120"/>
          <w:sz w:val="19"/>
        </w:rPr>
        <w:t> </w:t>
      </w:r>
      <w:r>
        <w:rPr>
          <w:w w:val="120"/>
          <w:sz w:val="19"/>
        </w:rPr>
        <w:t>oECd). </w:t>
      </w:r>
      <w:r>
        <w:rPr>
          <w:w w:val="115"/>
          <w:sz w:val="19"/>
        </w:rPr>
        <w:t>oECd 1998 </w:t>
      </w:r>
      <w:r>
        <w:rPr>
          <w:i/>
          <w:w w:val="115"/>
          <w:sz w:val="19"/>
        </w:rPr>
        <w:t>Historical Statistics: 1960-1997 </w:t>
      </w:r>
      <w:r>
        <w:rPr>
          <w:w w:val="115"/>
          <w:sz w:val="19"/>
        </w:rPr>
        <w:t>(París:</w:t>
      </w:r>
      <w:r>
        <w:rPr>
          <w:spacing w:val="-1"/>
          <w:w w:val="115"/>
          <w:sz w:val="19"/>
        </w:rPr>
        <w:t> </w:t>
      </w:r>
      <w:r>
        <w:rPr>
          <w:w w:val="115"/>
          <w:sz w:val="19"/>
        </w:rPr>
        <w:t>oECd).</w:t>
      </w:r>
    </w:p>
    <w:p>
      <w:pPr>
        <w:pStyle w:val="BodyText"/>
        <w:spacing w:line="252" w:lineRule="auto"/>
        <w:ind w:left="727" w:right="445" w:hanging="397"/>
        <w:jc w:val="both"/>
      </w:pPr>
      <w:r>
        <w:rPr>
          <w:spacing w:val="-4"/>
          <w:w w:val="110"/>
        </w:rPr>
        <w:t>Peter, </w:t>
      </w:r>
      <w:r>
        <w:rPr>
          <w:w w:val="110"/>
        </w:rPr>
        <w:t>Ferdinand “an analysis of the voting behavior of </w:t>
      </w:r>
      <w:r>
        <w:rPr>
          <w:w w:val="120"/>
        </w:rPr>
        <w:t>briCsaM </w:t>
      </w:r>
      <w:r>
        <w:rPr>
          <w:w w:val="110"/>
        </w:rPr>
        <w:t>states</w:t>
      </w:r>
      <w:r>
        <w:rPr>
          <w:spacing w:val="-11"/>
          <w:w w:val="110"/>
        </w:rPr>
        <w:t> </w:t>
      </w:r>
      <w:r>
        <w:rPr>
          <w:w w:val="110"/>
        </w:rPr>
        <w:t>in</w:t>
      </w:r>
      <w:r>
        <w:rPr>
          <w:spacing w:val="-11"/>
          <w:w w:val="110"/>
        </w:rPr>
        <w:t> </w:t>
      </w:r>
      <w:r>
        <w:rPr>
          <w:w w:val="110"/>
        </w:rPr>
        <w:t>the</w:t>
      </w:r>
      <w:r>
        <w:rPr>
          <w:spacing w:val="-11"/>
          <w:w w:val="110"/>
        </w:rPr>
        <w:t> </w:t>
      </w:r>
      <w:r>
        <w:rPr>
          <w:w w:val="110"/>
        </w:rPr>
        <w:t>General</w:t>
      </w:r>
      <w:r>
        <w:rPr>
          <w:spacing w:val="-11"/>
          <w:w w:val="110"/>
        </w:rPr>
        <w:t> </w:t>
      </w:r>
      <w:r>
        <w:rPr>
          <w:w w:val="110"/>
        </w:rPr>
        <w:t>assembly</w:t>
      </w:r>
      <w:r>
        <w:rPr>
          <w:spacing w:val="-11"/>
          <w:w w:val="110"/>
        </w:rPr>
        <w:t> </w:t>
      </w:r>
      <w:r>
        <w:rPr>
          <w:w w:val="110"/>
        </w:rPr>
        <w:t>1974-2008”,</w:t>
      </w:r>
      <w:r>
        <w:rPr>
          <w:spacing w:val="-11"/>
          <w:w w:val="110"/>
        </w:rPr>
        <w:t> </w:t>
      </w:r>
      <w:r>
        <w:rPr>
          <w:w w:val="110"/>
        </w:rPr>
        <w:t>en</w:t>
      </w:r>
      <w:r>
        <w:rPr>
          <w:spacing w:val="-11"/>
          <w:w w:val="110"/>
        </w:rPr>
        <w:t> </w:t>
      </w:r>
      <w:hyperlink r:id="rId108">
        <w:r>
          <w:rPr>
            <w:w w:val="110"/>
          </w:rPr>
          <w:t>&lt;http://goo.gl/</w:t>
        </w:r>
      </w:hyperlink>
      <w:r>
        <w:rPr>
          <w:w w:val="110"/>
        </w:rPr>
        <w:t> da1xlv&gt;.</w:t>
      </w:r>
    </w:p>
    <w:p>
      <w:pPr>
        <w:spacing w:after="0" w:line="252" w:lineRule="auto"/>
        <w:jc w:val="both"/>
        <w:sectPr>
          <w:pgSz w:w="8790" w:h="12760"/>
          <w:pgMar w:header="697" w:footer="723" w:top="880" w:bottom="920" w:left="1200" w:right="920"/>
        </w:sectPr>
      </w:pPr>
    </w:p>
    <w:p>
      <w:pPr>
        <w:pStyle w:val="BodyText"/>
        <w:rPr>
          <w:sz w:val="20"/>
        </w:rPr>
      </w:pPr>
    </w:p>
    <w:p>
      <w:pPr>
        <w:pStyle w:val="BodyText"/>
        <w:rPr>
          <w:sz w:val="20"/>
        </w:rPr>
      </w:pPr>
    </w:p>
    <w:p>
      <w:pPr>
        <w:pStyle w:val="BodyText"/>
        <w:spacing w:before="10"/>
        <w:rPr>
          <w:sz w:val="27"/>
        </w:rPr>
      </w:pPr>
    </w:p>
    <w:p>
      <w:pPr>
        <w:pStyle w:val="Heading3"/>
      </w:pPr>
      <w:r>
        <w:rPr>
          <w:w w:val="105"/>
        </w:rPr>
        <w:t>Marco A. Gandásegui, hijo*</w:t>
      </w:r>
    </w:p>
    <w:p>
      <w:pPr>
        <w:pStyle w:val="BodyText"/>
        <w:spacing w:before="9"/>
        <w:rPr>
          <w:sz w:val="20"/>
        </w:rPr>
      </w:pPr>
    </w:p>
    <w:p>
      <w:pPr>
        <w:spacing w:line="340" w:lineRule="exact" w:before="0"/>
        <w:ind w:left="1252" w:right="1480" w:firstLine="0"/>
        <w:jc w:val="center"/>
        <w:rPr>
          <w:rFonts w:ascii="Times New Roman" w:hAnsi="Times New Roman"/>
          <w:b/>
          <w:sz w:val="30"/>
        </w:rPr>
      </w:pPr>
      <w:r>
        <w:rPr>
          <w:rFonts w:ascii="Times New Roman" w:hAnsi="Times New Roman"/>
          <w:b/>
          <w:spacing w:val="-1"/>
          <w:w w:val="120"/>
          <w:sz w:val="30"/>
        </w:rPr>
        <w:t>HeGeMonÍa, GeoPolÍtica </w:t>
      </w:r>
      <w:r>
        <w:rPr>
          <w:rFonts w:ascii="Times New Roman" w:hAnsi="Times New Roman"/>
          <w:b/>
          <w:w w:val="130"/>
          <w:sz w:val="30"/>
        </w:rPr>
        <w:t>y estados</w:t>
      </w:r>
      <w:r>
        <w:rPr>
          <w:rFonts w:ascii="Times New Roman" w:hAnsi="Times New Roman"/>
          <w:b/>
          <w:spacing w:val="51"/>
          <w:w w:val="130"/>
          <w:sz w:val="30"/>
        </w:rPr>
        <w:t> </w:t>
      </w:r>
      <w:r>
        <w:rPr>
          <w:rFonts w:ascii="Times New Roman" w:hAnsi="Times New Roman"/>
          <w:b/>
          <w:spacing w:val="3"/>
          <w:w w:val="130"/>
          <w:sz w:val="30"/>
        </w:rPr>
        <w:t>unidos</w:t>
      </w: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spacing w:before="9"/>
        <w:rPr>
          <w:rFonts w:ascii="Times New Roman"/>
          <w:b/>
          <w:sz w:val="44"/>
        </w:rPr>
      </w:pPr>
    </w:p>
    <w:p>
      <w:pPr>
        <w:pStyle w:val="Heading6"/>
      </w:pPr>
      <w:r>
        <w:rPr>
          <w:w w:val="140"/>
        </w:rPr>
        <w:t>introducción</w:t>
      </w:r>
    </w:p>
    <w:p>
      <w:pPr>
        <w:pStyle w:val="BodyText"/>
        <w:spacing w:line="252" w:lineRule="auto" w:before="10"/>
        <w:ind w:left="100" w:right="327"/>
        <w:jc w:val="both"/>
      </w:pPr>
      <w:r>
        <w:rPr>
          <w:w w:val="110"/>
        </w:rPr>
        <w:t>Estados unidos ha perdido la vanguardia en el sector industrial, que  se ha desplazado a China. Este último país con un Partido Comunis-   ta en el gobierno tiene muchos más instrumentos para lidiar con las reivindicaciones obreras. además, tiene una reserva casi inagotable  de fuerza de trabajo que le permite mantener el nivel promedio de los </w:t>
      </w:r>
      <w:r>
        <w:rPr>
          <w:w w:val="109"/>
        </w:rPr>
        <w:t>salarios</w:t>
      </w:r>
      <w:r>
        <w:rPr/>
        <w:t> </w:t>
      </w:r>
      <w:r>
        <w:rPr>
          <w:spacing w:val="-7"/>
        </w:rPr>
        <w:t> </w:t>
      </w:r>
      <w:r>
        <w:rPr>
          <w:w w:val="108"/>
        </w:rPr>
        <w:t>relativamente</w:t>
      </w:r>
      <w:r>
        <w:rPr/>
        <w:t> </w:t>
      </w:r>
      <w:r>
        <w:rPr>
          <w:spacing w:val="-7"/>
        </w:rPr>
        <w:t> </w:t>
      </w:r>
      <w:r>
        <w:rPr>
          <w:w w:val="112"/>
        </w:rPr>
        <w:t>bajos.</w:t>
      </w:r>
      <w:r>
        <w:rPr/>
        <w:t> </w:t>
      </w:r>
      <w:r>
        <w:rPr>
          <w:spacing w:val="-7"/>
        </w:rPr>
        <w:t> </w:t>
      </w:r>
      <w:r>
        <w:rPr>
          <w:w w:val="243"/>
        </w:rPr>
        <w:t>l</w:t>
      </w:r>
      <w:r>
        <w:rPr>
          <w:w w:val="112"/>
        </w:rPr>
        <w:t>a</w:t>
      </w:r>
      <w:r>
        <w:rPr/>
        <w:t> </w:t>
      </w:r>
      <w:r>
        <w:rPr>
          <w:spacing w:val="-7"/>
        </w:rPr>
        <w:t> </w:t>
      </w:r>
      <w:r>
        <w:rPr>
          <w:w w:val="109"/>
        </w:rPr>
        <w:t>emergencia</w:t>
      </w:r>
      <w:r>
        <w:rPr/>
        <w:t> </w:t>
      </w:r>
      <w:r>
        <w:rPr>
          <w:spacing w:val="-7"/>
        </w:rPr>
        <w:t> </w:t>
      </w:r>
      <w:r>
        <w:rPr>
          <w:w w:val="107"/>
        </w:rPr>
        <w:t>de</w:t>
      </w:r>
      <w:r>
        <w:rPr/>
        <w:t> </w:t>
      </w:r>
      <w:r>
        <w:rPr>
          <w:spacing w:val="-7"/>
        </w:rPr>
        <w:t> </w:t>
      </w:r>
      <w:r>
        <w:rPr>
          <w:w w:val="115"/>
        </w:rPr>
        <w:t>China</w:t>
      </w:r>
      <w:r>
        <w:rPr/>
        <w:t> </w:t>
      </w:r>
      <w:r>
        <w:rPr>
          <w:spacing w:val="-7"/>
        </w:rPr>
        <w:t> </w:t>
      </w:r>
      <w:r>
        <w:rPr>
          <w:w w:val="108"/>
        </w:rPr>
        <w:t>tiene</w:t>
      </w:r>
      <w:r>
        <w:rPr/>
        <w:t> </w:t>
      </w:r>
      <w:r>
        <w:rPr>
          <w:spacing w:val="-7"/>
        </w:rPr>
        <w:t> </w:t>
      </w:r>
      <w:r>
        <w:rPr>
          <w:w w:val="112"/>
        </w:rPr>
        <w:t>muchos </w:t>
      </w:r>
      <w:r>
        <w:rPr>
          <w:w w:val="110"/>
        </w:rPr>
        <w:t>significados –no sólo en el campo de la producción industrial– que im- plican nuevos enfrentamientos globales a niveles cultural, ideológico  y tecnológico. ¿Puede el tejido social de China soportar los cambios y enfrentar con éxito a Estados unidos y Europa  </w:t>
      </w:r>
      <w:r>
        <w:rPr>
          <w:spacing w:val="41"/>
          <w:w w:val="110"/>
        </w:rPr>
        <w:t> </w:t>
      </w:r>
      <w:r>
        <w:rPr>
          <w:w w:val="110"/>
        </w:rPr>
        <w:t>occidental?</w:t>
      </w:r>
    </w:p>
    <w:p>
      <w:pPr>
        <w:pStyle w:val="BodyText"/>
        <w:spacing w:line="252" w:lineRule="auto"/>
        <w:ind w:left="100" w:right="328" w:firstLine="396"/>
        <w:jc w:val="both"/>
      </w:pPr>
      <w:r>
        <w:rPr>
          <w:w w:val="110"/>
        </w:rPr>
        <w:t>El motor industrial, como lo previó arrighi, se desplazó de Esta- dos unidos a China. Hace 100 años se había trasladado de inglaterra    a Estados unidos. después de 250 años de hegemonía productiva cen- trada en el norte-atlántico, de guerras mundiales, coloniales y civiles, </w:t>
      </w:r>
      <w:r>
        <w:rPr>
          <w:w w:val="107"/>
        </w:rPr>
        <w:t>el</w:t>
      </w:r>
      <w:r>
        <w:rPr/>
        <w:t> </w:t>
      </w:r>
      <w:r>
        <w:rPr>
          <w:spacing w:val="-5"/>
        </w:rPr>
        <w:t> </w:t>
      </w:r>
      <w:r>
        <w:rPr>
          <w:w w:val="110"/>
        </w:rPr>
        <w:t>motor</w:t>
      </w:r>
      <w:r>
        <w:rPr/>
        <w:t> </w:t>
      </w:r>
      <w:r>
        <w:rPr>
          <w:spacing w:val="-5"/>
        </w:rPr>
        <w:t> </w:t>
      </w:r>
      <w:r>
        <w:rPr>
          <w:w w:val="105"/>
        </w:rPr>
        <w:t>se</w:t>
      </w:r>
      <w:r>
        <w:rPr/>
        <w:t> </w:t>
      </w:r>
      <w:r>
        <w:rPr>
          <w:spacing w:val="-5"/>
        </w:rPr>
        <w:t> </w:t>
      </w:r>
      <w:r>
        <w:rPr>
          <w:w w:val="109"/>
        </w:rPr>
        <w:t>desplaza</w:t>
      </w:r>
      <w:r>
        <w:rPr/>
        <w:t> </w:t>
      </w:r>
      <w:r>
        <w:rPr>
          <w:spacing w:val="-5"/>
        </w:rPr>
        <w:t> </w:t>
      </w:r>
      <w:r>
        <w:rPr>
          <w:w w:val="112"/>
        </w:rPr>
        <w:t>a</w:t>
      </w:r>
      <w:r>
        <w:rPr/>
        <w:t> </w:t>
      </w:r>
      <w:r>
        <w:rPr>
          <w:spacing w:val="-5"/>
        </w:rPr>
        <w:t> </w:t>
      </w:r>
      <w:r>
        <w:rPr>
          <w:w w:val="149"/>
        </w:rPr>
        <w:t>o</w:t>
      </w:r>
      <w:r>
        <w:rPr>
          <w:w w:val="109"/>
        </w:rPr>
        <w:t>riente.</w:t>
      </w:r>
      <w:r>
        <w:rPr/>
        <w:t> </w:t>
      </w:r>
      <w:r>
        <w:rPr>
          <w:spacing w:val="-5"/>
        </w:rPr>
        <w:t> </w:t>
      </w:r>
      <w:r>
        <w:rPr>
          <w:w w:val="115"/>
        </w:rPr>
        <w:t>“</w:t>
      </w:r>
      <w:r>
        <w:rPr>
          <w:w w:val="243"/>
        </w:rPr>
        <w:t>l</w:t>
      </w:r>
      <w:r>
        <w:rPr>
          <w:w w:val="112"/>
        </w:rPr>
        <w:t>a</w:t>
      </w:r>
      <w:r>
        <w:rPr/>
        <w:t> </w:t>
      </w:r>
      <w:r>
        <w:rPr>
          <w:spacing w:val="-5"/>
        </w:rPr>
        <w:t> </w:t>
      </w:r>
      <w:r>
        <w:rPr>
          <w:w w:val="110"/>
        </w:rPr>
        <w:t>industria</w:t>
      </w:r>
      <w:r>
        <w:rPr/>
        <w:t> </w:t>
      </w:r>
      <w:r>
        <w:rPr>
          <w:spacing w:val="-5"/>
        </w:rPr>
        <w:t> </w:t>
      </w:r>
      <w:r>
        <w:rPr>
          <w:w w:val="110"/>
        </w:rPr>
        <w:t>norteamericana</w:t>
      </w:r>
      <w:r>
        <w:rPr/>
        <w:t> </w:t>
      </w:r>
      <w:r>
        <w:rPr>
          <w:spacing w:val="-5"/>
        </w:rPr>
        <w:t> </w:t>
      </w:r>
      <w:r>
        <w:rPr>
          <w:w w:val="109"/>
        </w:rPr>
        <w:t>crece </w:t>
      </w:r>
      <w:r>
        <w:rPr>
          <w:w w:val="110"/>
        </w:rPr>
        <w:t>pero</w:t>
      </w:r>
      <w:r>
        <w:rPr>
          <w:spacing w:val="33"/>
          <w:w w:val="110"/>
        </w:rPr>
        <w:t> </w:t>
      </w:r>
      <w:r>
        <w:rPr>
          <w:w w:val="110"/>
        </w:rPr>
        <w:t>no</w:t>
      </w:r>
      <w:r>
        <w:rPr>
          <w:spacing w:val="33"/>
          <w:w w:val="110"/>
        </w:rPr>
        <w:t> </w:t>
      </w:r>
      <w:r>
        <w:rPr>
          <w:w w:val="110"/>
        </w:rPr>
        <w:t>crea</w:t>
      </w:r>
      <w:r>
        <w:rPr>
          <w:spacing w:val="33"/>
          <w:w w:val="110"/>
        </w:rPr>
        <w:t> </w:t>
      </w:r>
      <w:r>
        <w:rPr>
          <w:w w:val="110"/>
        </w:rPr>
        <w:t>empleo</w:t>
      </w:r>
      <w:r>
        <w:rPr>
          <w:spacing w:val="33"/>
          <w:w w:val="110"/>
        </w:rPr>
        <w:t> </w:t>
      </w:r>
      <w:r>
        <w:rPr>
          <w:w w:val="110"/>
        </w:rPr>
        <w:t>y</w:t>
      </w:r>
      <w:r>
        <w:rPr>
          <w:spacing w:val="33"/>
          <w:w w:val="110"/>
        </w:rPr>
        <w:t> </w:t>
      </w:r>
      <w:r>
        <w:rPr>
          <w:w w:val="110"/>
        </w:rPr>
        <w:t>tiende</w:t>
      </w:r>
      <w:r>
        <w:rPr>
          <w:spacing w:val="33"/>
          <w:w w:val="110"/>
        </w:rPr>
        <w:t> </w:t>
      </w:r>
      <w:r>
        <w:rPr>
          <w:w w:val="110"/>
        </w:rPr>
        <w:t>a</w:t>
      </w:r>
      <w:r>
        <w:rPr>
          <w:spacing w:val="33"/>
          <w:w w:val="110"/>
        </w:rPr>
        <w:t> </w:t>
      </w:r>
      <w:r>
        <w:rPr>
          <w:spacing w:val="-3"/>
          <w:w w:val="110"/>
        </w:rPr>
        <w:t>disminuir.</w:t>
      </w:r>
      <w:r>
        <w:rPr>
          <w:spacing w:val="33"/>
          <w:w w:val="110"/>
        </w:rPr>
        <w:t> </w:t>
      </w:r>
      <w:r>
        <w:rPr>
          <w:w w:val="110"/>
        </w:rPr>
        <w:t>En</w:t>
      </w:r>
      <w:r>
        <w:rPr>
          <w:spacing w:val="33"/>
          <w:w w:val="110"/>
        </w:rPr>
        <w:t> </w:t>
      </w:r>
      <w:r>
        <w:rPr>
          <w:w w:val="110"/>
        </w:rPr>
        <w:t>1979</w:t>
      </w:r>
      <w:r>
        <w:rPr>
          <w:spacing w:val="33"/>
          <w:w w:val="110"/>
        </w:rPr>
        <w:t> </w:t>
      </w:r>
      <w:r>
        <w:rPr>
          <w:w w:val="110"/>
        </w:rPr>
        <w:t>Estados</w:t>
      </w:r>
      <w:r>
        <w:rPr>
          <w:spacing w:val="33"/>
          <w:w w:val="110"/>
        </w:rPr>
        <w:t> </w:t>
      </w:r>
      <w:r>
        <w:rPr>
          <w:w w:val="110"/>
        </w:rPr>
        <w:t>unidos</w:t>
      </w:r>
    </w:p>
    <w:p>
      <w:pPr>
        <w:pStyle w:val="BodyText"/>
        <w:spacing w:before="4"/>
        <w:rPr>
          <w:sz w:val="22"/>
        </w:rPr>
      </w:pPr>
    </w:p>
    <w:p>
      <w:pPr>
        <w:spacing w:line="242" w:lineRule="auto" w:before="0"/>
        <w:ind w:left="270" w:right="329" w:hanging="171"/>
        <w:jc w:val="both"/>
        <w:rPr>
          <w:sz w:val="16"/>
        </w:rPr>
      </w:pPr>
      <w:r>
        <w:rPr>
          <w:w w:val="117"/>
          <w:sz w:val="16"/>
        </w:rPr>
        <w:t>*</w:t>
      </w:r>
      <w:r>
        <w:rPr>
          <w:sz w:val="16"/>
        </w:rPr>
        <w:t>  </w:t>
      </w:r>
      <w:r>
        <w:rPr>
          <w:spacing w:val="-16"/>
          <w:sz w:val="16"/>
        </w:rPr>
        <w:t> </w:t>
      </w:r>
      <w:r>
        <w:rPr>
          <w:w w:val="106"/>
          <w:sz w:val="16"/>
        </w:rPr>
        <w:t>Profesor</w:t>
      </w:r>
      <w:r>
        <w:rPr>
          <w:sz w:val="16"/>
        </w:rPr>
        <w:t> </w:t>
      </w:r>
      <w:r>
        <w:rPr>
          <w:spacing w:val="-15"/>
          <w:sz w:val="16"/>
        </w:rPr>
        <w:t> </w:t>
      </w:r>
      <w:r>
        <w:rPr>
          <w:w w:val="104"/>
          <w:sz w:val="16"/>
        </w:rPr>
        <w:t>de</w:t>
      </w:r>
      <w:r>
        <w:rPr>
          <w:sz w:val="16"/>
        </w:rPr>
        <w:t> </w:t>
      </w:r>
      <w:r>
        <w:rPr>
          <w:spacing w:val="-15"/>
          <w:sz w:val="16"/>
        </w:rPr>
        <w:t> </w:t>
      </w:r>
      <w:r>
        <w:rPr>
          <w:w w:val="109"/>
          <w:sz w:val="16"/>
        </w:rPr>
        <w:t>la</w:t>
      </w:r>
      <w:r>
        <w:rPr>
          <w:sz w:val="16"/>
        </w:rPr>
        <w:t> </w:t>
      </w:r>
      <w:r>
        <w:rPr>
          <w:spacing w:val="-15"/>
          <w:sz w:val="16"/>
        </w:rPr>
        <w:t> </w:t>
      </w:r>
      <w:r>
        <w:rPr>
          <w:w w:val="137"/>
          <w:sz w:val="16"/>
        </w:rPr>
        <w:t>u</w:t>
      </w:r>
      <w:r>
        <w:rPr>
          <w:w w:val="106"/>
          <w:sz w:val="16"/>
        </w:rPr>
        <w:t>niversidad</w:t>
      </w:r>
      <w:r>
        <w:rPr>
          <w:sz w:val="16"/>
        </w:rPr>
        <w:t> </w:t>
      </w:r>
      <w:r>
        <w:rPr>
          <w:spacing w:val="-15"/>
          <w:sz w:val="16"/>
        </w:rPr>
        <w:t> </w:t>
      </w:r>
      <w:r>
        <w:rPr>
          <w:w w:val="104"/>
          <w:sz w:val="16"/>
        </w:rPr>
        <w:t>de</w:t>
      </w:r>
      <w:r>
        <w:rPr>
          <w:sz w:val="16"/>
        </w:rPr>
        <w:t> </w:t>
      </w:r>
      <w:r>
        <w:rPr>
          <w:spacing w:val="-15"/>
          <w:sz w:val="16"/>
        </w:rPr>
        <w:t> </w:t>
      </w:r>
      <w:r>
        <w:rPr>
          <w:w w:val="110"/>
          <w:sz w:val="16"/>
        </w:rPr>
        <w:t>Panamá</w:t>
      </w:r>
      <w:r>
        <w:rPr>
          <w:sz w:val="16"/>
        </w:rPr>
        <w:t> </w:t>
      </w:r>
      <w:r>
        <w:rPr>
          <w:spacing w:val="-15"/>
          <w:sz w:val="16"/>
        </w:rPr>
        <w:t> </w:t>
      </w:r>
      <w:r>
        <w:rPr>
          <w:w w:val="102"/>
          <w:sz w:val="16"/>
        </w:rPr>
        <w:t>e</w:t>
      </w:r>
      <w:r>
        <w:rPr>
          <w:sz w:val="16"/>
        </w:rPr>
        <w:t> </w:t>
      </w:r>
      <w:r>
        <w:rPr>
          <w:spacing w:val="-15"/>
          <w:sz w:val="16"/>
        </w:rPr>
        <w:t> </w:t>
      </w:r>
      <w:r>
        <w:rPr>
          <w:w w:val="106"/>
          <w:sz w:val="16"/>
        </w:rPr>
        <w:t>investigador</w:t>
      </w:r>
      <w:r>
        <w:rPr>
          <w:sz w:val="16"/>
        </w:rPr>
        <w:t> </w:t>
      </w:r>
      <w:r>
        <w:rPr>
          <w:spacing w:val="-15"/>
          <w:sz w:val="16"/>
        </w:rPr>
        <w:t> </w:t>
      </w:r>
      <w:r>
        <w:rPr>
          <w:w w:val="105"/>
          <w:sz w:val="16"/>
        </w:rPr>
        <w:t>del</w:t>
      </w:r>
      <w:r>
        <w:rPr>
          <w:sz w:val="16"/>
        </w:rPr>
        <w:t> </w:t>
      </w:r>
      <w:r>
        <w:rPr>
          <w:spacing w:val="-15"/>
          <w:sz w:val="16"/>
        </w:rPr>
        <w:t> </w:t>
      </w:r>
      <w:r>
        <w:rPr>
          <w:w w:val="108"/>
          <w:sz w:val="16"/>
        </w:rPr>
        <w:t>Centro</w:t>
      </w:r>
      <w:r>
        <w:rPr>
          <w:sz w:val="16"/>
        </w:rPr>
        <w:t> </w:t>
      </w:r>
      <w:r>
        <w:rPr>
          <w:spacing w:val="-15"/>
          <w:sz w:val="16"/>
        </w:rPr>
        <w:t> </w:t>
      </w:r>
      <w:r>
        <w:rPr>
          <w:w w:val="104"/>
          <w:sz w:val="16"/>
        </w:rPr>
        <w:t>de</w:t>
      </w:r>
      <w:r>
        <w:rPr>
          <w:sz w:val="16"/>
        </w:rPr>
        <w:t> </w:t>
      </w:r>
      <w:r>
        <w:rPr>
          <w:spacing w:val="-15"/>
          <w:sz w:val="16"/>
        </w:rPr>
        <w:t> </w:t>
      </w:r>
      <w:r>
        <w:rPr>
          <w:w w:val="109"/>
          <w:sz w:val="16"/>
        </w:rPr>
        <w:t>Estudios</w:t>
      </w:r>
      <w:r>
        <w:rPr>
          <w:sz w:val="16"/>
        </w:rPr>
        <w:t> </w:t>
      </w:r>
      <w:r>
        <w:rPr>
          <w:spacing w:val="-15"/>
          <w:sz w:val="16"/>
        </w:rPr>
        <w:t> </w:t>
      </w:r>
      <w:r>
        <w:rPr>
          <w:w w:val="238"/>
          <w:sz w:val="16"/>
        </w:rPr>
        <w:t>l</w:t>
      </w:r>
      <w:r>
        <w:rPr>
          <w:w w:val="109"/>
          <w:sz w:val="16"/>
        </w:rPr>
        <w:t>a</w:t>
      </w:r>
      <w:r>
        <w:rPr>
          <w:w w:val="100"/>
          <w:sz w:val="16"/>
        </w:rPr>
        <w:t>- </w:t>
      </w:r>
      <w:r>
        <w:rPr>
          <w:w w:val="115"/>
          <w:sz w:val="16"/>
        </w:rPr>
        <w:t>tinoamericanos</w:t>
      </w:r>
      <w:r>
        <w:rPr>
          <w:spacing w:val="-10"/>
          <w:w w:val="115"/>
          <w:sz w:val="16"/>
        </w:rPr>
        <w:t> </w:t>
      </w:r>
      <w:r>
        <w:rPr>
          <w:w w:val="115"/>
          <w:sz w:val="16"/>
        </w:rPr>
        <w:t>(CEla)</w:t>
      </w:r>
      <w:r>
        <w:rPr>
          <w:spacing w:val="-10"/>
          <w:w w:val="115"/>
          <w:sz w:val="16"/>
        </w:rPr>
        <w:t> </w:t>
      </w:r>
      <w:r>
        <w:rPr>
          <w:w w:val="115"/>
          <w:sz w:val="16"/>
        </w:rPr>
        <w:t>“Justo</w:t>
      </w:r>
      <w:r>
        <w:rPr>
          <w:spacing w:val="-10"/>
          <w:w w:val="115"/>
          <w:sz w:val="16"/>
        </w:rPr>
        <w:t> </w:t>
      </w:r>
      <w:r>
        <w:rPr>
          <w:w w:val="115"/>
          <w:sz w:val="16"/>
        </w:rPr>
        <w:t>arosemena”,</w:t>
      </w:r>
      <w:r>
        <w:rPr>
          <w:spacing w:val="-10"/>
          <w:w w:val="115"/>
          <w:sz w:val="16"/>
        </w:rPr>
        <w:t> </w:t>
      </w:r>
      <w:r>
        <w:rPr>
          <w:w w:val="115"/>
          <w:sz w:val="16"/>
        </w:rPr>
        <w:t>coordinador</w:t>
      </w:r>
      <w:r>
        <w:rPr>
          <w:spacing w:val="-10"/>
          <w:w w:val="115"/>
          <w:sz w:val="16"/>
        </w:rPr>
        <w:t> </w:t>
      </w:r>
      <w:r>
        <w:rPr>
          <w:w w:val="115"/>
          <w:sz w:val="16"/>
        </w:rPr>
        <w:t>del</w:t>
      </w:r>
      <w:r>
        <w:rPr>
          <w:spacing w:val="-10"/>
          <w:w w:val="115"/>
          <w:sz w:val="16"/>
        </w:rPr>
        <w:t> </w:t>
      </w:r>
      <w:r>
        <w:rPr>
          <w:w w:val="115"/>
          <w:sz w:val="16"/>
        </w:rPr>
        <w:t>grupo</w:t>
      </w:r>
      <w:r>
        <w:rPr>
          <w:spacing w:val="-10"/>
          <w:w w:val="115"/>
          <w:sz w:val="16"/>
        </w:rPr>
        <w:t> </w:t>
      </w:r>
      <w:r>
        <w:rPr>
          <w:w w:val="115"/>
          <w:sz w:val="16"/>
        </w:rPr>
        <w:t>de</w:t>
      </w:r>
      <w:r>
        <w:rPr>
          <w:spacing w:val="-10"/>
          <w:w w:val="115"/>
          <w:sz w:val="16"/>
        </w:rPr>
        <w:t> </w:t>
      </w:r>
      <w:r>
        <w:rPr>
          <w:w w:val="115"/>
          <w:sz w:val="16"/>
        </w:rPr>
        <w:t>trabajo</w:t>
      </w:r>
      <w:r>
        <w:rPr>
          <w:spacing w:val="-10"/>
          <w:w w:val="115"/>
          <w:sz w:val="16"/>
        </w:rPr>
        <w:t> </w:t>
      </w:r>
      <w:r>
        <w:rPr>
          <w:w w:val="115"/>
          <w:sz w:val="16"/>
        </w:rPr>
        <w:t>de </w:t>
      </w:r>
      <w:r>
        <w:rPr>
          <w:w w:val="125"/>
          <w:sz w:val="16"/>
        </w:rPr>
        <w:t>ClaCso </w:t>
      </w:r>
      <w:r>
        <w:rPr>
          <w:w w:val="115"/>
          <w:sz w:val="16"/>
        </w:rPr>
        <w:t>“Estudios sobre Estados</w:t>
      </w:r>
      <w:r>
        <w:rPr>
          <w:spacing w:val="-2"/>
          <w:w w:val="115"/>
          <w:sz w:val="16"/>
        </w:rPr>
        <w:t> </w:t>
      </w:r>
      <w:r>
        <w:rPr>
          <w:w w:val="115"/>
          <w:sz w:val="16"/>
        </w:rPr>
        <w:t>unidos”.</w:t>
      </w:r>
    </w:p>
    <w:p>
      <w:pPr>
        <w:pStyle w:val="BodyText"/>
        <w:rPr>
          <w:sz w:val="20"/>
        </w:rPr>
      </w:pPr>
    </w:p>
    <w:p>
      <w:pPr>
        <w:pStyle w:val="BodyText"/>
        <w:spacing w:before="9"/>
        <w:rPr>
          <w:sz w:val="16"/>
        </w:rPr>
      </w:pPr>
    </w:p>
    <w:p>
      <w:pPr>
        <w:pStyle w:val="Heading7"/>
        <w:spacing w:line="240" w:lineRule="auto"/>
        <w:ind w:left="789" w:right="1017"/>
        <w:jc w:val="center"/>
      </w:pPr>
      <w:r>
        <w:rPr/>
        <w:t>69</w:t>
      </w:r>
    </w:p>
    <w:p>
      <w:pPr>
        <w:spacing w:after="0" w:line="240" w:lineRule="auto"/>
        <w:jc w:val="center"/>
        <w:sectPr>
          <w:headerReference w:type="even" r:id="rId109"/>
          <w:footerReference w:type="even" r:id="rId110"/>
          <w:pgSz w:w="8790" w:h="12760"/>
          <w:pgMar w:header="0" w:footer="0" w:top="1180" w:bottom="280" w:left="920" w:right="1200"/>
        </w:sectPr>
      </w:pPr>
    </w:p>
    <w:p>
      <w:pPr>
        <w:pStyle w:val="BodyText"/>
        <w:spacing w:before="7"/>
        <w:rPr>
          <w:sz w:val="28"/>
        </w:rPr>
      </w:pPr>
    </w:p>
    <w:p>
      <w:pPr>
        <w:pStyle w:val="BodyText"/>
        <w:spacing w:before="73"/>
        <w:ind w:left="330"/>
        <w:jc w:val="both"/>
      </w:pPr>
      <w:r>
        <w:rPr>
          <w:w w:val="110"/>
        </w:rPr>
        <w:t>empleaba 19.4 millones de operarios y ahora (2013) se ha reducido  a</w:t>
      </w:r>
    </w:p>
    <w:p>
      <w:pPr>
        <w:pStyle w:val="BodyText"/>
        <w:spacing w:line="252" w:lineRule="auto" w:before="11"/>
        <w:ind w:left="330" w:right="119"/>
        <w:jc w:val="both"/>
      </w:pPr>
      <w:r>
        <w:rPr>
          <w:w w:val="110"/>
        </w:rPr>
        <w:t>11.5 millones. detrás de esta expansión, sin creación de empleo, hay un fenomenal aumento de la productividad” (Merino,  2014).</w:t>
      </w:r>
    </w:p>
    <w:p>
      <w:pPr>
        <w:pStyle w:val="BodyText"/>
        <w:spacing w:line="252" w:lineRule="auto"/>
        <w:ind w:left="330" w:right="117" w:firstLine="459"/>
        <w:jc w:val="right"/>
      </w:pPr>
      <w:r>
        <w:rPr>
          <w:w w:val="115"/>
        </w:rPr>
        <w:t>El</w:t>
      </w:r>
      <w:r>
        <w:rPr>
          <w:spacing w:val="-19"/>
          <w:w w:val="115"/>
        </w:rPr>
        <w:t> </w:t>
      </w:r>
      <w:r>
        <w:rPr>
          <w:w w:val="115"/>
        </w:rPr>
        <w:t>eje</w:t>
      </w:r>
      <w:r>
        <w:rPr>
          <w:spacing w:val="-19"/>
          <w:w w:val="115"/>
        </w:rPr>
        <w:t> </w:t>
      </w:r>
      <w:r>
        <w:rPr>
          <w:w w:val="115"/>
        </w:rPr>
        <w:t>hegemónico</w:t>
      </w:r>
      <w:r>
        <w:rPr>
          <w:spacing w:val="-19"/>
          <w:w w:val="115"/>
        </w:rPr>
        <w:t> </w:t>
      </w:r>
      <w:r>
        <w:rPr>
          <w:w w:val="115"/>
        </w:rPr>
        <w:t>nor-atlántico</w:t>
      </w:r>
      <w:r>
        <w:rPr>
          <w:spacing w:val="-19"/>
          <w:w w:val="115"/>
        </w:rPr>
        <w:t> </w:t>
      </w:r>
      <w:r>
        <w:rPr>
          <w:w w:val="115"/>
        </w:rPr>
        <w:t>todavía</w:t>
      </w:r>
      <w:r>
        <w:rPr>
          <w:spacing w:val="-19"/>
          <w:w w:val="115"/>
        </w:rPr>
        <w:t> </w:t>
      </w:r>
      <w:r>
        <w:rPr>
          <w:w w:val="115"/>
        </w:rPr>
        <w:t>controla</w:t>
      </w:r>
      <w:r>
        <w:rPr>
          <w:spacing w:val="-19"/>
          <w:w w:val="115"/>
        </w:rPr>
        <w:t> </w:t>
      </w:r>
      <w:r>
        <w:rPr>
          <w:w w:val="115"/>
        </w:rPr>
        <w:t>los</w:t>
      </w:r>
      <w:r>
        <w:rPr>
          <w:spacing w:val="-19"/>
          <w:w w:val="115"/>
        </w:rPr>
        <w:t> </w:t>
      </w:r>
      <w:r>
        <w:rPr>
          <w:w w:val="115"/>
        </w:rPr>
        <w:t>movimien-</w:t>
      </w:r>
      <w:r>
        <w:rPr>
          <w:w w:val="102"/>
        </w:rPr>
        <w:t> </w:t>
      </w:r>
      <w:r>
        <w:rPr>
          <w:w w:val="110"/>
        </w:rPr>
        <w:t>tos</w:t>
      </w:r>
      <w:r>
        <w:rPr>
          <w:spacing w:val="-8"/>
          <w:w w:val="110"/>
        </w:rPr>
        <w:t> </w:t>
      </w:r>
      <w:r>
        <w:rPr>
          <w:w w:val="110"/>
        </w:rPr>
        <w:t>financieros</w:t>
      </w:r>
      <w:r>
        <w:rPr>
          <w:spacing w:val="-8"/>
          <w:w w:val="110"/>
        </w:rPr>
        <w:t> </w:t>
      </w:r>
      <w:r>
        <w:rPr>
          <w:w w:val="110"/>
        </w:rPr>
        <w:t>globales,</w:t>
      </w:r>
      <w:r>
        <w:rPr>
          <w:spacing w:val="-8"/>
          <w:w w:val="110"/>
        </w:rPr>
        <w:t> </w:t>
      </w:r>
      <w:r>
        <w:rPr>
          <w:w w:val="110"/>
        </w:rPr>
        <w:t>así</w:t>
      </w:r>
      <w:r>
        <w:rPr>
          <w:spacing w:val="-8"/>
          <w:w w:val="110"/>
        </w:rPr>
        <w:t> </w:t>
      </w:r>
      <w:r>
        <w:rPr>
          <w:w w:val="110"/>
        </w:rPr>
        <w:t>como</w:t>
      </w:r>
      <w:r>
        <w:rPr>
          <w:spacing w:val="-8"/>
          <w:w w:val="110"/>
        </w:rPr>
        <w:t> </w:t>
      </w:r>
      <w:r>
        <w:rPr>
          <w:w w:val="110"/>
        </w:rPr>
        <w:t>los</w:t>
      </w:r>
      <w:r>
        <w:rPr>
          <w:spacing w:val="-8"/>
          <w:w w:val="110"/>
        </w:rPr>
        <w:t> </w:t>
      </w:r>
      <w:r>
        <w:rPr>
          <w:w w:val="110"/>
        </w:rPr>
        <w:t>resortes</w:t>
      </w:r>
      <w:r>
        <w:rPr>
          <w:spacing w:val="-8"/>
          <w:w w:val="110"/>
        </w:rPr>
        <w:t> </w:t>
      </w:r>
      <w:r>
        <w:rPr>
          <w:w w:val="110"/>
        </w:rPr>
        <w:t>culturales</w:t>
      </w:r>
      <w:r>
        <w:rPr>
          <w:spacing w:val="-8"/>
          <w:w w:val="110"/>
        </w:rPr>
        <w:t> </w:t>
      </w:r>
      <w:r>
        <w:rPr>
          <w:w w:val="110"/>
        </w:rPr>
        <w:t>con</w:t>
      </w:r>
      <w:r>
        <w:rPr>
          <w:spacing w:val="-8"/>
          <w:w w:val="110"/>
        </w:rPr>
        <w:t> </w:t>
      </w:r>
      <w:r>
        <w:rPr>
          <w:w w:val="110"/>
        </w:rPr>
        <w:t>su</w:t>
      </w:r>
      <w:r>
        <w:rPr>
          <w:spacing w:val="-8"/>
          <w:w w:val="110"/>
        </w:rPr>
        <w:t> </w:t>
      </w:r>
      <w:r>
        <w:rPr>
          <w:w w:val="110"/>
        </w:rPr>
        <w:t>perma-</w:t>
      </w:r>
      <w:r>
        <w:rPr>
          <w:w w:val="102"/>
        </w:rPr>
        <w:t> </w:t>
      </w:r>
      <w:r>
        <w:rPr>
          <w:w w:val="115"/>
        </w:rPr>
        <w:t>nente</w:t>
      </w:r>
      <w:r>
        <w:rPr>
          <w:spacing w:val="-25"/>
          <w:w w:val="115"/>
        </w:rPr>
        <w:t> </w:t>
      </w:r>
      <w:r>
        <w:rPr>
          <w:w w:val="115"/>
        </w:rPr>
        <w:t>guerra</w:t>
      </w:r>
      <w:r>
        <w:rPr>
          <w:spacing w:val="-25"/>
          <w:w w:val="115"/>
        </w:rPr>
        <w:t> </w:t>
      </w:r>
      <w:r>
        <w:rPr>
          <w:w w:val="115"/>
        </w:rPr>
        <w:t>ideológica</w:t>
      </w:r>
      <w:r>
        <w:rPr>
          <w:spacing w:val="-25"/>
          <w:w w:val="115"/>
        </w:rPr>
        <w:t> </w:t>
      </w:r>
      <w:r>
        <w:rPr>
          <w:w w:val="115"/>
        </w:rPr>
        <w:t>que</w:t>
      </w:r>
      <w:r>
        <w:rPr>
          <w:spacing w:val="-25"/>
          <w:w w:val="115"/>
        </w:rPr>
        <w:t> </w:t>
      </w:r>
      <w:r>
        <w:rPr>
          <w:w w:val="115"/>
        </w:rPr>
        <w:t>apunta</w:t>
      </w:r>
      <w:r>
        <w:rPr>
          <w:spacing w:val="-25"/>
          <w:w w:val="115"/>
        </w:rPr>
        <w:t> </w:t>
      </w:r>
      <w:r>
        <w:rPr>
          <w:w w:val="115"/>
        </w:rPr>
        <w:t>a</w:t>
      </w:r>
      <w:r>
        <w:rPr>
          <w:spacing w:val="-25"/>
          <w:w w:val="115"/>
        </w:rPr>
        <w:t> </w:t>
      </w:r>
      <w:r>
        <w:rPr>
          <w:w w:val="115"/>
        </w:rPr>
        <w:t>todas</w:t>
      </w:r>
      <w:r>
        <w:rPr>
          <w:spacing w:val="-25"/>
          <w:w w:val="115"/>
        </w:rPr>
        <w:t> </w:t>
      </w:r>
      <w:r>
        <w:rPr>
          <w:w w:val="115"/>
        </w:rPr>
        <w:t>las</w:t>
      </w:r>
      <w:r>
        <w:rPr>
          <w:spacing w:val="-25"/>
          <w:w w:val="115"/>
        </w:rPr>
        <w:t> </w:t>
      </w:r>
      <w:r>
        <w:rPr>
          <w:w w:val="115"/>
        </w:rPr>
        <w:t>direcciones</w:t>
      </w:r>
      <w:r>
        <w:rPr>
          <w:spacing w:val="-25"/>
          <w:w w:val="115"/>
        </w:rPr>
        <w:t> </w:t>
      </w:r>
      <w:r>
        <w:rPr>
          <w:w w:val="115"/>
        </w:rPr>
        <w:t>cardinales</w:t>
      </w:r>
      <w:r>
        <w:rPr>
          <w:w w:val="110"/>
        </w:rPr>
        <w:t> </w:t>
      </w:r>
      <w:r>
        <w:rPr>
          <w:w w:val="115"/>
        </w:rPr>
        <w:t>del</w:t>
      </w:r>
      <w:r>
        <w:rPr>
          <w:spacing w:val="17"/>
          <w:w w:val="115"/>
        </w:rPr>
        <w:t> </w:t>
      </w:r>
      <w:r>
        <w:rPr>
          <w:w w:val="115"/>
        </w:rPr>
        <w:t>planeta.</w:t>
      </w:r>
      <w:r>
        <w:rPr>
          <w:spacing w:val="17"/>
          <w:w w:val="115"/>
        </w:rPr>
        <w:t> </w:t>
      </w:r>
      <w:r>
        <w:rPr>
          <w:w w:val="115"/>
        </w:rPr>
        <w:t>sigue</w:t>
      </w:r>
      <w:r>
        <w:rPr>
          <w:spacing w:val="17"/>
          <w:w w:val="115"/>
        </w:rPr>
        <w:t> </w:t>
      </w:r>
      <w:r>
        <w:rPr>
          <w:w w:val="115"/>
        </w:rPr>
        <w:t>teniendo</w:t>
      </w:r>
      <w:r>
        <w:rPr>
          <w:spacing w:val="17"/>
          <w:w w:val="115"/>
        </w:rPr>
        <w:t> </w:t>
      </w:r>
      <w:r>
        <w:rPr>
          <w:w w:val="115"/>
        </w:rPr>
        <w:t>una</w:t>
      </w:r>
      <w:r>
        <w:rPr>
          <w:spacing w:val="17"/>
          <w:w w:val="115"/>
        </w:rPr>
        <w:t> </w:t>
      </w:r>
      <w:r>
        <w:rPr>
          <w:w w:val="115"/>
        </w:rPr>
        <w:t>ventaja</w:t>
      </w:r>
      <w:r>
        <w:rPr>
          <w:spacing w:val="17"/>
          <w:w w:val="115"/>
        </w:rPr>
        <w:t> </w:t>
      </w:r>
      <w:r>
        <w:rPr>
          <w:w w:val="115"/>
        </w:rPr>
        <w:t>enorme</w:t>
      </w:r>
      <w:r>
        <w:rPr>
          <w:spacing w:val="17"/>
          <w:w w:val="115"/>
        </w:rPr>
        <w:t> </w:t>
      </w:r>
      <w:r>
        <w:rPr>
          <w:w w:val="115"/>
        </w:rPr>
        <w:t>en</w:t>
      </w:r>
      <w:r>
        <w:rPr>
          <w:spacing w:val="17"/>
          <w:w w:val="115"/>
        </w:rPr>
        <w:t> </w:t>
      </w:r>
      <w:r>
        <w:rPr>
          <w:w w:val="115"/>
        </w:rPr>
        <w:t>el</w:t>
      </w:r>
      <w:r>
        <w:rPr>
          <w:spacing w:val="17"/>
          <w:w w:val="115"/>
        </w:rPr>
        <w:t> </w:t>
      </w:r>
      <w:r>
        <w:rPr>
          <w:w w:val="115"/>
        </w:rPr>
        <w:t>campo</w:t>
      </w:r>
      <w:r>
        <w:rPr>
          <w:spacing w:val="17"/>
          <w:w w:val="115"/>
        </w:rPr>
        <w:t> </w:t>
      </w:r>
      <w:r>
        <w:rPr>
          <w:w w:val="115"/>
        </w:rPr>
        <w:t>de</w:t>
      </w:r>
      <w:r>
        <w:rPr>
          <w:spacing w:val="17"/>
          <w:w w:val="115"/>
        </w:rPr>
        <w:t> </w:t>
      </w:r>
      <w:r>
        <w:rPr>
          <w:w w:val="115"/>
        </w:rPr>
        <w:t>la</w:t>
      </w:r>
      <w:r>
        <w:rPr>
          <w:w w:val="111"/>
        </w:rPr>
        <w:t> </w:t>
      </w:r>
      <w:r>
        <w:rPr>
          <w:w w:val="115"/>
        </w:rPr>
        <w:t>tecnología</w:t>
      </w:r>
      <w:r>
        <w:rPr>
          <w:spacing w:val="-26"/>
          <w:w w:val="115"/>
        </w:rPr>
        <w:t> </w:t>
      </w:r>
      <w:r>
        <w:rPr>
          <w:w w:val="115"/>
        </w:rPr>
        <w:t>militar</w:t>
      </w:r>
      <w:r>
        <w:rPr>
          <w:spacing w:val="-26"/>
          <w:w w:val="115"/>
        </w:rPr>
        <w:t> </w:t>
      </w:r>
      <w:r>
        <w:rPr>
          <w:w w:val="115"/>
        </w:rPr>
        <w:t>produciendo</w:t>
      </w:r>
      <w:r>
        <w:rPr>
          <w:spacing w:val="-26"/>
          <w:w w:val="115"/>
        </w:rPr>
        <w:t> </w:t>
      </w:r>
      <w:r>
        <w:rPr>
          <w:w w:val="115"/>
        </w:rPr>
        <w:t>armamento</w:t>
      </w:r>
      <w:r>
        <w:rPr>
          <w:spacing w:val="-26"/>
          <w:w w:val="115"/>
        </w:rPr>
        <w:t> </w:t>
      </w:r>
      <w:r>
        <w:rPr>
          <w:w w:val="115"/>
        </w:rPr>
        <w:t>letal</w:t>
      </w:r>
      <w:r>
        <w:rPr>
          <w:spacing w:val="-26"/>
          <w:w w:val="115"/>
        </w:rPr>
        <w:t> </w:t>
      </w:r>
      <w:r>
        <w:rPr>
          <w:w w:val="115"/>
        </w:rPr>
        <w:t>de</w:t>
      </w:r>
      <w:r>
        <w:rPr>
          <w:spacing w:val="-26"/>
          <w:w w:val="115"/>
        </w:rPr>
        <w:t> </w:t>
      </w:r>
      <w:r>
        <w:rPr>
          <w:w w:val="115"/>
        </w:rPr>
        <w:t>punta</w:t>
      </w:r>
      <w:r>
        <w:rPr>
          <w:spacing w:val="-26"/>
          <w:w w:val="115"/>
        </w:rPr>
        <w:t> </w:t>
      </w:r>
      <w:r>
        <w:rPr>
          <w:w w:val="115"/>
        </w:rPr>
        <w:t>que</w:t>
      </w:r>
      <w:r>
        <w:rPr>
          <w:spacing w:val="-26"/>
          <w:w w:val="115"/>
        </w:rPr>
        <w:t> </w:t>
      </w:r>
      <w:r>
        <w:rPr>
          <w:w w:val="115"/>
        </w:rPr>
        <w:t>ningún</w:t>
      </w:r>
      <w:r>
        <w:rPr>
          <w:w w:val="112"/>
        </w:rPr>
        <w:t> </w:t>
      </w:r>
      <w:r>
        <w:rPr>
          <w:w w:val="115"/>
        </w:rPr>
        <w:t>otro</w:t>
      </w:r>
      <w:r>
        <w:rPr>
          <w:spacing w:val="-21"/>
          <w:w w:val="115"/>
        </w:rPr>
        <w:t> </w:t>
      </w:r>
      <w:r>
        <w:rPr>
          <w:w w:val="115"/>
        </w:rPr>
        <w:t>país</w:t>
      </w:r>
      <w:r>
        <w:rPr>
          <w:spacing w:val="-21"/>
          <w:w w:val="115"/>
        </w:rPr>
        <w:t> </w:t>
      </w:r>
      <w:r>
        <w:rPr>
          <w:w w:val="115"/>
        </w:rPr>
        <w:t>puede</w:t>
      </w:r>
      <w:r>
        <w:rPr>
          <w:spacing w:val="-21"/>
          <w:w w:val="115"/>
        </w:rPr>
        <w:t> </w:t>
      </w:r>
      <w:r>
        <w:rPr>
          <w:spacing w:val="-3"/>
          <w:w w:val="115"/>
        </w:rPr>
        <w:t>alcanzar.</w:t>
      </w:r>
      <w:r>
        <w:rPr>
          <w:spacing w:val="-21"/>
          <w:w w:val="115"/>
        </w:rPr>
        <w:t> </w:t>
      </w:r>
      <w:r>
        <w:rPr>
          <w:w w:val="115"/>
        </w:rPr>
        <w:t>Estados</w:t>
      </w:r>
      <w:r>
        <w:rPr>
          <w:spacing w:val="-21"/>
          <w:w w:val="115"/>
        </w:rPr>
        <w:t> </w:t>
      </w:r>
      <w:r>
        <w:rPr>
          <w:w w:val="115"/>
        </w:rPr>
        <w:t>unidos</w:t>
      </w:r>
      <w:r>
        <w:rPr>
          <w:spacing w:val="-21"/>
          <w:w w:val="115"/>
        </w:rPr>
        <w:t> </w:t>
      </w:r>
      <w:r>
        <w:rPr>
          <w:w w:val="115"/>
        </w:rPr>
        <w:t>elabora</w:t>
      </w:r>
      <w:r>
        <w:rPr>
          <w:spacing w:val="-21"/>
          <w:w w:val="115"/>
        </w:rPr>
        <w:t> </w:t>
      </w:r>
      <w:r>
        <w:rPr>
          <w:w w:val="115"/>
        </w:rPr>
        <w:t>casi</w:t>
      </w:r>
      <w:r>
        <w:rPr>
          <w:spacing w:val="-21"/>
          <w:w w:val="115"/>
        </w:rPr>
        <w:t> </w:t>
      </w:r>
      <w:r>
        <w:rPr>
          <w:w w:val="115"/>
        </w:rPr>
        <w:t>un</w:t>
      </w:r>
      <w:r>
        <w:rPr>
          <w:spacing w:val="-21"/>
          <w:w w:val="115"/>
        </w:rPr>
        <w:t> </w:t>
      </w:r>
      <w:r>
        <w:rPr>
          <w:w w:val="115"/>
        </w:rPr>
        <w:t>60%</w:t>
      </w:r>
      <w:r>
        <w:rPr>
          <w:spacing w:val="-21"/>
          <w:w w:val="115"/>
        </w:rPr>
        <w:t> </w:t>
      </w:r>
      <w:r>
        <w:rPr>
          <w:w w:val="115"/>
        </w:rPr>
        <w:t>de</w:t>
      </w:r>
      <w:r>
        <w:rPr>
          <w:spacing w:val="-21"/>
          <w:w w:val="115"/>
        </w:rPr>
        <w:t> </w:t>
      </w:r>
      <w:r>
        <w:rPr>
          <w:w w:val="115"/>
        </w:rPr>
        <w:t>todo</w:t>
      </w:r>
      <w:r>
        <w:rPr>
          <w:w w:val="109"/>
        </w:rPr>
        <w:t> </w:t>
      </w:r>
      <w:r>
        <w:rPr>
          <w:w w:val="107"/>
        </w:rPr>
        <w:t>el</w:t>
      </w:r>
      <w:r>
        <w:rPr>
          <w:spacing w:val="15"/>
        </w:rPr>
        <w:t> </w:t>
      </w:r>
      <w:r>
        <w:rPr>
          <w:w w:val="110"/>
        </w:rPr>
        <w:t>armamento</w:t>
      </w:r>
      <w:r>
        <w:rPr>
          <w:spacing w:val="15"/>
        </w:rPr>
        <w:t> </w:t>
      </w:r>
      <w:r>
        <w:rPr>
          <w:w w:val="107"/>
        </w:rPr>
        <w:t>del</w:t>
      </w:r>
      <w:r>
        <w:rPr>
          <w:spacing w:val="15"/>
        </w:rPr>
        <w:t> </w:t>
      </w:r>
      <w:r>
        <w:rPr>
          <w:w w:val="113"/>
        </w:rPr>
        <w:t>mundo,</w:t>
      </w:r>
      <w:r>
        <w:rPr>
          <w:spacing w:val="15"/>
        </w:rPr>
        <w:t> </w:t>
      </w:r>
      <w:r>
        <w:rPr>
          <w:w w:val="108"/>
        </w:rPr>
        <w:t>sus</w:t>
      </w:r>
      <w:r>
        <w:rPr>
          <w:spacing w:val="15"/>
        </w:rPr>
        <w:t> </w:t>
      </w:r>
      <w:r>
        <w:rPr>
          <w:w w:val="107"/>
        </w:rPr>
        <w:t>ventas</w:t>
      </w:r>
      <w:r>
        <w:rPr>
          <w:spacing w:val="15"/>
        </w:rPr>
        <w:t> </w:t>
      </w:r>
      <w:r>
        <w:rPr>
          <w:w w:val="107"/>
        </w:rPr>
        <w:t>representan</w:t>
      </w:r>
      <w:r>
        <w:rPr>
          <w:spacing w:val="15"/>
        </w:rPr>
        <w:t> </w:t>
      </w:r>
      <w:r>
        <w:rPr>
          <w:w w:val="107"/>
        </w:rPr>
        <w:t>el</w:t>
      </w:r>
      <w:r>
        <w:rPr>
          <w:spacing w:val="15"/>
        </w:rPr>
        <w:t> </w:t>
      </w:r>
      <w:r>
        <w:rPr>
          <w:w w:val="102"/>
        </w:rPr>
        <w:t>50%</w:t>
      </w:r>
      <w:r>
        <w:rPr>
          <w:spacing w:val="15"/>
        </w:rPr>
        <w:t> </w:t>
      </w:r>
      <w:r>
        <w:rPr>
          <w:w w:val="107"/>
        </w:rPr>
        <w:t>del</w:t>
      </w:r>
      <w:r>
        <w:rPr>
          <w:spacing w:val="15"/>
        </w:rPr>
        <w:t> </w:t>
      </w:r>
      <w:r>
        <w:rPr>
          <w:w w:val="112"/>
        </w:rPr>
        <w:t>total.</w:t>
      </w:r>
      <w:r>
        <w:rPr>
          <w:spacing w:val="15"/>
        </w:rPr>
        <w:t> </w:t>
      </w:r>
      <w:r>
        <w:rPr>
          <w:w w:val="243"/>
        </w:rPr>
        <w:t>l</w:t>
      </w:r>
      <w:r>
        <w:rPr>
          <w:w w:val="112"/>
        </w:rPr>
        <w:t>a </w:t>
      </w:r>
      <w:r>
        <w:rPr>
          <w:w w:val="115"/>
        </w:rPr>
        <w:t>hegemonía norteamericana, sin embargo, es cada vez más</w:t>
      </w:r>
      <w:r>
        <w:rPr>
          <w:spacing w:val="34"/>
          <w:w w:val="115"/>
        </w:rPr>
        <w:t> </w:t>
      </w:r>
      <w:r>
        <w:rPr>
          <w:w w:val="115"/>
        </w:rPr>
        <w:t>frágil.</w:t>
      </w:r>
      <w:r>
        <w:rPr>
          <w:spacing w:val="4"/>
          <w:w w:val="115"/>
        </w:rPr>
        <w:t> </w:t>
      </w:r>
      <w:r>
        <w:rPr>
          <w:w w:val="115"/>
        </w:rPr>
        <w:t>El</w:t>
      </w:r>
      <w:r>
        <w:rPr>
          <w:w w:val="122"/>
        </w:rPr>
        <w:t> </w:t>
      </w:r>
      <w:r>
        <w:rPr>
          <w:w w:val="115"/>
        </w:rPr>
        <w:t>poder</w:t>
      </w:r>
      <w:r>
        <w:rPr>
          <w:spacing w:val="-6"/>
          <w:w w:val="115"/>
        </w:rPr>
        <w:t> </w:t>
      </w:r>
      <w:r>
        <w:rPr>
          <w:w w:val="115"/>
        </w:rPr>
        <w:t>económico</w:t>
      </w:r>
      <w:r>
        <w:rPr>
          <w:spacing w:val="-6"/>
          <w:w w:val="115"/>
        </w:rPr>
        <w:t> </w:t>
      </w:r>
      <w:r>
        <w:rPr>
          <w:w w:val="115"/>
        </w:rPr>
        <w:t>chino</w:t>
      </w:r>
      <w:r>
        <w:rPr>
          <w:spacing w:val="-6"/>
          <w:w w:val="115"/>
        </w:rPr>
        <w:t> </w:t>
      </w:r>
      <w:r>
        <w:rPr>
          <w:w w:val="115"/>
        </w:rPr>
        <w:t>le</w:t>
      </w:r>
      <w:r>
        <w:rPr>
          <w:spacing w:val="-6"/>
          <w:w w:val="115"/>
        </w:rPr>
        <w:t> </w:t>
      </w:r>
      <w:r>
        <w:rPr>
          <w:w w:val="115"/>
        </w:rPr>
        <w:t>está</w:t>
      </w:r>
      <w:r>
        <w:rPr>
          <w:spacing w:val="-6"/>
          <w:w w:val="115"/>
        </w:rPr>
        <w:t> </w:t>
      </w:r>
      <w:r>
        <w:rPr>
          <w:w w:val="115"/>
        </w:rPr>
        <w:t>permitiendo</w:t>
      </w:r>
      <w:r>
        <w:rPr>
          <w:spacing w:val="-6"/>
          <w:w w:val="115"/>
        </w:rPr>
        <w:t> </w:t>
      </w:r>
      <w:r>
        <w:rPr>
          <w:w w:val="115"/>
        </w:rPr>
        <w:t>crear</w:t>
      </w:r>
      <w:r>
        <w:rPr>
          <w:spacing w:val="-6"/>
          <w:w w:val="115"/>
        </w:rPr>
        <w:t> </w:t>
      </w:r>
      <w:r>
        <w:rPr>
          <w:w w:val="115"/>
        </w:rPr>
        <w:t>nuevas</w:t>
      </w:r>
      <w:r>
        <w:rPr>
          <w:spacing w:val="-6"/>
          <w:w w:val="115"/>
        </w:rPr>
        <w:t> </w:t>
      </w:r>
      <w:r>
        <w:rPr>
          <w:w w:val="115"/>
        </w:rPr>
        <w:t>institucio-</w:t>
      </w:r>
      <w:r>
        <w:rPr>
          <w:w w:val="102"/>
        </w:rPr>
        <w:t> </w:t>
      </w:r>
      <w:r>
        <w:rPr>
          <w:w w:val="115"/>
        </w:rPr>
        <w:t>nes económicas diseñadas para competir con las</w:t>
      </w:r>
      <w:r>
        <w:rPr>
          <w:spacing w:val="21"/>
          <w:w w:val="115"/>
        </w:rPr>
        <w:t> </w:t>
      </w:r>
      <w:r>
        <w:rPr>
          <w:w w:val="115"/>
        </w:rPr>
        <w:t>organizaciones</w:t>
      </w:r>
      <w:r>
        <w:rPr>
          <w:spacing w:val="3"/>
          <w:w w:val="115"/>
        </w:rPr>
        <w:t> </w:t>
      </w:r>
      <w:r>
        <w:rPr>
          <w:w w:val="115"/>
        </w:rPr>
        <w:t>fi-</w:t>
      </w:r>
      <w:r>
        <w:rPr>
          <w:w w:val="102"/>
        </w:rPr>
        <w:t> </w:t>
      </w:r>
      <w:r>
        <w:rPr>
          <w:w w:val="115"/>
        </w:rPr>
        <w:t>nancieras</w:t>
      </w:r>
      <w:r>
        <w:rPr>
          <w:spacing w:val="-12"/>
          <w:w w:val="115"/>
        </w:rPr>
        <w:t> </w:t>
      </w:r>
      <w:r>
        <w:rPr>
          <w:w w:val="115"/>
        </w:rPr>
        <w:t>creadas</w:t>
      </w:r>
      <w:r>
        <w:rPr>
          <w:spacing w:val="-12"/>
          <w:w w:val="115"/>
        </w:rPr>
        <w:t> </w:t>
      </w:r>
      <w:r>
        <w:rPr>
          <w:w w:val="115"/>
        </w:rPr>
        <w:t>por</w:t>
      </w:r>
      <w:r>
        <w:rPr>
          <w:spacing w:val="-12"/>
          <w:w w:val="115"/>
        </w:rPr>
        <w:t> </w:t>
      </w:r>
      <w:r>
        <w:rPr>
          <w:w w:val="115"/>
        </w:rPr>
        <w:t>Estados</w:t>
      </w:r>
      <w:r>
        <w:rPr>
          <w:spacing w:val="-12"/>
          <w:w w:val="115"/>
        </w:rPr>
        <w:t> </w:t>
      </w:r>
      <w:r>
        <w:rPr>
          <w:w w:val="115"/>
        </w:rPr>
        <w:t>unidos</w:t>
      </w:r>
      <w:r>
        <w:rPr>
          <w:spacing w:val="-12"/>
          <w:w w:val="115"/>
        </w:rPr>
        <w:t> </w:t>
      </w:r>
      <w:r>
        <w:rPr>
          <w:w w:val="115"/>
        </w:rPr>
        <w:t>después</w:t>
      </w:r>
      <w:r>
        <w:rPr>
          <w:spacing w:val="-12"/>
          <w:w w:val="115"/>
        </w:rPr>
        <w:t> </w:t>
      </w:r>
      <w:r>
        <w:rPr>
          <w:w w:val="115"/>
        </w:rPr>
        <w:t>de</w:t>
      </w:r>
      <w:r>
        <w:rPr>
          <w:spacing w:val="-12"/>
          <w:w w:val="115"/>
        </w:rPr>
        <w:t> </w:t>
      </w:r>
      <w:r>
        <w:rPr>
          <w:w w:val="115"/>
        </w:rPr>
        <w:t>la</w:t>
      </w:r>
      <w:r>
        <w:rPr>
          <w:spacing w:val="-12"/>
          <w:w w:val="115"/>
        </w:rPr>
        <w:t> </w:t>
      </w:r>
      <w:r>
        <w:rPr>
          <w:w w:val="115"/>
        </w:rPr>
        <w:t>segunda</w:t>
      </w:r>
      <w:r>
        <w:rPr>
          <w:spacing w:val="-12"/>
          <w:w w:val="115"/>
        </w:rPr>
        <w:t> </w:t>
      </w:r>
      <w:r>
        <w:rPr>
          <w:w w:val="115"/>
        </w:rPr>
        <w:t>Guerra</w:t>
      </w:r>
      <w:r>
        <w:rPr>
          <w:w w:val="112"/>
        </w:rPr>
        <w:t> </w:t>
      </w:r>
      <w:r>
        <w:rPr>
          <w:w w:val="115"/>
        </w:rPr>
        <w:t>Mundial. sus alianzas con países vecinos y acuerdos</w:t>
      </w:r>
      <w:r>
        <w:rPr>
          <w:spacing w:val="10"/>
          <w:w w:val="115"/>
        </w:rPr>
        <w:t> </w:t>
      </w:r>
      <w:r>
        <w:rPr>
          <w:w w:val="115"/>
        </w:rPr>
        <w:t>con</w:t>
      </w:r>
      <w:r>
        <w:rPr>
          <w:spacing w:val="7"/>
          <w:w w:val="115"/>
        </w:rPr>
        <w:t> </w:t>
      </w:r>
      <w:r>
        <w:rPr>
          <w:w w:val="115"/>
        </w:rPr>
        <w:t>gobiernos</w:t>
      </w:r>
      <w:r>
        <w:rPr>
          <w:w w:val="109"/>
        </w:rPr>
        <w:t> </w:t>
      </w:r>
      <w:r>
        <w:rPr>
          <w:w w:val="115"/>
        </w:rPr>
        <w:t>en</w:t>
      </w:r>
      <w:r>
        <w:rPr>
          <w:spacing w:val="-23"/>
          <w:w w:val="115"/>
        </w:rPr>
        <w:t> </w:t>
      </w:r>
      <w:r>
        <w:rPr>
          <w:w w:val="115"/>
        </w:rPr>
        <w:t>otros</w:t>
      </w:r>
      <w:r>
        <w:rPr>
          <w:spacing w:val="-23"/>
          <w:w w:val="115"/>
        </w:rPr>
        <w:t> </w:t>
      </w:r>
      <w:r>
        <w:rPr>
          <w:w w:val="115"/>
        </w:rPr>
        <w:t>continentes</w:t>
      </w:r>
      <w:r>
        <w:rPr>
          <w:spacing w:val="-23"/>
          <w:w w:val="115"/>
        </w:rPr>
        <w:t> </w:t>
      </w:r>
      <w:r>
        <w:rPr>
          <w:w w:val="115"/>
        </w:rPr>
        <w:t>generan</w:t>
      </w:r>
      <w:r>
        <w:rPr>
          <w:spacing w:val="-23"/>
          <w:w w:val="115"/>
        </w:rPr>
        <w:t> </w:t>
      </w:r>
      <w:r>
        <w:rPr>
          <w:w w:val="115"/>
        </w:rPr>
        <w:t>una</w:t>
      </w:r>
      <w:r>
        <w:rPr>
          <w:spacing w:val="-23"/>
          <w:w w:val="115"/>
        </w:rPr>
        <w:t> </w:t>
      </w:r>
      <w:r>
        <w:rPr>
          <w:w w:val="115"/>
        </w:rPr>
        <w:t>tendencia</w:t>
      </w:r>
      <w:r>
        <w:rPr>
          <w:spacing w:val="-23"/>
          <w:w w:val="115"/>
        </w:rPr>
        <w:t> </w:t>
      </w:r>
      <w:r>
        <w:rPr>
          <w:w w:val="115"/>
        </w:rPr>
        <w:t>hacia</w:t>
      </w:r>
      <w:r>
        <w:rPr>
          <w:spacing w:val="-23"/>
          <w:w w:val="115"/>
        </w:rPr>
        <w:t> </w:t>
      </w:r>
      <w:r>
        <w:rPr>
          <w:w w:val="115"/>
        </w:rPr>
        <w:t>un</w:t>
      </w:r>
      <w:r>
        <w:rPr>
          <w:spacing w:val="-23"/>
          <w:w w:val="115"/>
        </w:rPr>
        <w:t> </w:t>
      </w:r>
      <w:r>
        <w:rPr>
          <w:w w:val="115"/>
        </w:rPr>
        <w:t>enfrentamiento</w:t>
      </w:r>
      <w:r>
        <w:rPr>
          <w:w w:val="109"/>
        </w:rPr>
        <w:t> </w:t>
      </w:r>
      <w:r>
        <w:rPr>
          <w:w w:val="115"/>
        </w:rPr>
        <w:t>más</w:t>
      </w:r>
      <w:r>
        <w:rPr>
          <w:spacing w:val="-13"/>
          <w:w w:val="115"/>
        </w:rPr>
        <w:t> </w:t>
      </w:r>
      <w:r>
        <w:rPr>
          <w:w w:val="115"/>
        </w:rPr>
        <w:t>temprano</w:t>
      </w:r>
      <w:r>
        <w:rPr>
          <w:spacing w:val="-13"/>
          <w:w w:val="115"/>
        </w:rPr>
        <w:t> </w:t>
      </w:r>
      <w:r>
        <w:rPr>
          <w:w w:val="115"/>
        </w:rPr>
        <w:t>que</w:t>
      </w:r>
      <w:r>
        <w:rPr>
          <w:spacing w:val="-13"/>
          <w:w w:val="115"/>
        </w:rPr>
        <w:t> </w:t>
      </w:r>
      <w:r>
        <w:rPr>
          <w:w w:val="115"/>
        </w:rPr>
        <w:t>tarde</w:t>
      </w:r>
      <w:r>
        <w:rPr>
          <w:spacing w:val="-13"/>
          <w:w w:val="115"/>
        </w:rPr>
        <w:t> </w:t>
      </w:r>
      <w:r>
        <w:rPr>
          <w:w w:val="115"/>
        </w:rPr>
        <w:t>con</w:t>
      </w:r>
      <w:r>
        <w:rPr>
          <w:spacing w:val="-13"/>
          <w:w w:val="115"/>
        </w:rPr>
        <w:t> </w:t>
      </w:r>
      <w:r>
        <w:rPr>
          <w:w w:val="115"/>
        </w:rPr>
        <w:t>Washington.</w:t>
      </w:r>
      <w:r>
        <w:rPr>
          <w:spacing w:val="-13"/>
          <w:w w:val="115"/>
        </w:rPr>
        <w:t> </w:t>
      </w:r>
      <w:r>
        <w:rPr>
          <w:w w:val="115"/>
        </w:rPr>
        <w:t>si</w:t>
      </w:r>
      <w:r>
        <w:rPr>
          <w:spacing w:val="-13"/>
          <w:w w:val="115"/>
        </w:rPr>
        <w:t> </w:t>
      </w:r>
      <w:r>
        <w:rPr>
          <w:w w:val="115"/>
        </w:rPr>
        <w:t>China</w:t>
      </w:r>
      <w:r>
        <w:rPr>
          <w:spacing w:val="-13"/>
          <w:w w:val="115"/>
        </w:rPr>
        <w:t> </w:t>
      </w:r>
      <w:r>
        <w:rPr>
          <w:w w:val="115"/>
        </w:rPr>
        <w:t>logra</w:t>
      </w:r>
      <w:r>
        <w:rPr>
          <w:spacing w:val="-13"/>
          <w:w w:val="115"/>
        </w:rPr>
        <w:t> </w:t>
      </w:r>
      <w:r>
        <w:rPr>
          <w:w w:val="115"/>
        </w:rPr>
        <w:t>arrebatar</w:t>
      </w:r>
      <w:r>
        <w:rPr>
          <w:spacing w:val="-13"/>
          <w:w w:val="115"/>
        </w:rPr>
        <w:t> </w:t>
      </w:r>
      <w:r>
        <w:rPr>
          <w:w w:val="115"/>
        </w:rPr>
        <w:t>el</w:t>
      </w:r>
      <w:r>
        <w:rPr>
          <w:w w:val="107"/>
        </w:rPr>
        <w:t> </w:t>
      </w:r>
      <w:r>
        <w:rPr>
          <w:w w:val="115"/>
        </w:rPr>
        <w:t>control</w:t>
      </w:r>
      <w:r>
        <w:rPr>
          <w:spacing w:val="-29"/>
          <w:w w:val="115"/>
        </w:rPr>
        <w:t> </w:t>
      </w:r>
      <w:r>
        <w:rPr>
          <w:w w:val="115"/>
        </w:rPr>
        <w:t>de</w:t>
      </w:r>
      <w:r>
        <w:rPr>
          <w:spacing w:val="-29"/>
          <w:w w:val="115"/>
        </w:rPr>
        <w:t> </w:t>
      </w:r>
      <w:r>
        <w:rPr>
          <w:w w:val="115"/>
        </w:rPr>
        <w:t>las</w:t>
      </w:r>
      <w:r>
        <w:rPr>
          <w:spacing w:val="-29"/>
          <w:w w:val="115"/>
        </w:rPr>
        <w:t> </w:t>
      </w:r>
      <w:r>
        <w:rPr>
          <w:w w:val="115"/>
        </w:rPr>
        <w:t>finanzas</w:t>
      </w:r>
      <w:r>
        <w:rPr>
          <w:spacing w:val="-29"/>
          <w:w w:val="115"/>
        </w:rPr>
        <w:t> </w:t>
      </w:r>
      <w:r>
        <w:rPr>
          <w:w w:val="115"/>
        </w:rPr>
        <w:t>globales</w:t>
      </w:r>
      <w:r>
        <w:rPr>
          <w:spacing w:val="-29"/>
          <w:w w:val="115"/>
        </w:rPr>
        <w:t> </w:t>
      </w:r>
      <w:r>
        <w:rPr>
          <w:w w:val="115"/>
        </w:rPr>
        <w:t>a</w:t>
      </w:r>
      <w:r>
        <w:rPr>
          <w:spacing w:val="-29"/>
          <w:w w:val="115"/>
        </w:rPr>
        <w:t> </w:t>
      </w:r>
      <w:r>
        <w:rPr>
          <w:w w:val="115"/>
        </w:rPr>
        <w:t>Estados</w:t>
      </w:r>
      <w:r>
        <w:rPr>
          <w:spacing w:val="-29"/>
          <w:w w:val="115"/>
        </w:rPr>
        <w:t> </w:t>
      </w:r>
      <w:r>
        <w:rPr>
          <w:w w:val="115"/>
        </w:rPr>
        <w:t>unidos</w:t>
      </w:r>
      <w:r>
        <w:rPr>
          <w:spacing w:val="-29"/>
          <w:w w:val="115"/>
        </w:rPr>
        <w:t> </w:t>
      </w:r>
      <w:r>
        <w:rPr>
          <w:w w:val="115"/>
        </w:rPr>
        <w:t>–o</w:t>
      </w:r>
      <w:r>
        <w:rPr>
          <w:spacing w:val="-29"/>
          <w:w w:val="115"/>
        </w:rPr>
        <w:t> </w:t>
      </w:r>
      <w:r>
        <w:rPr>
          <w:w w:val="115"/>
        </w:rPr>
        <w:t>parte</w:t>
      </w:r>
      <w:r>
        <w:rPr>
          <w:spacing w:val="-29"/>
          <w:w w:val="115"/>
        </w:rPr>
        <w:t> </w:t>
      </w:r>
      <w:r>
        <w:rPr>
          <w:w w:val="115"/>
        </w:rPr>
        <w:t>significativa</w:t>
      </w:r>
      <w:r>
        <w:rPr>
          <w:w w:val="110"/>
        </w:rPr>
        <w:t> </w:t>
      </w:r>
      <w:r>
        <w:rPr>
          <w:w w:val="115"/>
        </w:rPr>
        <w:t>de</w:t>
      </w:r>
      <w:r>
        <w:rPr>
          <w:spacing w:val="-28"/>
          <w:w w:val="115"/>
        </w:rPr>
        <w:t> </w:t>
      </w:r>
      <w:r>
        <w:rPr>
          <w:w w:val="115"/>
        </w:rPr>
        <w:t>ellas–</w:t>
      </w:r>
      <w:r>
        <w:rPr>
          <w:spacing w:val="-28"/>
          <w:w w:val="115"/>
        </w:rPr>
        <w:t> </w:t>
      </w:r>
      <w:r>
        <w:rPr>
          <w:w w:val="115"/>
        </w:rPr>
        <w:t>seguirían</w:t>
      </w:r>
      <w:r>
        <w:rPr>
          <w:spacing w:val="-28"/>
          <w:w w:val="115"/>
        </w:rPr>
        <w:t> </w:t>
      </w:r>
      <w:r>
        <w:rPr>
          <w:w w:val="115"/>
        </w:rPr>
        <w:t>rápidamente</w:t>
      </w:r>
      <w:r>
        <w:rPr>
          <w:spacing w:val="-28"/>
          <w:w w:val="115"/>
        </w:rPr>
        <w:t> </w:t>
      </w:r>
      <w:r>
        <w:rPr>
          <w:w w:val="115"/>
        </w:rPr>
        <w:t>las</w:t>
      </w:r>
      <w:r>
        <w:rPr>
          <w:spacing w:val="-28"/>
          <w:w w:val="115"/>
        </w:rPr>
        <w:t> </w:t>
      </w:r>
      <w:r>
        <w:rPr>
          <w:w w:val="115"/>
        </w:rPr>
        <w:t>instancias</w:t>
      </w:r>
      <w:r>
        <w:rPr>
          <w:spacing w:val="-28"/>
          <w:w w:val="115"/>
        </w:rPr>
        <w:t> </w:t>
      </w:r>
      <w:r>
        <w:rPr>
          <w:w w:val="115"/>
        </w:rPr>
        <w:t>ideológicas</w:t>
      </w:r>
      <w:r>
        <w:rPr>
          <w:spacing w:val="-28"/>
          <w:w w:val="115"/>
        </w:rPr>
        <w:t> </w:t>
      </w:r>
      <w:r>
        <w:rPr>
          <w:w w:val="115"/>
        </w:rPr>
        <w:t>y</w:t>
      </w:r>
      <w:r>
        <w:rPr>
          <w:spacing w:val="-28"/>
          <w:w w:val="115"/>
        </w:rPr>
        <w:t> </w:t>
      </w:r>
      <w:r>
        <w:rPr>
          <w:w w:val="115"/>
        </w:rPr>
        <w:t>militares.</w:t>
      </w:r>
      <w:r>
        <w:rPr>
          <w:w w:val="111"/>
        </w:rPr>
        <w:t> </w:t>
      </w:r>
      <w:r>
        <w:rPr>
          <w:w w:val="110"/>
        </w:rPr>
        <w:t>a continuación presentamos siete secciones</w:t>
      </w:r>
      <w:r>
        <w:rPr>
          <w:spacing w:val="17"/>
          <w:w w:val="110"/>
        </w:rPr>
        <w:t> </w:t>
      </w:r>
      <w:r>
        <w:rPr>
          <w:w w:val="110"/>
        </w:rPr>
        <w:t>relacionadas</w:t>
      </w:r>
      <w:r>
        <w:rPr>
          <w:spacing w:val="12"/>
          <w:w w:val="110"/>
        </w:rPr>
        <w:t> </w:t>
      </w:r>
      <w:r>
        <w:rPr>
          <w:w w:val="110"/>
        </w:rPr>
        <w:t>íntima-</w:t>
      </w:r>
      <w:r>
        <w:rPr>
          <w:w w:val="102"/>
        </w:rPr>
        <w:t> </w:t>
      </w:r>
      <w:r>
        <w:rPr>
          <w:w w:val="115"/>
        </w:rPr>
        <w:t>mente</w:t>
      </w:r>
      <w:r>
        <w:rPr>
          <w:spacing w:val="-7"/>
          <w:w w:val="115"/>
        </w:rPr>
        <w:t> </w:t>
      </w:r>
      <w:r>
        <w:rPr>
          <w:w w:val="115"/>
        </w:rPr>
        <w:t>unas</w:t>
      </w:r>
      <w:r>
        <w:rPr>
          <w:spacing w:val="-7"/>
          <w:w w:val="115"/>
        </w:rPr>
        <w:t> </w:t>
      </w:r>
      <w:r>
        <w:rPr>
          <w:w w:val="115"/>
        </w:rPr>
        <w:t>con</w:t>
      </w:r>
      <w:r>
        <w:rPr>
          <w:spacing w:val="-7"/>
          <w:w w:val="115"/>
        </w:rPr>
        <w:t> </w:t>
      </w:r>
      <w:r>
        <w:rPr>
          <w:w w:val="115"/>
        </w:rPr>
        <w:t>otras.</w:t>
      </w:r>
      <w:r>
        <w:rPr>
          <w:spacing w:val="-7"/>
          <w:w w:val="115"/>
        </w:rPr>
        <w:t> </w:t>
      </w:r>
      <w:r>
        <w:rPr>
          <w:w w:val="115"/>
        </w:rPr>
        <w:t>En</w:t>
      </w:r>
      <w:r>
        <w:rPr>
          <w:spacing w:val="-7"/>
          <w:w w:val="115"/>
        </w:rPr>
        <w:t> </w:t>
      </w:r>
      <w:r>
        <w:rPr>
          <w:w w:val="115"/>
        </w:rPr>
        <w:t>primer</w:t>
      </w:r>
      <w:r>
        <w:rPr>
          <w:spacing w:val="-7"/>
          <w:w w:val="115"/>
        </w:rPr>
        <w:t> </w:t>
      </w:r>
      <w:r>
        <w:rPr>
          <w:w w:val="115"/>
        </w:rPr>
        <w:t>lugar</w:t>
      </w:r>
      <w:r>
        <w:rPr>
          <w:spacing w:val="-7"/>
          <w:w w:val="115"/>
        </w:rPr>
        <w:t> </w:t>
      </w:r>
      <w:r>
        <w:rPr>
          <w:w w:val="115"/>
        </w:rPr>
        <w:t>haremos</w:t>
      </w:r>
      <w:r>
        <w:rPr>
          <w:spacing w:val="-7"/>
          <w:w w:val="115"/>
        </w:rPr>
        <w:t> </w:t>
      </w:r>
      <w:r>
        <w:rPr>
          <w:w w:val="115"/>
        </w:rPr>
        <w:t>una</w:t>
      </w:r>
      <w:r>
        <w:rPr>
          <w:spacing w:val="-7"/>
          <w:w w:val="115"/>
        </w:rPr>
        <w:t> </w:t>
      </w:r>
      <w:r>
        <w:rPr>
          <w:w w:val="115"/>
        </w:rPr>
        <w:t>rápida</w:t>
      </w:r>
      <w:r>
        <w:rPr>
          <w:spacing w:val="-7"/>
          <w:w w:val="115"/>
        </w:rPr>
        <w:t> </w:t>
      </w:r>
      <w:r>
        <w:rPr>
          <w:w w:val="115"/>
        </w:rPr>
        <w:t>revisión</w:t>
      </w:r>
      <w:r>
        <w:rPr>
          <w:w w:val="108"/>
        </w:rPr>
        <w:t> </w:t>
      </w:r>
      <w:r>
        <w:rPr>
          <w:w w:val="115"/>
        </w:rPr>
        <w:t>de</w:t>
      </w:r>
      <w:r>
        <w:rPr>
          <w:spacing w:val="-24"/>
          <w:w w:val="115"/>
        </w:rPr>
        <w:t> </w:t>
      </w:r>
      <w:r>
        <w:rPr>
          <w:w w:val="115"/>
        </w:rPr>
        <w:t>las</w:t>
      </w:r>
      <w:r>
        <w:rPr>
          <w:spacing w:val="-24"/>
          <w:w w:val="115"/>
        </w:rPr>
        <w:t> </w:t>
      </w:r>
      <w:r>
        <w:rPr>
          <w:w w:val="115"/>
        </w:rPr>
        <w:t>nociones</w:t>
      </w:r>
      <w:r>
        <w:rPr>
          <w:spacing w:val="-24"/>
          <w:w w:val="115"/>
        </w:rPr>
        <w:t> </w:t>
      </w:r>
      <w:r>
        <w:rPr>
          <w:w w:val="115"/>
        </w:rPr>
        <w:t>de</w:t>
      </w:r>
      <w:r>
        <w:rPr>
          <w:spacing w:val="-24"/>
          <w:w w:val="115"/>
        </w:rPr>
        <w:t> </w:t>
      </w:r>
      <w:r>
        <w:rPr>
          <w:w w:val="115"/>
        </w:rPr>
        <w:t>hegemonía</w:t>
      </w:r>
      <w:r>
        <w:rPr>
          <w:spacing w:val="-24"/>
          <w:w w:val="115"/>
        </w:rPr>
        <w:t> </w:t>
      </w:r>
      <w:r>
        <w:rPr>
          <w:w w:val="115"/>
        </w:rPr>
        <w:t>y</w:t>
      </w:r>
      <w:r>
        <w:rPr>
          <w:spacing w:val="-24"/>
          <w:w w:val="115"/>
        </w:rPr>
        <w:t> </w:t>
      </w:r>
      <w:r>
        <w:rPr>
          <w:w w:val="115"/>
        </w:rPr>
        <w:t>geopolítica.</w:t>
      </w:r>
      <w:r>
        <w:rPr>
          <w:spacing w:val="-24"/>
          <w:w w:val="115"/>
        </w:rPr>
        <w:t> </w:t>
      </w:r>
      <w:r>
        <w:rPr>
          <w:w w:val="115"/>
        </w:rPr>
        <w:t>seguimos</w:t>
      </w:r>
      <w:r>
        <w:rPr>
          <w:spacing w:val="-24"/>
          <w:w w:val="115"/>
        </w:rPr>
        <w:t> </w:t>
      </w:r>
      <w:r>
        <w:rPr>
          <w:w w:val="115"/>
        </w:rPr>
        <w:t>con</w:t>
      </w:r>
      <w:r>
        <w:rPr>
          <w:spacing w:val="-24"/>
          <w:w w:val="115"/>
        </w:rPr>
        <w:t> </w:t>
      </w:r>
      <w:r>
        <w:rPr>
          <w:w w:val="115"/>
        </w:rPr>
        <w:t>el</w:t>
      </w:r>
      <w:r>
        <w:rPr>
          <w:spacing w:val="-24"/>
          <w:w w:val="115"/>
        </w:rPr>
        <w:t> </w:t>
      </w:r>
      <w:r>
        <w:rPr>
          <w:w w:val="115"/>
        </w:rPr>
        <w:t>concepto</w:t>
      </w:r>
      <w:r>
        <w:rPr>
          <w:w w:val="110"/>
        </w:rPr>
        <w:t> </w:t>
      </w:r>
      <w:r>
        <w:rPr>
          <w:w w:val="115"/>
        </w:rPr>
        <w:t>de fin de la historia y enseguida con la geopolítica del</w:t>
      </w:r>
      <w:r>
        <w:rPr>
          <w:spacing w:val="16"/>
          <w:w w:val="115"/>
        </w:rPr>
        <w:t> </w:t>
      </w:r>
      <w:r>
        <w:rPr>
          <w:w w:val="115"/>
        </w:rPr>
        <w:t>sistema</w:t>
      </w:r>
      <w:r>
        <w:rPr>
          <w:spacing w:val="1"/>
          <w:w w:val="115"/>
        </w:rPr>
        <w:t> </w:t>
      </w:r>
      <w:r>
        <w:rPr>
          <w:w w:val="115"/>
        </w:rPr>
        <w:t>capi-</w:t>
      </w:r>
      <w:r>
        <w:rPr>
          <w:w w:val="102"/>
        </w:rPr>
        <w:t> </w:t>
      </w:r>
      <w:r>
        <w:rPr>
          <w:w w:val="111"/>
        </w:rPr>
        <w:t>talista.</w:t>
      </w:r>
      <w:r>
        <w:rPr>
          <w:spacing w:val="18"/>
        </w:rPr>
        <w:t> </w:t>
      </w:r>
      <w:r>
        <w:rPr>
          <w:w w:val="243"/>
        </w:rPr>
        <w:t>l</w:t>
      </w:r>
      <w:r>
        <w:rPr>
          <w:w w:val="109"/>
        </w:rPr>
        <w:t>as</w:t>
      </w:r>
      <w:r>
        <w:rPr>
          <w:spacing w:val="18"/>
        </w:rPr>
        <w:t> </w:t>
      </w:r>
      <w:r>
        <w:rPr>
          <w:w w:val="105"/>
        </w:rPr>
        <w:t>tres</w:t>
      </w:r>
      <w:r>
        <w:rPr>
          <w:spacing w:val="18"/>
        </w:rPr>
        <w:t> </w:t>
      </w:r>
      <w:r>
        <w:rPr>
          <w:w w:val="109"/>
        </w:rPr>
        <w:t>secciones</w:t>
      </w:r>
      <w:r>
        <w:rPr>
          <w:spacing w:val="18"/>
        </w:rPr>
        <w:t> </w:t>
      </w:r>
      <w:r>
        <w:rPr>
          <w:w w:val="108"/>
        </w:rPr>
        <w:t>que</w:t>
      </w:r>
      <w:r>
        <w:rPr>
          <w:spacing w:val="18"/>
        </w:rPr>
        <w:t> </w:t>
      </w:r>
      <w:r>
        <w:rPr>
          <w:w w:val="110"/>
        </w:rPr>
        <w:t>siguen</w:t>
      </w:r>
      <w:r>
        <w:rPr>
          <w:spacing w:val="18"/>
        </w:rPr>
        <w:t> </w:t>
      </w:r>
      <w:r>
        <w:rPr>
          <w:w w:val="105"/>
        </w:rPr>
        <w:t>se</w:t>
      </w:r>
      <w:r>
        <w:rPr>
          <w:spacing w:val="18"/>
        </w:rPr>
        <w:t> </w:t>
      </w:r>
      <w:r>
        <w:rPr>
          <w:w w:val="105"/>
        </w:rPr>
        <w:t>refieren</w:t>
      </w:r>
      <w:r>
        <w:rPr>
          <w:spacing w:val="18"/>
        </w:rPr>
        <w:t> </w:t>
      </w:r>
      <w:r>
        <w:rPr>
          <w:w w:val="112"/>
        </w:rPr>
        <w:t>a</w:t>
      </w:r>
      <w:r>
        <w:rPr>
          <w:spacing w:val="18"/>
        </w:rPr>
        <w:t> </w:t>
      </w:r>
      <w:r>
        <w:rPr>
          <w:w w:val="111"/>
        </w:rPr>
        <w:t>la</w:t>
      </w:r>
      <w:r>
        <w:rPr>
          <w:spacing w:val="18"/>
        </w:rPr>
        <w:t> </w:t>
      </w:r>
      <w:r>
        <w:rPr>
          <w:w w:val="182"/>
        </w:rPr>
        <w:t>r</w:t>
      </w:r>
      <w:r>
        <w:rPr>
          <w:w w:val="111"/>
        </w:rPr>
        <w:t>uta</w:t>
      </w:r>
      <w:r>
        <w:rPr>
          <w:spacing w:val="18"/>
        </w:rPr>
        <w:t> </w:t>
      </w:r>
      <w:r>
        <w:rPr>
          <w:w w:val="107"/>
        </w:rPr>
        <w:t>de</w:t>
      </w:r>
      <w:r>
        <w:rPr>
          <w:spacing w:val="18"/>
        </w:rPr>
        <w:t> </w:t>
      </w:r>
      <w:r>
        <w:rPr>
          <w:w w:val="111"/>
        </w:rPr>
        <w:t>la</w:t>
      </w:r>
      <w:r>
        <w:rPr>
          <w:spacing w:val="18"/>
        </w:rPr>
        <w:t> </w:t>
      </w:r>
      <w:r>
        <w:rPr>
          <w:w w:val="149"/>
        </w:rPr>
        <w:t>s</w:t>
      </w:r>
      <w:r>
        <w:rPr>
          <w:w w:val="112"/>
        </w:rPr>
        <w:t>eda, </w:t>
      </w:r>
      <w:r>
        <w:rPr>
          <w:w w:val="115"/>
        </w:rPr>
        <w:t>la</w:t>
      </w:r>
      <w:r>
        <w:rPr>
          <w:spacing w:val="-11"/>
          <w:w w:val="115"/>
        </w:rPr>
        <w:t> </w:t>
      </w:r>
      <w:r>
        <w:rPr>
          <w:w w:val="115"/>
        </w:rPr>
        <w:t>visión</w:t>
      </w:r>
      <w:r>
        <w:rPr>
          <w:spacing w:val="-11"/>
          <w:w w:val="115"/>
        </w:rPr>
        <w:t> </w:t>
      </w:r>
      <w:r>
        <w:rPr>
          <w:w w:val="115"/>
        </w:rPr>
        <w:t>china</w:t>
      </w:r>
      <w:r>
        <w:rPr>
          <w:spacing w:val="-11"/>
          <w:w w:val="115"/>
        </w:rPr>
        <w:t> </w:t>
      </w:r>
      <w:r>
        <w:rPr>
          <w:w w:val="115"/>
        </w:rPr>
        <w:t>y</w:t>
      </w:r>
      <w:r>
        <w:rPr>
          <w:spacing w:val="-11"/>
          <w:w w:val="115"/>
        </w:rPr>
        <w:t> </w:t>
      </w:r>
      <w:r>
        <w:rPr>
          <w:w w:val="115"/>
        </w:rPr>
        <w:t>el</w:t>
      </w:r>
      <w:r>
        <w:rPr>
          <w:spacing w:val="-11"/>
          <w:w w:val="115"/>
        </w:rPr>
        <w:t> </w:t>
      </w:r>
      <w:r>
        <w:rPr>
          <w:w w:val="115"/>
        </w:rPr>
        <w:t>eje</w:t>
      </w:r>
      <w:r>
        <w:rPr>
          <w:spacing w:val="-11"/>
          <w:w w:val="115"/>
        </w:rPr>
        <w:t> </w:t>
      </w:r>
      <w:r>
        <w:rPr>
          <w:w w:val="115"/>
        </w:rPr>
        <w:t>Pekín-berlín</w:t>
      </w:r>
      <w:r>
        <w:rPr>
          <w:spacing w:val="-11"/>
          <w:w w:val="115"/>
        </w:rPr>
        <w:t> </w:t>
      </w:r>
      <w:r>
        <w:rPr>
          <w:w w:val="115"/>
        </w:rPr>
        <w:t>que</w:t>
      </w:r>
      <w:r>
        <w:rPr>
          <w:spacing w:val="-11"/>
          <w:w w:val="115"/>
        </w:rPr>
        <w:t> </w:t>
      </w:r>
      <w:r>
        <w:rPr>
          <w:w w:val="115"/>
        </w:rPr>
        <w:t>pasa</w:t>
      </w:r>
      <w:r>
        <w:rPr>
          <w:spacing w:val="-11"/>
          <w:w w:val="115"/>
        </w:rPr>
        <w:t> </w:t>
      </w:r>
      <w:r>
        <w:rPr>
          <w:w w:val="115"/>
        </w:rPr>
        <w:t>por</w:t>
      </w:r>
      <w:r>
        <w:rPr>
          <w:spacing w:val="-11"/>
          <w:w w:val="115"/>
        </w:rPr>
        <w:t> </w:t>
      </w:r>
      <w:r>
        <w:rPr>
          <w:w w:val="115"/>
        </w:rPr>
        <w:t>Moscú.</w:t>
      </w:r>
      <w:r>
        <w:rPr>
          <w:spacing w:val="-11"/>
          <w:w w:val="115"/>
        </w:rPr>
        <w:t> </w:t>
      </w:r>
      <w:r>
        <w:rPr>
          <w:w w:val="115"/>
        </w:rPr>
        <w:t>Finalizamos</w:t>
      </w:r>
    </w:p>
    <w:p>
      <w:pPr>
        <w:pStyle w:val="BodyText"/>
        <w:ind w:left="330"/>
        <w:jc w:val="both"/>
      </w:pPr>
      <w:r>
        <w:rPr>
          <w:w w:val="108"/>
        </w:rPr>
        <w:t>presentando</w:t>
      </w:r>
      <w:r>
        <w:rPr>
          <w:spacing w:val="12"/>
        </w:rPr>
        <w:t> </w:t>
      </w:r>
      <w:r>
        <w:rPr>
          <w:w w:val="111"/>
        </w:rPr>
        <w:t>al</w:t>
      </w:r>
      <w:r>
        <w:rPr>
          <w:spacing w:val="12"/>
        </w:rPr>
        <w:t> </w:t>
      </w:r>
      <w:r>
        <w:rPr>
          <w:w w:val="110"/>
        </w:rPr>
        <w:t>gran</w:t>
      </w:r>
      <w:r>
        <w:rPr>
          <w:spacing w:val="12"/>
        </w:rPr>
        <w:t> </w:t>
      </w:r>
      <w:r>
        <w:rPr>
          <w:w w:val="108"/>
        </w:rPr>
        <w:t>ausente:</w:t>
      </w:r>
      <w:r>
        <w:rPr>
          <w:spacing w:val="12"/>
        </w:rPr>
        <w:t> </w:t>
      </w:r>
      <w:r>
        <w:rPr>
          <w:w w:val="139"/>
        </w:rPr>
        <w:t>a</w:t>
      </w:r>
      <w:r>
        <w:rPr>
          <w:w w:val="111"/>
        </w:rPr>
        <w:t>mérica</w:t>
      </w:r>
      <w:r>
        <w:rPr>
          <w:spacing w:val="12"/>
        </w:rPr>
        <w:t> </w:t>
      </w:r>
      <w:r>
        <w:rPr>
          <w:w w:val="243"/>
        </w:rPr>
        <w:t>l</w:t>
      </w:r>
      <w:r>
        <w:rPr>
          <w:w w:val="113"/>
        </w:rPr>
        <w:t>atina.</w:t>
      </w:r>
    </w:p>
    <w:p>
      <w:pPr>
        <w:pStyle w:val="BodyText"/>
        <w:spacing w:before="4"/>
        <w:rPr>
          <w:sz w:val="20"/>
        </w:rPr>
      </w:pPr>
    </w:p>
    <w:p>
      <w:pPr>
        <w:pStyle w:val="Heading6"/>
        <w:ind w:left="331"/>
      </w:pPr>
      <w:r>
        <w:rPr>
          <w:w w:val="120"/>
        </w:rPr>
        <w:t>HeGeMonÍa y GeoPolÍtica</w:t>
      </w:r>
    </w:p>
    <w:p>
      <w:pPr>
        <w:pStyle w:val="BodyText"/>
        <w:spacing w:line="252" w:lineRule="auto" w:before="10"/>
        <w:ind w:left="330" w:right="117"/>
        <w:jc w:val="both"/>
      </w:pPr>
      <w:r>
        <w:rPr>
          <w:spacing w:val="-3"/>
          <w:w w:val="110"/>
        </w:rPr>
        <w:t>tenemos </w:t>
      </w:r>
      <w:r>
        <w:rPr>
          <w:w w:val="110"/>
        </w:rPr>
        <w:t>que formularnos dos preguntas: la primera es ¿colapsó el sistema-mundo capitalista con el estallido de los mercados en 2008? de ésta se desprende otra: ¿está condenado el capitalismo a seguir</w:t>
      </w:r>
      <w:r>
        <w:rPr>
          <w:spacing w:val="-18"/>
          <w:w w:val="110"/>
        </w:rPr>
        <w:t> </w:t>
      </w:r>
      <w:r>
        <w:rPr>
          <w:w w:val="110"/>
        </w:rPr>
        <w:t>por un periodo indefinido en el presente estado de</w:t>
      </w:r>
      <w:r>
        <w:rPr>
          <w:spacing w:val="19"/>
          <w:w w:val="110"/>
        </w:rPr>
        <w:t> </w:t>
      </w:r>
      <w:r>
        <w:rPr>
          <w:w w:val="110"/>
        </w:rPr>
        <w:t>estancamiento?</w:t>
      </w:r>
    </w:p>
    <w:p>
      <w:pPr>
        <w:pStyle w:val="BodyText"/>
        <w:spacing w:line="252" w:lineRule="auto"/>
        <w:ind w:left="330" w:right="117" w:firstLine="396"/>
        <w:jc w:val="both"/>
      </w:pPr>
      <w:r>
        <w:rPr>
          <w:w w:val="243"/>
        </w:rPr>
        <w:t>l</w:t>
      </w:r>
      <w:r>
        <w:rPr>
          <w:w w:val="112"/>
        </w:rPr>
        <w:t>a</w:t>
      </w:r>
      <w:r>
        <w:rPr/>
        <w:t> </w:t>
      </w:r>
      <w:r>
        <w:rPr>
          <w:w w:val="109"/>
        </w:rPr>
        <w:t>segunda</w:t>
      </w:r>
      <w:r>
        <w:rPr/>
        <w:t> </w:t>
      </w:r>
      <w:r>
        <w:rPr>
          <w:w w:val="109"/>
        </w:rPr>
        <w:t>pregunta</w:t>
      </w:r>
      <w:r>
        <w:rPr/>
        <w:t> </w:t>
      </w:r>
      <w:r>
        <w:rPr>
          <w:w w:val="111"/>
        </w:rPr>
        <w:t>es,</w:t>
      </w:r>
      <w:r>
        <w:rPr/>
        <w:t> </w:t>
      </w:r>
      <w:r>
        <w:rPr>
          <w:w w:val="109"/>
        </w:rPr>
        <w:t>si</w:t>
      </w:r>
      <w:r>
        <w:rPr/>
        <w:t> </w:t>
      </w:r>
      <w:r>
        <w:rPr>
          <w:w w:val="105"/>
        </w:rPr>
        <w:t>se</w:t>
      </w:r>
      <w:r>
        <w:rPr/>
        <w:t> </w:t>
      </w:r>
      <w:r>
        <w:rPr>
          <w:w w:val="107"/>
        </w:rPr>
        <w:t>está</w:t>
      </w:r>
      <w:r>
        <w:rPr/>
        <w:t> </w:t>
      </w:r>
      <w:r>
        <w:rPr>
          <w:w w:val="109"/>
        </w:rPr>
        <w:t>recuperando</w:t>
      </w:r>
      <w:r>
        <w:rPr/>
        <w:t> </w:t>
      </w:r>
      <w:r>
        <w:rPr>
          <w:w w:val="107"/>
        </w:rPr>
        <w:t>el</w:t>
      </w:r>
      <w:r>
        <w:rPr/>
        <w:t> </w:t>
      </w:r>
      <w:r>
        <w:rPr>
          <w:w w:val="111"/>
        </w:rPr>
        <w:t>sistema,</w:t>
      </w:r>
      <w:r>
        <w:rPr/>
        <w:t> </w:t>
      </w:r>
      <w:r>
        <w:rPr>
          <w:w w:val="112"/>
        </w:rPr>
        <w:t>como </w:t>
      </w:r>
      <w:r>
        <w:rPr>
          <w:w w:val="110"/>
        </w:rPr>
        <w:t>dicen los </w:t>
      </w:r>
      <w:r>
        <w:rPr>
          <w:i/>
          <w:w w:val="110"/>
        </w:rPr>
        <w:t>gurús </w:t>
      </w:r>
      <w:r>
        <w:rPr>
          <w:w w:val="110"/>
        </w:rPr>
        <w:t>del </w:t>
      </w:r>
      <w:r>
        <w:rPr>
          <w:i/>
          <w:w w:val="110"/>
        </w:rPr>
        <w:t>establishment</w:t>
      </w:r>
      <w:r>
        <w:rPr>
          <w:w w:val="110"/>
        </w:rPr>
        <w:t>, ¿cuáles son los indicadores que lo pueden demostrar? al mismo tiempo, este interrogante tiene dos la- dos: si el sistema no se puede recuperar ¿qué lo reemplazará?, ¿cuáles son las tareas inmediatas que nos corresponden?</w:t>
      </w:r>
    </w:p>
    <w:p>
      <w:pPr>
        <w:pStyle w:val="BodyText"/>
        <w:spacing w:line="252" w:lineRule="auto"/>
        <w:ind w:left="330" w:right="118" w:firstLine="396"/>
        <w:jc w:val="both"/>
      </w:pPr>
      <w:r>
        <w:rPr>
          <w:w w:val="115"/>
        </w:rPr>
        <w:t>El sistema capitalista realmente existente del siglo </w:t>
      </w:r>
      <w:r>
        <w:rPr>
          <w:w w:val="130"/>
        </w:rPr>
        <w:t>xxi </w:t>
      </w:r>
      <w:r>
        <w:rPr>
          <w:w w:val="115"/>
        </w:rPr>
        <w:t>es el  producto de un largo proceso de maduración. su forma industrial- financiera</w:t>
      </w:r>
      <w:r>
        <w:rPr>
          <w:spacing w:val="-7"/>
          <w:w w:val="115"/>
        </w:rPr>
        <w:t> </w:t>
      </w:r>
      <w:r>
        <w:rPr>
          <w:w w:val="115"/>
        </w:rPr>
        <w:t>tiene</w:t>
      </w:r>
      <w:r>
        <w:rPr>
          <w:spacing w:val="-7"/>
          <w:w w:val="115"/>
        </w:rPr>
        <w:t> </w:t>
      </w:r>
      <w:r>
        <w:rPr>
          <w:w w:val="115"/>
        </w:rPr>
        <w:t>más</w:t>
      </w:r>
      <w:r>
        <w:rPr>
          <w:spacing w:val="-7"/>
          <w:w w:val="115"/>
        </w:rPr>
        <w:t> </w:t>
      </w:r>
      <w:r>
        <w:rPr>
          <w:w w:val="115"/>
        </w:rPr>
        <w:t>de</w:t>
      </w:r>
      <w:r>
        <w:rPr>
          <w:spacing w:val="-7"/>
          <w:w w:val="115"/>
        </w:rPr>
        <w:t> </w:t>
      </w:r>
      <w:r>
        <w:rPr>
          <w:w w:val="115"/>
        </w:rPr>
        <w:t>dos</w:t>
      </w:r>
      <w:r>
        <w:rPr>
          <w:spacing w:val="-7"/>
          <w:w w:val="115"/>
        </w:rPr>
        <w:t> </w:t>
      </w:r>
      <w:r>
        <w:rPr>
          <w:w w:val="115"/>
        </w:rPr>
        <w:t>siglos</w:t>
      </w:r>
      <w:r>
        <w:rPr>
          <w:spacing w:val="-7"/>
          <w:w w:val="115"/>
        </w:rPr>
        <w:t> </w:t>
      </w:r>
      <w:r>
        <w:rPr>
          <w:w w:val="115"/>
        </w:rPr>
        <w:t>de</w:t>
      </w:r>
      <w:r>
        <w:rPr>
          <w:spacing w:val="-7"/>
          <w:w w:val="115"/>
        </w:rPr>
        <w:t> </w:t>
      </w:r>
      <w:r>
        <w:rPr>
          <w:w w:val="115"/>
        </w:rPr>
        <w:t>funcionamiento.</w:t>
      </w:r>
      <w:r>
        <w:rPr>
          <w:spacing w:val="-7"/>
          <w:w w:val="115"/>
        </w:rPr>
        <w:t> </w:t>
      </w:r>
      <w:r>
        <w:rPr>
          <w:w w:val="115"/>
        </w:rPr>
        <w:t>sus</w:t>
      </w:r>
      <w:r>
        <w:rPr>
          <w:spacing w:val="-7"/>
          <w:w w:val="115"/>
        </w:rPr>
        <w:t> </w:t>
      </w:r>
      <w:r>
        <w:rPr>
          <w:w w:val="115"/>
        </w:rPr>
        <w:t>formas</w:t>
      </w:r>
      <w:r>
        <w:rPr>
          <w:spacing w:val="-7"/>
          <w:w w:val="115"/>
        </w:rPr>
        <w:t> </w:t>
      </w:r>
      <w:r>
        <w:rPr>
          <w:w w:val="115"/>
        </w:rPr>
        <w:t>de producción</w:t>
      </w:r>
      <w:r>
        <w:rPr>
          <w:spacing w:val="-17"/>
          <w:w w:val="115"/>
        </w:rPr>
        <w:t> </w:t>
      </w:r>
      <w:r>
        <w:rPr>
          <w:w w:val="115"/>
        </w:rPr>
        <w:t>y</w:t>
      </w:r>
      <w:r>
        <w:rPr>
          <w:spacing w:val="-17"/>
          <w:w w:val="115"/>
        </w:rPr>
        <w:t> </w:t>
      </w:r>
      <w:r>
        <w:rPr>
          <w:w w:val="115"/>
        </w:rPr>
        <w:t>reproducción</w:t>
      </w:r>
      <w:r>
        <w:rPr>
          <w:spacing w:val="-17"/>
          <w:w w:val="115"/>
        </w:rPr>
        <w:t> </w:t>
      </w:r>
      <w:r>
        <w:rPr>
          <w:w w:val="115"/>
        </w:rPr>
        <w:t>han</w:t>
      </w:r>
      <w:r>
        <w:rPr>
          <w:spacing w:val="-17"/>
          <w:w w:val="115"/>
        </w:rPr>
        <w:t> </w:t>
      </w:r>
      <w:r>
        <w:rPr>
          <w:w w:val="115"/>
        </w:rPr>
        <w:t>sido</w:t>
      </w:r>
      <w:r>
        <w:rPr>
          <w:spacing w:val="-17"/>
          <w:w w:val="115"/>
        </w:rPr>
        <w:t> </w:t>
      </w:r>
      <w:r>
        <w:rPr>
          <w:w w:val="115"/>
        </w:rPr>
        <w:t>estudiadas</w:t>
      </w:r>
      <w:r>
        <w:rPr>
          <w:spacing w:val="-17"/>
          <w:w w:val="115"/>
        </w:rPr>
        <w:t> </w:t>
      </w:r>
      <w:r>
        <w:rPr>
          <w:w w:val="115"/>
        </w:rPr>
        <w:t>y</w:t>
      </w:r>
      <w:r>
        <w:rPr>
          <w:spacing w:val="-17"/>
          <w:w w:val="115"/>
        </w:rPr>
        <w:t> </w:t>
      </w:r>
      <w:r>
        <w:rPr>
          <w:w w:val="115"/>
        </w:rPr>
        <w:t>existen</w:t>
      </w:r>
      <w:r>
        <w:rPr>
          <w:spacing w:val="-17"/>
          <w:w w:val="115"/>
        </w:rPr>
        <w:t> </w:t>
      </w:r>
      <w:r>
        <w:rPr>
          <w:w w:val="115"/>
        </w:rPr>
        <w:t>numerosas teorías</w:t>
      </w:r>
      <w:r>
        <w:rPr>
          <w:spacing w:val="-4"/>
          <w:w w:val="115"/>
        </w:rPr>
        <w:t> </w:t>
      </w:r>
      <w:r>
        <w:rPr>
          <w:w w:val="115"/>
        </w:rPr>
        <w:t>que</w:t>
      </w:r>
      <w:r>
        <w:rPr>
          <w:spacing w:val="-4"/>
          <w:w w:val="115"/>
        </w:rPr>
        <w:t> </w:t>
      </w:r>
      <w:r>
        <w:rPr>
          <w:w w:val="115"/>
        </w:rPr>
        <w:t>lo</w:t>
      </w:r>
      <w:r>
        <w:rPr>
          <w:spacing w:val="-4"/>
          <w:w w:val="115"/>
        </w:rPr>
        <w:t> </w:t>
      </w:r>
      <w:r>
        <w:rPr>
          <w:w w:val="115"/>
        </w:rPr>
        <w:t>abordan.</w:t>
      </w:r>
      <w:r>
        <w:rPr>
          <w:spacing w:val="-4"/>
          <w:w w:val="115"/>
        </w:rPr>
        <w:t> </w:t>
      </w:r>
      <w:r>
        <w:rPr>
          <w:w w:val="115"/>
        </w:rPr>
        <w:t>Quizá</w:t>
      </w:r>
      <w:r>
        <w:rPr>
          <w:spacing w:val="-4"/>
          <w:w w:val="115"/>
        </w:rPr>
        <w:t> </w:t>
      </w:r>
      <w:r>
        <w:rPr>
          <w:w w:val="115"/>
        </w:rPr>
        <w:t>Marx</w:t>
      </w:r>
      <w:r>
        <w:rPr>
          <w:spacing w:val="-4"/>
          <w:w w:val="115"/>
        </w:rPr>
        <w:t> </w:t>
      </w:r>
      <w:r>
        <w:rPr>
          <w:w w:val="115"/>
        </w:rPr>
        <w:t>y</w:t>
      </w:r>
      <w:r>
        <w:rPr>
          <w:spacing w:val="-4"/>
          <w:w w:val="115"/>
        </w:rPr>
        <w:t> </w:t>
      </w:r>
      <w:r>
        <w:rPr>
          <w:w w:val="115"/>
        </w:rPr>
        <w:t>los</w:t>
      </w:r>
      <w:r>
        <w:rPr>
          <w:spacing w:val="-4"/>
          <w:w w:val="115"/>
        </w:rPr>
        <w:t> </w:t>
      </w:r>
      <w:r>
        <w:rPr>
          <w:w w:val="115"/>
        </w:rPr>
        <w:t>marxistas</w:t>
      </w:r>
      <w:r>
        <w:rPr>
          <w:spacing w:val="-4"/>
          <w:w w:val="115"/>
        </w:rPr>
        <w:t> </w:t>
      </w:r>
      <w:r>
        <w:rPr>
          <w:w w:val="115"/>
        </w:rPr>
        <w:t>han</w:t>
      </w:r>
      <w:r>
        <w:rPr>
          <w:spacing w:val="-4"/>
          <w:w w:val="115"/>
        </w:rPr>
        <w:t> </w:t>
      </w:r>
      <w:r>
        <w:rPr>
          <w:w w:val="115"/>
        </w:rPr>
        <w:t>sido</w:t>
      </w:r>
      <w:r>
        <w:rPr>
          <w:spacing w:val="-4"/>
          <w:w w:val="115"/>
        </w:rPr>
        <w:t> </w:t>
      </w:r>
      <w:r>
        <w:rPr>
          <w:w w:val="115"/>
        </w:rPr>
        <w:t>los</w:t>
      </w:r>
      <w:r>
        <w:rPr>
          <w:spacing w:val="-4"/>
          <w:w w:val="115"/>
        </w:rPr>
        <w:t> </w:t>
      </w:r>
      <w:r>
        <w:rPr>
          <w:w w:val="115"/>
        </w:rPr>
        <w:t>más </w:t>
      </w:r>
      <w:r>
        <w:rPr>
          <w:w w:val="110"/>
        </w:rPr>
        <w:t>abundantes en proponer teorías sobre el</w:t>
      </w:r>
      <w:r>
        <w:rPr>
          <w:spacing w:val="32"/>
          <w:w w:val="110"/>
        </w:rPr>
        <w:t> </w:t>
      </w:r>
      <w:r>
        <w:rPr>
          <w:w w:val="110"/>
        </w:rPr>
        <w:t>capitalismo.</w:t>
      </w:r>
    </w:p>
    <w:p>
      <w:pPr>
        <w:spacing w:after="0" w:line="252" w:lineRule="auto"/>
        <w:jc w:val="both"/>
        <w:sectPr>
          <w:headerReference w:type="default" r:id="rId111"/>
          <w:headerReference w:type="even" r:id="rId112"/>
          <w:footerReference w:type="default" r:id="rId113"/>
          <w:footerReference w:type="even" r:id="rId114"/>
          <w:pgSz w:w="8790" w:h="12760"/>
          <w:pgMar w:header="697" w:footer="725" w:top="880" w:bottom="920" w:left="1200" w:right="900"/>
        </w:sectPr>
      </w:pPr>
    </w:p>
    <w:p>
      <w:pPr>
        <w:pStyle w:val="BodyText"/>
        <w:spacing w:before="9"/>
        <w:rPr>
          <w:sz w:val="28"/>
        </w:rPr>
      </w:pPr>
    </w:p>
    <w:p>
      <w:pPr>
        <w:pStyle w:val="BodyText"/>
        <w:spacing w:line="252" w:lineRule="auto" w:before="73"/>
        <w:ind w:left="100" w:right="328" w:firstLine="396"/>
        <w:jc w:val="both"/>
      </w:pPr>
      <w:r>
        <w:rPr>
          <w:w w:val="110"/>
        </w:rPr>
        <w:t>No debemos olvidar que el sistema capitalista funciona cuando genera ganancias que se extraen del trabajo. sin embargo, a veces se nos olvida agregar que el capitalismo complementa sus ingresos con el saqueo de las comunidades y de la </w:t>
      </w:r>
      <w:r>
        <w:rPr>
          <w:spacing w:val="16"/>
          <w:w w:val="110"/>
        </w:rPr>
        <w:t> </w:t>
      </w:r>
      <w:r>
        <w:rPr>
          <w:w w:val="110"/>
        </w:rPr>
        <w:t>naturaleza.</w:t>
      </w:r>
    </w:p>
    <w:p>
      <w:pPr>
        <w:pStyle w:val="BodyText"/>
        <w:spacing w:line="252" w:lineRule="auto"/>
        <w:ind w:left="100" w:right="328" w:firstLine="396"/>
        <w:jc w:val="both"/>
      </w:pPr>
      <w:r>
        <w:rPr>
          <w:w w:val="110"/>
        </w:rPr>
        <w:t>Harvey nos recordó recientemente que la rapiña y el saqueo –que no es contemplado formalmente en el proceso de producción capita- lista– debe sumarse cuando llega la hora de hacer los cálculos. ruy Mauro Marini también ha regresado sobre la escena con su dialéctica de la dependencia para mostrarnos que la superexplotación de la</w:t>
      </w:r>
      <w:r>
        <w:rPr>
          <w:spacing w:val="-22"/>
          <w:w w:val="110"/>
        </w:rPr>
        <w:t> </w:t>
      </w:r>
      <w:r>
        <w:rPr>
          <w:spacing w:val="-3"/>
          <w:w w:val="110"/>
        </w:rPr>
        <w:t>fuer- </w:t>
      </w:r>
      <w:r>
        <w:rPr>
          <w:w w:val="110"/>
        </w:rPr>
        <w:t>za de trabajo a escala mundial constituye un factor permanente en la reproducción</w:t>
      </w:r>
      <w:r>
        <w:rPr>
          <w:spacing w:val="31"/>
          <w:w w:val="110"/>
        </w:rPr>
        <w:t> </w:t>
      </w:r>
      <w:r>
        <w:rPr>
          <w:w w:val="110"/>
        </w:rPr>
        <w:t>capitalista.</w:t>
      </w:r>
    </w:p>
    <w:p>
      <w:pPr>
        <w:pStyle w:val="BodyText"/>
        <w:spacing w:line="252" w:lineRule="auto"/>
        <w:ind w:left="100" w:right="327" w:firstLine="396"/>
        <w:jc w:val="both"/>
      </w:pPr>
      <w:r>
        <w:rPr>
          <w:w w:val="110"/>
        </w:rPr>
        <w:t>El capitalismo genera ganancias cuando la realización de la pro- ducción supera holgadamente el costo de los factores productivos,     es </w:t>
      </w:r>
      <w:r>
        <w:rPr>
          <w:spacing w:val="-4"/>
          <w:w w:val="110"/>
        </w:rPr>
        <w:t>decir, </w:t>
      </w:r>
      <w:r>
        <w:rPr>
          <w:w w:val="110"/>
        </w:rPr>
        <w:t>la fuerza de trabajo; cuando se apropia mediante el saqueo  de las riquezas ahorradas por los trabajadores de otros sistemas no- capitalistas. además, tiene mecanismos mediante los cuales se apro- pia de una parte de los salarios de los trabajadores a través de la superexplotación.</w:t>
      </w:r>
    </w:p>
    <w:p>
      <w:pPr>
        <w:pStyle w:val="BodyText"/>
        <w:spacing w:line="252" w:lineRule="auto"/>
        <w:ind w:left="100" w:right="327" w:firstLine="396"/>
        <w:jc w:val="both"/>
      </w:pPr>
      <w:r>
        <w:rPr>
          <w:w w:val="110"/>
        </w:rPr>
        <w:t>recientemente se han publicado un sinnúmero de libros sobre   los cambios radicales que se están dando a nivel de la correlación de </w:t>
      </w:r>
      <w:r>
        <w:rPr>
          <w:w w:val="109"/>
        </w:rPr>
        <w:t>fuerzas</w:t>
      </w:r>
      <w:r>
        <w:rPr/>
        <w:t> </w:t>
      </w:r>
      <w:r>
        <w:rPr>
          <w:spacing w:val="-5"/>
        </w:rPr>
        <w:t> </w:t>
      </w:r>
      <w:r>
        <w:rPr>
          <w:w w:val="106"/>
        </w:rPr>
        <w:t>entre</w:t>
      </w:r>
      <w:r>
        <w:rPr/>
        <w:t> </w:t>
      </w:r>
      <w:r>
        <w:rPr>
          <w:spacing w:val="-5"/>
        </w:rPr>
        <w:t> </w:t>
      </w:r>
      <w:r>
        <w:rPr>
          <w:w w:val="108"/>
        </w:rPr>
        <w:t>países</w:t>
      </w:r>
      <w:r>
        <w:rPr/>
        <w:t> </w:t>
      </w:r>
      <w:r>
        <w:rPr>
          <w:spacing w:val="-5"/>
        </w:rPr>
        <w:t> </w:t>
      </w:r>
      <w:r>
        <w:rPr>
          <w:w w:val="105"/>
        </w:rPr>
        <w:t>y</w:t>
      </w:r>
      <w:r>
        <w:rPr/>
        <w:t> </w:t>
      </w:r>
      <w:r>
        <w:rPr>
          <w:spacing w:val="-5"/>
        </w:rPr>
        <w:t> </w:t>
      </w:r>
      <w:r>
        <w:rPr>
          <w:w w:val="109"/>
        </w:rPr>
        <w:t>regiones.</w:t>
      </w:r>
      <w:r>
        <w:rPr/>
        <w:t> </w:t>
      </w:r>
      <w:r>
        <w:rPr>
          <w:spacing w:val="-5"/>
        </w:rPr>
        <w:t> </w:t>
      </w:r>
      <w:r>
        <w:rPr>
          <w:w w:val="243"/>
        </w:rPr>
        <w:t>l</w:t>
      </w:r>
      <w:r>
        <w:rPr>
          <w:w w:val="108"/>
        </w:rPr>
        <w:t>os</w:t>
      </w:r>
      <w:r>
        <w:rPr/>
        <w:t> </w:t>
      </w:r>
      <w:r>
        <w:rPr>
          <w:spacing w:val="-5"/>
        </w:rPr>
        <w:t> </w:t>
      </w:r>
      <w:r>
        <w:rPr>
          <w:w w:val="110"/>
        </w:rPr>
        <w:t>análisis</w:t>
      </w:r>
      <w:r>
        <w:rPr/>
        <w:t> </w:t>
      </w:r>
      <w:r>
        <w:rPr>
          <w:spacing w:val="-5"/>
        </w:rPr>
        <w:t> </w:t>
      </w:r>
      <w:r>
        <w:rPr>
          <w:w w:val="111"/>
        </w:rPr>
        <w:t>más</w:t>
      </w:r>
      <w:r>
        <w:rPr/>
        <w:t> </w:t>
      </w:r>
      <w:r>
        <w:rPr>
          <w:spacing w:val="-5"/>
        </w:rPr>
        <w:t> </w:t>
      </w:r>
      <w:r>
        <w:rPr>
          <w:w w:val="107"/>
        </w:rPr>
        <w:t>recientes</w:t>
      </w:r>
      <w:r>
        <w:rPr/>
        <w:t> </w:t>
      </w:r>
      <w:r>
        <w:rPr>
          <w:spacing w:val="-5"/>
        </w:rPr>
        <w:t> </w:t>
      </w:r>
      <w:r>
        <w:rPr>
          <w:w w:val="110"/>
        </w:rPr>
        <w:t>giran</w:t>
      </w:r>
      <w:r>
        <w:rPr/>
        <w:t> </w:t>
      </w:r>
      <w:r>
        <w:rPr>
          <w:spacing w:val="-5"/>
        </w:rPr>
        <w:t> </w:t>
      </w:r>
      <w:r>
        <w:rPr>
          <w:w w:val="108"/>
        </w:rPr>
        <w:t>en </w:t>
      </w:r>
      <w:r>
        <w:rPr>
          <w:w w:val="110"/>
        </w:rPr>
        <w:t>torno al caso de ucrania y las luchas entre Estados unidos y rusia     por el control del Este europeo. apenas desplazó de los medios de co- municación, por un tiempo, al Medio oriente y el Caribe. El Pacífico      y la confrontación entre China y Estados unidos es también noticia.   En este sentido, </w:t>
      </w:r>
      <w:r>
        <w:rPr>
          <w:spacing w:val="-3"/>
          <w:w w:val="110"/>
        </w:rPr>
        <w:t>Piketty, </w:t>
      </w:r>
      <w:r>
        <w:rPr>
          <w:w w:val="110"/>
        </w:rPr>
        <w:t>stiglitz y otros autores enfocan el problema desde una perspectiva geopolítica, es </w:t>
      </w:r>
      <w:r>
        <w:rPr>
          <w:spacing w:val="-4"/>
          <w:w w:val="110"/>
        </w:rPr>
        <w:t>decir, </w:t>
      </w:r>
      <w:r>
        <w:rPr>
          <w:w w:val="110"/>
        </w:rPr>
        <w:t>cambios en las líneas geo- gráficas de confrontación política y económica. </w:t>
      </w:r>
      <w:r>
        <w:rPr>
          <w:spacing w:val="-3"/>
          <w:w w:val="110"/>
        </w:rPr>
        <w:t>Kissinger,  </w:t>
      </w:r>
      <w:r>
        <w:rPr>
          <w:w w:val="110"/>
        </w:rPr>
        <w:t>brzezinski   y otros convierten estos planteamientos en tácticas</w:t>
      </w:r>
      <w:r>
        <w:rPr>
          <w:spacing w:val="12"/>
          <w:w w:val="110"/>
        </w:rPr>
        <w:t> </w:t>
      </w:r>
      <w:r>
        <w:rPr>
          <w:w w:val="110"/>
        </w:rPr>
        <w:t>operativas.</w:t>
      </w:r>
    </w:p>
    <w:p>
      <w:pPr>
        <w:pStyle w:val="BodyText"/>
        <w:spacing w:line="252" w:lineRule="auto"/>
        <w:ind w:left="100" w:right="328" w:firstLine="396"/>
        <w:jc w:val="both"/>
      </w:pPr>
      <w:r>
        <w:rPr>
          <w:w w:val="110"/>
        </w:rPr>
        <w:t>En los trabajos tan populares en las capitales mundiales, sin em- bargo, faltan los actores sociales. ¿Quiénes son los que están cambian- do las líneas, que están ganando las batallas y preparando las</w:t>
      </w:r>
      <w:r>
        <w:rPr>
          <w:spacing w:val="-26"/>
          <w:w w:val="110"/>
        </w:rPr>
        <w:t> </w:t>
      </w:r>
      <w:r>
        <w:rPr>
          <w:w w:val="110"/>
        </w:rPr>
        <w:t>guerras? Piketty no se preocupa de teorizar sobre las luchas por apropiarse de las riquezas. El premio Nobel stiglitz también pasa por alto las luchas por el control de los procesos productivos, de las rutas de transporte o de los</w:t>
      </w:r>
      <w:r>
        <w:rPr>
          <w:spacing w:val="26"/>
          <w:w w:val="110"/>
        </w:rPr>
        <w:t> </w:t>
      </w:r>
      <w:r>
        <w:rPr>
          <w:w w:val="110"/>
        </w:rPr>
        <w:t>mercados.</w:t>
      </w:r>
    </w:p>
    <w:p>
      <w:pPr>
        <w:pStyle w:val="BodyText"/>
        <w:spacing w:line="252" w:lineRule="auto"/>
        <w:ind w:left="100" w:right="328" w:firstLine="396"/>
        <w:jc w:val="both"/>
      </w:pPr>
      <w:r>
        <w:rPr>
          <w:w w:val="110"/>
        </w:rPr>
        <w:t>desde hace 40 años la correlación de fuerzas a escala mundial está cambiando rápidamente. No es sólo un problema de competencia </w:t>
      </w:r>
      <w:r>
        <w:rPr>
          <w:w w:val="106"/>
        </w:rPr>
        <w:t>entre</w:t>
      </w:r>
      <w:r>
        <w:rPr>
          <w:spacing w:val="19"/>
        </w:rPr>
        <w:t> </w:t>
      </w:r>
      <w:r>
        <w:rPr>
          <w:w w:val="110"/>
        </w:rPr>
        <w:t>naciones</w:t>
      </w:r>
      <w:r>
        <w:rPr>
          <w:spacing w:val="19"/>
        </w:rPr>
        <w:t> </w:t>
      </w:r>
      <w:r>
        <w:rPr>
          <w:w w:val="110"/>
        </w:rPr>
        <w:t>o</w:t>
      </w:r>
      <w:r>
        <w:rPr>
          <w:spacing w:val="19"/>
        </w:rPr>
        <w:t> </w:t>
      </w:r>
      <w:r>
        <w:rPr>
          <w:w w:val="113"/>
        </w:rPr>
        <w:t>Estados.</w:t>
      </w:r>
      <w:r>
        <w:rPr>
          <w:spacing w:val="19"/>
        </w:rPr>
        <w:t> </w:t>
      </w:r>
      <w:r>
        <w:rPr>
          <w:w w:val="243"/>
        </w:rPr>
        <w:t>l</w:t>
      </w:r>
      <w:r>
        <w:rPr>
          <w:w w:val="108"/>
        </w:rPr>
        <w:t>os</w:t>
      </w:r>
      <w:r>
        <w:rPr>
          <w:spacing w:val="19"/>
        </w:rPr>
        <w:t> </w:t>
      </w:r>
      <w:r>
        <w:rPr>
          <w:w w:val="108"/>
        </w:rPr>
        <w:t>estudios</w:t>
      </w:r>
      <w:r>
        <w:rPr>
          <w:spacing w:val="19"/>
        </w:rPr>
        <w:t> </w:t>
      </w:r>
      <w:r>
        <w:rPr>
          <w:w w:val="111"/>
        </w:rPr>
        <w:t>abundan</w:t>
      </w:r>
      <w:r>
        <w:rPr>
          <w:spacing w:val="19"/>
        </w:rPr>
        <w:t> </w:t>
      </w:r>
      <w:r>
        <w:rPr>
          <w:w w:val="108"/>
        </w:rPr>
        <w:t>en</w:t>
      </w:r>
      <w:r>
        <w:rPr>
          <w:spacing w:val="19"/>
        </w:rPr>
        <w:t> </w:t>
      </w:r>
      <w:r>
        <w:rPr>
          <w:w w:val="107"/>
        </w:rPr>
        <w:t>el</w:t>
      </w:r>
      <w:r>
        <w:rPr>
          <w:spacing w:val="19"/>
        </w:rPr>
        <w:t> </w:t>
      </w:r>
      <w:r>
        <w:rPr>
          <w:w w:val="108"/>
        </w:rPr>
        <w:t>sentido</w:t>
      </w:r>
      <w:r>
        <w:rPr>
          <w:spacing w:val="19"/>
        </w:rPr>
        <w:t> </w:t>
      </w:r>
      <w:r>
        <w:rPr>
          <w:w w:val="107"/>
        </w:rPr>
        <w:t>de</w:t>
      </w:r>
      <w:r>
        <w:rPr>
          <w:spacing w:val="19"/>
        </w:rPr>
        <w:t> </w:t>
      </w:r>
      <w:r>
        <w:rPr>
          <w:w w:val="108"/>
        </w:rPr>
        <w:t>que </w:t>
      </w:r>
      <w:r>
        <w:rPr>
          <w:w w:val="110"/>
        </w:rPr>
        <w:t>una clase de trabajadores, los obreros, han perdido un porcentaje im- portante de la riqueza que su trabajo</w:t>
      </w:r>
      <w:r>
        <w:rPr>
          <w:spacing w:val="44"/>
          <w:w w:val="110"/>
        </w:rPr>
        <w:t> </w:t>
      </w:r>
      <w:r>
        <w:rPr>
          <w:w w:val="110"/>
        </w:rPr>
        <w:t>produce.</w:t>
      </w:r>
    </w:p>
    <w:p>
      <w:pPr>
        <w:pStyle w:val="BodyText"/>
        <w:spacing w:line="252" w:lineRule="auto"/>
        <w:ind w:left="100" w:right="327" w:firstLine="396"/>
        <w:jc w:val="both"/>
      </w:pPr>
      <w:r>
        <w:rPr>
          <w:w w:val="243"/>
        </w:rPr>
        <w:t>l</w:t>
      </w:r>
      <w:r>
        <w:rPr>
          <w:w w:val="112"/>
        </w:rPr>
        <w:t>a</w:t>
      </w:r>
      <w:r>
        <w:rPr/>
        <w:t>  </w:t>
      </w:r>
      <w:r>
        <w:rPr>
          <w:w w:val="110"/>
        </w:rPr>
        <w:t>diferencia</w:t>
      </w:r>
      <w:r>
        <w:rPr/>
        <w:t>  </w:t>
      </w:r>
      <w:r>
        <w:rPr>
          <w:w w:val="112"/>
        </w:rPr>
        <w:t>ha</w:t>
      </w:r>
      <w:r>
        <w:rPr/>
        <w:t>  </w:t>
      </w:r>
      <w:r>
        <w:rPr>
          <w:w w:val="109"/>
        </w:rPr>
        <w:t>sido</w:t>
      </w:r>
      <w:r>
        <w:rPr/>
        <w:t>  </w:t>
      </w:r>
      <w:r>
        <w:rPr>
          <w:w w:val="111"/>
        </w:rPr>
        <w:t>acaparada</w:t>
      </w:r>
      <w:r>
        <w:rPr/>
        <w:t>  </w:t>
      </w:r>
      <w:r>
        <w:rPr>
          <w:w w:val="108"/>
        </w:rPr>
        <w:t>por</w:t>
      </w:r>
      <w:r>
        <w:rPr/>
        <w:t>  </w:t>
      </w:r>
      <w:r>
        <w:rPr>
          <w:w w:val="108"/>
        </w:rPr>
        <w:t>los</w:t>
      </w:r>
      <w:r>
        <w:rPr/>
        <w:t>  </w:t>
      </w:r>
      <w:r>
        <w:rPr>
          <w:w w:val="109"/>
        </w:rPr>
        <w:t>dueños</w:t>
      </w:r>
      <w:r>
        <w:rPr/>
        <w:t>  </w:t>
      </w:r>
      <w:r>
        <w:rPr>
          <w:w w:val="107"/>
        </w:rPr>
        <w:t>de</w:t>
      </w:r>
      <w:r>
        <w:rPr/>
        <w:t>  </w:t>
      </w:r>
      <w:r>
        <w:rPr>
          <w:w w:val="108"/>
        </w:rPr>
        <w:t>los</w:t>
      </w:r>
      <w:r>
        <w:rPr/>
        <w:t>  </w:t>
      </w:r>
      <w:r>
        <w:rPr>
          <w:w w:val="109"/>
        </w:rPr>
        <w:t>medios </w:t>
      </w:r>
      <w:r>
        <w:rPr>
          <w:w w:val="115"/>
        </w:rPr>
        <w:t>de producción. sobre todo, un subsector de ese sector  propietario:</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los financistas. En realidad, éstos no son dueños de bienes concre-   tos o “reales”, tampoco son una clase propiamente capitalista. No son productivos, tampoco son rentistas (un residuo de otros modos de </w:t>
      </w:r>
      <w:r>
        <w:rPr>
          <w:w w:val="111"/>
        </w:rPr>
        <w:t>producción).</w:t>
      </w:r>
      <w:r>
        <w:rPr>
          <w:spacing w:val="14"/>
        </w:rPr>
        <w:t> </w:t>
      </w:r>
      <w:r>
        <w:rPr>
          <w:w w:val="243"/>
        </w:rPr>
        <w:t>l</w:t>
      </w:r>
      <w:r>
        <w:rPr>
          <w:w w:val="108"/>
        </w:rPr>
        <w:t>os</w:t>
      </w:r>
      <w:r>
        <w:rPr>
          <w:spacing w:val="14"/>
        </w:rPr>
        <w:t> </w:t>
      </w:r>
      <w:r>
        <w:rPr>
          <w:w w:val="109"/>
        </w:rPr>
        <w:t>financistas</w:t>
      </w:r>
      <w:r>
        <w:rPr>
          <w:spacing w:val="14"/>
        </w:rPr>
        <w:t> </w:t>
      </w:r>
      <w:r>
        <w:rPr>
          <w:w w:val="110"/>
        </w:rPr>
        <w:t>nacieron</w:t>
      </w:r>
      <w:r>
        <w:rPr>
          <w:spacing w:val="14"/>
        </w:rPr>
        <w:t> </w:t>
      </w:r>
      <w:r>
        <w:rPr>
          <w:w w:val="108"/>
        </w:rPr>
        <w:t>en</w:t>
      </w:r>
      <w:r>
        <w:rPr>
          <w:spacing w:val="14"/>
        </w:rPr>
        <w:t> </w:t>
      </w:r>
      <w:r>
        <w:rPr>
          <w:w w:val="142"/>
        </w:rPr>
        <w:t>i</w:t>
      </w:r>
      <w:r>
        <w:rPr>
          <w:w w:val="109"/>
        </w:rPr>
        <w:t>nglaterra</w:t>
      </w:r>
      <w:r>
        <w:rPr>
          <w:spacing w:val="14"/>
        </w:rPr>
        <w:t> </w:t>
      </w:r>
      <w:r>
        <w:rPr>
          <w:w w:val="111"/>
        </w:rPr>
        <w:t>cuando</w:t>
      </w:r>
      <w:r>
        <w:rPr>
          <w:spacing w:val="14"/>
        </w:rPr>
        <w:t> </w:t>
      </w:r>
      <w:r>
        <w:rPr>
          <w:w w:val="105"/>
        </w:rPr>
        <w:t>se</w:t>
      </w:r>
      <w:r>
        <w:rPr>
          <w:spacing w:val="14"/>
        </w:rPr>
        <w:t> </w:t>
      </w:r>
      <w:r>
        <w:rPr>
          <w:w w:val="109"/>
        </w:rPr>
        <w:t>creó</w:t>
      </w:r>
      <w:r>
        <w:rPr>
          <w:spacing w:val="14"/>
        </w:rPr>
        <w:t> </w:t>
      </w:r>
      <w:r>
        <w:rPr>
          <w:w w:val="107"/>
        </w:rPr>
        <w:t>el </w:t>
      </w:r>
      <w:r>
        <w:rPr>
          <w:w w:val="110"/>
        </w:rPr>
        <w:t>banco de inglaterra. En Estados unidos aparecieron organizados en 1913 con la creación del banco de reserva Federal  </w:t>
      </w:r>
      <w:r>
        <w:rPr>
          <w:spacing w:val="13"/>
          <w:w w:val="110"/>
        </w:rPr>
        <w:t> </w:t>
      </w:r>
      <w:r>
        <w:rPr>
          <w:w w:val="110"/>
        </w:rPr>
        <w:t>(</w:t>
      </w:r>
      <w:r>
        <w:rPr>
          <w:i/>
          <w:w w:val="110"/>
        </w:rPr>
        <w:t>Fed</w:t>
      </w:r>
      <w:r>
        <w:rPr>
          <w:w w:val="110"/>
        </w:rPr>
        <w:t>).</w:t>
      </w:r>
    </w:p>
    <w:p>
      <w:pPr>
        <w:pStyle w:val="BodyText"/>
        <w:spacing w:line="252" w:lineRule="auto"/>
        <w:ind w:left="330" w:right="117" w:firstLine="396"/>
        <w:jc w:val="both"/>
      </w:pPr>
      <w:r>
        <w:rPr>
          <w:w w:val="243"/>
        </w:rPr>
        <w:t>l</w:t>
      </w:r>
      <w:r>
        <w:rPr>
          <w:w w:val="108"/>
        </w:rPr>
        <w:t>os</w:t>
      </w:r>
      <w:r>
        <w:rPr>
          <w:spacing w:val="18"/>
        </w:rPr>
        <w:t> </w:t>
      </w:r>
      <w:r>
        <w:rPr>
          <w:w w:val="109"/>
        </w:rPr>
        <w:t>financistas</w:t>
      </w:r>
      <w:r>
        <w:rPr>
          <w:spacing w:val="18"/>
        </w:rPr>
        <w:t> </w:t>
      </w:r>
      <w:r>
        <w:rPr>
          <w:w w:val="108"/>
        </w:rPr>
        <w:t>deben</w:t>
      </w:r>
      <w:r>
        <w:rPr>
          <w:spacing w:val="18"/>
        </w:rPr>
        <w:t> </w:t>
      </w:r>
      <w:r>
        <w:rPr>
          <w:w w:val="109"/>
        </w:rPr>
        <w:t>su</w:t>
      </w:r>
      <w:r>
        <w:rPr>
          <w:spacing w:val="18"/>
        </w:rPr>
        <w:t> </w:t>
      </w:r>
      <w:r>
        <w:rPr>
          <w:w w:val="107"/>
        </w:rPr>
        <w:t>poder</w:t>
      </w:r>
      <w:r>
        <w:rPr>
          <w:spacing w:val="18"/>
        </w:rPr>
        <w:t> </w:t>
      </w:r>
      <w:r>
        <w:rPr>
          <w:w w:val="112"/>
        </w:rPr>
        <w:t>a</w:t>
      </w:r>
      <w:r>
        <w:rPr>
          <w:spacing w:val="18"/>
        </w:rPr>
        <w:t> </w:t>
      </w:r>
      <w:r>
        <w:rPr>
          <w:w w:val="111"/>
        </w:rPr>
        <w:t>la</w:t>
      </w:r>
      <w:r>
        <w:rPr>
          <w:spacing w:val="18"/>
        </w:rPr>
        <w:t> </w:t>
      </w:r>
      <w:r>
        <w:rPr>
          <w:w w:val="111"/>
        </w:rPr>
        <w:t>capacidad</w:t>
      </w:r>
      <w:r>
        <w:rPr>
          <w:spacing w:val="18"/>
        </w:rPr>
        <w:t> </w:t>
      </w:r>
      <w:r>
        <w:rPr>
          <w:w w:val="108"/>
        </w:rPr>
        <w:t>que</w:t>
      </w:r>
      <w:r>
        <w:rPr>
          <w:spacing w:val="18"/>
        </w:rPr>
        <w:t> </w:t>
      </w:r>
      <w:r>
        <w:rPr>
          <w:w w:val="111"/>
        </w:rPr>
        <w:t>la</w:t>
      </w:r>
      <w:r>
        <w:rPr>
          <w:spacing w:val="18"/>
        </w:rPr>
        <w:t> </w:t>
      </w:r>
      <w:r>
        <w:rPr>
          <w:w w:val="110"/>
        </w:rPr>
        <w:t>correlación </w:t>
      </w:r>
      <w:r>
        <w:rPr>
          <w:w w:val="110"/>
        </w:rPr>
        <w:t>de fuerzas de la formación social les da para crear de la nada dinero que puede transformarse en capital. No nos olvidemos que el dinero </w:t>
      </w:r>
      <w:r>
        <w:rPr>
          <w:w w:val="105"/>
        </w:rPr>
        <w:t>es</w:t>
      </w:r>
      <w:r>
        <w:rPr>
          <w:spacing w:val="20"/>
        </w:rPr>
        <w:t> </w:t>
      </w:r>
      <w:r>
        <w:rPr>
          <w:w w:val="109"/>
        </w:rPr>
        <w:t>necesario</w:t>
      </w:r>
      <w:r>
        <w:rPr>
          <w:spacing w:val="20"/>
        </w:rPr>
        <w:t> </w:t>
      </w:r>
      <w:r>
        <w:rPr>
          <w:w w:val="109"/>
        </w:rPr>
        <w:t>para</w:t>
      </w:r>
      <w:r>
        <w:rPr>
          <w:spacing w:val="20"/>
        </w:rPr>
        <w:t> </w:t>
      </w:r>
      <w:r>
        <w:rPr>
          <w:w w:val="111"/>
        </w:rPr>
        <w:t>consumir</w:t>
      </w:r>
      <w:r>
        <w:rPr>
          <w:spacing w:val="20"/>
        </w:rPr>
        <w:t> </w:t>
      </w:r>
      <w:r>
        <w:rPr>
          <w:w w:val="112"/>
        </w:rPr>
        <w:t>mercancías.</w:t>
      </w:r>
      <w:r>
        <w:rPr>
          <w:spacing w:val="20"/>
        </w:rPr>
        <w:t> </w:t>
      </w:r>
      <w:r>
        <w:rPr>
          <w:w w:val="243"/>
        </w:rPr>
        <w:t>l</w:t>
      </w:r>
      <w:r>
        <w:rPr>
          <w:w w:val="112"/>
        </w:rPr>
        <w:t>a</w:t>
      </w:r>
      <w:r>
        <w:rPr>
          <w:spacing w:val="20"/>
        </w:rPr>
        <w:t> </w:t>
      </w:r>
      <w:r>
        <w:rPr>
          <w:w w:val="111"/>
        </w:rPr>
        <w:t>mercancía</w:t>
      </w:r>
      <w:r>
        <w:rPr>
          <w:spacing w:val="20"/>
        </w:rPr>
        <w:t> </w:t>
      </w:r>
      <w:r>
        <w:rPr>
          <w:w w:val="105"/>
        </w:rPr>
        <w:t>se</w:t>
      </w:r>
      <w:r>
        <w:rPr>
          <w:spacing w:val="20"/>
        </w:rPr>
        <w:t> </w:t>
      </w:r>
      <w:r>
        <w:rPr>
          <w:w w:val="110"/>
        </w:rPr>
        <w:t>transforma </w:t>
      </w:r>
      <w:r>
        <w:rPr>
          <w:w w:val="110"/>
        </w:rPr>
        <w:t>en dinero para adquirir otra mercancía del mismo </w:t>
      </w:r>
      <w:r>
        <w:rPr>
          <w:spacing w:val="-4"/>
          <w:w w:val="110"/>
        </w:rPr>
        <w:t>valor. </w:t>
      </w:r>
      <w:r>
        <w:rPr>
          <w:w w:val="110"/>
        </w:rPr>
        <w:t>se puede hacer en cualquier modo de producción. En cambio, el capital tiene    el don maravilloso de que puede reproducirse –indistintamente– en más capital o dinero. El dinero (capital) es el que adquiere mercancías para</w:t>
      </w:r>
      <w:r>
        <w:rPr>
          <w:spacing w:val="-4"/>
          <w:w w:val="110"/>
        </w:rPr>
        <w:t> </w:t>
      </w:r>
      <w:r>
        <w:rPr>
          <w:w w:val="110"/>
        </w:rPr>
        <w:t>transformarlas</w:t>
      </w:r>
      <w:r>
        <w:rPr>
          <w:spacing w:val="-4"/>
          <w:w w:val="110"/>
        </w:rPr>
        <w:t> </w:t>
      </w:r>
      <w:r>
        <w:rPr>
          <w:w w:val="110"/>
        </w:rPr>
        <w:t>en</w:t>
      </w:r>
      <w:r>
        <w:rPr>
          <w:spacing w:val="-4"/>
          <w:w w:val="110"/>
        </w:rPr>
        <w:t> </w:t>
      </w:r>
      <w:r>
        <w:rPr>
          <w:w w:val="110"/>
        </w:rPr>
        <w:t>más</w:t>
      </w:r>
      <w:r>
        <w:rPr>
          <w:spacing w:val="-4"/>
          <w:w w:val="110"/>
        </w:rPr>
        <w:t> </w:t>
      </w:r>
      <w:r>
        <w:rPr>
          <w:w w:val="110"/>
        </w:rPr>
        <w:t>dinero</w:t>
      </w:r>
      <w:r>
        <w:rPr>
          <w:spacing w:val="-4"/>
          <w:w w:val="110"/>
        </w:rPr>
        <w:t> </w:t>
      </w:r>
      <w:r>
        <w:rPr>
          <w:w w:val="110"/>
        </w:rPr>
        <w:t>(capital</w:t>
      </w:r>
      <w:r>
        <w:rPr>
          <w:spacing w:val="-4"/>
          <w:w w:val="110"/>
        </w:rPr>
        <w:t> </w:t>
      </w:r>
      <w:r>
        <w:rPr>
          <w:w w:val="110"/>
        </w:rPr>
        <w:t>1).</w:t>
      </w:r>
      <w:r>
        <w:rPr>
          <w:spacing w:val="-4"/>
          <w:w w:val="110"/>
        </w:rPr>
        <w:t> </w:t>
      </w:r>
      <w:r>
        <w:rPr>
          <w:w w:val="110"/>
        </w:rPr>
        <w:t>Para</w:t>
      </w:r>
      <w:r>
        <w:rPr>
          <w:spacing w:val="-4"/>
          <w:w w:val="110"/>
        </w:rPr>
        <w:t> </w:t>
      </w:r>
      <w:r>
        <w:rPr>
          <w:w w:val="110"/>
        </w:rPr>
        <w:t>ello</w:t>
      </w:r>
      <w:r>
        <w:rPr>
          <w:spacing w:val="-4"/>
          <w:w w:val="110"/>
        </w:rPr>
        <w:t> </w:t>
      </w:r>
      <w:r>
        <w:rPr>
          <w:w w:val="110"/>
        </w:rPr>
        <w:t>tiene</w:t>
      </w:r>
      <w:r>
        <w:rPr>
          <w:spacing w:val="-4"/>
          <w:w w:val="110"/>
        </w:rPr>
        <w:t> </w:t>
      </w:r>
      <w:r>
        <w:rPr>
          <w:w w:val="110"/>
        </w:rPr>
        <w:t>que</w:t>
      </w:r>
      <w:r>
        <w:rPr>
          <w:spacing w:val="-4"/>
          <w:w w:val="110"/>
        </w:rPr>
        <w:t> </w:t>
      </w:r>
      <w:r>
        <w:rPr>
          <w:w w:val="110"/>
        </w:rPr>
        <w:t>exis- tir un modo de producción </w:t>
      </w:r>
      <w:r>
        <w:rPr>
          <w:spacing w:val="26"/>
          <w:w w:val="110"/>
        </w:rPr>
        <w:t> </w:t>
      </w:r>
      <w:r>
        <w:rPr>
          <w:w w:val="110"/>
        </w:rPr>
        <w:t>capitalista.</w:t>
      </w:r>
    </w:p>
    <w:p>
      <w:pPr>
        <w:pStyle w:val="BodyText"/>
        <w:spacing w:before="5"/>
      </w:pPr>
    </w:p>
    <w:p>
      <w:pPr>
        <w:pStyle w:val="Heading6"/>
        <w:ind w:left="331"/>
      </w:pPr>
      <w:r>
        <w:rPr>
          <w:w w:val="145"/>
        </w:rPr>
        <w:t>el fin de la Historia</w:t>
      </w:r>
    </w:p>
    <w:p>
      <w:pPr>
        <w:pStyle w:val="BodyText"/>
        <w:spacing w:line="252" w:lineRule="auto" w:before="10"/>
        <w:ind w:left="330" w:right="117"/>
        <w:jc w:val="both"/>
      </w:pPr>
      <w:r>
        <w:rPr>
          <w:w w:val="110"/>
        </w:rPr>
        <w:t>El eufemismo popularizado por Francis Fukuyama, “el fin de la histo- ria”, se refería a lo que los ideólogos de fines del siglo </w:t>
      </w:r>
      <w:r>
        <w:rPr>
          <w:w w:val="150"/>
        </w:rPr>
        <w:t>xx </w:t>
      </w:r>
      <w:r>
        <w:rPr>
          <w:w w:val="110"/>
        </w:rPr>
        <w:t>considera- ban la derrota de la clase obrera y sus pretensiones de compartir los frutos de su trabajo y productividad. Fukuyama, por razones ideológi- cas comprensibles, presentó su tesis puesta de cabeza. El capitalismo, decía, en su forma liberal y jerarquizada, llegó a la cima de la civili- </w:t>
      </w:r>
      <w:r>
        <w:rPr>
          <w:w w:val="112"/>
        </w:rPr>
        <w:t>zación</w:t>
      </w:r>
      <w:r>
        <w:rPr>
          <w:spacing w:val="10"/>
        </w:rPr>
        <w:t> </w:t>
      </w:r>
      <w:r>
        <w:rPr>
          <w:w w:val="112"/>
        </w:rPr>
        <w:t>humana</w:t>
      </w:r>
      <w:r>
        <w:rPr>
          <w:spacing w:val="10"/>
        </w:rPr>
        <w:t> </w:t>
      </w:r>
      <w:r>
        <w:rPr>
          <w:w w:val="109"/>
        </w:rPr>
        <w:t>para</w:t>
      </w:r>
      <w:r>
        <w:rPr>
          <w:spacing w:val="10"/>
        </w:rPr>
        <w:t> </w:t>
      </w:r>
      <w:r>
        <w:rPr>
          <w:w w:val="107"/>
        </w:rPr>
        <w:t>quedarse</w:t>
      </w:r>
      <w:r>
        <w:rPr>
          <w:spacing w:val="10"/>
        </w:rPr>
        <w:t> </w:t>
      </w:r>
      <w:r>
        <w:rPr>
          <w:w w:val="111"/>
        </w:rPr>
        <w:t>gozando</w:t>
      </w:r>
      <w:r>
        <w:rPr>
          <w:spacing w:val="10"/>
        </w:rPr>
        <w:t> </w:t>
      </w:r>
      <w:r>
        <w:rPr>
          <w:w w:val="107"/>
        </w:rPr>
        <w:t>de</w:t>
      </w:r>
      <w:r>
        <w:rPr>
          <w:spacing w:val="10"/>
        </w:rPr>
        <w:t> </w:t>
      </w:r>
      <w:r>
        <w:rPr>
          <w:w w:val="108"/>
        </w:rPr>
        <w:t>sus</w:t>
      </w:r>
      <w:r>
        <w:rPr>
          <w:spacing w:val="10"/>
        </w:rPr>
        <w:t> </w:t>
      </w:r>
      <w:r>
        <w:rPr>
          <w:w w:val="112"/>
        </w:rPr>
        <w:t>triunfos.</w:t>
      </w:r>
      <w:r>
        <w:rPr>
          <w:spacing w:val="10"/>
        </w:rPr>
        <w:t> </w:t>
      </w:r>
      <w:r>
        <w:rPr>
          <w:w w:val="243"/>
        </w:rPr>
        <w:t>l</w:t>
      </w:r>
      <w:r>
        <w:rPr>
          <w:w w:val="108"/>
        </w:rPr>
        <w:t>os</w:t>
      </w:r>
      <w:r>
        <w:rPr>
          <w:spacing w:val="10"/>
        </w:rPr>
        <w:t> </w:t>
      </w:r>
      <w:r>
        <w:rPr>
          <w:w w:val="109"/>
        </w:rPr>
        <w:t>ideólogos </w:t>
      </w:r>
      <w:r>
        <w:rPr>
          <w:w w:val="110"/>
        </w:rPr>
        <w:t>del capitalismo tenían muchas razones para </w:t>
      </w:r>
      <w:r>
        <w:rPr>
          <w:spacing w:val="-3"/>
          <w:w w:val="110"/>
        </w:rPr>
        <w:t>celebrar. </w:t>
      </w:r>
      <w:r>
        <w:rPr>
          <w:w w:val="110"/>
        </w:rPr>
        <w:t>Habían quebra- do el movimiento obrero de los países más desarrollados, reduciendo sus organizaciones en apéndices de los objetivos asociados con la acu- mulación capitalista. al mismo tiempo, sometieron a los movimientos sociales de liberación nacional y de desarrollo autónomo de los países menos desarrollados. se creyeron su propia propaganda cuando co- lapsó el experimento soviético en Europa central y oriental (devine, </w:t>
      </w:r>
      <w:r>
        <w:rPr>
          <w:w w:val="104"/>
        </w:rPr>
        <w:t>2006).</w:t>
      </w:r>
      <w:r>
        <w:rPr/>
        <w:t> </w:t>
      </w:r>
      <w:r>
        <w:rPr>
          <w:spacing w:val="-6"/>
        </w:rPr>
        <w:t> </w:t>
      </w:r>
      <w:r>
        <w:rPr>
          <w:w w:val="243"/>
        </w:rPr>
        <w:t>l</w:t>
      </w:r>
      <w:r>
        <w:rPr>
          <w:w w:val="112"/>
        </w:rPr>
        <w:t>a</w:t>
      </w:r>
      <w:r>
        <w:rPr/>
        <w:t> </w:t>
      </w:r>
      <w:r>
        <w:rPr>
          <w:spacing w:val="-6"/>
        </w:rPr>
        <w:t> </w:t>
      </w:r>
      <w:r>
        <w:rPr>
          <w:w w:val="109"/>
        </w:rPr>
        <w:t>debacle</w:t>
      </w:r>
      <w:r>
        <w:rPr/>
        <w:t> </w:t>
      </w:r>
      <w:r>
        <w:rPr>
          <w:spacing w:val="-6"/>
        </w:rPr>
        <w:t> </w:t>
      </w:r>
      <w:r>
        <w:rPr>
          <w:w w:val="110"/>
        </w:rPr>
        <w:t>soviética,</w:t>
      </w:r>
      <w:r>
        <w:rPr/>
        <w:t> </w:t>
      </w:r>
      <w:r>
        <w:rPr>
          <w:spacing w:val="-6"/>
        </w:rPr>
        <w:t> </w:t>
      </w:r>
      <w:r>
        <w:rPr>
          <w:w w:val="112"/>
        </w:rPr>
        <w:t>a</w:t>
      </w:r>
      <w:r>
        <w:rPr/>
        <w:t> </w:t>
      </w:r>
      <w:r>
        <w:rPr>
          <w:spacing w:val="-6"/>
        </w:rPr>
        <w:t> </w:t>
      </w:r>
      <w:r>
        <w:rPr>
          <w:w w:val="109"/>
        </w:rPr>
        <w:t>su</w:t>
      </w:r>
      <w:r>
        <w:rPr/>
        <w:t> </w:t>
      </w:r>
      <w:r>
        <w:rPr>
          <w:spacing w:val="-6"/>
        </w:rPr>
        <w:t> </w:t>
      </w:r>
      <w:r>
        <w:rPr>
          <w:w w:val="109"/>
        </w:rPr>
        <w:t>vez,</w:t>
      </w:r>
      <w:r>
        <w:rPr/>
        <w:t> </w:t>
      </w:r>
      <w:r>
        <w:rPr>
          <w:spacing w:val="-6"/>
        </w:rPr>
        <w:t> </w:t>
      </w:r>
      <w:r>
        <w:rPr>
          <w:w w:val="108"/>
        </w:rPr>
        <w:t>dejó</w:t>
      </w:r>
      <w:r>
        <w:rPr/>
        <w:t> </w:t>
      </w:r>
      <w:r>
        <w:rPr>
          <w:spacing w:val="-6"/>
        </w:rPr>
        <w:t> </w:t>
      </w:r>
      <w:r>
        <w:rPr>
          <w:w w:val="112"/>
        </w:rPr>
        <w:t>a</w:t>
      </w:r>
      <w:r>
        <w:rPr/>
        <w:t> </w:t>
      </w:r>
      <w:r>
        <w:rPr>
          <w:spacing w:val="-6"/>
        </w:rPr>
        <w:t> </w:t>
      </w:r>
      <w:r>
        <w:rPr>
          <w:w w:val="111"/>
        </w:rPr>
        <w:t>Estados</w:t>
      </w:r>
      <w:r>
        <w:rPr/>
        <w:t> </w:t>
      </w:r>
      <w:r>
        <w:rPr>
          <w:spacing w:val="-7"/>
        </w:rPr>
        <w:t> </w:t>
      </w:r>
      <w:r>
        <w:rPr>
          <w:w w:val="140"/>
        </w:rPr>
        <w:t>u</w:t>
      </w:r>
      <w:r>
        <w:rPr>
          <w:w w:val="110"/>
        </w:rPr>
        <w:t>nidos</w:t>
      </w:r>
      <w:r>
        <w:rPr/>
        <w:t> </w:t>
      </w:r>
      <w:r>
        <w:rPr>
          <w:spacing w:val="-6"/>
        </w:rPr>
        <w:t> </w:t>
      </w:r>
      <w:r>
        <w:rPr>
          <w:w w:val="110"/>
        </w:rPr>
        <w:t>sin</w:t>
      </w:r>
      <w:r>
        <w:rPr/>
        <w:t> </w:t>
      </w:r>
      <w:r>
        <w:rPr>
          <w:spacing w:val="-6"/>
        </w:rPr>
        <w:t> </w:t>
      </w:r>
      <w:r>
        <w:rPr>
          <w:w w:val="112"/>
        </w:rPr>
        <w:t>un </w:t>
      </w:r>
      <w:r>
        <w:rPr>
          <w:w w:val="110"/>
        </w:rPr>
        <w:t>enemigo que le permitiera desarrollar su economía de guerra, única capaz de transferir con la legitimidad necesaria los excedentes extraí- dos a la clase obrera, en manos del gobierno, a la clase capitalista (Gandásegui y Castillo,</w:t>
      </w:r>
      <w:r>
        <w:rPr>
          <w:spacing w:val="36"/>
          <w:w w:val="110"/>
        </w:rPr>
        <w:t> </w:t>
      </w:r>
      <w:r>
        <w:rPr>
          <w:w w:val="110"/>
        </w:rPr>
        <w:t>2010).</w:t>
      </w:r>
    </w:p>
    <w:p>
      <w:pPr>
        <w:pStyle w:val="BodyText"/>
        <w:spacing w:line="252" w:lineRule="auto"/>
        <w:ind w:left="330" w:right="117" w:firstLine="396"/>
        <w:jc w:val="both"/>
      </w:pPr>
      <w:r>
        <w:rPr>
          <w:w w:val="110"/>
        </w:rPr>
        <w:t>“El fin de la historia”, sin embargo, tenía otro significado muy </w:t>
      </w:r>
      <w:r>
        <w:rPr>
          <w:w w:val="109"/>
        </w:rPr>
        <w:t>distinto</w:t>
      </w:r>
      <w:r>
        <w:rPr/>
        <w:t> </w:t>
      </w:r>
      <w:r>
        <w:rPr>
          <w:w w:val="111"/>
        </w:rPr>
        <w:t>al</w:t>
      </w:r>
      <w:r>
        <w:rPr/>
        <w:t> </w:t>
      </w:r>
      <w:r>
        <w:rPr>
          <w:w w:val="112"/>
        </w:rPr>
        <w:t>imaginado</w:t>
      </w:r>
      <w:r>
        <w:rPr/>
        <w:t> </w:t>
      </w:r>
      <w:r>
        <w:rPr>
          <w:w w:val="108"/>
        </w:rPr>
        <w:t>por</w:t>
      </w:r>
      <w:r>
        <w:rPr/>
        <w:t> </w:t>
      </w:r>
      <w:r>
        <w:rPr>
          <w:w w:val="113"/>
        </w:rPr>
        <w:t>Fukuyama.</w:t>
      </w:r>
      <w:r>
        <w:rPr/>
        <w:t> </w:t>
      </w:r>
      <w:r>
        <w:rPr>
          <w:w w:val="243"/>
        </w:rPr>
        <w:t>l</w:t>
      </w:r>
      <w:r>
        <w:rPr>
          <w:w w:val="112"/>
        </w:rPr>
        <w:t>a</w:t>
      </w:r>
      <w:r>
        <w:rPr/>
        <w:t> </w:t>
      </w:r>
      <w:r>
        <w:rPr>
          <w:w w:val="107"/>
        </w:rPr>
        <w:t>derrota</w:t>
      </w:r>
      <w:r>
        <w:rPr/>
        <w:t> </w:t>
      </w:r>
      <w:r>
        <w:rPr>
          <w:w w:val="107"/>
        </w:rPr>
        <w:t>de</w:t>
      </w:r>
      <w:r>
        <w:rPr/>
        <w:t> </w:t>
      </w:r>
      <w:r>
        <w:rPr>
          <w:w w:val="111"/>
        </w:rPr>
        <w:t>la</w:t>
      </w:r>
      <w:r>
        <w:rPr/>
        <w:t> </w:t>
      </w:r>
      <w:r>
        <w:rPr>
          <w:w w:val="109"/>
        </w:rPr>
        <w:t>clase</w:t>
      </w:r>
      <w:r>
        <w:rPr/>
        <w:t> </w:t>
      </w:r>
      <w:r>
        <w:rPr>
          <w:w w:val="108"/>
        </w:rPr>
        <w:t>obrera</w:t>
      </w:r>
      <w:r>
        <w:rPr/>
        <w:t> </w:t>
      </w:r>
      <w:r>
        <w:rPr>
          <w:w w:val="107"/>
        </w:rPr>
        <w:t>de </w:t>
      </w:r>
      <w:r>
        <w:rPr>
          <w:w w:val="110"/>
        </w:rPr>
        <w:t>los países más industrializados representaba también el fin de las al- tas tasas de ganancia. Marcó el inicio de las políticas neoliberales que introducen la “financiación” de las economías. Es decir, la extracción de ganancias mediante la circulación y no de la   producción.</w:t>
      </w:r>
    </w:p>
    <w:p>
      <w:pPr>
        <w:spacing w:after="0" w:line="252" w:lineRule="auto"/>
        <w:jc w:val="both"/>
        <w:sectPr>
          <w:footerReference w:type="even" r:id="rId115"/>
          <w:footerReference w:type="default" r:id="rId116"/>
          <w:pgSz w:w="8790" w:h="12760"/>
          <w:pgMar w:footer="725" w:header="695" w:top="880" w:bottom="920" w:left="1200" w:right="900"/>
          <w:pgNumType w:start="72"/>
        </w:sectPr>
      </w:pPr>
    </w:p>
    <w:p>
      <w:pPr>
        <w:pStyle w:val="BodyText"/>
        <w:spacing w:before="9"/>
        <w:rPr>
          <w:sz w:val="28"/>
        </w:rPr>
      </w:pPr>
    </w:p>
    <w:p>
      <w:pPr>
        <w:pStyle w:val="BodyText"/>
        <w:spacing w:line="252" w:lineRule="auto" w:before="73"/>
        <w:ind w:left="100" w:right="325" w:firstLine="396"/>
        <w:jc w:val="both"/>
      </w:pPr>
      <w:r>
        <w:rPr>
          <w:w w:val="110"/>
        </w:rPr>
        <w:t>El llamado “fin de la historia”, en los términos expuestos por ideólogos como Fukuyama, en realidad puede entenderse como la crisis del capitalismo que es la forma de dominación (liberal) sobre   la clase trabajadora </w:t>
      </w:r>
      <w:r>
        <w:rPr>
          <w:spacing w:val="-10"/>
          <w:w w:val="110"/>
        </w:rPr>
        <w:t>y, </w:t>
      </w:r>
      <w:r>
        <w:rPr>
          <w:w w:val="110"/>
        </w:rPr>
        <w:t>a la vez, el sometimiento (dependencia) de enormes regiones del mundo en el marco de un sistema jerárquico tipo</w:t>
      </w:r>
      <w:r>
        <w:rPr>
          <w:spacing w:val="27"/>
          <w:w w:val="110"/>
        </w:rPr>
        <w:t> </w:t>
      </w:r>
      <w:r>
        <w:rPr>
          <w:w w:val="110"/>
        </w:rPr>
        <w:t>centro-periferia.</w:t>
      </w:r>
    </w:p>
    <w:p>
      <w:pPr>
        <w:pStyle w:val="BodyText"/>
        <w:spacing w:line="252" w:lineRule="auto"/>
        <w:ind w:left="100" w:right="327" w:firstLine="396"/>
        <w:jc w:val="both"/>
      </w:pPr>
      <w:r>
        <w:rPr>
          <w:w w:val="243"/>
        </w:rPr>
        <w:t>l</w:t>
      </w:r>
      <w:r>
        <w:rPr>
          <w:w w:val="112"/>
        </w:rPr>
        <w:t>a</w:t>
      </w:r>
      <w:r>
        <w:rPr/>
        <w:t> </w:t>
      </w:r>
      <w:r>
        <w:rPr>
          <w:spacing w:val="6"/>
        </w:rPr>
        <w:t> </w:t>
      </w:r>
      <w:r>
        <w:rPr>
          <w:w w:val="107"/>
        </w:rPr>
        <w:t>derrota</w:t>
      </w:r>
      <w:r>
        <w:rPr/>
        <w:t> </w:t>
      </w:r>
      <w:r>
        <w:rPr>
          <w:spacing w:val="6"/>
        </w:rPr>
        <w:t> </w:t>
      </w:r>
      <w:r>
        <w:rPr>
          <w:w w:val="107"/>
        </w:rPr>
        <w:t>de</w:t>
      </w:r>
      <w:r>
        <w:rPr/>
        <w:t> </w:t>
      </w:r>
      <w:r>
        <w:rPr>
          <w:spacing w:val="6"/>
        </w:rPr>
        <w:t> </w:t>
      </w:r>
      <w:r>
        <w:rPr>
          <w:w w:val="111"/>
        </w:rPr>
        <w:t>la</w:t>
      </w:r>
      <w:r>
        <w:rPr/>
        <w:t> </w:t>
      </w:r>
      <w:r>
        <w:rPr>
          <w:spacing w:val="6"/>
        </w:rPr>
        <w:t> </w:t>
      </w:r>
      <w:r>
        <w:rPr>
          <w:w w:val="109"/>
        </w:rPr>
        <w:t>clase</w:t>
      </w:r>
      <w:r>
        <w:rPr/>
        <w:t> </w:t>
      </w:r>
      <w:r>
        <w:rPr>
          <w:spacing w:val="6"/>
        </w:rPr>
        <w:t> </w:t>
      </w:r>
      <w:r>
        <w:rPr>
          <w:w w:val="108"/>
        </w:rPr>
        <w:t>obrera</w:t>
      </w:r>
      <w:r>
        <w:rPr/>
        <w:t> </w:t>
      </w:r>
      <w:r>
        <w:rPr>
          <w:spacing w:val="6"/>
        </w:rPr>
        <w:t> </w:t>
      </w:r>
      <w:r>
        <w:rPr>
          <w:w w:val="107"/>
        </w:rPr>
        <w:t>representa</w:t>
      </w:r>
      <w:r>
        <w:rPr/>
        <w:t> </w:t>
      </w:r>
      <w:r>
        <w:rPr>
          <w:spacing w:val="6"/>
        </w:rPr>
        <w:t> </w:t>
      </w:r>
      <w:r>
        <w:rPr>
          <w:w w:val="111"/>
        </w:rPr>
        <w:t>la</w:t>
      </w:r>
      <w:r>
        <w:rPr/>
        <w:t> </w:t>
      </w:r>
      <w:r>
        <w:rPr>
          <w:spacing w:val="6"/>
        </w:rPr>
        <w:t> </w:t>
      </w:r>
      <w:r>
        <w:rPr>
          <w:w w:val="110"/>
        </w:rPr>
        <w:t>tendencia</w:t>
      </w:r>
      <w:r>
        <w:rPr/>
        <w:t> </w:t>
      </w:r>
      <w:r>
        <w:rPr>
          <w:spacing w:val="6"/>
        </w:rPr>
        <w:t> </w:t>
      </w:r>
      <w:r>
        <w:rPr>
          <w:w w:val="113"/>
        </w:rPr>
        <w:t>hacia</w:t>
      </w:r>
      <w:r>
        <w:rPr/>
        <w:t> </w:t>
      </w:r>
      <w:r>
        <w:rPr>
          <w:spacing w:val="6"/>
        </w:rPr>
        <w:t> </w:t>
      </w:r>
      <w:r>
        <w:rPr>
          <w:w w:val="111"/>
        </w:rPr>
        <w:t>la </w:t>
      </w:r>
      <w:r>
        <w:rPr>
          <w:w w:val="110"/>
        </w:rPr>
        <w:t>pauperización y su exclusión de los procesos de realización de los excedentes que produce la relación de producción capitalista. En un análisis de los datos arrojados por una encuesta realizada en 2005  por la reserva Federal de Estados unidos, se resalta el estancamiento del ingreso de la familia media norteamericana en los primeros años del siglo. En contraste, los ingresos de las familias del rango superior (más ricas) crecieron un 20 por</w:t>
      </w:r>
      <w:r>
        <w:rPr>
          <w:spacing w:val="33"/>
          <w:w w:val="110"/>
        </w:rPr>
        <w:t> </w:t>
      </w:r>
      <w:r>
        <w:rPr>
          <w:w w:val="110"/>
        </w:rPr>
        <w:t>ciento.</w:t>
      </w:r>
    </w:p>
    <w:p>
      <w:pPr>
        <w:pStyle w:val="BodyText"/>
        <w:spacing w:line="252" w:lineRule="auto"/>
        <w:ind w:left="100" w:right="328" w:firstLine="396"/>
        <w:jc w:val="both"/>
      </w:pPr>
      <w:r>
        <w:rPr>
          <w:w w:val="115"/>
        </w:rPr>
        <w:t>Cuando</w:t>
      </w:r>
      <w:r>
        <w:rPr>
          <w:spacing w:val="-11"/>
          <w:w w:val="115"/>
        </w:rPr>
        <w:t> </w:t>
      </w:r>
      <w:r>
        <w:rPr>
          <w:w w:val="115"/>
        </w:rPr>
        <w:t>se</w:t>
      </w:r>
      <w:r>
        <w:rPr>
          <w:spacing w:val="-11"/>
          <w:w w:val="115"/>
        </w:rPr>
        <w:t> </w:t>
      </w:r>
      <w:r>
        <w:rPr>
          <w:w w:val="115"/>
        </w:rPr>
        <w:t>analizan</w:t>
      </w:r>
      <w:r>
        <w:rPr>
          <w:spacing w:val="-11"/>
          <w:w w:val="115"/>
        </w:rPr>
        <w:t> </w:t>
      </w:r>
      <w:r>
        <w:rPr>
          <w:w w:val="115"/>
        </w:rPr>
        <w:t>los</w:t>
      </w:r>
      <w:r>
        <w:rPr>
          <w:spacing w:val="-11"/>
          <w:w w:val="115"/>
        </w:rPr>
        <w:t> </w:t>
      </w:r>
      <w:r>
        <w:rPr>
          <w:w w:val="115"/>
        </w:rPr>
        <w:t>datos</w:t>
      </w:r>
      <w:r>
        <w:rPr>
          <w:spacing w:val="-11"/>
          <w:w w:val="115"/>
        </w:rPr>
        <w:t> </w:t>
      </w:r>
      <w:r>
        <w:rPr>
          <w:w w:val="115"/>
        </w:rPr>
        <w:t>correspondientes</w:t>
      </w:r>
      <w:r>
        <w:rPr>
          <w:spacing w:val="-11"/>
          <w:w w:val="115"/>
        </w:rPr>
        <w:t> </w:t>
      </w:r>
      <w:r>
        <w:rPr>
          <w:w w:val="115"/>
        </w:rPr>
        <w:t>a</w:t>
      </w:r>
      <w:r>
        <w:rPr>
          <w:spacing w:val="-11"/>
          <w:w w:val="115"/>
        </w:rPr>
        <w:t> </w:t>
      </w:r>
      <w:r>
        <w:rPr>
          <w:w w:val="115"/>
        </w:rPr>
        <w:t>la</w:t>
      </w:r>
      <w:r>
        <w:rPr>
          <w:spacing w:val="-11"/>
          <w:w w:val="115"/>
        </w:rPr>
        <w:t> </w:t>
      </w:r>
      <w:r>
        <w:rPr>
          <w:w w:val="115"/>
        </w:rPr>
        <w:t>riqueza</w:t>
      </w:r>
      <w:r>
        <w:rPr>
          <w:spacing w:val="-11"/>
          <w:w w:val="115"/>
        </w:rPr>
        <w:t> </w:t>
      </w:r>
      <w:r>
        <w:rPr>
          <w:w w:val="115"/>
        </w:rPr>
        <w:t>neta </w:t>
      </w:r>
      <w:r>
        <w:rPr>
          <w:w w:val="107"/>
        </w:rPr>
        <w:t>de</w:t>
      </w:r>
      <w:r>
        <w:rPr>
          <w:spacing w:val="17"/>
        </w:rPr>
        <w:t> </w:t>
      </w:r>
      <w:r>
        <w:rPr>
          <w:w w:val="109"/>
        </w:rPr>
        <w:t>las</w:t>
      </w:r>
      <w:r>
        <w:rPr>
          <w:spacing w:val="17"/>
        </w:rPr>
        <w:t> </w:t>
      </w:r>
      <w:r>
        <w:rPr>
          <w:w w:val="112"/>
        </w:rPr>
        <w:t>familias</w:t>
      </w:r>
      <w:r>
        <w:rPr>
          <w:spacing w:val="17"/>
        </w:rPr>
        <w:t> </w:t>
      </w:r>
      <w:r>
        <w:rPr>
          <w:w w:val="110"/>
        </w:rPr>
        <w:t>norteamericanas</w:t>
      </w:r>
      <w:r>
        <w:rPr>
          <w:spacing w:val="17"/>
        </w:rPr>
        <w:t> </w:t>
      </w:r>
      <w:r>
        <w:rPr>
          <w:w w:val="105"/>
        </w:rPr>
        <w:t>se</w:t>
      </w:r>
      <w:r>
        <w:rPr>
          <w:spacing w:val="17"/>
        </w:rPr>
        <w:t> </w:t>
      </w:r>
      <w:r>
        <w:rPr>
          <w:w w:val="107"/>
        </w:rPr>
        <w:t>presenta</w:t>
      </w:r>
      <w:r>
        <w:rPr>
          <w:spacing w:val="17"/>
        </w:rPr>
        <w:t> </w:t>
      </w:r>
      <w:r>
        <w:rPr>
          <w:w w:val="108"/>
        </w:rPr>
        <w:t>otra</w:t>
      </w:r>
      <w:r>
        <w:rPr>
          <w:spacing w:val="17"/>
        </w:rPr>
        <w:t> </w:t>
      </w:r>
      <w:r>
        <w:rPr>
          <w:w w:val="111"/>
        </w:rPr>
        <w:t>realidad.</w:t>
      </w:r>
      <w:r>
        <w:rPr>
          <w:spacing w:val="17"/>
        </w:rPr>
        <w:t> </w:t>
      </w:r>
      <w:r>
        <w:rPr>
          <w:w w:val="243"/>
        </w:rPr>
        <w:t>l</w:t>
      </w:r>
      <w:r>
        <w:rPr>
          <w:w w:val="112"/>
        </w:rPr>
        <w:t>a</w:t>
      </w:r>
      <w:r>
        <w:rPr>
          <w:spacing w:val="17"/>
        </w:rPr>
        <w:t> </w:t>
      </w:r>
      <w:r>
        <w:rPr>
          <w:w w:val="109"/>
        </w:rPr>
        <w:t>riqueza </w:t>
      </w:r>
      <w:r>
        <w:rPr>
          <w:w w:val="115"/>
        </w:rPr>
        <w:t>de</w:t>
      </w:r>
      <w:r>
        <w:rPr>
          <w:spacing w:val="-6"/>
          <w:w w:val="115"/>
        </w:rPr>
        <w:t> </w:t>
      </w:r>
      <w:r>
        <w:rPr>
          <w:w w:val="115"/>
        </w:rPr>
        <w:t>la</w:t>
      </w:r>
      <w:r>
        <w:rPr>
          <w:spacing w:val="-6"/>
          <w:w w:val="115"/>
        </w:rPr>
        <w:t> </w:t>
      </w:r>
      <w:r>
        <w:rPr>
          <w:w w:val="115"/>
        </w:rPr>
        <w:t>familia</w:t>
      </w:r>
      <w:r>
        <w:rPr>
          <w:spacing w:val="-6"/>
          <w:w w:val="115"/>
        </w:rPr>
        <w:t> </w:t>
      </w:r>
      <w:r>
        <w:rPr>
          <w:w w:val="115"/>
        </w:rPr>
        <w:t>media</w:t>
      </w:r>
      <w:r>
        <w:rPr>
          <w:spacing w:val="-6"/>
          <w:w w:val="115"/>
        </w:rPr>
        <w:t> </w:t>
      </w:r>
      <w:r>
        <w:rPr>
          <w:w w:val="115"/>
        </w:rPr>
        <w:t>creció</w:t>
      </w:r>
      <w:r>
        <w:rPr>
          <w:spacing w:val="-6"/>
          <w:w w:val="115"/>
        </w:rPr>
        <w:t> </w:t>
      </w:r>
      <w:r>
        <w:rPr>
          <w:w w:val="115"/>
        </w:rPr>
        <w:t>30%</w:t>
      </w:r>
      <w:r>
        <w:rPr>
          <w:spacing w:val="-6"/>
          <w:w w:val="115"/>
        </w:rPr>
        <w:t> </w:t>
      </w:r>
      <w:r>
        <w:rPr>
          <w:w w:val="115"/>
        </w:rPr>
        <w:t>entre</w:t>
      </w:r>
      <w:r>
        <w:rPr>
          <w:spacing w:val="-6"/>
          <w:w w:val="115"/>
        </w:rPr>
        <w:t> </w:t>
      </w:r>
      <w:r>
        <w:rPr>
          <w:w w:val="115"/>
        </w:rPr>
        <w:t>1998</w:t>
      </w:r>
      <w:r>
        <w:rPr>
          <w:spacing w:val="-6"/>
          <w:w w:val="115"/>
        </w:rPr>
        <w:t> </w:t>
      </w:r>
      <w:r>
        <w:rPr>
          <w:w w:val="115"/>
        </w:rPr>
        <w:t>y</w:t>
      </w:r>
      <w:r>
        <w:rPr>
          <w:spacing w:val="-6"/>
          <w:w w:val="115"/>
        </w:rPr>
        <w:t> </w:t>
      </w:r>
      <w:r>
        <w:rPr>
          <w:w w:val="115"/>
        </w:rPr>
        <w:t>2007.</w:t>
      </w:r>
      <w:r>
        <w:rPr>
          <w:spacing w:val="-6"/>
          <w:w w:val="115"/>
        </w:rPr>
        <w:t> </w:t>
      </w:r>
      <w:r>
        <w:rPr>
          <w:w w:val="115"/>
        </w:rPr>
        <w:t>¿Cómo</w:t>
      </w:r>
      <w:r>
        <w:rPr>
          <w:spacing w:val="-6"/>
          <w:w w:val="115"/>
        </w:rPr>
        <w:t> </w:t>
      </w:r>
      <w:r>
        <w:rPr>
          <w:w w:val="115"/>
        </w:rPr>
        <w:t>se</w:t>
      </w:r>
      <w:r>
        <w:rPr>
          <w:spacing w:val="-6"/>
          <w:w w:val="115"/>
        </w:rPr>
        <w:t> </w:t>
      </w:r>
      <w:r>
        <w:rPr>
          <w:w w:val="115"/>
        </w:rPr>
        <w:t>explica que</w:t>
      </w:r>
      <w:r>
        <w:rPr>
          <w:spacing w:val="-13"/>
          <w:w w:val="115"/>
        </w:rPr>
        <w:t> </w:t>
      </w:r>
      <w:r>
        <w:rPr>
          <w:w w:val="115"/>
        </w:rPr>
        <w:t>mientras</w:t>
      </w:r>
      <w:r>
        <w:rPr>
          <w:spacing w:val="-13"/>
          <w:w w:val="115"/>
        </w:rPr>
        <w:t> </w:t>
      </w:r>
      <w:r>
        <w:rPr>
          <w:w w:val="115"/>
        </w:rPr>
        <w:t>los</w:t>
      </w:r>
      <w:r>
        <w:rPr>
          <w:spacing w:val="-13"/>
          <w:w w:val="115"/>
        </w:rPr>
        <w:t> </w:t>
      </w:r>
      <w:r>
        <w:rPr>
          <w:w w:val="115"/>
        </w:rPr>
        <w:t>ingresos</w:t>
      </w:r>
      <w:r>
        <w:rPr>
          <w:spacing w:val="-13"/>
          <w:w w:val="115"/>
        </w:rPr>
        <w:t> </w:t>
      </w:r>
      <w:r>
        <w:rPr>
          <w:w w:val="115"/>
        </w:rPr>
        <w:t>de</w:t>
      </w:r>
      <w:r>
        <w:rPr>
          <w:spacing w:val="-13"/>
          <w:w w:val="115"/>
        </w:rPr>
        <w:t> </w:t>
      </w:r>
      <w:r>
        <w:rPr>
          <w:w w:val="115"/>
        </w:rPr>
        <w:t>estas</w:t>
      </w:r>
      <w:r>
        <w:rPr>
          <w:spacing w:val="-13"/>
          <w:w w:val="115"/>
        </w:rPr>
        <w:t> </w:t>
      </w:r>
      <w:r>
        <w:rPr>
          <w:w w:val="115"/>
        </w:rPr>
        <w:t>familias</w:t>
      </w:r>
      <w:r>
        <w:rPr>
          <w:spacing w:val="-13"/>
          <w:w w:val="115"/>
        </w:rPr>
        <w:t> </w:t>
      </w:r>
      <w:r>
        <w:rPr>
          <w:w w:val="115"/>
        </w:rPr>
        <w:t>se</w:t>
      </w:r>
      <w:r>
        <w:rPr>
          <w:spacing w:val="-13"/>
          <w:w w:val="115"/>
        </w:rPr>
        <w:t> </w:t>
      </w:r>
      <w:r>
        <w:rPr>
          <w:w w:val="115"/>
        </w:rPr>
        <w:t>estancaron,</w:t>
      </w:r>
      <w:r>
        <w:rPr>
          <w:spacing w:val="-13"/>
          <w:w w:val="115"/>
        </w:rPr>
        <w:t> </w:t>
      </w:r>
      <w:r>
        <w:rPr>
          <w:w w:val="115"/>
        </w:rPr>
        <w:t>su</w:t>
      </w:r>
      <w:r>
        <w:rPr>
          <w:spacing w:val="-13"/>
          <w:w w:val="115"/>
        </w:rPr>
        <w:t> </w:t>
      </w:r>
      <w:r>
        <w:rPr>
          <w:w w:val="115"/>
        </w:rPr>
        <w:t>riqueza aumentó</w:t>
      </w:r>
      <w:r>
        <w:rPr>
          <w:spacing w:val="-6"/>
          <w:w w:val="115"/>
        </w:rPr>
        <w:t> </w:t>
      </w:r>
      <w:r>
        <w:rPr>
          <w:w w:val="115"/>
        </w:rPr>
        <w:t>en</w:t>
      </w:r>
      <w:r>
        <w:rPr>
          <w:spacing w:val="-6"/>
          <w:w w:val="115"/>
        </w:rPr>
        <w:t> </w:t>
      </w:r>
      <w:r>
        <w:rPr>
          <w:w w:val="115"/>
        </w:rPr>
        <w:t>ese</w:t>
      </w:r>
      <w:r>
        <w:rPr>
          <w:spacing w:val="-6"/>
          <w:w w:val="115"/>
        </w:rPr>
        <w:t> </w:t>
      </w:r>
      <w:r>
        <w:rPr>
          <w:w w:val="115"/>
        </w:rPr>
        <w:t>porcentaje?</w:t>
      </w:r>
      <w:r>
        <w:rPr>
          <w:spacing w:val="-6"/>
          <w:w w:val="115"/>
        </w:rPr>
        <w:t> </w:t>
      </w:r>
      <w:r>
        <w:rPr>
          <w:w w:val="115"/>
        </w:rPr>
        <w:t>según</w:t>
      </w:r>
      <w:r>
        <w:rPr>
          <w:spacing w:val="-6"/>
          <w:w w:val="115"/>
        </w:rPr>
        <w:t> </w:t>
      </w:r>
      <w:r>
        <w:rPr>
          <w:w w:val="115"/>
        </w:rPr>
        <w:t>Pizzigati</w:t>
      </w:r>
      <w:r>
        <w:rPr>
          <w:spacing w:val="-6"/>
          <w:w w:val="115"/>
        </w:rPr>
        <w:t> </w:t>
      </w:r>
      <w:r>
        <w:rPr>
          <w:w w:val="115"/>
        </w:rPr>
        <w:t>(2012),</w:t>
      </w:r>
      <w:r>
        <w:rPr>
          <w:spacing w:val="-6"/>
          <w:w w:val="115"/>
        </w:rPr>
        <w:t> </w:t>
      </w:r>
      <w:r>
        <w:rPr>
          <w:w w:val="115"/>
        </w:rPr>
        <w:t>no</w:t>
      </w:r>
      <w:r>
        <w:rPr>
          <w:spacing w:val="-6"/>
          <w:w w:val="115"/>
        </w:rPr>
        <w:t> </w:t>
      </w:r>
      <w:r>
        <w:rPr>
          <w:w w:val="115"/>
        </w:rPr>
        <w:t>hay</w:t>
      </w:r>
      <w:r>
        <w:rPr>
          <w:spacing w:val="-6"/>
          <w:w w:val="115"/>
        </w:rPr>
        <w:t> </w:t>
      </w:r>
      <w:r>
        <w:rPr>
          <w:w w:val="115"/>
        </w:rPr>
        <w:t>misterio </w:t>
      </w:r>
      <w:r>
        <w:rPr>
          <w:w w:val="111"/>
        </w:rPr>
        <w:t>alguno:</w:t>
      </w:r>
      <w:r>
        <w:rPr/>
        <w:t> </w:t>
      </w:r>
      <w:r>
        <w:rPr>
          <w:spacing w:val="-18"/>
        </w:rPr>
        <w:t> </w:t>
      </w:r>
      <w:r>
        <w:rPr>
          <w:w w:val="115"/>
        </w:rPr>
        <w:t>“</w:t>
      </w:r>
      <w:r>
        <w:rPr>
          <w:w w:val="243"/>
        </w:rPr>
        <w:t>l</w:t>
      </w:r>
      <w:r>
        <w:rPr>
          <w:w w:val="108"/>
        </w:rPr>
        <w:t>os</w:t>
      </w:r>
      <w:r>
        <w:rPr/>
        <w:t> </w:t>
      </w:r>
      <w:r>
        <w:rPr>
          <w:spacing w:val="-18"/>
        </w:rPr>
        <w:t> </w:t>
      </w:r>
      <w:r>
        <w:rPr>
          <w:w w:val="107"/>
        </w:rPr>
        <w:t>valores</w:t>
      </w:r>
      <w:r>
        <w:rPr/>
        <w:t> </w:t>
      </w:r>
      <w:r>
        <w:rPr>
          <w:spacing w:val="-18"/>
        </w:rPr>
        <w:t> </w:t>
      </w:r>
      <w:r>
        <w:rPr>
          <w:w w:val="108"/>
        </w:rPr>
        <w:t>netos</w:t>
      </w:r>
      <w:r>
        <w:rPr/>
        <w:t> </w:t>
      </w:r>
      <w:r>
        <w:rPr>
          <w:spacing w:val="-18"/>
        </w:rPr>
        <w:t> </w:t>
      </w:r>
      <w:r>
        <w:rPr>
          <w:w w:val="111"/>
        </w:rPr>
        <w:t>crecían</w:t>
      </w:r>
      <w:r>
        <w:rPr/>
        <w:t> </w:t>
      </w:r>
      <w:r>
        <w:rPr>
          <w:spacing w:val="-18"/>
        </w:rPr>
        <w:t> </w:t>
      </w:r>
      <w:r>
        <w:rPr>
          <w:w w:val="108"/>
        </w:rPr>
        <w:t>porque</w:t>
      </w:r>
      <w:r>
        <w:rPr/>
        <w:t> </w:t>
      </w:r>
      <w:r>
        <w:rPr>
          <w:spacing w:val="-18"/>
        </w:rPr>
        <w:t> </w:t>
      </w:r>
      <w:r>
        <w:rPr>
          <w:w w:val="107"/>
        </w:rPr>
        <w:t>el</w:t>
      </w:r>
      <w:r>
        <w:rPr/>
        <w:t> </w:t>
      </w:r>
      <w:r>
        <w:rPr>
          <w:spacing w:val="-18"/>
        </w:rPr>
        <w:t> </w:t>
      </w:r>
      <w:r>
        <w:rPr>
          <w:w w:val="107"/>
        </w:rPr>
        <w:t>valor</w:t>
      </w:r>
      <w:r>
        <w:rPr/>
        <w:t> </w:t>
      </w:r>
      <w:r>
        <w:rPr>
          <w:spacing w:val="-18"/>
        </w:rPr>
        <w:t> </w:t>
      </w:r>
      <w:r>
        <w:rPr>
          <w:w w:val="107"/>
        </w:rPr>
        <w:t>de</w:t>
      </w:r>
      <w:r>
        <w:rPr/>
        <w:t> </w:t>
      </w:r>
      <w:r>
        <w:rPr>
          <w:spacing w:val="-18"/>
        </w:rPr>
        <w:t> </w:t>
      </w:r>
      <w:r>
        <w:rPr>
          <w:w w:val="108"/>
        </w:rPr>
        <w:t>los</w:t>
      </w:r>
      <w:r>
        <w:rPr/>
        <w:t> </w:t>
      </w:r>
      <w:r>
        <w:rPr>
          <w:spacing w:val="-18"/>
        </w:rPr>
        <w:t> </w:t>
      </w:r>
      <w:r>
        <w:rPr>
          <w:w w:val="109"/>
        </w:rPr>
        <w:t>activos</w:t>
      </w:r>
      <w:r>
        <w:rPr/>
        <w:t> </w:t>
      </w:r>
      <w:r>
        <w:rPr>
          <w:spacing w:val="-18"/>
        </w:rPr>
        <w:t> </w:t>
      </w:r>
      <w:r>
        <w:rPr>
          <w:w w:val="108"/>
        </w:rPr>
        <w:t>que </w:t>
      </w:r>
      <w:r>
        <w:rPr>
          <w:w w:val="115"/>
        </w:rPr>
        <w:t>las</w:t>
      </w:r>
      <w:r>
        <w:rPr>
          <w:spacing w:val="-13"/>
          <w:w w:val="115"/>
        </w:rPr>
        <w:t> </w:t>
      </w:r>
      <w:r>
        <w:rPr>
          <w:w w:val="115"/>
        </w:rPr>
        <w:t>familias</w:t>
      </w:r>
      <w:r>
        <w:rPr>
          <w:spacing w:val="-13"/>
          <w:w w:val="115"/>
        </w:rPr>
        <w:t> </w:t>
      </w:r>
      <w:r>
        <w:rPr>
          <w:w w:val="115"/>
        </w:rPr>
        <w:t>medias</w:t>
      </w:r>
      <w:r>
        <w:rPr>
          <w:spacing w:val="-13"/>
          <w:w w:val="115"/>
        </w:rPr>
        <w:t> </w:t>
      </w:r>
      <w:r>
        <w:rPr>
          <w:w w:val="115"/>
        </w:rPr>
        <w:t>poseían,</w:t>
      </w:r>
      <w:r>
        <w:rPr>
          <w:spacing w:val="-13"/>
          <w:w w:val="115"/>
        </w:rPr>
        <w:t> </w:t>
      </w:r>
      <w:r>
        <w:rPr>
          <w:w w:val="115"/>
        </w:rPr>
        <w:t>especialmente</w:t>
      </w:r>
      <w:r>
        <w:rPr>
          <w:spacing w:val="-13"/>
          <w:w w:val="115"/>
        </w:rPr>
        <w:t> </w:t>
      </w:r>
      <w:r>
        <w:rPr>
          <w:w w:val="115"/>
        </w:rPr>
        <w:t>viviendas</w:t>
      </w:r>
      <w:r>
        <w:rPr>
          <w:spacing w:val="-13"/>
          <w:w w:val="115"/>
        </w:rPr>
        <w:t> </w:t>
      </w:r>
      <w:r>
        <w:rPr>
          <w:w w:val="115"/>
        </w:rPr>
        <w:t>y</w:t>
      </w:r>
      <w:r>
        <w:rPr>
          <w:spacing w:val="-13"/>
          <w:w w:val="115"/>
        </w:rPr>
        <w:t> </w:t>
      </w:r>
      <w:r>
        <w:rPr>
          <w:w w:val="115"/>
        </w:rPr>
        <w:t>otras</w:t>
      </w:r>
      <w:r>
        <w:rPr>
          <w:spacing w:val="-13"/>
          <w:w w:val="115"/>
        </w:rPr>
        <w:t> </w:t>
      </w:r>
      <w:r>
        <w:rPr>
          <w:w w:val="115"/>
        </w:rPr>
        <w:t>propie- </w:t>
      </w:r>
      <w:r>
        <w:rPr>
          <w:w w:val="110"/>
        </w:rPr>
        <w:t>dades, eran</w:t>
      </w:r>
      <w:r>
        <w:rPr>
          <w:spacing w:val="13"/>
          <w:w w:val="110"/>
        </w:rPr>
        <w:t> </w:t>
      </w:r>
      <w:r>
        <w:rPr>
          <w:w w:val="110"/>
        </w:rPr>
        <w:t>sobrevaluados”.</w:t>
      </w:r>
    </w:p>
    <w:p>
      <w:pPr>
        <w:pStyle w:val="BodyText"/>
        <w:spacing w:line="252" w:lineRule="auto"/>
        <w:ind w:left="100" w:right="324" w:firstLine="396"/>
        <w:jc w:val="both"/>
      </w:pPr>
      <w:r>
        <w:rPr>
          <w:w w:val="110"/>
        </w:rPr>
        <w:t>de acuerdo con el análisis de los resultados de la encuesta </w:t>
      </w:r>
      <w:r>
        <w:rPr>
          <w:spacing w:val="2"/>
          <w:w w:val="110"/>
        </w:rPr>
        <w:t>del </w:t>
      </w:r>
      <w:r>
        <w:rPr>
          <w:w w:val="110"/>
        </w:rPr>
        <w:t>banco  Central  norteamericano  (</w:t>
      </w:r>
      <w:r>
        <w:rPr>
          <w:i/>
          <w:w w:val="110"/>
        </w:rPr>
        <w:t>Federal  Reserve,  </w:t>
      </w:r>
      <w:r>
        <w:rPr>
          <w:w w:val="110"/>
        </w:rPr>
        <w:t>por  su  </w:t>
      </w:r>
      <w:r>
        <w:rPr>
          <w:spacing w:val="2"/>
          <w:w w:val="110"/>
        </w:rPr>
        <w:t>nombre  </w:t>
      </w:r>
      <w:r>
        <w:rPr>
          <w:w w:val="110"/>
        </w:rPr>
        <w:t>en inglés), “las familias norteamericanas medias podían haberse hecho ‘más ricas’ sobre el papel. Pero los números sobre el papel       no pagan facturas. solamente  los  dólares  reales  pagan  facturas  y  las familias medias, con sus ingresos estancándose, no los tenían”. Para entender lo que pasaba se debe estudiar la manera en que “las familias medias tomaron prestado a niveles record,  según  mues-  tran los nuevos datos de la </w:t>
      </w:r>
      <w:r>
        <w:rPr>
          <w:i/>
          <w:w w:val="110"/>
        </w:rPr>
        <w:t>Fed</w:t>
      </w:r>
      <w:r>
        <w:rPr>
          <w:w w:val="110"/>
        </w:rPr>
        <w:t>”. además, “entre 2004  y  2007,  el saldo medio no pagado de las familias con pasivos en sus tarjetas </w:t>
      </w:r>
      <w:r>
        <w:rPr>
          <w:spacing w:val="2"/>
          <w:w w:val="108"/>
        </w:rPr>
        <w:t>d</w:t>
      </w:r>
      <w:r>
        <w:rPr>
          <w:w w:val="108"/>
        </w:rPr>
        <w:t>e</w:t>
      </w:r>
      <w:r>
        <w:rPr/>
        <w:t> </w:t>
      </w:r>
      <w:r>
        <w:rPr>
          <w:spacing w:val="-4"/>
        </w:rPr>
        <w:t> </w:t>
      </w:r>
      <w:r>
        <w:rPr>
          <w:spacing w:val="2"/>
          <w:w w:val="110"/>
        </w:rPr>
        <w:t>crédit</w:t>
      </w:r>
      <w:r>
        <w:rPr>
          <w:w w:val="110"/>
        </w:rPr>
        <w:t>o</w:t>
      </w:r>
      <w:r>
        <w:rPr/>
        <w:t> </w:t>
      </w:r>
      <w:r>
        <w:rPr>
          <w:spacing w:val="-4"/>
        </w:rPr>
        <w:t> </w:t>
      </w:r>
      <w:r>
        <w:rPr>
          <w:spacing w:val="2"/>
          <w:w w:val="111"/>
        </w:rPr>
        <w:t>subi</w:t>
      </w:r>
      <w:r>
        <w:rPr>
          <w:w w:val="111"/>
        </w:rPr>
        <w:t>ó</w:t>
      </w:r>
      <w:r>
        <w:rPr/>
        <w:t> </w:t>
      </w:r>
      <w:r>
        <w:rPr>
          <w:spacing w:val="-4"/>
        </w:rPr>
        <w:t> </w:t>
      </w:r>
      <w:r>
        <w:rPr>
          <w:spacing w:val="2"/>
          <w:w w:val="109"/>
        </w:rPr>
        <w:t>e</w:t>
      </w:r>
      <w:r>
        <w:rPr>
          <w:w w:val="109"/>
        </w:rPr>
        <w:t>n</w:t>
      </w:r>
      <w:r>
        <w:rPr/>
        <w:t> </w:t>
      </w:r>
      <w:r>
        <w:rPr>
          <w:spacing w:val="-4"/>
        </w:rPr>
        <w:t> </w:t>
      </w:r>
      <w:r>
        <w:rPr>
          <w:spacing w:val="2"/>
          <w:w w:val="113"/>
        </w:rPr>
        <w:t>u</w:t>
      </w:r>
      <w:r>
        <w:rPr>
          <w:w w:val="113"/>
        </w:rPr>
        <w:t>n</w:t>
      </w:r>
      <w:r>
        <w:rPr/>
        <w:t> </w:t>
      </w:r>
      <w:r>
        <w:rPr>
          <w:spacing w:val="-4"/>
        </w:rPr>
        <w:t> </w:t>
      </w:r>
      <w:r>
        <w:rPr>
          <w:spacing w:val="2"/>
          <w:w w:val="103"/>
        </w:rPr>
        <w:t>3</w:t>
      </w:r>
      <w:r>
        <w:rPr>
          <w:w w:val="103"/>
        </w:rPr>
        <w:t>0</w:t>
      </w:r>
      <w:r>
        <w:rPr/>
        <w:t> </w:t>
      </w:r>
      <w:r>
        <w:rPr>
          <w:spacing w:val="-4"/>
        </w:rPr>
        <w:t> </w:t>
      </w:r>
      <w:r>
        <w:rPr>
          <w:spacing w:val="2"/>
          <w:w w:val="109"/>
        </w:rPr>
        <w:t>po</w:t>
      </w:r>
      <w:r>
        <w:rPr>
          <w:w w:val="109"/>
        </w:rPr>
        <w:t>r</w:t>
      </w:r>
      <w:r>
        <w:rPr/>
        <w:t> </w:t>
      </w:r>
      <w:r>
        <w:rPr>
          <w:spacing w:val="-4"/>
        </w:rPr>
        <w:t> </w:t>
      </w:r>
      <w:r>
        <w:rPr>
          <w:spacing w:val="2"/>
          <w:w w:val="112"/>
        </w:rPr>
        <w:t>ciento</w:t>
      </w:r>
      <w:r>
        <w:rPr>
          <w:w w:val="112"/>
        </w:rPr>
        <w:t>”</w:t>
      </w:r>
      <w:r>
        <w:rPr/>
        <w:t> </w:t>
      </w:r>
      <w:r>
        <w:rPr>
          <w:spacing w:val="-4"/>
        </w:rPr>
        <w:t> </w:t>
      </w:r>
      <w:r>
        <w:rPr>
          <w:spacing w:val="2"/>
          <w:w w:val="113"/>
        </w:rPr>
        <w:t>(Pizzigati</w:t>
      </w:r>
      <w:r>
        <w:rPr>
          <w:w w:val="113"/>
        </w:rPr>
        <w:t>,</w:t>
      </w:r>
      <w:r>
        <w:rPr/>
        <w:t> </w:t>
      </w:r>
      <w:r>
        <w:rPr>
          <w:spacing w:val="-4"/>
        </w:rPr>
        <w:t> </w:t>
      </w:r>
      <w:r>
        <w:rPr>
          <w:spacing w:val="2"/>
          <w:w w:val="105"/>
        </w:rPr>
        <w:t>2012)</w:t>
      </w:r>
      <w:r>
        <w:rPr>
          <w:w w:val="105"/>
        </w:rPr>
        <w:t>.</w:t>
      </w:r>
      <w:r>
        <w:rPr/>
        <w:t> </w:t>
      </w:r>
      <w:r>
        <w:rPr>
          <w:spacing w:val="-4"/>
        </w:rPr>
        <w:t> </w:t>
      </w:r>
      <w:r>
        <w:rPr>
          <w:spacing w:val="2"/>
          <w:w w:val="246"/>
        </w:rPr>
        <w:t>l</w:t>
      </w:r>
      <w:r>
        <w:rPr>
          <w:w w:val="113"/>
        </w:rPr>
        <w:t>a</w:t>
      </w:r>
      <w:r>
        <w:rPr/>
        <w:t> </w:t>
      </w:r>
      <w:r>
        <w:rPr>
          <w:spacing w:val="-4"/>
        </w:rPr>
        <w:t> </w:t>
      </w:r>
      <w:r>
        <w:rPr>
          <w:spacing w:val="2"/>
          <w:w w:val="109"/>
        </w:rPr>
        <w:t>riqu</w:t>
      </w:r>
      <w:r>
        <w:rPr>
          <w:spacing w:val="3"/>
          <w:w w:val="109"/>
        </w:rPr>
        <w:t>e</w:t>
      </w:r>
      <w:r>
        <w:rPr>
          <w:w w:val="103"/>
        </w:rPr>
        <w:t>- </w:t>
      </w:r>
      <w:r>
        <w:rPr>
          <w:w w:val="110"/>
        </w:rPr>
        <w:t>za neta media de las familias norteamericanas se desplomó, según estimaciones de la </w:t>
      </w:r>
      <w:r>
        <w:rPr>
          <w:i/>
          <w:w w:val="110"/>
        </w:rPr>
        <w:t>Fed</w:t>
      </w:r>
      <w:r>
        <w:rPr>
          <w:w w:val="110"/>
        </w:rPr>
        <w:t>, 22.7% desde 2007, más que suficiente para eliminar virtualmente cada dólar de ganancia neta en riqueza </w:t>
      </w:r>
      <w:r>
        <w:rPr>
          <w:spacing w:val="2"/>
          <w:w w:val="110"/>
        </w:rPr>
        <w:t>que     </w:t>
      </w:r>
      <w:r>
        <w:rPr>
          <w:w w:val="110"/>
        </w:rPr>
        <w:t>las familias medias registraron a lo largo de fines del siglo </w:t>
      </w:r>
      <w:r>
        <w:rPr>
          <w:spacing w:val="2"/>
          <w:w w:val="110"/>
        </w:rPr>
        <w:t>pasado </w:t>
      </w:r>
      <w:r>
        <w:rPr>
          <w:w w:val="110"/>
        </w:rPr>
        <w:t>(Pizzigati,</w:t>
      </w:r>
      <w:r>
        <w:rPr>
          <w:spacing w:val="40"/>
          <w:w w:val="110"/>
        </w:rPr>
        <w:t> </w:t>
      </w:r>
      <w:r>
        <w:rPr>
          <w:spacing w:val="2"/>
          <w:w w:val="110"/>
        </w:rPr>
        <w:t>2012).</w:t>
      </w:r>
    </w:p>
    <w:p>
      <w:pPr>
        <w:pStyle w:val="BodyText"/>
        <w:spacing w:line="252" w:lineRule="auto"/>
        <w:ind w:left="100" w:right="325" w:firstLine="396"/>
        <w:jc w:val="both"/>
      </w:pPr>
      <w:r>
        <w:rPr>
          <w:w w:val="110"/>
        </w:rPr>
        <w:t>Mientras que la clase obrera tendía a empobrecerse en los paí-  ses del “centro”, la represión de los movimientos de liberación na- cional y la oposición a los proyectos nacionales autónomos impidió    la incorporación de los trabajadores de la periferia al sistema capi- talista.  Corcanholo  diría,  rescatando  la  noción  de  ruy  Mauro</w:t>
      </w:r>
      <w:r>
        <w:rPr>
          <w:spacing w:val="-16"/>
          <w:w w:val="110"/>
        </w:rPr>
        <w:t> </w:t>
      </w:r>
      <w:r>
        <w:rPr>
          <w:w w:val="110"/>
        </w:rPr>
        <w:t>Mari-</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5"/>
        <w:jc w:val="both"/>
      </w:pPr>
      <w:r>
        <w:rPr>
          <w:w w:val="110"/>
        </w:rPr>
        <w:t>ni, que la “superexplotación” se extendió al 80% de los trabajadores del planeta.</w:t>
      </w:r>
    </w:p>
    <w:p>
      <w:pPr>
        <w:pStyle w:val="BodyText"/>
        <w:spacing w:line="252" w:lineRule="auto"/>
        <w:ind w:left="330" w:right="117" w:firstLine="396"/>
        <w:jc w:val="both"/>
      </w:pPr>
      <w:r>
        <w:rPr>
          <w:w w:val="110"/>
        </w:rPr>
        <w:t>según samir amin (2008), antaño un país emergente podía rete- ner su parte de los recursos sin amenazar los privilegios de los países </w:t>
      </w:r>
      <w:r>
        <w:rPr>
          <w:w w:val="112"/>
        </w:rPr>
        <w:t>ricos.</w:t>
      </w:r>
      <w:r>
        <w:rPr/>
        <w:t> </w:t>
      </w:r>
      <w:r>
        <w:rPr>
          <w:w w:val="108"/>
        </w:rPr>
        <w:t>Pero</w:t>
      </w:r>
      <w:r>
        <w:rPr/>
        <w:t> </w:t>
      </w:r>
      <w:r>
        <w:rPr>
          <w:w w:val="109"/>
        </w:rPr>
        <w:t>hoy</w:t>
      </w:r>
      <w:r>
        <w:rPr/>
        <w:t> </w:t>
      </w:r>
      <w:r>
        <w:rPr>
          <w:w w:val="108"/>
        </w:rPr>
        <w:t>ya</w:t>
      </w:r>
      <w:r>
        <w:rPr/>
        <w:t> </w:t>
      </w:r>
      <w:r>
        <w:rPr>
          <w:w w:val="111"/>
        </w:rPr>
        <w:t>no</w:t>
      </w:r>
      <w:r>
        <w:rPr/>
        <w:t> </w:t>
      </w:r>
      <w:r>
        <w:rPr>
          <w:w w:val="105"/>
        </w:rPr>
        <w:t>es</w:t>
      </w:r>
      <w:r>
        <w:rPr/>
        <w:t> </w:t>
      </w:r>
      <w:r>
        <w:rPr>
          <w:w w:val="107"/>
        </w:rPr>
        <w:t>el</w:t>
      </w:r>
      <w:r>
        <w:rPr/>
        <w:t> </w:t>
      </w:r>
      <w:r>
        <w:rPr>
          <w:w w:val="113"/>
        </w:rPr>
        <w:t>caso.</w:t>
      </w:r>
      <w:r>
        <w:rPr/>
        <w:t> </w:t>
      </w:r>
      <w:r>
        <w:rPr>
          <w:w w:val="243"/>
        </w:rPr>
        <w:t>l</w:t>
      </w:r>
      <w:r>
        <w:rPr>
          <w:w w:val="112"/>
        </w:rPr>
        <w:t>a</w:t>
      </w:r>
      <w:r>
        <w:rPr/>
        <w:t> </w:t>
      </w:r>
      <w:r>
        <w:rPr>
          <w:w w:val="111"/>
        </w:rPr>
        <w:t>población</w:t>
      </w:r>
      <w:r>
        <w:rPr/>
        <w:t> </w:t>
      </w:r>
      <w:r>
        <w:rPr>
          <w:w w:val="107"/>
        </w:rPr>
        <w:t>de</w:t>
      </w:r>
      <w:r>
        <w:rPr/>
        <w:t> </w:t>
      </w:r>
      <w:r>
        <w:rPr>
          <w:w w:val="108"/>
        </w:rPr>
        <w:t>los</w:t>
      </w:r>
      <w:r>
        <w:rPr/>
        <w:t> </w:t>
      </w:r>
      <w:r>
        <w:rPr>
          <w:w w:val="108"/>
        </w:rPr>
        <w:t>países</w:t>
      </w:r>
      <w:r>
        <w:rPr/>
        <w:t> </w:t>
      </w:r>
      <w:r>
        <w:rPr>
          <w:w w:val="109"/>
        </w:rPr>
        <w:t>opulentos</w:t>
      </w:r>
    </w:p>
    <w:p>
      <w:pPr>
        <w:pStyle w:val="BodyText"/>
        <w:spacing w:line="252" w:lineRule="auto"/>
        <w:ind w:left="330" w:right="117"/>
        <w:jc w:val="both"/>
      </w:pPr>
      <w:r>
        <w:rPr>
          <w:w w:val="115"/>
        </w:rPr>
        <w:t>–15% del total del planeta– acapara para su propio consumo y des- pilfarro</w:t>
      </w:r>
      <w:r>
        <w:rPr>
          <w:spacing w:val="-18"/>
          <w:w w:val="115"/>
        </w:rPr>
        <w:t> </w:t>
      </w:r>
      <w:r>
        <w:rPr>
          <w:w w:val="115"/>
        </w:rPr>
        <w:t>85%</w:t>
      </w:r>
      <w:r>
        <w:rPr>
          <w:spacing w:val="-18"/>
          <w:w w:val="115"/>
        </w:rPr>
        <w:t> </w:t>
      </w:r>
      <w:r>
        <w:rPr>
          <w:w w:val="115"/>
        </w:rPr>
        <w:t>de</w:t>
      </w:r>
      <w:r>
        <w:rPr>
          <w:spacing w:val="-18"/>
          <w:w w:val="115"/>
        </w:rPr>
        <w:t> </w:t>
      </w:r>
      <w:r>
        <w:rPr>
          <w:w w:val="115"/>
        </w:rPr>
        <w:t>los</w:t>
      </w:r>
      <w:r>
        <w:rPr>
          <w:spacing w:val="-18"/>
          <w:w w:val="115"/>
        </w:rPr>
        <w:t> </w:t>
      </w:r>
      <w:r>
        <w:rPr>
          <w:w w:val="115"/>
        </w:rPr>
        <w:t>recursos</w:t>
      </w:r>
      <w:r>
        <w:rPr>
          <w:spacing w:val="-18"/>
          <w:w w:val="115"/>
        </w:rPr>
        <w:t> </w:t>
      </w:r>
      <w:r>
        <w:rPr>
          <w:w w:val="115"/>
        </w:rPr>
        <w:t>del</w:t>
      </w:r>
      <w:r>
        <w:rPr>
          <w:spacing w:val="-18"/>
          <w:w w:val="115"/>
        </w:rPr>
        <w:t> </w:t>
      </w:r>
      <w:r>
        <w:rPr>
          <w:w w:val="115"/>
        </w:rPr>
        <w:t>globo</w:t>
      </w:r>
      <w:r>
        <w:rPr>
          <w:spacing w:val="-18"/>
          <w:w w:val="115"/>
        </w:rPr>
        <w:t> </w:t>
      </w:r>
      <w:r>
        <w:rPr>
          <w:w w:val="115"/>
        </w:rPr>
        <w:t>y</w:t>
      </w:r>
      <w:r>
        <w:rPr>
          <w:spacing w:val="-18"/>
          <w:w w:val="115"/>
        </w:rPr>
        <w:t> </w:t>
      </w:r>
      <w:r>
        <w:rPr>
          <w:w w:val="115"/>
        </w:rPr>
        <w:t>no</w:t>
      </w:r>
      <w:r>
        <w:rPr>
          <w:spacing w:val="-18"/>
          <w:w w:val="115"/>
        </w:rPr>
        <w:t> </w:t>
      </w:r>
      <w:r>
        <w:rPr>
          <w:w w:val="115"/>
        </w:rPr>
        <w:t>puede</w:t>
      </w:r>
      <w:r>
        <w:rPr>
          <w:spacing w:val="-18"/>
          <w:w w:val="115"/>
        </w:rPr>
        <w:t> </w:t>
      </w:r>
      <w:r>
        <w:rPr>
          <w:w w:val="115"/>
        </w:rPr>
        <w:t>consentir</w:t>
      </w:r>
      <w:r>
        <w:rPr>
          <w:spacing w:val="-18"/>
          <w:w w:val="115"/>
        </w:rPr>
        <w:t> </w:t>
      </w:r>
      <w:r>
        <w:rPr>
          <w:w w:val="115"/>
        </w:rPr>
        <w:t>que</w:t>
      </w:r>
      <w:r>
        <w:rPr>
          <w:spacing w:val="-18"/>
          <w:w w:val="115"/>
        </w:rPr>
        <w:t> </w:t>
      </w:r>
      <w:r>
        <w:rPr>
          <w:w w:val="115"/>
        </w:rPr>
        <w:t>unos recién</w:t>
      </w:r>
      <w:r>
        <w:rPr>
          <w:spacing w:val="-9"/>
          <w:w w:val="115"/>
        </w:rPr>
        <w:t> </w:t>
      </w:r>
      <w:r>
        <w:rPr>
          <w:w w:val="115"/>
        </w:rPr>
        <w:t>llegados</w:t>
      </w:r>
      <w:r>
        <w:rPr>
          <w:spacing w:val="-9"/>
          <w:w w:val="115"/>
        </w:rPr>
        <w:t> </w:t>
      </w:r>
      <w:r>
        <w:rPr>
          <w:w w:val="115"/>
        </w:rPr>
        <w:t>accedan</w:t>
      </w:r>
      <w:r>
        <w:rPr>
          <w:spacing w:val="-9"/>
          <w:w w:val="115"/>
        </w:rPr>
        <w:t> </w:t>
      </w:r>
      <w:r>
        <w:rPr>
          <w:w w:val="115"/>
        </w:rPr>
        <w:t>a</w:t>
      </w:r>
      <w:r>
        <w:rPr>
          <w:spacing w:val="-9"/>
          <w:w w:val="115"/>
        </w:rPr>
        <w:t> </w:t>
      </w:r>
      <w:r>
        <w:rPr>
          <w:w w:val="115"/>
        </w:rPr>
        <w:t>éstos,</w:t>
      </w:r>
      <w:r>
        <w:rPr>
          <w:spacing w:val="-9"/>
          <w:w w:val="115"/>
        </w:rPr>
        <w:t> </w:t>
      </w:r>
      <w:r>
        <w:rPr>
          <w:w w:val="115"/>
        </w:rPr>
        <w:t>ya</w:t>
      </w:r>
      <w:r>
        <w:rPr>
          <w:spacing w:val="-9"/>
          <w:w w:val="115"/>
        </w:rPr>
        <w:t> </w:t>
      </w:r>
      <w:r>
        <w:rPr>
          <w:w w:val="115"/>
        </w:rPr>
        <w:t>que</w:t>
      </w:r>
      <w:r>
        <w:rPr>
          <w:spacing w:val="-9"/>
          <w:w w:val="115"/>
        </w:rPr>
        <w:t> </w:t>
      </w:r>
      <w:r>
        <w:rPr>
          <w:w w:val="115"/>
        </w:rPr>
        <w:t>provocarían</w:t>
      </w:r>
      <w:r>
        <w:rPr>
          <w:spacing w:val="-9"/>
          <w:w w:val="115"/>
        </w:rPr>
        <w:t> </w:t>
      </w:r>
      <w:r>
        <w:rPr>
          <w:w w:val="115"/>
        </w:rPr>
        <w:t>graves</w:t>
      </w:r>
      <w:r>
        <w:rPr>
          <w:spacing w:val="-9"/>
          <w:w w:val="115"/>
        </w:rPr>
        <w:t> </w:t>
      </w:r>
      <w:r>
        <w:rPr>
          <w:w w:val="115"/>
        </w:rPr>
        <w:t>penurias que</w:t>
      </w:r>
      <w:r>
        <w:rPr>
          <w:spacing w:val="-10"/>
          <w:w w:val="115"/>
        </w:rPr>
        <w:t> </w:t>
      </w:r>
      <w:r>
        <w:rPr>
          <w:w w:val="115"/>
        </w:rPr>
        <w:t>pondrían</w:t>
      </w:r>
      <w:r>
        <w:rPr>
          <w:spacing w:val="-10"/>
          <w:w w:val="115"/>
        </w:rPr>
        <w:t> </w:t>
      </w:r>
      <w:r>
        <w:rPr>
          <w:w w:val="115"/>
        </w:rPr>
        <w:t>en</w:t>
      </w:r>
      <w:r>
        <w:rPr>
          <w:spacing w:val="-10"/>
          <w:w w:val="115"/>
        </w:rPr>
        <w:t> </w:t>
      </w:r>
      <w:r>
        <w:rPr>
          <w:w w:val="115"/>
        </w:rPr>
        <w:t>peligro</w:t>
      </w:r>
      <w:r>
        <w:rPr>
          <w:spacing w:val="-10"/>
          <w:w w:val="115"/>
        </w:rPr>
        <w:t> </w:t>
      </w:r>
      <w:r>
        <w:rPr>
          <w:w w:val="115"/>
        </w:rPr>
        <w:t>los</w:t>
      </w:r>
      <w:r>
        <w:rPr>
          <w:spacing w:val="-10"/>
          <w:w w:val="115"/>
        </w:rPr>
        <w:t> </w:t>
      </w:r>
      <w:r>
        <w:rPr>
          <w:w w:val="115"/>
        </w:rPr>
        <w:t>niveles</w:t>
      </w:r>
      <w:r>
        <w:rPr>
          <w:spacing w:val="-10"/>
          <w:w w:val="115"/>
        </w:rPr>
        <w:t> </w:t>
      </w:r>
      <w:r>
        <w:rPr>
          <w:w w:val="115"/>
        </w:rPr>
        <w:t>de</w:t>
      </w:r>
      <w:r>
        <w:rPr>
          <w:spacing w:val="-10"/>
          <w:w w:val="115"/>
        </w:rPr>
        <w:t> </w:t>
      </w:r>
      <w:r>
        <w:rPr>
          <w:w w:val="115"/>
        </w:rPr>
        <w:t>vida</w:t>
      </w:r>
      <w:r>
        <w:rPr>
          <w:spacing w:val="-10"/>
          <w:w w:val="115"/>
        </w:rPr>
        <w:t> </w:t>
      </w:r>
      <w:r>
        <w:rPr>
          <w:w w:val="115"/>
        </w:rPr>
        <w:t>de</w:t>
      </w:r>
      <w:r>
        <w:rPr>
          <w:spacing w:val="-10"/>
          <w:w w:val="115"/>
        </w:rPr>
        <w:t> </w:t>
      </w:r>
      <w:r>
        <w:rPr>
          <w:w w:val="115"/>
        </w:rPr>
        <w:t>los</w:t>
      </w:r>
      <w:r>
        <w:rPr>
          <w:spacing w:val="-10"/>
          <w:w w:val="115"/>
        </w:rPr>
        <w:t> </w:t>
      </w:r>
      <w:r>
        <w:rPr>
          <w:w w:val="115"/>
        </w:rPr>
        <w:t>ricos.</w:t>
      </w:r>
      <w:r>
        <w:rPr>
          <w:spacing w:val="-10"/>
          <w:w w:val="115"/>
        </w:rPr>
        <w:t> </w:t>
      </w:r>
      <w:r>
        <w:rPr>
          <w:w w:val="115"/>
        </w:rPr>
        <w:t>amin</w:t>
      </w:r>
      <w:r>
        <w:rPr>
          <w:spacing w:val="-10"/>
          <w:w w:val="115"/>
        </w:rPr>
        <w:t> </w:t>
      </w:r>
      <w:r>
        <w:rPr>
          <w:w w:val="115"/>
        </w:rPr>
        <w:t>(2008) agrega</w:t>
      </w:r>
      <w:r>
        <w:rPr>
          <w:spacing w:val="-11"/>
          <w:w w:val="115"/>
        </w:rPr>
        <w:t> </w:t>
      </w:r>
      <w:r>
        <w:rPr>
          <w:w w:val="115"/>
        </w:rPr>
        <w:t>que</w:t>
      </w:r>
      <w:r>
        <w:rPr>
          <w:spacing w:val="-11"/>
          <w:w w:val="115"/>
        </w:rPr>
        <w:t> </w:t>
      </w:r>
      <w:r>
        <w:rPr>
          <w:w w:val="115"/>
        </w:rPr>
        <w:t>“si</w:t>
      </w:r>
      <w:r>
        <w:rPr>
          <w:spacing w:val="-11"/>
          <w:w w:val="115"/>
        </w:rPr>
        <w:t> </w:t>
      </w:r>
      <w:r>
        <w:rPr>
          <w:w w:val="115"/>
        </w:rPr>
        <w:t>EE.uu.</w:t>
      </w:r>
      <w:r>
        <w:rPr>
          <w:spacing w:val="-11"/>
          <w:w w:val="115"/>
        </w:rPr>
        <w:t> </w:t>
      </w:r>
      <w:r>
        <w:rPr>
          <w:w w:val="115"/>
        </w:rPr>
        <w:t>se</w:t>
      </w:r>
      <w:r>
        <w:rPr>
          <w:spacing w:val="-11"/>
          <w:w w:val="115"/>
        </w:rPr>
        <w:t> </w:t>
      </w:r>
      <w:r>
        <w:rPr>
          <w:w w:val="115"/>
        </w:rPr>
        <w:t>ha</w:t>
      </w:r>
      <w:r>
        <w:rPr>
          <w:spacing w:val="-11"/>
          <w:w w:val="115"/>
        </w:rPr>
        <w:t> </w:t>
      </w:r>
      <w:r>
        <w:rPr>
          <w:w w:val="115"/>
        </w:rPr>
        <w:t>fijado</w:t>
      </w:r>
      <w:r>
        <w:rPr>
          <w:spacing w:val="-11"/>
          <w:w w:val="115"/>
        </w:rPr>
        <w:t> </w:t>
      </w:r>
      <w:r>
        <w:rPr>
          <w:w w:val="115"/>
        </w:rPr>
        <w:t>como</w:t>
      </w:r>
      <w:r>
        <w:rPr>
          <w:spacing w:val="-11"/>
          <w:w w:val="115"/>
        </w:rPr>
        <w:t> </w:t>
      </w:r>
      <w:r>
        <w:rPr>
          <w:w w:val="115"/>
        </w:rPr>
        <w:t>objetivo</w:t>
      </w:r>
      <w:r>
        <w:rPr>
          <w:spacing w:val="-11"/>
          <w:w w:val="115"/>
        </w:rPr>
        <w:t> </w:t>
      </w:r>
      <w:r>
        <w:rPr>
          <w:w w:val="115"/>
        </w:rPr>
        <w:t>el</w:t>
      </w:r>
      <w:r>
        <w:rPr>
          <w:spacing w:val="-11"/>
          <w:w w:val="115"/>
        </w:rPr>
        <w:t> </w:t>
      </w:r>
      <w:r>
        <w:rPr>
          <w:w w:val="115"/>
        </w:rPr>
        <w:t>control</w:t>
      </w:r>
      <w:r>
        <w:rPr>
          <w:spacing w:val="-11"/>
          <w:w w:val="115"/>
        </w:rPr>
        <w:t> </w:t>
      </w:r>
      <w:r>
        <w:rPr>
          <w:w w:val="115"/>
        </w:rPr>
        <w:t>militar</w:t>
      </w:r>
      <w:r>
        <w:rPr>
          <w:spacing w:val="-11"/>
          <w:w w:val="115"/>
        </w:rPr>
        <w:t> </w:t>
      </w:r>
      <w:r>
        <w:rPr>
          <w:w w:val="115"/>
        </w:rPr>
        <w:t>del planeta</w:t>
      </w:r>
      <w:r>
        <w:rPr>
          <w:spacing w:val="-13"/>
          <w:w w:val="115"/>
        </w:rPr>
        <w:t> </w:t>
      </w:r>
      <w:r>
        <w:rPr>
          <w:w w:val="115"/>
        </w:rPr>
        <w:t>es</w:t>
      </w:r>
      <w:r>
        <w:rPr>
          <w:spacing w:val="-13"/>
          <w:w w:val="115"/>
        </w:rPr>
        <w:t> </w:t>
      </w:r>
      <w:r>
        <w:rPr>
          <w:w w:val="115"/>
        </w:rPr>
        <w:t>porque</w:t>
      </w:r>
      <w:r>
        <w:rPr>
          <w:spacing w:val="-13"/>
          <w:w w:val="115"/>
        </w:rPr>
        <w:t> </w:t>
      </w:r>
      <w:r>
        <w:rPr>
          <w:w w:val="115"/>
        </w:rPr>
        <w:t>saben</w:t>
      </w:r>
      <w:r>
        <w:rPr>
          <w:spacing w:val="-13"/>
          <w:w w:val="115"/>
        </w:rPr>
        <w:t> </w:t>
      </w:r>
      <w:r>
        <w:rPr>
          <w:w w:val="115"/>
        </w:rPr>
        <w:t>que</w:t>
      </w:r>
      <w:r>
        <w:rPr>
          <w:spacing w:val="-13"/>
          <w:w w:val="115"/>
        </w:rPr>
        <w:t> </w:t>
      </w:r>
      <w:r>
        <w:rPr>
          <w:w w:val="115"/>
        </w:rPr>
        <w:t>sin</w:t>
      </w:r>
      <w:r>
        <w:rPr>
          <w:spacing w:val="-13"/>
          <w:w w:val="115"/>
        </w:rPr>
        <w:t> </w:t>
      </w:r>
      <w:r>
        <w:rPr>
          <w:w w:val="115"/>
        </w:rPr>
        <w:t>ese</w:t>
      </w:r>
      <w:r>
        <w:rPr>
          <w:spacing w:val="-13"/>
          <w:w w:val="115"/>
        </w:rPr>
        <w:t> </w:t>
      </w:r>
      <w:r>
        <w:rPr>
          <w:w w:val="115"/>
        </w:rPr>
        <w:t>control</w:t>
      </w:r>
      <w:r>
        <w:rPr>
          <w:spacing w:val="-13"/>
          <w:w w:val="115"/>
        </w:rPr>
        <w:t> </w:t>
      </w:r>
      <w:r>
        <w:rPr>
          <w:w w:val="115"/>
        </w:rPr>
        <w:t>no</w:t>
      </w:r>
      <w:r>
        <w:rPr>
          <w:spacing w:val="-13"/>
          <w:w w:val="115"/>
        </w:rPr>
        <w:t> </w:t>
      </w:r>
      <w:r>
        <w:rPr>
          <w:w w:val="115"/>
        </w:rPr>
        <w:t>pueden</w:t>
      </w:r>
      <w:r>
        <w:rPr>
          <w:spacing w:val="-13"/>
          <w:w w:val="115"/>
        </w:rPr>
        <w:t> </w:t>
      </w:r>
      <w:r>
        <w:rPr>
          <w:w w:val="115"/>
        </w:rPr>
        <w:t>asegurarse</w:t>
      </w:r>
      <w:r>
        <w:rPr>
          <w:spacing w:val="-13"/>
          <w:w w:val="115"/>
        </w:rPr>
        <w:t> </w:t>
      </w:r>
      <w:r>
        <w:rPr>
          <w:w w:val="115"/>
        </w:rPr>
        <w:t>el acceso</w:t>
      </w:r>
      <w:r>
        <w:rPr>
          <w:spacing w:val="-18"/>
          <w:w w:val="115"/>
        </w:rPr>
        <w:t> </w:t>
      </w:r>
      <w:r>
        <w:rPr>
          <w:w w:val="115"/>
        </w:rPr>
        <w:t>exclusivo</w:t>
      </w:r>
      <w:r>
        <w:rPr>
          <w:spacing w:val="-18"/>
          <w:w w:val="115"/>
        </w:rPr>
        <w:t> </w:t>
      </w:r>
      <w:r>
        <w:rPr>
          <w:w w:val="115"/>
        </w:rPr>
        <w:t>a</w:t>
      </w:r>
      <w:r>
        <w:rPr>
          <w:spacing w:val="-18"/>
          <w:w w:val="115"/>
        </w:rPr>
        <w:t> </w:t>
      </w:r>
      <w:r>
        <w:rPr>
          <w:w w:val="115"/>
        </w:rPr>
        <w:t>tales</w:t>
      </w:r>
      <w:r>
        <w:rPr>
          <w:spacing w:val="-18"/>
          <w:w w:val="115"/>
        </w:rPr>
        <w:t> </w:t>
      </w:r>
      <w:r>
        <w:rPr>
          <w:w w:val="115"/>
        </w:rPr>
        <w:t>recursos.</w:t>
      </w:r>
      <w:r>
        <w:rPr>
          <w:spacing w:val="-18"/>
          <w:w w:val="115"/>
        </w:rPr>
        <w:t> </w:t>
      </w:r>
      <w:r>
        <w:rPr>
          <w:w w:val="115"/>
        </w:rPr>
        <w:t>China,</w:t>
      </w:r>
      <w:r>
        <w:rPr>
          <w:spacing w:val="-18"/>
          <w:w w:val="115"/>
        </w:rPr>
        <w:t> </w:t>
      </w:r>
      <w:r>
        <w:rPr>
          <w:w w:val="115"/>
        </w:rPr>
        <w:t>la</w:t>
      </w:r>
      <w:r>
        <w:rPr>
          <w:spacing w:val="-18"/>
          <w:w w:val="115"/>
        </w:rPr>
        <w:t> </w:t>
      </w:r>
      <w:r>
        <w:rPr>
          <w:w w:val="115"/>
        </w:rPr>
        <w:t>india</w:t>
      </w:r>
      <w:r>
        <w:rPr>
          <w:spacing w:val="-18"/>
          <w:w w:val="115"/>
        </w:rPr>
        <w:t> </w:t>
      </w:r>
      <w:r>
        <w:rPr>
          <w:w w:val="115"/>
        </w:rPr>
        <w:t>y</w:t>
      </w:r>
      <w:r>
        <w:rPr>
          <w:spacing w:val="-18"/>
          <w:w w:val="115"/>
        </w:rPr>
        <w:t> </w:t>
      </w:r>
      <w:r>
        <w:rPr>
          <w:w w:val="115"/>
        </w:rPr>
        <w:t>el</w:t>
      </w:r>
      <w:r>
        <w:rPr>
          <w:spacing w:val="-18"/>
          <w:w w:val="115"/>
        </w:rPr>
        <w:t> </w:t>
      </w:r>
      <w:r>
        <w:rPr>
          <w:w w:val="115"/>
        </w:rPr>
        <w:t>sur</w:t>
      </w:r>
      <w:r>
        <w:rPr>
          <w:spacing w:val="-18"/>
          <w:w w:val="115"/>
        </w:rPr>
        <w:t> </w:t>
      </w:r>
      <w:r>
        <w:rPr>
          <w:w w:val="115"/>
        </w:rPr>
        <w:t>en</w:t>
      </w:r>
      <w:r>
        <w:rPr>
          <w:spacing w:val="-18"/>
          <w:w w:val="115"/>
        </w:rPr>
        <w:t> </w:t>
      </w:r>
      <w:r>
        <w:rPr>
          <w:w w:val="115"/>
        </w:rPr>
        <w:t>su</w:t>
      </w:r>
      <w:r>
        <w:rPr>
          <w:spacing w:val="-18"/>
          <w:w w:val="115"/>
        </w:rPr>
        <w:t> </w:t>
      </w:r>
      <w:r>
        <w:rPr>
          <w:w w:val="115"/>
        </w:rPr>
        <w:t>conjun- to</w:t>
      </w:r>
      <w:r>
        <w:rPr>
          <w:spacing w:val="-8"/>
          <w:w w:val="115"/>
        </w:rPr>
        <w:t> </w:t>
      </w:r>
      <w:r>
        <w:rPr>
          <w:w w:val="115"/>
        </w:rPr>
        <w:t>también</w:t>
      </w:r>
      <w:r>
        <w:rPr>
          <w:spacing w:val="-8"/>
          <w:w w:val="115"/>
        </w:rPr>
        <w:t> </w:t>
      </w:r>
      <w:r>
        <w:rPr>
          <w:w w:val="115"/>
        </w:rPr>
        <w:t>necesitan</w:t>
      </w:r>
      <w:r>
        <w:rPr>
          <w:spacing w:val="-8"/>
          <w:w w:val="115"/>
        </w:rPr>
        <w:t> </w:t>
      </w:r>
      <w:r>
        <w:rPr>
          <w:w w:val="115"/>
        </w:rPr>
        <w:t>esos</w:t>
      </w:r>
      <w:r>
        <w:rPr>
          <w:spacing w:val="-8"/>
          <w:w w:val="115"/>
        </w:rPr>
        <w:t> </w:t>
      </w:r>
      <w:r>
        <w:rPr>
          <w:w w:val="115"/>
        </w:rPr>
        <w:t>recursos</w:t>
      </w:r>
      <w:r>
        <w:rPr>
          <w:spacing w:val="-8"/>
          <w:w w:val="115"/>
        </w:rPr>
        <w:t> </w:t>
      </w:r>
      <w:r>
        <w:rPr>
          <w:w w:val="115"/>
        </w:rPr>
        <w:t>para</w:t>
      </w:r>
      <w:r>
        <w:rPr>
          <w:spacing w:val="-8"/>
          <w:w w:val="115"/>
        </w:rPr>
        <w:t> </w:t>
      </w:r>
      <w:r>
        <w:rPr>
          <w:w w:val="115"/>
        </w:rPr>
        <w:t>su</w:t>
      </w:r>
      <w:r>
        <w:rPr>
          <w:spacing w:val="-8"/>
          <w:w w:val="115"/>
        </w:rPr>
        <w:t> </w:t>
      </w:r>
      <w:r>
        <w:rPr>
          <w:w w:val="115"/>
        </w:rPr>
        <w:t>desarrollo.</w:t>
      </w:r>
      <w:r>
        <w:rPr>
          <w:spacing w:val="-8"/>
          <w:w w:val="115"/>
        </w:rPr>
        <w:t> </w:t>
      </w:r>
      <w:r>
        <w:rPr>
          <w:w w:val="115"/>
        </w:rPr>
        <w:t>Para</w:t>
      </w:r>
      <w:r>
        <w:rPr>
          <w:spacing w:val="-8"/>
          <w:w w:val="115"/>
        </w:rPr>
        <w:t> </w:t>
      </w:r>
      <w:r>
        <w:rPr>
          <w:w w:val="115"/>
        </w:rPr>
        <w:t>Estados unidos se trata imperativamente de limitar ese acceso </w:t>
      </w:r>
      <w:r>
        <w:rPr>
          <w:spacing w:val="-11"/>
          <w:w w:val="115"/>
        </w:rPr>
        <w:t>y, </w:t>
      </w:r>
      <w:r>
        <w:rPr>
          <w:w w:val="115"/>
        </w:rPr>
        <w:t>en última instancia,</w:t>
      </w:r>
      <w:r>
        <w:rPr>
          <w:spacing w:val="-16"/>
          <w:w w:val="115"/>
        </w:rPr>
        <w:t> </w:t>
      </w:r>
      <w:r>
        <w:rPr>
          <w:w w:val="115"/>
        </w:rPr>
        <w:t>sólo</w:t>
      </w:r>
      <w:r>
        <w:rPr>
          <w:spacing w:val="-16"/>
          <w:w w:val="115"/>
        </w:rPr>
        <w:t> </w:t>
      </w:r>
      <w:r>
        <w:rPr>
          <w:w w:val="115"/>
        </w:rPr>
        <w:t>existe</w:t>
      </w:r>
      <w:r>
        <w:rPr>
          <w:spacing w:val="-16"/>
          <w:w w:val="115"/>
        </w:rPr>
        <w:t> </w:t>
      </w:r>
      <w:r>
        <w:rPr>
          <w:w w:val="115"/>
        </w:rPr>
        <w:t>un</w:t>
      </w:r>
      <w:r>
        <w:rPr>
          <w:spacing w:val="-16"/>
          <w:w w:val="115"/>
        </w:rPr>
        <w:t> </w:t>
      </w:r>
      <w:r>
        <w:rPr>
          <w:w w:val="115"/>
        </w:rPr>
        <w:t>medio:</w:t>
      </w:r>
      <w:r>
        <w:rPr>
          <w:spacing w:val="-16"/>
          <w:w w:val="115"/>
        </w:rPr>
        <w:t> </w:t>
      </w:r>
      <w:r>
        <w:rPr>
          <w:w w:val="115"/>
        </w:rPr>
        <w:t>la</w:t>
      </w:r>
      <w:r>
        <w:rPr>
          <w:spacing w:val="-16"/>
          <w:w w:val="115"/>
        </w:rPr>
        <w:t> </w:t>
      </w:r>
      <w:r>
        <w:rPr>
          <w:w w:val="115"/>
        </w:rPr>
        <w:t>guerra”.</w:t>
      </w:r>
    </w:p>
    <w:p>
      <w:pPr>
        <w:pStyle w:val="BodyText"/>
        <w:spacing w:line="252" w:lineRule="auto"/>
        <w:ind w:left="330" w:right="117" w:firstLine="396"/>
        <w:jc w:val="both"/>
      </w:pPr>
      <w:r>
        <w:rPr>
          <w:w w:val="110"/>
        </w:rPr>
        <w:t>Pero no basta con llamar la atención sobre la debacle financiera. detrás de ella se esboza una crisis de la economía real, ya que la actual </w:t>
      </w:r>
      <w:r>
        <w:rPr>
          <w:w w:val="109"/>
        </w:rPr>
        <w:t>crisis</w:t>
      </w:r>
      <w:r>
        <w:rPr/>
        <w:t> </w:t>
      </w:r>
      <w:r>
        <w:rPr>
          <w:spacing w:val="-18"/>
        </w:rPr>
        <w:t> </w:t>
      </w:r>
      <w:r>
        <w:rPr>
          <w:w w:val="110"/>
        </w:rPr>
        <w:t>financiera</w:t>
      </w:r>
      <w:r>
        <w:rPr/>
        <w:t> </w:t>
      </w:r>
      <w:r>
        <w:rPr>
          <w:spacing w:val="-18"/>
        </w:rPr>
        <w:t> </w:t>
      </w:r>
      <w:r>
        <w:rPr>
          <w:w w:val="106"/>
        </w:rPr>
        <w:t>va</w:t>
      </w:r>
      <w:r>
        <w:rPr/>
        <w:t> </w:t>
      </w:r>
      <w:r>
        <w:rPr>
          <w:spacing w:val="-18"/>
        </w:rPr>
        <w:t> </w:t>
      </w:r>
      <w:r>
        <w:rPr>
          <w:w w:val="112"/>
        </w:rPr>
        <w:t>a</w:t>
      </w:r>
      <w:r>
        <w:rPr/>
        <w:t> </w:t>
      </w:r>
      <w:r>
        <w:rPr>
          <w:spacing w:val="-18"/>
        </w:rPr>
        <w:t> </w:t>
      </w:r>
      <w:r>
        <w:rPr>
          <w:w w:val="108"/>
        </w:rPr>
        <w:t>asfixiar</w:t>
      </w:r>
      <w:r>
        <w:rPr/>
        <w:t> </w:t>
      </w:r>
      <w:r>
        <w:rPr>
          <w:spacing w:val="-18"/>
        </w:rPr>
        <w:t> </w:t>
      </w:r>
      <w:r>
        <w:rPr>
          <w:w w:val="107"/>
        </w:rPr>
        <w:t>el</w:t>
      </w:r>
      <w:r>
        <w:rPr/>
        <w:t> </w:t>
      </w:r>
      <w:r>
        <w:rPr>
          <w:spacing w:val="-18"/>
        </w:rPr>
        <w:t> </w:t>
      </w:r>
      <w:r>
        <w:rPr>
          <w:w w:val="108"/>
        </w:rPr>
        <w:t>desarrollo</w:t>
      </w:r>
      <w:r>
        <w:rPr/>
        <w:t> </w:t>
      </w:r>
      <w:r>
        <w:rPr>
          <w:spacing w:val="-18"/>
        </w:rPr>
        <w:t> </w:t>
      </w:r>
      <w:r>
        <w:rPr>
          <w:w w:val="107"/>
        </w:rPr>
        <w:t>de</w:t>
      </w:r>
      <w:r>
        <w:rPr/>
        <w:t> </w:t>
      </w:r>
      <w:r>
        <w:rPr>
          <w:spacing w:val="-18"/>
        </w:rPr>
        <w:t> </w:t>
      </w:r>
      <w:r>
        <w:rPr>
          <w:w w:val="111"/>
        </w:rPr>
        <w:t>la</w:t>
      </w:r>
      <w:r>
        <w:rPr/>
        <w:t> </w:t>
      </w:r>
      <w:r>
        <w:rPr>
          <w:spacing w:val="-18"/>
        </w:rPr>
        <w:t> </w:t>
      </w:r>
      <w:r>
        <w:rPr>
          <w:w w:val="108"/>
        </w:rPr>
        <w:t>base</w:t>
      </w:r>
      <w:r>
        <w:rPr/>
        <w:t> </w:t>
      </w:r>
      <w:r>
        <w:rPr>
          <w:spacing w:val="-18"/>
        </w:rPr>
        <w:t> </w:t>
      </w:r>
      <w:r>
        <w:rPr>
          <w:w w:val="110"/>
        </w:rPr>
        <w:t>productiva.</w:t>
      </w:r>
      <w:r>
        <w:rPr/>
        <w:t> </w:t>
      </w:r>
      <w:r>
        <w:rPr>
          <w:spacing w:val="-18"/>
        </w:rPr>
        <w:t> </w:t>
      </w:r>
      <w:r>
        <w:rPr>
          <w:w w:val="243"/>
        </w:rPr>
        <w:t>l</w:t>
      </w:r>
      <w:r>
        <w:rPr>
          <w:w w:val="109"/>
        </w:rPr>
        <w:t>as </w:t>
      </w:r>
      <w:r>
        <w:rPr>
          <w:w w:val="110"/>
        </w:rPr>
        <w:t>soluciones aportadas a esta crisis sólo pueden desembocar en un gra- ve problema en la economía real, esto es, un estancamiento relativo  de la producción y lo que ésta va a acarrear: regresión de los ingresos de los trabajadores, aumento del paro laboral, alza de la precariedad   y agudización de la pobreza </w:t>
      </w:r>
      <w:r>
        <w:rPr>
          <w:spacing w:val="19"/>
          <w:w w:val="110"/>
        </w:rPr>
        <w:t> </w:t>
      </w:r>
      <w:r>
        <w:rPr>
          <w:w w:val="110"/>
        </w:rPr>
        <w:t>global.</w:t>
      </w:r>
    </w:p>
    <w:p>
      <w:pPr>
        <w:pStyle w:val="BodyText"/>
        <w:spacing w:line="252" w:lineRule="auto"/>
        <w:ind w:left="330" w:right="118" w:firstLine="396"/>
        <w:jc w:val="both"/>
      </w:pPr>
      <w:r>
        <w:rPr>
          <w:w w:val="110"/>
        </w:rPr>
        <w:t>detrás</w:t>
      </w:r>
      <w:r>
        <w:rPr>
          <w:spacing w:val="-5"/>
          <w:w w:val="110"/>
        </w:rPr>
        <w:t> </w:t>
      </w:r>
      <w:r>
        <w:rPr>
          <w:w w:val="110"/>
        </w:rPr>
        <w:t>de</w:t>
      </w:r>
      <w:r>
        <w:rPr>
          <w:spacing w:val="-5"/>
          <w:w w:val="110"/>
        </w:rPr>
        <w:t> </w:t>
      </w:r>
      <w:r>
        <w:rPr>
          <w:w w:val="110"/>
        </w:rPr>
        <w:t>la</w:t>
      </w:r>
      <w:r>
        <w:rPr>
          <w:spacing w:val="-5"/>
          <w:w w:val="110"/>
        </w:rPr>
        <w:t> </w:t>
      </w:r>
      <w:r>
        <w:rPr>
          <w:w w:val="110"/>
        </w:rPr>
        <w:t>crisis</w:t>
      </w:r>
      <w:r>
        <w:rPr>
          <w:spacing w:val="-5"/>
          <w:w w:val="110"/>
        </w:rPr>
        <w:t> </w:t>
      </w:r>
      <w:r>
        <w:rPr>
          <w:w w:val="110"/>
        </w:rPr>
        <w:t>se</w:t>
      </w:r>
      <w:r>
        <w:rPr>
          <w:spacing w:val="-5"/>
          <w:w w:val="110"/>
        </w:rPr>
        <w:t> </w:t>
      </w:r>
      <w:r>
        <w:rPr>
          <w:w w:val="110"/>
        </w:rPr>
        <w:t>perfila</w:t>
      </w:r>
      <w:r>
        <w:rPr>
          <w:spacing w:val="-5"/>
          <w:w w:val="110"/>
        </w:rPr>
        <w:t> </w:t>
      </w:r>
      <w:r>
        <w:rPr>
          <w:w w:val="110"/>
        </w:rPr>
        <w:t>a</w:t>
      </w:r>
      <w:r>
        <w:rPr>
          <w:spacing w:val="-5"/>
          <w:w w:val="110"/>
        </w:rPr>
        <w:t> </w:t>
      </w:r>
      <w:r>
        <w:rPr>
          <w:w w:val="110"/>
        </w:rPr>
        <w:t>su</w:t>
      </w:r>
      <w:r>
        <w:rPr>
          <w:spacing w:val="-5"/>
          <w:w w:val="110"/>
        </w:rPr>
        <w:t> </w:t>
      </w:r>
      <w:r>
        <w:rPr>
          <w:w w:val="110"/>
        </w:rPr>
        <w:t>vez</w:t>
      </w:r>
      <w:r>
        <w:rPr>
          <w:spacing w:val="-5"/>
          <w:w w:val="110"/>
        </w:rPr>
        <w:t> </w:t>
      </w:r>
      <w:r>
        <w:rPr>
          <w:w w:val="110"/>
        </w:rPr>
        <w:t>la</w:t>
      </w:r>
      <w:r>
        <w:rPr>
          <w:spacing w:val="-5"/>
          <w:w w:val="110"/>
        </w:rPr>
        <w:t> </w:t>
      </w:r>
      <w:r>
        <w:rPr>
          <w:w w:val="110"/>
        </w:rPr>
        <w:t>verdadera</w:t>
      </w:r>
      <w:r>
        <w:rPr>
          <w:spacing w:val="-5"/>
          <w:w w:val="110"/>
        </w:rPr>
        <w:t> </w:t>
      </w:r>
      <w:r>
        <w:rPr>
          <w:w w:val="110"/>
        </w:rPr>
        <w:t>crisis</w:t>
      </w:r>
      <w:r>
        <w:rPr>
          <w:spacing w:val="-5"/>
          <w:w w:val="110"/>
        </w:rPr>
        <w:t> </w:t>
      </w:r>
      <w:r>
        <w:rPr>
          <w:w w:val="110"/>
        </w:rPr>
        <w:t>estructural </w:t>
      </w:r>
      <w:r>
        <w:rPr>
          <w:w w:val="110"/>
        </w:rPr>
        <w:t>sistémica</w:t>
      </w:r>
      <w:r>
        <w:rPr/>
        <w:t> </w:t>
      </w:r>
      <w:r>
        <w:rPr>
          <w:spacing w:val="-15"/>
        </w:rPr>
        <w:t> </w:t>
      </w:r>
      <w:r>
        <w:rPr>
          <w:w w:val="107"/>
        </w:rPr>
        <w:t>del</w:t>
      </w:r>
      <w:r>
        <w:rPr/>
        <w:t> </w:t>
      </w:r>
      <w:r>
        <w:rPr>
          <w:spacing w:val="-15"/>
        </w:rPr>
        <w:t> </w:t>
      </w:r>
      <w:r>
        <w:rPr>
          <w:w w:val="112"/>
        </w:rPr>
        <w:t>capitalismo.</w:t>
      </w:r>
      <w:r>
        <w:rPr/>
        <w:t> </w:t>
      </w:r>
      <w:r>
        <w:rPr>
          <w:spacing w:val="-15"/>
        </w:rPr>
        <w:t> </w:t>
      </w:r>
      <w:r>
        <w:rPr>
          <w:w w:val="243"/>
        </w:rPr>
        <w:t>l</w:t>
      </w:r>
      <w:r>
        <w:rPr>
          <w:w w:val="112"/>
        </w:rPr>
        <w:t>a</w:t>
      </w:r>
      <w:r>
        <w:rPr/>
        <w:t> </w:t>
      </w:r>
      <w:r>
        <w:rPr>
          <w:spacing w:val="-15"/>
        </w:rPr>
        <w:t> </w:t>
      </w:r>
      <w:r>
        <w:rPr>
          <w:w w:val="112"/>
        </w:rPr>
        <w:t>continuación</w:t>
      </w:r>
      <w:r>
        <w:rPr/>
        <w:t> </w:t>
      </w:r>
      <w:r>
        <w:rPr>
          <w:spacing w:val="-15"/>
        </w:rPr>
        <w:t> </w:t>
      </w:r>
      <w:r>
        <w:rPr>
          <w:w w:val="107"/>
        </w:rPr>
        <w:t>del</w:t>
      </w:r>
      <w:r>
        <w:rPr/>
        <w:t> </w:t>
      </w:r>
      <w:r>
        <w:rPr>
          <w:spacing w:val="-15"/>
        </w:rPr>
        <w:t> </w:t>
      </w:r>
      <w:r>
        <w:rPr>
          <w:w w:val="110"/>
        </w:rPr>
        <w:t>modelo</w:t>
      </w:r>
      <w:r>
        <w:rPr/>
        <w:t> </w:t>
      </w:r>
      <w:r>
        <w:rPr>
          <w:spacing w:val="-15"/>
        </w:rPr>
        <w:t> </w:t>
      </w:r>
      <w:r>
        <w:rPr>
          <w:w w:val="107"/>
        </w:rPr>
        <w:t>de</w:t>
      </w:r>
      <w:r>
        <w:rPr/>
        <w:t> </w:t>
      </w:r>
      <w:r>
        <w:rPr>
          <w:spacing w:val="-15"/>
        </w:rPr>
        <w:t> </w:t>
      </w:r>
      <w:r>
        <w:rPr>
          <w:w w:val="108"/>
        </w:rPr>
        <w:t>desarrollo </w:t>
      </w:r>
      <w:r>
        <w:rPr>
          <w:w w:val="110"/>
        </w:rPr>
        <w:t>de la economía real, tal y como se conoce, así como el del consumo  que le va emparejado, se ha vuelto, por primera vez en la historia, una verdadera amenaza para el porvenir de la humanidad y del </w:t>
      </w:r>
      <w:r>
        <w:rPr>
          <w:spacing w:val="14"/>
          <w:w w:val="110"/>
        </w:rPr>
        <w:t> </w:t>
      </w:r>
      <w:r>
        <w:rPr>
          <w:w w:val="110"/>
        </w:rPr>
        <w:t>planeta.</w:t>
      </w:r>
    </w:p>
    <w:p>
      <w:pPr>
        <w:pStyle w:val="BodyText"/>
        <w:spacing w:line="252" w:lineRule="auto"/>
        <w:ind w:left="330" w:right="117" w:firstLine="396"/>
        <w:jc w:val="both"/>
      </w:pPr>
      <w:r>
        <w:rPr>
          <w:w w:val="243"/>
        </w:rPr>
        <w:t>l</w:t>
      </w:r>
      <w:r>
        <w:rPr>
          <w:w w:val="112"/>
        </w:rPr>
        <w:t>a</w:t>
      </w:r>
      <w:r>
        <w:rPr>
          <w:spacing w:val="4"/>
        </w:rPr>
        <w:t> </w:t>
      </w:r>
      <w:r>
        <w:rPr>
          <w:w w:val="110"/>
        </w:rPr>
        <w:t>dimensión</w:t>
      </w:r>
      <w:r>
        <w:rPr>
          <w:spacing w:val="4"/>
        </w:rPr>
        <w:t> </w:t>
      </w:r>
      <w:r>
        <w:rPr>
          <w:w w:val="109"/>
        </w:rPr>
        <w:t>mayor</w:t>
      </w:r>
      <w:r>
        <w:rPr>
          <w:spacing w:val="4"/>
        </w:rPr>
        <w:t> </w:t>
      </w:r>
      <w:r>
        <w:rPr>
          <w:w w:val="107"/>
        </w:rPr>
        <w:t>de</w:t>
      </w:r>
      <w:r>
        <w:rPr>
          <w:spacing w:val="4"/>
        </w:rPr>
        <w:t> </w:t>
      </w:r>
      <w:r>
        <w:rPr>
          <w:w w:val="107"/>
        </w:rPr>
        <w:t>esta</w:t>
      </w:r>
      <w:r>
        <w:rPr>
          <w:spacing w:val="4"/>
        </w:rPr>
        <w:t> </w:t>
      </w:r>
      <w:r>
        <w:rPr>
          <w:w w:val="109"/>
        </w:rPr>
        <w:t>crisis</w:t>
      </w:r>
      <w:r>
        <w:rPr>
          <w:spacing w:val="4"/>
        </w:rPr>
        <w:t> </w:t>
      </w:r>
      <w:r>
        <w:rPr>
          <w:w w:val="110"/>
        </w:rPr>
        <w:t>sistémica</w:t>
      </w:r>
      <w:r>
        <w:rPr>
          <w:spacing w:val="4"/>
        </w:rPr>
        <w:t> </w:t>
      </w:r>
      <w:r>
        <w:rPr>
          <w:w w:val="110"/>
        </w:rPr>
        <w:t>concierne</w:t>
      </w:r>
      <w:r>
        <w:rPr>
          <w:spacing w:val="4"/>
        </w:rPr>
        <w:t> </w:t>
      </w:r>
      <w:r>
        <w:rPr>
          <w:w w:val="111"/>
        </w:rPr>
        <w:t>al</w:t>
      </w:r>
      <w:r>
        <w:rPr>
          <w:spacing w:val="4"/>
        </w:rPr>
        <w:t> </w:t>
      </w:r>
      <w:r>
        <w:rPr>
          <w:w w:val="110"/>
        </w:rPr>
        <w:t>acceso</w:t>
      </w:r>
      <w:r>
        <w:rPr>
          <w:spacing w:val="4"/>
        </w:rPr>
        <w:t> </w:t>
      </w:r>
      <w:r>
        <w:rPr>
          <w:w w:val="112"/>
        </w:rPr>
        <w:t>a </w:t>
      </w:r>
      <w:r>
        <w:rPr>
          <w:w w:val="110"/>
        </w:rPr>
        <w:t>los recursos naturales del planeta, que se han vuelto muchísimo más escasos</w:t>
      </w:r>
      <w:r>
        <w:rPr>
          <w:spacing w:val="-5"/>
          <w:w w:val="110"/>
        </w:rPr>
        <w:t> </w:t>
      </w:r>
      <w:r>
        <w:rPr>
          <w:w w:val="110"/>
        </w:rPr>
        <w:t>que</w:t>
      </w:r>
      <w:r>
        <w:rPr>
          <w:spacing w:val="-5"/>
          <w:w w:val="110"/>
        </w:rPr>
        <w:t> </w:t>
      </w:r>
      <w:r>
        <w:rPr>
          <w:w w:val="110"/>
        </w:rPr>
        <w:t>hace</w:t>
      </w:r>
      <w:r>
        <w:rPr>
          <w:spacing w:val="-5"/>
          <w:w w:val="110"/>
        </w:rPr>
        <w:t> </w:t>
      </w:r>
      <w:r>
        <w:rPr>
          <w:w w:val="110"/>
        </w:rPr>
        <w:t>medio</w:t>
      </w:r>
      <w:r>
        <w:rPr>
          <w:spacing w:val="-5"/>
          <w:w w:val="110"/>
        </w:rPr>
        <w:t> </w:t>
      </w:r>
      <w:r>
        <w:rPr>
          <w:w w:val="110"/>
        </w:rPr>
        <w:t>siglo.</w:t>
      </w:r>
      <w:r>
        <w:rPr>
          <w:spacing w:val="-5"/>
          <w:w w:val="110"/>
        </w:rPr>
        <w:t> </w:t>
      </w:r>
      <w:r>
        <w:rPr>
          <w:w w:val="110"/>
        </w:rPr>
        <w:t>El</w:t>
      </w:r>
      <w:r>
        <w:rPr>
          <w:spacing w:val="-5"/>
          <w:w w:val="110"/>
        </w:rPr>
        <w:t> </w:t>
      </w:r>
      <w:r>
        <w:rPr>
          <w:w w:val="110"/>
        </w:rPr>
        <w:t>sistema</w:t>
      </w:r>
      <w:r>
        <w:rPr>
          <w:spacing w:val="-5"/>
          <w:w w:val="110"/>
        </w:rPr>
        <w:t> </w:t>
      </w:r>
      <w:r>
        <w:rPr>
          <w:w w:val="110"/>
        </w:rPr>
        <w:t>de</w:t>
      </w:r>
      <w:r>
        <w:rPr>
          <w:spacing w:val="-5"/>
          <w:w w:val="110"/>
        </w:rPr>
        <w:t> </w:t>
      </w:r>
      <w:r>
        <w:rPr>
          <w:w w:val="110"/>
        </w:rPr>
        <w:t>producción</w:t>
      </w:r>
      <w:r>
        <w:rPr>
          <w:spacing w:val="-5"/>
          <w:w w:val="110"/>
        </w:rPr>
        <w:t> </w:t>
      </w:r>
      <w:r>
        <w:rPr>
          <w:w w:val="110"/>
        </w:rPr>
        <w:t>y</w:t>
      </w:r>
      <w:r>
        <w:rPr>
          <w:spacing w:val="-5"/>
          <w:w w:val="110"/>
        </w:rPr>
        <w:t> </w:t>
      </w:r>
      <w:r>
        <w:rPr>
          <w:w w:val="110"/>
        </w:rPr>
        <w:t>de</w:t>
      </w:r>
      <w:r>
        <w:rPr>
          <w:spacing w:val="-5"/>
          <w:w w:val="110"/>
        </w:rPr>
        <w:t> </w:t>
      </w:r>
      <w:r>
        <w:rPr>
          <w:w w:val="110"/>
        </w:rPr>
        <w:t>consumo/ despilfarro existente hace imposible el acceso a los recursos naturales del globo para la mayoría de los habitantes del planeta, para los traba- jadores del norte y del</w:t>
      </w:r>
      <w:r>
        <w:rPr>
          <w:spacing w:val="15"/>
          <w:w w:val="110"/>
        </w:rPr>
        <w:t> </w:t>
      </w:r>
      <w:r>
        <w:rPr>
          <w:spacing w:val="-6"/>
          <w:w w:val="110"/>
        </w:rPr>
        <w:t>sur.</w:t>
      </w:r>
    </w:p>
    <w:p>
      <w:pPr>
        <w:pStyle w:val="BodyText"/>
        <w:spacing w:line="252" w:lineRule="auto"/>
        <w:ind w:left="330" w:right="118" w:firstLine="396"/>
        <w:jc w:val="both"/>
      </w:pPr>
      <w:r>
        <w:rPr>
          <w:w w:val="115"/>
        </w:rPr>
        <w:t>El</w:t>
      </w:r>
      <w:r>
        <w:rPr>
          <w:spacing w:val="-24"/>
          <w:w w:val="115"/>
        </w:rPr>
        <w:t> </w:t>
      </w:r>
      <w:r>
        <w:rPr>
          <w:w w:val="115"/>
        </w:rPr>
        <w:t>fin</w:t>
      </w:r>
      <w:r>
        <w:rPr>
          <w:spacing w:val="-24"/>
          <w:w w:val="115"/>
        </w:rPr>
        <w:t> </w:t>
      </w:r>
      <w:r>
        <w:rPr>
          <w:w w:val="115"/>
        </w:rPr>
        <w:t>de</w:t>
      </w:r>
      <w:r>
        <w:rPr>
          <w:spacing w:val="-24"/>
          <w:w w:val="115"/>
        </w:rPr>
        <w:t> </w:t>
      </w:r>
      <w:r>
        <w:rPr>
          <w:w w:val="115"/>
        </w:rPr>
        <w:t>la</w:t>
      </w:r>
      <w:r>
        <w:rPr>
          <w:spacing w:val="-24"/>
          <w:w w:val="115"/>
        </w:rPr>
        <w:t> </w:t>
      </w:r>
      <w:r>
        <w:rPr>
          <w:w w:val="115"/>
        </w:rPr>
        <w:t>historia</w:t>
      </w:r>
      <w:r>
        <w:rPr>
          <w:spacing w:val="-24"/>
          <w:w w:val="115"/>
        </w:rPr>
        <w:t> </w:t>
      </w:r>
      <w:r>
        <w:rPr>
          <w:w w:val="115"/>
        </w:rPr>
        <w:t>entonces</w:t>
      </w:r>
      <w:r>
        <w:rPr>
          <w:spacing w:val="-24"/>
          <w:w w:val="115"/>
        </w:rPr>
        <w:t> </w:t>
      </w:r>
      <w:r>
        <w:rPr>
          <w:w w:val="115"/>
        </w:rPr>
        <w:t>no</w:t>
      </w:r>
      <w:r>
        <w:rPr>
          <w:spacing w:val="-24"/>
          <w:w w:val="115"/>
        </w:rPr>
        <w:t> </w:t>
      </w:r>
      <w:r>
        <w:rPr>
          <w:w w:val="115"/>
        </w:rPr>
        <w:t>es</w:t>
      </w:r>
      <w:r>
        <w:rPr>
          <w:spacing w:val="-24"/>
          <w:w w:val="115"/>
        </w:rPr>
        <w:t> </w:t>
      </w:r>
      <w:r>
        <w:rPr>
          <w:w w:val="115"/>
        </w:rPr>
        <w:t>el</w:t>
      </w:r>
      <w:r>
        <w:rPr>
          <w:spacing w:val="-24"/>
          <w:w w:val="115"/>
        </w:rPr>
        <w:t> </w:t>
      </w:r>
      <w:r>
        <w:rPr>
          <w:w w:val="115"/>
        </w:rPr>
        <w:t>momento</w:t>
      </w:r>
      <w:r>
        <w:rPr>
          <w:spacing w:val="-24"/>
          <w:w w:val="115"/>
        </w:rPr>
        <w:t> </w:t>
      </w:r>
      <w:r>
        <w:rPr>
          <w:w w:val="115"/>
        </w:rPr>
        <w:t>de</w:t>
      </w:r>
      <w:r>
        <w:rPr>
          <w:spacing w:val="-24"/>
          <w:w w:val="115"/>
        </w:rPr>
        <w:t> </w:t>
      </w:r>
      <w:r>
        <w:rPr>
          <w:w w:val="115"/>
        </w:rPr>
        <w:t>triunfo</w:t>
      </w:r>
      <w:r>
        <w:rPr>
          <w:spacing w:val="-24"/>
          <w:w w:val="115"/>
        </w:rPr>
        <w:t> </w:t>
      </w:r>
      <w:r>
        <w:rPr>
          <w:w w:val="115"/>
        </w:rPr>
        <w:t>del</w:t>
      </w:r>
      <w:r>
        <w:rPr>
          <w:spacing w:val="-24"/>
          <w:w w:val="115"/>
        </w:rPr>
        <w:t> </w:t>
      </w:r>
      <w:r>
        <w:rPr>
          <w:w w:val="115"/>
        </w:rPr>
        <w:t>capi- talismo</w:t>
      </w:r>
      <w:r>
        <w:rPr>
          <w:spacing w:val="-10"/>
          <w:w w:val="115"/>
        </w:rPr>
        <w:t> </w:t>
      </w:r>
      <w:r>
        <w:rPr>
          <w:w w:val="115"/>
        </w:rPr>
        <w:t>y</w:t>
      </w:r>
      <w:r>
        <w:rPr>
          <w:spacing w:val="-10"/>
          <w:w w:val="115"/>
        </w:rPr>
        <w:t> </w:t>
      </w:r>
      <w:r>
        <w:rPr>
          <w:w w:val="115"/>
        </w:rPr>
        <w:t>su</w:t>
      </w:r>
      <w:r>
        <w:rPr>
          <w:spacing w:val="-10"/>
          <w:w w:val="115"/>
        </w:rPr>
        <w:t> </w:t>
      </w:r>
      <w:r>
        <w:rPr>
          <w:w w:val="115"/>
        </w:rPr>
        <w:t>forma</w:t>
      </w:r>
      <w:r>
        <w:rPr>
          <w:spacing w:val="-10"/>
          <w:w w:val="115"/>
        </w:rPr>
        <w:t> </w:t>
      </w:r>
      <w:r>
        <w:rPr>
          <w:w w:val="115"/>
        </w:rPr>
        <w:t>neoliberal</w:t>
      </w:r>
      <w:r>
        <w:rPr>
          <w:spacing w:val="-10"/>
          <w:w w:val="115"/>
        </w:rPr>
        <w:t> </w:t>
      </w:r>
      <w:r>
        <w:rPr>
          <w:w w:val="115"/>
        </w:rPr>
        <w:t>de</w:t>
      </w:r>
      <w:r>
        <w:rPr>
          <w:spacing w:val="-10"/>
          <w:w w:val="115"/>
        </w:rPr>
        <w:t> </w:t>
      </w:r>
      <w:r>
        <w:rPr>
          <w:w w:val="115"/>
        </w:rPr>
        <w:t>acumulación.</w:t>
      </w:r>
      <w:r>
        <w:rPr>
          <w:spacing w:val="-10"/>
          <w:w w:val="115"/>
        </w:rPr>
        <w:t> </w:t>
      </w:r>
      <w:r>
        <w:rPr>
          <w:spacing w:val="-3"/>
          <w:w w:val="115"/>
        </w:rPr>
        <w:t>tampoco</w:t>
      </w:r>
      <w:r>
        <w:rPr>
          <w:spacing w:val="-10"/>
          <w:w w:val="115"/>
        </w:rPr>
        <w:t> </w:t>
      </w:r>
      <w:r>
        <w:rPr>
          <w:w w:val="115"/>
        </w:rPr>
        <w:t>es</w:t>
      </w:r>
      <w:r>
        <w:rPr>
          <w:spacing w:val="-10"/>
          <w:w w:val="115"/>
        </w:rPr>
        <w:t> </w:t>
      </w:r>
      <w:r>
        <w:rPr>
          <w:w w:val="115"/>
        </w:rPr>
        <w:t>la</w:t>
      </w:r>
      <w:r>
        <w:rPr>
          <w:spacing w:val="-10"/>
          <w:w w:val="115"/>
        </w:rPr>
        <w:t> </w:t>
      </w:r>
      <w:r>
        <w:rPr>
          <w:w w:val="115"/>
        </w:rPr>
        <w:t>derrota de</w:t>
      </w:r>
      <w:r>
        <w:rPr>
          <w:spacing w:val="-17"/>
          <w:w w:val="115"/>
        </w:rPr>
        <w:t> </w:t>
      </w:r>
      <w:r>
        <w:rPr>
          <w:w w:val="115"/>
        </w:rPr>
        <w:t>la</w:t>
      </w:r>
      <w:r>
        <w:rPr>
          <w:spacing w:val="-17"/>
          <w:w w:val="115"/>
        </w:rPr>
        <w:t> </w:t>
      </w:r>
      <w:r>
        <w:rPr>
          <w:w w:val="115"/>
        </w:rPr>
        <w:t>clase</w:t>
      </w:r>
      <w:r>
        <w:rPr>
          <w:spacing w:val="-17"/>
          <w:w w:val="115"/>
        </w:rPr>
        <w:t> </w:t>
      </w:r>
      <w:r>
        <w:rPr>
          <w:w w:val="115"/>
        </w:rPr>
        <w:t>obrera</w:t>
      </w:r>
      <w:r>
        <w:rPr>
          <w:spacing w:val="-17"/>
          <w:w w:val="115"/>
        </w:rPr>
        <w:t> </w:t>
      </w:r>
      <w:r>
        <w:rPr>
          <w:w w:val="115"/>
        </w:rPr>
        <w:t>y</w:t>
      </w:r>
      <w:r>
        <w:rPr>
          <w:spacing w:val="-17"/>
          <w:w w:val="115"/>
        </w:rPr>
        <w:t> </w:t>
      </w:r>
      <w:r>
        <w:rPr>
          <w:w w:val="115"/>
        </w:rPr>
        <w:t>su</w:t>
      </w:r>
      <w:r>
        <w:rPr>
          <w:spacing w:val="-17"/>
          <w:w w:val="115"/>
        </w:rPr>
        <w:t> </w:t>
      </w:r>
      <w:r>
        <w:rPr>
          <w:w w:val="115"/>
        </w:rPr>
        <w:t>proyecto</w:t>
      </w:r>
      <w:r>
        <w:rPr>
          <w:spacing w:val="-17"/>
          <w:w w:val="115"/>
        </w:rPr>
        <w:t> </w:t>
      </w:r>
      <w:r>
        <w:rPr>
          <w:w w:val="115"/>
        </w:rPr>
        <w:t>de</w:t>
      </w:r>
      <w:r>
        <w:rPr>
          <w:spacing w:val="-17"/>
          <w:w w:val="115"/>
        </w:rPr>
        <w:t> </w:t>
      </w:r>
      <w:r>
        <w:rPr>
          <w:w w:val="115"/>
        </w:rPr>
        <w:t>socialismo.</w:t>
      </w:r>
      <w:r>
        <w:rPr>
          <w:spacing w:val="-17"/>
          <w:w w:val="115"/>
        </w:rPr>
        <w:t> </w:t>
      </w:r>
      <w:r>
        <w:rPr>
          <w:w w:val="115"/>
        </w:rPr>
        <w:t>Es</w:t>
      </w:r>
      <w:r>
        <w:rPr>
          <w:spacing w:val="-17"/>
          <w:w w:val="115"/>
        </w:rPr>
        <w:t> </w:t>
      </w:r>
      <w:r>
        <w:rPr>
          <w:w w:val="115"/>
        </w:rPr>
        <w:t>el</w:t>
      </w:r>
      <w:r>
        <w:rPr>
          <w:spacing w:val="-17"/>
          <w:w w:val="115"/>
        </w:rPr>
        <w:t> </w:t>
      </w:r>
      <w:r>
        <w:rPr>
          <w:w w:val="115"/>
        </w:rPr>
        <w:t>fin</w:t>
      </w:r>
      <w:r>
        <w:rPr>
          <w:spacing w:val="-17"/>
          <w:w w:val="115"/>
        </w:rPr>
        <w:t> </w:t>
      </w:r>
      <w:r>
        <w:rPr>
          <w:w w:val="115"/>
        </w:rPr>
        <w:t>de</w:t>
      </w:r>
      <w:r>
        <w:rPr>
          <w:spacing w:val="-17"/>
          <w:w w:val="115"/>
        </w:rPr>
        <w:t> </w:t>
      </w:r>
      <w:r>
        <w:rPr>
          <w:w w:val="115"/>
        </w:rPr>
        <w:t>la</w:t>
      </w:r>
      <w:r>
        <w:rPr>
          <w:spacing w:val="-17"/>
          <w:w w:val="115"/>
        </w:rPr>
        <w:t> </w:t>
      </w:r>
      <w:r>
        <w:rPr>
          <w:w w:val="115"/>
        </w:rPr>
        <w:t>acumula- ción</w:t>
      </w:r>
      <w:r>
        <w:rPr>
          <w:spacing w:val="-19"/>
          <w:w w:val="115"/>
        </w:rPr>
        <w:t> </w:t>
      </w:r>
      <w:r>
        <w:rPr>
          <w:w w:val="115"/>
        </w:rPr>
        <w:t>capitalista</w:t>
      </w:r>
      <w:r>
        <w:rPr>
          <w:spacing w:val="-19"/>
          <w:w w:val="115"/>
        </w:rPr>
        <w:t> </w:t>
      </w:r>
      <w:r>
        <w:rPr>
          <w:w w:val="115"/>
        </w:rPr>
        <w:t>en</w:t>
      </w:r>
      <w:r>
        <w:rPr>
          <w:spacing w:val="-19"/>
          <w:w w:val="115"/>
        </w:rPr>
        <w:t> </w:t>
      </w:r>
      <w:r>
        <w:rPr>
          <w:w w:val="115"/>
        </w:rPr>
        <w:t>su</w:t>
      </w:r>
      <w:r>
        <w:rPr>
          <w:spacing w:val="-19"/>
          <w:w w:val="115"/>
        </w:rPr>
        <w:t> </w:t>
      </w:r>
      <w:r>
        <w:rPr>
          <w:w w:val="115"/>
        </w:rPr>
        <w:t>forma</w:t>
      </w:r>
      <w:r>
        <w:rPr>
          <w:spacing w:val="-19"/>
          <w:w w:val="115"/>
        </w:rPr>
        <w:t> </w:t>
      </w:r>
      <w:r>
        <w:rPr>
          <w:w w:val="115"/>
        </w:rPr>
        <w:t>industrial</w:t>
      </w:r>
      <w:r>
        <w:rPr>
          <w:spacing w:val="-19"/>
          <w:w w:val="115"/>
        </w:rPr>
        <w:t> </w:t>
      </w:r>
      <w:r>
        <w:rPr>
          <w:w w:val="115"/>
        </w:rPr>
        <w:t>financiera.</w:t>
      </w:r>
    </w:p>
    <w:p>
      <w:pPr>
        <w:pStyle w:val="BodyText"/>
        <w:spacing w:line="252" w:lineRule="auto"/>
        <w:ind w:left="330" w:right="118" w:firstLine="396"/>
        <w:jc w:val="both"/>
      </w:pPr>
      <w:r>
        <w:rPr>
          <w:w w:val="110"/>
        </w:rPr>
        <w:t>a los trabajadores se les han expropiado sus empleos asalariados, se les están secuestrando sus bienes de consumo (viviendas, medios de transporte), educación, servicios de salud, servicios urbanos. se transfirieron</w:t>
      </w:r>
      <w:r>
        <w:rPr>
          <w:spacing w:val="-9"/>
          <w:w w:val="110"/>
        </w:rPr>
        <w:t> </w:t>
      </w:r>
      <w:r>
        <w:rPr>
          <w:w w:val="110"/>
        </w:rPr>
        <w:t>las</w:t>
      </w:r>
      <w:r>
        <w:rPr>
          <w:spacing w:val="-9"/>
          <w:w w:val="110"/>
        </w:rPr>
        <w:t> </w:t>
      </w:r>
      <w:r>
        <w:rPr>
          <w:w w:val="110"/>
        </w:rPr>
        <w:t>riquezas</w:t>
      </w:r>
      <w:r>
        <w:rPr>
          <w:spacing w:val="-9"/>
          <w:w w:val="110"/>
        </w:rPr>
        <w:t> </w:t>
      </w:r>
      <w:r>
        <w:rPr>
          <w:w w:val="110"/>
        </w:rPr>
        <w:t>sociales</w:t>
      </w:r>
      <w:r>
        <w:rPr>
          <w:spacing w:val="-9"/>
          <w:w w:val="110"/>
        </w:rPr>
        <w:t> </w:t>
      </w:r>
      <w:r>
        <w:rPr>
          <w:w w:val="110"/>
        </w:rPr>
        <w:t>de</w:t>
      </w:r>
      <w:r>
        <w:rPr>
          <w:spacing w:val="-9"/>
          <w:w w:val="110"/>
        </w:rPr>
        <w:t> </w:t>
      </w:r>
      <w:r>
        <w:rPr>
          <w:w w:val="110"/>
        </w:rPr>
        <w:t>los</w:t>
      </w:r>
      <w:r>
        <w:rPr>
          <w:spacing w:val="-9"/>
          <w:w w:val="110"/>
        </w:rPr>
        <w:t> </w:t>
      </w:r>
      <w:r>
        <w:rPr>
          <w:w w:val="110"/>
        </w:rPr>
        <w:t>trabajadores</w:t>
      </w:r>
      <w:r>
        <w:rPr>
          <w:spacing w:val="-9"/>
          <w:w w:val="110"/>
        </w:rPr>
        <w:t> </w:t>
      </w:r>
      <w:r>
        <w:rPr>
          <w:w w:val="110"/>
        </w:rPr>
        <w:t>a</w:t>
      </w:r>
      <w:r>
        <w:rPr>
          <w:spacing w:val="-9"/>
          <w:w w:val="110"/>
        </w:rPr>
        <w:t> </w:t>
      </w:r>
      <w:r>
        <w:rPr>
          <w:w w:val="110"/>
        </w:rPr>
        <w:t>los</w:t>
      </w:r>
      <w:r>
        <w:rPr>
          <w:spacing w:val="-9"/>
          <w:w w:val="110"/>
        </w:rPr>
        <w:t> </w:t>
      </w:r>
      <w:r>
        <w:rPr>
          <w:w w:val="110"/>
        </w:rPr>
        <w:t>nuevos</w:t>
      </w:r>
      <w:r>
        <w:rPr>
          <w:spacing w:val="-9"/>
          <w:w w:val="110"/>
        </w:rPr>
        <w:t> </w:t>
      </w:r>
      <w:r>
        <w:rPr>
          <w:w w:val="110"/>
        </w:rPr>
        <w:t>pro- </w:t>
      </w:r>
      <w:r>
        <w:rPr>
          <w:w w:val="108"/>
        </w:rPr>
        <w:t>pietarios</w:t>
      </w:r>
      <w:r>
        <w:rPr>
          <w:spacing w:val="2"/>
        </w:rPr>
        <w:t> </w:t>
      </w:r>
      <w:r>
        <w:rPr>
          <w:w w:val="107"/>
        </w:rPr>
        <w:t>de</w:t>
      </w:r>
      <w:r>
        <w:rPr>
          <w:spacing w:val="2"/>
        </w:rPr>
        <w:t> </w:t>
      </w:r>
      <w:r>
        <w:rPr>
          <w:w w:val="108"/>
        </w:rPr>
        <w:t>los</w:t>
      </w:r>
      <w:r>
        <w:rPr>
          <w:spacing w:val="2"/>
        </w:rPr>
        <w:t> </w:t>
      </w:r>
      <w:r>
        <w:rPr>
          <w:w w:val="108"/>
        </w:rPr>
        <w:t>servicios</w:t>
      </w:r>
      <w:r>
        <w:rPr>
          <w:spacing w:val="2"/>
        </w:rPr>
        <w:t> </w:t>
      </w:r>
      <w:r>
        <w:rPr>
          <w:w w:val="109"/>
        </w:rPr>
        <w:t>sociales</w:t>
      </w:r>
      <w:r>
        <w:rPr>
          <w:spacing w:val="2"/>
        </w:rPr>
        <w:t> </w:t>
      </w:r>
      <w:r>
        <w:rPr>
          <w:w w:val="98"/>
        </w:rPr>
        <w:t>(</w:t>
      </w:r>
      <w:r>
        <w:rPr>
          <w:w w:val="243"/>
        </w:rPr>
        <w:t>l</w:t>
      </w:r>
      <w:r>
        <w:rPr>
          <w:w w:val="110"/>
        </w:rPr>
        <w:t>apavitsas,</w:t>
      </w:r>
      <w:r>
        <w:rPr>
          <w:spacing w:val="2"/>
        </w:rPr>
        <w:t> </w:t>
      </w:r>
      <w:r>
        <w:rPr>
          <w:w w:val="104"/>
        </w:rPr>
        <w:t>2012).</w:t>
      </w:r>
      <w:r>
        <w:rPr>
          <w:spacing w:val="2"/>
        </w:rPr>
        <w:t> </w:t>
      </w:r>
      <w:r>
        <w:rPr>
          <w:w w:val="122"/>
        </w:rPr>
        <w:t>El</w:t>
      </w:r>
      <w:r>
        <w:rPr>
          <w:spacing w:val="2"/>
        </w:rPr>
        <w:t> </w:t>
      </w:r>
      <w:r>
        <w:rPr>
          <w:w w:val="110"/>
        </w:rPr>
        <w:t>estancamiento</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8"/>
        <w:jc w:val="both"/>
      </w:pPr>
      <w:r>
        <w:rPr>
          <w:w w:val="110"/>
        </w:rPr>
        <w:t>de la tasa de ganancia de los sectores productivos (industria y agricul- tura) convierte a las áreas de apoyo de antaño en cotos para acumular ganancias no productivas (financieras).</w:t>
      </w:r>
    </w:p>
    <w:p>
      <w:pPr>
        <w:pStyle w:val="BodyText"/>
        <w:spacing w:before="5"/>
      </w:pPr>
    </w:p>
    <w:p>
      <w:pPr>
        <w:pStyle w:val="Heading6"/>
        <w:ind w:left="121"/>
      </w:pPr>
      <w:r>
        <w:rPr>
          <w:w w:val="140"/>
        </w:rPr>
        <w:t>la</w:t>
      </w:r>
      <w:r>
        <w:rPr>
          <w:spacing w:val="-53"/>
          <w:w w:val="140"/>
        </w:rPr>
        <w:t> </w:t>
      </w:r>
      <w:r>
        <w:rPr>
          <w:spacing w:val="-1"/>
          <w:w w:val="140"/>
        </w:rPr>
        <w:t>GeoPolÍtica</w:t>
      </w:r>
      <w:r>
        <w:rPr>
          <w:spacing w:val="-53"/>
          <w:w w:val="140"/>
        </w:rPr>
        <w:t> </w:t>
      </w:r>
      <w:r>
        <w:rPr>
          <w:w w:val="140"/>
        </w:rPr>
        <w:t>del</w:t>
      </w:r>
      <w:r>
        <w:rPr>
          <w:spacing w:val="-53"/>
          <w:w w:val="140"/>
        </w:rPr>
        <w:t> </w:t>
      </w:r>
      <w:r>
        <w:rPr>
          <w:w w:val="140"/>
        </w:rPr>
        <w:t>sisteMa</w:t>
      </w:r>
      <w:r>
        <w:rPr>
          <w:spacing w:val="-53"/>
          <w:w w:val="140"/>
        </w:rPr>
        <w:t> </w:t>
      </w:r>
      <w:r>
        <w:rPr>
          <w:w w:val="140"/>
        </w:rPr>
        <w:t>caPitalista</w:t>
      </w:r>
    </w:p>
    <w:p>
      <w:pPr>
        <w:pStyle w:val="BodyText"/>
        <w:spacing w:line="252" w:lineRule="auto" w:before="10"/>
        <w:ind w:left="120" w:right="328"/>
        <w:jc w:val="both"/>
      </w:pPr>
      <w:r>
        <w:rPr>
          <w:w w:val="110"/>
        </w:rPr>
        <w:t>El sistema capitalista buscará todas las formas posibles para resolver su crisis. durante más de 200 años ha recurrido a las guerras de rapi- ña y a las imperialistas (entre las potencias más avanzadas). El bloque angloatlántico, que tiene casi tres siglos de ser hegemónico dentro del sistema-mundo capitalista, aún está en condiciones de seguir acumu- lando riquezas mediante la expropiación de trabajo social excedente y/o la rapiña.</w:t>
      </w:r>
    </w:p>
    <w:p>
      <w:pPr>
        <w:pStyle w:val="BodyText"/>
        <w:spacing w:line="252" w:lineRule="auto"/>
        <w:ind w:left="120" w:right="328" w:firstLine="396"/>
        <w:jc w:val="both"/>
      </w:pPr>
      <w:r>
        <w:rPr>
          <w:w w:val="110"/>
        </w:rPr>
        <w:t>sus puntos de equilibrio en el siglo </w:t>
      </w:r>
      <w:r>
        <w:rPr>
          <w:w w:val="130"/>
        </w:rPr>
        <w:t>xx </w:t>
      </w:r>
      <w:r>
        <w:rPr>
          <w:w w:val="110"/>
        </w:rPr>
        <w:t>se centraron en Europa,    el Extremo oriente, el Medio oriente y el Caribe. Con el colapso de la </w:t>
      </w:r>
      <w:r>
        <w:rPr>
          <w:w w:val="130"/>
        </w:rPr>
        <w:t>urss </w:t>
      </w:r>
      <w:r>
        <w:rPr>
          <w:w w:val="110"/>
        </w:rPr>
        <w:t>–sucesora de la rusia zarista– se abrió una brecha que por más de dos siglos (Napoleón, Hitler) se encontraba cerrada a la expansión del capitalismo: el vasto continente euroasiático. Cuando  bush  pa- dre prometió a Gorbachov –el último secretario general del PCus– en 1989, que la disolución del bloque socialista europeo y la </w:t>
      </w:r>
      <w:r>
        <w:rPr>
          <w:w w:val="130"/>
        </w:rPr>
        <w:t>urss </w:t>
      </w:r>
      <w:r>
        <w:rPr>
          <w:w w:val="110"/>
        </w:rPr>
        <w:t>no al- terarían el orden establecido después de la </w:t>
      </w:r>
      <w:r>
        <w:rPr>
          <w:w w:val="130"/>
        </w:rPr>
        <w:t>ii </w:t>
      </w:r>
      <w:r>
        <w:rPr>
          <w:w w:val="110"/>
        </w:rPr>
        <w:t>Guerra Mundial, estaba jugando con hojas de té. El presidente ruso, Vladimir Putin, se quejó amargamente en 2007 por lo que consideraba un engaño por parte de Estados </w:t>
      </w:r>
      <w:r>
        <w:rPr>
          <w:spacing w:val="4"/>
          <w:w w:val="110"/>
        </w:rPr>
        <w:t> </w:t>
      </w:r>
      <w:r>
        <w:rPr>
          <w:w w:val="110"/>
        </w:rPr>
        <w:t>unidos:</w:t>
      </w:r>
    </w:p>
    <w:p>
      <w:pPr>
        <w:pStyle w:val="BodyText"/>
        <w:spacing w:before="11"/>
        <w:rPr>
          <w:sz w:val="18"/>
        </w:rPr>
      </w:pPr>
    </w:p>
    <w:p>
      <w:pPr>
        <w:spacing w:before="0"/>
        <w:ind w:left="517" w:right="327" w:firstLine="0"/>
        <w:jc w:val="both"/>
        <w:rPr>
          <w:sz w:val="10"/>
        </w:rPr>
      </w:pPr>
      <w:r>
        <w:rPr>
          <w:w w:val="110"/>
          <w:sz w:val="18"/>
        </w:rPr>
        <w:t>[rusia ha] evacuado todas sus armas pesadas de la parte europea de rusia y las hemos colocado más allá de los urales [y] reducido nues- tras Fuerzas armadas en 300.000. Hemos tomado varios otros pasos requeridos por el </w:t>
      </w:r>
      <w:r>
        <w:rPr>
          <w:spacing w:val="-3"/>
          <w:w w:val="110"/>
          <w:sz w:val="18"/>
        </w:rPr>
        <w:t>tratado </w:t>
      </w:r>
      <w:r>
        <w:rPr>
          <w:w w:val="110"/>
          <w:sz w:val="18"/>
        </w:rPr>
        <w:t>de las Fuerzas armadas Convencionales en Europa (FaCE), ¿qué hemos visto en respuesta? Europa oriental reci- be</w:t>
      </w:r>
      <w:r>
        <w:rPr>
          <w:spacing w:val="-12"/>
          <w:w w:val="110"/>
          <w:sz w:val="18"/>
        </w:rPr>
        <w:t> </w:t>
      </w:r>
      <w:r>
        <w:rPr>
          <w:w w:val="110"/>
          <w:sz w:val="18"/>
        </w:rPr>
        <w:t>nuevas</w:t>
      </w:r>
      <w:r>
        <w:rPr>
          <w:spacing w:val="-12"/>
          <w:w w:val="110"/>
          <w:sz w:val="18"/>
        </w:rPr>
        <w:t> </w:t>
      </w:r>
      <w:r>
        <w:rPr>
          <w:w w:val="110"/>
          <w:sz w:val="18"/>
        </w:rPr>
        <w:t>armas,</w:t>
      </w:r>
      <w:r>
        <w:rPr>
          <w:spacing w:val="-12"/>
          <w:w w:val="110"/>
          <w:sz w:val="18"/>
        </w:rPr>
        <w:t> </w:t>
      </w:r>
      <w:r>
        <w:rPr>
          <w:w w:val="110"/>
          <w:sz w:val="18"/>
        </w:rPr>
        <w:t>dos</w:t>
      </w:r>
      <w:r>
        <w:rPr>
          <w:spacing w:val="-12"/>
          <w:w w:val="110"/>
          <w:sz w:val="18"/>
        </w:rPr>
        <w:t> </w:t>
      </w:r>
      <w:r>
        <w:rPr>
          <w:w w:val="110"/>
          <w:sz w:val="18"/>
        </w:rPr>
        <w:t>nuevas</w:t>
      </w:r>
      <w:r>
        <w:rPr>
          <w:spacing w:val="-12"/>
          <w:w w:val="110"/>
          <w:sz w:val="18"/>
        </w:rPr>
        <w:t> </w:t>
      </w:r>
      <w:r>
        <w:rPr>
          <w:w w:val="110"/>
          <w:sz w:val="18"/>
        </w:rPr>
        <w:t>bases</w:t>
      </w:r>
      <w:r>
        <w:rPr>
          <w:spacing w:val="-12"/>
          <w:w w:val="110"/>
          <w:sz w:val="18"/>
        </w:rPr>
        <w:t> </w:t>
      </w:r>
      <w:r>
        <w:rPr>
          <w:w w:val="110"/>
          <w:sz w:val="18"/>
        </w:rPr>
        <w:t>militares</w:t>
      </w:r>
      <w:r>
        <w:rPr>
          <w:spacing w:val="-12"/>
          <w:w w:val="110"/>
          <w:sz w:val="18"/>
        </w:rPr>
        <w:t> </w:t>
      </w:r>
      <w:r>
        <w:rPr>
          <w:w w:val="110"/>
          <w:sz w:val="18"/>
        </w:rPr>
        <w:t>están</w:t>
      </w:r>
      <w:r>
        <w:rPr>
          <w:spacing w:val="-12"/>
          <w:w w:val="110"/>
          <w:sz w:val="18"/>
        </w:rPr>
        <w:t> </w:t>
      </w:r>
      <w:r>
        <w:rPr>
          <w:w w:val="110"/>
          <w:sz w:val="18"/>
        </w:rPr>
        <w:t>siendo</w:t>
      </w:r>
      <w:r>
        <w:rPr>
          <w:spacing w:val="-12"/>
          <w:w w:val="110"/>
          <w:sz w:val="18"/>
        </w:rPr>
        <w:t> </w:t>
      </w:r>
      <w:r>
        <w:rPr>
          <w:w w:val="110"/>
          <w:sz w:val="18"/>
        </w:rPr>
        <w:t>establecidas en rumania y en bulgaria, y hay dos nuevas áreas de lanzamiento de misiles –un radar en la república Checa y sistemas de misiles en</w:t>
      </w:r>
      <w:r>
        <w:rPr>
          <w:spacing w:val="-18"/>
          <w:w w:val="110"/>
          <w:sz w:val="18"/>
        </w:rPr>
        <w:t> </w:t>
      </w:r>
      <w:r>
        <w:rPr>
          <w:w w:val="110"/>
          <w:sz w:val="18"/>
        </w:rPr>
        <w:t>Polo- nia. Y nos hacemos la pregunta: ¿Qué pasa? rusia se está desarmando unilateralmente.</w:t>
      </w:r>
      <w:r>
        <w:rPr>
          <w:spacing w:val="-24"/>
          <w:w w:val="110"/>
          <w:sz w:val="18"/>
        </w:rPr>
        <w:t> </w:t>
      </w:r>
      <w:r>
        <w:rPr>
          <w:w w:val="110"/>
          <w:sz w:val="18"/>
        </w:rPr>
        <w:t>Pero</w:t>
      </w:r>
      <w:r>
        <w:rPr>
          <w:spacing w:val="-24"/>
          <w:w w:val="110"/>
          <w:sz w:val="18"/>
        </w:rPr>
        <w:t> </w:t>
      </w:r>
      <w:r>
        <w:rPr>
          <w:w w:val="110"/>
          <w:sz w:val="18"/>
        </w:rPr>
        <w:t>si</w:t>
      </w:r>
      <w:r>
        <w:rPr>
          <w:spacing w:val="-24"/>
          <w:w w:val="110"/>
          <w:sz w:val="18"/>
        </w:rPr>
        <w:t> </w:t>
      </w:r>
      <w:r>
        <w:rPr>
          <w:w w:val="110"/>
          <w:sz w:val="18"/>
        </w:rPr>
        <w:t>nos</w:t>
      </w:r>
      <w:r>
        <w:rPr>
          <w:spacing w:val="-24"/>
          <w:w w:val="110"/>
          <w:sz w:val="18"/>
        </w:rPr>
        <w:t> </w:t>
      </w:r>
      <w:r>
        <w:rPr>
          <w:w w:val="110"/>
          <w:sz w:val="18"/>
        </w:rPr>
        <w:t>desarmamos</w:t>
      </w:r>
      <w:r>
        <w:rPr>
          <w:spacing w:val="-24"/>
          <w:w w:val="110"/>
          <w:sz w:val="18"/>
        </w:rPr>
        <w:t> </w:t>
      </w:r>
      <w:r>
        <w:rPr>
          <w:w w:val="110"/>
          <w:sz w:val="18"/>
        </w:rPr>
        <w:t>unilateralmente</w:t>
      </w:r>
      <w:r>
        <w:rPr>
          <w:spacing w:val="-24"/>
          <w:w w:val="110"/>
          <w:sz w:val="18"/>
        </w:rPr>
        <w:t> </w:t>
      </w:r>
      <w:r>
        <w:rPr>
          <w:w w:val="110"/>
          <w:sz w:val="18"/>
        </w:rPr>
        <w:t>quisiéramos ver que nuestros socios están dispuestos a hacer lo mismo en</w:t>
      </w:r>
      <w:r>
        <w:rPr>
          <w:spacing w:val="-30"/>
          <w:w w:val="110"/>
          <w:sz w:val="18"/>
        </w:rPr>
        <w:t> </w:t>
      </w:r>
      <w:r>
        <w:rPr>
          <w:w w:val="110"/>
          <w:sz w:val="18"/>
        </w:rPr>
        <w:t>Europa. al contrario, Europa está siendo atiborrada de nuevos sistemas de </w:t>
      </w:r>
      <w:r>
        <w:rPr>
          <w:spacing w:val="-5"/>
          <w:w w:val="110"/>
          <w:sz w:val="18"/>
        </w:rPr>
        <w:t>ar- </w:t>
      </w:r>
      <w:r>
        <w:rPr>
          <w:w w:val="110"/>
          <w:sz w:val="18"/>
        </w:rPr>
        <w:t>mas.</w:t>
      </w:r>
      <w:r>
        <w:rPr>
          <w:spacing w:val="-5"/>
          <w:w w:val="110"/>
          <w:sz w:val="18"/>
        </w:rPr>
        <w:t> </w:t>
      </w:r>
      <w:r>
        <w:rPr>
          <w:w w:val="110"/>
          <w:sz w:val="18"/>
        </w:rPr>
        <w:t>Y</w:t>
      </w:r>
      <w:r>
        <w:rPr>
          <w:spacing w:val="-5"/>
          <w:w w:val="110"/>
          <w:sz w:val="18"/>
        </w:rPr>
        <w:t> </w:t>
      </w:r>
      <w:r>
        <w:rPr>
          <w:w w:val="110"/>
          <w:sz w:val="18"/>
        </w:rPr>
        <w:t>por</w:t>
      </w:r>
      <w:r>
        <w:rPr>
          <w:spacing w:val="-5"/>
          <w:w w:val="110"/>
          <w:sz w:val="18"/>
        </w:rPr>
        <w:t> </w:t>
      </w:r>
      <w:r>
        <w:rPr>
          <w:w w:val="110"/>
          <w:sz w:val="18"/>
        </w:rPr>
        <w:t>cierto</w:t>
      </w:r>
      <w:r>
        <w:rPr>
          <w:spacing w:val="-5"/>
          <w:w w:val="110"/>
          <w:sz w:val="18"/>
        </w:rPr>
        <w:t> </w:t>
      </w:r>
      <w:r>
        <w:rPr>
          <w:w w:val="110"/>
          <w:sz w:val="18"/>
        </w:rPr>
        <w:t>no</w:t>
      </w:r>
      <w:r>
        <w:rPr>
          <w:spacing w:val="-5"/>
          <w:w w:val="110"/>
          <w:sz w:val="18"/>
        </w:rPr>
        <w:t> </w:t>
      </w:r>
      <w:r>
        <w:rPr>
          <w:w w:val="110"/>
          <w:sz w:val="18"/>
        </w:rPr>
        <w:t>podemos</w:t>
      </w:r>
      <w:r>
        <w:rPr>
          <w:spacing w:val="-5"/>
          <w:w w:val="110"/>
          <w:sz w:val="18"/>
        </w:rPr>
        <w:t> </w:t>
      </w:r>
      <w:r>
        <w:rPr>
          <w:w w:val="110"/>
          <w:sz w:val="18"/>
        </w:rPr>
        <w:t>dejar</w:t>
      </w:r>
      <w:r>
        <w:rPr>
          <w:spacing w:val="-5"/>
          <w:w w:val="110"/>
          <w:sz w:val="18"/>
        </w:rPr>
        <w:t> </w:t>
      </w:r>
      <w:r>
        <w:rPr>
          <w:w w:val="110"/>
          <w:sz w:val="18"/>
        </w:rPr>
        <w:t>de</w:t>
      </w:r>
      <w:r>
        <w:rPr>
          <w:spacing w:val="-5"/>
          <w:w w:val="110"/>
          <w:sz w:val="18"/>
        </w:rPr>
        <w:t> </w:t>
      </w:r>
      <w:r>
        <w:rPr>
          <w:w w:val="110"/>
          <w:sz w:val="18"/>
        </w:rPr>
        <w:t>estar</w:t>
      </w:r>
      <w:r>
        <w:rPr>
          <w:spacing w:val="-5"/>
          <w:w w:val="110"/>
          <w:sz w:val="18"/>
        </w:rPr>
        <w:t> </w:t>
      </w:r>
      <w:r>
        <w:rPr>
          <w:w w:val="110"/>
          <w:sz w:val="18"/>
        </w:rPr>
        <w:t>preocupados.</w:t>
      </w:r>
      <w:r>
        <w:rPr>
          <w:w w:val="110"/>
          <w:position w:val="6"/>
          <w:sz w:val="10"/>
        </w:rPr>
        <w:t>1</w:t>
      </w:r>
    </w:p>
    <w:p>
      <w:pPr>
        <w:pStyle w:val="BodyText"/>
        <w:spacing w:before="2"/>
        <w:rPr>
          <w:sz w:val="21"/>
        </w:rPr>
      </w:pPr>
    </w:p>
    <w:p>
      <w:pPr>
        <w:pStyle w:val="BodyText"/>
        <w:spacing w:line="252" w:lineRule="auto"/>
        <w:ind w:left="120" w:right="328"/>
        <w:jc w:val="both"/>
      </w:pPr>
      <w:r>
        <w:rPr>
          <w:w w:val="110"/>
        </w:rPr>
        <w:t>Estados unidos inmediatamente puso en acción un plan que comen- zaría con integrar a los países socialistas del centroeuropeo a la Co- munidad Europea (CE) y a la </w:t>
      </w:r>
      <w:r>
        <w:rPr>
          <w:w w:val="120"/>
        </w:rPr>
        <w:t>otaN </w:t>
      </w:r>
      <w:r>
        <w:rPr>
          <w:w w:val="110"/>
        </w:rPr>
        <w:t>(1991-2000). El plan  contemplaba</w:t>
      </w:r>
    </w:p>
    <w:p>
      <w:pPr>
        <w:pStyle w:val="BodyText"/>
        <w:spacing w:before="8"/>
        <w:rPr>
          <w:sz w:val="22"/>
        </w:rPr>
      </w:pPr>
      <w:r>
        <w:rPr/>
        <w:pict>
          <v:line style="position:absolute;mso-position-horizontal-relative:page;mso-position-vertical-relative:paragraph;z-index:3280;mso-wrap-distance-left:0;mso-wrap-distance-right:0" from="51.023602pt,15.508229pt" to="79.369602pt,15.508229pt" stroked="true" strokeweight=".5pt" strokecolor="#000000">
            <w10:wrap type="topAndBottom"/>
          </v:line>
        </w:pict>
      </w:r>
    </w:p>
    <w:p>
      <w:pPr>
        <w:spacing w:line="242" w:lineRule="auto" w:before="89"/>
        <w:ind w:left="120" w:right="321" w:firstLine="0"/>
        <w:jc w:val="left"/>
        <w:rPr>
          <w:sz w:val="16"/>
        </w:rPr>
      </w:pPr>
      <w:r>
        <w:rPr>
          <w:w w:val="110"/>
          <w:sz w:val="16"/>
        </w:rPr>
        <w:t>1 Presidente Vladimir Putin, Conferencia de Múnich sobre Política de seguridad, febrero de 2007.</w:t>
      </w:r>
    </w:p>
    <w:p>
      <w:pPr>
        <w:spacing w:after="0" w:line="242" w:lineRule="auto"/>
        <w:jc w:val="left"/>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continuar con la integración de las ex repúblicas soviéticas a la CE y    a la </w:t>
      </w:r>
      <w:r>
        <w:rPr>
          <w:spacing w:val="-4"/>
          <w:w w:val="120"/>
        </w:rPr>
        <w:t>otaN </w:t>
      </w:r>
      <w:r>
        <w:rPr>
          <w:w w:val="110"/>
        </w:rPr>
        <w:t>entre 2001 y 2010. El plan de Washington se ha atrasado – quizás debido al colapso del sistema bancario internacional en 2008–, pero se está desenvolviendo según lo concebido por los especialistas de las agencias al servicio del gran capital </w:t>
      </w:r>
      <w:r>
        <w:rPr>
          <w:spacing w:val="28"/>
          <w:w w:val="110"/>
        </w:rPr>
        <w:t> </w:t>
      </w:r>
      <w:r>
        <w:rPr>
          <w:w w:val="110"/>
        </w:rPr>
        <w:t>norteamericano.</w:t>
      </w:r>
    </w:p>
    <w:p>
      <w:pPr>
        <w:pStyle w:val="BodyText"/>
        <w:spacing w:line="252" w:lineRule="auto"/>
        <w:ind w:left="330" w:right="117" w:firstLine="396"/>
        <w:jc w:val="both"/>
      </w:pPr>
      <w:r>
        <w:rPr>
          <w:w w:val="120"/>
        </w:rPr>
        <w:t>stephen</w:t>
      </w:r>
      <w:r>
        <w:rPr>
          <w:spacing w:val="-19"/>
          <w:w w:val="120"/>
        </w:rPr>
        <w:t> </w:t>
      </w:r>
      <w:r>
        <w:rPr>
          <w:w w:val="120"/>
        </w:rPr>
        <w:t>Kinzer</w:t>
      </w:r>
      <w:r>
        <w:rPr>
          <w:spacing w:val="-19"/>
          <w:w w:val="120"/>
        </w:rPr>
        <w:t> </w:t>
      </w:r>
      <w:r>
        <w:rPr>
          <w:w w:val="120"/>
        </w:rPr>
        <w:t>(2014)</w:t>
      </w:r>
      <w:r>
        <w:rPr>
          <w:spacing w:val="-19"/>
          <w:w w:val="120"/>
        </w:rPr>
        <w:t> </w:t>
      </w:r>
      <w:r>
        <w:rPr>
          <w:w w:val="120"/>
        </w:rPr>
        <w:t>señaló</w:t>
      </w:r>
      <w:r>
        <w:rPr>
          <w:spacing w:val="-19"/>
          <w:w w:val="120"/>
        </w:rPr>
        <w:t> </w:t>
      </w:r>
      <w:r>
        <w:rPr>
          <w:w w:val="120"/>
        </w:rPr>
        <w:t>en</w:t>
      </w:r>
      <w:r>
        <w:rPr>
          <w:spacing w:val="-19"/>
          <w:w w:val="120"/>
        </w:rPr>
        <w:t> </w:t>
      </w:r>
      <w:r>
        <w:rPr>
          <w:w w:val="120"/>
        </w:rPr>
        <w:t>el</w:t>
      </w:r>
      <w:r>
        <w:rPr>
          <w:spacing w:val="-19"/>
          <w:w w:val="120"/>
        </w:rPr>
        <w:t> </w:t>
      </w:r>
      <w:r>
        <w:rPr>
          <w:i/>
          <w:w w:val="120"/>
        </w:rPr>
        <w:t>Boston</w:t>
      </w:r>
      <w:r>
        <w:rPr>
          <w:i/>
          <w:spacing w:val="-19"/>
          <w:w w:val="120"/>
        </w:rPr>
        <w:t> </w:t>
      </w:r>
      <w:r>
        <w:rPr>
          <w:i/>
          <w:w w:val="120"/>
        </w:rPr>
        <w:t>Globe</w:t>
      </w:r>
      <w:r>
        <w:rPr>
          <w:i/>
          <w:spacing w:val="-19"/>
          <w:w w:val="120"/>
        </w:rPr>
        <w:t> </w:t>
      </w:r>
      <w:r>
        <w:rPr>
          <w:w w:val="120"/>
        </w:rPr>
        <w:t>que</w:t>
      </w:r>
      <w:r>
        <w:rPr>
          <w:spacing w:val="-19"/>
          <w:w w:val="120"/>
        </w:rPr>
        <w:t> </w:t>
      </w:r>
      <w:r>
        <w:rPr>
          <w:w w:val="120"/>
        </w:rPr>
        <w:t>“desde</w:t>
      </w:r>
      <w:r>
        <w:rPr>
          <w:spacing w:val="-19"/>
          <w:w w:val="120"/>
        </w:rPr>
        <w:t> </w:t>
      </w:r>
      <w:r>
        <w:rPr>
          <w:w w:val="120"/>
        </w:rPr>
        <w:t>el momento</w:t>
      </w:r>
      <w:r>
        <w:rPr>
          <w:spacing w:val="-31"/>
          <w:w w:val="120"/>
        </w:rPr>
        <w:t> </w:t>
      </w:r>
      <w:r>
        <w:rPr>
          <w:w w:val="120"/>
        </w:rPr>
        <w:t>en</w:t>
      </w:r>
      <w:r>
        <w:rPr>
          <w:spacing w:val="-31"/>
          <w:w w:val="120"/>
        </w:rPr>
        <w:t> </w:t>
      </w:r>
      <w:r>
        <w:rPr>
          <w:w w:val="120"/>
        </w:rPr>
        <w:t>que</w:t>
      </w:r>
      <w:r>
        <w:rPr>
          <w:spacing w:val="-31"/>
          <w:w w:val="120"/>
        </w:rPr>
        <w:t> </w:t>
      </w:r>
      <w:r>
        <w:rPr>
          <w:w w:val="120"/>
        </w:rPr>
        <w:t>la</w:t>
      </w:r>
      <w:r>
        <w:rPr>
          <w:spacing w:val="-31"/>
          <w:w w:val="120"/>
        </w:rPr>
        <w:t> </w:t>
      </w:r>
      <w:r>
        <w:rPr>
          <w:w w:val="120"/>
        </w:rPr>
        <w:t>unión</w:t>
      </w:r>
      <w:r>
        <w:rPr>
          <w:spacing w:val="-31"/>
          <w:w w:val="120"/>
        </w:rPr>
        <w:t> </w:t>
      </w:r>
      <w:r>
        <w:rPr>
          <w:w w:val="120"/>
        </w:rPr>
        <w:t>soviética</w:t>
      </w:r>
      <w:r>
        <w:rPr>
          <w:spacing w:val="-31"/>
          <w:w w:val="120"/>
        </w:rPr>
        <w:t> </w:t>
      </w:r>
      <w:r>
        <w:rPr>
          <w:w w:val="120"/>
        </w:rPr>
        <w:t>colapsó</w:t>
      </w:r>
      <w:r>
        <w:rPr>
          <w:spacing w:val="-31"/>
          <w:w w:val="120"/>
        </w:rPr>
        <w:t> </w:t>
      </w:r>
      <w:r>
        <w:rPr>
          <w:w w:val="120"/>
        </w:rPr>
        <w:t>en</w:t>
      </w:r>
      <w:r>
        <w:rPr>
          <w:spacing w:val="-31"/>
          <w:w w:val="120"/>
        </w:rPr>
        <w:t> </w:t>
      </w:r>
      <w:r>
        <w:rPr>
          <w:w w:val="120"/>
        </w:rPr>
        <w:t>1991,</w:t>
      </w:r>
      <w:r>
        <w:rPr>
          <w:spacing w:val="-31"/>
          <w:w w:val="120"/>
        </w:rPr>
        <w:t> </w:t>
      </w:r>
      <w:r>
        <w:rPr>
          <w:w w:val="120"/>
        </w:rPr>
        <w:t>EE.uu.</w:t>
      </w:r>
      <w:r>
        <w:rPr>
          <w:spacing w:val="-31"/>
          <w:w w:val="120"/>
        </w:rPr>
        <w:t> </w:t>
      </w:r>
      <w:r>
        <w:rPr>
          <w:w w:val="120"/>
        </w:rPr>
        <w:t>ha</w:t>
      </w:r>
      <w:r>
        <w:rPr>
          <w:spacing w:val="-31"/>
          <w:w w:val="120"/>
        </w:rPr>
        <w:t> </w:t>
      </w:r>
      <w:r>
        <w:rPr>
          <w:w w:val="120"/>
        </w:rPr>
        <w:t>man- </w:t>
      </w:r>
      <w:r>
        <w:rPr>
          <w:w w:val="115"/>
        </w:rPr>
        <w:t>tenido</w:t>
      </w:r>
      <w:r>
        <w:rPr>
          <w:spacing w:val="-14"/>
          <w:w w:val="115"/>
        </w:rPr>
        <w:t> </w:t>
      </w:r>
      <w:r>
        <w:rPr>
          <w:w w:val="115"/>
        </w:rPr>
        <w:t>implacablemente</w:t>
      </w:r>
      <w:r>
        <w:rPr>
          <w:spacing w:val="-14"/>
          <w:w w:val="115"/>
        </w:rPr>
        <w:t> </w:t>
      </w:r>
      <w:r>
        <w:rPr>
          <w:w w:val="115"/>
        </w:rPr>
        <w:t>una</w:t>
      </w:r>
      <w:r>
        <w:rPr>
          <w:spacing w:val="-14"/>
          <w:w w:val="115"/>
        </w:rPr>
        <w:t> </w:t>
      </w:r>
      <w:r>
        <w:rPr>
          <w:w w:val="115"/>
        </w:rPr>
        <w:t>estrategia</w:t>
      </w:r>
      <w:r>
        <w:rPr>
          <w:spacing w:val="-14"/>
          <w:w w:val="115"/>
        </w:rPr>
        <w:t> </w:t>
      </w:r>
      <w:r>
        <w:rPr>
          <w:w w:val="115"/>
        </w:rPr>
        <w:t>de</w:t>
      </w:r>
      <w:r>
        <w:rPr>
          <w:spacing w:val="-14"/>
          <w:w w:val="115"/>
        </w:rPr>
        <w:t> </w:t>
      </w:r>
      <w:r>
        <w:rPr>
          <w:w w:val="115"/>
        </w:rPr>
        <w:t>cerco</w:t>
      </w:r>
      <w:r>
        <w:rPr>
          <w:spacing w:val="-14"/>
          <w:w w:val="115"/>
        </w:rPr>
        <w:t> </w:t>
      </w:r>
      <w:r>
        <w:rPr>
          <w:w w:val="115"/>
        </w:rPr>
        <w:t>de</w:t>
      </w:r>
      <w:r>
        <w:rPr>
          <w:spacing w:val="-14"/>
          <w:w w:val="115"/>
        </w:rPr>
        <w:t> </w:t>
      </w:r>
      <w:r>
        <w:rPr>
          <w:w w:val="115"/>
        </w:rPr>
        <w:t>rusia,</w:t>
      </w:r>
      <w:r>
        <w:rPr>
          <w:spacing w:val="-14"/>
          <w:w w:val="115"/>
        </w:rPr>
        <w:t> </w:t>
      </w:r>
      <w:r>
        <w:rPr>
          <w:w w:val="115"/>
        </w:rPr>
        <w:t>tal</w:t>
      </w:r>
      <w:r>
        <w:rPr>
          <w:spacing w:val="-14"/>
          <w:w w:val="115"/>
        </w:rPr>
        <w:t> </w:t>
      </w:r>
      <w:r>
        <w:rPr>
          <w:w w:val="115"/>
        </w:rPr>
        <w:t>como</w:t>
      </w:r>
      <w:r>
        <w:rPr>
          <w:spacing w:val="-14"/>
          <w:w w:val="115"/>
        </w:rPr>
        <w:t> </w:t>
      </w:r>
      <w:r>
        <w:rPr>
          <w:w w:val="115"/>
        </w:rPr>
        <w:t>lo ha</w:t>
      </w:r>
      <w:r>
        <w:rPr>
          <w:spacing w:val="-11"/>
          <w:w w:val="115"/>
        </w:rPr>
        <w:t> </w:t>
      </w:r>
      <w:r>
        <w:rPr>
          <w:w w:val="115"/>
        </w:rPr>
        <w:t>hecho</w:t>
      </w:r>
      <w:r>
        <w:rPr>
          <w:spacing w:val="-11"/>
          <w:w w:val="115"/>
        </w:rPr>
        <w:t> </w:t>
      </w:r>
      <w:r>
        <w:rPr>
          <w:w w:val="115"/>
        </w:rPr>
        <w:t>con</w:t>
      </w:r>
      <w:r>
        <w:rPr>
          <w:spacing w:val="-11"/>
          <w:w w:val="115"/>
        </w:rPr>
        <w:t> </w:t>
      </w:r>
      <w:r>
        <w:rPr>
          <w:w w:val="115"/>
        </w:rPr>
        <w:t>otros</w:t>
      </w:r>
      <w:r>
        <w:rPr>
          <w:spacing w:val="-11"/>
          <w:w w:val="115"/>
        </w:rPr>
        <w:t> </w:t>
      </w:r>
      <w:r>
        <w:rPr>
          <w:w w:val="115"/>
        </w:rPr>
        <w:t>supuestos</w:t>
      </w:r>
      <w:r>
        <w:rPr>
          <w:spacing w:val="-11"/>
          <w:w w:val="115"/>
        </w:rPr>
        <w:t> </w:t>
      </w:r>
      <w:r>
        <w:rPr>
          <w:w w:val="115"/>
        </w:rPr>
        <w:t>enemigos</w:t>
      </w:r>
      <w:r>
        <w:rPr>
          <w:spacing w:val="-11"/>
          <w:w w:val="115"/>
        </w:rPr>
        <w:t> </w:t>
      </w:r>
      <w:r>
        <w:rPr>
          <w:w w:val="115"/>
        </w:rPr>
        <w:t>como</w:t>
      </w:r>
      <w:r>
        <w:rPr>
          <w:spacing w:val="-11"/>
          <w:w w:val="115"/>
        </w:rPr>
        <w:t> </w:t>
      </w:r>
      <w:r>
        <w:rPr>
          <w:w w:val="115"/>
        </w:rPr>
        <w:t>China</w:t>
      </w:r>
      <w:r>
        <w:rPr>
          <w:spacing w:val="-11"/>
          <w:w w:val="115"/>
        </w:rPr>
        <w:t> </w:t>
      </w:r>
      <w:r>
        <w:rPr>
          <w:w w:val="115"/>
        </w:rPr>
        <w:t>e</w:t>
      </w:r>
      <w:r>
        <w:rPr>
          <w:spacing w:val="-11"/>
          <w:w w:val="115"/>
        </w:rPr>
        <w:t> </w:t>
      </w:r>
      <w:r>
        <w:rPr>
          <w:w w:val="115"/>
        </w:rPr>
        <w:t>irán.</w:t>
      </w:r>
      <w:r>
        <w:rPr>
          <w:spacing w:val="-11"/>
          <w:w w:val="115"/>
        </w:rPr>
        <w:t> </w:t>
      </w:r>
      <w:r>
        <w:rPr>
          <w:w w:val="115"/>
        </w:rPr>
        <w:t>Ha</w:t>
      </w:r>
      <w:r>
        <w:rPr>
          <w:spacing w:val="-11"/>
          <w:w w:val="115"/>
        </w:rPr>
        <w:t> </w:t>
      </w:r>
      <w:r>
        <w:rPr>
          <w:spacing w:val="-3"/>
          <w:w w:val="115"/>
        </w:rPr>
        <w:t>incor- </w:t>
      </w:r>
      <w:r>
        <w:rPr>
          <w:w w:val="115"/>
        </w:rPr>
        <w:t>porado</w:t>
      </w:r>
      <w:r>
        <w:rPr>
          <w:spacing w:val="-15"/>
          <w:w w:val="115"/>
        </w:rPr>
        <w:t> </w:t>
      </w:r>
      <w:r>
        <w:rPr>
          <w:w w:val="115"/>
        </w:rPr>
        <w:t>a</w:t>
      </w:r>
      <w:r>
        <w:rPr>
          <w:spacing w:val="-15"/>
          <w:w w:val="115"/>
        </w:rPr>
        <w:t> </w:t>
      </w:r>
      <w:r>
        <w:rPr>
          <w:w w:val="115"/>
        </w:rPr>
        <w:t>12</w:t>
      </w:r>
      <w:r>
        <w:rPr>
          <w:spacing w:val="-15"/>
          <w:w w:val="115"/>
        </w:rPr>
        <w:t> </w:t>
      </w:r>
      <w:r>
        <w:rPr>
          <w:w w:val="115"/>
        </w:rPr>
        <w:t>países</w:t>
      </w:r>
      <w:r>
        <w:rPr>
          <w:spacing w:val="-15"/>
          <w:w w:val="115"/>
        </w:rPr>
        <w:t> </w:t>
      </w:r>
      <w:r>
        <w:rPr>
          <w:w w:val="115"/>
        </w:rPr>
        <w:t>de</w:t>
      </w:r>
      <w:r>
        <w:rPr>
          <w:spacing w:val="-15"/>
          <w:w w:val="115"/>
        </w:rPr>
        <w:t> </w:t>
      </w:r>
      <w:r>
        <w:rPr>
          <w:w w:val="115"/>
        </w:rPr>
        <w:t>Europa</w:t>
      </w:r>
      <w:r>
        <w:rPr>
          <w:spacing w:val="-15"/>
          <w:w w:val="115"/>
        </w:rPr>
        <w:t> </w:t>
      </w:r>
      <w:r>
        <w:rPr>
          <w:w w:val="115"/>
        </w:rPr>
        <w:t>central,</w:t>
      </w:r>
      <w:r>
        <w:rPr>
          <w:spacing w:val="-15"/>
          <w:w w:val="115"/>
        </w:rPr>
        <w:t> </w:t>
      </w:r>
      <w:r>
        <w:rPr>
          <w:w w:val="115"/>
        </w:rPr>
        <w:t>todos</w:t>
      </w:r>
      <w:r>
        <w:rPr>
          <w:spacing w:val="-15"/>
          <w:w w:val="115"/>
        </w:rPr>
        <w:t> </w:t>
      </w:r>
      <w:r>
        <w:rPr>
          <w:w w:val="115"/>
        </w:rPr>
        <w:t>ellos</w:t>
      </w:r>
      <w:r>
        <w:rPr>
          <w:spacing w:val="-15"/>
          <w:w w:val="115"/>
        </w:rPr>
        <w:t> </w:t>
      </w:r>
      <w:r>
        <w:rPr>
          <w:w w:val="115"/>
        </w:rPr>
        <w:t>antiguos</w:t>
      </w:r>
      <w:r>
        <w:rPr>
          <w:spacing w:val="-15"/>
          <w:w w:val="115"/>
        </w:rPr>
        <w:t> </w:t>
      </w:r>
      <w:r>
        <w:rPr>
          <w:w w:val="115"/>
        </w:rPr>
        <w:t>aliados</w:t>
      </w:r>
      <w:r>
        <w:rPr>
          <w:spacing w:val="-15"/>
          <w:w w:val="115"/>
        </w:rPr>
        <w:t> </w:t>
      </w:r>
      <w:r>
        <w:rPr>
          <w:w w:val="115"/>
        </w:rPr>
        <w:t>de </w:t>
      </w:r>
      <w:r>
        <w:rPr>
          <w:w w:val="120"/>
        </w:rPr>
        <w:t>Moscú, a la alianza de la </w:t>
      </w:r>
      <w:r>
        <w:rPr>
          <w:spacing w:val="-3"/>
          <w:w w:val="120"/>
        </w:rPr>
        <w:t>otaN”.</w:t>
      </w:r>
    </w:p>
    <w:p>
      <w:pPr>
        <w:pStyle w:val="BodyText"/>
        <w:spacing w:line="252" w:lineRule="auto"/>
        <w:ind w:left="330" w:right="118" w:firstLine="396"/>
        <w:jc w:val="both"/>
      </w:pPr>
      <w:r>
        <w:rPr>
          <w:w w:val="115"/>
        </w:rPr>
        <w:t>En</w:t>
      </w:r>
      <w:r>
        <w:rPr>
          <w:spacing w:val="-6"/>
          <w:w w:val="115"/>
        </w:rPr>
        <w:t> </w:t>
      </w:r>
      <w:r>
        <w:rPr>
          <w:w w:val="115"/>
        </w:rPr>
        <w:t>la</w:t>
      </w:r>
      <w:r>
        <w:rPr>
          <w:spacing w:val="-6"/>
          <w:w w:val="115"/>
        </w:rPr>
        <w:t> </w:t>
      </w:r>
      <w:r>
        <w:rPr>
          <w:w w:val="115"/>
        </w:rPr>
        <w:t>agenda</w:t>
      </w:r>
      <w:r>
        <w:rPr>
          <w:spacing w:val="-6"/>
          <w:w w:val="115"/>
        </w:rPr>
        <w:t> </w:t>
      </w:r>
      <w:r>
        <w:rPr>
          <w:w w:val="115"/>
        </w:rPr>
        <w:t>está</w:t>
      </w:r>
      <w:r>
        <w:rPr>
          <w:spacing w:val="-6"/>
          <w:w w:val="115"/>
        </w:rPr>
        <w:t> </w:t>
      </w:r>
      <w:r>
        <w:rPr>
          <w:w w:val="115"/>
        </w:rPr>
        <w:t>la</w:t>
      </w:r>
      <w:r>
        <w:rPr>
          <w:spacing w:val="-6"/>
          <w:w w:val="115"/>
        </w:rPr>
        <w:t> </w:t>
      </w:r>
      <w:r>
        <w:rPr>
          <w:w w:val="115"/>
        </w:rPr>
        <w:t>Federación</w:t>
      </w:r>
      <w:r>
        <w:rPr>
          <w:spacing w:val="-6"/>
          <w:w w:val="115"/>
        </w:rPr>
        <w:t> </w:t>
      </w:r>
      <w:r>
        <w:rPr>
          <w:w w:val="115"/>
        </w:rPr>
        <w:t>rusa.</w:t>
      </w:r>
      <w:r>
        <w:rPr>
          <w:spacing w:val="-6"/>
          <w:w w:val="115"/>
        </w:rPr>
        <w:t> </w:t>
      </w:r>
      <w:r>
        <w:rPr>
          <w:w w:val="115"/>
        </w:rPr>
        <w:t>una</w:t>
      </w:r>
      <w:r>
        <w:rPr>
          <w:spacing w:val="-6"/>
          <w:w w:val="115"/>
        </w:rPr>
        <w:t> </w:t>
      </w:r>
      <w:r>
        <w:rPr>
          <w:w w:val="115"/>
        </w:rPr>
        <w:t>vez</w:t>
      </w:r>
      <w:r>
        <w:rPr>
          <w:spacing w:val="-6"/>
          <w:w w:val="115"/>
        </w:rPr>
        <w:t> </w:t>
      </w:r>
      <w:r>
        <w:rPr>
          <w:w w:val="115"/>
        </w:rPr>
        <w:t>liquidado</w:t>
      </w:r>
      <w:r>
        <w:rPr>
          <w:spacing w:val="-6"/>
          <w:w w:val="115"/>
        </w:rPr>
        <w:t> </w:t>
      </w:r>
      <w:r>
        <w:rPr>
          <w:w w:val="115"/>
        </w:rPr>
        <w:t>el</w:t>
      </w:r>
      <w:r>
        <w:rPr>
          <w:spacing w:val="-6"/>
          <w:w w:val="115"/>
        </w:rPr>
        <w:t> </w:t>
      </w:r>
      <w:r>
        <w:rPr>
          <w:w w:val="115"/>
        </w:rPr>
        <w:t>asun- to de ucrania, Estados unidos contempla la división de rusia en</w:t>
      </w:r>
      <w:r>
        <w:rPr>
          <w:spacing w:val="-15"/>
          <w:w w:val="115"/>
        </w:rPr>
        <w:t> </w:t>
      </w:r>
      <w:r>
        <w:rPr>
          <w:w w:val="115"/>
        </w:rPr>
        <w:t>tres </w:t>
      </w:r>
      <w:r>
        <w:rPr>
          <w:w w:val="108"/>
        </w:rPr>
        <w:t>grandes</w:t>
      </w:r>
      <w:r>
        <w:rPr/>
        <w:t>  </w:t>
      </w:r>
      <w:r>
        <w:rPr>
          <w:w w:val="109"/>
        </w:rPr>
        <w:t>regiones.</w:t>
      </w:r>
      <w:r>
        <w:rPr/>
        <w:t>  </w:t>
      </w:r>
      <w:r>
        <w:rPr>
          <w:w w:val="243"/>
        </w:rPr>
        <w:t>l</w:t>
      </w:r>
      <w:r>
        <w:rPr>
          <w:w w:val="112"/>
        </w:rPr>
        <w:t>a</w:t>
      </w:r>
      <w:r>
        <w:rPr/>
        <w:t>  </w:t>
      </w:r>
      <w:r>
        <w:rPr>
          <w:w w:val="112"/>
        </w:rPr>
        <w:t>actual</w:t>
      </w:r>
      <w:r>
        <w:rPr/>
        <w:t>  </w:t>
      </w:r>
      <w:r>
        <w:rPr>
          <w:w w:val="182"/>
        </w:rPr>
        <w:t>r</w:t>
      </w:r>
      <w:r>
        <w:rPr>
          <w:w w:val="111"/>
        </w:rPr>
        <w:t>usia</w:t>
      </w:r>
      <w:r>
        <w:rPr/>
        <w:t>  </w:t>
      </w:r>
      <w:r>
        <w:rPr>
          <w:w w:val="110"/>
        </w:rPr>
        <w:t>europea,</w:t>
      </w:r>
      <w:r>
        <w:rPr/>
        <w:t>  </w:t>
      </w:r>
      <w:r>
        <w:rPr>
          <w:w w:val="109"/>
        </w:rPr>
        <w:t>las</w:t>
      </w:r>
      <w:r>
        <w:rPr/>
        <w:t>  </w:t>
      </w:r>
      <w:r>
        <w:rPr>
          <w:w w:val="108"/>
        </w:rPr>
        <w:t>enormes</w:t>
      </w:r>
      <w:r>
        <w:rPr/>
        <w:t>  </w:t>
      </w:r>
      <w:r>
        <w:rPr>
          <w:w w:val="106"/>
        </w:rPr>
        <w:t>estepas</w:t>
      </w:r>
      <w:r>
        <w:rPr/>
        <w:t>  </w:t>
      </w:r>
      <w:r>
        <w:rPr>
          <w:w w:val="107"/>
        </w:rPr>
        <w:t>de </w:t>
      </w:r>
      <w:r>
        <w:rPr>
          <w:w w:val="115"/>
        </w:rPr>
        <w:t>siberia y el extremo oriente ruso con costas sobre el Pacífico.</w:t>
      </w:r>
      <w:r>
        <w:rPr>
          <w:spacing w:val="-19"/>
          <w:w w:val="115"/>
        </w:rPr>
        <w:t> </w:t>
      </w:r>
      <w:r>
        <w:rPr>
          <w:w w:val="115"/>
        </w:rPr>
        <w:t>según </w:t>
      </w:r>
      <w:r>
        <w:rPr>
          <w:w w:val="110"/>
        </w:rPr>
        <w:t>Zbigniew</w:t>
      </w:r>
      <w:r>
        <w:rPr>
          <w:spacing w:val="40"/>
          <w:w w:val="110"/>
        </w:rPr>
        <w:t> </w:t>
      </w:r>
      <w:r>
        <w:rPr>
          <w:w w:val="110"/>
        </w:rPr>
        <w:t>brzezinski:</w:t>
      </w:r>
    </w:p>
    <w:p>
      <w:pPr>
        <w:pStyle w:val="BodyText"/>
        <w:spacing w:before="4"/>
        <w:rPr>
          <w:sz w:val="22"/>
        </w:rPr>
      </w:pPr>
    </w:p>
    <w:p>
      <w:pPr>
        <w:spacing w:before="1"/>
        <w:ind w:left="727" w:right="117" w:firstLine="0"/>
        <w:jc w:val="both"/>
        <w:rPr>
          <w:sz w:val="18"/>
        </w:rPr>
      </w:pPr>
      <w:r>
        <w:rPr>
          <w:w w:val="238"/>
          <w:sz w:val="18"/>
        </w:rPr>
        <w:t>l</w:t>
      </w:r>
      <w:r>
        <w:rPr>
          <w:w w:val="109"/>
          <w:sz w:val="18"/>
        </w:rPr>
        <w:t>a</w:t>
      </w:r>
      <w:r>
        <w:rPr>
          <w:sz w:val="18"/>
        </w:rPr>
        <w:t> </w:t>
      </w:r>
      <w:r>
        <w:rPr>
          <w:spacing w:val="-14"/>
          <w:sz w:val="18"/>
        </w:rPr>
        <w:t> </w:t>
      </w:r>
      <w:r>
        <w:rPr>
          <w:w w:val="108"/>
          <w:sz w:val="18"/>
        </w:rPr>
        <w:t>cuestión</w:t>
      </w:r>
      <w:r>
        <w:rPr>
          <w:sz w:val="18"/>
        </w:rPr>
        <w:t> </w:t>
      </w:r>
      <w:r>
        <w:rPr>
          <w:spacing w:val="-14"/>
          <w:sz w:val="18"/>
        </w:rPr>
        <w:t> </w:t>
      </w:r>
      <w:r>
        <w:rPr>
          <w:w w:val="106"/>
          <w:sz w:val="18"/>
        </w:rPr>
        <w:t>que</w:t>
      </w:r>
      <w:r>
        <w:rPr>
          <w:sz w:val="18"/>
        </w:rPr>
        <w:t> </w:t>
      </w:r>
      <w:r>
        <w:rPr>
          <w:spacing w:val="-14"/>
          <w:sz w:val="18"/>
        </w:rPr>
        <w:t> </w:t>
      </w:r>
      <w:r>
        <w:rPr>
          <w:w w:val="109"/>
          <w:sz w:val="18"/>
        </w:rPr>
        <w:t>la</w:t>
      </w:r>
      <w:r>
        <w:rPr>
          <w:sz w:val="18"/>
        </w:rPr>
        <w:t> </w:t>
      </w:r>
      <w:r>
        <w:rPr>
          <w:spacing w:val="-14"/>
          <w:sz w:val="18"/>
        </w:rPr>
        <w:t> </w:t>
      </w:r>
      <w:r>
        <w:rPr>
          <w:w w:val="109"/>
          <w:sz w:val="18"/>
        </w:rPr>
        <w:t>comunidad</w:t>
      </w:r>
      <w:r>
        <w:rPr>
          <w:sz w:val="18"/>
        </w:rPr>
        <w:t> </w:t>
      </w:r>
      <w:r>
        <w:rPr>
          <w:spacing w:val="-14"/>
          <w:sz w:val="18"/>
        </w:rPr>
        <w:t> </w:t>
      </w:r>
      <w:r>
        <w:rPr>
          <w:w w:val="108"/>
          <w:sz w:val="18"/>
        </w:rPr>
        <w:t>internacional</w:t>
      </w:r>
      <w:r>
        <w:rPr>
          <w:sz w:val="18"/>
        </w:rPr>
        <w:t> </w:t>
      </w:r>
      <w:r>
        <w:rPr>
          <w:spacing w:val="-14"/>
          <w:sz w:val="18"/>
        </w:rPr>
        <w:t> </w:t>
      </w:r>
      <w:r>
        <w:rPr>
          <w:w w:val="106"/>
          <w:sz w:val="18"/>
        </w:rPr>
        <w:t>enfrenta</w:t>
      </w:r>
      <w:r>
        <w:rPr>
          <w:sz w:val="18"/>
        </w:rPr>
        <w:t> </w:t>
      </w:r>
      <w:r>
        <w:rPr>
          <w:spacing w:val="-14"/>
          <w:sz w:val="18"/>
        </w:rPr>
        <w:t> </w:t>
      </w:r>
      <w:r>
        <w:rPr>
          <w:w w:val="108"/>
          <w:sz w:val="18"/>
        </w:rPr>
        <w:t>ahora</w:t>
      </w:r>
      <w:r>
        <w:rPr>
          <w:sz w:val="18"/>
        </w:rPr>
        <w:t> </w:t>
      </w:r>
      <w:r>
        <w:rPr>
          <w:spacing w:val="-14"/>
          <w:sz w:val="18"/>
        </w:rPr>
        <w:t> </w:t>
      </w:r>
      <w:r>
        <w:rPr>
          <w:w w:val="102"/>
          <w:sz w:val="18"/>
        </w:rPr>
        <w:t>es</w:t>
      </w:r>
      <w:r>
        <w:rPr>
          <w:sz w:val="18"/>
        </w:rPr>
        <w:t> </w:t>
      </w:r>
      <w:r>
        <w:rPr>
          <w:spacing w:val="-14"/>
          <w:sz w:val="18"/>
        </w:rPr>
        <w:t> </w:t>
      </w:r>
      <w:r>
        <w:rPr>
          <w:w w:val="110"/>
          <w:sz w:val="18"/>
        </w:rPr>
        <w:t>cómo </w:t>
      </w:r>
      <w:r>
        <w:rPr>
          <w:w w:val="110"/>
          <w:sz w:val="18"/>
        </w:rPr>
        <w:t>responder</w:t>
      </w:r>
      <w:r>
        <w:rPr>
          <w:spacing w:val="-5"/>
          <w:w w:val="110"/>
          <w:sz w:val="18"/>
        </w:rPr>
        <w:t> </w:t>
      </w:r>
      <w:r>
        <w:rPr>
          <w:w w:val="110"/>
          <w:sz w:val="18"/>
        </w:rPr>
        <w:t>a</w:t>
      </w:r>
      <w:r>
        <w:rPr>
          <w:spacing w:val="-5"/>
          <w:w w:val="110"/>
          <w:sz w:val="18"/>
        </w:rPr>
        <w:t> </w:t>
      </w:r>
      <w:r>
        <w:rPr>
          <w:w w:val="110"/>
          <w:sz w:val="18"/>
        </w:rPr>
        <w:t>una</w:t>
      </w:r>
      <w:r>
        <w:rPr>
          <w:spacing w:val="-5"/>
          <w:w w:val="110"/>
          <w:sz w:val="18"/>
        </w:rPr>
        <w:t> </w:t>
      </w:r>
      <w:r>
        <w:rPr>
          <w:w w:val="110"/>
          <w:sz w:val="18"/>
        </w:rPr>
        <w:t>rusia</w:t>
      </w:r>
      <w:r>
        <w:rPr>
          <w:spacing w:val="-5"/>
          <w:w w:val="110"/>
          <w:sz w:val="18"/>
        </w:rPr>
        <w:t> </w:t>
      </w:r>
      <w:r>
        <w:rPr>
          <w:w w:val="110"/>
          <w:sz w:val="18"/>
        </w:rPr>
        <w:t>que</w:t>
      </w:r>
      <w:r>
        <w:rPr>
          <w:spacing w:val="-5"/>
          <w:w w:val="110"/>
          <w:sz w:val="18"/>
        </w:rPr>
        <w:t> </w:t>
      </w:r>
      <w:r>
        <w:rPr>
          <w:w w:val="110"/>
          <w:sz w:val="18"/>
        </w:rPr>
        <w:t>se</w:t>
      </w:r>
      <w:r>
        <w:rPr>
          <w:spacing w:val="-5"/>
          <w:w w:val="110"/>
          <w:sz w:val="18"/>
        </w:rPr>
        <w:t> </w:t>
      </w:r>
      <w:r>
        <w:rPr>
          <w:w w:val="110"/>
          <w:sz w:val="18"/>
        </w:rPr>
        <w:t>involucra</w:t>
      </w:r>
      <w:r>
        <w:rPr>
          <w:spacing w:val="-5"/>
          <w:w w:val="110"/>
          <w:sz w:val="18"/>
        </w:rPr>
        <w:t> </w:t>
      </w:r>
      <w:r>
        <w:rPr>
          <w:w w:val="110"/>
          <w:sz w:val="18"/>
        </w:rPr>
        <w:t>en</w:t>
      </w:r>
      <w:r>
        <w:rPr>
          <w:spacing w:val="-5"/>
          <w:w w:val="110"/>
          <w:sz w:val="18"/>
        </w:rPr>
        <w:t> </w:t>
      </w:r>
      <w:r>
        <w:rPr>
          <w:w w:val="110"/>
          <w:sz w:val="18"/>
        </w:rPr>
        <w:t>el</w:t>
      </w:r>
      <w:r>
        <w:rPr>
          <w:spacing w:val="-5"/>
          <w:w w:val="110"/>
          <w:sz w:val="18"/>
        </w:rPr>
        <w:t> </w:t>
      </w:r>
      <w:r>
        <w:rPr>
          <w:w w:val="110"/>
          <w:sz w:val="18"/>
        </w:rPr>
        <w:t>uso</w:t>
      </w:r>
      <w:r>
        <w:rPr>
          <w:spacing w:val="-5"/>
          <w:w w:val="110"/>
          <w:sz w:val="18"/>
        </w:rPr>
        <w:t> </w:t>
      </w:r>
      <w:r>
        <w:rPr>
          <w:w w:val="110"/>
          <w:sz w:val="18"/>
        </w:rPr>
        <w:t>flagrante</w:t>
      </w:r>
      <w:r>
        <w:rPr>
          <w:spacing w:val="-5"/>
          <w:w w:val="110"/>
          <w:sz w:val="18"/>
        </w:rPr>
        <w:t> </w:t>
      </w:r>
      <w:r>
        <w:rPr>
          <w:w w:val="110"/>
          <w:sz w:val="18"/>
        </w:rPr>
        <w:t>de</w:t>
      </w:r>
      <w:r>
        <w:rPr>
          <w:spacing w:val="-5"/>
          <w:w w:val="110"/>
          <w:sz w:val="18"/>
        </w:rPr>
        <w:t> </w:t>
      </w:r>
      <w:r>
        <w:rPr>
          <w:w w:val="110"/>
          <w:sz w:val="18"/>
        </w:rPr>
        <w:t>la</w:t>
      </w:r>
      <w:r>
        <w:rPr>
          <w:spacing w:val="-5"/>
          <w:w w:val="110"/>
          <w:sz w:val="18"/>
        </w:rPr>
        <w:t> </w:t>
      </w:r>
      <w:r>
        <w:rPr>
          <w:w w:val="110"/>
          <w:sz w:val="18"/>
        </w:rPr>
        <w:t>fuerza con</w:t>
      </w:r>
      <w:r>
        <w:rPr>
          <w:spacing w:val="-24"/>
          <w:w w:val="110"/>
          <w:sz w:val="18"/>
        </w:rPr>
        <w:t> </w:t>
      </w:r>
      <w:r>
        <w:rPr>
          <w:w w:val="110"/>
          <w:sz w:val="18"/>
        </w:rPr>
        <w:t>mayores</w:t>
      </w:r>
      <w:r>
        <w:rPr>
          <w:spacing w:val="-24"/>
          <w:w w:val="110"/>
          <w:sz w:val="18"/>
        </w:rPr>
        <w:t> </w:t>
      </w:r>
      <w:r>
        <w:rPr>
          <w:w w:val="110"/>
          <w:sz w:val="18"/>
        </w:rPr>
        <w:t>objetivos</w:t>
      </w:r>
      <w:r>
        <w:rPr>
          <w:spacing w:val="-24"/>
          <w:w w:val="110"/>
          <w:sz w:val="18"/>
        </w:rPr>
        <w:t> </w:t>
      </w:r>
      <w:r>
        <w:rPr>
          <w:w w:val="110"/>
          <w:sz w:val="18"/>
        </w:rPr>
        <w:t>imperiales:</w:t>
      </w:r>
      <w:r>
        <w:rPr>
          <w:spacing w:val="-24"/>
          <w:w w:val="110"/>
          <w:sz w:val="18"/>
        </w:rPr>
        <w:t> </w:t>
      </w:r>
      <w:r>
        <w:rPr>
          <w:w w:val="110"/>
          <w:sz w:val="18"/>
        </w:rPr>
        <w:t>reintegrar</w:t>
      </w:r>
      <w:r>
        <w:rPr>
          <w:spacing w:val="-24"/>
          <w:w w:val="110"/>
          <w:sz w:val="18"/>
        </w:rPr>
        <w:t> </w:t>
      </w:r>
      <w:r>
        <w:rPr>
          <w:w w:val="110"/>
          <w:sz w:val="18"/>
        </w:rPr>
        <w:t>el</w:t>
      </w:r>
      <w:r>
        <w:rPr>
          <w:spacing w:val="-24"/>
          <w:w w:val="110"/>
          <w:sz w:val="18"/>
        </w:rPr>
        <w:t> </w:t>
      </w:r>
      <w:r>
        <w:rPr>
          <w:w w:val="110"/>
          <w:sz w:val="18"/>
        </w:rPr>
        <w:t>antiguo</w:t>
      </w:r>
      <w:r>
        <w:rPr>
          <w:spacing w:val="-24"/>
          <w:w w:val="110"/>
          <w:sz w:val="18"/>
        </w:rPr>
        <w:t> </w:t>
      </w:r>
      <w:r>
        <w:rPr>
          <w:w w:val="110"/>
          <w:sz w:val="18"/>
        </w:rPr>
        <w:t>espacio</w:t>
      </w:r>
      <w:r>
        <w:rPr>
          <w:spacing w:val="-24"/>
          <w:w w:val="110"/>
          <w:sz w:val="18"/>
        </w:rPr>
        <w:t> </w:t>
      </w:r>
      <w:r>
        <w:rPr>
          <w:w w:val="110"/>
          <w:sz w:val="18"/>
        </w:rPr>
        <w:t>soviéti- co</w:t>
      </w:r>
      <w:r>
        <w:rPr>
          <w:spacing w:val="-5"/>
          <w:w w:val="110"/>
          <w:sz w:val="18"/>
        </w:rPr>
        <w:t> </w:t>
      </w:r>
      <w:r>
        <w:rPr>
          <w:w w:val="110"/>
          <w:sz w:val="18"/>
        </w:rPr>
        <w:t>bajo</w:t>
      </w:r>
      <w:r>
        <w:rPr>
          <w:spacing w:val="-5"/>
          <w:w w:val="110"/>
          <w:sz w:val="18"/>
        </w:rPr>
        <w:t> </w:t>
      </w:r>
      <w:r>
        <w:rPr>
          <w:w w:val="110"/>
          <w:sz w:val="18"/>
        </w:rPr>
        <w:t>control</w:t>
      </w:r>
      <w:r>
        <w:rPr>
          <w:spacing w:val="-5"/>
          <w:w w:val="110"/>
          <w:sz w:val="18"/>
        </w:rPr>
        <w:t> </w:t>
      </w:r>
      <w:r>
        <w:rPr>
          <w:w w:val="110"/>
          <w:sz w:val="18"/>
        </w:rPr>
        <w:t>del</w:t>
      </w:r>
      <w:r>
        <w:rPr>
          <w:spacing w:val="-5"/>
          <w:w w:val="110"/>
          <w:sz w:val="18"/>
        </w:rPr>
        <w:t> </w:t>
      </w:r>
      <w:r>
        <w:rPr>
          <w:w w:val="110"/>
          <w:sz w:val="18"/>
        </w:rPr>
        <w:t>Kremlin</w:t>
      </w:r>
      <w:r>
        <w:rPr>
          <w:spacing w:val="-5"/>
          <w:w w:val="110"/>
          <w:sz w:val="18"/>
        </w:rPr>
        <w:t> </w:t>
      </w:r>
      <w:r>
        <w:rPr>
          <w:w w:val="110"/>
          <w:sz w:val="18"/>
        </w:rPr>
        <w:t>y</w:t>
      </w:r>
      <w:r>
        <w:rPr>
          <w:spacing w:val="-5"/>
          <w:w w:val="110"/>
          <w:sz w:val="18"/>
        </w:rPr>
        <w:t> </w:t>
      </w:r>
      <w:r>
        <w:rPr>
          <w:w w:val="110"/>
          <w:sz w:val="18"/>
        </w:rPr>
        <w:t>cortar</w:t>
      </w:r>
      <w:r>
        <w:rPr>
          <w:spacing w:val="-5"/>
          <w:w w:val="110"/>
          <w:sz w:val="18"/>
        </w:rPr>
        <w:t> </w:t>
      </w:r>
      <w:r>
        <w:rPr>
          <w:w w:val="110"/>
          <w:sz w:val="18"/>
        </w:rPr>
        <w:t>el</w:t>
      </w:r>
      <w:r>
        <w:rPr>
          <w:spacing w:val="-5"/>
          <w:w w:val="110"/>
          <w:sz w:val="18"/>
        </w:rPr>
        <w:t> </w:t>
      </w:r>
      <w:r>
        <w:rPr>
          <w:w w:val="110"/>
          <w:sz w:val="18"/>
        </w:rPr>
        <w:t>acceso</w:t>
      </w:r>
      <w:r>
        <w:rPr>
          <w:spacing w:val="-5"/>
          <w:w w:val="110"/>
          <w:sz w:val="18"/>
        </w:rPr>
        <w:t> </w:t>
      </w:r>
      <w:r>
        <w:rPr>
          <w:w w:val="110"/>
          <w:sz w:val="18"/>
        </w:rPr>
        <w:t>occidental</w:t>
      </w:r>
      <w:r>
        <w:rPr>
          <w:spacing w:val="-5"/>
          <w:w w:val="110"/>
          <w:sz w:val="18"/>
        </w:rPr>
        <w:t> </w:t>
      </w:r>
      <w:r>
        <w:rPr>
          <w:w w:val="110"/>
          <w:sz w:val="18"/>
        </w:rPr>
        <w:t>al</w:t>
      </w:r>
      <w:r>
        <w:rPr>
          <w:spacing w:val="-5"/>
          <w:w w:val="110"/>
          <w:sz w:val="18"/>
        </w:rPr>
        <w:t> </w:t>
      </w:r>
      <w:r>
        <w:rPr>
          <w:w w:val="110"/>
          <w:sz w:val="18"/>
        </w:rPr>
        <w:t>Mar</w:t>
      </w:r>
      <w:r>
        <w:rPr>
          <w:spacing w:val="-5"/>
          <w:w w:val="110"/>
          <w:sz w:val="18"/>
        </w:rPr>
        <w:t> </w:t>
      </w:r>
      <w:r>
        <w:rPr>
          <w:w w:val="110"/>
          <w:sz w:val="18"/>
        </w:rPr>
        <w:t>Caspio y</w:t>
      </w:r>
      <w:r>
        <w:rPr>
          <w:spacing w:val="-8"/>
          <w:w w:val="110"/>
          <w:sz w:val="18"/>
        </w:rPr>
        <w:t> </w:t>
      </w:r>
      <w:r>
        <w:rPr>
          <w:w w:val="110"/>
          <w:sz w:val="18"/>
        </w:rPr>
        <w:t>a</w:t>
      </w:r>
      <w:r>
        <w:rPr>
          <w:spacing w:val="-8"/>
          <w:w w:val="110"/>
          <w:sz w:val="18"/>
        </w:rPr>
        <w:t> </w:t>
      </w:r>
      <w:r>
        <w:rPr>
          <w:w w:val="110"/>
          <w:sz w:val="18"/>
        </w:rPr>
        <w:t>asia</w:t>
      </w:r>
      <w:r>
        <w:rPr>
          <w:spacing w:val="-8"/>
          <w:w w:val="110"/>
          <w:sz w:val="18"/>
        </w:rPr>
        <w:t> </w:t>
      </w:r>
      <w:r>
        <w:rPr>
          <w:w w:val="110"/>
          <w:sz w:val="18"/>
        </w:rPr>
        <w:t>Central</w:t>
      </w:r>
      <w:r>
        <w:rPr>
          <w:spacing w:val="-8"/>
          <w:w w:val="110"/>
          <w:sz w:val="18"/>
        </w:rPr>
        <w:t> </w:t>
      </w:r>
      <w:r>
        <w:rPr>
          <w:w w:val="110"/>
          <w:sz w:val="18"/>
        </w:rPr>
        <w:t>obteniendo</w:t>
      </w:r>
      <w:r>
        <w:rPr>
          <w:spacing w:val="-8"/>
          <w:w w:val="110"/>
          <w:sz w:val="18"/>
        </w:rPr>
        <w:t> </w:t>
      </w:r>
      <w:r>
        <w:rPr>
          <w:w w:val="110"/>
          <w:sz w:val="18"/>
        </w:rPr>
        <w:t>el</w:t>
      </w:r>
      <w:r>
        <w:rPr>
          <w:spacing w:val="-8"/>
          <w:w w:val="110"/>
          <w:sz w:val="18"/>
        </w:rPr>
        <w:t> </w:t>
      </w:r>
      <w:r>
        <w:rPr>
          <w:w w:val="110"/>
          <w:sz w:val="18"/>
        </w:rPr>
        <w:t>control</w:t>
      </w:r>
      <w:r>
        <w:rPr>
          <w:spacing w:val="-8"/>
          <w:w w:val="110"/>
          <w:sz w:val="18"/>
        </w:rPr>
        <w:t> </w:t>
      </w:r>
      <w:r>
        <w:rPr>
          <w:w w:val="110"/>
          <w:sz w:val="18"/>
        </w:rPr>
        <w:t>sobre</w:t>
      </w:r>
      <w:r>
        <w:rPr>
          <w:spacing w:val="-8"/>
          <w:w w:val="110"/>
          <w:sz w:val="18"/>
        </w:rPr>
        <w:t> </w:t>
      </w:r>
      <w:r>
        <w:rPr>
          <w:w w:val="110"/>
          <w:sz w:val="18"/>
        </w:rPr>
        <w:t>el</w:t>
      </w:r>
      <w:r>
        <w:rPr>
          <w:spacing w:val="-8"/>
          <w:w w:val="110"/>
          <w:sz w:val="18"/>
        </w:rPr>
        <w:t> </w:t>
      </w:r>
      <w:r>
        <w:rPr>
          <w:w w:val="110"/>
          <w:sz w:val="18"/>
        </w:rPr>
        <w:t>oleoducto</w:t>
      </w:r>
      <w:r>
        <w:rPr>
          <w:spacing w:val="-8"/>
          <w:w w:val="110"/>
          <w:sz w:val="18"/>
        </w:rPr>
        <w:t> </w:t>
      </w:r>
      <w:r>
        <w:rPr>
          <w:w w:val="110"/>
          <w:sz w:val="18"/>
        </w:rPr>
        <w:t>bakú/Ceyhan que</w:t>
      </w:r>
      <w:r>
        <w:rPr>
          <w:spacing w:val="-7"/>
          <w:w w:val="110"/>
          <w:sz w:val="18"/>
        </w:rPr>
        <w:t> </w:t>
      </w:r>
      <w:r>
        <w:rPr>
          <w:w w:val="110"/>
          <w:sz w:val="18"/>
        </w:rPr>
        <w:t>pasa</w:t>
      </w:r>
      <w:r>
        <w:rPr>
          <w:spacing w:val="-7"/>
          <w:w w:val="110"/>
          <w:sz w:val="18"/>
        </w:rPr>
        <w:t> </w:t>
      </w:r>
      <w:r>
        <w:rPr>
          <w:w w:val="110"/>
          <w:sz w:val="18"/>
        </w:rPr>
        <w:t>por</w:t>
      </w:r>
      <w:r>
        <w:rPr>
          <w:spacing w:val="-7"/>
          <w:w w:val="110"/>
          <w:sz w:val="18"/>
        </w:rPr>
        <w:t> </w:t>
      </w:r>
      <w:r>
        <w:rPr>
          <w:w w:val="110"/>
          <w:sz w:val="18"/>
        </w:rPr>
        <w:t>Georgia</w:t>
      </w:r>
      <w:r>
        <w:rPr>
          <w:spacing w:val="-7"/>
          <w:w w:val="110"/>
          <w:sz w:val="18"/>
        </w:rPr>
        <w:t> </w:t>
      </w:r>
      <w:r>
        <w:rPr>
          <w:w w:val="110"/>
          <w:sz w:val="18"/>
        </w:rPr>
        <w:t>(Gardels,</w:t>
      </w:r>
      <w:r>
        <w:rPr>
          <w:spacing w:val="-7"/>
          <w:w w:val="110"/>
          <w:sz w:val="18"/>
        </w:rPr>
        <w:t> </w:t>
      </w:r>
      <w:r>
        <w:rPr>
          <w:w w:val="110"/>
          <w:sz w:val="18"/>
        </w:rPr>
        <w:t>2014).</w:t>
      </w:r>
    </w:p>
    <w:p>
      <w:pPr>
        <w:pStyle w:val="BodyText"/>
        <w:spacing w:before="6"/>
        <w:rPr>
          <w:sz w:val="24"/>
        </w:rPr>
      </w:pPr>
    </w:p>
    <w:p>
      <w:pPr>
        <w:pStyle w:val="BodyText"/>
        <w:spacing w:line="252" w:lineRule="auto"/>
        <w:ind w:left="330" w:right="117"/>
        <w:jc w:val="both"/>
      </w:pPr>
      <w:r>
        <w:rPr>
          <w:w w:val="110"/>
        </w:rPr>
        <w:t>Henry Kissinger tiene otra visión del problema geopolítico. reco- mienda que Estados unidos se olvide de convertir a ucrania en un conflicto y busque la fórmula de transformar a ese país en el “puente” que permita enfrentar de manera más racional los intereses rusos.   “El problema de ucrania es visto como un duelo entre poderes. Hay quienes quieren que decidamos si ucrania será de occidente u orien- te. Pero si ucrania quiere sobrevivir y prosperar no debe convertirse en base de uno contra el otro, debe funcionar como un puente entre ambos” (Kissinger,</w:t>
      </w:r>
      <w:r>
        <w:rPr>
          <w:spacing w:val="-11"/>
          <w:w w:val="110"/>
        </w:rPr>
        <w:t> </w:t>
      </w:r>
      <w:r>
        <w:rPr>
          <w:w w:val="110"/>
        </w:rPr>
        <w:t>2014).</w:t>
      </w:r>
    </w:p>
    <w:p>
      <w:pPr>
        <w:pStyle w:val="BodyText"/>
        <w:spacing w:line="252" w:lineRule="auto"/>
        <w:ind w:left="330" w:right="117" w:firstLine="396"/>
        <w:jc w:val="both"/>
      </w:pPr>
      <w:r>
        <w:rPr>
          <w:w w:val="110"/>
        </w:rPr>
        <w:t>Para Kissinger las riquezas de asia central (siberia incluido) de- ben seguir siendo administradas por Moscú. sin embargo, en una relación privilegiada con Estados unidos, este autor introduce una noción geopolítica nueva: “la insatisfacción equilibrada” (</w:t>
      </w:r>
      <w:r>
        <w:rPr>
          <w:i/>
          <w:w w:val="110"/>
        </w:rPr>
        <w:t>balanced </w:t>
      </w:r>
      <w:r>
        <w:rPr>
          <w:i/>
          <w:w w:val="110"/>
        </w:rPr>
        <w:t>dissatisfaction</w:t>
      </w:r>
      <w:r>
        <w:rPr>
          <w:w w:val="110"/>
        </w:rPr>
        <w:t>). Para alcanzar los objetivos que persigue Estados uni- dos “la prueba no es alcanzar satisfacción absoluta sino insatisfacción equilibrada. si no encontramos la solución a la crisis, el camino hacia la confrontación se acelerará”. Kissinger no piensa en términos de dividir a rusia para permitir el saqueo de sus riquezas. al contrario, hay que sumar a rusia a una alianza en la cual el saqueo se pueda</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realizar en forma conjunta. tampoco pierde vista que rusia puede ser un aliado estratégico en el enfrentamiento de Washington con China que se precipitará en el transcurso del siglo   </w:t>
      </w:r>
      <w:r>
        <w:rPr>
          <w:w w:val="125"/>
        </w:rPr>
        <w:t>xxi.</w:t>
      </w:r>
    </w:p>
    <w:p>
      <w:pPr>
        <w:pStyle w:val="BodyText"/>
        <w:spacing w:line="252" w:lineRule="auto"/>
        <w:ind w:left="100" w:right="327" w:firstLine="396"/>
        <w:jc w:val="both"/>
      </w:pPr>
      <w:r>
        <w:rPr>
          <w:spacing w:val="-3"/>
          <w:w w:val="110"/>
        </w:rPr>
        <w:t>traigo </w:t>
      </w:r>
      <w:r>
        <w:rPr>
          <w:w w:val="110"/>
        </w:rPr>
        <w:t>a colación las palabras del teniente general Víktor </w:t>
      </w:r>
      <w:r>
        <w:rPr>
          <w:spacing w:val="-3"/>
          <w:w w:val="110"/>
        </w:rPr>
        <w:t>sobolev, </w:t>
      </w:r>
      <w:r>
        <w:rPr>
          <w:w w:val="110"/>
        </w:rPr>
        <w:t>comandante</w:t>
      </w:r>
      <w:r>
        <w:rPr>
          <w:spacing w:val="-10"/>
          <w:w w:val="110"/>
        </w:rPr>
        <w:t> </w:t>
      </w:r>
      <w:r>
        <w:rPr>
          <w:w w:val="110"/>
        </w:rPr>
        <w:t>del</w:t>
      </w:r>
      <w:r>
        <w:rPr>
          <w:spacing w:val="-10"/>
          <w:w w:val="110"/>
        </w:rPr>
        <w:t> </w:t>
      </w:r>
      <w:r>
        <w:rPr>
          <w:w w:val="110"/>
        </w:rPr>
        <w:t>58º</w:t>
      </w:r>
      <w:r>
        <w:rPr>
          <w:spacing w:val="-10"/>
          <w:w w:val="110"/>
        </w:rPr>
        <w:t> </w:t>
      </w:r>
      <w:r>
        <w:rPr>
          <w:w w:val="110"/>
        </w:rPr>
        <w:t>Ejército</w:t>
      </w:r>
      <w:r>
        <w:rPr>
          <w:spacing w:val="-10"/>
          <w:w w:val="110"/>
        </w:rPr>
        <w:t> </w:t>
      </w:r>
      <w:r>
        <w:rPr>
          <w:w w:val="110"/>
        </w:rPr>
        <w:t>entre</w:t>
      </w:r>
      <w:r>
        <w:rPr>
          <w:spacing w:val="-10"/>
          <w:w w:val="110"/>
        </w:rPr>
        <w:t> </w:t>
      </w:r>
      <w:r>
        <w:rPr>
          <w:w w:val="110"/>
        </w:rPr>
        <w:t>2000</w:t>
      </w:r>
      <w:r>
        <w:rPr>
          <w:spacing w:val="-10"/>
          <w:w w:val="110"/>
        </w:rPr>
        <w:t> </w:t>
      </w:r>
      <w:r>
        <w:rPr>
          <w:w w:val="110"/>
        </w:rPr>
        <w:t>y</w:t>
      </w:r>
      <w:r>
        <w:rPr>
          <w:spacing w:val="-10"/>
          <w:w w:val="110"/>
        </w:rPr>
        <w:t> </w:t>
      </w:r>
      <w:r>
        <w:rPr>
          <w:w w:val="110"/>
        </w:rPr>
        <w:t>2003,</w:t>
      </w:r>
      <w:r>
        <w:rPr>
          <w:spacing w:val="-10"/>
          <w:w w:val="110"/>
        </w:rPr>
        <w:t> </w:t>
      </w:r>
      <w:r>
        <w:rPr>
          <w:w w:val="110"/>
        </w:rPr>
        <w:t>en</w:t>
      </w:r>
      <w:r>
        <w:rPr>
          <w:spacing w:val="-10"/>
          <w:w w:val="110"/>
        </w:rPr>
        <w:t> </w:t>
      </w:r>
      <w:r>
        <w:rPr>
          <w:w w:val="110"/>
        </w:rPr>
        <w:t>los</w:t>
      </w:r>
      <w:r>
        <w:rPr>
          <w:spacing w:val="-10"/>
          <w:w w:val="110"/>
        </w:rPr>
        <w:t> </w:t>
      </w:r>
      <w:r>
        <w:rPr>
          <w:w w:val="110"/>
        </w:rPr>
        <w:t>días</w:t>
      </w:r>
      <w:r>
        <w:rPr>
          <w:spacing w:val="-10"/>
          <w:w w:val="110"/>
        </w:rPr>
        <w:t> </w:t>
      </w:r>
      <w:r>
        <w:rPr>
          <w:w w:val="110"/>
        </w:rPr>
        <w:t>turbulentos que presidieron la caída del gobierno pro-ruso en Kiev: “Por</w:t>
      </w:r>
      <w:r>
        <w:rPr>
          <w:spacing w:val="-8"/>
          <w:w w:val="110"/>
        </w:rPr>
        <w:t> </w:t>
      </w:r>
      <w:r>
        <w:rPr>
          <w:w w:val="110"/>
        </w:rPr>
        <w:t>desgracia no podemos competir con la </w:t>
      </w:r>
      <w:r>
        <w:rPr>
          <w:spacing w:val="-3"/>
          <w:w w:val="125"/>
        </w:rPr>
        <w:t>otaN. </w:t>
      </w:r>
      <w:r>
        <w:rPr>
          <w:w w:val="110"/>
        </w:rPr>
        <w:t>Es algo evidente por la corre- lación de fuerzas y medios, por el número de tanques, de aviones,      de barcos, etc. Por ejemplo Estados unidos tiene trece portaviones mientras que nosotros sólo uno, el ‘almirante Kuznetsov’. El otro que teníamos, el ‘almirante Gorshkov’, se lo vendimos a la india. además nuestro portaviones ni siquiera es atómico” </w:t>
      </w:r>
      <w:r>
        <w:rPr>
          <w:spacing w:val="-3"/>
          <w:w w:val="110"/>
        </w:rPr>
        <w:t>(sivkov,</w:t>
      </w:r>
      <w:r>
        <w:rPr>
          <w:spacing w:val="33"/>
          <w:w w:val="110"/>
        </w:rPr>
        <w:t> </w:t>
      </w:r>
      <w:r>
        <w:rPr>
          <w:w w:val="110"/>
        </w:rPr>
        <w:t>2014).</w:t>
      </w:r>
    </w:p>
    <w:p>
      <w:pPr>
        <w:pStyle w:val="BodyText"/>
        <w:spacing w:line="252" w:lineRule="auto"/>
        <w:ind w:left="100" w:right="326" w:firstLine="396"/>
        <w:jc w:val="both"/>
      </w:pPr>
      <w:r>
        <w:rPr>
          <w:w w:val="115"/>
        </w:rPr>
        <w:t>Kissinger</w:t>
      </w:r>
      <w:r>
        <w:rPr>
          <w:spacing w:val="-20"/>
          <w:w w:val="115"/>
        </w:rPr>
        <w:t> </w:t>
      </w:r>
      <w:r>
        <w:rPr>
          <w:w w:val="115"/>
        </w:rPr>
        <w:t>(2004)</w:t>
      </w:r>
      <w:r>
        <w:rPr>
          <w:spacing w:val="-20"/>
          <w:w w:val="115"/>
        </w:rPr>
        <w:t> </w:t>
      </w:r>
      <w:r>
        <w:rPr>
          <w:w w:val="115"/>
        </w:rPr>
        <w:t>ve</w:t>
      </w:r>
      <w:r>
        <w:rPr>
          <w:spacing w:val="-20"/>
          <w:w w:val="115"/>
        </w:rPr>
        <w:t> </w:t>
      </w:r>
      <w:r>
        <w:rPr>
          <w:w w:val="115"/>
        </w:rPr>
        <w:t>más</w:t>
      </w:r>
      <w:r>
        <w:rPr>
          <w:spacing w:val="-20"/>
          <w:w w:val="115"/>
        </w:rPr>
        <w:t> </w:t>
      </w:r>
      <w:r>
        <w:rPr>
          <w:w w:val="115"/>
        </w:rPr>
        <w:t>peligroso</w:t>
      </w:r>
      <w:r>
        <w:rPr>
          <w:spacing w:val="-20"/>
          <w:w w:val="115"/>
        </w:rPr>
        <w:t> </w:t>
      </w:r>
      <w:r>
        <w:rPr>
          <w:w w:val="115"/>
        </w:rPr>
        <w:t>un</w:t>
      </w:r>
      <w:r>
        <w:rPr>
          <w:spacing w:val="-20"/>
          <w:w w:val="115"/>
        </w:rPr>
        <w:t> </w:t>
      </w:r>
      <w:r>
        <w:rPr>
          <w:w w:val="115"/>
        </w:rPr>
        <w:t>eje</w:t>
      </w:r>
      <w:r>
        <w:rPr>
          <w:spacing w:val="-20"/>
          <w:w w:val="115"/>
        </w:rPr>
        <w:t> </w:t>
      </w:r>
      <w:r>
        <w:rPr>
          <w:w w:val="115"/>
        </w:rPr>
        <w:t>sino-ruso</w:t>
      </w:r>
      <w:r>
        <w:rPr>
          <w:spacing w:val="-20"/>
          <w:w w:val="115"/>
        </w:rPr>
        <w:t> </w:t>
      </w:r>
      <w:r>
        <w:rPr>
          <w:w w:val="115"/>
        </w:rPr>
        <w:t>que</w:t>
      </w:r>
      <w:r>
        <w:rPr>
          <w:spacing w:val="-20"/>
          <w:w w:val="115"/>
        </w:rPr>
        <w:t> </w:t>
      </w:r>
      <w:r>
        <w:rPr>
          <w:w w:val="115"/>
        </w:rPr>
        <w:t>la</w:t>
      </w:r>
      <w:r>
        <w:rPr>
          <w:spacing w:val="-20"/>
          <w:w w:val="115"/>
        </w:rPr>
        <w:t> </w:t>
      </w:r>
      <w:r>
        <w:rPr>
          <w:w w:val="115"/>
        </w:rPr>
        <w:t>misma presencia de rusia como amenaza de Europa. Esa preocupación se manifestó después de la votación de la oNu que condenó a rusia </w:t>
      </w:r>
      <w:r>
        <w:rPr>
          <w:spacing w:val="1"/>
          <w:w w:val="108"/>
        </w:rPr>
        <w:t>po</w:t>
      </w:r>
      <w:r>
        <w:rPr>
          <w:w w:val="108"/>
        </w:rPr>
        <w:t>r</w:t>
      </w:r>
      <w:r>
        <w:rPr>
          <w:spacing w:val="18"/>
        </w:rPr>
        <w:t> </w:t>
      </w:r>
      <w:r>
        <w:rPr>
          <w:spacing w:val="1"/>
          <w:w w:val="111"/>
        </w:rPr>
        <w:t>l</w:t>
      </w:r>
      <w:r>
        <w:rPr>
          <w:w w:val="111"/>
        </w:rPr>
        <w:t>a</w:t>
      </w:r>
      <w:r>
        <w:rPr>
          <w:spacing w:val="18"/>
        </w:rPr>
        <w:t> </w:t>
      </w:r>
      <w:r>
        <w:rPr>
          <w:spacing w:val="1"/>
          <w:w w:val="110"/>
        </w:rPr>
        <w:t>anexió</w:t>
      </w:r>
      <w:r>
        <w:rPr>
          <w:w w:val="110"/>
        </w:rPr>
        <w:t>n</w:t>
      </w:r>
      <w:r>
        <w:rPr>
          <w:spacing w:val="18"/>
        </w:rPr>
        <w:t> </w:t>
      </w:r>
      <w:r>
        <w:rPr>
          <w:spacing w:val="1"/>
          <w:w w:val="107"/>
        </w:rPr>
        <w:t>d</w:t>
      </w:r>
      <w:r>
        <w:rPr>
          <w:w w:val="107"/>
        </w:rPr>
        <w:t>e</w:t>
      </w:r>
      <w:r>
        <w:rPr>
          <w:spacing w:val="18"/>
        </w:rPr>
        <w:t> </w:t>
      </w:r>
      <w:r>
        <w:rPr>
          <w:spacing w:val="1"/>
          <w:w w:val="114"/>
        </w:rPr>
        <w:t>Crimea</w:t>
      </w:r>
      <w:r>
        <w:rPr>
          <w:w w:val="114"/>
        </w:rPr>
        <w:t>.</w:t>
      </w:r>
      <w:r>
        <w:rPr>
          <w:spacing w:val="18"/>
        </w:rPr>
        <w:t> </w:t>
      </w:r>
      <w:r>
        <w:rPr>
          <w:spacing w:val="1"/>
          <w:w w:val="243"/>
        </w:rPr>
        <w:t>l</w:t>
      </w:r>
      <w:r>
        <w:rPr>
          <w:spacing w:val="1"/>
          <w:w w:val="108"/>
        </w:rPr>
        <w:t>o</w:t>
      </w:r>
      <w:r>
        <w:rPr>
          <w:w w:val="108"/>
        </w:rPr>
        <w:t>s</w:t>
      </w:r>
      <w:r>
        <w:rPr>
          <w:spacing w:val="18"/>
        </w:rPr>
        <w:t> </w:t>
      </w:r>
      <w:r>
        <w:rPr>
          <w:spacing w:val="1"/>
          <w:w w:val="111"/>
        </w:rPr>
        <w:t>cie</w:t>
      </w:r>
      <w:r>
        <w:rPr>
          <w:w w:val="111"/>
        </w:rPr>
        <w:t>n</w:t>
      </w:r>
      <w:r>
        <w:rPr>
          <w:spacing w:val="18"/>
        </w:rPr>
        <w:t> </w:t>
      </w:r>
      <w:r>
        <w:rPr>
          <w:spacing w:val="1"/>
          <w:w w:val="106"/>
        </w:rPr>
        <w:t>voto</w:t>
      </w:r>
      <w:r>
        <w:rPr>
          <w:w w:val="106"/>
        </w:rPr>
        <w:t>s</w:t>
      </w:r>
      <w:r>
        <w:rPr>
          <w:spacing w:val="18"/>
        </w:rPr>
        <w:t> </w:t>
      </w:r>
      <w:r>
        <w:rPr>
          <w:spacing w:val="1"/>
          <w:w w:val="107"/>
        </w:rPr>
        <w:t>d</w:t>
      </w:r>
      <w:r>
        <w:rPr>
          <w:w w:val="107"/>
        </w:rPr>
        <w:t>e</w:t>
      </w:r>
      <w:r>
        <w:rPr>
          <w:spacing w:val="18"/>
        </w:rPr>
        <w:t> </w:t>
      </w:r>
      <w:r>
        <w:rPr>
          <w:spacing w:val="1"/>
          <w:w w:val="110"/>
        </w:rPr>
        <w:t>conden</w:t>
      </w:r>
      <w:r>
        <w:rPr>
          <w:w w:val="110"/>
        </w:rPr>
        <w:t>a</w:t>
      </w:r>
      <w:r>
        <w:rPr>
          <w:spacing w:val="18"/>
        </w:rPr>
        <w:t> </w:t>
      </w:r>
      <w:r>
        <w:rPr>
          <w:spacing w:val="1"/>
          <w:w w:val="110"/>
        </w:rPr>
        <w:t>fuero</w:t>
      </w:r>
      <w:r>
        <w:rPr>
          <w:w w:val="110"/>
        </w:rPr>
        <w:t>n</w:t>
      </w:r>
      <w:r>
        <w:rPr>
          <w:spacing w:val="18"/>
        </w:rPr>
        <w:t> </w:t>
      </w:r>
      <w:r>
        <w:rPr>
          <w:spacing w:val="1"/>
          <w:w w:val="112"/>
        </w:rPr>
        <w:t>mitiga</w:t>
      </w:r>
      <w:r>
        <w:rPr>
          <w:w w:val="102"/>
        </w:rPr>
        <w:t>- </w:t>
      </w:r>
      <w:r>
        <w:rPr>
          <w:w w:val="115"/>
        </w:rPr>
        <w:t>das</w:t>
      </w:r>
      <w:r>
        <w:rPr>
          <w:spacing w:val="-16"/>
          <w:w w:val="115"/>
        </w:rPr>
        <w:t> </w:t>
      </w:r>
      <w:r>
        <w:rPr>
          <w:w w:val="115"/>
        </w:rPr>
        <w:t>por</w:t>
      </w:r>
      <w:r>
        <w:rPr>
          <w:spacing w:val="-16"/>
          <w:w w:val="115"/>
        </w:rPr>
        <w:t> </w:t>
      </w:r>
      <w:r>
        <w:rPr>
          <w:w w:val="115"/>
        </w:rPr>
        <w:t>las</w:t>
      </w:r>
      <w:r>
        <w:rPr>
          <w:spacing w:val="-16"/>
          <w:w w:val="115"/>
        </w:rPr>
        <w:t> </w:t>
      </w:r>
      <w:r>
        <w:rPr>
          <w:w w:val="115"/>
        </w:rPr>
        <w:t>50</w:t>
      </w:r>
      <w:r>
        <w:rPr>
          <w:spacing w:val="-16"/>
          <w:w w:val="115"/>
        </w:rPr>
        <w:t> </w:t>
      </w:r>
      <w:r>
        <w:rPr>
          <w:w w:val="115"/>
        </w:rPr>
        <w:t>abstenciones</w:t>
      </w:r>
      <w:r>
        <w:rPr>
          <w:spacing w:val="-16"/>
          <w:w w:val="115"/>
        </w:rPr>
        <w:t> </w:t>
      </w:r>
      <w:r>
        <w:rPr>
          <w:w w:val="115"/>
        </w:rPr>
        <w:t>y</w:t>
      </w:r>
      <w:r>
        <w:rPr>
          <w:spacing w:val="-16"/>
          <w:w w:val="115"/>
        </w:rPr>
        <w:t> </w:t>
      </w:r>
      <w:r>
        <w:rPr>
          <w:w w:val="115"/>
        </w:rPr>
        <w:t>los</w:t>
      </w:r>
      <w:r>
        <w:rPr>
          <w:spacing w:val="-16"/>
          <w:w w:val="115"/>
        </w:rPr>
        <w:t> </w:t>
      </w:r>
      <w:r>
        <w:rPr>
          <w:w w:val="115"/>
        </w:rPr>
        <w:t>doce</w:t>
      </w:r>
      <w:r>
        <w:rPr>
          <w:spacing w:val="-16"/>
          <w:w w:val="115"/>
        </w:rPr>
        <w:t> </w:t>
      </w:r>
      <w:r>
        <w:rPr>
          <w:w w:val="115"/>
        </w:rPr>
        <w:t>votos</w:t>
      </w:r>
      <w:r>
        <w:rPr>
          <w:spacing w:val="-16"/>
          <w:w w:val="115"/>
        </w:rPr>
        <w:t> </w:t>
      </w:r>
      <w:r>
        <w:rPr>
          <w:w w:val="115"/>
        </w:rPr>
        <w:t>en</w:t>
      </w:r>
      <w:r>
        <w:rPr>
          <w:spacing w:val="-16"/>
          <w:w w:val="115"/>
        </w:rPr>
        <w:t> </w:t>
      </w:r>
      <w:r>
        <w:rPr>
          <w:w w:val="115"/>
        </w:rPr>
        <w:t>contra,</w:t>
      </w:r>
      <w:r>
        <w:rPr>
          <w:spacing w:val="-16"/>
          <w:w w:val="115"/>
        </w:rPr>
        <w:t> </w:t>
      </w:r>
      <w:r>
        <w:rPr>
          <w:w w:val="115"/>
        </w:rPr>
        <w:t>entre</w:t>
      </w:r>
      <w:r>
        <w:rPr>
          <w:spacing w:val="-16"/>
          <w:w w:val="115"/>
        </w:rPr>
        <w:t> </w:t>
      </w:r>
      <w:r>
        <w:rPr>
          <w:w w:val="115"/>
        </w:rPr>
        <w:t>ellos</w:t>
      </w:r>
      <w:r>
        <w:rPr>
          <w:spacing w:val="-16"/>
          <w:w w:val="115"/>
        </w:rPr>
        <w:t> </w:t>
      </w:r>
      <w:r>
        <w:rPr>
          <w:w w:val="115"/>
        </w:rPr>
        <w:t>los del </w:t>
      </w:r>
      <w:r>
        <w:rPr>
          <w:spacing w:val="16"/>
          <w:w w:val="115"/>
        </w:rPr>
        <w:t> </w:t>
      </w:r>
      <w:r>
        <w:rPr>
          <w:w w:val="130"/>
        </w:rPr>
        <w:t>briCs.</w:t>
      </w:r>
    </w:p>
    <w:p>
      <w:pPr>
        <w:pStyle w:val="BodyText"/>
        <w:spacing w:line="252" w:lineRule="auto"/>
        <w:ind w:left="100" w:right="328" w:firstLine="396"/>
        <w:jc w:val="both"/>
      </w:pPr>
      <w:r>
        <w:rPr>
          <w:w w:val="110"/>
        </w:rPr>
        <w:t>En el último lustro las diferentes ideas en torno a la constitución </w:t>
      </w:r>
      <w:r>
        <w:rPr>
          <w:w w:val="107"/>
        </w:rPr>
        <w:t>de</w:t>
      </w:r>
      <w:r>
        <w:rPr>
          <w:spacing w:val="7"/>
        </w:rPr>
        <w:t> </w:t>
      </w:r>
      <w:r>
        <w:rPr>
          <w:w w:val="112"/>
        </w:rPr>
        <w:t>un</w:t>
      </w:r>
      <w:r>
        <w:rPr>
          <w:spacing w:val="7"/>
        </w:rPr>
        <w:t> </w:t>
      </w:r>
      <w:r>
        <w:rPr>
          <w:w w:val="111"/>
        </w:rPr>
        <w:t>mundo</w:t>
      </w:r>
      <w:r>
        <w:rPr>
          <w:spacing w:val="7"/>
        </w:rPr>
        <w:t> </w:t>
      </w:r>
      <w:r>
        <w:rPr>
          <w:w w:val="110"/>
        </w:rPr>
        <w:t>multipolar</w:t>
      </w:r>
      <w:r>
        <w:rPr>
          <w:spacing w:val="7"/>
        </w:rPr>
        <w:t> </w:t>
      </w:r>
      <w:r>
        <w:rPr>
          <w:w w:val="108"/>
        </w:rPr>
        <w:t>tienden</w:t>
      </w:r>
      <w:r>
        <w:rPr>
          <w:spacing w:val="7"/>
        </w:rPr>
        <w:t> </w:t>
      </w:r>
      <w:r>
        <w:rPr>
          <w:w w:val="112"/>
        </w:rPr>
        <w:t>a</w:t>
      </w:r>
      <w:r>
        <w:rPr>
          <w:spacing w:val="7"/>
        </w:rPr>
        <w:t> </w:t>
      </w:r>
      <w:r>
        <w:rPr>
          <w:w w:val="110"/>
        </w:rPr>
        <w:t>esfumarse.</w:t>
      </w:r>
      <w:r>
        <w:rPr>
          <w:spacing w:val="7"/>
        </w:rPr>
        <w:t> </w:t>
      </w:r>
      <w:r>
        <w:rPr>
          <w:w w:val="243"/>
        </w:rPr>
        <w:t>l</w:t>
      </w:r>
      <w:r>
        <w:rPr>
          <w:w w:val="112"/>
        </w:rPr>
        <w:t>a</w:t>
      </w:r>
      <w:r>
        <w:rPr>
          <w:spacing w:val="7"/>
        </w:rPr>
        <w:t> </w:t>
      </w:r>
      <w:r>
        <w:rPr>
          <w:w w:val="113"/>
        </w:rPr>
        <w:t>única</w:t>
      </w:r>
      <w:r>
        <w:rPr>
          <w:spacing w:val="7"/>
        </w:rPr>
        <w:t> </w:t>
      </w:r>
      <w:r>
        <w:rPr>
          <w:w w:val="110"/>
        </w:rPr>
        <w:t>posibilidad</w:t>
      </w:r>
      <w:r>
        <w:rPr>
          <w:spacing w:val="7"/>
        </w:rPr>
        <w:t> </w:t>
      </w:r>
      <w:r>
        <w:rPr>
          <w:w w:val="107"/>
        </w:rPr>
        <w:t>de </w:t>
      </w:r>
      <w:r>
        <w:rPr>
          <w:w w:val="110"/>
        </w:rPr>
        <w:t>que surja un polo capaz de enfrentar a la hegemonía norteamerica-  na se presenta en la emergencia de China como potencia económica. Estados unidos es consciente de esa perspectiva que se agiganta con cada año que</w:t>
      </w:r>
      <w:r>
        <w:rPr>
          <w:spacing w:val="41"/>
          <w:w w:val="110"/>
        </w:rPr>
        <w:t> </w:t>
      </w:r>
      <w:r>
        <w:rPr>
          <w:w w:val="110"/>
        </w:rPr>
        <w:t>pasa.</w:t>
      </w:r>
    </w:p>
    <w:p>
      <w:pPr>
        <w:pStyle w:val="BodyText"/>
        <w:spacing w:line="252" w:lineRule="auto"/>
        <w:ind w:left="100" w:right="327" w:firstLine="396"/>
        <w:jc w:val="both"/>
      </w:pPr>
      <w:r>
        <w:rPr>
          <w:w w:val="110"/>
        </w:rPr>
        <w:t>Frente a rusia, Estados unidos tiene la alternativa de tratar de destruir la federación (la tesis de brzizinski) o de sumarla como</w:t>
      </w:r>
      <w:r>
        <w:rPr>
          <w:spacing w:val="-22"/>
          <w:w w:val="110"/>
        </w:rPr>
        <w:t> </w:t>
      </w:r>
      <w:r>
        <w:rPr>
          <w:w w:val="110"/>
        </w:rPr>
        <w:t>aliada en un frente contra China (Kissinger, 2004). China tiene como opcio- nes absorber la debilitada economía del país norteamericano en un </w:t>
      </w:r>
      <w:r>
        <w:rPr>
          <w:w w:val="125"/>
        </w:rPr>
        <w:t>briCs </w:t>
      </w:r>
      <w:r>
        <w:rPr>
          <w:w w:val="110"/>
        </w:rPr>
        <w:t>ampliado o enfrentar un escenario de guerra inaceptable para una potencia en</w:t>
      </w:r>
      <w:r>
        <w:rPr>
          <w:spacing w:val="39"/>
          <w:w w:val="110"/>
        </w:rPr>
        <w:t> </w:t>
      </w:r>
      <w:r>
        <w:rPr>
          <w:w w:val="110"/>
        </w:rPr>
        <w:t>ascenso.</w:t>
      </w:r>
    </w:p>
    <w:p>
      <w:pPr>
        <w:pStyle w:val="BodyText"/>
        <w:spacing w:line="252" w:lineRule="auto"/>
        <w:ind w:left="100" w:right="328" w:firstLine="397"/>
        <w:jc w:val="both"/>
      </w:pPr>
      <w:r>
        <w:rPr>
          <w:w w:val="243"/>
        </w:rPr>
        <w:t>l</w:t>
      </w:r>
      <w:r>
        <w:rPr>
          <w:w w:val="108"/>
        </w:rPr>
        <w:t>os</w:t>
      </w:r>
      <w:r>
        <w:rPr>
          <w:spacing w:val="17"/>
        </w:rPr>
        <w:t> </w:t>
      </w:r>
      <w:r>
        <w:rPr>
          <w:w w:val="109"/>
        </w:rPr>
        <w:t>especialistas</w:t>
      </w:r>
      <w:r>
        <w:rPr>
          <w:spacing w:val="17"/>
        </w:rPr>
        <w:t> </w:t>
      </w:r>
      <w:r>
        <w:rPr>
          <w:w w:val="109"/>
        </w:rPr>
        <w:t>militares</w:t>
      </w:r>
      <w:r>
        <w:rPr>
          <w:spacing w:val="17"/>
        </w:rPr>
        <w:t> </w:t>
      </w:r>
      <w:r>
        <w:rPr>
          <w:w w:val="109"/>
        </w:rPr>
        <w:t>norteamericanos</w:t>
      </w:r>
      <w:r>
        <w:rPr>
          <w:spacing w:val="17"/>
        </w:rPr>
        <w:t> </w:t>
      </w:r>
      <w:r>
        <w:rPr>
          <w:w w:val="112"/>
        </w:rPr>
        <w:t>han</w:t>
      </w:r>
      <w:r>
        <w:rPr>
          <w:spacing w:val="17"/>
        </w:rPr>
        <w:t> </w:t>
      </w:r>
      <w:r>
        <w:rPr>
          <w:w w:val="110"/>
        </w:rPr>
        <w:t>girado</w:t>
      </w:r>
      <w:r>
        <w:rPr>
          <w:spacing w:val="17"/>
        </w:rPr>
        <w:t> </w:t>
      </w:r>
      <w:r>
        <w:rPr>
          <w:w w:val="109"/>
        </w:rPr>
        <w:t>su</w:t>
      </w:r>
      <w:r>
        <w:rPr>
          <w:spacing w:val="17"/>
        </w:rPr>
        <w:t> </w:t>
      </w:r>
      <w:r>
        <w:rPr>
          <w:w w:val="110"/>
        </w:rPr>
        <w:t>polít</w:t>
      </w:r>
      <w:r>
        <w:rPr>
          <w:spacing w:val="-1"/>
          <w:w w:val="110"/>
        </w:rPr>
        <w:t>i</w:t>
      </w:r>
      <w:r>
        <w:rPr>
          <w:w w:val="102"/>
        </w:rPr>
        <w:t>- </w:t>
      </w:r>
      <w:r>
        <w:rPr>
          <w:w w:val="115"/>
        </w:rPr>
        <w:t>ca</w:t>
      </w:r>
      <w:r>
        <w:rPr>
          <w:spacing w:val="-12"/>
          <w:w w:val="115"/>
        </w:rPr>
        <w:t> </w:t>
      </w:r>
      <w:r>
        <w:rPr>
          <w:w w:val="115"/>
        </w:rPr>
        <w:t>bélica</w:t>
      </w:r>
      <w:r>
        <w:rPr>
          <w:spacing w:val="-12"/>
          <w:w w:val="115"/>
        </w:rPr>
        <w:t> </w:t>
      </w:r>
      <w:r>
        <w:rPr>
          <w:w w:val="115"/>
        </w:rPr>
        <w:t>hacia</w:t>
      </w:r>
      <w:r>
        <w:rPr>
          <w:spacing w:val="-12"/>
          <w:w w:val="115"/>
        </w:rPr>
        <w:t> </w:t>
      </w:r>
      <w:r>
        <w:rPr>
          <w:w w:val="115"/>
        </w:rPr>
        <w:t>el</w:t>
      </w:r>
      <w:r>
        <w:rPr>
          <w:spacing w:val="-12"/>
          <w:w w:val="115"/>
        </w:rPr>
        <w:t> </w:t>
      </w:r>
      <w:r>
        <w:rPr>
          <w:w w:val="115"/>
        </w:rPr>
        <w:t>Pacífico</w:t>
      </w:r>
      <w:r>
        <w:rPr>
          <w:spacing w:val="-12"/>
          <w:w w:val="115"/>
        </w:rPr>
        <w:t> </w:t>
      </w:r>
      <w:r>
        <w:rPr>
          <w:w w:val="115"/>
        </w:rPr>
        <w:t>para</w:t>
      </w:r>
      <w:r>
        <w:rPr>
          <w:spacing w:val="-12"/>
          <w:w w:val="115"/>
        </w:rPr>
        <w:t> </w:t>
      </w:r>
      <w:r>
        <w:rPr>
          <w:w w:val="115"/>
        </w:rPr>
        <w:t>rodear</w:t>
      </w:r>
      <w:r>
        <w:rPr>
          <w:spacing w:val="-12"/>
          <w:w w:val="115"/>
        </w:rPr>
        <w:t> </w:t>
      </w:r>
      <w:r>
        <w:rPr>
          <w:w w:val="115"/>
        </w:rPr>
        <w:t>a</w:t>
      </w:r>
      <w:r>
        <w:rPr>
          <w:spacing w:val="-12"/>
          <w:w w:val="115"/>
        </w:rPr>
        <w:t> </w:t>
      </w:r>
      <w:r>
        <w:rPr>
          <w:w w:val="115"/>
        </w:rPr>
        <w:t>China</w:t>
      </w:r>
      <w:r>
        <w:rPr>
          <w:spacing w:val="-12"/>
          <w:w w:val="115"/>
        </w:rPr>
        <w:t> </w:t>
      </w:r>
      <w:r>
        <w:rPr>
          <w:w w:val="115"/>
        </w:rPr>
        <w:t>con</w:t>
      </w:r>
      <w:r>
        <w:rPr>
          <w:spacing w:val="-12"/>
          <w:w w:val="115"/>
        </w:rPr>
        <w:t> </w:t>
      </w:r>
      <w:r>
        <w:rPr>
          <w:w w:val="115"/>
        </w:rPr>
        <w:t>una</w:t>
      </w:r>
      <w:r>
        <w:rPr>
          <w:spacing w:val="-12"/>
          <w:w w:val="115"/>
        </w:rPr>
        <w:t> </w:t>
      </w:r>
      <w:r>
        <w:rPr>
          <w:w w:val="115"/>
        </w:rPr>
        <w:t>periferia</w:t>
      </w:r>
      <w:r>
        <w:rPr>
          <w:spacing w:val="-12"/>
          <w:w w:val="115"/>
        </w:rPr>
        <w:t> </w:t>
      </w:r>
      <w:r>
        <w:rPr>
          <w:w w:val="115"/>
        </w:rPr>
        <w:t>ame- nazadora.</w:t>
      </w:r>
      <w:r>
        <w:rPr>
          <w:spacing w:val="-5"/>
          <w:w w:val="115"/>
        </w:rPr>
        <w:t> </w:t>
      </w:r>
      <w:r>
        <w:rPr>
          <w:w w:val="115"/>
        </w:rPr>
        <w:t>El</w:t>
      </w:r>
      <w:r>
        <w:rPr>
          <w:spacing w:val="-5"/>
          <w:w w:val="115"/>
        </w:rPr>
        <w:t> </w:t>
      </w:r>
      <w:r>
        <w:rPr>
          <w:w w:val="115"/>
        </w:rPr>
        <w:t>Pacto</w:t>
      </w:r>
      <w:r>
        <w:rPr>
          <w:spacing w:val="-5"/>
          <w:w w:val="115"/>
        </w:rPr>
        <w:t> </w:t>
      </w:r>
      <w:r>
        <w:rPr>
          <w:w w:val="115"/>
        </w:rPr>
        <w:t>transpacífico</w:t>
      </w:r>
      <w:r>
        <w:rPr>
          <w:spacing w:val="-5"/>
          <w:w w:val="115"/>
        </w:rPr>
        <w:t> </w:t>
      </w:r>
      <w:r>
        <w:rPr>
          <w:w w:val="115"/>
        </w:rPr>
        <w:t>(con</w:t>
      </w:r>
      <w:r>
        <w:rPr>
          <w:spacing w:val="-5"/>
          <w:w w:val="115"/>
        </w:rPr>
        <w:t> </w:t>
      </w:r>
      <w:r>
        <w:rPr>
          <w:w w:val="115"/>
        </w:rPr>
        <w:t>su</w:t>
      </w:r>
      <w:r>
        <w:rPr>
          <w:spacing w:val="-5"/>
          <w:w w:val="115"/>
        </w:rPr>
        <w:t> </w:t>
      </w:r>
      <w:r>
        <w:rPr>
          <w:w w:val="115"/>
        </w:rPr>
        <w:t>modelo</w:t>
      </w:r>
      <w:r>
        <w:rPr>
          <w:spacing w:val="-5"/>
          <w:w w:val="115"/>
        </w:rPr>
        <w:t> </w:t>
      </w:r>
      <w:r>
        <w:rPr>
          <w:w w:val="115"/>
        </w:rPr>
        <w:t>de</w:t>
      </w:r>
      <w:r>
        <w:rPr>
          <w:spacing w:val="-5"/>
          <w:w w:val="115"/>
        </w:rPr>
        <w:t> </w:t>
      </w:r>
      <w:r>
        <w:rPr>
          <w:w w:val="115"/>
        </w:rPr>
        <w:t>alianza</w:t>
      </w:r>
      <w:r>
        <w:rPr>
          <w:spacing w:val="-5"/>
          <w:w w:val="115"/>
        </w:rPr>
        <w:t> </w:t>
      </w:r>
      <w:r>
        <w:rPr>
          <w:w w:val="115"/>
        </w:rPr>
        <w:t>del</w:t>
      </w:r>
      <w:r>
        <w:rPr>
          <w:spacing w:val="-5"/>
          <w:w w:val="115"/>
        </w:rPr>
        <w:t> </w:t>
      </w:r>
      <w:r>
        <w:rPr>
          <w:w w:val="115"/>
        </w:rPr>
        <w:t>Pací- fico</w:t>
      </w:r>
      <w:r>
        <w:rPr>
          <w:spacing w:val="-11"/>
          <w:w w:val="115"/>
        </w:rPr>
        <w:t> </w:t>
      </w:r>
      <w:r>
        <w:rPr>
          <w:w w:val="115"/>
        </w:rPr>
        <w:t>latinoamericano)</w:t>
      </w:r>
      <w:r>
        <w:rPr>
          <w:spacing w:val="-11"/>
          <w:w w:val="115"/>
        </w:rPr>
        <w:t> </w:t>
      </w:r>
      <w:r>
        <w:rPr>
          <w:w w:val="115"/>
        </w:rPr>
        <w:t>pretende</w:t>
      </w:r>
      <w:r>
        <w:rPr>
          <w:spacing w:val="-11"/>
          <w:w w:val="115"/>
        </w:rPr>
        <w:t> </w:t>
      </w:r>
      <w:r>
        <w:rPr>
          <w:w w:val="115"/>
        </w:rPr>
        <w:t>crear</w:t>
      </w:r>
      <w:r>
        <w:rPr>
          <w:spacing w:val="-11"/>
          <w:w w:val="115"/>
        </w:rPr>
        <w:t> </w:t>
      </w:r>
      <w:r>
        <w:rPr>
          <w:w w:val="115"/>
        </w:rPr>
        <w:t>un</w:t>
      </w:r>
      <w:r>
        <w:rPr>
          <w:spacing w:val="-11"/>
          <w:w w:val="115"/>
        </w:rPr>
        <w:t> </w:t>
      </w:r>
      <w:r>
        <w:rPr>
          <w:w w:val="115"/>
        </w:rPr>
        <w:t>cerco</w:t>
      </w:r>
      <w:r>
        <w:rPr>
          <w:spacing w:val="-11"/>
          <w:w w:val="115"/>
        </w:rPr>
        <w:t> </w:t>
      </w:r>
      <w:r>
        <w:rPr>
          <w:w w:val="115"/>
        </w:rPr>
        <w:t>económico</w:t>
      </w:r>
      <w:r>
        <w:rPr>
          <w:spacing w:val="-11"/>
          <w:w w:val="115"/>
        </w:rPr>
        <w:t> </w:t>
      </w:r>
      <w:r>
        <w:rPr>
          <w:w w:val="115"/>
        </w:rPr>
        <w:t>en</w:t>
      </w:r>
      <w:r>
        <w:rPr>
          <w:spacing w:val="-11"/>
          <w:w w:val="115"/>
        </w:rPr>
        <w:t> </w:t>
      </w:r>
      <w:r>
        <w:rPr>
          <w:w w:val="115"/>
        </w:rPr>
        <w:t>torno</w:t>
      </w:r>
      <w:r>
        <w:rPr>
          <w:spacing w:val="-11"/>
          <w:w w:val="115"/>
        </w:rPr>
        <w:t> </w:t>
      </w:r>
      <w:r>
        <w:rPr>
          <w:w w:val="115"/>
        </w:rPr>
        <w:t>a </w:t>
      </w:r>
      <w:r>
        <w:rPr>
          <w:w w:val="117"/>
        </w:rPr>
        <w:t>China.</w:t>
      </w:r>
      <w:r>
        <w:rPr>
          <w:spacing w:val="18"/>
        </w:rPr>
        <w:t> </w:t>
      </w:r>
      <w:r>
        <w:rPr>
          <w:w w:val="243"/>
        </w:rPr>
        <w:t>l</w:t>
      </w:r>
      <w:r>
        <w:rPr>
          <w:w w:val="112"/>
        </w:rPr>
        <w:t>a</w:t>
      </w:r>
      <w:r>
        <w:rPr>
          <w:spacing w:val="18"/>
        </w:rPr>
        <w:t> </w:t>
      </w:r>
      <w:r>
        <w:rPr>
          <w:w w:val="111"/>
        </w:rPr>
        <w:t>amenaza</w:t>
      </w:r>
      <w:r>
        <w:rPr>
          <w:spacing w:val="18"/>
        </w:rPr>
        <w:t> </w:t>
      </w:r>
      <w:r>
        <w:rPr>
          <w:w w:val="111"/>
        </w:rPr>
        <w:t>más</w:t>
      </w:r>
      <w:r>
        <w:rPr>
          <w:spacing w:val="18"/>
        </w:rPr>
        <w:t> </w:t>
      </w:r>
      <w:r>
        <w:rPr>
          <w:w w:val="109"/>
        </w:rPr>
        <w:t>importante</w:t>
      </w:r>
      <w:r>
        <w:rPr>
          <w:spacing w:val="18"/>
        </w:rPr>
        <w:t> </w:t>
      </w:r>
      <w:r>
        <w:rPr>
          <w:w w:val="110"/>
        </w:rPr>
        <w:t>percibida</w:t>
      </w:r>
      <w:r>
        <w:rPr>
          <w:spacing w:val="18"/>
        </w:rPr>
        <w:t> </w:t>
      </w:r>
      <w:r>
        <w:rPr>
          <w:w w:val="108"/>
        </w:rPr>
        <w:t>por</w:t>
      </w:r>
      <w:r>
        <w:rPr>
          <w:spacing w:val="18"/>
        </w:rPr>
        <w:t> </w:t>
      </w:r>
      <w:r>
        <w:rPr>
          <w:w w:val="111"/>
        </w:rPr>
        <w:t>Estados</w:t>
      </w:r>
      <w:r>
        <w:rPr>
          <w:spacing w:val="18"/>
        </w:rPr>
        <w:t> </w:t>
      </w:r>
      <w:r>
        <w:rPr>
          <w:w w:val="140"/>
        </w:rPr>
        <w:t>u</w:t>
      </w:r>
      <w:r>
        <w:rPr>
          <w:w w:val="110"/>
        </w:rPr>
        <w:t>nidos</w:t>
      </w:r>
      <w:r>
        <w:rPr>
          <w:spacing w:val="18"/>
        </w:rPr>
        <w:t> </w:t>
      </w:r>
      <w:r>
        <w:rPr>
          <w:w w:val="105"/>
        </w:rPr>
        <w:t>es </w:t>
      </w:r>
      <w:r>
        <w:rPr>
          <w:w w:val="115"/>
        </w:rPr>
        <w:t>de una alianza entre China y la Federación rusa. Es en torno a este eje</w:t>
      </w:r>
      <w:r>
        <w:rPr>
          <w:spacing w:val="-23"/>
          <w:w w:val="115"/>
        </w:rPr>
        <w:t> </w:t>
      </w:r>
      <w:r>
        <w:rPr>
          <w:w w:val="115"/>
        </w:rPr>
        <w:t>que</w:t>
      </w:r>
      <w:r>
        <w:rPr>
          <w:spacing w:val="-23"/>
          <w:w w:val="115"/>
        </w:rPr>
        <w:t> </w:t>
      </w:r>
      <w:r>
        <w:rPr>
          <w:w w:val="115"/>
        </w:rPr>
        <w:t>podrían</w:t>
      </w:r>
      <w:r>
        <w:rPr>
          <w:spacing w:val="-23"/>
          <w:w w:val="115"/>
        </w:rPr>
        <w:t> </w:t>
      </w:r>
      <w:r>
        <w:rPr>
          <w:w w:val="115"/>
        </w:rPr>
        <w:t>sumarse</w:t>
      </w:r>
      <w:r>
        <w:rPr>
          <w:spacing w:val="-23"/>
          <w:w w:val="115"/>
        </w:rPr>
        <w:t> </w:t>
      </w:r>
      <w:r>
        <w:rPr>
          <w:w w:val="115"/>
        </w:rPr>
        <w:t>otros</w:t>
      </w:r>
      <w:r>
        <w:rPr>
          <w:spacing w:val="-23"/>
          <w:w w:val="115"/>
        </w:rPr>
        <w:t> </w:t>
      </w:r>
      <w:r>
        <w:rPr>
          <w:w w:val="115"/>
        </w:rPr>
        <w:t>países</w:t>
      </w:r>
      <w:r>
        <w:rPr>
          <w:spacing w:val="-23"/>
          <w:w w:val="115"/>
        </w:rPr>
        <w:t> </w:t>
      </w:r>
      <w:r>
        <w:rPr>
          <w:w w:val="115"/>
        </w:rPr>
        <w:t>como</w:t>
      </w:r>
      <w:r>
        <w:rPr>
          <w:spacing w:val="-23"/>
          <w:w w:val="115"/>
        </w:rPr>
        <w:t> </w:t>
      </w:r>
      <w:r>
        <w:rPr>
          <w:w w:val="115"/>
        </w:rPr>
        <w:t>los</w:t>
      </w:r>
      <w:r>
        <w:rPr>
          <w:spacing w:val="-23"/>
          <w:w w:val="115"/>
        </w:rPr>
        <w:t> </w:t>
      </w:r>
      <w:r>
        <w:rPr>
          <w:w w:val="150"/>
        </w:rPr>
        <w:t>briCs,</w:t>
      </w:r>
      <w:r>
        <w:rPr>
          <w:spacing w:val="-38"/>
          <w:w w:val="150"/>
        </w:rPr>
        <w:t> </w:t>
      </w:r>
      <w:r>
        <w:rPr>
          <w:w w:val="115"/>
        </w:rPr>
        <w:t>África</w:t>
      </w:r>
      <w:r>
        <w:rPr>
          <w:spacing w:val="-23"/>
          <w:w w:val="115"/>
        </w:rPr>
        <w:t> </w:t>
      </w:r>
      <w:r>
        <w:rPr>
          <w:w w:val="115"/>
        </w:rPr>
        <w:t>y</w:t>
      </w:r>
      <w:r>
        <w:rPr>
          <w:spacing w:val="-23"/>
          <w:w w:val="115"/>
        </w:rPr>
        <w:t> </w:t>
      </w:r>
      <w:r>
        <w:rPr>
          <w:w w:val="115"/>
        </w:rPr>
        <w:t>partes </w:t>
      </w:r>
      <w:r>
        <w:rPr>
          <w:w w:val="107"/>
        </w:rPr>
        <w:t>de</w:t>
      </w:r>
      <w:r>
        <w:rPr/>
        <w:t> </w:t>
      </w:r>
      <w:r>
        <w:rPr>
          <w:spacing w:val="-12"/>
        </w:rPr>
        <w:t> </w:t>
      </w:r>
      <w:r>
        <w:rPr>
          <w:w w:val="139"/>
        </w:rPr>
        <w:t>a</w:t>
      </w:r>
      <w:r>
        <w:rPr>
          <w:w w:val="111"/>
        </w:rPr>
        <w:t>mérica</w:t>
      </w:r>
      <w:r>
        <w:rPr/>
        <w:t> </w:t>
      </w:r>
      <w:r>
        <w:rPr>
          <w:spacing w:val="-12"/>
        </w:rPr>
        <w:t> </w:t>
      </w:r>
      <w:r>
        <w:rPr>
          <w:w w:val="243"/>
        </w:rPr>
        <w:t>l</w:t>
      </w:r>
      <w:r>
        <w:rPr>
          <w:w w:val="113"/>
        </w:rPr>
        <w:t>atina.</w:t>
      </w:r>
      <w:r>
        <w:rPr/>
        <w:t> </w:t>
      </w:r>
      <w:r>
        <w:rPr>
          <w:spacing w:val="-12"/>
        </w:rPr>
        <w:t> </w:t>
      </w:r>
      <w:r>
        <w:rPr>
          <w:w w:val="120"/>
        </w:rPr>
        <w:t>En</w:t>
      </w:r>
      <w:r>
        <w:rPr/>
        <w:t> </w:t>
      </w:r>
      <w:r>
        <w:rPr>
          <w:spacing w:val="-12"/>
        </w:rPr>
        <w:t> </w:t>
      </w:r>
      <w:r>
        <w:rPr>
          <w:w w:val="108"/>
        </w:rPr>
        <w:t>los</w:t>
      </w:r>
      <w:r>
        <w:rPr/>
        <w:t> </w:t>
      </w:r>
      <w:r>
        <w:rPr>
          <w:spacing w:val="-12"/>
        </w:rPr>
        <w:t> </w:t>
      </w:r>
      <w:r>
        <w:rPr>
          <w:w w:val="111"/>
        </w:rPr>
        <w:t>círculos</w:t>
      </w:r>
      <w:r>
        <w:rPr/>
        <w:t> </w:t>
      </w:r>
      <w:r>
        <w:rPr>
          <w:spacing w:val="-12"/>
        </w:rPr>
        <w:t> </w:t>
      </w:r>
      <w:r>
        <w:rPr>
          <w:w w:val="107"/>
        </w:rPr>
        <w:t>de</w:t>
      </w:r>
      <w:r>
        <w:rPr/>
        <w:t> </w:t>
      </w:r>
      <w:r>
        <w:rPr>
          <w:spacing w:val="-12"/>
        </w:rPr>
        <w:t> </w:t>
      </w:r>
      <w:r>
        <w:rPr>
          <w:w w:val="108"/>
        </w:rPr>
        <w:t>gobernantes</w:t>
      </w:r>
      <w:r>
        <w:rPr/>
        <w:t> </w:t>
      </w:r>
      <w:r>
        <w:rPr>
          <w:spacing w:val="-12"/>
        </w:rPr>
        <w:t> </w:t>
      </w:r>
      <w:r>
        <w:rPr>
          <w:w w:val="109"/>
        </w:rPr>
        <w:t>norteamericanos </w:t>
      </w:r>
      <w:r>
        <w:rPr>
          <w:w w:val="115"/>
        </w:rPr>
        <w:t>aún</w:t>
      </w:r>
      <w:r>
        <w:rPr>
          <w:spacing w:val="-18"/>
          <w:w w:val="115"/>
        </w:rPr>
        <w:t> </w:t>
      </w:r>
      <w:r>
        <w:rPr>
          <w:w w:val="115"/>
        </w:rPr>
        <w:t>no</w:t>
      </w:r>
      <w:r>
        <w:rPr>
          <w:spacing w:val="-18"/>
          <w:w w:val="115"/>
        </w:rPr>
        <w:t> </w:t>
      </w:r>
      <w:r>
        <w:rPr>
          <w:w w:val="115"/>
        </w:rPr>
        <w:t>se</w:t>
      </w:r>
      <w:r>
        <w:rPr>
          <w:spacing w:val="-18"/>
          <w:w w:val="115"/>
        </w:rPr>
        <w:t> </w:t>
      </w:r>
      <w:r>
        <w:rPr>
          <w:w w:val="115"/>
        </w:rPr>
        <w:t>han</w:t>
      </w:r>
      <w:r>
        <w:rPr>
          <w:spacing w:val="-18"/>
          <w:w w:val="115"/>
        </w:rPr>
        <w:t> </w:t>
      </w:r>
      <w:r>
        <w:rPr>
          <w:w w:val="115"/>
        </w:rPr>
        <w:t>dado</w:t>
      </w:r>
      <w:r>
        <w:rPr>
          <w:spacing w:val="-18"/>
          <w:w w:val="115"/>
        </w:rPr>
        <w:t> </w:t>
      </w:r>
      <w:r>
        <w:rPr>
          <w:w w:val="115"/>
        </w:rPr>
        <w:t>a</w:t>
      </w:r>
      <w:r>
        <w:rPr>
          <w:spacing w:val="-18"/>
          <w:w w:val="115"/>
        </w:rPr>
        <w:t> </w:t>
      </w:r>
      <w:r>
        <w:rPr>
          <w:w w:val="115"/>
        </w:rPr>
        <w:t>conocer</w:t>
      </w:r>
      <w:r>
        <w:rPr>
          <w:spacing w:val="-18"/>
          <w:w w:val="115"/>
        </w:rPr>
        <w:t> </w:t>
      </w:r>
      <w:r>
        <w:rPr>
          <w:w w:val="115"/>
        </w:rPr>
        <w:t>los</w:t>
      </w:r>
      <w:r>
        <w:rPr>
          <w:spacing w:val="-18"/>
          <w:w w:val="115"/>
        </w:rPr>
        <w:t> </w:t>
      </w:r>
      <w:r>
        <w:rPr>
          <w:w w:val="115"/>
        </w:rPr>
        <w:t>estudios</w:t>
      </w:r>
      <w:r>
        <w:rPr>
          <w:spacing w:val="-18"/>
          <w:w w:val="115"/>
        </w:rPr>
        <w:t> </w:t>
      </w:r>
      <w:r>
        <w:rPr>
          <w:w w:val="115"/>
        </w:rPr>
        <w:t>sobre</w:t>
      </w:r>
      <w:r>
        <w:rPr>
          <w:spacing w:val="-18"/>
          <w:w w:val="115"/>
        </w:rPr>
        <w:t> </w:t>
      </w:r>
      <w:r>
        <w:rPr>
          <w:w w:val="115"/>
        </w:rPr>
        <w:t>un</w:t>
      </w:r>
      <w:r>
        <w:rPr>
          <w:spacing w:val="-18"/>
          <w:w w:val="115"/>
        </w:rPr>
        <w:t> </w:t>
      </w:r>
      <w:r>
        <w:rPr>
          <w:w w:val="115"/>
        </w:rPr>
        <w:t>posible</w:t>
      </w:r>
      <w:r>
        <w:rPr>
          <w:spacing w:val="-18"/>
          <w:w w:val="115"/>
        </w:rPr>
        <w:t> </w:t>
      </w:r>
      <w:r>
        <w:rPr>
          <w:w w:val="115"/>
        </w:rPr>
        <w:t>eje</w:t>
      </w:r>
      <w:r>
        <w:rPr>
          <w:spacing w:val="-18"/>
          <w:w w:val="115"/>
        </w:rPr>
        <w:t> </w:t>
      </w:r>
      <w:r>
        <w:rPr>
          <w:w w:val="115"/>
        </w:rPr>
        <w:t>China- alemania, que incluiría el resto de Europa y</w:t>
      </w:r>
      <w:r>
        <w:rPr>
          <w:spacing w:val="-11"/>
          <w:w w:val="115"/>
        </w:rPr>
        <w:t> </w:t>
      </w:r>
      <w:r>
        <w:rPr>
          <w:w w:val="115"/>
        </w:rPr>
        <w:t>rusia.</w:t>
      </w:r>
    </w:p>
    <w:p>
      <w:pPr>
        <w:pStyle w:val="BodyText"/>
        <w:spacing w:line="252" w:lineRule="auto"/>
        <w:ind w:left="100" w:right="328" w:firstLine="396"/>
        <w:jc w:val="both"/>
      </w:pPr>
      <w:r>
        <w:rPr>
          <w:w w:val="115"/>
        </w:rPr>
        <w:t>según Pozzi y Nigra (2013), “el mundo capitalista unipolar</w:t>
      </w:r>
      <w:r>
        <w:rPr>
          <w:spacing w:val="-19"/>
          <w:w w:val="115"/>
        </w:rPr>
        <w:t> </w:t>
      </w:r>
      <w:r>
        <w:rPr>
          <w:spacing w:val="-4"/>
          <w:w w:val="115"/>
        </w:rPr>
        <w:t>nor- </w:t>
      </w:r>
      <w:r>
        <w:rPr>
          <w:w w:val="115"/>
        </w:rPr>
        <w:t>teamericano está cediendo ante un mundo multipolar, en el cual EE.uu.</w:t>
      </w:r>
      <w:r>
        <w:rPr>
          <w:spacing w:val="-18"/>
          <w:w w:val="115"/>
        </w:rPr>
        <w:t> </w:t>
      </w:r>
      <w:r>
        <w:rPr>
          <w:w w:val="115"/>
        </w:rPr>
        <w:t>continuará</w:t>
      </w:r>
      <w:r>
        <w:rPr>
          <w:spacing w:val="-18"/>
          <w:w w:val="115"/>
        </w:rPr>
        <w:t> </w:t>
      </w:r>
      <w:r>
        <w:rPr>
          <w:w w:val="115"/>
        </w:rPr>
        <w:t>ejerciendo</w:t>
      </w:r>
      <w:r>
        <w:rPr>
          <w:spacing w:val="-18"/>
          <w:w w:val="115"/>
        </w:rPr>
        <w:t> </w:t>
      </w:r>
      <w:r>
        <w:rPr>
          <w:w w:val="115"/>
        </w:rPr>
        <w:t>un</w:t>
      </w:r>
      <w:r>
        <w:rPr>
          <w:spacing w:val="-18"/>
          <w:w w:val="115"/>
        </w:rPr>
        <w:t> </w:t>
      </w:r>
      <w:r>
        <w:rPr>
          <w:w w:val="115"/>
        </w:rPr>
        <w:t>papel</w:t>
      </w:r>
      <w:r>
        <w:rPr>
          <w:spacing w:val="-18"/>
          <w:w w:val="115"/>
        </w:rPr>
        <w:t> </w:t>
      </w:r>
      <w:r>
        <w:rPr>
          <w:w w:val="115"/>
        </w:rPr>
        <w:t>fundamental,</w:t>
      </w:r>
      <w:r>
        <w:rPr>
          <w:spacing w:val="-18"/>
          <w:w w:val="115"/>
        </w:rPr>
        <w:t> </w:t>
      </w:r>
      <w:r>
        <w:rPr>
          <w:w w:val="115"/>
        </w:rPr>
        <w:t>sino</w:t>
      </w:r>
      <w:r>
        <w:rPr>
          <w:spacing w:val="-18"/>
          <w:w w:val="115"/>
        </w:rPr>
        <w:t> </w:t>
      </w:r>
      <w:r>
        <w:rPr>
          <w:w w:val="115"/>
        </w:rPr>
        <w:t>dominante.</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5"/>
        </w:rPr>
        <w:t>En este sentido más que hablar de una declinación de la</w:t>
      </w:r>
      <w:r>
        <w:rPr>
          <w:spacing w:val="-16"/>
          <w:w w:val="115"/>
        </w:rPr>
        <w:t> </w:t>
      </w:r>
      <w:r>
        <w:rPr>
          <w:w w:val="115"/>
        </w:rPr>
        <w:t>hegemonía de EE.uu. habría que hablar de una modificación y transformación en la</w:t>
      </w:r>
      <w:r>
        <w:rPr>
          <w:spacing w:val="-11"/>
          <w:w w:val="115"/>
        </w:rPr>
        <w:t> </w:t>
      </w:r>
      <w:r>
        <w:rPr>
          <w:w w:val="115"/>
        </w:rPr>
        <w:t>misma”.</w:t>
      </w:r>
    </w:p>
    <w:p>
      <w:pPr>
        <w:pStyle w:val="BodyText"/>
        <w:spacing w:line="252" w:lineRule="auto"/>
        <w:ind w:left="330" w:right="117" w:firstLine="396"/>
        <w:jc w:val="both"/>
      </w:pPr>
      <w:r>
        <w:rPr>
          <w:w w:val="110"/>
        </w:rPr>
        <w:t>En realidad, no hay un horizonte multipolar entre diversas po- tencias o centros de gravitación “cultural”. El mundo tiende hacia a    la bipolarización entre Estados unidos y China. El problema radica    en qué dirección se inclina rusia </w:t>
      </w:r>
      <w:r>
        <w:rPr>
          <w:spacing w:val="-11"/>
          <w:w w:val="110"/>
        </w:rPr>
        <w:t>y, </w:t>
      </w:r>
      <w:r>
        <w:rPr>
          <w:w w:val="110"/>
        </w:rPr>
        <w:t>aún más importante, cuál será el comportamiento de Europa y su capital industrial que es  </w:t>
      </w:r>
      <w:r>
        <w:rPr>
          <w:spacing w:val="45"/>
          <w:w w:val="110"/>
        </w:rPr>
        <w:t> </w:t>
      </w:r>
      <w:r>
        <w:rPr>
          <w:w w:val="110"/>
        </w:rPr>
        <w:t>alemania.</w:t>
      </w:r>
    </w:p>
    <w:p>
      <w:pPr>
        <w:pStyle w:val="BodyText"/>
        <w:spacing w:before="5"/>
      </w:pPr>
    </w:p>
    <w:p>
      <w:pPr>
        <w:pStyle w:val="Heading6"/>
        <w:ind w:left="331"/>
      </w:pPr>
      <w:r>
        <w:rPr>
          <w:w w:val="145"/>
        </w:rPr>
        <w:t>la ruta de la seda</w:t>
      </w:r>
    </w:p>
    <w:p>
      <w:pPr>
        <w:pStyle w:val="BodyText"/>
        <w:spacing w:line="252" w:lineRule="auto" w:before="10"/>
        <w:ind w:left="330" w:right="117"/>
        <w:jc w:val="both"/>
      </w:pPr>
      <w:r>
        <w:rPr>
          <w:w w:val="110"/>
        </w:rPr>
        <w:t>Pekín está construyendo un nuevo eje que pretende convertir en su aliado estratégico a berlín, capital industrial europea, e incluiría al resto de Europa. El factor más importante que impedía a este eje en convertirse en realidad era rusia. Este país relativamente subdesarro- llado, como potencia capitalista, tiene enormes reservas que son de importancia estratégica tanto para China como para    alemania.</w:t>
      </w:r>
    </w:p>
    <w:p>
      <w:pPr>
        <w:pStyle w:val="BodyText"/>
        <w:spacing w:line="252" w:lineRule="auto"/>
        <w:ind w:left="330" w:right="117" w:firstLine="396"/>
        <w:jc w:val="both"/>
      </w:pPr>
      <w:r>
        <w:rPr>
          <w:w w:val="110"/>
        </w:rPr>
        <w:t>Estados unidos ha desbloqueado la realización del eje Pekín-ber- lín, pasando por Moscú, con su política de contención de China que pretende someter a rusia a un estado satélite de la </w:t>
      </w:r>
      <w:r>
        <w:rPr>
          <w:spacing w:val="-4"/>
          <w:w w:val="150"/>
        </w:rPr>
        <w:t>otaN </w:t>
      </w:r>
      <w:r>
        <w:rPr>
          <w:w w:val="110"/>
        </w:rPr>
        <w:t>o dividirlo en varios países que competirían con los “stan” asiáticos y bielorru- sia. Entre los planes estratégicos chinos se encuentra la llamada ruta de la seda. Es la culminación de la estratégica relación entre oriente    y occidente soñado por los imperios mediterráneos hace uno y dos milenios. Proyecto que entonces fue rechazado por Pekín, ahora toca  a los actuales ocupantes de la Ciudad Prohibida presentar la versión </w:t>
      </w:r>
      <w:r>
        <w:rPr>
          <w:w w:val="111"/>
        </w:rPr>
        <w:t>moderna.</w:t>
      </w:r>
      <w:r>
        <w:rPr/>
        <w:t> </w:t>
      </w:r>
      <w:r>
        <w:rPr>
          <w:spacing w:val="-15"/>
        </w:rPr>
        <w:t> </w:t>
      </w:r>
      <w:r>
        <w:rPr>
          <w:w w:val="243"/>
        </w:rPr>
        <w:t>l</w:t>
      </w:r>
      <w:r>
        <w:rPr>
          <w:w w:val="112"/>
        </w:rPr>
        <w:t>a</w:t>
      </w:r>
      <w:r>
        <w:rPr/>
        <w:t> </w:t>
      </w:r>
      <w:r>
        <w:rPr>
          <w:spacing w:val="-15"/>
        </w:rPr>
        <w:t> </w:t>
      </w:r>
      <w:r>
        <w:rPr>
          <w:w w:val="112"/>
        </w:rPr>
        <w:t>ruta,</w:t>
      </w:r>
      <w:r>
        <w:rPr/>
        <w:t> </w:t>
      </w:r>
      <w:r>
        <w:rPr>
          <w:spacing w:val="-15"/>
        </w:rPr>
        <w:t> </w:t>
      </w:r>
      <w:r>
        <w:rPr>
          <w:w w:val="108"/>
        </w:rPr>
        <w:t>en</w:t>
      </w:r>
      <w:r>
        <w:rPr/>
        <w:t> </w:t>
      </w:r>
      <w:r>
        <w:rPr>
          <w:spacing w:val="-15"/>
        </w:rPr>
        <w:t> </w:t>
      </w:r>
      <w:r>
        <w:rPr>
          <w:w w:val="108"/>
        </w:rPr>
        <w:t>sus</w:t>
      </w:r>
      <w:r>
        <w:rPr/>
        <w:t> </w:t>
      </w:r>
      <w:r>
        <w:rPr>
          <w:spacing w:val="-15"/>
        </w:rPr>
        <w:t> </w:t>
      </w:r>
      <w:r>
        <w:rPr>
          <w:w w:val="110"/>
        </w:rPr>
        <w:t>cuatro</w:t>
      </w:r>
      <w:r>
        <w:rPr/>
        <w:t> </w:t>
      </w:r>
      <w:r>
        <w:rPr>
          <w:spacing w:val="-15"/>
        </w:rPr>
        <w:t> </w:t>
      </w:r>
      <w:r>
        <w:rPr>
          <w:w w:val="109"/>
        </w:rPr>
        <w:t>variantes,</w:t>
      </w:r>
      <w:r>
        <w:rPr/>
        <w:t> </w:t>
      </w:r>
      <w:r>
        <w:rPr>
          <w:spacing w:val="-15"/>
        </w:rPr>
        <w:t> </w:t>
      </w:r>
      <w:r>
        <w:rPr>
          <w:w w:val="110"/>
        </w:rPr>
        <w:t>pasaría</w:t>
      </w:r>
      <w:r>
        <w:rPr/>
        <w:t> </w:t>
      </w:r>
      <w:r>
        <w:rPr>
          <w:spacing w:val="-15"/>
        </w:rPr>
        <w:t> </w:t>
      </w:r>
      <w:r>
        <w:rPr>
          <w:w w:val="108"/>
        </w:rPr>
        <w:t>por</w:t>
      </w:r>
      <w:r>
        <w:rPr/>
        <w:t> </w:t>
      </w:r>
      <w:r>
        <w:rPr>
          <w:spacing w:val="-15"/>
        </w:rPr>
        <w:t> </w:t>
      </w:r>
      <w:r>
        <w:rPr>
          <w:w w:val="139"/>
        </w:rPr>
        <w:t>a</w:t>
      </w:r>
      <w:r>
        <w:rPr>
          <w:w w:val="110"/>
        </w:rPr>
        <w:t>sia</w:t>
      </w:r>
      <w:r>
        <w:rPr/>
        <w:t> </w:t>
      </w:r>
      <w:r>
        <w:rPr>
          <w:spacing w:val="-15"/>
        </w:rPr>
        <w:t> </w:t>
      </w:r>
      <w:r>
        <w:rPr>
          <w:w w:val="113"/>
        </w:rPr>
        <w:t>Central, </w:t>
      </w:r>
      <w:r>
        <w:rPr>
          <w:w w:val="110"/>
        </w:rPr>
        <w:t>por india y Medio oriente, por el océano Índico y África, uniendo a China  con</w:t>
      </w:r>
      <w:r>
        <w:rPr>
          <w:spacing w:val="33"/>
          <w:w w:val="110"/>
        </w:rPr>
        <w:t> </w:t>
      </w:r>
      <w:r>
        <w:rPr>
          <w:w w:val="110"/>
        </w:rPr>
        <w:t>Europa.</w:t>
      </w:r>
    </w:p>
    <w:p>
      <w:pPr>
        <w:pStyle w:val="BodyText"/>
        <w:spacing w:line="252" w:lineRule="auto"/>
        <w:ind w:left="330" w:right="117" w:firstLine="396"/>
        <w:jc w:val="both"/>
      </w:pPr>
      <w:r>
        <w:rPr>
          <w:w w:val="110"/>
        </w:rPr>
        <w:t>según Jacques </w:t>
      </w:r>
      <w:r>
        <w:rPr>
          <w:spacing w:val="-4"/>
          <w:w w:val="110"/>
        </w:rPr>
        <w:t>sapir, </w:t>
      </w:r>
      <w:r>
        <w:rPr>
          <w:w w:val="110"/>
        </w:rPr>
        <w:t>analista francés, Moscú  se  autopercibe  como</w:t>
      </w:r>
      <w:r>
        <w:rPr>
          <w:spacing w:val="32"/>
          <w:w w:val="110"/>
        </w:rPr>
        <w:t> </w:t>
      </w:r>
      <w:r>
        <w:rPr>
          <w:w w:val="110"/>
        </w:rPr>
        <w:t>un</w:t>
      </w:r>
      <w:r>
        <w:rPr>
          <w:spacing w:val="32"/>
          <w:w w:val="110"/>
        </w:rPr>
        <w:t> </w:t>
      </w:r>
      <w:r>
        <w:rPr>
          <w:w w:val="110"/>
        </w:rPr>
        <w:t>puente</w:t>
      </w:r>
      <w:r>
        <w:rPr>
          <w:spacing w:val="32"/>
          <w:w w:val="110"/>
        </w:rPr>
        <w:t> </w:t>
      </w:r>
      <w:r>
        <w:rPr>
          <w:w w:val="110"/>
        </w:rPr>
        <w:t>natural</w:t>
      </w:r>
      <w:r>
        <w:rPr>
          <w:spacing w:val="32"/>
          <w:w w:val="110"/>
        </w:rPr>
        <w:t> </w:t>
      </w:r>
      <w:r>
        <w:rPr>
          <w:w w:val="110"/>
        </w:rPr>
        <w:t>entre</w:t>
      </w:r>
      <w:r>
        <w:rPr>
          <w:spacing w:val="32"/>
          <w:w w:val="110"/>
        </w:rPr>
        <w:t> </w:t>
      </w:r>
      <w:r>
        <w:rPr>
          <w:w w:val="110"/>
        </w:rPr>
        <w:t>“Europa</w:t>
      </w:r>
      <w:r>
        <w:rPr>
          <w:spacing w:val="32"/>
          <w:w w:val="110"/>
        </w:rPr>
        <w:t> </w:t>
      </w:r>
      <w:r>
        <w:rPr>
          <w:w w:val="110"/>
        </w:rPr>
        <w:t>occidental</w:t>
      </w:r>
      <w:r>
        <w:rPr>
          <w:spacing w:val="32"/>
          <w:w w:val="110"/>
        </w:rPr>
        <w:t> </w:t>
      </w:r>
      <w:r>
        <w:rPr>
          <w:w w:val="110"/>
        </w:rPr>
        <w:t>y</w:t>
      </w:r>
      <w:r>
        <w:rPr>
          <w:spacing w:val="32"/>
          <w:w w:val="110"/>
        </w:rPr>
        <w:t> </w:t>
      </w:r>
      <w:r>
        <w:rPr>
          <w:w w:val="110"/>
        </w:rPr>
        <w:t>China”.</w:t>
      </w:r>
      <w:r>
        <w:rPr>
          <w:spacing w:val="32"/>
          <w:w w:val="110"/>
        </w:rPr>
        <w:t> </w:t>
      </w:r>
      <w:r>
        <w:rPr>
          <w:w w:val="110"/>
        </w:rPr>
        <w:t>dimitry</w:t>
      </w:r>
    </w:p>
    <w:p>
      <w:pPr>
        <w:pStyle w:val="BodyText"/>
        <w:spacing w:line="252" w:lineRule="auto"/>
        <w:ind w:left="330" w:right="117"/>
        <w:jc w:val="both"/>
      </w:pPr>
      <w:r>
        <w:rPr>
          <w:w w:val="115"/>
        </w:rPr>
        <w:t>b.</w:t>
      </w:r>
      <w:r>
        <w:rPr>
          <w:spacing w:val="-8"/>
          <w:w w:val="115"/>
        </w:rPr>
        <w:t> </w:t>
      </w:r>
      <w:r>
        <w:rPr>
          <w:w w:val="115"/>
        </w:rPr>
        <w:t>Kuvalin</w:t>
      </w:r>
      <w:r>
        <w:rPr>
          <w:spacing w:val="-8"/>
          <w:w w:val="115"/>
        </w:rPr>
        <w:t> </w:t>
      </w:r>
      <w:r>
        <w:rPr>
          <w:w w:val="115"/>
        </w:rPr>
        <w:t>señala</w:t>
      </w:r>
      <w:r>
        <w:rPr>
          <w:spacing w:val="-8"/>
          <w:w w:val="115"/>
        </w:rPr>
        <w:t> </w:t>
      </w:r>
      <w:r>
        <w:rPr>
          <w:w w:val="115"/>
        </w:rPr>
        <w:t>que</w:t>
      </w:r>
      <w:r>
        <w:rPr>
          <w:spacing w:val="-8"/>
          <w:w w:val="115"/>
        </w:rPr>
        <w:t> </w:t>
      </w:r>
      <w:r>
        <w:rPr>
          <w:w w:val="115"/>
        </w:rPr>
        <w:t>el</w:t>
      </w:r>
      <w:r>
        <w:rPr>
          <w:spacing w:val="-8"/>
          <w:w w:val="115"/>
        </w:rPr>
        <w:t> </w:t>
      </w:r>
      <w:r>
        <w:rPr>
          <w:w w:val="115"/>
        </w:rPr>
        <w:t>“horizonte</w:t>
      </w:r>
      <w:r>
        <w:rPr>
          <w:spacing w:val="-8"/>
          <w:w w:val="115"/>
        </w:rPr>
        <w:t> </w:t>
      </w:r>
      <w:r>
        <w:rPr>
          <w:w w:val="115"/>
        </w:rPr>
        <w:t>pertinente</w:t>
      </w:r>
      <w:r>
        <w:rPr>
          <w:spacing w:val="-8"/>
          <w:w w:val="115"/>
        </w:rPr>
        <w:t> </w:t>
      </w:r>
      <w:r>
        <w:rPr>
          <w:w w:val="115"/>
        </w:rPr>
        <w:t>para</w:t>
      </w:r>
      <w:r>
        <w:rPr>
          <w:spacing w:val="-8"/>
          <w:w w:val="115"/>
        </w:rPr>
        <w:t> </w:t>
      </w:r>
      <w:r>
        <w:rPr>
          <w:w w:val="115"/>
        </w:rPr>
        <w:t>que</w:t>
      </w:r>
      <w:r>
        <w:rPr>
          <w:spacing w:val="-8"/>
          <w:w w:val="115"/>
        </w:rPr>
        <w:t> </w:t>
      </w:r>
      <w:r>
        <w:rPr>
          <w:w w:val="115"/>
        </w:rPr>
        <w:t>este</w:t>
      </w:r>
      <w:r>
        <w:rPr>
          <w:spacing w:val="-8"/>
          <w:w w:val="115"/>
        </w:rPr>
        <w:t> </w:t>
      </w:r>
      <w:r>
        <w:rPr>
          <w:w w:val="115"/>
        </w:rPr>
        <w:t>sistema llegue</w:t>
      </w:r>
      <w:r>
        <w:rPr>
          <w:spacing w:val="-18"/>
          <w:w w:val="115"/>
        </w:rPr>
        <w:t> </w:t>
      </w:r>
      <w:r>
        <w:rPr>
          <w:w w:val="115"/>
        </w:rPr>
        <w:t>a</w:t>
      </w:r>
      <w:r>
        <w:rPr>
          <w:spacing w:val="-18"/>
          <w:w w:val="115"/>
        </w:rPr>
        <w:t> </w:t>
      </w:r>
      <w:r>
        <w:rPr>
          <w:w w:val="115"/>
        </w:rPr>
        <w:t>su</w:t>
      </w:r>
      <w:r>
        <w:rPr>
          <w:spacing w:val="-18"/>
          <w:w w:val="115"/>
        </w:rPr>
        <w:t> </w:t>
      </w:r>
      <w:r>
        <w:rPr>
          <w:w w:val="115"/>
        </w:rPr>
        <w:t>nivel</w:t>
      </w:r>
      <w:r>
        <w:rPr>
          <w:spacing w:val="-18"/>
          <w:w w:val="115"/>
        </w:rPr>
        <w:t> </w:t>
      </w:r>
      <w:r>
        <w:rPr>
          <w:w w:val="115"/>
        </w:rPr>
        <w:t>óptimo</w:t>
      </w:r>
      <w:r>
        <w:rPr>
          <w:spacing w:val="-18"/>
          <w:w w:val="115"/>
        </w:rPr>
        <w:t> </w:t>
      </w:r>
      <w:r>
        <w:rPr>
          <w:w w:val="115"/>
        </w:rPr>
        <w:t>sería</w:t>
      </w:r>
      <w:r>
        <w:rPr>
          <w:spacing w:val="-18"/>
          <w:w w:val="115"/>
        </w:rPr>
        <w:t> </w:t>
      </w:r>
      <w:r>
        <w:rPr>
          <w:w w:val="115"/>
        </w:rPr>
        <w:t>2030”</w:t>
      </w:r>
      <w:r>
        <w:rPr>
          <w:spacing w:val="-18"/>
          <w:w w:val="115"/>
        </w:rPr>
        <w:t> </w:t>
      </w:r>
      <w:r>
        <w:rPr>
          <w:w w:val="115"/>
        </w:rPr>
        <w:t>sapir</w:t>
      </w:r>
      <w:r>
        <w:rPr>
          <w:spacing w:val="-18"/>
          <w:w w:val="115"/>
        </w:rPr>
        <w:t> </w:t>
      </w:r>
      <w:r>
        <w:rPr>
          <w:w w:val="115"/>
        </w:rPr>
        <w:t>(2014)</w:t>
      </w:r>
      <w:r>
        <w:rPr>
          <w:spacing w:val="-18"/>
          <w:w w:val="115"/>
        </w:rPr>
        <w:t> </w:t>
      </w:r>
      <w:r>
        <w:rPr>
          <w:w w:val="115"/>
        </w:rPr>
        <w:t>subraya</w:t>
      </w:r>
      <w:r>
        <w:rPr>
          <w:spacing w:val="-18"/>
          <w:w w:val="115"/>
        </w:rPr>
        <w:t> </w:t>
      </w:r>
      <w:r>
        <w:rPr>
          <w:w w:val="115"/>
        </w:rPr>
        <w:t>dos</w:t>
      </w:r>
      <w:r>
        <w:rPr>
          <w:spacing w:val="-18"/>
          <w:w w:val="115"/>
        </w:rPr>
        <w:t> </w:t>
      </w:r>
      <w:r>
        <w:rPr>
          <w:w w:val="115"/>
        </w:rPr>
        <w:t>efectos importantes:</w:t>
      </w:r>
      <w:r>
        <w:rPr>
          <w:spacing w:val="-20"/>
          <w:w w:val="115"/>
        </w:rPr>
        <w:t> </w:t>
      </w:r>
      <w:r>
        <w:rPr>
          <w:w w:val="115"/>
        </w:rPr>
        <w:t>en</w:t>
      </w:r>
      <w:r>
        <w:rPr>
          <w:spacing w:val="-20"/>
          <w:w w:val="115"/>
        </w:rPr>
        <w:t> </w:t>
      </w:r>
      <w:r>
        <w:rPr>
          <w:w w:val="115"/>
        </w:rPr>
        <w:t>primer</w:t>
      </w:r>
      <w:r>
        <w:rPr>
          <w:spacing w:val="-20"/>
          <w:w w:val="115"/>
        </w:rPr>
        <w:t> </w:t>
      </w:r>
      <w:r>
        <w:rPr>
          <w:spacing w:val="-4"/>
          <w:w w:val="115"/>
        </w:rPr>
        <w:t>lugar,</w:t>
      </w:r>
      <w:r>
        <w:rPr>
          <w:spacing w:val="-20"/>
          <w:w w:val="115"/>
        </w:rPr>
        <w:t> </w:t>
      </w:r>
      <w:r>
        <w:rPr>
          <w:w w:val="115"/>
        </w:rPr>
        <w:t>las</w:t>
      </w:r>
      <w:r>
        <w:rPr>
          <w:spacing w:val="-20"/>
          <w:w w:val="115"/>
        </w:rPr>
        <w:t> </w:t>
      </w:r>
      <w:r>
        <w:rPr>
          <w:w w:val="115"/>
        </w:rPr>
        <w:t>ventajas</w:t>
      </w:r>
      <w:r>
        <w:rPr>
          <w:spacing w:val="-20"/>
          <w:w w:val="115"/>
        </w:rPr>
        <w:t> </w:t>
      </w:r>
      <w:r>
        <w:rPr>
          <w:w w:val="115"/>
        </w:rPr>
        <w:t>directas</w:t>
      </w:r>
      <w:r>
        <w:rPr>
          <w:spacing w:val="-20"/>
          <w:w w:val="115"/>
        </w:rPr>
        <w:t> </w:t>
      </w:r>
      <w:r>
        <w:rPr>
          <w:w w:val="115"/>
        </w:rPr>
        <w:t>del</w:t>
      </w:r>
      <w:r>
        <w:rPr>
          <w:spacing w:val="-20"/>
          <w:w w:val="115"/>
        </w:rPr>
        <w:t> </w:t>
      </w:r>
      <w:r>
        <w:rPr>
          <w:w w:val="115"/>
        </w:rPr>
        <w:t>“puente”</w:t>
      </w:r>
      <w:r>
        <w:rPr>
          <w:spacing w:val="-20"/>
          <w:w w:val="115"/>
        </w:rPr>
        <w:t> </w:t>
      </w:r>
      <w:r>
        <w:rPr>
          <w:w w:val="115"/>
        </w:rPr>
        <w:t>entre Europa y China serían para los países vecinos de rusia (bielorrusia y</w:t>
      </w:r>
      <w:r>
        <w:rPr>
          <w:spacing w:val="-8"/>
          <w:w w:val="115"/>
        </w:rPr>
        <w:t> </w:t>
      </w:r>
      <w:r>
        <w:rPr>
          <w:w w:val="115"/>
        </w:rPr>
        <w:t>Kazajistán).</w:t>
      </w:r>
      <w:r>
        <w:rPr>
          <w:spacing w:val="-8"/>
          <w:w w:val="115"/>
        </w:rPr>
        <w:t> </w:t>
      </w:r>
      <w:r>
        <w:rPr>
          <w:w w:val="115"/>
        </w:rPr>
        <w:t>En</w:t>
      </w:r>
      <w:r>
        <w:rPr>
          <w:spacing w:val="-8"/>
          <w:w w:val="115"/>
        </w:rPr>
        <w:t> </w:t>
      </w:r>
      <w:r>
        <w:rPr>
          <w:w w:val="115"/>
        </w:rPr>
        <w:t>segundo</w:t>
      </w:r>
      <w:r>
        <w:rPr>
          <w:spacing w:val="-8"/>
          <w:w w:val="115"/>
        </w:rPr>
        <w:t> </w:t>
      </w:r>
      <w:r>
        <w:rPr>
          <w:spacing w:val="-4"/>
          <w:w w:val="115"/>
        </w:rPr>
        <w:t>lugar,</w:t>
      </w:r>
      <w:r>
        <w:rPr>
          <w:spacing w:val="-8"/>
          <w:w w:val="115"/>
        </w:rPr>
        <w:t> </w:t>
      </w:r>
      <w:r>
        <w:rPr>
          <w:w w:val="115"/>
        </w:rPr>
        <w:t>sin</w:t>
      </w:r>
      <w:r>
        <w:rPr>
          <w:spacing w:val="-8"/>
          <w:w w:val="115"/>
        </w:rPr>
        <w:t> </w:t>
      </w:r>
      <w:r>
        <w:rPr>
          <w:w w:val="115"/>
        </w:rPr>
        <w:t>embargo,</w:t>
      </w:r>
      <w:r>
        <w:rPr>
          <w:spacing w:val="-8"/>
          <w:w w:val="115"/>
        </w:rPr>
        <w:t> </w:t>
      </w:r>
      <w:r>
        <w:rPr>
          <w:w w:val="115"/>
        </w:rPr>
        <w:t>el</w:t>
      </w:r>
      <w:r>
        <w:rPr>
          <w:spacing w:val="-8"/>
          <w:w w:val="115"/>
        </w:rPr>
        <w:t> </w:t>
      </w:r>
      <w:r>
        <w:rPr>
          <w:w w:val="115"/>
        </w:rPr>
        <w:t>volumen</w:t>
      </w:r>
      <w:r>
        <w:rPr>
          <w:spacing w:val="-8"/>
          <w:w w:val="115"/>
        </w:rPr>
        <w:t> </w:t>
      </w:r>
      <w:r>
        <w:rPr>
          <w:w w:val="115"/>
        </w:rPr>
        <w:t>de</w:t>
      </w:r>
      <w:r>
        <w:rPr>
          <w:spacing w:val="-8"/>
          <w:w w:val="115"/>
        </w:rPr>
        <w:t> </w:t>
      </w:r>
      <w:r>
        <w:rPr>
          <w:w w:val="115"/>
        </w:rPr>
        <w:t>la</w:t>
      </w:r>
      <w:r>
        <w:rPr>
          <w:spacing w:val="-8"/>
          <w:w w:val="115"/>
        </w:rPr>
        <w:t> </w:t>
      </w:r>
      <w:r>
        <w:rPr>
          <w:w w:val="115"/>
        </w:rPr>
        <w:t>carga aumentará</w:t>
      </w:r>
      <w:r>
        <w:rPr>
          <w:spacing w:val="-11"/>
          <w:w w:val="115"/>
        </w:rPr>
        <w:t> </w:t>
      </w:r>
      <w:r>
        <w:rPr>
          <w:w w:val="115"/>
        </w:rPr>
        <w:t>de</w:t>
      </w:r>
      <w:r>
        <w:rPr>
          <w:spacing w:val="-11"/>
          <w:w w:val="115"/>
        </w:rPr>
        <w:t> </w:t>
      </w:r>
      <w:r>
        <w:rPr>
          <w:w w:val="115"/>
        </w:rPr>
        <w:t>manera</w:t>
      </w:r>
      <w:r>
        <w:rPr>
          <w:spacing w:val="-11"/>
          <w:w w:val="115"/>
        </w:rPr>
        <w:t> </w:t>
      </w:r>
      <w:r>
        <w:rPr>
          <w:w w:val="115"/>
        </w:rPr>
        <w:t>significativa.</w:t>
      </w:r>
      <w:r>
        <w:rPr>
          <w:spacing w:val="-11"/>
          <w:w w:val="115"/>
        </w:rPr>
        <w:t> </w:t>
      </w:r>
      <w:r>
        <w:rPr>
          <w:w w:val="115"/>
        </w:rPr>
        <w:t>“Es</w:t>
      </w:r>
      <w:r>
        <w:rPr>
          <w:spacing w:val="-11"/>
          <w:w w:val="115"/>
        </w:rPr>
        <w:t> </w:t>
      </w:r>
      <w:r>
        <w:rPr>
          <w:w w:val="115"/>
        </w:rPr>
        <w:t>en</w:t>
      </w:r>
      <w:r>
        <w:rPr>
          <w:spacing w:val="-11"/>
          <w:w w:val="115"/>
        </w:rPr>
        <w:t> </w:t>
      </w:r>
      <w:r>
        <w:rPr>
          <w:w w:val="115"/>
        </w:rPr>
        <w:t>este</w:t>
      </w:r>
      <w:r>
        <w:rPr>
          <w:spacing w:val="-11"/>
          <w:w w:val="115"/>
        </w:rPr>
        <w:t> </w:t>
      </w:r>
      <w:r>
        <w:rPr>
          <w:w w:val="115"/>
        </w:rPr>
        <w:t>punto</w:t>
      </w:r>
      <w:r>
        <w:rPr>
          <w:spacing w:val="-11"/>
          <w:w w:val="115"/>
        </w:rPr>
        <w:t> </w:t>
      </w:r>
      <w:r>
        <w:rPr>
          <w:w w:val="115"/>
        </w:rPr>
        <w:t>que</w:t>
      </w:r>
      <w:r>
        <w:rPr>
          <w:spacing w:val="-11"/>
          <w:w w:val="115"/>
        </w:rPr>
        <w:t> </w:t>
      </w:r>
      <w:r>
        <w:rPr>
          <w:w w:val="115"/>
        </w:rPr>
        <w:t>se</w:t>
      </w:r>
      <w:r>
        <w:rPr>
          <w:spacing w:val="-11"/>
          <w:w w:val="115"/>
        </w:rPr>
        <w:t> </w:t>
      </w:r>
      <w:r>
        <w:rPr>
          <w:w w:val="115"/>
        </w:rPr>
        <w:t>presen- taría</w:t>
      </w:r>
      <w:r>
        <w:rPr>
          <w:spacing w:val="-24"/>
          <w:w w:val="115"/>
        </w:rPr>
        <w:t> </w:t>
      </w:r>
      <w:r>
        <w:rPr>
          <w:w w:val="115"/>
        </w:rPr>
        <w:t>el</w:t>
      </w:r>
      <w:r>
        <w:rPr>
          <w:spacing w:val="-24"/>
          <w:w w:val="115"/>
        </w:rPr>
        <w:t> </w:t>
      </w:r>
      <w:r>
        <w:rPr>
          <w:w w:val="115"/>
        </w:rPr>
        <w:t>máximo</w:t>
      </w:r>
      <w:r>
        <w:rPr>
          <w:spacing w:val="-24"/>
          <w:w w:val="115"/>
        </w:rPr>
        <w:t> </w:t>
      </w:r>
      <w:r>
        <w:rPr>
          <w:w w:val="115"/>
        </w:rPr>
        <w:t>provecho</w:t>
      </w:r>
      <w:r>
        <w:rPr>
          <w:spacing w:val="-24"/>
          <w:w w:val="115"/>
        </w:rPr>
        <w:t> </w:t>
      </w:r>
      <w:r>
        <w:rPr>
          <w:w w:val="115"/>
        </w:rPr>
        <w:t>para</w:t>
      </w:r>
      <w:r>
        <w:rPr>
          <w:spacing w:val="-24"/>
          <w:w w:val="115"/>
        </w:rPr>
        <w:t> </w:t>
      </w:r>
      <w:r>
        <w:rPr>
          <w:w w:val="115"/>
        </w:rPr>
        <w:t>rusia.</w:t>
      </w:r>
      <w:r>
        <w:rPr>
          <w:spacing w:val="-24"/>
          <w:w w:val="115"/>
        </w:rPr>
        <w:t> </w:t>
      </w:r>
      <w:r>
        <w:rPr>
          <w:w w:val="115"/>
        </w:rPr>
        <w:t>Parte</w:t>
      </w:r>
      <w:r>
        <w:rPr>
          <w:spacing w:val="-24"/>
          <w:w w:val="115"/>
        </w:rPr>
        <w:t> </w:t>
      </w:r>
      <w:r>
        <w:rPr>
          <w:w w:val="115"/>
        </w:rPr>
        <w:t>importante</w:t>
      </w:r>
      <w:r>
        <w:rPr>
          <w:spacing w:val="-24"/>
          <w:w w:val="115"/>
        </w:rPr>
        <w:t> </w:t>
      </w:r>
      <w:r>
        <w:rPr>
          <w:w w:val="115"/>
        </w:rPr>
        <w:t>del</w:t>
      </w:r>
      <w:r>
        <w:rPr>
          <w:spacing w:val="-24"/>
          <w:w w:val="115"/>
        </w:rPr>
        <w:t> </w:t>
      </w:r>
      <w:r>
        <w:rPr>
          <w:w w:val="115"/>
        </w:rPr>
        <w:t>transporte marítimo</w:t>
      </w:r>
      <w:r>
        <w:rPr>
          <w:spacing w:val="-7"/>
          <w:w w:val="115"/>
        </w:rPr>
        <w:t> </w:t>
      </w:r>
      <w:r>
        <w:rPr>
          <w:w w:val="115"/>
        </w:rPr>
        <w:t>se</w:t>
      </w:r>
      <w:r>
        <w:rPr>
          <w:spacing w:val="-7"/>
          <w:w w:val="115"/>
        </w:rPr>
        <w:t> </w:t>
      </w:r>
      <w:r>
        <w:rPr>
          <w:w w:val="115"/>
        </w:rPr>
        <w:t>trasladaría</w:t>
      </w:r>
      <w:r>
        <w:rPr>
          <w:spacing w:val="-7"/>
          <w:w w:val="115"/>
        </w:rPr>
        <w:t> </w:t>
      </w:r>
      <w:r>
        <w:rPr>
          <w:w w:val="115"/>
        </w:rPr>
        <w:t>al</w:t>
      </w:r>
      <w:r>
        <w:rPr>
          <w:spacing w:val="-7"/>
          <w:w w:val="115"/>
        </w:rPr>
        <w:t> </w:t>
      </w:r>
      <w:r>
        <w:rPr>
          <w:w w:val="115"/>
        </w:rPr>
        <w:t>sistema</w:t>
      </w:r>
      <w:r>
        <w:rPr>
          <w:spacing w:val="-7"/>
          <w:w w:val="115"/>
        </w:rPr>
        <w:t> </w:t>
      </w:r>
      <w:r>
        <w:rPr>
          <w:w w:val="115"/>
        </w:rPr>
        <w:t>ferroviario.</w:t>
      </w:r>
      <w:r>
        <w:rPr>
          <w:spacing w:val="-7"/>
          <w:w w:val="115"/>
        </w:rPr>
        <w:t> </w:t>
      </w:r>
      <w:r>
        <w:rPr>
          <w:w w:val="115"/>
        </w:rPr>
        <w:t>El</w:t>
      </w:r>
      <w:r>
        <w:rPr>
          <w:spacing w:val="-7"/>
          <w:w w:val="115"/>
        </w:rPr>
        <w:t> </w:t>
      </w:r>
      <w:r>
        <w:rPr>
          <w:w w:val="115"/>
        </w:rPr>
        <w:t>cambio</w:t>
      </w:r>
      <w:r>
        <w:rPr>
          <w:spacing w:val="-7"/>
          <w:w w:val="115"/>
        </w:rPr>
        <w:t> </w:t>
      </w:r>
      <w:r>
        <w:rPr>
          <w:w w:val="115"/>
        </w:rPr>
        <w:t>impactaría el</w:t>
      </w:r>
      <w:r>
        <w:rPr>
          <w:spacing w:val="-23"/>
          <w:w w:val="115"/>
        </w:rPr>
        <w:t> </w:t>
      </w:r>
      <w:r>
        <w:rPr>
          <w:w w:val="115"/>
        </w:rPr>
        <w:t>producto</w:t>
      </w:r>
      <w:r>
        <w:rPr>
          <w:spacing w:val="-23"/>
          <w:w w:val="115"/>
        </w:rPr>
        <w:t> </w:t>
      </w:r>
      <w:r>
        <w:rPr>
          <w:w w:val="115"/>
        </w:rPr>
        <w:t>interno</w:t>
      </w:r>
      <w:r>
        <w:rPr>
          <w:spacing w:val="-23"/>
          <w:w w:val="115"/>
        </w:rPr>
        <w:t> </w:t>
      </w:r>
      <w:r>
        <w:rPr>
          <w:w w:val="115"/>
        </w:rPr>
        <w:t>bruto</w:t>
      </w:r>
      <w:r>
        <w:rPr>
          <w:spacing w:val="-23"/>
          <w:w w:val="115"/>
        </w:rPr>
        <w:t> </w:t>
      </w:r>
      <w:r>
        <w:rPr>
          <w:w w:val="115"/>
        </w:rPr>
        <w:t>que</w:t>
      </w:r>
      <w:r>
        <w:rPr>
          <w:spacing w:val="-23"/>
          <w:w w:val="115"/>
        </w:rPr>
        <w:t> </w:t>
      </w:r>
      <w:r>
        <w:rPr>
          <w:w w:val="115"/>
        </w:rPr>
        <w:t>crecería</w:t>
      </w:r>
      <w:r>
        <w:rPr>
          <w:spacing w:val="-23"/>
          <w:w w:val="115"/>
        </w:rPr>
        <w:t> </w:t>
      </w:r>
      <w:r>
        <w:rPr>
          <w:w w:val="115"/>
        </w:rPr>
        <w:t>a</w:t>
      </w:r>
      <w:r>
        <w:rPr>
          <w:spacing w:val="-23"/>
          <w:w w:val="115"/>
        </w:rPr>
        <w:t> </w:t>
      </w:r>
      <w:r>
        <w:rPr>
          <w:w w:val="115"/>
        </w:rPr>
        <w:t>un</w:t>
      </w:r>
      <w:r>
        <w:rPr>
          <w:spacing w:val="-23"/>
          <w:w w:val="115"/>
        </w:rPr>
        <w:t> </w:t>
      </w:r>
      <w:r>
        <w:rPr>
          <w:w w:val="115"/>
        </w:rPr>
        <w:t>ritmo</w:t>
      </w:r>
      <w:r>
        <w:rPr>
          <w:spacing w:val="-23"/>
          <w:w w:val="115"/>
        </w:rPr>
        <w:t> </w:t>
      </w:r>
      <w:r>
        <w:rPr>
          <w:w w:val="115"/>
        </w:rPr>
        <w:t>anual</w:t>
      </w:r>
      <w:r>
        <w:rPr>
          <w:spacing w:val="-23"/>
          <w:w w:val="115"/>
        </w:rPr>
        <w:t> </w:t>
      </w:r>
      <w:r>
        <w:rPr>
          <w:w w:val="115"/>
        </w:rPr>
        <w:t>de</w:t>
      </w:r>
      <w:r>
        <w:rPr>
          <w:spacing w:val="-23"/>
          <w:w w:val="115"/>
        </w:rPr>
        <w:t> </w:t>
      </w:r>
      <w:r>
        <w:rPr>
          <w:w w:val="115"/>
        </w:rPr>
        <w:t>entre</w:t>
      </w:r>
      <w:r>
        <w:rPr>
          <w:spacing w:val="-23"/>
          <w:w w:val="115"/>
        </w:rPr>
        <w:t> </w:t>
      </w:r>
      <w:r>
        <w:rPr>
          <w:w w:val="115"/>
        </w:rPr>
        <w:t>el</w:t>
      </w:r>
      <w:r>
        <w:rPr>
          <w:spacing w:val="-23"/>
          <w:w w:val="115"/>
        </w:rPr>
        <w:t> </w:t>
      </w:r>
      <w:r>
        <w:rPr>
          <w:w w:val="115"/>
        </w:rPr>
        <w:t>0.4 y</w:t>
      </w:r>
      <w:r>
        <w:rPr>
          <w:spacing w:val="-14"/>
          <w:w w:val="115"/>
        </w:rPr>
        <w:t> </w:t>
      </w:r>
      <w:r>
        <w:rPr>
          <w:w w:val="115"/>
        </w:rPr>
        <w:t>el</w:t>
      </w:r>
      <w:r>
        <w:rPr>
          <w:spacing w:val="-14"/>
          <w:w w:val="115"/>
        </w:rPr>
        <w:t> </w:t>
      </w:r>
      <w:r>
        <w:rPr>
          <w:w w:val="115"/>
        </w:rPr>
        <w:t>0.6</w:t>
      </w:r>
      <w:r>
        <w:rPr>
          <w:spacing w:val="-14"/>
          <w:w w:val="115"/>
        </w:rPr>
        <w:t> </w:t>
      </w:r>
      <w:r>
        <w:rPr>
          <w:w w:val="115"/>
        </w:rPr>
        <w:t>por</w:t>
      </w:r>
      <w:r>
        <w:rPr>
          <w:spacing w:val="-14"/>
          <w:w w:val="115"/>
        </w:rPr>
        <w:t> </w:t>
      </w:r>
      <w:r>
        <w:rPr>
          <w:w w:val="115"/>
        </w:rPr>
        <w:t>ciento”</w:t>
      </w:r>
      <w:r>
        <w:rPr>
          <w:spacing w:val="-14"/>
          <w:w w:val="115"/>
        </w:rPr>
        <w:t> </w:t>
      </w:r>
      <w:r>
        <w:rPr>
          <w:spacing w:val="-4"/>
          <w:w w:val="115"/>
        </w:rPr>
        <w:t>(sapir,</w:t>
      </w:r>
      <w:r>
        <w:rPr>
          <w:spacing w:val="-14"/>
          <w:w w:val="115"/>
        </w:rPr>
        <w:t> </w:t>
      </w:r>
      <w:r>
        <w:rPr>
          <w:w w:val="115"/>
        </w:rPr>
        <w:t>2014).</w:t>
      </w:r>
    </w:p>
    <w:p>
      <w:pPr>
        <w:pStyle w:val="BodyText"/>
        <w:spacing w:line="252" w:lineRule="auto"/>
        <w:ind w:left="330" w:right="118" w:firstLine="396"/>
        <w:jc w:val="both"/>
      </w:pPr>
      <w:r>
        <w:rPr>
          <w:w w:val="243"/>
        </w:rPr>
        <w:t>l</w:t>
      </w:r>
      <w:r>
        <w:rPr>
          <w:w w:val="112"/>
        </w:rPr>
        <w:t>a</w:t>
      </w:r>
      <w:r>
        <w:rPr>
          <w:spacing w:val="13"/>
        </w:rPr>
        <w:t> </w:t>
      </w:r>
      <w:r>
        <w:rPr>
          <w:w w:val="112"/>
        </w:rPr>
        <w:t>actual</w:t>
      </w:r>
      <w:r>
        <w:rPr>
          <w:spacing w:val="13"/>
        </w:rPr>
        <w:t> </w:t>
      </w:r>
      <w:r>
        <w:rPr>
          <w:w w:val="110"/>
        </w:rPr>
        <w:t>correlación</w:t>
      </w:r>
      <w:r>
        <w:rPr>
          <w:spacing w:val="13"/>
        </w:rPr>
        <w:t> </w:t>
      </w:r>
      <w:r>
        <w:rPr>
          <w:w w:val="108"/>
        </w:rPr>
        <w:t>favorece</w:t>
      </w:r>
      <w:r>
        <w:rPr>
          <w:spacing w:val="13"/>
        </w:rPr>
        <w:t> </w:t>
      </w:r>
      <w:r>
        <w:rPr>
          <w:w w:val="112"/>
        </w:rPr>
        <w:t>a</w:t>
      </w:r>
      <w:r>
        <w:rPr>
          <w:spacing w:val="13"/>
        </w:rPr>
        <w:t> </w:t>
      </w:r>
      <w:r>
        <w:rPr>
          <w:w w:val="111"/>
        </w:rPr>
        <w:t>Estados</w:t>
      </w:r>
      <w:r>
        <w:rPr>
          <w:spacing w:val="13"/>
        </w:rPr>
        <w:t> </w:t>
      </w:r>
      <w:r>
        <w:rPr>
          <w:w w:val="140"/>
        </w:rPr>
        <w:t>u</w:t>
      </w:r>
      <w:r>
        <w:rPr>
          <w:w w:val="110"/>
        </w:rPr>
        <w:t>nidos</w:t>
      </w:r>
      <w:r>
        <w:rPr>
          <w:spacing w:val="13"/>
        </w:rPr>
        <w:t> </w:t>
      </w:r>
      <w:r>
        <w:rPr>
          <w:w w:val="108"/>
        </w:rPr>
        <w:t>en</w:t>
      </w:r>
      <w:r>
        <w:rPr>
          <w:spacing w:val="13"/>
        </w:rPr>
        <w:t> </w:t>
      </w:r>
      <w:r>
        <w:rPr>
          <w:w w:val="115"/>
        </w:rPr>
        <w:t>Europa.</w:t>
      </w:r>
      <w:r>
        <w:rPr>
          <w:spacing w:val="13"/>
        </w:rPr>
        <w:t> </w:t>
      </w:r>
      <w:r>
        <w:rPr>
          <w:w w:val="139"/>
        </w:rPr>
        <w:t>d</w:t>
      </w:r>
      <w:r>
        <w:rPr>
          <w:w w:val="105"/>
        </w:rPr>
        <w:t>e</w:t>
      </w:r>
      <w:r>
        <w:rPr>
          <w:spacing w:val="-1"/>
          <w:w w:val="105"/>
        </w:rPr>
        <w:t>s</w:t>
      </w:r>
      <w:r>
        <w:rPr>
          <w:w w:val="102"/>
        </w:rPr>
        <w:t>- </w:t>
      </w:r>
      <w:r>
        <w:rPr>
          <w:w w:val="115"/>
        </w:rPr>
        <w:t>de su triunfo en la segunda Guerra Mundial y su proyecto de “gran sociedad”,</w:t>
      </w:r>
      <w:r>
        <w:rPr>
          <w:spacing w:val="-14"/>
          <w:w w:val="115"/>
        </w:rPr>
        <w:t> </w:t>
      </w:r>
      <w:r>
        <w:rPr>
          <w:w w:val="115"/>
        </w:rPr>
        <w:t>su</w:t>
      </w:r>
      <w:r>
        <w:rPr>
          <w:spacing w:val="-14"/>
          <w:w w:val="115"/>
        </w:rPr>
        <w:t> </w:t>
      </w:r>
      <w:r>
        <w:rPr>
          <w:w w:val="115"/>
        </w:rPr>
        <w:t>hegemonía</w:t>
      </w:r>
      <w:r>
        <w:rPr>
          <w:spacing w:val="-14"/>
          <w:w w:val="115"/>
        </w:rPr>
        <w:t> </w:t>
      </w:r>
      <w:r>
        <w:rPr>
          <w:w w:val="115"/>
        </w:rPr>
        <w:t>no</w:t>
      </w:r>
      <w:r>
        <w:rPr>
          <w:spacing w:val="-14"/>
          <w:w w:val="115"/>
        </w:rPr>
        <w:t> </w:t>
      </w:r>
      <w:r>
        <w:rPr>
          <w:w w:val="115"/>
        </w:rPr>
        <w:t>ha</w:t>
      </w:r>
      <w:r>
        <w:rPr>
          <w:spacing w:val="-14"/>
          <w:w w:val="115"/>
        </w:rPr>
        <w:t> </w:t>
      </w:r>
      <w:r>
        <w:rPr>
          <w:w w:val="115"/>
        </w:rPr>
        <w:t>sido</w:t>
      </w:r>
      <w:r>
        <w:rPr>
          <w:spacing w:val="-14"/>
          <w:w w:val="115"/>
        </w:rPr>
        <w:t> </w:t>
      </w:r>
      <w:r>
        <w:rPr>
          <w:w w:val="115"/>
        </w:rPr>
        <w:t>cuestionada.</w:t>
      </w:r>
      <w:r>
        <w:rPr>
          <w:spacing w:val="-14"/>
          <w:w w:val="115"/>
        </w:rPr>
        <w:t> </w:t>
      </w:r>
      <w:r>
        <w:rPr>
          <w:w w:val="115"/>
        </w:rPr>
        <w:t>sin</w:t>
      </w:r>
      <w:r>
        <w:rPr>
          <w:spacing w:val="-14"/>
          <w:w w:val="115"/>
        </w:rPr>
        <w:t> </w:t>
      </w:r>
      <w:r>
        <w:rPr>
          <w:w w:val="115"/>
        </w:rPr>
        <w:t>embargo,</w:t>
      </w:r>
      <w:r>
        <w:rPr>
          <w:spacing w:val="-14"/>
          <w:w w:val="115"/>
        </w:rPr>
        <w:t> </w:t>
      </w:r>
      <w:r>
        <w:rPr>
          <w:w w:val="115"/>
        </w:rPr>
        <w:t>desde</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la “gran recesión” de 2008 han aparecido otros horizontes, especial- mente  en alemania.</w:t>
      </w:r>
    </w:p>
    <w:p>
      <w:pPr>
        <w:pStyle w:val="BodyText"/>
        <w:spacing w:line="252" w:lineRule="auto"/>
        <w:ind w:left="100" w:right="328" w:firstLine="396"/>
        <w:jc w:val="both"/>
      </w:pPr>
      <w:r>
        <w:rPr>
          <w:w w:val="110"/>
        </w:rPr>
        <w:t>Gabriel Merino cita al periodista alemán Martín </w:t>
      </w:r>
      <w:r>
        <w:rPr>
          <w:spacing w:val="-3"/>
          <w:w w:val="110"/>
        </w:rPr>
        <w:t>Wolf, </w:t>
      </w:r>
      <w:r>
        <w:rPr>
          <w:w w:val="110"/>
        </w:rPr>
        <w:t>quien </w:t>
      </w:r>
      <w:r>
        <w:rPr>
          <w:spacing w:val="-4"/>
          <w:w w:val="110"/>
        </w:rPr>
        <w:t>afir- </w:t>
      </w:r>
      <w:r>
        <w:rPr>
          <w:w w:val="110"/>
        </w:rPr>
        <w:t>ma que hay una “identificación entre alemania y China como </w:t>
      </w:r>
      <w:r>
        <w:rPr>
          <w:spacing w:val="-3"/>
          <w:w w:val="110"/>
        </w:rPr>
        <w:t>adver- </w:t>
      </w:r>
      <w:r>
        <w:rPr>
          <w:w w:val="110"/>
        </w:rPr>
        <w:t>sarios de las fuerzas angloamericanas y el capitalismo global” (Me- rino, 2014). según </w:t>
      </w:r>
      <w:r>
        <w:rPr>
          <w:spacing w:val="-3"/>
          <w:w w:val="110"/>
        </w:rPr>
        <w:t>Wolf, </w:t>
      </w:r>
      <w:r>
        <w:rPr>
          <w:w w:val="110"/>
        </w:rPr>
        <w:t>“Chinlemania (es) un compuesto de los dos mayores exportadores mundiales netos... China tiene un superávit de 291</w:t>
      </w:r>
      <w:r>
        <w:rPr>
          <w:spacing w:val="-7"/>
          <w:w w:val="110"/>
        </w:rPr>
        <w:t> </w:t>
      </w:r>
      <w:r>
        <w:rPr>
          <w:w w:val="110"/>
        </w:rPr>
        <w:t>mil</w:t>
      </w:r>
      <w:r>
        <w:rPr>
          <w:spacing w:val="-7"/>
          <w:w w:val="110"/>
        </w:rPr>
        <w:t> </w:t>
      </w:r>
      <w:r>
        <w:rPr>
          <w:w w:val="110"/>
        </w:rPr>
        <w:t>millones</w:t>
      </w:r>
      <w:r>
        <w:rPr>
          <w:spacing w:val="-7"/>
          <w:w w:val="110"/>
        </w:rPr>
        <w:t> </w:t>
      </w:r>
      <w:r>
        <w:rPr>
          <w:w w:val="110"/>
        </w:rPr>
        <w:t>de</w:t>
      </w:r>
      <w:r>
        <w:rPr>
          <w:spacing w:val="-7"/>
          <w:w w:val="110"/>
        </w:rPr>
        <w:t> </w:t>
      </w:r>
      <w:r>
        <w:rPr>
          <w:w w:val="110"/>
        </w:rPr>
        <w:t>dólares</w:t>
      </w:r>
      <w:r>
        <w:rPr>
          <w:spacing w:val="-7"/>
          <w:w w:val="110"/>
        </w:rPr>
        <w:t> </w:t>
      </w:r>
      <w:r>
        <w:rPr>
          <w:w w:val="110"/>
        </w:rPr>
        <w:t>(2010)</w:t>
      </w:r>
      <w:r>
        <w:rPr>
          <w:spacing w:val="-7"/>
          <w:w w:val="110"/>
        </w:rPr>
        <w:t> </w:t>
      </w:r>
      <w:r>
        <w:rPr>
          <w:w w:val="110"/>
        </w:rPr>
        <w:t>y</w:t>
      </w:r>
      <w:r>
        <w:rPr>
          <w:spacing w:val="-7"/>
          <w:w w:val="110"/>
        </w:rPr>
        <w:t> </w:t>
      </w:r>
      <w:r>
        <w:rPr>
          <w:w w:val="110"/>
        </w:rPr>
        <w:t>alemania</w:t>
      </w:r>
      <w:r>
        <w:rPr>
          <w:spacing w:val="-7"/>
          <w:w w:val="110"/>
        </w:rPr>
        <w:t> </w:t>
      </w:r>
      <w:r>
        <w:rPr>
          <w:w w:val="110"/>
        </w:rPr>
        <w:t>uno</w:t>
      </w:r>
      <w:r>
        <w:rPr>
          <w:spacing w:val="-7"/>
          <w:w w:val="110"/>
        </w:rPr>
        <w:t> </w:t>
      </w:r>
      <w:r>
        <w:rPr>
          <w:w w:val="110"/>
        </w:rPr>
        <w:t>previsto</w:t>
      </w:r>
      <w:r>
        <w:rPr>
          <w:spacing w:val="-7"/>
          <w:w w:val="110"/>
        </w:rPr>
        <w:t> </w:t>
      </w:r>
      <w:r>
        <w:rPr>
          <w:w w:val="110"/>
        </w:rPr>
        <w:t>de</w:t>
      </w:r>
      <w:r>
        <w:rPr>
          <w:spacing w:val="-7"/>
          <w:w w:val="110"/>
        </w:rPr>
        <w:t> </w:t>
      </w:r>
      <w:r>
        <w:rPr>
          <w:w w:val="110"/>
        </w:rPr>
        <w:t>187</w:t>
      </w:r>
      <w:r>
        <w:rPr>
          <w:spacing w:val="-7"/>
          <w:w w:val="110"/>
        </w:rPr>
        <w:t> </w:t>
      </w:r>
      <w:r>
        <w:rPr>
          <w:w w:val="110"/>
        </w:rPr>
        <w:t>mil millones”.</w:t>
      </w:r>
    </w:p>
    <w:p>
      <w:pPr>
        <w:pStyle w:val="BodyText"/>
        <w:spacing w:before="5"/>
      </w:pPr>
    </w:p>
    <w:p>
      <w:pPr>
        <w:pStyle w:val="Heading6"/>
      </w:pPr>
      <w:r>
        <w:rPr>
          <w:w w:val="135"/>
        </w:rPr>
        <w:t>la visión cHina</w:t>
      </w:r>
    </w:p>
    <w:p>
      <w:pPr>
        <w:pStyle w:val="BodyText"/>
        <w:spacing w:line="252" w:lineRule="auto" w:before="10"/>
        <w:ind w:left="100" w:right="327"/>
        <w:jc w:val="both"/>
      </w:pPr>
      <w:r>
        <w:rPr>
          <w:w w:val="243"/>
        </w:rPr>
        <w:t>l</w:t>
      </w:r>
      <w:r>
        <w:rPr>
          <w:w w:val="112"/>
        </w:rPr>
        <w:t>a</w:t>
      </w:r>
      <w:r>
        <w:rPr/>
        <w:t> </w:t>
      </w:r>
      <w:r>
        <w:rPr>
          <w:spacing w:val="-18"/>
        </w:rPr>
        <w:t> </w:t>
      </w:r>
      <w:r>
        <w:rPr>
          <w:w w:val="111"/>
        </w:rPr>
        <w:t>economía</w:t>
      </w:r>
      <w:r>
        <w:rPr/>
        <w:t> </w:t>
      </w:r>
      <w:r>
        <w:rPr>
          <w:spacing w:val="-18"/>
        </w:rPr>
        <w:t> </w:t>
      </w:r>
      <w:r>
        <w:rPr>
          <w:w w:val="110"/>
        </w:rPr>
        <w:t>capitalista</w:t>
      </w:r>
      <w:r>
        <w:rPr/>
        <w:t> </w:t>
      </w:r>
      <w:r>
        <w:rPr>
          <w:spacing w:val="-18"/>
        </w:rPr>
        <w:t> </w:t>
      </w:r>
      <w:r>
        <w:rPr>
          <w:w w:val="107"/>
        </w:rPr>
        <w:t>de</w:t>
      </w:r>
      <w:r>
        <w:rPr/>
        <w:t> </w:t>
      </w:r>
      <w:r>
        <w:rPr>
          <w:spacing w:val="-18"/>
        </w:rPr>
        <w:t> </w:t>
      </w:r>
      <w:r>
        <w:rPr>
          <w:w w:val="111"/>
        </w:rPr>
        <w:t>Estados</w:t>
      </w:r>
      <w:r>
        <w:rPr/>
        <w:t> </w:t>
      </w:r>
      <w:r>
        <w:rPr>
          <w:spacing w:val="-18"/>
        </w:rPr>
        <w:t> </w:t>
      </w:r>
      <w:r>
        <w:rPr>
          <w:w w:val="140"/>
        </w:rPr>
        <w:t>u</w:t>
      </w:r>
      <w:r>
        <w:rPr>
          <w:w w:val="110"/>
        </w:rPr>
        <w:t>nidos</w:t>
      </w:r>
      <w:r>
        <w:rPr/>
        <w:t> </w:t>
      </w:r>
      <w:r>
        <w:rPr>
          <w:spacing w:val="-18"/>
        </w:rPr>
        <w:t> </w:t>
      </w:r>
      <w:r>
        <w:rPr>
          <w:w w:val="107"/>
        </w:rPr>
        <w:t>está</w:t>
      </w:r>
      <w:r>
        <w:rPr/>
        <w:t> </w:t>
      </w:r>
      <w:r>
        <w:rPr>
          <w:spacing w:val="-18"/>
        </w:rPr>
        <w:t> </w:t>
      </w:r>
      <w:r>
        <w:rPr>
          <w:w w:val="111"/>
        </w:rPr>
        <w:t>estancada.</w:t>
      </w:r>
      <w:r>
        <w:rPr/>
        <w:t> </w:t>
      </w:r>
      <w:r>
        <w:rPr>
          <w:spacing w:val="-18"/>
        </w:rPr>
        <w:t> </w:t>
      </w:r>
      <w:r>
        <w:rPr>
          <w:w w:val="149"/>
        </w:rPr>
        <w:t>s</w:t>
      </w:r>
      <w:r>
        <w:rPr>
          <w:w w:val="112"/>
        </w:rPr>
        <w:t>u</w:t>
      </w:r>
      <w:r>
        <w:rPr/>
        <w:t> </w:t>
      </w:r>
      <w:r>
        <w:rPr>
          <w:spacing w:val="-18"/>
        </w:rPr>
        <w:t> </w:t>
      </w:r>
      <w:r>
        <w:rPr>
          <w:w w:val="113"/>
        </w:rPr>
        <w:t>única </w:t>
      </w:r>
      <w:r>
        <w:rPr>
          <w:w w:val="110"/>
        </w:rPr>
        <w:t>salvación, si no logra resolver su problema interno, es seguir</w:t>
      </w:r>
      <w:r>
        <w:rPr>
          <w:spacing w:val="-9"/>
          <w:w w:val="110"/>
        </w:rPr>
        <w:t> </w:t>
      </w:r>
      <w:r>
        <w:rPr>
          <w:w w:val="110"/>
        </w:rPr>
        <w:t>saquean- do las economías del resto del mundo, incluyendo Europa. </w:t>
      </w:r>
      <w:r>
        <w:rPr>
          <w:spacing w:val="-3"/>
          <w:w w:val="110"/>
        </w:rPr>
        <w:t>¿tendrá </w:t>
      </w:r>
      <w:r>
        <w:rPr>
          <w:w w:val="110"/>
        </w:rPr>
        <w:t>Wallerstein razón? Por un lado, la economía capitalista norteameri- cana no puede costear los altos niveles salariales de su clase obrera. </w:t>
      </w:r>
      <w:r>
        <w:rPr>
          <w:w w:val="110"/>
        </w:rPr>
        <w:t>Por</w:t>
      </w:r>
      <w:r>
        <w:rPr/>
        <w:t> </w:t>
      </w:r>
      <w:r>
        <w:rPr>
          <w:spacing w:val="-13"/>
        </w:rPr>
        <w:t> </w:t>
      </w:r>
      <w:r>
        <w:rPr>
          <w:w w:val="107"/>
        </w:rPr>
        <w:t>esa</w:t>
      </w:r>
      <w:r>
        <w:rPr/>
        <w:t> </w:t>
      </w:r>
      <w:r>
        <w:rPr>
          <w:spacing w:val="-13"/>
        </w:rPr>
        <w:t> </w:t>
      </w:r>
      <w:r>
        <w:rPr>
          <w:w w:val="110"/>
        </w:rPr>
        <w:t>razón</w:t>
      </w:r>
      <w:r>
        <w:rPr/>
        <w:t> </w:t>
      </w:r>
      <w:r>
        <w:rPr>
          <w:spacing w:val="-13"/>
        </w:rPr>
        <w:t> </w:t>
      </w:r>
      <w:r>
        <w:rPr>
          <w:w w:val="112"/>
        </w:rPr>
        <w:t>continúa</w:t>
      </w:r>
      <w:r>
        <w:rPr/>
        <w:t> </w:t>
      </w:r>
      <w:r>
        <w:rPr>
          <w:spacing w:val="-13"/>
        </w:rPr>
        <w:t> </w:t>
      </w:r>
      <w:r>
        <w:rPr>
          <w:w w:val="110"/>
        </w:rPr>
        <w:t>“externalizando”</w:t>
      </w:r>
      <w:r>
        <w:rPr/>
        <w:t> </w:t>
      </w:r>
      <w:r>
        <w:rPr>
          <w:spacing w:val="-13"/>
        </w:rPr>
        <w:t> </w:t>
      </w:r>
      <w:r>
        <w:rPr>
          <w:w w:val="109"/>
        </w:rPr>
        <w:t>su</w:t>
      </w:r>
      <w:r>
        <w:rPr/>
        <w:t> </w:t>
      </w:r>
      <w:r>
        <w:rPr>
          <w:spacing w:val="-13"/>
        </w:rPr>
        <w:t> </w:t>
      </w:r>
      <w:r>
        <w:rPr>
          <w:w w:val="108"/>
        </w:rPr>
        <w:t>base</w:t>
      </w:r>
      <w:r>
        <w:rPr/>
        <w:t> </w:t>
      </w:r>
      <w:r>
        <w:rPr>
          <w:spacing w:val="-13"/>
        </w:rPr>
        <w:t> </w:t>
      </w:r>
      <w:r>
        <w:rPr>
          <w:w w:val="110"/>
        </w:rPr>
        <w:t>productiva.</w:t>
      </w:r>
      <w:r>
        <w:rPr/>
        <w:t> </w:t>
      </w:r>
      <w:r>
        <w:rPr>
          <w:spacing w:val="-13"/>
        </w:rPr>
        <w:t> </w:t>
      </w:r>
      <w:r>
        <w:rPr>
          <w:w w:val="243"/>
        </w:rPr>
        <w:t>l</w:t>
      </w:r>
      <w:r>
        <w:rPr>
          <w:w w:val="112"/>
        </w:rPr>
        <w:t>a</w:t>
      </w:r>
      <w:r>
        <w:rPr/>
        <w:t> </w:t>
      </w:r>
      <w:r>
        <w:rPr>
          <w:spacing w:val="-13"/>
        </w:rPr>
        <w:t> </w:t>
      </w:r>
      <w:r>
        <w:rPr>
          <w:w w:val="113"/>
        </w:rPr>
        <w:t>cl</w:t>
      </w:r>
      <w:r>
        <w:rPr>
          <w:spacing w:val="-1"/>
          <w:w w:val="113"/>
        </w:rPr>
        <w:t>a</w:t>
      </w:r>
      <w:r>
        <w:rPr>
          <w:w w:val="102"/>
        </w:rPr>
        <w:t>- </w:t>
      </w:r>
      <w:r>
        <w:rPr>
          <w:w w:val="110"/>
        </w:rPr>
        <w:t>se obrera norteamericana se está convirtiendo en lo que Marx llamó un subproletariado cuya característica principal es su informalidad (Jonna y </w:t>
      </w:r>
      <w:r>
        <w:rPr>
          <w:spacing w:val="-4"/>
          <w:w w:val="110"/>
        </w:rPr>
        <w:t>Foster, </w:t>
      </w:r>
      <w:r>
        <w:rPr>
          <w:w w:val="110"/>
        </w:rPr>
        <w:t>2014). Por el otro, las materias primas tienden a ser cada vez más escasas y como consecuencia más caras. Estados unidos descubrió una veta que son los yacimientos de petróleo sólido y para sacarlo del subsuelo deben utilizar la tecnología de </w:t>
      </w:r>
      <w:r>
        <w:rPr>
          <w:i/>
          <w:w w:val="110"/>
        </w:rPr>
        <w:t>fracking</w:t>
      </w:r>
      <w:r>
        <w:rPr>
          <w:w w:val="110"/>
        </w:rPr>
        <w:t>. El daño colateral de esta tecnología es su declarada enemistad con el ambien- te. Por último, según Wallerstein el método mediante el cual Estados unidos logra mantener su hegemonía sobre las diferentes clases</w:t>
      </w:r>
      <w:r>
        <w:rPr>
          <w:spacing w:val="-25"/>
          <w:w w:val="110"/>
        </w:rPr>
        <w:t> </w:t>
      </w:r>
      <w:r>
        <w:rPr>
          <w:w w:val="110"/>
        </w:rPr>
        <w:t>socia- les –la democracia– se está convirtiendo en un ejercicio cada vez más costoso y menos</w:t>
      </w:r>
      <w:r>
        <w:rPr>
          <w:spacing w:val="23"/>
          <w:w w:val="110"/>
        </w:rPr>
        <w:t> </w:t>
      </w:r>
      <w:r>
        <w:rPr>
          <w:w w:val="110"/>
        </w:rPr>
        <w:t>eficaz.</w:t>
      </w:r>
    </w:p>
    <w:p>
      <w:pPr>
        <w:pStyle w:val="BodyText"/>
        <w:spacing w:line="252" w:lineRule="auto"/>
        <w:ind w:left="100" w:right="325" w:firstLine="396"/>
        <w:jc w:val="both"/>
      </w:pPr>
      <w:r>
        <w:rPr>
          <w:w w:val="115"/>
        </w:rPr>
        <w:t>Por otra parte, la economía capitalista de China sigue crecien- do. Quiere asegurar el salto cualitativo de su frontera occidental. también está decidida en convertir a asia Central y siberia en pro- veedores para su industria. tiene inversiones en África. aspira a  una relación tecnológica con Japón. su gran anhelo es la alianza  estratégica con alemania. obviamente, todos los proyectos geopolí- ticos</w:t>
      </w:r>
      <w:r>
        <w:rPr>
          <w:spacing w:val="-15"/>
          <w:w w:val="115"/>
        </w:rPr>
        <w:t> </w:t>
      </w:r>
      <w:r>
        <w:rPr>
          <w:w w:val="115"/>
        </w:rPr>
        <w:t>podrían</w:t>
      </w:r>
      <w:r>
        <w:rPr>
          <w:spacing w:val="-15"/>
          <w:w w:val="115"/>
        </w:rPr>
        <w:t> </w:t>
      </w:r>
      <w:r>
        <w:rPr>
          <w:w w:val="115"/>
        </w:rPr>
        <w:t>cambiar</w:t>
      </w:r>
      <w:r>
        <w:rPr>
          <w:spacing w:val="-15"/>
          <w:w w:val="115"/>
        </w:rPr>
        <w:t> </w:t>
      </w:r>
      <w:r>
        <w:rPr>
          <w:w w:val="115"/>
        </w:rPr>
        <w:t>si</w:t>
      </w:r>
      <w:r>
        <w:rPr>
          <w:spacing w:val="-15"/>
          <w:w w:val="115"/>
        </w:rPr>
        <w:t> </w:t>
      </w:r>
      <w:r>
        <w:rPr>
          <w:w w:val="115"/>
        </w:rPr>
        <w:t>en</w:t>
      </w:r>
      <w:r>
        <w:rPr>
          <w:spacing w:val="-15"/>
          <w:w w:val="115"/>
        </w:rPr>
        <w:t> </w:t>
      </w:r>
      <w:r>
        <w:rPr>
          <w:w w:val="115"/>
        </w:rPr>
        <w:t>los</w:t>
      </w:r>
      <w:r>
        <w:rPr>
          <w:spacing w:val="-15"/>
          <w:w w:val="115"/>
        </w:rPr>
        <w:t> </w:t>
      </w:r>
      <w:r>
        <w:rPr>
          <w:w w:val="115"/>
        </w:rPr>
        <w:t>próximos</w:t>
      </w:r>
      <w:r>
        <w:rPr>
          <w:spacing w:val="-15"/>
          <w:w w:val="115"/>
        </w:rPr>
        <w:t> </w:t>
      </w:r>
      <w:r>
        <w:rPr>
          <w:w w:val="115"/>
        </w:rPr>
        <w:t>20</w:t>
      </w:r>
      <w:r>
        <w:rPr>
          <w:spacing w:val="-15"/>
          <w:w w:val="115"/>
        </w:rPr>
        <w:t> </w:t>
      </w:r>
      <w:r>
        <w:rPr>
          <w:w w:val="115"/>
        </w:rPr>
        <w:t>años</w:t>
      </w:r>
      <w:r>
        <w:rPr>
          <w:spacing w:val="-15"/>
          <w:w w:val="115"/>
        </w:rPr>
        <w:t> </w:t>
      </w:r>
      <w:r>
        <w:rPr>
          <w:w w:val="115"/>
        </w:rPr>
        <w:t>logra</w:t>
      </w:r>
      <w:r>
        <w:rPr>
          <w:spacing w:val="-15"/>
          <w:w w:val="115"/>
        </w:rPr>
        <w:t> </w:t>
      </w:r>
      <w:r>
        <w:rPr>
          <w:w w:val="115"/>
        </w:rPr>
        <w:t>establecer</w:t>
      </w:r>
      <w:r>
        <w:rPr>
          <w:spacing w:val="-15"/>
          <w:w w:val="115"/>
        </w:rPr>
        <w:t> </w:t>
      </w:r>
      <w:r>
        <w:rPr>
          <w:w w:val="115"/>
        </w:rPr>
        <w:t>un pacto de amistad y desarrollo con Estados unidos. según Kissinger (2004), “China piensa que una sociedad con EE.uu. es el mejor ca- mino</w:t>
      </w:r>
      <w:r>
        <w:rPr>
          <w:spacing w:val="-10"/>
          <w:w w:val="115"/>
        </w:rPr>
        <w:t> </w:t>
      </w:r>
      <w:r>
        <w:rPr>
          <w:w w:val="115"/>
        </w:rPr>
        <w:t>hacia</w:t>
      </w:r>
      <w:r>
        <w:rPr>
          <w:spacing w:val="-10"/>
          <w:w w:val="115"/>
        </w:rPr>
        <w:t> </w:t>
      </w:r>
      <w:r>
        <w:rPr>
          <w:w w:val="115"/>
        </w:rPr>
        <w:t>una</w:t>
      </w:r>
      <w:r>
        <w:rPr>
          <w:spacing w:val="-10"/>
          <w:w w:val="115"/>
        </w:rPr>
        <w:t> </w:t>
      </w:r>
      <w:r>
        <w:rPr>
          <w:w w:val="115"/>
        </w:rPr>
        <w:t>década</w:t>
      </w:r>
      <w:r>
        <w:rPr>
          <w:spacing w:val="-10"/>
          <w:w w:val="115"/>
        </w:rPr>
        <w:t> </w:t>
      </w:r>
      <w:r>
        <w:rPr>
          <w:w w:val="115"/>
        </w:rPr>
        <w:t>de</w:t>
      </w:r>
      <w:r>
        <w:rPr>
          <w:spacing w:val="-10"/>
          <w:w w:val="115"/>
        </w:rPr>
        <w:t> </w:t>
      </w:r>
      <w:r>
        <w:rPr>
          <w:w w:val="115"/>
        </w:rPr>
        <w:t>estabilidad”.</w:t>
      </w:r>
      <w:r>
        <w:rPr>
          <w:spacing w:val="-10"/>
          <w:w w:val="115"/>
        </w:rPr>
        <w:t> </w:t>
      </w:r>
      <w:r>
        <w:rPr>
          <w:w w:val="115"/>
        </w:rPr>
        <w:t>Por</w:t>
      </w:r>
      <w:r>
        <w:rPr>
          <w:spacing w:val="-10"/>
          <w:w w:val="115"/>
        </w:rPr>
        <w:t> </w:t>
      </w:r>
      <w:r>
        <w:rPr>
          <w:w w:val="115"/>
        </w:rPr>
        <w:t>ahora,</w:t>
      </w:r>
      <w:r>
        <w:rPr>
          <w:spacing w:val="-10"/>
          <w:w w:val="115"/>
        </w:rPr>
        <w:t> </w:t>
      </w:r>
      <w:r>
        <w:rPr>
          <w:w w:val="115"/>
        </w:rPr>
        <w:t>sin</w:t>
      </w:r>
      <w:r>
        <w:rPr>
          <w:spacing w:val="-10"/>
          <w:w w:val="115"/>
        </w:rPr>
        <w:t> </w:t>
      </w:r>
      <w:r>
        <w:rPr>
          <w:w w:val="115"/>
        </w:rPr>
        <w:t>embargo,</w:t>
      </w:r>
      <w:r>
        <w:rPr>
          <w:spacing w:val="-10"/>
          <w:w w:val="115"/>
        </w:rPr>
        <w:t> </w:t>
      </w:r>
      <w:r>
        <w:rPr>
          <w:w w:val="115"/>
        </w:rPr>
        <w:t>esta alternativa</w:t>
      </w:r>
      <w:r>
        <w:rPr>
          <w:spacing w:val="-10"/>
          <w:w w:val="115"/>
        </w:rPr>
        <w:t> </w:t>
      </w:r>
      <w:r>
        <w:rPr>
          <w:w w:val="115"/>
        </w:rPr>
        <w:t>se</w:t>
      </w:r>
      <w:r>
        <w:rPr>
          <w:spacing w:val="-10"/>
          <w:w w:val="115"/>
        </w:rPr>
        <w:t> </w:t>
      </w:r>
      <w:r>
        <w:rPr>
          <w:w w:val="115"/>
        </w:rPr>
        <w:t>encuentra</w:t>
      </w:r>
      <w:r>
        <w:rPr>
          <w:spacing w:val="-10"/>
          <w:w w:val="115"/>
        </w:rPr>
        <w:t> </w:t>
      </w:r>
      <w:r>
        <w:rPr>
          <w:w w:val="115"/>
        </w:rPr>
        <w:t>fuera</w:t>
      </w:r>
      <w:r>
        <w:rPr>
          <w:spacing w:val="-10"/>
          <w:w w:val="115"/>
        </w:rPr>
        <w:t> </w:t>
      </w:r>
      <w:r>
        <w:rPr>
          <w:w w:val="115"/>
        </w:rPr>
        <w:t>del</w:t>
      </w:r>
      <w:r>
        <w:rPr>
          <w:spacing w:val="-10"/>
          <w:w w:val="115"/>
        </w:rPr>
        <w:t> </w:t>
      </w:r>
      <w:r>
        <w:rPr>
          <w:w w:val="115"/>
        </w:rPr>
        <w:t>marco</w:t>
      </w:r>
      <w:r>
        <w:rPr>
          <w:spacing w:val="-10"/>
          <w:w w:val="115"/>
        </w:rPr>
        <w:t> </w:t>
      </w:r>
      <w:r>
        <w:rPr>
          <w:w w:val="115"/>
        </w:rPr>
        <w:t>definido</w:t>
      </w:r>
      <w:r>
        <w:rPr>
          <w:spacing w:val="-10"/>
          <w:w w:val="115"/>
        </w:rPr>
        <w:t> </w:t>
      </w:r>
      <w:r>
        <w:rPr>
          <w:w w:val="115"/>
        </w:rPr>
        <w:t>por</w:t>
      </w:r>
      <w:r>
        <w:rPr>
          <w:spacing w:val="-10"/>
          <w:w w:val="115"/>
        </w:rPr>
        <w:t> </w:t>
      </w:r>
      <w:r>
        <w:rPr>
          <w:w w:val="115"/>
        </w:rPr>
        <w:t>los</w:t>
      </w:r>
      <w:r>
        <w:rPr>
          <w:spacing w:val="-10"/>
          <w:w w:val="115"/>
        </w:rPr>
        <w:t> </w:t>
      </w:r>
      <w:r>
        <w:rPr>
          <w:w w:val="115"/>
        </w:rPr>
        <w:t>estrategas </w:t>
      </w:r>
      <w:r>
        <w:rPr>
          <w:w w:val="110"/>
        </w:rPr>
        <w:t>de</w:t>
      </w:r>
      <w:r>
        <w:rPr>
          <w:spacing w:val="26"/>
          <w:w w:val="110"/>
        </w:rPr>
        <w:t> </w:t>
      </w:r>
      <w:r>
        <w:rPr>
          <w:w w:val="110"/>
        </w:rPr>
        <w:t>Washington.</w:t>
      </w:r>
    </w:p>
    <w:p>
      <w:pPr>
        <w:pStyle w:val="BodyText"/>
        <w:spacing w:line="252" w:lineRule="auto"/>
        <w:ind w:left="100" w:right="328" w:firstLine="396"/>
        <w:jc w:val="both"/>
      </w:pPr>
      <w:r>
        <w:rPr>
          <w:w w:val="110"/>
        </w:rPr>
        <w:t>¿Podrá China desempeñar ese papel capaz de dinamizar la eco- nomía mundial? alejandro Nadal (2011) lo ve difícil. según el econo- mista mexicano,</w:t>
      </w:r>
    </w:p>
    <w:p>
      <w:pPr>
        <w:spacing w:after="0" w:line="252" w:lineRule="auto"/>
        <w:jc w:val="both"/>
        <w:sectPr>
          <w:pgSz w:w="8790" w:h="12760"/>
          <w:pgMar w:header="697" w:footer="723" w:top="880" w:bottom="920" w:left="920" w:right="1200"/>
        </w:sectPr>
      </w:pPr>
    </w:p>
    <w:p>
      <w:pPr>
        <w:pStyle w:val="BodyText"/>
        <w:spacing w:before="8"/>
        <w:rPr>
          <w:sz w:val="28"/>
        </w:rPr>
      </w:pPr>
    </w:p>
    <w:p>
      <w:pPr>
        <w:spacing w:before="71"/>
        <w:ind w:left="727" w:right="115" w:firstLine="0"/>
        <w:jc w:val="both"/>
        <w:rPr>
          <w:sz w:val="18"/>
        </w:rPr>
      </w:pPr>
      <w:r>
        <w:rPr>
          <w:w w:val="115"/>
          <w:sz w:val="18"/>
        </w:rPr>
        <w:t>[…] la economía (china) está enferma de su propia (y gigantesca) </w:t>
      </w:r>
      <w:r>
        <w:rPr>
          <w:spacing w:val="2"/>
          <w:w w:val="108"/>
          <w:sz w:val="18"/>
        </w:rPr>
        <w:t>burbuj</w:t>
      </w:r>
      <w:r>
        <w:rPr>
          <w:w w:val="108"/>
          <w:sz w:val="18"/>
        </w:rPr>
        <w:t>a</w:t>
      </w:r>
      <w:r>
        <w:rPr>
          <w:sz w:val="18"/>
        </w:rPr>
        <w:t> </w:t>
      </w:r>
      <w:r>
        <w:rPr>
          <w:spacing w:val="9"/>
          <w:sz w:val="18"/>
        </w:rPr>
        <w:t> </w:t>
      </w:r>
      <w:r>
        <w:rPr>
          <w:spacing w:val="2"/>
          <w:w w:val="104"/>
          <w:sz w:val="18"/>
        </w:rPr>
        <w:t>d</w:t>
      </w:r>
      <w:r>
        <w:rPr>
          <w:w w:val="104"/>
          <w:sz w:val="18"/>
        </w:rPr>
        <w:t>e</w:t>
      </w:r>
      <w:r>
        <w:rPr>
          <w:sz w:val="18"/>
        </w:rPr>
        <w:t> </w:t>
      </w:r>
      <w:r>
        <w:rPr>
          <w:spacing w:val="9"/>
          <w:sz w:val="18"/>
        </w:rPr>
        <w:t> </w:t>
      </w:r>
      <w:r>
        <w:rPr>
          <w:spacing w:val="2"/>
          <w:w w:val="106"/>
          <w:sz w:val="18"/>
        </w:rPr>
        <w:t>biene</w:t>
      </w:r>
      <w:r>
        <w:rPr>
          <w:w w:val="106"/>
          <w:sz w:val="18"/>
        </w:rPr>
        <w:t>s</w:t>
      </w:r>
      <w:r>
        <w:rPr>
          <w:sz w:val="18"/>
        </w:rPr>
        <w:t> </w:t>
      </w:r>
      <w:r>
        <w:rPr>
          <w:spacing w:val="9"/>
          <w:sz w:val="18"/>
        </w:rPr>
        <w:t> </w:t>
      </w:r>
      <w:r>
        <w:rPr>
          <w:spacing w:val="2"/>
          <w:w w:val="109"/>
          <w:sz w:val="18"/>
        </w:rPr>
        <w:t>raíces</w:t>
      </w:r>
      <w:r>
        <w:rPr>
          <w:w w:val="109"/>
          <w:sz w:val="18"/>
        </w:rPr>
        <w:t>.</w:t>
      </w:r>
      <w:r>
        <w:rPr>
          <w:sz w:val="18"/>
        </w:rPr>
        <w:t> </w:t>
      </w:r>
      <w:r>
        <w:rPr>
          <w:spacing w:val="9"/>
          <w:sz w:val="18"/>
        </w:rPr>
        <w:t> </w:t>
      </w:r>
      <w:r>
        <w:rPr>
          <w:spacing w:val="2"/>
          <w:w w:val="238"/>
          <w:sz w:val="18"/>
        </w:rPr>
        <w:t>l</w:t>
      </w:r>
      <w:r>
        <w:rPr>
          <w:w w:val="109"/>
          <w:sz w:val="18"/>
        </w:rPr>
        <w:t>a</w:t>
      </w:r>
      <w:r>
        <w:rPr>
          <w:sz w:val="18"/>
        </w:rPr>
        <w:t> </w:t>
      </w:r>
      <w:r>
        <w:rPr>
          <w:spacing w:val="9"/>
          <w:sz w:val="18"/>
        </w:rPr>
        <w:t> </w:t>
      </w:r>
      <w:r>
        <w:rPr>
          <w:spacing w:val="2"/>
          <w:w w:val="107"/>
          <w:sz w:val="18"/>
        </w:rPr>
        <w:t>expansió</w:t>
      </w:r>
      <w:r>
        <w:rPr>
          <w:w w:val="107"/>
          <w:sz w:val="18"/>
        </w:rPr>
        <w:t>n</w:t>
      </w:r>
      <w:r>
        <w:rPr>
          <w:sz w:val="18"/>
        </w:rPr>
        <w:t> </w:t>
      </w:r>
      <w:r>
        <w:rPr>
          <w:spacing w:val="9"/>
          <w:sz w:val="18"/>
        </w:rPr>
        <w:t> </w:t>
      </w:r>
      <w:r>
        <w:rPr>
          <w:spacing w:val="2"/>
          <w:w w:val="104"/>
          <w:sz w:val="18"/>
        </w:rPr>
        <w:t>d</w:t>
      </w:r>
      <w:r>
        <w:rPr>
          <w:w w:val="104"/>
          <w:sz w:val="18"/>
        </w:rPr>
        <w:t>e</w:t>
      </w:r>
      <w:r>
        <w:rPr>
          <w:sz w:val="18"/>
        </w:rPr>
        <w:t> </w:t>
      </w:r>
      <w:r>
        <w:rPr>
          <w:spacing w:val="9"/>
          <w:sz w:val="18"/>
        </w:rPr>
        <w:t> </w:t>
      </w:r>
      <w:r>
        <w:rPr>
          <w:spacing w:val="2"/>
          <w:w w:val="107"/>
          <w:sz w:val="18"/>
        </w:rPr>
        <w:t>crédit</w:t>
      </w:r>
      <w:r>
        <w:rPr>
          <w:w w:val="107"/>
          <w:sz w:val="18"/>
        </w:rPr>
        <w:t>o</w:t>
      </w:r>
      <w:r>
        <w:rPr>
          <w:sz w:val="18"/>
        </w:rPr>
        <w:t> </w:t>
      </w:r>
      <w:r>
        <w:rPr>
          <w:spacing w:val="9"/>
          <w:sz w:val="18"/>
        </w:rPr>
        <w:t> </w:t>
      </w:r>
      <w:r>
        <w:rPr>
          <w:spacing w:val="2"/>
          <w:w w:val="104"/>
          <w:sz w:val="18"/>
        </w:rPr>
        <w:t>d</w:t>
      </w:r>
      <w:r>
        <w:rPr>
          <w:w w:val="104"/>
          <w:sz w:val="18"/>
        </w:rPr>
        <w:t>e</w:t>
      </w:r>
      <w:r>
        <w:rPr>
          <w:sz w:val="18"/>
        </w:rPr>
        <w:t> </w:t>
      </w:r>
      <w:r>
        <w:rPr>
          <w:spacing w:val="9"/>
          <w:sz w:val="18"/>
        </w:rPr>
        <w:t> </w:t>
      </w:r>
      <w:r>
        <w:rPr>
          <w:spacing w:val="2"/>
          <w:w w:val="106"/>
          <w:sz w:val="18"/>
        </w:rPr>
        <w:t>lo</w:t>
      </w:r>
      <w:r>
        <w:rPr>
          <w:w w:val="106"/>
          <w:sz w:val="18"/>
        </w:rPr>
        <w:t>s</w:t>
      </w:r>
      <w:r>
        <w:rPr>
          <w:sz w:val="18"/>
        </w:rPr>
        <w:t> </w:t>
      </w:r>
      <w:r>
        <w:rPr>
          <w:spacing w:val="9"/>
          <w:sz w:val="18"/>
        </w:rPr>
        <w:t> </w:t>
      </w:r>
      <w:r>
        <w:rPr>
          <w:spacing w:val="2"/>
          <w:w w:val="108"/>
          <w:sz w:val="18"/>
        </w:rPr>
        <w:t>últimos </w:t>
      </w:r>
      <w:r>
        <w:rPr>
          <w:w w:val="115"/>
          <w:sz w:val="18"/>
        </w:rPr>
        <w:t>años llevó a una orgía de inversiones que generaron capacidad ex- cedente</w:t>
      </w:r>
      <w:r>
        <w:rPr>
          <w:spacing w:val="-4"/>
          <w:w w:val="115"/>
          <w:sz w:val="18"/>
        </w:rPr>
        <w:t> </w:t>
      </w:r>
      <w:r>
        <w:rPr>
          <w:w w:val="115"/>
          <w:sz w:val="18"/>
        </w:rPr>
        <w:t>en</w:t>
      </w:r>
      <w:r>
        <w:rPr>
          <w:spacing w:val="-4"/>
          <w:w w:val="115"/>
          <w:sz w:val="18"/>
        </w:rPr>
        <w:t> </w:t>
      </w:r>
      <w:r>
        <w:rPr>
          <w:w w:val="115"/>
          <w:sz w:val="18"/>
        </w:rPr>
        <w:t>muchos</w:t>
      </w:r>
      <w:r>
        <w:rPr>
          <w:spacing w:val="-4"/>
          <w:w w:val="115"/>
          <w:sz w:val="18"/>
        </w:rPr>
        <w:t> </w:t>
      </w:r>
      <w:r>
        <w:rPr>
          <w:w w:val="115"/>
          <w:sz w:val="18"/>
        </w:rPr>
        <w:t>rubros</w:t>
      </w:r>
      <w:r>
        <w:rPr>
          <w:spacing w:val="-4"/>
          <w:w w:val="115"/>
          <w:sz w:val="18"/>
        </w:rPr>
        <w:t> </w:t>
      </w:r>
      <w:r>
        <w:rPr>
          <w:w w:val="115"/>
          <w:sz w:val="18"/>
        </w:rPr>
        <w:t>estratégicos.</w:t>
      </w:r>
      <w:r>
        <w:rPr>
          <w:spacing w:val="-4"/>
          <w:w w:val="115"/>
          <w:sz w:val="18"/>
        </w:rPr>
        <w:t> </w:t>
      </w:r>
      <w:r>
        <w:rPr>
          <w:w w:val="115"/>
          <w:sz w:val="18"/>
        </w:rPr>
        <w:t>a</w:t>
      </w:r>
      <w:r>
        <w:rPr>
          <w:spacing w:val="-4"/>
          <w:w w:val="115"/>
          <w:sz w:val="18"/>
        </w:rPr>
        <w:t> </w:t>
      </w:r>
      <w:r>
        <w:rPr>
          <w:w w:val="115"/>
          <w:sz w:val="18"/>
        </w:rPr>
        <w:t>pesar</w:t>
      </w:r>
      <w:r>
        <w:rPr>
          <w:spacing w:val="-4"/>
          <w:w w:val="115"/>
          <w:sz w:val="18"/>
        </w:rPr>
        <w:t> </w:t>
      </w:r>
      <w:r>
        <w:rPr>
          <w:w w:val="115"/>
          <w:sz w:val="18"/>
        </w:rPr>
        <w:t>de</w:t>
      </w:r>
      <w:r>
        <w:rPr>
          <w:spacing w:val="-4"/>
          <w:w w:val="115"/>
          <w:sz w:val="18"/>
        </w:rPr>
        <w:t> </w:t>
      </w:r>
      <w:r>
        <w:rPr>
          <w:w w:val="115"/>
          <w:sz w:val="18"/>
        </w:rPr>
        <w:t>su</w:t>
      </w:r>
      <w:r>
        <w:rPr>
          <w:spacing w:val="-4"/>
          <w:w w:val="115"/>
          <w:sz w:val="18"/>
        </w:rPr>
        <w:t> </w:t>
      </w:r>
      <w:r>
        <w:rPr>
          <w:w w:val="115"/>
          <w:sz w:val="18"/>
        </w:rPr>
        <w:t>muy</w:t>
      </w:r>
      <w:r>
        <w:rPr>
          <w:spacing w:val="-4"/>
          <w:w w:val="115"/>
          <w:sz w:val="18"/>
        </w:rPr>
        <w:t> </w:t>
      </w:r>
      <w:r>
        <w:rPr>
          <w:w w:val="115"/>
          <w:sz w:val="18"/>
        </w:rPr>
        <w:t>dinámi- ca industria de la construcción, China sólo ha podido consumir 65 por ciento de su producción de cemento durante los últimos cinco años.</w:t>
      </w:r>
      <w:r>
        <w:rPr>
          <w:spacing w:val="-16"/>
          <w:w w:val="115"/>
          <w:sz w:val="18"/>
        </w:rPr>
        <w:t> </w:t>
      </w:r>
      <w:r>
        <w:rPr>
          <w:w w:val="115"/>
          <w:sz w:val="18"/>
        </w:rPr>
        <w:t>En</w:t>
      </w:r>
      <w:r>
        <w:rPr>
          <w:spacing w:val="-16"/>
          <w:w w:val="115"/>
          <w:sz w:val="18"/>
        </w:rPr>
        <w:t> </w:t>
      </w:r>
      <w:r>
        <w:rPr>
          <w:w w:val="115"/>
          <w:sz w:val="18"/>
        </w:rPr>
        <w:t>la</w:t>
      </w:r>
      <w:r>
        <w:rPr>
          <w:spacing w:val="-16"/>
          <w:w w:val="115"/>
          <w:sz w:val="18"/>
        </w:rPr>
        <w:t> </w:t>
      </w:r>
      <w:r>
        <w:rPr>
          <w:w w:val="115"/>
          <w:sz w:val="18"/>
        </w:rPr>
        <w:t>producción</w:t>
      </w:r>
      <w:r>
        <w:rPr>
          <w:spacing w:val="-16"/>
          <w:w w:val="115"/>
          <w:sz w:val="18"/>
        </w:rPr>
        <w:t> </w:t>
      </w:r>
      <w:r>
        <w:rPr>
          <w:w w:val="115"/>
          <w:sz w:val="18"/>
        </w:rPr>
        <w:t>de</w:t>
      </w:r>
      <w:r>
        <w:rPr>
          <w:spacing w:val="-16"/>
          <w:w w:val="115"/>
          <w:sz w:val="18"/>
        </w:rPr>
        <w:t> </w:t>
      </w:r>
      <w:r>
        <w:rPr>
          <w:w w:val="115"/>
          <w:sz w:val="18"/>
        </w:rPr>
        <w:t>acero</w:t>
      </w:r>
      <w:r>
        <w:rPr>
          <w:spacing w:val="-16"/>
          <w:w w:val="115"/>
          <w:sz w:val="18"/>
        </w:rPr>
        <w:t> </w:t>
      </w:r>
      <w:r>
        <w:rPr>
          <w:w w:val="115"/>
          <w:sz w:val="18"/>
        </w:rPr>
        <w:t>China</w:t>
      </w:r>
      <w:r>
        <w:rPr>
          <w:spacing w:val="-16"/>
          <w:w w:val="115"/>
          <w:sz w:val="18"/>
        </w:rPr>
        <w:t> </w:t>
      </w:r>
      <w:r>
        <w:rPr>
          <w:w w:val="115"/>
          <w:sz w:val="18"/>
        </w:rPr>
        <w:t>tiene</w:t>
      </w:r>
      <w:r>
        <w:rPr>
          <w:spacing w:val="-16"/>
          <w:w w:val="115"/>
          <w:sz w:val="18"/>
        </w:rPr>
        <w:t> </w:t>
      </w:r>
      <w:r>
        <w:rPr>
          <w:w w:val="115"/>
          <w:sz w:val="18"/>
        </w:rPr>
        <w:t>una</w:t>
      </w:r>
      <w:r>
        <w:rPr>
          <w:spacing w:val="-16"/>
          <w:w w:val="115"/>
          <w:sz w:val="18"/>
        </w:rPr>
        <w:t> </w:t>
      </w:r>
      <w:r>
        <w:rPr>
          <w:w w:val="115"/>
          <w:sz w:val="18"/>
        </w:rPr>
        <w:t>capacidad</w:t>
      </w:r>
      <w:r>
        <w:rPr>
          <w:spacing w:val="-16"/>
          <w:w w:val="115"/>
          <w:sz w:val="18"/>
        </w:rPr>
        <w:t> </w:t>
      </w:r>
      <w:r>
        <w:rPr>
          <w:w w:val="115"/>
          <w:sz w:val="18"/>
        </w:rPr>
        <w:t>exceden- te superior a los 200 millones de toneladas (suma comparable a la </w:t>
      </w:r>
      <w:r>
        <w:rPr>
          <w:spacing w:val="2"/>
          <w:w w:val="109"/>
          <w:sz w:val="18"/>
        </w:rPr>
        <w:t>producció</w:t>
      </w:r>
      <w:r>
        <w:rPr>
          <w:w w:val="109"/>
          <w:sz w:val="18"/>
        </w:rPr>
        <w:t>n</w:t>
      </w:r>
      <w:r>
        <w:rPr>
          <w:sz w:val="18"/>
        </w:rPr>
        <w:t> </w:t>
      </w:r>
      <w:r>
        <w:rPr>
          <w:spacing w:val="-12"/>
          <w:sz w:val="18"/>
        </w:rPr>
        <w:t> </w:t>
      </w:r>
      <w:r>
        <w:rPr>
          <w:spacing w:val="2"/>
          <w:w w:val="109"/>
          <w:sz w:val="18"/>
        </w:rPr>
        <w:t>anua</w:t>
      </w:r>
      <w:r>
        <w:rPr>
          <w:w w:val="109"/>
          <w:sz w:val="18"/>
        </w:rPr>
        <w:t>l</w:t>
      </w:r>
      <w:r>
        <w:rPr>
          <w:sz w:val="18"/>
        </w:rPr>
        <w:t> </w:t>
      </w:r>
      <w:r>
        <w:rPr>
          <w:spacing w:val="-12"/>
          <w:sz w:val="18"/>
        </w:rPr>
        <w:t> </w:t>
      </w:r>
      <w:r>
        <w:rPr>
          <w:spacing w:val="2"/>
          <w:w w:val="104"/>
          <w:sz w:val="18"/>
        </w:rPr>
        <w:t>d</w:t>
      </w:r>
      <w:r>
        <w:rPr>
          <w:w w:val="104"/>
          <w:sz w:val="18"/>
        </w:rPr>
        <w:t>e</w:t>
      </w:r>
      <w:r>
        <w:rPr>
          <w:sz w:val="18"/>
        </w:rPr>
        <w:t> </w:t>
      </w:r>
      <w:r>
        <w:rPr>
          <w:spacing w:val="-12"/>
          <w:sz w:val="18"/>
        </w:rPr>
        <w:t> </w:t>
      </w:r>
      <w:r>
        <w:rPr>
          <w:spacing w:val="2"/>
          <w:w w:val="111"/>
          <w:sz w:val="18"/>
        </w:rPr>
        <w:t>Europ</w:t>
      </w:r>
      <w:r>
        <w:rPr>
          <w:w w:val="111"/>
          <w:sz w:val="18"/>
        </w:rPr>
        <w:t>a</w:t>
      </w:r>
      <w:r>
        <w:rPr>
          <w:sz w:val="18"/>
        </w:rPr>
        <w:t> </w:t>
      </w:r>
      <w:r>
        <w:rPr>
          <w:spacing w:val="-12"/>
          <w:sz w:val="18"/>
        </w:rPr>
        <w:t> </w:t>
      </w:r>
      <w:r>
        <w:rPr>
          <w:w w:val="102"/>
          <w:sz w:val="18"/>
        </w:rPr>
        <w:t>y</w:t>
      </w:r>
      <w:r>
        <w:rPr>
          <w:sz w:val="18"/>
        </w:rPr>
        <w:t> </w:t>
      </w:r>
      <w:r>
        <w:rPr>
          <w:spacing w:val="-12"/>
          <w:sz w:val="18"/>
        </w:rPr>
        <w:t> </w:t>
      </w:r>
      <w:r>
        <w:rPr>
          <w:spacing w:val="2"/>
          <w:w w:val="113"/>
          <w:sz w:val="18"/>
        </w:rPr>
        <w:t>Japón)</w:t>
      </w:r>
      <w:r>
        <w:rPr>
          <w:w w:val="113"/>
          <w:sz w:val="18"/>
        </w:rPr>
        <w:t>.</w:t>
      </w:r>
      <w:r>
        <w:rPr>
          <w:sz w:val="18"/>
        </w:rPr>
        <w:t> </w:t>
      </w:r>
      <w:r>
        <w:rPr>
          <w:spacing w:val="-12"/>
          <w:sz w:val="18"/>
        </w:rPr>
        <w:t> </w:t>
      </w:r>
      <w:r>
        <w:rPr>
          <w:spacing w:val="2"/>
          <w:w w:val="238"/>
          <w:sz w:val="18"/>
        </w:rPr>
        <w:t>l</w:t>
      </w:r>
      <w:r>
        <w:rPr>
          <w:w w:val="109"/>
          <w:sz w:val="18"/>
        </w:rPr>
        <w:t>a</w:t>
      </w:r>
      <w:r>
        <w:rPr>
          <w:sz w:val="18"/>
        </w:rPr>
        <w:t> </w:t>
      </w:r>
      <w:r>
        <w:rPr>
          <w:spacing w:val="-12"/>
          <w:sz w:val="18"/>
        </w:rPr>
        <w:t> </w:t>
      </w:r>
      <w:r>
        <w:rPr>
          <w:spacing w:val="2"/>
          <w:w w:val="108"/>
          <w:sz w:val="18"/>
        </w:rPr>
        <w:t>burbuj</w:t>
      </w:r>
      <w:r>
        <w:rPr>
          <w:w w:val="108"/>
          <w:sz w:val="18"/>
        </w:rPr>
        <w:t>a</w:t>
      </w:r>
      <w:r>
        <w:rPr>
          <w:sz w:val="18"/>
        </w:rPr>
        <w:t> </w:t>
      </w:r>
      <w:r>
        <w:rPr>
          <w:spacing w:val="-12"/>
          <w:sz w:val="18"/>
        </w:rPr>
        <w:t> </w:t>
      </w:r>
      <w:r>
        <w:rPr>
          <w:spacing w:val="2"/>
          <w:w w:val="104"/>
          <w:sz w:val="18"/>
        </w:rPr>
        <w:t>d</w:t>
      </w:r>
      <w:r>
        <w:rPr>
          <w:w w:val="104"/>
          <w:sz w:val="18"/>
        </w:rPr>
        <w:t>e</w:t>
      </w:r>
      <w:r>
        <w:rPr>
          <w:sz w:val="18"/>
        </w:rPr>
        <w:t> </w:t>
      </w:r>
      <w:r>
        <w:rPr>
          <w:spacing w:val="-12"/>
          <w:sz w:val="18"/>
        </w:rPr>
        <w:t> </w:t>
      </w:r>
      <w:r>
        <w:rPr>
          <w:spacing w:val="2"/>
          <w:w w:val="106"/>
          <w:sz w:val="18"/>
        </w:rPr>
        <w:t>biene</w:t>
      </w:r>
      <w:r>
        <w:rPr>
          <w:w w:val="106"/>
          <w:sz w:val="18"/>
        </w:rPr>
        <w:t>s</w:t>
      </w:r>
      <w:r>
        <w:rPr>
          <w:sz w:val="18"/>
        </w:rPr>
        <w:t> </w:t>
      </w:r>
      <w:r>
        <w:rPr>
          <w:spacing w:val="-12"/>
          <w:sz w:val="18"/>
        </w:rPr>
        <w:t> </w:t>
      </w:r>
      <w:r>
        <w:rPr>
          <w:spacing w:val="2"/>
          <w:w w:val="107"/>
          <w:sz w:val="18"/>
        </w:rPr>
        <w:t>raíces </w:t>
      </w:r>
      <w:r>
        <w:rPr>
          <w:w w:val="115"/>
          <w:sz w:val="18"/>
        </w:rPr>
        <w:t>alcanza dimensiones astronómicas: hoy existen 3 mil millones de metros cúbicos desocupados y este año se espera se añadan otros 200</w:t>
      </w:r>
      <w:r>
        <w:rPr>
          <w:spacing w:val="-19"/>
          <w:w w:val="115"/>
          <w:sz w:val="18"/>
        </w:rPr>
        <w:t> </w:t>
      </w:r>
      <w:r>
        <w:rPr>
          <w:w w:val="115"/>
          <w:sz w:val="18"/>
        </w:rPr>
        <w:t>millones</w:t>
      </w:r>
      <w:r>
        <w:rPr>
          <w:spacing w:val="-19"/>
          <w:w w:val="115"/>
          <w:sz w:val="18"/>
        </w:rPr>
        <w:t> </w:t>
      </w:r>
      <w:r>
        <w:rPr>
          <w:w w:val="115"/>
          <w:sz w:val="18"/>
        </w:rPr>
        <w:t>de</w:t>
      </w:r>
      <w:r>
        <w:rPr>
          <w:spacing w:val="-19"/>
          <w:w w:val="115"/>
          <w:sz w:val="18"/>
        </w:rPr>
        <w:t> </w:t>
      </w:r>
      <w:r>
        <w:rPr>
          <w:w w:val="115"/>
          <w:sz w:val="18"/>
        </w:rPr>
        <w:t>metros</w:t>
      </w:r>
      <w:r>
        <w:rPr>
          <w:spacing w:val="-19"/>
          <w:w w:val="115"/>
          <w:sz w:val="18"/>
        </w:rPr>
        <w:t> </w:t>
      </w:r>
      <w:r>
        <w:rPr>
          <w:w w:val="115"/>
          <w:sz w:val="18"/>
        </w:rPr>
        <w:t>cuadrados.</w:t>
      </w:r>
      <w:r>
        <w:rPr>
          <w:spacing w:val="-19"/>
          <w:w w:val="115"/>
          <w:sz w:val="18"/>
        </w:rPr>
        <w:t> </w:t>
      </w:r>
      <w:r>
        <w:rPr>
          <w:w w:val="115"/>
          <w:sz w:val="18"/>
        </w:rPr>
        <w:t>El</w:t>
      </w:r>
      <w:r>
        <w:rPr>
          <w:spacing w:val="-19"/>
          <w:w w:val="115"/>
          <w:sz w:val="18"/>
        </w:rPr>
        <w:t> </w:t>
      </w:r>
      <w:r>
        <w:rPr>
          <w:w w:val="115"/>
          <w:sz w:val="18"/>
        </w:rPr>
        <w:t>impacto</w:t>
      </w:r>
      <w:r>
        <w:rPr>
          <w:spacing w:val="-19"/>
          <w:w w:val="115"/>
          <w:sz w:val="18"/>
        </w:rPr>
        <w:t> </w:t>
      </w:r>
      <w:r>
        <w:rPr>
          <w:w w:val="115"/>
          <w:sz w:val="18"/>
        </w:rPr>
        <w:t>del</w:t>
      </w:r>
      <w:r>
        <w:rPr>
          <w:spacing w:val="-19"/>
          <w:w w:val="115"/>
          <w:sz w:val="18"/>
        </w:rPr>
        <w:t> </w:t>
      </w:r>
      <w:r>
        <w:rPr>
          <w:w w:val="115"/>
          <w:sz w:val="18"/>
        </w:rPr>
        <w:t>estancamiento</w:t>
      </w:r>
      <w:r>
        <w:rPr>
          <w:spacing w:val="-19"/>
          <w:w w:val="115"/>
          <w:sz w:val="18"/>
        </w:rPr>
        <w:t> </w:t>
      </w:r>
      <w:r>
        <w:rPr>
          <w:w w:val="115"/>
          <w:sz w:val="18"/>
        </w:rPr>
        <w:t>en EE.uu.</w:t>
      </w:r>
      <w:r>
        <w:rPr>
          <w:spacing w:val="-5"/>
          <w:w w:val="115"/>
          <w:sz w:val="18"/>
        </w:rPr>
        <w:t> </w:t>
      </w:r>
      <w:r>
        <w:rPr>
          <w:w w:val="115"/>
          <w:sz w:val="18"/>
        </w:rPr>
        <w:t>y</w:t>
      </w:r>
      <w:r>
        <w:rPr>
          <w:spacing w:val="-5"/>
          <w:w w:val="115"/>
          <w:sz w:val="18"/>
        </w:rPr>
        <w:t> </w:t>
      </w:r>
      <w:r>
        <w:rPr>
          <w:w w:val="115"/>
          <w:sz w:val="18"/>
        </w:rPr>
        <w:t>Europa</w:t>
      </w:r>
      <w:r>
        <w:rPr>
          <w:spacing w:val="-5"/>
          <w:w w:val="115"/>
          <w:sz w:val="18"/>
        </w:rPr>
        <w:t> </w:t>
      </w:r>
      <w:r>
        <w:rPr>
          <w:w w:val="115"/>
          <w:sz w:val="18"/>
        </w:rPr>
        <w:t>podría</w:t>
      </w:r>
      <w:r>
        <w:rPr>
          <w:spacing w:val="-5"/>
          <w:w w:val="115"/>
          <w:sz w:val="18"/>
        </w:rPr>
        <w:t> </w:t>
      </w:r>
      <w:r>
        <w:rPr>
          <w:w w:val="115"/>
          <w:sz w:val="18"/>
        </w:rPr>
        <w:t>llevar</w:t>
      </w:r>
      <w:r>
        <w:rPr>
          <w:spacing w:val="-5"/>
          <w:w w:val="115"/>
          <w:sz w:val="18"/>
        </w:rPr>
        <w:t> </w:t>
      </w:r>
      <w:r>
        <w:rPr>
          <w:w w:val="115"/>
          <w:sz w:val="18"/>
        </w:rPr>
        <w:t>a</w:t>
      </w:r>
      <w:r>
        <w:rPr>
          <w:spacing w:val="-5"/>
          <w:w w:val="115"/>
          <w:sz w:val="18"/>
        </w:rPr>
        <w:t> </w:t>
      </w:r>
      <w:r>
        <w:rPr>
          <w:w w:val="115"/>
          <w:sz w:val="18"/>
        </w:rPr>
        <w:t>una</w:t>
      </w:r>
      <w:r>
        <w:rPr>
          <w:spacing w:val="-5"/>
          <w:w w:val="115"/>
          <w:sz w:val="18"/>
        </w:rPr>
        <w:t> </w:t>
      </w:r>
      <w:r>
        <w:rPr>
          <w:w w:val="115"/>
          <w:sz w:val="18"/>
        </w:rPr>
        <w:t>fuerte</w:t>
      </w:r>
      <w:r>
        <w:rPr>
          <w:spacing w:val="-5"/>
          <w:w w:val="115"/>
          <w:sz w:val="18"/>
        </w:rPr>
        <w:t> </w:t>
      </w:r>
      <w:r>
        <w:rPr>
          <w:w w:val="115"/>
          <w:sz w:val="18"/>
        </w:rPr>
        <w:t>reducción</w:t>
      </w:r>
      <w:r>
        <w:rPr>
          <w:spacing w:val="-5"/>
          <w:w w:val="115"/>
          <w:sz w:val="18"/>
        </w:rPr>
        <w:t> </w:t>
      </w:r>
      <w:r>
        <w:rPr>
          <w:w w:val="115"/>
          <w:sz w:val="18"/>
        </w:rPr>
        <w:t>en</w:t>
      </w:r>
      <w:r>
        <w:rPr>
          <w:spacing w:val="-5"/>
          <w:w w:val="115"/>
          <w:sz w:val="18"/>
        </w:rPr>
        <w:t> </w:t>
      </w:r>
      <w:r>
        <w:rPr>
          <w:w w:val="115"/>
          <w:sz w:val="18"/>
        </w:rPr>
        <w:t>el</w:t>
      </w:r>
      <w:r>
        <w:rPr>
          <w:spacing w:val="-5"/>
          <w:w w:val="115"/>
          <w:sz w:val="18"/>
        </w:rPr>
        <w:t> </w:t>
      </w:r>
      <w:r>
        <w:rPr>
          <w:w w:val="115"/>
          <w:sz w:val="18"/>
        </w:rPr>
        <w:t>ritmo</w:t>
      </w:r>
      <w:r>
        <w:rPr>
          <w:spacing w:val="-5"/>
          <w:w w:val="115"/>
          <w:sz w:val="18"/>
        </w:rPr>
        <w:t> </w:t>
      </w:r>
      <w:r>
        <w:rPr>
          <w:w w:val="115"/>
          <w:sz w:val="18"/>
        </w:rPr>
        <w:t>de </w:t>
      </w:r>
      <w:r>
        <w:rPr>
          <w:spacing w:val="2"/>
          <w:w w:val="115"/>
          <w:sz w:val="18"/>
        </w:rPr>
        <w:t>crecimiento.</w:t>
      </w:r>
    </w:p>
    <w:p>
      <w:pPr>
        <w:pStyle w:val="BodyText"/>
        <w:spacing w:before="2"/>
        <w:rPr>
          <w:sz w:val="21"/>
        </w:rPr>
      </w:pPr>
    </w:p>
    <w:p>
      <w:pPr>
        <w:pStyle w:val="BodyText"/>
        <w:spacing w:line="252" w:lineRule="auto"/>
        <w:ind w:left="330" w:right="118"/>
        <w:jc w:val="both"/>
      </w:pPr>
      <w:r>
        <w:rPr>
          <w:w w:val="110"/>
        </w:rPr>
        <w:t>Nadal coincide con los analistas que afirman que “la nueva muralla china está hecha de tofu”. El crecimiento interno de China quizá no sea suficiente. En ese sentido, el pacto con rusia es importante. En última instancia, sin embargo, el puente estratégico con Europa es in- dispensable. El eje entre Pekín y berlín –pasando por Moscú– crearía las condiciones para mantener tanto una economía capitalista vibran- te como una posición hegemónica </w:t>
      </w:r>
      <w:r>
        <w:rPr>
          <w:spacing w:val="23"/>
          <w:w w:val="110"/>
        </w:rPr>
        <w:t> </w:t>
      </w:r>
      <w:r>
        <w:rPr>
          <w:w w:val="110"/>
        </w:rPr>
        <w:t>estable.</w:t>
      </w:r>
    </w:p>
    <w:p>
      <w:pPr>
        <w:pStyle w:val="BodyText"/>
        <w:ind w:left="727"/>
        <w:jc w:val="both"/>
      </w:pPr>
      <w:r>
        <w:rPr>
          <w:w w:val="110"/>
        </w:rPr>
        <w:t>Noyola rodríguez (2014) sostiene que</w:t>
      </w:r>
    </w:p>
    <w:p>
      <w:pPr>
        <w:pStyle w:val="BodyText"/>
        <w:spacing w:before="11"/>
      </w:pPr>
    </w:p>
    <w:p>
      <w:pPr>
        <w:spacing w:before="0"/>
        <w:ind w:left="727" w:right="117" w:firstLine="0"/>
        <w:jc w:val="both"/>
        <w:rPr>
          <w:sz w:val="18"/>
        </w:rPr>
      </w:pPr>
      <w:r>
        <w:rPr>
          <w:w w:val="105"/>
          <w:sz w:val="18"/>
        </w:rPr>
        <w:t>[…] la acumulación capitalista en escala  global  se  orienta  cada  vez</w:t>
      </w:r>
      <w:r>
        <w:rPr>
          <w:spacing w:val="41"/>
          <w:w w:val="105"/>
          <w:sz w:val="18"/>
        </w:rPr>
        <w:t> </w:t>
      </w:r>
      <w:r>
        <w:rPr>
          <w:w w:val="105"/>
          <w:sz w:val="18"/>
        </w:rPr>
        <w:t>más hacia el oriente y el continente asiático requiere, urgentemente, movilizar recursos para conectar las cadenas regionales de </w:t>
      </w:r>
      <w:r>
        <w:rPr>
          <w:spacing w:val="-3"/>
          <w:w w:val="105"/>
          <w:sz w:val="18"/>
        </w:rPr>
        <w:t>valor... </w:t>
      </w:r>
      <w:r>
        <w:rPr>
          <w:w w:val="105"/>
          <w:sz w:val="18"/>
        </w:rPr>
        <w:t>Por ejemplo, a través de la “ruta de la seda del siglo </w:t>
      </w:r>
      <w:r>
        <w:rPr>
          <w:w w:val="120"/>
          <w:sz w:val="18"/>
        </w:rPr>
        <w:t>xxi”, </w:t>
      </w:r>
      <w:r>
        <w:rPr>
          <w:w w:val="105"/>
          <w:sz w:val="18"/>
        </w:rPr>
        <w:t>un cinturón económico que incluye una extensa red de ferrocarriles de alcance continental que vinculará a China con asia Central, rusia, Europa  y</w:t>
      </w:r>
      <w:r>
        <w:rPr>
          <w:spacing w:val="41"/>
          <w:w w:val="105"/>
          <w:sz w:val="18"/>
        </w:rPr>
        <w:t> </w:t>
      </w:r>
      <w:r>
        <w:rPr>
          <w:w w:val="105"/>
          <w:sz w:val="18"/>
        </w:rPr>
        <w:t>quizá  Medio </w:t>
      </w:r>
      <w:r>
        <w:rPr>
          <w:spacing w:val="30"/>
          <w:w w:val="105"/>
          <w:sz w:val="18"/>
        </w:rPr>
        <w:t> </w:t>
      </w:r>
      <w:r>
        <w:rPr>
          <w:w w:val="105"/>
          <w:sz w:val="18"/>
        </w:rPr>
        <w:t>oriente.</w:t>
      </w:r>
    </w:p>
    <w:p>
      <w:pPr>
        <w:pStyle w:val="BodyText"/>
        <w:spacing w:before="1"/>
        <w:rPr>
          <w:sz w:val="21"/>
        </w:rPr>
      </w:pPr>
    </w:p>
    <w:p>
      <w:pPr>
        <w:pStyle w:val="BodyText"/>
        <w:spacing w:line="252" w:lineRule="auto"/>
        <w:ind w:left="330" w:right="118"/>
        <w:jc w:val="both"/>
      </w:pPr>
      <w:r>
        <w:rPr>
          <w:w w:val="110"/>
        </w:rPr>
        <w:t>En la lógica de la ruta de la seda, Pekín acogerá la sede principal del banco asiático de inversiones en infraestructura (aiib). tendrá un capital suscrito de 50 mil millones de dólares y un capital autorizado de 100 mil millones de dólares.</w:t>
      </w:r>
    </w:p>
    <w:p>
      <w:pPr>
        <w:pStyle w:val="BodyText"/>
        <w:spacing w:line="252" w:lineRule="auto"/>
        <w:ind w:left="330" w:right="115" w:firstLine="396"/>
        <w:jc w:val="both"/>
      </w:pPr>
      <w:r>
        <w:rPr>
          <w:w w:val="110"/>
        </w:rPr>
        <w:t>según las estimaciones del banco asiático de desarrollo (con- trolado por Estados unidos y Japón), sólo entre 2010 y 2020 se re- querirán 8 mil millones de dólares para proyectos nacionales y 290 mil millones de dólares para proyectos regionales en materia de in- fraestructura. sin embargo, los préstamos otorgados por el banco asiático de desarrollo por un monto de 10 mil millones de dólares     en términos anuales, son insuficientes para satisfacer el nivel de de- manda  de</w:t>
      </w:r>
      <w:r>
        <w:rPr>
          <w:spacing w:val="1"/>
          <w:w w:val="110"/>
        </w:rPr>
        <w:t> </w:t>
      </w:r>
      <w:r>
        <w:rPr>
          <w:w w:val="110"/>
        </w:rPr>
        <w:t>crédito.</w:t>
      </w:r>
    </w:p>
    <w:p>
      <w:pPr>
        <w:spacing w:after="0" w:line="252" w:lineRule="auto"/>
        <w:jc w:val="both"/>
        <w:sectPr>
          <w:footerReference w:type="default" r:id="rId117"/>
          <w:footerReference w:type="even" r:id="rId118"/>
          <w:pgSz w:w="8790" w:h="12760"/>
          <w:pgMar w:footer="725" w:header="697" w:top="880" w:bottom="920" w:left="1200" w:right="900"/>
        </w:sectPr>
      </w:pPr>
    </w:p>
    <w:p>
      <w:pPr>
        <w:pStyle w:val="BodyText"/>
        <w:spacing w:before="6"/>
        <w:rPr>
          <w:sz w:val="28"/>
        </w:rPr>
      </w:pPr>
    </w:p>
    <w:p>
      <w:pPr>
        <w:pStyle w:val="Heading6"/>
        <w:spacing w:before="68"/>
      </w:pPr>
      <w:r>
        <w:rPr>
          <w:w w:val="125"/>
        </w:rPr>
        <w:t>el eJe PeKÍn-BerlÍn Pasando Por Moscú</w:t>
      </w:r>
    </w:p>
    <w:p>
      <w:pPr>
        <w:pStyle w:val="BodyText"/>
        <w:spacing w:before="10"/>
        <w:ind w:left="100"/>
        <w:jc w:val="both"/>
      </w:pPr>
      <w:r>
        <w:rPr>
          <w:w w:val="110"/>
        </w:rPr>
        <w:t>según Pollack (2014),</w:t>
      </w:r>
    </w:p>
    <w:p>
      <w:pPr>
        <w:pStyle w:val="BodyText"/>
        <w:spacing w:before="11"/>
      </w:pPr>
    </w:p>
    <w:p>
      <w:pPr>
        <w:spacing w:before="0"/>
        <w:ind w:left="497" w:right="327" w:firstLine="0"/>
        <w:jc w:val="both"/>
        <w:rPr>
          <w:sz w:val="18"/>
        </w:rPr>
      </w:pPr>
      <w:r>
        <w:rPr>
          <w:w w:val="115"/>
          <w:sz w:val="18"/>
        </w:rPr>
        <w:t>[…]</w:t>
      </w:r>
      <w:r>
        <w:rPr>
          <w:spacing w:val="-15"/>
          <w:w w:val="115"/>
          <w:sz w:val="18"/>
        </w:rPr>
        <w:t> </w:t>
      </w:r>
      <w:r>
        <w:rPr>
          <w:w w:val="115"/>
          <w:sz w:val="18"/>
        </w:rPr>
        <w:t>en</w:t>
      </w:r>
      <w:r>
        <w:rPr>
          <w:spacing w:val="-15"/>
          <w:w w:val="115"/>
          <w:sz w:val="18"/>
        </w:rPr>
        <w:t> </w:t>
      </w:r>
      <w:r>
        <w:rPr>
          <w:w w:val="115"/>
          <w:sz w:val="18"/>
        </w:rPr>
        <w:t>mayo</w:t>
      </w:r>
      <w:r>
        <w:rPr>
          <w:spacing w:val="-15"/>
          <w:w w:val="115"/>
          <w:sz w:val="18"/>
        </w:rPr>
        <w:t> </w:t>
      </w:r>
      <w:r>
        <w:rPr>
          <w:w w:val="115"/>
          <w:sz w:val="18"/>
        </w:rPr>
        <w:t>de</w:t>
      </w:r>
      <w:r>
        <w:rPr>
          <w:spacing w:val="-15"/>
          <w:w w:val="115"/>
          <w:sz w:val="18"/>
        </w:rPr>
        <w:t> </w:t>
      </w:r>
      <w:r>
        <w:rPr>
          <w:w w:val="115"/>
          <w:sz w:val="18"/>
        </w:rPr>
        <w:t>2014,</w:t>
      </w:r>
      <w:r>
        <w:rPr>
          <w:spacing w:val="-15"/>
          <w:w w:val="115"/>
          <w:sz w:val="18"/>
        </w:rPr>
        <w:t> </w:t>
      </w:r>
      <w:r>
        <w:rPr>
          <w:w w:val="115"/>
          <w:sz w:val="18"/>
        </w:rPr>
        <w:t>cuando</w:t>
      </w:r>
      <w:r>
        <w:rPr>
          <w:spacing w:val="-15"/>
          <w:w w:val="115"/>
          <w:sz w:val="18"/>
        </w:rPr>
        <w:t> </w:t>
      </w:r>
      <w:r>
        <w:rPr>
          <w:w w:val="115"/>
          <w:sz w:val="18"/>
        </w:rPr>
        <w:t>EE.uu.</w:t>
      </w:r>
      <w:r>
        <w:rPr>
          <w:spacing w:val="-15"/>
          <w:w w:val="115"/>
          <w:sz w:val="18"/>
        </w:rPr>
        <w:t> </w:t>
      </w:r>
      <w:r>
        <w:rPr>
          <w:w w:val="115"/>
          <w:sz w:val="18"/>
        </w:rPr>
        <w:t>y</w:t>
      </w:r>
      <w:r>
        <w:rPr>
          <w:spacing w:val="-15"/>
          <w:w w:val="115"/>
          <w:sz w:val="18"/>
        </w:rPr>
        <w:t> </w:t>
      </w:r>
      <w:r>
        <w:rPr>
          <w:w w:val="115"/>
          <w:sz w:val="18"/>
        </w:rPr>
        <w:t>la</w:t>
      </w:r>
      <w:r>
        <w:rPr>
          <w:spacing w:val="-15"/>
          <w:w w:val="115"/>
          <w:sz w:val="18"/>
        </w:rPr>
        <w:t> </w:t>
      </w:r>
      <w:r>
        <w:rPr>
          <w:w w:val="115"/>
          <w:sz w:val="18"/>
        </w:rPr>
        <w:t>uE</w:t>
      </w:r>
      <w:r>
        <w:rPr>
          <w:spacing w:val="-15"/>
          <w:w w:val="115"/>
          <w:sz w:val="18"/>
        </w:rPr>
        <w:t> </w:t>
      </w:r>
      <w:r>
        <w:rPr>
          <w:w w:val="115"/>
          <w:sz w:val="18"/>
        </w:rPr>
        <w:t>imponían</w:t>
      </w:r>
      <w:r>
        <w:rPr>
          <w:spacing w:val="-15"/>
          <w:w w:val="115"/>
          <w:sz w:val="18"/>
        </w:rPr>
        <w:t> </w:t>
      </w:r>
      <w:r>
        <w:rPr>
          <w:w w:val="115"/>
          <w:sz w:val="18"/>
        </w:rPr>
        <w:t>sus</w:t>
      </w:r>
      <w:r>
        <w:rPr>
          <w:spacing w:val="-15"/>
          <w:w w:val="115"/>
          <w:sz w:val="18"/>
        </w:rPr>
        <w:t> </w:t>
      </w:r>
      <w:r>
        <w:rPr>
          <w:w w:val="115"/>
          <w:sz w:val="18"/>
        </w:rPr>
        <w:t>sanciones, </w:t>
      </w:r>
      <w:r>
        <w:rPr>
          <w:w w:val="110"/>
          <w:sz w:val="18"/>
        </w:rPr>
        <w:t>Putin</w:t>
      </w:r>
      <w:r>
        <w:rPr>
          <w:spacing w:val="-14"/>
          <w:w w:val="110"/>
          <w:sz w:val="18"/>
        </w:rPr>
        <w:t> </w:t>
      </w:r>
      <w:r>
        <w:rPr>
          <w:w w:val="110"/>
          <w:sz w:val="18"/>
        </w:rPr>
        <w:t>negociaba</w:t>
      </w:r>
      <w:r>
        <w:rPr>
          <w:spacing w:val="-14"/>
          <w:w w:val="110"/>
          <w:sz w:val="18"/>
        </w:rPr>
        <w:t> </w:t>
      </w:r>
      <w:r>
        <w:rPr>
          <w:w w:val="110"/>
          <w:sz w:val="18"/>
        </w:rPr>
        <w:t>un</w:t>
      </w:r>
      <w:r>
        <w:rPr>
          <w:spacing w:val="-14"/>
          <w:w w:val="110"/>
          <w:sz w:val="18"/>
        </w:rPr>
        <w:t> </w:t>
      </w:r>
      <w:r>
        <w:rPr>
          <w:w w:val="110"/>
          <w:sz w:val="18"/>
        </w:rPr>
        <w:t>acuerdo</w:t>
      </w:r>
      <w:r>
        <w:rPr>
          <w:spacing w:val="-14"/>
          <w:w w:val="110"/>
          <w:sz w:val="18"/>
        </w:rPr>
        <w:t> </w:t>
      </w:r>
      <w:r>
        <w:rPr>
          <w:w w:val="110"/>
          <w:sz w:val="18"/>
        </w:rPr>
        <w:t>de</w:t>
      </w:r>
      <w:r>
        <w:rPr>
          <w:spacing w:val="-14"/>
          <w:w w:val="110"/>
          <w:sz w:val="18"/>
        </w:rPr>
        <w:t> </w:t>
      </w:r>
      <w:r>
        <w:rPr>
          <w:w w:val="110"/>
          <w:sz w:val="18"/>
        </w:rPr>
        <w:t>tres</w:t>
      </w:r>
      <w:r>
        <w:rPr>
          <w:spacing w:val="-14"/>
          <w:w w:val="110"/>
          <w:sz w:val="18"/>
        </w:rPr>
        <w:t> </w:t>
      </w:r>
      <w:r>
        <w:rPr>
          <w:w w:val="110"/>
          <w:sz w:val="18"/>
        </w:rPr>
        <w:t>años</w:t>
      </w:r>
      <w:r>
        <w:rPr>
          <w:spacing w:val="-14"/>
          <w:w w:val="110"/>
          <w:sz w:val="18"/>
        </w:rPr>
        <w:t> </w:t>
      </w:r>
      <w:r>
        <w:rPr>
          <w:w w:val="110"/>
          <w:sz w:val="18"/>
        </w:rPr>
        <w:t>por</w:t>
      </w:r>
      <w:r>
        <w:rPr>
          <w:spacing w:val="-14"/>
          <w:w w:val="110"/>
          <w:sz w:val="18"/>
        </w:rPr>
        <w:t> </w:t>
      </w:r>
      <w:r>
        <w:rPr>
          <w:w w:val="110"/>
          <w:sz w:val="18"/>
        </w:rPr>
        <w:t>valor</w:t>
      </w:r>
      <w:r>
        <w:rPr>
          <w:spacing w:val="-14"/>
          <w:w w:val="110"/>
          <w:sz w:val="18"/>
        </w:rPr>
        <w:t> </w:t>
      </w:r>
      <w:r>
        <w:rPr>
          <w:w w:val="110"/>
          <w:sz w:val="18"/>
        </w:rPr>
        <w:t>de</w:t>
      </w:r>
      <w:r>
        <w:rPr>
          <w:spacing w:val="-14"/>
          <w:w w:val="110"/>
          <w:sz w:val="18"/>
        </w:rPr>
        <w:t> </w:t>
      </w:r>
      <w:r>
        <w:rPr>
          <w:w w:val="110"/>
          <w:sz w:val="18"/>
        </w:rPr>
        <w:t>400.000</w:t>
      </w:r>
      <w:r>
        <w:rPr>
          <w:spacing w:val="-14"/>
          <w:w w:val="110"/>
          <w:sz w:val="18"/>
        </w:rPr>
        <w:t> </w:t>
      </w:r>
      <w:r>
        <w:rPr>
          <w:w w:val="110"/>
          <w:sz w:val="18"/>
        </w:rPr>
        <w:t>millones </w:t>
      </w:r>
      <w:r>
        <w:rPr>
          <w:w w:val="115"/>
          <w:sz w:val="18"/>
        </w:rPr>
        <w:t>de</w:t>
      </w:r>
      <w:r>
        <w:rPr>
          <w:spacing w:val="-27"/>
          <w:w w:val="115"/>
          <w:sz w:val="18"/>
        </w:rPr>
        <w:t> </w:t>
      </w:r>
      <w:r>
        <w:rPr>
          <w:w w:val="115"/>
          <w:sz w:val="18"/>
        </w:rPr>
        <w:t>dólares</w:t>
      </w:r>
      <w:r>
        <w:rPr>
          <w:spacing w:val="-27"/>
          <w:w w:val="115"/>
          <w:sz w:val="18"/>
        </w:rPr>
        <w:t> </w:t>
      </w:r>
      <w:r>
        <w:rPr>
          <w:w w:val="115"/>
          <w:sz w:val="18"/>
        </w:rPr>
        <w:t>para</w:t>
      </w:r>
      <w:r>
        <w:rPr>
          <w:spacing w:val="-27"/>
          <w:w w:val="115"/>
          <w:sz w:val="18"/>
        </w:rPr>
        <w:t> </w:t>
      </w:r>
      <w:r>
        <w:rPr>
          <w:w w:val="115"/>
          <w:sz w:val="18"/>
        </w:rPr>
        <w:t>suministrar</w:t>
      </w:r>
      <w:r>
        <w:rPr>
          <w:spacing w:val="-27"/>
          <w:w w:val="115"/>
          <w:sz w:val="18"/>
        </w:rPr>
        <w:t> </w:t>
      </w:r>
      <w:r>
        <w:rPr>
          <w:w w:val="115"/>
          <w:sz w:val="18"/>
        </w:rPr>
        <w:t>gas</w:t>
      </w:r>
      <w:r>
        <w:rPr>
          <w:spacing w:val="-27"/>
          <w:w w:val="115"/>
          <w:sz w:val="18"/>
        </w:rPr>
        <w:t> </w:t>
      </w:r>
      <w:r>
        <w:rPr>
          <w:w w:val="115"/>
          <w:sz w:val="18"/>
        </w:rPr>
        <w:t>natural</w:t>
      </w:r>
      <w:r>
        <w:rPr>
          <w:spacing w:val="-27"/>
          <w:w w:val="115"/>
          <w:sz w:val="18"/>
        </w:rPr>
        <w:t> </w:t>
      </w:r>
      <w:r>
        <w:rPr>
          <w:w w:val="115"/>
          <w:sz w:val="18"/>
        </w:rPr>
        <w:t>a</w:t>
      </w:r>
      <w:r>
        <w:rPr>
          <w:spacing w:val="-27"/>
          <w:w w:val="115"/>
          <w:sz w:val="18"/>
        </w:rPr>
        <w:t> </w:t>
      </w:r>
      <w:r>
        <w:rPr>
          <w:w w:val="115"/>
          <w:sz w:val="18"/>
        </w:rPr>
        <w:t>China.</w:t>
      </w:r>
      <w:r>
        <w:rPr>
          <w:spacing w:val="-27"/>
          <w:w w:val="115"/>
          <w:sz w:val="18"/>
        </w:rPr>
        <w:t> </w:t>
      </w:r>
      <w:r>
        <w:rPr>
          <w:w w:val="115"/>
          <w:sz w:val="18"/>
        </w:rPr>
        <w:t>En</w:t>
      </w:r>
      <w:r>
        <w:rPr>
          <w:spacing w:val="-27"/>
          <w:w w:val="115"/>
          <w:sz w:val="18"/>
        </w:rPr>
        <w:t> </w:t>
      </w:r>
      <w:r>
        <w:rPr>
          <w:w w:val="115"/>
          <w:sz w:val="18"/>
        </w:rPr>
        <w:t>octubre,</w:t>
      </w:r>
      <w:r>
        <w:rPr>
          <w:spacing w:val="-27"/>
          <w:w w:val="115"/>
          <w:sz w:val="18"/>
        </w:rPr>
        <w:t> </w:t>
      </w:r>
      <w:r>
        <w:rPr>
          <w:w w:val="115"/>
          <w:sz w:val="18"/>
        </w:rPr>
        <w:t>el</w:t>
      </w:r>
      <w:r>
        <w:rPr>
          <w:spacing w:val="-27"/>
          <w:w w:val="115"/>
          <w:sz w:val="18"/>
        </w:rPr>
        <w:t> </w:t>
      </w:r>
      <w:r>
        <w:rPr>
          <w:w w:val="115"/>
          <w:sz w:val="18"/>
        </w:rPr>
        <w:t>primer </w:t>
      </w:r>
      <w:r>
        <w:rPr>
          <w:w w:val="109"/>
          <w:sz w:val="18"/>
        </w:rPr>
        <w:t>ministro,</w:t>
      </w:r>
      <w:r>
        <w:rPr>
          <w:spacing w:val="4"/>
          <w:sz w:val="18"/>
        </w:rPr>
        <w:t> </w:t>
      </w:r>
      <w:r>
        <w:rPr>
          <w:w w:val="238"/>
          <w:sz w:val="18"/>
        </w:rPr>
        <w:t>l</w:t>
      </w:r>
      <w:r>
        <w:rPr>
          <w:w w:val="113"/>
          <w:sz w:val="18"/>
        </w:rPr>
        <w:t>i</w:t>
      </w:r>
      <w:r>
        <w:rPr>
          <w:spacing w:val="4"/>
          <w:sz w:val="18"/>
        </w:rPr>
        <w:t> </w:t>
      </w:r>
      <w:r>
        <w:rPr>
          <w:w w:val="112"/>
          <w:sz w:val="18"/>
        </w:rPr>
        <w:t>Keqiang,</w:t>
      </w:r>
      <w:r>
        <w:rPr>
          <w:spacing w:val="4"/>
          <w:sz w:val="18"/>
        </w:rPr>
        <w:t> </w:t>
      </w:r>
      <w:r>
        <w:rPr>
          <w:w w:val="107"/>
          <w:sz w:val="18"/>
        </w:rPr>
        <w:t>“firmó</w:t>
      </w:r>
      <w:r>
        <w:rPr>
          <w:spacing w:val="4"/>
          <w:sz w:val="18"/>
        </w:rPr>
        <w:t> </w:t>
      </w:r>
      <w:r>
        <w:rPr>
          <w:w w:val="110"/>
          <w:sz w:val="18"/>
        </w:rPr>
        <w:t>un</w:t>
      </w:r>
      <w:r>
        <w:rPr>
          <w:spacing w:val="4"/>
          <w:sz w:val="18"/>
        </w:rPr>
        <w:t> </w:t>
      </w:r>
      <w:r>
        <w:rPr>
          <w:w w:val="106"/>
          <w:sz w:val="18"/>
        </w:rPr>
        <w:t>paquete</w:t>
      </w:r>
      <w:r>
        <w:rPr>
          <w:spacing w:val="4"/>
          <w:sz w:val="18"/>
        </w:rPr>
        <w:t> </w:t>
      </w:r>
      <w:r>
        <w:rPr>
          <w:w w:val="104"/>
          <w:sz w:val="18"/>
        </w:rPr>
        <w:t>de</w:t>
      </w:r>
      <w:r>
        <w:rPr>
          <w:spacing w:val="4"/>
          <w:sz w:val="18"/>
        </w:rPr>
        <w:t> </w:t>
      </w:r>
      <w:r>
        <w:rPr>
          <w:w w:val="100"/>
          <w:sz w:val="18"/>
        </w:rPr>
        <w:t>38</w:t>
      </w:r>
      <w:r>
        <w:rPr>
          <w:spacing w:val="4"/>
          <w:sz w:val="18"/>
        </w:rPr>
        <w:t> </w:t>
      </w:r>
      <w:r>
        <w:rPr>
          <w:w w:val="107"/>
          <w:sz w:val="18"/>
        </w:rPr>
        <w:t>acuerdos</w:t>
      </w:r>
      <w:r>
        <w:rPr>
          <w:spacing w:val="4"/>
          <w:sz w:val="18"/>
        </w:rPr>
        <w:t> </w:t>
      </w:r>
      <w:r>
        <w:rPr>
          <w:w w:val="106"/>
          <w:sz w:val="18"/>
        </w:rPr>
        <w:t>en</w:t>
      </w:r>
      <w:r>
        <w:rPr>
          <w:spacing w:val="4"/>
          <w:sz w:val="18"/>
        </w:rPr>
        <w:t> </w:t>
      </w:r>
      <w:r>
        <w:rPr>
          <w:w w:val="113"/>
          <w:sz w:val="18"/>
        </w:rPr>
        <w:t>Moscú,</w:t>
      </w:r>
      <w:r>
        <w:rPr>
          <w:spacing w:val="4"/>
          <w:sz w:val="18"/>
        </w:rPr>
        <w:t> </w:t>
      </w:r>
      <w:r>
        <w:rPr>
          <w:w w:val="106"/>
          <w:sz w:val="18"/>
        </w:rPr>
        <w:t>que </w:t>
      </w:r>
      <w:r>
        <w:rPr>
          <w:w w:val="115"/>
          <w:sz w:val="18"/>
        </w:rPr>
        <w:t>incluía</w:t>
      </w:r>
      <w:r>
        <w:rPr>
          <w:spacing w:val="-32"/>
          <w:w w:val="115"/>
          <w:sz w:val="18"/>
        </w:rPr>
        <w:t> </w:t>
      </w:r>
      <w:r>
        <w:rPr>
          <w:w w:val="115"/>
          <w:sz w:val="18"/>
        </w:rPr>
        <w:t>uno</w:t>
      </w:r>
      <w:r>
        <w:rPr>
          <w:spacing w:val="-32"/>
          <w:w w:val="115"/>
          <w:sz w:val="18"/>
        </w:rPr>
        <w:t> </w:t>
      </w:r>
      <w:r>
        <w:rPr>
          <w:w w:val="115"/>
          <w:sz w:val="18"/>
        </w:rPr>
        <w:t>de</w:t>
      </w:r>
      <w:r>
        <w:rPr>
          <w:spacing w:val="-32"/>
          <w:w w:val="115"/>
          <w:sz w:val="18"/>
        </w:rPr>
        <w:t> </w:t>
      </w:r>
      <w:r>
        <w:rPr>
          <w:w w:val="115"/>
          <w:sz w:val="18"/>
        </w:rPr>
        <w:t>canje</w:t>
      </w:r>
      <w:r>
        <w:rPr>
          <w:spacing w:val="-32"/>
          <w:w w:val="115"/>
          <w:sz w:val="18"/>
        </w:rPr>
        <w:t> </w:t>
      </w:r>
      <w:r>
        <w:rPr>
          <w:w w:val="115"/>
          <w:sz w:val="18"/>
        </w:rPr>
        <w:t>de</w:t>
      </w:r>
      <w:r>
        <w:rPr>
          <w:spacing w:val="-32"/>
          <w:w w:val="115"/>
          <w:sz w:val="18"/>
        </w:rPr>
        <w:t> </w:t>
      </w:r>
      <w:r>
        <w:rPr>
          <w:w w:val="115"/>
          <w:sz w:val="18"/>
        </w:rPr>
        <w:t>divisas</w:t>
      </w:r>
      <w:r>
        <w:rPr>
          <w:spacing w:val="-32"/>
          <w:w w:val="115"/>
          <w:sz w:val="18"/>
        </w:rPr>
        <w:t> </w:t>
      </w:r>
      <w:r>
        <w:rPr>
          <w:w w:val="115"/>
          <w:sz w:val="18"/>
        </w:rPr>
        <w:t>y</w:t>
      </w:r>
      <w:r>
        <w:rPr>
          <w:spacing w:val="-32"/>
          <w:w w:val="115"/>
          <w:sz w:val="18"/>
        </w:rPr>
        <w:t> </w:t>
      </w:r>
      <w:r>
        <w:rPr>
          <w:w w:val="115"/>
          <w:sz w:val="18"/>
        </w:rPr>
        <w:t>un</w:t>
      </w:r>
      <w:r>
        <w:rPr>
          <w:spacing w:val="-32"/>
          <w:w w:val="115"/>
          <w:sz w:val="18"/>
        </w:rPr>
        <w:t> </w:t>
      </w:r>
      <w:r>
        <w:rPr>
          <w:w w:val="115"/>
          <w:sz w:val="18"/>
        </w:rPr>
        <w:t>tratado</w:t>
      </w:r>
      <w:r>
        <w:rPr>
          <w:spacing w:val="-32"/>
          <w:w w:val="115"/>
          <w:sz w:val="18"/>
        </w:rPr>
        <w:t> </w:t>
      </w:r>
      <w:r>
        <w:rPr>
          <w:w w:val="115"/>
          <w:sz w:val="18"/>
        </w:rPr>
        <w:t>fiscal”.</w:t>
      </w:r>
      <w:r>
        <w:rPr>
          <w:spacing w:val="-32"/>
          <w:w w:val="115"/>
          <w:sz w:val="18"/>
        </w:rPr>
        <w:t> </w:t>
      </w:r>
      <w:r>
        <w:rPr>
          <w:w w:val="115"/>
          <w:sz w:val="18"/>
        </w:rPr>
        <w:t>En</w:t>
      </w:r>
      <w:r>
        <w:rPr>
          <w:spacing w:val="-32"/>
          <w:w w:val="115"/>
          <w:sz w:val="18"/>
        </w:rPr>
        <w:t> </w:t>
      </w:r>
      <w:r>
        <w:rPr>
          <w:w w:val="115"/>
          <w:sz w:val="18"/>
        </w:rPr>
        <w:t>noviembre</w:t>
      </w:r>
      <w:r>
        <w:rPr>
          <w:spacing w:val="-32"/>
          <w:w w:val="115"/>
          <w:sz w:val="18"/>
        </w:rPr>
        <w:t> </w:t>
      </w:r>
      <w:r>
        <w:rPr>
          <w:w w:val="115"/>
          <w:sz w:val="18"/>
        </w:rPr>
        <w:t>Putin anunció</w:t>
      </w:r>
      <w:r>
        <w:rPr>
          <w:spacing w:val="-24"/>
          <w:w w:val="115"/>
          <w:sz w:val="18"/>
        </w:rPr>
        <w:t> </w:t>
      </w:r>
      <w:r>
        <w:rPr>
          <w:w w:val="115"/>
          <w:sz w:val="18"/>
        </w:rPr>
        <w:t>que</w:t>
      </w:r>
      <w:r>
        <w:rPr>
          <w:spacing w:val="-24"/>
          <w:w w:val="115"/>
          <w:sz w:val="18"/>
        </w:rPr>
        <w:t> </w:t>
      </w:r>
      <w:r>
        <w:rPr>
          <w:w w:val="115"/>
          <w:sz w:val="18"/>
        </w:rPr>
        <w:t>están</w:t>
      </w:r>
      <w:r>
        <w:rPr>
          <w:spacing w:val="-24"/>
          <w:w w:val="115"/>
          <w:sz w:val="18"/>
        </w:rPr>
        <w:t> </w:t>
      </w:r>
      <w:r>
        <w:rPr>
          <w:w w:val="115"/>
          <w:sz w:val="18"/>
        </w:rPr>
        <w:t>trabajando</w:t>
      </w:r>
      <w:r>
        <w:rPr>
          <w:spacing w:val="-24"/>
          <w:w w:val="115"/>
          <w:sz w:val="18"/>
        </w:rPr>
        <w:t> </w:t>
      </w:r>
      <w:r>
        <w:rPr>
          <w:w w:val="115"/>
          <w:sz w:val="18"/>
        </w:rPr>
        <w:t>con</w:t>
      </w:r>
      <w:r>
        <w:rPr>
          <w:spacing w:val="-24"/>
          <w:w w:val="115"/>
          <w:sz w:val="18"/>
        </w:rPr>
        <w:t> </w:t>
      </w:r>
      <w:r>
        <w:rPr>
          <w:w w:val="115"/>
          <w:sz w:val="18"/>
        </w:rPr>
        <w:t>China</w:t>
      </w:r>
      <w:r>
        <w:rPr>
          <w:spacing w:val="-24"/>
          <w:w w:val="115"/>
          <w:sz w:val="18"/>
        </w:rPr>
        <w:t> </w:t>
      </w:r>
      <w:r>
        <w:rPr>
          <w:w w:val="115"/>
          <w:sz w:val="18"/>
        </w:rPr>
        <w:t>en</w:t>
      </w:r>
      <w:r>
        <w:rPr>
          <w:spacing w:val="-24"/>
          <w:w w:val="115"/>
          <w:sz w:val="18"/>
        </w:rPr>
        <w:t> </w:t>
      </w:r>
      <w:r>
        <w:rPr>
          <w:w w:val="115"/>
          <w:sz w:val="18"/>
        </w:rPr>
        <w:t>otro</w:t>
      </w:r>
      <w:r>
        <w:rPr>
          <w:spacing w:val="-24"/>
          <w:w w:val="115"/>
          <w:sz w:val="18"/>
        </w:rPr>
        <w:t> </w:t>
      </w:r>
      <w:r>
        <w:rPr>
          <w:w w:val="115"/>
          <w:sz w:val="18"/>
        </w:rPr>
        <w:t>acuerdo</w:t>
      </w:r>
      <w:r>
        <w:rPr>
          <w:spacing w:val="-24"/>
          <w:w w:val="115"/>
          <w:sz w:val="18"/>
        </w:rPr>
        <w:t> </w:t>
      </w:r>
      <w:r>
        <w:rPr>
          <w:w w:val="115"/>
          <w:sz w:val="18"/>
        </w:rPr>
        <w:t>sobre</w:t>
      </w:r>
      <w:r>
        <w:rPr>
          <w:spacing w:val="-24"/>
          <w:w w:val="115"/>
          <w:sz w:val="18"/>
        </w:rPr>
        <w:t> </w:t>
      </w:r>
      <w:r>
        <w:rPr>
          <w:w w:val="115"/>
          <w:sz w:val="18"/>
        </w:rPr>
        <w:t>el</w:t>
      </w:r>
      <w:r>
        <w:rPr>
          <w:spacing w:val="-24"/>
          <w:w w:val="115"/>
          <w:sz w:val="18"/>
        </w:rPr>
        <w:t> </w:t>
      </w:r>
      <w:r>
        <w:rPr>
          <w:w w:val="115"/>
          <w:sz w:val="18"/>
        </w:rPr>
        <w:t>gas. China</w:t>
      </w:r>
      <w:r>
        <w:rPr>
          <w:spacing w:val="-16"/>
          <w:w w:val="115"/>
          <w:sz w:val="18"/>
        </w:rPr>
        <w:t> </w:t>
      </w:r>
      <w:r>
        <w:rPr>
          <w:w w:val="115"/>
          <w:sz w:val="18"/>
        </w:rPr>
        <w:t>es</w:t>
      </w:r>
      <w:r>
        <w:rPr>
          <w:spacing w:val="-16"/>
          <w:w w:val="115"/>
          <w:sz w:val="18"/>
        </w:rPr>
        <w:t> </w:t>
      </w:r>
      <w:r>
        <w:rPr>
          <w:w w:val="115"/>
          <w:sz w:val="18"/>
        </w:rPr>
        <w:t>ahora</w:t>
      </w:r>
      <w:r>
        <w:rPr>
          <w:spacing w:val="-16"/>
          <w:w w:val="115"/>
          <w:sz w:val="18"/>
        </w:rPr>
        <w:t> </w:t>
      </w:r>
      <w:r>
        <w:rPr>
          <w:w w:val="115"/>
          <w:sz w:val="18"/>
        </w:rPr>
        <w:t>el</w:t>
      </w:r>
      <w:r>
        <w:rPr>
          <w:spacing w:val="-16"/>
          <w:w w:val="115"/>
          <w:sz w:val="18"/>
        </w:rPr>
        <w:t> </w:t>
      </w:r>
      <w:r>
        <w:rPr>
          <w:w w:val="115"/>
          <w:sz w:val="18"/>
        </w:rPr>
        <w:t>mayor</w:t>
      </w:r>
      <w:r>
        <w:rPr>
          <w:spacing w:val="-16"/>
          <w:w w:val="115"/>
          <w:sz w:val="18"/>
        </w:rPr>
        <w:t> </w:t>
      </w:r>
      <w:r>
        <w:rPr>
          <w:w w:val="115"/>
          <w:sz w:val="18"/>
        </w:rPr>
        <w:t>socio</w:t>
      </w:r>
      <w:r>
        <w:rPr>
          <w:spacing w:val="-16"/>
          <w:w w:val="115"/>
          <w:sz w:val="18"/>
        </w:rPr>
        <w:t> </w:t>
      </w:r>
      <w:r>
        <w:rPr>
          <w:w w:val="115"/>
          <w:sz w:val="18"/>
        </w:rPr>
        <w:t>comercial</w:t>
      </w:r>
      <w:r>
        <w:rPr>
          <w:spacing w:val="-16"/>
          <w:w w:val="115"/>
          <w:sz w:val="18"/>
        </w:rPr>
        <w:t> </w:t>
      </w:r>
      <w:r>
        <w:rPr>
          <w:w w:val="115"/>
          <w:sz w:val="18"/>
        </w:rPr>
        <w:t>de</w:t>
      </w:r>
      <w:r>
        <w:rPr>
          <w:spacing w:val="-16"/>
          <w:w w:val="115"/>
          <w:sz w:val="18"/>
        </w:rPr>
        <w:t> </w:t>
      </w:r>
      <w:r>
        <w:rPr>
          <w:w w:val="115"/>
          <w:sz w:val="18"/>
        </w:rPr>
        <w:t>rusia.</w:t>
      </w:r>
    </w:p>
    <w:p>
      <w:pPr>
        <w:pStyle w:val="BodyText"/>
        <w:spacing w:before="1"/>
        <w:rPr>
          <w:sz w:val="21"/>
        </w:rPr>
      </w:pPr>
    </w:p>
    <w:p>
      <w:pPr>
        <w:pStyle w:val="BodyText"/>
        <w:spacing w:line="252" w:lineRule="auto"/>
        <w:ind w:left="100" w:right="328"/>
        <w:jc w:val="both"/>
      </w:pPr>
      <w:r>
        <w:rPr>
          <w:w w:val="110"/>
        </w:rPr>
        <w:t>sergei rogov (citado por Pollack, 2014), del instituto para Estudios de Estados unidos y Canadá, de Moscú, hace un resumen de la situación: </w:t>
      </w:r>
      <w:r>
        <w:rPr>
          <w:w w:val="115"/>
        </w:rPr>
        <w:t>“</w:t>
      </w:r>
      <w:r>
        <w:rPr>
          <w:w w:val="243"/>
        </w:rPr>
        <w:t>l</w:t>
      </w:r>
      <w:r>
        <w:rPr>
          <w:w w:val="112"/>
        </w:rPr>
        <w:t>a</w:t>
      </w:r>
      <w:r>
        <w:rPr/>
        <w:t> </w:t>
      </w:r>
      <w:r>
        <w:rPr>
          <w:spacing w:val="-12"/>
        </w:rPr>
        <w:t> </w:t>
      </w:r>
      <w:r>
        <w:rPr>
          <w:w w:val="112"/>
        </w:rPr>
        <w:t>campaña</w:t>
      </w:r>
      <w:r>
        <w:rPr/>
        <w:t> </w:t>
      </w:r>
      <w:r>
        <w:rPr>
          <w:spacing w:val="-12"/>
        </w:rPr>
        <w:t> </w:t>
      </w:r>
      <w:r>
        <w:rPr>
          <w:w w:val="107"/>
        </w:rPr>
        <w:t>de</w:t>
      </w:r>
      <w:r>
        <w:rPr/>
        <w:t> </w:t>
      </w:r>
      <w:r>
        <w:rPr>
          <w:spacing w:val="-12"/>
        </w:rPr>
        <w:t> </w:t>
      </w:r>
      <w:r>
        <w:rPr>
          <w:w w:val="110"/>
        </w:rPr>
        <w:t>sanciones</w:t>
      </w:r>
      <w:r>
        <w:rPr/>
        <w:t> </w:t>
      </w:r>
      <w:r>
        <w:rPr>
          <w:spacing w:val="-12"/>
        </w:rPr>
        <w:t> </w:t>
      </w:r>
      <w:r>
        <w:rPr>
          <w:w w:val="111"/>
        </w:rPr>
        <w:t>económicas</w:t>
      </w:r>
      <w:r>
        <w:rPr/>
        <w:t> </w:t>
      </w:r>
      <w:r>
        <w:rPr>
          <w:spacing w:val="-12"/>
        </w:rPr>
        <w:t> </w:t>
      </w:r>
      <w:r>
        <w:rPr>
          <w:w w:val="110"/>
        </w:rPr>
        <w:t>contra</w:t>
      </w:r>
      <w:r>
        <w:rPr/>
        <w:t> </w:t>
      </w:r>
      <w:r>
        <w:rPr>
          <w:spacing w:val="-12"/>
        </w:rPr>
        <w:t> </w:t>
      </w:r>
      <w:r>
        <w:rPr>
          <w:w w:val="182"/>
        </w:rPr>
        <w:t>r</w:t>
      </w:r>
      <w:r>
        <w:rPr>
          <w:w w:val="111"/>
        </w:rPr>
        <w:t>usia</w:t>
      </w:r>
      <w:r>
        <w:rPr/>
        <w:t> </w:t>
      </w:r>
      <w:r>
        <w:rPr>
          <w:spacing w:val="-12"/>
        </w:rPr>
        <w:t> </w:t>
      </w:r>
      <w:r>
        <w:rPr>
          <w:w w:val="105"/>
        </w:rPr>
        <w:t>y</w:t>
      </w:r>
      <w:r>
        <w:rPr/>
        <w:t> </w:t>
      </w:r>
      <w:r>
        <w:rPr>
          <w:spacing w:val="-12"/>
        </w:rPr>
        <w:t> </w:t>
      </w:r>
      <w:r>
        <w:rPr>
          <w:w w:val="109"/>
        </w:rPr>
        <w:t>las</w:t>
      </w:r>
      <w:r>
        <w:rPr/>
        <w:t> </w:t>
      </w:r>
      <w:r>
        <w:rPr>
          <w:spacing w:val="-12"/>
        </w:rPr>
        <w:t> </w:t>
      </w:r>
      <w:r>
        <w:rPr>
          <w:w w:val="107"/>
        </w:rPr>
        <w:t>presiones </w:t>
      </w:r>
      <w:r>
        <w:rPr>
          <w:w w:val="110"/>
        </w:rPr>
        <w:t>políticas están alejando a rusia de occidente y empujándola hacia China. En rusia perciben a China como sustituta de los créditos y la tecnología  de</w:t>
      </w:r>
      <w:r>
        <w:rPr>
          <w:spacing w:val="27"/>
          <w:w w:val="110"/>
        </w:rPr>
        <w:t> </w:t>
      </w:r>
      <w:r>
        <w:rPr>
          <w:w w:val="110"/>
        </w:rPr>
        <w:t>occidente”.</w:t>
      </w:r>
    </w:p>
    <w:p>
      <w:pPr>
        <w:pStyle w:val="BodyText"/>
        <w:spacing w:line="252" w:lineRule="auto"/>
        <w:ind w:left="100" w:right="328" w:firstLine="396"/>
        <w:jc w:val="both"/>
      </w:pPr>
      <w:r>
        <w:rPr>
          <w:w w:val="110"/>
        </w:rPr>
        <w:t>Estados unidos aún tiene una clara ventaja militar, todavía es económicamente el país más poderoso y tiene una capacidad ideoló- </w:t>
      </w:r>
      <w:r>
        <w:rPr>
          <w:w w:val="113"/>
        </w:rPr>
        <w:t>gica</w:t>
      </w:r>
      <w:r>
        <w:rPr/>
        <w:t> </w:t>
      </w:r>
      <w:r>
        <w:rPr>
          <w:w w:val="108"/>
        </w:rPr>
        <w:t>superior</w:t>
      </w:r>
      <w:r>
        <w:rPr/>
        <w:t> </w:t>
      </w:r>
      <w:r>
        <w:rPr>
          <w:w w:val="112"/>
        </w:rPr>
        <w:t>a</w:t>
      </w:r>
      <w:r>
        <w:rPr/>
        <w:t> </w:t>
      </w:r>
      <w:r>
        <w:rPr>
          <w:w w:val="110"/>
        </w:rPr>
        <w:t>cualquier</w:t>
      </w:r>
      <w:r>
        <w:rPr/>
        <w:t> </w:t>
      </w:r>
      <w:r>
        <w:rPr>
          <w:w w:val="108"/>
        </w:rPr>
        <w:t>otro</w:t>
      </w:r>
      <w:r>
        <w:rPr/>
        <w:t> </w:t>
      </w:r>
      <w:r>
        <w:rPr>
          <w:w w:val="110"/>
        </w:rPr>
        <w:t>país</w:t>
      </w:r>
      <w:r>
        <w:rPr/>
        <w:t> </w:t>
      </w:r>
      <w:r>
        <w:rPr>
          <w:w w:val="107"/>
        </w:rPr>
        <w:t>del</w:t>
      </w:r>
      <w:r>
        <w:rPr/>
        <w:t> </w:t>
      </w:r>
      <w:r>
        <w:rPr>
          <w:w w:val="113"/>
        </w:rPr>
        <w:t>mundo.</w:t>
      </w:r>
      <w:r>
        <w:rPr/>
        <w:t> </w:t>
      </w:r>
      <w:r>
        <w:rPr>
          <w:w w:val="243"/>
        </w:rPr>
        <w:t>l</w:t>
      </w:r>
      <w:r>
        <w:rPr>
          <w:w w:val="112"/>
        </w:rPr>
        <w:t>a</w:t>
      </w:r>
      <w:r>
        <w:rPr/>
        <w:t> </w:t>
      </w:r>
      <w:r>
        <w:rPr>
          <w:w w:val="109"/>
        </w:rPr>
        <w:t>crisis</w:t>
      </w:r>
      <w:r>
        <w:rPr/>
        <w:t> </w:t>
      </w:r>
      <w:r>
        <w:rPr>
          <w:w w:val="107"/>
        </w:rPr>
        <w:t>de</w:t>
      </w:r>
      <w:r>
        <w:rPr/>
        <w:t> </w:t>
      </w:r>
      <w:r>
        <w:rPr>
          <w:w w:val="110"/>
        </w:rPr>
        <w:t>hegemonía </w:t>
      </w:r>
      <w:r>
        <w:rPr>
          <w:w w:val="110"/>
        </w:rPr>
        <w:t>es una tendencia que puede continuar o puede ser frenada. un “polo” centrado en el eje chino-ruso puede competir el campo económico y cultural. si se incluye a alemania en la ecuación la balanza definitiva- mente favorece al nuevo eje euro-asiático. El problema es el militar. Estados unidos tiene la última carta en la mano: la    guerra.</w:t>
      </w:r>
    </w:p>
    <w:p>
      <w:pPr>
        <w:pStyle w:val="BodyText"/>
        <w:spacing w:line="252" w:lineRule="auto"/>
        <w:ind w:left="100" w:right="328" w:firstLine="396"/>
        <w:jc w:val="both"/>
      </w:pPr>
      <w:r>
        <w:rPr>
          <w:w w:val="110"/>
        </w:rPr>
        <w:t>En realidad, la alianza entre Pekín y Moscú es muestra de la de- pendencia de éste en relación con el primero. Esto trae nuevamente a la mesa para su análisis el eje entre Pekín y  berlín.</w:t>
      </w:r>
    </w:p>
    <w:p>
      <w:pPr>
        <w:pStyle w:val="BodyText"/>
        <w:spacing w:before="11"/>
        <w:rPr>
          <w:sz w:val="18"/>
        </w:rPr>
      </w:pPr>
    </w:p>
    <w:p>
      <w:pPr>
        <w:spacing w:before="0"/>
        <w:ind w:left="497" w:right="327" w:firstLine="0"/>
        <w:jc w:val="both"/>
        <w:rPr>
          <w:sz w:val="18"/>
        </w:rPr>
      </w:pPr>
      <w:r>
        <w:rPr>
          <w:w w:val="110"/>
          <w:sz w:val="18"/>
        </w:rPr>
        <w:t>En Moscú, algunos temen que rusia, por debilidad, se haya conver- tido en un socio menor de una China en ascenso. aunque China es ahora el socio comercial más grande de rusia, rusia es sólo el décimo socio de China. EE.uu. sigue siendo el primero. además, las grandes compañías estatales rusas pueden hacer ofertas, pero China no</w:t>
      </w:r>
      <w:r>
        <w:rPr>
          <w:spacing w:val="-21"/>
          <w:w w:val="110"/>
          <w:sz w:val="18"/>
        </w:rPr>
        <w:t> </w:t>
      </w:r>
      <w:r>
        <w:rPr>
          <w:w w:val="110"/>
          <w:sz w:val="18"/>
        </w:rPr>
        <w:t>puede sustituir</w:t>
      </w:r>
      <w:r>
        <w:rPr>
          <w:spacing w:val="-12"/>
          <w:w w:val="110"/>
          <w:sz w:val="18"/>
        </w:rPr>
        <w:t> </w:t>
      </w:r>
      <w:r>
        <w:rPr>
          <w:w w:val="110"/>
          <w:sz w:val="18"/>
        </w:rPr>
        <w:t>a</w:t>
      </w:r>
      <w:r>
        <w:rPr>
          <w:spacing w:val="-12"/>
          <w:w w:val="110"/>
          <w:sz w:val="18"/>
        </w:rPr>
        <w:t> </w:t>
      </w:r>
      <w:r>
        <w:rPr>
          <w:w w:val="110"/>
          <w:sz w:val="18"/>
        </w:rPr>
        <w:t>Europa</w:t>
      </w:r>
      <w:r>
        <w:rPr>
          <w:spacing w:val="-12"/>
          <w:w w:val="110"/>
          <w:sz w:val="18"/>
        </w:rPr>
        <w:t> </w:t>
      </w:r>
      <w:r>
        <w:rPr>
          <w:w w:val="110"/>
          <w:sz w:val="18"/>
        </w:rPr>
        <w:t>en</w:t>
      </w:r>
      <w:r>
        <w:rPr>
          <w:spacing w:val="-12"/>
          <w:w w:val="110"/>
          <w:sz w:val="18"/>
        </w:rPr>
        <w:t> </w:t>
      </w:r>
      <w:r>
        <w:rPr>
          <w:w w:val="110"/>
          <w:sz w:val="18"/>
        </w:rPr>
        <w:t>la</w:t>
      </w:r>
      <w:r>
        <w:rPr>
          <w:spacing w:val="-12"/>
          <w:w w:val="110"/>
          <w:sz w:val="18"/>
        </w:rPr>
        <w:t> </w:t>
      </w:r>
      <w:r>
        <w:rPr>
          <w:w w:val="110"/>
          <w:sz w:val="18"/>
        </w:rPr>
        <w:t>mayoría</w:t>
      </w:r>
      <w:r>
        <w:rPr>
          <w:spacing w:val="-12"/>
          <w:w w:val="110"/>
          <w:sz w:val="18"/>
        </w:rPr>
        <w:t> </w:t>
      </w:r>
      <w:r>
        <w:rPr>
          <w:w w:val="110"/>
          <w:sz w:val="18"/>
        </w:rPr>
        <w:t>de</w:t>
      </w:r>
      <w:r>
        <w:rPr>
          <w:spacing w:val="-12"/>
          <w:w w:val="110"/>
          <w:sz w:val="18"/>
        </w:rPr>
        <w:t> </w:t>
      </w:r>
      <w:r>
        <w:rPr>
          <w:w w:val="110"/>
          <w:sz w:val="18"/>
        </w:rPr>
        <w:t>las</w:t>
      </w:r>
      <w:r>
        <w:rPr>
          <w:spacing w:val="-12"/>
          <w:w w:val="110"/>
          <w:sz w:val="18"/>
        </w:rPr>
        <w:t> </w:t>
      </w:r>
      <w:r>
        <w:rPr>
          <w:w w:val="110"/>
          <w:sz w:val="18"/>
        </w:rPr>
        <w:t>corporaciones</w:t>
      </w:r>
      <w:r>
        <w:rPr>
          <w:spacing w:val="-12"/>
          <w:w w:val="110"/>
          <w:sz w:val="18"/>
        </w:rPr>
        <w:t> </w:t>
      </w:r>
      <w:r>
        <w:rPr>
          <w:w w:val="110"/>
          <w:sz w:val="18"/>
        </w:rPr>
        <w:t>y</w:t>
      </w:r>
      <w:r>
        <w:rPr>
          <w:spacing w:val="-12"/>
          <w:w w:val="110"/>
          <w:sz w:val="18"/>
        </w:rPr>
        <w:t> </w:t>
      </w:r>
      <w:r>
        <w:rPr>
          <w:w w:val="110"/>
          <w:sz w:val="18"/>
        </w:rPr>
        <w:t>bancos,</w:t>
      </w:r>
      <w:r>
        <w:rPr>
          <w:spacing w:val="-12"/>
          <w:w w:val="110"/>
          <w:sz w:val="18"/>
        </w:rPr>
        <w:t> </w:t>
      </w:r>
      <w:r>
        <w:rPr>
          <w:w w:val="110"/>
          <w:sz w:val="18"/>
        </w:rPr>
        <w:t>porque en China no se ha desarrollo un mercado de bonos comerciales para extranjeros</w:t>
      </w:r>
      <w:r>
        <w:rPr>
          <w:spacing w:val="-13"/>
          <w:w w:val="110"/>
          <w:sz w:val="18"/>
        </w:rPr>
        <w:t> </w:t>
      </w:r>
      <w:r>
        <w:rPr>
          <w:w w:val="110"/>
          <w:sz w:val="18"/>
        </w:rPr>
        <w:t>similar</w:t>
      </w:r>
      <w:r>
        <w:rPr>
          <w:spacing w:val="-13"/>
          <w:w w:val="110"/>
          <w:sz w:val="18"/>
        </w:rPr>
        <w:t> </w:t>
      </w:r>
      <w:r>
        <w:rPr>
          <w:w w:val="110"/>
          <w:sz w:val="18"/>
        </w:rPr>
        <w:t>a</w:t>
      </w:r>
      <w:r>
        <w:rPr>
          <w:spacing w:val="-13"/>
          <w:w w:val="110"/>
          <w:sz w:val="18"/>
        </w:rPr>
        <w:t> </w:t>
      </w:r>
      <w:r>
        <w:rPr>
          <w:w w:val="110"/>
          <w:sz w:val="18"/>
        </w:rPr>
        <w:t>los</w:t>
      </w:r>
      <w:r>
        <w:rPr>
          <w:spacing w:val="-13"/>
          <w:w w:val="110"/>
          <w:sz w:val="18"/>
        </w:rPr>
        <w:t> </w:t>
      </w:r>
      <w:r>
        <w:rPr>
          <w:w w:val="110"/>
          <w:sz w:val="18"/>
        </w:rPr>
        <w:t>eurobonos</w:t>
      </w:r>
      <w:r>
        <w:rPr>
          <w:spacing w:val="-13"/>
          <w:w w:val="110"/>
          <w:sz w:val="18"/>
        </w:rPr>
        <w:t> </w:t>
      </w:r>
      <w:r>
        <w:rPr>
          <w:w w:val="110"/>
          <w:sz w:val="18"/>
        </w:rPr>
        <w:t>(Pollack,</w:t>
      </w:r>
      <w:r>
        <w:rPr>
          <w:spacing w:val="-13"/>
          <w:w w:val="110"/>
          <w:sz w:val="18"/>
        </w:rPr>
        <w:t> </w:t>
      </w:r>
      <w:r>
        <w:rPr>
          <w:w w:val="110"/>
          <w:sz w:val="18"/>
        </w:rPr>
        <w:t>2014).</w:t>
      </w:r>
    </w:p>
    <w:p>
      <w:pPr>
        <w:pStyle w:val="BodyText"/>
        <w:spacing w:before="1"/>
        <w:rPr>
          <w:sz w:val="21"/>
        </w:rPr>
      </w:pPr>
    </w:p>
    <w:p>
      <w:pPr>
        <w:pStyle w:val="BodyText"/>
        <w:ind w:left="100"/>
        <w:jc w:val="both"/>
      </w:pPr>
      <w:r>
        <w:rPr>
          <w:w w:val="110"/>
        </w:rPr>
        <w:t>según Wallerstein (2014),</w:t>
      </w:r>
    </w:p>
    <w:p>
      <w:pPr>
        <w:pStyle w:val="BodyText"/>
        <w:spacing w:before="11"/>
      </w:pPr>
    </w:p>
    <w:p>
      <w:pPr>
        <w:spacing w:before="0"/>
        <w:ind w:left="497" w:right="328" w:firstLine="0"/>
        <w:jc w:val="both"/>
        <w:rPr>
          <w:sz w:val="18"/>
        </w:rPr>
      </w:pPr>
      <w:r>
        <w:rPr>
          <w:w w:val="238"/>
          <w:sz w:val="18"/>
        </w:rPr>
        <w:t>l</w:t>
      </w:r>
      <w:r>
        <w:rPr>
          <w:w w:val="109"/>
          <w:sz w:val="18"/>
        </w:rPr>
        <w:t>a</w:t>
      </w:r>
      <w:r>
        <w:rPr>
          <w:sz w:val="18"/>
        </w:rPr>
        <w:t> </w:t>
      </w:r>
      <w:r>
        <w:rPr>
          <w:w w:val="109"/>
          <w:sz w:val="18"/>
        </w:rPr>
        <w:t>táctica</w:t>
      </w:r>
      <w:r>
        <w:rPr>
          <w:sz w:val="18"/>
        </w:rPr>
        <w:t> </w:t>
      </w:r>
      <w:r>
        <w:rPr>
          <w:w w:val="111"/>
          <w:sz w:val="18"/>
        </w:rPr>
        <w:t>china</w:t>
      </w:r>
      <w:r>
        <w:rPr>
          <w:sz w:val="18"/>
        </w:rPr>
        <w:t> </w:t>
      </w:r>
      <w:r>
        <w:rPr>
          <w:w w:val="102"/>
          <w:sz w:val="18"/>
        </w:rPr>
        <w:t>es</w:t>
      </w:r>
      <w:r>
        <w:rPr>
          <w:sz w:val="18"/>
        </w:rPr>
        <w:t> </w:t>
      </w:r>
      <w:r>
        <w:rPr>
          <w:w w:val="104"/>
          <w:sz w:val="18"/>
        </w:rPr>
        <w:t>evitar</w:t>
      </w:r>
      <w:r>
        <w:rPr>
          <w:sz w:val="18"/>
        </w:rPr>
        <w:t> </w:t>
      </w:r>
      <w:r>
        <w:rPr>
          <w:w w:val="109"/>
          <w:sz w:val="18"/>
        </w:rPr>
        <w:t>la</w:t>
      </w:r>
      <w:r>
        <w:rPr>
          <w:sz w:val="18"/>
        </w:rPr>
        <w:t> </w:t>
      </w:r>
      <w:r>
        <w:rPr>
          <w:w w:val="108"/>
          <w:sz w:val="18"/>
        </w:rPr>
        <w:t>guerra.</w:t>
      </w:r>
      <w:r>
        <w:rPr>
          <w:sz w:val="18"/>
        </w:rPr>
        <w:t> </w:t>
      </w:r>
      <w:r>
        <w:rPr>
          <w:w w:val="111"/>
          <w:sz w:val="18"/>
        </w:rPr>
        <w:t>Europa</w:t>
      </w:r>
      <w:r>
        <w:rPr>
          <w:sz w:val="18"/>
        </w:rPr>
        <w:t> </w:t>
      </w:r>
      <w:r>
        <w:rPr>
          <w:w w:val="102"/>
          <w:sz w:val="18"/>
        </w:rPr>
        <w:t>y</w:t>
      </w:r>
      <w:r>
        <w:rPr>
          <w:sz w:val="18"/>
        </w:rPr>
        <w:t> </w:t>
      </w:r>
      <w:r>
        <w:rPr>
          <w:w w:val="136"/>
          <w:sz w:val="18"/>
        </w:rPr>
        <w:t>a</w:t>
      </w:r>
      <w:r>
        <w:rPr>
          <w:w w:val="110"/>
          <w:sz w:val="18"/>
        </w:rPr>
        <w:t>lemania,</w:t>
      </w:r>
      <w:r>
        <w:rPr>
          <w:sz w:val="18"/>
        </w:rPr>
        <w:t> </w:t>
      </w:r>
      <w:r>
        <w:rPr>
          <w:w w:val="106"/>
          <w:sz w:val="18"/>
        </w:rPr>
        <w:t>en</w:t>
      </w:r>
      <w:r>
        <w:rPr>
          <w:sz w:val="18"/>
        </w:rPr>
        <w:t> </w:t>
      </w:r>
      <w:r>
        <w:rPr>
          <w:w w:val="108"/>
          <w:sz w:val="18"/>
        </w:rPr>
        <w:t>particular</w:t>
      </w:r>
      <w:r>
        <w:rPr>
          <w:w w:val="135"/>
          <w:sz w:val="18"/>
        </w:rPr>
        <w:t>, </w:t>
      </w:r>
      <w:r>
        <w:rPr>
          <w:w w:val="110"/>
          <w:sz w:val="18"/>
        </w:rPr>
        <w:t>coinciden plenamente con Pekín sobre este punto. [Wallerstein pro- pone otro realineamiento geopolítico:] “a mí me parece que ambos países están realmente interesados en una restructuración diferente </w:t>
      </w:r>
      <w:r>
        <w:rPr>
          <w:w w:val="104"/>
          <w:sz w:val="18"/>
        </w:rPr>
        <w:t>de</w:t>
      </w:r>
      <w:r>
        <w:rPr>
          <w:sz w:val="18"/>
        </w:rPr>
        <w:t> </w:t>
      </w:r>
      <w:r>
        <w:rPr>
          <w:w w:val="107"/>
          <w:sz w:val="18"/>
        </w:rPr>
        <w:t>las</w:t>
      </w:r>
      <w:r>
        <w:rPr>
          <w:sz w:val="18"/>
        </w:rPr>
        <w:t> </w:t>
      </w:r>
      <w:r>
        <w:rPr>
          <w:w w:val="109"/>
          <w:sz w:val="18"/>
        </w:rPr>
        <w:t>alianzas</w:t>
      </w:r>
      <w:r>
        <w:rPr>
          <w:sz w:val="18"/>
        </w:rPr>
        <w:t> </w:t>
      </w:r>
      <w:r>
        <w:rPr>
          <w:w w:val="104"/>
          <w:sz w:val="18"/>
        </w:rPr>
        <w:t>entre</w:t>
      </w:r>
      <w:r>
        <w:rPr>
          <w:sz w:val="18"/>
        </w:rPr>
        <w:t> </w:t>
      </w:r>
      <w:r>
        <w:rPr>
          <w:w w:val="106"/>
          <w:sz w:val="18"/>
        </w:rPr>
        <w:t>los</w:t>
      </w:r>
      <w:r>
        <w:rPr>
          <w:sz w:val="18"/>
        </w:rPr>
        <w:t> </w:t>
      </w:r>
      <w:r>
        <w:rPr>
          <w:w w:val="111"/>
          <w:sz w:val="18"/>
        </w:rPr>
        <w:t>Estados.</w:t>
      </w:r>
      <w:r>
        <w:rPr>
          <w:sz w:val="18"/>
        </w:rPr>
        <w:t> </w:t>
      </w:r>
      <w:r>
        <w:rPr>
          <w:w w:val="238"/>
          <w:sz w:val="18"/>
        </w:rPr>
        <w:t>l</w:t>
      </w:r>
      <w:r>
        <w:rPr>
          <w:w w:val="108"/>
          <w:sz w:val="18"/>
        </w:rPr>
        <w:t>o</w:t>
      </w:r>
      <w:r>
        <w:rPr>
          <w:sz w:val="18"/>
        </w:rPr>
        <w:t> </w:t>
      </w:r>
      <w:r>
        <w:rPr>
          <w:w w:val="106"/>
          <w:sz w:val="18"/>
        </w:rPr>
        <w:t>que</w:t>
      </w:r>
      <w:r>
        <w:rPr>
          <w:sz w:val="18"/>
        </w:rPr>
        <w:t> </w:t>
      </w:r>
      <w:r>
        <w:rPr>
          <w:w w:val="179"/>
          <w:sz w:val="18"/>
        </w:rPr>
        <w:t>r</w:t>
      </w:r>
      <w:r>
        <w:rPr>
          <w:w w:val="109"/>
          <w:sz w:val="18"/>
        </w:rPr>
        <w:t>usia</w:t>
      </w:r>
      <w:r>
        <w:rPr>
          <w:sz w:val="18"/>
        </w:rPr>
        <w:t> </w:t>
      </w:r>
      <w:r>
        <w:rPr>
          <w:w w:val="109"/>
          <w:sz w:val="18"/>
        </w:rPr>
        <w:t>busca</w:t>
      </w:r>
      <w:r>
        <w:rPr>
          <w:sz w:val="18"/>
        </w:rPr>
        <w:t> </w:t>
      </w:r>
      <w:r>
        <w:rPr>
          <w:w w:val="106"/>
          <w:sz w:val="18"/>
        </w:rPr>
        <w:t>en</w:t>
      </w:r>
      <w:r>
        <w:rPr>
          <w:sz w:val="18"/>
        </w:rPr>
        <w:t> </w:t>
      </w:r>
      <w:r>
        <w:rPr>
          <w:w w:val="107"/>
          <w:sz w:val="18"/>
        </w:rPr>
        <w:t>realidad</w:t>
      </w:r>
      <w:r>
        <w:rPr>
          <w:sz w:val="18"/>
        </w:rPr>
        <w:t> </w:t>
      </w:r>
      <w:r>
        <w:rPr>
          <w:w w:val="102"/>
          <w:sz w:val="18"/>
        </w:rPr>
        <w:t>es</w:t>
      </w:r>
      <w:r>
        <w:rPr>
          <w:sz w:val="18"/>
        </w:rPr>
        <w:t> </w:t>
      </w:r>
      <w:r>
        <w:rPr>
          <w:w w:val="110"/>
          <w:sz w:val="18"/>
        </w:rPr>
        <w:t>un</w:t>
      </w:r>
    </w:p>
    <w:p>
      <w:pPr>
        <w:spacing w:after="0"/>
        <w:jc w:val="both"/>
        <w:rPr>
          <w:sz w:val="18"/>
        </w:rPr>
        <w:sectPr>
          <w:pgSz w:w="8790" w:h="12760"/>
          <w:pgMar w:header="695" w:footer="723" w:top="880" w:bottom="920" w:left="920" w:right="1200"/>
        </w:sectPr>
      </w:pPr>
    </w:p>
    <w:p>
      <w:pPr>
        <w:pStyle w:val="BodyText"/>
        <w:spacing w:before="8"/>
        <w:rPr>
          <w:sz w:val="28"/>
        </w:rPr>
      </w:pPr>
    </w:p>
    <w:p>
      <w:pPr>
        <w:spacing w:before="71"/>
        <w:ind w:left="727" w:right="118" w:firstLine="0"/>
        <w:jc w:val="both"/>
        <w:rPr>
          <w:sz w:val="18"/>
        </w:rPr>
      </w:pPr>
      <w:r>
        <w:rPr>
          <w:w w:val="110"/>
          <w:sz w:val="18"/>
        </w:rPr>
        <w:t>acuerdo con alemania. Y lo que China realmente busca es un acuerdo con EE.uu. alemania claramente está dividida acerca de la perspecti- va de incluir a rusia en una esfera europea.</w:t>
      </w:r>
    </w:p>
    <w:p>
      <w:pPr>
        <w:spacing w:before="2"/>
        <w:ind w:left="727" w:right="115" w:firstLine="0"/>
        <w:jc w:val="both"/>
        <w:rPr>
          <w:sz w:val="18"/>
        </w:rPr>
      </w:pPr>
      <w:r>
        <w:rPr>
          <w:spacing w:val="1"/>
          <w:w w:val="238"/>
          <w:sz w:val="18"/>
        </w:rPr>
        <w:t>l</w:t>
      </w:r>
      <w:r>
        <w:rPr>
          <w:w w:val="109"/>
          <w:sz w:val="18"/>
        </w:rPr>
        <w:t>a</w:t>
      </w:r>
      <w:r>
        <w:rPr>
          <w:spacing w:val="16"/>
          <w:sz w:val="18"/>
        </w:rPr>
        <w:t> </w:t>
      </w:r>
      <w:r>
        <w:rPr>
          <w:spacing w:val="1"/>
          <w:w w:val="106"/>
          <w:sz w:val="18"/>
        </w:rPr>
        <w:t>ventaj</w:t>
      </w:r>
      <w:r>
        <w:rPr>
          <w:w w:val="106"/>
          <w:sz w:val="18"/>
        </w:rPr>
        <w:t>a</w:t>
      </w:r>
      <w:r>
        <w:rPr>
          <w:spacing w:val="16"/>
          <w:sz w:val="18"/>
        </w:rPr>
        <w:t> </w:t>
      </w:r>
      <w:r>
        <w:rPr>
          <w:spacing w:val="1"/>
          <w:w w:val="104"/>
          <w:sz w:val="18"/>
        </w:rPr>
        <w:t>d</w:t>
      </w:r>
      <w:r>
        <w:rPr>
          <w:w w:val="104"/>
          <w:sz w:val="18"/>
        </w:rPr>
        <w:t>e</w:t>
      </w:r>
      <w:r>
        <w:rPr>
          <w:spacing w:val="16"/>
          <w:sz w:val="18"/>
        </w:rPr>
        <w:t> </w:t>
      </w:r>
      <w:r>
        <w:rPr>
          <w:spacing w:val="1"/>
          <w:w w:val="136"/>
          <w:sz w:val="18"/>
        </w:rPr>
        <w:t>a</w:t>
      </w:r>
      <w:r>
        <w:rPr>
          <w:spacing w:val="1"/>
          <w:w w:val="109"/>
          <w:sz w:val="18"/>
        </w:rPr>
        <w:t>lemani</w:t>
      </w:r>
      <w:r>
        <w:rPr>
          <w:w w:val="109"/>
          <w:sz w:val="18"/>
        </w:rPr>
        <w:t>a</w:t>
      </w:r>
      <w:r>
        <w:rPr>
          <w:spacing w:val="16"/>
          <w:sz w:val="18"/>
        </w:rPr>
        <w:t> </w:t>
      </w:r>
      <w:r>
        <w:rPr>
          <w:spacing w:val="1"/>
          <w:w w:val="106"/>
          <w:sz w:val="18"/>
        </w:rPr>
        <w:t>e</w:t>
      </w:r>
      <w:r>
        <w:rPr>
          <w:w w:val="106"/>
          <w:sz w:val="18"/>
        </w:rPr>
        <w:t>n</w:t>
      </w:r>
      <w:r>
        <w:rPr>
          <w:spacing w:val="16"/>
          <w:sz w:val="18"/>
        </w:rPr>
        <w:t> </w:t>
      </w:r>
      <w:r>
        <w:rPr>
          <w:spacing w:val="1"/>
          <w:w w:val="110"/>
          <w:sz w:val="18"/>
        </w:rPr>
        <w:t>u</w:t>
      </w:r>
      <w:r>
        <w:rPr>
          <w:w w:val="110"/>
          <w:sz w:val="18"/>
        </w:rPr>
        <w:t>n</w:t>
      </w:r>
      <w:r>
        <w:rPr>
          <w:spacing w:val="16"/>
          <w:sz w:val="18"/>
        </w:rPr>
        <w:t> </w:t>
      </w:r>
      <w:r>
        <w:rPr>
          <w:spacing w:val="1"/>
          <w:w w:val="106"/>
          <w:sz w:val="18"/>
        </w:rPr>
        <w:t>arregl</w:t>
      </w:r>
      <w:r>
        <w:rPr>
          <w:w w:val="106"/>
          <w:sz w:val="18"/>
        </w:rPr>
        <w:t>o</w:t>
      </w:r>
      <w:r>
        <w:rPr>
          <w:spacing w:val="16"/>
          <w:sz w:val="18"/>
        </w:rPr>
        <w:t> </w:t>
      </w:r>
      <w:r>
        <w:rPr>
          <w:spacing w:val="1"/>
          <w:w w:val="108"/>
          <w:sz w:val="18"/>
        </w:rPr>
        <w:t>as</w:t>
      </w:r>
      <w:r>
        <w:rPr>
          <w:w w:val="108"/>
          <w:sz w:val="18"/>
        </w:rPr>
        <w:t>í</w:t>
      </w:r>
      <w:r>
        <w:rPr>
          <w:spacing w:val="16"/>
          <w:sz w:val="18"/>
        </w:rPr>
        <w:t> </w:t>
      </w:r>
      <w:r>
        <w:rPr>
          <w:spacing w:val="1"/>
          <w:w w:val="105"/>
          <w:sz w:val="18"/>
        </w:rPr>
        <w:t>serí</w:t>
      </w:r>
      <w:r>
        <w:rPr>
          <w:w w:val="105"/>
          <w:sz w:val="18"/>
        </w:rPr>
        <w:t>a</w:t>
      </w:r>
      <w:r>
        <w:rPr>
          <w:spacing w:val="16"/>
          <w:sz w:val="18"/>
        </w:rPr>
        <w:t> </w:t>
      </w:r>
      <w:r>
        <w:rPr>
          <w:spacing w:val="1"/>
          <w:w w:val="108"/>
          <w:sz w:val="18"/>
        </w:rPr>
        <w:t>consolida</w:t>
      </w:r>
      <w:r>
        <w:rPr>
          <w:w w:val="108"/>
          <w:sz w:val="18"/>
        </w:rPr>
        <w:t>r</w:t>
      </w:r>
      <w:r>
        <w:rPr>
          <w:spacing w:val="16"/>
          <w:sz w:val="18"/>
        </w:rPr>
        <w:t> </w:t>
      </w:r>
      <w:r>
        <w:rPr>
          <w:spacing w:val="1"/>
          <w:w w:val="107"/>
          <w:sz w:val="18"/>
        </w:rPr>
        <w:t>s</w:t>
      </w:r>
      <w:r>
        <w:rPr>
          <w:w w:val="107"/>
          <w:sz w:val="18"/>
        </w:rPr>
        <w:t>u</w:t>
      </w:r>
      <w:r>
        <w:rPr>
          <w:spacing w:val="16"/>
          <w:sz w:val="18"/>
        </w:rPr>
        <w:t> </w:t>
      </w:r>
      <w:r>
        <w:rPr>
          <w:spacing w:val="1"/>
          <w:w w:val="106"/>
          <w:sz w:val="18"/>
        </w:rPr>
        <w:t>bas</w:t>
      </w:r>
      <w:r>
        <w:rPr>
          <w:w w:val="106"/>
          <w:sz w:val="18"/>
        </w:rPr>
        <w:t>e</w:t>
      </w:r>
      <w:r>
        <w:rPr>
          <w:spacing w:val="16"/>
          <w:sz w:val="18"/>
        </w:rPr>
        <w:t> </w:t>
      </w:r>
      <w:r>
        <w:rPr>
          <w:spacing w:val="1"/>
          <w:w w:val="104"/>
          <w:sz w:val="18"/>
        </w:rPr>
        <w:t>de </w:t>
      </w:r>
      <w:r>
        <w:rPr>
          <w:w w:val="110"/>
          <w:sz w:val="18"/>
        </w:rPr>
        <w:t>consumidores en rusia para su producción, garantizar sus necesida- des energéticas e incorporar la fuerza militar rusa a su planeación global de largo plazo. dado que esto haría inevitable la creación de una Europa post-otaN, existe oposición a la idea no sólo en alema- nia, sino por supuesto en Polonia y en los Estados bálticos. desde       el punto de vista de rusia, el objetivo del tratado de amistad rusia- China es fortalecer la posición de aquellos en alemania favorables a trabajar  con</w:t>
      </w:r>
      <w:r>
        <w:rPr>
          <w:spacing w:val="34"/>
          <w:w w:val="110"/>
          <w:sz w:val="18"/>
        </w:rPr>
        <w:t> </w:t>
      </w:r>
      <w:r>
        <w:rPr>
          <w:w w:val="110"/>
          <w:sz w:val="18"/>
        </w:rPr>
        <w:t>rusia.</w:t>
      </w:r>
    </w:p>
    <w:p>
      <w:pPr>
        <w:pStyle w:val="BodyText"/>
        <w:spacing w:before="10"/>
        <w:rPr>
          <w:sz w:val="22"/>
        </w:rPr>
      </w:pPr>
    </w:p>
    <w:p>
      <w:pPr>
        <w:pStyle w:val="BodyText"/>
        <w:spacing w:line="252" w:lineRule="auto"/>
        <w:ind w:left="330" w:right="118"/>
        <w:jc w:val="both"/>
      </w:pPr>
      <w:r>
        <w:rPr>
          <w:w w:val="110"/>
        </w:rPr>
        <w:t>obviamente, “la amistad rusia-China” sólo tiene sentido en el marco  de una alianza con alemania, que incluya a Europa. Es una situación que beneficia a los tres países que conformarían el eje euro-asiático. alemania sólo puede “consolidar su base de consumidores” si se está pensando en el mercado creciente de China. En estas condiciones, el acuerdo con Estados unidos por parte de China es  </w:t>
      </w:r>
      <w:r>
        <w:rPr>
          <w:spacing w:val="31"/>
          <w:w w:val="110"/>
        </w:rPr>
        <w:t> </w:t>
      </w:r>
      <w:r>
        <w:rPr>
          <w:w w:val="110"/>
        </w:rPr>
        <w:t>viable.</w:t>
      </w:r>
    </w:p>
    <w:p>
      <w:pPr>
        <w:pStyle w:val="BodyText"/>
        <w:spacing w:line="252" w:lineRule="auto"/>
        <w:ind w:left="330" w:right="117" w:firstLine="396"/>
        <w:jc w:val="both"/>
      </w:pPr>
      <w:r>
        <w:rPr>
          <w:w w:val="110"/>
        </w:rPr>
        <w:t>alemania tampoco se muestra indiferente, el servicio informativo </w:t>
      </w:r>
      <w:r>
        <w:rPr>
          <w:spacing w:val="-6"/>
          <w:w w:val="160"/>
        </w:rPr>
        <w:t>rt </w:t>
      </w:r>
      <w:r>
        <w:rPr>
          <w:w w:val="110"/>
        </w:rPr>
        <w:t>señaló que “Frankfurt se convirtió en el primer centro financie-     ro de Europa en obtener el derecho de liquidar y arreglar pagos en yuanes tras la firma del memorándum de entendimiento celebrado entre el banco Federal alemán y el banco Popular Chino (en marzo de 2014)” (</w:t>
      </w:r>
      <w:r>
        <w:rPr>
          <w:i/>
          <w:w w:val="110"/>
        </w:rPr>
        <w:t>Rusia </w:t>
      </w:r>
      <w:r>
        <w:rPr>
          <w:i/>
          <w:spacing w:val="-4"/>
          <w:w w:val="110"/>
        </w:rPr>
        <w:t>Today</w:t>
      </w:r>
      <w:r>
        <w:rPr>
          <w:spacing w:val="-4"/>
          <w:w w:val="110"/>
        </w:rPr>
        <w:t>, </w:t>
      </w:r>
      <w:r>
        <w:rPr>
          <w:w w:val="110"/>
        </w:rPr>
        <w:t>2014). Joachim Nagel del banco Federal alemán afirmó que “pronto el yuan podría convertirse en la divisa de reserva internacional”. Pero en un mundo dominado por el eje   </w:t>
      </w:r>
      <w:r>
        <w:rPr>
          <w:spacing w:val="16"/>
          <w:w w:val="110"/>
        </w:rPr>
        <w:t> </w:t>
      </w:r>
      <w:r>
        <w:rPr>
          <w:w w:val="110"/>
        </w:rPr>
        <w:t>euro-asiático,</w:t>
      </w:r>
    </w:p>
    <w:p>
      <w:pPr>
        <w:pStyle w:val="BodyText"/>
        <w:ind w:left="330"/>
        <w:jc w:val="both"/>
      </w:pPr>
      <w:r>
        <w:rPr>
          <w:w w:val="110"/>
        </w:rPr>
        <w:t>¿qué país será hegemónico? según Perry anderson  (2004),</w:t>
      </w:r>
    </w:p>
    <w:p>
      <w:pPr>
        <w:pStyle w:val="BodyText"/>
        <w:spacing w:before="4"/>
        <w:rPr>
          <w:sz w:val="23"/>
        </w:rPr>
      </w:pPr>
    </w:p>
    <w:p>
      <w:pPr>
        <w:spacing w:before="0"/>
        <w:ind w:left="727" w:right="117" w:firstLine="0"/>
        <w:jc w:val="both"/>
        <w:rPr>
          <w:sz w:val="18"/>
        </w:rPr>
      </w:pPr>
      <w:r>
        <w:rPr>
          <w:w w:val="110"/>
          <w:sz w:val="18"/>
        </w:rPr>
        <w:t>[…] hegemonía exige la existencia de una potencia particular que </w:t>
      </w:r>
      <w:r>
        <w:rPr>
          <w:spacing w:val="-5"/>
          <w:w w:val="110"/>
          <w:sz w:val="18"/>
        </w:rPr>
        <w:t>or-</w:t>
      </w:r>
      <w:r>
        <w:rPr>
          <w:spacing w:val="33"/>
          <w:w w:val="110"/>
          <w:sz w:val="18"/>
        </w:rPr>
        <w:t> </w:t>
      </w:r>
      <w:r>
        <w:rPr>
          <w:w w:val="110"/>
          <w:sz w:val="18"/>
        </w:rPr>
        <w:t>ganice</w:t>
      </w:r>
      <w:r>
        <w:rPr>
          <w:spacing w:val="-9"/>
          <w:w w:val="110"/>
          <w:sz w:val="18"/>
        </w:rPr>
        <w:t> </w:t>
      </w:r>
      <w:r>
        <w:rPr>
          <w:w w:val="110"/>
          <w:sz w:val="18"/>
        </w:rPr>
        <w:t>y</w:t>
      </w:r>
      <w:r>
        <w:rPr>
          <w:spacing w:val="-9"/>
          <w:w w:val="110"/>
          <w:sz w:val="18"/>
        </w:rPr>
        <w:t> </w:t>
      </w:r>
      <w:r>
        <w:rPr>
          <w:w w:val="110"/>
          <w:sz w:val="18"/>
        </w:rPr>
        <w:t>haga</w:t>
      </w:r>
      <w:r>
        <w:rPr>
          <w:spacing w:val="-9"/>
          <w:w w:val="110"/>
          <w:sz w:val="18"/>
        </w:rPr>
        <w:t> </w:t>
      </w:r>
      <w:r>
        <w:rPr>
          <w:w w:val="110"/>
          <w:sz w:val="18"/>
        </w:rPr>
        <w:t>cumplir</w:t>
      </w:r>
      <w:r>
        <w:rPr>
          <w:spacing w:val="-9"/>
          <w:w w:val="110"/>
          <w:sz w:val="18"/>
        </w:rPr>
        <w:t> </w:t>
      </w:r>
      <w:r>
        <w:rPr>
          <w:w w:val="110"/>
          <w:sz w:val="18"/>
        </w:rPr>
        <w:t>las</w:t>
      </w:r>
      <w:r>
        <w:rPr>
          <w:spacing w:val="-9"/>
          <w:w w:val="110"/>
          <w:sz w:val="18"/>
        </w:rPr>
        <w:t> </w:t>
      </w:r>
      <w:r>
        <w:rPr>
          <w:w w:val="110"/>
          <w:sz w:val="18"/>
        </w:rPr>
        <w:t>reglas</w:t>
      </w:r>
      <w:r>
        <w:rPr>
          <w:spacing w:val="-9"/>
          <w:w w:val="110"/>
          <w:sz w:val="18"/>
        </w:rPr>
        <w:t> </w:t>
      </w:r>
      <w:r>
        <w:rPr>
          <w:w w:val="110"/>
          <w:sz w:val="18"/>
        </w:rPr>
        <w:t>generales</w:t>
      </w:r>
      <w:r>
        <w:rPr>
          <w:spacing w:val="-9"/>
          <w:w w:val="110"/>
          <w:sz w:val="18"/>
        </w:rPr>
        <w:t> </w:t>
      </w:r>
      <w:r>
        <w:rPr>
          <w:w w:val="110"/>
          <w:sz w:val="18"/>
        </w:rPr>
        <w:t>del</w:t>
      </w:r>
      <w:r>
        <w:rPr>
          <w:spacing w:val="-9"/>
          <w:w w:val="110"/>
          <w:sz w:val="18"/>
        </w:rPr>
        <w:t> </w:t>
      </w:r>
      <w:r>
        <w:rPr>
          <w:w w:val="110"/>
          <w:sz w:val="18"/>
        </w:rPr>
        <w:t>sistema.</w:t>
      </w:r>
      <w:r>
        <w:rPr>
          <w:spacing w:val="-9"/>
          <w:w w:val="110"/>
          <w:sz w:val="18"/>
        </w:rPr>
        <w:t> </w:t>
      </w:r>
      <w:r>
        <w:rPr>
          <w:w w:val="110"/>
          <w:sz w:val="18"/>
        </w:rPr>
        <w:t>En</w:t>
      </w:r>
      <w:r>
        <w:rPr>
          <w:spacing w:val="-9"/>
          <w:w w:val="110"/>
          <w:sz w:val="18"/>
        </w:rPr>
        <w:t> </w:t>
      </w:r>
      <w:r>
        <w:rPr>
          <w:w w:val="110"/>
          <w:sz w:val="18"/>
        </w:rPr>
        <w:t>una</w:t>
      </w:r>
      <w:r>
        <w:rPr>
          <w:spacing w:val="-9"/>
          <w:w w:val="110"/>
          <w:sz w:val="18"/>
        </w:rPr>
        <w:t> </w:t>
      </w:r>
      <w:r>
        <w:rPr>
          <w:w w:val="110"/>
          <w:sz w:val="18"/>
        </w:rPr>
        <w:t>palabra, no hay hegemonía internacional sin Estado hegemónico. Esto ha sido uno de los puntos fundamentales tanto de la teoría marxista de la he- gemonía forjada por antonio Gramsci, como de las teorías anteriores del</w:t>
      </w:r>
      <w:r>
        <w:rPr>
          <w:spacing w:val="-16"/>
          <w:w w:val="110"/>
          <w:sz w:val="18"/>
        </w:rPr>
        <w:t> </w:t>
      </w:r>
      <w:r>
        <w:rPr>
          <w:i/>
          <w:w w:val="110"/>
          <w:sz w:val="18"/>
        </w:rPr>
        <w:t>Realpolitik</w:t>
      </w:r>
      <w:r>
        <w:rPr>
          <w:i/>
          <w:spacing w:val="-16"/>
          <w:w w:val="110"/>
          <w:sz w:val="18"/>
        </w:rPr>
        <w:t> </w:t>
      </w:r>
      <w:r>
        <w:rPr>
          <w:w w:val="110"/>
          <w:sz w:val="18"/>
        </w:rPr>
        <w:t>alemán</w:t>
      </w:r>
      <w:r>
        <w:rPr>
          <w:spacing w:val="-16"/>
          <w:w w:val="110"/>
          <w:sz w:val="18"/>
        </w:rPr>
        <w:t> </w:t>
      </w:r>
      <w:r>
        <w:rPr>
          <w:w w:val="110"/>
          <w:sz w:val="18"/>
        </w:rPr>
        <w:t>–cuyo</w:t>
      </w:r>
      <w:r>
        <w:rPr>
          <w:spacing w:val="-16"/>
          <w:w w:val="110"/>
          <w:sz w:val="18"/>
        </w:rPr>
        <w:t> </w:t>
      </w:r>
      <w:r>
        <w:rPr>
          <w:w w:val="110"/>
          <w:sz w:val="18"/>
        </w:rPr>
        <w:t>matiz</w:t>
      </w:r>
      <w:r>
        <w:rPr>
          <w:spacing w:val="-16"/>
          <w:w w:val="110"/>
          <w:sz w:val="18"/>
        </w:rPr>
        <w:t> </w:t>
      </w:r>
      <w:r>
        <w:rPr>
          <w:w w:val="110"/>
          <w:sz w:val="18"/>
        </w:rPr>
        <w:t>político</w:t>
      </w:r>
      <w:r>
        <w:rPr>
          <w:spacing w:val="-16"/>
          <w:w w:val="110"/>
          <w:sz w:val="18"/>
        </w:rPr>
        <w:t> </w:t>
      </w:r>
      <w:r>
        <w:rPr>
          <w:w w:val="110"/>
          <w:sz w:val="18"/>
        </w:rPr>
        <w:t>en</w:t>
      </w:r>
      <w:r>
        <w:rPr>
          <w:spacing w:val="-16"/>
          <w:w w:val="110"/>
          <w:sz w:val="18"/>
        </w:rPr>
        <w:t> </w:t>
      </w:r>
      <w:r>
        <w:rPr>
          <w:w w:val="110"/>
          <w:sz w:val="18"/>
        </w:rPr>
        <w:t>cambio</w:t>
      </w:r>
      <w:r>
        <w:rPr>
          <w:spacing w:val="-16"/>
          <w:w w:val="110"/>
          <w:sz w:val="18"/>
        </w:rPr>
        <w:t> </w:t>
      </w:r>
      <w:r>
        <w:rPr>
          <w:w w:val="110"/>
          <w:sz w:val="18"/>
        </w:rPr>
        <w:t>era</w:t>
      </w:r>
      <w:r>
        <w:rPr>
          <w:spacing w:val="-16"/>
          <w:w w:val="110"/>
          <w:sz w:val="18"/>
        </w:rPr>
        <w:t> </w:t>
      </w:r>
      <w:r>
        <w:rPr>
          <w:w w:val="110"/>
          <w:sz w:val="18"/>
        </w:rPr>
        <w:t>conservador.</w:t>
      </w:r>
    </w:p>
    <w:p>
      <w:pPr>
        <w:pStyle w:val="BodyText"/>
        <w:spacing w:before="6"/>
        <w:rPr>
          <w:sz w:val="24"/>
        </w:rPr>
      </w:pPr>
    </w:p>
    <w:p>
      <w:pPr>
        <w:pStyle w:val="BodyText"/>
        <w:spacing w:line="252" w:lineRule="auto"/>
        <w:ind w:left="330" w:right="116"/>
        <w:jc w:val="both"/>
      </w:pPr>
      <w:r>
        <w:rPr>
          <w:w w:val="110"/>
        </w:rPr>
        <w:t>anderson (2004) agrega que “una potencia hegemónica tiene que ser un Estado particular con una serie de atributos que, por definición,   no pueden ser compartidos por otros Estados, dado que son estas peculiaridades las que precisamente lo hace una superpotencia por encima de los otros”. un Estado particular capaz de desempeñar un papel universal como garantía del “buen funcionamiento” del siste- ma. Esta realidad nos permite analizar el enfrentamiento más recien- te</w:t>
      </w:r>
      <w:r>
        <w:rPr>
          <w:spacing w:val="36"/>
          <w:w w:val="110"/>
        </w:rPr>
        <w:t> </w:t>
      </w:r>
      <w:r>
        <w:rPr>
          <w:w w:val="110"/>
        </w:rPr>
        <w:t>surgido</w:t>
      </w:r>
      <w:r>
        <w:rPr>
          <w:spacing w:val="36"/>
          <w:w w:val="110"/>
        </w:rPr>
        <w:t> </w:t>
      </w:r>
      <w:r>
        <w:rPr>
          <w:w w:val="110"/>
        </w:rPr>
        <w:t>en</w:t>
      </w:r>
      <w:r>
        <w:rPr>
          <w:spacing w:val="36"/>
          <w:w w:val="110"/>
        </w:rPr>
        <w:t> </w:t>
      </w:r>
      <w:r>
        <w:rPr>
          <w:w w:val="110"/>
        </w:rPr>
        <w:t>torno</w:t>
      </w:r>
      <w:r>
        <w:rPr>
          <w:spacing w:val="36"/>
          <w:w w:val="110"/>
        </w:rPr>
        <w:t> </w:t>
      </w:r>
      <w:r>
        <w:rPr>
          <w:w w:val="110"/>
        </w:rPr>
        <w:t>a</w:t>
      </w:r>
      <w:r>
        <w:rPr>
          <w:spacing w:val="36"/>
          <w:w w:val="110"/>
        </w:rPr>
        <w:t> </w:t>
      </w:r>
      <w:r>
        <w:rPr>
          <w:w w:val="110"/>
        </w:rPr>
        <w:t>ucrania</w:t>
      </w:r>
      <w:r>
        <w:rPr>
          <w:spacing w:val="36"/>
          <w:w w:val="110"/>
        </w:rPr>
        <w:t> </w:t>
      </w:r>
      <w:r>
        <w:rPr>
          <w:w w:val="110"/>
        </w:rPr>
        <w:t>para</w:t>
      </w:r>
      <w:r>
        <w:rPr>
          <w:spacing w:val="36"/>
          <w:w w:val="110"/>
        </w:rPr>
        <w:t> </w:t>
      </w:r>
      <w:r>
        <w:rPr>
          <w:w w:val="110"/>
        </w:rPr>
        <w:t>tratar</w:t>
      </w:r>
      <w:r>
        <w:rPr>
          <w:spacing w:val="36"/>
          <w:w w:val="110"/>
        </w:rPr>
        <w:t> </w:t>
      </w:r>
      <w:r>
        <w:rPr>
          <w:w w:val="110"/>
        </w:rPr>
        <w:t>de</w:t>
      </w:r>
      <w:r>
        <w:rPr>
          <w:spacing w:val="36"/>
          <w:w w:val="110"/>
        </w:rPr>
        <w:t> </w:t>
      </w:r>
      <w:r>
        <w:rPr>
          <w:w w:val="110"/>
        </w:rPr>
        <w:t>entender</w:t>
      </w:r>
      <w:r>
        <w:rPr>
          <w:spacing w:val="36"/>
          <w:w w:val="110"/>
        </w:rPr>
        <w:t> </w:t>
      </w:r>
      <w:r>
        <w:rPr>
          <w:w w:val="110"/>
        </w:rPr>
        <w:t>la</w:t>
      </w:r>
      <w:r>
        <w:rPr>
          <w:spacing w:val="36"/>
          <w:w w:val="110"/>
        </w:rPr>
        <w:t> </w:t>
      </w:r>
      <w:r>
        <w:rPr>
          <w:w w:val="110"/>
        </w:rPr>
        <w:t>crisis</w:t>
      </w:r>
      <w:r>
        <w:rPr>
          <w:spacing w:val="36"/>
          <w:w w:val="110"/>
        </w:rPr>
        <w:t> </w:t>
      </w:r>
      <w:r>
        <w:rPr>
          <w:w w:val="110"/>
        </w:rPr>
        <w:t>del</w:t>
      </w:r>
    </w:p>
    <w:p>
      <w:pPr>
        <w:spacing w:after="0" w:line="252" w:lineRule="auto"/>
        <w:jc w:val="both"/>
        <w:sectPr>
          <w:footerReference w:type="even" r:id="rId119"/>
          <w:footerReference w:type="default" r:id="rId120"/>
          <w:pgSz w:w="8790" w:h="12760"/>
          <w:pgMar w:footer="725" w:header="695" w:top="880" w:bottom="920" w:left="1200" w:right="900"/>
          <w:pgNumType w:start="82"/>
        </w:sectPr>
      </w:pPr>
    </w:p>
    <w:p>
      <w:pPr>
        <w:pStyle w:val="BodyText"/>
        <w:spacing w:before="9"/>
        <w:rPr>
          <w:sz w:val="28"/>
        </w:rPr>
      </w:pPr>
    </w:p>
    <w:p>
      <w:pPr>
        <w:pStyle w:val="BodyText"/>
        <w:spacing w:line="252" w:lineRule="auto" w:before="73"/>
        <w:ind w:left="100" w:right="328"/>
        <w:jc w:val="both"/>
      </w:pPr>
      <w:r>
        <w:rPr>
          <w:w w:val="110"/>
        </w:rPr>
        <w:t>capitalismo y de Estados unidos, así como las opciones abiertas a los demás actores globales.</w:t>
      </w:r>
    </w:p>
    <w:p>
      <w:pPr>
        <w:pStyle w:val="BodyText"/>
        <w:spacing w:before="5"/>
      </w:pPr>
    </w:p>
    <w:p>
      <w:pPr>
        <w:pStyle w:val="Heading6"/>
      </w:pPr>
      <w:r>
        <w:rPr>
          <w:w w:val="135"/>
        </w:rPr>
        <w:t>el Gran ausente: aMérica latina</w:t>
      </w:r>
    </w:p>
    <w:p>
      <w:pPr>
        <w:pStyle w:val="BodyText"/>
        <w:spacing w:line="252" w:lineRule="auto" w:before="10"/>
        <w:ind w:left="100" w:right="327"/>
        <w:jc w:val="both"/>
      </w:pPr>
      <w:r>
        <w:rPr>
          <w:w w:val="110"/>
        </w:rPr>
        <w:t>independientemente de los enfoques que plantea la crisis capitalista </w:t>
      </w:r>
      <w:r>
        <w:rPr>
          <w:w w:val="110"/>
        </w:rPr>
        <w:t>o</w:t>
      </w:r>
      <w:r>
        <w:rPr/>
        <w:t> </w:t>
      </w:r>
      <w:r>
        <w:rPr>
          <w:spacing w:val="-14"/>
        </w:rPr>
        <w:t> </w:t>
      </w:r>
      <w:r>
        <w:rPr>
          <w:w w:val="111"/>
        </w:rPr>
        <w:t>la</w:t>
      </w:r>
      <w:r>
        <w:rPr/>
        <w:t> </w:t>
      </w:r>
      <w:r>
        <w:rPr>
          <w:spacing w:val="-14"/>
        </w:rPr>
        <w:t> </w:t>
      </w:r>
      <w:r>
        <w:rPr>
          <w:w w:val="108"/>
        </w:rPr>
        <w:t>nueva</w:t>
      </w:r>
      <w:r>
        <w:rPr/>
        <w:t> </w:t>
      </w:r>
      <w:r>
        <w:rPr>
          <w:spacing w:val="-14"/>
        </w:rPr>
        <w:t> </w:t>
      </w:r>
      <w:r>
        <w:rPr>
          <w:w w:val="111"/>
        </w:rPr>
        <w:t>geopolítica,</w:t>
      </w:r>
      <w:r>
        <w:rPr/>
        <w:t> </w:t>
      </w:r>
      <w:r>
        <w:rPr>
          <w:spacing w:val="-14"/>
        </w:rPr>
        <w:t> </w:t>
      </w:r>
      <w:r>
        <w:rPr>
          <w:w w:val="110"/>
        </w:rPr>
        <w:t>hay</w:t>
      </w:r>
      <w:r>
        <w:rPr/>
        <w:t> </w:t>
      </w:r>
      <w:r>
        <w:rPr>
          <w:spacing w:val="-14"/>
        </w:rPr>
        <w:t> </w:t>
      </w:r>
      <w:r>
        <w:rPr>
          <w:w w:val="108"/>
        </w:rPr>
        <w:t>que</w:t>
      </w:r>
      <w:r>
        <w:rPr/>
        <w:t> </w:t>
      </w:r>
      <w:r>
        <w:rPr>
          <w:spacing w:val="-14"/>
        </w:rPr>
        <w:t> </w:t>
      </w:r>
      <w:r>
        <w:rPr>
          <w:w w:val="111"/>
        </w:rPr>
        <w:t>analizar</w:t>
      </w:r>
      <w:r>
        <w:rPr/>
        <w:t> </w:t>
      </w:r>
      <w:r>
        <w:rPr>
          <w:spacing w:val="-14"/>
        </w:rPr>
        <w:t> </w:t>
      </w:r>
      <w:r>
        <w:rPr>
          <w:w w:val="107"/>
        </w:rPr>
        <w:t>el</w:t>
      </w:r>
      <w:r>
        <w:rPr/>
        <w:t> </w:t>
      </w:r>
      <w:r>
        <w:rPr>
          <w:spacing w:val="-14"/>
        </w:rPr>
        <w:t> </w:t>
      </w:r>
      <w:r>
        <w:rPr>
          <w:w w:val="108"/>
        </w:rPr>
        <w:t>rol</w:t>
      </w:r>
      <w:r>
        <w:rPr/>
        <w:t> </w:t>
      </w:r>
      <w:r>
        <w:rPr>
          <w:spacing w:val="-14"/>
        </w:rPr>
        <w:t> </w:t>
      </w:r>
      <w:r>
        <w:rPr>
          <w:w w:val="107"/>
        </w:rPr>
        <w:t>de</w:t>
      </w:r>
      <w:r>
        <w:rPr/>
        <w:t> </w:t>
      </w:r>
      <w:r>
        <w:rPr>
          <w:spacing w:val="-14"/>
        </w:rPr>
        <w:t> </w:t>
      </w:r>
      <w:r>
        <w:rPr>
          <w:w w:val="139"/>
        </w:rPr>
        <w:t>a</w:t>
      </w:r>
      <w:r>
        <w:rPr>
          <w:w w:val="111"/>
        </w:rPr>
        <w:t>mérica</w:t>
      </w:r>
      <w:r>
        <w:rPr/>
        <w:t> </w:t>
      </w:r>
      <w:r>
        <w:rPr>
          <w:spacing w:val="-14"/>
        </w:rPr>
        <w:t> </w:t>
      </w:r>
      <w:r>
        <w:rPr>
          <w:w w:val="243"/>
        </w:rPr>
        <w:t>l</w:t>
      </w:r>
      <w:r>
        <w:rPr>
          <w:w w:val="111"/>
        </w:rPr>
        <w:t>atina</w:t>
      </w:r>
      <w:r>
        <w:rPr/>
        <w:t> </w:t>
      </w:r>
      <w:r>
        <w:rPr>
          <w:spacing w:val="-14"/>
        </w:rPr>
        <w:t> </w:t>
      </w:r>
      <w:r>
        <w:rPr>
          <w:w w:val="108"/>
        </w:rPr>
        <w:t>en </w:t>
      </w:r>
      <w:r>
        <w:rPr>
          <w:w w:val="110"/>
        </w:rPr>
        <w:t>el realineamiento que se está produciendo a escala global. según ro- sales y Kuwayama (2012), “en los últimos diez años, la inversión de </w:t>
      </w:r>
      <w:r>
        <w:rPr>
          <w:w w:val="115"/>
        </w:rPr>
        <w:t>China</w:t>
      </w:r>
      <w:r>
        <w:rPr>
          <w:spacing w:val="4"/>
        </w:rPr>
        <w:t> </w:t>
      </w:r>
      <w:r>
        <w:rPr>
          <w:w w:val="113"/>
        </w:rPr>
        <w:t>hacia</w:t>
      </w:r>
      <w:r>
        <w:rPr>
          <w:spacing w:val="4"/>
        </w:rPr>
        <w:t> </w:t>
      </w:r>
      <w:r>
        <w:rPr>
          <w:w w:val="139"/>
        </w:rPr>
        <w:t>a</w:t>
      </w:r>
      <w:r>
        <w:rPr>
          <w:w w:val="111"/>
        </w:rPr>
        <w:t>mérica</w:t>
      </w:r>
      <w:r>
        <w:rPr>
          <w:spacing w:val="4"/>
        </w:rPr>
        <w:t> </w:t>
      </w:r>
      <w:r>
        <w:rPr>
          <w:w w:val="243"/>
        </w:rPr>
        <w:t>l</w:t>
      </w:r>
      <w:r>
        <w:rPr>
          <w:w w:val="111"/>
        </w:rPr>
        <w:t>atina</w:t>
      </w:r>
      <w:r>
        <w:rPr>
          <w:spacing w:val="4"/>
        </w:rPr>
        <w:t> </w:t>
      </w:r>
      <w:r>
        <w:rPr>
          <w:w w:val="112"/>
        </w:rPr>
        <w:t>ha</w:t>
      </w:r>
      <w:r>
        <w:rPr>
          <w:spacing w:val="4"/>
        </w:rPr>
        <w:t> </w:t>
      </w:r>
      <w:r>
        <w:rPr>
          <w:w w:val="110"/>
        </w:rPr>
        <w:t>aumentado</w:t>
      </w:r>
      <w:r>
        <w:rPr>
          <w:spacing w:val="4"/>
        </w:rPr>
        <w:t> </w:t>
      </w:r>
      <w:r>
        <w:rPr>
          <w:w w:val="105"/>
        </w:rPr>
        <w:t>y</w:t>
      </w:r>
      <w:r>
        <w:rPr>
          <w:spacing w:val="4"/>
        </w:rPr>
        <w:t> </w:t>
      </w:r>
      <w:r>
        <w:rPr>
          <w:w w:val="108"/>
        </w:rPr>
        <w:t>los</w:t>
      </w:r>
      <w:r>
        <w:rPr>
          <w:spacing w:val="4"/>
        </w:rPr>
        <w:t> </w:t>
      </w:r>
      <w:r>
        <w:rPr>
          <w:w w:val="107"/>
        </w:rPr>
        <w:t>sectores</w:t>
      </w:r>
      <w:r>
        <w:rPr>
          <w:spacing w:val="4"/>
        </w:rPr>
        <w:t> </w:t>
      </w:r>
      <w:r>
        <w:rPr>
          <w:w w:val="110"/>
        </w:rPr>
        <w:t>relacionados </w:t>
      </w:r>
      <w:r>
        <w:rPr>
          <w:w w:val="110"/>
        </w:rPr>
        <w:t>se han ampliado. según las estadísticas del Ministerio de Comercio    de China, de 2003 a 2012 la inversión directa no financiera de China </w:t>
      </w:r>
      <w:r>
        <w:rPr>
          <w:w w:val="112"/>
        </w:rPr>
        <w:t>a</w:t>
      </w:r>
      <w:r>
        <w:rPr>
          <w:spacing w:val="13"/>
        </w:rPr>
        <w:t> </w:t>
      </w:r>
      <w:r>
        <w:rPr>
          <w:w w:val="139"/>
        </w:rPr>
        <w:t>a</w:t>
      </w:r>
      <w:r>
        <w:rPr>
          <w:w w:val="111"/>
        </w:rPr>
        <w:t>mérica</w:t>
      </w:r>
      <w:r>
        <w:rPr>
          <w:spacing w:val="13"/>
        </w:rPr>
        <w:t> </w:t>
      </w:r>
      <w:r>
        <w:rPr>
          <w:w w:val="243"/>
        </w:rPr>
        <w:t>l</w:t>
      </w:r>
      <w:r>
        <w:rPr>
          <w:w w:val="111"/>
        </w:rPr>
        <w:t>atina</w:t>
      </w:r>
      <w:r>
        <w:rPr>
          <w:spacing w:val="13"/>
        </w:rPr>
        <w:t> </w:t>
      </w:r>
      <w:r>
        <w:rPr>
          <w:w w:val="110"/>
        </w:rPr>
        <w:t>ascendió</w:t>
      </w:r>
      <w:r>
        <w:rPr>
          <w:spacing w:val="13"/>
        </w:rPr>
        <w:t> </w:t>
      </w:r>
      <w:r>
        <w:rPr>
          <w:w w:val="107"/>
        </w:rPr>
        <w:t>de</w:t>
      </w:r>
      <w:r>
        <w:rPr>
          <w:spacing w:val="13"/>
        </w:rPr>
        <w:t> </w:t>
      </w:r>
      <w:r>
        <w:rPr>
          <w:w w:val="144"/>
        </w:rPr>
        <w:t>us</w:t>
      </w:r>
      <w:r>
        <w:rPr>
          <w:w w:val="112"/>
        </w:rPr>
        <w:t>$</w:t>
      </w:r>
      <w:r>
        <w:rPr>
          <w:spacing w:val="13"/>
        </w:rPr>
        <w:t> </w:t>
      </w:r>
      <w:r>
        <w:rPr>
          <w:w w:val="106"/>
        </w:rPr>
        <w:t>1.04</w:t>
      </w:r>
      <w:r>
        <w:rPr>
          <w:spacing w:val="13"/>
        </w:rPr>
        <w:t> </w:t>
      </w:r>
      <w:r>
        <w:rPr>
          <w:w w:val="113"/>
        </w:rPr>
        <w:t>mil</w:t>
      </w:r>
      <w:r>
        <w:rPr>
          <w:spacing w:val="13"/>
        </w:rPr>
        <w:t> </w:t>
      </w:r>
      <w:r>
        <w:rPr>
          <w:w w:val="110"/>
        </w:rPr>
        <w:t>millones</w:t>
      </w:r>
      <w:r>
        <w:rPr>
          <w:spacing w:val="13"/>
        </w:rPr>
        <w:t> </w:t>
      </w:r>
      <w:r>
        <w:rPr>
          <w:w w:val="112"/>
        </w:rPr>
        <w:t>a</w:t>
      </w:r>
      <w:r>
        <w:rPr>
          <w:spacing w:val="13"/>
        </w:rPr>
        <w:t> </w:t>
      </w:r>
      <w:r>
        <w:rPr>
          <w:w w:val="106"/>
        </w:rPr>
        <w:t>10.7</w:t>
      </w:r>
      <w:r>
        <w:rPr>
          <w:spacing w:val="13"/>
        </w:rPr>
        <w:t> </w:t>
      </w:r>
      <w:r>
        <w:rPr>
          <w:w w:val="113"/>
        </w:rPr>
        <w:t>mil</w:t>
      </w:r>
      <w:r>
        <w:rPr>
          <w:spacing w:val="13"/>
        </w:rPr>
        <w:t> </w:t>
      </w:r>
      <w:r>
        <w:rPr>
          <w:w w:val="112"/>
        </w:rPr>
        <w:t>millo</w:t>
      </w:r>
      <w:r>
        <w:rPr>
          <w:w w:val="102"/>
        </w:rPr>
        <w:t>- </w:t>
      </w:r>
      <w:r>
        <w:rPr>
          <w:w w:val="110"/>
        </w:rPr>
        <w:t>nes”. un despacho de xinhua aclara que (xinhua,   </w:t>
      </w:r>
      <w:r>
        <w:rPr>
          <w:spacing w:val="45"/>
          <w:w w:val="110"/>
        </w:rPr>
        <w:t> </w:t>
      </w:r>
      <w:r>
        <w:rPr>
          <w:w w:val="110"/>
        </w:rPr>
        <w:t>2014):</w:t>
      </w:r>
    </w:p>
    <w:p>
      <w:pPr>
        <w:pStyle w:val="BodyText"/>
        <w:spacing w:before="11"/>
        <w:rPr>
          <w:sz w:val="18"/>
        </w:rPr>
      </w:pPr>
    </w:p>
    <w:p>
      <w:pPr>
        <w:spacing w:before="0"/>
        <w:ind w:left="497" w:right="328" w:firstLine="0"/>
        <w:jc w:val="both"/>
        <w:rPr>
          <w:sz w:val="18"/>
        </w:rPr>
      </w:pPr>
      <w:r>
        <w:rPr>
          <w:w w:val="115"/>
          <w:sz w:val="18"/>
        </w:rPr>
        <w:t>[…] el gigante asiático va más allá de comprar materias primas en </w:t>
      </w:r>
      <w:r>
        <w:rPr>
          <w:w w:val="238"/>
          <w:sz w:val="18"/>
        </w:rPr>
        <w:t>l</w:t>
      </w:r>
      <w:r>
        <w:rPr>
          <w:w w:val="109"/>
          <w:sz w:val="18"/>
        </w:rPr>
        <w:t>atinoamérica</w:t>
      </w:r>
      <w:r>
        <w:rPr>
          <w:spacing w:val="6"/>
          <w:sz w:val="18"/>
        </w:rPr>
        <w:t> </w:t>
      </w:r>
      <w:r>
        <w:rPr>
          <w:w w:val="102"/>
          <w:sz w:val="18"/>
        </w:rPr>
        <w:t>y</w:t>
      </w:r>
      <w:r>
        <w:rPr>
          <w:spacing w:val="6"/>
          <w:sz w:val="18"/>
        </w:rPr>
        <w:t> </w:t>
      </w:r>
      <w:r>
        <w:rPr>
          <w:w w:val="105"/>
          <w:sz w:val="18"/>
        </w:rPr>
        <w:t>está</w:t>
      </w:r>
      <w:r>
        <w:rPr>
          <w:spacing w:val="6"/>
          <w:sz w:val="18"/>
        </w:rPr>
        <w:t> </w:t>
      </w:r>
      <w:r>
        <w:rPr>
          <w:w w:val="105"/>
          <w:sz w:val="18"/>
        </w:rPr>
        <w:t>vertiendo</w:t>
      </w:r>
      <w:r>
        <w:rPr>
          <w:spacing w:val="6"/>
          <w:sz w:val="18"/>
        </w:rPr>
        <w:t> </w:t>
      </w:r>
      <w:r>
        <w:rPr>
          <w:w w:val="106"/>
          <w:sz w:val="18"/>
        </w:rPr>
        <w:t>enormes</w:t>
      </w:r>
      <w:r>
        <w:rPr>
          <w:spacing w:val="6"/>
          <w:sz w:val="18"/>
        </w:rPr>
        <w:t> </w:t>
      </w:r>
      <w:r>
        <w:rPr>
          <w:w w:val="108"/>
          <w:sz w:val="18"/>
        </w:rPr>
        <w:t>sumas</w:t>
      </w:r>
      <w:r>
        <w:rPr>
          <w:spacing w:val="6"/>
          <w:sz w:val="18"/>
        </w:rPr>
        <w:t> </w:t>
      </w:r>
      <w:r>
        <w:rPr>
          <w:w w:val="104"/>
          <w:sz w:val="18"/>
        </w:rPr>
        <w:t>de</w:t>
      </w:r>
      <w:r>
        <w:rPr>
          <w:spacing w:val="6"/>
          <w:sz w:val="18"/>
        </w:rPr>
        <w:t> </w:t>
      </w:r>
      <w:r>
        <w:rPr>
          <w:w w:val="106"/>
          <w:sz w:val="18"/>
        </w:rPr>
        <w:t>dinero</w:t>
      </w:r>
      <w:r>
        <w:rPr>
          <w:spacing w:val="6"/>
          <w:sz w:val="18"/>
        </w:rPr>
        <w:t> </w:t>
      </w:r>
      <w:r>
        <w:rPr>
          <w:w w:val="106"/>
          <w:sz w:val="18"/>
        </w:rPr>
        <w:t>en</w:t>
      </w:r>
      <w:r>
        <w:rPr>
          <w:spacing w:val="6"/>
          <w:sz w:val="18"/>
        </w:rPr>
        <w:t> </w:t>
      </w:r>
      <w:r>
        <w:rPr>
          <w:w w:val="105"/>
          <w:sz w:val="18"/>
        </w:rPr>
        <w:t>proyectos </w:t>
      </w:r>
      <w:r>
        <w:rPr>
          <w:w w:val="104"/>
          <w:sz w:val="18"/>
        </w:rPr>
        <w:t>de</w:t>
      </w:r>
      <w:r>
        <w:rPr>
          <w:spacing w:val="6"/>
          <w:sz w:val="18"/>
        </w:rPr>
        <w:t> </w:t>
      </w:r>
      <w:r>
        <w:rPr>
          <w:w w:val="107"/>
          <w:sz w:val="18"/>
        </w:rPr>
        <w:t>infraestructura</w:t>
      </w:r>
      <w:r>
        <w:rPr>
          <w:spacing w:val="6"/>
          <w:sz w:val="18"/>
        </w:rPr>
        <w:t> </w:t>
      </w:r>
      <w:r>
        <w:rPr>
          <w:w w:val="106"/>
          <w:sz w:val="18"/>
        </w:rPr>
        <w:t>en</w:t>
      </w:r>
      <w:r>
        <w:rPr>
          <w:spacing w:val="6"/>
          <w:sz w:val="18"/>
        </w:rPr>
        <w:t> </w:t>
      </w:r>
      <w:r>
        <w:rPr>
          <w:w w:val="109"/>
          <w:sz w:val="18"/>
        </w:rPr>
        <w:t>la</w:t>
      </w:r>
      <w:r>
        <w:rPr>
          <w:spacing w:val="6"/>
          <w:sz w:val="18"/>
        </w:rPr>
        <w:t> </w:t>
      </w:r>
      <w:r>
        <w:rPr>
          <w:w w:val="109"/>
          <w:sz w:val="18"/>
        </w:rPr>
        <w:t>región.</w:t>
      </w:r>
      <w:r>
        <w:rPr>
          <w:spacing w:val="6"/>
          <w:sz w:val="18"/>
        </w:rPr>
        <w:t> </w:t>
      </w:r>
      <w:r>
        <w:rPr>
          <w:w w:val="238"/>
          <w:sz w:val="18"/>
        </w:rPr>
        <w:t>l</w:t>
      </w:r>
      <w:r>
        <w:rPr>
          <w:w w:val="109"/>
          <w:sz w:val="18"/>
        </w:rPr>
        <w:t>a</w:t>
      </w:r>
      <w:r>
        <w:rPr>
          <w:spacing w:val="6"/>
          <w:sz w:val="18"/>
        </w:rPr>
        <w:t> </w:t>
      </w:r>
      <w:r>
        <w:rPr>
          <w:w w:val="106"/>
          <w:sz w:val="18"/>
        </w:rPr>
        <w:t>inversión</w:t>
      </w:r>
      <w:r>
        <w:rPr>
          <w:spacing w:val="6"/>
          <w:sz w:val="18"/>
        </w:rPr>
        <w:t> </w:t>
      </w:r>
      <w:r>
        <w:rPr>
          <w:w w:val="111"/>
          <w:sz w:val="18"/>
        </w:rPr>
        <w:t>china</w:t>
      </w:r>
      <w:r>
        <w:rPr>
          <w:spacing w:val="6"/>
          <w:sz w:val="18"/>
        </w:rPr>
        <w:t> </w:t>
      </w:r>
      <w:r>
        <w:rPr>
          <w:w w:val="106"/>
          <w:sz w:val="18"/>
        </w:rPr>
        <w:t>en</w:t>
      </w:r>
      <w:r>
        <w:rPr>
          <w:spacing w:val="6"/>
          <w:sz w:val="18"/>
        </w:rPr>
        <w:t> </w:t>
      </w:r>
      <w:r>
        <w:rPr>
          <w:w w:val="109"/>
          <w:sz w:val="18"/>
        </w:rPr>
        <w:t>la</w:t>
      </w:r>
      <w:r>
        <w:rPr>
          <w:spacing w:val="6"/>
          <w:sz w:val="18"/>
        </w:rPr>
        <w:t> </w:t>
      </w:r>
      <w:r>
        <w:rPr>
          <w:w w:val="109"/>
          <w:sz w:val="18"/>
        </w:rPr>
        <w:t>zona</w:t>
      </w:r>
      <w:r>
        <w:rPr>
          <w:spacing w:val="6"/>
          <w:sz w:val="18"/>
        </w:rPr>
        <w:t> </w:t>
      </w:r>
      <w:r>
        <w:rPr>
          <w:w w:val="108"/>
          <w:sz w:val="18"/>
        </w:rPr>
        <w:t>aumentó </w:t>
      </w:r>
      <w:r>
        <w:rPr>
          <w:w w:val="109"/>
          <w:sz w:val="18"/>
        </w:rPr>
        <w:t>a</w:t>
      </w:r>
      <w:r>
        <w:rPr>
          <w:sz w:val="18"/>
        </w:rPr>
        <w:t> </w:t>
      </w:r>
      <w:r>
        <w:rPr>
          <w:spacing w:val="-4"/>
          <w:sz w:val="18"/>
        </w:rPr>
        <w:t> </w:t>
      </w:r>
      <w:r>
        <w:rPr>
          <w:w w:val="102"/>
          <w:sz w:val="18"/>
        </w:rPr>
        <w:t>80.000</w:t>
      </w:r>
      <w:r>
        <w:rPr>
          <w:sz w:val="18"/>
        </w:rPr>
        <w:t> </w:t>
      </w:r>
      <w:r>
        <w:rPr>
          <w:spacing w:val="-4"/>
          <w:sz w:val="18"/>
        </w:rPr>
        <w:t> </w:t>
      </w:r>
      <w:r>
        <w:rPr>
          <w:w w:val="108"/>
          <w:sz w:val="18"/>
        </w:rPr>
        <w:t>millones</w:t>
      </w:r>
      <w:r>
        <w:rPr>
          <w:sz w:val="18"/>
        </w:rPr>
        <w:t> </w:t>
      </w:r>
      <w:r>
        <w:rPr>
          <w:spacing w:val="-4"/>
          <w:sz w:val="18"/>
        </w:rPr>
        <w:t> </w:t>
      </w:r>
      <w:r>
        <w:rPr>
          <w:w w:val="104"/>
          <w:sz w:val="18"/>
        </w:rPr>
        <w:t>de</w:t>
      </w:r>
      <w:r>
        <w:rPr>
          <w:sz w:val="18"/>
        </w:rPr>
        <w:t> </w:t>
      </w:r>
      <w:r>
        <w:rPr>
          <w:spacing w:val="-4"/>
          <w:sz w:val="18"/>
        </w:rPr>
        <w:t> </w:t>
      </w:r>
      <w:r>
        <w:rPr>
          <w:w w:val="106"/>
          <w:sz w:val="18"/>
        </w:rPr>
        <w:t>dólares</w:t>
      </w:r>
      <w:r>
        <w:rPr>
          <w:sz w:val="18"/>
        </w:rPr>
        <w:t> </w:t>
      </w:r>
      <w:r>
        <w:rPr>
          <w:spacing w:val="-4"/>
          <w:sz w:val="18"/>
        </w:rPr>
        <w:t> </w:t>
      </w:r>
      <w:r>
        <w:rPr>
          <w:w w:val="106"/>
          <w:sz w:val="18"/>
        </w:rPr>
        <w:t>en</w:t>
      </w:r>
      <w:r>
        <w:rPr>
          <w:sz w:val="18"/>
        </w:rPr>
        <w:t> </w:t>
      </w:r>
      <w:r>
        <w:rPr>
          <w:spacing w:val="-4"/>
          <w:sz w:val="18"/>
        </w:rPr>
        <w:t> </w:t>
      </w:r>
      <w:r>
        <w:rPr>
          <w:w w:val="103"/>
          <w:sz w:val="18"/>
        </w:rPr>
        <w:t>2013.</w:t>
      </w:r>
      <w:r>
        <w:rPr>
          <w:sz w:val="18"/>
        </w:rPr>
        <w:t> </w:t>
      </w:r>
      <w:r>
        <w:rPr>
          <w:spacing w:val="-4"/>
          <w:sz w:val="18"/>
        </w:rPr>
        <w:t> </w:t>
      </w:r>
      <w:r>
        <w:rPr>
          <w:w w:val="136"/>
          <w:sz w:val="18"/>
        </w:rPr>
        <w:t>a</w:t>
      </w:r>
      <w:r>
        <w:rPr>
          <w:w w:val="109"/>
          <w:sz w:val="18"/>
        </w:rPr>
        <w:t>ctualmente,</w:t>
      </w:r>
      <w:r>
        <w:rPr>
          <w:sz w:val="18"/>
        </w:rPr>
        <w:t> </w:t>
      </w:r>
      <w:r>
        <w:rPr>
          <w:spacing w:val="-4"/>
          <w:sz w:val="18"/>
        </w:rPr>
        <w:t> </w:t>
      </w:r>
      <w:r>
        <w:rPr>
          <w:w w:val="136"/>
          <w:sz w:val="18"/>
        </w:rPr>
        <w:t>a</w:t>
      </w:r>
      <w:r>
        <w:rPr>
          <w:w w:val="108"/>
          <w:sz w:val="18"/>
        </w:rPr>
        <w:t>mérica</w:t>
      </w:r>
      <w:r>
        <w:rPr>
          <w:sz w:val="18"/>
        </w:rPr>
        <w:t> </w:t>
      </w:r>
      <w:r>
        <w:rPr>
          <w:spacing w:val="-4"/>
          <w:sz w:val="18"/>
        </w:rPr>
        <w:t> </w:t>
      </w:r>
      <w:r>
        <w:rPr>
          <w:w w:val="238"/>
          <w:sz w:val="18"/>
        </w:rPr>
        <w:t>l</w:t>
      </w:r>
      <w:r>
        <w:rPr>
          <w:w w:val="109"/>
          <w:sz w:val="18"/>
        </w:rPr>
        <w:t>atina </w:t>
      </w:r>
      <w:r>
        <w:rPr>
          <w:w w:val="115"/>
          <w:sz w:val="18"/>
        </w:rPr>
        <w:t>representa</w:t>
      </w:r>
      <w:r>
        <w:rPr>
          <w:spacing w:val="-6"/>
          <w:w w:val="115"/>
          <w:sz w:val="18"/>
        </w:rPr>
        <w:t> </w:t>
      </w:r>
      <w:r>
        <w:rPr>
          <w:w w:val="115"/>
          <w:sz w:val="18"/>
        </w:rPr>
        <w:t>casi</w:t>
      </w:r>
      <w:r>
        <w:rPr>
          <w:spacing w:val="-6"/>
          <w:w w:val="115"/>
          <w:sz w:val="18"/>
        </w:rPr>
        <w:t> </w:t>
      </w:r>
      <w:r>
        <w:rPr>
          <w:w w:val="115"/>
          <w:sz w:val="18"/>
        </w:rPr>
        <w:t>el</w:t>
      </w:r>
      <w:r>
        <w:rPr>
          <w:spacing w:val="-6"/>
          <w:w w:val="115"/>
          <w:sz w:val="18"/>
        </w:rPr>
        <w:t> </w:t>
      </w:r>
      <w:r>
        <w:rPr>
          <w:w w:val="115"/>
          <w:sz w:val="18"/>
        </w:rPr>
        <w:t>13</w:t>
      </w:r>
      <w:r>
        <w:rPr>
          <w:spacing w:val="-6"/>
          <w:w w:val="115"/>
          <w:sz w:val="18"/>
        </w:rPr>
        <w:t> </w:t>
      </w:r>
      <w:r>
        <w:rPr>
          <w:w w:val="115"/>
          <w:sz w:val="18"/>
        </w:rPr>
        <w:t>por</w:t>
      </w:r>
      <w:r>
        <w:rPr>
          <w:spacing w:val="-6"/>
          <w:w w:val="115"/>
          <w:sz w:val="18"/>
        </w:rPr>
        <w:t> </w:t>
      </w:r>
      <w:r>
        <w:rPr>
          <w:w w:val="115"/>
          <w:sz w:val="18"/>
        </w:rPr>
        <w:t>ciento</w:t>
      </w:r>
      <w:r>
        <w:rPr>
          <w:spacing w:val="-6"/>
          <w:w w:val="115"/>
          <w:sz w:val="18"/>
        </w:rPr>
        <w:t> </w:t>
      </w:r>
      <w:r>
        <w:rPr>
          <w:w w:val="115"/>
          <w:sz w:val="18"/>
        </w:rPr>
        <w:t>de</w:t>
      </w:r>
      <w:r>
        <w:rPr>
          <w:spacing w:val="-6"/>
          <w:w w:val="115"/>
          <w:sz w:val="18"/>
        </w:rPr>
        <w:t> </w:t>
      </w:r>
      <w:r>
        <w:rPr>
          <w:w w:val="115"/>
          <w:sz w:val="18"/>
        </w:rPr>
        <w:t>los</w:t>
      </w:r>
      <w:r>
        <w:rPr>
          <w:spacing w:val="-6"/>
          <w:w w:val="115"/>
          <w:sz w:val="18"/>
        </w:rPr>
        <w:t> </w:t>
      </w:r>
      <w:r>
        <w:rPr>
          <w:w w:val="115"/>
          <w:sz w:val="18"/>
        </w:rPr>
        <w:t>gastos</w:t>
      </w:r>
      <w:r>
        <w:rPr>
          <w:spacing w:val="-6"/>
          <w:w w:val="115"/>
          <w:sz w:val="18"/>
        </w:rPr>
        <w:t> </w:t>
      </w:r>
      <w:r>
        <w:rPr>
          <w:w w:val="115"/>
          <w:sz w:val="18"/>
        </w:rPr>
        <w:t>extranjeros</w:t>
      </w:r>
      <w:r>
        <w:rPr>
          <w:spacing w:val="-6"/>
          <w:w w:val="115"/>
          <w:sz w:val="18"/>
        </w:rPr>
        <w:t> </w:t>
      </w:r>
      <w:r>
        <w:rPr>
          <w:w w:val="115"/>
          <w:sz w:val="18"/>
        </w:rPr>
        <w:t>de</w:t>
      </w:r>
      <w:r>
        <w:rPr>
          <w:spacing w:val="-6"/>
          <w:w w:val="115"/>
          <w:sz w:val="18"/>
        </w:rPr>
        <w:t> </w:t>
      </w:r>
      <w:r>
        <w:rPr>
          <w:w w:val="115"/>
          <w:sz w:val="18"/>
        </w:rPr>
        <w:t>capital de</w:t>
      </w:r>
      <w:r>
        <w:rPr>
          <w:spacing w:val="-7"/>
          <w:w w:val="115"/>
          <w:sz w:val="18"/>
        </w:rPr>
        <w:t> </w:t>
      </w:r>
      <w:r>
        <w:rPr>
          <w:w w:val="115"/>
          <w:sz w:val="18"/>
        </w:rPr>
        <w:t>China.</w:t>
      </w:r>
      <w:r>
        <w:rPr>
          <w:spacing w:val="-7"/>
          <w:w w:val="115"/>
          <w:sz w:val="18"/>
        </w:rPr>
        <w:t> </w:t>
      </w:r>
      <w:r>
        <w:rPr>
          <w:w w:val="115"/>
          <w:sz w:val="18"/>
        </w:rPr>
        <w:t>[…]</w:t>
      </w:r>
      <w:r>
        <w:rPr>
          <w:spacing w:val="-7"/>
          <w:w w:val="115"/>
          <w:sz w:val="18"/>
        </w:rPr>
        <w:t> </w:t>
      </w:r>
      <w:r>
        <w:rPr>
          <w:w w:val="115"/>
          <w:sz w:val="18"/>
        </w:rPr>
        <w:t>China</w:t>
      </w:r>
      <w:r>
        <w:rPr>
          <w:spacing w:val="-7"/>
          <w:w w:val="115"/>
          <w:sz w:val="18"/>
        </w:rPr>
        <w:t> </w:t>
      </w:r>
      <w:r>
        <w:rPr>
          <w:w w:val="115"/>
          <w:sz w:val="18"/>
        </w:rPr>
        <w:t>está</w:t>
      </w:r>
      <w:r>
        <w:rPr>
          <w:spacing w:val="-7"/>
          <w:w w:val="115"/>
          <w:sz w:val="18"/>
        </w:rPr>
        <w:t> </w:t>
      </w:r>
      <w:r>
        <w:rPr>
          <w:w w:val="115"/>
          <w:sz w:val="18"/>
        </w:rPr>
        <w:t>invirtiendo</w:t>
      </w:r>
      <w:r>
        <w:rPr>
          <w:spacing w:val="-7"/>
          <w:w w:val="115"/>
          <w:sz w:val="18"/>
        </w:rPr>
        <w:t> </w:t>
      </w:r>
      <w:r>
        <w:rPr>
          <w:w w:val="115"/>
          <w:sz w:val="18"/>
        </w:rPr>
        <w:t>significativas</w:t>
      </w:r>
      <w:r>
        <w:rPr>
          <w:spacing w:val="-7"/>
          <w:w w:val="115"/>
          <w:sz w:val="18"/>
        </w:rPr>
        <w:t> </w:t>
      </w:r>
      <w:r>
        <w:rPr>
          <w:w w:val="115"/>
          <w:sz w:val="18"/>
        </w:rPr>
        <w:t>cantidades</w:t>
      </w:r>
      <w:r>
        <w:rPr>
          <w:spacing w:val="-7"/>
          <w:w w:val="115"/>
          <w:sz w:val="18"/>
        </w:rPr>
        <w:t> </w:t>
      </w:r>
      <w:r>
        <w:rPr>
          <w:w w:val="115"/>
          <w:sz w:val="18"/>
        </w:rPr>
        <w:t>de</w:t>
      </w:r>
      <w:r>
        <w:rPr>
          <w:spacing w:val="-7"/>
          <w:w w:val="115"/>
          <w:sz w:val="18"/>
        </w:rPr>
        <w:t> </w:t>
      </w:r>
      <w:r>
        <w:rPr>
          <w:w w:val="115"/>
          <w:sz w:val="18"/>
        </w:rPr>
        <w:t>di- </w:t>
      </w:r>
      <w:r>
        <w:rPr>
          <w:w w:val="106"/>
          <w:sz w:val="18"/>
        </w:rPr>
        <w:t>nero</w:t>
      </w:r>
      <w:r>
        <w:rPr>
          <w:sz w:val="18"/>
        </w:rPr>
        <w:t> </w:t>
      </w:r>
      <w:r>
        <w:rPr>
          <w:spacing w:val="-18"/>
          <w:sz w:val="18"/>
        </w:rPr>
        <w:t> </w:t>
      </w:r>
      <w:r>
        <w:rPr>
          <w:w w:val="106"/>
          <w:sz w:val="18"/>
        </w:rPr>
        <w:t>en</w:t>
      </w:r>
      <w:r>
        <w:rPr>
          <w:sz w:val="18"/>
        </w:rPr>
        <w:t> </w:t>
      </w:r>
      <w:r>
        <w:rPr>
          <w:spacing w:val="-18"/>
          <w:sz w:val="18"/>
        </w:rPr>
        <w:t> </w:t>
      </w:r>
      <w:r>
        <w:rPr>
          <w:w w:val="238"/>
          <w:sz w:val="18"/>
        </w:rPr>
        <w:t>l</w:t>
      </w:r>
      <w:r>
        <w:rPr>
          <w:w w:val="109"/>
          <w:sz w:val="18"/>
        </w:rPr>
        <w:t>atinoamérica</w:t>
      </w:r>
      <w:r>
        <w:rPr>
          <w:sz w:val="18"/>
        </w:rPr>
        <w:t> </w:t>
      </w:r>
      <w:r>
        <w:rPr>
          <w:spacing w:val="-18"/>
          <w:sz w:val="18"/>
        </w:rPr>
        <w:t> </w:t>
      </w:r>
      <w:r>
        <w:rPr>
          <w:w w:val="102"/>
          <w:sz w:val="18"/>
        </w:rPr>
        <w:t>y</w:t>
      </w:r>
      <w:r>
        <w:rPr>
          <w:sz w:val="18"/>
        </w:rPr>
        <w:t> </w:t>
      </w:r>
      <w:r>
        <w:rPr>
          <w:spacing w:val="-18"/>
          <w:sz w:val="18"/>
        </w:rPr>
        <w:t> </w:t>
      </w:r>
      <w:r>
        <w:rPr>
          <w:w w:val="108"/>
          <w:sz w:val="18"/>
        </w:rPr>
        <w:t>aumentando</w:t>
      </w:r>
      <w:r>
        <w:rPr>
          <w:sz w:val="18"/>
        </w:rPr>
        <w:t> </w:t>
      </w:r>
      <w:r>
        <w:rPr>
          <w:spacing w:val="-18"/>
          <w:sz w:val="18"/>
        </w:rPr>
        <w:t> </w:t>
      </w:r>
      <w:r>
        <w:rPr>
          <w:w w:val="106"/>
          <w:sz w:val="18"/>
        </w:rPr>
        <w:t>sus</w:t>
      </w:r>
      <w:r>
        <w:rPr>
          <w:sz w:val="18"/>
        </w:rPr>
        <w:t> </w:t>
      </w:r>
      <w:r>
        <w:rPr>
          <w:spacing w:val="-18"/>
          <w:sz w:val="18"/>
        </w:rPr>
        <w:t> </w:t>
      </w:r>
      <w:r>
        <w:rPr>
          <w:w w:val="107"/>
          <w:sz w:val="18"/>
        </w:rPr>
        <w:t>actividades</w:t>
      </w:r>
      <w:r>
        <w:rPr>
          <w:sz w:val="18"/>
        </w:rPr>
        <w:t> </w:t>
      </w:r>
      <w:r>
        <w:rPr>
          <w:spacing w:val="-18"/>
          <w:sz w:val="18"/>
        </w:rPr>
        <w:t> </w:t>
      </w:r>
      <w:r>
        <w:rPr>
          <w:w w:val="108"/>
          <w:sz w:val="18"/>
        </w:rPr>
        <w:t>comerciales</w:t>
      </w:r>
      <w:r>
        <w:rPr>
          <w:sz w:val="18"/>
        </w:rPr>
        <w:t> </w:t>
      </w:r>
      <w:r>
        <w:rPr>
          <w:spacing w:val="-18"/>
          <w:sz w:val="18"/>
        </w:rPr>
        <w:t> </w:t>
      </w:r>
      <w:r>
        <w:rPr>
          <w:w w:val="106"/>
          <w:sz w:val="18"/>
        </w:rPr>
        <w:t>en </w:t>
      </w:r>
      <w:r>
        <w:rPr>
          <w:w w:val="115"/>
          <w:sz w:val="18"/>
        </w:rPr>
        <w:t>la</w:t>
      </w:r>
      <w:r>
        <w:rPr>
          <w:spacing w:val="-14"/>
          <w:w w:val="115"/>
          <w:sz w:val="18"/>
        </w:rPr>
        <w:t> </w:t>
      </w:r>
      <w:r>
        <w:rPr>
          <w:w w:val="115"/>
          <w:sz w:val="18"/>
        </w:rPr>
        <w:t>región,</w:t>
      </w:r>
      <w:r>
        <w:rPr>
          <w:spacing w:val="-14"/>
          <w:w w:val="115"/>
          <w:sz w:val="18"/>
        </w:rPr>
        <w:t> </w:t>
      </w:r>
      <w:r>
        <w:rPr>
          <w:w w:val="115"/>
          <w:sz w:val="18"/>
        </w:rPr>
        <w:t>compitiendo</w:t>
      </w:r>
      <w:r>
        <w:rPr>
          <w:spacing w:val="-14"/>
          <w:w w:val="115"/>
          <w:sz w:val="18"/>
        </w:rPr>
        <w:t> </w:t>
      </w:r>
      <w:r>
        <w:rPr>
          <w:w w:val="115"/>
          <w:sz w:val="18"/>
        </w:rPr>
        <w:t>así</w:t>
      </w:r>
      <w:r>
        <w:rPr>
          <w:spacing w:val="-14"/>
          <w:w w:val="115"/>
          <w:sz w:val="18"/>
        </w:rPr>
        <w:t> </w:t>
      </w:r>
      <w:r>
        <w:rPr>
          <w:w w:val="115"/>
          <w:sz w:val="18"/>
        </w:rPr>
        <w:t>con</w:t>
      </w:r>
      <w:r>
        <w:rPr>
          <w:spacing w:val="-14"/>
          <w:w w:val="115"/>
          <w:sz w:val="18"/>
        </w:rPr>
        <w:t> </w:t>
      </w:r>
      <w:r>
        <w:rPr>
          <w:w w:val="115"/>
          <w:sz w:val="18"/>
        </w:rPr>
        <w:t>EE.uu.</w:t>
      </w:r>
      <w:r>
        <w:rPr>
          <w:spacing w:val="-14"/>
          <w:w w:val="115"/>
          <w:sz w:val="18"/>
        </w:rPr>
        <w:t> </w:t>
      </w:r>
      <w:r>
        <w:rPr>
          <w:w w:val="115"/>
          <w:sz w:val="18"/>
        </w:rPr>
        <w:t>por</w:t>
      </w:r>
      <w:r>
        <w:rPr>
          <w:spacing w:val="-14"/>
          <w:w w:val="115"/>
          <w:sz w:val="18"/>
        </w:rPr>
        <w:t> </w:t>
      </w:r>
      <w:r>
        <w:rPr>
          <w:w w:val="115"/>
          <w:sz w:val="18"/>
        </w:rPr>
        <w:t>el</w:t>
      </w:r>
      <w:r>
        <w:rPr>
          <w:spacing w:val="-14"/>
          <w:w w:val="115"/>
          <w:sz w:val="18"/>
        </w:rPr>
        <w:t> </w:t>
      </w:r>
      <w:r>
        <w:rPr>
          <w:w w:val="115"/>
          <w:sz w:val="18"/>
        </w:rPr>
        <w:t>liderazgo</w:t>
      </w:r>
      <w:r>
        <w:rPr>
          <w:spacing w:val="-14"/>
          <w:w w:val="115"/>
          <w:sz w:val="18"/>
        </w:rPr>
        <w:t> </w:t>
      </w:r>
      <w:r>
        <w:rPr>
          <w:w w:val="115"/>
          <w:sz w:val="18"/>
        </w:rPr>
        <w:t>mercantil,</w:t>
      </w:r>
      <w:r>
        <w:rPr>
          <w:spacing w:val="-14"/>
          <w:w w:val="115"/>
          <w:sz w:val="18"/>
        </w:rPr>
        <w:t> </w:t>
      </w:r>
      <w:r>
        <w:rPr>
          <w:w w:val="115"/>
          <w:sz w:val="18"/>
        </w:rPr>
        <w:t>que </w:t>
      </w:r>
      <w:r>
        <w:rPr>
          <w:w w:val="110"/>
          <w:sz w:val="18"/>
        </w:rPr>
        <w:t>podría</w:t>
      </w:r>
      <w:r>
        <w:rPr>
          <w:spacing w:val="-12"/>
          <w:w w:val="110"/>
          <w:sz w:val="18"/>
        </w:rPr>
        <w:t> </w:t>
      </w:r>
      <w:r>
        <w:rPr>
          <w:w w:val="110"/>
          <w:sz w:val="18"/>
        </w:rPr>
        <w:t>obtener</w:t>
      </w:r>
      <w:r>
        <w:rPr>
          <w:spacing w:val="-12"/>
          <w:w w:val="110"/>
          <w:sz w:val="18"/>
        </w:rPr>
        <w:t> </w:t>
      </w:r>
      <w:r>
        <w:rPr>
          <w:w w:val="110"/>
          <w:sz w:val="18"/>
        </w:rPr>
        <w:t>en</w:t>
      </w:r>
      <w:r>
        <w:rPr>
          <w:spacing w:val="-12"/>
          <w:w w:val="110"/>
          <w:sz w:val="18"/>
        </w:rPr>
        <w:t> </w:t>
      </w:r>
      <w:r>
        <w:rPr>
          <w:w w:val="110"/>
          <w:sz w:val="18"/>
        </w:rPr>
        <w:t>2030,</w:t>
      </w:r>
      <w:r>
        <w:rPr>
          <w:spacing w:val="-12"/>
          <w:w w:val="110"/>
          <w:sz w:val="18"/>
        </w:rPr>
        <w:t> </w:t>
      </w:r>
      <w:r>
        <w:rPr>
          <w:w w:val="110"/>
          <w:sz w:val="18"/>
        </w:rPr>
        <w:t>según</w:t>
      </w:r>
      <w:r>
        <w:rPr>
          <w:spacing w:val="-12"/>
          <w:w w:val="110"/>
          <w:sz w:val="18"/>
        </w:rPr>
        <w:t> </w:t>
      </w:r>
      <w:r>
        <w:rPr>
          <w:w w:val="110"/>
          <w:sz w:val="18"/>
        </w:rPr>
        <w:t>algunos</w:t>
      </w:r>
      <w:r>
        <w:rPr>
          <w:spacing w:val="-12"/>
          <w:w w:val="110"/>
          <w:sz w:val="18"/>
        </w:rPr>
        <w:t> </w:t>
      </w:r>
      <w:r>
        <w:rPr>
          <w:w w:val="110"/>
          <w:sz w:val="18"/>
        </w:rPr>
        <w:t>expertos</w:t>
      </w:r>
      <w:r>
        <w:rPr>
          <w:spacing w:val="-12"/>
          <w:w w:val="110"/>
          <w:sz w:val="18"/>
        </w:rPr>
        <w:t> </w:t>
      </w:r>
      <w:r>
        <w:rPr>
          <w:w w:val="110"/>
          <w:sz w:val="18"/>
        </w:rPr>
        <w:t>.</w:t>
      </w:r>
    </w:p>
    <w:p>
      <w:pPr>
        <w:pStyle w:val="BodyText"/>
        <w:spacing w:before="1"/>
        <w:rPr>
          <w:sz w:val="21"/>
        </w:rPr>
      </w:pPr>
    </w:p>
    <w:p>
      <w:pPr>
        <w:pStyle w:val="BodyText"/>
        <w:spacing w:line="252" w:lineRule="auto"/>
        <w:ind w:left="100" w:right="327"/>
        <w:jc w:val="both"/>
      </w:pPr>
      <w:r>
        <w:rPr>
          <w:w w:val="110"/>
        </w:rPr>
        <w:t>Podemos mencionar tres opciones: en primer </w:t>
      </w:r>
      <w:r>
        <w:rPr>
          <w:spacing w:val="-4"/>
          <w:w w:val="110"/>
        </w:rPr>
        <w:t>lugar, </w:t>
      </w:r>
      <w:r>
        <w:rPr>
          <w:w w:val="110"/>
        </w:rPr>
        <w:t>la región latinoa- mericana puede continuar siendo un proveedor de materias primas para las potencias industriales del sistema capitalista. Éste ha sido    su papel establecido desde hace 200 años. Más aún, la inserción de </w:t>
      </w:r>
      <w:r>
        <w:rPr>
          <w:w w:val="139"/>
        </w:rPr>
        <w:t>a</w:t>
      </w:r>
      <w:r>
        <w:rPr>
          <w:w w:val="111"/>
        </w:rPr>
        <w:t>mérica</w:t>
      </w:r>
      <w:r>
        <w:rPr/>
        <w:t> </w:t>
      </w:r>
      <w:r>
        <w:rPr>
          <w:spacing w:val="-5"/>
        </w:rPr>
        <w:t> </w:t>
      </w:r>
      <w:r>
        <w:rPr>
          <w:w w:val="243"/>
        </w:rPr>
        <w:t>l</w:t>
      </w:r>
      <w:r>
        <w:rPr>
          <w:w w:val="111"/>
        </w:rPr>
        <w:t>atina</w:t>
      </w:r>
      <w:r>
        <w:rPr/>
        <w:t> </w:t>
      </w:r>
      <w:r>
        <w:rPr>
          <w:spacing w:val="-5"/>
        </w:rPr>
        <w:t> </w:t>
      </w:r>
      <w:r>
        <w:rPr>
          <w:w w:val="108"/>
        </w:rPr>
        <w:t>en</w:t>
      </w:r>
      <w:r>
        <w:rPr/>
        <w:t> </w:t>
      </w:r>
      <w:r>
        <w:rPr>
          <w:spacing w:val="-5"/>
        </w:rPr>
        <w:t> </w:t>
      </w:r>
      <w:r>
        <w:rPr>
          <w:w w:val="107"/>
        </w:rPr>
        <w:t>el</w:t>
      </w:r>
      <w:r>
        <w:rPr/>
        <w:t> </w:t>
      </w:r>
      <w:r>
        <w:rPr>
          <w:spacing w:val="-5"/>
        </w:rPr>
        <w:t> </w:t>
      </w:r>
      <w:r>
        <w:rPr>
          <w:w w:val="109"/>
        </w:rPr>
        <w:t>creciente</w:t>
      </w:r>
      <w:r>
        <w:rPr/>
        <w:t> </w:t>
      </w:r>
      <w:r>
        <w:rPr>
          <w:spacing w:val="-5"/>
        </w:rPr>
        <w:t> </w:t>
      </w:r>
      <w:r>
        <w:rPr>
          <w:w w:val="108"/>
        </w:rPr>
        <w:t>proceso</w:t>
      </w:r>
      <w:r>
        <w:rPr/>
        <w:t> </w:t>
      </w:r>
      <w:r>
        <w:rPr>
          <w:spacing w:val="-5"/>
        </w:rPr>
        <w:t> </w:t>
      </w:r>
      <w:r>
        <w:rPr>
          <w:w w:val="107"/>
        </w:rPr>
        <w:t>de</w:t>
      </w:r>
      <w:r>
        <w:rPr/>
        <w:t> </w:t>
      </w:r>
      <w:r>
        <w:rPr>
          <w:spacing w:val="-5"/>
        </w:rPr>
        <w:t> </w:t>
      </w:r>
      <w:r>
        <w:rPr>
          <w:w w:val="111"/>
        </w:rPr>
        <w:t>la</w:t>
      </w:r>
      <w:r>
        <w:rPr/>
        <w:t> </w:t>
      </w:r>
      <w:r>
        <w:rPr>
          <w:spacing w:val="-5"/>
        </w:rPr>
        <w:t> </w:t>
      </w:r>
      <w:r>
        <w:rPr>
          <w:w w:val="111"/>
        </w:rPr>
        <w:t>llamada</w:t>
      </w:r>
      <w:r>
        <w:rPr/>
        <w:t> </w:t>
      </w:r>
      <w:r>
        <w:rPr>
          <w:spacing w:val="-5"/>
        </w:rPr>
        <w:t> </w:t>
      </w:r>
      <w:r>
        <w:rPr>
          <w:w w:val="113"/>
        </w:rPr>
        <w:t>acumulación </w:t>
      </w:r>
      <w:r>
        <w:rPr>
          <w:w w:val="110"/>
        </w:rPr>
        <w:t>(capitalista) originaria fue organizada por la Corona española entre </w:t>
      </w:r>
      <w:r>
        <w:rPr>
          <w:w w:val="108"/>
        </w:rPr>
        <w:t>los</w:t>
      </w:r>
      <w:r>
        <w:rPr/>
        <w:t> </w:t>
      </w:r>
      <w:r>
        <w:rPr>
          <w:spacing w:val="-13"/>
        </w:rPr>
        <w:t> </w:t>
      </w:r>
      <w:r>
        <w:rPr>
          <w:w w:val="109"/>
        </w:rPr>
        <w:t>siglos</w:t>
      </w:r>
      <w:r>
        <w:rPr/>
        <w:t> </w:t>
      </w:r>
      <w:r>
        <w:rPr>
          <w:spacing w:val="-13"/>
        </w:rPr>
        <w:t> </w:t>
      </w:r>
      <w:r>
        <w:rPr>
          <w:w w:val="160"/>
        </w:rPr>
        <w:t>x</w:t>
      </w:r>
      <w:r>
        <w:rPr>
          <w:w w:val="119"/>
        </w:rPr>
        <w:t>V</w:t>
      </w:r>
      <w:r>
        <w:rPr>
          <w:w w:val="142"/>
        </w:rPr>
        <w:t>i</w:t>
      </w:r>
      <w:r>
        <w:rPr/>
        <w:t> </w:t>
      </w:r>
      <w:r>
        <w:rPr>
          <w:spacing w:val="-13"/>
        </w:rPr>
        <w:t> </w:t>
      </w:r>
      <w:r>
        <w:rPr>
          <w:w w:val="105"/>
        </w:rPr>
        <w:t>y</w:t>
      </w:r>
      <w:r>
        <w:rPr/>
        <w:t> </w:t>
      </w:r>
      <w:r>
        <w:rPr>
          <w:spacing w:val="-13"/>
        </w:rPr>
        <w:t> </w:t>
      </w:r>
      <w:r>
        <w:rPr>
          <w:w w:val="160"/>
        </w:rPr>
        <w:t>x</w:t>
      </w:r>
      <w:r>
        <w:rPr>
          <w:w w:val="119"/>
        </w:rPr>
        <w:t>V</w:t>
      </w:r>
      <w:r>
        <w:rPr>
          <w:w w:val="142"/>
        </w:rPr>
        <w:t>iii</w:t>
      </w:r>
      <w:r>
        <w:rPr>
          <w:w w:val="138"/>
        </w:rPr>
        <w:t>.</w:t>
      </w:r>
      <w:r>
        <w:rPr/>
        <w:t> </w:t>
      </w:r>
      <w:r>
        <w:rPr>
          <w:spacing w:val="-13"/>
        </w:rPr>
        <w:t> </w:t>
      </w:r>
      <w:r>
        <w:rPr>
          <w:w w:val="120"/>
        </w:rPr>
        <w:t>En</w:t>
      </w:r>
      <w:r>
        <w:rPr/>
        <w:t> </w:t>
      </w:r>
      <w:r>
        <w:rPr>
          <w:spacing w:val="-13"/>
        </w:rPr>
        <w:t> </w:t>
      </w:r>
      <w:r>
        <w:rPr>
          <w:w w:val="109"/>
        </w:rPr>
        <w:t>segundo</w:t>
      </w:r>
      <w:r>
        <w:rPr/>
        <w:t> </w:t>
      </w:r>
      <w:r>
        <w:rPr>
          <w:spacing w:val="-13"/>
        </w:rPr>
        <w:t> </w:t>
      </w:r>
      <w:r>
        <w:rPr>
          <w:w w:val="111"/>
        </w:rPr>
        <w:t>luga</w:t>
      </w:r>
      <w:r>
        <w:rPr>
          <w:spacing w:val="-21"/>
          <w:w w:val="105"/>
        </w:rPr>
        <w:t>r</w:t>
      </w:r>
      <w:r>
        <w:rPr>
          <w:w w:val="138"/>
        </w:rPr>
        <w:t>,</w:t>
      </w:r>
      <w:r>
        <w:rPr/>
        <w:t> </w:t>
      </w:r>
      <w:r>
        <w:rPr>
          <w:spacing w:val="-13"/>
        </w:rPr>
        <w:t> </w:t>
      </w:r>
      <w:r>
        <w:rPr>
          <w:w w:val="139"/>
        </w:rPr>
        <w:t>a</w:t>
      </w:r>
      <w:r>
        <w:rPr>
          <w:w w:val="111"/>
        </w:rPr>
        <w:t>mérica</w:t>
      </w:r>
      <w:r>
        <w:rPr/>
        <w:t> </w:t>
      </w:r>
      <w:r>
        <w:rPr>
          <w:spacing w:val="-13"/>
        </w:rPr>
        <w:t> </w:t>
      </w:r>
      <w:r>
        <w:rPr>
          <w:w w:val="243"/>
        </w:rPr>
        <w:t>l</w:t>
      </w:r>
      <w:r>
        <w:rPr>
          <w:w w:val="111"/>
        </w:rPr>
        <w:t>atina</w:t>
      </w:r>
      <w:r>
        <w:rPr/>
        <w:t> </w:t>
      </w:r>
      <w:r>
        <w:rPr>
          <w:spacing w:val="-13"/>
        </w:rPr>
        <w:t> </w:t>
      </w:r>
      <w:r>
        <w:rPr>
          <w:w w:val="108"/>
        </w:rPr>
        <w:t>puede</w:t>
      </w:r>
      <w:r>
        <w:rPr/>
        <w:t> </w:t>
      </w:r>
      <w:r>
        <w:rPr>
          <w:spacing w:val="-13"/>
        </w:rPr>
        <w:t> </w:t>
      </w:r>
      <w:r>
        <w:rPr>
          <w:w w:val="113"/>
        </w:rPr>
        <w:t>in</w:t>
      </w:r>
      <w:r>
        <w:rPr>
          <w:w w:val="102"/>
        </w:rPr>
        <w:t>- </w:t>
      </w:r>
      <w:r>
        <w:rPr>
          <w:w w:val="110"/>
        </w:rPr>
        <w:t>corporarse en forma subordinada al nuevo eje estratégico a través    de una variante de la actualmente existente </w:t>
      </w:r>
      <w:r>
        <w:rPr>
          <w:w w:val="125"/>
        </w:rPr>
        <w:t>briCs. </w:t>
      </w:r>
      <w:r>
        <w:rPr>
          <w:w w:val="110"/>
        </w:rPr>
        <w:t>Por último, el quiebre de la hegemonía del centro hegemónico nor-atlántico y su reemplazo por el eje euro-asiático generaría un periodo de reacomo- do y “desorden” global. En este contexto, la correlación de fuerzas </w:t>
      </w:r>
      <w:r>
        <w:rPr>
          <w:w w:val="111"/>
        </w:rPr>
        <w:t>al</w:t>
      </w:r>
      <w:r>
        <w:rPr>
          <w:spacing w:val="16"/>
        </w:rPr>
        <w:t> </w:t>
      </w:r>
      <w:r>
        <w:rPr>
          <w:w w:val="108"/>
        </w:rPr>
        <w:t>interior</w:t>
      </w:r>
      <w:r>
        <w:rPr>
          <w:spacing w:val="16"/>
        </w:rPr>
        <w:t> </w:t>
      </w:r>
      <w:r>
        <w:rPr>
          <w:w w:val="107"/>
        </w:rPr>
        <w:t>de</w:t>
      </w:r>
      <w:r>
        <w:rPr>
          <w:spacing w:val="16"/>
        </w:rPr>
        <w:t> </w:t>
      </w:r>
      <w:r>
        <w:rPr>
          <w:w w:val="139"/>
        </w:rPr>
        <w:t>a</w:t>
      </w:r>
      <w:r>
        <w:rPr>
          <w:w w:val="111"/>
        </w:rPr>
        <w:t>mérica</w:t>
      </w:r>
      <w:r>
        <w:rPr>
          <w:spacing w:val="16"/>
        </w:rPr>
        <w:t> </w:t>
      </w:r>
      <w:r>
        <w:rPr>
          <w:w w:val="243"/>
        </w:rPr>
        <w:t>l</w:t>
      </w:r>
      <w:r>
        <w:rPr>
          <w:w w:val="111"/>
        </w:rPr>
        <w:t>atina</w:t>
      </w:r>
      <w:r>
        <w:rPr>
          <w:spacing w:val="16"/>
        </w:rPr>
        <w:t> </w:t>
      </w:r>
      <w:r>
        <w:rPr>
          <w:w w:val="105"/>
        </w:rPr>
        <w:t>y</w:t>
      </w:r>
      <w:r>
        <w:rPr>
          <w:spacing w:val="16"/>
        </w:rPr>
        <w:t> </w:t>
      </w:r>
      <w:r>
        <w:rPr>
          <w:w w:val="107"/>
        </w:rPr>
        <w:t>de</w:t>
      </w:r>
      <w:r>
        <w:rPr>
          <w:spacing w:val="16"/>
        </w:rPr>
        <w:t> </w:t>
      </w:r>
      <w:r>
        <w:rPr>
          <w:w w:val="105"/>
        </w:rPr>
        <w:t>éste</w:t>
      </w:r>
      <w:r>
        <w:rPr>
          <w:spacing w:val="16"/>
        </w:rPr>
        <w:t> </w:t>
      </w:r>
      <w:r>
        <w:rPr>
          <w:w w:val="112"/>
        </w:rPr>
        <w:t>con</w:t>
      </w:r>
      <w:r>
        <w:rPr>
          <w:spacing w:val="16"/>
        </w:rPr>
        <w:t> </w:t>
      </w:r>
      <w:r>
        <w:rPr>
          <w:w w:val="107"/>
        </w:rPr>
        <w:t>el</w:t>
      </w:r>
      <w:r>
        <w:rPr>
          <w:spacing w:val="16"/>
        </w:rPr>
        <w:t> </w:t>
      </w:r>
      <w:r>
        <w:rPr>
          <w:w w:val="106"/>
        </w:rPr>
        <w:t>resto</w:t>
      </w:r>
      <w:r>
        <w:rPr>
          <w:spacing w:val="16"/>
        </w:rPr>
        <w:t> </w:t>
      </w:r>
      <w:r>
        <w:rPr>
          <w:w w:val="107"/>
        </w:rPr>
        <w:t>del</w:t>
      </w:r>
      <w:r>
        <w:rPr>
          <w:spacing w:val="16"/>
        </w:rPr>
        <w:t> </w:t>
      </w:r>
      <w:r>
        <w:rPr>
          <w:w w:val="111"/>
        </w:rPr>
        <w:t>mundo</w:t>
      </w:r>
      <w:r>
        <w:rPr>
          <w:spacing w:val="16"/>
        </w:rPr>
        <w:t> </w:t>
      </w:r>
      <w:r>
        <w:rPr>
          <w:w w:val="108"/>
        </w:rPr>
        <w:t>puede </w:t>
      </w:r>
      <w:r>
        <w:rPr>
          <w:w w:val="110"/>
        </w:rPr>
        <w:t>generar cambios</w:t>
      </w:r>
      <w:r>
        <w:rPr>
          <w:spacing w:val="26"/>
          <w:w w:val="110"/>
        </w:rPr>
        <w:t> </w:t>
      </w:r>
      <w:r>
        <w:rPr>
          <w:w w:val="110"/>
        </w:rPr>
        <w:t>significativos.</w:t>
      </w:r>
    </w:p>
    <w:p>
      <w:pPr>
        <w:pStyle w:val="BodyText"/>
        <w:spacing w:line="252" w:lineRule="auto"/>
        <w:ind w:left="100" w:right="324" w:firstLine="396"/>
        <w:jc w:val="both"/>
      </w:pPr>
      <w:r>
        <w:rPr>
          <w:w w:val="115"/>
        </w:rPr>
        <w:t>El nuevo eje puede presentar una reducción de los exceden- tes mundiales destinados a las clases dominantes de la región. Esta coyuntura potencial podría generar una ola de regímenes populistas (alianzas de clases) o un conjunto de desconexiones que daría pie para establecer una nueva correlación de fuerzas en </w:t>
      </w:r>
      <w:r>
        <w:rPr>
          <w:w w:val="111"/>
        </w:rPr>
        <w:t>el</w:t>
      </w:r>
      <w:r>
        <w:rPr/>
        <w:t> </w:t>
      </w:r>
      <w:r>
        <w:rPr>
          <w:w w:val="113"/>
        </w:rPr>
        <w:t>proceso</w:t>
      </w:r>
      <w:r>
        <w:rPr/>
        <w:t> </w:t>
      </w:r>
      <w:r>
        <w:rPr>
          <w:w w:val="111"/>
        </w:rPr>
        <w:t>de</w:t>
      </w:r>
      <w:r>
        <w:rPr/>
        <w:t> </w:t>
      </w:r>
      <w:r>
        <w:rPr>
          <w:w w:val="117"/>
        </w:rPr>
        <w:t>acumulación</w:t>
      </w:r>
      <w:r>
        <w:rPr/>
        <w:t> </w:t>
      </w:r>
      <w:r>
        <w:rPr>
          <w:w w:val="115"/>
        </w:rPr>
        <w:t>capitalista</w:t>
      </w:r>
      <w:r>
        <w:rPr/>
        <w:t> </w:t>
      </w:r>
      <w:r>
        <w:rPr>
          <w:w w:val="116"/>
        </w:rPr>
        <w:t>a</w:t>
      </w:r>
      <w:r>
        <w:rPr/>
        <w:t> </w:t>
      </w:r>
      <w:r>
        <w:rPr>
          <w:w w:val="114"/>
        </w:rPr>
        <w:t>escala</w:t>
      </w:r>
      <w:r>
        <w:rPr/>
        <w:t> </w:t>
      </w:r>
      <w:r>
        <w:rPr>
          <w:w w:val="117"/>
        </w:rPr>
        <w:t>global.</w:t>
      </w:r>
      <w:r>
        <w:rPr/>
        <w:t> </w:t>
      </w:r>
      <w:r>
        <w:rPr>
          <w:w w:val="253"/>
        </w:rPr>
        <w:t>l</w:t>
      </w:r>
      <w:r>
        <w:rPr>
          <w:w w:val="116"/>
        </w:rPr>
        <w:t>a</w:t>
      </w:r>
      <w:r>
        <w:rPr/>
        <w:t> </w:t>
      </w:r>
      <w:r>
        <w:rPr>
          <w:w w:val="112"/>
        </w:rPr>
        <w:t>variante</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41"/>
      </w:pPr>
      <w:r>
        <w:rPr>
          <w:w w:val="115"/>
        </w:rPr>
        <w:t>propuesta es políticamente viable en un escenario de cambios de hegemonía global.</w:t>
      </w:r>
    </w:p>
    <w:p>
      <w:pPr>
        <w:pStyle w:val="BodyText"/>
        <w:spacing w:line="252" w:lineRule="auto"/>
        <w:ind w:left="330" w:right="117" w:firstLine="396"/>
        <w:jc w:val="both"/>
      </w:pPr>
      <w:r>
        <w:rPr>
          <w:w w:val="115"/>
        </w:rPr>
        <w:t>No</w:t>
      </w:r>
      <w:r>
        <w:rPr/>
        <w:t> </w:t>
      </w:r>
      <w:r>
        <w:rPr>
          <w:spacing w:val="-19"/>
        </w:rPr>
        <w:t> </w:t>
      </w:r>
      <w:r>
        <w:rPr>
          <w:w w:val="110"/>
        </w:rPr>
        <w:t>hay</w:t>
      </w:r>
      <w:r>
        <w:rPr/>
        <w:t> </w:t>
      </w:r>
      <w:r>
        <w:rPr>
          <w:spacing w:val="-19"/>
        </w:rPr>
        <w:t> </w:t>
      </w:r>
      <w:r>
        <w:rPr>
          <w:w w:val="108"/>
        </w:rPr>
        <w:t>que</w:t>
      </w:r>
      <w:r>
        <w:rPr/>
        <w:t> </w:t>
      </w:r>
      <w:r>
        <w:rPr>
          <w:spacing w:val="-19"/>
        </w:rPr>
        <w:t> </w:t>
      </w:r>
      <w:r>
        <w:rPr>
          <w:w w:val="106"/>
        </w:rPr>
        <w:t>perder</w:t>
      </w:r>
      <w:r>
        <w:rPr/>
        <w:t> </w:t>
      </w:r>
      <w:r>
        <w:rPr>
          <w:spacing w:val="-19"/>
        </w:rPr>
        <w:t> </w:t>
      </w:r>
      <w:r>
        <w:rPr>
          <w:w w:val="107"/>
        </w:rPr>
        <w:t>de</w:t>
      </w:r>
      <w:r>
        <w:rPr/>
        <w:t> </w:t>
      </w:r>
      <w:r>
        <w:rPr>
          <w:spacing w:val="-19"/>
        </w:rPr>
        <w:t> </w:t>
      </w:r>
      <w:r>
        <w:rPr>
          <w:w w:val="107"/>
        </w:rPr>
        <w:t>vista</w:t>
      </w:r>
      <w:r>
        <w:rPr/>
        <w:t> </w:t>
      </w:r>
      <w:r>
        <w:rPr>
          <w:spacing w:val="-19"/>
        </w:rPr>
        <w:t> </w:t>
      </w:r>
      <w:r>
        <w:rPr>
          <w:w w:val="107"/>
        </w:rPr>
        <w:t>el</w:t>
      </w:r>
      <w:r>
        <w:rPr/>
        <w:t> </w:t>
      </w:r>
      <w:r>
        <w:rPr>
          <w:spacing w:val="-19"/>
        </w:rPr>
        <w:t> </w:t>
      </w:r>
      <w:r>
        <w:rPr>
          <w:w w:val="108"/>
        </w:rPr>
        <w:t>presente.</w:t>
      </w:r>
      <w:r>
        <w:rPr/>
        <w:t> </w:t>
      </w:r>
      <w:r>
        <w:rPr>
          <w:spacing w:val="-19"/>
        </w:rPr>
        <w:t> </w:t>
      </w:r>
      <w:r>
        <w:rPr>
          <w:w w:val="243"/>
        </w:rPr>
        <w:t>l</w:t>
      </w:r>
      <w:r>
        <w:rPr>
          <w:w w:val="112"/>
        </w:rPr>
        <w:t>a</w:t>
      </w:r>
      <w:r>
        <w:rPr/>
        <w:t> </w:t>
      </w:r>
      <w:r>
        <w:rPr>
          <w:spacing w:val="-19"/>
        </w:rPr>
        <w:t> </w:t>
      </w:r>
      <w:r>
        <w:rPr>
          <w:w w:val="110"/>
        </w:rPr>
        <w:t>evolución</w:t>
      </w:r>
      <w:r>
        <w:rPr/>
        <w:t> </w:t>
      </w:r>
      <w:r>
        <w:rPr>
          <w:spacing w:val="-19"/>
        </w:rPr>
        <w:t> </w:t>
      </w:r>
      <w:r>
        <w:rPr>
          <w:w w:val="107"/>
        </w:rPr>
        <w:t>de</w:t>
      </w:r>
      <w:r>
        <w:rPr/>
        <w:t> </w:t>
      </w:r>
      <w:r>
        <w:rPr>
          <w:spacing w:val="-19"/>
        </w:rPr>
        <w:t> </w:t>
      </w:r>
      <w:r>
        <w:rPr>
          <w:w w:val="111"/>
        </w:rPr>
        <w:t>Estados </w:t>
      </w:r>
      <w:r>
        <w:rPr>
          <w:w w:val="140"/>
        </w:rPr>
        <w:t>u</w:t>
      </w:r>
      <w:r>
        <w:rPr>
          <w:w w:val="110"/>
        </w:rPr>
        <w:t>nidos</w:t>
      </w:r>
      <w:r>
        <w:rPr/>
        <w:t> </w:t>
      </w:r>
      <w:r>
        <w:rPr>
          <w:spacing w:val="-4"/>
        </w:rPr>
        <w:t> </w:t>
      </w:r>
      <w:r>
        <w:rPr>
          <w:w w:val="108"/>
        </w:rPr>
        <w:t>en</w:t>
      </w:r>
      <w:r>
        <w:rPr/>
        <w:t> </w:t>
      </w:r>
      <w:r>
        <w:rPr>
          <w:spacing w:val="-4"/>
        </w:rPr>
        <w:t> </w:t>
      </w:r>
      <w:r>
        <w:rPr>
          <w:w w:val="107"/>
        </w:rPr>
        <w:t>el</w:t>
      </w:r>
      <w:r>
        <w:rPr/>
        <w:t> </w:t>
      </w:r>
      <w:r>
        <w:rPr>
          <w:spacing w:val="-4"/>
        </w:rPr>
        <w:t> </w:t>
      </w:r>
      <w:r>
        <w:rPr>
          <w:w w:val="111"/>
        </w:rPr>
        <w:t>futuro</w:t>
      </w:r>
      <w:r>
        <w:rPr/>
        <w:t> </w:t>
      </w:r>
      <w:r>
        <w:rPr>
          <w:spacing w:val="-4"/>
        </w:rPr>
        <w:t> </w:t>
      </w:r>
      <w:r>
        <w:rPr>
          <w:w w:val="110"/>
        </w:rPr>
        <w:t>mediato</w:t>
      </w:r>
      <w:r>
        <w:rPr/>
        <w:t> </w:t>
      </w:r>
      <w:r>
        <w:rPr>
          <w:spacing w:val="-4"/>
        </w:rPr>
        <w:t> </w:t>
      </w:r>
      <w:r>
        <w:rPr>
          <w:w w:val="105"/>
        </w:rPr>
        <w:t>es</w:t>
      </w:r>
      <w:r>
        <w:rPr/>
        <w:t> </w:t>
      </w:r>
      <w:r>
        <w:rPr>
          <w:spacing w:val="-4"/>
        </w:rPr>
        <w:t> </w:t>
      </w:r>
      <w:r>
        <w:rPr>
          <w:w w:val="109"/>
        </w:rPr>
        <w:t>central</w:t>
      </w:r>
      <w:r>
        <w:rPr/>
        <w:t> </w:t>
      </w:r>
      <w:r>
        <w:rPr>
          <w:spacing w:val="-4"/>
        </w:rPr>
        <w:t> </w:t>
      </w:r>
      <w:r>
        <w:rPr>
          <w:w w:val="109"/>
        </w:rPr>
        <w:t>para</w:t>
      </w:r>
      <w:r>
        <w:rPr/>
        <w:t> </w:t>
      </w:r>
      <w:r>
        <w:rPr>
          <w:spacing w:val="-4"/>
        </w:rPr>
        <w:t> </w:t>
      </w:r>
      <w:r>
        <w:rPr>
          <w:w w:val="139"/>
        </w:rPr>
        <w:t>a</w:t>
      </w:r>
      <w:r>
        <w:rPr>
          <w:w w:val="111"/>
        </w:rPr>
        <w:t>mérica</w:t>
      </w:r>
      <w:r>
        <w:rPr/>
        <w:t> </w:t>
      </w:r>
      <w:r>
        <w:rPr>
          <w:spacing w:val="-4"/>
        </w:rPr>
        <w:t> </w:t>
      </w:r>
      <w:r>
        <w:rPr>
          <w:w w:val="243"/>
        </w:rPr>
        <w:t>l</w:t>
      </w:r>
      <w:r>
        <w:rPr>
          <w:w w:val="113"/>
        </w:rPr>
        <w:t>atina,</w:t>
      </w:r>
      <w:r>
        <w:rPr/>
        <w:t> </w:t>
      </w:r>
      <w:r>
        <w:rPr>
          <w:spacing w:val="-4"/>
        </w:rPr>
        <w:t> </w:t>
      </w:r>
      <w:r>
        <w:rPr>
          <w:w w:val="109"/>
        </w:rPr>
        <w:t>según </w:t>
      </w:r>
      <w:r>
        <w:rPr>
          <w:w w:val="110"/>
        </w:rPr>
        <w:t>Pozzi y Nigra (2013), ya que “implica asociar el futuro de la región a una estructura social de acumulación en decadencia”. sin embargo, “plantear alternativas autónomas, conlleva el peligro de enfrentarse a la principal potencia del continente, cuyo criterio es que si no puede </w:t>
      </w:r>
      <w:r>
        <w:rPr>
          <w:spacing w:val="-3"/>
          <w:w w:val="110"/>
        </w:rPr>
        <w:t>dominar, </w:t>
      </w:r>
      <w:r>
        <w:rPr>
          <w:w w:val="110"/>
        </w:rPr>
        <w:t>entonces prefiere el caos y la </w:t>
      </w:r>
      <w:r>
        <w:rPr>
          <w:spacing w:val="12"/>
          <w:w w:val="110"/>
        </w:rPr>
        <w:t> </w:t>
      </w:r>
      <w:r>
        <w:rPr>
          <w:w w:val="110"/>
        </w:rPr>
        <w:t>desestabilización”.</w:t>
      </w:r>
    </w:p>
    <w:p>
      <w:pPr>
        <w:pStyle w:val="BodyText"/>
        <w:spacing w:line="252" w:lineRule="auto"/>
        <w:ind w:left="330" w:right="117" w:firstLine="396"/>
        <w:jc w:val="both"/>
      </w:pPr>
      <w:r>
        <w:rPr>
          <w:w w:val="110"/>
        </w:rPr>
        <w:t>México y Colombia, que optaron por integrarse a los objetivos económicos y militares de Estados unidos, “han descubierto que la asociación ha llevado a un progresivo empobrecimiento de la pobla- </w:t>
      </w:r>
      <w:r>
        <w:rPr>
          <w:w w:val="112"/>
        </w:rPr>
        <w:t>ción</w:t>
      </w:r>
      <w:r>
        <w:rPr>
          <w:spacing w:val="15"/>
        </w:rPr>
        <w:t> </w:t>
      </w:r>
      <w:r>
        <w:rPr>
          <w:w w:val="105"/>
        </w:rPr>
        <w:t>y</w:t>
      </w:r>
      <w:r>
        <w:rPr>
          <w:spacing w:val="15"/>
        </w:rPr>
        <w:t> </w:t>
      </w:r>
      <w:r>
        <w:rPr>
          <w:w w:val="112"/>
        </w:rPr>
        <w:t>a</w:t>
      </w:r>
      <w:r>
        <w:rPr>
          <w:spacing w:val="15"/>
        </w:rPr>
        <w:t> </w:t>
      </w:r>
      <w:r>
        <w:rPr>
          <w:w w:val="112"/>
        </w:rPr>
        <w:t>un</w:t>
      </w:r>
      <w:r>
        <w:rPr>
          <w:spacing w:val="15"/>
        </w:rPr>
        <w:t> </w:t>
      </w:r>
      <w:r>
        <w:rPr>
          <w:w w:val="110"/>
        </w:rPr>
        <w:t>debilitamiento</w:t>
      </w:r>
      <w:r>
        <w:rPr>
          <w:spacing w:val="15"/>
        </w:rPr>
        <w:t> </w:t>
      </w:r>
      <w:r>
        <w:rPr>
          <w:w w:val="107"/>
        </w:rPr>
        <w:t>del</w:t>
      </w:r>
      <w:r>
        <w:rPr>
          <w:spacing w:val="15"/>
        </w:rPr>
        <w:t> </w:t>
      </w:r>
      <w:r>
        <w:rPr>
          <w:w w:val="112"/>
        </w:rPr>
        <w:t>Estado</w:t>
      </w:r>
      <w:r>
        <w:rPr>
          <w:spacing w:val="15"/>
        </w:rPr>
        <w:t> </w:t>
      </w:r>
      <w:r>
        <w:rPr>
          <w:w w:val="105"/>
        </w:rPr>
        <w:t>y</w:t>
      </w:r>
      <w:r>
        <w:rPr>
          <w:spacing w:val="15"/>
        </w:rPr>
        <w:t> </w:t>
      </w:r>
      <w:r>
        <w:rPr>
          <w:w w:val="107"/>
        </w:rPr>
        <w:t>de</w:t>
      </w:r>
      <w:r>
        <w:rPr>
          <w:spacing w:val="15"/>
        </w:rPr>
        <w:t> </w:t>
      </w:r>
      <w:r>
        <w:rPr>
          <w:w w:val="111"/>
        </w:rPr>
        <w:t>la</w:t>
      </w:r>
      <w:r>
        <w:rPr>
          <w:spacing w:val="15"/>
        </w:rPr>
        <w:t> </w:t>
      </w:r>
      <w:r>
        <w:rPr>
          <w:w w:val="109"/>
        </w:rPr>
        <w:t>soberanía</w:t>
      </w:r>
      <w:r>
        <w:rPr>
          <w:spacing w:val="15"/>
        </w:rPr>
        <w:t> </w:t>
      </w:r>
      <w:r>
        <w:rPr>
          <w:w w:val="113"/>
        </w:rPr>
        <w:t>nacional.</w:t>
      </w:r>
      <w:r>
        <w:rPr>
          <w:spacing w:val="15"/>
        </w:rPr>
        <w:t> </w:t>
      </w:r>
      <w:r>
        <w:rPr>
          <w:w w:val="243"/>
        </w:rPr>
        <w:t>l</w:t>
      </w:r>
      <w:r>
        <w:rPr>
          <w:w w:val="108"/>
        </w:rPr>
        <w:t>os </w:t>
      </w:r>
      <w:r>
        <w:rPr>
          <w:w w:val="110"/>
        </w:rPr>
        <w:t>que han optado por enfrentarse abiertamente, como Venezuela, boli- via o </w:t>
      </w:r>
      <w:r>
        <w:rPr>
          <w:spacing w:val="-3"/>
          <w:w w:val="110"/>
        </w:rPr>
        <w:t>Ecuador, </w:t>
      </w:r>
      <w:r>
        <w:rPr>
          <w:w w:val="110"/>
        </w:rPr>
        <w:t>han sido blanco de la permanente hostilidad del impe- rio” (Pozzi y Nigra, 2013). Pozzi y Nigra concluyen que “el resultado ha sido un futuro más que incierto para el  </w:t>
      </w:r>
      <w:r>
        <w:rPr>
          <w:spacing w:val="3"/>
          <w:w w:val="110"/>
        </w:rPr>
        <w:t> </w:t>
      </w:r>
      <w:r>
        <w:rPr>
          <w:w w:val="110"/>
        </w:rPr>
        <w:t>subcontinente”.</w:t>
      </w:r>
    </w:p>
    <w:p>
      <w:pPr>
        <w:pStyle w:val="BodyText"/>
        <w:spacing w:line="252" w:lineRule="auto"/>
        <w:ind w:left="330" w:right="117" w:firstLine="396"/>
        <w:jc w:val="right"/>
      </w:pPr>
      <w:r>
        <w:rPr>
          <w:w w:val="139"/>
        </w:rPr>
        <w:t>a</w:t>
      </w:r>
      <w:r>
        <w:rPr>
          <w:w w:val="111"/>
        </w:rPr>
        <w:t>tilio</w:t>
      </w:r>
      <w:r>
        <w:rPr/>
        <w:t> </w:t>
      </w:r>
      <w:r>
        <w:rPr>
          <w:spacing w:val="-10"/>
        </w:rPr>
        <w:t> </w:t>
      </w:r>
      <w:r>
        <w:rPr>
          <w:w w:val="134"/>
        </w:rPr>
        <w:t>b</w:t>
      </w:r>
      <w:r>
        <w:rPr>
          <w:w w:val="109"/>
        </w:rPr>
        <w:t>orón</w:t>
      </w:r>
      <w:r>
        <w:rPr/>
        <w:t> </w:t>
      </w:r>
      <w:r>
        <w:rPr>
          <w:spacing w:val="-10"/>
        </w:rPr>
        <w:t> </w:t>
      </w:r>
      <w:r>
        <w:rPr>
          <w:w w:val="101"/>
        </w:rPr>
        <w:t>(2014)</w:t>
      </w:r>
      <w:r>
        <w:rPr/>
        <w:t> </w:t>
      </w:r>
      <w:r>
        <w:rPr>
          <w:spacing w:val="-10"/>
        </w:rPr>
        <w:t> </w:t>
      </w:r>
      <w:r>
        <w:rPr>
          <w:w w:val="108"/>
        </w:rPr>
        <w:t>percibe</w:t>
      </w:r>
      <w:r>
        <w:rPr/>
        <w:t> </w:t>
      </w:r>
      <w:r>
        <w:rPr>
          <w:spacing w:val="-10"/>
        </w:rPr>
        <w:t> </w:t>
      </w:r>
      <w:r>
        <w:rPr>
          <w:w w:val="107"/>
        </w:rPr>
        <w:t>el</w:t>
      </w:r>
      <w:r>
        <w:rPr/>
        <w:t> </w:t>
      </w:r>
      <w:r>
        <w:rPr>
          <w:spacing w:val="-10"/>
        </w:rPr>
        <w:t> </w:t>
      </w:r>
      <w:r>
        <w:rPr>
          <w:w w:val="111"/>
        </w:rPr>
        <w:t>futuro</w:t>
      </w:r>
      <w:r>
        <w:rPr/>
        <w:t> </w:t>
      </w:r>
      <w:r>
        <w:rPr>
          <w:spacing w:val="-10"/>
        </w:rPr>
        <w:t> </w:t>
      </w:r>
      <w:r>
        <w:rPr>
          <w:w w:val="107"/>
        </w:rPr>
        <w:t>de</w:t>
      </w:r>
      <w:r>
        <w:rPr/>
        <w:t> </w:t>
      </w:r>
      <w:r>
        <w:rPr>
          <w:spacing w:val="-10"/>
        </w:rPr>
        <w:t> </w:t>
      </w:r>
      <w:r>
        <w:rPr>
          <w:w w:val="139"/>
        </w:rPr>
        <w:t>a</w:t>
      </w:r>
      <w:r>
        <w:rPr>
          <w:w w:val="111"/>
        </w:rPr>
        <w:t>mérica</w:t>
      </w:r>
      <w:r>
        <w:rPr/>
        <w:t> </w:t>
      </w:r>
      <w:r>
        <w:rPr>
          <w:spacing w:val="-10"/>
        </w:rPr>
        <w:t> </w:t>
      </w:r>
      <w:r>
        <w:rPr>
          <w:w w:val="243"/>
        </w:rPr>
        <w:t>l</w:t>
      </w:r>
      <w:r>
        <w:rPr>
          <w:w w:val="111"/>
        </w:rPr>
        <w:t>atina</w:t>
      </w:r>
      <w:r>
        <w:rPr/>
        <w:t> </w:t>
      </w:r>
      <w:r>
        <w:rPr>
          <w:spacing w:val="-10"/>
        </w:rPr>
        <w:t> </w:t>
      </w:r>
      <w:r>
        <w:rPr>
          <w:w w:val="111"/>
        </w:rPr>
        <w:t>bajo</w:t>
      </w:r>
      <w:r>
        <w:rPr/>
        <w:t> </w:t>
      </w:r>
      <w:r>
        <w:rPr>
          <w:spacing w:val="-10"/>
        </w:rPr>
        <w:t> </w:t>
      </w:r>
      <w:r>
        <w:rPr>
          <w:w w:val="107"/>
        </w:rPr>
        <w:t>el </w:t>
      </w:r>
      <w:r>
        <w:rPr>
          <w:w w:val="115"/>
        </w:rPr>
        <w:t>signo</w:t>
      </w:r>
      <w:r>
        <w:rPr>
          <w:spacing w:val="-6"/>
          <w:w w:val="115"/>
        </w:rPr>
        <w:t> </w:t>
      </w:r>
      <w:r>
        <w:rPr>
          <w:w w:val="115"/>
        </w:rPr>
        <w:t>de</w:t>
      </w:r>
      <w:r>
        <w:rPr>
          <w:spacing w:val="-6"/>
          <w:w w:val="115"/>
        </w:rPr>
        <w:t> </w:t>
      </w:r>
      <w:r>
        <w:rPr>
          <w:w w:val="115"/>
        </w:rPr>
        <w:t>la</w:t>
      </w:r>
      <w:r>
        <w:rPr>
          <w:spacing w:val="-6"/>
          <w:w w:val="115"/>
        </w:rPr>
        <w:t> </w:t>
      </w:r>
      <w:r>
        <w:rPr>
          <w:w w:val="115"/>
        </w:rPr>
        <w:t>incertidumbre,</w:t>
      </w:r>
      <w:r>
        <w:rPr>
          <w:spacing w:val="-6"/>
          <w:w w:val="115"/>
        </w:rPr>
        <w:t> </w:t>
      </w:r>
      <w:r>
        <w:rPr>
          <w:w w:val="115"/>
        </w:rPr>
        <w:t>aunque</w:t>
      </w:r>
      <w:r>
        <w:rPr>
          <w:spacing w:val="-6"/>
          <w:w w:val="115"/>
        </w:rPr>
        <w:t> </w:t>
      </w:r>
      <w:r>
        <w:rPr>
          <w:w w:val="115"/>
        </w:rPr>
        <w:t>es</w:t>
      </w:r>
      <w:r>
        <w:rPr>
          <w:spacing w:val="-6"/>
          <w:w w:val="115"/>
        </w:rPr>
        <w:t> </w:t>
      </w:r>
      <w:r>
        <w:rPr>
          <w:w w:val="115"/>
        </w:rPr>
        <w:t>más</w:t>
      </w:r>
      <w:r>
        <w:rPr>
          <w:spacing w:val="-6"/>
          <w:w w:val="115"/>
        </w:rPr>
        <w:t> </w:t>
      </w:r>
      <w:r>
        <w:rPr>
          <w:w w:val="115"/>
        </w:rPr>
        <w:t>optimista.</w:t>
      </w:r>
      <w:r>
        <w:rPr>
          <w:spacing w:val="-6"/>
          <w:w w:val="115"/>
        </w:rPr>
        <w:t> </w:t>
      </w:r>
      <w:r>
        <w:rPr>
          <w:w w:val="115"/>
        </w:rPr>
        <w:t>apuesta</w:t>
      </w:r>
      <w:r>
        <w:rPr>
          <w:spacing w:val="-6"/>
          <w:w w:val="115"/>
        </w:rPr>
        <w:t> </w:t>
      </w:r>
      <w:r>
        <w:rPr>
          <w:w w:val="115"/>
        </w:rPr>
        <w:t>a</w:t>
      </w:r>
      <w:r>
        <w:rPr>
          <w:spacing w:val="-6"/>
          <w:w w:val="115"/>
        </w:rPr>
        <w:t> </w:t>
      </w:r>
      <w:r>
        <w:rPr>
          <w:w w:val="115"/>
        </w:rPr>
        <w:t>la</w:t>
      </w:r>
      <w:r>
        <w:rPr>
          <w:spacing w:val="-6"/>
          <w:w w:val="115"/>
        </w:rPr>
        <w:t> </w:t>
      </w:r>
      <w:r>
        <w:rPr>
          <w:w w:val="115"/>
        </w:rPr>
        <w:t>in-</w:t>
      </w:r>
      <w:r>
        <w:rPr>
          <w:w w:val="102"/>
        </w:rPr>
        <w:t> </w:t>
      </w:r>
      <w:r>
        <w:rPr>
          <w:w w:val="115"/>
        </w:rPr>
        <w:t>tegración</w:t>
      </w:r>
      <w:r>
        <w:rPr>
          <w:spacing w:val="-15"/>
          <w:w w:val="115"/>
        </w:rPr>
        <w:t> </w:t>
      </w:r>
      <w:r>
        <w:rPr>
          <w:w w:val="115"/>
        </w:rPr>
        <w:t>de</w:t>
      </w:r>
      <w:r>
        <w:rPr>
          <w:spacing w:val="-15"/>
          <w:w w:val="115"/>
        </w:rPr>
        <w:t> </w:t>
      </w:r>
      <w:r>
        <w:rPr>
          <w:w w:val="115"/>
        </w:rPr>
        <w:t>la</w:t>
      </w:r>
      <w:r>
        <w:rPr>
          <w:spacing w:val="-15"/>
          <w:w w:val="115"/>
        </w:rPr>
        <w:t> </w:t>
      </w:r>
      <w:r>
        <w:rPr>
          <w:w w:val="115"/>
        </w:rPr>
        <w:t>región</w:t>
      </w:r>
      <w:r>
        <w:rPr>
          <w:spacing w:val="-15"/>
          <w:w w:val="115"/>
        </w:rPr>
        <w:t> </w:t>
      </w:r>
      <w:r>
        <w:rPr>
          <w:w w:val="115"/>
        </w:rPr>
        <w:t>con</w:t>
      </w:r>
      <w:r>
        <w:rPr>
          <w:spacing w:val="-15"/>
          <w:w w:val="115"/>
        </w:rPr>
        <w:t> </w:t>
      </w:r>
      <w:r>
        <w:rPr>
          <w:w w:val="115"/>
        </w:rPr>
        <w:t>un</w:t>
      </w:r>
      <w:r>
        <w:rPr>
          <w:spacing w:val="-15"/>
          <w:w w:val="115"/>
        </w:rPr>
        <w:t> </w:t>
      </w:r>
      <w:r>
        <w:rPr>
          <w:w w:val="115"/>
        </w:rPr>
        <w:t>Pib</w:t>
      </w:r>
      <w:r>
        <w:rPr>
          <w:spacing w:val="-15"/>
          <w:w w:val="115"/>
        </w:rPr>
        <w:t> </w:t>
      </w:r>
      <w:r>
        <w:rPr>
          <w:w w:val="115"/>
        </w:rPr>
        <w:t>equivalente</w:t>
      </w:r>
      <w:r>
        <w:rPr>
          <w:spacing w:val="-15"/>
          <w:w w:val="115"/>
        </w:rPr>
        <w:t> </w:t>
      </w:r>
      <w:r>
        <w:rPr>
          <w:w w:val="115"/>
        </w:rPr>
        <w:t>a</w:t>
      </w:r>
      <w:r>
        <w:rPr>
          <w:spacing w:val="-15"/>
          <w:w w:val="115"/>
        </w:rPr>
        <w:t> </w:t>
      </w:r>
      <w:r>
        <w:rPr>
          <w:w w:val="115"/>
        </w:rPr>
        <w:t>us$</w:t>
      </w:r>
      <w:r>
        <w:rPr>
          <w:spacing w:val="-15"/>
          <w:w w:val="115"/>
        </w:rPr>
        <w:t> </w:t>
      </w:r>
      <w:r>
        <w:rPr>
          <w:w w:val="115"/>
        </w:rPr>
        <w:t>6</w:t>
      </w:r>
      <w:r>
        <w:rPr>
          <w:spacing w:val="-15"/>
          <w:w w:val="115"/>
        </w:rPr>
        <w:t> </w:t>
      </w:r>
      <w:r>
        <w:rPr>
          <w:w w:val="115"/>
        </w:rPr>
        <w:t>trillones</w:t>
      </w:r>
      <w:r>
        <w:rPr>
          <w:spacing w:val="-15"/>
          <w:w w:val="115"/>
        </w:rPr>
        <w:t> </w:t>
      </w:r>
      <w:r>
        <w:rPr>
          <w:w w:val="115"/>
        </w:rPr>
        <w:t>(millo-</w:t>
      </w:r>
      <w:r>
        <w:rPr>
          <w:w w:val="102"/>
        </w:rPr>
        <w:t> </w:t>
      </w:r>
      <w:r>
        <w:rPr>
          <w:w w:val="107"/>
        </w:rPr>
        <w:t>nes</w:t>
      </w:r>
      <w:r>
        <w:rPr/>
        <w:t> </w:t>
      </w:r>
      <w:r>
        <w:rPr>
          <w:spacing w:val="-14"/>
        </w:rPr>
        <w:t> </w:t>
      </w:r>
      <w:r>
        <w:rPr>
          <w:w w:val="107"/>
        </w:rPr>
        <w:t>de</w:t>
      </w:r>
      <w:r>
        <w:rPr/>
        <w:t> </w:t>
      </w:r>
      <w:r>
        <w:rPr>
          <w:spacing w:val="-14"/>
        </w:rPr>
        <w:t> </w:t>
      </w:r>
      <w:r>
        <w:rPr>
          <w:w w:val="110"/>
        </w:rPr>
        <w:t>millones).</w:t>
      </w:r>
      <w:r>
        <w:rPr/>
        <w:t> </w:t>
      </w:r>
      <w:r>
        <w:rPr>
          <w:spacing w:val="-14"/>
        </w:rPr>
        <w:t> </w:t>
      </w:r>
      <w:r>
        <w:rPr>
          <w:w w:val="243"/>
        </w:rPr>
        <w:t>l</w:t>
      </w:r>
      <w:r>
        <w:rPr>
          <w:w w:val="112"/>
        </w:rPr>
        <w:t>a</w:t>
      </w:r>
      <w:r>
        <w:rPr/>
        <w:t> </w:t>
      </w:r>
      <w:r>
        <w:rPr>
          <w:spacing w:val="-14"/>
        </w:rPr>
        <w:t> </w:t>
      </w:r>
      <w:r>
        <w:rPr>
          <w:w w:val="111"/>
        </w:rPr>
        <w:t>unidad</w:t>
      </w:r>
      <w:r>
        <w:rPr/>
        <w:t> </w:t>
      </w:r>
      <w:r>
        <w:rPr>
          <w:spacing w:val="-14"/>
        </w:rPr>
        <w:t> </w:t>
      </w:r>
      <w:r>
        <w:rPr>
          <w:w w:val="107"/>
        </w:rPr>
        <w:t>le</w:t>
      </w:r>
      <w:r>
        <w:rPr/>
        <w:t> </w:t>
      </w:r>
      <w:r>
        <w:rPr>
          <w:spacing w:val="-14"/>
        </w:rPr>
        <w:t> </w:t>
      </w:r>
      <w:r>
        <w:rPr>
          <w:w w:val="110"/>
        </w:rPr>
        <w:t>permitiría</w:t>
      </w:r>
      <w:r>
        <w:rPr/>
        <w:t> </w:t>
      </w:r>
      <w:r>
        <w:rPr>
          <w:spacing w:val="-14"/>
        </w:rPr>
        <w:t> </w:t>
      </w:r>
      <w:r>
        <w:rPr>
          <w:w w:val="110"/>
        </w:rPr>
        <w:t>jugar</w:t>
      </w:r>
      <w:r>
        <w:rPr/>
        <w:t> </w:t>
      </w:r>
      <w:r>
        <w:rPr>
          <w:spacing w:val="-14"/>
        </w:rPr>
        <w:t> </w:t>
      </w:r>
      <w:r>
        <w:rPr>
          <w:w w:val="112"/>
        </w:rPr>
        <w:t>un</w:t>
      </w:r>
      <w:r>
        <w:rPr/>
        <w:t> </w:t>
      </w:r>
      <w:r>
        <w:rPr>
          <w:spacing w:val="-14"/>
        </w:rPr>
        <w:t> </w:t>
      </w:r>
      <w:r>
        <w:rPr>
          <w:w w:val="108"/>
        </w:rPr>
        <w:t>papel</w:t>
      </w:r>
      <w:r>
        <w:rPr/>
        <w:t> </w:t>
      </w:r>
      <w:r>
        <w:rPr>
          <w:spacing w:val="-14"/>
        </w:rPr>
        <w:t> </w:t>
      </w:r>
      <w:r>
        <w:rPr>
          <w:w w:val="109"/>
        </w:rPr>
        <w:t>importante </w:t>
      </w:r>
      <w:r>
        <w:rPr>
          <w:w w:val="115"/>
        </w:rPr>
        <w:t>“en</w:t>
      </w:r>
      <w:r>
        <w:rPr>
          <w:spacing w:val="-8"/>
          <w:w w:val="115"/>
        </w:rPr>
        <w:t> </w:t>
      </w:r>
      <w:r>
        <w:rPr>
          <w:w w:val="115"/>
        </w:rPr>
        <w:t>un</w:t>
      </w:r>
      <w:r>
        <w:rPr>
          <w:spacing w:val="-8"/>
          <w:w w:val="115"/>
        </w:rPr>
        <w:t> </w:t>
      </w:r>
      <w:r>
        <w:rPr>
          <w:w w:val="115"/>
        </w:rPr>
        <w:t>sistema</w:t>
      </w:r>
      <w:r>
        <w:rPr>
          <w:spacing w:val="-8"/>
          <w:w w:val="115"/>
        </w:rPr>
        <w:t> </w:t>
      </w:r>
      <w:r>
        <w:rPr>
          <w:w w:val="115"/>
        </w:rPr>
        <w:t>internacional</w:t>
      </w:r>
      <w:r>
        <w:rPr>
          <w:spacing w:val="-8"/>
          <w:w w:val="115"/>
        </w:rPr>
        <w:t> </w:t>
      </w:r>
      <w:r>
        <w:rPr>
          <w:w w:val="115"/>
        </w:rPr>
        <w:t>sometido</w:t>
      </w:r>
      <w:r>
        <w:rPr>
          <w:spacing w:val="-8"/>
          <w:w w:val="115"/>
        </w:rPr>
        <w:t> </w:t>
      </w:r>
      <w:r>
        <w:rPr>
          <w:w w:val="115"/>
        </w:rPr>
        <w:t>a</w:t>
      </w:r>
      <w:r>
        <w:rPr>
          <w:spacing w:val="-8"/>
          <w:w w:val="115"/>
        </w:rPr>
        <w:t> </w:t>
      </w:r>
      <w:r>
        <w:rPr>
          <w:w w:val="115"/>
        </w:rPr>
        <w:t>profundas</w:t>
      </w:r>
      <w:r>
        <w:rPr>
          <w:spacing w:val="-8"/>
          <w:w w:val="115"/>
        </w:rPr>
        <w:t> </w:t>
      </w:r>
      <w:r>
        <w:rPr>
          <w:w w:val="115"/>
        </w:rPr>
        <w:t>mutaciones</w:t>
      </w:r>
      <w:r>
        <w:rPr>
          <w:spacing w:val="-8"/>
          <w:w w:val="115"/>
        </w:rPr>
        <w:t> </w:t>
      </w:r>
      <w:r>
        <w:rPr>
          <w:w w:val="115"/>
        </w:rPr>
        <w:t>y</w:t>
      </w:r>
      <w:r>
        <w:rPr>
          <w:spacing w:val="-8"/>
          <w:w w:val="115"/>
        </w:rPr>
        <w:t> </w:t>
      </w:r>
      <w:r>
        <w:rPr>
          <w:w w:val="115"/>
        </w:rPr>
        <w:t>en</w:t>
      </w:r>
      <w:r>
        <w:rPr>
          <w:w w:val="108"/>
        </w:rPr>
        <w:t> </w:t>
      </w:r>
      <w:r>
        <w:rPr>
          <w:w w:val="115"/>
        </w:rPr>
        <w:t>donde la carrera [de las potencias imperialistas] hacia</w:t>
      </w:r>
      <w:r>
        <w:rPr>
          <w:spacing w:val="30"/>
          <w:w w:val="115"/>
        </w:rPr>
        <w:t> </w:t>
      </w:r>
      <w:r>
        <w:rPr>
          <w:w w:val="115"/>
        </w:rPr>
        <w:t>los</w:t>
      </w:r>
      <w:r>
        <w:rPr>
          <w:spacing w:val="3"/>
          <w:w w:val="115"/>
        </w:rPr>
        <w:t> </w:t>
      </w:r>
      <w:r>
        <w:rPr>
          <w:w w:val="115"/>
        </w:rPr>
        <w:t>recursos</w:t>
      </w:r>
      <w:r>
        <w:rPr>
          <w:w w:val="108"/>
        </w:rPr>
        <w:t> </w:t>
      </w:r>
      <w:r>
        <w:rPr>
          <w:w w:val="115"/>
        </w:rPr>
        <w:t>naturales</w:t>
      </w:r>
      <w:r>
        <w:rPr>
          <w:spacing w:val="-23"/>
          <w:w w:val="115"/>
        </w:rPr>
        <w:t> </w:t>
      </w:r>
      <w:r>
        <w:rPr>
          <w:w w:val="115"/>
        </w:rPr>
        <w:t>es</w:t>
      </w:r>
      <w:r>
        <w:rPr>
          <w:spacing w:val="-23"/>
          <w:w w:val="115"/>
        </w:rPr>
        <w:t> </w:t>
      </w:r>
      <w:r>
        <w:rPr>
          <w:w w:val="115"/>
        </w:rPr>
        <w:t>cada</w:t>
      </w:r>
      <w:r>
        <w:rPr>
          <w:spacing w:val="-23"/>
          <w:w w:val="115"/>
        </w:rPr>
        <w:t> </w:t>
      </w:r>
      <w:r>
        <w:rPr>
          <w:w w:val="115"/>
        </w:rPr>
        <w:t>vez</w:t>
      </w:r>
      <w:r>
        <w:rPr>
          <w:spacing w:val="-23"/>
          <w:w w:val="115"/>
        </w:rPr>
        <w:t> </w:t>
      </w:r>
      <w:r>
        <w:rPr>
          <w:w w:val="115"/>
        </w:rPr>
        <w:t>más</w:t>
      </w:r>
      <w:r>
        <w:rPr>
          <w:spacing w:val="-23"/>
          <w:w w:val="115"/>
        </w:rPr>
        <w:t> </w:t>
      </w:r>
      <w:r>
        <w:rPr>
          <w:w w:val="115"/>
        </w:rPr>
        <w:t>vertiginosa…</w:t>
      </w:r>
      <w:r>
        <w:rPr>
          <w:spacing w:val="-23"/>
          <w:w w:val="115"/>
        </w:rPr>
        <w:t> </w:t>
      </w:r>
      <w:r>
        <w:rPr>
          <w:w w:val="115"/>
        </w:rPr>
        <w:t>Con</w:t>
      </w:r>
      <w:r>
        <w:rPr>
          <w:spacing w:val="-23"/>
          <w:w w:val="115"/>
        </w:rPr>
        <w:t> </w:t>
      </w:r>
      <w:r>
        <w:rPr>
          <w:w w:val="115"/>
        </w:rPr>
        <w:t>la</w:t>
      </w:r>
      <w:r>
        <w:rPr>
          <w:spacing w:val="-23"/>
          <w:w w:val="115"/>
        </w:rPr>
        <w:t> </w:t>
      </w:r>
      <w:r>
        <w:rPr>
          <w:w w:val="115"/>
        </w:rPr>
        <w:t>declinación</w:t>
      </w:r>
      <w:r>
        <w:rPr>
          <w:spacing w:val="-23"/>
          <w:w w:val="115"/>
        </w:rPr>
        <w:t> </w:t>
      </w:r>
      <w:r>
        <w:rPr>
          <w:w w:val="115"/>
        </w:rPr>
        <w:t>de</w:t>
      </w:r>
      <w:r>
        <w:rPr>
          <w:spacing w:val="-23"/>
          <w:w w:val="115"/>
        </w:rPr>
        <w:t> </w:t>
      </w:r>
      <w:r>
        <w:rPr>
          <w:w w:val="115"/>
        </w:rPr>
        <w:t>Estados</w:t>
      </w:r>
      <w:r>
        <w:rPr>
          <w:w w:val="111"/>
        </w:rPr>
        <w:t> </w:t>
      </w:r>
      <w:r>
        <w:rPr>
          <w:w w:val="115"/>
        </w:rPr>
        <w:t>unidos</w:t>
      </w:r>
      <w:r>
        <w:rPr>
          <w:spacing w:val="-14"/>
          <w:w w:val="115"/>
        </w:rPr>
        <w:t> </w:t>
      </w:r>
      <w:r>
        <w:rPr>
          <w:spacing w:val="-11"/>
          <w:w w:val="115"/>
        </w:rPr>
        <w:t>y,</w:t>
      </w:r>
      <w:r>
        <w:rPr>
          <w:spacing w:val="-14"/>
          <w:w w:val="115"/>
        </w:rPr>
        <w:t> </w:t>
      </w:r>
      <w:r>
        <w:rPr>
          <w:w w:val="115"/>
        </w:rPr>
        <w:t>sobre</w:t>
      </w:r>
      <w:r>
        <w:rPr>
          <w:spacing w:val="-14"/>
          <w:w w:val="115"/>
        </w:rPr>
        <w:t> </w:t>
      </w:r>
      <w:r>
        <w:rPr>
          <w:w w:val="115"/>
        </w:rPr>
        <w:t>todo,</w:t>
      </w:r>
      <w:r>
        <w:rPr>
          <w:spacing w:val="-14"/>
          <w:w w:val="115"/>
        </w:rPr>
        <w:t> </w:t>
      </w:r>
      <w:r>
        <w:rPr>
          <w:w w:val="115"/>
        </w:rPr>
        <w:t>el</w:t>
      </w:r>
      <w:r>
        <w:rPr>
          <w:spacing w:val="-14"/>
          <w:w w:val="115"/>
        </w:rPr>
        <w:t> </w:t>
      </w:r>
      <w:r>
        <w:rPr>
          <w:w w:val="115"/>
        </w:rPr>
        <w:t>incontenible</w:t>
      </w:r>
      <w:r>
        <w:rPr>
          <w:spacing w:val="-14"/>
          <w:w w:val="115"/>
        </w:rPr>
        <w:t> </w:t>
      </w:r>
      <w:r>
        <w:rPr>
          <w:w w:val="115"/>
        </w:rPr>
        <w:t>ascenso</w:t>
      </w:r>
      <w:r>
        <w:rPr>
          <w:spacing w:val="-14"/>
          <w:w w:val="115"/>
        </w:rPr>
        <w:t> </w:t>
      </w:r>
      <w:r>
        <w:rPr>
          <w:w w:val="115"/>
        </w:rPr>
        <w:t>económico</w:t>
      </w:r>
      <w:r>
        <w:rPr>
          <w:spacing w:val="-14"/>
          <w:w w:val="115"/>
        </w:rPr>
        <w:t> </w:t>
      </w:r>
      <w:r>
        <w:rPr>
          <w:w w:val="115"/>
        </w:rPr>
        <w:t>y</w:t>
      </w:r>
      <w:r>
        <w:rPr>
          <w:spacing w:val="-14"/>
          <w:w w:val="115"/>
        </w:rPr>
        <w:t> </w:t>
      </w:r>
      <w:r>
        <w:rPr>
          <w:w w:val="115"/>
        </w:rPr>
        <w:t>político</w:t>
      </w:r>
      <w:r>
        <w:rPr>
          <w:spacing w:val="-14"/>
          <w:w w:val="115"/>
        </w:rPr>
        <w:t> </w:t>
      </w:r>
      <w:r>
        <w:rPr>
          <w:w w:val="115"/>
        </w:rPr>
        <w:t>de</w:t>
      </w:r>
      <w:r>
        <w:rPr>
          <w:w w:val="107"/>
        </w:rPr>
        <w:t> </w:t>
      </w:r>
      <w:r>
        <w:rPr>
          <w:w w:val="115"/>
        </w:rPr>
        <w:t>China,</w:t>
      </w:r>
      <w:r>
        <w:rPr>
          <w:spacing w:val="-5"/>
          <w:w w:val="115"/>
        </w:rPr>
        <w:t> </w:t>
      </w:r>
      <w:r>
        <w:rPr>
          <w:w w:val="115"/>
        </w:rPr>
        <w:t>[se</w:t>
      </w:r>
      <w:r>
        <w:rPr>
          <w:spacing w:val="-5"/>
          <w:w w:val="115"/>
        </w:rPr>
        <w:t> </w:t>
      </w:r>
      <w:r>
        <w:rPr>
          <w:w w:val="115"/>
        </w:rPr>
        <w:t>avecina]</w:t>
      </w:r>
      <w:r>
        <w:rPr>
          <w:spacing w:val="-5"/>
          <w:w w:val="115"/>
        </w:rPr>
        <w:t> </w:t>
      </w:r>
      <w:r>
        <w:rPr>
          <w:w w:val="115"/>
        </w:rPr>
        <w:t>una</w:t>
      </w:r>
      <w:r>
        <w:rPr>
          <w:spacing w:val="-5"/>
          <w:w w:val="115"/>
        </w:rPr>
        <w:t> </w:t>
      </w:r>
      <w:r>
        <w:rPr>
          <w:w w:val="115"/>
        </w:rPr>
        <w:t>redistribución</w:t>
      </w:r>
      <w:r>
        <w:rPr>
          <w:spacing w:val="-5"/>
          <w:w w:val="115"/>
        </w:rPr>
        <w:t> </w:t>
      </w:r>
      <w:r>
        <w:rPr>
          <w:w w:val="115"/>
        </w:rPr>
        <w:t>del</w:t>
      </w:r>
      <w:r>
        <w:rPr>
          <w:spacing w:val="-5"/>
          <w:w w:val="115"/>
        </w:rPr>
        <w:t> </w:t>
      </w:r>
      <w:r>
        <w:rPr>
          <w:w w:val="115"/>
        </w:rPr>
        <w:t>poder</w:t>
      </w:r>
      <w:r>
        <w:rPr>
          <w:spacing w:val="-5"/>
          <w:w w:val="115"/>
        </w:rPr>
        <w:t> </w:t>
      </w:r>
      <w:r>
        <w:rPr>
          <w:w w:val="115"/>
        </w:rPr>
        <w:t>mundial</w:t>
      </w:r>
      <w:r>
        <w:rPr>
          <w:spacing w:val="-5"/>
          <w:w w:val="115"/>
        </w:rPr>
        <w:t> </w:t>
      </w:r>
      <w:r>
        <w:rPr>
          <w:w w:val="115"/>
        </w:rPr>
        <w:t>que,</w:t>
      </w:r>
      <w:r>
        <w:rPr>
          <w:spacing w:val="-5"/>
          <w:w w:val="115"/>
        </w:rPr>
        <w:t> </w:t>
      </w:r>
      <w:r>
        <w:rPr>
          <w:w w:val="115"/>
        </w:rPr>
        <w:t>como</w:t>
      </w:r>
      <w:r>
        <w:rPr>
          <w:w w:val="112"/>
        </w:rPr>
        <w:t> </w:t>
      </w:r>
      <w:r>
        <w:rPr>
          <w:w w:val="115"/>
        </w:rPr>
        <w:t>recuerda</w:t>
      </w:r>
      <w:r>
        <w:rPr>
          <w:spacing w:val="-29"/>
          <w:w w:val="115"/>
        </w:rPr>
        <w:t> </w:t>
      </w:r>
      <w:r>
        <w:rPr>
          <w:w w:val="115"/>
        </w:rPr>
        <w:t>la</w:t>
      </w:r>
      <w:r>
        <w:rPr>
          <w:spacing w:val="-29"/>
          <w:w w:val="115"/>
        </w:rPr>
        <w:t> </w:t>
      </w:r>
      <w:r>
        <w:rPr>
          <w:w w:val="115"/>
        </w:rPr>
        <w:t>historia,</w:t>
      </w:r>
      <w:r>
        <w:rPr>
          <w:spacing w:val="-29"/>
          <w:w w:val="115"/>
        </w:rPr>
        <w:t> </w:t>
      </w:r>
      <w:r>
        <w:rPr>
          <w:w w:val="115"/>
        </w:rPr>
        <w:t>jamás</w:t>
      </w:r>
      <w:r>
        <w:rPr>
          <w:spacing w:val="-29"/>
          <w:w w:val="115"/>
        </w:rPr>
        <w:t> </w:t>
      </w:r>
      <w:r>
        <w:rPr>
          <w:w w:val="115"/>
        </w:rPr>
        <w:t>transcurrió</w:t>
      </w:r>
      <w:r>
        <w:rPr>
          <w:spacing w:val="-29"/>
          <w:w w:val="115"/>
        </w:rPr>
        <w:t> </w:t>
      </w:r>
      <w:r>
        <w:rPr>
          <w:w w:val="115"/>
        </w:rPr>
        <w:t>pacíficamente”</w:t>
      </w:r>
      <w:r>
        <w:rPr>
          <w:spacing w:val="-29"/>
          <w:w w:val="115"/>
        </w:rPr>
        <w:t> </w:t>
      </w:r>
      <w:r>
        <w:rPr>
          <w:w w:val="115"/>
        </w:rPr>
        <w:t>(boron,</w:t>
      </w:r>
      <w:r>
        <w:rPr>
          <w:spacing w:val="-29"/>
          <w:w w:val="115"/>
        </w:rPr>
        <w:t> </w:t>
      </w:r>
      <w:r>
        <w:rPr>
          <w:w w:val="115"/>
        </w:rPr>
        <w:t>2014).</w:t>
      </w:r>
      <w:r>
        <w:rPr>
          <w:w w:val="104"/>
        </w:rPr>
        <w:t> </w:t>
      </w:r>
      <w:r>
        <w:rPr>
          <w:w w:val="115"/>
        </w:rPr>
        <w:t>a su vez, boaventura de souza santos (2010) plantea</w:t>
      </w:r>
      <w:r>
        <w:rPr>
          <w:spacing w:val="7"/>
          <w:w w:val="115"/>
        </w:rPr>
        <w:t> </w:t>
      </w:r>
      <w:r>
        <w:rPr>
          <w:w w:val="115"/>
        </w:rPr>
        <w:t>que</w:t>
      </w:r>
      <w:r>
        <w:rPr>
          <w:spacing w:val="6"/>
          <w:w w:val="115"/>
        </w:rPr>
        <w:t> </w:t>
      </w:r>
      <w:r>
        <w:rPr>
          <w:w w:val="115"/>
        </w:rPr>
        <w:t>amé-</w:t>
      </w:r>
      <w:r>
        <w:rPr>
          <w:w w:val="102"/>
        </w:rPr>
        <w:t> </w:t>
      </w:r>
      <w:r>
        <w:rPr>
          <w:w w:val="112"/>
        </w:rPr>
        <w:t> rica</w:t>
      </w:r>
      <w:r>
        <w:rPr/>
        <w:t> </w:t>
      </w:r>
      <w:r>
        <w:rPr>
          <w:spacing w:val="-15"/>
        </w:rPr>
        <w:t> </w:t>
      </w:r>
      <w:r>
        <w:rPr>
          <w:w w:val="243"/>
        </w:rPr>
        <w:t>l</w:t>
      </w:r>
      <w:r>
        <w:rPr>
          <w:w w:val="111"/>
        </w:rPr>
        <w:t>atina</w:t>
      </w:r>
      <w:r>
        <w:rPr/>
        <w:t> </w:t>
      </w:r>
      <w:r>
        <w:rPr>
          <w:spacing w:val="-15"/>
        </w:rPr>
        <w:t> </w:t>
      </w:r>
      <w:r>
        <w:rPr>
          <w:w w:val="109"/>
        </w:rPr>
        <w:t>enfrenta</w:t>
      </w:r>
      <w:r>
        <w:rPr/>
        <w:t> </w:t>
      </w:r>
      <w:r>
        <w:rPr>
          <w:spacing w:val="-15"/>
        </w:rPr>
        <w:t> </w:t>
      </w:r>
      <w:r>
        <w:rPr>
          <w:w w:val="108"/>
        </w:rPr>
        <w:t>dos</w:t>
      </w:r>
      <w:r>
        <w:rPr/>
        <w:t> </w:t>
      </w:r>
      <w:r>
        <w:rPr>
          <w:spacing w:val="-15"/>
        </w:rPr>
        <w:t> </w:t>
      </w:r>
      <w:r>
        <w:rPr>
          <w:w w:val="110"/>
        </w:rPr>
        <w:t>obstáculos</w:t>
      </w:r>
      <w:r>
        <w:rPr/>
        <w:t> </w:t>
      </w:r>
      <w:r>
        <w:rPr>
          <w:spacing w:val="-15"/>
        </w:rPr>
        <w:t> </w:t>
      </w:r>
      <w:r>
        <w:rPr>
          <w:w w:val="110"/>
        </w:rPr>
        <w:t>sin</w:t>
      </w:r>
      <w:r>
        <w:rPr/>
        <w:t> </w:t>
      </w:r>
      <w:r>
        <w:rPr>
          <w:spacing w:val="-15"/>
        </w:rPr>
        <w:t> </w:t>
      </w:r>
      <w:r>
        <w:rPr>
          <w:w w:val="110"/>
        </w:rPr>
        <w:t>salida</w:t>
      </w:r>
      <w:r>
        <w:rPr/>
        <w:t> </w:t>
      </w:r>
      <w:r>
        <w:rPr>
          <w:spacing w:val="-15"/>
        </w:rPr>
        <w:t> </w:t>
      </w:r>
      <w:r>
        <w:rPr>
          <w:w w:val="109"/>
        </w:rPr>
        <w:t>aparente.</w:t>
      </w:r>
      <w:r>
        <w:rPr/>
        <w:t> </w:t>
      </w:r>
      <w:r>
        <w:rPr>
          <w:spacing w:val="-15"/>
        </w:rPr>
        <w:t> </w:t>
      </w:r>
      <w:r>
        <w:rPr>
          <w:w w:val="115"/>
        </w:rPr>
        <w:t>“</w:t>
      </w:r>
      <w:r>
        <w:rPr>
          <w:w w:val="243"/>
        </w:rPr>
        <w:t>l</w:t>
      </w:r>
      <w:r>
        <w:rPr>
          <w:w w:val="112"/>
        </w:rPr>
        <w:t>a</w:t>
      </w:r>
      <w:r>
        <w:rPr/>
        <w:t> </w:t>
      </w:r>
      <w:r>
        <w:rPr>
          <w:spacing w:val="-15"/>
        </w:rPr>
        <w:t> </w:t>
      </w:r>
      <w:r>
        <w:rPr>
          <w:w w:val="109"/>
        </w:rPr>
        <w:t>primera </w:t>
      </w:r>
      <w:r>
        <w:rPr>
          <w:w w:val="115"/>
        </w:rPr>
        <w:t>dificultad</w:t>
      </w:r>
      <w:r>
        <w:rPr>
          <w:spacing w:val="-6"/>
          <w:w w:val="115"/>
        </w:rPr>
        <w:t> </w:t>
      </w:r>
      <w:r>
        <w:rPr>
          <w:w w:val="115"/>
        </w:rPr>
        <w:t>de</w:t>
      </w:r>
      <w:r>
        <w:rPr>
          <w:spacing w:val="-6"/>
          <w:w w:val="115"/>
        </w:rPr>
        <w:t> </w:t>
      </w:r>
      <w:r>
        <w:rPr>
          <w:w w:val="115"/>
        </w:rPr>
        <w:t>la</w:t>
      </w:r>
      <w:r>
        <w:rPr>
          <w:spacing w:val="-6"/>
          <w:w w:val="115"/>
        </w:rPr>
        <w:t> </w:t>
      </w:r>
      <w:r>
        <w:rPr>
          <w:w w:val="115"/>
        </w:rPr>
        <w:t>imaginación</w:t>
      </w:r>
      <w:r>
        <w:rPr>
          <w:spacing w:val="-6"/>
          <w:w w:val="115"/>
        </w:rPr>
        <w:t> </w:t>
      </w:r>
      <w:r>
        <w:rPr>
          <w:w w:val="115"/>
        </w:rPr>
        <w:t>política</w:t>
      </w:r>
      <w:r>
        <w:rPr>
          <w:spacing w:val="-6"/>
          <w:w w:val="115"/>
        </w:rPr>
        <w:t> </w:t>
      </w:r>
      <w:r>
        <w:rPr>
          <w:w w:val="115"/>
        </w:rPr>
        <w:t>puede</w:t>
      </w:r>
      <w:r>
        <w:rPr>
          <w:spacing w:val="-6"/>
          <w:w w:val="115"/>
        </w:rPr>
        <w:t> </w:t>
      </w:r>
      <w:r>
        <w:rPr>
          <w:w w:val="115"/>
        </w:rPr>
        <w:t>formularse</w:t>
      </w:r>
      <w:r>
        <w:rPr>
          <w:spacing w:val="-6"/>
          <w:w w:val="115"/>
        </w:rPr>
        <w:t> </w:t>
      </w:r>
      <w:r>
        <w:rPr>
          <w:w w:val="115"/>
        </w:rPr>
        <w:t>así:</w:t>
      </w:r>
      <w:r>
        <w:rPr>
          <w:spacing w:val="-6"/>
          <w:w w:val="115"/>
        </w:rPr>
        <w:t> </w:t>
      </w:r>
      <w:r>
        <w:rPr>
          <w:w w:val="115"/>
        </w:rPr>
        <w:t>es</w:t>
      </w:r>
      <w:r>
        <w:rPr>
          <w:spacing w:val="-6"/>
          <w:w w:val="115"/>
        </w:rPr>
        <w:t> </w:t>
      </w:r>
      <w:r>
        <w:rPr>
          <w:w w:val="115"/>
        </w:rPr>
        <w:t>tan</w:t>
      </w:r>
      <w:r>
        <w:rPr>
          <w:spacing w:val="-6"/>
          <w:w w:val="115"/>
        </w:rPr>
        <w:t> </w:t>
      </w:r>
      <w:r>
        <w:rPr>
          <w:w w:val="115"/>
        </w:rPr>
        <w:t>di-</w:t>
      </w:r>
      <w:r>
        <w:rPr>
          <w:w w:val="102"/>
        </w:rPr>
        <w:t> </w:t>
      </w:r>
      <w:r>
        <w:rPr>
          <w:w w:val="115"/>
        </w:rPr>
        <w:t>fícil imaginar el fin del capitalismo cuanto es difícil imaginar</w:t>
      </w:r>
      <w:r>
        <w:rPr>
          <w:spacing w:val="25"/>
          <w:w w:val="115"/>
        </w:rPr>
        <w:t> </w:t>
      </w:r>
      <w:r>
        <w:rPr>
          <w:w w:val="115"/>
        </w:rPr>
        <w:t>que</w:t>
      </w:r>
      <w:r>
        <w:rPr>
          <w:spacing w:val="2"/>
          <w:w w:val="115"/>
        </w:rPr>
        <w:t> </w:t>
      </w:r>
      <w:r>
        <w:rPr>
          <w:w w:val="115"/>
        </w:rPr>
        <w:t>el</w:t>
      </w:r>
      <w:r>
        <w:rPr>
          <w:w w:val="107"/>
        </w:rPr>
        <w:t> </w:t>
      </w:r>
      <w:r>
        <w:rPr>
          <w:w w:val="115"/>
        </w:rPr>
        <w:t>capitalismo</w:t>
      </w:r>
      <w:r>
        <w:rPr>
          <w:spacing w:val="-12"/>
          <w:w w:val="115"/>
        </w:rPr>
        <w:t> </w:t>
      </w:r>
      <w:r>
        <w:rPr>
          <w:w w:val="115"/>
        </w:rPr>
        <w:t>no</w:t>
      </w:r>
      <w:r>
        <w:rPr>
          <w:spacing w:val="-12"/>
          <w:w w:val="115"/>
        </w:rPr>
        <w:t> </w:t>
      </w:r>
      <w:r>
        <w:rPr>
          <w:w w:val="115"/>
        </w:rPr>
        <w:t>tenga</w:t>
      </w:r>
      <w:r>
        <w:rPr>
          <w:spacing w:val="-12"/>
          <w:w w:val="115"/>
        </w:rPr>
        <w:t> </w:t>
      </w:r>
      <w:r>
        <w:rPr>
          <w:w w:val="115"/>
        </w:rPr>
        <w:t>fin”.</w:t>
      </w:r>
      <w:r>
        <w:rPr>
          <w:spacing w:val="-12"/>
          <w:w w:val="115"/>
        </w:rPr>
        <w:t> </w:t>
      </w:r>
      <w:r>
        <w:rPr>
          <w:w w:val="115"/>
        </w:rPr>
        <w:t>a</w:t>
      </w:r>
      <w:r>
        <w:rPr>
          <w:spacing w:val="-12"/>
          <w:w w:val="115"/>
        </w:rPr>
        <w:t> </w:t>
      </w:r>
      <w:r>
        <w:rPr>
          <w:w w:val="115"/>
        </w:rPr>
        <w:t>su</w:t>
      </w:r>
      <w:r>
        <w:rPr>
          <w:spacing w:val="-12"/>
          <w:w w:val="115"/>
        </w:rPr>
        <w:t> </w:t>
      </w:r>
      <w:r>
        <w:rPr>
          <w:w w:val="115"/>
        </w:rPr>
        <w:t>vez,</w:t>
      </w:r>
      <w:r>
        <w:rPr>
          <w:spacing w:val="-12"/>
          <w:w w:val="115"/>
        </w:rPr>
        <w:t> </w:t>
      </w:r>
      <w:r>
        <w:rPr>
          <w:w w:val="115"/>
        </w:rPr>
        <w:t>“la</w:t>
      </w:r>
      <w:r>
        <w:rPr>
          <w:spacing w:val="-12"/>
          <w:w w:val="115"/>
        </w:rPr>
        <w:t> </w:t>
      </w:r>
      <w:r>
        <w:rPr>
          <w:w w:val="115"/>
        </w:rPr>
        <w:t>segunda</w:t>
      </w:r>
      <w:r>
        <w:rPr>
          <w:spacing w:val="-12"/>
          <w:w w:val="115"/>
        </w:rPr>
        <w:t> </w:t>
      </w:r>
      <w:r>
        <w:rPr>
          <w:w w:val="115"/>
        </w:rPr>
        <w:t>dificultad</w:t>
      </w:r>
      <w:r>
        <w:rPr>
          <w:spacing w:val="-12"/>
          <w:w w:val="115"/>
        </w:rPr>
        <w:t> </w:t>
      </w:r>
      <w:r>
        <w:rPr>
          <w:w w:val="115"/>
        </w:rPr>
        <w:t>de</w:t>
      </w:r>
      <w:r>
        <w:rPr>
          <w:spacing w:val="-12"/>
          <w:w w:val="115"/>
        </w:rPr>
        <w:t> </w:t>
      </w:r>
      <w:r>
        <w:rPr>
          <w:w w:val="115"/>
        </w:rPr>
        <w:t>la</w:t>
      </w:r>
      <w:r>
        <w:rPr>
          <w:spacing w:val="-12"/>
          <w:w w:val="115"/>
        </w:rPr>
        <w:t> </w:t>
      </w:r>
      <w:r>
        <w:rPr>
          <w:w w:val="115"/>
        </w:rPr>
        <w:t>imagi-</w:t>
      </w:r>
      <w:r>
        <w:rPr>
          <w:w w:val="102"/>
        </w:rPr>
        <w:t> </w:t>
      </w:r>
      <w:r>
        <w:rPr>
          <w:w w:val="115"/>
        </w:rPr>
        <w:t>nación</w:t>
      </w:r>
      <w:r>
        <w:rPr>
          <w:spacing w:val="-19"/>
          <w:w w:val="115"/>
        </w:rPr>
        <w:t> </w:t>
      </w:r>
      <w:r>
        <w:rPr>
          <w:w w:val="115"/>
        </w:rPr>
        <w:t>política</w:t>
      </w:r>
      <w:r>
        <w:rPr>
          <w:spacing w:val="-19"/>
          <w:w w:val="115"/>
        </w:rPr>
        <w:t> </w:t>
      </w:r>
      <w:r>
        <w:rPr>
          <w:w w:val="115"/>
        </w:rPr>
        <w:t>latinoamericana</w:t>
      </w:r>
      <w:r>
        <w:rPr>
          <w:spacing w:val="-19"/>
          <w:w w:val="115"/>
        </w:rPr>
        <w:t> </w:t>
      </w:r>
      <w:r>
        <w:rPr>
          <w:w w:val="115"/>
        </w:rPr>
        <w:t>progresista</w:t>
      </w:r>
      <w:r>
        <w:rPr>
          <w:spacing w:val="-19"/>
          <w:w w:val="115"/>
        </w:rPr>
        <w:t> </w:t>
      </w:r>
      <w:r>
        <w:rPr>
          <w:w w:val="115"/>
        </w:rPr>
        <w:t>puede</w:t>
      </w:r>
      <w:r>
        <w:rPr>
          <w:spacing w:val="-19"/>
          <w:w w:val="115"/>
        </w:rPr>
        <w:t> </w:t>
      </w:r>
      <w:r>
        <w:rPr>
          <w:w w:val="115"/>
        </w:rPr>
        <w:t>formularse</w:t>
      </w:r>
      <w:r>
        <w:rPr>
          <w:spacing w:val="-19"/>
          <w:w w:val="115"/>
        </w:rPr>
        <w:t> </w:t>
      </w:r>
      <w:r>
        <w:rPr>
          <w:w w:val="115"/>
        </w:rPr>
        <w:t>así:</w:t>
      </w:r>
      <w:r>
        <w:rPr>
          <w:spacing w:val="-19"/>
          <w:w w:val="115"/>
        </w:rPr>
        <w:t> </w:t>
      </w:r>
      <w:r>
        <w:rPr>
          <w:w w:val="115"/>
        </w:rPr>
        <w:t>es</w:t>
      </w:r>
      <w:r>
        <w:rPr>
          <w:w w:val="105"/>
        </w:rPr>
        <w:t> </w:t>
      </w:r>
      <w:r>
        <w:rPr>
          <w:w w:val="115"/>
        </w:rPr>
        <w:t>tan difícil imaginar el fin del colonialismo cuanto es</w:t>
      </w:r>
      <w:r>
        <w:rPr>
          <w:spacing w:val="1"/>
          <w:w w:val="115"/>
        </w:rPr>
        <w:t> </w:t>
      </w:r>
      <w:r>
        <w:rPr>
          <w:w w:val="115"/>
        </w:rPr>
        <w:t>difícil imaginar</w:t>
      </w:r>
      <w:r>
        <w:rPr>
          <w:w w:val="112"/>
        </w:rPr>
        <w:t> </w:t>
      </w:r>
      <w:r>
        <w:rPr>
          <w:w w:val="115"/>
        </w:rPr>
        <w:t>que el colonialismo no tenga fin”. En lo que se refiere a</w:t>
      </w:r>
      <w:r>
        <w:rPr>
          <w:spacing w:val="19"/>
          <w:w w:val="115"/>
        </w:rPr>
        <w:t> </w:t>
      </w:r>
      <w:r>
        <w:rPr>
          <w:w w:val="115"/>
        </w:rPr>
        <w:t>la</w:t>
      </w:r>
      <w:r>
        <w:rPr>
          <w:spacing w:val="9"/>
          <w:w w:val="115"/>
        </w:rPr>
        <w:t> </w:t>
      </w:r>
      <w:r>
        <w:rPr>
          <w:w w:val="115"/>
        </w:rPr>
        <w:t>segunda</w:t>
      </w:r>
      <w:r>
        <w:rPr>
          <w:w w:val="109"/>
        </w:rPr>
        <w:t> </w:t>
      </w:r>
      <w:r>
        <w:rPr>
          <w:w w:val="115"/>
        </w:rPr>
        <w:t>“dificultad”,</w:t>
      </w:r>
      <w:r>
        <w:rPr>
          <w:spacing w:val="-12"/>
          <w:w w:val="115"/>
        </w:rPr>
        <w:t> </w:t>
      </w:r>
      <w:r>
        <w:rPr>
          <w:w w:val="115"/>
        </w:rPr>
        <w:t>no</w:t>
      </w:r>
      <w:r>
        <w:rPr>
          <w:spacing w:val="-12"/>
          <w:w w:val="115"/>
        </w:rPr>
        <w:t> </w:t>
      </w:r>
      <w:r>
        <w:rPr>
          <w:w w:val="115"/>
        </w:rPr>
        <w:t>se</w:t>
      </w:r>
      <w:r>
        <w:rPr>
          <w:spacing w:val="-12"/>
          <w:w w:val="115"/>
        </w:rPr>
        <w:t> </w:t>
      </w:r>
      <w:r>
        <w:rPr>
          <w:w w:val="115"/>
        </w:rPr>
        <w:t>plantea</w:t>
      </w:r>
      <w:r>
        <w:rPr>
          <w:spacing w:val="-12"/>
          <w:w w:val="115"/>
        </w:rPr>
        <w:t> </w:t>
      </w:r>
      <w:r>
        <w:rPr>
          <w:w w:val="115"/>
        </w:rPr>
        <w:t>la</w:t>
      </w:r>
      <w:r>
        <w:rPr>
          <w:spacing w:val="-12"/>
          <w:w w:val="115"/>
        </w:rPr>
        <w:t> </w:t>
      </w:r>
      <w:r>
        <w:rPr>
          <w:w w:val="115"/>
        </w:rPr>
        <w:t>“colonialidad”</w:t>
      </w:r>
      <w:r>
        <w:rPr>
          <w:spacing w:val="-12"/>
          <w:w w:val="115"/>
        </w:rPr>
        <w:t> </w:t>
      </w:r>
      <w:r>
        <w:rPr>
          <w:w w:val="115"/>
        </w:rPr>
        <w:t>en</w:t>
      </w:r>
      <w:r>
        <w:rPr>
          <w:spacing w:val="-12"/>
          <w:w w:val="115"/>
        </w:rPr>
        <w:t> </w:t>
      </w:r>
      <w:r>
        <w:rPr>
          <w:w w:val="115"/>
        </w:rPr>
        <w:t>el</w:t>
      </w:r>
      <w:r>
        <w:rPr>
          <w:spacing w:val="-12"/>
          <w:w w:val="115"/>
        </w:rPr>
        <w:t> </w:t>
      </w:r>
      <w:r>
        <w:rPr>
          <w:w w:val="115"/>
        </w:rPr>
        <w:t>marco</w:t>
      </w:r>
      <w:r>
        <w:rPr>
          <w:spacing w:val="-12"/>
          <w:w w:val="115"/>
        </w:rPr>
        <w:t> </w:t>
      </w:r>
      <w:r>
        <w:rPr>
          <w:w w:val="115"/>
        </w:rPr>
        <w:t>de</w:t>
      </w:r>
      <w:r>
        <w:rPr>
          <w:spacing w:val="-12"/>
          <w:w w:val="115"/>
        </w:rPr>
        <w:t> </w:t>
      </w:r>
      <w:r>
        <w:rPr>
          <w:w w:val="115"/>
        </w:rPr>
        <w:t>una</w:t>
      </w:r>
      <w:r>
        <w:rPr>
          <w:spacing w:val="-12"/>
          <w:w w:val="115"/>
        </w:rPr>
        <w:t> </w:t>
      </w:r>
      <w:r>
        <w:rPr>
          <w:w w:val="115"/>
        </w:rPr>
        <w:t>nueva</w:t>
      </w:r>
    </w:p>
    <w:p>
      <w:pPr>
        <w:pStyle w:val="BodyText"/>
        <w:ind w:left="330" w:right="321"/>
      </w:pPr>
      <w:r>
        <w:rPr>
          <w:w w:val="110"/>
        </w:rPr>
        <w:t>distribución del poder mundial.</w:t>
      </w:r>
    </w:p>
    <w:p>
      <w:pPr>
        <w:pStyle w:val="BodyText"/>
        <w:spacing w:line="252" w:lineRule="auto" w:before="11"/>
        <w:ind w:left="330" w:right="117" w:firstLine="396"/>
        <w:jc w:val="both"/>
      </w:pPr>
      <w:r>
        <w:rPr>
          <w:w w:val="110"/>
        </w:rPr>
        <w:t>boaventura (2014) recupera la noción de la desconexión, plan- teada por arrighi y Marini a  fines  del  siglo  </w:t>
      </w:r>
      <w:r>
        <w:rPr>
          <w:w w:val="125"/>
        </w:rPr>
        <w:t>xx, </w:t>
      </w:r>
      <w:r>
        <w:rPr>
          <w:w w:val="110"/>
        </w:rPr>
        <w:t>al  señalar  que  “en los márgenes del siglo europeo-americano, emergió otro siglo, uno en verdad nuevo y americano. Yo le llamo el siglo americano de Nuestra américa. Mientras el primero entraña una globalización hegemónica, este último contiene en sí mismo el potencial para (muchas) globali-</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zaciones contrahegemónicas. debido a que este potencial yace en el futuro, el siglo de Nuestra américa bien puede ser el nombre del siglo que comienza”.</w:t>
      </w:r>
    </w:p>
    <w:p>
      <w:pPr>
        <w:pStyle w:val="BodyText"/>
        <w:spacing w:line="252" w:lineRule="auto"/>
        <w:ind w:left="100" w:right="325" w:firstLine="396"/>
        <w:jc w:val="both"/>
      </w:pPr>
      <w:r>
        <w:rPr>
          <w:w w:val="110"/>
        </w:rPr>
        <w:t>samir amin (2014) insiste en que para salir del atraso, las so- </w:t>
      </w:r>
      <w:r>
        <w:rPr>
          <w:spacing w:val="2"/>
          <w:w w:val="109"/>
        </w:rPr>
        <w:t>ciedade</w:t>
      </w:r>
      <w:r>
        <w:rPr>
          <w:w w:val="109"/>
        </w:rPr>
        <w:t>s</w:t>
      </w:r>
      <w:r>
        <w:rPr/>
        <w:t> </w:t>
      </w:r>
      <w:r>
        <w:rPr>
          <w:spacing w:val="11"/>
        </w:rPr>
        <w:t> </w:t>
      </w:r>
      <w:r>
        <w:rPr>
          <w:spacing w:val="2"/>
          <w:w w:val="109"/>
        </w:rPr>
        <w:t>necesita</w:t>
      </w:r>
      <w:r>
        <w:rPr>
          <w:w w:val="109"/>
        </w:rPr>
        <w:t>n</w:t>
      </w:r>
      <w:r>
        <w:rPr/>
        <w:t> </w:t>
      </w:r>
      <w:r>
        <w:rPr>
          <w:spacing w:val="11"/>
        </w:rPr>
        <w:t> </w:t>
      </w:r>
      <w:r>
        <w:rPr>
          <w:spacing w:val="2"/>
          <w:w w:val="112"/>
        </w:rPr>
        <w:t>u</w:t>
      </w:r>
      <w:r>
        <w:rPr>
          <w:w w:val="112"/>
        </w:rPr>
        <w:t>n</w:t>
      </w:r>
      <w:r>
        <w:rPr/>
        <w:t> </w:t>
      </w:r>
      <w:r>
        <w:rPr>
          <w:spacing w:val="11"/>
        </w:rPr>
        <w:t> </w:t>
      </w:r>
      <w:r>
        <w:rPr>
          <w:spacing w:val="2"/>
          <w:w w:val="109"/>
        </w:rPr>
        <w:t>“proyect</w:t>
      </w:r>
      <w:r>
        <w:rPr>
          <w:w w:val="109"/>
        </w:rPr>
        <w:t>o</w:t>
      </w:r>
      <w:r>
        <w:rPr/>
        <w:t> </w:t>
      </w:r>
      <w:r>
        <w:rPr>
          <w:spacing w:val="11"/>
        </w:rPr>
        <w:t> </w:t>
      </w:r>
      <w:r>
        <w:rPr>
          <w:spacing w:val="2"/>
          <w:w w:val="110"/>
        </w:rPr>
        <w:t>soberano”</w:t>
      </w:r>
      <w:r>
        <w:rPr>
          <w:w w:val="110"/>
        </w:rPr>
        <w:t>.</w:t>
      </w:r>
      <w:r>
        <w:rPr/>
        <w:t> </w:t>
      </w:r>
      <w:r>
        <w:rPr>
          <w:spacing w:val="11"/>
        </w:rPr>
        <w:t> </w:t>
      </w:r>
      <w:r>
        <w:rPr>
          <w:spacing w:val="2"/>
          <w:w w:val="111"/>
        </w:rPr>
        <w:t>Par</w:t>
      </w:r>
      <w:r>
        <w:rPr>
          <w:w w:val="111"/>
        </w:rPr>
        <w:t>a</w:t>
      </w:r>
      <w:r>
        <w:rPr/>
        <w:t> </w:t>
      </w:r>
      <w:r>
        <w:rPr>
          <w:spacing w:val="11"/>
        </w:rPr>
        <w:t> </w:t>
      </w:r>
      <w:r>
        <w:rPr>
          <w:spacing w:val="2"/>
          <w:w w:val="139"/>
        </w:rPr>
        <w:t>a</w:t>
      </w:r>
      <w:r>
        <w:rPr>
          <w:spacing w:val="2"/>
          <w:w w:val="111"/>
        </w:rPr>
        <w:t>méric</w:t>
      </w:r>
      <w:r>
        <w:rPr>
          <w:w w:val="111"/>
        </w:rPr>
        <w:t>a</w:t>
      </w:r>
      <w:r>
        <w:rPr/>
        <w:t> </w:t>
      </w:r>
      <w:r>
        <w:rPr>
          <w:spacing w:val="11"/>
        </w:rPr>
        <w:t> </w:t>
      </w:r>
      <w:r>
        <w:rPr>
          <w:spacing w:val="2"/>
          <w:w w:val="243"/>
        </w:rPr>
        <w:t>l</w:t>
      </w:r>
      <w:r>
        <w:rPr>
          <w:spacing w:val="2"/>
          <w:w w:val="111"/>
        </w:rPr>
        <w:t>atina </w:t>
      </w:r>
      <w:r>
        <w:rPr>
          <w:w w:val="110"/>
        </w:rPr>
        <w:t>significa la construcción –simultánea– de un sistema industrial mo- derno e integrado acoplado a la reconstrucción del sector rural </w:t>
      </w:r>
      <w:r>
        <w:rPr>
          <w:spacing w:val="2"/>
          <w:w w:val="110"/>
        </w:rPr>
        <w:t>con  </w:t>
      </w:r>
      <w:r>
        <w:rPr>
          <w:w w:val="110"/>
        </w:rPr>
        <w:t>un agro robusto, así como la consolidación del progreso social y la apertura hacia la creación de una democracia auténtica, progresista    y </w:t>
      </w:r>
      <w:r>
        <w:rPr>
          <w:spacing w:val="6"/>
          <w:w w:val="110"/>
        </w:rPr>
        <w:t> </w:t>
      </w:r>
      <w:r>
        <w:rPr>
          <w:w w:val="110"/>
        </w:rPr>
        <w:t>continua.</w:t>
      </w:r>
    </w:p>
    <w:p>
      <w:pPr>
        <w:pStyle w:val="BodyText"/>
        <w:spacing w:line="252" w:lineRule="auto"/>
        <w:ind w:left="100" w:right="328" w:firstLine="396"/>
        <w:jc w:val="both"/>
      </w:pPr>
      <w:r>
        <w:rPr>
          <w:w w:val="139"/>
        </w:rPr>
        <w:t>a</w:t>
      </w:r>
      <w:r>
        <w:rPr/>
        <w:t> </w:t>
      </w:r>
      <w:r>
        <w:rPr>
          <w:spacing w:val="-18"/>
        </w:rPr>
        <w:t> </w:t>
      </w:r>
      <w:r>
        <w:rPr>
          <w:w w:val="108"/>
        </w:rPr>
        <w:t>finales</w:t>
      </w:r>
      <w:r>
        <w:rPr/>
        <w:t> </w:t>
      </w:r>
      <w:r>
        <w:rPr>
          <w:spacing w:val="-18"/>
        </w:rPr>
        <w:t> </w:t>
      </w:r>
      <w:r>
        <w:rPr>
          <w:w w:val="107"/>
        </w:rPr>
        <w:t>de</w:t>
      </w:r>
      <w:r>
        <w:rPr/>
        <w:t> </w:t>
      </w:r>
      <w:r>
        <w:rPr>
          <w:spacing w:val="-18"/>
        </w:rPr>
        <w:t> </w:t>
      </w:r>
      <w:r>
        <w:rPr>
          <w:w w:val="102"/>
        </w:rPr>
        <w:t>2014</w:t>
      </w:r>
      <w:r>
        <w:rPr/>
        <w:t> </w:t>
      </w:r>
      <w:r>
        <w:rPr>
          <w:spacing w:val="-18"/>
        </w:rPr>
        <w:t> </w:t>
      </w:r>
      <w:r>
        <w:rPr>
          <w:w w:val="111"/>
        </w:rPr>
        <w:t>la</w:t>
      </w:r>
      <w:r>
        <w:rPr/>
        <w:t> </w:t>
      </w:r>
      <w:r>
        <w:rPr>
          <w:spacing w:val="-18"/>
        </w:rPr>
        <w:t> </w:t>
      </w:r>
      <w:r>
        <w:rPr>
          <w:w w:val="108"/>
        </w:rPr>
        <w:t>inversión</w:t>
      </w:r>
      <w:r>
        <w:rPr/>
        <w:t> </w:t>
      </w:r>
      <w:r>
        <w:rPr>
          <w:spacing w:val="-18"/>
        </w:rPr>
        <w:t> </w:t>
      </w:r>
      <w:r>
        <w:rPr>
          <w:w w:val="109"/>
        </w:rPr>
        <w:t>directa</w:t>
      </w:r>
      <w:r>
        <w:rPr/>
        <w:t> </w:t>
      </w:r>
      <w:r>
        <w:rPr>
          <w:spacing w:val="-18"/>
        </w:rPr>
        <w:t> </w:t>
      </w:r>
      <w:r>
        <w:rPr>
          <w:w w:val="107"/>
        </w:rPr>
        <w:t>de</w:t>
      </w:r>
      <w:r>
        <w:rPr/>
        <w:t> </w:t>
      </w:r>
      <w:r>
        <w:rPr>
          <w:spacing w:val="-18"/>
        </w:rPr>
        <w:t> </w:t>
      </w:r>
      <w:r>
        <w:rPr>
          <w:w w:val="115"/>
        </w:rPr>
        <w:t>China</w:t>
      </w:r>
      <w:r>
        <w:rPr/>
        <w:t> </w:t>
      </w:r>
      <w:r>
        <w:rPr>
          <w:spacing w:val="-18"/>
        </w:rPr>
        <w:t> </w:t>
      </w:r>
      <w:r>
        <w:rPr>
          <w:w w:val="108"/>
        </w:rPr>
        <w:t>en</w:t>
      </w:r>
      <w:r>
        <w:rPr/>
        <w:t> </w:t>
      </w:r>
      <w:r>
        <w:rPr>
          <w:spacing w:val="-18"/>
        </w:rPr>
        <w:t> </w:t>
      </w:r>
      <w:r>
        <w:rPr>
          <w:w w:val="139"/>
        </w:rPr>
        <w:t>a</w:t>
      </w:r>
      <w:r>
        <w:rPr>
          <w:w w:val="111"/>
        </w:rPr>
        <w:t>mérica</w:t>
      </w:r>
      <w:r>
        <w:rPr/>
        <w:t> </w:t>
      </w:r>
      <w:r>
        <w:rPr>
          <w:spacing w:val="-18"/>
        </w:rPr>
        <w:t> </w:t>
      </w:r>
      <w:r>
        <w:rPr>
          <w:w w:val="243"/>
        </w:rPr>
        <w:t>l</w:t>
      </w:r>
      <w:r>
        <w:rPr>
          <w:w w:val="111"/>
        </w:rPr>
        <w:t>ati</w:t>
      </w:r>
      <w:r>
        <w:rPr>
          <w:w w:val="102"/>
        </w:rPr>
        <w:t>- </w:t>
      </w:r>
      <w:r>
        <w:rPr>
          <w:w w:val="115"/>
        </w:rPr>
        <w:t>na totalizó us$ 98.900 millones y el volumen combinado real de los proyectos</w:t>
      </w:r>
      <w:r>
        <w:rPr>
          <w:spacing w:val="-21"/>
          <w:w w:val="115"/>
        </w:rPr>
        <w:t> </w:t>
      </w:r>
      <w:r>
        <w:rPr>
          <w:w w:val="115"/>
        </w:rPr>
        <w:t>contratados</w:t>
      </w:r>
      <w:r>
        <w:rPr>
          <w:spacing w:val="-21"/>
          <w:w w:val="115"/>
        </w:rPr>
        <w:t> </w:t>
      </w:r>
      <w:r>
        <w:rPr>
          <w:w w:val="115"/>
        </w:rPr>
        <w:t>en</w:t>
      </w:r>
      <w:r>
        <w:rPr>
          <w:spacing w:val="-21"/>
          <w:w w:val="115"/>
        </w:rPr>
        <w:t> </w:t>
      </w:r>
      <w:r>
        <w:rPr>
          <w:w w:val="115"/>
        </w:rPr>
        <w:t>la</w:t>
      </w:r>
      <w:r>
        <w:rPr>
          <w:spacing w:val="-21"/>
          <w:w w:val="115"/>
        </w:rPr>
        <w:t> </w:t>
      </w:r>
      <w:r>
        <w:rPr>
          <w:w w:val="115"/>
        </w:rPr>
        <w:t>región</w:t>
      </w:r>
      <w:r>
        <w:rPr>
          <w:spacing w:val="-21"/>
          <w:w w:val="115"/>
        </w:rPr>
        <w:t> </w:t>
      </w:r>
      <w:r>
        <w:rPr>
          <w:w w:val="115"/>
        </w:rPr>
        <w:t>llegó</w:t>
      </w:r>
      <w:r>
        <w:rPr>
          <w:spacing w:val="-21"/>
          <w:w w:val="115"/>
        </w:rPr>
        <w:t> </w:t>
      </w:r>
      <w:r>
        <w:rPr>
          <w:w w:val="115"/>
        </w:rPr>
        <w:t>a</w:t>
      </w:r>
      <w:r>
        <w:rPr>
          <w:spacing w:val="-21"/>
          <w:w w:val="115"/>
        </w:rPr>
        <w:t> </w:t>
      </w:r>
      <w:r>
        <w:rPr>
          <w:w w:val="115"/>
        </w:rPr>
        <w:t>us$</w:t>
      </w:r>
      <w:r>
        <w:rPr>
          <w:spacing w:val="-21"/>
          <w:w w:val="115"/>
        </w:rPr>
        <w:t> </w:t>
      </w:r>
      <w:r>
        <w:rPr>
          <w:w w:val="115"/>
        </w:rPr>
        <w:t>67.600</w:t>
      </w:r>
      <w:r>
        <w:rPr>
          <w:spacing w:val="-21"/>
          <w:w w:val="115"/>
        </w:rPr>
        <w:t> </w:t>
      </w:r>
      <w:r>
        <w:rPr>
          <w:w w:val="115"/>
        </w:rPr>
        <w:t>millones,</w:t>
      </w:r>
      <w:r>
        <w:rPr>
          <w:spacing w:val="-21"/>
          <w:w w:val="115"/>
        </w:rPr>
        <w:t> </w:t>
      </w:r>
      <w:r>
        <w:rPr>
          <w:w w:val="115"/>
        </w:rPr>
        <w:t>según </w:t>
      </w:r>
      <w:r>
        <w:rPr>
          <w:w w:val="107"/>
        </w:rPr>
        <w:t>el</w:t>
      </w:r>
      <w:r>
        <w:rPr/>
        <w:t> </w:t>
      </w:r>
      <w:r>
        <w:rPr>
          <w:spacing w:val="-12"/>
        </w:rPr>
        <w:t> </w:t>
      </w:r>
      <w:r>
        <w:rPr>
          <w:w w:val="111"/>
        </w:rPr>
        <w:t>Ministerio</w:t>
      </w:r>
      <w:r>
        <w:rPr/>
        <w:t> </w:t>
      </w:r>
      <w:r>
        <w:rPr>
          <w:spacing w:val="-12"/>
        </w:rPr>
        <w:t> </w:t>
      </w:r>
      <w:r>
        <w:rPr>
          <w:w w:val="107"/>
        </w:rPr>
        <w:t>de</w:t>
      </w:r>
      <w:r>
        <w:rPr/>
        <w:t> </w:t>
      </w:r>
      <w:r>
        <w:rPr>
          <w:spacing w:val="-12"/>
        </w:rPr>
        <w:t> </w:t>
      </w:r>
      <w:r>
        <w:rPr>
          <w:w w:val="112"/>
        </w:rPr>
        <w:t>Comercio</w:t>
      </w:r>
      <w:r>
        <w:rPr/>
        <w:t> </w:t>
      </w:r>
      <w:r>
        <w:rPr>
          <w:spacing w:val="-12"/>
        </w:rPr>
        <w:t> </w:t>
      </w:r>
      <w:r>
        <w:rPr>
          <w:w w:val="115"/>
        </w:rPr>
        <w:t>chino.</w:t>
      </w:r>
      <w:r>
        <w:rPr/>
        <w:t> </w:t>
      </w:r>
      <w:r>
        <w:rPr>
          <w:spacing w:val="-12"/>
        </w:rPr>
        <w:t> </w:t>
      </w:r>
      <w:r>
        <w:rPr>
          <w:w w:val="243"/>
        </w:rPr>
        <w:t>l</w:t>
      </w:r>
      <w:r>
        <w:rPr>
          <w:w w:val="112"/>
        </w:rPr>
        <w:t>a</w:t>
      </w:r>
      <w:r>
        <w:rPr/>
        <w:t> </w:t>
      </w:r>
      <w:r>
        <w:rPr>
          <w:spacing w:val="-12"/>
        </w:rPr>
        <w:t> </w:t>
      </w:r>
      <w:r>
        <w:rPr>
          <w:w w:val="108"/>
        </w:rPr>
        <w:t>inversión</w:t>
      </w:r>
      <w:r>
        <w:rPr/>
        <w:t> </w:t>
      </w:r>
      <w:r>
        <w:rPr>
          <w:spacing w:val="-12"/>
        </w:rPr>
        <w:t> </w:t>
      </w:r>
      <w:r>
        <w:rPr>
          <w:w w:val="107"/>
        </w:rPr>
        <w:t>exterior</w:t>
      </w:r>
      <w:r>
        <w:rPr/>
        <w:t> </w:t>
      </w:r>
      <w:r>
        <w:rPr>
          <w:spacing w:val="-12"/>
        </w:rPr>
        <w:t> </w:t>
      </w:r>
      <w:r>
        <w:rPr>
          <w:w w:val="105"/>
        </w:rPr>
        <w:t>se</w:t>
      </w:r>
      <w:r>
        <w:rPr/>
        <w:t> </w:t>
      </w:r>
      <w:r>
        <w:rPr>
          <w:spacing w:val="-12"/>
        </w:rPr>
        <w:t> </w:t>
      </w:r>
      <w:r>
        <w:rPr>
          <w:w w:val="108"/>
        </w:rPr>
        <w:t>distribuye </w:t>
      </w:r>
      <w:r>
        <w:rPr>
          <w:w w:val="115"/>
        </w:rPr>
        <w:t>principalmente</w:t>
      </w:r>
      <w:r>
        <w:rPr>
          <w:spacing w:val="-6"/>
          <w:w w:val="115"/>
        </w:rPr>
        <w:t> </w:t>
      </w:r>
      <w:r>
        <w:rPr>
          <w:w w:val="115"/>
        </w:rPr>
        <w:t>en</w:t>
      </w:r>
      <w:r>
        <w:rPr>
          <w:spacing w:val="-6"/>
          <w:w w:val="115"/>
        </w:rPr>
        <w:t> </w:t>
      </w:r>
      <w:r>
        <w:rPr>
          <w:w w:val="115"/>
        </w:rPr>
        <w:t>los</w:t>
      </w:r>
      <w:r>
        <w:rPr>
          <w:spacing w:val="-6"/>
          <w:w w:val="115"/>
        </w:rPr>
        <w:t> </w:t>
      </w:r>
      <w:r>
        <w:rPr>
          <w:w w:val="115"/>
        </w:rPr>
        <w:t>servicios</w:t>
      </w:r>
      <w:r>
        <w:rPr>
          <w:spacing w:val="-6"/>
          <w:w w:val="115"/>
        </w:rPr>
        <w:t> </w:t>
      </w:r>
      <w:r>
        <w:rPr>
          <w:w w:val="115"/>
        </w:rPr>
        <w:t>de</w:t>
      </w:r>
      <w:r>
        <w:rPr>
          <w:spacing w:val="-6"/>
          <w:w w:val="115"/>
        </w:rPr>
        <w:t> </w:t>
      </w:r>
      <w:r>
        <w:rPr>
          <w:w w:val="115"/>
        </w:rPr>
        <w:t>arrendamiento</w:t>
      </w:r>
      <w:r>
        <w:rPr>
          <w:spacing w:val="-6"/>
          <w:w w:val="115"/>
        </w:rPr>
        <w:t> </w:t>
      </w:r>
      <w:r>
        <w:rPr>
          <w:w w:val="115"/>
        </w:rPr>
        <w:t>y</w:t>
      </w:r>
      <w:r>
        <w:rPr>
          <w:spacing w:val="-6"/>
          <w:w w:val="115"/>
        </w:rPr>
        <w:t> </w:t>
      </w:r>
      <w:r>
        <w:rPr>
          <w:w w:val="115"/>
        </w:rPr>
        <w:t>de</w:t>
      </w:r>
      <w:r>
        <w:rPr>
          <w:spacing w:val="-6"/>
          <w:w w:val="115"/>
        </w:rPr>
        <w:t> </w:t>
      </w:r>
      <w:r>
        <w:rPr>
          <w:w w:val="115"/>
        </w:rPr>
        <w:t>negocios,</w:t>
      </w:r>
      <w:r>
        <w:rPr>
          <w:spacing w:val="-6"/>
          <w:w w:val="115"/>
        </w:rPr>
        <w:t> </w:t>
      </w:r>
      <w:r>
        <w:rPr>
          <w:w w:val="115"/>
        </w:rPr>
        <w:t>así como</w:t>
      </w:r>
      <w:r>
        <w:rPr>
          <w:spacing w:val="-22"/>
          <w:w w:val="115"/>
        </w:rPr>
        <w:t> </w:t>
      </w:r>
      <w:r>
        <w:rPr>
          <w:w w:val="115"/>
        </w:rPr>
        <w:t>en</w:t>
      </w:r>
      <w:r>
        <w:rPr>
          <w:spacing w:val="-22"/>
          <w:w w:val="115"/>
        </w:rPr>
        <w:t> </w:t>
      </w:r>
      <w:r>
        <w:rPr>
          <w:w w:val="115"/>
        </w:rPr>
        <w:t>los</w:t>
      </w:r>
      <w:r>
        <w:rPr>
          <w:spacing w:val="-22"/>
          <w:w w:val="115"/>
        </w:rPr>
        <w:t> </w:t>
      </w:r>
      <w:r>
        <w:rPr>
          <w:w w:val="115"/>
        </w:rPr>
        <w:t>recursos</w:t>
      </w:r>
      <w:r>
        <w:rPr>
          <w:spacing w:val="-22"/>
          <w:w w:val="115"/>
        </w:rPr>
        <w:t> </w:t>
      </w:r>
      <w:r>
        <w:rPr>
          <w:w w:val="115"/>
        </w:rPr>
        <w:t>energéticos,</w:t>
      </w:r>
      <w:r>
        <w:rPr>
          <w:spacing w:val="-22"/>
          <w:w w:val="115"/>
        </w:rPr>
        <w:t> </w:t>
      </w:r>
      <w:r>
        <w:rPr>
          <w:w w:val="115"/>
        </w:rPr>
        <w:t>mientras</w:t>
      </w:r>
      <w:r>
        <w:rPr>
          <w:spacing w:val="-22"/>
          <w:w w:val="115"/>
        </w:rPr>
        <w:t> </w:t>
      </w:r>
      <w:r>
        <w:rPr>
          <w:w w:val="115"/>
        </w:rPr>
        <w:t>que</w:t>
      </w:r>
      <w:r>
        <w:rPr>
          <w:spacing w:val="-22"/>
          <w:w w:val="115"/>
        </w:rPr>
        <w:t> </w:t>
      </w:r>
      <w:r>
        <w:rPr>
          <w:w w:val="115"/>
        </w:rPr>
        <w:t>los</w:t>
      </w:r>
      <w:r>
        <w:rPr>
          <w:spacing w:val="-22"/>
          <w:w w:val="115"/>
        </w:rPr>
        <w:t> </w:t>
      </w:r>
      <w:r>
        <w:rPr>
          <w:w w:val="115"/>
        </w:rPr>
        <w:t>proyectos</w:t>
      </w:r>
      <w:r>
        <w:rPr>
          <w:spacing w:val="-22"/>
          <w:w w:val="115"/>
        </w:rPr>
        <w:t> </w:t>
      </w:r>
      <w:r>
        <w:rPr>
          <w:w w:val="115"/>
        </w:rPr>
        <w:t>contra- tados</w:t>
      </w:r>
      <w:r>
        <w:rPr>
          <w:spacing w:val="-21"/>
          <w:w w:val="115"/>
        </w:rPr>
        <w:t> </w:t>
      </w:r>
      <w:r>
        <w:rPr>
          <w:w w:val="115"/>
        </w:rPr>
        <w:t>en</w:t>
      </w:r>
      <w:r>
        <w:rPr>
          <w:spacing w:val="-21"/>
          <w:w w:val="115"/>
        </w:rPr>
        <w:t> </w:t>
      </w:r>
      <w:r>
        <w:rPr>
          <w:w w:val="115"/>
        </w:rPr>
        <w:t>el</w:t>
      </w:r>
      <w:r>
        <w:rPr>
          <w:spacing w:val="-21"/>
          <w:w w:val="115"/>
        </w:rPr>
        <w:t> </w:t>
      </w:r>
      <w:r>
        <w:rPr>
          <w:w w:val="115"/>
        </w:rPr>
        <w:t>extranjero</w:t>
      </w:r>
      <w:r>
        <w:rPr>
          <w:spacing w:val="-21"/>
          <w:w w:val="115"/>
        </w:rPr>
        <w:t> </w:t>
      </w:r>
      <w:r>
        <w:rPr>
          <w:w w:val="115"/>
        </w:rPr>
        <w:t>implican</w:t>
      </w:r>
      <w:r>
        <w:rPr>
          <w:spacing w:val="-21"/>
          <w:w w:val="115"/>
        </w:rPr>
        <w:t> </w:t>
      </w:r>
      <w:r>
        <w:rPr>
          <w:w w:val="115"/>
        </w:rPr>
        <w:t>áreas</w:t>
      </w:r>
      <w:r>
        <w:rPr>
          <w:spacing w:val="-21"/>
          <w:w w:val="115"/>
        </w:rPr>
        <w:t> </w:t>
      </w:r>
      <w:r>
        <w:rPr>
          <w:w w:val="115"/>
        </w:rPr>
        <w:t>como</w:t>
      </w:r>
      <w:r>
        <w:rPr>
          <w:spacing w:val="-21"/>
          <w:w w:val="115"/>
        </w:rPr>
        <w:t> </w:t>
      </w:r>
      <w:r>
        <w:rPr>
          <w:w w:val="115"/>
        </w:rPr>
        <w:t>el</w:t>
      </w:r>
      <w:r>
        <w:rPr>
          <w:spacing w:val="-21"/>
          <w:w w:val="115"/>
        </w:rPr>
        <w:t> </w:t>
      </w:r>
      <w:r>
        <w:rPr>
          <w:w w:val="115"/>
        </w:rPr>
        <w:t>transporte,</w:t>
      </w:r>
      <w:r>
        <w:rPr>
          <w:spacing w:val="-21"/>
          <w:w w:val="115"/>
        </w:rPr>
        <w:t> </w:t>
      </w:r>
      <w:r>
        <w:rPr>
          <w:w w:val="115"/>
        </w:rPr>
        <w:t>la</w:t>
      </w:r>
      <w:r>
        <w:rPr>
          <w:spacing w:val="-21"/>
          <w:w w:val="115"/>
        </w:rPr>
        <w:t> </w:t>
      </w:r>
      <w:r>
        <w:rPr>
          <w:w w:val="115"/>
        </w:rPr>
        <w:t>construc- ción</w:t>
      </w:r>
      <w:r>
        <w:rPr>
          <w:spacing w:val="-17"/>
          <w:w w:val="115"/>
        </w:rPr>
        <w:t> </w:t>
      </w:r>
      <w:r>
        <w:rPr>
          <w:w w:val="115"/>
        </w:rPr>
        <w:t>de</w:t>
      </w:r>
      <w:r>
        <w:rPr>
          <w:spacing w:val="-17"/>
          <w:w w:val="115"/>
        </w:rPr>
        <w:t> </w:t>
      </w:r>
      <w:r>
        <w:rPr>
          <w:w w:val="115"/>
        </w:rPr>
        <w:t>viviendas,</w:t>
      </w:r>
      <w:r>
        <w:rPr>
          <w:spacing w:val="-17"/>
          <w:w w:val="115"/>
        </w:rPr>
        <w:t> </w:t>
      </w:r>
      <w:r>
        <w:rPr>
          <w:w w:val="115"/>
        </w:rPr>
        <w:t>la</w:t>
      </w:r>
      <w:r>
        <w:rPr>
          <w:spacing w:val="-17"/>
          <w:w w:val="115"/>
        </w:rPr>
        <w:t> </w:t>
      </w:r>
      <w:r>
        <w:rPr>
          <w:w w:val="115"/>
        </w:rPr>
        <w:t>energía</w:t>
      </w:r>
      <w:r>
        <w:rPr>
          <w:spacing w:val="-17"/>
          <w:w w:val="115"/>
        </w:rPr>
        <w:t> </w:t>
      </w:r>
      <w:r>
        <w:rPr>
          <w:w w:val="115"/>
        </w:rPr>
        <w:t>y</w:t>
      </w:r>
      <w:r>
        <w:rPr>
          <w:spacing w:val="-17"/>
          <w:w w:val="115"/>
        </w:rPr>
        <w:t> </w:t>
      </w:r>
      <w:r>
        <w:rPr>
          <w:w w:val="115"/>
        </w:rPr>
        <w:t>las</w:t>
      </w:r>
      <w:r>
        <w:rPr>
          <w:spacing w:val="-17"/>
          <w:w w:val="115"/>
        </w:rPr>
        <w:t> </w:t>
      </w:r>
      <w:r>
        <w:rPr>
          <w:w w:val="115"/>
        </w:rPr>
        <w:t>comunicaciones.</w:t>
      </w:r>
    </w:p>
    <w:p>
      <w:pPr>
        <w:pStyle w:val="BodyText"/>
        <w:spacing w:line="252" w:lineRule="auto"/>
        <w:ind w:left="100" w:right="327" w:firstLine="396"/>
        <w:jc w:val="both"/>
      </w:pPr>
      <w:r>
        <w:rPr>
          <w:w w:val="110"/>
        </w:rPr>
        <w:t>además, los proyectos de adquisición mediante inversión de em- </w:t>
      </w:r>
      <w:r>
        <w:rPr>
          <w:w w:val="107"/>
        </w:rPr>
        <w:t>presas</w:t>
      </w:r>
      <w:r>
        <w:rPr/>
        <w:t> </w:t>
      </w:r>
      <w:r>
        <w:rPr>
          <w:w w:val="112"/>
        </w:rPr>
        <w:t>chinas</w:t>
      </w:r>
      <w:r>
        <w:rPr/>
        <w:t> </w:t>
      </w:r>
      <w:r>
        <w:rPr>
          <w:w w:val="108"/>
        </w:rPr>
        <w:t>en</w:t>
      </w:r>
      <w:r>
        <w:rPr/>
        <w:t> </w:t>
      </w:r>
      <w:r>
        <w:rPr>
          <w:w w:val="139"/>
        </w:rPr>
        <w:t>a</w:t>
      </w:r>
      <w:r>
        <w:rPr>
          <w:w w:val="111"/>
        </w:rPr>
        <w:t>mérica</w:t>
      </w:r>
      <w:r>
        <w:rPr/>
        <w:t> </w:t>
      </w:r>
      <w:r>
        <w:rPr>
          <w:w w:val="243"/>
        </w:rPr>
        <w:t>l</w:t>
      </w:r>
      <w:r>
        <w:rPr>
          <w:w w:val="111"/>
        </w:rPr>
        <w:t>atina</w:t>
      </w:r>
      <w:r>
        <w:rPr/>
        <w:t> </w:t>
      </w:r>
      <w:r>
        <w:rPr>
          <w:w w:val="112"/>
        </w:rPr>
        <w:t>han</w:t>
      </w:r>
      <w:r>
        <w:rPr/>
        <w:t> </w:t>
      </w:r>
      <w:r>
        <w:rPr>
          <w:w w:val="108"/>
        </w:rPr>
        <w:t>venido</w:t>
      </w:r>
      <w:r>
        <w:rPr/>
        <w:t> </w:t>
      </w:r>
      <w:r>
        <w:rPr>
          <w:w w:val="111"/>
        </w:rPr>
        <w:t>aumentando.</w:t>
      </w:r>
      <w:r>
        <w:rPr/>
        <w:t> </w:t>
      </w:r>
      <w:r>
        <w:rPr>
          <w:w w:val="120"/>
        </w:rPr>
        <w:t>En</w:t>
      </w:r>
      <w:r>
        <w:rPr/>
        <w:t> </w:t>
      </w:r>
      <w:r>
        <w:rPr>
          <w:w w:val="102"/>
        </w:rPr>
        <w:t>2014</w:t>
      </w:r>
      <w:r>
        <w:rPr/>
        <w:t> </w:t>
      </w:r>
      <w:r>
        <w:rPr>
          <w:w w:val="107"/>
        </w:rPr>
        <w:t>el </w:t>
      </w:r>
      <w:r>
        <w:rPr>
          <w:w w:val="110"/>
        </w:rPr>
        <w:t>valor real de la transacción del proyecto de adquisición de una mina de cobre peruana por parte de una alianza de tres compañías chinas fue de us$ 5.850 millones. asimismo, el volumen real de la transac- ción del proyecto de adquisición de la filial de la petrolera brasileña Petrobras en Perú alcanzó los us$ 2.640   millones.</w:t>
      </w:r>
    </w:p>
    <w:p>
      <w:pPr>
        <w:pStyle w:val="BodyText"/>
        <w:spacing w:line="252" w:lineRule="auto"/>
        <w:ind w:left="100" w:right="328" w:firstLine="396"/>
        <w:jc w:val="both"/>
      </w:pPr>
      <w:r>
        <w:rPr>
          <w:w w:val="110"/>
        </w:rPr>
        <w:t>China ha sido el mayor socio comercial de brasil durante seis  años consecutivos, y al mismo tiempo se ha convertido en el mayor socio comercial de Chile y Perú y en el segundo mayor de  </w:t>
      </w:r>
      <w:r>
        <w:rPr>
          <w:spacing w:val="42"/>
          <w:w w:val="110"/>
        </w:rPr>
        <w:t> </w:t>
      </w:r>
      <w:r>
        <w:rPr>
          <w:w w:val="110"/>
        </w:rPr>
        <w:t>Colombia.</w:t>
      </w:r>
    </w:p>
    <w:p>
      <w:pPr>
        <w:pStyle w:val="BodyText"/>
        <w:spacing w:before="3"/>
        <w:rPr>
          <w:sz w:val="26"/>
        </w:rPr>
      </w:pPr>
    </w:p>
    <w:p>
      <w:pPr>
        <w:pStyle w:val="Heading6"/>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pStyle w:val="BodyText"/>
        <w:spacing w:line="252" w:lineRule="auto" w:before="10"/>
        <w:ind w:left="497" w:right="528" w:hanging="397"/>
      </w:pPr>
      <w:r>
        <w:rPr>
          <w:w w:val="110"/>
        </w:rPr>
        <w:t>amin, samir 2014 “Contra Hardt and Negri. Multitude or  Generalized Proletarianization”, en </w:t>
      </w:r>
      <w:r>
        <w:rPr>
          <w:i/>
          <w:w w:val="110"/>
        </w:rPr>
        <w:t>Monthly Review</w:t>
      </w:r>
      <w:r>
        <w:rPr>
          <w:w w:val="110"/>
        </w:rPr>
        <w:t>, </w:t>
      </w:r>
      <w:r>
        <w:rPr>
          <w:spacing w:val="-4"/>
          <w:w w:val="110"/>
        </w:rPr>
        <w:t>Vol. </w:t>
      </w:r>
      <w:r>
        <w:rPr>
          <w:w w:val="110"/>
        </w:rPr>
        <w:t>66, Nº 6,</w:t>
      </w:r>
      <w:r>
        <w:rPr>
          <w:spacing w:val="11"/>
          <w:w w:val="110"/>
        </w:rPr>
        <w:t> </w:t>
      </w:r>
      <w:r>
        <w:rPr>
          <w:w w:val="110"/>
        </w:rPr>
        <w:t>noviembre.</w:t>
      </w:r>
    </w:p>
    <w:p>
      <w:pPr>
        <w:spacing w:line="252" w:lineRule="auto" w:before="28"/>
        <w:ind w:left="497" w:right="601" w:hanging="397"/>
        <w:jc w:val="both"/>
        <w:rPr>
          <w:sz w:val="19"/>
        </w:rPr>
      </w:pPr>
      <w:r>
        <w:rPr>
          <w:w w:val="110"/>
          <w:sz w:val="19"/>
        </w:rPr>
        <w:t>amin, samir 2008 </w:t>
      </w:r>
      <w:r>
        <w:rPr>
          <w:i/>
          <w:w w:val="110"/>
          <w:sz w:val="19"/>
        </w:rPr>
        <w:t>¿Debacle financiera, crisis sistémica? Respuestas </w:t>
      </w:r>
      <w:r>
        <w:rPr>
          <w:i/>
          <w:w w:val="110"/>
          <w:sz w:val="19"/>
        </w:rPr>
        <w:t>ilusorias y respuestas necesarias</w:t>
      </w:r>
      <w:r>
        <w:rPr>
          <w:w w:val="110"/>
          <w:sz w:val="19"/>
        </w:rPr>
        <w:t>, Caracas, Foro Mundial de las alternativas, octubre.</w:t>
      </w:r>
    </w:p>
    <w:p>
      <w:pPr>
        <w:pStyle w:val="BodyText"/>
        <w:spacing w:line="252" w:lineRule="auto" w:before="28"/>
        <w:ind w:left="497" w:right="482" w:hanging="397"/>
      </w:pPr>
      <w:r>
        <w:rPr>
          <w:w w:val="110"/>
        </w:rPr>
        <w:t>anderson, Perry 2004 “alternativas en la guerra contra el </w:t>
      </w:r>
      <w:r>
        <w:rPr>
          <w:w w:val="110"/>
        </w:rPr>
        <w:t>neoliberalismo</w:t>
      </w:r>
      <w:r>
        <w:rPr/>
        <w:t> </w:t>
      </w:r>
      <w:r>
        <w:rPr>
          <w:w w:val="105"/>
        </w:rPr>
        <w:t>y</w:t>
      </w:r>
      <w:r>
        <w:rPr/>
        <w:t> </w:t>
      </w:r>
      <w:r>
        <w:rPr>
          <w:w w:val="107"/>
        </w:rPr>
        <w:t>el</w:t>
      </w:r>
      <w:r>
        <w:rPr/>
        <w:t> </w:t>
      </w:r>
      <w:r>
        <w:rPr>
          <w:w w:val="110"/>
        </w:rPr>
        <w:t>neoimperialismo:</w:t>
      </w:r>
      <w:r>
        <w:rPr/>
        <w:t> </w:t>
      </w:r>
      <w:r>
        <w:rPr>
          <w:w w:val="243"/>
        </w:rPr>
        <w:t>l</w:t>
      </w:r>
      <w:r>
        <w:rPr>
          <w:w w:val="112"/>
        </w:rPr>
        <w:t>a</w:t>
      </w:r>
      <w:r>
        <w:rPr/>
        <w:t> </w:t>
      </w:r>
      <w:r>
        <w:rPr>
          <w:w w:val="111"/>
        </w:rPr>
        <w:t>batalla</w:t>
      </w:r>
      <w:r>
        <w:rPr/>
        <w:t> </w:t>
      </w:r>
      <w:r>
        <w:rPr>
          <w:w w:val="107"/>
        </w:rPr>
        <w:t>de</w:t>
      </w:r>
      <w:r>
        <w:rPr/>
        <w:t> </w:t>
      </w:r>
      <w:r>
        <w:rPr>
          <w:w w:val="109"/>
        </w:rPr>
        <w:t>las</w:t>
      </w:r>
      <w:r>
        <w:rPr/>
        <w:t> </w:t>
      </w:r>
      <w:r>
        <w:rPr>
          <w:w w:val="108"/>
        </w:rPr>
        <w:t>ideas</w:t>
      </w:r>
      <w:r>
        <w:rPr/>
        <w:t> </w:t>
      </w:r>
      <w:r>
        <w:rPr>
          <w:w w:val="108"/>
        </w:rPr>
        <w:t>en </w:t>
      </w:r>
      <w:r>
        <w:rPr>
          <w:w w:val="110"/>
        </w:rPr>
        <w:t>la construcción de alternativas”, en </w:t>
      </w:r>
      <w:r>
        <w:rPr>
          <w:i/>
          <w:w w:val="110"/>
        </w:rPr>
        <w:t>Tareas</w:t>
      </w:r>
      <w:r>
        <w:rPr>
          <w:w w:val="110"/>
        </w:rPr>
        <w:t>, Nº 116,  enero-abril.</w:t>
      </w:r>
    </w:p>
    <w:p>
      <w:pPr>
        <w:pStyle w:val="BodyText"/>
        <w:spacing w:line="252" w:lineRule="auto" w:before="28"/>
        <w:ind w:left="497" w:right="663" w:hanging="397"/>
        <w:jc w:val="both"/>
      </w:pPr>
      <w:r>
        <w:rPr>
          <w:w w:val="110"/>
        </w:rPr>
        <w:t>annis, roger 2014 “¿Qué hay detrás de la guerra contra el pueblo del este de ucrania?”, versión editada en el Foro social de los Pueblos, ottawa (Canadá), 21 al 25 de  agosto.</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727" w:hanging="397"/>
      </w:pPr>
      <w:r>
        <w:rPr>
          <w:w w:val="139"/>
        </w:rPr>
        <w:t>a</w:t>
      </w:r>
      <w:r>
        <w:rPr>
          <w:w w:val="112"/>
        </w:rPr>
        <w:t>rrighi,</w:t>
      </w:r>
      <w:r>
        <w:rPr/>
        <w:t> </w:t>
      </w:r>
      <w:r>
        <w:rPr>
          <w:w w:val="113"/>
        </w:rPr>
        <w:t>Giovanni</w:t>
      </w:r>
      <w:r>
        <w:rPr/>
        <w:t> </w:t>
      </w:r>
      <w:r>
        <w:rPr>
          <w:w w:val="102"/>
        </w:rPr>
        <w:t>1997</w:t>
      </w:r>
      <w:r>
        <w:rPr/>
        <w:t> </w:t>
      </w:r>
      <w:r>
        <w:rPr>
          <w:w w:val="115"/>
        </w:rPr>
        <w:t>“</w:t>
      </w:r>
      <w:r>
        <w:rPr>
          <w:w w:val="243"/>
        </w:rPr>
        <w:t>l</w:t>
      </w:r>
      <w:r>
        <w:rPr>
          <w:w w:val="108"/>
        </w:rPr>
        <w:t>os</w:t>
      </w:r>
      <w:r>
        <w:rPr/>
        <w:t> </w:t>
      </w:r>
      <w:r>
        <w:rPr>
          <w:w w:val="109"/>
        </w:rPr>
        <w:t>trabajadores</w:t>
      </w:r>
      <w:r>
        <w:rPr/>
        <w:t> </w:t>
      </w:r>
      <w:r>
        <w:rPr>
          <w:w w:val="107"/>
        </w:rPr>
        <w:t>del</w:t>
      </w:r>
      <w:r>
        <w:rPr/>
        <w:t> </w:t>
      </w:r>
      <w:r>
        <w:rPr>
          <w:w w:val="111"/>
        </w:rPr>
        <w:t>mundo</w:t>
      </w:r>
      <w:r>
        <w:rPr/>
        <w:t> </w:t>
      </w:r>
      <w:r>
        <w:rPr>
          <w:w w:val="112"/>
        </w:rPr>
        <w:t>a</w:t>
      </w:r>
      <w:r>
        <w:rPr/>
        <w:t> </w:t>
      </w:r>
      <w:r>
        <w:rPr>
          <w:w w:val="106"/>
        </w:rPr>
        <w:t>fines</w:t>
      </w:r>
      <w:r>
        <w:rPr/>
        <w:t> </w:t>
      </w:r>
      <w:r>
        <w:rPr>
          <w:w w:val="107"/>
        </w:rPr>
        <w:t>del</w:t>
      </w:r>
      <w:r>
        <w:rPr/>
        <w:t> </w:t>
      </w:r>
      <w:r>
        <w:rPr>
          <w:w w:val="110"/>
        </w:rPr>
        <w:t>siglo </w:t>
      </w:r>
      <w:r>
        <w:rPr>
          <w:w w:val="115"/>
        </w:rPr>
        <w:t>xx”, en tareas, Nº 96,  mayo-agosto.</w:t>
      </w:r>
    </w:p>
    <w:p>
      <w:pPr>
        <w:spacing w:line="252" w:lineRule="auto" w:before="28"/>
        <w:ind w:left="727" w:right="114" w:hanging="397"/>
        <w:jc w:val="left"/>
        <w:rPr>
          <w:sz w:val="19"/>
        </w:rPr>
      </w:pPr>
      <w:r>
        <w:rPr>
          <w:w w:val="134"/>
          <w:sz w:val="19"/>
        </w:rPr>
        <w:t>b</w:t>
      </w:r>
      <w:r>
        <w:rPr>
          <w:w w:val="112"/>
          <w:sz w:val="19"/>
        </w:rPr>
        <w:t>orón,</w:t>
      </w:r>
      <w:r>
        <w:rPr>
          <w:sz w:val="19"/>
        </w:rPr>
        <w:t> </w:t>
      </w:r>
      <w:r>
        <w:rPr>
          <w:w w:val="139"/>
          <w:sz w:val="19"/>
        </w:rPr>
        <w:t>a</w:t>
      </w:r>
      <w:r>
        <w:rPr>
          <w:w w:val="111"/>
          <w:sz w:val="19"/>
        </w:rPr>
        <w:t>tilio</w:t>
      </w:r>
      <w:r>
        <w:rPr>
          <w:sz w:val="19"/>
        </w:rPr>
        <w:t> </w:t>
      </w:r>
      <w:r>
        <w:rPr>
          <w:w w:val="102"/>
          <w:sz w:val="19"/>
        </w:rPr>
        <w:t>2014</w:t>
      </w:r>
      <w:r>
        <w:rPr>
          <w:sz w:val="19"/>
        </w:rPr>
        <w:t> </w:t>
      </w:r>
      <w:r>
        <w:rPr>
          <w:i/>
          <w:w w:val="109"/>
          <w:sz w:val="19"/>
        </w:rPr>
        <w:t>América</w:t>
      </w:r>
      <w:r>
        <w:rPr>
          <w:i/>
          <w:sz w:val="19"/>
        </w:rPr>
        <w:t> </w:t>
      </w:r>
      <w:r>
        <w:rPr>
          <w:i/>
          <w:w w:val="110"/>
          <w:sz w:val="19"/>
        </w:rPr>
        <w:t>Latina</w:t>
      </w:r>
      <w:r>
        <w:rPr>
          <w:i/>
          <w:sz w:val="19"/>
        </w:rPr>
        <w:t> </w:t>
      </w:r>
      <w:r>
        <w:rPr>
          <w:i/>
          <w:w w:val="108"/>
          <w:sz w:val="19"/>
        </w:rPr>
        <w:t>en</w:t>
      </w:r>
      <w:r>
        <w:rPr>
          <w:i/>
          <w:sz w:val="19"/>
        </w:rPr>
        <w:t> </w:t>
      </w:r>
      <w:r>
        <w:rPr>
          <w:i/>
          <w:w w:val="105"/>
          <w:sz w:val="19"/>
        </w:rPr>
        <w:t>la</w:t>
      </w:r>
      <w:r>
        <w:rPr>
          <w:i/>
          <w:sz w:val="19"/>
        </w:rPr>
        <w:t> </w:t>
      </w:r>
      <w:r>
        <w:rPr>
          <w:i/>
          <w:w w:val="106"/>
          <w:sz w:val="19"/>
        </w:rPr>
        <w:t>geopolítica</w:t>
      </w:r>
      <w:r>
        <w:rPr>
          <w:i/>
          <w:sz w:val="19"/>
        </w:rPr>
        <w:t> </w:t>
      </w:r>
      <w:r>
        <w:rPr>
          <w:i/>
          <w:w w:val="108"/>
          <w:sz w:val="19"/>
        </w:rPr>
        <w:t>imperial</w:t>
      </w:r>
      <w:r>
        <w:rPr>
          <w:i/>
          <w:sz w:val="19"/>
        </w:rPr>
        <w:t> </w:t>
      </w:r>
      <w:r>
        <w:rPr>
          <w:w w:val="98"/>
          <w:sz w:val="19"/>
        </w:rPr>
        <w:t>(</w:t>
      </w:r>
      <w:r>
        <w:rPr>
          <w:w w:val="243"/>
          <w:sz w:val="19"/>
        </w:rPr>
        <w:t>l</w:t>
      </w:r>
      <w:r>
        <w:rPr>
          <w:w w:val="112"/>
          <w:sz w:val="19"/>
        </w:rPr>
        <w:t>a </w:t>
      </w:r>
      <w:r>
        <w:rPr>
          <w:w w:val="110"/>
          <w:sz w:val="19"/>
        </w:rPr>
        <w:t>Habana:  Editorial  de  Ciencias sociales).</w:t>
      </w:r>
    </w:p>
    <w:p>
      <w:pPr>
        <w:pStyle w:val="BodyText"/>
        <w:spacing w:line="252" w:lineRule="auto" w:before="28"/>
        <w:ind w:left="727" w:hanging="397"/>
      </w:pPr>
      <w:r>
        <w:rPr>
          <w:w w:val="113"/>
        </w:rPr>
        <w:t>Chesnais,</w:t>
      </w:r>
      <w:r>
        <w:rPr/>
        <w:t> </w:t>
      </w:r>
      <w:r>
        <w:rPr>
          <w:w w:val="112"/>
        </w:rPr>
        <w:t>François</w:t>
      </w:r>
      <w:r>
        <w:rPr/>
        <w:t> </w:t>
      </w:r>
      <w:r>
        <w:rPr>
          <w:w w:val="105"/>
        </w:rPr>
        <w:t>y</w:t>
      </w:r>
      <w:r>
        <w:rPr/>
        <w:t> </w:t>
      </w:r>
      <w:r>
        <w:rPr>
          <w:w w:val="139"/>
        </w:rPr>
        <w:t>d</w:t>
      </w:r>
      <w:r>
        <w:rPr>
          <w:w w:val="113"/>
        </w:rPr>
        <w:t>uménil,</w:t>
      </w:r>
      <w:r>
        <w:rPr/>
        <w:t> </w:t>
      </w:r>
      <w:r>
        <w:rPr>
          <w:w w:val="112"/>
        </w:rPr>
        <w:t>Gérard</w:t>
      </w:r>
      <w:r>
        <w:rPr/>
        <w:t> </w:t>
      </w:r>
      <w:r>
        <w:rPr>
          <w:w w:val="102"/>
        </w:rPr>
        <w:t>2004</w:t>
      </w:r>
      <w:r>
        <w:rPr/>
        <w:t> </w:t>
      </w:r>
      <w:r>
        <w:rPr>
          <w:w w:val="115"/>
        </w:rPr>
        <w:t>“</w:t>
      </w:r>
      <w:r>
        <w:rPr>
          <w:w w:val="243"/>
        </w:rPr>
        <w:t>l</w:t>
      </w:r>
      <w:r>
        <w:rPr>
          <w:w w:val="112"/>
        </w:rPr>
        <w:t>a</w:t>
      </w:r>
      <w:r>
        <w:rPr/>
        <w:t> </w:t>
      </w:r>
      <w:r>
        <w:rPr>
          <w:w w:val="111"/>
        </w:rPr>
        <w:t>economía</w:t>
      </w:r>
      <w:r>
        <w:rPr/>
        <w:t> </w:t>
      </w:r>
      <w:r>
        <w:rPr>
          <w:w w:val="107"/>
        </w:rPr>
        <w:t>del </w:t>
      </w:r>
      <w:r>
        <w:rPr>
          <w:w w:val="110"/>
        </w:rPr>
        <w:t>imperialismo norteamericano”, en </w:t>
      </w:r>
      <w:r>
        <w:rPr>
          <w:i/>
          <w:w w:val="110"/>
        </w:rPr>
        <w:t>Rebelión</w:t>
      </w:r>
      <w:r>
        <w:rPr>
          <w:w w:val="110"/>
        </w:rPr>
        <w:t>, 19 de  septiembre.</w:t>
      </w:r>
    </w:p>
    <w:p>
      <w:pPr>
        <w:spacing w:line="252" w:lineRule="auto" w:before="28"/>
        <w:ind w:left="727" w:right="352" w:hanging="397"/>
        <w:jc w:val="left"/>
        <w:rPr>
          <w:sz w:val="19"/>
        </w:rPr>
      </w:pPr>
      <w:r>
        <w:rPr>
          <w:w w:val="110"/>
          <w:sz w:val="19"/>
        </w:rPr>
        <w:t>sousa santos, boaventura de 2014 </w:t>
      </w:r>
      <w:r>
        <w:rPr>
          <w:i/>
          <w:w w:val="110"/>
          <w:sz w:val="19"/>
        </w:rPr>
        <w:t>Nuestra América. Reinventando </w:t>
      </w:r>
      <w:r>
        <w:rPr>
          <w:i/>
          <w:w w:val="110"/>
          <w:sz w:val="19"/>
        </w:rPr>
        <w:t>un paradigma subalterno de reconocimiento y redistribución </w:t>
      </w:r>
      <w:r>
        <w:rPr>
          <w:w w:val="110"/>
          <w:sz w:val="19"/>
        </w:rPr>
        <w:t>(tomado de </w:t>
      </w:r>
      <w:r>
        <w:rPr>
          <w:i/>
          <w:w w:val="110"/>
          <w:sz w:val="19"/>
        </w:rPr>
        <w:t>Chiapas 12</w:t>
      </w:r>
      <w:r>
        <w:rPr>
          <w:w w:val="110"/>
          <w:sz w:val="19"/>
        </w:rPr>
        <w:t>).</w:t>
      </w:r>
    </w:p>
    <w:p>
      <w:pPr>
        <w:spacing w:line="252" w:lineRule="auto" w:before="28"/>
        <w:ind w:left="727" w:right="114" w:hanging="397"/>
        <w:jc w:val="left"/>
        <w:rPr>
          <w:sz w:val="19"/>
        </w:rPr>
      </w:pPr>
      <w:r>
        <w:rPr>
          <w:w w:val="115"/>
          <w:sz w:val="19"/>
        </w:rPr>
        <w:t>sousa santos, boaventura de 2010 </w:t>
      </w:r>
      <w:r>
        <w:rPr>
          <w:i/>
          <w:w w:val="115"/>
          <w:sz w:val="19"/>
        </w:rPr>
        <w:t>Refundación del Estado en </w:t>
      </w:r>
      <w:r>
        <w:rPr>
          <w:i/>
          <w:w w:val="109"/>
          <w:sz w:val="19"/>
        </w:rPr>
        <w:t>América</w:t>
      </w:r>
      <w:r>
        <w:rPr>
          <w:i/>
          <w:sz w:val="19"/>
        </w:rPr>
        <w:t> </w:t>
      </w:r>
      <w:r>
        <w:rPr>
          <w:i/>
          <w:w w:val="107"/>
          <w:sz w:val="19"/>
        </w:rPr>
        <w:t>latina</w:t>
      </w:r>
      <w:r>
        <w:rPr>
          <w:i/>
          <w:sz w:val="19"/>
        </w:rPr>
        <w:t> </w:t>
      </w:r>
      <w:r>
        <w:rPr>
          <w:w w:val="98"/>
          <w:sz w:val="19"/>
        </w:rPr>
        <w:t>(</w:t>
      </w:r>
      <w:r>
        <w:rPr>
          <w:w w:val="243"/>
          <w:sz w:val="19"/>
        </w:rPr>
        <w:t>l</w:t>
      </w:r>
      <w:r>
        <w:rPr>
          <w:w w:val="112"/>
          <w:sz w:val="19"/>
        </w:rPr>
        <w:t>ima:</w:t>
      </w:r>
      <w:r>
        <w:rPr>
          <w:sz w:val="19"/>
        </w:rPr>
        <w:t> </w:t>
      </w:r>
      <w:r>
        <w:rPr>
          <w:w w:val="142"/>
          <w:sz w:val="19"/>
        </w:rPr>
        <w:t>i</w:t>
      </w:r>
      <w:r>
        <w:rPr>
          <w:w w:val="109"/>
          <w:sz w:val="19"/>
        </w:rPr>
        <w:t>nstituto</w:t>
      </w:r>
      <w:r>
        <w:rPr>
          <w:sz w:val="19"/>
        </w:rPr>
        <w:t> </w:t>
      </w:r>
      <w:r>
        <w:rPr>
          <w:w w:val="142"/>
          <w:sz w:val="19"/>
        </w:rPr>
        <w:t>i</w:t>
      </w:r>
      <w:r>
        <w:rPr>
          <w:w w:val="110"/>
          <w:sz w:val="19"/>
        </w:rPr>
        <w:t>nternacional</w:t>
      </w:r>
      <w:r>
        <w:rPr>
          <w:sz w:val="19"/>
        </w:rPr>
        <w:t> </w:t>
      </w:r>
      <w:r>
        <w:rPr>
          <w:w w:val="107"/>
          <w:sz w:val="19"/>
        </w:rPr>
        <w:t>de</w:t>
      </w:r>
      <w:r>
        <w:rPr>
          <w:sz w:val="19"/>
        </w:rPr>
        <w:t> </w:t>
      </w:r>
      <w:r>
        <w:rPr>
          <w:w w:val="139"/>
          <w:sz w:val="19"/>
        </w:rPr>
        <w:t>d</w:t>
      </w:r>
      <w:r>
        <w:rPr>
          <w:w w:val="109"/>
          <w:sz w:val="19"/>
        </w:rPr>
        <w:t>erecho</w:t>
      </w:r>
      <w:r>
        <w:rPr>
          <w:sz w:val="19"/>
        </w:rPr>
        <w:t> </w:t>
      </w:r>
      <w:r>
        <w:rPr>
          <w:w w:val="105"/>
          <w:sz w:val="19"/>
        </w:rPr>
        <w:t>y </w:t>
      </w:r>
      <w:r>
        <w:rPr>
          <w:w w:val="115"/>
          <w:sz w:val="19"/>
        </w:rPr>
        <w:t>sociedad).</w:t>
      </w:r>
    </w:p>
    <w:p>
      <w:pPr>
        <w:spacing w:line="252" w:lineRule="auto" w:before="28"/>
        <w:ind w:left="727" w:right="271" w:hanging="397"/>
        <w:jc w:val="left"/>
        <w:rPr>
          <w:sz w:val="19"/>
        </w:rPr>
      </w:pPr>
      <w:r>
        <w:rPr>
          <w:w w:val="115"/>
          <w:sz w:val="19"/>
        </w:rPr>
        <w:t>dos santos, theotonio (ed.) 2011 </w:t>
      </w:r>
      <w:r>
        <w:rPr>
          <w:i/>
          <w:w w:val="115"/>
          <w:sz w:val="19"/>
        </w:rPr>
        <w:t>América Latina y el Caribe: </w:t>
      </w:r>
      <w:r>
        <w:rPr>
          <w:i/>
          <w:w w:val="115"/>
          <w:sz w:val="19"/>
        </w:rPr>
        <w:t>Escenarios posibles y políticas sociales </w:t>
      </w:r>
      <w:r>
        <w:rPr>
          <w:w w:val="115"/>
          <w:sz w:val="19"/>
        </w:rPr>
        <w:t>(Montevideo: uNEsCo/ </w:t>
      </w:r>
      <w:r>
        <w:rPr>
          <w:w w:val="125"/>
          <w:sz w:val="19"/>
        </w:rPr>
        <w:t>FlaCso).</w:t>
      </w:r>
    </w:p>
    <w:p>
      <w:pPr>
        <w:pStyle w:val="BodyText"/>
        <w:spacing w:line="252" w:lineRule="auto" w:before="28"/>
        <w:ind w:left="727" w:right="352" w:hanging="397"/>
      </w:pPr>
      <w:r>
        <w:rPr>
          <w:w w:val="115"/>
        </w:rPr>
        <w:t>devine, Pat 2006 “the 1970s and </w:t>
      </w:r>
      <w:r>
        <w:rPr>
          <w:spacing w:val="-4"/>
          <w:w w:val="115"/>
        </w:rPr>
        <w:t>after. </w:t>
      </w:r>
      <w:r>
        <w:rPr>
          <w:w w:val="115"/>
        </w:rPr>
        <w:t>the political economy of inflation</w:t>
      </w:r>
      <w:r>
        <w:rPr>
          <w:spacing w:val="-13"/>
          <w:w w:val="115"/>
        </w:rPr>
        <w:t> </w:t>
      </w:r>
      <w:r>
        <w:rPr>
          <w:w w:val="115"/>
        </w:rPr>
        <w:t>and</w:t>
      </w:r>
      <w:r>
        <w:rPr>
          <w:spacing w:val="-13"/>
          <w:w w:val="115"/>
        </w:rPr>
        <w:t> </w:t>
      </w:r>
      <w:r>
        <w:rPr>
          <w:w w:val="115"/>
        </w:rPr>
        <w:t>the</w:t>
      </w:r>
      <w:r>
        <w:rPr>
          <w:spacing w:val="-13"/>
          <w:w w:val="115"/>
        </w:rPr>
        <w:t> </w:t>
      </w:r>
      <w:r>
        <w:rPr>
          <w:w w:val="115"/>
        </w:rPr>
        <w:t>crisis</w:t>
      </w:r>
      <w:r>
        <w:rPr>
          <w:spacing w:val="-13"/>
          <w:w w:val="115"/>
        </w:rPr>
        <w:t> </w:t>
      </w:r>
      <w:r>
        <w:rPr>
          <w:w w:val="115"/>
        </w:rPr>
        <w:t>of</w:t>
      </w:r>
      <w:r>
        <w:rPr>
          <w:spacing w:val="-13"/>
          <w:w w:val="115"/>
        </w:rPr>
        <w:t> </w:t>
      </w:r>
      <w:r>
        <w:rPr>
          <w:w w:val="115"/>
        </w:rPr>
        <w:t>social</w:t>
      </w:r>
      <w:r>
        <w:rPr>
          <w:spacing w:val="-13"/>
          <w:w w:val="115"/>
        </w:rPr>
        <w:t> </w:t>
      </w:r>
      <w:r>
        <w:rPr>
          <w:w w:val="115"/>
        </w:rPr>
        <w:t>democracy”,</w:t>
      </w:r>
      <w:r>
        <w:rPr>
          <w:spacing w:val="-13"/>
          <w:w w:val="115"/>
        </w:rPr>
        <w:t> </w:t>
      </w:r>
      <w:r>
        <w:rPr>
          <w:w w:val="115"/>
        </w:rPr>
        <w:t>en</w:t>
      </w:r>
      <w:r>
        <w:rPr>
          <w:spacing w:val="-13"/>
          <w:w w:val="115"/>
        </w:rPr>
        <w:t> </w:t>
      </w:r>
      <w:r>
        <w:rPr>
          <w:i/>
          <w:w w:val="115"/>
        </w:rPr>
        <w:t>Soundings</w:t>
      </w:r>
      <w:r>
        <w:rPr>
          <w:i/>
          <w:spacing w:val="-13"/>
          <w:w w:val="115"/>
        </w:rPr>
        <w:t> </w:t>
      </w:r>
      <w:r>
        <w:rPr>
          <w:w w:val="115"/>
        </w:rPr>
        <w:t>32, spring.</w:t>
      </w:r>
    </w:p>
    <w:p>
      <w:pPr>
        <w:pStyle w:val="BodyText"/>
        <w:spacing w:line="252" w:lineRule="auto" w:before="28"/>
        <w:ind w:left="727" w:hanging="397"/>
      </w:pPr>
      <w:r>
        <w:rPr>
          <w:w w:val="110"/>
        </w:rPr>
        <w:t>Escobar, Pepe 2014 ¿Pueden China y rusia echar a Washington a empujones de Eurasia?, en </w:t>
      </w:r>
      <w:r>
        <w:rPr>
          <w:i/>
          <w:w w:val="110"/>
        </w:rPr>
        <w:t>TomDispatch </w:t>
      </w:r>
      <w:r>
        <w:rPr>
          <w:w w:val="110"/>
        </w:rPr>
        <w:t>(tomado de  </w:t>
      </w:r>
      <w:r>
        <w:rPr>
          <w:i/>
          <w:w w:val="110"/>
        </w:rPr>
        <w:t>Rebelión</w:t>
      </w:r>
      <w:r>
        <w:rPr>
          <w:w w:val="110"/>
        </w:rPr>
        <w:t>).</w:t>
      </w:r>
    </w:p>
    <w:p>
      <w:pPr>
        <w:spacing w:line="252" w:lineRule="auto" w:before="28"/>
        <w:ind w:left="727" w:right="18" w:hanging="397"/>
        <w:jc w:val="left"/>
        <w:rPr>
          <w:sz w:val="19"/>
        </w:rPr>
      </w:pPr>
      <w:r>
        <w:rPr>
          <w:w w:val="115"/>
          <w:sz w:val="19"/>
        </w:rPr>
        <w:t>Gandásegui, Marco a. hijo, y dídimo Castillo F. (ed.) 2010 </w:t>
      </w:r>
      <w:r>
        <w:rPr>
          <w:i/>
          <w:w w:val="115"/>
          <w:sz w:val="19"/>
        </w:rPr>
        <w:t>EE.UU. La </w:t>
      </w:r>
      <w:r>
        <w:rPr>
          <w:i/>
          <w:w w:val="115"/>
          <w:sz w:val="19"/>
        </w:rPr>
        <w:t>crisis sistémica y las nuevas condiciones de legitimación </w:t>
      </w:r>
      <w:r>
        <w:rPr>
          <w:w w:val="115"/>
          <w:sz w:val="19"/>
        </w:rPr>
        <w:t>(México: </w:t>
      </w:r>
      <w:r>
        <w:rPr>
          <w:w w:val="149"/>
          <w:sz w:val="19"/>
        </w:rPr>
        <w:t>s</w:t>
      </w:r>
      <w:r>
        <w:rPr>
          <w:w w:val="111"/>
          <w:sz w:val="19"/>
        </w:rPr>
        <w:t>iglo</w:t>
      </w:r>
      <w:r>
        <w:rPr>
          <w:sz w:val="19"/>
        </w:rPr>
        <w:t> </w:t>
      </w:r>
      <w:r>
        <w:rPr>
          <w:w w:val="156"/>
          <w:sz w:val="19"/>
        </w:rPr>
        <w:t>xxi</w:t>
      </w:r>
      <w:r>
        <w:rPr>
          <w:w w:val="57"/>
          <w:sz w:val="19"/>
        </w:rPr>
        <w:t>/</w:t>
      </w:r>
      <w:r>
        <w:rPr>
          <w:w w:val="124"/>
          <w:sz w:val="19"/>
        </w:rPr>
        <w:t>C</w:t>
      </w:r>
      <w:r>
        <w:rPr>
          <w:w w:val="176"/>
          <w:sz w:val="19"/>
        </w:rPr>
        <w:t>la</w:t>
      </w:r>
      <w:r>
        <w:rPr>
          <w:w w:val="124"/>
          <w:sz w:val="19"/>
        </w:rPr>
        <w:t>C</w:t>
      </w:r>
      <w:r>
        <w:rPr>
          <w:w w:val="135"/>
          <w:sz w:val="19"/>
        </w:rPr>
        <w:t>so)</w:t>
      </w:r>
      <w:r>
        <w:rPr>
          <w:w w:val="138"/>
          <w:sz w:val="19"/>
        </w:rPr>
        <w:t>.</w:t>
      </w:r>
    </w:p>
    <w:p>
      <w:pPr>
        <w:pStyle w:val="BodyText"/>
        <w:spacing w:line="252" w:lineRule="auto" w:before="28"/>
        <w:ind w:left="727" w:right="352" w:hanging="397"/>
      </w:pPr>
      <w:r>
        <w:rPr>
          <w:w w:val="110"/>
        </w:rPr>
        <w:t>Gardels, Nathan 2014 “brzezinski: russia’s invasion of Georgia is reminiscent of stalin’s attack on Finland”, en </w:t>
      </w:r>
      <w:r>
        <w:rPr>
          <w:i/>
          <w:w w:val="110"/>
        </w:rPr>
        <w:t>Huffington Post</w:t>
      </w:r>
      <w:r>
        <w:rPr>
          <w:w w:val="110"/>
        </w:rPr>
        <w:t>, 10 de septiembre, en </w:t>
      </w:r>
      <w:hyperlink r:id="rId121">
        <w:r>
          <w:rPr>
            <w:w w:val="110"/>
          </w:rPr>
          <w:t>&lt;http://goo.gl/vzd</w:t>
        </w:r>
      </w:hyperlink>
      <w:r>
        <w:rPr>
          <w:w w:val="110"/>
        </w:rPr>
        <w:t>r</w:t>
      </w:r>
      <w:hyperlink r:id="rId121">
        <w:r>
          <w:rPr>
            <w:w w:val="110"/>
          </w:rPr>
          <w:t>18&gt;.</w:t>
        </w:r>
      </w:hyperlink>
    </w:p>
    <w:p>
      <w:pPr>
        <w:pStyle w:val="BodyText"/>
        <w:spacing w:line="252" w:lineRule="auto" w:before="28"/>
        <w:ind w:left="727" w:right="334" w:hanging="397"/>
      </w:pPr>
      <w:r>
        <w:rPr>
          <w:spacing w:val="-3"/>
          <w:w w:val="110"/>
        </w:rPr>
        <w:t>Gardner,  </w:t>
      </w:r>
      <w:r>
        <w:rPr>
          <w:w w:val="110"/>
        </w:rPr>
        <w:t>Hall  2014  “From  berlin  to  ukraine/russia:  definitely there are things that do not love Walls…”, ponencia presentada en el simposio internacional “25 años después de la caída de    la Muralla de berlín” de la Fundación por la Paz de Mikhail </w:t>
      </w:r>
      <w:r>
        <w:rPr>
          <w:spacing w:val="-3"/>
          <w:w w:val="110"/>
        </w:rPr>
        <w:t>Gorbachov,  </w:t>
      </w:r>
      <w:r>
        <w:rPr>
          <w:w w:val="110"/>
        </w:rPr>
        <w:t>8 de</w:t>
      </w:r>
      <w:r>
        <w:rPr>
          <w:spacing w:val="26"/>
          <w:w w:val="110"/>
        </w:rPr>
        <w:t> </w:t>
      </w:r>
      <w:r>
        <w:rPr>
          <w:w w:val="110"/>
        </w:rPr>
        <w:t>mayo.</w:t>
      </w:r>
    </w:p>
    <w:p>
      <w:pPr>
        <w:pStyle w:val="BodyText"/>
        <w:spacing w:line="252" w:lineRule="auto" w:before="28"/>
        <w:ind w:left="727" w:right="114" w:hanging="397"/>
      </w:pPr>
      <w:r>
        <w:rPr>
          <w:w w:val="110"/>
        </w:rPr>
        <w:t>Hudson, Michael 2014 “Neoliberalismo y economía política de la Nueva Guerra Fría. ucrania”, en </w:t>
      </w:r>
      <w:hyperlink r:id="rId122">
        <w:r>
          <w:rPr>
            <w:w w:val="110"/>
          </w:rPr>
          <w:t>&lt;www.sinpermiso.info&gt;,</w:t>
        </w:r>
      </w:hyperlink>
      <w:r>
        <w:rPr>
          <w:w w:val="110"/>
        </w:rPr>
        <w:t> 22 de junio.</w:t>
      </w:r>
    </w:p>
    <w:p>
      <w:pPr>
        <w:pStyle w:val="BodyText"/>
        <w:spacing w:line="252" w:lineRule="auto" w:before="28"/>
        <w:ind w:left="727" w:right="819" w:hanging="397"/>
      </w:pPr>
      <w:r>
        <w:rPr>
          <w:w w:val="115"/>
        </w:rPr>
        <w:t>Jamil Jonna, </w:t>
      </w:r>
      <w:r>
        <w:rPr>
          <w:w w:val="130"/>
        </w:rPr>
        <w:t>r. </w:t>
      </w:r>
      <w:r>
        <w:rPr>
          <w:w w:val="115"/>
        </w:rPr>
        <w:t>y John bellamy Foster 2014 “beyond the </w:t>
      </w:r>
      <w:r>
        <w:rPr>
          <w:w w:val="139"/>
        </w:rPr>
        <w:t>d</w:t>
      </w:r>
      <w:r>
        <w:rPr>
          <w:w w:val="109"/>
        </w:rPr>
        <w:t>egradation</w:t>
      </w:r>
      <w:r>
        <w:rPr/>
        <w:t> </w:t>
      </w:r>
      <w:r>
        <w:rPr>
          <w:w w:val="113"/>
        </w:rPr>
        <w:t>of</w:t>
      </w:r>
      <w:r>
        <w:rPr/>
        <w:t> </w:t>
      </w:r>
      <w:r>
        <w:rPr>
          <w:w w:val="243"/>
        </w:rPr>
        <w:t>l</w:t>
      </w:r>
      <w:r>
        <w:rPr>
          <w:w w:val="113"/>
        </w:rPr>
        <w:t>abor”,</w:t>
      </w:r>
      <w:r>
        <w:rPr/>
        <w:t> </w:t>
      </w:r>
      <w:r>
        <w:rPr>
          <w:w w:val="108"/>
        </w:rPr>
        <w:t>en</w:t>
      </w:r>
      <w:r>
        <w:rPr/>
        <w:t> </w:t>
      </w:r>
      <w:r>
        <w:rPr>
          <w:i/>
          <w:w w:val="112"/>
        </w:rPr>
        <w:t>Monthly</w:t>
      </w:r>
      <w:r>
        <w:rPr>
          <w:i/>
        </w:rPr>
        <w:t> </w:t>
      </w:r>
      <w:r>
        <w:rPr>
          <w:i/>
          <w:w w:val="111"/>
        </w:rPr>
        <w:t>Review</w:t>
      </w:r>
      <w:r>
        <w:rPr>
          <w:w w:val="138"/>
        </w:rPr>
        <w:t>,</w:t>
      </w:r>
      <w:r>
        <w:rPr/>
        <w:t> </w:t>
      </w:r>
      <w:r>
        <w:rPr>
          <w:w w:val="119"/>
        </w:rPr>
        <w:t>V</w:t>
      </w:r>
      <w:r>
        <w:rPr>
          <w:w w:val="116"/>
        </w:rPr>
        <w:t>ol.</w:t>
      </w:r>
      <w:r>
        <w:rPr/>
        <w:t> </w:t>
      </w:r>
      <w:r>
        <w:rPr>
          <w:w w:val="108"/>
        </w:rPr>
        <w:t>66,</w:t>
      </w:r>
      <w:r>
        <w:rPr/>
        <w:t> </w:t>
      </w:r>
      <w:r>
        <w:rPr>
          <w:w w:val="105"/>
        </w:rPr>
        <w:t>Nº</w:t>
      </w:r>
      <w:r>
        <w:rPr/>
        <w:t> </w:t>
      </w:r>
      <w:r>
        <w:rPr>
          <w:w w:val="112"/>
        </w:rPr>
        <w:t>5, </w:t>
      </w:r>
      <w:r>
        <w:rPr>
          <w:w w:val="115"/>
        </w:rPr>
        <w:t>octubre.</w:t>
      </w:r>
    </w:p>
    <w:p>
      <w:pPr>
        <w:pStyle w:val="BodyText"/>
        <w:spacing w:line="252" w:lineRule="auto" w:before="28"/>
        <w:ind w:left="727" w:right="352" w:hanging="397"/>
      </w:pPr>
      <w:r>
        <w:rPr>
          <w:w w:val="110"/>
        </w:rPr>
        <w:t>Katz, Claudio 2012 “teorías de la sucesión hegemónica”, en </w:t>
      </w:r>
      <w:r>
        <w:rPr>
          <w:i/>
          <w:w w:val="110"/>
        </w:rPr>
        <w:t>Tareas</w:t>
      </w:r>
      <w:r>
        <w:rPr>
          <w:w w:val="110"/>
        </w:rPr>
        <w:t>, Nº 140, enero-abril.</w:t>
      </w:r>
    </w:p>
    <w:p>
      <w:pPr>
        <w:pStyle w:val="BodyText"/>
        <w:spacing w:line="252" w:lineRule="auto" w:before="28"/>
        <w:ind w:left="727" w:right="114" w:hanging="397"/>
        <w:rPr>
          <w:i/>
        </w:rPr>
      </w:pPr>
      <w:r>
        <w:rPr>
          <w:w w:val="115"/>
        </w:rPr>
        <w:t>Kinzer, stephen 2014 “EE.uu., un socio total en la debacle ucraniana”, en </w:t>
      </w:r>
      <w:r>
        <w:rPr>
          <w:i/>
          <w:w w:val="115"/>
        </w:rPr>
        <w:t>Boston Globe.</w:t>
      </w:r>
    </w:p>
    <w:p>
      <w:pPr>
        <w:spacing w:after="0" w:line="252" w:lineRule="auto"/>
        <w:sectPr>
          <w:pgSz w:w="8790" w:h="12760"/>
          <w:pgMar w:header="695" w:footer="725" w:top="880" w:bottom="920" w:left="1200" w:right="920"/>
        </w:sectPr>
      </w:pPr>
    </w:p>
    <w:p>
      <w:pPr>
        <w:pStyle w:val="BodyText"/>
        <w:spacing w:before="9"/>
        <w:rPr>
          <w:i/>
          <w:sz w:val="28"/>
        </w:rPr>
      </w:pPr>
    </w:p>
    <w:p>
      <w:pPr>
        <w:spacing w:line="256" w:lineRule="auto" w:before="73"/>
        <w:ind w:left="497" w:right="819" w:hanging="397"/>
        <w:jc w:val="left"/>
        <w:rPr>
          <w:sz w:val="19"/>
        </w:rPr>
      </w:pPr>
      <w:r>
        <w:rPr>
          <w:w w:val="110"/>
          <w:sz w:val="19"/>
        </w:rPr>
        <w:t>Kissinger, Henry 2014 “How the ukraine crisis ends”, en </w:t>
      </w:r>
      <w:r>
        <w:rPr>
          <w:i/>
          <w:w w:val="110"/>
          <w:sz w:val="19"/>
        </w:rPr>
        <w:t>The </w:t>
      </w:r>
      <w:r>
        <w:rPr>
          <w:i/>
          <w:w w:val="110"/>
          <w:sz w:val="19"/>
        </w:rPr>
        <w:t>Washington Post</w:t>
      </w:r>
      <w:r>
        <w:rPr>
          <w:w w:val="110"/>
          <w:sz w:val="19"/>
        </w:rPr>
        <w:t>, 5 de marzo.</w:t>
      </w:r>
    </w:p>
    <w:p>
      <w:pPr>
        <w:pStyle w:val="BodyText"/>
        <w:spacing w:line="256" w:lineRule="auto" w:before="28"/>
        <w:ind w:left="497" w:hanging="397"/>
      </w:pPr>
      <w:r>
        <w:rPr>
          <w:w w:val="110"/>
        </w:rPr>
        <w:t>Kissinger, Henry 2004 “se desplazan los polos de poder”, en </w:t>
      </w:r>
      <w:r>
        <w:rPr>
          <w:i/>
          <w:w w:val="110"/>
        </w:rPr>
        <w:t>Tribuna</w:t>
      </w:r>
      <w:r>
        <w:rPr>
          <w:w w:val="110"/>
        </w:rPr>
        <w:t>, </w:t>
      </w:r>
      <w:r>
        <w:rPr>
          <w:i/>
          <w:w w:val="110"/>
        </w:rPr>
        <w:t>Clarín</w:t>
      </w:r>
      <w:r>
        <w:rPr>
          <w:w w:val="110"/>
        </w:rPr>
        <w:t>, 5 de agosto.</w:t>
      </w:r>
    </w:p>
    <w:p>
      <w:pPr>
        <w:pStyle w:val="BodyText"/>
        <w:spacing w:before="28"/>
        <w:ind w:left="100"/>
        <w:rPr>
          <w:i/>
        </w:rPr>
      </w:pPr>
      <w:r>
        <w:rPr>
          <w:w w:val="110"/>
        </w:rPr>
        <w:t>Kliksberg, bernardo 2014 “Ganadores y perdedores”, en </w:t>
      </w:r>
      <w:r>
        <w:rPr>
          <w:i/>
          <w:w w:val="110"/>
        </w:rPr>
        <w:t>Página  12</w:t>
      </w:r>
    </w:p>
    <w:p>
      <w:pPr>
        <w:pStyle w:val="BodyText"/>
        <w:spacing w:before="15"/>
        <w:ind w:left="497"/>
      </w:pPr>
      <w:r>
        <w:rPr>
          <w:w w:val="110"/>
        </w:rPr>
        <w:t>(buenos aires), 9 de  octubre.</w:t>
      </w:r>
    </w:p>
    <w:p>
      <w:pPr>
        <w:pStyle w:val="BodyText"/>
        <w:spacing w:line="256" w:lineRule="auto" w:before="43"/>
        <w:ind w:left="497" w:right="500" w:hanging="397"/>
      </w:pPr>
      <w:r>
        <w:rPr>
          <w:w w:val="243"/>
        </w:rPr>
        <w:t>l</w:t>
      </w:r>
      <w:r>
        <w:rPr>
          <w:w w:val="110"/>
        </w:rPr>
        <w:t>apavitsas,</w:t>
      </w:r>
      <w:r>
        <w:rPr>
          <w:spacing w:val="12"/>
        </w:rPr>
        <w:t> </w:t>
      </w:r>
      <w:r>
        <w:rPr>
          <w:w w:val="111"/>
        </w:rPr>
        <w:t>Costas</w:t>
      </w:r>
      <w:r>
        <w:rPr>
          <w:spacing w:val="12"/>
        </w:rPr>
        <w:t> </w:t>
      </w:r>
      <w:r>
        <w:rPr>
          <w:w w:val="102"/>
        </w:rPr>
        <w:t>2012</w:t>
      </w:r>
      <w:r>
        <w:rPr>
          <w:spacing w:val="12"/>
        </w:rPr>
        <w:t> </w:t>
      </w:r>
      <w:r>
        <w:rPr>
          <w:w w:val="109"/>
        </w:rPr>
        <w:t>Profiting</w:t>
      </w:r>
      <w:r>
        <w:rPr>
          <w:spacing w:val="12"/>
        </w:rPr>
        <w:t> </w:t>
      </w:r>
      <w:r>
        <w:rPr>
          <w:spacing w:val="-8"/>
          <w:w w:val="110"/>
        </w:rPr>
        <w:t>W</w:t>
      </w:r>
      <w:r>
        <w:rPr>
          <w:w w:val="111"/>
        </w:rPr>
        <w:t>ithout</w:t>
      </w:r>
      <w:r>
        <w:rPr>
          <w:spacing w:val="12"/>
        </w:rPr>
        <w:t> </w:t>
      </w:r>
      <w:r>
        <w:rPr>
          <w:w w:val="111"/>
        </w:rPr>
        <w:t>Producing:</w:t>
      </w:r>
      <w:r>
        <w:rPr>
          <w:spacing w:val="12"/>
        </w:rPr>
        <w:t> </w:t>
      </w:r>
      <w:r>
        <w:rPr>
          <w:w w:val="112"/>
        </w:rPr>
        <w:t>How</w:t>
      </w:r>
      <w:r>
        <w:rPr>
          <w:spacing w:val="12"/>
        </w:rPr>
        <w:t> </w:t>
      </w:r>
      <w:r>
        <w:rPr>
          <w:w w:val="112"/>
        </w:rPr>
        <w:t>Finance </w:t>
      </w:r>
      <w:r>
        <w:rPr>
          <w:w w:val="112"/>
        </w:rPr>
        <w:t>Exploits</w:t>
      </w:r>
      <w:r>
        <w:rPr>
          <w:spacing w:val="12"/>
        </w:rPr>
        <w:t> </w:t>
      </w:r>
      <w:r>
        <w:rPr>
          <w:w w:val="140"/>
        </w:rPr>
        <w:t>u</w:t>
      </w:r>
      <w:r>
        <w:rPr>
          <w:w w:val="105"/>
        </w:rPr>
        <w:t>s</w:t>
      </w:r>
      <w:r>
        <w:rPr>
          <w:spacing w:val="12"/>
        </w:rPr>
        <w:t> </w:t>
      </w:r>
      <w:r>
        <w:rPr>
          <w:w w:val="139"/>
        </w:rPr>
        <w:t>a</w:t>
      </w:r>
      <w:r>
        <w:rPr>
          <w:w w:val="111"/>
        </w:rPr>
        <w:t>ll</w:t>
      </w:r>
      <w:r>
        <w:rPr>
          <w:spacing w:val="12"/>
        </w:rPr>
        <w:t> </w:t>
      </w:r>
      <w:r>
        <w:rPr>
          <w:w w:val="98"/>
        </w:rPr>
        <w:t>(</w:t>
      </w:r>
      <w:r>
        <w:rPr>
          <w:w w:val="243"/>
        </w:rPr>
        <w:t>l</w:t>
      </w:r>
      <w:r>
        <w:rPr>
          <w:w w:val="108"/>
        </w:rPr>
        <w:t>ondres:</w:t>
      </w:r>
      <w:r>
        <w:rPr>
          <w:spacing w:val="12"/>
        </w:rPr>
        <w:t> </w:t>
      </w:r>
      <w:r>
        <w:rPr>
          <w:spacing w:val="-15"/>
          <w:w w:val="119"/>
        </w:rPr>
        <w:t>V</w:t>
      </w:r>
      <w:r>
        <w:rPr>
          <w:w w:val="108"/>
        </w:rPr>
        <w:t>erso).</w:t>
      </w:r>
    </w:p>
    <w:p>
      <w:pPr>
        <w:pStyle w:val="BodyText"/>
        <w:spacing w:line="256" w:lineRule="auto" w:before="28"/>
        <w:ind w:left="497" w:right="802" w:hanging="397"/>
        <w:jc w:val="both"/>
      </w:pPr>
      <w:r>
        <w:rPr>
          <w:w w:val="110"/>
        </w:rPr>
        <w:t>Martínez, angel ricardo 2014 “‘No se trata ya de resistir sino de re-existir’,</w:t>
      </w:r>
      <w:r>
        <w:rPr>
          <w:spacing w:val="-17"/>
          <w:w w:val="110"/>
        </w:rPr>
        <w:t> </w:t>
      </w:r>
      <w:r>
        <w:rPr>
          <w:w w:val="110"/>
        </w:rPr>
        <w:t>entrevista</w:t>
      </w:r>
      <w:r>
        <w:rPr>
          <w:spacing w:val="-17"/>
          <w:w w:val="110"/>
        </w:rPr>
        <w:t> </w:t>
      </w:r>
      <w:r>
        <w:rPr>
          <w:w w:val="110"/>
        </w:rPr>
        <w:t>con</w:t>
      </w:r>
      <w:r>
        <w:rPr>
          <w:spacing w:val="-17"/>
          <w:w w:val="110"/>
        </w:rPr>
        <w:t> </w:t>
      </w:r>
      <w:r>
        <w:rPr>
          <w:w w:val="110"/>
        </w:rPr>
        <w:t>Walter</w:t>
      </w:r>
      <w:r>
        <w:rPr>
          <w:spacing w:val="-17"/>
          <w:w w:val="110"/>
        </w:rPr>
        <w:t> </w:t>
      </w:r>
      <w:r>
        <w:rPr>
          <w:w w:val="110"/>
        </w:rPr>
        <w:t>Mignolo”,</w:t>
      </w:r>
      <w:r>
        <w:rPr>
          <w:spacing w:val="-17"/>
          <w:w w:val="110"/>
        </w:rPr>
        <w:t> </w:t>
      </w:r>
      <w:r>
        <w:rPr>
          <w:w w:val="110"/>
        </w:rPr>
        <w:t>en</w:t>
      </w:r>
      <w:r>
        <w:rPr>
          <w:spacing w:val="-17"/>
          <w:w w:val="110"/>
        </w:rPr>
        <w:t> </w:t>
      </w:r>
      <w:hyperlink r:id="rId108">
        <w:r>
          <w:rPr>
            <w:w w:val="110"/>
          </w:rPr>
          <w:t>&lt;http://goo.gl/</w:t>
        </w:r>
      </w:hyperlink>
      <w:r>
        <w:rPr>
          <w:w w:val="110"/>
        </w:rPr>
        <w:t> wF4Ed3&gt;, 17 de </w:t>
      </w:r>
      <w:r>
        <w:rPr>
          <w:spacing w:val="6"/>
          <w:w w:val="110"/>
        </w:rPr>
        <w:t> </w:t>
      </w:r>
      <w:r>
        <w:rPr>
          <w:w w:val="110"/>
        </w:rPr>
        <w:t>noviembre.</w:t>
      </w:r>
    </w:p>
    <w:p>
      <w:pPr>
        <w:pStyle w:val="BodyText"/>
        <w:spacing w:line="256" w:lineRule="auto" w:before="28"/>
        <w:ind w:left="497" w:right="528" w:hanging="397"/>
      </w:pPr>
      <w:r>
        <w:rPr>
          <w:w w:val="113"/>
        </w:rPr>
        <w:t>Merino,</w:t>
      </w:r>
      <w:r>
        <w:rPr/>
        <w:t> </w:t>
      </w:r>
      <w:r>
        <w:rPr>
          <w:w w:val="113"/>
        </w:rPr>
        <w:t>Gabriel</w:t>
      </w:r>
      <w:r>
        <w:rPr/>
        <w:t> </w:t>
      </w:r>
      <w:r>
        <w:rPr>
          <w:w w:val="102"/>
        </w:rPr>
        <w:t>2014</w:t>
      </w:r>
      <w:r>
        <w:rPr/>
        <w:t> </w:t>
      </w:r>
      <w:r>
        <w:rPr>
          <w:w w:val="115"/>
        </w:rPr>
        <w:t>“</w:t>
      </w:r>
      <w:r>
        <w:rPr>
          <w:w w:val="243"/>
        </w:rPr>
        <w:t>l</w:t>
      </w:r>
      <w:r>
        <w:rPr>
          <w:w w:val="113"/>
        </w:rPr>
        <w:t>ucha</w:t>
      </w:r>
      <w:r>
        <w:rPr/>
        <w:t> </w:t>
      </w:r>
      <w:r>
        <w:rPr>
          <w:w w:val="106"/>
        </w:rPr>
        <w:t>entre</w:t>
      </w:r>
      <w:r>
        <w:rPr/>
        <w:t> </w:t>
      </w:r>
      <w:r>
        <w:rPr>
          <w:w w:val="109"/>
        </w:rPr>
        <w:t>polos</w:t>
      </w:r>
      <w:r>
        <w:rPr/>
        <w:t> </w:t>
      </w:r>
      <w:r>
        <w:rPr>
          <w:w w:val="107"/>
        </w:rPr>
        <w:t>de</w:t>
      </w:r>
      <w:r>
        <w:rPr/>
        <w:t> </w:t>
      </w:r>
      <w:r>
        <w:rPr>
          <w:w w:val="107"/>
        </w:rPr>
        <w:t>poder</w:t>
      </w:r>
      <w:r>
        <w:rPr/>
        <w:t> </w:t>
      </w:r>
      <w:r>
        <w:rPr>
          <w:w w:val="108"/>
        </w:rPr>
        <w:t>por</w:t>
      </w:r>
      <w:r>
        <w:rPr/>
        <w:t> </w:t>
      </w:r>
      <w:r>
        <w:rPr>
          <w:w w:val="111"/>
        </w:rPr>
        <w:t>la </w:t>
      </w:r>
      <w:r>
        <w:rPr>
          <w:w w:val="115"/>
        </w:rPr>
        <w:t>configuración del orden mundial. El escenario actual”, en </w:t>
      </w:r>
      <w:r>
        <w:rPr>
          <w:i/>
          <w:w w:val="111"/>
        </w:rPr>
        <w:t>Revista</w:t>
      </w:r>
      <w:r>
        <w:rPr>
          <w:i/>
        </w:rPr>
        <w:t> </w:t>
      </w:r>
      <w:r>
        <w:rPr>
          <w:i/>
          <w:w w:val="104"/>
        </w:rPr>
        <w:t>de</w:t>
      </w:r>
      <w:r>
        <w:rPr>
          <w:i/>
        </w:rPr>
        <w:t> </w:t>
      </w:r>
      <w:r>
        <w:rPr>
          <w:i/>
          <w:w w:val="115"/>
        </w:rPr>
        <w:t>Estudios</w:t>
      </w:r>
      <w:r>
        <w:rPr>
          <w:i/>
        </w:rPr>
        <w:t> </w:t>
      </w:r>
      <w:r>
        <w:rPr>
          <w:i/>
          <w:w w:val="108"/>
        </w:rPr>
        <w:t>Estratégicos</w:t>
      </w:r>
      <w:r>
        <w:rPr>
          <w:w w:val="138"/>
        </w:rPr>
        <w:t>,</w:t>
      </w:r>
      <w:r>
        <w:rPr/>
        <w:t> </w:t>
      </w:r>
      <w:r>
        <w:rPr>
          <w:w w:val="243"/>
        </w:rPr>
        <w:t>l</w:t>
      </w:r>
      <w:r>
        <w:rPr>
          <w:w w:val="112"/>
        </w:rPr>
        <w:t>a</w:t>
      </w:r>
      <w:r>
        <w:rPr/>
        <w:t> </w:t>
      </w:r>
      <w:r>
        <w:rPr>
          <w:w w:val="115"/>
        </w:rPr>
        <w:t>Habana,</w:t>
      </w:r>
      <w:r>
        <w:rPr/>
        <w:t> </w:t>
      </w:r>
      <w:r>
        <w:rPr>
          <w:w w:val="124"/>
        </w:rPr>
        <w:t>C</w:t>
      </w:r>
      <w:r>
        <w:rPr>
          <w:w w:val="142"/>
        </w:rPr>
        <w:t>i</w:t>
      </w:r>
      <w:r>
        <w:rPr>
          <w:w w:val="113"/>
        </w:rPr>
        <w:t>P</w:t>
      </w:r>
      <w:r>
        <w:rPr>
          <w:w w:val="142"/>
        </w:rPr>
        <w:t>i</w:t>
      </w:r>
      <w:r>
        <w:rPr>
          <w:w w:val="138"/>
        </w:rPr>
        <w:t>,</w:t>
      </w:r>
      <w:r>
        <w:rPr/>
        <w:t> </w:t>
      </w:r>
      <w:r>
        <w:rPr>
          <w:w w:val="93"/>
        </w:rPr>
        <w:t>1º</w:t>
      </w:r>
      <w:r>
        <w:rPr/>
        <w:t> </w:t>
      </w:r>
      <w:r>
        <w:rPr>
          <w:w w:val="108"/>
        </w:rPr>
        <w:t>semestre.</w:t>
      </w:r>
    </w:p>
    <w:p>
      <w:pPr>
        <w:pStyle w:val="BodyText"/>
        <w:spacing w:line="256" w:lineRule="auto" w:before="28"/>
        <w:ind w:left="497" w:right="819" w:hanging="397"/>
      </w:pPr>
      <w:r>
        <w:rPr>
          <w:w w:val="110"/>
        </w:rPr>
        <w:t>Muñoz Gamarra, Enrique 2013 “Gran depresión económica de 2008, equiparación de fuerzas y desarticulación </w:t>
      </w:r>
      <w:r>
        <w:rPr>
          <w:spacing w:val="2"/>
          <w:w w:val="110"/>
        </w:rPr>
        <w:t>del  </w:t>
      </w:r>
      <w:r>
        <w:rPr>
          <w:w w:val="110"/>
        </w:rPr>
        <w:t>sistema”, en </w:t>
      </w:r>
      <w:r>
        <w:rPr>
          <w:i/>
          <w:w w:val="110"/>
        </w:rPr>
        <w:t>Argenpress</w:t>
      </w:r>
      <w:r>
        <w:rPr>
          <w:w w:val="110"/>
        </w:rPr>
        <w:t>, conferencia en la universidad de Playa  ancha, </w:t>
      </w:r>
      <w:r>
        <w:rPr>
          <w:spacing w:val="34"/>
          <w:w w:val="110"/>
        </w:rPr>
        <w:t> </w:t>
      </w:r>
      <w:r>
        <w:rPr>
          <w:spacing w:val="2"/>
          <w:w w:val="110"/>
        </w:rPr>
        <w:t>Chile.</w:t>
      </w:r>
    </w:p>
    <w:p>
      <w:pPr>
        <w:pStyle w:val="BodyText"/>
        <w:spacing w:line="256" w:lineRule="auto" w:before="28"/>
        <w:ind w:left="497" w:hanging="397"/>
      </w:pPr>
      <w:r>
        <w:rPr>
          <w:w w:val="110"/>
        </w:rPr>
        <w:t>Nadal, alejandro 2011 “Evolución de la crisis”, en </w:t>
      </w:r>
      <w:r>
        <w:rPr>
          <w:i/>
          <w:w w:val="110"/>
        </w:rPr>
        <w:t>La Jornada</w:t>
      </w:r>
      <w:r>
        <w:rPr>
          <w:w w:val="110"/>
        </w:rPr>
        <w:t>, 12 de octubre.</w:t>
      </w:r>
    </w:p>
    <w:p>
      <w:pPr>
        <w:pStyle w:val="BodyText"/>
        <w:spacing w:line="256" w:lineRule="auto" w:before="28"/>
        <w:ind w:left="497" w:right="194" w:hanging="397"/>
      </w:pPr>
      <w:r>
        <w:rPr>
          <w:w w:val="110"/>
        </w:rPr>
        <w:t>Noyola rodríguez, ariel 2014 “beijing, el crepúsculo asiático post- bretton Woods”, en </w:t>
      </w:r>
      <w:r>
        <w:rPr>
          <w:i/>
          <w:w w:val="110"/>
        </w:rPr>
        <w:t>Red Voltaire</w:t>
      </w:r>
      <w:r>
        <w:rPr>
          <w:w w:val="110"/>
        </w:rPr>
        <w:t>, Ciudad de México, 1º de noviembre.</w:t>
      </w:r>
    </w:p>
    <w:p>
      <w:pPr>
        <w:pStyle w:val="BodyText"/>
        <w:spacing w:line="256" w:lineRule="auto" w:before="28"/>
        <w:ind w:left="497" w:right="765" w:hanging="397"/>
        <w:jc w:val="both"/>
      </w:pPr>
      <w:r>
        <w:rPr>
          <w:w w:val="110"/>
        </w:rPr>
        <w:t>Parfitt,</w:t>
      </w:r>
      <w:r>
        <w:rPr>
          <w:spacing w:val="12"/>
        </w:rPr>
        <w:t> </w:t>
      </w:r>
      <w:r>
        <w:rPr>
          <w:spacing w:val="-18"/>
          <w:w w:val="195"/>
        </w:rPr>
        <w:t>t</w:t>
      </w:r>
      <w:r>
        <w:rPr>
          <w:w w:val="112"/>
        </w:rPr>
        <w:t>om</w:t>
      </w:r>
      <w:r>
        <w:rPr>
          <w:spacing w:val="12"/>
        </w:rPr>
        <w:t> </w:t>
      </w:r>
      <w:r>
        <w:rPr>
          <w:w w:val="102"/>
        </w:rPr>
        <w:t>2014</w:t>
      </w:r>
      <w:r>
        <w:rPr>
          <w:spacing w:val="12"/>
        </w:rPr>
        <w:t> </w:t>
      </w:r>
      <w:r>
        <w:rPr>
          <w:w w:val="115"/>
        </w:rPr>
        <w:t>“</w:t>
      </w:r>
      <w:r>
        <w:rPr>
          <w:w w:val="243"/>
        </w:rPr>
        <w:t>l</w:t>
      </w:r>
      <w:r>
        <w:rPr>
          <w:w w:val="112"/>
        </w:rPr>
        <w:t>a</w:t>
      </w:r>
      <w:r>
        <w:rPr>
          <w:spacing w:val="12"/>
        </w:rPr>
        <w:t> </w:t>
      </w:r>
      <w:r>
        <w:rPr>
          <w:w w:val="107"/>
        </w:rPr>
        <w:t>perspectiva</w:t>
      </w:r>
      <w:r>
        <w:rPr>
          <w:spacing w:val="12"/>
        </w:rPr>
        <w:t> </w:t>
      </w:r>
      <w:r>
        <w:rPr>
          <w:w w:val="112"/>
        </w:rPr>
        <w:t>mundial</w:t>
      </w:r>
      <w:r>
        <w:rPr>
          <w:spacing w:val="12"/>
        </w:rPr>
        <w:t> </w:t>
      </w:r>
      <w:r>
        <w:rPr>
          <w:w w:val="107"/>
        </w:rPr>
        <w:t>de</w:t>
      </w:r>
      <w:r>
        <w:rPr>
          <w:spacing w:val="12"/>
        </w:rPr>
        <w:t> </w:t>
      </w:r>
      <w:r>
        <w:rPr>
          <w:w w:val="114"/>
        </w:rPr>
        <w:t>Putin.</w:t>
      </w:r>
      <w:r>
        <w:rPr>
          <w:spacing w:val="12"/>
        </w:rPr>
        <w:t> </w:t>
      </w:r>
      <w:r>
        <w:rPr>
          <w:w w:val="110"/>
        </w:rPr>
        <w:t>Entrevista</w:t>
      </w:r>
      <w:r>
        <w:rPr>
          <w:spacing w:val="12"/>
        </w:rPr>
        <w:t> </w:t>
      </w:r>
      <w:r>
        <w:rPr>
          <w:w w:val="112"/>
        </w:rPr>
        <w:t>a </w:t>
      </w:r>
      <w:r>
        <w:rPr>
          <w:w w:val="115"/>
        </w:rPr>
        <w:t>Glev</w:t>
      </w:r>
      <w:r>
        <w:rPr>
          <w:spacing w:val="-26"/>
          <w:w w:val="115"/>
        </w:rPr>
        <w:t> </w:t>
      </w:r>
      <w:r>
        <w:rPr>
          <w:w w:val="115"/>
        </w:rPr>
        <w:t>Pavlovsky”,</w:t>
      </w:r>
      <w:r>
        <w:rPr>
          <w:spacing w:val="-26"/>
          <w:w w:val="115"/>
        </w:rPr>
        <w:t> </w:t>
      </w:r>
      <w:r>
        <w:rPr>
          <w:w w:val="115"/>
        </w:rPr>
        <w:t>en</w:t>
      </w:r>
      <w:r>
        <w:rPr>
          <w:spacing w:val="-26"/>
          <w:w w:val="115"/>
        </w:rPr>
        <w:t> </w:t>
      </w:r>
      <w:r>
        <w:rPr>
          <w:i/>
          <w:w w:val="115"/>
        </w:rPr>
        <w:t>Bitácora</w:t>
      </w:r>
      <w:r>
        <w:rPr>
          <w:w w:val="115"/>
        </w:rPr>
        <w:t>,</w:t>
      </w:r>
      <w:r>
        <w:rPr>
          <w:spacing w:val="-26"/>
          <w:w w:val="115"/>
        </w:rPr>
        <w:t> </w:t>
      </w:r>
      <w:r>
        <w:rPr>
          <w:w w:val="115"/>
        </w:rPr>
        <w:t>enero,</w:t>
      </w:r>
      <w:r>
        <w:rPr>
          <w:spacing w:val="-26"/>
          <w:w w:val="115"/>
        </w:rPr>
        <w:t> </w:t>
      </w:r>
      <w:r>
        <w:rPr>
          <w:w w:val="115"/>
        </w:rPr>
        <w:t>Montevideo</w:t>
      </w:r>
      <w:r>
        <w:rPr>
          <w:spacing w:val="-26"/>
          <w:w w:val="115"/>
        </w:rPr>
        <w:t> </w:t>
      </w:r>
      <w:r>
        <w:rPr>
          <w:w w:val="115"/>
        </w:rPr>
        <w:t>(publicado originalmente</w:t>
      </w:r>
      <w:r>
        <w:rPr>
          <w:spacing w:val="-28"/>
          <w:w w:val="115"/>
        </w:rPr>
        <w:t> </w:t>
      </w:r>
      <w:r>
        <w:rPr>
          <w:w w:val="115"/>
        </w:rPr>
        <w:t>en</w:t>
      </w:r>
      <w:r>
        <w:rPr>
          <w:spacing w:val="-28"/>
          <w:w w:val="115"/>
        </w:rPr>
        <w:t> </w:t>
      </w:r>
      <w:r>
        <w:rPr>
          <w:i/>
          <w:w w:val="115"/>
        </w:rPr>
        <w:t>The</w:t>
      </w:r>
      <w:r>
        <w:rPr>
          <w:i/>
          <w:spacing w:val="-28"/>
          <w:w w:val="115"/>
        </w:rPr>
        <w:t> </w:t>
      </w:r>
      <w:r>
        <w:rPr>
          <w:i/>
          <w:w w:val="115"/>
        </w:rPr>
        <w:t>Guardian</w:t>
      </w:r>
      <w:r>
        <w:rPr>
          <w:w w:val="115"/>
        </w:rPr>
        <w:t>).</w:t>
      </w:r>
    </w:p>
    <w:p>
      <w:pPr>
        <w:pStyle w:val="BodyText"/>
        <w:spacing w:before="28"/>
        <w:ind w:left="100"/>
      </w:pPr>
      <w:r>
        <w:rPr>
          <w:w w:val="115"/>
        </w:rPr>
        <w:t>Perlez, Jane 2014 “u.s. opposing China’s answer to World bank”, en</w:t>
      </w:r>
    </w:p>
    <w:p>
      <w:pPr>
        <w:pStyle w:val="BodyText"/>
        <w:spacing w:before="15"/>
        <w:ind w:left="497"/>
      </w:pPr>
      <w:r>
        <w:rPr>
          <w:i/>
          <w:w w:val="110"/>
        </w:rPr>
        <w:t>T</w:t>
      </w:r>
      <w:r>
        <w:rPr>
          <w:w w:val="110"/>
        </w:rPr>
        <w:t>he New York  times,  10 de octubre.</w:t>
      </w:r>
    </w:p>
    <w:p>
      <w:pPr>
        <w:spacing w:line="256" w:lineRule="auto" w:before="43"/>
        <w:ind w:left="497" w:right="329" w:hanging="397"/>
        <w:jc w:val="both"/>
        <w:rPr>
          <w:sz w:val="19"/>
        </w:rPr>
      </w:pPr>
      <w:r>
        <w:rPr>
          <w:w w:val="110"/>
          <w:sz w:val="19"/>
        </w:rPr>
        <w:t>Pizzigati, sam 2012 </w:t>
      </w:r>
      <w:r>
        <w:rPr>
          <w:i/>
          <w:w w:val="110"/>
          <w:sz w:val="19"/>
        </w:rPr>
        <w:t>The Rich </w:t>
      </w:r>
      <w:r>
        <w:rPr>
          <w:i/>
          <w:spacing w:val="-3"/>
          <w:w w:val="110"/>
          <w:sz w:val="19"/>
        </w:rPr>
        <w:t>don’t </w:t>
      </w:r>
      <w:r>
        <w:rPr>
          <w:i/>
          <w:w w:val="110"/>
          <w:sz w:val="19"/>
        </w:rPr>
        <w:t>always </w:t>
      </w:r>
      <w:r>
        <w:rPr>
          <w:i/>
          <w:spacing w:val="-3"/>
          <w:w w:val="110"/>
          <w:sz w:val="19"/>
        </w:rPr>
        <w:t>Win: </w:t>
      </w:r>
      <w:r>
        <w:rPr>
          <w:i/>
          <w:w w:val="110"/>
          <w:sz w:val="19"/>
        </w:rPr>
        <w:t>The forgotten </w:t>
      </w:r>
      <w:r>
        <w:rPr>
          <w:i/>
          <w:spacing w:val="-4"/>
          <w:w w:val="110"/>
          <w:sz w:val="19"/>
        </w:rPr>
        <w:t>Triumph </w:t>
      </w:r>
      <w:r>
        <w:rPr>
          <w:i/>
          <w:w w:val="110"/>
          <w:sz w:val="19"/>
        </w:rPr>
        <w:t>over Plutocracy that created the American Middle Class,</w:t>
      </w:r>
      <w:r>
        <w:rPr>
          <w:i/>
          <w:spacing w:val="-10"/>
          <w:w w:val="110"/>
          <w:sz w:val="19"/>
        </w:rPr>
        <w:t> </w:t>
      </w:r>
      <w:r>
        <w:rPr>
          <w:i/>
          <w:w w:val="110"/>
          <w:sz w:val="19"/>
        </w:rPr>
        <w:t>1970-1990 </w:t>
      </w:r>
      <w:r>
        <w:rPr>
          <w:w w:val="110"/>
          <w:sz w:val="19"/>
        </w:rPr>
        <w:t>(Nueva </w:t>
      </w:r>
      <w:r>
        <w:rPr>
          <w:spacing w:val="-4"/>
          <w:w w:val="110"/>
          <w:sz w:val="19"/>
        </w:rPr>
        <w:t>York:  </w:t>
      </w:r>
      <w:r>
        <w:rPr>
          <w:w w:val="110"/>
          <w:sz w:val="19"/>
        </w:rPr>
        <w:t>seven stories</w:t>
      </w:r>
      <w:r>
        <w:rPr>
          <w:spacing w:val="30"/>
          <w:w w:val="110"/>
          <w:sz w:val="19"/>
        </w:rPr>
        <w:t> </w:t>
      </w:r>
      <w:r>
        <w:rPr>
          <w:w w:val="110"/>
          <w:sz w:val="19"/>
        </w:rPr>
        <w:t>Press).</w:t>
      </w:r>
    </w:p>
    <w:p>
      <w:pPr>
        <w:pStyle w:val="BodyText"/>
        <w:spacing w:line="256" w:lineRule="auto" w:before="28"/>
        <w:ind w:left="497" w:right="946" w:hanging="397"/>
      </w:pPr>
      <w:r>
        <w:rPr>
          <w:w w:val="115"/>
        </w:rPr>
        <w:t>Pollack, Norman 2014 </w:t>
      </w:r>
      <w:r>
        <w:rPr>
          <w:spacing w:val="-3"/>
          <w:w w:val="115"/>
        </w:rPr>
        <w:t>“tango </w:t>
      </w:r>
      <w:r>
        <w:rPr>
          <w:w w:val="115"/>
        </w:rPr>
        <w:t>para tres: </w:t>
      </w:r>
      <w:r>
        <w:rPr>
          <w:w w:val="150"/>
        </w:rPr>
        <w:t>li, </w:t>
      </w:r>
      <w:r>
        <w:rPr>
          <w:w w:val="115"/>
        </w:rPr>
        <w:t>Putin y obama. </w:t>
      </w:r>
      <w:r>
        <w:rPr>
          <w:w w:val="243"/>
        </w:rPr>
        <w:t>l</w:t>
      </w:r>
      <w:r>
        <w:rPr>
          <w:w w:val="112"/>
        </w:rPr>
        <w:t>a</w:t>
      </w:r>
      <w:r>
        <w:rPr>
          <w:spacing w:val="12"/>
        </w:rPr>
        <w:t> </w:t>
      </w:r>
      <w:r>
        <w:rPr>
          <w:w w:val="112"/>
        </w:rPr>
        <w:t>Cumbre</w:t>
      </w:r>
      <w:r>
        <w:rPr>
          <w:spacing w:val="12"/>
        </w:rPr>
        <w:t> </w:t>
      </w:r>
      <w:r>
        <w:rPr>
          <w:w w:val="107"/>
        </w:rPr>
        <w:t>de</w:t>
      </w:r>
      <w:r>
        <w:rPr>
          <w:spacing w:val="12"/>
        </w:rPr>
        <w:t> </w:t>
      </w:r>
      <w:r>
        <w:rPr>
          <w:w w:val="111"/>
        </w:rPr>
        <w:t>la</w:t>
      </w:r>
      <w:r>
        <w:rPr>
          <w:spacing w:val="12"/>
        </w:rPr>
        <w:t> </w:t>
      </w:r>
      <w:r>
        <w:rPr>
          <w:w w:val="139"/>
        </w:rPr>
        <w:t>a</w:t>
      </w:r>
      <w:r>
        <w:rPr>
          <w:w w:val="121"/>
        </w:rPr>
        <w:t>PEC</w:t>
      </w:r>
      <w:r>
        <w:rPr>
          <w:spacing w:val="12"/>
        </w:rPr>
        <w:t> </w:t>
      </w:r>
      <w:r>
        <w:rPr>
          <w:w w:val="108"/>
        </w:rPr>
        <w:t>en</w:t>
      </w:r>
      <w:r>
        <w:rPr>
          <w:spacing w:val="12"/>
        </w:rPr>
        <w:t> </w:t>
      </w:r>
      <w:r>
        <w:rPr>
          <w:w w:val="112"/>
        </w:rPr>
        <w:t>Pekín”,</w:t>
      </w:r>
      <w:r>
        <w:rPr>
          <w:spacing w:val="12"/>
        </w:rPr>
        <w:t> </w:t>
      </w:r>
      <w:r>
        <w:rPr>
          <w:w w:val="108"/>
        </w:rPr>
        <w:t>en</w:t>
      </w:r>
      <w:r>
        <w:rPr>
          <w:spacing w:val="12"/>
        </w:rPr>
        <w:t> </w:t>
      </w:r>
      <w:r>
        <w:rPr>
          <w:i/>
          <w:w w:val="113"/>
        </w:rPr>
        <w:t>CounterPunch</w:t>
      </w:r>
      <w:r>
        <w:rPr>
          <w:w w:val="138"/>
        </w:rPr>
        <w:t>,</w:t>
      </w:r>
      <w:r>
        <w:rPr>
          <w:spacing w:val="12"/>
        </w:rPr>
        <w:t> </w:t>
      </w:r>
      <w:r>
        <w:rPr>
          <w:w w:val="102"/>
        </w:rPr>
        <w:t>17</w:t>
      </w:r>
      <w:r>
        <w:rPr>
          <w:spacing w:val="12"/>
        </w:rPr>
        <w:t> </w:t>
      </w:r>
      <w:r>
        <w:rPr>
          <w:w w:val="107"/>
        </w:rPr>
        <w:t>de </w:t>
      </w:r>
      <w:r>
        <w:rPr>
          <w:w w:val="110"/>
        </w:rPr>
        <w:t>noviembre,</w:t>
      </w:r>
      <w:r>
        <w:rPr>
          <w:spacing w:val="12"/>
        </w:rPr>
        <w:t> </w:t>
      </w:r>
      <w:r>
        <w:rPr>
          <w:w w:val="108"/>
        </w:rPr>
        <w:t>en</w:t>
      </w:r>
      <w:r>
        <w:rPr>
          <w:spacing w:val="12"/>
        </w:rPr>
        <w:t> </w:t>
      </w:r>
      <w:hyperlink r:id="rId123">
        <w:r>
          <w:rPr>
            <w:w w:val="100"/>
          </w:rPr>
          <w:t>&lt;http://goo.gl/c0q</w:t>
        </w:r>
      </w:hyperlink>
      <w:r>
        <w:rPr>
          <w:w w:val="142"/>
        </w:rPr>
        <w:t>i</w:t>
      </w:r>
      <w:hyperlink r:id="rId123">
        <w:r>
          <w:rPr>
            <w:w w:val="102"/>
          </w:rPr>
          <w:t>9</w:t>
        </w:r>
        <w:r>
          <w:rPr>
            <w:w w:val="243"/>
          </w:rPr>
          <w:t>l</w:t>
        </w:r>
      </w:hyperlink>
      <w:r>
        <w:rPr>
          <w:w w:val="118"/>
        </w:rPr>
        <w:t>&gt;.</w:t>
      </w:r>
    </w:p>
    <w:p>
      <w:pPr>
        <w:spacing w:before="28"/>
        <w:ind w:left="100" w:right="0" w:firstLine="0"/>
        <w:jc w:val="left"/>
        <w:rPr>
          <w:i/>
          <w:sz w:val="19"/>
        </w:rPr>
      </w:pPr>
      <w:r>
        <w:rPr>
          <w:w w:val="110"/>
          <w:sz w:val="19"/>
        </w:rPr>
        <w:t>Pozzi, Pablo y Nigra, Favio (comps.) 2013 </w:t>
      </w:r>
      <w:r>
        <w:rPr>
          <w:i/>
          <w:w w:val="110"/>
          <w:sz w:val="19"/>
        </w:rPr>
        <w:t>Huellas   imperiales.</w:t>
      </w:r>
    </w:p>
    <w:p>
      <w:pPr>
        <w:spacing w:line="256" w:lineRule="auto" w:before="15"/>
        <w:ind w:left="497" w:right="810" w:firstLine="0"/>
        <w:jc w:val="left"/>
        <w:rPr>
          <w:sz w:val="19"/>
        </w:rPr>
      </w:pPr>
      <w:r>
        <w:rPr>
          <w:i/>
          <w:w w:val="115"/>
          <w:sz w:val="19"/>
        </w:rPr>
        <w:t>Historia</w:t>
      </w:r>
      <w:r>
        <w:rPr>
          <w:i/>
          <w:spacing w:val="-15"/>
          <w:w w:val="115"/>
          <w:sz w:val="19"/>
        </w:rPr>
        <w:t> </w:t>
      </w:r>
      <w:r>
        <w:rPr>
          <w:i/>
          <w:w w:val="115"/>
          <w:sz w:val="19"/>
        </w:rPr>
        <w:t>de</w:t>
      </w:r>
      <w:r>
        <w:rPr>
          <w:i/>
          <w:spacing w:val="-15"/>
          <w:w w:val="115"/>
          <w:sz w:val="19"/>
        </w:rPr>
        <w:t> </w:t>
      </w:r>
      <w:r>
        <w:rPr>
          <w:i/>
          <w:w w:val="115"/>
          <w:sz w:val="19"/>
        </w:rPr>
        <w:t>Estados</w:t>
      </w:r>
      <w:r>
        <w:rPr>
          <w:i/>
          <w:spacing w:val="-15"/>
          <w:w w:val="115"/>
          <w:sz w:val="19"/>
        </w:rPr>
        <w:t> </w:t>
      </w:r>
      <w:r>
        <w:rPr>
          <w:i/>
          <w:w w:val="115"/>
          <w:sz w:val="19"/>
        </w:rPr>
        <w:t>Unidos.</w:t>
      </w:r>
      <w:r>
        <w:rPr>
          <w:i/>
          <w:spacing w:val="-15"/>
          <w:w w:val="115"/>
          <w:sz w:val="19"/>
        </w:rPr>
        <w:t> </w:t>
      </w:r>
      <w:r>
        <w:rPr>
          <w:i/>
          <w:w w:val="115"/>
          <w:sz w:val="19"/>
        </w:rPr>
        <w:t>De</w:t>
      </w:r>
      <w:r>
        <w:rPr>
          <w:i/>
          <w:spacing w:val="-15"/>
          <w:w w:val="115"/>
          <w:sz w:val="19"/>
        </w:rPr>
        <w:t> </w:t>
      </w:r>
      <w:r>
        <w:rPr>
          <w:i/>
          <w:w w:val="115"/>
          <w:sz w:val="19"/>
        </w:rPr>
        <w:t>la</w:t>
      </w:r>
      <w:r>
        <w:rPr>
          <w:i/>
          <w:spacing w:val="-15"/>
          <w:w w:val="115"/>
          <w:sz w:val="19"/>
        </w:rPr>
        <w:t> </w:t>
      </w:r>
      <w:r>
        <w:rPr>
          <w:i/>
          <w:w w:val="115"/>
          <w:sz w:val="19"/>
        </w:rPr>
        <w:t>crisis</w:t>
      </w:r>
      <w:r>
        <w:rPr>
          <w:i/>
          <w:spacing w:val="-15"/>
          <w:w w:val="115"/>
          <w:sz w:val="19"/>
        </w:rPr>
        <w:t> </w:t>
      </w:r>
      <w:r>
        <w:rPr>
          <w:i/>
          <w:w w:val="115"/>
          <w:sz w:val="19"/>
        </w:rPr>
        <w:t>de</w:t>
      </w:r>
      <w:r>
        <w:rPr>
          <w:i/>
          <w:spacing w:val="-15"/>
          <w:w w:val="115"/>
          <w:sz w:val="19"/>
        </w:rPr>
        <w:t> </w:t>
      </w:r>
      <w:r>
        <w:rPr>
          <w:i/>
          <w:w w:val="115"/>
          <w:sz w:val="19"/>
        </w:rPr>
        <w:t>1929</w:t>
      </w:r>
      <w:r>
        <w:rPr>
          <w:i/>
          <w:spacing w:val="-15"/>
          <w:w w:val="115"/>
          <w:sz w:val="19"/>
        </w:rPr>
        <w:t> </w:t>
      </w:r>
      <w:r>
        <w:rPr>
          <w:i/>
          <w:w w:val="115"/>
          <w:sz w:val="19"/>
        </w:rPr>
        <w:t>al</w:t>
      </w:r>
      <w:r>
        <w:rPr>
          <w:i/>
          <w:spacing w:val="-15"/>
          <w:w w:val="115"/>
          <w:sz w:val="19"/>
        </w:rPr>
        <w:t> </w:t>
      </w:r>
      <w:r>
        <w:rPr>
          <w:i/>
          <w:w w:val="115"/>
          <w:sz w:val="19"/>
        </w:rPr>
        <w:t>presidente </w:t>
      </w:r>
      <w:r>
        <w:rPr>
          <w:i/>
          <w:w w:val="115"/>
          <w:sz w:val="19"/>
        </w:rPr>
        <w:t>negro</w:t>
      </w:r>
      <w:r>
        <w:rPr>
          <w:i/>
          <w:spacing w:val="-14"/>
          <w:w w:val="115"/>
          <w:sz w:val="19"/>
        </w:rPr>
        <w:t> </w:t>
      </w:r>
      <w:r>
        <w:rPr>
          <w:w w:val="115"/>
          <w:sz w:val="19"/>
        </w:rPr>
        <w:t>(buenos</w:t>
      </w:r>
      <w:r>
        <w:rPr>
          <w:spacing w:val="-14"/>
          <w:w w:val="115"/>
          <w:sz w:val="19"/>
        </w:rPr>
        <w:t> </w:t>
      </w:r>
      <w:r>
        <w:rPr>
          <w:w w:val="115"/>
          <w:sz w:val="19"/>
        </w:rPr>
        <w:t>aires:</w:t>
      </w:r>
      <w:r>
        <w:rPr>
          <w:spacing w:val="-14"/>
          <w:w w:val="115"/>
          <w:sz w:val="19"/>
        </w:rPr>
        <w:t> </w:t>
      </w:r>
      <w:r>
        <w:rPr>
          <w:w w:val="115"/>
          <w:sz w:val="19"/>
        </w:rPr>
        <w:t>imago</w:t>
      </w:r>
      <w:r>
        <w:rPr>
          <w:spacing w:val="-14"/>
          <w:w w:val="115"/>
          <w:sz w:val="19"/>
        </w:rPr>
        <w:t> </w:t>
      </w:r>
      <w:r>
        <w:rPr>
          <w:w w:val="115"/>
          <w:sz w:val="19"/>
        </w:rPr>
        <w:t>Mundi).</w:t>
      </w:r>
    </w:p>
    <w:p>
      <w:pPr>
        <w:spacing w:line="256" w:lineRule="auto" w:before="28"/>
        <w:ind w:left="497" w:right="352" w:hanging="397"/>
        <w:jc w:val="left"/>
        <w:rPr>
          <w:sz w:val="19"/>
        </w:rPr>
      </w:pPr>
      <w:r>
        <w:rPr>
          <w:w w:val="182"/>
          <w:sz w:val="19"/>
        </w:rPr>
        <w:t>r</w:t>
      </w:r>
      <w:r>
        <w:rPr>
          <w:w w:val="114"/>
          <w:sz w:val="19"/>
        </w:rPr>
        <w:t>ang,</w:t>
      </w:r>
      <w:r>
        <w:rPr>
          <w:sz w:val="19"/>
        </w:rPr>
        <w:t> </w:t>
      </w:r>
      <w:r>
        <w:rPr>
          <w:w w:val="112"/>
          <w:sz w:val="19"/>
        </w:rPr>
        <w:t>Carlos</w:t>
      </w:r>
      <w:r>
        <w:rPr>
          <w:sz w:val="19"/>
        </w:rPr>
        <w:t> </w:t>
      </w:r>
      <w:r>
        <w:rPr>
          <w:w w:val="139"/>
          <w:sz w:val="19"/>
        </w:rPr>
        <w:t>a</w:t>
      </w:r>
      <w:r>
        <w:rPr>
          <w:w w:val="138"/>
          <w:sz w:val="19"/>
        </w:rPr>
        <w:t>.</w:t>
      </w:r>
      <w:r>
        <w:rPr>
          <w:sz w:val="19"/>
        </w:rPr>
        <w:t> </w:t>
      </w:r>
      <w:r>
        <w:rPr>
          <w:w w:val="102"/>
          <w:sz w:val="19"/>
        </w:rPr>
        <w:t>2014</w:t>
      </w:r>
      <w:r>
        <w:rPr>
          <w:sz w:val="19"/>
        </w:rPr>
        <w:t> </w:t>
      </w:r>
      <w:r>
        <w:rPr>
          <w:w w:val="115"/>
          <w:sz w:val="19"/>
        </w:rPr>
        <w:t>“</w:t>
      </w:r>
      <w:r>
        <w:rPr>
          <w:w w:val="243"/>
          <w:sz w:val="19"/>
        </w:rPr>
        <w:t>l</w:t>
      </w:r>
      <w:r>
        <w:rPr>
          <w:w w:val="112"/>
          <w:sz w:val="19"/>
        </w:rPr>
        <w:t>a</w:t>
      </w:r>
      <w:r>
        <w:rPr>
          <w:sz w:val="19"/>
        </w:rPr>
        <w:t> </w:t>
      </w:r>
      <w:r>
        <w:rPr>
          <w:w w:val="110"/>
          <w:sz w:val="19"/>
        </w:rPr>
        <w:t>reconfiguración</w:t>
      </w:r>
      <w:r>
        <w:rPr>
          <w:sz w:val="19"/>
        </w:rPr>
        <w:t> </w:t>
      </w:r>
      <w:r>
        <w:rPr>
          <w:w w:val="107"/>
          <w:sz w:val="19"/>
        </w:rPr>
        <w:t>del</w:t>
      </w:r>
      <w:r>
        <w:rPr>
          <w:sz w:val="19"/>
        </w:rPr>
        <w:t> </w:t>
      </w:r>
      <w:r>
        <w:rPr>
          <w:w w:val="107"/>
          <w:sz w:val="19"/>
        </w:rPr>
        <w:t>poder</w:t>
      </w:r>
      <w:r>
        <w:rPr>
          <w:sz w:val="19"/>
        </w:rPr>
        <w:t> </w:t>
      </w:r>
      <w:r>
        <w:rPr>
          <w:w w:val="108"/>
          <w:sz w:val="19"/>
        </w:rPr>
        <w:t>en</w:t>
      </w:r>
      <w:r>
        <w:rPr>
          <w:sz w:val="19"/>
        </w:rPr>
        <w:t> </w:t>
      </w:r>
      <w:r>
        <w:rPr>
          <w:w w:val="111"/>
          <w:sz w:val="19"/>
        </w:rPr>
        <w:t>la</w:t>
      </w:r>
      <w:r>
        <w:rPr>
          <w:sz w:val="19"/>
        </w:rPr>
        <w:t> </w:t>
      </w:r>
      <w:r>
        <w:rPr>
          <w:w w:val="109"/>
          <w:sz w:val="19"/>
        </w:rPr>
        <w:t>fase</w:t>
      </w:r>
      <w:r>
        <w:rPr>
          <w:sz w:val="19"/>
        </w:rPr>
        <w:t> </w:t>
      </w:r>
      <w:r>
        <w:rPr>
          <w:w w:val="111"/>
          <w:sz w:val="19"/>
        </w:rPr>
        <w:t>global </w:t>
      </w:r>
      <w:r>
        <w:rPr>
          <w:w w:val="107"/>
          <w:sz w:val="19"/>
        </w:rPr>
        <w:t>del</w:t>
      </w:r>
      <w:r>
        <w:rPr>
          <w:sz w:val="19"/>
        </w:rPr>
        <w:t> </w:t>
      </w:r>
      <w:r>
        <w:rPr>
          <w:w w:val="112"/>
          <w:sz w:val="19"/>
        </w:rPr>
        <w:t>capitalismo”,</w:t>
      </w:r>
      <w:r>
        <w:rPr>
          <w:sz w:val="19"/>
        </w:rPr>
        <w:t> </w:t>
      </w:r>
      <w:r>
        <w:rPr>
          <w:w w:val="108"/>
          <w:sz w:val="19"/>
        </w:rPr>
        <w:t>en</w:t>
      </w:r>
      <w:r>
        <w:rPr>
          <w:sz w:val="19"/>
        </w:rPr>
        <w:t> </w:t>
      </w:r>
      <w:r>
        <w:rPr>
          <w:i/>
          <w:w w:val="111"/>
          <w:sz w:val="19"/>
        </w:rPr>
        <w:t>Revista</w:t>
      </w:r>
      <w:r>
        <w:rPr>
          <w:i/>
          <w:sz w:val="19"/>
        </w:rPr>
        <w:t> </w:t>
      </w:r>
      <w:r>
        <w:rPr>
          <w:i/>
          <w:w w:val="104"/>
          <w:sz w:val="19"/>
        </w:rPr>
        <w:t>de</w:t>
      </w:r>
      <w:r>
        <w:rPr>
          <w:i/>
          <w:sz w:val="19"/>
        </w:rPr>
        <w:t> </w:t>
      </w:r>
      <w:r>
        <w:rPr>
          <w:i/>
          <w:w w:val="115"/>
          <w:sz w:val="19"/>
        </w:rPr>
        <w:t>Estudios</w:t>
      </w:r>
      <w:r>
        <w:rPr>
          <w:i/>
          <w:sz w:val="19"/>
        </w:rPr>
        <w:t> </w:t>
      </w:r>
      <w:r>
        <w:rPr>
          <w:i/>
          <w:w w:val="108"/>
          <w:sz w:val="19"/>
        </w:rPr>
        <w:t>Estratégicos</w:t>
      </w:r>
      <w:r>
        <w:rPr>
          <w:w w:val="138"/>
          <w:sz w:val="19"/>
        </w:rPr>
        <w:t>,</w:t>
      </w:r>
      <w:r>
        <w:rPr>
          <w:sz w:val="19"/>
        </w:rPr>
        <w:t> </w:t>
      </w:r>
      <w:r>
        <w:rPr>
          <w:w w:val="243"/>
          <w:sz w:val="19"/>
        </w:rPr>
        <w:t>l</w:t>
      </w:r>
      <w:r>
        <w:rPr>
          <w:w w:val="112"/>
          <w:sz w:val="19"/>
        </w:rPr>
        <w:t>a</w:t>
      </w:r>
      <w:r>
        <w:rPr>
          <w:sz w:val="19"/>
        </w:rPr>
        <w:t> </w:t>
      </w:r>
      <w:r>
        <w:rPr>
          <w:w w:val="115"/>
          <w:sz w:val="19"/>
        </w:rPr>
        <w:t>Habana, </w:t>
      </w:r>
      <w:r>
        <w:rPr>
          <w:w w:val="115"/>
          <w:sz w:val="19"/>
        </w:rPr>
        <w:t>CiPi, 1º semestre.</w:t>
      </w:r>
    </w:p>
    <w:p>
      <w:pPr>
        <w:spacing w:after="0" w:line="256" w:lineRule="auto"/>
        <w:jc w:val="left"/>
        <w:rPr>
          <w:sz w:val="19"/>
        </w:rPr>
        <w:sectPr>
          <w:pgSz w:w="8790" w:h="12760"/>
          <w:pgMar w:header="697" w:footer="723" w:top="880" w:bottom="920" w:left="920" w:right="1200"/>
        </w:sectPr>
      </w:pPr>
    </w:p>
    <w:p>
      <w:pPr>
        <w:pStyle w:val="BodyText"/>
        <w:spacing w:before="7"/>
        <w:rPr>
          <w:sz w:val="28"/>
        </w:rPr>
      </w:pPr>
    </w:p>
    <w:p>
      <w:pPr>
        <w:pStyle w:val="BodyText"/>
        <w:spacing w:line="252" w:lineRule="auto" w:before="73"/>
        <w:ind w:left="727" w:right="194" w:hanging="397"/>
      </w:pPr>
      <w:r>
        <w:rPr>
          <w:w w:val="115"/>
        </w:rPr>
        <w:t>reed, Jason 2014 “China está desplazando a EE.uu. en américa </w:t>
      </w:r>
      <w:r>
        <w:rPr>
          <w:w w:val="243"/>
        </w:rPr>
        <w:t>l</w:t>
      </w:r>
      <w:r>
        <w:rPr>
          <w:w w:val="111"/>
        </w:rPr>
        <w:t>atina</w:t>
      </w:r>
      <w:r>
        <w:rPr/>
        <w:t> </w:t>
      </w:r>
      <w:r>
        <w:rPr>
          <w:w w:val="108"/>
        </w:rPr>
        <w:t>en</w:t>
      </w:r>
      <w:r>
        <w:rPr/>
        <w:t> </w:t>
      </w:r>
      <w:r>
        <w:rPr>
          <w:w w:val="107"/>
        </w:rPr>
        <w:t>el</w:t>
      </w:r>
      <w:r>
        <w:rPr/>
        <w:t> </w:t>
      </w:r>
      <w:r>
        <w:rPr>
          <w:w w:val="111"/>
        </w:rPr>
        <w:t>marco</w:t>
      </w:r>
      <w:r>
        <w:rPr/>
        <w:t> </w:t>
      </w:r>
      <w:r>
        <w:rPr>
          <w:w w:val="107"/>
        </w:rPr>
        <w:t>del</w:t>
      </w:r>
      <w:r>
        <w:rPr/>
        <w:t> </w:t>
      </w:r>
      <w:r>
        <w:rPr>
          <w:w w:val="112"/>
        </w:rPr>
        <w:t>comercio”,</w:t>
      </w:r>
      <w:r>
        <w:rPr/>
        <w:t> </w:t>
      </w:r>
      <w:r>
        <w:rPr>
          <w:w w:val="108"/>
        </w:rPr>
        <w:t>en</w:t>
      </w:r>
      <w:r>
        <w:rPr/>
        <w:t> </w:t>
      </w:r>
      <w:r>
        <w:rPr>
          <w:i/>
          <w:w w:val="109"/>
        </w:rPr>
        <w:t>Reuters</w:t>
      </w:r>
      <w:r>
        <w:rPr>
          <w:w w:val="138"/>
        </w:rPr>
        <w:t>,</w:t>
      </w:r>
      <w:r>
        <w:rPr/>
        <w:t> </w:t>
      </w:r>
      <w:r>
        <w:rPr>
          <w:w w:val="102"/>
        </w:rPr>
        <w:t>5</w:t>
      </w:r>
      <w:r>
        <w:rPr/>
        <w:t> </w:t>
      </w:r>
      <w:r>
        <w:rPr>
          <w:w w:val="107"/>
        </w:rPr>
        <w:t>de</w:t>
      </w:r>
      <w:r>
        <w:rPr/>
        <w:t> </w:t>
      </w:r>
      <w:r>
        <w:rPr>
          <w:w w:val="111"/>
        </w:rPr>
        <w:t>marzo </w:t>
      </w:r>
      <w:r>
        <w:rPr>
          <w:w w:val="115"/>
        </w:rPr>
        <w:t>(citando a xinhua).</w:t>
      </w:r>
    </w:p>
    <w:p>
      <w:pPr>
        <w:spacing w:line="252" w:lineRule="auto" w:before="28"/>
        <w:ind w:left="727" w:right="0" w:hanging="397"/>
        <w:jc w:val="left"/>
        <w:rPr>
          <w:sz w:val="19"/>
        </w:rPr>
      </w:pPr>
      <w:r>
        <w:rPr>
          <w:w w:val="115"/>
          <w:sz w:val="19"/>
        </w:rPr>
        <w:t>rodríguez G., sergio 2014 “reestructuración del sistema </w:t>
      </w:r>
      <w:r>
        <w:rPr>
          <w:w w:val="112"/>
          <w:sz w:val="19"/>
        </w:rPr>
        <w:t>internacional”,</w:t>
      </w:r>
      <w:r>
        <w:rPr>
          <w:sz w:val="19"/>
        </w:rPr>
        <w:t> </w:t>
      </w:r>
      <w:r>
        <w:rPr>
          <w:w w:val="108"/>
          <w:sz w:val="19"/>
        </w:rPr>
        <w:t>en</w:t>
      </w:r>
      <w:r>
        <w:rPr>
          <w:sz w:val="19"/>
        </w:rPr>
        <w:t> </w:t>
      </w:r>
      <w:r>
        <w:rPr>
          <w:i/>
          <w:w w:val="111"/>
          <w:sz w:val="19"/>
        </w:rPr>
        <w:t>Revista</w:t>
      </w:r>
      <w:r>
        <w:rPr>
          <w:i/>
          <w:sz w:val="19"/>
        </w:rPr>
        <w:t> </w:t>
      </w:r>
      <w:r>
        <w:rPr>
          <w:i/>
          <w:w w:val="104"/>
          <w:sz w:val="19"/>
        </w:rPr>
        <w:t>de</w:t>
      </w:r>
      <w:r>
        <w:rPr>
          <w:i/>
          <w:sz w:val="19"/>
        </w:rPr>
        <w:t> </w:t>
      </w:r>
      <w:r>
        <w:rPr>
          <w:i/>
          <w:w w:val="115"/>
          <w:sz w:val="19"/>
        </w:rPr>
        <w:t>Estudios</w:t>
      </w:r>
      <w:r>
        <w:rPr>
          <w:i/>
          <w:sz w:val="19"/>
        </w:rPr>
        <w:t> </w:t>
      </w:r>
      <w:r>
        <w:rPr>
          <w:i/>
          <w:w w:val="108"/>
          <w:sz w:val="19"/>
        </w:rPr>
        <w:t>Estratégicos</w:t>
      </w:r>
      <w:r>
        <w:rPr>
          <w:w w:val="138"/>
          <w:sz w:val="19"/>
        </w:rPr>
        <w:t>,</w:t>
      </w:r>
      <w:r>
        <w:rPr>
          <w:sz w:val="19"/>
        </w:rPr>
        <w:t> </w:t>
      </w:r>
      <w:r>
        <w:rPr>
          <w:w w:val="243"/>
          <w:sz w:val="19"/>
        </w:rPr>
        <w:t>l</w:t>
      </w:r>
      <w:r>
        <w:rPr>
          <w:w w:val="112"/>
          <w:sz w:val="19"/>
        </w:rPr>
        <w:t>a</w:t>
      </w:r>
      <w:r>
        <w:rPr>
          <w:sz w:val="19"/>
        </w:rPr>
        <w:t> </w:t>
      </w:r>
      <w:r>
        <w:rPr>
          <w:w w:val="115"/>
          <w:sz w:val="19"/>
        </w:rPr>
        <w:t>Habana, </w:t>
      </w:r>
      <w:r>
        <w:rPr>
          <w:w w:val="115"/>
          <w:sz w:val="19"/>
        </w:rPr>
        <w:t>CiPi, 1º semestre.</w:t>
      </w:r>
    </w:p>
    <w:p>
      <w:pPr>
        <w:pStyle w:val="BodyText"/>
        <w:spacing w:line="252" w:lineRule="auto" w:before="28"/>
        <w:ind w:left="727" w:right="268" w:hanging="397"/>
      </w:pPr>
      <w:r>
        <w:rPr>
          <w:w w:val="182"/>
        </w:rPr>
        <w:t>r</w:t>
      </w:r>
      <w:r>
        <w:rPr>
          <w:w w:val="111"/>
        </w:rPr>
        <w:t>odríguez,</w:t>
      </w:r>
      <w:r>
        <w:rPr>
          <w:spacing w:val="12"/>
        </w:rPr>
        <w:t> </w:t>
      </w:r>
      <w:r>
        <w:rPr>
          <w:w w:val="243"/>
        </w:rPr>
        <w:t>l</w:t>
      </w:r>
      <w:r>
        <w:rPr>
          <w:w w:val="106"/>
        </w:rPr>
        <w:t>eyde</w:t>
      </w:r>
      <w:r>
        <w:rPr>
          <w:spacing w:val="12"/>
        </w:rPr>
        <w:t> </w:t>
      </w:r>
      <w:r>
        <w:rPr>
          <w:w w:val="130"/>
        </w:rPr>
        <w:t>E.</w:t>
      </w:r>
      <w:r>
        <w:rPr>
          <w:spacing w:val="12"/>
        </w:rPr>
        <w:t> </w:t>
      </w:r>
      <w:r>
        <w:rPr>
          <w:w w:val="102"/>
        </w:rPr>
        <w:t>2014</w:t>
      </w:r>
      <w:r>
        <w:rPr>
          <w:spacing w:val="12"/>
        </w:rPr>
        <w:t> </w:t>
      </w:r>
      <w:r>
        <w:rPr>
          <w:w w:val="115"/>
        </w:rPr>
        <w:t>“</w:t>
      </w:r>
      <w:r>
        <w:rPr>
          <w:w w:val="139"/>
        </w:rPr>
        <w:t>d</w:t>
      </w:r>
      <w:r>
        <w:rPr>
          <w:w w:val="104"/>
        </w:rPr>
        <w:t>e</w:t>
      </w:r>
      <w:r>
        <w:rPr>
          <w:spacing w:val="12"/>
        </w:rPr>
        <w:t> </w:t>
      </w:r>
      <w:r>
        <w:rPr>
          <w:w w:val="111"/>
        </w:rPr>
        <w:t>la</w:t>
      </w:r>
      <w:r>
        <w:rPr>
          <w:spacing w:val="12"/>
        </w:rPr>
        <w:t> </w:t>
      </w:r>
      <w:r>
        <w:rPr>
          <w:w w:val="110"/>
        </w:rPr>
        <w:t>unipolaridad</w:t>
      </w:r>
      <w:r>
        <w:rPr>
          <w:spacing w:val="12"/>
        </w:rPr>
        <w:t> </w:t>
      </w:r>
      <w:r>
        <w:rPr>
          <w:w w:val="112"/>
        </w:rPr>
        <w:t>a</w:t>
      </w:r>
      <w:r>
        <w:rPr>
          <w:spacing w:val="12"/>
        </w:rPr>
        <w:t> </w:t>
      </w:r>
      <w:r>
        <w:rPr>
          <w:w w:val="111"/>
        </w:rPr>
        <w:t>la</w:t>
      </w:r>
      <w:r>
        <w:rPr>
          <w:spacing w:val="12"/>
        </w:rPr>
        <w:t> </w:t>
      </w:r>
      <w:r>
        <w:rPr>
          <w:w w:val="110"/>
        </w:rPr>
        <w:t>multipolaridad </w:t>
      </w:r>
      <w:r>
        <w:rPr>
          <w:w w:val="115"/>
        </w:rPr>
        <w:t>del</w:t>
      </w:r>
      <w:r>
        <w:rPr>
          <w:spacing w:val="-16"/>
          <w:w w:val="115"/>
        </w:rPr>
        <w:t> </w:t>
      </w:r>
      <w:r>
        <w:rPr>
          <w:w w:val="115"/>
        </w:rPr>
        <w:t>sistema</w:t>
      </w:r>
      <w:r>
        <w:rPr>
          <w:spacing w:val="-16"/>
          <w:w w:val="115"/>
        </w:rPr>
        <w:t> </w:t>
      </w:r>
      <w:r>
        <w:rPr>
          <w:w w:val="115"/>
        </w:rPr>
        <w:t>internacional</w:t>
      </w:r>
      <w:r>
        <w:rPr>
          <w:spacing w:val="-16"/>
          <w:w w:val="115"/>
        </w:rPr>
        <w:t> </w:t>
      </w:r>
      <w:r>
        <w:rPr>
          <w:w w:val="115"/>
        </w:rPr>
        <w:t>del</w:t>
      </w:r>
      <w:r>
        <w:rPr>
          <w:spacing w:val="-16"/>
          <w:w w:val="115"/>
        </w:rPr>
        <w:t> </w:t>
      </w:r>
      <w:r>
        <w:rPr>
          <w:w w:val="115"/>
        </w:rPr>
        <w:t>siglo</w:t>
      </w:r>
      <w:r>
        <w:rPr>
          <w:spacing w:val="-16"/>
          <w:w w:val="115"/>
        </w:rPr>
        <w:t> </w:t>
      </w:r>
      <w:r>
        <w:rPr>
          <w:w w:val="150"/>
        </w:rPr>
        <w:t>xxi”,</w:t>
      </w:r>
      <w:r>
        <w:rPr>
          <w:spacing w:val="-31"/>
          <w:w w:val="150"/>
        </w:rPr>
        <w:t> </w:t>
      </w:r>
      <w:r>
        <w:rPr>
          <w:w w:val="115"/>
        </w:rPr>
        <w:t>en</w:t>
      </w:r>
      <w:r>
        <w:rPr>
          <w:spacing w:val="-16"/>
          <w:w w:val="115"/>
        </w:rPr>
        <w:t> </w:t>
      </w:r>
      <w:r>
        <w:rPr>
          <w:i/>
          <w:w w:val="115"/>
        </w:rPr>
        <w:t>Revista</w:t>
      </w:r>
      <w:r>
        <w:rPr>
          <w:i/>
          <w:spacing w:val="-16"/>
          <w:w w:val="115"/>
        </w:rPr>
        <w:t> </w:t>
      </w:r>
      <w:r>
        <w:rPr>
          <w:i/>
          <w:w w:val="115"/>
        </w:rPr>
        <w:t>de</w:t>
      </w:r>
      <w:r>
        <w:rPr>
          <w:i/>
          <w:spacing w:val="-16"/>
          <w:w w:val="115"/>
        </w:rPr>
        <w:t> </w:t>
      </w:r>
      <w:r>
        <w:rPr>
          <w:i/>
          <w:w w:val="115"/>
        </w:rPr>
        <w:t>Estudios </w:t>
      </w:r>
      <w:r>
        <w:rPr>
          <w:i/>
          <w:w w:val="108"/>
        </w:rPr>
        <w:t>Estratégicos</w:t>
      </w:r>
      <w:r>
        <w:rPr>
          <w:w w:val="138"/>
        </w:rPr>
        <w:t>,</w:t>
      </w:r>
      <w:r>
        <w:rPr>
          <w:spacing w:val="12"/>
        </w:rPr>
        <w:t> </w:t>
      </w:r>
      <w:r>
        <w:rPr>
          <w:w w:val="243"/>
        </w:rPr>
        <w:t>l</w:t>
      </w:r>
      <w:r>
        <w:rPr>
          <w:w w:val="112"/>
        </w:rPr>
        <w:t>a</w:t>
      </w:r>
      <w:r>
        <w:rPr>
          <w:spacing w:val="12"/>
        </w:rPr>
        <w:t> </w:t>
      </w:r>
      <w:r>
        <w:rPr>
          <w:w w:val="115"/>
        </w:rPr>
        <w:t>Habana,</w:t>
      </w:r>
      <w:r>
        <w:rPr>
          <w:spacing w:val="12"/>
        </w:rPr>
        <w:t> </w:t>
      </w:r>
      <w:r>
        <w:rPr>
          <w:w w:val="124"/>
        </w:rPr>
        <w:t>C</w:t>
      </w:r>
      <w:r>
        <w:rPr>
          <w:w w:val="142"/>
        </w:rPr>
        <w:t>i</w:t>
      </w:r>
      <w:r>
        <w:rPr>
          <w:w w:val="113"/>
        </w:rPr>
        <w:t>P</w:t>
      </w:r>
      <w:r>
        <w:rPr>
          <w:w w:val="142"/>
        </w:rPr>
        <w:t>i</w:t>
      </w:r>
      <w:r>
        <w:rPr>
          <w:w w:val="138"/>
        </w:rPr>
        <w:t>,</w:t>
      </w:r>
      <w:r>
        <w:rPr>
          <w:spacing w:val="12"/>
        </w:rPr>
        <w:t> </w:t>
      </w:r>
      <w:r>
        <w:rPr>
          <w:w w:val="93"/>
        </w:rPr>
        <w:t>1º</w:t>
      </w:r>
      <w:r>
        <w:rPr>
          <w:spacing w:val="12"/>
        </w:rPr>
        <w:t> </w:t>
      </w:r>
      <w:r>
        <w:rPr>
          <w:w w:val="108"/>
        </w:rPr>
        <w:t>semestre.</w:t>
      </w:r>
    </w:p>
    <w:p>
      <w:pPr>
        <w:spacing w:line="252" w:lineRule="auto" w:before="28"/>
        <w:ind w:left="727" w:right="437" w:hanging="397"/>
        <w:jc w:val="left"/>
        <w:rPr>
          <w:sz w:val="19"/>
        </w:rPr>
      </w:pPr>
      <w:r>
        <w:rPr>
          <w:w w:val="110"/>
          <w:sz w:val="19"/>
        </w:rPr>
        <w:t>rosales, osvaldo y Mikio Kuwayama 2012 “China y américa </w:t>
      </w:r>
      <w:r>
        <w:rPr>
          <w:w w:val="243"/>
          <w:sz w:val="19"/>
        </w:rPr>
        <w:t>l</w:t>
      </w:r>
      <w:r>
        <w:rPr>
          <w:w w:val="111"/>
          <w:sz w:val="19"/>
        </w:rPr>
        <w:t>atina</w:t>
      </w:r>
      <w:r>
        <w:rPr>
          <w:sz w:val="19"/>
        </w:rPr>
        <w:t> </w:t>
      </w:r>
      <w:r>
        <w:rPr>
          <w:w w:val="105"/>
          <w:sz w:val="19"/>
        </w:rPr>
        <w:t>y</w:t>
      </w:r>
      <w:r>
        <w:rPr>
          <w:sz w:val="19"/>
        </w:rPr>
        <w:t> </w:t>
      </w:r>
      <w:r>
        <w:rPr>
          <w:w w:val="107"/>
          <w:sz w:val="19"/>
        </w:rPr>
        <w:t>el</w:t>
      </w:r>
      <w:r>
        <w:rPr>
          <w:sz w:val="19"/>
        </w:rPr>
        <w:t> </w:t>
      </w:r>
      <w:r>
        <w:rPr>
          <w:w w:val="114"/>
          <w:sz w:val="19"/>
        </w:rPr>
        <w:t>Caribe,</w:t>
      </w:r>
      <w:r>
        <w:rPr>
          <w:sz w:val="19"/>
        </w:rPr>
        <w:t> </w:t>
      </w:r>
      <w:r>
        <w:rPr>
          <w:w w:val="113"/>
          <w:sz w:val="19"/>
        </w:rPr>
        <w:t>hacia</w:t>
      </w:r>
      <w:r>
        <w:rPr>
          <w:sz w:val="19"/>
        </w:rPr>
        <w:t> </w:t>
      </w:r>
      <w:r>
        <w:rPr>
          <w:w w:val="112"/>
          <w:sz w:val="19"/>
        </w:rPr>
        <w:t>una</w:t>
      </w:r>
      <w:r>
        <w:rPr>
          <w:sz w:val="19"/>
        </w:rPr>
        <w:t> </w:t>
      </w:r>
      <w:r>
        <w:rPr>
          <w:w w:val="110"/>
          <w:sz w:val="19"/>
        </w:rPr>
        <w:t>relación</w:t>
      </w:r>
      <w:r>
        <w:rPr>
          <w:sz w:val="19"/>
        </w:rPr>
        <w:t> </w:t>
      </w:r>
      <w:r>
        <w:rPr>
          <w:w w:val="112"/>
          <w:sz w:val="19"/>
        </w:rPr>
        <w:t>económica</w:t>
      </w:r>
      <w:r>
        <w:rPr>
          <w:sz w:val="19"/>
        </w:rPr>
        <w:t> </w:t>
      </w:r>
      <w:r>
        <w:rPr>
          <w:w w:val="105"/>
          <w:sz w:val="19"/>
        </w:rPr>
        <w:t>y</w:t>
      </w:r>
      <w:r>
        <w:rPr>
          <w:sz w:val="19"/>
        </w:rPr>
        <w:t> </w:t>
      </w:r>
      <w:r>
        <w:rPr>
          <w:w w:val="111"/>
          <w:sz w:val="19"/>
        </w:rPr>
        <w:t>comercial </w:t>
      </w:r>
      <w:r>
        <w:rPr>
          <w:w w:val="110"/>
          <w:sz w:val="19"/>
        </w:rPr>
        <w:t>estratégica”, en </w:t>
      </w:r>
      <w:r>
        <w:rPr>
          <w:i/>
          <w:w w:val="110"/>
          <w:sz w:val="19"/>
        </w:rPr>
        <w:t>Temas de Asia oriental, Sociedad. Cultura y </w:t>
      </w:r>
      <w:r>
        <w:rPr>
          <w:i/>
          <w:w w:val="110"/>
          <w:sz w:val="19"/>
        </w:rPr>
        <w:t>Economía   </w:t>
      </w:r>
      <w:r>
        <w:rPr>
          <w:w w:val="110"/>
          <w:sz w:val="19"/>
        </w:rPr>
        <w:t>(CEPal),   marzo.</w:t>
      </w:r>
    </w:p>
    <w:p>
      <w:pPr>
        <w:pStyle w:val="BodyText"/>
        <w:spacing w:line="252" w:lineRule="auto" w:before="28"/>
        <w:ind w:left="727" w:right="298" w:hanging="397"/>
      </w:pPr>
      <w:r>
        <w:rPr>
          <w:spacing w:val="-7"/>
          <w:w w:val="120"/>
        </w:rPr>
        <w:t>today,</w:t>
      </w:r>
      <w:r>
        <w:rPr>
          <w:spacing w:val="-32"/>
          <w:w w:val="120"/>
        </w:rPr>
        <w:t> </w:t>
      </w:r>
      <w:r>
        <w:rPr>
          <w:w w:val="120"/>
        </w:rPr>
        <w:t>russia</w:t>
      </w:r>
      <w:r>
        <w:rPr>
          <w:spacing w:val="-32"/>
          <w:w w:val="120"/>
        </w:rPr>
        <w:t> </w:t>
      </w:r>
      <w:r>
        <w:rPr>
          <w:spacing w:val="-3"/>
          <w:w w:val="120"/>
        </w:rPr>
        <w:t>(rt)</w:t>
      </w:r>
      <w:r>
        <w:rPr>
          <w:spacing w:val="-32"/>
          <w:w w:val="120"/>
        </w:rPr>
        <w:t> </w:t>
      </w:r>
      <w:r>
        <w:rPr>
          <w:w w:val="120"/>
        </w:rPr>
        <w:t>2014</w:t>
      </w:r>
      <w:r>
        <w:rPr>
          <w:spacing w:val="-32"/>
          <w:w w:val="120"/>
        </w:rPr>
        <w:t> </w:t>
      </w:r>
      <w:r>
        <w:rPr>
          <w:w w:val="120"/>
        </w:rPr>
        <w:t>“Frankfurt</w:t>
      </w:r>
      <w:r>
        <w:rPr>
          <w:spacing w:val="-32"/>
          <w:w w:val="120"/>
        </w:rPr>
        <w:t> </w:t>
      </w:r>
      <w:r>
        <w:rPr>
          <w:w w:val="120"/>
        </w:rPr>
        <w:t>comienza</w:t>
      </w:r>
      <w:r>
        <w:rPr>
          <w:spacing w:val="-32"/>
          <w:w w:val="120"/>
        </w:rPr>
        <w:t> </w:t>
      </w:r>
      <w:r>
        <w:rPr>
          <w:w w:val="120"/>
        </w:rPr>
        <w:t>la</w:t>
      </w:r>
      <w:r>
        <w:rPr>
          <w:spacing w:val="-32"/>
          <w:w w:val="120"/>
        </w:rPr>
        <w:t> </w:t>
      </w:r>
      <w:r>
        <w:rPr>
          <w:w w:val="120"/>
        </w:rPr>
        <w:t>conversión</w:t>
      </w:r>
      <w:r>
        <w:rPr>
          <w:spacing w:val="-32"/>
          <w:w w:val="120"/>
        </w:rPr>
        <w:t> </w:t>
      </w:r>
      <w:r>
        <w:rPr>
          <w:w w:val="120"/>
        </w:rPr>
        <w:t>directa </w:t>
      </w:r>
      <w:r>
        <w:rPr>
          <w:w w:val="115"/>
        </w:rPr>
        <w:t>de</w:t>
      </w:r>
      <w:r>
        <w:rPr>
          <w:spacing w:val="-27"/>
          <w:w w:val="115"/>
        </w:rPr>
        <w:t> </w:t>
      </w:r>
      <w:r>
        <w:rPr>
          <w:w w:val="115"/>
        </w:rPr>
        <w:t>yuanes</w:t>
      </w:r>
      <w:r>
        <w:rPr>
          <w:spacing w:val="-27"/>
          <w:w w:val="115"/>
        </w:rPr>
        <w:t> </w:t>
      </w:r>
      <w:r>
        <w:rPr>
          <w:w w:val="115"/>
        </w:rPr>
        <w:t>en</w:t>
      </w:r>
      <w:r>
        <w:rPr>
          <w:spacing w:val="-27"/>
          <w:w w:val="115"/>
        </w:rPr>
        <w:t> </w:t>
      </w:r>
      <w:r>
        <w:rPr>
          <w:w w:val="115"/>
        </w:rPr>
        <w:t>euros”,</w:t>
      </w:r>
      <w:r>
        <w:rPr>
          <w:spacing w:val="-27"/>
          <w:w w:val="115"/>
        </w:rPr>
        <w:t> </w:t>
      </w:r>
      <w:r>
        <w:rPr>
          <w:w w:val="115"/>
        </w:rPr>
        <w:t>en</w:t>
      </w:r>
      <w:r>
        <w:rPr>
          <w:spacing w:val="-27"/>
          <w:w w:val="115"/>
        </w:rPr>
        <w:t> </w:t>
      </w:r>
      <w:r>
        <w:rPr>
          <w:i/>
          <w:w w:val="115"/>
        </w:rPr>
        <w:t>Argenpress</w:t>
      </w:r>
      <w:r>
        <w:rPr>
          <w:w w:val="115"/>
        </w:rPr>
        <w:t>,</w:t>
      </w:r>
      <w:r>
        <w:rPr>
          <w:spacing w:val="-27"/>
          <w:w w:val="115"/>
        </w:rPr>
        <w:t> </w:t>
      </w:r>
      <w:r>
        <w:rPr>
          <w:w w:val="115"/>
        </w:rPr>
        <w:t>18</w:t>
      </w:r>
      <w:r>
        <w:rPr>
          <w:spacing w:val="-27"/>
          <w:w w:val="115"/>
        </w:rPr>
        <w:t> </w:t>
      </w:r>
      <w:r>
        <w:rPr>
          <w:w w:val="115"/>
        </w:rPr>
        <w:t>de</w:t>
      </w:r>
      <w:r>
        <w:rPr>
          <w:spacing w:val="-27"/>
          <w:w w:val="115"/>
        </w:rPr>
        <w:t> </w:t>
      </w:r>
      <w:r>
        <w:rPr>
          <w:w w:val="115"/>
        </w:rPr>
        <w:t>noviembre.</w:t>
      </w:r>
    </w:p>
    <w:p>
      <w:pPr>
        <w:pStyle w:val="BodyText"/>
        <w:spacing w:line="252" w:lineRule="auto" w:before="28"/>
        <w:ind w:left="727" w:hanging="397"/>
      </w:pPr>
      <w:r>
        <w:rPr>
          <w:w w:val="110"/>
        </w:rPr>
        <w:t>sapir, Jacques 2014 “China, russia: the big shift”, en </w:t>
      </w:r>
      <w:r>
        <w:rPr>
          <w:b/>
          <w:w w:val="110"/>
        </w:rPr>
        <w:t>&lt;</w:t>
      </w:r>
      <w:hyperlink r:id="rId108">
        <w:r>
          <w:rPr>
            <w:w w:val="110"/>
          </w:rPr>
          <w:t>http://goo.gl/</w:t>
        </w:r>
      </w:hyperlink>
      <w:r>
        <w:rPr>
          <w:w w:val="110"/>
        </w:rPr>
        <w:t> HGsgrx&gt;.</w:t>
      </w:r>
    </w:p>
    <w:p>
      <w:pPr>
        <w:pStyle w:val="BodyText"/>
        <w:spacing w:line="252" w:lineRule="auto" w:before="28"/>
        <w:ind w:left="727" w:right="437" w:hanging="397"/>
      </w:pPr>
      <w:r>
        <w:rPr>
          <w:spacing w:val="-4"/>
          <w:w w:val="115"/>
        </w:rPr>
        <w:t>sivkov,</w:t>
      </w:r>
      <w:r>
        <w:rPr>
          <w:spacing w:val="-20"/>
          <w:w w:val="115"/>
        </w:rPr>
        <w:t> </w:t>
      </w:r>
      <w:r>
        <w:rPr>
          <w:w w:val="115"/>
        </w:rPr>
        <w:t>Konstantín</w:t>
      </w:r>
      <w:r>
        <w:rPr>
          <w:spacing w:val="-20"/>
          <w:w w:val="115"/>
        </w:rPr>
        <w:t> </w:t>
      </w:r>
      <w:r>
        <w:rPr>
          <w:w w:val="115"/>
        </w:rPr>
        <w:t>2014</w:t>
      </w:r>
      <w:r>
        <w:rPr>
          <w:spacing w:val="-20"/>
          <w:w w:val="115"/>
        </w:rPr>
        <w:t> </w:t>
      </w:r>
      <w:r>
        <w:rPr>
          <w:w w:val="115"/>
        </w:rPr>
        <w:t>“opinión</w:t>
      </w:r>
      <w:r>
        <w:rPr>
          <w:spacing w:val="-20"/>
          <w:w w:val="115"/>
        </w:rPr>
        <w:t> </w:t>
      </w:r>
      <w:r>
        <w:rPr>
          <w:w w:val="115"/>
        </w:rPr>
        <w:t>de</w:t>
      </w:r>
      <w:r>
        <w:rPr>
          <w:spacing w:val="-20"/>
          <w:w w:val="115"/>
        </w:rPr>
        <w:t> </w:t>
      </w:r>
      <w:r>
        <w:rPr>
          <w:w w:val="115"/>
        </w:rPr>
        <w:t>dos</w:t>
      </w:r>
      <w:r>
        <w:rPr>
          <w:spacing w:val="-20"/>
          <w:w w:val="115"/>
        </w:rPr>
        <w:t> </w:t>
      </w:r>
      <w:r>
        <w:rPr>
          <w:w w:val="115"/>
        </w:rPr>
        <w:t>expertos</w:t>
      </w:r>
      <w:r>
        <w:rPr>
          <w:spacing w:val="-20"/>
          <w:w w:val="115"/>
        </w:rPr>
        <w:t> </w:t>
      </w:r>
      <w:r>
        <w:rPr>
          <w:w w:val="115"/>
        </w:rPr>
        <w:t>militares</w:t>
      </w:r>
      <w:r>
        <w:rPr>
          <w:spacing w:val="-20"/>
          <w:w w:val="115"/>
        </w:rPr>
        <w:t> </w:t>
      </w:r>
      <w:r>
        <w:rPr>
          <w:w w:val="115"/>
        </w:rPr>
        <w:t>rusos </w:t>
      </w:r>
      <w:r>
        <w:rPr>
          <w:w w:val="120"/>
        </w:rPr>
        <w:t>sobre posibles escenarios del conflicto ucraniano”. Nota publicada</w:t>
      </w:r>
      <w:r>
        <w:rPr>
          <w:spacing w:val="-21"/>
          <w:w w:val="120"/>
        </w:rPr>
        <w:t> </w:t>
      </w:r>
      <w:r>
        <w:rPr>
          <w:w w:val="120"/>
        </w:rPr>
        <w:t>en</w:t>
      </w:r>
      <w:r>
        <w:rPr>
          <w:spacing w:val="-21"/>
          <w:w w:val="120"/>
        </w:rPr>
        <w:t> </w:t>
      </w:r>
      <w:r>
        <w:rPr>
          <w:w w:val="120"/>
        </w:rPr>
        <w:t>el</w:t>
      </w:r>
      <w:r>
        <w:rPr>
          <w:spacing w:val="-21"/>
          <w:w w:val="120"/>
        </w:rPr>
        <w:t> </w:t>
      </w:r>
      <w:r>
        <w:rPr>
          <w:w w:val="120"/>
        </w:rPr>
        <w:t>blog</w:t>
      </w:r>
      <w:r>
        <w:rPr>
          <w:spacing w:val="-21"/>
          <w:w w:val="120"/>
        </w:rPr>
        <w:t> </w:t>
      </w:r>
      <w:r>
        <w:rPr>
          <w:w w:val="120"/>
        </w:rPr>
        <w:t>de</w:t>
      </w:r>
      <w:r>
        <w:rPr>
          <w:spacing w:val="-21"/>
          <w:w w:val="120"/>
        </w:rPr>
        <w:t> </w:t>
      </w:r>
      <w:r>
        <w:rPr>
          <w:w w:val="120"/>
        </w:rPr>
        <w:t>Josafat</w:t>
      </w:r>
      <w:r>
        <w:rPr>
          <w:spacing w:val="-21"/>
          <w:w w:val="120"/>
        </w:rPr>
        <w:t> </w:t>
      </w:r>
      <w:r>
        <w:rPr>
          <w:w w:val="120"/>
        </w:rPr>
        <w:t>s.</w:t>
      </w:r>
      <w:r>
        <w:rPr>
          <w:spacing w:val="-21"/>
          <w:w w:val="120"/>
        </w:rPr>
        <w:t> </w:t>
      </w:r>
      <w:r>
        <w:rPr>
          <w:w w:val="120"/>
        </w:rPr>
        <w:t>Comin,</w:t>
      </w:r>
      <w:r>
        <w:rPr>
          <w:spacing w:val="-21"/>
          <w:w w:val="120"/>
        </w:rPr>
        <w:t> </w:t>
      </w:r>
      <w:r>
        <w:rPr>
          <w:w w:val="120"/>
        </w:rPr>
        <w:t>3</w:t>
      </w:r>
      <w:r>
        <w:rPr>
          <w:spacing w:val="-21"/>
          <w:w w:val="120"/>
        </w:rPr>
        <w:t> </w:t>
      </w:r>
      <w:r>
        <w:rPr>
          <w:w w:val="120"/>
        </w:rPr>
        <w:t>de</w:t>
      </w:r>
      <w:r>
        <w:rPr>
          <w:spacing w:val="-21"/>
          <w:w w:val="120"/>
        </w:rPr>
        <w:t> </w:t>
      </w:r>
      <w:r>
        <w:rPr>
          <w:w w:val="120"/>
        </w:rPr>
        <w:t>marzo,</w:t>
      </w:r>
      <w:r>
        <w:rPr>
          <w:spacing w:val="-21"/>
          <w:w w:val="120"/>
        </w:rPr>
        <w:t> </w:t>
      </w:r>
      <w:r>
        <w:rPr>
          <w:w w:val="120"/>
        </w:rPr>
        <w:t>citado </w:t>
      </w:r>
      <w:r>
        <w:rPr>
          <w:w w:val="115"/>
        </w:rPr>
        <w:t>por</w:t>
      </w:r>
      <w:r>
        <w:rPr>
          <w:spacing w:val="-14"/>
          <w:w w:val="115"/>
        </w:rPr>
        <w:t> </w:t>
      </w:r>
      <w:r>
        <w:rPr>
          <w:w w:val="115"/>
        </w:rPr>
        <w:t>Enrique</w:t>
      </w:r>
      <w:r>
        <w:rPr>
          <w:spacing w:val="-14"/>
          <w:w w:val="115"/>
        </w:rPr>
        <w:t> </w:t>
      </w:r>
      <w:r>
        <w:rPr>
          <w:w w:val="115"/>
        </w:rPr>
        <w:t>Muñoz</w:t>
      </w:r>
      <w:r>
        <w:rPr>
          <w:spacing w:val="-14"/>
          <w:w w:val="115"/>
        </w:rPr>
        <w:t> </w:t>
      </w:r>
      <w:r>
        <w:rPr>
          <w:w w:val="115"/>
        </w:rPr>
        <w:t>Gamarra</w:t>
      </w:r>
      <w:r>
        <w:rPr>
          <w:spacing w:val="-14"/>
          <w:w w:val="115"/>
        </w:rPr>
        <w:t> </w:t>
      </w:r>
      <w:r>
        <w:rPr>
          <w:w w:val="115"/>
        </w:rPr>
        <w:t>2014</w:t>
      </w:r>
      <w:r>
        <w:rPr>
          <w:spacing w:val="-14"/>
          <w:w w:val="115"/>
        </w:rPr>
        <w:t> </w:t>
      </w:r>
      <w:r>
        <w:rPr>
          <w:w w:val="115"/>
        </w:rPr>
        <w:t>“¿después</w:t>
      </w:r>
      <w:r>
        <w:rPr>
          <w:spacing w:val="-14"/>
          <w:w w:val="115"/>
        </w:rPr>
        <w:t> </w:t>
      </w:r>
      <w:r>
        <w:rPr>
          <w:w w:val="115"/>
        </w:rPr>
        <w:t>de</w:t>
      </w:r>
      <w:r>
        <w:rPr>
          <w:spacing w:val="-14"/>
          <w:w w:val="115"/>
        </w:rPr>
        <w:t> </w:t>
      </w:r>
      <w:r>
        <w:rPr>
          <w:w w:val="115"/>
        </w:rPr>
        <w:t>Vietnam</w:t>
      </w:r>
      <w:r>
        <w:rPr>
          <w:spacing w:val="-14"/>
          <w:w w:val="115"/>
        </w:rPr>
        <w:t> </w:t>
      </w:r>
      <w:r>
        <w:rPr>
          <w:w w:val="115"/>
        </w:rPr>
        <w:t>ha </w:t>
      </w:r>
      <w:r>
        <w:rPr>
          <w:w w:val="109"/>
        </w:rPr>
        <w:t>enfrentado</w:t>
      </w:r>
      <w:r>
        <w:rPr>
          <w:spacing w:val="12"/>
        </w:rPr>
        <w:t> </w:t>
      </w:r>
      <w:r>
        <w:rPr>
          <w:w w:val="129"/>
        </w:rPr>
        <w:t>EE.</w:t>
      </w:r>
      <w:r>
        <w:rPr>
          <w:w w:val="140"/>
        </w:rPr>
        <w:t>uu</w:t>
      </w:r>
      <w:r>
        <w:rPr>
          <w:w w:val="138"/>
        </w:rPr>
        <w:t>.</w:t>
      </w:r>
      <w:r>
        <w:rPr>
          <w:spacing w:val="12"/>
        </w:rPr>
        <w:t> </w:t>
      </w:r>
      <w:r>
        <w:rPr>
          <w:w w:val="112"/>
        </w:rPr>
        <w:t>a</w:t>
      </w:r>
      <w:r>
        <w:rPr>
          <w:spacing w:val="12"/>
        </w:rPr>
        <w:t> </w:t>
      </w:r>
      <w:r>
        <w:rPr>
          <w:w w:val="112"/>
        </w:rPr>
        <w:t>un</w:t>
      </w:r>
      <w:r>
        <w:rPr>
          <w:spacing w:val="12"/>
        </w:rPr>
        <w:t> </w:t>
      </w:r>
      <w:r>
        <w:rPr>
          <w:w w:val="109"/>
        </w:rPr>
        <w:t>ejército</w:t>
      </w:r>
      <w:r>
        <w:rPr>
          <w:spacing w:val="12"/>
        </w:rPr>
        <w:t> </w:t>
      </w:r>
      <w:r>
        <w:rPr>
          <w:w w:val="107"/>
        </w:rPr>
        <w:t>de</w:t>
      </w:r>
      <w:r>
        <w:rPr>
          <w:spacing w:val="12"/>
        </w:rPr>
        <w:t> </w:t>
      </w:r>
      <w:r>
        <w:rPr>
          <w:w w:val="108"/>
        </w:rPr>
        <w:t>verdad?</w:t>
      </w:r>
      <w:r>
        <w:rPr>
          <w:spacing w:val="12"/>
        </w:rPr>
        <w:t> </w:t>
      </w:r>
      <w:r>
        <w:rPr>
          <w:w w:val="243"/>
        </w:rPr>
        <w:t>l</w:t>
      </w:r>
      <w:r>
        <w:rPr>
          <w:w w:val="110"/>
        </w:rPr>
        <w:t>ínea</w:t>
      </w:r>
      <w:r>
        <w:rPr>
          <w:spacing w:val="12"/>
        </w:rPr>
        <w:t> </w:t>
      </w:r>
      <w:r>
        <w:rPr>
          <w:w w:val="110"/>
        </w:rPr>
        <w:t>roja</w:t>
      </w:r>
      <w:r>
        <w:rPr>
          <w:spacing w:val="12"/>
        </w:rPr>
        <w:t> </w:t>
      </w:r>
      <w:r>
        <w:rPr>
          <w:w w:val="108"/>
        </w:rPr>
        <w:t>en</w:t>
      </w:r>
      <w:r>
        <w:rPr>
          <w:spacing w:val="12"/>
        </w:rPr>
        <w:t> </w:t>
      </w:r>
      <w:r>
        <w:rPr>
          <w:w w:val="107"/>
        </w:rPr>
        <w:t>el </w:t>
      </w:r>
      <w:r>
        <w:rPr>
          <w:w w:val="115"/>
        </w:rPr>
        <w:t>sureste</w:t>
      </w:r>
      <w:r>
        <w:rPr>
          <w:spacing w:val="-19"/>
          <w:w w:val="115"/>
        </w:rPr>
        <w:t> </w:t>
      </w:r>
      <w:r>
        <w:rPr>
          <w:w w:val="115"/>
        </w:rPr>
        <w:t>de</w:t>
      </w:r>
      <w:r>
        <w:rPr>
          <w:spacing w:val="-19"/>
          <w:w w:val="115"/>
        </w:rPr>
        <w:t> </w:t>
      </w:r>
      <w:r>
        <w:rPr>
          <w:w w:val="115"/>
        </w:rPr>
        <w:t>ucrania”,</w:t>
      </w:r>
      <w:r>
        <w:rPr>
          <w:spacing w:val="-19"/>
          <w:w w:val="115"/>
        </w:rPr>
        <w:t> </w:t>
      </w:r>
      <w:r>
        <w:rPr>
          <w:w w:val="115"/>
        </w:rPr>
        <w:t>en</w:t>
      </w:r>
      <w:r>
        <w:rPr>
          <w:spacing w:val="-19"/>
          <w:w w:val="115"/>
        </w:rPr>
        <w:t> </w:t>
      </w:r>
      <w:r>
        <w:rPr>
          <w:i/>
          <w:w w:val="115"/>
        </w:rPr>
        <w:t>Argenpress.info</w:t>
      </w:r>
      <w:r>
        <w:rPr>
          <w:w w:val="115"/>
        </w:rPr>
        <w:t>,</w:t>
      </w:r>
      <w:r>
        <w:rPr>
          <w:spacing w:val="-19"/>
          <w:w w:val="115"/>
        </w:rPr>
        <w:t> </w:t>
      </w:r>
      <w:r>
        <w:rPr>
          <w:w w:val="115"/>
        </w:rPr>
        <w:t>11</w:t>
      </w:r>
      <w:r>
        <w:rPr>
          <w:spacing w:val="-19"/>
          <w:w w:val="115"/>
        </w:rPr>
        <w:t> </w:t>
      </w:r>
      <w:r>
        <w:rPr>
          <w:w w:val="115"/>
        </w:rPr>
        <w:t>de</w:t>
      </w:r>
      <w:r>
        <w:rPr>
          <w:spacing w:val="-19"/>
          <w:w w:val="115"/>
        </w:rPr>
        <w:t> </w:t>
      </w:r>
      <w:r>
        <w:rPr>
          <w:w w:val="115"/>
        </w:rPr>
        <w:t>marzo.</w:t>
      </w:r>
    </w:p>
    <w:p>
      <w:pPr>
        <w:pStyle w:val="BodyText"/>
        <w:spacing w:line="252" w:lineRule="auto" w:before="28"/>
        <w:ind w:left="727" w:right="246" w:hanging="397"/>
      </w:pPr>
      <w:r>
        <w:rPr>
          <w:spacing w:val="-6"/>
          <w:w w:val="115"/>
        </w:rPr>
        <w:t>topper, </w:t>
      </w:r>
      <w:r>
        <w:rPr>
          <w:w w:val="115"/>
        </w:rPr>
        <w:t>ilya u. 2014 “Estoy harto de esa izquierda que ni siquiera desea</w:t>
      </w:r>
      <w:r>
        <w:rPr>
          <w:spacing w:val="-12"/>
          <w:w w:val="115"/>
        </w:rPr>
        <w:t> </w:t>
      </w:r>
      <w:r>
        <w:rPr>
          <w:w w:val="115"/>
        </w:rPr>
        <w:t>ganar”,</w:t>
      </w:r>
      <w:r>
        <w:rPr>
          <w:spacing w:val="-12"/>
          <w:w w:val="115"/>
        </w:rPr>
        <w:t> </w:t>
      </w:r>
      <w:r>
        <w:rPr>
          <w:w w:val="115"/>
        </w:rPr>
        <w:t>entrevista</w:t>
      </w:r>
      <w:r>
        <w:rPr>
          <w:spacing w:val="-12"/>
          <w:w w:val="115"/>
        </w:rPr>
        <w:t> </w:t>
      </w:r>
      <w:r>
        <w:rPr>
          <w:w w:val="115"/>
        </w:rPr>
        <w:t>al</w:t>
      </w:r>
      <w:r>
        <w:rPr>
          <w:spacing w:val="-12"/>
          <w:w w:val="115"/>
        </w:rPr>
        <w:t> </w:t>
      </w:r>
      <w:r>
        <w:rPr>
          <w:w w:val="115"/>
        </w:rPr>
        <w:t>filósofo</w:t>
      </w:r>
      <w:r>
        <w:rPr>
          <w:spacing w:val="-12"/>
          <w:w w:val="115"/>
        </w:rPr>
        <w:t> </w:t>
      </w:r>
      <w:r>
        <w:rPr>
          <w:w w:val="115"/>
        </w:rPr>
        <w:t>slavoj</w:t>
      </w:r>
      <w:r>
        <w:rPr>
          <w:spacing w:val="-12"/>
          <w:w w:val="115"/>
        </w:rPr>
        <w:t> </w:t>
      </w:r>
      <w:r>
        <w:rPr>
          <w:w w:val="115"/>
        </w:rPr>
        <w:t>Zizek,</w:t>
      </w:r>
      <w:r>
        <w:rPr>
          <w:spacing w:val="-12"/>
          <w:w w:val="115"/>
        </w:rPr>
        <w:t> </w:t>
      </w:r>
      <w:r>
        <w:rPr>
          <w:w w:val="115"/>
        </w:rPr>
        <w:t>en</w:t>
      </w:r>
      <w:r>
        <w:rPr>
          <w:spacing w:val="-12"/>
          <w:w w:val="115"/>
        </w:rPr>
        <w:t> </w:t>
      </w:r>
      <w:r>
        <w:rPr>
          <w:i/>
          <w:w w:val="115"/>
        </w:rPr>
        <w:t>MSur</w:t>
      </w:r>
      <w:r>
        <w:rPr>
          <w:w w:val="115"/>
        </w:rPr>
        <w:t>,</w:t>
      </w:r>
      <w:r>
        <w:rPr>
          <w:spacing w:val="-12"/>
          <w:w w:val="115"/>
        </w:rPr>
        <w:t> </w:t>
      </w:r>
      <w:r>
        <w:rPr>
          <w:w w:val="115"/>
        </w:rPr>
        <w:t>10</w:t>
      </w:r>
      <w:r>
        <w:rPr>
          <w:spacing w:val="-12"/>
          <w:w w:val="115"/>
        </w:rPr>
        <w:t> </w:t>
      </w:r>
      <w:r>
        <w:rPr>
          <w:w w:val="115"/>
        </w:rPr>
        <w:t>de noviembre.</w:t>
      </w:r>
    </w:p>
    <w:p>
      <w:pPr>
        <w:pStyle w:val="BodyText"/>
        <w:spacing w:line="252" w:lineRule="auto" w:before="28"/>
        <w:ind w:left="727" w:hanging="397"/>
      </w:pPr>
      <w:r>
        <w:rPr>
          <w:w w:val="110"/>
        </w:rPr>
        <w:t>Wallerstein, immanuel 2014 “El juego geopolítico ruso-chino”, en </w:t>
      </w:r>
      <w:r>
        <w:rPr>
          <w:i/>
          <w:w w:val="110"/>
        </w:rPr>
        <w:t>La </w:t>
      </w:r>
      <w:r>
        <w:rPr>
          <w:i/>
          <w:w w:val="110"/>
        </w:rPr>
        <w:t>Jornada</w:t>
      </w:r>
      <w:r>
        <w:rPr>
          <w:w w:val="110"/>
        </w:rPr>
        <w:t>, 8 de  junio.</w:t>
      </w:r>
    </w:p>
    <w:p>
      <w:pPr>
        <w:pStyle w:val="BodyText"/>
        <w:spacing w:before="28"/>
        <w:ind w:left="330"/>
      </w:pPr>
      <w:r>
        <w:rPr>
          <w:w w:val="115"/>
        </w:rPr>
        <w:t>Wallerstein, immanuel 2010 “¿Crisis, cuál crisis?”, en M. a.</w:t>
      </w:r>
    </w:p>
    <w:p>
      <w:pPr>
        <w:spacing w:line="252" w:lineRule="auto" w:before="11"/>
        <w:ind w:left="727" w:right="0" w:firstLine="0"/>
        <w:jc w:val="left"/>
        <w:rPr>
          <w:sz w:val="19"/>
        </w:rPr>
      </w:pPr>
      <w:r>
        <w:rPr>
          <w:w w:val="120"/>
          <w:sz w:val="19"/>
        </w:rPr>
        <w:t>Gandásegui y d. Castillo F. </w:t>
      </w:r>
      <w:r>
        <w:rPr>
          <w:i/>
          <w:w w:val="120"/>
          <w:sz w:val="19"/>
        </w:rPr>
        <w:t>EE.UU. La crisis sistémica y las </w:t>
      </w:r>
      <w:r>
        <w:rPr>
          <w:i/>
          <w:w w:val="112"/>
          <w:sz w:val="19"/>
        </w:rPr>
        <w:t>nuevas</w:t>
      </w:r>
      <w:r>
        <w:rPr>
          <w:i/>
          <w:sz w:val="19"/>
        </w:rPr>
        <w:t> </w:t>
      </w:r>
      <w:r>
        <w:rPr>
          <w:i/>
          <w:w w:val="112"/>
          <w:sz w:val="19"/>
        </w:rPr>
        <w:t>condiciones</w:t>
      </w:r>
      <w:r>
        <w:rPr>
          <w:i/>
          <w:sz w:val="19"/>
        </w:rPr>
        <w:t> </w:t>
      </w:r>
      <w:r>
        <w:rPr>
          <w:i/>
          <w:w w:val="104"/>
          <w:sz w:val="19"/>
        </w:rPr>
        <w:t>de</w:t>
      </w:r>
      <w:r>
        <w:rPr>
          <w:i/>
          <w:sz w:val="19"/>
        </w:rPr>
        <w:t> </w:t>
      </w:r>
      <w:r>
        <w:rPr>
          <w:i/>
          <w:w w:val="109"/>
          <w:sz w:val="19"/>
        </w:rPr>
        <w:t>legitimación</w:t>
      </w:r>
      <w:r>
        <w:rPr>
          <w:i/>
          <w:sz w:val="19"/>
        </w:rPr>
        <w:t> </w:t>
      </w:r>
      <w:r>
        <w:rPr>
          <w:w w:val="111"/>
          <w:sz w:val="19"/>
        </w:rPr>
        <w:t>(México:</w:t>
      </w:r>
      <w:r>
        <w:rPr>
          <w:sz w:val="19"/>
        </w:rPr>
        <w:t> </w:t>
      </w:r>
      <w:r>
        <w:rPr>
          <w:w w:val="149"/>
          <w:sz w:val="19"/>
        </w:rPr>
        <w:t>s</w:t>
      </w:r>
      <w:r>
        <w:rPr>
          <w:w w:val="111"/>
          <w:sz w:val="19"/>
        </w:rPr>
        <w:t>iglo</w:t>
      </w:r>
      <w:r>
        <w:rPr>
          <w:sz w:val="19"/>
        </w:rPr>
        <w:t> </w:t>
      </w:r>
      <w:r>
        <w:rPr>
          <w:w w:val="156"/>
          <w:sz w:val="19"/>
        </w:rPr>
        <w:t>xxi</w:t>
      </w:r>
      <w:r>
        <w:rPr>
          <w:w w:val="57"/>
          <w:sz w:val="19"/>
        </w:rPr>
        <w:t>/</w:t>
      </w:r>
      <w:r>
        <w:rPr>
          <w:w w:val="124"/>
          <w:sz w:val="19"/>
        </w:rPr>
        <w:t>C</w:t>
      </w:r>
      <w:r>
        <w:rPr>
          <w:w w:val="176"/>
          <w:sz w:val="19"/>
        </w:rPr>
        <w:t>la</w:t>
      </w:r>
      <w:r>
        <w:rPr>
          <w:w w:val="124"/>
          <w:sz w:val="19"/>
        </w:rPr>
        <w:t>C</w:t>
      </w:r>
      <w:r>
        <w:rPr>
          <w:w w:val="135"/>
          <w:sz w:val="19"/>
        </w:rPr>
        <w:t>so)</w:t>
      </w:r>
      <w:r>
        <w:rPr>
          <w:w w:val="138"/>
          <w:sz w:val="19"/>
        </w:rPr>
        <w:t>.</w:t>
      </w:r>
    </w:p>
    <w:p>
      <w:pPr>
        <w:pStyle w:val="BodyText"/>
        <w:spacing w:before="28"/>
        <w:ind w:left="330"/>
      </w:pPr>
      <w:r>
        <w:rPr>
          <w:w w:val="110"/>
        </w:rPr>
        <w:t>Whitney, Mike 2014a “El dilema de Putin”, en </w:t>
      </w:r>
      <w:r>
        <w:rPr>
          <w:i/>
          <w:w w:val="110"/>
        </w:rPr>
        <w:t>Rebelión </w:t>
      </w:r>
      <w:r>
        <w:rPr>
          <w:w w:val="110"/>
        </w:rPr>
        <w:t>(tomado   de</w:t>
      </w:r>
    </w:p>
    <w:p>
      <w:pPr>
        <w:spacing w:before="11"/>
        <w:ind w:left="727" w:right="0" w:firstLine="0"/>
        <w:jc w:val="left"/>
        <w:rPr>
          <w:sz w:val="19"/>
        </w:rPr>
      </w:pPr>
      <w:r>
        <w:rPr>
          <w:i/>
          <w:w w:val="110"/>
          <w:sz w:val="19"/>
        </w:rPr>
        <w:t>Counterpunch</w:t>
      </w:r>
      <w:r>
        <w:rPr>
          <w:w w:val="110"/>
          <w:sz w:val="19"/>
        </w:rPr>
        <w:t>), 30 de  abril.</w:t>
      </w:r>
    </w:p>
    <w:p>
      <w:pPr>
        <w:spacing w:after="0"/>
        <w:jc w:val="left"/>
        <w:rPr>
          <w:sz w:val="19"/>
        </w:rPr>
        <w:sectPr>
          <w:pgSz w:w="8790" w:h="12760"/>
          <w:pgMar w:header="695" w:footer="725" w:top="880" w:bottom="920" w:left="1200" w:right="920"/>
        </w:sectPr>
      </w:pPr>
    </w:p>
    <w:p>
      <w:pPr>
        <w:pStyle w:val="BodyText"/>
        <w:rPr>
          <w:sz w:val="20"/>
        </w:rPr>
      </w:pPr>
    </w:p>
    <w:p>
      <w:pPr>
        <w:pStyle w:val="BodyText"/>
        <w:rPr>
          <w:sz w:val="20"/>
        </w:rPr>
      </w:pPr>
    </w:p>
    <w:p>
      <w:pPr>
        <w:pStyle w:val="BodyText"/>
        <w:spacing w:before="10"/>
        <w:rPr>
          <w:sz w:val="27"/>
        </w:rPr>
      </w:pPr>
    </w:p>
    <w:p>
      <w:pPr>
        <w:pStyle w:val="Heading3"/>
        <w:ind w:left="1264" w:right="0"/>
        <w:jc w:val="left"/>
      </w:pPr>
      <w:r>
        <w:rPr/>
        <w:t>Gladys Cecilia Hernández Pedraza*</w:t>
      </w:r>
    </w:p>
    <w:p>
      <w:pPr>
        <w:pStyle w:val="BodyText"/>
        <w:spacing w:before="9"/>
        <w:rPr>
          <w:sz w:val="20"/>
        </w:rPr>
      </w:pPr>
    </w:p>
    <w:p>
      <w:pPr>
        <w:spacing w:line="340" w:lineRule="exact" w:before="0"/>
        <w:ind w:left="1622" w:right="762" w:hanging="1080"/>
        <w:jc w:val="left"/>
        <w:rPr>
          <w:rFonts w:ascii="Times New Roman" w:hAnsi="Times New Roman"/>
          <w:b/>
          <w:sz w:val="30"/>
        </w:rPr>
      </w:pPr>
      <w:r>
        <w:rPr>
          <w:rFonts w:ascii="Times New Roman" w:hAnsi="Times New Roman"/>
          <w:b/>
          <w:w w:val="135"/>
          <w:sz w:val="30"/>
        </w:rPr>
        <w:t>estados</w:t>
      </w:r>
      <w:r>
        <w:rPr>
          <w:rFonts w:ascii="Times New Roman" w:hAnsi="Times New Roman"/>
          <w:b/>
          <w:spacing w:val="-38"/>
          <w:w w:val="135"/>
          <w:sz w:val="30"/>
        </w:rPr>
        <w:t> </w:t>
      </w:r>
      <w:r>
        <w:rPr>
          <w:rFonts w:ascii="Times New Roman" w:hAnsi="Times New Roman"/>
          <w:b/>
          <w:spacing w:val="3"/>
          <w:w w:val="135"/>
          <w:sz w:val="30"/>
        </w:rPr>
        <w:t>unidos</w:t>
      </w:r>
      <w:r>
        <w:rPr>
          <w:rFonts w:ascii="Times New Roman" w:hAnsi="Times New Roman"/>
          <w:b/>
          <w:spacing w:val="-38"/>
          <w:w w:val="135"/>
          <w:sz w:val="30"/>
        </w:rPr>
        <w:t> </w:t>
      </w:r>
      <w:r>
        <w:rPr>
          <w:rFonts w:ascii="Times New Roman" w:hAnsi="Times New Roman"/>
          <w:b/>
          <w:w w:val="135"/>
          <w:sz w:val="30"/>
        </w:rPr>
        <w:t>y</w:t>
      </w:r>
      <w:r>
        <w:rPr>
          <w:rFonts w:ascii="Times New Roman" w:hAnsi="Times New Roman"/>
          <w:b/>
          <w:spacing w:val="-38"/>
          <w:w w:val="135"/>
          <w:sz w:val="30"/>
        </w:rPr>
        <w:t> </w:t>
      </w:r>
      <w:r>
        <w:rPr>
          <w:rFonts w:ascii="Times New Roman" w:hAnsi="Times New Roman"/>
          <w:b/>
          <w:w w:val="135"/>
          <w:sz w:val="30"/>
        </w:rPr>
        <w:t>cHina</w:t>
      </w:r>
      <w:r>
        <w:rPr>
          <w:rFonts w:ascii="Times New Roman" w:hAnsi="Times New Roman"/>
          <w:b/>
          <w:spacing w:val="-38"/>
          <w:w w:val="135"/>
          <w:sz w:val="30"/>
        </w:rPr>
        <w:t> </w:t>
      </w:r>
      <w:r>
        <w:rPr>
          <w:rFonts w:ascii="Times New Roman" w:hAnsi="Times New Roman"/>
          <w:b/>
          <w:w w:val="135"/>
          <w:sz w:val="30"/>
        </w:rPr>
        <w:t>en</w:t>
      </w:r>
      <w:r>
        <w:rPr>
          <w:rFonts w:ascii="Times New Roman" w:hAnsi="Times New Roman"/>
          <w:b/>
          <w:spacing w:val="-38"/>
          <w:w w:val="135"/>
          <w:sz w:val="30"/>
        </w:rPr>
        <w:t> </w:t>
      </w:r>
      <w:r>
        <w:rPr>
          <w:rFonts w:ascii="Times New Roman" w:hAnsi="Times New Roman"/>
          <w:b/>
          <w:spacing w:val="3"/>
          <w:w w:val="135"/>
          <w:sz w:val="30"/>
        </w:rPr>
        <w:t>torno </w:t>
      </w:r>
      <w:r>
        <w:rPr>
          <w:rFonts w:ascii="Times New Roman" w:hAnsi="Times New Roman"/>
          <w:b/>
          <w:w w:val="135"/>
          <w:sz w:val="30"/>
        </w:rPr>
        <w:t>al</w:t>
      </w:r>
      <w:r>
        <w:rPr>
          <w:rFonts w:ascii="Times New Roman" w:hAnsi="Times New Roman"/>
          <w:b/>
          <w:spacing w:val="-66"/>
          <w:w w:val="135"/>
          <w:sz w:val="30"/>
        </w:rPr>
        <w:t> </w:t>
      </w:r>
      <w:r>
        <w:rPr>
          <w:rFonts w:ascii="Times New Roman" w:hAnsi="Times New Roman"/>
          <w:b/>
          <w:spacing w:val="2"/>
          <w:w w:val="135"/>
          <w:sz w:val="30"/>
        </w:rPr>
        <w:t>“Pivote</w:t>
      </w:r>
      <w:r>
        <w:rPr>
          <w:rFonts w:ascii="Times New Roman" w:hAnsi="Times New Roman"/>
          <w:b/>
          <w:spacing w:val="-65"/>
          <w:w w:val="135"/>
          <w:sz w:val="30"/>
        </w:rPr>
        <w:t> </w:t>
      </w:r>
      <w:r>
        <w:rPr>
          <w:rFonts w:ascii="Times New Roman" w:hAnsi="Times New Roman"/>
          <w:b/>
          <w:w w:val="135"/>
          <w:sz w:val="30"/>
        </w:rPr>
        <w:t>asiático”</w:t>
      </w: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spacing w:before="8"/>
        <w:rPr>
          <w:rFonts w:ascii="Times New Roman"/>
          <w:b/>
          <w:sz w:val="28"/>
        </w:rPr>
      </w:pPr>
    </w:p>
    <w:p>
      <w:pPr>
        <w:pStyle w:val="Heading6"/>
      </w:pPr>
      <w:r>
        <w:rPr>
          <w:w w:val="140"/>
        </w:rPr>
        <w:t>introducción</w:t>
      </w:r>
    </w:p>
    <w:p>
      <w:pPr>
        <w:pStyle w:val="BodyText"/>
        <w:spacing w:line="252" w:lineRule="auto" w:before="10"/>
        <w:ind w:left="100" w:right="328"/>
        <w:jc w:val="both"/>
      </w:pPr>
      <w:r>
        <w:rPr>
          <w:w w:val="243"/>
        </w:rPr>
        <w:t>l</w:t>
      </w:r>
      <w:r>
        <w:rPr>
          <w:w w:val="112"/>
        </w:rPr>
        <w:t>a</w:t>
      </w:r>
      <w:r>
        <w:rPr>
          <w:spacing w:val="13"/>
        </w:rPr>
        <w:t> </w:t>
      </w:r>
      <w:r>
        <w:rPr>
          <w:w w:val="110"/>
        </w:rPr>
        <w:t>cumbre</w:t>
      </w:r>
      <w:r>
        <w:rPr>
          <w:spacing w:val="13"/>
        </w:rPr>
        <w:t> </w:t>
      </w:r>
      <w:r>
        <w:rPr>
          <w:w w:val="107"/>
        </w:rPr>
        <w:t>del</w:t>
      </w:r>
      <w:r>
        <w:rPr>
          <w:spacing w:val="13"/>
        </w:rPr>
        <w:t> </w:t>
      </w:r>
      <w:r>
        <w:rPr>
          <w:w w:val="111"/>
        </w:rPr>
        <w:t>Foro</w:t>
      </w:r>
      <w:r>
        <w:rPr>
          <w:spacing w:val="13"/>
        </w:rPr>
        <w:t> </w:t>
      </w:r>
      <w:r>
        <w:rPr>
          <w:w w:val="107"/>
        </w:rPr>
        <w:t>de</w:t>
      </w:r>
      <w:r>
        <w:rPr>
          <w:spacing w:val="13"/>
        </w:rPr>
        <w:t> </w:t>
      </w:r>
      <w:r>
        <w:rPr>
          <w:w w:val="111"/>
        </w:rPr>
        <w:t>Cooperación</w:t>
      </w:r>
      <w:r>
        <w:rPr>
          <w:spacing w:val="13"/>
        </w:rPr>
        <w:t> </w:t>
      </w:r>
      <w:r>
        <w:rPr>
          <w:w w:val="114"/>
        </w:rPr>
        <w:t>Económica</w:t>
      </w:r>
      <w:r>
        <w:rPr>
          <w:spacing w:val="13"/>
        </w:rPr>
        <w:t> </w:t>
      </w:r>
      <w:r>
        <w:rPr>
          <w:w w:val="139"/>
        </w:rPr>
        <w:t>a</w:t>
      </w:r>
      <w:r>
        <w:rPr>
          <w:w w:val="111"/>
        </w:rPr>
        <w:t>sia-Pacífico</w:t>
      </w:r>
      <w:r>
        <w:rPr>
          <w:spacing w:val="13"/>
        </w:rPr>
        <w:t> </w:t>
      </w:r>
      <w:r>
        <w:rPr>
          <w:w w:val="98"/>
        </w:rPr>
        <w:t>(</w:t>
      </w:r>
      <w:r>
        <w:rPr>
          <w:w w:val="139"/>
        </w:rPr>
        <w:t>a</w:t>
      </w:r>
      <w:r>
        <w:rPr>
          <w:w w:val="121"/>
        </w:rPr>
        <w:t>PEC</w:t>
      </w:r>
      <w:r>
        <w:rPr>
          <w:w w:val="138"/>
        </w:rPr>
        <w:t>, </w:t>
      </w:r>
      <w:r>
        <w:rPr>
          <w:w w:val="115"/>
        </w:rPr>
        <w:t>por sus siglas en inglés), celebrada en beijing a finales de 2014, se erigió</w:t>
      </w:r>
      <w:r>
        <w:rPr>
          <w:spacing w:val="-8"/>
          <w:w w:val="115"/>
        </w:rPr>
        <w:t> </w:t>
      </w:r>
      <w:r>
        <w:rPr>
          <w:w w:val="115"/>
        </w:rPr>
        <w:t>como</w:t>
      </w:r>
      <w:r>
        <w:rPr>
          <w:spacing w:val="-8"/>
          <w:w w:val="115"/>
        </w:rPr>
        <w:t> </w:t>
      </w:r>
      <w:r>
        <w:rPr>
          <w:w w:val="115"/>
        </w:rPr>
        <w:t>colofón</w:t>
      </w:r>
      <w:r>
        <w:rPr>
          <w:spacing w:val="-8"/>
          <w:w w:val="115"/>
        </w:rPr>
        <w:t> </w:t>
      </w:r>
      <w:r>
        <w:rPr>
          <w:w w:val="115"/>
        </w:rPr>
        <w:t>para</w:t>
      </w:r>
      <w:r>
        <w:rPr>
          <w:spacing w:val="-8"/>
          <w:w w:val="115"/>
        </w:rPr>
        <w:t> </w:t>
      </w:r>
      <w:r>
        <w:rPr>
          <w:w w:val="115"/>
        </w:rPr>
        <w:t>la</w:t>
      </w:r>
      <w:r>
        <w:rPr>
          <w:spacing w:val="-8"/>
          <w:w w:val="115"/>
        </w:rPr>
        <w:t> </w:t>
      </w:r>
      <w:r>
        <w:rPr>
          <w:w w:val="115"/>
        </w:rPr>
        <w:t>gran</w:t>
      </w:r>
      <w:r>
        <w:rPr>
          <w:spacing w:val="-8"/>
          <w:w w:val="115"/>
        </w:rPr>
        <w:t> </w:t>
      </w:r>
      <w:r>
        <w:rPr>
          <w:w w:val="115"/>
        </w:rPr>
        <w:t>actividad</w:t>
      </w:r>
      <w:r>
        <w:rPr>
          <w:spacing w:val="-8"/>
          <w:w w:val="115"/>
        </w:rPr>
        <w:t> </w:t>
      </w:r>
      <w:r>
        <w:rPr>
          <w:w w:val="115"/>
        </w:rPr>
        <w:t>diplomática</w:t>
      </w:r>
      <w:r>
        <w:rPr>
          <w:spacing w:val="-8"/>
          <w:w w:val="115"/>
        </w:rPr>
        <w:t> </w:t>
      </w:r>
      <w:r>
        <w:rPr>
          <w:w w:val="115"/>
        </w:rPr>
        <w:t>que</w:t>
      </w:r>
      <w:r>
        <w:rPr>
          <w:spacing w:val="-8"/>
          <w:w w:val="115"/>
        </w:rPr>
        <w:t> </w:t>
      </w:r>
      <w:r>
        <w:rPr>
          <w:w w:val="115"/>
        </w:rPr>
        <w:t>China</w:t>
      </w:r>
      <w:r>
        <w:rPr>
          <w:spacing w:val="-8"/>
          <w:w w:val="115"/>
        </w:rPr>
        <w:t> </w:t>
      </w:r>
      <w:r>
        <w:rPr>
          <w:w w:val="115"/>
        </w:rPr>
        <w:t>ha estado</w:t>
      </w:r>
      <w:r>
        <w:rPr>
          <w:spacing w:val="-30"/>
          <w:w w:val="115"/>
        </w:rPr>
        <w:t> </w:t>
      </w:r>
      <w:r>
        <w:rPr>
          <w:w w:val="115"/>
        </w:rPr>
        <w:t>desplegando</w:t>
      </w:r>
      <w:r>
        <w:rPr>
          <w:spacing w:val="-30"/>
          <w:w w:val="115"/>
        </w:rPr>
        <w:t> </w:t>
      </w:r>
      <w:r>
        <w:rPr>
          <w:w w:val="115"/>
        </w:rPr>
        <w:t>con</w:t>
      </w:r>
      <w:r>
        <w:rPr>
          <w:spacing w:val="-30"/>
          <w:w w:val="115"/>
        </w:rPr>
        <w:t> </w:t>
      </w:r>
      <w:r>
        <w:rPr>
          <w:w w:val="115"/>
        </w:rPr>
        <w:t>el</w:t>
      </w:r>
      <w:r>
        <w:rPr>
          <w:spacing w:val="-30"/>
          <w:w w:val="115"/>
        </w:rPr>
        <w:t> </w:t>
      </w:r>
      <w:r>
        <w:rPr>
          <w:w w:val="115"/>
        </w:rPr>
        <w:t>propósito</w:t>
      </w:r>
      <w:r>
        <w:rPr>
          <w:spacing w:val="-30"/>
          <w:w w:val="115"/>
        </w:rPr>
        <w:t> </w:t>
      </w:r>
      <w:r>
        <w:rPr>
          <w:w w:val="115"/>
        </w:rPr>
        <w:t>de</w:t>
      </w:r>
      <w:r>
        <w:rPr>
          <w:spacing w:val="-30"/>
          <w:w w:val="115"/>
        </w:rPr>
        <w:t> </w:t>
      </w:r>
      <w:r>
        <w:rPr>
          <w:w w:val="115"/>
        </w:rPr>
        <w:t>conformar</w:t>
      </w:r>
      <w:r>
        <w:rPr>
          <w:spacing w:val="-30"/>
          <w:w w:val="115"/>
        </w:rPr>
        <w:t> </w:t>
      </w:r>
      <w:r>
        <w:rPr>
          <w:w w:val="115"/>
        </w:rPr>
        <w:t>un</w:t>
      </w:r>
      <w:r>
        <w:rPr>
          <w:spacing w:val="-30"/>
          <w:w w:val="115"/>
        </w:rPr>
        <w:t> </w:t>
      </w:r>
      <w:r>
        <w:rPr>
          <w:w w:val="115"/>
        </w:rPr>
        <w:t>proyecto</w:t>
      </w:r>
      <w:r>
        <w:rPr>
          <w:spacing w:val="-30"/>
          <w:w w:val="115"/>
        </w:rPr>
        <w:t> </w:t>
      </w:r>
      <w:r>
        <w:rPr>
          <w:w w:val="115"/>
        </w:rPr>
        <w:t>singu- lar de integración para la región asiática. Esta estrategia cuenta</w:t>
      </w:r>
      <w:r>
        <w:rPr>
          <w:spacing w:val="-27"/>
          <w:w w:val="115"/>
        </w:rPr>
        <w:t> </w:t>
      </w:r>
      <w:r>
        <w:rPr>
          <w:w w:val="115"/>
        </w:rPr>
        <w:t>con impulso</w:t>
      </w:r>
      <w:r>
        <w:rPr>
          <w:spacing w:val="-27"/>
          <w:w w:val="115"/>
        </w:rPr>
        <w:t> </w:t>
      </w:r>
      <w:r>
        <w:rPr>
          <w:w w:val="115"/>
        </w:rPr>
        <w:t>y</w:t>
      </w:r>
      <w:r>
        <w:rPr>
          <w:spacing w:val="-27"/>
          <w:w w:val="115"/>
        </w:rPr>
        <w:t> </w:t>
      </w:r>
      <w:r>
        <w:rPr>
          <w:w w:val="115"/>
        </w:rPr>
        <w:t>acciones</w:t>
      </w:r>
      <w:r>
        <w:rPr>
          <w:spacing w:val="-27"/>
          <w:w w:val="115"/>
        </w:rPr>
        <w:t> </w:t>
      </w:r>
      <w:r>
        <w:rPr>
          <w:w w:val="115"/>
        </w:rPr>
        <w:t>suficientes</w:t>
      </w:r>
      <w:r>
        <w:rPr>
          <w:spacing w:val="-27"/>
          <w:w w:val="115"/>
        </w:rPr>
        <w:t> </w:t>
      </w:r>
      <w:r>
        <w:rPr>
          <w:w w:val="115"/>
        </w:rPr>
        <w:t>que</w:t>
      </w:r>
      <w:r>
        <w:rPr>
          <w:spacing w:val="-27"/>
          <w:w w:val="115"/>
        </w:rPr>
        <w:t> </w:t>
      </w:r>
      <w:r>
        <w:rPr>
          <w:w w:val="115"/>
        </w:rPr>
        <w:t>de</w:t>
      </w:r>
      <w:r>
        <w:rPr>
          <w:spacing w:val="-27"/>
          <w:w w:val="115"/>
        </w:rPr>
        <w:t> </w:t>
      </w:r>
      <w:r>
        <w:rPr>
          <w:w w:val="115"/>
        </w:rPr>
        <w:t>hecho</w:t>
      </w:r>
      <w:r>
        <w:rPr>
          <w:spacing w:val="-27"/>
          <w:w w:val="115"/>
        </w:rPr>
        <w:t> </w:t>
      </w:r>
      <w:r>
        <w:rPr>
          <w:w w:val="115"/>
        </w:rPr>
        <w:t>trascienden</w:t>
      </w:r>
      <w:r>
        <w:rPr>
          <w:spacing w:val="-27"/>
          <w:w w:val="115"/>
        </w:rPr>
        <w:t> </w:t>
      </w:r>
      <w:r>
        <w:rPr>
          <w:w w:val="115"/>
        </w:rPr>
        <w:t>las</w:t>
      </w:r>
      <w:r>
        <w:rPr>
          <w:spacing w:val="-27"/>
          <w:w w:val="115"/>
        </w:rPr>
        <w:t> </w:t>
      </w:r>
      <w:r>
        <w:rPr>
          <w:w w:val="115"/>
        </w:rPr>
        <w:t>limitacio- nes</w:t>
      </w:r>
      <w:r>
        <w:rPr>
          <w:spacing w:val="-27"/>
          <w:w w:val="115"/>
        </w:rPr>
        <w:t> </w:t>
      </w:r>
      <w:r>
        <w:rPr>
          <w:w w:val="115"/>
        </w:rPr>
        <w:t>y</w:t>
      </w:r>
      <w:r>
        <w:rPr>
          <w:spacing w:val="-27"/>
          <w:w w:val="115"/>
        </w:rPr>
        <w:t> </w:t>
      </w:r>
      <w:r>
        <w:rPr>
          <w:w w:val="115"/>
        </w:rPr>
        <w:t>dudas</w:t>
      </w:r>
      <w:r>
        <w:rPr>
          <w:spacing w:val="-27"/>
          <w:w w:val="115"/>
        </w:rPr>
        <w:t> </w:t>
      </w:r>
      <w:r>
        <w:rPr>
          <w:w w:val="115"/>
        </w:rPr>
        <w:t>generadas</w:t>
      </w:r>
      <w:r>
        <w:rPr>
          <w:spacing w:val="-27"/>
          <w:w w:val="115"/>
        </w:rPr>
        <w:t> </w:t>
      </w:r>
      <w:r>
        <w:rPr>
          <w:w w:val="115"/>
        </w:rPr>
        <w:t>por</w:t>
      </w:r>
      <w:r>
        <w:rPr>
          <w:spacing w:val="-27"/>
          <w:w w:val="115"/>
        </w:rPr>
        <w:t> </w:t>
      </w:r>
      <w:r>
        <w:rPr>
          <w:w w:val="115"/>
        </w:rPr>
        <w:t>la</w:t>
      </w:r>
      <w:r>
        <w:rPr>
          <w:spacing w:val="-27"/>
          <w:w w:val="115"/>
        </w:rPr>
        <w:t> </w:t>
      </w:r>
      <w:r>
        <w:rPr>
          <w:w w:val="115"/>
        </w:rPr>
        <w:t>teoría</w:t>
      </w:r>
      <w:r>
        <w:rPr>
          <w:spacing w:val="-27"/>
          <w:w w:val="115"/>
        </w:rPr>
        <w:t> </w:t>
      </w:r>
      <w:r>
        <w:rPr>
          <w:w w:val="115"/>
        </w:rPr>
        <w:t>del</w:t>
      </w:r>
      <w:r>
        <w:rPr>
          <w:spacing w:val="-27"/>
          <w:w w:val="115"/>
        </w:rPr>
        <w:t> </w:t>
      </w:r>
      <w:r>
        <w:rPr>
          <w:w w:val="115"/>
        </w:rPr>
        <w:t>denominado</w:t>
      </w:r>
      <w:r>
        <w:rPr>
          <w:spacing w:val="-27"/>
          <w:w w:val="115"/>
        </w:rPr>
        <w:t> </w:t>
      </w:r>
      <w:r>
        <w:rPr>
          <w:w w:val="115"/>
        </w:rPr>
        <w:t>Pivote</w:t>
      </w:r>
      <w:r>
        <w:rPr>
          <w:spacing w:val="-27"/>
          <w:w w:val="115"/>
        </w:rPr>
        <w:t> </w:t>
      </w:r>
      <w:r>
        <w:rPr>
          <w:w w:val="115"/>
        </w:rPr>
        <w:t>asiático</w:t>
      </w:r>
      <w:r>
        <w:rPr>
          <w:spacing w:val="-27"/>
          <w:w w:val="115"/>
        </w:rPr>
        <w:t> </w:t>
      </w:r>
      <w:r>
        <w:rPr>
          <w:w w:val="115"/>
        </w:rPr>
        <w:t>de la administración</w:t>
      </w:r>
      <w:r>
        <w:rPr>
          <w:spacing w:val="20"/>
          <w:w w:val="115"/>
        </w:rPr>
        <w:t> </w:t>
      </w:r>
      <w:r>
        <w:rPr>
          <w:w w:val="115"/>
        </w:rPr>
        <w:t>obama.</w:t>
      </w:r>
    </w:p>
    <w:p>
      <w:pPr>
        <w:pStyle w:val="BodyText"/>
        <w:spacing w:line="252" w:lineRule="auto"/>
        <w:ind w:left="100" w:right="328" w:firstLine="396"/>
        <w:jc w:val="both"/>
      </w:pPr>
      <w:r>
        <w:rPr>
          <w:w w:val="110"/>
        </w:rPr>
        <w:t>El elemento destacable en este contexto es que las autoridades chinas postulan un asia donde las decisiones globales, de importancia estratégica para los países del área, sean discutidas entre todos los in- teresados, una región realmente gobernada por los propios asiáticos, por lo cual tanto Estados unidos como su política injerencista pasa- rían a un segundo  plano.</w:t>
      </w:r>
    </w:p>
    <w:p>
      <w:pPr>
        <w:pStyle w:val="BodyText"/>
        <w:spacing w:line="252" w:lineRule="auto"/>
        <w:ind w:left="100" w:right="328" w:firstLine="396"/>
        <w:jc w:val="both"/>
      </w:pPr>
      <w:r>
        <w:rPr>
          <w:w w:val="243"/>
        </w:rPr>
        <w:t>l</w:t>
      </w:r>
      <w:r>
        <w:rPr>
          <w:w w:val="112"/>
        </w:rPr>
        <w:t>a</w:t>
      </w:r>
      <w:r>
        <w:rPr/>
        <w:t> </w:t>
      </w:r>
      <w:r>
        <w:rPr>
          <w:w w:val="111"/>
        </w:rPr>
        <w:t>discusión</w:t>
      </w:r>
      <w:r>
        <w:rPr/>
        <w:t> </w:t>
      </w:r>
      <w:r>
        <w:rPr>
          <w:w w:val="108"/>
        </w:rPr>
        <w:t>trivial</w:t>
      </w:r>
      <w:r>
        <w:rPr/>
        <w:t> </w:t>
      </w:r>
      <w:r>
        <w:rPr>
          <w:w w:val="110"/>
        </w:rPr>
        <w:t>acerca</w:t>
      </w:r>
      <w:r>
        <w:rPr/>
        <w:t> </w:t>
      </w:r>
      <w:r>
        <w:rPr>
          <w:w w:val="107"/>
        </w:rPr>
        <w:t>de</w:t>
      </w:r>
      <w:r>
        <w:rPr/>
        <w:t> </w:t>
      </w:r>
      <w:r>
        <w:rPr>
          <w:w w:val="111"/>
        </w:rPr>
        <w:t>la</w:t>
      </w:r>
      <w:r>
        <w:rPr/>
        <w:t> </w:t>
      </w:r>
      <w:r>
        <w:rPr>
          <w:w w:val="110"/>
        </w:rPr>
        <w:t>posibilidad</w:t>
      </w:r>
      <w:r>
        <w:rPr/>
        <w:t> </w:t>
      </w:r>
      <w:r>
        <w:rPr>
          <w:w w:val="108"/>
        </w:rPr>
        <w:t>real</w:t>
      </w:r>
      <w:r>
        <w:rPr/>
        <w:t> </w:t>
      </w:r>
      <w:r>
        <w:rPr>
          <w:w w:val="107"/>
        </w:rPr>
        <w:t>de</w:t>
      </w:r>
      <w:r>
        <w:rPr/>
        <w:t> </w:t>
      </w:r>
      <w:r>
        <w:rPr>
          <w:w w:val="108"/>
        </w:rPr>
        <w:t>que</w:t>
      </w:r>
      <w:r>
        <w:rPr/>
        <w:t> </w:t>
      </w:r>
      <w:r>
        <w:rPr>
          <w:w w:val="110"/>
        </w:rPr>
        <w:t>tal</w:t>
      </w:r>
      <w:r>
        <w:rPr/>
        <w:t> </w:t>
      </w:r>
      <w:r>
        <w:rPr>
          <w:w w:val="108"/>
        </w:rPr>
        <w:t>proyec</w:t>
      </w:r>
      <w:r>
        <w:rPr>
          <w:w w:val="102"/>
        </w:rPr>
        <w:t>- </w:t>
      </w:r>
      <w:r>
        <w:rPr>
          <w:w w:val="110"/>
        </w:rPr>
        <w:t>to se concrete en el tiempo choca con la consolidación de varios pro-</w:t>
      </w:r>
    </w:p>
    <w:p>
      <w:pPr>
        <w:pStyle w:val="BodyText"/>
        <w:spacing w:before="7"/>
        <w:rPr>
          <w:sz w:val="24"/>
        </w:rPr>
      </w:pPr>
    </w:p>
    <w:p>
      <w:pPr>
        <w:spacing w:line="242" w:lineRule="auto" w:before="0"/>
        <w:ind w:left="270" w:right="0" w:hanging="171"/>
        <w:jc w:val="left"/>
        <w:rPr>
          <w:sz w:val="16"/>
        </w:rPr>
      </w:pPr>
      <w:r>
        <w:rPr>
          <w:w w:val="110"/>
          <w:sz w:val="16"/>
        </w:rPr>
        <w:t>* Jefa del departamento de Finanzas internacionales del CiEM (Centro de investiga- ciones sobre Economìa Mundial).</w:t>
      </w:r>
    </w:p>
    <w:p>
      <w:pPr>
        <w:pStyle w:val="BodyText"/>
        <w:rPr>
          <w:sz w:val="20"/>
        </w:rPr>
      </w:pPr>
    </w:p>
    <w:p>
      <w:pPr>
        <w:pStyle w:val="BodyText"/>
        <w:spacing w:before="1"/>
        <w:rPr>
          <w:sz w:val="17"/>
        </w:rPr>
      </w:pPr>
    </w:p>
    <w:p>
      <w:pPr>
        <w:pStyle w:val="Heading7"/>
        <w:spacing w:line="240" w:lineRule="auto"/>
        <w:ind w:left="789" w:right="1017"/>
        <w:jc w:val="center"/>
      </w:pPr>
      <w:r>
        <w:rPr/>
        <w:t>89</w:t>
      </w:r>
    </w:p>
    <w:p>
      <w:pPr>
        <w:spacing w:after="0" w:line="240" w:lineRule="auto"/>
        <w:jc w:val="center"/>
        <w:sectPr>
          <w:headerReference w:type="even" r:id="rId124"/>
          <w:footerReference w:type="even" r:id="rId125"/>
          <w:pgSz w:w="8790" w:h="12760"/>
          <w:pgMar w:header="0" w:footer="0" w:top="1180" w:bottom="280" w:left="920" w:right="1200"/>
        </w:sectPr>
      </w:pPr>
    </w:p>
    <w:p>
      <w:pPr>
        <w:pStyle w:val="BodyText"/>
        <w:spacing w:before="7"/>
        <w:rPr>
          <w:sz w:val="28"/>
        </w:rPr>
      </w:pPr>
    </w:p>
    <w:p>
      <w:pPr>
        <w:pStyle w:val="BodyText"/>
        <w:spacing w:line="252" w:lineRule="auto" w:before="73"/>
        <w:ind w:left="330" w:right="192"/>
      </w:pPr>
      <w:r>
        <w:rPr>
          <w:w w:val="110"/>
        </w:rPr>
        <w:t>cesos de menor escala, pero que van sumando poco a poco intereses al mismo</w:t>
      </w:r>
      <w:r>
        <w:rPr>
          <w:spacing w:val="32"/>
          <w:w w:val="110"/>
        </w:rPr>
        <w:t> </w:t>
      </w:r>
      <w:r>
        <w:rPr>
          <w:w w:val="110"/>
        </w:rPr>
        <w:t>propósito.</w:t>
      </w:r>
    </w:p>
    <w:p>
      <w:pPr>
        <w:pStyle w:val="BodyText"/>
        <w:spacing w:line="252" w:lineRule="auto"/>
        <w:ind w:left="330" w:right="117" w:firstLine="396"/>
        <w:jc w:val="both"/>
      </w:pPr>
      <w:r>
        <w:rPr>
          <w:w w:val="243"/>
        </w:rPr>
        <w:t>l</w:t>
      </w:r>
      <w:r>
        <w:rPr>
          <w:w w:val="112"/>
        </w:rPr>
        <w:t>a</w:t>
      </w:r>
      <w:r>
        <w:rPr/>
        <w:t> </w:t>
      </w:r>
      <w:r>
        <w:rPr>
          <w:spacing w:val="-10"/>
        </w:rPr>
        <w:t> </w:t>
      </w:r>
      <w:r>
        <w:rPr>
          <w:w w:val="110"/>
        </w:rPr>
        <w:t>dimensión</w:t>
      </w:r>
      <w:r>
        <w:rPr/>
        <w:t> </w:t>
      </w:r>
      <w:r>
        <w:rPr>
          <w:spacing w:val="-10"/>
        </w:rPr>
        <w:t> </w:t>
      </w:r>
      <w:r>
        <w:rPr>
          <w:w w:val="110"/>
        </w:rPr>
        <w:t>internacional</w:t>
      </w:r>
      <w:r>
        <w:rPr/>
        <w:t> </w:t>
      </w:r>
      <w:r>
        <w:rPr>
          <w:spacing w:val="-10"/>
        </w:rPr>
        <w:t> </w:t>
      </w:r>
      <w:r>
        <w:rPr>
          <w:w w:val="107"/>
        </w:rPr>
        <w:t>de</w:t>
      </w:r>
      <w:r>
        <w:rPr/>
        <w:t> </w:t>
      </w:r>
      <w:r>
        <w:rPr>
          <w:spacing w:val="-10"/>
        </w:rPr>
        <w:t> </w:t>
      </w:r>
      <w:r>
        <w:rPr>
          <w:w w:val="111"/>
        </w:rPr>
        <w:t>la</w:t>
      </w:r>
      <w:r>
        <w:rPr/>
        <w:t> </w:t>
      </w:r>
      <w:r>
        <w:rPr>
          <w:spacing w:val="-10"/>
        </w:rPr>
        <w:t> </w:t>
      </w:r>
      <w:r>
        <w:rPr>
          <w:w w:val="111"/>
        </w:rPr>
        <w:t>iniciativa</w:t>
      </w:r>
      <w:r>
        <w:rPr/>
        <w:t> </w:t>
      </w:r>
      <w:r>
        <w:rPr>
          <w:spacing w:val="-10"/>
        </w:rPr>
        <w:t> </w:t>
      </w:r>
      <w:r>
        <w:rPr>
          <w:w w:val="109"/>
        </w:rPr>
        <w:t>sigue</w:t>
      </w:r>
      <w:r>
        <w:rPr/>
        <w:t> </w:t>
      </w:r>
      <w:r>
        <w:rPr>
          <w:spacing w:val="-10"/>
        </w:rPr>
        <w:t> </w:t>
      </w:r>
      <w:r>
        <w:rPr>
          <w:w w:val="109"/>
        </w:rPr>
        <w:t>siendo</w:t>
      </w:r>
      <w:r>
        <w:rPr/>
        <w:t> </w:t>
      </w:r>
      <w:r>
        <w:rPr>
          <w:spacing w:val="-10"/>
        </w:rPr>
        <w:t> </w:t>
      </w:r>
      <w:r>
        <w:rPr>
          <w:w w:val="111"/>
        </w:rPr>
        <w:t>la</w:t>
      </w:r>
      <w:r>
        <w:rPr/>
        <w:t> </w:t>
      </w:r>
      <w:r>
        <w:rPr>
          <w:spacing w:val="-10"/>
        </w:rPr>
        <w:t> </w:t>
      </w:r>
      <w:r>
        <w:rPr>
          <w:w w:val="111"/>
        </w:rPr>
        <w:t>más </w:t>
      </w:r>
      <w:r>
        <w:rPr>
          <w:w w:val="109"/>
        </w:rPr>
        <w:t>importante</w:t>
      </w:r>
      <w:r>
        <w:rPr/>
        <w:t> </w:t>
      </w:r>
      <w:r>
        <w:rPr>
          <w:spacing w:val="-2"/>
        </w:rPr>
        <w:t> </w:t>
      </w:r>
      <w:r>
        <w:rPr>
          <w:w w:val="105"/>
        </w:rPr>
        <w:t>y</w:t>
      </w:r>
      <w:r>
        <w:rPr/>
        <w:t> </w:t>
      </w:r>
      <w:r>
        <w:rPr>
          <w:spacing w:val="-2"/>
        </w:rPr>
        <w:t> </w:t>
      </w:r>
      <w:r>
        <w:rPr>
          <w:w w:val="112"/>
        </w:rPr>
        <w:t>compleja.</w:t>
      </w:r>
      <w:r>
        <w:rPr/>
        <w:t> </w:t>
      </w:r>
      <w:r>
        <w:rPr>
          <w:spacing w:val="-2"/>
        </w:rPr>
        <w:t> </w:t>
      </w:r>
      <w:r>
        <w:rPr>
          <w:w w:val="243"/>
        </w:rPr>
        <w:t>l</w:t>
      </w:r>
      <w:r>
        <w:rPr>
          <w:w w:val="108"/>
        </w:rPr>
        <w:t>os</w:t>
      </w:r>
      <w:r>
        <w:rPr/>
        <w:t> </w:t>
      </w:r>
      <w:r>
        <w:rPr>
          <w:spacing w:val="-2"/>
        </w:rPr>
        <w:t> </w:t>
      </w:r>
      <w:r>
        <w:rPr>
          <w:w w:val="111"/>
        </w:rPr>
        <w:t>diplomáticos</w:t>
      </w:r>
      <w:r>
        <w:rPr/>
        <w:t> </w:t>
      </w:r>
      <w:r>
        <w:rPr>
          <w:spacing w:val="-2"/>
        </w:rPr>
        <w:t> </w:t>
      </w:r>
      <w:r>
        <w:rPr>
          <w:w w:val="111"/>
        </w:rPr>
        <w:t>chinos</w:t>
      </w:r>
      <w:r>
        <w:rPr/>
        <w:t> </w:t>
      </w:r>
      <w:r>
        <w:rPr>
          <w:spacing w:val="-2"/>
        </w:rPr>
        <w:t> </w:t>
      </w:r>
      <w:r>
        <w:rPr>
          <w:w w:val="112"/>
        </w:rPr>
        <w:t>han</w:t>
      </w:r>
      <w:r>
        <w:rPr/>
        <w:t> </w:t>
      </w:r>
      <w:r>
        <w:rPr>
          <w:spacing w:val="-2"/>
        </w:rPr>
        <w:t> </w:t>
      </w:r>
      <w:r>
        <w:rPr>
          <w:w w:val="108"/>
        </w:rPr>
        <w:t>generado</w:t>
      </w:r>
      <w:r>
        <w:rPr/>
        <w:t> </w:t>
      </w:r>
      <w:r>
        <w:rPr>
          <w:spacing w:val="-2"/>
        </w:rPr>
        <w:t> </w:t>
      </w:r>
      <w:r>
        <w:rPr>
          <w:w w:val="112"/>
        </w:rPr>
        <w:t>una </w:t>
      </w:r>
      <w:r>
        <w:rPr>
          <w:w w:val="115"/>
        </w:rPr>
        <w:t>multitud de plataformas y mecanismos creados o fortalecidos en años</w:t>
      </w:r>
      <w:r>
        <w:rPr>
          <w:spacing w:val="-17"/>
          <w:w w:val="115"/>
        </w:rPr>
        <w:t> </w:t>
      </w:r>
      <w:r>
        <w:rPr>
          <w:w w:val="115"/>
        </w:rPr>
        <w:t>recientes</w:t>
      </w:r>
      <w:r>
        <w:rPr>
          <w:spacing w:val="-17"/>
          <w:w w:val="115"/>
        </w:rPr>
        <w:t> </w:t>
      </w:r>
      <w:r>
        <w:rPr>
          <w:w w:val="115"/>
        </w:rPr>
        <w:t>que</w:t>
      </w:r>
      <w:r>
        <w:rPr>
          <w:spacing w:val="-17"/>
          <w:w w:val="115"/>
        </w:rPr>
        <w:t> </w:t>
      </w:r>
      <w:r>
        <w:rPr>
          <w:w w:val="115"/>
        </w:rPr>
        <w:t>podrían</w:t>
      </w:r>
      <w:r>
        <w:rPr>
          <w:spacing w:val="-17"/>
          <w:w w:val="115"/>
        </w:rPr>
        <w:t> </w:t>
      </w:r>
      <w:r>
        <w:rPr>
          <w:w w:val="115"/>
        </w:rPr>
        <w:t>contribuir</w:t>
      </w:r>
      <w:r>
        <w:rPr>
          <w:spacing w:val="-17"/>
          <w:w w:val="115"/>
        </w:rPr>
        <w:t> </w:t>
      </w:r>
      <w:r>
        <w:rPr>
          <w:w w:val="115"/>
        </w:rPr>
        <w:t>a</w:t>
      </w:r>
      <w:r>
        <w:rPr>
          <w:spacing w:val="-17"/>
          <w:w w:val="115"/>
        </w:rPr>
        <w:t> </w:t>
      </w:r>
      <w:r>
        <w:rPr>
          <w:w w:val="115"/>
        </w:rPr>
        <w:t>maximizar</w:t>
      </w:r>
      <w:r>
        <w:rPr>
          <w:spacing w:val="-17"/>
          <w:w w:val="115"/>
        </w:rPr>
        <w:t> </w:t>
      </w:r>
      <w:r>
        <w:rPr>
          <w:w w:val="115"/>
        </w:rPr>
        <w:t>su</w:t>
      </w:r>
      <w:r>
        <w:rPr>
          <w:spacing w:val="-17"/>
          <w:w w:val="115"/>
        </w:rPr>
        <w:t> </w:t>
      </w:r>
      <w:r>
        <w:rPr>
          <w:w w:val="115"/>
        </w:rPr>
        <w:t>impacto,</w:t>
      </w:r>
      <w:r>
        <w:rPr>
          <w:spacing w:val="-17"/>
          <w:w w:val="115"/>
        </w:rPr>
        <w:t> </w:t>
      </w:r>
      <w:r>
        <w:rPr>
          <w:w w:val="115"/>
        </w:rPr>
        <w:t>entre ellos</w:t>
      </w:r>
      <w:r>
        <w:rPr>
          <w:spacing w:val="-5"/>
          <w:w w:val="115"/>
        </w:rPr>
        <w:t> </w:t>
      </w:r>
      <w:r>
        <w:rPr>
          <w:w w:val="115"/>
        </w:rPr>
        <w:t>están</w:t>
      </w:r>
      <w:r>
        <w:rPr>
          <w:spacing w:val="-5"/>
          <w:w w:val="115"/>
        </w:rPr>
        <w:t> </w:t>
      </w:r>
      <w:r>
        <w:rPr>
          <w:w w:val="115"/>
        </w:rPr>
        <w:t>la</w:t>
      </w:r>
      <w:r>
        <w:rPr>
          <w:spacing w:val="-5"/>
          <w:w w:val="115"/>
        </w:rPr>
        <w:t> </w:t>
      </w:r>
      <w:r>
        <w:rPr>
          <w:w w:val="115"/>
        </w:rPr>
        <w:t>organización</w:t>
      </w:r>
      <w:r>
        <w:rPr>
          <w:spacing w:val="-5"/>
          <w:w w:val="115"/>
        </w:rPr>
        <w:t> </w:t>
      </w:r>
      <w:r>
        <w:rPr>
          <w:w w:val="115"/>
        </w:rPr>
        <w:t>de</w:t>
      </w:r>
      <w:r>
        <w:rPr>
          <w:spacing w:val="-5"/>
          <w:w w:val="115"/>
        </w:rPr>
        <w:t> </w:t>
      </w:r>
      <w:r>
        <w:rPr>
          <w:w w:val="115"/>
        </w:rPr>
        <w:t>Cooperación</w:t>
      </w:r>
      <w:r>
        <w:rPr>
          <w:spacing w:val="-5"/>
          <w:w w:val="115"/>
        </w:rPr>
        <w:t> </w:t>
      </w:r>
      <w:r>
        <w:rPr>
          <w:w w:val="115"/>
        </w:rPr>
        <w:t>de</w:t>
      </w:r>
      <w:r>
        <w:rPr>
          <w:spacing w:val="-5"/>
          <w:w w:val="115"/>
        </w:rPr>
        <w:t> </w:t>
      </w:r>
      <w:r>
        <w:rPr>
          <w:w w:val="115"/>
        </w:rPr>
        <w:t>shanghai,</w:t>
      </w:r>
      <w:r>
        <w:rPr>
          <w:spacing w:val="-5"/>
          <w:w w:val="115"/>
        </w:rPr>
        <w:t> </w:t>
      </w:r>
      <w:r>
        <w:rPr>
          <w:w w:val="115"/>
        </w:rPr>
        <w:t>el</w:t>
      </w:r>
      <w:r>
        <w:rPr>
          <w:spacing w:val="-5"/>
          <w:w w:val="115"/>
        </w:rPr>
        <w:t> </w:t>
      </w:r>
      <w:r>
        <w:rPr>
          <w:w w:val="115"/>
        </w:rPr>
        <w:t>Corredor bangladesh-China-india-Myanmar, el Corredor Económico China- Pakistán, la firma del </w:t>
      </w:r>
      <w:r>
        <w:rPr>
          <w:w w:val="155"/>
        </w:rPr>
        <w:t>tlC </w:t>
      </w:r>
      <w:r>
        <w:rPr>
          <w:w w:val="115"/>
        </w:rPr>
        <w:t>con seúl y </w:t>
      </w:r>
      <w:r>
        <w:rPr>
          <w:spacing w:val="-4"/>
          <w:w w:val="115"/>
        </w:rPr>
        <w:t>tokio, </w:t>
      </w:r>
      <w:r>
        <w:rPr>
          <w:w w:val="115"/>
        </w:rPr>
        <w:t>el </w:t>
      </w:r>
      <w:r>
        <w:rPr>
          <w:w w:val="155"/>
        </w:rPr>
        <w:t>tlC </w:t>
      </w:r>
      <w:r>
        <w:rPr>
          <w:w w:val="115"/>
        </w:rPr>
        <w:t>con los países de la asociación de Naciones del sudeste asiático</w:t>
      </w:r>
      <w:r>
        <w:rPr>
          <w:w w:val="115"/>
          <w:position w:val="7"/>
          <w:sz w:val="11"/>
        </w:rPr>
        <w:t>1 </w:t>
      </w:r>
      <w:r>
        <w:rPr>
          <w:w w:val="115"/>
        </w:rPr>
        <w:t>(asEaN), la trian- gulación económica y militar con Mongolia y rusia, la asociación  regional Económica integral </w:t>
      </w:r>
      <w:r>
        <w:rPr>
          <w:spacing w:val="-5"/>
          <w:w w:val="115"/>
        </w:rPr>
        <w:t>(rCEP, </w:t>
      </w:r>
      <w:r>
        <w:rPr>
          <w:w w:val="115"/>
        </w:rPr>
        <w:t>por sus siglas en inglés), todas ellas</w:t>
      </w:r>
      <w:r>
        <w:rPr>
          <w:spacing w:val="-10"/>
          <w:w w:val="115"/>
        </w:rPr>
        <w:t> </w:t>
      </w:r>
      <w:r>
        <w:rPr>
          <w:w w:val="115"/>
        </w:rPr>
        <w:t>conforman</w:t>
      </w:r>
      <w:r>
        <w:rPr>
          <w:spacing w:val="-10"/>
          <w:w w:val="115"/>
        </w:rPr>
        <w:t> </w:t>
      </w:r>
      <w:r>
        <w:rPr>
          <w:w w:val="115"/>
        </w:rPr>
        <w:t>ya</w:t>
      </w:r>
      <w:r>
        <w:rPr>
          <w:spacing w:val="-10"/>
          <w:w w:val="115"/>
        </w:rPr>
        <w:t> </w:t>
      </w:r>
      <w:r>
        <w:rPr>
          <w:w w:val="115"/>
        </w:rPr>
        <w:t>una</w:t>
      </w:r>
      <w:r>
        <w:rPr>
          <w:spacing w:val="-10"/>
          <w:w w:val="115"/>
        </w:rPr>
        <w:t> </w:t>
      </w:r>
      <w:r>
        <w:rPr>
          <w:w w:val="115"/>
        </w:rPr>
        <w:t>lista</w:t>
      </w:r>
      <w:r>
        <w:rPr>
          <w:spacing w:val="-10"/>
          <w:w w:val="115"/>
        </w:rPr>
        <w:t> </w:t>
      </w:r>
      <w:r>
        <w:rPr>
          <w:w w:val="115"/>
        </w:rPr>
        <w:t>de</w:t>
      </w:r>
      <w:r>
        <w:rPr>
          <w:spacing w:val="-10"/>
          <w:w w:val="115"/>
        </w:rPr>
        <w:t> </w:t>
      </w:r>
      <w:r>
        <w:rPr>
          <w:w w:val="115"/>
        </w:rPr>
        <w:t>propuestas</w:t>
      </w:r>
      <w:r>
        <w:rPr>
          <w:spacing w:val="-10"/>
          <w:w w:val="115"/>
        </w:rPr>
        <w:t> </w:t>
      </w:r>
      <w:r>
        <w:rPr>
          <w:w w:val="115"/>
        </w:rPr>
        <w:t>de</w:t>
      </w:r>
      <w:r>
        <w:rPr>
          <w:spacing w:val="-10"/>
          <w:w w:val="115"/>
        </w:rPr>
        <w:t> </w:t>
      </w:r>
      <w:r>
        <w:rPr>
          <w:w w:val="115"/>
        </w:rPr>
        <w:t>integración</w:t>
      </w:r>
      <w:r>
        <w:rPr>
          <w:spacing w:val="-10"/>
          <w:w w:val="115"/>
        </w:rPr>
        <w:t> </w:t>
      </w:r>
      <w:r>
        <w:rPr>
          <w:w w:val="115"/>
        </w:rPr>
        <w:t>que</w:t>
      </w:r>
      <w:r>
        <w:rPr>
          <w:spacing w:val="-10"/>
          <w:w w:val="115"/>
        </w:rPr>
        <w:t> </w:t>
      </w:r>
      <w:r>
        <w:rPr>
          <w:w w:val="115"/>
        </w:rPr>
        <w:t>ahora </w:t>
      </w:r>
      <w:r>
        <w:rPr>
          <w:w w:val="105"/>
        </w:rPr>
        <w:t>se</w:t>
      </w:r>
      <w:r>
        <w:rPr>
          <w:spacing w:val="10"/>
        </w:rPr>
        <w:t> </w:t>
      </w:r>
      <w:r>
        <w:rPr>
          <w:w w:val="110"/>
        </w:rPr>
        <w:t>complementan</w:t>
      </w:r>
      <w:r>
        <w:rPr>
          <w:spacing w:val="10"/>
        </w:rPr>
        <w:t> </w:t>
      </w:r>
      <w:r>
        <w:rPr>
          <w:w w:val="112"/>
        </w:rPr>
        <w:t>con</w:t>
      </w:r>
      <w:r>
        <w:rPr>
          <w:spacing w:val="10"/>
        </w:rPr>
        <w:t> </w:t>
      </w:r>
      <w:r>
        <w:rPr>
          <w:w w:val="111"/>
        </w:rPr>
        <w:t>la</w:t>
      </w:r>
      <w:r>
        <w:rPr>
          <w:spacing w:val="10"/>
        </w:rPr>
        <w:t> </w:t>
      </w:r>
      <w:r>
        <w:rPr>
          <w:w w:val="109"/>
        </w:rPr>
        <w:t>idea</w:t>
      </w:r>
      <w:r>
        <w:rPr>
          <w:spacing w:val="10"/>
        </w:rPr>
        <w:t> </w:t>
      </w:r>
      <w:r>
        <w:rPr>
          <w:w w:val="107"/>
        </w:rPr>
        <w:t>de</w:t>
      </w:r>
      <w:r>
        <w:rPr>
          <w:spacing w:val="10"/>
        </w:rPr>
        <w:t> </w:t>
      </w:r>
      <w:r>
        <w:rPr>
          <w:w w:val="108"/>
        </w:rPr>
        <w:t>crear</w:t>
      </w:r>
      <w:r>
        <w:rPr>
          <w:spacing w:val="10"/>
        </w:rPr>
        <w:t> </w:t>
      </w:r>
      <w:r>
        <w:rPr>
          <w:w w:val="107"/>
        </w:rPr>
        <w:t>el</w:t>
      </w:r>
      <w:r>
        <w:rPr>
          <w:spacing w:val="10"/>
        </w:rPr>
        <w:t> </w:t>
      </w:r>
      <w:r>
        <w:rPr>
          <w:w w:val="108"/>
        </w:rPr>
        <w:t>Área</w:t>
      </w:r>
      <w:r>
        <w:rPr>
          <w:spacing w:val="10"/>
        </w:rPr>
        <w:t> </w:t>
      </w:r>
      <w:r>
        <w:rPr>
          <w:w w:val="107"/>
        </w:rPr>
        <w:t>de</w:t>
      </w:r>
      <w:r>
        <w:rPr>
          <w:spacing w:val="10"/>
        </w:rPr>
        <w:t> </w:t>
      </w:r>
      <w:r>
        <w:rPr>
          <w:w w:val="243"/>
        </w:rPr>
        <w:t>l</w:t>
      </w:r>
      <w:r>
        <w:rPr>
          <w:w w:val="108"/>
        </w:rPr>
        <w:t>ibre</w:t>
      </w:r>
      <w:r>
        <w:rPr>
          <w:spacing w:val="10"/>
        </w:rPr>
        <w:t> </w:t>
      </w:r>
      <w:r>
        <w:rPr>
          <w:w w:val="112"/>
        </w:rPr>
        <w:t>Comercio</w:t>
      </w:r>
      <w:r>
        <w:rPr>
          <w:spacing w:val="10"/>
        </w:rPr>
        <w:t> </w:t>
      </w:r>
      <w:r>
        <w:rPr>
          <w:w w:val="109"/>
        </w:rPr>
        <w:t>para </w:t>
      </w:r>
      <w:r>
        <w:rPr>
          <w:w w:val="115"/>
        </w:rPr>
        <w:t>asia-Pacífico,</w:t>
      </w:r>
      <w:r>
        <w:rPr>
          <w:spacing w:val="-19"/>
          <w:w w:val="115"/>
        </w:rPr>
        <w:t> </w:t>
      </w:r>
      <w:r>
        <w:rPr>
          <w:w w:val="115"/>
        </w:rPr>
        <w:t>que</w:t>
      </w:r>
      <w:r>
        <w:rPr>
          <w:spacing w:val="-19"/>
          <w:w w:val="115"/>
        </w:rPr>
        <w:t> </w:t>
      </w:r>
      <w:r>
        <w:rPr>
          <w:w w:val="115"/>
        </w:rPr>
        <w:t>se</w:t>
      </w:r>
      <w:r>
        <w:rPr>
          <w:spacing w:val="-19"/>
          <w:w w:val="115"/>
        </w:rPr>
        <w:t> </w:t>
      </w:r>
      <w:r>
        <w:rPr>
          <w:w w:val="115"/>
        </w:rPr>
        <w:t>culminará</w:t>
      </w:r>
      <w:r>
        <w:rPr>
          <w:spacing w:val="-19"/>
          <w:w w:val="115"/>
        </w:rPr>
        <w:t> </w:t>
      </w:r>
      <w:r>
        <w:rPr>
          <w:w w:val="115"/>
        </w:rPr>
        <w:t>en</w:t>
      </w:r>
      <w:r>
        <w:rPr>
          <w:spacing w:val="-19"/>
          <w:w w:val="115"/>
        </w:rPr>
        <w:t> </w:t>
      </w:r>
      <w:r>
        <w:rPr>
          <w:w w:val="115"/>
        </w:rPr>
        <w:t>2025.</w:t>
      </w:r>
    </w:p>
    <w:p>
      <w:pPr>
        <w:pStyle w:val="BodyText"/>
        <w:spacing w:line="252" w:lineRule="auto"/>
        <w:ind w:left="330" w:right="117" w:firstLine="396"/>
        <w:jc w:val="both"/>
      </w:pPr>
      <w:r>
        <w:rPr>
          <w:w w:val="110"/>
        </w:rPr>
        <w:t>El planteamiento sobre “el pivote geográfico de la historia” data de hace algo más de un siglo y se atribuye al académico y político Halford </w:t>
      </w:r>
      <w:r>
        <w:rPr>
          <w:w w:val="120"/>
        </w:rPr>
        <w:t>J. </w:t>
      </w:r>
      <w:r>
        <w:rPr>
          <w:spacing w:val="-3"/>
          <w:w w:val="110"/>
        </w:rPr>
        <w:t>Mackinder, </w:t>
      </w:r>
      <w:r>
        <w:rPr>
          <w:w w:val="110"/>
        </w:rPr>
        <w:t>quien en 1905 presentó esta teoría, establecien- do un eje o pivote sobre el que giran las relaciones internacionales    de </w:t>
      </w:r>
      <w:r>
        <w:rPr>
          <w:spacing w:val="-4"/>
          <w:w w:val="110"/>
        </w:rPr>
        <w:t>poder, </w:t>
      </w:r>
      <w:r>
        <w:rPr>
          <w:w w:val="110"/>
        </w:rPr>
        <w:t>fuertemente condicionadas geográficamente. Para el autor dicho centro se ubicaba en asia Central y con tal conceptualización produjo una de las teorías más célebres que han regido la política in- ternacional del último siglo y se resume en una frase célebre acerca</w:t>
      </w:r>
      <w:r>
        <w:rPr>
          <w:spacing w:val="-26"/>
          <w:w w:val="110"/>
        </w:rPr>
        <w:t> </w:t>
      </w:r>
      <w:r>
        <w:rPr>
          <w:w w:val="110"/>
        </w:rPr>
        <w:t>de que quien controla el corazón del continente (Heartland-asia Central) controla el mundo (J. </w:t>
      </w:r>
      <w:r>
        <w:rPr>
          <w:spacing w:val="-3"/>
          <w:w w:val="110"/>
        </w:rPr>
        <w:t>Mackinder,  </w:t>
      </w:r>
      <w:r>
        <w:rPr>
          <w:spacing w:val="-1"/>
          <w:w w:val="110"/>
        </w:rPr>
        <w:t> </w:t>
      </w:r>
      <w:r>
        <w:rPr>
          <w:w w:val="110"/>
        </w:rPr>
        <w:t>1904).</w:t>
      </w:r>
    </w:p>
    <w:p>
      <w:pPr>
        <w:pStyle w:val="BodyText"/>
        <w:spacing w:line="252" w:lineRule="auto"/>
        <w:ind w:left="330" w:right="117" w:firstLine="396"/>
        <w:jc w:val="both"/>
      </w:pPr>
      <w:r>
        <w:rPr>
          <w:w w:val="110"/>
        </w:rPr>
        <w:t>Muchas han sido las transformaciones socioeconómicas y políti- cas que ha visto la humanidad en los últimos cien años, empezando precisamente por el concepto que establece un corazón continental que asegura el dominio del mundo. sin embargo, la teoría del pivote ha regresado de la mano de la </w:t>
      </w:r>
      <w:r>
        <w:rPr>
          <w:spacing w:val="33"/>
          <w:w w:val="110"/>
        </w:rPr>
        <w:t> </w:t>
      </w:r>
      <w:r>
        <w:rPr>
          <w:w w:val="110"/>
        </w:rPr>
        <w:t>globalización.</w:t>
      </w:r>
    </w:p>
    <w:p>
      <w:pPr>
        <w:pStyle w:val="BodyText"/>
        <w:spacing w:line="252" w:lineRule="auto"/>
        <w:ind w:left="330" w:right="117" w:firstLine="396"/>
        <w:jc w:val="both"/>
      </w:pPr>
      <w:r>
        <w:rPr>
          <w:w w:val="110"/>
        </w:rPr>
        <w:t>aun cuando la historia no respaldó la tesis de </w:t>
      </w:r>
      <w:r>
        <w:rPr>
          <w:spacing w:val="-3"/>
          <w:w w:val="110"/>
        </w:rPr>
        <w:t>Mackinder, </w:t>
      </w:r>
      <w:r>
        <w:rPr>
          <w:w w:val="110"/>
        </w:rPr>
        <w:t>ya que  la unión soviética no logró consolidar su dominio mundial a pesar  </w:t>
      </w:r>
      <w:r>
        <w:rPr>
          <w:spacing w:val="30"/>
          <w:w w:val="110"/>
        </w:rPr>
        <w:t> </w:t>
      </w:r>
      <w:r>
        <w:rPr>
          <w:w w:val="110"/>
        </w:rPr>
        <w:t>de</w:t>
      </w:r>
    </w:p>
    <w:p>
      <w:pPr>
        <w:pStyle w:val="BodyText"/>
        <w:rPr>
          <w:sz w:val="20"/>
        </w:rPr>
      </w:pPr>
    </w:p>
    <w:p>
      <w:pPr>
        <w:pStyle w:val="BodyText"/>
        <w:spacing w:before="2"/>
        <w:rPr>
          <w:sz w:val="13"/>
        </w:rPr>
      </w:pPr>
      <w:r>
        <w:rPr/>
        <w:pict>
          <v:line style="position:absolute;mso-position-horizontal-relative:page;mso-position-vertical-relative:paragraph;z-index:3304;mso-wrap-distance-left:0;mso-wrap-distance-right:0" from="76.5354pt,9.943601pt" to="104.8814pt,9.943601pt" stroked="true" strokeweight=".5pt" strokecolor="#000000">
            <w10:wrap type="topAndBottom"/>
          </v:line>
        </w:pict>
      </w:r>
    </w:p>
    <w:p>
      <w:pPr>
        <w:spacing w:line="242" w:lineRule="auto" w:before="89"/>
        <w:ind w:left="330" w:right="117" w:firstLine="0"/>
        <w:jc w:val="both"/>
        <w:rPr>
          <w:sz w:val="16"/>
        </w:rPr>
      </w:pPr>
      <w:r>
        <w:rPr>
          <w:w w:val="100"/>
          <w:sz w:val="16"/>
        </w:rPr>
        <w:t>1</w:t>
      </w:r>
      <w:r>
        <w:rPr>
          <w:sz w:val="16"/>
        </w:rPr>
        <w:t>    </w:t>
      </w:r>
      <w:r>
        <w:rPr>
          <w:spacing w:val="-10"/>
          <w:sz w:val="16"/>
        </w:rPr>
        <w:t> </w:t>
      </w:r>
      <w:r>
        <w:rPr>
          <w:w w:val="238"/>
          <w:sz w:val="16"/>
        </w:rPr>
        <w:t>l</w:t>
      </w:r>
      <w:r>
        <w:rPr>
          <w:w w:val="109"/>
          <w:sz w:val="16"/>
        </w:rPr>
        <w:t>a</w:t>
      </w:r>
      <w:r>
        <w:rPr>
          <w:spacing w:val="9"/>
          <w:sz w:val="16"/>
        </w:rPr>
        <w:t> </w:t>
      </w:r>
      <w:r>
        <w:rPr>
          <w:w w:val="136"/>
          <w:sz w:val="16"/>
        </w:rPr>
        <w:t>a</w:t>
      </w:r>
      <w:r>
        <w:rPr>
          <w:w w:val="109"/>
          <w:sz w:val="16"/>
        </w:rPr>
        <w:t>sociación</w:t>
      </w:r>
      <w:r>
        <w:rPr>
          <w:spacing w:val="9"/>
          <w:sz w:val="16"/>
        </w:rPr>
        <w:t> </w:t>
      </w:r>
      <w:r>
        <w:rPr>
          <w:w w:val="104"/>
          <w:sz w:val="16"/>
        </w:rPr>
        <w:t>de</w:t>
      </w:r>
      <w:r>
        <w:rPr>
          <w:spacing w:val="9"/>
          <w:sz w:val="16"/>
        </w:rPr>
        <w:t> </w:t>
      </w:r>
      <w:r>
        <w:rPr>
          <w:w w:val="109"/>
          <w:sz w:val="16"/>
        </w:rPr>
        <w:t>Naciones</w:t>
      </w:r>
      <w:r>
        <w:rPr>
          <w:spacing w:val="9"/>
          <w:sz w:val="16"/>
        </w:rPr>
        <w:t> </w:t>
      </w:r>
      <w:r>
        <w:rPr>
          <w:w w:val="105"/>
          <w:sz w:val="16"/>
        </w:rPr>
        <w:t>del</w:t>
      </w:r>
      <w:r>
        <w:rPr>
          <w:spacing w:val="9"/>
          <w:sz w:val="16"/>
        </w:rPr>
        <w:t> </w:t>
      </w:r>
      <w:r>
        <w:rPr>
          <w:w w:val="146"/>
          <w:sz w:val="16"/>
        </w:rPr>
        <w:t>s</w:t>
      </w:r>
      <w:r>
        <w:rPr>
          <w:w w:val="105"/>
          <w:sz w:val="16"/>
        </w:rPr>
        <w:t>udeste</w:t>
      </w:r>
      <w:r>
        <w:rPr>
          <w:spacing w:val="9"/>
          <w:sz w:val="16"/>
        </w:rPr>
        <w:t> </w:t>
      </w:r>
      <w:r>
        <w:rPr>
          <w:w w:val="136"/>
          <w:sz w:val="16"/>
        </w:rPr>
        <w:t>a</w:t>
      </w:r>
      <w:r>
        <w:rPr>
          <w:w w:val="109"/>
          <w:sz w:val="16"/>
        </w:rPr>
        <w:t>siático</w:t>
      </w:r>
      <w:r>
        <w:rPr>
          <w:spacing w:val="9"/>
          <w:sz w:val="16"/>
        </w:rPr>
        <w:t> </w:t>
      </w:r>
      <w:r>
        <w:rPr>
          <w:w w:val="96"/>
          <w:sz w:val="16"/>
        </w:rPr>
        <w:t>(</w:t>
      </w:r>
      <w:r>
        <w:rPr>
          <w:w w:val="141"/>
          <w:sz w:val="16"/>
        </w:rPr>
        <w:t>as</w:t>
      </w:r>
      <w:r>
        <w:rPr>
          <w:w w:val="125"/>
          <w:sz w:val="16"/>
        </w:rPr>
        <w:t>E</w:t>
      </w:r>
      <w:r>
        <w:rPr>
          <w:w w:val="136"/>
          <w:sz w:val="16"/>
        </w:rPr>
        <w:t>a</w:t>
      </w:r>
      <w:r>
        <w:rPr>
          <w:w w:val="116"/>
          <w:sz w:val="16"/>
        </w:rPr>
        <w:t>N</w:t>
      </w:r>
      <w:r>
        <w:rPr>
          <w:spacing w:val="9"/>
          <w:sz w:val="16"/>
        </w:rPr>
        <w:t> </w:t>
      </w:r>
      <w:r>
        <w:rPr>
          <w:w w:val="106"/>
          <w:sz w:val="16"/>
        </w:rPr>
        <w:t>por</w:t>
      </w:r>
      <w:r>
        <w:rPr>
          <w:spacing w:val="9"/>
          <w:sz w:val="16"/>
        </w:rPr>
        <w:t> </w:t>
      </w:r>
      <w:r>
        <w:rPr>
          <w:w w:val="106"/>
          <w:sz w:val="16"/>
        </w:rPr>
        <w:t>sus</w:t>
      </w:r>
      <w:r>
        <w:rPr>
          <w:spacing w:val="9"/>
          <w:sz w:val="16"/>
        </w:rPr>
        <w:t> </w:t>
      </w:r>
      <w:r>
        <w:rPr>
          <w:w w:val="107"/>
          <w:sz w:val="16"/>
        </w:rPr>
        <w:t>siglas</w:t>
      </w:r>
      <w:r>
        <w:rPr>
          <w:spacing w:val="9"/>
          <w:sz w:val="16"/>
        </w:rPr>
        <w:t> </w:t>
      </w:r>
      <w:r>
        <w:rPr>
          <w:w w:val="106"/>
          <w:sz w:val="16"/>
        </w:rPr>
        <w:t>en</w:t>
      </w:r>
      <w:r>
        <w:rPr>
          <w:spacing w:val="9"/>
          <w:sz w:val="16"/>
        </w:rPr>
        <w:t> </w:t>
      </w:r>
      <w:r>
        <w:rPr>
          <w:w w:val="105"/>
          <w:sz w:val="16"/>
        </w:rPr>
        <w:t>inglés) </w:t>
      </w:r>
      <w:r>
        <w:rPr>
          <w:w w:val="115"/>
          <w:sz w:val="16"/>
        </w:rPr>
        <w:t>surge</w:t>
      </w:r>
      <w:r>
        <w:rPr>
          <w:spacing w:val="-13"/>
          <w:w w:val="115"/>
          <w:sz w:val="16"/>
        </w:rPr>
        <w:t> </w:t>
      </w:r>
      <w:r>
        <w:rPr>
          <w:w w:val="115"/>
          <w:sz w:val="16"/>
        </w:rPr>
        <w:t>de</w:t>
      </w:r>
      <w:r>
        <w:rPr>
          <w:spacing w:val="-13"/>
          <w:w w:val="115"/>
          <w:sz w:val="16"/>
        </w:rPr>
        <w:t> </w:t>
      </w:r>
      <w:r>
        <w:rPr>
          <w:w w:val="115"/>
          <w:sz w:val="16"/>
        </w:rPr>
        <w:t>la</w:t>
      </w:r>
      <w:r>
        <w:rPr>
          <w:spacing w:val="-13"/>
          <w:w w:val="115"/>
          <w:sz w:val="16"/>
        </w:rPr>
        <w:t> </w:t>
      </w:r>
      <w:r>
        <w:rPr>
          <w:w w:val="115"/>
          <w:sz w:val="16"/>
        </w:rPr>
        <w:t>firma</w:t>
      </w:r>
      <w:r>
        <w:rPr>
          <w:spacing w:val="-13"/>
          <w:w w:val="115"/>
          <w:sz w:val="16"/>
        </w:rPr>
        <w:t> </w:t>
      </w:r>
      <w:r>
        <w:rPr>
          <w:w w:val="115"/>
          <w:sz w:val="16"/>
        </w:rPr>
        <w:t>de</w:t>
      </w:r>
      <w:r>
        <w:rPr>
          <w:spacing w:val="-13"/>
          <w:w w:val="115"/>
          <w:sz w:val="16"/>
        </w:rPr>
        <w:t> </w:t>
      </w:r>
      <w:r>
        <w:rPr>
          <w:w w:val="115"/>
          <w:sz w:val="16"/>
        </w:rPr>
        <w:t>la</w:t>
      </w:r>
      <w:r>
        <w:rPr>
          <w:spacing w:val="-13"/>
          <w:w w:val="115"/>
          <w:sz w:val="16"/>
        </w:rPr>
        <w:t> </w:t>
      </w:r>
      <w:r>
        <w:rPr>
          <w:w w:val="115"/>
          <w:sz w:val="16"/>
        </w:rPr>
        <w:t>declaración</w:t>
      </w:r>
      <w:r>
        <w:rPr>
          <w:spacing w:val="-13"/>
          <w:w w:val="115"/>
          <w:sz w:val="16"/>
        </w:rPr>
        <w:t> </w:t>
      </w:r>
      <w:r>
        <w:rPr>
          <w:w w:val="115"/>
          <w:sz w:val="16"/>
        </w:rPr>
        <w:t>de</w:t>
      </w:r>
      <w:r>
        <w:rPr>
          <w:spacing w:val="-13"/>
          <w:w w:val="115"/>
          <w:sz w:val="16"/>
        </w:rPr>
        <w:t> </w:t>
      </w:r>
      <w:r>
        <w:rPr>
          <w:w w:val="115"/>
          <w:sz w:val="16"/>
        </w:rPr>
        <w:t>bangkok</w:t>
      </w:r>
      <w:r>
        <w:rPr>
          <w:spacing w:val="-13"/>
          <w:w w:val="115"/>
          <w:sz w:val="16"/>
        </w:rPr>
        <w:t> </w:t>
      </w:r>
      <w:r>
        <w:rPr>
          <w:w w:val="115"/>
          <w:sz w:val="16"/>
        </w:rPr>
        <w:t>por</w:t>
      </w:r>
      <w:r>
        <w:rPr>
          <w:spacing w:val="-13"/>
          <w:w w:val="115"/>
          <w:sz w:val="16"/>
        </w:rPr>
        <w:t> </w:t>
      </w:r>
      <w:r>
        <w:rPr>
          <w:w w:val="115"/>
          <w:sz w:val="16"/>
        </w:rPr>
        <w:t>parte</w:t>
      </w:r>
      <w:r>
        <w:rPr>
          <w:spacing w:val="-13"/>
          <w:w w:val="115"/>
          <w:sz w:val="16"/>
        </w:rPr>
        <w:t> </w:t>
      </w:r>
      <w:r>
        <w:rPr>
          <w:w w:val="115"/>
          <w:sz w:val="16"/>
        </w:rPr>
        <w:t>de</w:t>
      </w:r>
      <w:r>
        <w:rPr>
          <w:spacing w:val="-13"/>
          <w:w w:val="115"/>
          <w:sz w:val="16"/>
        </w:rPr>
        <w:t> </w:t>
      </w:r>
      <w:r>
        <w:rPr>
          <w:w w:val="115"/>
          <w:sz w:val="16"/>
        </w:rPr>
        <w:t>los</w:t>
      </w:r>
      <w:r>
        <w:rPr>
          <w:spacing w:val="-13"/>
          <w:w w:val="115"/>
          <w:sz w:val="16"/>
        </w:rPr>
        <w:t> </w:t>
      </w:r>
      <w:r>
        <w:rPr>
          <w:w w:val="115"/>
          <w:sz w:val="16"/>
        </w:rPr>
        <w:t>cinco</w:t>
      </w:r>
      <w:r>
        <w:rPr>
          <w:spacing w:val="-13"/>
          <w:w w:val="115"/>
          <w:sz w:val="16"/>
        </w:rPr>
        <w:t> </w:t>
      </w:r>
      <w:r>
        <w:rPr>
          <w:w w:val="115"/>
          <w:sz w:val="16"/>
        </w:rPr>
        <w:t>países</w:t>
      </w:r>
      <w:r>
        <w:rPr>
          <w:spacing w:val="-13"/>
          <w:w w:val="115"/>
          <w:sz w:val="16"/>
        </w:rPr>
        <w:t> </w:t>
      </w:r>
      <w:r>
        <w:rPr>
          <w:w w:val="115"/>
          <w:sz w:val="16"/>
        </w:rPr>
        <w:t>(indo- nesia,</w:t>
      </w:r>
      <w:r>
        <w:rPr>
          <w:spacing w:val="-12"/>
          <w:w w:val="115"/>
          <w:sz w:val="16"/>
        </w:rPr>
        <w:t> </w:t>
      </w:r>
      <w:r>
        <w:rPr>
          <w:w w:val="115"/>
          <w:sz w:val="16"/>
        </w:rPr>
        <w:t>Filipinas,</w:t>
      </w:r>
      <w:r>
        <w:rPr>
          <w:spacing w:val="-12"/>
          <w:w w:val="115"/>
          <w:sz w:val="16"/>
        </w:rPr>
        <w:t> </w:t>
      </w:r>
      <w:r>
        <w:rPr>
          <w:w w:val="115"/>
          <w:sz w:val="16"/>
        </w:rPr>
        <w:t>Malasia,</w:t>
      </w:r>
      <w:r>
        <w:rPr>
          <w:spacing w:val="-12"/>
          <w:w w:val="115"/>
          <w:sz w:val="16"/>
        </w:rPr>
        <w:t> </w:t>
      </w:r>
      <w:r>
        <w:rPr>
          <w:spacing w:val="-3"/>
          <w:w w:val="115"/>
          <w:sz w:val="16"/>
        </w:rPr>
        <w:t>taiwán</w:t>
      </w:r>
      <w:r>
        <w:rPr>
          <w:spacing w:val="-12"/>
          <w:w w:val="115"/>
          <w:sz w:val="16"/>
        </w:rPr>
        <w:t> </w:t>
      </w:r>
      <w:r>
        <w:rPr>
          <w:w w:val="115"/>
          <w:sz w:val="16"/>
        </w:rPr>
        <w:t>y</w:t>
      </w:r>
      <w:r>
        <w:rPr>
          <w:spacing w:val="-12"/>
          <w:w w:val="115"/>
          <w:sz w:val="16"/>
        </w:rPr>
        <w:t> </w:t>
      </w:r>
      <w:r>
        <w:rPr>
          <w:w w:val="115"/>
          <w:sz w:val="16"/>
        </w:rPr>
        <w:t>singapur)</w:t>
      </w:r>
      <w:r>
        <w:rPr>
          <w:spacing w:val="-12"/>
          <w:w w:val="115"/>
          <w:sz w:val="16"/>
        </w:rPr>
        <w:t> </w:t>
      </w:r>
      <w:r>
        <w:rPr>
          <w:w w:val="115"/>
          <w:sz w:val="16"/>
        </w:rPr>
        <w:t>el</w:t>
      </w:r>
      <w:r>
        <w:rPr>
          <w:spacing w:val="-12"/>
          <w:w w:val="115"/>
          <w:sz w:val="16"/>
        </w:rPr>
        <w:t> </w:t>
      </w:r>
      <w:r>
        <w:rPr>
          <w:w w:val="115"/>
          <w:sz w:val="16"/>
        </w:rPr>
        <w:t>8</w:t>
      </w:r>
      <w:r>
        <w:rPr>
          <w:spacing w:val="-12"/>
          <w:w w:val="115"/>
          <w:sz w:val="16"/>
        </w:rPr>
        <w:t> </w:t>
      </w:r>
      <w:r>
        <w:rPr>
          <w:w w:val="115"/>
          <w:sz w:val="16"/>
        </w:rPr>
        <w:t>de</w:t>
      </w:r>
      <w:r>
        <w:rPr>
          <w:spacing w:val="-12"/>
          <w:w w:val="115"/>
          <w:sz w:val="16"/>
        </w:rPr>
        <w:t> </w:t>
      </w:r>
      <w:r>
        <w:rPr>
          <w:w w:val="115"/>
          <w:sz w:val="16"/>
        </w:rPr>
        <w:t>agosto</w:t>
      </w:r>
      <w:r>
        <w:rPr>
          <w:spacing w:val="-12"/>
          <w:w w:val="115"/>
          <w:sz w:val="16"/>
        </w:rPr>
        <w:t> </w:t>
      </w:r>
      <w:r>
        <w:rPr>
          <w:w w:val="115"/>
          <w:sz w:val="16"/>
        </w:rPr>
        <w:t>de</w:t>
      </w:r>
      <w:r>
        <w:rPr>
          <w:spacing w:val="-12"/>
          <w:w w:val="115"/>
          <w:sz w:val="16"/>
        </w:rPr>
        <w:t> </w:t>
      </w:r>
      <w:r>
        <w:rPr>
          <w:w w:val="115"/>
          <w:sz w:val="16"/>
        </w:rPr>
        <w:t>1967.</w:t>
      </w:r>
      <w:r>
        <w:rPr>
          <w:spacing w:val="-12"/>
          <w:w w:val="115"/>
          <w:sz w:val="16"/>
        </w:rPr>
        <w:t> </w:t>
      </w:r>
      <w:r>
        <w:rPr>
          <w:w w:val="115"/>
          <w:sz w:val="16"/>
        </w:rPr>
        <w:t>Esta</w:t>
      </w:r>
      <w:r>
        <w:rPr>
          <w:spacing w:val="-12"/>
          <w:w w:val="115"/>
          <w:sz w:val="16"/>
        </w:rPr>
        <w:t> </w:t>
      </w:r>
      <w:r>
        <w:rPr>
          <w:w w:val="115"/>
          <w:sz w:val="16"/>
        </w:rPr>
        <w:t>iniciativa, surgida</w:t>
      </w:r>
      <w:r>
        <w:rPr>
          <w:spacing w:val="-27"/>
          <w:w w:val="115"/>
          <w:sz w:val="16"/>
        </w:rPr>
        <w:t> </w:t>
      </w:r>
      <w:r>
        <w:rPr>
          <w:w w:val="115"/>
          <w:sz w:val="16"/>
        </w:rPr>
        <w:t>en</w:t>
      </w:r>
      <w:r>
        <w:rPr>
          <w:spacing w:val="-27"/>
          <w:w w:val="115"/>
          <w:sz w:val="16"/>
        </w:rPr>
        <w:t> </w:t>
      </w:r>
      <w:r>
        <w:rPr>
          <w:w w:val="115"/>
          <w:sz w:val="16"/>
        </w:rPr>
        <w:t>asia,</w:t>
      </w:r>
      <w:r>
        <w:rPr>
          <w:spacing w:val="-27"/>
          <w:w w:val="115"/>
          <w:sz w:val="16"/>
        </w:rPr>
        <w:t> </w:t>
      </w:r>
      <w:r>
        <w:rPr>
          <w:w w:val="115"/>
          <w:sz w:val="16"/>
        </w:rPr>
        <w:t>se</w:t>
      </w:r>
      <w:r>
        <w:rPr>
          <w:spacing w:val="-27"/>
          <w:w w:val="115"/>
          <w:sz w:val="16"/>
        </w:rPr>
        <w:t> </w:t>
      </w:r>
      <w:r>
        <w:rPr>
          <w:w w:val="115"/>
          <w:sz w:val="16"/>
        </w:rPr>
        <w:t>caracterizó</w:t>
      </w:r>
      <w:r>
        <w:rPr>
          <w:spacing w:val="-27"/>
          <w:w w:val="115"/>
          <w:sz w:val="16"/>
        </w:rPr>
        <w:t> </w:t>
      </w:r>
      <w:r>
        <w:rPr>
          <w:w w:val="115"/>
          <w:sz w:val="16"/>
        </w:rPr>
        <w:t>por</w:t>
      </w:r>
      <w:r>
        <w:rPr>
          <w:spacing w:val="-27"/>
          <w:w w:val="115"/>
          <w:sz w:val="16"/>
        </w:rPr>
        <w:t> </w:t>
      </w:r>
      <w:r>
        <w:rPr>
          <w:w w:val="115"/>
          <w:sz w:val="16"/>
        </w:rPr>
        <w:t>tener</w:t>
      </w:r>
      <w:r>
        <w:rPr>
          <w:spacing w:val="-27"/>
          <w:w w:val="115"/>
          <w:sz w:val="16"/>
        </w:rPr>
        <w:t> </w:t>
      </w:r>
      <w:r>
        <w:rPr>
          <w:w w:val="115"/>
          <w:sz w:val="16"/>
        </w:rPr>
        <w:t>raíces</w:t>
      </w:r>
      <w:r>
        <w:rPr>
          <w:spacing w:val="-27"/>
          <w:w w:val="115"/>
          <w:sz w:val="16"/>
        </w:rPr>
        <w:t> </w:t>
      </w:r>
      <w:r>
        <w:rPr>
          <w:w w:val="115"/>
          <w:sz w:val="16"/>
        </w:rPr>
        <w:t>culturales</w:t>
      </w:r>
      <w:r>
        <w:rPr>
          <w:spacing w:val="-27"/>
          <w:w w:val="115"/>
          <w:sz w:val="16"/>
        </w:rPr>
        <w:t> </w:t>
      </w:r>
      <w:r>
        <w:rPr>
          <w:w w:val="115"/>
          <w:sz w:val="16"/>
        </w:rPr>
        <w:t>muy</w:t>
      </w:r>
      <w:r>
        <w:rPr>
          <w:spacing w:val="-27"/>
          <w:w w:val="115"/>
          <w:sz w:val="16"/>
        </w:rPr>
        <w:t> </w:t>
      </w:r>
      <w:r>
        <w:rPr>
          <w:w w:val="115"/>
          <w:sz w:val="16"/>
        </w:rPr>
        <w:t>profundas,</w:t>
      </w:r>
      <w:r>
        <w:rPr>
          <w:spacing w:val="-27"/>
          <w:w w:val="115"/>
          <w:sz w:val="16"/>
        </w:rPr>
        <w:t> </w:t>
      </w:r>
      <w:r>
        <w:rPr>
          <w:w w:val="115"/>
          <w:sz w:val="16"/>
        </w:rPr>
        <w:t>y</w:t>
      </w:r>
      <w:r>
        <w:rPr>
          <w:spacing w:val="-27"/>
          <w:w w:val="115"/>
          <w:sz w:val="16"/>
        </w:rPr>
        <w:t> </w:t>
      </w:r>
      <w:r>
        <w:rPr>
          <w:w w:val="115"/>
          <w:sz w:val="16"/>
        </w:rPr>
        <w:t>una</w:t>
      </w:r>
      <w:r>
        <w:rPr>
          <w:spacing w:val="-27"/>
          <w:w w:val="115"/>
          <w:sz w:val="16"/>
        </w:rPr>
        <w:t> </w:t>
      </w:r>
      <w:r>
        <w:rPr>
          <w:w w:val="115"/>
          <w:sz w:val="16"/>
        </w:rPr>
        <w:t>gran disciplina</w:t>
      </w:r>
      <w:r>
        <w:rPr>
          <w:spacing w:val="-26"/>
          <w:w w:val="115"/>
          <w:sz w:val="16"/>
        </w:rPr>
        <w:t> </w:t>
      </w:r>
      <w:r>
        <w:rPr>
          <w:w w:val="115"/>
          <w:sz w:val="16"/>
        </w:rPr>
        <w:t>en</w:t>
      </w:r>
      <w:r>
        <w:rPr>
          <w:spacing w:val="-26"/>
          <w:w w:val="115"/>
          <w:sz w:val="16"/>
        </w:rPr>
        <w:t> </w:t>
      </w:r>
      <w:r>
        <w:rPr>
          <w:w w:val="115"/>
          <w:sz w:val="16"/>
        </w:rPr>
        <w:t>cuestión</w:t>
      </w:r>
      <w:r>
        <w:rPr>
          <w:spacing w:val="-26"/>
          <w:w w:val="115"/>
          <w:sz w:val="16"/>
        </w:rPr>
        <w:t> </w:t>
      </w:r>
      <w:r>
        <w:rPr>
          <w:w w:val="115"/>
          <w:sz w:val="16"/>
        </w:rPr>
        <w:t>de</w:t>
      </w:r>
      <w:r>
        <w:rPr>
          <w:spacing w:val="-26"/>
          <w:w w:val="115"/>
          <w:sz w:val="16"/>
        </w:rPr>
        <w:t> </w:t>
      </w:r>
      <w:r>
        <w:rPr>
          <w:w w:val="115"/>
          <w:sz w:val="16"/>
        </w:rPr>
        <w:t>cumplimiento</w:t>
      </w:r>
      <w:r>
        <w:rPr>
          <w:spacing w:val="-26"/>
          <w:w w:val="115"/>
          <w:sz w:val="16"/>
        </w:rPr>
        <w:t> </w:t>
      </w:r>
      <w:r>
        <w:rPr>
          <w:w w:val="115"/>
          <w:sz w:val="16"/>
        </w:rPr>
        <w:t>de</w:t>
      </w:r>
      <w:r>
        <w:rPr>
          <w:spacing w:val="-26"/>
          <w:w w:val="115"/>
          <w:sz w:val="16"/>
        </w:rPr>
        <w:t> </w:t>
      </w:r>
      <w:r>
        <w:rPr>
          <w:w w:val="115"/>
          <w:sz w:val="16"/>
        </w:rPr>
        <w:t>acuerdos</w:t>
      </w:r>
      <w:r>
        <w:rPr>
          <w:spacing w:val="-26"/>
          <w:w w:val="115"/>
          <w:sz w:val="16"/>
        </w:rPr>
        <w:t> </w:t>
      </w:r>
      <w:r>
        <w:rPr>
          <w:w w:val="115"/>
          <w:sz w:val="16"/>
        </w:rPr>
        <w:t>y</w:t>
      </w:r>
      <w:r>
        <w:rPr>
          <w:spacing w:val="-26"/>
          <w:w w:val="115"/>
          <w:sz w:val="16"/>
        </w:rPr>
        <w:t> </w:t>
      </w:r>
      <w:r>
        <w:rPr>
          <w:w w:val="115"/>
          <w:sz w:val="16"/>
        </w:rPr>
        <w:t>plazos.</w:t>
      </w:r>
      <w:r>
        <w:rPr>
          <w:spacing w:val="-26"/>
          <w:w w:val="115"/>
          <w:sz w:val="16"/>
        </w:rPr>
        <w:t> </w:t>
      </w:r>
      <w:r>
        <w:rPr>
          <w:w w:val="115"/>
          <w:sz w:val="16"/>
        </w:rPr>
        <w:t>después</w:t>
      </w:r>
      <w:r>
        <w:rPr>
          <w:spacing w:val="-26"/>
          <w:w w:val="115"/>
          <w:sz w:val="16"/>
        </w:rPr>
        <w:t> </w:t>
      </w:r>
      <w:r>
        <w:rPr>
          <w:w w:val="115"/>
          <w:sz w:val="16"/>
        </w:rPr>
        <w:t>de</w:t>
      </w:r>
      <w:r>
        <w:rPr>
          <w:spacing w:val="-26"/>
          <w:w w:val="115"/>
          <w:sz w:val="16"/>
        </w:rPr>
        <w:t> </w:t>
      </w:r>
      <w:r>
        <w:rPr>
          <w:w w:val="115"/>
          <w:sz w:val="16"/>
        </w:rPr>
        <w:t>la</w:t>
      </w:r>
      <w:r>
        <w:rPr>
          <w:spacing w:val="-26"/>
          <w:w w:val="115"/>
          <w:sz w:val="16"/>
        </w:rPr>
        <w:t> </w:t>
      </w:r>
      <w:r>
        <w:rPr>
          <w:w w:val="115"/>
          <w:sz w:val="16"/>
        </w:rPr>
        <w:t>declara- </w:t>
      </w:r>
      <w:r>
        <w:rPr>
          <w:w w:val="110"/>
          <w:sz w:val="16"/>
        </w:rPr>
        <w:t>ción</w:t>
      </w:r>
      <w:r>
        <w:rPr>
          <w:spacing w:val="-8"/>
          <w:w w:val="110"/>
          <w:sz w:val="16"/>
        </w:rPr>
        <w:t> </w:t>
      </w:r>
      <w:r>
        <w:rPr>
          <w:w w:val="110"/>
          <w:sz w:val="16"/>
        </w:rPr>
        <w:t>de</w:t>
      </w:r>
      <w:r>
        <w:rPr>
          <w:spacing w:val="-8"/>
          <w:w w:val="110"/>
          <w:sz w:val="16"/>
        </w:rPr>
        <w:t> </w:t>
      </w:r>
      <w:r>
        <w:rPr>
          <w:w w:val="110"/>
          <w:sz w:val="16"/>
        </w:rPr>
        <w:t>bangkok</w:t>
      </w:r>
      <w:r>
        <w:rPr>
          <w:spacing w:val="-8"/>
          <w:w w:val="110"/>
          <w:sz w:val="16"/>
        </w:rPr>
        <w:t> </w:t>
      </w:r>
      <w:r>
        <w:rPr>
          <w:w w:val="110"/>
          <w:sz w:val="16"/>
        </w:rPr>
        <w:t>(1967),</w:t>
      </w:r>
      <w:r>
        <w:rPr>
          <w:spacing w:val="-8"/>
          <w:w w:val="110"/>
          <w:sz w:val="16"/>
        </w:rPr>
        <w:t> </w:t>
      </w:r>
      <w:r>
        <w:rPr>
          <w:w w:val="110"/>
          <w:sz w:val="16"/>
        </w:rPr>
        <w:t>la</w:t>
      </w:r>
      <w:r>
        <w:rPr>
          <w:spacing w:val="-8"/>
          <w:w w:val="110"/>
          <w:sz w:val="16"/>
        </w:rPr>
        <w:t> </w:t>
      </w:r>
      <w:r>
        <w:rPr>
          <w:w w:val="110"/>
          <w:sz w:val="16"/>
        </w:rPr>
        <w:t>integración</w:t>
      </w:r>
      <w:r>
        <w:rPr>
          <w:spacing w:val="-8"/>
          <w:w w:val="110"/>
          <w:sz w:val="16"/>
        </w:rPr>
        <w:t> </w:t>
      </w:r>
      <w:r>
        <w:rPr>
          <w:w w:val="110"/>
          <w:sz w:val="16"/>
        </w:rPr>
        <w:t>ha</w:t>
      </w:r>
      <w:r>
        <w:rPr>
          <w:spacing w:val="-8"/>
          <w:w w:val="110"/>
          <w:sz w:val="16"/>
        </w:rPr>
        <w:t> </w:t>
      </w:r>
      <w:r>
        <w:rPr>
          <w:w w:val="110"/>
          <w:sz w:val="16"/>
        </w:rPr>
        <w:t>ido</w:t>
      </w:r>
      <w:r>
        <w:rPr>
          <w:spacing w:val="-8"/>
          <w:w w:val="110"/>
          <w:sz w:val="16"/>
        </w:rPr>
        <w:t> </w:t>
      </w:r>
      <w:r>
        <w:rPr>
          <w:w w:val="110"/>
          <w:sz w:val="16"/>
        </w:rPr>
        <w:t>avanzando.</w:t>
      </w:r>
      <w:r>
        <w:rPr>
          <w:spacing w:val="-8"/>
          <w:w w:val="110"/>
          <w:sz w:val="16"/>
        </w:rPr>
        <w:t> </w:t>
      </w:r>
      <w:r>
        <w:rPr>
          <w:w w:val="110"/>
          <w:sz w:val="16"/>
        </w:rPr>
        <w:t>se</w:t>
      </w:r>
      <w:r>
        <w:rPr>
          <w:spacing w:val="-8"/>
          <w:w w:val="110"/>
          <w:sz w:val="16"/>
        </w:rPr>
        <w:t> </w:t>
      </w:r>
      <w:r>
        <w:rPr>
          <w:w w:val="110"/>
          <w:sz w:val="16"/>
        </w:rPr>
        <w:t>han</w:t>
      </w:r>
      <w:r>
        <w:rPr>
          <w:spacing w:val="-8"/>
          <w:w w:val="110"/>
          <w:sz w:val="16"/>
        </w:rPr>
        <w:t> </w:t>
      </w:r>
      <w:r>
        <w:rPr>
          <w:w w:val="110"/>
          <w:sz w:val="16"/>
        </w:rPr>
        <w:t>adherido</w:t>
      </w:r>
      <w:r>
        <w:rPr>
          <w:spacing w:val="-8"/>
          <w:w w:val="110"/>
          <w:sz w:val="16"/>
        </w:rPr>
        <w:t> </w:t>
      </w:r>
      <w:r>
        <w:rPr>
          <w:w w:val="110"/>
          <w:sz w:val="16"/>
        </w:rPr>
        <w:t>diferentes </w:t>
      </w:r>
      <w:r>
        <w:rPr>
          <w:w w:val="106"/>
          <w:sz w:val="16"/>
        </w:rPr>
        <w:t>países</w:t>
      </w:r>
      <w:r>
        <w:rPr>
          <w:sz w:val="16"/>
        </w:rPr>
        <w:t> </w:t>
      </w:r>
      <w:r>
        <w:rPr>
          <w:spacing w:val="-14"/>
          <w:sz w:val="16"/>
        </w:rPr>
        <w:t> </w:t>
      </w:r>
      <w:r>
        <w:rPr>
          <w:w w:val="96"/>
          <w:sz w:val="16"/>
        </w:rPr>
        <w:t>(</w:t>
      </w:r>
      <w:r>
        <w:rPr>
          <w:w w:val="131"/>
          <w:sz w:val="16"/>
        </w:rPr>
        <w:t>b</w:t>
      </w:r>
      <w:r>
        <w:rPr>
          <w:w w:val="107"/>
          <w:sz w:val="16"/>
        </w:rPr>
        <w:t>runei</w:t>
      </w:r>
      <w:r>
        <w:rPr>
          <w:sz w:val="16"/>
        </w:rPr>
        <w:t> </w:t>
      </w:r>
      <w:r>
        <w:rPr>
          <w:spacing w:val="-14"/>
          <w:sz w:val="16"/>
        </w:rPr>
        <w:t> </w:t>
      </w:r>
      <w:r>
        <w:rPr>
          <w:w w:val="136"/>
          <w:sz w:val="16"/>
        </w:rPr>
        <w:t>d</w:t>
      </w:r>
      <w:r>
        <w:rPr>
          <w:w w:val="109"/>
          <w:sz w:val="16"/>
        </w:rPr>
        <w:t>arussalam,</w:t>
      </w:r>
      <w:r>
        <w:rPr>
          <w:sz w:val="16"/>
        </w:rPr>
        <w:t> </w:t>
      </w:r>
      <w:r>
        <w:rPr>
          <w:spacing w:val="-14"/>
          <w:sz w:val="16"/>
        </w:rPr>
        <w:t> </w:t>
      </w:r>
      <w:r>
        <w:rPr>
          <w:spacing w:val="-9"/>
          <w:w w:val="116"/>
          <w:sz w:val="16"/>
        </w:rPr>
        <w:t>V</w:t>
      </w:r>
      <w:r>
        <w:rPr>
          <w:w w:val="110"/>
          <w:sz w:val="16"/>
        </w:rPr>
        <w:t>ietnam,</w:t>
      </w:r>
      <w:r>
        <w:rPr>
          <w:sz w:val="16"/>
        </w:rPr>
        <w:t> </w:t>
      </w:r>
      <w:r>
        <w:rPr>
          <w:spacing w:val="-14"/>
          <w:sz w:val="16"/>
        </w:rPr>
        <w:t> </w:t>
      </w:r>
      <w:r>
        <w:rPr>
          <w:w w:val="238"/>
          <w:sz w:val="16"/>
        </w:rPr>
        <w:t>l</w:t>
      </w:r>
      <w:r>
        <w:rPr>
          <w:w w:val="110"/>
          <w:sz w:val="16"/>
        </w:rPr>
        <w:t>aos,</w:t>
      </w:r>
      <w:r>
        <w:rPr>
          <w:sz w:val="16"/>
        </w:rPr>
        <w:t> </w:t>
      </w:r>
      <w:r>
        <w:rPr>
          <w:spacing w:val="-14"/>
          <w:sz w:val="16"/>
        </w:rPr>
        <w:t> </w:t>
      </w:r>
      <w:r>
        <w:rPr>
          <w:w w:val="110"/>
          <w:sz w:val="16"/>
        </w:rPr>
        <w:t>Myanmar</w:t>
      </w:r>
      <w:r>
        <w:rPr>
          <w:sz w:val="16"/>
        </w:rPr>
        <w:t> </w:t>
      </w:r>
      <w:r>
        <w:rPr>
          <w:spacing w:val="-14"/>
          <w:sz w:val="16"/>
        </w:rPr>
        <w:t> </w:t>
      </w:r>
      <w:r>
        <w:rPr>
          <w:w w:val="102"/>
          <w:sz w:val="16"/>
        </w:rPr>
        <w:t>y</w:t>
      </w:r>
      <w:r>
        <w:rPr>
          <w:sz w:val="16"/>
        </w:rPr>
        <w:t> </w:t>
      </w:r>
      <w:r>
        <w:rPr>
          <w:spacing w:val="-14"/>
          <w:sz w:val="16"/>
        </w:rPr>
        <w:t> </w:t>
      </w:r>
      <w:r>
        <w:rPr>
          <w:w w:val="110"/>
          <w:sz w:val="16"/>
        </w:rPr>
        <w:t>Camboya).</w:t>
      </w:r>
      <w:r>
        <w:rPr>
          <w:sz w:val="16"/>
        </w:rPr>
        <w:t> </w:t>
      </w:r>
      <w:r>
        <w:rPr>
          <w:spacing w:val="-14"/>
          <w:sz w:val="16"/>
        </w:rPr>
        <w:t> </w:t>
      </w:r>
      <w:r>
        <w:rPr>
          <w:w w:val="146"/>
          <w:sz w:val="16"/>
        </w:rPr>
        <w:t>s</w:t>
      </w:r>
      <w:r>
        <w:rPr>
          <w:w w:val="102"/>
          <w:sz w:val="16"/>
        </w:rPr>
        <w:t>e</w:t>
      </w:r>
      <w:r>
        <w:rPr>
          <w:sz w:val="16"/>
        </w:rPr>
        <w:t> </w:t>
      </w:r>
      <w:r>
        <w:rPr>
          <w:spacing w:val="-14"/>
          <w:sz w:val="16"/>
        </w:rPr>
        <w:t> </w:t>
      </w:r>
      <w:r>
        <w:rPr>
          <w:w w:val="110"/>
          <w:sz w:val="16"/>
        </w:rPr>
        <w:t>han</w:t>
      </w:r>
      <w:r>
        <w:rPr>
          <w:sz w:val="16"/>
        </w:rPr>
        <w:t> </w:t>
      </w:r>
      <w:r>
        <w:rPr>
          <w:spacing w:val="-14"/>
          <w:sz w:val="16"/>
        </w:rPr>
        <w:t> </w:t>
      </w:r>
      <w:r>
        <w:rPr>
          <w:w w:val="107"/>
          <w:sz w:val="16"/>
        </w:rPr>
        <w:t>firmado </w:t>
      </w:r>
      <w:r>
        <w:rPr>
          <w:w w:val="115"/>
          <w:sz w:val="16"/>
        </w:rPr>
        <w:t>pactos</w:t>
      </w:r>
      <w:r>
        <w:rPr>
          <w:spacing w:val="-5"/>
          <w:w w:val="115"/>
          <w:sz w:val="16"/>
        </w:rPr>
        <w:t> </w:t>
      </w:r>
      <w:r>
        <w:rPr>
          <w:w w:val="115"/>
          <w:sz w:val="16"/>
        </w:rPr>
        <w:t>de</w:t>
      </w:r>
      <w:r>
        <w:rPr>
          <w:spacing w:val="-5"/>
          <w:w w:val="115"/>
          <w:sz w:val="16"/>
        </w:rPr>
        <w:t> </w:t>
      </w:r>
      <w:r>
        <w:rPr>
          <w:w w:val="115"/>
          <w:sz w:val="16"/>
        </w:rPr>
        <w:t>paz</w:t>
      </w:r>
      <w:r>
        <w:rPr>
          <w:spacing w:val="-5"/>
          <w:w w:val="115"/>
          <w:sz w:val="16"/>
        </w:rPr>
        <w:t> </w:t>
      </w:r>
      <w:r>
        <w:rPr>
          <w:w w:val="115"/>
          <w:sz w:val="16"/>
        </w:rPr>
        <w:t>(tratado</w:t>
      </w:r>
      <w:r>
        <w:rPr>
          <w:spacing w:val="-5"/>
          <w:w w:val="115"/>
          <w:sz w:val="16"/>
        </w:rPr>
        <w:t> </w:t>
      </w:r>
      <w:r>
        <w:rPr>
          <w:w w:val="115"/>
          <w:sz w:val="16"/>
        </w:rPr>
        <w:t>de</w:t>
      </w:r>
      <w:r>
        <w:rPr>
          <w:spacing w:val="-5"/>
          <w:w w:val="115"/>
          <w:sz w:val="16"/>
        </w:rPr>
        <w:t> </w:t>
      </w:r>
      <w:r>
        <w:rPr>
          <w:w w:val="115"/>
          <w:sz w:val="16"/>
        </w:rPr>
        <w:t>amistad</w:t>
      </w:r>
      <w:r>
        <w:rPr>
          <w:spacing w:val="-5"/>
          <w:w w:val="115"/>
          <w:sz w:val="16"/>
        </w:rPr>
        <w:t> </w:t>
      </w:r>
      <w:r>
        <w:rPr>
          <w:w w:val="115"/>
          <w:sz w:val="16"/>
        </w:rPr>
        <w:t>y</w:t>
      </w:r>
      <w:r>
        <w:rPr>
          <w:spacing w:val="-5"/>
          <w:w w:val="115"/>
          <w:sz w:val="16"/>
        </w:rPr>
        <w:t> </w:t>
      </w:r>
      <w:r>
        <w:rPr>
          <w:w w:val="115"/>
          <w:sz w:val="16"/>
        </w:rPr>
        <w:t>Cooperación</w:t>
      </w:r>
      <w:r>
        <w:rPr>
          <w:spacing w:val="-5"/>
          <w:w w:val="115"/>
          <w:sz w:val="16"/>
        </w:rPr>
        <w:t> </w:t>
      </w:r>
      <w:r>
        <w:rPr>
          <w:w w:val="115"/>
          <w:sz w:val="16"/>
        </w:rPr>
        <w:t>en</w:t>
      </w:r>
      <w:r>
        <w:rPr>
          <w:spacing w:val="-5"/>
          <w:w w:val="115"/>
          <w:sz w:val="16"/>
        </w:rPr>
        <w:t> </w:t>
      </w:r>
      <w:r>
        <w:rPr>
          <w:w w:val="115"/>
          <w:sz w:val="16"/>
        </w:rPr>
        <w:t>el</w:t>
      </w:r>
      <w:r>
        <w:rPr>
          <w:spacing w:val="-5"/>
          <w:w w:val="115"/>
          <w:sz w:val="16"/>
        </w:rPr>
        <w:t> </w:t>
      </w:r>
      <w:r>
        <w:rPr>
          <w:w w:val="115"/>
          <w:sz w:val="16"/>
        </w:rPr>
        <w:t>sudeste</w:t>
      </w:r>
      <w:r>
        <w:rPr>
          <w:spacing w:val="-5"/>
          <w:w w:val="115"/>
          <w:sz w:val="16"/>
        </w:rPr>
        <w:t> </w:t>
      </w:r>
      <w:r>
        <w:rPr>
          <w:w w:val="115"/>
          <w:sz w:val="16"/>
        </w:rPr>
        <w:t>asiático).</w:t>
      </w:r>
      <w:r>
        <w:rPr>
          <w:spacing w:val="-5"/>
          <w:w w:val="115"/>
          <w:sz w:val="16"/>
        </w:rPr>
        <w:t> </w:t>
      </w:r>
      <w:r>
        <w:rPr>
          <w:spacing w:val="-3"/>
          <w:w w:val="115"/>
          <w:sz w:val="16"/>
        </w:rPr>
        <w:t>también </w:t>
      </w:r>
      <w:r>
        <w:rPr>
          <w:w w:val="115"/>
          <w:sz w:val="16"/>
        </w:rPr>
        <w:t>se</w:t>
      </w:r>
      <w:r>
        <w:rPr>
          <w:spacing w:val="-8"/>
          <w:w w:val="115"/>
          <w:sz w:val="16"/>
        </w:rPr>
        <w:t> </w:t>
      </w:r>
      <w:r>
        <w:rPr>
          <w:w w:val="115"/>
          <w:sz w:val="16"/>
        </w:rPr>
        <w:t>firmaron</w:t>
      </w:r>
      <w:r>
        <w:rPr>
          <w:spacing w:val="-8"/>
          <w:w w:val="115"/>
          <w:sz w:val="16"/>
        </w:rPr>
        <w:t> </w:t>
      </w:r>
      <w:r>
        <w:rPr>
          <w:w w:val="115"/>
          <w:sz w:val="16"/>
        </w:rPr>
        <w:t>acuerdos</w:t>
      </w:r>
      <w:r>
        <w:rPr>
          <w:spacing w:val="-8"/>
          <w:w w:val="115"/>
          <w:sz w:val="16"/>
        </w:rPr>
        <w:t> </w:t>
      </w:r>
      <w:r>
        <w:rPr>
          <w:w w:val="115"/>
          <w:sz w:val="16"/>
        </w:rPr>
        <w:t>comerciales</w:t>
      </w:r>
      <w:r>
        <w:rPr>
          <w:spacing w:val="-8"/>
          <w:w w:val="115"/>
          <w:sz w:val="16"/>
        </w:rPr>
        <w:t> </w:t>
      </w:r>
      <w:r>
        <w:rPr>
          <w:w w:val="115"/>
          <w:sz w:val="16"/>
        </w:rPr>
        <w:t>(acuerdo</w:t>
      </w:r>
      <w:r>
        <w:rPr>
          <w:spacing w:val="-8"/>
          <w:w w:val="115"/>
          <w:sz w:val="16"/>
        </w:rPr>
        <w:t> </w:t>
      </w:r>
      <w:r>
        <w:rPr>
          <w:w w:val="115"/>
          <w:sz w:val="16"/>
        </w:rPr>
        <w:t>sobre</w:t>
      </w:r>
      <w:r>
        <w:rPr>
          <w:spacing w:val="-8"/>
          <w:w w:val="115"/>
          <w:sz w:val="16"/>
        </w:rPr>
        <w:t> </w:t>
      </w:r>
      <w:r>
        <w:rPr>
          <w:w w:val="115"/>
          <w:sz w:val="16"/>
        </w:rPr>
        <w:t>la</w:t>
      </w:r>
      <w:r>
        <w:rPr>
          <w:spacing w:val="-8"/>
          <w:w w:val="115"/>
          <w:sz w:val="16"/>
        </w:rPr>
        <w:t> </w:t>
      </w:r>
      <w:r>
        <w:rPr>
          <w:spacing w:val="-3"/>
          <w:w w:val="115"/>
          <w:sz w:val="16"/>
        </w:rPr>
        <w:t>tarifa</w:t>
      </w:r>
      <w:r>
        <w:rPr>
          <w:spacing w:val="-8"/>
          <w:w w:val="115"/>
          <w:sz w:val="16"/>
        </w:rPr>
        <w:t> </w:t>
      </w:r>
      <w:r>
        <w:rPr>
          <w:w w:val="115"/>
          <w:sz w:val="16"/>
        </w:rPr>
        <w:t>Preferencial</w:t>
      </w:r>
      <w:r>
        <w:rPr>
          <w:spacing w:val="-8"/>
          <w:w w:val="115"/>
          <w:sz w:val="16"/>
        </w:rPr>
        <w:t> </w:t>
      </w:r>
      <w:r>
        <w:rPr>
          <w:w w:val="115"/>
          <w:sz w:val="16"/>
        </w:rPr>
        <w:t>Común)</w:t>
      </w:r>
      <w:r>
        <w:rPr>
          <w:spacing w:val="-8"/>
          <w:w w:val="115"/>
          <w:sz w:val="16"/>
        </w:rPr>
        <w:t> </w:t>
      </w:r>
      <w:r>
        <w:rPr>
          <w:w w:val="115"/>
          <w:sz w:val="16"/>
        </w:rPr>
        <w:t>y se</w:t>
      </w:r>
      <w:r>
        <w:rPr>
          <w:spacing w:val="-16"/>
          <w:w w:val="115"/>
          <w:sz w:val="16"/>
        </w:rPr>
        <w:t> </w:t>
      </w:r>
      <w:r>
        <w:rPr>
          <w:w w:val="115"/>
          <w:sz w:val="16"/>
        </w:rPr>
        <w:t>aprobaron</w:t>
      </w:r>
      <w:r>
        <w:rPr>
          <w:spacing w:val="-16"/>
          <w:w w:val="115"/>
          <w:sz w:val="16"/>
        </w:rPr>
        <w:t> </w:t>
      </w:r>
      <w:r>
        <w:rPr>
          <w:w w:val="115"/>
          <w:sz w:val="16"/>
        </w:rPr>
        <w:t>planes</w:t>
      </w:r>
      <w:r>
        <w:rPr>
          <w:spacing w:val="-16"/>
          <w:w w:val="115"/>
          <w:sz w:val="16"/>
        </w:rPr>
        <w:t> </w:t>
      </w:r>
      <w:r>
        <w:rPr>
          <w:w w:val="115"/>
          <w:sz w:val="16"/>
        </w:rPr>
        <w:t>de</w:t>
      </w:r>
      <w:r>
        <w:rPr>
          <w:spacing w:val="-16"/>
          <w:w w:val="115"/>
          <w:sz w:val="16"/>
        </w:rPr>
        <w:t> </w:t>
      </w:r>
      <w:r>
        <w:rPr>
          <w:w w:val="115"/>
          <w:sz w:val="16"/>
        </w:rPr>
        <w:t>acción</w:t>
      </w:r>
      <w:r>
        <w:rPr>
          <w:spacing w:val="-16"/>
          <w:w w:val="115"/>
          <w:sz w:val="16"/>
        </w:rPr>
        <w:t> </w:t>
      </w:r>
      <w:r>
        <w:rPr>
          <w:w w:val="115"/>
          <w:sz w:val="16"/>
        </w:rPr>
        <w:t>(Plan</w:t>
      </w:r>
      <w:r>
        <w:rPr>
          <w:spacing w:val="-16"/>
          <w:w w:val="115"/>
          <w:sz w:val="16"/>
        </w:rPr>
        <w:t> </w:t>
      </w:r>
      <w:r>
        <w:rPr>
          <w:w w:val="115"/>
          <w:sz w:val="16"/>
        </w:rPr>
        <w:t>de</w:t>
      </w:r>
      <w:r>
        <w:rPr>
          <w:spacing w:val="-16"/>
          <w:w w:val="115"/>
          <w:sz w:val="16"/>
        </w:rPr>
        <w:t> </w:t>
      </w:r>
      <w:r>
        <w:rPr>
          <w:w w:val="115"/>
          <w:sz w:val="16"/>
        </w:rPr>
        <w:t>acción</w:t>
      </w:r>
      <w:r>
        <w:rPr>
          <w:spacing w:val="-16"/>
          <w:w w:val="115"/>
          <w:sz w:val="16"/>
        </w:rPr>
        <w:t> </w:t>
      </w:r>
      <w:r>
        <w:rPr>
          <w:w w:val="115"/>
          <w:sz w:val="16"/>
        </w:rPr>
        <w:t>de</w:t>
      </w:r>
      <w:r>
        <w:rPr>
          <w:spacing w:val="-16"/>
          <w:w w:val="115"/>
          <w:sz w:val="16"/>
        </w:rPr>
        <w:t> </w:t>
      </w:r>
      <w:r>
        <w:rPr>
          <w:w w:val="115"/>
          <w:sz w:val="16"/>
        </w:rPr>
        <w:t>Hanoi),</w:t>
      </w:r>
      <w:r>
        <w:rPr>
          <w:spacing w:val="-16"/>
          <w:w w:val="115"/>
          <w:sz w:val="16"/>
        </w:rPr>
        <w:t> </w:t>
      </w:r>
      <w:r>
        <w:rPr>
          <w:w w:val="115"/>
          <w:sz w:val="16"/>
        </w:rPr>
        <w:t>así</w:t>
      </w:r>
      <w:r>
        <w:rPr>
          <w:spacing w:val="-16"/>
          <w:w w:val="115"/>
          <w:sz w:val="16"/>
        </w:rPr>
        <w:t> </w:t>
      </w:r>
      <w:r>
        <w:rPr>
          <w:w w:val="115"/>
          <w:sz w:val="16"/>
        </w:rPr>
        <w:t>como</w:t>
      </w:r>
      <w:r>
        <w:rPr>
          <w:spacing w:val="-16"/>
          <w:w w:val="115"/>
          <w:sz w:val="16"/>
        </w:rPr>
        <w:t> </w:t>
      </w:r>
      <w:r>
        <w:rPr>
          <w:w w:val="115"/>
          <w:sz w:val="16"/>
        </w:rPr>
        <w:t>Mecanismos</w:t>
      </w:r>
      <w:r>
        <w:rPr>
          <w:spacing w:val="-16"/>
          <w:w w:val="115"/>
          <w:sz w:val="16"/>
        </w:rPr>
        <w:t> </w:t>
      </w:r>
      <w:r>
        <w:rPr>
          <w:w w:val="115"/>
          <w:sz w:val="16"/>
        </w:rPr>
        <w:t>de </w:t>
      </w:r>
      <w:r>
        <w:rPr>
          <w:w w:val="110"/>
          <w:sz w:val="16"/>
        </w:rPr>
        <w:t>Cooperación</w:t>
      </w:r>
      <w:r>
        <w:rPr>
          <w:spacing w:val="8"/>
          <w:w w:val="110"/>
          <w:sz w:val="16"/>
        </w:rPr>
        <w:t> </w:t>
      </w:r>
      <w:r>
        <w:rPr>
          <w:w w:val="110"/>
          <w:sz w:val="16"/>
        </w:rPr>
        <w:t>industrial.</w:t>
      </w:r>
    </w:p>
    <w:p>
      <w:pPr>
        <w:spacing w:after="0" w:line="242" w:lineRule="auto"/>
        <w:jc w:val="both"/>
        <w:rPr>
          <w:sz w:val="16"/>
        </w:rPr>
        <w:sectPr>
          <w:headerReference w:type="default" r:id="rId126"/>
          <w:headerReference w:type="even" r:id="rId127"/>
          <w:footerReference w:type="default" r:id="rId128"/>
          <w:footerReference w:type="even" r:id="rId129"/>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w w:val="115"/>
        </w:rPr>
        <w:t>controlar</w:t>
      </w:r>
      <w:r>
        <w:rPr>
          <w:spacing w:val="-4"/>
          <w:w w:val="115"/>
        </w:rPr>
        <w:t> </w:t>
      </w:r>
      <w:r>
        <w:rPr>
          <w:w w:val="115"/>
        </w:rPr>
        <w:t>parte</w:t>
      </w:r>
      <w:r>
        <w:rPr>
          <w:spacing w:val="-4"/>
          <w:w w:val="115"/>
        </w:rPr>
        <w:t> </w:t>
      </w:r>
      <w:r>
        <w:rPr>
          <w:w w:val="115"/>
        </w:rPr>
        <w:t>de</w:t>
      </w:r>
      <w:r>
        <w:rPr>
          <w:spacing w:val="-4"/>
          <w:w w:val="115"/>
        </w:rPr>
        <w:t> </w:t>
      </w:r>
      <w:r>
        <w:rPr>
          <w:w w:val="115"/>
        </w:rPr>
        <w:t>la</w:t>
      </w:r>
      <w:r>
        <w:rPr>
          <w:spacing w:val="-4"/>
          <w:w w:val="115"/>
        </w:rPr>
        <w:t> </w:t>
      </w:r>
      <w:r>
        <w:rPr>
          <w:w w:val="115"/>
        </w:rPr>
        <w:t>supuesta</w:t>
      </w:r>
      <w:r>
        <w:rPr>
          <w:spacing w:val="-4"/>
          <w:w w:val="115"/>
        </w:rPr>
        <w:t> </w:t>
      </w:r>
      <w:r>
        <w:rPr>
          <w:w w:val="115"/>
        </w:rPr>
        <w:t>área</w:t>
      </w:r>
      <w:r>
        <w:rPr>
          <w:spacing w:val="-4"/>
          <w:w w:val="115"/>
        </w:rPr>
        <w:t> </w:t>
      </w:r>
      <w:r>
        <w:rPr>
          <w:w w:val="115"/>
        </w:rPr>
        <w:t>central,</w:t>
      </w:r>
      <w:r>
        <w:rPr>
          <w:spacing w:val="-4"/>
          <w:w w:val="115"/>
        </w:rPr>
        <w:t> </w:t>
      </w:r>
      <w:r>
        <w:rPr>
          <w:w w:val="115"/>
        </w:rPr>
        <w:t>esta</w:t>
      </w:r>
      <w:r>
        <w:rPr>
          <w:spacing w:val="-4"/>
          <w:w w:val="115"/>
        </w:rPr>
        <w:t> </w:t>
      </w:r>
      <w:r>
        <w:rPr>
          <w:w w:val="115"/>
        </w:rPr>
        <w:t>teoría</w:t>
      </w:r>
      <w:r>
        <w:rPr>
          <w:spacing w:val="-4"/>
          <w:w w:val="115"/>
        </w:rPr>
        <w:t> </w:t>
      </w:r>
      <w:r>
        <w:rPr>
          <w:w w:val="115"/>
        </w:rPr>
        <w:t>se</w:t>
      </w:r>
      <w:r>
        <w:rPr>
          <w:spacing w:val="-4"/>
          <w:w w:val="115"/>
        </w:rPr>
        <w:t> </w:t>
      </w:r>
      <w:r>
        <w:rPr>
          <w:w w:val="115"/>
        </w:rPr>
        <w:t>ha</w:t>
      </w:r>
      <w:r>
        <w:rPr>
          <w:spacing w:val="-4"/>
          <w:w w:val="115"/>
        </w:rPr>
        <w:t> </w:t>
      </w:r>
      <w:r>
        <w:rPr>
          <w:w w:val="115"/>
        </w:rPr>
        <w:t>mante- nido</w:t>
      </w:r>
      <w:r>
        <w:rPr>
          <w:spacing w:val="-9"/>
          <w:w w:val="115"/>
        </w:rPr>
        <w:t> </w:t>
      </w:r>
      <w:r>
        <w:rPr>
          <w:w w:val="115"/>
        </w:rPr>
        <w:t>influyendo</w:t>
      </w:r>
      <w:r>
        <w:rPr>
          <w:spacing w:val="-9"/>
          <w:w w:val="115"/>
        </w:rPr>
        <w:t> </w:t>
      </w:r>
      <w:r>
        <w:rPr>
          <w:w w:val="115"/>
        </w:rPr>
        <w:t>de</w:t>
      </w:r>
      <w:r>
        <w:rPr>
          <w:spacing w:val="-9"/>
          <w:w w:val="115"/>
        </w:rPr>
        <w:t> </w:t>
      </w:r>
      <w:r>
        <w:rPr>
          <w:w w:val="115"/>
        </w:rPr>
        <w:t>manera</w:t>
      </w:r>
      <w:r>
        <w:rPr>
          <w:spacing w:val="-9"/>
          <w:w w:val="115"/>
        </w:rPr>
        <w:t> </w:t>
      </w:r>
      <w:r>
        <w:rPr>
          <w:w w:val="115"/>
        </w:rPr>
        <w:t>recurrente,</w:t>
      </w:r>
      <w:r>
        <w:rPr>
          <w:spacing w:val="-9"/>
          <w:w w:val="115"/>
        </w:rPr>
        <w:t> </w:t>
      </w:r>
      <w:r>
        <w:rPr>
          <w:w w:val="115"/>
        </w:rPr>
        <w:t>tanto</w:t>
      </w:r>
      <w:r>
        <w:rPr>
          <w:spacing w:val="-9"/>
          <w:w w:val="115"/>
        </w:rPr>
        <w:t> </w:t>
      </w:r>
      <w:r>
        <w:rPr>
          <w:w w:val="115"/>
        </w:rPr>
        <w:t>en</w:t>
      </w:r>
      <w:r>
        <w:rPr>
          <w:spacing w:val="-9"/>
          <w:w w:val="115"/>
        </w:rPr>
        <w:t> </w:t>
      </w:r>
      <w:r>
        <w:rPr>
          <w:w w:val="115"/>
        </w:rPr>
        <w:t>la</w:t>
      </w:r>
      <w:r>
        <w:rPr>
          <w:spacing w:val="-9"/>
          <w:w w:val="115"/>
        </w:rPr>
        <w:t> </w:t>
      </w:r>
      <w:r>
        <w:rPr>
          <w:w w:val="115"/>
        </w:rPr>
        <w:t>teoría</w:t>
      </w:r>
      <w:r>
        <w:rPr>
          <w:spacing w:val="-9"/>
          <w:w w:val="115"/>
        </w:rPr>
        <w:t> </w:t>
      </w:r>
      <w:r>
        <w:rPr>
          <w:w w:val="115"/>
        </w:rPr>
        <w:t>geopolítica como en las acciones de las potencias mundiales. </w:t>
      </w:r>
      <w:r>
        <w:rPr>
          <w:spacing w:val="-6"/>
          <w:w w:val="115"/>
        </w:rPr>
        <w:t>tal </w:t>
      </w:r>
      <w:r>
        <w:rPr>
          <w:w w:val="115"/>
        </w:rPr>
        <w:t>fue el caso de la</w:t>
      </w:r>
      <w:r>
        <w:rPr>
          <w:spacing w:val="-3"/>
          <w:w w:val="115"/>
        </w:rPr>
        <w:t> </w:t>
      </w:r>
      <w:r>
        <w:rPr>
          <w:w w:val="115"/>
        </w:rPr>
        <w:t>alemania</w:t>
      </w:r>
      <w:r>
        <w:rPr>
          <w:spacing w:val="-3"/>
          <w:w w:val="115"/>
        </w:rPr>
        <w:t> </w:t>
      </w:r>
      <w:r>
        <w:rPr>
          <w:w w:val="115"/>
        </w:rPr>
        <w:t>fascista</w:t>
      </w:r>
      <w:r>
        <w:rPr>
          <w:spacing w:val="-3"/>
          <w:w w:val="115"/>
        </w:rPr>
        <w:t> </w:t>
      </w:r>
      <w:r>
        <w:rPr>
          <w:w w:val="115"/>
        </w:rPr>
        <w:t>que</w:t>
      </w:r>
      <w:r>
        <w:rPr>
          <w:spacing w:val="-3"/>
          <w:w w:val="115"/>
        </w:rPr>
        <w:t> </w:t>
      </w:r>
      <w:r>
        <w:rPr>
          <w:w w:val="115"/>
        </w:rPr>
        <w:t>adoptó</w:t>
      </w:r>
      <w:r>
        <w:rPr>
          <w:spacing w:val="-3"/>
          <w:w w:val="115"/>
        </w:rPr>
        <w:t> </w:t>
      </w:r>
      <w:r>
        <w:rPr>
          <w:w w:val="115"/>
        </w:rPr>
        <w:t>la</w:t>
      </w:r>
      <w:r>
        <w:rPr>
          <w:spacing w:val="-3"/>
          <w:w w:val="115"/>
        </w:rPr>
        <w:t> </w:t>
      </w:r>
      <w:r>
        <w:rPr>
          <w:w w:val="115"/>
        </w:rPr>
        <w:t>idea</w:t>
      </w:r>
      <w:r>
        <w:rPr>
          <w:spacing w:val="-3"/>
          <w:w w:val="115"/>
        </w:rPr>
        <w:t> </w:t>
      </w:r>
      <w:r>
        <w:rPr>
          <w:w w:val="115"/>
        </w:rPr>
        <w:t>del</w:t>
      </w:r>
      <w:r>
        <w:rPr>
          <w:spacing w:val="-3"/>
          <w:w w:val="115"/>
        </w:rPr>
        <w:t> </w:t>
      </w:r>
      <w:r>
        <w:rPr>
          <w:w w:val="115"/>
        </w:rPr>
        <w:t>Área</w:t>
      </w:r>
      <w:r>
        <w:rPr>
          <w:spacing w:val="-3"/>
          <w:w w:val="115"/>
        </w:rPr>
        <w:t> </w:t>
      </w:r>
      <w:r>
        <w:rPr>
          <w:w w:val="115"/>
        </w:rPr>
        <w:t>Central</w:t>
      </w:r>
      <w:r>
        <w:rPr>
          <w:spacing w:val="-3"/>
          <w:w w:val="115"/>
        </w:rPr>
        <w:t> </w:t>
      </w:r>
      <w:r>
        <w:rPr>
          <w:w w:val="115"/>
        </w:rPr>
        <w:t>en</w:t>
      </w:r>
      <w:r>
        <w:rPr>
          <w:spacing w:val="-3"/>
          <w:w w:val="115"/>
        </w:rPr>
        <w:t> </w:t>
      </w:r>
      <w:r>
        <w:rPr>
          <w:w w:val="115"/>
        </w:rPr>
        <w:t>su</w:t>
      </w:r>
      <w:r>
        <w:rPr>
          <w:spacing w:val="-3"/>
          <w:w w:val="115"/>
        </w:rPr>
        <w:t> </w:t>
      </w:r>
      <w:r>
        <w:rPr>
          <w:w w:val="115"/>
        </w:rPr>
        <w:t>políti- ca</w:t>
      </w:r>
      <w:r>
        <w:rPr>
          <w:spacing w:val="-15"/>
          <w:w w:val="115"/>
        </w:rPr>
        <w:t> </w:t>
      </w:r>
      <w:r>
        <w:rPr>
          <w:w w:val="115"/>
        </w:rPr>
        <w:t>expansionista.</w:t>
      </w:r>
      <w:r>
        <w:rPr>
          <w:spacing w:val="-15"/>
          <w:w w:val="115"/>
        </w:rPr>
        <w:t> </w:t>
      </w:r>
      <w:r>
        <w:rPr>
          <w:w w:val="115"/>
        </w:rPr>
        <w:t>otros</w:t>
      </w:r>
      <w:r>
        <w:rPr>
          <w:spacing w:val="-15"/>
          <w:w w:val="115"/>
        </w:rPr>
        <w:t> </w:t>
      </w:r>
      <w:r>
        <w:rPr>
          <w:w w:val="115"/>
        </w:rPr>
        <w:t>expertos</w:t>
      </w:r>
      <w:r>
        <w:rPr>
          <w:spacing w:val="-15"/>
          <w:w w:val="115"/>
        </w:rPr>
        <w:t> </w:t>
      </w:r>
      <w:r>
        <w:rPr>
          <w:w w:val="115"/>
        </w:rPr>
        <w:t>también</w:t>
      </w:r>
      <w:r>
        <w:rPr>
          <w:spacing w:val="-15"/>
          <w:w w:val="115"/>
        </w:rPr>
        <w:t> </w:t>
      </w:r>
      <w:r>
        <w:rPr>
          <w:w w:val="115"/>
        </w:rPr>
        <w:t>argumentan</w:t>
      </w:r>
      <w:r>
        <w:rPr>
          <w:spacing w:val="-15"/>
          <w:w w:val="115"/>
        </w:rPr>
        <w:t> </w:t>
      </w:r>
      <w:r>
        <w:rPr>
          <w:w w:val="115"/>
        </w:rPr>
        <w:t>que</w:t>
      </w:r>
      <w:r>
        <w:rPr>
          <w:spacing w:val="-15"/>
          <w:w w:val="115"/>
        </w:rPr>
        <w:t> </w:t>
      </w:r>
      <w:r>
        <w:rPr>
          <w:w w:val="115"/>
        </w:rPr>
        <w:t>en</w:t>
      </w:r>
      <w:r>
        <w:rPr>
          <w:spacing w:val="-15"/>
          <w:w w:val="115"/>
        </w:rPr>
        <w:t> </w:t>
      </w:r>
      <w:r>
        <w:rPr>
          <w:w w:val="115"/>
        </w:rPr>
        <w:t>el</w:t>
      </w:r>
      <w:r>
        <w:rPr>
          <w:spacing w:val="-15"/>
          <w:w w:val="115"/>
        </w:rPr>
        <w:t> </w:t>
      </w:r>
      <w:r>
        <w:rPr>
          <w:w w:val="115"/>
        </w:rPr>
        <w:t>siglo </w:t>
      </w:r>
      <w:r>
        <w:rPr>
          <w:w w:val="130"/>
        </w:rPr>
        <w:t>xxi </w:t>
      </w:r>
      <w:r>
        <w:rPr>
          <w:w w:val="115"/>
        </w:rPr>
        <w:t>la influencia del pensamiento de Mackinder está presente en el “pivote”</w:t>
      </w:r>
      <w:r>
        <w:rPr>
          <w:spacing w:val="-28"/>
          <w:w w:val="115"/>
        </w:rPr>
        <w:t> </w:t>
      </w:r>
      <w:r>
        <w:rPr>
          <w:w w:val="115"/>
        </w:rPr>
        <w:t>que</w:t>
      </w:r>
      <w:r>
        <w:rPr>
          <w:spacing w:val="-28"/>
          <w:w w:val="115"/>
        </w:rPr>
        <w:t> </w:t>
      </w:r>
      <w:r>
        <w:rPr>
          <w:w w:val="115"/>
        </w:rPr>
        <w:t>Estados</w:t>
      </w:r>
      <w:r>
        <w:rPr>
          <w:spacing w:val="-28"/>
          <w:w w:val="115"/>
        </w:rPr>
        <w:t> </w:t>
      </w:r>
      <w:r>
        <w:rPr>
          <w:w w:val="115"/>
        </w:rPr>
        <w:t>unidos</w:t>
      </w:r>
      <w:r>
        <w:rPr>
          <w:spacing w:val="-28"/>
          <w:w w:val="115"/>
        </w:rPr>
        <w:t> </w:t>
      </w:r>
      <w:r>
        <w:rPr>
          <w:w w:val="115"/>
        </w:rPr>
        <w:t>entreteje</w:t>
      </w:r>
      <w:r>
        <w:rPr>
          <w:spacing w:val="-28"/>
          <w:w w:val="115"/>
        </w:rPr>
        <w:t> </w:t>
      </w:r>
      <w:r>
        <w:rPr>
          <w:w w:val="115"/>
        </w:rPr>
        <w:t>en</w:t>
      </w:r>
      <w:r>
        <w:rPr>
          <w:spacing w:val="-28"/>
          <w:w w:val="115"/>
        </w:rPr>
        <w:t> </w:t>
      </w:r>
      <w:r>
        <w:rPr>
          <w:w w:val="115"/>
        </w:rPr>
        <w:t>su</w:t>
      </w:r>
      <w:r>
        <w:rPr>
          <w:spacing w:val="-28"/>
          <w:w w:val="115"/>
        </w:rPr>
        <w:t> </w:t>
      </w:r>
      <w:r>
        <w:rPr>
          <w:w w:val="115"/>
        </w:rPr>
        <w:t>política</w:t>
      </w:r>
      <w:r>
        <w:rPr>
          <w:spacing w:val="-28"/>
          <w:w w:val="115"/>
        </w:rPr>
        <w:t> </w:t>
      </w:r>
      <w:r>
        <w:rPr>
          <w:w w:val="115"/>
        </w:rPr>
        <w:t>exterior</w:t>
      </w:r>
      <w:r>
        <w:rPr>
          <w:spacing w:val="-28"/>
          <w:w w:val="115"/>
        </w:rPr>
        <w:t> </w:t>
      </w:r>
      <w:r>
        <w:rPr>
          <w:w w:val="115"/>
        </w:rPr>
        <w:t>para</w:t>
      </w:r>
      <w:r>
        <w:rPr>
          <w:spacing w:val="-28"/>
          <w:w w:val="115"/>
        </w:rPr>
        <w:t> </w:t>
      </w:r>
      <w:r>
        <w:rPr>
          <w:w w:val="115"/>
        </w:rPr>
        <w:t>con- centrar</w:t>
      </w:r>
      <w:r>
        <w:rPr>
          <w:spacing w:val="-22"/>
          <w:w w:val="115"/>
        </w:rPr>
        <w:t> </w:t>
      </w:r>
      <w:r>
        <w:rPr>
          <w:w w:val="115"/>
        </w:rPr>
        <w:t>su</w:t>
      </w:r>
      <w:r>
        <w:rPr>
          <w:spacing w:val="-22"/>
          <w:w w:val="115"/>
        </w:rPr>
        <w:t> </w:t>
      </w:r>
      <w:r>
        <w:rPr>
          <w:w w:val="115"/>
        </w:rPr>
        <w:t>atención</w:t>
      </w:r>
      <w:r>
        <w:rPr>
          <w:spacing w:val="-22"/>
          <w:w w:val="115"/>
        </w:rPr>
        <w:t> </w:t>
      </w:r>
      <w:r>
        <w:rPr>
          <w:w w:val="115"/>
        </w:rPr>
        <w:t>en</w:t>
      </w:r>
      <w:r>
        <w:rPr>
          <w:spacing w:val="-22"/>
          <w:w w:val="115"/>
        </w:rPr>
        <w:t> </w:t>
      </w:r>
      <w:r>
        <w:rPr>
          <w:w w:val="115"/>
        </w:rPr>
        <w:t>el</w:t>
      </w:r>
      <w:r>
        <w:rPr>
          <w:spacing w:val="-22"/>
          <w:w w:val="115"/>
        </w:rPr>
        <w:t> </w:t>
      </w:r>
      <w:r>
        <w:rPr>
          <w:w w:val="115"/>
        </w:rPr>
        <w:t>Pacífico,</w:t>
      </w:r>
      <w:r>
        <w:rPr>
          <w:spacing w:val="-22"/>
          <w:w w:val="115"/>
        </w:rPr>
        <w:t> </w:t>
      </w:r>
      <w:r>
        <w:rPr>
          <w:w w:val="115"/>
        </w:rPr>
        <w:t>así</w:t>
      </w:r>
      <w:r>
        <w:rPr>
          <w:spacing w:val="-22"/>
          <w:w w:val="115"/>
        </w:rPr>
        <w:t> </w:t>
      </w:r>
      <w:r>
        <w:rPr>
          <w:w w:val="115"/>
        </w:rPr>
        <w:t>como</w:t>
      </w:r>
      <w:r>
        <w:rPr>
          <w:spacing w:val="-22"/>
          <w:w w:val="115"/>
        </w:rPr>
        <w:t> </w:t>
      </w:r>
      <w:r>
        <w:rPr>
          <w:w w:val="115"/>
        </w:rPr>
        <w:t>en</w:t>
      </w:r>
      <w:r>
        <w:rPr>
          <w:spacing w:val="-22"/>
          <w:w w:val="115"/>
        </w:rPr>
        <w:t> </w:t>
      </w:r>
      <w:r>
        <w:rPr>
          <w:w w:val="115"/>
        </w:rPr>
        <w:t>el</w:t>
      </w:r>
      <w:r>
        <w:rPr>
          <w:spacing w:val="-22"/>
          <w:w w:val="115"/>
        </w:rPr>
        <w:t> </w:t>
      </w:r>
      <w:r>
        <w:rPr>
          <w:w w:val="115"/>
        </w:rPr>
        <w:t>crecimiento</w:t>
      </w:r>
      <w:r>
        <w:rPr>
          <w:spacing w:val="-22"/>
          <w:w w:val="115"/>
        </w:rPr>
        <w:t> </w:t>
      </w:r>
      <w:r>
        <w:rPr>
          <w:w w:val="115"/>
        </w:rPr>
        <w:t>de</w:t>
      </w:r>
      <w:r>
        <w:rPr>
          <w:spacing w:val="-22"/>
          <w:w w:val="115"/>
        </w:rPr>
        <w:t> </w:t>
      </w:r>
      <w:r>
        <w:rPr>
          <w:w w:val="115"/>
        </w:rPr>
        <w:t>China y</w:t>
      </w:r>
      <w:r>
        <w:rPr>
          <w:spacing w:val="-22"/>
          <w:w w:val="115"/>
        </w:rPr>
        <w:t> </w:t>
      </w:r>
      <w:r>
        <w:rPr>
          <w:w w:val="115"/>
        </w:rPr>
        <w:t>las</w:t>
      </w:r>
      <w:r>
        <w:rPr>
          <w:spacing w:val="-22"/>
          <w:w w:val="115"/>
        </w:rPr>
        <w:t> </w:t>
      </w:r>
      <w:r>
        <w:rPr>
          <w:w w:val="115"/>
        </w:rPr>
        <w:t>recurrentes</w:t>
      </w:r>
      <w:r>
        <w:rPr>
          <w:spacing w:val="-22"/>
          <w:w w:val="115"/>
        </w:rPr>
        <w:t> </w:t>
      </w:r>
      <w:r>
        <w:rPr>
          <w:w w:val="115"/>
        </w:rPr>
        <w:t>tensiones</w:t>
      </w:r>
      <w:r>
        <w:rPr>
          <w:spacing w:val="-22"/>
          <w:w w:val="115"/>
        </w:rPr>
        <w:t> </w:t>
      </w:r>
      <w:r>
        <w:rPr>
          <w:w w:val="115"/>
        </w:rPr>
        <w:t>en</w:t>
      </w:r>
      <w:r>
        <w:rPr>
          <w:spacing w:val="-22"/>
          <w:w w:val="115"/>
        </w:rPr>
        <w:t> </w:t>
      </w:r>
      <w:r>
        <w:rPr>
          <w:w w:val="115"/>
        </w:rPr>
        <w:t>el</w:t>
      </w:r>
      <w:r>
        <w:rPr>
          <w:spacing w:val="-22"/>
          <w:w w:val="115"/>
        </w:rPr>
        <w:t> </w:t>
      </w:r>
      <w:r>
        <w:rPr>
          <w:w w:val="115"/>
        </w:rPr>
        <w:t>Este</w:t>
      </w:r>
      <w:r>
        <w:rPr>
          <w:spacing w:val="-22"/>
          <w:w w:val="115"/>
        </w:rPr>
        <w:t> </w:t>
      </w:r>
      <w:r>
        <w:rPr>
          <w:w w:val="115"/>
        </w:rPr>
        <w:t>asiático.</w:t>
      </w:r>
    </w:p>
    <w:p>
      <w:pPr>
        <w:pStyle w:val="BodyText"/>
        <w:spacing w:line="252" w:lineRule="auto"/>
        <w:ind w:left="100" w:right="328" w:firstLine="396"/>
        <w:jc w:val="both"/>
      </w:pPr>
      <w:r>
        <w:rPr>
          <w:w w:val="110"/>
        </w:rPr>
        <w:t>Comentando la política internacional de barack obama, Justin Vaïsse, de la </w:t>
      </w:r>
      <w:r>
        <w:rPr>
          <w:i/>
          <w:w w:val="110"/>
        </w:rPr>
        <w:t>Brookings Institution </w:t>
      </w:r>
      <w:r>
        <w:rPr>
          <w:w w:val="110"/>
        </w:rPr>
        <w:t>de Washington, ha planteado   que:</w:t>
      </w:r>
    </w:p>
    <w:p>
      <w:pPr>
        <w:pStyle w:val="BodyText"/>
        <w:spacing w:before="11"/>
        <w:rPr>
          <w:sz w:val="18"/>
        </w:rPr>
      </w:pPr>
    </w:p>
    <w:p>
      <w:pPr>
        <w:spacing w:before="0"/>
        <w:ind w:left="497" w:right="327" w:firstLine="0"/>
        <w:jc w:val="both"/>
        <w:rPr>
          <w:sz w:val="18"/>
        </w:rPr>
      </w:pPr>
      <w:r>
        <w:rPr>
          <w:w w:val="110"/>
          <w:sz w:val="18"/>
        </w:rPr>
        <w:t>El</w:t>
      </w:r>
      <w:r>
        <w:rPr>
          <w:spacing w:val="-9"/>
          <w:w w:val="110"/>
          <w:sz w:val="18"/>
        </w:rPr>
        <w:t> </w:t>
      </w:r>
      <w:r>
        <w:rPr>
          <w:w w:val="110"/>
          <w:sz w:val="18"/>
        </w:rPr>
        <w:t>pivote,</w:t>
      </w:r>
      <w:r>
        <w:rPr>
          <w:spacing w:val="-9"/>
          <w:w w:val="110"/>
          <w:sz w:val="18"/>
        </w:rPr>
        <w:t> </w:t>
      </w:r>
      <w:r>
        <w:rPr>
          <w:w w:val="110"/>
          <w:sz w:val="18"/>
        </w:rPr>
        <w:t>concebido</w:t>
      </w:r>
      <w:r>
        <w:rPr>
          <w:spacing w:val="-9"/>
          <w:w w:val="110"/>
          <w:sz w:val="18"/>
        </w:rPr>
        <w:t> </w:t>
      </w:r>
      <w:r>
        <w:rPr>
          <w:w w:val="110"/>
          <w:sz w:val="18"/>
        </w:rPr>
        <w:t>no</w:t>
      </w:r>
      <w:r>
        <w:rPr>
          <w:spacing w:val="-9"/>
          <w:w w:val="110"/>
          <w:sz w:val="18"/>
        </w:rPr>
        <w:t> </w:t>
      </w:r>
      <w:r>
        <w:rPr>
          <w:w w:val="110"/>
          <w:sz w:val="18"/>
        </w:rPr>
        <w:t>solo</w:t>
      </w:r>
      <w:r>
        <w:rPr>
          <w:spacing w:val="-9"/>
          <w:w w:val="110"/>
          <w:sz w:val="18"/>
        </w:rPr>
        <w:t> </w:t>
      </w:r>
      <w:r>
        <w:rPr>
          <w:w w:val="110"/>
          <w:sz w:val="18"/>
        </w:rPr>
        <w:t>en</w:t>
      </w:r>
      <w:r>
        <w:rPr>
          <w:spacing w:val="-9"/>
          <w:w w:val="110"/>
          <w:sz w:val="18"/>
        </w:rPr>
        <w:t> </w:t>
      </w:r>
      <w:r>
        <w:rPr>
          <w:w w:val="110"/>
          <w:sz w:val="18"/>
        </w:rPr>
        <w:t>el</w:t>
      </w:r>
      <w:r>
        <w:rPr>
          <w:spacing w:val="-9"/>
          <w:w w:val="110"/>
          <w:sz w:val="18"/>
        </w:rPr>
        <w:t> </w:t>
      </w:r>
      <w:r>
        <w:rPr>
          <w:w w:val="110"/>
          <w:sz w:val="18"/>
        </w:rPr>
        <w:t>estrecho</w:t>
      </w:r>
      <w:r>
        <w:rPr>
          <w:spacing w:val="-9"/>
          <w:w w:val="110"/>
          <w:sz w:val="18"/>
        </w:rPr>
        <w:t> </w:t>
      </w:r>
      <w:r>
        <w:rPr>
          <w:w w:val="110"/>
          <w:sz w:val="18"/>
        </w:rPr>
        <w:t>sentido</w:t>
      </w:r>
      <w:r>
        <w:rPr>
          <w:spacing w:val="-9"/>
          <w:w w:val="110"/>
          <w:sz w:val="18"/>
        </w:rPr>
        <w:t> </w:t>
      </w:r>
      <w:r>
        <w:rPr>
          <w:w w:val="110"/>
          <w:sz w:val="18"/>
        </w:rPr>
        <w:t>geográfico</w:t>
      </w:r>
      <w:r>
        <w:rPr>
          <w:spacing w:val="-9"/>
          <w:w w:val="110"/>
          <w:sz w:val="18"/>
        </w:rPr>
        <w:t> </w:t>
      </w:r>
      <w:r>
        <w:rPr>
          <w:w w:val="110"/>
          <w:sz w:val="18"/>
        </w:rPr>
        <w:t>como</w:t>
      </w:r>
      <w:r>
        <w:rPr>
          <w:spacing w:val="-9"/>
          <w:w w:val="110"/>
          <w:sz w:val="18"/>
        </w:rPr>
        <w:t> </w:t>
      </w:r>
      <w:r>
        <w:rPr>
          <w:w w:val="110"/>
          <w:sz w:val="18"/>
        </w:rPr>
        <w:t>un giro desde oriente Medio hacia asia, sino en un sentido más amplio, como</w:t>
      </w:r>
      <w:r>
        <w:rPr>
          <w:spacing w:val="-7"/>
          <w:w w:val="110"/>
          <w:sz w:val="18"/>
        </w:rPr>
        <w:t> </w:t>
      </w:r>
      <w:r>
        <w:rPr>
          <w:w w:val="110"/>
          <w:sz w:val="18"/>
        </w:rPr>
        <w:t>un</w:t>
      </w:r>
      <w:r>
        <w:rPr>
          <w:spacing w:val="-7"/>
          <w:w w:val="110"/>
          <w:sz w:val="18"/>
        </w:rPr>
        <w:t> </w:t>
      </w:r>
      <w:r>
        <w:rPr>
          <w:w w:val="110"/>
          <w:sz w:val="18"/>
        </w:rPr>
        <w:t>redespliegue</w:t>
      </w:r>
      <w:r>
        <w:rPr>
          <w:spacing w:val="-7"/>
          <w:w w:val="110"/>
          <w:sz w:val="18"/>
        </w:rPr>
        <w:t> </w:t>
      </w:r>
      <w:r>
        <w:rPr>
          <w:w w:val="110"/>
          <w:sz w:val="18"/>
        </w:rPr>
        <w:t>de</w:t>
      </w:r>
      <w:r>
        <w:rPr>
          <w:spacing w:val="-7"/>
          <w:w w:val="110"/>
          <w:sz w:val="18"/>
        </w:rPr>
        <w:t> </w:t>
      </w:r>
      <w:r>
        <w:rPr>
          <w:w w:val="110"/>
          <w:sz w:val="18"/>
        </w:rPr>
        <w:t>la</w:t>
      </w:r>
      <w:r>
        <w:rPr>
          <w:spacing w:val="-7"/>
          <w:w w:val="110"/>
          <w:sz w:val="18"/>
        </w:rPr>
        <w:t> </w:t>
      </w:r>
      <w:r>
        <w:rPr>
          <w:w w:val="110"/>
          <w:sz w:val="18"/>
        </w:rPr>
        <w:t>política</w:t>
      </w:r>
      <w:r>
        <w:rPr>
          <w:spacing w:val="-7"/>
          <w:w w:val="110"/>
          <w:sz w:val="18"/>
        </w:rPr>
        <w:t> </w:t>
      </w:r>
      <w:r>
        <w:rPr>
          <w:w w:val="110"/>
          <w:sz w:val="18"/>
        </w:rPr>
        <w:t>exterior</w:t>
      </w:r>
      <w:r>
        <w:rPr>
          <w:spacing w:val="-7"/>
          <w:w w:val="110"/>
          <w:sz w:val="18"/>
        </w:rPr>
        <w:t> </w:t>
      </w:r>
      <w:r>
        <w:rPr>
          <w:w w:val="110"/>
          <w:sz w:val="18"/>
        </w:rPr>
        <w:t>estadounidense</w:t>
      </w:r>
      <w:r>
        <w:rPr>
          <w:spacing w:val="-7"/>
          <w:w w:val="110"/>
          <w:sz w:val="18"/>
        </w:rPr>
        <w:t> </w:t>
      </w:r>
      <w:r>
        <w:rPr>
          <w:w w:val="110"/>
          <w:sz w:val="18"/>
        </w:rPr>
        <w:t>desde</w:t>
      </w:r>
      <w:r>
        <w:rPr>
          <w:spacing w:val="-7"/>
          <w:w w:val="110"/>
          <w:sz w:val="18"/>
        </w:rPr>
        <w:t> </w:t>
      </w:r>
      <w:r>
        <w:rPr>
          <w:w w:val="110"/>
          <w:sz w:val="18"/>
        </w:rPr>
        <w:t>las cuestiones</w:t>
      </w:r>
      <w:r>
        <w:rPr>
          <w:spacing w:val="-6"/>
          <w:w w:val="110"/>
          <w:sz w:val="18"/>
        </w:rPr>
        <w:t> </w:t>
      </w:r>
      <w:r>
        <w:rPr>
          <w:w w:val="110"/>
          <w:sz w:val="18"/>
        </w:rPr>
        <w:t>de</w:t>
      </w:r>
      <w:r>
        <w:rPr>
          <w:spacing w:val="-6"/>
          <w:w w:val="110"/>
          <w:sz w:val="18"/>
        </w:rPr>
        <w:t> </w:t>
      </w:r>
      <w:r>
        <w:rPr>
          <w:w w:val="110"/>
          <w:sz w:val="18"/>
        </w:rPr>
        <w:t>seguridad</w:t>
      </w:r>
      <w:r>
        <w:rPr>
          <w:spacing w:val="-6"/>
          <w:w w:val="110"/>
          <w:sz w:val="18"/>
        </w:rPr>
        <w:t> </w:t>
      </w:r>
      <w:r>
        <w:rPr>
          <w:w w:val="110"/>
          <w:sz w:val="18"/>
        </w:rPr>
        <w:t>y</w:t>
      </w:r>
      <w:r>
        <w:rPr>
          <w:spacing w:val="-6"/>
          <w:w w:val="110"/>
          <w:sz w:val="18"/>
        </w:rPr>
        <w:t> </w:t>
      </w:r>
      <w:r>
        <w:rPr>
          <w:w w:val="110"/>
          <w:sz w:val="18"/>
        </w:rPr>
        <w:t>terrorismo</w:t>
      </w:r>
      <w:r>
        <w:rPr>
          <w:spacing w:val="-6"/>
          <w:w w:val="110"/>
          <w:sz w:val="18"/>
        </w:rPr>
        <w:t> </w:t>
      </w:r>
      <w:r>
        <w:rPr>
          <w:w w:val="110"/>
          <w:sz w:val="18"/>
        </w:rPr>
        <w:t>hacia</w:t>
      </w:r>
      <w:r>
        <w:rPr>
          <w:spacing w:val="-6"/>
          <w:w w:val="110"/>
          <w:sz w:val="18"/>
        </w:rPr>
        <w:t> </w:t>
      </w:r>
      <w:r>
        <w:rPr>
          <w:w w:val="110"/>
          <w:sz w:val="18"/>
        </w:rPr>
        <w:t>las</w:t>
      </w:r>
      <w:r>
        <w:rPr>
          <w:spacing w:val="-6"/>
          <w:w w:val="110"/>
          <w:sz w:val="18"/>
        </w:rPr>
        <w:t> </w:t>
      </w:r>
      <w:r>
        <w:rPr>
          <w:w w:val="110"/>
          <w:sz w:val="18"/>
        </w:rPr>
        <w:t>económicas</w:t>
      </w:r>
      <w:r>
        <w:rPr>
          <w:spacing w:val="-6"/>
          <w:w w:val="110"/>
          <w:sz w:val="18"/>
        </w:rPr>
        <w:t> </w:t>
      </w:r>
      <w:r>
        <w:rPr>
          <w:w w:val="110"/>
          <w:sz w:val="18"/>
        </w:rPr>
        <w:t>y</w:t>
      </w:r>
      <w:r>
        <w:rPr>
          <w:spacing w:val="-6"/>
          <w:w w:val="110"/>
          <w:sz w:val="18"/>
        </w:rPr>
        <w:t> </w:t>
      </w:r>
      <w:r>
        <w:rPr>
          <w:w w:val="110"/>
          <w:sz w:val="18"/>
        </w:rPr>
        <w:t>globales; desde las viejas naciones hacia el mundo emergente, o incluso desde el unilateralismo hacia la cooperación, no es ni más ni menos que un cambio de actitud hacia el mundo, una reformulación y una</w:t>
      </w:r>
      <w:r>
        <w:rPr>
          <w:spacing w:val="-9"/>
          <w:w w:val="110"/>
          <w:sz w:val="18"/>
        </w:rPr>
        <w:t> </w:t>
      </w:r>
      <w:r>
        <w:rPr>
          <w:w w:val="110"/>
          <w:sz w:val="18"/>
        </w:rPr>
        <w:t>actualiza- ción</w:t>
      </w:r>
      <w:r>
        <w:rPr>
          <w:spacing w:val="-9"/>
          <w:w w:val="110"/>
          <w:sz w:val="18"/>
        </w:rPr>
        <w:t> </w:t>
      </w:r>
      <w:r>
        <w:rPr>
          <w:w w:val="110"/>
          <w:sz w:val="18"/>
        </w:rPr>
        <w:t>del</w:t>
      </w:r>
      <w:r>
        <w:rPr>
          <w:spacing w:val="-9"/>
          <w:w w:val="110"/>
          <w:sz w:val="18"/>
        </w:rPr>
        <w:t> </w:t>
      </w:r>
      <w:r>
        <w:rPr>
          <w:w w:val="110"/>
          <w:sz w:val="18"/>
        </w:rPr>
        <w:t>liderazgo</w:t>
      </w:r>
      <w:r>
        <w:rPr>
          <w:spacing w:val="-9"/>
          <w:w w:val="110"/>
          <w:sz w:val="18"/>
        </w:rPr>
        <w:t> </w:t>
      </w:r>
      <w:r>
        <w:rPr>
          <w:w w:val="110"/>
          <w:sz w:val="18"/>
        </w:rPr>
        <w:t>de</w:t>
      </w:r>
      <w:r>
        <w:rPr>
          <w:spacing w:val="-9"/>
          <w:w w:val="110"/>
          <w:sz w:val="18"/>
        </w:rPr>
        <w:t> </w:t>
      </w:r>
      <w:r>
        <w:rPr>
          <w:w w:val="110"/>
          <w:sz w:val="18"/>
        </w:rPr>
        <w:t>Estados</w:t>
      </w:r>
      <w:r>
        <w:rPr>
          <w:spacing w:val="-9"/>
          <w:w w:val="110"/>
          <w:sz w:val="18"/>
        </w:rPr>
        <w:t> </w:t>
      </w:r>
      <w:r>
        <w:rPr>
          <w:w w:val="110"/>
          <w:sz w:val="18"/>
        </w:rPr>
        <w:t>unidos</w:t>
      </w:r>
      <w:r>
        <w:rPr>
          <w:spacing w:val="-9"/>
          <w:w w:val="110"/>
          <w:sz w:val="18"/>
        </w:rPr>
        <w:t> </w:t>
      </w:r>
      <w:hyperlink r:id="rId130">
        <w:r>
          <w:rPr>
            <w:w w:val="110"/>
            <w:sz w:val="18"/>
          </w:rPr>
          <w:t>(&lt;www.elpais.com&gt;,</w:t>
        </w:r>
      </w:hyperlink>
      <w:r>
        <w:rPr>
          <w:spacing w:val="-9"/>
          <w:w w:val="110"/>
          <w:sz w:val="18"/>
        </w:rPr>
        <w:t> </w:t>
      </w:r>
      <w:r>
        <w:rPr>
          <w:w w:val="110"/>
          <w:sz w:val="18"/>
        </w:rPr>
        <w:t>2012).</w:t>
      </w:r>
    </w:p>
    <w:p>
      <w:pPr>
        <w:pStyle w:val="BodyText"/>
        <w:spacing w:before="1"/>
        <w:rPr>
          <w:sz w:val="21"/>
        </w:rPr>
      </w:pPr>
    </w:p>
    <w:p>
      <w:pPr>
        <w:pStyle w:val="BodyText"/>
        <w:spacing w:line="252" w:lineRule="auto"/>
        <w:ind w:left="100" w:right="327"/>
        <w:jc w:val="both"/>
      </w:pPr>
      <w:r>
        <w:rPr>
          <w:w w:val="110"/>
        </w:rPr>
        <w:t>desde la perspectiva china, el incremento de sus influencias en el “co- razón del continente” y en la región asia-Pacífico puede consolidar     el papel de hegemón, que desde inicios de siglo ha sido ya otorgado    a este país por muchos expertos, en una coyuntura de crisis interna- cional especialmente complicada para los hegemones tradicionales. En este contexto, no se debe pasar por alto elementos cruciales; en primer </w:t>
      </w:r>
      <w:r>
        <w:rPr>
          <w:spacing w:val="-4"/>
          <w:w w:val="110"/>
        </w:rPr>
        <w:t>lugar, </w:t>
      </w:r>
      <w:r>
        <w:rPr>
          <w:w w:val="110"/>
        </w:rPr>
        <w:t>la rapidez de China en su ascenso y la ampliación de vínculos económicos y financieros con los países implicados acen- tuarían en la contemporaneidad la importancia del “pivote o eje del mundo”. adicionalmente, tal panorama incrementará las disputas hegemónicas con su rival estratégico, Estados unidos, lo cual adicio- nará tensiones a las controversias vigentes en ese otro pivote fijado por israelíes y palestinos en la tierra disputada del Medio oriente próximo y sobre la cual todavía gira  en  buena  medida  la  estabili- dad del planeta. “Quién controle Europa del Este dominará el Pivote del Mundo, quien controle el Pivote del Mundo dominará la isla del Mundo (Europa, Península arábiga, África y sudeste asiático), quien domine la isla del Mundo dominará el mundo” (&lt;www.ccapitalia.  net&gt;,</w:t>
      </w:r>
      <w:r>
        <w:rPr>
          <w:spacing w:val="-13"/>
          <w:w w:val="110"/>
        </w:rPr>
        <w:t> </w:t>
      </w:r>
      <w:r>
        <w:rPr>
          <w:w w:val="110"/>
        </w:rPr>
        <w:t>2011).</w:t>
      </w:r>
    </w:p>
    <w:p>
      <w:pPr>
        <w:pStyle w:val="BodyText"/>
        <w:spacing w:line="252" w:lineRule="auto"/>
        <w:ind w:left="100" w:right="327" w:firstLine="396"/>
        <w:jc w:val="both"/>
      </w:pPr>
      <w:r>
        <w:rPr>
          <w:w w:val="115"/>
        </w:rPr>
        <w:t>si para Mackinder el Pivote del Mundo se ubicaba en asia Cen- tral, para la política exterior de China hoy no sólo se considera una región</w:t>
      </w:r>
      <w:r>
        <w:rPr>
          <w:spacing w:val="-18"/>
          <w:w w:val="115"/>
        </w:rPr>
        <w:t> </w:t>
      </w:r>
      <w:r>
        <w:rPr>
          <w:w w:val="115"/>
        </w:rPr>
        <w:t>crucial</w:t>
      </w:r>
      <w:r>
        <w:rPr>
          <w:spacing w:val="-18"/>
          <w:w w:val="115"/>
        </w:rPr>
        <w:t> </w:t>
      </w:r>
      <w:r>
        <w:rPr>
          <w:w w:val="115"/>
        </w:rPr>
        <w:t>para</w:t>
      </w:r>
      <w:r>
        <w:rPr>
          <w:spacing w:val="-18"/>
          <w:w w:val="115"/>
        </w:rPr>
        <w:t> </w:t>
      </w:r>
      <w:r>
        <w:rPr>
          <w:w w:val="115"/>
        </w:rPr>
        <w:t>su</w:t>
      </w:r>
      <w:r>
        <w:rPr>
          <w:spacing w:val="-18"/>
          <w:w w:val="115"/>
        </w:rPr>
        <w:t> </w:t>
      </w:r>
      <w:r>
        <w:rPr>
          <w:w w:val="115"/>
        </w:rPr>
        <w:t>desarrollo</w:t>
      </w:r>
      <w:r>
        <w:rPr>
          <w:spacing w:val="-18"/>
          <w:w w:val="115"/>
        </w:rPr>
        <w:t> </w:t>
      </w:r>
      <w:r>
        <w:rPr>
          <w:w w:val="115"/>
        </w:rPr>
        <w:t>futuro,</w:t>
      </w:r>
      <w:r>
        <w:rPr>
          <w:spacing w:val="-18"/>
          <w:w w:val="115"/>
        </w:rPr>
        <w:t> </w:t>
      </w:r>
      <w:r>
        <w:rPr>
          <w:w w:val="115"/>
        </w:rPr>
        <w:t>sino</w:t>
      </w:r>
      <w:r>
        <w:rPr>
          <w:spacing w:val="-18"/>
          <w:w w:val="115"/>
        </w:rPr>
        <w:t> </w:t>
      </w:r>
      <w:r>
        <w:rPr>
          <w:w w:val="115"/>
        </w:rPr>
        <w:t>que</w:t>
      </w:r>
      <w:r>
        <w:rPr>
          <w:spacing w:val="-18"/>
          <w:w w:val="115"/>
        </w:rPr>
        <w:t> </w:t>
      </w:r>
      <w:r>
        <w:rPr>
          <w:w w:val="115"/>
        </w:rPr>
        <w:t>también</w:t>
      </w:r>
      <w:r>
        <w:rPr>
          <w:spacing w:val="-18"/>
          <w:w w:val="115"/>
        </w:rPr>
        <w:t> </w:t>
      </w:r>
      <w:r>
        <w:rPr>
          <w:w w:val="115"/>
        </w:rPr>
        <w:t>se</w:t>
      </w:r>
      <w:r>
        <w:rPr>
          <w:spacing w:val="-18"/>
          <w:w w:val="115"/>
        </w:rPr>
        <w:t> </w:t>
      </w:r>
      <w:r>
        <w:rPr>
          <w:w w:val="115"/>
        </w:rPr>
        <w:t>le</w:t>
      </w:r>
      <w:r>
        <w:rPr>
          <w:spacing w:val="-18"/>
          <w:w w:val="115"/>
        </w:rPr>
        <w:t> </w:t>
      </w:r>
      <w:r>
        <w:rPr>
          <w:w w:val="115"/>
        </w:rPr>
        <w:t>añade una</w:t>
      </w:r>
      <w:r>
        <w:rPr>
          <w:spacing w:val="-18"/>
          <w:w w:val="115"/>
        </w:rPr>
        <w:t> </w:t>
      </w:r>
      <w:r>
        <w:rPr>
          <w:w w:val="115"/>
        </w:rPr>
        <w:t>estrategia</w:t>
      </w:r>
      <w:r>
        <w:rPr>
          <w:spacing w:val="-18"/>
          <w:w w:val="115"/>
        </w:rPr>
        <w:t> </w:t>
      </w:r>
      <w:r>
        <w:rPr>
          <w:w w:val="115"/>
        </w:rPr>
        <w:t>que</w:t>
      </w:r>
      <w:r>
        <w:rPr>
          <w:spacing w:val="-18"/>
          <w:w w:val="115"/>
        </w:rPr>
        <w:t> </w:t>
      </w:r>
      <w:r>
        <w:rPr>
          <w:w w:val="115"/>
        </w:rPr>
        <w:t>incluye</w:t>
      </w:r>
      <w:r>
        <w:rPr>
          <w:spacing w:val="-18"/>
          <w:w w:val="115"/>
        </w:rPr>
        <w:t> </w:t>
      </w:r>
      <w:r>
        <w:rPr>
          <w:w w:val="115"/>
        </w:rPr>
        <w:t>a</w:t>
      </w:r>
      <w:r>
        <w:rPr>
          <w:spacing w:val="-18"/>
          <w:w w:val="115"/>
        </w:rPr>
        <w:t> </w:t>
      </w:r>
      <w:r>
        <w:rPr>
          <w:w w:val="115"/>
        </w:rPr>
        <w:t>asia-Pacífico.</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5" w:firstLine="396"/>
        <w:jc w:val="both"/>
      </w:pPr>
      <w:r>
        <w:rPr>
          <w:w w:val="115"/>
        </w:rPr>
        <w:t>asia</w:t>
      </w:r>
      <w:r>
        <w:rPr>
          <w:spacing w:val="-7"/>
          <w:w w:val="115"/>
        </w:rPr>
        <w:t> </w:t>
      </w:r>
      <w:r>
        <w:rPr>
          <w:w w:val="115"/>
        </w:rPr>
        <w:t>Central</w:t>
      </w:r>
      <w:r>
        <w:rPr>
          <w:spacing w:val="-7"/>
          <w:w w:val="115"/>
        </w:rPr>
        <w:t> </w:t>
      </w:r>
      <w:r>
        <w:rPr>
          <w:w w:val="115"/>
        </w:rPr>
        <w:t>puede</w:t>
      </w:r>
      <w:r>
        <w:rPr>
          <w:spacing w:val="-7"/>
          <w:w w:val="115"/>
        </w:rPr>
        <w:t> </w:t>
      </w:r>
      <w:r>
        <w:rPr>
          <w:w w:val="115"/>
        </w:rPr>
        <w:t>definirse</w:t>
      </w:r>
      <w:r>
        <w:rPr>
          <w:spacing w:val="-7"/>
          <w:w w:val="115"/>
        </w:rPr>
        <w:t> </w:t>
      </w:r>
      <w:r>
        <w:rPr>
          <w:w w:val="115"/>
        </w:rPr>
        <w:t>en</w:t>
      </w:r>
      <w:r>
        <w:rPr>
          <w:spacing w:val="-7"/>
          <w:w w:val="115"/>
        </w:rPr>
        <w:t> </w:t>
      </w:r>
      <w:r>
        <w:rPr>
          <w:w w:val="115"/>
        </w:rPr>
        <w:t>la</w:t>
      </w:r>
      <w:r>
        <w:rPr>
          <w:spacing w:val="-7"/>
          <w:w w:val="115"/>
        </w:rPr>
        <w:t> </w:t>
      </w:r>
      <w:r>
        <w:rPr>
          <w:w w:val="115"/>
        </w:rPr>
        <w:t>actualidad</w:t>
      </w:r>
      <w:r>
        <w:rPr>
          <w:spacing w:val="-7"/>
          <w:w w:val="115"/>
        </w:rPr>
        <w:t> </w:t>
      </w:r>
      <w:r>
        <w:rPr>
          <w:w w:val="115"/>
        </w:rPr>
        <w:t>desde</w:t>
      </w:r>
      <w:r>
        <w:rPr>
          <w:spacing w:val="-7"/>
          <w:w w:val="115"/>
        </w:rPr>
        <w:t> </w:t>
      </w:r>
      <w:r>
        <w:rPr>
          <w:w w:val="115"/>
        </w:rPr>
        <w:t>un</w:t>
      </w:r>
      <w:r>
        <w:rPr>
          <w:spacing w:val="-7"/>
          <w:w w:val="115"/>
        </w:rPr>
        <w:t> </w:t>
      </w:r>
      <w:r>
        <w:rPr>
          <w:w w:val="115"/>
        </w:rPr>
        <w:t>punto</w:t>
      </w:r>
      <w:r>
        <w:rPr>
          <w:spacing w:val="-7"/>
          <w:w w:val="115"/>
        </w:rPr>
        <w:t> </w:t>
      </w:r>
      <w:r>
        <w:rPr>
          <w:w w:val="115"/>
        </w:rPr>
        <w:t>de vista político como la región que comprende los siguientes países: Kazajistán, Kirguistán, tayikistán, turkmenistán y uzbekistán de manera íntegra; y a otros como Federación rusa, armenia, azer-  baiyán, Georgia, afganistán, irán, Pakistán, siberia, Cachemira y el tíbet</w:t>
      </w:r>
      <w:r>
        <w:rPr>
          <w:spacing w:val="34"/>
          <w:w w:val="115"/>
        </w:rPr>
        <w:t> </w:t>
      </w:r>
      <w:r>
        <w:rPr>
          <w:w w:val="115"/>
        </w:rPr>
        <w:t>(China).</w:t>
      </w:r>
    </w:p>
    <w:p>
      <w:pPr>
        <w:pStyle w:val="BodyText"/>
        <w:spacing w:line="252" w:lineRule="auto"/>
        <w:ind w:left="330" w:right="117" w:firstLine="396"/>
        <w:jc w:val="both"/>
      </w:pPr>
      <w:r>
        <w:rPr>
          <w:w w:val="110"/>
        </w:rPr>
        <w:t>sin duda, se avizoran cambios profundos en el mapa mundial y son varias las economías que enfrentan esta etapa crucial de la trans- formación macroeconómica con el propósito de lograr una mayor in- tegración al mercado internacional. El Cinturón Económico y la ruta de la seda Marítima unirán a asia Central, asia Meridional, el sudeste asiático y asia occidental y permitirán a estas subregiones intercam- biar sus productos, complementarse mutuamente, así como estable- cer y consolidar la cadena de suministro, la industrial y la de valores en asia, de modo que la cooperación regional en asia-Pacífico alcance un nivel más</w:t>
      </w:r>
      <w:r>
        <w:rPr>
          <w:spacing w:val="36"/>
          <w:w w:val="110"/>
        </w:rPr>
        <w:t> </w:t>
      </w:r>
      <w:r>
        <w:rPr>
          <w:w w:val="110"/>
        </w:rPr>
        <w:t>alto.</w:t>
      </w:r>
    </w:p>
    <w:p>
      <w:pPr>
        <w:pStyle w:val="BodyText"/>
        <w:spacing w:line="252" w:lineRule="auto"/>
        <w:ind w:left="330" w:right="118" w:firstLine="396"/>
        <w:jc w:val="both"/>
      </w:pPr>
      <w:r>
        <w:rPr>
          <w:w w:val="110"/>
        </w:rPr>
        <w:t>El auge del Cinturón Económico y la ruta de la seda Marítima responde a las necesidades del propio desarrollo de China y de su</w:t>
      </w:r>
      <w:r>
        <w:rPr>
          <w:spacing w:val="-29"/>
          <w:w w:val="110"/>
        </w:rPr>
        <w:t> </w:t>
      </w:r>
      <w:r>
        <w:rPr>
          <w:w w:val="110"/>
        </w:rPr>
        <w:t>coo- peración con el extranjero. Estas iniciativas permitirán al país acele- rar la transferencia de recursos naturales e industrias entre el este y el oeste del país, también se podrán utilizar con mayor eficiencia las ventajas de las regiones central y occidental de China, ricas en </w:t>
      </w:r>
      <w:r>
        <w:rPr>
          <w:spacing w:val="-3"/>
          <w:w w:val="110"/>
        </w:rPr>
        <w:t>recur- </w:t>
      </w:r>
      <w:r>
        <w:rPr>
          <w:w w:val="110"/>
        </w:rPr>
        <w:t>sos naturales y ubicación geográfica; además, permitirán explorar las potencialidades de cooperación con los países </w:t>
      </w:r>
      <w:r>
        <w:rPr>
          <w:spacing w:val="2"/>
          <w:w w:val="110"/>
        </w:rPr>
        <w:t> </w:t>
      </w:r>
      <w:r>
        <w:rPr>
          <w:w w:val="110"/>
        </w:rPr>
        <w:t>vecinos.</w:t>
      </w:r>
    </w:p>
    <w:p>
      <w:pPr>
        <w:pStyle w:val="BodyText"/>
        <w:spacing w:line="252" w:lineRule="auto"/>
        <w:ind w:left="330" w:right="118" w:firstLine="396"/>
        <w:jc w:val="both"/>
      </w:pPr>
      <w:r>
        <w:rPr>
          <w:w w:val="110"/>
        </w:rPr>
        <w:t>ambas propuestas cubren tanto las regiones central y occidental como las costas del este de China y se enfocan en la estrategia de de- sarrollo regional, que propone un nuevo tipo de urbanización sosteni- ble y políticas de apertura al exterior, lo cual contribuirá a que China profundice la reforma en todos los ámbitos y que el país siga con su política de apertura al mundo  exterior.</w:t>
      </w:r>
    </w:p>
    <w:p>
      <w:pPr>
        <w:pStyle w:val="BodyText"/>
        <w:spacing w:line="252" w:lineRule="auto"/>
        <w:ind w:left="330" w:right="117" w:firstLine="396"/>
        <w:jc w:val="both"/>
      </w:pPr>
      <w:r>
        <w:rPr>
          <w:w w:val="110"/>
        </w:rPr>
        <w:t>El Cinturón Económico y la ruta de la seda Marítima son ini- ciativas de cooperación económica abiertas e incluyentes. ambas se basarán en la cooperación económica y los intercambios culturales. Estas iniciativas que heredan la excelente tradición de las antiguas rutas, consistente en la apertura y absorción del regionalismo abierto de asia del Este, buscan la cooperación y el desarrollo   conjunto.</w:t>
      </w:r>
    </w:p>
    <w:p>
      <w:pPr>
        <w:pStyle w:val="BodyText"/>
        <w:spacing w:line="252" w:lineRule="auto"/>
        <w:ind w:left="330" w:right="117" w:firstLine="396"/>
        <w:jc w:val="both"/>
      </w:pPr>
      <w:r>
        <w:rPr>
          <w:w w:val="243"/>
        </w:rPr>
        <w:t>l</w:t>
      </w:r>
      <w:r>
        <w:rPr>
          <w:w w:val="109"/>
        </w:rPr>
        <w:t>as</w:t>
      </w:r>
      <w:r>
        <w:rPr/>
        <w:t> </w:t>
      </w:r>
      <w:r>
        <w:rPr>
          <w:spacing w:val="-21"/>
        </w:rPr>
        <w:t> </w:t>
      </w:r>
      <w:r>
        <w:rPr>
          <w:w w:val="111"/>
        </w:rPr>
        <w:t>antiguas</w:t>
      </w:r>
      <w:r>
        <w:rPr/>
        <w:t> </w:t>
      </w:r>
      <w:r>
        <w:rPr>
          <w:spacing w:val="-21"/>
        </w:rPr>
        <w:t> </w:t>
      </w:r>
      <w:r>
        <w:rPr>
          <w:w w:val="108"/>
        </w:rPr>
        <w:t>rutas</w:t>
      </w:r>
      <w:r>
        <w:rPr/>
        <w:t> </w:t>
      </w:r>
      <w:r>
        <w:rPr>
          <w:spacing w:val="-21"/>
        </w:rPr>
        <w:t> </w:t>
      </w:r>
      <w:r>
        <w:rPr>
          <w:w w:val="107"/>
        </w:rPr>
        <w:t>de</w:t>
      </w:r>
      <w:r>
        <w:rPr/>
        <w:t> </w:t>
      </w:r>
      <w:r>
        <w:rPr>
          <w:spacing w:val="-21"/>
        </w:rPr>
        <w:t> </w:t>
      </w:r>
      <w:r>
        <w:rPr>
          <w:w w:val="111"/>
        </w:rPr>
        <w:t>la</w:t>
      </w:r>
      <w:r>
        <w:rPr/>
        <w:t> </w:t>
      </w:r>
      <w:r>
        <w:rPr>
          <w:spacing w:val="-21"/>
        </w:rPr>
        <w:t> </w:t>
      </w:r>
      <w:r>
        <w:rPr>
          <w:w w:val="108"/>
        </w:rPr>
        <w:t>seda</w:t>
      </w:r>
      <w:r>
        <w:rPr/>
        <w:t> </w:t>
      </w:r>
      <w:r>
        <w:rPr>
          <w:spacing w:val="-21"/>
        </w:rPr>
        <w:t> </w:t>
      </w:r>
      <w:r>
        <w:rPr>
          <w:w w:val="110"/>
        </w:rPr>
        <w:t>tenían</w:t>
      </w:r>
      <w:r>
        <w:rPr/>
        <w:t> </w:t>
      </w:r>
      <w:r>
        <w:rPr>
          <w:spacing w:val="-21"/>
        </w:rPr>
        <w:t> </w:t>
      </w:r>
      <w:r>
        <w:rPr>
          <w:w w:val="112"/>
        </w:rPr>
        <w:t>como</w:t>
      </w:r>
      <w:r>
        <w:rPr/>
        <w:t> </w:t>
      </w:r>
      <w:r>
        <w:rPr>
          <w:spacing w:val="-21"/>
        </w:rPr>
        <w:t> </w:t>
      </w:r>
      <w:r>
        <w:rPr>
          <w:w w:val="108"/>
        </w:rPr>
        <w:t>objetivo</w:t>
      </w:r>
      <w:r>
        <w:rPr/>
        <w:t> </w:t>
      </w:r>
      <w:r>
        <w:rPr>
          <w:spacing w:val="-21"/>
        </w:rPr>
        <w:t> </w:t>
      </w:r>
      <w:r>
        <w:rPr>
          <w:w w:val="110"/>
        </w:rPr>
        <w:t>intercambiar </w:t>
      </w:r>
      <w:r>
        <w:rPr>
          <w:w w:val="110"/>
        </w:rPr>
        <w:t>las mercancías, mientras que las nuevas constituyen proyectos siste- máticos duraderos que combinarán la coordinación de las políticas,   la interconexión de las vías (terrestres, marítimas y aéreas), la facili- tación del comercio, la circulación de diferentes monedas y los sen- timientos de cercanía, unión y afecto entre distintos pueblos. dichas iniciativas pondrán énfasis en la cooperación práctica y en la  </w:t>
      </w:r>
      <w:r>
        <w:rPr>
          <w:spacing w:val="41"/>
          <w:w w:val="110"/>
        </w:rPr>
        <w:t> </w:t>
      </w:r>
      <w:r>
        <w:rPr>
          <w:w w:val="110"/>
        </w:rPr>
        <w:t>colabo-</w:t>
      </w:r>
    </w:p>
    <w:p>
      <w:pPr>
        <w:spacing w:after="0" w:line="252" w:lineRule="auto"/>
        <w:jc w:val="both"/>
        <w:sectPr>
          <w:footerReference w:type="even" r:id="rId131"/>
          <w:footerReference w:type="default" r:id="rId132"/>
          <w:pgSz w:w="8790" w:h="12760"/>
          <w:pgMar w:footer="725" w:header="695" w:top="880" w:bottom="920" w:left="1200" w:right="900"/>
          <w:pgNumType w:start="92"/>
        </w:sectPr>
      </w:pPr>
    </w:p>
    <w:p>
      <w:pPr>
        <w:pStyle w:val="BodyText"/>
        <w:spacing w:before="9"/>
        <w:rPr>
          <w:sz w:val="28"/>
        </w:rPr>
      </w:pPr>
    </w:p>
    <w:p>
      <w:pPr>
        <w:pStyle w:val="BodyText"/>
        <w:spacing w:line="252" w:lineRule="auto" w:before="73"/>
        <w:ind w:left="100" w:right="329"/>
        <w:jc w:val="both"/>
      </w:pPr>
      <w:r>
        <w:rPr>
          <w:w w:val="110"/>
        </w:rPr>
        <w:t>ración en diferentes proyectos y pueden reportar beneficios para los pueblos de los países implicados.</w:t>
      </w:r>
    </w:p>
    <w:p>
      <w:pPr>
        <w:pStyle w:val="BodyText"/>
        <w:spacing w:line="252" w:lineRule="auto"/>
        <w:ind w:left="100" w:right="327" w:firstLine="396"/>
        <w:jc w:val="both"/>
      </w:pPr>
      <w:r>
        <w:rPr>
          <w:w w:val="110"/>
        </w:rPr>
        <w:t>sin embargo, han de tenerse en cuenta elementos importantes que ubican a estos proyectos en el contexto de la formación de los denominados mega acuerdos y su posible relevancia. si bien por una parte Estados unidos se esfuerza por consolidar áreas de influencia impulsando simultáneamente proyectos con gran impacto geopolíti- co y económico –por un lado la asociación transpacífico (atP) y por otro, la asociación transatlántica de Comercio e inversión </w:t>
      </w:r>
      <w:r>
        <w:rPr>
          <w:w w:val="125"/>
        </w:rPr>
        <w:t>(ttiP, </w:t>
      </w:r>
      <w:r>
        <w:rPr>
          <w:w w:val="110"/>
        </w:rPr>
        <w:t>por sus siglas en inglés), en el supuesto de que estos mecanismos capta- rían las dos terceras partes del comercio global–, por la otra, las tres grandes economías de la proyectada nueva ruta de la seda conecta- rían a la hoy segunda economía global, China, a punto de superar a Estados unidos, con alemania (la primera en Europa y la cuarta a escala global) y rusia (octava economía   global).</w:t>
      </w:r>
    </w:p>
    <w:p>
      <w:pPr>
        <w:pStyle w:val="BodyText"/>
        <w:spacing w:line="252" w:lineRule="auto"/>
        <w:ind w:left="100" w:right="327" w:firstLine="396"/>
        <w:jc w:val="both"/>
      </w:pPr>
      <w:r>
        <w:rPr>
          <w:w w:val="115"/>
        </w:rPr>
        <w:t>Cualquier</w:t>
      </w:r>
      <w:r>
        <w:rPr>
          <w:spacing w:val="-20"/>
          <w:w w:val="115"/>
        </w:rPr>
        <w:t> </w:t>
      </w:r>
      <w:r>
        <w:rPr>
          <w:w w:val="115"/>
        </w:rPr>
        <w:t>movimiento</w:t>
      </w:r>
      <w:r>
        <w:rPr>
          <w:spacing w:val="-20"/>
          <w:w w:val="115"/>
        </w:rPr>
        <w:t> </w:t>
      </w:r>
      <w:r>
        <w:rPr>
          <w:w w:val="115"/>
        </w:rPr>
        <w:t>en</w:t>
      </w:r>
      <w:r>
        <w:rPr>
          <w:spacing w:val="-20"/>
          <w:w w:val="115"/>
        </w:rPr>
        <w:t> </w:t>
      </w:r>
      <w:r>
        <w:rPr>
          <w:w w:val="115"/>
        </w:rPr>
        <w:t>este</w:t>
      </w:r>
      <w:r>
        <w:rPr>
          <w:spacing w:val="-20"/>
          <w:w w:val="115"/>
        </w:rPr>
        <w:t> </w:t>
      </w:r>
      <w:r>
        <w:rPr>
          <w:w w:val="115"/>
        </w:rPr>
        <w:t>sentido</w:t>
      </w:r>
      <w:r>
        <w:rPr>
          <w:spacing w:val="-20"/>
          <w:w w:val="115"/>
        </w:rPr>
        <w:t> </w:t>
      </w:r>
      <w:r>
        <w:rPr>
          <w:w w:val="115"/>
        </w:rPr>
        <w:t>sin</w:t>
      </w:r>
      <w:r>
        <w:rPr>
          <w:spacing w:val="-20"/>
          <w:w w:val="115"/>
        </w:rPr>
        <w:t> </w:t>
      </w:r>
      <w:r>
        <w:rPr>
          <w:w w:val="115"/>
        </w:rPr>
        <w:t>duda</w:t>
      </w:r>
      <w:r>
        <w:rPr>
          <w:spacing w:val="-20"/>
          <w:w w:val="115"/>
        </w:rPr>
        <w:t> </w:t>
      </w:r>
      <w:r>
        <w:rPr>
          <w:w w:val="115"/>
        </w:rPr>
        <w:t>acelerará</w:t>
      </w:r>
      <w:r>
        <w:rPr>
          <w:spacing w:val="-20"/>
          <w:w w:val="115"/>
        </w:rPr>
        <w:t> </w:t>
      </w:r>
      <w:r>
        <w:rPr>
          <w:w w:val="115"/>
        </w:rPr>
        <w:t>los</w:t>
      </w:r>
      <w:r>
        <w:rPr>
          <w:spacing w:val="-20"/>
          <w:w w:val="115"/>
        </w:rPr>
        <w:t> </w:t>
      </w:r>
      <w:r>
        <w:rPr>
          <w:w w:val="115"/>
        </w:rPr>
        <w:t>pla- nes de guerra de Estados unidos y Gran bretaña, ya que el axioma inmutable</w:t>
      </w:r>
      <w:r>
        <w:rPr>
          <w:spacing w:val="-17"/>
          <w:w w:val="115"/>
        </w:rPr>
        <w:t> </w:t>
      </w:r>
      <w:r>
        <w:rPr>
          <w:w w:val="115"/>
        </w:rPr>
        <w:t>de</w:t>
      </w:r>
      <w:r>
        <w:rPr>
          <w:spacing w:val="-17"/>
          <w:w w:val="115"/>
        </w:rPr>
        <w:t> </w:t>
      </w:r>
      <w:r>
        <w:rPr>
          <w:w w:val="115"/>
        </w:rPr>
        <w:t>la</w:t>
      </w:r>
      <w:r>
        <w:rPr>
          <w:spacing w:val="-17"/>
          <w:w w:val="115"/>
        </w:rPr>
        <w:t> </w:t>
      </w:r>
      <w:r>
        <w:rPr>
          <w:w w:val="115"/>
        </w:rPr>
        <w:t>geopolítica</w:t>
      </w:r>
      <w:r>
        <w:rPr>
          <w:spacing w:val="-17"/>
          <w:w w:val="115"/>
        </w:rPr>
        <w:t> </w:t>
      </w:r>
      <w:r>
        <w:rPr>
          <w:w w:val="115"/>
        </w:rPr>
        <w:t>anglosajona</w:t>
      </w:r>
      <w:r>
        <w:rPr>
          <w:spacing w:val="-17"/>
          <w:w w:val="115"/>
        </w:rPr>
        <w:t> </w:t>
      </w:r>
      <w:r>
        <w:rPr>
          <w:w w:val="115"/>
        </w:rPr>
        <w:t>desde</w:t>
      </w:r>
      <w:r>
        <w:rPr>
          <w:spacing w:val="-17"/>
          <w:w w:val="115"/>
        </w:rPr>
        <w:t> </w:t>
      </w:r>
      <w:r>
        <w:rPr>
          <w:w w:val="115"/>
        </w:rPr>
        <w:t>sir</w:t>
      </w:r>
      <w:r>
        <w:rPr>
          <w:spacing w:val="-17"/>
          <w:w w:val="115"/>
        </w:rPr>
        <w:t> </w:t>
      </w:r>
      <w:r>
        <w:rPr>
          <w:w w:val="115"/>
        </w:rPr>
        <w:t>Halford</w:t>
      </w:r>
      <w:r>
        <w:rPr>
          <w:spacing w:val="-17"/>
          <w:w w:val="115"/>
        </w:rPr>
        <w:t> </w:t>
      </w:r>
      <w:r>
        <w:rPr>
          <w:w w:val="115"/>
        </w:rPr>
        <w:t>Mackinder se</w:t>
      </w:r>
      <w:r>
        <w:rPr>
          <w:spacing w:val="-13"/>
          <w:w w:val="115"/>
        </w:rPr>
        <w:t> </w:t>
      </w:r>
      <w:r>
        <w:rPr>
          <w:w w:val="115"/>
        </w:rPr>
        <w:t>mantiene:</w:t>
      </w:r>
      <w:r>
        <w:rPr>
          <w:spacing w:val="-13"/>
          <w:w w:val="115"/>
        </w:rPr>
        <w:t> </w:t>
      </w:r>
      <w:r>
        <w:rPr>
          <w:w w:val="115"/>
        </w:rPr>
        <w:t>impedir</w:t>
      </w:r>
      <w:r>
        <w:rPr>
          <w:spacing w:val="-13"/>
          <w:w w:val="115"/>
        </w:rPr>
        <w:t> </w:t>
      </w:r>
      <w:r>
        <w:rPr>
          <w:w w:val="115"/>
        </w:rPr>
        <w:t>a</w:t>
      </w:r>
      <w:r>
        <w:rPr>
          <w:spacing w:val="-13"/>
          <w:w w:val="115"/>
        </w:rPr>
        <w:t> </w:t>
      </w:r>
      <w:r>
        <w:rPr>
          <w:w w:val="115"/>
        </w:rPr>
        <w:t>toda</w:t>
      </w:r>
      <w:r>
        <w:rPr>
          <w:spacing w:val="-13"/>
          <w:w w:val="115"/>
        </w:rPr>
        <w:t> </w:t>
      </w:r>
      <w:r>
        <w:rPr>
          <w:w w:val="115"/>
        </w:rPr>
        <w:t>costa</w:t>
      </w:r>
      <w:r>
        <w:rPr>
          <w:spacing w:val="-13"/>
          <w:w w:val="115"/>
        </w:rPr>
        <w:t> </w:t>
      </w:r>
      <w:r>
        <w:rPr>
          <w:w w:val="115"/>
        </w:rPr>
        <w:t>una</w:t>
      </w:r>
      <w:r>
        <w:rPr>
          <w:spacing w:val="-13"/>
          <w:w w:val="115"/>
        </w:rPr>
        <w:t> </w:t>
      </w:r>
      <w:r>
        <w:rPr>
          <w:w w:val="115"/>
        </w:rPr>
        <w:t>alianza</w:t>
      </w:r>
      <w:r>
        <w:rPr>
          <w:spacing w:val="-13"/>
          <w:w w:val="115"/>
        </w:rPr>
        <w:t> </w:t>
      </w:r>
      <w:r>
        <w:rPr>
          <w:w w:val="115"/>
        </w:rPr>
        <w:t>entre</w:t>
      </w:r>
      <w:r>
        <w:rPr>
          <w:spacing w:val="-13"/>
          <w:w w:val="115"/>
        </w:rPr>
        <w:t> </w:t>
      </w:r>
      <w:r>
        <w:rPr>
          <w:w w:val="115"/>
        </w:rPr>
        <w:t>alemania</w:t>
      </w:r>
      <w:r>
        <w:rPr>
          <w:spacing w:val="-13"/>
          <w:w w:val="115"/>
        </w:rPr>
        <w:t> </w:t>
      </w:r>
      <w:r>
        <w:rPr>
          <w:w w:val="115"/>
        </w:rPr>
        <w:t>y</w:t>
      </w:r>
      <w:r>
        <w:rPr>
          <w:spacing w:val="-13"/>
          <w:w w:val="115"/>
        </w:rPr>
        <w:t> </w:t>
      </w:r>
      <w:r>
        <w:rPr>
          <w:w w:val="115"/>
        </w:rPr>
        <w:t>rusia en Europa. sin embargo, hoy China y alemania están conectadas ya por</w:t>
      </w:r>
      <w:r>
        <w:rPr>
          <w:spacing w:val="-24"/>
          <w:w w:val="115"/>
        </w:rPr>
        <w:t> </w:t>
      </w:r>
      <w:r>
        <w:rPr>
          <w:w w:val="115"/>
        </w:rPr>
        <w:t>la</w:t>
      </w:r>
      <w:r>
        <w:rPr>
          <w:spacing w:val="-24"/>
          <w:w w:val="115"/>
        </w:rPr>
        <w:t> </w:t>
      </w:r>
      <w:r>
        <w:rPr>
          <w:w w:val="115"/>
        </w:rPr>
        <w:t>red</w:t>
      </w:r>
      <w:r>
        <w:rPr>
          <w:spacing w:val="-24"/>
          <w:w w:val="115"/>
        </w:rPr>
        <w:t> </w:t>
      </w:r>
      <w:r>
        <w:rPr>
          <w:w w:val="115"/>
        </w:rPr>
        <w:t>ferroviaria</w:t>
      </w:r>
      <w:r>
        <w:rPr>
          <w:spacing w:val="-24"/>
          <w:w w:val="115"/>
        </w:rPr>
        <w:t> </w:t>
      </w:r>
      <w:r>
        <w:rPr>
          <w:w w:val="115"/>
        </w:rPr>
        <w:t>internacional</w:t>
      </w:r>
      <w:r>
        <w:rPr>
          <w:spacing w:val="-24"/>
          <w:w w:val="115"/>
        </w:rPr>
        <w:t> </w:t>
      </w:r>
      <w:r>
        <w:rPr>
          <w:w w:val="115"/>
        </w:rPr>
        <w:t>Chongqing-xinjiang-Europa.</w:t>
      </w:r>
    </w:p>
    <w:p>
      <w:pPr>
        <w:pStyle w:val="BodyText"/>
        <w:spacing w:line="252" w:lineRule="auto"/>
        <w:ind w:left="100" w:right="328" w:firstLine="397"/>
        <w:jc w:val="both"/>
      </w:pPr>
      <w:r>
        <w:rPr>
          <w:w w:val="115"/>
        </w:rPr>
        <w:t>a</w:t>
      </w:r>
      <w:r>
        <w:rPr>
          <w:spacing w:val="-18"/>
          <w:w w:val="115"/>
        </w:rPr>
        <w:t> </w:t>
      </w:r>
      <w:r>
        <w:rPr>
          <w:w w:val="115"/>
        </w:rPr>
        <w:t>continuación,</w:t>
      </w:r>
      <w:r>
        <w:rPr>
          <w:spacing w:val="-18"/>
          <w:w w:val="115"/>
        </w:rPr>
        <w:t> </w:t>
      </w:r>
      <w:r>
        <w:rPr>
          <w:w w:val="115"/>
        </w:rPr>
        <w:t>se</w:t>
      </w:r>
      <w:r>
        <w:rPr>
          <w:spacing w:val="-18"/>
          <w:w w:val="115"/>
        </w:rPr>
        <w:t> </w:t>
      </w:r>
      <w:r>
        <w:rPr>
          <w:w w:val="115"/>
        </w:rPr>
        <w:t>propone</w:t>
      </w:r>
      <w:r>
        <w:rPr>
          <w:spacing w:val="-18"/>
          <w:w w:val="115"/>
        </w:rPr>
        <w:t> </w:t>
      </w:r>
      <w:r>
        <w:rPr>
          <w:w w:val="115"/>
        </w:rPr>
        <w:t>brevemente</w:t>
      </w:r>
      <w:r>
        <w:rPr>
          <w:spacing w:val="-18"/>
          <w:w w:val="115"/>
        </w:rPr>
        <w:t> </w:t>
      </w:r>
      <w:r>
        <w:rPr>
          <w:w w:val="115"/>
        </w:rPr>
        <w:t>el</w:t>
      </w:r>
      <w:r>
        <w:rPr>
          <w:spacing w:val="-18"/>
          <w:w w:val="115"/>
        </w:rPr>
        <w:t> </w:t>
      </w:r>
      <w:r>
        <w:rPr>
          <w:w w:val="115"/>
        </w:rPr>
        <w:t>análisis</w:t>
      </w:r>
      <w:r>
        <w:rPr>
          <w:spacing w:val="-18"/>
          <w:w w:val="115"/>
        </w:rPr>
        <w:t> </w:t>
      </w:r>
      <w:r>
        <w:rPr>
          <w:w w:val="115"/>
        </w:rPr>
        <w:t>de</w:t>
      </w:r>
      <w:r>
        <w:rPr>
          <w:spacing w:val="-18"/>
          <w:w w:val="115"/>
        </w:rPr>
        <w:t> </w:t>
      </w:r>
      <w:r>
        <w:rPr>
          <w:w w:val="115"/>
        </w:rPr>
        <w:t>los</w:t>
      </w:r>
      <w:r>
        <w:rPr>
          <w:spacing w:val="-18"/>
          <w:w w:val="115"/>
        </w:rPr>
        <w:t> </w:t>
      </w:r>
      <w:r>
        <w:rPr>
          <w:w w:val="115"/>
        </w:rPr>
        <w:t>proyec- tos</w:t>
      </w:r>
      <w:r>
        <w:rPr>
          <w:spacing w:val="-23"/>
          <w:w w:val="115"/>
        </w:rPr>
        <w:t> </w:t>
      </w:r>
      <w:r>
        <w:rPr>
          <w:w w:val="115"/>
        </w:rPr>
        <w:t>que</w:t>
      </w:r>
      <w:r>
        <w:rPr>
          <w:spacing w:val="-23"/>
          <w:w w:val="115"/>
        </w:rPr>
        <w:t> </w:t>
      </w:r>
      <w:r>
        <w:rPr>
          <w:w w:val="115"/>
        </w:rPr>
        <w:t>ya</w:t>
      </w:r>
      <w:r>
        <w:rPr>
          <w:spacing w:val="-23"/>
          <w:w w:val="115"/>
        </w:rPr>
        <w:t> </w:t>
      </w:r>
      <w:r>
        <w:rPr>
          <w:w w:val="115"/>
        </w:rPr>
        <w:t>van</w:t>
      </w:r>
      <w:r>
        <w:rPr>
          <w:spacing w:val="-23"/>
          <w:w w:val="115"/>
        </w:rPr>
        <w:t> </w:t>
      </w:r>
      <w:r>
        <w:rPr>
          <w:w w:val="115"/>
        </w:rPr>
        <w:t>conformando</w:t>
      </w:r>
      <w:r>
        <w:rPr>
          <w:spacing w:val="-23"/>
          <w:w w:val="115"/>
        </w:rPr>
        <w:t> </w:t>
      </w:r>
      <w:r>
        <w:rPr>
          <w:w w:val="115"/>
        </w:rPr>
        <w:t>un</w:t>
      </w:r>
      <w:r>
        <w:rPr>
          <w:spacing w:val="-23"/>
          <w:w w:val="115"/>
        </w:rPr>
        <w:t> </w:t>
      </w:r>
      <w:r>
        <w:rPr>
          <w:w w:val="115"/>
        </w:rPr>
        <w:t>entramado</w:t>
      </w:r>
      <w:r>
        <w:rPr>
          <w:spacing w:val="-23"/>
          <w:w w:val="115"/>
        </w:rPr>
        <w:t> </w:t>
      </w:r>
      <w:r>
        <w:rPr>
          <w:w w:val="115"/>
        </w:rPr>
        <w:t>de</w:t>
      </w:r>
      <w:r>
        <w:rPr>
          <w:spacing w:val="-23"/>
          <w:w w:val="115"/>
        </w:rPr>
        <w:t> </w:t>
      </w:r>
      <w:r>
        <w:rPr>
          <w:w w:val="115"/>
        </w:rPr>
        <w:t>relaciones</w:t>
      </w:r>
      <w:r>
        <w:rPr>
          <w:spacing w:val="-23"/>
          <w:w w:val="115"/>
        </w:rPr>
        <w:t> </w:t>
      </w:r>
      <w:r>
        <w:rPr>
          <w:w w:val="115"/>
        </w:rPr>
        <w:t>comerciales y</w:t>
      </w:r>
      <w:r>
        <w:rPr>
          <w:spacing w:val="-26"/>
          <w:w w:val="115"/>
        </w:rPr>
        <w:t> </w:t>
      </w:r>
      <w:r>
        <w:rPr>
          <w:w w:val="115"/>
        </w:rPr>
        <w:t>de</w:t>
      </w:r>
      <w:r>
        <w:rPr>
          <w:spacing w:val="-26"/>
          <w:w w:val="115"/>
        </w:rPr>
        <w:t> </w:t>
      </w:r>
      <w:r>
        <w:rPr>
          <w:w w:val="115"/>
        </w:rPr>
        <w:t>inversión</w:t>
      </w:r>
      <w:r>
        <w:rPr>
          <w:spacing w:val="-26"/>
          <w:w w:val="115"/>
        </w:rPr>
        <w:t> </w:t>
      </w:r>
      <w:r>
        <w:rPr>
          <w:w w:val="115"/>
        </w:rPr>
        <w:t>de</w:t>
      </w:r>
      <w:r>
        <w:rPr>
          <w:spacing w:val="-26"/>
          <w:w w:val="115"/>
        </w:rPr>
        <w:t> </w:t>
      </w:r>
      <w:r>
        <w:rPr>
          <w:w w:val="115"/>
        </w:rPr>
        <w:t>considerable</w:t>
      </w:r>
      <w:r>
        <w:rPr>
          <w:spacing w:val="-26"/>
          <w:w w:val="115"/>
        </w:rPr>
        <w:t> </w:t>
      </w:r>
      <w:r>
        <w:rPr>
          <w:w w:val="115"/>
        </w:rPr>
        <w:t>impacto.</w:t>
      </w:r>
    </w:p>
    <w:p>
      <w:pPr>
        <w:pStyle w:val="BodyText"/>
        <w:spacing w:before="5"/>
      </w:pPr>
    </w:p>
    <w:p>
      <w:pPr>
        <w:pStyle w:val="Heading6"/>
      </w:pPr>
      <w:r>
        <w:rPr>
          <w:w w:val="130"/>
        </w:rPr>
        <w:t>la orGanización de cooPeración de sHanGHai</w:t>
      </w:r>
    </w:p>
    <w:p>
      <w:pPr>
        <w:pStyle w:val="BodyText"/>
        <w:spacing w:line="252" w:lineRule="auto" w:before="10"/>
        <w:ind w:left="100" w:right="327"/>
        <w:jc w:val="both"/>
      </w:pPr>
      <w:r>
        <w:rPr>
          <w:w w:val="243"/>
        </w:rPr>
        <w:t>l</w:t>
      </w:r>
      <w:r>
        <w:rPr>
          <w:w w:val="112"/>
        </w:rPr>
        <w:t>a</w:t>
      </w:r>
      <w:r>
        <w:rPr/>
        <w:t> </w:t>
      </w:r>
      <w:r>
        <w:rPr>
          <w:spacing w:val="9"/>
        </w:rPr>
        <w:t> </w:t>
      </w:r>
      <w:r>
        <w:rPr>
          <w:w w:val="149"/>
        </w:rPr>
        <w:t>o</w:t>
      </w:r>
      <w:r>
        <w:rPr>
          <w:w w:val="111"/>
        </w:rPr>
        <w:t>rganización</w:t>
      </w:r>
      <w:r>
        <w:rPr/>
        <w:t> </w:t>
      </w:r>
      <w:r>
        <w:rPr>
          <w:spacing w:val="9"/>
        </w:rPr>
        <w:t> </w:t>
      </w:r>
      <w:r>
        <w:rPr>
          <w:w w:val="107"/>
        </w:rPr>
        <w:t>de</w:t>
      </w:r>
      <w:r>
        <w:rPr/>
        <w:t> </w:t>
      </w:r>
      <w:r>
        <w:rPr>
          <w:spacing w:val="9"/>
        </w:rPr>
        <w:t> </w:t>
      </w:r>
      <w:r>
        <w:rPr>
          <w:w w:val="111"/>
        </w:rPr>
        <w:t>Cooperación</w:t>
      </w:r>
      <w:r>
        <w:rPr/>
        <w:t> </w:t>
      </w:r>
      <w:r>
        <w:rPr>
          <w:spacing w:val="9"/>
        </w:rPr>
        <w:t> </w:t>
      </w:r>
      <w:r>
        <w:rPr>
          <w:w w:val="107"/>
        </w:rPr>
        <w:t>de</w:t>
      </w:r>
      <w:r>
        <w:rPr/>
        <w:t> </w:t>
      </w:r>
      <w:r>
        <w:rPr>
          <w:spacing w:val="9"/>
        </w:rPr>
        <w:t> </w:t>
      </w:r>
      <w:r>
        <w:rPr>
          <w:w w:val="149"/>
        </w:rPr>
        <w:t>s</w:t>
      </w:r>
      <w:r>
        <w:rPr>
          <w:w w:val="112"/>
        </w:rPr>
        <w:t>hanghai</w:t>
      </w:r>
      <w:r>
        <w:rPr/>
        <w:t> </w:t>
      </w:r>
      <w:r>
        <w:rPr>
          <w:spacing w:val="9"/>
        </w:rPr>
        <w:t> </w:t>
      </w:r>
      <w:r>
        <w:rPr>
          <w:w w:val="98"/>
        </w:rPr>
        <w:t>(</w:t>
      </w:r>
      <w:r>
        <w:rPr>
          <w:w w:val="149"/>
        </w:rPr>
        <w:t>o</w:t>
      </w:r>
      <w:r>
        <w:rPr>
          <w:w w:val="124"/>
        </w:rPr>
        <w:t>C</w:t>
      </w:r>
      <w:r>
        <w:rPr>
          <w:w w:val="149"/>
        </w:rPr>
        <w:t>s</w:t>
      </w:r>
      <w:r>
        <w:rPr>
          <w:w w:val="98"/>
        </w:rPr>
        <w:t>)</w:t>
      </w:r>
      <w:r>
        <w:rPr/>
        <w:t> </w:t>
      </w:r>
      <w:r>
        <w:rPr>
          <w:spacing w:val="9"/>
        </w:rPr>
        <w:t> </w:t>
      </w:r>
      <w:r>
        <w:rPr>
          <w:w w:val="105"/>
        </w:rPr>
        <w:t>es</w:t>
      </w:r>
      <w:r>
        <w:rPr/>
        <w:t> </w:t>
      </w:r>
      <w:r>
        <w:rPr>
          <w:spacing w:val="9"/>
        </w:rPr>
        <w:t> </w:t>
      </w:r>
      <w:r>
        <w:rPr>
          <w:w w:val="112"/>
        </w:rPr>
        <w:t>una</w:t>
      </w:r>
      <w:r>
        <w:rPr/>
        <w:t> </w:t>
      </w:r>
      <w:r>
        <w:rPr>
          <w:spacing w:val="9"/>
        </w:rPr>
        <w:t> </w:t>
      </w:r>
      <w:r>
        <w:rPr>
          <w:w w:val="109"/>
        </w:rPr>
        <w:t>orga</w:t>
      </w:r>
      <w:r>
        <w:rPr>
          <w:w w:val="102"/>
        </w:rPr>
        <w:t>- </w:t>
      </w:r>
      <w:r>
        <w:rPr>
          <w:w w:val="110"/>
        </w:rPr>
        <w:t>nización internacional intergubernamental creada el 15 de junio de 2001 por los presidentes de seis países asiáticos: la república Popular </w:t>
      </w:r>
      <w:r>
        <w:rPr>
          <w:w w:val="117"/>
        </w:rPr>
        <w:t>China,</w:t>
      </w:r>
      <w:r>
        <w:rPr/>
        <w:t> </w:t>
      </w:r>
      <w:r>
        <w:rPr>
          <w:spacing w:val="-12"/>
        </w:rPr>
        <w:t> </w:t>
      </w:r>
      <w:r>
        <w:rPr>
          <w:w w:val="182"/>
        </w:rPr>
        <w:t>r</w:t>
      </w:r>
      <w:r>
        <w:rPr>
          <w:w w:val="114"/>
        </w:rPr>
        <w:t>usia,</w:t>
      </w:r>
      <w:r>
        <w:rPr/>
        <w:t> </w:t>
      </w:r>
      <w:r>
        <w:rPr>
          <w:spacing w:val="-12"/>
        </w:rPr>
        <w:t> </w:t>
      </w:r>
      <w:r>
        <w:rPr>
          <w:w w:val="114"/>
        </w:rPr>
        <w:t>Kazajistán,</w:t>
      </w:r>
      <w:r>
        <w:rPr/>
        <w:t> </w:t>
      </w:r>
      <w:r>
        <w:rPr>
          <w:spacing w:val="-12"/>
        </w:rPr>
        <w:t> </w:t>
      </w:r>
      <w:r>
        <w:rPr>
          <w:w w:val="113"/>
        </w:rPr>
        <w:t>Kirguizistán,</w:t>
      </w:r>
      <w:r>
        <w:rPr/>
        <w:t> </w:t>
      </w:r>
      <w:r>
        <w:rPr>
          <w:spacing w:val="-12"/>
        </w:rPr>
        <w:t> </w:t>
      </w:r>
      <w:r>
        <w:rPr>
          <w:spacing w:val="-18"/>
          <w:w w:val="195"/>
        </w:rPr>
        <w:t>t</w:t>
      </w:r>
      <w:r>
        <w:rPr>
          <w:w w:val="109"/>
        </w:rPr>
        <w:t>ayikistán</w:t>
      </w:r>
      <w:r>
        <w:rPr/>
        <w:t> </w:t>
      </w:r>
      <w:r>
        <w:rPr>
          <w:spacing w:val="-12"/>
        </w:rPr>
        <w:t> </w:t>
      </w:r>
      <w:r>
        <w:rPr>
          <w:w w:val="105"/>
        </w:rPr>
        <w:t>y</w:t>
      </w:r>
      <w:r>
        <w:rPr/>
        <w:t> </w:t>
      </w:r>
      <w:r>
        <w:rPr>
          <w:spacing w:val="-12"/>
        </w:rPr>
        <w:t> </w:t>
      </w:r>
      <w:r>
        <w:rPr>
          <w:w w:val="140"/>
        </w:rPr>
        <w:t>u</w:t>
      </w:r>
      <w:r>
        <w:rPr>
          <w:w w:val="110"/>
        </w:rPr>
        <w:t>zbekistán.</w:t>
      </w:r>
      <w:r>
        <w:rPr/>
        <w:t> </w:t>
      </w:r>
      <w:r>
        <w:rPr>
          <w:spacing w:val="-12"/>
        </w:rPr>
        <w:t> </w:t>
      </w:r>
      <w:r>
        <w:rPr>
          <w:w w:val="243"/>
        </w:rPr>
        <w:t>l</w:t>
      </w:r>
      <w:r>
        <w:rPr>
          <w:w w:val="108"/>
        </w:rPr>
        <w:t>os </w:t>
      </w:r>
      <w:r>
        <w:rPr>
          <w:w w:val="110"/>
        </w:rPr>
        <w:t>antecedentes de dicha organización se hallan en el llamado </w:t>
      </w:r>
      <w:r>
        <w:rPr>
          <w:spacing w:val="-3"/>
          <w:w w:val="110"/>
        </w:rPr>
        <w:t>tratado    </w:t>
      </w:r>
      <w:r>
        <w:rPr>
          <w:w w:val="110"/>
        </w:rPr>
        <w:t>de Cooperación “Cuatro más uno”, firmado entre rusia, Kazajistán, Kirguizistán y tayikistán más la  república  Popular  China,  a  finales de la década de 1980 cuando estas repúblicas, cuatro de ellas integra- das entonces en la unión soviética, acordaron disminuir tensiones fronterizas y militares en la zona. Este </w:t>
      </w:r>
      <w:r>
        <w:rPr>
          <w:spacing w:val="-3"/>
          <w:w w:val="110"/>
        </w:rPr>
        <w:t>tratado </w:t>
      </w:r>
      <w:r>
        <w:rPr>
          <w:w w:val="110"/>
        </w:rPr>
        <w:t>forma parte de las llamadas “medidas de construcción de confianza” que  continuaron con el acuerdo chino-soviético de 1991 que solucionó el 98% de las disputas fronterizas entre la unión soviética y la república Popular China  (saiz,</w:t>
      </w:r>
      <w:r>
        <w:rPr>
          <w:spacing w:val="9"/>
          <w:w w:val="110"/>
        </w:rPr>
        <w:t> </w:t>
      </w:r>
      <w:r>
        <w:rPr>
          <w:w w:val="110"/>
        </w:rPr>
        <w:t>2009).</w:t>
      </w:r>
    </w:p>
    <w:p>
      <w:pPr>
        <w:pStyle w:val="BodyText"/>
        <w:spacing w:line="252" w:lineRule="auto"/>
        <w:ind w:left="100" w:right="328" w:firstLine="396"/>
        <w:jc w:val="both"/>
      </w:pPr>
      <w:r>
        <w:rPr>
          <w:w w:val="115"/>
        </w:rPr>
        <w:t>El origen de la actual oCs fue la puesta en marcha el 26 de abril de 1996 por parte de los shanghai-5, ya mencionados, de acuerdos recíprocos</w:t>
      </w:r>
      <w:r>
        <w:rPr>
          <w:spacing w:val="-27"/>
          <w:w w:val="115"/>
        </w:rPr>
        <w:t> </w:t>
      </w:r>
      <w:r>
        <w:rPr>
          <w:w w:val="115"/>
        </w:rPr>
        <w:t>destinados</w:t>
      </w:r>
      <w:r>
        <w:rPr>
          <w:spacing w:val="-27"/>
          <w:w w:val="115"/>
        </w:rPr>
        <w:t> </w:t>
      </w:r>
      <w:r>
        <w:rPr>
          <w:w w:val="115"/>
        </w:rPr>
        <w:t>a</w:t>
      </w:r>
      <w:r>
        <w:rPr>
          <w:spacing w:val="-27"/>
          <w:w w:val="115"/>
        </w:rPr>
        <w:t> </w:t>
      </w:r>
      <w:r>
        <w:rPr>
          <w:w w:val="115"/>
        </w:rPr>
        <w:t>reducir</w:t>
      </w:r>
      <w:r>
        <w:rPr>
          <w:spacing w:val="-27"/>
          <w:w w:val="115"/>
        </w:rPr>
        <w:t> </w:t>
      </w:r>
      <w:r>
        <w:rPr>
          <w:w w:val="115"/>
        </w:rPr>
        <w:t>el</w:t>
      </w:r>
      <w:r>
        <w:rPr>
          <w:spacing w:val="-27"/>
          <w:w w:val="115"/>
        </w:rPr>
        <w:t> </w:t>
      </w:r>
      <w:r>
        <w:rPr>
          <w:w w:val="115"/>
        </w:rPr>
        <w:t>número</w:t>
      </w:r>
      <w:r>
        <w:rPr>
          <w:spacing w:val="-27"/>
          <w:w w:val="115"/>
        </w:rPr>
        <w:t> </w:t>
      </w:r>
      <w:r>
        <w:rPr>
          <w:w w:val="115"/>
        </w:rPr>
        <w:t>de</w:t>
      </w:r>
      <w:r>
        <w:rPr>
          <w:spacing w:val="-27"/>
          <w:w w:val="115"/>
        </w:rPr>
        <w:t> </w:t>
      </w:r>
      <w:r>
        <w:rPr>
          <w:w w:val="115"/>
        </w:rPr>
        <w:t>armas</w:t>
      </w:r>
      <w:r>
        <w:rPr>
          <w:spacing w:val="-27"/>
          <w:w w:val="115"/>
        </w:rPr>
        <w:t> </w:t>
      </w:r>
      <w:r>
        <w:rPr>
          <w:w w:val="115"/>
        </w:rPr>
        <w:t>en</w:t>
      </w:r>
      <w:r>
        <w:rPr>
          <w:spacing w:val="-27"/>
          <w:w w:val="115"/>
        </w:rPr>
        <w:t> </w:t>
      </w:r>
      <w:r>
        <w:rPr>
          <w:w w:val="115"/>
        </w:rPr>
        <w:t>sus</w:t>
      </w:r>
      <w:r>
        <w:rPr>
          <w:spacing w:val="-27"/>
          <w:w w:val="115"/>
        </w:rPr>
        <w:t> </w:t>
      </w:r>
      <w:r>
        <w:rPr>
          <w:w w:val="115"/>
        </w:rPr>
        <w:t>territorios</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tras la finalización de la Guerra Fría (1945-1992), así como la reduc- ción</w:t>
      </w:r>
      <w:r>
        <w:rPr>
          <w:spacing w:val="-8"/>
          <w:w w:val="110"/>
        </w:rPr>
        <w:t> </w:t>
      </w:r>
      <w:r>
        <w:rPr>
          <w:w w:val="110"/>
        </w:rPr>
        <w:t>del</w:t>
      </w:r>
      <w:r>
        <w:rPr>
          <w:spacing w:val="-8"/>
          <w:w w:val="110"/>
        </w:rPr>
        <w:t> </w:t>
      </w:r>
      <w:r>
        <w:rPr>
          <w:w w:val="110"/>
        </w:rPr>
        <w:t>tráfico</w:t>
      </w:r>
      <w:r>
        <w:rPr>
          <w:spacing w:val="-8"/>
          <w:w w:val="110"/>
        </w:rPr>
        <w:t> </w:t>
      </w:r>
      <w:r>
        <w:rPr>
          <w:w w:val="110"/>
        </w:rPr>
        <w:t>de</w:t>
      </w:r>
      <w:r>
        <w:rPr>
          <w:spacing w:val="-8"/>
          <w:w w:val="110"/>
        </w:rPr>
        <w:t> </w:t>
      </w:r>
      <w:r>
        <w:rPr>
          <w:w w:val="110"/>
        </w:rPr>
        <w:t>drogas</w:t>
      </w:r>
      <w:r>
        <w:rPr>
          <w:spacing w:val="-8"/>
          <w:w w:val="110"/>
        </w:rPr>
        <w:t> </w:t>
      </w:r>
      <w:r>
        <w:rPr>
          <w:w w:val="110"/>
        </w:rPr>
        <w:t>entre</w:t>
      </w:r>
      <w:r>
        <w:rPr>
          <w:spacing w:val="-8"/>
          <w:w w:val="110"/>
        </w:rPr>
        <w:t> </w:t>
      </w:r>
      <w:r>
        <w:rPr>
          <w:w w:val="110"/>
        </w:rPr>
        <w:t>los</w:t>
      </w:r>
      <w:r>
        <w:rPr>
          <w:spacing w:val="-8"/>
          <w:w w:val="110"/>
        </w:rPr>
        <w:t> </w:t>
      </w:r>
      <w:r>
        <w:rPr>
          <w:w w:val="110"/>
        </w:rPr>
        <w:t>países</w:t>
      </w:r>
      <w:r>
        <w:rPr>
          <w:spacing w:val="-8"/>
          <w:w w:val="110"/>
        </w:rPr>
        <w:t> </w:t>
      </w:r>
      <w:r>
        <w:rPr>
          <w:w w:val="110"/>
        </w:rPr>
        <w:t>firmantes,</w:t>
      </w:r>
      <w:r>
        <w:rPr>
          <w:spacing w:val="-8"/>
          <w:w w:val="110"/>
        </w:rPr>
        <w:t> </w:t>
      </w:r>
      <w:r>
        <w:rPr>
          <w:w w:val="110"/>
        </w:rPr>
        <w:t>principalmente</w:t>
      </w:r>
      <w:r>
        <w:rPr>
          <w:spacing w:val="-8"/>
          <w:w w:val="110"/>
        </w:rPr>
        <w:t> </w:t>
      </w:r>
      <w:r>
        <w:rPr>
          <w:w w:val="110"/>
        </w:rPr>
        <w:t>de opio, y el enfrentamiento a los actos terroristas en la región china de xinjiang. Estos cinco países fueron los creadores del llamado “Espí- ritu de shanghai” caracterizado por la confianza mutua, la obtención de ventajas y ayuda conjunta, la igualdad, el respeto a la diversidad cultural y el deseo de un desarrollo conjunto. En conclusión, tal como se establece en el </w:t>
      </w:r>
      <w:r>
        <w:rPr>
          <w:spacing w:val="-3"/>
          <w:w w:val="110"/>
        </w:rPr>
        <w:t>tratado </w:t>
      </w:r>
      <w:r>
        <w:rPr>
          <w:w w:val="110"/>
        </w:rPr>
        <w:t>Fundacional, el Espíritu de shanghai será la piedra angular sobre la que se apoyará la actuación de los socios de la </w:t>
      </w:r>
      <w:r>
        <w:rPr>
          <w:w w:val="135"/>
        </w:rPr>
        <w:t>oCs </w:t>
      </w:r>
      <w:r>
        <w:rPr>
          <w:w w:val="110"/>
        </w:rPr>
        <w:t>durante el siglo </w:t>
      </w:r>
      <w:r>
        <w:rPr>
          <w:w w:val="135"/>
        </w:rPr>
        <w:t>xxi </w:t>
      </w:r>
      <w:r>
        <w:rPr>
          <w:w w:val="110"/>
        </w:rPr>
        <w:t>(saiz,  </w:t>
      </w:r>
      <w:r>
        <w:rPr>
          <w:spacing w:val="6"/>
          <w:w w:val="110"/>
        </w:rPr>
        <w:t> </w:t>
      </w:r>
      <w:r>
        <w:rPr>
          <w:w w:val="110"/>
        </w:rPr>
        <w:t>2009).</w:t>
      </w:r>
    </w:p>
    <w:p>
      <w:pPr>
        <w:pStyle w:val="BodyText"/>
        <w:spacing w:line="252" w:lineRule="auto"/>
        <w:ind w:left="330" w:right="118" w:firstLine="396"/>
        <w:jc w:val="both"/>
      </w:pPr>
      <w:r>
        <w:rPr>
          <w:w w:val="120"/>
        </w:rPr>
        <w:t>En</w:t>
      </w:r>
      <w:r>
        <w:rPr>
          <w:spacing w:val="-9"/>
          <w:w w:val="120"/>
        </w:rPr>
        <w:t> </w:t>
      </w:r>
      <w:r>
        <w:rPr>
          <w:w w:val="120"/>
        </w:rPr>
        <w:t>los</w:t>
      </w:r>
      <w:r>
        <w:rPr>
          <w:spacing w:val="-9"/>
          <w:w w:val="120"/>
        </w:rPr>
        <w:t> </w:t>
      </w:r>
      <w:r>
        <w:rPr>
          <w:w w:val="120"/>
        </w:rPr>
        <w:t>últimos</w:t>
      </w:r>
      <w:r>
        <w:rPr>
          <w:spacing w:val="-9"/>
          <w:w w:val="120"/>
        </w:rPr>
        <w:t> </w:t>
      </w:r>
      <w:r>
        <w:rPr>
          <w:w w:val="120"/>
        </w:rPr>
        <w:t>13</w:t>
      </w:r>
      <w:r>
        <w:rPr>
          <w:spacing w:val="-9"/>
          <w:w w:val="120"/>
        </w:rPr>
        <w:t> </w:t>
      </w:r>
      <w:r>
        <w:rPr>
          <w:w w:val="120"/>
        </w:rPr>
        <w:t>años,</w:t>
      </w:r>
      <w:r>
        <w:rPr>
          <w:spacing w:val="-9"/>
          <w:w w:val="120"/>
        </w:rPr>
        <w:t> </w:t>
      </w:r>
      <w:r>
        <w:rPr>
          <w:w w:val="120"/>
        </w:rPr>
        <w:t>la</w:t>
      </w:r>
      <w:r>
        <w:rPr>
          <w:spacing w:val="-9"/>
          <w:w w:val="120"/>
        </w:rPr>
        <w:t> </w:t>
      </w:r>
      <w:r>
        <w:rPr>
          <w:w w:val="120"/>
        </w:rPr>
        <w:t>oCs</w:t>
      </w:r>
      <w:r>
        <w:rPr>
          <w:spacing w:val="-9"/>
          <w:w w:val="120"/>
        </w:rPr>
        <w:t> </w:t>
      </w:r>
      <w:r>
        <w:rPr>
          <w:w w:val="120"/>
        </w:rPr>
        <w:t>se</w:t>
      </w:r>
      <w:r>
        <w:rPr>
          <w:spacing w:val="-9"/>
          <w:w w:val="120"/>
        </w:rPr>
        <w:t> </w:t>
      </w:r>
      <w:r>
        <w:rPr>
          <w:w w:val="120"/>
        </w:rPr>
        <w:t>ha</w:t>
      </w:r>
      <w:r>
        <w:rPr>
          <w:spacing w:val="-9"/>
          <w:w w:val="120"/>
        </w:rPr>
        <w:t> </w:t>
      </w:r>
      <w:r>
        <w:rPr>
          <w:w w:val="120"/>
        </w:rPr>
        <w:t>convertido</w:t>
      </w:r>
      <w:r>
        <w:rPr>
          <w:spacing w:val="-9"/>
          <w:w w:val="120"/>
        </w:rPr>
        <w:t> </w:t>
      </w:r>
      <w:r>
        <w:rPr>
          <w:w w:val="120"/>
        </w:rPr>
        <w:t>en</w:t>
      </w:r>
      <w:r>
        <w:rPr>
          <w:spacing w:val="-9"/>
          <w:w w:val="120"/>
        </w:rPr>
        <w:t> </w:t>
      </w:r>
      <w:r>
        <w:rPr>
          <w:w w:val="120"/>
        </w:rPr>
        <w:t>un</w:t>
      </w:r>
      <w:r>
        <w:rPr>
          <w:spacing w:val="-9"/>
          <w:w w:val="120"/>
        </w:rPr>
        <w:t> </w:t>
      </w:r>
      <w:r>
        <w:rPr>
          <w:w w:val="120"/>
        </w:rPr>
        <w:t>pilar</w:t>
      </w:r>
      <w:r>
        <w:rPr>
          <w:spacing w:val="-9"/>
          <w:w w:val="120"/>
        </w:rPr>
        <w:t> </w:t>
      </w:r>
      <w:r>
        <w:rPr>
          <w:w w:val="120"/>
        </w:rPr>
        <w:t>es- </w:t>
      </w:r>
      <w:r>
        <w:rPr>
          <w:w w:val="115"/>
        </w:rPr>
        <w:t>tratégico</w:t>
      </w:r>
      <w:r>
        <w:rPr>
          <w:spacing w:val="-9"/>
          <w:w w:val="115"/>
        </w:rPr>
        <w:t> </w:t>
      </w:r>
      <w:r>
        <w:rPr>
          <w:w w:val="115"/>
        </w:rPr>
        <w:t>para</w:t>
      </w:r>
      <w:r>
        <w:rPr>
          <w:spacing w:val="-9"/>
          <w:w w:val="115"/>
        </w:rPr>
        <w:t> </w:t>
      </w:r>
      <w:r>
        <w:rPr>
          <w:w w:val="115"/>
        </w:rPr>
        <w:t>la</w:t>
      </w:r>
      <w:r>
        <w:rPr>
          <w:spacing w:val="-9"/>
          <w:w w:val="115"/>
        </w:rPr>
        <w:t> </w:t>
      </w:r>
      <w:r>
        <w:rPr>
          <w:w w:val="115"/>
        </w:rPr>
        <w:t>región</w:t>
      </w:r>
      <w:r>
        <w:rPr>
          <w:spacing w:val="-9"/>
          <w:w w:val="115"/>
        </w:rPr>
        <w:t> </w:t>
      </w:r>
      <w:r>
        <w:rPr>
          <w:w w:val="115"/>
        </w:rPr>
        <w:t>en</w:t>
      </w:r>
      <w:r>
        <w:rPr>
          <w:spacing w:val="-9"/>
          <w:w w:val="115"/>
        </w:rPr>
        <w:t> </w:t>
      </w:r>
      <w:r>
        <w:rPr>
          <w:w w:val="115"/>
        </w:rPr>
        <w:t>el</w:t>
      </w:r>
      <w:r>
        <w:rPr>
          <w:spacing w:val="-9"/>
          <w:w w:val="115"/>
        </w:rPr>
        <w:t> </w:t>
      </w:r>
      <w:r>
        <w:rPr>
          <w:w w:val="115"/>
        </w:rPr>
        <w:t>mantenimiento</w:t>
      </w:r>
      <w:r>
        <w:rPr>
          <w:spacing w:val="-9"/>
          <w:w w:val="115"/>
        </w:rPr>
        <w:t> </w:t>
      </w:r>
      <w:r>
        <w:rPr>
          <w:w w:val="115"/>
        </w:rPr>
        <w:t>de</w:t>
      </w:r>
      <w:r>
        <w:rPr>
          <w:spacing w:val="-9"/>
          <w:w w:val="115"/>
        </w:rPr>
        <w:t> </w:t>
      </w:r>
      <w:r>
        <w:rPr>
          <w:w w:val="115"/>
        </w:rPr>
        <w:t>la</w:t>
      </w:r>
      <w:r>
        <w:rPr>
          <w:spacing w:val="-9"/>
          <w:w w:val="115"/>
        </w:rPr>
        <w:t> </w:t>
      </w:r>
      <w:r>
        <w:rPr>
          <w:w w:val="115"/>
        </w:rPr>
        <w:t>seguridad</w:t>
      </w:r>
      <w:r>
        <w:rPr>
          <w:spacing w:val="-9"/>
          <w:w w:val="115"/>
        </w:rPr>
        <w:t> </w:t>
      </w:r>
      <w:r>
        <w:rPr>
          <w:w w:val="115"/>
        </w:rPr>
        <w:t>y</w:t>
      </w:r>
      <w:r>
        <w:rPr>
          <w:spacing w:val="-9"/>
          <w:w w:val="115"/>
        </w:rPr>
        <w:t> </w:t>
      </w:r>
      <w:r>
        <w:rPr>
          <w:w w:val="115"/>
        </w:rPr>
        <w:t>el</w:t>
      </w:r>
      <w:r>
        <w:rPr>
          <w:spacing w:val="-9"/>
          <w:w w:val="115"/>
        </w:rPr>
        <w:t> </w:t>
      </w:r>
      <w:r>
        <w:rPr>
          <w:w w:val="115"/>
        </w:rPr>
        <w:t>de- sarrollo</w:t>
      </w:r>
      <w:r>
        <w:rPr>
          <w:spacing w:val="-18"/>
          <w:w w:val="115"/>
        </w:rPr>
        <w:t> </w:t>
      </w:r>
      <w:r>
        <w:rPr>
          <w:w w:val="115"/>
        </w:rPr>
        <w:t>económico</w:t>
      </w:r>
      <w:r>
        <w:rPr>
          <w:spacing w:val="-18"/>
          <w:w w:val="115"/>
        </w:rPr>
        <w:t> </w:t>
      </w:r>
      <w:r>
        <w:rPr>
          <w:w w:val="115"/>
        </w:rPr>
        <w:t>en</w:t>
      </w:r>
      <w:r>
        <w:rPr>
          <w:spacing w:val="-18"/>
          <w:w w:val="115"/>
        </w:rPr>
        <w:t> </w:t>
      </w:r>
      <w:r>
        <w:rPr>
          <w:w w:val="115"/>
        </w:rPr>
        <w:t>su</w:t>
      </w:r>
      <w:r>
        <w:rPr>
          <w:spacing w:val="-18"/>
          <w:w w:val="115"/>
        </w:rPr>
        <w:t> </w:t>
      </w:r>
      <w:r>
        <w:rPr>
          <w:w w:val="115"/>
        </w:rPr>
        <w:t>conjunto,</w:t>
      </w:r>
      <w:r>
        <w:rPr>
          <w:spacing w:val="-18"/>
          <w:w w:val="115"/>
        </w:rPr>
        <w:t> </w:t>
      </w:r>
      <w:r>
        <w:rPr>
          <w:w w:val="115"/>
        </w:rPr>
        <w:t>ya</w:t>
      </w:r>
      <w:r>
        <w:rPr>
          <w:spacing w:val="-18"/>
          <w:w w:val="115"/>
        </w:rPr>
        <w:t> </w:t>
      </w:r>
      <w:r>
        <w:rPr>
          <w:w w:val="115"/>
        </w:rPr>
        <w:t>que</w:t>
      </w:r>
      <w:r>
        <w:rPr>
          <w:spacing w:val="-18"/>
          <w:w w:val="115"/>
        </w:rPr>
        <w:t> </w:t>
      </w:r>
      <w:r>
        <w:rPr>
          <w:w w:val="115"/>
        </w:rPr>
        <w:t>cubre</w:t>
      </w:r>
      <w:r>
        <w:rPr>
          <w:spacing w:val="-18"/>
          <w:w w:val="115"/>
        </w:rPr>
        <w:t> </w:t>
      </w:r>
      <w:r>
        <w:rPr>
          <w:w w:val="115"/>
        </w:rPr>
        <w:t>un</w:t>
      </w:r>
      <w:r>
        <w:rPr>
          <w:spacing w:val="-18"/>
          <w:w w:val="115"/>
        </w:rPr>
        <w:t> </w:t>
      </w:r>
      <w:r>
        <w:rPr>
          <w:w w:val="115"/>
        </w:rPr>
        <w:t>área</w:t>
      </w:r>
      <w:r>
        <w:rPr>
          <w:spacing w:val="-18"/>
          <w:w w:val="115"/>
        </w:rPr>
        <w:t> </w:t>
      </w:r>
      <w:r>
        <w:rPr>
          <w:w w:val="115"/>
        </w:rPr>
        <w:t>total</w:t>
      </w:r>
      <w:r>
        <w:rPr>
          <w:spacing w:val="-18"/>
          <w:w w:val="115"/>
        </w:rPr>
        <w:t> </w:t>
      </w:r>
      <w:r>
        <w:rPr>
          <w:w w:val="115"/>
        </w:rPr>
        <w:t>de</w:t>
      </w:r>
      <w:r>
        <w:rPr>
          <w:spacing w:val="-18"/>
          <w:w w:val="115"/>
        </w:rPr>
        <w:t> </w:t>
      </w:r>
      <w:r>
        <w:rPr>
          <w:w w:val="115"/>
        </w:rPr>
        <w:t>30.2 millones</w:t>
      </w:r>
      <w:r>
        <w:rPr>
          <w:spacing w:val="-19"/>
          <w:w w:val="115"/>
        </w:rPr>
        <w:t> </w:t>
      </w:r>
      <w:r>
        <w:rPr>
          <w:w w:val="115"/>
        </w:rPr>
        <w:t>de</w:t>
      </w:r>
      <w:r>
        <w:rPr>
          <w:spacing w:val="-19"/>
          <w:w w:val="115"/>
        </w:rPr>
        <w:t> </w:t>
      </w:r>
      <w:r>
        <w:rPr>
          <w:w w:val="115"/>
        </w:rPr>
        <w:t>kilómetros</w:t>
      </w:r>
      <w:r>
        <w:rPr>
          <w:spacing w:val="-19"/>
          <w:w w:val="115"/>
        </w:rPr>
        <w:t> </w:t>
      </w:r>
      <w:r>
        <w:rPr>
          <w:w w:val="115"/>
        </w:rPr>
        <w:t>cuadrados,</w:t>
      </w:r>
      <w:r>
        <w:rPr>
          <w:spacing w:val="-19"/>
          <w:w w:val="115"/>
        </w:rPr>
        <w:t> </w:t>
      </w:r>
      <w:r>
        <w:rPr>
          <w:w w:val="115"/>
        </w:rPr>
        <w:t>60%</w:t>
      </w:r>
      <w:r>
        <w:rPr>
          <w:spacing w:val="-19"/>
          <w:w w:val="115"/>
        </w:rPr>
        <w:t> </w:t>
      </w:r>
      <w:r>
        <w:rPr>
          <w:w w:val="115"/>
        </w:rPr>
        <w:t>del</w:t>
      </w:r>
      <w:r>
        <w:rPr>
          <w:spacing w:val="-19"/>
          <w:w w:val="115"/>
        </w:rPr>
        <w:t> </w:t>
      </w:r>
      <w:r>
        <w:rPr>
          <w:w w:val="115"/>
        </w:rPr>
        <w:t>territorio</w:t>
      </w:r>
      <w:r>
        <w:rPr>
          <w:spacing w:val="-19"/>
          <w:w w:val="115"/>
        </w:rPr>
        <w:t> </w:t>
      </w:r>
      <w:r>
        <w:rPr>
          <w:w w:val="115"/>
        </w:rPr>
        <w:t>de</w:t>
      </w:r>
      <w:r>
        <w:rPr>
          <w:spacing w:val="-19"/>
          <w:w w:val="115"/>
        </w:rPr>
        <w:t> </w:t>
      </w:r>
      <w:r>
        <w:rPr>
          <w:w w:val="115"/>
        </w:rPr>
        <w:t>Eurasia,</w:t>
      </w:r>
      <w:r>
        <w:rPr>
          <w:spacing w:val="-19"/>
          <w:w w:val="115"/>
        </w:rPr>
        <w:t> </w:t>
      </w:r>
      <w:r>
        <w:rPr>
          <w:w w:val="115"/>
        </w:rPr>
        <w:t>con una</w:t>
      </w:r>
      <w:r>
        <w:rPr>
          <w:spacing w:val="-26"/>
          <w:w w:val="115"/>
        </w:rPr>
        <w:t> </w:t>
      </w:r>
      <w:r>
        <w:rPr>
          <w:w w:val="115"/>
        </w:rPr>
        <w:t>población</w:t>
      </w:r>
      <w:r>
        <w:rPr>
          <w:spacing w:val="-26"/>
          <w:w w:val="115"/>
        </w:rPr>
        <w:t> </w:t>
      </w:r>
      <w:r>
        <w:rPr>
          <w:w w:val="115"/>
        </w:rPr>
        <w:t>combinada</w:t>
      </w:r>
      <w:r>
        <w:rPr>
          <w:spacing w:val="-26"/>
          <w:w w:val="115"/>
        </w:rPr>
        <w:t> </w:t>
      </w:r>
      <w:r>
        <w:rPr>
          <w:w w:val="115"/>
        </w:rPr>
        <w:t>de</w:t>
      </w:r>
      <w:r>
        <w:rPr>
          <w:spacing w:val="-26"/>
          <w:w w:val="115"/>
        </w:rPr>
        <w:t> </w:t>
      </w:r>
      <w:r>
        <w:rPr>
          <w:w w:val="115"/>
        </w:rPr>
        <w:t>1.530</w:t>
      </w:r>
      <w:r>
        <w:rPr>
          <w:spacing w:val="-26"/>
          <w:w w:val="115"/>
        </w:rPr>
        <w:t> </w:t>
      </w:r>
      <w:r>
        <w:rPr>
          <w:w w:val="115"/>
        </w:rPr>
        <w:t>millones</w:t>
      </w:r>
      <w:r>
        <w:rPr>
          <w:spacing w:val="-26"/>
          <w:w w:val="115"/>
        </w:rPr>
        <w:t> </w:t>
      </w:r>
      <w:r>
        <w:rPr>
          <w:w w:val="115"/>
        </w:rPr>
        <w:t>de</w:t>
      </w:r>
      <w:r>
        <w:rPr>
          <w:spacing w:val="-26"/>
          <w:w w:val="115"/>
        </w:rPr>
        <w:t> </w:t>
      </w:r>
      <w:r>
        <w:rPr>
          <w:w w:val="115"/>
        </w:rPr>
        <w:t>personas.</w:t>
      </w:r>
      <w:r>
        <w:rPr>
          <w:spacing w:val="-26"/>
          <w:w w:val="115"/>
        </w:rPr>
        <w:t> </w:t>
      </w:r>
      <w:r>
        <w:rPr>
          <w:w w:val="115"/>
        </w:rPr>
        <w:t>si</w:t>
      </w:r>
      <w:r>
        <w:rPr>
          <w:spacing w:val="-26"/>
          <w:w w:val="115"/>
        </w:rPr>
        <w:t> </w:t>
      </w:r>
      <w:r>
        <w:rPr>
          <w:w w:val="115"/>
        </w:rPr>
        <w:t>se</w:t>
      </w:r>
      <w:r>
        <w:rPr>
          <w:spacing w:val="-26"/>
          <w:w w:val="115"/>
        </w:rPr>
        <w:t> </w:t>
      </w:r>
      <w:r>
        <w:rPr>
          <w:w w:val="115"/>
        </w:rPr>
        <w:t>incluye </w:t>
      </w:r>
      <w:r>
        <w:rPr>
          <w:w w:val="120"/>
        </w:rPr>
        <w:t>a</w:t>
      </w:r>
      <w:r>
        <w:rPr>
          <w:spacing w:val="-14"/>
          <w:w w:val="120"/>
        </w:rPr>
        <w:t> </w:t>
      </w:r>
      <w:r>
        <w:rPr>
          <w:w w:val="120"/>
        </w:rPr>
        <w:t>india,</w:t>
      </w:r>
      <w:r>
        <w:rPr>
          <w:spacing w:val="-14"/>
          <w:w w:val="120"/>
        </w:rPr>
        <w:t> </w:t>
      </w:r>
      <w:r>
        <w:rPr>
          <w:w w:val="120"/>
        </w:rPr>
        <w:t>irán,</w:t>
      </w:r>
      <w:r>
        <w:rPr>
          <w:spacing w:val="-14"/>
          <w:w w:val="120"/>
        </w:rPr>
        <w:t> </w:t>
      </w:r>
      <w:r>
        <w:rPr>
          <w:w w:val="120"/>
        </w:rPr>
        <w:t>Mongolia</w:t>
      </w:r>
      <w:r>
        <w:rPr>
          <w:spacing w:val="-14"/>
          <w:w w:val="120"/>
        </w:rPr>
        <w:t> </w:t>
      </w:r>
      <w:r>
        <w:rPr>
          <w:w w:val="120"/>
        </w:rPr>
        <w:t>y</w:t>
      </w:r>
      <w:r>
        <w:rPr>
          <w:spacing w:val="-14"/>
          <w:w w:val="120"/>
        </w:rPr>
        <w:t> </w:t>
      </w:r>
      <w:r>
        <w:rPr>
          <w:w w:val="120"/>
        </w:rPr>
        <w:t>Pakistán</w:t>
      </w:r>
      <w:r>
        <w:rPr>
          <w:spacing w:val="-14"/>
          <w:w w:val="120"/>
        </w:rPr>
        <w:t> </w:t>
      </w:r>
      <w:r>
        <w:rPr>
          <w:w w:val="120"/>
        </w:rPr>
        <w:t>(Naciones</w:t>
      </w:r>
      <w:r>
        <w:rPr>
          <w:spacing w:val="-14"/>
          <w:w w:val="120"/>
        </w:rPr>
        <w:t> </w:t>
      </w:r>
      <w:r>
        <w:rPr>
          <w:w w:val="120"/>
        </w:rPr>
        <w:t>observadoras),</w:t>
      </w:r>
      <w:r>
        <w:rPr>
          <w:spacing w:val="-14"/>
          <w:w w:val="120"/>
        </w:rPr>
        <w:t> </w:t>
      </w:r>
      <w:r>
        <w:rPr>
          <w:w w:val="120"/>
        </w:rPr>
        <w:t>la</w:t>
      </w:r>
      <w:r>
        <w:rPr>
          <w:spacing w:val="-14"/>
          <w:w w:val="120"/>
        </w:rPr>
        <w:t> </w:t>
      </w:r>
      <w:r>
        <w:rPr>
          <w:w w:val="120"/>
        </w:rPr>
        <w:t>oCs </w:t>
      </w:r>
      <w:r>
        <w:rPr>
          <w:w w:val="107"/>
        </w:rPr>
        <w:t>representa</w:t>
      </w:r>
      <w:r>
        <w:rPr>
          <w:spacing w:val="6"/>
        </w:rPr>
        <w:t> </w:t>
      </w:r>
      <w:r>
        <w:rPr>
          <w:w w:val="102"/>
        </w:rPr>
        <w:t>50%</w:t>
      </w:r>
      <w:r>
        <w:rPr>
          <w:spacing w:val="6"/>
        </w:rPr>
        <w:t> </w:t>
      </w:r>
      <w:r>
        <w:rPr>
          <w:w w:val="107"/>
        </w:rPr>
        <w:t>de</w:t>
      </w:r>
      <w:r>
        <w:rPr>
          <w:spacing w:val="6"/>
        </w:rPr>
        <w:t> </w:t>
      </w:r>
      <w:r>
        <w:rPr>
          <w:w w:val="111"/>
        </w:rPr>
        <w:t>la</w:t>
      </w:r>
      <w:r>
        <w:rPr>
          <w:spacing w:val="6"/>
        </w:rPr>
        <w:t> </w:t>
      </w:r>
      <w:r>
        <w:rPr>
          <w:w w:val="111"/>
        </w:rPr>
        <w:t>población</w:t>
      </w:r>
      <w:r>
        <w:rPr>
          <w:spacing w:val="6"/>
        </w:rPr>
        <w:t> </w:t>
      </w:r>
      <w:r>
        <w:rPr>
          <w:w w:val="107"/>
        </w:rPr>
        <w:t>del</w:t>
      </w:r>
      <w:r>
        <w:rPr>
          <w:spacing w:val="6"/>
        </w:rPr>
        <w:t> </w:t>
      </w:r>
      <w:r>
        <w:rPr>
          <w:w w:val="113"/>
        </w:rPr>
        <w:t>mundo.</w:t>
      </w:r>
      <w:r>
        <w:rPr>
          <w:spacing w:val="6"/>
        </w:rPr>
        <w:t> </w:t>
      </w:r>
      <w:r>
        <w:rPr>
          <w:w w:val="243"/>
        </w:rPr>
        <w:t>l</w:t>
      </w:r>
      <w:r>
        <w:rPr>
          <w:w w:val="112"/>
        </w:rPr>
        <w:t>a</w:t>
      </w:r>
      <w:r>
        <w:rPr>
          <w:spacing w:val="6"/>
        </w:rPr>
        <w:t> </w:t>
      </w:r>
      <w:r>
        <w:rPr>
          <w:w w:val="111"/>
        </w:rPr>
        <w:t>producción</w:t>
      </w:r>
      <w:r>
        <w:rPr>
          <w:spacing w:val="6"/>
        </w:rPr>
        <w:t> </w:t>
      </w:r>
      <w:r>
        <w:rPr>
          <w:w w:val="112"/>
        </w:rPr>
        <w:t>económica </w:t>
      </w:r>
      <w:r>
        <w:rPr>
          <w:w w:val="120"/>
        </w:rPr>
        <w:t>total</w:t>
      </w:r>
      <w:r>
        <w:rPr>
          <w:spacing w:val="-25"/>
          <w:w w:val="120"/>
        </w:rPr>
        <w:t> </w:t>
      </w:r>
      <w:r>
        <w:rPr>
          <w:w w:val="120"/>
        </w:rPr>
        <w:t>de</w:t>
      </w:r>
      <w:r>
        <w:rPr>
          <w:spacing w:val="-25"/>
          <w:w w:val="120"/>
        </w:rPr>
        <w:t> </w:t>
      </w:r>
      <w:r>
        <w:rPr>
          <w:w w:val="120"/>
        </w:rPr>
        <w:t>los</w:t>
      </w:r>
      <w:r>
        <w:rPr>
          <w:spacing w:val="-25"/>
          <w:w w:val="120"/>
        </w:rPr>
        <w:t> </w:t>
      </w:r>
      <w:r>
        <w:rPr>
          <w:w w:val="120"/>
        </w:rPr>
        <w:t>miembros</w:t>
      </w:r>
      <w:r>
        <w:rPr>
          <w:spacing w:val="-25"/>
          <w:w w:val="120"/>
        </w:rPr>
        <w:t> </w:t>
      </w:r>
      <w:r>
        <w:rPr>
          <w:w w:val="120"/>
        </w:rPr>
        <w:t>de</w:t>
      </w:r>
      <w:r>
        <w:rPr>
          <w:spacing w:val="-25"/>
          <w:w w:val="120"/>
        </w:rPr>
        <w:t> </w:t>
      </w:r>
      <w:r>
        <w:rPr>
          <w:w w:val="120"/>
        </w:rPr>
        <w:t>la</w:t>
      </w:r>
      <w:r>
        <w:rPr>
          <w:spacing w:val="-25"/>
          <w:w w:val="120"/>
        </w:rPr>
        <w:t> </w:t>
      </w:r>
      <w:r>
        <w:rPr>
          <w:w w:val="120"/>
        </w:rPr>
        <w:t>oCs</w:t>
      </w:r>
      <w:r>
        <w:rPr>
          <w:spacing w:val="-25"/>
          <w:w w:val="120"/>
        </w:rPr>
        <w:t> </w:t>
      </w:r>
      <w:r>
        <w:rPr>
          <w:w w:val="120"/>
        </w:rPr>
        <w:t>se</w:t>
      </w:r>
      <w:r>
        <w:rPr>
          <w:spacing w:val="-25"/>
          <w:w w:val="120"/>
        </w:rPr>
        <w:t> </w:t>
      </w:r>
      <w:r>
        <w:rPr>
          <w:w w:val="120"/>
        </w:rPr>
        <w:t>ubicaba</w:t>
      </w:r>
      <w:r>
        <w:rPr>
          <w:spacing w:val="-25"/>
          <w:w w:val="120"/>
        </w:rPr>
        <w:t> </w:t>
      </w:r>
      <w:r>
        <w:rPr>
          <w:w w:val="120"/>
        </w:rPr>
        <w:t>en</w:t>
      </w:r>
      <w:r>
        <w:rPr>
          <w:spacing w:val="-25"/>
          <w:w w:val="120"/>
        </w:rPr>
        <w:t> </w:t>
      </w:r>
      <w:r>
        <w:rPr>
          <w:w w:val="120"/>
        </w:rPr>
        <w:t>torno</w:t>
      </w:r>
      <w:r>
        <w:rPr>
          <w:spacing w:val="-25"/>
          <w:w w:val="120"/>
        </w:rPr>
        <w:t> </w:t>
      </w:r>
      <w:r>
        <w:rPr>
          <w:w w:val="120"/>
        </w:rPr>
        <w:t>a</w:t>
      </w:r>
      <w:r>
        <w:rPr>
          <w:spacing w:val="-25"/>
          <w:w w:val="120"/>
        </w:rPr>
        <w:t> </w:t>
      </w:r>
      <w:r>
        <w:rPr>
          <w:w w:val="120"/>
        </w:rPr>
        <w:t>los</w:t>
      </w:r>
      <w:r>
        <w:rPr>
          <w:spacing w:val="-25"/>
          <w:w w:val="120"/>
        </w:rPr>
        <w:t> </w:t>
      </w:r>
      <w:r>
        <w:rPr>
          <w:w w:val="120"/>
        </w:rPr>
        <w:t>11</w:t>
      </w:r>
      <w:r>
        <w:rPr>
          <w:spacing w:val="-25"/>
          <w:w w:val="120"/>
        </w:rPr>
        <w:t> </w:t>
      </w:r>
      <w:r>
        <w:rPr>
          <w:w w:val="120"/>
        </w:rPr>
        <w:t>billones </w:t>
      </w:r>
      <w:r>
        <w:rPr>
          <w:w w:val="110"/>
        </w:rPr>
        <w:t>de</w:t>
      </w:r>
      <w:r>
        <w:rPr>
          <w:spacing w:val="-6"/>
          <w:w w:val="110"/>
        </w:rPr>
        <w:t> </w:t>
      </w:r>
      <w:r>
        <w:rPr>
          <w:w w:val="110"/>
        </w:rPr>
        <w:t>dólares</w:t>
      </w:r>
      <w:r>
        <w:rPr>
          <w:spacing w:val="-6"/>
          <w:w w:val="110"/>
        </w:rPr>
        <w:t> </w:t>
      </w:r>
      <w:r>
        <w:rPr>
          <w:w w:val="110"/>
        </w:rPr>
        <w:t>estadounidenses</w:t>
      </w:r>
      <w:r>
        <w:rPr>
          <w:spacing w:val="-6"/>
          <w:w w:val="110"/>
        </w:rPr>
        <w:t> </w:t>
      </w:r>
      <w:r>
        <w:rPr>
          <w:w w:val="110"/>
        </w:rPr>
        <w:t>en</w:t>
      </w:r>
      <w:r>
        <w:rPr>
          <w:spacing w:val="-6"/>
          <w:w w:val="110"/>
        </w:rPr>
        <w:t> </w:t>
      </w:r>
      <w:r>
        <w:rPr>
          <w:w w:val="110"/>
        </w:rPr>
        <w:t>2013.</w:t>
      </w:r>
      <w:r>
        <w:rPr>
          <w:spacing w:val="-6"/>
          <w:w w:val="110"/>
        </w:rPr>
        <w:t> </w:t>
      </w:r>
      <w:r>
        <w:rPr>
          <w:w w:val="110"/>
        </w:rPr>
        <w:t>China</w:t>
      </w:r>
      <w:r>
        <w:rPr>
          <w:spacing w:val="-6"/>
          <w:w w:val="110"/>
        </w:rPr>
        <w:t> </w:t>
      </w:r>
      <w:r>
        <w:rPr>
          <w:w w:val="110"/>
        </w:rPr>
        <w:t>es</w:t>
      </w:r>
      <w:r>
        <w:rPr>
          <w:spacing w:val="-6"/>
          <w:w w:val="110"/>
        </w:rPr>
        <w:t> </w:t>
      </w:r>
      <w:r>
        <w:rPr>
          <w:w w:val="110"/>
        </w:rPr>
        <w:t>actualmente</w:t>
      </w:r>
      <w:r>
        <w:rPr>
          <w:spacing w:val="-6"/>
          <w:w w:val="110"/>
        </w:rPr>
        <w:t> </w:t>
      </w:r>
      <w:r>
        <w:rPr>
          <w:w w:val="110"/>
        </w:rPr>
        <w:t>el</w:t>
      </w:r>
      <w:r>
        <w:rPr>
          <w:spacing w:val="-6"/>
          <w:w w:val="110"/>
        </w:rPr>
        <w:t> </w:t>
      </w:r>
      <w:r>
        <w:rPr>
          <w:w w:val="110"/>
        </w:rPr>
        <w:t>principal </w:t>
      </w:r>
      <w:r>
        <w:rPr>
          <w:w w:val="120"/>
        </w:rPr>
        <w:t>socio</w:t>
      </w:r>
      <w:r>
        <w:rPr>
          <w:spacing w:val="-19"/>
          <w:w w:val="120"/>
        </w:rPr>
        <w:t> </w:t>
      </w:r>
      <w:r>
        <w:rPr>
          <w:w w:val="120"/>
        </w:rPr>
        <w:t>comercial</w:t>
      </w:r>
      <w:r>
        <w:rPr>
          <w:spacing w:val="-19"/>
          <w:w w:val="120"/>
        </w:rPr>
        <w:t> </w:t>
      </w:r>
      <w:r>
        <w:rPr>
          <w:w w:val="120"/>
        </w:rPr>
        <w:t>de</w:t>
      </w:r>
      <w:r>
        <w:rPr>
          <w:spacing w:val="-19"/>
          <w:w w:val="120"/>
        </w:rPr>
        <w:t> </w:t>
      </w:r>
      <w:r>
        <w:rPr>
          <w:w w:val="120"/>
        </w:rPr>
        <w:t>rusia</w:t>
      </w:r>
      <w:r>
        <w:rPr>
          <w:spacing w:val="-19"/>
          <w:w w:val="120"/>
        </w:rPr>
        <w:t> </w:t>
      </w:r>
      <w:r>
        <w:rPr>
          <w:w w:val="120"/>
        </w:rPr>
        <w:t>y</w:t>
      </w:r>
      <w:r>
        <w:rPr>
          <w:spacing w:val="-19"/>
          <w:w w:val="120"/>
        </w:rPr>
        <w:t> </w:t>
      </w:r>
      <w:r>
        <w:rPr>
          <w:w w:val="120"/>
        </w:rPr>
        <w:t>Kazajistán,</w:t>
      </w:r>
      <w:r>
        <w:rPr>
          <w:spacing w:val="-19"/>
          <w:w w:val="120"/>
        </w:rPr>
        <w:t> </w:t>
      </w:r>
      <w:r>
        <w:rPr>
          <w:w w:val="120"/>
        </w:rPr>
        <w:t>y</w:t>
      </w:r>
      <w:r>
        <w:rPr>
          <w:spacing w:val="-19"/>
          <w:w w:val="120"/>
        </w:rPr>
        <w:t> </w:t>
      </w:r>
      <w:r>
        <w:rPr>
          <w:w w:val="120"/>
        </w:rPr>
        <w:t>el</w:t>
      </w:r>
      <w:r>
        <w:rPr>
          <w:spacing w:val="-19"/>
          <w:w w:val="120"/>
        </w:rPr>
        <w:t> </w:t>
      </w:r>
      <w:r>
        <w:rPr>
          <w:w w:val="120"/>
        </w:rPr>
        <w:t>segundo</w:t>
      </w:r>
      <w:r>
        <w:rPr>
          <w:spacing w:val="-19"/>
          <w:w w:val="120"/>
        </w:rPr>
        <w:t> </w:t>
      </w:r>
      <w:r>
        <w:rPr>
          <w:w w:val="120"/>
        </w:rPr>
        <w:t>de</w:t>
      </w:r>
      <w:r>
        <w:rPr>
          <w:spacing w:val="-19"/>
          <w:w w:val="120"/>
        </w:rPr>
        <w:t> </w:t>
      </w:r>
      <w:r>
        <w:rPr>
          <w:w w:val="120"/>
        </w:rPr>
        <w:t>uzbekistán</w:t>
      </w:r>
      <w:r>
        <w:rPr>
          <w:spacing w:val="-19"/>
          <w:w w:val="120"/>
        </w:rPr>
        <w:t> </w:t>
      </w:r>
      <w:r>
        <w:rPr>
          <w:w w:val="120"/>
        </w:rPr>
        <w:t>y </w:t>
      </w:r>
      <w:r>
        <w:rPr>
          <w:w w:val="110"/>
        </w:rPr>
        <w:t>Kirguizistán </w:t>
      </w:r>
      <w:hyperlink r:id="rId133">
        <w:r>
          <w:rPr>
            <w:w w:val="110"/>
          </w:rPr>
          <w:t>(&lt;www.spanish.peopledail</w:t>
        </w:r>
      </w:hyperlink>
      <w:r>
        <w:rPr>
          <w:w w:val="110"/>
        </w:rPr>
        <w:t>y</w:t>
      </w:r>
      <w:hyperlink r:id="rId133">
        <w:r>
          <w:rPr>
            <w:w w:val="110"/>
          </w:rPr>
          <w:t>.com.cn&gt;,</w:t>
        </w:r>
      </w:hyperlink>
      <w:r>
        <w:rPr>
          <w:spacing w:val="13"/>
          <w:w w:val="110"/>
        </w:rPr>
        <w:t> </w:t>
      </w:r>
      <w:r>
        <w:rPr>
          <w:w w:val="110"/>
        </w:rPr>
        <w:t>2013a).</w:t>
      </w:r>
    </w:p>
    <w:p>
      <w:pPr>
        <w:pStyle w:val="BodyText"/>
        <w:spacing w:line="252" w:lineRule="auto"/>
        <w:ind w:left="330" w:right="117" w:firstLine="397"/>
        <w:jc w:val="both"/>
      </w:pPr>
      <w:r>
        <w:rPr>
          <w:w w:val="243"/>
        </w:rPr>
        <w:t>l</w:t>
      </w:r>
      <w:r>
        <w:rPr>
          <w:w w:val="112"/>
        </w:rPr>
        <w:t>a</w:t>
      </w:r>
      <w:r>
        <w:rPr>
          <w:spacing w:val="16"/>
        </w:rPr>
        <w:t> </w:t>
      </w:r>
      <w:r>
        <w:rPr>
          <w:w w:val="110"/>
        </w:rPr>
        <w:t>cooperación</w:t>
      </w:r>
      <w:r>
        <w:rPr>
          <w:spacing w:val="16"/>
        </w:rPr>
        <w:t> </w:t>
      </w:r>
      <w:r>
        <w:rPr>
          <w:w w:val="112"/>
        </w:rPr>
        <w:t>económica</w:t>
      </w:r>
      <w:r>
        <w:rPr>
          <w:spacing w:val="16"/>
        </w:rPr>
        <w:t> </w:t>
      </w:r>
      <w:r>
        <w:rPr>
          <w:w w:val="106"/>
        </w:rPr>
        <w:t>entre</w:t>
      </w:r>
      <w:r>
        <w:rPr>
          <w:spacing w:val="16"/>
        </w:rPr>
        <w:t> </w:t>
      </w:r>
      <w:r>
        <w:rPr>
          <w:w w:val="108"/>
        </w:rPr>
        <w:t>los</w:t>
      </w:r>
      <w:r>
        <w:rPr>
          <w:spacing w:val="16"/>
        </w:rPr>
        <w:t> </w:t>
      </w:r>
      <w:r>
        <w:rPr>
          <w:w w:val="110"/>
        </w:rPr>
        <w:t>miembros</w:t>
      </w:r>
      <w:r>
        <w:rPr>
          <w:spacing w:val="16"/>
        </w:rPr>
        <w:t> </w:t>
      </w:r>
      <w:r>
        <w:rPr>
          <w:w w:val="107"/>
        </w:rPr>
        <w:t>de</w:t>
      </w:r>
      <w:r>
        <w:rPr>
          <w:spacing w:val="16"/>
        </w:rPr>
        <w:t> </w:t>
      </w:r>
      <w:r>
        <w:rPr>
          <w:w w:val="111"/>
        </w:rPr>
        <w:t>la</w:t>
      </w:r>
      <w:r>
        <w:rPr>
          <w:spacing w:val="16"/>
        </w:rPr>
        <w:t> </w:t>
      </w:r>
      <w:r>
        <w:rPr>
          <w:w w:val="149"/>
        </w:rPr>
        <w:t>o</w:t>
      </w:r>
      <w:r>
        <w:rPr>
          <w:w w:val="124"/>
        </w:rPr>
        <w:t>C</w:t>
      </w:r>
      <w:r>
        <w:rPr>
          <w:w w:val="149"/>
        </w:rPr>
        <w:t>s</w:t>
      </w:r>
      <w:r>
        <w:rPr>
          <w:spacing w:val="16"/>
        </w:rPr>
        <w:t> </w:t>
      </w:r>
      <w:r>
        <w:rPr>
          <w:w w:val="112"/>
        </w:rPr>
        <w:t>ha</w:t>
      </w:r>
      <w:r>
        <w:rPr>
          <w:spacing w:val="16"/>
        </w:rPr>
        <w:t> </w:t>
      </w:r>
      <w:r>
        <w:rPr>
          <w:w w:val="114"/>
        </w:rPr>
        <w:t>i</w:t>
      </w:r>
      <w:r>
        <w:rPr>
          <w:spacing w:val="-2"/>
          <w:w w:val="114"/>
        </w:rPr>
        <w:t>m</w:t>
      </w:r>
      <w:r>
        <w:rPr>
          <w:w w:val="102"/>
        </w:rPr>
        <w:t>- </w:t>
      </w:r>
      <w:r>
        <w:rPr>
          <w:w w:val="115"/>
        </w:rPr>
        <w:t>pulsado</w:t>
      </w:r>
      <w:r>
        <w:rPr>
          <w:spacing w:val="-25"/>
          <w:w w:val="115"/>
        </w:rPr>
        <w:t> </w:t>
      </w:r>
      <w:r>
        <w:rPr>
          <w:w w:val="115"/>
        </w:rPr>
        <w:t>el</w:t>
      </w:r>
      <w:r>
        <w:rPr>
          <w:spacing w:val="-25"/>
          <w:w w:val="115"/>
        </w:rPr>
        <w:t> </w:t>
      </w:r>
      <w:r>
        <w:rPr>
          <w:w w:val="115"/>
        </w:rPr>
        <w:t>comercio,</w:t>
      </w:r>
      <w:r>
        <w:rPr>
          <w:spacing w:val="-25"/>
          <w:w w:val="115"/>
        </w:rPr>
        <w:t> </w:t>
      </w:r>
      <w:r>
        <w:rPr>
          <w:w w:val="115"/>
        </w:rPr>
        <w:t>la</w:t>
      </w:r>
      <w:r>
        <w:rPr>
          <w:spacing w:val="-25"/>
          <w:w w:val="115"/>
        </w:rPr>
        <w:t> </w:t>
      </w:r>
      <w:r>
        <w:rPr>
          <w:w w:val="115"/>
        </w:rPr>
        <w:t>eliminación</w:t>
      </w:r>
      <w:r>
        <w:rPr>
          <w:spacing w:val="-25"/>
          <w:w w:val="115"/>
        </w:rPr>
        <w:t> </w:t>
      </w:r>
      <w:r>
        <w:rPr>
          <w:w w:val="115"/>
        </w:rPr>
        <w:t>de</w:t>
      </w:r>
      <w:r>
        <w:rPr>
          <w:spacing w:val="-25"/>
          <w:w w:val="115"/>
        </w:rPr>
        <w:t> </w:t>
      </w:r>
      <w:r>
        <w:rPr>
          <w:w w:val="115"/>
        </w:rPr>
        <w:t>barreras</w:t>
      </w:r>
      <w:r>
        <w:rPr>
          <w:spacing w:val="-25"/>
          <w:w w:val="115"/>
        </w:rPr>
        <w:t> </w:t>
      </w:r>
      <w:r>
        <w:rPr>
          <w:w w:val="115"/>
        </w:rPr>
        <w:t>comerciales</w:t>
      </w:r>
      <w:r>
        <w:rPr>
          <w:spacing w:val="-25"/>
          <w:w w:val="115"/>
        </w:rPr>
        <w:t> </w:t>
      </w:r>
      <w:r>
        <w:rPr>
          <w:w w:val="115"/>
        </w:rPr>
        <w:t>y</w:t>
      </w:r>
      <w:r>
        <w:rPr>
          <w:spacing w:val="-25"/>
          <w:w w:val="115"/>
        </w:rPr>
        <w:t> </w:t>
      </w:r>
      <w:r>
        <w:rPr>
          <w:w w:val="115"/>
        </w:rPr>
        <w:t>el</w:t>
      </w:r>
      <w:r>
        <w:rPr>
          <w:spacing w:val="-25"/>
          <w:w w:val="115"/>
        </w:rPr>
        <w:t> </w:t>
      </w:r>
      <w:r>
        <w:rPr>
          <w:w w:val="115"/>
        </w:rPr>
        <w:t>desa- rrollo</w:t>
      </w:r>
      <w:r>
        <w:rPr>
          <w:spacing w:val="-22"/>
          <w:w w:val="115"/>
        </w:rPr>
        <w:t> </w:t>
      </w:r>
      <w:r>
        <w:rPr>
          <w:w w:val="115"/>
        </w:rPr>
        <w:t>de</w:t>
      </w:r>
      <w:r>
        <w:rPr>
          <w:spacing w:val="-22"/>
          <w:w w:val="115"/>
        </w:rPr>
        <w:t> </w:t>
      </w:r>
      <w:r>
        <w:rPr>
          <w:w w:val="115"/>
        </w:rPr>
        <w:t>proyectos</w:t>
      </w:r>
      <w:r>
        <w:rPr>
          <w:spacing w:val="-22"/>
          <w:w w:val="115"/>
        </w:rPr>
        <w:t> </w:t>
      </w:r>
      <w:r>
        <w:rPr>
          <w:w w:val="115"/>
        </w:rPr>
        <w:t>de</w:t>
      </w:r>
      <w:r>
        <w:rPr>
          <w:spacing w:val="-22"/>
          <w:w w:val="115"/>
        </w:rPr>
        <w:t> </w:t>
      </w:r>
      <w:r>
        <w:rPr>
          <w:w w:val="115"/>
        </w:rPr>
        <w:t>infraestructura.</w:t>
      </w:r>
      <w:r>
        <w:rPr>
          <w:spacing w:val="-22"/>
          <w:w w:val="115"/>
        </w:rPr>
        <w:t> </w:t>
      </w:r>
      <w:r>
        <w:rPr>
          <w:w w:val="115"/>
        </w:rPr>
        <w:t>Con</w:t>
      </w:r>
      <w:r>
        <w:rPr>
          <w:spacing w:val="-22"/>
          <w:w w:val="115"/>
        </w:rPr>
        <w:t> </w:t>
      </w:r>
      <w:r>
        <w:rPr>
          <w:w w:val="115"/>
        </w:rPr>
        <w:t>el</w:t>
      </w:r>
      <w:r>
        <w:rPr>
          <w:spacing w:val="-22"/>
          <w:w w:val="115"/>
        </w:rPr>
        <w:t> </w:t>
      </w:r>
      <w:r>
        <w:rPr>
          <w:w w:val="115"/>
        </w:rPr>
        <w:t>crecimiento</w:t>
      </w:r>
      <w:r>
        <w:rPr>
          <w:spacing w:val="-22"/>
          <w:w w:val="115"/>
        </w:rPr>
        <w:t> </w:t>
      </w:r>
      <w:r>
        <w:rPr>
          <w:w w:val="115"/>
        </w:rPr>
        <w:t>de</w:t>
      </w:r>
      <w:r>
        <w:rPr>
          <w:spacing w:val="-22"/>
          <w:w w:val="115"/>
        </w:rPr>
        <w:t> </w:t>
      </w:r>
      <w:r>
        <w:rPr>
          <w:w w:val="115"/>
        </w:rPr>
        <w:t>la</w:t>
      </w:r>
      <w:r>
        <w:rPr>
          <w:spacing w:val="-22"/>
          <w:w w:val="115"/>
        </w:rPr>
        <w:t> </w:t>
      </w:r>
      <w:r>
        <w:rPr>
          <w:w w:val="115"/>
        </w:rPr>
        <w:t>escala del</w:t>
      </w:r>
      <w:r>
        <w:rPr>
          <w:spacing w:val="-17"/>
          <w:w w:val="115"/>
        </w:rPr>
        <w:t> </w:t>
      </w:r>
      <w:r>
        <w:rPr>
          <w:w w:val="115"/>
        </w:rPr>
        <w:t>comercio</w:t>
      </w:r>
      <w:r>
        <w:rPr>
          <w:spacing w:val="-17"/>
          <w:w w:val="115"/>
        </w:rPr>
        <w:t> </w:t>
      </w:r>
      <w:r>
        <w:rPr>
          <w:w w:val="115"/>
        </w:rPr>
        <w:t>y</w:t>
      </w:r>
      <w:r>
        <w:rPr>
          <w:spacing w:val="-17"/>
          <w:w w:val="115"/>
        </w:rPr>
        <w:t> </w:t>
      </w:r>
      <w:r>
        <w:rPr>
          <w:w w:val="115"/>
        </w:rPr>
        <w:t>el</w:t>
      </w:r>
      <w:r>
        <w:rPr>
          <w:spacing w:val="-17"/>
          <w:w w:val="115"/>
        </w:rPr>
        <w:t> </w:t>
      </w:r>
      <w:r>
        <w:rPr>
          <w:w w:val="115"/>
        </w:rPr>
        <w:t>establecimiento</w:t>
      </w:r>
      <w:r>
        <w:rPr>
          <w:spacing w:val="-17"/>
          <w:w w:val="115"/>
        </w:rPr>
        <w:t> </w:t>
      </w:r>
      <w:r>
        <w:rPr>
          <w:w w:val="115"/>
        </w:rPr>
        <w:t>del</w:t>
      </w:r>
      <w:r>
        <w:rPr>
          <w:spacing w:val="-17"/>
          <w:w w:val="115"/>
        </w:rPr>
        <w:t> </w:t>
      </w:r>
      <w:r>
        <w:rPr>
          <w:w w:val="115"/>
        </w:rPr>
        <w:t>mecanismo</w:t>
      </w:r>
      <w:r>
        <w:rPr>
          <w:spacing w:val="-17"/>
          <w:w w:val="115"/>
        </w:rPr>
        <w:t> </w:t>
      </w:r>
      <w:r>
        <w:rPr>
          <w:w w:val="115"/>
        </w:rPr>
        <w:t>de</w:t>
      </w:r>
      <w:r>
        <w:rPr>
          <w:spacing w:val="-17"/>
          <w:w w:val="115"/>
        </w:rPr>
        <w:t> </w:t>
      </w:r>
      <w:r>
        <w:rPr>
          <w:w w:val="115"/>
        </w:rPr>
        <w:t>cooperación,</w:t>
      </w:r>
      <w:r>
        <w:rPr>
          <w:spacing w:val="-17"/>
          <w:w w:val="115"/>
        </w:rPr>
        <w:t> </w:t>
      </w:r>
      <w:r>
        <w:rPr>
          <w:w w:val="115"/>
        </w:rPr>
        <w:t>los Estados miembros también han materializado la creación del Con- </w:t>
      </w:r>
      <w:r>
        <w:rPr>
          <w:w w:val="120"/>
        </w:rPr>
        <w:t>sejo</w:t>
      </w:r>
      <w:r>
        <w:rPr>
          <w:spacing w:val="-13"/>
          <w:w w:val="120"/>
        </w:rPr>
        <w:t> </w:t>
      </w:r>
      <w:r>
        <w:rPr>
          <w:w w:val="120"/>
        </w:rPr>
        <w:t>Empresarial</w:t>
      </w:r>
      <w:r>
        <w:rPr>
          <w:spacing w:val="-13"/>
          <w:w w:val="120"/>
        </w:rPr>
        <w:t> </w:t>
      </w:r>
      <w:r>
        <w:rPr>
          <w:w w:val="120"/>
        </w:rPr>
        <w:t>y</w:t>
      </w:r>
      <w:r>
        <w:rPr>
          <w:spacing w:val="-13"/>
          <w:w w:val="120"/>
        </w:rPr>
        <w:t> </w:t>
      </w:r>
      <w:r>
        <w:rPr>
          <w:w w:val="120"/>
        </w:rPr>
        <w:t>la</w:t>
      </w:r>
      <w:r>
        <w:rPr>
          <w:spacing w:val="-13"/>
          <w:w w:val="120"/>
        </w:rPr>
        <w:t> </w:t>
      </w:r>
      <w:r>
        <w:rPr>
          <w:w w:val="120"/>
        </w:rPr>
        <w:t>asociación</w:t>
      </w:r>
      <w:r>
        <w:rPr>
          <w:spacing w:val="-13"/>
          <w:w w:val="120"/>
        </w:rPr>
        <w:t> </w:t>
      </w:r>
      <w:r>
        <w:rPr>
          <w:w w:val="120"/>
        </w:rPr>
        <w:t>interbancaria,</w:t>
      </w:r>
      <w:r>
        <w:rPr>
          <w:spacing w:val="-13"/>
          <w:w w:val="120"/>
        </w:rPr>
        <w:t> </w:t>
      </w:r>
      <w:r>
        <w:rPr>
          <w:w w:val="120"/>
        </w:rPr>
        <w:t>así</w:t>
      </w:r>
      <w:r>
        <w:rPr>
          <w:spacing w:val="-13"/>
          <w:w w:val="120"/>
        </w:rPr>
        <w:t> </w:t>
      </w:r>
      <w:r>
        <w:rPr>
          <w:w w:val="120"/>
        </w:rPr>
        <w:t>como</w:t>
      </w:r>
      <w:r>
        <w:rPr>
          <w:spacing w:val="-13"/>
          <w:w w:val="120"/>
        </w:rPr>
        <w:t> </w:t>
      </w:r>
      <w:r>
        <w:rPr>
          <w:w w:val="120"/>
        </w:rPr>
        <w:t>una</w:t>
      </w:r>
      <w:r>
        <w:rPr>
          <w:spacing w:val="-13"/>
          <w:w w:val="120"/>
        </w:rPr>
        <w:t> </w:t>
      </w:r>
      <w:r>
        <w:rPr>
          <w:w w:val="120"/>
        </w:rPr>
        <w:t>serie </w:t>
      </w:r>
      <w:r>
        <w:rPr>
          <w:w w:val="115"/>
        </w:rPr>
        <w:t>de</w:t>
      </w:r>
      <w:r>
        <w:rPr>
          <w:spacing w:val="-26"/>
          <w:w w:val="115"/>
        </w:rPr>
        <w:t> </w:t>
      </w:r>
      <w:r>
        <w:rPr>
          <w:w w:val="115"/>
        </w:rPr>
        <w:t>proyectos</w:t>
      </w:r>
      <w:r>
        <w:rPr>
          <w:spacing w:val="-26"/>
          <w:w w:val="115"/>
        </w:rPr>
        <w:t> </w:t>
      </w:r>
      <w:r>
        <w:rPr>
          <w:w w:val="115"/>
        </w:rPr>
        <w:t>en</w:t>
      </w:r>
      <w:r>
        <w:rPr>
          <w:spacing w:val="-26"/>
          <w:w w:val="115"/>
        </w:rPr>
        <w:t> </w:t>
      </w:r>
      <w:r>
        <w:rPr>
          <w:w w:val="115"/>
        </w:rPr>
        <w:t>los</w:t>
      </w:r>
      <w:r>
        <w:rPr>
          <w:spacing w:val="-26"/>
          <w:w w:val="115"/>
        </w:rPr>
        <w:t> </w:t>
      </w:r>
      <w:r>
        <w:rPr>
          <w:w w:val="115"/>
        </w:rPr>
        <w:t>terrenos</w:t>
      </w:r>
      <w:r>
        <w:rPr>
          <w:spacing w:val="-26"/>
          <w:w w:val="115"/>
        </w:rPr>
        <w:t> </w:t>
      </w:r>
      <w:r>
        <w:rPr>
          <w:w w:val="115"/>
        </w:rPr>
        <w:t>de</w:t>
      </w:r>
      <w:r>
        <w:rPr>
          <w:spacing w:val="-26"/>
          <w:w w:val="115"/>
        </w:rPr>
        <w:t> </w:t>
      </w:r>
      <w:r>
        <w:rPr>
          <w:w w:val="115"/>
        </w:rPr>
        <w:t>energía,</w:t>
      </w:r>
      <w:r>
        <w:rPr>
          <w:spacing w:val="-26"/>
          <w:w w:val="115"/>
        </w:rPr>
        <w:t> </w:t>
      </w:r>
      <w:r>
        <w:rPr>
          <w:w w:val="115"/>
        </w:rPr>
        <w:t>tráfico</w:t>
      </w:r>
      <w:r>
        <w:rPr>
          <w:spacing w:val="-26"/>
          <w:w w:val="115"/>
        </w:rPr>
        <w:t> </w:t>
      </w:r>
      <w:r>
        <w:rPr>
          <w:w w:val="115"/>
        </w:rPr>
        <w:t>y</w:t>
      </w:r>
      <w:r>
        <w:rPr>
          <w:spacing w:val="-26"/>
          <w:w w:val="115"/>
        </w:rPr>
        <w:t> </w:t>
      </w:r>
      <w:r>
        <w:rPr>
          <w:w w:val="115"/>
        </w:rPr>
        <w:t>telecomunicaciones. asimismo, han realizado esfuerzos para implementar un programa </w:t>
      </w:r>
      <w:r>
        <w:rPr>
          <w:w w:val="120"/>
        </w:rPr>
        <w:t>multilateral</w:t>
      </w:r>
      <w:r>
        <w:rPr>
          <w:spacing w:val="-19"/>
          <w:w w:val="120"/>
        </w:rPr>
        <w:t> </w:t>
      </w:r>
      <w:r>
        <w:rPr>
          <w:w w:val="120"/>
        </w:rPr>
        <w:t>de</w:t>
      </w:r>
      <w:r>
        <w:rPr>
          <w:spacing w:val="-19"/>
          <w:w w:val="120"/>
        </w:rPr>
        <w:t> </w:t>
      </w:r>
      <w:r>
        <w:rPr>
          <w:w w:val="120"/>
        </w:rPr>
        <w:t>cooperación</w:t>
      </w:r>
      <w:r>
        <w:rPr>
          <w:spacing w:val="-19"/>
          <w:w w:val="120"/>
        </w:rPr>
        <w:t> </w:t>
      </w:r>
      <w:r>
        <w:rPr>
          <w:w w:val="120"/>
        </w:rPr>
        <w:t>económica</w:t>
      </w:r>
      <w:r>
        <w:rPr>
          <w:spacing w:val="-19"/>
          <w:w w:val="120"/>
        </w:rPr>
        <w:t> </w:t>
      </w:r>
      <w:r>
        <w:rPr>
          <w:w w:val="120"/>
        </w:rPr>
        <w:t>y</w:t>
      </w:r>
      <w:r>
        <w:rPr>
          <w:spacing w:val="-19"/>
          <w:w w:val="120"/>
        </w:rPr>
        <w:t> </w:t>
      </w:r>
      <w:r>
        <w:rPr>
          <w:w w:val="120"/>
        </w:rPr>
        <w:t>comercial</w:t>
      </w:r>
      <w:r>
        <w:rPr>
          <w:spacing w:val="-19"/>
          <w:w w:val="120"/>
        </w:rPr>
        <w:t> </w:t>
      </w:r>
      <w:r>
        <w:rPr>
          <w:w w:val="120"/>
        </w:rPr>
        <w:t>a</w:t>
      </w:r>
      <w:r>
        <w:rPr>
          <w:spacing w:val="-19"/>
          <w:w w:val="120"/>
        </w:rPr>
        <w:t> </w:t>
      </w:r>
      <w:r>
        <w:rPr>
          <w:w w:val="120"/>
        </w:rPr>
        <w:t>largo</w:t>
      </w:r>
      <w:r>
        <w:rPr>
          <w:spacing w:val="-19"/>
          <w:w w:val="120"/>
        </w:rPr>
        <w:t> </w:t>
      </w:r>
      <w:r>
        <w:rPr>
          <w:w w:val="120"/>
        </w:rPr>
        <w:t>plazo</w:t>
      </w:r>
      <w:r>
        <w:rPr>
          <w:spacing w:val="-19"/>
          <w:w w:val="120"/>
        </w:rPr>
        <w:t> </w:t>
      </w:r>
      <w:r>
        <w:rPr>
          <w:w w:val="120"/>
        </w:rPr>
        <w:t>y </w:t>
      </w:r>
      <w:r>
        <w:rPr>
          <w:w w:val="115"/>
        </w:rPr>
        <w:t>una</w:t>
      </w:r>
      <w:r>
        <w:rPr>
          <w:spacing w:val="-21"/>
          <w:w w:val="115"/>
        </w:rPr>
        <w:t> </w:t>
      </w:r>
      <w:r>
        <w:rPr>
          <w:w w:val="115"/>
        </w:rPr>
        <w:t>lista</w:t>
      </w:r>
      <w:r>
        <w:rPr>
          <w:spacing w:val="-21"/>
          <w:w w:val="115"/>
        </w:rPr>
        <w:t> </w:t>
      </w:r>
      <w:r>
        <w:rPr>
          <w:w w:val="115"/>
        </w:rPr>
        <w:t>de</w:t>
      </w:r>
      <w:r>
        <w:rPr>
          <w:spacing w:val="-21"/>
          <w:w w:val="115"/>
        </w:rPr>
        <w:t> </w:t>
      </w:r>
      <w:r>
        <w:rPr>
          <w:w w:val="115"/>
        </w:rPr>
        <w:t>medidas</w:t>
      </w:r>
      <w:r>
        <w:rPr>
          <w:spacing w:val="-21"/>
          <w:w w:val="115"/>
        </w:rPr>
        <w:t> </w:t>
      </w:r>
      <w:r>
        <w:rPr>
          <w:w w:val="115"/>
        </w:rPr>
        <w:t>para</w:t>
      </w:r>
      <w:r>
        <w:rPr>
          <w:spacing w:val="-21"/>
          <w:w w:val="115"/>
        </w:rPr>
        <w:t> </w:t>
      </w:r>
      <w:r>
        <w:rPr>
          <w:w w:val="115"/>
        </w:rPr>
        <w:t>impulsar</w:t>
      </w:r>
      <w:r>
        <w:rPr>
          <w:spacing w:val="-21"/>
          <w:w w:val="115"/>
        </w:rPr>
        <w:t> </w:t>
      </w:r>
      <w:r>
        <w:rPr>
          <w:w w:val="115"/>
        </w:rPr>
        <w:t>el</w:t>
      </w:r>
      <w:r>
        <w:rPr>
          <w:spacing w:val="-21"/>
          <w:w w:val="115"/>
        </w:rPr>
        <w:t> </w:t>
      </w:r>
      <w:r>
        <w:rPr>
          <w:w w:val="115"/>
        </w:rPr>
        <w:t>proyecto</w:t>
      </w:r>
      <w:r>
        <w:rPr>
          <w:spacing w:val="-21"/>
          <w:w w:val="115"/>
        </w:rPr>
        <w:t> </w:t>
      </w:r>
      <w:r>
        <w:rPr>
          <w:w w:val="115"/>
        </w:rPr>
        <w:t>de</w:t>
      </w:r>
      <w:r>
        <w:rPr>
          <w:spacing w:val="-21"/>
          <w:w w:val="115"/>
        </w:rPr>
        <w:t> </w:t>
      </w:r>
      <w:r>
        <w:rPr>
          <w:w w:val="115"/>
        </w:rPr>
        <w:t>cooperación</w:t>
      </w:r>
      <w:r>
        <w:rPr>
          <w:spacing w:val="-21"/>
          <w:w w:val="115"/>
        </w:rPr>
        <w:t> </w:t>
      </w:r>
      <w:r>
        <w:rPr>
          <w:w w:val="115"/>
        </w:rPr>
        <w:t>multi- </w:t>
      </w:r>
      <w:r>
        <w:rPr>
          <w:w w:val="110"/>
        </w:rPr>
        <w:t>lateral</w:t>
      </w:r>
      <w:r>
        <w:rPr>
          <w:spacing w:val="-7"/>
          <w:w w:val="110"/>
        </w:rPr>
        <w:t> </w:t>
      </w:r>
      <w:r>
        <w:rPr>
          <w:w w:val="110"/>
        </w:rPr>
        <w:t>2012-2016,</w:t>
      </w:r>
      <w:r>
        <w:rPr>
          <w:spacing w:val="-7"/>
          <w:w w:val="110"/>
        </w:rPr>
        <w:t> </w:t>
      </w:r>
      <w:r>
        <w:rPr>
          <w:w w:val="110"/>
        </w:rPr>
        <w:t>entre</w:t>
      </w:r>
      <w:r>
        <w:rPr>
          <w:spacing w:val="-7"/>
          <w:w w:val="110"/>
        </w:rPr>
        <w:t> </w:t>
      </w:r>
      <w:r>
        <w:rPr>
          <w:w w:val="110"/>
        </w:rPr>
        <w:t>otros</w:t>
      </w:r>
      <w:r>
        <w:rPr>
          <w:spacing w:val="-7"/>
          <w:w w:val="110"/>
        </w:rPr>
        <w:t> </w:t>
      </w:r>
      <w:r>
        <w:rPr>
          <w:w w:val="110"/>
        </w:rPr>
        <w:t>mecanismos</w:t>
      </w:r>
      <w:r>
        <w:rPr>
          <w:spacing w:val="-7"/>
          <w:w w:val="110"/>
        </w:rPr>
        <w:t> </w:t>
      </w:r>
      <w:r>
        <w:rPr>
          <w:w w:val="110"/>
        </w:rPr>
        <w:t>de</w:t>
      </w:r>
      <w:r>
        <w:rPr>
          <w:spacing w:val="-7"/>
          <w:w w:val="110"/>
        </w:rPr>
        <w:t> </w:t>
      </w:r>
      <w:r>
        <w:rPr>
          <w:w w:val="110"/>
        </w:rPr>
        <w:t>cooperación</w:t>
      </w:r>
      <w:r>
        <w:rPr>
          <w:spacing w:val="-7"/>
          <w:w w:val="110"/>
        </w:rPr>
        <w:t> </w:t>
      </w:r>
      <w:r>
        <w:rPr>
          <w:w w:val="110"/>
        </w:rPr>
        <w:t>acordados. </w:t>
      </w:r>
      <w:r>
        <w:rPr>
          <w:spacing w:val="-3"/>
          <w:w w:val="110"/>
        </w:rPr>
        <w:t>también </w:t>
      </w:r>
      <w:r>
        <w:rPr>
          <w:w w:val="110"/>
        </w:rPr>
        <w:t>se observan progresos en sectores como finanzas, transporte, </w:t>
      </w:r>
      <w:r>
        <w:rPr>
          <w:w w:val="115"/>
        </w:rPr>
        <w:t>energía,</w:t>
      </w:r>
      <w:r>
        <w:rPr>
          <w:spacing w:val="-27"/>
          <w:w w:val="115"/>
        </w:rPr>
        <w:t> </w:t>
      </w:r>
      <w:r>
        <w:rPr>
          <w:w w:val="115"/>
        </w:rPr>
        <w:t>agricultura,</w:t>
      </w:r>
      <w:r>
        <w:rPr>
          <w:spacing w:val="-27"/>
          <w:w w:val="115"/>
        </w:rPr>
        <w:t> </w:t>
      </w:r>
      <w:r>
        <w:rPr>
          <w:w w:val="115"/>
        </w:rPr>
        <w:t>aduanas</w:t>
      </w:r>
      <w:r>
        <w:rPr>
          <w:spacing w:val="-27"/>
          <w:w w:val="115"/>
        </w:rPr>
        <w:t> </w:t>
      </w:r>
      <w:r>
        <w:rPr>
          <w:w w:val="115"/>
        </w:rPr>
        <w:t>y</w:t>
      </w:r>
      <w:r>
        <w:rPr>
          <w:spacing w:val="-27"/>
          <w:w w:val="115"/>
        </w:rPr>
        <w:t> </w:t>
      </w:r>
      <w:r>
        <w:rPr>
          <w:w w:val="115"/>
        </w:rPr>
        <w:t>transferencia</w:t>
      </w:r>
      <w:r>
        <w:rPr>
          <w:spacing w:val="-27"/>
          <w:w w:val="115"/>
        </w:rPr>
        <w:t> </w:t>
      </w:r>
      <w:r>
        <w:rPr>
          <w:w w:val="115"/>
        </w:rPr>
        <w:t>de</w:t>
      </w:r>
      <w:r>
        <w:rPr>
          <w:spacing w:val="-27"/>
          <w:w w:val="115"/>
        </w:rPr>
        <w:t> </w:t>
      </w:r>
      <w:r>
        <w:rPr>
          <w:w w:val="115"/>
        </w:rPr>
        <w:t>tecnologías.</w:t>
      </w:r>
    </w:p>
    <w:p>
      <w:pPr>
        <w:pStyle w:val="BodyText"/>
        <w:spacing w:line="252" w:lineRule="auto"/>
        <w:ind w:left="330" w:right="117" w:firstLine="396"/>
        <w:jc w:val="both"/>
      </w:pPr>
      <w:r>
        <w:rPr>
          <w:w w:val="120"/>
        </w:rPr>
        <w:t>otro</w:t>
      </w:r>
      <w:r>
        <w:rPr>
          <w:spacing w:val="-19"/>
          <w:w w:val="120"/>
        </w:rPr>
        <w:t> </w:t>
      </w:r>
      <w:r>
        <w:rPr>
          <w:w w:val="120"/>
        </w:rPr>
        <w:t>de</w:t>
      </w:r>
      <w:r>
        <w:rPr>
          <w:spacing w:val="-19"/>
          <w:w w:val="120"/>
        </w:rPr>
        <w:t> </w:t>
      </w:r>
      <w:r>
        <w:rPr>
          <w:w w:val="120"/>
        </w:rPr>
        <w:t>los</w:t>
      </w:r>
      <w:r>
        <w:rPr>
          <w:spacing w:val="-19"/>
          <w:w w:val="120"/>
        </w:rPr>
        <w:t> </w:t>
      </w:r>
      <w:r>
        <w:rPr>
          <w:w w:val="120"/>
        </w:rPr>
        <w:t>elementos</w:t>
      </w:r>
      <w:r>
        <w:rPr>
          <w:spacing w:val="-19"/>
          <w:w w:val="120"/>
        </w:rPr>
        <w:t> </w:t>
      </w:r>
      <w:r>
        <w:rPr>
          <w:w w:val="120"/>
        </w:rPr>
        <w:t>clave</w:t>
      </w:r>
      <w:r>
        <w:rPr>
          <w:spacing w:val="-19"/>
          <w:w w:val="120"/>
        </w:rPr>
        <w:t> </w:t>
      </w:r>
      <w:r>
        <w:rPr>
          <w:w w:val="120"/>
        </w:rPr>
        <w:t>de</w:t>
      </w:r>
      <w:r>
        <w:rPr>
          <w:spacing w:val="-19"/>
          <w:w w:val="120"/>
        </w:rPr>
        <w:t> </w:t>
      </w:r>
      <w:r>
        <w:rPr>
          <w:w w:val="120"/>
        </w:rPr>
        <w:t>la</w:t>
      </w:r>
      <w:r>
        <w:rPr>
          <w:spacing w:val="-19"/>
          <w:w w:val="120"/>
        </w:rPr>
        <w:t> </w:t>
      </w:r>
      <w:r>
        <w:rPr>
          <w:w w:val="120"/>
        </w:rPr>
        <w:t>oCs</w:t>
      </w:r>
      <w:r>
        <w:rPr>
          <w:spacing w:val="-19"/>
          <w:w w:val="120"/>
        </w:rPr>
        <w:t> </w:t>
      </w:r>
      <w:r>
        <w:rPr>
          <w:w w:val="120"/>
        </w:rPr>
        <w:t>ha</w:t>
      </w:r>
      <w:r>
        <w:rPr>
          <w:spacing w:val="-19"/>
          <w:w w:val="120"/>
        </w:rPr>
        <w:t> </w:t>
      </w:r>
      <w:r>
        <w:rPr>
          <w:w w:val="120"/>
        </w:rPr>
        <w:t>sido</w:t>
      </w:r>
      <w:r>
        <w:rPr>
          <w:spacing w:val="-19"/>
          <w:w w:val="120"/>
        </w:rPr>
        <w:t> </w:t>
      </w:r>
      <w:r>
        <w:rPr>
          <w:w w:val="120"/>
        </w:rPr>
        <w:t>la</w:t>
      </w:r>
      <w:r>
        <w:rPr>
          <w:spacing w:val="-19"/>
          <w:w w:val="120"/>
        </w:rPr>
        <w:t> </w:t>
      </w:r>
      <w:r>
        <w:rPr>
          <w:w w:val="120"/>
        </w:rPr>
        <w:t>cooperación</w:t>
      </w:r>
      <w:r>
        <w:rPr>
          <w:spacing w:val="-19"/>
          <w:w w:val="120"/>
        </w:rPr>
        <w:t> </w:t>
      </w:r>
      <w:r>
        <w:rPr>
          <w:w w:val="120"/>
        </w:rPr>
        <w:t>de </w:t>
      </w:r>
      <w:r>
        <w:rPr>
          <w:w w:val="115"/>
        </w:rPr>
        <w:t>seguridad, tarea esencial desarrollada desde su establecimiento en </w:t>
      </w:r>
      <w:r>
        <w:rPr>
          <w:w w:val="120"/>
        </w:rPr>
        <w:t>shanghai</w:t>
      </w:r>
      <w:r>
        <w:rPr>
          <w:spacing w:val="-25"/>
          <w:w w:val="120"/>
        </w:rPr>
        <w:t> </w:t>
      </w:r>
      <w:r>
        <w:rPr>
          <w:w w:val="120"/>
        </w:rPr>
        <w:t>en</w:t>
      </w:r>
      <w:r>
        <w:rPr>
          <w:spacing w:val="-25"/>
          <w:w w:val="120"/>
        </w:rPr>
        <w:t> </w:t>
      </w:r>
      <w:r>
        <w:rPr>
          <w:w w:val="120"/>
        </w:rPr>
        <w:t>2001,</w:t>
      </w:r>
      <w:r>
        <w:rPr>
          <w:spacing w:val="-25"/>
          <w:w w:val="120"/>
        </w:rPr>
        <w:t> </w:t>
      </w:r>
      <w:r>
        <w:rPr>
          <w:w w:val="120"/>
        </w:rPr>
        <w:t>y</w:t>
      </w:r>
      <w:r>
        <w:rPr>
          <w:spacing w:val="-25"/>
          <w:w w:val="120"/>
        </w:rPr>
        <w:t> </w:t>
      </w:r>
      <w:r>
        <w:rPr>
          <w:w w:val="120"/>
        </w:rPr>
        <w:t>que</w:t>
      </w:r>
      <w:r>
        <w:rPr>
          <w:spacing w:val="-25"/>
          <w:w w:val="120"/>
        </w:rPr>
        <w:t> </w:t>
      </w:r>
      <w:r>
        <w:rPr>
          <w:w w:val="120"/>
        </w:rPr>
        <w:t>se</w:t>
      </w:r>
      <w:r>
        <w:rPr>
          <w:spacing w:val="-25"/>
          <w:w w:val="120"/>
        </w:rPr>
        <w:t> </w:t>
      </w:r>
      <w:r>
        <w:rPr>
          <w:w w:val="120"/>
        </w:rPr>
        <w:t>mantiene</w:t>
      </w:r>
      <w:r>
        <w:rPr>
          <w:spacing w:val="-25"/>
          <w:w w:val="120"/>
        </w:rPr>
        <w:t> </w:t>
      </w:r>
      <w:r>
        <w:rPr>
          <w:w w:val="120"/>
        </w:rPr>
        <w:t>aún</w:t>
      </w:r>
      <w:r>
        <w:rPr>
          <w:spacing w:val="-25"/>
          <w:w w:val="120"/>
        </w:rPr>
        <w:t> </w:t>
      </w:r>
      <w:r>
        <w:rPr>
          <w:w w:val="120"/>
        </w:rPr>
        <w:t>como</w:t>
      </w:r>
      <w:r>
        <w:rPr>
          <w:spacing w:val="-25"/>
          <w:w w:val="120"/>
        </w:rPr>
        <w:t> </w:t>
      </w:r>
      <w:r>
        <w:rPr>
          <w:w w:val="120"/>
        </w:rPr>
        <w:t>la</w:t>
      </w:r>
      <w:r>
        <w:rPr>
          <w:spacing w:val="-25"/>
          <w:w w:val="120"/>
        </w:rPr>
        <w:t> </w:t>
      </w:r>
      <w:r>
        <w:rPr>
          <w:w w:val="120"/>
        </w:rPr>
        <w:t>máxima</w:t>
      </w:r>
      <w:r>
        <w:rPr>
          <w:spacing w:val="-25"/>
          <w:w w:val="120"/>
        </w:rPr>
        <w:t> </w:t>
      </w:r>
      <w:r>
        <w:rPr>
          <w:w w:val="120"/>
        </w:rPr>
        <w:t>atención </w:t>
      </w:r>
      <w:r>
        <w:rPr>
          <w:w w:val="115"/>
        </w:rPr>
        <w:t>del</w:t>
      </w:r>
      <w:r>
        <w:rPr>
          <w:spacing w:val="-25"/>
          <w:w w:val="115"/>
        </w:rPr>
        <w:t> </w:t>
      </w:r>
      <w:r>
        <w:rPr>
          <w:w w:val="115"/>
        </w:rPr>
        <w:t>bloque</w:t>
      </w:r>
      <w:r>
        <w:rPr>
          <w:spacing w:val="-25"/>
          <w:w w:val="115"/>
        </w:rPr>
        <w:t> </w:t>
      </w:r>
      <w:r>
        <w:rPr>
          <w:w w:val="115"/>
        </w:rPr>
        <w:t>y</w:t>
      </w:r>
      <w:r>
        <w:rPr>
          <w:spacing w:val="-25"/>
          <w:w w:val="115"/>
        </w:rPr>
        <w:t> </w:t>
      </w:r>
      <w:r>
        <w:rPr>
          <w:w w:val="115"/>
        </w:rPr>
        <w:t>seguirá</w:t>
      </w:r>
      <w:r>
        <w:rPr>
          <w:spacing w:val="-25"/>
          <w:w w:val="115"/>
        </w:rPr>
        <w:t> </w:t>
      </w:r>
      <w:r>
        <w:rPr>
          <w:w w:val="115"/>
        </w:rPr>
        <w:t>constituyendo</w:t>
      </w:r>
      <w:r>
        <w:rPr>
          <w:spacing w:val="-25"/>
          <w:w w:val="115"/>
        </w:rPr>
        <w:t> </w:t>
      </w:r>
      <w:r>
        <w:rPr>
          <w:w w:val="115"/>
        </w:rPr>
        <w:t>el</w:t>
      </w:r>
      <w:r>
        <w:rPr>
          <w:spacing w:val="-25"/>
          <w:w w:val="115"/>
        </w:rPr>
        <w:t> </w:t>
      </w:r>
      <w:r>
        <w:rPr>
          <w:w w:val="115"/>
        </w:rPr>
        <w:t>objetivo</w:t>
      </w:r>
      <w:r>
        <w:rPr>
          <w:spacing w:val="-25"/>
          <w:w w:val="115"/>
        </w:rPr>
        <w:t> </w:t>
      </w:r>
      <w:r>
        <w:rPr>
          <w:w w:val="115"/>
        </w:rPr>
        <w:t>prioritario</w:t>
      </w:r>
      <w:r>
        <w:rPr>
          <w:spacing w:val="-25"/>
          <w:w w:val="115"/>
        </w:rPr>
        <w:t> </w:t>
      </w:r>
      <w:r>
        <w:rPr>
          <w:w w:val="115"/>
        </w:rPr>
        <w:t>en</w:t>
      </w:r>
      <w:r>
        <w:rPr>
          <w:spacing w:val="-25"/>
          <w:w w:val="115"/>
        </w:rPr>
        <w:t> </w:t>
      </w:r>
      <w:r>
        <w:rPr>
          <w:w w:val="115"/>
        </w:rPr>
        <w:t>el</w:t>
      </w:r>
      <w:r>
        <w:rPr>
          <w:spacing w:val="-25"/>
          <w:w w:val="115"/>
        </w:rPr>
        <w:t> </w:t>
      </w:r>
      <w:r>
        <w:rPr>
          <w:w w:val="115"/>
        </w:rPr>
        <w:t>futuro. </w:t>
      </w:r>
      <w:r>
        <w:rPr>
          <w:w w:val="243"/>
        </w:rPr>
        <w:t>l</w:t>
      </w:r>
      <w:r>
        <w:rPr>
          <w:w w:val="112"/>
        </w:rPr>
        <w:t>a</w:t>
      </w:r>
      <w:r>
        <w:rPr>
          <w:spacing w:val="16"/>
        </w:rPr>
        <w:t> </w:t>
      </w:r>
      <w:r>
        <w:rPr>
          <w:w w:val="109"/>
        </w:rPr>
        <w:t>primera</w:t>
      </w:r>
      <w:r>
        <w:rPr>
          <w:spacing w:val="16"/>
        </w:rPr>
        <w:t> </w:t>
      </w:r>
      <w:r>
        <w:rPr>
          <w:w w:val="110"/>
        </w:rPr>
        <w:t>cumbre</w:t>
      </w:r>
      <w:r>
        <w:rPr>
          <w:spacing w:val="16"/>
        </w:rPr>
        <w:t> </w:t>
      </w:r>
      <w:r>
        <w:rPr>
          <w:w w:val="107"/>
        </w:rPr>
        <w:t>de</w:t>
      </w:r>
      <w:r>
        <w:rPr>
          <w:spacing w:val="16"/>
        </w:rPr>
        <w:t> </w:t>
      </w:r>
      <w:r>
        <w:rPr>
          <w:w w:val="111"/>
        </w:rPr>
        <w:t>la</w:t>
      </w:r>
      <w:r>
        <w:rPr>
          <w:spacing w:val="16"/>
        </w:rPr>
        <w:t> </w:t>
      </w:r>
      <w:r>
        <w:rPr>
          <w:w w:val="149"/>
        </w:rPr>
        <w:t>o</w:t>
      </w:r>
      <w:r>
        <w:rPr>
          <w:w w:val="124"/>
        </w:rPr>
        <w:t>C</w:t>
      </w:r>
      <w:r>
        <w:rPr>
          <w:w w:val="149"/>
        </w:rPr>
        <w:t>s</w:t>
      </w:r>
      <w:r>
        <w:rPr>
          <w:spacing w:val="16"/>
        </w:rPr>
        <w:t> </w:t>
      </w:r>
      <w:r>
        <w:rPr>
          <w:w w:val="108"/>
        </w:rPr>
        <w:t>en</w:t>
      </w:r>
      <w:r>
        <w:rPr>
          <w:spacing w:val="16"/>
        </w:rPr>
        <w:t> </w:t>
      </w:r>
      <w:r>
        <w:rPr>
          <w:w w:val="102"/>
        </w:rPr>
        <w:t>2001</w:t>
      </w:r>
      <w:r>
        <w:rPr>
          <w:spacing w:val="16"/>
        </w:rPr>
        <w:t> </w:t>
      </w:r>
      <w:r>
        <w:rPr>
          <w:w w:val="109"/>
        </w:rPr>
        <w:t>adoptó</w:t>
      </w:r>
      <w:r>
        <w:rPr>
          <w:spacing w:val="16"/>
        </w:rPr>
        <w:t> </w:t>
      </w:r>
      <w:r>
        <w:rPr>
          <w:w w:val="112"/>
        </w:rPr>
        <w:t>un</w:t>
      </w:r>
      <w:r>
        <w:rPr>
          <w:spacing w:val="16"/>
        </w:rPr>
        <w:t> </w:t>
      </w:r>
      <w:r>
        <w:rPr>
          <w:w w:val="109"/>
        </w:rPr>
        <w:t>tratado</w:t>
      </w:r>
      <w:r>
        <w:rPr>
          <w:spacing w:val="16"/>
        </w:rPr>
        <w:t> </w:t>
      </w:r>
      <w:r>
        <w:rPr>
          <w:w w:val="107"/>
        </w:rPr>
        <w:t>sobre</w:t>
      </w:r>
      <w:r>
        <w:rPr>
          <w:spacing w:val="16"/>
        </w:rPr>
        <w:t> </w:t>
      </w:r>
      <w:r>
        <w:rPr>
          <w:w w:val="111"/>
        </w:rPr>
        <w:t>la</w:t>
      </w:r>
      <w:r>
        <w:rPr>
          <w:spacing w:val="16"/>
        </w:rPr>
        <w:t> </w:t>
      </w:r>
      <w:r>
        <w:rPr>
          <w:w w:val="112"/>
        </w:rPr>
        <w:t>lu</w:t>
      </w:r>
      <w:r>
        <w:rPr>
          <w:w w:val="102"/>
        </w:rPr>
        <w:t>- </w:t>
      </w:r>
      <w:r>
        <w:rPr>
          <w:w w:val="115"/>
        </w:rPr>
        <w:t>cha</w:t>
      </w:r>
      <w:r>
        <w:rPr>
          <w:spacing w:val="-12"/>
          <w:w w:val="115"/>
        </w:rPr>
        <w:t> </w:t>
      </w:r>
      <w:r>
        <w:rPr>
          <w:w w:val="115"/>
        </w:rPr>
        <w:t>contra</w:t>
      </w:r>
      <w:r>
        <w:rPr>
          <w:spacing w:val="-12"/>
          <w:w w:val="115"/>
        </w:rPr>
        <w:t> </w:t>
      </w:r>
      <w:r>
        <w:rPr>
          <w:w w:val="115"/>
        </w:rPr>
        <w:t>el</w:t>
      </w:r>
      <w:r>
        <w:rPr>
          <w:spacing w:val="-12"/>
          <w:w w:val="115"/>
        </w:rPr>
        <w:t> </w:t>
      </w:r>
      <w:r>
        <w:rPr>
          <w:w w:val="115"/>
        </w:rPr>
        <w:t>terrorismo,</w:t>
      </w:r>
      <w:r>
        <w:rPr>
          <w:spacing w:val="-12"/>
          <w:w w:val="115"/>
        </w:rPr>
        <w:t> </w:t>
      </w:r>
      <w:r>
        <w:rPr>
          <w:w w:val="115"/>
        </w:rPr>
        <w:t>el</w:t>
      </w:r>
      <w:r>
        <w:rPr>
          <w:spacing w:val="-12"/>
          <w:w w:val="115"/>
        </w:rPr>
        <w:t> </w:t>
      </w:r>
      <w:r>
        <w:rPr>
          <w:w w:val="115"/>
        </w:rPr>
        <w:t>separatismo</w:t>
      </w:r>
      <w:r>
        <w:rPr>
          <w:spacing w:val="-12"/>
          <w:w w:val="115"/>
        </w:rPr>
        <w:t> </w:t>
      </w:r>
      <w:r>
        <w:rPr>
          <w:w w:val="115"/>
        </w:rPr>
        <w:t>y</w:t>
      </w:r>
      <w:r>
        <w:rPr>
          <w:spacing w:val="-12"/>
          <w:w w:val="115"/>
        </w:rPr>
        <w:t> </w:t>
      </w:r>
      <w:r>
        <w:rPr>
          <w:w w:val="115"/>
        </w:rPr>
        <w:t>el</w:t>
      </w:r>
      <w:r>
        <w:rPr>
          <w:spacing w:val="-12"/>
          <w:w w:val="115"/>
        </w:rPr>
        <w:t> </w:t>
      </w:r>
      <w:r>
        <w:rPr>
          <w:w w:val="115"/>
        </w:rPr>
        <w:t>extremismo.</w:t>
      </w:r>
      <w:r>
        <w:rPr>
          <w:spacing w:val="-12"/>
          <w:w w:val="115"/>
        </w:rPr>
        <w:t> </w:t>
      </w:r>
      <w:r>
        <w:rPr>
          <w:w w:val="115"/>
        </w:rPr>
        <w:t>resultó</w:t>
      </w:r>
      <w:r>
        <w:rPr>
          <w:spacing w:val="-12"/>
          <w:w w:val="115"/>
        </w:rPr>
        <w:t> </w:t>
      </w:r>
      <w:r>
        <w:rPr>
          <w:w w:val="115"/>
        </w:rPr>
        <w:t>ser una</w:t>
      </w:r>
      <w:r>
        <w:rPr>
          <w:spacing w:val="-20"/>
          <w:w w:val="115"/>
        </w:rPr>
        <w:t> </w:t>
      </w:r>
      <w:r>
        <w:rPr>
          <w:w w:val="115"/>
        </w:rPr>
        <w:t>acción</w:t>
      </w:r>
      <w:r>
        <w:rPr>
          <w:spacing w:val="-20"/>
          <w:w w:val="115"/>
        </w:rPr>
        <w:t> </w:t>
      </w:r>
      <w:r>
        <w:rPr>
          <w:w w:val="115"/>
        </w:rPr>
        <w:t>de</w:t>
      </w:r>
      <w:r>
        <w:rPr>
          <w:spacing w:val="-20"/>
          <w:w w:val="115"/>
        </w:rPr>
        <w:t> </w:t>
      </w:r>
      <w:r>
        <w:rPr>
          <w:w w:val="115"/>
        </w:rPr>
        <w:t>gran</w:t>
      </w:r>
      <w:r>
        <w:rPr>
          <w:spacing w:val="-20"/>
          <w:w w:val="115"/>
        </w:rPr>
        <w:t> </w:t>
      </w:r>
      <w:r>
        <w:rPr>
          <w:w w:val="115"/>
        </w:rPr>
        <w:t>visión</w:t>
      </w:r>
      <w:r>
        <w:rPr>
          <w:spacing w:val="-20"/>
          <w:w w:val="115"/>
        </w:rPr>
        <w:t> </w:t>
      </w:r>
      <w:r>
        <w:rPr>
          <w:w w:val="115"/>
        </w:rPr>
        <w:t>en</w:t>
      </w:r>
      <w:r>
        <w:rPr>
          <w:spacing w:val="-20"/>
          <w:w w:val="115"/>
        </w:rPr>
        <w:t> </w:t>
      </w:r>
      <w:r>
        <w:rPr>
          <w:w w:val="115"/>
        </w:rPr>
        <w:t>respuesta</w:t>
      </w:r>
      <w:r>
        <w:rPr>
          <w:spacing w:val="-20"/>
          <w:w w:val="115"/>
        </w:rPr>
        <w:t> </w:t>
      </w:r>
      <w:r>
        <w:rPr>
          <w:w w:val="115"/>
        </w:rPr>
        <w:t>a</w:t>
      </w:r>
      <w:r>
        <w:rPr>
          <w:spacing w:val="-20"/>
          <w:w w:val="115"/>
        </w:rPr>
        <w:t> </w:t>
      </w:r>
      <w:r>
        <w:rPr>
          <w:w w:val="115"/>
        </w:rPr>
        <w:t>las</w:t>
      </w:r>
      <w:r>
        <w:rPr>
          <w:spacing w:val="-20"/>
          <w:w w:val="115"/>
        </w:rPr>
        <w:t> </w:t>
      </w:r>
      <w:r>
        <w:rPr>
          <w:w w:val="115"/>
        </w:rPr>
        <w:t>realidades</w:t>
      </w:r>
      <w:r>
        <w:rPr>
          <w:spacing w:val="-20"/>
          <w:w w:val="115"/>
        </w:rPr>
        <w:t> </w:t>
      </w:r>
      <w:r>
        <w:rPr>
          <w:w w:val="115"/>
        </w:rPr>
        <w:t>de</w:t>
      </w:r>
      <w:r>
        <w:rPr>
          <w:spacing w:val="-20"/>
          <w:w w:val="115"/>
        </w:rPr>
        <w:t> </w:t>
      </w:r>
      <w:r>
        <w:rPr>
          <w:w w:val="115"/>
        </w:rPr>
        <w:t>la</w:t>
      </w:r>
      <w:r>
        <w:rPr>
          <w:spacing w:val="-20"/>
          <w:w w:val="115"/>
        </w:rPr>
        <w:t> </w:t>
      </w:r>
      <w:r>
        <w:rPr>
          <w:w w:val="115"/>
        </w:rPr>
        <w:t>situación </w:t>
      </w:r>
      <w:r>
        <w:rPr>
          <w:w w:val="110"/>
        </w:rPr>
        <w:t>de</w:t>
      </w:r>
      <w:r>
        <w:rPr>
          <w:spacing w:val="-5"/>
          <w:w w:val="110"/>
        </w:rPr>
        <w:t> </w:t>
      </w:r>
      <w:r>
        <w:rPr>
          <w:w w:val="110"/>
        </w:rPr>
        <w:t>lucha</w:t>
      </w:r>
      <w:r>
        <w:rPr>
          <w:spacing w:val="-6"/>
          <w:w w:val="110"/>
        </w:rPr>
        <w:t> </w:t>
      </w:r>
      <w:r>
        <w:rPr>
          <w:w w:val="110"/>
        </w:rPr>
        <w:t>contra</w:t>
      </w:r>
      <w:r>
        <w:rPr>
          <w:spacing w:val="-5"/>
          <w:w w:val="110"/>
        </w:rPr>
        <w:t> </w:t>
      </w:r>
      <w:r>
        <w:rPr>
          <w:w w:val="110"/>
        </w:rPr>
        <w:t>el</w:t>
      </w:r>
      <w:r>
        <w:rPr>
          <w:spacing w:val="-5"/>
          <w:w w:val="110"/>
        </w:rPr>
        <w:t> </w:t>
      </w:r>
      <w:r>
        <w:rPr>
          <w:w w:val="110"/>
        </w:rPr>
        <w:t>terrorismo</w:t>
      </w:r>
      <w:r>
        <w:rPr>
          <w:spacing w:val="-5"/>
          <w:w w:val="110"/>
        </w:rPr>
        <w:t> </w:t>
      </w:r>
      <w:r>
        <w:rPr>
          <w:w w:val="110"/>
        </w:rPr>
        <w:t>en</w:t>
      </w:r>
      <w:r>
        <w:rPr>
          <w:spacing w:val="-5"/>
          <w:w w:val="110"/>
        </w:rPr>
        <w:t> </w:t>
      </w:r>
      <w:r>
        <w:rPr>
          <w:w w:val="110"/>
        </w:rPr>
        <w:t>la</w:t>
      </w:r>
      <w:r>
        <w:rPr>
          <w:spacing w:val="-5"/>
          <w:w w:val="110"/>
        </w:rPr>
        <w:t> </w:t>
      </w:r>
      <w:r>
        <w:rPr>
          <w:w w:val="110"/>
        </w:rPr>
        <w:t>región</w:t>
      </w:r>
      <w:r>
        <w:rPr>
          <w:spacing w:val="-5"/>
          <w:w w:val="110"/>
        </w:rPr>
        <w:t> </w:t>
      </w:r>
      <w:hyperlink r:id="rId134">
        <w:r>
          <w:rPr>
            <w:w w:val="110"/>
          </w:rPr>
          <w:t>(&lt;www.spanish.peopledail</w:t>
        </w:r>
      </w:hyperlink>
      <w:r>
        <w:rPr>
          <w:w w:val="110"/>
        </w:rPr>
        <w:t>y. com.cn&gt;,</w:t>
      </w:r>
      <w:r>
        <w:rPr>
          <w:spacing w:val="22"/>
          <w:w w:val="110"/>
        </w:rPr>
        <w:t> </w:t>
      </w:r>
      <w:r>
        <w:rPr>
          <w:w w:val="110"/>
        </w:rPr>
        <w:t>2013a).</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firstLine="397"/>
        <w:jc w:val="both"/>
      </w:pPr>
      <w:r>
        <w:rPr>
          <w:w w:val="243"/>
        </w:rPr>
        <w:t>l</w:t>
      </w:r>
      <w:r>
        <w:rPr>
          <w:w w:val="112"/>
        </w:rPr>
        <w:t>a</w:t>
      </w:r>
      <w:r>
        <w:rPr>
          <w:spacing w:val="11"/>
        </w:rPr>
        <w:t> </w:t>
      </w:r>
      <w:r>
        <w:rPr>
          <w:w w:val="108"/>
        </w:rPr>
        <w:t>propuesta</w:t>
      </w:r>
      <w:r>
        <w:rPr>
          <w:spacing w:val="11"/>
        </w:rPr>
        <w:t> </w:t>
      </w:r>
      <w:r>
        <w:rPr>
          <w:w w:val="109"/>
        </w:rPr>
        <w:t>para</w:t>
      </w:r>
      <w:r>
        <w:rPr>
          <w:spacing w:val="11"/>
        </w:rPr>
        <w:t> </w:t>
      </w:r>
      <w:r>
        <w:rPr>
          <w:w w:val="111"/>
        </w:rPr>
        <w:t>la</w:t>
      </w:r>
      <w:r>
        <w:rPr>
          <w:spacing w:val="11"/>
        </w:rPr>
        <w:t> </w:t>
      </w:r>
      <w:r>
        <w:rPr>
          <w:w w:val="111"/>
        </w:rPr>
        <w:t>creación</w:t>
      </w:r>
      <w:r>
        <w:rPr>
          <w:spacing w:val="11"/>
        </w:rPr>
        <w:t> </w:t>
      </w:r>
      <w:r>
        <w:rPr>
          <w:w w:val="107"/>
        </w:rPr>
        <w:t>del</w:t>
      </w:r>
      <w:r>
        <w:rPr>
          <w:spacing w:val="11"/>
        </w:rPr>
        <w:t> </w:t>
      </w:r>
      <w:r>
        <w:rPr>
          <w:w w:val="112"/>
        </w:rPr>
        <w:t>Cinturón</w:t>
      </w:r>
      <w:r>
        <w:rPr>
          <w:spacing w:val="11"/>
        </w:rPr>
        <w:t> </w:t>
      </w:r>
      <w:r>
        <w:rPr>
          <w:w w:val="111"/>
        </w:rPr>
        <w:t>económico</w:t>
      </w:r>
      <w:r>
        <w:rPr>
          <w:spacing w:val="11"/>
        </w:rPr>
        <w:t> </w:t>
      </w:r>
      <w:r>
        <w:rPr>
          <w:w w:val="107"/>
        </w:rPr>
        <w:t>de</w:t>
      </w:r>
      <w:r>
        <w:rPr>
          <w:spacing w:val="11"/>
        </w:rPr>
        <w:t> </w:t>
      </w:r>
      <w:r>
        <w:rPr>
          <w:w w:val="111"/>
        </w:rPr>
        <w:t>la</w:t>
      </w:r>
      <w:r>
        <w:rPr>
          <w:spacing w:val="11"/>
        </w:rPr>
        <w:t> </w:t>
      </w:r>
      <w:r>
        <w:rPr>
          <w:w w:val="110"/>
        </w:rPr>
        <w:t>nu</w:t>
      </w:r>
      <w:r>
        <w:rPr>
          <w:spacing w:val="-1"/>
          <w:w w:val="110"/>
        </w:rPr>
        <w:t>e</w:t>
      </w:r>
      <w:r>
        <w:rPr>
          <w:w w:val="102"/>
        </w:rPr>
        <w:t>- </w:t>
      </w:r>
      <w:r>
        <w:rPr>
          <w:w w:val="120"/>
        </w:rPr>
        <w:t>va</w:t>
      </w:r>
      <w:r>
        <w:rPr>
          <w:spacing w:val="-26"/>
          <w:w w:val="120"/>
        </w:rPr>
        <w:t> </w:t>
      </w:r>
      <w:r>
        <w:rPr>
          <w:w w:val="120"/>
        </w:rPr>
        <w:t>ruta</w:t>
      </w:r>
      <w:r>
        <w:rPr>
          <w:spacing w:val="-26"/>
          <w:w w:val="120"/>
        </w:rPr>
        <w:t> </w:t>
      </w:r>
      <w:r>
        <w:rPr>
          <w:w w:val="120"/>
        </w:rPr>
        <w:t>de</w:t>
      </w:r>
      <w:r>
        <w:rPr>
          <w:spacing w:val="-26"/>
          <w:w w:val="120"/>
        </w:rPr>
        <w:t> </w:t>
      </w:r>
      <w:r>
        <w:rPr>
          <w:w w:val="120"/>
        </w:rPr>
        <w:t>la</w:t>
      </w:r>
      <w:r>
        <w:rPr>
          <w:spacing w:val="-26"/>
          <w:w w:val="120"/>
        </w:rPr>
        <w:t> </w:t>
      </w:r>
      <w:r>
        <w:rPr>
          <w:w w:val="120"/>
        </w:rPr>
        <w:t>seda</w:t>
      </w:r>
      <w:r>
        <w:rPr>
          <w:spacing w:val="-26"/>
          <w:w w:val="120"/>
        </w:rPr>
        <w:t> </w:t>
      </w:r>
      <w:r>
        <w:rPr>
          <w:w w:val="120"/>
        </w:rPr>
        <w:t>fue</w:t>
      </w:r>
      <w:r>
        <w:rPr>
          <w:spacing w:val="-26"/>
          <w:w w:val="120"/>
        </w:rPr>
        <w:t> </w:t>
      </w:r>
      <w:r>
        <w:rPr>
          <w:w w:val="120"/>
        </w:rPr>
        <w:t>anunciada</w:t>
      </w:r>
      <w:r>
        <w:rPr>
          <w:spacing w:val="-26"/>
          <w:w w:val="120"/>
        </w:rPr>
        <w:t> </w:t>
      </w:r>
      <w:r>
        <w:rPr>
          <w:w w:val="120"/>
        </w:rPr>
        <w:t>por</w:t>
      </w:r>
      <w:r>
        <w:rPr>
          <w:spacing w:val="-26"/>
          <w:w w:val="120"/>
        </w:rPr>
        <w:t> </w:t>
      </w:r>
      <w:r>
        <w:rPr>
          <w:w w:val="120"/>
        </w:rPr>
        <w:t>China</w:t>
      </w:r>
      <w:r>
        <w:rPr>
          <w:spacing w:val="-26"/>
          <w:w w:val="120"/>
        </w:rPr>
        <w:t> </w:t>
      </w:r>
      <w:r>
        <w:rPr>
          <w:w w:val="120"/>
        </w:rPr>
        <w:t>en</w:t>
      </w:r>
      <w:r>
        <w:rPr>
          <w:spacing w:val="-26"/>
          <w:w w:val="120"/>
        </w:rPr>
        <w:t> </w:t>
      </w:r>
      <w:r>
        <w:rPr>
          <w:w w:val="120"/>
        </w:rPr>
        <w:t>ocasión</w:t>
      </w:r>
      <w:r>
        <w:rPr>
          <w:spacing w:val="-26"/>
          <w:w w:val="120"/>
        </w:rPr>
        <w:t> </w:t>
      </w:r>
      <w:r>
        <w:rPr>
          <w:w w:val="120"/>
        </w:rPr>
        <w:t>de</w:t>
      </w:r>
      <w:r>
        <w:rPr>
          <w:spacing w:val="-26"/>
          <w:w w:val="120"/>
        </w:rPr>
        <w:t> </w:t>
      </w:r>
      <w:r>
        <w:rPr>
          <w:w w:val="120"/>
        </w:rPr>
        <w:t>celebrarse </w:t>
      </w:r>
      <w:r>
        <w:rPr>
          <w:w w:val="115"/>
        </w:rPr>
        <w:t>precisamente</w:t>
      </w:r>
      <w:r>
        <w:rPr>
          <w:spacing w:val="-25"/>
          <w:w w:val="115"/>
        </w:rPr>
        <w:t> </w:t>
      </w:r>
      <w:r>
        <w:rPr>
          <w:w w:val="115"/>
        </w:rPr>
        <w:t>la</w:t>
      </w:r>
      <w:r>
        <w:rPr>
          <w:spacing w:val="-25"/>
          <w:w w:val="115"/>
        </w:rPr>
        <w:t> </w:t>
      </w:r>
      <w:r>
        <w:rPr>
          <w:w w:val="115"/>
        </w:rPr>
        <w:t>cumbre</w:t>
      </w:r>
      <w:r>
        <w:rPr>
          <w:spacing w:val="-25"/>
          <w:w w:val="115"/>
        </w:rPr>
        <w:t> </w:t>
      </w:r>
      <w:r>
        <w:rPr>
          <w:w w:val="115"/>
        </w:rPr>
        <w:t>de</w:t>
      </w:r>
      <w:r>
        <w:rPr>
          <w:spacing w:val="-25"/>
          <w:w w:val="115"/>
        </w:rPr>
        <w:t> </w:t>
      </w:r>
      <w:r>
        <w:rPr>
          <w:w w:val="115"/>
        </w:rPr>
        <w:t>la</w:t>
      </w:r>
      <w:r>
        <w:rPr>
          <w:spacing w:val="-25"/>
          <w:w w:val="115"/>
        </w:rPr>
        <w:t> </w:t>
      </w:r>
      <w:r>
        <w:rPr>
          <w:w w:val="115"/>
        </w:rPr>
        <w:t>oCs,</w:t>
      </w:r>
      <w:r>
        <w:rPr>
          <w:spacing w:val="-25"/>
          <w:w w:val="115"/>
        </w:rPr>
        <w:t> </w:t>
      </w:r>
      <w:r>
        <w:rPr>
          <w:w w:val="115"/>
        </w:rPr>
        <w:t>a</w:t>
      </w:r>
      <w:r>
        <w:rPr>
          <w:spacing w:val="-25"/>
          <w:w w:val="115"/>
        </w:rPr>
        <w:t> </w:t>
      </w:r>
      <w:r>
        <w:rPr>
          <w:w w:val="115"/>
        </w:rPr>
        <w:t>mediados</w:t>
      </w:r>
      <w:r>
        <w:rPr>
          <w:spacing w:val="-25"/>
          <w:w w:val="115"/>
        </w:rPr>
        <w:t> </w:t>
      </w:r>
      <w:r>
        <w:rPr>
          <w:w w:val="115"/>
        </w:rPr>
        <w:t>de</w:t>
      </w:r>
      <w:r>
        <w:rPr>
          <w:spacing w:val="-25"/>
          <w:w w:val="115"/>
        </w:rPr>
        <w:t> </w:t>
      </w:r>
      <w:r>
        <w:rPr>
          <w:w w:val="115"/>
        </w:rPr>
        <w:t>septiembre</w:t>
      </w:r>
      <w:r>
        <w:rPr>
          <w:spacing w:val="-25"/>
          <w:w w:val="115"/>
        </w:rPr>
        <w:t> </w:t>
      </w:r>
      <w:r>
        <w:rPr>
          <w:w w:val="115"/>
        </w:rPr>
        <w:t>de</w:t>
      </w:r>
      <w:r>
        <w:rPr>
          <w:spacing w:val="-25"/>
          <w:w w:val="115"/>
        </w:rPr>
        <w:t> </w:t>
      </w:r>
      <w:r>
        <w:rPr>
          <w:w w:val="115"/>
        </w:rPr>
        <w:t>2013, en bishkek (Kazajistán). En este encuentro participaron, además</w:t>
      </w:r>
      <w:r>
        <w:rPr>
          <w:spacing w:val="-26"/>
          <w:w w:val="115"/>
        </w:rPr>
        <w:t> </w:t>
      </w:r>
      <w:r>
        <w:rPr>
          <w:w w:val="115"/>
        </w:rPr>
        <w:t>de los</w:t>
      </w:r>
      <w:r>
        <w:rPr>
          <w:spacing w:val="-22"/>
          <w:w w:val="115"/>
        </w:rPr>
        <w:t> </w:t>
      </w:r>
      <w:r>
        <w:rPr>
          <w:w w:val="115"/>
        </w:rPr>
        <w:t>presidentes</w:t>
      </w:r>
      <w:r>
        <w:rPr>
          <w:spacing w:val="-22"/>
          <w:w w:val="115"/>
        </w:rPr>
        <w:t> </w:t>
      </w:r>
      <w:r>
        <w:rPr>
          <w:w w:val="115"/>
        </w:rPr>
        <w:t>de</w:t>
      </w:r>
      <w:r>
        <w:rPr>
          <w:spacing w:val="-22"/>
          <w:w w:val="115"/>
        </w:rPr>
        <w:t> </w:t>
      </w:r>
      <w:r>
        <w:rPr>
          <w:w w:val="115"/>
        </w:rPr>
        <w:t>los</w:t>
      </w:r>
      <w:r>
        <w:rPr>
          <w:spacing w:val="-22"/>
          <w:w w:val="115"/>
        </w:rPr>
        <w:t> </w:t>
      </w:r>
      <w:r>
        <w:rPr>
          <w:w w:val="115"/>
        </w:rPr>
        <w:t>países</w:t>
      </w:r>
      <w:r>
        <w:rPr>
          <w:spacing w:val="-22"/>
          <w:w w:val="115"/>
        </w:rPr>
        <w:t> </w:t>
      </w:r>
      <w:r>
        <w:rPr>
          <w:w w:val="115"/>
        </w:rPr>
        <w:t>miembros,</w:t>
      </w:r>
      <w:r>
        <w:rPr>
          <w:spacing w:val="-22"/>
          <w:w w:val="115"/>
        </w:rPr>
        <w:t> </w:t>
      </w:r>
      <w:r>
        <w:rPr>
          <w:w w:val="115"/>
        </w:rPr>
        <w:t>cinco</w:t>
      </w:r>
      <w:r>
        <w:rPr>
          <w:spacing w:val="-22"/>
          <w:w w:val="115"/>
        </w:rPr>
        <w:t> </w:t>
      </w:r>
      <w:r>
        <w:rPr>
          <w:w w:val="115"/>
        </w:rPr>
        <w:t>naciones</w:t>
      </w:r>
      <w:r>
        <w:rPr>
          <w:spacing w:val="-22"/>
          <w:w w:val="115"/>
        </w:rPr>
        <w:t> </w:t>
      </w:r>
      <w:r>
        <w:rPr>
          <w:w w:val="115"/>
        </w:rPr>
        <w:t>observadoras </w:t>
      </w:r>
      <w:r>
        <w:rPr>
          <w:w w:val="120"/>
        </w:rPr>
        <w:t>(india,</w:t>
      </w:r>
      <w:r>
        <w:rPr>
          <w:spacing w:val="-27"/>
          <w:w w:val="120"/>
        </w:rPr>
        <w:t> </w:t>
      </w:r>
      <w:r>
        <w:rPr>
          <w:w w:val="120"/>
        </w:rPr>
        <w:t>Pakistán,</w:t>
      </w:r>
      <w:r>
        <w:rPr>
          <w:spacing w:val="-27"/>
          <w:w w:val="120"/>
        </w:rPr>
        <w:t> </w:t>
      </w:r>
      <w:r>
        <w:rPr>
          <w:w w:val="120"/>
        </w:rPr>
        <w:t>irán,</w:t>
      </w:r>
      <w:r>
        <w:rPr>
          <w:spacing w:val="-27"/>
          <w:w w:val="120"/>
        </w:rPr>
        <w:t> </w:t>
      </w:r>
      <w:r>
        <w:rPr>
          <w:w w:val="120"/>
        </w:rPr>
        <w:t>afganistán</w:t>
      </w:r>
      <w:r>
        <w:rPr>
          <w:spacing w:val="-27"/>
          <w:w w:val="120"/>
        </w:rPr>
        <w:t> </w:t>
      </w:r>
      <w:r>
        <w:rPr>
          <w:w w:val="120"/>
        </w:rPr>
        <w:t>y</w:t>
      </w:r>
      <w:r>
        <w:rPr>
          <w:spacing w:val="-27"/>
          <w:w w:val="120"/>
        </w:rPr>
        <w:t> </w:t>
      </w:r>
      <w:r>
        <w:rPr>
          <w:w w:val="120"/>
        </w:rPr>
        <w:t>Mongolia)</w:t>
      </w:r>
      <w:r>
        <w:rPr>
          <w:spacing w:val="-27"/>
          <w:w w:val="120"/>
        </w:rPr>
        <w:t> </w:t>
      </w:r>
      <w:r>
        <w:rPr>
          <w:w w:val="120"/>
        </w:rPr>
        <w:t>y</w:t>
      </w:r>
      <w:r>
        <w:rPr>
          <w:spacing w:val="-27"/>
          <w:w w:val="120"/>
        </w:rPr>
        <w:t> </w:t>
      </w:r>
      <w:r>
        <w:rPr>
          <w:w w:val="120"/>
        </w:rPr>
        <w:t>tres</w:t>
      </w:r>
      <w:r>
        <w:rPr>
          <w:spacing w:val="-27"/>
          <w:w w:val="120"/>
        </w:rPr>
        <w:t> </w:t>
      </w:r>
      <w:r>
        <w:rPr>
          <w:w w:val="120"/>
        </w:rPr>
        <w:t>más</w:t>
      </w:r>
      <w:r>
        <w:rPr>
          <w:spacing w:val="-27"/>
          <w:w w:val="120"/>
        </w:rPr>
        <w:t> </w:t>
      </w:r>
      <w:r>
        <w:rPr>
          <w:w w:val="120"/>
        </w:rPr>
        <w:t>que</w:t>
      </w:r>
      <w:r>
        <w:rPr>
          <w:spacing w:val="-27"/>
          <w:w w:val="120"/>
        </w:rPr>
        <w:t> </w:t>
      </w:r>
      <w:r>
        <w:rPr>
          <w:w w:val="120"/>
        </w:rPr>
        <w:t>se</w:t>
      </w:r>
      <w:r>
        <w:rPr>
          <w:spacing w:val="-27"/>
          <w:w w:val="120"/>
        </w:rPr>
        <w:t> </w:t>
      </w:r>
      <w:r>
        <w:rPr>
          <w:w w:val="120"/>
        </w:rPr>
        <w:t>defi- </w:t>
      </w:r>
      <w:r>
        <w:rPr>
          <w:w w:val="109"/>
        </w:rPr>
        <w:t>nen</w:t>
      </w:r>
      <w:r>
        <w:rPr>
          <w:spacing w:val="15"/>
        </w:rPr>
        <w:t> </w:t>
      </w:r>
      <w:r>
        <w:rPr>
          <w:w w:val="112"/>
        </w:rPr>
        <w:t>como</w:t>
      </w:r>
      <w:r>
        <w:rPr>
          <w:spacing w:val="15"/>
        </w:rPr>
        <w:t> </w:t>
      </w:r>
      <w:r>
        <w:rPr>
          <w:w w:val="110"/>
        </w:rPr>
        <w:t>“socios</w:t>
      </w:r>
      <w:r>
        <w:rPr>
          <w:spacing w:val="15"/>
        </w:rPr>
        <w:t> </w:t>
      </w:r>
      <w:r>
        <w:rPr>
          <w:w w:val="109"/>
        </w:rPr>
        <w:t>para</w:t>
      </w:r>
      <w:r>
        <w:rPr>
          <w:spacing w:val="15"/>
        </w:rPr>
        <w:t> </w:t>
      </w:r>
      <w:r>
        <w:rPr>
          <w:w w:val="107"/>
        </w:rPr>
        <w:t>el</w:t>
      </w:r>
      <w:r>
        <w:rPr>
          <w:spacing w:val="15"/>
        </w:rPr>
        <w:t> </w:t>
      </w:r>
      <w:r>
        <w:rPr>
          <w:w w:val="111"/>
        </w:rPr>
        <w:t>diálogo”</w:t>
      </w:r>
      <w:r>
        <w:rPr>
          <w:spacing w:val="15"/>
        </w:rPr>
        <w:t> </w:t>
      </w:r>
      <w:r>
        <w:rPr>
          <w:w w:val="98"/>
        </w:rPr>
        <w:t>(</w:t>
      </w:r>
      <w:r>
        <w:rPr>
          <w:w w:val="134"/>
        </w:rPr>
        <w:t>b</w:t>
      </w:r>
      <w:r>
        <w:rPr>
          <w:w w:val="110"/>
        </w:rPr>
        <w:t>ielorrusia,</w:t>
      </w:r>
      <w:r>
        <w:rPr>
          <w:spacing w:val="15"/>
        </w:rPr>
        <w:t> </w:t>
      </w:r>
      <w:r>
        <w:rPr>
          <w:spacing w:val="-18"/>
          <w:w w:val="195"/>
        </w:rPr>
        <w:t>t</w:t>
      </w:r>
      <w:r>
        <w:rPr>
          <w:w w:val="110"/>
        </w:rPr>
        <w:t>urquía</w:t>
      </w:r>
      <w:r>
        <w:rPr>
          <w:spacing w:val="15"/>
        </w:rPr>
        <w:t> </w:t>
      </w:r>
      <w:r>
        <w:rPr>
          <w:w w:val="105"/>
        </w:rPr>
        <w:t>y</w:t>
      </w:r>
      <w:r>
        <w:rPr>
          <w:spacing w:val="15"/>
        </w:rPr>
        <w:t> </w:t>
      </w:r>
      <w:r>
        <w:rPr>
          <w:w w:val="149"/>
        </w:rPr>
        <w:t>s</w:t>
      </w:r>
      <w:r>
        <w:rPr>
          <w:w w:val="109"/>
        </w:rPr>
        <w:t>ri</w:t>
      </w:r>
      <w:r>
        <w:rPr>
          <w:spacing w:val="15"/>
        </w:rPr>
        <w:t> </w:t>
      </w:r>
      <w:r>
        <w:rPr>
          <w:w w:val="243"/>
        </w:rPr>
        <w:t>l</w:t>
      </w:r>
      <w:r>
        <w:rPr>
          <w:w w:val="111"/>
        </w:rPr>
        <w:t>anka). </w:t>
      </w:r>
      <w:r>
        <w:rPr>
          <w:w w:val="120"/>
        </w:rPr>
        <w:t>En</w:t>
      </w:r>
      <w:r>
        <w:rPr>
          <w:spacing w:val="-21"/>
          <w:w w:val="120"/>
        </w:rPr>
        <w:t> </w:t>
      </w:r>
      <w:r>
        <w:rPr>
          <w:w w:val="120"/>
        </w:rPr>
        <w:t>esa</w:t>
      </w:r>
      <w:r>
        <w:rPr>
          <w:spacing w:val="-21"/>
          <w:w w:val="120"/>
        </w:rPr>
        <w:t> </w:t>
      </w:r>
      <w:r>
        <w:rPr>
          <w:w w:val="120"/>
        </w:rPr>
        <w:t>ocasión,</w:t>
      </w:r>
      <w:r>
        <w:rPr>
          <w:spacing w:val="-21"/>
          <w:w w:val="120"/>
        </w:rPr>
        <w:t> </w:t>
      </w:r>
      <w:r>
        <w:rPr>
          <w:w w:val="120"/>
        </w:rPr>
        <w:t>la</w:t>
      </w:r>
      <w:r>
        <w:rPr>
          <w:spacing w:val="-21"/>
          <w:w w:val="120"/>
        </w:rPr>
        <w:t> </w:t>
      </w:r>
      <w:r>
        <w:rPr>
          <w:w w:val="120"/>
        </w:rPr>
        <w:t>oCs</w:t>
      </w:r>
      <w:r>
        <w:rPr>
          <w:spacing w:val="-21"/>
          <w:w w:val="120"/>
        </w:rPr>
        <w:t> </w:t>
      </w:r>
      <w:r>
        <w:rPr>
          <w:w w:val="120"/>
        </w:rPr>
        <w:t>también</w:t>
      </w:r>
      <w:r>
        <w:rPr>
          <w:spacing w:val="-21"/>
          <w:w w:val="120"/>
        </w:rPr>
        <w:t> </w:t>
      </w:r>
      <w:r>
        <w:rPr>
          <w:w w:val="120"/>
        </w:rPr>
        <w:t>incorporó</w:t>
      </w:r>
      <w:r>
        <w:rPr>
          <w:spacing w:val="-21"/>
          <w:w w:val="120"/>
        </w:rPr>
        <w:t> </w:t>
      </w:r>
      <w:r>
        <w:rPr>
          <w:w w:val="120"/>
        </w:rPr>
        <w:t>a</w:t>
      </w:r>
      <w:r>
        <w:rPr>
          <w:spacing w:val="-21"/>
          <w:w w:val="120"/>
        </w:rPr>
        <w:t> </w:t>
      </w:r>
      <w:r>
        <w:rPr>
          <w:w w:val="120"/>
        </w:rPr>
        <w:t>países</w:t>
      </w:r>
      <w:r>
        <w:rPr>
          <w:spacing w:val="-21"/>
          <w:w w:val="120"/>
        </w:rPr>
        <w:t> </w:t>
      </w:r>
      <w:r>
        <w:rPr>
          <w:w w:val="120"/>
        </w:rPr>
        <w:t>de</w:t>
      </w:r>
      <w:r>
        <w:rPr>
          <w:spacing w:val="-21"/>
          <w:w w:val="120"/>
        </w:rPr>
        <w:t> </w:t>
      </w:r>
      <w:r>
        <w:rPr>
          <w:w w:val="120"/>
        </w:rPr>
        <w:t>la</w:t>
      </w:r>
      <w:r>
        <w:rPr>
          <w:spacing w:val="-21"/>
          <w:w w:val="120"/>
        </w:rPr>
        <w:t> </w:t>
      </w:r>
      <w:r>
        <w:rPr>
          <w:w w:val="120"/>
        </w:rPr>
        <w:t>Comunidad </w:t>
      </w:r>
      <w:r>
        <w:rPr>
          <w:w w:val="115"/>
        </w:rPr>
        <w:t>de</w:t>
      </w:r>
      <w:r>
        <w:rPr>
          <w:spacing w:val="-10"/>
          <w:w w:val="115"/>
        </w:rPr>
        <w:t> </w:t>
      </w:r>
      <w:r>
        <w:rPr>
          <w:w w:val="115"/>
        </w:rPr>
        <w:t>Estados</w:t>
      </w:r>
      <w:r>
        <w:rPr>
          <w:spacing w:val="-10"/>
          <w:w w:val="115"/>
        </w:rPr>
        <w:t> </w:t>
      </w:r>
      <w:r>
        <w:rPr>
          <w:w w:val="115"/>
        </w:rPr>
        <w:t>independientes</w:t>
      </w:r>
      <w:r>
        <w:rPr>
          <w:spacing w:val="-10"/>
          <w:w w:val="115"/>
        </w:rPr>
        <w:t> </w:t>
      </w:r>
      <w:r>
        <w:rPr>
          <w:w w:val="115"/>
        </w:rPr>
        <w:t>(CEi),</w:t>
      </w:r>
      <w:r>
        <w:rPr>
          <w:spacing w:val="-10"/>
          <w:w w:val="115"/>
        </w:rPr>
        <w:t> </w:t>
      </w:r>
      <w:r>
        <w:rPr>
          <w:w w:val="115"/>
        </w:rPr>
        <w:t>de</w:t>
      </w:r>
      <w:r>
        <w:rPr>
          <w:spacing w:val="-10"/>
          <w:w w:val="115"/>
        </w:rPr>
        <w:t> </w:t>
      </w:r>
      <w:r>
        <w:rPr>
          <w:w w:val="115"/>
        </w:rPr>
        <w:t>la</w:t>
      </w:r>
      <w:r>
        <w:rPr>
          <w:spacing w:val="-10"/>
          <w:w w:val="115"/>
        </w:rPr>
        <w:t> </w:t>
      </w:r>
      <w:r>
        <w:rPr>
          <w:w w:val="115"/>
        </w:rPr>
        <w:t>Comunidad</w:t>
      </w:r>
      <w:r>
        <w:rPr>
          <w:spacing w:val="-10"/>
          <w:w w:val="115"/>
        </w:rPr>
        <w:t> </w:t>
      </w:r>
      <w:r>
        <w:rPr>
          <w:w w:val="115"/>
        </w:rPr>
        <w:t>Económica</w:t>
      </w:r>
      <w:r>
        <w:rPr>
          <w:spacing w:val="-10"/>
          <w:w w:val="115"/>
        </w:rPr>
        <w:t> </w:t>
      </w:r>
      <w:r>
        <w:rPr>
          <w:w w:val="115"/>
        </w:rPr>
        <w:t>Eura- </w:t>
      </w:r>
      <w:r>
        <w:rPr>
          <w:w w:val="120"/>
        </w:rPr>
        <w:t>siática</w:t>
      </w:r>
      <w:r>
        <w:rPr>
          <w:spacing w:val="-16"/>
          <w:w w:val="120"/>
        </w:rPr>
        <w:t> </w:t>
      </w:r>
      <w:r>
        <w:rPr>
          <w:w w:val="120"/>
        </w:rPr>
        <w:t>(CEEa)</w:t>
      </w:r>
      <w:r>
        <w:rPr>
          <w:spacing w:val="-16"/>
          <w:w w:val="120"/>
        </w:rPr>
        <w:t> </w:t>
      </w:r>
      <w:r>
        <w:rPr>
          <w:w w:val="120"/>
        </w:rPr>
        <w:t>y</w:t>
      </w:r>
      <w:r>
        <w:rPr>
          <w:spacing w:val="-16"/>
          <w:w w:val="120"/>
        </w:rPr>
        <w:t> </w:t>
      </w:r>
      <w:r>
        <w:rPr>
          <w:w w:val="120"/>
        </w:rPr>
        <w:t>de</w:t>
      </w:r>
      <w:r>
        <w:rPr>
          <w:spacing w:val="-16"/>
          <w:w w:val="120"/>
        </w:rPr>
        <w:t> </w:t>
      </w:r>
      <w:r>
        <w:rPr>
          <w:w w:val="120"/>
        </w:rPr>
        <w:t>la</w:t>
      </w:r>
      <w:r>
        <w:rPr>
          <w:spacing w:val="-16"/>
          <w:w w:val="120"/>
        </w:rPr>
        <w:t> </w:t>
      </w:r>
      <w:r>
        <w:rPr>
          <w:w w:val="120"/>
        </w:rPr>
        <w:t>organización</w:t>
      </w:r>
      <w:r>
        <w:rPr>
          <w:spacing w:val="-16"/>
          <w:w w:val="120"/>
        </w:rPr>
        <w:t> </w:t>
      </w:r>
      <w:r>
        <w:rPr>
          <w:w w:val="120"/>
        </w:rPr>
        <w:t>del</w:t>
      </w:r>
      <w:r>
        <w:rPr>
          <w:spacing w:val="-16"/>
          <w:w w:val="120"/>
        </w:rPr>
        <w:t> </w:t>
      </w:r>
      <w:r>
        <w:rPr>
          <w:spacing w:val="-3"/>
          <w:w w:val="120"/>
        </w:rPr>
        <w:t>tratado</w:t>
      </w:r>
      <w:r>
        <w:rPr>
          <w:spacing w:val="-16"/>
          <w:w w:val="120"/>
        </w:rPr>
        <w:t> </w:t>
      </w:r>
      <w:r>
        <w:rPr>
          <w:w w:val="120"/>
        </w:rPr>
        <w:t>de</w:t>
      </w:r>
      <w:r>
        <w:rPr>
          <w:spacing w:val="-16"/>
          <w:w w:val="120"/>
        </w:rPr>
        <w:t> </w:t>
      </w:r>
      <w:r>
        <w:rPr>
          <w:w w:val="120"/>
        </w:rPr>
        <w:t>seguridad</w:t>
      </w:r>
      <w:r>
        <w:rPr>
          <w:spacing w:val="-16"/>
          <w:w w:val="120"/>
        </w:rPr>
        <w:t> </w:t>
      </w:r>
      <w:r>
        <w:rPr>
          <w:w w:val="120"/>
        </w:rPr>
        <w:t>Colec- tiva </w:t>
      </w:r>
      <w:r>
        <w:rPr>
          <w:spacing w:val="1"/>
          <w:w w:val="120"/>
        </w:rPr>
        <w:t> </w:t>
      </w:r>
      <w:r>
        <w:rPr>
          <w:w w:val="120"/>
        </w:rPr>
        <w:t>(otsC).</w:t>
      </w:r>
    </w:p>
    <w:p>
      <w:pPr>
        <w:pStyle w:val="BodyText"/>
        <w:spacing w:line="252" w:lineRule="auto"/>
        <w:ind w:left="100" w:right="328" w:firstLine="396"/>
        <w:jc w:val="both"/>
      </w:pPr>
      <w:r>
        <w:rPr>
          <w:w w:val="115"/>
        </w:rPr>
        <w:t>Esta</w:t>
      </w:r>
      <w:r>
        <w:rPr>
          <w:spacing w:val="-21"/>
          <w:w w:val="115"/>
        </w:rPr>
        <w:t> </w:t>
      </w:r>
      <w:r>
        <w:rPr>
          <w:w w:val="115"/>
        </w:rPr>
        <w:t>organización</w:t>
      </w:r>
      <w:r>
        <w:rPr>
          <w:spacing w:val="-21"/>
          <w:w w:val="115"/>
        </w:rPr>
        <w:t> </w:t>
      </w:r>
      <w:r>
        <w:rPr>
          <w:w w:val="115"/>
        </w:rPr>
        <w:t>ha</w:t>
      </w:r>
      <w:r>
        <w:rPr>
          <w:spacing w:val="-21"/>
          <w:w w:val="115"/>
        </w:rPr>
        <w:t> </w:t>
      </w:r>
      <w:r>
        <w:rPr>
          <w:w w:val="115"/>
        </w:rPr>
        <w:t>estado</w:t>
      </w:r>
      <w:r>
        <w:rPr>
          <w:spacing w:val="-21"/>
          <w:w w:val="115"/>
        </w:rPr>
        <w:t> </w:t>
      </w:r>
      <w:r>
        <w:rPr>
          <w:w w:val="115"/>
        </w:rPr>
        <w:t>ganando</w:t>
      </w:r>
      <w:r>
        <w:rPr>
          <w:spacing w:val="-21"/>
          <w:w w:val="115"/>
        </w:rPr>
        <w:t> </w:t>
      </w:r>
      <w:r>
        <w:rPr>
          <w:w w:val="115"/>
        </w:rPr>
        <w:t>interés</w:t>
      </w:r>
      <w:r>
        <w:rPr>
          <w:spacing w:val="-21"/>
          <w:w w:val="115"/>
        </w:rPr>
        <w:t> </w:t>
      </w:r>
      <w:r>
        <w:rPr>
          <w:w w:val="115"/>
        </w:rPr>
        <w:t>en</w:t>
      </w:r>
      <w:r>
        <w:rPr>
          <w:spacing w:val="-21"/>
          <w:w w:val="115"/>
        </w:rPr>
        <w:t> </w:t>
      </w:r>
      <w:r>
        <w:rPr>
          <w:w w:val="115"/>
        </w:rPr>
        <w:t>los</w:t>
      </w:r>
      <w:r>
        <w:rPr>
          <w:spacing w:val="-21"/>
          <w:w w:val="115"/>
        </w:rPr>
        <w:t> </w:t>
      </w:r>
      <w:r>
        <w:rPr>
          <w:w w:val="115"/>
        </w:rPr>
        <w:t>últimos</w:t>
      </w:r>
      <w:r>
        <w:rPr>
          <w:spacing w:val="-21"/>
          <w:w w:val="115"/>
        </w:rPr>
        <w:t> </w:t>
      </w:r>
      <w:r>
        <w:rPr>
          <w:w w:val="115"/>
        </w:rPr>
        <w:t>años. Países</w:t>
      </w:r>
      <w:r>
        <w:rPr>
          <w:spacing w:val="-14"/>
          <w:w w:val="115"/>
        </w:rPr>
        <w:t> </w:t>
      </w:r>
      <w:r>
        <w:rPr>
          <w:w w:val="115"/>
        </w:rPr>
        <w:t>como</w:t>
      </w:r>
      <w:r>
        <w:rPr>
          <w:spacing w:val="-14"/>
          <w:w w:val="115"/>
        </w:rPr>
        <w:t> </w:t>
      </w:r>
      <w:r>
        <w:rPr>
          <w:w w:val="115"/>
        </w:rPr>
        <w:t>azerbaiján</w:t>
      </w:r>
      <w:r>
        <w:rPr>
          <w:spacing w:val="-14"/>
          <w:w w:val="115"/>
        </w:rPr>
        <w:t> </w:t>
      </w:r>
      <w:r>
        <w:rPr>
          <w:w w:val="115"/>
        </w:rPr>
        <w:t>y</w:t>
      </w:r>
      <w:r>
        <w:rPr>
          <w:spacing w:val="-14"/>
          <w:w w:val="115"/>
        </w:rPr>
        <w:t> </w:t>
      </w:r>
      <w:r>
        <w:rPr>
          <w:w w:val="115"/>
        </w:rPr>
        <w:t>Vietnam,</w:t>
      </w:r>
      <w:r>
        <w:rPr>
          <w:spacing w:val="-14"/>
          <w:w w:val="115"/>
        </w:rPr>
        <w:t> </w:t>
      </w:r>
      <w:r>
        <w:rPr>
          <w:w w:val="115"/>
        </w:rPr>
        <w:t>en</w:t>
      </w:r>
      <w:r>
        <w:rPr>
          <w:spacing w:val="-14"/>
          <w:w w:val="115"/>
        </w:rPr>
        <w:t> </w:t>
      </w:r>
      <w:r>
        <w:rPr>
          <w:w w:val="115"/>
        </w:rPr>
        <w:t>ambos</w:t>
      </w:r>
      <w:r>
        <w:rPr>
          <w:spacing w:val="-14"/>
          <w:w w:val="115"/>
        </w:rPr>
        <w:t> </w:t>
      </w:r>
      <w:r>
        <w:rPr>
          <w:w w:val="115"/>
        </w:rPr>
        <w:t>extremos</w:t>
      </w:r>
      <w:r>
        <w:rPr>
          <w:spacing w:val="-14"/>
          <w:w w:val="115"/>
        </w:rPr>
        <w:t> </w:t>
      </w:r>
      <w:r>
        <w:rPr>
          <w:w w:val="115"/>
        </w:rPr>
        <w:t>de</w:t>
      </w:r>
      <w:r>
        <w:rPr>
          <w:spacing w:val="-14"/>
          <w:w w:val="115"/>
        </w:rPr>
        <w:t> </w:t>
      </w:r>
      <w:r>
        <w:rPr>
          <w:w w:val="115"/>
        </w:rPr>
        <w:t>la</w:t>
      </w:r>
      <w:r>
        <w:rPr>
          <w:spacing w:val="-14"/>
          <w:w w:val="115"/>
        </w:rPr>
        <w:t> </w:t>
      </w:r>
      <w:r>
        <w:rPr>
          <w:w w:val="115"/>
        </w:rPr>
        <w:t>oCs,</w:t>
      </w:r>
      <w:r>
        <w:rPr>
          <w:spacing w:val="-14"/>
          <w:w w:val="115"/>
        </w:rPr>
        <w:t> </w:t>
      </w:r>
      <w:r>
        <w:rPr>
          <w:w w:val="115"/>
        </w:rPr>
        <w:t>han revelado</w:t>
      </w:r>
      <w:r>
        <w:rPr>
          <w:spacing w:val="-25"/>
          <w:w w:val="115"/>
        </w:rPr>
        <w:t> </w:t>
      </w:r>
      <w:r>
        <w:rPr>
          <w:w w:val="115"/>
        </w:rPr>
        <w:t>su</w:t>
      </w:r>
      <w:r>
        <w:rPr>
          <w:spacing w:val="-25"/>
          <w:w w:val="115"/>
        </w:rPr>
        <w:t> </w:t>
      </w:r>
      <w:r>
        <w:rPr>
          <w:w w:val="115"/>
        </w:rPr>
        <w:t>intención</w:t>
      </w:r>
      <w:r>
        <w:rPr>
          <w:spacing w:val="-25"/>
          <w:w w:val="115"/>
        </w:rPr>
        <w:t> </w:t>
      </w:r>
      <w:r>
        <w:rPr>
          <w:w w:val="115"/>
        </w:rPr>
        <w:t>de</w:t>
      </w:r>
      <w:r>
        <w:rPr>
          <w:spacing w:val="-25"/>
          <w:w w:val="115"/>
        </w:rPr>
        <w:t> </w:t>
      </w:r>
      <w:r>
        <w:rPr>
          <w:w w:val="115"/>
        </w:rPr>
        <w:t>incorporarse</w:t>
      </w:r>
      <w:r>
        <w:rPr>
          <w:spacing w:val="-25"/>
          <w:w w:val="115"/>
        </w:rPr>
        <w:t> </w:t>
      </w:r>
      <w:r>
        <w:rPr>
          <w:w w:val="115"/>
        </w:rPr>
        <w:t>a</w:t>
      </w:r>
      <w:r>
        <w:rPr>
          <w:spacing w:val="-25"/>
          <w:w w:val="115"/>
        </w:rPr>
        <w:t> </w:t>
      </w:r>
      <w:r>
        <w:rPr>
          <w:w w:val="115"/>
        </w:rPr>
        <w:t>ella.</w:t>
      </w:r>
    </w:p>
    <w:p>
      <w:pPr>
        <w:pStyle w:val="BodyText"/>
        <w:spacing w:line="252" w:lineRule="auto"/>
        <w:ind w:left="100" w:right="328" w:firstLine="396"/>
        <w:jc w:val="both"/>
      </w:pPr>
      <w:r>
        <w:rPr>
          <w:w w:val="115"/>
        </w:rPr>
        <w:t>En</w:t>
      </w:r>
      <w:r>
        <w:rPr>
          <w:spacing w:val="-12"/>
          <w:w w:val="115"/>
        </w:rPr>
        <w:t> </w:t>
      </w:r>
      <w:r>
        <w:rPr>
          <w:w w:val="115"/>
        </w:rPr>
        <w:t>su</w:t>
      </w:r>
      <w:r>
        <w:rPr>
          <w:spacing w:val="-12"/>
          <w:w w:val="115"/>
        </w:rPr>
        <w:t> </w:t>
      </w:r>
      <w:r>
        <w:rPr>
          <w:w w:val="115"/>
        </w:rPr>
        <w:t>viaje</w:t>
      </w:r>
      <w:r>
        <w:rPr>
          <w:spacing w:val="-12"/>
          <w:w w:val="115"/>
        </w:rPr>
        <w:t> </w:t>
      </w:r>
      <w:r>
        <w:rPr>
          <w:w w:val="115"/>
        </w:rPr>
        <w:t>de</w:t>
      </w:r>
      <w:r>
        <w:rPr>
          <w:spacing w:val="-12"/>
          <w:w w:val="115"/>
        </w:rPr>
        <w:t> </w:t>
      </w:r>
      <w:r>
        <w:rPr>
          <w:w w:val="115"/>
        </w:rPr>
        <w:t>septiembre</w:t>
      </w:r>
      <w:r>
        <w:rPr>
          <w:spacing w:val="-12"/>
          <w:w w:val="115"/>
        </w:rPr>
        <w:t> </w:t>
      </w:r>
      <w:r>
        <w:rPr>
          <w:w w:val="115"/>
        </w:rPr>
        <w:t>de</w:t>
      </w:r>
      <w:r>
        <w:rPr>
          <w:spacing w:val="-12"/>
          <w:w w:val="115"/>
        </w:rPr>
        <w:t> </w:t>
      </w:r>
      <w:r>
        <w:rPr>
          <w:w w:val="115"/>
        </w:rPr>
        <w:t>2013,</w:t>
      </w:r>
      <w:r>
        <w:rPr>
          <w:spacing w:val="-12"/>
          <w:w w:val="115"/>
        </w:rPr>
        <w:t> </w:t>
      </w:r>
      <w:r>
        <w:rPr>
          <w:w w:val="115"/>
        </w:rPr>
        <w:t>xi</w:t>
      </w:r>
      <w:r>
        <w:rPr>
          <w:spacing w:val="-12"/>
          <w:w w:val="115"/>
        </w:rPr>
        <w:t> </w:t>
      </w:r>
      <w:r>
        <w:rPr>
          <w:w w:val="115"/>
        </w:rPr>
        <w:t>Jinping</w:t>
      </w:r>
      <w:r>
        <w:rPr>
          <w:spacing w:val="-12"/>
          <w:w w:val="115"/>
        </w:rPr>
        <w:t> </w:t>
      </w:r>
      <w:r>
        <w:rPr>
          <w:w w:val="115"/>
        </w:rPr>
        <w:t>aprovechó</w:t>
      </w:r>
      <w:r>
        <w:rPr>
          <w:spacing w:val="-12"/>
          <w:w w:val="115"/>
        </w:rPr>
        <w:t> </w:t>
      </w:r>
      <w:r>
        <w:rPr>
          <w:w w:val="115"/>
        </w:rPr>
        <w:t>para</w:t>
      </w:r>
      <w:r>
        <w:rPr>
          <w:spacing w:val="-12"/>
          <w:w w:val="115"/>
        </w:rPr>
        <w:t> </w:t>
      </w:r>
      <w:r>
        <w:rPr>
          <w:w w:val="115"/>
        </w:rPr>
        <w:t>vi- sitar tayikistán y acordar con Emomali rakhmon la construcción de un</w:t>
      </w:r>
      <w:r>
        <w:rPr>
          <w:spacing w:val="-23"/>
          <w:w w:val="115"/>
        </w:rPr>
        <w:t> </w:t>
      </w:r>
      <w:r>
        <w:rPr>
          <w:w w:val="115"/>
        </w:rPr>
        <w:t>gasoducto</w:t>
      </w:r>
      <w:r>
        <w:rPr>
          <w:spacing w:val="-23"/>
          <w:w w:val="115"/>
        </w:rPr>
        <w:t> </w:t>
      </w:r>
      <w:r>
        <w:rPr>
          <w:w w:val="115"/>
        </w:rPr>
        <w:t>que</w:t>
      </w:r>
      <w:r>
        <w:rPr>
          <w:spacing w:val="-23"/>
          <w:w w:val="115"/>
        </w:rPr>
        <w:t> </w:t>
      </w:r>
      <w:r>
        <w:rPr>
          <w:w w:val="115"/>
        </w:rPr>
        <w:t>unirá</w:t>
      </w:r>
      <w:r>
        <w:rPr>
          <w:spacing w:val="-23"/>
          <w:w w:val="115"/>
        </w:rPr>
        <w:t> </w:t>
      </w:r>
      <w:r>
        <w:rPr>
          <w:w w:val="115"/>
        </w:rPr>
        <w:t>asia</w:t>
      </w:r>
      <w:r>
        <w:rPr>
          <w:spacing w:val="-23"/>
          <w:w w:val="115"/>
        </w:rPr>
        <w:t> </w:t>
      </w:r>
      <w:r>
        <w:rPr>
          <w:w w:val="115"/>
        </w:rPr>
        <w:t>Central</w:t>
      </w:r>
      <w:r>
        <w:rPr>
          <w:spacing w:val="-23"/>
          <w:w w:val="115"/>
        </w:rPr>
        <w:t> </w:t>
      </w:r>
      <w:r>
        <w:rPr>
          <w:w w:val="115"/>
        </w:rPr>
        <w:t>y</w:t>
      </w:r>
      <w:r>
        <w:rPr>
          <w:spacing w:val="-23"/>
          <w:w w:val="115"/>
        </w:rPr>
        <w:t> </w:t>
      </w:r>
      <w:r>
        <w:rPr>
          <w:w w:val="115"/>
        </w:rPr>
        <w:t>el</w:t>
      </w:r>
      <w:r>
        <w:rPr>
          <w:spacing w:val="-23"/>
          <w:w w:val="115"/>
        </w:rPr>
        <w:t> </w:t>
      </w:r>
      <w:r>
        <w:rPr>
          <w:w w:val="115"/>
        </w:rPr>
        <w:t>territorio</w:t>
      </w:r>
      <w:r>
        <w:rPr>
          <w:spacing w:val="-23"/>
          <w:w w:val="115"/>
        </w:rPr>
        <w:t> </w:t>
      </w:r>
      <w:r>
        <w:rPr>
          <w:w w:val="115"/>
        </w:rPr>
        <w:t>chino,</w:t>
      </w:r>
      <w:r>
        <w:rPr>
          <w:spacing w:val="-23"/>
          <w:w w:val="115"/>
        </w:rPr>
        <w:t> </w:t>
      </w:r>
      <w:r>
        <w:rPr>
          <w:w w:val="115"/>
        </w:rPr>
        <w:t>y</w:t>
      </w:r>
      <w:r>
        <w:rPr>
          <w:spacing w:val="-23"/>
          <w:w w:val="115"/>
        </w:rPr>
        <w:t> </w:t>
      </w:r>
      <w:r>
        <w:rPr>
          <w:w w:val="115"/>
        </w:rPr>
        <w:t>para</w:t>
      </w:r>
      <w:r>
        <w:rPr>
          <w:spacing w:val="-23"/>
          <w:w w:val="115"/>
        </w:rPr>
        <w:t> </w:t>
      </w:r>
      <w:r>
        <w:rPr>
          <w:w w:val="115"/>
        </w:rPr>
        <w:t>explo- rar</w:t>
      </w:r>
      <w:r>
        <w:rPr>
          <w:spacing w:val="-26"/>
          <w:w w:val="115"/>
        </w:rPr>
        <w:t> </w:t>
      </w:r>
      <w:r>
        <w:rPr>
          <w:w w:val="115"/>
        </w:rPr>
        <w:t>las</w:t>
      </w:r>
      <w:r>
        <w:rPr>
          <w:spacing w:val="-26"/>
          <w:w w:val="115"/>
        </w:rPr>
        <w:t> </w:t>
      </w:r>
      <w:r>
        <w:rPr>
          <w:w w:val="115"/>
        </w:rPr>
        <w:t>posibilidades</w:t>
      </w:r>
      <w:r>
        <w:rPr>
          <w:spacing w:val="-26"/>
          <w:w w:val="115"/>
        </w:rPr>
        <w:t> </w:t>
      </w:r>
      <w:r>
        <w:rPr>
          <w:w w:val="115"/>
        </w:rPr>
        <w:t>de</w:t>
      </w:r>
      <w:r>
        <w:rPr>
          <w:spacing w:val="-26"/>
          <w:w w:val="115"/>
        </w:rPr>
        <w:t> </w:t>
      </w:r>
      <w:r>
        <w:rPr>
          <w:w w:val="115"/>
        </w:rPr>
        <w:t>colaboración</w:t>
      </w:r>
      <w:r>
        <w:rPr>
          <w:spacing w:val="-26"/>
          <w:w w:val="115"/>
        </w:rPr>
        <w:t> </w:t>
      </w:r>
      <w:r>
        <w:rPr>
          <w:w w:val="115"/>
        </w:rPr>
        <w:t>en</w:t>
      </w:r>
      <w:r>
        <w:rPr>
          <w:spacing w:val="-26"/>
          <w:w w:val="115"/>
        </w:rPr>
        <w:t> </w:t>
      </w:r>
      <w:r>
        <w:rPr>
          <w:w w:val="115"/>
        </w:rPr>
        <w:t>infraestructura,</w:t>
      </w:r>
      <w:r>
        <w:rPr>
          <w:spacing w:val="-26"/>
          <w:w w:val="115"/>
        </w:rPr>
        <w:t> </w:t>
      </w:r>
      <w:r>
        <w:rPr>
          <w:w w:val="115"/>
        </w:rPr>
        <w:t>agricultura</w:t>
      </w:r>
      <w:r>
        <w:rPr>
          <w:spacing w:val="-26"/>
          <w:w w:val="115"/>
        </w:rPr>
        <w:t> </w:t>
      </w:r>
      <w:r>
        <w:rPr>
          <w:w w:val="115"/>
        </w:rPr>
        <w:t>y </w:t>
      </w:r>
      <w:r>
        <w:rPr>
          <w:w w:val="110"/>
        </w:rPr>
        <w:t>explotación</w:t>
      </w:r>
      <w:r>
        <w:rPr>
          <w:spacing w:val="15"/>
        </w:rPr>
        <w:t> </w:t>
      </w:r>
      <w:r>
        <w:rPr>
          <w:w w:val="107"/>
        </w:rPr>
        <w:t>de</w:t>
      </w:r>
      <w:r>
        <w:rPr>
          <w:spacing w:val="15"/>
        </w:rPr>
        <w:t> </w:t>
      </w:r>
      <w:r>
        <w:rPr>
          <w:w w:val="108"/>
        </w:rPr>
        <w:t>recursos</w:t>
      </w:r>
      <w:r>
        <w:rPr>
          <w:spacing w:val="15"/>
        </w:rPr>
        <w:t> </w:t>
      </w:r>
      <w:r>
        <w:rPr>
          <w:w w:val="110"/>
        </w:rPr>
        <w:t>naturales.</w:t>
      </w:r>
      <w:r>
        <w:rPr>
          <w:spacing w:val="15"/>
        </w:rPr>
        <w:t> </w:t>
      </w:r>
      <w:r>
        <w:rPr>
          <w:w w:val="243"/>
        </w:rPr>
        <w:t>l</w:t>
      </w:r>
      <w:r>
        <w:rPr>
          <w:w w:val="112"/>
        </w:rPr>
        <w:t>a</w:t>
      </w:r>
      <w:r>
        <w:rPr>
          <w:spacing w:val="15"/>
        </w:rPr>
        <w:t> </w:t>
      </w:r>
      <w:r>
        <w:rPr>
          <w:w w:val="109"/>
        </w:rPr>
        <w:t>vulnerabilidad</w:t>
      </w:r>
      <w:r>
        <w:rPr>
          <w:spacing w:val="15"/>
        </w:rPr>
        <w:t> </w:t>
      </w:r>
      <w:r>
        <w:rPr>
          <w:w w:val="107"/>
        </w:rPr>
        <w:t>de</w:t>
      </w:r>
      <w:r>
        <w:rPr>
          <w:spacing w:val="15"/>
        </w:rPr>
        <w:t> </w:t>
      </w:r>
      <w:r>
        <w:rPr>
          <w:w w:val="109"/>
        </w:rPr>
        <w:t>las</w:t>
      </w:r>
      <w:r>
        <w:rPr>
          <w:spacing w:val="15"/>
        </w:rPr>
        <w:t> </w:t>
      </w:r>
      <w:r>
        <w:rPr>
          <w:w w:val="110"/>
        </w:rPr>
        <w:t>fronteras, </w:t>
      </w:r>
      <w:r>
        <w:rPr>
          <w:w w:val="115"/>
        </w:rPr>
        <w:t>las</w:t>
      </w:r>
      <w:r>
        <w:rPr>
          <w:spacing w:val="-4"/>
          <w:w w:val="115"/>
        </w:rPr>
        <w:t> </w:t>
      </w:r>
      <w:r>
        <w:rPr>
          <w:w w:val="115"/>
        </w:rPr>
        <w:t>secuelas</w:t>
      </w:r>
      <w:r>
        <w:rPr>
          <w:spacing w:val="-4"/>
          <w:w w:val="115"/>
        </w:rPr>
        <w:t> </w:t>
      </w:r>
      <w:r>
        <w:rPr>
          <w:w w:val="115"/>
        </w:rPr>
        <w:t>de</w:t>
      </w:r>
      <w:r>
        <w:rPr>
          <w:spacing w:val="-4"/>
          <w:w w:val="115"/>
        </w:rPr>
        <w:t> </w:t>
      </w:r>
      <w:r>
        <w:rPr>
          <w:w w:val="115"/>
        </w:rPr>
        <w:t>tráfico</w:t>
      </w:r>
      <w:r>
        <w:rPr>
          <w:spacing w:val="-4"/>
          <w:w w:val="115"/>
        </w:rPr>
        <w:t> </w:t>
      </w:r>
      <w:r>
        <w:rPr>
          <w:w w:val="115"/>
        </w:rPr>
        <w:t>de</w:t>
      </w:r>
      <w:r>
        <w:rPr>
          <w:spacing w:val="-4"/>
          <w:w w:val="115"/>
        </w:rPr>
        <w:t> </w:t>
      </w:r>
      <w:r>
        <w:rPr>
          <w:w w:val="115"/>
        </w:rPr>
        <w:t>drogas</w:t>
      </w:r>
      <w:r>
        <w:rPr>
          <w:spacing w:val="-4"/>
          <w:w w:val="115"/>
        </w:rPr>
        <w:t> </w:t>
      </w:r>
      <w:r>
        <w:rPr>
          <w:w w:val="115"/>
        </w:rPr>
        <w:t>y</w:t>
      </w:r>
      <w:r>
        <w:rPr>
          <w:spacing w:val="-4"/>
          <w:w w:val="115"/>
        </w:rPr>
        <w:t> </w:t>
      </w:r>
      <w:r>
        <w:rPr>
          <w:w w:val="115"/>
        </w:rPr>
        <w:t>la</w:t>
      </w:r>
      <w:r>
        <w:rPr>
          <w:spacing w:val="-4"/>
          <w:w w:val="115"/>
        </w:rPr>
        <w:t> </w:t>
      </w:r>
      <w:r>
        <w:rPr>
          <w:w w:val="115"/>
        </w:rPr>
        <w:t>infiltración</w:t>
      </w:r>
      <w:r>
        <w:rPr>
          <w:spacing w:val="-4"/>
          <w:w w:val="115"/>
        </w:rPr>
        <w:t> </w:t>
      </w:r>
      <w:r>
        <w:rPr>
          <w:w w:val="115"/>
        </w:rPr>
        <w:t>de</w:t>
      </w:r>
      <w:r>
        <w:rPr>
          <w:spacing w:val="-4"/>
          <w:w w:val="115"/>
        </w:rPr>
        <w:t> </w:t>
      </w:r>
      <w:r>
        <w:rPr>
          <w:w w:val="115"/>
        </w:rPr>
        <w:t>grupos</w:t>
      </w:r>
      <w:r>
        <w:rPr>
          <w:spacing w:val="-4"/>
          <w:w w:val="115"/>
        </w:rPr>
        <w:t> </w:t>
      </w:r>
      <w:r>
        <w:rPr>
          <w:w w:val="115"/>
        </w:rPr>
        <w:t>armados también</w:t>
      </w:r>
      <w:r>
        <w:rPr>
          <w:spacing w:val="-14"/>
          <w:w w:val="115"/>
        </w:rPr>
        <w:t> </w:t>
      </w:r>
      <w:r>
        <w:rPr>
          <w:w w:val="115"/>
        </w:rPr>
        <w:t>figuraron</w:t>
      </w:r>
      <w:r>
        <w:rPr>
          <w:spacing w:val="-14"/>
          <w:w w:val="115"/>
        </w:rPr>
        <w:t> </w:t>
      </w:r>
      <w:r>
        <w:rPr>
          <w:w w:val="115"/>
        </w:rPr>
        <w:t>en</w:t>
      </w:r>
      <w:r>
        <w:rPr>
          <w:spacing w:val="-14"/>
          <w:w w:val="115"/>
        </w:rPr>
        <w:t> </w:t>
      </w:r>
      <w:r>
        <w:rPr>
          <w:w w:val="115"/>
        </w:rPr>
        <w:t>las</w:t>
      </w:r>
      <w:r>
        <w:rPr>
          <w:spacing w:val="-14"/>
          <w:w w:val="115"/>
        </w:rPr>
        <w:t> </w:t>
      </w:r>
      <w:r>
        <w:rPr>
          <w:w w:val="115"/>
        </w:rPr>
        <w:t>conversaciones.</w:t>
      </w:r>
      <w:r>
        <w:rPr>
          <w:spacing w:val="-14"/>
          <w:w w:val="115"/>
        </w:rPr>
        <w:t> </w:t>
      </w:r>
      <w:r>
        <w:rPr>
          <w:w w:val="115"/>
        </w:rPr>
        <w:t>tayikistán</w:t>
      </w:r>
      <w:r>
        <w:rPr>
          <w:spacing w:val="-14"/>
          <w:w w:val="115"/>
        </w:rPr>
        <w:t> </w:t>
      </w:r>
      <w:r>
        <w:rPr>
          <w:w w:val="115"/>
        </w:rPr>
        <w:t>ha</w:t>
      </w:r>
      <w:r>
        <w:rPr>
          <w:spacing w:val="-14"/>
          <w:w w:val="115"/>
        </w:rPr>
        <w:t> </w:t>
      </w:r>
      <w:r>
        <w:rPr>
          <w:w w:val="115"/>
        </w:rPr>
        <w:t>expresado</w:t>
      </w:r>
      <w:r>
        <w:rPr>
          <w:spacing w:val="-14"/>
          <w:w w:val="115"/>
        </w:rPr>
        <w:t> </w:t>
      </w:r>
      <w:r>
        <w:rPr>
          <w:w w:val="115"/>
        </w:rPr>
        <w:t>su interés</w:t>
      </w:r>
      <w:r>
        <w:rPr>
          <w:spacing w:val="-23"/>
          <w:w w:val="115"/>
        </w:rPr>
        <w:t> </w:t>
      </w:r>
      <w:r>
        <w:rPr>
          <w:w w:val="115"/>
        </w:rPr>
        <w:t>por</w:t>
      </w:r>
      <w:r>
        <w:rPr>
          <w:spacing w:val="-23"/>
          <w:w w:val="115"/>
        </w:rPr>
        <w:t> </w:t>
      </w:r>
      <w:r>
        <w:rPr>
          <w:w w:val="115"/>
        </w:rPr>
        <w:t>el</w:t>
      </w:r>
      <w:r>
        <w:rPr>
          <w:spacing w:val="-23"/>
          <w:w w:val="115"/>
        </w:rPr>
        <w:t> </w:t>
      </w:r>
      <w:r>
        <w:rPr>
          <w:w w:val="115"/>
        </w:rPr>
        <w:t>establecimiento</w:t>
      </w:r>
      <w:r>
        <w:rPr>
          <w:spacing w:val="-23"/>
          <w:w w:val="115"/>
        </w:rPr>
        <w:t> </w:t>
      </w:r>
      <w:r>
        <w:rPr>
          <w:w w:val="115"/>
        </w:rPr>
        <w:t>de</w:t>
      </w:r>
      <w:r>
        <w:rPr>
          <w:spacing w:val="-23"/>
          <w:w w:val="115"/>
        </w:rPr>
        <w:t> </w:t>
      </w:r>
      <w:r>
        <w:rPr>
          <w:w w:val="115"/>
        </w:rPr>
        <w:t>mayores</w:t>
      </w:r>
      <w:r>
        <w:rPr>
          <w:spacing w:val="-23"/>
          <w:w w:val="115"/>
        </w:rPr>
        <w:t> </w:t>
      </w:r>
      <w:r>
        <w:rPr>
          <w:w w:val="115"/>
        </w:rPr>
        <w:t>vínculos</w:t>
      </w:r>
      <w:r>
        <w:rPr>
          <w:spacing w:val="-23"/>
          <w:w w:val="115"/>
        </w:rPr>
        <w:t> </w:t>
      </w:r>
      <w:r>
        <w:rPr>
          <w:w w:val="115"/>
        </w:rPr>
        <w:t>con</w:t>
      </w:r>
      <w:r>
        <w:rPr>
          <w:spacing w:val="-23"/>
          <w:w w:val="115"/>
        </w:rPr>
        <w:t> </w:t>
      </w:r>
      <w:r>
        <w:rPr>
          <w:w w:val="115"/>
        </w:rPr>
        <w:t>China.</w:t>
      </w:r>
    </w:p>
    <w:p>
      <w:pPr>
        <w:pStyle w:val="BodyText"/>
        <w:spacing w:line="252" w:lineRule="auto"/>
        <w:ind w:left="100" w:right="327" w:firstLine="396"/>
        <w:jc w:val="both"/>
      </w:pPr>
      <w:r>
        <w:rPr>
          <w:w w:val="115"/>
        </w:rPr>
        <w:t>El presidente chino también visitó Kirguizistán, uzbekistán y turkmenistán, o sea que su visita abarcó a los cinco países de asia </w:t>
      </w:r>
      <w:r>
        <w:rPr>
          <w:w w:val="113"/>
        </w:rPr>
        <w:t>Central.</w:t>
      </w:r>
      <w:r>
        <w:rPr/>
        <w:t> </w:t>
      </w:r>
      <w:r>
        <w:rPr>
          <w:spacing w:val="-11"/>
        </w:rPr>
        <w:t> </w:t>
      </w:r>
      <w:r>
        <w:rPr>
          <w:w w:val="243"/>
        </w:rPr>
        <w:t>l</w:t>
      </w:r>
      <w:r>
        <w:rPr>
          <w:w w:val="112"/>
        </w:rPr>
        <w:t>a</w:t>
      </w:r>
      <w:r>
        <w:rPr/>
        <w:t> </w:t>
      </w:r>
      <w:r>
        <w:rPr>
          <w:spacing w:val="-11"/>
        </w:rPr>
        <w:t> </w:t>
      </w:r>
      <w:r>
        <w:rPr>
          <w:w w:val="108"/>
        </w:rPr>
        <w:t>propuesta</w:t>
      </w:r>
      <w:r>
        <w:rPr/>
        <w:t> </w:t>
      </w:r>
      <w:r>
        <w:rPr>
          <w:spacing w:val="-11"/>
        </w:rPr>
        <w:t> </w:t>
      </w:r>
      <w:r>
        <w:rPr>
          <w:w w:val="107"/>
        </w:rPr>
        <w:t>de</w:t>
      </w:r>
      <w:r>
        <w:rPr/>
        <w:t> </w:t>
      </w:r>
      <w:r>
        <w:rPr>
          <w:spacing w:val="-11"/>
        </w:rPr>
        <w:t> </w:t>
      </w:r>
      <w:r>
        <w:rPr>
          <w:w w:val="111"/>
        </w:rPr>
        <w:t>la</w:t>
      </w:r>
      <w:r>
        <w:rPr/>
        <w:t> </w:t>
      </w:r>
      <w:r>
        <w:rPr>
          <w:spacing w:val="-11"/>
        </w:rPr>
        <w:t> </w:t>
      </w:r>
      <w:r>
        <w:rPr>
          <w:w w:val="110"/>
        </w:rPr>
        <w:t>Nueva</w:t>
      </w:r>
      <w:r>
        <w:rPr/>
        <w:t> </w:t>
      </w:r>
      <w:r>
        <w:rPr>
          <w:spacing w:val="-11"/>
        </w:rPr>
        <w:t> </w:t>
      </w:r>
      <w:r>
        <w:rPr>
          <w:w w:val="182"/>
        </w:rPr>
        <w:t>r</w:t>
      </w:r>
      <w:r>
        <w:rPr>
          <w:w w:val="111"/>
        </w:rPr>
        <w:t>uta</w:t>
      </w:r>
      <w:r>
        <w:rPr/>
        <w:t> </w:t>
      </w:r>
      <w:r>
        <w:rPr>
          <w:spacing w:val="-11"/>
        </w:rPr>
        <w:t> </w:t>
      </w:r>
      <w:r>
        <w:rPr>
          <w:w w:val="107"/>
        </w:rPr>
        <w:t>de</w:t>
      </w:r>
      <w:r>
        <w:rPr/>
        <w:t> </w:t>
      </w:r>
      <w:r>
        <w:rPr>
          <w:spacing w:val="-11"/>
        </w:rPr>
        <w:t> </w:t>
      </w:r>
      <w:r>
        <w:rPr>
          <w:w w:val="111"/>
        </w:rPr>
        <w:t>la</w:t>
      </w:r>
      <w:r>
        <w:rPr/>
        <w:t> </w:t>
      </w:r>
      <w:r>
        <w:rPr>
          <w:spacing w:val="-11"/>
        </w:rPr>
        <w:t> </w:t>
      </w:r>
      <w:r>
        <w:rPr>
          <w:w w:val="149"/>
        </w:rPr>
        <w:t>s</w:t>
      </w:r>
      <w:r>
        <w:rPr>
          <w:w w:val="108"/>
        </w:rPr>
        <w:t>eda</w:t>
      </w:r>
      <w:r>
        <w:rPr/>
        <w:t> </w:t>
      </w:r>
      <w:r>
        <w:rPr>
          <w:spacing w:val="-11"/>
        </w:rPr>
        <w:t> </w:t>
      </w:r>
      <w:r>
        <w:rPr>
          <w:w w:val="112"/>
        </w:rPr>
        <w:t>ha</w:t>
      </w:r>
      <w:r>
        <w:rPr/>
        <w:t> </w:t>
      </w:r>
      <w:r>
        <w:rPr>
          <w:spacing w:val="-11"/>
        </w:rPr>
        <w:t> </w:t>
      </w:r>
      <w:r>
        <w:rPr>
          <w:w w:val="109"/>
        </w:rPr>
        <w:t>sido</w:t>
      </w:r>
      <w:r>
        <w:rPr/>
        <w:t> </w:t>
      </w:r>
      <w:r>
        <w:rPr>
          <w:spacing w:val="-11"/>
        </w:rPr>
        <w:t> </w:t>
      </w:r>
      <w:r>
        <w:rPr>
          <w:w w:val="110"/>
        </w:rPr>
        <w:t>recibida </w:t>
      </w:r>
      <w:r>
        <w:rPr>
          <w:w w:val="115"/>
        </w:rPr>
        <w:t>con</w:t>
      </w:r>
      <w:r>
        <w:rPr>
          <w:spacing w:val="-6"/>
          <w:w w:val="115"/>
        </w:rPr>
        <w:t> </w:t>
      </w:r>
      <w:r>
        <w:rPr>
          <w:w w:val="115"/>
        </w:rPr>
        <w:t>interés</w:t>
      </w:r>
      <w:r>
        <w:rPr>
          <w:spacing w:val="-6"/>
          <w:w w:val="115"/>
        </w:rPr>
        <w:t> </w:t>
      </w:r>
      <w:r>
        <w:rPr>
          <w:w w:val="115"/>
        </w:rPr>
        <w:t>también</w:t>
      </w:r>
      <w:r>
        <w:rPr>
          <w:spacing w:val="-6"/>
          <w:w w:val="115"/>
        </w:rPr>
        <w:t> </w:t>
      </w:r>
      <w:r>
        <w:rPr>
          <w:w w:val="115"/>
        </w:rPr>
        <w:t>en</w:t>
      </w:r>
      <w:r>
        <w:rPr>
          <w:spacing w:val="-6"/>
          <w:w w:val="115"/>
        </w:rPr>
        <w:t> </w:t>
      </w:r>
      <w:r>
        <w:rPr>
          <w:w w:val="115"/>
        </w:rPr>
        <w:t>Pakistán</w:t>
      </w:r>
      <w:r>
        <w:rPr>
          <w:spacing w:val="-6"/>
          <w:w w:val="115"/>
        </w:rPr>
        <w:t> </w:t>
      </w:r>
      <w:r>
        <w:rPr>
          <w:w w:val="115"/>
        </w:rPr>
        <w:t>y</w:t>
      </w:r>
      <w:r>
        <w:rPr>
          <w:spacing w:val="-6"/>
          <w:w w:val="115"/>
        </w:rPr>
        <w:t> </w:t>
      </w:r>
      <w:r>
        <w:rPr>
          <w:w w:val="115"/>
        </w:rPr>
        <w:t>afganistán;</w:t>
      </w:r>
      <w:r>
        <w:rPr>
          <w:spacing w:val="-6"/>
          <w:w w:val="115"/>
        </w:rPr>
        <w:t> </w:t>
      </w:r>
      <w:r>
        <w:rPr>
          <w:w w:val="115"/>
        </w:rPr>
        <w:t>además,</w:t>
      </w:r>
      <w:r>
        <w:rPr>
          <w:spacing w:val="-6"/>
          <w:w w:val="115"/>
        </w:rPr>
        <w:t> </w:t>
      </w:r>
      <w:r>
        <w:rPr>
          <w:w w:val="115"/>
        </w:rPr>
        <w:t>puede</w:t>
      </w:r>
      <w:r>
        <w:rPr>
          <w:spacing w:val="-6"/>
          <w:w w:val="115"/>
        </w:rPr>
        <w:t> </w:t>
      </w:r>
      <w:r>
        <w:rPr>
          <w:w w:val="115"/>
        </w:rPr>
        <w:t>repre- sentar</w:t>
      </w:r>
      <w:r>
        <w:rPr>
          <w:spacing w:val="-10"/>
          <w:w w:val="115"/>
        </w:rPr>
        <w:t> </w:t>
      </w:r>
      <w:r>
        <w:rPr>
          <w:w w:val="115"/>
        </w:rPr>
        <w:t>un</w:t>
      </w:r>
      <w:r>
        <w:rPr>
          <w:spacing w:val="-10"/>
          <w:w w:val="115"/>
        </w:rPr>
        <w:t> </w:t>
      </w:r>
      <w:r>
        <w:rPr>
          <w:w w:val="115"/>
        </w:rPr>
        <w:t>estímulo</w:t>
      </w:r>
      <w:r>
        <w:rPr>
          <w:spacing w:val="-10"/>
          <w:w w:val="115"/>
        </w:rPr>
        <w:t> </w:t>
      </w:r>
      <w:r>
        <w:rPr>
          <w:w w:val="115"/>
        </w:rPr>
        <w:t>para</w:t>
      </w:r>
      <w:r>
        <w:rPr>
          <w:spacing w:val="-10"/>
          <w:w w:val="115"/>
        </w:rPr>
        <w:t> </w:t>
      </w:r>
      <w:r>
        <w:rPr>
          <w:w w:val="115"/>
        </w:rPr>
        <w:t>la</w:t>
      </w:r>
      <w:r>
        <w:rPr>
          <w:spacing w:val="-10"/>
          <w:w w:val="115"/>
        </w:rPr>
        <w:t> </w:t>
      </w:r>
      <w:r>
        <w:rPr>
          <w:w w:val="115"/>
        </w:rPr>
        <w:t>economía</w:t>
      </w:r>
      <w:r>
        <w:rPr>
          <w:spacing w:val="-10"/>
          <w:w w:val="115"/>
        </w:rPr>
        <w:t> </w:t>
      </w:r>
      <w:r>
        <w:rPr>
          <w:w w:val="115"/>
        </w:rPr>
        <w:t>de</w:t>
      </w:r>
      <w:r>
        <w:rPr>
          <w:spacing w:val="-10"/>
          <w:w w:val="115"/>
        </w:rPr>
        <w:t> </w:t>
      </w:r>
      <w:r>
        <w:rPr>
          <w:w w:val="115"/>
        </w:rPr>
        <w:t>irán,</w:t>
      </w:r>
      <w:r>
        <w:rPr>
          <w:spacing w:val="-10"/>
          <w:w w:val="115"/>
        </w:rPr>
        <w:t> </w:t>
      </w:r>
      <w:r>
        <w:rPr>
          <w:w w:val="115"/>
        </w:rPr>
        <w:t>y</w:t>
      </w:r>
      <w:r>
        <w:rPr>
          <w:spacing w:val="-10"/>
          <w:w w:val="115"/>
        </w:rPr>
        <w:t> </w:t>
      </w:r>
      <w:r>
        <w:rPr>
          <w:w w:val="115"/>
        </w:rPr>
        <w:t>concede</w:t>
      </w:r>
      <w:r>
        <w:rPr>
          <w:spacing w:val="-10"/>
          <w:w w:val="115"/>
        </w:rPr>
        <w:t> </w:t>
      </w:r>
      <w:r>
        <w:rPr>
          <w:w w:val="115"/>
        </w:rPr>
        <w:t>notable</w:t>
      </w:r>
      <w:r>
        <w:rPr>
          <w:spacing w:val="-10"/>
          <w:w w:val="115"/>
        </w:rPr>
        <w:t> </w:t>
      </w:r>
      <w:r>
        <w:rPr>
          <w:w w:val="115"/>
        </w:rPr>
        <w:t>rele- vancia</w:t>
      </w:r>
      <w:r>
        <w:rPr>
          <w:spacing w:val="-27"/>
          <w:w w:val="115"/>
        </w:rPr>
        <w:t> </w:t>
      </w:r>
      <w:r>
        <w:rPr>
          <w:w w:val="115"/>
        </w:rPr>
        <w:t>estratégica,</w:t>
      </w:r>
      <w:r>
        <w:rPr>
          <w:spacing w:val="-27"/>
          <w:w w:val="115"/>
        </w:rPr>
        <w:t> </w:t>
      </w:r>
      <w:r>
        <w:rPr>
          <w:w w:val="115"/>
        </w:rPr>
        <w:t>al</w:t>
      </w:r>
      <w:r>
        <w:rPr>
          <w:spacing w:val="-27"/>
          <w:w w:val="115"/>
        </w:rPr>
        <w:t> </w:t>
      </w:r>
      <w:r>
        <w:rPr>
          <w:w w:val="115"/>
        </w:rPr>
        <w:t>tiempo</w:t>
      </w:r>
      <w:r>
        <w:rPr>
          <w:spacing w:val="-27"/>
          <w:w w:val="115"/>
        </w:rPr>
        <w:t> </w:t>
      </w:r>
      <w:r>
        <w:rPr>
          <w:w w:val="115"/>
        </w:rPr>
        <w:t>que</w:t>
      </w:r>
      <w:r>
        <w:rPr>
          <w:spacing w:val="-27"/>
          <w:w w:val="115"/>
        </w:rPr>
        <w:t> </w:t>
      </w:r>
      <w:r>
        <w:rPr>
          <w:w w:val="115"/>
        </w:rPr>
        <w:t>ofrece</w:t>
      </w:r>
      <w:r>
        <w:rPr>
          <w:spacing w:val="-27"/>
          <w:w w:val="115"/>
        </w:rPr>
        <w:t> </w:t>
      </w:r>
      <w:r>
        <w:rPr>
          <w:w w:val="115"/>
        </w:rPr>
        <w:t>una</w:t>
      </w:r>
      <w:r>
        <w:rPr>
          <w:spacing w:val="-27"/>
          <w:w w:val="115"/>
        </w:rPr>
        <w:t> </w:t>
      </w:r>
      <w:r>
        <w:rPr>
          <w:w w:val="115"/>
        </w:rPr>
        <w:t>posibilidad</w:t>
      </w:r>
      <w:r>
        <w:rPr>
          <w:spacing w:val="-27"/>
          <w:w w:val="115"/>
        </w:rPr>
        <w:t> </w:t>
      </w:r>
      <w:r>
        <w:rPr>
          <w:w w:val="115"/>
        </w:rPr>
        <w:t>de</w:t>
      </w:r>
      <w:r>
        <w:rPr>
          <w:spacing w:val="-27"/>
          <w:w w:val="115"/>
        </w:rPr>
        <w:t> </w:t>
      </w:r>
      <w:r>
        <w:rPr>
          <w:w w:val="115"/>
        </w:rPr>
        <w:t>desarrollo, a</w:t>
      </w:r>
      <w:r>
        <w:rPr>
          <w:spacing w:val="-14"/>
          <w:w w:val="115"/>
        </w:rPr>
        <w:t> </w:t>
      </w:r>
      <w:r>
        <w:rPr>
          <w:w w:val="115"/>
        </w:rPr>
        <w:t>los</w:t>
      </w:r>
      <w:r>
        <w:rPr>
          <w:spacing w:val="-14"/>
          <w:w w:val="115"/>
        </w:rPr>
        <w:t> </w:t>
      </w:r>
      <w:r>
        <w:rPr>
          <w:w w:val="115"/>
        </w:rPr>
        <w:t>países</w:t>
      </w:r>
      <w:r>
        <w:rPr>
          <w:spacing w:val="-14"/>
          <w:w w:val="115"/>
        </w:rPr>
        <w:t> </w:t>
      </w:r>
      <w:r>
        <w:rPr>
          <w:w w:val="115"/>
        </w:rPr>
        <w:t>que</w:t>
      </w:r>
      <w:r>
        <w:rPr>
          <w:spacing w:val="-14"/>
          <w:w w:val="115"/>
        </w:rPr>
        <w:t> </w:t>
      </w:r>
      <w:r>
        <w:rPr>
          <w:w w:val="115"/>
        </w:rPr>
        <w:t>no</w:t>
      </w:r>
      <w:r>
        <w:rPr>
          <w:spacing w:val="-14"/>
          <w:w w:val="115"/>
        </w:rPr>
        <w:t> </w:t>
      </w:r>
      <w:r>
        <w:rPr>
          <w:w w:val="115"/>
        </w:rPr>
        <w:t>tienen</w:t>
      </w:r>
      <w:r>
        <w:rPr>
          <w:spacing w:val="-14"/>
          <w:w w:val="115"/>
        </w:rPr>
        <w:t> </w:t>
      </w:r>
      <w:r>
        <w:rPr>
          <w:w w:val="115"/>
        </w:rPr>
        <w:t>salida</w:t>
      </w:r>
      <w:r>
        <w:rPr>
          <w:spacing w:val="-14"/>
          <w:w w:val="115"/>
        </w:rPr>
        <w:t> </w:t>
      </w:r>
      <w:r>
        <w:rPr>
          <w:w w:val="115"/>
        </w:rPr>
        <w:t>al</w:t>
      </w:r>
      <w:r>
        <w:rPr>
          <w:spacing w:val="-14"/>
          <w:w w:val="115"/>
        </w:rPr>
        <w:t> </w:t>
      </w:r>
      <w:r>
        <w:rPr>
          <w:w w:val="115"/>
        </w:rPr>
        <w:t>mar</w:t>
      </w:r>
      <w:r>
        <w:rPr>
          <w:spacing w:val="-14"/>
          <w:w w:val="115"/>
        </w:rPr>
        <w:t> </w:t>
      </w:r>
      <w:r>
        <w:rPr>
          <w:w w:val="115"/>
        </w:rPr>
        <w:t>abierto.</w:t>
      </w:r>
    </w:p>
    <w:p>
      <w:pPr>
        <w:pStyle w:val="BodyText"/>
        <w:spacing w:before="5"/>
      </w:pPr>
    </w:p>
    <w:p>
      <w:pPr>
        <w:pStyle w:val="Heading6"/>
      </w:pPr>
      <w:r>
        <w:rPr>
          <w:w w:val="145"/>
        </w:rPr>
        <w:t>la revitalización de la ruta de la seda</w:t>
      </w:r>
    </w:p>
    <w:p>
      <w:pPr>
        <w:pStyle w:val="BodyText"/>
        <w:spacing w:line="252" w:lineRule="auto" w:before="10"/>
        <w:ind w:left="100" w:right="328"/>
        <w:jc w:val="both"/>
      </w:pPr>
      <w:r>
        <w:rPr>
          <w:w w:val="110"/>
        </w:rPr>
        <w:t>aproximadamente desde el año 100 a.C., la ruta de la seda conectó       a China con Europa y simultáneamente los comerciantes de seda chi- nos emprendieron la ruta de la seda Marítima para transportar seda, cerámica y té a los mercados del extranjero. Esta ruta, que general- mente se conoce desde el punto de vista histórico, se identifica con la vía terrestre abierta por el diplomático Zhang Qian en la dinastía Han del oeste (202 a. C.-8 d.C.), que vinculó los dos imperios más podero- sos de aquel tiempo: la dinastía Han y el imperio romano. Esta ruta tenía dos posibles vías: el del sur salía del Paso del sol en dunhuang, pasando por la cordillera Kunlun y los países antiguos darouzhi (aho- ra región autónoma de xinjiang y la zona  noreste  de  afganistán),  anxi  (ahora  irán),  </w:t>
      </w:r>
      <w:r>
        <w:rPr>
          <w:spacing w:val="-3"/>
          <w:w w:val="110"/>
        </w:rPr>
        <w:t>tiaoshi  </w:t>
      </w:r>
      <w:r>
        <w:rPr>
          <w:w w:val="110"/>
        </w:rPr>
        <w:t>(ahora  la  Península  arábiga)  y  llegaba  </w:t>
      </w:r>
      <w:r>
        <w:rPr>
          <w:spacing w:val="4"/>
          <w:w w:val="110"/>
        </w:rPr>
        <w:t> </w:t>
      </w:r>
      <w:r>
        <w:rPr>
          <w:w w:val="110"/>
        </w:rPr>
        <w:t>a</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roma; en el norte, la vía corría por el lado sureño de la cordillera tianshan, atravesando antiguos países centroasiáticos como dawan y Kangju, luego doblaba hacia el suroeste para converger con el brazo sur  (Cri, 2014).</w:t>
      </w:r>
    </w:p>
    <w:p>
      <w:pPr>
        <w:pStyle w:val="BodyText"/>
        <w:spacing w:line="252" w:lineRule="auto"/>
        <w:ind w:left="330" w:right="117" w:firstLine="396"/>
        <w:jc w:val="both"/>
      </w:pPr>
      <w:r>
        <w:rPr>
          <w:w w:val="115"/>
        </w:rPr>
        <w:t>además</w:t>
      </w:r>
      <w:r>
        <w:rPr>
          <w:spacing w:val="-34"/>
          <w:w w:val="115"/>
        </w:rPr>
        <w:t> </w:t>
      </w:r>
      <w:r>
        <w:rPr>
          <w:w w:val="115"/>
        </w:rPr>
        <w:t>de</w:t>
      </w:r>
      <w:r>
        <w:rPr>
          <w:spacing w:val="-34"/>
          <w:w w:val="115"/>
        </w:rPr>
        <w:t> </w:t>
      </w:r>
      <w:r>
        <w:rPr>
          <w:w w:val="115"/>
        </w:rPr>
        <w:t>estas</w:t>
      </w:r>
      <w:r>
        <w:rPr>
          <w:spacing w:val="-34"/>
          <w:w w:val="115"/>
        </w:rPr>
        <w:t> </w:t>
      </w:r>
      <w:r>
        <w:rPr>
          <w:w w:val="115"/>
        </w:rPr>
        <w:t>vías,</w:t>
      </w:r>
      <w:r>
        <w:rPr>
          <w:spacing w:val="-34"/>
          <w:w w:val="115"/>
        </w:rPr>
        <w:t> </w:t>
      </w:r>
      <w:r>
        <w:rPr>
          <w:w w:val="115"/>
        </w:rPr>
        <w:t>existían</w:t>
      </w:r>
      <w:r>
        <w:rPr>
          <w:spacing w:val="-34"/>
          <w:w w:val="115"/>
        </w:rPr>
        <w:t> </w:t>
      </w:r>
      <w:r>
        <w:rPr>
          <w:w w:val="115"/>
        </w:rPr>
        <w:t>otras</w:t>
      </w:r>
      <w:r>
        <w:rPr>
          <w:spacing w:val="-34"/>
          <w:w w:val="115"/>
        </w:rPr>
        <w:t> </w:t>
      </w:r>
      <w:r>
        <w:rPr>
          <w:w w:val="115"/>
        </w:rPr>
        <w:t>menos</w:t>
      </w:r>
      <w:r>
        <w:rPr>
          <w:spacing w:val="-34"/>
          <w:w w:val="115"/>
        </w:rPr>
        <w:t> </w:t>
      </w:r>
      <w:r>
        <w:rPr>
          <w:w w:val="115"/>
        </w:rPr>
        <w:t>conocidas</w:t>
      </w:r>
      <w:r>
        <w:rPr>
          <w:spacing w:val="-34"/>
          <w:w w:val="115"/>
        </w:rPr>
        <w:t> </w:t>
      </w:r>
      <w:r>
        <w:rPr>
          <w:w w:val="115"/>
        </w:rPr>
        <w:t>que</w:t>
      </w:r>
      <w:r>
        <w:rPr>
          <w:spacing w:val="-34"/>
          <w:w w:val="115"/>
        </w:rPr>
        <w:t> </w:t>
      </w:r>
      <w:r>
        <w:rPr>
          <w:w w:val="115"/>
        </w:rPr>
        <w:t>también </w:t>
      </w:r>
      <w:r>
        <w:rPr>
          <w:w w:val="120"/>
        </w:rPr>
        <w:t>servían</w:t>
      </w:r>
      <w:r>
        <w:rPr>
          <w:spacing w:val="-27"/>
          <w:w w:val="120"/>
        </w:rPr>
        <w:t> </w:t>
      </w:r>
      <w:r>
        <w:rPr>
          <w:w w:val="120"/>
        </w:rPr>
        <w:t>para</w:t>
      </w:r>
      <w:r>
        <w:rPr>
          <w:spacing w:val="-27"/>
          <w:w w:val="120"/>
        </w:rPr>
        <w:t> </w:t>
      </w:r>
      <w:r>
        <w:rPr>
          <w:w w:val="120"/>
        </w:rPr>
        <w:t>los</w:t>
      </w:r>
      <w:r>
        <w:rPr>
          <w:spacing w:val="-27"/>
          <w:w w:val="120"/>
        </w:rPr>
        <w:t> </w:t>
      </w:r>
      <w:r>
        <w:rPr>
          <w:w w:val="120"/>
        </w:rPr>
        <w:t>intercambios</w:t>
      </w:r>
      <w:r>
        <w:rPr>
          <w:spacing w:val="-27"/>
          <w:w w:val="120"/>
        </w:rPr>
        <w:t> </w:t>
      </w:r>
      <w:r>
        <w:rPr>
          <w:w w:val="120"/>
        </w:rPr>
        <w:t>entre</w:t>
      </w:r>
      <w:r>
        <w:rPr>
          <w:spacing w:val="-27"/>
          <w:w w:val="120"/>
        </w:rPr>
        <w:t> </w:t>
      </w:r>
      <w:r>
        <w:rPr>
          <w:w w:val="120"/>
        </w:rPr>
        <w:t>China</w:t>
      </w:r>
      <w:r>
        <w:rPr>
          <w:spacing w:val="-27"/>
          <w:w w:val="120"/>
        </w:rPr>
        <w:t> </w:t>
      </w:r>
      <w:r>
        <w:rPr>
          <w:w w:val="120"/>
        </w:rPr>
        <w:t>y</w:t>
      </w:r>
      <w:r>
        <w:rPr>
          <w:spacing w:val="-27"/>
          <w:w w:val="120"/>
        </w:rPr>
        <w:t> </w:t>
      </w:r>
      <w:r>
        <w:rPr>
          <w:w w:val="120"/>
        </w:rPr>
        <w:t>países</w:t>
      </w:r>
      <w:r>
        <w:rPr>
          <w:spacing w:val="-27"/>
          <w:w w:val="120"/>
        </w:rPr>
        <w:t> </w:t>
      </w:r>
      <w:r>
        <w:rPr>
          <w:w w:val="120"/>
        </w:rPr>
        <w:t>de</w:t>
      </w:r>
      <w:r>
        <w:rPr>
          <w:spacing w:val="-27"/>
          <w:w w:val="120"/>
        </w:rPr>
        <w:t> </w:t>
      </w:r>
      <w:r>
        <w:rPr>
          <w:w w:val="120"/>
        </w:rPr>
        <w:t>asia</w:t>
      </w:r>
      <w:r>
        <w:rPr>
          <w:spacing w:val="-27"/>
          <w:w w:val="120"/>
        </w:rPr>
        <w:t> </w:t>
      </w:r>
      <w:r>
        <w:rPr>
          <w:w w:val="120"/>
        </w:rPr>
        <w:t>Central</w:t>
      </w:r>
      <w:r>
        <w:rPr>
          <w:spacing w:val="-27"/>
          <w:w w:val="120"/>
        </w:rPr>
        <w:t> </w:t>
      </w:r>
      <w:r>
        <w:rPr>
          <w:w w:val="120"/>
        </w:rPr>
        <w:t>y occidente.</w:t>
      </w:r>
      <w:r>
        <w:rPr>
          <w:spacing w:val="-23"/>
          <w:w w:val="120"/>
        </w:rPr>
        <w:t> </w:t>
      </w:r>
      <w:r>
        <w:rPr>
          <w:w w:val="120"/>
        </w:rPr>
        <w:t>una</w:t>
      </w:r>
      <w:r>
        <w:rPr>
          <w:spacing w:val="-23"/>
          <w:w w:val="120"/>
        </w:rPr>
        <w:t> </w:t>
      </w:r>
      <w:r>
        <w:rPr>
          <w:w w:val="120"/>
        </w:rPr>
        <w:t>partía</w:t>
      </w:r>
      <w:r>
        <w:rPr>
          <w:spacing w:val="-23"/>
          <w:w w:val="120"/>
        </w:rPr>
        <w:t> </w:t>
      </w:r>
      <w:r>
        <w:rPr>
          <w:w w:val="120"/>
        </w:rPr>
        <w:t>de</w:t>
      </w:r>
      <w:r>
        <w:rPr>
          <w:spacing w:val="-23"/>
          <w:w w:val="120"/>
        </w:rPr>
        <w:t> </w:t>
      </w:r>
      <w:r>
        <w:rPr>
          <w:w w:val="120"/>
        </w:rPr>
        <w:t>la</w:t>
      </w:r>
      <w:r>
        <w:rPr>
          <w:spacing w:val="-23"/>
          <w:w w:val="120"/>
        </w:rPr>
        <w:t> </w:t>
      </w:r>
      <w:r>
        <w:rPr>
          <w:w w:val="120"/>
        </w:rPr>
        <w:t>provincia</w:t>
      </w:r>
      <w:r>
        <w:rPr>
          <w:spacing w:val="-23"/>
          <w:w w:val="120"/>
        </w:rPr>
        <w:t> </w:t>
      </w:r>
      <w:r>
        <w:rPr>
          <w:w w:val="120"/>
        </w:rPr>
        <w:t>de</w:t>
      </w:r>
      <w:r>
        <w:rPr>
          <w:spacing w:val="-23"/>
          <w:w w:val="120"/>
        </w:rPr>
        <w:t> </w:t>
      </w:r>
      <w:r>
        <w:rPr>
          <w:w w:val="120"/>
        </w:rPr>
        <w:t>sichuan,</w:t>
      </w:r>
      <w:r>
        <w:rPr>
          <w:spacing w:val="-23"/>
          <w:w w:val="120"/>
        </w:rPr>
        <w:t> </w:t>
      </w:r>
      <w:r>
        <w:rPr>
          <w:w w:val="120"/>
        </w:rPr>
        <w:t>salía</w:t>
      </w:r>
      <w:r>
        <w:rPr>
          <w:spacing w:val="-23"/>
          <w:w w:val="120"/>
        </w:rPr>
        <w:t> </w:t>
      </w:r>
      <w:r>
        <w:rPr>
          <w:w w:val="120"/>
        </w:rPr>
        <w:t>del</w:t>
      </w:r>
      <w:r>
        <w:rPr>
          <w:spacing w:val="-23"/>
          <w:w w:val="120"/>
        </w:rPr>
        <w:t> </w:t>
      </w:r>
      <w:r>
        <w:rPr>
          <w:w w:val="120"/>
        </w:rPr>
        <w:t>territorio chino</w:t>
      </w:r>
      <w:r>
        <w:rPr>
          <w:spacing w:val="-21"/>
          <w:w w:val="120"/>
        </w:rPr>
        <w:t> </w:t>
      </w:r>
      <w:r>
        <w:rPr>
          <w:w w:val="120"/>
        </w:rPr>
        <w:t>por</w:t>
      </w:r>
      <w:r>
        <w:rPr>
          <w:spacing w:val="-21"/>
          <w:w w:val="120"/>
        </w:rPr>
        <w:t> </w:t>
      </w:r>
      <w:r>
        <w:rPr>
          <w:w w:val="120"/>
        </w:rPr>
        <w:t>la</w:t>
      </w:r>
      <w:r>
        <w:rPr>
          <w:spacing w:val="-21"/>
          <w:w w:val="120"/>
        </w:rPr>
        <w:t> </w:t>
      </w:r>
      <w:r>
        <w:rPr>
          <w:w w:val="120"/>
        </w:rPr>
        <w:t>provincia</w:t>
      </w:r>
      <w:r>
        <w:rPr>
          <w:spacing w:val="-21"/>
          <w:w w:val="120"/>
        </w:rPr>
        <w:t> </w:t>
      </w:r>
      <w:r>
        <w:rPr>
          <w:w w:val="120"/>
        </w:rPr>
        <w:t>de</w:t>
      </w:r>
      <w:r>
        <w:rPr>
          <w:spacing w:val="-21"/>
          <w:w w:val="120"/>
        </w:rPr>
        <w:t> </w:t>
      </w:r>
      <w:r>
        <w:rPr>
          <w:spacing w:val="-3"/>
          <w:w w:val="120"/>
        </w:rPr>
        <w:t>Yunnan,</w:t>
      </w:r>
      <w:r>
        <w:rPr>
          <w:spacing w:val="-21"/>
          <w:w w:val="120"/>
        </w:rPr>
        <w:t> </w:t>
      </w:r>
      <w:r>
        <w:rPr>
          <w:w w:val="120"/>
        </w:rPr>
        <w:t>cruzaba</w:t>
      </w:r>
      <w:r>
        <w:rPr>
          <w:spacing w:val="-21"/>
          <w:w w:val="120"/>
        </w:rPr>
        <w:t> </w:t>
      </w:r>
      <w:r>
        <w:rPr>
          <w:w w:val="120"/>
        </w:rPr>
        <w:t>el</w:t>
      </w:r>
      <w:r>
        <w:rPr>
          <w:spacing w:val="-21"/>
          <w:w w:val="120"/>
        </w:rPr>
        <w:t> </w:t>
      </w:r>
      <w:r>
        <w:rPr>
          <w:w w:val="120"/>
        </w:rPr>
        <w:t>río</w:t>
      </w:r>
      <w:r>
        <w:rPr>
          <w:spacing w:val="-21"/>
          <w:w w:val="120"/>
        </w:rPr>
        <w:t> </w:t>
      </w:r>
      <w:r>
        <w:rPr>
          <w:spacing w:val="-3"/>
          <w:w w:val="120"/>
        </w:rPr>
        <w:t>irrawaddy,</w:t>
      </w:r>
      <w:r>
        <w:rPr>
          <w:spacing w:val="-21"/>
          <w:w w:val="120"/>
        </w:rPr>
        <w:t> </w:t>
      </w:r>
      <w:r>
        <w:rPr>
          <w:w w:val="120"/>
        </w:rPr>
        <w:t>llegaba </w:t>
      </w:r>
      <w:r>
        <w:rPr>
          <w:w w:val="115"/>
        </w:rPr>
        <w:t>a</w:t>
      </w:r>
      <w:r>
        <w:rPr>
          <w:spacing w:val="-14"/>
          <w:w w:val="115"/>
        </w:rPr>
        <w:t> </w:t>
      </w:r>
      <w:r>
        <w:rPr>
          <w:w w:val="115"/>
        </w:rPr>
        <w:t>Mogaung</w:t>
      </w:r>
      <w:r>
        <w:rPr>
          <w:spacing w:val="-14"/>
          <w:w w:val="115"/>
        </w:rPr>
        <w:t> </w:t>
      </w:r>
      <w:r>
        <w:rPr>
          <w:w w:val="115"/>
        </w:rPr>
        <w:t>–norte</w:t>
      </w:r>
      <w:r>
        <w:rPr>
          <w:spacing w:val="-14"/>
          <w:w w:val="115"/>
        </w:rPr>
        <w:t> </w:t>
      </w:r>
      <w:r>
        <w:rPr>
          <w:w w:val="115"/>
        </w:rPr>
        <w:t>de</w:t>
      </w:r>
      <w:r>
        <w:rPr>
          <w:spacing w:val="-14"/>
          <w:w w:val="115"/>
        </w:rPr>
        <w:t> </w:t>
      </w:r>
      <w:r>
        <w:rPr>
          <w:w w:val="115"/>
        </w:rPr>
        <w:t>Myanmar–;</w:t>
      </w:r>
      <w:r>
        <w:rPr>
          <w:spacing w:val="-14"/>
          <w:w w:val="115"/>
        </w:rPr>
        <w:t> </w:t>
      </w:r>
      <w:r>
        <w:rPr>
          <w:w w:val="115"/>
        </w:rPr>
        <w:t>luego,</w:t>
      </w:r>
      <w:r>
        <w:rPr>
          <w:spacing w:val="-14"/>
          <w:w w:val="115"/>
        </w:rPr>
        <w:t> </w:t>
      </w:r>
      <w:r>
        <w:rPr>
          <w:w w:val="115"/>
        </w:rPr>
        <w:t>atravesaba</w:t>
      </w:r>
      <w:r>
        <w:rPr>
          <w:spacing w:val="-14"/>
          <w:w w:val="115"/>
        </w:rPr>
        <w:t> </w:t>
      </w:r>
      <w:r>
        <w:rPr>
          <w:w w:val="115"/>
        </w:rPr>
        <w:t>el</w:t>
      </w:r>
      <w:r>
        <w:rPr>
          <w:spacing w:val="-14"/>
          <w:w w:val="115"/>
        </w:rPr>
        <w:t> </w:t>
      </w:r>
      <w:r>
        <w:rPr>
          <w:w w:val="115"/>
        </w:rPr>
        <w:t>río</w:t>
      </w:r>
      <w:r>
        <w:rPr>
          <w:spacing w:val="-14"/>
          <w:w w:val="115"/>
        </w:rPr>
        <w:t> </w:t>
      </w:r>
      <w:r>
        <w:rPr>
          <w:w w:val="115"/>
        </w:rPr>
        <w:t>Chindwin</w:t>
      </w:r>
      <w:r>
        <w:rPr>
          <w:spacing w:val="-14"/>
          <w:w w:val="115"/>
        </w:rPr>
        <w:t> </w:t>
      </w:r>
      <w:r>
        <w:rPr>
          <w:w w:val="115"/>
        </w:rPr>
        <w:t>y </w:t>
      </w:r>
      <w:r>
        <w:rPr>
          <w:w w:val="120"/>
        </w:rPr>
        <w:t>entraba</w:t>
      </w:r>
      <w:r>
        <w:rPr>
          <w:spacing w:val="-34"/>
          <w:w w:val="120"/>
        </w:rPr>
        <w:t> </w:t>
      </w:r>
      <w:r>
        <w:rPr>
          <w:w w:val="120"/>
        </w:rPr>
        <w:t>en</w:t>
      </w:r>
      <w:r>
        <w:rPr>
          <w:spacing w:val="-34"/>
          <w:w w:val="120"/>
        </w:rPr>
        <w:t> </w:t>
      </w:r>
      <w:r>
        <w:rPr>
          <w:w w:val="120"/>
        </w:rPr>
        <w:t>la</w:t>
      </w:r>
      <w:r>
        <w:rPr>
          <w:spacing w:val="-34"/>
          <w:w w:val="120"/>
        </w:rPr>
        <w:t> </w:t>
      </w:r>
      <w:r>
        <w:rPr>
          <w:w w:val="120"/>
        </w:rPr>
        <w:t>india;</w:t>
      </w:r>
      <w:r>
        <w:rPr>
          <w:spacing w:val="-34"/>
          <w:w w:val="120"/>
        </w:rPr>
        <w:t> </w:t>
      </w:r>
      <w:r>
        <w:rPr>
          <w:w w:val="120"/>
        </w:rPr>
        <w:t>de</w:t>
      </w:r>
      <w:r>
        <w:rPr>
          <w:spacing w:val="-34"/>
          <w:w w:val="120"/>
        </w:rPr>
        <w:t> </w:t>
      </w:r>
      <w:r>
        <w:rPr>
          <w:w w:val="120"/>
        </w:rPr>
        <w:t>allí</w:t>
      </w:r>
      <w:r>
        <w:rPr>
          <w:spacing w:val="-34"/>
          <w:w w:val="120"/>
        </w:rPr>
        <w:t> </w:t>
      </w:r>
      <w:r>
        <w:rPr>
          <w:w w:val="120"/>
        </w:rPr>
        <w:t>la</w:t>
      </w:r>
      <w:r>
        <w:rPr>
          <w:spacing w:val="-34"/>
          <w:w w:val="120"/>
        </w:rPr>
        <w:t> </w:t>
      </w:r>
      <w:r>
        <w:rPr>
          <w:w w:val="120"/>
        </w:rPr>
        <w:t>ruta</w:t>
      </w:r>
      <w:r>
        <w:rPr>
          <w:spacing w:val="-34"/>
          <w:w w:val="120"/>
        </w:rPr>
        <w:t> </w:t>
      </w:r>
      <w:r>
        <w:rPr>
          <w:w w:val="120"/>
        </w:rPr>
        <w:t>continuaba</w:t>
      </w:r>
      <w:r>
        <w:rPr>
          <w:spacing w:val="-34"/>
          <w:w w:val="120"/>
        </w:rPr>
        <w:t> </w:t>
      </w:r>
      <w:r>
        <w:rPr>
          <w:w w:val="120"/>
        </w:rPr>
        <w:t>a</w:t>
      </w:r>
      <w:r>
        <w:rPr>
          <w:spacing w:val="-34"/>
          <w:w w:val="120"/>
        </w:rPr>
        <w:t> </w:t>
      </w:r>
      <w:r>
        <w:rPr>
          <w:w w:val="120"/>
        </w:rPr>
        <w:t>lo</w:t>
      </w:r>
      <w:r>
        <w:rPr>
          <w:spacing w:val="-34"/>
          <w:w w:val="120"/>
        </w:rPr>
        <w:t> </w:t>
      </w:r>
      <w:r>
        <w:rPr>
          <w:w w:val="120"/>
        </w:rPr>
        <w:t>largo</w:t>
      </w:r>
      <w:r>
        <w:rPr>
          <w:spacing w:val="-34"/>
          <w:w w:val="120"/>
        </w:rPr>
        <w:t> </w:t>
      </w:r>
      <w:r>
        <w:rPr>
          <w:w w:val="120"/>
        </w:rPr>
        <w:t>del</w:t>
      </w:r>
      <w:r>
        <w:rPr>
          <w:spacing w:val="-34"/>
          <w:w w:val="120"/>
        </w:rPr>
        <w:t> </w:t>
      </w:r>
      <w:r>
        <w:rPr>
          <w:w w:val="120"/>
        </w:rPr>
        <w:t>río</w:t>
      </w:r>
      <w:r>
        <w:rPr>
          <w:spacing w:val="-34"/>
          <w:w w:val="120"/>
        </w:rPr>
        <w:t> </w:t>
      </w:r>
      <w:r>
        <w:rPr>
          <w:w w:val="120"/>
        </w:rPr>
        <w:t>Ganges hasta</w:t>
      </w:r>
      <w:r>
        <w:rPr>
          <w:spacing w:val="-24"/>
          <w:w w:val="120"/>
        </w:rPr>
        <w:t> </w:t>
      </w:r>
      <w:r>
        <w:rPr>
          <w:w w:val="120"/>
        </w:rPr>
        <w:t>irán</w:t>
      </w:r>
      <w:r>
        <w:rPr>
          <w:spacing w:val="-24"/>
          <w:w w:val="120"/>
        </w:rPr>
        <w:t> </w:t>
      </w:r>
      <w:r>
        <w:rPr>
          <w:w w:val="120"/>
        </w:rPr>
        <w:t>(Cri,</w:t>
      </w:r>
      <w:r>
        <w:rPr>
          <w:spacing w:val="-24"/>
          <w:w w:val="120"/>
        </w:rPr>
        <w:t> </w:t>
      </w:r>
      <w:r>
        <w:rPr>
          <w:w w:val="120"/>
        </w:rPr>
        <w:t>2014).</w:t>
      </w:r>
    </w:p>
    <w:p>
      <w:pPr>
        <w:pStyle w:val="BodyText"/>
        <w:spacing w:line="252" w:lineRule="auto"/>
        <w:ind w:left="330" w:right="117" w:firstLine="396"/>
        <w:jc w:val="both"/>
      </w:pPr>
      <w:r>
        <w:rPr>
          <w:w w:val="243"/>
        </w:rPr>
        <w:t>l</w:t>
      </w:r>
      <w:r>
        <w:rPr>
          <w:w w:val="112"/>
        </w:rPr>
        <w:t>a</w:t>
      </w:r>
      <w:r>
        <w:rPr/>
        <w:t> </w:t>
      </w:r>
      <w:r>
        <w:rPr>
          <w:spacing w:val="9"/>
        </w:rPr>
        <w:t> </w:t>
      </w:r>
      <w:r>
        <w:rPr>
          <w:w w:val="111"/>
        </w:rPr>
        <w:t>cuarta</w:t>
      </w:r>
      <w:r>
        <w:rPr/>
        <w:t> </w:t>
      </w:r>
      <w:r>
        <w:rPr>
          <w:spacing w:val="9"/>
        </w:rPr>
        <w:t> </w:t>
      </w:r>
      <w:r>
        <w:rPr>
          <w:w w:val="108"/>
        </w:rPr>
        <w:t>vía</w:t>
      </w:r>
      <w:r>
        <w:rPr/>
        <w:t> </w:t>
      </w:r>
      <w:r>
        <w:rPr>
          <w:spacing w:val="9"/>
        </w:rPr>
        <w:t> </w:t>
      </w:r>
      <w:r>
        <w:rPr>
          <w:w w:val="107"/>
        </w:rPr>
        <w:t>era</w:t>
      </w:r>
      <w:r>
        <w:rPr/>
        <w:t> </w:t>
      </w:r>
      <w:r>
        <w:rPr>
          <w:spacing w:val="9"/>
        </w:rPr>
        <w:t> </w:t>
      </w:r>
      <w:r>
        <w:rPr>
          <w:w w:val="111"/>
        </w:rPr>
        <w:t>la</w:t>
      </w:r>
      <w:r>
        <w:rPr/>
        <w:t> </w:t>
      </w:r>
      <w:r>
        <w:rPr>
          <w:spacing w:val="9"/>
        </w:rPr>
        <w:t> </w:t>
      </w:r>
      <w:r>
        <w:rPr>
          <w:w w:val="182"/>
        </w:rPr>
        <w:t>r</w:t>
      </w:r>
      <w:r>
        <w:rPr>
          <w:w w:val="111"/>
        </w:rPr>
        <w:t>uta</w:t>
      </w:r>
      <w:r>
        <w:rPr/>
        <w:t> </w:t>
      </w:r>
      <w:r>
        <w:rPr>
          <w:spacing w:val="9"/>
        </w:rPr>
        <w:t> </w:t>
      </w:r>
      <w:r>
        <w:rPr>
          <w:w w:val="107"/>
        </w:rPr>
        <w:t>de</w:t>
      </w:r>
      <w:r>
        <w:rPr/>
        <w:t> </w:t>
      </w:r>
      <w:r>
        <w:rPr>
          <w:spacing w:val="9"/>
        </w:rPr>
        <w:t> </w:t>
      </w:r>
      <w:r>
        <w:rPr>
          <w:w w:val="111"/>
        </w:rPr>
        <w:t>la</w:t>
      </w:r>
      <w:r>
        <w:rPr/>
        <w:t> </w:t>
      </w:r>
      <w:r>
        <w:rPr>
          <w:spacing w:val="9"/>
        </w:rPr>
        <w:t> </w:t>
      </w:r>
      <w:r>
        <w:rPr>
          <w:w w:val="149"/>
        </w:rPr>
        <w:t>s</w:t>
      </w:r>
      <w:r>
        <w:rPr>
          <w:w w:val="108"/>
        </w:rPr>
        <w:t>eda</w:t>
      </w:r>
      <w:r>
        <w:rPr/>
        <w:t> </w:t>
      </w:r>
      <w:r>
        <w:rPr>
          <w:spacing w:val="9"/>
        </w:rPr>
        <w:t> </w:t>
      </w:r>
      <w:r>
        <w:rPr>
          <w:w w:val="113"/>
        </w:rPr>
        <w:t>Marítima</w:t>
      </w:r>
      <w:r>
        <w:rPr/>
        <w:t> </w:t>
      </w:r>
      <w:r>
        <w:rPr>
          <w:spacing w:val="9"/>
        </w:rPr>
        <w:t> </w:t>
      </w:r>
      <w:r>
        <w:rPr>
          <w:w w:val="108"/>
        </w:rPr>
        <w:t>que</w:t>
      </w:r>
      <w:r>
        <w:rPr/>
        <w:t> </w:t>
      </w:r>
      <w:r>
        <w:rPr>
          <w:spacing w:val="9"/>
        </w:rPr>
        <w:t> </w:t>
      </w:r>
      <w:r>
        <w:rPr>
          <w:w w:val="112"/>
        </w:rPr>
        <w:t>iba</w:t>
      </w:r>
      <w:r>
        <w:rPr/>
        <w:t> </w:t>
      </w:r>
      <w:r>
        <w:rPr>
          <w:spacing w:val="9"/>
        </w:rPr>
        <w:t> </w:t>
      </w:r>
      <w:r>
        <w:rPr>
          <w:w w:val="106"/>
        </w:rPr>
        <w:t>desde </w:t>
      </w:r>
      <w:r>
        <w:rPr>
          <w:w w:val="115"/>
        </w:rPr>
        <w:t>Guangzhou,</w:t>
      </w:r>
      <w:r>
        <w:rPr>
          <w:spacing w:val="-10"/>
          <w:w w:val="115"/>
        </w:rPr>
        <w:t> </w:t>
      </w:r>
      <w:r>
        <w:rPr>
          <w:w w:val="115"/>
        </w:rPr>
        <w:t>ciudad</w:t>
      </w:r>
      <w:r>
        <w:rPr>
          <w:spacing w:val="-10"/>
          <w:w w:val="115"/>
        </w:rPr>
        <w:t> </w:t>
      </w:r>
      <w:r>
        <w:rPr>
          <w:w w:val="115"/>
        </w:rPr>
        <w:t>portuaria</w:t>
      </w:r>
      <w:r>
        <w:rPr>
          <w:spacing w:val="-10"/>
          <w:w w:val="115"/>
        </w:rPr>
        <w:t> </w:t>
      </w:r>
      <w:r>
        <w:rPr>
          <w:w w:val="115"/>
        </w:rPr>
        <w:t>del</w:t>
      </w:r>
      <w:r>
        <w:rPr>
          <w:spacing w:val="-10"/>
          <w:w w:val="115"/>
        </w:rPr>
        <w:t> </w:t>
      </w:r>
      <w:r>
        <w:rPr>
          <w:w w:val="115"/>
        </w:rPr>
        <w:t>sur</w:t>
      </w:r>
      <w:r>
        <w:rPr>
          <w:spacing w:val="-10"/>
          <w:w w:val="115"/>
        </w:rPr>
        <w:t> </w:t>
      </w:r>
      <w:r>
        <w:rPr>
          <w:w w:val="115"/>
        </w:rPr>
        <w:t>de</w:t>
      </w:r>
      <w:r>
        <w:rPr>
          <w:spacing w:val="-10"/>
          <w:w w:val="115"/>
        </w:rPr>
        <w:t> </w:t>
      </w:r>
      <w:r>
        <w:rPr>
          <w:w w:val="115"/>
        </w:rPr>
        <w:t>China,</w:t>
      </w:r>
      <w:r>
        <w:rPr>
          <w:spacing w:val="-10"/>
          <w:w w:val="115"/>
        </w:rPr>
        <w:t> </w:t>
      </w:r>
      <w:r>
        <w:rPr>
          <w:w w:val="115"/>
        </w:rPr>
        <w:t>atravesando</w:t>
      </w:r>
      <w:r>
        <w:rPr>
          <w:spacing w:val="-10"/>
          <w:w w:val="115"/>
        </w:rPr>
        <w:t> </w:t>
      </w:r>
      <w:r>
        <w:rPr>
          <w:w w:val="115"/>
        </w:rPr>
        <w:t>el</w:t>
      </w:r>
      <w:r>
        <w:rPr>
          <w:spacing w:val="-10"/>
          <w:w w:val="115"/>
        </w:rPr>
        <w:t> </w:t>
      </w:r>
      <w:r>
        <w:rPr>
          <w:w w:val="115"/>
        </w:rPr>
        <w:t>Estre- </w:t>
      </w:r>
      <w:r>
        <w:rPr>
          <w:w w:val="112"/>
        </w:rPr>
        <w:t>cho</w:t>
      </w:r>
      <w:r>
        <w:rPr/>
        <w:t> </w:t>
      </w:r>
      <w:r>
        <w:rPr>
          <w:spacing w:val="-16"/>
        </w:rPr>
        <w:t> </w:t>
      </w:r>
      <w:r>
        <w:rPr>
          <w:w w:val="107"/>
        </w:rPr>
        <w:t>de</w:t>
      </w:r>
      <w:r>
        <w:rPr/>
        <w:t> </w:t>
      </w:r>
      <w:r>
        <w:rPr>
          <w:spacing w:val="-17"/>
        </w:rPr>
        <w:t> </w:t>
      </w:r>
      <w:r>
        <w:rPr>
          <w:w w:val="116"/>
        </w:rPr>
        <w:t>Malaca,</w:t>
      </w:r>
      <w:r>
        <w:rPr/>
        <w:t> </w:t>
      </w:r>
      <w:r>
        <w:rPr>
          <w:spacing w:val="-16"/>
        </w:rPr>
        <w:t> </w:t>
      </w:r>
      <w:r>
        <w:rPr>
          <w:w w:val="149"/>
        </w:rPr>
        <w:t>s</w:t>
      </w:r>
      <w:r>
        <w:rPr>
          <w:w w:val="109"/>
        </w:rPr>
        <w:t>ri</w:t>
      </w:r>
      <w:r>
        <w:rPr/>
        <w:t> </w:t>
      </w:r>
      <w:r>
        <w:rPr>
          <w:spacing w:val="-16"/>
        </w:rPr>
        <w:t> </w:t>
      </w:r>
      <w:r>
        <w:rPr>
          <w:w w:val="243"/>
        </w:rPr>
        <w:t>l</w:t>
      </w:r>
      <w:r>
        <w:rPr>
          <w:w w:val="113"/>
        </w:rPr>
        <w:t>anka,</w:t>
      </w:r>
      <w:r>
        <w:rPr/>
        <w:t> </w:t>
      </w:r>
      <w:r>
        <w:rPr>
          <w:spacing w:val="-16"/>
        </w:rPr>
        <w:t> </w:t>
      </w:r>
      <w:r>
        <w:rPr>
          <w:w w:val="111"/>
        </w:rPr>
        <w:t>la</w:t>
      </w:r>
      <w:r>
        <w:rPr/>
        <w:t> </w:t>
      </w:r>
      <w:r>
        <w:rPr>
          <w:spacing w:val="-16"/>
        </w:rPr>
        <w:t> </w:t>
      </w:r>
      <w:r>
        <w:rPr>
          <w:w w:val="142"/>
        </w:rPr>
        <w:t>i</w:t>
      </w:r>
      <w:r>
        <w:rPr>
          <w:w w:val="114"/>
        </w:rPr>
        <w:t>ndia,</w:t>
      </w:r>
      <w:r>
        <w:rPr/>
        <w:t> </w:t>
      </w:r>
      <w:r>
        <w:rPr>
          <w:spacing w:val="-16"/>
        </w:rPr>
        <w:t> </w:t>
      </w:r>
      <w:r>
        <w:rPr>
          <w:w w:val="110"/>
        </w:rPr>
        <w:t>hasta</w:t>
      </w:r>
      <w:r>
        <w:rPr/>
        <w:t> </w:t>
      </w:r>
      <w:r>
        <w:rPr>
          <w:spacing w:val="-16"/>
        </w:rPr>
        <w:t> </w:t>
      </w:r>
      <w:r>
        <w:rPr>
          <w:w w:val="111"/>
        </w:rPr>
        <w:t>la</w:t>
      </w:r>
      <w:r>
        <w:rPr/>
        <w:t> </w:t>
      </w:r>
      <w:r>
        <w:rPr>
          <w:spacing w:val="-17"/>
        </w:rPr>
        <w:t> </w:t>
      </w:r>
      <w:r>
        <w:rPr>
          <w:w w:val="110"/>
        </w:rPr>
        <w:t>orilla</w:t>
      </w:r>
      <w:r>
        <w:rPr/>
        <w:t> </w:t>
      </w:r>
      <w:r>
        <w:rPr>
          <w:spacing w:val="-16"/>
        </w:rPr>
        <w:t> </w:t>
      </w:r>
      <w:r>
        <w:rPr>
          <w:w w:val="109"/>
        </w:rPr>
        <w:t>oriental</w:t>
      </w:r>
      <w:r>
        <w:rPr/>
        <w:t> </w:t>
      </w:r>
      <w:r>
        <w:rPr>
          <w:spacing w:val="-16"/>
        </w:rPr>
        <w:t> </w:t>
      </w:r>
      <w:r>
        <w:rPr>
          <w:w w:val="107"/>
        </w:rPr>
        <w:t>del</w:t>
      </w:r>
      <w:r>
        <w:rPr/>
        <w:t> </w:t>
      </w:r>
      <w:r>
        <w:rPr>
          <w:spacing w:val="-17"/>
        </w:rPr>
        <w:t> </w:t>
      </w:r>
      <w:r>
        <w:rPr>
          <w:w w:val="111"/>
        </w:rPr>
        <w:t>cont</w:t>
      </w:r>
      <w:r>
        <w:rPr>
          <w:spacing w:val="-1"/>
          <w:w w:val="111"/>
        </w:rPr>
        <w:t>i</w:t>
      </w:r>
      <w:r>
        <w:rPr>
          <w:w w:val="102"/>
        </w:rPr>
        <w:t>- </w:t>
      </w:r>
      <w:r>
        <w:rPr>
          <w:w w:val="108"/>
        </w:rPr>
        <w:t>nente</w:t>
      </w:r>
      <w:r>
        <w:rPr>
          <w:spacing w:val="18"/>
        </w:rPr>
        <w:t> </w:t>
      </w:r>
      <w:r>
        <w:rPr>
          <w:w w:val="113"/>
        </w:rPr>
        <w:t>africano.</w:t>
      </w:r>
      <w:r>
        <w:rPr>
          <w:spacing w:val="18"/>
        </w:rPr>
        <w:t> </w:t>
      </w:r>
      <w:r>
        <w:rPr>
          <w:w w:val="243"/>
        </w:rPr>
        <w:t>l</w:t>
      </w:r>
      <w:r>
        <w:rPr>
          <w:w w:val="108"/>
        </w:rPr>
        <w:t>os</w:t>
      </w:r>
      <w:r>
        <w:rPr>
          <w:spacing w:val="18"/>
        </w:rPr>
        <w:t> </w:t>
      </w:r>
      <w:r>
        <w:rPr>
          <w:w w:val="108"/>
        </w:rPr>
        <w:t>objetos</w:t>
      </w:r>
      <w:r>
        <w:rPr>
          <w:spacing w:val="18"/>
        </w:rPr>
        <w:t> </w:t>
      </w:r>
      <w:r>
        <w:rPr>
          <w:w w:val="110"/>
        </w:rPr>
        <w:t>antiguos</w:t>
      </w:r>
      <w:r>
        <w:rPr>
          <w:spacing w:val="18"/>
        </w:rPr>
        <w:t> </w:t>
      </w:r>
      <w:r>
        <w:rPr>
          <w:w w:val="108"/>
        </w:rPr>
        <w:t>descubiertos</w:t>
      </w:r>
      <w:r>
        <w:rPr>
          <w:spacing w:val="18"/>
        </w:rPr>
        <w:t> </w:t>
      </w:r>
      <w:r>
        <w:rPr>
          <w:w w:val="108"/>
        </w:rPr>
        <w:t>en</w:t>
      </w:r>
      <w:r>
        <w:rPr>
          <w:spacing w:val="18"/>
        </w:rPr>
        <w:t> </w:t>
      </w:r>
      <w:r>
        <w:rPr>
          <w:w w:val="149"/>
        </w:rPr>
        <w:t>s</w:t>
      </w:r>
      <w:r>
        <w:rPr>
          <w:w w:val="112"/>
        </w:rPr>
        <w:t>omalia</w:t>
      </w:r>
      <w:r>
        <w:rPr>
          <w:spacing w:val="18"/>
        </w:rPr>
        <w:t> </w:t>
      </w:r>
      <w:r>
        <w:rPr>
          <w:w w:val="105"/>
        </w:rPr>
        <w:t>y</w:t>
      </w:r>
      <w:r>
        <w:rPr>
          <w:spacing w:val="18"/>
        </w:rPr>
        <w:t> </w:t>
      </w:r>
      <w:r>
        <w:rPr>
          <w:w w:val="107"/>
        </w:rPr>
        <w:t>otros </w:t>
      </w:r>
      <w:r>
        <w:rPr>
          <w:w w:val="115"/>
        </w:rPr>
        <w:t>países</w:t>
      </w:r>
      <w:r>
        <w:rPr>
          <w:spacing w:val="-16"/>
          <w:w w:val="115"/>
        </w:rPr>
        <w:t> </w:t>
      </w:r>
      <w:r>
        <w:rPr>
          <w:w w:val="115"/>
        </w:rPr>
        <w:t>de</w:t>
      </w:r>
      <w:r>
        <w:rPr>
          <w:spacing w:val="-16"/>
          <w:w w:val="115"/>
        </w:rPr>
        <w:t> </w:t>
      </w:r>
      <w:r>
        <w:rPr>
          <w:w w:val="115"/>
        </w:rPr>
        <w:t>África</w:t>
      </w:r>
      <w:r>
        <w:rPr>
          <w:spacing w:val="-16"/>
          <w:w w:val="115"/>
        </w:rPr>
        <w:t> </w:t>
      </w:r>
      <w:r>
        <w:rPr>
          <w:w w:val="115"/>
        </w:rPr>
        <w:t>oriental</w:t>
      </w:r>
      <w:r>
        <w:rPr>
          <w:spacing w:val="-16"/>
          <w:w w:val="115"/>
        </w:rPr>
        <w:t> </w:t>
      </w:r>
      <w:r>
        <w:rPr>
          <w:w w:val="115"/>
        </w:rPr>
        <w:t>indican</w:t>
      </w:r>
      <w:r>
        <w:rPr>
          <w:spacing w:val="-16"/>
          <w:w w:val="115"/>
        </w:rPr>
        <w:t> </w:t>
      </w:r>
      <w:r>
        <w:rPr>
          <w:w w:val="115"/>
        </w:rPr>
        <w:t>que</w:t>
      </w:r>
      <w:r>
        <w:rPr>
          <w:spacing w:val="-16"/>
          <w:w w:val="115"/>
        </w:rPr>
        <w:t> </w:t>
      </w:r>
      <w:r>
        <w:rPr>
          <w:w w:val="115"/>
        </w:rPr>
        <w:t>esta</w:t>
      </w:r>
      <w:r>
        <w:rPr>
          <w:spacing w:val="-16"/>
          <w:w w:val="115"/>
        </w:rPr>
        <w:t> </w:t>
      </w:r>
      <w:r>
        <w:rPr>
          <w:w w:val="115"/>
        </w:rPr>
        <w:t>ruta</w:t>
      </w:r>
      <w:r>
        <w:rPr>
          <w:spacing w:val="-16"/>
          <w:w w:val="115"/>
        </w:rPr>
        <w:t> </w:t>
      </w:r>
      <w:r>
        <w:rPr>
          <w:w w:val="115"/>
        </w:rPr>
        <w:t>marítima</w:t>
      </w:r>
      <w:r>
        <w:rPr>
          <w:spacing w:val="-16"/>
          <w:w w:val="115"/>
        </w:rPr>
        <w:t> </w:t>
      </w:r>
      <w:r>
        <w:rPr>
          <w:w w:val="115"/>
        </w:rPr>
        <w:t>de</w:t>
      </w:r>
      <w:r>
        <w:rPr>
          <w:spacing w:val="-16"/>
          <w:w w:val="115"/>
        </w:rPr>
        <w:t> </w:t>
      </w:r>
      <w:r>
        <w:rPr>
          <w:w w:val="115"/>
        </w:rPr>
        <w:t>intercam- bios culturales y económicos se estableció alrededor de la dinastía song</w:t>
      </w:r>
      <w:r>
        <w:rPr>
          <w:spacing w:val="-8"/>
          <w:w w:val="115"/>
        </w:rPr>
        <w:t> </w:t>
      </w:r>
      <w:r>
        <w:rPr>
          <w:w w:val="115"/>
        </w:rPr>
        <w:t>(960-1279).</w:t>
      </w:r>
      <w:r>
        <w:rPr>
          <w:spacing w:val="-8"/>
          <w:w w:val="115"/>
        </w:rPr>
        <w:t> </w:t>
      </w:r>
      <w:r>
        <w:rPr>
          <w:w w:val="115"/>
        </w:rPr>
        <w:t>según</w:t>
      </w:r>
      <w:r>
        <w:rPr>
          <w:spacing w:val="-8"/>
          <w:w w:val="115"/>
        </w:rPr>
        <w:t> </w:t>
      </w:r>
      <w:r>
        <w:rPr>
          <w:w w:val="115"/>
        </w:rPr>
        <w:t>registros</w:t>
      </w:r>
      <w:r>
        <w:rPr>
          <w:spacing w:val="-8"/>
          <w:w w:val="115"/>
        </w:rPr>
        <w:t> </w:t>
      </w:r>
      <w:r>
        <w:rPr>
          <w:w w:val="115"/>
        </w:rPr>
        <w:t>históricos,</w:t>
      </w:r>
      <w:r>
        <w:rPr>
          <w:spacing w:val="-8"/>
          <w:w w:val="115"/>
        </w:rPr>
        <w:t> </w:t>
      </w:r>
      <w:r>
        <w:rPr>
          <w:w w:val="115"/>
        </w:rPr>
        <w:t>el</w:t>
      </w:r>
      <w:r>
        <w:rPr>
          <w:spacing w:val="-8"/>
          <w:w w:val="115"/>
        </w:rPr>
        <w:t> </w:t>
      </w:r>
      <w:r>
        <w:rPr>
          <w:w w:val="115"/>
        </w:rPr>
        <w:t>recorrido</w:t>
      </w:r>
      <w:r>
        <w:rPr>
          <w:spacing w:val="-8"/>
          <w:w w:val="115"/>
        </w:rPr>
        <w:t> </w:t>
      </w:r>
      <w:r>
        <w:rPr>
          <w:w w:val="115"/>
        </w:rPr>
        <w:t>del</w:t>
      </w:r>
      <w:r>
        <w:rPr>
          <w:spacing w:val="-8"/>
          <w:w w:val="115"/>
        </w:rPr>
        <w:t> </w:t>
      </w:r>
      <w:r>
        <w:rPr>
          <w:w w:val="115"/>
        </w:rPr>
        <w:t>viajero italiano Marco Polo a China coincidía en parte con esta ruta </w:t>
      </w:r>
      <w:r>
        <w:rPr>
          <w:w w:val="130"/>
        </w:rPr>
        <w:t>(Cri, </w:t>
      </w:r>
      <w:r>
        <w:rPr>
          <w:w w:val="115"/>
        </w:rPr>
        <w:t>2014).</w:t>
      </w:r>
    </w:p>
    <w:p>
      <w:pPr>
        <w:pStyle w:val="BodyText"/>
        <w:spacing w:line="252" w:lineRule="auto"/>
        <w:ind w:left="330" w:right="117" w:firstLine="396"/>
        <w:jc w:val="right"/>
      </w:pPr>
      <w:r>
        <w:rPr>
          <w:w w:val="115"/>
        </w:rPr>
        <w:t>En</w:t>
      </w:r>
      <w:r>
        <w:rPr>
          <w:spacing w:val="-7"/>
          <w:w w:val="115"/>
        </w:rPr>
        <w:t> </w:t>
      </w:r>
      <w:r>
        <w:rPr>
          <w:w w:val="115"/>
        </w:rPr>
        <w:t>1877,</w:t>
      </w:r>
      <w:r>
        <w:rPr>
          <w:spacing w:val="-7"/>
          <w:w w:val="115"/>
        </w:rPr>
        <w:t> </w:t>
      </w:r>
      <w:r>
        <w:rPr>
          <w:w w:val="115"/>
        </w:rPr>
        <w:t>el</w:t>
      </w:r>
      <w:r>
        <w:rPr>
          <w:spacing w:val="-7"/>
          <w:w w:val="115"/>
        </w:rPr>
        <w:t> </w:t>
      </w:r>
      <w:r>
        <w:rPr>
          <w:w w:val="115"/>
        </w:rPr>
        <w:t>geógrafo</w:t>
      </w:r>
      <w:r>
        <w:rPr>
          <w:spacing w:val="-7"/>
          <w:w w:val="115"/>
        </w:rPr>
        <w:t> </w:t>
      </w:r>
      <w:r>
        <w:rPr>
          <w:w w:val="115"/>
        </w:rPr>
        <w:t>Ferdinand</w:t>
      </w:r>
      <w:r>
        <w:rPr>
          <w:spacing w:val="-7"/>
          <w:w w:val="115"/>
        </w:rPr>
        <w:t> </w:t>
      </w:r>
      <w:r>
        <w:rPr>
          <w:w w:val="115"/>
        </w:rPr>
        <w:t>von</w:t>
      </w:r>
      <w:r>
        <w:rPr>
          <w:spacing w:val="-7"/>
          <w:w w:val="115"/>
        </w:rPr>
        <w:t> </w:t>
      </w:r>
      <w:r>
        <w:rPr>
          <w:w w:val="115"/>
        </w:rPr>
        <w:t>richthofen</w:t>
      </w:r>
      <w:r>
        <w:rPr>
          <w:spacing w:val="-7"/>
          <w:w w:val="115"/>
        </w:rPr>
        <w:t> </w:t>
      </w:r>
      <w:r>
        <w:rPr>
          <w:w w:val="115"/>
        </w:rPr>
        <w:t>también</w:t>
      </w:r>
      <w:r>
        <w:rPr>
          <w:spacing w:val="-7"/>
          <w:w w:val="115"/>
        </w:rPr>
        <w:t> </w:t>
      </w:r>
      <w:r>
        <w:rPr>
          <w:w w:val="115"/>
        </w:rPr>
        <w:t>se</w:t>
      </w:r>
      <w:r>
        <w:rPr>
          <w:spacing w:val="-7"/>
          <w:w w:val="115"/>
        </w:rPr>
        <w:t> </w:t>
      </w:r>
      <w:r>
        <w:rPr>
          <w:w w:val="115"/>
        </w:rPr>
        <w:t>refe-</w:t>
      </w:r>
      <w:r>
        <w:rPr>
          <w:w w:val="102"/>
        </w:rPr>
        <w:t> </w:t>
      </w:r>
      <w:r>
        <w:rPr>
          <w:w w:val="115"/>
        </w:rPr>
        <w:t>ría a la ruta de la seda para describir la gran vía caravanera</w:t>
      </w:r>
      <w:r>
        <w:rPr>
          <w:spacing w:val="35"/>
          <w:w w:val="115"/>
        </w:rPr>
        <w:t> </w:t>
      </w:r>
      <w:r>
        <w:rPr>
          <w:w w:val="115"/>
        </w:rPr>
        <w:t>que</w:t>
      </w:r>
      <w:r>
        <w:rPr>
          <w:spacing w:val="6"/>
          <w:w w:val="115"/>
        </w:rPr>
        <w:t> </w:t>
      </w:r>
      <w:r>
        <w:rPr>
          <w:w w:val="115"/>
        </w:rPr>
        <w:t>se</w:t>
      </w:r>
      <w:r>
        <w:rPr>
          <w:w w:val="105"/>
        </w:rPr>
        <w:t> </w:t>
      </w:r>
      <w:r>
        <w:rPr>
          <w:w w:val="115"/>
        </w:rPr>
        <w:t>originaba en xian y llegaba a Constantinopla uniendo China</w:t>
      </w:r>
      <w:r>
        <w:rPr>
          <w:spacing w:val="-3"/>
          <w:w w:val="115"/>
        </w:rPr>
        <w:t> </w:t>
      </w:r>
      <w:r>
        <w:rPr>
          <w:w w:val="115"/>
        </w:rPr>
        <w:t>y</w:t>
      </w:r>
      <w:r>
        <w:rPr>
          <w:spacing w:val="-1"/>
          <w:w w:val="115"/>
        </w:rPr>
        <w:t> </w:t>
      </w:r>
      <w:r>
        <w:rPr>
          <w:w w:val="115"/>
        </w:rPr>
        <w:t>Euro-</w:t>
      </w:r>
      <w:r>
        <w:rPr>
          <w:w w:val="102"/>
        </w:rPr>
        <w:t> </w:t>
      </w:r>
      <w:r>
        <w:rPr>
          <w:w w:val="115"/>
        </w:rPr>
        <w:t>pa. Es cierto que aquella ruta nació a iniciativas del oriente </w:t>
      </w:r>
      <w:r>
        <w:rPr>
          <w:spacing w:val="-11"/>
          <w:w w:val="115"/>
        </w:rPr>
        <w:t>y,</w:t>
      </w:r>
      <w:r>
        <w:rPr>
          <w:spacing w:val="13"/>
          <w:w w:val="115"/>
        </w:rPr>
        <w:t> </w:t>
      </w:r>
      <w:r>
        <w:rPr>
          <w:w w:val="115"/>
        </w:rPr>
        <w:t>más</w:t>
      </w:r>
      <w:r>
        <w:rPr>
          <w:w w:val="111"/>
        </w:rPr>
        <w:t> </w:t>
      </w:r>
      <w:r>
        <w:rPr>
          <w:w w:val="115"/>
        </w:rPr>
        <w:t>de</w:t>
      </w:r>
      <w:r>
        <w:rPr>
          <w:spacing w:val="-18"/>
          <w:w w:val="115"/>
        </w:rPr>
        <w:t> </w:t>
      </w:r>
      <w:r>
        <w:rPr>
          <w:w w:val="115"/>
        </w:rPr>
        <w:t>dos</w:t>
      </w:r>
      <w:r>
        <w:rPr>
          <w:spacing w:val="-18"/>
          <w:w w:val="115"/>
        </w:rPr>
        <w:t> </w:t>
      </w:r>
      <w:r>
        <w:rPr>
          <w:w w:val="115"/>
        </w:rPr>
        <w:t>milenios</w:t>
      </w:r>
      <w:r>
        <w:rPr>
          <w:spacing w:val="-18"/>
          <w:w w:val="115"/>
        </w:rPr>
        <w:t> </w:t>
      </w:r>
      <w:r>
        <w:rPr>
          <w:w w:val="115"/>
        </w:rPr>
        <w:t>después,</w:t>
      </w:r>
      <w:r>
        <w:rPr>
          <w:spacing w:val="-18"/>
          <w:w w:val="115"/>
        </w:rPr>
        <w:t> </w:t>
      </w:r>
      <w:r>
        <w:rPr>
          <w:w w:val="115"/>
        </w:rPr>
        <w:t>otra</w:t>
      </w:r>
      <w:r>
        <w:rPr>
          <w:spacing w:val="-18"/>
          <w:w w:val="115"/>
        </w:rPr>
        <w:t> </w:t>
      </w:r>
      <w:r>
        <w:rPr>
          <w:w w:val="115"/>
        </w:rPr>
        <w:t>vez</w:t>
      </w:r>
      <w:r>
        <w:rPr>
          <w:spacing w:val="-18"/>
          <w:w w:val="115"/>
        </w:rPr>
        <w:t> </w:t>
      </w:r>
      <w:r>
        <w:rPr>
          <w:w w:val="115"/>
        </w:rPr>
        <w:t>el</w:t>
      </w:r>
      <w:r>
        <w:rPr>
          <w:spacing w:val="-18"/>
          <w:w w:val="115"/>
        </w:rPr>
        <w:t> </w:t>
      </w:r>
      <w:r>
        <w:rPr>
          <w:w w:val="115"/>
        </w:rPr>
        <w:t>oriente</w:t>
      </w:r>
      <w:r>
        <w:rPr>
          <w:spacing w:val="-18"/>
          <w:w w:val="115"/>
        </w:rPr>
        <w:t> </w:t>
      </w:r>
      <w:r>
        <w:rPr>
          <w:w w:val="115"/>
        </w:rPr>
        <w:t>propone</w:t>
      </w:r>
      <w:r>
        <w:rPr>
          <w:spacing w:val="-18"/>
          <w:w w:val="115"/>
        </w:rPr>
        <w:t> </w:t>
      </w:r>
      <w:r>
        <w:rPr>
          <w:w w:val="115"/>
        </w:rPr>
        <w:t>una</w:t>
      </w:r>
      <w:r>
        <w:rPr>
          <w:spacing w:val="-18"/>
          <w:w w:val="115"/>
        </w:rPr>
        <w:t> </w:t>
      </w:r>
      <w:r>
        <w:rPr>
          <w:w w:val="115"/>
        </w:rPr>
        <w:t>nueva</w:t>
      </w:r>
      <w:r>
        <w:rPr>
          <w:spacing w:val="-18"/>
          <w:w w:val="115"/>
        </w:rPr>
        <w:t> </w:t>
      </w:r>
      <w:r>
        <w:rPr>
          <w:w w:val="115"/>
        </w:rPr>
        <w:t>ruta.</w:t>
      </w:r>
      <w:r>
        <w:rPr>
          <w:w w:val="112"/>
        </w:rPr>
        <w:t> </w:t>
      </w:r>
      <w:r>
        <w:rPr>
          <w:w w:val="115"/>
        </w:rPr>
        <w:t>En</w:t>
      </w:r>
      <w:r>
        <w:rPr>
          <w:spacing w:val="-11"/>
          <w:w w:val="115"/>
        </w:rPr>
        <w:t> </w:t>
      </w:r>
      <w:r>
        <w:rPr>
          <w:w w:val="115"/>
        </w:rPr>
        <w:t>septiembre</w:t>
      </w:r>
      <w:r>
        <w:rPr>
          <w:spacing w:val="-11"/>
          <w:w w:val="115"/>
        </w:rPr>
        <w:t> </w:t>
      </w:r>
      <w:r>
        <w:rPr>
          <w:w w:val="115"/>
        </w:rPr>
        <w:t>de</w:t>
      </w:r>
      <w:r>
        <w:rPr>
          <w:spacing w:val="-11"/>
          <w:w w:val="115"/>
        </w:rPr>
        <w:t> </w:t>
      </w:r>
      <w:r>
        <w:rPr>
          <w:w w:val="115"/>
        </w:rPr>
        <w:t>2013,</w:t>
      </w:r>
      <w:r>
        <w:rPr>
          <w:spacing w:val="-11"/>
          <w:w w:val="115"/>
        </w:rPr>
        <w:t> </w:t>
      </w:r>
      <w:r>
        <w:rPr>
          <w:w w:val="115"/>
        </w:rPr>
        <w:t>en</w:t>
      </w:r>
      <w:r>
        <w:rPr>
          <w:spacing w:val="-11"/>
          <w:w w:val="115"/>
        </w:rPr>
        <w:t> </w:t>
      </w:r>
      <w:r>
        <w:rPr>
          <w:w w:val="115"/>
        </w:rPr>
        <w:t>un</w:t>
      </w:r>
      <w:r>
        <w:rPr>
          <w:spacing w:val="-11"/>
          <w:w w:val="115"/>
        </w:rPr>
        <w:t> </w:t>
      </w:r>
      <w:r>
        <w:rPr>
          <w:w w:val="115"/>
        </w:rPr>
        <w:t>discurso</w:t>
      </w:r>
      <w:r>
        <w:rPr>
          <w:spacing w:val="-11"/>
          <w:w w:val="115"/>
        </w:rPr>
        <w:t> </w:t>
      </w:r>
      <w:r>
        <w:rPr>
          <w:w w:val="115"/>
        </w:rPr>
        <w:t>que</w:t>
      </w:r>
      <w:r>
        <w:rPr>
          <w:spacing w:val="-11"/>
          <w:w w:val="115"/>
        </w:rPr>
        <w:t> </w:t>
      </w:r>
      <w:r>
        <w:rPr>
          <w:w w:val="115"/>
        </w:rPr>
        <w:t>pronunció</w:t>
      </w:r>
      <w:r>
        <w:rPr>
          <w:spacing w:val="-11"/>
          <w:w w:val="115"/>
        </w:rPr>
        <w:t> </w:t>
      </w:r>
      <w:r>
        <w:rPr>
          <w:w w:val="115"/>
        </w:rPr>
        <w:t>en</w:t>
      </w:r>
      <w:r>
        <w:rPr>
          <w:spacing w:val="-11"/>
          <w:w w:val="115"/>
        </w:rPr>
        <w:t> </w:t>
      </w:r>
      <w:r>
        <w:rPr>
          <w:w w:val="115"/>
        </w:rPr>
        <w:t>la</w:t>
      </w:r>
      <w:r>
        <w:rPr>
          <w:spacing w:val="-11"/>
          <w:w w:val="115"/>
        </w:rPr>
        <w:t> </w:t>
      </w:r>
      <w:r>
        <w:rPr>
          <w:w w:val="115"/>
        </w:rPr>
        <w:t>uni-</w:t>
      </w:r>
      <w:r>
        <w:rPr>
          <w:w w:val="102"/>
        </w:rPr>
        <w:t> </w:t>
      </w:r>
      <w:r>
        <w:rPr>
          <w:w w:val="115"/>
        </w:rPr>
        <w:t>versidad</w:t>
      </w:r>
      <w:r>
        <w:rPr>
          <w:spacing w:val="-7"/>
          <w:w w:val="115"/>
        </w:rPr>
        <w:t> </w:t>
      </w:r>
      <w:r>
        <w:rPr>
          <w:w w:val="115"/>
        </w:rPr>
        <w:t>Nazarbayev</w:t>
      </w:r>
      <w:r>
        <w:rPr>
          <w:spacing w:val="-7"/>
          <w:w w:val="115"/>
        </w:rPr>
        <w:t> </w:t>
      </w:r>
      <w:r>
        <w:rPr>
          <w:w w:val="115"/>
        </w:rPr>
        <w:t>de</w:t>
      </w:r>
      <w:r>
        <w:rPr>
          <w:spacing w:val="-7"/>
          <w:w w:val="115"/>
        </w:rPr>
        <w:t> </w:t>
      </w:r>
      <w:r>
        <w:rPr>
          <w:w w:val="115"/>
        </w:rPr>
        <w:t>Kazajistán,</w:t>
      </w:r>
      <w:r>
        <w:rPr>
          <w:spacing w:val="-7"/>
          <w:w w:val="115"/>
        </w:rPr>
        <w:t> </w:t>
      </w:r>
      <w:r>
        <w:rPr>
          <w:w w:val="115"/>
        </w:rPr>
        <w:t>el</w:t>
      </w:r>
      <w:r>
        <w:rPr>
          <w:spacing w:val="-7"/>
          <w:w w:val="115"/>
        </w:rPr>
        <w:t> </w:t>
      </w:r>
      <w:r>
        <w:rPr>
          <w:w w:val="115"/>
        </w:rPr>
        <w:t>presidente</w:t>
      </w:r>
      <w:r>
        <w:rPr>
          <w:spacing w:val="-7"/>
          <w:w w:val="115"/>
        </w:rPr>
        <w:t> </w:t>
      </w:r>
      <w:r>
        <w:rPr>
          <w:w w:val="115"/>
        </w:rPr>
        <w:t>xi</w:t>
      </w:r>
      <w:r>
        <w:rPr>
          <w:spacing w:val="-7"/>
          <w:w w:val="115"/>
        </w:rPr>
        <w:t> </w:t>
      </w:r>
      <w:r>
        <w:rPr>
          <w:w w:val="115"/>
        </w:rPr>
        <w:t>Jinping</w:t>
      </w:r>
      <w:r>
        <w:rPr>
          <w:spacing w:val="-7"/>
          <w:w w:val="115"/>
        </w:rPr>
        <w:t> </w:t>
      </w:r>
      <w:r>
        <w:rPr>
          <w:w w:val="115"/>
        </w:rPr>
        <w:t>anunció</w:t>
      </w:r>
      <w:r>
        <w:rPr>
          <w:w w:val="112"/>
        </w:rPr>
        <w:t> </w:t>
      </w:r>
      <w:r>
        <w:rPr>
          <w:w w:val="115"/>
        </w:rPr>
        <w:t>el plan “Cinturón Económico de la ruta de la seda”, como</w:t>
      </w:r>
      <w:r>
        <w:rPr>
          <w:spacing w:val="-25"/>
          <w:w w:val="115"/>
        </w:rPr>
        <w:t> </w:t>
      </w:r>
      <w:r>
        <w:rPr>
          <w:w w:val="115"/>
        </w:rPr>
        <w:t>una</w:t>
      </w:r>
      <w:r>
        <w:rPr>
          <w:spacing w:val="-3"/>
          <w:w w:val="115"/>
        </w:rPr>
        <w:t> </w:t>
      </w:r>
      <w:r>
        <w:rPr>
          <w:w w:val="115"/>
        </w:rPr>
        <w:t>nueva</w:t>
      </w:r>
      <w:r>
        <w:rPr>
          <w:w w:val="108"/>
        </w:rPr>
        <w:t> </w:t>
      </w:r>
      <w:r>
        <w:rPr>
          <w:w w:val="115"/>
        </w:rPr>
        <w:t>iniciativa</w:t>
      </w:r>
      <w:r>
        <w:rPr>
          <w:spacing w:val="-18"/>
          <w:w w:val="115"/>
        </w:rPr>
        <w:t> </w:t>
      </w:r>
      <w:r>
        <w:rPr>
          <w:w w:val="115"/>
        </w:rPr>
        <w:t>de</w:t>
      </w:r>
      <w:r>
        <w:rPr>
          <w:spacing w:val="-18"/>
          <w:w w:val="115"/>
        </w:rPr>
        <w:t> </w:t>
      </w:r>
      <w:r>
        <w:rPr>
          <w:w w:val="115"/>
        </w:rPr>
        <w:t>política</w:t>
      </w:r>
      <w:r>
        <w:rPr>
          <w:spacing w:val="-18"/>
          <w:w w:val="115"/>
        </w:rPr>
        <w:t> </w:t>
      </w:r>
      <w:r>
        <w:rPr>
          <w:w w:val="115"/>
        </w:rPr>
        <w:t>exterior</w:t>
      </w:r>
      <w:r>
        <w:rPr>
          <w:spacing w:val="-18"/>
          <w:w w:val="115"/>
        </w:rPr>
        <w:t> </w:t>
      </w:r>
      <w:r>
        <w:rPr>
          <w:w w:val="115"/>
        </w:rPr>
        <w:t>destinada</w:t>
      </w:r>
      <w:r>
        <w:rPr>
          <w:spacing w:val="-18"/>
          <w:w w:val="115"/>
        </w:rPr>
        <w:t> </w:t>
      </w:r>
      <w:r>
        <w:rPr>
          <w:w w:val="115"/>
        </w:rPr>
        <w:t>a</w:t>
      </w:r>
      <w:r>
        <w:rPr>
          <w:spacing w:val="-18"/>
          <w:w w:val="115"/>
        </w:rPr>
        <w:t> </w:t>
      </w:r>
      <w:r>
        <w:rPr>
          <w:w w:val="115"/>
        </w:rPr>
        <w:t>impulsar</w:t>
      </w:r>
      <w:r>
        <w:rPr>
          <w:spacing w:val="-18"/>
          <w:w w:val="115"/>
        </w:rPr>
        <w:t> </w:t>
      </w:r>
      <w:r>
        <w:rPr>
          <w:w w:val="115"/>
        </w:rPr>
        <w:t>la</w:t>
      </w:r>
      <w:r>
        <w:rPr>
          <w:spacing w:val="-18"/>
          <w:w w:val="115"/>
        </w:rPr>
        <w:t> </w:t>
      </w:r>
      <w:r>
        <w:rPr>
          <w:w w:val="115"/>
        </w:rPr>
        <w:t>cooperación</w:t>
      </w:r>
      <w:r>
        <w:rPr>
          <w:spacing w:val="-18"/>
          <w:w w:val="115"/>
        </w:rPr>
        <w:t> </w:t>
      </w:r>
      <w:r>
        <w:rPr>
          <w:w w:val="115"/>
        </w:rPr>
        <w:t>in-</w:t>
      </w:r>
      <w:r>
        <w:rPr>
          <w:w w:val="102"/>
        </w:rPr>
        <w:t> </w:t>
      </w:r>
      <w:r>
        <w:rPr>
          <w:w w:val="115"/>
        </w:rPr>
        <w:t>ternacional</w:t>
      </w:r>
      <w:r>
        <w:rPr>
          <w:spacing w:val="-20"/>
          <w:w w:val="115"/>
        </w:rPr>
        <w:t> </w:t>
      </w:r>
      <w:r>
        <w:rPr>
          <w:w w:val="115"/>
        </w:rPr>
        <w:t>y</w:t>
      </w:r>
      <w:r>
        <w:rPr>
          <w:spacing w:val="-20"/>
          <w:w w:val="115"/>
        </w:rPr>
        <w:t> </w:t>
      </w:r>
      <w:r>
        <w:rPr>
          <w:w w:val="115"/>
        </w:rPr>
        <w:t>el</w:t>
      </w:r>
      <w:r>
        <w:rPr>
          <w:spacing w:val="-20"/>
          <w:w w:val="115"/>
        </w:rPr>
        <w:t> </w:t>
      </w:r>
      <w:r>
        <w:rPr>
          <w:w w:val="115"/>
        </w:rPr>
        <w:t>desarrollo</w:t>
      </w:r>
      <w:r>
        <w:rPr>
          <w:spacing w:val="-20"/>
          <w:w w:val="115"/>
        </w:rPr>
        <w:t> </w:t>
      </w:r>
      <w:r>
        <w:rPr>
          <w:w w:val="115"/>
        </w:rPr>
        <w:t>conjunto</w:t>
      </w:r>
      <w:r>
        <w:rPr>
          <w:spacing w:val="-20"/>
          <w:w w:val="115"/>
        </w:rPr>
        <w:t> </w:t>
      </w:r>
      <w:r>
        <w:rPr>
          <w:w w:val="115"/>
        </w:rPr>
        <w:t>en</w:t>
      </w:r>
      <w:r>
        <w:rPr>
          <w:spacing w:val="-20"/>
          <w:w w:val="115"/>
        </w:rPr>
        <w:t> </w:t>
      </w:r>
      <w:r>
        <w:rPr>
          <w:w w:val="115"/>
        </w:rPr>
        <w:t>Eurasia.</w:t>
      </w:r>
      <w:r>
        <w:rPr>
          <w:spacing w:val="-20"/>
          <w:w w:val="115"/>
        </w:rPr>
        <w:t> </w:t>
      </w:r>
      <w:r>
        <w:rPr>
          <w:w w:val="115"/>
        </w:rPr>
        <w:t>xi</w:t>
      </w:r>
      <w:r>
        <w:rPr>
          <w:spacing w:val="-20"/>
          <w:w w:val="115"/>
        </w:rPr>
        <w:t> </w:t>
      </w:r>
      <w:r>
        <w:rPr>
          <w:w w:val="115"/>
        </w:rPr>
        <w:t>identificó</w:t>
      </w:r>
      <w:r>
        <w:rPr>
          <w:spacing w:val="-20"/>
          <w:w w:val="115"/>
        </w:rPr>
        <w:t> </w:t>
      </w:r>
      <w:r>
        <w:rPr>
          <w:w w:val="115"/>
        </w:rPr>
        <w:t>cinco</w:t>
      </w:r>
      <w:r>
        <w:rPr>
          <w:spacing w:val="-20"/>
          <w:w w:val="115"/>
        </w:rPr>
        <w:t> </w:t>
      </w:r>
      <w:r>
        <w:rPr>
          <w:w w:val="115"/>
        </w:rPr>
        <w:t>ob-</w:t>
      </w:r>
      <w:r>
        <w:rPr>
          <w:w w:val="102"/>
        </w:rPr>
        <w:t> </w:t>
      </w:r>
      <w:r>
        <w:rPr>
          <w:w w:val="110"/>
        </w:rPr>
        <w:t>jetivos específicos para guiar estas acciones: fortalecer</w:t>
      </w:r>
      <w:r>
        <w:rPr>
          <w:spacing w:val="-27"/>
          <w:w w:val="110"/>
        </w:rPr>
        <w:t> </w:t>
      </w:r>
      <w:r>
        <w:rPr>
          <w:w w:val="110"/>
        </w:rPr>
        <w:t>la</w:t>
      </w:r>
      <w:r>
        <w:rPr>
          <w:spacing w:val="-4"/>
          <w:w w:val="110"/>
        </w:rPr>
        <w:t> </w:t>
      </w:r>
      <w:r>
        <w:rPr>
          <w:w w:val="110"/>
        </w:rPr>
        <w:t>colaboración</w:t>
      </w:r>
      <w:r>
        <w:rPr>
          <w:w w:val="111"/>
        </w:rPr>
        <w:t> </w:t>
      </w:r>
      <w:r>
        <w:rPr>
          <w:w w:val="115"/>
        </w:rPr>
        <w:t>económica,</w:t>
      </w:r>
      <w:r>
        <w:rPr>
          <w:spacing w:val="-12"/>
          <w:w w:val="115"/>
        </w:rPr>
        <w:t> </w:t>
      </w:r>
      <w:r>
        <w:rPr>
          <w:w w:val="115"/>
        </w:rPr>
        <w:t>mejorar</w:t>
      </w:r>
      <w:r>
        <w:rPr>
          <w:spacing w:val="-12"/>
          <w:w w:val="115"/>
        </w:rPr>
        <w:t> </w:t>
      </w:r>
      <w:r>
        <w:rPr>
          <w:w w:val="115"/>
        </w:rPr>
        <w:t>las</w:t>
      </w:r>
      <w:r>
        <w:rPr>
          <w:spacing w:val="-12"/>
          <w:w w:val="115"/>
        </w:rPr>
        <w:t> </w:t>
      </w:r>
      <w:r>
        <w:rPr>
          <w:w w:val="115"/>
        </w:rPr>
        <w:t>redes</w:t>
      </w:r>
      <w:r>
        <w:rPr>
          <w:spacing w:val="-12"/>
          <w:w w:val="115"/>
        </w:rPr>
        <w:t> </w:t>
      </w:r>
      <w:r>
        <w:rPr>
          <w:w w:val="115"/>
        </w:rPr>
        <w:t>de</w:t>
      </w:r>
      <w:r>
        <w:rPr>
          <w:spacing w:val="-12"/>
          <w:w w:val="115"/>
        </w:rPr>
        <w:t> </w:t>
      </w:r>
      <w:r>
        <w:rPr>
          <w:w w:val="115"/>
        </w:rPr>
        <w:t>caminos,</w:t>
      </w:r>
      <w:r>
        <w:rPr>
          <w:spacing w:val="-12"/>
          <w:w w:val="115"/>
        </w:rPr>
        <w:t> </w:t>
      </w:r>
      <w:r>
        <w:rPr>
          <w:w w:val="115"/>
        </w:rPr>
        <w:t>promover</w:t>
      </w:r>
      <w:r>
        <w:rPr>
          <w:spacing w:val="-12"/>
          <w:w w:val="115"/>
        </w:rPr>
        <w:t> </w:t>
      </w:r>
      <w:r>
        <w:rPr>
          <w:w w:val="115"/>
        </w:rPr>
        <w:t>el</w:t>
      </w:r>
      <w:r>
        <w:rPr>
          <w:spacing w:val="-12"/>
          <w:w w:val="115"/>
        </w:rPr>
        <w:t> </w:t>
      </w:r>
      <w:r>
        <w:rPr>
          <w:w w:val="115"/>
        </w:rPr>
        <w:t>comercio</w:t>
      </w:r>
      <w:r>
        <w:rPr>
          <w:spacing w:val="-12"/>
          <w:w w:val="115"/>
        </w:rPr>
        <w:t> </w:t>
      </w:r>
      <w:r>
        <w:rPr>
          <w:w w:val="115"/>
        </w:rPr>
        <w:t>y</w:t>
      </w:r>
      <w:r>
        <w:rPr>
          <w:spacing w:val="-12"/>
          <w:w w:val="115"/>
        </w:rPr>
        <w:t> </w:t>
      </w:r>
      <w:r>
        <w:rPr>
          <w:w w:val="115"/>
        </w:rPr>
        <w:t>la</w:t>
      </w:r>
      <w:r>
        <w:rPr>
          <w:w w:val="111"/>
        </w:rPr>
        <w:t> </w:t>
      </w:r>
      <w:r>
        <w:rPr>
          <w:w w:val="115"/>
        </w:rPr>
        <w:t>inversión,</w:t>
      </w:r>
      <w:r>
        <w:rPr>
          <w:spacing w:val="-9"/>
          <w:w w:val="115"/>
        </w:rPr>
        <w:t> </w:t>
      </w:r>
      <w:r>
        <w:rPr>
          <w:w w:val="115"/>
        </w:rPr>
        <w:t>facilitar</w:t>
      </w:r>
      <w:r>
        <w:rPr>
          <w:spacing w:val="-9"/>
          <w:w w:val="115"/>
        </w:rPr>
        <w:t> </w:t>
      </w:r>
      <w:r>
        <w:rPr>
          <w:w w:val="115"/>
        </w:rPr>
        <w:t>la</w:t>
      </w:r>
      <w:r>
        <w:rPr>
          <w:spacing w:val="-9"/>
          <w:w w:val="115"/>
        </w:rPr>
        <w:t> </w:t>
      </w:r>
      <w:r>
        <w:rPr>
          <w:w w:val="115"/>
        </w:rPr>
        <w:t>conversión</w:t>
      </w:r>
      <w:r>
        <w:rPr>
          <w:spacing w:val="-9"/>
          <w:w w:val="115"/>
        </w:rPr>
        <w:t> </w:t>
      </w:r>
      <w:r>
        <w:rPr>
          <w:w w:val="115"/>
        </w:rPr>
        <w:t>de</w:t>
      </w:r>
      <w:r>
        <w:rPr>
          <w:spacing w:val="-9"/>
          <w:w w:val="115"/>
        </w:rPr>
        <w:t> </w:t>
      </w:r>
      <w:r>
        <w:rPr>
          <w:w w:val="115"/>
        </w:rPr>
        <w:t>divisas</w:t>
      </w:r>
      <w:r>
        <w:rPr>
          <w:spacing w:val="-9"/>
          <w:w w:val="115"/>
        </w:rPr>
        <w:t> </w:t>
      </w:r>
      <w:r>
        <w:rPr>
          <w:w w:val="115"/>
        </w:rPr>
        <w:t>y</w:t>
      </w:r>
      <w:r>
        <w:rPr>
          <w:spacing w:val="-9"/>
          <w:w w:val="115"/>
        </w:rPr>
        <w:t> </w:t>
      </w:r>
      <w:r>
        <w:rPr>
          <w:w w:val="115"/>
        </w:rPr>
        <w:t>fomentar</w:t>
      </w:r>
      <w:r>
        <w:rPr>
          <w:spacing w:val="-9"/>
          <w:w w:val="115"/>
        </w:rPr>
        <w:t> </w:t>
      </w:r>
      <w:r>
        <w:rPr>
          <w:w w:val="115"/>
        </w:rPr>
        <w:t>los</w:t>
      </w:r>
      <w:r>
        <w:rPr>
          <w:spacing w:val="-9"/>
          <w:w w:val="115"/>
        </w:rPr>
        <w:t> </w:t>
      </w:r>
      <w:r>
        <w:rPr>
          <w:w w:val="115"/>
        </w:rPr>
        <w:t>intercam-</w:t>
      </w:r>
    </w:p>
    <w:p>
      <w:pPr>
        <w:pStyle w:val="BodyText"/>
        <w:ind w:left="330"/>
        <w:jc w:val="both"/>
      </w:pPr>
      <w:r>
        <w:rPr>
          <w:w w:val="110"/>
        </w:rPr>
        <w:t>bios entre personas (tharoor shashi,  2014).</w:t>
      </w:r>
    </w:p>
    <w:p>
      <w:pPr>
        <w:pStyle w:val="BodyText"/>
        <w:spacing w:line="252" w:lineRule="auto" w:before="11"/>
        <w:ind w:left="330" w:right="118" w:firstLine="396"/>
        <w:jc w:val="both"/>
      </w:pPr>
      <w:r>
        <w:rPr>
          <w:w w:val="243"/>
        </w:rPr>
        <w:t>l</w:t>
      </w:r>
      <w:r>
        <w:rPr>
          <w:w w:val="108"/>
        </w:rPr>
        <w:t>os</w:t>
      </w:r>
      <w:r>
        <w:rPr/>
        <w:t> </w:t>
      </w:r>
      <w:r>
        <w:rPr>
          <w:w w:val="108"/>
        </w:rPr>
        <w:t>objetivos</w:t>
      </w:r>
      <w:r>
        <w:rPr/>
        <w:t> </w:t>
      </w:r>
      <w:r>
        <w:rPr>
          <w:w w:val="107"/>
        </w:rPr>
        <w:t>de</w:t>
      </w:r>
      <w:r>
        <w:rPr/>
        <w:t> </w:t>
      </w:r>
      <w:r>
        <w:rPr>
          <w:w w:val="111"/>
        </w:rPr>
        <w:t>la</w:t>
      </w:r>
      <w:r>
        <w:rPr/>
        <w:t> </w:t>
      </w:r>
      <w:r>
        <w:rPr>
          <w:w w:val="108"/>
        </w:rPr>
        <w:t>propuesta</w:t>
      </w:r>
      <w:r>
        <w:rPr/>
        <w:t> </w:t>
      </w:r>
      <w:r>
        <w:rPr>
          <w:w w:val="108"/>
        </w:rPr>
        <w:t>presentada</w:t>
      </w:r>
      <w:r>
        <w:rPr/>
        <w:t> </w:t>
      </w:r>
      <w:r>
        <w:rPr>
          <w:w w:val="108"/>
        </w:rPr>
        <w:t>por</w:t>
      </w:r>
      <w:r>
        <w:rPr/>
        <w:t> </w:t>
      </w:r>
      <w:r>
        <w:rPr>
          <w:w w:val="107"/>
        </w:rPr>
        <w:t>el</w:t>
      </w:r>
      <w:r>
        <w:rPr/>
        <w:t> </w:t>
      </w:r>
      <w:r>
        <w:rPr>
          <w:w w:val="107"/>
        </w:rPr>
        <w:t>presidente</w:t>
      </w:r>
      <w:r>
        <w:rPr/>
        <w:t> </w:t>
      </w:r>
      <w:r>
        <w:rPr>
          <w:w w:val="112"/>
        </w:rPr>
        <w:t>chino </w:t>
      </w:r>
      <w:r>
        <w:rPr>
          <w:w w:val="110"/>
        </w:rPr>
        <w:t>revelan la importancia que para China tiene revitalizar la integración económica y la cooperación entre los países que atraviesan esa vía milenaria y su comunicación con rusia y Europa, junto al deseo de desarrollar las regiones chinas más occidentales. Con esta propuesta podría impulsarse el crecimiento económico de asia Central y del Me- dio  oriente.</w:t>
      </w:r>
    </w:p>
    <w:p>
      <w:pPr>
        <w:pStyle w:val="BodyText"/>
        <w:spacing w:line="252" w:lineRule="auto"/>
        <w:ind w:left="330" w:right="118" w:firstLine="396"/>
        <w:jc w:val="both"/>
      </w:pPr>
      <w:r>
        <w:rPr>
          <w:w w:val="110"/>
        </w:rPr>
        <w:t>si bien a lo largo de más de 30 años, el este y el sur de China han tenido  un  notable  desarrollo,  con  ejemplos  clave  como  shanghai y</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las ciudades del río Perla (Guangtong, Foshán, shenzhen, dongguan     y Hong Kong, cinco ciudades que superan </w:t>
      </w:r>
      <w:r>
        <w:rPr>
          <w:spacing w:val="-6"/>
          <w:w w:val="110"/>
        </w:rPr>
        <w:t>hoy, </w:t>
      </w:r>
      <w:r>
        <w:rPr>
          <w:w w:val="110"/>
        </w:rPr>
        <w:t>cada una de ellas, los siete</w:t>
      </w:r>
      <w:r>
        <w:rPr>
          <w:spacing w:val="-5"/>
          <w:w w:val="110"/>
        </w:rPr>
        <w:t> </w:t>
      </w:r>
      <w:r>
        <w:rPr>
          <w:w w:val="110"/>
        </w:rPr>
        <w:t>millones</w:t>
      </w:r>
      <w:r>
        <w:rPr>
          <w:spacing w:val="-5"/>
          <w:w w:val="110"/>
        </w:rPr>
        <w:t> </w:t>
      </w:r>
      <w:r>
        <w:rPr>
          <w:w w:val="110"/>
        </w:rPr>
        <w:t>de</w:t>
      </w:r>
      <w:r>
        <w:rPr>
          <w:spacing w:val="-5"/>
          <w:w w:val="110"/>
        </w:rPr>
        <w:t> </w:t>
      </w:r>
      <w:r>
        <w:rPr>
          <w:w w:val="110"/>
        </w:rPr>
        <w:t>habitantes),</w:t>
      </w:r>
      <w:r>
        <w:rPr>
          <w:spacing w:val="-5"/>
          <w:w w:val="110"/>
        </w:rPr>
        <w:t> </w:t>
      </w:r>
      <w:r>
        <w:rPr>
          <w:w w:val="110"/>
        </w:rPr>
        <w:t>en</w:t>
      </w:r>
      <w:r>
        <w:rPr>
          <w:spacing w:val="-5"/>
          <w:w w:val="110"/>
        </w:rPr>
        <w:t> </w:t>
      </w:r>
      <w:r>
        <w:rPr>
          <w:w w:val="110"/>
        </w:rPr>
        <w:t>esta</w:t>
      </w:r>
      <w:r>
        <w:rPr>
          <w:spacing w:val="-5"/>
          <w:w w:val="110"/>
        </w:rPr>
        <w:t> </w:t>
      </w:r>
      <w:r>
        <w:rPr>
          <w:w w:val="110"/>
        </w:rPr>
        <w:t>nueva</w:t>
      </w:r>
      <w:r>
        <w:rPr>
          <w:spacing w:val="-5"/>
          <w:w w:val="110"/>
        </w:rPr>
        <w:t> </w:t>
      </w:r>
      <w:r>
        <w:rPr>
          <w:w w:val="110"/>
        </w:rPr>
        <w:t>etapa</w:t>
      </w:r>
      <w:r>
        <w:rPr>
          <w:spacing w:val="-5"/>
          <w:w w:val="110"/>
        </w:rPr>
        <w:t> </w:t>
      </w:r>
      <w:r>
        <w:rPr>
          <w:w w:val="110"/>
        </w:rPr>
        <w:t>del</w:t>
      </w:r>
      <w:r>
        <w:rPr>
          <w:spacing w:val="-5"/>
          <w:w w:val="110"/>
        </w:rPr>
        <w:t> </w:t>
      </w:r>
      <w:r>
        <w:rPr>
          <w:w w:val="110"/>
        </w:rPr>
        <w:t>desarrollo</w:t>
      </w:r>
      <w:r>
        <w:rPr>
          <w:spacing w:val="-5"/>
          <w:w w:val="110"/>
        </w:rPr>
        <w:t> </w:t>
      </w:r>
      <w:r>
        <w:rPr>
          <w:w w:val="110"/>
        </w:rPr>
        <w:t>chino, las autoridades promueven el progreso de las regiones occidentales </w:t>
      </w:r>
      <w:r>
        <w:rPr>
          <w:spacing w:val="-11"/>
          <w:w w:val="110"/>
        </w:rPr>
        <w:t>y, </w:t>
      </w:r>
      <w:r>
        <w:rPr>
          <w:w w:val="110"/>
        </w:rPr>
        <w:t>por ello, como parte de su política </w:t>
      </w:r>
      <w:r>
        <w:rPr>
          <w:spacing w:val="-3"/>
          <w:w w:val="110"/>
        </w:rPr>
        <w:t>exterior, </w:t>
      </w:r>
      <w:r>
        <w:rPr>
          <w:w w:val="110"/>
        </w:rPr>
        <w:t>el país ha estado dedican- do una gran atención al asia Central, zona de enormes recursos en hidrocarburos y</w:t>
      </w:r>
      <w:r>
        <w:rPr>
          <w:spacing w:val="20"/>
          <w:w w:val="110"/>
        </w:rPr>
        <w:t> </w:t>
      </w:r>
      <w:r>
        <w:rPr>
          <w:w w:val="110"/>
        </w:rPr>
        <w:t>minerales.</w:t>
      </w:r>
    </w:p>
    <w:p>
      <w:pPr>
        <w:pStyle w:val="BodyText"/>
        <w:spacing w:line="252" w:lineRule="auto"/>
        <w:ind w:left="100" w:right="328" w:firstLine="396"/>
        <w:jc w:val="both"/>
      </w:pPr>
      <w:r>
        <w:rPr>
          <w:w w:val="243"/>
        </w:rPr>
        <w:t>l</w:t>
      </w:r>
      <w:r>
        <w:rPr>
          <w:w w:val="112"/>
        </w:rPr>
        <w:t>a</w:t>
      </w:r>
      <w:r>
        <w:rPr/>
        <w:t> </w:t>
      </w:r>
      <w:r>
        <w:rPr>
          <w:w w:val="110"/>
        </w:rPr>
        <w:t>revitalización</w:t>
      </w:r>
      <w:r>
        <w:rPr/>
        <w:t> </w:t>
      </w:r>
      <w:r>
        <w:rPr>
          <w:w w:val="107"/>
        </w:rPr>
        <w:t>de</w:t>
      </w:r>
      <w:r>
        <w:rPr/>
        <w:t> </w:t>
      </w:r>
      <w:r>
        <w:rPr>
          <w:w w:val="111"/>
        </w:rPr>
        <w:t>la</w:t>
      </w:r>
      <w:r>
        <w:rPr/>
        <w:t> </w:t>
      </w:r>
      <w:r>
        <w:rPr>
          <w:w w:val="182"/>
        </w:rPr>
        <w:t>r</w:t>
      </w:r>
      <w:r>
        <w:rPr>
          <w:w w:val="111"/>
        </w:rPr>
        <w:t>uta</w:t>
      </w:r>
      <w:r>
        <w:rPr/>
        <w:t> </w:t>
      </w:r>
      <w:r>
        <w:rPr>
          <w:w w:val="107"/>
        </w:rPr>
        <w:t>de</w:t>
      </w:r>
      <w:r>
        <w:rPr/>
        <w:t> </w:t>
      </w:r>
      <w:r>
        <w:rPr>
          <w:w w:val="111"/>
        </w:rPr>
        <w:t>la</w:t>
      </w:r>
      <w:r>
        <w:rPr/>
        <w:t> </w:t>
      </w:r>
      <w:r>
        <w:rPr>
          <w:w w:val="149"/>
        </w:rPr>
        <w:t>s</w:t>
      </w:r>
      <w:r>
        <w:rPr>
          <w:w w:val="108"/>
        </w:rPr>
        <w:t>eda</w:t>
      </w:r>
      <w:r>
        <w:rPr/>
        <w:t> </w:t>
      </w:r>
      <w:r>
        <w:rPr>
          <w:w w:val="109"/>
        </w:rPr>
        <w:t>constituye</w:t>
      </w:r>
      <w:r>
        <w:rPr/>
        <w:t> </w:t>
      </w:r>
      <w:r>
        <w:rPr>
          <w:w w:val="111"/>
        </w:rPr>
        <w:t>uno</w:t>
      </w:r>
      <w:r>
        <w:rPr/>
        <w:t> </w:t>
      </w:r>
      <w:r>
        <w:rPr>
          <w:w w:val="107"/>
        </w:rPr>
        <w:t>de</w:t>
      </w:r>
      <w:r>
        <w:rPr/>
        <w:t> </w:t>
      </w:r>
      <w:r>
        <w:rPr>
          <w:w w:val="108"/>
        </w:rPr>
        <w:t>los</w:t>
      </w:r>
      <w:r>
        <w:rPr/>
        <w:t> </w:t>
      </w:r>
      <w:r>
        <w:rPr>
          <w:w w:val="108"/>
        </w:rPr>
        <w:t>pro</w:t>
      </w:r>
      <w:r>
        <w:rPr>
          <w:w w:val="102"/>
        </w:rPr>
        <w:t>- </w:t>
      </w:r>
      <w:r>
        <w:rPr>
          <w:w w:val="110"/>
        </w:rPr>
        <w:t>yectos más importantes de China. durante muchos años el bloque del atlantismo representado por Estados unidos, Gran bretaña e israel, la </w:t>
      </w:r>
      <w:r>
        <w:rPr>
          <w:w w:val="150"/>
        </w:rPr>
        <w:t>otaN </w:t>
      </w:r>
      <w:r>
        <w:rPr>
          <w:w w:val="110"/>
        </w:rPr>
        <w:t>y los gobiernos árabes productores de petróleo han imposibili- tado la reconstrucción de esta ruta histórica empujando hacia el mar los esfuerzos comerciales de Europa, la india y   China.</w:t>
      </w:r>
    </w:p>
    <w:p>
      <w:pPr>
        <w:pStyle w:val="BodyText"/>
        <w:spacing w:line="252" w:lineRule="auto"/>
        <w:ind w:left="100" w:right="328" w:firstLine="396"/>
        <w:jc w:val="both"/>
      </w:pPr>
      <w:r>
        <w:rPr>
          <w:w w:val="115"/>
        </w:rPr>
        <w:t>xi Jinping presentó en Kazajistán esa iniciativa que prevé crear lo que se ha denominado “Cinturón económico” en la antigua ruta de</w:t>
      </w:r>
      <w:r>
        <w:rPr>
          <w:spacing w:val="-5"/>
          <w:w w:val="115"/>
        </w:rPr>
        <w:t> </w:t>
      </w:r>
      <w:r>
        <w:rPr>
          <w:w w:val="115"/>
        </w:rPr>
        <w:t>la</w:t>
      </w:r>
      <w:r>
        <w:rPr>
          <w:spacing w:val="-5"/>
          <w:w w:val="115"/>
        </w:rPr>
        <w:t> </w:t>
      </w:r>
      <w:r>
        <w:rPr>
          <w:w w:val="115"/>
        </w:rPr>
        <w:t>seda,</w:t>
      </w:r>
      <w:r>
        <w:rPr>
          <w:spacing w:val="-5"/>
          <w:w w:val="115"/>
        </w:rPr>
        <w:t> </w:t>
      </w:r>
      <w:r>
        <w:rPr>
          <w:w w:val="115"/>
        </w:rPr>
        <w:t>dirigida</w:t>
      </w:r>
      <w:r>
        <w:rPr>
          <w:spacing w:val="-5"/>
          <w:w w:val="115"/>
        </w:rPr>
        <w:t> </w:t>
      </w:r>
      <w:r>
        <w:rPr>
          <w:w w:val="115"/>
        </w:rPr>
        <w:t>a</w:t>
      </w:r>
      <w:r>
        <w:rPr>
          <w:spacing w:val="-5"/>
          <w:w w:val="115"/>
        </w:rPr>
        <w:t> </w:t>
      </w:r>
      <w:r>
        <w:rPr>
          <w:w w:val="115"/>
        </w:rPr>
        <w:t>los</w:t>
      </w:r>
      <w:r>
        <w:rPr>
          <w:spacing w:val="-5"/>
          <w:w w:val="115"/>
        </w:rPr>
        <w:t> </w:t>
      </w:r>
      <w:r>
        <w:rPr>
          <w:w w:val="115"/>
        </w:rPr>
        <w:t>países</w:t>
      </w:r>
      <w:r>
        <w:rPr>
          <w:spacing w:val="-5"/>
          <w:w w:val="115"/>
        </w:rPr>
        <w:t> </w:t>
      </w:r>
      <w:r>
        <w:rPr>
          <w:w w:val="115"/>
        </w:rPr>
        <w:t>de</w:t>
      </w:r>
      <w:r>
        <w:rPr>
          <w:spacing w:val="-5"/>
          <w:w w:val="115"/>
        </w:rPr>
        <w:t> </w:t>
      </w:r>
      <w:r>
        <w:rPr>
          <w:w w:val="115"/>
        </w:rPr>
        <w:t>asia</w:t>
      </w:r>
      <w:r>
        <w:rPr>
          <w:spacing w:val="-5"/>
          <w:w w:val="115"/>
        </w:rPr>
        <w:t> </w:t>
      </w:r>
      <w:r>
        <w:rPr>
          <w:w w:val="115"/>
        </w:rPr>
        <w:t>Central,</w:t>
      </w:r>
      <w:r>
        <w:rPr>
          <w:spacing w:val="-5"/>
          <w:w w:val="115"/>
        </w:rPr>
        <w:t> </w:t>
      </w:r>
      <w:r>
        <w:rPr>
          <w:w w:val="115"/>
        </w:rPr>
        <w:t>pero</w:t>
      </w:r>
      <w:r>
        <w:rPr>
          <w:spacing w:val="-5"/>
          <w:w w:val="115"/>
        </w:rPr>
        <w:t> </w:t>
      </w:r>
      <w:r>
        <w:rPr>
          <w:w w:val="115"/>
        </w:rPr>
        <w:t>también</w:t>
      </w:r>
      <w:r>
        <w:rPr>
          <w:spacing w:val="-5"/>
          <w:w w:val="115"/>
        </w:rPr>
        <w:t> </w:t>
      </w:r>
      <w:r>
        <w:rPr>
          <w:w w:val="115"/>
        </w:rPr>
        <w:t>a</w:t>
      </w:r>
      <w:r>
        <w:rPr>
          <w:spacing w:val="-5"/>
          <w:w w:val="115"/>
        </w:rPr>
        <w:t> </w:t>
      </w:r>
      <w:r>
        <w:rPr>
          <w:w w:val="115"/>
        </w:rPr>
        <w:t>otras naciones,</w:t>
      </w:r>
      <w:r>
        <w:rPr>
          <w:spacing w:val="-7"/>
          <w:w w:val="115"/>
        </w:rPr>
        <w:t> </w:t>
      </w:r>
      <w:r>
        <w:rPr>
          <w:w w:val="115"/>
        </w:rPr>
        <w:t>idea</w:t>
      </w:r>
      <w:r>
        <w:rPr>
          <w:spacing w:val="-7"/>
          <w:w w:val="115"/>
        </w:rPr>
        <w:t> </w:t>
      </w:r>
      <w:r>
        <w:rPr>
          <w:w w:val="115"/>
        </w:rPr>
        <w:t>que</w:t>
      </w:r>
      <w:r>
        <w:rPr>
          <w:spacing w:val="-7"/>
          <w:w w:val="115"/>
        </w:rPr>
        <w:t> </w:t>
      </w:r>
      <w:r>
        <w:rPr>
          <w:w w:val="115"/>
        </w:rPr>
        <w:t>pretende</w:t>
      </w:r>
      <w:r>
        <w:rPr>
          <w:spacing w:val="-7"/>
          <w:w w:val="115"/>
        </w:rPr>
        <w:t> </w:t>
      </w:r>
      <w:r>
        <w:rPr>
          <w:w w:val="115"/>
        </w:rPr>
        <w:t>articular</w:t>
      </w:r>
      <w:r>
        <w:rPr>
          <w:spacing w:val="-7"/>
          <w:w w:val="115"/>
        </w:rPr>
        <w:t> </w:t>
      </w:r>
      <w:r>
        <w:rPr>
          <w:w w:val="115"/>
        </w:rPr>
        <w:t>una</w:t>
      </w:r>
      <w:r>
        <w:rPr>
          <w:spacing w:val="-7"/>
          <w:w w:val="115"/>
        </w:rPr>
        <w:t> </w:t>
      </w:r>
      <w:r>
        <w:rPr>
          <w:w w:val="115"/>
        </w:rPr>
        <w:t>gran</w:t>
      </w:r>
      <w:r>
        <w:rPr>
          <w:spacing w:val="-7"/>
          <w:w w:val="115"/>
        </w:rPr>
        <w:t> </w:t>
      </w:r>
      <w:r>
        <w:rPr>
          <w:w w:val="115"/>
        </w:rPr>
        <w:t>ruta</w:t>
      </w:r>
      <w:r>
        <w:rPr>
          <w:spacing w:val="-7"/>
          <w:w w:val="115"/>
        </w:rPr>
        <w:t> </w:t>
      </w:r>
      <w:r>
        <w:rPr>
          <w:w w:val="115"/>
        </w:rPr>
        <w:t>comercial</w:t>
      </w:r>
      <w:r>
        <w:rPr>
          <w:spacing w:val="-7"/>
          <w:w w:val="115"/>
        </w:rPr>
        <w:t> </w:t>
      </w:r>
      <w:r>
        <w:rPr>
          <w:w w:val="115"/>
        </w:rPr>
        <w:t>en</w:t>
      </w:r>
      <w:r>
        <w:rPr>
          <w:spacing w:val="-7"/>
          <w:w w:val="115"/>
        </w:rPr>
        <w:t> </w:t>
      </w:r>
      <w:r>
        <w:rPr>
          <w:w w:val="115"/>
        </w:rPr>
        <w:t>un área</w:t>
      </w:r>
      <w:r>
        <w:rPr>
          <w:spacing w:val="-11"/>
          <w:w w:val="115"/>
        </w:rPr>
        <w:t> </w:t>
      </w:r>
      <w:r>
        <w:rPr>
          <w:w w:val="115"/>
        </w:rPr>
        <w:t>que</w:t>
      </w:r>
      <w:r>
        <w:rPr>
          <w:spacing w:val="-11"/>
          <w:w w:val="115"/>
        </w:rPr>
        <w:t> </w:t>
      </w:r>
      <w:r>
        <w:rPr>
          <w:w w:val="115"/>
        </w:rPr>
        <w:t>atraviesa</w:t>
      </w:r>
      <w:r>
        <w:rPr>
          <w:spacing w:val="-11"/>
          <w:w w:val="115"/>
        </w:rPr>
        <w:t> </w:t>
      </w:r>
      <w:r>
        <w:rPr>
          <w:w w:val="115"/>
        </w:rPr>
        <w:t>dieciocho</w:t>
      </w:r>
      <w:r>
        <w:rPr>
          <w:spacing w:val="-11"/>
          <w:w w:val="115"/>
        </w:rPr>
        <w:t> </w:t>
      </w:r>
      <w:r>
        <w:rPr>
          <w:w w:val="115"/>
        </w:rPr>
        <w:t>países</w:t>
      </w:r>
      <w:r>
        <w:rPr>
          <w:spacing w:val="-11"/>
          <w:w w:val="115"/>
        </w:rPr>
        <w:t> </w:t>
      </w:r>
      <w:r>
        <w:rPr>
          <w:w w:val="115"/>
        </w:rPr>
        <w:t>europeos</w:t>
      </w:r>
      <w:r>
        <w:rPr>
          <w:spacing w:val="-11"/>
          <w:w w:val="115"/>
        </w:rPr>
        <w:t> </w:t>
      </w:r>
      <w:r>
        <w:rPr>
          <w:w w:val="115"/>
        </w:rPr>
        <w:t>y</w:t>
      </w:r>
      <w:r>
        <w:rPr>
          <w:spacing w:val="-11"/>
          <w:w w:val="115"/>
        </w:rPr>
        <w:t> </w:t>
      </w:r>
      <w:r>
        <w:rPr>
          <w:w w:val="115"/>
        </w:rPr>
        <w:t>asiáticos,</w:t>
      </w:r>
      <w:r>
        <w:rPr>
          <w:spacing w:val="-11"/>
          <w:w w:val="115"/>
        </w:rPr>
        <w:t> </w:t>
      </w:r>
      <w:r>
        <w:rPr>
          <w:w w:val="115"/>
        </w:rPr>
        <w:t>que</w:t>
      </w:r>
      <w:r>
        <w:rPr>
          <w:spacing w:val="-11"/>
          <w:w w:val="115"/>
        </w:rPr>
        <w:t> </w:t>
      </w:r>
      <w:r>
        <w:rPr>
          <w:w w:val="115"/>
        </w:rPr>
        <w:t>suman casi tres mil millones de personas. Como ya se mencionó, entre las prioridades citadas por el presidente chino se encuentra el auge de sectores como las comunicaciones, el transporte, el comercio y los intercambios</w:t>
      </w:r>
      <w:r>
        <w:rPr>
          <w:spacing w:val="-17"/>
          <w:w w:val="115"/>
        </w:rPr>
        <w:t> </w:t>
      </w:r>
      <w:r>
        <w:rPr>
          <w:w w:val="115"/>
        </w:rPr>
        <w:t>tecnológicos</w:t>
      </w:r>
      <w:r>
        <w:rPr>
          <w:spacing w:val="-17"/>
          <w:w w:val="115"/>
        </w:rPr>
        <w:t> </w:t>
      </w:r>
      <w:r>
        <w:rPr>
          <w:spacing w:val="-5"/>
          <w:w w:val="115"/>
        </w:rPr>
        <w:t>(CCtV,</w:t>
      </w:r>
      <w:r>
        <w:rPr>
          <w:spacing w:val="-17"/>
          <w:w w:val="115"/>
        </w:rPr>
        <w:t> </w:t>
      </w:r>
      <w:r>
        <w:rPr>
          <w:w w:val="115"/>
        </w:rPr>
        <w:t>2014).</w:t>
      </w:r>
    </w:p>
    <w:p>
      <w:pPr>
        <w:pStyle w:val="BodyText"/>
        <w:spacing w:line="252" w:lineRule="auto"/>
        <w:ind w:left="100" w:right="328" w:firstLine="396"/>
        <w:jc w:val="both"/>
      </w:pPr>
      <w:r>
        <w:rPr>
          <w:w w:val="115"/>
        </w:rPr>
        <w:t>datos</w:t>
      </w:r>
      <w:r>
        <w:rPr>
          <w:spacing w:val="-31"/>
          <w:w w:val="115"/>
        </w:rPr>
        <w:t> </w:t>
      </w:r>
      <w:r>
        <w:rPr>
          <w:w w:val="115"/>
        </w:rPr>
        <w:t>publicados</w:t>
      </w:r>
      <w:r>
        <w:rPr>
          <w:spacing w:val="-31"/>
          <w:w w:val="115"/>
        </w:rPr>
        <w:t> </w:t>
      </w:r>
      <w:r>
        <w:rPr>
          <w:w w:val="115"/>
        </w:rPr>
        <w:t>revelan</w:t>
      </w:r>
      <w:r>
        <w:rPr>
          <w:spacing w:val="-31"/>
          <w:w w:val="115"/>
        </w:rPr>
        <w:t> </w:t>
      </w:r>
      <w:r>
        <w:rPr>
          <w:w w:val="115"/>
        </w:rPr>
        <w:t>que</w:t>
      </w:r>
      <w:r>
        <w:rPr>
          <w:spacing w:val="-31"/>
          <w:w w:val="115"/>
        </w:rPr>
        <w:t> </w:t>
      </w:r>
      <w:r>
        <w:rPr>
          <w:w w:val="115"/>
        </w:rPr>
        <w:t>en</w:t>
      </w:r>
      <w:r>
        <w:rPr>
          <w:spacing w:val="-31"/>
          <w:w w:val="115"/>
        </w:rPr>
        <w:t> </w:t>
      </w:r>
      <w:r>
        <w:rPr>
          <w:w w:val="115"/>
        </w:rPr>
        <w:t>2013</w:t>
      </w:r>
      <w:r>
        <w:rPr>
          <w:spacing w:val="-31"/>
          <w:w w:val="115"/>
        </w:rPr>
        <w:t> </w:t>
      </w:r>
      <w:r>
        <w:rPr>
          <w:w w:val="115"/>
        </w:rPr>
        <w:t>el</w:t>
      </w:r>
      <w:r>
        <w:rPr>
          <w:spacing w:val="-31"/>
          <w:w w:val="115"/>
        </w:rPr>
        <w:t> </w:t>
      </w:r>
      <w:r>
        <w:rPr>
          <w:w w:val="115"/>
        </w:rPr>
        <w:t>volumen</w:t>
      </w:r>
      <w:r>
        <w:rPr>
          <w:spacing w:val="-31"/>
          <w:w w:val="115"/>
        </w:rPr>
        <w:t> </w:t>
      </w:r>
      <w:r>
        <w:rPr>
          <w:w w:val="115"/>
        </w:rPr>
        <w:t>comercial</w:t>
      </w:r>
      <w:r>
        <w:rPr>
          <w:spacing w:val="-31"/>
          <w:w w:val="115"/>
        </w:rPr>
        <w:t> </w:t>
      </w:r>
      <w:r>
        <w:rPr>
          <w:w w:val="115"/>
        </w:rPr>
        <w:t>entre China</w:t>
      </w:r>
      <w:r>
        <w:rPr>
          <w:spacing w:val="-20"/>
          <w:w w:val="115"/>
        </w:rPr>
        <w:t> </w:t>
      </w:r>
      <w:r>
        <w:rPr>
          <w:w w:val="115"/>
        </w:rPr>
        <w:t>y</w:t>
      </w:r>
      <w:r>
        <w:rPr>
          <w:spacing w:val="-20"/>
          <w:w w:val="115"/>
        </w:rPr>
        <w:t> </w:t>
      </w:r>
      <w:r>
        <w:rPr>
          <w:w w:val="115"/>
        </w:rPr>
        <w:t>los</w:t>
      </w:r>
      <w:r>
        <w:rPr>
          <w:spacing w:val="-20"/>
          <w:w w:val="115"/>
        </w:rPr>
        <w:t> </w:t>
      </w:r>
      <w:r>
        <w:rPr>
          <w:w w:val="115"/>
        </w:rPr>
        <w:t>países</w:t>
      </w:r>
      <w:r>
        <w:rPr>
          <w:spacing w:val="-20"/>
          <w:w w:val="115"/>
        </w:rPr>
        <w:t> </w:t>
      </w:r>
      <w:r>
        <w:rPr>
          <w:w w:val="115"/>
        </w:rPr>
        <w:t>del</w:t>
      </w:r>
      <w:r>
        <w:rPr>
          <w:spacing w:val="-20"/>
          <w:w w:val="115"/>
        </w:rPr>
        <w:t> </w:t>
      </w:r>
      <w:r>
        <w:rPr>
          <w:w w:val="115"/>
        </w:rPr>
        <w:t>cinturón</w:t>
      </w:r>
      <w:r>
        <w:rPr>
          <w:spacing w:val="-20"/>
          <w:w w:val="115"/>
        </w:rPr>
        <w:t> </w:t>
      </w:r>
      <w:r>
        <w:rPr>
          <w:w w:val="115"/>
        </w:rPr>
        <w:t>alcanzó</w:t>
      </w:r>
      <w:r>
        <w:rPr>
          <w:spacing w:val="-20"/>
          <w:w w:val="115"/>
        </w:rPr>
        <w:t> </w:t>
      </w:r>
      <w:r>
        <w:rPr>
          <w:w w:val="115"/>
        </w:rPr>
        <w:t>600</w:t>
      </w:r>
      <w:r>
        <w:rPr>
          <w:spacing w:val="-20"/>
          <w:w w:val="115"/>
        </w:rPr>
        <w:t> </w:t>
      </w:r>
      <w:r>
        <w:rPr>
          <w:w w:val="115"/>
        </w:rPr>
        <w:t>mil</w:t>
      </w:r>
      <w:r>
        <w:rPr>
          <w:spacing w:val="-20"/>
          <w:w w:val="115"/>
        </w:rPr>
        <w:t> </w:t>
      </w:r>
      <w:r>
        <w:rPr>
          <w:w w:val="115"/>
        </w:rPr>
        <w:t>millones</w:t>
      </w:r>
      <w:r>
        <w:rPr>
          <w:spacing w:val="-20"/>
          <w:w w:val="115"/>
        </w:rPr>
        <w:t> </w:t>
      </w:r>
      <w:r>
        <w:rPr>
          <w:w w:val="115"/>
        </w:rPr>
        <w:t>de</w:t>
      </w:r>
      <w:r>
        <w:rPr>
          <w:spacing w:val="-20"/>
          <w:w w:val="115"/>
        </w:rPr>
        <w:t> </w:t>
      </w:r>
      <w:r>
        <w:rPr>
          <w:w w:val="115"/>
        </w:rPr>
        <w:t>dólares,</w:t>
      </w:r>
      <w:r>
        <w:rPr>
          <w:spacing w:val="-20"/>
          <w:w w:val="115"/>
        </w:rPr>
        <w:t> </w:t>
      </w:r>
      <w:r>
        <w:rPr>
          <w:w w:val="115"/>
        </w:rPr>
        <w:t>lo cual</w:t>
      </w:r>
      <w:r>
        <w:rPr>
          <w:spacing w:val="-20"/>
          <w:w w:val="115"/>
        </w:rPr>
        <w:t> </w:t>
      </w:r>
      <w:r>
        <w:rPr>
          <w:w w:val="115"/>
        </w:rPr>
        <w:t>representó</w:t>
      </w:r>
      <w:r>
        <w:rPr>
          <w:spacing w:val="-20"/>
          <w:w w:val="115"/>
        </w:rPr>
        <w:t> </w:t>
      </w:r>
      <w:r>
        <w:rPr>
          <w:w w:val="115"/>
        </w:rPr>
        <w:t>15%</w:t>
      </w:r>
      <w:r>
        <w:rPr>
          <w:spacing w:val="-20"/>
          <w:w w:val="115"/>
        </w:rPr>
        <w:t> </w:t>
      </w:r>
      <w:r>
        <w:rPr>
          <w:w w:val="115"/>
        </w:rPr>
        <w:t>del</w:t>
      </w:r>
      <w:r>
        <w:rPr>
          <w:spacing w:val="-20"/>
          <w:w w:val="115"/>
        </w:rPr>
        <w:t> </w:t>
      </w:r>
      <w:r>
        <w:rPr>
          <w:w w:val="115"/>
        </w:rPr>
        <w:t>comercio</w:t>
      </w:r>
      <w:r>
        <w:rPr>
          <w:spacing w:val="-20"/>
          <w:w w:val="115"/>
        </w:rPr>
        <w:t> </w:t>
      </w:r>
      <w:r>
        <w:rPr>
          <w:w w:val="115"/>
        </w:rPr>
        <w:t>exterior</w:t>
      </w:r>
      <w:r>
        <w:rPr>
          <w:spacing w:val="-20"/>
          <w:w w:val="115"/>
        </w:rPr>
        <w:t> </w:t>
      </w:r>
      <w:r>
        <w:rPr>
          <w:w w:val="115"/>
        </w:rPr>
        <w:t>chino</w:t>
      </w:r>
      <w:r>
        <w:rPr>
          <w:spacing w:val="-20"/>
          <w:w w:val="115"/>
        </w:rPr>
        <w:t> </w:t>
      </w:r>
      <w:r>
        <w:rPr>
          <w:w w:val="115"/>
        </w:rPr>
        <w:t>total</w:t>
      </w:r>
      <w:r>
        <w:rPr>
          <w:spacing w:val="-20"/>
          <w:w w:val="115"/>
        </w:rPr>
        <w:t> </w:t>
      </w:r>
      <w:r>
        <w:rPr>
          <w:spacing w:val="-5"/>
          <w:w w:val="115"/>
        </w:rPr>
        <w:t>(CCtV,</w:t>
      </w:r>
      <w:r>
        <w:rPr>
          <w:spacing w:val="-20"/>
          <w:w w:val="115"/>
        </w:rPr>
        <w:t> </w:t>
      </w:r>
      <w:r>
        <w:rPr>
          <w:w w:val="115"/>
        </w:rPr>
        <w:t>2014).</w:t>
      </w:r>
    </w:p>
    <w:p>
      <w:pPr>
        <w:pStyle w:val="BodyText"/>
        <w:spacing w:line="252" w:lineRule="auto"/>
        <w:ind w:left="100" w:right="328" w:firstLine="396"/>
        <w:jc w:val="both"/>
      </w:pPr>
      <w:r>
        <w:rPr>
          <w:w w:val="110"/>
        </w:rPr>
        <w:t>sin dudas, uno de los temas principales en los debates actuales   es definir exactamente a qué se le llama cinturón económico de la  ruta de la seda</w:t>
      </w:r>
      <w:r>
        <w:rPr>
          <w:i/>
          <w:w w:val="110"/>
        </w:rPr>
        <w:t>. </w:t>
      </w:r>
      <w:r>
        <w:rPr>
          <w:w w:val="110"/>
        </w:rPr>
        <w:t>Este es un concepto que todavía no se ha desarro- llado completamente y que requerirá de mayores investigaciones en el futuro cercano. sin embargo, llama poderosamente la atención la incertidumbre generada por la propuesta</w:t>
      </w:r>
      <w:r>
        <w:rPr>
          <w:spacing w:val="40"/>
          <w:w w:val="110"/>
        </w:rPr>
        <w:t> </w:t>
      </w:r>
      <w:r>
        <w:rPr>
          <w:w w:val="110"/>
        </w:rPr>
        <w:t>lanzada.</w:t>
      </w:r>
    </w:p>
    <w:p>
      <w:pPr>
        <w:pStyle w:val="BodyText"/>
        <w:spacing w:line="252" w:lineRule="auto"/>
        <w:ind w:left="100" w:right="328" w:firstLine="396"/>
        <w:jc w:val="both"/>
      </w:pPr>
      <w:r>
        <w:rPr>
          <w:w w:val="115"/>
        </w:rPr>
        <w:t>Para</w:t>
      </w:r>
      <w:r>
        <w:rPr>
          <w:spacing w:val="-5"/>
          <w:w w:val="115"/>
        </w:rPr>
        <w:t> </w:t>
      </w:r>
      <w:r>
        <w:rPr>
          <w:w w:val="115"/>
        </w:rPr>
        <w:t>promover</w:t>
      </w:r>
      <w:r>
        <w:rPr>
          <w:spacing w:val="-5"/>
          <w:w w:val="115"/>
        </w:rPr>
        <w:t> </w:t>
      </w:r>
      <w:r>
        <w:rPr>
          <w:w w:val="115"/>
        </w:rPr>
        <w:t>el</w:t>
      </w:r>
      <w:r>
        <w:rPr>
          <w:spacing w:val="-5"/>
          <w:w w:val="115"/>
        </w:rPr>
        <w:t> </w:t>
      </w:r>
      <w:r>
        <w:rPr>
          <w:w w:val="115"/>
        </w:rPr>
        <w:t>desarrollo</w:t>
      </w:r>
      <w:r>
        <w:rPr>
          <w:spacing w:val="-5"/>
          <w:w w:val="115"/>
        </w:rPr>
        <w:t> </w:t>
      </w:r>
      <w:r>
        <w:rPr>
          <w:w w:val="115"/>
        </w:rPr>
        <w:t>de</w:t>
      </w:r>
      <w:r>
        <w:rPr>
          <w:spacing w:val="-5"/>
          <w:w w:val="115"/>
        </w:rPr>
        <w:t> </w:t>
      </w:r>
      <w:r>
        <w:rPr>
          <w:w w:val="115"/>
        </w:rPr>
        <w:t>la</w:t>
      </w:r>
      <w:r>
        <w:rPr>
          <w:spacing w:val="-5"/>
          <w:w w:val="115"/>
        </w:rPr>
        <w:t> </w:t>
      </w:r>
      <w:r>
        <w:rPr>
          <w:w w:val="115"/>
        </w:rPr>
        <w:t>ruta</w:t>
      </w:r>
      <w:r>
        <w:rPr>
          <w:spacing w:val="-5"/>
          <w:w w:val="115"/>
        </w:rPr>
        <w:t> </w:t>
      </w:r>
      <w:r>
        <w:rPr>
          <w:w w:val="115"/>
        </w:rPr>
        <w:t>de</w:t>
      </w:r>
      <w:r>
        <w:rPr>
          <w:spacing w:val="-5"/>
          <w:w w:val="115"/>
        </w:rPr>
        <w:t> </w:t>
      </w:r>
      <w:r>
        <w:rPr>
          <w:w w:val="115"/>
        </w:rPr>
        <w:t>la</w:t>
      </w:r>
      <w:r>
        <w:rPr>
          <w:spacing w:val="-5"/>
          <w:w w:val="115"/>
        </w:rPr>
        <w:t> </w:t>
      </w:r>
      <w:r>
        <w:rPr>
          <w:w w:val="115"/>
        </w:rPr>
        <w:t>seda,</w:t>
      </w:r>
      <w:r>
        <w:rPr>
          <w:spacing w:val="-5"/>
          <w:w w:val="115"/>
        </w:rPr>
        <w:t> </w:t>
      </w:r>
      <w:r>
        <w:rPr>
          <w:w w:val="115"/>
        </w:rPr>
        <w:t>China</w:t>
      </w:r>
      <w:r>
        <w:rPr>
          <w:spacing w:val="-5"/>
          <w:w w:val="115"/>
        </w:rPr>
        <w:t> </w:t>
      </w:r>
      <w:r>
        <w:rPr>
          <w:w w:val="115"/>
        </w:rPr>
        <w:t>preten- de</w:t>
      </w:r>
      <w:r>
        <w:rPr>
          <w:spacing w:val="-5"/>
          <w:w w:val="115"/>
        </w:rPr>
        <w:t> </w:t>
      </w:r>
      <w:r>
        <w:rPr>
          <w:w w:val="115"/>
        </w:rPr>
        <w:t>construir</w:t>
      </w:r>
      <w:r>
        <w:rPr>
          <w:spacing w:val="-5"/>
          <w:w w:val="115"/>
        </w:rPr>
        <w:t> </w:t>
      </w:r>
      <w:r>
        <w:rPr>
          <w:w w:val="115"/>
        </w:rPr>
        <w:t>vías</w:t>
      </w:r>
      <w:r>
        <w:rPr>
          <w:spacing w:val="-5"/>
          <w:w w:val="115"/>
        </w:rPr>
        <w:t> </w:t>
      </w:r>
      <w:r>
        <w:rPr>
          <w:w w:val="115"/>
        </w:rPr>
        <w:t>de</w:t>
      </w:r>
      <w:r>
        <w:rPr>
          <w:spacing w:val="-5"/>
          <w:w w:val="115"/>
        </w:rPr>
        <w:t> </w:t>
      </w:r>
      <w:r>
        <w:rPr>
          <w:w w:val="115"/>
        </w:rPr>
        <w:t>transporte</w:t>
      </w:r>
      <w:r>
        <w:rPr>
          <w:spacing w:val="-5"/>
          <w:w w:val="115"/>
        </w:rPr>
        <w:t> </w:t>
      </w:r>
      <w:r>
        <w:rPr>
          <w:w w:val="115"/>
        </w:rPr>
        <w:t>que</w:t>
      </w:r>
      <w:r>
        <w:rPr>
          <w:spacing w:val="-5"/>
          <w:w w:val="115"/>
        </w:rPr>
        <w:t> </w:t>
      </w:r>
      <w:r>
        <w:rPr>
          <w:w w:val="115"/>
        </w:rPr>
        <w:t>unan</w:t>
      </w:r>
      <w:r>
        <w:rPr>
          <w:spacing w:val="-5"/>
          <w:w w:val="115"/>
        </w:rPr>
        <w:t> </w:t>
      </w:r>
      <w:r>
        <w:rPr>
          <w:w w:val="115"/>
        </w:rPr>
        <w:t>el</w:t>
      </w:r>
      <w:r>
        <w:rPr>
          <w:spacing w:val="-5"/>
          <w:w w:val="115"/>
        </w:rPr>
        <w:t> </w:t>
      </w:r>
      <w:r>
        <w:rPr>
          <w:w w:val="115"/>
        </w:rPr>
        <w:t>océano</w:t>
      </w:r>
      <w:r>
        <w:rPr>
          <w:spacing w:val="-5"/>
          <w:w w:val="115"/>
        </w:rPr>
        <w:t> </w:t>
      </w:r>
      <w:r>
        <w:rPr>
          <w:w w:val="115"/>
        </w:rPr>
        <w:t>Pacífico</w:t>
      </w:r>
      <w:r>
        <w:rPr>
          <w:spacing w:val="-5"/>
          <w:w w:val="115"/>
        </w:rPr>
        <w:t> </w:t>
      </w:r>
      <w:r>
        <w:rPr>
          <w:w w:val="115"/>
        </w:rPr>
        <w:t>y</w:t>
      </w:r>
      <w:r>
        <w:rPr>
          <w:spacing w:val="-5"/>
          <w:w w:val="115"/>
        </w:rPr>
        <w:t> </w:t>
      </w:r>
      <w:r>
        <w:rPr>
          <w:w w:val="115"/>
        </w:rPr>
        <w:t>el</w:t>
      </w:r>
      <w:r>
        <w:rPr>
          <w:spacing w:val="-5"/>
          <w:w w:val="115"/>
        </w:rPr>
        <w:t> </w:t>
      </w:r>
      <w:r>
        <w:rPr>
          <w:w w:val="115"/>
        </w:rPr>
        <w:t>Mar báltico,</w:t>
      </w:r>
      <w:r>
        <w:rPr>
          <w:spacing w:val="-15"/>
          <w:w w:val="115"/>
        </w:rPr>
        <w:t> </w:t>
      </w:r>
      <w:r>
        <w:rPr>
          <w:w w:val="115"/>
        </w:rPr>
        <w:t>y</w:t>
      </w:r>
      <w:r>
        <w:rPr>
          <w:spacing w:val="-15"/>
          <w:w w:val="115"/>
        </w:rPr>
        <w:t> </w:t>
      </w:r>
      <w:r>
        <w:rPr>
          <w:w w:val="115"/>
        </w:rPr>
        <w:t>que</w:t>
      </w:r>
      <w:r>
        <w:rPr>
          <w:spacing w:val="-15"/>
          <w:w w:val="115"/>
        </w:rPr>
        <w:t> </w:t>
      </w:r>
      <w:r>
        <w:rPr>
          <w:w w:val="115"/>
        </w:rPr>
        <w:t>permitan</w:t>
      </w:r>
      <w:r>
        <w:rPr>
          <w:spacing w:val="-15"/>
          <w:w w:val="115"/>
        </w:rPr>
        <w:t> </w:t>
      </w:r>
      <w:r>
        <w:rPr>
          <w:w w:val="115"/>
        </w:rPr>
        <w:t>el</w:t>
      </w:r>
      <w:r>
        <w:rPr>
          <w:spacing w:val="-15"/>
          <w:w w:val="115"/>
        </w:rPr>
        <w:t> </w:t>
      </w:r>
      <w:r>
        <w:rPr>
          <w:w w:val="115"/>
        </w:rPr>
        <w:t>acceso</w:t>
      </w:r>
      <w:r>
        <w:rPr>
          <w:spacing w:val="-15"/>
          <w:w w:val="115"/>
        </w:rPr>
        <w:t> </w:t>
      </w:r>
      <w:r>
        <w:rPr>
          <w:w w:val="115"/>
        </w:rPr>
        <w:t>desde</w:t>
      </w:r>
      <w:r>
        <w:rPr>
          <w:spacing w:val="-15"/>
          <w:w w:val="115"/>
        </w:rPr>
        <w:t> </w:t>
      </w:r>
      <w:r>
        <w:rPr>
          <w:w w:val="115"/>
        </w:rPr>
        <w:t>asia</w:t>
      </w:r>
      <w:r>
        <w:rPr>
          <w:spacing w:val="-15"/>
          <w:w w:val="115"/>
        </w:rPr>
        <w:t> </w:t>
      </w:r>
      <w:r>
        <w:rPr>
          <w:w w:val="115"/>
        </w:rPr>
        <w:t>Central</w:t>
      </w:r>
      <w:r>
        <w:rPr>
          <w:spacing w:val="-15"/>
          <w:w w:val="115"/>
        </w:rPr>
        <w:t> </w:t>
      </w:r>
      <w:r>
        <w:rPr>
          <w:w w:val="115"/>
        </w:rPr>
        <w:t>al</w:t>
      </w:r>
      <w:r>
        <w:rPr>
          <w:spacing w:val="-15"/>
          <w:w w:val="115"/>
        </w:rPr>
        <w:t> </w:t>
      </w:r>
      <w:r>
        <w:rPr>
          <w:w w:val="115"/>
        </w:rPr>
        <w:t>Golfo</w:t>
      </w:r>
      <w:r>
        <w:rPr>
          <w:spacing w:val="-15"/>
          <w:w w:val="115"/>
        </w:rPr>
        <w:t> </w:t>
      </w:r>
      <w:r>
        <w:rPr>
          <w:w w:val="115"/>
        </w:rPr>
        <w:t>Pérsico</w:t>
      </w:r>
      <w:r>
        <w:rPr>
          <w:spacing w:val="-15"/>
          <w:w w:val="115"/>
        </w:rPr>
        <w:t> </w:t>
      </w:r>
      <w:r>
        <w:rPr>
          <w:w w:val="115"/>
        </w:rPr>
        <w:t>y al</w:t>
      </w:r>
      <w:r>
        <w:rPr>
          <w:spacing w:val="-14"/>
          <w:w w:val="115"/>
        </w:rPr>
        <w:t> </w:t>
      </w:r>
      <w:r>
        <w:rPr>
          <w:w w:val="115"/>
        </w:rPr>
        <w:t>océano</w:t>
      </w:r>
      <w:r>
        <w:rPr>
          <w:spacing w:val="-14"/>
          <w:w w:val="115"/>
        </w:rPr>
        <w:t> </w:t>
      </w:r>
      <w:r>
        <w:rPr>
          <w:w w:val="115"/>
        </w:rPr>
        <w:t>Índico,</w:t>
      </w:r>
      <w:r>
        <w:rPr>
          <w:spacing w:val="-14"/>
          <w:w w:val="115"/>
        </w:rPr>
        <w:t> </w:t>
      </w:r>
      <w:r>
        <w:rPr>
          <w:w w:val="115"/>
        </w:rPr>
        <w:t>rutas</w:t>
      </w:r>
      <w:r>
        <w:rPr>
          <w:spacing w:val="-14"/>
          <w:w w:val="115"/>
        </w:rPr>
        <w:t> </w:t>
      </w:r>
      <w:r>
        <w:rPr>
          <w:w w:val="115"/>
        </w:rPr>
        <w:t>que</w:t>
      </w:r>
      <w:r>
        <w:rPr>
          <w:spacing w:val="-14"/>
          <w:w w:val="115"/>
        </w:rPr>
        <w:t> </w:t>
      </w:r>
      <w:r>
        <w:rPr>
          <w:w w:val="115"/>
        </w:rPr>
        <w:t>impulsarán</w:t>
      </w:r>
      <w:r>
        <w:rPr>
          <w:spacing w:val="-14"/>
          <w:w w:val="115"/>
        </w:rPr>
        <w:t> </w:t>
      </w:r>
      <w:r>
        <w:rPr>
          <w:w w:val="115"/>
        </w:rPr>
        <w:t>los</w:t>
      </w:r>
      <w:r>
        <w:rPr>
          <w:spacing w:val="-14"/>
          <w:w w:val="115"/>
        </w:rPr>
        <w:t> </w:t>
      </w:r>
      <w:r>
        <w:rPr>
          <w:w w:val="115"/>
        </w:rPr>
        <w:t>intercambios</w:t>
      </w:r>
      <w:r>
        <w:rPr>
          <w:spacing w:val="-14"/>
          <w:w w:val="115"/>
        </w:rPr>
        <w:t> </w:t>
      </w:r>
      <w:r>
        <w:rPr>
          <w:w w:val="115"/>
        </w:rPr>
        <w:t>económicos en</w:t>
      </w:r>
      <w:r>
        <w:rPr>
          <w:spacing w:val="-17"/>
          <w:w w:val="115"/>
        </w:rPr>
        <w:t> </w:t>
      </w:r>
      <w:r>
        <w:rPr>
          <w:w w:val="115"/>
        </w:rPr>
        <w:t>la</w:t>
      </w:r>
      <w:r>
        <w:rPr>
          <w:spacing w:val="-17"/>
          <w:w w:val="115"/>
        </w:rPr>
        <w:t> </w:t>
      </w:r>
      <w:r>
        <w:rPr>
          <w:w w:val="115"/>
        </w:rPr>
        <w:t>zona.</w:t>
      </w:r>
      <w:r>
        <w:rPr>
          <w:spacing w:val="-17"/>
          <w:w w:val="115"/>
        </w:rPr>
        <w:t> </w:t>
      </w:r>
      <w:r>
        <w:rPr>
          <w:w w:val="115"/>
        </w:rPr>
        <w:t>sin</w:t>
      </w:r>
      <w:r>
        <w:rPr>
          <w:spacing w:val="-17"/>
          <w:w w:val="115"/>
        </w:rPr>
        <w:t> </w:t>
      </w:r>
      <w:r>
        <w:rPr>
          <w:w w:val="115"/>
        </w:rPr>
        <w:t>embargo,</w:t>
      </w:r>
      <w:r>
        <w:rPr>
          <w:spacing w:val="-17"/>
          <w:w w:val="115"/>
        </w:rPr>
        <w:t> </w:t>
      </w:r>
      <w:r>
        <w:rPr>
          <w:w w:val="115"/>
        </w:rPr>
        <w:t>la</w:t>
      </w:r>
      <w:r>
        <w:rPr>
          <w:spacing w:val="-17"/>
          <w:w w:val="115"/>
        </w:rPr>
        <w:t> </w:t>
      </w:r>
      <w:r>
        <w:rPr>
          <w:w w:val="115"/>
        </w:rPr>
        <w:t>apuesta</w:t>
      </w:r>
      <w:r>
        <w:rPr>
          <w:spacing w:val="-17"/>
          <w:w w:val="115"/>
        </w:rPr>
        <w:t> </w:t>
      </w:r>
      <w:r>
        <w:rPr>
          <w:w w:val="115"/>
        </w:rPr>
        <w:t>no</w:t>
      </w:r>
      <w:r>
        <w:rPr>
          <w:spacing w:val="-17"/>
          <w:w w:val="115"/>
        </w:rPr>
        <w:t> </w:t>
      </w:r>
      <w:r>
        <w:rPr>
          <w:w w:val="115"/>
        </w:rPr>
        <w:t>es</w:t>
      </w:r>
      <w:r>
        <w:rPr>
          <w:spacing w:val="-17"/>
          <w:w w:val="115"/>
        </w:rPr>
        <w:t> </w:t>
      </w:r>
      <w:r>
        <w:rPr>
          <w:w w:val="115"/>
        </w:rPr>
        <w:t>sencilla,</w:t>
      </w:r>
      <w:r>
        <w:rPr>
          <w:spacing w:val="-17"/>
          <w:w w:val="115"/>
        </w:rPr>
        <w:t> </w:t>
      </w:r>
      <w:r>
        <w:rPr>
          <w:w w:val="115"/>
        </w:rPr>
        <w:t>ya</w:t>
      </w:r>
      <w:r>
        <w:rPr>
          <w:spacing w:val="-17"/>
          <w:w w:val="115"/>
        </w:rPr>
        <w:t> </w:t>
      </w:r>
      <w:r>
        <w:rPr>
          <w:w w:val="115"/>
        </w:rPr>
        <w:t>que</w:t>
      </w:r>
      <w:r>
        <w:rPr>
          <w:spacing w:val="-17"/>
          <w:w w:val="115"/>
        </w:rPr>
        <w:t> </w:t>
      </w:r>
      <w:r>
        <w:rPr>
          <w:w w:val="115"/>
        </w:rPr>
        <w:t>resultan</w:t>
      </w:r>
      <w:r>
        <w:rPr>
          <w:spacing w:val="-17"/>
          <w:w w:val="115"/>
        </w:rPr>
        <w:t> </w:t>
      </w:r>
      <w:r>
        <w:rPr>
          <w:w w:val="115"/>
        </w:rPr>
        <w:t>cre- cientes las amenazas del terrorismo a lo largo del cinturón. Por</w:t>
      </w:r>
      <w:r>
        <w:rPr>
          <w:spacing w:val="-22"/>
          <w:w w:val="115"/>
        </w:rPr>
        <w:t> </w:t>
      </w:r>
      <w:r>
        <w:rPr>
          <w:w w:val="115"/>
        </w:rPr>
        <w:t>una parte,</w:t>
      </w:r>
      <w:r>
        <w:rPr>
          <w:spacing w:val="-22"/>
          <w:w w:val="115"/>
        </w:rPr>
        <w:t> </w:t>
      </w:r>
      <w:r>
        <w:rPr>
          <w:w w:val="115"/>
        </w:rPr>
        <w:t>desde</w:t>
      </w:r>
      <w:r>
        <w:rPr>
          <w:spacing w:val="-22"/>
          <w:w w:val="115"/>
        </w:rPr>
        <w:t> </w:t>
      </w:r>
      <w:r>
        <w:rPr>
          <w:w w:val="115"/>
        </w:rPr>
        <w:t>2013,</w:t>
      </w:r>
      <w:r>
        <w:rPr>
          <w:spacing w:val="-22"/>
          <w:w w:val="115"/>
        </w:rPr>
        <w:t> </w:t>
      </w:r>
      <w:r>
        <w:rPr>
          <w:w w:val="115"/>
        </w:rPr>
        <w:t>xinjiang</w:t>
      </w:r>
      <w:r>
        <w:rPr>
          <w:spacing w:val="-22"/>
          <w:w w:val="115"/>
        </w:rPr>
        <w:t> </w:t>
      </w:r>
      <w:r>
        <w:rPr>
          <w:w w:val="115"/>
        </w:rPr>
        <w:t>se</w:t>
      </w:r>
      <w:r>
        <w:rPr>
          <w:spacing w:val="-22"/>
          <w:w w:val="115"/>
        </w:rPr>
        <w:t> </w:t>
      </w:r>
      <w:r>
        <w:rPr>
          <w:w w:val="115"/>
        </w:rPr>
        <w:t>ha</w:t>
      </w:r>
      <w:r>
        <w:rPr>
          <w:spacing w:val="-22"/>
          <w:w w:val="115"/>
        </w:rPr>
        <w:t> </w:t>
      </w:r>
      <w:r>
        <w:rPr>
          <w:w w:val="115"/>
        </w:rPr>
        <w:t>visto</w:t>
      </w:r>
      <w:r>
        <w:rPr>
          <w:spacing w:val="-22"/>
          <w:w w:val="115"/>
        </w:rPr>
        <w:t> </w:t>
      </w:r>
      <w:r>
        <w:rPr>
          <w:w w:val="115"/>
        </w:rPr>
        <w:t>sacudida</w:t>
      </w:r>
      <w:r>
        <w:rPr>
          <w:spacing w:val="-22"/>
          <w:w w:val="115"/>
        </w:rPr>
        <w:t> </w:t>
      </w:r>
      <w:r>
        <w:rPr>
          <w:w w:val="115"/>
        </w:rPr>
        <w:t>por</w:t>
      </w:r>
      <w:r>
        <w:rPr>
          <w:spacing w:val="-22"/>
          <w:w w:val="115"/>
        </w:rPr>
        <w:t> </w:t>
      </w:r>
      <w:r>
        <w:rPr>
          <w:w w:val="115"/>
        </w:rPr>
        <w:t>una</w:t>
      </w:r>
      <w:r>
        <w:rPr>
          <w:spacing w:val="-22"/>
          <w:w w:val="115"/>
        </w:rPr>
        <w:t> </w:t>
      </w:r>
      <w:r>
        <w:rPr>
          <w:w w:val="115"/>
        </w:rPr>
        <w:t>serie</w:t>
      </w:r>
      <w:r>
        <w:rPr>
          <w:spacing w:val="-22"/>
          <w:w w:val="115"/>
        </w:rPr>
        <w:t> </w:t>
      </w:r>
      <w:r>
        <w:rPr>
          <w:w w:val="115"/>
        </w:rPr>
        <w:t>de</w:t>
      </w:r>
      <w:r>
        <w:rPr>
          <w:spacing w:val="-22"/>
          <w:w w:val="115"/>
        </w:rPr>
        <w:t> </w:t>
      </w:r>
      <w:r>
        <w:rPr>
          <w:w w:val="115"/>
        </w:rPr>
        <w:t>aten- tados</w:t>
      </w:r>
      <w:r>
        <w:rPr>
          <w:spacing w:val="-20"/>
          <w:w w:val="115"/>
        </w:rPr>
        <w:t> </w:t>
      </w:r>
      <w:r>
        <w:rPr>
          <w:w w:val="115"/>
        </w:rPr>
        <w:t>terroristas</w:t>
      </w:r>
      <w:r>
        <w:rPr>
          <w:spacing w:val="-20"/>
          <w:w w:val="115"/>
        </w:rPr>
        <w:t> </w:t>
      </w:r>
      <w:r>
        <w:rPr>
          <w:w w:val="115"/>
        </w:rPr>
        <w:t>y</w:t>
      </w:r>
      <w:r>
        <w:rPr>
          <w:spacing w:val="-20"/>
          <w:w w:val="115"/>
        </w:rPr>
        <w:t> </w:t>
      </w:r>
      <w:r>
        <w:rPr>
          <w:w w:val="115"/>
        </w:rPr>
        <w:t>la</w:t>
      </w:r>
      <w:r>
        <w:rPr>
          <w:spacing w:val="-20"/>
          <w:w w:val="115"/>
        </w:rPr>
        <w:t> </w:t>
      </w:r>
      <w:r>
        <w:rPr>
          <w:w w:val="115"/>
        </w:rPr>
        <w:t>región</w:t>
      </w:r>
      <w:r>
        <w:rPr>
          <w:spacing w:val="-20"/>
          <w:w w:val="115"/>
        </w:rPr>
        <w:t> </w:t>
      </w:r>
      <w:r>
        <w:rPr>
          <w:w w:val="115"/>
        </w:rPr>
        <w:t>es</w:t>
      </w:r>
      <w:r>
        <w:rPr>
          <w:spacing w:val="-20"/>
          <w:w w:val="115"/>
        </w:rPr>
        <w:t> </w:t>
      </w:r>
      <w:r>
        <w:rPr>
          <w:w w:val="115"/>
        </w:rPr>
        <w:t>ahora</w:t>
      </w:r>
      <w:r>
        <w:rPr>
          <w:spacing w:val="-20"/>
          <w:w w:val="115"/>
        </w:rPr>
        <w:t> </w:t>
      </w:r>
      <w:r>
        <w:rPr>
          <w:w w:val="115"/>
        </w:rPr>
        <w:t>el</w:t>
      </w:r>
      <w:r>
        <w:rPr>
          <w:spacing w:val="-20"/>
          <w:w w:val="115"/>
        </w:rPr>
        <w:t> </w:t>
      </w:r>
      <w:r>
        <w:rPr>
          <w:w w:val="115"/>
        </w:rPr>
        <w:t>punto</w:t>
      </w:r>
      <w:r>
        <w:rPr>
          <w:spacing w:val="-20"/>
          <w:w w:val="115"/>
        </w:rPr>
        <w:t> </w:t>
      </w:r>
      <w:r>
        <w:rPr>
          <w:w w:val="115"/>
        </w:rPr>
        <w:t>más</w:t>
      </w:r>
      <w:r>
        <w:rPr>
          <w:spacing w:val="-20"/>
          <w:w w:val="115"/>
        </w:rPr>
        <w:t> </w:t>
      </w:r>
      <w:r>
        <w:rPr>
          <w:w w:val="115"/>
        </w:rPr>
        <w:t>caliente</w:t>
      </w:r>
      <w:r>
        <w:rPr>
          <w:spacing w:val="-20"/>
          <w:w w:val="115"/>
        </w:rPr>
        <w:t> </w:t>
      </w:r>
      <w:r>
        <w:rPr>
          <w:w w:val="115"/>
        </w:rPr>
        <w:t>en</w:t>
      </w:r>
      <w:r>
        <w:rPr>
          <w:spacing w:val="-20"/>
          <w:w w:val="115"/>
        </w:rPr>
        <w:t> </w:t>
      </w:r>
      <w:r>
        <w:rPr>
          <w:w w:val="115"/>
        </w:rPr>
        <w:t>la</w:t>
      </w:r>
      <w:r>
        <w:rPr>
          <w:spacing w:val="-20"/>
          <w:w w:val="115"/>
        </w:rPr>
        <w:t> </w:t>
      </w:r>
      <w:r>
        <w:rPr>
          <w:w w:val="115"/>
        </w:rPr>
        <w:t>lucha de China contra el terrorismo. adicionalmente, China cree también que</w:t>
      </w:r>
      <w:r>
        <w:rPr>
          <w:spacing w:val="-7"/>
          <w:w w:val="115"/>
        </w:rPr>
        <w:t> </w:t>
      </w:r>
      <w:r>
        <w:rPr>
          <w:w w:val="115"/>
        </w:rPr>
        <w:t>la</w:t>
      </w:r>
      <w:r>
        <w:rPr>
          <w:spacing w:val="-7"/>
          <w:w w:val="115"/>
        </w:rPr>
        <w:t> </w:t>
      </w:r>
      <w:r>
        <w:rPr>
          <w:w w:val="115"/>
        </w:rPr>
        <w:t>crisis</w:t>
      </w:r>
      <w:r>
        <w:rPr>
          <w:spacing w:val="-7"/>
          <w:w w:val="115"/>
        </w:rPr>
        <w:t> </w:t>
      </w:r>
      <w:r>
        <w:rPr>
          <w:w w:val="115"/>
        </w:rPr>
        <w:t>siria</w:t>
      </w:r>
      <w:r>
        <w:rPr>
          <w:spacing w:val="-7"/>
          <w:w w:val="115"/>
        </w:rPr>
        <w:t> </w:t>
      </w:r>
      <w:r>
        <w:rPr>
          <w:w w:val="115"/>
        </w:rPr>
        <w:t>agrava</w:t>
      </w:r>
      <w:r>
        <w:rPr>
          <w:spacing w:val="-7"/>
          <w:w w:val="115"/>
        </w:rPr>
        <w:t> </w:t>
      </w:r>
      <w:r>
        <w:rPr>
          <w:w w:val="115"/>
        </w:rPr>
        <w:t>la</w:t>
      </w:r>
      <w:r>
        <w:rPr>
          <w:spacing w:val="-7"/>
          <w:w w:val="115"/>
        </w:rPr>
        <w:t> </w:t>
      </w:r>
      <w:r>
        <w:rPr>
          <w:w w:val="115"/>
        </w:rPr>
        <w:t>inestabilidad</w:t>
      </w:r>
      <w:r>
        <w:rPr>
          <w:spacing w:val="-7"/>
          <w:w w:val="115"/>
        </w:rPr>
        <w:t> </w:t>
      </w:r>
      <w:r>
        <w:rPr>
          <w:w w:val="115"/>
        </w:rPr>
        <w:t>de</w:t>
      </w:r>
      <w:r>
        <w:rPr>
          <w:spacing w:val="-7"/>
          <w:w w:val="115"/>
        </w:rPr>
        <w:t> </w:t>
      </w:r>
      <w:r>
        <w:rPr>
          <w:w w:val="115"/>
        </w:rPr>
        <w:t>toda</w:t>
      </w:r>
      <w:r>
        <w:rPr>
          <w:spacing w:val="-7"/>
          <w:w w:val="115"/>
        </w:rPr>
        <w:t> </w:t>
      </w:r>
      <w:r>
        <w:rPr>
          <w:w w:val="115"/>
        </w:rPr>
        <w:t>la</w:t>
      </w:r>
      <w:r>
        <w:rPr>
          <w:spacing w:val="-7"/>
          <w:w w:val="115"/>
        </w:rPr>
        <w:t> </w:t>
      </w:r>
      <w:r>
        <w:rPr>
          <w:w w:val="115"/>
        </w:rPr>
        <w:t>región</w:t>
      </w:r>
      <w:r>
        <w:rPr>
          <w:spacing w:val="-7"/>
          <w:w w:val="115"/>
        </w:rPr>
        <w:t> </w:t>
      </w:r>
      <w:r>
        <w:rPr>
          <w:spacing w:val="-11"/>
          <w:w w:val="115"/>
        </w:rPr>
        <w:t>y,</w:t>
      </w:r>
      <w:r>
        <w:rPr>
          <w:spacing w:val="-7"/>
          <w:w w:val="115"/>
        </w:rPr>
        <w:t> </w:t>
      </w:r>
      <w:r>
        <w:rPr>
          <w:w w:val="115"/>
        </w:rPr>
        <w:t>por</w:t>
      </w:r>
      <w:r>
        <w:rPr>
          <w:spacing w:val="-7"/>
          <w:w w:val="115"/>
        </w:rPr>
        <w:t> </w:t>
      </w:r>
      <w:r>
        <w:rPr>
          <w:w w:val="115"/>
        </w:rPr>
        <w:t>ello, xi</w:t>
      </w:r>
      <w:r>
        <w:rPr>
          <w:spacing w:val="-16"/>
          <w:w w:val="115"/>
        </w:rPr>
        <w:t> </w:t>
      </w:r>
      <w:r>
        <w:rPr>
          <w:w w:val="115"/>
        </w:rPr>
        <w:t>Jinping</w:t>
      </w:r>
      <w:r>
        <w:rPr>
          <w:spacing w:val="-16"/>
          <w:w w:val="115"/>
        </w:rPr>
        <w:t> </w:t>
      </w:r>
      <w:r>
        <w:rPr>
          <w:w w:val="115"/>
        </w:rPr>
        <w:t>ha</w:t>
      </w:r>
      <w:r>
        <w:rPr>
          <w:spacing w:val="-16"/>
          <w:w w:val="115"/>
        </w:rPr>
        <w:t> </w:t>
      </w:r>
      <w:r>
        <w:rPr>
          <w:w w:val="115"/>
        </w:rPr>
        <w:t>planteado</w:t>
      </w:r>
      <w:r>
        <w:rPr>
          <w:spacing w:val="-16"/>
          <w:w w:val="115"/>
        </w:rPr>
        <w:t> </w:t>
      </w:r>
      <w:r>
        <w:rPr>
          <w:w w:val="115"/>
        </w:rPr>
        <w:t>la</w:t>
      </w:r>
      <w:r>
        <w:rPr>
          <w:spacing w:val="-16"/>
          <w:w w:val="115"/>
        </w:rPr>
        <w:t> </w:t>
      </w:r>
      <w:r>
        <w:rPr>
          <w:w w:val="115"/>
        </w:rPr>
        <w:t>necesidad</w:t>
      </w:r>
      <w:r>
        <w:rPr>
          <w:spacing w:val="-16"/>
          <w:w w:val="115"/>
        </w:rPr>
        <w:t> </w:t>
      </w:r>
      <w:r>
        <w:rPr>
          <w:w w:val="115"/>
        </w:rPr>
        <w:t>de</w:t>
      </w:r>
      <w:r>
        <w:rPr>
          <w:spacing w:val="-16"/>
          <w:w w:val="115"/>
        </w:rPr>
        <w:t> </w:t>
      </w:r>
      <w:r>
        <w:rPr>
          <w:w w:val="115"/>
        </w:rPr>
        <w:t>mantener</w:t>
      </w:r>
      <w:r>
        <w:rPr>
          <w:spacing w:val="-16"/>
          <w:w w:val="115"/>
        </w:rPr>
        <w:t> </w:t>
      </w:r>
      <w:r>
        <w:rPr>
          <w:w w:val="115"/>
        </w:rPr>
        <w:t>las</w:t>
      </w:r>
      <w:r>
        <w:rPr>
          <w:spacing w:val="-16"/>
          <w:w w:val="115"/>
        </w:rPr>
        <w:t> </w:t>
      </w:r>
      <w:r>
        <w:rPr>
          <w:w w:val="115"/>
        </w:rPr>
        <w:t>negociaciones</w:t>
      </w:r>
      <w:r>
        <w:rPr>
          <w:spacing w:val="-16"/>
          <w:w w:val="115"/>
        </w:rPr>
        <w:t> </w:t>
      </w:r>
      <w:r>
        <w:rPr>
          <w:w w:val="115"/>
        </w:rPr>
        <w:t>y lograr</w:t>
      </w:r>
      <w:r>
        <w:rPr>
          <w:spacing w:val="-13"/>
          <w:w w:val="115"/>
        </w:rPr>
        <w:t> </w:t>
      </w:r>
      <w:r>
        <w:rPr>
          <w:w w:val="115"/>
        </w:rPr>
        <w:t>un</w:t>
      </w:r>
      <w:r>
        <w:rPr>
          <w:spacing w:val="-13"/>
          <w:w w:val="115"/>
        </w:rPr>
        <w:t> </w:t>
      </w:r>
      <w:r>
        <w:rPr>
          <w:w w:val="115"/>
        </w:rPr>
        <w:t>acuerdo</w:t>
      </w:r>
      <w:r>
        <w:rPr>
          <w:spacing w:val="-13"/>
          <w:w w:val="115"/>
        </w:rPr>
        <w:t> </w:t>
      </w:r>
      <w:r>
        <w:rPr>
          <w:w w:val="115"/>
        </w:rPr>
        <w:t>de</w:t>
      </w:r>
      <w:r>
        <w:rPr>
          <w:spacing w:val="-13"/>
          <w:w w:val="115"/>
        </w:rPr>
        <w:t> </w:t>
      </w:r>
      <w:r>
        <w:rPr>
          <w:w w:val="115"/>
        </w:rPr>
        <w:t>paz</w:t>
      </w:r>
      <w:r>
        <w:rPr>
          <w:spacing w:val="-13"/>
          <w:w w:val="115"/>
        </w:rPr>
        <w:t> </w:t>
      </w:r>
      <w:r>
        <w:rPr>
          <w:w w:val="115"/>
        </w:rPr>
        <w:t>en</w:t>
      </w:r>
      <w:r>
        <w:rPr>
          <w:spacing w:val="-13"/>
          <w:w w:val="115"/>
        </w:rPr>
        <w:t> </w:t>
      </w:r>
      <w:r>
        <w:rPr>
          <w:w w:val="115"/>
        </w:rPr>
        <w:t>Ginebra.</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firstLine="396"/>
        <w:jc w:val="both"/>
      </w:pPr>
      <w:r>
        <w:rPr>
          <w:w w:val="115"/>
        </w:rPr>
        <w:t>si prospera, la nueva ruta de la seda puede inaugurar un nuevo capítulo</w:t>
      </w:r>
      <w:r>
        <w:rPr>
          <w:spacing w:val="-21"/>
          <w:w w:val="115"/>
        </w:rPr>
        <w:t> </w:t>
      </w:r>
      <w:r>
        <w:rPr>
          <w:w w:val="115"/>
        </w:rPr>
        <w:t>en</w:t>
      </w:r>
      <w:r>
        <w:rPr>
          <w:spacing w:val="-21"/>
          <w:w w:val="115"/>
        </w:rPr>
        <w:t> </w:t>
      </w:r>
      <w:r>
        <w:rPr>
          <w:w w:val="115"/>
        </w:rPr>
        <w:t>las</w:t>
      </w:r>
      <w:r>
        <w:rPr>
          <w:spacing w:val="-21"/>
          <w:w w:val="115"/>
        </w:rPr>
        <w:t> </w:t>
      </w:r>
      <w:r>
        <w:rPr>
          <w:w w:val="115"/>
        </w:rPr>
        <w:t>relaciones</w:t>
      </w:r>
      <w:r>
        <w:rPr>
          <w:spacing w:val="-21"/>
          <w:w w:val="115"/>
        </w:rPr>
        <w:t> </w:t>
      </w:r>
      <w:r>
        <w:rPr>
          <w:w w:val="115"/>
        </w:rPr>
        <w:t>entre</w:t>
      </w:r>
      <w:r>
        <w:rPr>
          <w:spacing w:val="-21"/>
          <w:w w:val="115"/>
        </w:rPr>
        <w:t> </w:t>
      </w:r>
      <w:r>
        <w:rPr>
          <w:w w:val="115"/>
        </w:rPr>
        <w:t>Europa</w:t>
      </w:r>
      <w:r>
        <w:rPr>
          <w:spacing w:val="-21"/>
          <w:w w:val="115"/>
        </w:rPr>
        <w:t> </w:t>
      </w:r>
      <w:r>
        <w:rPr>
          <w:w w:val="115"/>
        </w:rPr>
        <w:t>y</w:t>
      </w:r>
      <w:r>
        <w:rPr>
          <w:spacing w:val="-21"/>
          <w:w w:val="115"/>
        </w:rPr>
        <w:t> </w:t>
      </w:r>
      <w:r>
        <w:rPr>
          <w:w w:val="115"/>
        </w:rPr>
        <w:t>asia,</w:t>
      </w:r>
      <w:r>
        <w:rPr>
          <w:spacing w:val="-21"/>
          <w:w w:val="115"/>
        </w:rPr>
        <w:t> </w:t>
      </w:r>
      <w:r>
        <w:rPr>
          <w:w w:val="115"/>
        </w:rPr>
        <w:t>y</w:t>
      </w:r>
      <w:r>
        <w:rPr>
          <w:spacing w:val="-21"/>
          <w:w w:val="115"/>
        </w:rPr>
        <w:t> </w:t>
      </w:r>
      <w:r>
        <w:rPr>
          <w:w w:val="115"/>
        </w:rPr>
        <w:t>contribuir</w:t>
      </w:r>
      <w:r>
        <w:rPr>
          <w:spacing w:val="-21"/>
          <w:w w:val="115"/>
        </w:rPr>
        <w:t> </w:t>
      </w:r>
      <w:r>
        <w:rPr>
          <w:w w:val="115"/>
        </w:rPr>
        <w:t>al</w:t>
      </w:r>
      <w:r>
        <w:rPr>
          <w:spacing w:val="-21"/>
          <w:w w:val="115"/>
        </w:rPr>
        <w:t> </w:t>
      </w:r>
      <w:r>
        <w:rPr>
          <w:w w:val="115"/>
        </w:rPr>
        <w:t>desarro- llo de muchos países asiáticos, máxime cuando el tiempo necesario para</w:t>
      </w:r>
      <w:r>
        <w:rPr>
          <w:spacing w:val="-8"/>
          <w:w w:val="115"/>
        </w:rPr>
        <w:t> </w:t>
      </w:r>
      <w:r>
        <w:rPr>
          <w:w w:val="115"/>
        </w:rPr>
        <w:t>recorrer</w:t>
      </w:r>
      <w:r>
        <w:rPr>
          <w:spacing w:val="-8"/>
          <w:w w:val="115"/>
        </w:rPr>
        <w:t> </w:t>
      </w:r>
      <w:r>
        <w:rPr>
          <w:w w:val="115"/>
        </w:rPr>
        <w:t>el</w:t>
      </w:r>
      <w:r>
        <w:rPr>
          <w:spacing w:val="-8"/>
          <w:w w:val="115"/>
        </w:rPr>
        <w:t> </w:t>
      </w:r>
      <w:r>
        <w:rPr>
          <w:w w:val="115"/>
        </w:rPr>
        <w:t>trayecto</w:t>
      </w:r>
      <w:r>
        <w:rPr>
          <w:spacing w:val="-8"/>
          <w:w w:val="115"/>
        </w:rPr>
        <w:t> </w:t>
      </w:r>
      <w:r>
        <w:rPr>
          <w:w w:val="115"/>
        </w:rPr>
        <w:t>entre</w:t>
      </w:r>
      <w:r>
        <w:rPr>
          <w:spacing w:val="-8"/>
          <w:w w:val="115"/>
        </w:rPr>
        <w:t> </w:t>
      </w:r>
      <w:r>
        <w:rPr>
          <w:w w:val="115"/>
        </w:rPr>
        <w:t>shanghai</w:t>
      </w:r>
      <w:r>
        <w:rPr>
          <w:spacing w:val="-8"/>
          <w:w w:val="115"/>
        </w:rPr>
        <w:t> </w:t>
      </w:r>
      <w:r>
        <w:rPr>
          <w:w w:val="115"/>
        </w:rPr>
        <w:t>o</w:t>
      </w:r>
      <w:r>
        <w:rPr>
          <w:spacing w:val="-8"/>
          <w:w w:val="115"/>
        </w:rPr>
        <w:t> </w:t>
      </w:r>
      <w:r>
        <w:rPr>
          <w:w w:val="115"/>
        </w:rPr>
        <w:t>el</w:t>
      </w:r>
      <w:r>
        <w:rPr>
          <w:spacing w:val="-8"/>
          <w:w w:val="115"/>
        </w:rPr>
        <w:t> </w:t>
      </w:r>
      <w:r>
        <w:rPr>
          <w:w w:val="115"/>
        </w:rPr>
        <w:t>río</w:t>
      </w:r>
      <w:r>
        <w:rPr>
          <w:spacing w:val="-8"/>
          <w:w w:val="115"/>
        </w:rPr>
        <w:t> </w:t>
      </w:r>
      <w:r>
        <w:rPr>
          <w:w w:val="115"/>
        </w:rPr>
        <w:t>de</w:t>
      </w:r>
      <w:r>
        <w:rPr>
          <w:spacing w:val="-8"/>
          <w:w w:val="115"/>
        </w:rPr>
        <w:t> </w:t>
      </w:r>
      <w:r>
        <w:rPr>
          <w:w w:val="115"/>
        </w:rPr>
        <w:t>la</w:t>
      </w:r>
      <w:r>
        <w:rPr>
          <w:spacing w:val="-8"/>
          <w:w w:val="115"/>
        </w:rPr>
        <w:t> </w:t>
      </w:r>
      <w:r>
        <w:rPr>
          <w:w w:val="115"/>
        </w:rPr>
        <w:t>Perla</w:t>
      </w:r>
      <w:r>
        <w:rPr>
          <w:spacing w:val="-8"/>
          <w:w w:val="115"/>
        </w:rPr>
        <w:t> </w:t>
      </w:r>
      <w:r>
        <w:rPr>
          <w:w w:val="115"/>
        </w:rPr>
        <w:t>y</w:t>
      </w:r>
      <w:r>
        <w:rPr>
          <w:spacing w:val="-8"/>
          <w:w w:val="115"/>
        </w:rPr>
        <w:t> </w:t>
      </w:r>
      <w:r>
        <w:rPr>
          <w:w w:val="115"/>
        </w:rPr>
        <w:t>Europa es de aproximadamente diez o doce días en conexión ferroviaria, la tercera parte del tiempo necesario para cubrirlo por ruta</w:t>
      </w:r>
      <w:r>
        <w:rPr>
          <w:spacing w:val="-18"/>
          <w:w w:val="115"/>
        </w:rPr>
        <w:t> </w:t>
      </w:r>
      <w:r>
        <w:rPr>
          <w:w w:val="115"/>
        </w:rPr>
        <w:t>marítima. </w:t>
      </w:r>
      <w:r>
        <w:rPr>
          <w:w w:val="243"/>
        </w:rPr>
        <w:t>l</w:t>
      </w:r>
      <w:r>
        <w:rPr>
          <w:w w:val="112"/>
        </w:rPr>
        <w:t>a</w:t>
      </w:r>
      <w:r>
        <w:rPr>
          <w:spacing w:val="19"/>
        </w:rPr>
        <w:t> </w:t>
      </w:r>
      <w:r>
        <w:rPr>
          <w:w w:val="108"/>
        </w:rPr>
        <w:t>propuesta</w:t>
      </w:r>
      <w:r>
        <w:rPr>
          <w:spacing w:val="19"/>
        </w:rPr>
        <w:t> </w:t>
      </w:r>
      <w:r>
        <w:rPr>
          <w:w w:val="107"/>
        </w:rPr>
        <w:t>de</w:t>
      </w:r>
      <w:r>
        <w:rPr>
          <w:spacing w:val="19"/>
        </w:rPr>
        <w:t> </w:t>
      </w:r>
      <w:r>
        <w:rPr>
          <w:w w:val="160"/>
        </w:rPr>
        <w:t>x</w:t>
      </w:r>
      <w:r>
        <w:rPr>
          <w:w w:val="115"/>
        </w:rPr>
        <w:t>i</w:t>
      </w:r>
      <w:r>
        <w:rPr>
          <w:spacing w:val="19"/>
        </w:rPr>
        <w:t> </w:t>
      </w:r>
      <w:r>
        <w:rPr>
          <w:w w:val="116"/>
        </w:rPr>
        <w:t>Jinping</w:t>
      </w:r>
      <w:r>
        <w:rPr>
          <w:spacing w:val="19"/>
        </w:rPr>
        <w:t> </w:t>
      </w:r>
      <w:r>
        <w:rPr>
          <w:w w:val="107"/>
        </w:rPr>
        <w:t>de</w:t>
      </w:r>
      <w:r>
        <w:rPr>
          <w:spacing w:val="19"/>
        </w:rPr>
        <w:t> </w:t>
      </w:r>
      <w:r>
        <w:rPr>
          <w:w w:val="107"/>
        </w:rPr>
        <w:t>esa</w:t>
      </w:r>
      <w:r>
        <w:rPr>
          <w:spacing w:val="19"/>
        </w:rPr>
        <w:t> </w:t>
      </w:r>
      <w:r>
        <w:rPr>
          <w:w w:val="108"/>
        </w:rPr>
        <w:t>nueva</w:t>
      </w:r>
      <w:r>
        <w:rPr>
          <w:spacing w:val="18"/>
        </w:rPr>
        <w:t> </w:t>
      </w:r>
      <w:r>
        <w:rPr>
          <w:w w:val="182"/>
        </w:rPr>
        <w:t>r</w:t>
      </w:r>
      <w:r>
        <w:rPr>
          <w:w w:val="111"/>
        </w:rPr>
        <w:t>uta</w:t>
      </w:r>
      <w:r>
        <w:rPr>
          <w:spacing w:val="19"/>
        </w:rPr>
        <w:t> </w:t>
      </w:r>
      <w:r>
        <w:rPr>
          <w:w w:val="107"/>
        </w:rPr>
        <w:t>de</w:t>
      </w:r>
      <w:r>
        <w:rPr>
          <w:spacing w:val="19"/>
        </w:rPr>
        <w:t> </w:t>
      </w:r>
      <w:r>
        <w:rPr>
          <w:w w:val="111"/>
        </w:rPr>
        <w:t>la</w:t>
      </w:r>
      <w:r>
        <w:rPr>
          <w:spacing w:val="19"/>
        </w:rPr>
        <w:t> </w:t>
      </w:r>
      <w:r>
        <w:rPr>
          <w:w w:val="149"/>
        </w:rPr>
        <w:t>s</w:t>
      </w:r>
      <w:r>
        <w:rPr>
          <w:w w:val="108"/>
        </w:rPr>
        <w:t>eda</w:t>
      </w:r>
      <w:r>
        <w:rPr>
          <w:spacing w:val="19"/>
        </w:rPr>
        <w:t> </w:t>
      </w:r>
      <w:r>
        <w:rPr>
          <w:w w:val="108"/>
        </w:rPr>
        <w:t>abre</w:t>
      </w:r>
      <w:r>
        <w:rPr>
          <w:spacing w:val="19"/>
        </w:rPr>
        <w:t> </w:t>
      </w:r>
      <w:r>
        <w:rPr>
          <w:w w:val="112"/>
        </w:rPr>
        <w:t>un</w:t>
      </w:r>
      <w:r>
        <w:rPr>
          <w:spacing w:val="19"/>
        </w:rPr>
        <w:t> </w:t>
      </w:r>
      <w:r>
        <w:rPr>
          <w:w w:val="105"/>
        </w:rPr>
        <w:t>e</w:t>
      </w:r>
      <w:r>
        <w:rPr>
          <w:spacing w:val="-1"/>
          <w:w w:val="105"/>
        </w:rPr>
        <w:t>s</w:t>
      </w:r>
      <w:r>
        <w:rPr>
          <w:w w:val="102"/>
        </w:rPr>
        <w:t>- </w:t>
      </w:r>
      <w:r>
        <w:rPr>
          <w:w w:val="115"/>
        </w:rPr>
        <w:t>cenario que puede cambiar la geografía de asia Central y de oriente Medio, si las tensiones relacionadas con la guerra y la destrucción que</w:t>
      </w:r>
      <w:r>
        <w:rPr>
          <w:spacing w:val="-28"/>
          <w:w w:val="115"/>
        </w:rPr>
        <w:t> </w:t>
      </w:r>
      <w:r>
        <w:rPr>
          <w:w w:val="115"/>
        </w:rPr>
        <w:t>han</w:t>
      </w:r>
      <w:r>
        <w:rPr>
          <w:spacing w:val="-28"/>
          <w:w w:val="115"/>
        </w:rPr>
        <w:t> </w:t>
      </w:r>
      <w:r>
        <w:rPr>
          <w:w w:val="115"/>
        </w:rPr>
        <w:t>sembrado</w:t>
      </w:r>
      <w:r>
        <w:rPr>
          <w:spacing w:val="-28"/>
          <w:w w:val="115"/>
        </w:rPr>
        <w:t> </w:t>
      </w:r>
      <w:r>
        <w:rPr>
          <w:w w:val="115"/>
        </w:rPr>
        <w:t>las</w:t>
      </w:r>
      <w:r>
        <w:rPr>
          <w:spacing w:val="-28"/>
          <w:w w:val="115"/>
        </w:rPr>
        <w:t> </w:t>
      </w:r>
      <w:r>
        <w:rPr>
          <w:w w:val="115"/>
        </w:rPr>
        <w:t>agresiones</w:t>
      </w:r>
      <w:r>
        <w:rPr>
          <w:spacing w:val="-28"/>
          <w:w w:val="115"/>
        </w:rPr>
        <w:t> </w:t>
      </w:r>
      <w:r>
        <w:rPr>
          <w:w w:val="115"/>
        </w:rPr>
        <w:t>norteamericanas</w:t>
      </w:r>
      <w:r>
        <w:rPr>
          <w:spacing w:val="-28"/>
          <w:w w:val="115"/>
        </w:rPr>
        <w:t> </w:t>
      </w:r>
      <w:r>
        <w:rPr>
          <w:w w:val="115"/>
        </w:rPr>
        <w:t>en</w:t>
      </w:r>
      <w:r>
        <w:rPr>
          <w:spacing w:val="-28"/>
          <w:w w:val="115"/>
        </w:rPr>
        <w:t> </w:t>
      </w:r>
      <w:r>
        <w:rPr>
          <w:w w:val="115"/>
        </w:rPr>
        <w:t>la</w:t>
      </w:r>
      <w:r>
        <w:rPr>
          <w:spacing w:val="-28"/>
          <w:w w:val="115"/>
        </w:rPr>
        <w:t> </w:t>
      </w:r>
      <w:r>
        <w:rPr>
          <w:w w:val="115"/>
        </w:rPr>
        <w:t>zona</w:t>
      </w:r>
      <w:r>
        <w:rPr>
          <w:spacing w:val="-28"/>
          <w:w w:val="115"/>
        </w:rPr>
        <w:t> </w:t>
      </w:r>
      <w:r>
        <w:rPr>
          <w:w w:val="115"/>
        </w:rPr>
        <w:t>ceden</w:t>
      </w:r>
      <w:r>
        <w:rPr>
          <w:spacing w:val="-28"/>
          <w:w w:val="115"/>
        </w:rPr>
        <w:t> </w:t>
      </w:r>
      <w:r>
        <w:rPr>
          <w:w w:val="115"/>
        </w:rPr>
        <w:t>el paso</w:t>
      </w:r>
      <w:r>
        <w:rPr>
          <w:spacing w:val="-15"/>
          <w:w w:val="115"/>
        </w:rPr>
        <w:t> </w:t>
      </w:r>
      <w:r>
        <w:rPr>
          <w:w w:val="115"/>
        </w:rPr>
        <w:t>a</w:t>
      </w:r>
      <w:r>
        <w:rPr>
          <w:spacing w:val="-15"/>
          <w:w w:val="115"/>
        </w:rPr>
        <w:t> </w:t>
      </w:r>
      <w:r>
        <w:rPr>
          <w:w w:val="115"/>
        </w:rPr>
        <w:t>una</w:t>
      </w:r>
      <w:r>
        <w:rPr>
          <w:spacing w:val="-15"/>
          <w:w w:val="115"/>
        </w:rPr>
        <w:t> </w:t>
      </w:r>
      <w:r>
        <w:rPr>
          <w:w w:val="115"/>
        </w:rPr>
        <w:t>época</w:t>
      </w:r>
      <w:r>
        <w:rPr>
          <w:spacing w:val="-15"/>
          <w:w w:val="115"/>
        </w:rPr>
        <w:t> </w:t>
      </w:r>
      <w:r>
        <w:rPr>
          <w:w w:val="115"/>
        </w:rPr>
        <w:t>de</w:t>
      </w:r>
      <w:r>
        <w:rPr>
          <w:spacing w:val="-15"/>
          <w:w w:val="115"/>
        </w:rPr>
        <w:t> </w:t>
      </w:r>
      <w:r>
        <w:rPr>
          <w:w w:val="115"/>
        </w:rPr>
        <w:t>paz,</w:t>
      </w:r>
      <w:r>
        <w:rPr>
          <w:spacing w:val="-15"/>
          <w:w w:val="115"/>
        </w:rPr>
        <w:t> </w:t>
      </w:r>
      <w:r>
        <w:rPr>
          <w:w w:val="115"/>
        </w:rPr>
        <w:t>colaboración</w:t>
      </w:r>
      <w:r>
        <w:rPr>
          <w:spacing w:val="-15"/>
          <w:w w:val="115"/>
        </w:rPr>
        <w:t> </w:t>
      </w:r>
      <w:r>
        <w:rPr>
          <w:w w:val="115"/>
        </w:rPr>
        <w:t>y</w:t>
      </w:r>
      <w:r>
        <w:rPr>
          <w:spacing w:val="-15"/>
          <w:w w:val="115"/>
        </w:rPr>
        <w:t> </w:t>
      </w:r>
      <w:r>
        <w:rPr>
          <w:w w:val="115"/>
        </w:rPr>
        <w:t>desarrollo.</w:t>
      </w:r>
    </w:p>
    <w:p>
      <w:pPr>
        <w:pStyle w:val="BodyText"/>
        <w:spacing w:line="252" w:lineRule="auto"/>
        <w:ind w:left="330" w:right="117" w:firstLine="396"/>
        <w:jc w:val="both"/>
      </w:pPr>
      <w:r>
        <w:rPr>
          <w:w w:val="110"/>
        </w:rPr>
        <w:t>un mes después de la visita a Kazajistán se dio a conocer la se- gunda parte de este plan. ante el Parlamento indio, el presidente chi- no llamó al restablecimiento de las antiguas redes marítimas para crear una “ruta marítima de la seda”, a fin de impulsar la conectividad internacional, la investigación ambiental y científica y las actividades vinculadas a la pesca.</w:t>
      </w:r>
    </w:p>
    <w:p>
      <w:pPr>
        <w:pStyle w:val="BodyText"/>
        <w:spacing w:line="252" w:lineRule="auto"/>
        <w:ind w:left="330" w:right="117" w:firstLine="396"/>
        <w:jc w:val="both"/>
      </w:pPr>
      <w:r>
        <w:rPr>
          <w:w w:val="109"/>
        </w:rPr>
        <w:t>Posteriormente,</w:t>
      </w:r>
      <w:r>
        <w:rPr>
          <w:spacing w:val="17"/>
        </w:rPr>
        <w:t> </w:t>
      </w:r>
      <w:r>
        <w:rPr>
          <w:w w:val="107"/>
        </w:rPr>
        <w:t>el</w:t>
      </w:r>
      <w:r>
        <w:rPr>
          <w:spacing w:val="17"/>
        </w:rPr>
        <w:t> </w:t>
      </w:r>
      <w:r>
        <w:rPr>
          <w:w w:val="109"/>
        </w:rPr>
        <w:t>primer</w:t>
      </w:r>
      <w:r>
        <w:rPr>
          <w:spacing w:val="17"/>
        </w:rPr>
        <w:t> </w:t>
      </w:r>
      <w:r>
        <w:rPr>
          <w:w w:val="110"/>
        </w:rPr>
        <w:t>ministro</w:t>
      </w:r>
      <w:r>
        <w:rPr>
          <w:spacing w:val="17"/>
        </w:rPr>
        <w:t> </w:t>
      </w:r>
      <w:r>
        <w:rPr>
          <w:w w:val="115"/>
        </w:rPr>
        <w:t>chino,</w:t>
      </w:r>
      <w:r>
        <w:rPr>
          <w:spacing w:val="17"/>
        </w:rPr>
        <w:t> </w:t>
      </w:r>
      <w:r>
        <w:rPr>
          <w:w w:val="243"/>
        </w:rPr>
        <w:t>l</w:t>
      </w:r>
      <w:r>
        <w:rPr>
          <w:w w:val="115"/>
        </w:rPr>
        <w:t>i</w:t>
      </w:r>
      <w:r>
        <w:rPr>
          <w:spacing w:val="17"/>
        </w:rPr>
        <w:t> </w:t>
      </w:r>
      <w:r>
        <w:rPr>
          <w:w w:val="114"/>
        </w:rPr>
        <w:t>Keqiang,</w:t>
      </w:r>
      <w:r>
        <w:rPr>
          <w:spacing w:val="17"/>
        </w:rPr>
        <w:t> </w:t>
      </w:r>
      <w:r>
        <w:rPr>
          <w:w w:val="107"/>
        </w:rPr>
        <w:t>reiteró</w:t>
      </w:r>
      <w:r>
        <w:rPr>
          <w:spacing w:val="17"/>
        </w:rPr>
        <w:t> </w:t>
      </w:r>
      <w:r>
        <w:rPr>
          <w:w w:val="111"/>
        </w:rPr>
        <w:t>d</w:t>
      </w:r>
      <w:r>
        <w:rPr>
          <w:spacing w:val="-1"/>
          <w:w w:val="111"/>
        </w:rPr>
        <w:t>i</w:t>
      </w:r>
      <w:r>
        <w:rPr>
          <w:w w:val="102"/>
        </w:rPr>
        <w:t>- </w:t>
      </w:r>
      <w:r>
        <w:rPr>
          <w:w w:val="110"/>
        </w:rPr>
        <w:t>cho objetivo en la Cumbre del Foro de Cooperación Económica de asia-Pacífico (aPEC), y de nuevo en la Cumbre de la asociación de Naciones del sudeste asiático. desde entonces, el establecimiento de  la ruta de la seda terrestre y de otra marítima se ha convertido en po- lítica oficial de China, respaldada por el Partido Comunista y el Con- greso  Popular</w:t>
      </w:r>
      <w:r>
        <w:rPr>
          <w:spacing w:val="1"/>
          <w:w w:val="110"/>
        </w:rPr>
        <w:t> </w:t>
      </w:r>
      <w:r>
        <w:rPr>
          <w:w w:val="110"/>
        </w:rPr>
        <w:t>Nacional.</w:t>
      </w:r>
    </w:p>
    <w:p>
      <w:pPr>
        <w:pStyle w:val="BodyText"/>
        <w:spacing w:line="252" w:lineRule="auto"/>
        <w:ind w:left="330" w:right="118" w:firstLine="396"/>
        <w:jc w:val="both"/>
      </w:pPr>
      <w:r>
        <w:rPr>
          <w:w w:val="115"/>
        </w:rPr>
        <w:t>China</w:t>
      </w:r>
      <w:r>
        <w:rPr>
          <w:spacing w:val="7"/>
        </w:rPr>
        <w:t> </w:t>
      </w:r>
      <w:r>
        <w:rPr>
          <w:w w:val="112"/>
        </w:rPr>
        <w:t>ha</w:t>
      </w:r>
      <w:r>
        <w:rPr>
          <w:spacing w:val="7"/>
        </w:rPr>
        <w:t> </w:t>
      </w:r>
      <w:r>
        <w:rPr>
          <w:w w:val="109"/>
        </w:rPr>
        <w:t>pasado</w:t>
      </w:r>
      <w:r>
        <w:rPr>
          <w:spacing w:val="7"/>
        </w:rPr>
        <w:t> </w:t>
      </w:r>
      <w:r>
        <w:rPr>
          <w:w w:val="107"/>
        </w:rPr>
        <w:t>de</w:t>
      </w:r>
      <w:r>
        <w:rPr>
          <w:spacing w:val="7"/>
        </w:rPr>
        <w:t> </w:t>
      </w:r>
      <w:r>
        <w:rPr>
          <w:w w:val="109"/>
        </w:rPr>
        <w:t>las</w:t>
      </w:r>
      <w:r>
        <w:rPr>
          <w:spacing w:val="7"/>
        </w:rPr>
        <w:t> </w:t>
      </w:r>
      <w:r>
        <w:rPr>
          <w:w w:val="110"/>
        </w:rPr>
        <w:t>declaraciones</w:t>
      </w:r>
      <w:r>
        <w:rPr>
          <w:spacing w:val="7"/>
        </w:rPr>
        <w:t> </w:t>
      </w:r>
      <w:r>
        <w:rPr>
          <w:w w:val="112"/>
        </w:rPr>
        <w:t>a</w:t>
      </w:r>
      <w:r>
        <w:rPr>
          <w:spacing w:val="7"/>
        </w:rPr>
        <w:t> </w:t>
      </w:r>
      <w:r>
        <w:rPr>
          <w:w w:val="108"/>
        </w:rPr>
        <w:t>los</w:t>
      </w:r>
      <w:r>
        <w:rPr>
          <w:spacing w:val="7"/>
        </w:rPr>
        <w:t> </w:t>
      </w:r>
      <w:r>
        <w:rPr>
          <w:w w:val="112"/>
        </w:rPr>
        <w:t>hechos.</w:t>
      </w:r>
      <w:r>
        <w:rPr>
          <w:spacing w:val="7"/>
        </w:rPr>
        <w:t> </w:t>
      </w:r>
      <w:r>
        <w:rPr>
          <w:w w:val="243"/>
        </w:rPr>
        <w:t>l</w:t>
      </w:r>
      <w:r>
        <w:rPr>
          <w:w w:val="108"/>
        </w:rPr>
        <w:t>os</w:t>
      </w:r>
      <w:r>
        <w:rPr>
          <w:spacing w:val="7"/>
        </w:rPr>
        <w:t> </w:t>
      </w:r>
      <w:r>
        <w:rPr>
          <w:w w:val="110"/>
        </w:rPr>
        <w:t>conceptos </w:t>
      </w:r>
      <w:r>
        <w:rPr>
          <w:w w:val="115"/>
        </w:rPr>
        <w:t>del</w:t>
      </w:r>
      <w:r>
        <w:rPr>
          <w:spacing w:val="-8"/>
          <w:w w:val="115"/>
        </w:rPr>
        <w:t> </w:t>
      </w:r>
      <w:r>
        <w:rPr>
          <w:w w:val="115"/>
        </w:rPr>
        <w:t>Cinturón</w:t>
      </w:r>
      <w:r>
        <w:rPr>
          <w:spacing w:val="-8"/>
          <w:w w:val="115"/>
        </w:rPr>
        <w:t> </w:t>
      </w:r>
      <w:r>
        <w:rPr>
          <w:w w:val="115"/>
        </w:rPr>
        <w:t>Económico</w:t>
      </w:r>
      <w:r>
        <w:rPr>
          <w:spacing w:val="-8"/>
          <w:w w:val="115"/>
        </w:rPr>
        <w:t> </w:t>
      </w:r>
      <w:r>
        <w:rPr>
          <w:w w:val="115"/>
        </w:rPr>
        <w:t>y</w:t>
      </w:r>
      <w:r>
        <w:rPr>
          <w:spacing w:val="-8"/>
          <w:w w:val="115"/>
        </w:rPr>
        <w:t> </w:t>
      </w:r>
      <w:r>
        <w:rPr>
          <w:w w:val="115"/>
        </w:rPr>
        <w:t>de</w:t>
      </w:r>
      <w:r>
        <w:rPr>
          <w:spacing w:val="-8"/>
          <w:w w:val="115"/>
        </w:rPr>
        <w:t> </w:t>
      </w:r>
      <w:r>
        <w:rPr>
          <w:w w:val="115"/>
        </w:rPr>
        <w:t>la</w:t>
      </w:r>
      <w:r>
        <w:rPr>
          <w:spacing w:val="-8"/>
          <w:w w:val="115"/>
        </w:rPr>
        <w:t> </w:t>
      </w:r>
      <w:r>
        <w:rPr>
          <w:w w:val="115"/>
        </w:rPr>
        <w:t>ruta</w:t>
      </w:r>
      <w:r>
        <w:rPr>
          <w:spacing w:val="-8"/>
          <w:w w:val="115"/>
        </w:rPr>
        <w:t> </w:t>
      </w:r>
      <w:r>
        <w:rPr>
          <w:w w:val="115"/>
        </w:rPr>
        <w:t>de</w:t>
      </w:r>
      <w:r>
        <w:rPr>
          <w:spacing w:val="-8"/>
          <w:w w:val="115"/>
        </w:rPr>
        <w:t> </w:t>
      </w:r>
      <w:r>
        <w:rPr>
          <w:w w:val="115"/>
        </w:rPr>
        <w:t>la</w:t>
      </w:r>
      <w:r>
        <w:rPr>
          <w:spacing w:val="-8"/>
          <w:w w:val="115"/>
        </w:rPr>
        <w:t> </w:t>
      </w:r>
      <w:r>
        <w:rPr>
          <w:w w:val="115"/>
        </w:rPr>
        <w:t>seda</w:t>
      </w:r>
      <w:r>
        <w:rPr>
          <w:spacing w:val="-8"/>
          <w:w w:val="115"/>
        </w:rPr>
        <w:t> </w:t>
      </w:r>
      <w:r>
        <w:rPr>
          <w:w w:val="115"/>
        </w:rPr>
        <w:t>Marítima</w:t>
      </w:r>
      <w:r>
        <w:rPr>
          <w:spacing w:val="-8"/>
          <w:w w:val="115"/>
        </w:rPr>
        <w:t> </w:t>
      </w:r>
      <w:r>
        <w:rPr>
          <w:w w:val="115"/>
        </w:rPr>
        <w:t>expresados por</w:t>
      </w:r>
      <w:r>
        <w:rPr>
          <w:spacing w:val="-23"/>
          <w:w w:val="115"/>
        </w:rPr>
        <w:t> </w:t>
      </w:r>
      <w:r>
        <w:rPr>
          <w:w w:val="115"/>
        </w:rPr>
        <w:t>el</w:t>
      </w:r>
      <w:r>
        <w:rPr>
          <w:spacing w:val="-23"/>
          <w:w w:val="115"/>
        </w:rPr>
        <w:t> </w:t>
      </w:r>
      <w:r>
        <w:rPr>
          <w:w w:val="115"/>
        </w:rPr>
        <w:t>presidente</w:t>
      </w:r>
      <w:r>
        <w:rPr>
          <w:spacing w:val="-23"/>
          <w:w w:val="115"/>
        </w:rPr>
        <w:t> </w:t>
      </w:r>
      <w:r>
        <w:rPr>
          <w:w w:val="115"/>
        </w:rPr>
        <w:t>de</w:t>
      </w:r>
      <w:r>
        <w:rPr>
          <w:spacing w:val="-23"/>
          <w:w w:val="115"/>
        </w:rPr>
        <w:t> </w:t>
      </w:r>
      <w:r>
        <w:rPr>
          <w:w w:val="115"/>
        </w:rPr>
        <w:t>China</w:t>
      </w:r>
      <w:r>
        <w:rPr>
          <w:spacing w:val="-23"/>
          <w:w w:val="115"/>
        </w:rPr>
        <w:t> </w:t>
      </w:r>
      <w:r>
        <w:rPr>
          <w:w w:val="115"/>
        </w:rPr>
        <w:t>xi</w:t>
      </w:r>
      <w:r>
        <w:rPr>
          <w:spacing w:val="-23"/>
          <w:w w:val="115"/>
        </w:rPr>
        <w:t> </w:t>
      </w:r>
      <w:r>
        <w:rPr>
          <w:w w:val="115"/>
        </w:rPr>
        <w:t>Jinping</w:t>
      </w:r>
      <w:r>
        <w:rPr>
          <w:spacing w:val="-23"/>
          <w:w w:val="115"/>
        </w:rPr>
        <w:t> </w:t>
      </w:r>
      <w:r>
        <w:rPr>
          <w:w w:val="115"/>
        </w:rPr>
        <w:t>en</w:t>
      </w:r>
      <w:r>
        <w:rPr>
          <w:spacing w:val="-23"/>
          <w:w w:val="115"/>
        </w:rPr>
        <w:t> </w:t>
      </w:r>
      <w:r>
        <w:rPr>
          <w:w w:val="115"/>
        </w:rPr>
        <w:t>2013,</w:t>
      </w:r>
      <w:r>
        <w:rPr>
          <w:spacing w:val="-23"/>
          <w:w w:val="115"/>
        </w:rPr>
        <w:t> </w:t>
      </w:r>
      <w:r>
        <w:rPr>
          <w:w w:val="115"/>
        </w:rPr>
        <w:t>fueron</w:t>
      </w:r>
      <w:r>
        <w:rPr>
          <w:spacing w:val="-23"/>
          <w:w w:val="115"/>
        </w:rPr>
        <w:t> </w:t>
      </w:r>
      <w:r>
        <w:rPr>
          <w:w w:val="115"/>
        </w:rPr>
        <w:t>reiterados</w:t>
      </w:r>
      <w:r>
        <w:rPr>
          <w:spacing w:val="-23"/>
          <w:w w:val="115"/>
        </w:rPr>
        <w:t> </w:t>
      </w:r>
      <w:r>
        <w:rPr>
          <w:w w:val="115"/>
        </w:rPr>
        <w:t>por</w:t>
      </w:r>
      <w:r>
        <w:rPr>
          <w:spacing w:val="-23"/>
          <w:w w:val="115"/>
        </w:rPr>
        <w:t> </w:t>
      </w:r>
      <w:r>
        <w:rPr>
          <w:w w:val="115"/>
        </w:rPr>
        <w:t>el </w:t>
      </w:r>
      <w:r>
        <w:rPr>
          <w:w w:val="109"/>
        </w:rPr>
        <w:t>primer</w:t>
      </w:r>
      <w:r>
        <w:rPr>
          <w:spacing w:val="2"/>
        </w:rPr>
        <w:t> </w:t>
      </w:r>
      <w:r>
        <w:rPr>
          <w:w w:val="110"/>
        </w:rPr>
        <w:t>ministro</w:t>
      </w:r>
      <w:r>
        <w:rPr>
          <w:spacing w:val="2"/>
        </w:rPr>
        <w:t> </w:t>
      </w:r>
      <w:r>
        <w:rPr>
          <w:w w:val="243"/>
        </w:rPr>
        <w:t>l</w:t>
      </w:r>
      <w:r>
        <w:rPr>
          <w:w w:val="115"/>
        </w:rPr>
        <w:t>i</w:t>
      </w:r>
      <w:r>
        <w:rPr>
          <w:spacing w:val="2"/>
        </w:rPr>
        <w:t> </w:t>
      </w:r>
      <w:r>
        <w:rPr>
          <w:w w:val="112"/>
        </w:rPr>
        <w:t>Keqiang</w:t>
      </w:r>
      <w:r>
        <w:rPr>
          <w:spacing w:val="2"/>
        </w:rPr>
        <w:t> </w:t>
      </w:r>
      <w:r>
        <w:rPr>
          <w:w w:val="109"/>
        </w:rPr>
        <w:t>durante</w:t>
      </w:r>
      <w:r>
        <w:rPr>
          <w:spacing w:val="2"/>
        </w:rPr>
        <w:t> </w:t>
      </w:r>
      <w:r>
        <w:rPr>
          <w:w w:val="107"/>
        </w:rPr>
        <w:t>el</w:t>
      </w:r>
      <w:r>
        <w:rPr>
          <w:spacing w:val="2"/>
        </w:rPr>
        <w:t> </w:t>
      </w:r>
      <w:r>
        <w:rPr>
          <w:w w:val="110"/>
        </w:rPr>
        <w:t>foro</w:t>
      </w:r>
      <w:r>
        <w:rPr>
          <w:spacing w:val="2"/>
        </w:rPr>
        <w:t> </w:t>
      </w:r>
      <w:r>
        <w:rPr>
          <w:w w:val="107"/>
        </w:rPr>
        <w:t>de</w:t>
      </w:r>
      <w:r>
        <w:rPr>
          <w:spacing w:val="2"/>
        </w:rPr>
        <w:t> </w:t>
      </w:r>
      <w:r>
        <w:rPr>
          <w:w w:val="134"/>
        </w:rPr>
        <w:t>b</w:t>
      </w:r>
      <w:r>
        <w:rPr>
          <w:w w:val="111"/>
        </w:rPr>
        <w:t>oao</w:t>
      </w:r>
      <w:r>
        <w:rPr>
          <w:spacing w:val="2"/>
        </w:rPr>
        <w:t> </w:t>
      </w:r>
      <w:r>
        <w:rPr>
          <w:w w:val="109"/>
        </w:rPr>
        <w:t>celebrado</w:t>
      </w:r>
      <w:r>
        <w:rPr>
          <w:spacing w:val="2"/>
        </w:rPr>
        <w:t> </w:t>
      </w:r>
      <w:r>
        <w:rPr>
          <w:w w:val="108"/>
        </w:rPr>
        <w:t>en</w:t>
      </w:r>
      <w:r>
        <w:rPr>
          <w:spacing w:val="2"/>
        </w:rPr>
        <w:t> </w:t>
      </w:r>
      <w:r>
        <w:rPr>
          <w:w w:val="110"/>
        </w:rPr>
        <w:t>abril </w:t>
      </w:r>
      <w:r>
        <w:rPr>
          <w:w w:val="107"/>
        </w:rPr>
        <w:t>de</w:t>
      </w:r>
      <w:r>
        <w:rPr>
          <w:spacing w:val="12"/>
        </w:rPr>
        <w:t> </w:t>
      </w:r>
      <w:r>
        <w:rPr>
          <w:w w:val="102"/>
        </w:rPr>
        <w:t>2014</w:t>
      </w:r>
      <w:r>
        <w:rPr>
          <w:spacing w:val="12"/>
        </w:rPr>
        <w:t> </w:t>
      </w:r>
      <w:r>
        <w:rPr>
          <w:w w:val="109"/>
        </w:rPr>
        <w:t>(Pueblo</w:t>
      </w:r>
      <w:r>
        <w:rPr>
          <w:spacing w:val="12"/>
        </w:rPr>
        <w:t> </w:t>
      </w:r>
      <w:r>
        <w:rPr>
          <w:w w:val="108"/>
        </w:rPr>
        <w:t>en</w:t>
      </w:r>
      <w:r>
        <w:rPr>
          <w:spacing w:val="12"/>
        </w:rPr>
        <w:t> </w:t>
      </w:r>
      <w:r>
        <w:rPr>
          <w:w w:val="243"/>
        </w:rPr>
        <w:t>l</w:t>
      </w:r>
      <w:r>
        <w:rPr>
          <w:w w:val="113"/>
        </w:rPr>
        <w:t>ínea,</w:t>
      </w:r>
      <w:r>
        <w:rPr>
          <w:spacing w:val="12"/>
        </w:rPr>
        <w:t> </w:t>
      </w:r>
      <w:r>
        <w:rPr>
          <w:w w:val="105"/>
        </w:rPr>
        <w:t>2014a).</w:t>
      </w:r>
    </w:p>
    <w:p>
      <w:pPr>
        <w:pStyle w:val="BodyText"/>
        <w:spacing w:line="252" w:lineRule="auto"/>
        <w:ind w:left="330" w:right="118" w:firstLine="396"/>
        <w:jc w:val="both"/>
      </w:pPr>
      <w:r>
        <w:rPr>
          <w:w w:val="115"/>
        </w:rPr>
        <w:t>En junio de 2014 la Comisión Nacional de desarrollo y reforma (CNdr, máximo órgano planificador del país), en colaboración con algunos</w:t>
      </w:r>
      <w:r>
        <w:rPr>
          <w:spacing w:val="-8"/>
          <w:w w:val="115"/>
        </w:rPr>
        <w:t> </w:t>
      </w:r>
      <w:r>
        <w:rPr>
          <w:w w:val="115"/>
        </w:rPr>
        <w:t>ministerios,</w:t>
      </w:r>
      <w:r>
        <w:rPr>
          <w:spacing w:val="-8"/>
          <w:w w:val="115"/>
        </w:rPr>
        <w:t> </w:t>
      </w:r>
      <w:r>
        <w:rPr>
          <w:w w:val="115"/>
        </w:rPr>
        <w:t>las</w:t>
      </w:r>
      <w:r>
        <w:rPr>
          <w:spacing w:val="-8"/>
          <w:w w:val="115"/>
        </w:rPr>
        <w:t> </w:t>
      </w:r>
      <w:r>
        <w:rPr>
          <w:w w:val="115"/>
        </w:rPr>
        <w:t>autoridades</w:t>
      </w:r>
      <w:r>
        <w:rPr>
          <w:spacing w:val="-8"/>
          <w:w w:val="115"/>
        </w:rPr>
        <w:t> </w:t>
      </w:r>
      <w:r>
        <w:rPr>
          <w:w w:val="115"/>
        </w:rPr>
        <w:t>chinas</w:t>
      </w:r>
      <w:r>
        <w:rPr>
          <w:spacing w:val="-8"/>
          <w:w w:val="115"/>
        </w:rPr>
        <w:t> </w:t>
      </w:r>
      <w:r>
        <w:rPr>
          <w:w w:val="115"/>
        </w:rPr>
        <w:t>iniciaron</w:t>
      </w:r>
      <w:r>
        <w:rPr>
          <w:spacing w:val="-8"/>
          <w:w w:val="115"/>
        </w:rPr>
        <w:t> </w:t>
      </w:r>
      <w:r>
        <w:rPr>
          <w:w w:val="115"/>
        </w:rPr>
        <w:t>la</w:t>
      </w:r>
      <w:r>
        <w:rPr>
          <w:spacing w:val="-8"/>
          <w:w w:val="115"/>
        </w:rPr>
        <w:t> </w:t>
      </w:r>
      <w:r>
        <w:rPr>
          <w:w w:val="115"/>
        </w:rPr>
        <w:t>preparación de un plan destinado al Cinturón Económico de la ruta de la seda y de la ruta de la seda Marítima del siglo </w:t>
      </w:r>
      <w:r>
        <w:rPr>
          <w:w w:val="125"/>
        </w:rPr>
        <w:t>xxi, </w:t>
      </w:r>
      <w:r>
        <w:rPr>
          <w:w w:val="115"/>
        </w:rPr>
        <w:t>que propone desarro- llar tanto las zonas interiores como costeras de China, así como las regiones</w:t>
      </w:r>
      <w:r>
        <w:rPr>
          <w:spacing w:val="-16"/>
          <w:w w:val="115"/>
        </w:rPr>
        <w:t> </w:t>
      </w:r>
      <w:r>
        <w:rPr>
          <w:w w:val="115"/>
        </w:rPr>
        <w:t>occidentales</w:t>
      </w:r>
      <w:r>
        <w:rPr>
          <w:spacing w:val="-16"/>
          <w:w w:val="115"/>
        </w:rPr>
        <w:t> </w:t>
      </w:r>
      <w:r>
        <w:rPr>
          <w:w w:val="115"/>
        </w:rPr>
        <w:t>y</w:t>
      </w:r>
      <w:r>
        <w:rPr>
          <w:spacing w:val="-16"/>
          <w:w w:val="115"/>
        </w:rPr>
        <w:t> </w:t>
      </w:r>
      <w:r>
        <w:rPr>
          <w:w w:val="115"/>
        </w:rPr>
        <w:t>centrales</w:t>
      </w:r>
      <w:r>
        <w:rPr>
          <w:spacing w:val="-16"/>
          <w:w w:val="115"/>
        </w:rPr>
        <w:t> </w:t>
      </w:r>
      <w:r>
        <w:rPr>
          <w:w w:val="115"/>
        </w:rPr>
        <w:t>menos</w:t>
      </w:r>
      <w:r>
        <w:rPr>
          <w:spacing w:val="-16"/>
          <w:w w:val="115"/>
        </w:rPr>
        <w:t> </w:t>
      </w:r>
      <w:r>
        <w:rPr>
          <w:w w:val="115"/>
        </w:rPr>
        <w:t>prósperas.</w:t>
      </w:r>
      <w:r>
        <w:rPr>
          <w:spacing w:val="-16"/>
          <w:w w:val="115"/>
        </w:rPr>
        <w:t> </w:t>
      </w:r>
      <w:r>
        <w:rPr>
          <w:w w:val="115"/>
        </w:rPr>
        <w:t>En</w:t>
      </w:r>
      <w:r>
        <w:rPr>
          <w:spacing w:val="-16"/>
          <w:w w:val="115"/>
        </w:rPr>
        <w:t> </w:t>
      </w:r>
      <w:r>
        <w:rPr>
          <w:w w:val="115"/>
        </w:rPr>
        <w:t>este</w:t>
      </w:r>
      <w:r>
        <w:rPr>
          <w:spacing w:val="-16"/>
          <w:w w:val="115"/>
        </w:rPr>
        <w:t> </w:t>
      </w:r>
      <w:r>
        <w:rPr>
          <w:w w:val="115"/>
        </w:rPr>
        <w:t>contexto se</w:t>
      </w:r>
      <w:r>
        <w:rPr>
          <w:spacing w:val="-24"/>
          <w:w w:val="115"/>
        </w:rPr>
        <w:t> </w:t>
      </w:r>
      <w:r>
        <w:rPr>
          <w:w w:val="115"/>
        </w:rPr>
        <w:t>piensa</w:t>
      </w:r>
      <w:r>
        <w:rPr>
          <w:spacing w:val="-24"/>
          <w:w w:val="115"/>
        </w:rPr>
        <w:t> </w:t>
      </w:r>
      <w:r>
        <w:rPr>
          <w:w w:val="115"/>
        </w:rPr>
        <w:t>que</w:t>
      </w:r>
      <w:r>
        <w:rPr>
          <w:spacing w:val="-24"/>
          <w:w w:val="115"/>
        </w:rPr>
        <w:t> </w:t>
      </w:r>
      <w:r>
        <w:rPr>
          <w:w w:val="115"/>
        </w:rPr>
        <w:t>la</w:t>
      </w:r>
      <w:r>
        <w:rPr>
          <w:spacing w:val="-24"/>
          <w:w w:val="115"/>
        </w:rPr>
        <w:t> </w:t>
      </w:r>
      <w:r>
        <w:rPr>
          <w:w w:val="115"/>
        </w:rPr>
        <w:t>transferencia</w:t>
      </w:r>
      <w:r>
        <w:rPr>
          <w:spacing w:val="-24"/>
          <w:w w:val="115"/>
        </w:rPr>
        <w:t> </w:t>
      </w:r>
      <w:r>
        <w:rPr>
          <w:w w:val="115"/>
        </w:rPr>
        <w:t>industrial</w:t>
      </w:r>
      <w:r>
        <w:rPr>
          <w:spacing w:val="-24"/>
          <w:w w:val="115"/>
        </w:rPr>
        <w:t> </w:t>
      </w:r>
      <w:r>
        <w:rPr>
          <w:w w:val="115"/>
        </w:rPr>
        <w:t>del</w:t>
      </w:r>
      <w:r>
        <w:rPr>
          <w:spacing w:val="-24"/>
          <w:w w:val="115"/>
        </w:rPr>
        <w:t> </w:t>
      </w:r>
      <w:r>
        <w:rPr>
          <w:w w:val="115"/>
        </w:rPr>
        <w:t>este</w:t>
      </w:r>
      <w:r>
        <w:rPr>
          <w:spacing w:val="-24"/>
          <w:w w:val="115"/>
        </w:rPr>
        <w:t> </w:t>
      </w:r>
      <w:r>
        <w:rPr>
          <w:w w:val="115"/>
        </w:rPr>
        <w:t>al</w:t>
      </w:r>
      <w:r>
        <w:rPr>
          <w:spacing w:val="-24"/>
          <w:w w:val="115"/>
        </w:rPr>
        <w:t> </w:t>
      </w:r>
      <w:r>
        <w:rPr>
          <w:w w:val="115"/>
        </w:rPr>
        <w:t>oeste</w:t>
      </w:r>
      <w:r>
        <w:rPr>
          <w:spacing w:val="-24"/>
          <w:w w:val="115"/>
        </w:rPr>
        <w:t> </w:t>
      </w:r>
      <w:r>
        <w:rPr>
          <w:w w:val="115"/>
        </w:rPr>
        <w:t>estrechará</w:t>
      </w:r>
      <w:r>
        <w:rPr>
          <w:spacing w:val="-24"/>
          <w:w w:val="115"/>
        </w:rPr>
        <w:t> </w:t>
      </w:r>
      <w:r>
        <w:rPr>
          <w:w w:val="115"/>
        </w:rPr>
        <w:t>la brecha</w:t>
      </w:r>
      <w:r>
        <w:rPr>
          <w:spacing w:val="-33"/>
          <w:w w:val="115"/>
        </w:rPr>
        <w:t> </w:t>
      </w:r>
      <w:r>
        <w:rPr>
          <w:w w:val="115"/>
        </w:rPr>
        <w:t>de</w:t>
      </w:r>
      <w:r>
        <w:rPr>
          <w:spacing w:val="-33"/>
          <w:w w:val="115"/>
        </w:rPr>
        <w:t> </w:t>
      </w:r>
      <w:r>
        <w:rPr>
          <w:w w:val="115"/>
        </w:rPr>
        <w:t>desarrollo</w:t>
      </w:r>
      <w:r>
        <w:rPr>
          <w:spacing w:val="-33"/>
          <w:w w:val="115"/>
        </w:rPr>
        <w:t> </w:t>
      </w:r>
      <w:r>
        <w:rPr>
          <w:w w:val="115"/>
        </w:rPr>
        <w:t>regional</w:t>
      </w:r>
      <w:r>
        <w:rPr>
          <w:spacing w:val="-33"/>
          <w:w w:val="115"/>
        </w:rPr>
        <w:t> </w:t>
      </w:r>
      <w:r>
        <w:rPr>
          <w:w w:val="115"/>
        </w:rPr>
        <w:t>y</w:t>
      </w:r>
      <w:r>
        <w:rPr>
          <w:spacing w:val="-33"/>
          <w:w w:val="115"/>
        </w:rPr>
        <w:t> </w:t>
      </w:r>
      <w:r>
        <w:rPr>
          <w:w w:val="115"/>
        </w:rPr>
        <w:t>fomentará</w:t>
      </w:r>
      <w:r>
        <w:rPr>
          <w:spacing w:val="-33"/>
          <w:w w:val="115"/>
        </w:rPr>
        <w:t> </w:t>
      </w:r>
      <w:r>
        <w:rPr>
          <w:w w:val="115"/>
        </w:rPr>
        <w:t>nuevas</w:t>
      </w:r>
      <w:r>
        <w:rPr>
          <w:spacing w:val="-33"/>
          <w:w w:val="115"/>
        </w:rPr>
        <w:t> </w:t>
      </w:r>
      <w:r>
        <w:rPr>
          <w:w w:val="115"/>
        </w:rPr>
        <w:t>zonas</w:t>
      </w:r>
      <w:r>
        <w:rPr>
          <w:spacing w:val="-33"/>
          <w:w w:val="115"/>
        </w:rPr>
        <w:t> </w:t>
      </w:r>
      <w:r>
        <w:rPr>
          <w:w w:val="115"/>
        </w:rPr>
        <w:t>de</w:t>
      </w:r>
      <w:r>
        <w:rPr>
          <w:spacing w:val="-33"/>
          <w:w w:val="115"/>
        </w:rPr>
        <w:t> </w:t>
      </w:r>
      <w:r>
        <w:rPr>
          <w:w w:val="115"/>
        </w:rPr>
        <w:t>crecimien- to ante la ralentización económica que presenta China en la</w:t>
      </w:r>
      <w:r>
        <w:rPr>
          <w:spacing w:val="-25"/>
          <w:w w:val="115"/>
        </w:rPr>
        <w:t> </w:t>
      </w:r>
      <w:r>
        <w:rPr>
          <w:w w:val="115"/>
        </w:rPr>
        <w:t>actuali- </w:t>
      </w:r>
      <w:r>
        <w:rPr>
          <w:w w:val="110"/>
        </w:rPr>
        <w:t>dad</w:t>
      </w:r>
      <w:r>
        <w:rPr>
          <w:spacing w:val="12"/>
        </w:rPr>
        <w:t> </w:t>
      </w:r>
      <w:r>
        <w:rPr>
          <w:w w:val="109"/>
        </w:rPr>
        <w:t>(Pueblo</w:t>
      </w:r>
      <w:r>
        <w:rPr>
          <w:spacing w:val="12"/>
        </w:rPr>
        <w:t> </w:t>
      </w:r>
      <w:r>
        <w:rPr>
          <w:w w:val="108"/>
        </w:rPr>
        <w:t>en</w:t>
      </w:r>
      <w:r>
        <w:rPr>
          <w:spacing w:val="12"/>
        </w:rPr>
        <w:t> </w:t>
      </w:r>
      <w:r>
        <w:rPr>
          <w:w w:val="243"/>
        </w:rPr>
        <w:t>l</w:t>
      </w:r>
      <w:r>
        <w:rPr>
          <w:w w:val="113"/>
        </w:rPr>
        <w:t>ínea,</w:t>
      </w:r>
      <w:r>
        <w:rPr>
          <w:spacing w:val="12"/>
        </w:rPr>
        <w:t> </w:t>
      </w:r>
      <w:r>
        <w:rPr>
          <w:w w:val="105"/>
        </w:rPr>
        <w:t>2014a).</w:t>
      </w:r>
    </w:p>
    <w:p>
      <w:pPr>
        <w:pStyle w:val="BodyText"/>
        <w:spacing w:line="252" w:lineRule="auto"/>
        <w:ind w:left="330" w:right="118" w:firstLine="396"/>
        <w:jc w:val="both"/>
      </w:pPr>
      <w:r>
        <w:rPr>
          <w:w w:val="115"/>
        </w:rPr>
        <w:t>En la cumbre de aPEC, celebrada en beijing en noviembre de 2014,</w:t>
      </w:r>
      <w:r>
        <w:rPr>
          <w:spacing w:val="-10"/>
          <w:w w:val="115"/>
        </w:rPr>
        <w:t> </w:t>
      </w:r>
      <w:r>
        <w:rPr>
          <w:w w:val="115"/>
        </w:rPr>
        <w:t>China</w:t>
      </w:r>
      <w:r>
        <w:rPr>
          <w:spacing w:val="-10"/>
          <w:w w:val="115"/>
        </w:rPr>
        <w:t> </w:t>
      </w:r>
      <w:r>
        <w:rPr>
          <w:w w:val="115"/>
        </w:rPr>
        <w:t>habilitó</w:t>
      </w:r>
      <w:r>
        <w:rPr>
          <w:spacing w:val="-10"/>
          <w:w w:val="115"/>
        </w:rPr>
        <w:t> </w:t>
      </w:r>
      <w:r>
        <w:rPr>
          <w:w w:val="115"/>
        </w:rPr>
        <w:t>un</w:t>
      </w:r>
      <w:r>
        <w:rPr>
          <w:spacing w:val="-10"/>
          <w:w w:val="115"/>
        </w:rPr>
        <w:t> </w:t>
      </w:r>
      <w:r>
        <w:rPr>
          <w:w w:val="115"/>
        </w:rPr>
        <w:t>fondo</w:t>
      </w:r>
      <w:r>
        <w:rPr>
          <w:spacing w:val="-10"/>
          <w:w w:val="115"/>
        </w:rPr>
        <w:t> </w:t>
      </w:r>
      <w:r>
        <w:rPr>
          <w:w w:val="115"/>
        </w:rPr>
        <w:t>especial</w:t>
      </w:r>
      <w:r>
        <w:rPr>
          <w:spacing w:val="-10"/>
          <w:w w:val="115"/>
        </w:rPr>
        <w:t> </w:t>
      </w:r>
      <w:r>
        <w:rPr>
          <w:w w:val="115"/>
        </w:rPr>
        <w:t>de</w:t>
      </w:r>
      <w:r>
        <w:rPr>
          <w:spacing w:val="-10"/>
          <w:w w:val="115"/>
        </w:rPr>
        <w:t> </w:t>
      </w:r>
      <w:r>
        <w:rPr>
          <w:w w:val="115"/>
        </w:rPr>
        <w:t>40</w:t>
      </w:r>
      <w:r>
        <w:rPr>
          <w:spacing w:val="-10"/>
          <w:w w:val="115"/>
        </w:rPr>
        <w:t> </w:t>
      </w:r>
      <w:r>
        <w:rPr>
          <w:w w:val="115"/>
        </w:rPr>
        <w:t>mil</w:t>
      </w:r>
      <w:r>
        <w:rPr>
          <w:spacing w:val="-10"/>
          <w:w w:val="115"/>
        </w:rPr>
        <w:t> </w:t>
      </w:r>
      <w:r>
        <w:rPr>
          <w:w w:val="115"/>
        </w:rPr>
        <w:t>millones</w:t>
      </w:r>
      <w:r>
        <w:rPr>
          <w:spacing w:val="-10"/>
          <w:w w:val="115"/>
        </w:rPr>
        <w:t> </w:t>
      </w:r>
      <w:r>
        <w:rPr>
          <w:w w:val="115"/>
        </w:rPr>
        <w:t>de</w:t>
      </w:r>
      <w:r>
        <w:rPr>
          <w:spacing w:val="-10"/>
          <w:w w:val="115"/>
        </w:rPr>
        <w:t> </w:t>
      </w:r>
      <w:r>
        <w:rPr>
          <w:w w:val="115"/>
        </w:rPr>
        <w:t>dólares para su dinamización, que incluye también la dimensión  </w:t>
      </w:r>
      <w:r>
        <w:rPr>
          <w:spacing w:val="7"/>
          <w:w w:val="115"/>
        </w:rPr>
        <w:t> </w:t>
      </w:r>
      <w:r>
        <w:rPr>
          <w:w w:val="115"/>
        </w:rPr>
        <w:t>marítima</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(anexo i). inicialmente se trabajará en la creación de una red de tre- nes de alta velocidad, puertos, ductos de gas y petróleo, cables de</w:t>
      </w:r>
      <w:r>
        <w:rPr>
          <w:spacing w:val="-23"/>
          <w:w w:val="110"/>
        </w:rPr>
        <w:t> </w:t>
      </w:r>
      <w:r>
        <w:rPr>
          <w:w w:val="110"/>
        </w:rPr>
        <w:t>fibra óptica y telecomunicaciones que empresas chinas ya están constru- yendo para conectar a China con rusia, irán, </w:t>
      </w:r>
      <w:r>
        <w:rPr>
          <w:spacing w:val="-3"/>
          <w:w w:val="110"/>
        </w:rPr>
        <w:t>turquía </w:t>
      </w:r>
      <w:r>
        <w:rPr>
          <w:w w:val="110"/>
        </w:rPr>
        <w:t>y el océano Ín- dico, llegando a las principales ciudades comerciales europeas como berlín, rotterdam, duisburgo y </w:t>
      </w:r>
      <w:r>
        <w:rPr>
          <w:spacing w:val="-3"/>
          <w:w w:val="110"/>
        </w:rPr>
        <w:t>Venecia  </w:t>
      </w:r>
      <w:r>
        <w:rPr>
          <w:w w:val="110"/>
        </w:rPr>
        <w:t>(Zibechi,   </w:t>
      </w:r>
      <w:r>
        <w:rPr>
          <w:spacing w:val="11"/>
          <w:w w:val="110"/>
        </w:rPr>
        <w:t> </w:t>
      </w:r>
      <w:r>
        <w:rPr>
          <w:w w:val="110"/>
        </w:rPr>
        <w:t>2014).</w:t>
      </w:r>
    </w:p>
    <w:p>
      <w:pPr>
        <w:pStyle w:val="BodyText"/>
        <w:spacing w:line="252" w:lineRule="auto"/>
        <w:ind w:left="100" w:right="327" w:firstLine="396"/>
        <w:jc w:val="both"/>
      </w:pPr>
      <w:r>
        <w:rPr>
          <w:w w:val="115"/>
        </w:rPr>
        <w:t>China y alemania ya están conectadas por la red ferroviaria  </w:t>
      </w:r>
      <w:r>
        <w:rPr>
          <w:spacing w:val="1"/>
          <w:w w:val="110"/>
        </w:rPr>
        <w:t>internaciona</w:t>
      </w:r>
      <w:r>
        <w:rPr>
          <w:w w:val="110"/>
        </w:rPr>
        <w:t>l</w:t>
      </w:r>
      <w:r>
        <w:rPr/>
        <w:t>  </w:t>
      </w:r>
      <w:r>
        <w:rPr>
          <w:spacing w:val="-20"/>
        </w:rPr>
        <w:t> </w:t>
      </w:r>
      <w:r>
        <w:rPr>
          <w:spacing w:val="1"/>
          <w:w w:val="112"/>
        </w:rPr>
        <w:t>Chongqing-</w:t>
      </w:r>
      <w:r>
        <w:rPr>
          <w:spacing w:val="1"/>
          <w:w w:val="160"/>
        </w:rPr>
        <w:t>x</w:t>
      </w:r>
      <w:r>
        <w:rPr>
          <w:spacing w:val="1"/>
          <w:w w:val="113"/>
        </w:rPr>
        <w:t>injiang-Europa</w:t>
      </w:r>
      <w:r>
        <w:rPr>
          <w:w w:val="113"/>
        </w:rPr>
        <w:t>.</w:t>
      </w:r>
      <w:r>
        <w:rPr/>
        <w:t>  </w:t>
      </w:r>
      <w:r>
        <w:rPr>
          <w:spacing w:val="-20"/>
        </w:rPr>
        <w:t> </w:t>
      </w:r>
      <w:r>
        <w:rPr>
          <w:spacing w:val="1"/>
          <w:w w:val="243"/>
        </w:rPr>
        <w:t>l</w:t>
      </w:r>
      <w:r>
        <w:rPr>
          <w:w w:val="112"/>
        </w:rPr>
        <w:t>a</w:t>
      </w:r>
      <w:r>
        <w:rPr/>
        <w:t>  </w:t>
      </w:r>
      <w:r>
        <w:rPr>
          <w:spacing w:val="-20"/>
        </w:rPr>
        <w:t> </w:t>
      </w:r>
      <w:r>
        <w:rPr>
          <w:spacing w:val="1"/>
          <w:w w:val="106"/>
        </w:rPr>
        <w:t>re</w:t>
      </w:r>
      <w:r>
        <w:rPr>
          <w:w w:val="106"/>
        </w:rPr>
        <w:t>d</w:t>
      </w:r>
      <w:r>
        <w:rPr/>
        <w:t>  </w:t>
      </w:r>
      <w:r>
        <w:rPr>
          <w:spacing w:val="-20"/>
        </w:rPr>
        <w:t> </w:t>
      </w:r>
      <w:r>
        <w:rPr>
          <w:spacing w:val="1"/>
          <w:w w:val="108"/>
        </w:rPr>
        <w:t>ferroviari</w:t>
      </w:r>
      <w:r>
        <w:rPr>
          <w:w w:val="108"/>
        </w:rPr>
        <w:t>a</w:t>
      </w:r>
      <w:r>
        <w:rPr/>
        <w:t>  </w:t>
      </w:r>
      <w:r>
        <w:rPr>
          <w:spacing w:val="-20"/>
        </w:rPr>
        <w:t> </w:t>
      </w:r>
      <w:r>
        <w:rPr>
          <w:spacing w:val="1"/>
          <w:w w:val="121"/>
        </w:rPr>
        <w:t>“</w:t>
      </w:r>
      <w:r>
        <w:rPr>
          <w:spacing w:val="-16"/>
          <w:w w:val="121"/>
        </w:rPr>
        <w:t>Y</w:t>
      </w:r>
      <w:r>
        <w:rPr>
          <w:w w:val="112"/>
        </w:rPr>
        <w:t>u</w:t>
      </w:r>
    </w:p>
    <w:p>
      <w:pPr>
        <w:pStyle w:val="BodyText"/>
        <w:spacing w:line="249" w:lineRule="exact"/>
        <w:ind w:left="100"/>
        <w:jc w:val="both"/>
      </w:pPr>
      <w:r>
        <w:rPr>
          <w:w w:val="110"/>
        </w:rPr>
        <w:t>‘xin’ou </w:t>
      </w:r>
      <w:r>
        <w:rPr>
          <w:rFonts w:ascii="Meiryo" w:hAnsi="Meiryo" w:eastAsia="Meiryo" w:hint="eastAsia"/>
          <w:i/>
          <w:w w:val="110"/>
        </w:rPr>
        <w:t>(渝 新 欧) </w:t>
      </w:r>
      <w:r>
        <w:rPr>
          <w:w w:val="110"/>
        </w:rPr>
        <w:t>or “Yu  Nueva Europa” se convirtió en una    impor-</w:t>
      </w:r>
    </w:p>
    <w:p>
      <w:pPr>
        <w:pStyle w:val="BodyText"/>
        <w:spacing w:line="208" w:lineRule="exact"/>
        <w:ind w:left="100"/>
        <w:jc w:val="both"/>
      </w:pPr>
      <w:r>
        <w:rPr>
          <w:w w:val="110"/>
        </w:rPr>
        <w:t>tante ruta de comercio del mundo al conectar la relevante   metrópoli</w:t>
      </w:r>
    </w:p>
    <w:p>
      <w:pPr>
        <w:pStyle w:val="BodyText"/>
        <w:spacing w:line="252" w:lineRule="auto" w:before="11"/>
        <w:ind w:left="100" w:right="327"/>
        <w:jc w:val="both"/>
      </w:pPr>
      <w:r>
        <w:rPr>
          <w:w w:val="115"/>
        </w:rPr>
        <w:t>suroccidental</w:t>
      </w:r>
      <w:r>
        <w:rPr>
          <w:spacing w:val="-13"/>
          <w:w w:val="115"/>
        </w:rPr>
        <w:t> </w:t>
      </w:r>
      <w:r>
        <w:rPr>
          <w:w w:val="115"/>
        </w:rPr>
        <w:t>de</w:t>
      </w:r>
      <w:r>
        <w:rPr>
          <w:spacing w:val="-13"/>
          <w:w w:val="115"/>
        </w:rPr>
        <w:t> </w:t>
      </w:r>
      <w:r>
        <w:rPr>
          <w:w w:val="115"/>
        </w:rPr>
        <w:t>Chongqing</w:t>
      </w:r>
      <w:r>
        <w:rPr>
          <w:spacing w:val="-13"/>
          <w:w w:val="115"/>
        </w:rPr>
        <w:t> </w:t>
      </w:r>
      <w:r>
        <w:rPr>
          <w:w w:val="115"/>
        </w:rPr>
        <w:t>(China)</w:t>
      </w:r>
      <w:r>
        <w:rPr>
          <w:spacing w:val="-13"/>
          <w:w w:val="115"/>
        </w:rPr>
        <w:t> </w:t>
      </w:r>
      <w:r>
        <w:rPr>
          <w:w w:val="115"/>
        </w:rPr>
        <w:t>con</w:t>
      </w:r>
      <w:r>
        <w:rPr>
          <w:spacing w:val="-13"/>
          <w:w w:val="115"/>
        </w:rPr>
        <w:t> </w:t>
      </w:r>
      <w:r>
        <w:rPr>
          <w:w w:val="115"/>
        </w:rPr>
        <w:t>duisburgo,</w:t>
      </w:r>
      <w:r>
        <w:rPr>
          <w:spacing w:val="-13"/>
          <w:w w:val="115"/>
        </w:rPr>
        <w:t> </w:t>
      </w:r>
      <w:r>
        <w:rPr>
          <w:w w:val="115"/>
        </w:rPr>
        <w:t>el</w:t>
      </w:r>
      <w:r>
        <w:rPr>
          <w:spacing w:val="-13"/>
          <w:w w:val="115"/>
        </w:rPr>
        <w:t> </w:t>
      </w:r>
      <w:r>
        <w:rPr>
          <w:w w:val="115"/>
        </w:rPr>
        <w:t>mayor</w:t>
      </w:r>
      <w:r>
        <w:rPr>
          <w:spacing w:val="-13"/>
          <w:w w:val="115"/>
        </w:rPr>
        <w:t> </w:t>
      </w:r>
      <w:r>
        <w:rPr>
          <w:w w:val="115"/>
        </w:rPr>
        <w:t>puerto interno del mundo en la región siderúrgica y comercial del </w:t>
      </w:r>
      <w:r>
        <w:rPr>
          <w:spacing w:val="-4"/>
          <w:w w:val="115"/>
        </w:rPr>
        <w:t>ruhr, </w:t>
      </w:r>
      <w:r>
        <w:rPr>
          <w:w w:val="115"/>
        </w:rPr>
        <w:t>además de ser la encrucijada de transporte y logística de Europa, que entró en operación en 2011. Esta red ha reducido el tiempo de cinco semanas de transporte marítimo a sólo dos semanas. a estos avances les siguió la conexión ferroviaria de carga entre Chengdu </w:t>
      </w:r>
      <w:r>
        <w:rPr>
          <w:spacing w:val="1"/>
          <w:w w:val="110"/>
        </w:rPr>
        <w:t>(capita</w:t>
      </w:r>
      <w:r>
        <w:rPr>
          <w:w w:val="110"/>
        </w:rPr>
        <w:t>l</w:t>
      </w:r>
      <w:r>
        <w:rPr>
          <w:spacing w:val="20"/>
        </w:rPr>
        <w:t> </w:t>
      </w:r>
      <w:r>
        <w:rPr>
          <w:spacing w:val="1"/>
          <w:w w:val="107"/>
        </w:rPr>
        <w:t>d</w:t>
      </w:r>
      <w:r>
        <w:rPr>
          <w:w w:val="107"/>
        </w:rPr>
        <w:t>e</w:t>
      </w:r>
      <w:r>
        <w:rPr>
          <w:spacing w:val="20"/>
        </w:rPr>
        <w:t> </w:t>
      </w:r>
      <w:r>
        <w:rPr>
          <w:spacing w:val="1"/>
          <w:w w:val="149"/>
        </w:rPr>
        <w:t>s</w:t>
      </w:r>
      <w:r>
        <w:rPr>
          <w:spacing w:val="1"/>
          <w:w w:val="110"/>
        </w:rPr>
        <w:t>echuan</w:t>
      </w:r>
      <w:r>
        <w:rPr>
          <w:w w:val="110"/>
        </w:rPr>
        <w:t>)</w:t>
      </w:r>
      <w:r>
        <w:rPr>
          <w:spacing w:val="20"/>
        </w:rPr>
        <w:t> </w:t>
      </w:r>
      <w:r>
        <w:rPr>
          <w:w w:val="105"/>
        </w:rPr>
        <w:t>y</w:t>
      </w:r>
      <w:r>
        <w:rPr>
          <w:spacing w:val="20"/>
        </w:rPr>
        <w:t> </w:t>
      </w:r>
      <w:r>
        <w:rPr>
          <w:spacing w:val="1"/>
          <w:w w:val="243"/>
        </w:rPr>
        <w:t>l</w:t>
      </w:r>
      <w:r>
        <w:rPr>
          <w:spacing w:val="1"/>
          <w:w w:val="110"/>
        </w:rPr>
        <w:t>od</w:t>
      </w:r>
      <w:r>
        <w:rPr>
          <w:w w:val="110"/>
        </w:rPr>
        <w:t>z</w:t>
      </w:r>
      <w:r>
        <w:rPr>
          <w:spacing w:val="20"/>
        </w:rPr>
        <w:t> </w:t>
      </w:r>
      <w:r>
        <w:rPr>
          <w:spacing w:val="1"/>
          <w:w w:val="109"/>
        </w:rPr>
        <w:t>(Polonia</w:t>
      </w:r>
      <w:r>
        <w:rPr>
          <w:w w:val="109"/>
        </w:rPr>
        <w:t>)</w:t>
      </w:r>
      <w:r>
        <w:rPr>
          <w:spacing w:val="20"/>
        </w:rPr>
        <w:t> </w:t>
      </w:r>
      <w:r>
        <w:rPr>
          <w:spacing w:val="1"/>
          <w:w w:val="108"/>
        </w:rPr>
        <w:t>qu</w:t>
      </w:r>
      <w:r>
        <w:rPr>
          <w:w w:val="108"/>
        </w:rPr>
        <w:t>e</w:t>
      </w:r>
      <w:r>
        <w:rPr>
          <w:spacing w:val="20"/>
        </w:rPr>
        <w:t> </w:t>
      </w:r>
      <w:r>
        <w:rPr>
          <w:spacing w:val="1"/>
          <w:w w:val="108"/>
        </w:rPr>
        <w:t>atravies</w:t>
      </w:r>
      <w:r>
        <w:rPr>
          <w:w w:val="108"/>
        </w:rPr>
        <w:t>a</w:t>
      </w:r>
      <w:r>
        <w:rPr>
          <w:spacing w:val="20"/>
        </w:rPr>
        <w:t> </w:t>
      </w:r>
      <w:r>
        <w:rPr>
          <w:spacing w:val="1"/>
          <w:w w:val="114"/>
        </w:rPr>
        <w:t>Kazajistán</w:t>
      </w:r>
      <w:r>
        <w:rPr>
          <w:w w:val="114"/>
        </w:rPr>
        <w:t>,</w:t>
      </w:r>
      <w:r>
        <w:rPr>
          <w:spacing w:val="20"/>
        </w:rPr>
        <w:t> </w:t>
      </w:r>
      <w:r>
        <w:rPr>
          <w:spacing w:val="1"/>
          <w:w w:val="182"/>
        </w:rPr>
        <w:t>r</w:t>
      </w:r>
      <w:r>
        <w:rPr>
          <w:spacing w:val="1"/>
          <w:w w:val="112"/>
        </w:rPr>
        <w:t>u</w:t>
      </w:r>
      <w:r>
        <w:rPr>
          <w:w w:val="102"/>
        </w:rPr>
        <w:t>- </w:t>
      </w:r>
      <w:r>
        <w:rPr>
          <w:w w:val="115"/>
        </w:rPr>
        <w:t>sia y bielorrusia, con aproximadamente 12 días de trayecto (Jalife- rahme,</w:t>
      </w:r>
      <w:r>
        <w:rPr>
          <w:spacing w:val="10"/>
          <w:w w:val="115"/>
        </w:rPr>
        <w:t> </w:t>
      </w:r>
      <w:r>
        <w:rPr>
          <w:w w:val="115"/>
        </w:rPr>
        <w:t>2014).</w:t>
      </w:r>
    </w:p>
    <w:p>
      <w:pPr>
        <w:pStyle w:val="BodyText"/>
        <w:spacing w:line="252" w:lineRule="auto"/>
        <w:ind w:left="100" w:right="327" w:firstLine="396"/>
        <w:jc w:val="both"/>
      </w:pPr>
      <w:r>
        <w:rPr>
          <w:w w:val="110"/>
        </w:rPr>
        <w:t>El 18 de noviembre de 2014 China lanzó un primer servicio re- gular de trenes de carga que conecta la ciudad de </w:t>
      </w:r>
      <w:r>
        <w:rPr>
          <w:spacing w:val="-3"/>
          <w:w w:val="110"/>
        </w:rPr>
        <w:t>Yiwu, </w:t>
      </w:r>
      <w:r>
        <w:rPr>
          <w:w w:val="110"/>
        </w:rPr>
        <w:t>una ciudad costera de la provincia de Zhejiang ubicada en la costa oriental, con gran desarrollo comercial, y la ciudad de Madrid, marcando el co- mienzo del tránsito a través de la ruta de la seda. El tren viajará más de 13.052 kilómetros, entrará en Kazajistán a través de alashankou  en la región autónoma de xinjiang, cruzará rusia, bielorrusia, Po- lonia, alemania, Francia, antes de llegar a su destino final en España </w:t>
      </w:r>
      <w:hyperlink r:id="rId135">
        <w:r>
          <w:rPr>
            <w:w w:val="110"/>
          </w:rPr>
          <w:t>(&lt;www.spanish.china.org.cn&gt;,</w:t>
        </w:r>
      </w:hyperlink>
      <w:r>
        <w:rPr>
          <w:spacing w:val="8"/>
          <w:w w:val="110"/>
        </w:rPr>
        <w:t> </w:t>
      </w:r>
      <w:r>
        <w:rPr>
          <w:w w:val="110"/>
        </w:rPr>
        <w:t>2014).</w:t>
      </w:r>
    </w:p>
    <w:p>
      <w:pPr>
        <w:pStyle w:val="BodyText"/>
        <w:spacing w:before="5"/>
      </w:pPr>
    </w:p>
    <w:p>
      <w:pPr>
        <w:pStyle w:val="Heading6"/>
      </w:pPr>
      <w:r>
        <w:rPr>
          <w:spacing w:val="7"/>
          <w:w w:val="201"/>
        </w:rPr>
        <w:t>l</w:t>
      </w:r>
      <w:r>
        <w:rPr>
          <w:w w:val="129"/>
        </w:rPr>
        <w:t>a</w:t>
      </w:r>
      <w:r>
        <w:rPr>
          <w:spacing w:val="-8"/>
        </w:rPr>
        <w:t> </w:t>
      </w:r>
      <w:r>
        <w:rPr>
          <w:spacing w:val="-1"/>
          <w:w w:val="145"/>
        </w:rPr>
        <w:t>r</w:t>
      </w:r>
      <w:r>
        <w:rPr>
          <w:spacing w:val="4"/>
          <w:w w:val="131"/>
        </w:rPr>
        <w:t>u</w:t>
      </w:r>
      <w:r>
        <w:rPr>
          <w:spacing w:val="-10"/>
          <w:w w:val="180"/>
        </w:rPr>
        <w:t>t</w:t>
      </w:r>
      <w:r>
        <w:rPr>
          <w:w w:val="129"/>
        </w:rPr>
        <w:t>a</w:t>
      </w:r>
      <w:r>
        <w:rPr>
          <w:spacing w:val="-8"/>
        </w:rPr>
        <w:t> </w:t>
      </w:r>
      <w:r>
        <w:rPr>
          <w:spacing w:val="2"/>
          <w:w w:val="114"/>
        </w:rPr>
        <w:t>Mar</w:t>
      </w:r>
      <w:r>
        <w:rPr>
          <w:spacing w:val="2"/>
          <w:w w:val="92"/>
        </w:rPr>
        <w:t>Í</w:t>
      </w:r>
      <w:r>
        <w:rPr>
          <w:spacing w:val="2"/>
          <w:w w:val="156"/>
        </w:rPr>
        <w:t>ti</w:t>
      </w:r>
      <w:r>
        <w:rPr>
          <w:spacing w:val="2"/>
          <w:w w:val="92"/>
        </w:rPr>
        <w:t>M</w:t>
      </w:r>
      <w:r>
        <w:rPr>
          <w:w w:val="129"/>
        </w:rPr>
        <w:t>a</w:t>
      </w:r>
      <w:r>
        <w:rPr>
          <w:spacing w:val="-8"/>
        </w:rPr>
        <w:t> </w:t>
      </w:r>
      <w:r>
        <w:rPr>
          <w:spacing w:val="2"/>
          <w:w w:val="132"/>
        </w:rPr>
        <w:t>d</w:t>
      </w:r>
      <w:r>
        <w:rPr>
          <w:w w:val="132"/>
        </w:rPr>
        <w:t>e</w:t>
      </w:r>
      <w:r>
        <w:rPr>
          <w:spacing w:val="-8"/>
        </w:rPr>
        <w:t> </w:t>
      </w:r>
      <w:r>
        <w:rPr>
          <w:spacing w:val="7"/>
          <w:w w:val="201"/>
        </w:rPr>
        <w:t>l</w:t>
      </w:r>
      <w:r>
        <w:rPr>
          <w:w w:val="129"/>
        </w:rPr>
        <w:t>a</w:t>
      </w:r>
      <w:r>
        <w:rPr>
          <w:spacing w:val="-8"/>
        </w:rPr>
        <w:t> </w:t>
      </w:r>
      <w:r>
        <w:rPr>
          <w:spacing w:val="2"/>
          <w:w w:val="136"/>
        </w:rPr>
        <w:t>s</w:t>
      </w:r>
      <w:r>
        <w:rPr>
          <w:spacing w:val="3"/>
          <w:w w:val="134"/>
        </w:rPr>
        <w:t>e</w:t>
      </w:r>
      <w:r>
        <w:rPr>
          <w:spacing w:val="1"/>
          <w:w w:val="131"/>
        </w:rPr>
        <w:t>d</w:t>
      </w:r>
      <w:r>
        <w:rPr>
          <w:w w:val="129"/>
        </w:rPr>
        <w:t>a</w:t>
      </w:r>
      <w:r>
        <w:rPr>
          <w:spacing w:val="-8"/>
        </w:rPr>
        <w:t> </w:t>
      </w:r>
      <w:r>
        <w:rPr>
          <w:spacing w:val="2"/>
          <w:w w:val="132"/>
        </w:rPr>
        <w:t>d</w:t>
      </w:r>
      <w:r>
        <w:rPr>
          <w:spacing w:val="3"/>
          <w:w w:val="132"/>
        </w:rPr>
        <w:t>e</w:t>
      </w:r>
      <w:r>
        <w:rPr>
          <w:w w:val="201"/>
        </w:rPr>
        <w:t>l</w:t>
      </w:r>
      <w:r>
        <w:rPr>
          <w:spacing w:val="-8"/>
        </w:rPr>
        <w:t> </w:t>
      </w:r>
      <w:r>
        <w:rPr>
          <w:spacing w:val="2"/>
          <w:w w:val="133"/>
        </w:rPr>
        <w:t>si</w:t>
      </w:r>
      <w:r>
        <w:rPr>
          <w:spacing w:val="2"/>
          <w:w w:val="89"/>
        </w:rPr>
        <w:t>G</w:t>
      </w:r>
      <w:r>
        <w:rPr>
          <w:spacing w:val="1"/>
          <w:w w:val="201"/>
        </w:rPr>
        <w:t>l</w:t>
      </w:r>
      <w:r>
        <w:rPr>
          <w:w w:val="145"/>
        </w:rPr>
        <w:t>o</w:t>
      </w:r>
      <w:r>
        <w:rPr>
          <w:spacing w:val="-8"/>
        </w:rPr>
        <w:t> </w:t>
      </w:r>
      <w:r>
        <w:rPr>
          <w:spacing w:val="3"/>
          <w:w w:val="124"/>
        </w:rPr>
        <w:t>xx</w:t>
      </w:r>
      <w:r>
        <w:rPr>
          <w:w w:val="129"/>
        </w:rPr>
        <w:t>i</w:t>
      </w:r>
    </w:p>
    <w:p>
      <w:pPr>
        <w:pStyle w:val="BodyText"/>
        <w:spacing w:line="252" w:lineRule="auto" w:before="10"/>
        <w:ind w:left="100" w:right="328"/>
        <w:jc w:val="both"/>
      </w:pPr>
      <w:r>
        <w:rPr>
          <w:w w:val="110"/>
        </w:rPr>
        <w:t>Hace más de 600 años, el diplomático de la dinastía Ming, el legenda- rio almirante Zheng He, realizó siete viajes hacia occidente por una  vía conocida como la ruta de la seda Marítima. usada por primera    vez en las dinastías Han (25-220 d.C.) y Qin, la vía marítima conecta- ba los puertos del sur de China con el sudeste de asia, india, arabia y África. seda, porcelana, té y especias pasaron de Guangzhou, el pun-  to de partida, a los países del Golfo </w:t>
      </w:r>
      <w:hyperlink r:id="rId136">
        <w:r>
          <w:rPr>
            <w:w w:val="110"/>
          </w:rPr>
          <w:t>(&lt;www.spanish.peopleedail</w:t>
        </w:r>
      </w:hyperlink>
      <w:r>
        <w:rPr>
          <w:w w:val="110"/>
        </w:rPr>
        <w:t>y</w:t>
      </w:r>
      <w:hyperlink r:id="rId136">
        <w:r>
          <w:rPr>
            <w:w w:val="110"/>
          </w:rPr>
          <w:t>.com.</w:t>
        </w:r>
      </w:hyperlink>
      <w:r>
        <w:rPr>
          <w:w w:val="110"/>
        </w:rPr>
        <w:t> cn&gt;,</w:t>
      </w:r>
      <w:r>
        <w:rPr>
          <w:spacing w:val="-2"/>
          <w:w w:val="110"/>
        </w:rPr>
        <w:t> </w:t>
      </w:r>
      <w:r>
        <w:rPr>
          <w:w w:val="110"/>
        </w:rPr>
        <w:t>2013b).</w:t>
      </w:r>
    </w:p>
    <w:p>
      <w:pPr>
        <w:pStyle w:val="BodyText"/>
        <w:spacing w:line="252" w:lineRule="auto"/>
        <w:ind w:left="100" w:right="328" w:firstLine="396"/>
        <w:jc w:val="both"/>
      </w:pPr>
      <w:r>
        <w:rPr>
          <w:w w:val="115"/>
        </w:rPr>
        <w:t>ahora, China propone reeditar esta vía marítima con siglos de antigüedad</w:t>
      </w:r>
      <w:r>
        <w:rPr>
          <w:spacing w:val="-6"/>
          <w:w w:val="115"/>
        </w:rPr>
        <w:t> </w:t>
      </w:r>
      <w:r>
        <w:rPr>
          <w:w w:val="115"/>
        </w:rPr>
        <w:t>y</w:t>
      </w:r>
      <w:r>
        <w:rPr>
          <w:spacing w:val="-6"/>
          <w:w w:val="115"/>
        </w:rPr>
        <w:t> </w:t>
      </w:r>
      <w:r>
        <w:rPr>
          <w:w w:val="115"/>
        </w:rPr>
        <w:t>convertirla</w:t>
      </w:r>
      <w:r>
        <w:rPr>
          <w:spacing w:val="-6"/>
          <w:w w:val="115"/>
        </w:rPr>
        <w:t> </w:t>
      </w:r>
      <w:r>
        <w:rPr>
          <w:w w:val="115"/>
        </w:rPr>
        <w:t>en</w:t>
      </w:r>
      <w:r>
        <w:rPr>
          <w:spacing w:val="-6"/>
          <w:w w:val="115"/>
        </w:rPr>
        <w:t> </w:t>
      </w:r>
      <w:r>
        <w:rPr>
          <w:w w:val="115"/>
        </w:rPr>
        <w:t>la</w:t>
      </w:r>
      <w:r>
        <w:rPr>
          <w:spacing w:val="-6"/>
          <w:w w:val="115"/>
        </w:rPr>
        <w:t> </w:t>
      </w:r>
      <w:r>
        <w:rPr>
          <w:w w:val="115"/>
        </w:rPr>
        <w:t>ruta</w:t>
      </w:r>
      <w:r>
        <w:rPr>
          <w:spacing w:val="-6"/>
          <w:w w:val="115"/>
        </w:rPr>
        <w:t> </w:t>
      </w:r>
      <w:r>
        <w:rPr>
          <w:w w:val="115"/>
        </w:rPr>
        <w:t>de</w:t>
      </w:r>
      <w:r>
        <w:rPr>
          <w:spacing w:val="-6"/>
          <w:w w:val="115"/>
        </w:rPr>
        <w:t> </w:t>
      </w:r>
      <w:r>
        <w:rPr>
          <w:w w:val="115"/>
        </w:rPr>
        <w:t>la</w:t>
      </w:r>
      <w:r>
        <w:rPr>
          <w:spacing w:val="-6"/>
          <w:w w:val="115"/>
        </w:rPr>
        <w:t> </w:t>
      </w:r>
      <w:r>
        <w:rPr>
          <w:w w:val="115"/>
        </w:rPr>
        <w:t>seda</w:t>
      </w:r>
      <w:r>
        <w:rPr>
          <w:spacing w:val="-6"/>
          <w:w w:val="115"/>
        </w:rPr>
        <w:t> </w:t>
      </w:r>
      <w:r>
        <w:rPr>
          <w:w w:val="115"/>
        </w:rPr>
        <w:t>Marítima</w:t>
      </w:r>
      <w:r>
        <w:rPr>
          <w:spacing w:val="-6"/>
          <w:w w:val="115"/>
        </w:rPr>
        <w:t> </w:t>
      </w:r>
      <w:r>
        <w:rPr>
          <w:w w:val="115"/>
        </w:rPr>
        <w:t>del</w:t>
      </w:r>
      <w:r>
        <w:rPr>
          <w:spacing w:val="-6"/>
          <w:w w:val="115"/>
        </w:rPr>
        <w:t> </w:t>
      </w:r>
      <w:r>
        <w:rPr>
          <w:w w:val="115"/>
        </w:rPr>
        <w:t>siglo</w:t>
      </w:r>
      <w:r>
        <w:rPr>
          <w:spacing w:val="-6"/>
          <w:w w:val="115"/>
        </w:rPr>
        <w:t> </w:t>
      </w:r>
      <w:r>
        <w:rPr>
          <w:w w:val="125"/>
        </w:rPr>
        <w:t>xxi. </w:t>
      </w:r>
      <w:r>
        <w:rPr>
          <w:w w:val="115"/>
        </w:rPr>
        <w:t>Esta iniciativa está encaminada a impulsar la integración regional</w:t>
      </w:r>
      <w:r>
        <w:rPr>
          <w:spacing w:val="-16"/>
          <w:w w:val="115"/>
        </w:rPr>
        <w:t> </w:t>
      </w:r>
      <w:r>
        <w:rPr>
          <w:w w:val="115"/>
        </w:rPr>
        <w:t>y </w:t>
      </w:r>
      <w:r>
        <w:rPr>
          <w:w w:val="110"/>
        </w:rPr>
        <w:t>tiene</w:t>
      </w:r>
      <w:r>
        <w:rPr>
          <w:spacing w:val="-5"/>
          <w:w w:val="110"/>
        </w:rPr>
        <w:t> </w:t>
      </w:r>
      <w:r>
        <w:rPr>
          <w:w w:val="110"/>
        </w:rPr>
        <w:t>como</w:t>
      </w:r>
      <w:r>
        <w:rPr>
          <w:spacing w:val="-5"/>
          <w:w w:val="110"/>
        </w:rPr>
        <w:t> </w:t>
      </w:r>
      <w:r>
        <w:rPr>
          <w:w w:val="110"/>
        </w:rPr>
        <w:t>objetivo</w:t>
      </w:r>
      <w:r>
        <w:rPr>
          <w:spacing w:val="-5"/>
          <w:w w:val="110"/>
        </w:rPr>
        <w:t> </w:t>
      </w:r>
      <w:r>
        <w:rPr>
          <w:w w:val="110"/>
        </w:rPr>
        <w:t>interconectar</w:t>
      </w:r>
      <w:r>
        <w:rPr>
          <w:spacing w:val="-5"/>
          <w:w w:val="110"/>
        </w:rPr>
        <w:t> </w:t>
      </w:r>
      <w:r>
        <w:rPr>
          <w:w w:val="110"/>
        </w:rPr>
        <w:t>a</w:t>
      </w:r>
      <w:r>
        <w:rPr>
          <w:spacing w:val="-5"/>
          <w:w w:val="110"/>
        </w:rPr>
        <w:t> </w:t>
      </w:r>
      <w:r>
        <w:rPr>
          <w:w w:val="110"/>
        </w:rPr>
        <w:t>varias</w:t>
      </w:r>
      <w:r>
        <w:rPr>
          <w:spacing w:val="-5"/>
          <w:w w:val="110"/>
        </w:rPr>
        <w:t> </w:t>
      </w:r>
      <w:r>
        <w:rPr>
          <w:w w:val="110"/>
        </w:rPr>
        <w:t>economías</w:t>
      </w:r>
      <w:r>
        <w:rPr>
          <w:spacing w:val="-5"/>
          <w:w w:val="110"/>
        </w:rPr>
        <w:t> </w:t>
      </w:r>
      <w:r>
        <w:rPr>
          <w:w w:val="110"/>
        </w:rPr>
        <w:t>del</w:t>
      </w:r>
      <w:r>
        <w:rPr>
          <w:spacing w:val="-5"/>
          <w:w w:val="110"/>
        </w:rPr>
        <w:t> </w:t>
      </w:r>
      <w:r>
        <w:rPr>
          <w:w w:val="110"/>
        </w:rPr>
        <w:t>sudeste</w:t>
      </w:r>
      <w:r>
        <w:rPr>
          <w:spacing w:val="-5"/>
          <w:w w:val="110"/>
        </w:rPr>
        <w:t> </w:t>
      </w:r>
      <w:r>
        <w:rPr>
          <w:w w:val="110"/>
        </w:rPr>
        <w:t>asiá- </w:t>
      </w:r>
      <w:r>
        <w:rPr>
          <w:w w:val="114"/>
        </w:rPr>
        <w:t>tico,</w:t>
      </w:r>
      <w:r>
        <w:rPr>
          <w:spacing w:val="12"/>
        </w:rPr>
        <w:t> </w:t>
      </w:r>
      <w:r>
        <w:rPr>
          <w:w w:val="108"/>
        </w:rPr>
        <w:t>sur</w:t>
      </w:r>
      <w:r>
        <w:rPr>
          <w:spacing w:val="12"/>
        </w:rPr>
        <w:t> </w:t>
      </w:r>
      <w:r>
        <w:rPr>
          <w:w w:val="107"/>
        </w:rPr>
        <w:t>de</w:t>
      </w:r>
      <w:r>
        <w:rPr>
          <w:spacing w:val="12"/>
        </w:rPr>
        <w:t> </w:t>
      </w:r>
      <w:r>
        <w:rPr>
          <w:w w:val="139"/>
        </w:rPr>
        <w:t>a</w:t>
      </w:r>
      <w:r>
        <w:rPr>
          <w:w w:val="114"/>
        </w:rPr>
        <w:t>sia,</w:t>
      </w:r>
      <w:r>
        <w:rPr>
          <w:spacing w:val="12"/>
        </w:rPr>
        <w:t> </w:t>
      </w:r>
      <w:r>
        <w:rPr>
          <w:w w:val="139"/>
        </w:rPr>
        <w:t>a</w:t>
      </w:r>
      <w:r>
        <w:rPr>
          <w:w w:val="110"/>
        </w:rPr>
        <w:t>sia</w:t>
      </w:r>
      <w:r>
        <w:rPr>
          <w:spacing w:val="12"/>
        </w:rPr>
        <w:t> </w:t>
      </w:r>
      <w:r>
        <w:rPr>
          <w:w w:val="113"/>
        </w:rPr>
        <w:t>Central,</w:t>
      </w:r>
      <w:r>
        <w:rPr>
          <w:spacing w:val="12"/>
        </w:rPr>
        <w:t> </w:t>
      </w:r>
      <w:r>
        <w:rPr>
          <w:w w:val="112"/>
        </w:rPr>
        <w:t>África</w:t>
      </w:r>
      <w:r>
        <w:rPr>
          <w:spacing w:val="12"/>
        </w:rPr>
        <w:t> </w:t>
      </w:r>
      <w:r>
        <w:rPr>
          <w:w w:val="114"/>
        </w:rPr>
        <w:t>e,</w:t>
      </w:r>
      <w:r>
        <w:rPr>
          <w:spacing w:val="12"/>
        </w:rPr>
        <w:t> </w:t>
      </w:r>
      <w:r>
        <w:rPr>
          <w:w w:val="110"/>
        </w:rPr>
        <w:t>idealmente,</w:t>
      </w:r>
      <w:r>
        <w:rPr>
          <w:spacing w:val="12"/>
        </w:rPr>
        <w:t> </w:t>
      </w:r>
      <w:r>
        <w:rPr>
          <w:w w:val="139"/>
        </w:rPr>
        <w:t>a</w:t>
      </w:r>
      <w:r>
        <w:rPr>
          <w:w w:val="111"/>
        </w:rPr>
        <w:t>mérica</w:t>
      </w:r>
      <w:r>
        <w:rPr>
          <w:spacing w:val="12"/>
        </w:rPr>
        <w:t> </w:t>
      </w:r>
      <w:r>
        <w:rPr>
          <w:w w:val="243"/>
        </w:rPr>
        <w:t>l</w:t>
      </w:r>
      <w:r>
        <w:rPr>
          <w:w w:val="113"/>
        </w:rPr>
        <w:t>atina.</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firstLine="397"/>
        <w:jc w:val="both"/>
      </w:pPr>
      <w:r>
        <w:rPr>
          <w:w w:val="115"/>
        </w:rPr>
        <w:t>Esta</w:t>
      </w:r>
      <w:r>
        <w:rPr>
          <w:spacing w:val="-23"/>
          <w:w w:val="115"/>
        </w:rPr>
        <w:t> </w:t>
      </w:r>
      <w:r>
        <w:rPr>
          <w:w w:val="115"/>
        </w:rPr>
        <w:t>propuesta</w:t>
      </w:r>
      <w:r>
        <w:rPr>
          <w:spacing w:val="-23"/>
          <w:w w:val="115"/>
        </w:rPr>
        <w:t> </w:t>
      </w:r>
      <w:r>
        <w:rPr>
          <w:w w:val="115"/>
        </w:rPr>
        <w:t>beneficiaría</w:t>
      </w:r>
      <w:r>
        <w:rPr>
          <w:spacing w:val="-23"/>
          <w:w w:val="115"/>
        </w:rPr>
        <w:t> </w:t>
      </w:r>
      <w:r>
        <w:rPr>
          <w:w w:val="115"/>
        </w:rPr>
        <w:t>en</w:t>
      </w:r>
      <w:r>
        <w:rPr>
          <w:spacing w:val="-23"/>
          <w:w w:val="115"/>
        </w:rPr>
        <w:t> </w:t>
      </w:r>
      <w:r>
        <w:rPr>
          <w:w w:val="115"/>
        </w:rPr>
        <w:t>primer</w:t>
      </w:r>
      <w:r>
        <w:rPr>
          <w:spacing w:val="-23"/>
          <w:w w:val="115"/>
        </w:rPr>
        <w:t> </w:t>
      </w:r>
      <w:r>
        <w:rPr>
          <w:w w:val="115"/>
        </w:rPr>
        <w:t>lugar</w:t>
      </w:r>
      <w:r>
        <w:rPr>
          <w:spacing w:val="-23"/>
          <w:w w:val="115"/>
        </w:rPr>
        <w:t> </w:t>
      </w:r>
      <w:r>
        <w:rPr>
          <w:w w:val="115"/>
        </w:rPr>
        <w:t>a</w:t>
      </w:r>
      <w:r>
        <w:rPr>
          <w:spacing w:val="-23"/>
          <w:w w:val="115"/>
        </w:rPr>
        <w:t> </w:t>
      </w:r>
      <w:r>
        <w:rPr>
          <w:w w:val="115"/>
        </w:rPr>
        <w:t>las</w:t>
      </w:r>
      <w:r>
        <w:rPr>
          <w:spacing w:val="-23"/>
          <w:w w:val="115"/>
        </w:rPr>
        <w:t> </w:t>
      </w:r>
      <w:r>
        <w:rPr>
          <w:w w:val="115"/>
        </w:rPr>
        <w:t>naciones</w:t>
      </w:r>
      <w:r>
        <w:rPr>
          <w:spacing w:val="-23"/>
          <w:w w:val="115"/>
        </w:rPr>
        <w:t> </w:t>
      </w:r>
      <w:r>
        <w:rPr>
          <w:w w:val="115"/>
        </w:rPr>
        <w:t>del</w:t>
      </w:r>
      <w:r>
        <w:rPr>
          <w:spacing w:val="-23"/>
          <w:w w:val="115"/>
        </w:rPr>
        <w:t> </w:t>
      </w:r>
      <w:r>
        <w:rPr>
          <w:w w:val="115"/>
        </w:rPr>
        <w:t>su- deste</w:t>
      </w:r>
      <w:r>
        <w:rPr>
          <w:spacing w:val="-11"/>
          <w:w w:val="115"/>
        </w:rPr>
        <w:t> </w:t>
      </w:r>
      <w:r>
        <w:rPr>
          <w:w w:val="115"/>
        </w:rPr>
        <w:t>de</w:t>
      </w:r>
      <w:r>
        <w:rPr>
          <w:spacing w:val="-11"/>
          <w:w w:val="115"/>
        </w:rPr>
        <w:t> </w:t>
      </w:r>
      <w:r>
        <w:rPr>
          <w:w w:val="115"/>
        </w:rPr>
        <w:t>asia:</w:t>
      </w:r>
      <w:r>
        <w:rPr>
          <w:spacing w:val="-11"/>
          <w:w w:val="115"/>
        </w:rPr>
        <w:t> </w:t>
      </w:r>
      <w:r>
        <w:rPr>
          <w:w w:val="115"/>
        </w:rPr>
        <w:t>“China</w:t>
      </w:r>
      <w:r>
        <w:rPr>
          <w:spacing w:val="-11"/>
          <w:w w:val="115"/>
        </w:rPr>
        <w:t> </w:t>
      </w:r>
      <w:r>
        <w:rPr>
          <w:w w:val="115"/>
        </w:rPr>
        <w:t>y</w:t>
      </w:r>
      <w:r>
        <w:rPr>
          <w:spacing w:val="-11"/>
          <w:w w:val="115"/>
        </w:rPr>
        <w:t> </w:t>
      </w:r>
      <w:r>
        <w:rPr>
          <w:w w:val="115"/>
        </w:rPr>
        <w:t>la</w:t>
      </w:r>
      <w:r>
        <w:rPr>
          <w:spacing w:val="-11"/>
          <w:w w:val="115"/>
        </w:rPr>
        <w:t> </w:t>
      </w:r>
      <w:r>
        <w:rPr>
          <w:w w:val="115"/>
        </w:rPr>
        <w:t>asociación</w:t>
      </w:r>
      <w:r>
        <w:rPr>
          <w:spacing w:val="-11"/>
          <w:w w:val="115"/>
        </w:rPr>
        <w:t> </w:t>
      </w:r>
      <w:r>
        <w:rPr>
          <w:w w:val="115"/>
        </w:rPr>
        <w:t>de</w:t>
      </w:r>
      <w:r>
        <w:rPr>
          <w:spacing w:val="-11"/>
          <w:w w:val="115"/>
        </w:rPr>
        <w:t> </w:t>
      </w:r>
      <w:r>
        <w:rPr>
          <w:w w:val="115"/>
        </w:rPr>
        <w:t>Naciones</w:t>
      </w:r>
      <w:r>
        <w:rPr>
          <w:spacing w:val="-11"/>
          <w:w w:val="115"/>
        </w:rPr>
        <w:t> </w:t>
      </w:r>
      <w:r>
        <w:rPr>
          <w:w w:val="115"/>
        </w:rPr>
        <w:t>del</w:t>
      </w:r>
      <w:r>
        <w:rPr>
          <w:spacing w:val="-11"/>
          <w:w w:val="115"/>
        </w:rPr>
        <w:t> </w:t>
      </w:r>
      <w:r>
        <w:rPr>
          <w:w w:val="115"/>
        </w:rPr>
        <w:t>sudeste</w:t>
      </w:r>
      <w:r>
        <w:rPr>
          <w:spacing w:val="-11"/>
          <w:w w:val="115"/>
        </w:rPr>
        <w:t> </w:t>
      </w:r>
      <w:r>
        <w:rPr>
          <w:w w:val="115"/>
        </w:rPr>
        <w:t>asiático (asEaN) consideran la cooperación económica como una prioridad, por</w:t>
      </w:r>
      <w:r>
        <w:rPr>
          <w:spacing w:val="-18"/>
          <w:w w:val="115"/>
        </w:rPr>
        <w:t> </w:t>
      </w:r>
      <w:r>
        <w:rPr>
          <w:w w:val="115"/>
        </w:rPr>
        <w:t>lo</w:t>
      </w:r>
      <w:r>
        <w:rPr>
          <w:spacing w:val="-18"/>
          <w:w w:val="115"/>
        </w:rPr>
        <w:t> </w:t>
      </w:r>
      <w:r>
        <w:rPr>
          <w:w w:val="115"/>
        </w:rPr>
        <w:t>que</w:t>
      </w:r>
      <w:r>
        <w:rPr>
          <w:spacing w:val="-18"/>
          <w:w w:val="115"/>
        </w:rPr>
        <w:t> </w:t>
      </w:r>
      <w:r>
        <w:rPr>
          <w:w w:val="115"/>
        </w:rPr>
        <w:t>es</w:t>
      </w:r>
      <w:r>
        <w:rPr>
          <w:spacing w:val="-18"/>
          <w:w w:val="115"/>
        </w:rPr>
        <w:t> </w:t>
      </w:r>
      <w:r>
        <w:rPr>
          <w:w w:val="115"/>
        </w:rPr>
        <w:t>necesario</w:t>
      </w:r>
      <w:r>
        <w:rPr>
          <w:spacing w:val="-18"/>
          <w:w w:val="115"/>
        </w:rPr>
        <w:t> </w:t>
      </w:r>
      <w:r>
        <w:rPr>
          <w:w w:val="115"/>
        </w:rPr>
        <w:t>construir</w:t>
      </w:r>
      <w:r>
        <w:rPr>
          <w:spacing w:val="-18"/>
          <w:w w:val="115"/>
        </w:rPr>
        <w:t> </w:t>
      </w:r>
      <w:r>
        <w:rPr>
          <w:w w:val="115"/>
        </w:rPr>
        <w:t>la</w:t>
      </w:r>
      <w:r>
        <w:rPr>
          <w:spacing w:val="-18"/>
          <w:w w:val="115"/>
        </w:rPr>
        <w:t> </w:t>
      </w:r>
      <w:r>
        <w:rPr>
          <w:w w:val="115"/>
        </w:rPr>
        <w:t>ruta</w:t>
      </w:r>
      <w:r>
        <w:rPr>
          <w:spacing w:val="-18"/>
          <w:w w:val="115"/>
        </w:rPr>
        <w:t> </w:t>
      </w:r>
      <w:r>
        <w:rPr>
          <w:w w:val="115"/>
        </w:rPr>
        <w:t>de</w:t>
      </w:r>
      <w:r>
        <w:rPr>
          <w:spacing w:val="-18"/>
          <w:w w:val="115"/>
        </w:rPr>
        <w:t> </w:t>
      </w:r>
      <w:r>
        <w:rPr>
          <w:w w:val="115"/>
        </w:rPr>
        <w:t>la</w:t>
      </w:r>
      <w:r>
        <w:rPr>
          <w:spacing w:val="-18"/>
          <w:w w:val="115"/>
        </w:rPr>
        <w:t> </w:t>
      </w:r>
      <w:r>
        <w:rPr>
          <w:w w:val="115"/>
        </w:rPr>
        <w:t>seda</w:t>
      </w:r>
      <w:r>
        <w:rPr>
          <w:spacing w:val="-18"/>
          <w:w w:val="115"/>
        </w:rPr>
        <w:t> </w:t>
      </w:r>
      <w:r>
        <w:rPr>
          <w:w w:val="115"/>
        </w:rPr>
        <w:t>Marítima</w:t>
      </w:r>
      <w:r>
        <w:rPr>
          <w:spacing w:val="-18"/>
          <w:w w:val="115"/>
        </w:rPr>
        <w:t> </w:t>
      </w:r>
      <w:r>
        <w:rPr>
          <w:w w:val="115"/>
        </w:rPr>
        <w:t>con</w:t>
      </w:r>
      <w:r>
        <w:rPr>
          <w:spacing w:val="-18"/>
          <w:w w:val="115"/>
        </w:rPr>
        <w:t> </w:t>
      </w:r>
      <w:r>
        <w:rPr>
          <w:w w:val="115"/>
        </w:rPr>
        <w:t>el</w:t>
      </w:r>
      <w:r>
        <w:rPr>
          <w:spacing w:val="-18"/>
          <w:w w:val="115"/>
        </w:rPr>
        <w:t> </w:t>
      </w:r>
      <w:r>
        <w:rPr>
          <w:w w:val="115"/>
        </w:rPr>
        <w:t>fin de</w:t>
      </w:r>
      <w:r>
        <w:rPr>
          <w:spacing w:val="-11"/>
          <w:w w:val="115"/>
        </w:rPr>
        <w:t> </w:t>
      </w:r>
      <w:r>
        <w:rPr>
          <w:w w:val="115"/>
        </w:rPr>
        <w:t>impulsar</w:t>
      </w:r>
      <w:r>
        <w:rPr>
          <w:spacing w:val="-11"/>
          <w:w w:val="115"/>
        </w:rPr>
        <w:t> </w:t>
      </w:r>
      <w:r>
        <w:rPr>
          <w:w w:val="115"/>
        </w:rPr>
        <w:t>la</w:t>
      </w:r>
      <w:r>
        <w:rPr>
          <w:spacing w:val="-11"/>
          <w:w w:val="115"/>
        </w:rPr>
        <w:t> </w:t>
      </w:r>
      <w:r>
        <w:rPr>
          <w:w w:val="115"/>
        </w:rPr>
        <w:t>cooperación</w:t>
      </w:r>
      <w:r>
        <w:rPr>
          <w:spacing w:val="-11"/>
          <w:w w:val="115"/>
        </w:rPr>
        <w:t> </w:t>
      </w:r>
      <w:r>
        <w:rPr>
          <w:w w:val="115"/>
        </w:rPr>
        <w:t>económica,</w:t>
      </w:r>
      <w:r>
        <w:rPr>
          <w:spacing w:val="-11"/>
          <w:w w:val="115"/>
        </w:rPr>
        <w:t> </w:t>
      </w:r>
      <w:r>
        <w:rPr>
          <w:w w:val="115"/>
        </w:rPr>
        <w:t>particularmente</w:t>
      </w:r>
      <w:r>
        <w:rPr>
          <w:spacing w:val="-11"/>
          <w:w w:val="115"/>
        </w:rPr>
        <w:t> </w:t>
      </w:r>
      <w:r>
        <w:rPr>
          <w:w w:val="115"/>
        </w:rPr>
        <w:t>en</w:t>
      </w:r>
      <w:r>
        <w:rPr>
          <w:spacing w:val="-11"/>
          <w:w w:val="115"/>
        </w:rPr>
        <w:t> </w:t>
      </w:r>
      <w:r>
        <w:rPr>
          <w:w w:val="115"/>
        </w:rPr>
        <w:t>las</w:t>
      </w:r>
      <w:r>
        <w:rPr>
          <w:spacing w:val="-11"/>
          <w:w w:val="115"/>
        </w:rPr>
        <w:t> </w:t>
      </w:r>
      <w:r>
        <w:rPr>
          <w:w w:val="115"/>
        </w:rPr>
        <w:t>áreas de</w:t>
      </w:r>
      <w:r>
        <w:rPr>
          <w:spacing w:val="-10"/>
          <w:w w:val="115"/>
        </w:rPr>
        <w:t> </w:t>
      </w:r>
      <w:r>
        <w:rPr>
          <w:w w:val="115"/>
        </w:rPr>
        <w:t>comercio,</w:t>
      </w:r>
      <w:r>
        <w:rPr>
          <w:spacing w:val="-10"/>
          <w:w w:val="115"/>
        </w:rPr>
        <w:t> </w:t>
      </w:r>
      <w:r>
        <w:rPr>
          <w:w w:val="115"/>
        </w:rPr>
        <w:t>inversión</w:t>
      </w:r>
      <w:r>
        <w:rPr>
          <w:spacing w:val="-10"/>
          <w:w w:val="115"/>
        </w:rPr>
        <w:t> </w:t>
      </w:r>
      <w:r>
        <w:rPr>
          <w:w w:val="115"/>
        </w:rPr>
        <w:t>y</w:t>
      </w:r>
      <w:r>
        <w:rPr>
          <w:spacing w:val="-10"/>
          <w:w w:val="115"/>
        </w:rPr>
        <w:t> </w:t>
      </w:r>
      <w:r>
        <w:rPr>
          <w:w w:val="115"/>
        </w:rPr>
        <w:t>turismo”,</w:t>
      </w:r>
      <w:r>
        <w:rPr>
          <w:spacing w:val="-10"/>
          <w:w w:val="115"/>
        </w:rPr>
        <w:t> </w:t>
      </w:r>
      <w:r>
        <w:rPr>
          <w:w w:val="115"/>
        </w:rPr>
        <w:t>destacó</w:t>
      </w:r>
      <w:r>
        <w:rPr>
          <w:spacing w:val="-10"/>
          <w:w w:val="115"/>
        </w:rPr>
        <w:t> </w:t>
      </w:r>
      <w:r>
        <w:rPr>
          <w:w w:val="115"/>
        </w:rPr>
        <w:t>Kao</w:t>
      </w:r>
      <w:r>
        <w:rPr>
          <w:spacing w:val="-10"/>
          <w:w w:val="115"/>
        </w:rPr>
        <w:t> </w:t>
      </w:r>
      <w:r>
        <w:rPr>
          <w:w w:val="115"/>
        </w:rPr>
        <w:t>Kim</w:t>
      </w:r>
      <w:r>
        <w:rPr>
          <w:spacing w:val="-10"/>
          <w:w w:val="115"/>
        </w:rPr>
        <w:t> </w:t>
      </w:r>
      <w:r>
        <w:rPr>
          <w:w w:val="115"/>
        </w:rPr>
        <w:t>Hourn,</w:t>
      </w:r>
      <w:r>
        <w:rPr>
          <w:spacing w:val="-10"/>
          <w:w w:val="115"/>
        </w:rPr>
        <w:t> </w:t>
      </w:r>
      <w:r>
        <w:rPr>
          <w:w w:val="115"/>
        </w:rPr>
        <w:t>ministro adjunto</w:t>
      </w:r>
      <w:r>
        <w:rPr>
          <w:spacing w:val="-18"/>
          <w:w w:val="115"/>
        </w:rPr>
        <w:t> </w:t>
      </w:r>
      <w:r>
        <w:rPr>
          <w:w w:val="115"/>
        </w:rPr>
        <w:t>del</w:t>
      </w:r>
      <w:r>
        <w:rPr>
          <w:spacing w:val="-18"/>
          <w:w w:val="115"/>
        </w:rPr>
        <w:t> </w:t>
      </w:r>
      <w:r>
        <w:rPr>
          <w:w w:val="115"/>
        </w:rPr>
        <w:t>Primer</w:t>
      </w:r>
      <w:r>
        <w:rPr>
          <w:spacing w:val="-18"/>
          <w:w w:val="115"/>
        </w:rPr>
        <w:t> </w:t>
      </w:r>
      <w:r>
        <w:rPr>
          <w:w w:val="115"/>
        </w:rPr>
        <w:t>Ministro</w:t>
      </w:r>
      <w:r>
        <w:rPr>
          <w:spacing w:val="-18"/>
          <w:w w:val="115"/>
        </w:rPr>
        <w:t> </w:t>
      </w:r>
      <w:r>
        <w:rPr>
          <w:w w:val="115"/>
        </w:rPr>
        <w:t>de</w:t>
      </w:r>
      <w:r>
        <w:rPr>
          <w:spacing w:val="-18"/>
          <w:w w:val="115"/>
        </w:rPr>
        <w:t> </w:t>
      </w:r>
      <w:r>
        <w:rPr>
          <w:w w:val="115"/>
        </w:rPr>
        <w:t>Camboya,</w:t>
      </w:r>
      <w:r>
        <w:rPr>
          <w:spacing w:val="-18"/>
          <w:w w:val="115"/>
        </w:rPr>
        <w:t> </w:t>
      </w:r>
      <w:r>
        <w:rPr>
          <w:w w:val="115"/>
        </w:rPr>
        <w:t>Hun</w:t>
      </w:r>
      <w:r>
        <w:rPr>
          <w:spacing w:val="-18"/>
          <w:w w:val="115"/>
        </w:rPr>
        <w:t> </w:t>
      </w:r>
      <w:r>
        <w:rPr>
          <w:w w:val="115"/>
        </w:rPr>
        <w:t>sen,</w:t>
      </w:r>
      <w:r>
        <w:rPr>
          <w:spacing w:val="-18"/>
          <w:w w:val="115"/>
        </w:rPr>
        <w:t> </w:t>
      </w:r>
      <w:r>
        <w:rPr>
          <w:w w:val="115"/>
        </w:rPr>
        <w:t>a</w:t>
      </w:r>
      <w:r>
        <w:rPr>
          <w:spacing w:val="-18"/>
          <w:w w:val="115"/>
        </w:rPr>
        <w:t> </w:t>
      </w:r>
      <w:r>
        <w:rPr>
          <w:w w:val="115"/>
        </w:rPr>
        <w:t>los</w:t>
      </w:r>
      <w:r>
        <w:rPr>
          <w:spacing w:val="-18"/>
          <w:w w:val="115"/>
        </w:rPr>
        <w:t> </w:t>
      </w:r>
      <w:r>
        <w:rPr>
          <w:w w:val="115"/>
        </w:rPr>
        <w:t>reporteros</w:t>
      </w:r>
      <w:r>
        <w:rPr>
          <w:spacing w:val="-18"/>
          <w:w w:val="115"/>
        </w:rPr>
        <w:t> </w:t>
      </w:r>
      <w:r>
        <w:rPr>
          <w:w w:val="115"/>
        </w:rPr>
        <w:t>al regresar</w:t>
      </w:r>
      <w:r>
        <w:rPr>
          <w:spacing w:val="-9"/>
          <w:w w:val="115"/>
        </w:rPr>
        <w:t> </w:t>
      </w:r>
      <w:r>
        <w:rPr>
          <w:w w:val="115"/>
        </w:rPr>
        <w:t>de</w:t>
      </w:r>
      <w:r>
        <w:rPr>
          <w:spacing w:val="-9"/>
          <w:w w:val="115"/>
        </w:rPr>
        <w:t> </w:t>
      </w:r>
      <w:r>
        <w:rPr>
          <w:w w:val="115"/>
        </w:rPr>
        <w:t>la</w:t>
      </w:r>
      <w:r>
        <w:rPr>
          <w:spacing w:val="-9"/>
          <w:w w:val="115"/>
        </w:rPr>
        <w:t> </w:t>
      </w:r>
      <w:r>
        <w:rPr>
          <w:w w:val="125"/>
        </w:rPr>
        <w:t>xi</w:t>
      </w:r>
      <w:r>
        <w:rPr>
          <w:spacing w:val="-13"/>
          <w:w w:val="125"/>
        </w:rPr>
        <w:t> </w:t>
      </w:r>
      <w:r>
        <w:rPr>
          <w:w w:val="115"/>
        </w:rPr>
        <w:t>Expo</w:t>
      </w:r>
      <w:r>
        <w:rPr>
          <w:spacing w:val="-9"/>
          <w:w w:val="115"/>
        </w:rPr>
        <w:t> </w:t>
      </w:r>
      <w:r>
        <w:rPr>
          <w:w w:val="115"/>
        </w:rPr>
        <w:t>asEaN-China</w:t>
      </w:r>
      <w:r>
        <w:rPr>
          <w:spacing w:val="-9"/>
          <w:w w:val="115"/>
        </w:rPr>
        <w:t> </w:t>
      </w:r>
      <w:r>
        <w:rPr>
          <w:w w:val="115"/>
        </w:rPr>
        <w:t>en</w:t>
      </w:r>
      <w:r>
        <w:rPr>
          <w:spacing w:val="-9"/>
          <w:w w:val="115"/>
        </w:rPr>
        <w:t> </w:t>
      </w:r>
      <w:r>
        <w:rPr>
          <w:w w:val="115"/>
        </w:rPr>
        <w:t>la</w:t>
      </w:r>
      <w:r>
        <w:rPr>
          <w:spacing w:val="-9"/>
          <w:w w:val="115"/>
        </w:rPr>
        <w:t> </w:t>
      </w:r>
      <w:r>
        <w:rPr>
          <w:w w:val="115"/>
        </w:rPr>
        <w:t>ciudad</w:t>
      </w:r>
      <w:r>
        <w:rPr>
          <w:spacing w:val="-9"/>
          <w:w w:val="115"/>
        </w:rPr>
        <w:t> </w:t>
      </w:r>
      <w:r>
        <w:rPr>
          <w:w w:val="115"/>
        </w:rPr>
        <w:t>de</w:t>
      </w:r>
      <w:r>
        <w:rPr>
          <w:spacing w:val="-9"/>
          <w:w w:val="115"/>
        </w:rPr>
        <w:t> </w:t>
      </w:r>
      <w:r>
        <w:rPr>
          <w:w w:val="115"/>
        </w:rPr>
        <w:t>Nanning</w:t>
      </w:r>
      <w:r>
        <w:rPr>
          <w:spacing w:val="-9"/>
          <w:w w:val="115"/>
        </w:rPr>
        <w:t> </w:t>
      </w:r>
      <w:hyperlink r:id="rId139">
        <w:r>
          <w:rPr>
            <w:spacing w:val="-3"/>
            <w:w w:val="115"/>
          </w:rPr>
          <w:t>(&lt;www</w:t>
        </w:r>
      </w:hyperlink>
      <w:r>
        <w:rPr>
          <w:spacing w:val="-3"/>
          <w:w w:val="115"/>
        </w:rPr>
        <w:t>. </w:t>
      </w:r>
      <w:r>
        <w:rPr>
          <w:w w:val="110"/>
        </w:rPr>
        <w:t>spanish.mofcom.gov.cn&gt;,</w:t>
      </w:r>
      <w:r>
        <w:rPr>
          <w:spacing w:val="26"/>
          <w:w w:val="110"/>
        </w:rPr>
        <w:t> </w:t>
      </w:r>
      <w:r>
        <w:rPr>
          <w:w w:val="110"/>
        </w:rPr>
        <w:t>2014).</w:t>
      </w:r>
    </w:p>
    <w:p>
      <w:pPr>
        <w:pStyle w:val="BodyText"/>
        <w:spacing w:line="252" w:lineRule="auto"/>
        <w:ind w:left="330" w:right="118" w:firstLine="396"/>
        <w:jc w:val="both"/>
      </w:pPr>
      <w:r>
        <w:rPr>
          <w:w w:val="243"/>
        </w:rPr>
        <w:t>l</w:t>
      </w:r>
      <w:r>
        <w:rPr>
          <w:w w:val="112"/>
        </w:rPr>
        <w:t>a</w:t>
      </w:r>
      <w:r>
        <w:rPr/>
        <w:t> </w:t>
      </w:r>
      <w:r>
        <w:rPr>
          <w:w w:val="109"/>
        </w:rPr>
        <w:t>primera</w:t>
      </w:r>
      <w:r>
        <w:rPr/>
        <w:t> </w:t>
      </w:r>
      <w:r>
        <w:rPr>
          <w:w w:val="110"/>
        </w:rPr>
        <w:t>exposición</w:t>
      </w:r>
      <w:r>
        <w:rPr/>
        <w:t> </w:t>
      </w:r>
      <w:r>
        <w:rPr>
          <w:w w:val="110"/>
        </w:rPr>
        <w:t>internacional</w:t>
      </w:r>
      <w:r>
        <w:rPr/>
        <w:t> </w:t>
      </w:r>
      <w:r>
        <w:rPr>
          <w:w w:val="109"/>
        </w:rPr>
        <w:t>para</w:t>
      </w:r>
      <w:r>
        <w:rPr/>
        <w:t> </w:t>
      </w:r>
      <w:r>
        <w:rPr>
          <w:w w:val="111"/>
        </w:rPr>
        <w:t>la</w:t>
      </w:r>
      <w:r>
        <w:rPr/>
        <w:t> </w:t>
      </w:r>
      <w:r>
        <w:rPr>
          <w:w w:val="182"/>
        </w:rPr>
        <w:t>r</w:t>
      </w:r>
      <w:r>
        <w:rPr>
          <w:w w:val="111"/>
        </w:rPr>
        <w:t>uta</w:t>
      </w:r>
      <w:r>
        <w:rPr/>
        <w:t> </w:t>
      </w:r>
      <w:r>
        <w:rPr>
          <w:w w:val="107"/>
        </w:rPr>
        <w:t>de</w:t>
      </w:r>
      <w:r>
        <w:rPr/>
        <w:t> </w:t>
      </w:r>
      <w:r>
        <w:rPr>
          <w:w w:val="111"/>
        </w:rPr>
        <w:t>la</w:t>
      </w:r>
      <w:r>
        <w:rPr/>
        <w:t> </w:t>
      </w:r>
      <w:r>
        <w:rPr>
          <w:w w:val="149"/>
        </w:rPr>
        <w:t>s</w:t>
      </w:r>
      <w:r>
        <w:rPr>
          <w:w w:val="108"/>
        </w:rPr>
        <w:t>eda</w:t>
      </w:r>
      <w:r>
        <w:rPr/>
        <w:t> </w:t>
      </w:r>
      <w:r>
        <w:rPr>
          <w:w w:val="117"/>
        </w:rPr>
        <w:t>Ma</w:t>
      </w:r>
      <w:r>
        <w:rPr>
          <w:w w:val="102"/>
        </w:rPr>
        <w:t>- </w:t>
      </w:r>
      <w:r>
        <w:rPr>
          <w:w w:val="115"/>
        </w:rPr>
        <w:t>rítima del siglo </w:t>
      </w:r>
      <w:r>
        <w:rPr>
          <w:w w:val="150"/>
        </w:rPr>
        <w:t>xxi </w:t>
      </w:r>
      <w:r>
        <w:rPr>
          <w:w w:val="115"/>
        </w:rPr>
        <w:t>se celebró en junio de 2014 en la provincia de Guangdong. Visitantes de 42 países acudieron en busca de nuevas </w:t>
      </w:r>
      <w:r>
        <w:rPr>
          <w:w w:val="110"/>
        </w:rPr>
        <w:t>oportunidades </w:t>
      </w:r>
      <w:hyperlink r:id="rId140">
        <w:r>
          <w:rPr>
            <w:w w:val="110"/>
          </w:rPr>
          <w:t>(&lt;www.español.cnt</w:t>
        </w:r>
      </w:hyperlink>
      <w:r>
        <w:rPr>
          <w:w w:val="110"/>
        </w:rPr>
        <w:t>v</w:t>
      </w:r>
      <w:hyperlink r:id="rId140">
        <w:r>
          <w:rPr>
            <w:w w:val="110"/>
          </w:rPr>
          <w:t>.cn&gt;,</w:t>
        </w:r>
      </w:hyperlink>
      <w:r>
        <w:rPr>
          <w:w w:val="110"/>
        </w:rPr>
        <w:t> 2014).</w:t>
      </w:r>
    </w:p>
    <w:p>
      <w:pPr>
        <w:pStyle w:val="BodyText"/>
        <w:spacing w:before="5"/>
      </w:pPr>
    </w:p>
    <w:p>
      <w:pPr>
        <w:pStyle w:val="Heading6"/>
        <w:ind w:left="331"/>
      </w:pPr>
      <w:r>
        <w:rPr>
          <w:spacing w:val="3"/>
          <w:w w:val="134"/>
        </w:rPr>
        <w:t>e</w:t>
      </w:r>
      <w:r>
        <w:rPr>
          <w:w w:val="201"/>
        </w:rPr>
        <w:t>l</w:t>
      </w:r>
      <w:r>
        <w:rPr>
          <w:spacing w:val="-8"/>
        </w:rPr>
        <w:t> </w:t>
      </w:r>
      <w:r>
        <w:rPr>
          <w:spacing w:val="2"/>
          <w:w w:val="143"/>
        </w:rPr>
        <w:t>corr</w:t>
      </w:r>
      <w:r>
        <w:rPr>
          <w:spacing w:val="3"/>
          <w:w w:val="143"/>
        </w:rPr>
        <w:t>e</w:t>
      </w:r>
      <w:r>
        <w:rPr>
          <w:spacing w:val="5"/>
          <w:w w:val="131"/>
        </w:rPr>
        <w:t>d</w:t>
      </w:r>
      <w:r>
        <w:rPr>
          <w:spacing w:val="2"/>
          <w:w w:val="145"/>
        </w:rPr>
        <w:t>o</w:t>
      </w:r>
      <w:r>
        <w:rPr>
          <w:w w:val="145"/>
        </w:rPr>
        <w:t>r</w:t>
      </w:r>
      <w:r>
        <w:rPr>
          <w:spacing w:val="-8"/>
        </w:rPr>
        <w:t> </w:t>
      </w:r>
      <w:r>
        <w:rPr>
          <w:w w:val="96"/>
        </w:rPr>
        <w:t>B</w:t>
      </w:r>
      <w:r>
        <w:rPr>
          <w:spacing w:val="2"/>
          <w:w w:val="128"/>
        </w:rPr>
        <w:t>an</w:t>
      </w:r>
      <w:r>
        <w:rPr>
          <w:spacing w:val="2"/>
          <w:w w:val="89"/>
        </w:rPr>
        <w:t>G</w:t>
      </w:r>
      <w:r>
        <w:rPr>
          <w:spacing w:val="7"/>
          <w:w w:val="201"/>
        </w:rPr>
        <w:t>l</w:t>
      </w:r>
      <w:r>
        <w:rPr>
          <w:spacing w:val="2"/>
          <w:w w:val="131"/>
        </w:rPr>
        <w:t>ad</w:t>
      </w:r>
      <w:r>
        <w:rPr>
          <w:spacing w:val="3"/>
          <w:w w:val="131"/>
        </w:rPr>
        <w:t>e</w:t>
      </w:r>
      <w:r>
        <w:rPr>
          <w:spacing w:val="2"/>
          <w:w w:val="136"/>
        </w:rPr>
        <w:t>s</w:t>
      </w:r>
      <w:r>
        <w:rPr>
          <w:spacing w:val="-6"/>
          <w:w w:val="97"/>
        </w:rPr>
        <w:t>H</w:t>
      </w:r>
      <w:r>
        <w:rPr>
          <w:spacing w:val="2"/>
          <w:w w:val="110"/>
        </w:rPr>
        <w:t>-</w:t>
      </w:r>
      <w:r>
        <w:rPr>
          <w:spacing w:val="2"/>
          <w:w w:val="115"/>
        </w:rPr>
        <w:t>cH</w:t>
      </w:r>
      <w:r>
        <w:rPr>
          <w:spacing w:val="2"/>
          <w:w w:val="128"/>
        </w:rPr>
        <w:t>i</w:t>
      </w:r>
      <w:r>
        <w:rPr>
          <w:spacing w:val="-1"/>
          <w:w w:val="128"/>
        </w:rPr>
        <w:t>n</w:t>
      </w:r>
      <w:r>
        <w:rPr>
          <w:spacing w:val="-7"/>
          <w:w w:val="129"/>
        </w:rPr>
        <w:t>a</w:t>
      </w:r>
      <w:r>
        <w:rPr>
          <w:spacing w:val="2"/>
          <w:w w:val="110"/>
        </w:rPr>
        <w:t>-</w:t>
      </w:r>
      <w:r>
        <w:rPr>
          <w:spacing w:val="2"/>
          <w:w w:val="129"/>
        </w:rPr>
        <w:t>i</w:t>
      </w:r>
      <w:r>
        <w:rPr>
          <w:spacing w:val="2"/>
          <w:w w:val="129"/>
        </w:rPr>
        <w:t>ndi</w:t>
      </w:r>
      <w:r>
        <w:rPr>
          <w:spacing w:val="-7"/>
          <w:w w:val="129"/>
        </w:rPr>
        <w:t>a</w:t>
      </w:r>
      <w:r>
        <w:rPr>
          <w:spacing w:val="2"/>
          <w:w w:val="103"/>
        </w:rPr>
        <w:t>-M</w:t>
      </w:r>
      <w:r>
        <w:rPr>
          <w:spacing w:val="-8"/>
          <w:w w:val="103"/>
        </w:rPr>
        <w:t>y</w:t>
      </w:r>
      <w:r>
        <w:rPr>
          <w:spacing w:val="2"/>
          <w:w w:val="128"/>
        </w:rPr>
        <w:t>an</w:t>
      </w:r>
      <w:r>
        <w:rPr>
          <w:spacing w:val="2"/>
          <w:w w:val="92"/>
        </w:rPr>
        <w:t>M</w:t>
      </w:r>
      <w:r>
        <w:rPr>
          <w:spacing w:val="2"/>
          <w:w w:val="136"/>
        </w:rPr>
        <w:t>ar</w:t>
      </w:r>
    </w:p>
    <w:p>
      <w:pPr>
        <w:pStyle w:val="BodyText"/>
        <w:spacing w:line="252" w:lineRule="auto" w:before="10"/>
        <w:ind w:left="330" w:right="118"/>
        <w:jc w:val="both"/>
      </w:pPr>
      <w:r>
        <w:rPr>
          <w:w w:val="110"/>
        </w:rPr>
        <w:t>China y la india propusieron construir un corredor económico que vaya a través de Myanmar y bangladesh para conectar las dos princi- pales economías de asia, con el propósito de fortalecer la cooperación en el desarrollo de las zonas industriales y en los proyectos en</w:t>
      </w:r>
      <w:r>
        <w:rPr>
          <w:spacing w:val="-29"/>
          <w:w w:val="110"/>
        </w:rPr>
        <w:t> </w:t>
      </w:r>
      <w:r>
        <w:rPr>
          <w:w w:val="110"/>
        </w:rPr>
        <w:t>infraes- tructura pública </w:t>
      </w:r>
      <w:hyperlink r:id="rId141">
        <w:r>
          <w:rPr>
            <w:w w:val="110"/>
          </w:rPr>
          <w:t>(&lt;www.larouchista.com&gt;,</w:t>
        </w:r>
      </w:hyperlink>
      <w:r>
        <w:rPr>
          <w:spacing w:val="16"/>
          <w:w w:val="110"/>
        </w:rPr>
        <w:t> </w:t>
      </w:r>
      <w:r>
        <w:rPr>
          <w:w w:val="110"/>
        </w:rPr>
        <w:t>2013).</w:t>
      </w:r>
    </w:p>
    <w:p>
      <w:pPr>
        <w:pStyle w:val="BodyText"/>
        <w:spacing w:line="252" w:lineRule="auto"/>
        <w:ind w:left="330" w:right="115" w:firstLine="396"/>
        <w:jc w:val="both"/>
      </w:pPr>
      <w:r>
        <w:rPr>
          <w:spacing w:val="1"/>
          <w:w w:val="243"/>
        </w:rPr>
        <w:t>l</w:t>
      </w:r>
      <w:r>
        <w:rPr>
          <w:w w:val="112"/>
        </w:rPr>
        <w:t>a</w:t>
      </w:r>
      <w:r>
        <w:rPr/>
        <w:t>  </w:t>
      </w:r>
      <w:r>
        <w:rPr>
          <w:spacing w:val="-21"/>
        </w:rPr>
        <w:t> </w:t>
      </w:r>
      <w:r>
        <w:rPr>
          <w:spacing w:val="1"/>
          <w:w w:val="108"/>
        </w:rPr>
        <w:t>propuest</w:t>
      </w:r>
      <w:r>
        <w:rPr>
          <w:w w:val="108"/>
        </w:rPr>
        <w:t>a</w:t>
      </w:r>
      <w:r>
        <w:rPr/>
        <w:t>  </w:t>
      </w:r>
      <w:r>
        <w:rPr>
          <w:spacing w:val="-21"/>
        </w:rPr>
        <w:t> </w:t>
      </w:r>
      <w:r>
        <w:rPr>
          <w:spacing w:val="1"/>
          <w:w w:val="107"/>
        </w:rPr>
        <w:t>de</w:t>
      </w:r>
      <w:r>
        <w:rPr>
          <w:w w:val="107"/>
        </w:rPr>
        <w:t>l</w:t>
      </w:r>
      <w:r>
        <w:rPr/>
        <w:t>  </w:t>
      </w:r>
      <w:r>
        <w:rPr>
          <w:spacing w:val="-21"/>
        </w:rPr>
        <w:t> </w:t>
      </w:r>
      <w:r>
        <w:rPr>
          <w:spacing w:val="1"/>
          <w:w w:val="108"/>
        </w:rPr>
        <w:t>corredo</w:t>
      </w:r>
      <w:r>
        <w:rPr>
          <w:w w:val="108"/>
        </w:rPr>
        <w:t>r</w:t>
      </w:r>
      <w:r>
        <w:rPr/>
        <w:t>  </w:t>
      </w:r>
      <w:r>
        <w:rPr>
          <w:spacing w:val="-21"/>
        </w:rPr>
        <w:t> </w:t>
      </w:r>
      <w:r>
        <w:rPr>
          <w:spacing w:val="1"/>
          <w:w w:val="111"/>
        </w:rPr>
        <w:t>económic</w:t>
      </w:r>
      <w:r>
        <w:rPr>
          <w:w w:val="111"/>
        </w:rPr>
        <w:t>o</w:t>
      </w:r>
      <w:r>
        <w:rPr/>
        <w:t>  </w:t>
      </w:r>
      <w:r>
        <w:rPr>
          <w:spacing w:val="-21"/>
        </w:rPr>
        <w:t> </w:t>
      </w:r>
      <w:r>
        <w:rPr>
          <w:spacing w:val="1"/>
          <w:w w:val="113"/>
        </w:rPr>
        <w:t>China-</w:t>
      </w:r>
      <w:r>
        <w:rPr>
          <w:spacing w:val="1"/>
          <w:w w:val="142"/>
        </w:rPr>
        <w:t>i</w:t>
      </w:r>
      <w:r>
        <w:rPr>
          <w:spacing w:val="1"/>
          <w:w w:val="111"/>
        </w:rPr>
        <w:t>ndia-Myanma</w:t>
      </w:r>
      <w:r>
        <w:rPr>
          <w:spacing w:val="-13"/>
          <w:w w:val="111"/>
        </w:rPr>
        <w:t>r</w:t>
      </w:r>
      <w:r>
        <w:rPr>
          <w:w w:val="102"/>
        </w:rPr>
        <w:t>- </w:t>
      </w:r>
      <w:r>
        <w:rPr>
          <w:w w:val="115"/>
        </w:rPr>
        <w:t>bangladesh crearía un vínculo económico innovador entre el este   y el sur de asia, lo que podría generar una enorme demanda para China e india y fortalecería sus desempeños económicos. adicional- mente,</w:t>
      </w:r>
      <w:r>
        <w:rPr>
          <w:spacing w:val="-22"/>
          <w:w w:val="115"/>
        </w:rPr>
        <w:t> </w:t>
      </w:r>
      <w:r>
        <w:rPr>
          <w:w w:val="115"/>
        </w:rPr>
        <w:t>el</w:t>
      </w:r>
      <w:r>
        <w:rPr>
          <w:spacing w:val="-22"/>
          <w:w w:val="115"/>
        </w:rPr>
        <w:t> </w:t>
      </w:r>
      <w:r>
        <w:rPr>
          <w:w w:val="115"/>
        </w:rPr>
        <w:t>fortalecimiento</w:t>
      </w:r>
      <w:r>
        <w:rPr>
          <w:spacing w:val="-22"/>
          <w:w w:val="115"/>
        </w:rPr>
        <w:t> </w:t>
      </w:r>
      <w:r>
        <w:rPr>
          <w:w w:val="115"/>
        </w:rPr>
        <w:t>de</w:t>
      </w:r>
      <w:r>
        <w:rPr>
          <w:spacing w:val="-22"/>
          <w:w w:val="115"/>
        </w:rPr>
        <w:t> </w:t>
      </w:r>
      <w:r>
        <w:rPr>
          <w:w w:val="115"/>
        </w:rPr>
        <w:t>las</w:t>
      </w:r>
      <w:r>
        <w:rPr>
          <w:spacing w:val="-22"/>
          <w:w w:val="115"/>
        </w:rPr>
        <w:t> </w:t>
      </w:r>
      <w:r>
        <w:rPr>
          <w:w w:val="115"/>
        </w:rPr>
        <w:t>dos</w:t>
      </w:r>
      <w:r>
        <w:rPr>
          <w:spacing w:val="-22"/>
          <w:w w:val="115"/>
        </w:rPr>
        <w:t> </w:t>
      </w:r>
      <w:r>
        <w:rPr>
          <w:w w:val="115"/>
        </w:rPr>
        <w:t>mayores</w:t>
      </w:r>
      <w:r>
        <w:rPr>
          <w:spacing w:val="-22"/>
          <w:w w:val="115"/>
        </w:rPr>
        <w:t> </w:t>
      </w:r>
      <w:r>
        <w:rPr>
          <w:w w:val="115"/>
        </w:rPr>
        <w:t>economías</w:t>
      </w:r>
      <w:r>
        <w:rPr>
          <w:spacing w:val="-22"/>
          <w:w w:val="115"/>
        </w:rPr>
        <w:t> </w:t>
      </w:r>
      <w:r>
        <w:rPr>
          <w:w w:val="115"/>
        </w:rPr>
        <w:t>emergentes, que</w:t>
      </w:r>
      <w:r>
        <w:rPr>
          <w:spacing w:val="-6"/>
          <w:w w:val="115"/>
        </w:rPr>
        <w:t> </w:t>
      </w:r>
      <w:r>
        <w:rPr>
          <w:w w:val="115"/>
        </w:rPr>
        <w:t>han</w:t>
      </w:r>
      <w:r>
        <w:rPr>
          <w:spacing w:val="-6"/>
          <w:w w:val="115"/>
        </w:rPr>
        <w:t> </w:t>
      </w:r>
      <w:r>
        <w:rPr>
          <w:w w:val="115"/>
        </w:rPr>
        <w:t>impulsado</w:t>
      </w:r>
      <w:r>
        <w:rPr>
          <w:spacing w:val="-6"/>
          <w:w w:val="115"/>
        </w:rPr>
        <w:t> </w:t>
      </w:r>
      <w:r>
        <w:rPr>
          <w:w w:val="115"/>
        </w:rPr>
        <w:t>su</w:t>
      </w:r>
      <w:r>
        <w:rPr>
          <w:spacing w:val="-6"/>
          <w:w w:val="115"/>
        </w:rPr>
        <w:t> </w:t>
      </w:r>
      <w:r>
        <w:rPr>
          <w:w w:val="115"/>
        </w:rPr>
        <w:t>desarrollo</w:t>
      </w:r>
      <w:r>
        <w:rPr>
          <w:spacing w:val="-6"/>
          <w:w w:val="115"/>
        </w:rPr>
        <w:t> </w:t>
      </w:r>
      <w:r>
        <w:rPr>
          <w:w w:val="115"/>
        </w:rPr>
        <w:t>sobre</w:t>
      </w:r>
      <w:r>
        <w:rPr>
          <w:spacing w:val="-6"/>
          <w:w w:val="115"/>
        </w:rPr>
        <w:t> </w:t>
      </w:r>
      <w:r>
        <w:rPr>
          <w:w w:val="115"/>
        </w:rPr>
        <w:t>bases</w:t>
      </w:r>
      <w:r>
        <w:rPr>
          <w:spacing w:val="-6"/>
          <w:w w:val="115"/>
        </w:rPr>
        <w:t> </w:t>
      </w:r>
      <w:r>
        <w:rPr>
          <w:w w:val="115"/>
        </w:rPr>
        <w:t>como</w:t>
      </w:r>
      <w:r>
        <w:rPr>
          <w:spacing w:val="-6"/>
          <w:w w:val="115"/>
        </w:rPr>
        <w:t> </w:t>
      </w:r>
      <w:r>
        <w:rPr>
          <w:w w:val="115"/>
        </w:rPr>
        <w:t>la</w:t>
      </w:r>
      <w:r>
        <w:rPr>
          <w:spacing w:val="-6"/>
          <w:w w:val="115"/>
        </w:rPr>
        <w:t> </w:t>
      </w:r>
      <w:r>
        <w:rPr>
          <w:w w:val="115"/>
        </w:rPr>
        <w:t>industrializa- ción y la urbanización, pueden influir en la rápida expansión de los países</w:t>
      </w:r>
      <w:r>
        <w:rPr>
          <w:spacing w:val="-24"/>
          <w:w w:val="115"/>
        </w:rPr>
        <w:t> </w:t>
      </w:r>
      <w:r>
        <w:rPr>
          <w:w w:val="115"/>
        </w:rPr>
        <w:t>del</w:t>
      </w:r>
      <w:r>
        <w:rPr>
          <w:spacing w:val="-24"/>
          <w:w w:val="115"/>
        </w:rPr>
        <w:t> </w:t>
      </w:r>
      <w:r>
        <w:rPr>
          <w:w w:val="150"/>
        </w:rPr>
        <w:t>briCs.</w:t>
      </w:r>
    </w:p>
    <w:p>
      <w:pPr>
        <w:pStyle w:val="BodyText"/>
        <w:spacing w:line="252" w:lineRule="auto"/>
        <w:ind w:left="330" w:right="117" w:firstLine="396"/>
        <w:jc w:val="both"/>
      </w:pPr>
      <w:r>
        <w:rPr>
          <w:w w:val="110"/>
        </w:rPr>
        <w:t>El desarrollo que puede promover esta propuesta, no sólo creará un importante medio para reducir las tensiones entre india y China,    y entre los grupos étnicos y religiosos en bangladesh y </w:t>
      </w:r>
      <w:r>
        <w:rPr>
          <w:spacing w:val="-3"/>
          <w:w w:val="110"/>
        </w:rPr>
        <w:t>Myanmar, </w:t>
      </w:r>
      <w:r>
        <w:rPr>
          <w:w w:val="110"/>
        </w:rPr>
        <w:t>sino que romperá la importancia geoestratégica del “cuello de botella” que se produce en singapur y través del cual es posible controlar el </w:t>
      </w:r>
      <w:r>
        <w:rPr>
          <w:spacing w:val="-3"/>
          <w:w w:val="110"/>
        </w:rPr>
        <w:t>comer- </w:t>
      </w:r>
      <w:r>
        <w:rPr>
          <w:w w:val="110"/>
        </w:rPr>
        <w:t>cio en el este de </w:t>
      </w:r>
      <w:r>
        <w:rPr>
          <w:spacing w:val="12"/>
          <w:w w:val="110"/>
        </w:rPr>
        <w:t> </w:t>
      </w:r>
      <w:r>
        <w:rPr>
          <w:w w:val="110"/>
        </w:rPr>
        <w:t>asia.</w:t>
      </w:r>
    </w:p>
    <w:p>
      <w:pPr>
        <w:pStyle w:val="BodyText"/>
        <w:spacing w:line="252" w:lineRule="auto"/>
        <w:ind w:left="330" w:right="117" w:firstLine="396"/>
        <w:jc w:val="both"/>
      </w:pPr>
      <w:r>
        <w:rPr>
          <w:w w:val="110"/>
        </w:rPr>
        <w:t>China e india se comprometieron, en marzo de 2014, a fortalecer su asociación estratégica y cooperación en áreas como urbanización, ferrocarriles y energía. El compromiso fue alcanzado en una reunión </w:t>
      </w:r>
      <w:r>
        <w:rPr>
          <w:w w:val="106"/>
        </w:rPr>
        <w:t>entre</w:t>
      </w:r>
      <w:r>
        <w:rPr/>
        <w:t> </w:t>
      </w:r>
      <w:r>
        <w:rPr>
          <w:w w:val="107"/>
        </w:rPr>
        <w:t>el</w:t>
      </w:r>
      <w:r>
        <w:rPr/>
        <w:t> </w:t>
      </w:r>
      <w:r>
        <w:rPr>
          <w:w w:val="109"/>
        </w:rPr>
        <w:t>primer</w:t>
      </w:r>
      <w:r>
        <w:rPr/>
        <w:t> </w:t>
      </w:r>
      <w:r>
        <w:rPr>
          <w:w w:val="110"/>
        </w:rPr>
        <w:t>ministro</w:t>
      </w:r>
      <w:r>
        <w:rPr/>
        <w:t> </w:t>
      </w:r>
      <w:r>
        <w:rPr>
          <w:w w:val="107"/>
        </w:rPr>
        <w:t>de</w:t>
      </w:r>
      <w:r>
        <w:rPr/>
        <w:t> </w:t>
      </w:r>
      <w:r>
        <w:rPr>
          <w:w w:val="117"/>
        </w:rPr>
        <w:t>China,</w:t>
      </w:r>
      <w:r>
        <w:rPr/>
        <w:t> </w:t>
      </w:r>
      <w:r>
        <w:rPr>
          <w:w w:val="243"/>
        </w:rPr>
        <w:t>l</w:t>
      </w:r>
      <w:r>
        <w:rPr>
          <w:w w:val="115"/>
        </w:rPr>
        <w:t>i</w:t>
      </w:r>
      <w:r>
        <w:rPr/>
        <w:t> </w:t>
      </w:r>
      <w:r>
        <w:rPr>
          <w:w w:val="114"/>
        </w:rPr>
        <w:t>Keqiang,</w:t>
      </w:r>
      <w:r>
        <w:rPr/>
        <w:t> </w:t>
      </w:r>
      <w:r>
        <w:rPr>
          <w:w w:val="105"/>
        </w:rPr>
        <w:t>y</w:t>
      </w:r>
      <w:r>
        <w:rPr/>
        <w:t> </w:t>
      </w:r>
      <w:r>
        <w:rPr>
          <w:w w:val="107"/>
        </w:rPr>
        <w:t>el</w:t>
      </w:r>
      <w:r>
        <w:rPr/>
        <w:t> </w:t>
      </w:r>
      <w:r>
        <w:rPr>
          <w:w w:val="107"/>
        </w:rPr>
        <w:t>vicepresidente</w:t>
      </w:r>
      <w:r>
        <w:rPr/>
        <w:t> </w:t>
      </w:r>
      <w:r>
        <w:rPr>
          <w:w w:val="107"/>
        </w:rPr>
        <w:t>de</w:t>
      </w:r>
      <w:r>
        <w:rPr/>
        <w:t> </w:t>
      </w:r>
      <w:r>
        <w:rPr>
          <w:w w:val="111"/>
        </w:rPr>
        <w:t>la </w:t>
      </w:r>
      <w:r>
        <w:rPr>
          <w:w w:val="110"/>
        </w:rPr>
        <w:t>Comisión de Planificación de la india, Montek singh ahluwalia, quien visitó China para asistir al tercer diálogo Económico Estratégico en- tre China y la india </w:t>
      </w:r>
      <w:hyperlink r:id="rId142">
        <w:r>
          <w:rPr>
            <w:w w:val="110"/>
          </w:rPr>
          <w:t>(&lt;www.prensa.com&gt;,</w:t>
        </w:r>
      </w:hyperlink>
      <w:r>
        <w:rPr>
          <w:w w:val="110"/>
        </w:rPr>
        <w:t> 2014).</w:t>
      </w:r>
    </w:p>
    <w:p>
      <w:pPr>
        <w:pStyle w:val="BodyText"/>
        <w:spacing w:line="252" w:lineRule="auto"/>
        <w:ind w:left="330" w:right="118" w:firstLine="396"/>
        <w:jc w:val="both"/>
      </w:pPr>
      <w:r>
        <w:rPr>
          <w:w w:val="243"/>
        </w:rPr>
        <w:t>l</w:t>
      </w:r>
      <w:r>
        <w:rPr>
          <w:w w:val="115"/>
        </w:rPr>
        <w:t>i</w:t>
      </w:r>
      <w:r>
        <w:rPr/>
        <w:t> </w:t>
      </w:r>
      <w:r>
        <w:rPr>
          <w:w w:val="110"/>
        </w:rPr>
        <w:t>también</w:t>
      </w:r>
      <w:r>
        <w:rPr/>
        <w:t> </w:t>
      </w:r>
      <w:r>
        <w:rPr>
          <w:w w:val="111"/>
        </w:rPr>
        <w:t>pidió</w:t>
      </w:r>
      <w:r>
        <w:rPr/>
        <w:t> </w:t>
      </w:r>
      <w:r>
        <w:rPr>
          <w:w w:val="112"/>
        </w:rPr>
        <w:t>a</w:t>
      </w:r>
      <w:r>
        <w:rPr/>
        <w:t> </w:t>
      </w:r>
      <w:r>
        <w:rPr>
          <w:w w:val="108"/>
        </w:rPr>
        <w:t>los</w:t>
      </w:r>
      <w:r>
        <w:rPr/>
        <w:t> </w:t>
      </w:r>
      <w:r>
        <w:rPr>
          <w:w w:val="108"/>
        </w:rPr>
        <w:t>dos</w:t>
      </w:r>
      <w:r>
        <w:rPr/>
        <w:t> </w:t>
      </w:r>
      <w:r>
        <w:rPr>
          <w:w w:val="108"/>
        </w:rPr>
        <w:t>países</w:t>
      </w:r>
      <w:r>
        <w:rPr/>
        <w:t> </w:t>
      </w:r>
      <w:r>
        <w:rPr>
          <w:w w:val="111"/>
        </w:rPr>
        <w:t>combinar</w:t>
      </w:r>
      <w:r>
        <w:rPr/>
        <w:t> </w:t>
      </w:r>
      <w:r>
        <w:rPr>
          <w:w w:val="111"/>
        </w:rPr>
        <w:t>la</w:t>
      </w:r>
      <w:r>
        <w:rPr/>
        <w:t> </w:t>
      </w:r>
      <w:r>
        <w:rPr>
          <w:w w:val="110"/>
        </w:rPr>
        <w:t>tecnología</w:t>
      </w:r>
      <w:r>
        <w:rPr/>
        <w:t> </w:t>
      </w:r>
      <w:r>
        <w:rPr>
          <w:w w:val="105"/>
        </w:rPr>
        <w:t>y</w:t>
      </w:r>
      <w:r>
        <w:rPr/>
        <w:t> </w:t>
      </w:r>
      <w:r>
        <w:rPr>
          <w:w w:val="111"/>
        </w:rPr>
        <w:t>la</w:t>
      </w:r>
      <w:r>
        <w:rPr/>
        <w:t> </w:t>
      </w:r>
      <w:r>
        <w:rPr>
          <w:w w:val="106"/>
        </w:rPr>
        <w:t>ven</w:t>
      </w:r>
      <w:r>
        <w:rPr>
          <w:w w:val="102"/>
        </w:rPr>
        <w:t>- </w:t>
      </w:r>
      <w:r>
        <w:rPr>
          <w:w w:val="110"/>
        </w:rPr>
        <w:t>taja de costos de trenes de alta velocidad y los sectores de energía   de</w:t>
      </w:r>
    </w:p>
    <w:p>
      <w:pPr>
        <w:spacing w:after="0" w:line="252" w:lineRule="auto"/>
        <w:jc w:val="both"/>
        <w:sectPr>
          <w:footerReference w:type="default" r:id="rId137"/>
          <w:footerReference w:type="even" r:id="rId138"/>
          <w:pgSz w:w="8790" w:h="12760"/>
          <w:pgMar w:footer="725" w:header="697" w:top="880" w:bottom="920" w:left="1200" w:right="900"/>
        </w:sectPr>
      </w:pPr>
    </w:p>
    <w:p>
      <w:pPr>
        <w:pStyle w:val="BodyText"/>
        <w:spacing w:before="9"/>
        <w:rPr>
          <w:sz w:val="28"/>
        </w:rPr>
      </w:pPr>
    </w:p>
    <w:p>
      <w:pPr>
        <w:pStyle w:val="BodyText"/>
        <w:spacing w:line="252" w:lineRule="auto" w:before="73"/>
        <w:ind w:left="100" w:right="328"/>
        <w:jc w:val="both"/>
      </w:pPr>
      <w:r>
        <w:rPr>
          <w:w w:val="110"/>
        </w:rPr>
        <w:t>China con la demanda de mercado de la india, promover en conjun-   to la construcción del corredor económico bangladesh-india-China- Myanmar e impulsar la intercomunicación y la integración regionales </w:t>
      </w:r>
      <w:hyperlink r:id="rId142">
        <w:r>
          <w:rPr>
            <w:w w:val="105"/>
          </w:rPr>
          <w:t>(&lt;www.prensa.com&gt;,</w:t>
        </w:r>
      </w:hyperlink>
      <w:r>
        <w:rPr>
          <w:w w:val="105"/>
        </w:rPr>
        <w:t> </w:t>
      </w:r>
      <w:r>
        <w:rPr>
          <w:spacing w:val="38"/>
          <w:w w:val="105"/>
        </w:rPr>
        <w:t> </w:t>
      </w:r>
      <w:r>
        <w:rPr>
          <w:w w:val="105"/>
        </w:rPr>
        <w:t>2014).</w:t>
      </w:r>
    </w:p>
    <w:p>
      <w:pPr>
        <w:pStyle w:val="BodyText"/>
        <w:spacing w:before="5"/>
      </w:pPr>
    </w:p>
    <w:p>
      <w:pPr>
        <w:pStyle w:val="Heading6"/>
      </w:pPr>
      <w:r>
        <w:rPr>
          <w:spacing w:val="3"/>
          <w:w w:val="134"/>
        </w:rPr>
        <w:t>e</w:t>
      </w:r>
      <w:r>
        <w:rPr>
          <w:w w:val="201"/>
        </w:rPr>
        <w:t>l</w:t>
      </w:r>
      <w:r>
        <w:rPr>
          <w:spacing w:val="-8"/>
        </w:rPr>
        <w:t> </w:t>
      </w:r>
      <w:r>
        <w:rPr>
          <w:spacing w:val="2"/>
          <w:w w:val="143"/>
        </w:rPr>
        <w:t>corr</w:t>
      </w:r>
      <w:r>
        <w:rPr>
          <w:spacing w:val="3"/>
          <w:w w:val="143"/>
        </w:rPr>
        <w:t>e</w:t>
      </w:r>
      <w:r>
        <w:rPr>
          <w:spacing w:val="5"/>
          <w:w w:val="131"/>
        </w:rPr>
        <w:t>d</w:t>
      </w:r>
      <w:r>
        <w:rPr>
          <w:spacing w:val="2"/>
          <w:w w:val="145"/>
        </w:rPr>
        <w:t>o</w:t>
      </w:r>
      <w:r>
        <w:rPr>
          <w:w w:val="145"/>
        </w:rPr>
        <w:t>r</w:t>
      </w:r>
      <w:r>
        <w:rPr>
          <w:spacing w:val="-8"/>
        </w:rPr>
        <w:t> </w:t>
      </w:r>
      <w:r>
        <w:rPr>
          <w:spacing w:val="3"/>
          <w:w w:val="134"/>
        </w:rPr>
        <w:t>e</w:t>
      </w:r>
      <w:r>
        <w:rPr>
          <w:spacing w:val="2"/>
          <w:w w:val="140"/>
        </w:rPr>
        <w:t>conó</w:t>
      </w:r>
      <w:r>
        <w:rPr>
          <w:spacing w:val="2"/>
          <w:w w:val="92"/>
        </w:rPr>
        <w:t>M</w:t>
      </w:r>
      <w:r>
        <w:rPr>
          <w:spacing w:val="2"/>
          <w:w w:val="142"/>
        </w:rPr>
        <w:t>ic</w:t>
      </w:r>
      <w:r>
        <w:rPr>
          <w:w w:val="142"/>
        </w:rPr>
        <w:t>o</w:t>
      </w:r>
      <w:r>
        <w:rPr>
          <w:spacing w:val="-8"/>
        </w:rPr>
        <w:t> </w:t>
      </w:r>
      <w:r>
        <w:rPr>
          <w:spacing w:val="2"/>
          <w:w w:val="115"/>
        </w:rPr>
        <w:t>cH</w:t>
      </w:r>
      <w:r>
        <w:rPr>
          <w:spacing w:val="2"/>
          <w:w w:val="128"/>
        </w:rPr>
        <w:t>i</w:t>
      </w:r>
      <w:r>
        <w:rPr>
          <w:spacing w:val="-1"/>
          <w:w w:val="128"/>
        </w:rPr>
        <w:t>n</w:t>
      </w:r>
      <w:r>
        <w:rPr>
          <w:spacing w:val="-7"/>
          <w:w w:val="129"/>
        </w:rPr>
        <w:t>a</w:t>
      </w:r>
      <w:r>
        <w:rPr>
          <w:spacing w:val="2"/>
          <w:w w:val="103"/>
        </w:rPr>
        <w:t>-</w:t>
      </w:r>
      <w:r>
        <w:rPr>
          <w:spacing w:val="-12"/>
          <w:w w:val="103"/>
        </w:rPr>
        <w:t>P</w:t>
      </w:r>
      <w:r>
        <w:rPr>
          <w:spacing w:val="2"/>
          <w:w w:val="129"/>
        </w:rPr>
        <w:t>a</w:t>
      </w:r>
      <w:r>
        <w:rPr>
          <w:spacing w:val="2"/>
          <w:w w:val="87"/>
        </w:rPr>
        <w:t>K</w:t>
      </w:r>
      <w:r>
        <w:rPr>
          <w:spacing w:val="2"/>
          <w:w w:val="133"/>
        </w:rPr>
        <w:t>i</w:t>
      </w:r>
      <w:r>
        <w:rPr>
          <w:spacing w:val="1"/>
          <w:w w:val="133"/>
        </w:rPr>
        <w:t>s</w:t>
      </w:r>
      <w:r>
        <w:rPr>
          <w:spacing w:val="-10"/>
          <w:w w:val="180"/>
        </w:rPr>
        <w:t>t</w:t>
      </w:r>
      <w:r>
        <w:rPr>
          <w:spacing w:val="2"/>
          <w:w w:val="128"/>
        </w:rPr>
        <w:t>án</w:t>
      </w:r>
    </w:p>
    <w:p>
      <w:pPr>
        <w:pStyle w:val="BodyText"/>
        <w:spacing w:line="252" w:lineRule="auto" w:before="10"/>
        <w:ind w:left="100" w:right="328"/>
        <w:jc w:val="both"/>
      </w:pPr>
      <w:r>
        <w:rPr>
          <w:w w:val="110"/>
        </w:rPr>
        <w:t>El corredor China-Pakistán fue propuesto en un acuerdo entre los dos </w:t>
      </w:r>
      <w:r>
        <w:rPr>
          <w:w w:val="108"/>
        </w:rPr>
        <w:t>países</w:t>
      </w:r>
      <w:r>
        <w:rPr/>
        <w:t> </w:t>
      </w:r>
      <w:r>
        <w:rPr>
          <w:spacing w:val="-2"/>
        </w:rPr>
        <w:t> </w:t>
      </w:r>
      <w:r>
        <w:rPr>
          <w:w w:val="109"/>
        </w:rPr>
        <w:t>durante</w:t>
      </w:r>
      <w:r>
        <w:rPr/>
        <w:t> </w:t>
      </w:r>
      <w:r>
        <w:rPr>
          <w:spacing w:val="-2"/>
        </w:rPr>
        <w:t> </w:t>
      </w:r>
      <w:r>
        <w:rPr>
          <w:w w:val="111"/>
        </w:rPr>
        <w:t>la</w:t>
      </w:r>
      <w:r>
        <w:rPr/>
        <w:t> </w:t>
      </w:r>
      <w:r>
        <w:rPr>
          <w:spacing w:val="-2"/>
        </w:rPr>
        <w:t> </w:t>
      </w:r>
      <w:r>
        <w:rPr>
          <w:w w:val="108"/>
        </w:rPr>
        <w:t>visita</w:t>
      </w:r>
      <w:r>
        <w:rPr/>
        <w:t> </w:t>
      </w:r>
      <w:r>
        <w:rPr>
          <w:spacing w:val="-2"/>
        </w:rPr>
        <w:t> </w:t>
      </w:r>
      <w:r>
        <w:rPr>
          <w:w w:val="107"/>
        </w:rPr>
        <w:t>del</w:t>
      </w:r>
      <w:r>
        <w:rPr/>
        <w:t> </w:t>
      </w:r>
      <w:r>
        <w:rPr>
          <w:spacing w:val="-2"/>
        </w:rPr>
        <w:t> </w:t>
      </w:r>
      <w:r>
        <w:rPr>
          <w:w w:val="109"/>
        </w:rPr>
        <w:t>primer</w:t>
      </w:r>
      <w:r>
        <w:rPr/>
        <w:t> </w:t>
      </w:r>
      <w:r>
        <w:rPr>
          <w:spacing w:val="-2"/>
        </w:rPr>
        <w:t> </w:t>
      </w:r>
      <w:r>
        <w:rPr>
          <w:w w:val="110"/>
        </w:rPr>
        <w:t>ministro</w:t>
      </w:r>
      <w:r>
        <w:rPr/>
        <w:t> </w:t>
      </w:r>
      <w:r>
        <w:rPr>
          <w:spacing w:val="-2"/>
        </w:rPr>
        <w:t> </w:t>
      </w:r>
      <w:r>
        <w:rPr>
          <w:w w:val="107"/>
        </w:rPr>
        <w:t>de</w:t>
      </w:r>
      <w:r>
        <w:rPr/>
        <w:t> </w:t>
      </w:r>
      <w:r>
        <w:rPr>
          <w:spacing w:val="-2"/>
        </w:rPr>
        <w:t> </w:t>
      </w:r>
      <w:r>
        <w:rPr>
          <w:w w:val="115"/>
        </w:rPr>
        <w:t>China</w:t>
      </w:r>
      <w:r>
        <w:rPr/>
        <w:t> </w:t>
      </w:r>
      <w:r>
        <w:rPr>
          <w:spacing w:val="-2"/>
        </w:rPr>
        <w:t> </w:t>
      </w:r>
      <w:r>
        <w:rPr>
          <w:w w:val="243"/>
        </w:rPr>
        <w:t>l</w:t>
      </w:r>
      <w:r>
        <w:rPr>
          <w:w w:val="115"/>
        </w:rPr>
        <w:t>i</w:t>
      </w:r>
      <w:r>
        <w:rPr/>
        <w:t> </w:t>
      </w:r>
      <w:r>
        <w:rPr>
          <w:spacing w:val="-2"/>
        </w:rPr>
        <w:t> </w:t>
      </w:r>
      <w:r>
        <w:rPr>
          <w:w w:val="112"/>
        </w:rPr>
        <w:t>Keqiang</w:t>
      </w:r>
      <w:r>
        <w:rPr/>
        <w:t> </w:t>
      </w:r>
      <w:r>
        <w:rPr>
          <w:spacing w:val="-2"/>
        </w:rPr>
        <w:t> </w:t>
      </w:r>
      <w:r>
        <w:rPr>
          <w:w w:val="112"/>
        </w:rPr>
        <w:t>a </w:t>
      </w:r>
      <w:r>
        <w:rPr>
          <w:w w:val="110"/>
        </w:rPr>
        <w:t>Pakistán en mayo de 2013. El proyecto por valor de 32 mil millones de dólares conectará a </w:t>
      </w:r>
      <w:r>
        <w:rPr>
          <w:spacing w:val="-3"/>
          <w:w w:val="110"/>
        </w:rPr>
        <w:t>Kashgar, </w:t>
      </w:r>
      <w:r>
        <w:rPr>
          <w:w w:val="110"/>
        </w:rPr>
        <w:t>en la región autónoma uygur de xin- </w:t>
      </w:r>
      <w:r>
        <w:rPr>
          <w:w w:val="112"/>
        </w:rPr>
        <w:t>jiang</w:t>
      </w:r>
      <w:r>
        <w:rPr>
          <w:spacing w:val="6"/>
        </w:rPr>
        <w:t> </w:t>
      </w:r>
      <w:r>
        <w:rPr>
          <w:w w:val="107"/>
        </w:rPr>
        <w:t>de</w:t>
      </w:r>
      <w:r>
        <w:rPr>
          <w:spacing w:val="6"/>
        </w:rPr>
        <w:t> </w:t>
      </w:r>
      <w:r>
        <w:rPr>
          <w:w w:val="117"/>
        </w:rPr>
        <w:t>China,</w:t>
      </w:r>
      <w:r>
        <w:rPr>
          <w:spacing w:val="6"/>
        </w:rPr>
        <w:t> </w:t>
      </w:r>
      <w:r>
        <w:rPr>
          <w:w w:val="112"/>
        </w:rPr>
        <w:t>con</w:t>
      </w:r>
      <w:r>
        <w:rPr>
          <w:spacing w:val="6"/>
        </w:rPr>
        <w:t> </w:t>
      </w:r>
      <w:r>
        <w:rPr>
          <w:w w:val="107"/>
        </w:rPr>
        <w:t>el</w:t>
      </w:r>
      <w:r>
        <w:rPr>
          <w:spacing w:val="6"/>
        </w:rPr>
        <w:t> </w:t>
      </w:r>
      <w:r>
        <w:rPr>
          <w:w w:val="108"/>
        </w:rPr>
        <w:t>puerto</w:t>
      </w:r>
      <w:r>
        <w:rPr>
          <w:spacing w:val="6"/>
        </w:rPr>
        <w:t> </w:t>
      </w:r>
      <w:r>
        <w:rPr>
          <w:w w:val="110"/>
        </w:rPr>
        <w:t>suroccidental</w:t>
      </w:r>
      <w:r>
        <w:rPr>
          <w:spacing w:val="6"/>
        </w:rPr>
        <w:t> </w:t>
      </w:r>
      <w:r>
        <w:rPr>
          <w:w w:val="110"/>
        </w:rPr>
        <w:t>paquistaní</w:t>
      </w:r>
      <w:r>
        <w:rPr>
          <w:spacing w:val="6"/>
        </w:rPr>
        <w:t> </w:t>
      </w:r>
      <w:r>
        <w:rPr>
          <w:w w:val="107"/>
        </w:rPr>
        <w:t>de</w:t>
      </w:r>
      <w:r>
        <w:rPr>
          <w:spacing w:val="6"/>
        </w:rPr>
        <w:t> </w:t>
      </w:r>
      <w:r>
        <w:rPr>
          <w:w w:val="113"/>
        </w:rPr>
        <w:t>Gwada</w:t>
      </w:r>
      <w:r>
        <w:rPr>
          <w:spacing w:val="-22"/>
          <w:w w:val="105"/>
        </w:rPr>
        <w:t>r</w:t>
      </w:r>
      <w:r>
        <w:rPr>
          <w:w w:val="138"/>
        </w:rPr>
        <w:t>.</w:t>
      </w:r>
      <w:r>
        <w:rPr>
          <w:spacing w:val="6"/>
        </w:rPr>
        <w:t> </w:t>
      </w:r>
      <w:r>
        <w:rPr>
          <w:w w:val="243"/>
        </w:rPr>
        <w:t>l</w:t>
      </w:r>
      <w:r>
        <w:rPr>
          <w:w w:val="109"/>
        </w:rPr>
        <w:t>as </w:t>
      </w:r>
      <w:r>
        <w:rPr>
          <w:w w:val="110"/>
        </w:rPr>
        <w:t>inversiones se realizarán en construcción de carreteras, ferrocarriles, oleoductos y gasoductos, finalmente ofrecerá a China la posibilidad de utilizar este importante puerto en el océano Índico (&lt;www.spanish. peopledaily.com.cn&gt;, 2014a).</w:t>
      </w:r>
    </w:p>
    <w:p>
      <w:pPr>
        <w:pStyle w:val="BodyText"/>
        <w:spacing w:line="252" w:lineRule="auto"/>
        <w:ind w:left="100" w:right="328" w:firstLine="396"/>
        <w:jc w:val="both"/>
      </w:pPr>
      <w:r>
        <w:rPr>
          <w:w w:val="110"/>
        </w:rPr>
        <w:t>una vez terminada la construcción, el corredor será el principal punto del comercio entre China, oriente Medio y África. a principios de 2014, también se acordó el plan de construcción de un aeropuerto en </w:t>
      </w:r>
      <w:r>
        <w:rPr>
          <w:spacing w:val="-4"/>
          <w:w w:val="110"/>
        </w:rPr>
        <w:t>Gwadar, </w:t>
      </w:r>
      <w:r>
        <w:rPr>
          <w:w w:val="110"/>
        </w:rPr>
        <w:t>así como el tendido de cables de fibra óptica entre la fron- tera china y la ciudad paquistaní de   </w:t>
      </w:r>
      <w:r>
        <w:rPr>
          <w:spacing w:val="3"/>
          <w:w w:val="110"/>
        </w:rPr>
        <w:t> </w:t>
      </w:r>
      <w:r>
        <w:rPr>
          <w:w w:val="110"/>
        </w:rPr>
        <w:t>rawalpindi.</w:t>
      </w:r>
    </w:p>
    <w:p>
      <w:pPr>
        <w:pStyle w:val="BodyText"/>
        <w:spacing w:line="252" w:lineRule="auto"/>
        <w:ind w:left="100" w:right="328" w:firstLine="396"/>
        <w:jc w:val="both"/>
      </w:pPr>
      <w:r>
        <w:rPr>
          <w:w w:val="120"/>
        </w:rPr>
        <w:t>En</w:t>
      </w:r>
      <w:r>
        <w:rPr/>
        <w:t>  </w:t>
      </w:r>
      <w:r>
        <w:rPr>
          <w:w w:val="110"/>
        </w:rPr>
        <w:t>abril</w:t>
      </w:r>
      <w:r>
        <w:rPr/>
        <w:t>  </w:t>
      </w:r>
      <w:r>
        <w:rPr>
          <w:w w:val="107"/>
        </w:rPr>
        <w:t>de</w:t>
      </w:r>
      <w:r>
        <w:rPr/>
        <w:t>  </w:t>
      </w:r>
      <w:r>
        <w:rPr>
          <w:w w:val="102"/>
        </w:rPr>
        <w:t>2014</w:t>
      </w:r>
      <w:r>
        <w:rPr/>
        <w:t>  </w:t>
      </w:r>
      <w:r>
        <w:rPr>
          <w:w w:val="243"/>
        </w:rPr>
        <w:t>l</w:t>
      </w:r>
      <w:r>
        <w:rPr>
          <w:w w:val="115"/>
        </w:rPr>
        <w:t>i</w:t>
      </w:r>
      <w:r>
        <w:rPr/>
        <w:t>  </w:t>
      </w:r>
      <w:r>
        <w:rPr>
          <w:w w:val="112"/>
        </w:rPr>
        <w:t>Keqiang</w:t>
      </w:r>
      <w:r>
        <w:rPr/>
        <w:t>  </w:t>
      </w:r>
      <w:r>
        <w:rPr>
          <w:w w:val="109"/>
        </w:rPr>
        <w:t>destacó</w:t>
      </w:r>
      <w:r>
        <w:rPr/>
        <w:t>  </w:t>
      </w:r>
      <w:r>
        <w:rPr>
          <w:w w:val="108"/>
        </w:rPr>
        <w:t>que</w:t>
      </w:r>
      <w:r>
        <w:rPr/>
        <w:t>  </w:t>
      </w:r>
      <w:r>
        <w:rPr>
          <w:w w:val="115"/>
        </w:rPr>
        <w:t>China</w:t>
      </w:r>
      <w:r>
        <w:rPr/>
        <w:t>  </w:t>
      </w:r>
      <w:r>
        <w:rPr>
          <w:w w:val="107"/>
        </w:rPr>
        <w:t>está</w:t>
      </w:r>
      <w:r>
        <w:rPr/>
        <w:t>  </w:t>
      </w:r>
      <w:r>
        <w:rPr>
          <w:w w:val="108"/>
        </w:rPr>
        <w:t>dispuesta </w:t>
      </w:r>
      <w:r>
        <w:rPr>
          <w:w w:val="110"/>
        </w:rPr>
        <w:t>a trabajar con Pakistán para completar un plan de largo plazo para fines de este año destinado a construir un corredor económico bilate- ral. En una reunión con el primer ministro de Pakistán, Muhammad Nawaz sharif, al margen de la conferencia anual del Foro de boao </w:t>
      </w:r>
      <w:r>
        <w:rPr>
          <w:w w:val="109"/>
        </w:rPr>
        <w:t>para</w:t>
      </w:r>
      <w:r>
        <w:rPr/>
        <w:t>  </w:t>
      </w:r>
      <w:r>
        <w:rPr>
          <w:w w:val="139"/>
        </w:rPr>
        <w:t>a</w:t>
      </w:r>
      <w:r>
        <w:rPr>
          <w:w w:val="114"/>
        </w:rPr>
        <w:t>sia,</w:t>
      </w:r>
      <w:r>
        <w:rPr/>
        <w:t>  </w:t>
      </w:r>
      <w:r>
        <w:rPr>
          <w:w w:val="243"/>
        </w:rPr>
        <w:t>l</w:t>
      </w:r>
      <w:r>
        <w:rPr>
          <w:w w:val="115"/>
        </w:rPr>
        <w:t>i</w:t>
      </w:r>
      <w:r>
        <w:rPr/>
        <w:t>  </w:t>
      </w:r>
      <w:r>
        <w:rPr>
          <w:w w:val="109"/>
        </w:rPr>
        <w:t>declaró</w:t>
      </w:r>
      <w:r>
        <w:rPr/>
        <w:t>  </w:t>
      </w:r>
      <w:r>
        <w:rPr>
          <w:w w:val="108"/>
        </w:rPr>
        <w:t>que</w:t>
      </w:r>
      <w:r>
        <w:rPr/>
        <w:t>  </w:t>
      </w:r>
      <w:r>
        <w:rPr>
          <w:w w:val="108"/>
        </w:rPr>
        <w:t>los</w:t>
      </w:r>
      <w:r>
        <w:rPr/>
        <w:t>  </w:t>
      </w:r>
      <w:r>
        <w:rPr>
          <w:w w:val="108"/>
        </w:rPr>
        <w:t>dos</w:t>
      </w:r>
      <w:r>
        <w:rPr/>
        <w:t>  </w:t>
      </w:r>
      <w:r>
        <w:rPr>
          <w:w w:val="108"/>
        </w:rPr>
        <w:t>países</w:t>
      </w:r>
      <w:r>
        <w:rPr/>
        <w:t>  </w:t>
      </w:r>
      <w:r>
        <w:rPr>
          <w:w w:val="110"/>
        </w:rPr>
        <w:t>acordaron</w:t>
      </w:r>
      <w:r>
        <w:rPr/>
        <w:t>  </w:t>
      </w:r>
      <w:r>
        <w:rPr>
          <w:w w:val="108"/>
        </w:rPr>
        <w:t>convertir</w:t>
      </w:r>
      <w:r>
        <w:rPr/>
        <w:t>  </w:t>
      </w:r>
      <w:r>
        <w:rPr>
          <w:w w:val="111"/>
        </w:rPr>
        <w:t>la</w:t>
      </w:r>
      <w:r>
        <w:rPr/>
        <w:t>  </w:t>
      </w:r>
      <w:r>
        <w:rPr>
          <w:w w:val="110"/>
        </w:rPr>
        <w:t>cons</w:t>
      </w:r>
      <w:r>
        <w:rPr>
          <w:w w:val="102"/>
        </w:rPr>
        <w:t>- </w:t>
      </w:r>
      <w:r>
        <w:rPr>
          <w:w w:val="110"/>
        </w:rPr>
        <w:t>trucción del corredor en el foro de la cooperación práctica bilateral y que el consenso es favorable para establecer entre China y Pakistán una “comunidad de destino compartido” </w:t>
      </w:r>
      <w:hyperlink r:id="rId134">
        <w:r>
          <w:rPr>
            <w:w w:val="110"/>
          </w:rPr>
          <w:t>(&lt;www.spanish.peopledail</w:t>
        </w:r>
      </w:hyperlink>
      <w:r>
        <w:rPr>
          <w:w w:val="110"/>
        </w:rPr>
        <w:t>y. com.cn&gt;, 2014a).</w:t>
      </w:r>
    </w:p>
    <w:p>
      <w:pPr>
        <w:pStyle w:val="BodyText"/>
        <w:spacing w:line="252" w:lineRule="auto"/>
        <w:ind w:left="100" w:right="328" w:firstLine="396"/>
        <w:jc w:val="both"/>
      </w:pPr>
      <w:r>
        <w:rPr>
          <w:w w:val="110"/>
        </w:rPr>
        <w:t>China también ofrecerá apoyo financiero para la construcción del </w:t>
      </w:r>
      <w:r>
        <w:rPr>
          <w:spacing w:val="-3"/>
          <w:w w:val="110"/>
        </w:rPr>
        <w:t>corredor. </w:t>
      </w:r>
      <w:r>
        <w:rPr>
          <w:w w:val="110"/>
        </w:rPr>
        <w:t>a beijing también le interesa fortalecer la cooperación con Pakistán en el combate del terrorismo, pues espera que proporcione seguridad a las organizaciones y personal chinos en ese país. sharif indicó que Pakistán se enfocará en la promoción de la construcción del corredor y que no escatimará esfuerzos para salvaguardar la segu- ridad de las personas y organizaciones chinas </w:t>
      </w:r>
      <w:hyperlink r:id="rId143">
        <w:r>
          <w:rPr>
            <w:w w:val="110"/>
          </w:rPr>
          <w:t>(&lt;www.spanish.people</w:t>
        </w:r>
      </w:hyperlink>
      <w:r>
        <w:rPr>
          <w:w w:val="110"/>
        </w:rPr>
        <w:t>- daily.com.cn&gt;,</w:t>
      </w:r>
      <w:r>
        <w:rPr>
          <w:spacing w:val="11"/>
          <w:w w:val="110"/>
        </w:rPr>
        <w:t> </w:t>
      </w:r>
      <w:r>
        <w:rPr>
          <w:w w:val="110"/>
        </w:rPr>
        <w:t>2014a).</w:t>
      </w:r>
    </w:p>
    <w:p>
      <w:pPr>
        <w:pStyle w:val="BodyText"/>
        <w:spacing w:before="5"/>
      </w:pPr>
    </w:p>
    <w:p>
      <w:pPr>
        <w:pStyle w:val="Heading6"/>
        <w:spacing w:line="244" w:lineRule="auto"/>
        <w:ind w:right="1222" w:hanging="1"/>
        <w:jc w:val="left"/>
      </w:pPr>
      <w:r>
        <w:rPr>
          <w:w w:val="134"/>
        </w:rPr>
        <w:t>e</w:t>
      </w:r>
      <w:r>
        <w:rPr>
          <w:w w:val="201"/>
        </w:rPr>
        <w:t>l</w:t>
      </w:r>
      <w:r>
        <w:rPr/>
        <w:t> </w:t>
      </w:r>
      <w:r>
        <w:rPr>
          <w:w w:val="180"/>
        </w:rPr>
        <w:t>t</w:t>
      </w:r>
      <w:r>
        <w:rPr>
          <w:w w:val="145"/>
        </w:rPr>
        <w:t>r</w:t>
      </w:r>
      <w:r>
        <w:rPr>
          <w:w w:val="129"/>
        </w:rPr>
        <w:t>a</w:t>
      </w:r>
      <w:r>
        <w:rPr>
          <w:w w:val="180"/>
        </w:rPr>
        <w:t>t</w:t>
      </w:r>
      <w:r>
        <w:rPr>
          <w:w w:val="130"/>
        </w:rPr>
        <w:t>ad</w:t>
      </w:r>
      <w:r>
        <w:rPr>
          <w:w w:val="145"/>
        </w:rPr>
        <w:t>o</w:t>
      </w:r>
      <w:r>
        <w:rPr/>
        <w:t> </w:t>
      </w:r>
      <w:r>
        <w:rPr>
          <w:w w:val="132"/>
        </w:rPr>
        <w:t>de</w:t>
      </w:r>
      <w:r>
        <w:rPr/>
        <w:t> </w:t>
      </w:r>
      <w:r>
        <w:rPr>
          <w:w w:val="201"/>
        </w:rPr>
        <w:t>l</w:t>
      </w:r>
      <w:r>
        <w:rPr>
          <w:w w:val="129"/>
        </w:rPr>
        <w:t>i</w:t>
      </w:r>
      <w:r>
        <w:rPr>
          <w:w w:val="96"/>
        </w:rPr>
        <w:t>B</w:t>
      </w:r>
      <w:r>
        <w:rPr>
          <w:w w:val="139"/>
        </w:rPr>
        <w:t>re</w:t>
      </w:r>
      <w:r>
        <w:rPr/>
        <w:t> </w:t>
      </w:r>
      <w:r>
        <w:rPr>
          <w:w w:val="147"/>
        </w:rPr>
        <w:t>c</w:t>
      </w:r>
      <w:r>
        <w:rPr>
          <w:w w:val="145"/>
        </w:rPr>
        <w:t>o</w:t>
      </w:r>
      <w:r>
        <w:rPr>
          <w:w w:val="92"/>
        </w:rPr>
        <w:t>M</w:t>
      </w:r>
      <w:r>
        <w:rPr>
          <w:w w:val="134"/>
        </w:rPr>
        <w:t>e</w:t>
      </w:r>
      <w:r>
        <w:rPr>
          <w:w w:val="145"/>
        </w:rPr>
        <w:t>r</w:t>
      </w:r>
      <w:r>
        <w:rPr>
          <w:w w:val="142"/>
        </w:rPr>
        <w:t>cio</w:t>
      </w:r>
      <w:r>
        <w:rPr/>
        <w:t> </w:t>
      </w:r>
      <w:r>
        <w:rPr>
          <w:w w:val="134"/>
        </w:rPr>
        <w:t>e</w:t>
      </w:r>
      <w:r>
        <w:rPr>
          <w:w w:val="128"/>
        </w:rPr>
        <w:t>n</w:t>
      </w:r>
      <w:r>
        <w:rPr>
          <w:w w:val="150"/>
        </w:rPr>
        <w:t>tre</w:t>
      </w:r>
      <w:r>
        <w:rPr/>
        <w:t> </w:t>
      </w:r>
      <w:r>
        <w:rPr>
          <w:w w:val="115"/>
        </w:rPr>
        <w:t>cH</w:t>
      </w:r>
      <w:r>
        <w:rPr>
          <w:w w:val="128"/>
        </w:rPr>
        <w:t>in</w:t>
      </w:r>
      <w:r>
        <w:rPr>
          <w:w w:val="129"/>
        </w:rPr>
        <w:t>a</w:t>
      </w:r>
      <w:r>
        <w:rPr/>
        <w:t> </w:t>
      </w:r>
      <w:r>
        <w:rPr>
          <w:w w:val="119"/>
        </w:rPr>
        <w:t>y </w:t>
      </w:r>
      <w:r>
        <w:rPr>
          <w:w w:val="140"/>
        </w:rPr>
        <w:t>corea del sur</w:t>
      </w:r>
    </w:p>
    <w:p>
      <w:pPr>
        <w:pStyle w:val="BodyText"/>
        <w:spacing w:line="252" w:lineRule="auto" w:before="5"/>
        <w:ind w:left="100" w:right="328"/>
        <w:jc w:val="both"/>
      </w:pPr>
      <w:r>
        <w:rPr>
          <w:w w:val="115"/>
        </w:rPr>
        <w:t>El </w:t>
      </w:r>
      <w:r>
        <w:rPr>
          <w:w w:val="165"/>
        </w:rPr>
        <w:t>tlC </w:t>
      </w:r>
      <w:r>
        <w:rPr>
          <w:w w:val="115"/>
        </w:rPr>
        <w:t>es uno de los mayores tratados que ha firmado seúl y cons- tituye uno de los acuerdos de libre comercio de mayor nivel para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6"/>
        <w:jc w:val="both"/>
      </w:pPr>
      <w:r>
        <w:rPr>
          <w:w w:val="110"/>
        </w:rPr>
        <w:t>China. En opinión de las autoridades coreanas, China ya es el prin- cipal socio comercial de  Corea  del  </w:t>
      </w:r>
      <w:r>
        <w:rPr>
          <w:spacing w:val="-6"/>
          <w:w w:val="110"/>
        </w:rPr>
        <w:t>sur,  </w:t>
      </w:r>
      <w:r>
        <w:rPr>
          <w:w w:val="110"/>
        </w:rPr>
        <w:t>representando  un  volumen de 26.1% del total de las exportaciones surcoreanas durante 2013.  En dicho año, el comercio bilateral alcanzó los 228.8 mil millones de dólares, lo que supuso 21.3% del comercio total surcoreano </w:t>
      </w:r>
      <w:hyperlink r:id="rId139">
        <w:r>
          <w:rPr>
            <w:spacing w:val="-3"/>
            <w:w w:val="110"/>
          </w:rPr>
          <w:t>(&lt;www</w:t>
        </w:r>
      </w:hyperlink>
      <w:r>
        <w:rPr>
          <w:spacing w:val="-3"/>
          <w:w w:val="110"/>
        </w:rPr>
        <w:t>. </w:t>
      </w:r>
      <w:r>
        <w:rPr>
          <w:w w:val="110"/>
        </w:rPr>
        <w:t>world.kbs.co.kr&gt;,</w:t>
      </w:r>
      <w:r>
        <w:rPr>
          <w:spacing w:val="10"/>
          <w:w w:val="110"/>
        </w:rPr>
        <w:t> </w:t>
      </w:r>
      <w:r>
        <w:rPr>
          <w:w w:val="110"/>
        </w:rPr>
        <w:t>2014).</w:t>
      </w:r>
    </w:p>
    <w:p>
      <w:pPr>
        <w:pStyle w:val="BodyText"/>
        <w:spacing w:line="252" w:lineRule="auto"/>
        <w:ind w:left="330" w:right="114" w:firstLine="396"/>
        <w:jc w:val="both"/>
      </w:pPr>
      <w:r>
        <w:rPr>
          <w:spacing w:val="2"/>
          <w:w w:val="111"/>
        </w:rPr>
        <w:t>Core</w:t>
      </w:r>
      <w:r>
        <w:rPr>
          <w:w w:val="111"/>
        </w:rPr>
        <w:t>a</w:t>
      </w:r>
      <w:r>
        <w:rPr/>
        <w:t> </w:t>
      </w:r>
      <w:r>
        <w:rPr>
          <w:spacing w:val="-3"/>
        </w:rPr>
        <w:t> </w:t>
      </w:r>
      <w:r>
        <w:rPr>
          <w:spacing w:val="2"/>
          <w:w w:val="107"/>
        </w:rPr>
        <w:t>de</w:t>
      </w:r>
      <w:r>
        <w:rPr>
          <w:w w:val="107"/>
        </w:rPr>
        <w:t>l</w:t>
      </w:r>
      <w:r>
        <w:rPr/>
        <w:t> </w:t>
      </w:r>
      <w:r>
        <w:rPr>
          <w:spacing w:val="-3"/>
        </w:rPr>
        <w:t> </w:t>
      </w:r>
      <w:r>
        <w:rPr>
          <w:spacing w:val="2"/>
          <w:w w:val="149"/>
        </w:rPr>
        <w:t>s</w:t>
      </w:r>
      <w:r>
        <w:rPr>
          <w:spacing w:val="2"/>
          <w:w w:val="109"/>
        </w:rPr>
        <w:t>u</w:t>
      </w:r>
      <w:r>
        <w:rPr>
          <w:w w:val="109"/>
        </w:rPr>
        <w:t>r</w:t>
      </w:r>
      <w:r>
        <w:rPr/>
        <w:t> </w:t>
      </w:r>
      <w:r>
        <w:rPr>
          <w:spacing w:val="-3"/>
        </w:rPr>
        <w:t> </w:t>
      </w:r>
      <w:r>
        <w:rPr>
          <w:w w:val="105"/>
        </w:rPr>
        <w:t>y</w:t>
      </w:r>
      <w:r>
        <w:rPr/>
        <w:t> </w:t>
      </w:r>
      <w:r>
        <w:rPr>
          <w:spacing w:val="-3"/>
        </w:rPr>
        <w:t> </w:t>
      </w:r>
      <w:r>
        <w:rPr>
          <w:spacing w:val="2"/>
          <w:w w:val="115"/>
        </w:rPr>
        <w:t>Chin</w:t>
      </w:r>
      <w:r>
        <w:rPr>
          <w:w w:val="115"/>
        </w:rPr>
        <w:t>a</w:t>
      </w:r>
      <w:r>
        <w:rPr/>
        <w:t> </w:t>
      </w:r>
      <w:r>
        <w:rPr>
          <w:spacing w:val="-3"/>
        </w:rPr>
        <w:t> </w:t>
      </w:r>
      <w:r>
        <w:rPr>
          <w:spacing w:val="2"/>
          <w:w w:val="109"/>
        </w:rPr>
        <w:t>suscribiero</w:t>
      </w:r>
      <w:r>
        <w:rPr>
          <w:w w:val="109"/>
        </w:rPr>
        <w:t>n</w:t>
      </w:r>
      <w:r>
        <w:rPr/>
        <w:t> </w:t>
      </w:r>
      <w:r>
        <w:rPr>
          <w:spacing w:val="-3"/>
        </w:rPr>
        <w:t> </w:t>
      </w:r>
      <w:r>
        <w:rPr>
          <w:spacing w:val="2"/>
          <w:w w:val="105"/>
        </w:rPr>
        <w:t>est</w:t>
      </w:r>
      <w:r>
        <w:rPr>
          <w:w w:val="105"/>
        </w:rPr>
        <w:t>e</w:t>
      </w:r>
      <w:r>
        <w:rPr/>
        <w:t> </w:t>
      </w:r>
      <w:r>
        <w:rPr>
          <w:spacing w:val="-3"/>
        </w:rPr>
        <w:t> </w:t>
      </w:r>
      <w:r>
        <w:rPr>
          <w:spacing w:val="-15"/>
          <w:w w:val="195"/>
        </w:rPr>
        <w:t>t</w:t>
      </w:r>
      <w:r>
        <w:rPr>
          <w:spacing w:val="2"/>
          <w:w w:val="109"/>
        </w:rPr>
        <w:t>ratad</w:t>
      </w:r>
      <w:r>
        <w:rPr>
          <w:w w:val="109"/>
        </w:rPr>
        <w:t>o</w:t>
      </w:r>
      <w:r>
        <w:rPr/>
        <w:t> </w:t>
      </w:r>
      <w:r>
        <w:rPr>
          <w:spacing w:val="-3"/>
        </w:rPr>
        <w:t> </w:t>
      </w:r>
      <w:r>
        <w:rPr>
          <w:spacing w:val="2"/>
          <w:w w:val="107"/>
        </w:rPr>
        <w:t>d</w:t>
      </w:r>
      <w:r>
        <w:rPr>
          <w:w w:val="107"/>
        </w:rPr>
        <w:t>e</w:t>
      </w:r>
      <w:r>
        <w:rPr/>
        <w:t> </w:t>
      </w:r>
      <w:r>
        <w:rPr>
          <w:spacing w:val="-3"/>
        </w:rPr>
        <w:t> </w:t>
      </w:r>
      <w:r>
        <w:rPr>
          <w:spacing w:val="2"/>
          <w:w w:val="243"/>
        </w:rPr>
        <w:t>l</w:t>
      </w:r>
      <w:r>
        <w:rPr>
          <w:spacing w:val="2"/>
          <w:w w:val="108"/>
        </w:rPr>
        <w:t>ibr</w:t>
      </w:r>
      <w:r>
        <w:rPr>
          <w:w w:val="108"/>
        </w:rPr>
        <w:t>e</w:t>
      </w:r>
      <w:r>
        <w:rPr/>
        <w:t> </w:t>
      </w:r>
      <w:r>
        <w:rPr>
          <w:spacing w:val="-3"/>
        </w:rPr>
        <w:t> </w:t>
      </w:r>
      <w:r>
        <w:rPr>
          <w:spacing w:val="2"/>
          <w:w w:val="117"/>
        </w:rPr>
        <w:t>C</w:t>
      </w:r>
      <w:r>
        <w:rPr>
          <w:spacing w:val="3"/>
          <w:w w:val="117"/>
        </w:rPr>
        <w:t>o</w:t>
      </w:r>
      <w:r>
        <w:rPr>
          <w:w w:val="102"/>
        </w:rPr>
        <w:t>- </w:t>
      </w:r>
      <w:r>
        <w:rPr>
          <w:w w:val="110"/>
        </w:rPr>
        <w:t>mercio bilateral a sólo 30 meses del inicio de las negociaciones. de esta manera, el primer país ya ha logrado firmar este tipo de acuer-  do con las tres principales potencias económicas en la actualidad: Estados unidos, la unión Europea  </w:t>
      </w:r>
      <w:r>
        <w:rPr>
          <w:spacing w:val="-10"/>
          <w:w w:val="110"/>
        </w:rPr>
        <w:t>y,  </w:t>
      </w:r>
      <w:r>
        <w:rPr>
          <w:w w:val="110"/>
        </w:rPr>
        <w:t>ahora,  China.  El  plan  de  am- bos gobiernos era concluir la discusión de otros detalles adicionales relativos al citado pacto, para lograr la firma oficial del tratado </w:t>
      </w:r>
      <w:r>
        <w:rPr>
          <w:spacing w:val="2"/>
          <w:w w:val="110"/>
        </w:rPr>
        <w:t>por </w:t>
      </w:r>
      <w:r>
        <w:rPr>
          <w:w w:val="110"/>
        </w:rPr>
        <w:t>parte de los respectivos ministros de Comercio a principios de 2015    y hacer que entre en vigor este mismo año, una vez finalizada la aprobación </w:t>
      </w:r>
      <w:r>
        <w:rPr>
          <w:spacing w:val="37"/>
          <w:w w:val="110"/>
        </w:rPr>
        <w:t> </w:t>
      </w:r>
      <w:r>
        <w:rPr>
          <w:w w:val="110"/>
        </w:rPr>
        <w:t>parlamentaria.</w:t>
      </w:r>
    </w:p>
    <w:p>
      <w:pPr>
        <w:pStyle w:val="BodyText"/>
        <w:spacing w:line="252" w:lineRule="auto"/>
        <w:ind w:left="330" w:right="117" w:firstLine="396"/>
        <w:jc w:val="both"/>
      </w:pPr>
      <w:r>
        <w:rPr>
          <w:w w:val="110"/>
        </w:rPr>
        <w:t>El </w:t>
      </w:r>
      <w:r>
        <w:rPr>
          <w:w w:val="155"/>
        </w:rPr>
        <w:t>tlC </w:t>
      </w:r>
      <w:r>
        <w:rPr>
          <w:w w:val="110"/>
        </w:rPr>
        <w:t>bilateral abarca a 22 industrias </w:t>
      </w:r>
      <w:r>
        <w:rPr>
          <w:spacing w:val="-11"/>
          <w:w w:val="110"/>
        </w:rPr>
        <w:t>y, </w:t>
      </w:r>
      <w:r>
        <w:rPr>
          <w:w w:val="110"/>
        </w:rPr>
        <w:t>por primera vez, China incluyó al sector financiero, las telecomunicaciones y las transaccio- nes electrónicas en este acuerdo con Corea del </w:t>
      </w:r>
      <w:r>
        <w:rPr>
          <w:spacing w:val="-6"/>
          <w:w w:val="110"/>
        </w:rPr>
        <w:t>sur. </w:t>
      </w:r>
      <w:r>
        <w:rPr>
          <w:w w:val="110"/>
        </w:rPr>
        <w:t>En cuanto a los productos, más del 90% gozarán de la apertura del mercado y sus aranceles serán eliminados en un plazo de 20 años. En concreto, se eliminarán inmediatamente los aranceles al 44% de los productos</w:t>
      </w:r>
      <w:r>
        <w:rPr>
          <w:spacing w:val="-25"/>
          <w:w w:val="110"/>
        </w:rPr>
        <w:t> </w:t>
      </w:r>
      <w:r>
        <w:rPr>
          <w:w w:val="110"/>
        </w:rPr>
        <w:t>chi- nos y al 52% de los coreanos. asimismo, la industria automotriz y el arroz fueron excluidos de este pacto comercial y acordaron no incluir- los en futuras negociaciones adicionales, dada su sensibilidad a los respectivos</w:t>
      </w:r>
      <w:r>
        <w:rPr>
          <w:spacing w:val="-13"/>
          <w:w w:val="110"/>
        </w:rPr>
        <w:t> </w:t>
      </w:r>
      <w:r>
        <w:rPr>
          <w:w w:val="110"/>
        </w:rPr>
        <w:t>mercados</w:t>
      </w:r>
      <w:r>
        <w:rPr>
          <w:spacing w:val="-13"/>
          <w:w w:val="110"/>
        </w:rPr>
        <w:t> </w:t>
      </w:r>
      <w:hyperlink r:id="rId146">
        <w:r>
          <w:rPr>
            <w:w w:val="110"/>
          </w:rPr>
          <w:t>(&lt;www.world.kbs.co.kr&gt;,</w:t>
        </w:r>
      </w:hyperlink>
      <w:r>
        <w:rPr>
          <w:spacing w:val="-13"/>
          <w:w w:val="110"/>
        </w:rPr>
        <w:t> </w:t>
      </w:r>
      <w:r>
        <w:rPr>
          <w:w w:val="110"/>
        </w:rPr>
        <w:t>2014).</w:t>
      </w:r>
    </w:p>
    <w:p>
      <w:pPr>
        <w:pStyle w:val="BodyText"/>
        <w:spacing w:line="252" w:lineRule="auto"/>
        <w:ind w:left="330" w:right="117" w:firstLine="396"/>
        <w:jc w:val="both"/>
      </w:pPr>
      <w:r>
        <w:rPr>
          <w:w w:val="115"/>
        </w:rPr>
        <w:t>El </w:t>
      </w:r>
      <w:r>
        <w:rPr>
          <w:w w:val="160"/>
        </w:rPr>
        <w:t>tlC </w:t>
      </w:r>
      <w:r>
        <w:rPr>
          <w:w w:val="115"/>
        </w:rPr>
        <w:t>con China es el décimo tercero que firma Corea del </w:t>
      </w:r>
      <w:r>
        <w:rPr>
          <w:spacing w:val="-6"/>
          <w:w w:val="115"/>
        </w:rPr>
        <w:t>sur. </w:t>
      </w:r>
      <w:r>
        <w:rPr>
          <w:w w:val="115"/>
        </w:rPr>
        <w:t>Con</w:t>
      </w:r>
      <w:r>
        <w:rPr>
          <w:spacing w:val="-18"/>
          <w:w w:val="115"/>
        </w:rPr>
        <w:t> </w:t>
      </w:r>
      <w:r>
        <w:rPr>
          <w:w w:val="115"/>
        </w:rPr>
        <w:t>esta</w:t>
      </w:r>
      <w:r>
        <w:rPr>
          <w:spacing w:val="-18"/>
          <w:w w:val="115"/>
        </w:rPr>
        <w:t> </w:t>
      </w:r>
      <w:r>
        <w:rPr>
          <w:w w:val="115"/>
        </w:rPr>
        <w:t>suscripción,</w:t>
      </w:r>
      <w:r>
        <w:rPr>
          <w:spacing w:val="-18"/>
          <w:w w:val="115"/>
        </w:rPr>
        <w:t> </w:t>
      </w:r>
      <w:r>
        <w:rPr>
          <w:w w:val="115"/>
        </w:rPr>
        <w:t>ha</w:t>
      </w:r>
      <w:r>
        <w:rPr>
          <w:spacing w:val="-18"/>
          <w:w w:val="115"/>
        </w:rPr>
        <w:t> </w:t>
      </w:r>
      <w:r>
        <w:rPr>
          <w:w w:val="115"/>
        </w:rPr>
        <w:t>logrado</w:t>
      </w:r>
      <w:r>
        <w:rPr>
          <w:spacing w:val="-18"/>
          <w:w w:val="115"/>
        </w:rPr>
        <w:t> </w:t>
      </w:r>
      <w:r>
        <w:rPr>
          <w:w w:val="115"/>
        </w:rPr>
        <w:t>establecer</w:t>
      </w:r>
      <w:r>
        <w:rPr>
          <w:spacing w:val="-18"/>
          <w:w w:val="115"/>
        </w:rPr>
        <w:t> </w:t>
      </w:r>
      <w:r>
        <w:rPr>
          <w:w w:val="115"/>
        </w:rPr>
        <w:t>acuerdos</w:t>
      </w:r>
      <w:r>
        <w:rPr>
          <w:spacing w:val="-18"/>
          <w:w w:val="115"/>
        </w:rPr>
        <w:t> </w:t>
      </w:r>
      <w:r>
        <w:rPr>
          <w:w w:val="115"/>
        </w:rPr>
        <w:t>de</w:t>
      </w:r>
      <w:r>
        <w:rPr>
          <w:spacing w:val="-18"/>
          <w:w w:val="115"/>
        </w:rPr>
        <w:t> </w:t>
      </w:r>
      <w:r>
        <w:rPr>
          <w:w w:val="115"/>
        </w:rPr>
        <w:t>este</w:t>
      </w:r>
      <w:r>
        <w:rPr>
          <w:spacing w:val="-18"/>
          <w:w w:val="115"/>
        </w:rPr>
        <w:t> </w:t>
      </w:r>
      <w:r>
        <w:rPr>
          <w:w w:val="115"/>
        </w:rPr>
        <w:t>tipo</w:t>
      </w:r>
      <w:r>
        <w:rPr>
          <w:spacing w:val="-18"/>
          <w:w w:val="115"/>
        </w:rPr>
        <w:t> </w:t>
      </w:r>
      <w:r>
        <w:rPr>
          <w:w w:val="115"/>
        </w:rPr>
        <w:t>con 11</w:t>
      </w:r>
      <w:r>
        <w:rPr>
          <w:spacing w:val="-4"/>
          <w:w w:val="115"/>
        </w:rPr>
        <w:t> </w:t>
      </w:r>
      <w:r>
        <w:rPr>
          <w:w w:val="115"/>
        </w:rPr>
        <w:t>de</w:t>
      </w:r>
      <w:r>
        <w:rPr>
          <w:spacing w:val="-4"/>
          <w:w w:val="115"/>
        </w:rPr>
        <w:t> </w:t>
      </w:r>
      <w:r>
        <w:rPr>
          <w:w w:val="115"/>
        </w:rPr>
        <w:t>las</w:t>
      </w:r>
      <w:r>
        <w:rPr>
          <w:spacing w:val="-4"/>
          <w:w w:val="115"/>
        </w:rPr>
        <w:t> </w:t>
      </w:r>
      <w:r>
        <w:rPr>
          <w:w w:val="115"/>
        </w:rPr>
        <w:t>14</w:t>
      </w:r>
      <w:r>
        <w:rPr>
          <w:spacing w:val="-4"/>
          <w:w w:val="115"/>
        </w:rPr>
        <w:t> </w:t>
      </w:r>
      <w:r>
        <w:rPr>
          <w:w w:val="115"/>
        </w:rPr>
        <w:t>principales</w:t>
      </w:r>
      <w:r>
        <w:rPr>
          <w:spacing w:val="-4"/>
          <w:w w:val="115"/>
        </w:rPr>
        <w:t> </w:t>
      </w:r>
      <w:r>
        <w:rPr>
          <w:w w:val="115"/>
        </w:rPr>
        <w:t>potencias</w:t>
      </w:r>
      <w:r>
        <w:rPr>
          <w:spacing w:val="-4"/>
          <w:w w:val="115"/>
        </w:rPr>
        <w:t> </w:t>
      </w:r>
      <w:r>
        <w:rPr>
          <w:w w:val="115"/>
        </w:rPr>
        <w:t>económicas,</w:t>
      </w:r>
      <w:r>
        <w:rPr>
          <w:spacing w:val="-4"/>
          <w:w w:val="115"/>
        </w:rPr>
        <w:t> </w:t>
      </w:r>
      <w:r>
        <w:rPr>
          <w:w w:val="115"/>
        </w:rPr>
        <w:t>con</w:t>
      </w:r>
      <w:r>
        <w:rPr>
          <w:spacing w:val="-4"/>
          <w:w w:val="115"/>
        </w:rPr>
        <w:t> </w:t>
      </w:r>
      <w:r>
        <w:rPr>
          <w:w w:val="115"/>
        </w:rPr>
        <w:t>excepción</w:t>
      </w:r>
      <w:r>
        <w:rPr>
          <w:spacing w:val="-4"/>
          <w:w w:val="115"/>
        </w:rPr>
        <w:t> </w:t>
      </w:r>
      <w:r>
        <w:rPr>
          <w:w w:val="115"/>
        </w:rPr>
        <w:t>de</w:t>
      </w:r>
      <w:r>
        <w:rPr>
          <w:spacing w:val="-4"/>
          <w:w w:val="115"/>
        </w:rPr>
        <w:t> </w:t>
      </w:r>
      <w:r>
        <w:rPr>
          <w:w w:val="115"/>
        </w:rPr>
        <w:t>Ja- pón, rusia y brasil. según el instituto Coreano sobre Política Econó- mica</w:t>
      </w:r>
      <w:r>
        <w:rPr>
          <w:spacing w:val="-5"/>
          <w:w w:val="115"/>
        </w:rPr>
        <w:t> </w:t>
      </w:r>
      <w:r>
        <w:rPr>
          <w:w w:val="115"/>
        </w:rPr>
        <w:t>internacional,</w:t>
      </w:r>
      <w:r>
        <w:rPr>
          <w:spacing w:val="-5"/>
          <w:w w:val="115"/>
        </w:rPr>
        <w:t> </w:t>
      </w:r>
      <w:r>
        <w:rPr>
          <w:w w:val="115"/>
        </w:rPr>
        <w:t>pasados</w:t>
      </w:r>
      <w:r>
        <w:rPr>
          <w:spacing w:val="-5"/>
          <w:w w:val="115"/>
        </w:rPr>
        <w:t> </w:t>
      </w:r>
      <w:r>
        <w:rPr>
          <w:w w:val="115"/>
        </w:rPr>
        <w:t>cinco</w:t>
      </w:r>
      <w:r>
        <w:rPr>
          <w:spacing w:val="-5"/>
          <w:w w:val="115"/>
        </w:rPr>
        <w:t> </w:t>
      </w:r>
      <w:r>
        <w:rPr>
          <w:w w:val="115"/>
        </w:rPr>
        <w:t>años</w:t>
      </w:r>
      <w:r>
        <w:rPr>
          <w:spacing w:val="-5"/>
          <w:w w:val="115"/>
        </w:rPr>
        <w:t> </w:t>
      </w:r>
      <w:r>
        <w:rPr>
          <w:w w:val="115"/>
        </w:rPr>
        <w:t>tras</w:t>
      </w:r>
      <w:r>
        <w:rPr>
          <w:spacing w:val="-5"/>
          <w:w w:val="115"/>
        </w:rPr>
        <w:t> </w:t>
      </w:r>
      <w:r>
        <w:rPr>
          <w:w w:val="115"/>
        </w:rPr>
        <w:t>la</w:t>
      </w:r>
      <w:r>
        <w:rPr>
          <w:spacing w:val="-5"/>
          <w:w w:val="115"/>
        </w:rPr>
        <w:t> </w:t>
      </w:r>
      <w:r>
        <w:rPr>
          <w:w w:val="115"/>
        </w:rPr>
        <w:t>puesta</w:t>
      </w:r>
      <w:r>
        <w:rPr>
          <w:spacing w:val="-5"/>
          <w:w w:val="115"/>
        </w:rPr>
        <w:t> </w:t>
      </w:r>
      <w:r>
        <w:rPr>
          <w:w w:val="115"/>
        </w:rPr>
        <w:t>en</w:t>
      </w:r>
      <w:r>
        <w:rPr>
          <w:spacing w:val="-5"/>
          <w:w w:val="115"/>
        </w:rPr>
        <w:t> </w:t>
      </w:r>
      <w:r>
        <w:rPr>
          <w:w w:val="115"/>
        </w:rPr>
        <w:t>marcha</w:t>
      </w:r>
      <w:r>
        <w:rPr>
          <w:spacing w:val="-5"/>
          <w:w w:val="115"/>
        </w:rPr>
        <w:t> </w:t>
      </w:r>
      <w:r>
        <w:rPr>
          <w:w w:val="115"/>
        </w:rPr>
        <w:t>del </w:t>
      </w:r>
      <w:r>
        <w:rPr>
          <w:w w:val="160"/>
        </w:rPr>
        <w:t>tlC</w:t>
      </w:r>
      <w:r>
        <w:rPr>
          <w:spacing w:val="-27"/>
          <w:w w:val="160"/>
        </w:rPr>
        <w:t> </w:t>
      </w:r>
      <w:r>
        <w:rPr>
          <w:w w:val="115"/>
        </w:rPr>
        <w:t>bilateral,</w:t>
      </w:r>
      <w:r>
        <w:rPr>
          <w:spacing w:val="-8"/>
          <w:w w:val="115"/>
        </w:rPr>
        <w:t> </w:t>
      </w:r>
      <w:r>
        <w:rPr>
          <w:w w:val="115"/>
        </w:rPr>
        <w:t>el</w:t>
      </w:r>
      <w:r>
        <w:rPr>
          <w:spacing w:val="-8"/>
          <w:w w:val="115"/>
        </w:rPr>
        <w:t> </w:t>
      </w:r>
      <w:r>
        <w:rPr>
          <w:w w:val="115"/>
        </w:rPr>
        <w:t>Pib</w:t>
      </w:r>
      <w:r>
        <w:rPr>
          <w:spacing w:val="-8"/>
          <w:w w:val="115"/>
        </w:rPr>
        <w:t> </w:t>
      </w:r>
      <w:r>
        <w:rPr>
          <w:w w:val="115"/>
        </w:rPr>
        <w:t>real</w:t>
      </w:r>
      <w:r>
        <w:rPr>
          <w:spacing w:val="-8"/>
          <w:w w:val="115"/>
        </w:rPr>
        <w:t> </w:t>
      </w:r>
      <w:r>
        <w:rPr>
          <w:w w:val="115"/>
        </w:rPr>
        <w:t>de</w:t>
      </w:r>
      <w:r>
        <w:rPr>
          <w:spacing w:val="-8"/>
          <w:w w:val="115"/>
        </w:rPr>
        <w:t> </w:t>
      </w:r>
      <w:r>
        <w:rPr>
          <w:w w:val="115"/>
        </w:rPr>
        <w:t>Corea</w:t>
      </w:r>
      <w:r>
        <w:rPr>
          <w:spacing w:val="-8"/>
          <w:w w:val="115"/>
        </w:rPr>
        <w:t> </w:t>
      </w:r>
      <w:r>
        <w:rPr>
          <w:w w:val="115"/>
        </w:rPr>
        <w:t>del</w:t>
      </w:r>
      <w:r>
        <w:rPr>
          <w:spacing w:val="-8"/>
          <w:w w:val="115"/>
        </w:rPr>
        <w:t> </w:t>
      </w:r>
      <w:r>
        <w:rPr>
          <w:w w:val="115"/>
        </w:rPr>
        <w:t>sur</w:t>
      </w:r>
      <w:r>
        <w:rPr>
          <w:spacing w:val="-8"/>
          <w:w w:val="115"/>
        </w:rPr>
        <w:t> </w:t>
      </w:r>
      <w:r>
        <w:rPr>
          <w:w w:val="115"/>
        </w:rPr>
        <w:t>se</w:t>
      </w:r>
      <w:r>
        <w:rPr>
          <w:spacing w:val="-8"/>
          <w:w w:val="115"/>
        </w:rPr>
        <w:t> </w:t>
      </w:r>
      <w:r>
        <w:rPr>
          <w:w w:val="115"/>
        </w:rPr>
        <w:t>incrementará</w:t>
      </w:r>
      <w:r>
        <w:rPr>
          <w:spacing w:val="-8"/>
          <w:w w:val="115"/>
        </w:rPr>
        <w:t> </w:t>
      </w:r>
      <w:r>
        <w:rPr>
          <w:w w:val="115"/>
        </w:rPr>
        <w:t>entre</w:t>
      </w:r>
      <w:r>
        <w:rPr>
          <w:spacing w:val="-8"/>
          <w:w w:val="115"/>
        </w:rPr>
        <w:t> </w:t>
      </w:r>
      <w:r>
        <w:rPr>
          <w:w w:val="115"/>
        </w:rPr>
        <w:t>0.95 y</w:t>
      </w:r>
      <w:r>
        <w:rPr>
          <w:spacing w:val="-17"/>
          <w:w w:val="115"/>
        </w:rPr>
        <w:t> </w:t>
      </w:r>
      <w:r>
        <w:rPr>
          <w:w w:val="115"/>
        </w:rPr>
        <w:t>1.25%,</w:t>
      </w:r>
      <w:r>
        <w:rPr>
          <w:spacing w:val="-17"/>
          <w:w w:val="115"/>
        </w:rPr>
        <w:t> </w:t>
      </w:r>
      <w:r>
        <w:rPr>
          <w:w w:val="115"/>
        </w:rPr>
        <w:t>y</w:t>
      </w:r>
      <w:r>
        <w:rPr>
          <w:spacing w:val="-17"/>
          <w:w w:val="115"/>
        </w:rPr>
        <w:t> </w:t>
      </w:r>
      <w:r>
        <w:rPr>
          <w:w w:val="115"/>
        </w:rPr>
        <w:t>después</w:t>
      </w:r>
      <w:r>
        <w:rPr>
          <w:spacing w:val="-17"/>
          <w:w w:val="115"/>
        </w:rPr>
        <w:t> </w:t>
      </w:r>
      <w:r>
        <w:rPr>
          <w:w w:val="115"/>
        </w:rPr>
        <w:t>de</w:t>
      </w:r>
      <w:r>
        <w:rPr>
          <w:spacing w:val="-17"/>
          <w:w w:val="115"/>
        </w:rPr>
        <w:t> </w:t>
      </w:r>
      <w:r>
        <w:rPr>
          <w:w w:val="115"/>
        </w:rPr>
        <w:t>10</w:t>
      </w:r>
      <w:r>
        <w:rPr>
          <w:spacing w:val="-17"/>
          <w:w w:val="115"/>
        </w:rPr>
        <w:t> </w:t>
      </w:r>
      <w:r>
        <w:rPr>
          <w:w w:val="115"/>
        </w:rPr>
        <w:t>años,</w:t>
      </w:r>
      <w:r>
        <w:rPr>
          <w:spacing w:val="-17"/>
          <w:w w:val="115"/>
        </w:rPr>
        <w:t> </w:t>
      </w:r>
      <w:r>
        <w:rPr>
          <w:w w:val="115"/>
        </w:rPr>
        <w:t>podría</w:t>
      </w:r>
      <w:r>
        <w:rPr>
          <w:spacing w:val="-17"/>
          <w:w w:val="115"/>
        </w:rPr>
        <w:t> </w:t>
      </w:r>
      <w:r>
        <w:rPr>
          <w:w w:val="115"/>
        </w:rPr>
        <w:t>ascender</w:t>
      </w:r>
      <w:r>
        <w:rPr>
          <w:spacing w:val="-17"/>
          <w:w w:val="115"/>
        </w:rPr>
        <w:t> </w:t>
      </w:r>
      <w:r>
        <w:rPr>
          <w:w w:val="115"/>
        </w:rPr>
        <w:t>hasta</w:t>
      </w:r>
      <w:r>
        <w:rPr>
          <w:spacing w:val="-17"/>
          <w:w w:val="115"/>
        </w:rPr>
        <w:t> </w:t>
      </w:r>
      <w:r>
        <w:rPr>
          <w:w w:val="115"/>
        </w:rPr>
        <w:t>3.04%</w:t>
      </w:r>
      <w:r>
        <w:rPr>
          <w:spacing w:val="-17"/>
          <w:w w:val="115"/>
        </w:rPr>
        <w:t> </w:t>
      </w:r>
      <w:hyperlink r:id="rId139">
        <w:r>
          <w:rPr>
            <w:spacing w:val="-3"/>
            <w:w w:val="115"/>
          </w:rPr>
          <w:t>(&lt;www</w:t>
        </w:r>
      </w:hyperlink>
      <w:r>
        <w:rPr>
          <w:spacing w:val="-3"/>
          <w:w w:val="115"/>
        </w:rPr>
        <w:t>. </w:t>
      </w:r>
      <w:r>
        <w:rPr>
          <w:w w:val="110"/>
        </w:rPr>
        <w:t>world.kbs.co.kr&gt;,</w:t>
      </w:r>
      <w:r>
        <w:rPr>
          <w:spacing w:val="8"/>
          <w:w w:val="110"/>
        </w:rPr>
        <w:t> </w:t>
      </w:r>
      <w:r>
        <w:rPr>
          <w:w w:val="110"/>
        </w:rPr>
        <w:t>2014).</w:t>
      </w:r>
    </w:p>
    <w:p>
      <w:pPr>
        <w:pStyle w:val="BodyText"/>
        <w:spacing w:before="5"/>
      </w:pPr>
    </w:p>
    <w:p>
      <w:pPr>
        <w:pStyle w:val="Heading6"/>
        <w:spacing w:line="244" w:lineRule="auto"/>
        <w:ind w:left="331" w:right="734" w:hanging="1"/>
        <w:jc w:val="left"/>
      </w:pPr>
      <w:r>
        <w:rPr>
          <w:w w:val="180"/>
        </w:rPr>
        <w:t>t</w:t>
      </w:r>
      <w:r>
        <w:rPr>
          <w:w w:val="145"/>
        </w:rPr>
        <w:t>r</w:t>
      </w:r>
      <w:r>
        <w:rPr>
          <w:w w:val="129"/>
        </w:rPr>
        <w:t>a</w:t>
      </w:r>
      <w:r>
        <w:rPr>
          <w:w w:val="180"/>
        </w:rPr>
        <w:t>t</w:t>
      </w:r>
      <w:r>
        <w:rPr>
          <w:w w:val="130"/>
        </w:rPr>
        <w:t>ad</w:t>
      </w:r>
      <w:r>
        <w:rPr>
          <w:w w:val="145"/>
        </w:rPr>
        <w:t>o</w:t>
      </w:r>
      <w:r>
        <w:rPr/>
        <w:t> </w:t>
      </w:r>
      <w:r>
        <w:rPr>
          <w:w w:val="132"/>
        </w:rPr>
        <w:t>de</w:t>
      </w:r>
      <w:r>
        <w:rPr/>
        <w:t> </w:t>
      </w:r>
      <w:r>
        <w:rPr>
          <w:w w:val="201"/>
        </w:rPr>
        <w:t>l</w:t>
      </w:r>
      <w:r>
        <w:rPr>
          <w:w w:val="129"/>
        </w:rPr>
        <w:t>i</w:t>
      </w:r>
      <w:r>
        <w:rPr>
          <w:w w:val="96"/>
        </w:rPr>
        <w:t>B</w:t>
      </w:r>
      <w:r>
        <w:rPr>
          <w:w w:val="139"/>
        </w:rPr>
        <w:t>re</w:t>
      </w:r>
      <w:r>
        <w:rPr/>
        <w:t> </w:t>
      </w:r>
      <w:r>
        <w:rPr>
          <w:w w:val="147"/>
        </w:rPr>
        <w:t>c</w:t>
      </w:r>
      <w:r>
        <w:rPr>
          <w:w w:val="145"/>
        </w:rPr>
        <w:t>o</w:t>
      </w:r>
      <w:r>
        <w:rPr>
          <w:w w:val="92"/>
        </w:rPr>
        <w:t>M</w:t>
      </w:r>
      <w:r>
        <w:rPr>
          <w:w w:val="134"/>
        </w:rPr>
        <w:t>e</w:t>
      </w:r>
      <w:r>
        <w:rPr>
          <w:w w:val="145"/>
        </w:rPr>
        <w:t>r</w:t>
      </w:r>
      <w:r>
        <w:rPr>
          <w:w w:val="142"/>
        </w:rPr>
        <w:t>cio</w:t>
      </w:r>
      <w:r>
        <w:rPr/>
        <w:t> </w:t>
      </w:r>
      <w:r>
        <w:rPr>
          <w:w w:val="132"/>
        </w:rPr>
        <w:t>de</w:t>
      </w:r>
      <w:r>
        <w:rPr/>
        <w:t> </w:t>
      </w:r>
      <w:r>
        <w:rPr>
          <w:w w:val="115"/>
        </w:rPr>
        <w:t>cH</w:t>
      </w:r>
      <w:r>
        <w:rPr>
          <w:w w:val="128"/>
        </w:rPr>
        <w:t>in</w:t>
      </w:r>
      <w:r>
        <w:rPr>
          <w:w w:val="129"/>
        </w:rPr>
        <w:t>a</w:t>
      </w:r>
      <w:r>
        <w:rPr/>
        <w:t> </w:t>
      </w:r>
      <w:r>
        <w:rPr>
          <w:w w:val="139"/>
        </w:rPr>
        <w:t>con</w:t>
      </w:r>
      <w:r>
        <w:rPr/>
        <w:t> </w:t>
      </w:r>
      <w:r>
        <w:rPr>
          <w:w w:val="201"/>
        </w:rPr>
        <w:t>l</w:t>
      </w:r>
      <w:r>
        <w:rPr>
          <w:w w:val="145"/>
        </w:rPr>
        <w:t>o</w:t>
      </w:r>
      <w:r>
        <w:rPr>
          <w:w w:val="136"/>
        </w:rPr>
        <w:t>s</w:t>
      </w:r>
      <w:r>
        <w:rPr/>
        <w:t> </w:t>
      </w:r>
      <w:r>
        <w:rPr>
          <w:w w:val="99"/>
        </w:rPr>
        <w:t>P</w:t>
      </w:r>
      <w:r>
        <w:rPr>
          <w:w w:val="129"/>
        </w:rPr>
        <w:t>a</w:t>
      </w:r>
      <w:r>
        <w:rPr>
          <w:w w:val="92"/>
        </w:rPr>
        <w:t>Í</w:t>
      </w:r>
      <w:r>
        <w:rPr>
          <w:w w:val="135"/>
        </w:rPr>
        <w:t>se</w:t>
      </w:r>
      <w:r>
        <w:rPr>
          <w:w w:val="136"/>
        </w:rPr>
        <w:t>s </w:t>
      </w:r>
      <w:r>
        <w:rPr>
          <w:w w:val="140"/>
        </w:rPr>
        <w:t>de la asean</w:t>
      </w:r>
    </w:p>
    <w:p>
      <w:pPr>
        <w:pStyle w:val="BodyText"/>
        <w:spacing w:line="252" w:lineRule="auto" w:before="5"/>
        <w:ind w:left="330" w:right="118"/>
        <w:jc w:val="both"/>
      </w:pPr>
      <w:r>
        <w:rPr>
          <w:w w:val="243"/>
        </w:rPr>
        <w:t>l</w:t>
      </w:r>
      <w:r>
        <w:rPr>
          <w:w w:val="112"/>
        </w:rPr>
        <w:t>a</w:t>
      </w:r>
      <w:r>
        <w:rPr>
          <w:spacing w:val="13"/>
        </w:rPr>
        <w:t> </w:t>
      </w:r>
      <w:r>
        <w:rPr>
          <w:w w:val="144"/>
        </w:rPr>
        <w:t>as</w:t>
      </w:r>
      <w:r>
        <w:rPr>
          <w:w w:val="128"/>
        </w:rPr>
        <w:t>E</w:t>
      </w:r>
      <w:r>
        <w:rPr>
          <w:w w:val="139"/>
        </w:rPr>
        <w:t>a</w:t>
      </w:r>
      <w:r>
        <w:rPr>
          <w:w w:val="119"/>
        </w:rPr>
        <w:t>N</w:t>
      </w:r>
      <w:r>
        <w:rPr>
          <w:spacing w:val="13"/>
        </w:rPr>
        <w:t> </w:t>
      </w:r>
      <w:r>
        <w:rPr>
          <w:w w:val="107"/>
        </w:rPr>
        <w:t>representa</w:t>
      </w:r>
      <w:r>
        <w:rPr>
          <w:spacing w:val="13"/>
        </w:rPr>
        <w:t> </w:t>
      </w:r>
      <w:r>
        <w:rPr>
          <w:w w:val="112"/>
        </w:rPr>
        <w:t>un</w:t>
      </w:r>
      <w:r>
        <w:rPr>
          <w:spacing w:val="13"/>
        </w:rPr>
        <w:t> </w:t>
      </w:r>
      <w:r>
        <w:rPr>
          <w:w w:val="110"/>
        </w:rPr>
        <w:t>mercado</w:t>
      </w:r>
      <w:r>
        <w:rPr>
          <w:spacing w:val="13"/>
        </w:rPr>
        <w:t> </w:t>
      </w:r>
      <w:r>
        <w:rPr>
          <w:w w:val="107"/>
        </w:rPr>
        <w:t>de</w:t>
      </w:r>
      <w:r>
        <w:rPr>
          <w:spacing w:val="13"/>
        </w:rPr>
        <w:t> </w:t>
      </w:r>
      <w:r>
        <w:rPr>
          <w:w w:val="110"/>
        </w:rPr>
        <w:t>unos</w:t>
      </w:r>
      <w:r>
        <w:rPr>
          <w:spacing w:val="13"/>
        </w:rPr>
        <w:t> </w:t>
      </w:r>
      <w:r>
        <w:rPr>
          <w:w w:val="102"/>
        </w:rPr>
        <w:t>600</w:t>
      </w:r>
      <w:r>
        <w:rPr>
          <w:spacing w:val="13"/>
        </w:rPr>
        <w:t> </w:t>
      </w:r>
      <w:r>
        <w:rPr>
          <w:w w:val="110"/>
        </w:rPr>
        <w:t>millones</w:t>
      </w:r>
      <w:r>
        <w:rPr>
          <w:spacing w:val="13"/>
        </w:rPr>
        <w:t> </w:t>
      </w:r>
      <w:r>
        <w:rPr>
          <w:w w:val="107"/>
        </w:rPr>
        <w:t>de</w:t>
      </w:r>
      <w:r>
        <w:rPr>
          <w:spacing w:val="13"/>
        </w:rPr>
        <w:t> </w:t>
      </w:r>
      <w:r>
        <w:rPr>
          <w:w w:val="109"/>
        </w:rPr>
        <w:t>personas, </w:t>
      </w:r>
      <w:r>
        <w:rPr>
          <w:w w:val="115"/>
        </w:rPr>
        <w:t>con un Pib combinado de alrededor de 1.8 billones de dólares. si se considerara</w:t>
      </w:r>
      <w:r>
        <w:rPr>
          <w:spacing w:val="-25"/>
          <w:w w:val="115"/>
        </w:rPr>
        <w:t> </w:t>
      </w:r>
      <w:r>
        <w:rPr>
          <w:w w:val="115"/>
        </w:rPr>
        <w:t>como</w:t>
      </w:r>
      <w:r>
        <w:rPr>
          <w:spacing w:val="-25"/>
          <w:w w:val="115"/>
        </w:rPr>
        <w:t> </w:t>
      </w:r>
      <w:r>
        <w:rPr>
          <w:w w:val="115"/>
        </w:rPr>
        <w:t>un</w:t>
      </w:r>
      <w:r>
        <w:rPr>
          <w:spacing w:val="-25"/>
          <w:w w:val="115"/>
        </w:rPr>
        <w:t> </w:t>
      </w:r>
      <w:r>
        <w:rPr>
          <w:w w:val="115"/>
        </w:rPr>
        <w:t>solo</w:t>
      </w:r>
      <w:r>
        <w:rPr>
          <w:spacing w:val="-25"/>
          <w:w w:val="115"/>
        </w:rPr>
        <w:t> </w:t>
      </w:r>
      <w:r>
        <w:rPr>
          <w:w w:val="115"/>
        </w:rPr>
        <w:t>país,</w:t>
      </w:r>
      <w:r>
        <w:rPr>
          <w:spacing w:val="-25"/>
          <w:w w:val="115"/>
        </w:rPr>
        <w:t> </w:t>
      </w:r>
      <w:r>
        <w:rPr>
          <w:w w:val="115"/>
        </w:rPr>
        <w:t>en</w:t>
      </w:r>
      <w:r>
        <w:rPr>
          <w:spacing w:val="-25"/>
          <w:w w:val="115"/>
        </w:rPr>
        <w:t> </w:t>
      </w:r>
      <w:r>
        <w:rPr>
          <w:w w:val="115"/>
        </w:rPr>
        <w:t>términos</w:t>
      </w:r>
      <w:r>
        <w:rPr>
          <w:spacing w:val="-25"/>
          <w:w w:val="115"/>
        </w:rPr>
        <w:t> </w:t>
      </w:r>
      <w:r>
        <w:rPr>
          <w:w w:val="115"/>
        </w:rPr>
        <w:t>económicos</w:t>
      </w:r>
      <w:r>
        <w:rPr>
          <w:spacing w:val="-25"/>
          <w:w w:val="115"/>
        </w:rPr>
        <w:t> </w:t>
      </w:r>
      <w:r>
        <w:rPr>
          <w:w w:val="115"/>
        </w:rPr>
        <w:t>sería</w:t>
      </w:r>
      <w:r>
        <w:rPr>
          <w:spacing w:val="-25"/>
          <w:w w:val="115"/>
        </w:rPr>
        <w:t> </w:t>
      </w:r>
      <w:r>
        <w:rPr>
          <w:w w:val="115"/>
        </w:rPr>
        <w:t>el</w:t>
      </w:r>
      <w:r>
        <w:rPr>
          <w:spacing w:val="-25"/>
          <w:w w:val="115"/>
        </w:rPr>
        <w:t> </w:t>
      </w:r>
      <w:r>
        <w:rPr>
          <w:w w:val="115"/>
        </w:rPr>
        <w:t>nove- no</w:t>
      </w:r>
      <w:r>
        <w:rPr>
          <w:spacing w:val="-28"/>
          <w:w w:val="115"/>
        </w:rPr>
        <w:t> </w:t>
      </w:r>
      <w:r>
        <w:rPr>
          <w:w w:val="115"/>
        </w:rPr>
        <w:t>más</w:t>
      </w:r>
      <w:r>
        <w:rPr>
          <w:spacing w:val="-28"/>
          <w:w w:val="115"/>
        </w:rPr>
        <w:t> </w:t>
      </w:r>
      <w:r>
        <w:rPr>
          <w:w w:val="115"/>
        </w:rPr>
        <w:t>grande</w:t>
      </w:r>
      <w:r>
        <w:rPr>
          <w:spacing w:val="-28"/>
          <w:w w:val="115"/>
        </w:rPr>
        <w:t> </w:t>
      </w:r>
      <w:r>
        <w:rPr>
          <w:w w:val="115"/>
        </w:rPr>
        <w:t>del</w:t>
      </w:r>
      <w:r>
        <w:rPr>
          <w:spacing w:val="-28"/>
          <w:w w:val="115"/>
        </w:rPr>
        <w:t> </w:t>
      </w:r>
      <w:r>
        <w:rPr>
          <w:w w:val="115"/>
        </w:rPr>
        <w:t>mundo.</w:t>
      </w:r>
      <w:r>
        <w:rPr>
          <w:spacing w:val="-28"/>
          <w:w w:val="115"/>
        </w:rPr>
        <w:t> </w:t>
      </w:r>
      <w:r>
        <w:rPr>
          <w:w w:val="115"/>
        </w:rPr>
        <w:t>Efectivamente,</w:t>
      </w:r>
      <w:r>
        <w:rPr>
          <w:spacing w:val="-28"/>
          <w:w w:val="115"/>
        </w:rPr>
        <w:t> </w:t>
      </w:r>
      <w:r>
        <w:rPr>
          <w:w w:val="115"/>
        </w:rPr>
        <w:t>este</w:t>
      </w:r>
      <w:r>
        <w:rPr>
          <w:spacing w:val="-28"/>
          <w:w w:val="115"/>
        </w:rPr>
        <w:t> </w:t>
      </w:r>
      <w:r>
        <w:rPr>
          <w:w w:val="115"/>
        </w:rPr>
        <w:t>es</w:t>
      </w:r>
      <w:r>
        <w:rPr>
          <w:spacing w:val="-28"/>
          <w:w w:val="115"/>
        </w:rPr>
        <w:t> </w:t>
      </w:r>
      <w:r>
        <w:rPr>
          <w:w w:val="115"/>
        </w:rPr>
        <w:t>un</w:t>
      </w:r>
      <w:r>
        <w:rPr>
          <w:spacing w:val="-28"/>
          <w:w w:val="115"/>
        </w:rPr>
        <w:t> </w:t>
      </w:r>
      <w:r>
        <w:rPr>
          <w:w w:val="115"/>
        </w:rPr>
        <w:t>bloque</w:t>
      </w:r>
      <w:r>
        <w:rPr>
          <w:spacing w:val="-28"/>
          <w:w w:val="115"/>
        </w:rPr>
        <w:t> </w:t>
      </w:r>
      <w:r>
        <w:rPr>
          <w:w w:val="115"/>
        </w:rPr>
        <w:t>comercial situado entre China e india, la asEaN podría ser caracterizada</w:t>
      </w:r>
      <w:r>
        <w:rPr>
          <w:spacing w:val="-22"/>
          <w:w w:val="115"/>
        </w:rPr>
        <w:t> </w:t>
      </w:r>
      <w:r>
        <w:rPr>
          <w:w w:val="115"/>
        </w:rPr>
        <w:t>como el</w:t>
      </w:r>
      <w:r>
        <w:rPr>
          <w:spacing w:val="-26"/>
          <w:w w:val="115"/>
        </w:rPr>
        <w:t> </w:t>
      </w:r>
      <w:r>
        <w:rPr>
          <w:w w:val="115"/>
        </w:rPr>
        <w:t>tercer</w:t>
      </w:r>
      <w:r>
        <w:rPr>
          <w:spacing w:val="-26"/>
          <w:w w:val="115"/>
        </w:rPr>
        <w:t> </w:t>
      </w:r>
      <w:r>
        <w:rPr>
          <w:w w:val="115"/>
        </w:rPr>
        <w:t>dragón</w:t>
      </w:r>
      <w:r>
        <w:rPr>
          <w:spacing w:val="-26"/>
          <w:w w:val="115"/>
        </w:rPr>
        <w:t> </w:t>
      </w:r>
      <w:r>
        <w:rPr>
          <w:w w:val="115"/>
        </w:rPr>
        <w:t>asiático</w:t>
      </w:r>
      <w:r>
        <w:rPr>
          <w:spacing w:val="-26"/>
          <w:w w:val="115"/>
        </w:rPr>
        <w:t> </w:t>
      </w:r>
      <w:r>
        <w:rPr>
          <w:w w:val="115"/>
        </w:rPr>
        <w:t>en</w:t>
      </w:r>
      <w:r>
        <w:rPr>
          <w:spacing w:val="-26"/>
          <w:w w:val="115"/>
        </w:rPr>
        <w:t> </w:t>
      </w:r>
      <w:r>
        <w:rPr>
          <w:w w:val="115"/>
        </w:rPr>
        <w:t>términos</w:t>
      </w:r>
      <w:r>
        <w:rPr>
          <w:spacing w:val="-26"/>
          <w:w w:val="115"/>
        </w:rPr>
        <w:t> </w:t>
      </w:r>
      <w:r>
        <w:rPr>
          <w:w w:val="115"/>
        </w:rPr>
        <w:t>de</w:t>
      </w:r>
      <w:r>
        <w:rPr>
          <w:spacing w:val="-26"/>
          <w:w w:val="115"/>
        </w:rPr>
        <w:t> </w:t>
      </w:r>
      <w:r>
        <w:rPr>
          <w:w w:val="115"/>
        </w:rPr>
        <w:t>su</w:t>
      </w:r>
      <w:r>
        <w:rPr>
          <w:spacing w:val="-26"/>
          <w:w w:val="115"/>
        </w:rPr>
        <w:t> </w:t>
      </w:r>
      <w:r>
        <w:rPr>
          <w:w w:val="115"/>
        </w:rPr>
        <w:t>desarrollo</w:t>
      </w:r>
      <w:r>
        <w:rPr>
          <w:spacing w:val="-26"/>
          <w:w w:val="115"/>
        </w:rPr>
        <w:t> </w:t>
      </w:r>
      <w:r>
        <w:rPr>
          <w:w w:val="115"/>
        </w:rPr>
        <w:t>como</w:t>
      </w:r>
      <w:r>
        <w:rPr>
          <w:spacing w:val="-26"/>
          <w:w w:val="115"/>
        </w:rPr>
        <w:t> </w:t>
      </w:r>
      <w:r>
        <w:rPr>
          <w:w w:val="115"/>
        </w:rPr>
        <w:t>economía</w:t>
      </w:r>
    </w:p>
    <w:p>
      <w:pPr>
        <w:spacing w:after="0" w:line="252" w:lineRule="auto"/>
        <w:jc w:val="both"/>
        <w:sectPr>
          <w:footerReference w:type="even" r:id="rId144"/>
          <w:footerReference w:type="default" r:id="rId145"/>
          <w:pgSz w:w="8790" w:h="12760"/>
          <w:pgMar w:footer="725" w:header="695" w:top="880" w:bottom="920" w:left="1200" w:right="900"/>
          <w:pgNumType w:start="102"/>
        </w:sectPr>
      </w:pPr>
    </w:p>
    <w:p>
      <w:pPr>
        <w:pStyle w:val="BodyText"/>
        <w:spacing w:before="9"/>
        <w:rPr>
          <w:sz w:val="28"/>
        </w:rPr>
      </w:pPr>
    </w:p>
    <w:p>
      <w:pPr>
        <w:pStyle w:val="BodyText"/>
        <w:spacing w:line="252" w:lineRule="auto" w:before="73"/>
        <w:ind w:left="100" w:right="328"/>
        <w:jc w:val="both"/>
      </w:pPr>
      <w:r>
        <w:rPr>
          <w:w w:val="110"/>
        </w:rPr>
        <w:t>emergente (China briefing, 2013), pues ha consolidado su integración regional en la misma medida que ha firmado importantes acuerdos comerciales con países del mismo continente como Japón, Corea del sur y China (asEaN+3) con el propósito de ampliar más sus merca- dos y aprovechar la cercanía geográfica con estas tres fuertes econo- mías. sin embargo, el acuerdo comercial que más ha ido tomando fuerza es el firmado con </w:t>
      </w:r>
      <w:r>
        <w:rPr>
          <w:spacing w:val="24"/>
          <w:w w:val="110"/>
        </w:rPr>
        <w:t> </w:t>
      </w:r>
      <w:r>
        <w:rPr>
          <w:w w:val="110"/>
        </w:rPr>
        <w:t>China.</w:t>
      </w:r>
    </w:p>
    <w:p>
      <w:pPr>
        <w:pStyle w:val="BodyText"/>
        <w:spacing w:line="252" w:lineRule="auto"/>
        <w:ind w:left="100" w:right="328" w:firstLine="396"/>
        <w:jc w:val="both"/>
      </w:pPr>
      <w:r>
        <w:rPr>
          <w:w w:val="115"/>
        </w:rPr>
        <w:t>Ha influido en este proceso el papel de China en el comercio</w:t>
      </w:r>
      <w:r>
        <w:rPr>
          <w:spacing w:val="-28"/>
          <w:w w:val="115"/>
        </w:rPr>
        <w:t> </w:t>
      </w:r>
      <w:r>
        <w:rPr>
          <w:w w:val="115"/>
        </w:rPr>
        <w:t>in- ternacional.</w:t>
      </w:r>
      <w:r>
        <w:rPr>
          <w:spacing w:val="-12"/>
          <w:w w:val="115"/>
        </w:rPr>
        <w:t> </w:t>
      </w:r>
      <w:r>
        <w:rPr>
          <w:w w:val="115"/>
        </w:rPr>
        <w:t>En</w:t>
      </w:r>
      <w:r>
        <w:rPr>
          <w:spacing w:val="-12"/>
          <w:w w:val="115"/>
        </w:rPr>
        <w:t> </w:t>
      </w:r>
      <w:r>
        <w:rPr>
          <w:w w:val="115"/>
        </w:rPr>
        <w:t>noviembre</w:t>
      </w:r>
      <w:r>
        <w:rPr>
          <w:spacing w:val="-12"/>
          <w:w w:val="115"/>
        </w:rPr>
        <w:t> </w:t>
      </w:r>
      <w:r>
        <w:rPr>
          <w:w w:val="115"/>
        </w:rPr>
        <w:t>de</w:t>
      </w:r>
      <w:r>
        <w:rPr>
          <w:spacing w:val="-12"/>
          <w:w w:val="115"/>
        </w:rPr>
        <w:t> </w:t>
      </w:r>
      <w:r>
        <w:rPr>
          <w:w w:val="115"/>
        </w:rPr>
        <w:t>2002,</w:t>
      </w:r>
      <w:r>
        <w:rPr>
          <w:spacing w:val="-12"/>
          <w:w w:val="115"/>
        </w:rPr>
        <w:t> </w:t>
      </w:r>
      <w:r>
        <w:rPr>
          <w:w w:val="115"/>
        </w:rPr>
        <w:t>en</w:t>
      </w:r>
      <w:r>
        <w:rPr>
          <w:spacing w:val="-12"/>
          <w:w w:val="115"/>
        </w:rPr>
        <w:t> </w:t>
      </w:r>
      <w:r>
        <w:rPr>
          <w:w w:val="115"/>
        </w:rPr>
        <w:t>la</w:t>
      </w:r>
      <w:r>
        <w:rPr>
          <w:spacing w:val="-12"/>
          <w:w w:val="115"/>
        </w:rPr>
        <w:t> </w:t>
      </w:r>
      <w:r>
        <w:rPr>
          <w:w w:val="115"/>
        </w:rPr>
        <w:t>10ª</w:t>
      </w:r>
      <w:r>
        <w:rPr>
          <w:spacing w:val="-12"/>
          <w:w w:val="115"/>
        </w:rPr>
        <w:t> </w:t>
      </w:r>
      <w:r>
        <w:rPr>
          <w:w w:val="115"/>
        </w:rPr>
        <w:t>Cumbre</w:t>
      </w:r>
      <w:r>
        <w:rPr>
          <w:spacing w:val="-12"/>
          <w:w w:val="115"/>
        </w:rPr>
        <w:t> </w:t>
      </w:r>
      <w:r>
        <w:rPr>
          <w:w w:val="115"/>
        </w:rPr>
        <w:t>de</w:t>
      </w:r>
      <w:r>
        <w:rPr>
          <w:spacing w:val="-12"/>
          <w:w w:val="115"/>
        </w:rPr>
        <w:t> </w:t>
      </w:r>
      <w:r>
        <w:rPr>
          <w:w w:val="115"/>
        </w:rPr>
        <w:t>la</w:t>
      </w:r>
      <w:r>
        <w:rPr>
          <w:spacing w:val="-12"/>
          <w:w w:val="115"/>
        </w:rPr>
        <w:t> </w:t>
      </w:r>
      <w:r>
        <w:rPr>
          <w:w w:val="115"/>
        </w:rPr>
        <w:t>asEaN</w:t>
      </w:r>
      <w:r>
        <w:rPr>
          <w:spacing w:val="-12"/>
          <w:w w:val="115"/>
        </w:rPr>
        <w:t> </w:t>
      </w:r>
      <w:r>
        <w:rPr>
          <w:w w:val="115"/>
        </w:rPr>
        <w:t>en </w:t>
      </w:r>
      <w:r>
        <w:rPr>
          <w:spacing w:val="-11"/>
          <w:w w:val="119"/>
        </w:rPr>
        <w:t>V</w:t>
      </w:r>
      <w:r>
        <w:rPr>
          <w:w w:val="111"/>
        </w:rPr>
        <w:t>ientiane,</w:t>
      </w:r>
      <w:r>
        <w:rPr/>
        <w:t> </w:t>
      </w:r>
      <w:r>
        <w:rPr>
          <w:spacing w:val="-16"/>
        </w:rPr>
        <w:t> </w:t>
      </w:r>
      <w:r>
        <w:rPr>
          <w:w w:val="182"/>
        </w:rPr>
        <w:t>r</w:t>
      </w:r>
      <w:r>
        <w:rPr>
          <w:w w:val="111"/>
        </w:rPr>
        <w:t>epública</w:t>
      </w:r>
      <w:r>
        <w:rPr/>
        <w:t> </w:t>
      </w:r>
      <w:r>
        <w:rPr>
          <w:spacing w:val="-16"/>
        </w:rPr>
        <w:t> </w:t>
      </w:r>
      <w:r>
        <w:rPr>
          <w:w w:val="139"/>
        </w:rPr>
        <w:t>d</w:t>
      </w:r>
      <w:r>
        <w:rPr>
          <w:w w:val="111"/>
        </w:rPr>
        <w:t>emocrática</w:t>
      </w:r>
      <w:r>
        <w:rPr/>
        <w:t> </w:t>
      </w:r>
      <w:r>
        <w:rPr>
          <w:spacing w:val="-16"/>
        </w:rPr>
        <w:t> </w:t>
      </w:r>
      <w:r>
        <w:rPr>
          <w:w w:val="110"/>
        </w:rPr>
        <w:t>Popular</w:t>
      </w:r>
      <w:r>
        <w:rPr/>
        <w:t> </w:t>
      </w:r>
      <w:r>
        <w:rPr>
          <w:spacing w:val="-16"/>
        </w:rPr>
        <w:t> </w:t>
      </w:r>
      <w:r>
        <w:rPr>
          <w:w w:val="107"/>
        </w:rPr>
        <w:t>de</w:t>
      </w:r>
      <w:r>
        <w:rPr/>
        <w:t> </w:t>
      </w:r>
      <w:r>
        <w:rPr>
          <w:spacing w:val="-16"/>
        </w:rPr>
        <w:t> </w:t>
      </w:r>
      <w:r>
        <w:rPr>
          <w:w w:val="243"/>
        </w:rPr>
        <w:t>l</w:t>
      </w:r>
      <w:r>
        <w:rPr>
          <w:w w:val="113"/>
        </w:rPr>
        <w:t>aos,</w:t>
      </w:r>
      <w:r>
        <w:rPr/>
        <w:t> </w:t>
      </w:r>
      <w:r>
        <w:rPr>
          <w:spacing w:val="-16"/>
        </w:rPr>
        <w:t> </w:t>
      </w:r>
      <w:r>
        <w:rPr>
          <w:w w:val="108"/>
        </w:rPr>
        <w:t>los</w:t>
      </w:r>
      <w:r>
        <w:rPr/>
        <w:t> </w:t>
      </w:r>
      <w:r>
        <w:rPr>
          <w:spacing w:val="-16"/>
        </w:rPr>
        <w:t> </w:t>
      </w:r>
      <w:r>
        <w:rPr>
          <w:w w:val="110"/>
        </w:rPr>
        <w:t>ministros</w:t>
      </w:r>
      <w:r>
        <w:rPr/>
        <w:t> </w:t>
      </w:r>
      <w:r>
        <w:rPr>
          <w:spacing w:val="-16"/>
        </w:rPr>
        <w:t> </w:t>
      </w:r>
      <w:r>
        <w:rPr>
          <w:w w:val="107"/>
        </w:rPr>
        <w:t>de </w:t>
      </w:r>
      <w:r>
        <w:rPr>
          <w:w w:val="115"/>
        </w:rPr>
        <w:t>Economía de la asEaN y China firmaron el acuerdo sobre el </w:t>
      </w:r>
      <w:r>
        <w:rPr>
          <w:spacing w:val="-3"/>
          <w:w w:val="115"/>
        </w:rPr>
        <w:t>Comer- </w:t>
      </w:r>
      <w:r>
        <w:rPr>
          <w:w w:val="115"/>
        </w:rPr>
        <w:t>cio</w:t>
      </w:r>
      <w:r>
        <w:rPr>
          <w:spacing w:val="-5"/>
          <w:w w:val="115"/>
        </w:rPr>
        <w:t> </w:t>
      </w:r>
      <w:r>
        <w:rPr>
          <w:w w:val="115"/>
        </w:rPr>
        <w:t>de</w:t>
      </w:r>
      <w:r>
        <w:rPr>
          <w:spacing w:val="-5"/>
          <w:w w:val="115"/>
        </w:rPr>
        <w:t> </w:t>
      </w:r>
      <w:r>
        <w:rPr>
          <w:w w:val="115"/>
        </w:rPr>
        <w:t>Mercancías</w:t>
      </w:r>
      <w:r>
        <w:rPr>
          <w:spacing w:val="-5"/>
          <w:w w:val="115"/>
        </w:rPr>
        <w:t> </w:t>
      </w:r>
      <w:r>
        <w:rPr>
          <w:w w:val="115"/>
        </w:rPr>
        <w:t>(tiG)</w:t>
      </w:r>
      <w:r>
        <w:rPr>
          <w:spacing w:val="-5"/>
          <w:w w:val="115"/>
        </w:rPr>
        <w:t> </w:t>
      </w:r>
      <w:r>
        <w:rPr>
          <w:w w:val="115"/>
        </w:rPr>
        <w:t>dentro</w:t>
      </w:r>
      <w:r>
        <w:rPr>
          <w:spacing w:val="-5"/>
          <w:w w:val="115"/>
        </w:rPr>
        <w:t> </w:t>
      </w:r>
      <w:r>
        <w:rPr>
          <w:w w:val="115"/>
        </w:rPr>
        <w:t>del</w:t>
      </w:r>
      <w:r>
        <w:rPr>
          <w:spacing w:val="-5"/>
          <w:w w:val="115"/>
        </w:rPr>
        <w:t> </w:t>
      </w:r>
      <w:r>
        <w:rPr>
          <w:w w:val="115"/>
        </w:rPr>
        <w:t>Marco</w:t>
      </w:r>
      <w:r>
        <w:rPr>
          <w:spacing w:val="-5"/>
          <w:w w:val="115"/>
        </w:rPr>
        <w:t> </w:t>
      </w:r>
      <w:r>
        <w:rPr>
          <w:w w:val="115"/>
        </w:rPr>
        <w:t>sobre</w:t>
      </w:r>
      <w:r>
        <w:rPr>
          <w:spacing w:val="-5"/>
          <w:w w:val="115"/>
        </w:rPr>
        <w:t> </w:t>
      </w:r>
      <w:r>
        <w:rPr>
          <w:w w:val="115"/>
        </w:rPr>
        <w:t>Cooperación</w:t>
      </w:r>
      <w:r>
        <w:rPr>
          <w:spacing w:val="-5"/>
          <w:w w:val="115"/>
        </w:rPr>
        <w:t> </w:t>
      </w:r>
      <w:r>
        <w:rPr>
          <w:w w:val="115"/>
        </w:rPr>
        <w:t>Econó- mica Global entre la asEaN y </w:t>
      </w:r>
      <w:r>
        <w:rPr>
          <w:spacing w:val="40"/>
          <w:w w:val="115"/>
        </w:rPr>
        <w:t> </w:t>
      </w:r>
      <w:r>
        <w:rPr>
          <w:w w:val="115"/>
        </w:rPr>
        <w:t>China.</w:t>
      </w:r>
    </w:p>
    <w:p>
      <w:pPr>
        <w:pStyle w:val="BodyText"/>
        <w:spacing w:line="252" w:lineRule="auto"/>
        <w:ind w:left="100" w:right="327" w:firstLine="396"/>
        <w:jc w:val="both"/>
      </w:pPr>
      <w:r>
        <w:rPr>
          <w:w w:val="115"/>
        </w:rPr>
        <w:t>En noviembre de 2004 el ministro chino, </w:t>
      </w:r>
      <w:r>
        <w:rPr>
          <w:spacing w:val="-4"/>
          <w:w w:val="115"/>
        </w:rPr>
        <w:t>Wen </w:t>
      </w:r>
      <w:r>
        <w:rPr>
          <w:w w:val="115"/>
        </w:rPr>
        <w:t>Jiabao, y los lí- deres de la asEaN firmaron el acuerdo de Comercio de bienes del </w:t>
      </w:r>
      <w:r>
        <w:rPr>
          <w:spacing w:val="-17"/>
          <w:w w:val="195"/>
        </w:rPr>
        <w:t>t</w:t>
      </w:r>
      <w:r>
        <w:rPr>
          <w:w w:val="109"/>
        </w:rPr>
        <w:t>ratado</w:t>
      </w:r>
      <w:r>
        <w:rPr>
          <w:spacing w:val="11"/>
        </w:rPr>
        <w:t> </w:t>
      </w:r>
      <w:r>
        <w:rPr>
          <w:w w:val="107"/>
        </w:rPr>
        <w:t>de</w:t>
      </w:r>
      <w:r>
        <w:rPr>
          <w:spacing w:val="11"/>
        </w:rPr>
        <w:t> </w:t>
      </w:r>
      <w:r>
        <w:rPr>
          <w:w w:val="243"/>
        </w:rPr>
        <w:t>l</w:t>
      </w:r>
      <w:r>
        <w:rPr>
          <w:w w:val="108"/>
        </w:rPr>
        <w:t>ibre</w:t>
      </w:r>
      <w:r>
        <w:rPr>
          <w:spacing w:val="11"/>
        </w:rPr>
        <w:t> </w:t>
      </w:r>
      <w:r>
        <w:rPr>
          <w:w w:val="113"/>
        </w:rPr>
        <w:t>Comercio,</w:t>
      </w:r>
      <w:r>
        <w:rPr>
          <w:spacing w:val="11"/>
        </w:rPr>
        <w:t> </w:t>
      </w:r>
      <w:r>
        <w:rPr>
          <w:w w:val="107"/>
        </w:rPr>
        <w:t>el</w:t>
      </w:r>
      <w:r>
        <w:rPr>
          <w:spacing w:val="11"/>
        </w:rPr>
        <w:t> </w:t>
      </w:r>
      <w:r>
        <w:rPr>
          <w:w w:val="113"/>
        </w:rPr>
        <w:t>cual</w:t>
      </w:r>
      <w:r>
        <w:rPr>
          <w:spacing w:val="11"/>
        </w:rPr>
        <w:t> </w:t>
      </w:r>
      <w:r>
        <w:rPr>
          <w:w w:val="109"/>
        </w:rPr>
        <w:t>entraría</w:t>
      </w:r>
      <w:r>
        <w:rPr>
          <w:spacing w:val="11"/>
        </w:rPr>
        <w:t> </w:t>
      </w:r>
      <w:r>
        <w:rPr>
          <w:w w:val="108"/>
        </w:rPr>
        <w:t>en</w:t>
      </w:r>
      <w:r>
        <w:rPr>
          <w:spacing w:val="11"/>
        </w:rPr>
        <w:t> </w:t>
      </w:r>
      <w:r>
        <w:rPr>
          <w:w w:val="108"/>
        </w:rPr>
        <w:t>vigor</w:t>
      </w:r>
      <w:r>
        <w:rPr>
          <w:spacing w:val="11"/>
        </w:rPr>
        <w:t> </w:t>
      </w:r>
      <w:r>
        <w:rPr>
          <w:w w:val="108"/>
        </w:rPr>
        <w:t>en</w:t>
      </w:r>
      <w:r>
        <w:rPr>
          <w:spacing w:val="11"/>
        </w:rPr>
        <w:t> </w:t>
      </w:r>
      <w:r>
        <w:rPr>
          <w:w w:val="112"/>
        </w:rPr>
        <w:t>julio</w:t>
      </w:r>
      <w:r>
        <w:rPr>
          <w:spacing w:val="11"/>
        </w:rPr>
        <w:t> </w:t>
      </w:r>
      <w:r>
        <w:rPr>
          <w:w w:val="107"/>
        </w:rPr>
        <w:t>de</w:t>
      </w:r>
      <w:r>
        <w:rPr>
          <w:spacing w:val="11"/>
        </w:rPr>
        <w:t> </w:t>
      </w:r>
      <w:r>
        <w:rPr>
          <w:w w:val="105"/>
        </w:rPr>
        <w:t>2005. </w:t>
      </w:r>
      <w:r>
        <w:rPr>
          <w:w w:val="115"/>
        </w:rPr>
        <w:t>En</w:t>
      </w:r>
      <w:r>
        <w:rPr>
          <w:spacing w:val="-17"/>
          <w:w w:val="115"/>
        </w:rPr>
        <w:t> </w:t>
      </w:r>
      <w:r>
        <w:rPr>
          <w:w w:val="115"/>
        </w:rPr>
        <w:t>enero</w:t>
      </w:r>
      <w:r>
        <w:rPr>
          <w:spacing w:val="-17"/>
          <w:w w:val="115"/>
        </w:rPr>
        <w:t> </w:t>
      </w:r>
      <w:r>
        <w:rPr>
          <w:w w:val="115"/>
        </w:rPr>
        <w:t>de</w:t>
      </w:r>
      <w:r>
        <w:rPr>
          <w:spacing w:val="-17"/>
          <w:w w:val="115"/>
        </w:rPr>
        <w:t> </w:t>
      </w:r>
      <w:r>
        <w:rPr>
          <w:w w:val="115"/>
        </w:rPr>
        <w:t>2007,</w:t>
      </w:r>
      <w:r>
        <w:rPr>
          <w:spacing w:val="-17"/>
          <w:w w:val="115"/>
        </w:rPr>
        <w:t> </w:t>
      </w:r>
      <w:r>
        <w:rPr>
          <w:w w:val="115"/>
        </w:rPr>
        <w:t>las</w:t>
      </w:r>
      <w:r>
        <w:rPr>
          <w:spacing w:val="-17"/>
          <w:w w:val="115"/>
        </w:rPr>
        <w:t> </w:t>
      </w:r>
      <w:r>
        <w:rPr>
          <w:w w:val="115"/>
        </w:rPr>
        <w:t>dos</w:t>
      </w:r>
      <w:r>
        <w:rPr>
          <w:spacing w:val="-17"/>
          <w:w w:val="115"/>
        </w:rPr>
        <w:t> </w:t>
      </w:r>
      <w:r>
        <w:rPr>
          <w:w w:val="115"/>
        </w:rPr>
        <w:t>partes</w:t>
      </w:r>
      <w:r>
        <w:rPr>
          <w:spacing w:val="-17"/>
          <w:w w:val="115"/>
        </w:rPr>
        <w:t> </w:t>
      </w:r>
      <w:r>
        <w:rPr>
          <w:w w:val="115"/>
        </w:rPr>
        <w:t>pactaron</w:t>
      </w:r>
      <w:r>
        <w:rPr>
          <w:spacing w:val="-17"/>
          <w:w w:val="115"/>
        </w:rPr>
        <w:t> </w:t>
      </w:r>
      <w:r>
        <w:rPr>
          <w:w w:val="115"/>
        </w:rPr>
        <w:t>el</w:t>
      </w:r>
      <w:r>
        <w:rPr>
          <w:spacing w:val="-17"/>
          <w:w w:val="115"/>
        </w:rPr>
        <w:t> </w:t>
      </w:r>
      <w:r>
        <w:rPr>
          <w:w w:val="115"/>
        </w:rPr>
        <w:t>acuerdo</w:t>
      </w:r>
      <w:r>
        <w:rPr>
          <w:spacing w:val="-17"/>
          <w:w w:val="115"/>
        </w:rPr>
        <w:t> </w:t>
      </w:r>
      <w:r>
        <w:rPr>
          <w:w w:val="115"/>
        </w:rPr>
        <w:t>de</w:t>
      </w:r>
      <w:r>
        <w:rPr>
          <w:spacing w:val="-17"/>
          <w:w w:val="115"/>
        </w:rPr>
        <w:t> </w:t>
      </w:r>
      <w:r>
        <w:rPr>
          <w:w w:val="115"/>
        </w:rPr>
        <w:t>Comercio</w:t>
      </w:r>
      <w:r>
        <w:rPr>
          <w:spacing w:val="-17"/>
          <w:w w:val="115"/>
        </w:rPr>
        <w:t> </w:t>
      </w:r>
      <w:r>
        <w:rPr>
          <w:w w:val="115"/>
        </w:rPr>
        <w:t>de servicios,</w:t>
      </w:r>
      <w:r>
        <w:rPr>
          <w:spacing w:val="-15"/>
          <w:w w:val="115"/>
        </w:rPr>
        <w:t> </w:t>
      </w:r>
      <w:r>
        <w:rPr>
          <w:w w:val="115"/>
        </w:rPr>
        <w:t>que</w:t>
      </w:r>
      <w:r>
        <w:rPr>
          <w:spacing w:val="-15"/>
          <w:w w:val="115"/>
        </w:rPr>
        <w:t> </w:t>
      </w:r>
      <w:r>
        <w:rPr>
          <w:w w:val="115"/>
        </w:rPr>
        <w:t>empezaría</w:t>
      </w:r>
      <w:r>
        <w:rPr>
          <w:spacing w:val="-15"/>
          <w:w w:val="115"/>
        </w:rPr>
        <w:t> </w:t>
      </w:r>
      <w:r>
        <w:rPr>
          <w:w w:val="115"/>
        </w:rPr>
        <w:t>a</w:t>
      </w:r>
      <w:r>
        <w:rPr>
          <w:spacing w:val="-15"/>
          <w:w w:val="115"/>
        </w:rPr>
        <w:t> </w:t>
      </w:r>
      <w:r>
        <w:rPr>
          <w:w w:val="115"/>
        </w:rPr>
        <w:t>regir</w:t>
      </w:r>
      <w:r>
        <w:rPr>
          <w:spacing w:val="-15"/>
          <w:w w:val="115"/>
        </w:rPr>
        <w:t> </w:t>
      </w:r>
      <w:r>
        <w:rPr>
          <w:w w:val="115"/>
        </w:rPr>
        <w:t>en</w:t>
      </w:r>
      <w:r>
        <w:rPr>
          <w:spacing w:val="-15"/>
          <w:w w:val="115"/>
        </w:rPr>
        <w:t> </w:t>
      </w:r>
      <w:r>
        <w:rPr>
          <w:w w:val="115"/>
        </w:rPr>
        <w:t>julio</w:t>
      </w:r>
      <w:r>
        <w:rPr>
          <w:spacing w:val="-15"/>
          <w:w w:val="115"/>
        </w:rPr>
        <w:t> </w:t>
      </w:r>
      <w:r>
        <w:rPr>
          <w:w w:val="115"/>
        </w:rPr>
        <w:t>del</w:t>
      </w:r>
      <w:r>
        <w:rPr>
          <w:spacing w:val="-15"/>
          <w:w w:val="115"/>
        </w:rPr>
        <w:t> </w:t>
      </w:r>
      <w:r>
        <w:rPr>
          <w:w w:val="115"/>
        </w:rPr>
        <w:t>mismo</w:t>
      </w:r>
      <w:r>
        <w:rPr>
          <w:spacing w:val="-15"/>
          <w:w w:val="115"/>
        </w:rPr>
        <w:t> </w:t>
      </w:r>
      <w:r>
        <w:rPr>
          <w:w w:val="115"/>
        </w:rPr>
        <w:t>año.</w:t>
      </w:r>
      <w:r>
        <w:rPr>
          <w:spacing w:val="-15"/>
          <w:w w:val="115"/>
        </w:rPr>
        <w:t> </w:t>
      </w:r>
      <w:r>
        <w:rPr>
          <w:w w:val="115"/>
        </w:rPr>
        <w:t>En</w:t>
      </w:r>
      <w:r>
        <w:rPr>
          <w:spacing w:val="-15"/>
          <w:w w:val="115"/>
        </w:rPr>
        <w:t> </w:t>
      </w:r>
      <w:r>
        <w:rPr>
          <w:w w:val="115"/>
        </w:rPr>
        <w:t>agosto</w:t>
      </w:r>
      <w:r>
        <w:rPr>
          <w:spacing w:val="-15"/>
          <w:w w:val="115"/>
        </w:rPr>
        <w:t> </w:t>
      </w:r>
      <w:r>
        <w:rPr>
          <w:w w:val="115"/>
        </w:rPr>
        <w:t>de 2009</w:t>
      </w:r>
      <w:r>
        <w:rPr>
          <w:spacing w:val="-9"/>
          <w:w w:val="115"/>
        </w:rPr>
        <w:t> </w:t>
      </w:r>
      <w:r>
        <w:rPr>
          <w:w w:val="115"/>
        </w:rPr>
        <w:t>se</w:t>
      </w:r>
      <w:r>
        <w:rPr>
          <w:spacing w:val="-9"/>
          <w:w w:val="115"/>
        </w:rPr>
        <w:t> </w:t>
      </w:r>
      <w:r>
        <w:rPr>
          <w:w w:val="115"/>
        </w:rPr>
        <w:t>implementó</w:t>
      </w:r>
      <w:r>
        <w:rPr>
          <w:spacing w:val="-9"/>
          <w:w w:val="115"/>
        </w:rPr>
        <w:t> </w:t>
      </w:r>
      <w:r>
        <w:rPr>
          <w:w w:val="115"/>
        </w:rPr>
        <w:t>el</w:t>
      </w:r>
      <w:r>
        <w:rPr>
          <w:spacing w:val="-9"/>
          <w:w w:val="115"/>
        </w:rPr>
        <w:t> </w:t>
      </w:r>
      <w:r>
        <w:rPr>
          <w:w w:val="115"/>
        </w:rPr>
        <w:t>acuerdo</w:t>
      </w:r>
      <w:r>
        <w:rPr>
          <w:spacing w:val="-9"/>
          <w:w w:val="115"/>
        </w:rPr>
        <w:t> </w:t>
      </w:r>
      <w:r>
        <w:rPr>
          <w:w w:val="115"/>
        </w:rPr>
        <w:t>de</w:t>
      </w:r>
      <w:r>
        <w:rPr>
          <w:spacing w:val="-9"/>
          <w:w w:val="115"/>
        </w:rPr>
        <w:t> </w:t>
      </w:r>
      <w:r>
        <w:rPr>
          <w:w w:val="115"/>
        </w:rPr>
        <w:t>inversión.</w:t>
      </w:r>
      <w:r>
        <w:rPr>
          <w:spacing w:val="-9"/>
          <w:w w:val="115"/>
        </w:rPr>
        <w:t> </w:t>
      </w:r>
      <w:r>
        <w:rPr>
          <w:w w:val="115"/>
        </w:rPr>
        <w:t>El</w:t>
      </w:r>
      <w:r>
        <w:rPr>
          <w:spacing w:val="-9"/>
          <w:w w:val="115"/>
        </w:rPr>
        <w:t> </w:t>
      </w:r>
      <w:r>
        <w:rPr>
          <w:w w:val="115"/>
        </w:rPr>
        <w:t>establecimiento</w:t>
      </w:r>
      <w:r>
        <w:rPr>
          <w:spacing w:val="-9"/>
          <w:w w:val="115"/>
        </w:rPr>
        <w:t> </w:t>
      </w:r>
      <w:r>
        <w:rPr>
          <w:w w:val="115"/>
        </w:rPr>
        <w:t>del área de libre comercio China-asEaN realza las estrechas relaciones económicas entre ambas partes, e incluso contribuye al desarrollo económico</w:t>
      </w:r>
      <w:r>
        <w:rPr>
          <w:spacing w:val="-6"/>
          <w:w w:val="115"/>
        </w:rPr>
        <w:t> </w:t>
      </w:r>
      <w:r>
        <w:rPr>
          <w:w w:val="115"/>
        </w:rPr>
        <w:t>de</w:t>
      </w:r>
      <w:r>
        <w:rPr>
          <w:spacing w:val="-6"/>
          <w:w w:val="115"/>
        </w:rPr>
        <w:t> </w:t>
      </w:r>
      <w:r>
        <w:rPr>
          <w:w w:val="115"/>
        </w:rPr>
        <w:t>asia</w:t>
      </w:r>
      <w:r>
        <w:rPr>
          <w:spacing w:val="-6"/>
          <w:w w:val="115"/>
        </w:rPr>
        <w:t> </w:t>
      </w:r>
      <w:r>
        <w:rPr>
          <w:w w:val="115"/>
        </w:rPr>
        <w:t>y</w:t>
      </w:r>
      <w:r>
        <w:rPr>
          <w:spacing w:val="-6"/>
          <w:w w:val="115"/>
        </w:rPr>
        <w:t> </w:t>
      </w:r>
      <w:r>
        <w:rPr>
          <w:w w:val="115"/>
        </w:rPr>
        <w:t>del</w:t>
      </w:r>
      <w:r>
        <w:rPr>
          <w:spacing w:val="-6"/>
          <w:w w:val="115"/>
        </w:rPr>
        <w:t> </w:t>
      </w:r>
      <w:r>
        <w:rPr>
          <w:w w:val="115"/>
        </w:rPr>
        <w:t>mundo.</w:t>
      </w:r>
      <w:r>
        <w:rPr>
          <w:spacing w:val="-6"/>
          <w:w w:val="115"/>
        </w:rPr>
        <w:t> </w:t>
      </w:r>
      <w:r>
        <w:rPr>
          <w:w w:val="115"/>
        </w:rPr>
        <w:t>No</w:t>
      </w:r>
      <w:r>
        <w:rPr>
          <w:spacing w:val="-6"/>
          <w:w w:val="115"/>
        </w:rPr>
        <w:t> </w:t>
      </w:r>
      <w:r>
        <w:rPr>
          <w:w w:val="115"/>
        </w:rPr>
        <w:t>todos</w:t>
      </w:r>
      <w:r>
        <w:rPr>
          <w:spacing w:val="-6"/>
          <w:w w:val="115"/>
        </w:rPr>
        <w:t> </w:t>
      </w:r>
      <w:r>
        <w:rPr>
          <w:w w:val="115"/>
        </w:rPr>
        <w:t>los</w:t>
      </w:r>
      <w:r>
        <w:rPr>
          <w:spacing w:val="-6"/>
          <w:w w:val="115"/>
        </w:rPr>
        <w:t> </w:t>
      </w:r>
      <w:r>
        <w:rPr>
          <w:w w:val="115"/>
        </w:rPr>
        <w:t>países</w:t>
      </w:r>
      <w:r>
        <w:rPr>
          <w:spacing w:val="-6"/>
          <w:w w:val="115"/>
        </w:rPr>
        <w:t> </w:t>
      </w:r>
      <w:r>
        <w:rPr>
          <w:w w:val="115"/>
        </w:rPr>
        <w:t>miembros</w:t>
      </w:r>
      <w:r>
        <w:rPr>
          <w:spacing w:val="-6"/>
          <w:w w:val="115"/>
        </w:rPr>
        <w:t> </w:t>
      </w:r>
      <w:r>
        <w:rPr>
          <w:w w:val="115"/>
        </w:rPr>
        <w:t>de</w:t>
      </w:r>
      <w:r>
        <w:rPr>
          <w:spacing w:val="-6"/>
          <w:w w:val="115"/>
        </w:rPr>
        <w:t> </w:t>
      </w:r>
      <w:r>
        <w:rPr>
          <w:w w:val="115"/>
        </w:rPr>
        <w:t>la asEaN están totalmente integrados al </w:t>
      </w:r>
      <w:r>
        <w:rPr>
          <w:w w:val="145"/>
        </w:rPr>
        <w:t>tlC, </w:t>
      </w:r>
      <w:r>
        <w:rPr>
          <w:w w:val="115"/>
        </w:rPr>
        <w:t>ya que necesitan tiempo </w:t>
      </w:r>
      <w:r>
        <w:rPr>
          <w:w w:val="109"/>
        </w:rPr>
        <w:t>para</w:t>
      </w:r>
      <w:r>
        <w:rPr/>
        <w:t> </w:t>
      </w:r>
      <w:r>
        <w:rPr>
          <w:spacing w:val="-14"/>
        </w:rPr>
        <w:t> </w:t>
      </w:r>
      <w:r>
        <w:rPr>
          <w:w w:val="110"/>
        </w:rPr>
        <w:t>adaptarse.</w:t>
      </w:r>
      <w:r>
        <w:rPr/>
        <w:t> </w:t>
      </w:r>
      <w:r>
        <w:rPr>
          <w:spacing w:val="-14"/>
        </w:rPr>
        <w:t> </w:t>
      </w:r>
      <w:r>
        <w:rPr>
          <w:w w:val="120"/>
        </w:rPr>
        <w:t>En</w:t>
      </w:r>
      <w:r>
        <w:rPr/>
        <w:t> </w:t>
      </w:r>
      <w:r>
        <w:rPr>
          <w:spacing w:val="-14"/>
        </w:rPr>
        <w:t> </w:t>
      </w:r>
      <w:r>
        <w:rPr>
          <w:w w:val="112"/>
        </w:rPr>
        <w:t>consecuencia,</w:t>
      </w:r>
      <w:r>
        <w:rPr/>
        <w:t> </w:t>
      </w:r>
      <w:r>
        <w:rPr>
          <w:spacing w:val="-14"/>
        </w:rPr>
        <w:t> </w:t>
      </w:r>
      <w:r>
        <w:rPr>
          <w:w w:val="114"/>
        </w:rPr>
        <w:t>Camboya,</w:t>
      </w:r>
      <w:r>
        <w:rPr/>
        <w:t> </w:t>
      </w:r>
      <w:r>
        <w:rPr>
          <w:spacing w:val="-14"/>
        </w:rPr>
        <w:t> </w:t>
      </w:r>
      <w:r>
        <w:rPr>
          <w:w w:val="243"/>
        </w:rPr>
        <w:t>l</w:t>
      </w:r>
      <w:r>
        <w:rPr>
          <w:w w:val="113"/>
        </w:rPr>
        <w:t>aos,</w:t>
      </w:r>
      <w:r>
        <w:rPr/>
        <w:t> </w:t>
      </w:r>
      <w:r>
        <w:rPr>
          <w:spacing w:val="-14"/>
        </w:rPr>
        <w:t> </w:t>
      </w:r>
      <w:r>
        <w:rPr>
          <w:w w:val="112"/>
        </w:rPr>
        <w:t>Myanmar</w:t>
      </w:r>
      <w:r>
        <w:rPr/>
        <w:t> </w:t>
      </w:r>
      <w:r>
        <w:rPr>
          <w:spacing w:val="-14"/>
        </w:rPr>
        <w:t> </w:t>
      </w:r>
      <w:r>
        <w:rPr>
          <w:w w:val="105"/>
        </w:rPr>
        <w:t>y</w:t>
      </w:r>
      <w:r>
        <w:rPr/>
        <w:t> </w:t>
      </w:r>
      <w:r>
        <w:rPr>
          <w:spacing w:val="-14"/>
        </w:rPr>
        <w:t> </w:t>
      </w:r>
      <w:r>
        <w:rPr>
          <w:spacing w:val="-10"/>
          <w:w w:val="119"/>
        </w:rPr>
        <w:t>V</w:t>
      </w:r>
      <w:r>
        <w:rPr>
          <w:w w:val="107"/>
        </w:rPr>
        <w:t>iet</w:t>
      </w:r>
      <w:r>
        <w:rPr>
          <w:w w:val="102"/>
        </w:rPr>
        <w:t>- </w:t>
      </w:r>
      <w:r>
        <w:rPr>
          <w:w w:val="112"/>
        </w:rPr>
        <w:t>nam</w:t>
      </w:r>
      <w:r>
        <w:rPr>
          <w:spacing w:val="20"/>
        </w:rPr>
        <w:t> </w:t>
      </w:r>
      <w:r>
        <w:rPr>
          <w:w w:val="105"/>
        </w:rPr>
        <w:t>se</w:t>
      </w:r>
      <w:r>
        <w:rPr>
          <w:spacing w:val="20"/>
        </w:rPr>
        <w:t> </w:t>
      </w:r>
      <w:r>
        <w:rPr>
          <w:w w:val="111"/>
        </w:rPr>
        <w:t>añadirán</w:t>
      </w:r>
      <w:r>
        <w:rPr>
          <w:spacing w:val="20"/>
        </w:rPr>
        <w:t> </w:t>
      </w:r>
      <w:r>
        <w:rPr>
          <w:w w:val="111"/>
        </w:rPr>
        <w:t>más</w:t>
      </w:r>
      <w:r>
        <w:rPr>
          <w:spacing w:val="20"/>
        </w:rPr>
        <w:t> </w:t>
      </w:r>
      <w:r>
        <w:rPr>
          <w:w w:val="110"/>
        </w:rPr>
        <w:t>tarde,</w:t>
      </w:r>
      <w:r>
        <w:rPr>
          <w:spacing w:val="20"/>
        </w:rPr>
        <w:t> </w:t>
      </w:r>
      <w:r>
        <w:rPr>
          <w:w w:val="111"/>
        </w:rPr>
        <w:t>cuando</w:t>
      </w:r>
      <w:r>
        <w:rPr>
          <w:spacing w:val="20"/>
        </w:rPr>
        <w:t> </w:t>
      </w:r>
      <w:r>
        <w:rPr>
          <w:w w:val="110"/>
        </w:rPr>
        <w:t>implementen</w:t>
      </w:r>
      <w:r>
        <w:rPr>
          <w:spacing w:val="20"/>
        </w:rPr>
        <w:t> </w:t>
      </w:r>
      <w:r>
        <w:rPr>
          <w:w w:val="107"/>
        </w:rPr>
        <w:t>el</w:t>
      </w:r>
      <w:r>
        <w:rPr>
          <w:spacing w:val="20"/>
        </w:rPr>
        <w:t> </w:t>
      </w:r>
      <w:r>
        <w:rPr>
          <w:w w:val="144"/>
        </w:rPr>
        <w:t>as</w:t>
      </w:r>
      <w:r>
        <w:rPr>
          <w:w w:val="128"/>
        </w:rPr>
        <w:t>E</w:t>
      </w:r>
      <w:r>
        <w:rPr>
          <w:w w:val="139"/>
        </w:rPr>
        <w:t>a</w:t>
      </w:r>
      <w:r>
        <w:rPr>
          <w:w w:val="119"/>
        </w:rPr>
        <w:t>N</w:t>
      </w:r>
      <w:r>
        <w:rPr>
          <w:w w:val="102"/>
        </w:rPr>
        <w:t>-</w:t>
      </w:r>
      <w:r>
        <w:rPr>
          <w:w w:val="216"/>
        </w:rPr>
        <w:t>tl</w:t>
      </w:r>
      <w:r>
        <w:rPr>
          <w:w w:val="124"/>
        </w:rPr>
        <w:t>C</w:t>
      </w:r>
      <w:r>
        <w:rPr>
          <w:spacing w:val="20"/>
        </w:rPr>
        <w:t> </w:t>
      </w:r>
      <w:r>
        <w:rPr>
          <w:w w:val="104"/>
        </w:rPr>
        <w:t>e</w:t>
      </w:r>
      <w:r>
        <w:rPr>
          <w:w w:val="111"/>
        </w:rPr>
        <w:t>n </w:t>
      </w:r>
      <w:r>
        <w:rPr>
          <w:w w:val="115"/>
        </w:rPr>
        <w:t>2015. En este punto, 90% de los aranceles entre China-asEaN será </w:t>
      </w:r>
      <w:r>
        <w:rPr>
          <w:w w:val="110"/>
        </w:rPr>
        <w:t>abolido (Gómez,</w:t>
      </w:r>
      <w:r>
        <w:rPr>
          <w:spacing w:val="27"/>
          <w:w w:val="110"/>
        </w:rPr>
        <w:t> </w:t>
      </w:r>
      <w:r>
        <w:rPr>
          <w:w w:val="110"/>
        </w:rPr>
        <w:t>2012).</w:t>
      </w:r>
    </w:p>
    <w:p>
      <w:pPr>
        <w:pStyle w:val="BodyText"/>
        <w:spacing w:line="252" w:lineRule="auto"/>
        <w:ind w:left="100" w:right="328" w:firstLine="396"/>
        <w:jc w:val="both"/>
      </w:pPr>
      <w:r>
        <w:rPr>
          <w:w w:val="110"/>
        </w:rPr>
        <w:t>Con este acuerdo surgió una región económica con 1.7 mil millo- nes de consumidores, un Pib regional de aproximadamente 2 billones de dólares y un comercio total estimado de 1.23 billones de dólares. Esto lo convirtió, en su momento, en el </w:t>
      </w:r>
      <w:r>
        <w:rPr>
          <w:w w:val="160"/>
        </w:rPr>
        <w:t>tlC </w:t>
      </w:r>
      <w:r>
        <w:rPr>
          <w:w w:val="110"/>
        </w:rPr>
        <w:t>de mayor tamaño en tér- minos de población (Gómez,  2012).</w:t>
      </w:r>
    </w:p>
    <w:p>
      <w:pPr>
        <w:pStyle w:val="BodyText"/>
        <w:spacing w:line="252" w:lineRule="auto"/>
        <w:ind w:left="100" w:right="327" w:firstLine="396"/>
        <w:jc w:val="both"/>
      </w:pPr>
      <w:r>
        <w:rPr>
          <w:w w:val="115"/>
        </w:rPr>
        <w:t>El</w:t>
      </w:r>
      <w:r>
        <w:rPr>
          <w:spacing w:val="-13"/>
          <w:w w:val="115"/>
        </w:rPr>
        <w:t> </w:t>
      </w:r>
      <w:r>
        <w:rPr>
          <w:w w:val="115"/>
        </w:rPr>
        <w:t>porcentaje</w:t>
      </w:r>
      <w:r>
        <w:rPr>
          <w:spacing w:val="-13"/>
          <w:w w:val="115"/>
        </w:rPr>
        <w:t> </w:t>
      </w:r>
      <w:r>
        <w:rPr>
          <w:w w:val="115"/>
        </w:rPr>
        <w:t>de</w:t>
      </w:r>
      <w:r>
        <w:rPr>
          <w:spacing w:val="-13"/>
          <w:w w:val="115"/>
        </w:rPr>
        <w:t> </w:t>
      </w:r>
      <w:r>
        <w:rPr>
          <w:w w:val="115"/>
        </w:rPr>
        <w:t>China</w:t>
      </w:r>
      <w:r>
        <w:rPr>
          <w:spacing w:val="-13"/>
          <w:w w:val="115"/>
        </w:rPr>
        <w:t> </w:t>
      </w:r>
      <w:r>
        <w:rPr>
          <w:w w:val="115"/>
        </w:rPr>
        <w:t>en</w:t>
      </w:r>
      <w:r>
        <w:rPr>
          <w:spacing w:val="-13"/>
          <w:w w:val="115"/>
        </w:rPr>
        <w:t> </w:t>
      </w:r>
      <w:r>
        <w:rPr>
          <w:w w:val="115"/>
        </w:rPr>
        <w:t>el</w:t>
      </w:r>
      <w:r>
        <w:rPr>
          <w:spacing w:val="-13"/>
          <w:w w:val="115"/>
        </w:rPr>
        <w:t> </w:t>
      </w:r>
      <w:r>
        <w:rPr>
          <w:w w:val="115"/>
        </w:rPr>
        <w:t>comercio</w:t>
      </w:r>
      <w:r>
        <w:rPr>
          <w:spacing w:val="-13"/>
          <w:w w:val="115"/>
        </w:rPr>
        <w:t> </w:t>
      </w:r>
      <w:r>
        <w:rPr>
          <w:w w:val="115"/>
        </w:rPr>
        <w:t>total</w:t>
      </w:r>
      <w:r>
        <w:rPr>
          <w:spacing w:val="-13"/>
          <w:w w:val="115"/>
        </w:rPr>
        <w:t> </w:t>
      </w:r>
      <w:r>
        <w:rPr>
          <w:w w:val="115"/>
        </w:rPr>
        <w:t>de</w:t>
      </w:r>
      <w:r>
        <w:rPr>
          <w:spacing w:val="-13"/>
          <w:w w:val="115"/>
        </w:rPr>
        <w:t> </w:t>
      </w:r>
      <w:r>
        <w:rPr>
          <w:w w:val="115"/>
        </w:rPr>
        <w:t>la</w:t>
      </w:r>
      <w:r>
        <w:rPr>
          <w:spacing w:val="-13"/>
          <w:w w:val="115"/>
        </w:rPr>
        <w:t> </w:t>
      </w:r>
      <w:r>
        <w:rPr>
          <w:w w:val="115"/>
        </w:rPr>
        <w:t>asEaN</w:t>
      </w:r>
      <w:r>
        <w:rPr>
          <w:spacing w:val="-12"/>
          <w:w w:val="115"/>
        </w:rPr>
        <w:t> </w:t>
      </w:r>
      <w:r>
        <w:rPr>
          <w:w w:val="115"/>
        </w:rPr>
        <w:t>creció</w:t>
      </w:r>
      <w:r>
        <w:rPr>
          <w:spacing w:val="-13"/>
          <w:w w:val="115"/>
        </w:rPr>
        <w:t> </w:t>
      </w:r>
      <w:r>
        <w:rPr>
          <w:w w:val="115"/>
        </w:rPr>
        <w:t>de 2.1%</w:t>
      </w:r>
      <w:r>
        <w:rPr>
          <w:spacing w:val="-27"/>
          <w:w w:val="115"/>
        </w:rPr>
        <w:t> </w:t>
      </w:r>
      <w:r>
        <w:rPr>
          <w:w w:val="115"/>
        </w:rPr>
        <w:t>del</w:t>
      </w:r>
      <w:r>
        <w:rPr>
          <w:spacing w:val="-27"/>
          <w:w w:val="115"/>
        </w:rPr>
        <w:t> </w:t>
      </w:r>
      <w:r>
        <w:rPr>
          <w:w w:val="115"/>
        </w:rPr>
        <w:t>total</w:t>
      </w:r>
      <w:r>
        <w:rPr>
          <w:spacing w:val="-27"/>
          <w:w w:val="115"/>
        </w:rPr>
        <w:t> </w:t>
      </w:r>
      <w:r>
        <w:rPr>
          <w:w w:val="115"/>
        </w:rPr>
        <w:t>en</w:t>
      </w:r>
      <w:r>
        <w:rPr>
          <w:spacing w:val="-27"/>
          <w:w w:val="115"/>
        </w:rPr>
        <w:t> </w:t>
      </w:r>
      <w:r>
        <w:rPr>
          <w:w w:val="115"/>
        </w:rPr>
        <w:t>1994</w:t>
      </w:r>
      <w:r>
        <w:rPr>
          <w:spacing w:val="-27"/>
          <w:w w:val="115"/>
        </w:rPr>
        <w:t> </w:t>
      </w:r>
      <w:r>
        <w:rPr>
          <w:w w:val="115"/>
        </w:rPr>
        <w:t>hasta</w:t>
      </w:r>
      <w:r>
        <w:rPr>
          <w:spacing w:val="-27"/>
          <w:w w:val="115"/>
        </w:rPr>
        <w:t> </w:t>
      </w:r>
      <w:r>
        <w:rPr>
          <w:w w:val="115"/>
        </w:rPr>
        <w:t>7%</w:t>
      </w:r>
      <w:r>
        <w:rPr>
          <w:spacing w:val="-27"/>
          <w:w w:val="115"/>
        </w:rPr>
        <w:t> </w:t>
      </w:r>
      <w:r>
        <w:rPr>
          <w:w w:val="115"/>
        </w:rPr>
        <w:t>en</w:t>
      </w:r>
      <w:r>
        <w:rPr>
          <w:spacing w:val="-27"/>
          <w:w w:val="115"/>
        </w:rPr>
        <w:t> </w:t>
      </w:r>
      <w:r>
        <w:rPr>
          <w:w w:val="115"/>
        </w:rPr>
        <w:t>2003,</w:t>
      </w:r>
      <w:r>
        <w:rPr>
          <w:spacing w:val="-27"/>
          <w:w w:val="115"/>
        </w:rPr>
        <w:t> </w:t>
      </w:r>
      <w:r>
        <w:rPr>
          <w:w w:val="115"/>
        </w:rPr>
        <w:t>llegando</w:t>
      </w:r>
      <w:r>
        <w:rPr>
          <w:spacing w:val="-27"/>
          <w:w w:val="115"/>
        </w:rPr>
        <w:t> </w:t>
      </w:r>
      <w:r>
        <w:rPr>
          <w:w w:val="115"/>
        </w:rPr>
        <w:t>a</w:t>
      </w:r>
      <w:r>
        <w:rPr>
          <w:spacing w:val="-27"/>
          <w:w w:val="115"/>
        </w:rPr>
        <w:t> </w:t>
      </w:r>
      <w:r>
        <w:rPr>
          <w:w w:val="115"/>
        </w:rPr>
        <w:t>ser</w:t>
      </w:r>
      <w:r>
        <w:rPr>
          <w:spacing w:val="-27"/>
          <w:w w:val="115"/>
        </w:rPr>
        <w:t> </w:t>
      </w:r>
      <w:r>
        <w:rPr>
          <w:w w:val="115"/>
        </w:rPr>
        <w:t>el</w:t>
      </w:r>
      <w:r>
        <w:rPr>
          <w:spacing w:val="-27"/>
          <w:w w:val="115"/>
        </w:rPr>
        <w:t> </w:t>
      </w:r>
      <w:r>
        <w:rPr>
          <w:w w:val="115"/>
        </w:rPr>
        <w:t>cuarto</w:t>
      </w:r>
      <w:r>
        <w:rPr>
          <w:spacing w:val="-27"/>
          <w:w w:val="115"/>
        </w:rPr>
        <w:t> </w:t>
      </w:r>
      <w:r>
        <w:rPr>
          <w:w w:val="115"/>
        </w:rPr>
        <w:t>socio comercial</w:t>
      </w:r>
      <w:r>
        <w:rPr>
          <w:spacing w:val="-10"/>
          <w:w w:val="115"/>
        </w:rPr>
        <w:t> </w:t>
      </w:r>
      <w:r>
        <w:rPr>
          <w:w w:val="115"/>
        </w:rPr>
        <w:t>más</w:t>
      </w:r>
      <w:r>
        <w:rPr>
          <w:spacing w:val="-10"/>
          <w:w w:val="115"/>
        </w:rPr>
        <w:t> </w:t>
      </w:r>
      <w:r>
        <w:rPr>
          <w:w w:val="115"/>
        </w:rPr>
        <w:t>importante</w:t>
      </w:r>
      <w:r>
        <w:rPr>
          <w:spacing w:val="-10"/>
          <w:w w:val="115"/>
        </w:rPr>
        <w:t> </w:t>
      </w:r>
      <w:r>
        <w:rPr>
          <w:w w:val="115"/>
        </w:rPr>
        <w:t>después</w:t>
      </w:r>
      <w:r>
        <w:rPr>
          <w:spacing w:val="-10"/>
          <w:w w:val="115"/>
        </w:rPr>
        <w:t> </w:t>
      </w:r>
      <w:r>
        <w:rPr>
          <w:w w:val="115"/>
        </w:rPr>
        <w:t>de</w:t>
      </w:r>
      <w:r>
        <w:rPr>
          <w:spacing w:val="-10"/>
          <w:w w:val="115"/>
        </w:rPr>
        <w:t> </w:t>
      </w:r>
      <w:r>
        <w:rPr>
          <w:w w:val="115"/>
        </w:rPr>
        <w:t>la</w:t>
      </w:r>
      <w:r>
        <w:rPr>
          <w:spacing w:val="-10"/>
          <w:w w:val="115"/>
        </w:rPr>
        <w:t> </w:t>
      </w:r>
      <w:r>
        <w:rPr>
          <w:w w:val="115"/>
        </w:rPr>
        <w:t>unión</w:t>
      </w:r>
      <w:r>
        <w:rPr>
          <w:spacing w:val="-10"/>
          <w:w w:val="115"/>
        </w:rPr>
        <w:t> </w:t>
      </w:r>
      <w:r>
        <w:rPr>
          <w:w w:val="115"/>
        </w:rPr>
        <w:t>Europea.</w:t>
      </w:r>
      <w:r>
        <w:rPr>
          <w:spacing w:val="-10"/>
          <w:w w:val="115"/>
        </w:rPr>
        <w:t> </w:t>
      </w:r>
      <w:r>
        <w:rPr>
          <w:w w:val="115"/>
        </w:rPr>
        <w:t>actualmen- te,</w:t>
      </w:r>
      <w:r>
        <w:rPr>
          <w:spacing w:val="-14"/>
          <w:w w:val="115"/>
        </w:rPr>
        <w:t> </w:t>
      </w:r>
      <w:r>
        <w:rPr>
          <w:w w:val="115"/>
        </w:rPr>
        <w:t>el</w:t>
      </w:r>
      <w:r>
        <w:rPr>
          <w:spacing w:val="-14"/>
          <w:w w:val="115"/>
        </w:rPr>
        <w:t> </w:t>
      </w:r>
      <w:r>
        <w:rPr>
          <w:w w:val="115"/>
        </w:rPr>
        <w:t>comercio</w:t>
      </w:r>
      <w:r>
        <w:rPr>
          <w:spacing w:val="-14"/>
          <w:w w:val="115"/>
        </w:rPr>
        <w:t> </w:t>
      </w:r>
      <w:r>
        <w:rPr>
          <w:w w:val="115"/>
        </w:rPr>
        <w:t>de</w:t>
      </w:r>
      <w:r>
        <w:rPr>
          <w:spacing w:val="-14"/>
          <w:w w:val="115"/>
        </w:rPr>
        <w:t> </w:t>
      </w:r>
      <w:r>
        <w:rPr>
          <w:w w:val="115"/>
        </w:rPr>
        <w:t>China</w:t>
      </w:r>
      <w:r>
        <w:rPr>
          <w:spacing w:val="-14"/>
          <w:w w:val="115"/>
        </w:rPr>
        <w:t> </w:t>
      </w:r>
      <w:r>
        <w:rPr>
          <w:w w:val="115"/>
        </w:rPr>
        <w:t>con</w:t>
      </w:r>
      <w:r>
        <w:rPr>
          <w:spacing w:val="-14"/>
          <w:w w:val="115"/>
        </w:rPr>
        <w:t> </w:t>
      </w:r>
      <w:r>
        <w:rPr>
          <w:w w:val="115"/>
        </w:rPr>
        <w:t>asEaN</w:t>
      </w:r>
      <w:r>
        <w:rPr>
          <w:spacing w:val="-14"/>
          <w:w w:val="115"/>
        </w:rPr>
        <w:t> </w:t>
      </w:r>
      <w:r>
        <w:rPr>
          <w:w w:val="115"/>
        </w:rPr>
        <w:t>se</w:t>
      </w:r>
      <w:r>
        <w:rPr>
          <w:spacing w:val="-14"/>
          <w:w w:val="115"/>
        </w:rPr>
        <w:t> </w:t>
      </w:r>
      <w:r>
        <w:rPr>
          <w:w w:val="115"/>
        </w:rPr>
        <w:t>ha</w:t>
      </w:r>
      <w:r>
        <w:rPr>
          <w:spacing w:val="-14"/>
          <w:w w:val="115"/>
        </w:rPr>
        <w:t> </w:t>
      </w:r>
      <w:r>
        <w:rPr>
          <w:w w:val="115"/>
        </w:rPr>
        <w:t>incrementado</w:t>
      </w:r>
      <w:r>
        <w:rPr>
          <w:spacing w:val="-14"/>
          <w:w w:val="115"/>
        </w:rPr>
        <w:t> </w:t>
      </w:r>
      <w:r>
        <w:rPr>
          <w:w w:val="115"/>
        </w:rPr>
        <w:t>cerca</w:t>
      </w:r>
      <w:r>
        <w:rPr>
          <w:spacing w:val="-14"/>
          <w:w w:val="115"/>
        </w:rPr>
        <w:t> </w:t>
      </w:r>
      <w:r>
        <w:rPr>
          <w:w w:val="115"/>
        </w:rPr>
        <w:t>de</w:t>
      </w:r>
      <w:r>
        <w:rPr>
          <w:spacing w:val="-14"/>
          <w:w w:val="115"/>
        </w:rPr>
        <w:t> </w:t>
      </w:r>
      <w:r>
        <w:rPr>
          <w:w w:val="115"/>
        </w:rPr>
        <w:t>50% desde</w:t>
      </w:r>
      <w:r>
        <w:rPr>
          <w:spacing w:val="-22"/>
          <w:w w:val="115"/>
        </w:rPr>
        <w:t> </w:t>
      </w:r>
      <w:r>
        <w:rPr>
          <w:w w:val="115"/>
        </w:rPr>
        <w:t>la</w:t>
      </w:r>
      <w:r>
        <w:rPr>
          <w:spacing w:val="-22"/>
          <w:w w:val="115"/>
        </w:rPr>
        <w:t> </w:t>
      </w:r>
      <w:r>
        <w:rPr>
          <w:w w:val="115"/>
        </w:rPr>
        <w:t>entrada</w:t>
      </w:r>
      <w:r>
        <w:rPr>
          <w:spacing w:val="-22"/>
          <w:w w:val="115"/>
        </w:rPr>
        <w:t> </w:t>
      </w:r>
      <w:r>
        <w:rPr>
          <w:w w:val="115"/>
        </w:rPr>
        <w:t>en</w:t>
      </w:r>
      <w:r>
        <w:rPr>
          <w:spacing w:val="-22"/>
          <w:w w:val="115"/>
        </w:rPr>
        <w:t> </w:t>
      </w:r>
      <w:r>
        <w:rPr>
          <w:w w:val="115"/>
        </w:rPr>
        <w:t>vigor</w:t>
      </w:r>
      <w:r>
        <w:rPr>
          <w:spacing w:val="-22"/>
          <w:w w:val="115"/>
        </w:rPr>
        <w:t> </w:t>
      </w:r>
      <w:r>
        <w:rPr>
          <w:w w:val="115"/>
        </w:rPr>
        <w:t>del</w:t>
      </w:r>
      <w:r>
        <w:rPr>
          <w:spacing w:val="-22"/>
          <w:w w:val="115"/>
        </w:rPr>
        <w:t> </w:t>
      </w:r>
      <w:r>
        <w:rPr>
          <w:w w:val="115"/>
        </w:rPr>
        <w:t>acuerdo.</w:t>
      </w:r>
    </w:p>
    <w:p>
      <w:pPr>
        <w:pStyle w:val="BodyText"/>
        <w:spacing w:line="252" w:lineRule="auto"/>
        <w:ind w:left="100" w:right="327" w:firstLine="396"/>
        <w:jc w:val="both"/>
      </w:pPr>
      <w:r>
        <w:rPr>
          <w:w w:val="243"/>
        </w:rPr>
        <w:t>l</w:t>
      </w:r>
      <w:r>
        <w:rPr>
          <w:w w:val="108"/>
        </w:rPr>
        <w:t>os</w:t>
      </w:r>
      <w:r>
        <w:rPr/>
        <w:t> </w:t>
      </w:r>
      <w:r>
        <w:rPr>
          <w:spacing w:val="-10"/>
        </w:rPr>
        <w:t> </w:t>
      </w:r>
      <w:r>
        <w:rPr>
          <w:w w:val="108"/>
        </w:rPr>
        <w:t>países</w:t>
      </w:r>
      <w:r>
        <w:rPr/>
        <w:t> </w:t>
      </w:r>
      <w:r>
        <w:rPr>
          <w:spacing w:val="-10"/>
        </w:rPr>
        <w:t> </w:t>
      </w:r>
      <w:r>
        <w:rPr>
          <w:w w:val="110"/>
        </w:rPr>
        <w:t>miembros</w:t>
      </w:r>
      <w:r>
        <w:rPr/>
        <w:t> </w:t>
      </w:r>
      <w:r>
        <w:rPr>
          <w:spacing w:val="-10"/>
        </w:rPr>
        <w:t> </w:t>
      </w:r>
      <w:r>
        <w:rPr>
          <w:w w:val="107"/>
        </w:rPr>
        <w:t>de</w:t>
      </w:r>
      <w:r>
        <w:rPr/>
        <w:t> </w:t>
      </w:r>
      <w:r>
        <w:rPr>
          <w:spacing w:val="-10"/>
        </w:rPr>
        <w:t> </w:t>
      </w:r>
      <w:r>
        <w:rPr>
          <w:w w:val="111"/>
        </w:rPr>
        <w:t>la</w:t>
      </w:r>
      <w:r>
        <w:rPr/>
        <w:t> </w:t>
      </w:r>
      <w:r>
        <w:rPr>
          <w:spacing w:val="-10"/>
        </w:rPr>
        <w:t> </w:t>
      </w:r>
      <w:r>
        <w:rPr>
          <w:w w:val="144"/>
        </w:rPr>
        <w:t>as</w:t>
      </w:r>
      <w:r>
        <w:rPr>
          <w:w w:val="128"/>
        </w:rPr>
        <w:t>E</w:t>
      </w:r>
      <w:r>
        <w:rPr>
          <w:w w:val="139"/>
        </w:rPr>
        <w:t>a</w:t>
      </w:r>
      <w:r>
        <w:rPr>
          <w:w w:val="119"/>
        </w:rPr>
        <w:t>N</w:t>
      </w:r>
      <w:r>
        <w:rPr/>
        <w:t> </w:t>
      </w:r>
      <w:r>
        <w:rPr>
          <w:spacing w:val="-10"/>
        </w:rPr>
        <w:t> </w:t>
      </w:r>
      <w:r>
        <w:rPr>
          <w:w w:val="110"/>
        </w:rPr>
        <w:t>fueron</w:t>
      </w:r>
      <w:r>
        <w:rPr/>
        <w:t> </w:t>
      </w:r>
      <w:r>
        <w:rPr>
          <w:spacing w:val="-10"/>
        </w:rPr>
        <w:t> </w:t>
      </w:r>
      <w:r>
        <w:rPr>
          <w:w w:val="108"/>
        </w:rPr>
        <w:t>los</w:t>
      </w:r>
      <w:r>
        <w:rPr/>
        <w:t> </w:t>
      </w:r>
      <w:r>
        <w:rPr>
          <w:spacing w:val="-10"/>
        </w:rPr>
        <w:t> </w:t>
      </w:r>
      <w:r>
        <w:rPr>
          <w:w w:val="111"/>
        </w:rPr>
        <w:t>más</w:t>
      </w:r>
      <w:r>
        <w:rPr/>
        <w:t> </w:t>
      </w:r>
      <w:r>
        <w:rPr>
          <w:spacing w:val="-10"/>
        </w:rPr>
        <w:t> </w:t>
      </w:r>
      <w:r>
        <w:rPr>
          <w:w w:val="109"/>
        </w:rPr>
        <w:t>beneficiados </w:t>
      </w:r>
      <w:r>
        <w:rPr>
          <w:w w:val="115"/>
        </w:rPr>
        <w:t>con</w:t>
      </w:r>
      <w:r>
        <w:rPr>
          <w:spacing w:val="-9"/>
          <w:w w:val="115"/>
        </w:rPr>
        <w:t> </w:t>
      </w:r>
      <w:r>
        <w:rPr>
          <w:w w:val="115"/>
        </w:rPr>
        <w:t>este</w:t>
      </w:r>
      <w:r>
        <w:rPr>
          <w:spacing w:val="-9"/>
          <w:w w:val="115"/>
        </w:rPr>
        <w:t> </w:t>
      </w:r>
      <w:r>
        <w:rPr>
          <w:w w:val="115"/>
        </w:rPr>
        <w:t>acuerdo,</w:t>
      </w:r>
      <w:r>
        <w:rPr>
          <w:spacing w:val="-9"/>
          <w:w w:val="115"/>
        </w:rPr>
        <w:t> </w:t>
      </w:r>
      <w:r>
        <w:rPr>
          <w:w w:val="115"/>
        </w:rPr>
        <w:t>ya</w:t>
      </w:r>
      <w:r>
        <w:rPr>
          <w:spacing w:val="-9"/>
          <w:w w:val="115"/>
        </w:rPr>
        <w:t> </w:t>
      </w:r>
      <w:r>
        <w:rPr>
          <w:w w:val="115"/>
        </w:rPr>
        <w:t>que</w:t>
      </w:r>
      <w:r>
        <w:rPr>
          <w:spacing w:val="-9"/>
          <w:w w:val="115"/>
        </w:rPr>
        <w:t> </w:t>
      </w:r>
      <w:r>
        <w:rPr>
          <w:w w:val="115"/>
        </w:rPr>
        <w:t>sus</w:t>
      </w:r>
      <w:r>
        <w:rPr>
          <w:spacing w:val="-9"/>
          <w:w w:val="115"/>
        </w:rPr>
        <w:t> </w:t>
      </w:r>
      <w:r>
        <w:rPr>
          <w:w w:val="115"/>
        </w:rPr>
        <w:t>exportaciones</w:t>
      </w:r>
      <w:r>
        <w:rPr>
          <w:spacing w:val="-9"/>
          <w:w w:val="115"/>
        </w:rPr>
        <w:t> </w:t>
      </w:r>
      <w:r>
        <w:rPr>
          <w:w w:val="115"/>
        </w:rPr>
        <w:t>hacia</w:t>
      </w:r>
      <w:r>
        <w:rPr>
          <w:spacing w:val="-9"/>
          <w:w w:val="115"/>
        </w:rPr>
        <w:t> </w:t>
      </w:r>
      <w:r>
        <w:rPr>
          <w:w w:val="115"/>
        </w:rPr>
        <w:t>China</w:t>
      </w:r>
      <w:r>
        <w:rPr>
          <w:spacing w:val="-9"/>
          <w:w w:val="115"/>
        </w:rPr>
        <w:t> </w:t>
      </w:r>
      <w:r>
        <w:rPr>
          <w:w w:val="115"/>
        </w:rPr>
        <w:t>crecieron</w:t>
      </w:r>
      <w:r>
        <w:rPr>
          <w:spacing w:val="-9"/>
          <w:w w:val="115"/>
        </w:rPr>
        <w:t> </w:t>
      </w:r>
      <w:r>
        <w:rPr>
          <w:w w:val="115"/>
        </w:rPr>
        <w:t>en 54.2%. El </w:t>
      </w:r>
      <w:r>
        <w:rPr>
          <w:w w:val="160"/>
        </w:rPr>
        <w:t>tlC </w:t>
      </w:r>
      <w:r>
        <w:rPr>
          <w:w w:val="115"/>
        </w:rPr>
        <w:t>ayudó a reducir los costos de los productores manu- factureros</w:t>
      </w:r>
      <w:r>
        <w:rPr>
          <w:spacing w:val="-23"/>
          <w:w w:val="115"/>
        </w:rPr>
        <w:t> </w:t>
      </w:r>
      <w:r>
        <w:rPr>
          <w:w w:val="115"/>
        </w:rPr>
        <w:t>y</w:t>
      </w:r>
      <w:r>
        <w:rPr>
          <w:spacing w:val="-23"/>
          <w:w w:val="115"/>
        </w:rPr>
        <w:t> </w:t>
      </w:r>
      <w:r>
        <w:rPr>
          <w:w w:val="115"/>
        </w:rPr>
        <w:t>de</w:t>
      </w:r>
      <w:r>
        <w:rPr>
          <w:spacing w:val="-23"/>
          <w:w w:val="115"/>
        </w:rPr>
        <w:t> </w:t>
      </w:r>
      <w:r>
        <w:rPr>
          <w:w w:val="115"/>
        </w:rPr>
        <w:t>los</w:t>
      </w:r>
      <w:r>
        <w:rPr>
          <w:spacing w:val="-23"/>
          <w:w w:val="115"/>
        </w:rPr>
        <w:t> </w:t>
      </w:r>
      <w:r>
        <w:rPr>
          <w:w w:val="115"/>
        </w:rPr>
        <w:t>distribuidores</w:t>
      </w:r>
      <w:r>
        <w:rPr>
          <w:spacing w:val="-23"/>
          <w:w w:val="115"/>
        </w:rPr>
        <w:t> </w:t>
      </w:r>
      <w:r>
        <w:rPr>
          <w:w w:val="115"/>
        </w:rPr>
        <w:t>chinos,</w:t>
      </w:r>
      <w:r>
        <w:rPr>
          <w:spacing w:val="-23"/>
          <w:w w:val="115"/>
        </w:rPr>
        <w:t> </w:t>
      </w:r>
      <w:r>
        <w:rPr>
          <w:w w:val="115"/>
        </w:rPr>
        <w:t>mientras</w:t>
      </w:r>
      <w:r>
        <w:rPr>
          <w:spacing w:val="-23"/>
          <w:w w:val="115"/>
        </w:rPr>
        <w:t> </w:t>
      </w:r>
      <w:r>
        <w:rPr>
          <w:w w:val="115"/>
        </w:rPr>
        <w:t>que</w:t>
      </w:r>
      <w:r>
        <w:rPr>
          <w:spacing w:val="-23"/>
          <w:w w:val="115"/>
        </w:rPr>
        <w:t> </w:t>
      </w:r>
      <w:r>
        <w:rPr>
          <w:w w:val="115"/>
        </w:rPr>
        <w:t>las</w:t>
      </w:r>
      <w:r>
        <w:rPr>
          <w:spacing w:val="-23"/>
          <w:w w:val="115"/>
        </w:rPr>
        <w:t> </w:t>
      </w:r>
      <w:r>
        <w:rPr>
          <w:w w:val="115"/>
        </w:rPr>
        <w:t>tarifas</w:t>
      </w:r>
      <w:r>
        <w:rPr>
          <w:spacing w:val="-23"/>
          <w:w w:val="115"/>
        </w:rPr>
        <w:t> </w:t>
      </w:r>
      <w:r>
        <w:rPr>
          <w:w w:val="115"/>
        </w:rPr>
        <w:t>más bajas</w:t>
      </w:r>
      <w:r>
        <w:rPr>
          <w:spacing w:val="-5"/>
          <w:w w:val="115"/>
        </w:rPr>
        <w:t> </w:t>
      </w:r>
      <w:r>
        <w:rPr>
          <w:w w:val="115"/>
        </w:rPr>
        <w:t>compensaron</w:t>
      </w:r>
      <w:r>
        <w:rPr>
          <w:spacing w:val="-5"/>
          <w:w w:val="115"/>
        </w:rPr>
        <w:t> </w:t>
      </w:r>
      <w:r>
        <w:rPr>
          <w:w w:val="115"/>
        </w:rPr>
        <w:t>por</w:t>
      </w:r>
      <w:r>
        <w:rPr>
          <w:spacing w:val="-5"/>
          <w:w w:val="115"/>
        </w:rPr>
        <w:t> </w:t>
      </w:r>
      <w:r>
        <w:rPr>
          <w:w w:val="115"/>
        </w:rPr>
        <w:t>el</w:t>
      </w:r>
      <w:r>
        <w:rPr>
          <w:spacing w:val="-5"/>
          <w:w w:val="115"/>
        </w:rPr>
        <w:t> </w:t>
      </w:r>
      <w:r>
        <w:rPr>
          <w:w w:val="115"/>
        </w:rPr>
        <w:t>alza</w:t>
      </w:r>
      <w:r>
        <w:rPr>
          <w:spacing w:val="-5"/>
          <w:w w:val="115"/>
        </w:rPr>
        <w:t> </w:t>
      </w:r>
      <w:r>
        <w:rPr>
          <w:w w:val="115"/>
        </w:rPr>
        <w:t>en</w:t>
      </w:r>
      <w:r>
        <w:rPr>
          <w:spacing w:val="-5"/>
          <w:w w:val="115"/>
        </w:rPr>
        <w:t> </w:t>
      </w:r>
      <w:r>
        <w:rPr>
          <w:w w:val="115"/>
        </w:rPr>
        <w:t>los</w:t>
      </w:r>
      <w:r>
        <w:rPr>
          <w:spacing w:val="-5"/>
          <w:w w:val="115"/>
        </w:rPr>
        <w:t> </w:t>
      </w:r>
      <w:r>
        <w:rPr>
          <w:w w:val="115"/>
        </w:rPr>
        <w:t>salarios</w:t>
      </w:r>
      <w:r>
        <w:rPr>
          <w:spacing w:val="-5"/>
          <w:w w:val="115"/>
        </w:rPr>
        <w:t> </w:t>
      </w:r>
      <w:r>
        <w:rPr>
          <w:w w:val="115"/>
        </w:rPr>
        <w:t>y</w:t>
      </w:r>
      <w:r>
        <w:rPr>
          <w:spacing w:val="-5"/>
          <w:w w:val="115"/>
        </w:rPr>
        <w:t> </w:t>
      </w:r>
      <w:r>
        <w:rPr>
          <w:w w:val="115"/>
        </w:rPr>
        <w:t>en</w:t>
      </w:r>
      <w:r>
        <w:rPr>
          <w:spacing w:val="-5"/>
          <w:w w:val="115"/>
        </w:rPr>
        <w:t> </w:t>
      </w:r>
      <w:r>
        <w:rPr>
          <w:w w:val="115"/>
        </w:rPr>
        <w:t>los</w:t>
      </w:r>
      <w:r>
        <w:rPr>
          <w:spacing w:val="-5"/>
          <w:w w:val="115"/>
        </w:rPr>
        <w:t> </w:t>
      </w:r>
      <w:r>
        <w:rPr>
          <w:w w:val="115"/>
        </w:rPr>
        <w:t>costos</w:t>
      </w:r>
      <w:r>
        <w:rPr>
          <w:spacing w:val="-5"/>
          <w:w w:val="115"/>
        </w:rPr>
        <w:t> </w:t>
      </w:r>
      <w:r>
        <w:rPr>
          <w:w w:val="115"/>
        </w:rPr>
        <w:t>de</w:t>
      </w:r>
      <w:r>
        <w:rPr>
          <w:spacing w:val="-5"/>
          <w:w w:val="115"/>
        </w:rPr>
        <w:t> </w:t>
      </w:r>
      <w:r>
        <w:rPr>
          <w:w w:val="115"/>
        </w:rPr>
        <w:t>pro- </w:t>
      </w:r>
      <w:r>
        <w:rPr>
          <w:w w:val="110"/>
        </w:rPr>
        <w:t>ducción (Gómez,</w:t>
      </w:r>
      <w:r>
        <w:rPr>
          <w:spacing w:val="34"/>
          <w:w w:val="110"/>
        </w:rPr>
        <w:t> </w:t>
      </w:r>
      <w:r>
        <w:rPr>
          <w:w w:val="110"/>
        </w:rPr>
        <w:t>2012).</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8" w:firstLine="397"/>
        <w:jc w:val="both"/>
      </w:pPr>
      <w:r>
        <w:rPr>
          <w:w w:val="243"/>
        </w:rPr>
        <w:t>l</w:t>
      </w:r>
      <w:r>
        <w:rPr>
          <w:w w:val="112"/>
        </w:rPr>
        <w:t>a</w:t>
      </w:r>
      <w:r>
        <w:rPr/>
        <w:t> </w:t>
      </w:r>
      <w:r>
        <w:rPr>
          <w:spacing w:val="-17"/>
        </w:rPr>
        <w:t> </w:t>
      </w:r>
      <w:r>
        <w:rPr>
          <w:w w:val="144"/>
        </w:rPr>
        <w:t>as</w:t>
      </w:r>
      <w:r>
        <w:rPr>
          <w:w w:val="128"/>
        </w:rPr>
        <w:t>E</w:t>
      </w:r>
      <w:r>
        <w:rPr>
          <w:w w:val="139"/>
        </w:rPr>
        <w:t>a</w:t>
      </w:r>
      <w:r>
        <w:rPr>
          <w:w w:val="119"/>
        </w:rPr>
        <w:t>N</w:t>
      </w:r>
      <w:r>
        <w:rPr/>
        <w:t> </w:t>
      </w:r>
      <w:r>
        <w:rPr>
          <w:spacing w:val="-17"/>
        </w:rPr>
        <w:t> </w:t>
      </w:r>
      <w:r>
        <w:rPr>
          <w:w w:val="108"/>
        </w:rPr>
        <w:t>superó</w:t>
      </w:r>
      <w:r>
        <w:rPr/>
        <w:t> </w:t>
      </w:r>
      <w:r>
        <w:rPr>
          <w:spacing w:val="-17"/>
        </w:rPr>
        <w:t> </w:t>
      </w:r>
      <w:r>
        <w:rPr>
          <w:w w:val="112"/>
        </w:rPr>
        <w:t>a</w:t>
      </w:r>
      <w:r>
        <w:rPr/>
        <w:t> </w:t>
      </w:r>
      <w:r>
        <w:rPr>
          <w:spacing w:val="-17"/>
        </w:rPr>
        <w:t> </w:t>
      </w:r>
      <w:r>
        <w:rPr>
          <w:w w:val="116"/>
        </w:rPr>
        <w:t>Japón</w:t>
      </w:r>
      <w:r>
        <w:rPr/>
        <w:t> </w:t>
      </w:r>
      <w:r>
        <w:rPr>
          <w:spacing w:val="-17"/>
        </w:rPr>
        <w:t> </w:t>
      </w:r>
      <w:r>
        <w:rPr>
          <w:w w:val="108"/>
        </w:rPr>
        <w:t>en</w:t>
      </w:r>
      <w:r>
        <w:rPr/>
        <w:t> </w:t>
      </w:r>
      <w:r>
        <w:rPr>
          <w:spacing w:val="-17"/>
        </w:rPr>
        <w:t> </w:t>
      </w:r>
      <w:r>
        <w:rPr>
          <w:w w:val="102"/>
        </w:rPr>
        <w:t>2011</w:t>
      </w:r>
      <w:r>
        <w:rPr/>
        <w:t> </w:t>
      </w:r>
      <w:r>
        <w:rPr>
          <w:spacing w:val="-17"/>
        </w:rPr>
        <w:t> </w:t>
      </w:r>
      <w:r>
        <w:rPr>
          <w:w w:val="109"/>
        </w:rPr>
        <w:t>para</w:t>
      </w:r>
      <w:r>
        <w:rPr/>
        <w:t> </w:t>
      </w:r>
      <w:r>
        <w:rPr>
          <w:spacing w:val="-17"/>
        </w:rPr>
        <w:t> </w:t>
      </w:r>
      <w:r>
        <w:rPr>
          <w:w w:val="107"/>
        </w:rPr>
        <w:t>convertirse</w:t>
      </w:r>
      <w:r>
        <w:rPr/>
        <w:t> </w:t>
      </w:r>
      <w:r>
        <w:rPr>
          <w:spacing w:val="-17"/>
        </w:rPr>
        <w:t> </w:t>
      </w:r>
      <w:r>
        <w:rPr>
          <w:w w:val="108"/>
        </w:rPr>
        <w:t>en</w:t>
      </w:r>
      <w:r>
        <w:rPr/>
        <w:t> </w:t>
      </w:r>
      <w:r>
        <w:rPr>
          <w:spacing w:val="-17"/>
        </w:rPr>
        <w:t> </w:t>
      </w:r>
      <w:r>
        <w:rPr>
          <w:w w:val="107"/>
        </w:rPr>
        <w:t>el</w:t>
      </w:r>
      <w:r>
        <w:rPr/>
        <w:t> </w:t>
      </w:r>
      <w:r>
        <w:rPr>
          <w:spacing w:val="-17"/>
        </w:rPr>
        <w:t> </w:t>
      </w:r>
      <w:r>
        <w:rPr>
          <w:w w:val="106"/>
        </w:rPr>
        <w:t>tercer </w:t>
      </w:r>
      <w:r>
        <w:rPr>
          <w:w w:val="115"/>
        </w:rPr>
        <w:t>socio comercial más grande de China, alcanzando cifras de </w:t>
      </w:r>
      <w:r>
        <w:rPr>
          <w:spacing w:val="-3"/>
          <w:w w:val="115"/>
        </w:rPr>
        <w:t>comer- </w:t>
      </w:r>
      <w:r>
        <w:rPr>
          <w:w w:val="115"/>
        </w:rPr>
        <w:t>cio</w:t>
      </w:r>
      <w:r>
        <w:rPr>
          <w:spacing w:val="-11"/>
          <w:w w:val="115"/>
        </w:rPr>
        <w:t> </w:t>
      </w:r>
      <w:r>
        <w:rPr>
          <w:w w:val="115"/>
        </w:rPr>
        <w:t>del</w:t>
      </w:r>
      <w:r>
        <w:rPr>
          <w:spacing w:val="-11"/>
          <w:w w:val="115"/>
        </w:rPr>
        <w:t> </w:t>
      </w:r>
      <w:r>
        <w:rPr>
          <w:w w:val="115"/>
        </w:rPr>
        <w:t>orden</w:t>
      </w:r>
      <w:r>
        <w:rPr>
          <w:spacing w:val="-11"/>
          <w:w w:val="115"/>
        </w:rPr>
        <w:t> </w:t>
      </w:r>
      <w:r>
        <w:rPr>
          <w:w w:val="115"/>
        </w:rPr>
        <w:t>de</w:t>
      </w:r>
      <w:r>
        <w:rPr>
          <w:spacing w:val="-11"/>
          <w:w w:val="115"/>
        </w:rPr>
        <w:t> </w:t>
      </w:r>
      <w:r>
        <w:rPr>
          <w:w w:val="115"/>
        </w:rPr>
        <w:t>los</w:t>
      </w:r>
      <w:r>
        <w:rPr>
          <w:spacing w:val="-11"/>
          <w:w w:val="115"/>
        </w:rPr>
        <w:t> </w:t>
      </w:r>
      <w:r>
        <w:rPr>
          <w:w w:val="115"/>
        </w:rPr>
        <w:t>362.3</w:t>
      </w:r>
      <w:r>
        <w:rPr>
          <w:spacing w:val="-11"/>
          <w:w w:val="115"/>
        </w:rPr>
        <w:t> </w:t>
      </w:r>
      <w:r>
        <w:rPr>
          <w:w w:val="115"/>
        </w:rPr>
        <w:t>mil</w:t>
      </w:r>
      <w:r>
        <w:rPr>
          <w:spacing w:val="-11"/>
          <w:w w:val="115"/>
        </w:rPr>
        <w:t> </w:t>
      </w:r>
      <w:r>
        <w:rPr>
          <w:w w:val="115"/>
        </w:rPr>
        <w:t>millones</w:t>
      </w:r>
      <w:r>
        <w:rPr>
          <w:spacing w:val="-11"/>
          <w:w w:val="115"/>
        </w:rPr>
        <w:t> </w:t>
      </w:r>
      <w:r>
        <w:rPr>
          <w:w w:val="115"/>
        </w:rPr>
        <w:t>de</w:t>
      </w:r>
      <w:r>
        <w:rPr>
          <w:spacing w:val="-11"/>
          <w:w w:val="115"/>
        </w:rPr>
        <w:t> </w:t>
      </w:r>
      <w:r>
        <w:rPr>
          <w:w w:val="115"/>
        </w:rPr>
        <w:t>dólares,</w:t>
      </w:r>
      <w:r>
        <w:rPr>
          <w:spacing w:val="-11"/>
          <w:w w:val="115"/>
        </w:rPr>
        <w:t> </w:t>
      </w:r>
      <w:r>
        <w:rPr>
          <w:w w:val="115"/>
        </w:rPr>
        <w:t>sólo</w:t>
      </w:r>
      <w:r>
        <w:rPr>
          <w:spacing w:val="-11"/>
          <w:w w:val="115"/>
        </w:rPr>
        <w:t> </w:t>
      </w:r>
      <w:r>
        <w:rPr>
          <w:w w:val="115"/>
        </w:rPr>
        <w:t>por</w:t>
      </w:r>
      <w:r>
        <w:rPr>
          <w:spacing w:val="-11"/>
          <w:w w:val="115"/>
        </w:rPr>
        <w:t> </w:t>
      </w:r>
      <w:r>
        <w:rPr>
          <w:w w:val="115"/>
        </w:rPr>
        <w:t>detrás</w:t>
      </w:r>
      <w:r>
        <w:rPr>
          <w:spacing w:val="-11"/>
          <w:w w:val="115"/>
        </w:rPr>
        <w:t> </w:t>
      </w:r>
      <w:r>
        <w:rPr>
          <w:w w:val="115"/>
        </w:rPr>
        <w:t>de la unión Europea (567.2 mil millones de dólares) y Estados unidos (446.6</w:t>
      </w:r>
      <w:r>
        <w:rPr>
          <w:spacing w:val="-27"/>
          <w:w w:val="115"/>
        </w:rPr>
        <w:t> </w:t>
      </w:r>
      <w:r>
        <w:rPr>
          <w:w w:val="115"/>
        </w:rPr>
        <w:t>mil</w:t>
      </w:r>
      <w:r>
        <w:rPr>
          <w:spacing w:val="-27"/>
          <w:w w:val="115"/>
        </w:rPr>
        <w:t> </w:t>
      </w:r>
      <w:r>
        <w:rPr>
          <w:w w:val="115"/>
        </w:rPr>
        <w:t>millones</w:t>
      </w:r>
      <w:r>
        <w:rPr>
          <w:spacing w:val="-27"/>
          <w:w w:val="115"/>
        </w:rPr>
        <w:t> </w:t>
      </w:r>
      <w:r>
        <w:rPr>
          <w:w w:val="115"/>
        </w:rPr>
        <w:t>de</w:t>
      </w:r>
      <w:r>
        <w:rPr>
          <w:spacing w:val="-27"/>
          <w:w w:val="115"/>
        </w:rPr>
        <w:t> </w:t>
      </w:r>
      <w:r>
        <w:rPr>
          <w:w w:val="115"/>
        </w:rPr>
        <w:t>dólares)</w:t>
      </w:r>
      <w:r>
        <w:rPr>
          <w:spacing w:val="-27"/>
          <w:w w:val="115"/>
        </w:rPr>
        <w:t> </w:t>
      </w:r>
      <w:r>
        <w:rPr>
          <w:w w:val="115"/>
        </w:rPr>
        <w:t>(China</w:t>
      </w:r>
      <w:r>
        <w:rPr>
          <w:spacing w:val="-27"/>
          <w:w w:val="115"/>
        </w:rPr>
        <w:t> </w:t>
      </w:r>
      <w:r>
        <w:rPr>
          <w:w w:val="115"/>
        </w:rPr>
        <w:t>briefing,</w:t>
      </w:r>
      <w:r>
        <w:rPr>
          <w:spacing w:val="-27"/>
          <w:w w:val="115"/>
        </w:rPr>
        <w:t> </w:t>
      </w:r>
      <w:r>
        <w:rPr>
          <w:w w:val="115"/>
        </w:rPr>
        <w:t>2013).</w:t>
      </w:r>
    </w:p>
    <w:p>
      <w:pPr>
        <w:pStyle w:val="BodyText"/>
        <w:spacing w:line="252" w:lineRule="auto"/>
        <w:ind w:left="330" w:right="114" w:firstLine="396"/>
        <w:jc w:val="both"/>
      </w:pPr>
      <w:r>
        <w:rPr>
          <w:spacing w:val="2"/>
          <w:w w:val="248"/>
        </w:rPr>
        <w:t>l</w:t>
      </w:r>
      <w:r>
        <w:rPr>
          <w:spacing w:val="2"/>
          <w:w w:val="111"/>
        </w:rPr>
        <w:t>a</w:t>
      </w:r>
      <w:r>
        <w:rPr>
          <w:w w:val="111"/>
        </w:rPr>
        <w:t>s</w:t>
      </w:r>
      <w:r>
        <w:rPr/>
        <w:t> </w:t>
      </w:r>
      <w:r>
        <w:rPr>
          <w:spacing w:val="-11"/>
        </w:rPr>
        <w:t> </w:t>
      </w:r>
      <w:r>
        <w:rPr>
          <w:spacing w:val="2"/>
          <w:w w:val="111"/>
        </w:rPr>
        <w:t>autoridade</w:t>
      </w:r>
      <w:r>
        <w:rPr>
          <w:w w:val="111"/>
        </w:rPr>
        <w:t>s</w:t>
      </w:r>
      <w:r>
        <w:rPr/>
        <w:t> </w:t>
      </w:r>
      <w:r>
        <w:rPr>
          <w:spacing w:val="-11"/>
        </w:rPr>
        <w:t> </w:t>
      </w:r>
      <w:r>
        <w:rPr>
          <w:spacing w:val="2"/>
          <w:w w:val="114"/>
        </w:rPr>
        <w:t>china</w:t>
      </w:r>
      <w:r>
        <w:rPr>
          <w:w w:val="114"/>
        </w:rPr>
        <w:t>s</w:t>
      </w:r>
      <w:r>
        <w:rPr/>
        <w:t> </w:t>
      </w:r>
      <w:r>
        <w:rPr>
          <w:spacing w:val="-11"/>
        </w:rPr>
        <w:t> </w:t>
      </w:r>
      <w:r>
        <w:rPr>
          <w:spacing w:val="2"/>
          <w:w w:val="111"/>
        </w:rPr>
        <w:t>crearo</w:t>
      </w:r>
      <w:r>
        <w:rPr>
          <w:w w:val="111"/>
        </w:rPr>
        <w:t>n</w:t>
      </w:r>
      <w:r>
        <w:rPr/>
        <w:t> </w:t>
      </w:r>
      <w:r>
        <w:rPr>
          <w:spacing w:val="-11"/>
        </w:rPr>
        <w:t> </w:t>
      </w:r>
      <w:r>
        <w:rPr>
          <w:spacing w:val="2"/>
          <w:w w:val="114"/>
        </w:rPr>
        <w:t>un</w:t>
      </w:r>
      <w:r>
        <w:rPr>
          <w:w w:val="114"/>
        </w:rPr>
        <w:t>a</w:t>
      </w:r>
      <w:r>
        <w:rPr/>
        <w:t> </w:t>
      </w:r>
      <w:r>
        <w:rPr>
          <w:spacing w:val="-11"/>
        </w:rPr>
        <w:t> </w:t>
      </w:r>
      <w:r>
        <w:rPr>
          <w:spacing w:val="2"/>
          <w:w w:val="112"/>
        </w:rPr>
        <w:t>o</w:t>
      </w:r>
      <w:r>
        <w:rPr>
          <w:spacing w:val="1"/>
          <w:w w:val="106"/>
        </w:rPr>
        <w:t>fi</w:t>
      </w:r>
      <w:r>
        <w:rPr>
          <w:spacing w:val="2"/>
          <w:w w:val="115"/>
        </w:rPr>
        <w:t>cin</w:t>
      </w:r>
      <w:r>
        <w:rPr>
          <w:w w:val="115"/>
        </w:rPr>
        <w:t>a</w:t>
      </w:r>
      <w:r>
        <w:rPr/>
        <w:t> </w:t>
      </w:r>
      <w:r>
        <w:rPr>
          <w:spacing w:val="-11"/>
        </w:rPr>
        <w:t> </w:t>
      </w:r>
      <w:r>
        <w:rPr>
          <w:spacing w:val="2"/>
          <w:w w:val="109"/>
        </w:rPr>
        <w:t>d</w:t>
      </w:r>
      <w:r>
        <w:rPr>
          <w:w w:val="109"/>
        </w:rPr>
        <w:t>e</w:t>
      </w:r>
      <w:r>
        <w:rPr/>
        <w:t> </w:t>
      </w:r>
      <w:r>
        <w:rPr>
          <w:spacing w:val="-11"/>
        </w:rPr>
        <w:t> </w:t>
      </w:r>
      <w:r>
        <w:rPr>
          <w:spacing w:val="2"/>
          <w:w w:val="113"/>
        </w:rPr>
        <w:t>comerci</w:t>
      </w:r>
      <w:r>
        <w:rPr>
          <w:w w:val="113"/>
        </w:rPr>
        <w:t>o</w:t>
      </w:r>
      <w:r>
        <w:rPr/>
        <w:t> </w:t>
      </w:r>
      <w:r>
        <w:rPr>
          <w:spacing w:val="-11"/>
        </w:rPr>
        <w:t> </w:t>
      </w:r>
      <w:r>
        <w:rPr>
          <w:spacing w:val="2"/>
          <w:w w:val="120"/>
        </w:rPr>
        <w:t>Chi</w:t>
      </w:r>
      <w:r>
        <w:rPr>
          <w:w w:val="104"/>
        </w:rPr>
        <w:t>- </w:t>
      </w:r>
      <w:r>
        <w:rPr>
          <w:w w:val="120"/>
        </w:rPr>
        <w:t>na-asEaN para elevar el perfil de la asociación en este país. En 2013 China firmó un acuerdo otorgando arancel cero a más de 7 mil productos en el comercio con estos países. Este acuerdo for- maba</w:t>
      </w:r>
      <w:r>
        <w:rPr>
          <w:spacing w:val="-12"/>
          <w:w w:val="120"/>
        </w:rPr>
        <w:t> </w:t>
      </w:r>
      <w:r>
        <w:rPr>
          <w:w w:val="120"/>
        </w:rPr>
        <w:t>parte</w:t>
      </w:r>
      <w:r>
        <w:rPr>
          <w:spacing w:val="-12"/>
          <w:w w:val="120"/>
        </w:rPr>
        <w:t> </w:t>
      </w:r>
      <w:r>
        <w:rPr>
          <w:w w:val="120"/>
        </w:rPr>
        <w:t>del</w:t>
      </w:r>
      <w:r>
        <w:rPr>
          <w:spacing w:val="-12"/>
          <w:w w:val="120"/>
        </w:rPr>
        <w:t> </w:t>
      </w:r>
      <w:r>
        <w:rPr>
          <w:w w:val="120"/>
        </w:rPr>
        <w:t>proyecto</w:t>
      </w:r>
      <w:r>
        <w:rPr>
          <w:spacing w:val="-12"/>
          <w:w w:val="120"/>
        </w:rPr>
        <w:t> </w:t>
      </w:r>
      <w:r>
        <w:rPr>
          <w:w w:val="120"/>
        </w:rPr>
        <w:t>de</w:t>
      </w:r>
      <w:r>
        <w:rPr>
          <w:spacing w:val="-12"/>
          <w:w w:val="120"/>
        </w:rPr>
        <w:t> </w:t>
      </w:r>
      <w:r>
        <w:rPr>
          <w:w w:val="120"/>
        </w:rPr>
        <w:t>preparación</w:t>
      </w:r>
      <w:r>
        <w:rPr>
          <w:spacing w:val="-12"/>
          <w:w w:val="120"/>
        </w:rPr>
        <w:t> </w:t>
      </w:r>
      <w:r>
        <w:rPr>
          <w:w w:val="120"/>
        </w:rPr>
        <w:t>para</w:t>
      </w:r>
      <w:r>
        <w:rPr>
          <w:spacing w:val="-12"/>
          <w:w w:val="120"/>
        </w:rPr>
        <w:t> </w:t>
      </w:r>
      <w:r>
        <w:rPr>
          <w:w w:val="120"/>
        </w:rPr>
        <w:t>lograr</w:t>
      </w:r>
      <w:r>
        <w:rPr>
          <w:spacing w:val="-12"/>
          <w:w w:val="120"/>
        </w:rPr>
        <w:t> </w:t>
      </w:r>
      <w:r>
        <w:rPr>
          <w:w w:val="120"/>
        </w:rPr>
        <w:t>establecer</w:t>
      </w:r>
      <w:r>
        <w:rPr>
          <w:spacing w:val="-12"/>
          <w:w w:val="120"/>
        </w:rPr>
        <w:t> </w:t>
      </w:r>
      <w:r>
        <w:rPr>
          <w:w w:val="120"/>
        </w:rPr>
        <w:t>el </w:t>
      </w:r>
      <w:r>
        <w:rPr>
          <w:spacing w:val="2"/>
          <w:w w:val="110"/>
        </w:rPr>
        <w:t>Áre</w:t>
      </w:r>
      <w:r>
        <w:rPr>
          <w:w w:val="110"/>
        </w:rPr>
        <w:t>a</w:t>
      </w:r>
      <w:r>
        <w:rPr/>
        <w:t> </w:t>
      </w:r>
      <w:r>
        <w:rPr>
          <w:spacing w:val="-8"/>
        </w:rPr>
        <w:t> </w:t>
      </w:r>
      <w:r>
        <w:rPr>
          <w:spacing w:val="2"/>
          <w:w w:val="147"/>
        </w:rPr>
        <w:t>as</w:t>
      </w:r>
      <w:r>
        <w:rPr>
          <w:spacing w:val="2"/>
          <w:w w:val="130"/>
        </w:rPr>
        <w:t>E</w:t>
      </w:r>
      <w:r>
        <w:rPr>
          <w:spacing w:val="2"/>
          <w:w w:val="142"/>
        </w:rPr>
        <w:t>a</w:t>
      </w:r>
      <w:r>
        <w:rPr>
          <w:spacing w:val="2"/>
          <w:w w:val="121"/>
        </w:rPr>
        <w:t>N</w:t>
      </w:r>
      <w:r>
        <w:rPr>
          <w:spacing w:val="2"/>
          <w:w w:val="116"/>
        </w:rPr>
        <w:t>-Chin</w:t>
      </w:r>
      <w:r>
        <w:rPr>
          <w:w w:val="116"/>
        </w:rPr>
        <w:t>a</w:t>
      </w:r>
      <w:r>
        <w:rPr/>
        <w:t> </w:t>
      </w:r>
      <w:r>
        <w:rPr>
          <w:spacing w:val="-8"/>
        </w:rPr>
        <w:t> </w:t>
      </w:r>
      <w:r>
        <w:rPr>
          <w:spacing w:val="2"/>
          <w:w w:val="109"/>
        </w:rPr>
        <w:t>d</w:t>
      </w:r>
      <w:r>
        <w:rPr>
          <w:w w:val="109"/>
        </w:rPr>
        <w:t>e</w:t>
      </w:r>
      <w:r>
        <w:rPr/>
        <w:t> </w:t>
      </w:r>
      <w:r>
        <w:rPr>
          <w:spacing w:val="-8"/>
        </w:rPr>
        <w:t> </w:t>
      </w:r>
      <w:r>
        <w:rPr>
          <w:spacing w:val="2"/>
          <w:w w:val="248"/>
        </w:rPr>
        <w:t>l</w:t>
      </w:r>
      <w:r>
        <w:rPr>
          <w:spacing w:val="2"/>
          <w:w w:val="110"/>
        </w:rPr>
        <w:t>ibr</w:t>
      </w:r>
      <w:r>
        <w:rPr>
          <w:w w:val="110"/>
        </w:rPr>
        <w:t>e</w:t>
      </w:r>
      <w:r>
        <w:rPr/>
        <w:t> </w:t>
      </w:r>
      <w:r>
        <w:rPr>
          <w:spacing w:val="-8"/>
        </w:rPr>
        <w:t> </w:t>
      </w:r>
      <w:r>
        <w:rPr>
          <w:spacing w:val="2"/>
          <w:w w:val="114"/>
        </w:rPr>
        <w:t>Comerci</w:t>
      </w:r>
      <w:r>
        <w:rPr>
          <w:w w:val="114"/>
        </w:rPr>
        <w:t>o</w:t>
      </w:r>
      <w:r>
        <w:rPr/>
        <w:t> </w:t>
      </w:r>
      <w:r>
        <w:rPr>
          <w:spacing w:val="-8"/>
        </w:rPr>
        <w:t> </w:t>
      </w:r>
      <w:r>
        <w:rPr>
          <w:spacing w:val="2"/>
          <w:w w:val="100"/>
        </w:rPr>
        <w:t>(</w:t>
      </w:r>
      <w:r>
        <w:rPr>
          <w:spacing w:val="2"/>
          <w:w w:val="142"/>
        </w:rPr>
        <w:t>a</w:t>
      </w:r>
      <w:r>
        <w:rPr>
          <w:spacing w:val="2"/>
          <w:w w:val="124"/>
        </w:rPr>
        <w:t>CF</w:t>
      </w:r>
      <w:r>
        <w:rPr>
          <w:spacing w:val="-12"/>
          <w:w w:val="199"/>
        </w:rPr>
        <w:t>t</w:t>
      </w:r>
      <w:r>
        <w:rPr>
          <w:spacing w:val="2"/>
          <w:w w:val="142"/>
        </w:rPr>
        <w:t>a</w:t>
      </w:r>
      <w:r>
        <w:rPr>
          <w:w w:val="141"/>
        </w:rPr>
        <w:t>,</w:t>
      </w:r>
      <w:r>
        <w:rPr/>
        <w:t> </w:t>
      </w:r>
      <w:r>
        <w:rPr>
          <w:spacing w:val="-8"/>
        </w:rPr>
        <w:t> </w:t>
      </w:r>
      <w:r>
        <w:rPr>
          <w:spacing w:val="2"/>
          <w:w w:val="110"/>
        </w:rPr>
        <w:t>po</w:t>
      </w:r>
      <w:r>
        <w:rPr>
          <w:w w:val="110"/>
        </w:rPr>
        <w:t>r</w:t>
      </w:r>
      <w:r>
        <w:rPr/>
        <w:t> </w:t>
      </w:r>
      <w:r>
        <w:rPr>
          <w:spacing w:val="-8"/>
        </w:rPr>
        <w:t> </w:t>
      </w:r>
      <w:r>
        <w:rPr>
          <w:spacing w:val="2"/>
          <w:w w:val="110"/>
        </w:rPr>
        <w:t>su</w:t>
      </w:r>
      <w:r>
        <w:rPr>
          <w:w w:val="110"/>
        </w:rPr>
        <w:t>s</w:t>
      </w:r>
      <w:r>
        <w:rPr/>
        <w:t> </w:t>
      </w:r>
      <w:r>
        <w:rPr>
          <w:spacing w:val="-8"/>
        </w:rPr>
        <w:t> </w:t>
      </w:r>
      <w:r>
        <w:rPr>
          <w:spacing w:val="2"/>
          <w:w w:val="112"/>
        </w:rPr>
        <w:t>sigla</w:t>
      </w:r>
      <w:r>
        <w:rPr>
          <w:w w:val="112"/>
        </w:rPr>
        <w:t>s</w:t>
      </w:r>
      <w:r>
        <w:rPr/>
        <w:t> </w:t>
      </w:r>
      <w:r>
        <w:rPr>
          <w:spacing w:val="-8"/>
        </w:rPr>
        <w:t> </w:t>
      </w:r>
      <w:r>
        <w:rPr>
          <w:spacing w:val="2"/>
          <w:w w:val="110"/>
        </w:rPr>
        <w:t>en </w:t>
      </w:r>
      <w:r>
        <w:rPr>
          <w:w w:val="120"/>
        </w:rPr>
        <w:t>inglés),</w:t>
      </w:r>
      <w:r>
        <w:rPr>
          <w:spacing w:val="-6"/>
          <w:w w:val="120"/>
        </w:rPr>
        <w:t> </w:t>
      </w:r>
      <w:r>
        <w:rPr>
          <w:w w:val="120"/>
        </w:rPr>
        <w:t>que</w:t>
      </w:r>
      <w:r>
        <w:rPr>
          <w:spacing w:val="-6"/>
          <w:w w:val="120"/>
        </w:rPr>
        <w:t> </w:t>
      </w:r>
      <w:r>
        <w:rPr>
          <w:w w:val="120"/>
        </w:rPr>
        <w:t>se</w:t>
      </w:r>
      <w:r>
        <w:rPr>
          <w:spacing w:val="-6"/>
          <w:w w:val="120"/>
        </w:rPr>
        <w:t> </w:t>
      </w:r>
      <w:r>
        <w:rPr>
          <w:w w:val="120"/>
        </w:rPr>
        <w:t>convierte</w:t>
      </w:r>
      <w:r>
        <w:rPr>
          <w:spacing w:val="-6"/>
          <w:w w:val="120"/>
        </w:rPr>
        <w:t> </w:t>
      </w:r>
      <w:r>
        <w:rPr>
          <w:w w:val="120"/>
        </w:rPr>
        <w:t>en</w:t>
      </w:r>
      <w:r>
        <w:rPr>
          <w:spacing w:val="-6"/>
          <w:w w:val="120"/>
        </w:rPr>
        <w:t> </w:t>
      </w:r>
      <w:r>
        <w:rPr>
          <w:w w:val="120"/>
        </w:rPr>
        <w:t>la</w:t>
      </w:r>
      <w:r>
        <w:rPr>
          <w:spacing w:val="-6"/>
          <w:w w:val="120"/>
        </w:rPr>
        <w:t> </w:t>
      </w:r>
      <w:r>
        <w:rPr>
          <w:w w:val="120"/>
        </w:rPr>
        <w:t>mayor</w:t>
      </w:r>
      <w:r>
        <w:rPr>
          <w:spacing w:val="-6"/>
          <w:w w:val="120"/>
        </w:rPr>
        <w:t> </w:t>
      </w:r>
      <w:r>
        <w:rPr>
          <w:w w:val="120"/>
        </w:rPr>
        <w:t>zona</w:t>
      </w:r>
      <w:r>
        <w:rPr>
          <w:spacing w:val="-6"/>
          <w:w w:val="120"/>
        </w:rPr>
        <w:t> </w:t>
      </w:r>
      <w:r>
        <w:rPr>
          <w:w w:val="120"/>
        </w:rPr>
        <w:t>de</w:t>
      </w:r>
      <w:r>
        <w:rPr>
          <w:spacing w:val="-6"/>
          <w:w w:val="120"/>
        </w:rPr>
        <w:t> </w:t>
      </w:r>
      <w:r>
        <w:rPr>
          <w:w w:val="120"/>
        </w:rPr>
        <w:t>libre</w:t>
      </w:r>
      <w:r>
        <w:rPr>
          <w:spacing w:val="-6"/>
          <w:w w:val="120"/>
        </w:rPr>
        <w:t> </w:t>
      </w:r>
      <w:r>
        <w:rPr>
          <w:w w:val="120"/>
        </w:rPr>
        <w:t>comercio</w:t>
      </w:r>
      <w:r>
        <w:rPr>
          <w:spacing w:val="-6"/>
          <w:w w:val="120"/>
        </w:rPr>
        <w:t> </w:t>
      </w:r>
      <w:r>
        <w:rPr>
          <w:w w:val="120"/>
        </w:rPr>
        <w:t>a</w:t>
      </w:r>
      <w:r>
        <w:rPr>
          <w:spacing w:val="-6"/>
          <w:w w:val="120"/>
        </w:rPr>
        <w:t> </w:t>
      </w:r>
      <w:r>
        <w:rPr>
          <w:w w:val="120"/>
        </w:rPr>
        <w:t>ni- vel</w:t>
      </w:r>
      <w:r>
        <w:rPr>
          <w:spacing w:val="-10"/>
          <w:w w:val="120"/>
        </w:rPr>
        <w:t> </w:t>
      </w:r>
      <w:r>
        <w:rPr>
          <w:w w:val="120"/>
        </w:rPr>
        <w:t>mundial</w:t>
      </w:r>
      <w:r>
        <w:rPr>
          <w:spacing w:val="-10"/>
          <w:w w:val="120"/>
        </w:rPr>
        <w:t> </w:t>
      </w:r>
      <w:r>
        <w:rPr>
          <w:w w:val="120"/>
        </w:rPr>
        <w:t>en</w:t>
      </w:r>
      <w:r>
        <w:rPr>
          <w:spacing w:val="-10"/>
          <w:w w:val="120"/>
        </w:rPr>
        <w:t> </w:t>
      </w:r>
      <w:r>
        <w:rPr>
          <w:w w:val="120"/>
        </w:rPr>
        <w:t>términos</w:t>
      </w:r>
      <w:r>
        <w:rPr>
          <w:spacing w:val="-10"/>
          <w:w w:val="120"/>
        </w:rPr>
        <w:t> </w:t>
      </w:r>
      <w:r>
        <w:rPr>
          <w:w w:val="120"/>
        </w:rPr>
        <w:t>de</w:t>
      </w:r>
      <w:r>
        <w:rPr>
          <w:spacing w:val="-10"/>
          <w:w w:val="120"/>
        </w:rPr>
        <w:t> </w:t>
      </w:r>
      <w:r>
        <w:rPr>
          <w:w w:val="120"/>
        </w:rPr>
        <w:t>población</w:t>
      </w:r>
      <w:r>
        <w:rPr>
          <w:spacing w:val="-10"/>
          <w:w w:val="120"/>
        </w:rPr>
        <w:t> </w:t>
      </w:r>
      <w:r>
        <w:rPr>
          <w:w w:val="120"/>
        </w:rPr>
        <w:t>y</w:t>
      </w:r>
      <w:r>
        <w:rPr>
          <w:spacing w:val="-10"/>
          <w:w w:val="120"/>
        </w:rPr>
        <w:t> </w:t>
      </w:r>
      <w:r>
        <w:rPr>
          <w:w w:val="120"/>
        </w:rPr>
        <w:t>el</w:t>
      </w:r>
      <w:r>
        <w:rPr>
          <w:spacing w:val="-10"/>
          <w:w w:val="120"/>
        </w:rPr>
        <w:t> </w:t>
      </w:r>
      <w:r>
        <w:rPr>
          <w:w w:val="120"/>
        </w:rPr>
        <w:t>tercero</w:t>
      </w:r>
      <w:r>
        <w:rPr>
          <w:spacing w:val="-10"/>
          <w:w w:val="120"/>
        </w:rPr>
        <w:t> </w:t>
      </w:r>
      <w:r>
        <w:rPr>
          <w:w w:val="120"/>
        </w:rPr>
        <w:t>en</w:t>
      </w:r>
      <w:r>
        <w:rPr>
          <w:spacing w:val="-10"/>
          <w:w w:val="120"/>
        </w:rPr>
        <w:t> </w:t>
      </w:r>
      <w:r>
        <w:rPr>
          <w:w w:val="120"/>
        </w:rPr>
        <w:t>términos</w:t>
      </w:r>
      <w:r>
        <w:rPr>
          <w:spacing w:val="-10"/>
          <w:w w:val="120"/>
        </w:rPr>
        <w:t> </w:t>
      </w:r>
      <w:r>
        <w:rPr>
          <w:w w:val="120"/>
        </w:rPr>
        <w:t>de Pib nominal. El acuerdo de libre comercio reduce los aranceles en</w:t>
      </w:r>
      <w:r>
        <w:rPr>
          <w:spacing w:val="-15"/>
          <w:w w:val="120"/>
        </w:rPr>
        <w:t> </w:t>
      </w:r>
      <w:r>
        <w:rPr>
          <w:w w:val="120"/>
        </w:rPr>
        <w:t>7.881</w:t>
      </w:r>
      <w:r>
        <w:rPr>
          <w:spacing w:val="-15"/>
          <w:w w:val="120"/>
        </w:rPr>
        <w:t> </w:t>
      </w:r>
      <w:r>
        <w:rPr>
          <w:w w:val="120"/>
        </w:rPr>
        <w:t>categorías</w:t>
      </w:r>
      <w:r>
        <w:rPr>
          <w:spacing w:val="-15"/>
          <w:w w:val="120"/>
        </w:rPr>
        <w:t> </w:t>
      </w:r>
      <w:r>
        <w:rPr>
          <w:w w:val="120"/>
        </w:rPr>
        <w:t>de</w:t>
      </w:r>
      <w:r>
        <w:rPr>
          <w:spacing w:val="-15"/>
          <w:w w:val="120"/>
        </w:rPr>
        <w:t> </w:t>
      </w:r>
      <w:r>
        <w:rPr>
          <w:w w:val="120"/>
        </w:rPr>
        <w:t>productos,</w:t>
      </w:r>
      <w:r>
        <w:rPr>
          <w:spacing w:val="-15"/>
          <w:w w:val="120"/>
        </w:rPr>
        <w:t> </w:t>
      </w:r>
      <w:r>
        <w:rPr>
          <w:w w:val="120"/>
        </w:rPr>
        <w:t>o</w:t>
      </w:r>
      <w:r>
        <w:rPr>
          <w:spacing w:val="-15"/>
          <w:w w:val="120"/>
        </w:rPr>
        <w:t> </w:t>
      </w:r>
      <w:r>
        <w:rPr>
          <w:w w:val="120"/>
        </w:rPr>
        <w:t>en</w:t>
      </w:r>
      <w:r>
        <w:rPr>
          <w:spacing w:val="-15"/>
          <w:w w:val="120"/>
        </w:rPr>
        <w:t> </w:t>
      </w:r>
      <w:r>
        <w:rPr>
          <w:w w:val="120"/>
        </w:rPr>
        <w:t>90%</w:t>
      </w:r>
      <w:r>
        <w:rPr>
          <w:spacing w:val="-15"/>
          <w:w w:val="120"/>
        </w:rPr>
        <w:t> </w:t>
      </w:r>
      <w:r>
        <w:rPr>
          <w:w w:val="120"/>
        </w:rPr>
        <w:t>de</w:t>
      </w:r>
      <w:r>
        <w:rPr>
          <w:spacing w:val="-15"/>
          <w:w w:val="120"/>
        </w:rPr>
        <w:t> </w:t>
      </w:r>
      <w:r>
        <w:rPr>
          <w:w w:val="120"/>
        </w:rPr>
        <w:t>las</w:t>
      </w:r>
      <w:r>
        <w:rPr>
          <w:spacing w:val="-15"/>
          <w:w w:val="120"/>
        </w:rPr>
        <w:t> </w:t>
      </w:r>
      <w:r>
        <w:rPr>
          <w:w w:val="120"/>
        </w:rPr>
        <w:t>mercancías</w:t>
      </w:r>
      <w:r>
        <w:rPr>
          <w:spacing w:val="-15"/>
          <w:w w:val="120"/>
        </w:rPr>
        <w:t> </w:t>
      </w:r>
      <w:r>
        <w:rPr>
          <w:w w:val="120"/>
        </w:rPr>
        <w:t>im- portadas, a cero. Esta reducción ya ha entrado en vigor en China y en los seis miembros originales de la asEaN: brunei, indonesia, </w:t>
      </w:r>
      <w:r>
        <w:rPr>
          <w:spacing w:val="2"/>
          <w:w w:val="117"/>
        </w:rPr>
        <w:t>Malasia</w:t>
      </w:r>
      <w:r>
        <w:rPr>
          <w:w w:val="117"/>
        </w:rPr>
        <w:t>,</w:t>
      </w:r>
      <w:r>
        <w:rPr/>
        <w:t> </w:t>
      </w:r>
      <w:r>
        <w:rPr>
          <w:spacing w:val="-9"/>
        </w:rPr>
        <w:t> </w:t>
      </w:r>
      <w:r>
        <w:rPr>
          <w:spacing w:val="2"/>
          <w:w w:val="116"/>
        </w:rPr>
        <w:t>Filipinas</w:t>
      </w:r>
      <w:r>
        <w:rPr>
          <w:w w:val="116"/>
        </w:rPr>
        <w:t>,</w:t>
      </w:r>
      <w:r>
        <w:rPr/>
        <w:t> </w:t>
      </w:r>
      <w:r>
        <w:rPr>
          <w:spacing w:val="-9"/>
        </w:rPr>
        <w:t> </w:t>
      </w:r>
      <w:r>
        <w:rPr>
          <w:spacing w:val="2"/>
          <w:w w:val="152"/>
        </w:rPr>
        <w:t>s</w:t>
      </w:r>
      <w:r>
        <w:rPr>
          <w:spacing w:val="2"/>
          <w:w w:val="113"/>
        </w:rPr>
        <w:t>ingapu</w:t>
      </w:r>
      <w:r>
        <w:rPr>
          <w:w w:val="113"/>
        </w:rPr>
        <w:t>r</w:t>
      </w:r>
      <w:r>
        <w:rPr/>
        <w:t> </w:t>
      </w:r>
      <w:r>
        <w:rPr>
          <w:spacing w:val="-9"/>
        </w:rPr>
        <w:t> </w:t>
      </w:r>
      <w:r>
        <w:rPr>
          <w:w w:val="107"/>
        </w:rPr>
        <w:t>y</w:t>
      </w:r>
      <w:r>
        <w:rPr/>
        <w:t> </w:t>
      </w:r>
      <w:r>
        <w:rPr>
          <w:spacing w:val="-9"/>
        </w:rPr>
        <w:t> </w:t>
      </w:r>
      <w:r>
        <w:rPr>
          <w:spacing w:val="-16"/>
          <w:w w:val="199"/>
        </w:rPr>
        <w:t>t</w:t>
      </w:r>
      <w:r>
        <w:rPr>
          <w:spacing w:val="2"/>
          <w:w w:val="115"/>
        </w:rPr>
        <w:t>ailandia</w:t>
      </w:r>
      <w:r>
        <w:rPr>
          <w:w w:val="115"/>
        </w:rPr>
        <w:t>.</w:t>
      </w:r>
      <w:r>
        <w:rPr/>
        <w:t> </w:t>
      </w:r>
      <w:r>
        <w:rPr>
          <w:spacing w:val="-9"/>
        </w:rPr>
        <w:t> </w:t>
      </w:r>
      <w:r>
        <w:rPr>
          <w:spacing w:val="2"/>
          <w:w w:val="248"/>
        </w:rPr>
        <w:t>l</w:t>
      </w:r>
      <w:r>
        <w:rPr>
          <w:spacing w:val="2"/>
          <w:w w:val="110"/>
        </w:rPr>
        <w:t>o</w:t>
      </w:r>
      <w:r>
        <w:rPr>
          <w:w w:val="110"/>
        </w:rPr>
        <w:t>s</w:t>
      </w:r>
      <w:r>
        <w:rPr/>
        <w:t> </w:t>
      </w:r>
      <w:r>
        <w:rPr>
          <w:spacing w:val="-9"/>
        </w:rPr>
        <w:t> </w:t>
      </w:r>
      <w:r>
        <w:rPr>
          <w:spacing w:val="2"/>
          <w:w w:val="110"/>
        </w:rPr>
        <w:t>otro</w:t>
      </w:r>
      <w:r>
        <w:rPr>
          <w:w w:val="110"/>
        </w:rPr>
        <w:t>s</w:t>
      </w:r>
      <w:r>
        <w:rPr/>
        <w:t> </w:t>
      </w:r>
      <w:r>
        <w:rPr>
          <w:spacing w:val="-9"/>
        </w:rPr>
        <w:t> </w:t>
      </w:r>
      <w:r>
        <w:rPr>
          <w:spacing w:val="2"/>
          <w:w w:val="113"/>
        </w:rPr>
        <w:t>cuatr</w:t>
      </w:r>
      <w:r>
        <w:rPr>
          <w:w w:val="113"/>
        </w:rPr>
        <w:t>o</w:t>
      </w:r>
      <w:r>
        <w:rPr/>
        <w:t> </w:t>
      </w:r>
      <w:r>
        <w:rPr>
          <w:spacing w:val="-9"/>
        </w:rPr>
        <w:t> </w:t>
      </w:r>
      <w:r>
        <w:rPr>
          <w:spacing w:val="2"/>
          <w:w w:val="112"/>
        </w:rPr>
        <w:t>países, </w:t>
      </w:r>
      <w:r>
        <w:rPr>
          <w:spacing w:val="2"/>
          <w:w w:val="116"/>
        </w:rPr>
        <w:t>Camboya</w:t>
      </w:r>
      <w:r>
        <w:rPr>
          <w:w w:val="116"/>
        </w:rPr>
        <w:t>,</w:t>
      </w:r>
      <w:r>
        <w:rPr/>
        <w:t> </w:t>
      </w:r>
      <w:r>
        <w:rPr>
          <w:spacing w:val="8"/>
        </w:rPr>
        <w:t> </w:t>
      </w:r>
      <w:r>
        <w:rPr>
          <w:spacing w:val="2"/>
          <w:w w:val="248"/>
        </w:rPr>
        <w:t>l</w:t>
      </w:r>
      <w:r>
        <w:rPr>
          <w:spacing w:val="2"/>
          <w:w w:val="115"/>
        </w:rPr>
        <w:t>aos</w:t>
      </w:r>
      <w:r>
        <w:rPr>
          <w:w w:val="115"/>
        </w:rPr>
        <w:t>,</w:t>
      </w:r>
      <w:r>
        <w:rPr/>
        <w:t> </w:t>
      </w:r>
      <w:r>
        <w:rPr>
          <w:spacing w:val="8"/>
        </w:rPr>
        <w:t> </w:t>
      </w:r>
      <w:r>
        <w:rPr>
          <w:spacing w:val="2"/>
          <w:w w:val="114"/>
        </w:rPr>
        <w:t>Myanma</w:t>
      </w:r>
      <w:r>
        <w:rPr>
          <w:w w:val="114"/>
        </w:rPr>
        <w:t>r</w:t>
      </w:r>
      <w:r>
        <w:rPr/>
        <w:t> </w:t>
      </w:r>
      <w:r>
        <w:rPr>
          <w:spacing w:val="8"/>
        </w:rPr>
        <w:t> </w:t>
      </w:r>
      <w:r>
        <w:rPr>
          <w:w w:val="107"/>
        </w:rPr>
        <w:t>y</w:t>
      </w:r>
      <w:r>
        <w:rPr/>
        <w:t> </w:t>
      </w:r>
      <w:r>
        <w:rPr>
          <w:spacing w:val="8"/>
        </w:rPr>
        <w:t> </w:t>
      </w:r>
      <w:r>
        <w:rPr>
          <w:spacing w:val="-8"/>
          <w:w w:val="121"/>
        </w:rPr>
        <w:t>V</w:t>
      </w:r>
      <w:r>
        <w:rPr>
          <w:spacing w:val="2"/>
          <w:w w:val="114"/>
        </w:rPr>
        <w:t>ietnam</w:t>
      </w:r>
      <w:r>
        <w:rPr>
          <w:w w:val="114"/>
        </w:rPr>
        <w:t>,</w:t>
      </w:r>
      <w:r>
        <w:rPr/>
        <w:t> </w:t>
      </w:r>
      <w:r>
        <w:rPr>
          <w:spacing w:val="8"/>
        </w:rPr>
        <w:t> </w:t>
      </w:r>
      <w:r>
        <w:rPr>
          <w:spacing w:val="2"/>
          <w:w w:val="113"/>
        </w:rPr>
        <w:t>haría</w:t>
      </w:r>
      <w:r>
        <w:rPr>
          <w:w w:val="113"/>
        </w:rPr>
        <w:t>n</w:t>
      </w:r>
      <w:r>
        <w:rPr/>
        <w:t> </w:t>
      </w:r>
      <w:r>
        <w:rPr>
          <w:spacing w:val="8"/>
        </w:rPr>
        <w:t> </w:t>
      </w:r>
      <w:r>
        <w:rPr>
          <w:spacing w:val="2"/>
          <w:w w:val="112"/>
        </w:rPr>
        <w:t>l</w:t>
      </w:r>
      <w:r>
        <w:rPr>
          <w:w w:val="112"/>
        </w:rPr>
        <w:t>o</w:t>
      </w:r>
      <w:r>
        <w:rPr/>
        <w:t> </w:t>
      </w:r>
      <w:r>
        <w:rPr>
          <w:spacing w:val="8"/>
        </w:rPr>
        <w:t> </w:t>
      </w:r>
      <w:r>
        <w:rPr>
          <w:spacing w:val="2"/>
          <w:w w:val="114"/>
        </w:rPr>
        <w:t>mism</w:t>
      </w:r>
      <w:r>
        <w:rPr>
          <w:w w:val="114"/>
        </w:rPr>
        <w:t>o</w:t>
      </w:r>
      <w:r>
        <w:rPr/>
        <w:t> </w:t>
      </w:r>
      <w:r>
        <w:rPr>
          <w:spacing w:val="8"/>
        </w:rPr>
        <w:t> </w:t>
      </w:r>
      <w:r>
        <w:rPr>
          <w:spacing w:val="2"/>
          <w:w w:val="110"/>
        </w:rPr>
        <w:t>e</w:t>
      </w:r>
      <w:r>
        <w:rPr>
          <w:w w:val="110"/>
        </w:rPr>
        <w:t>n</w:t>
      </w:r>
      <w:r>
        <w:rPr/>
        <w:t> </w:t>
      </w:r>
      <w:r>
        <w:rPr>
          <w:spacing w:val="8"/>
        </w:rPr>
        <w:t> </w:t>
      </w:r>
      <w:r>
        <w:rPr>
          <w:spacing w:val="2"/>
          <w:w w:val="104"/>
        </w:rPr>
        <w:t>2015 </w:t>
      </w:r>
      <w:r>
        <w:rPr>
          <w:w w:val="115"/>
        </w:rPr>
        <w:t>(China briefing,</w:t>
      </w:r>
      <w:r>
        <w:rPr>
          <w:spacing w:val="17"/>
          <w:w w:val="115"/>
        </w:rPr>
        <w:t> </w:t>
      </w:r>
      <w:r>
        <w:rPr>
          <w:spacing w:val="2"/>
          <w:w w:val="115"/>
        </w:rPr>
        <w:t>2013).</w:t>
      </w:r>
    </w:p>
    <w:p>
      <w:pPr>
        <w:pStyle w:val="BodyText"/>
        <w:spacing w:line="252" w:lineRule="auto"/>
        <w:ind w:left="330" w:right="117" w:firstLine="396"/>
        <w:jc w:val="both"/>
      </w:pPr>
      <w:r>
        <w:rPr>
          <w:w w:val="243"/>
        </w:rPr>
        <w:t>l</w:t>
      </w:r>
      <w:r>
        <w:rPr>
          <w:w w:val="109"/>
        </w:rPr>
        <w:t>as</w:t>
      </w:r>
      <w:r>
        <w:rPr>
          <w:spacing w:val="14"/>
        </w:rPr>
        <w:t> </w:t>
      </w:r>
      <w:r>
        <w:rPr>
          <w:w w:val="109"/>
        </w:rPr>
        <w:t>relaciones</w:t>
      </w:r>
      <w:r>
        <w:rPr>
          <w:spacing w:val="14"/>
        </w:rPr>
        <w:t> </w:t>
      </w:r>
      <w:r>
        <w:rPr>
          <w:w w:val="110"/>
        </w:rPr>
        <w:t>comerciales</w:t>
      </w:r>
      <w:r>
        <w:rPr>
          <w:spacing w:val="14"/>
        </w:rPr>
        <w:t> </w:t>
      </w:r>
      <w:r>
        <w:rPr>
          <w:w w:val="106"/>
        </w:rPr>
        <w:t>entre</w:t>
      </w:r>
      <w:r>
        <w:rPr>
          <w:spacing w:val="14"/>
        </w:rPr>
        <w:t> </w:t>
      </w:r>
      <w:r>
        <w:rPr>
          <w:w w:val="115"/>
        </w:rPr>
        <w:t>China</w:t>
      </w:r>
      <w:r>
        <w:rPr>
          <w:spacing w:val="14"/>
        </w:rPr>
        <w:t> </w:t>
      </w:r>
      <w:r>
        <w:rPr>
          <w:w w:val="105"/>
        </w:rPr>
        <w:t>y</w:t>
      </w:r>
      <w:r>
        <w:rPr>
          <w:spacing w:val="14"/>
        </w:rPr>
        <w:t> </w:t>
      </w:r>
      <w:r>
        <w:rPr>
          <w:w w:val="111"/>
        </w:rPr>
        <w:t>la</w:t>
      </w:r>
      <w:r>
        <w:rPr>
          <w:spacing w:val="14"/>
        </w:rPr>
        <w:t> </w:t>
      </w:r>
      <w:r>
        <w:rPr>
          <w:w w:val="144"/>
        </w:rPr>
        <w:t>as</w:t>
      </w:r>
      <w:r>
        <w:rPr>
          <w:w w:val="128"/>
        </w:rPr>
        <w:t>E</w:t>
      </w:r>
      <w:r>
        <w:rPr>
          <w:w w:val="139"/>
        </w:rPr>
        <w:t>a</w:t>
      </w:r>
      <w:r>
        <w:rPr>
          <w:w w:val="119"/>
        </w:rPr>
        <w:t>N</w:t>
      </w:r>
      <w:r>
        <w:rPr>
          <w:spacing w:val="14"/>
        </w:rPr>
        <w:t> </w:t>
      </w:r>
      <w:r>
        <w:rPr>
          <w:w w:val="108"/>
        </w:rPr>
        <w:t>resultan</w:t>
      </w:r>
      <w:r>
        <w:rPr>
          <w:spacing w:val="14"/>
        </w:rPr>
        <w:t> </w:t>
      </w:r>
      <w:r>
        <w:rPr>
          <w:w w:val="113"/>
        </w:rPr>
        <w:t>mu</w:t>
      </w:r>
      <w:r>
        <w:rPr>
          <w:w w:val="102"/>
        </w:rPr>
        <w:t>- </w:t>
      </w:r>
      <w:r>
        <w:rPr>
          <w:w w:val="115"/>
        </w:rPr>
        <w:t>tuamente ventajosas. Hoy ya no puede hablarse de China como el país</w:t>
      </w:r>
      <w:r>
        <w:rPr>
          <w:spacing w:val="-14"/>
          <w:w w:val="115"/>
        </w:rPr>
        <w:t> </w:t>
      </w:r>
      <w:r>
        <w:rPr>
          <w:w w:val="115"/>
        </w:rPr>
        <w:t>exportador</w:t>
      </w:r>
      <w:r>
        <w:rPr>
          <w:spacing w:val="-14"/>
          <w:w w:val="115"/>
        </w:rPr>
        <w:t> </w:t>
      </w:r>
      <w:r>
        <w:rPr>
          <w:w w:val="115"/>
        </w:rPr>
        <w:t>por</w:t>
      </w:r>
      <w:r>
        <w:rPr>
          <w:spacing w:val="-14"/>
          <w:w w:val="115"/>
        </w:rPr>
        <w:t> </w:t>
      </w:r>
      <w:r>
        <w:rPr>
          <w:w w:val="115"/>
        </w:rPr>
        <w:t>excelencia</w:t>
      </w:r>
      <w:r>
        <w:rPr>
          <w:spacing w:val="-14"/>
          <w:w w:val="115"/>
        </w:rPr>
        <w:t> </w:t>
      </w:r>
      <w:r>
        <w:rPr>
          <w:w w:val="115"/>
        </w:rPr>
        <w:t>de</w:t>
      </w:r>
      <w:r>
        <w:rPr>
          <w:spacing w:val="-14"/>
          <w:w w:val="115"/>
        </w:rPr>
        <w:t> </w:t>
      </w:r>
      <w:r>
        <w:rPr>
          <w:w w:val="115"/>
        </w:rPr>
        <w:t>las</w:t>
      </w:r>
      <w:r>
        <w:rPr>
          <w:spacing w:val="-14"/>
          <w:w w:val="115"/>
        </w:rPr>
        <w:t> </w:t>
      </w:r>
      <w:r>
        <w:rPr>
          <w:w w:val="115"/>
        </w:rPr>
        <w:t>décadas</w:t>
      </w:r>
      <w:r>
        <w:rPr>
          <w:spacing w:val="-14"/>
          <w:w w:val="115"/>
        </w:rPr>
        <w:t> </w:t>
      </w:r>
      <w:r>
        <w:rPr>
          <w:w w:val="115"/>
        </w:rPr>
        <w:t>pasadas;</w:t>
      </w:r>
      <w:r>
        <w:rPr>
          <w:spacing w:val="-14"/>
          <w:w w:val="115"/>
        </w:rPr>
        <w:t> </w:t>
      </w:r>
      <w:r>
        <w:rPr>
          <w:w w:val="115"/>
        </w:rPr>
        <w:t>sin</w:t>
      </w:r>
      <w:r>
        <w:rPr>
          <w:spacing w:val="-14"/>
          <w:w w:val="115"/>
        </w:rPr>
        <w:t> </w:t>
      </w:r>
      <w:r>
        <w:rPr>
          <w:w w:val="115"/>
        </w:rPr>
        <w:t>embargo, representa</w:t>
      </w:r>
      <w:r>
        <w:rPr>
          <w:spacing w:val="-6"/>
          <w:w w:val="115"/>
        </w:rPr>
        <w:t> </w:t>
      </w:r>
      <w:r>
        <w:rPr>
          <w:w w:val="115"/>
        </w:rPr>
        <w:t>ahora</w:t>
      </w:r>
      <w:r>
        <w:rPr>
          <w:spacing w:val="-6"/>
          <w:w w:val="115"/>
        </w:rPr>
        <w:t> </w:t>
      </w:r>
      <w:r>
        <w:rPr>
          <w:w w:val="115"/>
        </w:rPr>
        <w:t>un</w:t>
      </w:r>
      <w:r>
        <w:rPr>
          <w:spacing w:val="-6"/>
          <w:w w:val="115"/>
        </w:rPr>
        <w:t> </w:t>
      </w:r>
      <w:r>
        <w:rPr>
          <w:w w:val="115"/>
        </w:rPr>
        <w:t>nuevo</w:t>
      </w:r>
      <w:r>
        <w:rPr>
          <w:spacing w:val="-6"/>
          <w:w w:val="115"/>
        </w:rPr>
        <w:t> </w:t>
      </w:r>
      <w:r>
        <w:rPr>
          <w:w w:val="115"/>
        </w:rPr>
        <w:t>e</w:t>
      </w:r>
      <w:r>
        <w:rPr>
          <w:spacing w:val="-6"/>
          <w:w w:val="115"/>
        </w:rPr>
        <w:t> </w:t>
      </w:r>
      <w:r>
        <w:rPr>
          <w:w w:val="115"/>
        </w:rPr>
        <w:t>importante</w:t>
      </w:r>
      <w:r>
        <w:rPr>
          <w:spacing w:val="-6"/>
          <w:w w:val="115"/>
        </w:rPr>
        <w:t> </w:t>
      </w:r>
      <w:r>
        <w:rPr>
          <w:w w:val="115"/>
        </w:rPr>
        <w:t>mercado</w:t>
      </w:r>
      <w:r>
        <w:rPr>
          <w:spacing w:val="-6"/>
          <w:w w:val="115"/>
        </w:rPr>
        <w:t> </w:t>
      </w:r>
      <w:r>
        <w:rPr>
          <w:w w:val="115"/>
        </w:rPr>
        <w:t>de</w:t>
      </w:r>
      <w:r>
        <w:rPr>
          <w:spacing w:val="-6"/>
          <w:w w:val="115"/>
        </w:rPr>
        <w:t> </w:t>
      </w:r>
      <w:r>
        <w:rPr>
          <w:w w:val="115"/>
        </w:rPr>
        <w:t>consumo</w:t>
      </w:r>
      <w:r>
        <w:rPr>
          <w:spacing w:val="-6"/>
          <w:w w:val="115"/>
        </w:rPr>
        <w:t> </w:t>
      </w:r>
      <w:r>
        <w:rPr>
          <w:w w:val="115"/>
        </w:rPr>
        <w:t>para la asEaN, mientras que ésta es cada vez más importante para los fabricantes</w:t>
      </w:r>
      <w:r>
        <w:rPr>
          <w:spacing w:val="-5"/>
          <w:w w:val="115"/>
        </w:rPr>
        <w:t> </w:t>
      </w:r>
      <w:r>
        <w:rPr>
          <w:w w:val="115"/>
        </w:rPr>
        <w:t>de</w:t>
      </w:r>
      <w:r>
        <w:rPr>
          <w:spacing w:val="-5"/>
          <w:w w:val="115"/>
        </w:rPr>
        <w:t> </w:t>
      </w:r>
      <w:r>
        <w:rPr>
          <w:w w:val="115"/>
        </w:rPr>
        <w:t>la</w:t>
      </w:r>
      <w:r>
        <w:rPr>
          <w:spacing w:val="-5"/>
          <w:w w:val="115"/>
        </w:rPr>
        <w:t> </w:t>
      </w:r>
      <w:r>
        <w:rPr>
          <w:w w:val="115"/>
        </w:rPr>
        <w:t>parte</w:t>
      </w:r>
      <w:r>
        <w:rPr>
          <w:spacing w:val="-5"/>
          <w:w w:val="115"/>
        </w:rPr>
        <w:t> </w:t>
      </w:r>
      <w:r>
        <w:rPr>
          <w:w w:val="115"/>
        </w:rPr>
        <w:t>continental</w:t>
      </w:r>
      <w:r>
        <w:rPr>
          <w:spacing w:val="-5"/>
          <w:w w:val="115"/>
        </w:rPr>
        <w:t> </w:t>
      </w:r>
      <w:r>
        <w:rPr>
          <w:w w:val="115"/>
        </w:rPr>
        <w:t>de</w:t>
      </w:r>
      <w:r>
        <w:rPr>
          <w:spacing w:val="-5"/>
          <w:w w:val="115"/>
        </w:rPr>
        <w:t> </w:t>
      </w:r>
      <w:r>
        <w:rPr>
          <w:w w:val="115"/>
        </w:rPr>
        <w:t>China.</w:t>
      </w:r>
      <w:r>
        <w:rPr>
          <w:spacing w:val="-5"/>
          <w:w w:val="115"/>
        </w:rPr>
        <w:t> </w:t>
      </w:r>
      <w:r>
        <w:rPr>
          <w:w w:val="115"/>
        </w:rPr>
        <w:t>Estos</w:t>
      </w:r>
      <w:r>
        <w:rPr>
          <w:spacing w:val="-5"/>
          <w:w w:val="115"/>
        </w:rPr>
        <w:t> </w:t>
      </w:r>
      <w:r>
        <w:rPr>
          <w:w w:val="115"/>
        </w:rPr>
        <w:t>vínculos</w:t>
      </w:r>
      <w:r>
        <w:rPr>
          <w:spacing w:val="-5"/>
          <w:w w:val="115"/>
        </w:rPr>
        <w:t> </w:t>
      </w:r>
      <w:r>
        <w:rPr>
          <w:w w:val="115"/>
        </w:rPr>
        <w:t>generan numerosas oportunidades para países de la asEaN como indonesia, Filipinas,</w:t>
      </w:r>
      <w:r>
        <w:rPr>
          <w:spacing w:val="-4"/>
          <w:w w:val="115"/>
        </w:rPr>
        <w:t> </w:t>
      </w:r>
      <w:r>
        <w:rPr>
          <w:w w:val="115"/>
        </w:rPr>
        <w:t>Vietnam</w:t>
      </w:r>
      <w:r>
        <w:rPr>
          <w:spacing w:val="-4"/>
          <w:w w:val="115"/>
        </w:rPr>
        <w:t> </w:t>
      </w:r>
      <w:r>
        <w:rPr>
          <w:w w:val="115"/>
        </w:rPr>
        <w:t>y</w:t>
      </w:r>
      <w:r>
        <w:rPr>
          <w:spacing w:val="-4"/>
          <w:w w:val="115"/>
        </w:rPr>
        <w:t> </w:t>
      </w:r>
      <w:r>
        <w:rPr>
          <w:w w:val="115"/>
        </w:rPr>
        <w:t>Camboya,</w:t>
      </w:r>
      <w:r>
        <w:rPr>
          <w:spacing w:val="-4"/>
          <w:w w:val="115"/>
        </w:rPr>
        <w:t> </w:t>
      </w:r>
      <w:r>
        <w:rPr>
          <w:w w:val="115"/>
        </w:rPr>
        <w:t>donde</w:t>
      </w:r>
      <w:r>
        <w:rPr>
          <w:spacing w:val="-4"/>
          <w:w w:val="115"/>
        </w:rPr>
        <w:t> </w:t>
      </w:r>
      <w:r>
        <w:rPr>
          <w:w w:val="115"/>
        </w:rPr>
        <w:t>abunda</w:t>
      </w:r>
      <w:r>
        <w:rPr>
          <w:spacing w:val="-4"/>
          <w:w w:val="115"/>
        </w:rPr>
        <w:t> </w:t>
      </w:r>
      <w:r>
        <w:rPr>
          <w:w w:val="115"/>
        </w:rPr>
        <w:t>la</w:t>
      </w:r>
      <w:r>
        <w:rPr>
          <w:spacing w:val="-4"/>
          <w:w w:val="115"/>
        </w:rPr>
        <w:t> </w:t>
      </w:r>
      <w:r>
        <w:rPr>
          <w:w w:val="115"/>
        </w:rPr>
        <w:t>mano</w:t>
      </w:r>
      <w:r>
        <w:rPr>
          <w:spacing w:val="-4"/>
          <w:w w:val="115"/>
        </w:rPr>
        <w:t> </w:t>
      </w:r>
      <w:r>
        <w:rPr>
          <w:w w:val="115"/>
        </w:rPr>
        <w:t>de</w:t>
      </w:r>
      <w:r>
        <w:rPr>
          <w:spacing w:val="-4"/>
          <w:w w:val="115"/>
        </w:rPr>
        <w:t> </w:t>
      </w:r>
      <w:r>
        <w:rPr>
          <w:w w:val="115"/>
        </w:rPr>
        <w:t>obra</w:t>
      </w:r>
      <w:r>
        <w:rPr>
          <w:spacing w:val="-4"/>
          <w:w w:val="115"/>
        </w:rPr>
        <w:t> </w:t>
      </w:r>
      <w:r>
        <w:rPr>
          <w:w w:val="115"/>
        </w:rPr>
        <w:t>y</w:t>
      </w:r>
      <w:r>
        <w:rPr>
          <w:spacing w:val="-4"/>
          <w:w w:val="115"/>
        </w:rPr>
        <w:t> </w:t>
      </w:r>
      <w:r>
        <w:rPr>
          <w:w w:val="115"/>
        </w:rPr>
        <w:t>que son</w:t>
      </w:r>
      <w:r>
        <w:rPr>
          <w:spacing w:val="-4"/>
          <w:w w:val="115"/>
        </w:rPr>
        <w:t> </w:t>
      </w:r>
      <w:r>
        <w:rPr>
          <w:w w:val="115"/>
        </w:rPr>
        <w:t>atractivos</w:t>
      </w:r>
      <w:r>
        <w:rPr>
          <w:spacing w:val="-4"/>
          <w:w w:val="115"/>
        </w:rPr>
        <w:t> </w:t>
      </w:r>
      <w:r>
        <w:rPr>
          <w:w w:val="115"/>
        </w:rPr>
        <w:t>para</w:t>
      </w:r>
      <w:r>
        <w:rPr>
          <w:spacing w:val="-4"/>
          <w:w w:val="115"/>
        </w:rPr>
        <w:t> </w:t>
      </w:r>
      <w:r>
        <w:rPr>
          <w:w w:val="115"/>
        </w:rPr>
        <w:t>las</w:t>
      </w:r>
      <w:r>
        <w:rPr>
          <w:spacing w:val="-4"/>
          <w:w w:val="115"/>
        </w:rPr>
        <w:t> </w:t>
      </w:r>
      <w:r>
        <w:rPr>
          <w:w w:val="115"/>
        </w:rPr>
        <w:t>empresas</w:t>
      </w:r>
      <w:r>
        <w:rPr>
          <w:spacing w:val="-4"/>
          <w:w w:val="115"/>
        </w:rPr>
        <w:t> </w:t>
      </w:r>
      <w:r>
        <w:rPr>
          <w:w w:val="115"/>
        </w:rPr>
        <w:t>de</w:t>
      </w:r>
      <w:r>
        <w:rPr>
          <w:spacing w:val="-4"/>
          <w:w w:val="115"/>
        </w:rPr>
        <w:t> </w:t>
      </w:r>
      <w:r>
        <w:rPr>
          <w:w w:val="115"/>
        </w:rPr>
        <w:t>la</w:t>
      </w:r>
      <w:r>
        <w:rPr>
          <w:spacing w:val="-4"/>
          <w:w w:val="115"/>
        </w:rPr>
        <w:t> </w:t>
      </w:r>
      <w:r>
        <w:rPr>
          <w:w w:val="115"/>
        </w:rPr>
        <w:t>parte</w:t>
      </w:r>
      <w:r>
        <w:rPr>
          <w:spacing w:val="-4"/>
          <w:w w:val="115"/>
        </w:rPr>
        <w:t> </w:t>
      </w:r>
      <w:r>
        <w:rPr>
          <w:w w:val="115"/>
        </w:rPr>
        <w:t>continental</w:t>
      </w:r>
      <w:r>
        <w:rPr>
          <w:spacing w:val="-4"/>
          <w:w w:val="115"/>
        </w:rPr>
        <w:t> </w:t>
      </w:r>
      <w:r>
        <w:rPr>
          <w:w w:val="115"/>
        </w:rPr>
        <w:t>por</w:t>
      </w:r>
      <w:r>
        <w:rPr>
          <w:spacing w:val="-4"/>
          <w:w w:val="115"/>
        </w:rPr>
        <w:t> </w:t>
      </w:r>
      <w:r>
        <w:rPr>
          <w:w w:val="115"/>
        </w:rPr>
        <w:t>su</w:t>
      </w:r>
      <w:r>
        <w:rPr>
          <w:spacing w:val="-4"/>
          <w:w w:val="115"/>
        </w:rPr>
        <w:t> </w:t>
      </w:r>
      <w:r>
        <w:rPr>
          <w:w w:val="115"/>
        </w:rPr>
        <w:t>bajo costo</w:t>
      </w:r>
      <w:r>
        <w:rPr>
          <w:spacing w:val="-26"/>
          <w:w w:val="115"/>
        </w:rPr>
        <w:t> </w:t>
      </w:r>
      <w:r>
        <w:rPr>
          <w:w w:val="115"/>
        </w:rPr>
        <w:t>de</w:t>
      </w:r>
      <w:r>
        <w:rPr>
          <w:spacing w:val="-26"/>
          <w:w w:val="115"/>
        </w:rPr>
        <w:t> </w:t>
      </w:r>
      <w:r>
        <w:rPr>
          <w:w w:val="115"/>
        </w:rPr>
        <w:t>producción.</w:t>
      </w:r>
    </w:p>
    <w:p>
      <w:pPr>
        <w:pStyle w:val="BodyText"/>
        <w:spacing w:line="252" w:lineRule="auto"/>
        <w:ind w:left="330" w:right="117" w:firstLine="396"/>
        <w:jc w:val="both"/>
      </w:pPr>
      <w:r>
        <w:rPr>
          <w:w w:val="243"/>
        </w:rPr>
        <w:t>l</w:t>
      </w:r>
      <w:r>
        <w:rPr>
          <w:w w:val="108"/>
        </w:rPr>
        <w:t>os</w:t>
      </w:r>
      <w:r>
        <w:rPr>
          <w:spacing w:val="20"/>
        </w:rPr>
        <w:t> </w:t>
      </w:r>
      <w:r>
        <w:rPr>
          <w:w w:val="110"/>
        </w:rPr>
        <w:t>miembros</w:t>
      </w:r>
      <w:r>
        <w:rPr>
          <w:spacing w:val="20"/>
        </w:rPr>
        <w:t> </w:t>
      </w:r>
      <w:r>
        <w:rPr>
          <w:w w:val="107"/>
        </w:rPr>
        <w:t>de</w:t>
      </w:r>
      <w:r>
        <w:rPr>
          <w:spacing w:val="20"/>
        </w:rPr>
        <w:t> </w:t>
      </w:r>
      <w:r>
        <w:rPr>
          <w:w w:val="107"/>
        </w:rPr>
        <w:t>esta</w:t>
      </w:r>
      <w:r>
        <w:rPr>
          <w:spacing w:val="20"/>
        </w:rPr>
        <w:t> </w:t>
      </w:r>
      <w:r>
        <w:rPr>
          <w:w w:val="139"/>
        </w:rPr>
        <w:t>a</w:t>
      </w:r>
      <w:r>
        <w:rPr>
          <w:w w:val="112"/>
        </w:rPr>
        <w:t>sociación</w:t>
      </w:r>
      <w:r>
        <w:rPr>
          <w:spacing w:val="20"/>
        </w:rPr>
        <w:t> </w:t>
      </w:r>
      <w:r>
        <w:rPr>
          <w:w w:val="105"/>
        </w:rPr>
        <w:t>se</w:t>
      </w:r>
      <w:r>
        <w:rPr>
          <w:spacing w:val="20"/>
        </w:rPr>
        <w:t> </w:t>
      </w:r>
      <w:r>
        <w:rPr>
          <w:w w:val="109"/>
        </w:rPr>
        <w:t>convertirán</w:t>
      </w:r>
      <w:r>
        <w:rPr>
          <w:spacing w:val="20"/>
        </w:rPr>
        <w:t> </w:t>
      </w:r>
      <w:r>
        <w:rPr>
          <w:w w:val="108"/>
        </w:rPr>
        <w:t>en</w:t>
      </w:r>
      <w:r>
        <w:rPr>
          <w:spacing w:val="20"/>
        </w:rPr>
        <w:t> </w:t>
      </w:r>
      <w:r>
        <w:rPr>
          <w:w w:val="107"/>
        </w:rPr>
        <w:t>el</w:t>
      </w:r>
      <w:r>
        <w:rPr>
          <w:spacing w:val="20"/>
        </w:rPr>
        <w:t> </w:t>
      </w:r>
      <w:r>
        <w:rPr>
          <w:w w:val="109"/>
        </w:rPr>
        <w:t>mayor</w:t>
      </w:r>
      <w:r>
        <w:rPr>
          <w:spacing w:val="20"/>
        </w:rPr>
        <w:t> </w:t>
      </w:r>
      <w:r>
        <w:rPr>
          <w:w w:val="108"/>
        </w:rPr>
        <w:t>so</w:t>
      </w:r>
      <w:r>
        <w:rPr>
          <w:w w:val="102"/>
        </w:rPr>
        <w:t>- </w:t>
      </w:r>
      <w:r>
        <w:rPr>
          <w:w w:val="110"/>
        </w:rPr>
        <w:t>cio comercial de China dentro de los próximos tres años. durante ese tiempo, el comercio entre ambos se incrementará más rápido que con cualquier otra economía. Esto gracias a las tarifas cero, las políticas  de comercio preferencial y las ventajas geográficas. se esperaba que para 2015 el valor del comercio entre ambas partes llegue a más de 500 billones de dólares (China briefing,</w:t>
      </w:r>
      <w:r>
        <w:rPr>
          <w:spacing w:val="22"/>
          <w:w w:val="110"/>
        </w:rPr>
        <w:t> </w:t>
      </w:r>
      <w:r>
        <w:rPr>
          <w:w w:val="110"/>
        </w:rPr>
        <w:t>2013).</w:t>
      </w:r>
    </w:p>
    <w:p>
      <w:pPr>
        <w:pStyle w:val="BodyText"/>
        <w:spacing w:line="252" w:lineRule="auto"/>
        <w:ind w:left="330" w:right="118" w:firstLine="396"/>
        <w:jc w:val="both"/>
      </w:pPr>
      <w:r>
        <w:rPr>
          <w:w w:val="115"/>
        </w:rPr>
        <w:t>otras fuentes destacan que para 2020, el volumen de comercio bilateral anual aumentará hasta un billón de dólares. asimismo, se espera</w:t>
      </w:r>
      <w:r>
        <w:rPr>
          <w:spacing w:val="-12"/>
          <w:w w:val="115"/>
        </w:rPr>
        <w:t> </w:t>
      </w:r>
      <w:r>
        <w:rPr>
          <w:w w:val="115"/>
        </w:rPr>
        <w:t>que</w:t>
      </w:r>
      <w:r>
        <w:rPr>
          <w:spacing w:val="-12"/>
          <w:w w:val="115"/>
        </w:rPr>
        <w:t> </w:t>
      </w:r>
      <w:r>
        <w:rPr>
          <w:w w:val="115"/>
        </w:rPr>
        <w:t>la</w:t>
      </w:r>
      <w:r>
        <w:rPr>
          <w:spacing w:val="-12"/>
          <w:w w:val="115"/>
        </w:rPr>
        <w:t> </w:t>
      </w:r>
      <w:r>
        <w:rPr>
          <w:w w:val="115"/>
        </w:rPr>
        <w:t>inversión</w:t>
      </w:r>
      <w:r>
        <w:rPr>
          <w:spacing w:val="-12"/>
          <w:w w:val="115"/>
        </w:rPr>
        <w:t> </w:t>
      </w:r>
      <w:r>
        <w:rPr>
          <w:w w:val="115"/>
        </w:rPr>
        <w:t>en</w:t>
      </w:r>
      <w:r>
        <w:rPr>
          <w:spacing w:val="-12"/>
          <w:w w:val="115"/>
        </w:rPr>
        <w:t> </w:t>
      </w:r>
      <w:r>
        <w:rPr>
          <w:w w:val="115"/>
        </w:rPr>
        <w:t>ambos</w:t>
      </w:r>
      <w:r>
        <w:rPr>
          <w:spacing w:val="-12"/>
          <w:w w:val="115"/>
        </w:rPr>
        <w:t> </w:t>
      </w:r>
      <w:r>
        <w:rPr>
          <w:w w:val="115"/>
        </w:rPr>
        <w:t>sentidos</w:t>
      </w:r>
      <w:r>
        <w:rPr>
          <w:spacing w:val="-12"/>
          <w:w w:val="115"/>
        </w:rPr>
        <w:t> </w:t>
      </w:r>
      <w:r>
        <w:rPr>
          <w:w w:val="115"/>
        </w:rPr>
        <w:t>alcance</w:t>
      </w:r>
      <w:r>
        <w:rPr>
          <w:spacing w:val="-12"/>
          <w:w w:val="115"/>
        </w:rPr>
        <w:t> </w:t>
      </w:r>
      <w:r>
        <w:rPr>
          <w:w w:val="115"/>
        </w:rPr>
        <w:t>los</w:t>
      </w:r>
      <w:r>
        <w:rPr>
          <w:spacing w:val="-12"/>
          <w:w w:val="115"/>
        </w:rPr>
        <w:t> </w:t>
      </w:r>
      <w:r>
        <w:rPr>
          <w:w w:val="115"/>
        </w:rPr>
        <w:t>150</w:t>
      </w:r>
      <w:r>
        <w:rPr>
          <w:spacing w:val="-12"/>
          <w:w w:val="115"/>
        </w:rPr>
        <w:t> </w:t>
      </w:r>
      <w:r>
        <w:rPr>
          <w:w w:val="115"/>
        </w:rPr>
        <w:t>mil</w:t>
      </w:r>
      <w:r>
        <w:rPr>
          <w:spacing w:val="-12"/>
          <w:w w:val="115"/>
        </w:rPr>
        <w:t> </w:t>
      </w:r>
      <w:r>
        <w:rPr>
          <w:w w:val="115"/>
        </w:rPr>
        <w:t>millo- nes</w:t>
      </w:r>
      <w:r>
        <w:rPr>
          <w:spacing w:val="-16"/>
          <w:w w:val="115"/>
        </w:rPr>
        <w:t> </w:t>
      </w:r>
      <w:r>
        <w:rPr>
          <w:w w:val="115"/>
        </w:rPr>
        <w:t>de</w:t>
      </w:r>
      <w:r>
        <w:rPr>
          <w:spacing w:val="-16"/>
          <w:w w:val="115"/>
        </w:rPr>
        <w:t> </w:t>
      </w:r>
      <w:r>
        <w:rPr>
          <w:w w:val="115"/>
        </w:rPr>
        <w:t>dólares</w:t>
      </w:r>
      <w:r>
        <w:rPr>
          <w:spacing w:val="-16"/>
          <w:w w:val="115"/>
        </w:rPr>
        <w:t> </w:t>
      </w:r>
      <w:r>
        <w:rPr>
          <w:w w:val="115"/>
        </w:rPr>
        <w:t>en</w:t>
      </w:r>
      <w:r>
        <w:rPr>
          <w:spacing w:val="-16"/>
          <w:w w:val="115"/>
        </w:rPr>
        <w:t> </w:t>
      </w:r>
      <w:r>
        <w:rPr>
          <w:w w:val="115"/>
        </w:rPr>
        <w:t>los</w:t>
      </w:r>
      <w:r>
        <w:rPr>
          <w:spacing w:val="-16"/>
          <w:w w:val="115"/>
        </w:rPr>
        <w:t> </w:t>
      </w:r>
      <w:r>
        <w:rPr>
          <w:w w:val="115"/>
        </w:rPr>
        <w:t>próximos</w:t>
      </w:r>
      <w:r>
        <w:rPr>
          <w:spacing w:val="-16"/>
          <w:w w:val="115"/>
        </w:rPr>
        <w:t> </w:t>
      </w:r>
      <w:r>
        <w:rPr>
          <w:w w:val="115"/>
        </w:rPr>
        <w:t>ocho</w:t>
      </w:r>
      <w:r>
        <w:rPr>
          <w:spacing w:val="-16"/>
          <w:w w:val="115"/>
        </w:rPr>
        <w:t> </w:t>
      </w:r>
      <w:r>
        <w:rPr>
          <w:w w:val="115"/>
        </w:rPr>
        <w:t>años.</w:t>
      </w:r>
      <w:r>
        <w:rPr>
          <w:spacing w:val="-16"/>
          <w:w w:val="115"/>
        </w:rPr>
        <w:t> </w:t>
      </w:r>
      <w:r>
        <w:rPr>
          <w:w w:val="115"/>
        </w:rPr>
        <w:t>Entre</w:t>
      </w:r>
      <w:r>
        <w:rPr>
          <w:spacing w:val="-16"/>
          <w:w w:val="115"/>
        </w:rPr>
        <w:t> </w:t>
      </w:r>
      <w:r>
        <w:rPr>
          <w:w w:val="115"/>
        </w:rPr>
        <w:t>los</w:t>
      </w:r>
      <w:r>
        <w:rPr>
          <w:spacing w:val="-16"/>
          <w:w w:val="115"/>
        </w:rPr>
        <w:t> </w:t>
      </w:r>
      <w:r>
        <w:rPr>
          <w:w w:val="115"/>
        </w:rPr>
        <w:t>países</w:t>
      </w:r>
      <w:r>
        <w:rPr>
          <w:spacing w:val="-16"/>
          <w:w w:val="115"/>
        </w:rPr>
        <w:t> </w:t>
      </w:r>
      <w:r>
        <w:rPr>
          <w:w w:val="115"/>
        </w:rPr>
        <w:t>miembros de la asEaN, Malasia, singapur y </w:t>
      </w:r>
      <w:r>
        <w:rPr>
          <w:spacing w:val="-3"/>
          <w:w w:val="115"/>
        </w:rPr>
        <w:t>tailandia </w:t>
      </w:r>
      <w:r>
        <w:rPr>
          <w:w w:val="115"/>
        </w:rPr>
        <w:t>lideran el camino (alter </w:t>
      </w:r>
      <w:r>
        <w:rPr>
          <w:w w:val="110"/>
        </w:rPr>
        <w:t>bruce,</w:t>
      </w:r>
      <w:r>
        <w:rPr>
          <w:spacing w:val="15"/>
          <w:w w:val="110"/>
        </w:rPr>
        <w:t> </w:t>
      </w:r>
      <w:r>
        <w:rPr>
          <w:w w:val="110"/>
        </w:rPr>
        <w:t>2014).</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firstLine="396"/>
        <w:jc w:val="both"/>
      </w:pPr>
      <w:r>
        <w:rPr>
          <w:w w:val="110"/>
        </w:rPr>
        <w:t>China ha anunciado que la estrategia con la asEaN hará énfasis  en el “comercio equilibrado”. </w:t>
      </w:r>
      <w:r>
        <w:rPr>
          <w:spacing w:val="-3"/>
          <w:w w:val="110"/>
        </w:rPr>
        <w:t>tomando </w:t>
      </w:r>
      <w:r>
        <w:rPr>
          <w:w w:val="110"/>
        </w:rPr>
        <w:t>Malasia como ejemplo, ambos países han anunciado planes para aumentar significativamente el co- mercio a través de varias medidas, como el apoyo a parques</w:t>
      </w:r>
      <w:r>
        <w:rPr>
          <w:spacing w:val="-26"/>
          <w:w w:val="110"/>
        </w:rPr>
        <w:t> </w:t>
      </w:r>
      <w:r>
        <w:rPr>
          <w:w w:val="110"/>
        </w:rPr>
        <w:t>industria- les en otros países que incrementarán el comercio bilateral 60%</w:t>
      </w:r>
      <w:r>
        <w:rPr>
          <w:spacing w:val="-14"/>
          <w:w w:val="110"/>
        </w:rPr>
        <w:t> </w:t>
      </w:r>
      <w:r>
        <w:rPr>
          <w:w w:val="110"/>
        </w:rPr>
        <w:t>hasta los 160 mil millones de dólares en 2017 (alter bruce,</w:t>
      </w:r>
      <w:r>
        <w:rPr>
          <w:spacing w:val="31"/>
          <w:w w:val="110"/>
        </w:rPr>
        <w:t> </w:t>
      </w:r>
      <w:r>
        <w:rPr>
          <w:w w:val="110"/>
        </w:rPr>
        <w:t>2014).</w:t>
      </w:r>
    </w:p>
    <w:p>
      <w:pPr>
        <w:pStyle w:val="BodyText"/>
        <w:spacing w:line="252" w:lineRule="auto"/>
        <w:ind w:left="100" w:right="327" w:firstLine="396"/>
        <w:jc w:val="both"/>
      </w:pPr>
      <w:r>
        <w:rPr>
          <w:w w:val="110"/>
        </w:rPr>
        <w:t>China se erige como el mayor socio comercial de la asEaN desde 2009 y la asociación ha sido el tercer socio comercial más importante de China desde 2011. según cifras de la asEaN, el volumen comercial bilateral alcanzó los 350.500 millones de dólares en 2013, aproxima- damente el 14% del comercio total de asEaN y un incremento anual de 9.7% </w:t>
      </w:r>
      <w:hyperlink r:id="rId147">
        <w:r>
          <w:rPr>
            <w:w w:val="110"/>
          </w:rPr>
          <w:t>(&lt;www.politica-china.org&gt;,</w:t>
        </w:r>
      </w:hyperlink>
      <w:r>
        <w:rPr>
          <w:spacing w:val="-25"/>
          <w:w w:val="110"/>
        </w:rPr>
        <w:t> </w:t>
      </w:r>
      <w:r>
        <w:rPr>
          <w:w w:val="110"/>
        </w:rPr>
        <w:t>2014).</w:t>
      </w:r>
    </w:p>
    <w:p>
      <w:pPr>
        <w:pStyle w:val="BodyText"/>
        <w:spacing w:line="252" w:lineRule="auto"/>
        <w:ind w:left="100" w:right="327" w:firstLine="396"/>
        <w:jc w:val="both"/>
      </w:pPr>
      <w:r>
        <w:rPr>
          <w:w w:val="243"/>
        </w:rPr>
        <w:t>l</w:t>
      </w:r>
      <w:r>
        <w:rPr>
          <w:w w:val="112"/>
        </w:rPr>
        <w:t>a</w:t>
      </w:r>
      <w:r>
        <w:rPr/>
        <w:t> </w:t>
      </w:r>
      <w:r>
        <w:rPr>
          <w:spacing w:val="-16"/>
        </w:rPr>
        <w:t> </w:t>
      </w:r>
      <w:r>
        <w:rPr>
          <w:w w:val="144"/>
        </w:rPr>
        <w:t>as</w:t>
      </w:r>
      <w:r>
        <w:rPr>
          <w:w w:val="128"/>
        </w:rPr>
        <w:t>E</w:t>
      </w:r>
      <w:r>
        <w:rPr>
          <w:w w:val="139"/>
        </w:rPr>
        <w:t>a</w:t>
      </w:r>
      <w:r>
        <w:rPr>
          <w:w w:val="119"/>
        </w:rPr>
        <w:t>N</w:t>
      </w:r>
      <w:r>
        <w:rPr>
          <w:w w:val="138"/>
        </w:rPr>
        <w:t>,</w:t>
      </w:r>
      <w:r>
        <w:rPr/>
        <w:t> </w:t>
      </w:r>
      <w:r>
        <w:rPr>
          <w:spacing w:val="-16"/>
        </w:rPr>
        <w:t> </w:t>
      </w:r>
      <w:r>
        <w:rPr>
          <w:w w:val="108"/>
        </w:rPr>
        <w:t>por</w:t>
      </w:r>
      <w:r>
        <w:rPr/>
        <w:t> </w:t>
      </w:r>
      <w:r>
        <w:rPr>
          <w:spacing w:val="-16"/>
        </w:rPr>
        <w:t> </w:t>
      </w:r>
      <w:r>
        <w:rPr>
          <w:w w:val="109"/>
        </w:rPr>
        <w:t>su</w:t>
      </w:r>
      <w:r>
        <w:rPr/>
        <w:t> </w:t>
      </w:r>
      <w:r>
        <w:rPr>
          <w:spacing w:val="-16"/>
        </w:rPr>
        <w:t> </w:t>
      </w:r>
      <w:r>
        <w:rPr>
          <w:w w:val="110"/>
        </w:rPr>
        <w:t>parte,</w:t>
      </w:r>
      <w:r>
        <w:rPr/>
        <w:t> </w:t>
      </w:r>
      <w:r>
        <w:rPr>
          <w:spacing w:val="-16"/>
        </w:rPr>
        <w:t> </w:t>
      </w:r>
      <w:r>
        <w:rPr>
          <w:w w:val="112"/>
        </w:rPr>
        <w:t>ha</w:t>
      </w:r>
      <w:r>
        <w:rPr/>
        <w:t> </w:t>
      </w:r>
      <w:r>
        <w:rPr>
          <w:spacing w:val="-16"/>
        </w:rPr>
        <w:t> </w:t>
      </w:r>
      <w:r>
        <w:rPr>
          <w:w w:val="108"/>
        </w:rPr>
        <w:t>superado</w:t>
      </w:r>
      <w:r>
        <w:rPr/>
        <w:t> </w:t>
      </w:r>
      <w:r>
        <w:rPr>
          <w:spacing w:val="-16"/>
        </w:rPr>
        <w:t> </w:t>
      </w:r>
      <w:r>
        <w:rPr>
          <w:w w:val="112"/>
        </w:rPr>
        <w:t>a</w:t>
      </w:r>
      <w:r>
        <w:rPr/>
        <w:t> </w:t>
      </w:r>
      <w:r>
        <w:rPr>
          <w:spacing w:val="-16"/>
        </w:rPr>
        <w:t> </w:t>
      </w:r>
      <w:r>
        <w:rPr>
          <w:w w:val="139"/>
        </w:rPr>
        <w:t>a</w:t>
      </w:r>
      <w:r>
        <w:rPr>
          <w:w w:val="111"/>
        </w:rPr>
        <w:t>ustralia,</w:t>
      </w:r>
      <w:r>
        <w:rPr/>
        <w:t> </w:t>
      </w:r>
      <w:r>
        <w:rPr>
          <w:spacing w:val="-16"/>
        </w:rPr>
        <w:t> </w:t>
      </w:r>
      <w:r>
        <w:rPr>
          <w:w w:val="111"/>
        </w:rPr>
        <w:t>Estados</w:t>
      </w:r>
      <w:r>
        <w:rPr/>
        <w:t> </w:t>
      </w:r>
      <w:r>
        <w:rPr>
          <w:spacing w:val="-16"/>
        </w:rPr>
        <w:t> </w:t>
      </w:r>
      <w:r>
        <w:rPr>
          <w:w w:val="140"/>
        </w:rPr>
        <w:t>u</w:t>
      </w:r>
      <w:r>
        <w:rPr>
          <w:w w:val="113"/>
        </w:rPr>
        <w:t>n</w:t>
      </w:r>
      <w:r>
        <w:rPr>
          <w:spacing w:val="1"/>
          <w:w w:val="113"/>
        </w:rPr>
        <w:t>i</w:t>
      </w:r>
      <w:r>
        <w:rPr>
          <w:w w:val="102"/>
        </w:rPr>
        <w:t>- </w:t>
      </w:r>
      <w:r>
        <w:rPr>
          <w:w w:val="115"/>
        </w:rPr>
        <w:t>dos</w:t>
      </w:r>
      <w:r>
        <w:rPr>
          <w:spacing w:val="-19"/>
          <w:w w:val="115"/>
        </w:rPr>
        <w:t> </w:t>
      </w:r>
      <w:r>
        <w:rPr>
          <w:w w:val="115"/>
        </w:rPr>
        <w:t>y</w:t>
      </w:r>
      <w:r>
        <w:rPr>
          <w:spacing w:val="-19"/>
          <w:w w:val="115"/>
        </w:rPr>
        <w:t> </w:t>
      </w:r>
      <w:r>
        <w:rPr>
          <w:w w:val="115"/>
        </w:rPr>
        <w:t>rusia</w:t>
      </w:r>
      <w:r>
        <w:rPr>
          <w:spacing w:val="-19"/>
          <w:w w:val="115"/>
        </w:rPr>
        <w:t> </w:t>
      </w:r>
      <w:r>
        <w:rPr>
          <w:w w:val="115"/>
        </w:rPr>
        <w:t>hasta</w:t>
      </w:r>
      <w:r>
        <w:rPr>
          <w:spacing w:val="-19"/>
          <w:w w:val="115"/>
        </w:rPr>
        <w:t> </w:t>
      </w:r>
      <w:r>
        <w:rPr>
          <w:w w:val="115"/>
        </w:rPr>
        <w:t>convertirse</w:t>
      </w:r>
      <w:r>
        <w:rPr>
          <w:spacing w:val="-19"/>
          <w:w w:val="115"/>
        </w:rPr>
        <w:t> </w:t>
      </w:r>
      <w:r>
        <w:rPr>
          <w:w w:val="115"/>
        </w:rPr>
        <w:t>en</w:t>
      </w:r>
      <w:r>
        <w:rPr>
          <w:spacing w:val="-19"/>
          <w:w w:val="115"/>
        </w:rPr>
        <w:t> </w:t>
      </w:r>
      <w:r>
        <w:rPr>
          <w:w w:val="115"/>
        </w:rPr>
        <w:t>el</w:t>
      </w:r>
      <w:r>
        <w:rPr>
          <w:spacing w:val="-19"/>
          <w:w w:val="115"/>
        </w:rPr>
        <w:t> </w:t>
      </w:r>
      <w:r>
        <w:rPr>
          <w:w w:val="115"/>
        </w:rPr>
        <w:t>cuarto</w:t>
      </w:r>
      <w:r>
        <w:rPr>
          <w:spacing w:val="-19"/>
          <w:w w:val="115"/>
        </w:rPr>
        <w:t> </w:t>
      </w:r>
      <w:r>
        <w:rPr>
          <w:w w:val="115"/>
        </w:rPr>
        <w:t>mayor</w:t>
      </w:r>
      <w:r>
        <w:rPr>
          <w:spacing w:val="-19"/>
          <w:w w:val="115"/>
        </w:rPr>
        <w:t> </w:t>
      </w:r>
      <w:r>
        <w:rPr>
          <w:w w:val="115"/>
        </w:rPr>
        <w:t>destino</w:t>
      </w:r>
      <w:r>
        <w:rPr>
          <w:spacing w:val="-19"/>
          <w:w w:val="115"/>
        </w:rPr>
        <w:t> </w:t>
      </w:r>
      <w:r>
        <w:rPr>
          <w:w w:val="115"/>
        </w:rPr>
        <w:t>de</w:t>
      </w:r>
      <w:r>
        <w:rPr>
          <w:spacing w:val="-19"/>
          <w:w w:val="115"/>
        </w:rPr>
        <w:t> </w:t>
      </w:r>
      <w:r>
        <w:rPr>
          <w:w w:val="115"/>
        </w:rPr>
        <w:t>inversión </w:t>
      </w:r>
      <w:r>
        <w:rPr>
          <w:w w:val="120"/>
        </w:rPr>
        <w:t>en</w:t>
      </w:r>
      <w:r>
        <w:rPr>
          <w:spacing w:val="-26"/>
          <w:w w:val="120"/>
        </w:rPr>
        <w:t> </w:t>
      </w:r>
      <w:r>
        <w:rPr>
          <w:w w:val="120"/>
        </w:rPr>
        <w:t>el</w:t>
      </w:r>
      <w:r>
        <w:rPr>
          <w:spacing w:val="-26"/>
          <w:w w:val="120"/>
        </w:rPr>
        <w:t> </w:t>
      </w:r>
      <w:r>
        <w:rPr>
          <w:w w:val="120"/>
        </w:rPr>
        <w:t>exterior</w:t>
      </w:r>
      <w:r>
        <w:rPr>
          <w:spacing w:val="-26"/>
          <w:w w:val="120"/>
        </w:rPr>
        <w:t> </w:t>
      </w:r>
      <w:r>
        <w:rPr>
          <w:w w:val="120"/>
        </w:rPr>
        <w:t>de</w:t>
      </w:r>
      <w:r>
        <w:rPr>
          <w:spacing w:val="-26"/>
          <w:w w:val="120"/>
        </w:rPr>
        <w:t> </w:t>
      </w:r>
      <w:r>
        <w:rPr>
          <w:w w:val="120"/>
        </w:rPr>
        <w:t>China.</w:t>
      </w:r>
      <w:r>
        <w:rPr>
          <w:spacing w:val="-26"/>
          <w:w w:val="120"/>
        </w:rPr>
        <w:t> </w:t>
      </w:r>
      <w:r>
        <w:rPr>
          <w:w w:val="120"/>
        </w:rPr>
        <w:t>En</w:t>
      </w:r>
      <w:r>
        <w:rPr>
          <w:spacing w:val="-26"/>
          <w:w w:val="120"/>
        </w:rPr>
        <w:t> </w:t>
      </w:r>
      <w:r>
        <w:rPr>
          <w:w w:val="120"/>
        </w:rPr>
        <w:t>2012,</w:t>
      </w:r>
      <w:r>
        <w:rPr>
          <w:spacing w:val="-26"/>
          <w:w w:val="120"/>
        </w:rPr>
        <w:t> </w:t>
      </w:r>
      <w:r>
        <w:rPr>
          <w:w w:val="120"/>
        </w:rPr>
        <w:t>la</w:t>
      </w:r>
      <w:r>
        <w:rPr>
          <w:spacing w:val="-26"/>
          <w:w w:val="120"/>
        </w:rPr>
        <w:t> </w:t>
      </w:r>
      <w:r>
        <w:rPr>
          <w:w w:val="120"/>
        </w:rPr>
        <w:t>inversión</w:t>
      </w:r>
      <w:r>
        <w:rPr>
          <w:spacing w:val="-26"/>
          <w:w w:val="120"/>
        </w:rPr>
        <w:t> </w:t>
      </w:r>
      <w:r>
        <w:rPr>
          <w:w w:val="120"/>
        </w:rPr>
        <w:t>de</w:t>
      </w:r>
      <w:r>
        <w:rPr>
          <w:spacing w:val="-26"/>
          <w:w w:val="120"/>
        </w:rPr>
        <w:t> </w:t>
      </w:r>
      <w:r>
        <w:rPr>
          <w:w w:val="120"/>
        </w:rPr>
        <w:t>China</w:t>
      </w:r>
      <w:r>
        <w:rPr>
          <w:spacing w:val="-26"/>
          <w:w w:val="120"/>
        </w:rPr>
        <w:t> </w:t>
      </w:r>
      <w:r>
        <w:rPr>
          <w:w w:val="120"/>
        </w:rPr>
        <w:t>en</w:t>
      </w:r>
      <w:r>
        <w:rPr>
          <w:spacing w:val="-26"/>
          <w:w w:val="120"/>
        </w:rPr>
        <w:t> </w:t>
      </w:r>
      <w:r>
        <w:rPr>
          <w:w w:val="120"/>
        </w:rPr>
        <w:t>las</w:t>
      </w:r>
      <w:r>
        <w:rPr>
          <w:spacing w:val="-26"/>
          <w:w w:val="120"/>
        </w:rPr>
        <w:t> </w:t>
      </w:r>
      <w:r>
        <w:rPr>
          <w:w w:val="120"/>
        </w:rPr>
        <w:t>econo- mías</w:t>
      </w:r>
      <w:r>
        <w:rPr>
          <w:spacing w:val="-20"/>
          <w:w w:val="120"/>
        </w:rPr>
        <w:t> </w:t>
      </w:r>
      <w:r>
        <w:rPr>
          <w:w w:val="120"/>
        </w:rPr>
        <w:t>de</w:t>
      </w:r>
      <w:r>
        <w:rPr>
          <w:spacing w:val="-20"/>
          <w:w w:val="120"/>
        </w:rPr>
        <w:t> </w:t>
      </w:r>
      <w:r>
        <w:rPr>
          <w:w w:val="120"/>
        </w:rPr>
        <w:t>la</w:t>
      </w:r>
      <w:r>
        <w:rPr>
          <w:spacing w:val="-20"/>
          <w:w w:val="120"/>
        </w:rPr>
        <w:t> </w:t>
      </w:r>
      <w:r>
        <w:rPr>
          <w:w w:val="120"/>
        </w:rPr>
        <w:t>asEaN</w:t>
      </w:r>
      <w:r>
        <w:rPr>
          <w:spacing w:val="-20"/>
          <w:w w:val="120"/>
        </w:rPr>
        <w:t> </w:t>
      </w:r>
      <w:r>
        <w:rPr>
          <w:w w:val="120"/>
        </w:rPr>
        <w:t>fue</w:t>
      </w:r>
      <w:r>
        <w:rPr>
          <w:spacing w:val="-20"/>
          <w:w w:val="120"/>
        </w:rPr>
        <w:t> </w:t>
      </w:r>
      <w:r>
        <w:rPr>
          <w:w w:val="120"/>
        </w:rPr>
        <w:t>de</w:t>
      </w:r>
      <w:r>
        <w:rPr>
          <w:spacing w:val="-20"/>
          <w:w w:val="120"/>
        </w:rPr>
        <w:t> </w:t>
      </w:r>
      <w:r>
        <w:rPr>
          <w:w w:val="120"/>
        </w:rPr>
        <w:t>4.420</w:t>
      </w:r>
      <w:r>
        <w:rPr>
          <w:spacing w:val="-20"/>
          <w:w w:val="120"/>
        </w:rPr>
        <w:t> </w:t>
      </w:r>
      <w:r>
        <w:rPr>
          <w:w w:val="120"/>
        </w:rPr>
        <w:t>millones</w:t>
      </w:r>
      <w:r>
        <w:rPr>
          <w:spacing w:val="-20"/>
          <w:w w:val="120"/>
        </w:rPr>
        <w:t> </w:t>
      </w:r>
      <w:r>
        <w:rPr>
          <w:w w:val="120"/>
        </w:rPr>
        <w:t>de</w:t>
      </w:r>
      <w:r>
        <w:rPr>
          <w:spacing w:val="-20"/>
          <w:w w:val="120"/>
        </w:rPr>
        <w:t> </w:t>
      </w:r>
      <w:r>
        <w:rPr>
          <w:w w:val="120"/>
        </w:rPr>
        <w:t>dólares,</w:t>
      </w:r>
      <w:r>
        <w:rPr>
          <w:spacing w:val="-20"/>
          <w:w w:val="120"/>
        </w:rPr>
        <w:t> </w:t>
      </w:r>
      <w:r>
        <w:rPr>
          <w:w w:val="120"/>
        </w:rPr>
        <w:t>52%</w:t>
      </w:r>
      <w:r>
        <w:rPr>
          <w:spacing w:val="-20"/>
          <w:w w:val="120"/>
        </w:rPr>
        <w:t> </w:t>
      </w:r>
      <w:r>
        <w:rPr>
          <w:w w:val="120"/>
        </w:rPr>
        <w:t>más</w:t>
      </w:r>
      <w:r>
        <w:rPr>
          <w:spacing w:val="-20"/>
          <w:w w:val="120"/>
        </w:rPr>
        <w:t> </w:t>
      </w:r>
      <w:r>
        <w:rPr>
          <w:w w:val="120"/>
        </w:rPr>
        <w:t>desde 2012.</w:t>
      </w:r>
      <w:r>
        <w:rPr>
          <w:spacing w:val="-24"/>
          <w:w w:val="120"/>
        </w:rPr>
        <w:t> </w:t>
      </w:r>
      <w:r>
        <w:rPr>
          <w:w w:val="120"/>
        </w:rPr>
        <w:t>a</w:t>
      </w:r>
      <w:r>
        <w:rPr>
          <w:spacing w:val="-24"/>
          <w:w w:val="120"/>
        </w:rPr>
        <w:t> </w:t>
      </w:r>
      <w:r>
        <w:rPr>
          <w:w w:val="120"/>
        </w:rPr>
        <w:t>finales</w:t>
      </w:r>
      <w:r>
        <w:rPr>
          <w:spacing w:val="-24"/>
          <w:w w:val="120"/>
        </w:rPr>
        <w:t> </w:t>
      </w:r>
      <w:r>
        <w:rPr>
          <w:w w:val="120"/>
        </w:rPr>
        <w:t>de</w:t>
      </w:r>
      <w:r>
        <w:rPr>
          <w:spacing w:val="-24"/>
          <w:w w:val="120"/>
        </w:rPr>
        <w:t> </w:t>
      </w:r>
      <w:r>
        <w:rPr>
          <w:w w:val="120"/>
        </w:rPr>
        <w:t>ese</w:t>
      </w:r>
      <w:r>
        <w:rPr>
          <w:spacing w:val="-24"/>
          <w:w w:val="120"/>
        </w:rPr>
        <w:t> </w:t>
      </w:r>
      <w:r>
        <w:rPr>
          <w:w w:val="120"/>
        </w:rPr>
        <w:t>año,</w:t>
      </w:r>
      <w:r>
        <w:rPr>
          <w:spacing w:val="-24"/>
          <w:w w:val="120"/>
        </w:rPr>
        <w:t> </w:t>
      </w:r>
      <w:r>
        <w:rPr>
          <w:w w:val="120"/>
        </w:rPr>
        <w:t>singapur</w:t>
      </w:r>
      <w:r>
        <w:rPr>
          <w:spacing w:val="-24"/>
          <w:w w:val="120"/>
        </w:rPr>
        <w:t> </w:t>
      </w:r>
      <w:r>
        <w:rPr>
          <w:w w:val="120"/>
        </w:rPr>
        <w:t>se</w:t>
      </w:r>
      <w:r>
        <w:rPr>
          <w:spacing w:val="-24"/>
          <w:w w:val="120"/>
        </w:rPr>
        <w:t> </w:t>
      </w:r>
      <w:r>
        <w:rPr>
          <w:w w:val="120"/>
        </w:rPr>
        <w:t>había</w:t>
      </w:r>
      <w:r>
        <w:rPr>
          <w:spacing w:val="-24"/>
          <w:w w:val="120"/>
        </w:rPr>
        <w:t> </w:t>
      </w:r>
      <w:r>
        <w:rPr>
          <w:w w:val="120"/>
        </w:rPr>
        <w:t>convertido</w:t>
      </w:r>
      <w:r>
        <w:rPr>
          <w:spacing w:val="-24"/>
          <w:w w:val="120"/>
        </w:rPr>
        <w:t> </w:t>
      </w:r>
      <w:r>
        <w:rPr>
          <w:w w:val="120"/>
        </w:rPr>
        <w:t>en</w:t>
      </w:r>
      <w:r>
        <w:rPr>
          <w:spacing w:val="-24"/>
          <w:w w:val="120"/>
        </w:rPr>
        <w:t> </w:t>
      </w:r>
      <w:r>
        <w:rPr>
          <w:w w:val="120"/>
        </w:rPr>
        <w:t>el</w:t>
      </w:r>
      <w:r>
        <w:rPr>
          <w:spacing w:val="-24"/>
          <w:w w:val="120"/>
        </w:rPr>
        <w:t> </w:t>
      </w:r>
      <w:r>
        <w:rPr>
          <w:w w:val="120"/>
        </w:rPr>
        <w:t>desti- </w:t>
      </w:r>
      <w:r>
        <w:rPr>
          <w:w w:val="115"/>
        </w:rPr>
        <w:t>no</w:t>
      </w:r>
      <w:r>
        <w:rPr>
          <w:spacing w:val="-13"/>
          <w:w w:val="115"/>
        </w:rPr>
        <w:t> </w:t>
      </w:r>
      <w:r>
        <w:rPr>
          <w:w w:val="115"/>
        </w:rPr>
        <w:t>donde</w:t>
      </w:r>
      <w:r>
        <w:rPr>
          <w:spacing w:val="-13"/>
          <w:w w:val="115"/>
        </w:rPr>
        <w:t> </w:t>
      </w:r>
      <w:r>
        <w:rPr>
          <w:w w:val="115"/>
        </w:rPr>
        <w:t>las</w:t>
      </w:r>
      <w:r>
        <w:rPr>
          <w:spacing w:val="-13"/>
          <w:w w:val="115"/>
        </w:rPr>
        <w:t> </w:t>
      </w:r>
      <w:r>
        <w:rPr>
          <w:w w:val="115"/>
        </w:rPr>
        <w:t>empresas</w:t>
      </w:r>
      <w:r>
        <w:rPr>
          <w:spacing w:val="-13"/>
          <w:w w:val="115"/>
        </w:rPr>
        <w:t> </w:t>
      </w:r>
      <w:r>
        <w:rPr>
          <w:w w:val="115"/>
        </w:rPr>
        <w:t>chinas</w:t>
      </w:r>
      <w:r>
        <w:rPr>
          <w:spacing w:val="-13"/>
          <w:w w:val="115"/>
        </w:rPr>
        <w:t> </w:t>
      </w:r>
      <w:r>
        <w:rPr>
          <w:w w:val="115"/>
        </w:rPr>
        <w:t>invirtieron</w:t>
      </w:r>
      <w:r>
        <w:rPr>
          <w:spacing w:val="-13"/>
          <w:w w:val="115"/>
        </w:rPr>
        <w:t> </w:t>
      </w:r>
      <w:r>
        <w:rPr>
          <w:w w:val="115"/>
        </w:rPr>
        <w:t>más,</w:t>
      </w:r>
      <w:r>
        <w:rPr>
          <w:spacing w:val="-13"/>
          <w:w w:val="115"/>
        </w:rPr>
        <w:t> </w:t>
      </w:r>
      <w:r>
        <w:rPr>
          <w:w w:val="115"/>
        </w:rPr>
        <w:t>seguido</w:t>
      </w:r>
      <w:r>
        <w:rPr>
          <w:spacing w:val="-13"/>
          <w:w w:val="115"/>
        </w:rPr>
        <w:t> </w:t>
      </w:r>
      <w:r>
        <w:rPr>
          <w:w w:val="115"/>
        </w:rPr>
        <w:t>de</w:t>
      </w:r>
      <w:r>
        <w:rPr>
          <w:spacing w:val="-13"/>
          <w:w w:val="115"/>
        </w:rPr>
        <w:t> </w:t>
      </w:r>
      <w:r>
        <w:rPr>
          <w:w w:val="115"/>
        </w:rPr>
        <w:t>Camboya, </w:t>
      </w:r>
      <w:r>
        <w:rPr>
          <w:w w:val="134"/>
        </w:rPr>
        <w:t>b</w:t>
      </w:r>
      <w:r>
        <w:rPr>
          <w:w w:val="113"/>
        </w:rPr>
        <w:t>irmania,</w:t>
      </w:r>
      <w:r>
        <w:rPr/>
        <w:t> </w:t>
      </w:r>
      <w:r>
        <w:rPr>
          <w:spacing w:val="-2"/>
        </w:rPr>
        <w:t> </w:t>
      </w:r>
      <w:r>
        <w:rPr>
          <w:w w:val="142"/>
        </w:rPr>
        <w:t>i</w:t>
      </w:r>
      <w:r>
        <w:rPr>
          <w:w w:val="109"/>
        </w:rPr>
        <w:t>ndonesia</w:t>
      </w:r>
      <w:r>
        <w:rPr/>
        <w:t> </w:t>
      </w:r>
      <w:r>
        <w:rPr>
          <w:spacing w:val="-2"/>
        </w:rPr>
        <w:t> </w:t>
      </w:r>
      <w:r>
        <w:rPr>
          <w:w w:val="105"/>
        </w:rPr>
        <w:t>y</w:t>
      </w:r>
      <w:r>
        <w:rPr/>
        <w:t> </w:t>
      </w:r>
      <w:r>
        <w:rPr>
          <w:spacing w:val="-2"/>
        </w:rPr>
        <w:t> </w:t>
      </w:r>
      <w:r>
        <w:rPr>
          <w:w w:val="243"/>
        </w:rPr>
        <w:t>l</w:t>
      </w:r>
      <w:r>
        <w:rPr>
          <w:w w:val="113"/>
        </w:rPr>
        <w:t>aos,</w:t>
      </w:r>
      <w:r>
        <w:rPr/>
        <w:t> </w:t>
      </w:r>
      <w:r>
        <w:rPr>
          <w:spacing w:val="-2"/>
        </w:rPr>
        <w:t> </w:t>
      </w:r>
      <w:r>
        <w:rPr>
          <w:w w:val="109"/>
        </w:rPr>
        <w:t>según</w:t>
      </w:r>
      <w:r>
        <w:rPr/>
        <w:t> </w:t>
      </w:r>
      <w:r>
        <w:rPr>
          <w:spacing w:val="-2"/>
        </w:rPr>
        <w:t> </w:t>
      </w:r>
      <w:r>
        <w:rPr>
          <w:i/>
          <w:w w:val="114"/>
        </w:rPr>
        <w:t>China-</w:t>
      </w:r>
      <w:r>
        <w:rPr>
          <w:i/>
          <w:w w:val="119"/>
        </w:rPr>
        <w:t>ASEAN</w:t>
      </w:r>
      <w:r>
        <w:rPr>
          <w:i/>
        </w:rPr>
        <w:t> </w:t>
      </w:r>
      <w:r>
        <w:rPr>
          <w:i/>
          <w:spacing w:val="-2"/>
        </w:rPr>
        <w:t> </w:t>
      </w:r>
      <w:r>
        <w:rPr>
          <w:i/>
          <w:w w:val="115"/>
        </w:rPr>
        <w:t>Business</w:t>
      </w:r>
      <w:r>
        <w:rPr>
          <w:i/>
        </w:rPr>
        <w:t> </w:t>
      </w:r>
      <w:r>
        <w:rPr>
          <w:i/>
          <w:spacing w:val="-2"/>
        </w:rPr>
        <w:t> </w:t>
      </w:r>
      <w:r>
        <w:rPr>
          <w:i/>
          <w:w w:val="117"/>
        </w:rPr>
        <w:t>Council</w:t>
      </w:r>
      <w:r>
        <w:rPr>
          <w:i/>
          <w:w w:val="117"/>
        </w:rPr>
        <w:t> </w:t>
      </w:r>
      <w:r>
        <w:rPr>
          <w:w w:val="115"/>
        </w:rPr>
        <w:t>(alter</w:t>
      </w:r>
      <w:r>
        <w:rPr>
          <w:spacing w:val="-22"/>
          <w:w w:val="115"/>
        </w:rPr>
        <w:t> </w:t>
      </w:r>
      <w:r>
        <w:rPr>
          <w:w w:val="115"/>
        </w:rPr>
        <w:t>bruce,</w:t>
      </w:r>
      <w:r>
        <w:rPr>
          <w:spacing w:val="-22"/>
          <w:w w:val="115"/>
        </w:rPr>
        <w:t> </w:t>
      </w:r>
      <w:r>
        <w:rPr>
          <w:w w:val="115"/>
        </w:rPr>
        <w:t>2014).</w:t>
      </w:r>
    </w:p>
    <w:p>
      <w:pPr>
        <w:pStyle w:val="BodyText"/>
        <w:spacing w:line="252" w:lineRule="auto"/>
        <w:ind w:left="100" w:right="328" w:firstLine="396"/>
        <w:jc w:val="both"/>
      </w:pPr>
      <w:r>
        <w:rPr>
          <w:spacing w:val="-3"/>
          <w:w w:val="115"/>
        </w:rPr>
        <w:t>China</w:t>
      </w:r>
      <w:r>
        <w:rPr>
          <w:spacing w:val="-28"/>
          <w:w w:val="115"/>
        </w:rPr>
        <w:t> </w:t>
      </w:r>
      <w:r>
        <w:rPr>
          <w:w w:val="115"/>
        </w:rPr>
        <w:t>se</w:t>
      </w:r>
      <w:r>
        <w:rPr>
          <w:spacing w:val="-28"/>
          <w:w w:val="115"/>
        </w:rPr>
        <w:t> </w:t>
      </w:r>
      <w:r>
        <w:rPr>
          <w:w w:val="115"/>
        </w:rPr>
        <w:t>ha</w:t>
      </w:r>
      <w:r>
        <w:rPr>
          <w:spacing w:val="-28"/>
          <w:w w:val="115"/>
        </w:rPr>
        <w:t> </w:t>
      </w:r>
      <w:r>
        <w:rPr>
          <w:spacing w:val="-3"/>
          <w:w w:val="115"/>
        </w:rPr>
        <w:t>concentrado</w:t>
      </w:r>
      <w:r>
        <w:rPr>
          <w:spacing w:val="-28"/>
          <w:w w:val="115"/>
        </w:rPr>
        <w:t> </w:t>
      </w:r>
      <w:r>
        <w:rPr>
          <w:w w:val="115"/>
        </w:rPr>
        <w:t>en</w:t>
      </w:r>
      <w:r>
        <w:rPr>
          <w:spacing w:val="-28"/>
          <w:w w:val="115"/>
        </w:rPr>
        <w:t> </w:t>
      </w:r>
      <w:r>
        <w:rPr>
          <w:spacing w:val="-3"/>
          <w:w w:val="115"/>
        </w:rPr>
        <w:t>aumentar</w:t>
      </w:r>
      <w:r>
        <w:rPr>
          <w:spacing w:val="-28"/>
          <w:w w:val="115"/>
        </w:rPr>
        <w:t> </w:t>
      </w:r>
      <w:r>
        <w:rPr>
          <w:w w:val="115"/>
        </w:rPr>
        <w:t>la</w:t>
      </w:r>
      <w:r>
        <w:rPr>
          <w:spacing w:val="-28"/>
          <w:w w:val="115"/>
        </w:rPr>
        <w:t> </w:t>
      </w:r>
      <w:r>
        <w:rPr>
          <w:spacing w:val="-3"/>
          <w:w w:val="115"/>
        </w:rPr>
        <w:t>inversión</w:t>
      </w:r>
      <w:r>
        <w:rPr>
          <w:spacing w:val="-28"/>
          <w:w w:val="115"/>
        </w:rPr>
        <w:t> </w:t>
      </w:r>
      <w:r>
        <w:rPr>
          <w:spacing w:val="-3"/>
          <w:w w:val="115"/>
        </w:rPr>
        <w:t>directa</w:t>
      </w:r>
      <w:r>
        <w:rPr>
          <w:spacing w:val="-28"/>
          <w:w w:val="115"/>
        </w:rPr>
        <w:t> </w:t>
      </w:r>
      <w:r>
        <w:rPr>
          <w:w w:val="115"/>
        </w:rPr>
        <w:t>y</w:t>
      </w:r>
      <w:r>
        <w:rPr>
          <w:spacing w:val="-28"/>
          <w:w w:val="115"/>
        </w:rPr>
        <w:t> </w:t>
      </w:r>
      <w:r>
        <w:rPr>
          <w:w w:val="115"/>
        </w:rPr>
        <w:t>la</w:t>
      </w:r>
      <w:r>
        <w:rPr>
          <w:spacing w:val="-28"/>
          <w:w w:val="115"/>
        </w:rPr>
        <w:t> </w:t>
      </w:r>
      <w:r>
        <w:rPr>
          <w:spacing w:val="-3"/>
          <w:w w:val="115"/>
        </w:rPr>
        <w:t>cons- trucción</w:t>
      </w:r>
      <w:r>
        <w:rPr>
          <w:spacing w:val="-29"/>
          <w:w w:val="115"/>
        </w:rPr>
        <w:t> </w:t>
      </w:r>
      <w:r>
        <w:rPr>
          <w:w w:val="115"/>
        </w:rPr>
        <w:t>de</w:t>
      </w:r>
      <w:r>
        <w:rPr>
          <w:spacing w:val="-29"/>
          <w:w w:val="115"/>
        </w:rPr>
        <w:t> </w:t>
      </w:r>
      <w:r>
        <w:rPr>
          <w:spacing w:val="-3"/>
          <w:w w:val="115"/>
        </w:rPr>
        <w:t>infraestructura</w:t>
      </w:r>
      <w:r>
        <w:rPr>
          <w:spacing w:val="-29"/>
          <w:w w:val="115"/>
        </w:rPr>
        <w:t> </w:t>
      </w:r>
      <w:r>
        <w:rPr>
          <w:w w:val="115"/>
        </w:rPr>
        <w:t>en</w:t>
      </w:r>
      <w:r>
        <w:rPr>
          <w:spacing w:val="-29"/>
          <w:w w:val="115"/>
        </w:rPr>
        <w:t> </w:t>
      </w:r>
      <w:r>
        <w:rPr>
          <w:w w:val="115"/>
        </w:rPr>
        <w:t>la</w:t>
      </w:r>
      <w:r>
        <w:rPr>
          <w:spacing w:val="-29"/>
          <w:w w:val="115"/>
        </w:rPr>
        <w:t> </w:t>
      </w:r>
      <w:r>
        <w:rPr>
          <w:spacing w:val="-3"/>
          <w:w w:val="115"/>
        </w:rPr>
        <w:t>región,</w:t>
      </w:r>
      <w:r>
        <w:rPr>
          <w:spacing w:val="-29"/>
          <w:w w:val="115"/>
        </w:rPr>
        <w:t> </w:t>
      </w:r>
      <w:r>
        <w:rPr>
          <w:spacing w:val="-3"/>
          <w:w w:val="115"/>
        </w:rPr>
        <w:t>especialmente</w:t>
      </w:r>
      <w:r>
        <w:rPr>
          <w:spacing w:val="-29"/>
          <w:w w:val="115"/>
        </w:rPr>
        <w:t> </w:t>
      </w:r>
      <w:r>
        <w:rPr>
          <w:w w:val="115"/>
        </w:rPr>
        <w:t>en</w:t>
      </w:r>
      <w:r>
        <w:rPr>
          <w:spacing w:val="-29"/>
          <w:w w:val="115"/>
        </w:rPr>
        <w:t> </w:t>
      </w:r>
      <w:r>
        <w:rPr>
          <w:spacing w:val="-3"/>
          <w:w w:val="115"/>
        </w:rPr>
        <w:t>carreteras</w:t>
      </w:r>
      <w:r>
        <w:rPr>
          <w:spacing w:val="-29"/>
          <w:w w:val="115"/>
        </w:rPr>
        <w:t> </w:t>
      </w:r>
      <w:r>
        <w:rPr>
          <w:spacing w:val="-3"/>
          <w:w w:val="115"/>
        </w:rPr>
        <w:t>de alta</w:t>
      </w:r>
      <w:r>
        <w:rPr>
          <w:spacing w:val="-18"/>
          <w:w w:val="115"/>
        </w:rPr>
        <w:t> </w:t>
      </w:r>
      <w:r>
        <w:rPr>
          <w:spacing w:val="-3"/>
          <w:w w:val="115"/>
        </w:rPr>
        <w:t>velocidad.</w:t>
      </w:r>
      <w:r>
        <w:rPr>
          <w:spacing w:val="-18"/>
          <w:w w:val="115"/>
        </w:rPr>
        <w:t> </w:t>
      </w:r>
      <w:r>
        <w:rPr>
          <w:w w:val="115"/>
        </w:rPr>
        <w:t>de</w:t>
      </w:r>
      <w:r>
        <w:rPr>
          <w:spacing w:val="-18"/>
          <w:w w:val="115"/>
        </w:rPr>
        <w:t> </w:t>
      </w:r>
      <w:r>
        <w:rPr>
          <w:spacing w:val="-3"/>
          <w:w w:val="115"/>
        </w:rPr>
        <w:t>acuerdo</w:t>
      </w:r>
      <w:r>
        <w:rPr>
          <w:spacing w:val="-18"/>
          <w:w w:val="115"/>
        </w:rPr>
        <w:t> </w:t>
      </w:r>
      <w:r>
        <w:rPr>
          <w:w w:val="115"/>
        </w:rPr>
        <w:t>con</w:t>
      </w:r>
      <w:r>
        <w:rPr>
          <w:spacing w:val="-18"/>
          <w:w w:val="115"/>
        </w:rPr>
        <w:t> </w:t>
      </w:r>
      <w:r>
        <w:rPr>
          <w:w w:val="115"/>
        </w:rPr>
        <w:t>la</w:t>
      </w:r>
      <w:r>
        <w:rPr>
          <w:spacing w:val="-18"/>
          <w:w w:val="115"/>
        </w:rPr>
        <w:t> </w:t>
      </w:r>
      <w:r>
        <w:rPr>
          <w:spacing w:val="-3"/>
          <w:w w:val="115"/>
        </w:rPr>
        <w:t>estrategia</w:t>
      </w:r>
      <w:r>
        <w:rPr>
          <w:spacing w:val="-18"/>
          <w:w w:val="115"/>
        </w:rPr>
        <w:t> </w:t>
      </w:r>
      <w:r>
        <w:rPr>
          <w:w w:val="115"/>
        </w:rPr>
        <w:t>de</w:t>
      </w:r>
      <w:r>
        <w:rPr>
          <w:spacing w:val="-18"/>
          <w:w w:val="115"/>
        </w:rPr>
        <w:t> </w:t>
      </w:r>
      <w:r>
        <w:rPr>
          <w:spacing w:val="-3"/>
          <w:w w:val="115"/>
        </w:rPr>
        <w:t>ferrocarril,</w:t>
      </w:r>
      <w:r>
        <w:rPr>
          <w:spacing w:val="-18"/>
          <w:w w:val="115"/>
        </w:rPr>
        <w:t> </w:t>
      </w:r>
      <w:r>
        <w:rPr>
          <w:w w:val="115"/>
        </w:rPr>
        <w:t>las</w:t>
      </w:r>
      <w:r>
        <w:rPr>
          <w:spacing w:val="-18"/>
          <w:w w:val="115"/>
        </w:rPr>
        <w:t> </w:t>
      </w:r>
      <w:r>
        <w:rPr>
          <w:spacing w:val="-3"/>
          <w:w w:val="115"/>
        </w:rPr>
        <w:t>líneas</w:t>
      </w:r>
      <w:r>
        <w:rPr>
          <w:spacing w:val="-18"/>
          <w:w w:val="115"/>
        </w:rPr>
        <w:t> </w:t>
      </w:r>
      <w:r>
        <w:rPr>
          <w:w w:val="115"/>
        </w:rPr>
        <w:t>co- </w:t>
      </w:r>
      <w:r>
        <w:rPr>
          <w:spacing w:val="-3"/>
          <w:w w:val="111"/>
        </w:rPr>
        <w:t>mienza</w:t>
      </w:r>
      <w:r>
        <w:rPr>
          <w:w w:val="111"/>
        </w:rPr>
        <w:t>n</w:t>
      </w:r>
      <w:r>
        <w:rPr/>
        <w:t> </w:t>
      </w:r>
      <w:r>
        <w:rPr>
          <w:spacing w:val="-19"/>
        </w:rPr>
        <w:t> </w:t>
      </w:r>
      <w:r>
        <w:rPr>
          <w:spacing w:val="-3"/>
          <w:w w:val="108"/>
        </w:rPr>
        <w:t>e</w:t>
      </w:r>
      <w:r>
        <w:rPr>
          <w:w w:val="108"/>
        </w:rPr>
        <w:t>n</w:t>
      </w:r>
      <w:r>
        <w:rPr/>
        <w:t> </w:t>
      </w:r>
      <w:r>
        <w:rPr>
          <w:spacing w:val="-19"/>
        </w:rPr>
        <w:t> </w:t>
      </w:r>
      <w:r>
        <w:rPr>
          <w:spacing w:val="-3"/>
          <w:w w:val="111"/>
        </w:rPr>
        <w:t>l</w:t>
      </w:r>
      <w:r>
        <w:rPr>
          <w:w w:val="111"/>
        </w:rPr>
        <w:t>a</w:t>
      </w:r>
      <w:r>
        <w:rPr/>
        <w:t> </w:t>
      </w:r>
      <w:r>
        <w:rPr>
          <w:spacing w:val="-19"/>
        </w:rPr>
        <w:t> </w:t>
      </w:r>
      <w:r>
        <w:rPr>
          <w:spacing w:val="-3"/>
          <w:w w:val="111"/>
        </w:rPr>
        <w:t>capita</w:t>
      </w:r>
      <w:r>
        <w:rPr>
          <w:w w:val="111"/>
        </w:rPr>
        <w:t>l</w:t>
      </w:r>
      <w:r>
        <w:rPr/>
        <w:t> </w:t>
      </w:r>
      <w:r>
        <w:rPr>
          <w:spacing w:val="-19"/>
        </w:rPr>
        <w:t> </w:t>
      </w:r>
      <w:r>
        <w:rPr>
          <w:spacing w:val="-3"/>
          <w:w w:val="107"/>
        </w:rPr>
        <w:t>d</w:t>
      </w:r>
      <w:r>
        <w:rPr>
          <w:w w:val="107"/>
        </w:rPr>
        <w:t>e</w:t>
      </w:r>
      <w:r>
        <w:rPr/>
        <w:t> </w:t>
      </w:r>
      <w:r>
        <w:rPr>
          <w:spacing w:val="-19"/>
        </w:rPr>
        <w:t> </w:t>
      </w:r>
      <w:r>
        <w:rPr>
          <w:spacing w:val="-21"/>
          <w:w w:val="126"/>
        </w:rPr>
        <w:t>Y</w:t>
      </w:r>
      <w:r>
        <w:rPr>
          <w:spacing w:val="-3"/>
          <w:w w:val="112"/>
        </w:rPr>
        <w:t>unna</w:t>
      </w:r>
      <w:r>
        <w:rPr>
          <w:w w:val="112"/>
        </w:rPr>
        <w:t>n</w:t>
      </w:r>
      <w:r>
        <w:rPr/>
        <w:t> </w:t>
      </w:r>
      <w:r>
        <w:rPr>
          <w:spacing w:val="-19"/>
        </w:rPr>
        <w:t> </w:t>
      </w:r>
      <w:r>
        <w:rPr>
          <w:spacing w:val="-3"/>
          <w:w w:val="112"/>
        </w:rPr>
        <w:t>–Kunming</w:t>
      </w:r>
      <w:r>
        <w:rPr>
          <w:w w:val="112"/>
        </w:rPr>
        <w:t>–</w:t>
      </w:r>
      <w:r>
        <w:rPr/>
        <w:t> </w:t>
      </w:r>
      <w:r>
        <w:rPr>
          <w:spacing w:val="-19"/>
        </w:rPr>
        <w:t> </w:t>
      </w:r>
      <w:r>
        <w:rPr>
          <w:w w:val="105"/>
        </w:rPr>
        <w:t>y</w:t>
      </w:r>
      <w:r>
        <w:rPr/>
        <w:t> </w:t>
      </w:r>
      <w:r>
        <w:rPr>
          <w:spacing w:val="-19"/>
        </w:rPr>
        <w:t> </w:t>
      </w:r>
      <w:r>
        <w:rPr>
          <w:spacing w:val="-3"/>
          <w:w w:val="110"/>
        </w:rPr>
        <w:t>conectará</w:t>
      </w:r>
      <w:r>
        <w:rPr>
          <w:w w:val="110"/>
        </w:rPr>
        <w:t>n</w:t>
      </w:r>
      <w:r>
        <w:rPr/>
        <w:t> </w:t>
      </w:r>
      <w:r>
        <w:rPr>
          <w:spacing w:val="-19"/>
        </w:rPr>
        <w:t> </w:t>
      </w:r>
      <w:r>
        <w:rPr>
          <w:spacing w:val="-3"/>
          <w:w w:val="243"/>
        </w:rPr>
        <w:t>l</w:t>
      </w:r>
      <w:r>
        <w:rPr>
          <w:spacing w:val="-3"/>
          <w:w w:val="113"/>
        </w:rPr>
        <w:t>aos</w:t>
      </w:r>
      <w:r>
        <w:rPr>
          <w:w w:val="113"/>
        </w:rPr>
        <w:t>,</w:t>
      </w:r>
      <w:r>
        <w:rPr/>
        <w:t> </w:t>
      </w:r>
      <w:r>
        <w:rPr>
          <w:spacing w:val="-19"/>
        </w:rPr>
        <w:t> </w:t>
      </w:r>
      <w:r>
        <w:rPr>
          <w:spacing w:val="-14"/>
          <w:w w:val="119"/>
        </w:rPr>
        <w:t>V</w:t>
      </w:r>
      <w:r>
        <w:rPr>
          <w:spacing w:val="-3"/>
          <w:w w:val="107"/>
        </w:rPr>
        <w:t>iet</w:t>
      </w:r>
      <w:r>
        <w:rPr>
          <w:w w:val="102"/>
        </w:rPr>
        <w:t>- </w:t>
      </w:r>
      <w:r>
        <w:rPr>
          <w:spacing w:val="-3"/>
          <w:w w:val="120"/>
        </w:rPr>
        <w:t>nam,</w:t>
      </w:r>
      <w:r>
        <w:rPr>
          <w:spacing w:val="-29"/>
          <w:w w:val="120"/>
        </w:rPr>
        <w:t> </w:t>
      </w:r>
      <w:r>
        <w:rPr>
          <w:spacing w:val="-3"/>
          <w:w w:val="120"/>
        </w:rPr>
        <w:t>Camboya,</w:t>
      </w:r>
      <w:r>
        <w:rPr>
          <w:spacing w:val="-29"/>
          <w:w w:val="120"/>
        </w:rPr>
        <w:t> </w:t>
      </w:r>
      <w:r>
        <w:rPr>
          <w:spacing w:val="-6"/>
          <w:w w:val="120"/>
        </w:rPr>
        <w:t>Myanmar,</w:t>
      </w:r>
      <w:r>
        <w:rPr>
          <w:spacing w:val="-29"/>
          <w:w w:val="120"/>
        </w:rPr>
        <w:t> </w:t>
      </w:r>
      <w:r>
        <w:rPr>
          <w:spacing w:val="-5"/>
          <w:w w:val="120"/>
        </w:rPr>
        <w:t>tailandia,</w:t>
      </w:r>
      <w:r>
        <w:rPr>
          <w:spacing w:val="-29"/>
          <w:w w:val="120"/>
        </w:rPr>
        <w:t> </w:t>
      </w:r>
      <w:r>
        <w:rPr>
          <w:spacing w:val="-3"/>
          <w:w w:val="120"/>
        </w:rPr>
        <w:t>Malasia</w:t>
      </w:r>
      <w:r>
        <w:rPr>
          <w:spacing w:val="-29"/>
          <w:w w:val="120"/>
        </w:rPr>
        <w:t> </w:t>
      </w:r>
      <w:r>
        <w:rPr>
          <w:w w:val="120"/>
        </w:rPr>
        <w:t>y</w:t>
      </w:r>
      <w:r>
        <w:rPr>
          <w:spacing w:val="-29"/>
          <w:w w:val="120"/>
        </w:rPr>
        <w:t> </w:t>
      </w:r>
      <w:r>
        <w:rPr>
          <w:spacing w:val="-6"/>
          <w:w w:val="120"/>
        </w:rPr>
        <w:t>singapur.</w:t>
      </w:r>
      <w:r>
        <w:rPr>
          <w:spacing w:val="-29"/>
          <w:w w:val="120"/>
        </w:rPr>
        <w:t> </w:t>
      </w:r>
      <w:r>
        <w:rPr>
          <w:spacing w:val="-3"/>
          <w:w w:val="120"/>
        </w:rPr>
        <w:t>China</w:t>
      </w:r>
      <w:r>
        <w:rPr>
          <w:spacing w:val="-29"/>
          <w:w w:val="120"/>
        </w:rPr>
        <w:t> </w:t>
      </w:r>
      <w:r>
        <w:rPr>
          <w:spacing w:val="-3"/>
          <w:w w:val="120"/>
        </w:rPr>
        <w:t>depen- </w:t>
      </w:r>
      <w:r>
        <w:rPr>
          <w:spacing w:val="-3"/>
          <w:w w:val="110"/>
        </w:rPr>
        <w:t>derá</w:t>
      </w:r>
      <w:r>
        <w:rPr>
          <w:spacing w:val="-14"/>
          <w:w w:val="110"/>
        </w:rPr>
        <w:t> </w:t>
      </w:r>
      <w:r>
        <w:rPr>
          <w:w w:val="110"/>
        </w:rPr>
        <w:t>de</w:t>
      </w:r>
      <w:r>
        <w:rPr>
          <w:spacing w:val="-14"/>
          <w:w w:val="110"/>
        </w:rPr>
        <w:t> </w:t>
      </w:r>
      <w:r>
        <w:rPr>
          <w:w w:val="110"/>
        </w:rPr>
        <w:t>su</w:t>
      </w:r>
      <w:r>
        <w:rPr>
          <w:spacing w:val="-14"/>
          <w:w w:val="110"/>
        </w:rPr>
        <w:t> </w:t>
      </w:r>
      <w:r>
        <w:rPr>
          <w:spacing w:val="-3"/>
          <w:w w:val="110"/>
        </w:rPr>
        <w:t>posición</w:t>
      </w:r>
      <w:r>
        <w:rPr>
          <w:spacing w:val="-14"/>
          <w:w w:val="110"/>
        </w:rPr>
        <w:t> </w:t>
      </w:r>
      <w:r>
        <w:rPr>
          <w:spacing w:val="-3"/>
          <w:w w:val="110"/>
        </w:rPr>
        <w:t>geoestratégica,</w:t>
      </w:r>
      <w:r>
        <w:rPr>
          <w:spacing w:val="-14"/>
          <w:w w:val="110"/>
        </w:rPr>
        <w:t> </w:t>
      </w:r>
      <w:r>
        <w:rPr>
          <w:w w:val="110"/>
        </w:rPr>
        <w:t>que</w:t>
      </w:r>
      <w:r>
        <w:rPr>
          <w:spacing w:val="-14"/>
          <w:w w:val="110"/>
        </w:rPr>
        <w:t> </w:t>
      </w:r>
      <w:r>
        <w:rPr>
          <w:w w:val="110"/>
        </w:rPr>
        <w:t>une</w:t>
      </w:r>
      <w:r>
        <w:rPr>
          <w:spacing w:val="-14"/>
          <w:w w:val="110"/>
        </w:rPr>
        <w:t> </w:t>
      </w:r>
      <w:r>
        <w:rPr>
          <w:w w:val="110"/>
        </w:rPr>
        <w:t>su</w:t>
      </w:r>
      <w:r>
        <w:rPr>
          <w:spacing w:val="-14"/>
          <w:w w:val="110"/>
        </w:rPr>
        <w:t> </w:t>
      </w:r>
      <w:r>
        <w:rPr>
          <w:spacing w:val="-3"/>
          <w:w w:val="110"/>
        </w:rPr>
        <w:t>región</w:t>
      </w:r>
      <w:r>
        <w:rPr>
          <w:spacing w:val="-14"/>
          <w:w w:val="110"/>
        </w:rPr>
        <w:t> </w:t>
      </w:r>
      <w:r>
        <w:rPr>
          <w:w w:val="110"/>
        </w:rPr>
        <w:t>sur</w:t>
      </w:r>
      <w:r>
        <w:rPr>
          <w:spacing w:val="-14"/>
          <w:w w:val="110"/>
        </w:rPr>
        <w:t> </w:t>
      </w:r>
      <w:r>
        <w:rPr>
          <w:w w:val="110"/>
        </w:rPr>
        <w:t>con</w:t>
      </w:r>
      <w:r>
        <w:rPr>
          <w:spacing w:val="-14"/>
          <w:w w:val="110"/>
        </w:rPr>
        <w:t> </w:t>
      </w:r>
      <w:r>
        <w:rPr>
          <w:w w:val="110"/>
        </w:rPr>
        <w:t>sus</w:t>
      </w:r>
      <w:r>
        <w:rPr>
          <w:spacing w:val="-14"/>
          <w:w w:val="110"/>
        </w:rPr>
        <w:t> </w:t>
      </w:r>
      <w:r>
        <w:rPr>
          <w:spacing w:val="-3"/>
          <w:w w:val="110"/>
        </w:rPr>
        <w:t>vecinos </w:t>
      </w:r>
      <w:r>
        <w:rPr>
          <w:w w:val="120"/>
        </w:rPr>
        <w:t>de</w:t>
      </w:r>
      <w:r>
        <w:rPr>
          <w:spacing w:val="-12"/>
          <w:w w:val="120"/>
        </w:rPr>
        <w:t> </w:t>
      </w:r>
      <w:r>
        <w:rPr>
          <w:w w:val="120"/>
        </w:rPr>
        <w:t>la</w:t>
      </w:r>
      <w:r>
        <w:rPr>
          <w:spacing w:val="-12"/>
          <w:w w:val="120"/>
        </w:rPr>
        <w:t> </w:t>
      </w:r>
      <w:r>
        <w:rPr>
          <w:spacing w:val="-3"/>
          <w:w w:val="120"/>
        </w:rPr>
        <w:t>asEaN.</w:t>
      </w:r>
      <w:r>
        <w:rPr>
          <w:spacing w:val="-12"/>
          <w:w w:val="120"/>
        </w:rPr>
        <w:t> </w:t>
      </w:r>
      <w:r>
        <w:rPr>
          <w:spacing w:val="-3"/>
          <w:w w:val="120"/>
        </w:rPr>
        <w:t>Estos</w:t>
      </w:r>
      <w:r>
        <w:rPr>
          <w:spacing w:val="-12"/>
          <w:w w:val="120"/>
        </w:rPr>
        <w:t> </w:t>
      </w:r>
      <w:r>
        <w:rPr>
          <w:spacing w:val="-3"/>
          <w:w w:val="120"/>
        </w:rPr>
        <w:t>lazos</w:t>
      </w:r>
      <w:r>
        <w:rPr>
          <w:spacing w:val="-12"/>
          <w:w w:val="120"/>
        </w:rPr>
        <w:t> </w:t>
      </w:r>
      <w:r>
        <w:rPr>
          <w:spacing w:val="-3"/>
          <w:w w:val="120"/>
        </w:rPr>
        <w:t>económicos</w:t>
      </w:r>
      <w:r>
        <w:rPr>
          <w:spacing w:val="-12"/>
          <w:w w:val="120"/>
        </w:rPr>
        <w:t> </w:t>
      </w:r>
      <w:r>
        <w:rPr>
          <w:w w:val="120"/>
        </w:rPr>
        <w:t>más</w:t>
      </w:r>
      <w:r>
        <w:rPr>
          <w:spacing w:val="-12"/>
          <w:w w:val="120"/>
        </w:rPr>
        <w:t> </w:t>
      </w:r>
      <w:r>
        <w:rPr>
          <w:spacing w:val="-3"/>
          <w:w w:val="120"/>
        </w:rPr>
        <w:t>estrechos</w:t>
      </w:r>
      <w:r>
        <w:rPr>
          <w:spacing w:val="-12"/>
          <w:w w:val="120"/>
        </w:rPr>
        <w:t> </w:t>
      </w:r>
      <w:r>
        <w:rPr>
          <w:spacing w:val="-3"/>
          <w:w w:val="120"/>
        </w:rPr>
        <w:t>entre</w:t>
      </w:r>
      <w:r>
        <w:rPr>
          <w:spacing w:val="-12"/>
          <w:w w:val="120"/>
        </w:rPr>
        <w:t> </w:t>
      </w:r>
      <w:r>
        <w:rPr>
          <w:spacing w:val="-3"/>
          <w:w w:val="120"/>
        </w:rPr>
        <w:t>China</w:t>
      </w:r>
      <w:r>
        <w:rPr>
          <w:spacing w:val="-12"/>
          <w:w w:val="120"/>
        </w:rPr>
        <w:t> </w:t>
      </w:r>
      <w:r>
        <w:rPr>
          <w:w w:val="120"/>
        </w:rPr>
        <w:t>y</w:t>
      </w:r>
      <w:r>
        <w:rPr>
          <w:spacing w:val="-12"/>
          <w:w w:val="120"/>
        </w:rPr>
        <w:t> </w:t>
      </w:r>
      <w:r>
        <w:rPr>
          <w:spacing w:val="-3"/>
          <w:w w:val="120"/>
        </w:rPr>
        <w:t>la </w:t>
      </w:r>
      <w:r>
        <w:rPr>
          <w:spacing w:val="-3"/>
          <w:w w:val="115"/>
        </w:rPr>
        <w:t>asEaN</w:t>
      </w:r>
      <w:r>
        <w:rPr>
          <w:spacing w:val="-17"/>
          <w:w w:val="115"/>
        </w:rPr>
        <w:t> </w:t>
      </w:r>
      <w:r>
        <w:rPr>
          <w:spacing w:val="-3"/>
          <w:w w:val="115"/>
        </w:rPr>
        <w:t>fomentarán</w:t>
      </w:r>
      <w:r>
        <w:rPr>
          <w:spacing w:val="-17"/>
          <w:w w:val="115"/>
        </w:rPr>
        <w:t> </w:t>
      </w:r>
      <w:r>
        <w:rPr>
          <w:w w:val="115"/>
        </w:rPr>
        <w:t>más</w:t>
      </w:r>
      <w:r>
        <w:rPr>
          <w:spacing w:val="-17"/>
          <w:w w:val="115"/>
        </w:rPr>
        <w:t> </w:t>
      </w:r>
      <w:r>
        <w:rPr>
          <w:spacing w:val="-3"/>
          <w:w w:val="115"/>
        </w:rPr>
        <w:t>oportunidades</w:t>
      </w:r>
      <w:r>
        <w:rPr>
          <w:spacing w:val="-17"/>
          <w:w w:val="115"/>
        </w:rPr>
        <w:t> </w:t>
      </w:r>
      <w:r>
        <w:rPr>
          <w:w w:val="115"/>
        </w:rPr>
        <w:t>de</w:t>
      </w:r>
      <w:r>
        <w:rPr>
          <w:spacing w:val="-17"/>
          <w:w w:val="115"/>
        </w:rPr>
        <w:t> </w:t>
      </w:r>
      <w:r>
        <w:rPr>
          <w:spacing w:val="-3"/>
          <w:w w:val="115"/>
        </w:rPr>
        <w:t>inversión</w:t>
      </w:r>
      <w:r>
        <w:rPr>
          <w:spacing w:val="-17"/>
          <w:w w:val="115"/>
        </w:rPr>
        <w:t> </w:t>
      </w:r>
      <w:r>
        <w:rPr>
          <w:spacing w:val="-3"/>
          <w:w w:val="115"/>
        </w:rPr>
        <w:t>para</w:t>
      </w:r>
      <w:r>
        <w:rPr>
          <w:spacing w:val="-17"/>
          <w:w w:val="115"/>
        </w:rPr>
        <w:t> </w:t>
      </w:r>
      <w:r>
        <w:rPr>
          <w:w w:val="115"/>
        </w:rPr>
        <w:t>las</w:t>
      </w:r>
      <w:r>
        <w:rPr>
          <w:spacing w:val="-17"/>
          <w:w w:val="115"/>
        </w:rPr>
        <w:t> </w:t>
      </w:r>
      <w:r>
        <w:rPr>
          <w:spacing w:val="-3"/>
          <w:w w:val="115"/>
        </w:rPr>
        <w:t>empresas </w:t>
      </w:r>
      <w:r>
        <w:rPr>
          <w:spacing w:val="-3"/>
          <w:w w:val="108"/>
        </w:rPr>
        <w:t>e</w:t>
      </w:r>
      <w:r>
        <w:rPr>
          <w:w w:val="108"/>
        </w:rPr>
        <w:t>n</w:t>
      </w:r>
      <w:r>
        <w:rPr>
          <w:spacing w:val="17"/>
        </w:rPr>
        <w:t> </w:t>
      </w:r>
      <w:r>
        <w:rPr>
          <w:spacing w:val="-3"/>
          <w:w w:val="111"/>
        </w:rPr>
        <w:t>amba</w:t>
      </w:r>
      <w:r>
        <w:rPr>
          <w:w w:val="111"/>
        </w:rPr>
        <w:t>s</w:t>
      </w:r>
      <w:r>
        <w:rPr>
          <w:spacing w:val="17"/>
        </w:rPr>
        <w:t> </w:t>
      </w:r>
      <w:r>
        <w:rPr>
          <w:spacing w:val="-3"/>
          <w:w w:val="109"/>
        </w:rPr>
        <w:t>regiones</w:t>
      </w:r>
      <w:r>
        <w:rPr>
          <w:w w:val="109"/>
        </w:rPr>
        <w:t>.</w:t>
      </w:r>
      <w:r>
        <w:rPr>
          <w:spacing w:val="17"/>
        </w:rPr>
        <w:t> </w:t>
      </w:r>
      <w:r>
        <w:rPr>
          <w:spacing w:val="-3"/>
          <w:w w:val="243"/>
        </w:rPr>
        <w:t>l</w:t>
      </w:r>
      <w:r>
        <w:rPr>
          <w:w w:val="112"/>
        </w:rPr>
        <w:t>a</w:t>
      </w:r>
      <w:r>
        <w:rPr>
          <w:spacing w:val="17"/>
        </w:rPr>
        <w:t> </w:t>
      </w:r>
      <w:r>
        <w:rPr>
          <w:spacing w:val="-3"/>
          <w:w w:val="110"/>
        </w:rPr>
        <w:t>mayorí</w:t>
      </w:r>
      <w:r>
        <w:rPr>
          <w:w w:val="110"/>
        </w:rPr>
        <w:t>a</w:t>
      </w:r>
      <w:r>
        <w:rPr>
          <w:spacing w:val="17"/>
        </w:rPr>
        <w:t> </w:t>
      </w:r>
      <w:r>
        <w:rPr>
          <w:spacing w:val="-3"/>
          <w:w w:val="107"/>
        </w:rPr>
        <w:t>d</w:t>
      </w:r>
      <w:r>
        <w:rPr>
          <w:w w:val="107"/>
        </w:rPr>
        <w:t>e</w:t>
      </w:r>
      <w:r>
        <w:rPr>
          <w:spacing w:val="17"/>
        </w:rPr>
        <w:t> </w:t>
      </w:r>
      <w:r>
        <w:rPr>
          <w:spacing w:val="-3"/>
          <w:w w:val="108"/>
        </w:rPr>
        <w:t>lo</w:t>
      </w:r>
      <w:r>
        <w:rPr>
          <w:w w:val="108"/>
        </w:rPr>
        <w:t>s</w:t>
      </w:r>
      <w:r>
        <w:rPr>
          <w:spacing w:val="17"/>
        </w:rPr>
        <w:t> </w:t>
      </w:r>
      <w:r>
        <w:rPr>
          <w:spacing w:val="-3"/>
          <w:w w:val="108"/>
        </w:rPr>
        <w:t>paíse</w:t>
      </w:r>
      <w:r>
        <w:rPr>
          <w:w w:val="108"/>
        </w:rPr>
        <w:t>s</w:t>
      </w:r>
      <w:r>
        <w:rPr>
          <w:spacing w:val="17"/>
        </w:rPr>
        <w:t> </w:t>
      </w:r>
      <w:r>
        <w:rPr>
          <w:spacing w:val="-3"/>
          <w:w w:val="110"/>
        </w:rPr>
        <w:t>miembro</w:t>
      </w:r>
      <w:r>
        <w:rPr>
          <w:w w:val="110"/>
        </w:rPr>
        <w:t>s</w:t>
      </w:r>
      <w:r>
        <w:rPr>
          <w:spacing w:val="17"/>
        </w:rPr>
        <w:t> </w:t>
      </w:r>
      <w:r>
        <w:rPr>
          <w:spacing w:val="-3"/>
          <w:w w:val="108"/>
        </w:rPr>
        <w:t>y</w:t>
      </w:r>
      <w:r>
        <w:rPr>
          <w:w w:val="108"/>
        </w:rPr>
        <w:t>a</w:t>
      </w:r>
      <w:r>
        <w:rPr>
          <w:spacing w:val="17"/>
        </w:rPr>
        <w:t> </w:t>
      </w:r>
      <w:r>
        <w:rPr>
          <w:spacing w:val="-3"/>
          <w:w w:val="109"/>
        </w:rPr>
        <w:t>aprovechan </w:t>
      </w:r>
      <w:r>
        <w:rPr>
          <w:w w:val="115"/>
        </w:rPr>
        <w:t>el</w:t>
      </w:r>
      <w:r>
        <w:rPr>
          <w:spacing w:val="-17"/>
          <w:w w:val="115"/>
        </w:rPr>
        <w:t> </w:t>
      </w:r>
      <w:r>
        <w:rPr>
          <w:spacing w:val="-3"/>
          <w:w w:val="115"/>
        </w:rPr>
        <w:t>mercado</w:t>
      </w:r>
      <w:r>
        <w:rPr>
          <w:spacing w:val="-17"/>
          <w:w w:val="115"/>
        </w:rPr>
        <w:t> </w:t>
      </w:r>
      <w:r>
        <w:rPr>
          <w:spacing w:val="-3"/>
          <w:w w:val="115"/>
        </w:rPr>
        <w:t>chino</w:t>
      </w:r>
      <w:r>
        <w:rPr>
          <w:spacing w:val="-17"/>
          <w:w w:val="115"/>
        </w:rPr>
        <w:t> </w:t>
      </w:r>
      <w:r>
        <w:rPr>
          <w:w w:val="115"/>
        </w:rPr>
        <w:t>y</w:t>
      </w:r>
      <w:r>
        <w:rPr>
          <w:spacing w:val="-17"/>
          <w:w w:val="115"/>
        </w:rPr>
        <w:t> </w:t>
      </w:r>
      <w:r>
        <w:rPr>
          <w:spacing w:val="-3"/>
          <w:w w:val="115"/>
        </w:rPr>
        <w:t>exportan</w:t>
      </w:r>
      <w:r>
        <w:rPr>
          <w:spacing w:val="-17"/>
          <w:w w:val="115"/>
        </w:rPr>
        <w:t> </w:t>
      </w:r>
      <w:r>
        <w:rPr>
          <w:w w:val="115"/>
        </w:rPr>
        <w:t>una</w:t>
      </w:r>
      <w:r>
        <w:rPr>
          <w:spacing w:val="-17"/>
          <w:w w:val="115"/>
        </w:rPr>
        <w:t> </w:t>
      </w:r>
      <w:r>
        <w:rPr>
          <w:spacing w:val="-3"/>
          <w:w w:val="115"/>
        </w:rPr>
        <w:t>gran</w:t>
      </w:r>
      <w:r>
        <w:rPr>
          <w:spacing w:val="-17"/>
          <w:w w:val="115"/>
        </w:rPr>
        <w:t> </w:t>
      </w:r>
      <w:r>
        <w:rPr>
          <w:spacing w:val="-3"/>
          <w:w w:val="115"/>
        </w:rPr>
        <w:t>variedad</w:t>
      </w:r>
      <w:r>
        <w:rPr>
          <w:spacing w:val="-17"/>
          <w:w w:val="115"/>
        </w:rPr>
        <w:t> </w:t>
      </w:r>
      <w:r>
        <w:rPr>
          <w:w w:val="115"/>
        </w:rPr>
        <w:t>de</w:t>
      </w:r>
      <w:r>
        <w:rPr>
          <w:spacing w:val="-17"/>
          <w:w w:val="115"/>
        </w:rPr>
        <w:t> </w:t>
      </w:r>
      <w:r>
        <w:rPr>
          <w:spacing w:val="-3"/>
          <w:w w:val="115"/>
        </w:rPr>
        <w:t>bienes,</w:t>
      </w:r>
      <w:r>
        <w:rPr>
          <w:spacing w:val="-17"/>
          <w:w w:val="115"/>
        </w:rPr>
        <w:t> </w:t>
      </w:r>
      <w:r>
        <w:rPr>
          <w:spacing w:val="-3"/>
          <w:w w:val="115"/>
        </w:rPr>
        <w:t>materiales</w:t>
      </w:r>
      <w:r>
        <w:rPr>
          <w:spacing w:val="-17"/>
          <w:w w:val="115"/>
        </w:rPr>
        <w:t> </w:t>
      </w:r>
      <w:r>
        <w:rPr>
          <w:w w:val="115"/>
        </w:rPr>
        <w:t>y </w:t>
      </w:r>
      <w:r>
        <w:rPr>
          <w:spacing w:val="-3"/>
          <w:w w:val="115"/>
        </w:rPr>
        <w:t>productos</w:t>
      </w:r>
      <w:r>
        <w:rPr>
          <w:spacing w:val="-26"/>
          <w:w w:val="115"/>
        </w:rPr>
        <w:t> </w:t>
      </w:r>
      <w:r>
        <w:rPr>
          <w:w w:val="115"/>
        </w:rPr>
        <w:t>que</w:t>
      </w:r>
      <w:r>
        <w:rPr>
          <w:spacing w:val="-26"/>
          <w:w w:val="115"/>
        </w:rPr>
        <w:t> </w:t>
      </w:r>
      <w:r>
        <w:rPr>
          <w:w w:val="115"/>
        </w:rPr>
        <w:t>van</w:t>
      </w:r>
      <w:r>
        <w:rPr>
          <w:spacing w:val="-26"/>
          <w:w w:val="115"/>
        </w:rPr>
        <w:t> </w:t>
      </w:r>
      <w:r>
        <w:rPr>
          <w:spacing w:val="-3"/>
          <w:w w:val="115"/>
        </w:rPr>
        <w:t>desde</w:t>
      </w:r>
      <w:r>
        <w:rPr>
          <w:spacing w:val="-26"/>
          <w:w w:val="115"/>
        </w:rPr>
        <w:t> </w:t>
      </w:r>
      <w:r>
        <w:rPr>
          <w:w w:val="115"/>
        </w:rPr>
        <w:t>la</w:t>
      </w:r>
      <w:r>
        <w:rPr>
          <w:spacing w:val="-26"/>
          <w:w w:val="115"/>
        </w:rPr>
        <w:t> </w:t>
      </w:r>
      <w:r>
        <w:rPr>
          <w:spacing w:val="-3"/>
          <w:w w:val="115"/>
        </w:rPr>
        <w:t>agricultura,</w:t>
      </w:r>
      <w:r>
        <w:rPr>
          <w:spacing w:val="-26"/>
          <w:w w:val="115"/>
        </w:rPr>
        <w:t> </w:t>
      </w:r>
      <w:r>
        <w:rPr>
          <w:w w:val="115"/>
        </w:rPr>
        <w:t>la</w:t>
      </w:r>
      <w:r>
        <w:rPr>
          <w:spacing w:val="-26"/>
          <w:w w:val="115"/>
        </w:rPr>
        <w:t> </w:t>
      </w:r>
      <w:r>
        <w:rPr>
          <w:spacing w:val="-3"/>
          <w:w w:val="115"/>
        </w:rPr>
        <w:t>electrónica</w:t>
      </w:r>
      <w:r>
        <w:rPr>
          <w:spacing w:val="-26"/>
          <w:w w:val="115"/>
        </w:rPr>
        <w:t> </w:t>
      </w:r>
      <w:r>
        <w:rPr>
          <w:w w:val="115"/>
        </w:rPr>
        <w:t>y</w:t>
      </w:r>
      <w:r>
        <w:rPr>
          <w:spacing w:val="-26"/>
          <w:w w:val="115"/>
        </w:rPr>
        <w:t> </w:t>
      </w:r>
      <w:r>
        <w:rPr>
          <w:w w:val="115"/>
        </w:rPr>
        <w:t>el</w:t>
      </w:r>
      <w:r>
        <w:rPr>
          <w:spacing w:val="-26"/>
          <w:w w:val="115"/>
        </w:rPr>
        <w:t> </w:t>
      </w:r>
      <w:r>
        <w:rPr>
          <w:spacing w:val="-3"/>
          <w:w w:val="115"/>
        </w:rPr>
        <w:t>sector</w:t>
      </w:r>
      <w:r>
        <w:rPr>
          <w:spacing w:val="-26"/>
          <w:w w:val="115"/>
        </w:rPr>
        <w:t> </w:t>
      </w:r>
      <w:r>
        <w:rPr>
          <w:spacing w:val="-3"/>
          <w:w w:val="115"/>
        </w:rPr>
        <w:t>textil.</w:t>
      </w:r>
    </w:p>
    <w:p>
      <w:pPr>
        <w:pStyle w:val="BodyText"/>
        <w:spacing w:line="252" w:lineRule="auto"/>
        <w:ind w:left="100" w:right="328" w:firstLine="396"/>
        <w:jc w:val="both"/>
      </w:pPr>
      <w:r>
        <w:rPr>
          <w:w w:val="115"/>
        </w:rPr>
        <w:t>Para las empresas chinas, la asEaN supone una oferta</w:t>
      </w:r>
      <w:r>
        <w:rPr>
          <w:spacing w:val="-13"/>
          <w:w w:val="115"/>
        </w:rPr>
        <w:t> </w:t>
      </w:r>
      <w:r>
        <w:rPr>
          <w:w w:val="115"/>
        </w:rPr>
        <w:t>diversifi- cada</w:t>
      </w:r>
      <w:r>
        <w:rPr>
          <w:spacing w:val="-21"/>
          <w:w w:val="115"/>
        </w:rPr>
        <w:t> </w:t>
      </w:r>
      <w:r>
        <w:rPr>
          <w:w w:val="115"/>
        </w:rPr>
        <w:t>de</w:t>
      </w:r>
      <w:r>
        <w:rPr>
          <w:spacing w:val="-21"/>
          <w:w w:val="115"/>
        </w:rPr>
        <w:t> </w:t>
      </w:r>
      <w:r>
        <w:rPr>
          <w:w w:val="115"/>
        </w:rPr>
        <w:t>recursos</w:t>
      </w:r>
      <w:r>
        <w:rPr>
          <w:spacing w:val="-21"/>
          <w:w w:val="115"/>
        </w:rPr>
        <w:t> </w:t>
      </w:r>
      <w:r>
        <w:rPr>
          <w:w w:val="115"/>
        </w:rPr>
        <w:t>naturales,</w:t>
      </w:r>
      <w:r>
        <w:rPr>
          <w:spacing w:val="-21"/>
          <w:w w:val="115"/>
        </w:rPr>
        <w:t> </w:t>
      </w:r>
      <w:r>
        <w:rPr>
          <w:w w:val="115"/>
        </w:rPr>
        <w:t>agricultura,</w:t>
      </w:r>
      <w:r>
        <w:rPr>
          <w:spacing w:val="-21"/>
          <w:w w:val="115"/>
        </w:rPr>
        <w:t> </w:t>
      </w:r>
      <w:r>
        <w:rPr>
          <w:w w:val="115"/>
        </w:rPr>
        <w:t>electrónica</w:t>
      </w:r>
      <w:r>
        <w:rPr>
          <w:spacing w:val="-21"/>
          <w:w w:val="115"/>
        </w:rPr>
        <w:t> </w:t>
      </w:r>
      <w:r>
        <w:rPr>
          <w:w w:val="115"/>
        </w:rPr>
        <w:t>y</w:t>
      </w:r>
      <w:r>
        <w:rPr>
          <w:spacing w:val="-21"/>
          <w:w w:val="115"/>
        </w:rPr>
        <w:t> </w:t>
      </w:r>
      <w:r>
        <w:rPr>
          <w:w w:val="115"/>
        </w:rPr>
        <w:t>grandes</w:t>
      </w:r>
      <w:r>
        <w:rPr>
          <w:spacing w:val="-21"/>
          <w:w w:val="115"/>
        </w:rPr>
        <w:t> </w:t>
      </w:r>
      <w:r>
        <w:rPr>
          <w:w w:val="115"/>
        </w:rPr>
        <w:t>merca- dos</w:t>
      </w:r>
      <w:r>
        <w:rPr>
          <w:spacing w:val="-15"/>
          <w:w w:val="115"/>
        </w:rPr>
        <w:t> </w:t>
      </w:r>
      <w:r>
        <w:rPr>
          <w:w w:val="115"/>
        </w:rPr>
        <w:t>de</w:t>
      </w:r>
      <w:r>
        <w:rPr>
          <w:spacing w:val="-15"/>
          <w:w w:val="115"/>
        </w:rPr>
        <w:t> </w:t>
      </w:r>
      <w:r>
        <w:rPr>
          <w:w w:val="115"/>
        </w:rPr>
        <w:t>consumo</w:t>
      </w:r>
      <w:r>
        <w:rPr>
          <w:spacing w:val="-15"/>
          <w:w w:val="115"/>
        </w:rPr>
        <w:t> </w:t>
      </w:r>
      <w:r>
        <w:rPr>
          <w:w w:val="115"/>
        </w:rPr>
        <w:t>y</w:t>
      </w:r>
      <w:r>
        <w:rPr>
          <w:spacing w:val="-15"/>
          <w:w w:val="115"/>
        </w:rPr>
        <w:t> </w:t>
      </w:r>
      <w:r>
        <w:rPr>
          <w:w w:val="115"/>
        </w:rPr>
        <w:t>proyectos</w:t>
      </w:r>
      <w:r>
        <w:rPr>
          <w:spacing w:val="-15"/>
          <w:w w:val="115"/>
        </w:rPr>
        <w:t> </w:t>
      </w:r>
      <w:r>
        <w:rPr>
          <w:w w:val="115"/>
        </w:rPr>
        <w:t>de</w:t>
      </w:r>
      <w:r>
        <w:rPr>
          <w:spacing w:val="-15"/>
          <w:w w:val="115"/>
        </w:rPr>
        <w:t> </w:t>
      </w:r>
      <w:r>
        <w:rPr>
          <w:w w:val="115"/>
        </w:rPr>
        <w:t>infraestructura</w:t>
      </w:r>
      <w:r>
        <w:rPr>
          <w:spacing w:val="-15"/>
          <w:w w:val="115"/>
        </w:rPr>
        <w:t> </w:t>
      </w:r>
      <w:r>
        <w:rPr>
          <w:w w:val="115"/>
        </w:rPr>
        <w:t>en</w:t>
      </w:r>
      <w:r>
        <w:rPr>
          <w:spacing w:val="-15"/>
          <w:w w:val="115"/>
        </w:rPr>
        <w:t> </w:t>
      </w:r>
      <w:r>
        <w:rPr>
          <w:w w:val="115"/>
        </w:rPr>
        <w:t>rápido</w:t>
      </w:r>
      <w:r>
        <w:rPr>
          <w:spacing w:val="-15"/>
          <w:w w:val="115"/>
        </w:rPr>
        <w:t> </w:t>
      </w:r>
      <w:r>
        <w:rPr>
          <w:w w:val="115"/>
        </w:rPr>
        <w:t>desarrollo. indonesia</w:t>
      </w:r>
      <w:r>
        <w:rPr>
          <w:spacing w:val="-16"/>
          <w:w w:val="115"/>
        </w:rPr>
        <w:t> </w:t>
      </w:r>
      <w:r>
        <w:rPr>
          <w:w w:val="115"/>
        </w:rPr>
        <w:t>tiene</w:t>
      </w:r>
      <w:r>
        <w:rPr>
          <w:spacing w:val="-16"/>
          <w:w w:val="115"/>
        </w:rPr>
        <w:t> </w:t>
      </w:r>
      <w:r>
        <w:rPr>
          <w:w w:val="115"/>
        </w:rPr>
        <w:t>una</w:t>
      </w:r>
      <w:r>
        <w:rPr>
          <w:spacing w:val="-16"/>
          <w:w w:val="115"/>
        </w:rPr>
        <w:t> </w:t>
      </w:r>
      <w:r>
        <w:rPr>
          <w:w w:val="115"/>
        </w:rPr>
        <w:t>abundancia</w:t>
      </w:r>
      <w:r>
        <w:rPr>
          <w:spacing w:val="-16"/>
          <w:w w:val="115"/>
        </w:rPr>
        <w:t> </w:t>
      </w:r>
      <w:r>
        <w:rPr>
          <w:w w:val="115"/>
        </w:rPr>
        <w:t>de</w:t>
      </w:r>
      <w:r>
        <w:rPr>
          <w:spacing w:val="-16"/>
          <w:w w:val="115"/>
        </w:rPr>
        <w:t> </w:t>
      </w:r>
      <w:r>
        <w:rPr>
          <w:w w:val="115"/>
        </w:rPr>
        <w:t>recursos</w:t>
      </w:r>
      <w:r>
        <w:rPr>
          <w:spacing w:val="-16"/>
          <w:w w:val="115"/>
        </w:rPr>
        <w:t> </w:t>
      </w:r>
      <w:r>
        <w:rPr>
          <w:w w:val="115"/>
        </w:rPr>
        <w:t>naturales</w:t>
      </w:r>
      <w:r>
        <w:rPr>
          <w:spacing w:val="-16"/>
          <w:w w:val="115"/>
        </w:rPr>
        <w:t> </w:t>
      </w:r>
      <w:r>
        <w:rPr>
          <w:w w:val="115"/>
        </w:rPr>
        <w:t>y</w:t>
      </w:r>
      <w:r>
        <w:rPr>
          <w:spacing w:val="-16"/>
          <w:w w:val="115"/>
        </w:rPr>
        <w:t> </w:t>
      </w:r>
      <w:r>
        <w:rPr>
          <w:w w:val="115"/>
        </w:rPr>
        <w:t>la</w:t>
      </w:r>
      <w:r>
        <w:rPr>
          <w:spacing w:val="-16"/>
          <w:w w:val="115"/>
        </w:rPr>
        <w:t> </w:t>
      </w:r>
      <w:r>
        <w:rPr>
          <w:w w:val="115"/>
        </w:rPr>
        <w:t>necesidad de</w:t>
      </w:r>
      <w:r>
        <w:rPr>
          <w:spacing w:val="-11"/>
          <w:w w:val="115"/>
        </w:rPr>
        <w:t> </w:t>
      </w:r>
      <w:r>
        <w:rPr>
          <w:w w:val="115"/>
        </w:rPr>
        <w:t>ampliar</w:t>
      </w:r>
      <w:r>
        <w:rPr>
          <w:spacing w:val="-11"/>
          <w:w w:val="115"/>
        </w:rPr>
        <w:t> </w:t>
      </w:r>
      <w:r>
        <w:rPr>
          <w:w w:val="115"/>
        </w:rPr>
        <w:t>sus</w:t>
      </w:r>
      <w:r>
        <w:rPr>
          <w:spacing w:val="-11"/>
          <w:w w:val="115"/>
        </w:rPr>
        <w:t> </w:t>
      </w:r>
      <w:r>
        <w:rPr>
          <w:w w:val="115"/>
        </w:rPr>
        <w:t>infraestructuras</w:t>
      </w:r>
      <w:r>
        <w:rPr>
          <w:spacing w:val="-11"/>
          <w:w w:val="115"/>
        </w:rPr>
        <w:t> </w:t>
      </w:r>
      <w:r>
        <w:rPr>
          <w:w w:val="115"/>
        </w:rPr>
        <w:t>de</w:t>
      </w:r>
      <w:r>
        <w:rPr>
          <w:spacing w:val="-11"/>
          <w:w w:val="115"/>
        </w:rPr>
        <w:t> </w:t>
      </w:r>
      <w:r>
        <w:rPr>
          <w:w w:val="115"/>
        </w:rPr>
        <w:t>transporte.</w:t>
      </w:r>
      <w:r>
        <w:rPr>
          <w:spacing w:val="-11"/>
          <w:w w:val="115"/>
        </w:rPr>
        <w:t> </w:t>
      </w:r>
      <w:r>
        <w:rPr>
          <w:w w:val="115"/>
        </w:rPr>
        <w:t>Malasia</w:t>
      </w:r>
      <w:r>
        <w:rPr>
          <w:spacing w:val="-11"/>
          <w:w w:val="115"/>
        </w:rPr>
        <w:t> </w:t>
      </w:r>
      <w:r>
        <w:rPr>
          <w:w w:val="115"/>
        </w:rPr>
        <w:t>tiene</w:t>
      </w:r>
      <w:r>
        <w:rPr>
          <w:spacing w:val="-11"/>
          <w:w w:val="115"/>
        </w:rPr>
        <w:t> </w:t>
      </w:r>
      <w:r>
        <w:rPr>
          <w:w w:val="115"/>
        </w:rPr>
        <w:t>oportu- nidades en proyectos de infraestructuras a gran escala, tales como plantas de energía, trenes, petróleo y gas. </w:t>
      </w:r>
      <w:r>
        <w:rPr>
          <w:spacing w:val="-3"/>
          <w:w w:val="115"/>
        </w:rPr>
        <w:t>tailandia </w:t>
      </w:r>
      <w:r>
        <w:rPr>
          <w:w w:val="115"/>
        </w:rPr>
        <w:t>es un centro de fabricación</w:t>
      </w:r>
      <w:r>
        <w:rPr>
          <w:spacing w:val="-15"/>
          <w:w w:val="115"/>
        </w:rPr>
        <w:t> </w:t>
      </w:r>
      <w:r>
        <w:rPr>
          <w:w w:val="115"/>
        </w:rPr>
        <w:t>de</w:t>
      </w:r>
      <w:r>
        <w:rPr>
          <w:spacing w:val="-15"/>
          <w:w w:val="115"/>
        </w:rPr>
        <w:t> </w:t>
      </w:r>
      <w:r>
        <w:rPr>
          <w:w w:val="115"/>
        </w:rPr>
        <w:t>automóviles</w:t>
      </w:r>
      <w:r>
        <w:rPr>
          <w:spacing w:val="-15"/>
          <w:w w:val="115"/>
        </w:rPr>
        <w:t> </w:t>
      </w:r>
      <w:r>
        <w:rPr>
          <w:w w:val="115"/>
        </w:rPr>
        <w:t>y</w:t>
      </w:r>
      <w:r>
        <w:rPr>
          <w:spacing w:val="-15"/>
          <w:w w:val="115"/>
        </w:rPr>
        <w:t> </w:t>
      </w:r>
      <w:r>
        <w:rPr>
          <w:w w:val="115"/>
        </w:rPr>
        <w:t>cuenta</w:t>
      </w:r>
      <w:r>
        <w:rPr>
          <w:spacing w:val="-15"/>
          <w:w w:val="115"/>
        </w:rPr>
        <w:t> </w:t>
      </w:r>
      <w:r>
        <w:rPr>
          <w:w w:val="115"/>
        </w:rPr>
        <w:t>con</w:t>
      </w:r>
      <w:r>
        <w:rPr>
          <w:spacing w:val="-15"/>
          <w:w w:val="115"/>
        </w:rPr>
        <w:t> </w:t>
      </w:r>
      <w:r>
        <w:rPr>
          <w:w w:val="115"/>
        </w:rPr>
        <w:t>importantes</w:t>
      </w:r>
      <w:r>
        <w:rPr>
          <w:spacing w:val="-15"/>
          <w:w w:val="115"/>
        </w:rPr>
        <w:t> </w:t>
      </w:r>
      <w:r>
        <w:rPr>
          <w:w w:val="115"/>
        </w:rPr>
        <w:t>oportunidades en</w:t>
      </w:r>
      <w:r>
        <w:rPr>
          <w:spacing w:val="-23"/>
          <w:w w:val="115"/>
        </w:rPr>
        <w:t> </w:t>
      </w:r>
      <w:r>
        <w:rPr>
          <w:w w:val="115"/>
        </w:rPr>
        <w:t>alimentación,</w:t>
      </w:r>
      <w:r>
        <w:rPr>
          <w:spacing w:val="-23"/>
          <w:w w:val="115"/>
        </w:rPr>
        <w:t> </w:t>
      </w:r>
      <w:r>
        <w:rPr>
          <w:w w:val="115"/>
        </w:rPr>
        <w:t>energía</w:t>
      </w:r>
      <w:r>
        <w:rPr>
          <w:spacing w:val="-23"/>
          <w:w w:val="115"/>
        </w:rPr>
        <w:t> </w:t>
      </w:r>
      <w:r>
        <w:rPr>
          <w:w w:val="115"/>
        </w:rPr>
        <w:t>y</w:t>
      </w:r>
      <w:r>
        <w:rPr>
          <w:spacing w:val="-23"/>
          <w:w w:val="115"/>
        </w:rPr>
        <w:t> </w:t>
      </w:r>
      <w:r>
        <w:rPr>
          <w:w w:val="115"/>
        </w:rPr>
        <w:t>comunicaciones.</w:t>
      </w:r>
    </w:p>
    <w:p>
      <w:pPr>
        <w:pStyle w:val="BodyText"/>
        <w:spacing w:line="252" w:lineRule="auto"/>
        <w:ind w:left="100" w:right="328" w:firstLine="396"/>
        <w:jc w:val="both"/>
      </w:pPr>
      <w:r>
        <w:rPr>
          <w:spacing w:val="-2"/>
          <w:w w:val="236"/>
        </w:rPr>
        <w:t>l</w:t>
      </w:r>
      <w:r>
        <w:rPr>
          <w:spacing w:val="-2"/>
          <w:w w:val="104"/>
        </w:rPr>
        <w:t>o</w:t>
      </w:r>
      <w:r>
        <w:rPr>
          <w:w w:val="104"/>
        </w:rPr>
        <w:t>s</w:t>
      </w:r>
      <w:r>
        <w:rPr>
          <w:spacing w:val="-1"/>
        </w:rPr>
        <w:t> </w:t>
      </w:r>
      <w:r>
        <w:rPr>
          <w:spacing w:val="-2"/>
          <w:w w:val="107"/>
        </w:rPr>
        <w:t>banco</w:t>
      </w:r>
      <w:r>
        <w:rPr>
          <w:w w:val="107"/>
        </w:rPr>
        <w:t>s</w:t>
      </w:r>
      <w:r>
        <w:rPr>
          <w:spacing w:val="-1"/>
        </w:rPr>
        <w:t> </w:t>
      </w:r>
      <w:r>
        <w:rPr>
          <w:spacing w:val="-2"/>
          <w:w w:val="108"/>
        </w:rPr>
        <w:t>chino</w:t>
      </w:r>
      <w:r>
        <w:rPr>
          <w:w w:val="108"/>
        </w:rPr>
        <w:t>s</w:t>
      </w:r>
      <w:r>
        <w:rPr>
          <w:spacing w:val="-1"/>
        </w:rPr>
        <w:t> </w:t>
      </w:r>
      <w:r>
        <w:rPr>
          <w:spacing w:val="-2"/>
          <w:w w:val="105"/>
        </w:rPr>
        <w:t>está</w:t>
      </w:r>
      <w:r>
        <w:rPr>
          <w:w w:val="105"/>
        </w:rPr>
        <w:t>n</w:t>
      </w:r>
      <w:r>
        <w:rPr>
          <w:spacing w:val="-1"/>
        </w:rPr>
        <w:t> </w:t>
      </w:r>
      <w:r>
        <w:rPr>
          <w:spacing w:val="-2"/>
          <w:w w:val="107"/>
        </w:rPr>
        <w:t>incrementand</w:t>
      </w:r>
      <w:r>
        <w:rPr>
          <w:w w:val="107"/>
        </w:rPr>
        <w:t>o</w:t>
      </w:r>
      <w:r>
        <w:rPr>
          <w:spacing w:val="-1"/>
        </w:rPr>
        <w:t> </w:t>
      </w:r>
      <w:r>
        <w:rPr>
          <w:spacing w:val="-2"/>
          <w:w w:val="103"/>
        </w:rPr>
        <w:t>e</w:t>
      </w:r>
      <w:r>
        <w:rPr>
          <w:w w:val="103"/>
        </w:rPr>
        <w:t>l</w:t>
      </w:r>
      <w:r>
        <w:rPr>
          <w:spacing w:val="-1"/>
        </w:rPr>
        <w:t> </w:t>
      </w:r>
      <w:r>
        <w:rPr>
          <w:spacing w:val="-2"/>
          <w:w w:val="106"/>
        </w:rPr>
        <w:t>us</w:t>
      </w:r>
      <w:r>
        <w:rPr>
          <w:w w:val="106"/>
        </w:rPr>
        <w:t>o</w:t>
      </w:r>
      <w:r>
        <w:rPr>
          <w:spacing w:val="-1"/>
        </w:rPr>
        <w:t> </w:t>
      </w:r>
      <w:r>
        <w:rPr>
          <w:spacing w:val="-2"/>
          <w:w w:val="104"/>
        </w:rPr>
        <w:t>de</w:t>
      </w:r>
      <w:r>
        <w:rPr>
          <w:w w:val="104"/>
        </w:rPr>
        <w:t>l</w:t>
      </w:r>
      <w:r>
        <w:rPr>
          <w:spacing w:val="-1"/>
        </w:rPr>
        <w:t> </w:t>
      </w:r>
      <w:r>
        <w:rPr>
          <w:spacing w:val="-2"/>
          <w:w w:val="107"/>
        </w:rPr>
        <w:t>renminb</w:t>
      </w:r>
      <w:r>
        <w:rPr>
          <w:w w:val="107"/>
        </w:rPr>
        <w:t>i</w:t>
      </w:r>
      <w:r>
        <w:rPr>
          <w:spacing w:val="-1"/>
        </w:rPr>
        <w:t> </w:t>
      </w:r>
      <w:r>
        <w:rPr>
          <w:spacing w:val="-2"/>
          <w:w w:val="103"/>
        </w:rPr>
        <w:t>entr</w:t>
      </w:r>
      <w:r>
        <w:rPr>
          <w:w w:val="103"/>
        </w:rPr>
        <w:t>e</w:t>
      </w:r>
      <w:r>
        <w:rPr>
          <w:spacing w:val="-1"/>
        </w:rPr>
        <w:t> </w:t>
      </w:r>
      <w:r>
        <w:rPr>
          <w:spacing w:val="-2"/>
          <w:w w:val="105"/>
        </w:rPr>
        <w:t>los </w:t>
      </w:r>
      <w:r>
        <w:rPr>
          <w:w w:val="110"/>
        </w:rPr>
        <w:t>países de la asEaN mediante la ampliación del ámbito de aplicación de la</w:t>
      </w:r>
      <w:r>
        <w:rPr>
          <w:spacing w:val="-30"/>
          <w:w w:val="110"/>
        </w:rPr>
        <w:t> </w:t>
      </w:r>
      <w:r>
        <w:rPr>
          <w:w w:val="110"/>
        </w:rPr>
        <w:t>convertibilidad</w:t>
      </w:r>
      <w:r>
        <w:rPr>
          <w:spacing w:val="-30"/>
          <w:w w:val="110"/>
        </w:rPr>
        <w:t> </w:t>
      </w:r>
      <w:r>
        <w:rPr>
          <w:w w:val="110"/>
        </w:rPr>
        <w:t>monetaria</w:t>
      </w:r>
      <w:r>
        <w:rPr>
          <w:spacing w:val="-30"/>
          <w:w w:val="110"/>
        </w:rPr>
        <w:t> </w:t>
      </w:r>
      <w:r>
        <w:rPr>
          <w:w w:val="110"/>
        </w:rPr>
        <w:t>y</w:t>
      </w:r>
      <w:r>
        <w:rPr>
          <w:spacing w:val="-30"/>
          <w:w w:val="110"/>
        </w:rPr>
        <w:t> </w:t>
      </w:r>
      <w:r>
        <w:rPr>
          <w:w w:val="110"/>
        </w:rPr>
        <w:t>la</w:t>
      </w:r>
      <w:r>
        <w:rPr>
          <w:spacing w:val="-30"/>
          <w:w w:val="110"/>
        </w:rPr>
        <w:t> </w:t>
      </w:r>
      <w:r>
        <w:rPr>
          <w:w w:val="110"/>
        </w:rPr>
        <w:t>realización</w:t>
      </w:r>
      <w:r>
        <w:rPr>
          <w:spacing w:val="-30"/>
          <w:w w:val="110"/>
        </w:rPr>
        <w:t> </w:t>
      </w:r>
      <w:r>
        <w:rPr>
          <w:w w:val="110"/>
        </w:rPr>
        <w:t>de</w:t>
      </w:r>
      <w:r>
        <w:rPr>
          <w:spacing w:val="-30"/>
          <w:w w:val="110"/>
        </w:rPr>
        <w:t> </w:t>
      </w:r>
      <w:r>
        <w:rPr>
          <w:w w:val="110"/>
        </w:rPr>
        <w:t>pruebas</w:t>
      </w:r>
      <w:r>
        <w:rPr>
          <w:spacing w:val="-30"/>
          <w:w w:val="110"/>
        </w:rPr>
        <w:t> </w:t>
      </w:r>
      <w:r>
        <w:rPr>
          <w:i/>
          <w:spacing w:val="-3"/>
          <w:w w:val="110"/>
        </w:rPr>
        <w:t>offshore</w:t>
      </w:r>
      <w:r>
        <w:rPr>
          <w:i/>
          <w:spacing w:val="-30"/>
          <w:w w:val="110"/>
        </w:rPr>
        <w:t> </w:t>
      </w:r>
      <w:r>
        <w:rPr>
          <w:w w:val="110"/>
        </w:rPr>
        <w:t>de</w:t>
      </w:r>
      <w:r>
        <w:rPr>
          <w:spacing w:val="-30"/>
          <w:w w:val="110"/>
        </w:rPr>
        <w:t> </w:t>
      </w:r>
      <w:r>
        <w:rPr>
          <w:w w:val="110"/>
        </w:rPr>
        <w:t>la</w:t>
      </w:r>
      <w:r>
        <w:rPr>
          <w:spacing w:val="-30"/>
          <w:w w:val="110"/>
        </w:rPr>
        <w:t> </w:t>
      </w:r>
      <w:r>
        <w:rPr>
          <w:w w:val="110"/>
        </w:rPr>
        <w:t>mo-</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neda.</w:t>
      </w:r>
      <w:r>
        <w:rPr>
          <w:spacing w:val="-15"/>
          <w:w w:val="110"/>
        </w:rPr>
        <w:t> </w:t>
      </w:r>
      <w:r>
        <w:rPr>
          <w:w w:val="110"/>
        </w:rPr>
        <w:t>singapur</w:t>
      </w:r>
      <w:r>
        <w:rPr>
          <w:spacing w:val="-15"/>
          <w:w w:val="110"/>
        </w:rPr>
        <w:t> </w:t>
      </w:r>
      <w:r>
        <w:rPr>
          <w:w w:val="110"/>
        </w:rPr>
        <w:t>registra</w:t>
      </w:r>
      <w:r>
        <w:rPr>
          <w:spacing w:val="-15"/>
          <w:w w:val="110"/>
        </w:rPr>
        <w:t> </w:t>
      </w:r>
      <w:r>
        <w:rPr>
          <w:w w:val="110"/>
        </w:rPr>
        <w:t>la</w:t>
      </w:r>
      <w:r>
        <w:rPr>
          <w:spacing w:val="-15"/>
          <w:w w:val="110"/>
        </w:rPr>
        <w:t> </w:t>
      </w:r>
      <w:r>
        <w:rPr>
          <w:w w:val="110"/>
        </w:rPr>
        <w:t>tercera</w:t>
      </w:r>
      <w:r>
        <w:rPr>
          <w:spacing w:val="-15"/>
          <w:w w:val="110"/>
        </w:rPr>
        <w:t> </w:t>
      </w:r>
      <w:r>
        <w:rPr>
          <w:w w:val="110"/>
        </w:rPr>
        <w:t>mayor</w:t>
      </w:r>
      <w:r>
        <w:rPr>
          <w:spacing w:val="-15"/>
          <w:w w:val="110"/>
        </w:rPr>
        <w:t> </w:t>
      </w:r>
      <w:r>
        <w:rPr>
          <w:w w:val="110"/>
        </w:rPr>
        <w:t>cantidad</w:t>
      </w:r>
      <w:r>
        <w:rPr>
          <w:spacing w:val="-15"/>
          <w:w w:val="110"/>
        </w:rPr>
        <w:t> </w:t>
      </w:r>
      <w:r>
        <w:rPr>
          <w:w w:val="110"/>
        </w:rPr>
        <w:t>de</w:t>
      </w:r>
      <w:r>
        <w:rPr>
          <w:spacing w:val="-15"/>
          <w:w w:val="110"/>
        </w:rPr>
        <w:t> </w:t>
      </w:r>
      <w:r>
        <w:rPr>
          <w:w w:val="110"/>
        </w:rPr>
        <w:t>pago</w:t>
      </w:r>
      <w:r>
        <w:rPr>
          <w:spacing w:val="-15"/>
          <w:w w:val="110"/>
        </w:rPr>
        <w:t> </w:t>
      </w:r>
      <w:r>
        <w:rPr>
          <w:w w:val="110"/>
        </w:rPr>
        <w:t>con</w:t>
      </w:r>
      <w:r>
        <w:rPr>
          <w:spacing w:val="-15"/>
          <w:w w:val="110"/>
        </w:rPr>
        <w:t> </w:t>
      </w:r>
      <w:r>
        <w:rPr>
          <w:w w:val="110"/>
        </w:rPr>
        <w:t>renminbi (rMb) en asia –excluyendo Hong Kong y China continental–, lo que</w:t>
      </w:r>
      <w:r>
        <w:rPr>
          <w:spacing w:val="-14"/>
          <w:w w:val="110"/>
        </w:rPr>
        <w:t> </w:t>
      </w:r>
      <w:r>
        <w:rPr>
          <w:w w:val="110"/>
        </w:rPr>
        <w:t>du- plicó</w:t>
      </w:r>
      <w:r>
        <w:rPr>
          <w:spacing w:val="-20"/>
          <w:w w:val="110"/>
        </w:rPr>
        <w:t> </w:t>
      </w:r>
      <w:r>
        <w:rPr>
          <w:w w:val="110"/>
        </w:rPr>
        <w:t>el</w:t>
      </w:r>
      <w:r>
        <w:rPr>
          <w:spacing w:val="-20"/>
          <w:w w:val="110"/>
        </w:rPr>
        <w:t> </w:t>
      </w:r>
      <w:r>
        <w:rPr>
          <w:w w:val="110"/>
        </w:rPr>
        <w:t>contrato</w:t>
      </w:r>
      <w:r>
        <w:rPr>
          <w:spacing w:val="-20"/>
          <w:w w:val="110"/>
        </w:rPr>
        <w:t> </w:t>
      </w:r>
      <w:r>
        <w:rPr>
          <w:w w:val="110"/>
        </w:rPr>
        <w:t>de</w:t>
      </w:r>
      <w:r>
        <w:rPr>
          <w:spacing w:val="-20"/>
          <w:w w:val="110"/>
        </w:rPr>
        <w:t> </w:t>
      </w:r>
      <w:r>
        <w:rPr>
          <w:w w:val="110"/>
        </w:rPr>
        <w:t>permuta</w:t>
      </w:r>
      <w:r>
        <w:rPr>
          <w:spacing w:val="-20"/>
          <w:w w:val="110"/>
        </w:rPr>
        <w:t> </w:t>
      </w:r>
      <w:r>
        <w:rPr>
          <w:w w:val="110"/>
        </w:rPr>
        <w:t>financiera</w:t>
      </w:r>
      <w:r>
        <w:rPr>
          <w:spacing w:val="-20"/>
          <w:w w:val="110"/>
        </w:rPr>
        <w:t> </w:t>
      </w:r>
      <w:r>
        <w:rPr>
          <w:w w:val="110"/>
        </w:rPr>
        <w:t>a</w:t>
      </w:r>
      <w:r>
        <w:rPr>
          <w:spacing w:val="-20"/>
          <w:w w:val="110"/>
        </w:rPr>
        <w:t> </w:t>
      </w:r>
      <w:r>
        <w:rPr>
          <w:w w:val="110"/>
        </w:rPr>
        <w:t>300.000</w:t>
      </w:r>
      <w:r>
        <w:rPr>
          <w:spacing w:val="-20"/>
          <w:w w:val="110"/>
        </w:rPr>
        <w:t> </w:t>
      </w:r>
      <w:r>
        <w:rPr>
          <w:w w:val="110"/>
        </w:rPr>
        <w:t>millones</w:t>
      </w:r>
      <w:r>
        <w:rPr>
          <w:spacing w:val="-20"/>
          <w:w w:val="110"/>
        </w:rPr>
        <w:t> </w:t>
      </w:r>
      <w:r>
        <w:rPr>
          <w:w w:val="110"/>
        </w:rPr>
        <w:t>de</w:t>
      </w:r>
      <w:r>
        <w:rPr>
          <w:spacing w:val="-20"/>
          <w:w w:val="110"/>
        </w:rPr>
        <w:t> </w:t>
      </w:r>
      <w:r>
        <w:rPr>
          <w:w w:val="110"/>
        </w:rPr>
        <w:t>yuanes</w:t>
      </w:r>
      <w:r>
        <w:rPr>
          <w:spacing w:val="-20"/>
          <w:w w:val="110"/>
        </w:rPr>
        <w:t> </w:t>
      </w:r>
      <w:r>
        <w:rPr>
          <w:spacing w:val="-5"/>
          <w:w w:val="110"/>
        </w:rPr>
        <w:t>fir- </w:t>
      </w:r>
      <w:r>
        <w:rPr>
          <w:w w:val="110"/>
        </w:rPr>
        <w:t>mado</w:t>
      </w:r>
      <w:r>
        <w:rPr>
          <w:spacing w:val="-19"/>
          <w:w w:val="110"/>
        </w:rPr>
        <w:t> </w:t>
      </w:r>
      <w:r>
        <w:rPr>
          <w:w w:val="110"/>
        </w:rPr>
        <w:t>en</w:t>
      </w:r>
      <w:r>
        <w:rPr>
          <w:spacing w:val="-19"/>
          <w:w w:val="110"/>
        </w:rPr>
        <w:t> </w:t>
      </w:r>
      <w:r>
        <w:rPr>
          <w:w w:val="110"/>
        </w:rPr>
        <w:t>2014.</w:t>
      </w:r>
      <w:r>
        <w:rPr>
          <w:spacing w:val="-19"/>
          <w:w w:val="110"/>
        </w:rPr>
        <w:t> </w:t>
      </w:r>
      <w:r>
        <w:rPr>
          <w:w w:val="110"/>
        </w:rPr>
        <w:t>Esto</w:t>
      </w:r>
      <w:r>
        <w:rPr>
          <w:spacing w:val="-19"/>
          <w:w w:val="110"/>
        </w:rPr>
        <w:t> </w:t>
      </w:r>
      <w:r>
        <w:rPr>
          <w:w w:val="110"/>
        </w:rPr>
        <w:t>pone</w:t>
      </w:r>
      <w:r>
        <w:rPr>
          <w:spacing w:val="-19"/>
          <w:w w:val="110"/>
        </w:rPr>
        <w:t> </w:t>
      </w:r>
      <w:r>
        <w:rPr>
          <w:w w:val="110"/>
        </w:rPr>
        <w:t>de</w:t>
      </w:r>
      <w:r>
        <w:rPr>
          <w:spacing w:val="-19"/>
          <w:w w:val="110"/>
        </w:rPr>
        <w:t> </w:t>
      </w:r>
      <w:r>
        <w:rPr>
          <w:w w:val="110"/>
        </w:rPr>
        <w:t>relieve</w:t>
      </w:r>
      <w:r>
        <w:rPr>
          <w:spacing w:val="-19"/>
          <w:w w:val="110"/>
        </w:rPr>
        <w:t> </w:t>
      </w:r>
      <w:r>
        <w:rPr>
          <w:w w:val="110"/>
        </w:rPr>
        <w:t>la</w:t>
      </w:r>
      <w:r>
        <w:rPr>
          <w:spacing w:val="-19"/>
          <w:w w:val="110"/>
        </w:rPr>
        <w:t> </w:t>
      </w:r>
      <w:r>
        <w:rPr>
          <w:w w:val="110"/>
        </w:rPr>
        <w:t>creciente</w:t>
      </w:r>
      <w:r>
        <w:rPr>
          <w:spacing w:val="-19"/>
          <w:w w:val="110"/>
        </w:rPr>
        <w:t> </w:t>
      </w:r>
      <w:r>
        <w:rPr>
          <w:w w:val="110"/>
        </w:rPr>
        <w:t>importancia</w:t>
      </w:r>
      <w:r>
        <w:rPr>
          <w:spacing w:val="-19"/>
          <w:w w:val="110"/>
        </w:rPr>
        <w:t> </w:t>
      </w:r>
      <w:r>
        <w:rPr>
          <w:w w:val="110"/>
        </w:rPr>
        <w:t>de</w:t>
      </w:r>
      <w:r>
        <w:rPr>
          <w:spacing w:val="-19"/>
          <w:w w:val="110"/>
        </w:rPr>
        <w:t> </w:t>
      </w:r>
      <w:r>
        <w:rPr>
          <w:w w:val="110"/>
        </w:rPr>
        <w:t>la</w:t>
      </w:r>
      <w:r>
        <w:rPr>
          <w:spacing w:val="-19"/>
          <w:w w:val="110"/>
        </w:rPr>
        <w:t> </w:t>
      </w:r>
      <w:r>
        <w:rPr>
          <w:spacing w:val="-2"/>
          <w:w w:val="110"/>
        </w:rPr>
        <w:t>región </w:t>
      </w:r>
      <w:r>
        <w:rPr>
          <w:w w:val="110"/>
        </w:rPr>
        <w:t>de la asEaN para el uso de rMb, que puede dar a la ciudad-Estado </w:t>
      </w:r>
      <w:r>
        <w:rPr>
          <w:spacing w:val="-2"/>
          <w:w w:val="110"/>
        </w:rPr>
        <w:t>del </w:t>
      </w:r>
      <w:r>
        <w:rPr>
          <w:w w:val="110"/>
        </w:rPr>
        <w:t>sudeste</w:t>
      </w:r>
      <w:r>
        <w:rPr>
          <w:spacing w:val="-20"/>
          <w:w w:val="110"/>
        </w:rPr>
        <w:t> </w:t>
      </w:r>
      <w:r>
        <w:rPr>
          <w:w w:val="110"/>
        </w:rPr>
        <w:t>asiático</w:t>
      </w:r>
      <w:r>
        <w:rPr>
          <w:spacing w:val="-20"/>
          <w:w w:val="110"/>
        </w:rPr>
        <w:t> </w:t>
      </w:r>
      <w:r>
        <w:rPr>
          <w:w w:val="110"/>
        </w:rPr>
        <w:t>una</w:t>
      </w:r>
      <w:r>
        <w:rPr>
          <w:spacing w:val="-20"/>
          <w:w w:val="110"/>
        </w:rPr>
        <w:t> </w:t>
      </w:r>
      <w:r>
        <w:rPr>
          <w:w w:val="110"/>
        </w:rPr>
        <w:t>ventaja</w:t>
      </w:r>
      <w:r>
        <w:rPr>
          <w:spacing w:val="-20"/>
          <w:w w:val="110"/>
        </w:rPr>
        <w:t> </w:t>
      </w:r>
      <w:r>
        <w:rPr>
          <w:w w:val="110"/>
        </w:rPr>
        <w:t>en</w:t>
      </w:r>
      <w:r>
        <w:rPr>
          <w:spacing w:val="-20"/>
          <w:w w:val="110"/>
        </w:rPr>
        <w:t> </w:t>
      </w:r>
      <w:r>
        <w:rPr>
          <w:w w:val="110"/>
        </w:rPr>
        <w:t>los</w:t>
      </w:r>
      <w:r>
        <w:rPr>
          <w:spacing w:val="-20"/>
          <w:w w:val="110"/>
        </w:rPr>
        <w:t> </w:t>
      </w:r>
      <w:r>
        <w:rPr>
          <w:w w:val="110"/>
        </w:rPr>
        <w:t>mercados</w:t>
      </w:r>
      <w:r>
        <w:rPr>
          <w:spacing w:val="-20"/>
          <w:w w:val="110"/>
        </w:rPr>
        <w:t> </w:t>
      </w:r>
      <w:r>
        <w:rPr>
          <w:i/>
          <w:spacing w:val="-3"/>
          <w:w w:val="110"/>
        </w:rPr>
        <w:t>offshore</w:t>
      </w:r>
      <w:r>
        <w:rPr>
          <w:i/>
          <w:spacing w:val="-20"/>
          <w:w w:val="110"/>
        </w:rPr>
        <w:t> </w:t>
      </w:r>
      <w:r>
        <w:rPr>
          <w:w w:val="110"/>
        </w:rPr>
        <w:t>de</w:t>
      </w:r>
      <w:r>
        <w:rPr>
          <w:spacing w:val="-20"/>
          <w:w w:val="110"/>
        </w:rPr>
        <w:t> </w:t>
      </w:r>
      <w:r>
        <w:rPr>
          <w:w w:val="110"/>
        </w:rPr>
        <w:t>la</w:t>
      </w:r>
      <w:r>
        <w:rPr>
          <w:spacing w:val="-20"/>
          <w:w w:val="110"/>
        </w:rPr>
        <w:t> </w:t>
      </w:r>
      <w:r>
        <w:rPr>
          <w:w w:val="110"/>
        </w:rPr>
        <w:t>región.</w:t>
      </w:r>
    </w:p>
    <w:p>
      <w:pPr>
        <w:pStyle w:val="BodyText"/>
        <w:spacing w:line="252" w:lineRule="auto"/>
        <w:ind w:left="330" w:right="118" w:firstLine="396"/>
        <w:jc w:val="both"/>
      </w:pPr>
      <w:r>
        <w:rPr>
          <w:w w:val="243"/>
        </w:rPr>
        <w:t>l</w:t>
      </w:r>
      <w:r>
        <w:rPr>
          <w:w w:val="112"/>
        </w:rPr>
        <w:t>a</w:t>
      </w:r>
      <w:r>
        <w:rPr>
          <w:spacing w:val="13"/>
        </w:rPr>
        <w:t> </w:t>
      </w:r>
      <w:r>
        <w:rPr>
          <w:w w:val="111"/>
        </w:rPr>
        <w:t>declaración</w:t>
      </w:r>
      <w:r>
        <w:rPr>
          <w:spacing w:val="13"/>
        </w:rPr>
        <w:t> </w:t>
      </w:r>
      <w:r>
        <w:rPr>
          <w:w w:val="109"/>
        </w:rPr>
        <w:t>presidencial</w:t>
      </w:r>
      <w:r>
        <w:rPr>
          <w:spacing w:val="13"/>
        </w:rPr>
        <w:t> </w:t>
      </w:r>
      <w:r>
        <w:rPr>
          <w:w w:val="110"/>
        </w:rPr>
        <w:t>emitida</w:t>
      </w:r>
      <w:r>
        <w:rPr>
          <w:spacing w:val="13"/>
        </w:rPr>
        <w:t> </w:t>
      </w:r>
      <w:r>
        <w:rPr>
          <w:w w:val="107"/>
        </w:rPr>
        <w:t>después</w:t>
      </w:r>
      <w:r>
        <w:rPr>
          <w:spacing w:val="13"/>
        </w:rPr>
        <w:t> </w:t>
      </w:r>
      <w:r>
        <w:rPr>
          <w:w w:val="107"/>
        </w:rPr>
        <w:t>de</w:t>
      </w:r>
      <w:r>
        <w:rPr>
          <w:spacing w:val="13"/>
        </w:rPr>
        <w:t> </w:t>
      </w:r>
      <w:r>
        <w:rPr>
          <w:w w:val="111"/>
        </w:rPr>
        <w:t>la</w:t>
      </w:r>
      <w:r>
        <w:rPr>
          <w:spacing w:val="13"/>
        </w:rPr>
        <w:t> </w:t>
      </w:r>
      <w:r>
        <w:rPr>
          <w:w w:val="96"/>
        </w:rPr>
        <w:t>17º</w:t>
      </w:r>
      <w:r>
        <w:rPr>
          <w:spacing w:val="13"/>
        </w:rPr>
        <w:t> </w:t>
      </w:r>
      <w:r>
        <w:rPr>
          <w:w w:val="110"/>
        </w:rPr>
        <w:t>reunión</w:t>
      </w:r>
      <w:r>
        <w:rPr>
          <w:spacing w:val="13"/>
        </w:rPr>
        <w:t> </w:t>
      </w:r>
      <w:r>
        <w:rPr>
          <w:w w:val="107"/>
        </w:rPr>
        <w:t>de </w:t>
      </w:r>
      <w:r>
        <w:rPr>
          <w:w w:val="115"/>
        </w:rPr>
        <w:t>líderes entre la asociación de Naciones del sudeste asiático y</w:t>
      </w:r>
      <w:r>
        <w:rPr>
          <w:spacing w:val="-13"/>
          <w:w w:val="115"/>
        </w:rPr>
        <w:t> </w:t>
      </w:r>
      <w:r>
        <w:rPr>
          <w:w w:val="115"/>
        </w:rPr>
        <w:t>China, destacó</w:t>
      </w:r>
      <w:r>
        <w:rPr>
          <w:spacing w:val="-21"/>
          <w:w w:val="115"/>
        </w:rPr>
        <w:t> </w:t>
      </w:r>
      <w:r>
        <w:rPr>
          <w:w w:val="115"/>
        </w:rPr>
        <w:t>la</w:t>
      </w:r>
      <w:r>
        <w:rPr>
          <w:spacing w:val="-21"/>
          <w:w w:val="115"/>
        </w:rPr>
        <w:t> </w:t>
      </w:r>
      <w:r>
        <w:rPr>
          <w:w w:val="115"/>
        </w:rPr>
        <w:t>importancia</w:t>
      </w:r>
      <w:r>
        <w:rPr>
          <w:spacing w:val="-21"/>
          <w:w w:val="115"/>
        </w:rPr>
        <w:t> </w:t>
      </w:r>
      <w:r>
        <w:rPr>
          <w:w w:val="115"/>
        </w:rPr>
        <w:t>crucial</w:t>
      </w:r>
      <w:r>
        <w:rPr>
          <w:spacing w:val="-21"/>
          <w:w w:val="115"/>
        </w:rPr>
        <w:t> </w:t>
      </w:r>
      <w:r>
        <w:rPr>
          <w:w w:val="115"/>
        </w:rPr>
        <w:t>de</w:t>
      </w:r>
      <w:r>
        <w:rPr>
          <w:spacing w:val="-21"/>
          <w:w w:val="115"/>
        </w:rPr>
        <w:t> </w:t>
      </w:r>
      <w:r>
        <w:rPr>
          <w:w w:val="115"/>
        </w:rPr>
        <w:t>la</w:t>
      </w:r>
      <w:r>
        <w:rPr>
          <w:spacing w:val="-21"/>
          <w:w w:val="115"/>
        </w:rPr>
        <w:t> </w:t>
      </w:r>
      <w:r>
        <w:rPr>
          <w:w w:val="115"/>
        </w:rPr>
        <w:t>integración</w:t>
      </w:r>
      <w:r>
        <w:rPr>
          <w:spacing w:val="-21"/>
          <w:w w:val="115"/>
        </w:rPr>
        <w:t> </w:t>
      </w:r>
      <w:r>
        <w:rPr>
          <w:w w:val="115"/>
        </w:rPr>
        <w:t>económica</w:t>
      </w:r>
      <w:r>
        <w:rPr>
          <w:spacing w:val="-21"/>
          <w:w w:val="115"/>
        </w:rPr>
        <w:t> </w:t>
      </w:r>
      <w:r>
        <w:rPr>
          <w:w w:val="115"/>
        </w:rPr>
        <w:t>regional</w:t>
      </w:r>
      <w:r>
        <w:rPr>
          <w:spacing w:val="-21"/>
          <w:w w:val="115"/>
        </w:rPr>
        <w:t> </w:t>
      </w:r>
      <w:r>
        <w:rPr>
          <w:w w:val="115"/>
        </w:rPr>
        <w:t>y exaltó</w:t>
      </w:r>
      <w:r>
        <w:rPr>
          <w:spacing w:val="-16"/>
          <w:w w:val="115"/>
        </w:rPr>
        <w:t> </w:t>
      </w:r>
      <w:r>
        <w:rPr>
          <w:w w:val="115"/>
        </w:rPr>
        <w:t>el</w:t>
      </w:r>
      <w:r>
        <w:rPr>
          <w:spacing w:val="-16"/>
          <w:w w:val="115"/>
        </w:rPr>
        <w:t> </w:t>
      </w:r>
      <w:r>
        <w:rPr>
          <w:w w:val="115"/>
        </w:rPr>
        <w:t>proceso</w:t>
      </w:r>
      <w:r>
        <w:rPr>
          <w:spacing w:val="-16"/>
          <w:w w:val="115"/>
        </w:rPr>
        <w:t> </w:t>
      </w:r>
      <w:r>
        <w:rPr>
          <w:w w:val="115"/>
        </w:rPr>
        <w:t>emprendido</w:t>
      </w:r>
      <w:r>
        <w:rPr>
          <w:spacing w:val="-16"/>
          <w:w w:val="115"/>
        </w:rPr>
        <w:t> </w:t>
      </w:r>
      <w:r>
        <w:rPr>
          <w:w w:val="115"/>
        </w:rPr>
        <w:t>hacia</w:t>
      </w:r>
      <w:r>
        <w:rPr>
          <w:spacing w:val="-16"/>
          <w:w w:val="115"/>
        </w:rPr>
        <w:t> </w:t>
      </w:r>
      <w:r>
        <w:rPr>
          <w:w w:val="115"/>
        </w:rPr>
        <w:t>una</w:t>
      </w:r>
      <w:r>
        <w:rPr>
          <w:spacing w:val="-16"/>
          <w:w w:val="115"/>
        </w:rPr>
        <w:t> </w:t>
      </w:r>
      <w:r>
        <w:rPr>
          <w:w w:val="115"/>
        </w:rPr>
        <w:t>mayor</w:t>
      </w:r>
      <w:r>
        <w:rPr>
          <w:spacing w:val="-16"/>
          <w:w w:val="115"/>
        </w:rPr>
        <w:t> </w:t>
      </w:r>
      <w:r>
        <w:rPr>
          <w:w w:val="115"/>
        </w:rPr>
        <w:t>liberalización</w:t>
      </w:r>
      <w:r>
        <w:rPr>
          <w:spacing w:val="-16"/>
          <w:w w:val="115"/>
        </w:rPr>
        <w:t> </w:t>
      </w:r>
      <w:r>
        <w:rPr>
          <w:spacing w:val="-3"/>
          <w:w w:val="115"/>
        </w:rPr>
        <w:t>comer- </w:t>
      </w:r>
      <w:r>
        <w:rPr>
          <w:w w:val="116"/>
        </w:rPr>
        <w:t>cial,</w:t>
      </w:r>
      <w:r>
        <w:rPr>
          <w:spacing w:val="8"/>
        </w:rPr>
        <w:t> </w:t>
      </w:r>
      <w:r>
        <w:rPr>
          <w:w w:val="110"/>
        </w:rPr>
        <w:t>incluyendo</w:t>
      </w:r>
      <w:r>
        <w:rPr>
          <w:spacing w:val="8"/>
        </w:rPr>
        <w:t> </w:t>
      </w:r>
      <w:r>
        <w:rPr>
          <w:w w:val="107"/>
        </w:rPr>
        <w:t>el</w:t>
      </w:r>
      <w:r>
        <w:rPr>
          <w:spacing w:val="8"/>
        </w:rPr>
        <w:t> </w:t>
      </w:r>
      <w:r>
        <w:rPr>
          <w:w w:val="110"/>
        </w:rPr>
        <w:t>mejoramiento</w:t>
      </w:r>
      <w:r>
        <w:rPr>
          <w:spacing w:val="8"/>
        </w:rPr>
        <w:t> </w:t>
      </w:r>
      <w:r>
        <w:rPr>
          <w:w w:val="107"/>
        </w:rPr>
        <w:t>del</w:t>
      </w:r>
      <w:r>
        <w:rPr>
          <w:spacing w:val="8"/>
        </w:rPr>
        <w:t> </w:t>
      </w:r>
      <w:r>
        <w:rPr>
          <w:w w:val="108"/>
        </w:rPr>
        <w:t>Área</w:t>
      </w:r>
      <w:r>
        <w:rPr>
          <w:spacing w:val="8"/>
        </w:rPr>
        <w:t> </w:t>
      </w:r>
      <w:r>
        <w:rPr>
          <w:w w:val="107"/>
        </w:rPr>
        <w:t>de</w:t>
      </w:r>
      <w:r>
        <w:rPr>
          <w:spacing w:val="8"/>
        </w:rPr>
        <w:t> </w:t>
      </w:r>
      <w:r>
        <w:rPr>
          <w:w w:val="243"/>
        </w:rPr>
        <w:t>l</w:t>
      </w:r>
      <w:r>
        <w:rPr>
          <w:w w:val="108"/>
        </w:rPr>
        <w:t>ibre</w:t>
      </w:r>
      <w:r>
        <w:rPr>
          <w:spacing w:val="8"/>
        </w:rPr>
        <w:t> </w:t>
      </w:r>
      <w:r>
        <w:rPr>
          <w:w w:val="112"/>
        </w:rPr>
        <w:t>Comercio</w:t>
      </w:r>
      <w:r>
        <w:rPr>
          <w:spacing w:val="8"/>
        </w:rPr>
        <w:t> </w:t>
      </w:r>
      <w:r>
        <w:rPr>
          <w:w w:val="144"/>
        </w:rPr>
        <w:t>as</w:t>
      </w:r>
      <w:r>
        <w:rPr>
          <w:w w:val="128"/>
        </w:rPr>
        <w:t>E</w:t>
      </w:r>
      <w:r>
        <w:rPr>
          <w:w w:val="139"/>
        </w:rPr>
        <w:t>a</w:t>
      </w:r>
      <w:r>
        <w:rPr>
          <w:w w:val="119"/>
        </w:rPr>
        <w:t>N</w:t>
      </w:r>
      <w:r>
        <w:rPr>
          <w:w w:val="102"/>
        </w:rPr>
        <w:t>- </w:t>
      </w:r>
      <w:r>
        <w:rPr>
          <w:w w:val="115"/>
        </w:rPr>
        <w:t>China</w:t>
      </w:r>
      <w:r>
        <w:rPr>
          <w:spacing w:val="-16"/>
          <w:w w:val="115"/>
        </w:rPr>
        <w:t> </w:t>
      </w:r>
      <w:r>
        <w:rPr>
          <w:spacing w:val="-3"/>
          <w:w w:val="115"/>
        </w:rPr>
        <w:t>(aCFta)</w:t>
      </w:r>
      <w:r>
        <w:rPr>
          <w:spacing w:val="-16"/>
          <w:w w:val="115"/>
        </w:rPr>
        <w:t> </w:t>
      </w:r>
      <w:hyperlink r:id="rId147">
        <w:r>
          <w:rPr>
            <w:w w:val="115"/>
          </w:rPr>
          <w:t>(&lt;www.politica-china.org&gt;,</w:t>
        </w:r>
      </w:hyperlink>
      <w:r>
        <w:rPr>
          <w:spacing w:val="-16"/>
          <w:w w:val="115"/>
        </w:rPr>
        <w:t> </w:t>
      </w:r>
      <w:r>
        <w:rPr>
          <w:w w:val="115"/>
        </w:rPr>
        <w:t>2014).</w:t>
      </w:r>
    </w:p>
    <w:p>
      <w:pPr>
        <w:pStyle w:val="BodyText"/>
        <w:spacing w:before="5"/>
      </w:pPr>
    </w:p>
    <w:p>
      <w:pPr>
        <w:pStyle w:val="Heading6"/>
        <w:ind w:left="331"/>
      </w:pPr>
      <w:r>
        <w:rPr>
          <w:w w:val="135"/>
        </w:rPr>
        <w:t>la asociación reGional econóMica inteGral (crPe)</w:t>
      </w:r>
    </w:p>
    <w:p>
      <w:pPr>
        <w:pStyle w:val="BodyText"/>
        <w:spacing w:line="252" w:lineRule="auto" w:before="10"/>
        <w:ind w:left="330" w:right="117"/>
        <w:jc w:val="both"/>
      </w:pPr>
      <w:r>
        <w:rPr>
          <w:w w:val="115"/>
        </w:rPr>
        <w:t>China</w:t>
      </w:r>
      <w:r>
        <w:rPr>
          <w:spacing w:val="-10"/>
          <w:w w:val="115"/>
        </w:rPr>
        <w:t> </w:t>
      </w:r>
      <w:r>
        <w:rPr>
          <w:w w:val="115"/>
        </w:rPr>
        <w:t>se</w:t>
      </w:r>
      <w:r>
        <w:rPr>
          <w:spacing w:val="-10"/>
          <w:w w:val="115"/>
        </w:rPr>
        <w:t> </w:t>
      </w:r>
      <w:r>
        <w:rPr>
          <w:w w:val="115"/>
        </w:rPr>
        <w:t>comprometió</w:t>
      </w:r>
      <w:r>
        <w:rPr>
          <w:spacing w:val="-10"/>
          <w:w w:val="115"/>
        </w:rPr>
        <w:t> </w:t>
      </w:r>
      <w:r>
        <w:rPr>
          <w:w w:val="115"/>
        </w:rPr>
        <w:t>a</w:t>
      </w:r>
      <w:r>
        <w:rPr>
          <w:spacing w:val="-10"/>
          <w:w w:val="115"/>
        </w:rPr>
        <w:t> </w:t>
      </w:r>
      <w:r>
        <w:rPr>
          <w:w w:val="115"/>
        </w:rPr>
        <w:t>negociar</w:t>
      </w:r>
      <w:r>
        <w:rPr>
          <w:spacing w:val="-10"/>
          <w:w w:val="115"/>
        </w:rPr>
        <w:t> </w:t>
      </w:r>
      <w:r>
        <w:rPr>
          <w:w w:val="115"/>
        </w:rPr>
        <w:t>para</w:t>
      </w:r>
      <w:r>
        <w:rPr>
          <w:spacing w:val="-10"/>
          <w:w w:val="115"/>
        </w:rPr>
        <w:t> </w:t>
      </w:r>
      <w:r>
        <w:rPr>
          <w:w w:val="115"/>
        </w:rPr>
        <w:t>crear</w:t>
      </w:r>
      <w:r>
        <w:rPr>
          <w:spacing w:val="-10"/>
          <w:w w:val="115"/>
        </w:rPr>
        <w:t> </w:t>
      </w:r>
      <w:r>
        <w:rPr>
          <w:w w:val="115"/>
        </w:rPr>
        <w:t>un</w:t>
      </w:r>
      <w:r>
        <w:rPr>
          <w:spacing w:val="-10"/>
          <w:w w:val="115"/>
        </w:rPr>
        <w:t> </w:t>
      </w:r>
      <w:r>
        <w:rPr>
          <w:w w:val="115"/>
        </w:rPr>
        <w:t>bloque</w:t>
      </w:r>
      <w:r>
        <w:rPr>
          <w:spacing w:val="-10"/>
          <w:w w:val="115"/>
        </w:rPr>
        <w:t> </w:t>
      </w:r>
      <w:r>
        <w:rPr>
          <w:w w:val="115"/>
        </w:rPr>
        <w:t>comercial</w:t>
      </w:r>
      <w:r>
        <w:rPr>
          <w:spacing w:val="-10"/>
          <w:w w:val="115"/>
        </w:rPr>
        <w:t> </w:t>
      </w:r>
      <w:r>
        <w:rPr>
          <w:w w:val="115"/>
        </w:rPr>
        <w:t>de 16 naciones, conocida como la asociación regional Económica inte- gral (CrPE o </w:t>
      </w:r>
      <w:r>
        <w:rPr>
          <w:spacing w:val="-6"/>
          <w:w w:val="115"/>
        </w:rPr>
        <w:t>rCEP, </w:t>
      </w:r>
      <w:r>
        <w:rPr>
          <w:w w:val="115"/>
        </w:rPr>
        <w:t>por sus siglas en inglés). En la 21ª Cumbre de la asEaN en Phnom Penh en 2013, se formalizaron los pasos. El CrPE incluirá los 10 miembros de la asociación de Naciones del sudeste asiático más China, india, Japón, Corea del </w:t>
      </w:r>
      <w:r>
        <w:rPr>
          <w:spacing w:val="-6"/>
          <w:w w:val="115"/>
        </w:rPr>
        <w:t>sur, </w:t>
      </w:r>
      <w:r>
        <w:rPr>
          <w:w w:val="115"/>
        </w:rPr>
        <w:t>australia y Nueva Zelanda,</w:t>
      </w:r>
      <w:r>
        <w:rPr>
          <w:spacing w:val="-9"/>
          <w:w w:val="115"/>
        </w:rPr>
        <w:t> </w:t>
      </w:r>
      <w:r>
        <w:rPr>
          <w:w w:val="115"/>
        </w:rPr>
        <w:t>y</w:t>
      </w:r>
      <w:r>
        <w:rPr>
          <w:spacing w:val="-9"/>
          <w:w w:val="115"/>
        </w:rPr>
        <w:t> </w:t>
      </w:r>
      <w:r>
        <w:rPr>
          <w:w w:val="115"/>
        </w:rPr>
        <w:t>cuando</w:t>
      </w:r>
      <w:r>
        <w:rPr>
          <w:spacing w:val="-9"/>
          <w:w w:val="115"/>
        </w:rPr>
        <w:t> </w:t>
      </w:r>
      <w:r>
        <w:rPr>
          <w:w w:val="115"/>
        </w:rPr>
        <w:t>entre</w:t>
      </w:r>
      <w:r>
        <w:rPr>
          <w:spacing w:val="-9"/>
          <w:w w:val="115"/>
        </w:rPr>
        <w:t> </w:t>
      </w:r>
      <w:r>
        <w:rPr>
          <w:w w:val="115"/>
        </w:rPr>
        <w:t>en</w:t>
      </w:r>
      <w:r>
        <w:rPr>
          <w:spacing w:val="-9"/>
          <w:w w:val="115"/>
        </w:rPr>
        <w:t> </w:t>
      </w:r>
      <w:r>
        <w:rPr>
          <w:w w:val="115"/>
        </w:rPr>
        <w:t>funcionamiento</w:t>
      </w:r>
      <w:r>
        <w:rPr>
          <w:spacing w:val="-9"/>
          <w:w w:val="115"/>
        </w:rPr>
        <w:t> </w:t>
      </w:r>
      <w:r>
        <w:rPr>
          <w:w w:val="115"/>
        </w:rPr>
        <w:t>tendrá</w:t>
      </w:r>
      <w:r>
        <w:rPr>
          <w:spacing w:val="-9"/>
          <w:w w:val="115"/>
        </w:rPr>
        <w:t> </w:t>
      </w:r>
      <w:r>
        <w:rPr>
          <w:w w:val="115"/>
        </w:rPr>
        <w:t>el</w:t>
      </w:r>
      <w:r>
        <w:rPr>
          <w:spacing w:val="-9"/>
          <w:w w:val="115"/>
        </w:rPr>
        <w:t> </w:t>
      </w:r>
      <w:r>
        <w:rPr>
          <w:w w:val="115"/>
        </w:rPr>
        <w:t>efecto</w:t>
      </w:r>
      <w:r>
        <w:rPr>
          <w:spacing w:val="-9"/>
          <w:w w:val="115"/>
        </w:rPr>
        <w:t> </w:t>
      </w:r>
      <w:r>
        <w:rPr>
          <w:w w:val="115"/>
        </w:rPr>
        <w:t>de</w:t>
      </w:r>
      <w:r>
        <w:rPr>
          <w:spacing w:val="-9"/>
          <w:w w:val="115"/>
        </w:rPr>
        <w:t> </w:t>
      </w:r>
      <w:r>
        <w:rPr>
          <w:w w:val="115"/>
        </w:rPr>
        <w:t>bajar las</w:t>
      </w:r>
      <w:r>
        <w:rPr>
          <w:spacing w:val="-23"/>
          <w:w w:val="115"/>
        </w:rPr>
        <w:t> </w:t>
      </w:r>
      <w:r>
        <w:rPr>
          <w:w w:val="115"/>
        </w:rPr>
        <w:t>barreras</w:t>
      </w:r>
      <w:r>
        <w:rPr>
          <w:spacing w:val="-23"/>
          <w:w w:val="115"/>
        </w:rPr>
        <w:t> </w:t>
      </w:r>
      <w:r>
        <w:rPr>
          <w:w w:val="115"/>
        </w:rPr>
        <w:t>comerciales</w:t>
      </w:r>
      <w:r>
        <w:rPr>
          <w:spacing w:val="-23"/>
          <w:w w:val="115"/>
        </w:rPr>
        <w:t> </w:t>
      </w:r>
      <w:r>
        <w:rPr>
          <w:w w:val="115"/>
        </w:rPr>
        <w:t>y</w:t>
      </w:r>
      <w:r>
        <w:rPr>
          <w:spacing w:val="-23"/>
          <w:w w:val="115"/>
        </w:rPr>
        <w:t> </w:t>
      </w:r>
      <w:r>
        <w:rPr>
          <w:w w:val="115"/>
        </w:rPr>
        <w:t>los</w:t>
      </w:r>
      <w:r>
        <w:rPr>
          <w:spacing w:val="-23"/>
          <w:w w:val="115"/>
        </w:rPr>
        <w:t> </w:t>
      </w:r>
      <w:r>
        <w:rPr>
          <w:w w:val="115"/>
        </w:rPr>
        <w:t>derechos</w:t>
      </w:r>
      <w:r>
        <w:rPr>
          <w:spacing w:val="-23"/>
          <w:w w:val="115"/>
        </w:rPr>
        <w:t> </w:t>
      </w:r>
      <w:r>
        <w:rPr>
          <w:w w:val="115"/>
        </w:rPr>
        <w:t>arancelarios</w:t>
      </w:r>
      <w:r>
        <w:rPr>
          <w:spacing w:val="-23"/>
          <w:w w:val="115"/>
        </w:rPr>
        <w:t> </w:t>
      </w:r>
      <w:r>
        <w:rPr>
          <w:w w:val="115"/>
        </w:rPr>
        <w:t>en</w:t>
      </w:r>
      <w:r>
        <w:rPr>
          <w:spacing w:val="-23"/>
          <w:w w:val="115"/>
        </w:rPr>
        <w:t> </w:t>
      </w:r>
      <w:r>
        <w:rPr>
          <w:w w:val="115"/>
        </w:rPr>
        <w:t>toda</w:t>
      </w:r>
      <w:r>
        <w:rPr>
          <w:spacing w:val="-23"/>
          <w:w w:val="115"/>
        </w:rPr>
        <w:t> </w:t>
      </w:r>
      <w:r>
        <w:rPr>
          <w:w w:val="115"/>
        </w:rPr>
        <w:t>la</w:t>
      </w:r>
      <w:r>
        <w:rPr>
          <w:spacing w:val="-23"/>
          <w:w w:val="115"/>
        </w:rPr>
        <w:t> </w:t>
      </w:r>
      <w:r>
        <w:rPr>
          <w:w w:val="115"/>
        </w:rPr>
        <w:t>región para</w:t>
      </w:r>
      <w:r>
        <w:rPr>
          <w:spacing w:val="-27"/>
          <w:w w:val="115"/>
        </w:rPr>
        <w:t> </w:t>
      </w:r>
      <w:r>
        <w:rPr>
          <w:w w:val="115"/>
        </w:rPr>
        <w:t>finales</w:t>
      </w:r>
      <w:r>
        <w:rPr>
          <w:spacing w:val="-27"/>
          <w:w w:val="115"/>
        </w:rPr>
        <w:t> </w:t>
      </w:r>
      <w:r>
        <w:rPr>
          <w:w w:val="115"/>
        </w:rPr>
        <w:t>de</w:t>
      </w:r>
      <w:r>
        <w:rPr>
          <w:spacing w:val="-27"/>
          <w:w w:val="115"/>
        </w:rPr>
        <w:t> </w:t>
      </w:r>
      <w:r>
        <w:rPr>
          <w:w w:val="115"/>
        </w:rPr>
        <w:t>2015</w:t>
      </w:r>
      <w:r>
        <w:rPr>
          <w:spacing w:val="-27"/>
          <w:w w:val="115"/>
        </w:rPr>
        <w:t> </w:t>
      </w:r>
      <w:r>
        <w:rPr>
          <w:w w:val="115"/>
        </w:rPr>
        <w:t>(China</w:t>
      </w:r>
      <w:r>
        <w:rPr>
          <w:spacing w:val="-27"/>
          <w:w w:val="115"/>
        </w:rPr>
        <w:t> </w:t>
      </w:r>
      <w:r>
        <w:rPr>
          <w:w w:val="115"/>
        </w:rPr>
        <w:t>briefing,</w:t>
      </w:r>
      <w:r>
        <w:rPr>
          <w:spacing w:val="-27"/>
          <w:w w:val="115"/>
        </w:rPr>
        <w:t> </w:t>
      </w:r>
      <w:r>
        <w:rPr>
          <w:w w:val="115"/>
        </w:rPr>
        <w:t>2013).</w:t>
      </w:r>
    </w:p>
    <w:p>
      <w:pPr>
        <w:pStyle w:val="BodyText"/>
        <w:spacing w:line="252" w:lineRule="auto"/>
        <w:ind w:left="330" w:right="118" w:firstLine="396"/>
        <w:jc w:val="right"/>
      </w:pPr>
      <w:r>
        <w:rPr>
          <w:w w:val="115"/>
        </w:rPr>
        <w:t>algunos</w:t>
      </w:r>
      <w:r>
        <w:rPr>
          <w:spacing w:val="-28"/>
          <w:w w:val="115"/>
        </w:rPr>
        <w:t> </w:t>
      </w:r>
      <w:r>
        <w:rPr>
          <w:w w:val="115"/>
        </w:rPr>
        <w:t>especialistas</w:t>
      </w:r>
      <w:r>
        <w:rPr>
          <w:spacing w:val="-28"/>
          <w:w w:val="115"/>
        </w:rPr>
        <w:t> </w:t>
      </w:r>
      <w:r>
        <w:rPr>
          <w:w w:val="115"/>
        </w:rPr>
        <w:t>han</w:t>
      </w:r>
      <w:r>
        <w:rPr>
          <w:spacing w:val="-28"/>
          <w:w w:val="115"/>
        </w:rPr>
        <w:t> </w:t>
      </w:r>
      <w:r>
        <w:rPr>
          <w:w w:val="115"/>
        </w:rPr>
        <w:t>destacado</w:t>
      </w:r>
      <w:r>
        <w:rPr>
          <w:spacing w:val="-28"/>
          <w:w w:val="115"/>
        </w:rPr>
        <w:t> </w:t>
      </w:r>
      <w:r>
        <w:rPr>
          <w:w w:val="115"/>
        </w:rPr>
        <w:t>que</w:t>
      </w:r>
      <w:r>
        <w:rPr>
          <w:spacing w:val="-28"/>
          <w:w w:val="115"/>
        </w:rPr>
        <w:t> </w:t>
      </w:r>
      <w:r>
        <w:rPr>
          <w:w w:val="115"/>
        </w:rPr>
        <w:t>en</w:t>
      </w:r>
      <w:r>
        <w:rPr>
          <w:spacing w:val="-28"/>
          <w:w w:val="115"/>
        </w:rPr>
        <w:t> </w:t>
      </w:r>
      <w:r>
        <w:rPr>
          <w:w w:val="115"/>
        </w:rPr>
        <w:t>un</w:t>
      </w:r>
      <w:r>
        <w:rPr>
          <w:spacing w:val="-28"/>
          <w:w w:val="115"/>
        </w:rPr>
        <w:t> </w:t>
      </w:r>
      <w:r>
        <w:rPr>
          <w:w w:val="115"/>
        </w:rPr>
        <w:t>inicio</w:t>
      </w:r>
      <w:r>
        <w:rPr>
          <w:spacing w:val="-28"/>
          <w:w w:val="115"/>
        </w:rPr>
        <w:t> </w:t>
      </w:r>
      <w:r>
        <w:rPr>
          <w:w w:val="115"/>
        </w:rPr>
        <w:t>sólo</w:t>
      </w:r>
      <w:r>
        <w:rPr>
          <w:spacing w:val="-28"/>
          <w:w w:val="115"/>
        </w:rPr>
        <w:t> </w:t>
      </w:r>
      <w:r>
        <w:rPr>
          <w:w w:val="115"/>
        </w:rPr>
        <w:t>estaban</w:t>
      </w:r>
      <w:r>
        <w:rPr>
          <w:spacing w:val="-1"/>
          <w:w w:val="109"/>
        </w:rPr>
        <w:t> </w:t>
      </w:r>
      <w:r>
        <w:rPr>
          <w:w w:val="115"/>
        </w:rPr>
        <w:t>comprendidos la asEaN y otras tres naciones (China, Japón</w:t>
      </w:r>
      <w:r>
        <w:rPr>
          <w:spacing w:val="23"/>
          <w:w w:val="115"/>
        </w:rPr>
        <w:t> </w:t>
      </w:r>
      <w:r>
        <w:rPr>
          <w:w w:val="115"/>
        </w:rPr>
        <w:t>y</w:t>
      </w:r>
      <w:r>
        <w:rPr>
          <w:spacing w:val="2"/>
          <w:w w:val="115"/>
        </w:rPr>
        <w:t> </w:t>
      </w:r>
      <w:r>
        <w:rPr>
          <w:w w:val="115"/>
        </w:rPr>
        <w:t>Corea</w:t>
      </w:r>
      <w:r>
        <w:rPr>
          <w:spacing w:val="-1"/>
          <w:w w:val="111"/>
        </w:rPr>
        <w:t> </w:t>
      </w:r>
      <w:r>
        <w:rPr>
          <w:w w:val="115"/>
        </w:rPr>
        <w:t>del</w:t>
      </w:r>
      <w:r>
        <w:rPr>
          <w:spacing w:val="-21"/>
          <w:w w:val="115"/>
        </w:rPr>
        <w:t> </w:t>
      </w:r>
      <w:r>
        <w:rPr>
          <w:w w:val="115"/>
        </w:rPr>
        <w:t>sur),</w:t>
      </w:r>
      <w:r>
        <w:rPr>
          <w:spacing w:val="-21"/>
          <w:w w:val="115"/>
        </w:rPr>
        <w:t> </w:t>
      </w:r>
      <w:r>
        <w:rPr>
          <w:w w:val="115"/>
        </w:rPr>
        <w:t>pero</w:t>
      </w:r>
      <w:r>
        <w:rPr>
          <w:spacing w:val="-21"/>
          <w:w w:val="115"/>
        </w:rPr>
        <w:t> </w:t>
      </w:r>
      <w:r>
        <w:rPr>
          <w:w w:val="115"/>
        </w:rPr>
        <w:t>la</w:t>
      </w:r>
      <w:r>
        <w:rPr>
          <w:spacing w:val="-21"/>
          <w:w w:val="115"/>
        </w:rPr>
        <w:t> </w:t>
      </w:r>
      <w:r>
        <w:rPr>
          <w:w w:val="115"/>
        </w:rPr>
        <w:t>contrapropuesta</w:t>
      </w:r>
      <w:r>
        <w:rPr>
          <w:spacing w:val="-21"/>
          <w:w w:val="115"/>
        </w:rPr>
        <w:t> </w:t>
      </w:r>
      <w:r>
        <w:rPr>
          <w:w w:val="115"/>
        </w:rPr>
        <w:t>de</w:t>
      </w:r>
      <w:r>
        <w:rPr>
          <w:spacing w:val="-21"/>
          <w:w w:val="115"/>
        </w:rPr>
        <w:t> </w:t>
      </w:r>
      <w:r>
        <w:rPr>
          <w:w w:val="115"/>
        </w:rPr>
        <w:t>Estados</w:t>
      </w:r>
      <w:r>
        <w:rPr>
          <w:spacing w:val="-21"/>
          <w:w w:val="115"/>
        </w:rPr>
        <w:t> </w:t>
      </w:r>
      <w:r>
        <w:rPr>
          <w:w w:val="115"/>
        </w:rPr>
        <w:t>unidos</w:t>
      </w:r>
      <w:r>
        <w:rPr>
          <w:spacing w:val="-21"/>
          <w:w w:val="115"/>
        </w:rPr>
        <w:t> </w:t>
      </w:r>
      <w:r>
        <w:rPr>
          <w:w w:val="115"/>
        </w:rPr>
        <w:t>de</w:t>
      </w:r>
      <w:r>
        <w:rPr>
          <w:spacing w:val="-21"/>
          <w:w w:val="115"/>
        </w:rPr>
        <w:t> </w:t>
      </w:r>
      <w:r>
        <w:rPr>
          <w:w w:val="115"/>
        </w:rPr>
        <w:t>crear</w:t>
      </w:r>
      <w:r>
        <w:rPr>
          <w:spacing w:val="-21"/>
          <w:w w:val="115"/>
        </w:rPr>
        <w:t> </w:t>
      </w:r>
      <w:r>
        <w:rPr>
          <w:w w:val="115"/>
        </w:rPr>
        <w:t>una</w:t>
      </w:r>
      <w:r>
        <w:rPr>
          <w:spacing w:val="-21"/>
          <w:w w:val="115"/>
        </w:rPr>
        <w:t> </w:t>
      </w:r>
      <w:r>
        <w:rPr>
          <w:w w:val="115"/>
        </w:rPr>
        <w:t>aso-</w:t>
      </w:r>
      <w:r>
        <w:rPr>
          <w:w w:val="102"/>
        </w:rPr>
        <w:t> </w:t>
      </w:r>
      <w:r>
        <w:rPr>
          <w:w w:val="115"/>
        </w:rPr>
        <w:t>ciación</w:t>
      </w:r>
      <w:r>
        <w:rPr>
          <w:spacing w:val="-12"/>
          <w:w w:val="115"/>
        </w:rPr>
        <w:t> </w:t>
      </w:r>
      <w:r>
        <w:rPr>
          <w:spacing w:val="-3"/>
          <w:w w:val="115"/>
        </w:rPr>
        <w:t>trans-Pacífico</w:t>
      </w:r>
      <w:r>
        <w:rPr>
          <w:spacing w:val="-12"/>
          <w:w w:val="115"/>
        </w:rPr>
        <w:t> </w:t>
      </w:r>
      <w:r>
        <w:rPr>
          <w:w w:val="115"/>
        </w:rPr>
        <w:t>–que</w:t>
      </w:r>
      <w:r>
        <w:rPr>
          <w:spacing w:val="-12"/>
          <w:w w:val="115"/>
        </w:rPr>
        <w:t> </w:t>
      </w:r>
      <w:r>
        <w:rPr>
          <w:w w:val="115"/>
        </w:rPr>
        <w:t>excluye</w:t>
      </w:r>
      <w:r>
        <w:rPr>
          <w:spacing w:val="-12"/>
          <w:w w:val="115"/>
        </w:rPr>
        <w:t> </w:t>
      </w:r>
      <w:r>
        <w:rPr>
          <w:w w:val="115"/>
        </w:rPr>
        <w:t>a</w:t>
      </w:r>
      <w:r>
        <w:rPr>
          <w:spacing w:val="-12"/>
          <w:w w:val="115"/>
        </w:rPr>
        <w:t> </w:t>
      </w:r>
      <w:r>
        <w:rPr>
          <w:w w:val="115"/>
        </w:rPr>
        <w:t>China–</w:t>
      </w:r>
      <w:r>
        <w:rPr>
          <w:spacing w:val="-12"/>
          <w:w w:val="115"/>
        </w:rPr>
        <w:t> </w:t>
      </w:r>
      <w:r>
        <w:rPr>
          <w:w w:val="115"/>
        </w:rPr>
        <w:t>empujó</w:t>
      </w:r>
      <w:r>
        <w:rPr>
          <w:spacing w:val="-12"/>
          <w:w w:val="115"/>
        </w:rPr>
        <w:t> </w:t>
      </w:r>
      <w:r>
        <w:rPr>
          <w:w w:val="115"/>
        </w:rPr>
        <w:t>a</w:t>
      </w:r>
      <w:r>
        <w:rPr>
          <w:spacing w:val="-12"/>
          <w:w w:val="115"/>
        </w:rPr>
        <w:t> </w:t>
      </w:r>
      <w:r>
        <w:rPr>
          <w:w w:val="115"/>
        </w:rPr>
        <w:t>China</w:t>
      </w:r>
      <w:r>
        <w:rPr>
          <w:spacing w:val="-12"/>
          <w:w w:val="115"/>
        </w:rPr>
        <w:t> </w:t>
      </w:r>
      <w:r>
        <w:rPr>
          <w:w w:val="115"/>
        </w:rPr>
        <w:t>a</w:t>
      </w:r>
      <w:r>
        <w:rPr>
          <w:spacing w:val="-12"/>
          <w:w w:val="115"/>
        </w:rPr>
        <w:t> </w:t>
      </w:r>
      <w:r>
        <w:rPr>
          <w:w w:val="115"/>
        </w:rPr>
        <w:t>iniciar</w:t>
      </w:r>
      <w:r>
        <w:rPr>
          <w:spacing w:val="-1"/>
          <w:w w:val="112"/>
        </w:rPr>
        <w:t> </w:t>
      </w:r>
      <w:r>
        <w:rPr>
          <w:w w:val="115"/>
        </w:rPr>
        <w:t>conversaciones</w:t>
      </w:r>
      <w:r>
        <w:rPr>
          <w:spacing w:val="-21"/>
          <w:w w:val="115"/>
        </w:rPr>
        <w:t> </w:t>
      </w:r>
      <w:r>
        <w:rPr>
          <w:w w:val="115"/>
        </w:rPr>
        <w:t>para</w:t>
      </w:r>
      <w:r>
        <w:rPr>
          <w:spacing w:val="-21"/>
          <w:w w:val="115"/>
        </w:rPr>
        <w:t> </w:t>
      </w:r>
      <w:r>
        <w:rPr>
          <w:w w:val="115"/>
        </w:rPr>
        <w:t>un</w:t>
      </w:r>
      <w:r>
        <w:rPr>
          <w:spacing w:val="-21"/>
          <w:w w:val="115"/>
        </w:rPr>
        <w:t> </w:t>
      </w:r>
      <w:r>
        <w:rPr>
          <w:w w:val="115"/>
        </w:rPr>
        <w:t>acuerdo</w:t>
      </w:r>
      <w:r>
        <w:rPr>
          <w:spacing w:val="-21"/>
          <w:w w:val="115"/>
        </w:rPr>
        <w:t> </w:t>
      </w:r>
      <w:r>
        <w:rPr>
          <w:w w:val="115"/>
        </w:rPr>
        <w:t>de</w:t>
      </w:r>
      <w:r>
        <w:rPr>
          <w:spacing w:val="-21"/>
          <w:w w:val="115"/>
        </w:rPr>
        <w:t> </w:t>
      </w:r>
      <w:r>
        <w:rPr>
          <w:w w:val="115"/>
        </w:rPr>
        <w:t>más</w:t>
      </w:r>
      <w:r>
        <w:rPr>
          <w:spacing w:val="-21"/>
          <w:w w:val="115"/>
        </w:rPr>
        <w:t> </w:t>
      </w:r>
      <w:r>
        <w:rPr>
          <w:w w:val="115"/>
        </w:rPr>
        <w:t>amplio</w:t>
      </w:r>
      <w:r>
        <w:rPr>
          <w:spacing w:val="-21"/>
          <w:w w:val="115"/>
        </w:rPr>
        <w:t> </w:t>
      </w:r>
      <w:r>
        <w:rPr>
          <w:w w:val="115"/>
        </w:rPr>
        <w:t>alcance,</w:t>
      </w:r>
      <w:r>
        <w:rPr>
          <w:spacing w:val="-21"/>
          <w:w w:val="115"/>
        </w:rPr>
        <w:t> </w:t>
      </w:r>
      <w:r>
        <w:rPr>
          <w:w w:val="115"/>
        </w:rPr>
        <w:t>y</w:t>
      </w:r>
      <w:r>
        <w:rPr>
          <w:spacing w:val="-21"/>
          <w:w w:val="115"/>
        </w:rPr>
        <w:t> </w:t>
      </w:r>
      <w:r>
        <w:rPr>
          <w:w w:val="115"/>
        </w:rPr>
        <w:t>uno</w:t>
      </w:r>
      <w:r>
        <w:rPr>
          <w:spacing w:val="-21"/>
          <w:w w:val="115"/>
        </w:rPr>
        <w:t> </w:t>
      </w:r>
      <w:r>
        <w:rPr>
          <w:w w:val="115"/>
        </w:rPr>
        <w:t>que</w:t>
      </w:r>
      <w:r>
        <w:rPr>
          <w:spacing w:val="-21"/>
          <w:w w:val="115"/>
        </w:rPr>
        <w:t> </w:t>
      </w:r>
      <w:r>
        <w:rPr>
          <w:w w:val="115"/>
        </w:rPr>
        <w:t>in-</w:t>
      </w:r>
      <w:r>
        <w:rPr>
          <w:w w:val="102"/>
        </w:rPr>
        <w:t> </w:t>
      </w:r>
      <w:r>
        <w:rPr>
          <w:w w:val="115"/>
        </w:rPr>
        <w:t>cluya</w:t>
      </w:r>
      <w:r>
        <w:rPr>
          <w:spacing w:val="-13"/>
          <w:w w:val="115"/>
        </w:rPr>
        <w:t> </w:t>
      </w:r>
      <w:r>
        <w:rPr>
          <w:w w:val="115"/>
        </w:rPr>
        <w:t>a</w:t>
      </w:r>
      <w:r>
        <w:rPr>
          <w:spacing w:val="-13"/>
          <w:w w:val="115"/>
        </w:rPr>
        <w:t> </w:t>
      </w:r>
      <w:r>
        <w:rPr>
          <w:w w:val="115"/>
        </w:rPr>
        <w:t>la</w:t>
      </w:r>
      <w:r>
        <w:rPr>
          <w:spacing w:val="-13"/>
          <w:w w:val="115"/>
        </w:rPr>
        <w:t> </w:t>
      </w:r>
      <w:r>
        <w:rPr>
          <w:w w:val="115"/>
        </w:rPr>
        <w:t>india.</w:t>
      </w:r>
      <w:r>
        <w:rPr>
          <w:spacing w:val="-13"/>
          <w:w w:val="115"/>
        </w:rPr>
        <w:t> </w:t>
      </w:r>
      <w:r>
        <w:rPr>
          <w:w w:val="115"/>
        </w:rPr>
        <w:t>Con</w:t>
      </w:r>
      <w:r>
        <w:rPr>
          <w:spacing w:val="-13"/>
          <w:w w:val="115"/>
        </w:rPr>
        <w:t> </w:t>
      </w:r>
      <w:r>
        <w:rPr>
          <w:w w:val="115"/>
        </w:rPr>
        <w:t>el</w:t>
      </w:r>
      <w:r>
        <w:rPr>
          <w:spacing w:val="-13"/>
          <w:w w:val="115"/>
        </w:rPr>
        <w:t> </w:t>
      </w:r>
      <w:r>
        <w:rPr>
          <w:w w:val="115"/>
        </w:rPr>
        <w:t>comienzo</w:t>
      </w:r>
      <w:r>
        <w:rPr>
          <w:spacing w:val="-13"/>
          <w:w w:val="115"/>
        </w:rPr>
        <w:t> </w:t>
      </w:r>
      <w:r>
        <w:rPr>
          <w:w w:val="115"/>
        </w:rPr>
        <w:t>del</w:t>
      </w:r>
      <w:r>
        <w:rPr>
          <w:spacing w:val="-13"/>
          <w:w w:val="115"/>
        </w:rPr>
        <w:t> </w:t>
      </w:r>
      <w:r>
        <w:rPr>
          <w:w w:val="115"/>
        </w:rPr>
        <w:t>CrPE,</w:t>
      </w:r>
      <w:r>
        <w:rPr>
          <w:spacing w:val="-13"/>
          <w:w w:val="115"/>
        </w:rPr>
        <w:t> </w:t>
      </w:r>
      <w:r>
        <w:rPr>
          <w:w w:val="115"/>
        </w:rPr>
        <w:t>asia</w:t>
      </w:r>
      <w:r>
        <w:rPr>
          <w:spacing w:val="-13"/>
          <w:w w:val="115"/>
        </w:rPr>
        <w:t> </w:t>
      </w:r>
      <w:r>
        <w:rPr>
          <w:w w:val="115"/>
        </w:rPr>
        <w:t>está</w:t>
      </w:r>
      <w:r>
        <w:rPr>
          <w:spacing w:val="-13"/>
          <w:w w:val="115"/>
        </w:rPr>
        <w:t> </w:t>
      </w:r>
      <w:r>
        <w:rPr>
          <w:w w:val="115"/>
        </w:rPr>
        <w:t>a</w:t>
      </w:r>
      <w:r>
        <w:rPr>
          <w:spacing w:val="-13"/>
          <w:w w:val="115"/>
        </w:rPr>
        <w:t> </w:t>
      </w:r>
      <w:r>
        <w:rPr>
          <w:w w:val="115"/>
        </w:rPr>
        <w:t>punto</w:t>
      </w:r>
      <w:r>
        <w:rPr>
          <w:spacing w:val="-13"/>
          <w:w w:val="115"/>
        </w:rPr>
        <w:t> </w:t>
      </w:r>
      <w:r>
        <w:rPr>
          <w:w w:val="115"/>
        </w:rPr>
        <w:t>de</w:t>
      </w:r>
      <w:r>
        <w:rPr>
          <w:spacing w:val="-13"/>
          <w:w w:val="115"/>
        </w:rPr>
        <w:t> </w:t>
      </w:r>
      <w:r>
        <w:rPr>
          <w:w w:val="115"/>
        </w:rPr>
        <w:t>entrar</w:t>
      </w:r>
      <w:r>
        <w:rPr>
          <w:spacing w:val="-1"/>
          <w:w w:val="107"/>
        </w:rPr>
        <w:t> </w:t>
      </w:r>
      <w:r>
        <w:rPr>
          <w:w w:val="115"/>
        </w:rPr>
        <w:t>en</w:t>
      </w:r>
      <w:r>
        <w:rPr>
          <w:spacing w:val="-21"/>
          <w:w w:val="115"/>
        </w:rPr>
        <w:t> </w:t>
      </w:r>
      <w:r>
        <w:rPr>
          <w:w w:val="115"/>
        </w:rPr>
        <w:t>una</w:t>
      </w:r>
      <w:r>
        <w:rPr>
          <w:spacing w:val="-21"/>
          <w:w w:val="115"/>
        </w:rPr>
        <w:t> </w:t>
      </w:r>
      <w:r>
        <w:rPr>
          <w:w w:val="115"/>
        </w:rPr>
        <w:t>nueva</w:t>
      </w:r>
      <w:r>
        <w:rPr>
          <w:spacing w:val="-21"/>
          <w:w w:val="115"/>
        </w:rPr>
        <w:t> </w:t>
      </w:r>
      <w:r>
        <w:rPr>
          <w:w w:val="115"/>
        </w:rPr>
        <w:t>era</w:t>
      </w:r>
      <w:r>
        <w:rPr>
          <w:spacing w:val="-21"/>
          <w:w w:val="115"/>
        </w:rPr>
        <w:t> </w:t>
      </w:r>
      <w:r>
        <w:rPr>
          <w:w w:val="115"/>
        </w:rPr>
        <w:t>del</w:t>
      </w:r>
      <w:r>
        <w:rPr>
          <w:spacing w:val="-21"/>
          <w:w w:val="115"/>
        </w:rPr>
        <w:t> </w:t>
      </w:r>
      <w:r>
        <w:rPr>
          <w:w w:val="115"/>
        </w:rPr>
        <w:t>comercio</w:t>
      </w:r>
      <w:r>
        <w:rPr>
          <w:spacing w:val="-21"/>
          <w:w w:val="115"/>
        </w:rPr>
        <w:t> </w:t>
      </w:r>
      <w:r>
        <w:rPr>
          <w:w w:val="115"/>
        </w:rPr>
        <w:t>mutuo</w:t>
      </w:r>
      <w:r>
        <w:rPr>
          <w:spacing w:val="-21"/>
          <w:w w:val="115"/>
        </w:rPr>
        <w:t> </w:t>
      </w:r>
      <w:r>
        <w:rPr>
          <w:w w:val="115"/>
        </w:rPr>
        <w:t>y</w:t>
      </w:r>
      <w:r>
        <w:rPr>
          <w:spacing w:val="-21"/>
          <w:w w:val="115"/>
        </w:rPr>
        <w:t> </w:t>
      </w:r>
      <w:r>
        <w:rPr>
          <w:w w:val="115"/>
        </w:rPr>
        <w:t>las</w:t>
      </w:r>
      <w:r>
        <w:rPr>
          <w:spacing w:val="-21"/>
          <w:w w:val="115"/>
        </w:rPr>
        <w:t> </w:t>
      </w:r>
      <w:r>
        <w:rPr>
          <w:w w:val="115"/>
        </w:rPr>
        <w:t>dinámicas</w:t>
      </w:r>
      <w:r>
        <w:rPr>
          <w:spacing w:val="-21"/>
          <w:w w:val="115"/>
        </w:rPr>
        <w:t> </w:t>
      </w:r>
      <w:r>
        <w:rPr>
          <w:w w:val="115"/>
        </w:rPr>
        <w:t>de</w:t>
      </w:r>
      <w:r>
        <w:rPr>
          <w:spacing w:val="-21"/>
          <w:w w:val="115"/>
        </w:rPr>
        <w:t> </w:t>
      </w:r>
      <w:r>
        <w:rPr>
          <w:w w:val="115"/>
        </w:rPr>
        <w:t>crecimiento.</w:t>
      </w:r>
      <w:r>
        <w:rPr>
          <w:spacing w:val="-1"/>
          <w:w w:val="111"/>
        </w:rPr>
        <w:t> </w:t>
      </w:r>
      <w:r>
        <w:rPr>
          <w:w w:val="243"/>
        </w:rPr>
        <w:t>l</w:t>
      </w:r>
      <w:r>
        <w:rPr>
          <w:w w:val="112"/>
        </w:rPr>
        <w:t>a</w:t>
      </w:r>
      <w:r>
        <w:rPr>
          <w:spacing w:val="13"/>
        </w:rPr>
        <w:t> </w:t>
      </w:r>
      <w:r>
        <w:rPr>
          <w:w w:val="144"/>
        </w:rPr>
        <w:t>as</w:t>
      </w:r>
      <w:r>
        <w:rPr>
          <w:w w:val="128"/>
        </w:rPr>
        <w:t>E</w:t>
      </w:r>
      <w:r>
        <w:rPr>
          <w:w w:val="139"/>
        </w:rPr>
        <w:t>a</w:t>
      </w:r>
      <w:r>
        <w:rPr>
          <w:w w:val="119"/>
        </w:rPr>
        <w:t>N</w:t>
      </w:r>
      <w:r>
        <w:rPr>
          <w:spacing w:val="13"/>
        </w:rPr>
        <w:t> </w:t>
      </w:r>
      <w:r>
        <w:rPr>
          <w:w w:val="105"/>
        </w:rPr>
        <w:t>se</w:t>
      </w:r>
      <w:r>
        <w:rPr>
          <w:spacing w:val="13"/>
        </w:rPr>
        <w:t> </w:t>
      </w:r>
      <w:r>
        <w:rPr>
          <w:w w:val="112"/>
        </w:rPr>
        <w:t>ha</w:t>
      </w:r>
      <w:r>
        <w:rPr>
          <w:spacing w:val="13"/>
        </w:rPr>
        <w:t> </w:t>
      </w:r>
      <w:r>
        <w:rPr>
          <w:w w:val="108"/>
        </w:rPr>
        <w:t>interesado</w:t>
      </w:r>
      <w:r>
        <w:rPr>
          <w:spacing w:val="13"/>
        </w:rPr>
        <w:t> </w:t>
      </w:r>
      <w:r>
        <w:rPr>
          <w:w w:val="108"/>
        </w:rPr>
        <w:t>en</w:t>
      </w:r>
      <w:r>
        <w:rPr>
          <w:spacing w:val="13"/>
        </w:rPr>
        <w:t> </w:t>
      </w:r>
      <w:r>
        <w:rPr>
          <w:w w:val="107"/>
        </w:rPr>
        <w:t>el</w:t>
      </w:r>
      <w:r>
        <w:rPr>
          <w:spacing w:val="13"/>
        </w:rPr>
        <w:t> </w:t>
      </w:r>
      <w:r>
        <w:rPr>
          <w:w w:val="109"/>
        </w:rPr>
        <w:t>avance</w:t>
      </w:r>
      <w:r>
        <w:rPr>
          <w:spacing w:val="13"/>
        </w:rPr>
        <w:t> </w:t>
      </w:r>
      <w:r>
        <w:rPr>
          <w:w w:val="107"/>
        </w:rPr>
        <w:t>de</w:t>
      </w:r>
      <w:r>
        <w:rPr>
          <w:spacing w:val="13"/>
        </w:rPr>
        <w:t> </w:t>
      </w:r>
      <w:r>
        <w:rPr>
          <w:w w:val="109"/>
        </w:rPr>
        <w:t>las</w:t>
      </w:r>
      <w:r>
        <w:rPr>
          <w:spacing w:val="13"/>
        </w:rPr>
        <w:t> </w:t>
      </w:r>
      <w:r>
        <w:rPr>
          <w:w w:val="110"/>
        </w:rPr>
        <w:t>negociaciones</w:t>
      </w:r>
      <w:r>
        <w:rPr>
          <w:spacing w:val="13"/>
        </w:rPr>
        <w:t> </w:t>
      </w:r>
      <w:r>
        <w:rPr>
          <w:w w:val="108"/>
        </w:rPr>
        <w:t>so</w:t>
      </w:r>
      <w:r>
        <w:rPr>
          <w:w w:val="102"/>
        </w:rPr>
        <w:t>-</w:t>
      </w:r>
    </w:p>
    <w:p>
      <w:pPr>
        <w:pStyle w:val="BodyText"/>
        <w:spacing w:line="252" w:lineRule="auto"/>
        <w:ind w:left="330" w:right="117"/>
        <w:jc w:val="both"/>
      </w:pPr>
      <w:r>
        <w:rPr>
          <w:w w:val="115"/>
        </w:rPr>
        <w:t>bre la asociación Económica regional integral que se construirá</w:t>
      </w:r>
      <w:r>
        <w:rPr>
          <w:spacing w:val="-31"/>
          <w:w w:val="115"/>
        </w:rPr>
        <w:t> </w:t>
      </w:r>
      <w:r>
        <w:rPr>
          <w:w w:val="115"/>
        </w:rPr>
        <w:t>con </w:t>
      </w:r>
      <w:r>
        <w:rPr>
          <w:w w:val="108"/>
        </w:rPr>
        <w:t>base</w:t>
      </w:r>
      <w:r>
        <w:rPr/>
        <w:t> </w:t>
      </w:r>
      <w:r>
        <w:rPr>
          <w:spacing w:val="1"/>
        </w:rPr>
        <w:t> </w:t>
      </w:r>
      <w:r>
        <w:rPr>
          <w:w w:val="108"/>
        </w:rPr>
        <w:t>en</w:t>
      </w:r>
      <w:r>
        <w:rPr/>
        <w:t> </w:t>
      </w:r>
      <w:r>
        <w:rPr>
          <w:spacing w:val="1"/>
        </w:rPr>
        <w:t> </w:t>
      </w:r>
      <w:r>
        <w:rPr>
          <w:w w:val="108"/>
        </w:rPr>
        <w:t>los</w:t>
      </w:r>
      <w:r>
        <w:rPr/>
        <w:t> </w:t>
      </w:r>
      <w:r>
        <w:rPr>
          <w:spacing w:val="1"/>
        </w:rPr>
        <w:t> </w:t>
      </w:r>
      <w:r>
        <w:rPr>
          <w:w w:val="139"/>
        </w:rPr>
        <w:t>a</w:t>
      </w:r>
      <w:r>
        <w:rPr>
          <w:w w:val="109"/>
        </w:rPr>
        <w:t>cuerdos</w:t>
      </w:r>
      <w:r>
        <w:rPr/>
        <w:t> </w:t>
      </w:r>
      <w:r>
        <w:rPr>
          <w:spacing w:val="1"/>
        </w:rPr>
        <w:t> </w:t>
      </w:r>
      <w:r>
        <w:rPr>
          <w:w w:val="107"/>
        </w:rPr>
        <w:t>de</w:t>
      </w:r>
      <w:r>
        <w:rPr/>
        <w:t> </w:t>
      </w:r>
      <w:r>
        <w:rPr>
          <w:spacing w:val="1"/>
        </w:rPr>
        <w:t> </w:t>
      </w:r>
      <w:r>
        <w:rPr>
          <w:w w:val="243"/>
        </w:rPr>
        <w:t>l</w:t>
      </w:r>
      <w:r>
        <w:rPr>
          <w:w w:val="108"/>
        </w:rPr>
        <w:t>ibre</w:t>
      </w:r>
      <w:r>
        <w:rPr/>
        <w:t> </w:t>
      </w:r>
      <w:r>
        <w:rPr>
          <w:spacing w:val="1"/>
        </w:rPr>
        <w:t> </w:t>
      </w:r>
      <w:r>
        <w:rPr>
          <w:w w:val="112"/>
        </w:rPr>
        <w:t>Comercio</w:t>
      </w:r>
      <w:r>
        <w:rPr/>
        <w:t> </w:t>
      </w:r>
      <w:r>
        <w:rPr>
          <w:spacing w:val="1"/>
        </w:rPr>
        <w:t> </w:t>
      </w:r>
      <w:r>
        <w:rPr>
          <w:w w:val="144"/>
        </w:rPr>
        <w:t>as</w:t>
      </w:r>
      <w:r>
        <w:rPr>
          <w:w w:val="128"/>
        </w:rPr>
        <w:t>E</w:t>
      </w:r>
      <w:r>
        <w:rPr>
          <w:w w:val="139"/>
        </w:rPr>
        <w:t>a</w:t>
      </w:r>
      <w:r>
        <w:rPr>
          <w:w w:val="119"/>
        </w:rPr>
        <w:t>N</w:t>
      </w:r>
      <w:r>
        <w:rPr/>
        <w:t> </w:t>
      </w:r>
      <w:r>
        <w:rPr>
          <w:spacing w:val="1"/>
        </w:rPr>
        <w:t> </w:t>
      </w:r>
      <w:r>
        <w:rPr>
          <w:w w:val="111"/>
        </w:rPr>
        <w:t>+1,</w:t>
      </w:r>
      <w:r>
        <w:rPr/>
        <w:t> </w:t>
      </w:r>
      <w:r>
        <w:rPr>
          <w:spacing w:val="1"/>
        </w:rPr>
        <w:t> </w:t>
      </w:r>
      <w:r>
        <w:rPr>
          <w:w w:val="110"/>
        </w:rPr>
        <w:t>incluyendo</w:t>
      </w:r>
      <w:r>
        <w:rPr/>
        <w:t> </w:t>
      </w:r>
      <w:r>
        <w:rPr>
          <w:spacing w:val="1"/>
        </w:rPr>
        <w:t> </w:t>
      </w:r>
      <w:r>
        <w:rPr>
          <w:w w:val="111"/>
        </w:rPr>
        <w:t>al </w:t>
      </w:r>
      <w:r>
        <w:rPr>
          <w:spacing w:val="-3"/>
          <w:w w:val="120"/>
        </w:rPr>
        <w:t>aCFta.</w:t>
      </w:r>
      <w:r>
        <w:rPr>
          <w:spacing w:val="-15"/>
          <w:w w:val="120"/>
        </w:rPr>
        <w:t> </w:t>
      </w:r>
      <w:r>
        <w:rPr>
          <w:w w:val="120"/>
        </w:rPr>
        <w:t>En</w:t>
      </w:r>
      <w:r>
        <w:rPr>
          <w:spacing w:val="-15"/>
          <w:w w:val="120"/>
        </w:rPr>
        <w:t> </w:t>
      </w:r>
      <w:r>
        <w:rPr>
          <w:w w:val="120"/>
        </w:rPr>
        <w:t>opinión</w:t>
      </w:r>
      <w:r>
        <w:rPr>
          <w:spacing w:val="-15"/>
          <w:w w:val="120"/>
        </w:rPr>
        <w:t> </w:t>
      </w:r>
      <w:r>
        <w:rPr>
          <w:w w:val="120"/>
        </w:rPr>
        <w:t>de</w:t>
      </w:r>
      <w:r>
        <w:rPr>
          <w:spacing w:val="-15"/>
          <w:w w:val="120"/>
        </w:rPr>
        <w:t> </w:t>
      </w:r>
      <w:r>
        <w:rPr>
          <w:w w:val="120"/>
        </w:rPr>
        <w:t>los</w:t>
      </w:r>
      <w:r>
        <w:rPr>
          <w:spacing w:val="-15"/>
          <w:w w:val="120"/>
        </w:rPr>
        <w:t> </w:t>
      </w:r>
      <w:r>
        <w:rPr>
          <w:w w:val="120"/>
        </w:rPr>
        <w:t>países</w:t>
      </w:r>
      <w:r>
        <w:rPr>
          <w:spacing w:val="-15"/>
          <w:w w:val="120"/>
        </w:rPr>
        <w:t> </w:t>
      </w:r>
      <w:r>
        <w:rPr>
          <w:w w:val="120"/>
        </w:rPr>
        <w:t>miembros,</w:t>
      </w:r>
      <w:r>
        <w:rPr>
          <w:spacing w:val="-15"/>
          <w:w w:val="120"/>
        </w:rPr>
        <w:t> </w:t>
      </w:r>
      <w:r>
        <w:rPr>
          <w:w w:val="120"/>
        </w:rPr>
        <w:t>la</w:t>
      </w:r>
      <w:r>
        <w:rPr>
          <w:spacing w:val="-15"/>
          <w:w w:val="120"/>
        </w:rPr>
        <w:t> </w:t>
      </w:r>
      <w:r>
        <w:rPr>
          <w:w w:val="120"/>
        </w:rPr>
        <w:t>CrPE</w:t>
      </w:r>
      <w:r>
        <w:rPr>
          <w:spacing w:val="-15"/>
          <w:w w:val="120"/>
        </w:rPr>
        <w:t> </w:t>
      </w:r>
      <w:r>
        <w:rPr>
          <w:w w:val="120"/>
        </w:rPr>
        <w:t>contribuirá</w:t>
      </w:r>
      <w:r>
        <w:rPr>
          <w:spacing w:val="-15"/>
          <w:w w:val="120"/>
        </w:rPr>
        <w:t> </w:t>
      </w:r>
      <w:r>
        <w:rPr>
          <w:w w:val="120"/>
        </w:rPr>
        <w:t>aún más</w:t>
      </w:r>
      <w:r>
        <w:rPr>
          <w:spacing w:val="-21"/>
          <w:w w:val="120"/>
        </w:rPr>
        <w:t> </w:t>
      </w:r>
      <w:r>
        <w:rPr>
          <w:w w:val="120"/>
        </w:rPr>
        <w:t>a</w:t>
      </w:r>
      <w:r>
        <w:rPr>
          <w:spacing w:val="-21"/>
          <w:w w:val="120"/>
        </w:rPr>
        <w:t> </w:t>
      </w:r>
      <w:r>
        <w:rPr>
          <w:w w:val="120"/>
        </w:rPr>
        <w:t>la</w:t>
      </w:r>
      <w:r>
        <w:rPr>
          <w:spacing w:val="-21"/>
          <w:w w:val="120"/>
        </w:rPr>
        <w:t> </w:t>
      </w:r>
      <w:r>
        <w:rPr>
          <w:w w:val="120"/>
        </w:rPr>
        <w:t>integración</w:t>
      </w:r>
      <w:r>
        <w:rPr>
          <w:spacing w:val="-21"/>
          <w:w w:val="120"/>
        </w:rPr>
        <w:t> </w:t>
      </w:r>
      <w:r>
        <w:rPr>
          <w:w w:val="120"/>
        </w:rPr>
        <w:t>y</w:t>
      </w:r>
      <w:r>
        <w:rPr>
          <w:spacing w:val="-21"/>
          <w:w w:val="120"/>
        </w:rPr>
        <w:t> </w:t>
      </w:r>
      <w:r>
        <w:rPr>
          <w:w w:val="120"/>
        </w:rPr>
        <w:t>al</w:t>
      </w:r>
      <w:r>
        <w:rPr>
          <w:spacing w:val="-21"/>
          <w:w w:val="120"/>
        </w:rPr>
        <w:t> </w:t>
      </w:r>
      <w:r>
        <w:rPr>
          <w:w w:val="120"/>
        </w:rPr>
        <w:t>desarrollo</w:t>
      </w:r>
      <w:r>
        <w:rPr>
          <w:spacing w:val="-21"/>
          <w:w w:val="120"/>
        </w:rPr>
        <w:t> </w:t>
      </w:r>
      <w:r>
        <w:rPr>
          <w:w w:val="120"/>
        </w:rPr>
        <w:t>económico</w:t>
      </w:r>
      <w:r>
        <w:rPr>
          <w:spacing w:val="-21"/>
          <w:w w:val="120"/>
        </w:rPr>
        <w:t> </w:t>
      </w:r>
      <w:r>
        <w:rPr>
          <w:w w:val="120"/>
        </w:rPr>
        <w:t>y</w:t>
      </w:r>
      <w:r>
        <w:rPr>
          <w:spacing w:val="-21"/>
          <w:w w:val="120"/>
        </w:rPr>
        <w:t> </w:t>
      </w:r>
      <w:r>
        <w:rPr>
          <w:w w:val="120"/>
        </w:rPr>
        <w:t>fortalecerá</w:t>
      </w:r>
      <w:r>
        <w:rPr>
          <w:spacing w:val="-21"/>
          <w:w w:val="120"/>
        </w:rPr>
        <w:t> </w:t>
      </w:r>
      <w:r>
        <w:rPr>
          <w:w w:val="120"/>
        </w:rPr>
        <w:t>la</w:t>
      </w:r>
      <w:r>
        <w:rPr>
          <w:spacing w:val="-21"/>
          <w:w w:val="120"/>
        </w:rPr>
        <w:t> </w:t>
      </w:r>
      <w:r>
        <w:rPr>
          <w:w w:val="120"/>
        </w:rPr>
        <w:t>coo- </w:t>
      </w:r>
      <w:r>
        <w:rPr>
          <w:w w:val="110"/>
        </w:rPr>
        <w:t>peración</w:t>
      </w:r>
      <w:r>
        <w:rPr/>
        <w:t> </w:t>
      </w:r>
      <w:r>
        <w:rPr>
          <w:spacing w:val="-4"/>
        </w:rPr>
        <w:t> </w:t>
      </w:r>
      <w:r>
        <w:rPr>
          <w:w w:val="112"/>
        </w:rPr>
        <w:t>económica</w:t>
      </w:r>
      <w:r>
        <w:rPr/>
        <w:t> </w:t>
      </w:r>
      <w:r>
        <w:rPr>
          <w:spacing w:val="-4"/>
        </w:rPr>
        <w:t> </w:t>
      </w:r>
      <w:r>
        <w:rPr>
          <w:w w:val="106"/>
        </w:rPr>
        <w:t>entre</w:t>
      </w:r>
      <w:r>
        <w:rPr/>
        <w:t> </w:t>
      </w:r>
      <w:r>
        <w:rPr>
          <w:spacing w:val="-4"/>
        </w:rPr>
        <w:t> </w:t>
      </w:r>
      <w:r>
        <w:rPr>
          <w:w w:val="108"/>
        </w:rPr>
        <w:t>los</w:t>
      </w:r>
      <w:r>
        <w:rPr/>
        <w:t> </w:t>
      </w:r>
      <w:r>
        <w:rPr>
          <w:spacing w:val="-4"/>
        </w:rPr>
        <w:t> </w:t>
      </w:r>
      <w:r>
        <w:rPr>
          <w:w w:val="108"/>
        </w:rPr>
        <w:t>países</w:t>
      </w:r>
      <w:r>
        <w:rPr/>
        <w:t> </w:t>
      </w:r>
      <w:r>
        <w:rPr>
          <w:spacing w:val="-4"/>
        </w:rPr>
        <w:t> </w:t>
      </w:r>
      <w:r>
        <w:rPr>
          <w:w w:val="110"/>
        </w:rPr>
        <w:t>participantes.</w:t>
      </w:r>
      <w:r>
        <w:rPr/>
        <w:t> </w:t>
      </w:r>
      <w:r>
        <w:rPr>
          <w:spacing w:val="-4"/>
        </w:rPr>
        <w:t> </w:t>
      </w:r>
      <w:r>
        <w:rPr>
          <w:w w:val="243"/>
        </w:rPr>
        <w:t>l</w:t>
      </w:r>
      <w:r>
        <w:rPr>
          <w:w w:val="108"/>
        </w:rPr>
        <w:t>os</w:t>
      </w:r>
      <w:r>
        <w:rPr/>
        <w:t> </w:t>
      </w:r>
      <w:r>
        <w:rPr>
          <w:spacing w:val="-4"/>
        </w:rPr>
        <w:t> </w:t>
      </w:r>
      <w:r>
        <w:rPr>
          <w:w w:val="108"/>
        </w:rPr>
        <w:t>países</w:t>
      </w:r>
      <w:r>
        <w:rPr/>
        <w:t> </w:t>
      </w:r>
      <w:r>
        <w:rPr>
          <w:spacing w:val="-4"/>
        </w:rPr>
        <w:t> </w:t>
      </w:r>
      <w:r>
        <w:rPr>
          <w:w w:val="107"/>
        </w:rPr>
        <w:t>de</w:t>
      </w:r>
      <w:r>
        <w:rPr/>
        <w:t> </w:t>
      </w:r>
      <w:r>
        <w:rPr>
          <w:spacing w:val="-4"/>
        </w:rPr>
        <w:t> </w:t>
      </w:r>
      <w:r>
        <w:rPr>
          <w:w w:val="111"/>
        </w:rPr>
        <w:t>la </w:t>
      </w:r>
      <w:r>
        <w:rPr>
          <w:w w:val="115"/>
        </w:rPr>
        <w:t>asEaN acordaron acelerar activamente las negociaciones para este mecanismo</w:t>
      </w:r>
      <w:r>
        <w:rPr>
          <w:spacing w:val="-11"/>
          <w:w w:val="115"/>
        </w:rPr>
        <w:t> </w:t>
      </w:r>
      <w:r>
        <w:rPr>
          <w:w w:val="115"/>
        </w:rPr>
        <w:t>en</w:t>
      </w:r>
      <w:r>
        <w:rPr>
          <w:spacing w:val="-11"/>
          <w:w w:val="115"/>
        </w:rPr>
        <w:t> </w:t>
      </w:r>
      <w:r>
        <w:rPr>
          <w:w w:val="115"/>
        </w:rPr>
        <w:t>el</w:t>
      </w:r>
      <w:r>
        <w:rPr>
          <w:spacing w:val="-11"/>
          <w:w w:val="115"/>
        </w:rPr>
        <w:t> </w:t>
      </w:r>
      <w:r>
        <w:rPr>
          <w:w w:val="115"/>
        </w:rPr>
        <w:t>este</w:t>
      </w:r>
      <w:r>
        <w:rPr>
          <w:spacing w:val="-11"/>
          <w:w w:val="115"/>
        </w:rPr>
        <w:t> </w:t>
      </w:r>
      <w:r>
        <w:rPr>
          <w:w w:val="115"/>
        </w:rPr>
        <w:t>de</w:t>
      </w:r>
      <w:r>
        <w:rPr>
          <w:spacing w:val="-11"/>
          <w:w w:val="115"/>
        </w:rPr>
        <w:t> </w:t>
      </w:r>
      <w:r>
        <w:rPr>
          <w:w w:val="115"/>
        </w:rPr>
        <w:t>asia.</w:t>
      </w:r>
    </w:p>
    <w:p>
      <w:pPr>
        <w:pStyle w:val="BodyText"/>
        <w:spacing w:before="5"/>
      </w:pPr>
    </w:p>
    <w:p>
      <w:pPr>
        <w:pStyle w:val="Heading6"/>
        <w:spacing w:line="244" w:lineRule="auto"/>
        <w:ind w:left="331" w:right="837"/>
        <w:jc w:val="left"/>
      </w:pPr>
      <w:r>
        <w:rPr>
          <w:w w:val="180"/>
        </w:rPr>
        <w:t>t</w:t>
      </w:r>
      <w:r>
        <w:rPr>
          <w:w w:val="132"/>
        </w:rPr>
        <w:t>rian</w:t>
      </w:r>
      <w:r>
        <w:rPr>
          <w:w w:val="89"/>
        </w:rPr>
        <w:t>G</w:t>
      </w:r>
      <w:r>
        <w:rPr>
          <w:w w:val="154"/>
        </w:rPr>
        <w:t>ul</w:t>
      </w:r>
      <w:r>
        <w:rPr>
          <w:w w:val="129"/>
        </w:rPr>
        <w:t>a</w:t>
      </w:r>
      <w:r>
        <w:rPr>
          <w:w w:val="137"/>
        </w:rPr>
        <w:t>ción</w:t>
      </w:r>
      <w:r>
        <w:rPr/>
        <w:t> </w:t>
      </w:r>
      <w:r>
        <w:rPr>
          <w:w w:val="134"/>
        </w:rPr>
        <w:t>e</w:t>
      </w:r>
      <w:r>
        <w:rPr>
          <w:w w:val="140"/>
        </w:rPr>
        <w:t>conó</w:t>
      </w:r>
      <w:r>
        <w:rPr>
          <w:w w:val="92"/>
        </w:rPr>
        <w:t>M</w:t>
      </w:r>
      <w:r>
        <w:rPr>
          <w:w w:val="140"/>
        </w:rPr>
        <w:t>ic</w:t>
      </w:r>
      <w:r>
        <w:rPr>
          <w:w w:val="129"/>
        </w:rPr>
        <w:t>a</w:t>
      </w:r>
      <w:r>
        <w:rPr/>
        <w:t> </w:t>
      </w:r>
      <w:r>
        <w:rPr>
          <w:w w:val="119"/>
        </w:rPr>
        <w:t>y</w:t>
      </w:r>
      <w:r>
        <w:rPr/>
        <w:t> </w:t>
      </w:r>
      <w:r>
        <w:rPr>
          <w:w w:val="92"/>
        </w:rPr>
        <w:t>M</w:t>
      </w:r>
      <w:r>
        <w:rPr>
          <w:w w:val="165"/>
        </w:rPr>
        <w:t>il</w:t>
      </w:r>
      <w:r>
        <w:rPr>
          <w:w w:val="129"/>
        </w:rPr>
        <w:t>i</w:t>
      </w:r>
      <w:r>
        <w:rPr>
          <w:w w:val="180"/>
        </w:rPr>
        <w:t>t</w:t>
      </w:r>
      <w:r>
        <w:rPr>
          <w:w w:val="136"/>
        </w:rPr>
        <w:t>ar</w:t>
      </w:r>
      <w:r>
        <w:rPr/>
        <w:t> </w:t>
      </w:r>
      <w:r>
        <w:rPr>
          <w:w w:val="139"/>
        </w:rPr>
        <w:t>con</w:t>
      </w:r>
      <w:r>
        <w:rPr/>
        <w:t> </w:t>
      </w:r>
      <w:r>
        <w:rPr>
          <w:w w:val="115"/>
        </w:rPr>
        <w:t>Mon</w:t>
      </w:r>
      <w:r>
        <w:rPr>
          <w:w w:val="89"/>
        </w:rPr>
        <w:t>G</w:t>
      </w:r>
      <w:r>
        <w:rPr>
          <w:w w:val="165"/>
        </w:rPr>
        <w:t>ol</w:t>
      </w:r>
      <w:r>
        <w:rPr>
          <w:w w:val="129"/>
        </w:rPr>
        <w:t>ia </w:t>
      </w:r>
      <w:r>
        <w:rPr>
          <w:w w:val="135"/>
        </w:rPr>
        <w:t>y rusia</w:t>
      </w:r>
    </w:p>
    <w:p>
      <w:pPr>
        <w:pStyle w:val="BodyText"/>
        <w:spacing w:line="252" w:lineRule="auto" w:before="5"/>
        <w:ind w:left="330" w:right="118"/>
        <w:jc w:val="both"/>
      </w:pPr>
      <w:r>
        <w:rPr>
          <w:w w:val="243"/>
        </w:rPr>
        <w:t>l</w:t>
      </w:r>
      <w:r>
        <w:rPr>
          <w:w w:val="112"/>
        </w:rPr>
        <w:t>a</w:t>
      </w:r>
      <w:r>
        <w:rPr/>
        <w:t> </w:t>
      </w:r>
      <w:r>
        <w:rPr>
          <w:spacing w:val="-4"/>
        </w:rPr>
        <w:t> </w:t>
      </w:r>
      <w:r>
        <w:rPr>
          <w:w w:val="111"/>
        </w:rPr>
        <w:t>triangulación</w:t>
      </w:r>
      <w:r>
        <w:rPr/>
        <w:t> </w:t>
      </w:r>
      <w:r>
        <w:rPr>
          <w:spacing w:val="-4"/>
        </w:rPr>
        <w:t> </w:t>
      </w:r>
      <w:r>
        <w:rPr>
          <w:w w:val="112"/>
        </w:rPr>
        <w:t>económica</w:t>
      </w:r>
      <w:r>
        <w:rPr/>
        <w:t> </w:t>
      </w:r>
      <w:r>
        <w:rPr>
          <w:spacing w:val="-4"/>
        </w:rPr>
        <w:t> </w:t>
      </w:r>
      <w:r>
        <w:rPr>
          <w:w w:val="105"/>
        </w:rPr>
        <w:t>y</w:t>
      </w:r>
      <w:r>
        <w:rPr/>
        <w:t> </w:t>
      </w:r>
      <w:r>
        <w:rPr>
          <w:spacing w:val="-4"/>
        </w:rPr>
        <w:t> </w:t>
      </w:r>
      <w:r>
        <w:rPr>
          <w:w w:val="111"/>
        </w:rPr>
        <w:t>militar</w:t>
      </w:r>
      <w:r>
        <w:rPr/>
        <w:t> </w:t>
      </w:r>
      <w:r>
        <w:rPr>
          <w:spacing w:val="-4"/>
        </w:rPr>
        <w:t> </w:t>
      </w:r>
      <w:r>
        <w:rPr>
          <w:w w:val="112"/>
        </w:rPr>
        <w:t>con</w:t>
      </w:r>
      <w:r>
        <w:rPr/>
        <w:t> </w:t>
      </w:r>
      <w:r>
        <w:rPr>
          <w:spacing w:val="-4"/>
        </w:rPr>
        <w:t> </w:t>
      </w:r>
      <w:r>
        <w:rPr>
          <w:w w:val="113"/>
        </w:rPr>
        <w:t>Mongolia</w:t>
      </w:r>
      <w:r>
        <w:rPr/>
        <w:t> </w:t>
      </w:r>
      <w:r>
        <w:rPr>
          <w:spacing w:val="-4"/>
        </w:rPr>
        <w:t> </w:t>
      </w:r>
      <w:r>
        <w:rPr>
          <w:w w:val="105"/>
        </w:rPr>
        <w:t>y</w:t>
      </w:r>
      <w:r>
        <w:rPr/>
        <w:t> </w:t>
      </w:r>
      <w:r>
        <w:rPr>
          <w:spacing w:val="-4"/>
        </w:rPr>
        <w:t> </w:t>
      </w:r>
      <w:r>
        <w:rPr>
          <w:w w:val="182"/>
        </w:rPr>
        <w:t>r</w:t>
      </w:r>
      <w:r>
        <w:rPr>
          <w:w w:val="111"/>
        </w:rPr>
        <w:t>usia</w:t>
      </w:r>
      <w:r>
        <w:rPr/>
        <w:t> </w:t>
      </w:r>
      <w:r>
        <w:rPr>
          <w:spacing w:val="-4"/>
        </w:rPr>
        <w:t> </w:t>
      </w:r>
      <w:r>
        <w:rPr>
          <w:w w:val="109"/>
        </w:rPr>
        <w:t>podría </w:t>
      </w:r>
      <w:r>
        <w:rPr>
          <w:w w:val="115"/>
        </w:rPr>
        <w:t>ser</w:t>
      </w:r>
      <w:r>
        <w:rPr>
          <w:spacing w:val="-19"/>
          <w:w w:val="115"/>
        </w:rPr>
        <w:t> </w:t>
      </w:r>
      <w:r>
        <w:rPr>
          <w:w w:val="115"/>
        </w:rPr>
        <w:t>considerada</w:t>
      </w:r>
      <w:r>
        <w:rPr>
          <w:spacing w:val="-19"/>
          <w:w w:val="115"/>
        </w:rPr>
        <w:t> </w:t>
      </w:r>
      <w:r>
        <w:rPr>
          <w:w w:val="115"/>
        </w:rPr>
        <w:t>el</w:t>
      </w:r>
      <w:r>
        <w:rPr>
          <w:spacing w:val="-19"/>
          <w:w w:val="115"/>
        </w:rPr>
        <w:t> </w:t>
      </w:r>
      <w:r>
        <w:rPr>
          <w:w w:val="115"/>
        </w:rPr>
        <w:t>corazón</w:t>
      </w:r>
      <w:r>
        <w:rPr>
          <w:spacing w:val="-19"/>
          <w:w w:val="115"/>
        </w:rPr>
        <w:t> </w:t>
      </w:r>
      <w:r>
        <w:rPr>
          <w:w w:val="115"/>
        </w:rPr>
        <w:t>del</w:t>
      </w:r>
      <w:r>
        <w:rPr>
          <w:spacing w:val="-19"/>
          <w:w w:val="115"/>
        </w:rPr>
        <w:t> </w:t>
      </w:r>
      <w:r>
        <w:rPr>
          <w:w w:val="115"/>
        </w:rPr>
        <w:t>denominado</w:t>
      </w:r>
      <w:r>
        <w:rPr>
          <w:spacing w:val="-19"/>
          <w:w w:val="115"/>
        </w:rPr>
        <w:t> </w:t>
      </w:r>
      <w:r>
        <w:rPr>
          <w:w w:val="115"/>
        </w:rPr>
        <w:t>corredor</w:t>
      </w:r>
      <w:r>
        <w:rPr>
          <w:spacing w:val="-19"/>
          <w:w w:val="115"/>
        </w:rPr>
        <w:t> </w:t>
      </w:r>
      <w:r>
        <w:rPr>
          <w:w w:val="115"/>
        </w:rPr>
        <w:t>económico</w:t>
      </w:r>
      <w:r>
        <w:rPr>
          <w:spacing w:val="-19"/>
          <w:w w:val="115"/>
        </w:rPr>
        <w:t> </w:t>
      </w:r>
      <w:r>
        <w:rPr>
          <w:w w:val="115"/>
        </w:rPr>
        <w:t>que</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jc w:val="both"/>
      </w:pPr>
      <w:r>
        <w:rPr>
          <w:w w:val="115"/>
        </w:rPr>
        <w:t>vincule China, Mongolia y rusia. xi Jinping hizo esta propuesta en dushambé,</w:t>
      </w:r>
      <w:r>
        <w:rPr>
          <w:spacing w:val="-9"/>
          <w:w w:val="115"/>
        </w:rPr>
        <w:t> </w:t>
      </w:r>
      <w:r>
        <w:rPr>
          <w:w w:val="115"/>
        </w:rPr>
        <w:t>en</w:t>
      </w:r>
      <w:r>
        <w:rPr>
          <w:spacing w:val="-9"/>
          <w:w w:val="115"/>
        </w:rPr>
        <w:t> </w:t>
      </w:r>
      <w:r>
        <w:rPr>
          <w:w w:val="115"/>
        </w:rPr>
        <w:t>septiembre</w:t>
      </w:r>
      <w:r>
        <w:rPr>
          <w:spacing w:val="-9"/>
          <w:w w:val="115"/>
        </w:rPr>
        <w:t> </w:t>
      </w:r>
      <w:r>
        <w:rPr>
          <w:w w:val="115"/>
        </w:rPr>
        <w:t>de</w:t>
      </w:r>
      <w:r>
        <w:rPr>
          <w:spacing w:val="-9"/>
          <w:w w:val="115"/>
        </w:rPr>
        <w:t> </w:t>
      </w:r>
      <w:r>
        <w:rPr>
          <w:w w:val="115"/>
        </w:rPr>
        <w:t>2014</w:t>
      </w:r>
      <w:r>
        <w:rPr>
          <w:spacing w:val="-9"/>
          <w:w w:val="115"/>
        </w:rPr>
        <w:t> </w:t>
      </w:r>
      <w:r>
        <w:rPr>
          <w:w w:val="115"/>
        </w:rPr>
        <w:t>durante</w:t>
      </w:r>
      <w:r>
        <w:rPr>
          <w:spacing w:val="-9"/>
          <w:w w:val="115"/>
        </w:rPr>
        <w:t> </w:t>
      </w:r>
      <w:r>
        <w:rPr>
          <w:w w:val="115"/>
        </w:rPr>
        <w:t>una</w:t>
      </w:r>
      <w:r>
        <w:rPr>
          <w:spacing w:val="-9"/>
          <w:w w:val="115"/>
        </w:rPr>
        <w:t> </w:t>
      </w:r>
      <w:r>
        <w:rPr>
          <w:w w:val="115"/>
        </w:rPr>
        <w:t>reunión</w:t>
      </w:r>
      <w:r>
        <w:rPr>
          <w:spacing w:val="-9"/>
          <w:w w:val="115"/>
        </w:rPr>
        <w:t> </w:t>
      </w:r>
      <w:r>
        <w:rPr>
          <w:w w:val="115"/>
        </w:rPr>
        <w:t>con</w:t>
      </w:r>
      <w:r>
        <w:rPr>
          <w:spacing w:val="-9"/>
          <w:w w:val="115"/>
        </w:rPr>
        <w:t> </w:t>
      </w:r>
      <w:r>
        <w:rPr>
          <w:w w:val="115"/>
        </w:rPr>
        <w:t>los</w:t>
      </w:r>
      <w:r>
        <w:rPr>
          <w:spacing w:val="-9"/>
          <w:w w:val="115"/>
        </w:rPr>
        <w:t> </w:t>
      </w:r>
      <w:r>
        <w:rPr>
          <w:w w:val="115"/>
        </w:rPr>
        <w:t>pre- sidentes</w:t>
      </w:r>
      <w:r>
        <w:rPr>
          <w:spacing w:val="-5"/>
          <w:w w:val="115"/>
        </w:rPr>
        <w:t> </w:t>
      </w:r>
      <w:r>
        <w:rPr>
          <w:w w:val="115"/>
        </w:rPr>
        <w:t>de</w:t>
      </w:r>
      <w:r>
        <w:rPr>
          <w:spacing w:val="-5"/>
          <w:w w:val="115"/>
        </w:rPr>
        <w:t> </w:t>
      </w:r>
      <w:r>
        <w:rPr>
          <w:w w:val="115"/>
        </w:rPr>
        <w:t>rusia</w:t>
      </w:r>
      <w:r>
        <w:rPr>
          <w:spacing w:val="-5"/>
          <w:w w:val="115"/>
        </w:rPr>
        <w:t> </w:t>
      </w:r>
      <w:r>
        <w:rPr>
          <w:w w:val="115"/>
        </w:rPr>
        <w:t>–Vladimir</w:t>
      </w:r>
      <w:r>
        <w:rPr>
          <w:spacing w:val="-5"/>
          <w:w w:val="115"/>
        </w:rPr>
        <w:t> </w:t>
      </w:r>
      <w:r>
        <w:rPr>
          <w:w w:val="115"/>
        </w:rPr>
        <w:t>Putin–</w:t>
      </w:r>
      <w:r>
        <w:rPr>
          <w:spacing w:val="-5"/>
          <w:w w:val="115"/>
        </w:rPr>
        <w:t> </w:t>
      </w:r>
      <w:r>
        <w:rPr>
          <w:w w:val="115"/>
        </w:rPr>
        <w:t>y</w:t>
      </w:r>
      <w:r>
        <w:rPr>
          <w:spacing w:val="-5"/>
          <w:w w:val="115"/>
        </w:rPr>
        <w:t> </w:t>
      </w:r>
      <w:r>
        <w:rPr>
          <w:w w:val="115"/>
        </w:rPr>
        <w:t>de</w:t>
      </w:r>
      <w:r>
        <w:rPr>
          <w:spacing w:val="-5"/>
          <w:w w:val="115"/>
        </w:rPr>
        <w:t> </w:t>
      </w:r>
      <w:r>
        <w:rPr>
          <w:w w:val="115"/>
        </w:rPr>
        <w:t>Mongolia</w:t>
      </w:r>
      <w:r>
        <w:rPr>
          <w:spacing w:val="-5"/>
          <w:w w:val="115"/>
        </w:rPr>
        <w:t> </w:t>
      </w:r>
      <w:r>
        <w:rPr>
          <w:w w:val="115"/>
        </w:rPr>
        <w:t>–tsakhiagiin</w:t>
      </w:r>
      <w:r>
        <w:rPr>
          <w:spacing w:val="-5"/>
          <w:w w:val="115"/>
        </w:rPr>
        <w:t> </w:t>
      </w:r>
      <w:r>
        <w:rPr>
          <w:w w:val="115"/>
        </w:rPr>
        <w:t>Elbe- gdorj–</w:t>
      </w:r>
      <w:r>
        <w:rPr>
          <w:spacing w:val="-7"/>
          <w:w w:val="115"/>
        </w:rPr>
        <w:t> </w:t>
      </w:r>
      <w:r>
        <w:rPr>
          <w:w w:val="115"/>
        </w:rPr>
        <w:t>en</w:t>
      </w:r>
      <w:r>
        <w:rPr>
          <w:spacing w:val="-7"/>
          <w:w w:val="115"/>
        </w:rPr>
        <w:t> </w:t>
      </w:r>
      <w:r>
        <w:rPr>
          <w:w w:val="115"/>
        </w:rPr>
        <w:t>el</w:t>
      </w:r>
      <w:r>
        <w:rPr>
          <w:spacing w:val="-7"/>
          <w:w w:val="115"/>
        </w:rPr>
        <w:t> </w:t>
      </w:r>
      <w:r>
        <w:rPr>
          <w:w w:val="115"/>
        </w:rPr>
        <w:t>marco</w:t>
      </w:r>
      <w:r>
        <w:rPr>
          <w:spacing w:val="-7"/>
          <w:w w:val="115"/>
        </w:rPr>
        <w:t> </w:t>
      </w:r>
      <w:r>
        <w:rPr>
          <w:w w:val="115"/>
        </w:rPr>
        <w:t>de</w:t>
      </w:r>
      <w:r>
        <w:rPr>
          <w:spacing w:val="-7"/>
          <w:w w:val="115"/>
        </w:rPr>
        <w:t> </w:t>
      </w:r>
      <w:r>
        <w:rPr>
          <w:w w:val="115"/>
        </w:rPr>
        <w:t>la</w:t>
      </w:r>
      <w:r>
        <w:rPr>
          <w:spacing w:val="-7"/>
          <w:w w:val="115"/>
        </w:rPr>
        <w:t> </w:t>
      </w:r>
      <w:r>
        <w:rPr>
          <w:w w:val="115"/>
        </w:rPr>
        <w:t>14ª</w:t>
      </w:r>
      <w:r>
        <w:rPr>
          <w:spacing w:val="-7"/>
          <w:w w:val="115"/>
        </w:rPr>
        <w:t> </w:t>
      </w:r>
      <w:r>
        <w:rPr>
          <w:w w:val="115"/>
        </w:rPr>
        <w:t>Cumbre</w:t>
      </w:r>
      <w:r>
        <w:rPr>
          <w:spacing w:val="-7"/>
          <w:w w:val="115"/>
        </w:rPr>
        <w:t> </w:t>
      </w:r>
      <w:r>
        <w:rPr>
          <w:w w:val="115"/>
        </w:rPr>
        <w:t>de</w:t>
      </w:r>
      <w:r>
        <w:rPr>
          <w:spacing w:val="-7"/>
          <w:w w:val="115"/>
        </w:rPr>
        <w:t> </w:t>
      </w:r>
      <w:r>
        <w:rPr>
          <w:w w:val="115"/>
        </w:rPr>
        <w:t>la</w:t>
      </w:r>
      <w:r>
        <w:rPr>
          <w:spacing w:val="-7"/>
          <w:w w:val="115"/>
        </w:rPr>
        <w:t> </w:t>
      </w:r>
      <w:r>
        <w:rPr>
          <w:w w:val="115"/>
        </w:rPr>
        <w:t>organización</w:t>
      </w:r>
      <w:r>
        <w:rPr>
          <w:spacing w:val="-7"/>
          <w:w w:val="115"/>
        </w:rPr>
        <w:t> </w:t>
      </w:r>
      <w:r>
        <w:rPr>
          <w:w w:val="115"/>
        </w:rPr>
        <w:t>de</w:t>
      </w:r>
      <w:r>
        <w:rPr>
          <w:spacing w:val="-7"/>
          <w:w w:val="115"/>
        </w:rPr>
        <w:t> </w:t>
      </w:r>
      <w:r>
        <w:rPr>
          <w:w w:val="115"/>
        </w:rPr>
        <w:t>Coopera- ción de shanghai </w:t>
      </w:r>
      <w:r>
        <w:rPr>
          <w:spacing w:val="17"/>
          <w:w w:val="115"/>
        </w:rPr>
        <w:t> </w:t>
      </w:r>
      <w:r>
        <w:rPr>
          <w:w w:val="115"/>
        </w:rPr>
        <w:t>(osC).</w:t>
      </w:r>
    </w:p>
    <w:p>
      <w:pPr>
        <w:pStyle w:val="BodyText"/>
        <w:spacing w:line="252" w:lineRule="auto"/>
        <w:ind w:left="100" w:right="328" w:firstLine="396"/>
        <w:jc w:val="right"/>
      </w:pPr>
      <w:r>
        <w:rPr>
          <w:w w:val="110"/>
        </w:rPr>
        <w:t>En esta ocasión se destacaron las semejanzas de las</w:t>
      </w:r>
      <w:r>
        <w:rPr>
          <w:spacing w:val="-29"/>
          <w:w w:val="110"/>
        </w:rPr>
        <w:t> </w:t>
      </w:r>
      <w:r>
        <w:rPr>
          <w:w w:val="110"/>
        </w:rPr>
        <w:t>estrategias</w:t>
      </w:r>
      <w:r>
        <w:rPr>
          <w:spacing w:val="-4"/>
          <w:w w:val="110"/>
        </w:rPr>
        <w:t> </w:t>
      </w:r>
      <w:r>
        <w:rPr>
          <w:w w:val="110"/>
        </w:rPr>
        <w:t>de</w:t>
      </w:r>
      <w:r>
        <w:rPr>
          <w:spacing w:val="-1"/>
          <w:w w:val="107"/>
        </w:rPr>
        <w:t> </w:t>
      </w:r>
      <w:r>
        <w:rPr>
          <w:w w:val="110"/>
        </w:rPr>
        <w:t>desarrollo de los tres países, el mandatario chino dijo que</w:t>
      </w:r>
      <w:r>
        <w:rPr>
          <w:spacing w:val="26"/>
          <w:w w:val="110"/>
        </w:rPr>
        <w:t> </w:t>
      </w:r>
      <w:r>
        <w:rPr>
          <w:w w:val="110"/>
        </w:rPr>
        <w:t>Mongolia</w:t>
      </w:r>
      <w:r>
        <w:rPr>
          <w:spacing w:val="7"/>
          <w:w w:val="110"/>
        </w:rPr>
        <w:t> </w:t>
      </w:r>
      <w:r>
        <w:rPr>
          <w:w w:val="110"/>
        </w:rPr>
        <w:t>y</w:t>
      </w:r>
      <w:r>
        <w:rPr>
          <w:w w:val="105"/>
        </w:rPr>
        <w:t> </w:t>
      </w:r>
      <w:r>
        <w:rPr>
          <w:w w:val="110"/>
        </w:rPr>
        <w:t>rusia habían respaldado la iniciativa de China de construir</w:t>
      </w:r>
      <w:r>
        <w:rPr>
          <w:spacing w:val="20"/>
          <w:w w:val="110"/>
        </w:rPr>
        <w:t> </w:t>
      </w:r>
      <w:r>
        <w:rPr>
          <w:w w:val="110"/>
        </w:rPr>
        <w:t>un</w:t>
      </w:r>
      <w:r>
        <w:rPr>
          <w:spacing w:val="17"/>
          <w:w w:val="110"/>
        </w:rPr>
        <w:t> </w:t>
      </w:r>
      <w:r>
        <w:rPr>
          <w:w w:val="110"/>
        </w:rPr>
        <w:t>corre-</w:t>
      </w:r>
      <w:r>
        <w:rPr>
          <w:w w:val="102"/>
        </w:rPr>
        <w:t> </w:t>
      </w:r>
      <w:r>
        <w:rPr>
          <w:w w:val="110"/>
        </w:rPr>
        <w:t>dor</w:t>
      </w:r>
      <w:r>
        <w:rPr>
          <w:spacing w:val="18"/>
          <w:w w:val="110"/>
        </w:rPr>
        <w:t> </w:t>
      </w:r>
      <w:r>
        <w:rPr>
          <w:w w:val="110"/>
        </w:rPr>
        <w:t>económico</w:t>
      </w:r>
      <w:r>
        <w:rPr>
          <w:spacing w:val="18"/>
          <w:w w:val="110"/>
        </w:rPr>
        <w:t> </w:t>
      </w:r>
      <w:r>
        <w:rPr>
          <w:w w:val="110"/>
        </w:rPr>
        <w:t>a</w:t>
      </w:r>
      <w:r>
        <w:rPr>
          <w:spacing w:val="18"/>
          <w:w w:val="110"/>
        </w:rPr>
        <w:t> </w:t>
      </w:r>
      <w:r>
        <w:rPr>
          <w:w w:val="110"/>
        </w:rPr>
        <w:t>lo</w:t>
      </w:r>
      <w:r>
        <w:rPr>
          <w:spacing w:val="18"/>
          <w:w w:val="110"/>
        </w:rPr>
        <w:t> </w:t>
      </w:r>
      <w:r>
        <w:rPr>
          <w:w w:val="110"/>
        </w:rPr>
        <w:t>largo</w:t>
      </w:r>
      <w:r>
        <w:rPr>
          <w:spacing w:val="18"/>
          <w:w w:val="110"/>
        </w:rPr>
        <w:t> </w:t>
      </w:r>
      <w:r>
        <w:rPr>
          <w:w w:val="110"/>
        </w:rPr>
        <w:t>de</w:t>
      </w:r>
      <w:r>
        <w:rPr>
          <w:spacing w:val="18"/>
          <w:w w:val="110"/>
        </w:rPr>
        <w:t> </w:t>
      </w:r>
      <w:r>
        <w:rPr>
          <w:w w:val="110"/>
        </w:rPr>
        <w:t>la</w:t>
      </w:r>
      <w:r>
        <w:rPr>
          <w:spacing w:val="18"/>
          <w:w w:val="110"/>
        </w:rPr>
        <w:t> </w:t>
      </w:r>
      <w:r>
        <w:rPr>
          <w:w w:val="110"/>
        </w:rPr>
        <w:t>ruta</w:t>
      </w:r>
      <w:r>
        <w:rPr>
          <w:spacing w:val="18"/>
          <w:w w:val="110"/>
        </w:rPr>
        <w:t> </w:t>
      </w:r>
      <w:r>
        <w:rPr>
          <w:w w:val="110"/>
        </w:rPr>
        <w:t>de</w:t>
      </w:r>
      <w:r>
        <w:rPr>
          <w:spacing w:val="18"/>
          <w:w w:val="110"/>
        </w:rPr>
        <w:t> </w:t>
      </w:r>
      <w:r>
        <w:rPr>
          <w:w w:val="110"/>
        </w:rPr>
        <w:t>la</w:t>
      </w:r>
      <w:r>
        <w:rPr>
          <w:spacing w:val="18"/>
          <w:w w:val="110"/>
        </w:rPr>
        <w:t> </w:t>
      </w:r>
      <w:r>
        <w:rPr>
          <w:w w:val="110"/>
        </w:rPr>
        <w:t>seda.</w:t>
      </w:r>
      <w:r>
        <w:rPr>
          <w:spacing w:val="18"/>
          <w:w w:val="110"/>
        </w:rPr>
        <w:t> </w:t>
      </w:r>
      <w:r>
        <w:rPr>
          <w:w w:val="110"/>
        </w:rPr>
        <w:t>Precisamente</w:t>
      </w:r>
      <w:r>
        <w:rPr>
          <w:spacing w:val="18"/>
          <w:w w:val="110"/>
        </w:rPr>
        <w:t> </w:t>
      </w:r>
      <w:r>
        <w:rPr>
          <w:w w:val="110"/>
        </w:rPr>
        <w:t>en</w:t>
      </w:r>
      <w:r>
        <w:rPr>
          <w:spacing w:val="18"/>
          <w:w w:val="110"/>
        </w:rPr>
        <w:t> </w:t>
      </w:r>
      <w:r>
        <w:rPr>
          <w:w w:val="110"/>
        </w:rPr>
        <w:t>este</w:t>
      </w:r>
      <w:r>
        <w:rPr>
          <w:spacing w:val="-1"/>
          <w:w w:val="105"/>
        </w:rPr>
        <w:t> </w:t>
      </w:r>
      <w:r>
        <w:rPr>
          <w:w w:val="110"/>
        </w:rPr>
        <w:t>contexto,</w:t>
      </w:r>
      <w:r>
        <w:rPr>
          <w:spacing w:val="29"/>
          <w:w w:val="110"/>
        </w:rPr>
        <w:t> </w:t>
      </w:r>
      <w:r>
        <w:rPr>
          <w:w w:val="110"/>
        </w:rPr>
        <w:t>China,</w:t>
      </w:r>
      <w:r>
        <w:rPr>
          <w:spacing w:val="29"/>
          <w:w w:val="110"/>
        </w:rPr>
        <w:t> </w:t>
      </w:r>
      <w:r>
        <w:rPr>
          <w:w w:val="110"/>
        </w:rPr>
        <w:t>Mongolia</w:t>
      </w:r>
      <w:r>
        <w:rPr>
          <w:spacing w:val="29"/>
          <w:w w:val="110"/>
        </w:rPr>
        <w:t> </w:t>
      </w:r>
      <w:r>
        <w:rPr>
          <w:w w:val="110"/>
        </w:rPr>
        <w:t>y</w:t>
      </w:r>
      <w:r>
        <w:rPr>
          <w:spacing w:val="29"/>
          <w:w w:val="110"/>
        </w:rPr>
        <w:t> </w:t>
      </w:r>
      <w:r>
        <w:rPr>
          <w:w w:val="110"/>
        </w:rPr>
        <w:t>rusia</w:t>
      </w:r>
      <w:r>
        <w:rPr>
          <w:spacing w:val="29"/>
          <w:w w:val="110"/>
        </w:rPr>
        <w:t> </w:t>
      </w:r>
      <w:r>
        <w:rPr>
          <w:w w:val="110"/>
        </w:rPr>
        <w:t>han</w:t>
      </w:r>
      <w:r>
        <w:rPr>
          <w:spacing w:val="29"/>
          <w:w w:val="110"/>
        </w:rPr>
        <w:t> </w:t>
      </w:r>
      <w:r>
        <w:rPr>
          <w:w w:val="110"/>
        </w:rPr>
        <w:t>estado</w:t>
      </w:r>
      <w:r>
        <w:rPr>
          <w:spacing w:val="29"/>
          <w:w w:val="110"/>
        </w:rPr>
        <w:t> </w:t>
      </w:r>
      <w:r>
        <w:rPr>
          <w:w w:val="110"/>
        </w:rPr>
        <w:t>analizando</w:t>
      </w:r>
      <w:r>
        <w:rPr>
          <w:spacing w:val="29"/>
          <w:w w:val="110"/>
        </w:rPr>
        <w:t> </w:t>
      </w:r>
      <w:r>
        <w:rPr>
          <w:w w:val="110"/>
        </w:rPr>
        <w:t>la</w:t>
      </w:r>
      <w:r>
        <w:rPr>
          <w:spacing w:val="29"/>
          <w:w w:val="110"/>
        </w:rPr>
        <w:t> </w:t>
      </w:r>
      <w:r>
        <w:rPr>
          <w:w w:val="110"/>
        </w:rPr>
        <w:t>posibili-</w:t>
      </w:r>
      <w:r>
        <w:rPr>
          <w:w w:val="102"/>
        </w:rPr>
        <w:t> </w:t>
      </w:r>
      <w:r>
        <w:rPr>
          <w:w w:val="110"/>
        </w:rPr>
        <w:t>dad de construir un nuevo corredor económico trilateral en asia</w:t>
      </w:r>
      <w:r>
        <w:rPr>
          <w:spacing w:val="12"/>
          <w:w w:val="110"/>
        </w:rPr>
        <w:t> </w:t>
      </w:r>
      <w:r>
        <w:rPr>
          <w:w w:val="110"/>
        </w:rPr>
        <w:t>a</w:t>
      </w:r>
      <w:r>
        <w:rPr>
          <w:spacing w:val="15"/>
          <w:w w:val="110"/>
        </w:rPr>
        <w:t> </w:t>
      </w:r>
      <w:r>
        <w:rPr>
          <w:w w:val="110"/>
        </w:rPr>
        <w:t>lo</w:t>
      </w:r>
      <w:r>
        <w:rPr>
          <w:spacing w:val="-1"/>
          <w:w w:val="110"/>
        </w:rPr>
        <w:t> </w:t>
      </w:r>
      <w:r>
        <w:rPr>
          <w:w w:val="110"/>
        </w:rPr>
        <w:t>largo de la histórica ruta de la seda</w:t>
      </w:r>
      <w:r>
        <w:rPr>
          <w:spacing w:val="13"/>
          <w:w w:val="110"/>
        </w:rPr>
        <w:t> </w:t>
      </w:r>
      <w:hyperlink r:id="rId148">
        <w:r>
          <w:rPr>
            <w:w w:val="110"/>
          </w:rPr>
          <w:t>(&lt;www.actualidad.rt.com&gt;,</w:t>
        </w:r>
      </w:hyperlink>
      <w:r>
        <w:rPr>
          <w:spacing w:val="1"/>
          <w:w w:val="110"/>
        </w:rPr>
        <w:t> </w:t>
      </w:r>
      <w:r>
        <w:rPr>
          <w:w w:val="110"/>
        </w:rPr>
        <w:t>2014).</w:t>
      </w:r>
      <w:r>
        <w:rPr>
          <w:spacing w:val="-1"/>
          <w:w w:val="104"/>
        </w:rPr>
        <w:t> </w:t>
      </w:r>
      <w:r>
        <w:rPr>
          <w:spacing w:val="-3"/>
          <w:w w:val="238"/>
        </w:rPr>
        <w:t>l</w:t>
      </w:r>
      <w:r>
        <w:rPr>
          <w:spacing w:val="-3"/>
          <w:w w:val="106"/>
        </w:rPr>
        <w:t>o</w:t>
      </w:r>
      <w:r>
        <w:rPr>
          <w:w w:val="106"/>
        </w:rPr>
        <w:t>s</w:t>
      </w:r>
      <w:r>
        <w:rPr/>
        <w:t> </w:t>
      </w:r>
      <w:r>
        <w:rPr>
          <w:spacing w:val="-9"/>
        </w:rPr>
        <w:t> </w:t>
      </w:r>
      <w:r>
        <w:rPr>
          <w:spacing w:val="-3"/>
          <w:w w:val="103"/>
        </w:rPr>
        <w:t>tre</w:t>
      </w:r>
      <w:r>
        <w:rPr>
          <w:w w:val="103"/>
        </w:rPr>
        <w:t>s</w:t>
      </w:r>
      <w:r>
        <w:rPr/>
        <w:t> </w:t>
      </w:r>
      <w:r>
        <w:rPr>
          <w:spacing w:val="-9"/>
        </w:rPr>
        <w:t> </w:t>
      </w:r>
      <w:r>
        <w:rPr>
          <w:spacing w:val="-3"/>
          <w:w w:val="106"/>
        </w:rPr>
        <w:t>paíse</w:t>
      </w:r>
      <w:r>
        <w:rPr>
          <w:w w:val="106"/>
        </w:rPr>
        <w:t>s</w:t>
      </w:r>
      <w:r>
        <w:rPr/>
        <w:t> </w:t>
      </w:r>
      <w:r>
        <w:rPr>
          <w:spacing w:val="-9"/>
        </w:rPr>
        <w:t> </w:t>
      </w:r>
      <w:r>
        <w:rPr>
          <w:spacing w:val="-3"/>
          <w:w w:val="108"/>
        </w:rPr>
        <w:t>podría</w:t>
      </w:r>
      <w:r>
        <w:rPr>
          <w:w w:val="108"/>
        </w:rPr>
        <w:t>n</w:t>
      </w:r>
      <w:r>
        <w:rPr/>
        <w:t> </w:t>
      </w:r>
      <w:r>
        <w:rPr>
          <w:spacing w:val="-9"/>
        </w:rPr>
        <w:t> </w:t>
      </w:r>
      <w:r>
        <w:rPr>
          <w:spacing w:val="-3"/>
          <w:w w:val="108"/>
        </w:rPr>
        <w:t>hace</w:t>
      </w:r>
      <w:r>
        <w:rPr>
          <w:w w:val="108"/>
        </w:rPr>
        <w:t>r</w:t>
      </w:r>
      <w:r>
        <w:rPr/>
        <w:t> </w:t>
      </w:r>
      <w:r>
        <w:rPr>
          <w:spacing w:val="-9"/>
        </w:rPr>
        <w:t> </w:t>
      </w:r>
      <w:r>
        <w:rPr>
          <w:spacing w:val="-3"/>
          <w:w w:val="106"/>
        </w:rPr>
        <w:t>viabl</w:t>
      </w:r>
      <w:r>
        <w:rPr>
          <w:w w:val="106"/>
        </w:rPr>
        <w:t>e</w:t>
      </w:r>
      <w:r>
        <w:rPr/>
        <w:t> </w:t>
      </w:r>
      <w:r>
        <w:rPr>
          <w:spacing w:val="-9"/>
        </w:rPr>
        <w:t> </w:t>
      </w:r>
      <w:r>
        <w:rPr>
          <w:spacing w:val="-3"/>
          <w:w w:val="105"/>
        </w:rPr>
        <w:t>est</w:t>
      </w:r>
      <w:r>
        <w:rPr>
          <w:w w:val="105"/>
        </w:rPr>
        <w:t>a</w:t>
      </w:r>
      <w:r>
        <w:rPr/>
        <w:t> </w:t>
      </w:r>
      <w:r>
        <w:rPr>
          <w:spacing w:val="-9"/>
        </w:rPr>
        <w:t> </w:t>
      </w:r>
      <w:r>
        <w:rPr>
          <w:spacing w:val="-3"/>
          <w:w w:val="109"/>
        </w:rPr>
        <w:t>iniciativ</w:t>
      </w:r>
      <w:r>
        <w:rPr>
          <w:w w:val="109"/>
        </w:rPr>
        <w:t>a</w:t>
      </w:r>
      <w:r>
        <w:rPr/>
        <w:t> </w:t>
      </w:r>
      <w:r>
        <w:rPr>
          <w:spacing w:val="-9"/>
        </w:rPr>
        <w:t> </w:t>
      </w:r>
      <w:r>
        <w:rPr>
          <w:spacing w:val="-3"/>
          <w:w w:val="108"/>
        </w:rPr>
        <w:t>gracia</w:t>
      </w:r>
      <w:r>
        <w:rPr>
          <w:w w:val="108"/>
        </w:rPr>
        <w:t>s</w:t>
      </w:r>
      <w:r>
        <w:rPr/>
        <w:t> </w:t>
      </w:r>
      <w:r>
        <w:rPr>
          <w:spacing w:val="-9"/>
        </w:rPr>
        <w:t> </w:t>
      </w:r>
      <w:r>
        <w:rPr>
          <w:spacing w:val="-3"/>
          <w:w w:val="109"/>
        </w:rPr>
        <w:t>a</w:t>
      </w:r>
      <w:r>
        <w:rPr>
          <w:w w:val="109"/>
        </w:rPr>
        <w:t>l</w:t>
      </w:r>
      <w:r>
        <w:rPr/>
        <w:t> </w:t>
      </w:r>
      <w:r>
        <w:rPr>
          <w:spacing w:val="-9"/>
        </w:rPr>
        <w:t> </w:t>
      </w:r>
      <w:r>
        <w:rPr>
          <w:spacing w:val="-3"/>
          <w:w w:val="108"/>
        </w:rPr>
        <w:t>plan </w:t>
      </w:r>
      <w:r>
        <w:rPr>
          <w:spacing w:val="-3"/>
          <w:w w:val="110"/>
        </w:rPr>
        <w:t>ruso </w:t>
      </w:r>
      <w:r>
        <w:rPr>
          <w:w w:val="110"/>
        </w:rPr>
        <w:t>de </w:t>
      </w:r>
      <w:r>
        <w:rPr>
          <w:spacing w:val="-3"/>
          <w:w w:val="110"/>
        </w:rPr>
        <w:t>construcción </w:t>
      </w:r>
      <w:r>
        <w:rPr>
          <w:w w:val="110"/>
        </w:rPr>
        <w:t>de un </w:t>
      </w:r>
      <w:r>
        <w:rPr>
          <w:spacing w:val="-3"/>
          <w:w w:val="110"/>
        </w:rPr>
        <w:t>ferrocarril intercontinental </w:t>
      </w:r>
      <w:r>
        <w:rPr>
          <w:w w:val="110"/>
        </w:rPr>
        <w:t>y al</w:t>
      </w:r>
      <w:r>
        <w:rPr>
          <w:spacing w:val="8"/>
          <w:w w:val="110"/>
        </w:rPr>
        <w:t> </w:t>
      </w:r>
      <w:r>
        <w:rPr>
          <w:spacing w:val="-3"/>
          <w:w w:val="110"/>
        </w:rPr>
        <w:t>plan</w:t>
      </w:r>
      <w:r>
        <w:rPr>
          <w:spacing w:val="-1"/>
          <w:w w:val="110"/>
        </w:rPr>
        <w:t> </w:t>
      </w:r>
      <w:r>
        <w:rPr>
          <w:spacing w:val="-3"/>
          <w:w w:val="110"/>
        </w:rPr>
        <w:t>mongol</w:t>
      </w:r>
      <w:r>
        <w:rPr>
          <w:spacing w:val="-3"/>
          <w:w w:val="109"/>
        </w:rPr>
        <w:t> </w:t>
      </w:r>
      <w:r>
        <w:rPr>
          <w:w w:val="110"/>
        </w:rPr>
        <w:t>de</w:t>
      </w:r>
      <w:r>
        <w:rPr>
          <w:spacing w:val="-12"/>
          <w:w w:val="110"/>
        </w:rPr>
        <w:t> </w:t>
      </w:r>
      <w:r>
        <w:rPr>
          <w:spacing w:val="-3"/>
          <w:w w:val="110"/>
        </w:rPr>
        <w:t>carreteras</w:t>
      </w:r>
      <w:r>
        <w:rPr>
          <w:spacing w:val="-12"/>
          <w:w w:val="110"/>
        </w:rPr>
        <w:t> </w:t>
      </w:r>
      <w:r>
        <w:rPr>
          <w:w w:val="110"/>
        </w:rPr>
        <w:t>de</w:t>
      </w:r>
      <w:r>
        <w:rPr>
          <w:spacing w:val="-12"/>
          <w:w w:val="110"/>
        </w:rPr>
        <w:t> </w:t>
      </w:r>
      <w:r>
        <w:rPr>
          <w:w w:val="110"/>
        </w:rPr>
        <w:t>la</w:t>
      </w:r>
      <w:r>
        <w:rPr>
          <w:spacing w:val="-12"/>
          <w:w w:val="110"/>
        </w:rPr>
        <w:t> </w:t>
      </w:r>
      <w:r>
        <w:rPr>
          <w:spacing w:val="-3"/>
          <w:w w:val="110"/>
        </w:rPr>
        <w:t>pradera.</w:t>
      </w:r>
      <w:r>
        <w:rPr>
          <w:spacing w:val="-12"/>
          <w:w w:val="110"/>
        </w:rPr>
        <w:t> </w:t>
      </w:r>
      <w:r>
        <w:rPr>
          <w:w w:val="110"/>
        </w:rPr>
        <w:t>de</w:t>
      </w:r>
      <w:r>
        <w:rPr>
          <w:spacing w:val="-12"/>
          <w:w w:val="110"/>
        </w:rPr>
        <w:t> </w:t>
      </w:r>
      <w:r>
        <w:rPr>
          <w:spacing w:val="-3"/>
          <w:w w:val="110"/>
        </w:rPr>
        <w:t>esta</w:t>
      </w:r>
      <w:r>
        <w:rPr>
          <w:spacing w:val="-12"/>
          <w:w w:val="110"/>
        </w:rPr>
        <w:t> </w:t>
      </w:r>
      <w:r>
        <w:rPr>
          <w:spacing w:val="-3"/>
          <w:w w:val="110"/>
        </w:rPr>
        <w:t>manera</w:t>
      </w:r>
      <w:r>
        <w:rPr>
          <w:spacing w:val="-12"/>
          <w:w w:val="110"/>
        </w:rPr>
        <w:t> </w:t>
      </w:r>
      <w:r>
        <w:rPr>
          <w:w w:val="110"/>
        </w:rPr>
        <w:t>se</w:t>
      </w:r>
      <w:r>
        <w:rPr>
          <w:spacing w:val="-12"/>
          <w:w w:val="110"/>
        </w:rPr>
        <w:t> </w:t>
      </w:r>
      <w:r>
        <w:rPr>
          <w:spacing w:val="-3"/>
          <w:w w:val="110"/>
        </w:rPr>
        <w:t>fortalecerá</w:t>
      </w:r>
      <w:r>
        <w:rPr>
          <w:spacing w:val="-12"/>
          <w:w w:val="110"/>
        </w:rPr>
        <w:t> </w:t>
      </w:r>
      <w:r>
        <w:rPr>
          <w:w w:val="110"/>
        </w:rPr>
        <w:t>la</w:t>
      </w:r>
      <w:r>
        <w:rPr>
          <w:spacing w:val="-12"/>
          <w:w w:val="110"/>
        </w:rPr>
        <w:t> </w:t>
      </w:r>
      <w:r>
        <w:rPr>
          <w:spacing w:val="-3"/>
          <w:w w:val="110"/>
        </w:rPr>
        <w:t>interconecti-</w:t>
      </w:r>
      <w:r>
        <w:rPr>
          <w:w w:val="100"/>
        </w:rPr>
        <w:t> </w:t>
      </w:r>
      <w:r>
        <w:rPr>
          <w:spacing w:val="-3"/>
          <w:w w:val="110"/>
        </w:rPr>
        <w:t>vidad,</w:t>
      </w:r>
      <w:r>
        <w:rPr>
          <w:spacing w:val="-9"/>
          <w:w w:val="110"/>
        </w:rPr>
        <w:t> </w:t>
      </w:r>
      <w:r>
        <w:rPr>
          <w:w w:val="110"/>
        </w:rPr>
        <w:t>se</w:t>
      </w:r>
      <w:r>
        <w:rPr>
          <w:spacing w:val="-9"/>
          <w:w w:val="110"/>
        </w:rPr>
        <w:t> </w:t>
      </w:r>
      <w:r>
        <w:rPr>
          <w:spacing w:val="-3"/>
          <w:w w:val="110"/>
        </w:rPr>
        <w:t>facilitará</w:t>
      </w:r>
      <w:r>
        <w:rPr>
          <w:spacing w:val="-9"/>
          <w:w w:val="110"/>
        </w:rPr>
        <w:t> </w:t>
      </w:r>
      <w:r>
        <w:rPr>
          <w:w w:val="110"/>
        </w:rPr>
        <w:t>el</w:t>
      </w:r>
      <w:r>
        <w:rPr>
          <w:spacing w:val="-9"/>
          <w:w w:val="110"/>
        </w:rPr>
        <w:t> </w:t>
      </w:r>
      <w:r>
        <w:rPr>
          <w:spacing w:val="-3"/>
          <w:w w:val="110"/>
        </w:rPr>
        <w:t>despacho</w:t>
      </w:r>
      <w:r>
        <w:rPr>
          <w:spacing w:val="-9"/>
          <w:w w:val="110"/>
        </w:rPr>
        <w:t> </w:t>
      </w:r>
      <w:r>
        <w:rPr>
          <w:w w:val="110"/>
        </w:rPr>
        <w:t>de</w:t>
      </w:r>
      <w:r>
        <w:rPr>
          <w:spacing w:val="-9"/>
          <w:w w:val="110"/>
        </w:rPr>
        <w:t> </w:t>
      </w:r>
      <w:r>
        <w:rPr>
          <w:spacing w:val="-3"/>
          <w:w w:val="110"/>
        </w:rPr>
        <w:t>aduana</w:t>
      </w:r>
      <w:r>
        <w:rPr>
          <w:spacing w:val="-9"/>
          <w:w w:val="110"/>
        </w:rPr>
        <w:t> </w:t>
      </w:r>
      <w:r>
        <w:rPr>
          <w:w w:val="110"/>
        </w:rPr>
        <w:t>y</w:t>
      </w:r>
      <w:r>
        <w:rPr>
          <w:spacing w:val="-9"/>
          <w:w w:val="110"/>
        </w:rPr>
        <w:t> </w:t>
      </w:r>
      <w:r>
        <w:rPr>
          <w:w w:val="110"/>
        </w:rPr>
        <w:t>se</w:t>
      </w:r>
      <w:r>
        <w:rPr>
          <w:spacing w:val="-9"/>
          <w:w w:val="110"/>
        </w:rPr>
        <w:t> </w:t>
      </w:r>
      <w:r>
        <w:rPr>
          <w:spacing w:val="-3"/>
          <w:w w:val="110"/>
        </w:rPr>
        <w:t>puede</w:t>
      </w:r>
      <w:r>
        <w:rPr>
          <w:spacing w:val="-9"/>
          <w:w w:val="110"/>
        </w:rPr>
        <w:t> </w:t>
      </w:r>
      <w:r>
        <w:rPr>
          <w:spacing w:val="-3"/>
          <w:w w:val="110"/>
        </w:rPr>
        <w:t>diseñar</w:t>
      </w:r>
      <w:r>
        <w:rPr>
          <w:spacing w:val="-9"/>
          <w:w w:val="110"/>
        </w:rPr>
        <w:t> </w:t>
      </w:r>
      <w:r>
        <w:rPr>
          <w:w w:val="110"/>
        </w:rPr>
        <w:t>la</w:t>
      </w:r>
      <w:r>
        <w:rPr>
          <w:spacing w:val="-9"/>
          <w:w w:val="110"/>
        </w:rPr>
        <w:t> </w:t>
      </w:r>
      <w:r>
        <w:rPr>
          <w:spacing w:val="-3"/>
          <w:w w:val="110"/>
        </w:rPr>
        <w:t>construc-</w:t>
      </w:r>
      <w:r>
        <w:rPr>
          <w:w w:val="100"/>
        </w:rPr>
        <w:t> </w:t>
      </w:r>
      <w:r>
        <w:rPr>
          <w:spacing w:val="-3"/>
          <w:w w:val="110"/>
        </w:rPr>
        <w:t>ción</w:t>
      </w:r>
      <w:r>
        <w:rPr>
          <w:spacing w:val="-16"/>
          <w:w w:val="110"/>
        </w:rPr>
        <w:t> </w:t>
      </w:r>
      <w:r>
        <w:rPr>
          <w:w w:val="110"/>
        </w:rPr>
        <w:t>de</w:t>
      </w:r>
      <w:r>
        <w:rPr>
          <w:spacing w:val="-16"/>
          <w:w w:val="110"/>
        </w:rPr>
        <w:t> </w:t>
      </w:r>
      <w:r>
        <w:rPr>
          <w:w w:val="110"/>
        </w:rPr>
        <w:t>una</w:t>
      </w:r>
      <w:r>
        <w:rPr>
          <w:spacing w:val="-16"/>
          <w:w w:val="110"/>
        </w:rPr>
        <w:t> </w:t>
      </w:r>
      <w:r>
        <w:rPr>
          <w:w w:val="110"/>
        </w:rPr>
        <w:t>red</w:t>
      </w:r>
      <w:r>
        <w:rPr>
          <w:spacing w:val="-16"/>
          <w:w w:val="110"/>
        </w:rPr>
        <w:t> </w:t>
      </w:r>
      <w:r>
        <w:rPr>
          <w:spacing w:val="-3"/>
          <w:w w:val="110"/>
        </w:rPr>
        <w:t>eléctrica</w:t>
      </w:r>
      <w:r>
        <w:rPr>
          <w:spacing w:val="-16"/>
          <w:w w:val="110"/>
        </w:rPr>
        <w:t> </w:t>
      </w:r>
      <w:r>
        <w:rPr>
          <w:spacing w:val="-3"/>
          <w:w w:val="110"/>
        </w:rPr>
        <w:t>internacional</w:t>
      </w:r>
      <w:r>
        <w:rPr>
          <w:spacing w:val="-16"/>
          <w:w w:val="110"/>
        </w:rPr>
        <w:t> </w:t>
      </w:r>
      <w:hyperlink r:id="rId148">
        <w:r>
          <w:rPr>
            <w:spacing w:val="-4"/>
            <w:w w:val="110"/>
          </w:rPr>
          <w:t>(&lt;www.actualidad.rt.com&gt;,</w:t>
        </w:r>
      </w:hyperlink>
      <w:r>
        <w:rPr>
          <w:spacing w:val="-16"/>
          <w:w w:val="110"/>
        </w:rPr>
        <w:t> </w:t>
      </w:r>
      <w:r>
        <w:rPr>
          <w:spacing w:val="-3"/>
          <w:w w:val="110"/>
        </w:rPr>
        <w:t>2014).</w:t>
      </w:r>
      <w:r>
        <w:rPr>
          <w:spacing w:val="-3"/>
          <w:w w:val="102"/>
        </w:rPr>
        <w:t> </w:t>
      </w:r>
      <w:r>
        <w:rPr>
          <w:w w:val="110"/>
        </w:rPr>
        <w:t>Por su parte, el presidente Putin también ha destacado</w:t>
      </w:r>
      <w:r>
        <w:rPr>
          <w:spacing w:val="28"/>
          <w:w w:val="110"/>
        </w:rPr>
        <w:t> </w:t>
      </w:r>
      <w:r>
        <w:rPr>
          <w:w w:val="110"/>
        </w:rPr>
        <w:t>las</w:t>
      </w:r>
      <w:r>
        <w:rPr>
          <w:spacing w:val="3"/>
          <w:w w:val="110"/>
        </w:rPr>
        <w:t> </w:t>
      </w:r>
      <w:r>
        <w:rPr>
          <w:spacing w:val="-3"/>
          <w:w w:val="110"/>
        </w:rPr>
        <w:t>impor-</w:t>
      </w:r>
      <w:r>
        <w:rPr>
          <w:w w:val="102"/>
        </w:rPr>
        <w:t> </w:t>
      </w:r>
      <w:r>
        <w:rPr>
          <w:w w:val="110"/>
        </w:rPr>
        <w:t>tantes</w:t>
      </w:r>
      <w:r>
        <w:rPr>
          <w:spacing w:val="35"/>
          <w:w w:val="110"/>
        </w:rPr>
        <w:t> </w:t>
      </w:r>
      <w:r>
        <w:rPr>
          <w:w w:val="110"/>
        </w:rPr>
        <w:t>oportunidades</w:t>
      </w:r>
      <w:r>
        <w:rPr>
          <w:spacing w:val="35"/>
          <w:w w:val="110"/>
        </w:rPr>
        <w:t> </w:t>
      </w:r>
      <w:r>
        <w:rPr>
          <w:w w:val="110"/>
        </w:rPr>
        <w:t>de</w:t>
      </w:r>
      <w:r>
        <w:rPr>
          <w:spacing w:val="35"/>
          <w:w w:val="110"/>
        </w:rPr>
        <w:t> </w:t>
      </w:r>
      <w:r>
        <w:rPr>
          <w:w w:val="110"/>
        </w:rPr>
        <w:t>cohesión</w:t>
      </w:r>
      <w:r>
        <w:rPr>
          <w:spacing w:val="35"/>
          <w:w w:val="110"/>
        </w:rPr>
        <w:t> </w:t>
      </w:r>
      <w:r>
        <w:rPr>
          <w:w w:val="110"/>
        </w:rPr>
        <w:t>trilateral</w:t>
      </w:r>
      <w:r>
        <w:rPr>
          <w:spacing w:val="35"/>
          <w:w w:val="110"/>
        </w:rPr>
        <w:t> </w:t>
      </w:r>
      <w:r>
        <w:rPr>
          <w:w w:val="110"/>
        </w:rPr>
        <w:t>que</w:t>
      </w:r>
      <w:r>
        <w:rPr>
          <w:spacing w:val="35"/>
          <w:w w:val="110"/>
        </w:rPr>
        <w:t> </w:t>
      </w:r>
      <w:r>
        <w:rPr>
          <w:w w:val="110"/>
        </w:rPr>
        <w:t>ofrece</w:t>
      </w:r>
      <w:r>
        <w:rPr>
          <w:spacing w:val="35"/>
          <w:w w:val="110"/>
        </w:rPr>
        <w:t> </w:t>
      </w:r>
      <w:r>
        <w:rPr>
          <w:w w:val="110"/>
        </w:rPr>
        <w:t>la</w:t>
      </w:r>
      <w:r>
        <w:rPr>
          <w:spacing w:val="35"/>
          <w:w w:val="110"/>
        </w:rPr>
        <w:t> </w:t>
      </w:r>
      <w:r>
        <w:rPr>
          <w:w w:val="110"/>
        </w:rPr>
        <w:t>iniciativa,</w:t>
      </w:r>
      <w:r>
        <w:rPr>
          <w:w w:val="112"/>
        </w:rPr>
        <w:t> </w:t>
      </w:r>
      <w:r>
        <w:rPr>
          <w:w w:val="110"/>
        </w:rPr>
        <w:t>añadiendo que las tres partes debían combinar los planes de</w:t>
      </w:r>
      <w:r>
        <w:rPr>
          <w:spacing w:val="5"/>
          <w:w w:val="110"/>
        </w:rPr>
        <w:t> </w:t>
      </w:r>
      <w:r>
        <w:rPr>
          <w:w w:val="110"/>
        </w:rPr>
        <w:t>desarro-</w:t>
      </w:r>
      <w:r>
        <w:rPr>
          <w:w w:val="102"/>
        </w:rPr>
        <w:t> </w:t>
      </w:r>
      <w:r>
        <w:rPr>
          <w:w w:val="110"/>
        </w:rPr>
        <w:t>llo y establecer una cooperación productiva en las esferas</w:t>
      </w:r>
      <w:r>
        <w:rPr>
          <w:spacing w:val="28"/>
          <w:w w:val="110"/>
        </w:rPr>
        <w:t> </w:t>
      </w:r>
      <w:r>
        <w:rPr>
          <w:w w:val="110"/>
        </w:rPr>
        <w:t>de</w:t>
      </w:r>
      <w:r>
        <w:rPr>
          <w:spacing w:val="8"/>
          <w:w w:val="110"/>
        </w:rPr>
        <w:t> </w:t>
      </w:r>
      <w:r>
        <w:rPr>
          <w:w w:val="110"/>
        </w:rPr>
        <w:t>energía,</w:t>
      </w:r>
      <w:r>
        <w:rPr>
          <w:w w:val="110"/>
        </w:rPr>
        <w:t> </w:t>
      </w:r>
      <w:r>
        <w:rPr>
          <w:w w:val="110"/>
        </w:rPr>
        <w:t>minería y construcción de la infraestructura de</w:t>
      </w:r>
      <w:r>
        <w:rPr>
          <w:spacing w:val="11"/>
          <w:w w:val="110"/>
        </w:rPr>
        <w:t> </w:t>
      </w:r>
      <w:r>
        <w:rPr>
          <w:w w:val="110"/>
        </w:rPr>
        <w:t>transporte.</w:t>
      </w:r>
      <w:r>
        <w:rPr>
          <w:spacing w:val="8"/>
          <w:w w:val="110"/>
        </w:rPr>
        <w:t> </w:t>
      </w:r>
      <w:r>
        <w:rPr>
          <w:w w:val="110"/>
        </w:rPr>
        <w:t>asimismo,</w:t>
      </w:r>
      <w:r>
        <w:rPr>
          <w:w w:val="112"/>
        </w:rPr>
        <w:t> </w:t>
      </w:r>
      <w:r>
        <w:rPr>
          <w:w w:val="110"/>
        </w:rPr>
        <w:t>planteó que las tres naciones son “campeones en aplicación</w:t>
      </w:r>
      <w:r>
        <w:rPr>
          <w:spacing w:val="6"/>
          <w:w w:val="110"/>
        </w:rPr>
        <w:t> </w:t>
      </w:r>
      <w:r>
        <w:rPr>
          <w:w w:val="110"/>
        </w:rPr>
        <w:t>de esfuer-</w:t>
      </w:r>
      <w:r>
        <w:rPr>
          <w:w w:val="102"/>
        </w:rPr>
        <w:t> </w:t>
      </w:r>
      <w:r>
        <w:rPr>
          <w:w w:val="110"/>
        </w:rPr>
        <w:t>zos multipolares en garantía de estabilidad y seguridad</w:t>
      </w:r>
      <w:r>
        <w:rPr>
          <w:spacing w:val="1"/>
          <w:w w:val="110"/>
        </w:rPr>
        <w:t> </w:t>
      </w:r>
      <w:r>
        <w:rPr>
          <w:w w:val="110"/>
        </w:rPr>
        <w:t>regional”.</w:t>
      </w:r>
      <w:r>
        <w:rPr>
          <w:spacing w:val="5"/>
          <w:w w:val="110"/>
        </w:rPr>
        <w:t> </w:t>
      </w:r>
      <w:r>
        <w:rPr>
          <w:w w:val="110"/>
        </w:rPr>
        <w:t>Por</w:t>
      </w:r>
      <w:r>
        <w:rPr>
          <w:w w:val="110"/>
        </w:rPr>
        <w:t> </w:t>
      </w:r>
      <w:r>
        <w:rPr>
          <w:w w:val="110"/>
        </w:rPr>
        <w:t>su</w:t>
      </w:r>
      <w:r>
        <w:rPr>
          <w:spacing w:val="16"/>
          <w:w w:val="110"/>
        </w:rPr>
        <w:t> </w:t>
      </w:r>
      <w:r>
        <w:rPr>
          <w:w w:val="110"/>
        </w:rPr>
        <w:t>parte,</w:t>
      </w:r>
      <w:r>
        <w:rPr>
          <w:spacing w:val="16"/>
          <w:w w:val="110"/>
        </w:rPr>
        <w:t> </w:t>
      </w:r>
      <w:r>
        <w:rPr>
          <w:w w:val="110"/>
        </w:rPr>
        <w:t>el</w:t>
      </w:r>
      <w:r>
        <w:rPr>
          <w:spacing w:val="16"/>
          <w:w w:val="110"/>
        </w:rPr>
        <w:t> </w:t>
      </w:r>
      <w:r>
        <w:rPr>
          <w:w w:val="110"/>
        </w:rPr>
        <w:t>presidente</w:t>
      </w:r>
      <w:r>
        <w:rPr>
          <w:spacing w:val="16"/>
          <w:w w:val="110"/>
        </w:rPr>
        <w:t> </w:t>
      </w:r>
      <w:r>
        <w:rPr>
          <w:w w:val="110"/>
        </w:rPr>
        <w:t>de</w:t>
      </w:r>
      <w:r>
        <w:rPr>
          <w:spacing w:val="16"/>
          <w:w w:val="110"/>
        </w:rPr>
        <w:t> </w:t>
      </w:r>
      <w:r>
        <w:rPr>
          <w:w w:val="110"/>
        </w:rPr>
        <w:t>Mongolia</w:t>
      </w:r>
      <w:r>
        <w:rPr>
          <w:spacing w:val="16"/>
          <w:w w:val="110"/>
        </w:rPr>
        <w:t> </w:t>
      </w:r>
      <w:r>
        <w:rPr>
          <w:w w:val="110"/>
        </w:rPr>
        <w:t>ha</w:t>
      </w:r>
      <w:r>
        <w:rPr>
          <w:spacing w:val="16"/>
          <w:w w:val="110"/>
        </w:rPr>
        <w:t> </w:t>
      </w:r>
      <w:r>
        <w:rPr>
          <w:w w:val="110"/>
        </w:rPr>
        <w:t>expresado</w:t>
      </w:r>
      <w:r>
        <w:rPr>
          <w:spacing w:val="16"/>
          <w:w w:val="110"/>
        </w:rPr>
        <w:t> </w:t>
      </w:r>
      <w:r>
        <w:rPr>
          <w:w w:val="110"/>
        </w:rPr>
        <w:t>que</w:t>
      </w:r>
      <w:r>
        <w:rPr>
          <w:spacing w:val="16"/>
          <w:w w:val="110"/>
        </w:rPr>
        <w:t> </w:t>
      </w:r>
      <w:r>
        <w:rPr>
          <w:w w:val="110"/>
        </w:rPr>
        <w:t>su</w:t>
      </w:r>
      <w:r>
        <w:rPr>
          <w:spacing w:val="16"/>
          <w:w w:val="110"/>
        </w:rPr>
        <w:t> </w:t>
      </w:r>
      <w:r>
        <w:rPr>
          <w:w w:val="110"/>
        </w:rPr>
        <w:t>país</w:t>
      </w:r>
      <w:r>
        <w:rPr>
          <w:spacing w:val="16"/>
          <w:w w:val="110"/>
        </w:rPr>
        <w:t> </w:t>
      </w:r>
      <w:r>
        <w:rPr>
          <w:w w:val="110"/>
        </w:rPr>
        <w:t>ve</w:t>
      </w:r>
      <w:r>
        <w:rPr>
          <w:spacing w:val="16"/>
          <w:w w:val="110"/>
        </w:rPr>
        <w:t> </w:t>
      </w:r>
      <w:r>
        <w:rPr>
          <w:w w:val="110"/>
        </w:rPr>
        <w:t>una</w:t>
      </w:r>
      <w:r>
        <w:rPr>
          <w:w w:val="112"/>
        </w:rPr>
        <w:t> </w:t>
      </w:r>
      <w:r>
        <w:rPr>
          <w:w w:val="110"/>
        </w:rPr>
        <w:t>gran importancia estratégica en la cooperación con China y</w:t>
      </w:r>
      <w:r>
        <w:rPr>
          <w:spacing w:val="2"/>
          <w:w w:val="110"/>
        </w:rPr>
        <w:t> </w:t>
      </w:r>
      <w:r>
        <w:rPr>
          <w:w w:val="110"/>
        </w:rPr>
        <w:t>rusia.</w:t>
      </w:r>
      <w:r>
        <w:rPr>
          <w:spacing w:val="15"/>
          <w:w w:val="110"/>
        </w:rPr>
        <w:t> </w:t>
      </w:r>
      <w:r>
        <w:rPr>
          <w:w w:val="110"/>
        </w:rPr>
        <w:t>En</w:t>
      </w:r>
      <w:r>
        <w:rPr>
          <w:w w:val="120"/>
        </w:rPr>
        <w:t> </w:t>
      </w:r>
      <w:r>
        <w:rPr>
          <w:w w:val="110"/>
        </w:rPr>
        <w:t>el curso de la reunión los tres líderes decidieron establecer</w:t>
      </w:r>
      <w:r>
        <w:rPr>
          <w:spacing w:val="22"/>
          <w:w w:val="110"/>
        </w:rPr>
        <w:t> </w:t>
      </w:r>
      <w:r>
        <w:rPr>
          <w:w w:val="110"/>
        </w:rPr>
        <w:t>un</w:t>
      </w:r>
      <w:r>
        <w:rPr>
          <w:spacing w:val="11"/>
          <w:w w:val="110"/>
        </w:rPr>
        <w:t> </w:t>
      </w:r>
      <w:r>
        <w:rPr>
          <w:w w:val="110"/>
        </w:rPr>
        <w:t>meca-</w:t>
      </w:r>
      <w:r>
        <w:rPr>
          <w:w w:val="102"/>
        </w:rPr>
        <w:t> </w:t>
      </w:r>
      <w:r>
        <w:rPr>
          <w:w w:val="110"/>
        </w:rPr>
        <w:t>nismo de consultas para coordinar la cooperación a nivel de  </w:t>
      </w:r>
      <w:r>
        <w:rPr>
          <w:spacing w:val="21"/>
          <w:w w:val="110"/>
        </w:rPr>
        <w:t> </w:t>
      </w:r>
      <w:r>
        <w:rPr>
          <w:w w:val="110"/>
        </w:rPr>
        <w:t>vicecan-</w:t>
      </w:r>
    </w:p>
    <w:p>
      <w:pPr>
        <w:pStyle w:val="BodyText"/>
        <w:ind w:left="100"/>
        <w:jc w:val="both"/>
      </w:pPr>
      <w:r>
        <w:rPr>
          <w:w w:val="110"/>
        </w:rPr>
        <w:t>cilleres </w:t>
      </w:r>
      <w:hyperlink r:id="rId148">
        <w:r>
          <w:rPr>
            <w:w w:val="110"/>
          </w:rPr>
          <w:t>(&lt;www.actualidad.rt.com&gt;,</w:t>
        </w:r>
      </w:hyperlink>
      <w:r>
        <w:rPr>
          <w:w w:val="110"/>
        </w:rPr>
        <w:t> 2014).</w:t>
      </w:r>
    </w:p>
    <w:p>
      <w:pPr>
        <w:pStyle w:val="BodyText"/>
        <w:spacing w:line="252" w:lineRule="auto" w:before="11"/>
        <w:ind w:left="100" w:right="328" w:firstLine="396"/>
        <w:jc w:val="both"/>
      </w:pPr>
      <w:r>
        <w:rPr>
          <w:w w:val="110"/>
        </w:rPr>
        <w:t>aun cuando se crea este famoso cinturón económico trilateral,   los tres países deben profundizar la cooperación en el marco de la oCs. sobre este tema, el presidente chino ha declarado que los tres países tienen que salvaguardar juntos las normas básicas que rigen las relaciones internacionales, defender el nuevo concepto de seguri- dad de confianza mutua, beneficio mutuo, igualdad y colaboración, y promover la solución política de las disputas internacionales y de los temas candentes </w:t>
      </w:r>
      <w:hyperlink r:id="rId133">
        <w:r>
          <w:rPr>
            <w:w w:val="110"/>
          </w:rPr>
          <w:t>(&lt;www.spanish.peopledail</w:t>
        </w:r>
      </w:hyperlink>
      <w:r>
        <w:rPr>
          <w:w w:val="110"/>
        </w:rPr>
        <w:t>y</w:t>
      </w:r>
      <w:hyperlink r:id="rId133">
        <w:r>
          <w:rPr>
            <w:w w:val="110"/>
          </w:rPr>
          <w:t>.com.cn&gt;,</w:t>
        </w:r>
      </w:hyperlink>
      <w:r>
        <w:rPr>
          <w:spacing w:val="-19"/>
          <w:w w:val="110"/>
        </w:rPr>
        <w:t> </w:t>
      </w:r>
      <w:r>
        <w:rPr>
          <w:w w:val="110"/>
        </w:rPr>
        <w:t>2014b).</w:t>
      </w:r>
    </w:p>
    <w:p>
      <w:pPr>
        <w:pStyle w:val="BodyText"/>
        <w:spacing w:before="5"/>
      </w:pPr>
    </w:p>
    <w:p>
      <w:pPr>
        <w:pStyle w:val="Heading6"/>
      </w:pPr>
      <w:r>
        <w:rPr>
          <w:w w:val="140"/>
        </w:rPr>
        <w:t>los corredores enerGéticos entre cHina y asia central</w:t>
      </w:r>
    </w:p>
    <w:p>
      <w:pPr>
        <w:pStyle w:val="BodyText"/>
        <w:spacing w:before="3"/>
        <w:rPr>
          <w:rFonts w:ascii="Times New Roman"/>
          <w:b/>
          <w:sz w:val="22"/>
        </w:rPr>
      </w:pPr>
    </w:p>
    <w:p>
      <w:pPr>
        <w:spacing w:before="0"/>
        <w:ind w:left="101" w:right="0" w:firstLine="0"/>
        <w:jc w:val="both"/>
        <w:rPr>
          <w:rFonts w:ascii="Times New Roman"/>
          <w:b/>
          <w:sz w:val="18"/>
        </w:rPr>
      </w:pPr>
      <w:r>
        <w:rPr>
          <w:rFonts w:ascii="Times New Roman"/>
          <w:b/>
          <w:w w:val="140"/>
          <w:sz w:val="18"/>
        </w:rPr>
        <w:t>nuevo Banco de desarrollo</w:t>
      </w:r>
    </w:p>
    <w:p>
      <w:pPr>
        <w:pStyle w:val="BodyText"/>
        <w:spacing w:line="252" w:lineRule="auto" w:before="14"/>
        <w:ind w:left="100" w:right="328"/>
        <w:jc w:val="both"/>
      </w:pPr>
      <w:r>
        <w:rPr>
          <w:w w:val="243"/>
        </w:rPr>
        <w:t>l</w:t>
      </w:r>
      <w:r>
        <w:rPr>
          <w:w w:val="112"/>
        </w:rPr>
        <w:t>a</w:t>
      </w:r>
      <w:r>
        <w:rPr>
          <w:spacing w:val="15"/>
        </w:rPr>
        <w:t> </w:t>
      </w:r>
      <w:r>
        <w:rPr>
          <w:w w:val="110"/>
        </w:rPr>
        <w:t>contrapartida</w:t>
      </w:r>
      <w:r>
        <w:rPr>
          <w:spacing w:val="15"/>
        </w:rPr>
        <w:t> </w:t>
      </w:r>
      <w:r>
        <w:rPr>
          <w:w w:val="112"/>
        </w:rPr>
        <w:t>económica</w:t>
      </w:r>
      <w:r>
        <w:rPr>
          <w:spacing w:val="15"/>
        </w:rPr>
        <w:t> </w:t>
      </w:r>
      <w:r>
        <w:rPr>
          <w:w w:val="109"/>
        </w:rPr>
        <w:t>para</w:t>
      </w:r>
      <w:r>
        <w:rPr>
          <w:spacing w:val="15"/>
        </w:rPr>
        <w:t> </w:t>
      </w:r>
      <w:r>
        <w:rPr>
          <w:w w:val="109"/>
        </w:rPr>
        <w:t>todas</w:t>
      </w:r>
      <w:r>
        <w:rPr>
          <w:spacing w:val="15"/>
        </w:rPr>
        <w:t> </w:t>
      </w:r>
      <w:r>
        <w:rPr>
          <w:w w:val="106"/>
        </w:rPr>
        <w:t>estas</w:t>
      </w:r>
      <w:r>
        <w:rPr>
          <w:spacing w:val="15"/>
        </w:rPr>
        <w:t> </w:t>
      </w:r>
      <w:r>
        <w:rPr>
          <w:w w:val="108"/>
        </w:rPr>
        <w:t>estrategias</w:t>
      </w:r>
      <w:r>
        <w:rPr>
          <w:spacing w:val="15"/>
        </w:rPr>
        <w:t> </w:t>
      </w:r>
      <w:r>
        <w:rPr>
          <w:w w:val="109"/>
        </w:rPr>
        <w:t>podría</w:t>
      </w:r>
      <w:r>
        <w:rPr>
          <w:spacing w:val="15"/>
        </w:rPr>
        <w:t> </w:t>
      </w:r>
      <w:r>
        <w:rPr>
          <w:w w:val="109"/>
        </w:rPr>
        <w:t>ide</w:t>
      </w:r>
      <w:r>
        <w:rPr>
          <w:spacing w:val="-1"/>
          <w:w w:val="109"/>
        </w:rPr>
        <w:t>n</w:t>
      </w:r>
      <w:r>
        <w:rPr>
          <w:w w:val="102"/>
        </w:rPr>
        <w:t>- </w:t>
      </w:r>
      <w:r>
        <w:rPr>
          <w:w w:val="115"/>
        </w:rPr>
        <w:t>tificarse</w:t>
      </w:r>
      <w:r>
        <w:rPr>
          <w:spacing w:val="-16"/>
          <w:w w:val="115"/>
        </w:rPr>
        <w:t> </w:t>
      </w:r>
      <w:r>
        <w:rPr>
          <w:w w:val="115"/>
        </w:rPr>
        <w:t>en</w:t>
      </w:r>
      <w:r>
        <w:rPr>
          <w:spacing w:val="-16"/>
          <w:w w:val="115"/>
        </w:rPr>
        <w:t> </w:t>
      </w:r>
      <w:r>
        <w:rPr>
          <w:w w:val="115"/>
        </w:rPr>
        <w:t>el</w:t>
      </w:r>
      <w:r>
        <w:rPr>
          <w:spacing w:val="-16"/>
          <w:w w:val="115"/>
        </w:rPr>
        <w:t> </w:t>
      </w:r>
      <w:r>
        <w:rPr>
          <w:w w:val="115"/>
        </w:rPr>
        <w:t>establecimiento</w:t>
      </w:r>
      <w:r>
        <w:rPr>
          <w:spacing w:val="-16"/>
          <w:w w:val="115"/>
        </w:rPr>
        <w:t> </w:t>
      </w:r>
      <w:r>
        <w:rPr>
          <w:w w:val="115"/>
        </w:rPr>
        <w:t>del</w:t>
      </w:r>
      <w:r>
        <w:rPr>
          <w:spacing w:val="-16"/>
          <w:w w:val="115"/>
        </w:rPr>
        <w:t> </w:t>
      </w:r>
      <w:r>
        <w:rPr>
          <w:w w:val="115"/>
        </w:rPr>
        <w:t>Nuevo</w:t>
      </w:r>
      <w:r>
        <w:rPr>
          <w:spacing w:val="-16"/>
          <w:w w:val="115"/>
        </w:rPr>
        <w:t> </w:t>
      </w:r>
      <w:r>
        <w:rPr>
          <w:w w:val="115"/>
        </w:rPr>
        <w:t>banco</w:t>
      </w:r>
      <w:r>
        <w:rPr>
          <w:spacing w:val="-16"/>
          <w:w w:val="115"/>
        </w:rPr>
        <w:t> </w:t>
      </w:r>
      <w:r>
        <w:rPr>
          <w:w w:val="115"/>
        </w:rPr>
        <w:t>de</w:t>
      </w:r>
      <w:r>
        <w:rPr>
          <w:spacing w:val="-16"/>
          <w:w w:val="115"/>
        </w:rPr>
        <w:t> </w:t>
      </w:r>
      <w:r>
        <w:rPr>
          <w:w w:val="115"/>
        </w:rPr>
        <w:t>desarrollo</w:t>
      </w:r>
      <w:r>
        <w:rPr>
          <w:spacing w:val="-16"/>
          <w:w w:val="115"/>
        </w:rPr>
        <w:t> </w:t>
      </w:r>
      <w:r>
        <w:rPr>
          <w:w w:val="115"/>
        </w:rPr>
        <w:t>en</w:t>
      </w:r>
      <w:r>
        <w:rPr>
          <w:spacing w:val="-16"/>
          <w:w w:val="115"/>
        </w:rPr>
        <w:t> </w:t>
      </w:r>
      <w:r>
        <w:rPr>
          <w:w w:val="115"/>
        </w:rPr>
        <w:t>con-</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right"/>
      </w:pPr>
      <w:r>
        <w:rPr>
          <w:w w:val="110"/>
        </w:rPr>
        <w:t>junto</w:t>
      </w:r>
      <w:r>
        <w:rPr>
          <w:spacing w:val="39"/>
          <w:w w:val="110"/>
        </w:rPr>
        <w:t> </w:t>
      </w:r>
      <w:r>
        <w:rPr>
          <w:w w:val="110"/>
        </w:rPr>
        <w:t>con</w:t>
      </w:r>
      <w:r>
        <w:rPr>
          <w:spacing w:val="39"/>
          <w:w w:val="110"/>
        </w:rPr>
        <w:t> </w:t>
      </w:r>
      <w:r>
        <w:rPr>
          <w:w w:val="110"/>
        </w:rPr>
        <w:t>el</w:t>
      </w:r>
      <w:r>
        <w:rPr>
          <w:spacing w:val="39"/>
          <w:w w:val="110"/>
        </w:rPr>
        <w:t> </w:t>
      </w:r>
      <w:r>
        <w:rPr>
          <w:w w:val="110"/>
        </w:rPr>
        <w:t>resto</w:t>
      </w:r>
      <w:r>
        <w:rPr>
          <w:spacing w:val="39"/>
          <w:w w:val="110"/>
        </w:rPr>
        <w:t> </w:t>
      </w:r>
      <w:r>
        <w:rPr>
          <w:w w:val="110"/>
        </w:rPr>
        <w:t>de</w:t>
      </w:r>
      <w:r>
        <w:rPr>
          <w:spacing w:val="39"/>
          <w:w w:val="110"/>
        </w:rPr>
        <w:t> </w:t>
      </w:r>
      <w:r>
        <w:rPr>
          <w:w w:val="110"/>
        </w:rPr>
        <w:t>los</w:t>
      </w:r>
      <w:r>
        <w:rPr>
          <w:spacing w:val="39"/>
          <w:w w:val="110"/>
        </w:rPr>
        <w:t> </w:t>
      </w:r>
      <w:r>
        <w:rPr>
          <w:w w:val="110"/>
        </w:rPr>
        <w:t>países</w:t>
      </w:r>
      <w:r>
        <w:rPr>
          <w:spacing w:val="39"/>
          <w:w w:val="110"/>
        </w:rPr>
        <w:t> </w:t>
      </w:r>
      <w:r>
        <w:rPr>
          <w:w w:val="110"/>
        </w:rPr>
        <w:t>miembros</w:t>
      </w:r>
      <w:r>
        <w:rPr>
          <w:spacing w:val="39"/>
          <w:w w:val="110"/>
        </w:rPr>
        <w:t> </w:t>
      </w:r>
      <w:r>
        <w:rPr>
          <w:w w:val="110"/>
        </w:rPr>
        <w:t>del</w:t>
      </w:r>
      <w:r>
        <w:rPr>
          <w:spacing w:val="39"/>
          <w:w w:val="110"/>
        </w:rPr>
        <w:t> </w:t>
      </w:r>
      <w:r>
        <w:rPr>
          <w:w w:val="110"/>
        </w:rPr>
        <w:t>grupo</w:t>
      </w:r>
      <w:r>
        <w:rPr>
          <w:spacing w:val="39"/>
          <w:w w:val="110"/>
        </w:rPr>
        <w:t> </w:t>
      </w:r>
      <w:r>
        <w:rPr>
          <w:w w:val="120"/>
        </w:rPr>
        <w:t>briCs</w:t>
      </w:r>
      <w:r>
        <w:rPr>
          <w:spacing w:val="34"/>
          <w:w w:val="120"/>
        </w:rPr>
        <w:t> </w:t>
      </w:r>
      <w:r>
        <w:rPr>
          <w:w w:val="110"/>
        </w:rPr>
        <w:t>(brasil,</w:t>
      </w:r>
      <w:r>
        <w:rPr>
          <w:w w:val="112"/>
        </w:rPr>
        <w:t> </w:t>
      </w:r>
      <w:r>
        <w:rPr>
          <w:w w:val="110"/>
        </w:rPr>
        <w:t>rusia,</w:t>
      </w:r>
      <w:r>
        <w:rPr>
          <w:spacing w:val="18"/>
          <w:w w:val="110"/>
        </w:rPr>
        <w:t> </w:t>
      </w:r>
      <w:r>
        <w:rPr>
          <w:w w:val="110"/>
        </w:rPr>
        <w:t>india</w:t>
      </w:r>
      <w:r>
        <w:rPr>
          <w:spacing w:val="18"/>
          <w:w w:val="110"/>
        </w:rPr>
        <w:t> </w:t>
      </w:r>
      <w:r>
        <w:rPr>
          <w:w w:val="110"/>
        </w:rPr>
        <w:t>y</w:t>
      </w:r>
      <w:r>
        <w:rPr>
          <w:spacing w:val="18"/>
          <w:w w:val="110"/>
        </w:rPr>
        <w:t> </w:t>
      </w:r>
      <w:r>
        <w:rPr>
          <w:w w:val="110"/>
        </w:rPr>
        <w:t>sudáfrica)</w:t>
      </w:r>
      <w:r>
        <w:rPr>
          <w:spacing w:val="18"/>
          <w:w w:val="110"/>
        </w:rPr>
        <w:t> </w:t>
      </w:r>
      <w:r>
        <w:rPr>
          <w:w w:val="110"/>
        </w:rPr>
        <w:t>y</w:t>
      </w:r>
      <w:r>
        <w:rPr>
          <w:spacing w:val="18"/>
          <w:w w:val="110"/>
        </w:rPr>
        <w:t> </w:t>
      </w:r>
      <w:r>
        <w:rPr>
          <w:w w:val="110"/>
        </w:rPr>
        <w:t>del</w:t>
      </w:r>
      <w:r>
        <w:rPr>
          <w:spacing w:val="18"/>
          <w:w w:val="110"/>
        </w:rPr>
        <w:t> </w:t>
      </w:r>
      <w:r>
        <w:rPr>
          <w:w w:val="110"/>
        </w:rPr>
        <w:t>banco</w:t>
      </w:r>
      <w:r>
        <w:rPr>
          <w:spacing w:val="18"/>
          <w:w w:val="110"/>
        </w:rPr>
        <w:t> </w:t>
      </w:r>
      <w:r>
        <w:rPr>
          <w:w w:val="110"/>
        </w:rPr>
        <w:t>asiático</w:t>
      </w:r>
      <w:r>
        <w:rPr>
          <w:spacing w:val="18"/>
          <w:w w:val="110"/>
        </w:rPr>
        <w:t> </w:t>
      </w:r>
      <w:r>
        <w:rPr>
          <w:w w:val="110"/>
        </w:rPr>
        <w:t>de</w:t>
      </w:r>
      <w:r>
        <w:rPr>
          <w:spacing w:val="18"/>
          <w:w w:val="110"/>
        </w:rPr>
        <w:t> </w:t>
      </w:r>
      <w:r>
        <w:rPr>
          <w:w w:val="110"/>
        </w:rPr>
        <w:t>inversión</w:t>
      </w:r>
      <w:r>
        <w:rPr>
          <w:spacing w:val="18"/>
          <w:w w:val="110"/>
        </w:rPr>
        <w:t> </w:t>
      </w:r>
      <w:r>
        <w:rPr>
          <w:w w:val="110"/>
        </w:rPr>
        <w:t>en</w:t>
      </w:r>
      <w:r>
        <w:rPr>
          <w:spacing w:val="18"/>
          <w:w w:val="110"/>
        </w:rPr>
        <w:t> </w:t>
      </w:r>
      <w:r>
        <w:rPr>
          <w:w w:val="110"/>
        </w:rPr>
        <w:t>infraes-</w:t>
      </w:r>
      <w:r>
        <w:rPr>
          <w:w w:val="102"/>
        </w:rPr>
        <w:t> </w:t>
      </w:r>
      <w:r>
        <w:rPr>
          <w:w w:val="110"/>
        </w:rPr>
        <w:t>tructura,</w:t>
      </w:r>
      <w:r>
        <w:rPr>
          <w:spacing w:val="31"/>
          <w:w w:val="110"/>
        </w:rPr>
        <w:t> </w:t>
      </w:r>
      <w:r>
        <w:rPr>
          <w:w w:val="110"/>
        </w:rPr>
        <w:t>instituciones</w:t>
      </w:r>
      <w:r>
        <w:rPr>
          <w:spacing w:val="31"/>
          <w:w w:val="110"/>
        </w:rPr>
        <w:t> </w:t>
      </w:r>
      <w:r>
        <w:rPr>
          <w:w w:val="110"/>
        </w:rPr>
        <w:t>que</w:t>
      </w:r>
      <w:r>
        <w:rPr>
          <w:spacing w:val="31"/>
          <w:w w:val="110"/>
        </w:rPr>
        <w:t> </w:t>
      </w:r>
      <w:r>
        <w:rPr>
          <w:w w:val="110"/>
        </w:rPr>
        <w:t>se</w:t>
      </w:r>
      <w:r>
        <w:rPr>
          <w:spacing w:val="31"/>
          <w:w w:val="110"/>
        </w:rPr>
        <w:t> </w:t>
      </w:r>
      <w:r>
        <w:rPr>
          <w:w w:val="110"/>
        </w:rPr>
        <w:t>beneficiarán</w:t>
      </w:r>
      <w:r>
        <w:rPr>
          <w:spacing w:val="31"/>
          <w:w w:val="110"/>
        </w:rPr>
        <w:t> </w:t>
      </w:r>
      <w:r>
        <w:rPr>
          <w:w w:val="110"/>
        </w:rPr>
        <w:t>sin</w:t>
      </w:r>
      <w:r>
        <w:rPr>
          <w:spacing w:val="31"/>
          <w:w w:val="110"/>
        </w:rPr>
        <w:t> </w:t>
      </w:r>
      <w:r>
        <w:rPr>
          <w:w w:val="110"/>
        </w:rPr>
        <w:t>duda</w:t>
      </w:r>
      <w:r>
        <w:rPr>
          <w:spacing w:val="31"/>
          <w:w w:val="110"/>
        </w:rPr>
        <w:t> </w:t>
      </w:r>
      <w:r>
        <w:rPr>
          <w:w w:val="110"/>
        </w:rPr>
        <w:t>de</w:t>
      </w:r>
      <w:r>
        <w:rPr>
          <w:spacing w:val="31"/>
          <w:w w:val="110"/>
        </w:rPr>
        <w:t> </w:t>
      </w:r>
      <w:r>
        <w:rPr>
          <w:w w:val="110"/>
        </w:rPr>
        <w:t>los</w:t>
      </w:r>
      <w:r>
        <w:rPr>
          <w:spacing w:val="31"/>
          <w:w w:val="110"/>
        </w:rPr>
        <w:t> </w:t>
      </w:r>
      <w:r>
        <w:rPr>
          <w:w w:val="110"/>
        </w:rPr>
        <w:t>enormes</w:t>
      </w:r>
      <w:r>
        <w:rPr>
          <w:w w:val="108"/>
        </w:rPr>
        <w:t> </w:t>
      </w:r>
      <w:r>
        <w:rPr>
          <w:w w:val="110"/>
        </w:rPr>
        <w:t>excedentes de inversión con que cuentan China y los</w:t>
      </w:r>
      <w:r>
        <w:rPr>
          <w:spacing w:val="-14"/>
          <w:w w:val="110"/>
        </w:rPr>
        <w:t> </w:t>
      </w:r>
      <w:r>
        <w:rPr>
          <w:w w:val="110"/>
        </w:rPr>
        <w:t>países</w:t>
      </w:r>
      <w:r>
        <w:rPr>
          <w:spacing w:val="-2"/>
          <w:w w:val="110"/>
        </w:rPr>
        <w:t> </w:t>
      </w:r>
      <w:r>
        <w:rPr>
          <w:w w:val="110"/>
        </w:rPr>
        <w:t>señalados.</w:t>
      </w:r>
      <w:r>
        <w:rPr>
          <w:w w:val="110"/>
        </w:rPr>
        <w:t> </w:t>
      </w:r>
      <w:r>
        <w:rPr>
          <w:w w:val="110"/>
        </w:rPr>
        <w:t>adicionalmente,</w:t>
      </w:r>
      <w:r>
        <w:rPr>
          <w:spacing w:val="25"/>
          <w:w w:val="110"/>
        </w:rPr>
        <w:t> </w:t>
      </w:r>
      <w:r>
        <w:rPr>
          <w:w w:val="110"/>
        </w:rPr>
        <w:t>no</w:t>
      </w:r>
      <w:r>
        <w:rPr>
          <w:spacing w:val="25"/>
          <w:w w:val="110"/>
        </w:rPr>
        <w:t> </w:t>
      </w:r>
      <w:r>
        <w:rPr>
          <w:w w:val="110"/>
        </w:rPr>
        <w:t>debe</w:t>
      </w:r>
      <w:r>
        <w:rPr>
          <w:spacing w:val="25"/>
          <w:w w:val="110"/>
        </w:rPr>
        <w:t> </w:t>
      </w:r>
      <w:r>
        <w:rPr>
          <w:w w:val="110"/>
        </w:rPr>
        <w:t>pasarse</w:t>
      </w:r>
      <w:r>
        <w:rPr>
          <w:spacing w:val="25"/>
          <w:w w:val="110"/>
        </w:rPr>
        <w:t> </w:t>
      </w:r>
      <w:r>
        <w:rPr>
          <w:w w:val="110"/>
        </w:rPr>
        <w:t>por</w:t>
      </w:r>
      <w:r>
        <w:rPr>
          <w:spacing w:val="25"/>
          <w:w w:val="110"/>
        </w:rPr>
        <w:t> </w:t>
      </w:r>
      <w:r>
        <w:rPr>
          <w:w w:val="110"/>
        </w:rPr>
        <w:t>alto</w:t>
      </w:r>
      <w:r>
        <w:rPr>
          <w:spacing w:val="25"/>
          <w:w w:val="110"/>
        </w:rPr>
        <w:t> </w:t>
      </w:r>
      <w:r>
        <w:rPr>
          <w:w w:val="110"/>
        </w:rPr>
        <w:t>la</w:t>
      </w:r>
      <w:r>
        <w:rPr>
          <w:spacing w:val="25"/>
          <w:w w:val="110"/>
        </w:rPr>
        <w:t> </w:t>
      </w:r>
      <w:r>
        <w:rPr>
          <w:w w:val="110"/>
        </w:rPr>
        <w:t>existencia</w:t>
      </w:r>
      <w:r>
        <w:rPr>
          <w:spacing w:val="25"/>
          <w:w w:val="110"/>
        </w:rPr>
        <w:t> </w:t>
      </w:r>
      <w:r>
        <w:rPr>
          <w:w w:val="110"/>
        </w:rPr>
        <w:t>en</w:t>
      </w:r>
      <w:r>
        <w:rPr>
          <w:spacing w:val="25"/>
          <w:w w:val="110"/>
        </w:rPr>
        <w:t> </w:t>
      </w:r>
      <w:r>
        <w:rPr>
          <w:w w:val="110"/>
        </w:rPr>
        <w:t>la</w:t>
      </w:r>
      <w:r>
        <w:rPr>
          <w:spacing w:val="25"/>
          <w:w w:val="110"/>
        </w:rPr>
        <w:t> </w:t>
      </w:r>
      <w:r>
        <w:rPr>
          <w:w w:val="110"/>
        </w:rPr>
        <w:t>re-</w:t>
      </w:r>
      <w:r>
        <w:rPr>
          <w:w w:val="102"/>
        </w:rPr>
        <w:t> </w:t>
      </w:r>
      <w:r>
        <w:rPr>
          <w:w w:val="110"/>
        </w:rPr>
        <w:t>gión del banco asiático de inversión en infraestructuras, así</w:t>
      </w:r>
      <w:r>
        <w:rPr>
          <w:spacing w:val="8"/>
          <w:w w:val="110"/>
        </w:rPr>
        <w:t> </w:t>
      </w:r>
      <w:r>
        <w:rPr>
          <w:w w:val="110"/>
        </w:rPr>
        <w:t>como</w:t>
      </w:r>
      <w:r>
        <w:rPr>
          <w:spacing w:val="16"/>
          <w:w w:val="110"/>
        </w:rPr>
        <w:t> </w:t>
      </w:r>
      <w:r>
        <w:rPr>
          <w:w w:val="110"/>
        </w:rPr>
        <w:t>de</w:t>
      </w:r>
      <w:r>
        <w:rPr>
          <w:w w:val="107"/>
        </w:rPr>
        <w:t> </w:t>
      </w:r>
      <w:r>
        <w:rPr>
          <w:w w:val="110"/>
        </w:rPr>
        <w:t>otros fondos sectoriales y multilaterales que constituyen en</w:t>
      </w:r>
      <w:r>
        <w:rPr>
          <w:spacing w:val="14"/>
          <w:w w:val="110"/>
        </w:rPr>
        <w:t> </w:t>
      </w:r>
      <w:r>
        <w:rPr>
          <w:w w:val="110"/>
        </w:rPr>
        <w:t>la</w:t>
      </w:r>
      <w:r>
        <w:rPr>
          <w:spacing w:val="13"/>
          <w:w w:val="110"/>
        </w:rPr>
        <w:t> </w:t>
      </w:r>
      <w:r>
        <w:rPr>
          <w:w w:val="110"/>
        </w:rPr>
        <w:t>actua-</w:t>
      </w:r>
      <w:r>
        <w:rPr>
          <w:w w:val="102"/>
        </w:rPr>
        <w:t> </w:t>
      </w:r>
      <w:r>
        <w:rPr>
          <w:w w:val="110"/>
        </w:rPr>
        <w:t>lidad fuentes de financiamiento complementario que impulsarían  </w:t>
      </w:r>
      <w:r>
        <w:rPr>
          <w:spacing w:val="16"/>
          <w:w w:val="110"/>
        </w:rPr>
        <w:t> </w:t>
      </w:r>
      <w:r>
        <w:rPr>
          <w:w w:val="110"/>
        </w:rPr>
        <w:t>los</w:t>
      </w:r>
    </w:p>
    <w:p>
      <w:pPr>
        <w:pStyle w:val="BodyText"/>
        <w:ind w:left="330" w:right="321"/>
      </w:pPr>
      <w:r>
        <w:rPr>
          <w:w w:val="110"/>
        </w:rPr>
        <w:t>programas analizados.</w:t>
      </w:r>
    </w:p>
    <w:p>
      <w:pPr>
        <w:pStyle w:val="BodyText"/>
        <w:spacing w:line="252" w:lineRule="auto" w:before="11"/>
        <w:ind w:left="330" w:right="117" w:firstLine="396"/>
        <w:jc w:val="both"/>
      </w:pPr>
      <w:r>
        <w:rPr>
          <w:w w:val="243"/>
        </w:rPr>
        <w:t>l</w:t>
      </w:r>
      <w:r>
        <w:rPr>
          <w:w w:val="108"/>
        </w:rPr>
        <w:t>os</w:t>
      </w:r>
      <w:r>
        <w:rPr/>
        <w:t> </w:t>
      </w:r>
      <w:r>
        <w:rPr>
          <w:w w:val="108"/>
        </w:rPr>
        <w:t>resultados</w:t>
      </w:r>
      <w:r>
        <w:rPr/>
        <w:t> </w:t>
      </w:r>
      <w:r>
        <w:rPr>
          <w:w w:val="110"/>
        </w:rPr>
        <w:t>inmediatos</w:t>
      </w:r>
      <w:r>
        <w:rPr/>
        <w:t> </w:t>
      </w:r>
      <w:r>
        <w:rPr>
          <w:w w:val="107"/>
        </w:rPr>
        <w:t>de</w:t>
      </w:r>
      <w:r>
        <w:rPr/>
        <w:t> </w:t>
      </w:r>
      <w:r>
        <w:rPr>
          <w:w w:val="107"/>
        </w:rPr>
        <w:t>tales</w:t>
      </w:r>
      <w:r>
        <w:rPr/>
        <w:t> </w:t>
      </w:r>
      <w:r>
        <w:rPr>
          <w:w w:val="108"/>
        </w:rPr>
        <w:t>proyectos</w:t>
      </w:r>
      <w:r>
        <w:rPr/>
        <w:t> </w:t>
      </w:r>
      <w:r>
        <w:rPr>
          <w:w w:val="105"/>
        </w:rPr>
        <w:t>se</w:t>
      </w:r>
      <w:r>
        <w:rPr/>
        <w:t> </w:t>
      </w:r>
      <w:r>
        <w:rPr>
          <w:w w:val="108"/>
        </w:rPr>
        <w:t>observarán</w:t>
      </w:r>
      <w:r>
        <w:rPr/>
        <w:t> </w:t>
      </w:r>
      <w:r>
        <w:rPr>
          <w:w w:val="108"/>
        </w:rPr>
        <w:t>en</w:t>
      </w:r>
      <w:r>
        <w:rPr/>
        <w:t> </w:t>
      </w:r>
      <w:r>
        <w:rPr>
          <w:w w:val="111"/>
        </w:rPr>
        <w:t>la </w:t>
      </w:r>
      <w:r>
        <w:rPr>
          <w:w w:val="110"/>
        </w:rPr>
        <w:t>ampliación de la conectividad regional en la infraestructura, los re- cursos humanos y tecnológicos, con los cuales se podría generar una mayor dinámica de crecimiento económico que impactaría positiva- mente a escala regional en la solución del problema más grave que enfrentan hoy las economías subdesarrolladas, la ausencia de finan- ciamiento para el desarrollo, especialmente en el contexto de la actual crisis  económica global.</w:t>
      </w:r>
    </w:p>
    <w:p>
      <w:pPr>
        <w:pStyle w:val="BodyText"/>
        <w:spacing w:line="252" w:lineRule="auto"/>
        <w:ind w:left="330" w:right="117" w:firstLine="396"/>
        <w:jc w:val="both"/>
      </w:pPr>
      <w:r>
        <w:rPr>
          <w:w w:val="110"/>
        </w:rPr>
        <w:t>El director en China del banco asiático de desarrollo, Hamid </w:t>
      </w:r>
      <w:r>
        <w:rPr>
          <w:w w:val="160"/>
        </w:rPr>
        <w:t>l.</w:t>
      </w:r>
      <w:r>
        <w:rPr>
          <w:spacing w:val="66"/>
          <w:w w:val="160"/>
        </w:rPr>
        <w:t> </w:t>
      </w:r>
      <w:r>
        <w:rPr>
          <w:w w:val="110"/>
        </w:rPr>
        <w:t>sharif, ha comentado al respecto que “Esta región necesita 800 mil millones de dólares estadounidenses anuales y actualmente todos los bancos multilaterales de desarrollo sólo proveen el 5% de esa cifra” </w:t>
      </w:r>
      <w:hyperlink r:id="rId140">
        <w:r>
          <w:rPr>
            <w:spacing w:val="-1"/>
            <w:w w:val="110"/>
          </w:rPr>
          <w:t>(&lt;www.español.cnt</w:t>
        </w:r>
      </w:hyperlink>
      <w:r>
        <w:rPr>
          <w:spacing w:val="-1"/>
          <w:w w:val="110"/>
        </w:rPr>
        <w:t>v</w:t>
      </w:r>
      <w:hyperlink r:id="rId140">
        <w:r>
          <w:rPr>
            <w:spacing w:val="-1"/>
            <w:w w:val="110"/>
          </w:rPr>
          <w:t>.cn&gt;,</w:t>
        </w:r>
      </w:hyperlink>
      <w:r>
        <w:rPr>
          <w:spacing w:val="-1"/>
          <w:w w:val="110"/>
        </w:rPr>
        <w:t> </w:t>
      </w:r>
      <w:r>
        <w:rPr>
          <w:w w:val="110"/>
        </w:rPr>
        <w:t>2014).</w:t>
      </w:r>
    </w:p>
    <w:p>
      <w:pPr>
        <w:pStyle w:val="BodyText"/>
        <w:spacing w:line="252" w:lineRule="auto"/>
        <w:ind w:left="330" w:right="117" w:firstLine="396"/>
        <w:jc w:val="both"/>
      </w:pPr>
      <w:r>
        <w:rPr>
          <w:w w:val="110"/>
        </w:rPr>
        <w:t>Con el objetivo expreso de ofrecer financiamiento a los proyectos de infraestructura que se encuentran en desarrollo en asia, China y otros 20 países firmaron el memorando para construir un banco asiá- tico de inversión en infraestructura </w:t>
      </w:r>
      <w:hyperlink r:id="rId140">
        <w:r>
          <w:rPr>
            <w:w w:val="110"/>
          </w:rPr>
          <w:t>(&lt;www.español.cnt</w:t>
        </w:r>
      </w:hyperlink>
      <w:r>
        <w:rPr>
          <w:w w:val="110"/>
        </w:rPr>
        <w:t>v</w:t>
      </w:r>
      <w:hyperlink r:id="rId140">
        <w:r>
          <w:rPr>
            <w:w w:val="110"/>
          </w:rPr>
          <w:t>.cn&gt;,</w:t>
        </w:r>
      </w:hyperlink>
      <w:r>
        <w:rPr>
          <w:w w:val="110"/>
        </w:rPr>
        <w:t> 2014).</w:t>
      </w:r>
    </w:p>
    <w:p>
      <w:pPr>
        <w:pStyle w:val="BodyText"/>
        <w:spacing w:line="252" w:lineRule="auto"/>
        <w:ind w:left="330" w:right="118" w:firstLine="396"/>
        <w:jc w:val="both"/>
      </w:pPr>
      <w:r>
        <w:rPr>
          <w:w w:val="243"/>
        </w:rPr>
        <w:t>l</w:t>
      </w:r>
      <w:r>
        <w:rPr>
          <w:w w:val="108"/>
        </w:rPr>
        <w:t>os</w:t>
      </w:r>
      <w:r>
        <w:rPr/>
        <w:t> </w:t>
      </w:r>
      <w:r>
        <w:rPr>
          <w:w w:val="110"/>
        </w:rPr>
        <w:t>analistas</w:t>
      </w:r>
      <w:r>
        <w:rPr/>
        <w:t> </w:t>
      </w:r>
      <w:r>
        <w:rPr>
          <w:w w:val="109"/>
        </w:rPr>
        <w:t>destacan</w:t>
      </w:r>
      <w:r>
        <w:rPr/>
        <w:t> </w:t>
      </w:r>
      <w:r>
        <w:rPr>
          <w:w w:val="108"/>
        </w:rPr>
        <w:t>que</w:t>
      </w:r>
      <w:r>
        <w:rPr/>
        <w:t> </w:t>
      </w:r>
      <w:r>
        <w:rPr>
          <w:w w:val="106"/>
        </w:rPr>
        <w:t>pese</w:t>
      </w:r>
      <w:r>
        <w:rPr/>
        <w:t> </w:t>
      </w:r>
      <w:r>
        <w:rPr>
          <w:w w:val="112"/>
        </w:rPr>
        <w:t>a</w:t>
      </w:r>
      <w:r>
        <w:rPr/>
        <w:t> </w:t>
      </w:r>
      <w:r>
        <w:rPr>
          <w:w w:val="109"/>
        </w:rPr>
        <w:t>su</w:t>
      </w:r>
      <w:r>
        <w:rPr/>
        <w:t> </w:t>
      </w:r>
      <w:r>
        <w:rPr>
          <w:w w:val="111"/>
        </w:rPr>
        <w:t>orientación,</w:t>
      </w:r>
      <w:r>
        <w:rPr/>
        <w:t> </w:t>
      </w:r>
      <w:r>
        <w:rPr>
          <w:w w:val="109"/>
        </w:rPr>
        <w:t>las</w:t>
      </w:r>
      <w:r>
        <w:rPr/>
        <w:t> </w:t>
      </w:r>
      <w:r>
        <w:rPr>
          <w:w w:val="109"/>
        </w:rPr>
        <w:t>operaciones </w:t>
      </w:r>
      <w:r>
        <w:rPr>
          <w:w w:val="110"/>
        </w:rPr>
        <w:t>de préstamo difieren de los actuales planes disponibles en institucio- nes como el banco asiático de desarrollo y el banco Mundial.</w:t>
      </w:r>
    </w:p>
    <w:p>
      <w:pPr>
        <w:pStyle w:val="BodyText"/>
        <w:spacing w:line="252" w:lineRule="auto"/>
        <w:ind w:left="330" w:right="117" w:firstLine="396"/>
        <w:jc w:val="both"/>
      </w:pPr>
      <w:r>
        <w:rPr>
          <w:w w:val="110"/>
        </w:rPr>
        <w:t>algunos analistas han destacado las diferencias que tendrá este banco en relación con los existentes en la región, por ejemplo: “Es     un banco de inversión, pero es diferente al banco asiático de desa- </w:t>
      </w:r>
      <w:r>
        <w:rPr>
          <w:w w:val="111"/>
        </w:rPr>
        <w:t>rrollo,</w:t>
      </w:r>
      <w:r>
        <w:rPr/>
        <w:t> </w:t>
      </w:r>
      <w:r>
        <w:rPr>
          <w:spacing w:val="-6"/>
        </w:rPr>
        <w:t> </w:t>
      </w:r>
      <w:r>
        <w:rPr>
          <w:w w:val="109"/>
        </w:rPr>
        <w:t>donde</w:t>
      </w:r>
      <w:r>
        <w:rPr/>
        <w:t> </w:t>
      </w:r>
      <w:r>
        <w:rPr>
          <w:spacing w:val="-6"/>
        </w:rPr>
        <w:t> </w:t>
      </w:r>
      <w:r>
        <w:rPr>
          <w:w w:val="108"/>
        </w:rPr>
        <w:t>los</w:t>
      </w:r>
      <w:r>
        <w:rPr/>
        <w:t> </w:t>
      </w:r>
      <w:r>
        <w:rPr>
          <w:spacing w:val="-6"/>
        </w:rPr>
        <w:t> </w:t>
      </w:r>
      <w:r>
        <w:rPr>
          <w:w w:val="109"/>
        </w:rPr>
        <w:t>gobiernos</w:t>
      </w:r>
      <w:r>
        <w:rPr/>
        <w:t> </w:t>
      </w:r>
      <w:r>
        <w:rPr>
          <w:spacing w:val="-6"/>
        </w:rPr>
        <w:t> </w:t>
      </w:r>
      <w:r>
        <w:rPr>
          <w:w w:val="108"/>
        </w:rPr>
        <w:t>intervienen</w:t>
      </w:r>
      <w:r>
        <w:rPr/>
        <w:t> </w:t>
      </w:r>
      <w:r>
        <w:rPr>
          <w:spacing w:val="-6"/>
        </w:rPr>
        <w:t> </w:t>
      </w:r>
      <w:r>
        <w:rPr>
          <w:w w:val="114"/>
        </w:rPr>
        <w:t>mucho.</w:t>
      </w:r>
      <w:r>
        <w:rPr/>
        <w:t> </w:t>
      </w:r>
      <w:r>
        <w:rPr>
          <w:spacing w:val="-6"/>
        </w:rPr>
        <w:t> </w:t>
      </w:r>
      <w:r>
        <w:rPr>
          <w:w w:val="243"/>
        </w:rPr>
        <w:t>l</w:t>
      </w:r>
      <w:r>
        <w:rPr>
          <w:w w:val="112"/>
        </w:rPr>
        <w:t>a</w:t>
      </w:r>
      <w:r>
        <w:rPr/>
        <w:t> </w:t>
      </w:r>
      <w:r>
        <w:rPr>
          <w:spacing w:val="-6"/>
        </w:rPr>
        <w:t> </w:t>
      </w:r>
      <w:r>
        <w:rPr>
          <w:w w:val="111"/>
        </w:rPr>
        <w:t>iniciativa</w:t>
      </w:r>
      <w:r>
        <w:rPr/>
        <w:t> </w:t>
      </w:r>
      <w:r>
        <w:rPr>
          <w:spacing w:val="-6"/>
        </w:rPr>
        <w:t> </w:t>
      </w:r>
      <w:r>
        <w:rPr>
          <w:w w:val="112"/>
        </w:rPr>
        <w:t>actual </w:t>
      </w:r>
      <w:r>
        <w:rPr>
          <w:w w:val="110"/>
        </w:rPr>
        <w:t>viene de los gobiernos y es estimulado por el sector privado. El sector público y privado operarían conjuntamente y compartirían los ries- </w:t>
      </w:r>
      <w:r>
        <w:rPr>
          <w:w w:val="109"/>
        </w:rPr>
        <w:t>gos</w:t>
      </w:r>
      <w:r>
        <w:rPr/>
        <w:t> </w:t>
      </w:r>
      <w:r>
        <w:rPr>
          <w:spacing w:val="-7"/>
        </w:rPr>
        <w:t> </w:t>
      </w:r>
      <w:r>
        <w:rPr>
          <w:w w:val="111"/>
        </w:rPr>
        <w:t>al</w:t>
      </w:r>
      <w:r>
        <w:rPr/>
        <w:t> </w:t>
      </w:r>
      <w:r>
        <w:rPr>
          <w:spacing w:val="-7"/>
        </w:rPr>
        <w:t> </w:t>
      </w:r>
      <w:r>
        <w:rPr>
          <w:w w:val="112"/>
        </w:rPr>
        <w:t>igual</w:t>
      </w:r>
      <w:r>
        <w:rPr/>
        <w:t> </w:t>
      </w:r>
      <w:r>
        <w:rPr>
          <w:spacing w:val="-7"/>
        </w:rPr>
        <w:t> </w:t>
      </w:r>
      <w:r>
        <w:rPr>
          <w:w w:val="108"/>
        </w:rPr>
        <w:t>que</w:t>
      </w:r>
      <w:r>
        <w:rPr/>
        <w:t> </w:t>
      </w:r>
      <w:r>
        <w:rPr>
          <w:spacing w:val="-7"/>
        </w:rPr>
        <w:t> </w:t>
      </w:r>
      <w:r>
        <w:rPr>
          <w:w w:val="109"/>
        </w:rPr>
        <w:t>las</w:t>
      </w:r>
      <w:r>
        <w:rPr/>
        <w:t> </w:t>
      </w:r>
      <w:r>
        <w:rPr>
          <w:spacing w:val="-7"/>
        </w:rPr>
        <w:t> </w:t>
      </w:r>
      <w:r>
        <w:rPr>
          <w:w w:val="112"/>
        </w:rPr>
        <w:t>ganancias”</w:t>
      </w:r>
      <w:r>
        <w:rPr/>
        <w:t> </w:t>
      </w:r>
      <w:r>
        <w:rPr>
          <w:spacing w:val="-7"/>
        </w:rPr>
        <w:t> </w:t>
      </w:r>
      <w:hyperlink r:id="rId140">
        <w:r>
          <w:rPr>
            <w:w w:val="105"/>
          </w:rPr>
          <w:t>(&lt;ww</w:t>
        </w:r>
        <w:r>
          <w:rPr>
            <w:spacing w:val="-17"/>
            <w:w w:val="105"/>
          </w:rPr>
          <w:t>w</w:t>
        </w:r>
        <w:r>
          <w:rPr>
            <w:w w:val="112"/>
          </w:rPr>
          <w:t>.español.cnt</w:t>
        </w:r>
      </w:hyperlink>
      <w:r>
        <w:rPr>
          <w:spacing w:val="-21"/>
          <w:w w:val="101"/>
        </w:rPr>
        <w:t>v</w:t>
      </w:r>
      <w:hyperlink r:id="rId140">
        <w:r>
          <w:rPr>
            <w:w w:val="117"/>
          </w:rPr>
          <w:t>.cn&gt;,</w:t>
        </w:r>
      </w:hyperlink>
      <w:r>
        <w:rPr/>
        <w:t> </w:t>
      </w:r>
      <w:r>
        <w:rPr>
          <w:spacing w:val="-7"/>
        </w:rPr>
        <w:t> </w:t>
      </w:r>
      <w:r>
        <w:rPr>
          <w:w w:val="104"/>
        </w:rPr>
        <w:t>2014).</w:t>
      </w:r>
      <w:r>
        <w:rPr/>
        <w:t> </w:t>
      </w:r>
      <w:r>
        <w:rPr>
          <w:spacing w:val="-7"/>
        </w:rPr>
        <w:t> </w:t>
      </w:r>
      <w:r>
        <w:rPr>
          <w:w w:val="243"/>
        </w:rPr>
        <w:t>l</w:t>
      </w:r>
      <w:r>
        <w:rPr>
          <w:w w:val="108"/>
        </w:rPr>
        <w:t>os </w:t>
      </w:r>
      <w:r>
        <w:rPr>
          <w:w w:val="110"/>
        </w:rPr>
        <w:t>analistas indican que el éxito de la iniciativa dependerá a su vez de    la comunicación que se establezca entre el banco y los prestamistas existentes en la</w:t>
      </w:r>
      <w:r>
        <w:rPr>
          <w:spacing w:val="15"/>
          <w:w w:val="110"/>
        </w:rPr>
        <w:t> </w:t>
      </w:r>
      <w:r>
        <w:rPr>
          <w:w w:val="110"/>
        </w:rPr>
        <w:t>región.</w:t>
      </w:r>
    </w:p>
    <w:p>
      <w:pPr>
        <w:pStyle w:val="BodyText"/>
        <w:spacing w:before="5"/>
      </w:pPr>
    </w:p>
    <w:p>
      <w:pPr>
        <w:pStyle w:val="Heading6"/>
        <w:ind w:left="331" w:right="321"/>
        <w:jc w:val="left"/>
      </w:pPr>
      <w:r>
        <w:rPr>
          <w:w w:val="140"/>
        </w:rPr>
        <w:t>conclusiones</w:t>
      </w:r>
    </w:p>
    <w:p>
      <w:pPr>
        <w:pStyle w:val="BodyText"/>
        <w:spacing w:line="252" w:lineRule="auto" w:before="10"/>
        <w:ind w:left="330" w:right="118"/>
        <w:jc w:val="right"/>
      </w:pPr>
      <w:r>
        <w:rPr>
          <w:w w:val="115"/>
        </w:rPr>
        <w:t>En pleno siglo </w:t>
      </w:r>
      <w:r>
        <w:rPr>
          <w:w w:val="125"/>
        </w:rPr>
        <w:t>xxi, </w:t>
      </w:r>
      <w:r>
        <w:rPr>
          <w:w w:val="115"/>
        </w:rPr>
        <w:t>la región asia-Pacífico aún es</w:t>
      </w:r>
      <w:r>
        <w:rPr>
          <w:spacing w:val="1"/>
          <w:w w:val="115"/>
        </w:rPr>
        <w:t> </w:t>
      </w:r>
      <w:r>
        <w:rPr>
          <w:w w:val="115"/>
        </w:rPr>
        <w:t>considerada</w:t>
      </w:r>
      <w:r>
        <w:rPr>
          <w:spacing w:val="6"/>
          <w:w w:val="115"/>
        </w:rPr>
        <w:t> </w:t>
      </w:r>
      <w:r>
        <w:rPr>
          <w:w w:val="115"/>
        </w:rPr>
        <w:t>como</w:t>
      </w:r>
      <w:r>
        <w:rPr>
          <w:w w:val="112"/>
        </w:rPr>
        <w:t> </w:t>
      </w:r>
      <w:r>
        <w:rPr>
          <w:w w:val="115"/>
        </w:rPr>
        <w:t>el</w:t>
      </w:r>
      <w:r>
        <w:rPr>
          <w:spacing w:val="-13"/>
          <w:w w:val="115"/>
        </w:rPr>
        <w:t> </w:t>
      </w:r>
      <w:r>
        <w:rPr>
          <w:w w:val="115"/>
        </w:rPr>
        <w:t>motor</w:t>
      </w:r>
      <w:r>
        <w:rPr>
          <w:spacing w:val="-13"/>
          <w:w w:val="115"/>
        </w:rPr>
        <w:t> </w:t>
      </w:r>
      <w:r>
        <w:rPr>
          <w:w w:val="115"/>
        </w:rPr>
        <w:t>del</w:t>
      </w:r>
      <w:r>
        <w:rPr>
          <w:spacing w:val="-13"/>
          <w:w w:val="115"/>
        </w:rPr>
        <w:t> </w:t>
      </w:r>
      <w:r>
        <w:rPr>
          <w:w w:val="115"/>
        </w:rPr>
        <w:t>crecimiento</w:t>
      </w:r>
      <w:r>
        <w:rPr>
          <w:spacing w:val="-13"/>
          <w:w w:val="115"/>
        </w:rPr>
        <w:t> </w:t>
      </w:r>
      <w:r>
        <w:rPr>
          <w:w w:val="115"/>
        </w:rPr>
        <w:t>económico</w:t>
      </w:r>
      <w:r>
        <w:rPr>
          <w:spacing w:val="-13"/>
          <w:w w:val="115"/>
        </w:rPr>
        <w:t> </w:t>
      </w:r>
      <w:r>
        <w:rPr>
          <w:w w:val="115"/>
        </w:rPr>
        <w:t>mundial,</w:t>
      </w:r>
      <w:r>
        <w:rPr>
          <w:spacing w:val="-13"/>
          <w:w w:val="115"/>
        </w:rPr>
        <w:t> </w:t>
      </w:r>
      <w:r>
        <w:rPr>
          <w:w w:val="115"/>
        </w:rPr>
        <w:t>y</w:t>
      </w:r>
      <w:r>
        <w:rPr>
          <w:spacing w:val="-13"/>
          <w:w w:val="115"/>
        </w:rPr>
        <w:t> </w:t>
      </w:r>
      <w:r>
        <w:rPr>
          <w:w w:val="115"/>
        </w:rPr>
        <w:t>asume</w:t>
      </w:r>
      <w:r>
        <w:rPr>
          <w:spacing w:val="-13"/>
          <w:w w:val="115"/>
        </w:rPr>
        <w:t> </w:t>
      </w:r>
      <w:r>
        <w:rPr>
          <w:w w:val="115"/>
        </w:rPr>
        <w:t>un</w:t>
      </w:r>
      <w:r>
        <w:rPr>
          <w:spacing w:val="-13"/>
          <w:w w:val="115"/>
        </w:rPr>
        <w:t> </w:t>
      </w:r>
      <w:r>
        <w:rPr>
          <w:w w:val="115"/>
        </w:rPr>
        <w:t>papel</w:t>
      </w:r>
      <w:r>
        <w:rPr>
          <w:spacing w:val="-13"/>
          <w:w w:val="115"/>
        </w:rPr>
        <w:t> </w:t>
      </w:r>
      <w:r>
        <w:rPr>
          <w:w w:val="115"/>
        </w:rPr>
        <w:t>cada</w:t>
      </w:r>
    </w:p>
    <w:p>
      <w:pPr>
        <w:spacing w:after="0" w:line="252" w:lineRule="auto"/>
        <w:jc w:val="right"/>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día más determinante en la evolución del gran tablero de las relacio- nes internacionales. En este contexto, los proyectos chinos vinculados a la construcción del Cinturón Económico de la ruta de la seda y la ruta de la seda Marítima del siglo </w:t>
      </w:r>
      <w:r>
        <w:rPr>
          <w:w w:val="125"/>
        </w:rPr>
        <w:t>xxi, </w:t>
      </w:r>
      <w:r>
        <w:rPr>
          <w:w w:val="110"/>
        </w:rPr>
        <w:t>se erigen pilares clave para      la ampliación del crecimiento económico regional y de su influencia    a escala</w:t>
      </w:r>
      <w:r>
        <w:rPr>
          <w:spacing w:val="45"/>
          <w:w w:val="110"/>
        </w:rPr>
        <w:t> </w:t>
      </w:r>
      <w:r>
        <w:rPr>
          <w:w w:val="110"/>
        </w:rPr>
        <w:t>mundial.</w:t>
      </w:r>
    </w:p>
    <w:p>
      <w:pPr>
        <w:pStyle w:val="BodyText"/>
        <w:spacing w:line="252" w:lineRule="auto"/>
        <w:ind w:left="100" w:right="328" w:firstLine="396"/>
        <w:jc w:val="both"/>
      </w:pPr>
      <w:r>
        <w:rPr>
          <w:w w:val="110"/>
        </w:rPr>
        <w:t>desde el punto de vista interno, estas propuestas tomadas por China se identifican plenamente con el contexto en el cual se desarro- lla la profundización de la reforma y la apertura del país al </w:t>
      </w:r>
      <w:r>
        <w:rPr>
          <w:spacing w:val="-3"/>
          <w:w w:val="110"/>
        </w:rPr>
        <w:t>exterior,  </w:t>
      </w:r>
      <w:r>
        <w:rPr>
          <w:w w:val="110"/>
        </w:rPr>
        <w:t>así como la ampliación de la estrategia diplomática con los países     del entorno, y simultáneamente constituyen compromisos serios de China para contribuir a la reactivación de asia en su conjunto y a la política de “lograr el desarrollo armonioso del </w:t>
      </w:r>
      <w:r>
        <w:rPr>
          <w:spacing w:val="24"/>
          <w:w w:val="110"/>
        </w:rPr>
        <w:t> </w:t>
      </w:r>
      <w:r>
        <w:rPr>
          <w:w w:val="110"/>
        </w:rPr>
        <w:t>mundo”.</w:t>
      </w:r>
    </w:p>
    <w:p>
      <w:pPr>
        <w:pStyle w:val="BodyText"/>
        <w:spacing w:line="252" w:lineRule="auto"/>
        <w:ind w:left="100" w:right="328" w:firstLine="396"/>
        <w:jc w:val="both"/>
      </w:pPr>
      <w:r>
        <w:rPr>
          <w:w w:val="110"/>
        </w:rPr>
        <w:t>Estos proyectos no pretenden restablecer las rutas antiguas, sino que se adaptan a la modernidad y pretenden impulsar sinergias de esfuerzos</w:t>
      </w:r>
      <w:r>
        <w:rPr>
          <w:spacing w:val="-7"/>
          <w:w w:val="110"/>
        </w:rPr>
        <w:t> </w:t>
      </w:r>
      <w:r>
        <w:rPr>
          <w:w w:val="110"/>
        </w:rPr>
        <w:t>entre</w:t>
      </w:r>
      <w:r>
        <w:rPr>
          <w:spacing w:val="-7"/>
          <w:w w:val="110"/>
        </w:rPr>
        <w:t> </w:t>
      </w:r>
      <w:r>
        <w:rPr>
          <w:w w:val="110"/>
        </w:rPr>
        <w:t>varios</w:t>
      </w:r>
      <w:r>
        <w:rPr>
          <w:spacing w:val="-7"/>
          <w:w w:val="110"/>
        </w:rPr>
        <w:t> </w:t>
      </w:r>
      <w:r>
        <w:rPr>
          <w:w w:val="110"/>
        </w:rPr>
        <w:t>países</w:t>
      </w:r>
      <w:r>
        <w:rPr>
          <w:spacing w:val="-7"/>
          <w:w w:val="110"/>
        </w:rPr>
        <w:t> </w:t>
      </w:r>
      <w:r>
        <w:rPr>
          <w:w w:val="110"/>
        </w:rPr>
        <w:t>e</w:t>
      </w:r>
      <w:r>
        <w:rPr>
          <w:spacing w:val="-7"/>
          <w:w w:val="110"/>
        </w:rPr>
        <w:t> </w:t>
      </w:r>
      <w:r>
        <w:rPr>
          <w:w w:val="110"/>
        </w:rPr>
        <w:t>intereses</w:t>
      </w:r>
      <w:r>
        <w:rPr>
          <w:spacing w:val="-7"/>
          <w:w w:val="110"/>
        </w:rPr>
        <w:t> </w:t>
      </w:r>
      <w:r>
        <w:rPr>
          <w:w w:val="110"/>
        </w:rPr>
        <w:t>con</w:t>
      </w:r>
      <w:r>
        <w:rPr>
          <w:spacing w:val="-7"/>
          <w:w w:val="110"/>
        </w:rPr>
        <w:t> </w:t>
      </w:r>
      <w:r>
        <w:rPr>
          <w:w w:val="110"/>
        </w:rPr>
        <w:t>énfasis</w:t>
      </w:r>
      <w:r>
        <w:rPr>
          <w:spacing w:val="-7"/>
          <w:w w:val="110"/>
        </w:rPr>
        <w:t> </w:t>
      </w:r>
      <w:r>
        <w:rPr>
          <w:w w:val="110"/>
        </w:rPr>
        <w:t>singular</w:t>
      </w:r>
      <w:r>
        <w:rPr>
          <w:spacing w:val="-7"/>
          <w:w w:val="110"/>
        </w:rPr>
        <w:t> </w:t>
      </w:r>
      <w:r>
        <w:rPr>
          <w:w w:val="110"/>
        </w:rPr>
        <w:t>en</w:t>
      </w:r>
      <w:r>
        <w:rPr>
          <w:spacing w:val="-7"/>
          <w:w w:val="110"/>
        </w:rPr>
        <w:t> </w:t>
      </w:r>
      <w:r>
        <w:rPr>
          <w:w w:val="110"/>
        </w:rPr>
        <w:t>la</w:t>
      </w:r>
      <w:r>
        <w:rPr>
          <w:spacing w:val="-7"/>
          <w:w w:val="110"/>
        </w:rPr>
        <w:t> </w:t>
      </w:r>
      <w:r>
        <w:rPr>
          <w:w w:val="110"/>
        </w:rPr>
        <w:t>coo- peración  económica</w:t>
      </w:r>
      <w:r>
        <w:rPr>
          <w:spacing w:val="15"/>
          <w:w w:val="110"/>
        </w:rPr>
        <w:t> </w:t>
      </w:r>
      <w:r>
        <w:rPr>
          <w:w w:val="110"/>
        </w:rPr>
        <w:t>conjunta.</w:t>
      </w:r>
    </w:p>
    <w:p>
      <w:pPr>
        <w:pStyle w:val="BodyText"/>
        <w:spacing w:line="252" w:lineRule="auto"/>
        <w:ind w:left="100" w:right="328" w:firstLine="396"/>
        <w:jc w:val="both"/>
      </w:pPr>
      <w:r>
        <w:rPr>
          <w:w w:val="110"/>
        </w:rPr>
        <w:t>Con la ejecución de tales proyectos cabe esperar el fortalecimien- to</w:t>
      </w:r>
      <w:r>
        <w:rPr>
          <w:spacing w:val="-6"/>
          <w:w w:val="110"/>
        </w:rPr>
        <w:t> </w:t>
      </w:r>
      <w:r>
        <w:rPr>
          <w:w w:val="110"/>
        </w:rPr>
        <w:t>de</w:t>
      </w:r>
      <w:r>
        <w:rPr>
          <w:spacing w:val="-6"/>
          <w:w w:val="110"/>
        </w:rPr>
        <w:t> </w:t>
      </w:r>
      <w:r>
        <w:rPr>
          <w:w w:val="110"/>
        </w:rPr>
        <w:t>las</w:t>
      </w:r>
      <w:r>
        <w:rPr>
          <w:spacing w:val="-6"/>
          <w:w w:val="110"/>
        </w:rPr>
        <w:t> </w:t>
      </w:r>
      <w:r>
        <w:rPr>
          <w:w w:val="110"/>
        </w:rPr>
        <w:t>conexiones</w:t>
      </w:r>
      <w:r>
        <w:rPr>
          <w:spacing w:val="-6"/>
          <w:w w:val="110"/>
        </w:rPr>
        <w:t> </w:t>
      </w:r>
      <w:r>
        <w:rPr>
          <w:w w:val="110"/>
        </w:rPr>
        <w:t>de</w:t>
      </w:r>
      <w:r>
        <w:rPr>
          <w:spacing w:val="-6"/>
          <w:w w:val="110"/>
        </w:rPr>
        <w:t> </w:t>
      </w:r>
      <w:r>
        <w:rPr>
          <w:w w:val="110"/>
        </w:rPr>
        <w:t>rutas</w:t>
      </w:r>
      <w:r>
        <w:rPr>
          <w:spacing w:val="-6"/>
          <w:w w:val="110"/>
        </w:rPr>
        <w:t> </w:t>
      </w:r>
      <w:r>
        <w:rPr>
          <w:w w:val="110"/>
        </w:rPr>
        <w:t>para</w:t>
      </w:r>
      <w:r>
        <w:rPr>
          <w:spacing w:val="-6"/>
          <w:w w:val="110"/>
        </w:rPr>
        <w:t> </w:t>
      </w:r>
      <w:r>
        <w:rPr>
          <w:w w:val="110"/>
        </w:rPr>
        <w:t>construir</w:t>
      </w:r>
      <w:r>
        <w:rPr>
          <w:spacing w:val="-6"/>
          <w:w w:val="110"/>
        </w:rPr>
        <w:t> </w:t>
      </w:r>
      <w:r>
        <w:rPr>
          <w:w w:val="110"/>
        </w:rPr>
        <w:t>un</w:t>
      </w:r>
      <w:r>
        <w:rPr>
          <w:spacing w:val="-6"/>
          <w:w w:val="110"/>
        </w:rPr>
        <w:t> </w:t>
      </w:r>
      <w:r>
        <w:rPr>
          <w:w w:val="110"/>
        </w:rPr>
        <w:t>gran</w:t>
      </w:r>
      <w:r>
        <w:rPr>
          <w:spacing w:val="-6"/>
          <w:w w:val="110"/>
        </w:rPr>
        <w:t> </w:t>
      </w:r>
      <w:r>
        <w:rPr>
          <w:w w:val="110"/>
        </w:rPr>
        <w:t>corredor</w:t>
      </w:r>
      <w:r>
        <w:rPr>
          <w:spacing w:val="-6"/>
          <w:w w:val="110"/>
        </w:rPr>
        <w:t> </w:t>
      </w:r>
      <w:r>
        <w:rPr>
          <w:w w:val="110"/>
        </w:rPr>
        <w:t>de</w:t>
      </w:r>
      <w:r>
        <w:rPr>
          <w:spacing w:val="-6"/>
          <w:w w:val="110"/>
        </w:rPr>
        <w:t> </w:t>
      </w:r>
      <w:r>
        <w:rPr>
          <w:w w:val="110"/>
        </w:rPr>
        <w:t>trans- porte del Pacífico al Mar báltico y de asia Central al océano Índico. simultáneamente, se logrará mejorar los términos de facilitación co- mercial a través de la eliminación de barreras </w:t>
      </w:r>
      <w:r>
        <w:rPr>
          <w:spacing w:val="18"/>
          <w:w w:val="110"/>
        </w:rPr>
        <w:t> </w:t>
      </w:r>
      <w:r>
        <w:rPr>
          <w:w w:val="110"/>
        </w:rPr>
        <w:t>comerciales.</w:t>
      </w:r>
    </w:p>
    <w:p>
      <w:pPr>
        <w:pStyle w:val="BodyText"/>
        <w:spacing w:line="252" w:lineRule="auto"/>
        <w:ind w:left="100" w:right="328" w:firstLine="396"/>
        <w:jc w:val="both"/>
      </w:pPr>
      <w:r>
        <w:rPr>
          <w:w w:val="110"/>
        </w:rPr>
        <w:t>se observa también un creciente fortalecimiento de la coopera- ción monetaria, lo cual pudiera influir gradualmente en el desplaza- miento del dólar de las principales transacciones financieras regio- nales, lo cual impulsaría el uso del renminbi chino, la rupia india, el rublo ruso y el euro alemán.</w:t>
      </w:r>
    </w:p>
    <w:p>
      <w:pPr>
        <w:pStyle w:val="BodyText"/>
        <w:spacing w:line="252" w:lineRule="auto"/>
        <w:ind w:left="100" w:right="328" w:firstLine="396"/>
        <w:jc w:val="both"/>
      </w:pPr>
      <w:r>
        <w:rPr>
          <w:w w:val="110"/>
        </w:rPr>
        <w:t>tal desempeño fortalecerá los vínculos y las relaciones entre los pueblos. En este sentido, el valor histórico y cultural de tales proyec- tos es incalculable y retoma las experiencias del pasado para borrar parte de las negativas influencias que en el imaginario internacional todavía se tienen en relación con el tema de China, como la gran po- tencia, o China y sus fracasos socioeconómicos del pasado. asimismo, no debe pasarse por alto el hecho de que 30 mil personas provenien- tes de los Estados miembros de la organización de Cooperación de shanghai (oCs) estudiarán en las universidades chinas en los próxi- mos 10 años.</w:t>
      </w:r>
    </w:p>
    <w:p>
      <w:pPr>
        <w:pStyle w:val="BodyText"/>
        <w:spacing w:line="252" w:lineRule="auto"/>
        <w:ind w:left="100" w:right="327" w:firstLine="396"/>
        <w:jc w:val="both"/>
      </w:pPr>
      <w:r>
        <w:rPr>
          <w:w w:val="110"/>
        </w:rPr>
        <w:t>retomando el enfrentamiento lógico entre la potencia saliente y  la</w:t>
      </w:r>
      <w:r>
        <w:rPr>
          <w:spacing w:val="-5"/>
          <w:w w:val="110"/>
        </w:rPr>
        <w:t> </w:t>
      </w:r>
      <w:r>
        <w:rPr>
          <w:w w:val="110"/>
        </w:rPr>
        <w:t>emergente</w:t>
      </w:r>
      <w:r>
        <w:rPr>
          <w:spacing w:val="-5"/>
          <w:w w:val="110"/>
        </w:rPr>
        <w:t> </w:t>
      </w:r>
      <w:r>
        <w:rPr>
          <w:w w:val="110"/>
        </w:rPr>
        <w:t>y</w:t>
      </w:r>
      <w:r>
        <w:rPr>
          <w:spacing w:val="-5"/>
          <w:w w:val="110"/>
        </w:rPr>
        <w:t> </w:t>
      </w:r>
      <w:r>
        <w:rPr>
          <w:w w:val="110"/>
        </w:rPr>
        <w:t>como</w:t>
      </w:r>
      <w:r>
        <w:rPr>
          <w:spacing w:val="-5"/>
          <w:w w:val="110"/>
        </w:rPr>
        <w:t> </w:t>
      </w:r>
      <w:r>
        <w:rPr>
          <w:w w:val="110"/>
        </w:rPr>
        <w:t>respuesta</w:t>
      </w:r>
      <w:r>
        <w:rPr>
          <w:spacing w:val="-5"/>
          <w:w w:val="110"/>
        </w:rPr>
        <w:t> </w:t>
      </w:r>
      <w:r>
        <w:rPr>
          <w:w w:val="110"/>
        </w:rPr>
        <w:t>a</w:t>
      </w:r>
      <w:r>
        <w:rPr>
          <w:spacing w:val="-5"/>
          <w:w w:val="110"/>
        </w:rPr>
        <w:t> </w:t>
      </w:r>
      <w:r>
        <w:rPr>
          <w:w w:val="110"/>
        </w:rPr>
        <w:t>este</w:t>
      </w:r>
      <w:r>
        <w:rPr>
          <w:spacing w:val="-5"/>
          <w:w w:val="110"/>
        </w:rPr>
        <w:t> </w:t>
      </w:r>
      <w:r>
        <w:rPr>
          <w:w w:val="110"/>
        </w:rPr>
        <w:t>futuro</w:t>
      </w:r>
      <w:r>
        <w:rPr>
          <w:spacing w:val="-5"/>
          <w:w w:val="110"/>
        </w:rPr>
        <w:t> </w:t>
      </w:r>
      <w:r>
        <w:rPr>
          <w:w w:val="110"/>
        </w:rPr>
        <w:t>entramado</w:t>
      </w:r>
      <w:r>
        <w:rPr>
          <w:spacing w:val="-5"/>
          <w:w w:val="110"/>
        </w:rPr>
        <w:t> </w:t>
      </w:r>
      <w:r>
        <w:rPr>
          <w:w w:val="110"/>
        </w:rPr>
        <w:t>de</w:t>
      </w:r>
      <w:r>
        <w:rPr>
          <w:spacing w:val="-5"/>
          <w:w w:val="110"/>
        </w:rPr>
        <w:t> </w:t>
      </w:r>
      <w:r>
        <w:rPr>
          <w:w w:val="110"/>
        </w:rPr>
        <w:t>conexiones eurasiáticas y del Pacífico, el mayor logro de la política del gobierno de obama ha sido una versión de la contención naval desde el océa-  no Índico hasta el mar del sur de China, al tiempo que instigaba la agudización de los conflictos y las alianzas estratégicas alrededor   </w:t>
      </w:r>
      <w:r>
        <w:rPr>
          <w:spacing w:val="27"/>
          <w:w w:val="110"/>
        </w:rPr>
        <w:t> </w:t>
      </w:r>
      <w:r>
        <w:rPr>
          <w:w w:val="110"/>
        </w:rPr>
        <w:t>de</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China, de Japón a la india. En el otro extremo, la </w:t>
      </w:r>
      <w:r>
        <w:rPr>
          <w:w w:val="125"/>
        </w:rPr>
        <w:t>otaN </w:t>
      </w:r>
      <w:r>
        <w:rPr>
          <w:w w:val="110"/>
        </w:rPr>
        <w:t>se ha respon- sabilizado con la misión de tratar de contener a rusia en la región de Europa  oriental.</w:t>
      </w:r>
    </w:p>
    <w:p>
      <w:pPr>
        <w:pStyle w:val="BodyText"/>
        <w:spacing w:line="252" w:lineRule="auto"/>
        <w:ind w:left="330" w:right="117" w:firstLine="396"/>
        <w:jc w:val="both"/>
      </w:pPr>
      <w:r>
        <w:rPr>
          <w:w w:val="110"/>
        </w:rPr>
        <w:t>sin embargo, la dinámica económica y social de la región puede influir poderosamente en que la balanza se incline a favor de China. </w:t>
      </w:r>
      <w:r>
        <w:rPr>
          <w:spacing w:val="-6"/>
          <w:w w:val="110"/>
        </w:rPr>
        <w:t>Hoy, </w:t>
      </w:r>
      <w:r>
        <w:rPr>
          <w:w w:val="110"/>
        </w:rPr>
        <w:t>la mayor parte de los analistas destacan que, aun a pesar del moderado crecimiento de la economía china, el desempeño regional seguirá siendo determinante en el contexto global. se añade a esta ecuación</w:t>
      </w:r>
      <w:r>
        <w:rPr>
          <w:spacing w:val="-6"/>
          <w:w w:val="110"/>
        </w:rPr>
        <w:t> </w:t>
      </w:r>
      <w:r>
        <w:rPr>
          <w:w w:val="110"/>
        </w:rPr>
        <w:t>el</w:t>
      </w:r>
      <w:r>
        <w:rPr>
          <w:spacing w:val="-6"/>
          <w:w w:val="110"/>
        </w:rPr>
        <w:t> </w:t>
      </w:r>
      <w:r>
        <w:rPr>
          <w:w w:val="110"/>
        </w:rPr>
        <w:t>reciente</w:t>
      </w:r>
      <w:r>
        <w:rPr>
          <w:spacing w:val="-6"/>
          <w:w w:val="110"/>
        </w:rPr>
        <w:t> </w:t>
      </w:r>
      <w:r>
        <w:rPr>
          <w:w w:val="110"/>
        </w:rPr>
        <w:t>descenso</w:t>
      </w:r>
      <w:r>
        <w:rPr>
          <w:spacing w:val="-6"/>
          <w:w w:val="110"/>
        </w:rPr>
        <w:t> </w:t>
      </w:r>
      <w:r>
        <w:rPr>
          <w:w w:val="110"/>
        </w:rPr>
        <w:t>de</w:t>
      </w:r>
      <w:r>
        <w:rPr>
          <w:spacing w:val="-6"/>
          <w:w w:val="110"/>
        </w:rPr>
        <w:t> </w:t>
      </w:r>
      <w:r>
        <w:rPr>
          <w:w w:val="110"/>
        </w:rPr>
        <w:t>los</w:t>
      </w:r>
      <w:r>
        <w:rPr>
          <w:spacing w:val="-6"/>
          <w:w w:val="110"/>
        </w:rPr>
        <w:t> </w:t>
      </w:r>
      <w:r>
        <w:rPr>
          <w:w w:val="110"/>
        </w:rPr>
        <w:t>precios</w:t>
      </w:r>
      <w:r>
        <w:rPr>
          <w:spacing w:val="-6"/>
          <w:w w:val="110"/>
        </w:rPr>
        <w:t> </w:t>
      </w:r>
      <w:r>
        <w:rPr>
          <w:w w:val="110"/>
        </w:rPr>
        <w:t>del</w:t>
      </w:r>
      <w:r>
        <w:rPr>
          <w:spacing w:val="-6"/>
          <w:w w:val="110"/>
        </w:rPr>
        <w:t> </w:t>
      </w:r>
      <w:r>
        <w:rPr>
          <w:w w:val="110"/>
        </w:rPr>
        <w:t>petróleo,</w:t>
      </w:r>
      <w:r>
        <w:rPr>
          <w:spacing w:val="-6"/>
          <w:w w:val="110"/>
        </w:rPr>
        <w:t> </w:t>
      </w:r>
      <w:r>
        <w:rPr>
          <w:w w:val="110"/>
        </w:rPr>
        <w:t>lo</w:t>
      </w:r>
      <w:r>
        <w:rPr>
          <w:spacing w:val="-6"/>
          <w:w w:val="110"/>
        </w:rPr>
        <w:t> </w:t>
      </w:r>
      <w:r>
        <w:rPr>
          <w:w w:val="110"/>
        </w:rPr>
        <w:t>cual</w:t>
      </w:r>
      <w:r>
        <w:rPr>
          <w:spacing w:val="-6"/>
          <w:w w:val="110"/>
        </w:rPr>
        <w:t> </w:t>
      </w:r>
      <w:r>
        <w:rPr>
          <w:w w:val="110"/>
        </w:rPr>
        <w:t>puede </w:t>
      </w:r>
      <w:r>
        <w:rPr>
          <w:spacing w:val="-3"/>
          <w:w w:val="110"/>
        </w:rPr>
        <w:t>favorecer, </w:t>
      </w:r>
      <w:r>
        <w:rPr>
          <w:w w:val="110"/>
        </w:rPr>
        <w:t>coyunturalmente, a la consolidación de aquellas economías importadoras de crudo, así como consolidar los procesos de cambio estructural que se venían dando en </w:t>
      </w:r>
      <w:r>
        <w:rPr>
          <w:spacing w:val="12"/>
          <w:w w:val="110"/>
        </w:rPr>
        <w:t> </w:t>
      </w:r>
      <w:r>
        <w:rPr>
          <w:w w:val="110"/>
        </w:rPr>
        <w:t>China.</w:t>
      </w:r>
    </w:p>
    <w:p>
      <w:pPr>
        <w:pStyle w:val="BodyText"/>
        <w:spacing w:line="252" w:lineRule="auto"/>
        <w:ind w:left="330" w:right="117" w:firstLine="396"/>
        <w:jc w:val="both"/>
      </w:pPr>
      <w:r>
        <w:rPr>
          <w:w w:val="115"/>
        </w:rPr>
        <w:t>No</w:t>
      </w:r>
      <w:r>
        <w:rPr>
          <w:spacing w:val="-5"/>
          <w:w w:val="115"/>
        </w:rPr>
        <w:t> </w:t>
      </w:r>
      <w:r>
        <w:rPr>
          <w:w w:val="115"/>
        </w:rPr>
        <w:t>debe</w:t>
      </w:r>
      <w:r>
        <w:rPr>
          <w:spacing w:val="-5"/>
          <w:w w:val="115"/>
        </w:rPr>
        <w:t> </w:t>
      </w:r>
      <w:r>
        <w:rPr>
          <w:w w:val="115"/>
        </w:rPr>
        <w:t>pasarse</w:t>
      </w:r>
      <w:r>
        <w:rPr>
          <w:spacing w:val="-5"/>
          <w:w w:val="115"/>
        </w:rPr>
        <w:t> </w:t>
      </w:r>
      <w:r>
        <w:rPr>
          <w:w w:val="115"/>
        </w:rPr>
        <w:t>por</w:t>
      </w:r>
      <w:r>
        <w:rPr>
          <w:spacing w:val="-5"/>
          <w:w w:val="115"/>
        </w:rPr>
        <w:t> </w:t>
      </w:r>
      <w:r>
        <w:rPr>
          <w:w w:val="115"/>
        </w:rPr>
        <w:t>alto</w:t>
      </w:r>
      <w:r>
        <w:rPr>
          <w:spacing w:val="-5"/>
          <w:w w:val="115"/>
        </w:rPr>
        <w:t> </w:t>
      </w:r>
      <w:r>
        <w:rPr>
          <w:w w:val="115"/>
        </w:rPr>
        <w:t>la</w:t>
      </w:r>
      <w:r>
        <w:rPr>
          <w:spacing w:val="-5"/>
          <w:w w:val="115"/>
        </w:rPr>
        <w:t> </w:t>
      </w:r>
      <w:r>
        <w:rPr>
          <w:w w:val="115"/>
        </w:rPr>
        <w:t>promesa</w:t>
      </w:r>
      <w:r>
        <w:rPr>
          <w:spacing w:val="-5"/>
          <w:w w:val="115"/>
        </w:rPr>
        <w:t> </w:t>
      </w:r>
      <w:r>
        <w:rPr>
          <w:w w:val="115"/>
        </w:rPr>
        <w:t>del</w:t>
      </w:r>
      <w:r>
        <w:rPr>
          <w:spacing w:val="-5"/>
          <w:w w:val="115"/>
        </w:rPr>
        <w:t> </w:t>
      </w:r>
      <w:r>
        <w:rPr>
          <w:w w:val="115"/>
        </w:rPr>
        <w:t>crecimiento</w:t>
      </w:r>
      <w:r>
        <w:rPr>
          <w:spacing w:val="-5"/>
          <w:w w:val="115"/>
        </w:rPr>
        <w:t> </w:t>
      </w:r>
      <w:r>
        <w:rPr>
          <w:w w:val="115"/>
        </w:rPr>
        <w:t>de</w:t>
      </w:r>
      <w:r>
        <w:rPr>
          <w:spacing w:val="-5"/>
          <w:w w:val="115"/>
        </w:rPr>
        <w:t> </w:t>
      </w:r>
      <w:r>
        <w:rPr>
          <w:w w:val="115"/>
        </w:rPr>
        <w:t>la</w:t>
      </w:r>
      <w:r>
        <w:rPr>
          <w:spacing w:val="-5"/>
          <w:w w:val="115"/>
        </w:rPr>
        <w:t> </w:t>
      </w:r>
      <w:r>
        <w:rPr>
          <w:w w:val="115"/>
        </w:rPr>
        <w:t>clase media consumista en asia que podría llegar a 1.75 millones de </w:t>
      </w:r>
      <w:r>
        <w:rPr>
          <w:spacing w:val="-4"/>
          <w:w w:val="115"/>
        </w:rPr>
        <w:t>per- </w:t>
      </w:r>
      <w:r>
        <w:rPr>
          <w:w w:val="115"/>
        </w:rPr>
        <w:t>sonas</w:t>
      </w:r>
      <w:r>
        <w:rPr>
          <w:spacing w:val="-6"/>
          <w:w w:val="115"/>
        </w:rPr>
        <w:t> </w:t>
      </w:r>
      <w:r>
        <w:rPr>
          <w:w w:val="115"/>
        </w:rPr>
        <w:t>en</w:t>
      </w:r>
      <w:r>
        <w:rPr>
          <w:spacing w:val="-6"/>
          <w:w w:val="115"/>
        </w:rPr>
        <w:t> </w:t>
      </w:r>
      <w:r>
        <w:rPr>
          <w:w w:val="115"/>
        </w:rPr>
        <w:t>2020,</w:t>
      </w:r>
      <w:r>
        <w:rPr>
          <w:spacing w:val="-6"/>
          <w:w w:val="115"/>
        </w:rPr>
        <w:t> </w:t>
      </w:r>
      <w:r>
        <w:rPr>
          <w:w w:val="115"/>
        </w:rPr>
        <w:t>lo</w:t>
      </w:r>
      <w:r>
        <w:rPr>
          <w:spacing w:val="-6"/>
          <w:w w:val="115"/>
        </w:rPr>
        <w:t> </w:t>
      </w:r>
      <w:r>
        <w:rPr>
          <w:w w:val="115"/>
        </w:rPr>
        <w:t>cual</w:t>
      </w:r>
      <w:r>
        <w:rPr>
          <w:spacing w:val="-6"/>
          <w:w w:val="115"/>
        </w:rPr>
        <w:t> </w:t>
      </w:r>
      <w:r>
        <w:rPr>
          <w:w w:val="115"/>
        </w:rPr>
        <w:t>genera</w:t>
      </w:r>
      <w:r>
        <w:rPr>
          <w:spacing w:val="-6"/>
          <w:w w:val="115"/>
        </w:rPr>
        <w:t> </w:t>
      </w:r>
      <w:r>
        <w:rPr>
          <w:w w:val="115"/>
        </w:rPr>
        <w:t>un</w:t>
      </w:r>
      <w:r>
        <w:rPr>
          <w:spacing w:val="-6"/>
          <w:w w:val="115"/>
        </w:rPr>
        <w:t> </w:t>
      </w:r>
      <w:r>
        <w:rPr>
          <w:w w:val="115"/>
        </w:rPr>
        <w:t>enorme</w:t>
      </w:r>
      <w:r>
        <w:rPr>
          <w:spacing w:val="-6"/>
          <w:w w:val="115"/>
        </w:rPr>
        <w:t> </w:t>
      </w:r>
      <w:r>
        <w:rPr>
          <w:w w:val="115"/>
        </w:rPr>
        <w:t>atractivo</w:t>
      </w:r>
      <w:r>
        <w:rPr>
          <w:spacing w:val="-6"/>
          <w:w w:val="115"/>
        </w:rPr>
        <w:t> </w:t>
      </w:r>
      <w:r>
        <w:rPr>
          <w:w w:val="115"/>
        </w:rPr>
        <w:t>para</w:t>
      </w:r>
      <w:r>
        <w:rPr>
          <w:spacing w:val="-6"/>
          <w:w w:val="115"/>
        </w:rPr>
        <w:t> </w:t>
      </w:r>
      <w:r>
        <w:rPr>
          <w:w w:val="115"/>
        </w:rPr>
        <w:t>la</w:t>
      </w:r>
      <w:r>
        <w:rPr>
          <w:spacing w:val="-6"/>
          <w:w w:val="115"/>
        </w:rPr>
        <w:t> </w:t>
      </w:r>
      <w:r>
        <w:rPr>
          <w:w w:val="115"/>
        </w:rPr>
        <w:t>inversión extranjera y se espera que China sea un beneficiario directo de</w:t>
      </w:r>
      <w:r>
        <w:rPr>
          <w:spacing w:val="-10"/>
          <w:w w:val="115"/>
        </w:rPr>
        <w:t> </w:t>
      </w:r>
      <w:r>
        <w:rPr>
          <w:w w:val="115"/>
        </w:rPr>
        <w:t>esta </w:t>
      </w:r>
      <w:r>
        <w:rPr>
          <w:w w:val="109"/>
        </w:rPr>
        <w:t>creciente</w:t>
      </w:r>
      <w:r>
        <w:rPr/>
        <w:t> </w:t>
      </w:r>
      <w:r>
        <w:rPr>
          <w:spacing w:val="4"/>
        </w:rPr>
        <w:t> </w:t>
      </w:r>
      <w:r>
        <w:rPr>
          <w:w w:val="144"/>
        </w:rPr>
        <w:t>as</w:t>
      </w:r>
      <w:r>
        <w:rPr>
          <w:w w:val="128"/>
        </w:rPr>
        <w:t>E</w:t>
      </w:r>
      <w:r>
        <w:rPr>
          <w:w w:val="139"/>
        </w:rPr>
        <w:t>a</w:t>
      </w:r>
      <w:r>
        <w:rPr>
          <w:w w:val="119"/>
        </w:rPr>
        <w:t>N</w:t>
      </w:r>
      <w:r>
        <w:rPr/>
        <w:t> </w:t>
      </w:r>
      <w:r>
        <w:rPr>
          <w:spacing w:val="4"/>
        </w:rPr>
        <w:t> </w:t>
      </w:r>
      <w:r>
        <w:rPr>
          <w:w w:val="112"/>
        </w:rPr>
        <w:t>consumista.</w:t>
      </w:r>
      <w:r>
        <w:rPr/>
        <w:t> </w:t>
      </w:r>
      <w:r>
        <w:rPr>
          <w:spacing w:val="4"/>
        </w:rPr>
        <w:t> </w:t>
      </w:r>
      <w:r>
        <w:rPr>
          <w:w w:val="243"/>
        </w:rPr>
        <w:t>l</w:t>
      </w:r>
      <w:r>
        <w:rPr>
          <w:w w:val="112"/>
        </w:rPr>
        <w:t>a</w:t>
      </w:r>
      <w:r>
        <w:rPr/>
        <w:t> </w:t>
      </w:r>
      <w:r>
        <w:rPr>
          <w:spacing w:val="4"/>
        </w:rPr>
        <w:t> </w:t>
      </w:r>
      <w:r>
        <w:rPr>
          <w:w w:val="110"/>
        </w:rPr>
        <w:t>rápida</w:t>
      </w:r>
      <w:r>
        <w:rPr/>
        <w:t> </w:t>
      </w:r>
      <w:r>
        <w:rPr>
          <w:spacing w:val="4"/>
        </w:rPr>
        <w:t> </w:t>
      </w:r>
      <w:r>
        <w:rPr>
          <w:w w:val="109"/>
        </w:rPr>
        <w:t>tasa</w:t>
      </w:r>
      <w:r>
        <w:rPr/>
        <w:t> </w:t>
      </w:r>
      <w:r>
        <w:rPr>
          <w:spacing w:val="4"/>
        </w:rPr>
        <w:t> </w:t>
      </w:r>
      <w:r>
        <w:rPr>
          <w:w w:val="107"/>
        </w:rPr>
        <w:t>de</w:t>
      </w:r>
      <w:r>
        <w:rPr/>
        <w:t> </w:t>
      </w:r>
      <w:r>
        <w:rPr>
          <w:spacing w:val="4"/>
        </w:rPr>
        <w:t> </w:t>
      </w:r>
      <w:r>
        <w:rPr>
          <w:w w:val="112"/>
        </w:rPr>
        <w:t>urbanización,</w:t>
      </w:r>
      <w:r>
        <w:rPr/>
        <w:t> </w:t>
      </w:r>
      <w:r>
        <w:rPr>
          <w:spacing w:val="4"/>
        </w:rPr>
        <w:t> </w:t>
      </w:r>
      <w:r>
        <w:rPr>
          <w:w w:val="108"/>
        </w:rPr>
        <w:t>que </w:t>
      </w:r>
      <w:r>
        <w:rPr>
          <w:w w:val="115"/>
        </w:rPr>
        <w:t>además</w:t>
      </w:r>
      <w:r>
        <w:rPr>
          <w:spacing w:val="-6"/>
          <w:w w:val="115"/>
        </w:rPr>
        <w:t> </w:t>
      </w:r>
      <w:r>
        <w:rPr>
          <w:w w:val="115"/>
        </w:rPr>
        <w:t>acompaña</w:t>
      </w:r>
      <w:r>
        <w:rPr>
          <w:spacing w:val="-6"/>
          <w:w w:val="115"/>
        </w:rPr>
        <w:t> </w:t>
      </w:r>
      <w:r>
        <w:rPr>
          <w:w w:val="115"/>
        </w:rPr>
        <w:t>el</w:t>
      </w:r>
      <w:r>
        <w:rPr>
          <w:spacing w:val="-6"/>
          <w:w w:val="115"/>
        </w:rPr>
        <w:t> </w:t>
      </w:r>
      <w:r>
        <w:rPr>
          <w:w w:val="115"/>
        </w:rPr>
        <w:t>aumento</w:t>
      </w:r>
      <w:r>
        <w:rPr>
          <w:spacing w:val="-6"/>
          <w:w w:val="115"/>
        </w:rPr>
        <w:t> </w:t>
      </w:r>
      <w:r>
        <w:rPr>
          <w:w w:val="115"/>
        </w:rPr>
        <w:t>de</w:t>
      </w:r>
      <w:r>
        <w:rPr>
          <w:spacing w:val="-6"/>
          <w:w w:val="115"/>
        </w:rPr>
        <w:t> </w:t>
      </w:r>
      <w:r>
        <w:rPr>
          <w:w w:val="115"/>
        </w:rPr>
        <w:t>las</w:t>
      </w:r>
      <w:r>
        <w:rPr>
          <w:spacing w:val="-6"/>
          <w:w w:val="115"/>
        </w:rPr>
        <w:t> </w:t>
      </w:r>
      <w:r>
        <w:rPr>
          <w:w w:val="115"/>
        </w:rPr>
        <w:t>familias</w:t>
      </w:r>
      <w:r>
        <w:rPr>
          <w:spacing w:val="-6"/>
          <w:w w:val="115"/>
        </w:rPr>
        <w:t> </w:t>
      </w:r>
      <w:r>
        <w:rPr>
          <w:w w:val="115"/>
        </w:rPr>
        <w:t>de</w:t>
      </w:r>
      <w:r>
        <w:rPr>
          <w:spacing w:val="-6"/>
          <w:w w:val="115"/>
        </w:rPr>
        <w:t> </w:t>
      </w:r>
      <w:r>
        <w:rPr>
          <w:w w:val="115"/>
        </w:rPr>
        <w:t>clase</w:t>
      </w:r>
      <w:r>
        <w:rPr>
          <w:spacing w:val="-6"/>
          <w:w w:val="115"/>
        </w:rPr>
        <w:t> </w:t>
      </w:r>
      <w:r>
        <w:rPr>
          <w:w w:val="115"/>
        </w:rPr>
        <w:t>media</w:t>
      </w:r>
      <w:r>
        <w:rPr>
          <w:spacing w:val="-6"/>
          <w:w w:val="115"/>
        </w:rPr>
        <w:t> </w:t>
      </w:r>
      <w:r>
        <w:rPr>
          <w:w w:val="115"/>
        </w:rPr>
        <w:t>en</w:t>
      </w:r>
      <w:r>
        <w:rPr>
          <w:spacing w:val="-6"/>
          <w:w w:val="115"/>
        </w:rPr>
        <w:t> </w:t>
      </w:r>
      <w:r>
        <w:rPr>
          <w:w w:val="115"/>
        </w:rPr>
        <w:t>Chi- na,</w:t>
      </w:r>
      <w:r>
        <w:rPr>
          <w:spacing w:val="-10"/>
          <w:w w:val="115"/>
        </w:rPr>
        <w:t> </w:t>
      </w:r>
      <w:r>
        <w:rPr>
          <w:w w:val="115"/>
        </w:rPr>
        <w:t>también</w:t>
      </w:r>
      <w:r>
        <w:rPr>
          <w:spacing w:val="-10"/>
          <w:w w:val="115"/>
        </w:rPr>
        <w:t> </w:t>
      </w:r>
      <w:r>
        <w:rPr>
          <w:w w:val="115"/>
        </w:rPr>
        <w:t>va</w:t>
      </w:r>
      <w:r>
        <w:rPr>
          <w:spacing w:val="-10"/>
          <w:w w:val="115"/>
        </w:rPr>
        <w:t> </w:t>
      </w:r>
      <w:r>
        <w:rPr>
          <w:w w:val="115"/>
        </w:rPr>
        <w:t>a</w:t>
      </w:r>
      <w:r>
        <w:rPr>
          <w:spacing w:val="-10"/>
          <w:w w:val="115"/>
        </w:rPr>
        <w:t> </w:t>
      </w:r>
      <w:r>
        <w:rPr>
          <w:w w:val="115"/>
        </w:rPr>
        <w:t>cambiar</w:t>
      </w:r>
      <w:r>
        <w:rPr>
          <w:spacing w:val="-10"/>
          <w:w w:val="115"/>
        </w:rPr>
        <w:t> </w:t>
      </w:r>
      <w:r>
        <w:rPr>
          <w:w w:val="115"/>
        </w:rPr>
        <w:t>los</w:t>
      </w:r>
      <w:r>
        <w:rPr>
          <w:spacing w:val="-10"/>
          <w:w w:val="115"/>
        </w:rPr>
        <w:t> </w:t>
      </w:r>
      <w:r>
        <w:rPr>
          <w:w w:val="115"/>
        </w:rPr>
        <w:t>comportamientos</w:t>
      </w:r>
      <w:r>
        <w:rPr>
          <w:spacing w:val="-10"/>
          <w:w w:val="115"/>
        </w:rPr>
        <w:t> </w:t>
      </w:r>
      <w:r>
        <w:rPr>
          <w:w w:val="115"/>
        </w:rPr>
        <w:t>de</w:t>
      </w:r>
      <w:r>
        <w:rPr>
          <w:spacing w:val="-10"/>
          <w:w w:val="115"/>
        </w:rPr>
        <w:t> </w:t>
      </w:r>
      <w:r>
        <w:rPr>
          <w:w w:val="115"/>
        </w:rPr>
        <w:t>consumo</w:t>
      </w:r>
      <w:r>
        <w:rPr>
          <w:spacing w:val="-10"/>
          <w:w w:val="115"/>
        </w:rPr>
        <w:t> </w:t>
      </w:r>
      <w:r>
        <w:rPr>
          <w:w w:val="115"/>
        </w:rPr>
        <w:t>y</w:t>
      </w:r>
      <w:r>
        <w:rPr>
          <w:spacing w:val="-10"/>
          <w:w w:val="115"/>
        </w:rPr>
        <w:t> </w:t>
      </w:r>
      <w:r>
        <w:rPr>
          <w:w w:val="115"/>
        </w:rPr>
        <w:t>estilos de</w:t>
      </w:r>
      <w:r>
        <w:rPr>
          <w:spacing w:val="-10"/>
          <w:w w:val="115"/>
        </w:rPr>
        <w:t> </w:t>
      </w:r>
      <w:r>
        <w:rPr>
          <w:w w:val="115"/>
        </w:rPr>
        <w:t>vida,</w:t>
      </w:r>
      <w:r>
        <w:rPr>
          <w:spacing w:val="-10"/>
          <w:w w:val="115"/>
        </w:rPr>
        <w:t> </w:t>
      </w:r>
      <w:r>
        <w:rPr>
          <w:w w:val="115"/>
        </w:rPr>
        <w:t>estimulando</w:t>
      </w:r>
      <w:r>
        <w:rPr>
          <w:spacing w:val="-10"/>
          <w:w w:val="115"/>
        </w:rPr>
        <w:t> </w:t>
      </w:r>
      <w:r>
        <w:rPr>
          <w:w w:val="115"/>
        </w:rPr>
        <w:t>la</w:t>
      </w:r>
      <w:r>
        <w:rPr>
          <w:spacing w:val="-10"/>
          <w:w w:val="115"/>
        </w:rPr>
        <w:t> </w:t>
      </w:r>
      <w:r>
        <w:rPr>
          <w:w w:val="115"/>
        </w:rPr>
        <w:t>demanda</w:t>
      </w:r>
      <w:r>
        <w:rPr>
          <w:spacing w:val="-10"/>
          <w:w w:val="115"/>
        </w:rPr>
        <w:t> </w:t>
      </w:r>
      <w:r>
        <w:rPr>
          <w:w w:val="115"/>
        </w:rPr>
        <w:t>de</w:t>
      </w:r>
      <w:r>
        <w:rPr>
          <w:spacing w:val="-10"/>
          <w:w w:val="115"/>
        </w:rPr>
        <w:t> </w:t>
      </w:r>
      <w:r>
        <w:rPr>
          <w:w w:val="115"/>
        </w:rPr>
        <w:t>importaciones</w:t>
      </w:r>
      <w:r>
        <w:rPr>
          <w:spacing w:val="-10"/>
          <w:w w:val="115"/>
        </w:rPr>
        <w:t> </w:t>
      </w:r>
      <w:r>
        <w:rPr>
          <w:w w:val="115"/>
        </w:rPr>
        <w:t>de</w:t>
      </w:r>
      <w:r>
        <w:rPr>
          <w:spacing w:val="-10"/>
          <w:w w:val="115"/>
        </w:rPr>
        <w:t> </w:t>
      </w:r>
      <w:r>
        <w:rPr>
          <w:w w:val="115"/>
        </w:rPr>
        <w:t>calidad</w:t>
      </w:r>
      <w:r>
        <w:rPr>
          <w:spacing w:val="-10"/>
          <w:w w:val="115"/>
        </w:rPr>
        <w:t> </w:t>
      </w:r>
      <w:r>
        <w:rPr>
          <w:w w:val="115"/>
        </w:rPr>
        <w:t>y</w:t>
      </w:r>
      <w:r>
        <w:rPr>
          <w:spacing w:val="-10"/>
          <w:w w:val="115"/>
        </w:rPr>
        <w:t> </w:t>
      </w:r>
      <w:r>
        <w:rPr>
          <w:w w:val="115"/>
        </w:rPr>
        <w:t>pro- ductos</w:t>
      </w:r>
      <w:r>
        <w:rPr>
          <w:spacing w:val="-7"/>
          <w:w w:val="115"/>
        </w:rPr>
        <w:t> </w:t>
      </w:r>
      <w:r>
        <w:rPr>
          <w:w w:val="115"/>
        </w:rPr>
        <w:t>de</w:t>
      </w:r>
      <w:r>
        <w:rPr>
          <w:spacing w:val="-7"/>
          <w:w w:val="115"/>
        </w:rPr>
        <w:t> </w:t>
      </w:r>
      <w:r>
        <w:rPr>
          <w:w w:val="115"/>
        </w:rPr>
        <w:t>lujo</w:t>
      </w:r>
      <w:r>
        <w:rPr>
          <w:spacing w:val="-7"/>
          <w:w w:val="115"/>
        </w:rPr>
        <w:t> </w:t>
      </w:r>
      <w:r>
        <w:rPr>
          <w:w w:val="115"/>
        </w:rPr>
        <w:t>y</w:t>
      </w:r>
      <w:r>
        <w:rPr>
          <w:spacing w:val="-7"/>
          <w:w w:val="115"/>
        </w:rPr>
        <w:t> </w:t>
      </w:r>
      <w:r>
        <w:rPr>
          <w:w w:val="115"/>
        </w:rPr>
        <w:t>servicios</w:t>
      </w:r>
      <w:r>
        <w:rPr>
          <w:spacing w:val="-7"/>
          <w:w w:val="115"/>
        </w:rPr>
        <w:t> </w:t>
      </w:r>
      <w:r>
        <w:rPr>
          <w:w w:val="115"/>
        </w:rPr>
        <w:t>que</w:t>
      </w:r>
      <w:r>
        <w:rPr>
          <w:spacing w:val="-7"/>
          <w:w w:val="115"/>
        </w:rPr>
        <w:t> </w:t>
      </w:r>
      <w:r>
        <w:rPr>
          <w:w w:val="115"/>
        </w:rPr>
        <w:t>beneficien</w:t>
      </w:r>
      <w:r>
        <w:rPr>
          <w:spacing w:val="-7"/>
          <w:w w:val="115"/>
        </w:rPr>
        <w:t> </w:t>
      </w:r>
      <w:r>
        <w:rPr>
          <w:w w:val="115"/>
        </w:rPr>
        <w:t>a</w:t>
      </w:r>
      <w:r>
        <w:rPr>
          <w:spacing w:val="-7"/>
          <w:w w:val="115"/>
        </w:rPr>
        <w:t> </w:t>
      </w:r>
      <w:r>
        <w:rPr>
          <w:w w:val="115"/>
        </w:rPr>
        <w:t>los</w:t>
      </w:r>
      <w:r>
        <w:rPr>
          <w:spacing w:val="-7"/>
          <w:w w:val="115"/>
        </w:rPr>
        <w:t> </w:t>
      </w:r>
      <w:r>
        <w:rPr>
          <w:w w:val="115"/>
        </w:rPr>
        <w:t>países</w:t>
      </w:r>
      <w:r>
        <w:rPr>
          <w:spacing w:val="-7"/>
          <w:w w:val="115"/>
        </w:rPr>
        <w:t> </w:t>
      </w:r>
      <w:r>
        <w:rPr>
          <w:w w:val="115"/>
        </w:rPr>
        <w:t>de</w:t>
      </w:r>
      <w:r>
        <w:rPr>
          <w:spacing w:val="-7"/>
          <w:w w:val="115"/>
        </w:rPr>
        <w:t> </w:t>
      </w:r>
      <w:r>
        <w:rPr>
          <w:w w:val="115"/>
        </w:rPr>
        <w:t>la</w:t>
      </w:r>
      <w:r>
        <w:rPr>
          <w:spacing w:val="-7"/>
          <w:w w:val="115"/>
        </w:rPr>
        <w:t> </w:t>
      </w:r>
      <w:r>
        <w:rPr>
          <w:w w:val="115"/>
        </w:rPr>
        <w:t>asEaN.</w:t>
      </w:r>
    </w:p>
    <w:p>
      <w:pPr>
        <w:pStyle w:val="BodyText"/>
        <w:spacing w:line="252" w:lineRule="auto"/>
        <w:ind w:left="330" w:right="117" w:firstLine="396"/>
        <w:jc w:val="both"/>
      </w:pPr>
      <w:r>
        <w:rPr>
          <w:w w:val="110"/>
        </w:rPr>
        <w:t>resulta elemental, pues, que desde la perspectiva china, el incre- mento de su presencia, de las inversiones y transacciones comerciales y financieras tanto en el denominado “corazón del continente” como en la región asia-Pacífico sólo puede contribuir a una ampliación de  su papel creciente como agente independiente de las relaciones </w:t>
      </w:r>
      <w:r>
        <w:rPr>
          <w:spacing w:val="-3"/>
          <w:w w:val="110"/>
        </w:rPr>
        <w:t>inter- </w:t>
      </w:r>
      <w:r>
        <w:rPr>
          <w:w w:val="110"/>
        </w:rPr>
        <w:t>nacionales. de forma </w:t>
      </w:r>
      <w:r>
        <w:rPr>
          <w:spacing w:val="-3"/>
          <w:w w:val="110"/>
        </w:rPr>
        <w:t>ejemplar, </w:t>
      </w:r>
      <w:r>
        <w:rPr>
          <w:w w:val="110"/>
        </w:rPr>
        <w:t>China ha lanzado un reto a los hege- mones tradicionales al ampliar el área de su “pivote”, empleando para ello la colaboración y el entendimiento </w:t>
      </w:r>
      <w:r>
        <w:rPr>
          <w:spacing w:val="27"/>
          <w:w w:val="110"/>
        </w:rPr>
        <w:t> </w:t>
      </w:r>
      <w:r>
        <w:rPr>
          <w:w w:val="110"/>
        </w:rPr>
        <w:t>mutuo.</w:t>
      </w:r>
    </w:p>
    <w:p>
      <w:pPr>
        <w:spacing w:after="0" w:line="252" w:lineRule="auto"/>
        <w:jc w:val="both"/>
        <w:sectPr>
          <w:footerReference w:type="default" r:id="rId149"/>
          <w:footerReference w:type="even" r:id="rId150"/>
          <w:pgSz w:w="8790" w:h="12760"/>
          <w:pgMar w:footer="725" w:header="697" w:top="880" w:bottom="920" w:left="1200" w:right="900"/>
        </w:sectPr>
      </w:pPr>
    </w:p>
    <w:p>
      <w:pPr>
        <w:pStyle w:val="BodyText"/>
        <w:spacing w:before="6"/>
        <w:rPr>
          <w:sz w:val="28"/>
        </w:rPr>
      </w:pPr>
    </w:p>
    <w:p>
      <w:pPr>
        <w:pStyle w:val="Heading6"/>
        <w:spacing w:before="68"/>
        <w:ind w:left="121" w:right="158"/>
        <w:jc w:val="left"/>
      </w:pPr>
      <w:r>
        <w:rPr>
          <w:w w:val="145"/>
        </w:rPr>
        <w:t>anexo</w:t>
      </w:r>
      <w:r>
        <w:rPr>
          <w:spacing w:val="-52"/>
          <w:w w:val="145"/>
        </w:rPr>
        <w:t> </w:t>
      </w:r>
      <w:r>
        <w:rPr>
          <w:w w:val="145"/>
        </w:rPr>
        <w:t>i.</w:t>
      </w:r>
      <w:r>
        <w:rPr>
          <w:spacing w:val="-53"/>
          <w:w w:val="145"/>
        </w:rPr>
        <w:t> </w:t>
      </w:r>
      <w:r>
        <w:rPr>
          <w:spacing w:val="3"/>
          <w:w w:val="145"/>
        </w:rPr>
        <w:t>la</w:t>
      </w:r>
      <w:r>
        <w:rPr>
          <w:spacing w:val="-52"/>
          <w:w w:val="145"/>
        </w:rPr>
        <w:t> </w:t>
      </w:r>
      <w:r>
        <w:rPr>
          <w:w w:val="145"/>
        </w:rPr>
        <w:t>ruta</w:t>
      </w:r>
      <w:r>
        <w:rPr>
          <w:spacing w:val="-52"/>
          <w:w w:val="145"/>
        </w:rPr>
        <w:t> </w:t>
      </w:r>
      <w:r>
        <w:rPr>
          <w:w w:val="145"/>
        </w:rPr>
        <w:t>de</w:t>
      </w:r>
      <w:r>
        <w:rPr>
          <w:spacing w:val="-52"/>
          <w:w w:val="145"/>
        </w:rPr>
        <w:t> </w:t>
      </w:r>
      <w:r>
        <w:rPr>
          <w:spacing w:val="3"/>
          <w:w w:val="145"/>
        </w:rPr>
        <w:t>la</w:t>
      </w:r>
      <w:r>
        <w:rPr>
          <w:spacing w:val="-52"/>
          <w:w w:val="145"/>
        </w:rPr>
        <w:t> </w:t>
      </w:r>
      <w:r>
        <w:rPr>
          <w:w w:val="145"/>
        </w:rPr>
        <w:t>seda</w:t>
      </w:r>
    </w:p>
    <w:p>
      <w:pPr>
        <w:pStyle w:val="BodyText"/>
        <w:spacing w:before="6"/>
        <w:rPr>
          <w:rFonts w:ascii="Times New Roman"/>
          <w:b/>
          <w:sz w:val="14"/>
        </w:rPr>
      </w:pPr>
      <w:r>
        <w:rPr/>
        <w:pict>
          <v:line style="position:absolute;mso-position-horizontal-relative:page;mso-position-vertical-relative:paragraph;z-index:3328;mso-wrap-distance-left:0;mso-wrap-distance-right:0" from="51.023602pt,10.82569pt" to="399.117602pt,10.82569pt" stroked="true" strokeweight="1pt" strokecolor="#000000">
            <w10:wrap type="topAndBottom"/>
          </v:line>
        </w:pict>
      </w:r>
      <w:r>
        <w:rPr/>
        <w:drawing>
          <wp:anchor distT="0" distB="0" distL="0" distR="0" allowOverlap="1" layoutInCell="1" locked="0" behindDoc="0" simplePos="0" relativeHeight="3352">
            <wp:simplePos x="0" y="0"/>
            <wp:positionH relativeFrom="page">
              <wp:posOffset>731447</wp:posOffset>
            </wp:positionH>
            <wp:positionV relativeFrom="paragraph">
              <wp:posOffset>242473</wp:posOffset>
            </wp:positionV>
            <wp:extent cx="4266345" cy="2481072"/>
            <wp:effectExtent l="0" t="0" r="0" b="0"/>
            <wp:wrapTopAndBottom/>
            <wp:docPr id="15" name="image38.png" descr=""/>
            <wp:cNvGraphicFramePr>
              <a:graphicFrameLocks noChangeAspect="1"/>
            </wp:cNvGraphicFramePr>
            <a:graphic>
              <a:graphicData uri="http://schemas.openxmlformats.org/drawingml/2006/picture">
                <pic:pic>
                  <pic:nvPicPr>
                    <pic:cNvPr id="16" name="image38.png"/>
                    <pic:cNvPicPr/>
                  </pic:nvPicPr>
                  <pic:blipFill>
                    <a:blip r:embed="rId151" cstate="print"/>
                    <a:stretch>
                      <a:fillRect/>
                    </a:stretch>
                  </pic:blipFill>
                  <pic:spPr>
                    <a:xfrm>
                      <a:off x="0" y="0"/>
                      <a:ext cx="4266345" cy="2481072"/>
                    </a:xfrm>
                    <a:prstGeom prst="rect">
                      <a:avLst/>
                    </a:prstGeom>
                  </pic:spPr>
                </pic:pic>
              </a:graphicData>
            </a:graphic>
          </wp:anchor>
        </w:drawing>
      </w:r>
      <w:r>
        <w:rPr/>
        <w:pict>
          <v:line style="position:absolute;mso-position-horizontal-relative:page;mso-position-vertical-relative:paragraph;z-index:3376;mso-wrap-distance-left:0;mso-wrap-distance-right:0" from="51.023602pt,222.477997pt" to="399.117602pt,222.477997pt" stroked="true" strokeweight="1pt" strokecolor="#000000">
            <w10:wrap type="topAndBottom"/>
          </v:line>
        </w:pict>
      </w:r>
    </w:p>
    <w:p>
      <w:pPr>
        <w:pStyle w:val="BodyText"/>
        <w:spacing w:before="6"/>
        <w:rPr>
          <w:rFonts w:ascii="Times New Roman"/>
          <w:b/>
          <w:sz w:val="7"/>
        </w:rPr>
      </w:pPr>
    </w:p>
    <w:p>
      <w:pPr>
        <w:pStyle w:val="BodyText"/>
        <w:spacing w:before="2"/>
        <w:rPr>
          <w:rFonts w:ascii="Times New Roman"/>
          <w:b/>
          <w:sz w:val="7"/>
        </w:rPr>
      </w:pPr>
    </w:p>
    <w:p>
      <w:pPr>
        <w:spacing w:line="249" w:lineRule="auto" w:before="11"/>
        <w:ind w:left="120" w:right="158" w:firstLine="0"/>
        <w:jc w:val="left"/>
        <w:rPr>
          <w:rFonts w:ascii="Arial" w:hAnsi="Arial"/>
          <w:sz w:val="14"/>
        </w:rPr>
      </w:pPr>
      <w:r>
        <w:rPr>
          <w:rFonts w:ascii="Arial" w:hAnsi="Arial"/>
          <w:w w:val="85"/>
          <w:sz w:val="14"/>
        </w:rPr>
        <w:t>Fuente:</w:t>
      </w:r>
      <w:r>
        <w:rPr>
          <w:rFonts w:ascii="Arial" w:hAnsi="Arial"/>
          <w:spacing w:val="-13"/>
          <w:w w:val="85"/>
          <w:sz w:val="14"/>
        </w:rPr>
        <w:t> </w:t>
      </w:r>
      <w:r>
        <w:rPr>
          <w:rFonts w:ascii="Arial" w:hAnsi="Arial"/>
          <w:w w:val="85"/>
          <w:sz w:val="14"/>
        </w:rPr>
        <w:t>Cristina</w:t>
      </w:r>
      <w:r>
        <w:rPr>
          <w:rFonts w:ascii="Arial" w:hAnsi="Arial"/>
          <w:spacing w:val="-9"/>
          <w:w w:val="85"/>
          <w:sz w:val="14"/>
        </w:rPr>
        <w:t> </w:t>
      </w:r>
      <w:r>
        <w:rPr>
          <w:rFonts w:ascii="Arial" w:hAnsi="Arial"/>
          <w:w w:val="85"/>
          <w:sz w:val="14"/>
        </w:rPr>
        <w:t>Cifuentes,</w:t>
      </w:r>
      <w:r>
        <w:rPr>
          <w:rFonts w:ascii="Arial" w:hAnsi="Arial"/>
          <w:spacing w:val="-17"/>
          <w:w w:val="85"/>
          <w:sz w:val="14"/>
        </w:rPr>
        <w:t> </w:t>
      </w:r>
      <w:r>
        <w:rPr>
          <w:rFonts w:ascii="Arial" w:hAnsi="Arial"/>
          <w:w w:val="85"/>
          <w:sz w:val="14"/>
        </w:rPr>
        <w:t>“China</w:t>
      </w:r>
      <w:r>
        <w:rPr>
          <w:rFonts w:ascii="Arial" w:hAnsi="Arial"/>
          <w:spacing w:val="-9"/>
          <w:w w:val="85"/>
          <w:sz w:val="14"/>
        </w:rPr>
        <w:t> </w:t>
      </w:r>
      <w:r>
        <w:rPr>
          <w:rFonts w:ascii="Arial" w:hAnsi="Arial"/>
          <w:w w:val="85"/>
          <w:sz w:val="14"/>
        </w:rPr>
        <w:t>busca</w:t>
      </w:r>
      <w:r>
        <w:rPr>
          <w:rFonts w:ascii="Arial" w:hAnsi="Arial"/>
          <w:spacing w:val="-9"/>
          <w:w w:val="85"/>
          <w:sz w:val="14"/>
        </w:rPr>
        <w:t> </w:t>
      </w:r>
      <w:r>
        <w:rPr>
          <w:rFonts w:ascii="Arial" w:hAnsi="Arial"/>
          <w:w w:val="85"/>
          <w:sz w:val="14"/>
        </w:rPr>
        <w:t>acelerar</w:t>
      </w:r>
      <w:r>
        <w:rPr>
          <w:rFonts w:ascii="Arial" w:hAnsi="Arial"/>
          <w:spacing w:val="-9"/>
          <w:w w:val="85"/>
          <w:sz w:val="14"/>
        </w:rPr>
        <w:t> </w:t>
      </w:r>
      <w:r>
        <w:rPr>
          <w:rFonts w:ascii="Arial" w:hAnsi="Arial"/>
          <w:w w:val="85"/>
          <w:sz w:val="14"/>
        </w:rPr>
        <w:t>construcción</w:t>
      </w:r>
      <w:r>
        <w:rPr>
          <w:rFonts w:ascii="Arial" w:hAnsi="Arial"/>
          <w:spacing w:val="-9"/>
          <w:w w:val="85"/>
          <w:sz w:val="14"/>
        </w:rPr>
        <w:t> </w:t>
      </w:r>
      <w:r>
        <w:rPr>
          <w:rFonts w:ascii="Arial" w:hAnsi="Arial"/>
          <w:w w:val="85"/>
          <w:sz w:val="14"/>
        </w:rPr>
        <w:t>de</w:t>
      </w:r>
      <w:r>
        <w:rPr>
          <w:rFonts w:ascii="Arial" w:hAnsi="Arial"/>
          <w:spacing w:val="-9"/>
          <w:w w:val="85"/>
          <w:sz w:val="14"/>
        </w:rPr>
        <w:t> </w:t>
      </w:r>
      <w:r>
        <w:rPr>
          <w:rFonts w:ascii="Arial" w:hAnsi="Arial"/>
          <w:w w:val="85"/>
          <w:sz w:val="14"/>
        </w:rPr>
        <w:t>la</w:t>
      </w:r>
      <w:r>
        <w:rPr>
          <w:rFonts w:ascii="Arial" w:hAnsi="Arial"/>
          <w:spacing w:val="-13"/>
          <w:w w:val="85"/>
          <w:sz w:val="14"/>
        </w:rPr>
        <w:t> </w:t>
      </w:r>
      <w:r>
        <w:rPr>
          <w:rFonts w:ascii="Arial" w:hAnsi="Arial"/>
          <w:w w:val="85"/>
          <w:sz w:val="14"/>
        </w:rPr>
        <w:t>‘Ruta</w:t>
      </w:r>
      <w:r>
        <w:rPr>
          <w:rFonts w:ascii="Arial" w:hAnsi="Arial"/>
          <w:spacing w:val="-9"/>
          <w:w w:val="85"/>
          <w:sz w:val="14"/>
        </w:rPr>
        <w:t> </w:t>
      </w:r>
      <w:r>
        <w:rPr>
          <w:rFonts w:ascii="Arial" w:hAnsi="Arial"/>
          <w:w w:val="85"/>
          <w:sz w:val="14"/>
        </w:rPr>
        <w:t>de</w:t>
      </w:r>
      <w:r>
        <w:rPr>
          <w:rFonts w:ascii="Arial" w:hAnsi="Arial"/>
          <w:spacing w:val="-9"/>
          <w:w w:val="85"/>
          <w:sz w:val="14"/>
        </w:rPr>
        <w:t> </w:t>
      </w:r>
      <w:r>
        <w:rPr>
          <w:rFonts w:ascii="Arial" w:hAnsi="Arial"/>
          <w:w w:val="85"/>
          <w:sz w:val="14"/>
        </w:rPr>
        <w:t>la</w:t>
      </w:r>
      <w:r>
        <w:rPr>
          <w:rFonts w:ascii="Arial" w:hAnsi="Arial"/>
          <w:spacing w:val="-9"/>
          <w:w w:val="85"/>
          <w:sz w:val="14"/>
        </w:rPr>
        <w:t> </w:t>
      </w:r>
      <w:r>
        <w:rPr>
          <w:rFonts w:ascii="Arial" w:hAnsi="Arial"/>
          <w:w w:val="85"/>
          <w:sz w:val="14"/>
        </w:rPr>
        <w:t>Seda’</w:t>
      </w:r>
      <w:r>
        <w:rPr>
          <w:rFonts w:ascii="Arial" w:hAnsi="Arial"/>
          <w:spacing w:val="-9"/>
          <w:w w:val="85"/>
          <w:sz w:val="14"/>
        </w:rPr>
        <w:t> </w:t>
      </w:r>
      <w:r>
        <w:rPr>
          <w:rFonts w:ascii="Arial" w:hAnsi="Arial"/>
          <w:w w:val="85"/>
          <w:sz w:val="14"/>
        </w:rPr>
        <w:t>con</w:t>
      </w:r>
      <w:r>
        <w:rPr>
          <w:rFonts w:ascii="Arial" w:hAnsi="Arial"/>
          <w:spacing w:val="-9"/>
          <w:w w:val="85"/>
          <w:sz w:val="14"/>
        </w:rPr>
        <w:t> </w:t>
      </w:r>
      <w:r>
        <w:rPr>
          <w:rFonts w:ascii="Arial" w:hAnsi="Arial"/>
          <w:w w:val="85"/>
          <w:sz w:val="14"/>
        </w:rPr>
        <w:t>la</w:t>
      </w:r>
      <w:r>
        <w:rPr>
          <w:rFonts w:ascii="Arial" w:hAnsi="Arial"/>
          <w:spacing w:val="-9"/>
          <w:w w:val="85"/>
          <w:sz w:val="14"/>
        </w:rPr>
        <w:t> </w:t>
      </w:r>
      <w:r>
        <w:rPr>
          <w:rFonts w:ascii="Arial" w:hAnsi="Arial"/>
          <w:w w:val="85"/>
          <w:sz w:val="14"/>
        </w:rPr>
        <w:t>alianza</w:t>
      </w:r>
      <w:r>
        <w:rPr>
          <w:rFonts w:ascii="Arial" w:hAnsi="Arial"/>
          <w:spacing w:val="-9"/>
          <w:w w:val="85"/>
          <w:sz w:val="14"/>
        </w:rPr>
        <w:t> </w:t>
      </w:r>
      <w:r>
        <w:rPr>
          <w:rFonts w:ascii="Arial" w:hAnsi="Arial"/>
          <w:w w:val="85"/>
          <w:sz w:val="14"/>
        </w:rPr>
        <w:t>de</w:t>
      </w:r>
      <w:r>
        <w:rPr>
          <w:rFonts w:ascii="Arial" w:hAnsi="Arial"/>
          <w:spacing w:val="-9"/>
          <w:w w:val="85"/>
          <w:sz w:val="14"/>
        </w:rPr>
        <w:t> </w:t>
      </w:r>
      <w:r>
        <w:rPr>
          <w:rFonts w:ascii="Arial" w:hAnsi="Arial"/>
          <w:w w:val="85"/>
          <w:sz w:val="14"/>
        </w:rPr>
        <w:t>Rusia.</w:t>
      </w:r>
      <w:r>
        <w:rPr>
          <w:rFonts w:ascii="Arial" w:hAnsi="Arial"/>
          <w:spacing w:val="-13"/>
          <w:w w:val="85"/>
          <w:sz w:val="14"/>
        </w:rPr>
        <w:t> </w:t>
      </w:r>
      <w:r>
        <w:rPr>
          <w:rFonts w:ascii="Arial" w:hAnsi="Arial"/>
          <w:w w:val="85"/>
          <w:sz w:val="14"/>
        </w:rPr>
        <w:t>Beijing</w:t>
      </w:r>
      <w:r>
        <w:rPr>
          <w:rFonts w:ascii="Arial" w:hAnsi="Arial"/>
          <w:spacing w:val="-9"/>
          <w:w w:val="85"/>
          <w:sz w:val="14"/>
        </w:rPr>
        <w:t> </w:t>
      </w:r>
      <w:r>
        <w:rPr>
          <w:rFonts w:ascii="Arial" w:hAnsi="Arial"/>
          <w:w w:val="85"/>
          <w:sz w:val="14"/>
        </w:rPr>
        <w:t>quiere</w:t>
      </w:r>
      <w:r>
        <w:rPr>
          <w:rFonts w:ascii="Arial" w:hAnsi="Arial"/>
          <w:spacing w:val="-9"/>
          <w:w w:val="85"/>
          <w:sz w:val="14"/>
        </w:rPr>
        <w:t> </w:t>
      </w:r>
      <w:r>
        <w:rPr>
          <w:rFonts w:ascii="Arial" w:hAnsi="Arial"/>
          <w:w w:val="85"/>
          <w:sz w:val="14"/>
        </w:rPr>
        <w:t>potenciar la</w:t>
      </w:r>
      <w:r>
        <w:rPr>
          <w:rFonts w:ascii="Arial" w:hAnsi="Arial"/>
          <w:spacing w:val="-5"/>
          <w:w w:val="85"/>
          <w:sz w:val="14"/>
        </w:rPr>
        <w:t> </w:t>
      </w:r>
      <w:r>
        <w:rPr>
          <w:rFonts w:ascii="Arial" w:hAnsi="Arial"/>
          <w:w w:val="85"/>
          <w:sz w:val="14"/>
        </w:rPr>
        <w:t>vía</w:t>
      </w:r>
      <w:r>
        <w:rPr>
          <w:rFonts w:ascii="Arial" w:hAnsi="Arial"/>
          <w:spacing w:val="-5"/>
          <w:w w:val="85"/>
          <w:sz w:val="14"/>
        </w:rPr>
        <w:t> </w:t>
      </w:r>
      <w:r>
        <w:rPr>
          <w:rFonts w:ascii="Arial" w:hAnsi="Arial"/>
          <w:w w:val="85"/>
          <w:sz w:val="14"/>
        </w:rPr>
        <w:t>terrestre</w:t>
      </w:r>
      <w:r>
        <w:rPr>
          <w:rFonts w:ascii="Arial" w:hAnsi="Arial"/>
          <w:spacing w:val="-5"/>
          <w:w w:val="85"/>
          <w:sz w:val="14"/>
        </w:rPr>
        <w:t> </w:t>
      </w:r>
      <w:r>
        <w:rPr>
          <w:rFonts w:ascii="Arial" w:hAnsi="Arial"/>
          <w:w w:val="85"/>
          <w:sz w:val="14"/>
        </w:rPr>
        <w:t>y</w:t>
      </w:r>
      <w:r>
        <w:rPr>
          <w:rFonts w:ascii="Arial" w:hAnsi="Arial"/>
          <w:spacing w:val="-5"/>
          <w:w w:val="85"/>
          <w:sz w:val="14"/>
        </w:rPr>
        <w:t> </w:t>
      </w:r>
      <w:r>
        <w:rPr>
          <w:rFonts w:ascii="Arial" w:hAnsi="Arial"/>
          <w:w w:val="85"/>
          <w:sz w:val="14"/>
        </w:rPr>
        <w:t>llevar</w:t>
      </w:r>
      <w:r>
        <w:rPr>
          <w:rFonts w:ascii="Arial" w:hAnsi="Arial"/>
          <w:spacing w:val="-5"/>
          <w:w w:val="85"/>
          <w:sz w:val="14"/>
        </w:rPr>
        <w:t> </w:t>
      </w:r>
      <w:r>
        <w:rPr>
          <w:rFonts w:ascii="Arial" w:hAnsi="Arial"/>
          <w:w w:val="85"/>
          <w:sz w:val="14"/>
        </w:rPr>
        <w:t>en</w:t>
      </w:r>
      <w:r>
        <w:rPr>
          <w:rFonts w:ascii="Arial" w:hAnsi="Arial"/>
          <w:spacing w:val="-5"/>
          <w:w w:val="85"/>
          <w:sz w:val="14"/>
        </w:rPr>
        <w:t> </w:t>
      </w:r>
      <w:r>
        <w:rPr>
          <w:rFonts w:ascii="Arial" w:hAnsi="Arial"/>
          <w:w w:val="85"/>
          <w:sz w:val="14"/>
        </w:rPr>
        <w:t>menos</w:t>
      </w:r>
      <w:r>
        <w:rPr>
          <w:rFonts w:ascii="Arial" w:hAnsi="Arial"/>
          <w:spacing w:val="-5"/>
          <w:w w:val="85"/>
          <w:sz w:val="14"/>
        </w:rPr>
        <w:t> </w:t>
      </w:r>
      <w:r>
        <w:rPr>
          <w:rFonts w:ascii="Arial" w:hAnsi="Arial"/>
          <w:w w:val="85"/>
          <w:sz w:val="14"/>
        </w:rPr>
        <w:t>tiempo</w:t>
      </w:r>
      <w:r>
        <w:rPr>
          <w:rFonts w:ascii="Arial" w:hAnsi="Arial"/>
          <w:spacing w:val="-5"/>
          <w:w w:val="85"/>
          <w:sz w:val="14"/>
        </w:rPr>
        <w:t> </w:t>
      </w:r>
      <w:r>
        <w:rPr>
          <w:rFonts w:ascii="Arial" w:hAnsi="Arial"/>
          <w:w w:val="85"/>
          <w:sz w:val="14"/>
        </w:rPr>
        <w:t>sus</w:t>
      </w:r>
      <w:r>
        <w:rPr>
          <w:rFonts w:ascii="Arial" w:hAnsi="Arial"/>
          <w:spacing w:val="-5"/>
          <w:w w:val="85"/>
          <w:sz w:val="14"/>
        </w:rPr>
        <w:t> </w:t>
      </w:r>
      <w:r>
        <w:rPr>
          <w:rFonts w:ascii="Arial" w:hAnsi="Arial"/>
          <w:w w:val="85"/>
          <w:sz w:val="14"/>
        </w:rPr>
        <w:t>productos</w:t>
      </w:r>
      <w:r>
        <w:rPr>
          <w:rFonts w:ascii="Arial" w:hAnsi="Arial"/>
          <w:spacing w:val="-5"/>
          <w:w w:val="85"/>
          <w:sz w:val="14"/>
        </w:rPr>
        <w:t> </w:t>
      </w:r>
      <w:r>
        <w:rPr>
          <w:rFonts w:ascii="Arial" w:hAnsi="Arial"/>
          <w:w w:val="85"/>
          <w:sz w:val="14"/>
        </w:rPr>
        <w:t>a</w:t>
      </w:r>
      <w:r>
        <w:rPr>
          <w:rFonts w:ascii="Arial" w:hAnsi="Arial"/>
          <w:spacing w:val="-5"/>
          <w:w w:val="85"/>
          <w:sz w:val="14"/>
        </w:rPr>
        <w:t> </w:t>
      </w:r>
      <w:r>
        <w:rPr>
          <w:rFonts w:ascii="Arial" w:hAnsi="Arial"/>
          <w:w w:val="85"/>
          <w:sz w:val="14"/>
        </w:rPr>
        <w:t>Europa”,</w:t>
      </w:r>
      <w:r>
        <w:rPr>
          <w:rFonts w:ascii="Arial" w:hAnsi="Arial"/>
          <w:spacing w:val="-10"/>
          <w:w w:val="85"/>
          <w:sz w:val="14"/>
        </w:rPr>
        <w:t> </w:t>
      </w:r>
      <w:r>
        <w:rPr>
          <w:rFonts w:ascii="Arial" w:hAnsi="Arial"/>
          <w:w w:val="85"/>
          <w:sz w:val="14"/>
        </w:rPr>
        <w:t>23</w:t>
      </w:r>
      <w:r>
        <w:rPr>
          <w:rFonts w:ascii="Arial" w:hAnsi="Arial"/>
          <w:spacing w:val="-5"/>
          <w:w w:val="85"/>
          <w:sz w:val="14"/>
        </w:rPr>
        <w:t> </w:t>
      </w:r>
      <w:r>
        <w:rPr>
          <w:rFonts w:ascii="Arial" w:hAnsi="Arial"/>
          <w:w w:val="85"/>
          <w:sz w:val="14"/>
        </w:rPr>
        <w:t>de</w:t>
      </w:r>
      <w:r>
        <w:rPr>
          <w:rFonts w:ascii="Arial" w:hAnsi="Arial"/>
          <w:spacing w:val="-5"/>
          <w:w w:val="85"/>
          <w:sz w:val="14"/>
        </w:rPr>
        <w:t> </w:t>
      </w:r>
      <w:r>
        <w:rPr>
          <w:rFonts w:ascii="Arial" w:hAnsi="Arial"/>
          <w:w w:val="85"/>
          <w:sz w:val="14"/>
        </w:rPr>
        <w:t>noviembre</w:t>
      </w:r>
      <w:r>
        <w:rPr>
          <w:rFonts w:ascii="Arial" w:hAnsi="Arial"/>
          <w:spacing w:val="-5"/>
          <w:w w:val="85"/>
          <w:sz w:val="14"/>
        </w:rPr>
        <w:t> </w:t>
      </w:r>
      <w:r>
        <w:rPr>
          <w:rFonts w:ascii="Arial" w:hAnsi="Arial"/>
          <w:w w:val="85"/>
          <w:sz w:val="14"/>
        </w:rPr>
        <w:t>de</w:t>
      </w:r>
      <w:r>
        <w:rPr>
          <w:rFonts w:ascii="Arial" w:hAnsi="Arial"/>
          <w:spacing w:val="-5"/>
          <w:w w:val="85"/>
          <w:sz w:val="14"/>
        </w:rPr>
        <w:t> </w:t>
      </w:r>
      <w:r>
        <w:rPr>
          <w:rFonts w:ascii="Arial" w:hAnsi="Arial"/>
          <w:w w:val="85"/>
          <w:sz w:val="14"/>
        </w:rPr>
        <w:t>2014,</w:t>
      </w:r>
      <w:r>
        <w:rPr>
          <w:rFonts w:ascii="Arial" w:hAnsi="Arial"/>
          <w:spacing w:val="-10"/>
          <w:w w:val="85"/>
          <w:sz w:val="14"/>
        </w:rPr>
        <w:t> </w:t>
      </w:r>
      <w:r>
        <w:rPr>
          <w:rFonts w:ascii="Arial" w:hAnsi="Arial"/>
          <w:w w:val="85"/>
          <w:sz w:val="14"/>
        </w:rPr>
        <w:t>en</w:t>
      </w:r>
      <w:r>
        <w:rPr>
          <w:rFonts w:ascii="Arial" w:hAnsi="Arial"/>
          <w:spacing w:val="-5"/>
          <w:w w:val="85"/>
          <w:sz w:val="14"/>
        </w:rPr>
        <w:t> </w:t>
      </w:r>
      <w:hyperlink r:id="rId152">
        <w:r>
          <w:rPr>
            <w:rFonts w:ascii="Arial" w:hAnsi="Arial"/>
            <w:w w:val="85"/>
            <w:sz w:val="14"/>
          </w:rPr>
          <w:t>&lt;http://goo.gl/7hQHfO&gt;.</w:t>
        </w:r>
      </w:hyperlink>
    </w:p>
    <w:p>
      <w:pPr>
        <w:pStyle w:val="BodyText"/>
        <w:rPr>
          <w:rFonts w:ascii="Arial"/>
          <w:sz w:val="14"/>
        </w:rPr>
      </w:pPr>
    </w:p>
    <w:p>
      <w:pPr>
        <w:pStyle w:val="Heading6"/>
        <w:spacing w:before="84"/>
        <w:ind w:left="121" w:right="158"/>
        <w:jc w:val="left"/>
      </w:pPr>
      <w:r>
        <w:rPr>
          <w:spacing w:val="2"/>
          <w:w w:val="129"/>
        </w:rPr>
        <w:t>a</w:t>
      </w:r>
      <w:r>
        <w:rPr>
          <w:spacing w:val="2"/>
          <w:w w:val="130"/>
        </w:rPr>
        <w:t>n</w:t>
      </w:r>
      <w:r>
        <w:rPr>
          <w:spacing w:val="5"/>
          <w:w w:val="130"/>
        </w:rPr>
        <w:t>e</w:t>
      </w:r>
      <w:r>
        <w:rPr>
          <w:spacing w:val="-2"/>
          <w:w w:val="124"/>
        </w:rPr>
        <w:t>x</w:t>
      </w:r>
      <w:r>
        <w:rPr>
          <w:w w:val="145"/>
        </w:rPr>
        <w:t>o</w:t>
      </w:r>
      <w:r>
        <w:rPr>
          <w:spacing w:val="-8"/>
        </w:rPr>
        <w:t> </w:t>
      </w:r>
      <w:r>
        <w:rPr>
          <w:spacing w:val="2"/>
          <w:w w:val="129"/>
        </w:rPr>
        <w:t>i</w:t>
      </w:r>
      <w:r>
        <w:rPr>
          <w:spacing w:val="1"/>
          <w:w w:val="129"/>
        </w:rPr>
        <w:t>i</w:t>
      </w:r>
      <w:r>
        <w:rPr>
          <w:w w:val="104"/>
        </w:rPr>
        <w:t>.</w:t>
      </w:r>
      <w:r>
        <w:rPr>
          <w:spacing w:val="-9"/>
        </w:rPr>
        <w:t> </w:t>
      </w:r>
      <w:r>
        <w:rPr>
          <w:spacing w:val="2"/>
          <w:w w:val="180"/>
        </w:rPr>
        <w:t>t</w:t>
      </w:r>
      <w:r>
        <w:rPr>
          <w:spacing w:val="2"/>
          <w:w w:val="145"/>
        </w:rPr>
        <w:t>r</w:t>
      </w:r>
      <w:r>
        <w:rPr>
          <w:spacing w:val="-10"/>
          <w:w w:val="129"/>
        </w:rPr>
        <w:t>a</w:t>
      </w:r>
      <w:r>
        <w:rPr>
          <w:spacing w:val="-10"/>
          <w:w w:val="180"/>
        </w:rPr>
        <w:t>t</w:t>
      </w:r>
      <w:r>
        <w:rPr>
          <w:spacing w:val="2"/>
          <w:w w:val="130"/>
        </w:rPr>
        <w:t>a</w:t>
      </w:r>
      <w:r>
        <w:rPr>
          <w:spacing w:val="5"/>
          <w:w w:val="130"/>
        </w:rPr>
        <w:t>d</w:t>
      </w:r>
      <w:r>
        <w:rPr>
          <w:spacing w:val="3"/>
          <w:w w:val="145"/>
        </w:rPr>
        <w:t>o</w:t>
      </w:r>
      <w:r>
        <w:rPr>
          <w:w w:val="136"/>
        </w:rPr>
        <w:t>s</w:t>
      </w:r>
      <w:r>
        <w:rPr>
          <w:spacing w:val="-8"/>
        </w:rPr>
        <w:t> </w:t>
      </w:r>
      <w:r>
        <w:rPr>
          <w:spacing w:val="2"/>
          <w:w w:val="132"/>
        </w:rPr>
        <w:t>d</w:t>
      </w:r>
      <w:r>
        <w:rPr>
          <w:w w:val="132"/>
        </w:rPr>
        <w:t>e</w:t>
      </w:r>
      <w:r>
        <w:rPr>
          <w:spacing w:val="-8"/>
        </w:rPr>
        <w:t> </w:t>
      </w:r>
      <w:r>
        <w:rPr>
          <w:spacing w:val="2"/>
          <w:w w:val="201"/>
        </w:rPr>
        <w:t>l</w:t>
      </w:r>
      <w:r>
        <w:rPr>
          <w:spacing w:val="2"/>
          <w:w w:val="129"/>
        </w:rPr>
        <w:t>i</w:t>
      </w:r>
      <w:r>
        <w:rPr>
          <w:spacing w:val="1"/>
          <w:w w:val="96"/>
        </w:rPr>
        <w:t>B</w:t>
      </w:r>
      <w:r>
        <w:rPr>
          <w:spacing w:val="2"/>
          <w:w w:val="139"/>
        </w:rPr>
        <w:t>r</w:t>
      </w:r>
      <w:r>
        <w:rPr>
          <w:w w:val="139"/>
        </w:rPr>
        <w:t>e</w:t>
      </w:r>
      <w:r>
        <w:rPr>
          <w:spacing w:val="-8"/>
        </w:rPr>
        <w:t> </w:t>
      </w:r>
      <w:r>
        <w:rPr>
          <w:spacing w:val="2"/>
          <w:w w:val="147"/>
        </w:rPr>
        <w:t>c</w:t>
      </w:r>
      <w:r>
        <w:rPr>
          <w:spacing w:val="2"/>
          <w:w w:val="145"/>
        </w:rPr>
        <w:t>o</w:t>
      </w:r>
      <w:r>
        <w:rPr>
          <w:spacing w:val="2"/>
          <w:w w:val="92"/>
        </w:rPr>
        <w:t>M</w:t>
      </w:r>
      <w:r>
        <w:rPr>
          <w:spacing w:val="3"/>
          <w:w w:val="134"/>
        </w:rPr>
        <w:t>e</w:t>
      </w:r>
      <w:r>
        <w:rPr>
          <w:spacing w:val="1"/>
          <w:w w:val="145"/>
        </w:rPr>
        <w:t>r</w:t>
      </w:r>
      <w:r>
        <w:rPr>
          <w:spacing w:val="2"/>
          <w:w w:val="142"/>
        </w:rPr>
        <w:t>ci</w:t>
      </w:r>
      <w:r>
        <w:rPr>
          <w:w w:val="142"/>
        </w:rPr>
        <w:t>o</w:t>
      </w:r>
      <w:r>
        <w:rPr>
          <w:spacing w:val="-8"/>
        </w:rPr>
        <w:t> </w:t>
      </w:r>
      <w:r>
        <w:rPr>
          <w:spacing w:val="3"/>
          <w:w w:val="134"/>
        </w:rPr>
        <w:t>e</w:t>
      </w:r>
      <w:r>
        <w:rPr>
          <w:w w:val="128"/>
        </w:rPr>
        <w:t>n</w:t>
      </w:r>
      <w:r>
        <w:rPr>
          <w:spacing w:val="-8"/>
        </w:rPr>
        <w:t> </w:t>
      </w:r>
      <w:r>
        <w:rPr>
          <w:spacing w:val="1"/>
          <w:w w:val="129"/>
        </w:rPr>
        <w:t>a</w:t>
      </w:r>
      <w:r>
        <w:rPr>
          <w:spacing w:val="2"/>
          <w:w w:val="131"/>
        </w:rPr>
        <w:t>sia</w:t>
      </w:r>
    </w:p>
    <w:p>
      <w:pPr>
        <w:pStyle w:val="BodyText"/>
        <w:rPr>
          <w:rFonts w:ascii="Times New Roman"/>
          <w:b/>
          <w:sz w:val="15"/>
        </w:rPr>
      </w:pPr>
      <w:r>
        <w:rPr/>
        <w:pict>
          <v:line style="position:absolute;mso-position-horizontal-relative:page;mso-position-vertical-relative:paragraph;z-index:3400;mso-wrap-distance-left:0;mso-wrap-distance-right:0" from="51.023602pt,11.11092pt" to="399.117602pt,11.11092pt" stroked="true" strokeweight="1pt" strokecolor="#000000">
            <w10:wrap type="topAndBottom"/>
          </v:line>
        </w:pict>
      </w:r>
      <w:r>
        <w:rPr/>
        <w:drawing>
          <wp:anchor distT="0" distB="0" distL="0" distR="0" allowOverlap="1" layoutInCell="1" locked="0" behindDoc="0" simplePos="0" relativeHeight="3424">
            <wp:simplePos x="0" y="0"/>
            <wp:positionH relativeFrom="page">
              <wp:posOffset>868464</wp:posOffset>
            </wp:positionH>
            <wp:positionV relativeFrom="paragraph">
              <wp:posOffset>232430</wp:posOffset>
            </wp:positionV>
            <wp:extent cx="4010058" cy="2456688"/>
            <wp:effectExtent l="0" t="0" r="0" b="0"/>
            <wp:wrapTopAndBottom/>
            <wp:docPr id="17" name="image39.png" descr=""/>
            <wp:cNvGraphicFramePr>
              <a:graphicFrameLocks noChangeAspect="1"/>
            </wp:cNvGraphicFramePr>
            <a:graphic>
              <a:graphicData uri="http://schemas.openxmlformats.org/drawingml/2006/picture">
                <pic:pic>
                  <pic:nvPicPr>
                    <pic:cNvPr id="18" name="image39.png"/>
                    <pic:cNvPicPr/>
                  </pic:nvPicPr>
                  <pic:blipFill>
                    <a:blip r:embed="rId153" cstate="print"/>
                    <a:stretch>
                      <a:fillRect/>
                    </a:stretch>
                  </pic:blipFill>
                  <pic:spPr>
                    <a:xfrm>
                      <a:off x="0" y="0"/>
                      <a:ext cx="4010058" cy="2456688"/>
                    </a:xfrm>
                    <a:prstGeom prst="rect">
                      <a:avLst/>
                    </a:prstGeom>
                  </pic:spPr>
                </pic:pic>
              </a:graphicData>
            </a:graphic>
          </wp:anchor>
        </w:drawing>
      </w:r>
    </w:p>
    <w:p>
      <w:pPr>
        <w:pStyle w:val="BodyText"/>
        <w:spacing w:before="8"/>
        <w:rPr>
          <w:rFonts w:ascii="Times New Roman"/>
          <w:b/>
          <w:sz w:val="5"/>
        </w:rPr>
      </w:pPr>
    </w:p>
    <w:p>
      <w:pPr>
        <w:pStyle w:val="BodyText"/>
        <w:spacing w:before="5"/>
        <w:rPr>
          <w:rFonts w:ascii="Times New Roman"/>
          <w:b/>
          <w:sz w:val="7"/>
        </w:rPr>
      </w:pPr>
    </w:p>
    <w:p>
      <w:pPr>
        <w:pStyle w:val="BodyText"/>
        <w:spacing w:line="20" w:lineRule="exact"/>
        <w:ind w:left="110"/>
        <w:rPr>
          <w:rFonts w:ascii="Times New Roman"/>
          <w:sz w:val="2"/>
        </w:rPr>
      </w:pPr>
      <w:r>
        <w:rPr>
          <w:rFonts w:ascii="Times New Roman"/>
          <w:sz w:val="2"/>
        </w:rPr>
        <w:pict>
          <v:group style="width:349.1pt;height:1pt;mso-position-horizontal-relative:char;mso-position-vertical-relative:line" coordorigin="0,0" coordsize="6982,20">
            <v:line style="position:absolute" from="10,10" to="6972,10" stroked="true" strokeweight="1pt" strokecolor="#000000"/>
          </v:group>
        </w:pict>
      </w:r>
      <w:r>
        <w:rPr>
          <w:rFonts w:ascii="Times New Roman"/>
          <w:sz w:val="2"/>
        </w:rPr>
      </w:r>
    </w:p>
    <w:p>
      <w:pPr>
        <w:spacing w:before="50"/>
        <w:ind w:left="120" w:right="158" w:firstLine="0"/>
        <w:jc w:val="left"/>
        <w:rPr>
          <w:rFonts w:ascii="Arial" w:hAnsi="Arial"/>
          <w:sz w:val="14"/>
        </w:rPr>
      </w:pPr>
      <w:r>
        <w:rPr>
          <w:rFonts w:ascii="Arial" w:hAnsi="Arial"/>
          <w:w w:val="85"/>
          <w:sz w:val="14"/>
        </w:rPr>
        <w:t>Fuente: Tratados de Libre Comercio - Máster Negocios en Asia, </w:t>
      </w:r>
      <w:hyperlink r:id="rId154">
        <w:r>
          <w:rPr>
            <w:rFonts w:ascii="Arial" w:hAnsi="Arial"/>
            <w:w w:val="85"/>
            <w:sz w:val="14"/>
          </w:rPr>
          <w:t>&lt;http://www.reingex.com/Master-Negocios-Asia-Acuerdos.shtml&gt;.</w:t>
        </w:r>
      </w:hyperlink>
    </w:p>
    <w:p>
      <w:pPr>
        <w:spacing w:after="0"/>
        <w:jc w:val="left"/>
        <w:rPr>
          <w:rFonts w:ascii="Arial" w:hAnsi="Arial"/>
          <w:sz w:val="14"/>
        </w:rPr>
        <w:sectPr>
          <w:pgSz w:w="8790" w:h="12760"/>
          <w:pgMar w:header="695" w:footer="723" w:top="880" w:bottom="920" w:left="900" w:right="680"/>
        </w:sectPr>
      </w:pPr>
    </w:p>
    <w:p>
      <w:pPr>
        <w:pStyle w:val="BodyText"/>
        <w:spacing w:before="10"/>
        <w:rPr>
          <w:rFonts w:ascii="Arial"/>
          <w:sz w:val="28"/>
        </w:rPr>
      </w:pPr>
    </w:p>
    <w:p>
      <w:pPr>
        <w:spacing w:before="68"/>
        <w:ind w:left="331" w:right="321" w:firstLine="0"/>
        <w:jc w:val="left"/>
        <w:rPr>
          <w:rFonts w:ascii="Times New Roman" w:hAnsi="Times New Roman"/>
          <w:b/>
          <w:sz w:val="20"/>
        </w:rPr>
      </w:pPr>
      <w:r>
        <w:rPr>
          <w:rFonts w:ascii="Times New Roman" w:hAnsi="Times New Roman"/>
          <w:b/>
          <w:spacing w:val="1"/>
          <w:w w:val="96"/>
          <w:sz w:val="20"/>
        </w:rPr>
        <w:t>B</w:t>
      </w:r>
      <w:r>
        <w:rPr>
          <w:rFonts w:ascii="Times New Roman" w:hAnsi="Times New Roman"/>
          <w:b/>
          <w:spacing w:val="2"/>
          <w:w w:val="129"/>
          <w:sz w:val="20"/>
        </w:rPr>
        <w:t>i</w:t>
      </w:r>
      <w:r>
        <w:rPr>
          <w:rFonts w:ascii="Times New Roman" w:hAnsi="Times New Roman"/>
          <w:b/>
          <w:spacing w:val="1"/>
          <w:w w:val="96"/>
          <w:sz w:val="20"/>
        </w:rPr>
        <w:t>B</w:t>
      </w:r>
      <w:r>
        <w:rPr>
          <w:rFonts w:ascii="Times New Roman" w:hAnsi="Times New Roman"/>
          <w:b/>
          <w:spacing w:val="2"/>
          <w:w w:val="201"/>
          <w:sz w:val="20"/>
        </w:rPr>
        <w:t>l</w:t>
      </w:r>
      <w:r>
        <w:rPr>
          <w:rFonts w:ascii="Times New Roman" w:hAnsi="Times New Roman"/>
          <w:b/>
          <w:spacing w:val="2"/>
          <w:w w:val="139"/>
          <w:sz w:val="20"/>
        </w:rPr>
        <w:t>i</w:t>
      </w:r>
      <w:r>
        <w:rPr>
          <w:rFonts w:ascii="Times New Roman" w:hAnsi="Times New Roman"/>
          <w:b/>
          <w:spacing w:val="5"/>
          <w:w w:val="139"/>
          <w:sz w:val="20"/>
        </w:rPr>
        <w:t>o</w:t>
      </w:r>
      <w:r>
        <w:rPr>
          <w:rFonts w:ascii="Times New Roman" w:hAnsi="Times New Roman"/>
          <w:b/>
          <w:spacing w:val="2"/>
          <w:w w:val="89"/>
          <w:sz w:val="20"/>
        </w:rPr>
        <w:t>G</w:t>
      </w:r>
      <w:r>
        <w:rPr>
          <w:rFonts w:ascii="Times New Roman" w:hAnsi="Times New Roman"/>
          <w:b/>
          <w:spacing w:val="2"/>
          <w:w w:val="145"/>
          <w:sz w:val="20"/>
        </w:rPr>
        <w:t>r</w:t>
      </w:r>
      <w:r>
        <w:rPr>
          <w:rFonts w:ascii="Times New Roman" w:hAnsi="Times New Roman"/>
          <w:b/>
          <w:spacing w:val="2"/>
          <w:w w:val="144"/>
          <w:sz w:val="20"/>
        </w:rPr>
        <w:t>af</w:t>
      </w:r>
      <w:r>
        <w:rPr>
          <w:rFonts w:ascii="Times New Roman" w:hAnsi="Times New Roman"/>
          <w:b/>
          <w:spacing w:val="2"/>
          <w:w w:val="92"/>
          <w:sz w:val="20"/>
        </w:rPr>
        <w:t>Í</w:t>
      </w:r>
      <w:r>
        <w:rPr>
          <w:rFonts w:ascii="Times New Roman" w:hAnsi="Times New Roman"/>
          <w:b/>
          <w:w w:val="129"/>
          <w:sz w:val="20"/>
        </w:rPr>
        <w:t>a</w:t>
      </w:r>
    </w:p>
    <w:p>
      <w:pPr>
        <w:pStyle w:val="BodyText"/>
        <w:spacing w:line="252" w:lineRule="auto" w:before="10"/>
        <w:ind w:left="727" w:right="65" w:hanging="397"/>
      </w:pPr>
      <w:r>
        <w:rPr>
          <w:w w:val="110"/>
        </w:rPr>
        <w:t>actualidad.rt.com  2014  “China,  Mongolia  y  rusia  ponen  la  mirada en una nueva ruta de la seda”, publicado el 12 de septiembre de 2014, en </w:t>
      </w:r>
      <w:hyperlink r:id="rId157">
        <w:r>
          <w:rPr>
            <w:w w:val="110"/>
          </w:rPr>
          <w:t>&lt;http://goo.gl/Cq</w:t>
        </w:r>
      </w:hyperlink>
      <w:r>
        <w:rPr>
          <w:w w:val="110"/>
        </w:rPr>
        <w:t>d</w:t>
      </w:r>
      <w:hyperlink r:id="rId157">
        <w:r>
          <w:rPr>
            <w:w w:val="110"/>
          </w:rPr>
          <w:t>gi4&gt;</w:t>
        </w:r>
      </w:hyperlink>
      <w:r>
        <w:rPr>
          <w:w w:val="110"/>
        </w:rPr>
        <w:t> acceso 23 de diciembre de 2014.</w:t>
      </w:r>
    </w:p>
    <w:p>
      <w:pPr>
        <w:pStyle w:val="BodyText"/>
        <w:spacing w:line="252" w:lineRule="auto" w:before="28"/>
        <w:ind w:left="727" w:right="192" w:hanging="397"/>
      </w:pPr>
      <w:r>
        <w:rPr>
          <w:w w:val="139"/>
        </w:rPr>
        <w:t>a</w:t>
      </w:r>
      <w:r>
        <w:rPr>
          <w:w w:val="106"/>
        </w:rPr>
        <w:t>lter</w:t>
      </w:r>
      <w:r>
        <w:rPr/>
        <w:t> </w:t>
      </w:r>
      <w:r>
        <w:rPr>
          <w:w w:val="134"/>
        </w:rPr>
        <w:t>b</w:t>
      </w:r>
      <w:r>
        <w:rPr>
          <w:w w:val="109"/>
        </w:rPr>
        <w:t>ruce</w:t>
      </w:r>
      <w:r>
        <w:rPr/>
        <w:t> </w:t>
      </w:r>
      <w:r>
        <w:rPr>
          <w:w w:val="102"/>
        </w:rPr>
        <w:t>2014</w:t>
      </w:r>
      <w:r>
        <w:rPr/>
        <w:t> </w:t>
      </w:r>
      <w:r>
        <w:rPr>
          <w:w w:val="115"/>
        </w:rPr>
        <w:t>“</w:t>
      </w:r>
      <w:r>
        <w:rPr>
          <w:w w:val="243"/>
        </w:rPr>
        <w:t>l</w:t>
      </w:r>
      <w:r>
        <w:rPr>
          <w:w w:val="108"/>
        </w:rPr>
        <w:t>os</w:t>
      </w:r>
      <w:r>
        <w:rPr/>
        <w:t> </w:t>
      </w:r>
      <w:r>
        <w:rPr>
          <w:w w:val="108"/>
        </w:rPr>
        <w:t>nuevos</w:t>
      </w:r>
      <w:r>
        <w:rPr/>
        <w:t> </w:t>
      </w:r>
      <w:r>
        <w:rPr>
          <w:w w:val="110"/>
        </w:rPr>
        <w:t>lazos</w:t>
      </w:r>
      <w:r>
        <w:rPr/>
        <w:t> </w:t>
      </w:r>
      <w:r>
        <w:rPr>
          <w:w w:val="106"/>
        </w:rPr>
        <w:t>entre</w:t>
      </w:r>
      <w:r>
        <w:rPr/>
        <w:t> </w:t>
      </w:r>
      <w:r>
        <w:rPr>
          <w:w w:val="115"/>
        </w:rPr>
        <w:t>China</w:t>
      </w:r>
      <w:r>
        <w:rPr/>
        <w:t> </w:t>
      </w:r>
      <w:r>
        <w:rPr>
          <w:w w:val="105"/>
        </w:rPr>
        <w:t>y</w:t>
      </w:r>
      <w:r>
        <w:rPr/>
        <w:t> </w:t>
      </w:r>
      <w:r>
        <w:rPr>
          <w:w w:val="139"/>
        </w:rPr>
        <w:t>a</w:t>
      </w:r>
      <w:r>
        <w:rPr>
          <w:w w:val="112"/>
        </w:rPr>
        <w:t>sean”,</w:t>
      </w:r>
      <w:r>
        <w:rPr/>
        <w:t> </w:t>
      </w:r>
      <w:r>
        <w:rPr>
          <w:w w:val="102"/>
        </w:rPr>
        <w:t>11</w:t>
      </w:r>
      <w:r>
        <w:rPr/>
        <w:t> </w:t>
      </w:r>
      <w:r>
        <w:rPr>
          <w:w w:val="107"/>
        </w:rPr>
        <w:t>de</w:t>
      </w:r>
      <w:r>
        <w:rPr/>
        <w:t> </w:t>
      </w:r>
      <w:r>
        <w:rPr>
          <w:w w:val="110"/>
        </w:rPr>
        <w:t>mayo </w:t>
      </w:r>
      <w:r>
        <w:rPr>
          <w:w w:val="110"/>
        </w:rPr>
        <w:t>1914, en </w:t>
      </w:r>
      <w:hyperlink r:id="rId158">
        <w:r>
          <w:rPr>
            <w:w w:val="110"/>
          </w:rPr>
          <w:t>&lt;http://goo.gl/Ci</w:t>
        </w:r>
      </w:hyperlink>
      <w:r>
        <w:rPr>
          <w:w w:val="110"/>
        </w:rPr>
        <w:t>i</w:t>
      </w:r>
      <w:hyperlink r:id="rId158">
        <w:r>
          <w:rPr>
            <w:w w:val="110"/>
          </w:rPr>
          <w:t>WW7&gt;</w:t>
        </w:r>
      </w:hyperlink>
      <w:r>
        <w:rPr>
          <w:w w:val="110"/>
        </w:rPr>
        <w:t> acceso 25 de diciembre de 2014.</w:t>
      </w:r>
    </w:p>
    <w:p>
      <w:pPr>
        <w:pStyle w:val="BodyText"/>
        <w:spacing w:line="252" w:lineRule="auto" w:before="28"/>
        <w:ind w:left="727" w:right="321" w:hanging="397"/>
      </w:pPr>
      <w:r>
        <w:rPr>
          <w:w w:val="110"/>
        </w:rPr>
        <w:t>ccapitalia.net 2011 “¿Por qué Estado unidos invadió afganistán? o </w:t>
      </w:r>
      <w:r>
        <w:rPr>
          <w:w w:val="243"/>
        </w:rPr>
        <w:t>l</w:t>
      </w:r>
      <w:r>
        <w:rPr>
          <w:w w:val="112"/>
        </w:rPr>
        <w:t>a</w:t>
      </w:r>
      <w:r>
        <w:rPr/>
        <w:t> </w:t>
      </w:r>
      <w:r>
        <w:rPr>
          <w:w w:val="195"/>
        </w:rPr>
        <w:t>t</w:t>
      </w:r>
      <w:r>
        <w:rPr>
          <w:w w:val="109"/>
        </w:rPr>
        <w:t>eoría</w:t>
      </w:r>
      <w:r>
        <w:rPr/>
        <w:t> </w:t>
      </w:r>
      <w:r>
        <w:rPr>
          <w:w w:val="107"/>
        </w:rPr>
        <w:t>del</w:t>
      </w:r>
      <w:r>
        <w:rPr/>
        <w:t> </w:t>
      </w:r>
      <w:r>
        <w:rPr>
          <w:w w:val="109"/>
        </w:rPr>
        <w:t>Pivote”</w:t>
      </w:r>
      <w:r>
        <w:rPr/>
        <w:t> </w:t>
      </w:r>
      <w:r>
        <w:rPr>
          <w:w w:val="102"/>
        </w:rPr>
        <w:t>6</w:t>
      </w:r>
      <w:r>
        <w:rPr/>
        <w:t> </w:t>
      </w:r>
      <w:r>
        <w:rPr>
          <w:w w:val="107"/>
        </w:rPr>
        <w:t>de</w:t>
      </w:r>
      <w:r>
        <w:rPr/>
        <w:t> </w:t>
      </w:r>
      <w:r>
        <w:rPr>
          <w:w w:val="111"/>
        </w:rPr>
        <w:t>octubre,</w:t>
      </w:r>
      <w:r>
        <w:rPr/>
        <w:t> </w:t>
      </w:r>
      <w:r>
        <w:rPr>
          <w:w w:val="108"/>
        </w:rPr>
        <w:t>en</w:t>
      </w:r>
      <w:r>
        <w:rPr/>
        <w:t> </w:t>
      </w:r>
      <w:hyperlink r:id="rId159">
        <w:r>
          <w:rPr/>
          <w:t>&lt;http://goo.gl/ey</w:t>
        </w:r>
      </w:hyperlink>
      <w:r>
        <w:rPr>
          <w:w w:val="140"/>
        </w:rPr>
        <w:t>u</w:t>
      </w:r>
      <w:hyperlink r:id="rId159">
        <w:r>
          <w:rPr>
            <w:w w:val="105"/>
          </w:rPr>
          <w:t>1pv&gt;</w:t>
        </w:r>
      </w:hyperlink>
      <w:r>
        <w:rPr>
          <w:w w:val="105"/>
        </w:rPr>
        <w:t> </w:t>
      </w:r>
      <w:r>
        <w:rPr>
          <w:w w:val="110"/>
        </w:rPr>
        <w:t>acceso 23 de diciembre de 2014.</w:t>
      </w:r>
    </w:p>
    <w:p>
      <w:pPr>
        <w:pStyle w:val="BodyText"/>
        <w:spacing w:line="252" w:lineRule="auto" w:before="28"/>
        <w:ind w:left="727" w:right="192" w:hanging="397"/>
      </w:pPr>
      <w:r>
        <w:rPr>
          <w:w w:val="120"/>
        </w:rPr>
        <w:t>CCtV </w:t>
      </w:r>
      <w:r>
        <w:rPr>
          <w:w w:val="110"/>
        </w:rPr>
        <w:t>2014 “Comienza en xinjiang seminario sobre Cinturón Económico de </w:t>
      </w:r>
      <w:r>
        <w:rPr>
          <w:w w:val="120"/>
        </w:rPr>
        <w:t>ruta </w:t>
      </w:r>
      <w:r>
        <w:rPr>
          <w:w w:val="110"/>
        </w:rPr>
        <w:t>de la seda”, 27 de junio de 2014, en &lt;http:// goo.gl/ypypKd&gt;.</w:t>
      </w:r>
    </w:p>
    <w:p>
      <w:pPr>
        <w:pStyle w:val="BodyText"/>
        <w:spacing w:line="252" w:lineRule="auto" w:before="28"/>
        <w:ind w:left="727" w:right="321" w:hanging="397"/>
      </w:pPr>
      <w:r>
        <w:rPr>
          <w:w w:val="110"/>
        </w:rPr>
        <w:t>Cifuentes, Cristina 2014 “China busca acelerar construcción de la </w:t>
      </w:r>
      <w:r>
        <w:rPr>
          <w:i/>
          <w:w w:val="110"/>
        </w:rPr>
        <w:t>Ruta de la Seda </w:t>
      </w:r>
      <w:r>
        <w:rPr>
          <w:w w:val="110"/>
        </w:rPr>
        <w:t>con la alianza de rusia. beijing quiere potenciar  la vía terrestre y llevar en menos tiempo sus productos a Europa”, 23 de noviembre 2014, en </w:t>
      </w:r>
      <w:hyperlink r:id="rId160">
        <w:r>
          <w:rPr>
            <w:w w:val="110"/>
          </w:rPr>
          <w:t>&lt;http://goo.gl/GoPNk</w:t>
        </w:r>
      </w:hyperlink>
      <w:r>
        <w:rPr>
          <w:w w:val="110"/>
        </w:rPr>
        <w:t>u&gt;, acceso 5 de diciembre de</w:t>
      </w:r>
      <w:r>
        <w:rPr>
          <w:spacing w:val="5"/>
          <w:w w:val="110"/>
        </w:rPr>
        <w:t> </w:t>
      </w:r>
      <w:r>
        <w:rPr>
          <w:w w:val="110"/>
        </w:rPr>
        <w:t>2014.</w:t>
      </w:r>
    </w:p>
    <w:p>
      <w:pPr>
        <w:pStyle w:val="BodyText"/>
        <w:spacing w:line="252" w:lineRule="auto" w:before="28"/>
        <w:ind w:left="727" w:right="192" w:hanging="397"/>
      </w:pPr>
      <w:r>
        <w:rPr>
          <w:w w:val="110"/>
        </w:rPr>
        <w:t>China briefing 2013 “Por qué la </w:t>
      </w:r>
      <w:r>
        <w:rPr>
          <w:w w:val="115"/>
        </w:rPr>
        <w:t>asEaN </w:t>
      </w:r>
      <w:r>
        <w:rPr>
          <w:w w:val="110"/>
        </w:rPr>
        <w:t>es importante para su estrategia de negocios en asia”, 23 de febrero, en </w:t>
      </w:r>
      <w:hyperlink r:id="rId108">
        <w:r>
          <w:rPr>
            <w:w w:val="110"/>
          </w:rPr>
          <w:t>&lt;http://goo.gl/</w:t>
        </w:r>
      </w:hyperlink>
      <w:r>
        <w:rPr>
          <w:w w:val="110"/>
        </w:rPr>
        <w:t> xgavpW&gt;, acceso 23 de noviembre de 2014.</w:t>
      </w:r>
    </w:p>
    <w:p>
      <w:pPr>
        <w:pStyle w:val="BodyText"/>
        <w:spacing w:before="28"/>
        <w:ind w:left="330" w:right="41"/>
      </w:pPr>
      <w:r>
        <w:rPr>
          <w:w w:val="125"/>
        </w:rPr>
        <w:t>Cri </w:t>
      </w:r>
      <w:r>
        <w:rPr>
          <w:w w:val="110"/>
        </w:rPr>
        <w:t>2013 “¿Cuantas rutas de la seda hay?”, en </w:t>
      </w:r>
      <w:hyperlink r:id="rId161">
        <w:r>
          <w:rPr>
            <w:w w:val="110"/>
          </w:rPr>
          <w:t>&lt;http://goo.gl/Jcn2F0&gt;.</w:t>
        </w:r>
      </w:hyperlink>
    </w:p>
    <w:p>
      <w:pPr>
        <w:pStyle w:val="BodyText"/>
        <w:spacing w:line="252" w:lineRule="auto" w:before="39"/>
        <w:ind w:left="727" w:right="970" w:hanging="397"/>
      </w:pPr>
      <w:r>
        <w:rPr>
          <w:i/>
          <w:w w:val="110"/>
        </w:rPr>
        <w:t>Daily Telegraph </w:t>
      </w:r>
      <w:r>
        <w:rPr>
          <w:w w:val="110"/>
        </w:rPr>
        <w:t>2014 “10 señales de advertencia del colapso financiero mundial”, 20 de septiembre 2014.</w:t>
      </w:r>
    </w:p>
    <w:p>
      <w:pPr>
        <w:pStyle w:val="BodyText"/>
        <w:spacing w:line="252" w:lineRule="auto" w:before="28"/>
        <w:ind w:left="727" w:right="321" w:hanging="397"/>
      </w:pPr>
      <w:r>
        <w:rPr>
          <w:w w:val="110"/>
        </w:rPr>
        <w:t>elpais.com 2012 “El pivote asiático de obama”, en </w:t>
      </w:r>
      <w:r>
        <w:rPr>
          <w:i/>
          <w:w w:val="110"/>
        </w:rPr>
        <w:t>El País</w:t>
      </w:r>
      <w:r>
        <w:rPr>
          <w:w w:val="110"/>
        </w:rPr>
        <w:t>, 23 de noviembre de 2012, en </w:t>
      </w:r>
      <w:hyperlink r:id="rId162">
        <w:r>
          <w:rPr>
            <w:w w:val="110"/>
          </w:rPr>
          <w:t>&lt;http://goo.gl/</w:t>
        </w:r>
      </w:hyperlink>
      <w:r>
        <w:rPr>
          <w:w w:val="110"/>
        </w:rPr>
        <w:t>x</w:t>
      </w:r>
      <w:hyperlink r:id="rId162">
        <w:r>
          <w:rPr>
            <w:w w:val="110"/>
          </w:rPr>
          <w:t>mxut2&gt;.</w:t>
        </w:r>
      </w:hyperlink>
    </w:p>
    <w:p>
      <w:pPr>
        <w:pStyle w:val="BodyText"/>
        <w:spacing w:line="252" w:lineRule="auto" w:before="28"/>
        <w:ind w:left="727" w:right="288" w:hanging="397"/>
      </w:pPr>
      <w:r>
        <w:rPr>
          <w:w w:val="110"/>
        </w:rPr>
        <w:t>español.cntv.cn 2014 “Nuevo plan comercial de ruta de la seda Marítima integrará a muchas economías”, 11 de junio 2014,   en</w:t>
      </w:r>
    </w:p>
    <w:p>
      <w:pPr>
        <w:pStyle w:val="BodyText"/>
        <w:ind w:left="727" w:right="321"/>
      </w:pPr>
      <w:hyperlink r:id="rId163">
        <w:r>
          <w:rPr>
            <w:w w:val="105"/>
          </w:rPr>
          <w:t>&lt;http://goo.gl/ZjtNVm&gt;.</w:t>
        </w:r>
      </w:hyperlink>
    </w:p>
    <w:p>
      <w:pPr>
        <w:pStyle w:val="BodyText"/>
        <w:spacing w:line="252" w:lineRule="auto" w:before="39"/>
        <w:ind w:left="727" w:right="368" w:hanging="397"/>
        <w:jc w:val="both"/>
      </w:pPr>
      <w:r>
        <w:rPr>
          <w:w w:val="114"/>
        </w:rPr>
        <w:t>Gómez</w:t>
      </w:r>
      <w:r>
        <w:rPr>
          <w:spacing w:val="12"/>
        </w:rPr>
        <w:t> </w:t>
      </w:r>
      <w:r>
        <w:rPr>
          <w:w w:val="243"/>
        </w:rPr>
        <w:t>l</w:t>
      </w:r>
      <w:r>
        <w:rPr>
          <w:w w:val="111"/>
        </w:rPr>
        <w:t>ópez,</w:t>
      </w:r>
      <w:r>
        <w:rPr>
          <w:spacing w:val="12"/>
        </w:rPr>
        <w:t> </w:t>
      </w:r>
      <w:r>
        <w:rPr>
          <w:w w:val="139"/>
        </w:rPr>
        <w:t>a</w:t>
      </w:r>
      <w:r>
        <w:rPr>
          <w:w w:val="109"/>
        </w:rPr>
        <w:t>lejandro</w:t>
      </w:r>
      <w:r>
        <w:rPr>
          <w:spacing w:val="12"/>
        </w:rPr>
        <w:t> </w:t>
      </w:r>
      <w:r>
        <w:rPr>
          <w:w w:val="102"/>
        </w:rPr>
        <w:t>2012</w:t>
      </w:r>
      <w:r>
        <w:rPr>
          <w:spacing w:val="12"/>
        </w:rPr>
        <w:t> </w:t>
      </w:r>
      <w:r>
        <w:rPr>
          <w:w w:val="120"/>
        </w:rPr>
        <w:t>“El</w:t>
      </w:r>
      <w:r>
        <w:rPr>
          <w:spacing w:val="12"/>
        </w:rPr>
        <w:t> </w:t>
      </w:r>
      <w:r>
        <w:rPr>
          <w:spacing w:val="-18"/>
          <w:w w:val="195"/>
        </w:rPr>
        <w:t>t</w:t>
      </w:r>
      <w:r>
        <w:rPr>
          <w:w w:val="109"/>
        </w:rPr>
        <w:t>ratado</w:t>
      </w:r>
      <w:r>
        <w:rPr>
          <w:spacing w:val="12"/>
        </w:rPr>
        <w:t> </w:t>
      </w:r>
      <w:r>
        <w:rPr>
          <w:w w:val="111"/>
        </w:rPr>
        <w:t>comercial</w:t>
      </w:r>
      <w:r>
        <w:rPr>
          <w:spacing w:val="12"/>
        </w:rPr>
        <w:t> </w:t>
      </w:r>
      <w:r>
        <w:rPr>
          <w:w w:val="106"/>
        </w:rPr>
        <w:t>entre</w:t>
      </w:r>
      <w:r>
        <w:rPr>
          <w:spacing w:val="12"/>
        </w:rPr>
        <w:t> </w:t>
      </w:r>
      <w:r>
        <w:rPr>
          <w:w w:val="115"/>
        </w:rPr>
        <w:t>China</w:t>
      </w:r>
      <w:r>
        <w:rPr>
          <w:spacing w:val="12"/>
        </w:rPr>
        <w:t> </w:t>
      </w:r>
      <w:r>
        <w:rPr>
          <w:w w:val="105"/>
        </w:rPr>
        <w:t>y </w:t>
      </w:r>
      <w:r>
        <w:rPr>
          <w:w w:val="115"/>
        </w:rPr>
        <w:t>la</w:t>
      </w:r>
      <w:r>
        <w:rPr>
          <w:spacing w:val="-13"/>
          <w:w w:val="115"/>
        </w:rPr>
        <w:t> </w:t>
      </w:r>
      <w:r>
        <w:rPr>
          <w:w w:val="115"/>
        </w:rPr>
        <w:t>asociación</w:t>
      </w:r>
      <w:r>
        <w:rPr>
          <w:spacing w:val="-13"/>
          <w:w w:val="115"/>
        </w:rPr>
        <w:t> </w:t>
      </w:r>
      <w:r>
        <w:rPr>
          <w:w w:val="115"/>
        </w:rPr>
        <w:t>de</w:t>
      </w:r>
      <w:r>
        <w:rPr>
          <w:spacing w:val="-13"/>
          <w:w w:val="115"/>
        </w:rPr>
        <w:t> </w:t>
      </w:r>
      <w:r>
        <w:rPr>
          <w:w w:val="115"/>
        </w:rPr>
        <w:t>Países</w:t>
      </w:r>
      <w:r>
        <w:rPr>
          <w:spacing w:val="-13"/>
          <w:w w:val="115"/>
        </w:rPr>
        <w:t> </w:t>
      </w:r>
      <w:r>
        <w:rPr>
          <w:w w:val="115"/>
        </w:rPr>
        <w:t>del</w:t>
      </w:r>
      <w:r>
        <w:rPr>
          <w:spacing w:val="-13"/>
          <w:w w:val="115"/>
        </w:rPr>
        <w:t> </w:t>
      </w:r>
      <w:r>
        <w:rPr>
          <w:w w:val="115"/>
        </w:rPr>
        <w:t>sudeste</w:t>
      </w:r>
      <w:r>
        <w:rPr>
          <w:spacing w:val="-13"/>
          <w:w w:val="115"/>
        </w:rPr>
        <w:t> </w:t>
      </w:r>
      <w:r>
        <w:rPr>
          <w:w w:val="115"/>
        </w:rPr>
        <w:t>asiático”,</w:t>
      </w:r>
      <w:r>
        <w:rPr>
          <w:spacing w:val="-13"/>
          <w:w w:val="115"/>
        </w:rPr>
        <w:t> </w:t>
      </w:r>
      <w:r>
        <w:rPr>
          <w:w w:val="115"/>
        </w:rPr>
        <w:t>1º</w:t>
      </w:r>
      <w:r>
        <w:rPr>
          <w:spacing w:val="-13"/>
          <w:w w:val="115"/>
        </w:rPr>
        <w:t> </w:t>
      </w:r>
      <w:r>
        <w:rPr>
          <w:w w:val="115"/>
        </w:rPr>
        <w:t>de</w:t>
      </w:r>
      <w:r>
        <w:rPr>
          <w:spacing w:val="-13"/>
          <w:w w:val="115"/>
        </w:rPr>
        <w:t> </w:t>
      </w:r>
      <w:r>
        <w:rPr>
          <w:w w:val="115"/>
        </w:rPr>
        <w:t>noviembre </w:t>
      </w:r>
      <w:r>
        <w:rPr>
          <w:w w:val="105"/>
        </w:rPr>
        <w:t>2012,</w:t>
      </w:r>
      <w:r>
        <w:rPr>
          <w:spacing w:val="12"/>
        </w:rPr>
        <w:t> </w:t>
      </w:r>
      <w:r>
        <w:rPr>
          <w:w w:val="108"/>
        </w:rPr>
        <w:t>en</w:t>
      </w:r>
      <w:r>
        <w:rPr>
          <w:spacing w:val="12"/>
        </w:rPr>
        <w:t> </w:t>
      </w:r>
      <w:hyperlink r:id="rId164">
        <w:r>
          <w:rPr>
            <w:w w:val="99"/>
          </w:rPr>
          <w:t>&lt;http://goo.gl/9</w:t>
        </w:r>
        <w:r>
          <w:rPr>
            <w:w w:val="156"/>
          </w:rPr>
          <w:t>blb</w:t>
        </w:r>
      </w:hyperlink>
      <w:r>
        <w:rPr>
          <w:w w:val="123"/>
        </w:rPr>
        <w:t>H</w:t>
      </w:r>
      <w:hyperlink r:id="rId164">
        <w:r>
          <w:rPr>
            <w:w w:val="243"/>
          </w:rPr>
          <w:t>l</w:t>
        </w:r>
      </w:hyperlink>
      <w:r>
        <w:rPr>
          <w:w w:val="118"/>
        </w:rPr>
        <w:t>&gt;.</w:t>
      </w:r>
    </w:p>
    <w:p>
      <w:pPr>
        <w:pStyle w:val="BodyText"/>
        <w:spacing w:line="252" w:lineRule="auto" w:before="28"/>
        <w:ind w:left="727" w:right="321" w:hanging="397"/>
      </w:pPr>
      <w:r>
        <w:rPr>
          <w:w w:val="110"/>
        </w:rPr>
        <w:t>Jalife-rahme, alfredo 2014 “alemania y China construyen la nueva ruta de la seda a través de rusia”, 21 de mayo de 2014, en</w:t>
      </w:r>
    </w:p>
    <w:p>
      <w:pPr>
        <w:pStyle w:val="BodyText"/>
        <w:ind w:left="727" w:right="321"/>
      </w:pPr>
      <w:hyperlink r:id="rId165">
        <w:r>
          <w:rPr>
            <w:w w:val="110"/>
          </w:rPr>
          <w:t>&lt;http://goo.gl/</w:t>
        </w:r>
      </w:hyperlink>
      <w:r>
        <w:rPr>
          <w:w w:val="110"/>
        </w:rPr>
        <w:t>r</w:t>
      </w:r>
      <w:hyperlink r:id="rId165">
        <w:r>
          <w:rPr>
            <w:w w:val="110"/>
          </w:rPr>
          <w:t>jrptF&gt;.</w:t>
        </w:r>
      </w:hyperlink>
    </w:p>
    <w:p>
      <w:pPr>
        <w:pStyle w:val="BodyText"/>
        <w:spacing w:line="252" w:lineRule="auto" w:before="39"/>
        <w:ind w:left="727" w:right="740" w:hanging="397"/>
      </w:pPr>
      <w:r>
        <w:rPr>
          <w:w w:val="120"/>
        </w:rPr>
        <w:t>J. </w:t>
      </w:r>
      <w:r>
        <w:rPr>
          <w:spacing w:val="-3"/>
          <w:w w:val="110"/>
        </w:rPr>
        <w:t>Mackinder, </w:t>
      </w:r>
      <w:r>
        <w:rPr>
          <w:w w:val="110"/>
        </w:rPr>
        <w:t>Halford 2010 “El pivote geográfico de la  historia”. Conferencia pronunciada ante la real sociedad </w:t>
      </w:r>
      <w:r>
        <w:rPr>
          <w:w w:val="112"/>
        </w:rPr>
        <w:t>Geográfica</w:t>
      </w:r>
      <w:r>
        <w:rPr>
          <w:spacing w:val="12"/>
        </w:rPr>
        <w:t> </w:t>
      </w:r>
      <w:r>
        <w:rPr>
          <w:w w:val="98"/>
        </w:rPr>
        <w:t>(</w:t>
      </w:r>
      <w:r>
        <w:rPr>
          <w:w w:val="243"/>
        </w:rPr>
        <w:t>l</w:t>
      </w:r>
      <w:r>
        <w:rPr>
          <w:w w:val="108"/>
        </w:rPr>
        <w:t>ondres),</w:t>
      </w:r>
      <w:r>
        <w:rPr>
          <w:spacing w:val="12"/>
        </w:rPr>
        <w:t> </w:t>
      </w:r>
      <w:r>
        <w:rPr>
          <w:w w:val="107"/>
        </w:rPr>
        <w:t>el</w:t>
      </w:r>
      <w:r>
        <w:rPr>
          <w:spacing w:val="12"/>
        </w:rPr>
        <w:t> </w:t>
      </w:r>
      <w:r>
        <w:rPr>
          <w:w w:val="102"/>
        </w:rPr>
        <w:t>25</w:t>
      </w:r>
      <w:r>
        <w:rPr>
          <w:spacing w:val="12"/>
        </w:rPr>
        <w:t> </w:t>
      </w:r>
      <w:r>
        <w:rPr>
          <w:w w:val="107"/>
        </w:rPr>
        <w:t>de</w:t>
      </w:r>
      <w:r>
        <w:rPr>
          <w:spacing w:val="12"/>
        </w:rPr>
        <w:t> </w:t>
      </w:r>
      <w:r>
        <w:rPr>
          <w:w w:val="107"/>
        </w:rPr>
        <w:t>enero</w:t>
      </w:r>
      <w:r>
        <w:rPr>
          <w:spacing w:val="12"/>
        </w:rPr>
        <w:t> </w:t>
      </w:r>
      <w:r>
        <w:rPr>
          <w:w w:val="107"/>
        </w:rPr>
        <w:t>de</w:t>
      </w:r>
      <w:r>
        <w:rPr>
          <w:spacing w:val="12"/>
        </w:rPr>
        <w:t> </w:t>
      </w:r>
      <w:r>
        <w:rPr>
          <w:w w:val="103"/>
        </w:rPr>
        <w:t>1904;</w:t>
      </w:r>
      <w:r>
        <w:rPr>
          <w:spacing w:val="12"/>
        </w:rPr>
        <w:t> </w:t>
      </w:r>
      <w:r>
        <w:rPr>
          <w:w w:val="109"/>
        </w:rPr>
        <w:t>reproducida </w:t>
      </w:r>
      <w:r>
        <w:rPr>
          <w:w w:val="110"/>
        </w:rPr>
        <w:t>en </w:t>
      </w:r>
      <w:r>
        <w:rPr>
          <w:i/>
          <w:w w:val="110"/>
        </w:rPr>
        <w:t>The Geographical Journal</w:t>
      </w:r>
      <w:r>
        <w:rPr>
          <w:w w:val="110"/>
        </w:rPr>
        <w:t>, </w:t>
      </w:r>
      <w:r>
        <w:rPr>
          <w:spacing w:val="-4"/>
          <w:w w:val="110"/>
        </w:rPr>
        <w:t>Vol. </w:t>
      </w:r>
      <w:r>
        <w:rPr>
          <w:w w:val="110"/>
        </w:rPr>
        <w:t>23, Nº 4, pp. 421-437, </w:t>
      </w:r>
      <w:r>
        <w:rPr>
          <w:spacing w:val="31"/>
          <w:w w:val="110"/>
        </w:rPr>
        <w:t> </w:t>
      </w:r>
      <w:r>
        <w:rPr>
          <w:w w:val="110"/>
        </w:rPr>
        <w:t>en</w:t>
      </w:r>
    </w:p>
    <w:p>
      <w:pPr>
        <w:pStyle w:val="BodyText"/>
        <w:spacing w:line="252" w:lineRule="auto"/>
        <w:ind w:left="727" w:right="261"/>
      </w:pPr>
      <w:r>
        <w:rPr>
          <w:i/>
          <w:w w:val="110"/>
        </w:rPr>
        <w:t>Geopolítica(s) </w:t>
      </w:r>
      <w:r>
        <w:rPr>
          <w:w w:val="110"/>
        </w:rPr>
        <w:t>2010, </w:t>
      </w:r>
      <w:r>
        <w:rPr>
          <w:spacing w:val="-4"/>
          <w:w w:val="110"/>
        </w:rPr>
        <w:t>Vol. </w:t>
      </w:r>
      <w:r>
        <w:rPr>
          <w:w w:val="110"/>
        </w:rPr>
        <w:t>1, Nº 2, pp. 301-319, en </w:t>
      </w:r>
      <w:hyperlink r:id="rId108">
        <w:r>
          <w:rPr>
            <w:w w:val="110"/>
          </w:rPr>
          <w:t>&lt;http://goo.gl/</w:t>
        </w:r>
      </w:hyperlink>
      <w:r>
        <w:rPr>
          <w:w w:val="110"/>
        </w:rPr>
        <w:t> roVx35&gt;.</w:t>
      </w:r>
    </w:p>
    <w:p>
      <w:pPr>
        <w:spacing w:after="0" w:line="252" w:lineRule="auto"/>
        <w:sectPr>
          <w:footerReference w:type="even" r:id="rId155"/>
          <w:footerReference w:type="default" r:id="rId156"/>
          <w:pgSz w:w="8790" w:h="12760"/>
          <w:pgMar w:footer="725" w:header="695" w:top="880" w:bottom="920" w:left="1200" w:right="900"/>
          <w:pgNumType w:start="112"/>
        </w:sectPr>
      </w:pPr>
    </w:p>
    <w:p>
      <w:pPr>
        <w:pStyle w:val="BodyText"/>
        <w:spacing w:before="9"/>
        <w:rPr>
          <w:sz w:val="28"/>
        </w:rPr>
      </w:pPr>
    </w:p>
    <w:p>
      <w:pPr>
        <w:pStyle w:val="BodyText"/>
        <w:spacing w:line="252" w:lineRule="auto" w:before="73"/>
        <w:ind w:left="497" w:right="528" w:hanging="397"/>
      </w:pPr>
      <w:r>
        <w:rPr>
          <w:w w:val="110"/>
        </w:rPr>
        <w:t>larouchista.com 2013 “El corredor económico a través de Myanmar  y bangladesh. una meta de la cooperación entre China e india”, 21 de mayo de 2013, en </w:t>
      </w:r>
      <w:hyperlink r:id="rId166">
        <w:r>
          <w:rPr>
            <w:w w:val="110"/>
          </w:rPr>
          <w:t>&lt;http://goo.gl/ifCux</w:t>
        </w:r>
      </w:hyperlink>
      <w:r>
        <w:rPr>
          <w:w w:val="110"/>
        </w:rPr>
        <w:t>a&gt; acceso 23 de noviembre de</w:t>
      </w:r>
      <w:r>
        <w:rPr>
          <w:spacing w:val="-21"/>
          <w:w w:val="110"/>
        </w:rPr>
        <w:t> </w:t>
      </w:r>
      <w:r>
        <w:rPr>
          <w:w w:val="110"/>
        </w:rPr>
        <w:t>2014.</w:t>
      </w:r>
    </w:p>
    <w:p>
      <w:pPr>
        <w:pStyle w:val="BodyText"/>
        <w:spacing w:line="252" w:lineRule="auto" w:before="28"/>
        <w:ind w:left="497" w:right="645" w:hanging="397"/>
      </w:pPr>
      <w:r>
        <w:rPr>
          <w:w w:val="114"/>
        </w:rPr>
        <w:t>Manuel,</w:t>
      </w:r>
      <w:r>
        <w:rPr>
          <w:spacing w:val="12"/>
        </w:rPr>
        <w:t> </w:t>
      </w:r>
      <w:r>
        <w:rPr>
          <w:w w:val="115"/>
        </w:rPr>
        <w:t>José</w:t>
      </w:r>
      <w:r>
        <w:rPr>
          <w:spacing w:val="12"/>
        </w:rPr>
        <w:t> </w:t>
      </w:r>
      <w:r>
        <w:rPr>
          <w:w w:val="102"/>
        </w:rPr>
        <w:t>2009</w:t>
      </w:r>
      <w:r>
        <w:rPr>
          <w:spacing w:val="12"/>
        </w:rPr>
        <w:t> </w:t>
      </w:r>
      <w:r>
        <w:rPr>
          <w:w w:val="115"/>
        </w:rPr>
        <w:t>“</w:t>
      </w:r>
      <w:r>
        <w:rPr>
          <w:w w:val="243"/>
        </w:rPr>
        <w:t>l</w:t>
      </w:r>
      <w:r>
        <w:rPr>
          <w:w w:val="112"/>
        </w:rPr>
        <w:t>a</w:t>
      </w:r>
      <w:r>
        <w:rPr>
          <w:spacing w:val="12"/>
        </w:rPr>
        <w:t> </w:t>
      </w:r>
      <w:r>
        <w:rPr>
          <w:w w:val="149"/>
        </w:rPr>
        <w:t>o</w:t>
      </w:r>
      <w:r>
        <w:rPr>
          <w:w w:val="111"/>
        </w:rPr>
        <w:t>rganización</w:t>
      </w:r>
      <w:r>
        <w:rPr>
          <w:spacing w:val="12"/>
        </w:rPr>
        <w:t> </w:t>
      </w:r>
      <w:r>
        <w:rPr>
          <w:w w:val="107"/>
        </w:rPr>
        <w:t>de</w:t>
      </w:r>
      <w:r>
        <w:rPr>
          <w:spacing w:val="12"/>
        </w:rPr>
        <w:t> </w:t>
      </w:r>
      <w:r>
        <w:rPr>
          <w:w w:val="111"/>
        </w:rPr>
        <w:t>Cooperación</w:t>
      </w:r>
      <w:r>
        <w:rPr>
          <w:spacing w:val="12"/>
        </w:rPr>
        <w:t> </w:t>
      </w:r>
      <w:r>
        <w:rPr>
          <w:w w:val="107"/>
        </w:rPr>
        <w:t>de</w:t>
      </w:r>
      <w:r>
        <w:rPr>
          <w:spacing w:val="12"/>
        </w:rPr>
        <w:t> </w:t>
      </w:r>
      <w:r>
        <w:rPr>
          <w:w w:val="149"/>
        </w:rPr>
        <w:t>s</w:t>
      </w:r>
      <w:r>
        <w:rPr>
          <w:w w:val="112"/>
        </w:rPr>
        <w:t>hangai </w:t>
      </w:r>
      <w:r>
        <w:rPr>
          <w:w w:val="115"/>
        </w:rPr>
        <w:t>(oCs): claves para la creación de un futuro líder mundial”, en</w:t>
      </w:r>
      <w:r>
        <w:rPr>
          <w:spacing w:val="-13"/>
          <w:w w:val="115"/>
        </w:rPr>
        <w:t> </w:t>
      </w:r>
      <w:r>
        <w:rPr>
          <w:i/>
          <w:w w:val="115"/>
        </w:rPr>
        <w:t>Revista</w:t>
      </w:r>
      <w:r>
        <w:rPr>
          <w:i/>
          <w:spacing w:val="-13"/>
          <w:w w:val="115"/>
        </w:rPr>
        <w:t> </w:t>
      </w:r>
      <w:r>
        <w:rPr>
          <w:i/>
          <w:w w:val="115"/>
        </w:rPr>
        <w:t>de</w:t>
      </w:r>
      <w:r>
        <w:rPr>
          <w:i/>
          <w:spacing w:val="-13"/>
          <w:w w:val="115"/>
        </w:rPr>
        <w:t> </w:t>
      </w:r>
      <w:r>
        <w:rPr>
          <w:i/>
          <w:w w:val="115"/>
        </w:rPr>
        <w:t>Economía</w:t>
      </w:r>
      <w:r>
        <w:rPr>
          <w:i/>
          <w:spacing w:val="-13"/>
          <w:w w:val="115"/>
        </w:rPr>
        <w:t> </w:t>
      </w:r>
      <w:r>
        <w:rPr>
          <w:i/>
          <w:w w:val="115"/>
        </w:rPr>
        <w:t>Mundial</w:t>
      </w:r>
      <w:r>
        <w:rPr>
          <w:w w:val="115"/>
        </w:rPr>
        <w:t>,</w:t>
      </w:r>
      <w:r>
        <w:rPr>
          <w:spacing w:val="-13"/>
          <w:w w:val="115"/>
        </w:rPr>
        <w:t> </w:t>
      </w:r>
      <w:r>
        <w:rPr>
          <w:w w:val="115"/>
        </w:rPr>
        <w:t>Nº</w:t>
      </w:r>
      <w:r>
        <w:rPr>
          <w:spacing w:val="-13"/>
          <w:w w:val="115"/>
        </w:rPr>
        <w:t> </w:t>
      </w:r>
      <w:r>
        <w:rPr>
          <w:w w:val="115"/>
        </w:rPr>
        <w:t>23,</w:t>
      </w:r>
      <w:r>
        <w:rPr>
          <w:spacing w:val="-13"/>
          <w:w w:val="115"/>
        </w:rPr>
        <w:t> </w:t>
      </w:r>
      <w:r>
        <w:rPr>
          <w:w w:val="115"/>
        </w:rPr>
        <w:t>pp.</w:t>
      </w:r>
      <w:r>
        <w:rPr>
          <w:spacing w:val="-13"/>
          <w:w w:val="115"/>
        </w:rPr>
        <w:t> </w:t>
      </w:r>
      <w:r>
        <w:rPr>
          <w:w w:val="115"/>
        </w:rPr>
        <w:t>307-326,</w:t>
      </w:r>
      <w:r>
        <w:rPr>
          <w:spacing w:val="-13"/>
          <w:w w:val="115"/>
        </w:rPr>
        <w:t> </w:t>
      </w:r>
      <w:r>
        <w:rPr>
          <w:w w:val="115"/>
        </w:rPr>
        <w:t>España, sociedad de Economía</w:t>
      </w:r>
      <w:r>
        <w:rPr>
          <w:spacing w:val="2"/>
          <w:w w:val="115"/>
        </w:rPr>
        <w:t> </w:t>
      </w:r>
      <w:r>
        <w:rPr>
          <w:w w:val="115"/>
        </w:rPr>
        <w:t>Mundial.</w:t>
      </w:r>
    </w:p>
    <w:p>
      <w:pPr>
        <w:pStyle w:val="BodyText"/>
        <w:spacing w:line="252" w:lineRule="auto" w:before="28"/>
        <w:ind w:left="497" w:right="114" w:hanging="397"/>
      </w:pPr>
      <w:r>
        <w:rPr>
          <w:w w:val="110"/>
        </w:rPr>
        <w:t>politica-china.org 2014 “Comercio asean-China llegará a 500.000 millones de dólares para 2015”, 14 de noviembre de 2014, en</w:t>
      </w:r>
    </w:p>
    <w:p>
      <w:pPr>
        <w:pStyle w:val="BodyText"/>
        <w:ind w:left="497"/>
      </w:pPr>
      <w:hyperlink r:id="rId167">
        <w:r>
          <w:rPr>
            <w:w w:val="105"/>
          </w:rPr>
          <w:t>&lt;http://goo.gl/6n</w:t>
        </w:r>
      </w:hyperlink>
      <w:r>
        <w:rPr>
          <w:w w:val="105"/>
        </w:rPr>
        <w:t>t</w:t>
      </w:r>
      <w:hyperlink r:id="rId167">
        <w:r>
          <w:rPr>
            <w:w w:val="105"/>
          </w:rPr>
          <w:t>xCK&gt;</w:t>
        </w:r>
      </w:hyperlink>
      <w:r>
        <w:rPr>
          <w:w w:val="105"/>
        </w:rPr>
        <w:t> acceso 4 de febrero de    2015.</w:t>
      </w:r>
    </w:p>
    <w:p>
      <w:pPr>
        <w:pStyle w:val="BodyText"/>
        <w:spacing w:line="252" w:lineRule="auto" w:before="39"/>
        <w:ind w:left="497" w:right="565" w:hanging="397"/>
        <w:jc w:val="both"/>
      </w:pPr>
      <w:r>
        <w:rPr>
          <w:w w:val="110"/>
        </w:rPr>
        <w:t>Pueblo</w:t>
      </w:r>
      <w:r>
        <w:rPr>
          <w:spacing w:val="12"/>
        </w:rPr>
        <w:t> </w:t>
      </w:r>
      <w:r>
        <w:rPr>
          <w:w w:val="108"/>
        </w:rPr>
        <w:t>en</w:t>
      </w:r>
      <w:r>
        <w:rPr>
          <w:spacing w:val="12"/>
        </w:rPr>
        <w:t> </w:t>
      </w:r>
      <w:r>
        <w:rPr>
          <w:w w:val="243"/>
        </w:rPr>
        <w:t>l</w:t>
      </w:r>
      <w:r>
        <w:rPr>
          <w:w w:val="110"/>
        </w:rPr>
        <w:t>ínea</w:t>
      </w:r>
      <w:r>
        <w:rPr>
          <w:spacing w:val="12"/>
        </w:rPr>
        <w:t> </w:t>
      </w:r>
      <w:r>
        <w:rPr>
          <w:w w:val="104"/>
        </w:rPr>
        <w:t>2014a</w:t>
      </w:r>
      <w:r>
        <w:rPr>
          <w:spacing w:val="12"/>
        </w:rPr>
        <w:t> </w:t>
      </w:r>
      <w:r>
        <w:rPr>
          <w:w w:val="115"/>
        </w:rPr>
        <w:t>“China</w:t>
      </w:r>
      <w:r>
        <w:rPr>
          <w:spacing w:val="12"/>
        </w:rPr>
        <w:t> </w:t>
      </w:r>
      <w:r>
        <w:rPr>
          <w:w w:val="109"/>
        </w:rPr>
        <w:t>elabora</w:t>
      </w:r>
      <w:r>
        <w:rPr>
          <w:spacing w:val="12"/>
        </w:rPr>
        <w:t> </w:t>
      </w:r>
      <w:r>
        <w:rPr>
          <w:w w:val="110"/>
        </w:rPr>
        <w:t>plan</w:t>
      </w:r>
      <w:r>
        <w:rPr>
          <w:spacing w:val="12"/>
        </w:rPr>
        <w:t> </w:t>
      </w:r>
      <w:r>
        <w:rPr>
          <w:w w:val="109"/>
        </w:rPr>
        <w:t>para</w:t>
      </w:r>
      <w:r>
        <w:rPr>
          <w:spacing w:val="12"/>
        </w:rPr>
        <w:t> </w:t>
      </w:r>
      <w:r>
        <w:rPr>
          <w:w w:val="110"/>
        </w:rPr>
        <w:t>cooperación</w:t>
      </w:r>
      <w:r>
        <w:rPr>
          <w:spacing w:val="12"/>
        </w:rPr>
        <w:t> </w:t>
      </w:r>
      <w:r>
        <w:rPr>
          <w:w w:val="107"/>
        </w:rPr>
        <w:t>de</w:t>
      </w:r>
      <w:r>
        <w:rPr>
          <w:spacing w:val="12"/>
        </w:rPr>
        <w:t> </w:t>
      </w:r>
      <w:r>
        <w:rPr>
          <w:w w:val="111"/>
        </w:rPr>
        <w:t>la </w:t>
      </w:r>
      <w:r>
        <w:rPr>
          <w:w w:val="115"/>
        </w:rPr>
        <w:t>ruta</w:t>
      </w:r>
      <w:r>
        <w:rPr>
          <w:spacing w:val="-10"/>
          <w:w w:val="115"/>
        </w:rPr>
        <w:t> </w:t>
      </w:r>
      <w:r>
        <w:rPr>
          <w:w w:val="115"/>
        </w:rPr>
        <w:t>de</w:t>
      </w:r>
      <w:r>
        <w:rPr>
          <w:spacing w:val="-10"/>
          <w:w w:val="115"/>
        </w:rPr>
        <w:t> </w:t>
      </w:r>
      <w:r>
        <w:rPr>
          <w:w w:val="115"/>
        </w:rPr>
        <w:t>la</w:t>
      </w:r>
      <w:r>
        <w:rPr>
          <w:spacing w:val="-10"/>
          <w:w w:val="115"/>
        </w:rPr>
        <w:t> </w:t>
      </w:r>
      <w:r>
        <w:rPr>
          <w:w w:val="115"/>
        </w:rPr>
        <w:t>seda”,</w:t>
      </w:r>
      <w:r>
        <w:rPr>
          <w:spacing w:val="-10"/>
          <w:w w:val="115"/>
        </w:rPr>
        <w:t> </w:t>
      </w:r>
      <w:r>
        <w:rPr>
          <w:w w:val="115"/>
        </w:rPr>
        <w:t>11</w:t>
      </w:r>
      <w:r>
        <w:rPr>
          <w:spacing w:val="-10"/>
          <w:w w:val="115"/>
        </w:rPr>
        <w:t> </w:t>
      </w:r>
      <w:r>
        <w:rPr>
          <w:w w:val="115"/>
        </w:rPr>
        <w:t>de</w:t>
      </w:r>
      <w:r>
        <w:rPr>
          <w:spacing w:val="-10"/>
          <w:w w:val="115"/>
        </w:rPr>
        <w:t> </w:t>
      </w:r>
      <w:r>
        <w:rPr>
          <w:w w:val="115"/>
        </w:rPr>
        <w:t>junio</w:t>
      </w:r>
      <w:r>
        <w:rPr>
          <w:spacing w:val="-10"/>
          <w:w w:val="115"/>
        </w:rPr>
        <w:t> </w:t>
      </w:r>
      <w:r>
        <w:rPr>
          <w:w w:val="115"/>
        </w:rPr>
        <w:t>de</w:t>
      </w:r>
      <w:r>
        <w:rPr>
          <w:spacing w:val="-10"/>
          <w:w w:val="115"/>
        </w:rPr>
        <w:t> </w:t>
      </w:r>
      <w:r>
        <w:rPr>
          <w:w w:val="115"/>
        </w:rPr>
        <w:t>2014,</w:t>
      </w:r>
      <w:r>
        <w:rPr>
          <w:spacing w:val="-10"/>
          <w:w w:val="115"/>
        </w:rPr>
        <w:t> </w:t>
      </w:r>
      <w:r>
        <w:rPr>
          <w:w w:val="115"/>
        </w:rPr>
        <w:t>acceso</w:t>
      </w:r>
      <w:r>
        <w:rPr>
          <w:spacing w:val="-10"/>
          <w:w w:val="115"/>
        </w:rPr>
        <w:t> </w:t>
      </w:r>
      <w:r>
        <w:rPr>
          <w:w w:val="115"/>
        </w:rPr>
        <w:t>23</w:t>
      </w:r>
      <w:r>
        <w:rPr>
          <w:spacing w:val="-10"/>
          <w:w w:val="115"/>
        </w:rPr>
        <w:t> </w:t>
      </w:r>
      <w:r>
        <w:rPr>
          <w:w w:val="115"/>
        </w:rPr>
        <w:t>de</w:t>
      </w:r>
      <w:r>
        <w:rPr>
          <w:spacing w:val="-10"/>
          <w:w w:val="115"/>
        </w:rPr>
        <w:t> </w:t>
      </w:r>
      <w:r>
        <w:rPr>
          <w:w w:val="115"/>
        </w:rPr>
        <w:t>noviembre </w:t>
      </w:r>
      <w:r>
        <w:rPr>
          <w:w w:val="110"/>
        </w:rPr>
        <w:t>de</w:t>
      </w:r>
      <w:r>
        <w:rPr>
          <w:spacing w:val="-19"/>
          <w:w w:val="110"/>
        </w:rPr>
        <w:t> </w:t>
      </w:r>
      <w:r>
        <w:rPr>
          <w:w w:val="110"/>
        </w:rPr>
        <w:t>2014.</w:t>
      </w:r>
    </w:p>
    <w:p>
      <w:pPr>
        <w:pStyle w:val="BodyText"/>
        <w:spacing w:line="252" w:lineRule="auto" w:before="28"/>
        <w:ind w:left="497" w:right="819" w:hanging="397"/>
      </w:pPr>
      <w:r>
        <w:rPr>
          <w:w w:val="110"/>
        </w:rPr>
        <w:t>riesgopaiscoface.com 2014 “desafíos para la economía china”, 2 </w:t>
      </w:r>
      <w:r>
        <w:rPr>
          <w:w w:val="107"/>
        </w:rPr>
        <w:t>de</w:t>
      </w:r>
      <w:r>
        <w:rPr/>
        <w:t> </w:t>
      </w:r>
      <w:r>
        <w:rPr>
          <w:w w:val="109"/>
        </w:rPr>
        <w:t>octubre</w:t>
      </w:r>
      <w:r>
        <w:rPr/>
        <w:t> </w:t>
      </w:r>
      <w:r>
        <w:rPr>
          <w:w w:val="107"/>
        </w:rPr>
        <w:t>de</w:t>
      </w:r>
      <w:r>
        <w:rPr/>
        <w:t> </w:t>
      </w:r>
      <w:r>
        <w:rPr>
          <w:w w:val="105"/>
        </w:rPr>
        <w:t>2014,</w:t>
      </w:r>
      <w:r>
        <w:rPr/>
        <w:t> </w:t>
      </w:r>
      <w:r>
        <w:rPr>
          <w:w w:val="108"/>
        </w:rPr>
        <w:t>en</w:t>
      </w:r>
      <w:r>
        <w:rPr/>
        <w:t> </w:t>
      </w:r>
      <w:hyperlink r:id="rId168">
        <w:r>
          <w:rPr>
            <w:w w:val="100"/>
          </w:rPr>
          <w:t>&lt;http://goo.gl/gk</w:t>
        </w:r>
      </w:hyperlink>
      <w:r>
        <w:rPr>
          <w:w w:val="243"/>
        </w:rPr>
        <w:t>l</w:t>
      </w:r>
      <w:hyperlink r:id="rId168">
        <w:r>
          <w:rPr>
            <w:w w:val="113"/>
          </w:rPr>
          <w:t>kNu&gt;</w:t>
        </w:r>
        <w:r>
          <w:rPr/>
          <w:t> </w:t>
        </w:r>
      </w:hyperlink>
      <w:r>
        <w:rPr>
          <w:w w:val="110"/>
        </w:rPr>
        <w:t>acceso</w:t>
      </w:r>
      <w:r>
        <w:rPr/>
        <w:t> </w:t>
      </w:r>
      <w:r>
        <w:rPr>
          <w:w w:val="102"/>
        </w:rPr>
        <w:t>5</w:t>
      </w:r>
      <w:r>
        <w:rPr/>
        <w:t> </w:t>
      </w:r>
      <w:r>
        <w:rPr>
          <w:w w:val="107"/>
        </w:rPr>
        <w:t>de </w:t>
      </w:r>
      <w:r>
        <w:rPr>
          <w:w w:val="110"/>
        </w:rPr>
        <w:t>diciembre de 2014.</w:t>
      </w:r>
    </w:p>
    <w:p>
      <w:pPr>
        <w:pStyle w:val="BodyText"/>
        <w:spacing w:line="252" w:lineRule="auto" w:before="28"/>
        <w:ind w:left="497" w:right="819" w:hanging="397"/>
      </w:pPr>
      <w:r>
        <w:rPr>
          <w:w w:val="110"/>
        </w:rPr>
        <w:t>ríos, xulio 2014 “España en la ruta de la seda”, 25 de noviembre,   en</w:t>
      </w:r>
      <w:r>
        <w:rPr>
          <w:spacing w:val="-10"/>
          <w:w w:val="110"/>
        </w:rPr>
        <w:t> </w:t>
      </w:r>
      <w:hyperlink r:id="rId169">
        <w:r>
          <w:rPr>
            <w:w w:val="110"/>
          </w:rPr>
          <w:t>&lt;http://goo.gl/pzPhC</w:t>
        </w:r>
      </w:hyperlink>
      <w:r>
        <w:rPr>
          <w:w w:val="110"/>
        </w:rPr>
        <w:t>s&gt;</w:t>
      </w:r>
      <w:r>
        <w:rPr>
          <w:spacing w:val="-10"/>
          <w:w w:val="110"/>
        </w:rPr>
        <w:t> </w:t>
      </w:r>
      <w:r>
        <w:rPr>
          <w:w w:val="110"/>
        </w:rPr>
        <w:t>acceso</w:t>
      </w:r>
      <w:r>
        <w:rPr>
          <w:spacing w:val="-10"/>
          <w:w w:val="110"/>
        </w:rPr>
        <w:t> </w:t>
      </w:r>
      <w:r>
        <w:rPr>
          <w:w w:val="110"/>
        </w:rPr>
        <w:t>12</w:t>
      </w:r>
      <w:r>
        <w:rPr>
          <w:spacing w:val="-10"/>
          <w:w w:val="110"/>
        </w:rPr>
        <w:t> </w:t>
      </w:r>
      <w:r>
        <w:rPr>
          <w:w w:val="110"/>
        </w:rPr>
        <w:t>de</w:t>
      </w:r>
      <w:r>
        <w:rPr>
          <w:spacing w:val="-10"/>
          <w:w w:val="110"/>
        </w:rPr>
        <w:t> </w:t>
      </w:r>
      <w:r>
        <w:rPr>
          <w:w w:val="110"/>
        </w:rPr>
        <w:t>diciembre</w:t>
      </w:r>
      <w:r>
        <w:rPr>
          <w:spacing w:val="-10"/>
          <w:w w:val="110"/>
        </w:rPr>
        <w:t> </w:t>
      </w:r>
      <w:r>
        <w:rPr>
          <w:w w:val="110"/>
        </w:rPr>
        <w:t>de</w:t>
      </w:r>
      <w:r>
        <w:rPr>
          <w:spacing w:val="-10"/>
          <w:w w:val="110"/>
        </w:rPr>
        <w:t> </w:t>
      </w:r>
      <w:r>
        <w:rPr>
          <w:w w:val="110"/>
        </w:rPr>
        <w:t>2014.</w:t>
      </w:r>
    </w:p>
    <w:p>
      <w:pPr>
        <w:pStyle w:val="BodyText"/>
        <w:spacing w:line="252" w:lineRule="auto" w:before="28"/>
        <w:ind w:left="497" w:right="365" w:hanging="397"/>
      </w:pPr>
      <w:r>
        <w:rPr>
          <w:w w:val="115"/>
        </w:rPr>
        <w:t>rusia </w:t>
      </w:r>
      <w:r>
        <w:rPr>
          <w:spacing w:val="-6"/>
          <w:w w:val="115"/>
        </w:rPr>
        <w:t>today </w:t>
      </w:r>
      <w:r>
        <w:rPr>
          <w:w w:val="115"/>
        </w:rPr>
        <w:t>2014 “unión rusia-China es ‘un fuerte dolor de cabeza’ para</w:t>
      </w:r>
      <w:r>
        <w:rPr>
          <w:spacing w:val="-26"/>
          <w:w w:val="115"/>
        </w:rPr>
        <w:t> </w:t>
      </w:r>
      <w:r>
        <w:rPr>
          <w:w w:val="115"/>
        </w:rPr>
        <w:t>EE.uu.”,</w:t>
      </w:r>
      <w:r>
        <w:rPr>
          <w:spacing w:val="-26"/>
          <w:w w:val="115"/>
        </w:rPr>
        <w:t> </w:t>
      </w:r>
      <w:r>
        <w:rPr>
          <w:w w:val="115"/>
        </w:rPr>
        <w:t>23</w:t>
      </w:r>
      <w:r>
        <w:rPr>
          <w:spacing w:val="-26"/>
          <w:w w:val="115"/>
        </w:rPr>
        <w:t> </w:t>
      </w:r>
      <w:r>
        <w:rPr>
          <w:w w:val="115"/>
        </w:rPr>
        <w:t>de</w:t>
      </w:r>
      <w:r>
        <w:rPr>
          <w:spacing w:val="-26"/>
          <w:w w:val="115"/>
        </w:rPr>
        <w:t> </w:t>
      </w:r>
      <w:r>
        <w:rPr>
          <w:w w:val="115"/>
        </w:rPr>
        <w:t>septiembre,</w:t>
      </w:r>
      <w:r>
        <w:rPr>
          <w:spacing w:val="-26"/>
          <w:w w:val="115"/>
        </w:rPr>
        <w:t> </w:t>
      </w:r>
      <w:r>
        <w:rPr>
          <w:w w:val="115"/>
        </w:rPr>
        <w:t>acceso</w:t>
      </w:r>
      <w:r>
        <w:rPr>
          <w:spacing w:val="-26"/>
          <w:w w:val="115"/>
        </w:rPr>
        <w:t> </w:t>
      </w:r>
      <w:r>
        <w:rPr>
          <w:w w:val="115"/>
        </w:rPr>
        <w:t>12</w:t>
      </w:r>
      <w:r>
        <w:rPr>
          <w:spacing w:val="-26"/>
          <w:w w:val="115"/>
        </w:rPr>
        <w:t> </w:t>
      </w:r>
      <w:r>
        <w:rPr>
          <w:w w:val="115"/>
        </w:rPr>
        <w:t>de</w:t>
      </w:r>
      <w:r>
        <w:rPr>
          <w:spacing w:val="-26"/>
          <w:w w:val="115"/>
        </w:rPr>
        <w:t> </w:t>
      </w:r>
      <w:r>
        <w:rPr>
          <w:w w:val="115"/>
        </w:rPr>
        <w:t>noviembre</w:t>
      </w:r>
      <w:r>
        <w:rPr>
          <w:spacing w:val="-26"/>
          <w:w w:val="115"/>
        </w:rPr>
        <w:t> </w:t>
      </w:r>
      <w:r>
        <w:rPr>
          <w:w w:val="115"/>
        </w:rPr>
        <w:t>de</w:t>
      </w:r>
      <w:r>
        <w:rPr>
          <w:spacing w:val="-26"/>
          <w:w w:val="115"/>
        </w:rPr>
        <w:t> </w:t>
      </w:r>
      <w:r>
        <w:rPr>
          <w:w w:val="115"/>
        </w:rPr>
        <w:t>2014.</w:t>
      </w:r>
    </w:p>
    <w:p>
      <w:pPr>
        <w:pStyle w:val="BodyText"/>
        <w:spacing w:line="252" w:lineRule="auto" w:before="28"/>
        <w:ind w:left="497" w:right="620" w:hanging="397"/>
      </w:pPr>
      <w:r>
        <w:rPr>
          <w:w w:val="149"/>
        </w:rPr>
        <w:t>s</w:t>
      </w:r>
      <w:r>
        <w:rPr>
          <w:w w:val="113"/>
        </w:rPr>
        <w:t>aiz</w:t>
      </w:r>
      <w:r>
        <w:rPr>
          <w:spacing w:val="12"/>
        </w:rPr>
        <w:t> </w:t>
      </w:r>
      <w:r>
        <w:rPr>
          <w:w w:val="109"/>
        </w:rPr>
        <w:t>Álvarez,</w:t>
      </w:r>
      <w:r>
        <w:rPr>
          <w:spacing w:val="12"/>
        </w:rPr>
        <w:t> </w:t>
      </w:r>
      <w:r>
        <w:rPr>
          <w:w w:val="115"/>
        </w:rPr>
        <w:t>José</w:t>
      </w:r>
      <w:r>
        <w:rPr>
          <w:spacing w:val="12"/>
        </w:rPr>
        <w:t> </w:t>
      </w:r>
      <w:r>
        <w:rPr>
          <w:w w:val="113"/>
        </w:rPr>
        <w:t>Manuel</w:t>
      </w:r>
      <w:r>
        <w:rPr>
          <w:spacing w:val="12"/>
        </w:rPr>
        <w:t> </w:t>
      </w:r>
      <w:r>
        <w:rPr>
          <w:w w:val="102"/>
        </w:rPr>
        <w:t>2009</w:t>
      </w:r>
      <w:r>
        <w:rPr>
          <w:spacing w:val="12"/>
        </w:rPr>
        <w:t> </w:t>
      </w:r>
      <w:r>
        <w:rPr>
          <w:w w:val="115"/>
        </w:rPr>
        <w:t>“</w:t>
      </w:r>
      <w:r>
        <w:rPr>
          <w:w w:val="243"/>
        </w:rPr>
        <w:t>l</w:t>
      </w:r>
      <w:r>
        <w:rPr>
          <w:w w:val="112"/>
        </w:rPr>
        <w:t>a</w:t>
      </w:r>
      <w:r>
        <w:rPr>
          <w:spacing w:val="12"/>
        </w:rPr>
        <w:t> </w:t>
      </w:r>
      <w:r>
        <w:rPr>
          <w:w w:val="149"/>
        </w:rPr>
        <w:t>o</w:t>
      </w:r>
      <w:r>
        <w:rPr>
          <w:w w:val="111"/>
        </w:rPr>
        <w:t>rganización</w:t>
      </w:r>
      <w:r>
        <w:rPr>
          <w:spacing w:val="12"/>
        </w:rPr>
        <w:t> </w:t>
      </w:r>
      <w:r>
        <w:rPr>
          <w:w w:val="107"/>
        </w:rPr>
        <w:t>de</w:t>
      </w:r>
      <w:r>
        <w:rPr>
          <w:spacing w:val="12"/>
        </w:rPr>
        <w:t> </w:t>
      </w:r>
      <w:r>
        <w:rPr>
          <w:w w:val="111"/>
        </w:rPr>
        <w:t>Cooperación </w:t>
      </w:r>
      <w:r>
        <w:rPr>
          <w:w w:val="110"/>
        </w:rPr>
        <w:t>de shanghai (oCs): Claves para la creación de un futuro líder mundial”, en </w:t>
      </w:r>
      <w:r>
        <w:rPr>
          <w:i/>
          <w:w w:val="110"/>
        </w:rPr>
        <w:t>Revista de Economía Mundial</w:t>
      </w:r>
      <w:r>
        <w:rPr>
          <w:w w:val="110"/>
        </w:rPr>
        <w:t>, Nº 23, pp. 307- 326, España, sociedad de Economía Mundial, en </w:t>
      </w:r>
      <w:hyperlink r:id="rId170">
        <w:r>
          <w:rPr>
            <w:w w:val="110"/>
          </w:rPr>
          <w:t>&lt;http://goo.</w:t>
        </w:r>
      </w:hyperlink>
      <w:r>
        <w:rPr>
          <w:w w:val="110"/>
        </w:rPr>
        <w:t> gl/2M6MVb&gt;.</w:t>
      </w:r>
    </w:p>
    <w:p>
      <w:pPr>
        <w:pStyle w:val="BodyText"/>
        <w:spacing w:line="252" w:lineRule="auto" w:before="28"/>
        <w:ind w:left="497" w:right="528" w:hanging="397"/>
      </w:pPr>
      <w:r>
        <w:rPr>
          <w:w w:val="105"/>
        </w:rPr>
        <w:t>spanish.china.org.cn 2014 “China  lanzó  un  servicio  de  trenes  de carga en España”, 20 de noviembre, en </w:t>
      </w:r>
      <w:hyperlink r:id="rId171">
        <w:r>
          <w:rPr>
            <w:w w:val="105"/>
          </w:rPr>
          <w:t>&lt;http://goo.gl/eeCV4P&gt;</w:t>
        </w:r>
      </w:hyperlink>
      <w:r>
        <w:rPr>
          <w:w w:val="105"/>
        </w:rPr>
        <w:t> acceso 3 de diciembre de    2014.</w:t>
      </w:r>
    </w:p>
    <w:p>
      <w:pPr>
        <w:pStyle w:val="BodyText"/>
        <w:spacing w:line="252" w:lineRule="auto" w:before="28"/>
        <w:ind w:left="497" w:right="592" w:hanging="397"/>
        <w:jc w:val="both"/>
      </w:pPr>
      <w:r>
        <w:rPr>
          <w:w w:val="110"/>
        </w:rPr>
        <w:t>spanish.mofcom.gov.cn 2014 “‘ruta de la seda Marítima’ de China beneficia</w:t>
      </w:r>
      <w:r>
        <w:rPr>
          <w:spacing w:val="-10"/>
          <w:w w:val="110"/>
        </w:rPr>
        <w:t> </w:t>
      </w:r>
      <w:r>
        <w:rPr>
          <w:w w:val="110"/>
        </w:rPr>
        <w:t>a</w:t>
      </w:r>
      <w:r>
        <w:rPr>
          <w:spacing w:val="-10"/>
          <w:w w:val="110"/>
        </w:rPr>
        <w:t> </w:t>
      </w:r>
      <w:r>
        <w:rPr>
          <w:w w:val="110"/>
        </w:rPr>
        <w:t>asia”,</w:t>
      </w:r>
      <w:r>
        <w:rPr>
          <w:spacing w:val="-10"/>
          <w:w w:val="110"/>
        </w:rPr>
        <w:t> </w:t>
      </w:r>
      <w:r>
        <w:rPr>
          <w:w w:val="110"/>
        </w:rPr>
        <w:t>17</w:t>
      </w:r>
      <w:r>
        <w:rPr>
          <w:spacing w:val="-10"/>
          <w:w w:val="110"/>
        </w:rPr>
        <w:t> </w:t>
      </w:r>
      <w:r>
        <w:rPr>
          <w:w w:val="110"/>
        </w:rPr>
        <w:t>de</w:t>
      </w:r>
      <w:r>
        <w:rPr>
          <w:spacing w:val="-10"/>
          <w:w w:val="110"/>
        </w:rPr>
        <w:t> </w:t>
      </w:r>
      <w:r>
        <w:rPr>
          <w:w w:val="110"/>
        </w:rPr>
        <w:t>septiembre,</w:t>
      </w:r>
      <w:r>
        <w:rPr>
          <w:spacing w:val="-10"/>
          <w:w w:val="110"/>
        </w:rPr>
        <w:t> </w:t>
      </w:r>
      <w:r>
        <w:rPr>
          <w:w w:val="110"/>
        </w:rPr>
        <w:t>en</w:t>
      </w:r>
      <w:r>
        <w:rPr>
          <w:spacing w:val="-10"/>
          <w:w w:val="110"/>
        </w:rPr>
        <w:t> </w:t>
      </w:r>
      <w:hyperlink r:id="rId172">
        <w:r>
          <w:rPr>
            <w:w w:val="110"/>
          </w:rPr>
          <w:t>&lt;http://goo.gl/x7ddWl&gt;</w:t>
        </w:r>
      </w:hyperlink>
      <w:r>
        <w:rPr>
          <w:w w:val="110"/>
        </w:rPr>
        <w:t> acceso 23 de noviembre de</w:t>
      </w:r>
      <w:r>
        <w:rPr>
          <w:spacing w:val="-16"/>
          <w:w w:val="110"/>
        </w:rPr>
        <w:t> </w:t>
      </w:r>
      <w:r>
        <w:rPr>
          <w:w w:val="110"/>
        </w:rPr>
        <w:t>2014.</w:t>
      </w:r>
    </w:p>
    <w:p>
      <w:pPr>
        <w:pStyle w:val="BodyText"/>
        <w:spacing w:line="252" w:lineRule="auto" w:before="29"/>
        <w:ind w:left="497" w:hanging="397"/>
      </w:pPr>
      <w:r>
        <w:rPr>
          <w:spacing w:val="-5"/>
          <w:w w:val="110"/>
        </w:rPr>
        <w:t>spanish.peopledaily.com.cn </w:t>
      </w:r>
      <w:r>
        <w:rPr>
          <w:spacing w:val="-4"/>
          <w:w w:val="110"/>
        </w:rPr>
        <w:t>2013a </w:t>
      </w:r>
      <w:r>
        <w:rPr>
          <w:spacing w:val="-3"/>
          <w:w w:val="110"/>
        </w:rPr>
        <w:t>“En sus </w:t>
      </w:r>
      <w:r>
        <w:rPr>
          <w:w w:val="110"/>
        </w:rPr>
        <w:t>12 </w:t>
      </w:r>
      <w:r>
        <w:rPr>
          <w:spacing w:val="-4"/>
          <w:w w:val="110"/>
        </w:rPr>
        <w:t>años, organización de Cooperación </w:t>
      </w:r>
      <w:r>
        <w:rPr>
          <w:w w:val="110"/>
        </w:rPr>
        <w:t>de </w:t>
      </w:r>
      <w:r>
        <w:rPr>
          <w:spacing w:val="-4"/>
          <w:w w:val="110"/>
        </w:rPr>
        <w:t>shanghai exhibe resultados fructíferos”, </w:t>
      </w:r>
      <w:r>
        <w:rPr>
          <w:w w:val="110"/>
        </w:rPr>
        <w:t>28 </w:t>
      </w:r>
      <w:r>
        <w:rPr>
          <w:spacing w:val="-4"/>
          <w:w w:val="110"/>
        </w:rPr>
        <w:t>de </w:t>
      </w:r>
      <w:r>
        <w:rPr>
          <w:spacing w:val="-4"/>
          <w:w w:val="105"/>
        </w:rPr>
        <w:t>noviembre, </w:t>
      </w:r>
      <w:r>
        <w:rPr>
          <w:w w:val="105"/>
        </w:rPr>
        <w:t>en </w:t>
      </w:r>
      <w:hyperlink r:id="rId173">
        <w:r>
          <w:rPr>
            <w:spacing w:val="-4"/>
            <w:w w:val="105"/>
          </w:rPr>
          <w:t>&lt;http://goo.gl/</w:t>
        </w:r>
      </w:hyperlink>
      <w:r>
        <w:rPr>
          <w:spacing w:val="-4"/>
          <w:w w:val="105"/>
        </w:rPr>
        <w:t>s</w:t>
      </w:r>
      <w:hyperlink r:id="rId173">
        <w:r>
          <w:rPr>
            <w:spacing w:val="-4"/>
            <w:w w:val="105"/>
          </w:rPr>
          <w:t>qsVzk&gt;</w:t>
        </w:r>
      </w:hyperlink>
      <w:r>
        <w:rPr>
          <w:spacing w:val="-4"/>
          <w:w w:val="105"/>
        </w:rPr>
        <w:t> acceso </w:t>
      </w:r>
      <w:r>
        <w:rPr>
          <w:w w:val="105"/>
        </w:rPr>
        <w:t>3 de </w:t>
      </w:r>
      <w:r>
        <w:rPr>
          <w:spacing w:val="-4"/>
          <w:w w:val="105"/>
        </w:rPr>
        <w:t>diciembre </w:t>
      </w:r>
      <w:r>
        <w:rPr>
          <w:w w:val="105"/>
        </w:rPr>
        <w:t>de  </w:t>
      </w:r>
      <w:r>
        <w:rPr>
          <w:spacing w:val="-4"/>
          <w:w w:val="105"/>
        </w:rPr>
        <w:t>2014.</w:t>
      </w:r>
    </w:p>
    <w:p>
      <w:pPr>
        <w:pStyle w:val="BodyText"/>
        <w:spacing w:line="252" w:lineRule="auto" w:before="28"/>
        <w:ind w:left="497" w:right="352" w:hanging="397"/>
      </w:pPr>
      <w:r>
        <w:rPr>
          <w:w w:val="110"/>
        </w:rPr>
        <w:t>spanish.peopleedaily.com.cn 2013b “renacer de la ruta de la seda marítima”, 10 de diciembre, en </w:t>
      </w:r>
      <w:hyperlink r:id="rId174">
        <w:r>
          <w:rPr>
            <w:w w:val="110"/>
          </w:rPr>
          <w:t>&lt;http://goo.gl/6d</w:t>
        </w:r>
      </w:hyperlink>
      <w:r>
        <w:rPr>
          <w:w w:val="110"/>
        </w:rPr>
        <w:t>r</w:t>
      </w:r>
      <w:hyperlink r:id="rId174">
        <w:r>
          <w:rPr>
            <w:w w:val="110"/>
          </w:rPr>
          <w:t>Wmh&gt;</w:t>
        </w:r>
      </w:hyperlink>
      <w:r>
        <w:rPr>
          <w:w w:val="110"/>
        </w:rPr>
        <w:t> acceso 23 de noviembre de 2014.</w:t>
      </w:r>
    </w:p>
    <w:p>
      <w:pPr>
        <w:pStyle w:val="BodyText"/>
        <w:spacing w:line="252" w:lineRule="auto" w:before="28"/>
        <w:ind w:left="497" w:right="114" w:hanging="397"/>
      </w:pPr>
      <w:r>
        <w:rPr>
          <w:w w:val="110"/>
        </w:rPr>
        <w:t>spanish.peopledaily.com.cn 2014a “China busca crear corredor económico con Pakistán”, 11 de abril, en </w:t>
      </w:r>
      <w:hyperlink r:id="rId175">
        <w:r>
          <w:rPr>
            <w:w w:val="110"/>
          </w:rPr>
          <w:t>&lt;http://goo.gl/</w:t>
        </w:r>
      </w:hyperlink>
      <w:r>
        <w:rPr>
          <w:w w:val="110"/>
        </w:rPr>
        <w:t>i</w:t>
      </w:r>
      <w:hyperlink r:id="rId175">
        <w:r>
          <w:rPr>
            <w:w w:val="110"/>
          </w:rPr>
          <w:t>jjopu&gt;</w:t>
        </w:r>
      </w:hyperlink>
      <w:r>
        <w:rPr>
          <w:w w:val="110"/>
        </w:rPr>
        <w:t> acceso 23 de noviembre de 2014.</w:t>
      </w:r>
    </w:p>
    <w:p>
      <w:pPr>
        <w:spacing w:after="0" w:line="252" w:lineRule="auto"/>
        <w:sectPr>
          <w:pgSz w:w="8790" w:h="12760"/>
          <w:pgMar w:header="697" w:footer="723" w:top="880" w:bottom="920" w:left="920" w:right="1200"/>
        </w:sectPr>
      </w:pPr>
    </w:p>
    <w:p>
      <w:pPr>
        <w:pStyle w:val="BodyText"/>
        <w:spacing w:before="7"/>
        <w:rPr>
          <w:sz w:val="28"/>
        </w:rPr>
      </w:pPr>
    </w:p>
    <w:p>
      <w:pPr>
        <w:pStyle w:val="BodyText"/>
        <w:spacing w:line="252" w:lineRule="auto" w:before="73"/>
        <w:ind w:left="727" w:hanging="397"/>
      </w:pPr>
      <w:r>
        <w:rPr>
          <w:w w:val="110"/>
        </w:rPr>
        <w:t>spanish.peopledaily.com.cn 2014b “xi propone construir corredor económico China-Mongolia-rusia”, 12 de septiembre, en &lt;http:// goo.gl/KKsVnd&gt; acceso 24 de diciembre de  2014.</w:t>
      </w:r>
    </w:p>
    <w:p>
      <w:pPr>
        <w:pStyle w:val="BodyText"/>
        <w:spacing w:line="252" w:lineRule="auto" w:before="28"/>
        <w:ind w:left="727" w:right="194" w:hanging="397"/>
      </w:pPr>
      <w:r>
        <w:rPr>
          <w:w w:val="110"/>
        </w:rPr>
        <w:t>tharoor, shashi 2014 “El resurgimiento de la ruta de la seda de China”, 14 de octubre, en </w:t>
      </w:r>
      <w:hyperlink r:id="rId176">
        <w:r>
          <w:rPr>
            <w:w w:val="110"/>
          </w:rPr>
          <w:t>&lt;http://goo.gl/JiakF9&gt;</w:t>
        </w:r>
      </w:hyperlink>
      <w:r>
        <w:rPr>
          <w:w w:val="110"/>
        </w:rPr>
        <w:t> acceso 23 de noviembre de 2014.</w:t>
      </w:r>
    </w:p>
    <w:p>
      <w:pPr>
        <w:pStyle w:val="BodyText"/>
        <w:spacing w:line="252" w:lineRule="auto" w:before="28"/>
        <w:ind w:left="727" w:right="165" w:hanging="397"/>
      </w:pPr>
      <w:r>
        <w:rPr>
          <w:w w:val="105"/>
        </w:rPr>
        <w:t>xinhua 2014 “Enfoque de China:  </w:t>
      </w:r>
      <w:r>
        <w:rPr>
          <w:spacing w:val="-3"/>
          <w:w w:val="105"/>
        </w:rPr>
        <w:t>teoría  </w:t>
      </w:r>
      <w:r>
        <w:rPr>
          <w:w w:val="105"/>
        </w:rPr>
        <w:t>de  ‘nueva  condición  normal’  de xi”, 10 de noviembre de 2014, en </w:t>
      </w:r>
      <w:r>
        <w:rPr>
          <w:b/>
          <w:i/>
          <w:w w:val="105"/>
        </w:rPr>
        <w:t>&lt;</w:t>
      </w:r>
      <w:r>
        <w:rPr>
          <w:w w:val="105"/>
        </w:rPr>
        <w:t>spanish.peopledaily.com. cn/n/2014/1110/c31621-8806970.html&gt; acceso 12 de noviembre de</w:t>
      </w:r>
      <w:r>
        <w:rPr>
          <w:spacing w:val="16"/>
          <w:w w:val="105"/>
        </w:rPr>
        <w:t> </w:t>
      </w:r>
      <w:r>
        <w:rPr>
          <w:w w:val="105"/>
        </w:rPr>
        <w:t>2014.</w:t>
      </w:r>
    </w:p>
    <w:p>
      <w:pPr>
        <w:pStyle w:val="BodyText"/>
        <w:spacing w:line="252" w:lineRule="auto" w:before="28"/>
        <w:ind w:left="727" w:right="196" w:hanging="397"/>
        <w:jc w:val="both"/>
      </w:pPr>
      <w:r>
        <w:rPr>
          <w:w w:val="110"/>
        </w:rPr>
        <w:t>world.kbs.co.kr 2014 “suscripción del </w:t>
      </w:r>
      <w:r>
        <w:rPr>
          <w:w w:val="155"/>
        </w:rPr>
        <w:t>tlC </w:t>
      </w:r>
      <w:r>
        <w:rPr>
          <w:w w:val="110"/>
        </w:rPr>
        <w:t>Corea del sur-China”, 16 de</w:t>
      </w:r>
      <w:r>
        <w:rPr>
          <w:spacing w:val="-6"/>
          <w:w w:val="110"/>
        </w:rPr>
        <w:t> </w:t>
      </w:r>
      <w:r>
        <w:rPr>
          <w:w w:val="110"/>
        </w:rPr>
        <w:t>noviembre,</w:t>
      </w:r>
      <w:r>
        <w:rPr>
          <w:spacing w:val="-6"/>
          <w:w w:val="110"/>
        </w:rPr>
        <w:t> </w:t>
      </w:r>
      <w:r>
        <w:rPr>
          <w:w w:val="110"/>
        </w:rPr>
        <w:t>en</w:t>
      </w:r>
      <w:r>
        <w:rPr>
          <w:spacing w:val="-6"/>
          <w:w w:val="110"/>
        </w:rPr>
        <w:t> </w:t>
      </w:r>
      <w:hyperlink r:id="rId177">
        <w:r>
          <w:rPr>
            <w:w w:val="110"/>
          </w:rPr>
          <w:t>&lt;http://goo.gl/MxuE8J&gt;</w:t>
        </w:r>
      </w:hyperlink>
      <w:r>
        <w:rPr>
          <w:spacing w:val="-6"/>
          <w:w w:val="110"/>
        </w:rPr>
        <w:t> </w:t>
      </w:r>
      <w:r>
        <w:rPr>
          <w:w w:val="110"/>
        </w:rPr>
        <w:t>acceso</w:t>
      </w:r>
      <w:r>
        <w:rPr>
          <w:spacing w:val="-6"/>
          <w:w w:val="110"/>
        </w:rPr>
        <w:t> </w:t>
      </w:r>
      <w:r>
        <w:rPr>
          <w:w w:val="110"/>
        </w:rPr>
        <w:t>3</w:t>
      </w:r>
      <w:r>
        <w:rPr>
          <w:spacing w:val="-6"/>
          <w:w w:val="110"/>
        </w:rPr>
        <w:t> </w:t>
      </w:r>
      <w:r>
        <w:rPr>
          <w:w w:val="110"/>
        </w:rPr>
        <w:t>de</w:t>
      </w:r>
      <w:r>
        <w:rPr>
          <w:spacing w:val="-6"/>
          <w:w w:val="110"/>
        </w:rPr>
        <w:t> </w:t>
      </w:r>
      <w:r>
        <w:rPr>
          <w:w w:val="110"/>
        </w:rPr>
        <w:t>diciembre de</w:t>
      </w:r>
      <w:r>
        <w:rPr>
          <w:spacing w:val="-19"/>
          <w:w w:val="110"/>
        </w:rPr>
        <w:t> </w:t>
      </w:r>
      <w:r>
        <w:rPr>
          <w:w w:val="110"/>
        </w:rPr>
        <w:t>2014.</w:t>
      </w:r>
    </w:p>
    <w:p>
      <w:pPr>
        <w:pStyle w:val="BodyText"/>
        <w:spacing w:line="252" w:lineRule="auto" w:before="28"/>
        <w:ind w:left="727" w:right="528" w:hanging="397"/>
      </w:pPr>
      <w:hyperlink r:id="rId142">
        <w:r>
          <w:rPr>
            <w:w w:val="105"/>
          </w:rPr>
          <w:t>www.prensa.com</w:t>
        </w:r>
      </w:hyperlink>
      <w:r>
        <w:rPr>
          <w:w w:val="105"/>
        </w:rPr>
        <w:t> 2014 “China e india fortalecerán sus relaciones comerciales”, 19 de marzo, en </w:t>
      </w:r>
      <w:hyperlink r:id="rId178">
        <w:r>
          <w:rPr>
            <w:w w:val="105"/>
          </w:rPr>
          <w:t>&lt;http://goo.gl/jQyhc</w:t>
        </w:r>
      </w:hyperlink>
      <w:r>
        <w:rPr>
          <w:w w:val="105"/>
        </w:rPr>
        <w:t>b&gt; acceso 6  de  diciembre</w:t>
      </w:r>
      <w:r>
        <w:rPr>
          <w:spacing w:val="26"/>
          <w:w w:val="105"/>
        </w:rPr>
        <w:t> </w:t>
      </w:r>
      <w:r>
        <w:rPr>
          <w:w w:val="105"/>
        </w:rPr>
        <w:t>2015.</w:t>
      </w:r>
    </w:p>
    <w:p>
      <w:pPr>
        <w:pStyle w:val="BodyText"/>
        <w:spacing w:line="252" w:lineRule="auto" w:before="28"/>
        <w:ind w:left="727" w:right="106" w:hanging="397"/>
        <w:jc w:val="both"/>
      </w:pPr>
      <w:r>
        <w:rPr>
          <w:w w:val="115"/>
        </w:rPr>
        <w:t>Zibechi,</w:t>
      </w:r>
      <w:r>
        <w:rPr>
          <w:spacing w:val="12"/>
        </w:rPr>
        <w:t> </w:t>
      </w:r>
      <w:r>
        <w:rPr>
          <w:w w:val="182"/>
        </w:rPr>
        <w:t>r</w:t>
      </w:r>
      <w:r>
        <w:rPr>
          <w:w w:val="112"/>
        </w:rPr>
        <w:t>aúl</w:t>
      </w:r>
      <w:r>
        <w:rPr>
          <w:spacing w:val="12"/>
        </w:rPr>
        <w:t> </w:t>
      </w:r>
      <w:r>
        <w:rPr>
          <w:w w:val="102"/>
        </w:rPr>
        <w:t>2014</w:t>
      </w:r>
      <w:r>
        <w:rPr>
          <w:spacing w:val="12"/>
        </w:rPr>
        <w:t> </w:t>
      </w:r>
      <w:r>
        <w:rPr>
          <w:w w:val="115"/>
        </w:rPr>
        <w:t>“China</w:t>
      </w:r>
      <w:r>
        <w:rPr>
          <w:spacing w:val="12"/>
        </w:rPr>
        <w:t> </w:t>
      </w:r>
      <w:r>
        <w:rPr>
          <w:w w:val="105"/>
        </w:rPr>
        <w:t>y</w:t>
      </w:r>
      <w:r>
        <w:rPr>
          <w:spacing w:val="12"/>
        </w:rPr>
        <w:t> </w:t>
      </w:r>
      <w:r>
        <w:rPr>
          <w:w w:val="182"/>
        </w:rPr>
        <w:t>r</w:t>
      </w:r>
      <w:r>
        <w:rPr>
          <w:w w:val="110"/>
        </w:rPr>
        <w:t>usia:</w:t>
      </w:r>
      <w:r>
        <w:rPr>
          <w:spacing w:val="12"/>
        </w:rPr>
        <w:t> </w:t>
      </w:r>
      <w:r>
        <w:rPr>
          <w:w w:val="243"/>
        </w:rPr>
        <w:t>l</w:t>
      </w:r>
      <w:r>
        <w:rPr>
          <w:w w:val="109"/>
        </w:rPr>
        <w:t>as</w:t>
      </w:r>
      <w:r>
        <w:rPr>
          <w:spacing w:val="12"/>
        </w:rPr>
        <w:t> </w:t>
      </w:r>
      <w:r>
        <w:rPr>
          <w:w w:val="110"/>
        </w:rPr>
        <w:t>locomotoras</w:t>
      </w:r>
      <w:r>
        <w:rPr>
          <w:spacing w:val="12"/>
        </w:rPr>
        <w:t> </w:t>
      </w:r>
      <w:r>
        <w:rPr>
          <w:w w:val="107"/>
        </w:rPr>
        <w:t>del</w:t>
      </w:r>
      <w:r>
        <w:rPr>
          <w:spacing w:val="12"/>
        </w:rPr>
        <w:t> </w:t>
      </w:r>
      <w:r>
        <w:rPr>
          <w:w w:val="108"/>
        </w:rPr>
        <w:t>nuevo</w:t>
      </w:r>
      <w:r>
        <w:rPr>
          <w:spacing w:val="12"/>
        </w:rPr>
        <w:t> </w:t>
      </w:r>
      <w:r>
        <w:rPr>
          <w:w w:val="108"/>
        </w:rPr>
        <w:t>orden </w:t>
      </w:r>
      <w:r>
        <w:rPr>
          <w:w w:val="110"/>
        </w:rPr>
        <w:t>mundial”, en </w:t>
      </w:r>
      <w:r>
        <w:rPr>
          <w:i/>
          <w:w w:val="110"/>
        </w:rPr>
        <w:t>Alainet</w:t>
      </w:r>
      <w:r>
        <w:rPr>
          <w:w w:val="110"/>
        </w:rPr>
        <w:t>, 3 de diciembre, en</w:t>
      </w:r>
      <w:r>
        <w:rPr>
          <w:spacing w:val="-23"/>
          <w:w w:val="110"/>
        </w:rPr>
        <w:t> </w:t>
      </w:r>
      <w:hyperlink r:id="rId179">
        <w:r>
          <w:rPr>
            <w:w w:val="110"/>
          </w:rPr>
          <w:t>&lt;http://goo.gl/auFFW1&gt;,</w:t>
        </w:r>
      </w:hyperlink>
      <w:r>
        <w:rPr>
          <w:w w:val="110"/>
        </w:rPr>
        <w:t> acceso 2 de enero de</w:t>
      </w:r>
      <w:r>
        <w:rPr>
          <w:spacing w:val="-9"/>
          <w:w w:val="110"/>
        </w:rPr>
        <w:t> </w:t>
      </w:r>
      <w:r>
        <w:rPr>
          <w:w w:val="110"/>
        </w:rPr>
        <w:t>2015.</w:t>
      </w:r>
    </w:p>
    <w:p>
      <w:pPr>
        <w:pStyle w:val="BodyText"/>
        <w:spacing w:line="252" w:lineRule="auto" w:before="28"/>
        <w:ind w:left="727" w:right="328" w:hanging="397"/>
      </w:pPr>
      <w:r>
        <w:rPr>
          <w:w w:val="149"/>
        </w:rPr>
        <w:t>s</w:t>
      </w:r>
      <w:r>
        <w:rPr>
          <w:w w:val="113"/>
        </w:rPr>
        <w:t>aiz</w:t>
      </w:r>
      <w:r>
        <w:rPr/>
        <w:t> </w:t>
      </w:r>
      <w:r>
        <w:rPr>
          <w:w w:val="109"/>
        </w:rPr>
        <w:t>Álvarez,</w:t>
      </w:r>
      <w:r>
        <w:rPr/>
        <w:t> </w:t>
      </w:r>
      <w:r>
        <w:rPr>
          <w:w w:val="115"/>
        </w:rPr>
        <w:t>José</w:t>
      </w:r>
      <w:r>
        <w:rPr/>
        <w:t> </w:t>
      </w:r>
      <w:r>
        <w:rPr>
          <w:w w:val="113"/>
        </w:rPr>
        <w:t>Manuel</w:t>
      </w:r>
      <w:r>
        <w:rPr/>
        <w:t> </w:t>
      </w:r>
      <w:r>
        <w:rPr>
          <w:w w:val="102"/>
        </w:rPr>
        <w:t>2009</w:t>
      </w:r>
      <w:r>
        <w:rPr/>
        <w:t> </w:t>
      </w:r>
      <w:r>
        <w:rPr>
          <w:w w:val="115"/>
        </w:rPr>
        <w:t>“</w:t>
      </w:r>
      <w:r>
        <w:rPr>
          <w:w w:val="243"/>
        </w:rPr>
        <w:t>l</w:t>
      </w:r>
      <w:r>
        <w:rPr>
          <w:w w:val="112"/>
        </w:rPr>
        <w:t>a</w:t>
      </w:r>
      <w:r>
        <w:rPr/>
        <w:t> </w:t>
      </w:r>
      <w:r>
        <w:rPr>
          <w:w w:val="149"/>
        </w:rPr>
        <w:t>o</w:t>
      </w:r>
      <w:r>
        <w:rPr>
          <w:w w:val="111"/>
        </w:rPr>
        <w:t>rganización</w:t>
      </w:r>
      <w:r>
        <w:rPr/>
        <w:t> </w:t>
      </w:r>
      <w:r>
        <w:rPr>
          <w:w w:val="107"/>
        </w:rPr>
        <w:t>de</w:t>
      </w:r>
      <w:r>
        <w:rPr/>
        <w:t> </w:t>
      </w:r>
      <w:r>
        <w:rPr>
          <w:w w:val="111"/>
        </w:rPr>
        <w:t>Cooperación </w:t>
      </w:r>
      <w:r>
        <w:rPr>
          <w:w w:val="115"/>
        </w:rPr>
        <w:t>de shanghai (oCs): Claves para la creación de un futuro líder</w:t>
      </w:r>
    </w:p>
    <w:p>
      <w:pPr>
        <w:spacing w:line="252" w:lineRule="auto" w:before="0"/>
        <w:ind w:left="727" w:right="0" w:firstLine="0"/>
        <w:jc w:val="left"/>
        <w:rPr>
          <w:sz w:val="19"/>
        </w:rPr>
      </w:pPr>
      <w:r>
        <w:rPr>
          <w:w w:val="110"/>
          <w:sz w:val="19"/>
        </w:rPr>
        <w:t>mundial”, en </w:t>
      </w:r>
      <w:r>
        <w:rPr>
          <w:i/>
          <w:w w:val="110"/>
          <w:sz w:val="19"/>
        </w:rPr>
        <w:t>Revista de Economía Mundial</w:t>
      </w:r>
      <w:r>
        <w:rPr>
          <w:w w:val="110"/>
          <w:sz w:val="19"/>
        </w:rPr>
        <w:t>, Nº 23, 2009, pp. 307- 326, España, sociedad de Economía Mundial, en </w:t>
      </w:r>
      <w:hyperlink r:id="rId108">
        <w:r>
          <w:rPr>
            <w:w w:val="110"/>
            <w:sz w:val="19"/>
          </w:rPr>
          <w:t>&lt;http://goo.gl/</w:t>
        </w:r>
      </w:hyperlink>
      <w:r>
        <w:rPr>
          <w:w w:val="110"/>
          <w:sz w:val="19"/>
        </w:rPr>
        <w:t> cqxniJ&gt;.</w:t>
      </w:r>
    </w:p>
    <w:p>
      <w:pPr>
        <w:spacing w:after="0" w:line="252" w:lineRule="auto"/>
        <w:jc w:val="left"/>
        <w:rPr>
          <w:sz w:val="19"/>
        </w:rPr>
        <w:sectPr>
          <w:pgSz w:w="8790" w:h="12760"/>
          <w:pgMar w:header="695" w:footer="725" w:top="880" w:bottom="920" w:left="1200" w:right="920"/>
        </w:sectPr>
      </w:pPr>
    </w:p>
    <w:p>
      <w:pPr>
        <w:pStyle w:val="BodyText"/>
        <w:rPr>
          <w:sz w:val="20"/>
        </w:rPr>
      </w:pPr>
    </w:p>
    <w:p>
      <w:pPr>
        <w:pStyle w:val="BodyText"/>
        <w:rPr>
          <w:sz w:val="20"/>
        </w:rPr>
      </w:pPr>
    </w:p>
    <w:p>
      <w:pPr>
        <w:pStyle w:val="BodyText"/>
        <w:spacing w:before="10"/>
        <w:rPr>
          <w:sz w:val="27"/>
        </w:rPr>
      </w:pPr>
    </w:p>
    <w:p>
      <w:pPr>
        <w:pStyle w:val="Heading3"/>
        <w:ind w:left="1041" w:right="1249"/>
      </w:pPr>
      <w:r>
        <w:rPr/>
        <w:t>Santiago Pérez Benítez*</w:t>
      </w:r>
    </w:p>
    <w:p>
      <w:pPr>
        <w:pStyle w:val="BodyText"/>
        <w:spacing w:before="9"/>
        <w:rPr>
          <w:sz w:val="20"/>
        </w:rPr>
      </w:pPr>
    </w:p>
    <w:p>
      <w:pPr>
        <w:spacing w:line="340" w:lineRule="exact" w:before="0"/>
        <w:ind w:left="1497" w:right="412" w:hanging="1283"/>
        <w:jc w:val="left"/>
        <w:rPr>
          <w:rFonts w:ascii="Times New Roman"/>
          <w:b/>
          <w:sz w:val="30"/>
        </w:rPr>
      </w:pPr>
      <w:r>
        <w:rPr>
          <w:rFonts w:ascii="Times New Roman"/>
          <w:b/>
          <w:spacing w:val="4"/>
          <w:w w:val="140"/>
          <w:sz w:val="30"/>
        </w:rPr>
        <w:t>las</w:t>
      </w:r>
      <w:r>
        <w:rPr>
          <w:rFonts w:ascii="Times New Roman"/>
          <w:b/>
          <w:spacing w:val="-61"/>
          <w:w w:val="140"/>
          <w:sz w:val="30"/>
        </w:rPr>
        <w:t> </w:t>
      </w:r>
      <w:r>
        <w:rPr>
          <w:rFonts w:ascii="Times New Roman"/>
          <w:b/>
          <w:spacing w:val="3"/>
          <w:w w:val="140"/>
          <w:sz w:val="30"/>
        </w:rPr>
        <w:t>relaciones</w:t>
      </w:r>
      <w:r>
        <w:rPr>
          <w:rFonts w:ascii="Times New Roman"/>
          <w:b/>
          <w:spacing w:val="-61"/>
          <w:w w:val="140"/>
          <w:sz w:val="30"/>
        </w:rPr>
        <w:t> </w:t>
      </w:r>
      <w:r>
        <w:rPr>
          <w:rFonts w:ascii="Times New Roman"/>
          <w:b/>
          <w:w w:val="140"/>
          <w:sz w:val="30"/>
        </w:rPr>
        <w:t>estados</w:t>
      </w:r>
      <w:r>
        <w:rPr>
          <w:rFonts w:ascii="Times New Roman"/>
          <w:b/>
          <w:spacing w:val="-61"/>
          <w:w w:val="140"/>
          <w:sz w:val="30"/>
        </w:rPr>
        <w:t> </w:t>
      </w:r>
      <w:r>
        <w:rPr>
          <w:rFonts w:ascii="Times New Roman"/>
          <w:b/>
          <w:spacing w:val="3"/>
          <w:w w:val="140"/>
          <w:sz w:val="30"/>
        </w:rPr>
        <w:t>unidos-rusia </w:t>
      </w:r>
      <w:r>
        <w:rPr>
          <w:rFonts w:ascii="Times New Roman"/>
          <w:b/>
          <w:w w:val="140"/>
          <w:sz w:val="30"/>
        </w:rPr>
        <w:t>y</w:t>
      </w:r>
      <w:r>
        <w:rPr>
          <w:rFonts w:ascii="Times New Roman"/>
          <w:b/>
          <w:spacing w:val="-63"/>
          <w:w w:val="140"/>
          <w:sz w:val="30"/>
        </w:rPr>
        <w:t> </w:t>
      </w:r>
      <w:r>
        <w:rPr>
          <w:rFonts w:ascii="Times New Roman"/>
          <w:b/>
          <w:spacing w:val="5"/>
          <w:w w:val="140"/>
          <w:sz w:val="30"/>
        </w:rPr>
        <w:t>la</w:t>
      </w:r>
      <w:r>
        <w:rPr>
          <w:rFonts w:ascii="Times New Roman"/>
          <w:b/>
          <w:spacing w:val="-63"/>
          <w:w w:val="140"/>
          <w:sz w:val="30"/>
        </w:rPr>
        <w:t> </w:t>
      </w:r>
      <w:r>
        <w:rPr>
          <w:rFonts w:ascii="Times New Roman"/>
          <w:b/>
          <w:spacing w:val="2"/>
          <w:w w:val="140"/>
          <w:sz w:val="30"/>
        </w:rPr>
        <w:t>crisis</w:t>
      </w:r>
      <w:r>
        <w:rPr>
          <w:rFonts w:ascii="Times New Roman"/>
          <w:b/>
          <w:spacing w:val="-63"/>
          <w:w w:val="140"/>
          <w:sz w:val="30"/>
        </w:rPr>
        <w:t> </w:t>
      </w:r>
      <w:r>
        <w:rPr>
          <w:rFonts w:ascii="Times New Roman"/>
          <w:b/>
          <w:w w:val="140"/>
          <w:sz w:val="30"/>
        </w:rPr>
        <w:t>en</w:t>
      </w:r>
      <w:r>
        <w:rPr>
          <w:rFonts w:ascii="Times New Roman"/>
          <w:b/>
          <w:spacing w:val="-63"/>
          <w:w w:val="140"/>
          <w:sz w:val="30"/>
        </w:rPr>
        <w:t> </w:t>
      </w:r>
      <w:r>
        <w:rPr>
          <w:rFonts w:ascii="Times New Roman"/>
          <w:b/>
          <w:spacing w:val="3"/>
          <w:w w:val="140"/>
          <w:sz w:val="30"/>
        </w:rPr>
        <w:t>ucrania</w:t>
      </w: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spacing w:before="7"/>
        <w:rPr>
          <w:rFonts w:ascii="Times New Roman"/>
          <w:b/>
          <w:sz w:val="39"/>
        </w:rPr>
      </w:pPr>
    </w:p>
    <w:p>
      <w:pPr>
        <w:pStyle w:val="Heading6"/>
        <w:ind w:left="121"/>
      </w:pPr>
      <w:r>
        <w:rPr>
          <w:w w:val="140"/>
        </w:rPr>
        <w:t>introducción</w:t>
      </w:r>
    </w:p>
    <w:p>
      <w:pPr>
        <w:pStyle w:val="BodyText"/>
        <w:spacing w:line="252" w:lineRule="auto" w:before="10"/>
        <w:ind w:left="120" w:right="328"/>
        <w:jc w:val="both"/>
      </w:pPr>
      <w:r>
        <w:rPr>
          <w:w w:val="243"/>
        </w:rPr>
        <w:t>l</w:t>
      </w:r>
      <w:r>
        <w:rPr>
          <w:w w:val="108"/>
        </w:rPr>
        <w:t>os</w:t>
      </w:r>
      <w:r>
        <w:rPr/>
        <w:t> </w:t>
      </w:r>
      <w:r>
        <w:rPr>
          <w:spacing w:val="-20"/>
        </w:rPr>
        <w:t> </w:t>
      </w:r>
      <w:r>
        <w:rPr>
          <w:w w:val="110"/>
        </w:rPr>
        <w:t>vínculos</w:t>
      </w:r>
      <w:r>
        <w:rPr/>
        <w:t> </w:t>
      </w:r>
      <w:r>
        <w:rPr>
          <w:spacing w:val="-20"/>
        </w:rPr>
        <w:t> </w:t>
      </w:r>
      <w:r>
        <w:rPr>
          <w:w w:val="106"/>
        </w:rPr>
        <w:t>entre</w:t>
      </w:r>
      <w:r>
        <w:rPr/>
        <w:t> </w:t>
      </w:r>
      <w:r>
        <w:rPr>
          <w:spacing w:val="-20"/>
        </w:rPr>
        <w:t> </w:t>
      </w:r>
      <w:r>
        <w:rPr>
          <w:spacing w:val="-11"/>
          <w:w w:val="110"/>
        </w:rPr>
        <w:t>W</w:t>
      </w:r>
      <w:r>
        <w:rPr>
          <w:w w:val="110"/>
        </w:rPr>
        <w:t>ashington</w:t>
      </w:r>
      <w:r>
        <w:rPr/>
        <w:t> </w:t>
      </w:r>
      <w:r>
        <w:rPr>
          <w:spacing w:val="-20"/>
        </w:rPr>
        <w:t> </w:t>
      </w:r>
      <w:r>
        <w:rPr>
          <w:w w:val="105"/>
        </w:rPr>
        <w:t>y</w:t>
      </w:r>
      <w:r>
        <w:rPr/>
        <w:t> </w:t>
      </w:r>
      <w:r>
        <w:rPr>
          <w:spacing w:val="-20"/>
        </w:rPr>
        <w:t> </w:t>
      </w:r>
      <w:r>
        <w:rPr>
          <w:w w:val="114"/>
        </w:rPr>
        <w:t>Moscú</w:t>
      </w:r>
      <w:r>
        <w:rPr/>
        <w:t> </w:t>
      </w:r>
      <w:r>
        <w:rPr>
          <w:spacing w:val="-20"/>
        </w:rPr>
        <w:t> </w:t>
      </w:r>
      <w:r>
        <w:rPr>
          <w:w w:val="112"/>
        </w:rPr>
        <w:t>han</w:t>
      </w:r>
      <w:r>
        <w:rPr/>
        <w:t> </w:t>
      </w:r>
      <w:r>
        <w:rPr>
          <w:spacing w:val="-20"/>
        </w:rPr>
        <w:t> </w:t>
      </w:r>
      <w:r>
        <w:rPr>
          <w:w w:val="109"/>
        </w:rPr>
        <w:t>sido</w:t>
      </w:r>
      <w:r>
        <w:rPr/>
        <w:t> </w:t>
      </w:r>
      <w:r>
        <w:rPr>
          <w:spacing w:val="-20"/>
        </w:rPr>
        <w:t> </w:t>
      </w:r>
      <w:r>
        <w:rPr>
          <w:w w:val="109"/>
        </w:rPr>
        <w:t>relaciones</w:t>
      </w:r>
      <w:r>
        <w:rPr/>
        <w:t> </w:t>
      </w:r>
      <w:r>
        <w:rPr>
          <w:spacing w:val="-20"/>
        </w:rPr>
        <w:t> </w:t>
      </w:r>
      <w:r>
        <w:rPr>
          <w:w w:val="110"/>
        </w:rPr>
        <w:t>comple</w:t>
      </w:r>
      <w:r>
        <w:rPr>
          <w:w w:val="102"/>
        </w:rPr>
        <w:t>- </w:t>
      </w:r>
      <w:r>
        <w:rPr>
          <w:w w:val="110"/>
        </w:rPr>
        <w:t>jas, con la existencia de numerosas variables de carácter interno, bi- lateral, de políticas regionales y globales por parte de los actores. En ambas capitales han existido y se mantienen, con mayor o menor </w:t>
      </w:r>
      <w:r>
        <w:rPr>
          <w:spacing w:val="-3"/>
          <w:w w:val="110"/>
        </w:rPr>
        <w:t>fuer- </w:t>
      </w:r>
      <w:r>
        <w:rPr>
          <w:w w:val="110"/>
        </w:rPr>
        <w:t>za, estereotipos ideológicos de tiempos de la Guerra </w:t>
      </w:r>
      <w:r>
        <w:rPr>
          <w:spacing w:val="34"/>
          <w:w w:val="110"/>
        </w:rPr>
        <w:t> </w:t>
      </w:r>
      <w:r>
        <w:rPr>
          <w:w w:val="110"/>
        </w:rPr>
        <w:t>Fría.</w:t>
      </w:r>
    </w:p>
    <w:p>
      <w:pPr>
        <w:pStyle w:val="BodyText"/>
        <w:spacing w:line="252" w:lineRule="auto"/>
        <w:ind w:left="120" w:right="327" w:firstLine="396"/>
        <w:jc w:val="both"/>
      </w:pPr>
      <w:r>
        <w:rPr>
          <w:w w:val="243"/>
        </w:rPr>
        <w:t>l</w:t>
      </w:r>
      <w:r>
        <w:rPr>
          <w:w w:val="109"/>
        </w:rPr>
        <w:t>as</w:t>
      </w:r>
      <w:r>
        <w:rPr/>
        <w:t> </w:t>
      </w:r>
      <w:r>
        <w:rPr>
          <w:spacing w:val="-17"/>
        </w:rPr>
        <w:t> </w:t>
      </w:r>
      <w:r>
        <w:rPr>
          <w:w w:val="108"/>
        </w:rPr>
        <w:t>sucesivas</w:t>
      </w:r>
      <w:r>
        <w:rPr/>
        <w:t> </w:t>
      </w:r>
      <w:r>
        <w:rPr>
          <w:spacing w:val="-17"/>
        </w:rPr>
        <w:t> </w:t>
      </w:r>
      <w:r>
        <w:rPr>
          <w:w w:val="110"/>
        </w:rPr>
        <w:t>administraciones</w:t>
      </w:r>
      <w:r>
        <w:rPr/>
        <w:t> </w:t>
      </w:r>
      <w:r>
        <w:rPr>
          <w:spacing w:val="-17"/>
        </w:rPr>
        <w:t> </w:t>
      </w:r>
      <w:r>
        <w:rPr>
          <w:w w:val="110"/>
        </w:rPr>
        <w:t>norteamericanas</w:t>
      </w:r>
      <w:r>
        <w:rPr/>
        <w:t> </w:t>
      </w:r>
      <w:r>
        <w:rPr>
          <w:spacing w:val="-17"/>
        </w:rPr>
        <w:t> </w:t>
      </w:r>
      <w:r>
        <w:rPr>
          <w:w w:val="106"/>
        </w:rPr>
        <w:t>desde</w:t>
      </w:r>
      <w:r>
        <w:rPr/>
        <w:t> </w:t>
      </w:r>
      <w:r>
        <w:rPr>
          <w:spacing w:val="-17"/>
        </w:rPr>
        <w:t> </w:t>
      </w:r>
      <w:r>
        <w:rPr>
          <w:w w:val="107"/>
        </w:rPr>
        <w:t>el</w:t>
      </w:r>
      <w:r>
        <w:rPr/>
        <w:t> </w:t>
      </w:r>
      <w:r>
        <w:rPr>
          <w:spacing w:val="-17"/>
        </w:rPr>
        <w:t> </w:t>
      </w:r>
      <w:r>
        <w:rPr>
          <w:w w:val="107"/>
        </w:rPr>
        <w:t>fin</w:t>
      </w:r>
      <w:r>
        <w:rPr/>
        <w:t> </w:t>
      </w:r>
      <w:r>
        <w:rPr>
          <w:spacing w:val="-17"/>
        </w:rPr>
        <w:t> </w:t>
      </w:r>
      <w:r>
        <w:rPr>
          <w:w w:val="107"/>
        </w:rPr>
        <w:t>de </w:t>
      </w:r>
      <w:r>
        <w:rPr>
          <w:w w:val="110"/>
        </w:rPr>
        <w:t>la Guerra Fría han proyectado una estrategia hacia rusia que partió  de la premisa de que era el país vencido en la Guerra Fría (Cohen, 2011)</w:t>
      </w:r>
      <w:r>
        <w:rPr>
          <w:w w:val="110"/>
          <w:position w:val="7"/>
          <w:sz w:val="11"/>
        </w:rPr>
        <w:t>1  </w:t>
      </w:r>
      <w:r>
        <w:rPr>
          <w:w w:val="110"/>
        </w:rPr>
        <w:t>y tejió una política que tuvo un marcado carácter bipartidis-  ta, estratégico y de largo plazo, consistente en apuntalar el capitalis- mo ruso y su dependencia, tratando de evitar una recuperación, al tiempo que buscaba debilitarla lo más posible. se buscó trabajar la sociedad rusa desde dentro para mantener la hegemonía   </w:t>
      </w:r>
      <w:r>
        <w:rPr>
          <w:spacing w:val="38"/>
          <w:w w:val="110"/>
        </w:rPr>
        <w:t> </w:t>
      </w:r>
      <w:r>
        <w:rPr>
          <w:w w:val="110"/>
        </w:rPr>
        <w:t>ideológica</w:t>
      </w:r>
    </w:p>
    <w:p>
      <w:pPr>
        <w:pStyle w:val="BodyText"/>
        <w:spacing w:before="7"/>
        <w:rPr>
          <w:sz w:val="13"/>
        </w:rPr>
      </w:pPr>
    </w:p>
    <w:p>
      <w:pPr>
        <w:spacing w:line="242" w:lineRule="auto" w:before="74"/>
        <w:ind w:left="290" w:right="321" w:hanging="171"/>
        <w:jc w:val="left"/>
        <w:rPr>
          <w:sz w:val="16"/>
        </w:rPr>
      </w:pPr>
      <w:r>
        <w:rPr>
          <w:w w:val="117"/>
          <w:sz w:val="16"/>
        </w:rPr>
        <w:t>*</w:t>
      </w:r>
      <w:r>
        <w:rPr>
          <w:sz w:val="16"/>
        </w:rPr>
        <w:t>   </w:t>
      </w:r>
      <w:r>
        <w:rPr>
          <w:spacing w:val="-2"/>
          <w:w w:val="140"/>
          <w:sz w:val="16"/>
        </w:rPr>
        <w:t>i</w:t>
      </w:r>
      <w:r>
        <w:rPr>
          <w:spacing w:val="-2"/>
          <w:w w:val="106"/>
          <w:sz w:val="16"/>
        </w:rPr>
        <w:t>nvestigador</w:t>
      </w:r>
      <w:r>
        <w:rPr>
          <w:w w:val="106"/>
          <w:sz w:val="16"/>
        </w:rPr>
        <w:t>a</w:t>
      </w:r>
      <w:r>
        <w:rPr>
          <w:sz w:val="16"/>
        </w:rPr>
        <w:t> </w:t>
      </w:r>
      <w:r>
        <w:rPr>
          <w:spacing w:val="-2"/>
          <w:w w:val="105"/>
          <w:sz w:val="16"/>
        </w:rPr>
        <w:t>de</w:t>
      </w:r>
      <w:r>
        <w:rPr>
          <w:w w:val="105"/>
          <w:sz w:val="16"/>
        </w:rPr>
        <w:t>l</w:t>
      </w:r>
      <w:r>
        <w:rPr>
          <w:sz w:val="16"/>
        </w:rPr>
        <w:t> </w:t>
      </w:r>
      <w:r>
        <w:rPr>
          <w:spacing w:val="-2"/>
          <w:w w:val="108"/>
          <w:sz w:val="16"/>
        </w:rPr>
        <w:t>Centr</w:t>
      </w:r>
      <w:r>
        <w:rPr>
          <w:w w:val="108"/>
          <w:sz w:val="16"/>
        </w:rPr>
        <w:t>o</w:t>
      </w:r>
      <w:r>
        <w:rPr>
          <w:sz w:val="16"/>
        </w:rPr>
        <w:t> </w:t>
      </w:r>
      <w:r>
        <w:rPr>
          <w:spacing w:val="-2"/>
          <w:w w:val="104"/>
          <w:sz w:val="16"/>
        </w:rPr>
        <w:t>d</w:t>
      </w:r>
      <w:r>
        <w:rPr>
          <w:w w:val="104"/>
          <w:sz w:val="16"/>
        </w:rPr>
        <w:t>e</w:t>
      </w:r>
      <w:r>
        <w:rPr>
          <w:sz w:val="16"/>
        </w:rPr>
        <w:t> </w:t>
      </w:r>
      <w:r>
        <w:rPr>
          <w:spacing w:val="-2"/>
          <w:w w:val="140"/>
          <w:sz w:val="16"/>
        </w:rPr>
        <w:t>i</w:t>
      </w:r>
      <w:r>
        <w:rPr>
          <w:spacing w:val="-2"/>
          <w:w w:val="106"/>
          <w:sz w:val="16"/>
        </w:rPr>
        <w:t>nvestigacione</w:t>
      </w:r>
      <w:r>
        <w:rPr>
          <w:w w:val="106"/>
          <w:sz w:val="16"/>
        </w:rPr>
        <w:t>s</w:t>
      </w:r>
      <w:r>
        <w:rPr>
          <w:sz w:val="16"/>
        </w:rPr>
        <w:t> </w:t>
      </w:r>
      <w:r>
        <w:rPr>
          <w:spacing w:val="-2"/>
          <w:w w:val="104"/>
          <w:sz w:val="16"/>
        </w:rPr>
        <w:t>d</w:t>
      </w:r>
      <w:r>
        <w:rPr>
          <w:w w:val="104"/>
          <w:sz w:val="16"/>
        </w:rPr>
        <w:t>e</w:t>
      </w:r>
      <w:r>
        <w:rPr>
          <w:sz w:val="16"/>
        </w:rPr>
        <w:t> </w:t>
      </w:r>
      <w:r>
        <w:rPr>
          <w:spacing w:val="-2"/>
          <w:w w:val="110"/>
          <w:sz w:val="16"/>
        </w:rPr>
        <w:t>Polític</w:t>
      </w:r>
      <w:r>
        <w:rPr>
          <w:w w:val="110"/>
          <w:sz w:val="16"/>
        </w:rPr>
        <w:t>a</w:t>
      </w:r>
      <w:r>
        <w:rPr>
          <w:sz w:val="16"/>
        </w:rPr>
        <w:t> </w:t>
      </w:r>
      <w:r>
        <w:rPr>
          <w:spacing w:val="-2"/>
          <w:w w:val="140"/>
          <w:sz w:val="16"/>
        </w:rPr>
        <w:t>i</w:t>
      </w:r>
      <w:r>
        <w:rPr>
          <w:spacing w:val="-2"/>
          <w:w w:val="108"/>
          <w:sz w:val="16"/>
        </w:rPr>
        <w:t>nternaciona</w:t>
      </w:r>
      <w:r>
        <w:rPr>
          <w:w w:val="108"/>
          <w:sz w:val="16"/>
        </w:rPr>
        <w:t>l</w:t>
      </w:r>
      <w:r>
        <w:rPr>
          <w:sz w:val="16"/>
        </w:rPr>
        <w:t> </w:t>
      </w:r>
      <w:r>
        <w:rPr>
          <w:spacing w:val="-2"/>
          <w:w w:val="104"/>
          <w:sz w:val="16"/>
        </w:rPr>
        <w:t>d</w:t>
      </w:r>
      <w:r>
        <w:rPr>
          <w:w w:val="104"/>
          <w:sz w:val="16"/>
        </w:rPr>
        <w:t>e</w:t>
      </w:r>
      <w:r>
        <w:rPr>
          <w:sz w:val="16"/>
        </w:rPr>
        <w:t> </w:t>
      </w:r>
      <w:r>
        <w:rPr>
          <w:spacing w:val="-2"/>
          <w:w w:val="238"/>
          <w:sz w:val="16"/>
        </w:rPr>
        <w:t>l</w:t>
      </w:r>
      <w:r>
        <w:rPr>
          <w:w w:val="109"/>
          <w:sz w:val="16"/>
        </w:rPr>
        <w:t>a</w:t>
      </w:r>
      <w:r>
        <w:rPr>
          <w:sz w:val="16"/>
        </w:rPr>
        <w:t> </w:t>
      </w:r>
      <w:r>
        <w:rPr>
          <w:spacing w:val="-2"/>
          <w:w w:val="113"/>
          <w:sz w:val="16"/>
        </w:rPr>
        <w:t>Habana, </w:t>
      </w:r>
      <w:r>
        <w:rPr>
          <w:w w:val="115"/>
          <w:sz w:val="16"/>
        </w:rPr>
        <w:t>Cuba.</w:t>
      </w:r>
    </w:p>
    <w:p>
      <w:pPr>
        <w:pStyle w:val="BodyText"/>
        <w:spacing w:before="8"/>
        <w:rPr>
          <w:sz w:val="10"/>
        </w:rPr>
      </w:pPr>
      <w:r>
        <w:rPr/>
        <w:pict>
          <v:line style="position:absolute;mso-position-horizontal-relative:page;mso-position-vertical-relative:paragraph;z-index:3472;mso-wrap-distance-left:0;mso-wrap-distance-right:0" from="51.023602pt,8.488868pt" to="79.369602pt,8.488868pt" stroked="true" strokeweight=".5pt" strokecolor="#000000">
            <w10:wrap type="topAndBottom"/>
          </v:line>
        </w:pict>
      </w:r>
    </w:p>
    <w:p>
      <w:pPr>
        <w:spacing w:line="242" w:lineRule="auto" w:before="89"/>
        <w:ind w:left="120" w:right="328" w:firstLine="0"/>
        <w:jc w:val="both"/>
        <w:rPr>
          <w:sz w:val="16"/>
        </w:rPr>
      </w:pPr>
      <w:r>
        <w:rPr>
          <w:w w:val="110"/>
          <w:sz w:val="16"/>
        </w:rPr>
        <w:t>1 un papel importante en el pensamiento estratégico de Estados unidos hacia ru- sia lo ha tenido, entre otros, Zbigniew brzezinsky, sobre todo con el libro </w:t>
      </w:r>
      <w:r>
        <w:rPr>
          <w:i/>
          <w:w w:val="110"/>
          <w:sz w:val="16"/>
        </w:rPr>
        <w:t>The Grand </w:t>
      </w:r>
      <w:r>
        <w:rPr>
          <w:i/>
          <w:w w:val="110"/>
          <w:sz w:val="16"/>
        </w:rPr>
        <w:t>Chessboard: American Primacy and Its Geostrategic Imperatives</w:t>
      </w:r>
      <w:r>
        <w:rPr>
          <w:w w:val="110"/>
          <w:sz w:val="16"/>
        </w:rPr>
        <w:t>, New York, basic books (octubre de 1997).</w:t>
      </w:r>
    </w:p>
    <w:p>
      <w:pPr>
        <w:pStyle w:val="BodyText"/>
        <w:spacing w:before="1"/>
        <w:rPr>
          <w:sz w:val="25"/>
        </w:rPr>
      </w:pPr>
    </w:p>
    <w:p>
      <w:pPr>
        <w:pStyle w:val="Heading7"/>
        <w:spacing w:line="240" w:lineRule="auto" w:before="65"/>
        <w:ind w:left="1041" w:right="1249"/>
        <w:jc w:val="center"/>
      </w:pPr>
      <w:r>
        <w:rPr/>
        <w:t>115</w:t>
      </w:r>
    </w:p>
    <w:p>
      <w:pPr>
        <w:spacing w:after="0" w:line="240" w:lineRule="auto"/>
        <w:jc w:val="center"/>
        <w:sectPr>
          <w:headerReference w:type="even" r:id="rId180"/>
          <w:footerReference w:type="even" r:id="rId181"/>
          <w:pgSz w:w="8790" w:h="12760"/>
          <w:pgMar w:header="0" w:footer="0" w:top="1180" w:bottom="280" w:left="900" w:right="1200"/>
        </w:sectPr>
      </w:pPr>
    </w:p>
    <w:p>
      <w:pPr>
        <w:pStyle w:val="BodyText"/>
        <w:spacing w:before="7"/>
        <w:rPr>
          <w:sz w:val="28"/>
        </w:rPr>
      </w:pPr>
    </w:p>
    <w:p>
      <w:pPr>
        <w:pStyle w:val="BodyText"/>
        <w:spacing w:line="252" w:lineRule="auto" w:before="73"/>
        <w:ind w:left="330" w:right="117"/>
        <w:jc w:val="both"/>
        <w:rPr>
          <w:sz w:val="11"/>
        </w:rPr>
      </w:pPr>
      <w:r>
        <w:rPr>
          <w:w w:val="110"/>
        </w:rPr>
        <w:t>y política occidental; expandir la </w:t>
      </w:r>
      <w:r>
        <w:rPr>
          <w:spacing w:val="-4"/>
          <w:w w:val="130"/>
        </w:rPr>
        <w:t>otaN </w:t>
      </w:r>
      <w:r>
        <w:rPr>
          <w:w w:val="110"/>
        </w:rPr>
        <w:t>(dormand y Kaufman, 2014)    y el resto de las estructuras occidentales a los antiguos miembros     del Pacto de Varsovia, y posteriormente los países europeos de la ex </w:t>
      </w:r>
      <w:r>
        <w:rPr>
          <w:w w:val="130"/>
        </w:rPr>
        <w:t>urss, </w:t>
      </w:r>
      <w:r>
        <w:rPr>
          <w:w w:val="110"/>
        </w:rPr>
        <w:t>en lo que se ha conocido como la política de “una Europa uni- da, libre y en </w:t>
      </w:r>
      <w:r>
        <w:rPr>
          <w:spacing w:val="9"/>
          <w:w w:val="110"/>
        </w:rPr>
        <w:t> </w:t>
      </w:r>
      <w:r>
        <w:rPr>
          <w:w w:val="110"/>
        </w:rPr>
        <w:t>paz”.</w:t>
      </w:r>
      <w:r>
        <w:rPr>
          <w:w w:val="110"/>
          <w:position w:val="7"/>
          <w:sz w:val="11"/>
        </w:rPr>
        <w:t>2</w:t>
      </w:r>
    </w:p>
    <w:p>
      <w:pPr>
        <w:pStyle w:val="BodyText"/>
        <w:spacing w:line="252" w:lineRule="auto"/>
        <w:ind w:left="330" w:right="117" w:firstLine="396"/>
        <w:jc w:val="both"/>
      </w:pPr>
      <w:r>
        <w:rPr>
          <w:w w:val="110"/>
        </w:rPr>
        <w:t>Estados unidos desconoció desde el inicio los intereses de seguri- dad nacional de rusia en estas regiones vecinas. se buscó en la etapa lograr la superioridad estratégica sobre rusia, sobre todo a partir de 2002 con el proyecto de un escudo antimisiles; comprometer a rusia favoreciendo su membresía en el sistema de organismos internacio- nales creados bajo la hegemonía de Estados unidos (Consejo rusia- </w:t>
      </w:r>
      <w:r>
        <w:rPr>
          <w:spacing w:val="-3"/>
          <w:w w:val="125"/>
        </w:rPr>
        <w:t>otaN, </w:t>
      </w:r>
      <w:r>
        <w:rPr>
          <w:w w:val="110"/>
        </w:rPr>
        <w:t>organización de seguridad y Cooperación en Europa, FMi,  Grupo de los ocho); y emplear los concursos de la diplomacia rusa en función de sus intereses, sobre todo en la lucha contra el terrorismo, la no proliferación y los temas de afganistán e  </w:t>
      </w:r>
      <w:r>
        <w:rPr>
          <w:spacing w:val="36"/>
          <w:w w:val="110"/>
        </w:rPr>
        <w:t> </w:t>
      </w:r>
      <w:r>
        <w:rPr>
          <w:w w:val="110"/>
        </w:rPr>
        <w:t>irán.</w:t>
      </w:r>
    </w:p>
    <w:p>
      <w:pPr>
        <w:pStyle w:val="BodyText"/>
        <w:spacing w:line="252" w:lineRule="auto"/>
        <w:ind w:left="330" w:right="117" w:firstLine="396"/>
        <w:jc w:val="both"/>
      </w:pPr>
      <w:r>
        <w:rPr>
          <w:w w:val="110"/>
        </w:rPr>
        <w:t>En el periodo 1992-2005 hubo reacciones adversas de Moscú a esta política, pero no estuvieron acompañadas de acciones decisivas rusas que intentaran revertir decididamente la situación, por ejemplo su oposición a la agresión de Estados unidos y la </w:t>
      </w:r>
      <w:r>
        <w:rPr>
          <w:spacing w:val="-4"/>
          <w:w w:val="135"/>
        </w:rPr>
        <w:t>otaN </w:t>
      </w:r>
      <w:r>
        <w:rPr>
          <w:w w:val="110"/>
        </w:rPr>
        <w:t>a Yugoslavia en 1999, y a la agresión a irak en 2003, durante la primera adminis- tración Putin. igual oposición rusa tuvieron durante el periodo las dos olas de expansión de la </w:t>
      </w:r>
      <w:r>
        <w:rPr>
          <w:spacing w:val="-4"/>
          <w:w w:val="135"/>
        </w:rPr>
        <w:t>otaN </w:t>
      </w:r>
      <w:r>
        <w:rPr>
          <w:w w:val="110"/>
        </w:rPr>
        <w:t>hacia el Este, así como los intentos de Estados unidos y la unión Europea (uE) de construir vías de acce-      so de los recursos energéticos del espacio postsoviético hacia Europa sin pasar por el territorio ruso. igor </w:t>
      </w:r>
      <w:r>
        <w:rPr>
          <w:spacing w:val="-4"/>
          <w:w w:val="110"/>
        </w:rPr>
        <w:t>ivanov, </w:t>
      </w:r>
      <w:r>
        <w:rPr>
          <w:w w:val="110"/>
        </w:rPr>
        <w:t>ex canciller ruso de estos años, incluyendo el primer mandato de Putin (hasta 2004), ha señala- do “En los primeros años del siglo </w:t>
      </w:r>
      <w:r>
        <w:rPr>
          <w:w w:val="135"/>
        </w:rPr>
        <w:t>xxi </w:t>
      </w:r>
      <w:r>
        <w:rPr>
          <w:w w:val="110"/>
        </w:rPr>
        <w:t>para rusia la orientación hacia occidente fue la prioritaria. Muchas veces la dirección rusa demos-  tró su disposición a muy serias inversiones políticas en esa dirección. Quiero subrayarlo: rusia no hizo ningún paso, no tomó ni una deci- sión, no lanzó ninguna iniciativa que fuera a ser tomada por nuestros socios occidentales como inamistosos o que les causara perjuicios a sus intereses legítimos” </w:t>
      </w:r>
      <w:r>
        <w:rPr>
          <w:spacing w:val="-3"/>
          <w:w w:val="110"/>
        </w:rPr>
        <w:t>(ivanov,</w:t>
      </w:r>
      <w:r>
        <w:rPr>
          <w:spacing w:val="-8"/>
          <w:w w:val="110"/>
        </w:rPr>
        <w:t> </w:t>
      </w:r>
      <w:r>
        <w:rPr>
          <w:w w:val="110"/>
        </w:rPr>
        <w:t>2012).</w:t>
      </w:r>
    </w:p>
    <w:p>
      <w:pPr>
        <w:pStyle w:val="BodyText"/>
        <w:spacing w:line="252" w:lineRule="auto"/>
        <w:ind w:left="330" w:right="118" w:firstLine="396"/>
        <w:jc w:val="both"/>
      </w:pPr>
      <w:r>
        <w:rPr>
          <w:w w:val="110"/>
        </w:rPr>
        <w:t>desde 2005 hasta fines de 2013 las relaciones rusia-Estados uni- dos cobraron una dinámica de conflicto-colaboración, es </w:t>
      </w:r>
      <w:r>
        <w:rPr>
          <w:spacing w:val="-4"/>
          <w:w w:val="110"/>
        </w:rPr>
        <w:t>decir, </w:t>
      </w:r>
      <w:r>
        <w:rPr>
          <w:w w:val="110"/>
        </w:rPr>
        <w:t>hubo una presencia de importantes desavenencias y contradicciones</w:t>
      </w:r>
      <w:r>
        <w:rPr>
          <w:spacing w:val="-17"/>
          <w:w w:val="110"/>
        </w:rPr>
        <w:t> </w:t>
      </w:r>
      <w:r>
        <w:rPr>
          <w:w w:val="110"/>
        </w:rPr>
        <w:t>provo- cadas</w:t>
      </w:r>
      <w:r>
        <w:rPr>
          <w:spacing w:val="25"/>
          <w:w w:val="110"/>
        </w:rPr>
        <w:t> </w:t>
      </w:r>
      <w:r>
        <w:rPr>
          <w:w w:val="110"/>
        </w:rPr>
        <w:t>por</w:t>
      </w:r>
      <w:r>
        <w:rPr>
          <w:spacing w:val="25"/>
          <w:w w:val="110"/>
        </w:rPr>
        <w:t> </w:t>
      </w:r>
      <w:r>
        <w:rPr>
          <w:w w:val="110"/>
        </w:rPr>
        <w:t>la</w:t>
      </w:r>
      <w:r>
        <w:rPr>
          <w:spacing w:val="25"/>
          <w:w w:val="110"/>
        </w:rPr>
        <w:t> </w:t>
      </w:r>
      <w:r>
        <w:rPr>
          <w:w w:val="110"/>
        </w:rPr>
        <w:t>reacción</w:t>
      </w:r>
      <w:r>
        <w:rPr>
          <w:spacing w:val="25"/>
          <w:w w:val="110"/>
        </w:rPr>
        <w:t> </w:t>
      </w:r>
      <w:r>
        <w:rPr>
          <w:w w:val="110"/>
        </w:rPr>
        <w:t>cada</w:t>
      </w:r>
      <w:r>
        <w:rPr>
          <w:spacing w:val="25"/>
          <w:w w:val="110"/>
        </w:rPr>
        <w:t> </w:t>
      </w:r>
      <w:r>
        <w:rPr>
          <w:w w:val="110"/>
        </w:rPr>
        <w:t>vez</w:t>
      </w:r>
      <w:r>
        <w:rPr>
          <w:spacing w:val="25"/>
          <w:w w:val="110"/>
        </w:rPr>
        <w:t> </w:t>
      </w:r>
      <w:r>
        <w:rPr>
          <w:w w:val="110"/>
        </w:rPr>
        <w:t>más</w:t>
      </w:r>
      <w:r>
        <w:rPr>
          <w:spacing w:val="25"/>
          <w:w w:val="110"/>
        </w:rPr>
        <w:t> </w:t>
      </w:r>
      <w:r>
        <w:rPr>
          <w:w w:val="110"/>
        </w:rPr>
        <w:t>activa</w:t>
      </w:r>
      <w:r>
        <w:rPr>
          <w:spacing w:val="25"/>
          <w:w w:val="110"/>
        </w:rPr>
        <w:t> </w:t>
      </w:r>
      <w:r>
        <w:rPr>
          <w:w w:val="110"/>
        </w:rPr>
        <w:t>de</w:t>
      </w:r>
      <w:r>
        <w:rPr>
          <w:spacing w:val="25"/>
          <w:w w:val="110"/>
        </w:rPr>
        <w:t> </w:t>
      </w:r>
      <w:r>
        <w:rPr>
          <w:w w:val="110"/>
        </w:rPr>
        <w:t>rusia,</w:t>
      </w:r>
      <w:r>
        <w:rPr>
          <w:spacing w:val="25"/>
          <w:w w:val="110"/>
        </w:rPr>
        <w:t> </w:t>
      </w:r>
      <w:r>
        <w:rPr>
          <w:w w:val="110"/>
        </w:rPr>
        <w:t>aunque</w:t>
      </w:r>
      <w:r>
        <w:rPr>
          <w:spacing w:val="25"/>
          <w:w w:val="110"/>
        </w:rPr>
        <w:t> </w:t>
      </w:r>
      <w:r>
        <w:rPr>
          <w:w w:val="110"/>
        </w:rPr>
        <w:t>se</w:t>
      </w:r>
      <w:r>
        <w:rPr>
          <w:spacing w:val="25"/>
          <w:w w:val="110"/>
        </w:rPr>
        <w:t> </w:t>
      </w:r>
      <w:r>
        <w:rPr>
          <w:w w:val="110"/>
        </w:rPr>
        <w:t>man-</w:t>
      </w:r>
    </w:p>
    <w:p>
      <w:pPr>
        <w:pStyle w:val="BodyText"/>
        <w:rPr>
          <w:sz w:val="20"/>
        </w:rPr>
      </w:pPr>
    </w:p>
    <w:p>
      <w:pPr>
        <w:pStyle w:val="BodyText"/>
        <w:spacing w:before="7"/>
        <w:rPr>
          <w:sz w:val="10"/>
        </w:rPr>
      </w:pPr>
      <w:r>
        <w:rPr/>
        <w:pict>
          <v:line style="position:absolute;mso-position-horizontal-relative:page;mso-position-vertical-relative:paragraph;z-index:3496;mso-wrap-distance-left:0;mso-wrap-distance-right:0" from="76.5355pt,8.434598pt" to="104.8815pt,8.434598pt" stroked="true" strokeweight=".5pt" strokecolor="#000000">
            <w10:wrap type="topAndBottom"/>
          </v:line>
        </w:pict>
      </w:r>
    </w:p>
    <w:p>
      <w:pPr>
        <w:spacing w:line="242" w:lineRule="auto" w:before="89"/>
        <w:ind w:left="330" w:right="118" w:firstLine="0"/>
        <w:jc w:val="both"/>
        <w:rPr>
          <w:sz w:val="16"/>
        </w:rPr>
      </w:pPr>
      <w:r>
        <w:rPr>
          <w:w w:val="110"/>
          <w:sz w:val="16"/>
        </w:rPr>
        <w:t>2 Este tema central de la política norteamericana se ha retomado en prácticamente todos los discursos públicos en el Congreso que han hecho las figuras del departa- mento de Estado a cargo de las relaciones con rusia, ucrania y el espacio postsovié- tico. también ha estado presente en diferentes formulaciones en las Estrategias de seguridad Nacional de 2002, 2006, 2010 y 2015.</w:t>
      </w:r>
    </w:p>
    <w:p>
      <w:pPr>
        <w:spacing w:after="0" w:line="242" w:lineRule="auto"/>
        <w:jc w:val="both"/>
        <w:rPr>
          <w:sz w:val="16"/>
        </w:rPr>
        <w:sectPr>
          <w:headerReference w:type="even" r:id="rId182"/>
          <w:headerReference w:type="default" r:id="rId183"/>
          <w:footerReference w:type="even" r:id="rId184"/>
          <w:footerReference w:type="default" r:id="rId185"/>
          <w:pgSz w:w="8790" w:h="12760"/>
          <w:pgMar w:header="697" w:footer="725" w:top="880" w:bottom="920" w:left="1200" w:right="900"/>
          <w:pgNumType w:start="116"/>
        </w:sectPr>
      </w:pPr>
    </w:p>
    <w:p>
      <w:pPr>
        <w:pStyle w:val="BodyText"/>
        <w:spacing w:before="9"/>
        <w:rPr>
          <w:sz w:val="28"/>
        </w:rPr>
      </w:pPr>
    </w:p>
    <w:p>
      <w:pPr>
        <w:pStyle w:val="BodyText"/>
        <w:spacing w:line="252" w:lineRule="auto" w:before="73"/>
        <w:ind w:left="120" w:right="321"/>
      </w:pPr>
      <w:r>
        <w:rPr>
          <w:w w:val="110"/>
        </w:rPr>
        <w:t>tuvieron intereses compartidos, e incluso en determinados momentos primó la cooperación sobre el  conflicto.</w:t>
      </w:r>
    </w:p>
    <w:p>
      <w:pPr>
        <w:pStyle w:val="BodyText"/>
        <w:spacing w:line="252" w:lineRule="auto"/>
        <w:ind w:left="120" w:right="326" w:firstLine="396"/>
        <w:jc w:val="both"/>
      </w:pPr>
      <w:r>
        <w:rPr>
          <w:w w:val="110"/>
        </w:rPr>
        <w:t>siguió siendo en la etapa, y hasta la actualidad,  una  variable  clave la ausencia de una relación económica significativa entre Es- tados unidos  y  rusia,  lo  que  ha  hecho  que  la  relación  sea  volátil  y sujeta a las coyunturas políticas. Para 2013 el comercio bilateral rusia-Estados unidos fue de sólo 38 mil millones de dólares, lo que resulta insignificante comparado con  los  más  de  430  mil  millones de intercambio comercial que tuvo rusia con la uE ese mismo año.   Esa débil relación comercial ha explicado también la existencia de pocos grupos de presión económicos en ambos países interesados    en la mejoría de la relación bilateral cuando han primado más los conflictos  que  la</w:t>
      </w:r>
      <w:r>
        <w:rPr>
          <w:spacing w:val="-17"/>
          <w:w w:val="110"/>
        </w:rPr>
        <w:t> </w:t>
      </w:r>
      <w:r>
        <w:rPr>
          <w:w w:val="110"/>
        </w:rPr>
        <w:t>cooperación.</w:t>
      </w:r>
    </w:p>
    <w:p>
      <w:pPr>
        <w:pStyle w:val="BodyText"/>
        <w:spacing w:line="252" w:lineRule="auto"/>
        <w:ind w:left="120" w:right="326" w:firstLine="396"/>
        <w:jc w:val="both"/>
      </w:pPr>
      <w:r>
        <w:rPr>
          <w:w w:val="110"/>
        </w:rPr>
        <w:t>El proceso de enfrentamiento entre rusia y Estados unidos a partir de la segunda administración de Putin, a mediados de los años 2000, se explicó por la  reemergencia  de  rusia  como  potencia  glo- bal dado el crecimiento económico logrado por los altos precios de  los hidrocarburos, la recuperación de su Estado y el fortalecimiento de sus grandes monopolios de materias primas. también incidió la estabilidad política alcanzada en la década de 2000, además de los movimientos al interior de la élite rusa que, sin prescindir de la in- fluencia de la oligarquía privada, favorecieron a los sectores de la burocracia más vinculados al Estado, las exportaciones de recursos energéticos y a las estructuras de la seguridad nacional incluyendo al complejo militar industrial. Fue predominante el discurso patriótico   y de gran </w:t>
      </w:r>
      <w:r>
        <w:rPr>
          <w:spacing w:val="4"/>
          <w:w w:val="110"/>
        </w:rPr>
        <w:t> </w:t>
      </w:r>
      <w:r>
        <w:rPr>
          <w:w w:val="110"/>
        </w:rPr>
        <w:t>potencia.</w:t>
      </w:r>
    </w:p>
    <w:p>
      <w:pPr>
        <w:pStyle w:val="BodyText"/>
        <w:spacing w:line="252" w:lineRule="auto"/>
        <w:ind w:left="120" w:right="327" w:firstLine="396"/>
        <w:jc w:val="both"/>
      </w:pPr>
      <w:r>
        <w:rPr>
          <w:w w:val="110"/>
        </w:rPr>
        <w:t>No obstante, pese a las crecientes contradicciones, el país se man- tuvo dentro de la estructura del capitalismo globalizado en su rol de exportador de materias primas y de capitales, incrementando en este periodo las relaciones económicas y financieras con occidente, aun- que trató de diversificar también sus nexos con China y otros actores </w:t>
      </w:r>
      <w:r>
        <w:rPr>
          <w:w w:val="111"/>
        </w:rPr>
        <w:t>internacionales.</w:t>
      </w:r>
      <w:r>
        <w:rPr/>
        <w:t> </w:t>
      </w:r>
      <w:r>
        <w:rPr>
          <w:w w:val="243"/>
        </w:rPr>
        <w:t>l</w:t>
      </w:r>
      <w:r>
        <w:rPr>
          <w:w w:val="112"/>
        </w:rPr>
        <w:t>a</w:t>
      </w:r>
      <w:r>
        <w:rPr/>
        <w:t> </w:t>
      </w:r>
      <w:r>
        <w:rPr>
          <w:w w:val="108"/>
        </w:rPr>
        <w:t>estrategia</w:t>
      </w:r>
      <w:r>
        <w:rPr/>
        <w:t> </w:t>
      </w:r>
      <w:r>
        <w:rPr>
          <w:w w:val="109"/>
        </w:rPr>
        <w:t>rusa</w:t>
      </w:r>
      <w:r>
        <w:rPr/>
        <w:t> </w:t>
      </w:r>
      <w:r>
        <w:rPr>
          <w:w w:val="111"/>
        </w:rPr>
        <w:t>fue</w:t>
      </w:r>
      <w:r>
        <w:rPr/>
        <w:t> </w:t>
      </w:r>
      <w:r>
        <w:rPr>
          <w:w w:val="111"/>
        </w:rPr>
        <w:t>la</w:t>
      </w:r>
      <w:r>
        <w:rPr/>
        <w:t> </w:t>
      </w:r>
      <w:r>
        <w:rPr>
          <w:w w:val="107"/>
        </w:rPr>
        <w:t>de</w:t>
      </w:r>
      <w:r>
        <w:rPr/>
        <w:t> </w:t>
      </w:r>
      <w:r>
        <w:rPr>
          <w:w w:val="108"/>
        </w:rPr>
        <w:t>tratar</w:t>
      </w:r>
      <w:r>
        <w:rPr/>
        <w:t> </w:t>
      </w:r>
      <w:r>
        <w:rPr>
          <w:w w:val="107"/>
        </w:rPr>
        <w:t>de</w:t>
      </w:r>
      <w:r>
        <w:rPr/>
        <w:t> </w:t>
      </w:r>
      <w:r>
        <w:rPr>
          <w:w w:val="109"/>
        </w:rPr>
        <w:t>lograr</w:t>
      </w:r>
      <w:r>
        <w:rPr/>
        <w:t> </w:t>
      </w:r>
      <w:r>
        <w:rPr>
          <w:w w:val="112"/>
        </w:rPr>
        <w:t>una</w:t>
      </w:r>
      <w:r>
        <w:rPr/>
        <w:t> </w:t>
      </w:r>
      <w:r>
        <w:rPr>
          <w:w w:val="109"/>
        </w:rPr>
        <w:t>mejor </w:t>
      </w:r>
      <w:r>
        <w:rPr>
          <w:w w:val="110"/>
        </w:rPr>
        <w:t>colocación de su Estado en el sistema político internacional y de sus monopolios en la arquitectura económica global, tratando de ser re- conocido como potencia global por parte de Estados unidos y el resto de los actores internacionales.</w:t>
      </w:r>
    </w:p>
    <w:p>
      <w:pPr>
        <w:pStyle w:val="BodyText"/>
        <w:spacing w:line="252" w:lineRule="auto"/>
        <w:ind w:left="120" w:right="328" w:firstLine="396"/>
        <w:jc w:val="both"/>
      </w:pPr>
      <w:r>
        <w:rPr>
          <w:w w:val="110"/>
        </w:rPr>
        <w:t>a partir de la crisis de 2008 en Estados unidos y en 2010 pos- teriormente en la uE, la dirección rusa comenzó a percibir dichos fenómenos como expresión de debilidades estructurales del</w:t>
      </w:r>
      <w:r>
        <w:rPr>
          <w:spacing w:val="-8"/>
          <w:w w:val="110"/>
        </w:rPr>
        <w:t> </w:t>
      </w:r>
      <w:r>
        <w:rPr>
          <w:w w:val="110"/>
        </w:rPr>
        <w:t>occidente histórico,</w:t>
      </w:r>
      <w:r>
        <w:rPr>
          <w:w w:val="110"/>
          <w:position w:val="7"/>
          <w:sz w:val="11"/>
        </w:rPr>
        <w:t>3 </w:t>
      </w:r>
      <w:r>
        <w:rPr>
          <w:spacing w:val="12"/>
          <w:w w:val="110"/>
          <w:position w:val="7"/>
          <w:sz w:val="11"/>
        </w:rPr>
        <w:t> </w:t>
      </w:r>
      <w:r>
        <w:rPr>
          <w:w w:val="110"/>
        </w:rPr>
        <w:t>lo</w:t>
      </w:r>
      <w:r>
        <w:rPr>
          <w:spacing w:val="18"/>
          <w:w w:val="110"/>
        </w:rPr>
        <w:t> </w:t>
      </w:r>
      <w:r>
        <w:rPr>
          <w:w w:val="110"/>
        </w:rPr>
        <w:t>que</w:t>
      </w:r>
      <w:r>
        <w:rPr>
          <w:spacing w:val="18"/>
          <w:w w:val="110"/>
        </w:rPr>
        <w:t> </w:t>
      </w:r>
      <w:r>
        <w:rPr>
          <w:w w:val="110"/>
        </w:rPr>
        <w:t>según</w:t>
      </w:r>
      <w:r>
        <w:rPr>
          <w:spacing w:val="18"/>
          <w:w w:val="110"/>
        </w:rPr>
        <w:t> </w:t>
      </w:r>
      <w:r>
        <w:rPr>
          <w:w w:val="110"/>
        </w:rPr>
        <w:t>su</w:t>
      </w:r>
      <w:r>
        <w:rPr>
          <w:spacing w:val="18"/>
          <w:w w:val="110"/>
        </w:rPr>
        <w:t> </w:t>
      </w:r>
      <w:r>
        <w:rPr>
          <w:w w:val="110"/>
        </w:rPr>
        <w:t>lógica,</w:t>
      </w:r>
      <w:r>
        <w:rPr>
          <w:spacing w:val="18"/>
          <w:w w:val="110"/>
        </w:rPr>
        <w:t> </w:t>
      </w:r>
      <w:r>
        <w:rPr>
          <w:w w:val="110"/>
        </w:rPr>
        <w:t>contrastaba</w:t>
      </w:r>
      <w:r>
        <w:rPr>
          <w:spacing w:val="18"/>
          <w:w w:val="110"/>
        </w:rPr>
        <w:t> </w:t>
      </w:r>
      <w:r>
        <w:rPr>
          <w:w w:val="110"/>
        </w:rPr>
        <w:t>con</w:t>
      </w:r>
      <w:r>
        <w:rPr>
          <w:spacing w:val="18"/>
          <w:w w:val="110"/>
        </w:rPr>
        <w:t> </w:t>
      </w:r>
      <w:r>
        <w:rPr>
          <w:w w:val="110"/>
        </w:rPr>
        <w:t>la</w:t>
      </w:r>
      <w:r>
        <w:rPr>
          <w:spacing w:val="18"/>
          <w:w w:val="110"/>
        </w:rPr>
        <w:t> </w:t>
      </w:r>
      <w:r>
        <w:rPr>
          <w:w w:val="110"/>
        </w:rPr>
        <w:t>tendencia</w:t>
      </w:r>
      <w:r>
        <w:rPr>
          <w:spacing w:val="18"/>
          <w:w w:val="110"/>
        </w:rPr>
        <w:t> </w:t>
      </w:r>
      <w:r>
        <w:rPr>
          <w:w w:val="110"/>
        </w:rPr>
        <w:t>hacia</w:t>
      </w:r>
    </w:p>
    <w:p>
      <w:pPr>
        <w:pStyle w:val="BodyText"/>
        <w:spacing w:before="4"/>
      </w:pPr>
      <w:r>
        <w:rPr/>
        <w:pict>
          <v:line style="position:absolute;mso-position-horizontal-relative:page;mso-position-vertical-relative:paragraph;z-index:3520;mso-wrap-distance-left:0;mso-wrap-distance-right:0" from="51.023602pt,13.561833pt" to="79.369602pt,13.561833pt" stroked="true" strokeweight=".5pt" strokecolor="#000000">
            <w10:wrap type="topAndBottom"/>
          </v:line>
        </w:pict>
      </w:r>
    </w:p>
    <w:p>
      <w:pPr>
        <w:spacing w:line="242" w:lineRule="auto" w:before="89"/>
        <w:ind w:left="120" w:right="734" w:firstLine="0"/>
        <w:jc w:val="left"/>
        <w:rPr>
          <w:sz w:val="16"/>
        </w:rPr>
      </w:pPr>
      <w:r>
        <w:rPr>
          <w:w w:val="105"/>
          <w:sz w:val="16"/>
        </w:rPr>
        <w:t>3 Esta percepción se expresa en los artículos publicados por el presidente Putin durante los meses previos a las elecciones presidenciales de marzo de 2012.</w:t>
      </w:r>
    </w:p>
    <w:p>
      <w:pPr>
        <w:spacing w:after="0" w:line="242" w:lineRule="auto"/>
        <w:jc w:val="left"/>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41"/>
        <w:rPr>
          <w:sz w:val="11"/>
        </w:rPr>
      </w:pPr>
      <w:r>
        <w:rPr>
          <w:w w:val="110"/>
        </w:rPr>
        <w:t>la multipolaridad de las relaciones internacionales y la emergencia de otros polos de poder entre los cuales incluían a la propia   rusia.</w:t>
      </w:r>
      <w:r>
        <w:rPr>
          <w:w w:val="110"/>
          <w:position w:val="7"/>
          <w:sz w:val="11"/>
        </w:rPr>
        <w:t>4</w:t>
      </w:r>
    </w:p>
    <w:p>
      <w:pPr>
        <w:pStyle w:val="BodyText"/>
        <w:spacing w:line="252" w:lineRule="auto"/>
        <w:ind w:left="330" w:right="118" w:firstLine="396"/>
        <w:jc w:val="both"/>
      </w:pPr>
      <w:r>
        <w:rPr>
          <w:w w:val="110"/>
        </w:rPr>
        <w:t>Por su parte, Estados unidos –dentro de la estrategia global apun- tada– acusó dos claros matices para enfrentar la reemergencia de ru- sia y los nuevos desafíos a su dominación regional y mundial. ambos cursos incidieron también en las políticas de la unión Europea hacia rusia y las consiguientes reacciones de   Moscú.</w:t>
      </w:r>
    </w:p>
    <w:p>
      <w:pPr>
        <w:pStyle w:val="BodyText"/>
        <w:spacing w:line="252" w:lineRule="auto"/>
        <w:ind w:left="330" w:right="117" w:firstLine="396"/>
        <w:jc w:val="both"/>
        <w:rPr>
          <w:sz w:val="11"/>
        </w:rPr>
      </w:pPr>
      <w:r>
        <w:rPr>
          <w:w w:val="110"/>
        </w:rPr>
        <w:t>Por un lado, la estrategia del enfrentamiento frontal durante la segunda administración bush (2004-2008) y que ha retomado la se- gunda administración obama, de 2012 hasta la actualidad,</w:t>
      </w:r>
      <w:r>
        <w:rPr>
          <w:w w:val="110"/>
          <w:position w:val="7"/>
          <w:sz w:val="11"/>
        </w:rPr>
        <w:t>5 </w:t>
      </w:r>
      <w:r>
        <w:rPr>
          <w:w w:val="110"/>
        </w:rPr>
        <w:t>y  por  otro, la llamada política del “reset” de la primera administración obama, que buscó por vías diplomáticas y de negociación encarar los objetivos norteamericanos, dando primacía al empleo del Estado ruso y de su política para resolver sus problemas regionales y globales, tra- bajar en la subversión interna del régimen (ramos, 2003) y erosionar la llamada periferia de los intereses rusos, especialmente el espacio postsoviético.</w:t>
      </w:r>
      <w:r>
        <w:rPr>
          <w:w w:val="110"/>
          <w:position w:val="7"/>
          <w:sz w:val="11"/>
        </w:rPr>
        <w:t>6</w:t>
      </w:r>
    </w:p>
    <w:p>
      <w:pPr>
        <w:pStyle w:val="BodyText"/>
        <w:spacing w:line="252" w:lineRule="auto"/>
        <w:ind w:left="330" w:right="117" w:firstLine="396"/>
        <w:jc w:val="both"/>
      </w:pPr>
      <w:r>
        <w:rPr>
          <w:w w:val="110"/>
        </w:rPr>
        <w:t>En este breve interregno, de 2009 a 2011, como resultado de la interacción</w:t>
      </w:r>
      <w:r>
        <w:rPr>
          <w:spacing w:val="-6"/>
          <w:w w:val="110"/>
        </w:rPr>
        <w:t> </w:t>
      </w:r>
      <w:r>
        <w:rPr>
          <w:w w:val="110"/>
        </w:rPr>
        <w:t>entre</w:t>
      </w:r>
      <w:r>
        <w:rPr>
          <w:spacing w:val="-6"/>
          <w:w w:val="110"/>
        </w:rPr>
        <w:t> </w:t>
      </w:r>
      <w:r>
        <w:rPr>
          <w:w w:val="110"/>
        </w:rPr>
        <w:t>los</w:t>
      </w:r>
      <w:r>
        <w:rPr>
          <w:spacing w:val="-6"/>
          <w:w w:val="110"/>
        </w:rPr>
        <w:t> </w:t>
      </w:r>
      <w:r>
        <w:rPr>
          <w:w w:val="110"/>
        </w:rPr>
        <w:t>respectivos</w:t>
      </w:r>
      <w:r>
        <w:rPr>
          <w:spacing w:val="-6"/>
          <w:w w:val="110"/>
        </w:rPr>
        <w:t> </w:t>
      </w:r>
      <w:r>
        <w:rPr>
          <w:w w:val="110"/>
        </w:rPr>
        <w:t>cursos</w:t>
      </w:r>
      <w:r>
        <w:rPr>
          <w:spacing w:val="-6"/>
          <w:w w:val="110"/>
        </w:rPr>
        <w:t> </w:t>
      </w:r>
      <w:r>
        <w:rPr>
          <w:w w:val="110"/>
        </w:rPr>
        <w:t>políticos,</w:t>
      </w:r>
      <w:r>
        <w:rPr>
          <w:spacing w:val="-6"/>
          <w:w w:val="110"/>
        </w:rPr>
        <w:t> </w:t>
      </w:r>
      <w:r>
        <w:rPr>
          <w:w w:val="110"/>
        </w:rPr>
        <w:t>en</w:t>
      </w:r>
      <w:r>
        <w:rPr>
          <w:spacing w:val="-6"/>
          <w:w w:val="110"/>
        </w:rPr>
        <w:t> </w:t>
      </w:r>
      <w:r>
        <w:rPr>
          <w:w w:val="110"/>
        </w:rPr>
        <w:t>las</w:t>
      </w:r>
      <w:r>
        <w:rPr>
          <w:spacing w:val="-6"/>
          <w:w w:val="110"/>
        </w:rPr>
        <w:t> </w:t>
      </w:r>
      <w:r>
        <w:rPr>
          <w:w w:val="110"/>
        </w:rPr>
        <w:t>relaciones</w:t>
      </w:r>
      <w:r>
        <w:rPr>
          <w:spacing w:val="-6"/>
          <w:w w:val="110"/>
        </w:rPr>
        <w:t> </w:t>
      </w:r>
      <w:r>
        <w:rPr>
          <w:w w:val="110"/>
        </w:rPr>
        <w:t>pri- maron los elementos de cooperación sobre los de la confrontación. obama realizó determinados cambios en el proyecto de Escudo an- timisiles, firmó el </w:t>
      </w:r>
      <w:r>
        <w:rPr>
          <w:spacing w:val="-3"/>
          <w:w w:val="110"/>
        </w:rPr>
        <w:t>tratado </w:t>
      </w:r>
      <w:r>
        <w:rPr>
          <w:w w:val="110"/>
        </w:rPr>
        <w:t>start de reducción de los armamentos es- tratégicos en abril de 2010, creó la Comisión intergubernamental de alto nivel con rusia y posibilitó la entrada de rusia a la organización Mundial  del  Comercio</w:t>
      </w:r>
      <w:r>
        <w:rPr>
          <w:spacing w:val="40"/>
          <w:w w:val="110"/>
        </w:rPr>
        <w:t> </w:t>
      </w:r>
      <w:r>
        <w:rPr>
          <w:w w:val="110"/>
        </w:rPr>
        <w:t>(oMC).</w:t>
      </w:r>
    </w:p>
    <w:p>
      <w:pPr>
        <w:pStyle w:val="BodyText"/>
        <w:spacing w:line="252" w:lineRule="auto"/>
        <w:ind w:left="330" w:right="118" w:firstLine="396"/>
        <w:jc w:val="both"/>
      </w:pPr>
      <w:r>
        <w:rPr>
          <w:w w:val="122"/>
        </w:rPr>
        <w:t>El</w:t>
      </w:r>
      <w:r>
        <w:rPr>
          <w:spacing w:val="12"/>
        </w:rPr>
        <w:t> </w:t>
      </w:r>
      <w:r>
        <w:rPr>
          <w:w w:val="110"/>
        </w:rPr>
        <w:t>bombardeo</w:t>
      </w:r>
      <w:r>
        <w:rPr>
          <w:spacing w:val="12"/>
        </w:rPr>
        <w:t> </w:t>
      </w:r>
      <w:r>
        <w:rPr>
          <w:w w:val="107"/>
        </w:rPr>
        <w:t>de</w:t>
      </w:r>
      <w:r>
        <w:rPr>
          <w:spacing w:val="12"/>
        </w:rPr>
        <w:t> </w:t>
      </w:r>
      <w:r>
        <w:rPr>
          <w:w w:val="111"/>
        </w:rPr>
        <w:t>la</w:t>
      </w:r>
      <w:r>
        <w:rPr>
          <w:spacing w:val="12"/>
        </w:rPr>
        <w:t> </w:t>
      </w:r>
      <w:r>
        <w:rPr>
          <w:w w:val="167"/>
        </w:rPr>
        <w:t>o</w:t>
      </w:r>
      <w:r>
        <w:rPr>
          <w:spacing w:val="-15"/>
          <w:w w:val="167"/>
        </w:rPr>
        <w:t>t</w:t>
      </w:r>
      <w:r>
        <w:rPr>
          <w:w w:val="139"/>
        </w:rPr>
        <w:t>a</w:t>
      </w:r>
      <w:r>
        <w:rPr>
          <w:w w:val="119"/>
        </w:rPr>
        <w:t>N</w:t>
      </w:r>
      <w:r>
        <w:rPr>
          <w:spacing w:val="12"/>
        </w:rPr>
        <w:t> </w:t>
      </w:r>
      <w:r>
        <w:rPr>
          <w:w w:val="112"/>
        </w:rPr>
        <w:t>a</w:t>
      </w:r>
      <w:r>
        <w:rPr>
          <w:spacing w:val="12"/>
        </w:rPr>
        <w:t> </w:t>
      </w:r>
      <w:r>
        <w:rPr>
          <w:w w:val="243"/>
        </w:rPr>
        <w:t>l</w:t>
      </w:r>
      <w:r>
        <w:rPr>
          <w:w w:val="112"/>
        </w:rPr>
        <w:t>ibia</w:t>
      </w:r>
      <w:r>
        <w:rPr>
          <w:spacing w:val="12"/>
        </w:rPr>
        <w:t> </w:t>
      </w:r>
      <w:r>
        <w:rPr>
          <w:w w:val="108"/>
        </w:rPr>
        <w:t>en</w:t>
      </w:r>
      <w:r>
        <w:rPr>
          <w:spacing w:val="12"/>
        </w:rPr>
        <w:t> </w:t>
      </w:r>
      <w:r>
        <w:rPr>
          <w:w w:val="105"/>
        </w:rPr>
        <w:t>2011,</w:t>
      </w:r>
      <w:r>
        <w:rPr>
          <w:spacing w:val="12"/>
        </w:rPr>
        <w:t> </w:t>
      </w:r>
      <w:r>
        <w:rPr>
          <w:w w:val="111"/>
        </w:rPr>
        <w:t>la</w:t>
      </w:r>
      <w:r>
        <w:rPr>
          <w:spacing w:val="12"/>
        </w:rPr>
        <w:t> </w:t>
      </w:r>
      <w:r>
        <w:rPr>
          <w:w w:val="109"/>
        </w:rPr>
        <w:t>interferencia</w:t>
      </w:r>
      <w:r>
        <w:rPr>
          <w:spacing w:val="12"/>
        </w:rPr>
        <w:t> </w:t>
      </w:r>
      <w:r>
        <w:rPr>
          <w:w w:val="109"/>
        </w:rPr>
        <w:t>abie</w:t>
      </w:r>
      <w:r>
        <w:rPr>
          <w:spacing w:val="-15"/>
          <w:w w:val="109"/>
        </w:rPr>
        <w:t>r</w:t>
      </w:r>
      <w:r>
        <w:rPr>
          <w:w w:val="102"/>
        </w:rPr>
        <w:t>- </w:t>
      </w:r>
      <w:r>
        <w:rPr>
          <w:w w:val="110"/>
        </w:rPr>
        <w:t>ta de Estados unidos en los comicios parlamentarios rusos de 2011, el auge del nacionalismo ruso y su empleo, por parte de Putin, como vía para incrementar su legitimidad interna, así como el planteamiento por parte del candidato republicano Mitt romney de que rusia era la “mayor amenaza a la seguridad nacional de Estados unidos” enrare- </w:t>
      </w:r>
      <w:r>
        <w:rPr>
          <w:w w:val="110"/>
        </w:rPr>
        <w:t>cieron</w:t>
      </w:r>
      <w:r>
        <w:rPr/>
        <w:t> </w:t>
      </w:r>
      <w:r>
        <w:rPr>
          <w:spacing w:val="-20"/>
        </w:rPr>
        <w:t> </w:t>
      </w:r>
      <w:r>
        <w:rPr>
          <w:w w:val="109"/>
        </w:rPr>
        <w:t>significativamente</w:t>
      </w:r>
      <w:r>
        <w:rPr/>
        <w:t> </w:t>
      </w:r>
      <w:r>
        <w:rPr>
          <w:spacing w:val="-20"/>
        </w:rPr>
        <w:t> </w:t>
      </w:r>
      <w:r>
        <w:rPr>
          <w:w w:val="107"/>
        </w:rPr>
        <w:t>el</w:t>
      </w:r>
      <w:r>
        <w:rPr/>
        <w:t> </w:t>
      </w:r>
      <w:r>
        <w:rPr>
          <w:spacing w:val="-20"/>
        </w:rPr>
        <w:t> </w:t>
      </w:r>
      <w:r>
        <w:rPr>
          <w:w w:val="110"/>
        </w:rPr>
        <w:t>ambiente</w:t>
      </w:r>
      <w:r>
        <w:rPr/>
        <w:t> </w:t>
      </w:r>
      <w:r>
        <w:rPr>
          <w:spacing w:val="-20"/>
        </w:rPr>
        <w:t> </w:t>
      </w:r>
      <w:r>
        <w:rPr>
          <w:w w:val="109"/>
        </w:rPr>
        <w:t>bilateral</w:t>
      </w:r>
      <w:r>
        <w:rPr/>
        <w:t> </w:t>
      </w:r>
      <w:r>
        <w:rPr>
          <w:spacing w:val="-20"/>
        </w:rPr>
        <w:t> </w:t>
      </w:r>
      <w:r>
        <w:rPr>
          <w:w w:val="106"/>
        </w:rPr>
        <w:t>entre</w:t>
      </w:r>
      <w:r>
        <w:rPr/>
        <w:t> </w:t>
      </w:r>
      <w:r>
        <w:rPr>
          <w:spacing w:val="-20"/>
        </w:rPr>
        <w:t> </w:t>
      </w:r>
      <w:r>
        <w:rPr>
          <w:w w:val="102"/>
        </w:rPr>
        <w:t>2012</w:t>
      </w:r>
      <w:r>
        <w:rPr/>
        <w:t> </w:t>
      </w:r>
      <w:r>
        <w:rPr>
          <w:spacing w:val="-20"/>
        </w:rPr>
        <w:t> </w:t>
      </w:r>
      <w:r>
        <w:rPr>
          <w:w w:val="105"/>
        </w:rPr>
        <w:t>y</w:t>
      </w:r>
      <w:r>
        <w:rPr/>
        <w:t> </w:t>
      </w:r>
      <w:r>
        <w:rPr>
          <w:spacing w:val="-20"/>
        </w:rPr>
        <w:t> </w:t>
      </w:r>
      <w:r>
        <w:rPr>
          <w:w w:val="105"/>
        </w:rPr>
        <w:t>2013.</w:t>
      </w:r>
      <w:r>
        <w:rPr/>
        <w:t> </w:t>
      </w:r>
      <w:r>
        <w:rPr>
          <w:spacing w:val="-20"/>
        </w:rPr>
        <w:t> </w:t>
      </w:r>
      <w:r>
        <w:rPr>
          <w:w w:val="243"/>
        </w:rPr>
        <w:t>l</w:t>
      </w:r>
      <w:r>
        <w:rPr>
          <w:w w:val="112"/>
        </w:rPr>
        <w:t>a </w:t>
      </w:r>
      <w:r>
        <w:rPr>
          <w:w w:val="110"/>
        </w:rPr>
        <w:t>presencia de una amplia campaña antirrusa promovida por los repre- sentantes del </w:t>
      </w:r>
      <w:r>
        <w:rPr>
          <w:i/>
          <w:spacing w:val="-8"/>
          <w:w w:val="110"/>
        </w:rPr>
        <w:t>Tea </w:t>
      </w:r>
      <w:r>
        <w:rPr>
          <w:i/>
          <w:w w:val="110"/>
        </w:rPr>
        <w:t>Party </w:t>
      </w:r>
      <w:r>
        <w:rPr>
          <w:w w:val="110"/>
        </w:rPr>
        <w:t>en Estados unidos, que atacaron la política</w:t>
      </w:r>
      <w:r>
        <w:rPr>
          <w:spacing w:val="31"/>
          <w:w w:val="110"/>
        </w:rPr>
        <w:t> </w:t>
      </w:r>
      <w:r>
        <w:rPr>
          <w:w w:val="110"/>
        </w:rPr>
        <w:t>del</w:t>
      </w:r>
    </w:p>
    <w:p>
      <w:pPr>
        <w:pStyle w:val="BodyText"/>
        <w:rPr>
          <w:sz w:val="16"/>
        </w:rPr>
      </w:pPr>
      <w:r>
        <w:rPr/>
        <w:pict>
          <v:line style="position:absolute;mso-position-horizontal-relative:page;mso-position-vertical-relative:paragraph;z-index:3544;mso-wrap-distance-left:0;mso-wrap-distance-right:0" from="76.5355pt,11.588937pt" to="104.8815pt,11.588937pt" stroked="true" strokeweight=".5pt" strokecolor="#000000">
            <w10:wrap type="topAndBottom"/>
          </v:line>
        </w:pict>
      </w:r>
    </w:p>
    <w:p>
      <w:pPr>
        <w:pStyle w:val="ListParagraph"/>
        <w:numPr>
          <w:ilvl w:val="0"/>
          <w:numId w:val="3"/>
        </w:numPr>
        <w:tabs>
          <w:tab w:pos="586" w:val="left" w:leader="none"/>
        </w:tabs>
        <w:spacing w:line="242" w:lineRule="auto" w:before="89" w:after="0"/>
        <w:ind w:left="330" w:right="117" w:firstLine="0"/>
        <w:jc w:val="both"/>
        <w:rPr>
          <w:sz w:val="16"/>
        </w:rPr>
      </w:pPr>
      <w:r>
        <w:rPr>
          <w:w w:val="110"/>
          <w:sz w:val="16"/>
        </w:rPr>
        <w:t>Esto queda claro en el Concepto de política exterior de rusia aprobado el 12 de febrero</w:t>
      </w:r>
      <w:r>
        <w:rPr>
          <w:spacing w:val="-13"/>
          <w:w w:val="110"/>
          <w:sz w:val="16"/>
        </w:rPr>
        <w:t> </w:t>
      </w:r>
      <w:r>
        <w:rPr>
          <w:w w:val="110"/>
          <w:sz w:val="16"/>
        </w:rPr>
        <w:t>de</w:t>
      </w:r>
      <w:r>
        <w:rPr>
          <w:spacing w:val="-13"/>
          <w:w w:val="110"/>
          <w:sz w:val="16"/>
        </w:rPr>
        <w:t> </w:t>
      </w:r>
      <w:r>
        <w:rPr>
          <w:w w:val="110"/>
          <w:sz w:val="16"/>
        </w:rPr>
        <w:t>2013</w:t>
      </w:r>
      <w:r>
        <w:rPr>
          <w:spacing w:val="-13"/>
          <w:w w:val="110"/>
          <w:sz w:val="16"/>
        </w:rPr>
        <w:t> </w:t>
      </w:r>
      <w:r>
        <w:rPr>
          <w:w w:val="110"/>
          <w:sz w:val="16"/>
        </w:rPr>
        <w:t>y</w:t>
      </w:r>
      <w:r>
        <w:rPr>
          <w:spacing w:val="-13"/>
          <w:w w:val="110"/>
          <w:sz w:val="16"/>
        </w:rPr>
        <w:t> </w:t>
      </w:r>
      <w:r>
        <w:rPr>
          <w:w w:val="110"/>
          <w:sz w:val="16"/>
        </w:rPr>
        <w:t>el</w:t>
      </w:r>
      <w:r>
        <w:rPr>
          <w:spacing w:val="-13"/>
          <w:w w:val="110"/>
          <w:sz w:val="16"/>
        </w:rPr>
        <w:t> </w:t>
      </w:r>
      <w:r>
        <w:rPr>
          <w:w w:val="110"/>
          <w:sz w:val="16"/>
        </w:rPr>
        <w:t>decreto</w:t>
      </w:r>
      <w:r>
        <w:rPr>
          <w:spacing w:val="-13"/>
          <w:w w:val="110"/>
          <w:sz w:val="16"/>
        </w:rPr>
        <w:t> </w:t>
      </w:r>
      <w:r>
        <w:rPr>
          <w:w w:val="110"/>
          <w:sz w:val="16"/>
        </w:rPr>
        <w:t>del</w:t>
      </w:r>
      <w:r>
        <w:rPr>
          <w:spacing w:val="-13"/>
          <w:w w:val="110"/>
          <w:sz w:val="16"/>
        </w:rPr>
        <w:t> </w:t>
      </w:r>
      <w:r>
        <w:rPr>
          <w:w w:val="110"/>
          <w:sz w:val="16"/>
        </w:rPr>
        <w:t>Presidente</w:t>
      </w:r>
      <w:r>
        <w:rPr>
          <w:spacing w:val="-13"/>
          <w:w w:val="110"/>
          <w:sz w:val="16"/>
        </w:rPr>
        <w:t> </w:t>
      </w:r>
      <w:r>
        <w:rPr>
          <w:w w:val="110"/>
          <w:sz w:val="16"/>
        </w:rPr>
        <w:t>del</w:t>
      </w:r>
      <w:r>
        <w:rPr>
          <w:spacing w:val="-13"/>
          <w:w w:val="110"/>
          <w:sz w:val="16"/>
        </w:rPr>
        <w:t> </w:t>
      </w:r>
      <w:r>
        <w:rPr>
          <w:w w:val="110"/>
          <w:sz w:val="16"/>
        </w:rPr>
        <w:t>7</w:t>
      </w:r>
      <w:r>
        <w:rPr>
          <w:spacing w:val="-13"/>
          <w:w w:val="110"/>
          <w:sz w:val="16"/>
        </w:rPr>
        <w:t> </w:t>
      </w:r>
      <w:r>
        <w:rPr>
          <w:w w:val="110"/>
          <w:sz w:val="16"/>
        </w:rPr>
        <w:t>de</w:t>
      </w:r>
      <w:r>
        <w:rPr>
          <w:spacing w:val="-13"/>
          <w:w w:val="110"/>
          <w:sz w:val="16"/>
        </w:rPr>
        <w:t> </w:t>
      </w:r>
      <w:r>
        <w:rPr>
          <w:w w:val="110"/>
          <w:sz w:val="16"/>
        </w:rPr>
        <w:t>mayo</w:t>
      </w:r>
      <w:r>
        <w:rPr>
          <w:spacing w:val="-13"/>
          <w:w w:val="110"/>
          <w:sz w:val="16"/>
        </w:rPr>
        <w:t> </w:t>
      </w:r>
      <w:r>
        <w:rPr>
          <w:w w:val="110"/>
          <w:sz w:val="16"/>
        </w:rPr>
        <w:t>de</w:t>
      </w:r>
      <w:r>
        <w:rPr>
          <w:spacing w:val="-13"/>
          <w:w w:val="110"/>
          <w:sz w:val="16"/>
        </w:rPr>
        <w:t> </w:t>
      </w:r>
      <w:r>
        <w:rPr>
          <w:w w:val="110"/>
          <w:sz w:val="16"/>
        </w:rPr>
        <w:t>2012</w:t>
      </w:r>
      <w:r>
        <w:rPr>
          <w:spacing w:val="-13"/>
          <w:w w:val="110"/>
          <w:sz w:val="16"/>
        </w:rPr>
        <w:t> </w:t>
      </w:r>
      <w:r>
        <w:rPr>
          <w:w w:val="110"/>
          <w:sz w:val="16"/>
        </w:rPr>
        <w:t>“sobre</w:t>
      </w:r>
      <w:r>
        <w:rPr>
          <w:spacing w:val="-13"/>
          <w:w w:val="110"/>
          <w:sz w:val="16"/>
        </w:rPr>
        <w:t> </w:t>
      </w:r>
      <w:r>
        <w:rPr>
          <w:w w:val="110"/>
          <w:sz w:val="16"/>
        </w:rPr>
        <w:t>las</w:t>
      </w:r>
      <w:r>
        <w:rPr>
          <w:spacing w:val="-13"/>
          <w:w w:val="110"/>
          <w:sz w:val="16"/>
        </w:rPr>
        <w:t> </w:t>
      </w:r>
      <w:r>
        <w:rPr>
          <w:w w:val="110"/>
          <w:sz w:val="16"/>
        </w:rPr>
        <w:t>medidas para implementar la política exterior de la Federación de</w:t>
      </w:r>
      <w:r>
        <w:rPr>
          <w:spacing w:val="18"/>
          <w:w w:val="110"/>
          <w:sz w:val="16"/>
        </w:rPr>
        <w:t> </w:t>
      </w:r>
      <w:r>
        <w:rPr>
          <w:w w:val="110"/>
          <w:sz w:val="16"/>
        </w:rPr>
        <w:t>rusia”.</w:t>
      </w:r>
    </w:p>
    <w:p>
      <w:pPr>
        <w:pStyle w:val="ListParagraph"/>
        <w:numPr>
          <w:ilvl w:val="0"/>
          <w:numId w:val="3"/>
        </w:numPr>
        <w:tabs>
          <w:tab w:pos="586" w:val="left" w:leader="none"/>
        </w:tabs>
        <w:spacing w:line="242" w:lineRule="auto" w:before="57" w:after="0"/>
        <w:ind w:left="330" w:right="118" w:firstLine="0"/>
        <w:jc w:val="both"/>
        <w:rPr>
          <w:sz w:val="16"/>
        </w:rPr>
      </w:pPr>
      <w:r>
        <w:rPr>
          <w:w w:val="110"/>
          <w:sz w:val="16"/>
        </w:rPr>
        <w:t>resulta interesante para los efectos de este trabajo tener en cuenta el plantea- miento</w:t>
      </w:r>
      <w:r>
        <w:rPr>
          <w:spacing w:val="-12"/>
          <w:w w:val="110"/>
          <w:sz w:val="16"/>
        </w:rPr>
        <w:t> </w:t>
      </w:r>
      <w:r>
        <w:rPr>
          <w:w w:val="110"/>
          <w:sz w:val="16"/>
        </w:rPr>
        <w:t>teórico</w:t>
      </w:r>
      <w:r>
        <w:rPr>
          <w:spacing w:val="-12"/>
          <w:w w:val="110"/>
          <w:sz w:val="16"/>
        </w:rPr>
        <w:t> </w:t>
      </w:r>
      <w:r>
        <w:rPr>
          <w:w w:val="110"/>
          <w:sz w:val="16"/>
        </w:rPr>
        <w:t>acerca</w:t>
      </w:r>
      <w:r>
        <w:rPr>
          <w:spacing w:val="-12"/>
          <w:w w:val="110"/>
          <w:sz w:val="16"/>
        </w:rPr>
        <w:t> </w:t>
      </w:r>
      <w:r>
        <w:rPr>
          <w:w w:val="110"/>
          <w:sz w:val="16"/>
        </w:rPr>
        <w:t>de</w:t>
      </w:r>
      <w:r>
        <w:rPr>
          <w:spacing w:val="-12"/>
          <w:w w:val="110"/>
          <w:sz w:val="16"/>
        </w:rPr>
        <w:t> </w:t>
      </w:r>
      <w:r>
        <w:rPr>
          <w:w w:val="110"/>
          <w:sz w:val="16"/>
        </w:rPr>
        <w:t>las</w:t>
      </w:r>
      <w:r>
        <w:rPr>
          <w:spacing w:val="-12"/>
          <w:w w:val="110"/>
          <w:sz w:val="16"/>
        </w:rPr>
        <w:t> </w:t>
      </w:r>
      <w:r>
        <w:rPr>
          <w:w w:val="110"/>
          <w:sz w:val="16"/>
        </w:rPr>
        <w:t>dos</w:t>
      </w:r>
      <w:r>
        <w:rPr>
          <w:spacing w:val="-12"/>
          <w:w w:val="110"/>
          <w:sz w:val="16"/>
        </w:rPr>
        <w:t> </w:t>
      </w:r>
      <w:r>
        <w:rPr>
          <w:w w:val="110"/>
          <w:sz w:val="16"/>
        </w:rPr>
        <w:t>facciones</w:t>
      </w:r>
      <w:r>
        <w:rPr>
          <w:spacing w:val="-12"/>
          <w:w w:val="110"/>
          <w:sz w:val="16"/>
        </w:rPr>
        <w:t> </w:t>
      </w:r>
      <w:r>
        <w:rPr>
          <w:w w:val="110"/>
          <w:sz w:val="16"/>
        </w:rPr>
        <w:t>de</w:t>
      </w:r>
      <w:r>
        <w:rPr>
          <w:spacing w:val="-12"/>
          <w:w w:val="110"/>
          <w:sz w:val="16"/>
        </w:rPr>
        <w:t> </w:t>
      </w:r>
      <w:r>
        <w:rPr>
          <w:w w:val="110"/>
          <w:sz w:val="16"/>
        </w:rPr>
        <w:t>la</w:t>
      </w:r>
      <w:r>
        <w:rPr>
          <w:spacing w:val="-12"/>
          <w:w w:val="110"/>
          <w:sz w:val="16"/>
        </w:rPr>
        <w:t> </w:t>
      </w:r>
      <w:r>
        <w:rPr>
          <w:w w:val="110"/>
          <w:sz w:val="16"/>
        </w:rPr>
        <w:t>burguesía</w:t>
      </w:r>
      <w:r>
        <w:rPr>
          <w:spacing w:val="-12"/>
          <w:w w:val="110"/>
          <w:sz w:val="16"/>
        </w:rPr>
        <w:t> </w:t>
      </w:r>
      <w:r>
        <w:rPr>
          <w:w w:val="110"/>
          <w:sz w:val="16"/>
        </w:rPr>
        <w:t>norteamericana</w:t>
      </w:r>
      <w:r>
        <w:rPr>
          <w:spacing w:val="-12"/>
          <w:w w:val="110"/>
          <w:sz w:val="16"/>
        </w:rPr>
        <w:t> </w:t>
      </w:r>
      <w:r>
        <w:rPr>
          <w:w w:val="110"/>
          <w:sz w:val="16"/>
        </w:rPr>
        <w:t>como</w:t>
      </w:r>
      <w:r>
        <w:rPr>
          <w:spacing w:val="-12"/>
          <w:w w:val="110"/>
          <w:sz w:val="16"/>
        </w:rPr>
        <w:t> </w:t>
      </w:r>
      <w:r>
        <w:rPr>
          <w:w w:val="110"/>
          <w:sz w:val="16"/>
        </w:rPr>
        <w:t>polo de poder angloatlántico </w:t>
      </w:r>
      <w:r>
        <w:rPr>
          <w:spacing w:val="-4"/>
          <w:w w:val="110"/>
          <w:sz w:val="16"/>
        </w:rPr>
        <w:t>(Cfr. </w:t>
      </w:r>
      <w:r>
        <w:rPr>
          <w:w w:val="110"/>
          <w:sz w:val="16"/>
        </w:rPr>
        <w:t>Merino,</w:t>
      </w:r>
      <w:r>
        <w:rPr>
          <w:spacing w:val="-18"/>
          <w:w w:val="110"/>
          <w:sz w:val="16"/>
        </w:rPr>
        <w:t> </w:t>
      </w:r>
      <w:r>
        <w:rPr>
          <w:w w:val="110"/>
          <w:sz w:val="16"/>
        </w:rPr>
        <w:t>2014).</w:t>
      </w:r>
    </w:p>
    <w:p>
      <w:pPr>
        <w:pStyle w:val="ListParagraph"/>
        <w:numPr>
          <w:ilvl w:val="0"/>
          <w:numId w:val="3"/>
        </w:numPr>
        <w:tabs>
          <w:tab w:pos="586" w:val="left" w:leader="none"/>
        </w:tabs>
        <w:spacing w:line="242" w:lineRule="auto" w:before="57" w:after="0"/>
        <w:ind w:left="330" w:right="118" w:firstLine="0"/>
        <w:jc w:val="both"/>
        <w:rPr>
          <w:sz w:val="16"/>
        </w:rPr>
      </w:pPr>
      <w:r>
        <w:rPr>
          <w:w w:val="105"/>
          <w:sz w:val="16"/>
        </w:rPr>
        <w:t>En una entrevista en el periódico </w:t>
      </w:r>
      <w:r>
        <w:rPr>
          <w:i/>
          <w:w w:val="105"/>
          <w:sz w:val="16"/>
        </w:rPr>
        <w:t>New </w:t>
      </w:r>
      <w:r>
        <w:rPr>
          <w:i/>
          <w:spacing w:val="-4"/>
          <w:w w:val="105"/>
          <w:sz w:val="16"/>
        </w:rPr>
        <w:t>York </w:t>
      </w:r>
      <w:r>
        <w:rPr>
          <w:i/>
          <w:w w:val="105"/>
          <w:sz w:val="16"/>
        </w:rPr>
        <w:t>Times </w:t>
      </w:r>
      <w:r>
        <w:rPr>
          <w:w w:val="105"/>
          <w:sz w:val="16"/>
        </w:rPr>
        <w:t>del 5 de febrero de 2013, Henry Kissinger señalaba la necesidad de crear un concepto para desarrollar una estrategia periférica para golpear a los bloques de   </w:t>
      </w:r>
      <w:r>
        <w:rPr>
          <w:spacing w:val="3"/>
          <w:w w:val="105"/>
          <w:sz w:val="16"/>
        </w:rPr>
        <w:t> </w:t>
      </w:r>
      <w:r>
        <w:rPr>
          <w:spacing w:val="-3"/>
          <w:w w:val="105"/>
          <w:sz w:val="16"/>
        </w:rPr>
        <w:t>poder.</w:t>
      </w:r>
    </w:p>
    <w:p>
      <w:pPr>
        <w:spacing w:after="0" w:line="242" w:lineRule="auto"/>
        <w:jc w:val="both"/>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30"/>
        <w:jc w:val="both"/>
      </w:pPr>
      <w:r>
        <w:rPr>
          <w:w w:val="110"/>
        </w:rPr>
        <w:t>“reset” del presidente obama por considerarlo débil ante los rusos, contribuyó a crear un ambiente hostil en  Washington.</w:t>
      </w:r>
    </w:p>
    <w:p>
      <w:pPr>
        <w:pStyle w:val="BodyText"/>
        <w:spacing w:line="252" w:lineRule="auto"/>
        <w:ind w:left="120" w:right="328" w:firstLine="396"/>
        <w:jc w:val="both"/>
      </w:pPr>
      <w:r>
        <w:rPr>
          <w:w w:val="120"/>
        </w:rPr>
        <w:t>En</w:t>
      </w:r>
      <w:r>
        <w:rPr/>
        <w:t> </w:t>
      </w:r>
      <w:r>
        <w:rPr>
          <w:w w:val="111"/>
        </w:rPr>
        <w:t>Estados</w:t>
      </w:r>
      <w:r>
        <w:rPr/>
        <w:t> </w:t>
      </w:r>
      <w:r>
        <w:rPr>
          <w:w w:val="140"/>
        </w:rPr>
        <w:t>u</w:t>
      </w:r>
      <w:r>
        <w:rPr>
          <w:w w:val="110"/>
        </w:rPr>
        <w:t>nidos</w:t>
      </w:r>
      <w:r>
        <w:rPr/>
        <w:t> </w:t>
      </w:r>
      <w:r>
        <w:rPr>
          <w:w w:val="105"/>
        </w:rPr>
        <w:t>se</w:t>
      </w:r>
      <w:r>
        <w:rPr/>
        <w:t> </w:t>
      </w:r>
      <w:r>
        <w:rPr>
          <w:w w:val="109"/>
        </w:rPr>
        <w:t>aprobó</w:t>
      </w:r>
      <w:r>
        <w:rPr/>
        <w:t> </w:t>
      </w:r>
      <w:r>
        <w:rPr>
          <w:w w:val="111"/>
        </w:rPr>
        <w:t>la</w:t>
      </w:r>
      <w:r>
        <w:rPr/>
        <w:t> </w:t>
      </w:r>
      <w:r>
        <w:rPr>
          <w:w w:val="243"/>
        </w:rPr>
        <w:t>l</w:t>
      </w:r>
      <w:r>
        <w:rPr>
          <w:w w:val="104"/>
        </w:rPr>
        <w:t>ey</w:t>
      </w:r>
      <w:r>
        <w:rPr/>
        <w:t> </w:t>
      </w:r>
      <w:r>
        <w:rPr>
          <w:w w:val="111"/>
        </w:rPr>
        <w:t>Magnitsky</w:t>
      </w:r>
      <w:r>
        <w:rPr/>
        <w:t> </w:t>
      </w:r>
      <w:r>
        <w:rPr>
          <w:w w:val="108"/>
        </w:rPr>
        <w:t>que</w:t>
      </w:r>
      <w:r>
        <w:rPr/>
        <w:t> </w:t>
      </w:r>
      <w:r>
        <w:rPr>
          <w:w w:val="112"/>
        </w:rPr>
        <w:t>implicó</w:t>
      </w:r>
      <w:r>
        <w:rPr/>
        <w:t> </w:t>
      </w:r>
      <w:r>
        <w:rPr>
          <w:w w:val="110"/>
        </w:rPr>
        <w:t>san</w:t>
      </w:r>
      <w:r>
        <w:rPr>
          <w:w w:val="102"/>
        </w:rPr>
        <w:t>- </w:t>
      </w:r>
      <w:r>
        <w:rPr>
          <w:w w:val="110"/>
        </w:rPr>
        <w:t>ciones a determinados ciudadanos rusos por supuestas violaciones en el proceso judicial, lo que a su vez conllevó una ley similar de la duma rusa. Moscú expulsó a la </w:t>
      </w:r>
      <w:r>
        <w:rPr>
          <w:w w:val="130"/>
        </w:rPr>
        <w:t>aid </w:t>
      </w:r>
      <w:r>
        <w:rPr>
          <w:w w:val="110"/>
        </w:rPr>
        <w:t>en 2013, y aceptó otorgar asilo a Edward snowden, ex funcionario de la agencia de seguridad Nacional de Es- tados unidos y demandado por las autoridades del  país.</w:t>
      </w:r>
    </w:p>
    <w:p>
      <w:pPr>
        <w:pStyle w:val="BodyText"/>
        <w:spacing w:line="252" w:lineRule="auto"/>
        <w:ind w:left="120" w:right="328" w:firstLine="396"/>
        <w:jc w:val="both"/>
      </w:pPr>
      <w:r>
        <w:rPr>
          <w:w w:val="110"/>
        </w:rPr>
        <w:t>En esta etapa se activaron sensiblemente las políticas rusas bus- cando</w:t>
      </w:r>
      <w:r>
        <w:rPr>
          <w:spacing w:val="-7"/>
          <w:w w:val="110"/>
        </w:rPr>
        <w:t> </w:t>
      </w:r>
      <w:r>
        <w:rPr>
          <w:w w:val="110"/>
        </w:rPr>
        <w:t>diversificar</w:t>
      </w:r>
      <w:r>
        <w:rPr>
          <w:spacing w:val="-7"/>
          <w:w w:val="110"/>
        </w:rPr>
        <w:t> </w:t>
      </w:r>
      <w:r>
        <w:rPr>
          <w:w w:val="110"/>
        </w:rPr>
        <w:t>sus</w:t>
      </w:r>
      <w:r>
        <w:rPr>
          <w:spacing w:val="-7"/>
          <w:w w:val="110"/>
        </w:rPr>
        <w:t> </w:t>
      </w:r>
      <w:r>
        <w:rPr>
          <w:w w:val="110"/>
        </w:rPr>
        <w:t>relaciones</w:t>
      </w:r>
      <w:r>
        <w:rPr>
          <w:spacing w:val="-7"/>
          <w:w w:val="110"/>
        </w:rPr>
        <w:t> </w:t>
      </w:r>
      <w:r>
        <w:rPr>
          <w:w w:val="110"/>
        </w:rPr>
        <w:t>externas</w:t>
      </w:r>
      <w:r>
        <w:rPr>
          <w:spacing w:val="-7"/>
          <w:w w:val="110"/>
        </w:rPr>
        <w:t> </w:t>
      </w:r>
      <w:r>
        <w:rPr>
          <w:w w:val="110"/>
        </w:rPr>
        <w:t>con</w:t>
      </w:r>
      <w:r>
        <w:rPr>
          <w:spacing w:val="-7"/>
          <w:w w:val="110"/>
        </w:rPr>
        <w:t> </w:t>
      </w:r>
      <w:r>
        <w:rPr>
          <w:w w:val="110"/>
        </w:rPr>
        <w:t>los</w:t>
      </w:r>
      <w:r>
        <w:rPr>
          <w:spacing w:val="-7"/>
          <w:w w:val="110"/>
        </w:rPr>
        <w:t> </w:t>
      </w:r>
      <w:r>
        <w:rPr>
          <w:w w:val="110"/>
        </w:rPr>
        <w:t>países</w:t>
      </w:r>
      <w:r>
        <w:rPr>
          <w:spacing w:val="-7"/>
          <w:w w:val="110"/>
        </w:rPr>
        <w:t> </w:t>
      </w:r>
      <w:r>
        <w:rPr>
          <w:w w:val="150"/>
        </w:rPr>
        <w:t>briCs,</w:t>
      </w:r>
      <w:r>
        <w:rPr>
          <w:spacing w:val="-24"/>
          <w:w w:val="150"/>
        </w:rPr>
        <w:t> </w:t>
      </w:r>
      <w:r>
        <w:rPr>
          <w:w w:val="110"/>
        </w:rPr>
        <w:t>China y otros. Pese a este enrarecimiento de los nexos bilaterales, en la en- trevista que sostuvieron en el marco de la reunión del Foro de Coo- peración Económica asia-Pacífico (aPEC) en junio de 2013, ambos mandatarios reafirmaron su disposición de intensificar la</w:t>
      </w:r>
      <w:r>
        <w:rPr>
          <w:spacing w:val="-19"/>
          <w:w w:val="110"/>
        </w:rPr>
        <w:t> </w:t>
      </w:r>
      <w:r>
        <w:rPr>
          <w:w w:val="110"/>
        </w:rPr>
        <w:t>cooperación bilateral basada en los principios de “respeto mutuo, igualdad y res- </w:t>
      </w:r>
      <w:r>
        <w:rPr>
          <w:w w:val="107"/>
        </w:rPr>
        <w:t>peto</w:t>
      </w:r>
      <w:r>
        <w:rPr>
          <w:spacing w:val="6"/>
        </w:rPr>
        <w:t> </w:t>
      </w:r>
      <w:r>
        <w:rPr>
          <w:w w:val="110"/>
        </w:rPr>
        <w:t>genuino</w:t>
      </w:r>
      <w:r>
        <w:rPr>
          <w:spacing w:val="6"/>
        </w:rPr>
        <w:t> </w:t>
      </w:r>
      <w:r>
        <w:rPr>
          <w:w w:val="112"/>
        </w:rPr>
        <w:t>a</w:t>
      </w:r>
      <w:r>
        <w:rPr>
          <w:spacing w:val="6"/>
        </w:rPr>
        <w:t> </w:t>
      </w:r>
      <w:r>
        <w:rPr>
          <w:w w:val="108"/>
        </w:rPr>
        <w:t>los</w:t>
      </w:r>
      <w:r>
        <w:rPr>
          <w:spacing w:val="6"/>
        </w:rPr>
        <w:t> </w:t>
      </w:r>
      <w:r>
        <w:rPr>
          <w:w w:val="106"/>
        </w:rPr>
        <w:t>intereses</w:t>
      </w:r>
      <w:r>
        <w:rPr>
          <w:spacing w:val="6"/>
        </w:rPr>
        <w:t> </w:t>
      </w:r>
      <w:r>
        <w:rPr>
          <w:w w:val="107"/>
        </w:rPr>
        <w:t>de</w:t>
      </w:r>
      <w:r>
        <w:rPr>
          <w:spacing w:val="6"/>
        </w:rPr>
        <w:t> </w:t>
      </w:r>
      <w:r>
        <w:rPr>
          <w:w w:val="111"/>
        </w:rPr>
        <w:t>la</w:t>
      </w:r>
      <w:r>
        <w:rPr>
          <w:spacing w:val="6"/>
        </w:rPr>
        <w:t> </w:t>
      </w:r>
      <w:r>
        <w:rPr>
          <w:w w:val="110"/>
        </w:rPr>
        <w:t>contraparte”.</w:t>
      </w:r>
      <w:r>
        <w:rPr>
          <w:spacing w:val="6"/>
        </w:rPr>
        <w:t> </w:t>
      </w:r>
      <w:r>
        <w:rPr>
          <w:w w:val="243"/>
        </w:rPr>
        <w:t>l</w:t>
      </w:r>
      <w:r>
        <w:rPr>
          <w:w w:val="112"/>
        </w:rPr>
        <w:t>a</w:t>
      </w:r>
      <w:r>
        <w:rPr>
          <w:spacing w:val="6"/>
        </w:rPr>
        <w:t> </w:t>
      </w:r>
      <w:r>
        <w:rPr>
          <w:w w:val="110"/>
        </w:rPr>
        <w:t>eclosión</w:t>
      </w:r>
      <w:r>
        <w:rPr>
          <w:spacing w:val="6"/>
        </w:rPr>
        <w:t> </w:t>
      </w:r>
      <w:r>
        <w:rPr>
          <w:w w:val="107"/>
        </w:rPr>
        <w:t>de</w:t>
      </w:r>
      <w:r>
        <w:rPr>
          <w:spacing w:val="6"/>
        </w:rPr>
        <w:t> </w:t>
      </w:r>
      <w:r>
        <w:rPr>
          <w:w w:val="111"/>
        </w:rPr>
        <w:t>la</w:t>
      </w:r>
      <w:r>
        <w:rPr>
          <w:spacing w:val="6"/>
        </w:rPr>
        <w:t> </w:t>
      </w:r>
      <w:r>
        <w:rPr>
          <w:w w:val="109"/>
        </w:rPr>
        <w:t>crisis </w:t>
      </w:r>
      <w:r>
        <w:rPr>
          <w:w w:val="110"/>
        </w:rPr>
        <w:t>ucraniana, sin embargo, impidió una recuperación de los  </w:t>
      </w:r>
      <w:r>
        <w:rPr>
          <w:spacing w:val="30"/>
          <w:w w:val="110"/>
        </w:rPr>
        <w:t> </w:t>
      </w:r>
      <w:r>
        <w:rPr>
          <w:w w:val="110"/>
        </w:rPr>
        <w:t>nexos.</w:t>
      </w:r>
    </w:p>
    <w:p>
      <w:pPr>
        <w:pStyle w:val="BodyText"/>
        <w:spacing w:before="5"/>
      </w:pPr>
    </w:p>
    <w:p>
      <w:pPr>
        <w:pStyle w:val="Heading6"/>
        <w:spacing w:line="244" w:lineRule="auto"/>
        <w:ind w:left="121" w:right="1411" w:hanging="1"/>
        <w:jc w:val="left"/>
      </w:pPr>
      <w:r>
        <w:rPr>
          <w:w w:val="135"/>
        </w:rPr>
        <w:t>dináMica</w:t>
      </w:r>
      <w:r>
        <w:rPr>
          <w:spacing w:val="-31"/>
          <w:w w:val="135"/>
        </w:rPr>
        <w:t> </w:t>
      </w:r>
      <w:r>
        <w:rPr>
          <w:w w:val="135"/>
        </w:rPr>
        <w:t>de</w:t>
      </w:r>
      <w:r>
        <w:rPr>
          <w:spacing w:val="-31"/>
          <w:w w:val="135"/>
        </w:rPr>
        <w:t> </w:t>
      </w:r>
      <w:r>
        <w:rPr>
          <w:spacing w:val="2"/>
          <w:w w:val="135"/>
        </w:rPr>
        <w:t>las</w:t>
      </w:r>
      <w:r>
        <w:rPr>
          <w:spacing w:val="-31"/>
          <w:w w:val="135"/>
        </w:rPr>
        <w:t> </w:t>
      </w:r>
      <w:r>
        <w:rPr>
          <w:spacing w:val="2"/>
          <w:w w:val="135"/>
        </w:rPr>
        <w:t>relaciones</w:t>
      </w:r>
      <w:r>
        <w:rPr>
          <w:spacing w:val="-31"/>
          <w:w w:val="135"/>
        </w:rPr>
        <w:t> </w:t>
      </w:r>
      <w:r>
        <w:rPr>
          <w:w w:val="135"/>
        </w:rPr>
        <w:t>Bilaterales</w:t>
      </w:r>
      <w:r>
        <w:rPr>
          <w:spacing w:val="-31"/>
          <w:w w:val="135"/>
        </w:rPr>
        <w:t> </w:t>
      </w:r>
      <w:r>
        <w:rPr>
          <w:w w:val="135"/>
        </w:rPr>
        <w:t>en</w:t>
      </w:r>
      <w:r>
        <w:rPr>
          <w:spacing w:val="-32"/>
          <w:w w:val="135"/>
        </w:rPr>
        <w:t> </w:t>
      </w:r>
      <w:r>
        <w:rPr>
          <w:w w:val="120"/>
        </w:rPr>
        <w:t>2014: </w:t>
      </w:r>
      <w:r>
        <w:rPr>
          <w:w w:val="135"/>
        </w:rPr>
        <w:t>crisis</w:t>
      </w:r>
      <w:r>
        <w:rPr>
          <w:spacing w:val="-5"/>
          <w:w w:val="135"/>
        </w:rPr>
        <w:t> </w:t>
      </w:r>
      <w:r>
        <w:rPr>
          <w:w w:val="135"/>
        </w:rPr>
        <w:t>ucraniana</w:t>
      </w:r>
    </w:p>
    <w:p>
      <w:pPr>
        <w:pStyle w:val="BodyText"/>
        <w:spacing w:line="252" w:lineRule="auto" w:before="5"/>
        <w:ind w:left="120" w:right="328"/>
        <w:jc w:val="both"/>
        <w:rPr>
          <w:sz w:val="11"/>
        </w:rPr>
      </w:pPr>
      <w:r>
        <w:rPr>
          <w:w w:val="115"/>
        </w:rPr>
        <w:t>Como resultado de este enfrentamiento –que para ambas partes ha representado</w:t>
      </w:r>
      <w:r>
        <w:rPr>
          <w:spacing w:val="-9"/>
          <w:w w:val="115"/>
        </w:rPr>
        <w:t> </w:t>
      </w:r>
      <w:r>
        <w:rPr>
          <w:w w:val="115"/>
        </w:rPr>
        <w:t>una</w:t>
      </w:r>
      <w:r>
        <w:rPr>
          <w:spacing w:val="-9"/>
          <w:w w:val="115"/>
        </w:rPr>
        <w:t> </w:t>
      </w:r>
      <w:r>
        <w:rPr>
          <w:w w:val="115"/>
        </w:rPr>
        <w:t>prioridad–</w:t>
      </w:r>
      <w:r>
        <w:rPr>
          <w:spacing w:val="-9"/>
          <w:w w:val="115"/>
        </w:rPr>
        <w:t> </w:t>
      </w:r>
      <w:r>
        <w:rPr>
          <w:w w:val="115"/>
        </w:rPr>
        <w:t>las</w:t>
      </w:r>
      <w:r>
        <w:rPr>
          <w:spacing w:val="-9"/>
          <w:w w:val="115"/>
        </w:rPr>
        <w:t> </w:t>
      </w:r>
      <w:r>
        <w:rPr>
          <w:w w:val="115"/>
        </w:rPr>
        <w:t>relaciones</w:t>
      </w:r>
      <w:r>
        <w:rPr>
          <w:spacing w:val="-9"/>
          <w:w w:val="115"/>
        </w:rPr>
        <w:t> </w:t>
      </w:r>
      <w:r>
        <w:rPr>
          <w:w w:val="115"/>
        </w:rPr>
        <w:t>han</w:t>
      </w:r>
      <w:r>
        <w:rPr>
          <w:spacing w:val="-9"/>
          <w:w w:val="115"/>
        </w:rPr>
        <w:t> </w:t>
      </w:r>
      <w:r>
        <w:rPr>
          <w:w w:val="115"/>
        </w:rPr>
        <w:t>pasado</w:t>
      </w:r>
      <w:r>
        <w:rPr>
          <w:spacing w:val="-9"/>
          <w:w w:val="115"/>
        </w:rPr>
        <w:t> </w:t>
      </w:r>
      <w:r>
        <w:rPr>
          <w:w w:val="115"/>
        </w:rPr>
        <w:t>a</w:t>
      </w:r>
      <w:r>
        <w:rPr>
          <w:spacing w:val="-9"/>
          <w:w w:val="115"/>
        </w:rPr>
        <w:t> </w:t>
      </w:r>
      <w:r>
        <w:rPr>
          <w:w w:val="115"/>
        </w:rPr>
        <w:t>privilegiar los conflictos por encima de las coincidencias. se han detenido to- dos los programas de cooperación existentes en la agenda bilateral rusia-Estados unidos, no sesiona la Comisión bilateral de alto</w:t>
      </w:r>
      <w:r>
        <w:rPr>
          <w:spacing w:val="-32"/>
          <w:w w:val="115"/>
        </w:rPr>
        <w:t> </w:t>
      </w:r>
      <w:r>
        <w:rPr>
          <w:w w:val="115"/>
        </w:rPr>
        <w:t>Nivel, se interrumpió la colaboración en el marco del Consejo rusia-otaN, se han impuesto sanciones económicas importantes, sobre todo de Estados</w:t>
      </w:r>
      <w:r>
        <w:rPr>
          <w:spacing w:val="-14"/>
          <w:w w:val="115"/>
        </w:rPr>
        <w:t> </w:t>
      </w:r>
      <w:r>
        <w:rPr>
          <w:w w:val="115"/>
        </w:rPr>
        <w:t>unidos</w:t>
      </w:r>
      <w:r>
        <w:rPr>
          <w:spacing w:val="-14"/>
          <w:w w:val="115"/>
        </w:rPr>
        <w:t> </w:t>
      </w:r>
      <w:r>
        <w:rPr>
          <w:w w:val="115"/>
        </w:rPr>
        <w:t>a</w:t>
      </w:r>
      <w:r>
        <w:rPr>
          <w:spacing w:val="-14"/>
          <w:w w:val="115"/>
        </w:rPr>
        <w:t> </w:t>
      </w:r>
      <w:r>
        <w:rPr>
          <w:w w:val="115"/>
        </w:rPr>
        <w:t>rusia,</w:t>
      </w:r>
      <w:r>
        <w:rPr>
          <w:spacing w:val="-14"/>
          <w:w w:val="115"/>
        </w:rPr>
        <w:t> </w:t>
      </w:r>
      <w:r>
        <w:rPr>
          <w:w w:val="115"/>
        </w:rPr>
        <w:t>y</w:t>
      </w:r>
      <w:r>
        <w:rPr>
          <w:spacing w:val="-14"/>
          <w:w w:val="115"/>
        </w:rPr>
        <w:t> </w:t>
      </w:r>
      <w:r>
        <w:rPr>
          <w:w w:val="115"/>
        </w:rPr>
        <w:t>ha</w:t>
      </w:r>
      <w:r>
        <w:rPr>
          <w:spacing w:val="-14"/>
          <w:w w:val="115"/>
        </w:rPr>
        <w:t> </w:t>
      </w:r>
      <w:r>
        <w:rPr>
          <w:w w:val="115"/>
        </w:rPr>
        <w:t>crecido</w:t>
      </w:r>
      <w:r>
        <w:rPr>
          <w:spacing w:val="-14"/>
          <w:w w:val="115"/>
        </w:rPr>
        <w:t> </w:t>
      </w:r>
      <w:r>
        <w:rPr>
          <w:w w:val="115"/>
        </w:rPr>
        <w:t>la</w:t>
      </w:r>
      <w:r>
        <w:rPr>
          <w:spacing w:val="-14"/>
          <w:w w:val="115"/>
        </w:rPr>
        <w:t> </w:t>
      </w:r>
      <w:r>
        <w:rPr>
          <w:w w:val="115"/>
        </w:rPr>
        <w:t>tensión</w:t>
      </w:r>
      <w:r>
        <w:rPr>
          <w:spacing w:val="-14"/>
          <w:w w:val="115"/>
        </w:rPr>
        <w:t> </w:t>
      </w:r>
      <w:r>
        <w:rPr>
          <w:w w:val="115"/>
        </w:rPr>
        <w:t>militar</w:t>
      </w:r>
      <w:r>
        <w:rPr>
          <w:spacing w:val="-14"/>
          <w:w w:val="115"/>
        </w:rPr>
        <w:t> </w:t>
      </w:r>
      <w:r>
        <w:rPr>
          <w:w w:val="115"/>
        </w:rPr>
        <w:t>con</w:t>
      </w:r>
      <w:r>
        <w:rPr>
          <w:spacing w:val="-14"/>
          <w:w w:val="115"/>
        </w:rPr>
        <w:t> </w:t>
      </w:r>
      <w:r>
        <w:rPr>
          <w:w w:val="115"/>
        </w:rPr>
        <w:t>movimien- tos</w:t>
      </w:r>
      <w:r>
        <w:rPr>
          <w:spacing w:val="-7"/>
          <w:w w:val="115"/>
        </w:rPr>
        <w:t> </w:t>
      </w:r>
      <w:r>
        <w:rPr>
          <w:w w:val="115"/>
        </w:rPr>
        <w:t>de</w:t>
      </w:r>
      <w:r>
        <w:rPr>
          <w:spacing w:val="-7"/>
          <w:w w:val="115"/>
        </w:rPr>
        <w:t> </w:t>
      </w:r>
      <w:r>
        <w:rPr>
          <w:w w:val="115"/>
        </w:rPr>
        <w:t>tropas</w:t>
      </w:r>
      <w:r>
        <w:rPr>
          <w:spacing w:val="-7"/>
          <w:w w:val="115"/>
        </w:rPr>
        <w:t> </w:t>
      </w:r>
      <w:r>
        <w:rPr>
          <w:w w:val="115"/>
        </w:rPr>
        <w:t>y</w:t>
      </w:r>
      <w:r>
        <w:rPr>
          <w:spacing w:val="-7"/>
          <w:w w:val="115"/>
        </w:rPr>
        <w:t> </w:t>
      </w:r>
      <w:r>
        <w:rPr>
          <w:w w:val="115"/>
        </w:rPr>
        <w:t>efectivos</w:t>
      </w:r>
      <w:r>
        <w:rPr>
          <w:spacing w:val="-7"/>
          <w:w w:val="115"/>
        </w:rPr>
        <w:t> </w:t>
      </w:r>
      <w:r>
        <w:rPr>
          <w:w w:val="115"/>
        </w:rPr>
        <w:t>que</w:t>
      </w:r>
      <w:r>
        <w:rPr>
          <w:spacing w:val="-7"/>
          <w:w w:val="115"/>
        </w:rPr>
        <w:t> </w:t>
      </w:r>
      <w:r>
        <w:rPr>
          <w:w w:val="115"/>
        </w:rPr>
        <w:t>no</w:t>
      </w:r>
      <w:r>
        <w:rPr>
          <w:spacing w:val="-7"/>
          <w:w w:val="115"/>
        </w:rPr>
        <w:t> </w:t>
      </w:r>
      <w:r>
        <w:rPr>
          <w:w w:val="115"/>
        </w:rPr>
        <w:t>se</w:t>
      </w:r>
      <w:r>
        <w:rPr>
          <w:spacing w:val="-7"/>
          <w:w w:val="115"/>
        </w:rPr>
        <w:t> </w:t>
      </w:r>
      <w:r>
        <w:rPr>
          <w:w w:val="115"/>
        </w:rPr>
        <w:t>veían</w:t>
      </w:r>
      <w:r>
        <w:rPr>
          <w:spacing w:val="-7"/>
          <w:w w:val="115"/>
        </w:rPr>
        <w:t> </w:t>
      </w:r>
      <w:r>
        <w:rPr>
          <w:w w:val="115"/>
        </w:rPr>
        <w:t>desde</w:t>
      </w:r>
      <w:r>
        <w:rPr>
          <w:spacing w:val="-7"/>
          <w:w w:val="115"/>
        </w:rPr>
        <w:t> </w:t>
      </w:r>
      <w:r>
        <w:rPr>
          <w:w w:val="115"/>
        </w:rPr>
        <w:t>tiempos</w:t>
      </w:r>
      <w:r>
        <w:rPr>
          <w:spacing w:val="-7"/>
          <w:w w:val="115"/>
        </w:rPr>
        <w:t> </w:t>
      </w:r>
      <w:r>
        <w:rPr>
          <w:w w:val="115"/>
        </w:rPr>
        <w:t>de</w:t>
      </w:r>
      <w:r>
        <w:rPr>
          <w:spacing w:val="-7"/>
          <w:w w:val="115"/>
        </w:rPr>
        <w:t> </w:t>
      </w:r>
      <w:r>
        <w:rPr>
          <w:w w:val="115"/>
        </w:rPr>
        <w:t>la</w:t>
      </w:r>
      <w:r>
        <w:rPr>
          <w:spacing w:val="-7"/>
          <w:w w:val="115"/>
        </w:rPr>
        <w:t> </w:t>
      </w:r>
      <w:r>
        <w:rPr>
          <w:w w:val="115"/>
        </w:rPr>
        <w:t>Guerra </w:t>
      </w:r>
      <w:r>
        <w:rPr>
          <w:w w:val="116"/>
        </w:rPr>
        <w:t>Fría.</w:t>
      </w:r>
      <w:r>
        <w:rPr>
          <w:spacing w:val="15"/>
        </w:rPr>
        <w:t> </w:t>
      </w:r>
      <w:r>
        <w:rPr>
          <w:w w:val="122"/>
        </w:rPr>
        <w:t>El</w:t>
      </w:r>
      <w:r>
        <w:rPr>
          <w:spacing w:val="15"/>
        </w:rPr>
        <w:t> </w:t>
      </w:r>
      <w:r>
        <w:rPr>
          <w:w w:val="110"/>
        </w:rPr>
        <w:t>Congreso</w:t>
      </w:r>
      <w:r>
        <w:rPr>
          <w:spacing w:val="15"/>
        </w:rPr>
        <w:t> </w:t>
      </w:r>
      <w:r>
        <w:rPr>
          <w:w w:val="110"/>
        </w:rPr>
        <w:t>norteamericano</w:t>
      </w:r>
      <w:r>
        <w:rPr>
          <w:spacing w:val="15"/>
        </w:rPr>
        <w:t> </w:t>
      </w:r>
      <w:r>
        <w:rPr>
          <w:w w:val="109"/>
        </w:rPr>
        <w:t>aprobó</w:t>
      </w:r>
      <w:r>
        <w:rPr>
          <w:spacing w:val="15"/>
        </w:rPr>
        <w:t> </w:t>
      </w:r>
      <w:r>
        <w:rPr>
          <w:w w:val="111"/>
        </w:rPr>
        <w:t>la</w:t>
      </w:r>
      <w:r>
        <w:rPr>
          <w:spacing w:val="15"/>
        </w:rPr>
        <w:t> </w:t>
      </w:r>
      <w:r>
        <w:rPr>
          <w:w w:val="243"/>
        </w:rPr>
        <w:t>l</w:t>
      </w:r>
      <w:r>
        <w:rPr>
          <w:w w:val="104"/>
        </w:rPr>
        <w:t>ey</w:t>
      </w:r>
      <w:r>
        <w:rPr>
          <w:spacing w:val="15"/>
        </w:rPr>
        <w:t> </w:t>
      </w:r>
      <w:r>
        <w:rPr>
          <w:w w:val="107"/>
        </w:rPr>
        <w:t>sobre</w:t>
      </w:r>
      <w:r>
        <w:rPr>
          <w:spacing w:val="15"/>
        </w:rPr>
        <w:t> </w:t>
      </w:r>
      <w:r>
        <w:rPr>
          <w:w w:val="111"/>
        </w:rPr>
        <w:t>la</w:t>
      </w:r>
      <w:r>
        <w:rPr>
          <w:spacing w:val="15"/>
        </w:rPr>
        <w:t> </w:t>
      </w:r>
      <w:r>
        <w:rPr>
          <w:w w:val="243"/>
        </w:rPr>
        <w:t>l</w:t>
      </w:r>
      <w:r>
        <w:rPr>
          <w:w w:val="108"/>
        </w:rPr>
        <w:t>ibertad</w:t>
      </w:r>
      <w:r>
        <w:rPr>
          <w:spacing w:val="15"/>
        </w:rPr>
        <w:t> </w:t>
      </w:r>
      <w:r>
        <w:rPr>
          <w:w w:val="108"/>
        </w:rPr>
        <w:t>en </w:t>
      </w:r>
      <w:r>
        <w:rPr>
          <w:w w:val="115"/>
        </w:rPr>
        <w:t>ucrania, que le brinda al presidente las potestades necesarias para, si</w:t>
      </w:r>
      <w:r>
        <w:rPr>
          <w:spacing w:val="-11"/>
          <w:w w:val="115"/>
        </w:rPr>
        <w:t> </w:t>
      </w:r>
      <w:r>
        <w:rPr>
          <w:w w:val="115"/>
        </w:rPr>
        <w:t>lo</w:t>
      </w:r>
      <w:r>
        <w:rPr>
          <w:spacing w:val="-11"/>
          <w:w w:val="115"/>
        </w:rPr>
        <w:t> </w:t>
      </w:r>
      <w:r>
        <w:rPr>
          <w:w w:val="115"/>
        </w:rPr>
        <w:t>considera,</w:t>
      </w:r>
      <w:r>
        <w:rPr>
          <w:spacing w:val="-11"/>
          <w:w w:val="115"/>
        </w:rPr>
        <w:t> </w:t>
      </w:r>
      <w:r>
        <w:rPr>
          <w:w w:val="115"/>
        </w:rPr>
        <w:t>escalar</w:t>
      </w:r>
      <w:r>
        <w:rPr>
          <w:spacing w:val="-11"/>
          <w:w w:val="115"/>
        </w:rPr>
        <w:t> </w:t>
      </w:r>
      <w:r>
        <w:rPr>
          <w:w w:val="115"/>
        </w:rPr>
        <w:t>el</w:t>
      </w:r>
      <w:r>
        <w:rPr>
          <w:spacing w:val="-11"/>
          <w:w w:val="115"/>
        </w:rPr>
        <w:t> </w:t>
      </w:r>
      <w:r>
        <w:rPr>
          <w:w w:val="115"/>
        </w:rPr>
        <w:t>conflicto</w:t>
      </w:r>
      <w:r>
        <w:rPr>
          <w:spacing w:val="-11"/>
          <w:w w:val="115"/>
        </w:rPr>
        <w:t> </w:t>
      </w:r>
      <w:r>
        <w:rPr>
          <w:w w:val="115"/>
        </w:rPr>
        <w:t>ucraniano</w:t>
      </w:r>
      <w:r>
        <w:rPr>
          <w:spacing w:val="-11"/>
          <w:w w:val="115"/>
        </w:rPr>
        <w:t> </w:t>
      </w:r>
      <w:r>
        <w:rPr>
          <w:w w:val="115"/>
        </w:rPr>
        <w:t>sin</w:t>
      </w:r>
      <w:r>
        <w:rPr>
          <w:spacing w:val="-11"/>
          <w:w w:val="115"/>
        </w:rPr>
        <w:t> </w:t>
      </w:r>
      <w:r>
        <w:rPr>
          <w:w w:val="115"/>
        </w:rPr>
        <w:t>llegar</w:t>
      </w:r>
      <w:r>
        <w:rPr>
          <w:spacing w:val="-11"/>
          <w:w w:val="115"/>
        </w:rPr>
        <w:t> </w:t>
      </w:r>
      <w:r>
        <w:rPr>
          <w:w w:val="115"/>
        </w:rPr>
        <w:t>a</w:t>
      </w:r>
      <w:r>
        <w:rPr>
          <w:spacing w:val="-11"/>
          <w:w w:val="115"/>
        </w:rPr>
        <w:t> </w:t>
      </w:r>
      <w:r>
        <w:rPr>
          <w:w w:val="115"/>
        </w:rPr>
        <w:t>desatar</w:t>
      </w:r>
      <w:r>
        <w:rPr>
          <w:spacing w:val="-11"/>
          <w:w w:val="115"/>
        </w:rPr>
        <w:t> </w:t>
      </w:r>
      <w:r>
        <w:rPr>
          <w:w w:val="115"/>
        </w:rPr>
        <w:t>una conflagración bélica con</w:t>
      </w:r>
      <w:r>
        <w:rPr>
          <w:spacing w:val="-5"/>
          <w:w w:val="115"/>
        </w:rPr>
        <w:t> </w:t>
      </w:r>
      <w:r>
        <w:rPr>
          <w:w w:val="115"/>
        </w:rPr>
        <w:t>rusia.</w:t>
      </w:r>
      <w:r>
        <w:rPr>
          <w:w w:val="115"/>
          <w:position w:val="7"/>
          <w:sz w:val="11"/>
        </w:rPr>
        <w:t>7</w:t>
      </w:r>
    </w:p>
    <w:p>
      <w:pPr>
        <w:pStyle w:val="BodyText"/>
        <w:spacing w:line="252" w:lineRule="auto"/>
        <w:ind w:left="120" w:right="328" w:firstLine="396"/>
        <w:jc w:val="both"/>
      </w:pPr>
      <w:r>
        <w:rPr>
          <w:w w:val="243"/>
        </w:rPr>
        <w:t>l</w:t>
      </w:r>
      <w:r>
        <w:rPr>
          <w:w w:val="112"/>
        </w:rPr>
        <w:t>a</w:t>
      </w:r>
      <w:r>
        <w:rPr/>
        <w:t> </w:t>
      </w:r>
      <w:r>
        <w:rPr>
          <w:spacing w:val="-15"/>
        </w:rPr>
        <w:t> </w:t>
      </w:r>
      <w:r>
        <w:rPr>
          <w:w w:val="109"/>
        </w:rPr>
        <w:t>retórica</w:t>
      </w:r>
      <w:r>
        <w:rPr/>
        <w:t> </w:t>
      </w:r>
      <w:r>
        <w:rPr>
          <w:spacing w:val="-15"/>
        </w:rPr>
        <w:t> </w:t>
      </w:r>
      <w:r>
        <w:rPr>
          <w:w w:val="111"/>
        </w:rPr>
        <w:t>ideológica</w:t>
      </w:r>
      <w:r>
        <w:rPr/>
        <w:t> </w:t>
      </w:r>
      <w:r>
        <w:rPr>
          <w:spacing w:val="-15"/>
        </w:rPr>
        <w:t> </w:t>
      </w:r>
      <w:r>
        <w:rPr>
          <w:w w:val="106"/>
        </w:rPr>
        <w:t>desde</w:t>
      </w:r>
      <w:r>
        <w:rPr/>
        <w:t> </w:t>
      </w:r>
      <w:r>
        <w:rPr>
          <w:spacing w:val="-15"/>
        </w:rPr>
        <w:t> </w:t>
      </w:r>
      <w:r>
        <w:rPr>
          <w:w w:val="110"/>
        </w:rPr>
        <w:t>ambos</w:t>
      </w:r>
      <w:r>
        <w:rPr/>
        <w:t> </w:t>
      </w:r>
      <w:r>
        <w:rPr>
          <w:spacing w:val="-15"/>
        </w:rPr>
        <w:t> </w:t>
      </w:r>
      <w:r>
        <w:rPr>
          <w:w w:val="109"/>
        </w:rPr>
        <w:t>lados</w:t>
      </w:r>
      <w:r>
        <w:rPr/>
        <w:t> </w:t>
      </w:r>
      <w:r>
        <w:rPr>
          <w:spacing w:val="-15"/>
        </w:rPr>
        <w:t> </w:t>
      </w:r>
      <w:r>
        <w:rPr>
          <w:w w:val="112"/>
        </w:rPr>
        <w:t>ha</w:t>
      </w:r>
      <w:r>
        <w:rPr/>
        <w:t> </w:t>
      </w:r>
      <w:r>
        <w:rPr>
          <w:spacing w:val="-15"/>
        </w:rPr>
        <w:t> </w:t>
      </w:r>
      <w:r>
        <w:rPr>
          <w:w w:val="110"/>
        </w:rPr>
        <w:t>crecido</w:t>
      </w:r>
      <w:r>
        <w:rPr/>
        <w:t> </w:t>
      </w:r>
      <w:r>
        <w:rPr>
          <w:spacing w:val="-15"/>
        </w:rPr>
        <w:t> </w:t>
      </w:r>
      <w:r>
        <w:rPr>
          <w:w w:val="107"/>
        </w:rPr>
        <w:t>de</w:t>
      </w:r>
      <w:r>
        <w:rPr/>
        <w:t> </w:t>
      </w:r>
      <w:r>
        <w:rPr>
          <w:spacing w:val="-15"/>
        </w:rPr>
        <w:t> </w:t>
      </w:r>
      <w:r>
        <w:rPr>
          <w:w w:val="110"/>
        </w:rPr>
        <w:t>manera </w:t>
      </w:r>
      <w:r>
        <w:rPr>
          <w:w w:val="115"/>
        </w:rPr>
        <w:t>exponencial</w:t>
      </w:r>
      <w:r>
        <w:rPr>
          <w:spacing w:val="-19"/>
          <w:w w:val="115"/>
        </w:rPr>
        <w:t> </w:t>
      </w:r>
      <w:r>
        <w:rPr>
          <w:w w:val="115"/>
        </w:rPr>
        <w:t>y</w:t>
      </w:r>
      <w:r>
        <w:rPr>
          <w:spacing w:val="-19"/>
          <w:w w:val="115"/>
        </w:rPr>
        <w:t> </w:t>
      </w:r>
      <w:r>
        <w:rPr>
          <w:w w:val="115"/>
        </w:rPr>
        <w:t>no</w:t>
      </w:r>
      <w:r>
        <w:rPr>
          <w:spacing w:val="-19"/>
          <w:w w:val="115"/>
        </w:rPr>
        <w:t> </w:t>
      </w:r>
      <w:r>
        <w:rPr>
          <w:w w:val="115"/>
        </w:rPr>
        <w:t>se</w:t>
      </w:r>
      <w:r>
        <w:rPr>
          <w:spacing w:val="-19"/>
          <w:w w:val="115"/>
        </w:rPr>
        <w:t> </w:t>
      </w:r>
      <w:r>
        <w:rPr>
          <w:w w:val="115"/>
        </w:rPr>
        <w:t>oía</w:t>
      </w:r>
      <w:r>
        <w:rPr>
          <w:spacing w:val="-19"/>
          <w:w w:val="115"/>
        </w:rPr>
        <w:t> </w:t>
      </w:r>
      <w:r>
        <w:rPr>
          <w:w w:val="115"/>
        </w:rPr>
        <w:t>de</w:t>
      </w:r>
      <w:r>
        <w:rPr>
          <w:spacing w:val="-19"/>
          <w:w w:val="115"/>
        </w:rPr>
        <w:t> </w:t>
      </w:r>
      <w:r>
        <w:rPr>
          <w:w w:val="115"/>
        </w:rPr>
        <w:t>esa</w:t>
      </w:r>
      <w:r>
        <w:rPr>
          <w:spacing w:val="-19"/>
          <w:w w:val="115"/>
        </w:rPr>
        <w:t> </w:t>
      </w:r>
      <w:r>
        <w:rPr>
          <w:w w:val="115"/>
        </w:rPr>
        <w:t>manera</w:t>
      </w:r>
      <w:r>
        <w:rPr>
          <w:spacing w:val="-19"/>
          <w:w w:val="115"/>
        </w:rPr>
        <w:t> </w:t>
      </w:r>
      <w:r>
        <w:rPr>
          <w:w w:val="115"/>
        </w:rPr>
        <w:t>desde</w:t>
      </w:r>
      <w:r>
        <w:rPr>
          <w:spacing w:val="-19"/>
          <w:w w:val="115"/>
        </w:rPr>
        <w:t> </w:t>
      </w:r>
      <w:r>
        <w:rPr>
          <w:w w:val="115"/>
        </w:rPr>
        <w:t>los</w:t>
      </w:r>
      <w:r>
        <w:rPr>
          <w:spacing w:val="-19"/>
          <w:w w:val="115"/>
        </w:rPr>
        <w:t> </w:t>
      </w:r>
      <w:r>
        <w:rPr>
          <w:w w:val="115"/>
        </w:rPr>
        <w:t>peores</w:t>
      </w:r>
      <w:r>
        <w:rPr>
          <w:spacing w:val="-19"/>
          <w:w w:val="115"/>
        </w:rPr>
        <w:t> </w:t>
      </w:r>
      <w:r>
        <w:rPr>
          <w:w w:val="115"/>
        </w:rPr>
        <w:t>momentos</w:t>
      </w:r>
      <w:r>
        <w:rPr>
          <w:spacing w:val="-19"/>
          <w:w w:val="115"/>
        </w:rPr>
        <w:t> </w:t>
      </w:r>
      <w:r>
        <w:rPr>
          <w:w w:val="115"/>
        </w:rPr>
        <w:t>de la</w:t>
      </w:r>
      <w:r>
        <w:rPr>
          <w:spacing w:val="-6"/>
          <w:w w:val="115"/>
        </w:rPr>
        <w:t> </w:t>
      </w:r>
      <w:r>
        <w:rPr>
          <w:w w:val="115"/>
        </w:rPr>
        <w:t>Guerra</w:t>
      </w:r>
      <w:r>
        <w:rPr>
          <w:spacing w:val="-6"/>
          <w:w w:val="115"/>
        </w:rPr>
        <w:t> </w:t>
      </w:r>
      <w:r>
        <w:rPr>
          <w:w w:val="115"/>
        </w:rPr>
        <w:t>Fría.</w:t>
      </w:r>
      <w:r>
        <w:rPr>
          <w:spacing w:val="-6"/>
          <w:w w:val="115"/>
        </w:rPr>
        <w:t> </w:t>
      </w:r>
      <w:r>
        <w:rPr>
          <w:w w:val="115"/>
        </w:rPr>
        <w:t>obama</w:t>
      </w:r>
      <w:r>
        <w:rPr>
          <w:spacing w:val="-6"/>
          <w:w w:val="115"/>
        </w:rPr>
        <w:t> </w:t>
      </w:r>
      <w:r>
        <w:rPr>
          <w:w w:val="115"/>
        </w:rPr>
        <w:t>calificó</w:t>
      </w:r>
      <w:r>
        <w:rPr>
          <w:spacing w:val="-6"/>
          <w:w w:val="115"/>
        </w:rPr>
        <w:t> </w:t>
      </w:r>
      <w:r>
        <w:rPr>
          <w:w w:val="115"/>
        </w:rPr>
        <w:t>en</w:t>
      </w:r>
      <w:r>
        <w:rPr>
          <w:spacing w:val="-6"/>
          <w:w w:val="115"/>
        </w:rPr>
        <w:t> </w:t>
      </w:r>
      <w:r>
        <w:rPr>
          <w:w w:val="115"/>
        </w:rPr>
        <w:t>su</w:t>
      </w:r>
      <w:r>
        <w:rPr>
          <w:spacing w:val="-6"/>
          <w:w w:val="115"/>
        </w:rPr>
        <w:t> </w:t>
      </w:r>
      <w:r>
        <w:rPr>
          <w:w w:val="115"/>
        </w:rPr>
        <w:t>discurso</w:t>
      </w:r>
      <w:r>
        <w:rPr>
          <w:spacing w:val="-6"/>
          <w:w w:val="115"/>
        </w:rPr>
        <w:t> </w:t>
      </w:r>
      <w:r>
        <w:rPr>
          <w:w w:val="115"/>
        </w:rPr>
        <w:t>en</w:t>
      </w:r>
      <w:r>
        <w:rPr>
          <w:spacing w:val="-6"/>
          <w:w w:val="115"/>
        </w:rPr>
        <w:t> </w:t>
      </w:r>
      <w:r>
        <w:rPr>
          <w:w w:val="115"/>
        </w:rPr>
        <w:t>la</w:t>
      </w:r>
      <w:r>
        <w:rPr>
          <w:spacing w:val="-6"/>
          <w:w w:val="115"/>
        </w:rPr>
        <w:t> </w:t>
      </w:r>
      <w:r>
        <w:rPr>
          <w:w w:val="115"/>
        </w:rPr>
        <w:t>asamblea</w:t>
      </w:r>
      <w:r>
        <w:rPr>
          <w:spacing w:val="-6"/>
          <w:w w:val="115"/>
        </w:rPr>
        <w:t> </w:t>
      </w:r>
      <w:r>
        <w:rPr>
          <w:w w:val="115"/>
        </w:rPr>
        <w:t>General de</w:t>
      </w:r>
      <w:r>
        <w:rPr>
          <w:spacing w:val="-8"/>
          <w:w w:val="115"/>
        </w:rPr>
        <w:t> </w:t>
      </w:r>
      <w:r>
        <w:rPr>
          <w:w w:val="115"/>
        </w:rPr>
        <w:t>la</w:t>
      </w:r>
      <w:r>
        <w:rPr>
          <w:spacing w:val="-8"/>
          <w:w w:val="115"/>
        </w:rPr>
        <w:t> </w:t>
      </w:r>
      <w:r>
        <w:rPr>
          <w:w w:val="115"/>
        </w:rPr>
        <w:t>oNu</w:t>
      </w:r>
      <w:r>
        <w:rPr>
          <w:spacing w:val="-8"/>
          <w:w w:val="115"/>
        </w:rPr>
        <w:t> </w:t>
      </w:r>
      <w:r>
        <w:rPr>
          <w:w w:val="115"/>
        </w:rPr>
        <w:t>en</w:t>
      </w:r>
      <w:r>
        <w:rPr>
          <w:spacing w:val="-8"/>
          <w:w w:val="115"/>
        </w:rPr>
        <w:t> </w:t>
      </w:r>
      <w:r>
        <w:rPr>
          <w:w w:val="115"/>
        </w:rPr>
        <w:t>2014</w:t>
      </w:r>
      <w:r>
        <w:rPr>
          <w:spacing w:val="-8"/>
          <w:w w:val="115"/>
        </w:rPr>
        <w:t> </w:t>
      </w:r>
      <w:r>
        <w:rPr>
          <w:w w:val="115"/>
        </w:rPr>
        <w:t>la</w:t>
      </w:r>
      <w:r>
        <w:rPr>
          <w:spacing w:val="-8"/>
          <w:w w:val="115"/>
        </w:rPr>
        <w:t> </w:t>
      </w:r>
      <w:r>
        <w:rPr>
          <w:w w:val="115"/>
        </w:rPr>
        <w:t>“agresión</w:t>
      </w:r>
      <w:r>
        <w:rPr>
          <w:spacing w:val="-8"/>
          <w:w w:val="115"/>
        </w:rPr>
        <w:t> </w:t>
      </w:r>
      <w:r>
        <w:rPr>
          <w:w w:val="115"/>
        </w:rPr>
        <w:t>de</w:t>
      </w:r>
      <w:r>
        <w:rPr>
          <w:spacing w:val="-8"/>
          <w:w w:val="115"/>
        </w:rPr>
        <w:t> </w:t>
      </w:r>
      <w:r>
        <w:rPr>
          <w:w w:val="115"/>
        </w:rPr>
        <w:t>rusia</w:t>
      </w:r>
      <w:r>
        <w:rPr>
          <w:spacing w:val="-8"/>
          <w:w w:val="115"/>
        </w:rPr>
        <w:t> </w:t>
      </w:r>
      <w:r>
        <w:rPr>
          <w:w w:val="115"/>
        </w:rPr>
        <w:t>a</w:t>
      </w:r>
      <w:r>
        <w:rPr>
          <w:spacing w:val="-8"/>
          <w:w w:val="115"/>
        </w:rPr>
        <w:t> </w:t>
      </w:r>
      <w:r>
        <w:rPr>
          <w:w w:val="115"/>
        </w:rPr>
        <w:t>ucrania”,</w:t>
      </w:r>
      <w:r>
        <w:rPr>
          <w:spacing w:val="-8"/>
          <w:w w:val="115"/>
        </w:rPr>
        <w:t> </w:t>
      </w:r>
      <w:r>
        <w:rPr>
          <w:w w:val="115"/>
        </w:rPr>
        <w:t>junto</w:t>
      </w:r>
      <w:r>
        <w:rPr>
          <w:spacing w:val="-8"/>
          <w:w w:val="115"/>
        </w:rPr>
        <w:t> </w:t>
      </w:r>
      <w:r>
        <w:rPr>
          <w:w w:val="115"/>
        </w:rPr>
        <w:t>al</w:t>
      </w:r>
      <w:r>
        <w:rPr>
          <w:spacing w:val="-8"/>
          <w:w w:val="115"/>
        </w:rPr>
        <w:t> </w:t>
      </w:r>
      <w:r>
        <w:rPr>
          <w:w w:val="115"/>
        </w:rPr>
        <w:t>ébola</w:t>
      </w:r>
      <w:r>
        <w:rPr>
          <w:spacing w:val="-8"/>
          <w:w w:val="115"/>
        </w:rPr>
        <w:t> </w:t>
      </w:r>
      <w:r>
        <w:rPr>
          <w:w w:val="115"/>
        </w:rPr>
        <w:t>y</w:t>
      </w:r>
      <w:r>
        <w:rPr>
          <w:spacing w:val="-8"/>
          <w:w w:val="115"/>
        </w:rPr>
        <w:t> </w:t>
      </w:r>
      <w:r>
        <w:rPr>
          <w:w w:val="115"/>
        </w:rPr>
        <w:t>al </w:t>
      </w:r>
      <w:r>
        <w:rPr>
          <w:w w:val="112"/>
        </w:rPr>
        <w:t>Estado</w:t>
      </w:r>
      <w:r>
        <w:rPr>
          <w:spacing w:val="11"/>
        </w:rPr>
        <w:t> </w:t>
      </w:r>
      <w:r>
        <w:rPr>
          <w:w w:val="142"/>
        </w:rPr>
        <w:t>i</w:t>
      </w:r>
      <w:r>
        <w:rPr>
          <w:w w:val="112"/>
        </w:rPr>
        <w:t>slámico</w:t>
      </w:r>
      <w:r>
        <w:rPr>
          <w:spacing w:val="11"/>
        </w:rPr>
        <w:t> </w:t>
      </w:r>
      <w:r>
        <w:rPr>
          <w:w w:val="112"/>
        </w:rPr>
        <w:t>como</w:t>
      </w:r>
      <w:r>
        <w:rPr>
          <w:spacing w:val="11"/>
        </w:rPr>
        <w:t> </w:t>
      </w:r>
      <w:r>
        <w:rPr>
          <w:w w:val="108"/>
        </w:rPr>
        <w:t>los</w:t>
      </w:r>
      <w:r>
        <w:rPr>
          <w:spacing w:val="11"/>
        </w:rPr>
        <w:t> </w:t>
      </w:r>
      <w:r>
        <w:rPr>
          <w:w w:val="106"/>
        </w:rPr>
        <w:t>peores</w:t>
      </w:r>
      <w:r>
        <w:rPr>
          <w:spacing w:val="11"/>
        </w:rPr>
        <w:t> </w:t>
      </w:r>
      <w:r>
        <w:rPr>
          <w:w w:val="106"/>
        </w:rPr>
        <w:t>retos</w:t>
      </w:r>
      <w:r>
        <w:rPr>
          <w:spacing w:val="11"/>
        </w:rPr>
        <w:t> </w:t>
      </w:r>
      <w:r>
        <w:rPr>
          <w:w w:val="112"/>
        </w:rPr>
        <w:t>a</w:t>
      </w:r>
      <w:r>
        <w:rPr>
          <w:spacing w:val="11"/>
        </w:rPr>
        <w:t> </w:t>
      </w:r>
      <w:r>
        <w:rPr>
          <w:w w:val="111"/>
        </w:rPr>
        <w:t>la</w:t>
      </w:r>
      <w:r>
        <w:rPr>
          <w:spacing w:val="11"/>
        </w:rPr>
        <w:t> </w:t>
      </w:r>
      <w:r>
        <w:rPr>
          <w:w w:val="111"/>
        </w:rPr>
        <w:t>paz</w:t>
      </w:r>
      <w:r>
        <w:rPr>
          <w:spacing w:val="11"/>
        </w:rPr>
        <w:t> </w:t>
      </w:r>
      <w:r>
        <w:rPr>
          <w:w w:val="113"/>
        </w:rPr>
        <w:t>mundial.</w:t>
      </w:r>
      <w:r>
        <w:rPr>
          <w:spacing w:val="11"/>
        </w:rPr>
        <w:t> </w:t>
      </w:r>
      <w:r>
        <w:rPr>
          <w:w w:val="115"/>
        </w:rPr>
        <w:t>“</w:t>
      </w:r>
      <w:r>
        <w:rPr>
          <w:w w:val="243"/>
        </w:rPr>
        <w:t>l</w:t>
      </w:r>
      <w:r>
        <w:rPr>
          <w:w w:val="112"/>
        </w:rPr>
        <w:t>a</w:t>
      </w:r>
      <w:r>
        <w:rPr>
          <w:spacing w:val="11"/>
        </w:rPr>
        <w:t> </w:t>
      </w:r>
      <w:r>
        <w:rPr>
          <w:w w:val="109"/>
        </w:rPr>
        <w:t>agresión </w:t>
      </w:r>
      <w:r>
        <w:rPr>
          <w:w w:val="115"/>
        </w:rPr>
        <w:t>rusa</w:t>
      </w:r>
      <w:r>
        <w:rPr>
          <w:spacing w:val="-4"/>
          <w:w w:val="115"/>
        </w:rPr>
        <w:t> </w:t>
      </w:r>
      <w:r>
        <w:rPr>
          <w:w w:val="115"/>
        </w:rPr>
        <w:t>en</w:t>
      </w:r>
      <w:r>
        <w:rPr>
          <w:spacing w:val="-4"/>
          <w:w w:val="115"/>
        </w:rPr>
        <w:t> </w:t>
      </w:r>
      <w:r>
        <w:rPr>
          <w:w w:val="115"/>
        </w:rPr>
        <w:t>Europa</w:t>
      </w:r>
      <w:r>
        <w:rPr>
          <w:spacing w:val="-4"/>
          <w:w w:val="115"/>
        </w:rPr>
        <w:t> </w:t>
      </w:r>
      <w:r>
        <w:rPr>
          <w:w w:val="115"/>
        </w:rPr>
        <w:t>rememora</w:t>
      </w:r>
      <w:r>
        <w:rPr>
          <w:spacing w:val="-4"/>
          <w:w w:val="115"/>
        </w:rPr>
        <w:t> </w:t>
      </w:r>
      <w:r>
        <w:rPr>
          <w:w w:val="115"/>
        </w:rPr>
        <w:t>los</w:t>
      </w:r>
      <w:r>
        <w:rPr>
          <w:spacing w:val="-4"/>
          <w:w w:val="115"/>
        </w:rPr>
        <w:t> </w:t>
      </w:r>
      <w:r>
        <w:rPr>
          <w:w w:val="115"/>
        </w:rPr>
        <w:t>días</w:t>
      </w:r>
      <w:r>
        <w:rPr>
          <w:spacing w:val="-4"/>
          <w:w w:val="115"/>
        </w:rPr>
        <w:t> </w:t>
      </w:r>
      <w:r>
        <w:rPr>
          <w:w w:val="115"/>
        </w:rPr>
        <w:t>en</w:t>
      </w:r>
      <w:r>
        <w:rPr>
          <w:spacing w:val="-4"/>
          <w:w w:val="115"/>
        </w:rPr>
        <w:t> </w:t>
      </w:r>
      <w:r>
        <w:rPr>
          <w:w w:val="115"/>
        </w:rPr>
        <w:t>que</w:t>
      </w:r>
      <w:r>
        <w:rPr>
          <w:spacing w:val="-4"/>
          <w:w w:val="115"/>
        </w:rPr>
        <w:t> </w:t>
      </w:r>
      <w:r>
        <w:rPr>
          <w:w w:val="115"/>
        </w:rPr>
        <w:t>las</w:t>
      </w:r>
      <w:r>
        <w:rPr>
          <w:spacing w:val="-4"/>
          <w:w w:val="115"/>
        </w:rPr>
        <w:t> </w:t>
      </w:r>
      <w:r>
        <w:rPr>
          <w:w w:val="115"/>
        </w:rPr>
        <w:t>naciones</w:t>
      </w:r>
      <w:r>
        <w:rPr>
          <w:spacing w:val="-4"/>
          <w:w w:val="115"/>
        </w:rPr>
        <w:t> </w:t>
      </w:r>
      <w:r>
        <w:rPr>
          <w:w w:val="115"/>
        </w:rPr>
        <w:t>más</w:t>
      </w:r>
      <w:r>
        <w:rPr>
          <w:spacing w:val="-4"/>
          <w:w w:val="115"/>
        </w:rPr>
        <w:t> </w:t>
      </w:r>
      <w:r>
        <w:rPr>
          <w:w w:val="115"/>
        </w:rPr>
        <w:t>grandes</w:t>
      </w:r>
    </w:p>
    <w:p>
      <w:pPr>
        <w:pStyle w:val="BodyText"/>
        <w:rPr>
          <w:sz w:val="20"/>
        </w:rPr>
      </w:pPr>
    </w:p>
    <w:p>
      <w:pPr>
        <w:pStyle w:val="BodyText"/>
        <w:spacing w:before="3"/>
        <w:rPr>
          <w:sz w:val="27"/>
        </w:rPr>
      </w:pPr>
    </w:p>
    <w:p>
      <w:pPr>
        <w:pStyle w:val="ListParagraph"/>
        <w:numPr>
          <w:ilvl w:val="0"/>
          <w:numId w:val="3"/>
        </w:numPr>
        <w:tabs>
          <w:tab w:pos="376" w:val="left" w:leader="none"/>
        </w:tabs>
        <w:spacing w:line="242" w:lineRule="auto" w:before="74" w:after="0"/>
        <w:ind w:left="120" w:right="328" w:firstLine="0"/>
        <w:jc w:val="left"/>
        <w:rPr>
          <w:sz w:val="16"/>
        </w:rPr>
      </w:pPr>
      <w:r>
        <w:rPr>
          <w:i/>
          <w:w w:val="105"/>
          <w:sz w:val="16"/>
        </w:rPr>
        <w:t>Statement by the President on the Ukraine Freedom Support Act</w:t>
      </w:r>
      <w:r>
        <w:rPr>
          <w:w w:val="105"/>
          <w:sz w:val="16"/>
        </w:rPr>
        <w:t>, White House, 18 </w:t>
      </w:r>
      <w:r>
        <w:rPr>
          <w:spacing w:val="37"/>
          <w:w w:val="105"/>
          <w:sz w:val="16"/>
        </w:rPr>
        <w:t> </w:t>
      </w:r>
      <w:r>
        <w:rPr>
          <w:w w:val="105"/>
          <w:sz w:val="16"/>
        </w:rPr>
        <w:t>de diciembre de</w:t>
      </w:r>
      <w:r>
        <w:rPr>
          <w:spacing w:val="36"/>
          <w:w w:val="105"/>
          <w:sz w:val="16"/>
        </w:rPr>
        <w:t> </w:t>
      </w:r>
      <w:r>
        <w:rPr>
          <w:w w:val="105"/>
          <w:sz w:val="16"/>
        </w:rPr>
        <w:t>2014.</w:t>
      </w:r>
    </w:p>
    <w:p>
      <w:pPr>
        <w:spacing w:after="0" w:line="242" w:lineRule="auto"/>
        <w:jc w:val="left"/>
        <w:rPr>
          <w:sz w:val="16"/>
        </w:rPr>
        <w:sectPr>
          <w:footerReference w:type="even" r:id="rId186"/>
          <w:footerReference w:type="default" r:id="rId187"/>
          <w:pgSz w:w="8790" w:h="12760"/>
          <w:pgMar w:footer="1061" w:header="697" w:top="880" w:bottom="1260" w:left="900" w:right="1200"/>
        </w:sectPr>
      </w:pPr>
    </w:p>
    <w:p>
      <w:pPr>
        <w:pStyle w:val="BodyText"/>
        <w:spacing w:before="2"/>
        <w:rPr>
          <w:sz w:val="28"/>
        </w:rPr>
      </w:pPr>
    </w:p>
    <w:p>
      <w:pPr>
        <w:pStyle w:val="BodyText"/>
        <w:spacing w:line="252" w:lineRule="auto" w:before="78"/>
        <w:ind w:left="330" w:right="118"/>
        <w:jc w:val="both"/>
        <w:rPr>
          <w:sz w:val="11"/>
        </w:rPr>
      </w:pPr>
      <w:r>
        <w:rPr>
          <w:w w:val="110"/>
        </w:rPr>
        <w:t>aplastaban a las más pequeñas buscando ambiciones territoriales”.</w:t>
      </w:r>
      <w:r>
        <w:rPr>
          <w:w w:val="110"/>
          <w:position w:val="7"/>
          <w:sz w:val="11"/>
        </w:rPr>
        <w:t>8 </w:t>
      </w:r>
      <w:r>
        <w:rPr>
          <w:w w:val="243"/>
        </w:rPr>
        <w:t>l</w:t>
      </w:r>
      <w:r>
        <w:rPr>
          <w:w w:val="112"/>
        </w:rPr>
        <w:t>a</w:t>
      </w:r>
      <w:r>
        <w:rPr/>
        <w:t> </w:t>
      </w:r>
      <w:r>
        <w:rPr>
          <w:w w:val="149"/>
        </w:rPr>
        <w:t>s</w:t>
      </w:r>
      <w:r>
        <w:rPr>
          <w:w w:val="108"/>
        </w:rPr>
        <w:t>ecretaria</w:t>
      </w:r>
      <w:r>
        <w:rPr/>
        <w:t> </w:t>
      </w:r>
      <w:r>
        <w:rPr>
          <w:w w:val="139"/>
        </w:rPr>
        <w:t>a</w:t>
      </w:r>
      <w:r>
        <w:rPr>
          <w:w w:val="107"/>
        </w:rPr>
        <w:t>sistente</w:t>
      </w:r>
      <w:r>
        <w:rPr/>
        <w:t> </w:t>
      </w:r>
      <w:r>
        <w:rPr>
          <w:w w:val="109"/>
        </w:rPr>
        <w:t>para</w:t>
      </w:r>
      <w:r>
        <w:rPr/>
        <w:t> </w:t>
      </w:r>
      <w:r>
        <w:rPr>
          <w:w w:val="113"/>
        </w:rPr>
        <w:t>Europa</w:t>
      </w:r>
      <w:r>
        <w:rPr/>
        <w:t> </w:t>
      </w:r>
      <w:r>
        <w:rPr>
          <w:w w:val="149"/>
        </w:rPr>
        <w:t>o</w:t>
      </w:r>
      <w:r>
        <w:rPr>
          <w:w w:val="109"/>
        </w:rPr>
        <w:t>riental</w:t>
      </w:r>
      <w:r>
        <w:rPr/>
        <w:t> </w:t>
      </w:r>
      <w:r>
        <w:rPr>
          <w:w w:val="105"/>
        </w:rPr>
        <w:t>y</w:t>
      </w:r>
      <w:r>
        <w:rPr/>
        <w:t> </w:t>
      </w:r>
      <w:r>
        <w:rPr>
          <w:w w:val="115"/>
        </w:rPr>
        <w:t>Eurasia,</w:t>
      </w:r>
      <w:r>
        <w:rPr/>
        <w:t> </w:t>
      </w:r>
      <w:r>
        <w:rPr>
          <w:w w:val="119"/>
        </w:rPr>
        <w:t>V</w:t>
      </w:r>
      <w:r>
        <w:rPr>
          <w:w w:val="111"/>
        </w:rPr>
        <w:t>ictoria</w:t>
      </w:r>
      <w:r>
        <w:rPr/>
        <w:t> </w:t>
      </w:r>
      <w:r>
        <w:rPr>
          <w:w w:val="116"/>
        </w:rPr>
        <w:t>Nu</w:t>
      </w:r>
      <w:r>
        <w:rPr>
          <w:w w:val="102"/>
        </w:rPr>
        <w:t>- </w:t>
      </w:r>
      <w:r>
        <w:rPr>
          <w:w w:val="110"/>
        </w:rPr>
        <w:t>land, declaró: “hoy ucrania es un país de la línea del frente en la lucha por la libertad y por todos los principios que la Comunidad transat- lántica considera caros a su  identidad”.</w:t>
      </w:r>
      <w:r>
        <w:rPr>
          <w:w w:val="110"/>
          <w:position w:val="7"/>
          <w:sz w:val="11"/>
        </w:rPr>
        <w:t>9</w:t>
      </w:r>
    </w:p>
    <w:p>
      <w:pPr>
        <w:pStyle w:val="BodyText"/>
        <w:spacing w:line="252" w:lineRule="auto"/>
        <w:ind w:left="330" w:right="117" w:firstLine="396"/>
        <w:jc w:val="both"/>
        <w:rPr>
          <w:sz w:val="11"/>
        </w:rPr>
      </w:pPr>
      <w:r>
        <w:rPr>
          <w:w w:val="110"/>
        </w:rPr>
        <w:t>El presidente Putin, por su parte, llamaba en su mensaje anual a la asamblea Federal a defender la soberanía de su país, pues “si para algunos países de Europa el orgullo nacional es un concepto olvidado desde hace tiempo, y la soberanía nacional un gran lujo, para rusia es una condición necesaria para su existencia. […] </w:t>
      </w:r>
      <w:r>
        <w:rPr>
          <w:w w:val="120"/>
        </w:rPr>
        <w:t>o </w:t>
      </w:r>
      <w:r>
        <w:rPr>
          <w:w w:val="110"/>
        </w:rPr>
        <w:t>seremos soberanos o nos diluimos como nación, nos perdemos en el mundo. Y esto, cla- ramente, lo deben entender las otras</w:t>
      </w:r>
      <w:r>
        <w:rPr>
          <w:spacing w:val="28"/>
          <w:w w:val="110"/>
        </w:rPr>
        <w:t> </w:t>
      </w:r>
      <w:r>
        <w:rPr>
          <w:w w:val="110"/>
        </w:rPr>
        <w:t>potencias”.</w:t>
      </w:r>
      <w:r>
        <w:rPr>
          <w:w w:val="110"/>
          <w:position w:val="7"/>
          <w:sz w:val="11"/>
        </w:rPr>
        <w:t>10</w:t>
      </w:r>
    </w:p>
    <w:p>
      <w:pPr>
        <w:pStyle w:val="BodyText"/>
        <w:spacing w:line="252" w:lineRule="auto"/>
        <w:ind w:left="330" w:right="117" w:firstLine="396"/>
        <w:jc w:val="both"/>
      </w:pPr>
      <w:r>
        <w:rPr>
          <w:w w:val="110"/>
        </w:rPr>
        <w:t>Estados unidos ha lanzado una ofensiva estratégica en aras de debilitar a rusia como polo de poder global. durante la crisis ha pri- mado la percepción de que rusia se encuentra en una situación de debilidad estructural dados los problemas que ha afrontado su eco- nomía y el efecto que ha ido teniendo la crisis: devaluación del rublo, fuga de capitales, estancamiento  económico.</w:t>
      </w:r>
    </w:p>
    <w:p>
      <w:pPr>
        <w:pStyle w:val="BodyText"/>
        <w:spacing w:line="252" w:lineRule="auto"/>
        <w:ind w:left="330" w:right="117" w:firstLine="396"/>
        <w:jc w:val="both"/>
      </w:pPr>
      <w:r>
        <w:rPr>
          <w:w w:val="243"/>
        </w:rPr>
        <w:t>l</w:t>
      </w:r>
      <w:r>
        <w:rPr>
          <w:w w:val="112"/>
        </w:rPr>
        <w:t>a</w:t>
      </w:r>
      <w:r>
        <w:rPr/>
        <w:t> </w:t>
      </w:r>
      <w:r>
        <w:rPr>
          <w:spacing w:val="-4"/>
        </w:rPr>
        <w:t> </w:t>
      </w:r>
      <w:r>
        <w:rPr>
          <w:w w:val="139"/>
        </w:rPr>
        <w:t>a</w:t>
      </w:r>
      <w:r>
        <w:rPr>
          <w:w w:val="111"/>
        </w:rPr>
        <w:t>dministración</w:t>
      </w:r>
      <w:r>
        <w:rPr/>
        <w:t> </w:t>
      </w:r>
      <w:r>
        <w:rPr>
          <w:spacing w:val="-4"/>
        </w:rPr>
        <w:t> </w:t>
      </w:r>
      <w:r>
        <w:rPr>
          <w:w w:val="149"/>
        </w:rPr>
        <w:t>o</w:t>
      </w:r>
      <w:r>
        <w:rPr>
          <w:w w:val="112"/>
        </w:rPr>
        <w:t>bama</w:t>
      </w:r>
      <w:r>
        <w:rPr/>
        <w:t> </w:t>
      </w:r>
      <w:r>
        <w:rPr>
          <w:spacing w:val="-4"/>
        </w:rPr>
        <w:t> </w:t>
      </w:r>
      <w:r>
        <w:rPr>
          <w:w w:val="110"/>
        </w:rPr>
        <w:t>mantiene</w:t>
      </w:r>
      <w:r>
        <w:rPr/>
        <w:t> </w:t>
      </w:r>
      <w:r>
        <w:rPr>
          <w:spacing w:val="-4"/>
        </w:rPr>
        <w:t> </w:t>
      </w:r>
      <w:r>
        <w:rPr>
          <w:w w:val="109"/>
        </w:rPr>
        <w:t>su</w:t>
      </w:r>
      <w:r>
        <w:rPr/>
        <w:t> </w:t>
      </w:r>
      <w:r>
        <w:rPr>
          <w:spacing w:val="-4"/>
        </w:rPr>
        <w:t> </w:t>
      </w:r>
      <w:r>
        <w:rPr>
          <w:w w:val="109"/>
        </w:rPr>
        <w:t>lectura</w:t>
      </w:r>
      <w:r>
        <w:rPr/>
        <w:t> </w:t>
      </w:r>
      <w:r>
        <w:rPr>
          <w:spacing w:val="-4"/>
        </w:rPr>
        <w:t> </w:t>
      </w:r>
      <w:r>
        <w:rPr>
          <w:w w:val="107"/>
        </w:rPr>
        <w:t>de</w:t>
      </w:r>
      <w:r>
        <w:rPr/>
        <w:t> </w:t>
      </w:r>
      <w:r>
        <w:rPr>
          <w:spacing w:val="-4"/>
        </w:rPr>
        <w:t> </w:t>
      </w:r>
      <w:r>
        <w:rPr>
          <w:w w:val="108"/>
        </w:rPr>
        <w:t>que</w:t>
      </w:r>
      <w:r>
        <w:rPr/>
        <w:t> </w:t>
      </w:r>
      <w:r>
        <w:rPr>
          <w:spacing w:val="-4"/>
        </w:rPr>
        <w:t> </w:t>
      </w:r>
      <w:r>
        <w:rPr>
          <w:w w:val="111"/>
        </w:rPr>
        <w:t>Estados </w:t>
      </w:r>
      <w:r>
        <w:rPr>
          <w:w w:val="115"/>
        </w:rPr>
        <w:t>unidos</w:t>
      </w:r>
      <w:r>
        <w:rPr>
          <w:spacing w:val="-16"/>
          <w:w w:val="115"/>
        </w:rPr>
        <w:t> </w:t>
      </w:r>
      <w:r>
        <w:rPr>
          <w:w w:val="115"/>
        </w:rPr>
        <w:t>ha</w:t>
      </w:r>
      <w:r>
        <w:rPr>
          <w:spacing w:val="-16"/>
          <w:w w:val="115"/>
        </w:rPr>
        <w:t> </w:t>
      </w:r>
      <w:r>
        <w:rPr>
          <w:w w:val="115"/>
        </w:rPr>
        <w:t>salido</w:t>
      </w:r>
      <w:r>
        <w:rPr>
          <w:spacing w:val="-16"/>
          <w:w w:val="115"/>
        </w:rPr>
        <w:t> </w:t>
      </w:r>
      <w:r>
        <w:rPr>
          <w:w w:val="115"/>
        </w:rPr>
        <w:t>de</w:t>
      </w:r>
      <w:r>
        <w:rPr>
          <w:spacing w:val="-16"/>
          <w:w w:val="115"/>
        </w:rPr>
        <w:t> </w:t>
      </w:r>
      <w:r>
        <w:rPr>
          <w:w w:val="115"/>
        </w:rPr>
        <w:t>la</w:t>
      </w:r>
      <w:r>
        <w:rPr>
          <w:spacing w:val="-16"/>
          <w:w w:val="115"/>
        </w:rPr>
        <w:t> </w:t>
      </w:r>
      <w:r>
        <w:rPr>
          <w:w w:val="115"/>
        </w:rPr>
        <w:t>recesión,</w:t>
      </w:r>
      <w:r>
        <w:rPr>
          <w:spacing w:val="-16"/>
          <w:w w:val="115"/>
        </w:rPr>
        <w:t> </w:t>
      </w:r>
      <w:r>
        <w:rPr>
          <w:w w:val="115"/>
        </w:rPr>
        <w:t>y</w:t>
      </w:r>
      <w:r>
        <w:rPr>
          <w:spacing w:val="-16"/>
          <w:w w:val="115"/>
        </w:rPr>
        <w:t> </w:t>
      </w:r>
      <w:r>
        <w:rPr>
          <w:w w:val="115"/>
        </w:rPr>
        <w:t>que</w:t>
      </w:r>
      <w:r>
        <w:rPr>
          <w:spacing w:val="-16"/>
          <w:w w:val="115"/>
        </w:rPr>
        <w:t> </w:t>
      </w:r>
      <w:r>
        <w:rPr>
          <w:w w:val="115"/>
        </w:rPr>
        <w:t>puede</w:t>
      </w:r>
      <w:r>
        <w:rPr>
          <w:spacing w:val="-16"/>
          <w:w w:val="115"/>
        </w:rPr>
        <w:t> </w:t>
      </w:r>
      <w:r>
        <w:rPr>
          <w:w w:val="115"/>
        </w:rPr>
        <w:t>aspirar</w:t>
      </w:r>
      <w:r>
        <w:rPr>
          <w:spacing w:val="-16"/>
          <w:w w:val="115"/>
        </w:rPr>
        <w:t> </w:t>
      </w:r>
      <w:r>
        <w:rPr>
          <w:w w:val="115"/>
        </w:rPr>
        <w:t>a</w:t>
      </w:r>
      <w:r>
        <w:rPr>
          <w:spacing w:val="-16"/>
          <w:w w:val="115"/>
        </w:rPr>
        <w:t> </w:t>
      </w:r>
      <w:r>
        <w:rPr>
          <w:w w:val="115"/>
        </w:rPr>
        <w:t>la</w:t>
      </w:r>
      <w:r>
        <w:rPr>
          <w:spacing w:val="-16"/>
          <w:w w:val="115"/>
        </w:rPr>
        <w:t> </w:t>
      </w:r>
      <w:r>
        <w:rPr>
          <w:w w:val="115"/>
        </w:rPr>
        <w:t>autosuficien- </w:t>
      </w:r>
      <w:r>
        <w:rPr>
          <w:w w:val="114"/>
        </w:rPr>
        <w:t>cia</w:t>
      </w:r>
      <w:r>
        <w:rPr>
          <w:spacing w:val="13"/>
        </w:rPr>
        <w:t> </w:t>
      </w:r>
      <w:r>
        <w:rPr>
          <w:w w:val="110"/>
        </w:rPr>
        <w:t>energética,</w:t>
      </w:r>
      <w:r>
        <w:rPr>
          <w:spacing w:val="13"/>
        </w:rPr>
        <w:t> </w:t>
      </w:r>
      <w:r>
        <w:rPr>
          <w:w w:val="110"/>
        </w:rPr>
        <w:t>lo</w:t>
      </w:r>
      <w:r>
        <w:rPr>
          <w:spacing w:val="13"/>
        </w:rPr>
        <w:t> </w:t>
      </w:r>
      <w:r>
        <w:rPr>
          <w:w w:val="108"/>
        </w:rPr>
        <w:t>que</w:t>
      </w:r>
      <w:r>
        <w:rPr>
          <w:spacing w:val="13"/>
        </w:rPr>
        <w:t> </w:t>
      </w:r>
      <w:r>
        <w:rPr>
          <w:w w:val="112"/>
        </w:rPr>
        <w:t>ha</w:t>
      </w:r>
      <w:r>
        <w:rPr>
          <w:spacing w:val="13"/>
        </w:rPr>
        <w:t> </w:t>
      </w:r>
      <w:r>
        <w:rPr>
          <w:w w:val="110"/>
        </w:rPr>
        <w:t>acentuado</w:t>
      </w:r>
      <w:r>
        <w:rPr>
          <w:spacing w:val="13"/>
        </w:rPr>
        <w:t> </w:t>
      </w:r>
      <w:r>
        <w:rPr>
          <w:w w:val="109"/>
        </w:rPr>
        <w:t>su</w:t>
      </w:r>
      <w:r>
        <w:rPr>
          <w:spacing w:val="13"/>
        </w:rPr>
        <w:t> </w:t>
      </w:r>
      <w:r>
        <w:rPr>
          <w:w w:val="108"/>
        </w:rPr>
        <w:t>agresividad</w:t>
      </w:r>
      <w:r>
        <w:rPr>
          <w:spacing w:val="13"/>
        </w:rPr>
        <w:t> </w:t>
      </w:r>
      <w:r>
        <w:rPr>
          <w:w w:val="110"/>
        </w:rPr>
        <w:t>contra</w:t>
      </w:r>
      <w:r>
        <w:rPr>
          <w:spacing w:val="13"/>
        </w:rPr>
        <w:t> </w:t>
      </w:r>
      <w:r>
        <w:rPr>
          <w:w w:val="115"/>
        </w:rPr>
        <w:t>Moscú.</w:t>
      </w:r>
      <w:r>
        <w:rPr>
          <w:spacing w:val="13"/>
        </w:rPr>
        <w:t> </w:t>
      </w:r>
      <w:r>
        <w:rPr>
          <w:w w:val="243"/>
        </w:rPr>
        <w:t>l</w:t>
      </w:r>
      <w:r>
        <w:rPr>
          <w:w w:val="108"/>
        </w:rPr>
        <w:t>os </w:t>
      </w:r>
      <w:r>
        <w:rPr>
          <w:w w:val="115"/>
        </w:rPr>
        <w:t>objetivos</w:t>
      </w:r>
      <w:r>
        <w:rPr>
          <w:spacing w:val="-30"/>
          <w:w w:val="115"/>
        </w:rPr>
        <w:t> </w:t>
      </w:r>
      <w:r>
        <w:rPr>
          <w:w w:val="115"/>
        </w:rPr>
        <w:t>estratégicos</w:t>
      </w:r>
      <w:r>
        <w:rPr>
          <w:spacing w:val="-30"/>
          <w:w w:val="115"/>
        </w:rPr>
        <w:t> </w:t>
      </w:r>
      <w:r>
        <w:rPr>
          <w:w w:val="115"/>
        </w:rPr>
        <w:t>que</w:t>
      </w:r>
      <w:r>
        <w:rPr>
          <w:spacing w:val="-30"/>
          <w:w w:val="115"/>
        </w:rPr>
        <w:t> </w:t>
      </w:r>
      <w:r>
        <w:rPr>
          <w:w w:val="115"/>
        </w:rPr>
        <w:t>Estados</w:t>
      </w:r>
      <w:r>
        <w:rPr>
          <w:spacing w:val="-30"/>
          <w:w w:val="115"/>
        </w:rPr>
        <w:t> </w:t>
      </w:r>
      <w:r>
        <w:rPr>
          <w:w w:val="115"/>
        </w:rPr>
        <w:t>unidos</w:t>
      </w:r>
      <w:r>
        <w:rPr>
          <w:spacing w:val="-30"/>
          <w:w w:val="115"/>
        </w:rPr>
        <w:t> </w:t>
      </w:r>
      <w:r>
        <w:rPr>
          <w:w w:val="115"/>
        </w:rPr>
        <w:t>ha</w:t>
      </w:r>
      <w:r>
        <w:rPr>
          <w:spacing w:val="-30"/>
          <w:w w:val="115"/>
        </w:rPr>
        <w:t> </w:t>
      </w:r>
      <w:r>
        <w:rPr>
          <w:w w:val="115"/>
        </w:rPr>
        <w:t>perseguido</w:t>
      </w:r>
      <w:r>
        <w:rPr>
          <w:spacing w:val="-30"/>
          <w:w w:val="115"/>
        </w:rPr>
        <w:t> </w:t>
      </w:r>
      <w:r>
        <w:rPr>
          <w:w w:val="115"/>
        </w:rPr>
        <w:t>en</w:t>
      </w:r>
      <w:r>
        <w:rPr>
          <w:spacing w:val="-30"/>
          <w:w w:val="115"/>
        </w:rPr>
        <w:t> </w:t>
      </w:r>
      <w:r>
        <w:rPr>
          <w:w w:val="115"/>
        </w:rPr>
        <w:t>esta</w:t>
      </w:r>
      <w:r>
        <w:rPr>
          <w:spacing w:val="-30"/>
          <w:w w:val="115"/>
        </w:rPr>
        <w:t> </w:t>
      </w:r>
      <w:r>
        <w:rPr>
          <w:w w:val="115"/>
        </w:rPr>
        <w:t>crisis han</w:t>
      </w:r>
      <w:r>
        <w:rPr>
          <w:spacing w:val="-25"/>
          <w:w w:val="115"/>
        </w:rPr>
        <w:t> </w:t>
      </w:r>
      <w:r>
        <w:rPr>
          <w:w w:val="115"/>
        </w:rPr>
        <w:t>sido:</w:t>
      </w:r>
    </w:p>
    <w:p>
      <w:pPr>
        <w:pStyle w:val="BodyText"/>
        <w:spacing w:before="10"/>
        <w:rPr>
          <w:sz w:val="15"/>
        </w:rPr>
      </w:pPr>
    </w:p>
    <w:p>
      <w:pPr>
        <w:pStyle w:val="ListParagraph"/>
        <w:numPr>
          <w:ilvl w:val="0"/>
          <w:numId w:val="4"/>
        </w:numPr>
        <w:tabs>
          <w:tab w:pos="955" w:val="left" w:leader="none"/>
        </w:tabs>
        <w:spacing w:line="240" w:lineRule="auto" w:before="1" w:after="0"/>
        <w:ind w:left="954" w:right="118" w:hanging="227"/>
        <w:jc w:val="both"/>
        <w:rPr>
          <w:sz w:val="19"/>
        </w:rPr>
      </w:pPr>
      <w:r>
        <w:rPr>
          <w:w w:val="110"/>
          <w:sz w:val="19"/>
        </w:rPr>
        <w:t>reafirmación del liderazgo y la hegemonía de Estados unidos    a nivel mundial en tanto que “nación  </w:t>
      </w:r>
      <w:r>
        <w:rPr>
          <w:spacing w:val="4"/>
          <w:w w:val="110"/>
          <w:sz w:val="19"/>
        </w:rPr>
        <w:t> </w:t>
      </w:r>
      <w:r>
        <w:rPr>
          <w:w w:val="110"/>
          <w:sz w:val="19"/>
        </w:rPr>
        <w:t>excepcional”.</w:t>
      </w:r>
    </w:p>
    <w:p>
      <w:pPr>
        <w:pStyle w:val="ListParagraph"/>
        <w:numPr>
          <w:ilvl w:val="0"/>
          <w:numId w:val="4"/>
        </w:numPr>
        <w:tabs>
          <w:tab w:pos="955" w:val="left" w:leader="none"/>
        </w:tabs>
        <w:spacing w:line="240" w:lineRule="auto" w:before="49" w:after="0"/>
        <w:ind w:left="954" w:right="118" w:hanging="227"/>
        <w:jc w:val="both"/>
        <w:rPr>
          <w:sz w:val="19"/>
        </w:rPr>
      </w:pPr>
      <w:r>
        <w:rPr>
          <w:w w:val="110"/>
          <w:sz w:val="19"/>
        </w:rPr>
        <w:t>debilitamiento económico y político estructural de rusia como bloque de</w:t>
      </w:r>
      <w:r>
        <w:rPr>
          <w:spacing w:val="9"/>
          <w:w w:val="110"/>
          <w:sz w:val="19"/>
        </w:rPr>
        <w:t> </w:t>
      </w:r>
      <w:r>
        <w:rPr>
          <w:spacing w:val="-4"/>
          <w:w w:val="110"/>
          <w:sz w:val="19"/>
        </w:rPr>
        <w:t>poder.</w:t>
      </w:r>
    </w:p>
    <w:p>
      <w:pPr>
        <w:pStyle w:val="ListParagraph"/>
        <w:numPr>
          <w:ilvl w:val="0"/>
          <w:numId w:val="4"/>
        </w:numPr>
        <w:tabs>
          <w:tab w:pos="955" w:val="left" w:leader="none"/>
        </w:tabs>
        <w:spacing w:line="244" w:lineRule="auto" w:before="49" w:after="0"/>
        <w:ind w:left="954" w:right="119" w:hanging="227"/>
        <w:jc w:val="both"/>
        <w:rPr>
          <w:sz w:val="19"/>
        </w:rPr>
      </w:pPr>
      <w:r>
        <w:rPr>
          <w:w w:val="110"/>
          <w:sz w:val="19"/>
        </w:rPr>
        <w:t>Mensaje de poder al resto de los bloques emergentes y aliados, respecto</w:t>
      </w:r>
      <w:r>
        <w:rPr>
          <w:spacing w:val="-6"/>
          <w:w w:val="110"/>
          <w:sz w:val="19"/>
        </w:rPr>
        <w:t> </w:t>
      </w:r>
      <w:r>
        <w:rPr>
          <w:w w:val="110"/>
          <w:sz w:val="19"/>
        </w:rPr>
        <w:t>a</w:t>
      </w:r>
      <w:r>
        <w:rPr>
          <w:spacing w:val="-6"/>
          <w:w w:val="110"/>
          <w:sz w:val="19"/>
        </w:rPr>
        <w:t> </w:t>
      </w:r>
      <w:r>
        <w:rPr>
          <w:w w:val="110"/>
          <w:sz w:val="19"/>
        </w:rPr>
        <w:t>las</w:t>
      </w:r>
      <w:r>
        <w:rPr>
          <w:spacing w:val="-6"/>
          <w:w w:val="110"/>
          <w:sz w:val="19"/>
        </w:rPr>
        <w:t> </w:t>
      </w:r>
      <w:r>
        <w:rPr>
          <w:w w:val="110"/>
          <w:sz w:val="19"/>
        </w:rPr>
        <w:t>capacidades</w:t>
      </w:r>
      <w:r>
        <w:rPr>
          <w:spacing w:val="-6"/>
          <w:w w:val="110"/>
          <w:sz w:val="19"/>
        </w:rPr>
        <w:t> </w:t>
      </w:r>
      <w:r>
        <w:rPr>
          <w:w w:val="110"/>
          <w:sz w:val="19"/>
        </w:rPr>
        <w:t>y</w:t>
      </w:r>
      <w:r>
        <w:rPr>
          <w:spacing w:val="-6"/>
          <w:w w:val="110"/>
          <w:sz w:val="19"/>
        </w:rPr>
        <w:t> </w:t>
      </w:r>
      <w:r>
        <w:rPr>
          <w:w w:val="110"/>
          <w:sz w:val="19"/>
        </w:rPr>
        <w:t>voluntad</w:t>
      </w:r>
      <w:r>
        <w:rPr>
          <w:spacing w:val="-6"/>
          <w:w w:val="110"/>
          <w:sz w:val="19"/>
        </w:rPr>
        <w:t> </w:t>
      </w:r>
      <w:r>
        <w:rPr>
          <w:w w:val="110"/>
          <w:sz w:val="19"/>
        </w:rPr>
        <w:t>de</w:t>
      </w:r>
      <w:r>
        <w:rPr>
          <w:spacing w:val="-6"/>
          <w:w w:val="110"/>
          <w:sz w:val="19"/>
        </w:rPr>
        <w:t> </w:t>
      </w:r>
      <w:r>
        <w:rPr>
          <w:w w:val="110"/>
          <w:sz w:val="19"/>
        </w:rPr>
        <w:t>ejercerlas</w:t>
      </w:r>
      <w:r>
        <w:rPr>
          <w:spacing w:val="-6"/>
          <w:w w:val="110"/>
          <w:sz w:val="19"/>
        </w:rPr>
        <w:t> </w:t>
      </w:r>
      <w:r>
        <w:rPr>
          <w:w w:val="110"/>
          <w:sz w:val="19"/>
        </w:rPr>
        <w:t>por</w:t>
      </w:r>
      <w:r>
        <w:rPr>
          <w:spacing w:val="-6"/>
          <w:w w:val="110"/>
          <w:sz w:val="19"/>
        </w:rPr>
        <w:t> </w:t>
      </w:r>
      <w:r>
        <w:rPr>
          <w:w w:val="110"/>
          <w:sz w:val="19"/>
        </w:rPr>
        <w:t>parte</w:t>
      </w:r>
      <w:r>
        <w:rPr>
          <w:spacing w:val="-6"/>
          <w:w w:val="110"/>
          <w:sz w:val="19"/>
        </w:rPr>
        <w:t> </w:t>
      </w:r>
      <w:r>
        <w:rPr>
          <w:w w:val="110"/>
          <w:sz w:val="19"/>
        </w:rPr>
        <w:t>de Estados </w:t>
      </w:r>
      <w:r>
        <w:rPr>
          <w:spacing w:val="17"/>
          <w:w w:val="110"/>
          <w:sz w:val="19"/>
        </w:rPr>
        <w:t> </w:t>
      </w:r>
      <w:r>
        <w:rPr>
          <w:w w:val="110"/>
          <w:sz w:val="19"/>
        </w:rPr>
        <w:t>unidos.</w:t>
      </w:r>
    </w:p>
    <w:p>
      <w:pPr>
        <w:pStyle w:val="ListParagraph"/>
        <w:numPr>
          <w:ilvl w:val="0"/>
          <w:numId w:val="4"/>
        </w:numPr>
        <w:tabs>
          <w:tab w:pos="955" w:val="left" w:leader="none"/>
        </w:tabs>
        <w:spacing w:line="247" w:lineRule="auto" w:before="44" w:after="0"/>
        <w:ind w:left="954" w:right="117" w:hanging="227"/>
        <w:jc w:val="both"/>
        <w:rPr>
          <w:sz w:val="19"/>
        </w:rPr>
      </w:pPr>
      <w:r>
        <w:rPr>
          <w:w w:val="110"/>
          <w:sz w:val="19"/>
        </w:rPr>
        <w:t>determinación de Estados unidos de evitar cambios en las bases y reglas del orden mundial impuesto por ellos después de la segunda Guerra Mundial frente a amenazas de cambios  en el</w:t>
      </w:r>
      <w:r>
        <w:rPr>
          <w:spacing w:val="30"/>
          <w:w w:val="110"/>
          <w:sz w:val="19"/>
        </w:rPr>
        <w:t> </w:t>
      </w:r>
      <w:r>
        <w:rPr>
          <w:w w:val="110"/>
          <w:sz w:val="19"/>
        </w:rPr>
        <w:t>mismo.</w:t>
      </w:r>
    </w:p>
    <w:p>
      <w:pPr>
        <w:pStyle w:val="BodyText"/>
        <w:rPr>
          <w:sz w:val="20"/>
        </w:rPr>
      </w:pPr>
    </w:p>
    <w:p>
      <w:pPr>
        <w:pStyle w:val="BodyText"/>
        <w:spacing w:before="6"/>
      </w:pPr>
      <w:r>
        <w:rPr/>
        <w:pict>
          <v:line style="position:absolute;mso-position-horizontal-relative:page;mso-position-vertical-relative:paragraph;z-index:3568;mso-wrap-distance-left:0;mso-wrap-distance-right:0" from="76.5354pt,13.637552pt" to="104.8814pt,13.637552pt" stroked="true" strokeweight=".5pt" strokecolor="#000000">
            <w10:wrap type="topAndBottom"/>
          </v:line>
        </w:pict>
      </w:r>
    </w:p>
    <w:p>
      <w:pPr>
        <w:pStyle w:val="ListParagraph"/>
        <w:numPr>
          <w:ilvl w:val="0"/>
          <w:numId w:val="3"/>
        </w:numPr>
        <w:tabs>
          <w:tab w:pos="586" w:val="left" w:leader="none"/>
        </w:tabs>
        <w:spacing w:line="242" w:lineRule="auto" w:before="89" w:after="0"/>
        <w:ind w:left="330" w:right="118" w:firstLine="0"/>
        <w:jc w:val="left"/>
        <w:rPr>
          <w:sz w:val="16"/>
        </w:rPr>
      </w:pPr>
      <w:r>
        <w:rPr>
          <w:i/>
          <w:w w:val="110"/>
          <w:sz w:val="16"/>
        </w:rPr>
        <w:t>Remarks</w:t>
      </w:r>
      <w:r>
        <w:rPr>
          <w:i/>
          <w:spacing w:val="-15"/>
          <w:w w:val="110"/>
          <w:sz w:val="16"/>
        </w:rPr>
        <w:t> </w:t>
      </w:r>
      <w:r>
        <w:rPr>
          <w:i/>
          <w:w w:val="110"/>
          <w:sz w:val="16"/>
        </w:rPr>
        <w:t>As</w:t>
      </w:r>
      <w:r>
        <w:rPr>
          <w:i/>
          <w:spacing w:val="-15"/>
          <w:w w:val="110"/>
          <w:sz w:val="16"/>
        </w:rPr>
        <w:t> </w:t>
      </w:r>
      <w:r>
        <w:rPr>
          <w:i/>
          <w:w w:val="110"/>
          <w:sz w:val="16"/>
        </w:rPr>
        <w:t>Prepared</w:t>
      </w:r>
      <w:r>
        <w:rPr>
          <w:i/>
          <w:spacing w:val="-15"/>
          <w:w w:val="110"/>
          <w:sz w:val="16"/>
        </w:rPr>
        <w:t> </w:t>
      </w:r>
      <w:r>
        <w:rPr>
          <w:i/>
          <w:w w:val="110"/>
          <w:sz w:val="16"/>
        </w:rPr>
        <w:t>for</w:t>
      </w:r>
      <w:r>
        <w:rPr>
          <w:i/>
          <w:spacing w:val="-15"/>
          <w:w w:val="110"/>
          <w:sz w:val="16"/>
        </w:rPr>
        <w:t> </w:t>
      </w:r>
      <w:r>
        <w:rPr>
          <w:i/>
          <w:w w:val="110"/>
          <w:sz w:val="16"/>
        </w:rPr>
        <w:t>Delivery</w:t>
      </w:r>
      <w:r>
        <w:rPr>
          <w:i/>
          <w:spacing w:val="-15"/>
          <w:w w:val="110"/>
          <w:sz w:val="16"/>
        </w:rPr>
        <w:t> </w:t>
      </w:r>
      <w:r>
        <w:rPr>
          <w:i/>
          <w:w w:val="110"/>
          <w:sz w:val="16"/>
        </w:rPr>
        <w:t>by</w:t>
      </w:r>
      <w:r>
        <w:rPr>
          <w:i/>
          <w:spacing w:val="-15"/>
          <w:w w:val="110"/>
          <w:sz w:val="16"/>
        </w:rPr>
        <w:t> </w:t>
      </w:r>
      <w:r>
        <w:rPr>
          <w:i/>
          <w:w w:val="110"/>
          <w:sz w:val="16"/>
        </w:rPr>
        <w:t>President</w:t>
      </w:r>
      <w:r>
        <w:rPr>
          <w:i/>
          <w:spacing w:val="-15"/>
          <w:w w:val="110"/>
          <w:sz w:val="16"/>
        </w:rPr>
        <w:t> </w:t>
      </w:r>
      <w:r>
        <w:rPr>
          <w:i/>
          <w:w w:val="110"/>
          <w:sz w:val="16"/>
        </w:rPr>
        <w:t>Barack</w:t>
      </w:r>
      <w:r>
        <w:rPr>
          <w:i/>
          <w:spacing w:val="-15"/>
          <w:w w:val="110"/>
          <w:sz w:val="16"/>
        </w:rPr>
        <w:t> </w:t>
      </w:r>
      <w:r>
        <w:rPr>
          <w:i/>
          <w:w w:val="110"/>
          <w:sz w:val="16"/>
        </w:rPr>
        <w:t>obama,</w:t>
      </w:r>
      <w:r>
        <w:rPr>
          <w:i/>
          <w:spacing w:val="-15"/>
          <w:w w:val="110"/>
          <w:sz w:val="16"/>
        </w:rPr>
        <w:t> </w:t>
      </w:r>
      <w:r>
        <w:rPr>
          <w:i/>
          <w:w w:val="110"/>
          <w:sz w:val="16"/>
        </w:rPr>
        <w:t>Address</w:t>
      </w:r>
      <w:r>
        <w:rPr>
          <w:i/>
          <w:spacing w:val="-15"/>
          <w:w w:val="110"/>
          <w:sz w:val="16"/>
        </w:rPr>
        <w:t> </w:t>
      </w:r>
      <w:r>
        <w:rPr>
          <w:i/>
          <w:w w:val="110"/>
          <w:sz w:val="16"/>
        </w:rPr>
        <w:t>to</w:t>
      </w:r>
      <w:r>
        <w:rPr>
          <w:i/>
          <w:spacing w:val="-15"/>
          <w:w w:val="110"/>
          <w:sz w:val="16"/>
        </w:rPr>
        <w:t> </w:t>
      </w:r>
      <w:r>
        <w:rPr>
          <w:i/>
          <w:w w:val="110"/>
          <w:sz w:val="16"/>
        </w:rPr>
        <w:t>the</w:t>
      </w:r>
      <w:r>
        <w:rPr>
          <w:i/>
          <w:spacing w:val="-15"/>
          <w:w w:val="110"/>
          <w:sz w:val="16"/>
        </w:rPr>
        <w:t> </w:t>
      </w:r>
      <w:r>
        <w:rPr>
          <w:i/>
          <w:w w:val="110"/>
          <w:sz w:val="16"/>
        </w:rPr>
        <w:t>United </w:t>
      </w:r>
      <w:r>
        <w:rPr>
          <w:i/>
          <w:w w:val="110"/>
          <w:sz w:val="16"/>
        </w:rPr>
        <w:t>Nations General Assembly</w:t>
      </w:r>
      <w:r>
        <w:rPr>
          <w:w w:val="110"/>
          <w:sz w:val="16"/>
        </w:rPr>
        <w:t>, september 24,</w:t>
      </w:r>
      <w:r>
        <w:rPr>
          <w:spacing w:val="-18"/>
          <w:w w:val="110"/>
          <w:sz w:val="16"/>
        </w:rPr>
        <w:t> </w:t>
      </w:r>
      <w:r>
        <w:rPr>
          <w:w w:val="110"/>
          <w:sz w:val="16"/>
        </w:rPr>
        <w:t>2014.</w:t>
      </w:r>
    </w:p>
    <w:p>
      <w:pPr>
        <w:pStyle w:val="ListParagraph"/>
        <w:numPr>
          <w:ilvl w:val="0"/>
          <w:numId w:val="3"/>
        </w:numPr>
        <w:tabs>
          <w:tab w:pos="586" w:val="left" w:leader="none"/>
        </w:tabs>
        <w:spacing w:line="240" w:lineRule="auto" w:before="57" w:after="0"/>
        <w:ind w:left="585" w:right="0" w:hanging="255"/>
        <w:jc w:val="left"/>
        <w:rPr>
          <w:sz w:val="16"/>
        </w:rPr>
      </w:pPr>
      <w:r>
        <w:rPr>
          <w:spacing w:val="-4"/>
          <w:w w:val="105"/>
          <w:sz w:val="16"/>
        </w:rPr>
        <w:t>Victoria </w:t>
      </w:r>
      <w:r>
        <w:rPr>
          <w:spacing w:val="-3"/>
          <w:w w:val="105"/>
          <w:sz w:val="16"/>
        </w:rPr>
        <w:t>Nuland, </w:t>
      </w:r>
      <w:r>
        <w:rPr>
          <w:i/>
          <w:spacing w:val="-3"/>
          <w:w w:val="105"/>
          <w:sz w:val="16"/>
        </w:rPr>
        <w:t>Remarks </w:t>
      </w:r>
      <w:r>
        <w:rPr>
          <w:i/>
          <w:w w:val="105"/>
          <w:sz w:val="16"/>
        </w:rPr>
        <w:t>at the </w:t>
      </w:r>
      <w:r>
        <w:rPr>
          <w:i/>
          <w:spacing w:val="-3"/>
          <w:w w:val="105"/>
          <w:sz w:val="16"/>
        </w:rPr>
        <w:t>American Enterprise Institute</w:t>
      </w:r>
      <w:r>
        <w:rPr>
          <w:spacing w:val="-3"/>
          <w:w w:val="105"/>
          <w:sz w:val="16"/>
        </w:rPr>
        <w:t>, </w:t>
      </w:r>
      <w:r>
        <w:rPr>
          <w:w w:val="105"/>
          <w:sz w:val="16"/>
        </w:rPr>
        <w:t>18 de </w:t>
      </w:r>
      <w:r>
        <w:rPr>
          <w:spacing w:val="-3"/>
          <w:w w:val="105"/>
          <w:sz w:val="16"/>
        </w:rPr>
        <w:t>octubre </w:t>
      </w:r>
      <w:r>
        <w:rPr>
          <w:w w:val="105"/>
          <w:sz w:val="16"/>
        </w:rPr>
        <w:t>de </w:t>
      </w:r>
      <w:r>
        <w:rPr>
          <w:spacing w:val="32"/>
          <w:w w:val="105"/>
          <w:sz w:val="16"/>
        </w:rPr>
        <w:t> </w:t>
      </w:r>
      <w:r>
        <w:rPr>
          <w:spacing w:val="-3"/>
          <w:w w:val="105"/>
          <w:sz w:val="16"/>
        </w:rPr>
        <w:t>2014.</w:t>
      </w:r>
    </w:p>
    <w:p>
      <w:pPr>
        <w:pStyle w:val="ListParagraph"/>
        <w:numPr>
          <w:ilvl w:val="0"/>
          <w:numId w:val="3"/>
        </w:numPr>
        <w:tabs>
          <w:tab w:pos="586" w:val="left" w:leader="none"/>
        </w:tabs>
        <w:spacing w:line="242" w:lineRule="auto" w:before="59" w:after="0"/>
        <w:ind w:left="330" w:right="119" w:firstLine="0"/>
        <w:jc w:val="left"/>
        <w:rPr>
          <w:sz w:val="16"/>
        </w:rPr>
      </w:pPr>
      <w:r>
        <w:rPr>
          <w:w w:val="110"/>
          <w:sz w:val="16"/>
        </w:rPr>
        <w:t>Mensaje anual del presidente a la asamblea Federal, 4 de diciembre de 2014 (Moscú,</w:t>
      </w:r>
      <w:r>
        <w:rPr>
          <w:spacing w:val="19"/>
          <w:w w:val="110"/>
          <w:sz w:val="16"/>
        </w:rPr>
        <w:t> </w:t>
      </w:r>
      <w:r>
        <w:rPr>
          <w:w w:val="110"/>
          <w:sz w:val="16"/>
        </w:rPr>
        <w:t>Kremlin).</w:t>
      </w:r>
    </w:p>
    <w:p>
      <w:pPr>
        <w:spacing w:after="0" w:line="242" w:lineRule="auto"/>
        <w:jc w:val="left"/>
        <w:rPr>
          <w:sz w:val="16"/>
        </w:rPr>
        <w:sectPr>
          <w:pgSz w:w="8790" w:h="12760"/>
          <w:pgMar w:header="695" w:footer="725" w:top="880" w:bottom="920" w:left="1200" w:right="900"/>
        </w:sectPr>
      </w:pPr>
    </w:p>
    <w:p>
      <w:pPr>
        <w:pStyle w:val="BodyText"/>
        <w:spacing w:before="8"/>
        <w:rPr>
          <w:sz w:val="25"/>
        </w:rPr>
      </w:pPr>
    </w:p>
    <w:p>
      <w:pPr>
        <w:pStyle w:val="ListParagraph"/>
        <w:numPr>
          <w:ilvl w:val="0"/>
          <w:numId w:val="5"/>
        </w:numPr>
        <w:tabs>
          <w:tab w:pos="445" w:val="left" w:leader="none"/>
        </w:tabs>
        <w:spacing w:line="240" w:lineRule="auto" w:before="61" w:after="0"/>
        <w:ind w:left="444" w:right="329" w:hanging="227"/>
        <w:jc w:val="both"/>
        <w:rPr>
          <w:sz w:val="19"/>
        </w:rPr>
      </w:pPr>
      <w:r>
        <w:rPr>
          <w:w w:val="110"/>
          <w:sz w:val="19"/>
        </w:rPr>
        <w:t>Generación de las condiciones para un cambio de régimen al interior  de</w:t>
      </w:r>
      <w:r>
        <w:rPr>
          <w:spacing w:val="30"/>
          <w:w w:val="110"/>
          <w:sz w:val="19"/>
        </w:rPr>
        <w:t> </w:t>
      </w:r>
      <w:r>
        <w:rPr>
          <w:w w:val="110"/>
          <w:sz w:val="19"/>
        </w:rPr>
        <w:t>rusia.</w:t>
      </w:r>
    </w:p>
    <w:p>
      <w:pPr>
        <w:pStyle w:val="ListParagraph"/>
        <w:numPr>
          <w:ilvl w:val="0"/>
          <w:numId w:val="5"/>
        </w:numPr>
        <w:tabs>
          <w:tab w:pos="445" w:val="left" w:leader="none"/>
        </w:tabs>
        <w:spacing w:line="244" w:lineRule="auto" w:before="49" w:after="0"/>
        <w:ind w:left="444" w:right="328" w:hanging="227"/>
        <w:jc w:val="both"/>
        <w:rPr>
          <w:sz w:val="19"/>
        </w:rPr>
      </w:pPr>
      <w:r>
        <w:rPr>
          <w:w w:val="115"/>
          <w:sz w:val="19"/>
        </w:rPr>
        <w:t>aislamiento</w:t>
      </w:r>
      <w:r>
        <w:rPr>
          <w:spacing w:val="-20"/>
          <w:w w:val="115"/>
          <w:sz w:val="19"/>
        </w:rPr>
        <w:t> </w:t>
      </w:r>
      <w:r>
        <w:rPr>
          <w:w w:val="115"/>
          <w:sz w:val="19"/>
        </w:rPr>
        <w:t>de</w:t>
      </w:r>
      <w:r>
        <w:rPr>
          <w:spacing w:val="-20"/>
          <w:w w:val="115"/>
          <w:sz w:val="19"/>
        </w:rPr>
        <w:t> </w:t>
      </w:r>
      <w:r>
        <w:rPr>
          <w:w w:val="115"/>
          <w:sz w:val="19"/>
        </w:rPr>
        <w:t>rusia</w:t>
      </w:r>
      <w:r>
        <w:rPr>
          <w:spacing w:val="-20"/>
          <w:w w:val="115"/>
          <w:sz w:val="19"/>
        </w:rPr>
        <w:t> </w:t>
      </w:r>
      <w:r>
        <w:rPr>
          <w:w w:val="115"/>
          <w:sz w:val="19"/>
        </w:rPr>
        <w:t>en</w:t>
      </w:r>
      <w:r>
        <w:rPr>
          <w:spacing w:val="-20"/>
          <w:w w:val="115"/>
          <w:sz w:val="19"/>
        </w:rPr>
        <w:t> </w:t>
      </w:r>
      <w:r>
        <w:rPr>
          <w:w w:val="115"/>
          <w:sz w:val="19"/>
        </w:rPr>
        <w:t>las</w:t>
      </w:r>
      <w:r>
        <w:rPr>
          <w:spacing w:val="-20"/>
          <w:w w:val="115"/>
          <w:sz w:val="19"/>
        </w:rPr>
        <w:t> </w:t>
      </w:r>
      <w:r>
        <w:rPr>
          <w:w w:val="115"/>
          <w:sz w:val="19"/>
        </w:rPr>
        <w:t>organizaciones</w:t>
      </w:r>
      <w:r>
        <w:rPr>
          <w:spacing w:val="-20"/>
          <w:w w:val="115"/>
          <w:sz w:val="19"/>
        </w:rPr>
        <w:t> </w:t>
      </w:r>
      <w:r>
        <w:rPr>
          <w:w w:val="115"/>
          <w:sz w:val="19"/>
        </w:rPr>
        <w:t>internacionales</w:t>
      </w:r>
      <w:r>
        <w:rPr>
          <w:spacing w:val="-20"/>
          <w:w w:val="115"/>
          <w:sz w:val="19"/>
        </w:rPr>
        <w:t> </w:t>
      </w:r>
      <w:r>
        <w:rPr>
          <w:w w:val="115"/>
          <w:sz w:val="19"/>
        </w:rPr>
        <w:t>(G- 8, osCE, detenimiento de la acción del Consejo rusia-otaN   en  la</w:t>
      </w:r>
      <w:r>
        <w:rPr>
          <w:spacing w:val="10"/>
          <w:w w:val="115"/>
          <w:sz w:val="19"/>
        </w:rPr>
        <w:t> </w:t>
      </w:r>
      <w:r>
        <w:rPr>
          <w:w w:val="115"/>
          <w:sz w:val="19"/>
        </w:rPr>
        <w:t>oNu).</w:t>
      </w:r>
    </w:p>
    <w:p>
      <w:pPr>
        <w:pStyle w:val="ListParagraph"/>
        <w:numPr>
          <w:ilvl w:val="0"/>
          <w:numId w:val="5"/>
        </w:numPr>
        <w:tabs>
          <w:tab w:pos="445" w:val="left" w:leader="none"/>
        </w:tabs>
        <w:spacing w:line="240" w:lineRule="auto" w:before="44" w:after="0"/>
        <w:ind w:left="444" w:right="0" w:hanging="227"/>
        <w:jc w:val="left"/>
        <w:rPr>
          <w:sz w:val="19"/>
        </w:rPr>
      </w:pPr>
      <w:r>
        <w:rPr>
          <w:w w:val="110"/>
          <w:sz w:val="19"/>
        </w:rPr>
        <w:t>satanización</w:t>
      </w:r>
      <w:r>
        <w:rPr>
          <w:spacing w:val="-9"/>
          <w:w w:val="110"/>
          <w:sz w:val="19"/>
        </w:rPr>
        <w:t> </w:t>
      </w:r>
      <w:r>
        <w:rPr>
          <w:w w:val="110"/>
          <w:sz w:val="19"/>
        </w:rPr>
        <w:t>de</w:t>
      </w:r>
      <w:r>
        <w:rPr>
          <w:spacing w:val="-9"/>
          <w:w w:val="110"/>
          <w:sz w:val="19"/>
        </w:rPr>
        <w:t> </w:t>
      </w:r>
      <w:r>
        <w:rPr>
          <w:w w:val="110"/>
          <w:sz w:val="19"/>
        </w:rPr>
        <w:t>la</w:t>
      </w:r>
      <w:r>
        <w:rPr>
          <w:spacing w:val="-9"/>
          <w:w w:val="110"/>
          <w:sz w:val="19"/>
        </w:rPr>
        <w:t> </w:t>
      </w:r>
      <w:r>
        <w:rPr>
          <w:w w:val="110"/>
          <w:sz w:val="19"/>
        </w:rPr>
        <w:t>figura</w:t>
      </w:r>
      <w:r>
        <w:rPr>
          <w:spacing w:val="-9"/>
          <w:w w:val="110"/>
          <w:sz w:val="19"/>
        </w:rPr>
        <w:t> </w:t>
      </w:r>
      <w:r>
        <w:rPr>
          <w:w w:val="110"/>
          <w:sz w:val="19"/>
        </w:rPr>
        <w:t>de</w:t>
      </w:r>
      <w:r>
        <w:rPr>
          <w:spacing w:val="-9"/>
          <w:w w:val="110"/>
          <w:sz w:val="19"/>
        </w:rPr>
        <w:t> </w:t>
      </w:r>
      <w:r>
        <w:rPr>
          <w:w w:val="110"/>
          <w:sz w:val="19"/>
        </w:rPr>
        <w:t>Vladimir</w:t>
      </w:r>
      <w:r>
        <w:rPr>
          <w:spacing w:val="-9"/>
          <w:w w:val="110"/>
          <w:sz w:val="19"/>
        </w:rPr>
        <w:t> </w:t>
      </w:r>
      <w:r>
        <w:rPr>
          <w:w w:val="110"/>
          <w:sz w:val="19"/>
        </w:rPr>
        <w:t>Putin</w:t>
      </w:r>
      <w:r>
        <w:rPr>
          <w:spacing w:val="-9"/>
          <w:w w:val="110"/>
          <w:sz w:val="19"/>
        </w:rPr>
        <w:t> </w:t>
      </w:r>
      <w:r>
        <w:rPr>
          <w:w w:val="110"/>
          <w:sz w:val="19"/>
        </w:rPr>
        <w:t>a</w:t>
      </w:r>
      <w:r>
        <w:rPr>
          <w:spacing w:val="-9"/>
          <w:w w:val="110"/>
          <w:sz w:val="19"/>
        </w:rPr>
        <w:t> </w:t>
      </w:r>
      <w:r>
        <w:rPr>
          <w:w w:val="110"/>
          <w:sz w:val="19"/>
        </w:rPr>
        <w:t>nivel</w:t>
      </w:r>
      <w:r>
        <w:rPr>
          <w:spacing w:val="-9"/>
          <w:w w:val="110"/>
          <w:sz w:val="19"/>
        </w:rPr>
        <w:t> </w:t>
      </w:r>
      <w:r>
        <w:rPr>
          <w:w w:val="110"/>
          <w:sz w:val="19"/>
        </w:rPr>
        <w:t>internacional.</w:t>
      </w:r>
    </w:p>
    <w:p>
      <w:pPr>
        <w:pStyle w:val="ListParagraph"/>
        <w:numPr>
          <w:ilvl w:val="0"/>
          <w:numId w:val="5"/>
        </w:numPr>
        <w:tabs>
          <w:tab w:pos="445" w:val="left" w:leader="none"/>
        </w:tabs>
        <w:spacing w:line="249" w:lineRule="auto" w:before="37" w:after="0"/>
        <w:ind w:left="444" w:right="328" w:hanging="227"/>
        <w:jc w:val="both"/>
        <w:rPr>
          <w:sz w:val="19"/>
        </w:rPr>
      </w:pPr>
      <w:r>
        <w:rPr>
          <w:w w:val="110"/>
          <w:sz w:val="19"/>
        </w:rPr>
        <w:t>a través de las sanciones (sobre todo las de dificultar el acceso a financiamientos occidentales a las grandes corporaciones rusas), y la reducción de los precios del petróleo a nivel </w:t>
      </w:r>
      <w:r>
        <w:rPr>
          <w:spacing w:val="-3"/>
          <w:w w:val="110"/>
          <w:sz w:val="19"/>
        </w:rPr>
        <w:t>inter- </w:t>
      </w:r>
      <w:r>
        <w:rPr>
          <w:w w:val="110"/>
          <w:sz w:val="19"/>
        </w:rPr>
        <w:t>nacional, se busca el debilitamiento de los grandes monopolios rusos (Gazprom, rosnieft, sberbank y otros), así como del Es- tado ruso, cuyo presupuesto se nutre fundamentalmente de los impuestos de los monopolios</w:t>
      </w:r>
      <w:r>
        <w:rPr>
          <w:spacing w:val="24"/>
          <w:w w:val="110"/>
          <w:sz w:val="19"/>
        </w:rPr>
        <w:t> </w:t>
      </w:r>
      <w:r>
        <w:rPr>
          <w:w w:val="110"/>
          <w:sz w:val="19"/>
        </w:rPr>
        <w:t>energéticos.</w:t>
      </w:r>
    </w:p>
    <w:p>
      <w:pPr>
        <w:pStyle w:val="ListParagraph"/>
        <w:numPr>
          <w:ilvl w:val="0"/>
          <w:numId w:val="5"/>
        </w:numPr>
        <w:tabs>
          <w:tab w:pos="445" w:val="left" w:leader="none"/>
        </w:tabs>
        <w:spacing w:line="247" w:lineRule="auto" w:before="40" w:after="0"/>
        <w:ind w:left="444" w:right="328" w:hanging="227"/>
        <w:jc w:val="both"/>
        <w:rPr>
          <w:sz w:val="19"/>
        </w:rPr>
      </w:pPr>
      <w:r>
        <w:rPr>
          <w:w w:val="110"/>
          <w:sz w:val="19"/>
        </w:rPr>
        <w:t>Consolidar a ucrania como un Estado nacionalista hostil a </w:t>
      </w:r>
      <w:r>
        <w:rPr>
          <w:w w:val="182"/>
          <w:sz w:val="19"/>
        </w:rPr>
        <w:t>r</w:t>
      </w:r>
      <w:r>
        <w:rPr>
          <w:w w:val="111"/>
          <w:sz w:val="19"/>
        </w:rPr>
        <w:t>usia</w:t>
      </w:r>
      <w:r>
        <w:rPr>
          <w:spacing w:val="17"/>
          <w:sz w:val="19"/>
        </w:rPr>
        <w:t> </w:t>
      </w:r>
      <w:r>
        <w:rPr>
          <w:w w:val="108"/>
          <w:sz w:val="19"/>
        </w:rPr>
        <w:t>en</w:t>
      </w:r>
      <w:r>
        <w:rPr>
          <w:spacing w:val="17"/>
          <w:sz w:val="19"/>
        </w:rPr>
        <w:t> </w:t>
      </w:r>
      <w:r>
        <w:rPr>
          <w:w w:val="109"/>
          <w:sz w:val="19"/>
        </w:rPr>
        <w:t>su</w:t>
      </w:r>
      <w:r>
        <w:rPr>
          <w:spacing w:val="17"/>
          <w:sz w:val="19"/>
        </w:rPr>
        <w:t> </w:t>
      </w:r>
      <w:r>
        <w:rPr>
          <w:w w:val="110"/>
          <w:sz w:val="19"/>
        </w:rPr>
        <w:t>flanco</w:t>
      </w:r>
      <w:r>
        <w:rPr>
          <w:spacing w:val="17"/>
          <w:sz w:val="19"/>
        </w:rPr>
        <w:t> </w:t>
      </w:r>
      <w:r>
        <w:rPr>
          <w:w w:val="112"/>
          <w:sz w:val="19"/>
        </w:rPr>
        <w:t>occidental.</w:t>
      </w:r>
      <w:r>
        <w:rPr>
          <w:spacing w:val="17"/>
          <w:sz w:val="19"/>
        </w:rPr>
        <w:t> </w:t>
      </w:r>
      <w:r>
        <w:rPr>
          <w:w w:val="243"/>
          <w:sz w:val="19"/>
        </w:rPr>
        <w:t>l</w:t>
      </w:r>
      <w:r>
        <w:rPr>
          <w:w w:val="109"/>
          <w:sz w:val="19"/>
        </w:rPr>
        <w:t>ograr</w:t>
      </w:r>
      <w:r>
        <w:rPr>
          <w:spacing w:val="17"/>
          <w:sz w:val="19"/>
        </w:rPr>
        <w:t> </w:t>
      </w:r>
      <w:r>
        <w:rPr>
          <w:w w:val="112"/>
          <w:sz w:val="19"/>
        </w:rPr>
        <w:t>un</w:t>
      </w:r>
      <w:r>
        <w:rPr>
          <w:spacing w:val="17"/>
          <w:sz w:val="19"/>
        </w:rPr>
        <w:t> </w:t>
      </w:r>
      <w:r>
        <w:rPr>
          <w:w w:val="111"/>
          <w:sz w:val="19"/>
        </w:rPr>
        <w:t>acomodo</w:t>
      </w:r>
      <w:r>
        <w:rPr>
          <w:spacing w:val="17"/>
          <w:sz w:val="19"/>
        </w:rPr>
        <w:t> </w:t>
      </w:r>
      <w:r>
        <w:rPr>
          <w:w w:val="109"/>
          <w:sz w:val="19"/>
        </w:rPr>
        <w:t>favorable</w:t>
      </w:r>
      <w:r>
        <w:rPr>
          <w:spacing w:val="17"/>
          <w:sz w:val="19"/>
        </w:rPr>
        <w:t> </w:t>
      </w:r>
      <w:r>
        <w:rPr>
          <w:w w:val="112"/>
          <w:sz w:val="19"/>
        </w:rPr>
        <w:t>a </w:t>
      </w:r>
      <w:r>
        <w:rPr>
          <w:w w:val="110"/>
          <w:sz w:val="19"/>
        </w:rPr>
        <w:t>Kiev con las regiones del Este, que reduzca las posibilidades de influencia política y subversiva de  </w:t>
      </w:r>
      <w:r>
        <w:rPr>
          <w:spacing w:val="6"/>
          <w:w w:val="110"/>
          <w:sz w:val="19"/>
        </w:rPr>
        <w:t> </w:t>
      </w:r>
      <w:r>
        <w:rPr>
          <w:w w:val="110"/>
          <w:sz w:val="19"/>
        </w:rPr>
        <w:t>rusia.</w:t>
      </w:r>
    </w:p>
    <w:p>
      <w:pPr>
        <w:pStyle w:val="ListParagraph"/>
        <w:numPr>
          <w:ilvl w:val="0"/>
          <w:numId w:val="5"/>
        </w:numPr>
        <w:tabs>
          <w:tab w:pos="445" w:val="left" w:leader="none"/>
        </w:tabs>
        <w:spacing w:line="240" w:lineRule="auto" w:before="42" w:after="0"/>
        <w:ind w:left="444" w:right="328" w:hanging="227"/>
        <w:jc w:val="both"/>
        <w:rPr>
          <w:sz w:val="19"/>
        </w:rPr>
      </w:pPr>
      <w:r>
        <w:rPr>
          <w:w w:val="115"/>
          <w:sz w:val="19"/>
        </w:rPr>
        <w:t>transición</w:t>
      </w:r>
      <w:r>
        <w:rPr>
          <w:spacing w:val="-4"/>
          <w:w w:val="115"/>
          <w:sz w:val="19"/>
        </w:rPr>
        <w:t> </w:t>
      </w:r>
      <w:r>
        <w:rPr>
          <w:w w:val="115"/>
          <w:sz w:val="19"/>
        </w:rPr>
        <w:t>de</w:t>
      </w:r>
      <w:r>
        <w:rPr>
          <w:spacing w:val="-4"/>
          <w:w w:val="115"/>
          <w:sz w:val="19"/>
        </w:rPr>
        <w:t> </w:t>
      </w:r>
      <w:r>
        <w:rPr>
          <w:w w:val="115"/>
          <w:sz w:val="19"/>
        </w:rPr>
        <w:t>ucrania</w:t>
      </w:r>
      <w:r>
        <w:rPr>
          <w:spacing w:val="-4"/>
          <w:w w:val="115"/>
          <w:sz w:val="19"/>
        </w:rPr>
        <w:t> </w:t>
      </w:r>
      <w:r>
        <w:rPr>
          <w:w w:val="115"/>
          <w:sz w:val="19"/>
        </w:rPr>
        <w:t>hacia</w:t>
      </w:r>
      <w:r>
        <w:rPr>
          <w:spacing w:val="-4"/>
          <w:w w:val="115"/>
          <w:sz w:val="19"/>
        </w:rPr>
        <w:t> </w:t>
      </w:r>
      <w:r>
        <w:rPr>
          <w:w w:val="115"/>
          <w:sz w:val="19"/>
        </w:rPr>
        <w:t>la</w:t>
      </w:r>
      <w:r>
        <w:rPr>
          <w:spacing w:val="-4"/>
          <w:w w:val="115"/>
          <w:sz w:val="19"/>
        </w:rPr>
        <w:t> </w:t>
      </w:r>
      <w:r>
        <w:rPr>
          <w:w w:val="115"/>
          <w:sz w:val="19"/>
        </w:rPr>
        <w:t>esfera</w:t>
      </w:r>
      <w:r>
        <w:rPr>
          <w:spacing w:val="-4"/>
          <w:w w:val="115"/>
          <w:sz w:val="19"/>
        </w:rPr>
        <w:t> </w:t>
      </w:r>
      <w:r>
        <w:rPr>
          <w:w w:val="115"/>
          <w:sz w:val="19"/>
        </w:rPr>
        <w:t>de</w:t>
      </w:r>
      <w:r>
        <w:rPr>
          <w:spacing w:val="-4"/>
          <w:w w:val="115"/>
          <w:sz w:val="19"/>
        </w:rPr>
        <w:t> </w:t>
      </w:r>
      <w:r>
        <w:rPr>
          <w:w w:val="115"/>
          <w:sz w:val="19"/>
        </w:rPr>
        <w:t>influencia</w:t>
      </w:r>
      <w:r>
        <w:rPr>
          <w:spacing w:val="-4"/>
          <w:w w:val="115"/>
          <w:sz w:val="19"/>
        </w:rPr>
        <w:t> </w:t>
      </w:r>
      <w:r>
        <w:rPr>
          <w:w w:val="115"/>
          <w:sz w:val="19"/>
        </w:rPr>
        <w:t>de</w:t>
      </w:r>
      <w:r>
        <w:rPr>
          <w:spacing w:val="-4"/>
          <w:w w:val="115"/>
          <w:sz w:val="19"/>
        </w:rPr>
        <w:t> </w:t>
      </w:r>
      <w:r>
        <w:rPr>
          <w:w w:val="115"/>
          <w:sz w:val="19"/>
        </w:rPr>
        <w:t>Estados unidos,  la  </w:t>
      </w:r>
      <w:r>
        <w:rPr>
          <w:w w:val="125"/>
          <w:sz w:val="19"/>
        </w:rPr>
        <w:t>uE </w:t>
      </w:r>
      <w:r>
        <w:rPr>
          <w:w w:val="115"/>
          <w:sz w:val="19"/>
        </w:rPr>
        <w:t>y  la</w:t>
      </w:r>
      <w:r>
        <w:rPr>
          <w:spacing w:val="-23"/>
          <w:w w:val="115"/>
          <w:sz w:val="19"/>
        </w:rPr>
        <w:t> </w:t>
      </w:r>
      <w:r>
        <w:rPr>
          <w:spacing w:val="-3"/>
          <w:w w:val="125"/>
          <w:sz w:val="19"/>
        </w:rPr>
        <w:t>otaN.</w:t>
      </w:r>
    </w:p>
    <w:p>
      <w:pPr>
        <w:pStyle w:val="ListParagraph"/>
        <w:numPr>
          <w:ilvl w:val="0"/>
          <w:numId w:val="5"/>
        </w:numPr>
        <w:tabs>
          <w:tab w:pos="445" w:val="left" w:leader="none"/>
        </w:tabs>
        <w:spacing w:line="240" w:lineRule="auto" w:before="49" w:after="0"/>
        <w:ind w:left="444" w:right="328" w:hanging="227"/>
        <w:jc w:val="both"/>
        <w:rPr>
          <w:sz w:val="19"/>
        </w:rPr>
      </w:pPr>
      <w:r>
        <w:rPr>
          <w:w w:val="110"/>
          <w:sz w:val="19"/>
        </w:rPr>
        <w:t>debilitamiento estructural de la unión Económica Euroasiáti- ca de la cual ucrania no formará  </w:t>
      </w:r>
      <w:r>
        <w:rPr>
          <w:spacing w:val="30"/>
          <w:w w:val="110"/>
          <w:sz w:val="19"/>
        </w:rPr>
        <w:t> </w:t>
      </w:r>
      <w:r>
        <w:rPr>
          <w:w w:val="110"/>
          <w:sz w:val="19"/>
        </w:rPr>
        <w:t>parte.</w:t>
      </w:r>
    </w:p>
    <w:p>
      <w:pPr>
        <w:pStyle w:val="ListParagraph"/>
        <w:numPr>
          <w:ilvl w:val="0"/>
          <w:numId w:val="5"/>
        </w:numPr>
        <w:tabs>
          <w:tab w:pos="445" w:val="left" w:leader="none"/>
        </w:tabs>
        <w:spacing w:line="247" w:lineRule="auto" w:before="48" w:after="0"/>
        <w:ind w:left="444" w:right="328" w:hanging="227"/>
        <w:jc w:val="both"/>
        <w:rPr>
          <w:sz w:val="19"/>
        </w:rPr>
      </w:pPr>
      <w:r>
        <w:rPr>
          <w:w w:val="110"/>
          <w:sz w:val="19"/>
        </w:rPr>
        <w:t>incrementar la influencia occidental hacia el resto de los países del espacio postsoviético, sobre todo Georgia, Moldavia, pero también azerbaiyán, armenia y belarús, todos incluidos en la asociación  </w:t>
      </w:r>
      <w:r>
        <w:rPr>
          <w:spacing w:val="7"/>
          <w:w w:val="110"/>
          <w:sz w:val="19"/>
        </w:rPr>
        <w:t> </w:t>
      </w:r>
      <w:r>
        <w:rPr>
          <w:w w:val="110"/>
          <w:sz w:val="19"/>
        </w:rPr>
        <w:t>oriental.</w:t>
      </w:r>
    </w:p>
    <w:p>
      <w:pPr>
        <w:pStyle w:val="ListParagraph"/>
        <w:numPr>
          <w:ilvl w:val="0"/>
          <w:numId w:val="5"/>
        </w:numPr>
        <w:tabs>
          <w:tab w:pos="445" w:val="left" w:leader="none"/>
        </w:tabs>
        <w:spacing w:line="244" w:lineRule="auto" w:before="42" w:after="0"/>
        <w:ind w:left="444" w:right="328" w:hanging="227"/>
        <w:jc w:val="both"/>
        <w:rPr>
          <w:sz w:val="19"/>
        </w:rPr>
      </w:pPr>
      <w:r>
        <w:rPr>
          <w:w w:val="110"/>
          <w:sz w:val="19"/>
        </w:rPr>
        <w:t>incremento de la inestabilidad en el espacio postsoviético que obligue a rusia a concentrarse en estos problemas y reduzca  su activismo en otros conflictos, sobre todo en Medio  </w:t>
      </w:r>
      <w:r>
        <w:rPr>
          <w:spacing w:val="22"/>
          <w:w w:val="110"/>
          <w:sz w:val="19"/>
        </w:rPr>
        <w:t> </w:t>
      </w:r>
      <w:r>
        <w:rPr>
          <w:w w:val="110"/>
          <w:sz w:val="19"/>
        </w:rPr>
        <w:t>oriente.</w:t>
      </w:r>
    </w:p>
    <w:p>
      <w:pPr>
        <w:pStyle w:val="ListParagraph"/>
        <w:numPr>
          <w:ilvl w:val="0"/>
          <w:numId w:val="5"/>
        </w:numPr>
        <w:tabs>
          <w:tab w:pos="445" w:val="left" w:leader="none"/>
        </w:tabs>
        <w:spacing w:line="240" w:lineRule="auto" w:before="44" w:after="0"/>
        <w:ind w:left="444" w:right="0" w:hanging="227"/>
        <w:jc w:val="left"/>
        <w:rPr>
          <w:sz w:val="19"/>
        </w:rPr>
      </w:pPr>
      <w:r>
        <w:rPr>
          <w:w w:val="115"/>
          <w:sz w:val="19"/>
        </w:rPr>
        <w:t>Fortalecimiento</w:t>
      </w:r>
      <w:r>
        <w:rPr>
          <w:spacing w:val="-12"/>
          <w:w w:val="115"/>
          <w:sz w:val="19"/>
        </w:rPr>
        <w:t> </w:t>
      </w:r>
      <w:r>
        <w:rPr>
          <w:w w:val="115"/>
          <w:sz w:val="19"/>
        </w:rPr>
        <w:t>de</w:t>
      </w:r>
      <w:r>
        <w:rPr>
          <w:spacing w:val="-12"/>
          <w:w w:val="115"/>
          <w:sz w:val="19"/>
        </w:rPr>
        <w:t> </w:t>
      </w:r>
      <w:r>
        <w:rPr>
          <w:w w:val="115"/>
          <w:sz w:val="19"/>
        </w:rPr>
        <w:t>la</w:t>
      </w:r>
      <w:r>
        <w:rPr>
          <w:spacing w:val="-12"/>
          <w:w w:val="115"/>
          <w:sz w:val="19"/>
        </w:rPr>
        <w:t> </w:t>
      </w:r>
      <w:r>
        <w:rPr>
          <w:spacing w:val="-4"/>
          <w:w w:val="120"/>
          <w:sz w:val="19"/>
        </w:rPr>
        <w:t>otaN</w:t>
      </w:r>
      <w:r>
        <w:rPr>
          <w:spacing w:val="-14"/>
          <w:w w:val="120"/>
          <w:sz w:val="19"/>
        </w:rPr>
        <w:t> </w:t>
      </w:r>
      <w:r>
        <w:rPr>
          <w:w w:val="115"/>
          <w:sz w:val="19"/>
        </w:rPr>
        <w:t>y</w:t>
      </w:r>
      <w:r>
        <w:rPr>
          <w:spacing w:val="-12"/>
          <w:w w:val="115"/>
          <w:sz w:val="19"/>
        </w:rPr>
        <w:t> </w:t>
      </w:r>
      <w:r>
        <w:rPr>
          <w:w w:val="115"/>
          <w:sz w:val="19"/>
        </w:rPr>
        <w:t>de</w:t>
      </w:r>
      <w:r>
        <w:rPr>
          <w:spacing w:val="-12"/>
          <w:w w:val="115"/>
          <w:sz w:val="19"/>
        </w:rPr>
        <w:t> </w:t>
      </w:r>
      <w:r>
        <w:rPr>
          <w:w w:val="115"/>
          <w:sz w:val="19"/>
        </w:rPr>
        <w:t>las</w:t>
      </w:r>
      <w:r>
        <w:rPr>
          <w:spacing w:val="-12"/>
          <w:w w:val="115"/>
          <w:sz w:val="19"/>
        </w:rPr>
        <w:t> </w:t>
      </w:r>
      <w:r>
        <w:rPr>
          <w:w w:val="115"/>
          <w:sz w:val="19"/>
        </w:rPr>
        <w:t>relaciones</w:t>
      </w:r>
      <w:r>
        <w:rPr>
          <w:spacing w:val="-12"/>
          <w:w w:val="115"/>
          <w:sz w:val="19"/>
        </w:rPr>
        <w:t> </w:t>
      </w:r>
      <w:r>
        <w:rPr>
          <w:w w:val="115"/>
          <w:sz w:val="19"/>
        </w:rPr>
        <w:t>transatlánticas.</w:t>
      </w:r>
    </w:p>
    <w:p>
      <w:pPr>
        <w:pStyle w:val="ListParagraph"/>
        <w:numPr>
          <w:ilvl w:val="0"/>
          <w:numId w:val="5"/>
        </w:numPr>
        <w:tabs>
          <w:tab w:pos="445" w:val="left" w:leader="none"/>
        </w:tabs>
        <w:spacing w:line="244" w:lineRule="auto" w:before="37" w:after="0"/>
        <w:ind w:left="444" w:right="327" w:hanging="227"/>
        <w:jc w:val="both"/>
        <w:rPr>
          <w:sz w:val="19"/>
        </w:rPr>
      </w:pPr>
      <w:r>
        <w:rPr>
          <w:w w:val="110"/>
          <w:sz w:val="19"/>
        </w:rPr>
        <w:t>aseguramiento de la lealtad a Estados unidos de los países del báltico, Polonia, rumania y otros, que continúen siendo cabal- los de </w:t>
      </w:r>
      <w:r>
        <w:rPr>
          <w:spacing w:val="-4"/>
          <w:w w:val="110"/>
          <w:sz w:val="19"/>
        </w:rPr>
        <w:t>troya  </w:t>
      </w:r>
      <w:r>
        <w:rPr>
          <w:w w:val="110"/>
          <w:sz w:val="19"/>
        </w:rPr>
        <w:t>norteamericanos en la  </w:t>
      </w:r>
      <w:r>
        <w:rPr>
          <w:spacing w:val="20"/>
          <w:w w:val="110"/>
          <w:sz w:val="19"/>
        </w:rPr>
        <w:t> </w:t>
      </w:r>
      <w:r>
        <w:rPr>
          <w:w w:val="110"/>
          <w:sz w:val="19"/>
        </w:rPr>
        <w:t>uE.</w:t>
      </w:r>
    </w:p>
    <w:p>
      <w:pPr>
        <w:pStyle w:val="ListParagraph"/>
        <w:numPr>
          <w:ilvl w:val="0"/>
          <w:numId w:val="5"/>
        </w:numPr>
        <w:tabs>
          <w:tab w:pos="445" w:val="left" w:leader="none"/>
        </w:tabs>
        <w:spacing w:line="240" w:lineRule="auto" w:before="44" w:after="0"/>
        <w:ind w:left="444" w:right="327" w:hanging="227"/>
        <w:jc w:val="both"/>
        <w:rPr>
          <w:sz w:val="19"/>
        </w:rPr>
      </w:pPr>
      <w:r>
        <w:rPr>
          <w:w w:val="110"/>
          <w:sz w:val="19"/>
        </w:rPr>
        <w:t>Erosión de la dependencia económica de la uE de rusia, sobre todo en el área</w:t>
      </w:r>
      <w:r>
        <w:rPr>
          <w:spacing w:val="19"/>
          <w:w w:val="110"/>
          <w:sz w:val="19"/>
        </w:rPr>
        <w:t> </w:t>
      </w:r>
      <w:r>
        <w:rPr>
          <w:w w:val="110"/>
          <w:sz w:val="19"/>
        </w:rPr>
        <w:t>energética.</w:t>
      </w:r>
    </w:p>
    <w:p>
      <w:pPr>
        <w:pStyle w:val="ListParagraph"/>
        <w:numPr>
          <w:ilvl w:val="0"/>
          <w:numId w:val="5"/>
        </w:numPr>
        <w:tabs>
          <w:tab w:pos="445" w:val="left" w:leader="none"/>
        </w:tabs>
        <w:spacing w:line="240" w:lineRule="auto" w:before="49" w:after="0"/>
        <w:ind w:left="444" w:right="328" w:hanging="227"/>
        <w:jc w:val="both"/>
        <w:rPr>
          <w:sz w:val="19"/>
        </w:rPr>
      </w:pPr>
      <w:r>
        <w:rPr>
          <w:w w:val="110"/>
          <w:sz w:val="19"/>
        </w:rPr>
        <w:t>aseguramiento, en lo posible, de mayores espacios de mercado en Europa para los portadores energéticos</w:t>
      </w:r>
      <w:r>
        <w:rPr>
          <w:spacing w:val="39"/>
          <w:w w:val="110"/>
          <w:sz w:val="19"/>
        </w:rPr>
        <w:t> </w:t>
      </w:r>
      <w:r>
        <w:rPr>
          <w:w w:val="110"/>
          <w:sz w:val="19"/>
        </w:rPr>
        <w:t>norteamericanos.</w:t>
      </w:r>
    </w:p>
    <w:p>
      <w:pPr>
        <w:pStyle w:val="ListParagraph"/>
        <w:numPr>
          <w:ilvl w:val="0"/>
          <w:numId w:val="5"/>
        </w:numPr>
        <w:tabs>
          <w:tab w:pos="445" w:val="left" w:leader="none"/>
        </w:tabs>
        <w:spacing w:line="240" w:lineRule="auto" w:before="49" w:after="0"/>
        <w:ind w:left="444" w:right="328" w:hanging="227"/>
        <w:jc w:val="both"/>
        <w:rPr>
          <w:sz w:val="19"/>
        </w:rPr>
      </w:pPr>
      <w:r>
        <w:rPr>
          <w:w w:val="110"/>
          <w:sz w:val="19"/>
        </w:rPr>
        <w:t>aceleración de las negociaciones del acuerdo transatlántico de inversión</w:t>
      </w:r>
      <w:r>
        <w:rPr>
          <w:spacing w:val="24"/>
          <w:w w:val="110"/>
          <w:sz w:val="19"/>
        </w:rPr>
        <w:t> </w:t>
      </w:r>
      <w:r>
        <w:rPr>
          <w:w w:val="110"/>
          <w:sz w:val="19"/>
        </w:rPr>
        <w:t>y</w:t>
      </w:r>
      <w:r>
        <w:rPr>
          <w:spacing w:val="24"/>
          <w:w w:val="110"/>
          <w:sz w:val="19"/>
        </w:rPr>
        <w:t> </w:t>
      </w:r>
      <w:r>
        <w:rPr>
          <w:w w:val="110"/>
          <w:sz w:val="19"/>
        </w:rPr>
        <w:t>Comercio</w:t>
      </w:r>
      <w:r>
        <w:rPr>
          <w:spacing w:val="24"/>
          <w:w w:val="110"/>
          <w:sz w:val="19"/>
        </w:rPr>
        <w:t> </w:t>
      </w:r>
      <w:r>
        <w:rPr>
          <w:w w:val="110"/>
          <w:sz w:val="19"/>
        </w:rPr>
        <w:t>de</w:t>
      </w:r>
      <w:r>
        <w:rPr>
          <w:spacing w:val="24"/>
          <w:w w:val="110"/>
          <w:sz w:val="19"/>
        </w:rPr>
        <w:t> </w:t>
      </w:r>
      <w:r>
        <w:rPr>
          <w:w w:val="110"/>
          <w:sz w:val="19"/>
        </w:rPr>
        <w:t>Estados</w:t>
      </w:r>
      <w:r>
        <w:rPr>
          <w:spacing w:val="24"/>
          <w:w w:val="110"/>
          <w:sz w:val="19"/>
        </w:rPr>
        <w:t> </w:t>
      </w:r>
      <w:r>
        <w:rPr>
          <w:w w:val="110"/>
          <w:sz w:val="19"/>
        </w:rPr>
        <w:t>unidos</w:t>
      </w:r>
      <w:r>
        <w:rPr>
          <w:spacing w:val="24"/>
          <w:w w:val="110"/>
          <w:sz w:val="19"/>
        </w:rPr>
        <w:t> </w:t>
      </w:r>
      <w:r>
        <w:rPr>
          <w:w w:val="110"/>
          <w:sz w:val="19"/>
        </w:rPr>
        <w:t>con</w:t>
      </w:r>
      <w:r>
        <w:rPr>
          <w:spacing w:val="24"/>
          <w:w w:val="110"/>
          <w:sz w:val="19"/>
        </w:rPr>
        <w:t> </w:t>
      </w:r>
      <w:r>
        <w:rPr>
          <w:w w:val="110"/>
          <w:sz w:val="19"/>
        </w:rPr>
        <w:t>la</w:t>
      </w:r>
      <w:r>
        <w:rPr>
          <w:spacing w:val="24"/>
          <w:w w:val="110"/>
          <w:sz w:val="19"/>
        </w:rPr>
        <w:t> </w:t>
      </w:r>
      <w:r>
        <w:rPr>
          <w:w w:val="110"/>
          <w:sz w:val="19"/>
        </w:rPr>
        <w:t>uE.</w:t>
      </w:r>
    </w:p>
    <w:p>
      <w:pPr>
        <w:spacing w:after="0" w:line="240" w:lineRule="auto"/>
        <w:jc w:val="both"/>
        <w:rPr>
          <w:sz w:val="19"/>
        </w:rPr>
        <w:sectPr>
          <w:footerReference w:type="even" r:id="rId188"/>
          <w:footerReference w:type="default" r:id="rId189"/>
          <w:pgSz w:w="8790" w:h="12760"/>
          <w:pgMar w:footer="723" w:header="697" w:top="880" w:bottom="920" w:left="1200" w:right="1200"/>
        </w:sectPr>
      </w:pPr>
    </w:p>
    <w:p>
      <w:pPr>
        <w:pStyle w:val="BodyText"/>
        <w:spacing w:before="6"/>
        <w:rPr>
          <w:sz w:val="25"/>
        </w:rPr>
      </w:pPr>
    </w:p>
    <w:p>
      <w:pPr>
        <w:pStyle w:val="ListParagraph"/>
        <w:numPr>
          <w:ilvl w:val="1"/>
          <w:numId w:val="5"/>
        </w:numPr>
        <w:tabs>
          <w:tab w:pos="955" w:val="left" w:leader="none"/>
        </w:tabs>
        <w:spacing w:line="244" w:lineRule="auto" w:before="61" w:after="0"/>
        <w:ind w:left="954" w:right="118" w:hanging="227"/>
        <w:jc w:val="both"/>
        <w:rPr>
          <w:sz w:val="19"/>
        </w:rPr>
      </w:pPr>
      <w:r>
        <w:rPr>
          <w:w w:val="110"/>
          <w:sz w:val="19"/>
        </w:rPr>
        <w:t>Mantener la interacción con rusia para ayudar a resolver otros problemas de la agenda norteamericana de política exterior como  siria  e</w:t>
      </w:r>
      <w:r>
        <w:rPr>
          <w:spacing w:val="3"/>
          <w:w w:val="110"/>
          <w:sz w:val="19"/>
        </w:rPr>
        <w:t> </w:t>
      </w:r>
      <w:r>
        <w:rPr>
          <w:w w:val="110"/>
          <w:sz w:val="19"/>
        </w:rPr>
        <w:t>irán.</w:t>
      </w:r>
    </w:p>
    <w:p>
      <w:pPr>
        <w:pStyle w:val="BodyText"/>
        <w:spacing w:before="6"/>
        <w:rPr>
          <w:sz w:val="20"/>
        </w:rPr>
      </w:pPr>
    </w:p>
    <w:p>
      <w:pPr>
        <w:pStyle w:val="BodyText"/>
        <w:ind w:left="330" w:right="41"/>
      </w:pPr>
      <w:r>
        <w:rPr>
          <w:w w:val="110"/>
        </w:rPr>
        <w:t>En cuanto a rusia, sus objetivos durante la crisis ucraniana han sido:</w:t>
      </w:r>
    </w:p>
    <w:p>
      <w:pPr>
        <w:pStyle w:val="BodyText"/>
        <w:spacing w:before="10"/>
        <w:rPr>
          <w:sz w:val="16"/>
        </w:rPr>
      </w:pPr>
    </w:p>
    <w:p>
      <w:pPr>
        <w:pStyle w:val="ListParagraph"/>
        <w:numPr>
          <w:ilvl w:val="1"/>
          <w:numId w:val="5"/>
        </w:numPr>
        <w:tabs>
          <w:tab w:pos="955" w:val="left" w:leader="none"/>
        </w:tabs>
        <w:spacing w:line="247" w:lineRule="auto" w:before="0" w:after="0"/>
        <w:ind w:left="954" w:right="117" w:hanging="227"/>
        <w:jc w:val="both"/>
        <w:rPr>
          <w:sz w:val="11"/>
        </w:rPr>
      </w:pPr>
      <w:r>
        <w:rPr>
          <w:w w:val="110"/>
          <w:sz w:val="19"/>
        </w:rPr>
        <w:t>resistir los embates de los Estados y sectores oligárquicos de Estados unidos y la uE bajo el supuesto de que “mientras más retrocedemos y nos justificamos, más descarados, cínicos y agresivos</w:t>
      </w:r>
      <w:r>
        <w:rPr>
          <w:spacing w:val="-9"/>
          <w:w w:val="110"/>
          <w:sz w:val="19"/>
        </w:rPr>
        <w:t> </w:t>
      </w:r>
      <w:r>
        <w:rPr>
          <w:w w:val="110"/>
          <w:sz w:val="19"/>
        </w:rPr>
        <w:t>se</w:t>
      </w:r>
      <w:r>
        <w:rPr>
          <w:spacing w:val="-9"/>
          <w:w w:val="110"/>
          <w:sz w:val="19"/>
        </w:rPr>
        <w:t> </w:t>
      </w:r>
      <w:r>
        <w:rPr>
          <w:w w:val="110"/>
          <w:sz w:val="19"/>
        </w:rPr>
        <w:t>vuelven</w:t>
      </w:r>
      <w:r>
        <w:rPr>
          <w:spacing w:val="-9"/>
          <w:w w:val="110"/>
          <w:sz w:val="19"/>
        </w:rPr>
        <w:t> </w:t>
      </w:r>
      <w:r>
        <w:rPr>
          <w:w w:val="110"/>
          <w:sz w:val="19"/>
        </w:rPr>
        <w:t>nuestros</w:t>
      </w:r>
      <w:r>
        <w:rPr>
          <w:spacing w:val="-9"/>
          <w:w w:val="110"/>
          <w:sz w:val="19"/>
        </w:rPr>
        <w:t> </w:t>
      </w:r>
      <w:r>
        <w:rPr>
          <w:w w:val="110"/>
          <w:sz w:val="19"/>
        </w:rPr>
        <w:t>oponentes”.</w:t>
      </w:r>
      <w:r>
        <w:rPr>
          <w:w w:val="110"/>
          <w:position w:val="6"/>
          <w:sz w:val="11"/>
        </w:rPr>
        <w:t>11</w:t>
      </w:r>
    </w:p>
    <w:p>
      <w:pPr>
        <w:pStyle w:val="ListParagraph"/>
        <w:numPr>
          <w:ilvl w:val="1"/>
          <w:numId w:val="5"/>
        </w:numPr>
        <w:tabs>
          <w:tab w:pos="955" w:val="left" w:leader="none"/>
        </w:tabs>
        <w:spacing w:line="240" w:lineRule="auto" w:before="42" w:after="0"/>
        <w:ind w:left="954" w:right="118" w:hanging="227"/>
        <w:jc w:val="both"/>
        <w:rPr>
          <w:sz w:val="19"/>
        </w:rPr>
      </w:pPr>
      <w:r>
        <w:rPr>
          <w:spacing w:val="-3"/>
          <w:w w:val="110"/>
          <w:sz w:val="19"/>
        </w:rPr>
        <w:t>tratar </w:t>
      </w:r>
      <w:r>
        <w:rPr>
          <w:w w:val="110"/>
          <w:sz w:val="19"/>
        </w:rPr>
        <w:t>de mantener la calidad, el poderío, el activismo y la ima- gen de rusia como potencia  </w:t>
      </w:r>
      <w:r>
        <w:rPr>
          <w:spacing w:val="32"/>
          <w:w w:val="110"/>
          <w:sz w:val="19"/>
        </w:rPr>
        <w:t> </w:t>
      </w:r>
      <w:r>
        <w:rPr>
          <w:w w:val="110"/>
          <w:sz w:val="19"/>
        </w:rPr>
        <w:t>global.</w:t>
      </w:r>
    </w:p>
    <w:p>
      <w:pPr>
        <w:pStyle w:val="ListParagraph"/>
        <w:numPr>
          <w:ilvl w:val="1"/>
          <w:numId w:val="5"/>
        </w:numPr>
        <w:tabs>
          <w:tab w:pos="955" w:val="left" w:leader="none"/>
        </w:tabs>
        <w:spacing w:line="240" w:lineRule="auto" w:before="48" w:after="0"/>
        <w:ind w:left="954" w:right="118" w:hanging="227"/>
        <w:jc w:val="both"/>
        <w:rPr>
          <w:sz w:val="19"/>
        </w:rPr>
      </w:pPr>
      <w:r>
        <w:rPr>
          <w:w w:val="243"/>
          <w:sz w:val="19"/>
        </w:rPr>
        <w:t>l</w:t>
      </w:r>
      <w:r>
        <w:rPr>
          <w:w w:val="109"/>
          <w:sz w:val="19"/>
        </w:rPr>
        <w:t>ograr</w:t>
      </w:r>
      <w:r>
        <w:rPr>
          <w:spacing w:val="3"/>
          <w:sz w:val="19"/>
        </w:rPr>
        <w:t> </w:t>
      </w:r>
      <w:r>
        <w:rPr>
          <w:w w:val="107"/>
          <w:sz w:val="19"/>
        </w:rPr>
        <w:t>el</w:t>
      </w:r>
      <w:r>
        <w:rPr>
          <w:spacing w:val="3"/>
          <w:sz w:val="19"/>
        </w:rPr>
        <w:t> </w:t>
      </w:r>
      <w:r>
        <w:rPr>
          <w:w w:val="110"/>
          <w:sz w:val="19"/>
        </w:rPr>
        <w:t>reconocimiento</w:t>
      </w:r>
      <w:r>
        <w:rPr>
          <w:spacing w:val="3"/>
          <w:sz w:val="19"/>
        </w:rPr>
        <w:t> </w:t>
      </w:r>
      <w:r>
        <w:rPr>
          <w:w w:val="105"/>
          <w:sz w:val="19"/>
        </w:rPr>
        <w:t>y</w:t>
      </w:r>
      <w:r>
        <w:rPr>
          <w:spacing w:val="3"/>
          <w:sz w:val="19"/>
        </w:rPr>
        <w:t> </w:t>
      </w:r>
      <w:r>
        <w:rPr>
          <w:w w:val="106"/>
          <w:sz w:val="19"/>
        </w:rPr>
        <w:t>respeto</w:t>
      </w:r>
      <w:r>
        <w:rPr>
          <w:spacing w:val="3"/>
          <w:sz w:val="19"/>
        </w:rPr>
        <w:t> </w:t>
      </w:r>
      <w:r>
        <w:rPr>
          <w:w w:val="107"/>
          <w:sz w:val="19"/>
        </w:rPr>
        <w:t>de</w:t>
      </w:r>
      <w:r>
        <w:rPr>
          <w:spacing w:val="3"/>
          <w:sz w:val="19"/>
        </w:rPr>
        <w:t> </w:t>
      </w:r>
      <w:r>
        <w:rPr>
          <w:w w:val="149"/>
          <w:sz w:val="19"/>
        </w:rPr>
        <w:t>o</w:t>
      </w:r>
      <w:r>
        <w:rPr>
          <w:w w:val="110"/>
          <w:sz w:val="19"/>
        </w:rPr>
        <w:t>ccidente</w:t>
      </w:r>
      <w:r>
        <w:rPr>
          <w:spacing w:val="3"/>
          <w:sz w:val="19"/>
        </w:rPr>
        <w:t> </w:t>
      </w:r>
      <w:r>
        <w:rPr>
          <w:w w:val="112"/>
          <w:sz w:val="19"/>
        </w:rPr>
        <w:t>a</w:t>
      </w:r>
      <w:r>
        <w:rPr>
          <w:spacing w:val="3"/>
          <w:sz w:val="19"/>
        </w:rPr>
        <w:t> </w:t>
      </w:r>
      <w:r>
        <w:rPr>
          <w:w w:val="108"/>
          <w:sz w:val="19"/>
        </w:rPr>
        <w:t>los</w:t>
      </w:r>
      <w:r>
        <w:rPr>
          <w:spacing w:val="3"/>
          <w:sz w:val="19"/>
        </w:rPr>
        <w:t> </w:t>
      </w:r>
      <w:r>
        <w:rPr>
          <w:w w:val="106"/>
          <w:sz w:val="19"/>
        </w:rPr>
        <w:t>intereses </w:t>
      </w:r>
      <w:r>
        <w:rPr>
          <w:w w:val="110"/>
          <w:sz w:val="19"/>
        </w:rPr>
        <w:t>de rusia en el espacio </w:t>
      </w:r>
      <w:r>
        <w:rPr>
          <w:spacing w:val="39"/>
          <w:w w:val="110"/>
          <w:sz w:val="19"/>
        </w:rPr>
        <w:t> </w:t>
      </w:r>
      <w:r>
        <w:rPr>
          <w:w w:val="110"/>
          <w:sz w:val="19"/>
        </w:rPr>
        <w:t>postsoviético.</w:t>
      </w:r>
    </w:p>
    <w:p>
      <w:pPr>
        <w:pStyle w:val="ListParagraph"/>
        <w:numPr>
          <w:ilvl w:val="1"/>
          <w:numId w:val="5"/>
        </w:numPr>
        <w:tabs>
          <w:tab w:pos="955" w:val="left" w:leader="none"/>
        </w:tabs>
        <w:spacing w:line="240" w:lineRule="auto" w:before="49" w:after="0"/>
        <w:ind w:left="954" w:right="117" w:hanging="227"/>
        <w:jc w:val="both"/>
        <w:rPr>
          <w:sz w:val="19"/>
        </w:rPr>
      </w:pPr>
      <w:r>
        <w:rPr>
          <w:w w:val="110"/>
          <w:sz w:val="19"/>
        </w:rPr>
        <w:t>Profundizar los nexos con los países de la unión Económica Euroasiática.</w:t>
      </w:r>
    </w:p>
    <w:p>
      <w:pPr>
        <w:pStyle w:val="ListParagraph"/>
        <w:numPr>
          <w:ilvl w:val="1"/>
          <w:numId w:val="5"/>
        </w:numPr>
        <w:tabs>
          <w:tab w:pos="955" w:val="left" w:leader="none"/>
        </w:tabs>
        <w:spacing w:line="244" w:lineRule="auto" w:before="49" w:after="0"/>
        <w:ind w:left="954" w:right="118" w:hanging="227"/>
        <w:jc w:val="both"/>
        <w:rPr>
          <w:sz w:val="19"/>
        </w:rPr>
      </w:pPr>
      <w:r>
        <w:rPr>
          <w:w w:val="110"/>
          <w:sz w:val="19"/>
        </w:rPr>
        <w:t>sin hacer grandes concesiones, lograr retornar a las relaciones cooperación-conflicto con Estados unidos y la uE previas al conflicto</w:t>
      </w:r>
      <w:r>
        <w:rPr>
          <w:spacing w:val="42"/>
          <w:w w:val="110"/>
          <w:sz w:val="19"/>
        </w:rPr>
        <w:t> </w:t>
      </w:r>
      <w:r>
        <w:rPr>
          <w:w w:val="110"/>
          <w:sz w:val="19"/>
        </w:rPr>
        <w:t>ucraniano.</w:t>
      </w:r>
    </w:p>
    <w:p>
      <w:pPr>
        <w:pStyle w:val="ListParagraph"/>
        <w:numPr>
          <w:ilvl w:val="1"/>
          <w:numId w:val="5"/>
        </w:numPr>
        <w:tabs>
          <w:tab w:pos="955" w:val="left" w:leader="none"/>
        </w:tabs>
        <w:spacing w:line="244" w:lineRule="auto" w:before="44" w:after="0"/>
        <w:ind w:left="954" w:right="118" w:hanging="227"/>
        <w:jc w:val="both"/>
        <w:rPr>
          <w:sz w:val="19"/>
        </w:rPr>
      </w:pPr>
      <w:r>
        <w:rPr>
          <w:w w:val="115"/>
          <w:sz w:val="19"/>
        </w:rPr>
        <w:t>Promover</w:t>
      </w:r>
      <w:r>
        <w:rPr>
          <w:spacing w:val="-10"/>
          <w:w w:val="115"/>
          <w:sz w:val="19"/>
        </w:rPr>
        <w:t> </w:t>
      </w:r>
      <w:r>
        <w:rPr>
          <w:w w:val="115"/>
          <w:sz w:val="19"/>
        </w:rPr>
        <w:t>la</w:t>
      </w:r>
      <w:r>
        <w:rPr>
          <w:spacing w:val="-10"/>
          <w:w w:val="115"/>
          <w:sz w:val="19"/>
        </w:rPr>
        <w:t> </w:t>
      </w:r>
      <w:r>
        <w:rPr>
          <w:w w:val="115"/>
          <w:sz w:val="19"/>
        </w:rPr>
        <w:t>diversificación</w:t>
      </w:r>
      <w:r>
        <w:rPr>
          <w:spacing w:val="-10"/>
          <w:w w:val="115"/>
          <w:sz w:val="19"/>
        </w:rPr>
        <w:t> </w:t>
      </w:r>
      <w:r>
        <w:rPr>
          <w:w w:val="115"/>
          <w:sz w:val="19"/>
        </w:rPr>
        <w:t>de</w:t>
      </w:r>
      <w:r>
        <w:rPr>
          <w:spacing w:val="-10"/>
          <w:w w:val="115"/>
          <w:sz w:val="19"/>
        </w:rPr>
        <w:t> </w:t>
      </w:r>
      <w:r>
        <w:rPr>
          <w:w w:val="115"/>
          <w:sz w:val="19"/>
        </w:rPr>
        <w:t>sus</w:t>
      </w:r>
      <w:r>
        <w:rPr>
          <w:spacing w:val="-10"/>
          <w:w w:val="115"/>
          <w:sz w:val="19"/>
        </w:rPr>
        <w:t> </w:t>
      </w:r>
      <w:r>
        <w:rPr>
          <w:w w:val="115"/>
          <w:sz w:val="19"/>
        </w:rPr>
        <w:t>relaciones</w:t>
      </w:r>
      <w:r>
        <w:rPr>
          <w:spacing w:val="-10"/>
          <w:w w:val="115"/>
          <w:sz w:val="19"/>
        </w:rPr>
        <w:t> </w:t>
      </w:r>
      <w:r>
        <w:rPr>
          <w:w w:val="115"/>
          <w:sz w:val="19"/>
        </w:rPr>
        <w:t>políticas</w:t>
      </w:r>
      <w:r>
        <w:rPr>
          <w:spacing w:val="-10"/>
          <w:w w:val="115"/>
          <w:sz w:val="19"/>
        </w:rPr>
        <w:t> </w:t>
      </w:r>
      <w:r>
        <w:rPr>
          <w:w w:val="115"/>
          <w:sz w:val="19"/>
        </w:rPr>
        <w:t>y</w:t>
      </w:r>
      <w:r>
        <w:rPr>
          <w:spacing w:val="-10"/>
          <w:w w:val="115"/>
          <w:sz w:val="19"/>
        </w:rPr>
        <w:t> </w:t>
      </w:r>
      <w:r>
        <w:rPr>
          <w:w w:val="115"/>
          <w:sz w:val="19"/>
        </w:rPr>
        <w:t>soci- os económicos, incluyendo a China, </w:t>
      </w:r>
      <w:r>
        <w:rPr>
          <w:spacing w:val="-3"/>
          <w:w w:val="115"/>
          <w:sz w:val="19"/>
        </w:rPr>
        <w:t>turquía, </w:t>
      </w:r>
      <w:r>
        <w:rPr>
          <w:w w:val="115"/>
          <w:sz w:val="19"/>
        </w:rPr>
        <w:t>india, países de </w:t>
      </w:r>
      <w:r>
        <w:rPr>
          <w:w w:val="139"/>
          <w:sz w:val="19"/>
        </w:rPr>
        <w:t>a</w:t>
      </w:r>
      <w:r>
        <w:rPr>
          <w:w w:val="111"/>
          <w:sz w:val="19"/>
        </w:rPr>
        <w:t>mérica</w:t>
      </w:r>
      <w:r>
        <w:rPr>
          <w:spacing w:val="12"/>
          <w:sz w:val="19"/>
        </w:rPr>
        <w:t> </w:t>
      </w:r>
      <w:r>
        <w:rPr>
          <w:w w:val="243"/>
          <w:sz w:val="19"/>
        </w:rPr>
        <w:t>l</w:t>
      </w:r>
      <w:r>
        <w:rPr>
          <w:w w:val="113"/>
          <w:sz w:val="19"/>
        </w:rPr>
        <w:t>atina.</w:t>
      </w:r>
    </w:p>
    <w:p>
      <w:pPr>
        <w:pStyle w:val="ListParagraph"/>
        <w:numPr>
          <w:ilvl w:val="1"/>
          <w:numId w:val="5"/>
        </w:numPr>
        <w:tabs>
          <w:tab w:pos="955" w:val="left" w:leader="none"/>
        </w:tabs>
        <w:spacing w:line="249" w:lineRule="auto" w:before="44" w:after="0"/>
        <w:ind w:left="954" w:right="118" w:hanging="227"/>
        <w:jc w:val="both"/>
        <w:rPr>
          <w:sz w:val="19"/>
        </w:rPr>
      </w:pPr>
      <w:r>
        <w:rPr>
          <w:w w:val="110"/>
          <w:sz w:val="19"/>
        </w:rPr>
        <w:t>aprovechar la crisis ucraniana para moderar y tratar de</w:t>
      </w:r>
      <w:r>
        <w:rPr>
          <w:spacing w:val="-29"/>
          <w:w w:val="110"/>
          <w:sz w:val="19"/>
        </w:rPr>
        <w:t> </w:t>
      </w:r>
      <w:r>
        <w:rPr>
          <w:w w:val="110"/>
          <w:sz w:val="19"/>
        </w:rPr>
        <w:t>reducir el papel global de occidente y ampliar los nexos con los </w:t>
      </w:r>
      <w:r>
        <w:rPr>
          <w:w w:val="120"/>
          <w:sz w:val="19"/>
        </w:rPr>
        <w:t>briCs   </w:t>
      </w:r>
      <w:r>
        <w:rPr>
          <w:w w:val="110"/>
          <w:sz w:val="19"/>
        </w:rPr>
        <w:t>y sus mecanismos en aras de modificar las normas económicas y políticas del sistema internacional impuesto. reducir el uso del dólar en las transacciones</w:t>
      </w:r>
      <w:r>
        <w:rPr>
          <w:spacing w:val="44"/>
          <w:w w:val="110"/>
          <w:sz w:val="19"/>
        </w:rPr>
        <w:t> </w:t>
      </w:r>
      <w:r>
        <w:rPr>
          <w:w w:val="110"/>
          <w:sz w:val="19"/>
        </w:rPr>
        <w:t>internacionales.</w:t>
      </w:r>
    </w:p>
    <w:p>
      <w:pPr>
        <w:pStyle w:val="ListParagraph"/>
        <w:numPr>
          <w:ilvl w:val="1"/>
          <w:numId w:val="5"/>
        </w:numPr>
        <w:tabs>
          <w:tab w:pos="955" w:val="left" w:leader="none"/>
        </w:tabs>
        <w:spacing w:line="240" w:lineRule="auto" w:before="40" w:after="0"/>
        <w:ind w:left="954" w:right="118" w:hanging="227"/>
        <w:jc w:val="both"/>
        <w:rPr>
          <w:sz w:val="19"/>
        </w:rPr>
      </w:pPr>
      <w:r>
        <w:rPr>
          <w:w w:val="110"/>
          <w:sz w:val="19"/>
        </w:rPr>
        <w:t>Evitar caer en una carrera armamentista, pero sostener la pari- dad</w:t>
      </w:r>
      <w:r>
        <w:rPr>
          <w:spacing w:val="23"/>
          <w:w w:val="110"/>
          <w:sz w:val="19"/>
        </w:rPr>
        <w:t> </w:t>
      </w:r>
      <w:r>
        <w:rPr>
          <w:w w:val="110"/>
          <w:sz w:val="19"/>
        </w:rPr>
        <w:t>militar</w:t>
      </w:r>
      <w:r>
        <w:rPr>
          <w:spacing w:val="23"/>
          <w:w w:val="110"/>
          <w:sz w:val="19"/>
        </w:rPr>
        <w:t> </w:t>
      </w:r>
      <w:r>
        <w:rPr>
          <w:w w:val="110"/>
          <w:sz w:val="19"/>
        </w:rPr>
        <w:t>frente</w:t>
      </w:r>
      <w:r>
        <w:rPr>
          <w:spacing w:val="23"/>
          <w:w w:val="110"/>
          <w:sz w:val="19"/>
        </w:rPr>
        <w:t> </w:t>
      </w:r>
      <w:r>
        <w:rPr>
          <w:w w:val="110"/>
          <w:sz w:val="19"/>
        </w:rPr>
        <w:t>a</w:t>
      </w:r>
      <w:r>
        <w:rPr>
          <w:spacing w:val="23"/>
          <w:w w:val="110"/>
          <w:sz w:val="19"/>
        </w:rPr>
        <w:t> </w:t>
      </w:r>
      <w:r>
        <w:rPr>
          <w:w w:val="110"/>
          <w:sz w:val="19"/>
        </w:rPr>
        <w:t>Estados</w:t>
      </w:r>
      <w:r>
        <w:rPr>
          <w:spacing w:val="23"/>
          <w:w w:val="110"/>
          <w:sz w:val="19"/>
        </w:rPr>
        <w:t> </w:t>
      </w:r>
      <w:r>
        <w:rPr>
          <w:w w:val="110"/>
          <w:sz w:val="19"/>
        </w:rPr>
        <w:t>unidos</w:t>
      </w:r>
      <w:r>
        <w:rPr>
          <w:spacing w:val="23"/>
          <w:w w:val="110"/>
          <w:sz w:val="19"/>
        </w:rPr>
        <w:t> </w:t>
      </w:r>
      <w:r>
        <w:rPr>
          <w:w w:val="110"/>
          <w:sz w:val="19"/>
        </w:rPr>
        <w:t>y</w:t>
      </w:r>
      <w:r>
        <w:rPr>
          <w:spacing w:val="23"/>
          <w:w w:val="110"/>
          <w:sz w:val="19"/>
        </w:rPr>
        <w:t> </w:t>
      </w:r>
      <w:r>
        <w:rPr>
          <w:w w:val="110"/>
          <w:sz w:val="19"/>
        </w:rPr>
        <w:t>la</w:t>
      </w:r>
      <w:r>
        <w:rPr>
          <w:spacing w:val="23"/>
          <w:w w:val="110"/>
          <w:sz w:val="19"/>
        </w:rPr>
        <w:t> </w:t>
      </w:r>
      <w:r>
        <w:rPr>
          <w:spacing w:val="-3"/>
          <w:w w:val="125"/>
          <w:sz w:val="19"/>
        </w:rPr>
        <w:t>otaN.</w:t>
      </w:r>
    </w:p>
    <w:p>
      <w:pPr>
        <w:pStyle w:val="ListParagraph"/>
        <w:numPr>
          <w:ilvl w:val="1"/>
          <w:numId w:val="5"/>
        </w:numPr>
        <w:tabs>
          <w:tab w:pos="955" w:val="left" w:leader="none"/>
        </w:tabs>
        <w:spacing w:line="240" w:lineRule="auto" w:before="48" w:after="0"/>
        <w:ind w:left="954" w:right="118" w:hanging="227"/>
        <w:jc w:val="both"/>
        <w:rPr>
          <w:sz w:val="19"/>
        </w:rPr>
      </w:pPr>
      <w:r>
        <w:rPr>
          <w:spacing w:val="-3"/>
          <w:w w:val="110"/>
          <w:sz w:val="19"/>
        </w:rPr>
        <w:t>tratar </w:t>
      </w:r>
      <w:r>
        <w:rPr>
          <w:w w:val="110"/>
          <w:sz w:val="19"/>
        </w:rPr>
        <w:t>de mantener su cuota de mercado de gas y petróleo en  la  uE  y  en</w:t>
      </w:r>
      <w:r>
        <w:rPr>
          <w:spacing w:val="-7"/>
          <w:w w:val="110"/>
          <w:sz w:val="19"/>
        </w:rPr>
        <w:t> </w:t>
      </w:r>
      <w:r>
        <w:rPr>
          <w:w w:val="110"/>
          <w:sz w:val="19"/>
        </w:rPr>
        <w:t>ucrania.</w:t>
      </w:r>
    </w:p>
    <w:p>
      <w:pPr>
        <w:pStyle w:val="ListParagraph"/>
        <w:numPr>
          <w:ilvl w:val="1"/>
          <w:numId w:val="5"/>
        </w:numPr>
        <w:tabs>
          <w:tab w:pos="955" w:val="left" w:leader="none"/>
        </w:tabs>
        <w:spacing w:line="244" w:lineRule="auto" w:before="49" w:after="0"/>
        <w:ind w:left="954" w:right="118" w:hanging="227"/>
        <w:jc w:val="both"/>
        <w:rPr>
          <w:sz w:val="19"/>
        </w:rPr>
      </w:pPr>
      <w:r>
        <w:rPr>
          <w:w w:val="110"/>
          <w:sz w:val="19"/>
        </w:rPr>
        <w:t>Evitar la consolidación de un Estado ucraniano de derecha. Generar costos económicos, políticos y militares al actual go- bierno.</w:t>
      </w:r>
    </w:p>
    <w:p>
      <w:pPr>
        <w:pStyle w:val="ListParagraph"/>
        <w:numPr>
          <w:ilvl w:val="1"/>
          <w:numId w:val="5"/>
        </w:numPr>
        <w:tabs>
          <w:tab w:pos="955" w:val="left" w:leader="none"/>
        </w:tabs>
        <w:spacing w:line="244" w:lineRule="auto" w:before="44" w:after="0"/>
        <w:ind w:left="954" w:right="115" w:hanging="227"/>
        <w:jc w:val="both"/>
        <w:rPr>
          <w:sz w:val="19"/>
        </w:rPr>
      </w:pPr>
      <w:r>
        <w:rPr>
          <w:w w:val="110"/>
          <w:sz w:val="19"/>
        </w:rPr>
        <w:t>Evitar la dependencia del traslado de gas a través de ucra-    nia, privilegiando el Northstream, belarús y las exporta- </w:t>
      </w:r>
      <w:r>
        <w:rPr>
          <w:spacing w:val="2"/>
          <w:w w:val="110"/>
          <w:sz w:val="19"/>
        </w:rPr>
        <w:t>cione</w:t>
      </w:r>
      <w:r>
        <w:rPr>
          <w:w w:val="110"/>
          <w:sz w:val="19"/>
        </w:rPr>
        <w:t>s</w:t>
      </w:r>
      <w:r>
        <w:rPr>
          <w:spacing w:val="15"/>
          <w:sz w:val="19"/>
        </w:rPr>
        <w:t> </w:t>
      </w:r>
      <w:r>
        <w:rPr>
          <w:w w:val="112"/>
          <w:sz w:val="19"/>
        </w:rPr>
        <w:t>a</w:t>
      </w:r>
      <w:r>
        <w:rPr>
          <w:spacing w:val="15"/>
          <w:sz w:val="19"/>
        </w:rPr>
        <w:t> </w:t>
      </w:r>
      <w:r>
        <w:rPr>
          <w:spacing w:val="-15"/>
          <w:w w:val="195"/>
          <w:sz w:val="19"/>
        </w:rPr>
        <w:t>t</w:t>
      </w:r>
      <w:r>
        <w:rPr>
          <w:spacing w:val="2"/>
          <w:w w:val="112"/>
          <w:sz w:val="19"/>
        </w:rPr>
        <w:t>urquía</w:t>
      </w:r>
      <w:r>
        <w:rPr>
          <w:w w:val="112"/>
          <w:sz w:val="19"/>
        </w:rPr>
        <w:t>,</w:t>
      </w:r>
      <w:r>
        <w:rPr>
          <w:spacing w:val="15"/>
          <w:sz w:val="19"/>
        </w:rPr>
        <w:t> </w:t>
      </w:r>
      <w:r>
        <w:rPr>
          <w:spacing w:val="2"/>
          <w:w w:val="110"/>
          <w:sz w:val="19"/>
        </w:rPr>
        <w:t>ademá</w:t>
      </w:r>
      <w:r>
        <w:rPr>
          <w:w w:val="110"/>
          <w:sz w:val="19"/>
        </w:rPr>
        <w:t>s</w:t>
      </w:r>
      <w:r>
        <w:rPr>
          <w:spacing w:val="15"/>
          <w:sz w:val="19"/>
        </w:rPr>
        <w:t> </w:t>
      </w:r>
      <w:r>
        <w:rPr>
          <w:spacing w:val="2"/>
          <w:w w:val="107"/>
          <w:sz w:val="19"/>
        </w:rPr>
        <w:t>d</w:t>
      </w:r>
      <w:r>
        <w:rPr>
          <w:w w:val="107"/>
          <w:sz w:val="19"/>
        </w:rPr>
        <w:t>e</w:t>
      </w:r>
      <w:r>
        <w:rPr>
          <w:spacing w:val="15"/>
          <w:sz w:val="19"/>
        </w:rPr>
        <w:t> </w:t>
      </w:r>
      <w:r>
        <w:rPr>
          <w:spacing w:val="2"/>
          <w:w w:val="109"/>
          <w:sz w:val="19"/>
        </w:rPr>
        <w:t>la</w:t>
      </w:r>
      <w:r>
        <w:rPr>
          <w:w w:val="109"/>
          <w:sz w:val="19"/>
        </w:rPr>
        <w:t>s</w:t>
      </w:r>
      <w:r>
        <w:rPr>
          <w:spacing w:val="15"/>
          <w:sz w:val="19"/>
        </w:rPr>
        <w:t> </w:t>
      </w:r>
      <w:r>
        <w:rPr>
          <w:spacing w:val="2"/>
          <w:w w:val="109"/>
          <w:sz w:val="19"/>
        </w:rPr>
        <w:t>exportacione</w:t>
      </w:r>
      <w:r>
        <w:rPr>
          <w:w w:val="109"/>
          <w:sz w:val="19"/>
        </w:rPr>
        <w:t>s</w:t>
      </w:r>
      <w:r>
        <w:rPr>
          <w:spacing w:val="15"/>
          <w:sz w:val="19"/>
        </w:rPr>
        <w:t> </w:t>
      </w:r>
      <w:r>
        <w:rPr>
          <w:w w:val="112"/>
          <w:sz w:val="19"/>
        </w:rPr>
        <w:t>a</w:t>
      </w:r>
      <w:r>
        <w:rPr>
          <w:spacing w:val="15"/>
          <w:sz w:val="19"/>
        </w:rPr>
        <w:t> </w:t>
      </w:r>
      <w:r>
        <w:rPr>
          <w:spacing w:val="2"/>
          <w:w w:val="139"/>
          <w:sz w:val="19"/>
        </w:rPr>
        <w:t>a</w:t>
      </w:r>
      <w:r>
        <w:rPr>
          <w:spacing w:val="2"/>
          <w:w w:val="114"/>
          <w:sz w:val="19"/>
        </w:rPr>
        <w:t>sia</w:t>
      </w:r>
      <w:r>
        <w:rPr>
          <w:w w:val="114"/>
          <w:sz w:val="19"/>
        </w:rPr>
        <w:t>.</w:t>
      </w:r>
      <w:r>
        <w:rPr>
          <w:spacing w:val="15"/>
          <w:sz w:val="19"/>
        </w:rPr>
        <w:t> </w:t>
      </w:r>
      <w:r>
        <w:rPr>
          <w:spacing w:val="2"/>
          <w:w w:val="243"/>
          <w:sz w:val="19"/>
        </w:rPr>
        <w:t>l</w:t>
      </w:r>
      <w:r>
        <w:rPr>
          <w:spacing w:val="2"/>
          <w:w w:val="109"/>
          <w:sz w:val="19"/>
        </w:rPr>
        <w:t>ograr</w:t>
      </w:r>
    </w:p>
    <w:p>
      <w:pPr>
        <w:pStyle w:val="BodyText"/>
        <w:spacing w:before="5"/>
        <w:rPr>
          <w:sz w:val="23"/>
        </w:rPr>
      </w:pPr>
      <w:r>
        <w:rPr/>
        <w:pict>
          <v:line style="position:absolute;mso-position-horizontal-relative:page;mso-position-vertical-relative:paragraph;z-index:3592;mso-wrap-distance-left:0;mso-wrap-distance-right:0" from="76.5354pt,15.972655pt" to="104.8814pt,15.972655pt" stroked="true" strokeweight=".5pt" strokecolor="#000000">
            <w10:wrap type="topAndBottom"/>
          </v:line>
        </w:pict>
      </w:r>
    </w:p>
    <w:p>
      <w:pPr>
        <w:pStyle w:val="ListParagraph"/>
        <w:numPr>
          <w:ilvl w:val="0"/>
          <w:numId w:val="3"/>
        </w:numPr>
        <w:tabs>
          <w:tab w:pos="586" w:val="left" w:leader="none"/>
        </w:tabs>
        <w:spacing w:line="240" w:lineRule="auto" w:before="89" w:after="0"/>
        <w:ind w:left="585" w:right="0" w:hanging="255"/>
        <w:jc w:val="left"/>
        <w:rPr>
          <w:sz w:val="16"/>
        </w:rPr>
      </w:pPr>
      <w:r>
        <w:rPr>
          <w:w w:val="110"/>
          <w:sz w:val="16"/>
        </w:rPr>
        <w:t>Vladimir Putin en mensaje a la asamblea Federal, 14 de diciembre de</w:t>
      </w:r>
      <w:r>
        <w:rPr>
          <w:spacing w:val="-22"/>
          <w:w w:val="110"/>
          <w:sz w:val="16"/>
        </w:rPr>
        <w:t> </w:t>
      </w:r>
      <w:r>
        <w:rPr>
          <w:w w:val="110"/>
          <w:sz w:val="16"/>
        </w:rPr>
        <w:t>2014.</w:t>
      </w:r>
    </w:p>
    <w:p>
      <w:pPr>
        <w:spacing w:after="0" w:line="240" w:lineRule="auto"/>
        <w:jc w:val="left"/>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744" w:right="325"/>
        <w:jc w:val="both"/>
      </w:pPr>
      <w:r>
        <w:rPr>
          <w:w w:val="110"/>
        </w:rPr>
        <w:t>una ucrania descentralizada donde se respete la autonomía económica  y  política  de  las  regiones  secesionistas  del  Este y las poblaciones con cultura e idioma rusos, sin llegar a </w:t>
      </w:r>
      <w:r>
        <w:rPr>
          <w:spacing w:val="2"/>
          <w:w w:val="109"/>
        </w:rPr>
        <w:t>reconoce</w:t>
      </w:r>
      <w:r>
        <w:rPr>
          <w:w w:val="109"/>
        </w:rPr>
        <w:t>r</w:t>
      </w:r>
      <w:r>
        <w:rPr/>
        <w:t> </w:t>
      </w:r>
      <w:r>
        <w:rPr>
          <w:spacing w:val="-3"/>
        </w:rPr>
        <w:t> </w:t>
      </w:r>
      <w:r>
        <w:rPr>
          <w:w w:val="112"/>
        </w:rPr>
        <w:t>a</w:t>
      </w:r>
      <w:r>
        <w:rPr/>
        <w:t> </w:t>
      </w:r>
      <w:r>
        <w:rPr>
          <w:spacing w:val="-3"/>
        </w:rPr>
        <w:t> </w:t>
      </w:r>
      <w:r>
        <w:rPr>
          <w:spacing w:val="2"/>
          <w:w w:val="243"/>
        </w:rPr>
        <w:t>l</w:t>
      </w:r>
      <w:r>
        <w:rPr>
          <w:spacing w:val="2"/>
          <w:w w:val="110"/>
        </w:rPr>
        <w:t>ugans</w:t>
      </w:r>
      <w:r>
        <w:rPr>
          <w:w w:val="110"/>
        </w:rPr>
        <w:t>k</w:t>
      </w:r>
      <w:r>
        <w:rPr/>
        <w:t> </w:t>
      </w:r>
      <w:r>
        <w:rPr>
          <w:spacing w:val="-3"/>
        </w:rPr>
        <w:t> </w:t>
      </w:r>
      <w:r>
        <w:rPr>
          <w:w w:val="105"/>
        </w:rPr>
        <w:t>y</w:t>
      </w:r>
      <w:r>
        <w:rPr/>
        <w:t> </w:t>
      </w:r>
      <w:r>
        <w:rPr>
          <w:spacing w:val="-3"/>
        </w:rPr>
        <w:t> </w:t>
      </w:r>
      <w:r>
        <w:rPr>
          <w:spacing w:val="2"/>
          <w:w w:val="139"/>
        </w:rPr>
        <w:t>d</w:t>
      </w:r>
      <w:r>
        <w:rPr>
          <w:spacing w:val="2"/>
          <w:w w:val="108"/>
        </w:rPr>
        <w:t>onets</w:t>
      </w:r>
      <w:r>
        <w:rPr>
          <w:w w:val="108"/>
        </w:rPr>
        <w:t>k</w:t>
      </w:r>
      <w:r>
        <w:rPr/>
        <w:t> </w:t>
      </w:r>
      <w:r>
        <w:rPr>
          <w:spacing w:val="-3"/>
        </w:rPr>
        <w:t> </w:t>
      </w:r>
      <w:r>
        <w:rPr>
          <w:spacing w:val="2"/>
          <w:w w:val="112"/>
        </w:rPr>
        <w:t>com</w:t>
      </w:r>
      <w:r>
        <w:rPr>
          <w:w w:val="112"/>
        </w:rPr>
        <w:t>o</w:t>
      </w:r>
      <w:r>
        <w:rPr/>
        <w:t> </w:t>
      </w:r>
      <w:r>
        <w:rPr>
          <w:spacing w:val="-3"/>
        </w:rPr>
        <w:t> </w:t>
      </w:r>
      <w:r>
        <w:rPr>
          <w:spacing w:val="2"/>
          <w:w w:val="108"/>
        </w:rPr>
        <w:t>entidade</w:t>
      </w:r>
      <w:r>
        <w:rPr>
          <w:w w:val="108"/>
        </w:rPr>
        <w:t>s</w:t>
      </w:r>
      <w:r>
        <w:rPr/>
        <w:t> </w:t>
      </w:r>
      <w:r>
        <w:rPr>
          <w:spacing w:val="-3"/>
        </w:rPr>
        <w:t> </w:t>
      </w:r>
      <w:r>
        <w:rPr>
          <w:spacing w:val="2"/>
          <w:w w:val="109"/>
        </w:rPr>
        <w:t>independ</w:t>
      </w:r>
      <w:r>
        <w:rPr>
          <w:spacing w:val="3"/>
          <w:w w:val="109"/>
        </w:rPr>
        <w:t>i</w:t>
      </w:r>
      <w:r>
        <w:rPr>
          <w:w w:val="102"/>
        </w:rPr>
        <w:t>- </w:t>
      </w:r>
      <w:r>
        <w:rPr>
          <w:w w:val="110"/>
        </w:rPr>
        <w:t>entes, ni anexarlas a la  Federación  de  rusia  como  Crimea.  No devolver Crimea. Fortalecerse militarmente en el flanco oeste y en el Mar Negro. impedir lo más posible el proceso      de entrada de ucrania a la </w:t>
      </w:r>
      <w:r>
        <w:rPr>
          <w:w w:val="120"/>
        </w:rPr>
        <w:t>otaN. </w:t>
      </w:r>
      <w:r>
        <w:rPr>
          <w:w w:val="110"/>
        </w:rPr>
        <w:t>Evitar el incremento de la hostilidad y el nacionalismo antirruso en la sociedad ucrani- ana. Mantener la estabilidad macroeconómica y política de rusia, promoviendo el nacionalismo ruso frente a la agresión </w:t>
      </w:r>
      <w:r>
        <w:rPr>
          <w:spacing w:val="2"/>
          <w:w w:val="111"/>
        </w:rPr>
        <w:t>occidenta</w:t>
      </w:r>
      <w:r>
        <w:rPr>
          <w:w w:val="111"/>
        </w:rPr>
        <w:t>l</w:t>
      </w:r>
      <w:r>
        <w:rPr>
          <w:spacing w:val="18"/>
        </w:rPr>
        <w:t> </w:t>
      </w:r>
      <w:r>
        <w:rPr>
          <w:w w:val="105"/>
        </w:rPr>
        <w:t>y</w:t>
      </w:r>
      <w:r>
        <w:rPr>
          <w:spacing w:val="18"/>
        </w:rPr>
        <w:t> </w:t>
      </w:r>
      <w:r>
        <w:rPr>
          <w:spacing w:val="2"/>
          <w:w w:val="109"/>
        </w:rPr>
        <w:t>debilita</w:t>
      </w:r>
      <w:r>
        <w:rPr>
          <w:w w:val="109"/>
        </w:rPr>
        <w:t>r</w:t>
      </w:r>
      <w:r>
        <w:rPr>
          <w:spacing w:val="18"/>
        </w:rPr>
        <w:t> </w:t>
      </w:r>
      <w:r>
        <w:rPr>
          <w:spacing w:val="2"/>
          <w:w w:val="112"/>
        </w:rPr>
        <w:t>aú</w:t>
      </w:r>
      <w:r>
        <w:rPr>
          <w:w w:val="112"/>
        </w:rPr>
        <w:t>n</w:t>
      </w:r>
      <w:r>
        <w:rPr>
          <w:spacing w:val="18"/>
        </w:rPr>
        <w:t> </w:t>
      </w:r>
      <w:r>
        <w:rPr>
          <w:spacing w:val="2"/>
          <w:w w:val="111"/>
        </w:rPr>
        <w:t>má</w:t>
      </w:r>
      <w:r>
        <w:rPr>
          <w:w w:val="111"/>
        </w:rPr>
        <w:t>s</w:t>
      </w:r>
      <w:r>
        <w:rPr>
          <w:spacing w:val="18"/>
        </w:rPr>
        <w:t> </w:t>
      </w:r>
      <w:r>
        <w:rPr>
          <w:w w:val="112"/>
        </w:rPr>
        <w:t>a</w:t>
      </w:r>
      <w:r>
        <w:rPr>
          <w:spacing w:val="18"/>
        </w:rPr>
        <w:t> </w:t>
      </w:r>
      <w:r>
        <w:rPr>
          <w:spacing w:val="2"/>
          <w:w w:val="111"/>
        </w:rPr>
        <w:t>l</w:t>
      </w:r>
      <w:r>
        <w:rPr>
          <w:w w:val="111"/>
        </w:rPr>
        <w:t>a</w:t>
      </w:r>
      <w:r>
        <w:rPr>
          <w:spacing w:val="18"/>
        </w:rPr>
        <w:t> </w:t>
      </w:r>
      <w:r>
        <w:rPr>
          <w:spacing w:val="2"/>
          <w:w w:val="112"/>
        </w:rPr>
        <w:t>oposición</w:t>
      </w:r>
      <w:r>
        <w:rPr>
          <w:w w:val="112"/>
        </w:rPr>
        <w:t>.</w:t>
      </w:r>
      <w:r>
        <w:rPr>
          <w:spacing w:val="18"/>
        </w:rPr>
        <w:t> </w:t>
      </w:r>
      <w:r>
        <w:rPr>
          <w:spacing w:val="2"/>
          <w:w w:val="243"/>
        </w:rPr>
        <w:t>l</w:t>
      </w:r>
      <w:r>
        <w:rPr>
          <w:spacing w:val="2"/>
          <w:w w:val="109"/>
        </w:rPr>
        <w:t>ogra</w:t>
      </w:r>
      <w:r>
        <w:rPr>
          <w:w w:val="109"/>
        </w:rPr>
        <w:t>r</w:t>
      </w:r>
      <w:r>
        <w:rPr>
          <w:spacing w:val="18"/>
        </w:rPr>
        <w:t> </w:t>
      </w:r>
      <w:r>
        <w:rPr>
          <w:spacing w:val="2"/>
          <w:w w:val="112"/>
        </w:rPr>
        <w:t>un</w:t>
      </w:r>
      <w:r>
        <w:rPr>
          <w:w w:val="112"/>
        </w:rPr>
        <w:t>a</w:t>
      </w:r>
      <w:r>
        <w:rPr>
          <w:spacing w:val="18"/>
        </w:rPr>
        <w:t> </w:t>
      </w:r>
      <w:r>
        <w:rPr>
          <w:spacing w:val="2"/>
          <w:w w:val="104"/>
        </w:rPr>
        <w:t>re</w:t>
      </w:r>
      <w:r>
        <w:rPr>
          <w:w w:val="102"/>
        </w:rPr>
        <w:t>- </w:t>
      </w:r>
      <w:r>
        <w:rPr>
          <w:w w:val="110"/>
        </w:rPr>
        <w:t>inserción del país en el esquema de globalización mundial capitalista que reduzca la dependencia de las exportaciones   de productos primarios a los mercados occidentales, del fi- nanciamiento externo a las empresas rusas, y reducir las fu- gas de capitales,</w:t>
      </w:r>
      <w:r>
        <w:rPr>
          <w:w w:val="110"/>
          <w:position w:val="7"/>
          <w:sz w:val="11"/>
        </w:rPr>
        <w:t>12 </w:t>
      </w:r>
      <w:r>
        <w:rPr>
          <w:w w:val="110"/>
        </w:rPr>
        <w:t>sin imponer grandes restricciones al capi- tal. aprovechar la crisis para tratar de reorientar su economía hacia un capitalismo centrado en el mercado interno; mejo-   rar el clima y elevar la tasa de inversión doméstica, estimular el papel del sector privado nacional y extranjero, y elevar la productividad y el desarrollo   </w:t>
      </w:r>
      <w:r>
        <w:rPr>
          <w:spacing w:val="2"/>
          <w:w w:val="110"/>
        </w:rPr>
        <w:t>tecnológico.</w:t>
      </w:r>
    </w:p>
    <w:p>
      <w:pPr>
        <w:pStyle w:val="BodyText"/>
        <w:spacing w:before="5"/>
      </w:pPr>
    </w:p>
    <w:p>
      <w:pPr>
        <w:pStyle w:val="Heading6"/>
        <w:ind w:left="121"/>
      </w:pPr>
      <w:r>
        <w:rPr>
          <w:w w:val="135"/>
        </w:rPr>
        <w:t>iMPactos de la crisis</w:t>
      </w:r>
    </w:p>
    <w:p>
      <w:pPr>
        <w:pStyle w:val="BodyText"/>
        <w:spacing w:line="252" w:lineRule="auto" w:before="10"/>
        <w:ind w:left="120" w:right="327"/>
        <w:jc w:val="both"/>
      </w:pPr>
      <w:r>
        <w:rPr>
          <w:w w:val="110"/>
        </w:rPr>
        <w:t>El desarrollo del conflicto entre occidente y rusia, por tratarse de ac- tores clave en el sistema internacional, impacta variables importantes en las esferas económicas, políticas, militares, así como muchos espa- cios de los nexos bilaterales y multilaterales, incluso para países como los latinoamericanos, no inmersos en la   confrontación.</w:t>
      </w:r>
    </w:p>
    <w:p>
      <w:pPr>
        <w:pStyle w:val="BodyText"/>
        <w:spacing w:line="252" w:lineRule="auto"/>
        <w:ind w:left="120" w:right="328" w:firstLine="396"/>
        <w:jc w:val="both"/>
      </w:pPr>
      <w:r>
        <w:rPr>
          <w:w w:val="110"/>
        </w:rPr>
        <w:t>a principios de 2015 aún resulta prematuro diagnosticar el des- enlace de este conflicto, pues las tendencias que están interactuando pueden tener uno u otro resultado, sobre todo la crisis ucraniana, es- pacio fundamental –que no único– del contrapunto  geopolítico.</w:t>
      </w:r>
    </w:p>
    <w:p>
      <w:pPr>
        <w:pStyle w:val="BodyText"/>
        <w:spacing w:line="252" w:lineRule="auto"/>
        <w:ind w:left="120" w:right="328" w:firstLine="396"/>
        <w:jc w:val="both"/>
      </w:pPr>
      <w:r>
        <w:rPr>
          <w:w w:val="115"/>
        </w:rPr>
        <w:t>a continuación esbozo los que considero puedan ser amenazas y oportunidades de esta crisis para el escenario global y de manera </w:t>
      </w:r>
      <w:r>
        <w:rPr>
          <w:w w:val="111"/>
        </w:rPr>
        <w:t>más</w:t>
      </w:r>
      <w:r>
        <w:rPr/>
        <w:t> </w:t>
      </w:r>
      <w:r>
        <w:rPr>
          <w:spacing w:val="-11"/>
        </w:rPr>
        <w:t> </w:t>
      </w:r>
      <w:r>
        <w:rPr>
          <w:w w:val="109"/>
        </w:rPr>
        <w:t>específica</w:t>
      </w:r>
      <w:r>
        <w:rPr/>
        <w:t> </w:t>
      </w:r>
      <w:r>
        <w:rPr>
          <w:spacing w:val="-11"/>
        </w:rPr>
        <w:t> </w:t>
      </w:r>
      <w:r>
        <w:rPr>
          <w:w w:val="109"/>
        </w:rPr>
        <w:t>para</w:t>
      </w:r>
      <w:r>
        <w:rPr/>
        <w:t> </w:t>
      </w:r>
      <w:r>
        <w:rPr>
          <w:spacing w:val="-11"/>
        </w:rPr>
        <w:t> </w:t>
      </w:r>
      <w:r>
        <w:rPr>
          <w:w w:val="139"/>
        </w:rPr>
        <w:t>a</w:t>
      </w:r>
      <w:r>
        <w:rPr>
          <w:w w:val="111"/>
        </w:rPr>
        <w:t>mérica</w:t>
      </w:r>
      <w:r>
        <w:rPr/>
        <w:t> </w:t>
      </w:r>
      <w:r>
        <w:rPr>
          <w:spacing w:val="-11"/>
        </w:rPr>
        <w:t> </w:t>
      </w:r>
      <w:r>
        <w:rPr>
          <w:w w:val="243"/>
        </w:rPr>
        <w:t>l</w:t>
      </w:r>
      <w:r>
        <w:rPr>
          <w:w w:val="113"/>
        </w:rPr>
        <w:t>atina,</w:t>
      </w:r>
      <w:r>
        <w:rPr/>
        <w:t> </w:t>
      </w:r>
      <w:r>
        <w:rPr>
          <w:spacing w:val="-11"/>
        </w:rPr>
        <w:t> </w:t>
      </w:r>
      <w:r>
        <w:rPr>
          <w:w w:val="108"/>
        </w:rPr>
        <w:t>en</w:t>
      </w:r>
      <w:r>
        <w:rPr/>
        <w:t> </w:t>
      </w:r>
      <w:r>
        <w:rPr>
          <w:spacing w:val="-11"/>
        </w:rPr>
        <w:t> </w:t>
      </w:r>
      <w:r>
        <w:rPr>
          <w:w w:val="109"/>
        </w:rPr>
        <w:t>especial</w:t>
      </w:r>
      <w:r>
        <w:rPr/>
        <w:t> </w:t>
      </w:r>
      <w:r>
        <w:rPr>
          <w:spacing w:val="-11"/>
        </w:rPr>
        <w:t> </w:t>
      </w:r>
      <w:r>
        <w:rPr>
          <w:w w:val="109"/>
        </w:rPr>
        <w:t>para</w:t>
      </w:r>
      <w:r>
        <w:rPr/>
        <w:t> </w:t>
      </w:r>
      <w:r>
        <w:rPr>
          <w:spacing w:val="-11"/>
        </w:rPr>
        <w:t> </w:t>
      </w:r>
      <w:r>
        <w:rPr>
          <w:w w:val="108"/>
        </w:rPr>
        <w:t>los</w:t>
      </w:r>
      <w:r>
        <w:rPr/>
        <w:t> </w:t>
      </w:r>
      <w:r>
        <w:rPr>
          <w:spacing w:val="-11"/>
        </w:rPr>
        <w:t> </w:t>
      </w:r>
      <w:r>
        <w:rPr>
          <w:w w:val="108"/>
        </w:rPr>
        <w:t>países</w:t>
      </w:r>
      <w:r>
        <w:rPr/>
        <w:t> </w:t>
      </w:r>
      <w:r>
        <w:rPr>
          <w:spacing w:val="-11"/>
        </w:rPr>
        <w:t> </w:t>
      </w:r>
      <w:r>
        <w:rPr>
          <w:w w:val="108"/>
        </w:rPr>
        <w:t>que </w:t>
      </w:r>
      <w:r>
        <w:rPr>
          <w:w w:val="108"/>
        </w:rPr>
        <w:t>tienen</w:t>
      </w:r>
      <w:r>
        <w:rPr>
          <w:spacing w:val="5"/>
        </w:rPr>
        <w:t> </w:t>
      </w:r>
      <w:r>
        <w:rPr>
          <w:w w:val="109"/>
        </w:rPr>
        <w:t>mayor</w:t>
      </w:r>
      <w:r>
        <w:rPr>
          <w:spacing w:val="5"/>
        </w:rPr>
        <w:t> </w:t>
      </w:r>
      <w:r>
        <w:rPr>
          <w:w w:val="110"/>
        </w:rPr>
        <w:t>relación</w:t>
      </w:r>
      <w:r>
        <w:rPr>
          <w:spacing w:val="5"/>
        </w:rPr>
        <w:t> </w:t>
      </w:r>
      <w:r>
        <w:rPr>
          <w:w w:val="112"/>
        </w:rPr>
        <w:t>con</w:t>
      </w:r>
      <w:r>
        <w:rPr>
          <w:spacing w:val="5"/>
        </w:rPr>
        <w:t> </w:t>
      </w:r>
      <w:r>
        <w:rPr>
          <w:w w:val="182"/>
        </w:rPr>
        <w:t>r</w:t>
      </w:r>
      <w:r>
        <w:rPr>
          <w:w w:val="114"/>
        </w:rPr>
        <w:t>usia.</w:t>
      </w:r>
      <w:r>
        <w:rPr>
          <w:spacing w:val="5"/>
        </w:rPr>
        <w:t> </w:t>
      </w:r>
      <w:r>
        <w:rPr>
          <w:w w:val="243"/>
        </w:rPr>
        <w:t>l</w:t>
      </w:r>
      <w:r>
        <w:rPr>
          <w:w w:val="112"/>
        </w:rPr>
        <w:t>a</w:t>
      </w:r>
      <w:r>
        <w:rPr>
          <w:spacing w:val="5"/>
        </w:rPr>
        <w:t> </w:t>
      </w:r>
      <w:r>
        <w:rPr>
          <w:w w:val="111"/>
        </w:rPr>
        <w:t>balanza</w:t>
      </w:r>
      <w:r>
        <w:rPr>
          <w:spacing w:val="5"/>
        </w:rPr>
        <w:t> </w:t>
      </w:r>
      <w:r>
        <w:rPr>
          <w:w w:val="108"/>
        </w:rPr>
        <w:t>en</w:t>
      </w:r>
      <w:r>
        <w:rPr>
          <w:spacing w:val="5"/>
        </w:rPr>
        <w:t> </w:t>
      </w:r>
      <w:r>
        <w:rPr>
          <w:w w:val="112"/>
        </w:rPr>
        <w:t>una</w:t>
      </w:r>
      <w:r>
        <w:rPr>
          <w:spacing w:val="5"/>
        </w:rPr>
        <w:t> </w:t>
      </w:r>
      <w:r>
        <w:rPr>
          <w:w w:val="112"/>
        </w:rPr>
        <w:t>u</w:t>
      </w:r>
      <w:r>
        <w:rPr>
          <w:spacing w:val="5"/>
        </w:rPr>
        <w:t> </w:t>
      </w:r>
      <w:r>
        <w:rPr>
          <w:w w:val="108"/>
        </w:rPr>
        <w:t>otra</w:t>
      </w:r>
      <w:r>
        <w:rPr>
          <w:spacing w:val="5"/>
        </w:rPr>
        <w:t> </w:t>
      </w:r>
      <w:r>
        <w:rPr>
          <w:w w:val="111"/>
        </w:rPr>
        <w:t>dirección</w:t>
      </w:r>
      <w:r>
        <w:rPr>
          <w:spacing w:val="5"/>
        </w:rPr>
        <w:t> </w:t>
      </w:r>
      <w:r>
        <w:rPr>
          <w:w w:val="102"/>
        </w:rPr>
        <w:t>– </w:t>
      </w:r>
      <w:r>
        <w:rPr>
          <w:w w:val="115"/>
        </w:rPr>
        <w:t>amenaza</w:t>
      </w:r>
      <w:r>
        <w:rPr>
          <w:spacing w:val="-32"/>
          <w:w w:val="115"/>
        </w:rPr>
        <w:t> </w:t>
      </w:r>
      <w:r>
        <w:rPr>
          <w:w w:val="115"/>
        </w:rPr>
        <w:t>u</w:t>
      </w:r>
      <w:r>
        <w:rPr>
          <w:spacing w:val="-32"/>
          <w:w w:val="115"/>
        </w:rPr>
        <w:t> </w:t>
      </w:r>
      <w:r>
        <w:rPr>
          <w:w w:val="115"/>
        </w:rPr>
        <w:t>oportunidad–</w:t>
      </w:r>
      <w:r>
        <w:rPr>
          <w:spacing w:val="-32"/>
          <w:w w:val="115"/>
        </w:rPr>
        <w:t> </w:t>
      </w:r>
      <w:r>
        <w:rPr>
          <w:w w:val="115"/>
        </w:rPr>
        <w:t>dependerá</w:t>
      </w:r>
      <w:r>
        <w:rPr>
          <w:spacing w:val="-32"/>
          <w:w w:val="115"/>
        </w:rPr>
        <w:t> </w:t>
      </w:r>
      <w:r>
        <w:rPr>
          <w:w w:val="115"/>
        </w:rPr>
        <w:t>del</w:t>
      </w:r>
      <w:r>
        <w:rPr>
          <w:spacing w:val="-32"/>
          <w:w w:val="115"/>
        </w:rPr>
        <w:t> </w:t>
      </w:r>
      <w:r>
        <w:rPr>
          <w:w w:val="115"/>
        </w:rPr>
        <w:t>resultado</w:t>
      </w:r>
      <w:r>
        <w:rPr>
          <w:spacing w:val="-32"/>
          <w:w w:val="115"/>
        </w:rPr>
        <w:t> </w:t>
      </w:r>
      <w:r>
        <w:rPr>
          <w:w w:val="115"/>
        </w:rPr>
        <w:t>de</w:t>
      </w:r>
      <w:r>
        <w:rPr>
          <w:spacing w:val="-32"/>
          <w:w w:val="115"/>
        </w:rPr>
        <w:t> </w:t>
      </w:r>
      <w:r>
        <w:rPr>
          <w:w w:val="115"/>
        </w:rPr>
        <w:t>la</w:t>
      </w:r>
      <w:r>
        <w:rPr>
          <w:spacing w:val="-32"/>
          <w:w w:val="115"/>
        </w:rPr>
        <w:t> </w:t>
      </w:r>
      <w:r>
        <w:rPr>
          <w:w w:val="115"/>
        </w:rPr>
        <w:t>correlación</w:t>
      </w:r>
      <w:r>
        <w:rPr>
          <w:spacing w:val="-32"/>
          <w:w w:val="115"/>
        </w:rPr>
        <w:t> </w:t>
      </w:r>
      <w:r>
        <w:rPr>
          <w:w w:val="115"/>
        </w:rPr>
        <w:t>de fuerzas</w:t>
      </w:r>
      <w:r>
        <w:rPr>
          <w:spacing w:val="-17"/>
          <w:w w:val="115"/>
        </w:rPr>
        <w:t> </w:t>
      </w:r>
      <w:r>
        <w:rPr>
          <w:w w:val="115"/>
        </w:rPr>
        <w:t>a</w:t>
      </w:r>
      <w:r>
        <w:rPr>
          <w:spacing w:val="-17"/>
          <w:w w:val="115"/>
        </w:rPr>
        <w:t> </w:t>
      </w:r>
      <w:r>
        <w:rPr>
          <w:w w:val="115"/>
        </w:rPr>
        <w:t>que</w:t>
      </w:r>
      <w:r>
        <w:rPr>
          <w:spacing w:val="-17"/>
          <w:w w:val="115"/>
        </w:rPr>
        <w:t> </w:t>
      </w:r>
      <w:r>
        <w:rPr>
          <w:w w:val="115"/>
        </w:rPr>
        <w:t>se</w:t>
      </w:r>
      <w:r>
        <w:rPr>
          <w:spacing w:val="-17"/>
          <w:w w:val="115"/>
        </w:rPr>
        <w:t> </w:t>
      </w:r>
      <w:r>
        <w:rPr>
          <w:w w:val="115"/>
        </w:rPr>
        <w:t>llegue</w:t>
      </w:r>
      <w:r>
        <w:rPr>
          <w:spacing w:val="-17"/>
          <w:w w:val="115"/>
        </w:rPr>
        <w:t> </w:t>
      </w:r>
      <w:r>
        <w:rPr>
          <w:w w:val="115"/>
        </w:rPr>
        <w:t>durante</w:t>
      </w:r>
      <w:r>
        <w:rPr>
          <w:spacing w:val="-17"/>
          <w:w w:val="115"/>
        </w:rPr>
        <w:t> </w:t>
      </w:r>
      <w:r>
        <w:rPr>
          <w:w w:val="115"/>
        </w:rPr>
        <w:t>o</w:t>
      </w:r>
      <w:r>
        <w:rPr>
          <w:spacing w:val="-17"/>
          <w:w w:val="115"/>
        </w:rPr>
        <w:t> </w:t>
      </w:r>
      <w:r>
        <w:rPr>
          <w:w w:val="115"/>
        </w:rPr>
        <w:t>después</w:t>
      </w:r>
      <w:r>
        <w:rPr>
          <w:spacing w:val="-17"/>
          <w:w w:val="115"/>
        </w:rPr>
        <w:t> </w:t>
      </w:r>
      <w:r>
        <w:rPr>
          <w:w w:val="115"/>
        </w:rPr>
        <w:t>de</w:t>
      </w:r>
      <w:r>
        <w:rPr>
          <w:spacing w:val="-17"/>
          <w:w w:val="115"/>
        </w:rPr>
        <w:t> </w:t>
      </w:r>
      <w:r>
        <w:rPr>
          <w:w w:val="115"/>
        </w:rPr>
        <w:t>esta</w:t>
      </w:r>
      <w:r>
        <w:rPr>
          <w:spacing w:val="-17"/>
          <w:w w:val="115"/>
        </w:rPr>
        <w:t> </w:t>
      </w:r>
      <w:r>
        <w:rPr>
          <w:w w:val="115"/>
        </w:rPr>
        <w:t>puja</w:t>
      </w:r>
      <w:r>
        <w:rPr>
          <w:spacing w:val="-17"/>
          <w:w w:val="115"/>
        </w:rPr>
        <w:t> </w:t>
      </w:r>
      <w:r>
        <w:rPr>
          <w:w w:val="115"/>
        </w:rPr>
        <w:t>de</w:t>
      </w:r>
      <w:r>
        <w:rPr>
          <w:spacing w:val="-17"/>
          <w:w w:val="115"/>
        </w:rPr>
        <w:t> </w:t>
      </w:r>
      <w:r>
        <w:rPr>
          <w:w w:val="115"/>
        </w:rPr>
        <w:t>poder</w:t>
      </w:r>
      <w:r>
        <w:rPr>
          <w:spacing w:val="-17"/>
          <w:w w:val="115"/>
        </w:rPr>
        <w:t> </w:t>
      </w:r>
      <w:r>
        <w:rPr>
          <w:w w:val="115"/>
        </w:rPr>
        <w:t>entre rusia y Estados</w:t>
      </w:r>
      <w:r>
        <w:rPr>
          <w:spacing w:val="43"/>
          <w:w w:val="115"/>
        </w:rPr>
        <w:t> </w:t>
      </w:r>
      <w:r>
        <w:rPr>
          <w:w w:val="115"/>
        </w:rPr>
        <w:t>unidos.</w:t>
      </w:r>
    </w:p>
    <w:p>
      <w:pPr>
        <w:pStyle w:val="BodyText"/>
        <w:rPr>
          <w:sz w:val="20"/>
        </w:rPr>
      </w:pPr>
    </w:p>
    <w:p>
      <w:pPr>
        <w:pStyle w:val="BodyText"/>
        <w:spacing w:before="7"/>
        <w:rPr>
          <w:sz w:val="15"/>
        </w:rPr>
      </w:pPr>
      <w:r>
        <w:rPr/>
        <w:pict>
          <v:line style="position:absolute;mso-position-horizontal-relative:page;mso-position-vertical-relative:paragraph;z-index:3616;mso-wrap-distance-left:0;mso-wrap-distance-right:0" from="51.023602pt,11.347196pt" to="79.369602pt,11.347196pt" stroked="true" strokeweight=".5pt" strokecolor="#000000">
            <w10:wrap type="topAndBottom"/>
          </v:line>
        </w:pict>
      </w:r>
    </w:p>
    <w:p>
      <w:pPr>
        <w:pStyle w:val="ListParagraph"/>
        <w:numPr>
          <w:ilvl w:val="0"/>
          <w:numId w:val="3"/>
        </w:numPr>
        <w:tabs>
          <w:tab w:pos="376" w:val="left" w:leader="none"/>
        </w:tabs>
        <w:spacing w:line="240" w:lineRule="auto" w:before="89" w:after="0"/>
        <w:ind w:left="375" w:right="0" w:hanging="255"/>
        <w:jc w:val="left"/>
        <w:rPr>
          <w:sz w:val="16"/>
        </w:rPr>
      </w:pPr>
      <w:r>
        <w:rPr>
          <w:w w:val="110"/>
          <w:sz w:val="16"/>
        </w:rPr>
        <w:t>durante</w:t>
      </w:r>
      <w:r>
        <w:rPr>
          <w:spacing w:val="-3"/>
          <w:w w:val="110"/>
          <w:sz w:val="16"/>
        </w:rPr>
        <w:t> </w:t>
      </w:r>
      <w:r>
        <w:rPr>
          <w:w w:val="110"/>
          <w:sz w:val="16"/>
        </w:rPr>
        <w:t>2014</w:t>
      </w:r>
      <w:r>
        <w:rPr>
          <w:spacing w:val="-3"/>
          <w:w w:val="110"/>
          <w:sz w:val="16"/>
        </w:rPr>
        <w:t> </w:t>
      </w:r>
      <w:r>
        <w:rPr>
          <w:w w:val="110"/>
          <w:sz w:val="16"/>
        </w:rPr>
        <w:t>se</w:t>
      </w:r>
      <w:r>
        <w:rPr>
          <w:spacing w:val="-3"/>
          <w:w w:val="110"/>
          <w:sz w:val="16"/>
        </w:rPr>
        <w:t> </w:t>
      </w:r>
      <w:r>
        <w:rPr>
          <w:w w:val="110"/>
          <w:sz w:val="16"/>
        </w:rPr>
        <w:t>fugaron</w:t>
      </w:r>
      <w:r>
        <w:rPr>
          <w:spacing w:val="-3"/>
          <w:w w:val="110"/>
          <w:sz w:val="16"/>
        </w:rPr>
        <w:t> </w:t>
      </w:r>
      <w:r>
        <w:rPr>
          <w:w w:val="110"/>
          <w:sz w:val="16"/>
        </w:rPr>
        <w:t>del</w:t>
      </w:r>
      <w:r>
        <w:rPr>
          <w:spacing w:val="-3"/>
          <w:w w:val="110"/>
          <w:sz w:val="16"/>
        </w:rPr>
        <w:t> </w:t>
      </w:r>
      <w:r>
        <w:rPr>
          <w:w w:val="110"/>
          <w:sz w:val="16"/>
        </w:rPr>
        <w:t>país</w:t>
      </w:r>
      <w:r>
        <w:rPr>
          <w:spacing w:val="-3"/>
          <w:w w:val="110"/>
          <w:sz w:val="16"/>
        </w:rPr>
        <w:t> </w:t>
      </w:r>
      <w:r>
        <w:rPr>
          <w:w w:val="110"/>
          <w:sz w:val="16"/>
        </w:rPr>
        <w:t>cerca</w:t>
      </w:r>
      <w:r>
        <w:rPr>
          <w:spacing w:val="-3"/>
          <w:w w:val="110"/>
          <w:sz w:val="16"/>
        </w:rPr>
        <w:t> </w:t>
      </w:r>
      <w:r>
        <w:rPr>
          <w:w w:val="110"/>
          <w:sz w:val="16"/>
        </w:rPr>
        <w:t>de</w:t>
      </w:r>
      <w:r>
        <w:rPr>
          <w:spacing w:val="-3"/>
          <w:w w:val="110"/>
          <w:sz w:val="16"/>
        </w:rPr>
        <w:t> </w:t>
      </w:r>
      <w:r>
        <w:rPr>
          <w:w w:val="110"/>
          <w:sz w:val="16"/>
        </w:rPr>
        <w:t>cien</w:t>
      </w:r>
      <w:r>
        <w:rPr>
          <w:spacing w:val="-3"/>
          <w:w w:val="110"/>
          <w:sz w:val="16"/>
        </w:rPr>
        <w:t> </w:t>
      </w:r>
      <w:r>
        <w:rPr>
          <w:w w:val="110"/>
          <w:sz w:val="16"/>
        </w:rPr>
        <w:t>mil</w:t>
      </w:r>
      <w:r>
        <w:rPr>
          <w:spacing w:val="-3"/>
          <w:w w:val="110"/>
          <w:sz w:val="16"/>
        </w:rPr>
        <w:t> </w:t>
      </w:r>
      <w:r>
        <w:rPr>
          <w:w w:val="110"/>
          <w:sz w:val="16"/>
        </w:rPr>
        <w:t>millones</w:t>
      </w:r>
      <w:r>
        <w:rPr>
          <w:spacing w:val="-3"/>
          <w:w w:val="110"/>
          <w:sz w:val="16"/>
        </w:rPr>
        <w:t> </w:t>
      </w:r>
      <w:r>
        <w:rPr>
          <w:w w:val="110"/>
          <w:sz w:val="16"/>
        </w:rPr>
        <w:t>de</w:t>
      </w:r>
      <w:r>
        <w:rPr>
          <w:spacing w:val="-3"/>
          <w:w w:val="110"/>
          <w:sz w:val="16"/>
        </w:rPr>
        <w:t> </w:t>
      </w:r>
      <w:r>
        <w:rPr>
          <w:w w:val="110"/>
          <w:sz w:val="16"/>
        </w:rPr>
        <w:t>dólares.</w:t>
      </w:r>
    </w:p>
    <w:p>
      <w:pPr>
        <w:spacing w:after="0" w:line="240" w:lineRule="auto"/>
        <w:jc w:val="left"/>
        <w:rPr>
          <w:sz w:val="16"/>
        </w:rPr>
        <w:sectPr>
          <w:footerReference w:type="default" r:id="rId190"/>
          <w:footerReference w:type="even" r:id="rId191"/>
          <w:pgSz w:w="8790" w:h="12760"/>
          <w:pgMar w:footer="723" w:header="695" w:top="880" w:bottom="920" w:left="900" w:right="1200"/>
          <w:pgNumType w:start="123"/>
        </w:sectPr>
      </w:pPr>
    </w:p>
    <w:p>
      <w:pPr>
        <w:pStyle w:val="BodyText"/>
        <w:spacing w:before="4"/>
        <w:rPr>
          <w:sz w:val="28"/>
        </w:rPr>
      </w:pPr>
    </w:p>
    <w:p>
      <w:pPr>
        <w:pStyle w:val="Heading6"/>
        <w:spacing w:before="68"/>
        <w:ind w:left="331"/>
      </w:pPr>
      <w:r>
        <w:rPr>
          <w:spacing w:val="3"/>
          <w:w w:val="134"/>
        </w:rPr>
        <w:t>e</w:t>
      </w:r>
      <w:r>
        <w:rPr>
          <w:spacing w:val="5"/>
          <w:w w:val="136"/>
        </w:rPr>
        <w:t>s</w:t>
      </w:r>
      <w:r>
        <w:rPr>
          <w:spacing w:val="2"/>
          <w:w w:val="140"/>
        </w:rPr>
        <w:t>c</w:t>
      </w:r>
      <w:r>
        <w:rPr>
          <w:spacing w:val="3"/>
          <w:w w:val="140"/>
        </w:rPr>
        <w:t>e</w:t>
      </w:r>
      <w:r>
        <w:rPr>
          <w:spacing w:val="-1"/>
          <w:w w:val="128"/>
        </w:rPr>
        <w:t>n</w:t>
      </w:r>
      <w:r>
        <w:rPr>
          <w:spacing w:val="2"/>
          <w:w w:val="138"/>
        </w:rPr>
        <w:t>ari</w:t>
      </w:r>
      <w:r>
        <w:rPr>
          <w:w w:val="138"/>
        </w:rPr>
        <w:t>o</w:t>
      </w:r>
      <w:r>
        <w:rPr>
          <w:spacing w:val="-8"/>
        </w:rPr>
        <w:t> </w:t>
      </w:r>
      <w:r>
        <w:rPr>
          <w:spacing w:val="2"/>
          <w:w w:val="89"/>
        </w:rPr>
        <w:t>G</w:t>
      </w:r>
      <w:r>
        <w:rPr>
          <w:spacing w:val="1"/>
          <w:w w:val="201"/>
        </w:rPr>
        <w:t>l</w:t>
      </w:r>
      <w:r>
        <w:rPr>
          <w:spacing w:val="2"/>
          <w:w w:val="145"/>
        </w:rPr>
        <w:t>o</w:t>
      </w:r>
      <w:r>
        <w:rPr>
          <w:w w:val="96"/>
        </w:rPr>
        <w:t>B</w:t>
      </w:r>
      <w:r>
        <w:rPr>
          <w:spacing w:val="2"/>
          <w:w w:val="155"/>
        </w:rPr>
        <w:t>a</w:t>
      </w:r>
      <w:r>
        <w:rPr>
          <w:spacing w:val="11"/>
          <w:w w:val="155"/>
        </w:rPr>
        <w:t>l</w:t>
      </w:r>
      <w:r>
        <w:rPr>
          <w:w w:val="78"/>
        </w:rPr>
        <w:t>:</w:t>
      </w:r>
      <w:r>
        <w:rPr>
          <w:spacing w:val="-9"/>
        </w:rPr>
        <w:t> </w:t>
      </w:r>
      <w:r>
        <w:rPr>
          <w:spacing w:val="4"/>
          <w:w w:val="99"/>
        </w:rPr>
        <w:t>P</w:t>
      </w:r>
      <w:r>
        <w:rPr>
          <w:spacing w:val="3"/>
          <w:w w:val="145"/>
        </w:rPr>
        <w:t>o</w:t>
      </w:r>
      <w:r>
        <w:rPr>
          <w:spacing w:val="2"/>
          <w:w w:val="133"/>
        </w:rPr>
        <w:t>si</w:t>
      </w:r>
      <w:r>
        <w:rPr>
          <w:spacing w:val="1"/>
          <w:w w:val="96"/>
        </w:rPr>
        <w:t>B</w:t>
      </w:r>
      <w:r>
        <w:rPr>
          <w:spacing w:val="2"/>
          <w:w w:val="201"/>
        </w:rPr>
        <w:t>l</w:t>
      </w:r>
      <w:r>
        <w:rPr>
          <w:spacing w:val="3"/>
          <w:w w:val="134"/>
        </w:rPr>
        <w:t>e</w:t>
      </w:r>
      <w:r>
        <w:rPr>
          <w:w w:val="136"/>
        </w:rPr>
        <w:t>s</w:t>
      </w:r>
      <w:r>
        <w:rPr>
          <w:spacing w:val="-8"/>
        </w:rPr>
        <w:t> </w:t>
      </w:r>
      <w:r>
        <w:rPr>
          <w:spacing w:val="2"/>
          <w:w w:val="129"/>
        </w:rPr>
        <w:t>a</w:t>
      </w:r>
      <w:r>
        <w:rPr>
          <w:spacing w:val="2"/>
          <w:w w:val="92"/>
        </w:rPr>
        <w:t>M</w:t>
      </w:r>
      <w:r>
        <w:rPr>
          <w:spacing w:val="3"/>
          <w:w w:val="134"/>
        </w:rPr>
        <w:t>e</w:t>
      </w:r>
      <w:r>
        <w:rPr>
          <w:spacing w:val="-1"/>
          <w:w w:val="128"/>
        </w:rPr>
        <w:t>n</w:t>
      </w:r>
      <w:r>
        <w:rPr>
          <w:spacing w:val="5"/>
          <w:w w:val="129"/>
        </w:rPr>
        <w:t>a</w:t>
      </w:r>
      <w:r>
        <w:rPr>
          <w:spacing w:val="6"/>
          <w:w w:val="132"/>
        </w:rPr>
        <w:t>z</w:t>
      </w:r>
      <w:r>
        <w:rPr>
          <w:spacing w:val="1"/>
          <w:w w:val="129"/>
        </w:rPr>
        <w:t>a</w:t>
      </w:r>
      <w:r>
        <w:rPr>
          <w:w w:val="136"/>
        </w:rPr>
        <w:t>s</w:t>
      </w:r>
    </w:p>
    <w:p>
      <w:pPr>
        <w:pStyle w:val="BodyText"/>
        <w:spacing w:line="252" w:lineRule="auto" w:before="10"/>
        <w:ind w:left="330" w:right="118"/>
        <w:jc w:val="both"/>
      </w:pPr>
      <w:r>
        <w:rPr>
          <w:w w:val="110"/>
        </w:rPr>
        <w:t>El incremento de la conflictividad y hostilidad en las relaciones entre rusia, la </w:t>
      </w:r>
      <w:r>
        <w:rPr>
          <w:spacing w:val="-4"/>
          <w:w w:val="120"/>
        </w:rPr>
        <w:t>otaN </w:t>
      </w:r>
      <w:r>
        <w:rPr>
          <w:w w:val="110"/>
        </w:rPr>
        <w:t>y Estados unidos puede conducir a crisis político- militares con serias amenazas a la paz mundial y regional, así como    a atizar conflictos en otras áreas que caldearán aún más la situación internacional en la que se inserta nuestra</w:t>
      </w:r>
      <w:r>
        <w:rPr>
          <w:spacing w:val="44"/>
          <w:w w:val="110"/>
        </w:rPr>
        <w:t> </w:t>
      </w:r>
      <w:r>
        <w:rPr>
          <w:w w:val="110"/>
        </w:rPr>
        <w:t>región.</w:t>
      </w:r>
    </w:p>
    <w:p>
      <w:pPr>
        <w:pStyle w:val="BodyText"/>
        <w:spacing w:line="252" w:lineRule="auto"/>
        <w:ind w:left="323" w:right="117" w:firstLine="396"/>
        <w:jc w:val="right"/>
      </w:pPr>
      <w:r>
        <w:rPr>
          <w:w w:val="110"/>
        </w:rPr>
        <w:t>El aumento de la carrera armamentista tiene elementos negativos</w:t>
      </w:r>
      <w:r>
        <w:rPr>
          <w:w w:val="108"/>
        </w:rPr>
        <w:t> </w:t>
      </w:r>
      <w:r>
        <w:rPr>
          <w:w w:val="110"/>
        </w:rPr>
        <w:t>para el tercer Mundo y para la seguridad internacional. En caso de</w:t>
      </w:r>
      <w:r>
        <w:rPr>
          <w:w w:val="107"/>
        </w:rPr>
        <w:t> </w:t>
      </w:r>
      <w:r>
        <w:rPr>
          <w:w w:val="110"/>
        </w:rPr>
        <w:t>debilitamiento de rusia, se afectaría un polo de poder que aboga por</w:t>
      </w:r>
      <w:r>
        <w:rPr>
          <w:w w:val="108"/>
        </w:rPr>
        <w:t> </w:t>
      </w:r>
      <w:r>
        <w:rPr>
          <w:w w:val="110"/>
        </w:rPr>
        <w:t>el respeto al derecho internacional, al mundo multipolar y que resulta</w:t>
      </w:r>
      <w:r>
        <w:rPr>
          <w:w w:val="108"/>
        </w:rPr>
        <w:t> </w:t>
      </w:r>
      <w:r>
        <w:rPr>
          <w:w w:val="110"/>
        </w:rPr>
        <w:t>un contrapeso a la política agresiva de occidente y de Estados unidos.</w:t>
      </w:r>
      <w:r>
        <w:rPr>
          <w:w w:val="112"/>
        </w:rPr>
        <w:t> </w:t>
      </w:r>
      <w:r>
        <w:rPr>
          <w:w w:val="243"/>
        </w:rPr>
        <w:t>l</w:t>
      </w:r>
      <w:r>
        <w:rPr>
          <w:w w:val="112"/>
        </w:rPr>
        <w:t>a</w:t>
      </w:r>
      <w:r>
        <w:rPr/>
        <w:t> </w:t>
      </w:r>
      <w:r>
        <w:rPr>
          <w:w w:val="112"/>
        </w:rPr>
        <w:t>actual</w:t>
      </w:r>
      <w:r>
        <w:rPr/>
        <w:t> </w:t>
      </w:r>
      <w:r>
        <w:rPr>
          <w:w w:val="109"/>
        </w:rPr>
        <w:t>crisis</w:t>
      </w:r>
      <w:r>
        <w:rPr/>
        <w:t> </w:t>
      </w:r>
      <w:r>
        <w:rPr>
          <w:w w:val="106"/>
        </w:rPr>
        <w:t>entre</w:t>
      </w:r>
      <w:r>
        <w:rPr/>
        <w:t> </w:t>
      </w:r>
      <w:r>
        <w:rPr>
          <w:w w:val="149"/>
        </w:rPr>
        <w:t>o</w:t>
      </w:r>
      <w:r>
        <w:rPr>
          <w:w w:val="110"/>
        </w:rPr>
        <w:t>ccidente</w:t>
      </w:r>
      <w:r>
        <w:rPr/>
        <w:t> </w:t>
      </w:r>
      <w:r>
        <w:rPr>
          <w:w w:val="105"/>
        </w:rPr>
        <w:t>y</w:t>
      </w:r>
      <w:r>
        <w:rPr/>
        <w:t> </w:t>
      </w:r>
      <w:r>
        <w:rPr>
          <w:w w:val="182"/>
        </w:rPr>
        <w:t>r</w:t>
      </w:r>
      <w:r>
        <w:rPr>
          <w:w w:val="111"/>
        </w:rPr>
        <w:t>usia</w:t>
      </w:r>
      <w:r>
        <w:rPr/>
        <w:t> </w:t>
      </w:r>
      <w:r>
        <w:rPr>
          <w:w w:val="112"/>
        </w:rPr>
        <w:t>multiplica</w:t>
      </w:r>
      <w:r>
        <w:rPr/>
        <w:t> </w:t>
      </w:r>
      <w:r>
        <w:rPr>
          <w:w w:val="107"/>
        </w:rPr>
        <w:t>el</w:t>
      </w:r>
      <w:r>
        <w:rPr/>
        <w:t> </w:t>
      </w:r>
      <w:r>
        <w:rPr>
          <w:w w:val="109"/>
        </w:rPr>
        <w:t>efecto</w:t>
      </w:r>
      <w:r>
        <w:rPr/>
        <w:t> </w:t>
      </w:r>
      <w:r>
        <w:rPr>
          <w:w w:val="107"/>
        </w:rPr>
        <w:t>de</w:t>
      </w:r>
      <w:r>
        <w:rPr/>
        <w:t> </w:t>
      </w:r>
      <w:r>
        <w:rPr>
          <w:w w:val="109"/>
        </w:rPr>
        <w:t>las </w:t>
      </w:r>
      <w:r>
        <w:rPr>
          <w:w w:val="110"/>
        </w:rPr>
        <w:t>limitaciones estructurales de la economía rusa y de sus potenciales</w:t>
      </w:r>
      <w:r>
        <w:rPr>
          <w:w w:val="109"/>
        </w:rPr>
        <w:t> </w:t>
      </w:r>
      <w:r>
        <w:rPr>
          <w:w w:val="110"/>
        </w:rPr>
        <w:t>impactos sociales y políticos. rusia puede reducir su activismo exter-</w:t>
      </w:r>
      <w:r>
        <w:rPr>
          <w:w w:val="102"/>
        </w:rPr>
        <w:t> </w:t>
      </w:r>
      <w:r>
        <w:rPr>
          <w:w w:val="110"/>
        </w:rPr>
        <w:t>no para concentrarse en la resolución del conflicto con ucrania y los</w:t>
      </w:r>
    </w:p>
    <w:p>
      <w:pPr>
        <w:pStyle w:val="BodyText"/>
        <w:ind w:left="330"/>
        <w:jc w:val="both"/>
      </w:pPr>
      <w:r>
        <w:rPr>
          <w:w w:val="110"/>
        </w:rPr>
        <w:t>países de la CEi, además de sus problemas   internos.</w:t>
      </w:r>
    </w:p>
    <w:p>
      <w:pPr>
        <w:pStyle w:val="BodyText"/>
        <w:spacing w:before="11"/>
        <w:ind w:left="330" w:right="118"/>
        <w:jc w:val="right"/>
      </w:pPr>
      <w:r>
        <w:rPr>
          <w:w w:val="110"/>
        </w:rPr>
        <w:t>Moscú  podría  buscar  la  negociación  de  otros  temas regionales</w:t>
      </w:r>
    </w:p>
    <w:p>
      <w:pPr>
        <w:pStyle w:val="BodyText"/>
        <w:spacing w:line="252" w:lineRule="auto" w:before="11"/>
        <w:ind w:left="330" w:right="117"/>
        <w:jc w:val="both"/>
      </w:pPr>
      <w:r>
        <w:rPr>
          <w:w w:val="110"/>
        </w:rPr>
        <w:t>–siria, irán, afganistán, temas de la lucha antiterrorista– que no son  su prioridad tan inmediata, para tratar de revertir la política de ais- lamiento y sanciones que occidente y en especial Estados unidos le han</w:t>
      </w:r>
      <w:r>
        <w:rPr>
          <w:spacing w:val="26"/>
          <w:w w:val="110"/>
        </w:rPr>
        <w:t> </w:t>
      </w:r>
      <w:r>
        <w:rPr>
          <w:w w:val="110"/>
        </w:rPr>
        <w:t>impuesto.</w:t>
      </w:r>
    </w:p>
    <w:p>
      <w:pPr>
        <w:pStyle w:val="BodyText"/>
        <w:spacing w:line="252" w:lineRule="auto"/>
        <w:ind w:left="330" w:right="118" w:firstLine="396"/>
        <w:jc w:val="both"/>
      </w:pPr>
      <w:r>
        <w:rPr>
          <w:w w:val="110"/>
        </w:rPr>
        <w:t>un eventual debilitamiento de rusia puede afectar el protagonis- mo de los </w:t>
      </w:r>
      <w:r>
        <w:rPr>
          <w:w w:val="125"/>
        </w:rPr>
        <w:t>briCs </w:t>
      </w:r>
      <w:r>
        <w:rPr>
          <w:w w:val="110"/>
        </w:rPr>
        <w:t>de cara a generar cambios en las normas y principios del sistema internacional, político y económico, alternativos al actual orden existente.</w:t>
      </w:r>
    </w:p>
    <w:p>
      <w:pPr>
        <w:pStyle w:val="BodyText"/>
        <w:spacing w:line="252" w:lineRule="auto"/>
        <w:ind w:left="330" w:right="118" w:firstLine="396"/>
        <w:jc w:val="both"/>
      </w:pPr>
      <w:r>
        <w:rPr>
          <w:w w:val="243"/>
        </w:rPr>
        <w:t>l</w:t>
      </w:r>
      <w:r>
        <w:rPr>
          <w:w w:val="112"/>
        </w:rPr>
        <w:t>a</w:t>
      </w:r>
      <w:r>
        <w:rPr/>
        <w:t>  </w:t>
      </w:r>
      <w:r>
        <w:rPr>
          <w:w w:val="111"/>
        </w:rPr>
        <w:t>reacción</w:t>
      </w:r>
      <w:r>
        <w:rPr/>
        <w:t>  </w:t>
      </w:r>
      <w:r>
        <w:rPr>
          <w:w w:val="110"/>
        </w:rPr>
        <w:t>hostil</w:t>
      </w:r>
      <w:r>
        <w:rPr/>
        <w:t>  </w:t>
      </w:r>
      <w:r>
        <w:rPr>
          <w:w w:val="109"/>
        </w:rPr>
        <w:t>ante</w:t>
      </w:r>
      <w:r>
        <w:rPr/>
        <w:t>  </w:t>
      </w:r>
      <w:r>
        <w:rPr>
          <w:w w:val="111"/>
        </w:rPr>
        <w:t>la</w:t>
      </w:r>
      <w:r>
        <w:rPr/>
        <w:t>  </w:t>
      </w:r>
      <w:r>
        <w:rPr>
          <w:w w:val="109"/>
        </w:rPr>
        <w:t>reemergencia</w:t>
      </w:r>
      <w:r>
        <w:rPr/>
        <w:t>  </w:t>
      </w:r>
      <w:r>
        <w:rPr>
          <w:w w:val="107"/>
        </w:rPr>
        <w:t>de</w:t>
      </w:r>
      <w:r>
        <w:rPr/>
        <w:t>  </w:t>
      </w:r>
      <w:r>
        <w:rPr>
          <w:w w:val="182"/>
        </w:rPr>
        <w:t>r</w:t>
      </w:r>
      <w:r>
        <w:rPr>
          <w:w w:val="111"/>
        </w:rPr>
        <w:t>usia</w:t>
      </w:r>
      <w:r>
        <w:rPr/>
        <w:t>  </w:t>
      </w:r>
      <w:r>
        <w:rPr>
          <w:w w:val="108"/>
        </w:rPr>
        <w:t>por</w:t>
      </w:r>
      <w:r>
        <w:rPr/>
        <w:t>  </w:t>
      </w:r>
      <w:r>
        <w:rPr>
          <w:w w:val="107"/>
        </w:rPr>
        <w:t>parte</w:t>
      </w:r>
      <w:r>
        <w:rPr/>
        <w:t>  </w:t>
      </w:r>
      <w:r>
        <w:rPr>
          <w:w w:val="107"/>
        </w:rPr>
        <w:t>de </w:t>
      </w:r>
      <w:r>
        <w:rPr>
          <w:w w:val="110"/>
        </w:rPr>
        <w:t>occidente, puede afectar a otros polos emergentes –China, india, sud- áfrica, brasil– para ser más moderados en su enfrentamiento al blo- que occidental y buscar un reacomodamiento con ellos, en especial la india,  brasil  y sudáfrica.</w:t>
      </w:r>
    </w:p>
    <w:p>
      <w:pPr>
        <w:pStyle w:val="BodyText"/>
        <w:spacing w:line="252" w:lineRule="auto"/>
        <w:ind w:left="330" w:right="117" w:firstLine="396"/>
        <w:jc w:val="both"/>
      </w:pPr>
      <w:r>
        <w:rPr>
          <w:w w:val="110"/>
        </w:rPr>
        <w:t>un debilitamiento de rusia puede afectar el activismo político y diplomático de China, que en muchas ocasiones actúa en apoyo de rusia en temas internacionales, pero no manifiesta   protagonismo.</w:t>
      </w:r>
    </w:p>
    <w:p>
      <w:pPr>
        <w:pStyle w:val="BodyText"/>
        <w:spacing w:line="252" w:lineRule="auto"/>
        <w:ind w:left="330" w:right="117" w:firstLine="397"/>
        <w:jc w:val="both"/>
      </w:pPr>
      <w:r>
        <w:rPr>
          <w:w w:val="115"/>
        </w:rPr>
        <w:t>Como</w:t>
      </w:r>
      <w:r>
        <w:rPr>
          <w:spacing w:val="-8"/>
          <w:w w:val="115"/>
        </w:rPr>
        <w:t> </w:t>
      </w:r>
      <w:r>
        <w:rPr>
          <w:w w:val="115"/>
        </w:rPr>
        <w:t>consecuencia</w:t>
      </w:r>
      <w:r>
        <w:rPr>
          <w:spacing w:val="-8"/>
          <w:w w:val="115"/>
        </w:rPr>
        <w:t> </w:t>
      </w:r>
      <w:r>
        <w:rPr>
          <w:w w:val="115"/>
        </w:rPr>
        <w:t>de</w:t>
      </w:r>
      <w:r>
        <w:rPr>
          <w:spacing w:val="-8"/>
          <w:w w:val="115"/>
        </w:rPr>
        <w:t> </w:t>
      </w:r>
      <w:r>
        <w:rPr>
          <w:w w:val="115"/>
        </w:rPr>
        <w:t>esta</w:t>
      </w:r>
      <w:r>
        <w:rPr>
          <w:spacing w:val="-8"/>
          <w:w w:val="115"/>
        </w:rPr>
        <w:t> </w:t>
      </w:r>
      <w:r>
        <w:rPr>
          <w:w w:val="115"/>
        </w:rPr>
        <w:t>crisis,</w:t>
      </w:r>
      <w:r>
        <w:rPr>
          <w:spacing w:val="-8"/>
          <w:w w:val="115"/>
        </w:rPr>
        <w:t> </w:t>
      </w:r>
      <w:r>
        <w:rPr>
          <w:w w:val="115"/>
        </w:rPr>
        <w:t>se</w:t>
      </w:r>
      <w:r>
        <w:rPr>
          <w:spacing w:val="-8"/>
          <w:w w:val="115"/>
        </w:rPr>
        <w:t> </w:t>
      </w:r>
      <w:r>
        <w:rPr>
          <w:w w:val="115"/>
        </w:rPr>
        <w:t>percibe</w:t>
      </w:r>
      <w:r>
        <w:rPr>
          <w:spacing w:val="-8"/>
          <w:w w:val="115"/>
        </w:rPr>
        <w:t> </w:t>
      </w:r>
      <w:r>
        <w:rPr>
          <w:w w:val="115"/>
        </w:rPr>
        <w:t>un</w:t>
      </w:r>
      <w:r>
        <w:rPr>
          <w:spacing w:val="-8"/>
          <w:w w:val="115"/>
        </w:rPr>
        <w:t> </w:t>
      </w:r>
      <w:r>
        <w:rPr>
          <w:w w:val="115"/>
        </w:rPr>
        <w:t>fortalecimiento de la alianza entre la uE y Estados unidos ante el “peligro de rusia”, lo que conlleva a la consolidación de la </w:t>
      </w:r>
      <w:r>
        <w:rPr>
          <w:spacing w:val="-3"/>
          <w:w w:val="125"/>
        </w:rPr>
        <w:t>otaN, </w:t>
      </w:r>
      <w:r>
        <w:rPr>
          <w:w w:val="115"/>
        </w:rPr>
        <w:t>su carácter agresivo,  y acelera el proceso de firma del </w:t>
      </w:r>
      <w:r>
        <w:rPr>
          <w:spacing w:val="-3"/>
          <w:w w:val="115"/>
        </w:rPr>
        <w:t>tratado </w:t>
      </w:r>
      <w:r>
        <w:rPr>
          <w:w w:val="115"/>
        </w:rPr>
        <w:t>transatlántico, que tendrá </w:t>
      </w:r>
      <w:r>
        <w:rPr>
          <w:w w:val="111"/>
        </w:rPr>
        <w:t>impactos</w:t>
      </w:r>
      <w:r>
        <w:rPr>
          <w:spacing w:val="12"/>
        </w:rPr>
        <w:t> </w:t>
      </w:r>
      <w:r>
        <w:rPr>
          <w:w w:val="108"/>
        </w:rPr>
        <w:t>negativos</w:t>
      </w:r>
      <w:r>
        <w:rPr>
          <w:spacing w:val="12"/>
        </w:rPr>
        <w:t> </w:t>
      </w:r>
      <w:r>
        <w:rPr>
          <w:w w:val="107"/>
        </w:rPr>
        <w:t>sobre</w:t>
      </w:r>
      <w:r>
        <w:rPr>
          <w:spacing w:val="12"/>
        </w:rPr>
        <w:t> </w:t>
      </w:r>
      <w:r>
        <w:rPr>
          <w:w w:val="139"/>
        </w:rPr>
        <w:t>a</w:t>
      </w:r>
      <w:r>
        <w:rPr>
          <w:w w:val="111"/>
        </w:rPr>
        <w:t>mérica</w:t>
      </w:r>
      <w:r>
        <w:rPr>
          <w:spacing w:val="12"/>
        </w:rPr>
        <w:t> </w:t>
      </w:r>
      <w:r>
        <w:rPr>
          <w:w w:val="243"/>
        </w:rPr>
        <w:t>l</w:t>
      </w:r>
      <w:r>
        <w:rPr>
          <w:w w:val="111"/>
        </w:rPr>
        <w:t>atina</w:t>
      </w:r>
      <w:r>
        <w:rPr>
          <w:spacing w:val="12"/>
        </w:rPr>
        <w:t> </w:t>
      </w:r>
      <w:r>
        <w:rPr>
          <w:w w:val="105"/>
        </w:rPr>
        <w:t>y</w:t>
      </w:r>
      <w:r>
        <w:rPr>
          <w:spacing w:val="12"/>
        </w:rPr>
        <w:t> </w:t>
      </w:r>
      <w:r>
        <w:rPr>
          <w:w w:val="117"/>
        </w:rPr>
        <w:t>Cuba.</w:t>
      </w:r>
    </w:p>
    <w:p>
      <w:pPr>
        <w:pStyle w:val="BodyText"/>
        <w:spacing w:line="252" w:lineRule="auto"/>
        <w:ind w:left="330" w:right="117" w:firstLine="396"/>
        <w:jc w:val="both"/>
      </w:pPr>
      <w:r>
        <w:rPr>
          <w:w w:val="110"/>
        </w:rPr>
        <w:t>Consolidación de un bloque consensual de derecha al interior de Estados unidos, con el fortalecimiento del complejo militar industrial  y la derecha republicana antirrusa, que posee una mentalidad de Gue- rra Fría y que por lo general la extiende a todos los “enemigos” de Estados unidos, incluyendo a Venezuela y   Cuba.</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9" w:firstLine="396"/>
        <w:jc w:val="both"/>
      </w:pPr>
      <w:r>
        <w:rPr>
          <w:w w:val="110"/>
        </w:rPr>
        <w:t>Existe el peligro de que la crisis actual se extienda hasta 2016, y pueda ser una carta favorable en manos de los republicanos, quienes han acusado a obama y a los demócratas de haber sido “flojos” ante Moscú.</w:t>
      </w:r>
    </w:p>
    <w:p>
      <w:pPr>
        <w:pStyle w:val="BodyText"/>
        <w:spacing w:line="252" w:lineRule="auto"/>
        <w:ind w:left="100" w:right="328" w:firstLine="397"/>
        <w:jc w:val="both"/>
      </w:pPr>
      <w:r>
        <w:rPr>
          <w:w w:val="110"/>
        </w:rPr>
        <w:t>El aumento de la polarización en foros multilaterales por las ac- ciones de Estados unidos y la uE para aislar a rusia y por la respuesta de Moscú, pone a gobiernos latinoamericanos en condiciones de defi- nición en temas que pueden no ser de nuestro interés involucrarnos.</w:t>
      </w:r>
    </w:p>
    <w:p>
      <w:pPr>
        <w:pStyle w:val="BodyText"/>
        <w:spacing w:line="252" w:lineRule="auto"/>
        <w:ind w:left="100" w:right="328" w:firstLine="396"/>
        <w:jc w:val="both"/>
      </w:pPr>
      <w:r>
        <w:rPr>
          <w:w w:val="110"/>
        </w:rPr>
        <w:t>El apoyo a rusia puede generar costos con la parte prooccidental  y antirrusa –ucrania, Georgia, europeos orientales, Estados unidos,  uE, sobre todo en momentos de recomposición de las relaciones con los dos últimos– al tiempo que un no apoyo a rusia como Moscú es- peraría, puede generar costos en la relación con  </w:t>
      </w:r>
      <w:r>
        <w:rPr>
          <w:spacing w:val="33"/>
          <w:w w:val="110"/>
        </w:rPr>
        <w:t> </w:t>
      </w:r>
      <w:r>
        <w:rPr>
          <w:w w:val="110"/>
        </w:rPr>
        <w:t>rusia.</w:t>
      </w:r>
    </w:p>
    <w:p>
      <w:pPr>
        <w:pStyle w:val="BodyText"/>
        <w:spacing w:before="5"/>
      </w:pPr>
    </w:p>
    <w:p>
      <w:pPr>
        <w:pStyle w:val="Heading6"/>
        <w:jc w:val="left"/>
      </w:pPr>
      <w:r>
        <w:rPr>
          <w:spacing w:val="3"/>
          <w:w w:val="134"/>
        </w:rPr>
        <w:t>e</w:t>
      </w:r>
      <w:r>
        <w:rPr>
          <w:spacing w:val="5"/>
          <w:w w:val="136"/>
        </w:rPr>
        <w:t>s</w:t>
      </w:r>
      <w:r>
        <w:rPr>
          <w:spacing w:val="2"/>
          <w:w w:val="140"/>
        </w:rPr>
        <w:t>c</w:t>
      </w:r>
      <w:r>
        <w:rPr>
          <w:spacing w:val="3"/>
          <w:w w:val="140"/>
        </w:rPr>
        <w:t>e</w:t>
      </w:r>
      <w:r>
        <w:rPr>
          <w:spacing w:val="-1"/>
          <w:w w:val="128"/>
        </w:rPr>
        <w:t>n</w:t>
      </w:r>
      <w:r>
        <w:rPr>
          <w:spacing w:val="2"/>
          <w:w w:val="138"/>
        </w:rPr>
        <w:t>ari</w:t>
      </w:r>
      <w:r>
        <w:rPr>
          <w:w w:val="138"/>
        </w:rPr>
        <w:t>o</w:t>
      </w:r>
      <w:r>
        <w:rPr>
          <w:spacing w:val="-8"/>
        </w:rPr>
        <w:t> </w:t>
      </w:r>
      <w:r>
        <w:rPr>
          <w:spacing w:val="7"/>
          <w:w w:val="201"/>
        </w:rPr>
        <w:t>l</w:t>
      </w:r>
      <w:r>
        <w:rPr>
          <w:spacing w:val="-10"/>
          <w:w w:val="129"/>
        </w:rPr>
        <w:t>a</w:t>
      </w:r>
      <w:r>
        <w:rPr>
          <w:spacing w:val="2"/>
          <w:w w:val="143"/>
        </w:rPr>
        <w:t>tin</w:t>
      </w:r>
      <w:r>
        <w:rPr>
          <w:spacing w:val="1"/>
          <w:w w:val="143"/>
        </w:rPr>
        <w:t>o</w:t>
      </w:r>
      <w:r>
        <w:rPr>
          <w:spacing w:val="2"/>
          <w:w w:val="129"/>
        </w:rPr>
        <w:t>a</w:t>
      </w:r>
      <w:r>
        <w:rPr>
          <w:spacing w:val="2"/>
          <w:w w:val="92"/>
        </w:rPr>
        <w:t>M</w:t>
      </w:r>
      <w:r>
        <w:rPr>
          <w:spacing w:val="3"/>
          <w:w w:val="134"/>
        </w:rPr>
        <w:t>e</w:t>
      </w:r>
      <w:r>
        <w:rPr>
          <w:spacing w:val="2"/>
          <w:w w:val="142"/>
        </w:rPr>
        <w:t>ri</w:t>
      </w:r>
      <w:r>
        <w:rPr>
          <w:spacing w:val="4"/>
          <w:w w:val="142"/>
        </w:rPr>
        <w:t>c</w:t>
      </w:r>
      <w:r>
        <w:rPr>
          <w:spacing w:val="2"/>
          <w:w w:val="134"/>
        </w:rPr>
        <w:t>an</w:t>
      </w:r>
      <w:r>
        <w:rPr>
          <w:spacing w:val="1"/>
          <w:w w:val="134"/>
        </w:rPr>
        <w:t>o</w:t>
      </w:r>
      <w:r>
        <w:rPr>
          <w:w w:val="78"/>
        </w:rPr>
        <w:t>:</w:t>
      </w:r>
      <w:r>
        <w:rPr>
          <w:spacing w:val="-9"/>
        </w:rPr>
        <w:t> </w:t>
      </w:r>
      <w:r>
        <w:rPr>
          <w:spacing w:val="4"/>
          <w:w w:val="99"/>
        </w:rPr>
        <w:t>P</w:t>
      </w:r>
      <w:r>
        <w:rPr>
          <w:spacing w:val="3"/>
          <w:w w:val="145"/>
        </w:rPr>
        <w:t>o</w:t>
      </w:r>
      <w:r>
        <w:rPr>
          <w:spacing w:val="2"/>
          <w:w w:val="133"/>
        </w:rPr>
        <w:t>si</w:t>
      </w:r>
      <w:r>
        <w:rPr>
          <w:spacing w:val="1"/>
          <w:w w:val="96"/>
        </w:rPr>
        <w:t>B</w:t>
      </w:r>
      <w:r>
        <w:rPr>
          <w:spacing w:val="2"/>
          <w:w w:val="201"/>
        </w:rPr>
        <w:t>l</w:t>
      </w:r>
      <w:r>
        <w:rPr>
          <w:spacing w:val="3"/>
          <w:w w:val="134"/>
        </w:rPr>
        <w:t>e</w:t>
      </w:r>
      <w:r>
        <w:rPr>
          <w:w w:val="136"/>
        </w:rPr>
        <w:t>s</w:t>
      </w:r>
      <w:r>
        <w:rPr>
          <w:spacing w:val="-8"/>
        </w:rPr>
        <w:t> </w:t>
      </w:r>
      <w:r>
        <w:rPr>
          <w:spacing w:val="2"/>
          <w:w w:val="129"/>
        </w:rPr>
        <w:t>a</w:t>
      </w:r>
      <w:r>
        <w:rPr>
          <w:spacing w:val="2"/>
          <w:w w:val="92"/>
        </w:rPr>
        <w:t>M</w:t>
      </w:r>
      <w:r>
        <w:rPr>
          <w:spacing w:val="3"/>
          <w:w w:val="134"/>
        </w:rPr>
        <w:t>e</w:t>
      </w:r>
      <w:r>
        <w:rPr>
          <w:spacing w:val="-1"/>
          <w:w w:val="128"/>
        </w:rPr>
        <w:t>n</w:t>
      </w:r>
      <w:r>
        <w:rPr>
          <w:spacing w:val="5"/>
          <w:w w:val="129"/>
        </w:rPr>
        <w:t>a</w:t>
      </w:r>
      <w:r>
        <w:rPr>
          <w:spacing w:val="6"/>
          <w:w w:val="132"/>
        </w:rPr>
        <w:t>z</w:t>
      </w:r>
      <w:r>
        <w:rPr>
          <w:spacing w:val="1"/>
          <w:w w:val="129"/>
        </w:rPr>
        <w:t>a</w:t>
      </w:r>
      <w:r>
        <w:rPr>
          <w:w w:val="136"/>
        </w:rPr>
        <w:t>s</w:t>
      </w:r>
    </w:p>
    <w:p>
      <w:pPr>
        <w:pStyle w:val="BodyText"/>
        <w:spacing w:line="252" w:lineRule="auto" w:before="10"/>
        <w:ind w:left="100" w:right="327"/>
        <w:jc w:val="right"/>
      </w:pPr>
      <w:r>
        <w:rPr>
          <w:w w:val="115"/>
        </w:rPr>
        <w:t>un</w:t>
      </w:r>
      <w:r>
        <w:rPr>
          <w:spacing w:val="-5"/>
          <w:w w:val="115"/>
        </w:rPr>
        <w:t> </w:t>
      </w:r>
      <w:r>
        <w:rPr>
          <w:w w:val="115"/>
        </w:rPr>
        <w:t>escenario</w:t>
      </w:r>
      <w:r>
        <w:rPr>
          <w:spacing w:val="-5"/>
          <w:w w:val="115"/>
        </w:rPr>
        <w:t> </w:t>
      </w:r>
      <w:r>
        <w:rPr>
          <w:w w:val="115"/>
        </w:rPr>
        <w:t>de</w:t>
      </w:r>
      <w:r>
        <w:rPr>
          <w:spacing w:val="-5"/>
          <w:w w:val="115"/>
        </w:rPr>
        <w:t> </w:t>
      </w:r>
      <w:r>
        <w:rPr>
          <w:w w:val="115"/>
        </w:rPr>
        <w:t>percibida</w:t>
      </w:r>
      <w:r>
        <w:rPr>
          <w:spacing w:val="-5"/>
          <w:w w:val="115"/>
        </w:rPr>
        <w:t> </w:t>
      </w:r>
      <w:r>
        <w:rPr>
          <w:w w:val="115"/>
        </w:rPr>
        <w:t>debilidad</w:t>
      </w:r>
      <w:r>
        <w:rPr>
          <w:spacing w:val="-5"/>
          <w:w w:val="115"/>
        </w:rPr>
        <w:t> </w:t>
      </w:r>
      <w:r>
        <w:rPr>
          <w:w w:val="115"/>
        </w:rPr>
        <w:t>por</w:t>
      </w:r>
      <w:r>
        <w:rPr>
          <w:spacing w:val="-5"/>
          <w:w w:val="115"/>
        </w:rPr>
        <w:t> </w:t>
      </w:r>
      <w:r>
        <w:rPr>
          <w:w w:val="115"/>
        </w:rPr>
        <w:t>la</w:t>
      </w:r>
      <w:r>
        <w:rPr>
          <w:spacing w:val="-5"/>
          <w:w w:val="115"/>
        </w:rPr>
        <w:t> </w:t>
      </w:r>
      <w:r>
        <w:rPr>
          <w:w w:val="115"/>
        </w:rPr>
        <w:t>élite</w:t>
      </w:r>
      <w:r>
        <w:rPr>
          <w:spacing w:val="-5"/>
          <w:w w:val="115"/>
        </w:rPr>
        <w:t> </w:t>
      </w:r>
      <w:r>
        <w:rPr>
          <w:w w:val="115"/>
        </w:rPr>
        <w:t>norteamericana</w:t>
      </w:r>
      <w:r>
        <w:rPr>
          <w:spacing w:val="-5"/>
          <w:w w:val="115"/>
        </w:rPr>
        <w:t> </w:t>
      </w:r>
      <w:r>
        <w:rPr>
          <w:w w:val="115"/>
        </w:rPr>
        <w:t>y</w:t>
      </w:r>
      <w:r>
        <w:rPr>
          <w:spacing w:val="-5"/>
          <w:w w:val="115"/>
        </w:rPr>
        <w:t> </w:t>
      </w:r>
      <w:r>
        <w:rPr>
          <w:w w:val="115"/>
        </w:rPr>
        <w:t>la</w:t>
      </w:r>
      <w:r>
        <w:rPr>
          <w:w w:val="111"/>
        </w:rPr>
        <w:t> </w:t>
      </w:r>
      <w:r>
        <w:rPr>
          <w:w w:val="115"/>
        </w:rPr>
        <w:t>derecha latinoamericana –no necesariamente real– de rusia,</w:t>
      </w:r>
      <w:r>
        <w:rPr>
          <w:spacing w:val="33"/>
          <w:w w:val="115"/>
        </w:rPr>
        <w:t> </w:t>
      </w:r>
      <w:r>
        <w:rPr>
          <w:w w:val="115"/>
        </w:rPr>
        <w:t>de</w:t>
      </w:r>
      <w:r>
        <w:rPr>
          <w:spacing w:val="4"/>
          <w:w w:val="115"/>
        </w:rPr>
        <w:t> </w:t>
      </w:r>
      <w:r>
        <w:rPr>
          <w:w w:val="115"/>
        </w:rPr>
        <w:t>los</w:t>
      </w:r>
      <w:r>
        <w:rPr>
          <w:w w:val="108"/>
        </w:rPr>
        <w:t> </w:t>
      </w:r>
      <w:r>
        <w:rPr>
          <w:w w:val="120"/>
        </w:rPr>
        <w:t>briCs,</w:t>
      </w:r>
      <w:r>
        <w:rPr>
          <w:spacing w:val="-8"/>
          <w:w w:val="120"/>
        </w:rPr>
        <w:t> </w:t>
      </w:r>
      <w:r>
        <w:rPr>
          <w:w w:val="120"/>
        </w:rPr>
        <w:t>y</w:t>
      </w:r>
      <w:r>
        <w:rPr>
          <w:spacing w:val="-8"/>
          <w:w w:val="120"/>
        </w:rPr>
        <w:t> </w:t>
      </w:r>
      <w:r>
        <w:rPr>
          <w:w w:val="120"/>
        </w:rPr>
        <w:t>del</w:t>
      </w:r>
      <w:r>
        <w:rPr>
          <w:spacing w:val="-8"/>
          <w:w w:val="120"/>
        </w:rPr>
        <w:t> </w:t>
      </w:r>
      <w:r>
        <w:rPr>
          <w:w w:val="120"/>
        </w:rPr>
        <w:t>proceso</w:t>
      </w:r>
      <w:r>
        <w:rPr>
          <w:spacing w:val="-8"/>
          <w:w w:val="120"/>
        </w:rPr>
        <w:t> </w:t>
      </w:r>
      <w:r>
        <w:rPr>
          <w:w w:val="120"/>
        </w:rPr>
        <w:t>de</w:t>
      </w:r>
      <w:r>
        <w:rPr>
          <w:spacing w:val="-8"/>
          <w:w w:val="120"/>
        </w:rPr>
        <w:t> </w:t>
      </w:r>
      <w:r>
        <w:rPr>
          <w:w w:val="120"/>
        </w:rPr>
        <w:t>multipolarización</w:t>
      </w:r>
      <w:r>
        <w:rPr>
          <w:spacing w:val="-8"/>
          <w:w w:val="120"/>
        </w:rPr>
        <w:t> </w:t>
      </w:r>
      <w:r>
        <w:rPr>
          <w:w w:val="120"/>
        </w:rPr>
        <w:t>a</w:t>
      </w:r>
      <w:r>
        <w:rPr>
          <w:spacing w:val="-8"/>
          <w:w w:val="120"/>
        </w:rPr>
        <w:t> </w:t>
      </w:r>
      <w:r>
        <w:rPr>
          <w:w w:val="120"/>
        </w:rPr>
        <w:t>nivel</w:t>
      </w:r>
      <w:r>
        <w:rPr>
          <w:spacing w:val="-8"/>
          <w:w w:val="120"/>
        </w:rPr>
        <w:t> </w:t>
      </w:r>
      <w:r>
        <w:rPr>
          <w:w w:val="120"/>
        </w:rPr>
        <w:t>global,</w:t>
      </w:r>
      <w:r>
        <w:rPr>
          <w:spacing w:val="-8"/>
          <w:w w:val="120"/>
        </w:rPr>
        <w:t> </w:t>
      </w:r>
      <w:r>
        <w:rPr>
          <w:w w:val="120"/>
        </w:rPr>
        <w:t>puede</w:t>
      </w:r>
      <w:r>
        <w:rPr>
          <w:spacing w:val="-8"/>
          <w:w w:val="120"/>
        </w:rPr>
        <w:t> </w:t>
      </w:r>
      <w:r>
        <w:rPr>
          <w:w w:val="120"/>
        </w:rPr>
        <w:t>in-</w:t>
      </w:r>
      <w:r>
        <w:rPr>
          <w:w w:val="102"/>
        </w:rPr>
        <w:t> </w:t>
      </w:r>
      <w:r>
        <w:rPr>
          <w:w w:val="115"/>
        </w:rPr>
        <w:t>crementar</w:t>
      </w:r>
      <w:r>
        <w:rPr>
          <w:spacing w:val="-19"/>
          <w:w w:val="115"/>
        </w:rPr>
        <w:t> </w:t>
      </w:r>
      <w:r>
        <w:rPr>
          <w:w w:val="115"/>
        </w:rPr>
        <w:t>el</w:t>
      </w:r>
      <w:r>
        <w:rPr>
          <w:spacing w:val="-19"/>
          <w:w w:val="115"/>
        </w:rPr>
        <w:t> </w:t>
      </w:r>
      <w:r>
        <w:rPr>
          <w:w w:val="115"/>
        </w:rPr>
        <w:t>número</w:t>
      </w:r>
      <w:r>
        <w:rPr>
          <w:spacing w:val="-19"/>
          <w:w w:val="115"/>
        </w:rPr>
        <w:t> </w:t>
      </w:r>
      <w:r>
        <w:rPr>
          <w:w w:val="115"/>
        </w:rPr>
        <w:t>de</w:t>
      </w:r>
      <w:r>
        <w:rPr>
          <w:spacing w:val="-19"/>
          <w:w w:val="115"/>
        </w:rPr>
        <w:t> </w:t>
      </w:r>
      <w:r>
        <w:rPr>
          <w:w w:val="115"/>
        </w:rPr>
        <w:t>los</w:t>
      </w:r>
      <w:r>
        <w:rPr>
          <w:spacing w:val="-19"/>
          <w:w w:val="115"/>
        </w:rPr>
        <w:t> </w:t>
      </w:r>
      <w:r>
        <w:rPr>
          <w:w w:val="115"/>
        </w:rPr>
        <w:t>partidarios</w:t>
      </w:r>
      <w:r>
        <w:rPr>
          <w:spacing w:val="-19"/>
          <w:w w:val="115"/>
        </w:rPr>
        <w:t> </w:t>
      </w:r>
      <w:r>
        <w:rPr>
          <w:w w:val="115"/>
        </w:rPr>
        <w:t>de</w:t>
      </w:r>
      <w:r>
        <w:rPr>
          <w:spacing w:val="-19"/>
          <w:w w:val="115"/>
        </w:rPr>
        <w:t> </w:t>
      </w:r>
      <w:r>
        <w:rPr>
          <w:w w:val="115"/>
        </w:rPr>
        <w:t>una</w:t>
      </w:r>
      <w:r>
        <w:rPr>
          <w:spacing w:val="-19"/>
          <w:w w:val="115"/>
        </w:rPr>
        <w:t> </w:t>
      </w:r>
      <w:r>
        <w:rPr>
          <w:w w:val="115"/>
        </w:rPr>
        <w:t>relación</w:t>
      </w:r>
      <w:r>
        <w:rPr>
          <w:spacing w:val="-19"/>
          <w:w w:val="115"/>
        </w:rPr>
        <w:t> </w:t>
      </w:r>
      <w:r>
        <w:rPr>
          <w:w w:val="115"/>
        </w:rPr>
        <w:t>más</w:t>
      </w:r>
      <w:r>
        <w:rPr>
          <w:spacing w:val="-19"/>
          <w:w w:val="115"/>
        </w:rPr>
        <w:t> </w:t>
      </w:r>
      <w:r>
        <w:rPr>
          <w:w w:val="115"/>
        </w:rPr>
        <w:t>estrecha</w:t>
      </w:r>
      <w:r>
        <w:rPr>
          <w:w w:val="108"/>
        </w:rPr>
        <w:t> </w:t>
      </w:r>
      <w:r>
        <w:rPr>
          <w:w w:val="120"/>
        </w:rPr>
        <w:t>con</w:t>
      </w:r>
      <w:r>
        <w:rPr>
          <w:spacing w:val="-28"/>
          <w:w w:val="120"/>
        </w:rPr>
        <w:t> </w:t>
      </w:r>
      <w:r>
        <w:rPr>
          <w:w w:val="120"/>
        </w:rPr>
        <w:t>Estados</w:t>
      </w:r>
      <w:r>
        <w:rPr>
          <w:spacing w:val="-28"/>
          <w:w w:val="120"/>
        </w:rPr>
        <w:t> </w:t>
      </w:r>
      <w:r>
        <w:rPr>
          <w:w w:val="120"/>
        </w:rPr>
        <w:t>unidos</w:t>
      </w:r>
      <w:r>
        <w:rPr>
          <w:spacing w:val="-28"/>
          <w:w w:val="120"/>
        </w:rPr>
        <w:t> </w:t>
      </w:r>
      <w:r>
        <w:rPr>
          <w:w w:val="120"/>
        </w:rPr>
        <w:t>y</w:t>
      </w:r>
      <w:r>
        <w:rPr>
          <w:spacing w:val="-28"/>
          <w:w w:val="120"/>
        </w:rPr>
        <w:t> </w:t>
      </w:r>
      <w:r>
        <w:rPr>
          <w:w w:val="120"/>
        </w:rPr>
        <w:t>la</w:t>
      </w:r>
      <w:r>
        <w:rPr>
          <w:spacing w:val="-28"/>
          <w:w w:val="120"/>
        </w:rPr>
        <w:t> </w:t>
      </w:r>
      <w:r>
        <w:rPr>
          <w:w w:val="120"/>
        </w:rPr>
        <w:t>unión</w:t>
      </w:r>
      <w:r>
        <w:rPr>
          <w:spacing w:val="-28"/>
          <w:w w:val="120"/>
        </w:rPr>
        <w:t> </w:t>
      </w:r>
      <w:r>
        <w:rPr>
          <w:w w:val="120"/>
        </w:rPr>
        <w:t>Europea</w:t>
      </w:r>
      <w:r>
        <w:rPr>
          <w:spacing w:val="-28"/>
          <w:w w:val="120"/>
        </w:rPr>
        <w:t> </w:t>
      </w:r>
      <w:r>
        <w:rPr>
          <w:spacing w:val="-11"/>
          <w:w w:val="120"/>
        </w:rPr>
        <w:t>y,</w:t>
      </w:r>
      <w:r>
        <w:rPr>
          <w:spacing w:val="-28"/>
          <w:w w:val="120"/>
        </w:rPr>
        <w:t> </w:t>
      </w:r>
      <w:r>
        <w:rPr>
          <w:w w:val="120"/>
        </w:rPr>
        <w:t>por</w:t>
      </w:r>
      <w:r>
        <w:rPr>
          <w:spacing w:val="-28"/>
          <w:w w:val="120"/>
        </w:rPr>
        <w:t> </w:t>
      </w:r>
      <w:r>
        <w:rPr>
          <w:w w:val="120"/>
        </w:rPr>
        <w:t>consiguiente,</w:t>
      </w:r>
      <w:r>
        <w:rPr>
          <w:spacing w:val="-28"/>
          <w:w w:val="120"/>
        </w:rPr>
        <w:t> </w:t>
      </w:r>
      <w:r>
        <w:rPr>
          <w:w w:val="120"/>
        </w:rPr>
        <w:t>un</w:t>
      </w:r>
      <w:r>
        <w:rPr>
          <w:spacing w:val="-28"/>
          <w:w w:val="120"/>
        </w:rPr>
        <w:t> </w:t>
      </w:r>
      <w:r>
        <w:rPr>
          <w:w w:val="120"/>
        </w:rPr>
        <w:t>debi-</w:t>
      </w:r>
      <w:r>
        <w:rPr>
          <w:w w:val="102"/>
        </w:rPr>
        <w:t> </w:t>
      </w:r>
      <w:r>
        <w:rPr>
          <w:w w:val="115"/>
        </w:rPr>
        <w:t>litamiento</w:t>
      </w:r>
      <w:r>
        <w:rPr>
          <w:spacing w:val="-10"/>
          <w:w w:val="115"/>
        </w:rPr>
        <w:t> </w:t>
      </w:r>
      <w:r>
        <w:rPr>
          <w:w w:val="115"/>
        </w:rPr>
        <w:t>de</w:t>
      </w:r>
      <w:r>
        <w:rPr>
          <w:spacing w:val="-10"/>
          <w:w w:val="115"/>
        </w:rPr>
        <w:t> </w:t>
      </w:r>
      <w:r>
        <w:rPr>
          <w:w w:val="115"/>
        </w:rPr>
        <w:t>los</w:t>
      </w:r>
      <w:r>
        <w:rPr>
          <w:spacing w:val="-10"/>
          <w:w w:val="115"/>
        </w:rPr>
        <w:t> </w:t>
      </w:r>
      <w:r>
        <w:rPr>
          <w:w w:val="115"/>
        </w:rPr>
        <w:t>procesos</w:t>
      </w:r>
      <w:r>
        <w:rPr>
          <w:spacing w:val="-10"/>
          <w:w w:val="115"/>
        </w:rPr>
        <w:t> </w:t>
      </w:r>
      <w:r>
        <w:rPr>
          <w:w w:val="115"/>
        </w:rPr>
        <w:t>latinoamericanistas,</w:t>
      </w:r>
      <w:r>
        <w:rPr>
          <w:spacing w:val="-10"/>
          <w:w w:val="115"/>
        </w:rPr>
        <w:t> </w:t>
      </w:r>
      <w:r>
        <w:rPr>
          <w:w w:val="115"/>
        </w:rPr>
        <w:t>incluyendo</w:t>
      </w:r>
      <w:r>
        <w:rPr>
          <w:spacing w:val="-10"/>
          <w:w w:val="115"/>
        </w:rPr>
        <w:t> </w:t>
      </w:r>
      <w:r>
        <w:rPr>
          <w:w w:val="115"/>
        </w:rPr>
        <w:t>la</w:t>
      </w:r>
      <w:r>
        <w:rPr>
          <w:spacing w:val="-10"/>
          <w:w w:val="115"/>
        </w:rPr>
        <w:t> </w:t>
      </w:r>
      <w:r>
        <w:rPr>
          <w:w w:val="115"/>
        </w:rPr>
        <w:t>CElaC.</w:t>
      </w:r>
      <w:r>
        <w:rPr>
          <w:w w:val="138"/>
        </w:rPr>
        <w:t> </w:t>
      </w:r>
      <w:r>
        <w:rPr>
          <w:w w:val="120"/>
        </w:rPr>
        <w:t>a</w:t>
      </w:r>
      <w:r>
        <w:rPr>
          <w:spacing w:val="-11"/>
          <w:w w:val="120"/>
        </w:rPr>
        <w:t> </w:t>
      </w:r>
      <w:r>
        <w:rPr>
          <w:w w:val="120"/>
        </w:rPr>
        <w:t>ello</w:t>
      </w:r>
      <w:r>
        <w:rPr>
          <w:spacing w:val="-11"/>
          <w:w w:val="120"/>
        </w:rPr>
        <w:t> </w:t>
      </w:r>
      <w:r>
        <w:rPr>
          <w:w w:val="120"/>
        </w:rPr>
        <w:t>contribuiría</w:t>
      </w:r>
      <w:r>
        <w:rPr>
          <w:spacing w:val="-11"/>
          <w:w w:val="120"/>
        </w:rPr>
        <w:t> </w:t>
      </w:r>
      <w:r>
        <w:rPr>
          <w:w w:val="120"/>
        </w:rPr>
        <w:t>también</w:t>
      </w:r>
      <w:r>
        <w:rPr>
          <w:spacing w:val="-11"/>
          <w:w w:val="120"/>
        </w:rPr>
        <w:t> </w:t>
      </w:r>
      <w:r>
        <w:rPr>
          <w:w w:val="120"/>
        </w:rPr>
        <w:t>la</w:t>
      </w:r>
      <w:r>
        <w:rPr>
          <w:spacing w:val="-11"/>
          <w:w w:val="120"/>
        </w:rPr>
        <w:t> </w:t>
      </w:r>
      <w:r>
        <w:rPr>
          <w:w w:val="120"/>
        </w:rPr>
        <w:t>percepción</w:t>
      </w:r>
      <w:r>
        <w:rPr>
          <w:spacing w:val="-11"/>
          <w:w w:val="120"/>
        </w:rPr>
        <w:t> </w:t>
      </w:r>
      <w:r>
        <w:rPr>
          <w:w w:val="120"/>
        </w:rPr>
        <w:t>del</w:t>
      </w:r>
      <w:r>
        <w:rPr>
          <w:spacing w:val="-11"/>
          <w:w w:val="120"/>
        </w:rPr>
        <w:t> </w:t>
      </w:r>
      <w:r>
        <w:rPr>
          <w:w w:val="120"/>
        </w:rPr>
        <w:t>posible</w:t>
      </w:r>
      <w:r>
        <w:rPr>
          <w:spacing w:val="-11"/>
          <w:w w:val="120"/>
        </w:rPr>
        <w:t> </w:t>
      </w:r>
      <w:r>
        <w:rPr>
          <w:w w:val="120"/>
        </w:rPr>
        <w:t>debilita-</w:t>
      </w:r>
      <w:r>
        <w:rPr>
          <w:w w:val="102"/>
        </w:rPr>
        <w:t> </w:t>
      </w:r>
      <w:r>
        <w:rPr>
          <w:w w:val="115"/>
        </w:rPr>
        <w:t>miento</w:t>
      </w:r>
      <w:r>
        <w:rPr>
          <w:spacing w:val="-16"/>
          <w:w w:val="115"/>
        </w:rPr>
        <w:t> </w:t>
      </w:r>
      <w:r>
        <w:rPr>
          <w:w w:val="115"/>
        </w:rPr>
        <w:t>de</w:t>
      </w:r>
      <w:r>
        <w:rPr>
          <w:spacing w:val="-16"/>
          <w:w w:val="115"/>
        </w:rPr>
        <w:t> </w:t>
      </w:r>
      <w:r>
        <w:rPr>
          <w:w w:val="115"/>
        </w:rPr>
        <w:t>brasil</w:t>
      </w:r>
      <w:r>
        <w:rPr>
          <w:spacing w:val="-16"/>
          <w:w w:val="115"/>
        </w:rPr>
        <w:t> </w:t>
      </w:r>
      <w:r>
        <w:rPr>
          <w:w w:val="115"/>
        </w:rPr>
        <w:t>y</w:t>
      </w:r>
      <w:r>
        <w:rPr>
          <w:spacing w:val="-16"/>
          <w:w w:val="115"/>
        </w:rPr>
        <w:t> </w:t>
      </w:r>
      <w:r>
        <w:rPr>
          <w:w w:val="115"/>
        </w:rPr>
        <w:t>de</w:t>
      </w:r>
      <w:r>
        <w:rPr>
          <w:spacing w:val="-16"/>
          <w:w w:val="115"/>
        </w:rPr>
        <w:t> </w:t>
      </w:r>
      <w:r>
        <w:rPr>
          <w:w w:val="115"/>
        </w:rPr>
        <w:t>Venezuela</w:t>
      </w:r>
      <w:r>
        <w:rPr>
          <w:spacing w:val="-16"/>
          <w:w w:val="115"/>
        </w:rPr>
        <w:t> </w:t>
      </w:r>
      <w:r>
        <w:rPr>
          <w:w w:val="115"/>
        </w:rPr>
        <w:t>(alba),</w:t>
      </w:r>
      <w:r>
        <w:rPr>
          <w:spacing w:val="-16"/>
          <w:w w:val="115"/>
        </w:rPr>
        <w:t> </w:t>
      </w:r>
      <w:r>
        <w:rPr>
          <w:w w:val="115"/>
        </w:rPr>
        <w:t>sobre</w:t>
      </w:r>
      <w:r>
        <w:rPr>
          <w:spacing w:val="-16"/>
          <w:w w:val="115"/>
        </w:rPr>
        <w:t> </w:t>
      </w:r>
      <w:r>
        <w:rPr>
          <w:w w:val="115"/>
        </w:rPr>
        <w:t>todo</w:t>
      </w:r>
      <w:r>
        <w:rPr>
          <w:spacing w:val="-16"/>
          <w:w w:val="115"/>
        </w:rPr>
        <w:t> </w:t>
      </w:r>
      <w:r>
        <w:rPr>
          <w:w w:val="115"/>
        </w:rPr>
        <w:t>por</w:t>
      </w:r>
      <w:r>
        <w:rPr>
          <w:spacing w:val="-16"/>
          <w:w w:val="115"/>
        </w:rPr>
        <w:t> </w:t>
      </w:r>
      <w:r>
        <w:rPr>
          <w:w w:val="115"/>
        </w:rPr>
        <w:t>los</w:t>
      </w:r>
      <w:r>
        <w:rPr>
          <w:spacing w:val="-16"/>
          <w:w w:val="115"/>
        </w:rPr>
        <w:t> </w:t>
      </w:r>
      <w:r>
        <w:rPr>
          <w:w w:val="115"/>
        </w:rPr>
        <w:t>problemas</w:t>
      </w:r>
    </w:p>
    <w:p>
      <w:pPr>
        <w:pStyle w:val="BodyText"/>
        <w:ind w:left="100"/>
      </w:pPr>
      <w:r>
        <w:rPr>
          <w:w w:val="110"/>
        </w:rPr>
        <w:t>internos y externos que confrontan.</w:t>
      </w:r>
    </w:p>
    <w:p>
      <w:pPr>
        <w:pStyle w:val="BodyText"/>
        <w:spacing w:line="252" w:lineRule="auto" w:before="11"/>
        <w:ind w:left="100" w:right="328" w:firstLine="396"/>
        <w:jc w:val="both"/>
      </w:pPr>
      <w:r>
        <w:rPr>
          <w:w w:val="110"/>
        </w:rPr>
        <w:t>a esta matriz de pensamiento puede colaborar la Cumbre de las américas en Panamá en abril de 2015, que potenciará –al menos retó- ricamente– la política de Estados unidos hacia el área, a la que apa- renta otorgar una mayor prioridad.</w:t>
      </w:r>
    </w:p>
    <w:p>
      <w:pPr>
        <w:pStyle w:val="BodyText"/>
        <w:spacing w:line="252" w:lineRule="auto"/>
        <w:ind w:left="100" w:right="328" w:firstLine="396"/>
        <w:jc w:val="both"/>
      </w:pPr>
      <w:r>
        <w:rPr>
          <w:w w:val="110"/>
        </w:rPr>
        <w:t>dados los problemas económicos y financieros de rusia, resulta una amenaza la posibilidad de que no pueda cumplir sus compromi- sos en el área de créditos gubernamentales e inversiones que tiene en </w:t>
      </w:r>
      <w:r>
        <w:rPr>
          <w:w w:val="107"/>
        </w:rPr>
        <w:t>varios</w:t>
      </w:r>
      <w:r>
        <w:rPr/>
        <w:t> </w:t>
      </w:r>
      <w:r>
        <w:rPr>
          <w:w w:val="108"/>
        </w:rPr>
        <w:t>países</w:t>
      </w:r>
      <w:r>
        <w:rPr/>
        <w:t> </w:t>
      </w:r>
      <w:r>
        <w:rPr>
          <w:w w:val="107"/>
        </w:rPr>
        <w:t>de</w:t>
      </w:r>
      <w:r>
        <w:rPr/>
        <w:t> </w:t>
      </w:r>
      <w:r>
        <w:rPr>
          <w:w w:val="139"/>
        </w:rPr>
        <w:t>a</w:t>
      </w:r>
      <w:r>
        <w:rPr>
          <w:w w:val="111"/>
        </w:rPr>
        <w:t>mérica</w:t>
      </w:r>
      <w:r>
        <w:rPr/>
        <w:t> </w:t>
      </w:r>
      <w:r>
        <w:rPr>
          <w:w w:val="243"/>
        </w:rPr>
        <w:t>l</w:t>
      </w:r>
      <w:r>
        <w:rPr>
          <w:w w:val="113"/>
        </w:rPr>
        <w:t>atina,</w:t>
      </w:r>
      <w:r>
        <w:rPr/>
        <w:t> </w:t>
      </w:r>
      <w:r>
        <w:rPr>
          <w:w w:val="107"/>
        </w:rPr>
        <w:t>sobre</w:t>
      </w:r>
      <w:r>
        <w:rPr/>
        <w:t> </w:t>
      </w:r>
      <w:r>
        <w:rPr>
          <w:w w:val="109"/>
        </w:rPr>
        <w:t>todo</w:t>
      </w:r>
      <w:r>
        <w:rPr/>
        <w:t> </w:t>
      </w:r>
      <w:r>
        <w:rPr>
          <w:w w:val="108"/>
        </w:rPr>
        <w:t>en</w:t>
      </w:r>
      <w:r>
        <w:rPr/>
        <w:t> </w:t>
      </w:r>
      <w:r>
        <w:rPr>
          <w:w w:val="119"/>
        </w:rPr>
        <w:t>V</w:t>
      </w:r>
      <w:r>
        <w:rPr>
          <w:w w:val="109"/>
        </w:rPr>
        <w:t>enezuela</w:t>
      </w:r>
      <w:r>
        <w:rPr/>
        <w:t> </w:t>
      </w:r>
      <w:r>
        <w:rPr>
          <w:w w:val="105"/>
        </w:rPr>
        <w:t>y</w:t>
      </w:r>
      <w:r>
        <w:rPr/>
        <w:t> </w:t>
      </w:r>
      <w:r>
        <w:rPr>
          <w:w w:val="117"/>
        </w:rPr>
        <w:t>Cuba.</w:t>
      </w:r>
    </w:p>
    <w:p>
      <w:pPr>
        <w:pStyle w:val="BodyText"/>
        <w:spacing w:line="252" w:lineRule="auto"/>
        <w:ind w:left="100" w:right="327" w:firstLine="396"/>
        <w:jc w:val="both"/>
      </w:pPr>
      <w:r>
        <w:rPr>
          <w:spacing w:val="-8"/>
          <w:w w:val="115"/>
        </w:rPr>
        <w:t>Va</w:t>
      </w:r>
      <w:r>
        <w:rPr>
          <w:spacing w:val="-5"/>
          <w:w w:val="115"/>
        </w:rPr>
        <w:t> </w:t>
      </w:r>
      <w:r>
        <w:rPr>
          <w:w w:val="115"/>
        </w:rPr>
        <w:t>a</w:t>
      </w:r>
      <w:r>
        <w:rPr>
          <w:spacing w:val="-5"/>
          <w:w w:val="115"/>
        </w:rPr>
        <w:t> </w:t>
      </w:r>
      <w:r>
        <w:rPr>
          <w:w w:val="115"/>
        </w:rPr>
        <w:t>resultar</w:t>
      </w:r>
      <w:r>
        <w:rPr>
          <w:spacing w:val="-5"/>
          <w:w w:val="115"/>
        </w:rPr>
        <w:t> </w:t>
      </w:r>
      <w:r>
        <w:rPr>
          <w:w w:val="115"/>
        </w:rPr>
        <w:t>difícil</w:t>
      </w:r>
      <w:r>
        <w:rPr>
          <w:spacing w:val="-5"/>
          <w:w w:val="115"/>
        </w:rPr>
        <w:t> </w:t>
      </w:r>
      <w:r>
        <w:rPr>
          <w:w w:val="115"/>
        </w:rPr>
        <w:t>la</w:t>
      </w:r>
      <w:r>
        <w:rPr>
          <w:spacing w:val="-5"/>
          <w:w w:val="115"/>
        </w:rPr>
        <w:t> </w:t>
      </w:r>
      <w:r>
        <w:rPr>
          <w:w w:val="115"/>
        </w:rPr>
        <w:t>concreción</w:t>
      </w:r>
      <w:r>
        <w:rPr>
          <w:spacing w:val="-5"/>
          <w:w w:val="115"/>
        </w:rPr>
        <w:t> </w:t>
      </w:r>
      <w:r>
        <w:rPr>
          <w:w w:val="115"/>
        </w:rPr>
        <w:t>y</w:t>
      </w:r>
      <w:r>
        <w:rPr>
          <w:spacing w:val="-5"/>
          <w:w w:val="115"/>
        </w:rPr>
        <w:t> </w:t>
      </w:r>
      <w:r>
        <w:rPr>
          <w:w w:val="115"/>
        </w:rPr>
        <w:t>desarrollo</w:t>
      </w:r>
      <w:r>
        <w:rPr>
          <w:spacing w:val="-5"/>
          <w:w w:val="115"/>
        </w:rPr>
        <w:t> </w:t>
      </w:r>
      <w:r>
        <w:rPr>
          <w:w w:val="115"/>
        </w:rPr>
        <w:t>exitoso</w:t>
      </w:r>
      <w:r>
        <w:rPr>
          <w:spacing w:val="-5"/>
          <w:w w:val="115"/>
        </w:rPr>
        <w:t> </w:t>
      </w:r>
      <w:r>
        <w:rPr>
          <w:w w:val="115"/>
        </w:rPr>
        <w:t>real</w:t>
      </w:r>
      <w:r>
        <w:rPr>
          <w:spacing w:val="-5"/>
          <w:w w:val="115"/>
        </w:rPr>
        <w:t> </w:t>
      </w:r>
      <w:r>
        <w:rPr>
          <w:w w:val="115"/>
        </w:rPr>
        <w:t>de</w:t>
      </w:r>
      <w:r>
        <w:rPr>
          <w:spacing w:val="-5"/>
          <w:w w:val="115"/>
        </w:rPr>
        <w:t> </w:t>
      </w:r>
      <w:r>
        <w:rPr>
          <w:w w:val="115"/>
        </w:rPr>
        <w:t>un foro paralelo de cooperación rusia-CElaC parecido al que ya existe: China-CElaC, dadas las limitaciones económicas</w:t>
      </w:r>
      <w:r>
        <w:rPr>
          <w:spacing w:val="31"/>
          <w:w w:val="115"/>
        </w:rPr>
        <w:t> </w:t>
      </w:r>
      <w:r>
        <w:rPr>
          <w:w w:val="115"/>
        </w:rPr>
        <w:t>rusas.</w:t>
      </w:r>
    </w:p>
    <w:p>
      <w:pPr>
        <w:pStyle w:val="BodyText"/>
        <w:spacing w:line="252" w:lineRule="auto"/>
        <w:ind w:left="100" w:right="328" w:firstLine="396"/>
        <w:jc w:val="both"/>
      </w:pPr>
      <w:r>
        <w:rPr>
          <w:w w:val="110"/>
        </w:rPr>
        <w:t>Entre las amenazas para la región pudiera ubicarse el escenario de que Moscú intente proyectar su poder global al área, sobre todo   de movimientos de aviones y barcos de guerra, como en 2008, lo que sería un elemento de fricción aún mayor entre determinados países latinoamericanos con Estados unidos, y un pretexto que las fuerzas conservadoras de este país emplearían para revertir las acciones que </w:t>
      </w:r>
      <w:r>
        <w:rPr>
          <w:w w:val="149"/>
        </w:rPr>
        <w:t>o</w:t>
      </w:r>
      <w:r>
        <w:rPr>
          <w:w w:val="112"/>
        </w:rPr>
        <w:t>bama</w:t>
      </w:r>
      <w:r>
        <w:rPr>
          <w:spacing w:val="12"/>
        </w:rPr>
        <w:t> </w:t>
      </w:r>
      <w:r>
        <w:rPr>
          <w:w w:val="112"/>
        </w:rPr>
        <w:t>ha</w:t>
      </w:r>
      <w:r>
        <w:rPr>
          <w:spacing w:val="12"/>
        </w:rPr>
        <w:t> </w:t>
      </w:r>
      <w:r>
        <w:rPr>
          <w:w w:val="110"/>
        </w:rPr>
        <w:t>tomado</w:t>
      </w:r>
      <w:r>
        <w:rPr>
          <w:spacing w:val="12"/>
        </w:rPr>
        <w:t> </w:t>
      </w:r>
      <w:r>
        <w:rPr>
          <w:w w:val="113"/>
        </w:rPr>
        <w:t>hacia</w:t>
      </w:r>
      <w:r>
        <w:rPr>
          <w:spacing w:val="12"/>
        </w:rPr>
        <w:t> </w:t>
      </w:r>
      <w:r>
        <w:rPr>
          <w:w w:val="139"/>
        </w:rPr>
        <w:t>a</w:t>
      </w:r>
      <w:r>
        <w:rPr>
          <w:w w:val="111"/>
        </w:rPr>
        <w:t>mérica</w:t>
      </w:r>
      <w:r>
        <w:rPr>
          <w:spacing w:val="12"/>
        </w:rPr>
        <w:t> </w:t>
      </w:r>
      <w:r>
        <w:rPr>
          <w:w w:val="243"/>
        </w:rPr>
        <w:t>l</w:t>
      </w:r>
      <w:r>
        <w:rPr>
          <w:w w:val="111"/>
        </w:rPr>
        <w:t>atina</w:t>
      </w:r>
      <w:r>
        <w:rPr>
          <w:spacing w:val="12"/>
        </w:rPr>
        <w:t> </w:t>
      </w:r>
      <w:r>
        <w:rPr>
          <w:w w:val="105"/>
        </w:rPr>
        <w:t>y</w:t>
      </w:r>
      <w:r>
        <w:rPr>
          <w:spacing w:val="12"/>
        </w:rPr>
        <w:t> </w:t>
      </w:r>
      <w:r>
        <w:rPr>
          <w:w w:val="117"/>
        </w:rPr>
        <w:t>Cuba.</w:t>
      </w:r>
    </w:p>
    <w:p>
      <w:pPr>
        <w:pStyle w:val="BodyText"/>
        <w:ind w:left="100" w:right="328"/>
        <w:jc w:val="right"/>
      </w:pPr>
      <w:r>
        <w:rPr>
          <w:w w:val="110"/>
        </w:rPr>
        <w:t>El argumento que las sanciones a rusia por ucrania están dando</w:t>
      </w:r>
    </w:p>
    <w:p>
      <w:pPr>
        <w:spacing w:after="0"/>
        <w:jc w:val="right"/>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resultados puede potenciar la política de sanciones contra Venezue- la. una lectura triunfalista por parte de Estados unidos de su logro     de cambio de régimen en ucrania puede acelerar el proceso de apli- cación de la guerra no convencional contra Venezuela y otros países progresistas de la</w:t>
      </w:r>
      <w:r>
        <w:rPr>
          <w:spacing w:val="8"/>
          <w:w w:val="110"/>
        </w:rPr>
        <w:t> </w:t>
      </w:r>
      <w:r>
        <w:rPr>
          <w:w w:val="110"/>
        </w:rPr>
        <w:t>región.</w:t>
      </w:r>
    </w:p>
    <w:p>
      <w:pPr>
        <w:pStyle w:val="BodyText"/>
        <w:spacing w:line="252" w:lineRule="auto"/>
        <w:ind w:left="330" w:right="117" w:firstLine="396"/>
        <w:jc w:val="both"/>
      </w:pPr>
      <w:r>
        <w:rPr>
          <w:w w:val="243"/>
        </w:rPr>
        <w:t>l</w:t>
      </w:r>
      <w:r>
        <w:rPr>
          <w:w w:val="108"/>
        </w:rPr>
        <w:t>os</w:t>
      </w:r>
      <w:r>
        <w:rPr/>
        <w:t> </w:t>
      </w:r>
      <w:r>
        <w:rPr>
          <w:w w:val="109"/>
        </w:rPr>
        <w:t>enemigos</w:t>
      </w:r>
      <w:r>
        <w:rPr/>
        <w:t> </w:t>
      </w:r>
      <w:r>
        <w:rPr>
          <w:w w:val="107"/>
        </w:rPr>
        <w:t>de</w:t>
      </w:r>
      <w:r>
        <w:rPr/>
        <w:t> </w:t>
      </w:r>
      <w:r>
        <w:rPr>
          <w:w w:val="111"/>
        </w:rPr>
        <w:t>la</w:t>
      </w:r>
      <w:r>
        <w:rPr/>
        <w:t> </w:t>
      </w:r>
      <w:r>
        <w:rPr>
          <w:w w:val="112"/>
        </w:rPr>
        <w:t>normalización</w:t>
      </w:r>
      <w:r>
        <w:rPr/>
        <w:t> </w:t>
      </w:r>
      <w:r>
        <w:rPr>
          <w:w w:val="107"/>
        </w:rPr>
        <w:t>de</w:t>
      </w:r>
      <w:r>
        <w:rPr/>
        <w:t> </w:t>
      </w:r>
      <w:r>
        <w:rPr>
          <w:w w:val="109"/>
        </w:rPr>
        <w:t>relaciones</w:t>
      </w:r>
      <w:r>
        <w:rPr/>
        <w:t> </w:t>
      </w:r>
      <w:r>
        <w:rPr>
          <w:w w:val="112"/>
        </w:rPr>
        <w:t>con</w:t>
      </w:r>
      <w:r>
        <w:rPr/>
        <w:t> </w:t>
      </w:r>
      <w:r>
        <w:rPr>
          <w:w w:val="115"/>
        </w:rPr>
        <w:t>Cuba</w:t>
      </w:r>
      <w:r>
        <w:rPr/>
        <w:t> </w:t>
      </w:r>
      <w:r>
        <w:rPr>
          <w:w w:val="108"/>
        </w:rPr>
        <w:t>pueden </w:t>
      </w:r>
      <w:r>
        <w:rPr>
          <w:w w:val="110"/>
        </w:rPr>
        <w:t>armar campañas de prensa en contra de las relaciones Cuba-rusia, lo que tendría un gran impacto en el Congreso de Estados   unidos.</w:t>
      </w:r>
    </w:p>
    <w:p>
      <w:pPr>
        <w:pStyle w:val="BodyText"/>
        <w:spacing w:before="5"/>
      </w:pPr>
    </w:p>
    <w:p>
      <w:pPr>
        <w:pStyle w:val="Heading6"/>
        <w:ind w:left="331"/>
      </w:pPr>
      <w:r>
        <w:rPr>
          <w:spacing w:val="3"/>
          <w:w w:val="134"/>
        </w:rPr>
        <w:t>e</w:t>
      </w:r>
      <w:r>
        <w:rPr>
          <w:spacing w:val="5"/>
          <w:w w:val="136"/>
        </w:rPr>
        <w:t>s</w:t>
      </w:r>
      <w:r>
        <w:rPr>
          <w:spacing w:val="2"/>
          <w:w w:val="140"/>
        </w:rPr>
        <w:t>c</w:t>
      </w:r>
      <w:r>
        <w:rPr>
          <w:spacing w:val="3"/>
          <w:w w:val="140"/>
        </w:rPr>
        <w:t>e</w:t>
      </w:r>
      <w:r>
        <w:rPr>
          <w:spacing w:val="-1"/>
          <w:w w:val="128"/>
        </w:rPr>
        <w:t>n</w:t>
      </w:r>
      <w:r>
        <w:rPr>
          <w:spacing w:val="2"/>
          <w:w w:val="138"/>
        </w:rPr>
        <w:t>ari</w:t>
      </w:r>
      <w:r>
        <w:rPr>
          <w:w w:val="138"/>
        </w:rPr>
        <w:t>o</w:t>
      </w:r>
      <w:r>
        <w:rPr>
          <w:spacing w:val="-8"/>
        </w:rPr>
        <w:t> </w:t>
      </w:r>
      <w:r>
        <w:rPr>
          <w:spacing w:val="2"/>
          <w:w w:val="89"/>
        </w:rPr>
        <w:t>G</w:t>
      </w:r>
      <w:r>
        <w:rPr>
          <w:spacing w:val="1"/>
          <w:w w:val="201"/>
        </w:rPr>
        <w:t>l</w:t>
      </w:r>
      <w:r>
        <w:rPr>
          <w:spacing w:val="2"/>
          <w:w w:val="145"/>
        </w:rPr>
        <w:t>o</w:t>
      </w:r>
      <w:r>
        <w:rPr>
          <w:w w:val="96"/>
        </w:rPr>
        <w:t>B</w:t>
      </w:r>
      <w:r>
        <w:rPr>
          <w:spacing w:val="2"/>
          <w:w w:val="155"/>
        </w:rPr>
        <w:t>a</w:t>
      </w:r>
      <w:r>
        <w:rPr>
          <w:spacing w:val="11"/>
          <w:w w:val="155"/>
        </w:rPr>
        <w:t>l</w:t>
      </w:r>
      <w:r>
        <w:rPr>
          <w:w w:val="78"/>
        </w:rPr>
        <w:t>:</w:t>
      </w:r>
      <w:r>
        <w:rPr>
          <w:spacing w:val="-9"/>
        </w:rPr>
        <w:t> </w:t>
      </w:r>
      <w:r>
        <w:rPr>
          <w:spacing w:val="4"/>
          <w:w w:val="99"/>
        </w:rPr>
        <w:t>P</w:t>
      </w:r>
      <w:r>
        <w:rPr>
          <w:spacing w:val="3"/>
          <w:w w:val="145"/>
        </w:rPr>
        <w:t>o</w:t>
      </w:r>
      <w:r>
        <w:rPr>
          <w:spacing w:val="2"/>
          <w:w w:val="133"/>
        </w:rPr>
        <w:t>si</w:t>
      </w:r>
      <w:r>
        <w:rPr>
          <w:spacing w:val="1"/>
          <w:w w:val="96"/>
        </w:rPr>
        <w:t>B</w:t>
      </w:r>
      <w:r>
        <w:rPr>
          <w:spacing w:val="2"/>
          <w:w w:val="201"/>
        </w:rPr>
        <w:t>l</w:t>
      </w:r>
      <w:r>
        <w:rPr>
          <w:spacing w:val="3"/>
          <w:w w:val="134"/>
        </w:rPr>
        <w:t>e</w:t>
      </w:r>
      <w:r>
        <w:rPr>
          <w:w w:val="136"/>
        </w:rPr>
        <w:t>s</w:t>
      </w:r>
      <w:r>
        <w:rPr>
          <w:spacing w:val="-8"/>
        </w:rPr>
        <w:t> </w:t>
      </w:r>
      <w:r>
        <w:rPr>
          <w:spacing w:val="2"/>
          <w:w w:val="145"/>
        </w:rPr>
        <w:t>o</w:t>
      </w:r>
      <w:r>
        <w:rPr>
          <w:spacing w:val="4"/>
          <w:w w:val="99"/>
        </w:rPr>
        <w:t>P</w:t>
      </w:r>
      <w:r>
        <w:rPr>
          <w:spacing w:val="2"/>
          <w:w w:val="145"/>
        </w:rPr>
        <w:t>o</w:t>
      </w:r>
      <w:r>
        <w:rPr>
          <w:spacing w:val="-1"/>
          <w:w w:val="145"/>
        </w:rPr>
        <w:t>r</w:t>
      </w:r>
      <w:r>
        <w:rPr>
          <w:spacing w:val="3"/>
          <w:w w:val="180"/>
        </w:rPr>
        <w:t>t</w:t>
      </w:r>
      <w:r>
        <w:rPr>
          <w:spacing w:val="2"/>
          <w:w w:val="130"/>
        </w:rPr>
        <w:t>uni</w:t>
      </w:r>
      <w:r>
        <w:rPr>
          <w:spacing w:val="1"/>
          <w:w w:val="130"/>
        </w:rPr>
        <w:t>d</w:t>
      </w:r>
      <w:r>
        <w:rPr>
          <w:spacing w:val="2"/>
          <w:w w:val="131"/>
        </w:rPr>
        <w:t>ad</w:t>
      </w:r>
      <w:r>
        <w:rPr>
          <w:spacing w:val="3"/>
          <w:w w:val="131"/>
        </w:rPr>
        <w:t>e</w:t>
      </w:r>
      <w:r>
        <w:rPr>
          <w:w w:val="136"/>
        </w:rPr>
        <w:t>s</w:t>
      </w:r>
    </w:p>
    <w:p>
      <w:pPr>
        <w:pStyle w:val="BodyText"/>
        <w:spacing w:line="252" w:lineRule="auto" w:before="10"/>
        <w:ind w:left="330" w:right="118"/>
        <w:jc w:val="both"/>
      </w:pPr>
      <w:r>
        <w:rPr>
          <w:w w:val="110"/>
        </w:rPr>
        <w:t>Como resultado de esta crisis se ha percibido un endurecimiento de las posiciones rusas ante Estados unidos y la unión Europea, lo que resulta favorable para el proceso de multipolarización de las relacio- nes internacionales y abre la posibilidad de mayor interacción y</w:t>
      </w:r>
      <w:r>
        <w:rPr>
          <w:spacing w:val="-22"/>
          <w:w w:val="110"/>
        </w:rPr>
        <w:t> </w:t>
      </w:r>
      <w:r>
        <w:rPr>
          <w:w w:val="110"/>
        </w:rPr>
        <w:t>rejue- </w:t>
      </w:r>
      <w:r>
        <w:rPr>
          <w:w w:val="110"/>
        </w:rPr>
        <w:t>go</w:t>
      </w:r>
      <w:r>
        <w:rPr>
          <w:spacing w:val="12"/>
        </w:rPr>
        <w:t> </w:t>
      </w:r>
      <w:r>
        <w:rPr>
          <w:w w:val="110"/>
        </w:rPr>
        <w:t>geopolítico</w:t>
      </w:r>
      <w:r>
        <w:rPr>
          <w:spacing w:val="12"/>
        </w:rPr>
        <w:t> </w:t>
      </w:r>
      <w:r>
        <w:rPr>
          <w:w w:val="112"/>
        </w:rPr>
        <w:t>a</w:t>
      </w:r>
      <w:r>
        <w:rPr>
          <w:spacing w:val="12"/>
        </w:rPr>
        <w:t> </w:t>
      </w:r>
      <w:r>
        <w:rPr>
          <w:w w:val="108"/>
        </w:rPr>
        <w:t>los</w:t>
      </w:r>
      <w:r>
        <w:rPr>
          <w:spacing w:val="12"/>
        </w:rPr>
        <w:t> </w:t>
      </w:r>
      <w:r>
        <w:rPr>
          <w:w w:val="108"/>
        </w:rPr>
        <w:t>países</w:t>
      </w:r>
      <w:r>
        <w:rPr>
          <w:spacing w:val="12"/>
        </w:rPr>
        <w:t> </w:t>
      </w:r>
      <w:r>
        <w:rPr>
          <w:w w:val="107"/>
        </w:rPr>
        <w:t>del</w:t>
      </w:r>
      <w:r>
        <w:rPr>
          <w:spacing w:val="12"/>
        </w:rPr>
        <w:t> </w:t>
      </w:r>
      <w:r>
        <w:rPr>
          <w:spacing w:val="-18"/>
          <w:w w:val="195"/>
        </w:rPr>
        <w:t>t</w:t>
      </w:r>
      <w:r>
        <w:rPr>
          <w:w w:val="107"/>
        </w:rPr>
        <w:t>ercer</w:t>
      </w:r>
      <w:r>
        <w:rPr>
          <w:spacing w:val="12"/>
        </w:rPr>
        <w:t> </w:t>
      </w:r>
      <w:r>
        <w:rPr>
          <w:w w:val="113"/>
        </w:rPr>
        <w:t>Mundo</w:t>
      </w:r>
      <w:r>
        <w:rPr>
          <w:spacing w:val="12"/>
        </w:rPr>
        <w:t> </w:t>
      </w:r>
      <w:r>
        <w:rPr>
          <w:w w:val="105"/>
        </w:rPr>
        <w:t>y</w:t>
      </w:r>
      <w:r>
        <w:rPr>
          <w:spacing w:val="12"/>
        </w:rPr>
        <w:t> </w:t>
      </w:r>
      <w:r>
        <w:rPr>
          <w:w w:val="139"/>
        </w:rPr>
        <w:t>a</w:t>
      </w:r>
      <w:r>
        <w:rPr>
          <w:w w:val="111"/>
        </w:rPr>
        <w:t>mérica</w:t>
      </w:r>
      <w:r>
        <w:rPr>
          <w:spacing w:val="12"/>
        </w:rPr>
        <w:t> </w:t>
      </w:r>
      <w:r>
        <w:rPr>
          <w:w w:val="243"/>
        </w:rPr>
        <w:t>l</w:t>
      </w:r>
      <w:r>
        <w:rPr>
          <w:w w:val="113"/>
        </w:rPr>
        <w:t>atina.</w:t>
      </w:r>
    </w:p>
    <w:p>
      <w:pPr>
        <w:pStyle w:val="BodyText"/>
        <w:spacing w:line="252" w:lineRule="auto"/>
        <w:ind w:left="330" w:right="117" w:firstLine="396"/>
        <w:jc w:val="right"/>
      </w:pPr>
      <w:r>
        <w:rPr>
          <w:w w:val="110"/>
        </w:rPr>
        <w:t>resulta</w:t>
      </w:r>
      <w:r>
        <w:rPr>
          <w:spacing w:val="-11"/>
          <w:w w:val="110"/>
        </w:rPr>
        <w:t> </w:t>
      </w:r>
      <w:r>
        <w:rPr>
          <w:w w:val="110"/>
        </w:rPr>
        <w:t>una</w:t>
      </w:r>
      <w:r>
        <w:rPr>
          <w:spacing w:val="-11"/>
          <w:w w:val="110"/>
        </w:rPr>
        <w:t> </w:t>
      </w:r>
      <w:r>
        <w:rPr>
          <w:w w:val="110"/>
        </w:rPr>
        <w:t>oportunidad</w:t>
      </w:r>
      <w:r>
        <w:rPr>
          <w:spacing w:val="-11"/>
          <w:w w:val="110"/>
        </w:rPr>
        <w:t> </w:t>
      </w:r>
      <w:r>
        <w:rPr>
          <w:w w:val="110"/>
        </w:rPr>
        <w:t>el</w:t>
      </w:r>
      <w:r>
        <w:rPr>
          <w:spacing w:val="-11"/>
          <w:w w:val="110"/>
        </w:rPr>
        <w:t> </w:t>
      </w:r>
      <w:r>
        <w:rPr>
          <w:w w:val="110"/>
        </w:rPr>
        <w:t>nivel</w:t>
      </w:r>
      <w:r>
        <w:rPr>
          <w:spacing w:val="-11"/>
          <w:w w:val="110"/>
        </w:rPr>
        <w:t> </w:t>
      </w:r>
      <w:r>
        <w:rPr>
          <w:w w:val="110"/>
        </w:rPr>
        <w:t>de</w:t>
      </w:r>
      <w:r>
        <w:rPr>
          <w:spacing w:val="-11"/>
          <w:w w:val="110"/>
        </w:rPr>
        <w:t> </w:t>
      </w:r>
      <w:r>
        <w:rPr>
          <w:w w:val="110"/>
        </w:rPr>
        <w:t>consenso</w:t>
      </w:r>
      <w:r>
        <w:rPr>
          <w:spacing w:val="-11"/>
          <w:w w:val="110"/>
        </w:rPr>
        <w:t> </w:t>
      </w:r>
      <w:r>
        <w:rPr>
          <w:w w:val="110"/>
        </w:rPr>
        <w:t>antioccidental</w:t>
      </w:r>
      <w:r>
        <w:rPr>
          <w:spacing w:val="-11"/>
          <w:w w:val="110"/>
        </w:rPr>
        <w:t> </w:t>
      </w:r>
      <w:r>
        <w:rPr>
          <w:w w:val="110"/>
        </w:rPr>
        <w:t>que</w:t>
      </w:r>
      <w:r>
        <w:rPr>
          <w:spacing w:val="-11"/>
          <w:w w:val="110"/>
        </w:rPr>
        <w:t> </w:t>
      </w:r>
      <w:r>
        <w:rPr>
          <w:w w:val="110"/>
        </w:rPr>
        <w:t>se</w:t>
      </w:r>
      <w:r>
        <w:rPr>
          <w:spacing w:val="-2"/>
          <w:w w:val="105"/>
        </w:rPr>
        <w:t> </w:t>
      </w:r>
      <w:r>
        <w:rPr>
          <w:w w:val="110"/>
        </w:rPr>
        <w:t>ha impuesto en la élite rusa, lo que hará más previsible y estable</w:t>
      </w:r>
      <w:r>
        <w:rPr>
          <w:spacing w:val="10"/>
          <w:w w:val="110"/>
        </w:rPr>
        <w:t> </w:t>
      </w:r>
      <w:r>
        <w:rPr>
          <w:w w:val="110"/>
        </w:rPr>
        <w:t>la re-</w:t>
      </w:r>
      <w:r>
        <w:rPr>
          <w:w w:val="102"/>
        </w:rPr>
        <w:t> </w:t>
      </w:r>
      <w:r>
        <w:rPr>
          <w:spacing w:val="-2"/>
          <w:w w:val="112"/>
        </w:rPr>
        <w:t>lació</w:t>
      </w:r>
      <w:r>
        <w:rPr>
          <w:w w:val="112"/>
        </w:rPr>
        <w:t>n</w:t>
      </w:r>
      <w:r>
        <w:rPr>
          <w:spacing w:val="7"/>
        </w:rPr>
        <w:t> </w:t>
      </w:r>
      <w:r>
        <w:rPr>
          <w:spacing w:val="-2"/>
          <w:w w:val="108"/>
        </w:rPr>
        <w:t>estratégic</w:t>
      </w:r>
      <w:r>
        <w:rPr>
          <w:w w:val="108"/>
        </w:rPr>
        <w:t>a</w:t>
      </w:r>
      <w:r>
        <w:rPr>
          <w:spacing w:val="7"/>
        </w:rPr>
        <w:t> </w:t>
      </w:r>
      <w:r>
        <w:rPr>
          <w:spacing w:val="-2"/>
          <w:w w:val="107"/>
        </w:rPr>
        <w:t>d</w:t>
      </w:r>
      <w:r>
        <w:rPr>
          <w:w w:val="107"/>
        </w:rPr>
        <w:t>e</w:t>
      </w:r>
      <w:r>
        <w:rPr>
          <w:spacing w:val="7"/>
        </w:rPr>
        <w:t> </w:t>
      </w:r>
      <w:r>
        <w:rPr>
          <w:spacing w:val="-2"/>
          <w:w w:val="110"/>
        </w:rPr>
        <w:t>vínculo</w:t>
      </w:r>
      <w:r>
        <w:rPr>
          <w:w w:val="110"/>
        </w:rPr>
        <w:t>s</w:t>
      </w:r>
      <w:r>
        <w:rPr>
          <w:spacing w:val="7"/>
        </w:rPr>
        <w:t> </w:t>
      </w:r>
      <w:r>
        <w:rPr>
          <w:spacing w:val="-2"/>
          <w:w w:val="107"/>
        </w:rPr>
        <w:t>d</w:t>
      </w:r>
      <w:r>
        <w:rPr>
          <w:w w:val="107"/>
        </w:rPr>
        <w:t>e</w:t>
      </w:r>
      <w:r>
        <w:rPr>
          <w:spacing w:val="7"/>
        </w:rPr>
        <w:t> </w:t>
      </w:r>
      <w:r>
        <w:rPr>
          <w:spacing w:val="-2"/>
          <w:w w:val="139"/>
        </w:rPr>
        <w:t>a</w:t>
      </w:r>
      <w:r>
        <w:rPr>
          <w:spacing w:val="-2"/>
          <w:w w:val="111"/>
        </w:rPr>
        <w:t>méric</w:t>
      </w:r>
      <w:r>
        <w:rPr>
          <w:w w:val="111"/>
        </w:rPr>
        <w:t>a</w:t>
      </w:r>
      <w:r>
        <w:rPr>
          <w:spacing w:val="7"/>
        </w:rPr>
        <w:t> </w:t>
      </w:r>
      <w:r>
        <w:rPr>
          <w:spacing w:val="-2"/>
          <w:w w:val="243"/>
        </w:rPr>
        <w:t>l</w:t>
      </w:r>
      <w:r>
        <w:rPr>
          <w:spacing w:val="-2"/>
          <w:w w:val="111"/>
        </w:rPr>
        <w:t>atin</w:t>
      </w:r>
      <w:r>
        <w:rPr>
          <w:w w:val="111"/>
        </w:rPr>
        <w:t>a</w:t>
      </w:r>
      <w:r>
        <w:rPr>
          <w:spacing w:val="7"/>
        </w:rPr>
        <w:t> </w:t>
      </w:r>
      <w:r>
        <w:rPr>
          <w:w w:val="105"/>
        </w:rPr>
        <w:t>y</w:t>
      </w:r>
      <w:r>
        <w:rPr>
          <w:spacing w:val="7"/>
        </w:rPr>
        <w:t> </w:t>
      </w:r>
      <w:r>
        <w:rPr>
          <w:spacing w:val="-2"/>
          <w:w w:val="107"/>
        </w:rPr>
        <w:t>d</w:t>
      </w:r>
      <w:r>
        <w:rPr>
          <w:w w:val="107"/>
        </w:rPr>
        <w:t>e</w:t>
      </w:r>
      <w:r>
        <w:rPr>
          <w:spacing w:val="7"/>
        </w:rPr>
        <w:t> </w:t>
      </w:r>
      <w:r>
        <w:rPr>
          <w:spacing w:val="-2"/>
          <w:w w:val="115"/>
        </w:rPr>
        <w:t>Cub</w:t>
      </w:r>
      <w:r>
        <w:rPr>
          <w:w w:val="115"/>
        </w:rPr>
        <w:t>a</w:t>
      </w:r>
      <w:r>
        <w:rPr>
          <w:spacing w:val="7"/>
        </w:rPr>
        <w:t> </w:t>
      </w:r>
      <w:r>
        <w:rPr>
          <w:spacing w:val="-2"/>
          <w:w w:val="112"/>
        </w:rPr>
        <w:t>co</w:t>
      </w:r>
      <w:r>
        <w:rPr>
          <w:w w:val="112"/>
        </w:rPr>
        <w:t>n</w:t>
      </w:r>
      <w:r>
        <w:rPr>
          <w:spacing w:val="7"/>
        </w:rPr>
        <w:t> </w:t>
      </w:r>
      <w:r>
        <w:rPr>
          <w:spacing w:val="-2"/>
          <w:w w:val="115"/>
        </w:rPr>
        <w:t>Moscú. </w:t>
      </w:r>
      <w:r>
        <w:rPr>
          <w:w w:val="110"/>
        </w:rPr>
        <w:t>Existen posibilidades reales del mando político ruso</w:t>
      </w:r>
      <w:r>
        <w:rPr>
          <w:spacing w:val="40"/>
          <w:w w:val="110"/>
        </w:rPr>
        <w:t> </w:t>
      </w:r>
      <w:r>
        <w:rPr>
          <w:w w:val="110"/>
        </w:rPr>
        <w:t>de</w:t>
      </w:r>
      <w:r>
        <w:rPr>
          <w:spacing w:val="12"/>
          <w:w w:val="110"/>
        </w:rPr>
        <w:t> </w:t>
      </w:r>
      <w:r>
        <w:rPr>
          <w:w w:val="110"/>
        </w:rPr>
        <w:t>indepen-</w:t>
      </w:r>
      <w:r>
        <w:rPr>
          <w:w w:val="102"/>
        </w:rPr>
        <w:t> </w:t>
      </w:r>
      <w:r>
        <w:rPr>
          <w:w w:val="110"/>
        </w:rPr>
        <w:t>dizar las proyecciones estatales de los intereses cortoplacistas,</w:t>
      </w:r>
      <w:r>
        <w:rPr>
          <w:spacing w:val="26"/>
          <w:w w:val="110"/>
        </w:rPr>
        <w:t> </w:t>
      </w:r>
      <w:r>
        <w:rPr>
          <w:w w:val="110"/>
        </w:rPr>
        <w:t>de</w:t>
      </w:r>
      <w:r>
        <w:rPr>
          <w:spacing w:val="9"/>
          <w:w w:val="110"/>
        </w:rPr>
        <w:t> </w:t>
      </w:r>
      <w:r>
        <w:rPr>
          <w:w w:val="110"/>
        </w:rPr>
        <w:t>los</w:t>
      </w:r>
      <w:r>
        <w:rPr>
          <w:w w:val="108"/>
        </w:rPr>
        <w:t> </w:t>
      </w:r>
      <w:r>
        <w:rPr>
          <w:w w:val="110"/>
        </w:rPr>
        <w:t>más</w:t>
      </w:r>
      <w:r>
        <w:rPr>
          <w:spacing w:val="38"/>
          <w:w w:val="110"/>
        </w:rPr>
        <w:t> </w:t>
      </w:r>
      <w:r>
        <w:rPr>
          <w:w w:val="110"/>
        </w:rPr>
        <w:t>importantes</w:t>
      </w:r>
      <w:r>
        <w:rPr>
          <w:spacing w:val="38"/>
          <w:w w:val="110"/>
        </w:rPr>
        <w:t> </w:t>
      </w:r>
      <w:r>
        <w:rPr>
          <w:w w:val="110"/>
        </w:rPr>
        <w:t>grupos</w:t>
      </w:r>
      <w:r>
        <w:rPr>
          <w:spacing w:val="38"/>
          <w:w w:val="110"/>
        </w:rPr>
        <w:t> </w:t>
      </w:r>
      <w:r>
        <w:rPr>
          <w:w w:val="110"/>
        </w:rPr>
        <w:t>de</w:t>
      </w:r>
      <w:r>
        <w:rPr>
          <w:spacing w:val="38"/>
          <w:w w:val="110"/>
        </w:rPr>
        <w:t> </w:t>
      </w:r>
      <w:r>
        <w:rPr>
          <w:w w:val="110"/>
        </w:rPr>
        <w:t>poder</w:t>
      </w:r>
      <w:r>
        <w:rPr>
          <w:spacing w:val="38"/>
          <w:w w:val="110"/>
        </w:rPr>
        <w:t> </w:t>
      </w:r>
      <w:r>
        <w:rPr>
          <w:w w:val="110"/>
        </w:rPr>
        <w:t>económicos,</w:t>
      </w:r>
      <w:r>
        <w:rPr>
          <w:spacing w:val="38"/>
          <w:w w:val="110"/>
        </w:rPr>
        <w:t> </w:t>
      </w:r>
      <w:r>
        <w:rPr>
          <w:w w:val="110"/>
        </w:rPr>
        <w:t>tanto</w:t>
      </w:r>
      <w:r>
        <w:rPr>
          <w:spacing w:val="38"/>
          <w:w w:val="110"/>
        </w:rPr>
        <w:t> </w:t>
      </w:r>
      <w:r>
        <w:rPr>
          <w:w w:val="110"/>
        </w:rPr>
        <w:t>los</w:t>
      </w:r>
      <w:r>
        <w:rPr>
          <w:spacing w:val="38"/>
          <w:w w:val="110"/>
        </w:rPr>
        <w:t> </w:t>
      </w:r>
      <w:r>
        <w:rPr>
          <w:w w:val="110"/>
        </w:rPr>
        <w:t>de</w:t>
      </w:r>
      <w:r>
        <w:rPr>
          <w:spacing w:val="38"/>
          <w:w w:val="110"/>
        </w:rPr>
        <w:t> </w:t>
      </w:r>
      <w:r>
        <w:rPr>
          <w:w w:val="110"/>
        </w:rPr>
        <w:t>capital</w:t>
      </w:r>
      <w:r>
        <w:rPr>
          <w:w w:val="111"/>
        </w:rPr>
        <w:t> </w:t>
      </w:r>
      <w:r>
        <w:rPr>
          <w:w w:val="110"/>
        </w:rPr>
        <w:t>privado</w:t>
      </w:r>
      <w:r>
        <w:rPr>
          <w:spacing w:val="19"/>
          <w:w w:val="110"/>
        </w:rPr>
        <w:t> </w:t>
      </w:r>
      <w:r>
        <w:rPr>
          <w:w w:val="110"/>
        </w:rPr>
        <w:t>como</w:t>
      </w:r>
      <w:r>
        <w:rPr>
          <w:spacing w:val="19"/>
          <w:w w:val="110"/>
        </w:rPr>
        <w:t> </w:t>
      </w:r>
      <w:r>
        <w:rPr>
          <w:w w:val="110"/>
        </w:rPr>
        <w:t>los</w:t>
      </w:r>
      <w:r>
        <w:rPr>
          <w:spacing w:val="19"/>
          <w:w w:val="110"/>
        </w:rPr>
        <w:t> </w:t>
      </w:r>
      <w:r>
        <w:rPr>
          <w:w w:val="110"/>
        </w:rPr>
        <w:t>de</w:t>
      </w:r>
      <w:r>
        <w:rPr>
          <w:spacing w:val="19"/>
          <w:w w:val="110"/>
        </w:rPr>
        <w:t> </w:t>
      </w:r>
      <w:r>
        <w:rPr>
          <w:w w:val="110"/>
        </w:rPr>
        <w:t>subordinación</w:t>
      </w:r>
      <w:r>
        <w:rPr>
          <w:spacing w:val="19"/>
          <w:w w:val="110"/>
        </w:rPr>
        <w:t> </w:t>
      </w:r>
      <w:r>
        <w:rPr>
          <w:w w:val="110"/>
        </w:rPr>
        <w:t>estatal,</w:t>
      </w:r>
      <w:r>
        <w:rPr>
          <w:spacing w:val="19"/>
          <w:w w:val="110"/>
        </w:rPr>
        <w:t> </w:t>
      </w:r>
      <w:r>
        <w:rPr>
          <w:w w:val="110"/>
        </w:rPr>
        <w:t>que</w:t>
      </w:r>
      <w:r>
        <w:rPr>
          <w:spacing w:val="19"/>
          <w:w w:val="110"/>
        </w:rPr>
        <w:t> </w:t>
      </w:r>
      <w:r>
        <w:rPr>
          <w:w w:val="110"/>
        </w:rPr>
        <w:t>han</w:t>
      </w:r>
      <w:r>
        <w:rPr>
          <w:spacing w:val="19"/>
          <w:w w:val="110"/>
        </w:rPr>
        <w:t> </w:t>
      </w:r>
      <w:r>
        <w:rPr>
          <w:w w:val="110"/>
        </w:rPr>
        <w:t>marcado</w:t>
      </w:r>
      <w:r>
        <w:rPr>
          <w:spacing w:val="19"/>
          <w:w w:val="110"/>
        </w:rPr>
        <w:t> </w:t>
      </w:r>
      <w:r>
        <w:rPr>
          <w:w w:val="110"/>
        </w:rPr>
        <w:t>los</w:t>
      </w:r>
      <w:r>
        <w:rPr>
          <w:spacing w:val="19"/>
          <w:w w:val="110"/>
        </w:rPr>
        <w:t> </w:t>
      </w:r>
      <w:r>
        <w:rPr>
          <w:w w:val="110"/>
        </w:rPr>
        <w:t>de-</w:t>
      </w:r>
    </w:p>
    <w:p>
      <w:pPr>
        <w:pStyle w:val="BodyText"/>
        <w:ind w:left="330"/>
        <w:jc w:val="both"/>
      </w:pPr>
      <w:r>
        <w:rPr>
          <w:w w:val="115"/>
        </w:rPr>
        <w:t>rroteros de rusia.</w:t>
      </w:r>
    </w:p>
    <w:p>
      <w:pPr>
        <w:pStyle w:val="BodyText"/>
        <w:spacing w:line="252" w:lineRule="auto" w:before="11"/>
        <w:ind w:left="330" w:right="118" w:firstLine="396"/>
        <w:jc w:val="right"/>
      </w:pPr>
      <w:r>
        <w:rPr>
          <w:w w:val="110"/>
        </w:rPr>
        <w:t>Hasta ahora, en el corto plazo, se percibe un fortalecimiento de la</w:t>
      </w:r>
      <w:r>
        <w:rPr>
          <w:w w:val="111"/>
        </w:rPr>
        <w:t> </w:t>
      </w:r>
      <w:r>
        <w:rPr>
          <w:w w:val="110"/>
        </w:rPr>
        <w:t>alianza rusia-China y mayores acciones para enfrentar a occidente,</w:t>
      </w:r>
      <w:r>
        <w:rPr>
          <w:w w:val="111"/>
        </w:rPr>
        <w:t> </w:t>
      </w:r>
      <w:r>
        <w:rPr>
          <w:w w:val="110"/>
        </w:rPr>
        <w:t>aunque en el caso chino priorizan la política de no conflicto con Esta-</w:t>
      </w:r>
      <w:r>
        <w:rPr>
          <w:w w:val="102"/>
        </w:rPr>
        <w:t> </w:t>
      </w:r>
      <w:r>
        <w:rPr>
          <w:w w:val="110"/>
        </w:rPr>
        <w:t>dos unidos y la posibilidad de un ganar-ganar en la relación bilateral.</w:t>
      </w:r>
      <w:r>
        <w:rPr>
          <w:w w:val="111"/>
        </w:rPr>
        <w:t> </w:t>
      </w:r>
      <w:r>
        <w:rPr>
          <w:w w:val="110"/>
        </w:rPr>
        <w:t>Moscú  y  Pekín  aceleran  su  convergencia  estratégica fomentan-</w:t>
      </w:r>
    </w:p>
    <w:p>
      <w:pPr>
        <w:pStyle w:val="BodyText"/>
        <w:spacing w:line="252" w:lineRule="auto"/>
        <w:ind w:left="330" w:right="118"/>
        <w:jc w:val="both"/>
      </w:pPr>
      <w:r>
        <w:rPr>
          <w:w w:val="110"/>
        </w:rPr>
        <w:t>do una interdependencia asimétrica que, de mantenerse las actuales </w:t>
      </w:r>
      <w:r>
        <w:rPr>
          <w:w w:val="110"/>
        </w:rPr>
        <w:t>tendencias,</w:t>
      </w:r>
      <w:r>
        <w:rPr/>
        <w:t> </w:t>
      </w:r>
      <w:r>
        <w:rPr>
          <w:spacing w:val="2"/>
        </w:rPr>
        <w:t> </w:t>
      </w:r>
      <w:r>
        <w:rPr>
          <w:w w:val="108"/>
        </w:rPr>
        <w:t>puede</w:t>
      </w:r>
      <w:r>
        <w:rPr/>
        <w:t> </w:t>
      </w:r>
      <w:r>
        <w:rPr>
          <w:spacing w:val="2"/>
        </w:rPr>
        <w:t> </w:t>
      </w:r>
      <w:r>
        <w:rPr>
          <w:w w:val="108"/>
        </w:rPr>
        <w:t>crecer</w:t>
      </w:r>
      <w:r>
        <w:rPr/>
        <w:t> </w:t>
      </w:r>
      <w:r>
        <w:rPr>
          <w:spacing w:val="2"/>
        </w:rPr>
        <w:t> </w:t>
      </w:r>
      <w:r>
        <w:rPr>
          <w:w w:val="108"/>
        </w:rPr>
        <w:t>en</w:t>
      </w:r>
      <w:r>
        <w:rPr/>
        <w:t> </w:t>
      </w:r>
      <w:r>
        <w:rPr>
          <w:spacing w:val="2"/>
        </w:rPr>
        <w:t> </w:t>
      </w:r>
      <w:r>
        <w:rPr>
          <w:w w:val="107"/>
        </w:rPr>
        <w:t>el</w:t>
      </w:r>
      <w:r>
        <w:rPr/>
        <w:t> </w:t>
      </w:r>
      <w:r>
        <w:rPr>
          <w:spacing w:val="2"/>
        </w:rPr>
        <w:t> </w:t>
      </w:r>
      <w:r>
        <w:rPr>
          <w:w w:val="113"/>
        </w:rPr>
        <w:t>futuro.</w:t>
      </w:r>
      <w:r>
        <w:rPr/>
        <w:t> </w:t>
      </w:r>
      <w:r>
        <w:rPr>
          <w:spacing w:val="2"/>
        </w:rPr>
        <w:t> </w:t>
      </w:r>
      <w:r>
        <w:rPr>
          <w:w w:val="243"/>
        </w:rPr>
        <w:t>l</w:t>
      </w:r>
      <w:r>
        <w:rPr>
          <w:w w:val="109"/>
        </w:rPr>
        <w:t>as</w:t>
      </w:r>
      <w:r>
        <w:rPr/>
        <w:t> </w:t>
      </w:r>
      <w:r>
        <w:rPr>
          <w:spacing w:val="2"/>
        </w:rPr>
        <w:t> </w:t>
      </w:r>
      <w:r>
        <w:rPr>
          <w:w w:val="111"/>
        </w:rPr>
        <w:t>acciones</w:t>
      </w:r>
      <w:r>
        <w:rPr/>
        <w:t> </w:t>
      </w:r>
      <w:r>
        <w:rPr>
          <w:spacing w:val="2"/>
        </w:rPr>
        <w:t> </w:t>
      </w:r>
      <w:r>
        <w:rPr>
          <w:w w:val="107"/>
        </w:rPr>
        <w:t>de</w:t>
      </w:r>
      <w:r>
        <w:rPr/>
        <w:t> </w:t>
      </w:r>
      <w:r>
        <w:rPr>
          <w:spacing w:val="2"/>
        </w:rPr>
        <w:t> </w:t>
      </w:r>
      <w:r>
        <w:rPr>
          <w:w w:val="182"/>
        </w:rPr>
        <w:t>r</w:t>
      </w:r>
      <w:r>
        <w:rPr>
          <w:w w:val="111"/>
        </w:rPr>
        <w:t>usia</w:t>
      </w:r>
      <w:r>
        <w:rPr/>
        <w:t> </w:t>
      </w:r>
      <w:r>
        <w:rPr>
          <w:spacing w:val="2"/>
        </w:rPr>
        <w:t> </w:t>
      </w:r>
      <w:r>
        <w:rPr>
          <w:w w:val="108"/>
        </w:rPr>
        <w:t>en</w:t>
      </w:r>
      <w:r>
        <w:rPr/>
        <w:t> </w:t>
      </w:r>
      <w:r>
        <w:rPr>
          <w:spacing w:val="2"/>
        </w:rPr>
        <w:t> </w:t>
      </w:r>
      <w:r>
        <w:rPr>
          <w:w w:val="107"/>
        </w:rPr>
        <w:t>el </w:t>
      </w:r>
      <w:r>
        <w:rPr>
          <w:w w:val="110"/>
        </w:rPr>
        <w:t>espacio postsoviético, </w:t>
      </w:r>
      <w:r>
        <w:rPr>
          <w:spacing w:val="-3"/>
          <w:w w:val="110"/>
        </w:rPr>
        <w:t>turquía, </w:t>
      </w:r>
      <w:r>
        <w:rPr>
          <w:w w:val="110"/>
        </w:rPr>
        <w:t>irán, india y en el resto de asia, si son eficaces, ayudan al proceso de multipolarización en curso y crearán constelaciones de poder diferentes, incluyendo el fortalecimiento de la  organización  de  shanghai.</w:t>
      </w:r>
    </w:p>
    <w:p>
      <w:pPr>
        <w:pStyle w:val="BodyText"/>
        <w:spacing w:line="252" w:lineRule="auto"/>
        <w:ind w:left="330" w:right="118" w:firstLine="396"/>
        <w:jc w:val="both"/>
      </w:pPr>
      <w:r>
        <w:rPr>
          <w:w w:val="243"/>
        </w:rPr>
        <w:t>l</w:t>
      </w:r>
      <w:r>
        <w:rPr>
          <w:w w:val="108"/>
        </w:rPr>
        <w:t>os</w:t>
      </w:r>
      <w:r>
        <w:rPr/>
        <w:t> </w:t>
      </w:r>
      <w:r>
        <w:rPr>
          <w:spacing w:val="-19"/>
        </w:rPr>
        <w:t> </w:t>
      </w:r>
      <w:r>
        <w:rPr>
          <w:w w:val="110"/>
        </w:rPr>
        <w:t>actuales</w:t>
      </w:r>
      <w:r>
        <w:rPr/>
        <w:t> </w:t>
      </w:r>
      <w:r>
        <w:rPr>
          <w:spacing w:val="-19"/>
        </w:rPr>
        <w:t> </w:t>
      </w:r>
      <w:r>
        <w:rPr>
          <w:w w:val="110"/>
        </w:rPr>
        <w:t>acontecimientos</w:t>
      </w:r>
      <w:r>
        <w:rPr/>
        <w:t> </w:t>
      </w:r>
      <w:r>
        <w:rPr>
          <w:spacing w:val="-19"/>
        </w:rPr>
        <w:t> </w:t>
      </w:r>
      <w:r>
        <w:rPr>
          <w:w w:val="109"/>
        </w:rPr>
        <w:t>aceleran</w:t>
      </w:r>
      <w:r>
        <w:rPr/>
        <w:t> </w:t>
      </w:r>
      <w:r>
        <w:rPr>
          <w:spacing w:val="-19"/>
        </w:rPr>
        <w:t> </w:t>
      </w:r>
      <w:r>
        <w:rPr>
          <w:w w:val="107"/>
        </w:rPr>
        <w:t>el</w:t>
      </w:r>
      <w:r>
        <w:rPr/>
        <w:t> </w:t>
      </w:r>
      <w:r>
        <w:rPr>
          <w:spacing w:val="-19"/>
        </w:rPr>
        <w:t> </w:t>
      </w:r>
      <w:r>
        <w:rPr>
          <w:w w:val="108"/>
        </w:rPr>
        <w:t>proceso</w:t>
      </w:r>
      <w:r>
        <w:rPr/>
        <w:t> </w:t>
      </w:r>
      <w:r>
        <w:rPr>
          <w:spacing w:val="-19"/>
        </w:rPr>
        <w:t> </w:t>
      </w:r>
      <w:r>
        <w:rPr>
          <w:w w:val="107"/>
        </w:rPr>
        <w:t>de</w:t>
      </w:r>
      <w:r>
        <w:rPr/>
        <w:t> </w:t>
      </w:r>
      <w:r>
        <w:rPr>
          <w:spacing w:val="-19"/>
        </w:rPr>
        <w:t> </w:t>
      </w:r>
      <w:r>
        <w:rPr>
          <w:w w:val="110"/>
        </w:rPr>
        <w:t>integración </w:t>
      </w:r>
      <w:r>
        <w:rPr>
          <w:w w:val="115"/>
        </w:rPr>
        <w:t>euroasiática</w:t>
      </w:r>
      <w:r>
        <w:rPr>
          <w:spacing w:val="-8"/>
          <w:w w:val="115"/>
        </w:rPr>
        <w:t> </w:t>
      </w:r>
      <w:r>
        <w:rPr>
          <w:w w:val="115"/>
        </w:rPr>
        <w:t>con</w:t>
      </w:r>
      <w:r>
        <w:rPr>
          <w:spacing w:val="-8"/>
          <w:w w:val="115"/>
        </w:rPr>
        <w:t> </w:t>
      </w:r>
      <w:r>
        <w:rPr>
          <w:w w:val="115"/>
        </w:rPr>
        <w:t>la</w:t>
      </w:r>
      <w:r>
        <w:rPr>
          <w:spacing w:val="-8"/>
          <w:w w:val="115"/>
        </w:rPr>
        <w:t> </w:t>
      </w:r>
      <w:r>
        <w:rPr>
          <w:w w:val="115"/>
        </w:rPr>
        <w:t>consolidación</w:t>
      </w:r>
      <w:r>
        <w:rPr>
          <w:spacing w:val="-8"/>
          <w:w w:val="115"/>
        </w:rPr>
        <w:t> </w:t>
      </w:r>
      <w:r>
        <w:rPr>
          <w:w w:val="115"/>
        </w:rPr>
        <w:t>de</w:t>
      </w:r>
      <w:r>
        <w:rPr>
          <w:spacing w:val="-8"/>
          <w:w w:val="115"/>
        </w:rPr>
        <w:t> </w:t>
      </w:r>
      <w:r>
        <w:rPr>
          <w:w w:val="115"/>
        </w:rPr>
        <w:t>la</w:t>
      </w:r>
      <w:r>
        <w:rPr>
          <w:spacing w:val="-8"/>
          <w:w w:val="115"/>
        </w:rPr>
        <w:t> </w:t>
      </w:r>
      <w:r>
        <w:rPr>
          <w:w w:val="115"/>
        </w:rPr>
        <w:t>unión</w:t>
      </w:r>
      <w:r>
        <w:rPr>
          <w:spacing w:val="-8"/>
          <w:w w:val="115"/>
        </w:rPr>
        <w:t> </w:t>
      </w:r>
      <w:r>
        <w:rPr>
          <w:w w:val="115"/>
        </w:rPr>
        <w:t>Económica</w:t>
      </w:r>
      <w:r>
        <w:rPr>
          <w:spacing w:val="-8"/>
          <w:w w:val="115"/>
        </w:rPr>
        <w:t> </w:t>
      </w:r>
      <w:r>
        <w:rPr>
          <w:w w:val="115"/>
        </w:rPr>
        <w:t>Euroasiáti- ca.</w:t>
      </w:r>
      <w:r>
        <w:rPr>
          <w:spacing w:val="-15"/>
          <w:w w:val="115"/>
        </w:rPr>
        <w:t> </w:t>
      </w:r>
      <w:r>
        <w:rPr>
          <w:w w:val="115"/>
        </w:rPr>
        <w:t>Ésta,</w:t>
      </w:r>
      <w:r>
        <w:rPr>
          <w:spacing w:val="-15"/>
          <w:w w:val="115"/>
        </w:rPr>
        <w:t> </w:t>
      </w:r>
      <w:r>
        <w:rPr>
          <w:w w:val="115"/>
        </w:rPr>
        <w:t>si</w:t>
      </w:r>
      <w:r>
        <w:rPr>
          <w:spacing w:val="-15"/>
          <w:w w:val="115"/>
        </w:rPr>
        <w:t> </w:t>
      </w:r>
      <w:r>
        <w:rPr>
          <w:w w:val="115"/>
        </w:rPr>
        <w:t>bien</w:t>
      </w:r>
      <w:r>
        <w:rPr>
          <w:spacing w:val="-15"/>
          <w:w w:val="115"/>
        </w:rPr>
        <w:t> </w:t>
      </w:r>
      <w:r>
        <w:rPr>
          <w:w w:val="115"/>
        </w:rPr>
        <w:t>se</w:t>
      </w:r>
      <w:r>
        <w:rPr>
          <w:spacing w:val="-15"/>
          <w:w w:val="115"/>
        </w:rPr>
        <w:t> </w:t>
      </w:r>
      <w:r>
        <w:rPr>
          <w:w w:val="115"/>
        </w:rPr>
        <w:t>enmarca</w:t>
      </w:r>
      <w:r>
        <w:rPr>
          <w:spacing w:val="-15"/>
          <w:w w:val="115"/>
        </w:rPr>
        <w:t> </w:t>
      </w:r>
      <w:r>
        <w:rPr>
          <w:w w:val="115"/>
        </w:rPr>
        <w:t>en</w:t>
      </w:r>
      <w:r>
        <w:rPr>
          <w:spacing w:val="-15"/>
          <w:w w:val="115"/>
        </w:rPr>
        <w:t> </w:t>
      </w:r>
      <w:r>
        <w:rPr>
          <w:w w:val="115"/>
        </w:rPr>
        <w:t>la</w:t>
      </w:r>
      <w:r>
        <w:rPr>
          <w:spacing w:val="-15"/>
          <w:w w:val="115"/>
        </w:rPr>
        <w:t> </w:t>
      </w:r>
      <w:r>
        <w:rPr>
          <w:w w:val="115"/>
        </w:rPr>
        <w:t>regionalización</w:t>
      </w:r>
      <w:r>
        <w:rPr>
          <w:spacing w:val="-15"/>
          <w:w w:val="115"/>
        </w:rPr>
        <w:t> </w:t>
      </w:r>
      <w:r>
        <w:rPr>
          <w:w w:val="115"/>
        </w:rPr>
        <w:t>inherente</w:t>
      </w:r>
      <w:r>
        <w:rPr>
          <w:spacing w:val="-15"/>
          <w:w w:val="115"/>
        </w:rPr>
        <w:t> </w:t>
      </w:r>
      <w:r>
        <w:rPr>
          <w:w w:val="115"/>
        </w:rPr>
        <w:t>a</w:t>
      </w:r>
      <w:r>
        <w:rPr>
          <w:spacing w:val="-15"/>
          <w:w w:val="115"/>
        </w:rPr>
        <w:t> </w:t>
      </w:r>
      <w:r>
        <w:rPr>
          <w:w w:val="115"/>
        </w:rPr>
        <w:t>la</w:t>
      </w:r>
      <w:r>
        <w:rPr>
          <w:spacing w:val="-15"/>
          <w:w w:val="115"/>
        </w:rPr>
        <w:t> </w:t>
      </w:r>
      <w:r>
        <w:rPr>
          <w:w w:val="115"/>
        </w:rPr>
        <w:t>trans- nacionalización</w:t>
      </w:r>
      <w:r>
        <w:rPr>
          <w:spacing w:val="-15"/>
          <w:w w:val="115"/>
        </w:rPr>
        <w:t> </w:t>
      </w:r>
      <w:r>
        <w:rPr>
          <w:w w:val="115"/>
        </w:rPr>
        <w:t>global,</w:t>
      </w:r>
      <w:r>
        <w:rPr>
          <w:spacing w:val="-15"/>
          <w:w w:val="115"/>
        </w:rPr>
        <w:t> </w:t>
      </w:r>
      <w:r>
        <w:rPr>
          <w:w w:val="115"/>
        </w:rPr>
        <w:t>limita</w:t>
      </w:r>
      <w:r>
        <w:rPr>
          <w:spacing w:val="-15"/>
          <w:w w:val="115"/>
        </w:rPr>
        <w:t> </w:t>
      </w:r>
      <w:r>
        <w:rPr>
          <w:w w:val="115"/>
        </w:rPr>
        <w:t>el</w:t>
      </w:r>
      <w:r>
        <w:rPr>
          <w:spacing w:val="-15"/>
          <w:w w:val="115"/>
        </w:rPr>
        <w:t> </w:t>
      </w:r>
      <w:r>
        <w:rPr>
          <w:w w:val="115"/>
        </w:rPr>
        <w:t>alcance</w:t>
      </w:r>
      <w:r>
        <w:rPr>
          <w:spacing w:val="-15"/>
          <w:w w:val="115"/>
        </w:rPr>
        <w:t> </w:t>
      </w:r>
      <w:r>
        <w:rPr>
          <w:w w:val="115"/>
        </w:rPr>
        <w:t>de</w:t>
      </w:r>
      <w:r>
        <w:rPr>
          <w:spacing w:val="-15"/>
          <w:w w:val="115"/>
        </w:rPr>
        <w:t> </w:t>
      </w:r>
      <w:r>
        <w:rPr>
          <w:w w:val="115"/>
        </w:rPr>
        <w:t>las</w:t>
      </w:r>
      <w:r>
        <w:rPr>
          <w:spacing w:val="-15"/>
          <w:w w:val="115"/>
        </w:rPr>
        <w:t> </w:t>
      </w:r>
      <w:r>
        <w:rPr>
          <w:w w:val="115"/>
        </w:rPr>
        <w:t>estrategias</w:t>
      </w:r>
      <w:r>
        <w:rPr>
          <w:spacing w:val="-15"/>
          <w:w w:val="115"/>
        </w:rPr>
        <w:t> </w:t>
      </w:r>
      <w:r>
        <w:rPr>
          <w:w w:val="115"/>
        </w:rPr>
        <w:t>de</w:t>
      </w:r>
      <w:r>
        <w:rPr>
          <w:spacing w:val="-15"/>
          <w:w w:val="115"/>
        </w:rPr>
        <w:t> </w:t>
      </w:r>
      <w:r>
        <w:rPr>
          <w:w w:val="115"/>
        </w:rPr>
        <w:t>Estados unidos y la </w:t>
      </w:r>
      <w:r>
        <w:rPr>
          <w:spacing w:val="20"/>
          <w:w w:val="115"/>
        </w:rPr>
        <w:t> </w:t>
      </w:r>
      <w:r>
        <w:rPr>
          <w:spacing w:val="-3"/>
          <w:w w:val="130"/>
        </w:rPr>
        <w:t>otaN.</w:t>
      </w:r>
    </w:p>
    <w:p>
      <w:pPr>
        <w:pStyle w:val="BodyText"/>
        <w:spacing w:line="252" w:lineRule="auto"/>
        <w:ind w:left="330" w:right="118" w:firstLine="396"/>
        <w:jc w:val="both"/>
      </w:pPr>
      <w:r>
        <w:rPr>
          <w:w w:val="243"/>
        </w:rPr>
        <w:t>l</w:t>
      </w:r>
      <w:r>
        <w:rPr>
          <w:w w:val="112"/>
        </w:rPr>
        <w:t>a</w:t>
      </w:r>
      <w:r>
        <w:rPr/>
        <w:t> </w:t>
      </w:r>
      <w:r>
        <w:rPr>
          <w:w w:val="112"/>
        </w:rPr>
        <w:t>actual</w:t>
      </w:r>
      <w:r>
        <w:rPr/>
        <w:t> </w:t>
      </w:r>
      <w:r>
        <w:rPr>
          <w:w w:val="109"/>
        </w:rPr>
        <w:t>tensión</w:t>
      </w:r>
      <w:r>
        <w:rPr/>
        <w:t> </w:t>
      </w:r>
      <w:r>
        <w:rPr>
          <w:w w:val="112"/>
        </w:rPr>
        <w:t>con</w:t>
      </w:r>
      <w:r>
        <w:rPr/>
        <w:t> </w:t>
      </w:r>
      <w:r>
        <w:rPr>
          <w:w w:val="182"/>
        </w:rPr>
        <w:t>r</w:t>
      </w:r>
      <w:r>
        <w:rPr>
          <w:w w:val="111"/>
        </w:rPr>
        <w:t>usia</w:t>
      </w:r>
      <w:r>
        <w:rPr/>
        <w:t> </w:t>
      </w:r>
      <w:r>
        <w:rPr>
          <w:w w:val="108"/>
        </w:rPr>
        <w:t>puede</w:t>
      </w:r>
      <w:r>
        <w:rPr/>
        <w:t> </w:t>
      </w:r>
      <w:r>
        <w:rPr>
          <w:w w:val="108"/>
        </w:rPr>
        <w:t>acelerar</w:t>
      </w:r>
      <w:r>
        <w:rPr/>
        <w:t> </w:t>
      </w:r>
      <w:r>
        <w:rPr>
          <w:w w:val="111"/>
        </w:rPr>
        <w:t>la</w:t>
      </w:r>
      <w:r>
        <w:rPr/>
        <w:t> </w:t>
      </w:r>
      <w:r>
        <w:rPr>
          <w:w w:val="108"/>
        </w:rPr>
        <w:t>erosión</w:t>
      </w:r>
      <w:r>
        <w:rPr/>
        <w:t> </w:t>
      </w:r>
      <w:r>
        <w:rPr>
          <w:w w:val="108"/>
        </w:rPr>
        <w:t>relativa</w:t>
      </w:r>
      <w:r>
        <w:rPr/>
        <w:t> </w:t>
      </w:r>
      <w:r>
        <w:rPr>
          <w:w w:val="107"/>
        </w:rPr>
        <w:t>de </w:t>
      </w:r>
      <w:r>
        <w:rPr>
          <w:w w:val="110"/>
        </w:rPr>
        <w:t>la cohesión transatlántica como resultado de las visiones no siempre coincidentes sobre la política hacia el conflicto ucraniano, y el deterio- ro del liderazgo estratégico de Estados unidos a nivel   global.</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firstLine="396"/>
        <w:jc w:val="both"/>
      </w:pPr>
      <w:r>
        <w:rPr>
          <w:w w:val="110"/>
        </w:rPr>
        <w:t>se percibe un mayor activismo de los </w:t>
      </w:r>
      <w:r>
        <w:rPr>
          <w:w w:val="125"/>
        </w:rPr>
        <w:t>briCs </w:t>
      </w:r>
      <w:r>
        <w:rPr>
          <w:w w:val="110"/>
        </w:rPr>
        <w:t>ante la escalada con- tra uno de sus miembros, sobre todo por la imposición de sanciones. Esto podrá advertirse en la próxima Cumbre del Grupo en la ciudad rusa  de ufá.</w:t>
      </w:r>
    </w:p>
    <w:p>
      <w:pPr>
        <w:pStyle w:val="BodyText"/>
        <w:spacing w:line="252" w:lineRule="auto"/>
        <w:ind w:left="100" w:right="328" w:firstLine="396"/>
        <w:jc w:val="both"/>
      </w:pPr>
      <w:r>
        <w:rPr>
          <w:w w:val="243"/>
        </w:rPr>
        <w:t>l</w:t>
      </w:r>
      <w:r>
        <w:rPr>
          <w:w w:val="112"/>
        </w:rPr>
        <w:t>a</w:t>
      </w:r>
      <w:r>
        <w:rPr/>
        <w:t> </w:t>
      </w:r>
      <w:r>
        <w:rPr>
          <w:spacing w:val="-10"/>
        </w:rPr>
        <w:t> </w:t>
      </w:r>
      <w:r>
        <w:rPr>
          <w:w w:val="112"/>
        </w:rPr>
        <w:t>actual</w:t>
      </w:r>
      <w:r>
        <w:rPr/>
        <w:t> </w:t>
      </w:r>
      <w:r>
        <w:rPr>
          <w:spacing w:val="-10"/>
        </w:rPr>
        <w:t> </w:t>
      </w:r>
      <w:r>
        <w:rPr>
          <w:w w:val="110"/>
        </w:rPr>
        <w:t>coyuntura</w:t>
      </w:r>
      <w:r>
        <w:rPr/>
        <w:t> </w:t>
      </w:r>
      <w:r>
        <w:rPr>
          <w:spacing w:val="-10"/>
        </w:rPr>
        <w:t> </w:t>
      </w:r>
      <w:r>
        <w:rPr>
          <w:w w:val="110"/>
        </w:rPr>
        <w:t>internacional</w:t>
      </w:r>
      <w:r>
        <w:rPr/>
        <w:t> </w:t>
      </w:r>
      <w:r>
        <w:rPr>
          <w:spacing w:val="-10"/>
        </w:rPr>
        <w:t> </w:t>
      </w:r>
      <w:r>
        <w:rPr>
          <w:w w:val="110"/>
        </w:rPr>
        <w:t>moldea</w:t>
      </w:r>
      <w:r>
        <w:rPr/>
        <w:t> </w:t>
      </w:r>
      <w:r>
        <w:rPr>
          <w:spacing w:val="-10"/>
        </w:rPr>
        <w:t> </w:t>
      </w:r>
      <w:r>
        <w:rPr>
          <w:w w:val="111"/>
        </w:rPr>
        <w:t>condiciones</w:t>
      </w:r>
      <w:r>
        <w:rPr/>
        <w:t> </w:t>
      </w:r>
      <w:r>
        <w:rPr>
          <w:spacing w:val="-10"/>
        </w:rPr>
        <w:t> </w:t>
      </w:r>
      <w:r>
        <w:rPr>
          <w:w w:val="107"/>
        </w:rPr>
        <w:t>externas </w:t>
      </w:r>
      <w:r>
        <w:rPr>
          <w:w w:val="115"/>
        </w:rPr>
        <w:t>favorables</w:t>
      </w:r>
      <w:r>
        <w:rPr>
          <w:spacing w:val="-12"/>
          <w:w w:val="115"/>
        </w:rPr>
        <w:t> </w:t>
      </w:r>
      <w:r>
        <w:rPr>
          <w:w w:val="115"/>
        </w:rPr>
        <w:t>para</w:t>
      </w:r>
      <w:r>
        <w:rPr>
          <w:spacing w:val="-12"/>
          <w:w w:val="115"/>
        </w:rPr>
        <w:t> </w:t>
      </w:r>
      <w:r>
        <w:rPr>
          <w:w w:val="115"/>
        </w:rPr>
        <w:t>un</w:t>
      </w:r>
      <w:r>
        <w:rPr>
          <w:spacing w:val="-12"/>
          <w:w w:val="115"/>
        </w:rPr>
        <w:t> </w:t>
      </w:r>
      <w:r>
        <w:rPr>
          <w:w w:val="115"/>
        </w:rPr>
        <w:t>cambio</w:t>
      </w:r>
      <w:r>
        <w:rPr>
          <w:spacing w:val="-12"/>
          <w:w w:val="115"/>
        </w:rPr>
        <w:t> </w:t>
      </w:r>
      <w:r>
        <w:rPr>
          <w:w w:val="115"/>
        </w:rPr>
        <w:t>del</w:t>
      </w:r>
      <w:r>
        <w:rPr>
          <w:spacing w:val="-12"/>
          <w:w w:val="115"/>
        </w:rPr>
        <w:t> </w:t>
      </w:r>
      <w:r>
        <w:rPr>
          <w:w w:val="115"/>
        </w:rPr>
        <w:t>patrón</w:t>
      </w:r>
      <w:r>
        <w:rPr>
          <w:spacing w:val="-12"/>
          <w:w w:val="115"/>
        </w:rPr>
        <w:t> </w:t>
      </w:r>
      <w:r>
        <w:rPr>
          <w:w w:val="115"/>
        </w:rPr>
        <w:t>de</w:t>
      </w:r>
      <w:r>
        <w:rPr>
          <w:spacing w:val="-12"/>
          <w:w w:val="115"/>
        </w:rPr>
        <w:t> </w:t>
      </w:r>
      <w:r>
        <w:rPr>
          <w:w w:val="115"/>
        </w:rPr>
        <w:t>desarrollo</w:t>
      </w:r>
      <w:r>
        <w:rPr>
          <w:spacing w:val="-12"/>
          <w:w w:val="115"/>
        </w:rPr>
        <w:t> </w:t>
      </w:r>
      <w:r>
        <w:rPr>
          <w:w w:val="115"/>
        </w:rPr>
        <w:t>de</w:t>
      </w:r>
      <w:r>
        <w:rPr>
          <w:spacing w:val="-12"/>
          <w:w w:val="115"/>
        </w:rPr>
        <w:t> </w:t>
      </w:r>
      <w:r>
        <w:rPr>
          <w:w w:val="115"/>
        </w:rPr>
        <w:t>rusia.</w:t>
      </w:r>
      <w:r>
        <w:rPr>
          <w:spacing w:val="-12"/>
          <w:w w:val="115"/>
        </w:rPr>
        <w:t> </w:t>
      </w:r>
      <w:r>
        <w:rPr>
          <w:w w:val="115"/>
        </w:rPr>
        <w:t>En</w:t>
      </w:r>
      <w:r>
        <w:rPr>
          <w:spacing w:val="-12"/>
          <w:w w:val="115"/>
        </w:rPr>
        <w:t> </w:t>
      </w:r>
      <w:r>
        <w:rPr>
          <w:w w:val="115"/>
        </w:rPr>
        <w:t>caso de que rusia logre una independización relativa de la sujeción a la acumulación</w:t>
      </w:r>
      <w:r>
        <w:rPr>
          <w:spacing w:val="-5"/>
          <w:w w:val="115"/>
        </w:rPr>
        <w:t> </w:t>
      </w:r>
      <w:r>
        <w:rPr>
          <w:w w:val="115"/>
        </w:rPr>
        <w:t>global,</w:t>
      </w:r>
      <w:r>
        <w:rPr>
          <w:spacing w:val="-5"/>
          <w:w w:val="115"/>
        </w:rPr>
        <w:t> </w:t>
      </w:r>
      <w:r>
        <w:rPr>
          <w:w w:val="115"/>
        </w:rPr>
        <w:t>sería</w:t>
      </w:r>
      <w:r>
        <w:rPr>
          <w:spacing w:val="-5"/>
          <w:w w:val="115"/>
        </w:rPr>
        <w:t> </w:t>
      </w:r>
      <w:r>
        <w:rPr>
          <w:w w:val="115"/>
        </w:rPr>
        <w:t>un</w:t>
      </w:r>
      <w:r>
        <w:rPr>
          <w:spacing w:val="-5"/>
          <w:w w:val="115"/>
        </w:rPr>
        <w:t> </w:t>
      </w:r>
      <w:r>
        <w:rPr>
          <w:w w:val="115"/>
        </w:rPr>
        <w:t>aporte</w:t>
      </w:r>
      <w:r>
        <w:rPr>
          <w:spacing w:val="-5"/>
          <w:w w:val="115"/>
        </w:rPr>
        <w:t> </w:t>
      </w:r>
      <w:r>
        <w:rPr>
          <w:w w:val="115"/>
        </w:rPr>
        <w:t>importante</w:t>
      </w:r>
      <w:r>
        <w:rPr>
          <w:spacing w:val="-5"/>
          <w:w w:val="115"/>
        </w:rPr>
        <w:t> </w:t>
      </w:r>
      <w:r>
        <w:rPr>
          <w:w w:val="115"/>
        </w:rPr>
        <w:t>a</w:t>
      </w:r>
      <w:r>
        <w:rPr>
          <w:spacing w:val="-5"/>
          <w:w w:val="115"/>
        </w:rPr>
        <w:t> </w:t>
      </w:r>
      <w:r>
        <w:rPr>
          <w:w w:val="115"/>
        </w:rPr>
        <w:t>su</w:t>
      </w:r>
      <w:r>
        <w:rPr>
          <w:spacing w:val="-5"/>
          <w:w w:val="115"/>
        </w:rPr>
        <w:t> </w:t>
      </w:r>
      <w:r>
        <w:rPr>
          <w:w w:val="115"/>
        </w:rPr>
        <w:t>posición</w:t>
      </w:r>
      <w:r>
        <w:rPr>
          <w:spacing w:val="-5"/>
          <w:w w:val="115"/>
        </w:rPr>
        <w:t> </w:t>
      </w:r>
      <w:r>
        <w:rPr>
          <w:w w:val="115"/>
        </w:rPr>
        <w:t>global en</w:t>
      </w:r>
      <w:r>
        <w:rPr>
          <w:spacing w:val="-25"/>
          <w:w w:val="115"/>
        </w:rPr>
        <w:t> </w:t>
      </w:r>
      <w:r>
        <w:rPr>
          <w:w w:val="115"/>
        </w:rPr>
        <w:t>beneficio</w:t>
      </w:r>
      <w:r>
        <w:rPr>
          <w:spacing w:val="-25"/>
          <w:w w:val="115"/>
        </w:rPr>
        <w:t> </w:t>
      </w:r>
      <w:r>
        <w:rPr>
          <w:w w:val="115"/>
        </w:rPr>
        <w:t>del</w:t>
      </w:r>
      <w:r>
        <w:rPr>
          <w:spacing w:val="-25"/>
          <w:w w:val="115"/>
        </w:rPr>
        <w:t> </w:t>
      </w:r>
      <w:r>
        <w:rPr>
          <w:w w:val="115"/>
        </w:rPr>
        <w:t>resto</w:t>
      </w:r>
      <w:r>
        <w:rPr>
          <w:spacing w:val="-25"/>
          <w:w w:val="115"/>
        </w:rPr>
        <w:t> </w:t>
      </w:r>
      <w:r>
        <w:rPr>
          <w:w w:val="115"/>
        </w:rPr>
        <w:t>de</w:t>
      </w:r>
      <w:r>
        <w:rPr>
          <w:spacing w:val="-25"/>
          <w:w w:val="115"/>
        </w:rPr>
        <w:t> </w:t>
      </w:r>
      <w:r>
        <w:rPr>
          <w:w w:val="115"/>
        </w:rPr>
        <w:t>los</w:t>
      </w:r>
      <w:r>
        <w:rPr>
          <w:spacing w:val="-25"/>
          <w:w w:val="115"/>
        </w:rPr>
        <w:t> </w:t>
      </w:r>
      <w:r>
        <w:rPr>
          <w:w w:val="115"/>
        </w:rPr>
        <w:t>actores</w:t>
      </w:r>
      <w:r>
        <w:rPr>
          <w:spacing w:val="-25"/>
          <w:w w:val="115"/>
        </w:rPr>
        <w:t> </w:t>
      </w:r>
      <w:r>
        <w:rPr>
          <w:w w:val="115"/>
        </w:rPr>
        <w:t>internacionales,</w:t>
      </w:r>
      <w:r>
        <w:rPr>
          <w:spacing w:val="-25"/>
          <w:w w:val="115"/>
        </w:rPr>
        <w:t> </w:t>
      </w:r>
      <w:r>
        <w:rPr>
          <w:w w:val="115"/>
        </w:rPr>
        <w:t>incluyendo</w:t>
      </w:r>
      <w:r>
        <w:rPr>
          <w:spacing w:val="-25"/>
          <w:w w:val="115"/>
        </w:rPr>
        <w:t> </w:t>
      </w:r>
      <w:r>
        <w:rPr>
          <w:w w:val="115"/>
        </w:rPr>
        <w:t>amé- </w:t>
      </w:r>
      <w:r>
        <w:rPr>
          <w:w w:val="112"/>
        </w:rPr>
        <w:t>rica</w:t>
      </w:r>
      <w:r>
        <w:rPr>
          <w:spacing w:val="12"/>
        </w:rPr>
        <w:t> </w:t>
      </w:r>
      <w:r>
        <w:rPr>
          <w:w w:val="243"/>
        </w:rPr>
        <w:t>l</w:t>
      </w:r>
      <w:r>
        <w:rPr>
          <w:w w:val="113"/>
        </w:rPr>
        <w:t>atina.</w:t>
      </w:r>
    </w:p>
    <w:p>
      <w:pPr>
        <w:pStyle w:val="BodyText"/>
        <w:spacing w:before="5"/>
      </w:pPr>
    </w:p>
    <w:p>
      <w:pPr>
        <w:pStyle w:val="Heading6"/>
      </w:pPr>
      <w:r>
        <w:rPr>
          <w:spacing w:val="3"/>
          <w:w w:val="134"/>
        </w:rPr>
        <w:t>e</w:t>
      </w:r>
      <w:r>
        <w:rPr>
          <w:spacing w:val="5"/>
          <w:w w:val="136"/>
        </w:rPr>
        <w:t>s</w:t>
      </w:r>
      <w:r>
        <w:rPr>
          <w:spacing w:val="2"/>
          <w:w w:val="140"/>
        </w:rPr>
        <w:t>c</w:t>
      </w:r>
      <w:r>
        <w:rPr>
          <w:spacing w:val="3"/>
          <w:w w:val="140"/>
        </w:rPr>
        <w:t>e</w:t>
      </w:r>
      <w:r>
        <w:rPr>
          <w:spacing w:val="-1"/>
          <w:w w:val="128"/>
        </w:rPr>
        <w:t>n</w:t>
      </w:r>
      <w:r>
        <w:rPr>
          <w:spacing w:val="2"/>
          <w:w w:val="138"/>
        </w:rPr>
        <w:t>ari</w:t>
      </w:r>
      <w:r>
        <w:rPr>
          <w:w w:val="138"/>
        </w:rPr>
        <w:t>o</w:t>
      </w:r>
      <w:r>
        <w:rPr>
          <w:spacing w:val="-8"/>
        </w:rPr>
        <w:t> </w:t>
      </w:r>
      <w:r>
        <w:rPr>
          <w:spacing w:val="7"/>
          <w:w w:val="201"/>
        </w:rPr>
        <w:t>l</w:t>
      </w:r>
      <w:r>
        <w:rPr>
          <w:spacing w:val="-10"/>
          <w:w w:val="129"/>
        </w:rPr>
        <w:t>a</w:t>
      </w:r>
      <w:r>
        <w:rPr>
          <w:spacing w:val="2"/>
          <w:w w:val="143"/>
        </w:rPr>
        <w:t>tin</w:t>
      </w:r>
      <w:r>
        <w:rPr>
          <w:spacing w:val="1"/>
          <w:w w:val="143"/>
        </w:rPr>
        <w:t>o</w:t>
      </w:r>
      <w:r>
        <w:rPr>
          <w:spacing w:val="2"/>
          <w:w w:val="129"/>
        </w:rPr>
        <w:t>a</w:t>
      </w:r>
      <w:r>
        <w:rPr>
          <w:spacing w:val="2"/>
          <w:w w:val="92"/>
        </w:rPr>
        <w:t>M</w:t>
      </w:r>
      <w:r>
        <w:rPr>
          <w:spacing w:val="3"/>
          <w:w w:val="134"/>
        </w:rPr>
        <w:t>e</w:t>
      </w:r>
      <w:r>
        <w:rPr>
          <w:spacing w:val="2"/>
          <w:w w:val="142"/>
        </w:rPr>
        <w:t>ri</w:t>
      </w:r>
      <w:r>
        <w:rPr>
          <w:spacing w:val="4"/>
          <w:w w:val="142"/>
        </w:rPr>
        <w:t>c</w:t>
      </w:r>
      <w:r>
        <w:rPr>
          <w:spacing w:val="2"/>
          <w:w w:val="134"/>
        </w:rPr>
        <w:t>an</w:t>
      </w:r>
      <w:r>
        <w:rPr>
          <w:spacing w:val="1"/>
          <w:w w:val="134"/>
        </w:rPr>
        <w:t>o</w:t>
      </w:r>
      <w:r>
        <w:rPr>
          <w:w w:val="78"/>
        </w:rPr>
        <w:t>:</w:t>
      </w:r>
      <w:r>
        <w:rPr>
          <w:spacing w:val="-9"/>
        </w:rPr>
        <w:t> </w:t>
      </w:r>
      <w:r>
        <w:rPr>
          <w:spacing w:val="4"/>
          <w:w w:val="99"/>
        </w:rPr>
        <w:t>P</w:t>
      </w:r>
      <w:r>
        <w:rPr>
          <w:spacing w:val="3"/>
          <w:w w:val="145"/>
        </w:rPr>
        <w:t>o</w:t>
      </w:r>
      <w:r>
        <w:rPr>
          <w:spacing w:val="2"/>
          <w:w w:val="133"/>
        </w:rPr>
        <w:t>si</w:t>
      </w:r>
      <w:r>
        <w:rPr>
          <w:spacing w:val="1"/>
          <w:w w:val="96"/>
        </w:rPr>
        <w:t>B</w:t>
      </w:r>
      <w:r>
        <w:rPr>
          <w:spacing w:val="2"/>
          <w:w w:val="201"/>
        </w:rPr>
        <w:t>l</w:t>
      </w:r>
      <w:r>
        <w:rPr>
          <w:spacing w:val="3"/>
          <w:w w:val="134"/>
        </w:rPr>
        <w:t>e</w:t>
      </w:r>
      <w:r>
        <w:rPr>
          <w:w w:val="136"/>
        </w:rPr>
        <w:t>s</w:t>
      </w:r>
      <w:r>
        <w:rPr>
          <w:spacing w:val="-8"/>
        </w:rPr>
        <w:t> </w:t>
      </w:r>
      <w:r>
        <w:rPr>
          <w:spacing w:val="2"/>
          <w:w w:val="145"/>
        </w:rPr>
        <w:t>o</w:t>
      </w:r>
      <w:r>
        <w:rPr>
          <w:spacing w:val="4"/>
          <w:w w:val="99"/>
        </w:rPr>
        <w:t>P</w:t>
      </w:r>
      <w:r>
        <w:rPr>
          <w:spacing w:val="2"/>
          <w:w w:val="145"/>
        </w:rPr>
        <w:t>o</w:t>
      </w:r>
      <w:r>
        <w:rPr>
          <w:spacing w:val="-1"/>
          <w:w w:val="145"/>
        </w:rPr>
        <w:t>r</w:t>
      </w:r>
      <w:r>
        <w:rPr>
          <w:spacing w:val="3"/>
          <w:w w:val="180"/>
        </w:rPr>
        <w:t>t</w:t>
      </w:r>
      <w:r>
        <w:rPr>
          <w:spacing w:val="2"/>
          <w:w w:val="130"/>
        </w:rPr>
        <w:t>uni</w:t>
      </w:r>
      <w:r>
        <w:rPr>
          <w:spacing w:val="1"/>
          <w:w w:val="130"/>
        </w:rPr>
        <w:t>d</w:t>
      </w:r>
      <w:r>
        <w:rPr>
          <w:spacing w:val="2"/>
          <w:w w:val="131"/>
        </w:rPr>
        <w:t>ad</w:t>
      </w:r>
      <w:r>
        <w:rPr>
          <w:spacing w:val="3"/>
          <w:w w:val="131"/>
        </w:rPr>
        <w:t>e</w:t>
      </w:r>
      <w:r>
        <w:rPr>
          <w:w w:val="136"/>
        </w:rPr>
        <w:t>s</w:t>
      </w:r>
    </w:p>
    <w:p>
      <w:pPr>
        <w:pStyle w:val="BodyText"/>
        <w:spacing w:line="252" w:lineRule="auto" w:before="10"/>
        <w:ind w:left="100" w:right="328"/>
        <w:jc w:val="both"/>
      </w:pPr>
      <w:r>
        <w:rPr>
          <w:w w:val="110"/>
        </w:rPr>
        <w:t>En los cálculos geopolíticos de rusia, Estados unidos y la uE, amé- </w:t>
      </w:r>
      <w:r>
        <w:rPr>
          <w:w w:val="112"/>
        </w:rPr>
        <w:t>rica</w:t>
      </w:r>
      <w:r>
        <w:rPr/>
        <w:t> </w:t>
      </w:r>
      <w:r>
        <w:rPr>
          <w:w w:val="243"/>
        </w:rPr>
        <w:t>l</w:t>
      </w:r>
      <w:r>
        <w:rPr>
          <w:w w:val="111"/>
        </w:rPr>
        <w:t>atina</w:t>
      </w:r>
      <w:r>
        <w:rPr/>
        <w:t> </w:t>
      </w:r>
      <w:r>
        <w:rPr>
          <w:w w:val="108"/>
        </w:rPr>
        <w:t>obtiene</w:t>
      </w:r>
      <w:r>
        <w:rPr/>
        <w:t> </w:t>
      </w:r>
      <w:r>
        <w:rPr>
          <w:w w:val="112"/>
        </w:rPr>
        <w:t>un</w:t>
      </w:r>
      <w:r>
        <w:rPr/>
        <w:t> </w:t>
      </w:r>
      <w:r>
        <w:rPr>
          <w:w w:val="109"/>
        </w:rPr>
        <w:t>mayor</w:t>
      </w:r>
      <w:r>
        <w:rPr/>
        <w:t> </w:t>
      </w:r>
      <w:r>
        <w:rPr>
          <w:w w:val="107"/>
        </w:rPr>
        <w:t>peso</w:t>
      </w:r>
      <w:r>
        <w:rPr/>
        <w:t> </w:t>
      </w:r>
      <w:r>
        <w:rPr>
          <w:w w:val="112"/>
        </w:rPr>
        <w:t>como</w:t>
      </w:r>
      <w:r>
        <w:rPr/>
        <w:t> </w:t>
      </w:r>
      <w:r>
        <w:rPr>
          <w:w w:val="107"/>
        </w:rPr>
        <w:t>parte</w:t>
      </w:r>
      <w:r>
        <w:rPr/>
        <w:t> </w:t>
      </w:r>
      <w:r>
        <w:rPr>
          <w:w w:val="107"/>
        </w:rPr>
        <w:t>de</w:t>
      </w:r>
      <w:r>
        <w:rPr/>
        <w:t> </w:t>
      </w:r>
      <w:r>
        <w:rPr>
          <w:w w:val="111"/>
        </w:rPr>
        <w:t>la</w:t>
      </w:r>
      <w:r>
        <w:rPr/>
        <w:t> </w:t>
      </w:r>
      <w:r>
        <w:rPr>
          <w:w w:val="110"/>
        </w:rPr>
        <w:t>readecuación</w:t>
      </w:r>
      <w:r>
        <w:rPr/>
        <w:t> </w:t>
      </w:r>
      <w:r>
        <w:rPr>
          <w:w w:val="108"/>
        </w:rPr>
        <w:t>en </w:t>
      </w:r>
      <w:r>
        <w:rPr>
          <w:w w:val="110"/>
        </w:rPr>
        <w:t>marcha del balance de poderes, lo que le otorga mayor capacidad de interlocución y de negociación con los diferentes  bloques.</w:t>
      </w:r>
    </w:p>
    <w:p>
      <w:pPr>
        <w:pStyle w:val="BodyText"/>
        <w:spacing w:line="252" w:lineRule="auto"/>
        <w:ind w:left="100" w:right="324" w:firstLine="397"/>
        <w:jc w:val="both"/>
      </w:pPr>
      <w:r>
        <w:rPr>
          <w:spacing w:val="2"/>
          <w:w w:val="115"/>
        </w:rPr>
        <w:t>Estados unidos, ante problemas </w:t>
      </w:r>
      <w:r>
        <w:rPr>
          <w:w w:val="115"/>
        </w:rPr>
        <w:t>con </w:t>
      </w:r>
      <w:r>
        <w:rPr>
          <w:spacing w:val="2"/>
          <w:w w:val="115"/>
        </w:rPr>
        <w:t>rusia </w:t>
      </w:r>
      <w:r>
        <w:rPr>
          <w:w w:val="115"/>
        </w:rPr>
        <w:t>y </w:t>
      </w:r>
      <w:r>
        <w:rPr>
          <w:spacing w:val="2"/>
          <w:w w:val="115"/>
        </w:rPr>
        <w:t>China, está dán- </w:t>
      </w:r>
      <w:r>
        <w:rPr>
          <w:spacing w:val="3"/>
          <w:w w:val="109"/>
        </w:rPr>
        <w:t>dol</w:t>
      </w:r>
      <w:r>
        <w:rPr>
          <w:w w:val="109"/>
        </w:rPr>
        <w:t>e</w:t>
      </w:r>
      <w:r>
        <w:rPr/>
        <w:t> </w:t>
      </w:r>
      <w:r>
        <w:rPr>
          <w:spacing w:val="11"/>
        </w:rPr>
        <w:t> </w:t>
      </w:r>
      <w:r>
        <w:rPr>
          <w:spacing w:val="3"/>
          <w:w w:val="111"/>
        </w:rPr>
        <w:t>mayo</w:t>
      </w:r>
      <w:r>
        <w:rPr>
          <w:w w:val="111"/>
        </w:rPr>
        <w:t>r</w:t>
      </w:r>
      <w:r>
        <w:rPr/>
        <w:t> </w:t>
      </w:r>
      <w:r>
        <w:rPr>
          <w:spacing w:val="11"/>
        </w:rPr>
        <w:t> </w:t>
      </w:r>
      <w:r>
        <w:rPr>
          <w:spacing w:val="3"/>
          <w:w w:val="112"/>
        </w:rPr>
        <w:t>importanci</w:t>
      </w:r>
      <w:r>
        <w:rPr>
          <w:w w:val="112"/>
        </w:rPr>
        <w:t>a</w:t>
      </w:r>
      <w:r>
        <w:rPr/>
        <w:t> </w:t>
      </w:r>
      <w:r>
        <w:rPr>
          <w:spacing w:val="11"/>
        </w:rPr>
        <w:t> </w:t>
      </w:r>
      <w:r>
        <w:rPr>
          <w:w w:val="113"/>
        </w:rPr>
        <w:t>a</w:t>
      </w:r>
      <w:r>
        <w:rPr/>
        <w:t> </w:t>
      </w:r>
      <w:r>
        <w:rPr>
          <w:spacing w:val="11"/>
        </w:rPr>
        <w:t> </w:t>
      </w:r>
      <w:r>
        <w:rPr>
          <w:spacing w:val="3"/>
          <w:w w:val="140"/>
        </w:rPr>
        <w:t>a</w:t>
      </w:r>
      <w:r>
        <w:rPr>
          <w:spacing w:val="3"/>
          <w:w w:val="112"/>
        </w:rPr>
        <w:t>méric</w:t>
      </w:r>
      <w:r>
        <w:rPr>
          <w:w w:val="112"/>
        </w:rPr>
        <w:t>a</w:t>
      </w:r>
      <w:r>
        <w:rPr/>
        <w:t> </w:t>
      </w:r>
      <w:r>
        <w:rPr>
          <w:spacing w:val="11"/>
        </w:rPr>
        <w:t> </w:t>
      </w:r>
      <w:r>
        <w:rPr>
          <w:spacing w:val="3"/>
          <w:w w:val="246"/>
        </w:rPr>
        <w:t>l</w:t>
      </w:r>
      <w:r>
        <w:rPr>
          <w:spacing w:val="3"/>
          <w:w w:val="115"/>
        </w:rPr>
        <w:t>atina</w:t>
      </w:r>
      <w:r>
        <w:rPr>
          <w:w w:val="115"/>
        </w:rPr>
        <w:t>,</w:t>
      </w:r>
      <w:r>
        <w:rPr/>
        <w:t> </w:t>
      </w:r>
      <w:r>
        <w:rPr>
          <w:spacing w:val="11"/>
        </w:rPr>
        <w:t> </w:t>
      </w:r>
      <w:r>
        <w:rPr>
          <w:spacing w:val="3"/>
          <w:w w:val="111"/>
        </w:rPr>
        <w:t>l</w:t>
      </w:r>
      <w:r>
        <w:rPr>
          <w:w w:val="111"/>
        </w:rPr>
        <w:t>o</w:t>
      </w:r>
      <w:r>
        <w:rPr/>
        <w:t> </w:t>
      </w:r>
      <w:r>
        <w:rPr>
          <w:spacing w:val="11"/>
        </w:rPr>
        <w:t> </w:t>
      </w:r>
      <w:r>
        <w:rPr>
          <w:spacing w:val="3"/>
          <w:w w:val="109"/>
        </w:rPr>
        <w:t>qu</w:t>
      </w:r>
      <w:r>
        <w:rPr>
          <w:w w:val="109"/>
        </w:rPr>
        <w:t>e</w:t>
      </w:r>
      <w:r>
        <w:rPr/>
        <w:t> </w:t>
      </w:r>
      <w:r>
        <w:rPr>
          <w:spacing w:val="11"/>
        </w:rPr>
        <w:t> </w:t>
      </w:r>
      <w:r>
        <w:rPr>
          <w:spacing w:val="3"/>
          <w:w w:val="106"/>
        </w:rPr>
        <w:t>s</w:t>
      </w:r>
      <w:r>
        <w:rPr>
          <w:w w:val="106"/>
        </w:rPr>
        <w:t>e</w:t>
      </w:r>
      <w:r>
        <w:rPr/>
        <w:t> </w:t>
      </w:r>
      <w:r>
        <w:rPr>
          <w:spacing w:val="11"/>
        </w:rPr>
        <w:t> </w:t>
      </w:r>
      <w:r>
        <w:rPr>
          <w:spacing w:val="3"/>
          <w:w w:val="106"/>
        </w:rPr>
        <w:t>ver</w:t>
      </w:r>
      <w:r>
        <w:rPr>
          <w:w w:val="106"/>
        </w:rPr>
        <w:t>á</w:t>
      </w:r>
      <w:r>
        <w:rPr/>
        <w:t> </w:t>
      </w:r>
      <w:r>
        <w:rPr>
          <w:spacing w:val="11"/>
        </w:rPr>
        <w:t> </w:t>
      </w:r>
      <w:r>
        <w:rPr>
          <w:spacing w:val="3"/>
          <w:w w:val="109"/>
        </w:rPr>
        <w:t>e</w:t>
      </w:r>
      <w:r>
        <w:rPr>
          <w:w w:val="109"/>
        </w:rPr>
        <w:t>n</w:t>
      </w:r>
      <w:r>
        <w:rPr/>
        <w:t> </w:t>
      </w:r>
      <w:r>
        <w:rPr>
          <w:spacing w:val="11"/>
        </w:rPr>
        <w:t> </w:t>
      </w:r>
      <w:r>
        <w:rPr>
          <w:spacing w:val="3"/>
          <w:w w:val="113"/>
        </w:rPr>
        <w:t>la </w:t>
      </w:r>
      <w:r>
        <w:rPr>
          <w:spacing w:val="3"/>
          <w:w w:val="111"/>
        </w:rPr>
        <w:t>próxim</w:t>
      </w:r>
      <w:r>
        <w:rPr>
          <w:w w:val="111"/>
        </w:rPr>
        <w:t>a</w:t>
      </w:r>
      <w:r>
        <w:rPr/>
        <w:t>  </w:t>
      </w:r>
      <w:r>
        <w:rPr>
          <w:spacing w:val="3"/>
          <w:w w:val="113"/>
        </w:rPr>
        <w:t>Cumbr</w:t>
      </w:r>
      <w:r>
        <w:rPr>
          <w:w w:val="113"/>
        </w:rPr>
        <w:t>e</w:t>
      </w:r>
      <w:r>
        <w:rPr/>
        <w:t>  </w:t>
      </w:r>
      <w:r>
        <w:rPr>
          <w:spacing w:val="3"/>
          <w:w w:val="108"/>
        </w:rPr>
        <w:t>d</w:t>
      </w:r>
      <w:r>
        <w:rPr>
          <w:w w:val="108"/>
        </w:rPr>
        <w:t>e</w:t>
      </w:r>
      <w:r>
        <w:rPr/>
        <w:t>  </w:t>
      </w:r>
      <w:r>
        <w:rPr>
          <w:spacing w:val="3"/>
          <w:w w:val="110"/>
        </w:rPr>
        <w:t>la</w:t>
      </w:r>
      <w:r>
        <w:rPr>
          <w:w w:val="110"/>
        </w:rPr>
        <w:t>s</w:t>
      </w:r>
      <w:r>
        <w:rPr/>
        <w:t>  </w:t>
      </w:r>
      <w:r>
        <w:rPr>
          <w:spacing w:val="3"/>
          <w:w w:val="140"/>
        </w:rPr>
        <w:t>a</w:t>
      </w:r>
      <w:r>
        <w:rPr>
          <w:spacing w:val="3"/>
          <w:w w:val="113"/>
        </w:rPr>
        <w:t>méricas</w:t>
      </w:r>
      <w:r>
        <w:rPr>
          <w:w w:val="113"/>
        </w:rPr>
        <w:t>.</w:t>
      </w:r>
      <w:r>
        <w:rPr/>
        <w:t>  </w:t>
      </w:r>
      <w:r>
        <w:rPr>
          <w:spacing w:val="3"/>
          <w:w w:val="246"/>
        </w:rPr>
        <w:t>l</w:t>
      </w:r>
      <w:r>
        <w:rPr>
          <w:w w:val="113"/>
        </w:rPr>
        <w:t>a</w:t>
      </w:r>
      <w:r>
        <w:rPr/>
        <w:t>  </w:t>
      </w:r>
      <w:r>
        <w:rPr>
          <w:spacing w:val="3"/>
          <w:w w:val="112"/>
        </w:rPr>
        <w:t>confrontació</w:t>
      </w:r>
      <w:r>
        <w:rPr>
          <w:w w:val="112"/>
        </w:rPr>
        <w:t>n</w:t>
      </w:r>
      <w:r>
        <w:rPr/>
        <w:t>  </w:t>
      </w:r>
      <w:r>
        <w:rPr>
          <w:spacing w:val="3"/>
          <w:w w:val="113"/>
        </w:rPr>
        <w:t>co</w:t>
      </w:r>
      <w:r>
        <w:rPr>
          <w:w w:val="113"/>
        </w:rPr>
        <w:t>n</w:t>
      </w:r>
      <w:r>
        <w:rPr/>
        <w:t>  </w:t>
      </w:r>
      <w:r>
        <w:rPr>
          <w:spacing w:val="3"/>
          <w:w w:val="109"/>
        </w:rPr>
        <w:t>lo</w:t>
      </w:r>
      <w:r>
        <w:rPr>
          <w:w w:val="109"/>
        </w:rPr>
        <w:t>s</w:t>
      </w:r>
      <w:r>
        <w:rPr/>
        <w:t>  </w:t>
      </w:r>
      <w:r>
        <w:rPr>
          <w:spacing w:val="3"/>
          <w:w w:val="111"/>
        </w:rPr>
        <w:t>blo</w:t>
      </w:r>
      <w:r>
        <w:rPr>
          <w:w w:val="103"/>
        </w:rPr>
        <w:t>- </w:t>
      </w:r>
      <w:r>
        <w:rPr>
          <w:spacing w:val="2"/>
          <w:w w:val="115"/>
        </w:rPr>
        <w:t>ques</w:t>
      </w:r>
      <w:r>
        <w:rPr>
          <w:spacing w:val="-5"/>
          <w:w w:val="115"/>
        </w:rPr>
        <w:t> </w:t>
      </w:r>
      <w:r>
        <w:rPr>
          <w:w w:val="115"/>
        </w:rPr>
        <w:t>de</w:t>
      </w:r>
      <w:r>
        <w:rPr>
          <w:spacing w:val="-5"/>
          <w:w w:val="115"/>
        </w:rPr>
        <w:t> </w:t>
      </w:r>
      <w:r>
        <w:rPr>
          <w:spacing w:val="2"/>
          <w:w w:val="115"/>
        </w:rPr>
        <w:t>poder</w:t>
      </w:r>
      <w:r>
        <w:rPr>
          <w:spacing w:val="-5"/>
          <w:w w:val="115"/>
        </w:rPr>
        <w:t> </w:t>
      </w:r>
      <w:r>
        <w:rPr>
          <w:spacing w:val="2"/>
          <w:w w:val="115"/>
        </w:rPr>
        <w:t>extrahemisféricos</w:t>
      </w:r>
      <w:r>
        <w:rPr>
          <w:spacing w:val="-5"/>
          <w:w w:val="115"/>
        </w:rPr>
        <w:t> </w:t>
      </w:r>
      <w:r>
        <w:rPr>
          <w:spacing w:val="2"/>
          <w:w w:val="115"/>
        </w:rPr>
        <w:t>–como</w:t>
      </w:r>
      <w:r>
        <w:rPr>
          <w:spacing w:val="-5"/>
          <w:w w:val="115"/>
        </w:rPr>
        <w:t> </w:t>
      </w:r>
      <w:r>
        <w:rPr>
          <w:spacing w:val="2"/>
          <w:w w:val="115"/>
        </w:rPr>
        <w:t>sucedió</w:t>
      </w:r>
      <w:r>
        <w:rPr>
          <w:spacing w:val="-5"/>
          <w:w w:val="115"/>
        </w:rPr>
        <w:t> </w:t>
      </w:r>
      <w:r>
        <w:rPr>
          <w:w w:val="115"/>
        </w:rPr>
        <w:t>a</w:t>
      </w:r>
      <w:r>
        <w:rPr>
          <w:spacing w:val="-5"/>
          <w:w w:val="115"/>
        </w:rPr>
        <w:t> </w:t>
      </w:r>
      <w:r>
        <w:rPr>
          <w:w w:val="115"/>
        </w:rPr>
        <w:t>fines</w:t>
      </w:r>
      <w:r>
        <w:rPr>
          <w:spacing w:val="-5"/>
          <w:w w:val="115"/>
        </w:rPr>
        <w:t> </w:t>
      </w:r>
      <w:r>
        <w:rPr>
          <w:w w:val="115"/>
        </w:rPr>
        <w:t>de</w:t>
      </w:r>
      <w:r>
        <w:rPr>
          <w:spacing w:val="-5"/>
          <w:w w:val="115"/>
        </w:rPr>
        <w:t> </w:t>
      </w:r>
      <w:r>
        <w:rPr>
          <w:w w:val="115"/>
        </w:rPr>
        <w:t>la</w:t>
      </w:r>
      <w:r>
        <w:rPr>
          <w:spacing w:val="-5"/>
          <w:w w:val="115"/>
        </w:rPr>
        <w:t> </w:t>
      </w:r>
      <w:r>
        <w:rPr>
          <w:spacing w:val="2"/>
          <w:w w:val="115"/>
        </w:rPr>
        <w:t>déca- </w:t>
      </w:r>
      <w:r>
        <w:rPr>
          <w:w w:val="115"/>
        </w:rPr>
        <w:t>da de </w:t>
      </w:r>
      <w:r>
        <w:rPr>
          <w:spacing w:val="2"/>
          <w:w w:val="115"/>
        </w:rPr>
        <w:t>1930 </w:t>
      </w:r>
      <w:r>
        <w:rPr>
          <w:w w:val="115"/>
        </w:rPr>
        <w:t>con la </w:t>
      </w:r>
      <w:r>
        <w:rPr>
          <w:spacing w:val="2"/>
          <w:w w:val="115"/>
        </w:rPr>
        <w:t>política </w:t>
      </w:r>
      <w:r>
        <w:rPr>
          <w:w w:val="115"/>
        </w:rPr>
        <w:t>del </w:t>
      </w:r>
      <w:r>
        <w:rPr>
          <w:spacing w:val="2"/>
          <w:w w:val="115"/>
        </w:rPr>
        <w:t>buen </w:t>
      </w:r>
      <w:r>
        <w:rPr>
          <w:w w:val="115"/>
        </w:rPr>
        <w:t>Vecino– </w:t>
      </w:r>
      <w:r>
        <w:rPr>
          <w:spacing w:val="2"/>
          <w:w w:val="115"/>
        </w:rPr>
        <w:t>puede </w:t>
      </w:r>
      <w:r>
        <w:rPr>
          <w:w w:val="115"/>
        </w:rPr>
        <w:t>ser uno de </w:t>
      </w:r>
      <w:r>
        <w:rPr>
          <w:spacing w:val="3"/>
          <w:w w:val="115"/>
        </w:rPr>
        <w:t>los </w:t>
      </w:r>
      <w:r>
        <w:rPr>
          <w:spacing w:val="2"/>
          <w:w w:val="115"/>
        </w:rPr>
        <w:t>factores </w:t>
      </w:r>
      <w:r>
        <w:rPr>
          <w:w w:val="115"/>
        </w:rPr>
        <w:t>que </w:t>
      </w:r>
      <w:r>
        <w:rPr>
          <w:spacing w:val="2"/>
          <w:w w:val="115"/>
        </w:rPr>
        <w:t>explique </w:t>
      </w:r>
      <w:r>
        <w:rPr>
          <w:w w:val="115"/>
        </w:rPr>
        <w:t>los </w:t>
      </w:r>
      <w:r>
        <w:rPr>
          <w:spacing w:val="2"/>
          <w:w w:val="115"/>
        </w:rPr>
        <w:t>cambios </w:t>
      </w:r>
      <w:r>
        <w:rPr>
          <w:w w:val="115"/>
        </w:rPr>
        <w:t>que ha </w:t>
      </w:r>
      <w:r>
        <w:rPr>
          <w:spacing w:val="2"/>
          <w:w w:val="115"/>
        </w:rPr>
        <w:t>hecho Estados </w:t>
      </w:r>
      <w:r>
        <w:rPr>
          <w:spacing w:val="3"/>
          <w:w w:val="115"/>
        </w:rPr>
        <w:t>unidos </w:t>
      </w:r>
      <w:r>
        <w:rPr>
          <w:spacing w:val="3"/>
          <w:w w:val="114"/>
        </w:rPr>
        <w:t>haci</w:t>
      </w:r>
      <w:r>
        <w:rPr>
          <w:w w:val="114"/>
        </w:rPr>
        <w:t>a</w:t>
      </w:r>
      <w:r>
        <w:rPr/>
        <w:t> </w:t>
      </w:r>
      <w:r>
        <w:rPr>
          <w:spacing w:val="-19"/>
        </w:rPr>
        <w:t> </w:t>
      </w:r>
      <w:r>
        <w:rPr>
          <w:spacing w:val="3"/>
          <w:w w:val="140"/>
        </w:rPr>
        <w:t>a</w:t>
      </w:r>
      <w:r>
        <w:rPr>
          <w:spacing w:val="3"/>
          <w:w w:val="112"/>
        </w:rPr>
        <w:t>méric</w:t>
      </w:r>
      <w:r>
        <w:rPr>
          <w:w w:val="112"/>
        </w:rPr>
        <w:t>a</w:t>
      </w:r>
      <w:r>
        <w:rPr/>
        <w:t> </w:t>
      </w:r>
      <w:r>
        <w:rPr>
          <w:spacing w:val="-19"/>
        </w:rPr>
        <w:t> </w:t>
      </w:r>
      <w:r>
        <w:rPr>
          <w:spacing w:val="3"/>
          <w:w w:val="246"/>
        </w:rPr>
        <w:t>l</w:t>
      </w:r>
      <w:r>
        <w:rPr>
          <w:spacing w:val="3"/>
          <w:w w:val="112"/>
        </w:rPr>
        <w:t>atin</w:t>
      </w:r>
      <w:r>
        <w:rPr>
          <w:w w:val="112"/>
        </w:rPr>
        <w:t>a</w:t>
      </w:r>
      <w:r>
        <w:rPr/>
        <w:t> </w:t>
      </w:r>
      <w:r>
        <w:rPr>
          <w:spacing w:val="-19"/>
        </w:rPr>
        <w:t> </w:t>
      </w:r>
      <w:r>
        <w:rPr>
          <w:w w:val="106"/>
        </w:rPr>
        <w:t>y</w:t>
      </w:r>
      <w:r>
        <w:rPr/>
        <w:t> </w:t>
      </w:r>
      <w:r>
        <w:rPr>
          <w:spacing w:val="-19"/>
        </w:rPr>
        <w:t> </w:t>
      </w:r>
      <w:r>
        <w:rPr>
          <w:spacing w:val="3"/>
          <w:w w:val="113"/>
        </w:rPr>
        <w:t>l</w:t>
      </w:r>
      <w:r>
        <w:rPr>
          <w:w w:val="113"/>
        </w:rPr>
        <w:t>a</w:t>
      </w:r>
      <w:r>
        <w:rPr/>
        <w:t> </w:t>
      </w:r>
      <w:r>
        <w:rPr>
          <w:spacing w:val="-19"/>
        </w:rPr>
        <w:t> </w:t>
      </w:r>
      <w:r>
        <w:rPr>
          <w:spacing w:val="3"/>
          <w:w w:val="110"/>
        </w:rPr>
        <w:t>priorida</w:t>
      </w:r>
      <w:r>
        <w:rPr>
          <w:w w:val="110"/>
        </w:rPr>
        <w:t>d</w:t>
      </w:r>
      <w:r>
        <w:rPr/>
        <w:t> </w:t>
      </w:r>
      <w:r>
        <w:rPr>
          <w:spacing w:val="-19"/>
        </w:rPr>
        <w:t> </w:t>
      </w:r>
      <w:r>
        <w:rPr>
          <w:spacing w:val="3"/>
          <w:w w:val="109"/>
        </w:rPr>
        <w:t>qu</w:t>
      </w:r>
      <w:r>
        <w:rPr>
          <w:w w:val="109"/>
        </w:rPr>
        <w:t>e</w:t>
      </w:r>
      <w:r>
        <w:rPr/>
        <w:t> </w:t>
      </w:r>
      <w:r>
        <w:rPr>
          <w:spacing w:val="-19"/>
        </w:rPr>
        <w:t> </w:t>
      </w:r>
      <w:r>
        <w:rPr>
          <w:spacing w:val="3"/>
          <w:w w:val="151"/>
        </w:rPr>
        <w:t>o</w:t>
      </w:r>
      <w:r>
        <w:rPr>
          <w:spacing w:val="3"/>
          <w:w w:val="113"/>
        </w:rPr>
        <w:t>bam</w:t>
      </w:r>
      <w:r>
        <w:rPr>
          <w:w w:val="113"/>
        </w:rPr>
        <w:t>a</w:t>
      </w:r>
      <w:r>
        <w:rPr/>
        <w:t> </w:t>
      </w:r>
      <w:r>
        <w:rPr>
          <w:spacing w:val="-19"/>
        </w:rPr>
        <w:t> </w:t>
      </w:r>
      <w:r>
        <w:rPr>
          <w:spacing w:val="3"/>
          <w:w w:val="108"/>
        </w:rPr>
        <w:t>l</w:t>
      </w:r>
      <w:r>
        <w:rPr>
          <w:w w:val="108"/>
        </w:rPr>
        <w:t>e</w:t>
      </w:r>
      <w:r>
        <w:rPr/>
        <w:t> </w:t>
      </w:r>
      <w:r>
        <w:rPr>
          <w:spacing w:val="-19"/>
        </w:rPr>
        <w:t> </w:t>
      </w:r>
      <w:r>
        <w:rPr>
          <w:spacing w:val="3"/>
          <w:w w:val="108"/>
        </w:rPr>
        <w:t>est</w:t>
      </w:r>
      <w:r>
        <w:rPr>
          <w:w w:val="108"/>
        </w:rPr>
        <w:t>á</w:t>
      </w:r>
      <w:r>
        <w:rPr/>
        <w:t> </w:t>
      </w:r>
      <w:r>
        <w:rPr>
          <w:spacing w:val="-19"/>
        </w:rPr>
        <w:t> </w:t>
      </w:r>
      <w:r>
        <w:rPr>
          <w:spacing w:val="3"/>
          <w:w w:val="111"/>
        </w:rPr>
        <w:t>dand</w:t>
      </w:r>
      <w:r>
        <w:rPr>
          <w:w w:val="111"/>
        </w:rPr>
        <w:t>o</w:t>
      </w:r>
      <w:r>
        <w:rPr/>
        <w:t> </w:t>
      </w:r>
      <w:r>
        <w:rPr>
          <w:spacing w:val="-19"/>
        </w:rPr>
        <w:t> </w:t>
      </w:r>
      <w:r>
        <w:rPr>
          <w:w w:val="113"/>
        </w:rPr>
        <w:t>a</w:t>
      </w:r>
      <w:r>
        <w:rPr/>
        <w:t> </w:t>
      </w:r>
      <w:r>
        <w:rPr>
          <w:spacing w:val="-19"/>
        </w:rPr>
        <w:t> </w:t>
      </w:r>
      <w:r>
        <w:rPr>
          <w:spacing w:val="3"/>
          <w:w w:val="113"/>
        </w:rPr>
        <w:t>la </w:t>
      </w:r>
      <w:r>
        <w:rPr>
          <w:spacing w:val="2"/>
          <w:w w:val="115"/>
        </w:rPr>
        <w:t>región, incluyendo </w:t>
      </w:r>
      <w:r>
        <w:rPr>
          <w:w w:val="115"/>
        </w:rPr>
        <w:t>el </w:t>
      </w:r>
      <w:r>
        <w:rPr>
          <w:spacing w:val="2"/>
          <w:w w:val="115"/>
        </w:rPr>
        <w:t>establecimiento </w:t>
      </w:r>
      <w:r>
        <w:rPr>
          <w:w w:val="115"/>
        </w:rPr>
        <w:t>de </w:t>
      </w:r>
      <w:r>
        <w:rPr>
          <w:spacing w:val="2"/>
          <w:w w:val="115"/>
        </w:rPr>
        <w:t>relaciones </w:t>
      </w:r>
      <w:r>
        <w:rPr>
          <w:spacing w:val="3"/>
          <w:w w:val="115"/>
        </w:rPr>
        <w:t>diplomáticas </w:t>
      </w:r>
      <w:r>
        <w:rPr>
          <w:w w:val="115"/>
        </w:rPr>
        <w:t>con </w:t>
      </w:r>
      <w:r>
        <w:rPr>
          <w:spacing w:val="2"/>
          <w:w w:val="115"/>
        </w:rPr>
        <w:t>Cuba </w:t>
      </w:r>
      <w:r>
        <w:rPr>
          <w:w w:val="115"/>
        </w:rPr>
        <w:t>y los </w:t>
      </w:r>
      <w:r>
        <w:rPr>
          <w:spacing w:val="2"/>
          <w:w w:val="115"/>
        </w:rPr>
        <w:t>cambios migratorios </w:t>
      </w:r>
      <w:r>
        <w:rPr>
          <w:w w:val="115"/>
        </w:rPr>
        <w:t>con </w:t>
      </w:r>
      <w:r>
        <w:rPr>
          <w:spacing w:val="2"/>
          <w:w w:val="115"/>
        </w:rPr>
        <w:t>repercusión </w:t>
      </w:r>
      <w:r>
        <w:rPr>
          <w:w w:val="115"/>
        </w:rPr>
        <w:t>en la </w:t>
      </w:r>
      <w:r>
        <w:rPr>
          <w:spacing w:val="3"/>
          <w:w w:val="115"/>
        </w:rPr>
        <w:t>política </w:t>
      </w:r>
      <w:r>
        <w:rPr>
          <w:spacing w:val="2"/>
          <w:w w:val="115"/>
        </w:rPr>
        <w:t>hacia</w:t>
      </w:r>
      <w:r>
        <w:rPr>
          <w:spacing w:val="-7"/>
          <w:w w:val="115"/>
        </w:rPr>
        <w:t> </w:t>
      </w:r>
      <w:r>
        <w:rPr>
          <w:spacing w:val="3"/>
          <w:w w:val="115"/>
        </w:rPr>
        <w:t>Centroamérica.</w:t>
      </w:r>
    </w:p>
    <w:p>
      <w:pPr>
        <w:pStyle w:val="BodyText"/>
        <w:spacing w:line="252" w:lineRule="auto"/>
        <w:ind w:left="100" w:right="328" w:firstLine="396"/>
        <w:jc w:val="both"/>
      </w:pPr>
      <w:r>
        <w:rPr>
          <w:w w:val="115"/>
        </w:rPr>
        <w:t>En</w:t>
      </w:r>
      <w:r>
        <w:rPr>
          <w:spacing w:val="-10"/>
          <w:w w:val="115"/>
        </w:rPr>
        <w:t> </w:t>
      </w:r>
      <w:r>
        <w:rPr>
          <w:w w:val="115"/>
        </w:rPr>
        <w:t>el</w:t>
      </w:r>
      <w:r>
        <w:rPr>
          <w:spacing w:val="-10"/>
          <w:w w:val="115"/>
        </w:rPr>
        <w:t> </w:t>
      </w:r>
      <w:r>
        <w:rPr>
          <w:w w:val="115"/>
        </w:rPr>
        <w:t>caso</w:t>
      </w:r>
      <w:r>
        <w:rPr>
          <w:spacing w:val="-10"/>
          <w:w w:val="115"/>
        </w:rPr>
        <w:t> </w:t>
      </w:r>
      <w:r>
        <w:rPr>
          <w:w w:val="115"/>
        </w:rPr>
        <w:t>de</w:t>
      </w:r>
      <w:r>
        <w:rPr>
          <w:spacing w:val="-10"/>
          <w:w w:val="115"/>
        </w:rPr>
        <w:t> </w:t>
      </w:r>
      <w:r>
        <w:rPr>
          <w:w w:val="115"/>
        </w:rPr>
        <w:t>los</w:t>
      </w:r>
      <w:r>
        <w:rPr>
          <w:spacing w:val="-10"/>
          <w:w w:val="115"/>
        </w:rPr>
        <w:t> </w:t>
      </w:r>
      <w:r>
        <w:rPr>
          <w:w w:val="115"/>
        </w:rPr>
        <w:t>europeos,</w:t>
      </w:r>
      <w:r>
        <w:rPr>
          <w:spacing w:val="-10"/>
          <w:w w:val="115"/>
        </w:rPr>
        <w:t> </w:t>
      </w:r>
      <w:r>
        <w:rPr>
          <w:w w:val="115"/>
        </w:rPr>
        <w:t>aliados</w:t>
      </w:r>
      <w:r>
        <w:rPr>
          <w:spacing w:val="-10"/>
          <w:w w:val="115"/>
        </w:rPr>
        <w:t> </w:t>
      </w:r>
      <w:r>
        <w:rPr>
          <w:w w:val="115"/>
        </w:rPr>
        <w:t>de</w:t>
      </w:r>
      <w:r>
        <w:rPr>
          <w:spacing w:val="-10"/>
          <w:w w:val="115"/>
        </w:rPr>
        <w:t> </w:t>
      </w:r>
      <w:r>
        <w:rPr>
          <w:w w:val="115"/>
        </w:rPr>
        <w:t>Estados</w:t>
      </w:r>
      <w:r>
        <w:rPr>
          <w:spacing w:val="-10"/>
          <w:w w:val="115"/>
        </w:rPr>
        <w:t> </w:t>
      </w:r>
      <w:r>
        <w:rPr>
          <w:w w:val="115"/>
        </w:rPr>
        <w:t>unidos,</w:t>
      </w:r>
      <w:r>
        <w:rPr>
          <w:spacing w:val="-10"/>
          <w:w w:val="115"/>
        </w:rPr>
        <w:t> </w:t>
      </w:r>
      <w:r>
        <w:rPr>
          <w:w w:val="115"/>
        </w:rPr>
        <w:t>es</w:t>
      </w:r>
      <w:r>
        <w:rPr>
          <w:spacing w:val="-10"/>
          <w:w w:val="115"/>
        </w:rPr>
        <w:t> </w:t>
      </w:r>
      <w:r>
        <w:rPr>
          <w:w w:val="115"/>
        </w:rPr>
        <w:t>posible que</w:t>
      </w:r>
      <w:r>
        <w:rPr>
          <w:spacing w:val="-32"/>
          <w:w w:val="115"/>
        </w:rPr>
        <w:t> </w:t>
      </w:r>
      <w:r>
        <w:rPr>
          <w:w w:val="115"/>
        </w:rPr>
        <w:t>pudieran</w:t>
      </w:r>
      <w:r>
        <w:rPr>
          <w:spacing w:val="-32"/>
          <w:w w:val="115"/>
        </w:rPr>
        <w:t> </w:t>
      </w:r>
      <w:r>
        <w:rPr>
          <w:w w:val="115"/>
        </w:rPr>
        <w:t>moderar</w:t>
      </w:r>
      <w:r>
        <w:rPr>
          <w:spacing w:val="-32"/>
          <w:w w:val="115"/>
        </w:rPr>
        <w:t> </w:t>
      </w:r>
      <w:r>
        <w:rPr>
          <w:w w:val="115"/>
        </w:rPr>
        <w:t>sus</w:t>
      </w:r>
      <w:r>
        <w:rPr>
          <w:spacing w:val="-32"/>
          <w:w w:val="115"/>
        </w:rPr>
        <w:t> </w:t>
      </w:r>
      <w:r>
        <w:rPr>
          <w:w w:val="115"/>
        </w:rPr>
        <w:t>posiciones</w:t>
      </w:r>
      <w:r>
        <w:rPr>
          <w:spacing w:val="-32"/>
          <w:w w:val="115"/>
        </w:rPr>
        <w:t> </w:t>
      </w:r>
      <w:r>
        <w:rPr>
          <w:w w:val="115"/>
        </w:rPr>
        <w:t>ante</w:t>
      </w:r>
      <w:r>
        <w:rPr>
          <w:spacing w:val="-32"/>
          <w:w w:val="115"/>
        </w:rPr>
        <w:t> </w:t>
      </w:r>
      <w:r>
        <w:rPr>
          <w:w w:val="115"/>
        </w:rPr>
        <w:t>los</w:t>
      </w:r>
      <w:r>
        <w:rPr>
          <w:spacing w:val="-32"/>
          <w:w w:val="115"/>
        </w:rPr>
        <w:t> </w:t>
      </w:r>
      <w:r>
        <w:rPr>
          <w:w w:val="115"/>
        </w:rPr>
        <w:t>latinoamericanos</w:t>
      </w:r>
      <w:r>
        <w:rPr>
          <w:spacing w:val="-32"/>
          <w:w w:val="115"/>
        </w:rPr>
        <w:t> </w:t>
      </w:r>
      <w:r>
        <w:rPr>
          <w:w w:val="115"/>
        </w:rPr>
        <w:t>en</w:t>
      </w:r>
      <w:r>
        <w:rPr>
          <w:spacing w:val="-32"/>
          <w:w w:val="115"/>
        </w:rPr>
        <w:t> </w:t>
      </w:r>
      <w:r>
        <w:rPr>
          <w:w w:val="115"/>
        </w:rPr>
        <w:t>las negociaciones</w:t>
      </w:r>
      <w:r>
        <w:rPr>
          <w:spacing w:val="-27"/>
          <w:w w:val="115"/>
        </w:rPr>
        <w:t> </w:t>
      </w:r>
      <w:r>
        <w:rPr>
          <w:w w:val="115"/>
        </w:rPr>
        <w:t>económicas</w:t>
      </w:r>
      <w:r>
        <w:rPr>
          <w:spacing w:val="-27"/>
          <w:w w:val="115"/>
        </w:rPr>
        <w:t> </w:t>
      </w:r>
      <w:r>
        <w:rPr>
          <w:w w:val="115"/>
        </w:rPr>
        <w:t>en</w:t>
      </w:r>
      <w:r>
        <w:rPr>
          <w:spacing w:val="-27"/>
          <w:w w:val="115"/>
        </w:rPr>
        <w:t> </w:t>
      </w:r>
      <w:r>
        <w:rPr>
          <w:w w:val="115"/>
        </w:rPr>
        <w:t>curso,</w:t>
      </w:r>
      <w:r>
        <w:rPr>
          <w:spacing w:val="-27"/>
          <w:w w:val="115"/>
        </w:rPr>
        <w:t> </w:t>
      </w:r>
      <w:r>
        <w:rPr>
          <w:w w:val="115"/>
        </w:rPr>
        <w:t>y</w:t>
      </w:r>
      <w:r>
        <w:rPr>
          <w:spacing w:val="-27"/>
          <w:w w:val="115"/>
        </w:rPr>
        <w:t> </w:t>
      </w:r>
      <w:r>
        <w:rPr>
          <w:w w:val="115"/>
        </w:rPr>
        <w:t>ampliar</w:t>
      </w:r>
      <w:r>
        <w:rPr>
          <w:spacing w:val="-27"/>
          <w:w w:val="115"/>
        </w:rPr>
        <w:t> </w:t>
      </w:r>
      <w:r>
        <w:rPr>
          <w:w w:val="115"/>
        </w:rPr>
        <w:t>los</w:t>
      </w:r>
      <w:r>
        <w:rPr>
          <w:spacing w:val="-27"/>
          <w:w w:val="115"/>
        </w:rPr>
        <w:t> </w:t>
      </w:r>
      <w:r>
        <w:rPr>
          <w:w w:val="115"/>
        </w:rPr>
        <w:t>vínculos</w:t>
      </w:r>
      <w:r>
        <w:rPr>
          <w:spacing w:val="-27"/>
          <w:w w:val="115"/>
        </w:rPr>
        <w:t> </w:t>
      </w:r>
      <w:r>
        <w:rPr>
          <w:w w:val="115"/>
        </w:rPr>
        <w:t>sobre</w:t>
      </w:r>
      <w:r>
        <w:rPr>
          <w:spacing w:val="-27"/>
          <w:w w:val="115"/>
        </w:rPr>
        <w:t> </w:t>
      </w:r>
      <w:r>
        <w:rPr>
          <w:w w:val="115"/>
        </w:rPr>
        <w:t>todo para</w:t>
      </w:r>
      <w:r>
        <w:rPr>
          <w:spacing w:val="-10"/>
          <w:w w:val="115"/>
        </w:rPr>
        <w:t> </w:t>
      </w:r>
      <w:r>
        <w:rPr>
          <w:w w:val="115"/>
        </w:rPr>
        <w:t>compensar</w:t>
      </w:r>
      <w:r>
        <w:rPr>
          <w:spacing w:val="-10"/>
          <w:w w:val="115"/>
        </w:rPr>
        <w:t> </w:t>
      </w:r>
      <w:r>
        <w:rPr>
          <w:w w:val="115"/>
        </w:rPr>
        <w:t>la</w:t>
      </w:r>
      <w:r>
        <w:rPr>
          <w:spacing w:val="-10"/>
          <w:w w:val="115"/>
        </w:rPr>
        <w:t> </w:t>
      </w:r>
      <w:r>
        <w:rPr>
          <w:w w:val="115"/>
        </w:rPr>
        <w:t>pérdida</w:t>
      </w:r>
      <w:r>
        <w:rPr>
          <w:spacing w:val="-10"/>
          <w:w w:val="115"/>
        </w:rPr>
        <w:t> </w:t>
      </w:r>
      <w:r>
        <w:rPr>
          <w:w w:val="115"/>
        </w:rPr>
        <w:t>de</w:t>
      </w:r>
      <w:r>
        <w:rPr>
          <w:spacing w:val="-10"/>
          <w:w w:val="115"/>
        </w:rPr>
        <w:t> </w:t>
      </w:r>
      <w:r>
        <w:rPr>
          <w:w w:val="115"/>
        </w:rPr>
        <w:t>mercados</w:t>
      </w:r>
      <w:r>
        <w:rPr>
          <w:spacing w:val="-10"/>
          <w:w w:val="115"/>
        </w:rPr>
        <w:t> </w:t>
      </w:r>
      <w:r>
        <w:rPr>
          <w:w w:val="115"/>
        </w:rPr>
        <w:t>en</w:t>
      </w:r>
      <w:r>
        <w:rPr>
          <w:spacing w:val="-10"/>
          <w:w w:val="115"/>
        </w:rPr>
        <w:t> </w:t>
      </w:r>
      <w:r>
        <w:rPr>
          <w:w w:val="115"/>
        </w:rPr>
        <w:t>rusia.</w:t>
      </w:r>
      <w:r>
        <w:rPr>
          <w:spacing w:val="-10"/>
          <w:w w:val="115"/>
        </w:rPr>
        <w:t> </w:t>
      </w:r>
      <w:r>
        <w:rPr>
          <w:w w:val="115"/>
        </w:rPr>
        <w:t>Esto</w:t>
      </w:r>
      <w:r>
        <w:rPr>
          <w:spacing w:val="-10"/>
          <w:w w:val="115"/>
        </w:rPr>
        <w:t> </w:t>
      </w:r>
      <w:r>
        <w:rPr>
          <w:w w:val="115"/>
        </w:rPr>
        <w:t>podría</w:t>
      </w:r>
      <w:r>
        <w:rPr>
          <w:spacing w:val="-10"/>
          <w:w w:val="115"/>
        </w:rPr>
        <w:t> </w:t>
      </w:r>
      <w:r>
        <w:rPr>
          <w:spacing w:val="-3"/>
          <w:w w:val="115"/>
        </w:rPr>
        <w:t>obser- </w:t>
      </w:r>
      <w:r>
        <w:rPr>
          <w:w w:val="120"/>
        </w:rPr>
        <w:t>varse</w:t>
      </w:r>
      <w:r>
        <w:rPr>
          <w:spacing w:val="-16"/>
          <w:w w:val="120"/>
        </w:rPr>
        <w:t> </w:t>
      </w:r>
      <w:r>
        <w:rPr>
          <w:w w:val="120"/>
        </w:rPr>
        <w:t>en</w:t>
      </w:r>
      <w:r>
        <w:rPr>
          <w:spacing w:val="-16"/>
          <w:w w:val="120"/>
        </w:rPr>
        <w:t> </w:t>
      </w:r>
      <w:r>
        <w:rPr>
          <w:w w:val="120"/>
        </w:rPr>
        <w:t>la</w:t>
      </w:r>
      <w:r>
        <w:rPr>
          <w:spacing w:val="-16"/>
          <w:w w:val="120"/>
        </w:rPr>
        <w:t> </w:t>
      </w:r>
      <w:r>
        <w:rPr>
          <w:w w:val="120"/>
        </w:rPr>
        <w:t>próxima</w:t>
      </w:r>
      <w:r>
        <w:rPr>
          <w:spacing w:val="-16"/>
          <w:w w:val="120"/>
        </w:rPr>
        <w:t> </w:t>
      </w:r>
      <w:r>
        <w:rPr>
          <w:w w:val="120"/>
        </w:rPr>
        <w:t>reunión</w:t>
      </w:r>
      <w:r>
        <w:rPr>
          <w:spacing w:val="-16"/>
          <w:w w:val="120"/>
        </w:rPr>
        <w:t> </w:t>
      </w:r>
      <w:r>
        <w:rPr>
          <w:w w:val="120"/>
        </w:rPr>
        <w:t>CElaC-uE.</w:t>
      </w:r>
    </w:p>
    <w:p>
      <w:pPr>
        <w:pStyle w:val="BodyText"/>
        <w:spacing w:line="252" w:lineRule="auto"/>
        <w:ind w:left="100" w:right="328" w:firstLine="396"/>
        <w:jc w:val="both"/>
      </w:pPr>
      <w:r>
        <w:rPr>
          <w:w w:val="110"/>
        </w:rPr>
        <w:t>rusia ha percibido un ambiente favorable a su postura de defen- sa de la soberanía y contra las sanciones occidentales, lo que puede revertirse en una mayor prioridad al área. Por otro lado, la necesidad de importar alimentos, producto de las contra-sanciones aplicadas a Estados unidos y la uE, está incrementando las importaciones rusas desde la región, sobre todo argentina, brasil, Ecuador y Chile. se abre un mercado importante para nuestros países en momentos de crisis global y reducción de la demanda en otros mercados  emergentes.</w:t>
      </w:r>
    </w:p>
    <w:p>
      <w:pPr>
        <w:pStyle w:val="BodyText"/>
        <w:spacing w:line="252" w:lineRule="auto"/>
        <w:ind w:left="100" w:right="328" w:firstLine="396"/>
        <w:jc w:val="both"/>
      </w:pPr>
      <w:r>
        <w:rPr>
          <w:w w:val="110"/>
        </w:rPr>
        <w:t>se observa un fortalecimiento de las relaciones estratégicas ru- sia-Venezuela en todas las áreas, incluyendo su interacción en el área de la seguridad y petrolera, para evitar que siga disminuyendo el pre- cio del mismo.</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firstLine="396"/>
        <w:jc w:val="both"/>
      </w:pPr>
      <w:r>
        <w:rPr>
          <w:w w:val="110"/>
        </w:rPr>
        <w:t>se percibe una mejoría significativa de la proyección rusa hacia Cuba. deben estrecharse los contactos en la arena político-diplomáti- ca, sobre todo en los foros multilaterales, donde el valor de Cuba para rusia se ha incrementado por la necesidad de apoyo multilateral que necesita.</w:t>
      </w:r>
    </w:p>
    <w:p>
      <w:pPr>
        <w:pStyle w:val="BodyText"/>
        <w:spacing w:before="5"/>
      </w:pPr>
    </w:p>
    <w:p>
      <w:pPr>
        <w:pStyle w:val="Heading6"/>
        <w:ind w:left="331" w:right="321"/>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pStyle w:val="BodyText"/>
        <w:spacing w:line="252" w:lineRule="auto" w:before="10"/>
        <w:ind w:left="727" w:right="321" w:hanging="397"/>
      </w:pPr>
      <w:r>
        <w:rPr>
          <w:w w:val="114"/>
        </w:rPr>
        <w:t>Cohen,</w:t>
      </w:r>
      <w:r>
        <w:rPr/>
        <w:t> </w:t>
      </w:r>
      <w:r>
        <w:rPr>
          <w:w w:val="149"/>
        </w:rPr>
        <w:t>s</w:t>
      </w:r>
      <w:r>
        <w:rPr>
          <w:w w:val="108"/>
        </w:rPr>
        <w:t>tephen</w:t>
      </w:r>
      <w:r>
        <w:rPr/>
        <w:t> </w:t>
      </w:r>
      <w:r>
        <w:rPr>
          <w:w w:val="102"/>
        </w:rPr>
        <w:t>2011</w:t>
      </w:r>
      <w:r>
        <w:rPr/>
        <w:t> </w:t>
      </w:r>
      <w:r>
        <w:rPr>
          <w:w w:val="115"/>
        </w:rPr>
        <w:t>“</w:t>
      </w:r>
      <w:r>
        <w:rPr>
          <w:w w:val="149"/>
        </w:rPr>
        <w:t>o</w:t>
      </w:r>
      <w:r>
        <w:rPr>
          <w:w w:val="110"/>
        </w:rPr>
        <w:t>bama’</w:t>
      </w:r>
      <w:r>
        <w:rPr>
          <w:w w:val="105"/>
        </w:rPr>
        <w:t>s</w:t>
      </w:r>
      <w:r>
        <w:rPr/>
        <w:t> </w:t>
      </w:r>
      <w:r>
        <w:rPr>
          <w:w w:val="182"/>
        </w:rPr>
        <w:t>r</w:t>
      </w:r>
      <w:r>
        <w:rPr>
          <w:w w:val="110"/>
        </w:rPr>
        <w:t>ussia</w:t>
      </w:r>
      <w:r>
        <w:rPr/>
        <w:t> </w:t>
      </w:r>
      <w:r>
        <w:rPr>
          <w:w w:val="94"/>
        </w:rPr>
        <w:t>‘</w:t>
      </w:r>
      <w:r>
        <w:rPr>
          <w:w w:val="182"/>
        </w:rPr>
        <w:t>r</w:t>
      </w:r>
      <w:r>
        <w:rPr>
          <w:w w:val="104"/>
        </w:rPr>
        <w:t>eset’:</w:t>
      </w:r>
      <w:r>
        <w:rPr/>
        <w:t> </w:t>
      </w:r>
      <w:r>
        <w:rPr>
          <w:w w:val="139"/>
        </w:rPr>
        <w:t>a</w:t>
      </w:r>
      <w:r>
        <w:rPr>
          <w:w w:val="108"/>
        </w:rPr>
        <w:t>nother</w:t>
      </w:r>
      <w:r>
        <w:rPr/>
        <w:t> </w:t>
      </w:r>
      <w:r>
        <w:rPr>
          <w:w w:val="243"/>
        </w:rPr>
        <w:t>l</w:t>
      </w:r>
      <w:r>
        <w:rPr>
          <w:w w:val="107"/>
        </w:rPr>
        <w:t>ost </w:t>
      </w:r>
      <w:r>
        <w:rPr>
          <w:w w:val="115"/>
        </w:rPr>
        <w:t>opportunity?”, en </w:t>
      </w:r>
      <w:r>
        <w:rPr>
          <w:i/>
          <w:w w:val="115"/>
        </w:rPr>
        <w:t>The Nation</w:t>
      </w:r>
      <w:r>
        <w:rPr>
          <w:w w:val="115"/>
        </w:rPr>
        <w:t>, June 1, 2011.</w:t>
      </w:r>
    </w:p>
    <w:p>
      <w:pPr>
        <w:spacing w:line="252" w:lineRule="auto" w:before="28"/>
        <w:ind w:left="727" w:right="531" w:hanging="397"/>
        <w:jc w:val="left"/>
        <w:rPr>
          <w:sz w:val="19"/>
        </w:rPr>
      </w:pPr>
      <w:r>
        <w:rPr>
          <w:w w:val="115"/>
          <w:sz w:val="19"/>
        </w:rPr>
        <w:t>dormand,</w:t>
      </w:r>
      <w:r>
        <w:rPr>
          <w:spacing w:val="-7"/>
          <w:w w:val="115"/>
          <w:sz w:val="19"/>
        </w:rPr>
        <w:t> </w:t>
      </w:r>
      <w:r>
        <w:rPr>
          <w:w w:val="115"/>
          <w:sz w:val="19"/>
        </w:rPr>
        <w:t>andrew</w:t>
      </w:r>
      <w:r>
        <w:rPr>
          <w:spacing w:val="-7"/>
          <w:w w:val="115"/>
          <w:sz w:val="19"/>
        </w:rPr>
        <w:t> </w:t>
      </w:r>
      <w:r>
        <w:rPr>
          <w:w w:val="115"/>
          <w:sz w:val="19"/>
        </w:rPr>
        <w:t>y</w:t>
      </w:r>
      <w:r>
        <w:rPr>
          <w:spacing w:val="-7"/>
          <w:w w:val="115"/>
          <w:sz w:val="19"/>
        </w:rPr>
        <w:t> </w:t>
      </w:r>
      <w:r>
        <w:rPr>
          <w:w w:val="115"/>
          <w:sz w:val="19"/>
        </w:rPr>
        <w:t>Joyce</w:t>
      </w:r>
      <w:r>
        <w:rPr>
          <w:spacing w:val="-7"/>
          <w:w w:val="115"/>
          <w:sz w:val="19"/>
        </w:rPr>
        <w:t> </w:t>
      </w:r>
      <w:r>
        <w:rPr>
          <w:w w:val="130"/>
          <w:sz w:val="19"/>
        </w:rPr>
        <w:t>r.</w:t>
      </w:r>
      <w:r>
        <w:rPr>
          <w:spacing w:val="-13"/>
          <w:w w:val="130"/>
          <w:sz w:val="19"/>
        </w:rPr>
        <w:t> </w:t>
      </w:r>
      <w:r>
        <w:rPr>
          <w:w w:val="115"/>
          <w:sz w:val="19"/>
        </w:rPr>
        <w:t>Kaufman</w:t>
      </w:r>
      <w:r>
        <w:rPr>
          <w:spacing w:val="-7"/>
          <w:w w:val="115"/>
          <w:sz w:val="19"/>
        </w:rPr>
        <w:t> </w:t>
      </w:r>
      <w:r>
        <w:rPr>
          <w:w w:val="115"/>
          <w:sz w:val="19"/>
        </w:rPr>
        <w:t>(eds.)</w:t>
      </w:r>
      <w:r>
        <w:rPr>
          <w:spacing w:val="-7"/>
          <w:w w:val="115"/>
          <w:sz w:val="19"/>
        </w:rPr>
        <w:t> </w:t>
      </w:r>
      <w:r>
        <w:rPr>
          <w:w w:val="115"/>
          <w:sz w:val="19"/>
        </w:rPr>
        <w:t>2014</w:t>
      </w:r>
      <w:r>
        <w:rPr>
          <w:spacing w:val="-7"/>
          <w:w w:val="115"/>
          <w:sz w:val="19"/>
        </w:rPr>
        <w:t> </w:t>
      </w:r>
      <w:r>
        <w:rPr>
          <w:i/>
          <w:w w:val="115"/>
          <w:sz w:val="19"/>
        </w:rPr>
        <w:t>Providing</w:t>
      </w:r>
      <w:r>
        <w:rPr>
          <w:i/>
          <w:spacing w:val="-7"/>
          <w:w w:val="115"/>
          <w:sz w:val="19"/>
        </w:rPr>
        <w:t> </w:t>
      </w:r>
      <w:r>
        <w:rPr>
          <w:i/>
          <w:w w:val="115"/>
          <w:sz w:val="19"/>
        </w:rPr>
        <w:t>for </w:t>
      </w:r>
      <w:r>
        <w:rPr>
          <w:i/>
          <w:w w:val="115"/>
          <w:sz w:val="19"/>
        </w:rPr>
        <w:t>national</w:t>
      </w:r>
      <w:r>
        <w:rPr>
          <w:i/>
          <w:spacing w:val="-25"/>
          <w:w w:val="115"/>
          <w:sz w:val="19"/>
        </w:rPr>
        <w:t> </w:t>
      </w:r>
      <w:r>
        <w:rPr>
          <w:i/>
          <w:w w:val="115"/>
          <w:sz w:val="19"/>
        </w:rPr>
        <w:t>security:</w:t>
      </w:r>
      <w:r>
        <w:rPr>
          <w:i/>
          <w:spacing w:val="-25"/>
          <w:w w:val="115"/>
          <w:sz w:val="19"/>
        </w:rPr>
        <w:t> </w:t>
      </w:r>
      <w:r>
        <w:rPr>
          <w:i/>
          <w:w w:val="115"/>
          <w:sz w:val="19"/>
        </w:rPr>
        <w:t>A</w:t>
      </w:r>
      <w:r>
        <w:rPr>
          <w:i/>
          <w:spacing w:val="-25"/>
          <w:w w:val="115"/>
          <w:sz w:val="19"/>
        </w:rPr>
        <w:t> </w:t>
      </w:r>
      <w:r>
        <w:rPr>
          <w:i/>
          <w:w w:val="115"/>
          <w:sz w:val="19"/>
        </w:rPr>
        <w:t>comparative</w:t>
      </w:r>
      <w:r>
        <w:rPr>
          <w:i/>
          <w:spacing w:val="-25"/>
          <w:w w:val="115"/>
          <w:sz w:val="19"/>
        </w:rPr>
        <w:t> </w:t>
      </w:r>
      <w:r>
        <w:rPr>
          <w:i/>
          <w:w w:val="115"/>
          <w:sz w:val="19"/>
        </w:rPr>
        <w:t>analysis</w:t>
      </w:r>
      <w:r>
        <w:rPr>
          <w:i/>
          <w:spacing w:val="-25"/>
          <w:w w:val="115"/>
          <w:sz w:val="19"/>
        </w:rPr>
        <w:t> </w:t>
      </w:r>
      <w:r>
        <w:rPr>
          <w:w w:val="115"/>
          <w:sz w:val="19"/>
        </w:rPr>
        <w:t>(stanford:</w:t>
      </w:r>
      <w:r>
        <w:rPr>
          <w:spacing w:val="-25"/>
          <w:w w:val="115"/>
          <w:sz w:val="19"/>
        </w:rPr>
        <w:t> </w:t>
      </w:r>
      <w:r>
        <w:rPr>
          <w:w w:val="115"/>
          <w:sz w:val="19"/>
        </w:rPr>
        <w:t>stanford security</w:t>
      </w:r>
      <w:r>
        <w:rPr>
          <w:spacing w:val="-5"/>
          <w:w w:val="115"/>
          <w:sz w:val="19"/>
        </w:rPr>
        <w:t> </w:t>
      </w:r>
      <w:r>
        <w:rPr>
          <w:w w:val="115"/>
          <w:sz w:val="19"/>
        </w:rPr>
        <w:t>studies).</w:t>
      </w:r>
    </w:p>
    <w:p>
      <w:pPr>
        <w:spacing w:line="252" w:lineRule="auto" w:before="28"/>
        <w:ind w:left="727" w:right="192" w:hanging="397"/>
        <w:jc w:val="left"/>
        <w:rPr>
          <w:sz w:val="19"/>
        </w:rPr>
      </w:pPr>
      <w:r>
        <w:rPr>
          <w:spacing w:val="-4"/>
          <w:w w:val="110"/>
          <w:sz w:val="19"/>
        </w:rPr>
        <w:t>ivanov, </w:t>
      </w:r>
      <w:r>
        <w:rPr>
          <w:w w:val="110"/>
          <w:sz w:val="19"/>
        </w:rPr>
        <w:t>igor 2012 </w:t>
      </w:r>
      <w:r>
        <w:rPr>
          <w:i/>
          <w:w w:val="110"/>
          <w:sz w:val="19"/>
        </w:rPr>
        <w:t>El futuro pertenece a una política exterior  </w:t>
      </w:r>
      <w:r>
        <w:rPr>
          <w:i/>
          <w:w w:val="110"/>
          <w:sz w:val="19"/>
        </w:rPr>
        <w:t>inteligente. Política Exterior de Rusia 2000-2020</w:t>
      </w:r>
      <w:r>
        <w:rPr>
          <w:w w:val="110"/>
          <w:sz w:val="19"/>
        </w:rPr>
        <w:t>, Consejo ruso de relaciones Exteriores, aspect Press (en  </w:t>
      </w:r>
      <w:r>
        <w:rPr>
          <w:spacing w:val="9"/>
          <w:w w:val="110"/>
          <w:sz w:val="19"/>
        </w:rPr>
        <w:t> </w:t>
      </w:r>
      <w:r>
        <w:rPr>
          <w:w w:val="110"/>
          <w:sz w:val="19"/>
        </w:rPr>
        <w:t>ruso).</w:t>
      </w:r>
    </w:p>
    <w:p>
      <w:pPr>
        <w:pStyle w:val="BodyText"/>
        <w:spacing w:line="252" w:lineRule="auto" w:before="28"/>
        <w:ind w:left="727" w:right="773" w:hanging="397"/>
      </w:pPr>
      <w:r>
        <w:rPr>
          <w:w w:val="113"/>
        </w:rPr>
        <w:t>Merino,</w:t>
      </w:r>
      <w:r>
        <w:rPr>
          <w:spacing w:val="12"/>
        </w:rPr>
        <w:t> </w:t>
      </w:r>
      <w:r>
        <w:rPr>
          <w:w w:val="113"/>
        </w:rPr>
        <w:t>Gabriel</w:t>
      </w:r>
      <w:r>
        <w:rPr>
          <w:spacing w:val="12"/>
        </w:rPr>
        <w:t> </w:t>
      </w:r>
      <w:r>
        <w:rPr>
          <w:w w:val="102"/>
        </w:rPr>
        <w:t>2014</w:t>
      </w:r>
      <w:r>
        <w:rPr>
          <w:spacing w:val="12"/>
        </w:rPr>
        <w:t> </w:t>
      </w:r>
      <w:r>
        <w:rPr>
          <w:w w:val="115"/>
        </w:rPr>
        <w:t>“</w:t>
      </w:r>
      <w:r>
        <w:rPr>
          <w:w w:val="243"/>
        </w:rPr>
        <w:t>l</w:t>
      </w:r>
      <w:r>
        <w:rPr>
          <w:w w:val="113"/>
        </w:rPr>
        <w:t>ucha</w:t>
      </w:r>
      <w:r>
        <w:rPr>
          <w:spacing w:val="12"/>
        </w:rPr>
        <w:t> </w:t>
      </w:r>
      <w:r>
        <w:rPr>
          <w:w w:val="106"/>
        </w:rPr>
        <w:t>entre</w:t>
      </w:r>
      <w:r>
        <w:rPr>
          <w:spacing w:val="12"/>
        </w:rPr>
        <w:t> </w:t>
      </w:r>
      <w:r>
        <w:rPr>
          <w:w w:val="109"/>
        </w:rPr>
        <w:t>polos</w:t>
      </w:r>
      <w:r>
        <w:rPr>
          <w:spacing w:val="12"/>
        </w:rPr>
        <w:t> </w:t>
      </w:r>
      <w:r>
        <w:rPr>
          <w:w w:val="107"/>
        </w:rPr>
        <w:t>de</w:t>
      </w:r>
      <w:r>
        <w:rPr>
          <w:spacing w:val="12"/>
        </w:rPr>
        <w:t> </w:t>
      </w:r>
      <w:r>
        <w:rPr>
          <w:w w:val="107"/>
        </w:rPr>
        <w:t>poder</w:t>
      </w:r>
      <w:r>
        <w:rPr>
          <w:spacing w:val="12"/>
        </w:rPr>
        <w:t> </w:t>
      </w:r>
      <w:r>
        <w:rPr>
          <w:w w:val="108"/>
        </w:rPr>
        <w:t>por</w:t>
      </w:r>
      <w:r>
        <w:rPr>
          <w:spacing w:val="12"/>
        </w:rPr>
        <w:t> </w:t>
      </w:r>
      <w:r>
        <w:rPr>
          <w:w w:val="111"/>
        </w:rPr>
        <w:t>la </w:t>
      </w:r>
      <w:r>
        <w:rPr>
          <w:w w:val="115"/>
        </w:rPr>
        <w:t>configuración</w:t>
      </w:r>
      <w:r>
        <w:rPr>
          <w:spacing w:val="-16"/>
          <w:w w:val="115"/>
        </w:rPr>
        <w:t> </w:t>
      </w:r>
      <w:r>
        <w:rPr>
          <w:w w:val="115"/>
        </w:rPr>
        <w:t>del</w:t>
      </w:r>
      <w:r>
        <w:rPr>
          <w:spacing w:val="-16"/>
          <w:w w:val="115"/>
        </w:rPr>
        <w:t> </w:t>
      </w:r>
      <w:r>
        <w:rPr>
          <w:w w:val="115"/>
        </w:rPr>
        <w:t>orden</w:t>
      </w:r>
      <w:r>
        <w:rPr>
          <w:spacing w:val="-16"/>
          <w:w w:val="115"/>
        </w:rPr>
        <w:t> </w:t>
      </w:r>
      <w:r>
        <w:rPr>
          <w:w w:val="115"/>
        </w:rPr>
        <w:t>mundial.</w:t>
      </w:r>
      <w:r>
        <w:rPr>
          <w:spacing w:val="-16"/>
          <w:w w:val="115"/>
        </w:rPr>
        <w:t> </w:t>
      </w:r>
      <w:r>
        <w:rPr>
          <w:w w:val="115"/>
        </w:rPr>
        <w:t>El</w:t>
      </w:r>
      <w:r>
        <w:rPr>
          <w:spacing w:val="-16"/>
          <w:w w:val="115"/>
        </w:rPr>
        <w:t> </w:t>
      </w:r>
      <w:r>
        <w:rPr>
          <w:w w:val="115"/>
        </w:rPr>
        <w:t>escenario</w:t>
      </w:r>
      <w:r>
        <w:rPr>
          <w:spacing w:val="-16"/>
          <w:w w:val="115"/>
        </w:rPr>
        <w:t> </w:t>
      </w:r>
      <w:r>
        <w:rPr>
          <w:w w:val="115"/>
        </w:rPr>
        <w:t>actual”,</w:t>
      </w:r>
      <w:r>
        <w:rPr>
          <w:spacing w:val="-16"/>
          <w:w w:val="115"/>
        </w:rPr>
        <w:t> </w:t>
      </w:r>
      <w:r>
        <w:rPr>
          <w:w w:val="115"/>
        </w:rPr>
        <w:t>en </w:t>
      </w:r>
      <w:r>
        <w:rPr>
          <w:i/>
          <w:w w:val="111"/>
        </w:rPr>
        <w:t>Revista</w:t>
      </w:r>
      <w:r>
        <w:rPr>
          <w:i/>
          <w:spacing w:val="12"/>
        </w:rPr>
        <w:t> </w:t>
      </w:r>
      <w:r>
        <w:rPr>
          <w:i/>
          <w:w w:val="104"/>
        </w:rPr>
        <w:t>de</w:t>
      </w:r>
      <w:r>
        <w:rPr>
          <w:i/>
          <w:spacing w:val="12"/>
        </w:rPr>
        <w:t> </w:t>
      </w:r>
      <w:r>
        <w:rPr>
          <w:i/>
          <w:w w:val="115"/>
        </w:rPr>
        <w:t>Estudios</w:t>
      </w:r>
      <w:r>
        <w:rPr>
          <w:i/>
          <w:spacing w:val="12"/>
        </w:rPr>
        <w:t> </w:t>
      </w:r>
      <w:r>
        <w:rPr>
          <w:i/>
          <w:w w:val="108"/>
        </w:rPr>
        <w:t>Estratégicos</w:t>
      </w:r>
      <w:r>
        <w:rPr>
          <w:i/>
          <w:spacing w:val="12"/>
        </w:rPr>
        <w:t> </w:t>
      </w:r>
      <w:r>
        <w:rPr>
          <w:w w:val="98"/>
        </w:rPr>
        <w:t>(</w:t>
      </w:r>
      <w:r>
        <w:rPr>
          <w:w w:val="243"/>
        </w:rPr>
        <w:t>l</w:t>
      </w:r>
      <w:r>
        <w:rPr>
          <w:w w:val="112"/>
        </w:rPr>
        <w:t>a</w:t>
      </w:r>
      <w:r>
        <w:rPr>
          <w:spacing w:val="12"/>
        </w:rPr>
        <w:t> </w:t>
      </w:r>
      <w:r>
        <w:rPr>
          <w:w w:val="113"/>
        </w:rPr>
        <w:t>Habana:</w:t>
      </w:r>
      <w:r>
        <w:rPr>
          <w:spacing w:val="12"/>
        </w:rPr>
        <w:t> </w:t>
      </w:r>
      <w:r>
        <w:rPr>
          <w:w w:val="124"/>
        </w:rPr>
        <w:t>C</w:t>
      </w:r>
      <w:r>
        <w:rPr>
          <w:w w:val="142"/>
        </w:rPr>
        <w:t>i</w:t>
      </w:r>
      <w:r>
        <w:rPr>
          <w:w w:val="113"/>
        </w:rPr>
        <w:t>P</w:t>
      </w:r>
      <w:r>
        <w:rPr>
          <w:w w:val="142"/>
        </w:rPr>
        <w:t>i</w:t>
      </w:r>
      <w:r>
        <w:rPr>
          <w:w w:val="112"/>
        </w:rPr>
        <w:t>).</w:t>
      </w:r>
    </w:p>
    <w:p>
      <w:pPr>
        <w:spacing w:line="252" w:lineRule="auto" w:before="28"/>
        <w:ind w:left="727" w:right="603" w:hanging="397"/>
        <w:jc w:val="left"/>
        <w:rPr>
          <w:sz w:val="19"/>
        </w:rPr>
      </w:pPr>
      <w:r>
        <w:rPr>
          <w:w w:val="115"/>
          <w:sz w:val="19"/>
        </w:rPr>
        <w:t>redondo ramos, </w:t>
      </w:r>
      <w:r>
        <w:rPr>
          <w:w w:val="125"/>
          <w:sz w:val="19"/>
        </w:rPr>
        <w:t>o. </w:t>
      </w:r>
      <w:r>
        <w:rPr>
          <w:w w:val="115"/>
          <w:sz w:val="19"/>
        </w:rPr>
        <w:t>2003 </w:t>
      </w:r>
      <w:r>
        <w:rPr>
          <w:i/>
          <w:w w:val="115"/>
          <w:sz w:val="19"/>
        </w:rPr>
        <w:t>Diplomacia pública de Estados Unidos </w:t>
      </w:r>
      <w:r>
        <w:rPr>
          <w:i/>
          <w:w w:val="115"/>
          <w:sz w:val="19"/>
        </w:rPr>
        <w:t>hacia</w:t>
      </w:r>
      <w:r>
        <w:rPr>
          <w:i/>
          <w:spacing w:val="-29"/>
          <w:w w:val="115"/>
          <w:sz w:val="19"/>
        </w:rPr>
        <w:t> </w:t>
      </w:r>
      <w:r>
        <w:rPr>
          <w:i/>
          <w:w w:val="115"/>
          <w:sz w:val="19"/>
        </w:rPr>
        <w:t>Rusia</w:t>
      </w:r>
      <w:r>
        <w:rPr>
          <w:i/>
          <w:spacing w:val="-29"/>
          <w:w w:val="115"/>
          <w:sz w:val="19"/>
        </w:rPr>
        <w:t> </w:t>
      </w:r>
      <w:r>
        <w:rPr>
          <w:i/>
          <w:w w:val="115"/>
          <w:sz w:val="19"/>
        </w:rPr>
        <w:t>durante</w:t>
      </w:r>
      <w:r>
        <w:rPr>
          <w:i/>
          <w:spacing w:val="-29"/>
          <w:w w:val="115"/>
          <w:sz w:val="19"/>
        </w:rPr>
        <w:t> </w:t>
      </w:r>
      <w:r>
        <w:rPr>
          <w:i/>
          <w:w w:val="115"/>
          <w:sz w:val="19"/>
        </w:rPr>
        <w:t>el</w:t>
      </w:r>
      <w:r>
        <w:rPr>
          <w:i/>
          <w:spacing w:val="-29"/>
          <w:w w:val="115"/>
          <w:sz w:val="19"/>
        </w:rPr>
        <w:t> </w:t>
      </w:r>
      <w:r>
        <w:rPr>
          <w:i/>
          <w:w w:val="115"/>
          <w:sz w:val="19"/>
        </w:rPr>
        <w:t>primer</w:t>
      </w:r>
      <w:r>
        <w:rPr>
          <w:i/>
          <w:spacing w:val="-29"/>
          <w:w w:val="115"/>
          <w:sz w:val="19"/>
        </w:rPr>
        <w:t> </w:t>
      </w:r>
      <w:r>
        <w:rPr>
          <w:i/>
          <w:w w:val="115"/>
          <w:sz w:val="19"/>
        </w:rPr>
        <w:t>periodo</w:t>
      </w:r>
      <w:r>
        <w:rPr>
          <w:i/>
          <w:spacing w:val="-29"/>
          <w:w w:val="115"/>
          <w:sz w:val="19"/>
        </w:rPr>
        <w:t> </w:t>
      </w:r>
      <w:r>
        <w:rPr>
          <w:i/>
          <w:w w:val="115"/>
          <w:sz w:val="19"/>
        </w:rPr>
        <w:t>presidencial</w:t>
      </w:r>
      <w:r>
        <w:rPr>
          <w:i/>
          <w:spacing w:val="-29"/>
          <w:w w:val="115"/>
          <w:sz w:val="19"/>
        </w:rPr>
        <w:t> </w:t>
      </w:r>
      <w:r>
        <w:rPr>
          <w:i/>
          <w:w w:val="115"/>
          <w:sz w:val="19"/>
        </w:rPr>
        <w:t>de</w:t>
      </w:r>
      <w:r>
        <w:rPr>
          <w:i/>
          <w:spacing w:val="-29"/>
          <w:w w:val="115"/>
          <w:sz w:val="19"/>
        </w:rPr>
        <w:t> </w:t>
      </w:r>
      <w:r>
        <w:rPr>
          <w:i/>
          <w:w w:val="115"/>
          <w:sz w:val="19"/>
        </w:rPr>
        <w:t>Barack </w:t>
      </w:r>
      <w:r>
        <w:rPr>
          <w:i/>
          <w:w w:val="156"/>
          <w:sz w:val="19"/>
        </w:rPr>
        <w:t>o</w:t>
      </w:r>
      <w:r>
        <w:rPr>
          <w:i/>
          <w:w w:val="109"/>
          <w:sz w:val="19"/>
        </w:rPr>
        <w:t>bama</w:t>
      </w:r>
      <w:r>
        <w:rPr>
          <w:i/>
          <w:spacing w:val="12"/>
          <w:sz w:val="19"/>
        </w:rPr>
        <w:t> </w:t>
      </w:r>
      <w:r>
        <w:rPr>
          <w:w w:val="98"/>
          <w:sz w:val="19"/>
        </w:rPr>
        <w:t>(</w:t>
      </w:r>
      <w:r>
        <w:rPr>
          <w:w w:val="243"/>
          <w:sz w:val="19"/>
        </w:rPr>
        <w:t>l</w:t>
      </w:r>
      <w:r>
        <w:rPr>
          <w:w w:val="112"/>
          <w:sz w:val="19"/>
        </w:rPr>
        <w:t>a</w:t>
      </w:r>
      <w:r>
        <w:rPr>
          <w:spacing w:val="12"/>
          <w:sz w:val="19"/>
        </w:rPr>
        <w:t> </w:t>
      </w:r>
      <w:r>
        <w:rPr>
          <w:w w:val="113"/>
          <w:sz w:val="19"/>
        </w:rPr>
        <w:t>Habana:</w:t>
      </w:r>
      <w:r>
        <w:rPr>
          <w:spacing w:val="12"/>
          <w:sz w:val="19"/>
        </w:rPr>
        <w:t> </w:t>
      </w:r>
      <w:r>
        <w:rPr>
          <w:w w:val="142"/>
          <w:sz w:val="19"/>
        </w:rPr>
        <w:t>i</w:t>
      </w:r>
      <w:r>
        <w:rPr>
          <w:w w:val="109"/>
          <w:sz w:val="19"/>
        </w:rPr>
        <w:t>nstituto</w:t>
      </w:r>
      <w:r>
        <w:rPr>
          <w:spacing w:val="12"/>
          <w:sz w:val="19"/>
        </w:rPr>
        <w:t> </w:t>
      </w:r>
      <w:r>
        <w:rPr>
          <w:w w:val="149"/>
          <w:sz w:val="19"/>
        </w:rPr>
        <w:t>s</w:t>
      </w:r>
      <w:r>
        <w:rPr>
          <w:w w:val="108"/>
          <w:sz w:val="19"/>
        </w:rPr>
        <w:t>uperior</w:t>
      </w:r>
      <w:r>
        <w:rPr>
          <w:spacing w:val="12"/>
          <w:sz w:val="19"/>
        </w:rPr>
        <w:t> </w:t>
      </w:r>
      <w:r>
        <w:rPr>
          <w:w w:val="107"/>
          <w:sz w:val="19"/>
        </w:rPr>
        <w:t>de</w:t>
      </w:r>
      <w:r>
        <w:rPr>
          <w:spacing w:val="12"/>
          <w:sz w:val="19"/>
        </w:rPr>
        <w:t> </w:t>
      </w:r>
      <w:r>
        <w:rPr>
          <w:w w:val="182"/>
          <w:sz w:val="19"/>
        </w:rPr>
        <w:t>r</w:t>
      </w:r>
      <w:r>
        <w:rPr>
          <w:w w:val="109"/>
          <w:sz w:val="19"/>
        </w:rPr>
        <w:t>elaciones </w:t>
      </w:r>
      <w:r>
        <w:rPr>
          <w:w w:val="115"/>
          <w:sz w:val="19"/>
        </w:rPr>
        <w:t>internacionales “raúl roa </w:t>
      </w:r>
      <w:r>
        <w:rPr>
          <w:spacing w:val="20"/>
          <w:w w:val="115"/>
          <w:sz w:val="19"/>
        </w:rPr>
        <w:t> </w:t>
      </w:r>
      <w:r>
        <w:rPr>
          <w:w w:val="115"/>
          <w:sz w:val="19"/>
        </w:rPr>
        <w:t>García”).</w:t>
      </w:r>
    </w:p>
    <w:p>
      <w:pPr>
        <w:spacing w:after="0" w:line="252" w:lineRule="auto"/>
        <w:jc w:val="left"/>
        <w:rPr>
          <w:sz w:val="19"/>
        </w:rPr>
        <w:sectPr>
          <w:pgSz w:w="8790" w:h="12760"/>
          <w:pgMar w:header="697" w:footer="725" w:top="880" w:bottom="920" w:left="1200" w:right="900"/>
        </w:sectPr>
      </w:pPr>
    </w:p>
    <w:p>
      <w:pPr>
        <w:pStyle w:val="BodyText"/>
        <w:rPr>
          <w:sz w:val="20"/>
        </w:rPr>
      </w:pPr>
    </w:p>
    <w:p>
      <w:pPr>
        <w:pStyle w:val="BodyText"/>
        <w:rPr>
          <w:sz w:val="20"/>
        </w:rPr>
      </w:pPr>
    </w:p>
    <w:p>
      <w:pPr>
        <w:pStyle w:val="BodyText"/>
        <w:spacing w:before="10"/>
        <w:rPr>
          <w:sz w:val="27"/>
        </w:rPr>
      </w:pPr>
    </w:p>
    <w:p>
      <w:pPr>
        <w:pStyle w:val="Heading3"/>
      </w:pPr>
      <w:r>
        <w:rPr/>
        <w:t>Claudio Katz*</w:t>
      </w:r>
    </w:p>
    <w:p>
      <w:pPr>
        <w:pStyle w:val="BodyText"/>
        <w:spacing w:before="9"/>
        <w:rPr>
          <w:sz w:val="20"/>
        </w:rPr>
      </w:pPr>
    </w:p>
    <w:p>
      <w:pPr>
        <w:spacing w:line="340" w:lineRule="exact" w:before="0"/>
        <w:ind w:left="789" w:right="1015" w:firstLine="0"/>
        <w:jc w:val="center"/>
        <w:rPr>
          <w:rFonts w:ascii="Times New Roman"/>
          <w:b/>
          <w:sz w:val="30"/>
        </w:rPr>
      </w:pPr>
      <w:r>
        <w:rPr>
          <w:rFonts w:ascii="Times New Roman"/>
          <w:b/>
          <w:spacing w:val="1"/>
          <w:w w:val="135"/>
          <w:sz w:val="30"/>
        </w:rPr>
        <w:t>la</w:t>
      </w:r>
      <w:r>
        <w:rPr>
          <w:rFonts w:ascii="Times New Roman"/>
          <w:b/>
          <w:spacing w:val="-73"/>
          <w:w w:val="135"/>
          <w:sz w:val="30"/>
        </w:rPr>
        <w:t> </w:t>
      </w:r>
      <w:r>
        <w:rPr>
          <w:rFonts w:ascii="Times New Roman"/>
          <w:b/>
          <w:spacing w:val="-3"/>
          <w:w w:val="135"/>
          <w:sz w:val="30"/>
        </w:rPr>
        <w:t>nueva</w:t>
      </w:r>
      <w:r>
        <w:rPr>
          <w:rFonts w:ascii="Times New Roman"/>
          <w:b/>
          <w:spacing w:val="-73"/>
          <w:w w:val="135"/>
          <w:sz w:val="30"/>
        </w:rPr>
        <w:t> </w:t>
      </w:r>
      <w:r>
        <w:rPr>
          <w:rFonts w:ascii="Times New Roman"/>
          <w:b/>
          <w:w w:val="135"/>
          <w:sz w:val="30"/>
        </w:rPr>
        <w:t>estrateGia</w:t>
      </w:r>
      <w:r>
        <w:rPr>
          <w:rFonts w:ascii="Times New Roman"/>
          <w:b/>
          <w:spacing w:val="-73"/>
          <w:w w:val="135"/>
          <w:sz w:val="30"/>
        </w:rPr>
        <w:t> </w:t>
      </w:r>
      <w:r>
        <w:rPr>
          <w:rFonts w:ascii="Times New Roman"/>
          <w:b/>
          <w:spacing w:val="1"/>
          <w:w w:val="135"/>
          <w:sz w:val="30"/>
        </w:rPr>
        <w:t>iMPerial </w:t>
      </w:r>
      <w:r>
        <w:rPr>
          <w:rFonts w:ascii="Times New Roman"/>
          <w:b/>
          <w:w w:val="130"/>
          <w:sz w:val="30"/>
        </w:rPr>
        <w:t>de estados</w:t>
      </w:r>
      <w:r>
        <w:rPr>
          <w:rFonts w:ascii="Times New Roman"/>
          <w:b/>
          <w:spacing w:val="-66"/>
          <w:w w:val="130"/>
          <w:sz w:val="30"/>
        </w:rPr>
        <w:t> </w:t>
      </w:r>
      <w:r>
        <w:rPr>
          <w:rFonts w:ascii="Times New Roman"/>
          <w:b/>
          <w:spacing w:val="2"/>
          <w:w w:val="130"/>
          <w:sz w:val="30"/>
        </w:rPr>
        <w:t>unidos**</w:t>
      </w: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spacing w:before="7"/>
        <w:rPr>
          <w:rFonts w:ascii="Times New Roman"/>
          <w:b/>
          <w:sz w:val="39"/>
        </w:rPr>
      </w:pPr>
    </w:p>
    <w:p>
      <w:pPr>
        <w:pStyle w:val="Heading6"/>
        <w:jc w:val="left"/>
      </w:pPr>
      <w:r>
        <w:rPr>
          <w:w w:val="140"/>
        </w:rPr>
        <w:t>introducción</w:t>
      </w:r>
    </w:p>
    <w:p>
      <w:pPr>
        <w:pStyle w:val="BodyText"/>
        <w:spacing w:line="252" w:lineRule="auto" w:before="10"/>
        <w:ind w:left="100" w:right="328"/>
        <w:jc w:val="both"/>
      </w:pPr>
      <w:r>
        <w:rPr>
          <w:w w:val="110"/>
        </w:rPr>
        <w:t>En los últimos seis años el gobierno estadounidense instrumentó un gran socorro para rescatar a los financistas que especularon con cré- </w:t>
      </w:r>
      <w:r>
        <w:rPr>
          <w:w w:val="109"/>
        </w:rPr>
        <w:t>ditos</w:t>
      </w:r>
      <w:r>
        <w:rPr/>
        <w:t> </w:t>
      </w:r>
      <w:r>
        <w:rPr>
          <w:i/>
          <w:w w:val="111"/>
        </w:rPr>
        <w:t>subprime</w:t>
      </w:r>
      <w:r>
        <w:rPr>
          <w:w w:val="138"/>
        </w:rPr>
        <w:t>,</w:t>
      </w:r>
      <w:r>
        <w:rPr/>
        <w:t> </w:t>
      </w:r>
      <w:r>
        <w:rPr>
          <w:w w:val="110"/>
        </w:rPr>
        <w:t>burbujas</w:t>
      </w:r>
      <w:r>
        <w:rPr/>
        <w:t> </w:t>
      </w:r>
      <w:r>
        <w:rPr>
          <w:w w:val="105"/>
        </w:rPr>
        <w:t>y</w:t>
      </w:r>
      <w:r>
        <w:rPr/>
        <w:t> </w:t>
      </w:r>
      <w:r>
        <w:rPr>
          <w:w w:val="109"/>
        </w:rPr>
        <w:t>bonos</w:t>
      </w:r>
      <w:r>
        <w:rPr/>
        <w:t> </w:t>
      </w:r>
      <w:r>
        <w:rPr>
          <w:w w:val="110"/>
        </w:rPr>
        <w:t>empaquetados.</w:t>
      </w:r>
      <w:r>
        <w:rPr/>
        <w:t> </w:t>
      </w:r>
      <w:r>
        <w:rPr>
          <w:w w:val="243"/>
        </w:rPr>
        <w:t>l</w:t>
      </w:r>
      <w:r>
        <w:rPr>
          <w:w w:val="109"/>
        </w:rPr>
        <w:t>as</w:t>
      </w:r>
      <w:r>
        <w:rPr/>
        <w:t> </w:t>
      </w:r>
      <w:r>
        <w:rPr>
          <w:w w:val="109"/>
        </w:rPr>
        <w:t>investigaciones </w:t>
      </w:r>
      <w:r>
        <w:rPr>
          <w:w w:val="110"/>
        </w:rPr>
        <w:t>sobre el rol de Goldman sachs en el diseño de hipotecas titulariza- </w:t>
      </w:r>
      <w:r>
        <w:rPr>
          <w:w w:val="109"/>
        </w:rPr>
        <w:t>das</w:t>
      </w:r>
      <w:r>
        <w:rPr/>
        <w:t> </w:t>
      </w:r>
      <w:r>
        <w:rPr>
          <w:w w:val="110"/>
        </w:rPr>
        <w:t>fueron</w:t>
      </w:r>
      <w:r>
        <w:rPr/>
        <w:t> </w:t>
      </w:r>
      <w:r>
        <w:rPr>
          <w:w w:val="110"/>
        </w:rPr>
        <w:t>cerradas.</w:t>
      </w:r>
      <w:r>
        <w:rPr/>
        <w:t> </w:t>
      </w:r>
      <w:r>
        <w:rPr>
          <w:w w:val="243"/>
        </w:rPr>
        <w:t>l</w:t>
      </w:r>
      <w:r>
        <w:rPr>
          <w:w w:val="108"/>
        </w:rPr>
        <w:t>os</w:t>
      </w:r>
      <w:r>
        <w:rPr/>
        <w:t> </w:t>
      </w:r>
      <w:r>
        <w:rPr>
          <w:w w:val="107"/>
        </w:rPr>
        <w:t>expertos</w:t>
      </w:r>
      <w:r>
        <w:rPr/>
        <w:t> </w:t>
      </w:r>
      <w:r>
        <w:rPr>
          <w:w w:val="108"/>
        </w:rPr>
        <w:t>en</w:t>
      </w:r>
      <w:r>
        <w:rPr/>
        <w:t> </w:t>
      </w:r>
      <w:r>
        <w:rPr>
          <w:w w:val="110"/>
        </w:rPr>
        <w:t>ocultar</w:t>
      </w:r>
      <w:r>
        <w:rPr/>
        <w:t> </w:t>
      </w:r>
      <w:r>
        <w:rPr>
          <w:w w:val="107"/>
        </w:rPr>
        <w:t>riesgos</w:t>
      </w:r>
      <w:r>
        <w:rPr/>
        <w:t> </w:t>
      </w:r>
      <w:r>
        <w:rPr>
          <w:w w:val="105"/>
        </w:rPr>
        <w:t>y</w:t>
      </w:r>
      <w:r>
        <w:rPr/>
        <w:t> </w:t>
      </w:r>
      <w:r>
        <w:rPr>
          <w:w w:val="110"/>
        </w:rPr>
        <w:t>apañar</w:t>
      </w:r>
      <w:r>
        <w:rPr/>
        <w:t> </w:t>
      </w:r>
      <w:r>
        <w:rPr>
          <w:w w:val="108"/>
        </w:rPr>
        <w:t>créditos </w:t>
      </w:r>
      <w:r>
        <w:rPr>
          <w:w w:val="110"/>
        </w:rPr>
        <w:t>insolventes conservan sus empleos. sólo cayó algún chivo expiatorio por estafas muy explícitas (Madoff) y se negocian algunas multas sin consecuencias penales con las calificadoras de riesgos (standard and Poors).</w:t>
      </w:r>
    </w:p>
    <w:p>
      <w:pPr>
        <w:pStyle w:val="BodyText"/>
        <w:spacing w:line="252" w:lineRule="auto"/>
        <w:ind w:left="100" w:right="328" w:firstLine="396"/>
        <w:jc w:val="both"/>
      </w:pPr>
      <w:r>
        <w:rPr>
          <w:w w:val="243"/>
        </w:rPr>
        <w:t>l</w:t>
      </w:r>
      <w:r>
        <w:rPr>
          <w:w w:val="108"/>
        </w:rPr>
        <w:t>os</w:t>
      </w:r>
      <w:r>
        <w:rPr/>
        <w:t> </w:t>
      </w:r>
      <w:r>
        <w:rPr>
          <w:spacing w:val="-16"/>
        </w:rPr>
        <w:t> </w:t>
      </w:r>
      <w:r>
        <w:rPr>
          <w:w w:val="111"/>
        </w:rPr>
        <w:t>bancos</w:t>
      </w:r>
      <w:r>
        <w:rPr/>
        <w:t> </w:t>
      </w:r>
      <w:r>
        <w:rPr>
          <w:spacing w:val="-16"/>
        </w:rPr>
        <w:t> </w:t>
      </w:r>
      <w:r>
        <w:rPr>
          <w:w w:val="108"/>
        </w:rPr>
        <w:t>estadounidenses</w:t>
      </w:r>
      <w:r>
        <w:rPr/>
        <w:t> </w:t>
      </w:r>
      <w:r>
        <w:rPr>
          <w:spacing w:val="-16"/>
        </w:rPr>
        <w:t> </w:t>
      </w:r>
      <w:r>
        <w:rPr>
          <w:w w:val="110"/>
        </w:rPr>
        <w:t>neutralizaron</w:t>
      </w:r>
      <w:r>
        <w:rPr/>
        <w:t> </w:t>
      </w:r>
      <w:r>
        <w:rPr>
          <w:spacing w:val="-16"/>
        </w:rPr>
        <w:t> </w:t>
      </w:r>
      <w:r>
        <w:rPr>
          <w:w w:val="111"/>
        </w:rPr>
        <w:t>la</w:t>
      </w:r>
      <w:r>
        <w:rPr/>
        <w:t> </w:t>
      </w:r>
      <w:r>
        <w:rPr>
          <w:spacing w:val="-16"/>
        </w:rPr>
        <w:t> </w:t>
      </w:r>
      <w:r>
        <w:rPr>
          <w:w w:val="110"/>
        </w:rPr>
        <w:t>reglamentación</w:t>
      </w:r>
      <w:r>
        <w:rPr/>
        <w:t> </w:t>
      </w:r>
      <w:r>
        <w:rPr>
          <w:spacing w:val="-16"/>
        </w:rPr>
        <w:t> </w:t>
      </w:r>
      <w:r>
        <w:rPr>
          <w:w w:val="107"/>
        </w:rPr>
        <w:t>de </w:t>
      </w:r>
      <w:r>
        <w:rPr>
          <w:w w:val="112"/>
        </w:rPr>
        <w:t>una</w:t>
      </w:r>
      <w:r>
        <w:rPr>
          <w:spacing w:val="11"/>
        </w:rPr>
        <w:t> </w:t>
      </w:r>
      <w:r>
        <w:rPr>
          <w:w w:val="108"/>
        </w:rPr>
        <w:t>tenue</w:t>
      </w:r>
      <w:r>
        <w:rPr>
          <w:spacing w:val="11"/>
        </w:rPr>
        <w:t> </w:t>
      </w:r>
      <w:r>
        <w:rPr>
          <w:w w:val="243"/>
        </w:rPr>
        <w:t>l</w:t>
      </w:r>
      <w:r>
        <w:rPr>
          <w:w w:val="104"/>
        </w:rPr>
        <w:t>ey</w:t>
      </w:r>
      <w:r>
        <w:rPr>
          <w:spacing w:val="11"/>
        </w:rPr>
        <w:t> </w:t>
      </w:r>
      <w:r>
        <w:rPr>
          <w:w w:val="107"/>
        </w:rPr>
        <w:t>de</w:t>
      </w:r>
      <w:r>
        <w:rPr>
          <w:spacing w:val="11"/>
        </w:rPr>
        <w:t> </w:t>
      </w:r>
      <w:r>
        <w:rPr>
          <w:w w:val="109"/>
        </w:rPr>
        <w:t>supervisión,</w:t>
      </w:r>
      <w:r>
        <w:rPr>
          <w:spacing w:val="11"/>
        </w:rPr>
        <w:t> </w:t>
      </w:r>
      <w:r>
        <w:rPr>
          <w:w w:val="110"/>
        </w:rPr>
        <w:t>mantienen</w:t>
      </w:r>
      <w:r>
        <w:rPr>
          <w:spacing w:val="11"/>
        </w:rPr>
        <w:t> </w:t>
      </w:r>
      <w:r>
        <w:rPr>
          <w:w w:val="108"/>
        </w:rPr>
        <w:t>sus</w:t>
      </w:r>
      <w:r>
        <w:rPr>
          <w:spacing w:val="11"/>
        </w:rPr>
        <w:t> </w:t>
      </w:r>
      <w:r>
        <w:rPr>
          <w:w w:val="109"/>
        </w:rPr>
        <w:t>operaciones</w:t>
      </w:r>
      <w:r>
        <w:rPr>
          <w:spacing w:val="11"/>
        </w:rPr>
        <w:t> </w:t>
      </w:r>
      <w:r>
        <w:rPr>
          <w:w w:val="108"/>
        </w:rPr>
        <w:t>en</w:t>
      </w:r>
      <w:r>
        <w:rPr>
          <w:spacing w:val="11"/>
        </w:rPr>
        <w:t> </w:t>
      </w:r>
      <w:r>
        <w:rPr>
          <w:w w:val="109"/>
        </w:rPr>
        <w:t>las</w:t>
      </w:r>
      <w:r>
        <w:rPr>
          <w:spacing w:val="11"/>
        </w:rPr>
        <w:t> </w:t>
      </w:r>
      <w:r>
        <w:rPr>
          <w:w w:val="110"/>
        </w:rPr>
        <w:t>som</w:t>
      </w:r>
      <w:r>
        <w:rPr>
          <w:w w:val="102"/>
        </w:rPr>
        <w:t>- </w:t>
      </w:r>
      <w:r>
        <w:rPr>
          <w:w w:val="110"/>
        </w:rPr>
        <w:t>bras, impiden la división de las grandes entidades y preservan los pa- </w:t>
      </w:r>
      <w:r>
        <w:rPr>
          <w:w w:val="108"/>
        </w:rPr>
        <w:t>raísos</w:t>
      </w:r>
      <w:r>
        <w:rPr>
          <w:spacing w:val="9"/>
        </w:rPr>
        <w:t> </w:t>
      </w:r>
      <w:r>
        <w:rPr>
          <w:w w:val="110"/>
        </w:rPr>
        <w:t>fiscales.</w:t>
      </w:r>
      <w:r>
        <w:rPr>
          <w:spacing w:val="9"/>
        </w:rPr>
        <w:t> </w:t>
      </w:r>
      <w:r>
        <w:rPr>
          <w:w w:val="243"/>
        </w:rPr>
        <w:t>l</w:t>
      </w:r>
      <w:r>
        <w:rPr>
          <w:w w:val="108"/>
        </w:rPr>
        <w:t>os</w:t>
      </w:r>
      <w:r>
        <w:rPr>
          <w:spacing w:val="9"/>
        </w:rPr>
        <w:t> </w:t>
      </w:r>
      <w:r>
        <w:rPr>
          <w:w w:val="109"/>
        </w:rPr>
        <w:t>gobiernos</w:t>
      </w:r>
      <w:r>
        <w:rPr>
          <w:spacing w:val="9"/>
        </w:rPr>
        <w:t> </w:t>
      </w:r>
      <w:r>
        <w:rPr>
          <w:w w:val="107"/>
        </w:rPr>
        <w:t>de</w:t>
      </w:r>
      <w:r>
        <w:rPr>
          <w:spacing w:val="8"/>
        </w:rPr>
        <w:t> </w:t>
      </w:r>
      <w:r>
        <w:rPr>
          <w:w w:val="134"/>
        </w:rPr>
        <w:t>b</w:t>
      </w:r>
      <w:r>
        <w:rPr>
          <w:w w:val="110"/>
        </w:rPr>
        <w:t>ush</w:t>
      </w:r>
      <w:r>
        <w:rPr>
          <w:spacing w:val="9"/>
        </w:rPr>
        <w:t> </w:t>
      </w:r>
      <w:r>
        <w:rPr>
          <w:w w:val="105"/>
        </w:rPr>
        <w:t>y</w:t>
      </w:r>
      <w:r>
        <w:rPr>
          <w:spacing w:val="9"/>
        </w:rPr>
        <w:t> </w:t>
      </w:r>
      <w:r>
        <w:rPr>
          <w:w w:val="149"/>
        </w:rPr>
        <w:t>o</w:t>
      </w:r>
      <w:r>
        <w:rPr>
          <w:w w:val="112"/>
        </w:rPr>
        <w:t>bama</w:t>
      </w:r>
      <w:r>
        <w:rPr>
          <w:spacing w:val="9"/>
        </w:rPr>
        <w:t> </w:t>
      </w:r>
      <w:r>
        <w:rPr>
          <w:w w:val="109"/>
        </w:rPr>
        <w:t>optaron</w:t>
      </w:r>
      <w:r>
        <w:rPr>
          <w:spacing w:val="9"/>
        </w:rPr>
        <w:t> </w:t>
      </w:r>
      <w:r>
        <w:rPr>
          <w:w w:val="108"/>
        </w:rPr>
        <w:t>por</w:t>
      </w:r>
      <w:r>
        <w:rPr>
          <w:spacing w:val="9"/>
        </w:rPr>
        <w:t> </w:t>
      </w:r>
      <w:r>
        <w:rPr>
          <w:w w:val="107"/>
        </w:rPr>
        <w:t>el</w:t>
      </w:r>
      <w:r>
        <w:rPr>
          <w:spacing w:val="9"/>
        </w:rPr>
        <w:t> </w:t>
      </w:r>
      <w:r>
        <w:rPr>
          <w:w w:val="107"/>
        </w:rPr>
        <w:t>rescate </w:t>
      </w:r>
      <w:r>
        <w:rPr>
          <w:w w:val="110"/>
        </w:rPr>
        <w:t>en lugar de cerrar o nacionalizar los bancos colapsados. Evitaron el camino</w:t>
      </w:r>
      <w:r>
        <w:rPr>
          <w:spacing w:val="14"/>
          <w:w w:val="110"/>
        </w:rPr>
        <w:t> </w:t>
      </w:r>
      <w:r>
        <w:rPr>
          <w:w w:val="110"/>
        </w:rPr>
        <w:t>de</w:t>
      </w:r>
      <w:r>
        <w:rPr>
          <w:spacing w:val="14"/>
          <w:w w:val="110"/>
        </w:rPr>
        <w:t> </w:t>
      </w:r>
      <w:r>
        <w:rPr>
          <w:w w:val="110"/>
        </w:rPr>
        <w:t>la</w:t>
      </w:r>
      <w:r>
        <w:rPr>
          <w:spacing w:val="14"/>
          <w:w w:val="110"/>
        </w:rPr>
        <w:t> </w:t>
      </w:r>
      <w:r>
        <w:rPr>
          <w:w w:val="110"/>
        </w:rPr>
        <w:t>clausura</w:t>
      </w:r>
      <w:r>
        <w:rPr>
          <w:spacing w:val="14"/>
          <w:w w:val="110"/>
        </w:rPr>
        <w:t> </w:t>
      </w:r>
      <w:r>
        <w:rPr>
          <w:w w:val="110"/>
        </w:rPr>
        <w:t>por</w:t>
      </w:r>
      <w:r>
        <w:rPr>
          <w:spacing w:val="14"/>
          <w:w w:val="110"/>
        </w:rPr>
        <w:t> </w:t>
      </w:r>
      <w:r>
        <w:rPr>
          <w:w w:val="110"/>
        </w:rPr>
        <w:t>temor</w:t>
      </w:r>
      <w:r>
        <w:rPr>
          <w:spacing w:val="14"/>
          <w:w w:val="110"/>
        </w:rPr>
        <w:t> </w:t>
      </w:r>
      <w:r>
        <w:rPr>
          <w:w w:val="110"/>
        </w:rPr>
        <w:t>a</w:t>
      </w:r>
      <w:r>
        <w:rPr>
          <w:spacing w:val="14"/>
          <w:w w:val="110"/>
        </w:rPr>
        <w:t> </w:t>
      </w:r>
      <w:r>
        <w:rPr>
          <w:w w:val="110"/>
        </w:rPr>
        <w:t>un</w:t>
      </w:r>
      <w:r>
        <w:rPr>
          <w:spacing w:val="14"/>
          <w:w w:val="110"/>
        </w:rPr>
        <w:t> </w:t>
      </w:r>
      <w:r>
        <w:rPr>
          <w:w w:val="110"/>
        </w:rPr>
        <w:t>desplome</w:t>
      </w:r>
      <w:r>
        <w:rPr>
          <w:spacing w:val="14"/>
          <w:w w:val="110"/>
        </w:rPr>
        <w:t> </w:t>
      </w:r>
      <w:r>
        <w:rPr>
          <w:w w:val="110"/>
        </w:rPr>
        <w:t>general</w:t>
      </w:r>
      <w:r>
        <w:rPr>
          <w:spacing w:val="14"/>
          <w:w w:val="110"/>
        </w:rPr>
        <w:t> </w:t>
      </w:r>
      <w:r>
        <w:rPr>
          <w:w w:val="110"/>
        </w:rPr>
        <w:t>de</w:t>
      </w:r>
      <w:r>
        <w:rPr>
          <w:spacing w:val="14"/>
          <w:w w:val="110"/>
        </w:rPr>
        <w:t> </w:t>
      </w:r>
      <w:r>
        <w:rPr>
          <w:w w:val="110"/>
        </w:rPr>
        <w:t>los</w:t>
      </w:r>
      <w:r>
        <w:rPr>
          <w:spacing w:val="14"/>
          <w:w w:val="110"/>
        </w:rPr>
        <w:t> </w:t>
      </w:r>
      <w:r>
        <w:rPr>
          <w:w w:val="110"/>
        </w:rPr>
        <w:t>depó-</w:t>
      </w:r>
    </w:p>
    <w:p>
      <w:pPr>
        <w:pStyle w:val="BodyText"/>
        <w:spacing w:before="7"/>
        <w:rPr>
          <w:sz w:val="25"/>
        </w:rPr>
      </w:pPr>
    </w:p>
    <w:p>
      <w:pPr>
        <w:tabs>
          <w:tab w:pos="497" w:val="left" w:leader="none"/>
        </w:tabs>
        <w:spacing w:line="242" w:lineRule="auto" w:before="0"/>
        <w:ind w:left="497" w:right="328" w:hanging="316"/>
        <w:jc w:val="left"/>
        <w:rPr>
          <w:sz w:val="16"/>
        </w:rPr>
      </w:pPr>
      <w:r>
        <w:rPr>
          <w:w w:val="110"/>
          <w:sz w:val="16"/>
        </w:rPr>
        <w:t>*</w:t>
        <w:tab/>
      </w:r>
      <w:r>
        <w:rPr>
          <w:spacing w:val="-4"/>
          <w:w w:val="110"/>
          <w:sz w:val="16"/>
        </w:rPr>
        <w:t>Economista,  investigador  </w:t>
      </w:r>
      <w:r>
        <w:rPr>
          <w:spacing w:val="-3"/>
          <w:w w:val="110"/>
          <w:sz w:val="16"/>
        </w:rPr>
        <w:t>del  </w:t>
      </w:r>
      <w:r>
        <w:rPr>
          <w:spacing w:val="-6"/>
          <w:w w:val="110"/>
          <w:sz w:val="16"/>
        </w:rPr>
        <w:t>CoNiCEt,  </w:t>
      </w:r>
      <w:r>
        <w:rPr>
          <w:spacing w:val="-4"/>
          <w:w w:val="110"/>
          <w:sz w:val="16"/>
        </w:rPr>
        <w:t>profesor  </w:t>
      </w:r>
      <w:r>
        <w:rPr>
          <w:w w:val="110"/>
          <w:sz w:val="16"/>
        </w:rPr>
        <w:t>de la </w:t>
      </w:r>
      <w:r>
        <w:rPr>
          <w:spacing w:val="-3"/>
          <w:w w:val="110"/>
          <w:sz w:val="16"/>
        </w:rPr>
        <w:t>uba,  </w:t>
      </w:r>
      <w:r>
        <w:rPr>
          <w:spacing w:val="-4"/>
          <w:w w:val="110"/>
          <w:sz w:val="16"/>
        </w:rPr>
        <w:t>miembro  </w:t>
      </w:r>
      <w:r>
        <w:rPr>
          <w:spacing w:val="-3"/>
          <w:w w:val="110"/>
          <w:sz w:val="16"/>
        </w:rPr>
        <w:t>del</w:t>
      </w:r>
      <w:r>
        <w:rPr>
          <w:spacing w:val="2"/>
          <w:w w:val="110"/>
          <w:sz w:val="16"/>
        </w:rPr>
        <w:t> </w:t>
      </w:r>
      <w:r>
        <w:rPr>
          <w:spacing w:val="-3"/>
          <w:w w:val="110"/>
          <w:sz w:val="16"/>
        </w:rPr>
        <w:t>Edi.</w:t>
      </w:r>
      <w:r>
        <w:rPr>
          <w:spacing w:val="21"/>
          <w:w w:val="110"/>
          <w:sz w:val="16"/>
        </w:rPr>
        <w:t> </w:t>
      </w:r>
      <w:r>
        <w:rPr>
          <w:w w:val="110"/>
          <w:sz w:val="16"/>
        </w:rPr>
        <w:t>su</w:t>
      </w:r>
      <w:r>
        <w:rPr>
          <w:w w:val="107"/>
          <w:sz w:val="16"/>
        </w:rPr>
        <w:t> </w:t>
      </w:r>
      <w:r>
        <w:rPr>
          <w:spacing w:val="-4"/>
          <w:w w:val="105"/>
          <w:sz w:val="16"/>
        </w:rPr>
        <w:t>página</w:t>
      </w:r>
      <w:r>
        <w:rPr>
          <w:spacing w:val="-15"/>
          <w:w w:val="105"/>
          <w:sz w:val="16"/>
        </w:rPr>
        <w:t> </w:t>
      </w:r>
      <w:r>
        <w:rPr>
          <w:spacing w:val="-3"/>
          <w:w w:val="105"/>
          <w:sz w:val="16"/>
        </w:rPr>
        <w:t>web</w:t>
      </w:r>
      <w:r>
        <w:rPr>
          <w:spacing w:val="-15"/>
          <w:w w:val="105"/>
          <w:sz w:val="16"/>
        </w:rPr>
        <w:t> </w:t>
      </w:r>
      <w:r>
        <w:rPr>
          <w:w w:val="105"/>
          <w:sz w:val="16"/>
        </w:rPr>
        <w:t>es</w:t>
      </w:r>
      <w:r>
        <w:rPr>
          <w:spacing w:val="-15"/>
          <w:w w:val="105"/>
          <w:sz w:val="16"/>
        </w:rPr>
        <w:t> </w:t>
      </w:r>
      <w:hyperlink r:id="rId194">
        <w:r>
          <w:rPr>
            <w:spacing w:val="-5"/>
            <w:w w:val="105"/>
            <w:sz w:val="16"/>
          </w:rPr>
          <w:t>&lt;www.lahaine.org/katz&gt;.</w:t>
        </w:r>
      </w:hyperlink>
    </w:p>
    <w:p>
      <w:pPr>
        <w:tabs>
          <w:tab w:pos="497" w:val="left" w:leader="none"/>
        </w:tabs>
        <w:spacing w:line="242" w:lineRule="auto" w:before="57"/>
        <w:ind w:left="497" w:right="328" w:hanging="397"/>
        <w:jc w:val="left"/>
        <w:rPr>
          <w:sz w:val="16"/>
        </w:rPr>
      </w:pPr>
      <w:r>
        <w:rPr>
          <w:w w:val="110"/>
          <w:sz w:val="16"/>
        </w:rPr>
        <w:t>**</w:t>
        <w:tab/>
        <w:t>Este artículo sintetiza algunas ideas que se desarrollan en el</w:t>
      </w:r>
      <w:r>
        <w:rPr>
          <w:spacing w:val="-25"/>
          <w:w w:val="110"/>
          <w:sz w:val="16"/>
        </w:rPr>
        <w:t> </w:t>
      </w:r>
      <w:r>
        <w:rPr>
          <w:w w:val="110"/>
          <w:sz w:val="16"/>
        </w:rPr>
        <w:t>libro</w:t>
      </w:r>
      <w:r>
        <w:rPr>
          <w:spacing w:val="-3"/>
          <w:w w:val="110"/>
          <w:sz w:val="16"/>
        </w:rPr>
        <w:t> </w:t>
      </w:r>
      <w:r>
        <w:rPr>
          <w:i/>
          <w:w w:val="110"/>
          <w:sz w:val="16"/>
        </w:rPr>
        <w:t>Neoliberalis-</w:t>
      </w:r>
      <w:r>
        <w:rPr>
          <w:i/>
          <w:w w:val="104"/>
          <w:sz w:val="16"/>
        </w:rPr>
        <w:t> </w:t>
      </w:r>
      <w:r>
        <w:rPr>
          <w:i/>
          <w:w w:val="110"/>
          <w:sz w:val="16"/>
        </w:rPr>
        <w:t>mo, desarrollismo o socialismo</w:t>
      </w:r>
      <w:r>
        <w:rPr>
          <w:w w:val="110"/>
          <w:sz w:val="16"/>
        </w:rPr>
        <w:t>, del autor Claudio Katz (ocean Press,</w:t>
      </w:r>
      <w:r>
        <w:rPr>
          <w:spacing w:val="32"/>
          <w:w w:val="110"/>
          <w:sz w:val="16"/>
        </w:rPr>
        <w:t> </w:t>
      </w:r>
      <w:r>
        <w:rPr>
          <w:w w:val="110"/>
          <w:sz w:val="16"/>
        </w:rPr>
        <w:t>2015).</w:t>
      </w:r>
    </w:p>
    <w:p>
      <w:pPr>
        <w:pStyle w:val="BodyText"/>
        <w:rPr>
          <w:sz w:val="20"/>
        </w:rPr>
      </w:pPr>
    </w:p>
    <w:p>
      <w:pPr>
        <w:pStyle w:val="BodyText"/>
        <w:spacing w:before="6"/>
        <w:rPr>
          <w:sz w:val="17"/>
        </w:rPr>
      </w:pPr>
    </w:p>
    <w:p>
      <w:pPr>
        <w:pStyle w:val="Heading7"/>
        <w:spacing w:line="240" w:lineRule="auto"/>
        <w:ind w:left="789" w:right="1017"/>
        <w:jc w:val="center"/>
      </w:pPr>
      <w:r>
        <w:rPr/>
        <w:t>129</w:t>
      </w:r>
    </w:p>
    <w:p>
      <w:pPr>
        <w:spacing w:after="0" w:line="240" w:lineRule="auto"/>
        <w:jc w:val="center"/>
        <w:sectPr>
          <w:headerReference w:type="even" r:id="rId192"/>
          <w:footerReference w:type="even" r:id="rId193"/>
          <w:pgSz w:w="8790" w:h="12760"/>
          <w:pgMar w:header="0" w:footer="0" w:top="1180" w:bottom="280" w:left="920" w:right="1200"/>
        </w:sectPr>
      </w:pPr>
    </w:p>
    <w:p>
      <w:pPr>
        <w:pStyle w:val="BodyText"/>
        <w:spacing w:before="7"/>
        <w:rPr>
          <w:sz w:val="28"/>
        </w:rPr>
      </w:pPr>
    </w:p>
    <w:p>
      <w:pPr>
        <w:pStyle w:val="BodyText"/>
        <w:spacing w:line="252" w:lineRule="auto" w:before="73"/>
        <w:ind w:left="330" w:right="117"/>
        <w:jc w:val="both"/>
      </w:pPr>
      <w:r>
        <w:rPr>
          <w:w w:val="108"/>
        </w:rPr>
        <w:t>sitos</w:t>
      </w:r>
      <w:r>
        <w:rPr>
          <w:spacing w:val="17"/>
        </w:rPr>
        <w:t> </w:t>
      </w:r>
      <w:r>
        <w:rPr>
          <w:w w:val="105"/>
        </w:rPr>
        <w:t>y</w:t>
      </w:r>
      <w:r>
        <w:rPr>
          <w:spacing w:val="17"/>
        </w:rPr>
        <w:t> </w:t>
      </w:r>
      <w:r>
        <w:rPr>
          <w:w w:val="111"/>
        </w:rPr>
        <w:t>acreencias.</w:t>
      </w:r>
      <w:r>
        <w:rPr>
          <w:spacing w:val="16"/>
        </w:rPr>
        <w:t> </w:t>
      </w:r>
      <w:r>
        <w:rPr>
          <w:w w:val="243"/>
        </w:rPr>
        <w:t>l</w:t>
      </w:r>
      <w:r>
        <w:rPr>
          <w:w w:val="109"/>
        </w:rPr>
        <w:t>uego</w:t>
      </w:r>
      <w:r>
        <w:rPr>
          <w:spacing w:val="17"/>
        </w:rPr>
        <w:t> </w:t>
      </w:r>
      <w:r>
        <w:rPr>
          <w:w w:val="107"/>
        </w:rPr>
        <w:t>de</w:t>
      </w:r>
      <w:r>
        <w:rPr>
          <w:spacing w:val="17"/>
        </w:rPr>
        <w:t> </w:t>
      </w:r>
      <w:r>
        <w:rPr>
          <w:w w:val="111"/>
        </w:rPr>
        <w:t>la</w:t>
      </w:r>
      <w:r>
        <w:rPr>
          <w:spacing w:val="17"/>
        </w:rPr>
        <w:t> </w:t>
      </w:r>
      <w:r>
        <w:rPr>
          <w:w w:val="112"/>
        </w:rPr>
        <w:t>conmoción</w:t>
      </w:r>
      <w:r>
        <w:rPr>
          <w:spacing w:val="17"/>
        </w:rPr>
        <w:t> </w:t>
      </w:r>
      <w:r>
        <w:rPr>
          <w:w w:val="109"/>
        </w:rPr>
        <w:t>creada</w:t>
      </w:r>
      <w:r>
        <w:rPr>
          <w:spacing w:val="17"/>
        </w:rPr>
        <w:t> </w:t>
      </w:r>
      <w:r>
        <w:rPr>
          <w:w w:val="108"/>
        </w:rPr>
        <w:t>por</w:t>
      </w:r>
      <w:r>
        <w:rPr>
          <w:spacing w:val="17"/>
        </w:rPr>
        <w:t> </w:t>
      </w:r>
      <w:r>
        <w:rPr>
          <w:w w:val="111"/>
        </w:rPr>
        <w:t>la</w:t>
      </w:r>
      <w:r>
        <w:rPr>
          <w:spacing w:val="17"/>
        </w:rPr>
        <w:t> </w:t>
      </w:r>
      <w:r>
        <w:rPr>
          <w:w w:val="109"/>
        </w:rPr>
        <w:t>intervención </w:t>
      </w:r>
      <w:r>
        <w:rPr>
          <w:w w:val="107"/>
        </w:rPr>
        <w:t>de</w:t>
      </w:r>
      <w:r>
        <w:rPr/>
        <w:t> </w:t>
      </w:r>
      <w:r>
        <w:rPr>
          <w:spacing w:val="-8"/>
        </w:rPr>
        <w:t> </w:t>
      </w:r>
      <w:r>
        <w:rPr>
          <w:w w:val="243"/>
        </w:rPr>
        <w:t>l</w:t>
      </w:r>
      <w:r>
        <w:rPr>
          <w:w w:val="111"/>
        </w:rPr>
        <w:t>ehman</w:t>
      </w:r>
      <w:r>
        <w:rPr/>
        <w:t> </w:t>
      </w:r>
      <w:r>
        <w:rPr>
          <w:spacing w:val="-8"/>
        </w:rPr>
        <w:t> </w:t>
      </w:r>
      <w:r>
        <w:rPr>
          <w:w w:val="105"/>
        </w:rPr>
        <w:t>se</w:t>
      </w:r>
      <w:r>
        <w:rPr/>
        <w:t> </w:t>
      </w:r>
      <w:r>
        <w:rPr>
          <w:spacing w:val="-8"/>
        </w:rPr>
        <w:t> </w:t>
      </w:r>
      <w:r>
        <w:rPr>
          <w:w w:val="110"/>
        </w:rPr>
        <w:t>disiparon</w:t>
      </w:r>
      <w:r>
        <w:rPr/>
        <w:t> </w:t>
      </w:r>
      <w:r>
        <w:rPr>
          <w:spacing w:val="-8"/>
        </w:rPr>
        <w:t> </w:t>
      </w:r>
      <w:r>
        <w:rPr>
          <w:w w:val="109"/>
        </w:rPr>
        <w:t>las</w:t>
      </w:r>
      <w:r>
        <w:rPr/>
        <w:t> </w:t>
      </w:r>
      <w:r>
        <w:rPr>
          <w:spacing w:val="-8"/>
        </w:rPr>
        <w:t> </w:t>
      </w:r>
      <w:r>
        <w:rPr>
          <w:w w:val="108"/>
        </w:rPr>
        <w:t>propuestas</w:t>
      </w:r>
      <w:r>
        <w:rPr/>
        <w:t> </w:t>
      </w:r>
      <w:r>
        <w:rPr>
          <w:spacing w:val="-8"/>
        </w:rPr>
        <w:t> </w:t>
      </w:r>
      <w:r>
        <w:rPr>
          <w:w w:val="109"/>
        </w:rPr>
        <w:t>ortodoxas</w:t>
      </w:r>
      <w:r>
        <w:rPr/>
        <w:t> </w:t>
      </w:r>
      <w:r>
        <w:rPr>
          <w:spacing w:val="-8"/>
        </w:rPr>
        <w:t> </w:t>
      </w:r>
      <w:r>
        <w:rPr>
          <w:w w:val="107"/>
        </w:rPr>
        <w:t>de</w:t>
      </w:r>
      <w:r>
        <w:rPr/>
        <w:t> </w:t>
      </w:r>
      <w:r>
        <w:rPr>
          <w:spacing w:val="-8"/>
        </w:rPr>
        <w:t> </w:t>
      </w:r>
      <w:r>
        <w:rPr>
          <w:w w:val="109"/>
        </w:rPr>
        <w:t>precipitar</w:t>
      </w:r>
      <w:r>
        <w:rPr/>
        <w:t> </w:t>
      </w:r>
      <w:r>
        <w:rPr>
          <w:spacing w:val="-8"/>
        </w:rPr>
        <w:t> </w:t>
      </w:r>
      <w:r>
        <w:rPr>
          <w:w w:val="112"/>
        </w:rPr>
        <w:t>una </w:t>
      </w:r>
      <w:r>
        <w:rPr>
          <w:w w:val="110"/>
        </w:rPr>
        <w:t>desvalorización masiva del</w:t>
      </w:r>
      <w:r>
        <w:rPr>
          <w:spacing w:val="38"/>
          <w:w w:val="110"/>
        </w:rPr>
        <w:t> </w:t>
      </w:r>
      <w:r>
        <w:rPr>
          <w:w w:val="110"/>
        </w:rPr>
        <w:t>capital.</w:t>
      </w:r>
    </w:p>
    <w:p>
      <w:pPr>
        <w:pStyle w:val="BodyText"/>
        <w:spacing w:line="252" w:lineRule="auto"/>
        <w:ind w:left="330" w:right="117" w:firstLine="396"/>
        <w:jc w:val="both"/>
      </w:pPr>
      <w:r>
        <w:rPr>
          <w:w w:val="110"/>
        </w:rPr>
        <w:t>Pero la asociación de los gobernantes con el poder financiero se- pultó también las tentativas opuestas de avanzar hacia la estatización de las entidades. Esta complicidad contrasta con el trato dispensado   a las víctimas de la crisis que padecen pobreza, desempleo y caída del salario.</w:t>
      </w:r>
    </w:p>
    <w:p>
      <w:pPr>
        <w:pStyle w:val="BodyText"/>
        <w:spacing w:line="252" w:lineRule="auto"/>
        <w:ind w:left="330" w:right="117" w:firstLine="396"/>
        <w:jc w:val="both"/>
      </w:pPr>
      <w:r>
        <w:rPr>
          <w:w w:val="110"/>
        </w:rPr>
        <w:t>se ha mantenido intacta la estructura bancaria que detonó la crisis. El oxígeno oficial aportado a las entidades agrava todos los </w:t>
      </w:r>
      <w:r>
        <w:rPr>
          <w:w w:val="109"/>
        </w:rPr>
        <w:t>desequilibrios</w:t>
      </w:r>
      <w:r>
        <w:rPr/>
        <w:t> </w:t>
      </w:r>
      <w:r>
        <w:rPr>
          <w:spacing w:val="-19"/>
        </w:rPr>
        <w:t> </w:t>
      </w:r>
      <w:r>
        <w:rPr>
          <w:w w:val="110"/>
        </w:rPr>
        <w:t>financieros.</w:t>
      </w:r>
      <w:r>
        <w:rPr/>
        <w:t> </w:t>
      </w:r>
      <w:r>
        <w:rPr>
          <w:spacing w:val="-19"/>
        </w:rPr>
        <w:t> </w:t>
      </w:r>
      <w:r>
        <w:rPr>
          <w:w w:val="243"/>
        </w:rPr>
        <w:t>l</w:t>
      </w:r>
      <w:r>
        <w:rPr>
          <w:w w:val="110"/>
        </w:rPr>
        <w:t>o</w:t>
      </w:r>
      <w:r>
        <w:rPr/>
        <w:t> </w:t>
      </w:r>
      <w:r>
        <w:rPr>
          <w:spacing w:val="-19"/>
        </w:rPr>
        <w:t> </w:t>
      </w:r>
      <w:r>
        <w:rPr>
          <w:w w:val="111"/>
        </w:rPr>
        <w:t>más</w:t>
      </w:r>
      <w:r>
        <w:rPr/>
        <w:t> </w:t>
      </w:r>
      <w:r>
        <w:rPr>
          <w:spacing w:val="-19"/>
        </w:rPr>
        <w:t> </w:t>
      </w:r>
      <w:r>
        <w:rPr>
          <w:w w:val="108"/>
        </w:rPr>
        <w:t>explosivo</w:t>
      </w:r>
      <w:r>
        <w:rPr/>
        <w:t> </w:t>
      </w:r>
      <w:r>
        <w:rPr>
          <w:spacing w:val="-19"/>
        </w:rPr>
        <w:t> </w:t>
      </w:r>
      <w:r>
        <w:rPr>
          <w:w w:val="105"/>
        </w:rPr>
        <w:t>es</w:t>
      </w:r>
      <w:r>
        <w:rPr/>
        <w:t> </w:t>
      </w:r>
      <w:r>
        <w:rPr>
          <w:spacing w:val="-19"/>
        </w:rPr>
        <w:t> </w:t>
      </w:r>
      <w:r>
        <w:rPr>
          <w:w w:val="111"/>
        </w:rPr>
        <w:t>la</w:t>
      </w:r>
      <w:r>
        <w:rPr/>
        <w:t> </w:t>
      </w:r>
      <w:r>
        <w:rPr>
          <w:spacing w:val="-19"/>
        </w:rPr>
        <w:t> </w:t>
      </w:r>
      <w:r>
        <w:rPr>
          <w:w w:val="111"/>
        </w:rPr>
        <w:t>magnitud</w:t>
      </w:r>
      <w:r>
        <w:rPr/>
        <w:t> </w:t>
      </w:r>
      <w:r>
        <w:rPr>
          <w:spacing w:val="-19"/>
        </w:rPr>
        <w:t> </w:t>
      </w:r>
      <w:r>
        <w:rPr>
          <w:w w:val="107"/>
        </w:rPr>
        <w:t>de</w:t>
      </w:r>
      <w:r>
        <w:rPr/>
        <w:t> </w:t>
      </w:r>
      <w:r>
        <w:rPr>
          <w:spacing w:val="-19"/>
        </w:rPr>
        <w:t> </w:t>
      </w:r>
      <w:r>
        <w:rPr>
          <w:w w:val="111"/>
        </w:rPr>
        <w:t>la</w:t>
      </w:r>
      <w:r>
        <w:rPr/>
        <w:t> </w:t>
      </w:r>
      <w:r>
        <w:rPr>
          <w:spacing w:val="-19"/>
        </w:rPr>
        <w:t> </w:t>
      </w:r>
      <w:r>
        <w:rPr>
          <w:w w:val="113"/>
        </w:rPr>
        <w:t>i</w:t>
      </w:r>
      <w:r>
        <w:rPr>
          <w:spacing w:val="-1"/>
          <w:w w:val="113"/>
        </w:rPr>
        <w:t>n</w:t>
      </w:r>
      <w:r>
        <w:rPr>
          <w:w w:val="102"/>
        </w:rPr>
        <w:t>- </w:t>
      </w:r>
      <w:r>
        <w:rPr>
          <w:w w:val="110"/>
        </w:rPr>
        <w:t>yección monetaria consumada para auxiliar a los bancos. No existen precedentes de una emisión con efectos tan expansivos sobre la liqui- dez internacional. Nadie sabe cuándo y cómo esa descomunal suma  de dinero será absorbida por la </w:t>
      </w:r>
      <w:r>
        <w:rPr>
          <w:spacing w:val="3"/>
          <w:w w:val="110"/>
        </w:rPr>
        <w:t> </w:t>
      </w:r>
      <w:r>
        <w:rPr>
          <w:w w:val="110"/>
        </w:rPr>
        <w:t>economía.</w:t>
      </w:r>
    </w:p>
    <w:p>
      <w:pPr>
        <w:pStyle w:val="BodyText"/>
        <w:spacing w:line="252" w:lineRule="auto"/>
        <w:ind w:left="330" w:right="117" w:firstLine="396"/>
        <w:jc w:val="both"/>
      </w:pPr>
      <w:r>
        <w:rPr>
          <w:w w:val="243"/>
        </w:rPr>
        <w:t>l</w:t>
      </w:r>
      <w:r>
        <w:rPr>
          <w:w w:val="112"/>
        </w:rPr>
        <w:t>a</w:t>
      </w:r>
      <w:r>
        <w:rPr/>
        <w:t> </w:t>
      </w:r>
      <w:r>
        <w:rPr>
          <w:spacing w:val="-10"/>
        </w:rPr>
        <w:t> </w:t>
      </w:r>
      <w:r>
        <w:rPr>
          <w:w w:val="182"/>
        </w:rPr>
        <w:t>r</w:t>
      </w:r>
      <w:r>
        <w:rPr>
          <w:w w:val="105"/>
        </w:rPr>
        <w:t>eserva</w:t>
      </w:r>
      <w:r>
        <w:rPr/>
        <w:t> </w:t>
      </w:r>
      <w:r>
        <w:rPr>
          <w:spacing w:val="-10"/>
        </w:rPr>
        <w:t> </w:t>
      </w:r>
      <w:r>
        <w:rPr>
          <w:w w:val="109"/>
        </w:rPr>
        <w:t>Federal</w:t>
      </w:r>
      <w:r>
        <w:rPr/>
        <w:t> </w:t>
      </w:r>
      <w:r>
        <w:rPr>
          <w:spacing w:val="-10"/>
        </w:rPr>
        <w:t> </w:t>
      </w:r>
      <w:r>
        <w:rPr>
          <w:w w:val="98"/>
        </w:rPr>
        <w:t>(</w:t>
      </w:r>
      <w:r>
        <w:rPr>
          <w:i/>
          <w:w w:val="109"/>
        </w:rPr>
        <w:t>Fed</w:t>
      </w:r>
      <w:r>
        <w:rPr>
          <w:w w:val="98"/>
        </w:rPr>
        <w:t>)</w:t>
      </w:r>
      <w:r>
        <w:rPr/>
        <w:t> </w:t>
      </w:r>
      <w:r>
        <w:rPr>
          <w:spacing w:val="-10"/>
        </w:rPr>
        <w:t> </w:t>
      </w:r>
      <w:r>
        <w:rPr>
          <w:w w:val="110"/>
        </w:rPr>
        <w:t>introdujo</w:t>
      </w:r>
      <w:r>
        <w:rPr/>
        <w:t> </w:t>
      </w:r>
      <w:r>
        <w:rPr>
          <w:spacing w:val="-10"/>
        </w:rPr>
        <w:t> </w:t>
      </w:r>
      <w:r>
        <w:rPr>
          <w:w w:val="112"/>
        </w:rPr>
        <w:t>una</w:t>
      </w:r>
      <w:r>
        <w:rPr/>
        <w:t> </w:t>
      </w:r>
      <w:r>
        <w:rPr>
          <w:spacing w:val="-10"/>
        </w:rPr>
        <w:t> </w:t>
      </w:r>
      <w:r>
        <w:rPr>
          <w:w w:val="111"/>
        </w:rPr>
        <w:t>política</w:t>
      </w:r>
      <w:r>
        <w:rPr/>
        <w:t> </w:t>
      </w:r>
      <w:r>
        <w:rPr>
          <w:spacing w:val="-10"/>
        </w:rPr>
        <w:t> </w:t>
      </w:r>
      <w:r>
        <w:rPr>
          <w:w w:val="107"/>
        </w:rPr>
        <w:t>de</w:t>
      </w:r>
      <w:r>
        <w:rPr/>
        <w:t> </w:t>
      </w:r>
      <w:r>
        <w:rPr>
          <w:spacing w:val="-10"/>
        </w:rPr>
        <w:t> </w:t>
      </w:r>
      <w:r>
        <w:rPr>
          <w:w w:val="110"/>
        </w:rPr>
        <w:t>“relajamie</w:t>
      </w:r>
      <w:r>
        <w:rPr>
          <w:spacing w:val="-1"/>
          <w:w w:val="110"/>
        </w:rPr>
        <w:t>n</w:t>
      </w:r>
      <w:r>
        <w:rPr>
          <w:w w:val="102"/>
        </w:rPr>
        <w:t>- </w:t>
      </w:r>
      <w:r>
        <w:rPr>
          <w:w w:val="110"/>
        </w:rPr>
        <w:t>to cuantitativo” para transferir un caudal millonario de fondos a los bancos. intenta inducirlos a incrementar los préstamos con destino productivo. Pero los resultados de esa medida sobre el nivel de acti- </w:t>
      </w:r>
      <w:r>
        <w:rPr>
          <w:w w:val="108"/>
        </w:rPr>
        <w:t>vidad</w:t>
      </w:r>
      <w:r>
        <w:rPr>
          <w:spacing w:val="15"/>
        </w:rPr>
        <w:t> </w:t>
      </w:r>
      <w:r>
        <w:rPr>
          <w:w w:val="112"/>
        </w:rPr>
        <w:t>económica</w:t>
      </w:r>
      <w:r>
        <w:rPr>
          <w:spacing w:val="15"/>
        </w:rPr>
        <w:t> </w:t>
      </w:r>
      <w:r>
        <w:rPr>
          <w:w w:val="112"/>
        </w:rPr>
        <w:t>han</w:t>
      </w:r>
      <w:r>
        <w:rPr>
          <w:spacing w:val="15"/>
        </w:rPr>
        <w:t> </w:t>
      </w:r>
      <w:r>
        <w:rPr>
          <w:w w:val="109"/>
        </w:rPr>
        <w:t>sido</w:t>
      </w:r>
      <w:r>
        <w:rPr>
          <w:spacing w:val="15"/>
        </w:rPr>
        <w:t> </w:t>
      </w:r>
      <w:r>
        <w:rPr>
          <w:w w:val="111"/>
        </w:rPr>
        <w:t>exiguos.</w:t>
      </w:r>
      <w:r>
        <w:rPr>
          <w:spacing w:val="15"/>
        </w:rPr>
        <w:t> </w:t>
      </w:r>
      <w:r>
        <w:rPr>
          <w:w w:val="243"/>
        </w:rPr>
        <w:t>l</w:t>
      </w:r>
      <w:r>
        <w:rPr>
          <w:w w:val="109"/>
        </w:rPr>
        <w:t>as</w:t>
      </w:r>
      <w:r>
        <w:rPr>
          <w:spacing w:val="15"/>
        </w:rPr>
        <w:t> </w:t>
      </w:r>
      <w:r>
        <w:rPr>
          <w:w w:val="108"/>
        </w:rPr>
        <w:t>entidades</w:t>
      </w:r>
      <w:r>
        <w:rPr>
          <w:spacing w:val="15"/>
        </w:rPr>
        <w:t> </w:t>
      </w:r>
      <w:r>
        <w:rPr>
          <w:w w:val="109"/>
        </w:rPr>
        <w:t>eluden</w:t>
      </w:r>
      <w:r>
        <w:rPr>
          <w:spacing w:val="15"/>
        </w:rPr>
        <w:t> </w:t>
      </w:r>
      <w:r>
        <w:rPr>
          <w:w w:val="107"/>
        </w:rPr>
        <w:t>derivar</w:t>
      </w:r>
      <w:r>
        <w:rPr>
          <w:spacing w:val="15"/>
        </w:rPr>
        <w:t> </w:t>
      </w:r>
      <w:r>
        <w:rPr>
          <w:w w:val="106"/>
        </w:rPr>
        <w:t>esos </w:t>
      </w:r>
      <w:r>
        <w:rPr>
          <w:w w:val="110"/>
        </w:rPr>
        <w:t>recursos a créditos de inversión o al refinanciamiento de las familias endeudadas. utilizan el dinero para incentivar un nuevo ciclo de espe- culación con materias primas, acciones o monedas  </w:t>
      </w:r>
      <w:r>
        <w:rPr>
          <w:spacing w:val="7"/>
          <w:w w:val="110"/>
        </w:rPr>
        <w:t> </w:t>
      </w:r>
      <w:r>
        <w:rPr>
          <w:w w:val="110"/>
        </w:rPr>
        <w:t>extranjeras.</w:t>
      </w:r>
    </w:p>
    <w:p>
      <w:pPr>
        <w:pStyle w:val="BodyText"/>
        <w:spacing w:line="252" w:lineRule="auto"/>
        <w:ind w:left="330" w:right="117" w:firstLine="396"/>
        <w:jc w:val="both"/>
      </w:pPr>
      <w:r>
        <w:rPr>
          <w:w w:val="243"/>
        </w:rPr>
        <w:t>l</w:t>
      </w:r>
      <w:r>
        <w:rPr>
          <w:w w:val="112"/>
        </w:rPr>
        <w:t>a</w:t>
      </w:r>
      <w:r>
        <w:rPr/>
        <w:t> </w:t>
      </w:r>
      <w:r>
        <w:rPr>
          <w:i/>
          <w:w w:val="109"/>
        </w:rPr>
        <w:t>Fed</w:t>
      </w:r>
      <w:r>
        <w:rPr>
          <w:i/>
        </w:rPr>
        <w:t> </w:t>
      </w:r>
      <w:r>
        <w:rPr>
          <w:w w:val="112"/>
        </w:rPr>
        <w:t>ha</w:t>
      </w:r>
      <w:r>
        <w:rPr/>
        <w:t> </w:t>
      </w:r>
      <w:r>
        <w:rPr>
          <w:w w:val="109"/>
        </w:rPr>
        <w:t>quedado</w:t>
      </w:r>
      <w:r>
        <w:rPr/>
        <w:t> </w:t>
      </w:r>
      <w:r>
        <w:rPr>
          <w:w w:val="110"/>
        </w:rPr>
        <w:t>atrapada</w:t>
      </w:r>
      <w:r>
        <w:rPr/>
        <w:t> </w:t>
      </w:r>
      <w:r>
        <w:rPr>
          <w:w w:val="108"/>
        </w:rPr>
        <w:t>en</w:t>
      </w:r>
      <w:r>
        <w:rPr/>
        <w:t> </w:t>
      </w:r>
      <w:r>
        <w:rPr>
          <w:w w:val="112"/>
        </w:rPr>
        <w:t>un</w:t>
      </w:r>
      <w:r>
        <w:rPr/>
        <w:t> </w:t>
      </w:r>
      <w:r>
        <w:rPr>
          <w:w w:val="111"/>
        </w:rPr>
        <w:t>complejo</w:t>
      </w:r>
      <w:r>
        <w:rPr/>
        <w:t> </w:t>
      </w:r>
      <w:r>
        <w:rPr>
          <w:w w:val="112"/>
        </w:rPr>
        <w:t>dilema.</w:t>
      </w:r>
      <w:r>
        <w:rPr/>
        <w:t> </w:t>
      </w:r>
      <w:r>
        <w:rPr>
          <w:w w:val="149"/>
        </w:rPr>
        <w:t>s</w:t>
      </w:r>
      <w:r>
        <w:rPr>
          <w:w w:val="115"/>
        </w:rPr>
        <w:t>i</w:t>
      </w:r>
      <w:r>
        <w:rPr/>
        <w:t> </w:t>
      </w:r>
      <w:r>
        <w:rPr>
          <w:w w:val="110"/>
        </w:rPr>
        <w:t>mantiene </w:t>
      </w:r>
      <w:r>
        <w:rPr>
          <w:w w:val="110"/>
        </w:rPr>
        <w:t>la liquidez continuará alentando las transacciones de alto riesgo que condujeron al estallido del 2008, pero si desactiva ese peligro incre- mentando la tasa de interés asfixiará la débil recuperación y reabrirá el grifo para una recesión de envergadura (Munevar, 2014).</w:t>
      </w:r>
    </w:p>
    <w:p>
      <w:pPr>
        <w:pStyle w:val="BodyText"/>
        <w:spacing w:line="252" w:lineRule="auto"/>
        <w:ind w:left="330" w:right="117" w:firstLine="396"/>
        <w:jc w:val="both"/>
      </w:pPr>
      <w:r>
        <w:rPr>
          <w:w w:val="110"/>
        </w:rPr>
        <w:t>a diferencia de los años sesenta, no está obligada a optar entre    el crecimiento inflacionario y la retracción de la economía. En las úl- timas décadas se ha instalando un cuadro deflacionario que reduce    el impacto de la emisión sobre los precios, pero debe lidiar con la disyuntiva de propiciar nuevas burbujas financieras o resignarse al continuado</w:t>
      </w:r>
      <w:r>
        <w:rPr>
          <w:spacing w:val="37"/>
          <w:w w:val="110"/>
        </w:rPr>
        <w:t> </w:t>
      </w:r>
      <w:r>
        <w:rPr>
          <w:w w:val="110"/>
        </w:rPr>
        <w:t>estancamiento.</w:t>
      </w:r>
    </w:p>
    <w:p>
      <w:pPr>
        <w:pStyle w:val="BodyText"/>
        <w:spacing w:before="5"/>
      </w:pPr>
    </w:p>
    <w:p>
      <w:pPr>
        <w:pStyle w:val="Heading6"/>
        <w:ind w:left="331"/>
      </w:pPr>
      <w:r>
        <w:rPr>
          <w:spacing w:val="2"/>
          <w:w w:val="201"/>
        </w:rPr>
        <w:t>l</w:t>
      </w:r>
      <w:r>
        <w:rPr>
          <w:spacing w:val="2"/>
          <w:w w:val="132"/>
        </w:rPr>
        <w:t>id</w:t>
      </w:r>
      <w:r>
        <w:rPr>
          <w:spacing w:val="3"/>
          <w:w w:val="132"/>
        </w:rPr>
        <w:t>e</w:t>
      </w:r>
      <w:r>
        <w:rPr>
          <w:spacing w:val="2"/>
          <w:w w:val="145"/>
        </w:rPr>
        <w:t>r</w:t>
      </w:r>
      <w:r>
        <w:rPr>
          <w:spacing w:val="5"/>
          <w:w w:val="129"/>
        </w:rPr>
        <w:t>a</w:t>
      </w:r>
      <w:r>
        <w:rPr>
          <w:spacing w:val="2"/>
          <w:w w:val="132"/>
        </w:rPr>
        <w:t>z</w:t>
      </w:r>
      <w:r>
        <w:rPr>
          <w:spacing w:val="5"/>
          <w:w w:val="89"/>
        </w:rPr>
        <w:t>G</w:t>
      </w:r>
      <w:r>
        <w:rPr>
          <w:w w:val="145"/>
        </w:rPr>
        <w:t>o</w:t>
      </w:r>
      <w:r>
        <w:rPr>
          <w:spacing w:val="-8"/>
        </w:rPr>
        <w:t> </w:t>
      </w:r>
      <w:r>
        <w:rPr>
          <w:spacing w:val="2"/>
          <w:w w:val="139"/>
        </w:rPr>
        <w:t>fi</w:t>
      </w:r>
      <w:r>
        <w:rPr>
          <w:spacing w:val="-1"/>
          <w:w w:val="139"/>
        </w:rPr>
        <w:t>n</w:t>
      </w:r>
      <w:r>
        <w:rPr>
          <w:spacing w:val="2"/>
          <w:w w:val="133"/>
        </w:rPr>
        <w:t>anci</w:t>
      </w:r>
      <w:r>
        <w:rPr>
          <w:spacing w:val="3"/>
          <w:w w:val="133"/>
        </w:rPr>
        <w:t>e</w:t>
      </w:r>
      <w:r>
        <w:rPr>
          <w:spacing w:val="1"/>
          <w:w w:val="145"/>
        </w:rPr>
        <w:t>r</w:t>
      </w:r>
      <w:r>
        <w:rPr>
          <w:w w:val="145"/>
        </w:rPr>
        <w:t>o</w:t>
      </w:r>
      <w:r>
        <w:rPr>
          <w:spacing w:val="-8"/>
        </w:rPr>
        <w:t> </w:t>
      </w:r>
      <w:r>
        <w:rPr>
          <w:spacing w:val="3"/>
          <w:w w:val="134"/>
        </w:rPr>
        <w:t>e</w:t>
      </w:r>
      <w:r>
        <w:rPr>
          <w:spacing w:val="1"/>
          <w:w w:val="136"/>
        </w:rPr>
        <w:t>s</w:t>
      </w:r>
      <w:r>
        <w:rPr>
          <w:spacing w:val="-10"/>
          <w:w w:val="180"/>
        </w:rPr>
        <w:t>t</w:t>
      </w:r>
      <w:r>
        <w:rPr>
          <w:spacing w:val="2"/>
          <w:w w:val="130"/>
        </w:rPr>
        <w:t>a</w:t>
      </w:r>
      <w:r>
        <w:rPr>
          <w:spacing w:val="5"/>
          <w:w w:val="130"/>
        </w:rPr>
        <w:t>d</w:t>
      </w:r>
      <w:r>
        <w:rPr>
          <w:spacing w:val="2"/>
          <w:w w:val="145"/>
        </w:rPr>
        <w:t>o</w:t>
      </w:r>
      <w:r>
        <w:rPr>
          <w:spacing w:val="2"/>
          <w:w w:val="130"/>
        </w:rPr>
        <w:t>unid</w:t>
      </w:r>
      <w:r>
        <w:rPr>
          <w:spacing w:val="3"/>
          <w:w w:val="130"/>
        </w:rPr>
        <w:t>e</w:t>
      </w:r>
      <w:r>
        <w:rPr>
          <w:spacing w:val="2"/>
          <w:w w:val="132"/>
        </w:rPr>
        <w:t>nse</w:t>
      </w:r>
    </w:p>
    <w:p>
      <w:pPr>
        <w:pStyle w:val="BodyText"/>
        <w:spacing w:line="252" w:lineRule="auto" w:before="10"/>
        <w:ind w:left="330" w:right="116"/>
        <w:jc w:val="both"/>
      </w:pPr>
      <w:r>
        <w:rPr>
          <w:w w:val="243"/>
        </w:rPr>
        <w:t>l</w:t>
      </w:r>
      <w:r>
        <w:rPr>
          <w:w w:val="112"/>
        </w:rPr>
        <w:t>a</w:t>
      </w:r>
      <w:r>
        <w:rPr>
          <w:spacing w:val="9"/>
        </w:rPr>
        <w:t> </w:t>
      </w:r>
      <w:r>
        <w:rPr>
          <w:w w:val="109"/>
        </w:rPr>
        <w:t>crisis</w:t>
      </w:r>
      <w:r>
        <w:rPr>
          <w:spacing w:val="9"/>
        </w:rPr>
        <w:t> </w:t>
      </w:r>
      <w:r>
        <w:rPr>
          <w:w w:val="111"/>
        </w:rPr>
        <w:t>comenzó</w:t>
      </w:r>
      <w:r>
        <w:rPr>
          <w:spacing w:val="9"/>
        </w:rPr>
        <w:t> </w:t>
      </w:r>
      <w:r>
        <w:rPr>
          <w:w w:val="108"/>
        </w:rPr>
        <w:t>en</w:t>
      </w:r>
      <w:r>
        <w:rPr>
          <w:spacing w:val="9"/>
        </w:rPr>
        <w:t> </w:t>
      </w:r>
      <w:r>
        <w:rPr>
          <w:w w:val="111"/>
        </w:rPr>
        <w:t>Estados</w:t>
      </w:r>
      <w:r>
        <w:rPr>
          <w:spacing w:val="9"/>
        </w:rPr>
        <w:t> </w:t>
      </w:r>
      <w:r>
        <w:rPr>
          <w:w w:val="140"/>
        </w:rPr>
        <w:t>u</w:t>
      </w:r>
      <w:r>
        <w:rPr>
          <w:w w:val="112"/>
        </w:rPr>
        <w:t>nidos,</w:t>
      </w:r>
      <w:r>
        <w:rPr>
          <w:spacing w:val="9"/>
        </w:rPr>
        <w:t> </w:t>
      </w:r>
      <w:r>
        <w:rPr>
          <w:w w:val="105"/>
        </w:rPr>
        <w:t>se</w:t>
      </w:r>
      <w:r>
        <w:rPr>
          <w:spacing w:val="9"/>
        </w:rPr>
        <w:t> </w:t>
      </w:r>
      <w:r>
        <w:rPr>
          <w:w w:val="110"/>
        </w:rPr>
        <w:t>expandió</w:t>
      </w:r>
      <w:r>
        <w:rPr>
          <w:spacing w:val="9"/>
        </w:rPr>
        <w:t> </w:t>
      </w:r>
      <w:r>
        <w:rPr>
          <w:w w:val="111"/>
        </w:rPr>
        <w:t>al</w:t>
      </w:r>
      <w:r>
        <w:rPr>
          <w:spacing w:val="9"/>
        </w:rPr>
        <w:t> </w:t>
      </w:r>
      <w:r>
        <w:rPr>
          <w:w w:val="106"/>
        </w:rPr>
        <w:t>resto</w:t>
      </w:r>
      <w:r>
        <w:rPr>
          <w:spacing w:val="9"/>
        </w:rPr>
        <w:t> </w:t>
      </w:r>
      <w:r>
        <w:rPr>
          <w:w w:val="107"/>
        </w:rPr>
        <w:t>de</w:t>
      </w:r>
      <w:r>
        <w:rPr>
          <w:spacing w:val="9"/>
        </w:rPr>
        <w:t> </w:t>
      </w:r>
      <w:r>
        <w:rPr>
          <w:w w:val="109"/>
        </w:rPr>
        <w:t>las</w:t>
      </w:r>
      <w:r>
        <w:rPr>
          <w:spacing w:val="9"/>
        </w:rPr>
        <w:t> </w:t>
      </w:r>
      <w:r>
        <w:rPr>
          <w:w w:val="110"/>
        </w:rPr>
        <w:t>ec</w:t>
      </w:r>
      <w:r>
        <w:rPr>
          <w:spacing w:val="1"/>
          <w:w w:val="110"/>
        </w:rPr>
        <w:t>o</w:t>
      </w:r>
      <w:r>
        <w:rPr>
          <w:w w:val="102"/>
        </w:rPr>
        <w:t>- </w:t>
      </w:r>
      <w:r>
        <w:rPr>
          <w:w w:val="110"/>
        </w:rPr>
        <w:t>nomías desarrolladas y terminó atenuándose en el país de origen. Esta curva se explica por la gravitación de la primera potencia en varios</w:t>
      </w:r>
      <w:r>
        <w:rPr>
          <w:spacing w:val="-11"/>
          <w:w w:val="110"/>
        </w:rPr>
        <w:t> </w:t>
      </w:r>
      <w:r>
        <w:rPr>
          <w:w w:val="110"/>
        </w:rPr>
        <w:t>terrenos.</w:t>
      </w:r>
    </w:p>
    <w:p>
      <w:pPr>
        <w:pStyle w:val="BodyText"/>
        <w:spacing w:line="252" w:lineRule="auto"/>
        <w:ind w:left="330" w:right="117" w:firstLine="396"/>
        <w:jc w:val="both"/>
      </w:pPr>
      <w:r>
        <w:rPr>
          <w:w w:val="110"/>
        </w:rPr>
        <w:t>En primer lugar mantiene la primacía del dólar en el comercio      y las finanzas. En esa divisa están nominadas el 62% de las reservas   y</w:t>
      </w:r>
      <w:r>
        <w:rPr>
          <w:spacing w:val="23"/>
          <w:w w:val="110"/>
        </w:rPr>
        <w:t> </w:t>
      </w:r>
      <w:r>
        <w:rPr>
          <w:w w:val="110"/>
        </w:rPr>
        <w:t>el</w:t>
      </w:r>
      <w:r>
        <w:rPr>
          <w:spacing w:val="23"/>
          <w:w w:val="110"/>
        </w:rPr>
        <w:t> </w:t>
      </w:r>
      <w:r>
        <w:rPr>
          <w:w w:val="110"/>
        </w:rPr>
        <w:t>85%</w:t>
      </w:r>
      <w:r>
        <w:rPr>
          <w:spacing w:val="23"/>
          <w:w w:val="110"/>
        </w:rPr>
        <w:t> </w:t>
      </w:r>
      <w:r>
        <w:rPr>
          <w:w w:val="110"/>
        </w:rPr>
        <w:t>de</w:t>
      </w:r>
      <w:r>
        <w:rPr>
          <w:spacing w:val="23"/>
          <w:w w:val="110"/>
        </w:rPr>
        <w:t> </w:t>
      </w:r>
      <w:r>
        <w:rPr>
          <w:w w:val="110"/>
        </w:rPr>
        <w:t>las</w:t>
      </w:r>
      <w:r>
        <w:rPr>
          <w:spacing w:val="23"/>
          <w:w w:val="110"/>
        </w:rPr>
        <w:t> </w:t>
      </w:r>
      <w:r>
        <w:rPr>
          <w:w w:val="110"/>
        </w:rPr>
        <w:t>transacciones</w:t>
      </w:r>
      <w:r>
        <w:rPr>
          <w:spacing w:val="23"/>
          <w:w w:val="110"/>
        </w:rPr>
        <w:t> </w:t>
      </w:r>
      <w:r>
        <w:rPr>
          <w:w w:val="110"/>
        </w:rPr>
        <w:t>globales.</w:t>
      </w:r>
      <w:r>
        <w:rPr>
          <w:spacing w:val="23"/>
          <w:w w:val="110"/>
        </w:rPr>
        <w:t> </w:t>
      </w:r>
      <w:r>
        <w:rPr>
          <w:w w:val="110"/>
        </w:rPr>
        <w:t>El</w:t>
      </w:r>
      <w:r>
        <w:rPr>
          <w:spacing w:val="23"/>
          <w:w w:val="110"/>
        </w:rPr>
        <w:t> </w:t>
      </w:r>
      <w:r>
        <w:rPr>
          <w:w w:val="110"/>
        </w:rPr>
        <w:t>billete</w:t>
      </w:r>
      <w:r>
        <w:rPr>
          <w:spacing w:val="23"/>
          <w:w w:val="110"/>
        </w:rPr>
        <w:t> </w:t>
      </w:r>
      <w:r>
        <w:rPr>
          <w:w w:val="110"/>
        </w:rPr>
        <w:t>norteamericano</w:t>
      </w:r>
      <w:r>
        <w:rPr>
          <w:spacing w:val="23"/>
          <w:w w:val="110"/>
        </w:rPr>
        <w:t> </w:t>
      </w:r>
      <w:r>
        <w:rPr>
          <w:w w:val="110"/>
        </w:rPr>
        <w:t>ha</w:t>
      </w:r>
    </w:p>
    <w:p>
      <w:pPr>
        <w:spacing w:after="0" w:line="252" w:lineRule="auto"/>
        <w:jc w:val="both"/>
        <w:sectPr>
          <w:headerReference w:type="default" r:id="rId195"/>
          <w:headerReference w:type="even" r:id="rId196"/>
          <w:footerReference w:type="default" r:id="rId197"/>
          <w:footerReference w:type="even" r:id="rId198"/>
          <w:pgSz w:w="8790" w:h="12760"/>
          <w:pgMar w:header="697"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perdido su reinado de posguerra, pero ninguna otra moneda ocupa su lugar. Preserva una significativa hegemonía, mientras se negocia otro patrón internacional basado en la convivencia de varias monedas, el retorno a las paridades fijas o la formación de una canasta de divisas (raghuram,  2012).</w:t>
      </w:r>
    </w:p>
    <w:p>
      <w:pPr>
        <w:pStyle w:val="BodyText"/>
        <w:spacing w:line="252" w:lineRule="auto"/>
        <w:ind w:left="100" w:right="327" w:firstLine="396"/>
        <w:jc w:val="both"/>
      </w:pPr>
      <w:r>
        <w:rPr>
          <w:w w:val="110"/>
        </w:rPr>
        <w:t>a pesar del elevado endeudamiento y déficit comercial que so- porta la economía estadounidense, el dólar se mantuvo como refugio predilecto de los capitalistas en los momentos críticos del último se- xenio. En esas coyunturas los acaudalados buscaron protección en   ese signo</w:t>
      </w:r>
      <w:r>
        <w:rPr>
          <w:spacing w:val="22"/>
          <w:w w:val="110"/>
        </w:rPr>
        <w:t> </w:t>
      </w:r>
      <w:r>
        <w:rPr>
          <w:w w:val="110"/>
        </w:rPr>
        <w:t>monetario.</w:t>
      </w:r>
    </w:p>
    <w:p>
      <w:pPr>
        <w:pStyle w:val="BodyText"/>
        <w:spacing w:line="252" w:lineRule="auto"/>
        <w:ind w:left="100" w:right="328" w:firstLine="396"/>
        <w:jc w:val="both"/>
      </w:pPr>
      <w:r>
        <w:rPr>
          <w:w w:val="110"/>
        </w:rPr>
        <w:t>Estados unidos define, en segundo término, el ritmo y las caracte- rísticas de la reforma del sistema financiero internacional. Este ajuste normativo se ha tornado imperioso por la crisis reciente, la globali- zación de las finanzas y la interconexión de las bolsas. un reconoci-   do jefe del clan bancario supervisa esta remodelación (Paul Volcker), para perpetuar la hegemonía de los capitales que operan desde Nueva </w:t>
      </w:r>
      <w:r>
        <w:rPr>
          <w:spacing w:val="-4"/>
          <w:w w:val="110"/>
        </w:rPr>
        <w:t>York. </w:t>
      </w:r>
      <w:r>
        <w:rPr>
          <w:spacing w:val="-3"/>
          <w:w w:val="110"/>
        </w:rPr>
        <w:t>también </w:t>
      </w:r>
      <w:r>
        <w:rPr>
          <w:w w:val="110"/>
        </w:rPr>
        <w:t>busca garantizar los privilegios del puñado de expertos que manejan ese complejísimo  sistema.</w:t>
      </w:r>
    </w:p>
    <w:p>
      <w:pPr>
        <w:pStyle w:val="BodyText"/>
        <w:spacing w:line="252" w:lineRule="auto"/>
        <w:ind w:left="100" w:right="328" w:firstLine="396"/>
        <w:jc w:val="both"/>
      </w:pPr>
      <w:r>
        <w:rPr>
          <w:w w:val="243"/>
        </w:rPr>
        <w:t>l</w:t>
      </w:r>
      <w:r>
        <w:rPr>
          <w:w w:val="112"/>
        </w:rPr>
        <w:t>a</w:t>
      </w:r>
      <w:r>
        <w:rPr>
          <w:spacing w:val="10"/>
        </w:rPr>
        <w:t> </w:t>
      </w:r>
      <w:r>
        <w:rPr>
          <w:w w:val="111"/>
        </w:rPr>
        <w:t>influencia</w:t>
      </w:r>
      <w:r>
        <w:rPr>
          <w:spacing w:val="10"/>
        </w:rPr>
        <w:t> </w:t>
      </w:r>
      <w:r>
        <w:rPr>
          <w:w w:val="107"/>
        </w:rPr>
        <w:t>de</w:t>
      </w:r>
      <w:r>
        <w:rPr>
          <w:spacing w:val="10"/>
        </w:rPr>
        <w:t> </w:t>
      </w:r>
      <w:r>
        <w:rPr>
          <w:w w:val="105"/>
        </w:rPr>
        <w:t>este</w:t>
      </w:r>
      <w:r>
        <w:rPr>
          <w:spacing w:val="10"/>
        </w:rPr>
        <w:t> </w:t>
      </w:r>
      <w:r>
        <w:rPr>
          <w:w w:val="108"/>
        </w:rPr>
        <w:t>sector</w:t>
      </w:r>
      <w:r>
        <w:rPr>
          <w:spacing w:val="10"/>
        </w:rPr>
        <w:t> </w:t>
      </w:r>
      <w:r>
        <w:rPr>
          <w:w w:val="105"/>
        </w:rPr>
        <w:t>se</w:t>
      </w:r>
      <w:r>
        <w:rPr>
          <w:spacing w:val="10"/>
        </w:rPr>
        <w:t> </w:t>
      </w:r>
      <w:r>
        <w:rPr>
          <w:w w:val="107"/>
        </w:rPr>
        <w:t>verificó</w:t>
      </w:r>
      <w:r>
        <w:rPr>
          <w:spacing w:val="10"/>
        </w:rPr>
        <w:t> </w:t>
      </w:r>
      <w:r>
        <w:rPr>
          <w:w w:val="108"/>
        </w:rPr>
        <w:t>en</w:t>
      </w:r>
      <w:r>
        <w:rPr>
          <w:spacing w:val="10"/>
        </w:rPr>
        <w:t> </w:t>
      </w:r>
      <w:r>
        <w:rPr>
          <w:w w:val="107"/>
        </w:rPr>
        <w:t>el</w:t>
      </w:r>
      <w:r>
        <w:rPr>
          <w:spacing w:val="10"/>
        </w:rPr>
        <w:t> </w:t>
      </w:r>
      <w:r>
        <w:rPr>
          <w:w w:val="105"/>
        </w:rPr>
        <w:t>veto</w:t>
      </w:r>
      <w:r>
        <w:rPr>
          <w:spacing w:val="10"/>
        </w:rPr>
        <w:t> </w:t>
      </w:r>
      <w:r>
        <w:rPr>
          <w:w w:val="108"/>
        </w:rPr>
        <w:t>que</w:t>
      </w:r>
      <w:r>
        <w:rPr>
          <w:spacing w:val="10"/>
        </w:rPr>
        <w:t> </w:t>
      </w:r>
      <w:r>
        <w:rPr>
          <w:w w:val="111"/>
        </w:rPr>
        <w:t>impuso</w:t>
      </w:r>
      <w:r>
        <w:rPr>
          <w:spacing w:val="10"/>
        </w:rPr>
        <w:t> </w:t>
      </w:r>
      <w:r>
        <w:rPr>
          <w:w w:val="112"/>
        </w:rPr>
        <w:t>a</w:t>
      </w:r>
      <w:r>
        <w:rPr>
          <w:spacing w:val="10"/>
        </w:rPr>
        <w:t> </w:t>
      </w:r>
      <w:r>
        <w:rPr>
          <w:w w:val="109"/>
        </w:rPr>
        <w:t>las </w:t>
      </w:r>
      <w:r>
        <w:rPr>
          <w:w w:val="108"/>
        </w:rPr>
        <w:t>propuestas</w:t>
      </w:r>
      <w:r>
        <w:rPr/>
        <w:t> </w:t>
      </w:r>
      <w:r>
        <w:rPr>
          <w:spacing w:val="-10"/>
        </w:rPr>
        <w:t> </w:t>
      </w:r>
      <w:r>
        <w:rPr>
          <w:w w:val="107"/>
        </w:rPr>
        <w:t>de</w:t>
      </w:r>
      <w:r>
        <w:rPr/>
        <w:t> </w:t>
      </w:r>
      <w:r>
        <w:rPr>
          <w:spacing w:val="-10"/>
        </w:rPr>
        <w:t> </w:t>
      </w:r>
      <w:r>
        <w:rPr>
          <w:w w:val="111"/>
        </w:rPr>
        <w:t>limitar</w:t>
      </w:r>
      <w:r>
        <w:rPr/>
        <w:t> </w:t>
      </w:r>
      <w:r>
        <w:rPr>
          <w:spacing w:val="-10"/>
        </w:rPr>
        <w:t> </w:t>
      </w:r>
      <w:r>
        <w:rPr>
          <w:w w:val="109"/>
        </w:rPr>
        <w:t>las</w:t>
      </w:r>
      <w:r>
        <w:rPr/>
        <w:t> </w:t>
      </w:r>
      <w:r>
        <w:rPr>
          <w:spacing w:val="-10"/>
        </w:rPr>
        <w:t> </w:t>
      </w:r>
      <w:r>
        <w:rPr>
          <w:w w:val="109"/>
        </w:rPr>
        <w:t>operaciones</w:t>
      </w:r>
      <w:r>
        <w:rPr/>
        <w:t> </w:t>
      </w:r>
      <w:r>
        <w:rPr>
          <w:spacing w:val="-10"/>
        </w:rPr>
        <w:t> </w:t>
      </w:r>
      <w:r>
        <w:rPr>
          <w:w w:val="107"/>
        </w:rPr>
        <w:t>de</w:t>
      </w:r>
      <w:r>
        <w:rPr/>
        <w:t> </w:t>
      </w:r>
      <w:r>
        <w:rPr>
          <w:spacing w:val="-10"/>
        </w:rPr>
        <w:t> </w:t>
      </w:r>
      <w:r>
        <w:rPr>
          <w:w w:val="110"/>
        </w:rPr>
        <w:t>alto</w:t>
      </w:r>
      <w:r>
        <w:rPr/>
        <w:t> </w:t>
      </w:r>
      <w:r>
        <w:rPr>
          <w:spacing w:val="-10"/>
        </w:rPr>
        <w:t> </w:t>
      </w:r>
      <w:r>
        <w:rPr>
          <w:w w:val="110"/>
        </w:rPr>
        <w:t>riesgo.</w:t>
      </w:r>
      <w:r>
        <w:rPr/>
        <w:t> </w:t>
      </w:r>
      <w:r>
        <w:rPr>
          <w:spacing w:val="-10"/>
        </w:rPr>
        <w:t> </w:t>
      </w:r>
      <w:r>
        <w:rPr>
          <w:w w:val="243"/>
        </w:rPr>
        <w:t>l</w:t>
      </w:r>
      <w:r>
        <w:rPr>
          <w:w w:val="108"/>
        </w:rPr>
        <w:t>os</w:t>
      </w:r>
      <w:r>
        <w:rPr/>
        <w:t> </w:t>
      </w:r>
      <w:r>
        <w:rPr>
          <w:spacing w:val="-10"/>
        </w:rPr>
        <w:t> </w:t>
      </w:r>
      <w:r>
        <w:rPr>
          <w:w w:val="109"/>
        </w:rPr>
        <w:t>financistas </w:t>
      </w:r>
      <w:r>
        <w:rPr>
          <w:w w:val="110"/>
        </w:rPr>
        <w:t>bloquearon, además, las sanciones contra los causantes del </w:t>
      </w:r>
      <w:r>
        <w:rPr>
          <w:i/>
          <w:w w:val="110"/>
        </w:rPr>
        <w:t>crack </w:t>
      </w:r>
      <w:r>
        <w:rPr>
          <w:w w:val="110"/>
        </w:rPr>
        <w:t>de 2008 y consiguieron la continuidad de las escandalosas comisiones que cobran los gestores de las</w:t>
      </w:r>
      <w:r>
        <w:rPr>
          <w:spacing w:val="31"/>
          <w:w w:val="110"/>
        </w:rPr>
        <w:t> </w:t>
      </w:r>
      <w:r>
        <w:rPr>
          <w:w w:val="110"/>
        </w:rPr>
        <w:t>burbujas.</w:t>
      </w:r>
    </w:p>
    <w:p>
      <w:pPr>
        <w:pStyle w:val="BodyText"/>
        <w:spacing w:line="252" w:lineRule="auto"/>
        <w:ind w:left="100" w:right="327" w:firstLine="396"/>
        <w:jc w:val="both"/>
      </w:pPr>
      <w:r>
        <w:rPr>
          <w:w w:val="110"/>
        </w:rPr>
        <w:t>Estados unidos logró, en tercer </w:t>
      </w:r>
      <w:r>
        <w:rPr>
          <w:spacing w:val="-4"/>
          <w:w w:val="110"/>
        </w:rPr>
        <w:t>lugar, </w:t>
      </w:r>
      <w:r>
        <w:rPr>
          <w:w w:val="110"/>
        </w:rPr>
        <w:t>rehabilitar al FMi como auditor de las economías nacionales y supervisor de los ajustes. una entidad desprestigiada y con recursos decrecientes cuenta</w:t>
      </w:r>
      <w:r>
        <w:rPr>
          <w:spacing w:val="-12"/>
          <w:w w:val="110"/>
        </w:rPr>
        <w:t> </w:t>
      </w:r>
      <w:r>
        <w:rPr>
          <w:w w:val="110"/>
        </w:rPr>
        <w:t>nuevamen- te con muchos fondos y gran capacidad de intervención global. En los últimos cónclaves del G-20 se acordó duplicar el capital de ese orga- nismo. aunque los norteamericanos aportan poco dinero mantienen </w:t>
      </w:r>
      <w:r>
        <w:rPr>
          <w:w w:val="112"/>
        </w:rPr>
        <w:t>una</w:t>
      </w:r>
      <w:r>
        <w:rPr/>
        <w:t> </w:t>
      </w:r>
      <w:r>
        <w:rPr>
          <w:spacing w:val="-13"/>
        </w:rPr>
        <w:t> </w:t>
      </w:r>
      <w:r>
        <w:rPr>
          <w:w w:val="111"/>
        </w:rPr>
        <w:t>influencia</w:t>
      </w:r>
      <w:r>
        <w:rPr/>
        <w:t> </w:t>
      </w:r>
      <w:r>
        <w:rPr>
          <w:spacing w:val="-13"/>
        </w:rPr>
        <w:t> </w:t>
      </w:r>
      <w:r>
        <w:rPr>
          <w:w w:val="109"/>
        </w:rPr>
        <w:t>predominante</w:t>
      </w:r>
      <w:r>
        <w:rPr/>
        <w:t> </w:t>
      </w:r>
      <w:r>
        <w:rPr>
          <w:spacing w:val="-13"/>
        </w:rPr>
        <w:t> </w:t>
      </w:r>
      <w:r>
        <w:rPr>
          <w:w w:val="108"/>
        </w:rPr>
        <w:t>en</w:t>
      </w:r>
      <w:r>
        <w:rPr/>
        <w:t> </w:t>
      </w:r>
      <w:r>
        <w:rPr>
          <w:spacing w:val="-13"/>
        </w:rPr>
        <w:t> </w:t>
      </w:r>
      <w:r>
        <w:rPr>
          <w:w w:val="107"/>
        </w:rPr>
        <w:t>el</w:t>
      </w:r>
      <w:r>
        <w:rPr/>
        <w:t> </w:t>
      </w:r>
      <w:r>
        <w:rPr>
          <w:spacing w:val="-13"/>
        </w:rPr>
        <w:t> </w:t>
      </w:r>
      <w:r>
        <w:rPr>
          <w:w w:val="110"/>
        </w:rPr>
        <w:t>directorio.</w:t>
      </w:r>
      <w:r>
        <w:rPr/>
        <w:t> </w:t>
      </w:r>
      <w:r>
        <w:rPr>
          <w:spacing w:val="-13"/>
        </w:rPr>
        <w:t> </w:t>
      </w:r>
      <w:r>
        <w:rPr>
          <w:w w:val="243"/>
        </w:rPr>
        <w:t>l</w:t>
      </w:r>
      <w:r>
        <w:rPr>
          <w:w w:val="112"/>
        </w:rPr>
        <w:t>a</w:t>
      </w:r>
      <w:r>
        <w:rPr/>
        <w:t> </w:t>
      </w:r>
      <w:r>
        <w:rPr>
          <w:spacing w:val="-13"/>
        </w:rPr>
        <w:t> </w:t>
      </w:r>
      <w:r>
        <w:rPr>
          <w:w w:val="110"/>
        </w:rPr>
        <w:t>agenda</w:t>
      </w:r>
      <w:r>
        <w:rPr/>
        <w:t> </w:t>
      </w:r>
      <w:r>
        <w:rPr>
          <w:spacing w:val="-13"/>
        </w:rPr>
        <w:t> </w:t>
      </w:r>
      <w:r>
        <w:rPr>
          <w:w w:val="107"/>
        </w:rPr>
        <w:t>del</w:t>
      </w:r>
      <w:r>
        <w:rPr/>
        <w:t> </w:t>
      </w:r>
      <w:r>
        <w:rPr>
          <w:spacing w:val="-13"/>
        </w:rPr>
        <w:t> </w:t>
      </w:r>
      <w:r>
        <w:rPr>
          <w:w w:val="120"/>
        </w:rPr>
        <w:t>FM</w:t>
      </w:r>
      <w:r>
        <w:rPr>
          <w:w w:val="142"/>
        </w:rPr>
        <w:t>i</w:t>
      </w:r>
      <w:r>
        <w:rPr/>
        <w:t> </w:t>
      </w:r>
      <w:r>
        <w:rPr>
          <w:spacing w:val="-13"/>
        </w:rPr>
        <w:t> </w:t>
      </w:r>
      <w:r>
        <w:rPr>
          <w:w w:val="105"/>
        </w:rPr>
        <w:t>se </w:t>
      </w:r>
      <w:r>
        <w:rPr>
          <w:w w:val="110"/>
        </w:rPr>
        <w:t>define en</w:t>
      </w:r>
      <w:r>
        <w:rPr>
          <w:spacing w:val="6"/>
          <w:w w:val="110"/>
        </w:rPr>
        <w:t> </w:t>
      </w:r>
      <w:r>
        <w:rPr>
          <w:w w:val="110"/>
        </w:rPr>
        <w:t>Washington.</w:t>
      </w:r>
    </w:p>
    <w:p>
      <w:pPr>
        <w:pStyle w:val="BodyText"/>
        <w:spacing w:line="252" w:lineRule="auto"/>
        <w:ind w:left="100" w:right="326" w:firstLine="396"/>
        <w:jc w:val="both"/>
      </w:pPr>
      <w:r>
        <w:rPr>
          <w:w w:val="110"/>
        </w:rPr>
        <w:t>Este poder de Wall street y la reserva Federal  explica  cómo  pudo la potencia del Norte exportar una crisis originada en su terri- torio. al comienzo del temblor impuso la estrategia de expandir la liquidez bancaria y neutralizó la resistencia de alemania. Ha recu- rrido nuevamente a la inundación internacional de dólares, que en     el pasado facilitó la licuación de la deuda  pública  estadounidense. ante la ausencia de alternativas los tenedores de esa moneda vuelven a aceptar ese</w:t>
      </w:r>
      <w:r>
        <w:rPr>
          <w:spacing w:val="35"/>
          <w:w w:val="110"/>
        </w:rPr>
        <w:t> </w:t>
      </w:r>
      <w:r>
        <w:rPr>
          <w:w w:val="110"/>
        </w:rPr>
        <w:t>riesgo.</w:t>
      </w:r>
    </w:p>
    <w:p>
      <w:pPr>
        <w:pStyle w:val="BodyText"/>
        <w:spacing w:line="252" w:lineRule="auto"/>
        <w:ind w:left="100" w:right="327" w:firstLine="396"/>
        <w:jc w:val="both"/>
      </w:pPr>
      <w:r>
        <w:rPr>
          <w:w w:val="110"/>
        </w:rPr>
        <w:t>Muchos bancos del país se han recompuesto con fondos públicos y comienzan a devolver parte del dinero obtenido durante el rescate. Por eso la </w:t>
      </w:r>
      <w:r>
        <w:rPr>
          <w:i/>
          <w:w w:val="110"/>
        </w:rPr>
        <w:t>Fed </w:t>
      </w:r>
      <w:r>
        <w:rPr>
          <w:w w:val="110"/>
        </w:rPr>
        <w:t>propicia un giro hacia la restricción monetaria y el au- mento de las tasas de interés (Noyola, 2014).</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firstLine="396"/>
        <w:jc w:val="both"/>
      </w:pPr>
      <w:r>
        <w:rPr>
          <w:w w:val="110"/>
        </w:rPr>
        <w:t>En las fases anteriores de liquidez, la política monetaria expan- sionista condujo a la emigración de capitales hacia las economías in- termedias, que ofrecían mayor rendimiento a los fondos golondrina. En el escenario opuesto que se avecina (de encarecimiento del costo del dinero), comenzaría un retorno de esos capitales hacia las econo- mías centrales.</w:t>
      </w:r>
    </w:p>
    <w:p>
      <w:pPr>
        <w:pStyle w:val="BodyText"/>
        <w:spacing w:line="252" w:lineRule="auto"/>
        <w:ind w:left="330" w:right="118" w:firstLine="396"/>
        <w:jc w:val="both"/>
      </w:pPr>
      <w:r>
        <w:rPr>
          <w:w w:val="110"/>
        </w:rPr>
        <w:t>En ambos períodos Estados unidos ha orientado el ciclo financie- ro global, confirmando el rol central que tienen </w:t>
      </w:r>
      <w:r>
        <w:rPr>
          <w:spacing w:val="-3"/>
          <w:w w:val="110"/>
        </w:rPr>
        <w:t>Wall </w:t>
      </w:r>
      <w:r>
        <w:rPr>
          <w:w w:val="110"/>
        </w:rPr>
        <w:t>street, la </w:t>
      </w:r>
      <w:r>
        <w:rPr>
          <w:i/>
          <w:w w:val="110"/>
        </w:rPr>
        <w:t>Fed </w:t>
      </w:r>
      <w:r>
        <w:rPr>
          <w:w w:val="110"/>
        </w:rPr>
        <w:t>y  los bancos de ese país en el desenvolvimiento del capitalismo contem- poráneo (Katz, 2011:</w:t>
      </w:r>
      <w:r>
        <w:rPr>
          <w:spacing w:val="-24"/>
          <w:w w:val="110"/>
        </w:rPr>
        <w:t> </w:t>
      </w:r>
      <w:r>
        <w:rPr>
          <w:w w:val="110"/>
        </w:rPr>
        <w:t>53-64).</w:t>
      </w:r>
    </w:p>
    <w:p>
      <w:pPr>
        <w:pStyle w:val="BodyText"/>
        <w:spacing w:before="5"/>
      </w:pPr>
    </w:p>
    <w:p>
      <w:pPr>
        <w:pStyle w:val="Heading6"/>
        <w:ind w:left="331"/>
      </w:pPr>
      <w:r>
        <w:rPr>
          <w:w w:val="145"/>
        </w:rPr>
        <w:t>deterioro</w:t>
      </w:r>
      <w:r>
        <w:rPr>
          <w:spacing w:val="-50"/>
          <w:w w:val="145"/>
        </w:rPr>
        <w:t> </w:t>
      </w:r>
      <w:r>
        <w:rPr>
          <w:w w:val="145"/>
        </w:rPr>
        <w:t>industrial</w:t>
      </w:r>
    </w:p>
    <w:p>
      <w:pPr>
        <w:pStyle w:val="BodyText"/>
        <w:spacing w:line="252" w:lineRule="auto" w:before="10"/>
        <w:ind w:left="330" w:right="118"/>
        <w:jc w:val="both"/>
      </w:pPr>
      <w:r>
        <w:rPr>
          <w:w w:val="243"/>
        </w:rPr>
        <w:t>l</w:t>
      </w:r>
      <w:r>
        <w:rPr>
          <w:w w:val="112"/>
        </w:rPr>
        <w:t>a</w:t>
      </w:r>
      <w:r>
        <w:rPr>
          <w:spacing w:val="17"/>
        </w:rPr>
        <w:t> </w:t>
      </w:r>
      <w:r>
        <w:rPr>
          <w:w w:val="108"/>
        </w:rPr>
        <w:t>otra</w:t>
      </w:r>
      <w:r>
        <w:rPr>
          <w:spacing w:val="17"/>
        </w:rPr>
        <w:t> </w:t>
      </w:r>
      <w:r>
        <w:rPr>
          <w:w w:val="111"/>
        </w:rPr>
        <w:t>cara</w:t>
      </w:r>
      <w:r>
        <w:rPr>
          <w:spacing w:val="17"/>
        </w:rPr>
        <w:t> </w:t>
      </w:r>
      <w:r>
        <w:rPr>
          <w:w w:val="107"/>
        </w:rPr>
        <w:t>de</w:t>
      </w:r>
      <w:r>
        <w:rPr>
          <w:spacing w:val="17"/>
        </w:rPr>
        <w:t> </w:t>
      </w:r>
      <w:r>
        <w:rPr>
          <w:w w:val="105"/>
        </w:rPr>
        <w:t>este</w:t>
      </w:r>
      <w:r>
        <w:rPr>
          <w:spacing w:val="17"/>
        </w:rPr>
        <w:t> </w:t>
      </w:r>
      <w:r>
        <w:rPr>
          <w:w w:val="110"/>
        </w:rPr>
        <w:t>protagonismo</w:t>
      </w:r>
      <w:r>
        <w:rPr>
          <w:spacing w:val="17"/>
        </w:rPr>
        <w:t> </w:t>
      </w:r>
      <w:r>
        <w:rPr>
          <w:w w:val="110"/>
        </w:rPr>
        <w:t>internacional</w:t>
      </w:r>
      <w:r>
        <w:rPr>
          <w:spacing w:val="17"/>
        </w:rPr>
        <w:t> </w:t>
      </w:r>
      <w:r>
        <w:rPr>
          <w:w w:val="105"/>
        </w:rPr>
        <w:t>es</w:t>
      </w:r>
      <w:r>
        <w:rPr>
          <w:spacing w:val="17"/>
        </w:rPr>
        <w:t> </w:t>
      </w:r>
      <w:r>
        <w:rPr>
          <w:w w:val="107"/>
        </w:rPr>
        <w:t>el</w:t>
      </w:r>
      <w:r>
        <w:rPr>
          <w:spacing w:val="17"/>
        </w:rPr>
        <w:t> </w:t>
      </w:r>
      <w:r>
        <w:rPr>
          <w:w w:val="107"/>
        </w:rPr>
        <w:t>deterioro</w:t>
      </w:r>
      <w:r>
        <w:rPr>
          <w:spacing w:val="17"/>
        </w:rPr>
        <w:t> </w:t>
      </w:r>
      <w:r>
        <w:rPr>
          <w:w w:val="108"/>
        </w:rPr>
        <w:t>inte</w:t>
      </w:r>
      <w:r>
        <w:rPr>
          <w:spacing w:val="-15"/>
          <w:w w:val="108"/>
        </w:rPr>
        <w:t>r</w:t>
      </w:r>
      <w:r>
        <w:rPr>
          <w:w w:val="102"/>
        </w:rPr>
        <w:t>- </w:t>
      </w:r>
      <w:r>
        <w:rPr>
          <w:w w:val="110"/>
        </w:rPr>
        <w:t>no de la economía del Norte. Ese declive se corrobora en el débil</w:t>
      </w:r>
      <w:r>
        <w:rPr>
          <w:spacing w:val="-30"/>
          <w:w w:val="110"/>
        </w:rPr>
        <w:t> </w:t>
      </w:r>
      <w:r>
        <w:rPr>
          <w:w w:val="110"/>
        </w:rPr>
        <w:t>creci- miento, que ha sucedido al endeudamiento privado y a la insolvencia desatada por la crisis de las</w:t>
      </w:r>
      <w:r>
        <w:rPr>
          <w:spacing w:val="44"/>
          <w:w w:val="110"/>
        </w:rPr>
        <w:t> </w:t>
      </w:r>
      <w:r>
        <w:rPr>
          <w:w w:val="110"/>
        </w:rPr>
        <w:t>hipotecas.</w:t>
      </w:r>
    </w:p>
    <w:p>
      <w:pPr>
        <w:pStyle w:val="BodyText"/>
        <w:spacing w:line="252" w:lineRule="auto"/>
        <w:ind w:left="330" w:right="117" w:firstLine="396"/>
        <w:jc w:val="both"/>
      </w:pPr>
      <w:r>
        <w:rPr>
          <w:w w:val="243"/>
        </w:rPr>
        <w:t>l</w:t>
      </w:r>
      <w:r>
        <w:rPr>
          <w:w w:val="112"/>
        </w:rPr>
        <w:t>a</w:t>
      </w:r>
      <w:r>
        <w:rPr/>
        <w:t> </w:t>
      </w:r>
      <w:r>
        <w:rPr>
          <w:spacing w:val="11"/>
        </w:rPr>
        <w:t> </w:t>
      </w:r>
      <w:r>
        <w:rPr>
          <w:w w:val="110"/>
        </w:rPr>
        <w:t>recuperación</w:t>
      </w:r>
      <w:r>
        <w:rPr/>
        <w:t> </w:t>
      </w:r>
      <w:r>
        <w:rPr>
          <w:spacing w:val="11"/>
        </w:rPr>
        <w:t> </w:t>
      </w:r>
      <w:r>
        <w:rPr>
          <w:w w:val="107"/>
        </w:rPr>
        <w:t>de</w:t>
      </w:r>
      <w:r>
        <w:rPr/>
        <w:t> </w:t>
      </w:r>
      <w:r>
        <w:rPr>
          <w:spacing w:val="11"/>
        </w:rPr>
        <w:t> </w:t>
      </w:r>
      <w:r>
        <w:rPr>
          <w:w w:val="111"/>
        </w:rPr>
        <w:t>la</w:t>
      </w:r>
      <w:r>
        <w:rPr/>
        <w:t> </w:t>
      </w:r>
      <w:r>
        <w:rPr>
          <w:spacing w:val="11"/>
        </w:rPr>
        <w:t> </w:t>
      </w:r>
      <w:r>
        <w:rPr>
          <w:w w:val="111"/>
        </w:rPr>
        <w:t>economía</w:t>
      </w:r>
      <w:r>
        <w:rPr/>
        <w:t> </w:t>
      </w:r>
      <w:r>
        <w:rPr>
          <w:spacing w:val="11"/>
        </w:rPr>
        <w:t> </w:t>
      </w:r>
      <w:r>
        <w:rPr>
          <w:w w:val="107"/>
        </w:rPr>
        <w:t>está</w:t>
      </w:r>
      <w:r>
        <w:rPr/>
        <w:t> </w:t>
      </w:r>
      <w:r>
        <w:rPr>
          <w:spacing w:val="11"/>
        </w:rPr>
        <w:t> </w:t>
      </w:r>
      <w:r>
        <w:rPr>
          <w:w w:val="111"/>
        </w:rPr>
        <w:t>afectada</w:t>
      </w:r>
      <w:r>
        <w:rPr/>
        <w:t> </w:t>
      </w:r>
      <w:r>
        <w:rPr>
          <w:spacing w:val="11"/>
        </w:rPr>
        <w:t> </w:t>
      </w:r>
      <w:r>
        <w:rPr>
          <w:w w:val="110"/>
        </w:rPr>
        <w:t>también</w:t>
      </w:r>
      <w:r>
        <w:rPr/>
        <w:t> </w:t>
      </w:r>
      <w:r>
        <w:rPr>
          <w:spacing w:val="11"/>
        </w:rPr>
        <w:t> </w:t>
      </w:r>
      <w:r>
        <w:rPr>
          <w:w w:val="108"/>
        </w:rPr>
        <w:t>por</w:t>
      </w:r>
      <w:r>
        <w:rPr/>
        <w:t> </w:t>
      </w:r>
      <w:r>
        <w:rPr>
          <w:spacing w:val="11"/>
        </w:rPr>
        <w:t> </w:t>
      </w:r>
      <w:r>
        <w:rPr>
          <w:w w:val="107"/>
        </w:rPr>
        <w:t>el </w:t>
      </w:r>
      <w:r>
        <w:rPr>
          <w:w w:val="109"/>
        </w:rPr>
        <w:t>enorme</w:t>
      </w:r>
      <w:r>
        <w:rPr/>
        <w:t> </w:t>
      </w:r>
      <w:r>
        <w:rPr>
          <w:spacing w:val="-19"/>
        </w:rPr>
        <w:t> </w:t>
      </w:r>
      <w:r>
        <w:rPr>
          <w:w w:val="109"/>
        </w:rPr>
        <w:t>costo</w:t>
      </w:r>
      <w:r>
        <w:rPr/>
        <w:t> </w:t>
      </w:r>
      <w:r>
        <w:rPr>
          <w:spacing w:val="-19"/>
        </w:rPr>
        <w:t> </w:t>
      </w:r>
      <w:r>
        <w:rPr>
          <w:w w:val="109"/>
        </w:rPr>
        <w:t>fiscal</w:t>
      </w:r>
      <w:r>
        <w:rPr/>
        <w:t> </w:t>
      </w:r>
      <w:r>
        <w:rPr>
          <w:spacing w:val="-19"/>
        </w:rPr>
        <w:t> </w:t>
      </w:r>
      <w:r>
        <w:rPr>
          <w:w w:val="108"/>
        </w:rPr>
        <w:t>que</w:t>
      </w:r>
      <w:r>
        <w:rPr/>
        <w:t> </w:t>
      </w:r>
      <w:r>
        <w:rPr>
          <w:spacing w:val="-19"/>
        </w:rPr>
        <w:t> </w:t>
      </w:r>
      <w:r>
        <w:rPr>
          <w:w w:val="111"/>
        </w:rPr>
        <w:t>ocasionó</w:t>
      </w:r>
      <w:r>
        <w:rPr/>
        <w:t> </w:t>
      </w:r>
      <w:r>
        <w:rPr>
          <w:spacing w:val="-19"/>
        </w:rPr>
        <w:t> </w:t>
      </w:r>
      <w:r>
        <w:rPr>
          <w:w w:val="107"/>
        </w:rPr>
        <w:t>el</w:t>
      </w:r>
      <w:r>
        <w:rPr/>
        <w:t> </w:t>
      </w:r>
      <w:r>
        <w:rPr>
          <w:spacing w:val="-19"/>
        </w:rPr>
        <w:t> </w:t>
      </w:r>
      <w:r>
        <w:rPr>
          <w:w w:val="109"/>
        </w:rPr>
        <w:t>socorro</w:t>
      </w:r>
      <w:r>
        <w:rPr/>
        <w:t> </w:t>
      </w:r>
      <w:r>
        <w:rPr>
          <w:spacing w:val="-19"/>
        </w:rPr>
        <w:t> </w:t>
      </w:r>
      <w:r>
        <w:rPr>
          <w:w w:val="107"/>
        </w:rPr>
        <w:t>de</w:t>
      </w:r>
      <w:r>
        <w:rPr/>
        <w:t> </w:t>
      </w:r>
      <w:r>
        <w:rPr>
          <w:spacing w:val="-19"/>
        </w:rPr>
        <w:t> </w:t>
      </w:r>
      <w:r>
        <w:rPr>
          <w:w w:val="108"/>
        </w:rPr>
        <w:t>los</w:t>
      </w:r>
      <w:r>
        <w:rPr/>
        <w:t> </w:t>
      </w:r>
      <w:r>
        <w:rPr>
          <w:spacing w:val="-19"/>
        </w:rPr>
        <w:t> </w:t>
      </w:r>
      <w:r>
        <w:rPr>
          <w:w w:val="112"/>
        </w:rPr>
        <w:t>bancos.</w:t>
      </w:r>
      <w:r>
        <w:rPr/>
        <w:t> </w:t>
      </w:r>
      <w:r>
        <w:rPr>
          <w:spacing w:val="-19"/>
        </w:rPr>
        <w:t> </w:t>
      </w:r>
      <w:r>
        <w:rPr>
          <w:w w:val="243"/>
        </w:rPr>
        <w:t>l</w:t>
      </w:r>
      <w:r>
        <w:rPr>
          <w:w w:val="112"/>
        </w:rPr>
        <w:t>a</w:t>
      </w:r>
      <w:r>
        <w:rPr/>
        <w:t> </w:t>
      </w:r>
      <w:r>
        <w:rPr>
          <w:spacing w:val="-19"/>
        </w:rPr>
        <w:t> </w:t>
      </w:r>
      <w:r>
        <w:rPr>
          <w:w w:val="109"/>
        </w:rPr>
        <w:t>deuda </w:t>
      </w:r>
      <w:r>
        <w:rPr>
          <w:w w:val="115"/>
        </w:rPr>
        <w:t>pública</w:t>
      </w:r>
      <w:r>
        <w:rPr>
          <w:spacing w:val="-11"/>
          <w:w w:val="115"/>
        </w:rPr>
        <w:t> </w:t>
      </w:r>
      <w:r>
        <w:rPr>
          <w:w w:val="115"/>
        </w:rPr>
        <w:t>alcanzó</w:t>
      </w:r>
      <w:r>
        <w:rPr>
          <w:spacing w:val="-11"/>
          <w:w w:val="115"/>
        </w:rPr>
        <w:t> </w:t>
      </w:r>
      <w:r>
        <w:rPr>
          <w:w w:val="115"/>
        </w:rPr>
        <w:t>un</w:t>
      </w:r>
      <w:r>
        <w:rPr>
          <w:spacing w:val="-11"/>
          <w:w w:val="115"/>
        </w:rPr>
        <w:t> </w:t>
      </w:r>
      <w:r>
        <w:rPr>
          <w:w w:val="115"/>
        </w:rPr>
        <w:t>peligroso</w:t>
      </w:r>
      <w:r>
        <w:rPr>
          <w:spacing w:val="-11"/>
          <w:w w:val="115"/>
        </w:rPr>
        <w:t> </w:t>
      </w:r>
      <w:r>
        <w:rPr>
          <w:w w:val="115"/>
        </w:rPr>
        <w:t>techo</w:t>
      </w:r>
      <w:r>
        <w:rPr>
          <w:spacing w:val="-11"/>
          <w:w w:val="115"/>
        </w:rPr>
        <w:t> </w:t>
      </w:r>
      <w:r>
        <w:rPr>
          <w:w w:val="115"/>
        </w:rPr>
        <w:t>luego</w:t>
      </w:r>
      <w:r>
        <w:rPr>
          <w:spacing w:val="-11"/>
          <w:w w:val="115"/>
        </w:rPr>
        <w:t> </w:t>
      </w:r>
      <w:r>
        <w:rPr>
          <w:w w:val="115"/>
        </w:rPr>
        <w:t>de</w:t>
      </w:r>
      <w:r>
        <w:rPr>
          <w:spacing w:val="-11"/>
          <w:w w:val="115"/>
        </w:rPr>
        <w:t> </w:t>
      </w:r>
      <w:r>
        <w:rPr>
          <w:w w:val="115"/>
        </w:rPr>
        <w:t>saltar</w:t>
      </w:r>
      <w:r>
        <w:rPr>
          <w:spacing w:val="-11"/>
          <w:w w:val="115"/>
        </w:rPr>
        <w:t> </w:t>
      </w:r>
      <w:r>
        <w:rPr>
          <w:w w:val="115"/>
        </w:rPr>
        <w:t>del</w:t>
      </w:r>
      <w:r>
        <w:rPr>
          <w:spacing w:val="-11"/>
          <w:w w:val="115"/>
        </w:rPr>
        <w:t> </w:t>
      </w:r>
      <w:r>
        <w:rPr>
          <w:w w:val="115"/>
        </w:rPr>
        <w:t>62%</w:t>
      </w:r>
      <w:r>
        <w:rPr>
          <w:spacing w:val="-11"/>
          <w:w w:val="115"/>
        </w:rPr>
        <w:t> </w:t>
      </w:r>
      <w:r>
        <w:rPr>
          <w:w w:val="115"/>
        </w:rPr>
        <w:t>(2007)</w:t>
      </w:r>
      <w:r>
        <w:rPr>
          <w:spacing w:val="-11"/>
          <w:w w:val="115"/>
        </w:rPr>
        <w:t> </w:t>
      </w:r>
      <w:r>
        <w:rPr>
          <w:w w:val="115"/>
        </w:rPr>
        <w:t>al </w:t>
      </w:r>
      <w:r>
        <w:rPr>
          <w:w w:val="102"/>
        </w:rPr>
        <w:t>100%</w:t>
      </w:r>
      <w:r>
        <w:rPr>
          <w:spacing w:val="4"/>
        </w:rPr>
        <w:t> </w:t>
      </w:r>
      <w:r>
        <w:rPr>
          <w:w w:val="107"/>
        </w:rPr>
        <w:t>del</w:t>
      </w:r>
      <w:r>
        <w:rPr>
          <w:spacing w:val="4"/>
        </w:rPr>
        <w:t> </w:t>
      </w:r>
      <w:r>
        <w:rPr>
          <w:w w:val="113"/>
        </w:rPr>
        <w:t>P</w:t>
      </w:r>
      <w:r>
        <w:rPr>
          <w:w w:val="137"/>
        </w:rPr>
        <w:t>bi</w:t>
      </w:r>
      <w:r>
        <w:rPr>
          <w:spacing w:val="4"/>
        </w:rPr>
        <w:t> </w:t>
      </w:r>
      <w:r>
        <w:rPr>
          <w:w w:val="103"/>
        </w:rPr>
        <w:t>(2011).</w:t>
      </w:r>
      <w:r>
        <w:rPr>
          <w:spacing w:val="4"/>
        </w:rPr>
        <w:t> </w:t>
      </w:r>
      <w:r>
        <w:rPr>
          <w:w w:val="243"/>
        </w:rPr>
        <w:t>l</w:t>
      </w:r>
      <w:r>
        <w:rPr>
          <w:w w:val="112"/>
        </w:rPr>
        <w:t>a</w:t>
      </w:r>
      <w:r>
        <w:rPr>
          <w:spacing w:val="4"/>
        </w:rPr>
        <w:t> </w:t>
      </w:r>
      <w:r>
        <w:rPr>
          <w:w w:val="108"/>
        </w:rPr>
        <w:t>gravedad</w:t>
      </w:r>
      <w:r>
        <w:rPr>
          <w:spacing w:val="4"/>
        </w:rPr>
        <w:t> </w:t>
      </w:r>
      <w:r>
        <w:rPr>
          <w:w w:val="107"/>
        </w:rPr>
        <w:t>de</w:t>
      </w:r>
      <w:r>
        <w:rPr>
          <w:spacing w:val="4"/>
        </w:rPr>
        <w:t> </w:t>
      </w:r>
      <w:r>
        <w:rPr>
          <w:w w:val="107"/>
        </w:rPr>
        <w:t>esta</w:t>
      </w:r>
      <w:r>
        <w:rPr>
          <w:spacing w:val="4"/>
        </w:rPr>
        <w:t> </w:t>
      </w:r>
      <w:r>
        <w:rPr>
          <w:w w:val="111"/>
        </w:rPr>
        <w:t>carga</w:t>
      </w:r>
      <w:r>
        <w:rPr>
          <w:spacing w:val="4"/>
        </w:rPr>
        <w:t> </w:t>
      </w:r>
      <w:r>
        <w:rPr>
          <w:w w:val="111"/>
        </w:rPr>
        <w:t>fue</w:t>
      </w:r>
      <w:r>
        <w:rPr>
          <w:spacing w:val="4"/>
        </w:rPr>
        <w:t> </w:t>
      </w:r>
      <w:r>
        <w:rPr>
          <w:w w:val="107"/>
        </w:rPr>
        <w:t>testeada</w:t>
      </w:r>
      <w:r>
        <w:rPr>
          <w:spacing w:val="4"/>
        </w:rPr>
        <w:t> </w:t>
      </w:r>
      <w:r>
        <w:rPr>
          <w:w w:val="107"/>
        </w:rPr>
        <w:t>el</w:t>
      </w:r>
      <w:r>
        <w:rPr>
          <w:spacing w:val="4"/>
        </w:rPr>
        <w:t> </w:t>
      </w:r>
      <w:r>
        <w:rPr>
          <w:w w:val="111"/>
        </w:rPr>
        <w:t>año</w:t>
      </w:r>
      <w:r>
        <w:rPr>
          <w:spacing w:val="4"/>
        </w:rPr>
        <w:t> </w:t>
      </w:r>
      <w:r>
        <w:rPr>
          <w:w w:val="110"/>
        </w:rPr>
        <w:t>p</w:t>
      </w:r>
      <w:r>
        <w:rPr>
          <w:spacing w:val="-1"/>
          <w:w w:val="110"/>
        </w:rPr>
        <w:t>a</w:t>
      </w:r>
      <w:r>
        <w:rPr>
          <w:w w:val="102"/>
        </w:rPr>
        <w:t>- </w:t>
      </w:r>
      <w:r>
        <w:rPr>
          <w:w w:val="109"/>
        </w:rPr>
        <w:t>sado</w:t>
      </w:r>
      <w:r>
        <w:rPr>
          <w:spacing w:val="8"/>
        </w:rPr>
        <w:t> </w:t>
      </w:r>
      <w:r>
        <w:rPr>
          <w:w w:val="109"/>
        </w:rPr>
        <w:t>durante</w:t>
      </w:r>
      <w:r>
        <w:rPr>
          <w:spacing w:val="8"/>
        </w:rPr>
        <w:t> </w:t>
      </w:r>
      <w:r>
        <w:rPr>
          <w:w w:val="107"/>
        </w:rPr>
        <w:t>el</w:t>
      </w:r>
      <w:r>
        <w:rPr>
          <w:spacing w:val="8"/>
        </w:rPr>
        <w:t> </w:t>
      </w:r>
      <w:r>
        <w:rPr>
          <w:w w:val="107"/>
        </w:rPr>
        <w:t>cierre</w:t>
      </w:r>
      <w:r>
        <w:rPr>
          <w:spacing w:val="8"/>
        </w:rPr>
        <w:t> </w:t>
      </w:r>
      <w:r>
        <w:rPr>
          <w:w w:val="107"/>
        </w:rPr>
        <w:t>del</w:t>
      </w:r>
      <w:r>
        <w:rPr>
          <w:spacing w:val="8"/>
        </w:rPr>
        <w:t> </w:t>
      </w:r>
      <w:r>
        <w:rPr>
          <w:w w:val="109"/>
        </w:rPr>
        <w:t>gobierno</w:t>
      </w:r>
      <w:r>
        <w:rPr>
          <w:spacing w:val="8"/>
        </w:rPr>
        <w:t> </w:t>
      </w:r>
      <w:r>
        <w:rPr>
          <w:w w:val="110"/>
        </w:rPr>
        <w:t>federal.</w:t>
      </w:r>
      <w:r>
        <w:rPr>
          <w:spacing w:val="8"/>
        </w:rPr>
        <w:t> </w:t>
      </w:r>
      <w:r>
        <w:rPr>
          <w:w w:val="243"/>
        </w:rPr>
        <w:t>l</w:t>
      </w:r>
      <w:r>
        <w:rPr>
          <w:w w:val="112"/>
        </w:rPr>
        <w:t>a</w:t>
      </w:r>
      <w:r>
        <w:rPr>
          <w:spacing w:val="8"/>
        </w:rPr>
        <w:t> </w:t>
      </w:r>
      <w:r>
        <w:rPr>
          <w:w w:val="111"/>
        </w:rPr>
        <w:t>administración</w:t>
      </w:r>
      <w:r>
        <w:rPr>
          <w:spacing w:val="8"/>
        </w:rPr>
        <w:t> </w:t>
      </w:r>
      <w:r>
        <w:rPr>
          <w:w w:val="108"/>
        </w:rPr>
        <w:t>dejó</w:t>
      </w:r>
      <w:r>
        <w:rPr>
          <w:spacing w:val="8"/>
        </w:rPr>
        <w:t> </w:t>
      </w:r>
      <w:r>
        <w:rPr>
          <w:w w:val="107"/>
        </w:rPr>
        <w:t>de </w:t>
      </w:r>
      <w:r>
        <w:rPr>
          <w:spacing w:val="-3"/>
          <w:w w:val="115"/>
        </w:rPr>
        <w:t>funcionar,</w:t>
      </w:r>
      <w:r>
        <w:rPr>
          <w:spacing w:val="-31"/>
          <w:w w:val="115"/>
        </w:rPr>
        <w:t> </w:t>
      </w:r>
      <w:r>
        <w:rPr>
          <w:w w:val="115"/>
        </w:rPr>
        <w:t>mientras</w:t>
      </w:r>
      <w:r>
        <w:rPr>
          <w:spacing w:val="-31"/>
          <w:w w:val="115"/>
        </w:rPr>
        <w:t> </w:t>
      </w:r>
      <w:r>
        <w:rPr>
          <w:w w:val="115"/>
        </w:rPr>
        <w:t>republicanos</w:t>
      </w:r>
      <w:r>
        <w:rPr>
          <w:spacing w:val="-31"/>
          <w:w w:val="115"/>
        </w:rPr>
        <w:t> </w:t>
      </w:r>
      <w:r>
        <w:rPr>
          <w:w w:val="115"/>
        </w:rPr>
        <w:t>y</w:t>
      </w:r>
      <w:r>
        <w:rPr>
          <w:spacing w:val="-31"/>
          <w:w w:val="115"/>
        </w:rPr>
        <w:t> </w:t>
      </w:r>
      <w:r>
        <w:rPr>
          <w:w w:val="115"/>
        </w:rPr>
        <w:t>demócratas</w:t>
      </w:r>
      <w:r>
        <w:rPr>
          <w:spacing w:val="-31"/>
          <w:w w:val="115"/>
        </w:rPr>
        <w:t> </w:t>
      </w:r>
      <w:r>
        <w:rPr>
          <w:w w:val="115"/>
        </w:rPr>
        <w:t>discutían</w:t>
      </w:r>
      <w:r>
        <w:rPr>
          <w:spacing w:val="-31"/>
          <w:w w:val="115"/>
        </w:rPr>
        <w:t> </w:t>
      </w:r>
      <w:r>
        <w:rPr>
          <w:w w:val="115"/>
        </w:rPr>
        <w:t>los</w:t>
      </w:r>
      <w:r>
        <w:rPr>
          <w:spacing w:val="-31"/>
          <w:w w:val="115"/>
        </w:rPr>
        <w:t> </w:t>
      </w:r>
      <w:r>
        <w:rPr>
          <w:w w:val="115"/>
        </w:rPr>
        <w:t>límites</w:t>
      </w:r>
      <w:r>
        <w:rPr>
          <w:spacing w:val="-31"/>
          <w:w w:val="115"/>
        </w:rPr>
        <w:t> </w:t>
      </w:r>
      <w:r>
        <w:rPr>
          <w:w w:val="115"/>
        </w:rPr>
        <w:t>al </w:t>
      </w:r>
      <w:r>
        <w:rPr>
          <w:w w:val="110"/>
        </w:rPr>
        <w:t>financiamiento de ese</w:t>
      </w:r>
      <w:r>
        <w:rPr>
          <w:spacing w:val="20"/>
          <w:w w:val="110"/>
        </w:rPr>
        <w:t> </w:t>
      </w:r>
      <w:r>
        <w:rPr>
          <w:w w:val="110"/>
        </w:rPr>
        <w:t>pasivo.</w:t>
      </w:r>
    </w:p>
    <w:p>
      <w:pPr>
        <w:pStyle w:val="BodyText"/>
        <w:spacing w:line="252" w:lineRule="auto"/>
        <w:ind w:left="330" w:right="115" w:firstLine="396"/>
        <w:jc w:val="both"/>
      </w:pPr>
      <w:r>
        <w:rPr>
          <w:w w:val="110"/>
        </w:rPr>
        <w:t>El </w:t>
      </w:r>
      <w:r>
        <w:rPr>
          <w:i/>
          <w:w w:val="110"/>
        </w:rPr>
        <w:t>establishment </w:t>
      </w:r>
      <w:r>
        <w:rPr>
          <w:w w:val="110"/>
        </w:rPr>
        <w:t>utilizó  el  abismo  fiscal  como  un  argumento  de ajuste, para forzar cortes más drásticos en el gasto municipal y social. Finalmente no se produjo el temido </w:t>
      </w:r>
      <w:r>
        <w:rPr>
          <w:i/>
          <w:w w:val="110"/>
        </w:rPr>
        <w:t>default</w:t>
      </w:r>
      <w:r>
        <w:rPr>
          <w:w w:val="110"/>
        </w:rPr>
        <w:t>, ni la dramática corrida contra los bonos del tesoro. Pero lo ocurrido ilustra la di- mensión de la crisis fiscal que corroe a la economía norteamericana (Navarro, 2013).</w:t>
      </w:r>
    </w:p>
    <w:p>
      <w:pPr>
        <w:pStyle w:val="BodyText"/>
        <w:spacing w:line="252" w:lineRule="auto"/>
        <w:ind w:left="330" w:right="117" w:firstLine="396"/>
        <w:jc w:val="both"/>
      </w:pPr>
      <w:r>
        <w:rPr>
          <w:w w:val="110"/>
        </w:rPr>
        <w:t>Esta flaqueza se acentúa, además, por la impotencia que demues- tra obama para introducir reformas mínimas. bajo la presión del </w:t>
      </w:r>
      <w:r>
        <w:rPr>
          <w:i/>
          <w:w w:val="110"/>
        </w:rPr>
        <w:t>Tea </w:t>
      </w:r>
      <w:r>
        <w:rPr>
          <w:i/>
          <w:w w:val="110"/>
        </w:rPr>
        <w:t>Party </w:t>
      </w:r>
      <w:r>
        <w:rPr>
          <w:w w:val="110"/>
        </w:rPr>
        <w:t>y los republicanos aceptó el vaciamiento de su proyecto de sa- </w:t>
      </w:r>
      <w:r>
        <w:rPr>
          <w:w w:val="114"/>
        </w:rPr>
        <w:t>lud.</w:t>
      </w:r>
      <w:r>
        <w:rPr/>
        <w:t> </w:t>
      </w:r>
      <w:r>
        <w:rPr>
          <w:w w:val="243"/>
        </w:rPr>
        <w:t>l</w:t>
      </w:r>
      <w:r>
        <w:rPr>
          <w:w w:val="108"/>
        </w:rPr>
        <w:t>os</w:t>
      </w:r>
      <w:r>
        <w:rPr/>
        <w:t> </w:t>
      </w:r>
      <w:r>
        <w:rPr>
          <w:w w:val="110"/>
        </w:rPr>
        <w:t>millones</w:t>
      </w:r>
      <w:r>
        <w:rPr/>
        <w:t> </w:t>
      </w:r>
      <w:r>
        <w:rPr>
          <w:w w:val="107"/>
        </w:rPr>
        <w:t>de</w:t>
      </w:r>
      <w:r>
        <w:rPr/>
        <w:t> </w:t>
      </w:r>
      <w:r>
        <w:rPr>
          <w:w w:val="108"/>
        </w:rPr>
        <w:t>estadounidenses</w:t>
      </w:r>
      <w:r>
        <w:rPr/>
        <w:t> </w:t>
      </w:r>
      <w:r>
        <w:rPr>
          <w:w w:val="108"/>
        </w:rPr>
        <w:t>que</w:t>
      </w:r>
      <w:r>
        <w:rPr/>
        <w:t> </w:t>
      </w:r>
      <w:r>
        <w:rPr>
          <w:w w:val="110"/>
        </w:rPr>
        <w:t>carecen</w:t>
      </w:r>
      <w:r>
        <w:rPr/>
        <w:t> </w:t>
      </w:r>
      <w:r>
        <w:rPr>
          <w:w w:val="107"/>
        </w:rPr>
        <w:t>de</w:t>
      </w:r>
      <w:r>
        <w:rPr/>
        <w:t> </w:t>
      </w:r>
      <w:r>
        <w:rPr>
          <w:w w:val="110"/>
        </w:rPr>
        <w:t>protección</w:t>
      </w:r>
      <w:r>
        <w:rPr/>
        <w:t> </w:t>
      </w:r>
      <w:r>
        <w:rPr>
          <w:w w:val="111"/>
        </w:rPr>
        <w:t>sani</w:t>
      </w:r>
      <w:r>
        <w:rPr>
          <w:w w:val="102"/>
        </w:rPr>
        <w:t>- </w:t>
      </w:r>
      <w:r>
        <w:rPr>
          <w:w w:val="110"/>
        </w:rPr>
        <w:t>taria deberán afiliarse a un servicio privado prepago regulado por el Estado. El proyecto de una cobertura significativa y menos onerosa quedó archivado.</w:t>
      </w:r>
    </w:p>
    <w:p>
      <w:pPr>
        <w:pStyle w:val="BodyText"/>
        <w:spacing w:line="252" w:lineRule="auto"/>
        <w:ind w:left="330" w:right="117" w:firstLine="396"/>
        <w:jc w:val="both"/>
      </w:pPr>
      <w:r>
        <w:rPr>
          <w:w w:val="110"/>
        </w:rPr>
        <w:t>Como la derecha ha bloqueado cualquier reintroducción de im- puestos a los ricos, todo el ajuste sigue recayendo sobre los trabaja- dores. obama choca con los republicanos en temas culturales </w:t>
      </w:r>
      <w:r>
        <w:rPr>
          <w:spacing w:val="-3"/>
          <w:w w:val="110"/>
        </w:rPr>
        <w:t>(abor-  </w:t>
      </w:r>
      <w:r>
        <w:rPr>
          <w:w w:val="110"/>
        </w:rPr>
        <w:t>to, matrimonio homosexual) y prioridades políticas  (inmigración,  uso de armas). Pero su agenda económica es muy semejante. un abismo lo separa del </w:t>
      </w:r>
      <w:r>
        <w:rPr>
          <w:i/>
          <w:w w:val="110"/>
        </w:rPr>
        <w:t>New Deal </w:t>
      </w:r>
      <w:r>
        <w:rPr>
          <w:w w:val="110"/>
        </w:rPr>
        <w:t>que instrumentó roosevelt durante     la  Gran</w:t>
      </w:r>
      <w:r>
        <w:rPr>
          <w:spacing w:val="44"/>
          <w:w w:val="110"/>
        </w:rPr>
        <w:t> </w:t>
      </w:r>
      <w:r>
        <w:rPr>
          <w:w w:val="110"/>
        </w:rPr>
        <w:t>depresión.</w:t>
      </w:r>
    </w:p>
    <w:p>
      <w:pPr>
        <w:spacing w:after="0" w:line="252" w:lineRule="auto"/>
        <w:jc w:val="both"/>
        <w:sectPr>
          <w:footerReference w:type="even" r:id="rId199"/>
          <w:footerReference w:type="default" r:id="rId200"/>
          <w:pgSz w:w="8790" w:h="12760"/>
          <w:pgMar w:footer="725" w:header="695" w:top="880" w:bottom="920" w:left="1200" w:right="900"/>
          <w:pgNumType w:start="132"/>
        </w:sectPr>
      </w:pPr>
    </w:p>
    <w:p>
      <w:pPr>
        <w:pStyle w:val="BodyText"/>
        <w:spacing w:before="9"/>
        <w:rPr>
          <w:sz w:val="28"/>
        </w:rPr>
      </w:pPr>
    </w:p>
    <w:p>
      <w:pPr>
        <w:pStyle w:val="BodyText"/>
        <w:spacing w:line="252" w:lineRule="auto" w:before="73"/>
        <w:ind w:left="100" w:right="328" w:firstLine="396"/>
        <w:jc w:val="both"/>
      </w:pPr>
      <w:r>
        <w:rPr>
          <w:w w:val="110"/>
        </w:rPr>
        <w:t>El presidente actual mantiene una política neoliberal adversa a los sindicatos y rechaza todas las sugerencias de los economistas key- nesianos para regular a los bancos, aliviar a los pequeños deudores y mejorar el ingreso de los empobrecidos.</w:t>
      </w:r>
    </w:p>
    <w:p>
      <w:pPr>
        <w:pStyle w:val="BodyText"/>
        <w:spacing w:line="252" w:lineRule="auto"/>
        <w:ind w:left="100" w:right="327" w:firstLine="396"/>
        <w:jc w:val="both"/>
      </w:pPr>
      <w:r>
        <w:rPr>
          <w:w w:val="110"/>
        </w:rPr>
        <w:t>Como resultado de este continuismo un puñado de multimillona- rios ha triplicado su apropiación del Pbi en comparación a los años ’70. El sistema impositivo que impuso el </w:t>
      </w:r>
      <w:r>
        <w:rPr>
          <w:i/>
          <w:w w:val="110"/>
        </w:rPr>
        <w:t>reaganomics </w:t>
      </w:r>
      <w:r>
        <w:rPr>
          <w:w w:val="110"/>
        </w:rPr>
        <w:t>no ha cambiado, mientras uno de cada seis norteamericanos vive con ingresos inferio- res a la línea de pobreza.</w:t>
      </w:r>
    </w:p>
    <w:p>
      <w:pPr>
        <w:pStyle w:val="BodyText"/>
        <w:spacing w:line="252" w:lineRule="auto"/>
        <w:ind w:left="100" w:right="328" w:firstLine="396"/>
        <w:jc w:val="both"/>
      </w:pPr>
      <w:r>
        <w:rPr>
          <w:w w:val="110"/>
        </w:rPr>
        <w:t>El endeudamiento personal constituye otro índice del mismo de- terioro. Es un recurso de supervivencia frente a la pérdida de ingre- </w:t>
      </w:r>
      <w:r>
        <w:rPr>
          <w:w w:val="111"/>
        </w:rPr>
        <w:t>sos,</w:t>
      </w:r>
      <w:r>
        <w:rPr/>
        <w:t> </w:t>
      </w:r>
      <w:r>
        <w:rPr>
          <w:w w:val="108"/>
        </w:rPr>
        <w:t>que</w:t>
      </w:r>
      <w:r>
        <w:rPr/>
        <w:t> </w:t>
      </w:r>
      <w:r>
        <w:rPr>
          <w:w w:val="112"/>
        </w:rPr>
        <w:t>utilizan</w:t>
      </w:r>
      <w:r>
        <w:rPr/>
        <w:t> </w:t>
      </w:r>
      <w:r>
        <w:rPr>
          <w:w w:val="109"/>
        </w:rPr>
        <w:t>todas</w:t>
      </w:r>
      <w:r>
        <w:rPr/>
        <w:t> </w:t>
      </w:r>
      <w:r>
        <w:rPr>
          <w:w w:val="109"/>
        </w:rPr>
        <w:t>las</w:t>
      </w:r>
      <w:r>
        <w:rPr/>
        <w:t> </w:t>
      </w:r>
      <w:r>
        <w:rPr>
          <w:w w:val="110"/>
        </w:rPr>
        <w:t>víctimas</w:t>
      </w:r>
      <w:r>
        <w:rPr/>
        <w:t> </w:t>
      </w:r>
      <w:r>
        <w:rPr>
          <w:w w:val="107"/>
        </w:rPr>
        <w:t>del</w:t>
      </w:r>
      <w:r>
        <w:rPr/>
        <w:t> </w:t>
      </w:r>
      <w:r>
        <w:rPr>
          <w:w w:val="110"/>
        </w:rPr>
        <w:t>modelo</w:t>
      </w:r>
      <w:r>
        <w:rPr/>
        <w:t> </w:t>
      </w:r>
      <w:r>
        <w:rPr>
          <w:w w:val="114"/>
        </w:rPr>
        <w:t>actual.</w:t>
      </w:r>
      <w:r>
        <w:rPr/>
        <w:t> </w:t>
      </w:r>
      <w:r>
        <w:rPr>
          <w:w w:val="243"/>
        </w:rPr>
        <w:t>l</w:t>
      </w:r>
      <w:r>
        <w:rPr>
          <w:w w:val="109"/>
        </w:rPr>
        <w:t>as</w:t>
      </w:r>
      <w:r>
        <w:rPr/>
        <w:t> </w:t>
      </w:r>
      <w:r>
        <w:rPr>
          <w:w w:val="112"/>
        </w:rPr>
        <w:t>familias</w:t>
      </w:r>
      <w:r>
        <w:rPr/>
        <w:t> </w:t>
      </w:r>
      <w:r>
        <w:rPr>
          <w:w w:val="107"/>
        </w:rPr>
        <w:t>de </w:t>
      </w:r>
      <w:r>
        <w:rPr>
          <w:w w:val="110"/>
        </w:rPr>
        <w:t>Estados unidos han quedado particularmente atrapadas en la madeja de esta financiación.</w:t>
      </w:r>
    </w:p>
    <w:p>
      <w:pPr>
        <w:pStyle w:val="BodyText"/>
        <w:spacing w:line="252" w:lineRule="auto"/>
        <w:ind w:left="100" w:right="328" w:firstLine="396"/>
        <w:jc w:val="both"/>
      </w:pPr>
      <w:r>
        <w:rPr>
          <w:spacing w:val="-3"/>
          <w:w w:val="238"/>
        </w:rPr>
        <w:t>l</w:t>
      </w:r>
      <w:r>
        <w:rPr>
          <w:spacing w:val="-3"/>
          <w:w w:val="106"/>
        </w:rPr>
        <w:t>a</w:t>
      </w:r>
      <w:r>
        <w:rPr>
          <w:w w:val="106"/>
        </w:rPr>
        <w:t>s</w:t>
      </w:r>
      <w:r>
        <w:rPr>
          <w:spacing w:val="2"/>
        </w:rPr>
        <w:t> </w:t>
      </w:r>
      <w:r>
        <w:rPr>
          <w:spacing w:val="-3"/>
          <w:w w:val="107"/>
        </w:rPr>
        <w:t>brecha</w:t>
      </w:r>
      <w:r>
        <w:rPr>
          <w:w w:val="107"/>
        </w:rPr>
        <w:t>s</w:t>
      </w:r>
      <w:r>
        <w:rPr>
          <w:spacing w:val="2"/>
        </w:rPr>
        <w:t> </w:t>
      </w:r>
      <w:r>
        <w:rPr>
          <w:spacing w:val="-3"/>
          <w:w w:val="107"/>
        </w:rPr>
        <w:t>sociale</w:t>
      </w:r>
      <w:r>
        <w:rPr>
          <w:w w:val="107"/>
        </w:rPr>
        <w:t>s</w:t>
      </w:r>
      <w:r>
        <w:rPr>
          <w:spacing w:val="2"/>
        </w:rPr>
        <w:t> </w:t>
      </w:r>
      <w:r>
        <w:rPr>
          <w:spacing w:val="-3"/>
          <w:w w:val="102"/>
        </w:rPr>
        <w:t>s</w:t>
      </w:r>
      <w:r>
        <w:rPr>
          <w:w w:val="102"/>
        </w:rPr>
        <w:t>e</w:t>
      </w:r>
      <w:r>
        <w:rPr>
          <w:spacing w:val="2"/>
        </w:rPr>
        <w:t> </w:t>
      </w:r>
      <w:r>
        <w:rPr>
          <w:spacing w:val="-3"/>
          <w:w w:val="109"/>
        </w:rPr>
        <w:t>amplía</w:t>
      </w:r>
      <w:r>
        <w:rPr>
          <w:w w:val="109"/>
        </w:rPr>
        <w:t>n</w:t>
      </w:r>
      <w:r>
        <w:rPr>
          <w:spacing w:val="2"/>
        </w:rPr>
        <w:t> </w:t>
      </w:r>
      <w:r>
        <w:rPr>
          <w:spacing w:val="-3"/>
          <w:w w:val="107"/>
        </w:rPr>
        <w:t>ademá</w:t>
      </w:r>
      <w:r>
        <w:rPr>
          <w:w w:val="107"/>
        </w:rPr>
        <w:t>s</w:t>
      </w:r>
      <w:r>
        <w:rPr>
          <w:spacing w:val="2"/>
        </w:rPr>
        <w:t> </w:t>
      </w:r>
      <w:r>
        <w:rPr>
          <w:spacing w:val="-3"/>
          <w:w w:val="110"/>
        </w:rPr>
        <w:t>co</w:t>
      </w:r>
      <w:r>
        <w:rPr>
          <w:w w:val="110"/>
        </w:rPr>
        <w:t>n</w:t>
      </w:r>
      <w:r>
        <w:rPr>
          <w:spacing w:val="2"/>
        </w:rPr>
        <w:t> </w:t>
      </w:r>
      <w:r>
        <w:rPr>
          <w:spacing w:val="-3"/>
          <w:w w:val="109"/>
        </w:rPr>
        <w:t>l</w:t>
      </w:r>
      <w:r>
        <w:rPr>
          <w:w w:val="109"/>
        </w:rPr>
        <w:t>a</w:t>
      </w:r>
      <w:r>
        <w:rPr>
          <w:spacing w:val="2"/>
        </w:rPr>
        <w:t> </w:t>
      </w:r>
      <w:r>
        <w:rPr>
          <w:spacing w:val="-3"/>
          <w:w w:val="107"/>
        </w:rPr>
        <w:t>expansió</w:t>
      </w:r>
      <w:r>
        <w:rPr>
          <w:w w:val="107"/>
        </w:rPr>
        <w:t>n</w:t>
      </w:r>
      <w:r>
        <w:rPr>
          <w:spacing w:val="2"/>
        </w:rPr>
        <w:t> </w:t>
      </w:r>
      <w:r>
        <w:rPr>
          <w:spacing w:val="-3"/>
          <w:w w:val="105"/>
        </w:rPr>
        <w:t>de</w:t>
      </w:r>
      <w:r>
        <w:rPr>
          <w:w w:val="105"/>
        </w:rPr>
        <w:t>l</w:t>
      </w:r>
      <w:r>
        <w:rPr>
          <w:spacing w:val="2"/>
        </w:rPr>
        <w:t> </w:t>
      </w:r>
      <w:r>
        <w:rPr>
          <w:spacing w:val="-3"/>
          <w:w w:val="106"/>
        </w:rPr>
        <w:t>dese</w:t>
      </w:r>
      <w:r>
        <w:rPr>
          <w:spacing w:val="-4"/>
          <w:w w:val="106"/>
        </w:rPr>
        <w:t>m</w:t>
      </w:r>
      <w:r>
        <w:rPr>
          <w:w w:val="100"/>
        </w:rPr>
        <w:t>- </w:t>
      </w:r>
      <w:r>
        <w:rPr>
          <w:spacing w:val="-3"/>
          <w:w w:val="110"/>
        </w:rPr>
        <w:t>pleo, </w:t>
      </w:r>
      <w:r>
        <w:rPr>
          <w:w w:val="110"/>
        </w:rPr>
        <w:t>que no </w:t>
      </w:r>
      <w:r>
        <w:rPr>
          <w:spacing w:val="-3"/>
          <w:w w:val="110"/>
        </w:rPr>
        <w:t>decae </w:t>
      </w:r>
      <w:r>
        <w:rPr>
          <w:w w:val="110"/>
        </w:rPr>
        <w:t>en los </w:t>
      </w:r>
      <w:r>
        <w:rPr>
          <w:spacing w:val="-3"/>
          <w:w w:val="110"/>
        </w:rPr>
        <w:t>momentos </w:t>
      </w:r>
      <w:r>
        <w:rPr>
          <w:w w:val="110"/>
        </w:rPr>
        <w:t>de </w:t>
      </w:r>
      <w:r>
        <w:rPr>
          <w:spacing w:val="-3"/>
          <w:w w:val="110"/>
        </w:rPr>
        <w:t>reactivación. Gran parte </w:t>
      </w:r>
      <w:r>
        <w:rPr>
          <w:w w:val="110"/>
        </w:rPr>
        <w:t>de </w:t>
      </w:r>
      <w:r>
        <w:rPr>
          <w:spacing w:val="-3"/>
          <w:w w:val="110"/>
        </w:rPr>
        <w:t>los </w:t>
      </w:r>
      <w:r>
        <w:rPr>
          <w:spacing w:val="-3"/>
          <w:w w:val="106"/>
        </w:rPr>
        <w:t>empleo</w:t>
      </w:r>
      <w:r>
        <w:rPr>
          <w:w w:val="106"/>
        </w:rPr>
        <w:t>s</w:t>
      </w:r>
      <w:r>
        <w:rPr>
          <w:spacing w:val="15"/>
        </w:rPr>
        <w:t> </w:t>
      </w:r>
      <w:r>
        <w:rPr>
          <w:spacing w:val="-3"/>
          <w:w w:val="106"/>
        </w:rPr>
        <w:t>perdido</w:t>
      </w:r>
      <w:r>
        <w:rPr>
          <w:w w:val="106"/>
        </w:rPr>
        <w:t>s</w:t>
      </w:r>
      <w:r>
        <w:rPr>
          <w:spacing w:val="15"/>
        </w:rPr>
        <w:t> </w:t>
      </w:r>
      <w:r>
        <w:rPr>
          <w:spacing w:val="-3"/>
          <w:w w:val="104"/>
        </w:rPr>
        <w:t>desd</w:t>
      </w:r>
      <w:r>
        <w:rPr>
          <w:w w:val="104"/>
        </w:rPr>
        <w:t>e</w:t>
      </w:r>
      <w:r>
        <w:rPr>
          <w:spacing w:val="15"/>
        </w:rPr>
        <w:t> </w:t>
      </w:r>
      <w:r>
        <w:rPr>
          <w:spacing w:val="-3"/>
          <w:w w:val="100"/>
        </w:rPr>
        <w:t>200</w:t>
      </w:r>
      <w:r>
        <w:rPr>
          <w:w w:val="100"/>
        </w:rPr>
        <w:t>8</w:t>
      </w:r>
      <w:r>
        <w:rPr>
          <w:spacing w:val="15"/>
        </w:rPr>
        <w:t> </w:t>
      </w:r>
      <w:r>
        <w:rPr>
          <w:spacing w:val="-3"/>
          <w:w w:val="106"/>
        </w:rPr>
        <w:t>desapareciero</w:t>
      </w:r>
      <w:r>
        <w:rPr>
          <w:w w:val="106"/>
        </w:rPr>
        <w:t>n</w:t>
      </w:r>
      <w:r>
        <w:rPr>
          <w:spacing w:val="15"/>
        </w:rPr>
        <w:t> </w:t>
      </w:r>
      <w:r>
        <w:rPr>
          <w:spacing w:val="-3"/>
          <w:w w:val="107"/>
        </w:rPr>
        <w:t>par</w:t>
      </w:r>
      <w:r>
        <w:rPr>
          <w:w w:val="107"/>
        </w:rPr>
        <w:t>a</w:t>
      </w:r>
      <w:r>
        <w:rPr>
          <w:spacing w:val="15"/>
        </w:rPr>
        <w:t> </w:t>
      </w:r>
      <w:r>
        <w:rPr>
          <w:spacing w:val="-3"/>
          <w:w w:val="107"/>
        </w:rPr>
        <w:t>siempre</w:t>
      </w:r>
      <w:r>
        <w:rPr>
          <w:w w:val="107"/>
        </w:rPr>
        <w:t>.</w:t>
      </w:r>
      <w:r>
        <w:rPr>
          <w:spacing w:val="15"/>
        </w:rPr>
        <w:t> </w:t>
      </w:r>
      <w:r>
        <w:rPr>
          <w:spacing w:val="-3"/>
          <w:w w:val="238"/>
        </w:rPr>
        <w:t>l</w:t>
      </w:r>
      <w:r>
        <w:rPr>
          <w:spacing w:val="-3"/>
          <w:w w:val="106"/>
        </w:rPr>
        <w:t>a</w:t>
      </w:r>
      <w:r>
        <w:rPr>
          <w:w w:val="106"/>
        </w:rPr>
        <w:t>s</w:t>
      </w:r>
      <w:r>
        <w:rPr>
          <w:spacing w:val="15"/>
        </w:rPr>
        <w:t> </w:t>
      </w:r>
      <w:r>
        <w:rPr>
          <w:spacing w:val="-3"/>
          <w:w w:val="106"/>
        </w:rPr>
        <w:t>grandes </w:t>
      </w:r>
      <w:r>
        <w:rPr>
          <w:spacing w:val="-3"/>
          <w:w w:val="110"/>
        </w:rPr>
        <w:t>empresas continúan incrementando </w:t>
      </w:r>
      <w:r>
        <w:rPr>
          <w:w w:val="110"/>
        </w:rPr>
        <w:t>la </w:t>
      </w:r>
      <w:r>
        <w:rPr>
          <w:spacing w:val="-3"/>
          <w:w w:val="110"/>
        </w:rPr>
        <w:t>productividad </w:t>
      </w:r>
      <w:r>
        <w:rPr>
          <w:w w:val="110"/>
        </w:rPr>
        <w:t>con </w:t>
      </w:r>
      <w:r>
        <w:rPr>
          <w:spacing w:val="-3"/>
          <w:w w:val="110"/>
        </w:rPr>
        <w:t>innovaciones </w:t>
      </w:r>
      <w:r>
        <w:rPr>
          <w:w w:val="110"/>
        </w:rPr>
        <w:t>que</w:t>
      </w:r>
      <w:r>
        <w:rPr>
          <w:spacing w:val="-16"/>
          <w:w w:val="110"/>
        </w:rPr>
        <w:t> </w:t>
      </w:r>
      <w:r>
        <w:rPr>
          <w:spacing w:val="-3"/>
          <w:w w:val="110"/>
        </w:rPr>
        <w:t>expulsan</w:t>
      </w:r>
      <w:r>
        <w:rPr>
          <w:spacing w:val="-16"/>
          <w:w w:val="110"/>
        </w:rPr>
        <w:t> </w:t>
      </w:r>
      <w:r>
        <w:rPr>
          <w:spacing w:val="-3"/>
          <w:w w:val="110"/>
        </w:rPr>
        <w:t>mano</w:t>
      </w:r>
      <w:r>
        <w:rPr>
          <w:spacing w:val="-16"/>
          <w:w w:val="110"/>
        </w:rPr>
        <w:t> </w:t>
      </w:r>
      <w:r>
        <w:rPr>
          <w:w w:val="110"/>
        </w:rPr>
        <w:t>de</w:t>
      </w:r>
      <w:r>
        <w:rPr>
          <w:spacing w:val="-16"/>
          <w:w w:val="110"/>
        </w:rPr>
        <w:t> </w:t>
      </w:r>
      <w:r>
        <w:rPr>
          <w:spacing w:val="-3"/>
          <w:w w:val="110"/>
        </w:rPr>
        <w:t>obra,</w:t>
      </w:r>
      <w:r>
        <w:rPr>
          <w:spacing w:val="-16"/>
          <w:w w:val="110"/>
        </w:rPr>
        <w:t> </w:t>
      </w:r>
      <w:r>
        <w:rPr>
          <w:spacing w:val="-3"/>
          <w:w w:val="110"/>
        </w:rPr>
        <w:t>mientras</w:t>
      </w:r>
      <w:r>
        <w:rPr>
          <w:spacing w:val="-16"/>
          <w:w w:val="110"/>
        </w:rPr>
        <w:t> </w:t>
      </w:r>
      <w:r>
        <w:rPr>
          <w:spacing w:val="-3"/>
          <w:w w:val="110"/>
        </w:rPr>
        <w:t>amplían</w:t>
      </w:r>
      <w:r>
        <w:rPr>
          <w:spacing w:val="-16"/>
          <w:w w:val="110"/>
        </w:rPr>
        <w:t> </w:t>
      </w:r>
      <w:r>
        <w:rPr>
          <w:w w:val="110"/>
        </w:rPr>
        <w:t>su</w:t>
      </w:r>
      <w:r>
        <w:rPr>
          <w:spacing w:val="-16"/>
          <w:w w:val="110"/>
        </w:rPr>
        <w:t> </w:t>
      </w:r>
      <w:r>
        <w:rPr>
          <w:spacing w:val="-3"/>
          <w:w w:val="110"/>
        </w:rPr>
        <w:t>deslocalización</w:t>
      </w:r>
      <w:r>
        <w:rPr>
          <w:spacing w:val="-16"/>
          <w:w w:val="110"/>
        </w:rPr>
        <w:t> </w:t>
      </w:r>
      <w:r>
        <w:rPr>
          <w:w w:val="110"/>
        </w:rPr>
        <w:t>de</w:t>
      </w:r>
      <w:r>
        <w:rPr>
          <w:spacing w:val="-16"/>
          <w:w w:val="110"/>
        </w:rPr>
        <w:t> </w:t>
      </w:r>
      <w:r>
        <w:rPr>
          <w:spacing w:val="-3"/>
          <w:w w:val="110"/>
        </w:rPr>
        <w:t>plan- tas.</w:t>
      </w:r>
      <w:r>
        <w:rPr>
          <w:spacing w:val="-7"/>
          <w:w w:val="110"/>
        </w:rPr>
        <w:t> </w:t>
      </w:r>
      <w:r>
        <w:rPr>
          <w:spacing w:val="-3"/>
          <w:w w:val="110"/>
        </w:rPr>
        <w:t>Crean</w:t>
      </w:r>
      <w:r>
        <w:rPr>
          <w:spacing w:val="-7"/>
          <w:w w:val="110"/>
        </w:rPr>
        <w:t> </w:t>
      </w:r>
      <w:r>
        <w:rPr>
          <w:spacing w:val="-3"/>
          <w:w w:val="110"/>
        </w:rPr>
        <w:t>fuera</w:t>
      </w:r>
      <w:r>
        <w:rPr>
          <w:spacing w:val="-7"/>
          <w:w w:val="110"/>
        </w:rPr>
        <w:t> </w:t>
      </w:r>
      <w:r>
        <w:rPr>
          <w:w w:val="110"/>
        </w:rPr>
        <w:t>del</w:t>
      </w:r>
      <w:r>
        <w:rPr>
          <w:spacing w:val="-7"/>
          <w:w w:val="110"/>
        </w:rPr>
        <w:t> </w:t>
      </w:r>
      <w:r>
        <w:rPr>
          <w:spacing w:val="-3"/>
          <w:w w:val="110"/>
        </w:rPr>
        <w:t>país</w:t>
      </w:r>
      <w:r>
        <w:rPr>
          <w:spacing w:val="-7"/>
          <w:w w:val="110"/>
        </w:rPr>
        <w:t> </w:t>
      </w:r>
      <w:r>
        <w:rPr>
          <w:w w:val="110"/>
        </w:rPr>
        <w:t>los</w:t>
      </w:r>
      <w:r>
        <w:rPr>
          <w:spacing w:val="-7"/>
          <w:w w:val="110"/>
        </w:rPr>
        <w:t> </w:t>
      </w:r>
      <w:r>
        <w:rPr>
          <w:spacing w:val="-3"/>
          <w:w w:val="110"/>
        </w:rPr>
        <w:t>empleos</w:t>
      </w:r>
      <w:r>
        <w:rPr>
          <w:spacing w:val="-7"/>
          <w:w w:val="110"/>
        </w:rPr>
        <w:t> </w:t>
      </w:r>
      <w:r>
        <w:rPr>
          <w:w w:val="110"/>
        </w:rPr>
        <w:t>que</w:t>
      </w:r>
      <w:r>
        <w:rPr>
          <w:spacing w:val="-7"/>
          <w:w w:val="110"/>
        </w:rPr>
        <w:t> </w:t>
      </w:r>
      <w:r>
        <w:rPr>
          <w:spacing w:val="-3"/>
          <w:w w:val="110"/>
        </w:rPr>
        <w:t>destruyen</w:t>
      </w:r>
      <w:r>
        <w:rPr>
          <w:spacing w:val="-7"/>
          <w:w w:val="110"/>
        </w:rPr>
        <w:t> </w:t>
      </w:r>
      <w:r>
        <w:rPr>
          <w:spacing w:val="-3"/>
          <w:w w:val="110"/>
        </w:rPr>
        <w:t>internamente,</w:t>
      </w:r>
      <w:r>
        <w:rPr>
          <w:spacing w:val="-7"/>
          <w:w w:val="110"/>
        </w:rPr>
        <w:t> </w:t>
      </w:r>
      <w:r>
        <w:rPr>
          <w:spacing w:val="-3"/>
          <w:w w:val="110"/>
        </w:rPr>
        <w:t>multi- plicando</w:t>
      </w:r>
      <w:r>
        <w:rPr>
          <w:spacing w:val="-7"/>
          <w:w w:val="110"/>
        </w:rPr>
        <w:t> </w:t>
      </w:r>
      <w:r>
        <w:rPr>
          <w:w w:val="110"/>
        </w:rPr>
        <w:t>los</w:t>
      </w:r>
      <w:r>
        <w:rPr>
          <w:spacing w:val="-7"/>
          <w:w w:val="110"/>
        </w:rPr>
        <w:t> </w:t>
      </w:r>
      <w:r>
        <w:rPr>
          <w:spacing w:val="-3"/>
          <w:w w:val="110"/>
        </w:rPr>
        <w:t>barrios</w:t>
      </w:r>
      <w:r>
        <w:rPr>
          <w:spacing w:val="-7"/>
          <w:w w:val="110"/>
        </w:rPr>
        <w:t> </w:t>
      </w:r>
      <w:r>
        <w:rPr>
          <w:spacing w:val="-3"/>
          <w:w w:val="110"/>
        </w:rPr>
        <w:t>fantasmas</w:t>
      </w:r>
      <w:r>
        <w:rPr>
          <w:spacing w:val="-7"/>
          <w:w w:val="110"/>
        </w:rPr>
        <w:t> </w:t>
      </w:r>
      <w:r>
        <w:rPr>
          <w:w w:val="110"/>
        </w:rPr>
        <w:t>en</w:t>
      </w:r>
      <w:r>
        <w:rPr>
          <w:spacing w:val="-7"/>
          <w:w w:val="110"/>
        </w:rPr>
        <w:t> </w:t>
      </w:r>
      <w:r>
        <w:rPr>
          <w:w w:val="110"/>
        </w:rPr>
        <w:t>las</w:t>
      </w:r>
      <w:r>
        <w:rPr>
          <w:spacing w:val="-7"/>
          <w:w w:val="110"/>
        </w:rPr>
        <w:t> </w:t>
      </w:r>
      <w:r>
        <w:rPr>
          <w:spacing w:val="-3"/>
          <w:w w:val="110"/>
        </w:rPr>
        <w:t>ciudades</w:t>
      </w:r>
      <w:r>
        <w:rPr>
          <w:spacing w:val="-7"/>
          <w:w w:val="110"/>
        </w:rPr>
        <w:t> </w:t>
      </w:r>
      <w:r>
        <w:rPr>
          <w:spacing w:val="-3"/>
          <w:w w:val="110"/>
        </w:rPr>
        <w:t>obreras</w:t>
      </w:r>
      <w:r>
        <w:rPr>
          <w:spacing w:val="-7"/>
          <w:w w:val="110"/>
        </w:rPr>
        <w:t> </w:t>
      </w:r>
      <w:r>
        <w:rPr>
          <w:spacing w:val="-3"/>
          <w:w w:val="110"/>
        </w:rPr>
        <w:t>como</w:t>
      </w:r>
      <w:r>
        <w:rPr>
          <w:spacing w:val="-7"/>
          <w:w w:val="110"/>
        </w:rPr>
        <w:t> </w:t>
      </w:r>
      <w:r>
        <w:rPr>
          <w:spacing w:val="-3"/>
          <w:w w:val="110"/>
        </w:rPr>
        <w:t>detroit.</w:t>
      </w:r>
    </w:p>
    <w:p>
      <w:pPr>
        <w:pStyle w:val="BodyText"/>
        <w:spacing w:line="252" w:lineRule="auto"/>
        <w:ind w:left="100" w:right="328" w:firstLine="396"/>
        <w:jc w:val="both"/>
      </w:pPr>
      <w:r>
        <w:rPr>
          <w:w w:val="110"/>
        </w:rPr>
        <w:t>Es cierto que este deterioro industrial coexiste con el liderazgo estadounidense en la creación de nuevas tecnologías de la informa- ción. Pero esa actividad genera poco empleo y no podrá encabezar </w:t>
      </w:r>
      <w:r>
        <w:rPr>
          <w:w w:val="112"/>
        </w:rPr>
        <w:t>un</w:t>
      </w:r>
      <w:r>
        <w:rPr/>
        <w:t> </w:t>
      </w:r>
      <w:r>
        <w:rPr>
          <w:w w:val="109"/>
        </w:rPr>
        <w:t>resurgimiento</w:t>
      </w:r>
      <w:r>
        <w:rPr/>
        <w:t> </w:t>
      </w:r>
      <w:r>
        <w:rPr>
          <w:w w:val="107"/>
        </w:rPr>
        <w:t>del</w:t>
      </w:r>
      <w:r>
        <w:rPr/>
        <w:t> </w:t>
      </w:r>
      <w:r>
        <w:rPr>
          <w:w w:val="108"/>
        </w:rPr>
        <w:t>nivel</w:t>
      </w:r>
      <w:r>
        <w:rPr/>
        <w:t> </w:t>
      </w:r>
      <w:r>
        <w:rPr>
          <w:w w:val="107"/>
        </w:rPr>
        <w:t>de</w:t>
      </w:r>
      <w:r>
        <w:rPr/>
        <w:t> </w:t>
      </w:r>
      <w:r>
        <w:rPr>
          <w:w w:val="113"/>
        </w:rPr>
        <w:t>ocupación.</w:t>
      </w:r>
      <w:r>
        <w:rPr/>
        <w:t> </w:t>
      </w:r>
      <w:r>
        <w:rPr>
          <w:w w:val="243"/>
        </w:rPr>
        <w:t>l</w:t>
      </w:r>
      <w:r>
        <w:rPr>
          <w:w w:val="112"/>
        </w:rPr>
        <w:t>a</w:t>
      </w:r>
      <w:r>
        <w:rPr/>
        <w:t> </w:t>
      </w:r>
      <w:r>
        <w:rPr>
          <w:w w:val="111"/>
        </w:rPr>
        <w:t>emigración</w:t>
      </w:r>
      <w:r>
        <w:rPr/>
        <w:t> </w:t>
      </w:r>
      <w:r>
        <w:rPr>
          <w:w w:val="107"/>
        </w:rPr>
        <w:t>de</w:t>
      </w:r>
      <w:r>
        <w:rPr/>
        <w:t> </w:t>
      </w:r>
      <w:r>
        <w:rPr>
          <w:w w:val="108"/>
        </w:rPr>
        <w:t>empresas </w:t>
      </w:r>
      <w:r>
        <w:rPr>
          <w:w w:val="110"/>
        </w:rPr>
        <w:t>hacia países con menores costos laborales genera pérdidas de puestos de trabajo muy superiores a la recuperación de empleos que acompa- </w:t>
      </w:r>
      <w:r>
        <w:rPr>
          <w:w w:val="112"/>
        </w:rPr>
        <w:t>ña</w:t>
      </w:r>
      <w:r>
        <w:rPr/>
        <w:t> </w:t>
      </w:r>
      <w:r>
        <w:rPr>
          <w:w w:val="111"/>
        </w:rPr>
        <w:t>al</w:t>
      </w:r>
      <w:r>
        <w:rPr/>
        <w:t> </w:t>
      </w:r>
      <w:r>
        <w:rPr>
          <w:w w:val="108"/>
        </w:rPr>
        <w:t>desarrollo</w:t>
      </w:r>
      <w:r>
        <w:rPr/>
        <w:t> </w:t>
      </w:r>
      <w:r>
        <w:rPr>
          <w:w w:val="107"/>
        </w:rPr>
        <w:t>de</w:t>
      </w:r>
      <w:r>
        <w:rPr/>
        <w:t> </w:t>
      </w:r>
      <w:r>
        <w:rPr>
          <w:w w:val="109"/>
        </w:rPr>
        <w:t>las</w:t>
      </w:r>
      <w:r>
        <w:rPr/>
        <w:t> </w:t>
      </w:r>
      <w:r>
        <w:rPr>
          <w:w w:val="109"/>
        </w:rPr>
        <w:t>actividades</w:t>
      </w:r>
      <w:r>
        <w:rPr/>
        <w:t> </w:t>
      </w:r>
      <w:r>
        <w:rPr>
          <w:w w:val="107"/>
        </w:rPr>
        <w:t>de</w:t>
      </w:r>
      <w:r>
        <w:rPr/>
        <w:t> </w:t>
      </w:r>
      <w:r>
        <w:rPr>
          <w:w w:val="112"/>
        </w:rPr>
        <w:t>punta.</w:t>
      </w:r>
      <w:r>
        <w:rPr/>
        <w:t> </w:t>
      </w:r>
      <w:r>
        <w:rPr>
          <w:w w:val="243"/>
        </w:rPr>
        <w:t>l</w:t>
      </w:r>
      <w:r>
        <w:rPr>
          <w:w w:val="109"/>
        </w:rPr>
        <w:t>as</w:t>
      </w:r>
      <w:r>
        <w:rPr/>
        <w:t> </w:t>
      </w:r>
      <w:r>
        <w:rPr>
          <w:w w:val="108"/>
        </w:rPr>
        <w:t>nuevas</w:t>
      </w:r>
      <w:r>
        <w:rPr/>
        <w:t> </w:t>
      </w:r>
      <w:r>
        <w:rPr>
          <w:w w:val="110"/>
        </w:rPr>
        <w:t>tecnologías</w:t>
      </w:r>
      <w:r>
        <w:rPr/>
        <w:t> </w:t>
      </w:r>
      <w:r>
        <w:rPr>
          <w:w w:val="111"/>
        </w:rPr>
        <w:t>no </w:t>
      </w:r>
      <w:r>
        <w:rPr>
          <w:w w:val="110"/>
        </w:rPr>
        <w:t>recrean el trabajo masivo de la industria  clásica.</w:t>
      </w:r>
    </w:p>
    <w:p>
      <w:pPr>
        <w:pStyle w:val="BodyText"/>
        <w:spacing w:before="5"/>
      </w:pPr>
    </w:p>
    <w:p>
      <w:pPr>
        <w:pStyle w:val="Heading6"/>
      </w:pPr>
      <w:r>
        <w:rPr>
          <w:spacing w:val="2"/>
          <w:w w:val="145"/>
        </w:rPr>
        <w:t>r</w:t>
      </w:r>
      <w:r>
        <w:rPr>
          <w:spacing w:val="6"/>
          <w:w w:val="134"/>
        </w:rPr>
        <w:t>e</w:t>
      </w:r>
      <w:r>
        <w:rPr>
          <w:spacing w:val="2"/>
          <w:w w:val="129"/>
        </w:rPr>
        <w:t>a</w:t>
      </w:r>
      <w:r>
        <w:rPr>
          <w:spacing w:val="1"/>
          <w:w w:val="71"/>
        </w:rPr>
        <w:t>J</w:t>
      </w:r>
      <w:r>
        <w:rPr>
          <w:spacing w:val="2"/>
          <w:w w:val="131"/>
        </w:rPr>
        <w:t>u</w:t>
      </w:r>
      <w:r>
        <w:rPr>
          <w:spacing w:val="1"/>
          <w:w w:val="136"/>
        </w:rPr>
        <w:t>s</w:t>
      </w:r>
      <w:r>
        <w:rPr>
          <w:spacing w:val="2"/>
          <w:w w:val="153"/>
        </w:rPr>
        <w:t>t</w:t>
      </w:r>
      <w:r>
        <w:rPr>
          <w:spacing w:val="3"/>
          <w:w w:val="153"/>
        </w:rPr>
        <w:t>e</w:t>
      </w:r>
      <w:r>
        <w:rPr>
          <w:w w:val="136"/>
        </w:rPr>
        <w:t>s</w:t>
      </w:r>
      <w:r>
        <w:rPr>
          <w:spacing w:val="-8"/>
        </w:rPr>
        <w:t> </w:t>
      </w:r>
      <w:r>
        <w:rPr>
          <w:spacing w:val="3"/>
          <w:w w:val="134"/>
        </w:rPr>
        <w:t>e</w:t>
      </w:r>
      <w:r>
        <w:rPr>
          <w:w w:val="128"/>
        </w:rPr>
        <w:t>n</w:t>
      </w:r>
      <w:r>
        <w:rPr>
          <w:spacing w:val="-8"/>
        </w:rPr>
        <w:t> </w:t>
      </w:r>
      <w:r>
        <w:rPr>
          <w:spacing w:val="7"/>
          <w:w w:val="201"/>
        </w:rPr>
        <w:t>l</w:t>
      </w:r>
      <w:r>
        <w:rPr>
          <w:w w:val="129"/>
        </w:rPr>
        <w:t>a</w:t>
      </w:r>
      <w:r>
        <w:rPr>
          <w:spacing w:val="-8"/>
        </w:rPr>
        <w:t> </w:t>
      </w:r>
      <w:r>
        <w:rPr>
          <w:spacing w:val="2"/>
          <w:w w:val="99"/>
        </w:rPr>
        <w:t>P</w:t>
      </w:r>
      <w:r>
        <w:rPr>
          <w:spacing w:val="2"/>
          <w:w w:val="138"/>
        </w:rPr>
        <w:t>ri</w:t>
      </w:r>
      <w:r>
        <w:rPr>
          <w:spacing w:val="2"/>
          <w:w w:val="92"/>
        </w:rPr>
        <w:t>M</w:t>
      </w:r>
      <w:r>
        <w:rPr>
          <w:spacing w:val="1"/>
          <w:w w:val="129"/>
        </w:rPr>
        <w:t>a</w:t>
      </w:r>
      <w:r>
        <w:rPr>
          <w:spacing w:val="2"/>
          <w:w w:val="147"/>
        </w:rPr>
        <w:t>c</w:t>
      </w:r>
      <w:r>
        <w:rPr>
          <w:spacing w:val="2"/>
          <w:w w:val="92"/>
        </w:rPr>
        <w:t>Í</w:t>
      </w:r>
      <w:r>
        <w:rPr>
          <w:w w:val="129"/>
        </w:rPr>
        <w:t>a</w:t>
      </w:r>
      <w:r>
        <w:rPr>
          <w:spacing w:val="-8"/>
        </w:rPr>
        <w:t> </w:t>
      </w:r>
      <w:r>
        <w:rPr>
          <w:spacing w:val="1"/>
          <w:w w:val="96"/>
        </w:rPr>
        <w:t>B</w:t>
      </w:r>
      <w:r>
        <w:rPr>
          <w:spacing w:val="3"/>
          <w:w w:val="134"/>
        </w:rPr>
        <w:t>é</w:t>
      </w:r>
      <w:r>
        <w:rPr>
          <w:spacing w:val="2"/>
          <w:w w:val="201"/>
        </w:rPr>
        <w:t>l</w:t>
      </w:r>
      <w:r>
        <w:rPr>
          <w:spacing w:val="2"/>
          <w:w w:val="140"/>
        </w:rPr>
        <w:t>i</w:t>
      </w:r>
      <w:r>
        <w:rPr>
          <w:spacing w:val="4"/>
          <w:w w:val="140"/>
        </w:rPr>
        <w:t>c</w:t>
      </w:r>
      <w:r>
        <w:rPr>
          <w:w w:val="129"/>
        </w:rPr>
        <w:t>a</w:t>
      </w:r>
    </w:p>
    <w:p>
      <w:pPr>
        <w:pStyle w:val="BodyText"/>
        <w:spacing w:line="252" w:lineRule="auto" w:before="10"/>
        <w:ind w:left="100" w:right="328"/>
        <w:jc w:val="both"/>
      </w:pPr>
      <w:r>
        <w:rPr>
          <w:w w:val="110"/>
        </w:rPr>
        <w:t>Estados unidos conserva un rol internacional protagónico a pesar de su pérdida de liderazgo industrial. ¿Cómo se explica esta disociación? </w:t>
      </w:r>
      <w:r>
        <w:rPr>
          <w:w w:val="243"/>
        </w:rPr>
        <w:t>l</w:t>
      </w:r>
      <w:r>
        <w:rPr>
          <w:w w:val="112"/>
        </w:rPr>
        <w:t>a</w:t>
      </w:r>
      <w:r>
        <w:rPr/>
        <w:t>  </w:t>
      </w:r>
      <w:r>
        <w:rPr>
          <w:w w:val="111"/>
        </w:rPr>
        <w:t>influencia</w:t>
      </w:r>
      <w:r>
        <w:rPr/>
        <w:t>  </w:t>
      </w:r>
      <w:r>
        <w:rPr>
          <w:w w:val="109"/>
        </w:rPr>
        <w:t>decisiva</w:t>
      </w:r>
      <w:r>
        <w:rPr/>
        <w:t>  </w:t>
      </w:r>
      <w:r>
        <w:rPr>
          <w:w w:val="107"/>
        </w:rPr>
        <w:t>de</w:t>
      </w:r>
      <w:r>
        <w:rPr/>
        <w:t>  </w:t>
      </w:r>
      <w:r>
        <w:rPr>
          <w:w w:val="108"/>
        </w:rPr>
        <w:t>sus</w:t>
      </w:r>
      <w:r>
        <w:rPr/>
        <w:t>  </w:t>
      </w:r>
      <w:r>
        <w:rPr>
          <w:w w:val="111"/>
        </w:rPr>
        <w:t>bancos</w:t>
      </w:r>
      <w:r>
        <w:rPr/>
        <w:t>  </w:t>
      </w:r>
      <w:r>
        <w:rPr>
          <w:w w:val="109"/>
        </w:rPr>
        <w:t>aporta</w:t>
      </w:r>
      <w:r>
        <w:rPr/>
        <w:t>  </w:t>
      </w:r>
      <w:r>
        <w:rPr>
          <w:w w:val="112"/>
        </w:rPr>
        <w:t>una</w:t>
      </w:r>
      <w:r>
        <w:rPr/>
        <w:t>  </w:t>
      </w:r>
      <w:r>
        <w:rPr>
          <w:w w:val="108"/>
        </w:rPr>
        <w:t>respuesta.</w:t>
      </w:r>
      <w:r>
        <w:rPr/>
        <w:t>  </w:t>
      </w:r>
      <w:r>
        <w:rPr>
          <w:w w:val="108"/>
        </w:rPr>
        <w:t>Pero</w:t>
      </w:r>
      <w:r>
        <w:rPr/>
        <w:t>  </w:t>
      </w:r>
      <w:r>
        <w:rPr>
          <w:w w:val="111"/>
        </w:rPr>
        <w:t>la </w:t>
      </w:r>
      <w:r>
        <w:rPr>
          <w:w w:val="110"/>
        </w:rPr>
        <w:t>principal explicación se encuentra en el rol imperial que despliega la primera potencia. Esa supremacía militar le permite preservar prota- gonismo económico.</w:t>
      </w:r>
    </w:p>
    <w:p>
      <w:pPr>
        <w:pStyle w:val="BodyText"/>
        <w:spacing w:line="252" w:lineRule="auto"/>
        <w:ind w:left="100" w:right="327" w:firstLine="396"/>
        <w:jc w:val="both"/>
      </w:pPr>
      <w:r>
        <w:rPr>
          <w:w w:val="110"/>
        </w:rPr>
        <w:t>El gendarme del planeta es garante del orden capitalista. Es un sheriff</w:t>
      </w:r>
      <w:r>
        <w:rPr>
          <w:spacing w:val="-8"/>
          <w:w w:val="110"/>
        </w:rPr>
        <w:t> </w:t>
      </w:r>
      <w:r>
        <w:rPr>
          <w:w w:val="110"/>
        </w:rPr>
        <w:t>que</w:t>
      </w:r>
      <w:r>
        <w:rPr>
          <w:spacing w:val="-8"/>
          <w:w w:val="110"/>
        </w:rPr>
        <w:t> </w:t>
      </w:r>
      <w:r>
        <w:rPr>
          <w:w w:val="110"/>
        </w:rPr>
        <w:t>maneja</w:t>
      </w:r>
      <w:r>
        <w:rPr>
          <w:spacing w:val="-8"/>
          <w:w w:val="110"/>
        </w:rPr>
        <w:t> </w:t>
      </w:r>
      <w:r>
        <w:rPr>
          <w:w w:val="110"/>
        </w:rPr>
        <w:t>el</w:t>
      </w:r>
      <w:r>
        <w:rPr>
          <w:spacing w:val="-8"/>
          <w:w w:val="110"/>
        </w:rPr>
        <w:t> </w:t>
      </w:r>
      <w:r>
        <w:rPr>
          <w:w w:val="110"/>
        </w:rPr>
        <w:t>40%</w:t>
      </w:r>
      <w:r>
        <w:rPr>
          <w:spacing w:val="-8"/>
          <w:w w:val="110"/>
        </w:rPr>
        <w:t> </w:t>
      </w:r>
      <w:r>
        <w:rPr>
          <w:w w:val="110"/>
        </w:rPr>
        <w:t>del</w:t>
      </w:r>
      <w:r>
        <w:rPr>
          <w:spacing w:val="-8"/>
          <w:w w:val="110"/>
        </w:rPr>
        <w:t> </w:t>
      </w:r>
      <w:r>
        <w:rPr>
          <w:w w:val="110"/>
        </w:rPr>
        <w:t>gasto</w:t>
      </w:r>
      <w:r>
        <w:rPr>
          <w:spacing w:val="-8"/>
          <w:w w:val="110"/>
        </w:rPr>
        <w:t> </w:t>
      </w:r>
      <w:r>
        <w:rPr>
          <w:w w:val="110"/>
        </w:rPr>
        <w:t>bélico</w:t>
      </w:r>
      <w:r>
        <w:rPr>
          <w:spacing w:val="-8"/>
          <w:w w:val="110"/>
        </w:rPr>
        <w:t> </w:t>
      </w:r>
      <w:r>
        <w:rPr>
          <w:w w:val="110"/>
        </w:rPr>
        <w:t>global,</w:t>
      </w:r>
      <w:r>
        <w:rPr>
          <w:spacing w:val="-8"/>
          <w:w w:val="110"/>
        </w:rPr>
        <w:t> </w:t>
      </w:r>
      <w:r>
        <w:rPr>
          <w:w w:val="110"/>
        </w:rPr>
        <w:t>a</w:t>
      </w:r>
      <w:r>
        <w:rPr>
          <w:spacing w:val="-8"/>
          <w:w w:val="110"/>
        </w:rPr>
        <w:t> </w:t>
      </w:r>
      <w:r>
        <w:rPr>
          <w:w w:val="110"/>
        </w:rPr>
        <w:t>través</w:t>
      </w:r>
      <w:r>
        <w:rPr>
          <w:spacing w:val="-8"/>
          <w:w w:val="110"/>
        </w:rPr>
        <w:t> </w:t>
      </w:r>
      <w:r>
        <w:rPr>
          <w:w w:val="110"/>
        </w:rPr>
        <w:t>de</w:t>
      </w:r>
      <w:r>
        <w:rPr>
          <w:spacing w:val="-8"/>
          <w:w w:val="110"/>
        </w:rPr>
        <w:t> </w:t>
      </w:r>
      <w:r>
        <w:rPr>
          <w:w w:val="110"/>
        </w:rPr>
        <w:t>800</w:t>
      </w:r>
      <w:r>
        <w:rPr>
          <w:spacing w:val="-8"/>
          <w:w w:val="110"/>
        </w:rPr>
        <w:t> </w:t>
      </w:r>
      <w:r>
        <w:rPr>
          <w:w w:val="110"/>
        </w:rPr>
        <w:t>bases militares distribuidas en 130 países. No tiene sustituto en este papel de custodio de las clases dominantes. Protege al capital frente a las amenazas sociales serias o las situaciones de extrema inestabilidad (anderson, 2013).</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4" w:firstLine="396"/>
        <w:jc w:val="both"/>
      </w:pPr>
      <w:r>
        <w:rPr>
          <w:w w:val="115"/>
        </w:rPr>
        <w:t>actualmente obama perfecciona estas formas de interven- ción. Promueve una menor presencia directa de tropas para faci- litar acciones laterales con mayor sostén tecnológico. El curioso Premio Nobel de la Paz incorporó a su equipo a un ex halcón republicano (Check Hagel) y a un experto en provocaciones de la Cia (John brennan). Ha decidido evitar las invasiones con más operaciones encubiertas.</w:t>
      </w:r>
    </w:p>
    <w:p>
      <w:pPr>
        <w:pStyle w:val="BodyText"/>
        <w:spacing w:line="252" w:lineRule="auto"/>
        <w:ind w:left="330" w:right="117" w:firstLine="396"/>
        <w:jc w:val="both"/>
      </w:pPr>
      <w:r>
        <w:rPr>
          <w:w w:val="110"/>
        </w:rPr>
        <w:t>Washington es la capital de una guerra perpetua. un ejército se- creto de 60.000 hombres se encarga de implementar los mandatos   de una diplomacia militarizada que desinforma a la población. Este encubrimiento es facilitado por el ínfimo porcentaje actual de alista- miento de la </w:t>
      </w:r>
      <w:r>
        <w:rPr>
          <w:spacing w:val="9"/>
          <w:w w:val="110"/>
        </w:rPr>
        <w:t> </w:t>
      </w:r>
      <w:r>
        <w:rPr>
          <w:w w:val="110"/>
        </w:rPr>
        <w:t>ciudadanía.</w:t>
      </w:r>
    </w:p>
    <w:p>
      <w:pPr>
        <w:pStyle w:val="BodyText"/>
        <w:spacing w:line="252" w:lineRule="auto"/>
        <w:ind w:left="330" w:right="118" w:firstLine="396"/>
        <w:jc w:val="both"/>
      </w:pPr>
      <w:r>
        <w:rPr>
          <w:w w:val="243"/>
        </w:rPr>
        <w:t>l</w:t>
      </w:r>
      <w:r>
        <w:rPr>
          <w:w w:val="109"/>
        </w:rPr>
        <w:t>as</w:t>
      </w:r>
      <w:r>
        <w:rPr>
          <w:spacing w:val="19"/>
        </w:rPr>
        <w:t> </w:t>
      </w:r>
      <w:r>
        <w:rPr>
          <w:w w:val="109"/>
        </w:rPr>
        <w:t>operaciones</w:t>
      </w:r>
      <w:r>
        <w:rPr>
          <w:spacing w:val="19"/>
        </w:rPr>
        <w:t> </w:t>
      </w:r>
      <w:r>
        <w:rPr>
          <w:w w:val="110"/>
        </w:rPr>
        <w:t>quirúrgicas</w:t>
      </w:r>
      <w:r>
        <w:rPr>
          <w:spacing w:val="19"/>
        </w:rPr>
        <w:t> </w:t>
      </w:r>
      <w:r>
        <w:rPr>
          <w:w w:val="109"/>
        </w:rPr>
        <w:t>son</w:t>
      </w:r>
      <w:r>
        <w:rPr>
          <w:spacing w:val="19"/>
        </w:rPr>
        <w:t> </w:t>
      </w:r>
      <w:r>
        <w:rPr>
          <w:w w:val="109"/>
        </w:rPr>
        <w:t>realizadas</w:t>
      </w:r>
      <w:r>
        <w:rPr>
          <w:spacing w:val="19"/>
        </w:rPr>
        <w:t> </w:t>
      </w:r>
      <w:r>
        <w:rPr>
          <w:w w:val="108"/>
        </w:rPr>
        <w:t>por</w:t>
      </w:r>
      <w:r>
        <w:rPr>
          <w:spacing w:val="19"/>
        </w:rPr>
        <w:t> </w:t>
      </w:r>
      <w:r>
        <w:rPr>
          <w:w w:val="111"/>
        </w:rPr>
        <w:t>comandos</w:t>
      </w:r>
      <w:r>
        <w:rPr>
          <w:spacing w:val="19"/>
        </w:rPr>
        <w:t> </w:t>
      </w:r>
      <w:r>
        <w:rPr>
          <w:w w:val="106"/>
        </w:rPr>
        <w:t>entre</w:t>
      </w:r>
      <w:r>
        <w:rPr>
          <w:w w:val="102"/>
        </w:rPr>
        <w:t>- </w:t>
      </w:r>
      <w:r>
        <w:rPr>
          <w:w w:val="109"/>
        </w:rPr>
        <w:t>nados</w:t>
      </w:r>
      <w:r>
        <w:rPr>
          <w:spacing w:val="18"/>
        </w:rPr>
        <w:t> </w:t>
      </w:r>
      <w:r>
        <w:rPr>
          <w:w w:val="109"/>
        </w:rPr>
        <w:t>para</w:t>
      </w:r>
      <w:r>
        <w:rPr>
          <w:spacing w:val="18"/>
        </w:rPr>
        <w:t> </w:t>
      </w:r>
      <w:r>
        <w:rPr>
          <w:w w:val="107"/>
        </w:rPr>
        <w:t>el</w:t>
      </w:r>
      <w:r>
        <w:rPr>
          <w:spacing w:val="18"/>
        </w:rPr>
        <w:t> </w:t>
      </w:r>
      <w:r>
        <w:rPr>
          <w:w w:val="110"/>
        </w:rPr>
        <w:t>asesinato.</w:t>
      </w:r>
      <w:r>
        <w:rPr>
          <w:spacing w:val="18"/>
        </w:rPr>
        <w:t> </w:t>
      </w:r>
      <w:r>
        <w:rPr>
          <w:w w:val="122"/>
        </w:rPr>
        <w:t>El</w:t>
      </w:r>
      <w:r>
        <w:rPr>
          <w:spacing w:val="18"/>
        </w:rPr>
        <w:t> </w:t>
      </w:r>
      <w:r>
        <w:rPr>
          <w:w w:val="111"/>
        </w:rPr>
        <w:t>caso</w:t>
      </w:r>
      <w:r>
        <w:rPr>
          <w:spacing w:val="18"/>
        </w:rPr>
        <w:t> </w:t>
      </w:r>
      <w:r>
        <w:rPr>
          <w:w w:val="107"/>
        </w:rPr>
        <w:t>de</w:t>
      </w:r>
      <w:r>
        <w:rPr>
          <w:spacing w:val="18"/>
        </w:rPr>
        <w:t> </w:t>
      </w:r>
      <w:r>
        <w:rPr>
          <w:w w:val="134"/>
        </w:rPr>
        <w:t>b</w:t>
      </w:r>
      <w:r>
        <w:rPr>
          <w:w w:val="113"/>
        </w:rPr>
        <w:t>in</w:t>
      </w:r>
      <w:r>
        <w:rPr>
          <w:spacing w:val="18"/>
        </w:rPr>
        <w:t> </w:t>
      </w:r>
      <w:r>
        <w:rPr>
          <w:w w:val="243"/>
        </w:rPr>
        <w:t>l</w:t>
      </w:r>
      <w:r>
        <w:rPr>
          <w:w w:val="109"/>
        </w:rPr>
        <w:t>aden</w:t>
      </w:r>
      <w:r>
        <w:rPr>
          <w:spacing w:val="18"/>
        </w:rPr>
        <w:t> </w:t>
      </w:r>
      <w:r>
        <w:rPr>
          <w:w w:val="109"/>
        </w:rPr>
        <w:t>ilustra</w:t>
      </w:r>
      <w:r>
        <w:rPr>
          <w:spacing w:val="18"/>
        </w:rPr>
        <w:t> </w:t>
      </w:r>
      <w:r>
        <w:rPr>
          <w:w w:val="112"/>
        </w:rPr>
        <w:t>cómo</w:t>
      </w:r>
      <w:r>
        <w:rPr>
          <w:spacing w:val="18"/>
        </w:rPr>
        <w:t> </w:t>
      </w:r>
      <w:r>
        <w:rPr>
          <w:w w:val="106"/>
        </w:rPr>
        <w:t>estas</w:t>
      </w:r>
      <w:r>
        <w:rPr>
          <w:spacing w:val="18"/>
        </w:rPr>
        <w:t> </w:t>
      </w:r>
      <w:r>
        <w:rPr>
          <w:w w:val="106"/>
        </w:rPr>
        <w:t>ej</w:t>
      </w:r>
      <w:r>
        <w:rPr>
          <w:spacing w:val="-1"/>
          <w:w w:val="106"/>
        </w:rPr>
        <w:t>e</w:t>
      </w:r>
      <w:r>
        <w:rPr>
          <w:w w:val="102"/>
        </w:rPr>
        <w:t>- </w:t>
      </w:r>
      <w:r>
        <w:rPr>
          <w:w w:val="115"/>
        </w:rPr>
        <w:t>cuciones</w:t>
      </w:r>
      <w:r>
        <w:rPr>
          <w:spacing w:val="-12"/>
          <w:w w:val="115"/>
        </w:rPr>
        <w:t> </w:t>
      </w:r>
      <w:r>
        <w:rPr>
          <w:w w:val="115"/>
        </w:rPr>
        <w:t>son</w:t>
      </w:r>
      <w:r>
        <w:rPr>
          <w:spacing w:val="-12"/>
          <w:w w:val="115"/>
        </w:rPr>
        <w:t> </w:t>
      </w:r>
      <w:r>
        <w:rPr>
          <w:w w:val="115"/>
        </w:rPr>
        <w:t>resueltas</w:t>
      </w:r>
      <w:r>
        <w:rPr>
          <w:spacing w:val="-12"/>
          <w:w w:val="115"/>
        </w:rPr>
        <w:t> </w:t>
      </w:r>
      <w:r>
        <w:rPr>
          <w:w w:val="115"/>
        </w:rPr>
        <w:t>sin</w:t>
      </w:r>
      <w:r>
        <w:rPr>
          <w:spacing w:val="-12"/>
          <w:w w:val="115"/>
        </w:rPr>
        <w:t> </w:t>
      </w:r>
      <w:r>
        <w:rPr>
          <w:w w:val="115"/>
        </w:rPr>
        <w:t>procesos</w:t>
      </w:r>
      <w:r>
        <w:rPr>
          <w:spacing w:val="-12"/>
          <w:w w:val="115"/>
        </w:rPr>
        <w:t> </w:t>
      </w:r>
      <w:r>
        <w:rPr>
          <w:w w:val="115"/>
        </w:rPr>
        <w:t>judiciales.</w:t>
      </w:r>
      <w:r>
        <w:rPr>
          <w:spacing w:val="-12"/>
          <w:w w:val="115"/>
        </w:rPr>
        <w:t> </w:t>
      </w:r>
      <w:r>
        <w:rPr>
          <w:w w:val="115"/>
        </w:rPr>
        <w:t>obama</w:t>
      </w:r>
      <w:r>
        <w:rPr>
          <w:spacing w:val="-12"/>
          <w:w w:val="115"/>
        </w:rPr>
        <w:t> </w:t>
      </w:r>
      <w:r>
        <w:rPr>
          <w:w w:val="115"/>
        </w:rPr>
        <w:t>maneja</w:t>
      </w:r>
      <w:r>
        <w:rPr>
          <w:spacing w:val="-12"/>
          <w:w w:val="115"/>
        </w:rPr>
        <w:t> </w:t>
      </w:r>
      <w:r>
        <w:rPr>
          <w:w w:val="115"/>
        </w:rPr>
        <w:t>la</w:t>
      </w:r>
      <w:r>
        <w:rPr>
          <w:spacing w:val="-12"/>
          <w:w w:val="115"/>
        </w:rPr>
        <w:t> </w:t>
      </w:r>
      <w:r>
        <w:rPr>
          <w:w w:val="115"/>
        </w:rPr>
        <w:t>lista de condenados y define el momento de cada crimen. utiliza una ley </w:t>
      </w:r>
      <w:r>
        <w:rPr>
          <w:w w:val="110"/>
        </w:rPr>
        <w:t>secreta</w:t>
      </w:r>
      <w:r>
        <w:rPr>
          <w:spacing w:val="-7"/>
          <w:w w:val="110"/>
        </w:rPr>
        <w:t> </w:t>
      </w:r>
      <w:r>
        <w:rPr>
          <w:w w:val="110"/>
        </w:rPr>
        <w:t>para</w:t>
      </w:r>
      <w:r>
        <w:rPr>
          <w:spacing w:val="-7"/>
          <w:w w:val="110"/>
        </w:rPr>
        <w:t> </w:t>
      </w:r>
      <w:r>
        <w:rPr>
          <w:w w:val="110"/>
        </w:rPr>
        <w:t>detener</w:t>
      </w:r>
      <w:r>
        <w:rPr>
          <w:spacing w:val="-7"/>
          <w:w w:val="110"/>
        </w:rPr>
        <w:t> </w:t>
      </w:r>
      <w:r>
        <w:rPr>
          <w:w w:val="110"/>
        </w:rPr>
        <w:t>a</w:t>
      </w:r>
      <w:r>
        <w:rPr>
          <w:spacing w:val="-7"/>
          <w:w w:val="110"/>
        </w:rPr>
        <w:t> </w:t>
      </w:r>
      <w:r>
        <w:rPr>
          <w:w w:val="110"/>
        </w:rPr>
        <w:t>los</w:t>
      </w:r>
      <w:r>
        <w:rPr>
          <w:spacing w:val="-7"/>
          <w:w w:val="110"/>
        </w:rPr>
        <w:t> </w:t>
      </w:r>
      <w:r>
        <w:rPr>
          <w:w w:val="110"/>
        </w:rPr>
        <w:t>sospechosos</w:t>
      </w:r>
      <w:r>
        <w:rPr>
          <w:spacing w:val="-7"/>
          <w:w w:val="110"/>
        </w:rPr>
        <w:t> </w:t>
      </w:r>
      <w:r>
        <w:rPr>
          <w:w w:val="110"/>
        </w:rPr>
        <w:t>de</w:t>
      </w:r>
      <w:r>
        <w:rPr>
          <w:spacing w:val="-7"/>
          <w:w w:val="110"/>
        </w:rPr>
        <w:t> </w:t>
      </w:r>
      <w:r>
        <w:rPr>
          <w:w w:val="110"/>
        </w:rPr>
        <w:t>terrorismo</w:t>
      </w:r>
      <w:r>
        <w:rPr>
          <w:spacing w:val="-7"/>
          <w:w w:val="110"/>
        </w:rPr>
        <w:t> </w:t>
      </w:r>
      <w:r>
        <w:rPr>
          <w:w w:val="110"/>
        </w:rPr>
        <w:t>en</w:t>
      </w:r>
      <w:r>
        <w:rPr>
          <w:spacing w:val="-7"/>
          <w:w w:val="110"/>
        </w:rPr>
        <w:t> </w:t>
      </w:r>
      <w:r>
        <w:rPr>
          <w:w w:val="110"/>
        </w:rPr>
        <w:t>cualquier</w:t>
      </w:r>
      <w:r>
        <w:rPr>
          <w:spacing w:val="-7"/>
          <w:w w:val="110"/>
        </w:rPr>
        <w:t> </w:t>
      </w:r>
      <w:r>
        <w:rPr>
          <w:spacing w:val="-4"/>
          <w:w w:val="110"/>
        </w:rPr>
        <w:t>par- </w:t>
      </w:r>
      <w:r>
        <w:rPr>
          <w:w w:val="115"/>
        </w:rPr>
        <w:t>te</w:t>
      </w:r>
      <w:r>
        <w:rPr>
          <w:spacing w:val="-29"/>
          <w:w w:val="115"/>
        </w:rPr>
        <w:t> </w:t>
      </w:r>
      <w:r>
        <w:rPr>
          <w:w w:val="115"/>
        </w:rPr>
        <w:t>del</w:t>
      </w:r>
      <w:r>
        <w:rPr>
          <w:spacing w:val="-29"/>
          <w:w w:val="115"/>
        </w:rPr>
        <w:t> </w:t>
      </w:r>
      <w:r>
        <w:rPr>
          <w:w w:val="115"/>
        </w:rPr>
        <w:t>mundo</w:t>
      </w:r>
      <w:r>
        <w:rPr>
          <w:spacing w:val="-29"/>
          <w:w w:val="115"/>
        </w:rPr>
        <w:t> </w:t>
      </w:r>
      <w:r>
        <w:rPr>
          <w:w w:val="115"/>
        </w:rPr>
        <w:t>y</w:t>
      </w:r>
      <w:r>
        <w:rPr>
          <w:spacing w:val="-29"/>
          <w:w w:val="115"/>
        </w:rPr>
        <w:t> </w:t>
      </w:r>
      <w:r>
        <w:rPr>
          <w:w w:val="115"/>
        </w:rPr>
        <w:t>refuerza</w:t>
      </w:r>
      <w:r>
        <w:rPr>
          <w:spacing w:val="-29"/>
          <w:w w:val="115"/>
        </w:rPr>
        <w:t> </w:t>
      </w:r>
      <w:r>
        <w:rPr>
          <w:w w:val="115"/>
        </w:rPr>
        <w:t>los</w:t>
      </w:r>
      <w:r>
        <w:rPr>
          <w:spacing w:val="-29"/>
          <w:w w:val="115"/>
        </w:rPr>
        <w:t> </w:t>
      </w:r>
      <w:r>
        <w:rPr>
          <w:w w:val="115"/>
        </w:rPr>
        <w:t>grupos</w:t>
      </w:r>
      <w:r>
        <w:rPr>
          <w:spacing w:val="-29"/>
          <w:w w:val="115"/>
        </w:rPr>
        <w:t> </w:t>
      </w:r>
      <w:r>
        <w:rPr>
          <w:w w:val="115"/>
        </w:rPr>
        <w:t>de</w:t>
      </w:r>
      <w:r>
        <w:rPr>
          <w:spacing w:val="-29"/>
          <w:w w:val="115"/>
        </w:rPr>
        <w:t> </w:t>
      </w:r>
      <w:r>
        <w:rPr>
          <w:w w:val="115"/>
        </w:rPr>
        <w:t>tareas</w:t>
      </w:r>
      <w:r>
        <w:rPr>
          <w:spacing w:val="-29"/>
          <w:w w:val="115"/>
        </w:rPr>
        <w:t> </w:t>
      </w:r>
      <w:r>
        <w:rPr>
          <w:w w:val="115"/>
        </w:rPr>
        <w:t>que</w:t>
      </w:r>
      <w:r>
        <w:rPr>
          <w:spacing w:val="-29"/>
          <w:w w:val="115"/>
        </w:rPr>
        <w:t> </w:t>
      </w:r>
      <w:r>
        <w:rPr>
          <w:w w:val="115"/>
        </w:rPr>
        <w:t>pasaron</w:t>
      </w:r>
      <w:r>
        <w:rPr>
          <w:spacing w:val="-29"/>
          <w:w w:val="115"/>
        </w:rPr>
        <w:t> </w:t>
      </w:r>
      <w:r>
        <w:rPr>
          <w:w w:val="115"/>
        </w:rPr>
        <w:t>de</w:t>
      </w:r>
      <w:r>
        <w:rPr>
          <w:spacing w:val="-29"/>
          <w:w w:val="115"/>
        </w:rPr>
        <w:t> </w:t>
      </w:r>
      <w:r>
        <w:rPr>
          <w:w w:val="115"/>
        </w:rPr>
        <w:t>35</w:t>
      </w:r>
      <w:r>
        <w:rPr>
          <w:spacing w:val="-29"/>
          <w:w w:val="115"/>
        </w:rPr>
        <w:t> </w:t>
      </w:r>
      <w:r>
        <w:rPr>
          <w:w w:val="115"/>
        </w:rPr>
        <w:t>(2002) </w:t>
      </w:r>
      <w:r>
        <w:rPr>
          <w:w w:val="110"/>
        </w:rPr>
        <w:t>a</w:t>
      </w:r>
      <w:r>
        <w:rPr>
          <w:spacing w:val="-9"/>
          <w:w w:val="110"/>
        </w:rPr>
        <w:t> </w:t>
      </w:r>
      <w:r>
        <w:rPr>
          <w:w w:val="110"/>
        </w:rPr>
        <w:t>106</w:t>
      </w:r>
      <w:r>
        <w:rPr>
          <w:spacing w:val="-9"/>
          <w:w w:val="110"/>
        </w:rPr>
        <w:t> </w:t>
      </w:r>
      <w:r>
        <w:rPr>
          <w:w w:val="110"/>
        </w:rPr>
        <w:t>(2010)</w:t>
      </w:r>
      <w:r>
        <w:rPr>
          <w:spacing w:val="-9"/>
          <w:w w:val="110"/>
        </w:rPr>
        <w:t> </w:t>
      </w:r>
      <w:r>
        <w:rPr>
          <w:w w:val="110"/>
        </w:rPr>
        <w:t>(Gelman,</w:t>
      </w:r>
      <w:r>
        <w:rPr>
          <w:spacing w:val="-9"/>
          <w:w w:val="110"/>
        </w:rPr>
        <w:t> </w:t>
      </w:r>
      <w:r>
        <w:rPr>
          <w:w w:val="110"/>
        </w:rPr>
        <w:t>2012).</w:t>
      </w:r>
    </w:p>
    <w:p>
      <w:pPr>
        <w:pStyle w:val="BodyText"/>
        <w:spacing w:line="252" w:lineRule="auto"/>
        <w:ind w:left="330" w:right="118" w:firstLine="396"/>
        <w:jc w:val="both"/>
      </w:pPr>
      <w:r>
        <w:rPr>
          <w:w w:val="110"/>
        </w:rPr>
        <w:t>Esta política conduce a restricciones de las libertades democráti- cas, como se ha notado en la venganza que soporta el soldado brad- </w:t>
      </w:r>
      <w:r>
        <w:rPr>
          <w:w w:val="106"/>
        </w:rPr>
        <w:t>ley</w:t>
      </w:r>
      <w:r>
        <w:rPr/>
        <w:t> </w:t>
      </w:r>
      <w:r>
        <w:rPr>
          <w:w w:val="113"/>
        </w:rPr>
        <w:t>Manning</w:t>
      </w:r>
      <w:r>
        <w:rPr/>
        <w:t> </w:t>
      </w:r>
      <w:r>
        <w:rPr>
          <w:w w:val="108"/>
        </w:rPr>
        <w:t>por</w:t>
      </w:r>
      <w:r>
        <w:rPr/>
        <w:t> </w:t>
      </w:r>
      <w:r>
        <w:rPr>
          <w:w w:val="108"/>
        </w:rPr>
        <w:t>destapar</w:t>
      </w:r>
      <w:r>
        <w:rPr/>
        <w:t> </w:t>
      </w:r>
      <w:r>
        <w:rPr>
          <w:w w:val="112"/>
        </w:rPr>
        <w:t>información</w:t>
      </w:r>
      <w:r>
        <w:rPr/>
        <w:t> </w:t>
      </w:r>
      <w:r>
        <w:rPr>
          <w:w w:val="107"/>
        </w:rPr>
        <w:t>sobre</w:t>
      </w:r>
      <w:r>
        <w:rPr/>
        <w:t> </w:t>
      </w:r>
      <w:r>
        <w:rPr>
          <w:w w:val="111"/>
        </w:rPr>
        <w:t>la</w:t>
      </w:r>
      <w:r>
        <w:rPr/>
        <w:t> </w:t>
      </w:r>
      <w:r>
        <w:rPr>
          <w:w w:val="110"/>
        </w:rPr>
        <w:t>violencia</w:t>
      </w:r>
      <w:r>
        <w:rPr/>
        <w:t> </w:t>
      </w:r>
      <w:r>
        <w:rPr>
          <w:w w:val="112"/>
        </w:rPr>
        <w:t>imperial.</w:t>
      </w:r>
      <w:r>
        <w:rPr/>
        <w:t> </w:t>
      </w:r>
      <w:r>
        <w:rPr>
          <w:w w:val="243"/>
        </w:rPr>
        <w:t>l</w:t>
      </w:r>
      <w:r>
        <w:rPr>
          <w:w w:val="112"/>
        </w:rPr>
        <w:t>a </w:t>
      </w:r>
      <w:r>
        <w:rPr>
          <w:w w:val="110"/>
        </w:rPr>
        <w:t>persecución internacional que sufren assange y snowden obedece al mismo propósito de silenciar la brutalidad de las operaciones esta- dounidenses. Este belicismo repercute internamente en el continuado crecimiento de población civil armada, los asesinatos en los colegios y la expansión de las milicias de  derecha.</w:t>
      </w:r>
    </w:p>
    <w:p>
      <w:pPr>
        <w:pStyle w:val="BodyText"/>
        <w:spacing w:line="252" w:lineRule="auto"/>
        <w:ind w:left="330" w:right="117" w:firstLine="396"/>
        <w:jc w:val="both"/>
      </w:pPr>
      <w:r>
        <w:rPr>
          <w:w w:val="110"/>
        </w:rPr>
        <w:t>obama reajusta la estrategia imperial para reparar la fatiga políti- ca y el agujero financiero que dejó bush. después de la crisis de 2008- </w:t>
      </w:r>
      <w:r>
        <w:rPr>
          <w:w w:val="102"/>
        </w:rPr>
        <w:t>09</w:t>
      </w:r>
      <w:r>
        <w:rPr/>
        <w:t>  </w:t>
      </w:r>
      <w:r>
        <w:rPr>
          <w:w w:val="111"/>
        </w:rPr>
        <w:t>Estados</w:t>
      </w:r>
      <w:r>
        <w:rPr/>
        <w:t>  </w:t>
      </w:r>
      <w:r>
        <w:rPr>
          <w:w w:val="140"/>
        </w:rPr>
        <w:t>u</w:t>
      </w:r>
      <w:r>
        <w:rPr>
          <w:w w:val="110"/>
        </w:rPr>
        <w:t>nidos</w:t>
      </w:r>
      <w:r>
        <w:rPr/>
        <w:t>  </w:t>
      </w:r>
      <w:r>
        <w:rPr>
          <w:w w:val="111"/>
        </w:rPr>
        <w:t>no</w:t>
      </w:r>
      <w:r>
        <w:rPr/>
        <w:t>  </w:t>
      </w:r>
      <w:r>
        <w:rPr>
          <w:w w:val="108"/>
        </w:rPr>
        <w:t>puede</w:t>
      </w:r>
      <w:r>
        <w:rPr/>
        <w:t>  </w:t>
      </w:r>
      <w:r>
        <w:rPr>
          <w:w w:val="108"/>
        </w:rPr>
        <w:t>costear</w:t>
      </w:r>
      <w:r>
        <w:rPr/>
        <w:t>  </w:t>
      </w:r>
      <w:r>
        <w:rPr>
          <w:w w:val="108"/>
        </w:rPr>
        <w:t>guerras</w:t>
      </w:r>
      <w:r>
        <w:rPr/>
        <w:t>  </w:t>
      </w:r>
      <w:r>
        <w:rPr>
          <w:w w:val="111"/>
        </w:rPr>
        <w:t>infinitas.</w:t>
      </w:r>
      <w:r>
        <w:rPr/>
        <w:t>  </w:t>
      </w:r>
      <w:r>
        <w:rPr>
          <w:w w:val="243"/>
        </w:rPr>
        <w:t>l</w:t>
      </w:r>
      <w:r>
        <w:rPr>
          <w:w w:val="108"/>
        </w:rPr>
        <w:t>os</w:t>
      </w:r>
      <w:r>
        <w:rPr/>
        <w:t>  </w:t>
      </w:r>
      <w:r>
        <w:rPr>
          <w:w w:val="104"/>
        </w:rPr>
        <w:t>800.000 </w:t>
      </w:r>
      <w:r>
        <w:rPr>
          <w:w w:val="110"/>
        </w:rPr>
        <w:t>millones de dólares gastados en irak y los 450.000 millones desem- bolsados en afganistán dejaron exhausto al tesoro. </w:t>
      </w:r>
      <w:r>
        <w:rPr>
          <w:w w:val="125"/>
        </w:rPr>
        <w:t>tal </w:t>
      </w:r>
      <w:r>
        <w:rPr>
          <w:w w:val="110"/>
        </w:rPr>
        <w:t>como ocurrió luego de Vietnam, la primera potencia necesita cicatrizar las heridas para retomar el intervencionismo. No es la primera vez que el imperio introduce un paréntesis entre dos cruzadas (Petras, 2013).</w:t>
      </w:r>
    </w:p>
    <w:p>
      <w:pPr>
        <w:pStyle w:val="BodyText"/>
        <w:spacing w:before="5"/>
      </w:pPr>
    </w:p>
    <w:p>
      <w:pPr>
        <w:pStyle w:val="Heading6"/>
        <w:ind w:left="331"/>
      </w:pPr>
      <w:r>
        <w:rPr>
          <w:w w:val="135"/>
        </w:rPr>
        <w:t>iMPerialisMo colectivo</w:t>
      </w:r>
    </w:p>
    <w:p>
      <w:pPr>
        <w:pStyle w:val="BodyText"/>
        <w:spacing w:line="252" w:lineRule="auto" w:before="10"/>
        <w:ind w:left="330" w:right="118"/>
        <w:jc w:val="both"/>
      </w:pPr>
      <w:r>
        <w:rPr>
          <w:w w:val="243"/>
        </w:rPr>
        <w:t>l</w:t>
      </w:r>
      <w:r>
        <w:rPr>
          <w:w w:val="112"/>
        </w:rPr>
        <w:t>a</w:t>
      </w:r>
      <w:r>
        <w:rPr/>
        <w:t> </w:t>
      </w:r>
      <w:r>
        <w:rPr>
          <w:spacing w:val="2"/>
        </w:rPr>
        <w:t> </w:t>
      </w:r>
      <w:r>
        <w:rPr>
          <w:w w:val="109"/>
        </w:rPr>
        <w:t>reorientación</w:t>
      </w:r>
      <w:r>
        <w:rPr/>
        <w:t> </w:t>
      </w:r>
      <w:r>
        <w:rPr>
          <w:spacing w:val="2"/>
        </w:rPr>
        <w:t> </w:t>
      </w:r>
      <w:r>
        <w:rPr>
          <w:w w:val="112"/>
        </w:rPr>
        <w:t>actual</w:t>
      </w:r>
      <w:r>
        <w:rPr/>
        <w:t> </w:t>
      </w:r>
      <w:r>
        <w:rPr>
          <w:spacing w:val="2"/>
        </w:rPr>
        <w:t> </w:t>
      </w:r>
      <w:r>
        <w:rPr>
          <w:w w:val="110"/>
        </w:rPr>
        <w:t>incluye</w:t>
      </w:r>
      <w:r>
        <w:rPr/>
        <w:t> </w:t>
      </w:r>
      <w:r>
        <w:rPr>
          <w:spacing w:val="2"/>
        </w:rPr>
        <w:t> </w:t>
      </w:r>
      <w:r>
        <w:rPr>
          <w:w w:val="112"/>
        </w:rPr>
        <w:t>una</w:t>
      </w:r>
      <w:r>
        <w:rPr/>
        <w:t> </w:t>
      </w:r>
      <w:r>
        <w:rPr>
          <w:spacing w:val="2"/>
        </w:rPr>
        <w:t> </w:t>
      </w:r>
      <w:r>
        <w:rPr>
          <w:w w:val="108"/>
        </w:rPr>
        <w:t>revisión</w:t>
      </w:r>
      <w:r>
        <w:rPr/>
        <w:t> </w:t>
      </w:r>
      <w:r>
        <w:rPr>
          <w:spacing w:val="2"/>
        </w:rPr>
        <w:t> </w:t>
      </w:r>
      <w:r>
        <w:rPr>
          <w:w w:val="107"/>
        </w:rPr>
        <w:t>de</w:t>
      </w:r>
      <w:r>
        <w:rPr/>
        <w:t> </w:t>
      </w:r>
      <w:r>
        <w:rPr>
          <w:spacing w:val="2"/>
        </w:rPr>
        <w:t> </w:t>
      </w:r>
      <w:r>
        <w:rPr>
          <w:w w:val="109"/>
        </w:rPr>
        <w:t>las</w:t>
      </w:r>
      <w:r>
        <w:rPr/>
        <w:t> </w:t>
      </w:r>
      <w:r>
        <w:rPr>
          <w:spacing w:val="2"/>
        </w:rPr>
        <w:t> </w:t>
      </w:r>
      <w:r>
        <w:rPr>
          <w:w w:val="108"/>
        </w:rPr>
        <w:t>prioridades</w:t>
      </w:r>
      <w:r>
        <w:rPr/>
        <w:t> </w:t>
      </w:r>
      <w:r>
        <w:rPr>
          <w:spacing w:val="2"/>
        </w:rPr>
        <w:t> </w:t>
      </w:r>
      <w:r>
        <w:rPr>
          <w:w w:val="107"/>
        </w:rPr>
        <w:t>bé</w:t>
      </w:r>
      <w:r>
        <w:rPr>
          <w:w w:val="102"/>
        </w:rPr>
        <w:t>- </w:t>
      </w:r>
      <w:r>
        <w:rPr>
          <w:w w:val="115"/>
        </w:rPr>
        <w:t>licas, para reducir la presencia estadounidense en Medio oriente y aumentar la presión sobre China. En la primera región se transfie- ren</w:t>
      </w:r>
      <w:r>
        <w:rPr>
          <w:spacing w:val="-19"/>
          <w:w w:val="115"/>
        </w:rPr>
        <w:t> </w:t>
      </w:r>
      <w:r>
        <w:rPr>
          <w:w w:val="115"/>
        </w:rPr>
        <w:t>responsabilidades</w:t>
      </w:r>
      <w:r>
        <w:rPr>
          <w:spacing w:val="-19"/>
          <w:w w:val="115"/>
        </w:rPr>
        <w:t> </w:t>
      </w:r>
      <w:r>
        <w:rPr>
          <w:w w:val="115"/>
        </w:rPr>
        <w:t>a</w:t>
      </w:r>
      <w:r>
        <w:rPr>
          <w:spacing w:val="-19"/>
          <w:w w:val="115"/>
        </w:rPr>
        <w:t> </w:t>
      </w:r>
      <w:r>
        <w:rPr>
          <w:w w:val="115"/>
        </w:rPr>
        <w:t>los</w:t>
      </w:r>
      <w:r>
        <w:rPr>
          <w:spacing w:val="-19"/>
          <w:w w:val="115"/>
        </w:rPr>
        <w:t> </w:t>
      </w:r>
      <w:r>
        <w:rPr>
          <w:w w:val="115"/>
        </w:rPr>
        <w:t>socios</w:t>
      </w:r>
      <w:r>
        <w:rPr>
          <w:spacing w:val="-19"/>
          <w:w w:val="115"/>
        </w:rPr>
        <w:t> </w:t>
      </w:r>
      <w:r>
        <w:rPr>
          <w:w w:val="115"/>
        </w:rPr>
        <w:t>locales,</w:t>
      </w:r>
      <w:r>
        <w:rPr>
          <w:spacing w:val="-19"/>
          <w:w w:val="115"/>
        </w:rPr>
        <w:t> </w:t>
      </w:r>
      <w:r>
        <w:rPr>
          <w:w w:val="115"/>
        </w:rPr>
        <w:t>mientras</w:t>
      </w:r>
      <w:r>
        <w:rPr>
          <w:spacing w:val="-19"/>
          <w:w w:val="115"/>
        </w:rPr>
        <w:t> </w:t>
      </w:r>
      <w:r>
        <w:rPr>
          <w:w w:val="115"/>
        </w:rPr>
        <w:t>la</w:t>
      </w:r>
      <w:r>
        <w:rPr>
          <w:spacing w:val="-19"/>
          <w:w w:val="115"/>
        </w:rPr>
        <w:t> </w:t>
      </w:r>
      <w:r>
        <w:rPr>
          <w:w w:val="115"/>
        </w:rPr>
        <w:t>Cia</w:t>
      </w:r>
      <w:r>
        <w:rPr>
          <w:spacing w:val="-19"/>
          <w:w w:val="115"/>
        </w:rPr>
        <w:t> </w:t>
      </w:r>
      <w:r>
        <w:rPr>
          <w:w w:val="115"/>
        </w:rPr>
        <w:t>preserva</w:t>
      </w:r>
      <w:r>
        <w:rPr>
          <w:spacing w:val="-19"/>
          <w:w w:val="115"/>
        </w:rPr>
        <w:t> </w:t>
      </w:r>
      <w:r>
        <w:rPr>
          <w:w w:val="115"/>
        </w:rPr>
        <w:t>el control</w:t>
      </w:r>
      <w:r>
        <w:rPr>
          <w:spacing w:val="-7"/>
          <w:w w:val="115"/>
        </w:rPr>
        <w:t> </w:t>
      </w:r>
      <w:r>
        <w:rPr>
          <w:w w:val="115"/>
        </w:rPr>
        <w:t>de</w:t>
      </w:r>
      <w:r>
        <w:rPr>
          <w:spacing w:val="-7"/>
          <w:w w:val="115"/>
        </w:rPr>
        <w:t> </w:t>
      </w:r>
      <w:r>
        <w:rPr>
          <w:w w:val="115"/>
        </w:rPr>
        <w:t>las</w:t>
      </w:r>
      <w:r>
        <w:rPr>
          <w:spacing w:val="-7"/>
          <w:w w:val="115"/>
        </w:rPr>
        <w:t> </w:t>
      </w:r>
      <w:r>
        <w:rPr>
          <w:w w:val="115"/>
        </w:rPr>
        <w:t>operaciones</w:t>
      </w:r>
      <w:r>
        <w:rPr>
          <w:spacing w:val="-7"/>
          <w:w w:val="115"/>
        </w:rPr>
        <w:t> </w:t>
      </w:r>
      <w:r>
        <w:rPr>
          <w:w w:val="115"/>
        </w:rPr>
        <w:t>secretas,</w:t>
      </w:r>
      <w:r>
        <w:rPr>
          <w:spacing w:val="-7"/>
          <w:w w:val="115"/>
        </w:rPr>
        <w:t> </w:t>
      </w:r>
      <w:r>
        <w:rPr>
          <w:w w:val="115"/>
        </w:rPr>
        <w:t>el</w:t>
      </w:r>
      <w:r>
        <w:rPr>
          <w:spacing w:val="-7"/>
          <w:w w:val="115"/>
        </w:rPr>
        <w:t> </w:t>
      </w:r>
      <w:r>
        <w:rPr>
          <w:w w:val="115"/>
        </w:rPr>
        <w:t>manejo</w:t>
      </w:r>
      <w:r>
        <w:rPr>
          <w:spacing w:val="-7"/>
          <w:w w:val="115"/>
        </w:rPr>
        <w:t> </w:t>
      </w:r>
      <w:r>
        <w:rPr>
          <w:w w:val="115"/>
        </w:rPr>
        <w:t>de</w:t>
      </w:r>
      <w:r>
        <w:rPr>
          <w:spacing w:val="-7"/>
          <w:w w:val="115"/>
        </w:rPr>
        <w:t> </w:t>
      </w:r>
      <w:r>
        <w:rPr>
          <w:w w:val="115"/>
        </w:rPr>
        <w:t>la</w:t>
      </w:r>
      <w:r>
        <w:rPr>
          <w:spacing w:val="-7"/>
          <w:w w:val="115"/>
        </w:rPr>
        <w:t> </w:t>
      </w:r>
      <w:r>
        <w:rPr>
          <w:w w:val="115"/>
        </w:rPr>
        <w:t>información</w:t>
      </w:r>
      <w:r>
        <w:rPr>
          <w:spacing w:val="-7"/>
          <w:w w:val="115"/>
        </w:rPr>
        <w:t> </w:t>
      </w:r>
      <w:r>
        <w:rPr>
          <w:w w:val="115"/>
        </w:rPr>
        <w:t>y</w:t>
      </w:r>
      <w:r>
        <w:rPr>
          <w:spacing w:val="-7"/>
          <w:w w:val="115"/>
        </w:rPr>
        <w:t> </w:t>
      </w:r>
      <w:r>
        <w:rPr>
          <w:w w:val="115"/>
        </w:rPr>
        <w:t>la </w:t>
      </w:r>
      <w:r>
        <w:rPr>
          <w:w w:val="110"/>
        </w:rPr>
        <w:t>provisión selectiva de</w:t>
      </w:r>
      <w:r>
        <w:rPr>
          <w:spacing w:val="13"/>
          <w:w w:val="110"/>
        </w:rPr>
        <w:t> </w:t>
      </w:r>
      <w:r>
        <w:rPr>
          <w:w w:val="110"/>
        </w:rPr>
        <w:t>armamento.</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5" w:firstLine="448"/>
        <w:jc w:val="both"/>
      </w:pPr>
      <w:r>
        <w:rPr>
          <w:w w:val="115"/>
        </w:rPr>
        <w:t>En</w:t>
      </w:r>
      <w:r>
        <w:rPr>
          <w:spacing w:val="-8"/>
          <w:w w:val="115"/>
        </w:rPr>
        <w:t> </w:t>
      </w:r>
      <w:r>
        <w:rPr>
          <w:w w:val="115"/>
        </w:rPr>
        <w:t>la</w:t>
      </w:r>
      <w:r>
        <w:rPr>
          <w:spacing w:val="-8"/>
          <w:w w:val="115"/>
        </w:rPr>
        <w:t> </w:t>
      </w:r>
      <w:r>
        <w:rPr>
          <w:w w:val="115"/>
        </w:rPr>
        <w:t>segunda</w:t>
      </w:r>
      <w:r>
        <w:rPr>
          <w:spacing w:val="-8"/>
          <w:w w:val="115"/>
        </w:rPr>
        <w:t> </w:t>
      </w:r>
      <w:r>
        <w:rPr>
          <w:w w:val="115"/>
        </w:rPr>
        <w:t>zona</w:t>
      </w:r>
      <w:r>
        <w:rPr>
          <w:spacing w:val="-8"/>
          <w:w w:val="115"/>
        </w:rPr>
        <w:t> </w:t>
      </w:r>
      <w:r>
        <w:rPr>
          <w:w w:val="115"/>
        </w:rPr>
        <w:t>el</w:t>
      </w:r>
      <w:r>
        <w:rPr>
          <w:spacing w:val="-8"/>
          <w:w w:val="115"/>
        </w:rPr>
        <w:t> </w:t>
      </w:r>
      <w:r>
        <w:rPr>
          <w:w w:val="115"/>
        </w:rPr>
        <w:t>Pentágono</w:t>
      </w:r>
      <w:r>
        <w:rPr>
          <w:spacing w:val="-8"/>
          <w:w w:val="115"/>
        </w:rPr>
        <w:t> </w:t>
      </w:r>
      <w:r>
        <w:rPr>
          <w:w w:val="115"/>
        </w:rPr>
        <w:t>incrementa</w:t>
      </w:r>
      <w:r>
        <w:rPr>
          <w:spacing w:val="-8"/>
          <w:w w:val="115"/>
        </w:rPr>
        <w:t> </w:t>
      </w:r>
      <w:r>
        <w:rPr>
          <w:w w:val="115"/>
        </w:rPr>
        <w:t>el</w:t>
      </w:r>
      <w:r>
        <w:rPr>
          <w:spacing w:val="-8"/>
          <w:w w:val="115"/>
        </w:rPr>
        <w:t> </w:t>
      </w:r>
      <w:r>
        <w:rPr>
          <w:w w:val="115"/>
        </w:rPr>
        <w:t>número</w:t>
      </w:r>
      <w:r>
        <w:rPr>
          <w:spacing w:val="-8"/>
          <w:w w:val="115"/>
        </w:rPr>
        <w:t> </w:t>
      </w:r>
      <w:r>
        <w:rPr>
          <w:w w:val="115"/>
        </w:rPr>
        <w:t>de</w:t>
      </w:r>
      <w:r>
        <w:rPr>
          <w:spacing w:val="-8"/>
          <w:w w:val="115"/>
        </w:rPr>
        <w:t> </w:t>
      </w:r>
      <w:r>
        <w:rPr>
          <w:w w:val="115"/>
        </w:rPr>
        <w:t>tro- pas localizadas en la zona del Pacífico, afianza el cerco sobre Corea del Norte y supervisa los conflictos limítrofes entre Japón, Corea y China. Pero además, los </w:t>
      </w:r>
      <w:r>
        <w:rPr>
          <w:i/>
          <w:w w:val="115"/>
        </w:rPr>
        <w:t>marines </w:t>
      </w:r>
      <w:r>
        <w:rPr>
          <w:w w:val="115"/>
        </w:rPr>
        <w:t>entrenan tropas de 34 países afri- canos y encabezan todas la “intervenciones humanitarias” que re- quieran las empresas multinacionales. sostienen especialmente la tensión sobre rusia, a través de los nuevos satélites que incorporó la  </w:t>
      </w:r>
      <w:r>
        <w:rPr>
          <w:spacing w:val="32"/>
          <w:w w:val="115"/>
        </w:rPr>
        <w:t> </w:t>
      </w:r>
      <w:r>
        <w:rPr>
          <w:w w:val="115"/>
        </w:rPr>
        <w:t>otaN.</w:t>
      </w:r>
    </w:p>
    <w:p>
      <w:pPr>
        <w:pStyle w:val="BodyText"/>
        <w:spacing w:line="252" w:lineRule="auto"/>
        <w:ind w:left="100" w:right="327" w:firstLine="396"/>
        <w:jc w:val="both"/>
      </w:pPr>
      <w:r>
        <w:rPr>
          <w:w w:val="115"/>
        </w:rPr>
        <w:t>El gendarme global mantiene su vieja estrategia de hostilizar a los adversarios para obligarlos a </w:t>
      </w:r>
      <w:r>
        <w:rPr>
          <w:spacing w:val="-3"/>
          <w:w w:val="115"/>
        </w:rPr>
        <w:t>negociar. </w:t>
      </w:r>
      <w:r>
        <w:rPr>
          <w:w w:val="115"/>
        </w:rPr>
        <w:t>El acuerdo con irán es el </w:t>
      </w:r>
      <w:r>
        <w:rPr>
          <w:w w:val="109"/>
        </w:rPr>
        <w:t>ejemplo</w:t>
      </w:r>
      <w:r>
        <w:rPr>
          <w:spacing w:val="16"/>
        </w:rPr>
        <w:t> </w:t>
      </w:r>
      <w:r>
        <w:rPr>
          <w:w w:val="111"/>
        </w:rPr>
        <w:t>más</w:t>
      </w:r>
      <w:r>
        <w:rPr>
          <w:spacing w:val="16"/>
        </w:rPr>
        <w:t> </w:t>
      </w:r>
      <w:r>
        <w:rPr>
          <w:w w:val="108"/>
        </w:rPr>
        <w:t>reciente</w:t>
      </w:r>
      <w:r>
        <w:rPr>
          <w:spacing w:val="16"/>
        </w:rPr>
        <w:t> </w:t>
      </w:r>
      <w:r>
        <w:rPr>
          <w:w w:val="107"/>
        </w:rPr>
        <w:t>de</w:t>
      </w:r>
      <w:r>
        <w:rPr>
          <w:spacing w:val="16"/>
        </w:rPr>
        <w:t> </w:t>
      </w:r>
      <w:r>
        <w:rPr>
          <w:w w:val="107"/>
        </w:rPr>
        <w:t>esta</w:t>
      </w:r>
      <w:r>
        <w:rPr>
          <w:spacing w:val="16"/>
        </w:rPr>
        <w:t> </w:t>
      </w:r>
      <w:r>
        <w:rPr>
          <w:w w:val="113"/>
        </w:rPr>
        <w:t>política.</w:t>
      </w:r>
      <w:r>
        <w:rPr>
          <w:spacing w:val="16"/>
        </w:rPr>
        <w:t> </w:t>
      </w:r>
      <w:r>
        <w:rPr>
          <w:w w:val="243"/>
        </w:rPr>
        <w:t>l</w:t>
      </w:r>
      <w:r>
        <w:rPr>
          <w:w w:val="112"/>
        </w:rPr>
        <w:t>a</w:t>
      </w:r>
      <w:r>
        <w:rPr>
          <w:spacing w:val="16"/>
        </w:rPr>
        <w:t> </w:t>
      </w:r>
      <w:r>
        <w:rPr>
          <w:w w:val="109"/>
        </w:rPr>
        <w:t>primera</w:t>
      </w:r>
      <w:r>
        <w:rPr>
          <w:spacing w:val="16"/>
        </w:rPr>
        <w:t> </w:t>
      </w:r>
      <w:r>
        <w:rPr>
          <w:w w:val="110"/>
        </w:rPr>
        <w:t>potencia</w:t>
      </w:r>
      <w:r>
        <w:rPr>
          <w:spacing w:val="16"/>
        </w:rPr>
        <w:t> </w:t>
      </w:r>
      <w:r>
        <w:rPr>
          <w:w w:val="111"/>
        </w:rPr>
        <w:t>impuso</w:t>
      </w:r>
      <w:r>
        <w:rPr>
          <w:spacing w:val="16"/>
        </w:rPr>
        <w:t> </w:t>
      </w:r>
      <w:r>
        <w:rPr>
          <w:w w:val="107"/>
        </w:rPr>
        <w:t>el </w:t>
      </w:r>
      <w:r>
        <w:rPr>
          <w:w w:val="108"/>
        </w:rPr>
        <w:t>desarme</w:t>
      </w:r>
      <w:r>
        <w:rPr>
          <w:spacing w:val="6"/>
        </w:rPr>
        <w:t> </w:t>
      </w:r>
      <w:r>
        <w:rPr>
          <w:w w:val="110"/>
        </w:rPr>
        <w:t>nuclear</w:t>
      </w:r>
      <w:r>
        <w:rPr>
          <w:spacing w:val="6"/>
        </w:rPr>
        <w:t> </w:t>
      </w:r>
      <w:r>
        <w:rPr>
          <w:w w:val="112"/>
        </w:rPr>
        <w:t>a</w:t>
      </w:r>
      <w:r>
        <w:rPr>
          <w:spacing w:val="6"/>
        </w:rPr>
        <w:t> </w:t>
      </w:r>
      <w:r>
        <w:rPr>
          <w:w w:val="112"/>
        </w:rPr>
        <w:t>cambio</w:t>
      </w:r>
      <w:r>
        <w:rPr>
          <w:spacing w:val="6"/>
        </w:rPr>
        <w:t> </w:t>
      </w:r>
      <w:r>
        <w:rPr>
          <w:w w:val="107"/>
        </w:rPr>
        <w:t>de</w:t>
      </w:r>
      <w:r>
        <w:rPr>
          <w:spacing w:val="6"/>
        </w:rPr>
        <w:t> </w:t>
      </w:r>
      <w:r>
        <w:rPr>
          <w:w w:val="110"/>
        </w:rPr>
        <w:t>concesiones</w:t>
      </w:r>
      <w:r>
        <w:rPr>
          <w:spacing w:val="6"/>
        </w:rPr>
        <w:t> </w:t>
      </w:r>
      <w:r>
        <w:rPr>
          <w:w w:val="113"/>
        </w:rPr>
        <w:t>mínimas.</w:t>
      </w:r>
      <w:r>
        <w:rPr>
          <w:spacing w:val="6"/>
        </w:rPr>
        <w:t> </w:t>
      </w:r>
      <w:r>
        <w:rPr>
          <w:w w:val="243"/>
        </w:rPr>
        <w:t>l</w:t>
      </w:r>
      <w:r>
        <w:rPr>
          <w:w w:val="109"/>
        </w:rPr>
        <w:t>ogró</w:t>
      </w:r>
      <w:r>
        <w:rPr>
          <w:spacing w:val="6"/>
        </w:rPr>
        <w:t> </w:t>
      </w:r>
      <w:r>
        <w:rPr>
          <w:w w:val="105"/>
        </w:rPr>
        <w:t>este</w:t>
      </w:r>
      <w:r>
        <w:rPr>
          <w:spacing w:val="6"/>
        </w:rPr>
        <w:t> </w:t>
      </w:r>
      <w:r>
        <w:rPr>
          <w:w w:val="109"/>
        </w:rPr>
        <w:t>objet</w:t>
      </w:r>
      <w:r>
        <w:rPr>
          <w:spacing w:val="-1"/>
          <w:w w:val="109"/>
        </w:rPr>
        <w:t>i</w:t>
      </w:r>
      <w:r>
        <w:rPr>
          <w:w w:val="102"/>
        </w:rPr>
        <w:t>- </w:t>
      </w:r>
      <w:r>
        <w:rPr>
          <w:w w:val="115"/>
        </w:rPr>
        <w:t>vo</w:t>
      </w:r>
      <w:r>
        <w:rPr>
          <w:spacing w:val="-24"/>
          <w:w w:val="115"/>
        </w:rPr>
        <w:t> </w:t>
      </w:r>
      <w:r>
        <w:rPr>
          <w:w w:val="115"/>
        </w:rPr>
        <w:t>al</w:t>
      </w:r>
      <w:r>
        <w:rPr>
          <w:spacing w:val="-24"/>
          <w:w w:val="115"/>
        </w:rPr>
        <w:t> </w:t>
      </w:r>
      <w:r>
        <w:rPr>
          <w:w w:val="115"/>
        </w:rPr>
        <w:t>cabo</w:t>
      </w:r>
      <w:r>
        <w:rPr>
          <w:spacing w:val="-24"/>
          <w:w w:val="115"/>
        </w:rPr>
        <w:t> </w:t>
      </w:r>
      <w:r>
        <w:rPr>
          <w:w w:val="115"/>
        </w:rPr>
        <w:t>de</w:t>
      </w:r>
      <w:r>
        <w:rPr>
          <w:spacing w:val="-24"/>
          <w:w w:val="115"/>
        </w:rPr>
        <w:t> </w:t>
      </w:r>
      <w:r>
        <w:rPr>
          <w:w w:val="115"/>
        </w:rPr>
        <w:t>muchos</w:t>
      </w:r>
      <w:r>
        <w:rPr>
          <w:spacing w:val="-24"/>
          <w:w w:val="115"/>
        </w:rPr>
        <w:t> </w:t>
      </w:r>
      <w:r>
        <w:rPr>
          <w:w w:val="115"/>
        </w:rPr>
        <w:t>años</w:t>
      </w:r>
      <w:r>
        <w:rPr>
          <w:spacing w:val="-24"/>
          <w:w w:val="115"/>
        </w:rPr>
        <w:t> </w:t>
      </w:r>
      <w:r>
        <w:rPr>
          <w:w w:val="115"/>
        </w:rPr>
        <w:t>de</w:t>
      </w:r>
      <w:r>
        <w:rPr>
          <w:spacing w:val="-24"/>
          <w:w w:val="115"/>
        </w:rPr>
        <w:t> </w:t>
      </w:r>
      <w:r>
        <w:rPr>
          <w:w w:val="115"/>
        </w:rPr>
        <w:t>bloqueo</w:t>
      </w:r>
      <w:r>
        <w:rPr>
          <w:spacing w:val="-24"/>
          <w:w w:val="115"/>
        </w:rPr>
        <w:t> </w:t>
      </w:r>
      <w:r>
        <w:rPr>
          <w:w w:val="115"/>
        </w:rPr>
        <w:t>comercial</w:t>
      </w:r>
      <w:r>
        <w:rPr>
          <w:spacing w:val="-24"/>
          <w:w w:val="115"/>
        </w:rPr>
        <w:t> </w:t>
      </w:r>
      <w:r>
        <w:rPr>
          <w:w w:val="115"/>
        </w:rPr>
        <w:t>y</w:t>
      </w:r>
      <w:r>
        <w:rPr>
          <w:spacing w:val="-24"/>
          <w:w w:val="115"/>
        </w:rPr>
        <w:t> </w:t>
      </w:r>
      <w:r>
        <w:rPr>
          <w:w w:val="115"/>
        </w:rPr>
        <w:t>ofertas</w:t>
      </w:r>
      <w:r>
        <w:rPr>
          <w:spacing w:val="-24"/>
          <w:w w:val="115"/>
        </w:rPr>
        <w:t> </w:t>
      </w:r>
      <w:r>
        <w:rPr>
          <w:w w:val="115"/>
        </w:rPr>
        <w:t>de</w:t>
      </w:r>
      <w:r>
        <w:rPr>
          <w:spacing w:val="-24"/>
          <w:w w:val="115"/>
        </w:rPr>
        <w:t> </w:t>
      </w:r>
      <w:r>
        <w:rPr>
          <w:w w:val="115"/>
        </w:rPr>
        <w:t>negocios a</w:t>
      </w:r>
      <w:r>
        <w:rPr>
          <w:spacing w:val="-19"/>
          <w:w w:val="115"/>
        </w:rPr>
        <w:t> </w:t>
      </w:r>
      <w:r>
        <w:rPr>
          <w:w w:val="115"/>
        </w:rPr>
        <w:t>la</w:t>
      </w:r>
      <w:r>
        <w:rPr>
          <w:spacing w:val="-19"/>
          <w:w w:val="115"/>
        </w:rPr>
        <w:t> </w:t>
      </w:r>
      <w:r>
        <w:rPr>
          <w:w w:val="115"/>
        </w:rPr>
        <w:t>burguesía</w:t>
      </w:r>
      <w:r>
        <w:rPr>
          <w:spacing w:val="-19"/>
          <w:w w:val="115"/>
        </w:rPr>
        <w:t> </w:t>
      </w:r>
      <w:r>
        <w:rPr>
          <w:w w:val="115"/>
        </w:rPr>
        <w:t>persa.</w:t>
      </w:r>
    </w:p>
    <w:p>
      <w:pPr>
        <w:pStyle w:val="BodyText"/>
        <w:spacing w:line="252" w:lineRule="auto"/>
        <w:ind w:left="100" w:right="328" w:firstLine="396"/>
        <w:jc w:val="both"/>
      </w:pPr>
      <w:r>
        <w:rPr>
          <w:w w:val="243"/>
        </w:rPr>
        <w:t>l</w:t>
      </w:r>
      <w:r>
        <w:rPr>
          <w:w w:val="112"/>
        </w:rPr>
        <w:t>a</w:t>
      </w:r>
      <w:r>
        <w:rPr/>
        <w:t> </w:t>
      </w:r>
      <w:r>
        <w:rPr>
          <w:spacing w:val="-4"/>
        </w:rPr>
        <w:t> </w:t>
      </w:r>
      <w:r>
        <w:rPr>
          <w:w w:val="111"/>
        </w:rPr>
        <w:t>renuncia</w:t>
      </w:r>
      <w:r>
        <w:rPr/>
        <w:t> </w:t>
      </w:r>
      <w:r>
        <w:rPr>
          <w:spacing w:val="-4"/>
        </w:rPr>
        <w:t> </w:t>
      </w:r>
      <w:r>
        <w:rPr>
          <w:w w:val="112"/>
        </w:rPr>
        <w:t>a</w:t>
      </w:r>
      <w:r>
        <w:rPr/>
        <w:t> </w:t>
      </w:r>
      <w:r>
        <w:rPr>
          <w:spacing w:val="-4"/>
        </w:rPr>
        <w:t> </w:t>
      </w:r>
      <w:r>
        <w:rPr>
          <w:w w:val="109"/>
        </w:rPr>
        <w:t>bombardear</w:t>
      </w:r>
      <w:r>
        <w:rPr/>
        <w:t> </w:t>
      </w:r>
      <w:r>
        <w:rPr>
          <w:spacing w:val="-4"/>
        </w:rPr>
        <w:t> </w:t>
      </w:r>
      <w:r>
        <w:rPr>
          <w:w w:val="149"/>
        </w:rPr>
        <w:t>s</w:t>
      </w:r>
      <w:r>
        <w:rPr>
          <w:w w:val="111"/>
        </w:rPr>
        <w:t>iria</w:t>
      </w:r>
      <w:r>
        <w:rPr/>
        <w:t> </w:t>
      </w:r>
      <w:r>
        <w:rPr>
          <w:spacing w:val="-4"/>
        </w:rPr>
        <w:t> </w:t>
      </w:r>
      <w:r>
        <w:rPr>
          <w:w w:val="108"/>
        </w:rPr>
        <w:t>demostró</w:t>
      </w:r>
      <w:r>
        <w:rPr/>
        <w:t> </w:t>
      </w:r>
      <w:r>
        <w:rPr>
          <w:spacing w:val="-4"/>
        </w:rPr>
        <w:t> </w:t>
      </w:r>
      <w:r>
        <w:rPr>
          <w:w w:val="108"/>
        </w:rPr>
        <w:t>que</w:t>
      </w:r>
      <w:r>
        <w:rPr/>
        <w:t> </w:t>
      </w:r>
      <w:r>
        <w:rPr>
          <w:spacing w:val="-4"/>
        </w:rPr>
        <w:t> </w:t>
      </w:r>
      <w:r>
        <w:rPr>
          <w:w w:val="111"/>
        </w:rPr>
        <w:t>Estados</w:t>
      </w:r>
      <w:r>
        <w:rPr/>
        <w:t> </w:t>
      </w:r>
      <w:r>
        <w:rPr>
          <w:spacing w:val="-4"/>
        </w:rPr>
        <w:t> </w:t>
      </w:r>
      <w:r>
        <w:rPr>
          <w:w w:val="140"/>
        </w:rPr>
        <w:t>u</w:t>
      </w:r>
      <w:r>
        <w:rPr>
          <w:w w:val="110"/>
        </w:rPr>
        <w:t>nidos </w:t>
      </w:r>
      <w:r>
        <w:rPr>
          <w:w w:val="115"/>
        </w:rPr>
        <w:t>tiene limitada su capacidad de intervención militar directa, pero</w:t>
      </w:r>
      <w:r>
        <w:rPr>
          <w:spacing w:val="-11"/>
          <w:w w:val="115"/>
        </w:rPr>
        <w:t> </w:t>
      </w:r>
      <w:r>
        <w:rPr>
          <w:w w:val="115"/>
        </w:rPr>
        <w:t>no </w:t>
      </w:r>
      <w:r>
        <w:rPr>
          <w:w w:val="120"/>
        </w:rPr>
        <w:t>su</w:t>
      </w:r>
      <w:r>
        <w:rPr>
          <w:spacing w:val="-10"/>
          <w:w w:val="120"/>
        </w:rPr>
        <w:t> </w:t>
      </w:r>
      <w:r>
        <w:rPr>
          <w:w w:val="120"/>
        </w:rPr>
        <w:t>rol</w:t>
      </w:r>
      <w:r>
        <w:rPr>
          <w:spacing w:val="-10"/>
          <w:w w:val="120"/>
        </w:rPr>
        <w:t> </w:t>
      </w:r>
      <w:r>
        <w:rPr>
          <w:w w:val="120"/>
        </w:rPr>
        <w:t>de</w:t>
      </w:r>
      <w:r>
        <w:rPr>
          <w:spacing w:val="-10"/>
          <w:w w:val="120"/>
        </w:rPr>
        <w:t> </w:t>
      </w:r>
      <w:r>
        <w:rPr>
          <w:w w:val="120"/>
        </w:rPr>
        <w:t>mandante</w:t>
      </w:r>
      <w:r>
        <w:rPr>
          <w:spacing w:val="-10"/>
          <w:w w:val="120"/>
        </w:rPr>
        <w:t> </w:t>
      </w:r>
      <w:r>
        <w:rPr>
          <w:w w:val="120"/>
        </w:rPr>
        <w:t>geopolítico.</w:t>
      </w:r>
      <w:r>
        <w:rPr>
          <w:spacing w:val="-10"/>
          <w:w w:val="120"/>
        </w:rPr>
        <w:t> </w:t>
      </w:r>
      <w:r>
        <w:rPr>
          <w:w w:val="120"/>
        </w:rPr>
        <w:t>Está</w:t>
      </w:r>
      <w:r>
        <w:rPr>
          <w:spacing w:val="-10"/>
          <w:w w:val="120"/>
        </w:rPr>
        <w:t> </w:t>
      </w:r>
      <w:r>
        <w:rPr>
          <w:w w:val="120"/>
        </w:rPr>
        <w:t>ubicado</w:t>
      </w:r>
      <w:r>
        <w:rPr>
          <w:spacing w:val="-10"/>
          <w:w w:val="120"/>
        </w:rPr>
        <w:t> </w:t>
      </w:r>
      <w:r>
        <w:rPr>
          <w:w w:val="120"/>
        </w:rPr>
        <w:t>en</w:t>
      </w:r>
      <w:r>
        <w:rPr>
          <w:spacing w:val="-10"/>
          <w:w w:val="120"/>
        </w:rPr>
        <w:t> </w:t>
      </w:r>
      <w:r>
        <w:rPr>
          <w:w w:val="120"/>
        </w:rPr>
        <w:t>la</w:t>
      </w:r>
      <w:r>
        <w:rPr>
          <w:spacing w:val="-10"/>
          <w:w w:val="120"/>
        </w:rPr>
        <w:t> </w:t>
      </w:r>
      <w:r>
        <w:rPr>
          <w:w w:val="120"/>
        </w:rPr>
        <w:t>primera</w:t>
      </w:r>
      <w:r>
        <w:rPr>
          <w:spacing w:val="-10"/>
          <w:w w:val="120"/>
        </w:rPr>
        <w:t> </w:t>
      </w:r>
      <w:r>
        <w:rPr>
          <w:w w:val="120"/>
        </w:rPr>
        <w:t>fila</w:t>
      </w:r>
      <w:r>
        <w:rPr>
          <w:spacing w:val="-10"/>
          <w:w w:val="120"/>
        </w:rPr>
        <w:t> </w:t>
      </w:r>
      <w:r>
        <w:rPr>
          <w:w w:val="120"/>
        </w:rPr>
        <w:t>de </w:t>
      </w:r>
      <w:r>
        <w:rPr>
          <w:w w:val="109"/>
        </w:rPr>
        <w:t>las</w:t>
      </w:r>
      <w:r>
        <w:rPr/>
        <w:t> </w:t>
      </w:r>
      <w:r>
        <w:rPr>
          <w:spacing w:val="-10"/>
        </w:rPr>
        <w:t> </w:t>
      </w:r>
      <w:r>
        <w:rPr>
          <w:w w:val="111"/>
        </w:rPr>
        <w:t>negociaciones,</w:t>
      </w:r>
      <w:r>
        <w:rPr/>
        <w:t> </w:t>
      </w:r>
      <w:r>
        <w:rPr>
          <w:spacing w:val="-9"/>
        </w:rPr>
        <w:t> </w:t>
      </w:r>
      <w:r>
        <w:rPr>
          <w:w w:val="110"/>
        </w:rPr>
        <w:t>luego</w:t>
      </w:r>
      <w:r>
        <w:rPr/>
        <w:t> </w:t>
      </w:r>
      <w:r>
        <w:rPr>
          <w:spacing w:val="-9"/>
        </w:rPr>
        <w:t> </w:t>
      </w:r>
      <w:r>
        <w:rPr>
          <w:w w:val="107"/>
        </w:rPr>
        <w:t>de</w:t>
      </w:r>
      <w:r>
        <w:rPr/>
        <w:t> </w:t>
      </w:r>
      <w:r>
        <w:rPr>
          <w:spacing w:val="-10"/>
        </w:rPr>
        <w:t> </w:t>
      </w:r>
      <w:r>
        <w:rPr>
          <w:w w:val="111"/>
        </w:rPr>
        <w:t>la</w:t>
      </w:r>
      <w:r>
        <w:rPr/>
        <w:t> </w:t>
      </w:r>
      <w:r>
        <w:rPr>
          <w:spacing w:val="-9"/>
        </w:rPr>
        <w:t> </w:t>
      </w:r>
      <w:r>
        <w:rPr>
          <w:w w:val="109"/>
        </w:rPr>
        <w:t>contraofensiva</w:t>
      </w:r>
      <w:r>
        <w:rPr/>
        <w:t> </w:t>
      </w:r>
      <w:r>
        <w:rPr>
          <w:spacing w:val="-10"/>
        </w:rPr>
        <w:t> </w:t>
      </w:r>
      <w:r>
        <w:rPr>
          <w:w w:val="113"/>
        </w:rPr>
        <w:t>iniciada</w:t>
      </w:r>
      <w:r>
        <w:rPr/>
        <w:t> </w:t>
      </w:r>
      <w:r>
        <w:rPr>
          <w:spacing w:val="-9"/>
        </w:rPr>
        <w:t> </w:t>
      </w:r>
      <w:r>
        <w:rPr>
          <w:w w:val="108"/>
        </w:rPr>
        <w:t>en</w:t>
      </w:r>
      <w:r>
        <w:rPr/>
        <w:t> </w:t>
      </w:r>
      <w:r>
        <w:rPr>
          <w:spacing w:val="-9"/>
        </w:rPr>
        <w:t> </w:t>
      </w:r>
      <w:r>
        <w:rPr>
          <w:w w:val="243"/>
        </w:rPr>
        <w:t>l</w:t>
      </w:r>
      <w:r>
        <w:rPr>
          <w:w w:val="112"/>
        </w:rPr>
        <w:t>ibia</w:t>
      </w:r>
      <w:r>
        <w:rPr/>
        <w:t> </w:t>
      </w:r>
      <w:r>
        <w:rPr>
          <w:spacing w:val="-9"/>
        </w:rPr>
        <w:t> </w:t>
      </w:r>
      <w:r>
        <w:rPr>
          <w:w w:val="109"/>
        </w:rPr>
        <w:t>para </w:t>
      </w:r>
      <w:r>
        <w:rPr>
          <w:w w:val="115"/>
        </w:rPr>
        <w:t>sepultar</w:t>
      </w:r>
      <w:r>
        <w:rPr>
          <w:spacing w:val="-30"/>
          <w:w w:val="115"/>
        </w:rPr>
        <w:t> </w:t>
      </w:r>
      <w:r>
        <w:rPr>
          <w:w w:val="115"/>
        </w:rPr>
        <w:t>la</w:t>
      </w:r>
      <w:r>
        <w:rPr>
          <w:spacing w:val="-30"/>
          <w:w w:val="115"/>
        </w:rPr>
        <w:t> </w:t>
      </w:r>
      <w:r>
        <w:rPr>
          <w:w w:val="115"/>
        </w:rPr>
        <w:t>primavera</w:t>
      </w:r>
      <w:r>
        <w:rPr>
          <w:spacing w:val="-30"/>
          <w:w w:val="115"/>
        </w:rPr>
        <w:t> </w:t>
      </w:r>
      <w:r>
        <w:rPr>
          <w:w w:val="115"/>
        </w:rPr>
        <w:t>árabe</w:t>
      </w:r>
      <w:r>
        <w:rPr>
          <w:spacing w:val="-30"/>
          <w:w w:val="115"/>
        </w:rPr>
        <w:t> </w:t>
      </w:r>
      <w:r>
        <w:rPr>
          <w:w w:val="115"/>
        </w:rPr>
        <w:t>en</w:t>
      </w:r>
      <w:r>
        <w:rPr>
          <w:spacing w:val="-30"/>
          <w:w w:val="115"/>
        </w:rPr>
        <w:t> </w:t>
      </w:r>
      <w:r>
        <w:rPr>
          <w:w w:val="115"/>
        </w:rPr>
        <w:t>guerras</w:t>
      </w:r>
      <w:r>
        <w:rPr>
          <w:spacing w:val="-30"/>
          <w:w w:val="115"/>
        </w:rPr>
        <w:t> </w:t>
      </w:r>
      <w:r>
        <w:rPr>
          <w:w w:val="115"/>
        </w:rPr>
        <w:t>sectarias.</w:t>
      </w:r>
    </w:p>
    <w:p>
      <w:pPr>
        <w:pStyle w:val="BodyText"/>
        <w:spacing w:line="252" w:lineRule="auto"/>
        <w:ind w:left="100" w:right="328" w:firstLine="396"/>
        <w:jc w:val="both"/>
      </w:pPr>
      <w:r>
        <w:rPr>
          <w:w w:val="110"/>
        </w:rPr>
        <w:t>se ha retirado superficialmente de los conflictos de la región,</w:t>
      </w:r>
      <w:r>
        <w:rPr>
          <w:spacing w:val="-10"/>
          <w:w w:val="110"/>
        </w:rPr>
        <w:t> </w:t>
      </w:r>
      <w:r>
        <w:rPr>
          <w:w w:val="110"/>
        </w:rPr>
        <w:t>para facilitar un desangre que le permita negociar nuevas alianzas con los ganadores de las batallas en curso. Fue el modelo que utilizó con irak contra irán, para luego sepultar a irak y terminar negociando con  irán. En siria financia a los yihadistas contra el gobierno para luego </w:t>
      </w:r>
      <w:r>
        <w:rPr>
          <w:w w:val="109"/>
        </w:rPr>
        <w:t>exigir</w:t>
      </w:r>
      <w:r>
        <w:rPr/>
        <w:t> </w:t>
      </w:r>
      <w:r>
        <w:rPr>
          <w:spacing w:val="-12"/>
        </w:rPr>
        <w:t> </w:t>
      </w:r>
      <w:r>
        <w:rPr>
          <w:w w:val="111"/>
        </w:rPr>
        <w:t>la</w:t>
      </w:r>
      <w:r>
        <w:rPr/>
        <w:t> </w:t>
      </w:r>
      <w:r>
        <w:rPr>
          <w:spacing w:val="-12"/>
        </w:rPr>
        <w:t> </w:t>
      </w:r>
      <w:r>
        <w:rPr>
          <w:w w:val="110"/>
        </w:rPr>
        <w:t>depuración</w:t>
      </w:r>
      <w:r>
        <w:rPr/>
        <w:t> </w:t>
      </w:r>
      <w:r>
        <w:rPr>
          <w:spacing w:val="-12"/>
        </w:rPr>
        <w:t> </w:t>
      </w:r>
      <w:r>
        <w:rPr>
          <w:w w:val="107"/>
        </w:rPr>
        <w:t>de</w:t>
      </w:r>
      <w:r>
        <w:rPr/>
        <w:t> </w:t>
      </w:r>
      <w:r>
        <w:rPr>
          <w:spacing w:val="-12"/>
        </w:rPr>
        <w:t> </w:t>
      </w:r>
      <w:r>
        <w:rPr>
          <w:w w:val="108"/>
        </w:rPr>
        <w:t>los</w:t>
      </w:r>
      <w:r>
        <w:rPr/>
        <w:t> </w:t>
      </w:r>
      <w:r>
        <w:rPr>
          <w:spacing w:val="-12"/>
        </w:rPr>
        <w:t> </w:t>
      </w:r>
      <w:r>
        <w:rPr>
          <w:w w:val="111"/>
        </w:rPr>
        <w:t>fundamentalistas.</w:t>
      </w:r>
      <w:r>
        <w:rPr/>
        <w:t> </w:t>
      </w:r>
      <w:r>
        <w:rPr>
          <w:spacing w:val="-12"/>
        </w:rPr>
        <w:t> </w:t>
      </w:r>
      <w:r>
        <w:rPr>
          <w:w w:val="120"/>
        </w:rPr>
        <w:t>En</w:t>
      </w:r>
      <w:r>
        <w:rPr/>
        <w:t> </w:t>
      </w:r>
      <w:r>
        <w:rPr>
          <w:spacing w:val="-12"/>
        </w:rPr>
        <w:t> </w:t>
      </w:r>
      <w:r>
        <w:rPr>
          <w:w w:val="107"/>
        </w:rPr>
        <w:t>el</w:t>
      </w:r>
      <w:r>
        <w:rPr/>
        <w:t> </w:t>
      </w:r>
      <w:r>
        <w:rPr>
          <w:spacing w:val="-12"/>
        </w:rPr>
        <w:t> </w:t>
      </w:r>
      <w:r>
        <w:rPr>
          <w:w w:val="243"/>
        </w:rPr>
        <w:t>l</w:t>
      </w:r>
      <w:r>
        <w:rPr>
          <w:w w:val="111"/>
        </w:rPr>
        <w:t>íbano</w:t>
      </w:r>
      <w:r>
        <w:rPr/>
        <w:t> </w:t>
      </w:r>
      <w:r>
        <w:rPr>
          <w:spacing w:val="-12"/>
        </w:rPr>
        <w:t> </w:t>
      </w:r>
      <w:r>
        <w:rPr>
          <w:w w:val="111"/>
        </w:rPr>
        <w:t>apaña</w:t>
      </w:r>
      <w:r>
        <w:rPr/>
        <w:t> </w:t>
      </w:r>
      <w:r>
        <w:rPr>
          <w:spacing w:val="-12"/>
        </w:rPr>
        <w:t> </w:t>
      </w:r>
      <w:r>
        <w:rPr>
          <w:w w:val="107"/>
        </w:rPr>
        <w:t>el </w:t>
      </w:r>
      <w:r>
        <w:rPr>
          <w:w w:val="110"/>
        </w:rPr>
        <w:t>reinicio de las</w:t>
      </w:r>
      <w:r>
        <w:rPr>
          <w:spacing w:val="34"/>
          <w:w w:val="110"/>
        </w:rPr>
        <w:t> </w:t>
      </w:r>
      <w:r>
        <w:rPr>
          <w:w w:val="110"/>
        </w:rPr>
        <w:t>masacres.</w:t>
      </w:r>
    </w:p>
    <w:p>
      <w:pPr>
        <w:pStyle w:val="BodyText"/>
        <w:spacing w:line="252" w:lineRule="auto"/>
        <w:ind w:left="100" w:right="328" w:firstLine="396"/>
        <w:jc w:val="both"/>
      </w:pPr>
      <w:r>
        <w:rPr>
          <w:w w:val="110"/>
        </w:rPr>
        <w:t>Pero como cada aventura alumbra una nueva fuerza reaccionaria autónoma, la secuencia de guerras no tiene fin. Ya ocurrió con los tali- banes y al Qaeda. El próximo descarrilamiento podría ser encabezado por arabia saudita, si el reino continúa avanzando en la construcción de una bomba atómica para reforzar sus ambiciones regionales (ar- manian, 2014).</w:t>
      </w:r>
    </w:p>
    <w:p>
      <w:pPr>
        <w:pStyle w:val="BodyText"/>
        <w:spacing w:line="252" w:lineRule="auto"/>
        <w:ind w:left="100" w:right="328" w:firstLine="396"/>
        <w:jc w:val="both"/>
      </w:pPr>
      <w:r>
        <w:rPr>
          <w:w w:val="110"/>
        </w:rPr>
        <w:t>Es evidente que el sheriff del mundo quedó afectado por el resul- tado de irak. debió abandonar un fallido ensayo colonial que devastó  a ese país. Pero sigue manejando los hilos de la región junto a sus socios y –a diferencia de Vietnam– no soportó una crisis interna por las masacres</w:t>
      </w:r>
      <w:r>
        <w:rPr>
          <w:spacing w:val="2"/>
          <w:w w:val="110"/>
        </w:rPr>
        <w:t> </w:t>
      </w:r>
      <w:r>
        <w:rPr>
          <w:w w:val="110"/>
        </w:rPr>
        <w:t>perpetradas.</w:t>
      </w:r>
    </w:p>
    <w:p>
      <w:pPr>
        <w:pStyle w:val="BodyText"/>
        <w:spacing w:line="252" w:lineRule="auto"/>
        <w:ind w:left="100" w:right="327" w:firstLine="396"/>
        <w:jc w:val="both"/>
      </w:pPr>
      <w:r>
        <w:rPr>
          <w:w w:val="243"/>
        </w:rPr>
        <w:t>l</w:t>
      </w:r>
      <w:r>
        <w:rPr>
          <w:w w:val="109"/>
        </w:rPr>
        <w:t>uego</w:t>
      </w:r>
      <w:r>
        <w:rPr/>
        <w:t> </w:t>
      </w:r>
      <w:r>
        <w:rPr>
          <w:spacing w:val="-2"/>
        </w:rPr>
        <w:t> </w:t>
      </w:r>
      <w:r>
        <w:rPr>
          <w:w w:val="107"/>
        </w:rPr>
        <w:t>de</w:t>
      </w:r>
      <w:r>
        <w:rPr/>
        <w:t> </w:t>
      </w:r>
      <w:r>
        <w:rPr>
          <w:spacing w:val="-2"/>
        </w:rPr>
        <w:t> </w:t>
      </w:r>
      <w:r>
        <w:rPr>
          <w:w w:val="111"/>
        </w:rPr>
        <w:t>la</w:t>
      </w:r>
      <w:r>
        <w:rPr/>
        <w:t> </w:t>
      </w:r>
      <w:r>
        <w:rPr>
          <w:spacing w:val="-2"/>
        </w:rPr>
        <w:t> </w:t>
      </w:r>
      <w:r>
        <w:rPr>
          <w:w w:val="109"/>
        </w:rPr>
        <w:t>experiencia</w:t>
      </w:r>
      <w:r>
        <w:rPr/>
        <w:t> </w:t>
      </w:r>
      <w:r>
        <w:rPr>
          <w:spacing w:val="-2"/>
        </w:rPr>
        <w:t> </w:t>
      </w:r>
      <w:r>
        <w:rPr>
          <w:w w:val="112"/>
        </w:rPr>
        <w:t>iraquí,</w:t>
      </w:r>
      <w:r>
        <w:rPr/>
        <w:t> </w:t>
      </w:r>
      <w:r>
        <w:rPr>
          <w:spacing w:val="-2"/>
        </w:rPr>
        <w:t> </w:t>
      </w:r>
      <w:r>
        <w:rPr>
          <w:w w:val="149"/>
        </w:rPr>
        <w:t>o</w:t>
      </w:r>
      <w:r>
        <w:rPr>
          <w:w w:val="112"/>
        </w:rPr>
        <w:t>bama</w:t>
      </w:r>
      <w:r>
        <w:rPr/>
        <w:t> </w:t>
      </w:r>
      <w:r>
        <w:rPr>
          <w:spacing w:val="-2"/>
        </w:rPr>
        <w:t> </w:t>
      </w:r>
      <w:r>
        <w:rPr>
          <w:w w:val="108"/>
        </w:rPr>
        <w:t>promueve</w:t>
      </w:r>
      <w:r>
        <w:rPr/>
        <w:t> </w:t>
      </w:r>
      <w:r>
        <w:rPr>
          <w:spacing w:val="-2"/>
        </w:rPr>
        <w:t> </w:t>
      </w:r>
      <w:r>
        <w:rPr>
          <w:w w:val="111"/>
        </w:rPr>
        <w:t>acciones</w:t>
      </w:r>
      <w:r>
        <w:rPr/>
        <w:t> </w:t>
      </w:r>
      <w:r>
        <w:rPr>
          <w:spacing w:val="-2"/>
        </w:rPr>
        <w:t> </w:t>
      </w:r>
      <w:r>
        <w:rPr>
          <w:w w:val="114"/>
        </w:rPr>
        <w:t>i</w:t>
      </w:r>
      <w:r>
        <w:rPr>
          <w:spacing w:val="-1"/>
          <w:w w:val="114"/>
        </w:rPr>
        <w:t>m</w:t>
      </w:r>
      <w:r>
        <w:rPr>
          <w:w w:val="102"/>
        </w:rPr>
        <w:t>- </w:t>
      </w:r>
      <w:r>
        <w:rPr>
          <w:w w:val="110"/>
        </w:rPr>
        <w:t>periales más coordinadas y trata de compartir costos con sus socios internacionales. busca que Europa hostilice a rusia frente a la crisis  de ucrania, que Francia intervenga en África y que las elites locales    se involucren más directamente en los conflictos de </w:t>
      </w:r>
      <w:r>
        <w:rPr>
          <w:spacing w:val="-3"/>
          <w:w w:val="110"/>
        </w:rPr>
        <w:t>Yemen, </w:t>
      </w:r>
      <w:r>
        <w:rPr>
          <w:w w:val="110"/>
        </w:rPr>
        <w:t>tailandia, Pakistán  o</w:t>
      </w:r>
      <w:r>
        <w:rPr>
          <w:spacing w:val="6"/>
          <w:w w:val="110"/>
        </w:rPr>
        <w:t> </w:t>
      </w:r>
      <w:r>
        <w:rPr>
          <w:w w:val="110"/>
        </w:rPr>
        <w:t>Egipto.</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firstLine="396"/>
        <w:jc w:val="both"/>
      </w:pPr>
      <w:r>
        <w:rPr>
          <w:w w:val="115"/>
        </w:rPr>
        <w:t>Esta</w:t>
      </w:r>
      <w:r>
        <w:rPr>
          <w:spacing w:val="-23"/>
          <w:w w:val="115"/>
        </w:rPr>
        <w:t> </w:t>
      </w:r>
      <w:r>
        <w:rPr>
          <w:w w:val="115"/>
        </w:rPr>
        <w:t>política</w:t>
      </w:r>
      <w:r>
        <w:rPr>
          <w:spacing w:val="-23"/>
          <w:w w:val="115"/>
        </w:rPr>
        <w:t> </w:t>
      </w:r>
      <w:r>
        <w:rPr>
          <w:w w:val="115"/>
        </w:rPr>
        <w:t>apunta</w:t>
      </w:r>
      <w:r>
        <w:rPr>
          <w:spacing w:val="-23"/>
          <w:w w:val="115"/>
        </w:rPr>
        <w:t> </w:t>
      </w:r>
      <w:r>
        <w:rPr>
          <w:w w:val="115"/>
        </w:rPr>
        <w:t>a</w:t>
      </w:r>
      <w:r>
        <w:rPr>
          <w:spacing w:val="-23"/>
          <w:w w:val="115"/>
        </w:rPr>
        <w:t> </w:t>
      </w:r>
      <w:r>
        <w:rPr>
          <w:w w:val="115"/>
        </w:rPr>
        <w:t>incrementar</w:t>
      </w:r>
      <w:r>
        <w:rPr>
          <w:spacing w:val="-23"/>
          <w:w w:val="115"/>
        </w:rPr>
        <w:t> </w:t>
      </w:r>
      <w:r>
        <w:rPr>
          <w:w w:val="115"/>
        </w:rPr>
        <w:t>la</w:t>
      </w:r>
      <w:r>
        <w:rPr>
          <w:spacing w:val="-23"/>
          <w:w w:val="115"/>
        </w:rPr>
        <w:t> </w:t>
      </w:r>
      <w:r>
        <w:rPr>
          <w:w w:val="115"/>
        </w:rPr>
        <w:t>participación</w:t>
      </w:r>
      <w:r>
        <w:rPr>
          <w:spacing w:val="-23"/>
          <w:w w:val="115"/>
        </w:rPr>
        <w:t> </w:t>
      </w:r>
      <w:r>
        <w:rPr>
          <w:w w:val="115"/>
        </w:rPr>
        <w:t>de</w:t>
      </w:r>
      <w:r>
        <w:rPr>
          <w:spacing w:val="-23"/>
          <w:w w:val="115"/>
        </w:rPr>
        <w:t> </w:t>
      </w:r>
      <w:r>
        <w:rPr>
          <w:w w:val="115"/>
        </w:rPr>
        <w:t>sus</w:t>
      </w:r>
      <w:r>
        <w:rPr>
          <w:spacing w:val="-23"/>
          <w:w w:val="115"/>
        </w:rPr>
        <w:t> </w:t>
      </w:r>
      <w:r>
        <w:rPr>
          <w:w w:val="115"/>
        </w:rPr>
        <w:t>aliados en</w:t>
      </w:r>
      <w:r>
        <w:rPr>
          <w:spacing w:val="-9"/>
          <w:w w:val="115"/>
        </w:rPr>
        <w:t> </w:t>
      </w:r>
      <w:r>
        <w:rPr>
          <w:w w:val="115"/>
        </w:rPr>
        <w:t>la</w:t>
      </w:r>
      <w:r>
        <w:rPr>
          <w:spacing w:val="-9"/>
          <w:w w:val="115"/>
        </w:rPr>
        <w:t> </w:t>
      </w:r>
      <w:r>
        <w:rPr>
          <w:w w:val="115"/>
        </w:rPr>
        <w:t>custodia</w:t>
      </w:r>
      <w:r>
        <w:rPr>
          <w:spacing w:val="-9"/>
          <w:w w:val="115"/>
        </w:rPr>
        <w:t> </w:t>
      </w:r>
      <w:r>
        <w:rPr>
          <w:w w:val="115"/>
        </w:rPr>
        <w:t>imperial</w:t>
      </w:r>
      <w:r>
        <w:rPr>
          <w:spacing w:val="-9"/>
          <w:w w:val="115"/>
        </w:rPr>
        <w:t> </w:t>
      </w:r>
      <w:r>
        <w:rPr>
          <w:w w:val="115"/>
        </w:rPr>
        <w:t>sin</w:t>
      </w:r>
      <w:r>
        <w:rPr>
          <w:spacing w:val="-9"/>
          <w:w w:val="115"/>
        </w:rPr>
        <w:t> </w:t>
      </w:r>
      <w:r>
        <w:rPr>
          <w:w w:val="115"/>
        </w:rPr>
        <w:t>resignar</w:t>
      </w:r>
      <w:r>
        <w:rPr>
          <w:spacing w:val="-9"/>
          <w:w w:val="115"/>
        </w:rPr>
        <w:t> </w:t>
      </w:r>
      <w:r>
        <w:rPr>
          <w:w w:val="115"/>
        </w:rPr>
        <w:t>el</w:t>
      </w:r>
      <w:r>
        <w:rPr>
          <w:spacing w:val="-9"/>
          <w:w w:val="115"/>
        </w:rPr>
        <w:t> </w:t>
      </w:r>
      <w:r>
        <w:rPr>
          <w:w w:val="115"/>
        </w:rPr>
        <w:t>manejo</w:t>
      </w:r>
      <w:r>
        <w:rPr>
          <w:spacing w:val="-9"/>
          <w:w w:val="115"/>
        </w:rPr>
        <w:t> </w:t>
      </w:r>
      <w:r>
        <w:rPr>
          <w:w w:val="115"/>
        </w:rPr>
        <w:t>de</w:t>
      </w:r>
      <w:r>
        <w:rPr>
          <w:spacing w:val="-9"/>
          <w:w w:val="115"/>
        </w:rPr>
        <w:t> </w:t>
      </w:r>
      <w:r>
        <w:rPr>
          <w:w w:val="115"/>
        </w:rPr>
        <w:t>las</w:t>
      </w:r>
      <w:r>
        <w:rPr>
          <w:spacing w:val="-9"/>
          <w:w w:val="115"/>
        </w:rPr>
        <w:t> </w:t>
      </w:r>
      <w:r>
        <w:rPr>
          <w:w w:val="115"/>
        </w:rPr>
        <w:t>prioridades.</w:t>
      </w:r>
      <w:r>
        <w:rPr>
          <w:spacing w:val="-9"/>
          <w:w w:val="115"/>
        </w:rPr>
        <w:t> </w:t>
      </w:r>
      <w:r>
        <w:rPr>
          <w:w w:val="115"/>
        </w:rPr>
        <w:t>Es- tados</w:t>
      </w:r>
      <w:r>
        <w:rPr>
          <w:spacing w:val="-15"/>
          <w:w w:val="115"/>
        </w:rPr>
        <w:t> </w:t>
      </w:r>
      <w:r>
        <w:rPr>
          <w:w w:val="115"/>
        </w:rPr>
        <w:t>unidos</w:t>
      </w:r>
      <w:r>
        <w:rPr>
          <w:spacing w:val="-15"/>
          <w:w w:val="115"/>
        </w:rPr>
        <w:t> </w:t>
      </w:r>
      <w:r>
        <w:rPr>
          <w:w w:val="115"/>
        </w:rPr>
        <w:t>determina</w:t>
      </w:r>
      <w:r>
        <w:rPr>
          <w:spacing w:val="-15"/>
          <w:w w:val="115"/>
        </w:rPr>
        <w:t> </w:t>
      </w:r>
      <w:r>
        <w:rPr>
          <w:w w:val="115"/>
        </w:rPr>
        <w:t>quiénes</w:t>
      </w:r>
      <w:r>
        <w:rPr>
          <w:spacing w:val="-15"/>
          <w:w w:val="115"/>
        </w:rPr>
        <w:t> </w:t>
      </w:r>
      <w:r>
        <w:rPr>
          <w:w w:val="115"/>
        </w:rPr>
        <w:t>son</w:t>
      </w:r>
      <w:r>
        <w:rPr>
          <w:spacing w:val="-15"/>
          <w:w w:val="115"/>
        </w:rPr>
        <w:t> </w:t>
      </w:r>
      <w:r>
        <w:rPr>
          <w:w w:val="115"/>
        </w:rPr>
        <w:t>los</w:t>
      </w:r>
      <w:r>
        <w:rPr>
          <w:spacing w:val="-15"/>
          <w:w w:val="115"/>
        </w:rPr>
        <w:t> </w:t>
      </w:r>
      <w:r>
        <w:rPr>
          <w:w w:val="115"/>
        </w:rPr>
        <w:t>integrantes</w:t>
      </w:r>
      <w:r>
        <w:rPr>
          <w:spacing w:val="-15"/>
          <w:w w:val="115"/>
        </w:rPr>
        <w:t> </w:t>
      </w:r>
      <w:r>
        <w:rPr>
          <w:w w:val="115"/>
        </w:rPr>
        <w:t>y</w:t>
      </w:r>
      <w:r>
        <w:rPr>
          <w:spacing w:val="-15"/>
          <w:w w:val="115"/>
        </w:rPr>
        <w:t> </w:t>
      </w:r>
      <w:r>
        <w:rPr>
          <w:w w:val="115"/>
        </w:rPr>
        <w:t>excluidos</w:t>
      </w:r>
      <w:r>
        <w:rPr>
          <w:spacing w:val="-15"/>
          <w:w w:val="115"/>
        </w:rPr>
        <w:t> </w:t>
      </w:r>
      <w:r>
        <w:rPr>
          <w:w w:val="115"/>
        </w:rPr>
        <w:t>de</w:t>
      </w:r>
      <w:r>
        <w:rPr>
          <w:spacing w:val="-15"/>
          <w:w w:val="115"/>
        </w:rPr>
        <w:t> </w:t>
      </w:r>
      <w:r>
        <w:rPr>
          <w:w w:val="115"/>
        </w:rPr>
        <w:t>la </w:t>
      </w:r>
      <w:r>
        <w:rPr>
          <w:spacing w:val="-3"/>
          <w:w w:val="120"/>
        </w:rPr>
        <w:t>otaN,</w:t>
      </w:r>
      <w:r>
        <w:rPr>
          <w:spacing w:val="-20"/>
          <w:w w:val="120"/>
        </w:rPr>
        <w:t> </w:t>
      </w:r>
      <w:r>
        <w:rPr>
          <w:w w:val="120"/>
        </w:rPr>
        <w:t>cómo</w:t>
      </w:r>
      <w:r>
        <w:rPr>
          <w:spacing w:val="-20"/>
          <w:w w:val="120"/>
        </w:rPr>
        <w:t> </w:t>
      </w:r>
      <w:r>
        <w:rPr>
          <w:w w:val="120"/>
        </w:rPr>
        <w:t>opera</w:t>
      </w:r>
      <w:r>
        <w:rPr>
          <w:spacing w:val="-20"/>
          <w:w w:val="120"/>
        </w:rPr>
        <w:t> </w:t>
      </w:r>
      <w:r>
        <w:rPr>
          <w:w w:val="120"/>
        </w:rPr>
        <w:t>el</w:t>
      </w:r>
      <w:r>
        <w:rPr>
          <w:spacing w:val="-20"/>
          <w:w w:val="120"/>
        </w:rPr>
        <w:t> </w:t>
      </w:r>
      <w:r>
        <w:rPr>
          <w:w w:val="120"/>
        </w:rPr>
        <w:t>eje</w:t>
      </w:r>
      <w:r>
        <w:rPr>
          <w:spacing w:val="-20"/>
          <w:w w:val="120"/>
        </w:rPr>
        <w:t> </w:t>
      </w:r>
      <w:r>
        <w:rPr>
          <w:w w:val="120"/>
        </w:rPr>
        <w:t>forjado</w:t>
      </w:r>
      <w:r>
        <w:rPr>
          <w:spacing w:val="-20"/>
          <w:w w:val="120"/>
        </w:rPr>
        <w:t> </w:t>
      </w:r>
      <w:r>
        <w:rPr>
          <w:w w:val="120"/>
        </w:rPr>
        <w:t>durante</w:t>
      </w:r>
      <w:r>
        <w:rPr>
          <w:spacing w:val="-20"/>
          <w:w w:val="120"/>
        </w:rPr>
        <w:t> </w:t>
      </w:r>
      <w:r>
        <w:rPr>
          <w:w w:val="120"/>
        </w:rPr>
        <w:t>la</w:t>
      </w:r>
      <w:r>
        <w:rPr>
          <w:spacing w:val="-20"/>
          <w:w w:val="120"/>
        </w:rPr>
        <w:t> </w:t>
      </w:r>
      <w:r>
        <w:rPr>
          <w:w w:val="120"/>
        </w:rPr>
        <w:t>guerra</w:t>
      </w:r>
      <w:r>
        <w:rPr>
          <w:spacing w:val="-20"/>
          <w:w w:val="120"/>
        </w:rPr>
        <w:t> </w:t>
      </w:r>
      <w:r>
        <w:rPr>
          <w:w w:val="120"/>
        </w:rPr>
        <w:t>fría</w:t>
      </w:r>
      <w:r>
        <w:rPr>
          <w:spacing w:val="-20"/>
          <w:w w:val="120"/>
        </w:rPr>
        <w:t> </w:t>
      </w:r>
      <w:r>
        <w:rPr>
          <w:w w:val="120"/>
        </w:rPr>
        <w:t>con</w:t>
      </w:r>
      <w:r>
        <w:rPr>
          <w:spacing w:val="-20"/>
          <w:w w:val="120"/>
        </w:rPr>
        <w:t> </w:t>
      </w:r>
      <w:r>
        <w:rPr>
          <w:w w:val="120"/>
        </w:rPr>
        <w:t>Europa</w:t>
      </w:r>
      <w:r>
        <w:rPr>
          <w:spacing w:val="-20"/>
          <w:w w:val="120"/>
        </w:rPr>
        <w:t> </w:t>
      </w:r>
      <w:r>
        <w:rPr>
          <w:w w:val="120"/>
        </w:rPr>
        <w:t>y </w:t>
      </w:r>
      <w:r>
        <w:rPr>
          <w:w w:val="115"/>
        </w:rPr>
        <w:t>Japón y qué papel deben cumplir las sub-potencias ya probadas</w:t>
      </w:r>
      <w:r>
        <w:rPr>
          <w:spacing w:val="-25"/>
          <w:w w:val="115"/>
        </w:rPr>
        <w:t> </w:t>
      </w:r>
      <w:r>
        <w:rPr>
          <w:w w:val="115"/>
        </w:rPr>
        <w:t>(is- </w:t>
      </w:r>
      <w:r>
        <w:rPr>
          <w:w w:val="120"/>
        </w:rPr>
        <w:t>rael,</w:t>
      </w:r>
      <w:r>
        <w:rPr>
          <w:spacing w:val="-25"/>
          <w:w w:val="120"/>
        </w:rPr>
        <w:t> </w:t>
      </w:r>
      <w:r>
        <w:rPr>
          <w:w w:val="120"/>
        </w:rPr>
        <w:t>Canadá,</w:t>
      </w:r>
      <w:r>
        <w:rPr>
          <w:spacing w:val="-25"/>
          <w:w w:val="120"/>
        </w:rPr>
        <w:t> </w:t>
      </w:r>
      <w:r>
        <w:rPr>
          <w:w w:val="120"/>
        </w:rPr>
        <w:t>australia),</w:t>
      </w:r>
      <w:r>
        <w:rPr>
          <w:spacing w:val="-25"/>
          <w:w w:val="120"/>
        </w:rPr>
        <w:t> </w:t>
      </w:r>
      <w:r>
        <w:rPr>
          <w:w w:val="120"/>
        </w:rPr>
        <w:t>seleccionadas</w:t>
      </w:r>
      <w:r>
        <w:rPr>
          <w:spacing w:val="-25"/>
          <w:w w:val="120"/>
        </w:rPr>
        <w:t> </w:t>
      </w:r>
      <w:r>
        <w:rPr>
          <w:spacing w:val="-3"/>
          <w:w w:val="120"/>
        </w:rPr>
        <w:t>(turquía,</w:t>
      </w:r>
      <w:r>
        <w:rPr>
          <w:spacing w:val="-25"/>
          <w:w w:val="120"/>
        </w:rPr>
        <w:t> </w:t>
      </w:r>
      <w:r>
        <w:rPr>
          <w:w w:val="120"/>
        </w:rPr>
        <w:t>brasil,</w:t>
      </w:r>
      <w:r>
        <w:rPr>
          <w:spacing w:val="-25"/>
          <w:w w:val="120"/>
        </w:rPr>
        <w:t> </w:t>
      </w:r>
      <w:r>
        <w:rPr>
          <w:w w:val="120"/>
        </w:rPr>
        <w:t>sudáfrica)</w:t>
      </w:r>
      <w:r>
        <w:rPr>
          <w:spacing w:val="-25"/>
          <w:w w:val="120"/>
        </w:rPr>
        <w:t> </w:t>
      </w:r>
      <w:r>
        <w:rPr>
          <w:w w:val="120"/>
        </w:rPr>
        <w:t>o </w:t>
      </w:r>
      <w:r>
        <w:rPr>
          <w:w w:val="110"/>
        </w:rPr>
        <w:t>eventuales (Pakistán,</w:t>
      </w:r>
      <w:r>
        <w:rPr>
          <w:spacing w:val="28"/>
          <w:w w:val="110"/>
        </w:rPr>
        <w:t> </w:t>
      </w:r>
      <w:r>
        <w:rPr>
          <w:w w:val="110"/>
        </w:rPr>
        <w:t>india).</w:t>
      </w:r>
    </w:p>
    <w:p>
      <w:pPr>
        <w:pStyle w:val="BodyText"/>
        <w:spacing w:line="252" w:lineRule="auto"/>
        <w:ind w:left="330" w:right="117" w:firstLine="396"/>
        <w:jc w:val="both"/>
      </w:pPr>
      <w:r>
        <w:rPr>
          <w:w w:val="110"/>
        </w:rPr>
        <w:t>Estas tendencias confirman que el rol militar de Washington no  se ha modificado. Preserva el liderazgo de una gestión imperial colec- tiva, que en la segunda mitad del siglo </w:t>
      </w:r>
      <w:r>
        <w:rPr>
          <w:w w:val="130"/>
        </w:rPr>
        <w:t>xx </w:t>
      </w:r>
      <w:r>
        <w:rPr>
          <w:w w:val="110"/>
        </w:rPr>
        <w:t>sustituyó a las viejas con- frontaciones bélicas inter-imperialistas (Katz, 2011:</w:t>
      </w:r>
      <w:r>
        <w:rPr>
          <w:spacing w:val="-22"/>
          <w:w w:val="110"/>
        </w:rPr>
        <w:t> </w:t>
      </w:r>
      <w:r>
        <w:rPr>
          <w:w w:val="110"/>
        </w:rPr>
        <w:t>69-81).</w:t>
      </w:r>
    </w:p>
    <w:p>
      <w:pPr>
        <w:pStyle w:val="BodyText"/>
        <w:spacing w:before="11"/>
        <w:rPr>
          <w:sz w:val="18"/>
        </w:rPr>
      </w:pPr>
    </w:p>
    <w:p>
      <w:pPr>
        <w:spacing w:before="0"/>
        <w:ind w:left="727" w:right="117" w:firstLine="0"/>
        <w:jc w:val="both"/>
        <w:rPr>
          <w:sz w:val="18"/>
        </w:rPr>
      </w:pPr>
      <w:r>
        <w:rPr>
          <w:w w:val="105"/>
          <w:sz w:val="18"/>
        </w:rPr>
        <w:t>algunos autores cuestionan esta caracterización remarcando el decli-  </w:t>
      </w:r>
      <w:r>
        <w:rPr>
          <w:spacing w:val="41"/>
          <w:w w:val="105"/>
          <w:sz w:val="18"/>
        </w:rPr>
        <w:t> </w:t>
      </w:r>
      <w:r>
        <w:rPr>
          <w:w w:val="105"/>
          <w:sz w:val="18"/>
        </w:rPr>
        <w:t>ve militar de Estados unidos. interpretan los desenlaces geopolíticos recientes en Medio oriente, Europa oriental o asia como expresiones  </w:t>
      </w:r>
      <w:r>
        <w:rPr>
          <w:spacing w:val="41"/>
          <w:w w:val="105"/>
          <w:sz w:val="18"/>
        </w:rPr>
        <w:t> </w:t>
      </w:r>
      <w:r>
        <w:rPr>
          <w:w w:val="105"/>
          <w:sz w:val="18"/>
        </w:rPr>
        <w:t>de impotencia de un viejo gendarme. Estiman que el Pentágono ha quedado irreversiblemente agotado y retrocede frente a cada desafío. Consideran que luego de  ejercer  cierta  hegemonía  cultural  durante</w:t>
      </w:r>
      <w:r>
        <w:rPr>
          <w:spacing w:val="41"/>
          <w:w w:val="105"/>
          <w:sz w:val="18"/>
        </w:rPr>
        <w:t> </w:t>
      </w:r>
      <w:r>
        <w:rPr>
          <w:w w:val="105"/>
          <w:sz w:val="18"/>
        </w:rPr>
        <w:t>los años ’90 (con la fantasiosa ilusión de un “siglo americano”), los yanquis han perdido la partida </w:t>
      </w:r>
      <w:r>
        <w:rPr>
          <w:spacing w:val="-3"/>
          <w:w w:val="105"/>
          <w:sz w:val="18"/>
        </w:rPr>
        <w:t>(sapir,  </w:t>
      </w:r>
      <w:r>
        <w:rPr>
          <w:w w:val="105"/>
          <w:sz w:val="18"/>
        </w:rPr>
        <w:t>2008: 16, 62-67, 84-88);   </w:t>
      </w:r>
      <w:r>
        <w:rPr>
          <w:spacing w:val="21"/>
          <w:w w:val="105"/>
          <w:sz w:val="18"/>
        </w:rPr>
        <w:t> </w:t>
      </w:r>
      <w:r>
        <w:rPr>
          <w:w w:val="105"/>
          <w:sz w:val="18"/>
        </w:rPr>
        <w:t>Zibechi</w:t>
      </w:r>
    </w:p>
    <w:p>
      <w:pPr>
        <w:spacing w:before="2"/>
        <w:ind w:left="727" w:right="0" w:firstLine="0"/>
        <w:jc w:val="both"/>
        <w:rPr>
          <w:sz w:val="18"/>
        </w:rPr>
      </w:pPr>
      <w:r>
        <w:rPr>
          <w:w w:val="105"/>
          <w:sz w:val="18"/>
        </w:rPr>
        <w:t>(2012); Meyssan (2013).</w:t>
      </w:r>
    </w:p>
    <w:p>
      <w:pPr>
        <w:pStyle w:val="BodyText"/>
        <w:spacing w:before="1"/>
        <w:rPr>
          <w:sz w:val="21"/>
        </w:rPr>
      </w:pPr>
    </w:p>
    <w:p>
      <w:pPr>
        <w:pStyle w:val="BodyText"/>
        <w:spacing w:line="252" w:lineRule="auto"/>
        <w:ind w:left="330" w:right="118"/>
        <w:jc w:val="both"/>
      </w:pPr>
      <w:r>
        <w:rPr>
          <w:w w:val="110"/>
        </w:rPr>
        <w:t>Pero resulta difícil corroborar este diagnóstico a la luz de lo ocurrido en los últimos años. Estados unidos sigue fijando las pautas y asu- miendo las decisiones más relevantes de la acción imperial. Es la voz cantante a la hora de definir quiénes son los integrantes y los exclui- dos del club nuclear.</w:t>
      </w:r>
    </w:p>
    <w:p>
      <w:pPr>
        <w:pStyle w:val="BodyText"/>
        <w:spacing w:line="252" w:lineRule="auto"/>
        <w:ind w:left="330" w:right="118" w:firstLine="396"/>
        <w:jc w:val="both"/>
      </w:pPr>
      <w:r>
        <w:rPr>
          <w:w w:val="110"/>
        </w:rPr>
        <w:t>En ese terreno negocia con sus viejos antagonistas (China y ru- sia), comparte el armamento con sus socios (Francia, Gran bretaña) y agentes privilegiados (israel), acuerda la magnitud del poderío atómi- co con regímenes históricamente próximos (Pakistán) o actualmente afines (india). al mismo tiempo impone una duro acoso contra quie- nes buscan dotarse de esos recursos bélicos en forma autónoma (Co- rea del Norte).</w:t>
      </w:r>
    </w:p>
    <w:p>
      <w:pPr>
        <w:pStyle w:val="BodyText"/>
        <w:spacing w:line="252" w:lineRule="auto"/>
        <w:ind w:left="330" w:right="114" w:firstLine="396"/>
        <w:jc w:val="both"/>
      </w:pPr>
      <w:r>
        <w:rPr>
          <w:w w:val="110"/>
        </w:rPr>
        <w:t>Estados unidos ha perdido capacidad de acción unilateral, pero no poder de intervención en la dirección del imperialismo colecti-    vo. Este comando obedece a la inexistencia de otro timón para la custodia general del capitalismo. Estas tendencias se verifican en </w:t>
      </w:r>
      <w:r>
        <w:rPr>
          <w:spacing w:val="2"/>
          <w:w w:val="139"/>
        </w:rPr>
        <w:t>a</w:t>
      </w:r>
      <w:r>
        <w:rPr>
          <w:spacing w:val="2"/>
          <w:w w:val="111"/>
        </w:rPr>
        <w:t>méric</w:t>
      </w:r>
      <w:r>
        <w:rPr>
          <w:w w:val="111"/>
        </w:rPr>
        <w:t>a</w:t>
      </w:r>
      <w:r>
        <w:rPr>
          <w:spacing w:val="17"/>
        </w:rPr>
        <w:t> </w:t>
      </w:r>
      <w:r>
        <w:rPr>
          <w:spacing w:val="2"/>
          <w:w w:val="243"/>
        </w:rPr>
        <w:t>l</w:t>
      </w:r>
      <w:r>
        <w:rPr>
          <w:spacing w:val="2"/>
          <w:w w:val="113"/>
        </w:rPr>
        <w:t>atina.</w:t>
      </w:r>
    </w:p>
    <w:p>
      <w:pPr>
        <w:pStyle w:val="BodyText"/>
        <w:spacing w:before="5"/>
      </w:pPr>
    </w:p>
    <w:p>
      <w:pPr>
        <w:pStyle w:val="Heading6"/>
        <w:ind w:left="331"/>
      </w:pPr>
      <w:r>
        <w:rPr>
          <w:w w:val="130"/>
        </w:rPr>
        <w:t>coerción Para recuPerar HeGeMonÍa</w:t>
      </w:r>
    </w:p>
    <w:p>
      <w:pPr>
        <w:pStyle w:val="BodyText"/>
        <w:spacing w:line="252" w:lineRule="auto" w:before="10"/>
        <w:ind w:left="330" w:right="118"/>
        <w:jc w:val="both"/>
      </w:pPr>
      <w:r>
        <w:rPr>
          <w:w w:val="110"/>
        </w:rPr>
        <w:t>Estados unidos reforzó su presencia en Centroamérica y mantuvo</w:t>
      </w:r>
      <w:r>
        <w:rPr>
          <w:spacing w:val="-14"/>
          <w:w w:val="110"/>
        </w:rPr>
        <w:t> </w:t>
      </w:r>
      <w:r>
        <w:rPr>
          <w:w w:val="110"/>
        </w:rPr>
        <w:t>gra- vitación</w:t>
      </w:r>
      <w:r>
        <w:rPr>
          <w:spacing w:val="-6"/>
          <w:w w:val="110"/>
        </w:rPr>
        <w:t> </w:t>
      </w:r>
      <w:r>
        <w:rPr>
          <w:w w:val="110"/>
        </w:rPr>
        <w:t>en</w:t>
      </w:r>
      <w:r>
        <w:rPr>
          <w:spacing w:val="-6"/>
          <w:w w:val="110"/>
        </w:rPr>
        <w:t> </w:t>
      </w:r>
      <w:r>
        <w:rPr>
          <w:w w:val="110"/>
        </w:rPr>
        <w:t>sudamérica.</w:t>
      </w:r>
      <w:r>
        <w:rPr>
          <w:spacing w:val="-6"/>
          <w:w w:val="110"/>
        </w:rPr>
        <w:t> </w:t>
      </w:r>
      <w:r>
        <w:rPr>
          <w:w w:val="110"/>
        </w:rPr>
        <w:t>Mantiene</w:t>
      </w:r>
      <w:r>
        <w:rPr>
          <w:spacing w:val="-6"/>
          <w:w w:val="110"/>
        </w:rPr>
        <w:t> </w:t>
      </w:r>
      <w:r>
        <w:rPr>
          <w:w w:val="110"/>
        </w:rPr>
        <w:t>su</w:t>
      </w:r>
      <w:r>
        <w:rPr>
          <w:spacing w:val="-6"/>
          <w:w w:val="110"/>
        </w:rPr>
        <w:t> </w:t>
      </w:r>
      <w:r>
        <w:rPr>
          <w:w w:val="110"/>
        </w:rPr>
        <w:t>influencia</w:t>
      </w:r>
      <w:r>
        <w:rPr>
          <w:spacing w:val="-6"/>
          <w:w w:val="110"/>
        </w:rPr>
        <w:t> </w:t>
      </w:r>
      <w:r>
        <w:rPr>
          <w:w w:val="110"/>
        </w:rPr>
        <w:t>en</w:t>
      </w:r>
      <w:r>
        <w:rPr>
          <w:spacing w:val="-6"/>
          <w:w w:val="110"/>
        </w:rPr>
        <w:t> </w:t>
      </w:r>
      <w:r>
        <w:rPr>
          <w:w w:val="110"/>
        </w:rPr>
        <w:t>la</w:t>
      </w:r>
      <w:r>
        <w:rPr>
          <w:spacing w:val="-6"/>
          <w:w w:val="110"/>
        </w:rPr>
        <w:t> </w:t>
      </w:r>
      <w:r>
        <w:rPr>
          <w:w w:val="110"/>
        </w:rPr>
        <w:t>región</w:t>
      </w:r>
      <w:r>
        <w:rPr>
          <w:spacing w:val="-6"/>
          <w:w w:val="110"/>
        </w:rPr>
        <w:t> </w:t>
      </w:r>
      <w:r>
        <w:rPr>
          <w:w w:val="110"/>
        </w:rPr>
        <w:t>desplegan- do</w:t>
      </w:r>
      <w:r>
        <w:rPr>
          <w:spacing w:val="28"/>
          <w:w w:val="110"/>
        </w:rPr>
        <w:t> </w:t>
      </w:r>
      <w:r>
        <w:rPr>
          <w:w w:val="110"/>
        </w:rPr>
        <w:t>fuerzas</w:t>
      </w:r>
      <w:r>
        <w:rPr>
          <w:spacing w:val="28"/>
          <w:w w:val="110"/>
        </w:rPr>
        <w:t> </w:t>
      </w:r>
      <w:r>
        <w:rPr>
          <w:w w:val="110"/>
        </w:rPr>
        <w:t>militares.</w:t>
      </w:r>
      <w:r>
        <w:rPr>
          <w:spacing w:val="28"/>
          <w:w w:val="110"/>
        </w:rPr>
        <w:t> </w:t>
      </w:r>
      <w:r>
        <w:rPr>
          <w:w w:val="110"/>
        </w:rPr>
        <w:t>El</w:t>
      </w:r>
      <w:r>
        <w:rPr>
          <w:spacing w:val="28"/>
          <w:w w:val="110"/>
        </w:rPr>
        <w:t> </w:t>
      </w:r>
      <w:r>
        <w:rPr>
          <w:w w:val="110"/>
        </w:rPr>
        <w:t>Comando</w:t>
      </w:r>
      <w:r>
        <w:rPr>
          <w:spacing w:val="28"/>
          <w:w w:val="110"/>
        </w:rPr>
        <w:t> </w:t>
      </w:r>
      <w:r>
        <w:rPr>
          <w:w w:val="110"/>
        </w:rPr>
        <w:t>sur</w:t>
      </w:r>
      <w:r>
        <w:rPr>
          <w:spacing w:val="28"/>
          <w:w w:val="110"/>
        </w:rPr>
        <w:t> </w:t>
      </w:r>
      <w:r>
        <w:rPr>
          <w:w w:val="110"/>
        </w:rPr>
        <w:t>de</w:t>
      </w:r>
      <w:r>
        <w:rPr>
          <w:spacing w:val="28"/>
          <w:w w:val="110"/>
        </w:rPr>
        <w:t> </w:t>
      </w:r>
      <w:r>
        <w:rPr>
          <w:w w:val="110"/>
        </w:rPr>
        <w:t>Miami</w:t>
      </w:r>
      <w:r>
        <w:rPr>
          <w:spacing w:val="28"/>
          <w:w w:val="110"/>
        </w:rPr>
        <w:t> </w:t>
      </w:r>
      <w:r>
        <w:rPr>
          <w:w w:val="110"/>
        </w:rPr>
        <w:t>–que</w:t>
      </w:r>
      <w:r>
        <w:rPr>
          <w:spacing w:val="28"/>
          <w:w w:val="110"/>
        </w:rPr>
        <w:t> </w:t>
      </w:r>
      <w:r>
        <w:rPr>
          <w:w w:val="110"/>
        </w:rPr>
        <w:t>supervisa</w:t>
      </w:r>
      <w:r>
        <w:rPr>
          <w:spacing w:val="28"/>
          <w:w w:val="110"/>
        </w:rPr>
        <w:t> </w:t>
      </w:r>
      <w:r>
        <w:rPr>
          <w:w w:val="110"/>
        </w:rPr>
        <w:t>este</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2"/>
      </w:pPr>
      <w:r>
        <w:rPr>
          <w:spacing w:val="-2"/>
          <w:w w:val="109"/>
        </w:rPr>
        <w:t>control</w:t>
      </w:r>
      <w:r>
        <w:rPr>
          <w:w w:val="109"/>
        </w:rPr>
        <w:t>–</w:t>
      </w:r>
      <w:r>
        <w:rPr/>
        <w:t> </w:t>
      </w:r>
      <w:r>
        <w:rPr>
          <w:spacing w:val="-20"/>
        </w:rPr>
        <w:t> </w:t>
      </w:r>
      <w:r>
        <w:rPr>
          <w:spacing w:val="-2"/>
          <w:w w:val="110"/>
        </w:rPr>
        <w:t>cuent</w:t>
      </w:r>
      <w:r>
        <w:rPr>
          <w:w w:val="110"/>
        </w:rPr>
        <w:t>a</w:t>
      </w:r>
      <w:r>
        <w:rPr/>
        <w:t> </w:t>
      </w:r>
      <w:r>
        <w:rPr>
          <w:spacing w:val="-20"/>
        </w:rPr>
        <w:t> </w:t>
      </w:r>
      <w:r>
        <w:rPr>
          <w:spacing w:val="-2"/>
          <w:w w:val="112"/>
        </w:rPr>
        <w:t>co</w:t>
      </w:r>
      <w:r>
        <w:rPr>
          <w:w w:val="112"/>
        </w:rPr>
        <w:t>n</w:t>
      </w:r>
      <w:r>
        <w:rPr/>
        <w:t> </w:t>
      </w:r>
      <w:r>
        <w:rPr>
          <w:spacing w:val="-20"/>
        </w:rPr>
        <w:t> </w:t>
      </w:r>
      <w:r>
        <w:rPr>
          <w:spacing w:val="-2"/>
          <w:w w:val="111"/>
        </w:rPr>
        <w:t>má</w:t>
      </w:r>
      <w:r>
        <w:rPr>
          <w:w w:val="111"/>
        </w:rPr>
        <w:t>s</w:t>
      </w:r>
      <w:r>
        <w:rPr/>
        <w:t> </w:t>
      </w:r>
      <w:r>
        <w:rPr>
          <w:spacing w:val="-20"/>
        </w:rPr>
        <w:t> </w:t>
      </w:r>
      <w:r>
        <w:rPr>
          <w:spacing w:val="-2"/>
          <w:w w:val="108"/>
        </w:rPr>
        <w:t>persona</w:t>
      </w:r>
      <w:r>
        <w:rPr>
          <w:w w:val="108"/>
        </w:rPr>
        <w:t>l</w:t>
      </w:r>
      <w:r>
        <w:rPr/>
        <w:t> </w:t>
      </w:r>
      <w:r>
        <w:rPr>
          <w:spacing w:val="-20"/>
        </w:rPr>
        <w:t> </w:t>
      </w:r>
      <w:r>
        <w:rPr>
          <w:spacing w:val="-2"/>
          <w:w w:val="110"/>
        </w:rPr>
        <w:t>civi</w:t>
      </w:r>
      <w:r>
        <w:rPr>
          <w:w w:val="110"/>
        </w:rPr>
        <w:t>l</w:t>
      </w:r>
      <w:r>
        <w:rPr/>
        <w:t> </w:t>
      </w:r>
      <w:r>
        <w:rPr>
          <w:spacing w:val="-20"/>
        </w:rPr>
        <w:t> </w:t>
      </w:r>
      <w:r>
        <w:rPr>
          <w:spacing w:val="-2"/>
          <w:w w:val="110"/>
        </w:rPr>
        <w:t>dedicad</w:t>
      </w:r>
      <w:r>
        <w:rPr>
          <w:w w:val="110"/>
        </w:rPr>
        <w:t>o</w:t>
      </w:r>
      <w:r>
        <w:rPr/>
        <w:t> </w:t>
      </w:r>
      <w:r>
        <w:rPr>
          <w:spacing w:val="-20"/>
        </w:rPr>
        <w:t> </w:t>
      </w:r>
      <w:r>
        <w:rPr>
          <w:w w:val="112"/>
        </w:rPr>
        <w:t>a</w:t>
      </w:r>
      <w:r>
        <w:rPr/>
        <w:t> </w:t>
      </w:r>
      <w:r>
        <w:rPr>
          <w:spacing w:val="-20"/>
        </w:rPr>
        <w:t> </w:t>
      </w:r>
      <w:r>
        <w:rPr>
          <w:spacing w:val="-2"/>
          <w:w w:val="243"/>
        </w:rPr>
        <w:t>l</w:t>
      </w:r>
      <w:r>
        <w:rPr>
          <w:spacing w:val="-2"/>
          <w:w w:val="111"/>
        </w:rPr>
        <w:t>atinoaméric</w:t>
      </w:r>
      <w:r>
        <w:rPr>
          <w:w w:val="111"/>
        </w:rPr>
        <w:t>a</w:t>
      </w:r>
      <w:r>
        <w:rPr/>
        <w:t> </w:t>
      </w:r>
      <w:r>
        <w:rPr>
          <w:spacing w:val="-20"/>
        </w:rPr>
        <w:t> </w:t>
      </w:r>
      <w:r>
        <w:rPr>
          <w:spacing w:val="-2"/>
          <w:w w:val="108"/>
        </w:rPr>
        <w:t>que </w:t>
      </w:r>
      <w:r>
        <w:rPr>
          <w:w w:val="110"/>
        </w:rPr>
        <w:t>todos los departamentos asignados a la misma zona en</w:t>
      </w:r>
      <w:r>
        <w:rPr>
          <w:spacing w:val="-13"/>
          <w:w w:val="110"/>
        </w:rPr>
        <w:t> </w:t>
      </w:r>
      <w:r>
        <w:rPr>
          <w:spacing w:val="-3"/>
          <w:w w:val="110"/>
        </w:rPr>
        <w:t>Washington.</w:t>
      </w:r>
    </w:p>
    <w:p>
      <w:pPr>
        <w:pStyle w:val="BodyText"/>
        <w:spacing w:line="252" w:lineRule="auto"/>
        <w:ind w:left="100" w:right="328" w:firstLine="396"/>
        <w:jc w:val="both"/>
      </w:pPr>
      <w:r>
        <w:rPr>
          <w:w w:val="110"/>
        </w:rPr>
        <w:t>Esta preeminencia del Pentágono se acentuó con la instalación   de siete bases de gran alcance en Colombia. En ese país impera desde hace décadas el terrorismo de Estado, el asesinato de sindicalistas y el desplazamiento forzoso de</w:t>
      </w:r>
      <w:r>
        <w:rPr>
          <w:spacing w:val="34"/>
          <w:w w:val="110"/>
        </w:rPr>
        <w:t> </w:t>
      </w:r>
      <w:r>
        <w:rPr>
          <w:w w:val="110"/>
        </w:rPr>
        <w:t>campesinos.</w:t>
      </w:r>
    </w:p>
    <w:p>
      <w:pPr>
        <w:pStyle w:val="BodyText"/>
        <w:spacing w:line="252" w:lineRule="auto"/>
        <w:ind w:left="100" w:right="328" w:firstLine="396"/>
        <w:jc w:val="both"/>
      </w:pPr>
      <w:r>
        <w:rPr>
          <w:w w:val="243"/>
        </w:rPr>
        <w:t>l</w:t>
      </w:r>
      <w:r>
        <w:rPr>
          <w:w w:val="112"/>
        </w:rPr>
        <w:t>a</w:t>
      </w:r>
      <w:r>
        <w:rPr/>
        <w:t> </w:t>
      </w:r>
      <w:r>
        <w:rPr>
          <w:spacing w:val="-13"/>
        </w:rPr>
        <w:t> </w:t>
      </w:r>
      <w:r>
        <w:rPr>
          <w:w w:val="124"/>
        </w:rPr>
        <w:t>C</w:t>
      </w:r>
      <w:r>
        <w:rPr>
          <w:w w:val="140"/>
        </w:rPr>
        <w:t>ia</w:t>
      </w:r>
      <w:r>
        <w:rPr>
          <w:w w:val="138"/>
        </w:rPr>
        <w:t>,</w:t>
      </w:r>
      <w:r>
        <w:rPr/>
        <w:t> </w:t>
      </w:r>
      <w:r>
        <w:rPr>
          <w:spacing w:val="-13"/>
        </w:rPr>
        <w:t> </w:t>
      </w:r>
      <w:r>
        <w:rPr>
          <w:w w:val="111"/>
        </w:rPr>
        <w:t>la</w:t>
      </w:r>
      <w:r>
        <w:rPr/>
        <w:t> </w:t>
      </w:r>
      <w:r>
        <w:rPr>
          <w:spacing w:val="-13"/>
        </w:rPr>
        <w:t> </w:t>
      </w:r>
      <w:r>
        <w:rPr>
          <w:w w:val="139"/>
        </w:rPr>
        <w:t>d</w:t>
      </w:r>
      <w:r>
        <w:rPr>
          <w:w w:val="128"/>
        </w:rPr>
        <w:t>E</w:t>
      </w:r>
      <w:r>
        <w:rPr>
          <w:w w:val="139"/>
        </w:rPr>
        <w:t>a</w:t>
      </w:r>
      <w:r>
        <w:rPr/>
        <w:t> </w:t>
      </w:r>
      <w:r>
        <w:rPr>
          <w:spacing w:val="-13"/>
        </w:rPr>
        <w:t> </w:t>
      </w:r>
      <w:r>
        <w:rPr>
          <w:w w:val="105"/>
        </w:rPr>
        <w:t>y</w:t>
      </w:r>
      <w:r>
        <w:rPr/>
        <w:t> </w:t>
      </w:r>
      <w:r>
        <w:rPr>
          <w:spacing w:val="-13"/>
        </w:rPr>
        <w:t> </w:t>
      </w:r>
      <w:r>
        <w:rPr>
          <w:w w:val="108"/>
        </w:rPr>
        <w:t>otras</w:t>
      </w:r>
      <w:r>
        <w:rPr/>
        <w:t> </w:t>
      </w:r>
      <w:r>
        <w:rPr>
          <w:spacing w:val="-13"/>
        </w:rPr>
        <w:t> </w:t>
      </w:r>
      <w:r>
        <w:rPr>
          <w:w w:val="110"/>
        </w:rPr>
        <w:t>agencias</w:t>
      </w:r>
      <w:r>
        <w:rPr/>
        <w:t> </w:t>
      </w:r>
      <w:r>
        <w:rPr>
          <w:spacing w:val="-13"/>
        </w:rPr>
        <w:t> </w:t>
      </w:r>
      <w:r>
        <w:rPr>
          <w:w w:val="107"/>
        </w:rPr>
        <w:t>secretas</w:t>
      </w:r>
      <w:r>
        <w:rPr/>
        <w:t> </w:t>
      </w:r>
      <w:r>
        <w:rPr>
          <w:spacing w:val="-13"/>
        </w:rPr>
        <w:t> </w:t>
      </w:r>
      <w:r>
        <w:rPr>
          <w:w w:val="111"/>
        </w:rPr>
        <w:t>participan</w:t>
      </w:r>
      <w:r>
        <w:rPr/>
        <w:t> </w:t>
      </w:r>
      <w:r>
        <w:rPr>
          <w:spacing w:val="-13"/>
        </w:rPr>
        <w:t> </w:t>
      </w:r>
      <w:r>
        <w:rPr>
          <w:w w:val="110"/>
        </w:rPr>
        <w:t>también</w:t>
      </w:r>
      <w:r>
        <w:rPr/>
        <w:t> </w:t>
      </w:r>
      <w:r>
        <w:rPr>
          <w:spacing w:val="-13"/>
        </w:rPr>
        <w:t> </w:t>
      </w:r>
      <w:r>
        <w:rPr>
          <w:w w:val="108"/>
        </w:rPr>
        <w:t>en </w:t>
      </w:r>
      <w:r>
        <w:rPr>
          <w:w w:val="115"/>
        </w:rPr>
        <w:t>forma</w:t>
      </w:r>
      <w:r>
        <w:rPr>
          <w:spacing w:val="-23"/>
          <w:w w:val="115"/>
        </w:rPr>
        <w:t> </w:t>
      </w:r>
      <w:r>
        <w:rPr>
          <w:w w:val="115"/>
        </w:rPr>
        <w:t>activa</w:t>
      </w:r>
      <w:r>
        <w:rPr>
          <w:spacing w:val="-23"/>
          <w:w w:val="115"/>
        </w:rPr>
        <w:t> </w:t>
      </w:r>
      <w:r>
        <w:rPr>
          <w:w w:val="115"/>
        </w:rPr>
        <w:t>en</w:t>
      </w:r>
      <w:r>
        <w:rPr>
          <w:spacing w:val="-23"/>
          <w:w w:val="115"/>
        </w:rPr>
        <w:t> </w:t>
      </w:r>
      <w:r>
        <w:rPr>
          <w:w w:val="115"/>
        </w:rPr>
        <w:t>la</w:t>
      </w:r>
      <w:r>
        <w:rPr>
          <w:spacing w:val="-23"/>
          <w:w w:val="115"/>
        </w:rPr>
        <w:t> </w:t>
      </w:r>
      <w:r>
        <w:rPr>
          <w:w w:val="115"/>
        </w:rPr>
        <w:t>guerra</w:t>
      </w:r>
      <w:r>
        <w:rPr>
          <w:spacing w:val="-23"/>
          <w:w w:val="115"/>
        </w:rPr>
        <w:t> </w:t>
      </w:r>
      <w:r>
        <w:rPr>
          <w:w w:val="115"/>
        </w:rPr>
        <w:t>social</w:t>
      </w:r>
      <w:r>
        <w:rPr>
          <w:spacing w:val="-23"/>
          <w:w w:val="115"/>
        </w:rPr>
        <w:t> </w:t>
      </w:r>
      <w:r>
        <w:rPr>
          <w:w w:val="115"/>
        </w:rPr>
        <w:t>que</w:t>
      </w:r>
      <w:r>
        <w:rPr>
          <w:spacing w:val="-23"/>
          <w:w w:val="115"/>
        </w:rPr>
        <w:t> </w:t>
      </w:r>
      <w:r>
        <w:rPr>
          <w:w w:val="115"/>
        </w:rPr>
        <w:t>ya</w:t>
      </w:r>
      <w:r>
        <w:rPr>
          <w:spacing w:val="-23"/>
          <w:w w:val="115"/>
        </w:rPr>
        <w:t> </w:t>
      </w:r>
      <w:r>
        <w:rPr>
          <w:w w:val="115"/>
        </w:rPr>
        <w:t>dejó</w:t>
      </w:r>
      <w:r>
        <w:rPr>
          <w:spacing w:val="-23"/>
          <w:w w:val="115"/>
        </w:rPr>
        <w:t> </w:t>
      </w:r>
      <w:r>
        <w:rPr>
          <w:w w:val="115"/>
        </w:rPr>
        <w:t>más</w:t>
      </w:r>
      <w:r>
        <w:rPr>
          <w:spacing w:val="-23"/>
          <w:w w:val="115"/>
        </w:rPr>
        <w:t> </w:t>
      </w:r>
      <w:r>
        <w:rPr>
          <w:w w:val="115"/>
        </w:rPr>
        <w:t>de</w:t>
      </w:r>
      <w:r>
        <w:rPr>
          <w:spacing w:val="-23"/>
          <w:w w:val="115"/>
        </w:rPr>
        <w:t> </w:t>
      </w:r>
      <w:r>
        <w:rPr>
          <w:w w:val="115"/>
        </w:rPr>
        <w:t>60.000</w:t>
      </w:r>
      <w:r>
        <w:rPr>
          <w:spacing w:val="-23"/>
          <w:w w:val="115"/>
        </w:rPr>
        <w:t> </w:t>
      </w:r>
      <w:r>
        <w:rPr>
          <w:w w:val="115"/>
        </w:rPr>
        <w:t>muertos</w:t>
      </w:r>
      <w:r>
        <w:rPr>
          <w:spacing w:val="-23"/>
          <w:w w:val="115"/>
        </w:rPr>
        <w:t> </w:t>
      </w:r>
      <w:r>
        <w:rPr>
          <w:w w:val="115"/>
        </w:rPr>
        <w:t>en México.</w:t>
      </w:r>
      <w:r>
        <w:rPr>
          <w:spacing w:val="-29"/>
          <w:w w:val="115"/>
        </w:rPr>
        <w:t> </w:t>
      </w:r>
      <w:r>
        <w:rPr>
          <w:w w:val="115"/>
        </w:rPr>
        <w:t>Han</w:t>
      </w:r>
      <w:r>
        <w:rPr>
          <w:spacing w:val="-29"/>
          <w:w w:val="115"/>
        </w:rPr>
        <w:t> </w:t>
      </w:r>
      <w:r>
        <w:rPr>
          <w:w w:val="115"/>
        </w:rPr>
        <w:t>aprovechado</w:t>
      </w:r>
      <w:r>
        <w:rPr>
          <w:spacing w:val="-29"/>
          <w:w w:val="115"/>
        </w:rPr>
        <w:t> </w:t>
      </w:r>
      <w:r>
        <w:rPr>
          <w:w w:val="115"/>
        </w:rPr>
        <w:t>este</w:t>
      </w:r>
      <w:r>
        <w:rPr>
          <w:spacing w:val="-29"/>
          <w:w w:val="115"/>
        </w:rPr>
        <w:t> </w:t>
      </w:r>
      <w:r>
        <w:rPr>
          <w:w w:val="115"/>
        </w:rPr>
        <w:t>conflicto</w:t>
      </w:r>
      <w:r>
        <w:rPr>
          <w:spacing w:val="-29"/>
          <w:w w:val="115"/>
        </w:rPr>
        <w:t> </w:t>
      </w:r>
      <w:r>
        <w:rPr>
          <w:w w:val="115"/>
        </w:rPr>
        <w:t>para</w:t>
      </w:r>
      <w:r>
        <w:rPr>
          <w:spacing w:val="-29"/>
          <w:w w:val="115"/>
        </w:rPr>
        <w:t> </w:t>
      </w:r>
      <w:r>
        <w:rPr>
          <w:w w:val="115"/>
        </w:rPr>
        <w:t>diseñar</w:t>
      </w:r>
      <w:r>
        <w:rPr>
          <w:spacing w:val="-29"/>
          <w:w w:val="115"/>
        </w:rPr>
        <w:t> </w:t>
      </w:r>
      <w:r>
        <w:rPr>
          <w:w w:val="115"/>
        </w:rPr>
        <w:t>planes</w:t>
      </w:r>
      <w:r>
        <w:rPr>
          <w:spacing w:val="-29"/>
          <w:w w:val="115"/>
        </w:rPr>
        <w:t> </w:t>
      </w:r>
      <w:r>
        <w:rPr>
          <w:w w:val="115"/>
        </w:rPr>
        <w:t>de</w:t>
      </w:r>
      <w:r>
        <w:rPr>
          <w:spacing w:val="-29"/>
          <w:w w:val="115"/>
        </w:rPr>
        <w:t> </w:t>
      </w:r>
      <w:r>
        <w:rPr>
          <w:w w:val="115"/>
        </w:rPr>
        <w:t>milita- rización</w:t>
      </w:r>
      <w:r>
        <w:rPr>
          <w:spacing w:val="-23"/>
          <w:w w:val="115"/>
        </w:rPr>
        <w:t> </w:t>
      </w:r>
      <w:r>
        <w:rPr>
          <w:w w:val="115"/>
        </w:rPr>
        <w:t>(aspan,</w:t>
      </w:r>
      <w:r>
        <w:rPr>
          <w:spacing w:val="-23"/>
          <w:w w:val="115"/>
        </w:rPr>
        <w:t> </w:t>
      </w:r>
      <w:r>
        <w:rPr>
          <w:w w:val="115"/>
        </w:rPr>
        <w:t>2005;</w:t>
      </w:r>
      <w:r>
        <w:rPr>
          <w:spacing w:val="-23"/>
          <w:w w:val="115"/>
        </w:rPr>
        <w:t> </w:t>
      </w:r>
      <w:r>
        <w:rPr>
          <w:w w:val="115"/>
        </w:rPr>
        <w:t>Mérida,</w:t>
      </w:r>
      <w:r>
        <w:rPr>
          <w:spacing w:val="-23"/>
          <w:w w:val="115"/>
        </w:rPr>
        <w:t> </w:t>
      </w:r>
      <w:r>
        <w:rPr>
          <w:w w:val="115"/>
        </w:rPr>
        <w:t>2007),</w:t>
      </w:r>
      <w:r>
        <w:rPr>
          <w:spacing w:val="-23"/>
          <w:w w:val="115"/>
        </w:rPr>
        <w:t> </w:t>
      </w:r>
      <w:r>
        <w:rPr>
          <w:w w:val="115"/>
        </w:rPr>
        <w:t>intervenir</w:t>
      </w:r>
      <w:r>
        <w:rPr>
          <w:spacing w:val="-23"/>
          <w:w w:val="115"/>
        </w:rPr>
        <w:t> </w:t>
      </w:r>
      <w:r>
        <w:rPr>
          <w:w w:val="115"/>
        </w:rPr>
        <w:t>en</w:t>
      </w:r>
      <w:r>
        <w:rPr>
          <w:spacing w:val="-23"/>
          <w:w w:val="115"/>
        </w:rPr>
        <w:t> </w:t>
      </w:r>
      <w:r>
        <w:rPr>
          <w:w w:val="115"/>
        </w:rPr>
        <w:t>la</w:t>
      </w:r>
      <w:r>
        <w:rPr>
          <w:spacing w:val="-23"/>
          <w:w w:val="115"/>
        </w:rPr>
        <w:t> </w:t>
      </w:r>
      <w:r>
        <w:rPr>
          <w:w w:val="115"/>
        </w:rPr>
        <w:t>modernización del</w:t>
      </w:r>
      <w:r>
        <w:rPr>
          <w:spacing w:val="-17"/>
          <w:w w:val="115"/>
        </w:rPr>
        <w:t> </w:t>
      </w:r>
      <w:r>
        <w:rPr>
          <w:w w:val="115"/>
        </w:rPr>
        <w:t>Ejército</w:t>
      </w:r>
      <w:r>
        <w:rPr>
          <w:spacing w:val="-17"/>
          <w:w w:val="115"/>
        </w:rPr>
        <w:t> </w:t>
      </w:r>
      <w:r>
        <w:rPr>
          <w:w w:val="115"/>
        </w:rPr>
        <w:t>e</w:t>
      </w:r>
      <w:r>
        <w:rPr>
          <w:spacing w:val="-17"/>
          <w:w w:val="115"/>
        </w:rPr>
        <w:t> </w:t>
      </w:r>
      <w:r>
        <w:rPr>
          <w:w w:val="115"/>
        </w:rPr>
        <w:t>influir</w:t>
      </w:r>
      <w:r>
        <w:rPr>
          <w:spacing w:val="-17"/>
          <w:w w:val="115"/>
        </w:rPr>
        <w:t> </w:t>
      </w:r>
      <w:r>
        <w:rPr>
          <w:w w:val="115"/>
        </w:rPr>
        <w:t>en</w:t>
      </w:r>
      <w:r>
        <w:rPr>
          <w:spacing w:val="-17"/>
          <w:w w:val="115"/>
        </w:rPr>
        <w:t> </w:t>
      </w:r>
      <w:r>
        <w:rPr>
          <w:w w:val="115"/>
        </w:rPr>
        <w:t>el</w:t>
      </w:r>
      <w:r>
        <w:rPr>
          <w:spacing w:val="-17"/>
          <w:w w:val="115"/>
        </w:rPr>
        <w:t> </w:t>
      </w:r>
      <w:r>
        <w:rPr>
          <w:w w:val="115"/>
        </w:rPr>
        <w:t>dictado</w:t>
      </w:r>
      <w:r>
        <w:rPr>
          <w:spacing w:val="-17"/>
          <w:w w:val="115"/>
        </w:rPr>
        <w:t> </w:t>
      </w:r>
      <w:r>
        <w:rPr>
          <w:w w:val="115"/>
        </w:rPr>
        <w:t>de</w:t>
      </w:r>
      <w:r>
        <w:rPr>
          <w:spacing w:val="-17"/>
          <w:w w:val="115"/>
        </w:rPr>
        <w:t> </w:t>
      </w:r>
      <w:r>
        <w:rPr>
          <w:w w:val="115"/>
        </w:rPr>
        <w:t>leyes</w:t>
      </w:r>
      <w:r>
        <w:rPr>
          <w:spacing w:val="-17"/>
          <w:w w:val="115"/>
        </w:rPr>
        <w:t> </w:t>
      </w:r>
      <w:r>
        <w:rPr>
          <w:w w:val="115"/>
        </w:rPr>
        <w:t>contrainsurgentes.</w:t>
      </w:r>
      <w:r>
        <w:rPr>
          <w:spacing w:val="-17"/>
          <w:w w:val="115"/>
        </w:rPr>
        <w:t> </w:t>
      </w:r>
      <w:r>
        <w:rPr>
          <w:w w:val="115"/>
        </w:rPr>
        <w:t>incluso han</w:t>
      </w:r>
      <w:r>
        <w:rPr>
          <w:spacing w:val="-12"/>
          <w:w w:val="115"/>
        </w:rPr>
        <w:t> </w:t>
      </w:r>
      <w:r>
        <w:rPr>
          <w:w w:val="115"/>
        </w:rPr>
        <w:t>negociado</w:t>
      </w:r>
      <w:r>
        <w:rPr>
          <w:spacing w:val="-12"/>
          <w:w w:val="115"/>
        </w:rPr>
        <w:t> </w:t>
      </w:r>
      <w:r>
        <w:rPr>
          <w:w w:val="115"/>
        </w:rPr>
        <w:t>con</w:t>
      </w:r>
      <w:r>
        <w:rPr>
          <w:spacing w:val="-12"/>
          <w:w w:val="115"/>
        </w:rPr>
        <w:t> </w:t>
      </w:r>
      <w:r>
        <w:rPr>
          <w:w w:val="115"/>
        </w:rPr>
        <w:t>los</w:t>
      </w:r>
      <w:r>
        <w:rPr>
          <w:spacing w:val="-12"/>
          <w:w w:val="115"/>
        </w:rPr>
        <w:t> </w:t>
      </w:r>
      <w:r>
        <w:rPr>
          <w:w w:val="115"/>
        </w:rPr>
        <w:t>Carteles</w:t>
      </w:r>
      <w:r>
        <w:rPr>
          <w:spacing w:val="-12"/>
          <w:w w:val="115"/>
        </w:rPr>
        <w:t> </w:t>
      </w:r>
      <w:r>
        <w:rPr>
          <w:w w:val="115"/>
        </w:rPr>
        <w:t>a</w:t>
      </w:r>
      <w:r>
        <w:rPr>
          <w:spacing w:val="-12"/>
          <w:w w:val="115"/>
        </w:rPr>
        <w:t> </w:t>
      </w:r>
      <w:r>
        <w:rPr>
          <w:w w:val="115"/>
        </w:rPr>
        <w:t>espaldas</w:t>
      </w:r>
      <w:r>
        <w:rPr>
          <w:spacing w:val="-12"/>
          <w:w w:val="115"/>
        </w:rPr>
        <w:t> </w:t>
      </w:r>
      <w:r>
        <w:rPr>
          <w:w w:val="115"/>
        </w:rPr>
        <w:t>de</w:t>
      </w:r>
      <w:r>
        <w:rPr>
          <w:spacing w:val="-12"/>
          <w:w w:val="115"/>
        </w:rPr>
        <w:t> </w:t>
      </w:r>
      <w:r>
        <w:rPr>
          <w:w w:val="115"/>
        </w:rPr>
        <w:t>las</w:t>
      </w:r>
      <w:r>
        <w:rPr>
          <w:spacing w:val="-12"/>
          <w:w w:val="115"/>
        </w:rPr>
        <w:t> </w:t>
      </w:r>
      <w:r>
        <w:rPr>
          <w:w w:val="115"/>
        </w:rPr>
        <w:t>autoridades</w:t>
      </w:r>
      <w:r>
        <w:rPr>
          <w:spacing w:val="-12"/>
          <w:w w:val="115"/>
        </w:rPr>
        <w:t> </w:t>
      </w:r>
      <w:r>
        <w:rPr>
          <w:w w:val="115"/>
        </w:rPr>
        <w:t>locales. inspiraron,</w:t>
      </w:r>
      <w:r>
        <w:rPr>
          <w:spacing w:val="-10"/>
          <w:w w:val="115"/>
        </w:rPr>
        <w:t> </w:t>
      </w:r>
      <w:r>
        <w:rPr>
          <w:w w:val="115"/>
        </w:rPr>
        <w:t>además,</w:t>
      </w:r>
      <w:r>
        <w:rPr>
          <w:spacing w:val="-10"/>
          <w:w w:val="115"/>
        </w:rPr>
        <w:t> </w:t>
      </w:r>
      <w:r>
        <w:rPr>
          <w:w w:val="115"/>
        </w:rPr>
        <w:t>la</w:t>
      </w:r>
      <w:r>
        <w:rPr>
          <w:spacing w:val="-10"/>
          <w:w w:val="115"/>
        </w:rPr>
        <w:t> </w:t>
      </w:r>
      <w:r>
        <w:rPr>
          <w:w w:val="115"/>
        </w:rPr>
        <w:t>ideología</w:t>
      </w:r>
      <w:r>
        <w:rPr>
          <w:spacing w:val="-10"/>
          <w:w w:val="115"/>
        </w:rPr>
        <w:t> </w:t>
      </w:r>
      <w:r>
        <w:rPr>
          <w:w w:val="115"/>
        </w:rPr>
        <w:t>del</w:t>
      </w:r>
      <w:r>
        <w:rPr>
          <w:spacing w:val="-10"/>
          <w:w w:val="115"/>
        </w:rPr>
        <w:t> </w:t>
      </w:r>
      <w:r>
        <w:rPr>
          <w:w w:val="115"/>
        </w:rPr>
        <w:t>miedo</w:t>
      </w:r>
      <w:r>
        <w:rPr>
          <w:spacing w:val="-10"/>
          <w:w w:val="115"/>
        </w:rPr>
        <w:t> </w:t>
      </w:r>
      <w:r>
        <w:rPr>
          <w:w w:val="115"/>
        </w:rPr>
        <w:t>que</w:t>
      </w:r>
      <w:r>
        <w:rPr>
          <w:spacing w:val="-10"/>
          <w:w w:val="115"/>
        </w:rPr>
        <w:t> </w:t>
      </w:r>
      <w:r>
        <w:rPr>
          <w:w w:val="115"/>
        </w:rPr>
        <w:t>se</w:t>
      </w:r>
      <w:r>
        <w:rPr>
          <w:spacing w:val="-10"/>
          <w:w w:val="115"/>
        </w:rPr>
        <w:t> </w:t>
      </w:r>
      <w:r>
        <w:rPr>
          <w:w w:val="115"/>
        </w:rPr>
        <w:t>utiliza</w:t>
      </w:r>
      <w:r>
        <w:rPr>
          <w:spacing w:val="-10"/>
          <w:w w:val="115"/>
        </w:rPr>
        <w:t> </w:t>
      </w:r>
      <w:r>
        <w:rPr>
          <w:w w:val="115"/>
        </w:rPr>
        <w:t>para</w:t>
      </w:r>
      <w:r>
        <w:rPr>
          <w:spacing w:val="-10"/>
          <w:w w:val="115"/>
        </w:rPr>
        <w:t> </w:t>
      </w:r>
      <w:r>
        <w:rPr>
          <w:w w:val="115"/>
        </w:rPr>
        <w:t>justifi- car</w:t>
      </w:r>
      <w:r>
        <w:rPr>
          <w:spacing w:val="-15"/>
          <w:w w:val="115"/>
        </w:rPr>
        <w:t> </w:t>
      </w:r>
      <w:r>
        <w:rPr>
          <w:w w:val="115"/>
        </w:rPr>
        <w:t>la</w:t>
      </w:r>
      <w:r>
        <w:rPr>
          <w:spacing w:val="-15"/>
          <w:w w:val="115"/>
        </w:rPr>
        <w:t> </w:t>
      </w:r>
      <w:r>
        <w:rPr>
          <w:w w:val="115"/>
        </w:rPr>
        <w:t>acción</w:t>
      </w:r>
      <w:r>
        <w:rPr>
          <w:spacing w:val="-15"/>
          <w:w w:val="115"/>
        </w:rPr>
        <w:t> </w:t>
      </w:r>
      <w:r>
        <w:rPr>
          <w:w w:val="115"/>
        </w:rPr>
        <w:t>cotidiana</w:t>
      </w:r>
      <w:r>
        <w:rPr>
          <w:spacing w:val="-15"/>
          <w:w w:val="115"/>
        </w:rPr>
        <w:t> </w:t>
      </w:r>
      <w:r>
        <w:rPr>
          <w:w w:val="115"/>
        </w:rPr>
        <w:t>de</w:t>
      </w:r>
      <w:r>
        <w:rPr>
          <w:spacing w:val="-15"/>
          <w:w w:val="115"/>
        </w:rPr>
        <w:t> </w:t>
      </w:r>
      <w:r>
        <w:rPr>
          <w:w w:val="115"/>
        </w:rPr>
        <w:t>los</w:t>
      </w:r>
      <w:r>
        <w:rPr>
          <w:spacing w:val="-15"/>
          <w:w w:val="115"/>
        </w:rPr>
        <w:t> </w:t>
      </w:r>
      <w:r>
        <w:rPr>
          <w:w w:val="115"/>
        </w:rPr>
        <w:t>gendarmes.</w:t>
      </w:r>
    </w:p>
    <w:p>
      <w:pPr>
        <w:pStyle w:val="BodyText"/>
        <w:spacing w:line="252" w:lineRule="auto"/>
        <w:ind w:left="100" w:right="328" w:firstLine="396"/>
        <w:jc w:val="both"/>
      </w:pPr>
      <w:r>
        <w:rPr>
          <w:w w:val="110"/>
        </w:rPr>
        <w:t>Esta</w:t>
      </w:r>
      <w:r>
        <w:rPr>
          <w:spacing w:val="-4"/>
          <w:w w:val="110"/>
        </w:rPr>
        <w:t> </w:t>
      </w:r>
      <w:r>
        <w:rPr>
          <w:w w:val="110"/>
        </w:rPr>
        <w:t>injerencia</w:t>
      </w:r>
      <w:r>
        <w:rPr>
          <w:spacing w:val="-4"/>
          <w:w w:val="110"/>
        </w:rPr>
        <w:t> </w:t>
      </w:r>
      <w:r>
        <w:rPr>
          <w:w w:val="110"/>
        </w:rPr>
        <w:t>se</w:t>
      </w:r>
      <w:r>
        <w:rPr>
          <w:spacing w:val="-4"/>
          <w:w w:val="110"/>
        </w:rPr>
        <w:t> </w:t>
      </w:r>
      <w:r>
        <w:rPr>
          <w:w w:val="110"/>
        </w:rPr>
        <w:t>desarrolla</w:t>
      </w:r>
      <w:r>
        <w:rPr>
          <w:spacing w:val="-4"/>
          <w:w w:val="110"/>
        </w:rPr>
        <w:t> </w:t>
      </w:r>
      <w:r>
        <w:rPr>
          <w:w w:val="110"/>
        </w:rPr>
        <w:t>bajo</w:t>
      </w:r>
      <w:r>
        <w:rPr>
          <w:spacing w:val="-4"/>
          <w:w w:val="110"/>
        </w:rPr>
        <w:t> </w:t>
      </w:r>
      <w:r>
        <w:rPr>
          <w:w w:val="110"/>
        </w:rPr>
        <w:t>un</w:t>
      </w:r>
      <w:r>
        <w:rPr>
          <w:spacing w:val="-4"/>
          <w:w w:val="110"/>
        </w:rPr>
        <w:t> </w:t>
      </w:r>
      <w:r>
        <w:rPr>
          <w:w w:val="110"/>
        </w:rPr>
        <w:t>estandarte</w:t>
      </w:r>
      <w:r>
        <w:rPr>
          <w:spacing w:val="-4"/>
          <w:w w:val="110"/>
        </w:rPr>
        <w:t> </w:t>
      </w:r>
      <w:r>
        <w:rPr>
          <w:w w:val="110"/>
        </w:rPr>
        <w:t>hipócrita</w:t>
      </w:r>
      <w:r>
        <w:rPr>
          <w:spacing w:val="-4"/>
          <w:w w:val="110"/>
        </w:rPr>
        <w:t> </w:t>
      </w:r>
      <w:r>
        <w:rPr>
          <w:w w:val="110"/>
        </w:rPr>
        <w:t>de</w:t>
      </w:r>
      <w:r>
        <w:rPr>
          <w:spacing w:val="-4"/>
          <w:w w:val="110"/>
        </w:rPr>
        <w:t> </w:t>
      </w:r>
      <w:r>
        <w:rPr>
          <w:w w:val="110"/>
        </w:rPr>
        <w:t>lucha contra las drogas, que encubre el rol protagónico de Estados unidos como mercado y refugio financiero del narcotráfico. En los bancos    de ese país se lava el 70% del dinero generado por ese negocio. bajo vigilancia norteamericana, Colombia persiste como el principal pro- ductor regional y Perú aumentó su plantación en un 55% en la última década (berterretche,</w:t>
      </w:r>
      <w:r>
        <w:rPr>
          <w:spacing w:val="-10"/>
          <w:w w:val="110"/>
        </w:rPr>
        <w:t> </w:t>
      </w:r>
      <w:r>
        <w:rPr>
          <w:w w:val="110"/>
        </w:rPr>
        <w:t>2010).</w:t>
      </w:r>
    </w:p>
    <w:p>
      <w:pPr>
        <w:pStyle w:val="BodyText"/>
        <w:spacing w:line="252" w:lineRule="auto"/>
        <w:ind w:left="87" w:right="328" w:firstLine="396"/>
        <w:jc w:val="right"/>
      </w:pPr>
      <w:r>
        <w:rPr>
          <w:w w:val="243"/>
        </w:rPr>
        <w:t>l</w:t>
      </w:r>
      <w:r>
        <w:rPr>
          <w:w w:val="112"/>
        </w:rPr>
        <w:t>a</w:t>
      </w:r>
      <w:r>
        <w:rPr/>
        <w:t> </w:t>
      </w:r>
      <w:r>
        <w:rPr>
          <w:w w:val="112"/>
        </w:rPr>
        <w:t>misma</w:t>
      </w:r>
      <w:r>
        <w:rPr/>
        <w:t> </w:t>
      </w:r>
      <w:r>
        <w:rPr>
          <w:w w:val="109"/>
        </w:rPr>
        <w:t>presencia</w:t>
      </w:r>
      <w:r>
        <w:rPr/>
        <w:t> </w:t>
      </w:r>
      <w:r>
        <w:rPr>
          <w:w w:val="110"/>
        </w:rPr>
        <w:t>yanqui</w:t>
      </w:r>
      <w:r>
        <w:rPr/>
        <w:t> </w:t>
      </w:r>
      <w:r>
        <w:rPr>
          <w:w w:val="105"/>
        </w:rPr>
        <w:t>se</w:t>
      </w:r>
      <w:r>
        <w:rPr/>
        <w:t> </w:t>
      </w:r>
      <w:r>
        <w:rPr>
          <w:w w:val="107"/>
        </w:rPr>
        <w:t>verifica</w:t>
      </w:r>
      <w:r>
        <w:rPr/>
        <w:t> </w:t>
      </w:r>
      <w:r>
        <w:rPr>
          <w:w w:val="108"/>
        </w:rPr>
        <w:t>en</w:t>
      </w:r>
      <w:r>
        <w:rPr/>
        <w:t> </w:t>
      </w:r>
      <w:r>
        <w:rPr>
          <w:w w:val="111"/>
        </w:rPr>
        <w:t>la</w:t>
      </w:r>
      <w:r>
        <w:rPr/>
        <w:t> </w:t>
      </w:r>
      <w:r>
        <w:rPr>
          <w:w w:val="108"/>
        </w:rPr>
        <w:t>guerra</w:t>
      </w:r>
      <w:r>
        <w:rPr/>
        <w:t> </w:t>
      </w:r>
      <w:r>
        <w:rPr>
          <w:w w:val="110"/>
        </w:rPr>
        <w:t>contra</w:t>
      </w:r>
      <w:r>
        <w:rPr/>
        <w:t> </w:t>
      </w:r>
      <w:r>
        <w:rPr>
          <w:w w:val="109"/>
        </w:rPr>
        <w:t>las</w:t>
      </w:r>
      <w:r>
        <w:rPr/>
        <w:t> </w:t>
      </w:r>
      <w:r>
        <w:rPr>
          <w:w w:val="111"/>
        </w:rPr>
        <w:t>ban</w:t>
      </w:r>
      <w:r>
        <w:rPr>
          <w:w w:val="102"/>
        </w:rPr>
        <w:t>- </w:t>
      </w:r>
      <w:r>
        <w:rPr>
          <w:w w:val="110"/>
        </w:rPr>
        <w:t>das delictivas de Centroamérica (maras). su persecución es esgrimida</w:t>
      </w:r>
      <w:r>
        <w:rPr>
          <w:w w:val="110"/>
        </w:rPr>
        <w:t> </w:t>
      </w:r>
      <w:r>
        <w:rPr>
          <w:w w:val="110"/>
        </w:rPr>
        <w:t>para atropellar a los pobres y apañar ejecuciones en los barrios caren-</w:t>
      </w:r>
      <w:r>
        <w:rPr>
          <w:w w:val="102"/>
        </w:rPr>
        <w:t> </w:t>
      </w:r>
      <w:r>
        <w:rPr>
          <w:w w:val="110"/>
        </w:rPr>
        <w:t>ciados. también en las posesiones coloniales del Caribe el Pentágono</w:t>
      </w:r>
      <w:r>
        <w:rPr>
          <w:w w:val="110"/>
        </w:rPr>
        <w:t> </w:t>
      </w:r>
      <w:r>
        <w:rPr>
          <w:w w:val="110"/>
        </w:rPr>
        <w:t>multiplicó sus instalaciones militares (islas  Vírgenes,  Puerto  rico),</w:t>
      </w:r>
      <w:r>
        <w:rPr>
          <w:w w:val="113"/>
        </w:rPr>
        <w:t> </w:t>
      </w:r>
      <w:r>
        <w:rPr>
          <w:w w:val="110"/>
        </w:rPr>
        <w:t>en estrecha asociación con Holanda (Curazao) y Francia (Martinica).</w:t>
      </w:r>
      <w:r>
        <w:rPr>
          <w:w w:val="112"/>
        </w:rPr>
        <w:t> </w:t>
      </w:r>
      <w:r>
        <w:rPr>
          <w:w w:val="110"/>
        </w:rPr>
        <w:t>Cualquiera de estos hechos desmiente la ingenua creencia en la</w:t>
      </w:r>
      <w:r>
        <w:rPr>
          <w:w w:val="111"/>
        </w:rPr>
        <w:t> </w:t>
      </w:r>
      <w:r>
        <w:rPr>
          <w:w w:val="109"/>
        </w:rPr>
        <w:t>“pérdida</w:t>
      </w:r>
      <w:r>
        <w:rPr/>
        <w:t> </w:t>
      </w:r>
      <w:r>
        <w:rPr>
          <w:w w:val="107"/>
        </w:rPr>
        <w:t>de</w:t>
      </w:r>
      <w:r>
        <w:rPr/>
        <w:t> </w:t>
      </w:r>
      <w:r>
        <w:rPr>
          <w:w w:val="107"/>
        </w:rPr>
        <w:t>interés</w:t>
      </w:r>
      <w:r>
        <w:rPr/>
        <w:t> </w:t>
      </w:r>
      <w:r>
        <w:rPr>
          <w:w w:val="108"/>
        </w:rPr>
        <w:t>estadounidense</w:t>
      </w:r>
      <w:r>
        <w:rPr/>
        <w:t> </w:t>
      </w:r>
      <w:r>
        <w:rPr>
          <w:w w:val="108"/>
        </w:rPr>
        <w:t>por</w:t>
      </w:r>
      <w:r>
        <w:rPr/>
        <w:t> </w:t>
      </w:r>
      <w:r>
        <w:rPr>
          <w:w w:val="139"/>
        </w:rPr>
        <w:t>a</w:t>
      </w:r>
      <w:r>
        <w:rPr>
          <w:w w:val="111"/>
        </w:rPr>
        <w:t>mérica</w:t>
      </w:r>
      <w:r>
        <w:rPr/>
        <w:t> </w:t>
      </w:r>
      <w:r>
        <w:rPr>
          <w:w w:val="243"/>
        </w:rPr>
        <w:t>l</w:t>
      </w:r>
      <w:r>
        <w:rPr>
          <w:w w:val="112"/>
        </w:rPr>
        <w:t>atina”</w:t>
      </w:r>
      <w:r>
        <w:rPr/>
        <w:t> </w:t>
      </w:r>
      <w:r>
        <w:rPr>
          <w:w w:val="110"/>
        </w:rPr>
        <w:t>o</w:t>
      </w:r>
      <w:r>
        <w:rPr/>
        <w:t> </w:t>
      </w:r>
      <w:r>
        <w:rPr>
          <w:w w:val="108"/>
        </w:rPr>
        <w:t>en</w:t>
      </w:r>
      <w:r>
        <w:rPr/>
        <w:t> </w:t>
      </w:r>
      <w:r>
        <w:rPr>
          <w:w w:val="107"/>
        </w:rPr>
        <w:t>el</w:t>
      </w:r>
      <w:r>
        <w:rPr/>
        <w:t> </w:t>
      </w:r>
      <w:r>
        <w:rPr>
          <w:w w:val="113"/>
        </w:rPr>
        <w:t>inmi</w:t>
      </w:r>
      <w:r>
        <w:rPr>
          <w:w w:val="102"/>
        </w:rPr>
        <w:t>- </w:t>
      </w:r>
      <w:r>
        <w:rPr>
          <w:w w:val="110"/>
        </w:rPr>
        <w:t>nente “abandono de la doctrina Monroe”. Existe un llamativo divorcio</w:t>
      </w:r>
      <w:r>
        <w:rPr>
          <w:w w:val="109"/>
        </w:rPr>
        <w:t> </w:t>
      </w:r>
      <w:r>
        <w:rPr>
          <w:w w:val="110"/>
        </w:rPr>
        <w:t>entre esa sensación de repliegue y la creciente presencia imperial   en</w:t>
      </w:r>
    </w:p>
    <w:p>
      <w:pPr>
        <w:pStyle w:val="BodyText"/>
        <w:ind w:left="100"/>
      </w:pPr>
      <w:r>
        <w:rPr>
          <w:w w:val="110"/>
        </w:rPr>
        <w:t>toda la zona.</w:t>
      </w:r>
    </w:p>
    <w:p>
      <w:pPr>
        <w:pStyle w:val="BodyText"/>
        <w:spacing w:line="252" w:lineRule="auto" w:before="11"/>
        <w:ind w:left="100" w:right="328" w:firstLine="396"/>
        <w:jc w:val="both"/>
      </w:pPr>
      <w:r>
        <w:rPr>
          <w:w w:val="110"/>
        </w:rPr>
        <w:t>desde el embarque de la iV Flota (disuelta en 1950 y reinstala-   da en 2008), el total de militares latinoamericanos entrenados por el Pentágono superó el promedio de las décadas precedentes (195.807 </w:t>
      </w:r>
      <w:r>
        <w:rPr>
          <w:w w:val="108"/>
        </w:rPr>
        <w:t>efectivos</w:t>
      </w:r>
      <w:r>
        <w:rPr>
          <w:spacing w:val="14"/>
        </w:rPr>
        <w:t> </w:t>
      </w:r>
      <w:r>
        <w:rPr>
          <w:w w:val="108"/>
        </w:rPr>
        <w:t>en</w:t>
      </w:r>
      <w:r>
        <w:rPr>
          <w:spacing w:val="14"/>
        </w:rPr>
        <w:t> </w:t>
      </w:r>
      <w:r>
        <w:rPr>
          <w:w w:val="103"/>
        </w:rPr>
        <w:t>1999-2011).</w:t>
      </w:r>
      <w:r>
        <w:rPr>
          <w:spacing w:val="14"/>
        </w:rPr>
        <w:t> </w:t>
      </w:r>
      <w:r>
        <w:rPr>
          <w:w w:val="243"/>
        </w:rPr>
        <w:t>l</w:t>
      </w:r>
      <w:r>
        <w:rPr>
          <w:w w:val="112"/>
        </w:rPr>
        <w:t>a</w:t>
      </w:r>
      <w:r>
        <w:rPr>
          <w:spacing w:val="14"/>
        </w:rPr>
        <w:t> </w:t>
      </w:r>
      <w:r>
        <w:rPr>
          <w:w w:val="110"/>
        </w:rPr>
        <w:t>asistencia</w:t>
      </w:r>
      <w:r>
        <w:rPr>
          <w:spacing w:val="14"/>
        </w:rPr>
        <w:t> </w:t>
      </w:r>
      <w:r>
        <w:rPr>
          <w:w w:val="111"/>
        </w:rPr>
        <w:t>milita</w:t>
      </w:r>
      <w:r>
        <w:rPr>
          <w:spacing w:val="-15"/>
          <w:w w:val="111"/>
        </w:rPr>
        <w:t>r</w:t>
      </w:r>
      <w:r>
        <w:rPr>
          <w:w w:val="111"/>
        </w:rPr>
        <w:t>-policial</w:t>
      </w:r>
      <w:r>
        <w:rPr>
          <w:spacing w:val="14"/>
        </w:rPr>
        <w:t> </w:t>
      </w:r>
      <w:r>
        <w:rPr>
          <w:w w:val="110"/>
        </w:rPr>
        <w:t>involucra</w:t>
      </w:r>
      <w:r>
        <w:rPr>
          <w:spacing w:val="14"/>
        </w:rPr>
        <w:t> </w:t>
      </w:r>
      <w:r>
        <w:rPr>
          <w:w w:val="110"/>
        </w:rPr>
        <w:t>altís</w:t>
      </w:r>
      <w:r>
        <w:rPr>
          <w:spacing w:val="-1"/>
          <w:w w:val="110"/>
        </w:rPr>
        <w:t>i</w:t>
      </w:r>
      <w:r>
        <w:rPr>
          <w:w w:val="102"/>
        </w:rPr>
        <w:t>- </w:t>
      </w:r>
      <w:r>
        <w:rPr>
          <w:w w:val="110"/>
        </w:rPr>
        <w:t>mas</w:t>
      </w:r>
      <w:r>
        <w:rPr>
          <w:spacing w:val="-8"/>
          <w:w w:val="110"/>
        </w:rPr>
        <w:t> </w:t>
      </w:r>
      <w:r>
        <w:rPr>
          <w:w w:val="110"/>
        </w:rPr>
        <w:t>sumas</w:t>
      </w:r>
      <w:r>
        <w:rPr>
          <w:spacing w:val="-8"/>
          <w:w w:val="110"/>
        </w:rPr>
        <w:t> </w:t>
      </w:r>
      <w:r>
        <w:rPr>
          <w:w w:val="110"/>
        </w:rPr>
        <w:t>(6.821</w:t>
      </w:r>
      <w:r>
        <w:rPr>
          <w:spacing w:val="-8"/>
          <w:w w:val="110"/>
        </w:rPr>
        <w:t> </w:t>
      </w:r>
      <w:r>
        <w:rPr>
          <w:w w:val="110"/>
        </w:rPr>
        <w:t>millones</w:t>
      </w:r>
      <w:r>
        <w:rPr>
          <w:spacing w:val="-8"/>
          <w:w w:val="110"/>
        </w:rPr>
        <w:t> </w:t>
      </w:r>
      <w:r>
        <w:rPr>
          <w:w w:val="110"/>
        </w:rPr>
        <w:t>de</w:t>
      </w:r>
      <w:r>
        <w:rPr>
          <w:spacing w:val="-8"/>
          <w:w w:val="110"/>
        </w:rPr>
        <w:t> </w:t>
      </w:r>
      <w:r>
        <w:rPr>
          <w:w w:val="110"/>
        </w:rPr>
        <w:t>dólares</w:t>
      </w:r>
      <w:r>
        <w:rPr>
          <w:spacing w:val="-8"/>
          <w:w w:val="110"/>
        </w:rPr>
        <w:t> </w:t>
      </w:r>
      <w:r>
        <w:rPr>
          <w:w w:val="110"/>
        </w:rPr>
        <w:t>en</w:t>
      </w:r>
      <w:r>
        <w:rPr>
          <w:spacing w:val="-8"/>
          <w:w w:val="110"/>
        </w:rPr>
        <w:t> </w:t>
      </w:r>
      <w:r>
        <w:rPr>
          <w:w w:val="110"/>
        </w:rPr>
        <w:t>2009-2013)</w:t>
      </w:r>
      <w:r>
        <w:rPr>
          <w:spacing w:val="-8"/>
          <w:w w:val="110"/>
        </w:rPr>
        <w:t> </w:t>
      </w:r>
      <w:r>
        <w:rPr>
          <w:w w:val="110"/>
        </w:rPr>
        <w:t>y</w:t>
      </w:r>
      <w:r>
        <w:rPr>
          <w:spacing w:val="-8"/>
          <w:w w:val="110"/>
        </w:rPr>
        <w:t> </w:t>
      </w:r>
      <w:r>
        <w:rPr>
          <w:w w:val="110"/>
        </w:rPr>
        <w:t>se</w:t>
      </w:r>
      <w:r>
        <w:rPr>
          <w:spacing w:val="-8"/>
          <w:w w:val="110"/>
        </w:rPr>
        <w:t> </w:t>
      </w:r>
      <w:r>
        <w:rPr>
          <w:w w:val="110"/>
        </w:rPr>
        <w:t>incrementa- ron los tratados para compartir información sensible. Estados unidos mantiene desplegados a unos 4.000 uniformados en forma permanen- te para acciones de emergencia. sus drones operan sin ninguna res- tricción en todo el hemisferio (tokatlian, </w:t>
      </w:r>
      <w:r>
        <w:rPr>
          <w:spacing w:val="23"/>
          <w:w w:val="110"/>
        </w:rPr>
        <w:t> </w:t>
      </w:r>
      <w:r>
        <w:rPr>
          <w:w w:val="110"/>
        </w:rPr>
        <w:t>2013).</w:t>
      </w:r>
    </w:p>
    <w:p>
      <w:pPr>
        <w:pStyle w:val="BodyText"/>
        <w:spacing w:line="252" w:lineRule="auto"/>
        <w:ind w:left="100" w:right="328" w:firstLine="396"/>
        <w:jc w:val="both"/>
      </w:pPr>
      <w:r>
        <w:rPr>
          <w:w w:val="243"/>
        </w:rPr>
        <w:t>l</w:t>
      </w:r>
      <w:r>
        <w:rPr>
          <w:w w:val="112"/>
        </w:rPr>
        <w:t>a</w:t>
      </w:r>
      <w:r>
        <w:rPr/>
        <w:t> </w:t>
      </w:r>
      <w:r>
        <w:rPr>
          <w:spacing w:val="-9"/>
        </w:rPr>
        <w:t> </w:t>
      </w:r>
      <w:r>
        <w:rPr>
          <w:w w:val="113"/>
        </w:rPr>
        <w:t>función</w:t>
      </w:r>
      <w:r>
        <w:rPr/>
        <w:t> </w:t>
      </w:r>
      <w:r>
        <w:rPr>
          <w:spacing w:val="-9"/>
        </w:rPr>
        <w:t> </w:t>
      </w:r>
      <w:r>
        <w:rPr>
          <w:w w:val="110"/>
        </w:rPr>
        <w:t>geopolítica</w:t>
      </w:r>
      <w:r>
        <w:rPr/>
        <w:t> </w:t>
      </w:r>
      <w:r>
        <w:rPr>
          <w:spacing w:val="-9"/>
        </w:rPr>
        <w:t> </w:t>
      </w:r>
      <w:r>
        <w:rPr>
          <w:w w:val="109"/>
        </w:rPr>
        <w:t>central</w:t>
      </w:r>
      <w:r>
        <w:rPr/>
        <w:t> </w:t>
      </w:r>
      <w:r>
        <w:rPr>
          <w:spacing w:val="-9"/>
        </w:rPr>
        <w:t> </w:t>
      </w:r>
      <w:r>
        <w:rPr>
          <w:w w:val="107"/>
        </w:rPr>
        <w:t>de</w:t>
      </w:r>
      <w:r>
        <w:rPr/>
        <w:t> </w:t>
      </w:r>
      <w:r>
        <w:rPr>
          <w:spacing w:val="-9"/>
        </w:rPr>
        <w:t> </w:t>
      </w:r>
      <w:r>
        <w:rPr>
          <w:w w:val="139"/>
        </w:rPr>
        <w:t>a</w:t>
      </w:r>
      <w:r>
        <w:rPr>
          <w:w w:val="111"/>
        </w:rPr>
        <w:t>mérica</w:t>
      </w:r>
      <w:r>
        <w:rPr/>
        <w:t> </w:t>
      </w:r>
      <w:r>
        <w:rPr>
          <w:spacing w:val="-9"/>
        </w:rPr>
        <w:t> </w:t>
      </w:r>
      <w:r>
        <w:rPr>
          <w:w w:val="243"/>
        </w:rPr>
        <w:t>l</w:t>
      </w:r>
      <w:r>
        <w:rPr>
          <w:w w:val="111"/>
        </w:rPr>
        <w:t>atina</w:t>
      </w:r>
      <w:r>
        <w:rPr/>
        <w:t> </w:t>
      </w:r>
      <w:r>
        <w:rPr>
          <w:spacing w:val="-9"/>
        </w:rPr>
        <w:t> </w:t>
      </w:r>
      <w:r>
        <w:rPr>
          <w:w w:val="109"/>
        </w:rPr>
        <w:t>para</w:t>
      </w:r>
      <w:r>
        <w:rPr/>
        <w:t> </w:t>
      </w:r>
      <w:r>
        <w:rPr>
          <w:spacing w:val="-9"/>
        </w:rPr>
        <w:t> </w:t>
      </w:r>
      <w:r>
        <w:rPr>
          <w:w w:val="107"/>
        </w:rPr>
        <w:t>el</w:t>
      </w:r>
      <w:r>
        <w:rPr/>
        <w:t> </w:t>
      </w:r>
      <w:r>
        <w:rPr>
          <w:spacing w:val="-9"/>
        </w:rPr>
        <w:t> </w:t>
      </w:r>
      <w:r>
        <w:rPr>
          <w:w w:val="110"/>
        </w:rPr>
        <w:t>imp</w:t>
      </w:r>
      <w:r>
        <w:rPr>
          <w:spacing w:val="-1"/>
          <w:w w:val="110"/>
        </w:rPr>
        <w:t>e</w:t>
      </w:r>
      <w:r>
        <w:rPr>
          <w:w w:val="102"/>
        </w:rPr>
        <w:t>- </w:t>
      </w:r>
      <w:r>
        <w:rPr>
          <w:w w:val="115"/>
        </w:rPr>
        <w:t>rio no ha cambiado y el manejo de esa supremacía con </w:t>
      </w:r>
      <w:r>
        <w:rPr>
          <w:spacing w:val="43"/>
          <w:w w:val="115"/>
        </w:rPr>
        <w:t> </w:t>
      </w:r>
      <w:r>
        <w:rPr>
          <w:w w:val="115"/>
        </w:rPr>
        <w:t>instrumen-</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5"/>
        </w:rPr>
        <w:t>tos</w:t>
      </w:r>
      <w:r>
        <w:rPr>
          <w:spacing w:val="-13"/>
          <w:w w:val="115"/>
        </w:rPr>
        <w:t> </w:t>
      </w:r>
      <w:r>
        <w:rPr>
          <w:w w:val="115"/>
        </w:rPr>
        <w:t>de</w:t>
      </w:r>
      <w:r>
        <w:rPr>
          <w:spacing w:val="-13"/>
          <w:w w:val="115"/>
        </w:rPr>
        <w:t> </w:t>
      </w:r>
      <w:r>
        <w:rPr>
          <w:w w:val="115"/>
        </w:rPr>
        <w:t>coerción</w:t>
      </w:r>
      <w:r>
        <w:rPr>
          <w:spacing w:val="-13"/>
          <w:w w:val="115"/>
        </w:rPr>
        <w:t> </w:t>
      </w:r>
      <w:r>
        <w:rPr>
          <w:w w:val="115"/>
        </w:rPr>
        <w:t>y</w:t>
      </w:r>
      <w:r>
        <w:rPr>
          <w:spacing w:val="-13"/>
          <w:w w:val="115"/>
        </w:rPr>
        <w:t> </w:t>
      </w:r>
      <w:r>
        <w:rPr>
          <w:w w:val="115"/>
        </w:rPr>
        <w:t>consenso</w:t>
      </w:r>
      <w:r>
        <w:rPr>
          <w:spacing w:val="-13"/>
          <w:w w:val="115"/>
        </w:rPr>
        <w:t> </w:t>
      </w:r>
      <w:r>
        <w:rPr>
          <w:w w:val="115"/>
        </w:rPr>
        <w:t>tampoco</w:t>
      </w:r>
      <w:r>
        <w:rPr>
          <w:spacing w:val="-13"/>
          <w:w w:val="115"/>
        </w:rPr>
        <w:t> </w:t>
      </w:r>
      <w:r>
        <w:rPr>
          <w:w w:val="115"/>
        </w:rPr>
        <w:t>se</w:t>
      </w:r>
      <w:r>
        <w:rPr>
          <w:spacing w:val="-13"/>
          <w:w w:val="115"/>
        </w:rPr>
        <w:t> </w:t>
      </w:r>
      <w:r>
        <w:rPr>
          <w:w w:val="115"/>
        </w:rPr>
        <w:t>ha</w:t>
      </w:r>
      <w:r>
        <w:rPr>
          <w:spacing w:val="-13"/>
          <w:w w:val="115"/>
        </w:rPr>
        <w:t> </w:t>
      </w:r>
      <w:r>
        <w:rPr>
          <w:w w:val="115"/>
        </w:rPr>
        <w:t>modificado.</w:t>
      </w:r>
      <w:r>
        <w:rPr>
          <w:spacing w:val="-13"/>
          <w:w w:val="115"/>
        </w:rPr>
        <w:t> </w:t>
      </w:r>
      <w:r>
        <w:rPr>
          <w:w w:val="115"/>
        </w:rPr>
        <w:t>Esa</w:t>
      </w:r>
      <w:r>
        <w:rPr>
          <w:spacing w:val="-13"/>
          <w:w w:val="115"/>
        </w:rPr>
        <w:t> </w:t>
      </w:r>
      <w:r>
        <w:rPr>
          <w:w w:val="115"/>
        </w:rPr>
        <w:t>estrategia siempre</w:t>
      </w:r>
      <w:r>
        <w:rPr>
          <w:spacing w:val="-12"/>
          <w:w w:val="115"/>
        </w:rPr>
        <w:t> </w:t>
      </w:r>
      <w:r>
        <w:rPr>
          <w:w w:val="115"/>
        </w:rPr>
        <w:t>implicó</w:t>
      </w:r>
      <w:r>
        <w:rPr>
          <w:spacing w:val="-12"/>
          <w:w w:val="115"/>
        </w:rPr>
        <w:t> </w:t>
      </w:r>
      <w:r>
        <w:rPr>
          <w:w w:val="115"/>
        </w:rPr>
        <w:t>una</w:t>
      </w:r>
      <w:r>
        <w:rPr>
          <w:spacing w:val="-12"/>
          <w:w w:val="115"/>
        </w:rPr>
        <w:t> </w:t>
      </w:r>
      <w:r>
        <w:rPr>
          <w:w w:val="115"/>
        </w:rPr>
        <w:t>complementación</w:t>
      </w:r>
      <w:r>
        <w:rPr>
          <w:spacing w:val="-12"/>
          <w:w w:val="115"/>
        </w:rPr>
        <w:t> </w:t>
      </w:r>
      <w:r>
        <w:rPr>
          <w:w w:val="115"/>
        </w:rPr>
        <w:t>bipartidista</w:t>
      </w:r>
      <w:r>
        <w:rPr>
          <w:spacing w:val="-12"/>
          <w:w w:val="115"/>
        </w:rPr>
        <w:t> </w:t>
      </w:r>
      <w:r>
        <w:rPr>
          <w:w w:val="115"/>
        </w:rPr>
        <w:t>del</w:t>
      </w:r>
      <w:r>
        <w:rPr>
          <w:spacing w:val="-12"/>
          <w:w w:val="115"/>
        </w:rPr>
        <w:t> </w:t>
      </w:r>
      <w:r>
        <w:rPr>
          <w:w w:val="115"/>
        </w:rPr>
        <w:t>garrote</w:t>
      </w:r>
      <w:r>
        <w:rPr>
          <w:spacing w:val="-12"/>
          <w:w w:val="115"/>
        </w:rPr>
        <w:t> </w:t>
      </w:r>
      <w:r>
        <w:rPr>
          <w:w w:val="115"/>
        </w:rPr>
        <w:t>(Eis- </w:t>
      </w:r>
      <w:r>
        <w:rPr>
          <w:spacing w:val="-3"/>
          <w:w w:val="115"/>
        </w:rPr>
        <w:t>enhower, </w:t>
      </w:r>
      <w:r>
        <w:rPr>
          <w:w w:val="115"/>
        </w:rPr>
        <w:t>reagan, bush i y ii) con la zanahoria (Clinton, Carter), sin rígidas distinciones entre republicanos y demócratas. Como obama necesita</w:t>
      </w:r>
      <w:r>
        <w:rPr>
          <w:spacing w:val="-14"/>
          <w:w w:val="115"/>
        </w:rPr>
        <w:t> </w:t>
      </w:r>
      <w:r>
        <w:rPr>
          <w:w w:val="115"/>
        </w:rPr>
        <w:t>reorganizar</w:t>
      </w:r>
      <w:r>
        <w:rPr>
          <w:spacing w:val="-14"/>
          <w:w w:val="115"/>
        </w:rPr>
        <w:t> </w:t>
      </w:r>
      <w:r>
        <w:rPr>
          <w:w w:val="115"/>
        </w:rPr>
        <w:t>drásticamente</w:t>
      </w:r>
      <w:r>
        <w:rPr>
          <w:spacing w:val="-14"/>
          <w:w w:val="115"/>
        </w:rPr>
        <w:t> </w:t>
      </w:r>
      <w:r>
        <w:rPr>
          <w:w w:val="115"/>
        </w:rPr>
        <w:t>las</w:t>
      </w:r>
      <w:r>
        <w:rPr>
          <w:spacing w:val="-14"/>
          <w:w w:val="115"/>
        </w:rPr>
        <w:t> </w:t>
      </w:r>
      <w:r>
        <w:rPr>
          <w:w w:val="115"/>
        </w:rPr>
        <w:t>formas</w:t>
      </w:r>
      <w:r>
        <w:rPr>
          <w:spacing w:val="-14"/>
          <w:w w:val="115"/>
        </w:rPr>
        <w:t> </w:t>
      </w:r>
      <w:r>
        <w:rPr>
          <w:w w:val="115"/>
        </w:rPr>
        <w:t>de</w:t>
      </w:r>
      <w:r>
        <w:rPr>
          <w:spacing w:val="-14"/>
          <w:w w:val="115"/>
        </w:rPr>
        <w:t> </w:t>
      </w:r>
      <w:r>
        <w:rPr>
          <w:w w:val="115"/>
        </w:rPr>
        <w:t>intervención</w:t>
      </w:r>
      <w:r>
        <w:rPr>
          <w:spacing w:val="-14"/>
          <w:w w:val="115"/>
        </w:rPr>
        <w:t> </w:t>
      </w:r>
      <w:r>
        <w:rPr>
          <w:w w:val="115"/>
        </w:rPr>
        <w:t>reto- ma la tradición afable. recompone paulatinamente esta injerencia, enmendando</w:t>
      </w:r>
      <w:r>
        <w:rPr>
          <w:spacing w:val="-22"/>
          <w:w w:val="115"/>
        </w:rPr>
        <w:t> </w:t>
      </w:r>
      <w:r>
        <w:rPr>
          <w:w w:val="115"/>
        </w:rPr>
        <w:t>el</w:t>
      </w:r>
      <w:r>
        <w:rPr>
          <w:spacing w:val="-22"/>
          <w:w w:val="115"/>
        </w:rPr>
        <w:t> </w:t>
      </w:r>
      <w:r>
        <w:rPr>
          <w:w w:val="115"/>
        </w:rPr>
        <w:t>lastre</w:t>
      </w:r>
      <w:r>
        <w:rPr>
          <w:spacing w:val="-22"/>
          <w:w w:val="115"/>
        </w:rPr>
        <w:t> </w:t>
      </w:r>
      <w:r>
        <w:rPr>
          <w:w w:val="115"/>
        </w:rPr>
        <w:t>que</w:t>
      </w:r>
      <w:r>
        <w:rPr>
          <w:spacing w:val="-22"/>
          <w:w w:val="115"/>
        </w:rPr>
        <w:t> </w:t>
      </w:r>
      <w:r>
        <w:rPr>
          <w:w w:val="115"/>
        </w:rPr>
        <w:t>dejaron</w:t>
      </w:r>
      <w:r>
        <w:rPr>
          <w:spacing w:val="-22"/>
          <w:w w:val="115"/>
        </w:rPr>
        <w:t> </w:t>
      </w:r>
      <w:r>
        <w:rPr>
          <w:w w:val="115"/>
        </w:rPr>
        <w:t>las</w:t>
      </w:r>
      <w:r>
        <w:rPr>
          <w:spacing w:val="-22"/>
          <w:w w:val="115"/>
        </w:rPr>
        <w:t> </w:t>
      </w:r>
      <w:r>
        <w:rPr>
          <w:w w:val="115"/>
        </w:rPr>
        <w:t>infructuosas</w:t>
      </w:r>
      <w:r>
        <w:rPr>
          <w:spacing w:val="-22"/>
          <w:w w:val="115"/>
        </w:rPr>
        <w:t> </w:t>
      </w:r>
      <w:r>
        <w:rPr>
          <w:w w:val="115"/>
        </w:rPr>
        <w:t>guerras</w:t>
      </w:r>
      <w:r>
        <w:rPr>
          <w:spacing w:val="-22"/>
          <w:w w:val="115"/>
        </w:rPr>
        <w:t> </w:t>
      </w:r>
      <w:r>
        <w:rPr>
          <w:w w:val="115"/>
        </w:rPr>
        <w:t>de</w:t>
      </w:r>
      <w:r>
        <w:rPr>
          <w:spacing w:val="-22"/>
          <w:w w:val="115"/>
        </w:rPr>
        <w:t> </w:t>
      </w:r>
      <w:r>
        <w:rPr>
          <w:w w:val="115"/>
        </w:rPr>
        <w:t>bush.</w:t>
      </w:r>
    </w:p>
    <w:p>
      <w:pPr>
        <w:pStyle w:val="BodyText"/>
        <w:spacing w:line="252" w:lineRule="auto"/>
        <w:ind w:left="330" w:right="117" w:firstLine="396"/>
        <w:jc w:val="both"/>
      </w:pPr>
      <w:r>
        <w:rPr>
          <w:w w:val="115"/>
        </w:rPr>
        <w:t>El</w:t>
      </w:r>
      <w:r>
        <w:rPr>
          <w:spacing w:val="-22"/>
          <w:w w:val="115"/>
        </w:rPr>
        <w:t> </w:t>
      </w:r>
      <w:r>
        <w:rPr>
          <w:w w:val="115"/>
        </w:rPr>
        <w:t>margen</w:t>
      </w:r>
      <w:r>
        <w:rPr>
          <w:spacing w:val="-22"/>
          <w:w w:val="115"/>
        </w:rPr>
        <w:t> </w:t>
      </w:r>
      <w:r>
        <w:rPr>
          <w:w w:val="115"/>
        </w:rPr>
        <w:t>de</w:t>
      </w:r>
      <w:r>
        <w:rPr>
          <w:spacing w:val="-22"/>
          <w:w w:val="115"/>
        </w:rPr>
        <w:t> </w:t>
      </w:r>
      <w:r>
        <w:rPr>
          <w:w w:val="115"/>
        </w:rPr>
        <w:t>acción</w:t>
      </w:r>
      <w:r>
        <w:rPr>
          <w:spacing w:val="-22"/>
          <w:w w:val="115"/>
        </w:rPr>
        <w:t> </w:t>
      </w:r>
      <w:r>
        <w:rPr>
          <w:w w:val="115"/>
        </w:rPr>
        <w:t>directa</w:t>
      </w:r>
      <w:r>
        <w:rPr>
          <w:spacing w:val="-22"/>
          <w:w w:val="115"/>
        </w:rPr>
        <w:t> </w:t>
      </w:r>
      <w:r>
        <w:rPr>
          <w:w w:val="115"/>
        </w:rPr>
        <w:t>de</w:t>
      </w:r>
      <w:r>
        <w:rPr>
          <w:spacing w:val="-22"/>
          <w:w w:val="115"/>
        </w:rPr>
        <w:t> </w:t>
      </w:r>
      <w:r>
        <w:rPr>
          <w:w w:val="115"/>
        </w:rPr>
        <w:t>los</w:t>
      </w:r>
      <w:r>
        <w:rPr>
          <w:spacing w:val="-22"/>
          <w:w w:val="115"/>
        </w:rPr>
        <w:t> </w:t>
      </w:r>
      <w:r>
        <w:rPr>
          <w:i/>
          <w:w w:val="115"/>
        </w:rPr>
        <w:t>marines</w:t>
      </w:r>
      <w:r>
        <w:rPr>
          <w:i/>
          <w:spacing w:val="-22"/>
          <w:w w:val="115"/>
        </w:rPr>
        <w:t> </w:t>
      </w:r>
      <w:r>
        <w:rPr>
          <w:w w:val="115"/>
        </w:rPr>
        <w:t>ha</w:t>
      </w:r>
      <w:r>
        <w:rPr>
          <w:spacing w:val="-22"/>
          <w:w w:val="115"/>
        </w:rPr>
        <w:t> </w:t>
      </w:r>
      <w:r>
        <w:rPr>
          <w:w w:val="115"/>
        </w:rPr>
        <w:t>quedado</w:t>
      </w:r>
      <w:r>
        <w:rPr>
          <w:spacing w:val="-22"/>
          <w:w w:val="115"/>
        </w:rPr>
        <w:t> </w:t>
      </w:r>
      <w:r>
        <w:rPr>
          <w:w w:val="115"/>
        </w:rPr>
        <w:t>recortado </w:t>
      </w:r>
      <w:r>
        <w:rPr>
          <w:w w:val="108"/>
        </w:rPr>
        <w:t>en</w:t>
      </w:r>
      <w:r>
        <w:rPr/>
        <w:t> </w:t>
      </w:r>
      <w:r>
        <w:rPr>
          <w:spacing w:val="-18"/>
        </w:rPr>
        <w:t> </w:t>
      </w:r>
      <w:r>
        <w:rPr>
          <w:w w:val="139"/>
        </w:rPr>
        <w:t>a</w:t>
      </w:r>
      <w:r>
        <w:rPr>
          <w:w w:val="111"/>
        </w:rPr>
        <w:t>mérica</w:t>
      </w:r>
      <w:r>
        <w:rPr/>
        <w:t> </w:t>
      </w:r>
      <w:r>
        <w:rPr>
          <w:spacing w:val="-18"/>
        </w:rPr>
        <w:t> </w:t>
      </w:r>
      <w:r>
        <w:rPr>
          <w:w w:val="243"/>
        </w:rPr>
        <w:t>l</w:t>
      </w:r>
      <w:r>
        <w:rPr>
          <w:w w:val="111"/>
        </w:rPr>
        <w:t>atina</w:t>
      </w:r>
      <w:r>
        <w:rPr/>
        <w:t> </w:t>
      </w:r>
      <w:r>
        <w:rPr>
          <w:spacing w:val="-18"/>
        </w:rPr>
        <w:t> </w:t>
      </w:r>
      <w:r>
        <w:rPr>
          <w:w w:val="106"/>
        </w:rPr>
        <w:t>desde</w:t>
      </w:r>
      <w:r>
        <w:rPr/>
        <w:t> </w:t>
      </w:r>
      <w:r>
        <w:rPr>
          <w:spacing w:val="-18"/>
        </w:rPr>
        <w:t> </w:t>
      </w:r>
      <w:r>
        <w:rPr>
          <w:w w:val="107"/>
        </w:rPr>
        <w:t>el</w:t>
      </w:r>
      <w:r>
        <w:rPr/>
        <w:t> </w:t>
      </w:r>
      <w:r>
        <w:rPr>
          <w:spacing w:val="-18"/>
        </w:rPr>
        <w:t> </w:t>
      </w:r>
      <w:r>
        <w:rPr>
          <w:w w:val="111"/>
        </w:rPr>
        <w:t>fracaso</w:t>
      </w:r>
      <w:r>
        <w:rPr/>
        <w:t> </w:t>
      </w:r>
      <w:r>
        <w:rPr>
          <w:spacing w:val="-18"/>
        </w:rPr>
        <w:t> </w:t>
      </w:r>
      <w:r>
        <w:rPr>
          <w:w w:val="107"/>
        </w:rPr>
        <w:t>del</w:t>
      </w:r>
      <w:r>
        <w:rPr/>
        <w:t> </w:t>
      </w:r>
      <w:r>
        <w:rPr>
          <w:spacing w:val="-18"/>
        </w:rPr>
        <w:t> </w:t>
      </w:r>
      <w:r>
        <w:rPr>
          <w:w w:val="176"/>
        </w:rPr>
        <w:t>al</w:t>
      </w:r>
      <w:r>
        <w:rPr>
          <w:w w:val="124"/>
        </w:rPr>
        <w:t>C</w:t>
      </w:r>
      <w:r>
        <w:rPr>
          <w:w w:val="139"/>
        </w:rPr>
        <w:t>a</w:t>
      </w:r>
      <w:r>
        <w:rPr>
          <w:w w:val="138"/>
        </w:rPr>
        <w:t>,</w:t>
      </w:r>
      <w:r>
        <w:rPr/>
        <w:t> </w:t>
      </w:r>
      <w:r>
        <w:rPr>
          <w:spacing w:val="-18"/>
        </w:rPr>
        <w:t> </w:t>
      </w:r>
      <w:r>
        <w:rPr>
          <w:w w:val="107"/>
        </w:rPr>
        <w:t>el</w:t>
      </w:r>
      <w:r>
        <w:rPr/>
        <w:t> </w:t>
      </w:r>
      <w:r>
        <w:rPr>
          <w:spacing w:val="-18"/>
        </w:rPr>
        <w:t> </w:t>
      </w:r>
      <w:r>
        <w:rPr>
          <w:w w:val="108"/>
        </w:rPr>
        <w:t>declive</w:t>
      </w:r>
      <w:r>
        <w:rPr/>
        <w:t> </w:t>
      </w:r>
      <w:r>
        <w:rPr>
          <w:spacing w:val="-18"/>
        </w:rPr>
        <w:t> </w:t>
      </w:r>
      <w:r>
        <w:rPr>
          <w:w w:val="107"/>
        </w:rPr>
        <w:t>de</w:t>
      </w:r>
      <w:r>
        <w:rPr/>
        <w:t> </w:t>
      </w:r>
      <w:r>
        <w:rPr>
          <w:spacing w:val="-18"/>
        </w:rPr>
        <w:t> </w:t>
      </w:r>
      <w:r>
        <w:rPr>
          <w:w w:val="111"/>
        </w:rPr>
        <w:t>la</w:t>
      </w:r>
      <w:r>
        <w:rPr/>
        <w:t> </w:t>
      </w:r>
      <w:r>
        <w:rPr>
          <w:spacing w:val="-18"/>
        </w:rPr>
        <w:t> </w:t>
      </w:r>
      <w:r>
        <w:rPr>
          <w:w w:val="149"/>
        </w:rPr>
        <w:t>o</w:t>
      </w:r>
      <w:r>
        <w:rPr>
          <w:w w:val="128"/>
        </w:rPr>
        <w:t>E</w:t>
      </w:r>
      <w:r>
        <w:rPr>
          <w:w w:val="139"/>
        </w:rPr>
        <w:t>a</w:t>
      </w:r>
      <w:r>
        <w:rPr/>
        <w:t> </w:t>
      </w:r>
      <w:r>
        <w:rPr>
          <w:spacing w:val="-18"/>
        </w:rPr>
        <w:t> </w:t>
      </w:r>
      <w:r>
        <w:rPr>
          <w:w w:val="105"/>
        </w:rPr>
        <w:t>y </w:t>
      </w:r>
      <w:r>
        <w:rPr>
          <w:w w:val="115"/>
        </w:rPr>
        <w:t>la</w:t>
      </w:r>
      <w:r>
        <w:rPr>
          <w:spacing w:val="-16"/>
          <w:w w:val="115"/>
        </w:rPr>
        <w:t> </w:t>
      </w:r>
      <w:r>
        <w:rPr>
          <w:w w:val="115"/>
        </w:rPr>
        <w:t>irrupción</w:t>
      </w:r>
      <w:r>
        <w:rPr>
          <w:spacing w:val="-16"/>
          <w:w w:val="115"/>
        </w:rPr>
        <w:t> </w:t>
      </w:r>
      <w:r>
        <w:rPr>
          <w:w w:val="115"/>
        </w:rPr>
        <w:t>de</w:t>
      </w:r>
      <w:r>
        <w:rPr>
          <w:spacing w:val="-16"/>
          <w:w w:val="115"/>
        </w:rPr>
        <w:t> </w:t>
      </w:r>
      <w:r>
        <w:rPr>
          <w:w w:val="115"/>
        </w:rPr>
        <w:t>organismos</w:t>
      </w:r>
      <w:r>
        <w:rPr>
          <w:spacing w:val="-16"/>
          <w:w w:val="115"/>
        </w:rPr>
        <w:t> </w:t>
      </w:r>
      <w:r>
        <w:rPr>
          <w:w w:val="115"/>
        </w:rPr>
        <w:t>distanciados</w:t>
      </w:r>
      <w:r>
        <w:rPr>
          <w:spacing w:val="-16"/>
          <w:w w:val="115"/>
        </w:rPr>
        <w:t> </w:t>
      </w:r>
      <w:r>
        <w:rPr>
          <w:w w:val="115"/>
        </w:rPr>
        <w:t>del</w:t>
      </w:r>
      <w:r>
        <w:rPr>
          <w:spacing w:val="-16"/>
          <w:w w:val="115"/>
        </w:rPr>
        <w:t> </w:t>
      </w:r>
      <w:r>
        <w:rPr>
          <w:w w:val="115"/>
        </w:rPr>
        <w:t>mandato</w:t>
      </w:r>
      <w:r>
        <w:rPr>
          <w:spacing w:val="-16"/>
          <w:w w:val="115"/>
        </w:rPr>
        <w:t> </w:t>
      </w:r>
      <w:r>
        <w:rPr>
          <w:w w:val="115"/>
        </w:rPr>
        <w:t>imperial</w:t>
      </w:r>
      <w:r>
        <w:rPr>
          <w:spacing w:val="-16"/>
          <w:w w:val="115"/>
        </w:rPr>
        <w:t> </w:t>
      </w:r>
      <w:r>
        <w:rPr>
          <w:w w:val="115"/>
        </w:rPr>
        <w:t>(uNa- </w:t>
      </w:r>
      <w:r>
        <w:rPr>
          <w:w w:val="155"/>
        </w:rPr>
        <w:t>sur</w:t>
      </w:r>
      <w:r>
        <w:rPr>
          <w:w w:val="138"/>
        </w:rPr>
        <w:t>,</w:t>
      </w:r>
      <w:r>
        <w:rPr>
          <w:spacing w:val="20"/>
        </w:rPr>
        <w:t> </w:t>
      </w:r>
      <w:r>
        <w:rPr>
          <w:w w:val="126"/>
        </w:rPr>
        <w:t>CE</w:t>
      </w:r>
      <w:r>
        <w:rPr>
          <w:w w:val="176"/>
        </w:rPr>
        <w:t>la</w:t>
      </w:r>
      <w:r>
        <w:rPr>
          <w:w w:val="118"/>
        </w:rPr>
        <w:t>C).</w:t>
      </w:r>
      <w:r>
        <w:rPr>
          <w:spacing w:val="20"/>
        </w:rPr>
        <w:t> </w:t>
      </w:r>
      <w:r>
        <w:rPr>
          <w:w w:val="243"/>
        </w:rPr>
        <w:t>l</w:t>
      </w:r>
      <w:r>
        <w:rPr>
          <w:w w:val="112"/>
        </w:rPr>
        <w:t>a</w:t>
      </w:r>
      <w:r>
        <w:rPr>
          <w:spacing w:val="20"/>
        </w:rPr>
        <w:t> </w:t>
      </w:r>
      <w:r>
        <w:rPr>
          <w:w w:val="111"/>
        </w:rPr>
        <w:t>embajada</w:t>
      </w:r>
      <w:r>
        <w:rPr>
          <w:spacing w:val="20"/>
        </w:rPr>
        <w:t> </w:t>
      </w:r>
      <w:r>
        <w:rPr>
          <w:w w:val="110"/>
        </w:rPr>
        <w:t>yanqui</w:t>
      </w:r>
      <w:r>
        <w:rPr>
          <w:spacing w:val="20"/>
        </w:rPr>
        <w:t> </w:t>
      </w:r>
      <w:r>
        <w:rPr>
          <w:w w:val="112"/>
        </w:rPr>
        <w:t>ha</w:t>
      </w:r>
      <w:r>
        <w:rPr>
          <w:spacing w:val="20"/>
        </w:rPr>
        <w:t> </w:t>
      </w:r>
      <w:r>
        <w:rPr>
          <w:w w:val="108"/>
        </w:rPr>
        <w:t>perdido</w:t>
      </w:r>
      <w:r>
        <w:rPr>
          <w:spacing w:val="20"/>
        </w:rPr>
        <w:t> </w:t>
      </w:r>
      <w:r>
        <w:rPr>
          <w:w w:val="107"/>
        </w:rPr>
        <w:t>peso</w:t>
      </w:r>
      <w:r>
        <w:rPr>
          <w:spacing w:val="20"/>
        </w:rPr>
        <w:t> </w:t>
      </w:r>
      <w:r>
        <w:rPr>
          <w:w w:val="108"/>
        </w:rPr>
        <w:t>en</w:t>
      </w:r>
      <w:r>
        <w:rPr>
          <w:spacing w:val="20"/>
        </w:rPr>
        <w:t> </w:t>
      </w:r>
      <w:r>
        <w:rPr>
          <w:w w:val="107"/>
        </w:rPr>
        <w:t>varios</w:t>
      </w:r>
      <w:r>
        <w:rPr>
          <w:spacing w:val="20"/>
        </w:rPr>
        <w:t> </w:t>
      </w:r>
      <w:r>
        <w:rPr>
          <w:w w:val="108"/>
        </w:rPr>
        <w:t>países </w:t>
      </w:r>
      <w:r>
        <w:rPr>
          <w:w w:val="115"/>
        </w:rPr>
        <w:t>de sudamérica, el espionaje genera inéditas protestas y dos denun- ciantes</w:t>
      </w:r>
      <w:r>
        <w:rPr>
          <w:spacing w:val="-8"/>
          <w:w w:val="115"/>
        </w:rPr>
        <w:t> </w:t>
      </w:r>
      <w:r>
        <w:rPr>
          <w:w w:val="115"/>
        </w:rPr>
        <w:t>de</w:t>
      </w:r>
      <w:r>
        <w:rPr>
          <w:spacing w:val="-8"/>
          <w:w w:val="115"/>
        </w:rPr>
        <w:t> </w:t>
      </w:r>
      <w:r>
        <w:rPr>
          <w:w w:val="115"/>
        </w:rPr>
        <w:t>esas</w:t>
      </w:r>
      <w:r>
        <w:rPr>
          <w:spacing w:val="-8"/>
          <w:w w:val="115"/>
        </w:rPr>
        <w:t> </w:t>
      </w:r>
      <w:r>
        <w:rPr>
          <w:w w:val="115"/>
        </w:rPr>
        <w:t>actividades</w:t>
      </w:r>
      <w:r>
        <w:rPr>
          <w:spacing w:val="-8"/>
          <w:w w:val="115"/>
        </w:rPr>
        <w:t> </w:t>
      </w:r>
      <w:r>
        <w:rPr>
          <w:w w:val="115"/>
        </w:rPr>
        <w:t>han</w:t>
      </w:r>
      <w:r>
        <w:rPr>
          <w:spacing w:val="-8"/>
          <w:w w:val="115"/>
        </w:rPr>
        <w:t> </w:t>
      </w:r>
      <w:r>
        <w:rPr>
          <w:w w:val="115"/>
        </w:rPr>
        <w:t>recibido</w:t>
      </w:r>
      <w:r>
        <w:rPr>
          <w:spacing w:val="-8"/>
          <w:w w:val="115"/>
        </w:rPr>
        <w:t> </w:t>
      </w:r>
      <w:r>
        <w:rPr>
          <w:w w:val="115"/>
        </w:rPr>
        <w:t>ofertas</w:t>
      </w:r>
      <w:r>
        <w:rPr>
          <w:spacing w:val="-8"/>
          <w:w w:val="115"/>
        </w:rPr>
        <w:t> </w:t>
      </w:r>
      <w:r>
        <w:rPr>
          <w:w w:val="115"/>
        </w:rPr>
        <w:t>de</w:t>
      </w:r>
      <w:r>
        <w:rPr>
          <w:spacing w:val="-8"/>
          <w:w w:val="115"/>
        </w:rPr>
        <w:t> </w:t>
      </w:r>
      <w:r>
        <w:rPr>
          <w:w w:val="115"/>
        </w:rPr>
        <w:t>asilo</w:t>
      </w:r>
      <w:r>
        <w:rPr>
          <w:spacing w:val="-8"/>
          <w:w w:val="115"/>
        </w:rPr>
        <w:t> </w:t>
      </w:r>
      <w:r>
        <w:rPr>
          <w:w w:val="115"/>
        </w:rPr>
        <w:t>en</w:t>
      </w:r>
      <w:r>
        <w:rPr>
          <w:spacing w:val="-8"/>
          <w:w w:val="115"/>
        </w:rPr>
        <w:t> </w:t>
      </w:r>
      <w:r>
        <w:rPr>
          <w:w w:val="115"/>
        </w:rPr>
        <w:t>la</w:t>
      </w:r>
      <w:r>
        <w:rPr>
          <w:spacing w:val="-8"/>
          <w:w w:val="115"/>
        </w:rPr>
        <w:t> </w:t>
      </w:r>
      <w:r>
        <w:rPr>
          <w:w w:val="115"/>
        </w:rPr>
        <w:t>región (snowden por parte de Venezuela y assange de Ecuador). El</w:t>
      </w:r>
      <w:r>
        <w:rPr>
          <w:spacing w:val="-33"/>
          <w:w w:val="115"/>
        </w:rPr>
        <w:t> </w:t>
      </w:r>
      <w:r>
        <w:rPr>
          <w:w w:val="115"/>
        </w:rPr>
        <w:t>intento yanqui</w:t>
      </w:r>
      <w:r>
        <w:rPr>
          <w:spacing w:val="-5"/>
          <w:w w:val="115"/>
        </w:rPr>
        <w:t> </w:t>
      </w:r>
      <w:r>
        <w:rPr>
          <w:w w:val="115"/>
        </w:rPr>
        <w:t>de</w:t>
      </w:r>
      <w:r>
        <w:rPr>
          <w:spacing w:val="-5"/>
          <w:w w:val="115"/>
        </w:rPr>
        <w:t> </w:t>
      </w:r>
      <w:r>
        <w:rPr>
          <w:w w:val="115"/>
        </w:rPr>
        <w:t>penalizar</w:t>
      </w:r>
      <w:r>
        <w:rPr>
          <w:spacing w:val="-5"/>
          <w:w w:val="115"/>
        </w:rPr>
        <w:t> </w:t>
      </w:r>
      <w:r>
        <w:rPr>
          <w:w w:val="115"/>
        </w:rPr>
        <w:t>estas</w:t>
      </w:r>
      <w:r>
        <w:rPr>
          <w:spacing w:val="-5"/>
          <w:w w:val="115"/>
        </w:rPr>
        <w:t> </w:t>
      </w:r>
      <w:r>
        <w:rPr>
          <w:w w:val="115"/>
        </w:rPr>
        <w:t>reacciones</w:t>
      </w:r>
      <w:r>
        <w:rPr>
          <w:spacing w:val="-5"/>
          <w:w w:val="115"/>
        </w:rPr>
        <w:t> </w:t>
      </w:r>
      <w:r>
        <w:rPr>
          <w:w w:val="115"/>
        </w:rPr>
        <w:t>con</w:t>
      </w:r>
      <w:r>
        <w:rPr>
          <w:spacing w:val="-5"/>
          <w:w w:val="115"/>
        </w:rPr>
        <w:t> </w:t>
      </w:r>
      <w:r>
        <w:rPr>
          <w:w w:val="115"/>
        </w:rPr>
        <w:t>la</w:t>
      </w:r>
      <w:r>
        <w:rPr>
          <w:spacing w:val="-5"/>
          <w:w w:val="115"/>
        </w:rPr>
        <w:t> </w:t>
      </w:r>
      <w:r>
        <w:rPr>
          <w:w w:val="115"/>
        </w:rPr>
        <w:t>“retención”</w:t>
      </w:r>
      <w:r>
        <w:rPr>
          <w:spacing w:val="-5"/>
          <w:w w:val="115"/>
        </w:rPr>
        <w:t> </w:t>
      </w:r>
      <w:r>
        <w:rPr>
          <w:w w:val="115"/>
        </w:rPr>
        <w:t>en</w:t>
      </w:r>
      <w:r>
        <w:rPr>
          <w:spacing w:val="-5"/>
          <w:w w:val="115"/>
        </w:rPr>
        <w:t> </w:t>
      </w:r>
      <w:r>
        <w:rPr>
          <w:w w:val="115"/>
        </w:rPr>
        <w:t>vuelo</w:t>
      </w:r>
      <w:r>
        <w:rPr>
          <w:spacing w:val="-5"/>
          <w:w w:val="115"/>
        </w:rPr>
        <w:t> </w:t>
      </w:r>
      <w:r>
        <w:rPr>
          <w:w w:val="115"/>
        </w:rPr>
        <w:t>del presidente</w:t>
      </w:r>
      <w:r>
        <w:rPr>
          <w:spacing w:val="-21"/>
          <w:w w:val="115"/>
        </w:rPr>
        <w:t> </w:t>
      </w:r>
      <w:r>
        <w:rPr>
          <w:w w:val="115"/>
        </w:rPr>
        <w:t>de</w:t>
      </w:r>
      <w:r>
        <w:rPr>
          <w:spacing w:val="-21"/>
          <w:w w:val="115"/>
        </w:rPr>
        <w:t> </w:t>
      </w:r>
      <w:r>
        <w:rPr>
          <w:w w:val="115"/>
        </w:rPr>
        <w:t>bolivia</w:t>
      </w:r>
      <w:r>
        <w:rPr>
          <w:spacing w:val="-21"/>
          <w:w w:val="115"/>
        </w:rPr>
        <w:t> </w:t>
      </w:r>
      <w:r>
        <w:rPr>
          <w:w w:val="115"/>
        </w:rPr>
        <w:t>no</w:t>
      </w:r>
      <w:r>
        <w:rPr>
          <w:spacing w:val="-21"/>
          <w:w w:val="115"/>
        </w:rPr>
        <w:t> </w:t>
      </w:r>
      <w:r>
        <w:rPr>
          <w:w w:val="115"/>
        </w:rPr>
        <w:t>dio</w:t>
      </w:r>
      <w:r>
        <w:rPr>
          <w:spacing w:val="-21"/>
          <w:w w:val="115"/>
        </w:rPr>
        <w:t> </w:t>
      </w:r>
      <w:r>
        <w:rPr>
          <w:w w:val="115"/>
        </w:rPr>
        <w:t>ningún</w:t>
      </w:r>
      <w:r>
        <w:rPr>
          <w:spacing w:val="-21"/>
          <w:w w:val="115"/>
        </w:rPr>
        <w:t> </w:t>
      </w:r>
      <w:r>
        <w:rPr>
          <w:w w:val="115"/>
        </w:rPr>
        <w:t>resultado.</w:t>
      </w:r>
    </w:p>
    <w:p>
      <w:pPr>
        <w:pStyle w:val="BodyText"/>
        <w:spacing w:line="252" w:lineRule="auto"/>
        <w:ind w:left="330" w:right="117" w:firstLine="396"/>
        <w:jc w:val="both"/>
      </w:pPr>
      <w:r>
        <w:rPr>
          <w:spacing w:val="-6"/>
          <w:w w:val="110"/>
        </w:rPr>
        <w:t>tal </w:t>
      </w:r>
      <w:r>
        <w:rPr>
          <w:w w:val="110"/>
        </w:rPr>
        <w:t>como ocurrió en los ’70, obama intenta restablecer la capa- cidad de acción de Estados unidos. repite el sendero que transitó Carter para atemperar los efectos de Vietnam y el Watergate. Estados unidos procesa esta adversidad con los recursos de la única potencia que ejercita la custodia del capital a escala global. Esa supremacía militar le otorga una gran ventaja sobre sus competidores europeos   y</w:t>
      </w:r>
      <w:r>
        <w:rPr>
          <w:spacing w:val="20"/>
          <w:w w:val="110"/>
        </w:rPr>
        <w:t> </w:t>
      </w:r>
      <w:r>
        <w:rPr>
          <w:w w:val="110"/>
        </w:rPr>
        <w:t>asiáticos.</w:t>
      </w:r>
    </w:p>
    <w:p>
      <w:pPr>
        <w:pStyle w:val="BodyText"/>
        <w:spacing w:before="5"/>
      </w:pPr>
    </w:p>
    <w:p>
      <w:pPr>
        <w:pStyle w:val="Heading6"/>
        <w:ind w:left="331"/>
      </w:pPr>
      <w:r>
        <w:rPr>
          <w:w w:val="135"/>
        </w:rPr>
        <w:t>estrateGias y rivales</w:t>
      </w:r>
    </w:p>
    <w:p>
      <w:pPr>
        <w:pStyle w:val="BodyText"/>
        <w:spacing w:line="252" w:lineRule="auto" w:before="10"/>
        <w:ind w:left="330" w:right="117"/>
        <w:jc w:val="both"/>
      </w:pPr>
      <w:r>
        <w:rPr>
          <w:w w:val="243"/>
        </w:rPr>
        <w:t>l</w:t>
      </w:r>
      <w:r>
        <w:rPr>
          <w:w w:val="108"/>
        </w:rPr>
        <w:t>os</w:t>
      </w:r>
      <w:r>
        <w:rPr/>
        <w:t> </w:t>
      </w:r>
      <w:r>
        <w:rPr>
          <w:spacing w:val="-10"/>
        </w:rPr>
        <w:t> </w:t>
      </w:r>
      <w:r>
        <w:rPr>
          <w:w w:val="108"/>
        </w:rPr>
        <w:t>recursos</w:t>
      </w:r>
      <w:r>
        <w:rPr/>
        <w:t> </w:t>
      </w:r>
      <w:r>
        <w:rPr>
          <w:spacing w:val="-10"/>
        </w:rPr>
        <w:t> </w:t>
      </w:r>
      <w:r>
        <w:rPr>
          <w:w w:val="109"/>
        </w:rPr>
        <w:t>naturales</w:t>
      </w:r>
      <w:r>
        <w:rPr/>
        <w:t> </w:t>
      </w:r>
      <w:r>
        <w:rPr>
          <w:spacing w:val="-10"/>
        </w:rPr>
        <w:t> </w:t>
      </w:r>
      <w:r>
        <w:rPr>
          <w:w w:val="107"/>
        </w:rPr>
        <w:t>del</w:t>
      </w:r>
      <w:r>
        <w:rPr/>
        <w:t> </w:t>
      </w:r>
      <w:r>
        <w:rPr>
          <w:spacing w:val="-10"/>
        </w:rPr>
        <w:t> </w:t>
      </w:r>
      <w:r>
        <w:rPr>
          <w:w w:val="149"/>
        </w:rPr>
        <w:t>s</w:t>
      </w:r>
      <w:r>
        <w:rPr>
          <w:w w:val="109"/>
        </w:rPr>
        <w:t>ur</w:t>
      </w:r>
      <w:r>
        <w:rPr/>
        <w:t> </w:t>
      </w:r>
      <w:r>
        <w:rPr>
          <w:spacing w:val="-10"/>
        </w:rPr>
        <w:t> </w:t>
      </w:r>
      <w:r>
        <w:rPr>
          <w:w w:val="109"/>
        </w:rPr>
        <w:t>son</w:t>
      </w:r>
      <w:r>
        <w:rPr/>
        <w:t> </w:t>
      </w:r>
      <w:r>
        <w:rPr>
          <w:spacing w:val="-10"/>
        </w:rPr>
        <w:t> </w:t>
      </w:r>
      <w:r>
        <w:rPr>
          <w:w w:val="111"/>
        </w:rPr>
        <w:t>la</w:t>
      </w:r>
      <w:r>
        <w:rPr/>
        <w:t> </w:t>
      </w:r>
      <w:r>
        <w:rPr>
          <w:spacing w:val="-10"/>
        </w:rPr>
        <w:t> </w:t>
      </w:r>
      <w:r>
        <w:rPr>
          <w:w w:val="109"/>
        </w:rPr>
        <w:t>prioridad</w:t>
      </w:r>
      <w:r>
        <w:rPr/>
        <w:t> </w:t>
      </w:r>
      <w:r>
        <w:rPr>
          <w:spacing w:val="-10"/>
        </w:rPr>
        <w:t> </w:t>
      </w:r>
      <w:r>
        <w:rPr>
          <w:w w:val="107"/>
        </w:rPr>
        <w:t>de</w:t>
      </w:r>
      <w:r>
        <w:rPr/>
        <w:t> </w:t>
      </w:r>
      <w:r>
        <w:rPr>
          <w:spacing w:val="-10"/>
        </w:rPr>
        <w:t> </w:t>
      </w:r>
      <w:r>
        <w:rPr>
          <w:w w:val="109"/>
        </w:rPr>
        <w:t>las</w:t>
      </w:r>
      <w:r>
        <w:rPr/>
        <w:t> </w:t>
      </w:r>
      <w:r>
        <w:rPr>
          <w:spacing w:val="-10"/>
        </w:rPr>
        <w:t> </w:t>
      </w:r>
      <w:r>
        <w:rPr>
          <w:w w:val="108"/>
        </w:rPr>
        <w:t>empresas</w:t>
      </w:r>
      <w:r>
        <w:rPr/>
        <w:t> </w:t>
      </w:r>
      <w:r>
        <w:rPr>
          <w:spacing w:val="-10"/>
        </w:rPr>
        <w:t> </w:t>
      </w:r>
      <w:r>
        <w:rPr>
          <w:w w:val="107"/>
        </w:rPr>
        <w:t>del </w:t>
      </w:r>
      <w:r>
        <w:rPr>
          <w:w w:val="110"/>
        </w:rPr>
        <w:t>Norte. El imperio apetece los minerales, el petróleo, el agua y los bos- </w:t>
      </w:r>
      <w:r>
        <w:rPr>
          <w:w w:val="107"/>
        </w:rPr>
        <w:t>ques</w:t>
      </w:r>
      <w:r>
        <w:rPr>
          <w:spacing w:val="19"/>
        </w:rPr>
        <w:t> </w:t>
      </w:r>
      <w:r>
        <w:rPr>
          <w:w w:val="107"/>
        </w:rPr>
        <w:t>de</w:t>
      </w:r>
      <w:r>
        <w:rPr>
          <w:spacing w:val="19"/>
        </w:rPr>
        <w:t> </w:t>
      </w:r>
      <w:r>
        <w:rPr>
          <w:w w:val="139"/>
        </w:rPr>
        <w:t>a</w:t>
      </w:r>
      <w:r>
        <w:rPr>
          <w:w w:val="111"/>
        </w:rPr>
        <w:t>mérica</w:t>
      </w:r>
      <w:r>
        <w:rPr>
          <w:spacing w:val="19"/>
        </w:rPr>
        <w:t> </w:t>
      </w:r>
      <w:r>
        <w:rPr>
          <w:w w:val="243"/>
        </w:rPr>
        <w:t>l</w:t>
      </w:r>
      <w:r>
        <w:rPr>
          <w:w w:val="113"/>
        </w:rPr>
        <w:t>atina.</w:t>
      </w:r>
      <w:r>
        <w:rPr>
          <w:spacing w:val="19"/>
        </w:rPr>
        <w:t> </w:t>
      </w:r>
      <w:r>
        <w:rPr>
          <w:w w:val="122"/>
        </w:rPr>
        <w:t>El</w:t>
      </w:r>
      <w:r>
        <w:rPr>
          <w:spacing w:val="19"/>
        </w:rPr>
        <w:t> </w:t>
      </w:r>
      <w:r>
        <w:rPr>
          <w:w w:val="139"/>
        </w:rPr>
        <w:t>d</w:t>
      </w:r>
      <w:r>
        <w:rPr>
          <w:w w:val="109"/>
        </w:rPr>
        <w:t>epartamento</w:t>
      </w:r>
      <w:r>
        <w:rPr>
          <w:spacing w:val="19"/>
        </w:rPr>
        <w:t> </w:t>
      </w:r>
      <w:r>
        <w:rPr>
          <w:w w:val="107"/>
        </w:rPr>
        <w:t>de</w:t>
      </w:r>
      <w:r>
        <w:rPr>
          <w:spacing w:val="19"/>
        </w:rPr>
        <w:t> </w:t>
      </w:r>
      <w:r>
        <w:rPr>
          <w:w w:val="112"/>
        </w:rPr>
        <w:t>Estado</w:t>
      </w:r>
      <w:r>
        <w:rPr>
          <w:spacing w:val="19"/>
        </w:rPr>
        <w:t> </w:t>
      </w:r>
      <w:r>
        <w:rPr>
          <w:w w:val="108"/>
        </w:rPr>
        <w:t>tiene</w:t>
      </w:r>
      <w:r>
        <w:rPr>
          <w:spacing w:val="19"/>
        </w:rPr>
        <w:t> </w:t>
      </w:r>
      <w:r>
        <w:rPr>
          <w:w w:val="110"/>
        </w:rPr>
        <w:t>mapeadas </w:t>
      </w:r>
      <w:r>
        <w:rPr>
          <w:w w:val="110"/>
        </w:rPr>
        <w:t>estas reservas y atesora datos ignorados por el resto del hemisferio. No por casualidad el 98% de las comunicaciones de la región pasan por algún centro informático </w:t>
      </w:r>
      <w:r>
        <w:rPr>
          <w:spacing w:val="2"/>
          <w:w w:val="110"/>
        </w:rPr>
        <w:t> </w:t>
      </w:r>
      <w:r>
        <w:rPr>
          <w:w w:val="110"/>
        </w:rPr>
        <w:t>estadounidense.</w:t>
      </w:r>
    </w:p>
    <w:p>
      <w:pPr>
        <w:pStyle w:val="BodyText"/>
        <w:spacing w:line="252" w:lineRule="auto"/>
        <w:ind w:left="330" w:right="115" w:firstLine="396"/>
        <w:jc w:val="both"/>
      </w:pPr>
      <w:r>
        <w:rPr>
          <w:w w:val="110"/>
        </w:rPr>
        <w:t>El interés económico de la primera potencia por el resto del hemisferio no ha decaído. se mantiene al tope en el ranking de in- versores externos de la región y en 2012 esas colocaciones fueron </w:t>
      </w:r>
      <w:r>
        <w:rPr>
          <w:w w:val="113"/>
        </w:rPr>
        <w:t>cinco</w:t>
      </w:r>
      <w:r>
        <w:rPr/>
        <w:t> </w:t>
      </w:r>
      <w:r>
        <w:rPr>
          <w:w w:val="106"/>
        </w:rPr>
        <w:t>veces</w:t>
      </w:r>
      <w:r>
        <w:rPr/>
        <w:t> </w:t>
      </w:r>
      <w:r>
        <w:rPr>
          <w:w w:val="107"/>
        </w:rPr>
        <w:t>superiores</w:t>
      </w:r>
      <w:r>
        <w:rPr/>
        <w:t> </w:t>
      </w:r>
      <w:r>
        <w:rPr>
          <w:w w:val="111"/>
        </w:rPr>
        <w:t>al</w:t>
      </w:r>
      <w:r>
        <w:rPr/>
        <w:t> </w:t>
      </w:r>
      <w:r>
        <w:rPr>
          <w:w w:val="110"/>
        </w:rPr>
        <w:t>quinquenio</w:t>
      </w:r>
      <w:r>
        <w:rPr/>
        <w:t> </w:t>
      </w:r>
      <w:r>
        <w:rPr>
          <w:w w:val="108"/>
        </w:rPr>
        <w:t>precedente.</w:t>
      </w:r>
      <w:r>
        <w:rPr/>
        <w:t> </w:t>
      </w:r>
      <w:r>
        <w:rPr>
          <w:w w:val="243"/>
        </w:rPr>
        <w:t>l</w:t>
      </w:r>
      <w:r>
        <w:rPr>
          <w:w w:val="109"/>
        </w:rPr>
        <w:t>as</w:t>
      </w:r>
      <w:r>
        <w:rPr/>
        <w:t> </w:t>
      </w:r>
      <w:r>
        <w:rPr>
          <w:w w:val="109"/>
        </w:rPr>
        <w:t>exportaciones </w:t>
      </w:r>
      <w:r>
        <w:rPr>
          <w:w w:val="110"/>
        </w:rPr>
        <w:t>al mismo destino crecen por encima de las ventas a otras zonas (tokatlian,  2013).</w:t>
      </w:r>
    </w:p>
    <w:p>
      <w:pPr>
        <w:pStyle w:val="BodyText"/>
        <w:spacing w:line="252" w:lineRule="auto"/>
        <w:ind w:left="330" w:right="117" w:firstLine="396"/>
        <w:jc w:val="both"/>
      </w:pPr>
      <w:r>
        <w:rPr>
          <w:w w:val="110"/>
        </w:rPr>
        <w:t>Pero este terreno no está exento de competidores. durante los años ’80 y ’90 Europa incrementó su presencia en la región a través</w:t>
      </w:r>
      <w:r>
        <w:rPr>
          <w:spacing w:val="-24"/>
          <w:w w:val="110"/>
        </w:rPr>
        <w:t> </w:t>
      </w:r>
      <w:r>
        <w:rPr>
          <w:w w:val="110"/>
        </w:rPr>
        <w:t>de España. El ingreso de ese país al euro y la internacionalización de sus empresas condujeron a un inédito aumento de las empresas hispanas en sus antiguas colonias. durante el </w:t>
      </w:r>
      <w:r>
        <w:rPr>
          <w:i/>
          <w:w w:val="110"/>
        </w:rPr>
        <w:t>boom </w:t>
      </w:r>
      <w:r>
        <w:rPr>
          <w:w w:val="110"/>
        </w:rPr>
        <w:t>de las privatizaciones, esa inversión se situó incluso por delante de Estados </w:t>
      </w:r>
      <w:r>
        <w:rPr>
          <w:spacing w:val="44"/>
          <w:w w:val="110"/>
        </w:rPr>
        <w:t> </w:t>
      </w:r>
      <w:r>
        <w:rPr>
          <w:w w:val="110"/>
        </w:rPr>
        <w:t>unidos.</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firstLine="396"/>
        <w:jc w:val="right"/>
      </w:pPr>
      <w:r>
        <w:rPr>
          <w:w w:val="108"/>
        </w:rPr>
        <w:t>Pero</w:t>
      </w:r>
      <w:r>
        <w:rPr/>
        <w:t> </w:t>
      </w:r>
      <w:r>
        <w:rPr>
          <w:w w:val="107"/>
        </w:rPr>
        <w:t>el</w:t>
      </w:r>
      <w:r>
        <w:rPr/>
        <w:t> </w:t>
      </w:r>
      <w:r>
        <w:rPr>
          <w:w w:val="111"/>
        </w:rPr>
        <w:t>futuro</w:t>
      </w:r>
      <w:r>
        <w:rPr/>
        <w:t> </w:t>
      </w:r>
      <w:r>
        <w:rPr>
          <w:w w:val="107"/>
        </w:rPr>
        <w:t>de</w:t>
      </w:r>
      <w:r>
        <w:rPr/>
        <w:t> </w:t>
      </w:r>
      <w:r>
        <w:rPr>
          <w:w w:val="113"/>
        </w:rPr>
        <w:t>España</w:t>
      </w:r>
      <w:r>
        <w:rPr/>
        <w:t> </w:t>
      </w:r>
      <w:r>
        <w:rPr>
          <w:w w:val="108"/>
        </w:rPr>
        <w:t>en</w:t>
      </w:r>
      <w:r>
        <w:rPr/>
        <w:t> </w:t>
      </w:r>
      <w:r>
        <w:rPr>
          <w:w w:val="111"/>
        </w:rPr>
        <w:t>la</w:t>
      </w:r>
      <w:r>
        <w:rPr/>
        <w:t> </w:t>
      </w:r>
      <w:r>
        <w:rPr>
          <w:w w:val="111"/>
        </w:rPr>
        <w:t>zona</w:t>
      </w:r>
      <w:r>
        <w:rPr/>
        <w:t> </w:t>
      </w:r>
      <w:r>
        <w:rPr>
          <w:w w:val="105"/>
        </w:rPr>
        <w:t>es</w:t>
      </w:r>
      <w:r>
        <w:rPr/>
        <w:t> </w:t>
      </w:r>
      <w:r>
        <w:rPr>
          <w:w w:val="112"/>
        </w:rPr>
        <w:t>una</w:t>
      </w:r>
      <w:r>
        <w:rPr/>
        <w:t> </w:t>
      </w:r>
      <w:r>
        <w:rPr>
          <w:w w:val="113"/>
        </w:rPr>
        <w:t>incógnita.</w:t>
      </w:r>
      <w:r>
        <w:rPr/>
        <w:t> </w:t>
      </w:r>
      <w:r>
        <w:rPr>
          <w:w w:val="243"/>
        </w:rPr>
        <w:t>l</w:t>
      </w:r>
      <w:r>
        <w:rPr>
          <w:w w:val="111"/>
        </w:rPr>
        <w:t>atinoamé</w:t>
      </w:r>
      <w:r>
        <w:rPr>
          <w:w w:val="102"/>
        </w:rPr>
        <w:t>- </w:t>
      </w:r>
      <w:r>
        <w:rPr>
          <w:w w:val="110"/>
        </w:rPr>
        <w:t>rica ha sido la tabla de salvación de muchas compañías ibéricas desde</w:t>
      </w:r>
      <w:r>
        <w:rPr>
          <w:w w:val="106"/>
        </w:rPr>
        <w:t> </w:t>
      </w:r>
      <w:r>
        <w:rPr>
          <w:w w:val="110"/>
        </w:rPr>
        <w:t>el estallido de la crisis global. Financiaron sus desbalances con trans-</w:t>
      </w:r>
      <w:r>
        <w:rPr>
          <w:w w:val="102"/>
        </w:rPr>
        <w:t> </w:t>
      </w:r>
      <w:r>
        <w:rPr>
          <w:w w:val="110"/>
        </w:rPr>
        <w:t>ferencias de las filiales situadas en el Nuevo Continente. Pero este</w:t>
      </w:r>
      <w:r>
        <w:rPr>
          <w:w w:val="105"/>
        </w:rPr>
        <w:t> </w:t>
      </w:r>
      <w:r>
        <w:rPr>
          <w:w w:val="110"/>
        </w:rPr>
        <w:t>rescate se ha combinado con cambios de propiedad en los paquetes</w:t>
      </w:r>
      <w:r>
        <w:rPr>
          <w:w w:val="107"/>
        </w:rPr>
        <w:t> </w:t>
      </w:r>
      <w:r>
        <w:rPr>
          <w:w w:val="110"/>
        </w:rPr>
        <w:t>accionarios y nadie sabe quién terminará manejando esas compañías.</w:t>
      </w:r>
      <w:r>
        <w:rPr>
          <w:w w:val="112"/>
        </w:rPr>
        <w:t> </w:t>
      </w:r>
      <w:r>
        <w:rPr>
          <w:w w:val="110"/>
        </w:rPr>
        <w:t>Europa continúa negociando tratados de libre comercio con la</w:t>
      </w:r>
      <w:r>
        <w:rPr>
          <w:w w:val="111"/>
        </w:rPr>
        <w:t> </w:t>
      </w:r>
      <w:r>
        <w:rPr>
          <w:w w:val="110"/>
        </w:rPr>
        <w:t>región, pero la expectativa de una gran mercado iberoamericano se</w:t>
      </w:r>
      <w:r>
        <w:rPr>
          <w:w w:val="105"/>
        </w:rPr>
        <w:t> </w:t>
      </w:r>
      <w:r>
        <w:rPr>
          <w:w w:val="107"/>
        </w:rPr>
        <w:t>está</w:t>
      </w:r>
      <w:r>
        <w:rPr/>
        <w:t>  </w:t>
      </w:r>
      <w:r>
        <w:rPr>
          <w:w w:val="111"/>
        </w:rPr>
        <w:t>diluyendo.</w:t>
      </w:r>
      <w:r>
        <w:rPr/>
        <w:t>  </w:t>
      </w:r>
      <w:r>
        <w:rPr>
          <w:w w:val="243"/>
        </w:rPr>
        <w:t>l</w:t>
      </w:r>
      <w:r>
        <w:rPr>
          <w:w w:val="108"/>
        </w:rPr>
        <w:t>os</w:t>
      </w:r>
      <w:r>
        <w:rPr/>
        <w:t>  </w:t>
      </w:r>
      <w:r>
        <w:rPr>
          <w:w w:val="110"/>
        </w:rPr>
        <w:t>mandantes</w:t>
      </w:r>
      <w:r>
        <w:rPr/>
        <w:t>  </w:t>
      </w:r>
      <w:r>
        <w:rPr>
          <w:w w:val="107"/>
        </w:rPr>
        <w:t>del</w:t>
      </w:r>
      <w:r>
        <w:rPr/>
        <w:t>  </w:t>
      </w:r>
      <w:r>
        <w:rPr>
          <w:w w:val="119"/>
        </w:rPr>
        <w:t>V</w:t>
      </w:r>
      <w:r>
        <w:rPr>
          <w:w w:val="110"/>
        </w:rPr>
        <w:t>iejo</w:t>
      </w:r>
      <w:r>
        <w:rPr/>
        <w:t>  </w:t>
      </w:r>
      <w:r>
        <w:rPr>
          <w:w w:val="111"/>
        </w:rPr>
        <w:t>Continente</w:t>
      </w:r>
      <w:r>
        <w:rPr/>
        <w:t>  </w:t>
      </w:r>
      <w:r>
        <w:rPr>
          <w:w w:val="110"/>
        </w:rPr>
        <w:t>disputan</w:t>
      </w:r>
      <w:r>
        <w:rPr/>
        <w:t>  </w:t>
      </w:r>
      <w:r>
        <w:rPr>
          <w:w w:val="109"/>
        </w:rPr>
        <w:t>nego</w:t>
      </w:r>
      <w:r>
        <w:rPr>
          <w:w w:val="102"/>
        </w:rPr>
        <w:t>-</w:t>
      </w:r>
    </w:p>
    <w:p>
      <w:pPr>
        <w:pStyle w:val="BodyText"/>
        <w:ind w:left="100"/>
        <w:jc w:val="both"/>
      </w:pPr>
      <w:r>
        <w:rPr>
          <w:w w:val="110"/>
        </w:rPr>
        <w:t>cios, pero no la preeminencia de Estados unidos en el   hemisferio.</w:t>
      </w:r>
    </w:p>
    <w:p>
      <w:pPr>
        <w:pStyle w:val="BodyText"/>
        <w:spacing w:line="252" w:lineRule="auto" w:before="11"/>
        <w:ind w:left="100" w:right="328" w:firstLine="396"/>
        <w:jc w:val="both"/>
      </w:pPr>
      <w:r>
        <w:rPr>
          <w:w w:val="110"/>
        </w:rPr>
        <w:t>El desafío que introduce China presenta otro alcance. En la últi- ma década el gigante asiático se convirtió en el gran mercado de las materias</w:t>
      </w:r>
      <w:r>
        <w:rPr>
          <w:spacing w:val="-7"/>
          <w:w w:val="110"/>
        </w:rPr>
        <w:t> </w:t>
      </w:r>
      <w:r>
        <w:rPr>
          <w:w w:val="110"/>
        </w:rPr>
        <w:t>primas</w:t>
      </w:r>
      <w:r>
        <w:rPr>
          <w:spacing w:val="-7"/>
          <w:w w:val="110"/>
        </w:rPr>
        <w:t> </w:t>
      </w:r>
      <w:r>
        <w:rPr>
          <w:w w:val="110"/>
        </w:rPr>
        <w:t>exportadas</w:t>
      </w:r>
      <w:r>
        <w:rPr>
          <w:spacing w:val="-7"/>
          <w:w w:val="110"/>
        </w:rPr>
        <w:t> </w:t>
      </w:r>
      <w:r>
        <w:rPr>
          <w:w w:val="110"/>
        </w:rPr>
        <w:t>por</w:t>
      </w:r>
      <w:r>
        <w:rPr>
          <w:spacing w:val="-7"/>
          <w:w w:val="110"/>
        </w:rPr>
        <w:t> </w:t>
      </w:r>
      <w:r>
        <w:rPr>
          <w:w w:val="110"/>
        </w:rPr>
        <w:t>la</w:t>
      </w:r>
      <w:r>
        <w:rPr>
          <w:spacing w:val="-7"/>
          <w:w w:val="110"/>
        </w:rPr>
        <w:t> </w:t>
      </w:r>
      <w:r>
        <w:rPr>
          <w:w w:val="110"/>
        </w:rPr>
        <w:t>región.</w:t>
      </w:r>
      <w:r>
        <w:rPr>
          <w:spacing w:val="-7"/>
          <w:w w:val="110"/>
        </w:rPr>
        <w:t> </w:t>
      </w:r>
      <w:r>
        <w:rPr>
          <w:w w:val="110"/>
        </w:rPr>
        <w:t>absorbe</w:t>
      </w:r>
      <w:r>
        <w:rPr>
          <w:spacing w:val="-7"/>
          <w:w w:val="110"/>
        </w:rPr>
        <w:t> </w:t>
      </w:r>
      <w:r>
        <w:rPr>
          <w:w w:val="110"/>
        </w:rPr>
        <w:t>el</w:t>
      </w:r>
      <w:r>
        <w:rPr>
          <w:spacing w:val="-7"/>
          <w:w w:val="110"/>
        </w:rPr>
        <w:t> </w:t>
      </w:r>
      <w:r>
        <w:rPr>
          <w:w w:val="110"/>
        </w:rPr>
        <w:t>40%</w:t>
      </w:r>
      <w:r>
        <w:rPr>
          <w:spacing w:val="-7"/>
          <w:w w:val="110"/>
        </w:rPr>
        <w:t> </w:t>
      </w:r>
      <w:r>
        <w:rPr>
          <w:w w:val="110"/>
        </w:rPr>
        <w:t>de</w:t>
      </w:r>
      <w:r>
        <w:rPr>
          <w:spacing w:val="-7"/>
          <w:w w:val="110"/>
        </w:rPr>
        <w:t> </w:t>
      </w:r>
      <w:r>
        <w:rPr>
          <w:w w:val="110"/>
        </w:rPr>
        <w:t>esas</w:t>
      </w:r>
      <w:r>
        <w:rPr>
          <w:spacing w:val="-7"/>
          <w:w w:val="110"/>
        </w:rPr>
        <w:t> </w:t>
      </w:r>
      <w:r>
        <w:rPr>
          <w:w w:val="110"/>
        </w:rPr>
        <w:t>ven- tas y algunas estimaciones consideran que cada punto de incremento del Pbi chino arrastra un 0,4% de su equivalente  </w:t>
      </w:r>
      <w:r>
        <w:rPr>
          <w:spacing w:val="13"/>
          <w:w w:val="110"/>
        </w:rPr>
        <w:t> </w:t>
      </w:r>
      <w:r>
        <w:rPr>
          <w:w w:val="110"/>
        </w:rPr>
        <w:t>latinoamericano.</w:t>
      </w:r>
    </w:p>
    <w:p>
      <w:pPr>
        <w:pStyle w:val="BodyText"/>
        <w:spacing w:line="252" w:lineRule="auto"/>
        <w:ind w:left="100" w:right="328" w:firstLine="396"/>
        <w:jc w:val="both"/>
      </w:pPr>
      <w:r>
        <w:rPr>
          <w:w w:val="110"/>
        </w:rPr>
        <w:t>también las inversiones de la potencia oriental se expanden en forma vertiginosa. subieron de 15.000 millones de dólares (2000) a</w:t>
      </w:r>
    </w:p>
    <w:p>
      <w:pPr>
        <w:pStyle w:val="BodyText"/>
        <w:spacing w:line="252" w:lineRule="auto"/>
        <w:ind w:left="100" w:right="328"/>
        <w:jc w:val="right"/>
      </w:pPr>
      <w:r>
        <w:rPr>
          <w:w w:val="110"/>
        </w:rPr>
        <w:t>200.000 (2012) y llegarían a 400.000 (en 2017). China se</w:t>
      </w:r>
      <w:r>
        <w:rPr>
          <w:spacing w:val="11"/>
          <w:w w:val="110"/>
        </w:rPr>
        <w:t> </w:t>
      </w:r>
      <w:r>
        <w:rPr>
          <w:w w:val="110"/>
        </w:rPr>
        <w:t>está</w:t>
      </w:r>
      <w:r>
        <w:rPr>
          <w:spacing w:val="5"/>
          <w:w w:val="110"/>
        </w:rPr>
        <w:t> </w:t>
      </w:r>
      <w:r>
        <w:rPr>
          <w:spacing w:val="-3"/>
          <w:w w:val="110"/>
        </w:rPr>
        <w:t>convir-</w:t>
      </w:r>
      <w:r>
        <w:rPr>
          <w:w w:val="102"/>
        </w:rPr>
        <w:t> </w:t>
      </w:r>
      <w:r>
        <w:rPr>
          <w:w w:val="110"/>
        </w:rPr>
        <w:t>tiendo</w:t>
      </w:r>
      <w:r>
        <w:rPr>
          <w:spacing w:val="-10"/>
          <w:w w:val="110"/>
        </w:rPr>
        <w:t> </w:t>
      </w:r>
      <w:r>
        <w:rPr>
          <w:w w:val="110"/>
        </w:rPr>
        <w:t>en</w:t>
      </w:r>
      <w:r>
        <w:rPr>
          <w:spacing w:val="-10"/>
          <w:w w:val="110"/>
        </w:rPr>
        <w:t> </w:t>
      </w:r>
      <w:r>
        <w:rPr>
          <w:w w:val="110"/>
        </w:rPr>
        <w:t>una</w:t>
      </w:r>
      <w:r>
        <w:rPr>
          <w:spacing w:val="-10"/>
          <w:w w:val="110"/>
        </w:rPr>
        <w:t> </w:t>
      </w:r>
      <w:r>
        <w:rPr>
          <w:w w:val="110"/>
        </w:rPr>
        <w:t>gran</w:t>
      </w:r>
      <w:r>
        <w:rPr>
          <w:spacing w:val="-10"/>
          <w:w w:val="110"/>
        </w:rPr>
        <w:t> </w:t>
      </w:r>
      <w:r>
        <w:rPr>
          <w:w w:val="110"/>
        </w:rPr>
        <w:t>fuente</w:t>
      </w:r>
      <w:r>
        <w:rPr>
          <w:spacing w:val="-10"/>
          <w:w w:val="110"/>
        </w:rPr>
        <w:t> </w:t>
      </w:r>
      <w:r>
        <w:rPr>
          <w:w w:val="110"/>
        </w:rPr>
        <w:t>de</w:t>
      </w:r>
      <w:r>
        <w:rPr>
          <w:spacing w:val="-10"/>
          <w:w w:val="110"/>
        </w:rPr>
        <w:t> </w:t>
      </w:r>
      <w:r>
        <w:rPr>
          <w:w w:val="110"/>
        </w:rPr>
        <w:t>crédito.</w:t>
      </w:r>
      <w:r>
        <w:rPr>
          <w:spacing w:val="-10"/>
          <w:w w:val="110"/>
        </w:rPr>
        <w:t> </w:t>
      </w:r>
      <w:r>
        <w:rPr>
          <w:w w:val="110"/>
        </w:rPr>
        <w:t>Entre</w:t>
      </w:r>
      <w:r>
        <w:rPr>
          <w:spacing w:val="-10"/>
          <w:w w:val="110"/>
        </w:rPr>
        <w:t> </w:t>
      </w:r>
      <w:r>
        <w:rPr>
          <w:w w:val="110"/>
        </w:rPr>
        <w:t>2005</w:t>
      </w:r>
      <w:r>
        <w:rPr>
          <w:spacing w:val="-10"/>
          <w:w w:val="110"/>
        </w:rPr>
        <w:t> </w:t>
      </w:r>
      <w:r>
        <w:rPr>
          <w:w w:val="110"/>
        </w:rPr>
        <w:t>y</w:t>
      </w:r>
      <w:r>
        <w:rPr>
          <w:spacing w:val="-10"/>
          <w:w w:val="110"/>
        </w:rPr>
        <w:t> </w:t>
      </w:r>
      <w:r>
        <w:rPr>
          <w:w w:val="110"/>
        </w:rPr>
        <w:t>2011</w:t>
      </w:r>
      <w:r>
        <w:rPr>
          <w:spacing w:val="-10"/>
          <w:w w:val="110"/>
        </w:rPr>
        <w:t> </w:t>
      </w:r>
      <w:r>
        <w:rPr>
          <w:w w:val="110"/>
        </w:rPr>
        <w:t>concedió</w:t>
      </w:r>
      <w:r>
        <w:rPr>
          <w:spacing w:val="-10"/>
          <w:w w:val="110"/>
        </w:rPr>
        <w:t> </w:t>
      </w:r>
      <w:r>
        <w:rPr>
          <w:w w:val="110"/>
        </w:rPr>
        <w:t>prés-</w:t>
      </w:r>
      <w:r>
        <w:rPr>
          <w:w w:val="102"/>
        </w:rPr>
        <w:t> </w:t>
      </w:r>
      <w:r>
        <w:rPr>
          <w:w w:val="110"/>
        </w:rPr>
        <w:t>tamos por más de 75.000 millones de dólares, superando</w:t>
      </w:r>
      <w:r>
        <w:rPr>
          <w:spacing w:val="21"/>
          <w:w w:val="110"/>
        </w:rPr>
        <w:t> </w:t>
      </w:r>
      <w:r>
        <w:rPr>
          <w:w w:val="110"/>
        </w:rPr>
        <w:t>los</w:t>
      </w:r>
      <w:r>
        <w:rPr>
          <w:spacing w:val="12"/>
          <w:w w:val="110"/>
        </w:rPr>
        <w:t> </w:t>
      </w:r>
      <w:r>
        <w:rPr>
          <w:w w:val="110"/>
        </w:rPr>
        <w:t>montos</w:t>
      </w:r>
      <w:r>
        <w:rPr>
          <w:w w:val="110"/>
        </w:rPr>
        <w:t> </w:t>
      </w:r>
      <w:r>
        <w:rPr>
          <w:w w:val="110"/>
        </w:rPr>
        <w:t>otorgados por Estados unidos o el banco Mundial</w:t>
      </w:r>
      <w:r>
        <w:rPr>
          <w:spacing w:val="12"/>
          <w:w w:val="110"/>
        </w:rPr>
        <w:t> </w:t>
      </w:r>
      <w:r>
        <w:rPr>
          <w:w w:val="110"/>
        </w:rPr>
        <w:t>(Hernández,</w:t>
      </w:r>
      <w:r>
        <w:rPr>
          <w:spacing w:val="7"/>
          <w:w w:val="110"/>
        </w:rPr>
        <w:t> </w:t>
      </w:r>
      <w:r>
        <w:rPr>
          <w:w w:val="110"/>
        </w:rPr>
        <w:t>2013).</w:t>
      </w:r>
      <w:r>
        <w:rPr>
          <w:w w:val="104"/>
        </w:rPr>
        <w:t> </w:t>
      </w:r>
      <w:r>
        <w:rPr>
          <w:w w:val="110"/>
        </w:rPr>
        <w:t>aunque esos préstamos se negocian en mejores</w:t>
      </w:r>
      <w:r>
        <w:rPr>
          <w:spacing w:val="8"/>
          <w:w w:val="110"/>
        </w:rPr>
        <w:t> </w:t>
      </w:r>
      <w:r>
        <w:rPr>
          <w:w w:val="110"/>
        </w:rPr>
        <w:t>condiciones,</w:t>
      </w:r>
      <w:r>
        <w:rPr>
          <w:spacing w:val="27"/>
          <w:w w:val="110"/>
        </w:rPr>
        <w:t> </w:t>
      </w:r>
      <w:r>
        <w:rPr>
          <w:w w:val="110"/>
        </w:rPr>
        <w:t>su</w:t>
      </w:r>
      <w:r>
        <w:rPr>
          <w:w w:val="109"/>
        </w:rPr>
        <w:t> </w:t>
      </w:r>
      <w:r>
        <w:rPr>
          <w:w w:val="110"/>
        </w:rPr>
        <w:t>principal destino son proyectos de minería, energía</w:t>
      </w:r>
      <w:r>
        <w:rPr>
          <w:spacing w:val="-4"/>
          <w:w w:val="110"/>
        </w:rPr>
        <w:t> </w:t>
      </w:r>
      <w:r>
        <w:rPr>
          <w:w w:val="110"/>
        </w:rPr>
        <w:t>o</w:t>
      </w:r>
      <w:r>
        <w:rPr>
          <w:spacing w:val="38"/>
          <w:w w:val="110"/>
        </w:rPr>
        <w:t> </w:t>
      </w:r>
      <w:r>
        <w:rPr>
          <w:i/>
          <w:w w:val="110"/>
        </w:rPr>
        <w:t>commodities</w:t>
      </w:r>
      <w:r>
        <w:rPr>
          <w:w w:val="110"/>
        </w:rPr>
        <w:t>,</w:t>
      </w:r>
      <w:r>
        <w:rPr>
          <w:w w:val="138"/>
        </w:rPr>
        <w:t> </w:t>
      </w:r>
      <w:r>
        <w:rPr>
          <w:w w:val="110"/>
        </w:rPr>
        <w:t>que afianzan la especialización latinoamericana en la provisión de </w:t>
      </w:r>
      <w:r>
        <w:rPr>
          <w:spacing w:val="27"/>
          <w:w w:val="110"/>
        </w:rPr>
        <w:t> </w:t>
      </w:r>
      <w:r>
        <w:rPr>
          <w:w w:val="110"/>
        </w:rPr>
        <w:t>in-</w:t>
      </w:r>
    </w:p>
    <w:p>
      <w:pPr>
        <w:pStyle w:val="BodyText"/>
        <w:ind w:left="100"/>
        <w:jc w:val="both"/>
      </w:pPr>
      <w:r>
        <w:rPr>
          <w:w w:val="110"/>
        </w:rPr>
        <w:t>sumos básicos.</w:t>
      </w:r>
    </w:p>
    <w:p>
      <w:pPr>
        <w:pStyle w:val="BodyText"/>
        <w:spacing w:line="252" w:lineRule="auto" w:before="11"/>
        <w:ind w:left="100" w:right="327" w:firstLine="396"/>
        <w:jc w:val="both"/>
      </w:pPr>
      <w:r>
        <w:rPr>
          <w:w w:val="110"/>
        </w:rPr>
        <w:t>China introduce una amenaza comercial a la supremacía esta- dounidense. Pero al igual que Europa no aspira al control geopolítico de la región. Hay rivalidad económica, pero sin consecuencias políti- co-militares a la vista.</w:t>
      </w:r>
    </w:p>
    <w:p>
      <w:pPr>
        <w:pStyle w:val="BodyText"/>
        <w:spacing w:line="252" w:lineRule="auto"/>
        <w:ind w:left="100" w:right="328" w:firstLine="396"/>
        <w:jc w:val="both"/>
      </w:pPr>
      <w:r>
        <w:rPr>
          <w:w w:val="110"/>
        </w:rPr>
        <w:t>incluso llama la atención la aceptación yanqui de la presencia oriental en áreas vedadas. Hay empresas chinas en Panamá y la cons- trucción de un nuevo canal –que atravesaría Nicaragua– ha sido ad- judicada a constructores de ese origen, sin desatar la reacción del de- partamento de Estado. Esa tolerancia ilustra el interés que también tienen las compañías estadounidenses en la ampliación de las</w:t>
      </w:r>
      <w:r>
        <w:rPr>
          <w:spacing w:val="-18"/>
          <w:w w:val="110"/>
        </w:rPr>
        <w:t> </w:t>
      </w:r>
      <w:r>
        <w:rPr>
          <w:w w:val="110"/>
        </w:rPr>
        <w:t>transac- ciones  marítimas  con</w:t>
      </w:r>
      <w:r>
        <w:rPr>
          <w:spacing w:val="-9"/>
          <w:w w:val="110"/>
        </w:rPr>
        <w:t> </w:t>
      </w:r>
      <w:r>
        <w:rPr>
          <w:w w:val="110"/>
        </w:rPr>
        <w:t>oriente.</w:t>
      </w:r>
    </w:p>
    <w:p>
      <w:pPr>
        <w:pStyle w:val="BodyText"/>
        <w:spacing w:before="5"/>
      </w:pPr>
    </w:p>
    <w:p>
      <w:pPr>
        <w:pStyle w:val="Heading6"/>
      </w:pPr>
      <w:r>
        <w:rPr>
          <w:w w:val="140"/>
        </w:rPr>
        <w:t>la contraofensiva del PacÍfico</w:t>
      </w:r>
    </w:p>
    <w:p>
      <w:pPr>
        <w:pStyle w:val="BodyText"/>
        <w:spacing w:line="252" w:lineRule="auto" w:before="10"/>
        <w:ind w:left="100" w:right="328"/>
        <w:jc w:val="both"/>
      </w:pPr>
      <w:r>
        <w:rPr>
          <w:w w:val="243"/>
        </w:rPr>
        <w:t>l</w:t>
      </w:r>
      <w:r>
        <w:rPr>
          <w:w w:val="112"/>
        </w:rPr>
        <w:t>a</w:t>
      </w:r>
      <w:r>
        <w:rPr>
          <w:spacing w:val="20"/>
        </w:rPr>
        <w:t> </w:t>
      </w:r>
      <w:r>
        <w:rPr>
          <w:w w:val="108"/>
        </w:rPr>
        <w:t>estrategia</w:t>
      </w:r>
      <w:r>
        <w:rPr>
          <w:spacing w:val="20"/>
        </w:rPr>
        <w:t> </w:t>
      </w:r>
      <w:r>
        <w:rPr>
          <w:w w:val="112"/>
        </w:rPr>
        <w:t>económica</w:t>
      </w:r>
      <w:r>
        <w:rPr>
          <w:spacing w:val="20"/>
        </w:rPr>
        <w:t> </w:t>
      </w:r>
      <w:r>
        <w:rPr>
          <w:w w:val="108"/>
        </w:rPr>
        <w:t>estadounidense</w:t>
      </w:r>
      <w:r>
        <w:rPr>
          <w:spacing w:val="20"/>
        </w:rPr>
        <w:t> </w:t>
      </w:r>
      <w:r>
        <w:rPr>
          <w:w w:val="110"/>
        </w:rPr>
        <w:t>gira</w:t>
      </w:r>
      <w:r>
        <w:rPr>
          <w:spacing w:val="20"/>
        </w:rPr>
        <w:t> </w:t>
      </w:r>
      <w:r>
        <w:rPr>
          <w:w w:val="108"/>
        </w:rPr>
        <w:t>en</w:t>
      </w:r>
      <w:r>
        <w:rPr>
          <w:spacing w:val="20"/>
        </w:rPr>
        <w:t> </w:t>
      </w:r>
      <w:r>
        <w:rPr>
          <w:w w:val="109"/>
        </w:rPr>
        <w:t>torno</w:t>
      </w:r>
      <w:r>
        <w:rPr>
          <w:spacing w:val="20"/>
        </w:rPr>
        <w:t> </w:t>
      </w:r>
      <w:r>
        <w:rPr>
          <w:w w:val="112"/>
        </w:rPr>
        <w:t>a</w:t>
      </w:r>
      <w:r>
        <w:rPr>
          <w:spacing w:val="20"/>
        </w:rPr>
        <w:t> </w:t>
      </w:r>
      <w:r>
        <w:rPr>
          <w:w w:val="108"/>
        </w:rPr>
        <w:t>los</w:t>
      </w:r>
      <w:r>
        <w:rPr>
          <w:spacing w:val="20"/>
        </w:rPr>
        <w:t> </w:t>
      </w:r>
      <w:r>
        <w:rPr>
          <w:spacing w:val="-19"/>
          <w:w w:val="195"/>
        </w:rPr>
        <w:t>t</w:t>
      </w:r>
      <w:r>
        <w:rPr>
          <w:w w:val="109"/>
        </w:rPr>
        <w:t>ratados </w:t>
      </w:r>
      <w:r>
        <w:rPr>
          <w:w w:val="110"/>
        </w:rPr>
        <w:t>de libre comercio. de los 20 acuerdos de este tipo que ha suscripto    en todo el mundo, la mitad se localiza en la región. Con el </w:t>
      </w:r>
      <w:r>
        <w:rPr>
          <w:w w:val="150"/>
        </w:rPr>
        <w:t>alCa </w:t>
      </w:r>
      <w:r>
        <w:rPr>
          <w:w w:val="110"/>
        </w:rPr>
        <w:t>as- piraban a forjar un gran mercado sin barreras para las compañías    del</w:t>
      </w:r>
      <w:r>
        <w:rPr>
          <w:spacing w:val="25"/>
          <w:w w:val="110"/>
        </w:rPr>
        <w:t> </w:t>
      </w:r>
      <w:r>
        <w:rPr>
          <w:w w:val="110"/>
        </w:rPr>
        <w:t>Norte.</w:t>
      </w:r>
      <w:r>
        <w:rPr>
          <w:spacing w:val="25"/>
          <w:w w:val="110"/>
        </w:rPr>
        <w:t> </w:t>
      </w:r>
      <w:r>
        <w:rPr>
          <w:w w:val="110"/>
        </w:rPr>
        <w:t>Pero</w:t>
      </w:r>
      <w:r>
        <w:rPr>
          <w:spacing w:val="25"/>
          <w:w w:val="110"/>
        </w:rPr>
        <w:t> </w:t>
      </w:r>
      <w:r>
        <w:rPr>
          <w:w w:val="110"/>
        </w:rPr>
        <w:t>ese</w:t>
      </w:r>
      <w:r>
        <w:rPr>
          <w:spacing w:val="25"/>
          <w:w w:val="110"/>
        </w:rPr>
        <w:t> </w:t>
      </w:r>
      <w:r>
        <w:rPr>
          <w:w w:val="110"/>
        </w:rPr>
        <w:t>proyecto</w:t>
      </w:r>
      <w:r>
        <w:rPr>
          <w:spacing w:val="25"/>
          <w:w w:val="110"/>
        </w:rPr>
        <w:t> </w:t>
      </w:r>
      <w:r>
        <w:rPr>
          <w:w w:val="110"/>
        </w:rPr>
        <w:t>fracasó</w:t>
      </w:r>
      <w:r>
        <w:rPr>
          <w:spacing w:val="25"/>
          <w:w w:val="110"/>
        </w:rPr>
        <w:t> </w:t>
      </w:r>
      <w:r>
        <w:rPr>
          <w:w w:val="110"/>
        </w:rPr>
        <w:t>en</w:t>
      </w:r>
      <w:r>
        <w:rPr>
          <w:spacing w:val="25"/>
          <w:w w:val="110"/>
        </w:rPr>
        <w:t> </w:t>
      </w:r>
      <w:r>
        <w:rPr>
          <w:w w:val="110"/>
        </w:rPr>
        <w:t>2005</w:t>
      </w:r>
      <w:r>
        <w:rPr>
          <w:spacing w:val="25"/>
          <w:w w:val="110"/>
        </w:rPr>
        <w:t> </w:t>
      </w:r>
      <w:r>
        <w:rPr>
          <w:w w:val="110"/>
        </w:rPr>
        <w:t>por</w:t>
      </w:r>
      <w:r>
        <w:rPr>
          <w:spacing w:val="25"/>
          <w:w w:val="110"/>
        </w:rPr>
        <w:t> </w:t>
      </w:r>
      <w:r>
        <w:rPr>
          <w:w w:val="110"/>
        </w:rPr>
        <w:t>la</w:t>
      </w:r>
      <w:r>
        <w:rPr>
          <w:spacing w:val="25"/>
          <w:w w:val="110"/>
        </w:rPr>
        <w:t> </w:t>
      </w:r>
      <w:r>
        <w:rPr>
          <w:w w:val="110"/>
        </w:rPr>
        <w:t>resistencia</w:t>
      </w:r>
      <w:r>
        <w:rPr>
          <w:spacing w:val="25"/>
          <w:w w:val="110"/>
        </w:rPr>
        <w:t> </w:t>
      </w:r>
      <w:r>
        <w:rPr>
          <w:w w:val="110"/>
        </w:rPr>
        <w:t>que</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desplegaron varios países. No se pudo concretar el gran bazar que promovía Washington para manejar las exportaciones desde alaska a tierra  del Fuego.</w:t>
      </w:r>
    </w:p>
    <w:p>
      <w:pPr>
        <w:pStyle w:val="BodyText"/>
        <w:spacing w:line="252" w:lineRule="auto"/>
        <w:ind w:left="330" w:right="117" w:firstLine="396"/>
        <w:jc w:val="both"/>
      </w:pPr>
      <w:r>
        <w:rPr>
          <w:w w:val="110"/>
        </w:rPr>
        <w:t>Estados unidos comenzó a suscribir convenios bilaterales para reemplazar el fallido acuerdo hemisférico y ahora ensaya otro paso con la constitución de la alianza del Pacífico. Motoriza esta iniciativa mediante giras presidenciales y promesas de todo tipo. </w:t>
      </w:r>
      <w:r>
        <w:rPr>
          <w:spacing w:val="-9"/>
          <w:w w:val="110"/>
        </w:rPr>
        <w:t>Ya </w:t>
      </w:r>
      <w:r>
        <w:rPr>
          <w:w w:val="110"/>
        </w:rPr>
        <w:t>concretó  un bloque con Perú, México, Chile y Colombia, se apresta a sumar a Panamá y Costa rica y tienta a uruguay y Paraguay con el estatus de observadores (Morgenfeld,</w:t>
      </w:r>
      <w:r>
        <w:rPr>
          <w:spacing w:val="-30"/>
          <w:w w:val="110"/>
        </w:rPr>
        <w:t> </w:t>
      </w:r>
      <w:r>
        <w:rPr>
          <w:w w:val="110"/>
        </w:rPr>
        <w:t>2013).</w:t>
      </w:r>
    </w:p>
    <w:p>
      <w:pPr>
        <w:pStyle w:val="BodyText"/>
        <w:spacing w:line="252" w:lineRule="auto"/>
        <w:ind w:left="330" w:right="117" w:firstLine="396"/>
        <w:jc w:val="both"/>
      </w:pPr>
      <w:r>
        <w:rPr>
          <w:w w:val="243"/>
        </w:rPr>
        <w:t>l</w:t>
      </w:r>
      <w:r>
        <w:rPr>
          <w:w w:val="108"/>
        </w:rPr>
        <w:t>os</w:t>
      </w:r>
      <w:r>
        <w:rPr/>
        <w:t>  </w:t>
      </w:r>
      <w:r>
        <w:rPr>
          <w:w w:val="108"/>
        </w:rPr>
        <w:t>tratados</w:t>
      </w:r>
      <w:r>
        <w:rPr/>
        <w:t>  </w:t>
      </w:r>
      <w:r>
        <w:rPr>
          <w:w w:val="111"/>
        </w:rPr>
        <w:t>buscan</w:t>
      </w:r>
      <w:r>
        <w:rPr/>
        <w:t>  </w:t>
      </w:r>
      <w:r>
        <w:rPr>
          <w:w w:val="109"/>
        </w:rPr>
        <w:t>incrementar</w:t>
      </w:r>
      <w:r>
        <w:rPr/>
        <w:t>  </w:t>
      </w:r>
      <w:r>
        <w:rPr>
          <w:w w:val="109"/>
        </w:rPr>
        <w:t>las</w:t>
      </w:r>
      <w:r>
        <w:rPr/>
        <w:t>  </w:t>
      </w:r>
      <w:r>
        <w:rPr>
          <w:w w:val="107"/>
        </w:rPr>
        <w:t>ventas</w:t>
      </w:r>
      <w:r>
        <w:rPr/>
        <w:t>  </w:t>
      </w:r>
      <w:r>
        <w:rPr>
          <w:w w:val="108"/>
        </w:rPr>
        <w:t>estadounidenses</w:t>
      </w:r>
      <w:r>
        <w:rPr/>
        <w:t>  </w:t>
      </w:r>
      <w:r>
        <w:rPr>
          <w:w w:val="112"/>
        </w:rPr>
        <w:t>a </w:t>
      </w:r>
      <w:r>
        <w:rPr>
          <w:w w:val="110"/>
        </w:rPr>
        <w:t>mercados que se tornan cautivos, a medida que la apertura arancela- ria destruye la competitividad local. también refuerzan el patrón de </w:t>
      </w:r>
      <w:r>
        <w:rPr>
          <w:w w:val="111"/>
        </w:rPr>
        <w:t>especialización</w:t>
      </w:r>
      <w:r>
        <w:rPr/>
        <w:t> </w:t>
      </w:r>
      <w:r>
        <w:rPr>
          <w:w w:val="108"/>
        </w:rPr>
        <w:t>minero-petrolera</w:t>
      </w:r>
      <w:r>
        <w:rPr/>
        <w:t> </w:t>
      </w:r>
      <w:r>
        <w:rPr>
          <w:w w:val="107"/>
        </w:rPr>
        <w:t>de</w:t>
      </w:r>
      <w:r>
        <w:rPr/>
        <w:t> </w:t>
      </w:r>
      <w:r>
        <w:rPr>
          <w:w w:val="139"/>
        </w:rPr>
        <w:t>a</w:t>
      </w:r>
      <w:r>
        <w:rPr>
          <w:w w:val="111"/>
        </w:rPr>
        <w:t>mérica</w:t>
      </w:r>
      <w:r>
        <w:rPr/>
        <w:t> </w:t>
      </w:r>
      <w:r>
        <w:rPr>
          <w:w w:val="243"/>
        </w:rPr>
        <w:t>l</w:t>
      </w:r>
      <w:r>
        <w:rPr>
          <w:w w:val="113"/>
        </w:rPr>
        <w:t>atina,</w:t>
      </w:r>
      <w:r>
        <w:rPr/>
        <w:t> </w:t>
      </w:r>
      <w:r>
        <w:rPr>
          <w:w w:val="109"/>
        </w:rPr>
        <w:t>para</w:t>
      </w:r>
      <w:r>
        <w:rPr/>
        <w:t> </w:t>
      </w:r>
      <w:r>
        <w:rPr>
          <w:w w:val="108"/>
        </w:rPr>
        <w:t>asegurar</w:t>
      </w:r>
      <w:r>
        <w:rPr/>
        <w:t> </w:t>
      </w:r>
      <w:r>
        <w:rPr>
          <w:w w:val="107"/>
        </w:rPr>
        <w:t>el </w:t>
      </w:r>
      <w:r>
        <w:rPr>
          <w:w w:val="110"/>
        </w:rPr>
        <w:t>abastecimiento de insumos básicos a las empresas  yanquis.</w:t>
      </w:r>
    </w:p>
    <w:p>
      <w:pPr>
        <w:pStyle w:val="BodyText"/>
        <w:spacing w:line="252" w:lineRule="auto"/>
        <w:ind w:left="330" w:right="118" w:firstLine="396"/>
        <w:jc w:val="both"/>
      </w:pPr>
      <w:r>
        <w:rPr>
          <w:w w:val="110"/>
        </w:rPr>
        <w:t>El proyecto apunta, además, a la triangulación mundial. Está concebido como un puente con los dos convenios gigantescos que      la primera potencia promueve con 28 naciones de la unión Europea </w:t>
      </w:r>
      <w:r>
        <w:rPr>
          <w:spacing w:val="-3"/>
          <w:w w:val="110"/>
        </w:rPr>
        <w:t>(tratado </w:t>
      </w:r>
      <w:r>
        <w:rPr>
          <w:w w:val="110"/>
        </w:rPr>
        <w:t>de  sociedad  transatlántica  de  Comercio  e  inversión,  </w:t>
      </w:r>
      <w:r>
        <w:rPr>
          <w:w w:val="130"/>
        </w:rPr>
        <w:t>ttiP) </w:t>
      </w:r>
      <w:r>
        <w:rPr>
          <w:w w:val="110"/>
        </w:rPr>
        <w:t>y con 11 países asiáticos (acuerdo de asociación transpacífico, tPP). Estos acuerdos se amoldan a las necesidades de las empresas más globalizadas, que fabrican en distintas localizaciones y lucran con la movilidad de capitales y </w:t>
      </w:r>
      <w:r>
        <w:rPr>
          <w:spacing w:val="3"/>
          <w:w w:val="110"/>
        </w:rPr>
        <w:t> </w:t>
      </w:r>
      <w:r>
        <w:rPr>
          <w:w w:val="110"/>
        </w:rPr>
        <w:t>mercancías.</w:t>
      </w:r>
    </w:p>
    <w:p>
      <w:pPr>
        <w:pStyle w:val="BodyText"/>
        <w:spacing w:line="252" w:lineRule="auto"/>
        <w:ind w:left="330" w:right="117" w:firstLine="396"/>
        <w:jc w:val="both"/>
      </w:pPr>
      <w:r>
        <w:rPr>
          <w:w w:val="110"/>
        </w:rPr>
        <w:t>En el plano geopolítico, la alianza del Pacífico busca neutralizar cualquier proyecto de autonomía latinoamericana. Por eso se ha sus- tituido la suscripción dispersa de los </w:t>
      </w:r>
      <w:r>
        <w:rPr>
          <w:w w:val="160"/>
        </w:rPr>
        <w:t>tlC </w:t>
      </w:r>
      <w:r>
        <w:rPr>
          <w:w w:val="110"/>
        </w:rPr>
        <w:t>por un plan articulado de bloque regional.</w:t>
      </w:r>
    </w:p>
    <w:p>
      <w:pPr>
        <w:pStyle w:val="BodyText"/>
        <w:spacing w:before="11"/>
        <w:rPr>
          <w:sz w:val="18"/>
        </w:rPr>
      </w:pPr>
    </w:p>
    <w:p>
      <w:pPr>
        <w:spacing w:before="0"/>
        <w:ind w:left="727" w:right="117" w:firstLine="0"/>
        <w:jc w:val="both"/>
        <w:rPr>
          <w:sz w:val="18"/>
        </w:rPr>
      </w:pPr>
      <w:r>
        <w:rPr>
          <w:w w:val="110"/>
          <w:sz w:val="18"/>
        </w:rPr>
        <w:t>México es el ejemplo más avanzado de esa estrategia. En dos décadas de vigencia del </w:t>
      </w:r>
      <w:r>
        <w:rPr>
          <w:w w:val="140"/>
          <w:sz w:val="18"/>
        </w:rPr>
        <w:t>tlCaN </w:t>
      </w:r>
      <w:r>
        <w:rPr>
          <w:w w:val="110"/>
          <w:sz w:val="18"/>
        </w:rPr>
        <w:t>el país se ha transformado en una plataforma </w:t>
      </w:r>
      <w:r>
        <w:rPr>
          <w:w w:val="104"/>
          <w:sz w:val="18"/>
        </w:rPr>
        <w:t>de</w:t>
      </w:r>
      <w:r>
        <w:rPr>
          <w:sz w:val="18"/>
        </w:rPr>
        <w:t> </w:t>
      </w:r>
      <w:r>
        <w:rPr>
          <w:spacing w:val="-20"/>
          <w:sz w:val="18"/>
        </w:rPr>
        <w:t> </w:t>
      </w:r>
      <w:r>
        <w:rPr>
          <w:w w:val="105"/>
          <w:sz w:val="18"/>
        </w:rPr>
        <w:t>petróleo</w:t>
      </w:r>
      <w:r>
        <w:rPr>
          <w:sz w:val="18"/>
        </w:rPr>
        <w:t> </w:t>
      </w:r>
      <w:r>
        <w:rPr>
          <w:spacing w:val="-20"/>
          <w:sz w:val="18"/>
        </w:rPr>
        <w:t> </w:t>
      </w:r>
      <w:r>
        <w:rPr>
          <w:w w:val="102"/>
          <w:sz w:val="18"/>
        </w:rPr>
        <w:t>y</w:t>
      </w:r>
      <w:r>
        <w:rPr>
          <w:sz w:val="18"/>
        </w:rPr>
        <w:t> </w:t>
      </w:r>
      <w:r>
        <w:rPr>
          <w:spacing w:val="-20"/>
          <w:sz w:val="18"/>
        </w:rPr>
        <w:t> </w:t>
      </w:r>
      <w:r>
        <w:rPr>
          <w:w w:val="109"/>
          <w:sz w:val="18"/>
        </w:rPr>
        <w:t>maquilas</w:t>
      </w:r>
      <w:r>
        <w:rPr>
          <w:sz w:val="18"/>
        </w:rPr>
        <w:t> </w:t>
      </w:r>
      <w:r>
        <w:rPr>
          <w:spacing w:val="-20"/>
          <w:sz w:val="18"/>
        </w:rPr>
        <w:t> </w:t>
      </w:r>
      <w:r>
        <w:rPr>
          <w:w w:val="107"/>
          <w:sz w:val="18"/>
        </w:rPr>
        <w:t>para</w:t>
      </w:r>
      <w:r>
        <w:rPr>
          <w:sz w:val="18"/>
        </w:rPr>
        <w:t> </w:t>
      </w:r>
      <w:r>
        <w:rPr>
          <w:spacing w:val="-20"/>
          <w:sz w:val="18"/>
        </w:rPr>
        <w:t> </w:t>
      </w:r>
      <w:r>
        <w:rPr>
          <w:w w:val="104"/>
          <w:sz w:val="18"/>
        </w:rPr>
        <w:t>el</w:t>
      </w:r>
      <w:r>
        <w:rPr>
          <w:sz w:val="18"/>
        </w:rPr>
        <w:t> </w:t>
      </w:r>
      <w:r>
        <w:rPr>
          <w:spacing w:val="-20"/>
          <w:sz w:val="18"/>
        </w:rPr>
        <w:t> </w:t>
      </w:r>
      <w:r>
        <w:rPr>
          <w:w w:val="108"/>
          <w:sz w:val="18"/>
        </w:rPr>
        <w:t>mercado</w:t>
      </w:r>
      <w:r>
        <w:rPr>
          <w:sz w:val="18"/>
        </w:rPr>
        <w:t> </w:t>
      </w:r>
      <w:r>
        <w:rPr>
          <w:spacing w:val="-20"/>
          <w:sz w:val="18"/>
        </w:rPr>
        <w:t> </w:t>
      </w:r>
      <w:r>
        <w:rPr>
          <w:w w:val="107"/>
          <w:sz w:val="18"/>
        </w:rPr>
        <w:t>estadounidense.</w:t>
      </w:r>
      <w:r>
        <w:rPr>
          <w:sz w:val="18"/>
        </w:rPr>
        <w:t> </w:t>
      </w:r>
      <w:r>
        <w:rPr>
          <w:spacing w:val="-20"/>
          <w:sz w:val="18"/>
        </w:rPr>
        <w:t> </w:t>
      </w:r>
      <w:r>
        <w:rPr>
          <w:w w:val="238"/>
          <w:sz w:val="18"/>
        </w:rPr>
        <w:t>l</w:t>
      </w:r>
      <w:r>
        <w:rPr>
          <w:w w:val="105"/>
          <w:sz w:val="18"/>
        </w:rPr>
        <w:t>os</w:t>
      </w:r>
      <w:r>
        <w:rPr>
          <w:sz w:val="18"/>
        </w:rPr>
        <w:t> </w:t>
      </w:r>
      <w:r>
        <w:rPr>
          <w:spacing w:val="-20"/>
          <w:sz w:val="18"/>
        </w:rPr>
        <w:t> </w:t>
      </w:r>
      <w:r>
        <w:rPr>
          <w:w w:val="107"/>
          <w:sz w:val="18"/>
        </w:rPr>
        <w:t>neolibe</w:t>
      </w:r>
      <w:r>
        <w:rPr>
          <w:w w:val="100"/>
          <w:sz w:val="18"/>
        </w:rPr>
        <w:t>- </w:t>
      </w:r>
      <w:r>
        <w:rPr>
          <w:w w:val="110"/>
          <w:sz w:val="18"/>
        </w:rPr>
        <w:t>rales</w:t>
      </w:r>
      <w:r>
        <w:rPr>
          <w:spacing w:val="-15"/>
          <w:w w:val="110"/>
          <w:sz w:val="18"/>
        </w:rPr>
        <w:t> </w:t>
      </w:r>
      <w:r>
        <w:rPr>
          <w:w w:val="110"/>
          <w:sz w:val="18"/>
        </w:rPr>
        <w:t>celebran</w:t>
      </w:r>
      <w:r>
        <w:rPr>
          <w:spacing w:val="-15"/>
          <w:w w:val="110"/>
          <w:sz w:val="18"/>
        </w:rPr>
        <w:t> </w:t>
      </w:r>
      <w:r>
        <w:rPr>
          <w:w w:val="110"/>
          <w:sz w:val="18"/>
        </w:rPr>
        <w:t>esta</w:t>
      </w:r>
      <w:r>
        <w:rPr>
          <w:spacing w:val="-15"/>
          <w:w w:val="110"/>
          <w:sz w:val="18"/>
        </w:rPr>
        <w:t> </w:t>
      </w:r>
      <w:r>
        <w:rPr>
          <w:w w:val="110"/>
          <w:sz w:val="18"/>
        </w:rPr>
        <w:t>asimilación</w:t>
      </w:r>
      <w:r>
        <w:rPr>
          <w:spacing w:val="-15"/>
          <w:w w:val="110"/>
          <w:sz w:val="18"/>
        </w:rPr>
        <w:t> </w:t>
      </w:r>
      <w:r>
        <w:rPr>
          <w:w w:val="110"/>
          <w:sz w:val="18"/>
        </w:rPr>
        <w:t>difundiendo</w:t>
      </w:r>
      <w:r>
        <w:rPr>
          <w:spacing w:val="-15"/>
          <w:w w:val="110"/>
          <w:sz w:val="18"/>
        </w:rPr>
        <w:t> </w:t>
      </w:r>
      <w:r>
        <w:rPr>
          <w:w w:val="110"/>
          <w:sz w:val="18"/>
        </w:rPr>
        <w:t>inverosímiles</w:t>
      </w:r>
      <w:r>
        <w:rPr>
          <w:spacing w:val="-15"/>
          <w:w w:val="110"/>
          <w:sz w:val="18"/>
        </w:rPr>
        <w:t> </w:t>
      </w:r>
      <w:r>
        <w:rPr>
          <w:w w:val="110"/>
          <w:sz w:val="18"/>
        </w:rPr>
        <w:t>imágenes</w:t>
      </w:r>
      <w:r>
        <w:rPr>
          <w:spacing w:val="-15"/>
          <w:w w:val="110"/>
          <w:sz w:val="18"/>
        </w:rPr>
        <w:t> </w:t>
      </w:r>
      <w:r>
        <w:rPr>
          <w:w w:val="110"/>
          <w:sz w:val="18"/>
        </w:rPr>
        <w:t>de progreso,</w:t>
      </w:r>
      <w:r>
        <w:rPr>
          <w:spacing w:val="-11"/>
          <w:w w:val="110"/>
          <w:sz w:val="18"/>
        </w:rPr>
        <w:t> </w:t>
      </w:r>
      <w:r>
        <w:rPr>
          <w:w w:val="110"/>
          <w:sz w:val="18"/>
        </w:rPr>
        <w:t>que</w:t>
      </w:r>
      <w:r>
        <w:rPr>
          <w:spacing w:val="-11"/>
          <w:w w:val="110"/>
          <w:sz w:val="18"/>
        </w:rPr>
        <w:t> </w:t>
      </w:r>
      <w:r>
        <w:rPr>
          <w:w w:val="110"/>
          <w:sz w:val="18"/>
        </w:rPr>
        <w:t>ocultan</w:t>
      </w:r>
      <w:r>
        <w:rPr>
          <w:spacing w:val="-11"/>
          <w:w w:val="110"/>
          <w:sz w:val="18"/>
        </w:rPr>
        <w:t> </w:t>
      </w:r>
      <w:r>
        <w:rPr>
          <w:w w:val="110"/>
          <w:sz w:val="18"/>
        </w:rPr>
        <w:t>la</w:t>
      </w:r>
      <w:r>
        <w:rPr>
          <w:spacing w:val="-11"/>
          <w:w w:val="110"/>
          <w:sz w:val="18"/>
        </w:rPr>
        <w:t> </w:t>
      </w:r>
      <w:r>
        <w:rPr>
          <w:w w:val="110"/>
          <w:sz w:val="18"/>
        </w:rPr>
        <w:t>desarticulación</w:t>
      </w:r>
      <w:r>
        <w:rPr>
          <w:spacing w:val="-11"/>
          <w:w w:val="110"/>
          <w:sz w:val="18"/>
        </w:rPr>
        <w:t> </w:t>
      </w:r>
      <w:r>
        <w:rPr>
          <w:w w:val="110"/>
          <w:sz w:val="18"/>
        </w:rPr>
        <w:t>de</w:t>
      </w:r>
      <w:r>
        <w:rPr>
          <w:spacing w:val="-11"/>
          <w:w w:val="110"/>
          <w:sz w:val="18"/>
        </w:rPr>
        <w:t> </w:t>
      </w:r>
      <w:r>
        <w:rPr>
          <w:w w:val="110"/>
          <w:sz w:val="18"/>
        </w:rPr>
        <w:t>la</w:t>
      </w:r>
      <w:r>
        <w:rPr>
          <w:spacing w:val="-11"/>
          <w:w w:val="110"/>
          <w:sz w:val="18"/>
        </w:rPr>
        <w:t> </w:t>
      </w:r>
      <w:r>
        <w:rPr>
          <w:w w:val="110"/>
          <w:sz w:val="18"/>
        </w:rPr>
        <w:t>economía</w:t>
      </w:r>
      <w:r>
        <w:rPr>
          <w:spacing w:val="-11"/>
          <w:w w:val="110"/>
          <w:sz w:val="18"/>
        </w:rPr>
        <w:t> </w:t>
      </w:r>
      <w:r>
        <w:rPr>
          <w:w w:val="110"/>
          <w:sz w:val="18"/>
        </w:rPr>
        <w:t>azteca</w:t>
      </w:r>
      <w:r>
        <w:rPr>
          <w:spacing w:val="-11"/>
          <w:w w:val="110"/>
          <w:sz w:val="18"/>
        </w:rPr>
        <w:t> </w:t>
      </w:r>
      <w:r>
        <w:rPr>
          <w:w w:val="110"/>
          <w:sz w:val="18"/>
        </w:rPr>
        <w:t>(Cárde- nas,</w:t>
      </w:r>
      <w:r>
        <w:rPr>
          <w:spacing w:val="-20"/>
          <w:w w:val="110"/>
          <w:sz w:val="18"/>
        </w:rPr>
        <w:t> </w:t>
      </w:r>
      <w:r>
        <w:rPr>
          <w:w w:val="110"/>
          <w:sz w:val="18"/>
        </w:rPr>
        <w:t>2013;</w:t>
      </w:r>
      <w:r>
        <w:rPr>
          <w:spacing w:val="-20"/>
          <w:w w:val="110"/>
          <w:sz w:val="18"/>
        </w:rPr>
        <w:t> </w:t>
      </w:r>
      <w:r>
        <w:rPr>
          <w:w w:val="110"/>
          <w:sz w:val="18"/>
        </w:rPr>
        <w:t>oppenheimer,</w:t>
      </w:r>
      <w:r>
        <w:rPr>
          <w:spacing w:val="-20"/>
          <w:w w:val="110"/>
          <w:sz w:val="18"/>
        </w:rPr>
        <w:t> </w:t>
      </w:r>
      <w:r>
        <w:rPr>
          <w:w w:val="110"/>
          <w:sz w:val="18"/>
        </w:rPr>
        <w:t>2013).</w:t>
      </w:r>
    </w:p>
    <w:p>
      <w:pPr>
        <w:pStyle w:val="BodyText"/>
        <w:spacing w:before="1"/>
        <w:rPr>
          <w:sz w:val="21"/>
        </w:rPr>
      </w:pPr>
    </w:p>
    <w:p>
      <w:pPr>
        <w:pStyle w:val="BodyText"/>
        <w:spacing w:line="252" w:lineRule="auto"/>
        <w:ind w:left="330" w:right="115"/>
        <w:jc w:val="both"/>
      </w:pPr>
      <w:r>
        <w:rPr>
          <w:w w:val="243"/>
        </w:rPr>
        <w:t>l</w:t>
      </w:r>
      <w:r>
        <w:rPr>
          <w:w w:val="112"/>
        </w:rPr>
        <w:t>a</w:t>
      </w:r>
      <w:r>
        <w:rPr/>
        <w:t> </w:t>
      </w:r>
      <w:r>
        <w:rPr>
          <w:w w:val="110"/>
        </w:rPr>
        <w:t>industria</w:t>
      </w:r>
      <w:r>
        <w:rPr/>
        <w:t> </w:t>
      </w:r>
      <w:r>
        <w:rPr>
          <w:w w:val="108"/>
        </w:rPr>
        <w:t>que</w:t>
      </w:r>
      <w:r>
        <w:rPr/>
        <w:t> </w:t>
      </w:r>
      <w:r>
        <w:rPr>
          <w:w w:val="113"/>
        </w:rPr>
        <w:t>México</w:t>
      </w:r>
      <w:r>
        <w:rPr/>
        <w:t> </w:t>
      </w:r>
      <w:r>
        <w:rPr>
          <w:w w:val="110"/>
        </w:rPr>
        <w:t>forjó</w:t>
      </w:r>
      <w:r>
        <w:rPr/>
        <w:t> </w:t>
      </w:r>
      <w:r>
        <w:rPr>
          <w:w w:val="109"/>
        </w:rPr>
        <w:t>durante</w:t>
      </w:r>
      <w:r>
        <w:rPr/>
        <w:t> </w:t>
      </w:r>
      <w:r>
        <w:rPr>
          <w:w w:val="111"/>
        </w:rPr>
        <w:t>la</w:t>
      </w:r>
      <w:r>
        <w:rPr/>
        <w:t> </w:t>
      </w:r>
      <w:r>
        <w:rPr>
          <w:w w:val="110"/>
        </w:rPr>
        <w:t>sustitución</w:t>
      </w:r>
      <w:r>
        <w:rPr/>
        <w:t> </w:t>
      </w:r>
      <w:r>
        <w:rPr>
          <w:w w:val="107"/>
        </w:rPr>
        <w:t>de</w:t>
      </w:r>
      <w:r>
        <w:rPr/>
        <w:t> </w:t>
      </w:r>
      <w:r>
        <w:rPr>
          <w:w w:val="111"/>
        </w:rPr>
        <w:t>importacio</w:t>
      </w:r>
      <w:r>
        <w:rPr>
          <w:w w:val="102"/>
        </w:rPr>
        <w:t>- </w:t>
      </w:r>
      <w:r>
        <w:rPr>
          <w:w w:val="110"/>
        </w:rPr>
        <w:t>nes ha quedado desmantelada. Por cada dólar que se exporta a Esta- dos unidos hay cuarenta centavos de importaciones del comprador. Esta atadura supera a Canadá y presupone un sometimiento absolu- </w:t>
      </w:r>
      <w:r>
        <w:rPr>
          <w:w w:val="114"/>
        </w:rPr>
        <w:t>to.</w:t>
      </w:r>
      <w:r>
        <w:rPr/>
        <w:t> </w:t>
      </w:r>
      <w:r>
        <w:rPr>
          <w:w w:val="243"/>
        </w:rPr>
        <w:t>l</w:t>
      </w:r>
      <w:r>
        <w:rPr>
          <w:w w:val="112"/>
        </w:rPr>
        <w:t>a</w:t>
      </w:r>
      <w:r>
        <w:rPr/>
        <w:t> </w:t>
      </w:r>
      <w:r>
        <w:rPr>
          <w:w w:val="111"/>
        </w:rPr>
        <w:t>formalidad</w:t>
      </w:r>
      <w:r>
        <w:rPr/>
        <w:t> </w:t>
      </w:r>
      <w:r>
        <w:rPr>
          <w:w w:val="107"/>
        </w:rPr>
        <w:t>de</w:t>
      </w:r>
      <w:r>
        <w:rPr/>
        <w:t> </w:t>
      </w:r>
      <w:r>
        <w:rPr>
          <w:w w:val="112"/>
        </w:rPr>
        <w:t>un</w:t>
      </w:r>
      <w:r>
        <w:rPr/>
        <w:t> </w:t>
      </w:r>
      <w:r>
        <w:rPr>
          <w:w w:val="109"/>
        </w:rPr>
        <w:t>tratado</w:t>
      </w:r>
      <w:r>
        <w:rPr/>
        <w:t> </w:t>
      </w:r>
      <w:r>
        <w:rPr>
          <w:w w:val="109"/>
        </w:rPr>
        <w:t>tripartito</w:t>
      </w:r>
      <w:r>
        <w:rPr/>
        <w:t> </w:t>
      </w:r>
      <w:r>
        <w:rPr>
          <w:w w:val="111"/>
        </w:rPr>
        <w:t>oculta</w:t>
      </w:r>
      <w:r>
        <w:rPr/>
        <w:t> </w:t>
      </w:r>
      <w:r>
        <w:rPr>
          <w:w w:val="112"/>
        </w:rPr>
        <w:t>una</w:t>
      </w:r>
      <w:r>
        <w:rPr/>
        <w:t> </w:t>
      </w:r>
      <w:r>
        <w:rPr>
          <w:w w:val="110"/>
        </w:rPr>
        <w:t>sociedad</w:t>
      </w:r>
      <w:r>
        <w:rPr/>
        <w:t> </w:t>
      </w:r>
      <w:r>
        <w:rPr>
          <w:w w:val="106"/>
        </w:rPr>
        <w:t>entre </w:t>
      </w:r>
      <w:r>
        <w:rPr>
          <w:w w:val="110"/>
        </w:rPr>
        <w:t>dos poderosos que subordinan al integrante latino. México vende el 90% de sus productos a su vecino, tiene sus riquezas naturales ata- das a ese mercado y drena mano de obra para realizar trabajos de</w:t>
      </w:r>
    </w:p>
    <w:p>
      <w:pPr>
        <w:spacing w:after="0" w:line="252" w:lineRule="auto"/>
        <w:jc w:val="both"/>
        <w:sectPr>
          <w:footerReference w:type="default" r:id="rId201"/>
          <w:footerReference w:type="even" r:id="rId202"/>
          <w:pgSz w:w="8790" w:h="12760"/>
          <w:pgMar w:footer="725" w:header="697" w:top="880" w:bottom="920" w:left="1200" w:right="900"/>
        </w:sectPr>
      </w:pPr>
    </w:p>
    <w:p>
      <w:pPr>
        <w:pStyle w:val="BodyText"/>
        <w:spacing w:before="9"/>
        <w:rPr>
          <w:sz w:val="28"/>
        </w:rPr>
      </w:pPr>
    </w:p>
    <w:p>
      <w:pPr>
        <w:pStyle w:val="BodyText"/>
        <w:spacing w:line="252" w:lineRule="auto" w:before="73"/>
        <w:ind w:left="100" w:right="326"/>
        <w:jc w:val="both"/>
      </w:pPr>
      <w:r>
        <w:rPr>
          <w:w w:val="110"/>
        </w:rPr>
        <w:t>baja calificación al otro lado de la frontera (Echeverría, 2012). Esta dependencia extingue la autonomía de política exterior que exhibía México en los años ’60, cuando  mantenía  relaciones  diplomáticas con Cuba desafiando al resto del continente. Esa actitud ha queda-    do demolida con el </w:t>
      </w:r>
      <w:r>
        <w:rPr>
          <w:w w:val="130"/>
        </w:rPr>
        <w:t>NaFta, </w:t>
      </w:r>
      <w:r>
        <w:rPr>
          <w:w w:val="110"/>
        </w:rPr>
        <w:t>que impera borrando la memoria de la enorme confiscación territorial que Estados unidos le impuso a su vecino durante el siglo  </w:t>
      </w:r>
      <w:r>
        <w:rPr>
          <w:spacing w:val="25"/>
          <w:w w:val="110"/>
        </w:rPr>
        <w:t> </w:t>
      </w:r>
      <w:r>
        <w:rPr>
          <w:w w:val="130"/>
        </w:rPr>
        <w:t>xix.</w:t>
      </w:r>
    </w:p>
    <w:p>
      <w:pPr>
        <w:pStyle w:val="BodyText"/>
        <w:spacing w:line="252" w:lineRule="auto"/>
        <w:ind w:left="100" w:right="325" w:firstLine="396"/>
        <w:jc w:val="both"/>
      </w:pPr>
      <w:r>
        <w:rPr>
          <w:w w:val="121"/>
        </w:rPr>
        <w:t>En</w:t>
      </w:r>
      <w:r>
        <w:rPr/>
        <w:t>  </w:t>
      </w:r>
      <w:r>
        <w:rPr>
          <w:w w:val="111"/>
        </w:rPr>
        <w:t>síntesis,</w:t>
      </w:r>
      <w:r>
        <w:rPr/>
        <w:t>  </w:t>
      </w:r>
      <w:r>
        <w:rPr>
          <w:w w:val="112"/>
        </w:rPr>
        <w:t>Estados</w:t>
      </w:r>
      <w:r>
        <w:rPr/>
        <w:t>  </w:t>
      </w:r>
      <w:r>
        <w:rPr>
          <w:w w:val="141"/>
        </w:rPr>
        <w:t>u</w:t>
      </w:r>
      <w:r>
        <w:rPr>
          <w:w w:val="111"/>
        </w:rPr>
        <w:t>nidos</w:t>
      </w:r>
      <w:r>
        <w:rPr/>
        <w:t>  </w:t>
      </w:r>
      <w:r>
        <w:rPr>
          <w:w w:val="112"/>
        </w:rPr>
        <w:t>no</w:t>
      </w:r>
      <w:r>
        <w:rPr/>
        <w:t>  </w:t>
      </w:r>
      <w:r>
        <w:rPr>
          <w:w w:val="106"/>
        </w:rPr>
        <w:t>se</w:t>
      </w:r>
      <w:r>
        <w:rPr/>
        <w:t>  </w:t>
      </w:r>
      <w:r>
        <w:rPr>
          <w:w w:val="108"/>
        </w:rPr>
        <w:t>desinteresa</w:t>
      </w:r>
      <w:r>
        <w:rPr/>
        <w:t>  </w:t>
      </w:r>
      <w:r>
        <w:rPr>
          <w:w w:val="108"/>
        </w:rPr>
        <w:t>de</w:t>
      </w:r>
      <w:r>
        <w:rPr/>
        <w:t>  </w:t>
      </w:r>
      <w:r>
        <w:rPr>
          <w:w w:val="140"/>
        </w:rPr>
        <w:t>a</w:t>
      </w:r>
      <w:r>
        <w:rPr>
          <w:w w:val="112"/>
        </w:rPr>
        <w:t>mérica</w:t>
      </w:r>
      <w:r>
        <w:rPr/>
        <w:t>  </w:t>
      </w:r>
      <w:r>
        <w:rPr>
          <w:w w:val="246"/>
        </w:rPr>
        <w:t>l</w:t>
      </w:r>
      <w:r>
        <w:rPr>
          <w:w w:val="113"/>
        </w:rPr>
        <w:t>a</w:t>
      </w:r>
      <w:r>
        <w:rPr>
          <w:w w:val="103"/>
        </w:rPr>
        <w:t>- </w:t>
      </w:r>
      <w:r>
        <w:rPr>
          <w:w w:val="115"/>
        </w:rPr>
        <w:t>tina. Con una diplomacia más afable despliega tropas para reorga- nizar su dominación, buscando asegurar su control de los recursos naturales ante los competidores de Europa y China. El instrumento geopolítico de esta acción es un tratado del Pacífico, que apunta a retomar los objetivos imperiales que no se alcanzaron por medio del  </w:t>
      </w:r>
      <w:r>
        <w:rPr>
          <w:w w:val="130"/>
        </w:rPr>
        <w:t>alCa.</w:t>
      </w:r>
    </w:p>
    <w:p>
      <w:pPr>
        <w:pStyle w:val="BodyText"/>
        <w:spacing w:before="5"/>
      </w:pPr>
    </w:p>
    <w:p>
      <w:pPr>
        <w:pStyle w:val="Heading6"/>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pStyle w:val="BodyText"/>
        <w:spacing w:before="10"/>
        <w:ind w:left="100"/>
      </w:pPr>
      <w:r>
        <w:rPr>
          <w:w w:val="115"/>
        </w:rPr>
        <w:t>anderson, Perry 2013 “american Foreign Policy and its thinkers”, en</w:t>
      </w:r>
    </w:p>
    <w:p>
      <w:pPr>
        <w:spacing w:before="11"/>
        <w:ind w:left="497" w:right="0" w:firstLine="0"/>
        <w:jc w:val="left"/>
        <w:rPr>
          <w:sz w:val="19"/>
        </w:rPr>
      </w:pPr>
      <w:r>
        <w:rPr>
          <w:i/>
          <w:w w:val="111"/>
          <w:sz w:val="19"/>
        </w:rPr>
        <w:t>New</w:t>
      </w:r>
      <w:r>
        <w:rPr>
          <w:i/>
          <w:spacing w:val="12"/>
          <w:sz w:val="19"/>
        </w:rPr>
        <w:t> </w:t>
      </w:r>
      <w:r>
        <w:rPr>
          <w:i/>
          <w:w w:val="107"/>
          <w:sz w:val="19"/>
        </w:rPr>
        <w:t>Left</w:t>
      </w:r>
      <w:r>
        <w:rPr>
          <w:i/>
          <w:spacing w:val="12"/>
          <w:sz w:val="19"/>
        </w:rPr>
        <w:t> </w:t>
      </w:r>
      <w:r>
        <w:rPr>
          <w:i/>
          <w:w w:val="111"/>
          <w:sz w:val="19"/>
        </w:rPr>
        <w:t>Review</w:t>
      </w:r>
      <w:r>
        <w:rPr>
          <w:w w:val="138"/>
          <w:sz w:val="19"/>
        </w:rPr>
        <w:t>,</w:t>
      </w:r>
      <w:r>
        <w:rPr>
          <w:spacing w:val="12"/>
          <w:sz w:val="19"/>
        </w:rPr>
        <w:t> </w:t>
      </w:r>
      <w:r>
        <w:rPr>
          <w:w w:val="105"/>
          <w:sz w:val="19"/>
        </w:rPr>
        <w:t>Nº</w:t>
      </w:r>
      <w:r>
        <w:rPr>
          <w:spacing w:val="12"/>
          <w:sz w:val="19"/>
        </w:rPr>
        <w:t> </w:t>
      </w:r>
      <w:r>
        <w:rPr>
          <w:w w:val="108"/>
          <w:sz w:val="19"/>
        </w:rPr>
        <w:t>83,</w:t>
      </w:r>
      <w:r>
        <w:rPr>
          <w:spacing w:val="12"/>
          <w:sz w:val="19"/>
        </w:rPr>
        <w:t> </w:t>
      </w:r>
      <w:r>
        <w:rPr>
          <w:w w:val="243"/>
          <w:sz w:val="19"/>
        </w:rPr>
        <w:t>l</w:t>
      </w:r>
      <w:r>
        <w:rPr>
          <w:w w:val="112"/>
          <w:sz w:val="19"/>
        </w:rPr>
        <w:t>ondon,</w:t>
      </w:r>
      <w:r>
        <w:rPr>
          <w:spacing w:val="12"/>
          <w:sz w:val="19"/>
        </w:rPr>
        <w:t> </w:t>
      </w:r>
      <w:r>
        <w:rPr>
          <w:w w:val="109"/>
          <w:sz w:val="19"/>
        </w:rPr>
        <w:t>sept-oct.</w:t>
      </w:r>
    </w:p>
    <w:p>
      <w:pPr>
        <w:pStyle w:val="BodyText"/>
        <w:spacing w:line="252" w:lineRule="auto" w:before="39"/>
        <w:ind w:left="497" w:right="819" w:hanging="397"/>
      </w:pPr>
      <w:r>
        <w:rPr>
          <w:w w:val="105"/>
        </w:rPr>
        <w:t>armanian, Nazanín 2014 “arabia saudí: el viaje más importante de obama”,  en  </w:t>
      </w:r>
      <w:hyperlink r:id="rId203">
        <w:r>
          <w:rPr>
            <w:w w:val="105"/>
          </w:rPr>
          <w:t>&lt;www.other-news.info/31/3&gt;.</w:t>
        </w:r>
      </w:hyperlink>
    </w:p>
    <w:p>
      <w:pPr>
        <w:pStyle w:val="BodyText"/>
        <w:spacing w:line="252" w:lineRule="auto" w:before="28"/>
        <w:ind w:left="497" w:right="819" w:hanging="397"/>
      </w:pPr>
      <w:r>
        <w:rPr>
          <w:w w:val="134"/>
        </w:rPr>
        <w:t>b</w:t>
      </w:r>
      <w:r>
        <w:rPr>
          <w:w w:val="108"/>
        </w:rPr>
        <w:t>erterretche,</w:t>
      </w:r>
      <w:r>
        <w:rPr/>
        <w:t> </w:t>
      </w:r>
      <w:r>
        <w:rPr>
          <w:w w:val="119"/>
        </w:rPr>
        <w:t>Juan</w:t>
      </w:r>
      <w:r>
        <w:rPr/>
        <w:t> </w:t>
      </w:r>
      <w:r>
        <w:rPr>
          <w:w w:val="243"/>
        </w:rPr>
        <w:t>l</w:t>
      </w:r>
      <w:r>
        <w:rPr>
          <w:w w:val="111"/>
        </w:rPr>
        <w:t>uis</w:t>
      </w:r>
      <w:r>
        <w:rPr/>
        <w:t> </w:t>
      </w:r>
      <w:r>
        <w:rPr>
          <w:w w:val="102"/>
        </w:rPr>
        <w:t>2010</w:t>
      </w:r>
      <w:r>
        <w:rPr/>
        <w:t> </w:t>
      </w:r>
      <w:r>
        <w:rPr>
          <w:w w:val="120"/>
        </w:rPr>
        <w:t>“El</w:t>
      </w:r>
      <w:r>
        <w:rPr/>
        <w:t> </w:t>
      </w:r>
      <w:r>
        <w:rPr>
          <w:w w:val="109"/>
        </w:rPr>
        <w:t>embuste</w:t>
      </w:r>
      <w:r>
        <w:rPr/>
        <w:t> </w:t>
      </w:r>
      <w:r>
        <w:rPr>
          <w:w w:val="107"/>
        </w:rPr>
        <w:t>de</w:t>
      </w:r>
      <w:r>
        <w:rPr/>
        <w:t> </w:t>
      </w:r>
      <w:r>
        <w:rPr>
          <w:w w:val="111"/>
        </w:rPr>
        <w:t>la</w:t>
      </w:r>
      <w:r>
        <w:rPr/>
        <w:t> </w:t>
      </w:r>
      <w:r>
        <w:rPr>
          <w:w w:val="108"/>
        </w:rPr>
        <w:t>guerra</w:t>
      </w:r>
      <w:r>
        <w:rPr/>
        <w:t> </w:t>
      </w:r>
      <w:r>
        <w:rPr>
          <w:w w:val="110"/>
        </w:rPr>
        <w:t>contra</w:t>
      </w:r>
      <w:r>
        <w:rPr/>
        <w:t> </w:t>
      </w:r>
      <w:r>
        <w:rPr>
          <w:w w:val="111"/>
        </w:rPr>
        <w:t>la </w:t>
      </w:r>
      <w:r>
        <w:rPr>
          <w:w w:val="110"/>
        </w:rPr>
        <w:t>droga”, en &lt;www.argenpress&gt;, 7 de diciembre.</w:t>
      </w:r>
    </w:p>
    <w:p>
      <w:pPr>
        <w:pStyle w:val="BodyText"/>
        <w:spacing w:line="252" w:lineRule="auto" w:before="28"/>
        <w:ind w:left="497" w:right="513" w:hanging="397"/>
      </w:pPr>
      <w:r>
        <w:rPr>
          <w:w w:val="115"/>
        </w:rPr>
        <w:t>Cárdenas,</w:t>
      </w:r>
      <w:r>
        <w:rPr>
          <w:spacing w:val="-15"/>
          <w:w w:val="115"/>
        </w:rPr>
        <w:t> </w:t>
      </w:r>
      <w:r>
        <w:rPr>
          <w:w w:val="115"/>
        </w:rPr>
        <w:t>Emilio</w:t>
      </w:r>
      <w:r>
        <w:rPr>
          <w:spacing w:val="-15"/>
          <w:w w:val="115"/>
        </w:rPr>
        <w:t> </w:t>
      </w:r>
      <w:r>
        <w:rPr>
          <w:w w:val="115"/>
        </w:rPr>
        <w:t>2013</w:t>
      </w:r>
      <w:r>
        <w:rPr>
          <w:spacing w:val="-15"/>
          <w:w w:val="115"/>
        </w:rPr>
        <w:t> </w:t>
      </w:r>
      <w:r>
        <w:rPr>
          <w:w w:val="115"/>
        </w:rPr>
        <w:t>“El</w:t>
      </w:r>
      <w:r>
        <w:rPr>
          <w:spacing w:val="-15"/>
          <w:w w:val="115"/>
        </w:rPr>
        <w:t> </w:t>
      </w:r>
      <w:r>
        <w:rPr>
          <w:w w:val="115"/>
        </w:rPr>
        <w:t>éxito</w:t>
      </w:r>
      <w:r>
        <w:rPr>
          <w:spacing w:val="-15"/>
          <w:w w:val="115"/>
        </w:rPr>
        <w:t> </w:t>
      </w:r>
      <w:r>
        <w:rPr>
          <w:w w:val="115"/>
        </w:rPr>
        <w:t>del</w:t>
      </w:r>
      <w:r>
        <w:rPr>
          <w:spacing w:val="-15"/>
          <w:w w:val="115"/>
        </w:rPr>
        <w:t> </w:t>
      </w:r>
      <w:r>
        <w:rPr>
          <w:w w:val="115"/>
        </w:rPr>
        <w:t>Nafta,</w:t>
      </w:r>
      <w:r>
        <w:rPr>
          <w:spacing w:val="-15"/>
          <w:w w:val="115"/>
        </w:rPr>
        <w:t> </w:t>
      </w:r>
      <w:r>
        <w:rPr>
          <w:w w:val="115"/>
        </w:rPr>
        <w:t>veinte</w:t>
      </w:r>
      <w:r>
        <w:rPr>
          <w:spacing w:val="-15"/>
          <w:w w:val="115"/>
        </w:rPr>
        <w:t> </w:t>
      </w:r>
      <w:r>
        <w:rPr>
          <w:w w:val="115"/>
        </w:rPr>
        <w:t>años</w:t>
      </w:r>
      <w:r>
        <w:rPr>
          <w:spacing w:val="-15"/>
          <w:w w:val="115"/>
        </w:rPr>
        <w:t> </w:t>
      </w:r>
      <w:r>
        <w:rPr>
          <w:w w:val="115"/>
        </w:rPr>
        <w:t>después”,</w:t>
      </w:r>
      <w:r>
        <w:rPr>
          <w:spacing w:val="-15"/>
          <w:w w:val="115"/>
        </w:rPr>
        <w:t> </w:t>
      </w:r>
      <w:r>
        <w:rPr>
          <w:w w:val="115"/>
        </w:rPr>
        <w:t>en </w:t>
      </w:r>
      <w:r>
        <w:rPr>
          <w:w w:val="243"/>
        </w:rPr>
        <w:t>l</w:t>
      </w:r>
      <w:r>
        <w:rPr>
          <w:w w:val="112"/>
        </w:rPr>
        <w:t>a</w:t>
      </w:r>
      <w:r>
        <w:rPr>
          <w:spacing w:val="12"/>
        </w:rPr>
        <w:t> </w:t>
      </w:r>
      <w:r>
        <w:rPr>
          <w:w w:val="115"/>
        </w:rPr>
        <w:t>Nación,</w:t>
      </w:r>
      <w:r>
        <w:rPr>
          <w:spacing w:val="12"/>
        </w:rPr>
        <w:t> </w:t>
      </w:r>
      <w:r>
        <w:rPr>
          <w:w w:val="102"/>
        </w:rPr>
        <w:t>9</w:t>
      </w:r>
      <w:r>
        <w:rPr>
          <w:spacing w:val="12"/>
        </w:rPr>
        <w:t> </w:t>
      </w:r>
      <w:r>
        <w:rPr>
          <w:w w:val="107"/>
        </w:rPr>
        <w:t>de</w:t>
      </w:r>
      <w:r>
        <w:rPr>
          <w:spacing w:val="12"/>
        </w:rPr>
        <w:t> </w:t>
      </w:r>
      <w:r>
        <w:rPr>
          <w:w w:val="109"/>
        </w:rPr>
        <w:t>enero.</w:t>
      </w:r>
    </w:p>
    <w:p>
      <w:pPr>
        <w:pStyle w:val="BodyText"/>
        <w:spacing w:line="252" w:lineRule="auto" w:before="28"/>
        <w:ind w:left="497" w:right="114" w:hanging="397"/>
      </w:pPr>
      <w:r>
        <w:rPr>
          <w:w w:val="105"/>
        </w:rPr>
        <w:t>Echeverría, Pedro 2012 “México país poderoso”, en </w:t>
      </w:r>
      <w:hyperlink r:id="rId139">
        <w:r>
          <w:rPr>
            <w:w w:val="105"/>
          </w:rPr>
          <w:t>&lt;www</w:t>
        </w:r>
      </w:hyperlink>
      <w:r>
        <w:rPr>
          <w:w w:val="105"/>
        </w:rPr>
        <w:t>. argenpress.10/4&gt;.</w:t>
      </w:r>
    </w:p>
    <w:p>
      <w:pPr>
        <w:pStyle w:val="BodyText"/>
        <w:spacing w:line="252" w:lineRule="auto" w:before="28"/>
        <w:ind w:left="497" w:right="819" w:hanging="397"/>
      </w:pPr>
      <w:r>
        <w:rPr>
          <w:w w:val="110"/>
        </w:rPr>
        <w:t>Gelman, Juan 2012 “robotizando la guerra”, en </w:t>
      </w:r>
      <w:r>
        <w:rPr>
          <w:i/>
          <w:w w:val="110"/>
        </w:rPr>
        <w:t>Página/12</w:t>
      </w:r>
      <w:r>
        <w:rPr>
          <w:w w:val="110"/>
        </w:rPr>
        <w:t>, 9 de febrero.</w:t>
      </w:r>
    </w:p>
    <w:p>
      <w:pPr>
        <w:pStyle w:val="BodyText"/>
        <w:spacing w:line="252" w:lineRule="auto" w:before="28"/>
        <w:ind w:left="497" w:right="528" w:hanging="397"/>
      </w:pPr>
      <w:r>
        <w:rPr>
          <w:w w:val="112"/>
        </w:rPr>
        <w:t>Hernández,</w:t>
      </w:r>
      <w:r>
        <w:rPr/>
        <w:t> </w:t>
      </w:r>
      <w:r>
        <w:rPr>
          <w:w w:val="110"/>
        </w:rPr>
        <w:t>Navarro</w:t>
      </w:r>
      <w:r>
        <w:rPr/>
        <w:t> </w:t>
      </w:r>
      <w:r>
        <w:rPr>
          <w:w w:val="243"/>
        </w:rPr>
        <w:t>l</w:t>
      </w:r>
      <w:r>
        <w:rPr>
          <w:w w:val="111"/>
        </w:rPr>
        <w:t>uis</w:t>
      </w:r>
      <w:r>
        <w:rPr/>
        <w:t> </w:t>
      </w:r>
      <w:r>
        <w:rPr>
          <w:w w:val="102"/>
        </w:rPr>
        <w:t>2013</w:t>
      </w:r>
      <w:r>
        <w:rPr/>
        <w:t> </w:t>
      </w:r>
      <w:r>
        <w:rPr>
          <w:w w:val="115"/>
        </w:rPr>
        <w:t>“</w:t>
      </w:r>
      <w:r>
        <w:rPr>
          <w:w w:val="243"/>
        </w:rPr>
        <w:t>l</w:t>
      </w:r>
      <w:r>
        <w:rPr>
          <w:w w:val="112"/>
        </w:rPr>
        <w:t>a</w:t>
      </w:r>
      <w:r>
        <w:rPr/>
        <w:t> </w:t>
      </w:r>
      <w:r>
        <w:rPr>
          <w:w w:val="109"/>
        </w:rPr>
        <w:t>reinvención</w:t>
      </w:r>
      <w:r>
        <w:rPr/>
        <w:t> </w:t>
      </w:r>
      <w:r>
        <w:rPr>
          <w:w w:val="107"/>
        </w:rPr>
        <w:t>de</w:t>
      </w:r>
      <w:r>
        <w:rPr/>
        <w:t> </w:t>
      </w:r>
      <w:r>
        <w:rPr>
          <w:w w:val="243"/>
        </w:rPr>
        <w:t>l</w:t>
      </w:r>
      <w:r>
        <w:rPr>
          <w:w w:val="112"/>
        </w:rPr>
        <w:t>atinoamérica”, </w:t>
      </w:r>
      <w:r>
        <w:rPr>
          <w:w w:val="110"/>
        </w:rPr>
        <w:t>en </w:t>
      </w:r>
      <w:hyperlink r:id="rId204">
        <w:r>
          <w:rPr>
            <w:w w:val="110"/>
          </w:rPr>
          <w:t>&lt;www.alainet.org/active&gt;,</w:t>
        </w:r>
      </w:hyperlink>
      <w:r>
        <w:rPr>
          <w:w w:val="110"/>
        </w:rPr>
        <w:t> 26 de diciembre.</w:t>
      </w:r>
    </w:p>
    <w:p>
      <w:pPr>
        <w:spacing w:line="252" w:lineRule="auto" w:before="28"/>
        <w:ind w:left="497" w:right="819" w:hanging="397"/>
        <w:jc w:val="left"/>
        <w:rPr>
          <w:sz w:val="19"/>
        </w:rPr>
      </w:pPr>
      <w:r>
        <w:rPr>
          <w:w w:val="110"/>
          <w:sz w:val="19"/>
        </w:rPr>
        <w:t>Katz, Claudio 2011 </w:t>
      </w:r>
      <w:r>
        <w:rPr>
          <w:i/>
          <w:w w:val="110"/>
          <w:sz w:val="19"/>
        </w:rPr>
        <w:t>Bajo el imperio del capital </w:t>
      </w:r>
      <w:r>
        <w:rPr>
          <w:w w:val="110"/>
          <w:sz w:val="19"/>
        </w:rPr>
        <w:t>(bogotá: Espacio Crítico).</w:t>
      </w:r>
    </w:p>
    <w:p>
      <w:pPr>
        <w:pStyle w:val="BodyText"/>
        <w:spacing w:before="28"/>
        <w:ind w:left="100"/>
      </w:pPr>
      <w:r>
        <w:rPr>
          <w:w w:val="110"/>
        </w:rPr>
        <w:t>Meyssan, thierry 2013 “Hacia un mundo sin Estados unidos”, en</w:t>
      </w:r>
    </w:p>
    <w:p>
      <w:pPr>
        <w:pStyle w:val="BodyText"/>
        <w:spacing w:before="11"/>
        <w:ind w:left="497"/>
      </w:pPr>
      <w:hyperlink r:id="rId205">
        <w:r>
          <w:rPr>
            <w:w w:val="110"/>
          </w:rPr>
          <w:t>&lt;www.voltairenet.org&gt;,</w:t>
        </w:r>
      </w:hyperlink>
      <w:r>
        <w:rPr>
          <w:w w:val="110"/>
        </w:rPr>
        <w:t> 15 de octubre.</w:t>
      </w:r>
    </w:p>
    <w:p>
      <w:pPr>
        <w:pStyle w:val="BodyText"/>
        <w:spacing w:line="252" w:lineRule="auto" w:before="39"/>
        <w:ind w:left="497" w:right="819" w:hanging="397"/>
      </w:pPr>
      <w:r>
        <w:rPr>
          <w:w w:val="112"/>
        </w:rPr>
        <w:t>Morgenfeld,</w:t>
      </w:r>
      <w:r>
        <w:rPr/>
        <w:t> </w:t>
      </w:r>
      <w:r>
        <w:rPr>
          <w:w w:val="243"/>
        </w:rPr>
        <w:t>l</w:t>
      </w:r>
      <w:r>
        <w:rPr>
          <w:w w:val="109"/>
        </w:rPr>
        <w:t>eandro</w:t>
      </w:r>
      <w:r>
        <w:rPr/>
        <w:t> </w:t>
      </w:r>
      <w:r>
        <w:rPr>
          <w:w w:val="102"/>
        </w:rPr>
        <w:t>2013</w:t>
      </w:r>
      <w:r>
        <w:rPr/>
        <w:t> </w:t>
      </w:r>
      <w:r>
        <w:rPr>
          <w:w w:val="115"/>
        </w:rPr>
        <w:t>“</w:t>
      </w:r>
      <w:r>
        <w:rPr>
          <w:w w:val="139"/>
        </w:rPr>
        <w:t>a</w:t>
      </w:r>
      <w:r>
        <w:rPr>
          <w:w w:val="112"/>
        </w:rPr>
        <w:t>lianza</w:t>
      </w:r>
      <w:r>
        <w:rPr/>
        <w:t> </w:t>
      </w:r>
      <w:r>
        <w:rPr>
          <w:w w:val="107"/>
        </w:rPr>
        <w:t>del</w:t>
      </w:r>
      <w:r>
        <w:rPr/>
        <w:t> </w:t>
      </w:r>
      <w:r>
        <w:rPr>
          <w:w w:val="111"/>
        </w:rPr>
        <w:t>Pacífico</w:t>
      </w:r>
      <w:r>
        <w:rPr/>
        <w:t> </w:t>
      </w:r>
      <w:r>
        <w:rPr>
          <w:w w:val="113"/>
        </w:rPr>
        <w:t>hacia</w:t>
      </w:r>
      <w:r>
        <w:rPr/>
        <w:t> </w:t>
      </w:r>
      <w:r>
        <w:rPr>
          <w:w w:val="112"/>
        </w:rPr>
        <w:t>un</w:t>
      </w:r>
      <w:r>
        <w:rPr/>
        <w:t> </w:t>
      </w:r>
      <w:r>
        <w:rPr>
          <w:w w:val="108"/>
        </w:rPr>
        <w:t>nuevo </w:t>
      </w:r>
      <w:r>
        <w:rPr>
          <w:w w:val="115"/>
        </w:rPr>
        <w:t>alCa”, en </w:t>
      </w:r>
      <w:hyperlink r:id="rId206">
        <w:r>
          <w:rPr>
            <w:w w:val="115"/>
          </w:rPr>
          <w:t>&lt;www.albat</w:t>
        </w:r>
      </w:hyperlink>
      <w:r>
        <w:rPr>
          <w:w w:val="115"/>
        </w:rPr>
        <w:t>v</w:t>
      </w:r>
      <w:hyperlink r:id="rId206">
        <w:r>
          <w:rPr>
            <w:w w:val="115"/>
          </w:rPr>
          <w:t>.org&gt;,</w:t>
        </w:r>
      </w:hyperlink>
      <w:r>
        <w:rPr>
          <w:w w:val="115"/>
        </w:rPr>
        <w:t> 5 de  mayo.</w:t>
      </w:r>
    </w:p>
    <w:p>
      <w:pPr>
        <w:pStyle w:val="BodyText"/>
        <w:spacing w:line="252" w:lineRule="auto" w:before="28"/>
        <w:ind w:left="497" w:right="645" w:hanging="397"/>
      </w:pPr>
      <w:r>
        <w:rPr>
          <w:w w:val="110"/>
        </w:rPr>
        <w:t>Munevar daniel 2014 “inestabilidad en los mercados emergentes: El fin de un ciclo”, en &lt;www.pensamientoscontracorrientes. blogspot.com&gt;, 19 de  marzo.</w:t>
      </w:r>
    </w:p>
    <w:p>
      <w:pPr>
        <w:pStyle w:val="BodyText"/>
        <w:spacing w:line="252" w:lineRule="auto" w:before="28"/>
        <w:ind w:left="497" w:hanging="397"/>
      </w:pPr>
      <w:r>
        <w:rPr>
          <w:w w:val="111"/>
        </w:rPr>
        <w:t>Navarro,</w:t>
      </w:r>
      <w:r>
        <w:rPr/>
        <w:t> </w:t>
      </w:r>
      <w:r>
        <w:rPr>
          <w:w w:val="119"/>
        </w:rPr>
        <w:t>V</w:t>
      </w:r>
      <w:r>
        <w:rPr>
          <w:w w:val="110"/>
        </w:rPr>
        <w:t>incent</w:t>
      </w:r>
      <w:r>
        <w:rPr/>
        <w:t> </w:t>
      </w:r>
      <w:r>
        <w:rPr>
          <w:w w:val="102"/>
        </w:rPr>
        <w:t>2013</w:t>
      </w:r>
      <w:r>
        <w:rPr/>
        <w:t> </w:t>
      </w:r>
      <w:r>
        <w:rPr>
          <w:w w:val="115"/>
        </w:rPr>
        <w:t>“</w:t>
      </w:r>
      <w:r>
        <w:rPr>
          <w:w w:val="243"/>
        </w:rPr>
        <w:t>l</w:t>
      </w:r>
      <w:r>
        <w:rPr>
          <w:w w:val="112"/>
        </w:rPr>
        <w:t>a</w:t>
      </w:r>
      <w:r>
        <w:rPr/>
        <w:t> </w:t>
      </w:r>
      <w:r>
        <w:rPr>
          <w:w w:val="111"/>
        </w:rPr>
        <w:t>falsa</w:t>
      </w:r>
      <w:r>
        <w:rPr/>
        <w:t> </w:t>
      </w:r>
      <w:r>
        <w:rPr>
          <w:w w:val="111"/>
        </w:rPr>
        <w:t>alarma</w:t>
      </w:r>
      <w:r>
        <w:rPr/>
        <w:t> </w:t>
      </w:r>
      <w:r>
        <w:rPr>
          <w:w w:val="107"/>
        </w:rPr>
        <w:t>del</w:t>
      </w:r>
      <w:r>
        <w:rPr/>
        <w:t> </w:t>
      </w:r>
      <w:r>
        <w:rPr>
          <w:w w:val="111"/>
        </w:rPr>
        <w:t>abismo</w:t>
      </w:r>
      <w:r>
        <w:rPr/>
        <w:t> </w:t>
      </w:r>
      <w:r>
        <w:rPr>
          <w:w w:val="109"/>
        </w:rPr>
        <w:t>fiscal</w:t>
      </w:r>
      <w:r>
        <w:rPr/>
        <w:t> </w:t>
      </w:r>
      <w:r>
        <w:rPr>
          <w:w w:val="108"/>
        </w:rPr>
        <w:t>en</w:t>
      </w:r>
      <w:r>
        <w:rPr/>
        <w:t> </w:t>
      </w:r>
      <w:r>
        <w:rPr>
          <w:w w:val="111"/>
        </w:rPr>
        <w:t>Estados </w:t>
      </w:r>
      <w:r>
        <w:rPr>
          <w:w w:val="110"/>
        </w:rPr>
        <w:t>unidos”, en </w:t>
      </w:r>
      <w:hyperlink r:id="rId207">
        <w:r>
          <w:rPr>
            <w:w w:val="110"/>
          </w:rPr>
          <w:t>&lt;www.vnavarro.org&gt;,</w:t>
        </w:r>
      </w:hyperlink>
      <w:r>
        <w:rPr>
          <w:w w:val="110"/>
        </w:rPr>
        <w:t> 11 de enero.</w:t>
      </w:r>
    </w:p>
    <w:p>
      <w:pPr>
        <w:spacing w:after="0" w:line="252" w:lineRule="auto"/>
        <w:sectPr>
          <w:pgSz w:w="8790" w:h="12760"/>
          <w:pgMar w:header="695" w:footer="723" w:top="880" w:bottom="920" w:left="920" w:right="1200"/>
        </w:sectPr>
      </w:pPr>
    </w:p>
    <w:p>
      <w:pPr>
        <w:pStyle w:val="BodyText"/>
        <w:spacing w:before="7"/>
        <w:rPr>
          <w:sz w:val="28"/>
        </w:rPr>
      </w:pPr>
    </w:p>
    <w:p>
      <w:pPr>
        <w:pStyle w:val="BodyText"/>
        <w:spacing w:line="252" w:lineRule="auto" w:before="73"/>
        <w:ind w:left="727" w:right="441" w:hanging="397"/>
      </w:pPr>
      <w:r>
        <w:rPr>
          <w:w w:val="111"/>
        </w:rPr>
        <w:t>Noyola</w:t>
      </w:r>
      <w:r>
        <w:rPr/>
        <w:t> </w:t>
      </w:r>
      <w:r>
        <w:rPr>
          <w:w w:val="182"/>
        </w:rPr>
        <w:t>r</w:t>
      </w:r>
      <w:r>
        <w:rPr>
          <w:w w:val="111"/>
        </w:rPr>
        <w:t>odríguez,</w:t>
      </w:r>
      <w:r>
        <w:rPr/>
        <w:t> </w:t>
      </w:r>
      <w:r>
        <w:rPr>
          <w:w w:val="139"/>
        </w:rPr>
        <w:t>a</w:t>
      </w:r>
      <w:r>
        <w:rPr>
          <w:w w:val="108"/>
        </w:rPr>
        <w:t>riel</w:t>
      </w:r>
      <w:r>
        <w:rPr/>
        <w:t> </w:t>
      </w:r>
      <w:r>
        <w:rPr>
          <w:w w:val="105"/>
        </w:rPr>
        <w:t>y</w:t>
      </w:r>
      <w:r>
        <w:rPr/>
        <w:t> </w:t>
      </w:r>
      <w:r>
        <w:rPr>
          <w:w w:val="111"/>
        </w:rPr>
        <w:t>Noyola</w:t>
      </w:r>
      <w:r>
        <w:rPr/>
        <w:t> </w:t>
      </w:r>
      <w:r>
        <w:rPr>
          <w:w w:val="182"/>
        </w:rPr>
        <w:t>r</w:t>
      </w:r>
      <w:r>
        <w:rPr>
          <w:w w:val="111"/>
        </w:rPr>
        <w:t>odríguez,</w:t>
      </w:r>
      <w:r>
        <w:rPr/>
        <w:t> </w:t>
      </w:r>
      <w:r>
        <w:rPr>
          <w:w w:val="140"/>
        </w:rPr>
        <w:t>u</w:t>
      </w:r>
      <w:r>
        <w:rPr>
          <w:w w:val="107"/>
        </w:rPr>
        <w:t>lises</w:t>
      </w:r>
      <w:r>
        <w:rPr/>
        <w:t> </w:t>
      </w:r>
      <w:r>
        <w:rPr>
          <w:w w:val="102"/>
        </w:rPr>
        <w:t>2014</w:t>
      </w:r>
      <w:r>
        <w:rPr/>
        <w:t> </w:t>
      </w:r>
      <w:r>
        <w:rPr>
          <w:w w:val="115"/>
        </w:rPr>
        <w:t>“</w:t>
      </w:r>
      <w:r>
        <w:rPr>
          <w:w w:val="243"/>
        </w:rPr>
        <w:t>l</w:t>
      </w:r>
      <w:r>
        <w:rPr>
          <w:w w:val="112"/>
        </w:rPr>
        <w:t>a </w:t>
      </w:r>
      <w:r>
        <w:rPr>
          <w:w w:val="110"/>
        </w:rPr>
        <w:t>rivalidad euro-dólar”, en </w:t>
      </w:r>
      <w:hyperlink r:id="rId209">
        <w:r>
          <w:rPr>
            <w:w w:val="110"/>
          </w:rPr>
          <w:t>&lt;www.contralinea.info&gt;,</w:t>
        </w:r>
      </w:hyperlink>
      <w:r>
        <w:rPr>
          <w:w w:val="110"/>
        </w:rPr>
        <w:t> 6 de  abril.</w:t>
      </w:r>
    </w:p>
    <w:p>
      <w:pPr>
        <w:pStyle w:val="BodyText"/>
        <w:spacing w:line="252" w:lineRule="auto" w:before="28"/>
        <w:ind w:left="727" w:right="81" w:hanging="397"/>
      </w:pPr>
      <w:r>
        <w:rPr>
          <w:w w:val="149"/>
        </w:rPr>
        <w:t>o</w:t>
      </w:r>
      <w:r>
        <w:rPr>
          <w:w w:val="109"/>
        </w:rPr>
        <w:t>ppenheime</w:t>
      </w:r>
      <w:r>
        <w:rPr>
          <w:w w:val="105"/>
        </w:rPr>
        <w:t>r</w:t>
      </w:r>
      <w:r>
        <w:rPr>
          <w:w w:val="138"/>
        </w:rPr>
        <w:t>,</w:t>
      </w:r>
      <w:r>
        <w:rPr/>
        <w:t> </w:t>
      </w:r>
      <w:r>
        <w:rPr>
          <w:w w:val="139"/>
        </w:rPr>
        <w:t>a</w:t>
      </w:r>
      <w:r>
        <w:rPr>
          <w:w w:val="107"/>
        </w:rPr>
        <w:t>ndrés</w:t>
      </w:r>
      <w:r>
        <w:rPr/>
        <w:t> </w:t>
      </w:r>
      <w:r>
        <w:rPr>
          <w:w w:val="102"/>
        </w:rPr>
        <w:t>2013</w:t>
      </w:r>
      <w:r>
        <w:rPr/>
        <w:t> </w:t>
      </w:r>
      <w:r>
        <w:rPr>
          <w:w w:val="120"/>
        </w:rPr>
        <w:t>“El</w:t>
      </w:r>
      <w:r>
        <w:rPr/>
        <w:t> </w:t>
      </w:r>
      <w:r>
        <w:rPr>
          <w:w w:val="110"/>
        </w:rPr>
        <w:t>plan</w:t>
      </w:r>
      <w:r>
        <w:rPr/>
        <w:t> </w:t>
      </w:r>
      <w:r>
        <w:rPr>
          <w:w w:val="107"/>
        </w:rPr>
        <w:t>de</w:t>
      </w:r>
      <w:r>
        <w:rPr/>
        <w:t> </w:t>
      </w:r>
      <w:r>
        <w:rPr>
          <w:w w:val="110"/>
        </w:rPr>
        <w:t>Kerry</w:t>
      </w:r>
      <w:r>
        <w:rPr/>
        <w:t> </w:t>
      </w:r>
      <w:r>
        <w:rPr>
          <w:w w:val="109"/>
        </w:rPr>
        <w:t>para</w:t>
      </w:r>
      <w:r>
        <w:rPr/>
        <w:t> </w:t>
      </w:r>
      <w:r>
        <w:rPr>
          <w:w w:val="139"/>
        </w:rPr>
        <w:t>a</w:t>
      </w:r>
      <w:r>
        <w:rPr>
          <w:w w:val="111"/>
        </w:rPr>
        <w:t>mérica</w:t>
      </w:r>
      <w:r>
        <w:rPr/>
        <w:t> </w:t>
      </w:r>
      <w:r>
        <w:rPr>
          <w:w w:val="243"/>
        </w:rPr>
        <w:t>l</w:t>
      </w:r>
      <w:r>
        <w:rPr>
          <w:w w:val="114"/>
        </w:rPr>
        <w:t>atina”, </w:t>
      </w:r>
      <w:r>
        <w:rPr>
          <w:w w:val="110"/>
        </w:rPr>
        <w:t>en </w:t>
      </w:r>
      <w:hyperlink r:id="rId210">
        <w:r>
          <w:rPr>
            <w:w w:val="110"/>
          </w:rPr>
          <w:t>&lt;www.elnuevoherald.com&gt;,</w:t>
        </w:r>
      </w:hyperlink>
      <w:r>
        <w:rPr>
          <w:w w:val="110"/>
        </w:rPr>
        <w:t> 15 de diciembre.</w:t>
      </w:r>
    </w:p>
    <w:p>
      <w:pPr>
        <w:pStyle w:val="BodyText"/>
        <w:spacing w:before="28"/>
        <w:ind w:left="330" w:right="81"/>
      </w:pPr>
      <w:r>
        <w:rPr>
          <w:w w:val="120"/>
        </w:rPr>
        <w:t>Petras James 2013 “the changing contours of us imperial”, en</w:t>
      </w:r>
    </w:p>
    <w:p>
      <w:pPr>
        <w:pStyle w:val="BodyText"/>
        <w:spacing w:before="11"/>
        <w:ind w:left="727" w:right="441"/>
      </w:pPr>
      <w:r>
        <w:rPr>
          <w:i/>
          <w:w w:val="110"/>
        </w:rPr>
        <w:t>&lt;</w:t>
      </w:r>
      <w:hyperlink r:id="rId211">
        <w:r>
          <w:rPr>
            <w:w w:val="110"/>
          </w:rPr>
          <w:t>www.worldtruth.org&gt;,</w:t>
        </w:r>
      </w:hyperlink>
      <w:r>
        <w:rPr>
          <w:w w:val="110"/>
        </w:rPr>
        <w:t> 22 de diciembre.</w:t>
      </w:r>
    </w:p>
    <w:p>
      <w:pPr>
        <w:pStyle w:val="BodyText"/>
        <w:spacing w:before="39"/>
        <w:ind w:left="330" w:right="81"/>
      </w:pPr>
      <w:r>
        <w:rPr>
          <w:w w:val="115"/>
        </w:rPr>
        <w:t>raghuram, rajam 2012 “El boom commodities crea problemas”, en</w:t>
      </w:r>
    </w:p>
    <w:p>
      <w:pPr>
        <w:pStyle w:val="BodyText"/>
        <w:spacing w:before="11"/>
        <w:ind w:left="727" w:right="441"/>
      </w:pPr>
      <w:hyperlink r:id="rId212">
        <w:r>
          <w:rPr>
            <w:w w:val="110"/>
          </w:rPr>
          <w:t>&lt;www.ambito.com&gt;,</w:t>
        </w:r>
      </w:hyperlink>
      <w:r>
        <w:rPr>
          <w:w w:val="110"/>
        </w:rPr>
        <w:t> 23 de agosto.</w:t>
      </w:r>
    </w:p>
    <w:p>
      <w:pPr>
        <w:pStyle w:val="BodyText"/>
        <w:spacing w:line="283" w:lineRule="auto" w:before="39"/>
        <w:ind w:left="330" w:right="81"/>
      </w:pPr>
      <w:r>
        <w:rPr>
          <w:w w:val="115"/>
        </w:rPr>
        <w:t>sapir, Jacques 2008 </w:t>
      </w:r>
      <w:r>
        <w:rPr>
          <w:i/>
          <w:w w:val="115"/>
        </w:rPr>
        <w:t>El nuevo siglo XXI </w:t>
      </w:r>
      <w:r>
        <w:rPr>
          <w:w w:val="115"/>
        </w:rPr>
        <w:t>(Madrid: El Viejo topo). tokatlian, Juan Gabriel 2013 “bye bye Monroe, Hello troilo”,  en</w:t>
      </w:r>
    </w:p>
    <w:p>
      <w:pPr>
        <w:pStyle w:val="BodyText"/>
        <w:spacing w:line="194" w:lineRule="exact"/>
        <w:ind w:left="727" w:right="441"/>
      </w:pPr>
      <w:hyperlink r:id="rId213">
        <w:r>
          <w:rPr>
            <w:w w:val="110"/>
          </w:rPr>
          <w:t>&lt;www.elpais.com/elpais&gt;,</w:t>
        </w:r>
      </w:hyperlink>
      <w:r>
        <w:rPr>
          <w:w w:val="110"/>
        </w:rPr>
        <w:t> 27 de noviembre.</w:t>
      </w:r>
    </w:p>
    <w:p>
      <w:pPr>
        <w:pStyle w:val="BodyText"/>
        <w:spacing w:line="252" w:lineRule="auto" w:before="39"/>
        <w:ind w:left="727" w:right="103" w:hanging="397"/>
        <w:jc w:val="both"/>
      </w:pPr>
      <w:r>
        <w:rPr>
          <w:w w:val="110"/>
        </w:rPr>
        <w:t>Zibechi, raúl 2012 “Hacia un mundo des-americanizado”, en </w:t>
      </w:r>
      <w:hyperlink r:id="rId139">
        <w:r>
          <w:rPr>
            <w:w w:val="110"/>
          </w:rPr>
          <w:t>&lt;www</w:t>
        </w:r>
      </w:hyperlink>
      <w:r>
        <w:rPr>
          <w:w w:val="110"/>
        </w:rPr>
        <w:t>. hunna.org/el-ir-a-las-cosas-de-la-política, paginaglobal.blogspot. com&gt;, 14 de septiembre.</w:t>
      </w:r>
    </w:p>
    <w:p>
      <w:pPr>
        <w:spacing w:after="0" w:line="252" w:lineRule="auto"/>
        <w:jc w:val="both"/>
        <w:sectPr>
          <w:footerReference w:type="default" r:id="rId208"/>
          <w:pgSz w:w="8790" w:h="12760"/>
          <w:pgMar w:footer="725" w:header="697" w:top="880" w:bottom="920" w:left="120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Heading1"/>
        <w:ind w:right="971" w:hanging="180"/>
      </w:pPr>
      <w:r>
        <w:rPr>
          <w:spacing w:val="3"/>
          <w:w w:val="140"/>
        </w:rPr>
        <w:t>estructura </w:t>
      </w:r>
      <w:r>
        <w:rPr>
          <w:spacing w:val="2"/>
          <w:w w:val="140"/>
        </w:rPr>
        <w:t>interna </w:t>
      </w:r>
      <w:r>
        <w:rPr>
          <w:w w:val="140"/>
        </w:rPr>
        <w:t>de</w:t>
      </w:r>
      <w:r>
        <w:rPr>
          <w:spacing w:val="-90"/>
          <w:w w:val="140"/>
        </w:rPr>
        <w:t> </w:t>
      </w:r>
      <w:r>
        <w:rPr>
          <w:w w:val="140"/>
        </w:rPr>
        <w:t>estados</w:t>
      </w:r>
      <w:r>
        <w:rPr>
          <w:spacing w:val="-89"/>
          <w:w w:val="140"/>
        </w:rPr>
        <w:t> </w:t>
      </w:r>
      <w:r>
        <w:rPr>
          <w:spacing w:val="4"/>
          <w:w w:val="140"/>
        </w:rPr>
        <w:t>unidos</w:t>
      </w:r>
    </w:p>
    <w:p>
      <w:pPr>
        <w:spacing w:after="0"/>
        <w:sectPr>
          <w:headerReference w:type="even" r:id="rId214"/>
          <w:footerReference w:type="even" r:id="rId215"/>
          <w:pgSz w:w="8790" w:h="12760"/>
          <w:pgMar w:header="0" w:footer="0" w:top="1180" w:bottom="280" w:left="1200" w:right="1200"/>
        </w:sectPr>
      </w:pPr>
    </w:p>
    <w:p>
      <w:pPr>
        <w:pStyle w:val="BodyText"/>
        <w:spacing w:before="4"/>
        <w:rPr>
          <w:rFonts w:ascii="Times New Roman"/>
          <w:sz w:val="17"/>
        </w:rPr>
      </w:pPr>
    </w:p>
    <w:p>
      <w:pPr>
        <w:spacing w:after="0"/>
        <w:rPr>
          <w:rFonts w:ascii="Times New Roman"/>
          <w:sz w:val="17"/>
        </w:rPr>
        <w:sectPr>
          <w:headerReference w:type="default" r:id="rId216"/>
          <w:footerReference w:type="default" r:id="rId217"/>
          <w:pgSz w:w="8790" w:h="12760"/>
          <w:pgMar w:header="0" w:footer="0" w:top="1180" w:bottom="280" w:left="1200" w:right="12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pStyle w:val="Heading3"/>
      </w:pPr>
      <w:r>
        <w:rPr/>
        <w:t>Dídimo Castillo Fernández*</w:t>
      </w:r>
    </w:p>
    <w:p>
      <w:pPr>
        <w:pStyle w:val="BodyText"/>
        <w:spacing w:before="1"/>
        <w:rPr>
          <w:sz w:val="20"/>
        </w:rPr>
      </w:pPr>
    </w:p>
    <w:p>
      <w:pPr>
        <w:spacing w:before="0"/>
        <w:ind w:left="789" w:right="1017" w:firstLine="0"/>
        <w:jc w:val="center"/>
        <w:rPr>
          <w:rFonts w:ascii="Times New Roman"/>
          <w:b/>
          <w:sz w:val="30"/>
        </w:rPr>
      </w:pPr>
      <w:r>
        <w:rPr>
          <w:rFonts w:ascii="Times New Roman"/>
          <w:b/>
          <w:w w:val="135"/>
          <w:sz w:val="30"/>
        </w:rPr>
        <w:t>estados unidos</w:t>
      </w:r>
    </w:p>
    <w:p>
      <w:pPr>
        <w:pStyle w:val="Heading4"/>
        <w:spacing w:before="225"/>
        <w:ind w:left="789" w:right="1014"/>
        <w:jc w:val="center"/>
        <w:rPr>
          <w:rFonts w:ascii="Times New Roman"/>
        </w:rPr>
      </w:pPr>
      <w:r>
        <w:rPr>
          <w:rFonts w:ascii="Times New Roman"/>
          <w:spacing w:val="2"/>
          <w:w w:val="160"/>
        </w:rPr>
        <w:t>t</w:t>
      </w:r>
      <w:r>
        <w:rPr>
          <w:rFonts w:ascii="Times New Roman"/>
          <w:spacing w:val="3"/>
          <w:w w:val="160"/>
        </w:rPr>
        <w:t>r</w:t>
      </w:r>
      <w:r>
        <w:rPr>
          <w:rFonts w:ascii="Times New Roman"/>
          <w:spacing w:val="2"/>
          <w:w w:val="129"/>
        </w:rPr>
        <w:t>a</w:t>
      </w:r>
      <w:r>
        <w:rPr>
          <w:rFonts w:ascii="Times New Roman"/>
          <w:w w:val="96"/>
        </w:rPr>
        <w:t>B</w:t>
      </w:r>
      <w:r>
        <w:rPr>
          <w:rFonts w:ascii="Times New Roman"/>
          <w:spacing w:val="2"/>
          <w:w w:val="129"/>
        </w:rPr>
        <w:t>a</w:t>
      </w:r>
      <w:r>
        <w:rPr>
          <w:rFonts w:ascii="Times New Roman"/>
          <w:spacing w:val="2"/>
          <w:w w:val="71"/>
        </w:rPr>
        <w:t>J</w:t>
      </w:r>
      <w:r>
        <w:rPr>
          <w:rFonts w:ascii="Times New Roman"/>
          <w:spacing w:val="-3"/>
          <w:w w:val="145"/>
        </w:rPr>
        <w:t>o</w:t>
      </w:r>
      <w:r>
        <w:rPr>
          <w:rFonts w:ascii="Times New Roman"/>
          <w:w w:val="104"/>
        </w:rPr>
        <w:t>,</w:t>
      </w:r>
      <w:r>
        <w:rPr>
          <w:rFonts w:ascii="Times New Roman"/>
          <w:spacing w:val="-11"/>
        </w:rPr>
        <w:t> </w:t>
      </w:r>
      <w:r>
        <w:rPr>
          <w:rFonts w:ascii="Times New Roman"/>
          <w:spacing w:val="2"/>
          <w:w w:val="99"/>
        </w:rPr>
        <w:t>P</w:t>
      </w:r>
      <w:r>
        <w:rPr>
          <w:rFonts w:ascii="Times New Roman"/>
          <w:spacing w:val="2"/>
          <w:w w:val="139"/>
        </w:rPr>
        <w:t>r</w:t>
      </w:r>
      <w:r>
        <w:rPr>
          <w:rFonts w:ascii="Times New Roman"/>
          <w:spacing w:val="3"/>
          <w:w w:val="139"/>
        </w:rPr>
        <w:t>e</w:t>
      </w:r>
      <w:r>
        <w:rPr>
          <w:rFonts w:ascii="Times New Roman"/>
          <w:spacing w:val="5"/>
          <w:w w:val="147"/>
        </w:rPr>
        <w:t>c</w:t>
      </w:r>
      <w:r>
        <w:rPr>
          <w:rFonts w:ascii="Times New Roman"/>
          <w:spacing w:val="2"/>
          <w:w w:val="134"/>
        </w:rPr>
        <w:t>ari</w:t>
      </w:r>
      <w:r>
        <w:rPr>
          <w:rFonts w:ascii="Times New Roman"/>
          <w:spacing w:val="3"/>
          <w:w w:val="134"/>
        </w:rPr>
        <w:t>e</w:t>
      </w:r>
      <w:r>
        <w:rPr>
          <w:rFonts w:ascii="Times New Roman"/>
          <w:spacing w:val="1"/>
          <w:w w:val="131"/>
        </w:rPr>
        <w:t>d</w:t>
      </w:r>
      <w:r>
        <w:rPr>
          <w:rFonts w:ascii="Times New Roman"/>
          <w:spacing w:val="2"/>
          <w:w w:val="130"/>
        </w:rPr>
        <w:t>a</w:t>
      </w:r>
      <w:r>
        <w:rPr>
          <w:rFonts w:ascii="Times New Roman"/>
          <w:w w:val="130"/>
        </w:rPr>
        <w:t>d</w:t>
      </w:r>
      <w:r>
        <w:rPr>
          <w:rFonts w:ascii="Times New Roman"/>
          <w:spacing w:val="-10"/>
        </w:rPr>
        <w:t> </w:t>
      </w:r>
      <w:r>
        <w:rPr>
          <w:rFonts w:ascii="Times New Roman"/>
          <w:spacing w:val="8"/>
          <w:w w:val="201"/>
        </w:rPr>
        <w:t>l</w:t>
      </w:r>
      <w:r>
        <w:rPr>
          <w:rFonts w:ascii="Times New Roman"/>
          <w:spacing w:val="2"/>
          <w:w w:val="129"/>
        </w:rPr>
        <w:t>a</w:t>
      </w:r>
      <w:r>
        <w:rPr>
          <w:rFonts w:ascii="Times New Roman"/>
          <w:spacing w:val="5"/>
          <w:w w:val="96"/>
        </w:rPr>
        <w:t>B</w:t>
      </w:r>
      <w:r>
        <w:rPr>
          <w:rFonts w:ascii="Times New Roman"/>
          <w:spacing w:val="2"/>
          <w:w w:val="145"/>
        </w:rPr>
        <w:t>o</w:t>
      </w:r>
      <w:r>
        <w:rPr>
          <w:rFonts w:ascii="Times New Roman"/>
          <w:spacing w:val="3"/>
          <w:w w:val="145"/>
        </w:rPr>
        <w:t>r</w:t>
      </w:r>
      <w:r>
        <w:rPr>
          <w:rFonts w:ascii="Times New Roman"/>
          <w:spacing w:val="2"/>
          <w:w w:val="155"/>
        </w:rPr>
        <w:t>al</w:t>
      </w:r>
    </w:p>
    <w:p>
      <w:pPr>
        <w:spacing w:before="4"/>
        <w:ind w:left="376" w:right="0" w:firstLine="0"/>
        <w:jc w:val="left"/>
        <w:rPr>
          <w:rFonts w:ascii="Times New Roman" w:hAnsi="Times New Roman"/>
          <w:b/>
          <w:sz w:val="24"/>
        </w:rPr>
      </w:pPr>
      <w:r>
        <w:rPr>
          <w:rFonts w:ascii="Times New Roman" w:hAnsi="Times New Roman"/>
          <w:b/>
          <w:w w:val="119"/>
          <w:sz w:val="24"/>
        </w:rPr>
        <w:t>y</w:t>
      </w:r>
      <w:r>
        <w:rPr>
          <w:rFonts w:ascii="Times New Roman" w:hAnsi="Times New Roman"/>
          <w:b/>
          <w:spacing w:val="-10"/>
          <w:sz w:val="24"/>
        </w:rPr>
        <w:t> </w:t>
      </w:r>
      <w:r>
        <w:rPr>
          <w:rFonts w:ascii="Times New Roman" w:hAnsi="Times New Roman"/>
          <w:b/>
          <w:spacing w:val="2"/>
          <w:w w:val="132"/>
          <w:sz w:val="24"/>
        </w:rPr>
        <w:t>d</w:t>
      </w:r>
      <w:r>
        <w:rPr>
          <w:rFonts w:ascii="Times New Roman" w:hAnsi="Times New Roman"/>
          <w:b/>
          <w:spacing w:val="4"/>
          <w:w w:val="132"/>
          <w:sz w:val="24"/>
        </w:rPr>
        <w:t>e</w:t>
      </w:r>
      <w:r>
        <w:rPr>
          <w:rFonts w:ascii="Times New Roman" w:hAnsi="Times New Roman"/>
          <w:b/>
          <w:spacing w:val="2"/>
          <w:w w:val="133"/>
          <w:sz w:val="24"/>
        </w:rPr>
        <w:t>si</w:t>
      </w:r>
      <w:r>
        <w:rPr>
          <w:rFonts w:ascii="Times New Roman" w:hAnsi="Times New Roman"/>
          <w:b/>
          <w:spacing w:val="2"/>
          <w:w w:val="89"/>
          <w:sz w:val="24"/>
        </w:rPr>
        <w:t>G</w:t>
      </w:r>
      <w:r>
        <w:rPr>
          <w:rFonts w:ascii="Times New Roman" w:hAnsi="Times New Roman"/>
          <w:b/>
          <w:spacing w:val="-6"/>
          <w:w w:val="131"/>
          <w:sz w:val="24"/>
        </w:rPr>
        <w:t>u</w:t>
      </w:r>
      <w:r>
        <w:rPr>
          <w:rFonts w:ascii="Times New Roman" w:hAnsi="Times New Roman"/>
          <w:b/>
          <w:spacing w:val="2"/>
          <w:w w:val="155"/>
          <w:sz w:val="24"/>
        </w:rPr>
        <w:t>a</w:t>
      </w:r>
      <w:r>
        <w:rPr>
          <w:rFonts w:ascii="Times New Roman" w:hAnsi="Times New Roman"/>
          <w:b/>
          <w:spacing w:val="3"/>
          <w:w w:val="155"/>
          <w:sz w:val="24"/>
        </w:rPr>
        <w:t>l</w:t>
      </w:r>
      <w:r>
        <w:rPr>
          <w:rFonts w:ascii="Times New Roman" w:hAnsi="Times New Roman"/>
          <w:b/>
          <w:spacing w:val="1"/>
          <w:w w:val="131"/>
          <w:sz w:val="24"/>
        </w:rPr>
        <w:t>d</w:t>
      </w:r>
      <w:r>
        <w:rPr>
          <w:rFonts w:ascii="Times New Roman" w:hAnsi="Times New Roman"/>
          <w:b/>
          <w:spacing w:val="2"/>
          <w:w w:val="131"/>
          <w:sz w:val="24"/>
        </w:rPr>
        <w:t>ad</w:t>
      </w:r>
      <w:r>
        <w:rPr>
          <w:rFonts w:ascii="Times New Roman" w:hAnsi="Times New Roman"/>
          <w:b/>
          <w:spacing w:val="4"/>
          <w:w w:val="131"/>
          <w:sz w:val="24"/>
        </w:rPr>
        <w:t>e</w:t>
      </w:r>
      <w:r>
        <w:rPr>
          <w:rFonts w:ascii="Times New Roman" w:hAnsi="Times New Roman"/>
          <w:b/>
          <w:w w:val="136"/>
          <w:sz w:val="24"/>
        </w:rPr>
        <w:t>s</w:t>
      </w:r>
      <w:r>
        <w:rPr>
          <w:rFonts w:ascii="Times New Roman" w:hAnsi="Times New Roman"/>
          <w:b/>
          <w:spacing w:val="-10"/>
          <w:sz w:val="24"/>
        </w:rPr>
        <w:t> </w:t>
      </w:r>
      <w:r>
        <w:rPr>
          <w:rFonts w:ascii="Times New Roman" w:hAnsi="Times New Roman"/>
          <w:b/>
          <w:spacing w:val="2"/>
          <w:w w:val="132"/>
          <w:sz w:val="24"/>
        </w:rPr>
        <w:t>d</w:t>
      </w:r>
      <w:r>
        <w:rPr>
          <w:rFonts w:ascii="Times New Roman" w:hAnsi="Times New Roman"/>
          <w:b/>
          <w:w w:val="132"/>
          <w:sz w:val="24"/>
        </w:rPr>
        <w:t>e</w:t>
      </w:r>
      <w:r>
        <w:rPr>
          <w:rFonts w:ascii="Times New Roman" w:hAnsi="Times New Roman"/>
          <w:b/>
          <w:spacing w:val="-10"/>
          <w:sz w:val="24"/>
        </w:rPr>
        <w:t> </w:t>
      </w:r>
      <w:r>
        <w:rPr>
          <w:rFonts w:ascii="Times New Roman" w:hAnsi="Times New Roman"/>
          <w:b/>
          <w:spacing w:val="2"/>
          <w:w w:val="128"/>
          <w:sz w:val="24"/>
        </w:rPr>
        <w:t>in</w:t>
      </w:r>
      <w:r>
        <w:rPr>
          <w:rFonts w:ascii="Times New Roman" w:hAnsi="Times New Roman"/>
          <w:b/>
          <w:spacing w:val="3"/>
          <w:w w:val="89"/>
          <w:sz w:val="24"/>
        </w:rPr>
        <w:t>G</w:t>
      </w:r>
      <w:r>
        <w:rPr>
          <w:rFonts w:ascii="Times New Roman" w:hAnsi="Times New Roman"/>
          <w:b/>
          <w:spacing w:val="2"/>
          <w:w w:val="139"/>
          <w:sz w:val="24"/>
        </w:rPr>
        <w:t>r</w:t>
      </w:r>
      <w:r>
        <w:rPr>
          <w:rFonts w:ascii="Times New Roman" w:hAnsi="Times New Roman"/>
          <w:b/>
          <w:spacing w:val="4"/>
          <w:w w:val="139"/>
          <w:sz w:val="24"/>
        </w:rPr>
        <w:t>e</w:t>
      </w:r>
      <w:r>
        <w:rPr>
          <w:rFonts w:ascii="Times New Roman" w:hAnsi="Times New Roman"/>
          <w:b/>
          <w:spacing w:val="6"/>
          <w:w w:val="136"/>
          <w:sz w:val="24"/>
        </w:rPr>
        <w:t>s</w:t>
      </w:r>
      <w:r>
        <w:rPr>
          <w:rFonts w:ascii="Times New Roman" w:hAnsi="Times New Roman"/>
          <w:b/>
          <w:spacing w:val="3"/>
          <w:w w:val="145"/>
          <w:sz w:val="24"/>
        </w:rPr>
        <w:t>o</w:t>
      </w:r>
      <w:r>
        <w:rPr>
          <w:rFonts w:ascii="Times New Roman" w:hAnsi="Times New Roman"/>
          <w:b/>
          <w:w w:val="136"/>
          <w:sz w:val="24"/>
        </w:rPr>
        <w:t>s</w:t>
      </w:r>
      <w:r>
        <w:rPr>
          <w:rFonts w:ascii="Times New Roman" w:hAnsi="Times New Roman"/>
          <w:b/>
          <w:spacing w:val="-10"/>
          <w:sz w:val="24"/>
        </w:rPr>
        <w:t> </w:t>
      </w:r>
      <w:r>
        <w:rPr>
          <w:rFonts w:ascii="Times New Roman" w:hAnsi="Times New Roman"/>
          <w:b/>
          <w:spacing w:val="2"/>
          <w:w w:val="132"/>
          <w:sz w:val="24"/>
        </w:rPr>
        <w:t>d</w:t>
      </w:r>
      <w:r>
        <w:rPr>
          <w:rFonts w:ascii="Times New Roman" w:hAnsi="Times New Roman"/>
          <w:b/>
          <w:w w:val="132"/>
          <w:sz w:val="24"/>
        </w:rPr>
        <w:t>e</w:t>
      </w:r>
      <w:r>
        <w:rPr>
          <w:rFonts w:ascii="Times New Roman" w:hAnsi="Times New Roman"/>
          <w:b/>
          <w:spacing w:val="-10"/>
          <w:sz w:val="24"/>
        </w:rPr>
        <w:t> </w:t>
      </w:r>
      <w:r>
        <w:rPr>
          <w:rFonts w:ascii="Times New Roman" w:hAnsi="Times New Roman"/>
          <w:b/>
          <w:spacing w:val="2"/>
          <w:w w:val="201"/>
          <w:sz w:val="24"/>
        </w:rPr>
        <w:t>l</w:t>
      </w:r>
      <w:r>
        <w:rPr>
          <w:rFonts w:ascii="Times New Roman" w:hAnsi="Times New Roman"/>
          <w:b/>
          <w:spacing w:val="3"/>
          <w:w w:val="145"/>
          <w:sz w:val="24"/>
        </w:rPr>
        <w:t>o</w:t>
      </w:r>
      <w:r>
        <w:rPr>
          <w:rFonts w:ascii="Times New Roman" w:hAnsi="Times New Roman"/>
          <w:b/>
          <w:w w:val="136"/>
          <w:sz w:val="24"/>
        </w:rPr>
        <w:t>s</w:t>
      </w:r>
      <w:r>
        <w:rPr>
          <w:rFonts w:ascii="Times New Roman" w:hAnsi="Times New Roman"/>
          <w:b/>
          <w:spacing w:val="-10"/>
          <w:sz w:val="24"/>
        </w:rPr>
        <w:t> </w:t>
      </w:r>
      <w:r>
        <w:rPr>
          <w:rFonts w:ascii="Times New Roman" w:hAnsi="Times New Roman"/>
          <w:b/>
          <w:spacing w:val="2"/>
          <w:w w:val="71"/>
          <w:sz w:val="24"/>
        </w:rPr>
        <w:t>J</w:t>
      </w:r>
      <w:r>
        <w:rPr>
          <w:rFonts w:ascii="Times New Roman" w:hAnsi="Times New Roman"/>
          <w:b/>
          <w:w w:val="145"/>
          <w:sz w:val="24"/>
        </w:rPr>
        <w:t>ó</w:t>
      </w:r>
      <w:r>
        <w:rPr>
          <w:rFonts w:ascii="Times New Roman" w:hAnsi="Times New Roman"/>
          <w:b/>
          <w:w w:val="129"/>
          <w:sz w:val="24"/>
        </w:rPr>
        <w:t>v</w:t>
      </w:r>
      <w:r>
        <w:rPr>
          <w:rFonts w:ascii="Times New Roman" w:hAnsi="Times New Roman"/>
          <w:b/>
          <w:spacing w:val="3"/>
          <w:w w:val="134"/>
          <w:sz w:val="24"/>
        </w:rPr>
        <w:t>e</w:t>
      </w:r>
      <w:r>
        <w:rPr>
          <w:rFonts w:ascii="Times New Roman" w:hAnsi="Times New Roman"/>
          <w:b/>
          <w:spacing w:val="2"/>
          <w:w w:val="130"/>
          <w:sz w:val="24"/>
        </w:rPr>
        <w:t>n</w:t>
      </w:r>
      <w:r>
        <w:rPr>
          <w:rFonts w:ascii="Times New Roman" w:hAnsi="Times New Roman"/>
          <w:b/>
          <w:spacing w:val="4"/>
          <w:w w:val="130"/>
          <w:sz w:val="24"/>
        </w:rPr>
        <w:t>e</w:t>
      </w:r>
      <w:r>
        <w:rPr>
          <w:rFonts w:ascii="Times New Roman" w:hAnsi="Times New Roman"/>
          <w:b/>
          <w:w w:val="136"/>
          <w:sz w:val="24"/>
        </w:rPr>
        <w:t>s</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6"/>
        </w:rPr>
      </w:pPr>
    </w:p>
    <w:p>
      <w:pPr>
        <w:pStyle w:val="Heading6"/>
      </w:pPr>
      <w:r>
        <w:rPr>
          <w:w w:val="140"/>
        </w:rPr>
        <w:t>introducción</w:t>
      </w:r>
    </w:p>
    <w:p>
      <w:pPr>
        <w:pStyle w:val="BodyText"/>
        <w:spacing w:line="252" w:lineRule="auto" w:before="10"/>
        <w:ind w:left="100" w:right="328"/>
        <w:jc w:val="both"/>
      </w:pPr>
      <w:r>
        <w:rPr>
          <w:w w:val="110"/>
        </w:rPr>
        <w:t>En Estados unidos, el desempleo y la precariedad laboral han erosio- nado el andamiaje de valores que sirvieron de fundamentos sociales e ideológicos en la conformación de la nación, colocados en la base de  la construcción de la identidad social y laboral de las personas defini- das y orientadas por la ética del trabajo y la utopía de una movilidad </w:t>
      </w:r>
      <w:r>
        <w:rPr>
          <w:w w:val="111"/>
        </w:rPr>
        <w:t>social</w:t>
      </w:r>
      <w:r>
        <w:rPr>
          <w:spacing w:val="17"/>
        </w:rPr>
        <w:t> </w:t>
      </w:r>
      <w:r>
        <w:rPr>
          <w:w w:val="112"/>
        </w:rPr>
        <w:t>garantizada.</w:t>
      </w:r>
      <w:r>
        <w:rPr>
          <w:spacing w:val="17"/>
        </w:rPr>
        <w:t> </w:t>
      </w:r>
      <w:r>
        <w:rPr>
          <w:w w:val="243"/>
        </w:rPr>
        <w:t>l</w:t>
      </w:r>
      <w:r>
        <w:rPr>
          <w:w w:val="109"/>
        </w:rPr>
        <w:t>as</w:t>
      </w:r>
      <w:r>
        <w:rPr>
          <w:spacing w:val="17"/>
        </w:rPr>
        <w:t> </w:t>
      </w:r>
      <w:r>
        <w:rPr>
          <w:w w:val="111"/>
        </w:rPr>
        <w:t>condiciones</w:t>
      </w:r>
      <w:r>
        <w:rPr>
          <w:spacing w:val="17"/>
        </w:rPr>
        <w:t> </w:t>
      </w:r>
      <w:r>
        <w:rPr>
          <w:w w:val="107"/>
        </w:rPr>
        <w:t>del</w:t>
      </w:r>
      <w:r>
        <w:rPr>
          <w:spacing w:val="17"/>
        </w:rPr>
        <w:t> </w:t>
      </w:r>
      <w:r>
        <w:rPr>
          <w:w w:val="110"/>
        </w:rPr>
        <w:t>mercado</w:t>
      </w:r>
      <w:r>
        <w:rPr>
          <w:spacing w:val="17"/>
        </w:rPr>
        <w:t> </w:t>
      </w:r>
      <w:r>
        <w:rPr>
          <w:w w:val="110"/>
        </w:rPr>
        <w:t>laboral</w:t>
      </w:r>
      <w:r>
        <w:rPr>
          <w:spacing w:val="17"/>
        </w:rPr>
        <w:t> </w:t>
      </w:r>
      <w:r>
        <w:rPr>
          <w:w w:val="114"/>
        </w:rPr>
        <w:t>actual,</w:t>
      </w:r>
      <w:r>
        <w:rPr>
          <w:spacing w:val="17"/>
        </w:rPr>
        <w:t> </w:t>
      </w:r>
      <w:r>
        <w:rPr>
          <w:w w:val="110"/>
        </w:rPr>
        <w:t>dado </w:t>
      </w:r>
      <w:r>
        <w:rPr>
          <w:w w:val="110"/>
        </w:rPr>
        <w:t>el desempleo estructural y la precariedad, así como la creciente des- igualdad en los ingresos parecen deteriorar hondamente dichas con- cepciones. En el país, como sostiene stiglitz (2012), las desigualdades reducen el crecimiento y la falta de empleo afecta el activo más im- portante de la economía, a las personas; pero dentro de todo ello, lo que resulta más preocupante es que la desigualdad en Estados unidos “está corroyendo sus valores y su</w:t>
      </w:r>
      <w:r>
        <w:rPr>
          <w:spacing w:val="20"/>
          <w:w w:val="110"/>
        </w:rPr>
        <w:t> </w:t>
      </w:r>
      <w:r>
        <w:rPr>
          <w:w w:val="110"/>
        </w:rPr>
        <w:t>identidad”.</w:t>
      </w:r>
    </w:p>
    <w:p>
      <w:pPr>
        <w:pStyle w:val="BodyText"/>
        <w:spacing w:line="252" w:lineRule="auto"/>
        <w:ind w:left="100" w:right="327" w:firstLine="396"/>
        <w:jc w:val="both"/>
      </w:pPr>
      <w:r>
        <w:rPr>
          <w:w w:val="110"/>
        </w:rPr>
        <w:t>a pesar de las reiteradas proclamas del supuesto “fin del trabajo”, éste mantiene su centralidad en todas las actividades humanas: sin trabajo no hay persona. En la sociedad moderna e industrial, pero también en las sociedades tradicionales, el trabajo –y en particular</w:t>
      </w:r>
    </w:p>
    <w:p>
      <w:pPr>
        <w:pStyle w:val="BodyText"/>
        <w:spacing w:before="10"/>
        <w:rPr>
          <w:sz w:val="22"/>
        </w:rPr>
      </w:pPr>
    </w:p>
    <w:p>
      <w:pPr>
        <w:spacing w:line="242" w:lineRule="auto" w:before="0"/>
        <w:ind w:left="270" w:right="528" w:hanging="171"/>
        <w:jc w:val="left"/>
        <w:rPr>
          <w:sz w:val="16"/>
        </w:rPr>
      </w:pPr>
      <w:r>
        <w:rPr>
          <w:w w:val="105"/>
          <w:sz w:val="16"/>
        </w:rPr>
        <w:t>* Profesor investigador de la Facultad de Ciencias Políticas y sociales de la universi- dad autónoma del Estado de  </w:t>
      </w:r>
      <w:r>
        <w:rPr>
          <w:spacing w:val="23"/>
          <w:w w:val="105"/>
          <w:sz w:val="16"/>
        </w:rPr>
        <w:t> </w:t>
      </w:r>
      <w:r>
        <w:rPr>
          <w:w w:val="105"/>
          <w:sz w:val="16"/>
        </w:rPr>
        <w:t>México.</w:t>
      </w:r>
    </w:p>
    <w:p>
      <w:pPr>
        <w:pStyle w:val="BodyText"/>
        <w:rPr>
          <w:sz w:val="20"/>
        </w:rPr>
      </w:pPr>
    </w:p>
    <w:p>
      <w:pPr>
        <w:pStyle w:val="BodyText"/>
        <w:spacing w:before="1"/>
        <w:rPr>
          <w:sz w:val="17"/>
        </w:rPr>
      </w:pPr>
    </w:p>
    <w:p>
      <w:pPr>
        <w:pStyle w:val="Heading7"/>
        <w:spacing w:line="240" w:lineRule="auto"/>
        <w:ind w:left="789" w:right="1017"/>
        <w:jc w:val="center"/>
      </w:pPr>
      <w:r>
        <w:rPr/>
        <w:t>145</w:t>
      </w:r>
    </w:p>
    <w:p>
      <w:pPr>
        <w:spacing w:after="0" w:line="240" w:lineRule="auto"/>
        <w:jc w:val="center"/>
        <w:sectPr>
          <w:headerReference w:type="even" r:id="rId218"/>
          <w:footerReference w:type="even" r:id="rId219"/>
          <w:pgSz w:w="8790" w:h="12760"/>
          <w:pgMar w:header="0" w:footer="0" w:top="1180" w:bottom="280" w:left="920" w:right="1200"/>
        </w:sectPr>
      </w:pPr>
    </w:p>
    <w:p>
      <w:pPr>
        <w:pStyle w:val="BodyText"/>
        <w:spacing w:before="7"/>
        <w:rPr>
          <w:sz w:val="28"/>
        </w:rPr>
      </w:pPr>
    </w:p>
    <w:p>
      <w:pPr>
        <w:pStyle w:val="BodyText"/>
        <w:spacing w:line="252" w:lineRule="auto" w:before="73"/>
        <w:ind w:left="330" w:right="117"/>
        <w:jc w:val="both"/>
      </w:pPr>
      <w:r>
        <w:rPr>
          <w:w w:val="110"/>
        </w:rPr>
        <w:t>el asalariado– constituye la fuente fundamental de identidad social y construcción de ciudadanía. Ciertamente, no siempre fue así; en la an- tigüedad y en las sociedades judías cristianas, el trabajo era más bien considerado como una actividad indigna, no propia de los individuos libres integrantes de la sociedad. En general, el cambio que introdujo el valor trabajo en el sentido positivo se dio con la revolución indus- trial</w:t>
      </w:r>
      <w:r>
        <w:rPr>
          <w:spacing w:val="-4"/>
          <w:w w:val="110"/>
        </w:rPr>
        <w:t> </w:t>
      </w:r>
      <w:r>
        <w:rPr>
          <w:w w:val="110"/>
        </w:rPr>
        <w:t>y</w:t>
      </w:r>
      <w:r>
        <w:rPr>
          <w:spacing w:val="-4"/>
          <w:w w:val="110"/>
        </w:rPr>
        <w:t> </w:t>
      </w:r>
      <w:r>
        <w:rPr>
          <w:w w:val="110"/>
        </w:rPr>
        <w:t>todo</w:t>
      </w:r>
      <w:r>
        <w:rPr>
          <w:spacing w:val="-4"/>
          <w:w w:val="110"/>
        </w:rPr>
        <w:t> </w:t>
      </w:r>
      <w:r>
        <w:rPr>
          <w:w w:val="110"/>
        </w:rPr>
        <w:t>el</w:t>
      </w:r>
      <w:r>
        <w:rPr>
          <w:spacing w:val="-4"/>
          <w:w w:val="110"/>
        </w:rPr>
        <w:t> </w:t>
      </w:r>
      <w:r>
        <w:rPr>
          <w:w w:val="110"/>
        </w:rPr>
        <w:t>entorno</w:t>
      </w:r>
      <w:r>
        <w:rPr>
          <w:spacing w:val="-4"/>
          <w:w w:val="110"/>
        </w:rPr>
        <w:t> </w:t>
      </w:r>
      <w:r>
        <w:rPr>
          <w:w w:val="110"/>
        </w:rPr>
        <w:t>social</w:t>
      </w:r>
      <w:r>
        <w:rPr>
          <w:spacing w:val="-4"/>
          <w:w w:val="110"/>
        </w:rPr>
        <w:t> </w:t>
      </w:r>
      <w:r>
        <w:rPr>
          <w:w w:val="110"/>
        </w:rPr>
        <w:t>que</w:t>
      </w:r>
      <w:r>
        <w:rPr>
          <w:spacing w:val="-4"/>
          <w:w w:val="110"/>
        </w:rPr>
        <w:t> </w:t>
      </w:r>
      <w:r>
        <w:rPr>
          <w:w w:val="110"/>
        </w:rPr>
        <w:t>promovió</w:t>
      </w:r>
      <w:r>
        <w:rPr>
          <w:spacing w:val="-4"/>
          <w:w w:val="110"/>
        </w:rPr>
        <w:t> </w:t>
      </w:r>
      <w:r>
        <w:rPr>
          <w:w w:val="110"/>
        </w:rPr>
        <w:t>a</w:t>
      </w:r>
      <w:r>
        <w:rPr>
          <w:spacing w:val="-4"/>
          <w:w w:val="110"/>
        </w:rPr>
        <w:t> </w:t>
      </w:r>
      <w:r>
        <w:rPr>
          <w:w w:val="110"/>
        </w:rPr>
        <w:t>partir</w:t>
      </w:r>
      <w:r>
        <w:rPr>
          <w:spacing w:val="-4"/>
          <w:w w:val="110"/>
        </w:rPr>
        <w:t> </w:t>
      </w:r>
      <w:r>
        <w:rPr>
          <w:w w:val="110"/>
        </w:rPr>
        <w:t>de</w:t>
      </w:r>
      <w:r>
        <w:rPr>
          <w:spacing w:val="-4"/>
          <w:w w:val="110"/>
        </w:rPr>
        <w:t> </w:t>
      </w:r>
      <w:r>
        <w:rPr>
          <w:w w:val="110"/>
        </w:rPr>
        <w:t>la</w:t>
      </w:r>
      <w:r>
        <w:rPr>
          <w:spacing w:val="-4"/>
          <w:w w:val="110"/>
        </w:rPr>
        <w:t> </w:t>
      </w:r>
      <w:r>
        <w:rPr>
          <w:w w:val="110"/>
        </w:rPr>
        <w:t>consideración del obrero como trabajador libre, y el consiguiente reconocimiento de ser dueño de su fuerza de trabajo. En la perspectiva de beck (2000: 21), en esta sociedad, a diferencia de las anteriores, el individuo se define mediante el trabajo remunerado, logra su identidad y persona- lidad individual y colectiva sólo en y a través del trabajo; el</w:t>
      </w:r>
      <w:r>
        <w:rPr>
          <w:spacing w:val="-20"/>
          <w:w w:val="110"/>
        </w:rPr>
        <w:t> </w:t>
      </w:r>
      <w:r>
        <w:rPr>
          <w:w w:val="110"/>
        </w:rPr>
        <w:t>ciudadano, con todo lo que ello implica en términos de representación social, de- beres y derechos, sólo se concibe como “ciudadano </w:t>
      </w:r>
      <w:r>
        <w:rPr>
          <w:spacing w:val="41"/>
          <w:w w:val="110"/>
        </w:rPr>
        <w:t> </w:t>
      </w:r>
      <w:r>
        <w:rPr>
          <w:w w:val="110"/>
        </w:rPr>
        <w:t>trabajador”.</w:t>
      </w:r>
    </w:p>
    <w:p>
      <w:pPr>
        <w:pStyle w:val="BodyText"/>
        <w:spacing w:line="252" w:lineRule="auto"/>
        <w:ind w:left="330" w:right="117" w:firstLine="396"/>
        <w:jc w:val="both"/>
      </w:pPr>
      <w:r>
        <w:rPr>
          <w:w w:val="110"/>
        </w:rPr>
        <w:t>Estados unidos, como se ha reiterado en diversas fuentes y estu- dios </w:t>
      </w:r>
      <w:r>
        <w:rPr>
          <w:spacing w:val="-3"/>
          <w:w w:val="110"/>
        </w:rPr>
        <w:t>(Piketty, </w:t>
      </w:r>
      <w:r>
        <w:rPr>
          <w:w w:val="110"/>
        </w:rPr>
        <w:t>2014; stiglitz, 2015; Castillo, 2007), tiene una de las peo- res desigualdades de la distribución del ingreso del mundo desarro- </w:t>
      </w:r>
      <w:r>
        <w:rPr>
          <w:w w:val="113"/>
        </w:rPr>
        <w:t>llado.</w:t>
      </w:r>
      <w:r>
        <w:rPr>
          <w:spacing w:val="9"/>
        </w:rPr>
        <w:t> </w:t>
      </w:r>
      <w:r>
        <w:rPr>
          <w:w w:val="243"/>
        </w:rPr>
        <w:t>l</w:t>
      </w:r>
      <w:r>
        <w:rPr>
          <w:w w:val="112"/>
        </w:rPr>
        <w:t>a</w:t>
      </w:r>
      <w:r>
        <w:rPr>
          <w:spacing w:val="9"/>
        </w:rPr>
        <w:t> </w:t>
      </w:r>
      <w:r>
        <w:rPr>
          <w:w w:val="112"/>
        </w:rPr>
        <w:t>globalización</w:t>
      </w:r>
      <w:r>
        <w:rPr>
          <w:spacing w:val="9"/>
        </w:rPr>
        <w:t> </w:t>
      </w:r>
      <w:r>
        <w:rPr>
          <w:w w:val="110"/>
        </w:rPr>
        <w:t>neoliberal,</w:t>
      </w:r>
      <w:r>
        <w:rPr>
          <w:spacing w:val="9"/>
        </w:rPr>
        <w:t> </w:t>
      </w:r>
      <w:r>
        <w:rPr>
          <w:w w:val="108"/>
        </w:rPr>
        <w:t>por</w:t>
      </w:r>
      <w:r>
        <w:rPr>
          <w:spacing w:val="9"/>
        </w:rPr>
        <w:t> </w:t>
      </w:r>
      <w:r>
        <w:rPr>
          <w:w w:val="112"/>
        </w:rPr>
        <w:t>un</w:t>
      </w:r>
      <w:r>
        <w:rPr>
          <w:spacing w:val="9"/>
        </w:rPr>
        <w:t> </w:t>
      </w:r>
      <w:r>
        <w:rPr>
          <w:w w:val="113"/>
        </w:rPr>
        <w:t>lado,</w:t>
      </w:r>
      <w:r>
        <w:rPr>
          <w:spacing w:val="9"/>
        </w:rPr>
        <w:t> </w:t>
      </w:r>
      <w:r>
        <w:rPr>
          <w:w w:val="108"/>
        </w:rPr>
        <w:t>generó</w:t>
      </w:r>
      <w:r>
        <w:rPr>
          <w:spacing w:val="9"/>
        </w:rPr>
        <w:t> </w:t>
      </w:r>
      <w:r>
        <w:rPr>
          <w:w w:val="112"/>
        </w:rPr>
        <w:t>una</w:t>
      </w:r>
      <w:r>
        <w:rPr>
          <w:spacing w:val="9"/>
        </w:rPr>
        <w:t> </w:t>
      </w:r>
      <w:r>
        <w:rPr>
          <w:w w:val="111"/>
        </w:rPr>
        <w:t>paradójica </w:t>
      </w:r>
      <w:r>
        <w:rPr>
          <w:w w:val="110"/>
        </w:rPr>
        <w:t>tensión entre las supuestas tendencias hacia la homogeneización y el incremento de las desigualdades sociales </w:t>
      </w:r>
      <w:r>
        <w:rPr>
          <w:spacing w:val="-11"/>
          <w:w w:val="110"/>
        </w:rPr>
        <w:t>y, </w:t>
      </w:r>
      <w:r>
        <w:rPr>
          <w:w w:val="110"/>
        </w:rPr>
        <w:t>por otro, introdujo nuevas formas de organización del trabajo que no sólo modificaron el ámbito laboral, sino que también trastocaron otras esferas de la vida social, creando nuevos estilos de vida que han reconfigurado los procesos de construcción de identidades y ciudadanías. En particular, los jóvenes buscan otros referentes de sentido y espacio, ya no necesariamente los tradicionales centrados en la familia, la escuela, el deporte y el trabajo, como portadores de significados; sino más bien, en los vin- culados al “no trabajo”, dada las condiciones de inseguridad laboral prevalecientes. El contexto de desempleo estructural y precariedad</w:t>
      </w:r>
      <w:r>
        <w:rPr>
          <w:spacing w:val="-17"/>
          <w:w w:val="110"/>
        </w:rPr>
        <w:t> </w:t>
      </w:r>
      <w:r>
        <w:rPr>
          <w:w w:val="110"/>
        </w:rPr>
        <w:t>la- boral “rutinizada” determina, particularmente en los jóvenes, nuevas trayectorias de</w:t>
      </w:r>
      <w:r>
        <w:rPr>
          <w:spacing w:val="3"/>
          <w:w w:val="110"/>
        </w:rPr>
        <w:t> </w:t>
      </w:r>
      <w:r>
        <w:rPr>
          <w:w w:val="110"/>
        </w:rPr>
        <w:t>vida.</w:t>
      </w:r>
    </w:p>
    <w:p>
      <w:pPr>
        <w:pStyle w:val="BodyText"/>
        <w:spacing w:line="252" w:lineRule="auto"/>
        <w:ind w:left="330" w:right="117" w:firstLine="396"/>
        <w:jc w:val="both"/>
      </w:pPr>
      <w:r>
        <w:rPr>
          <w:w w:val="110"/>
        </w:rPr>
        <w:t>anteriormente, en Estados unidos se planteó la problemática del trabajo a partir de la “capacidad excepcional” de la supuesta “máqui- na de creación de empleo” y las contradicciones generadas por la di- námica del mercado laboral en relación con los cambios en la estruc- tura sectorial, la calidad de las ocupaciones y la consecuente caída en los</w:t>
      </w:r>
      <w:r>
        <w:rPr>
          <w:spacing w:val="-4"/>
          <w:w w:val="110"/>
        </w:rPr>
        <w:t> </w:t>
      </w:r>
      <w:r>
        <w:rPr>
          <w:w w:val="110"/>
        </w:rPr>
        <w:t>niveles</w:t>
      </w:r>
      <w:r>
        <w:rPr>
          <w:spacing w:val="-4"/>
          <w:w w:val="110"/>
        </w:rPr>
        <w:t> </w:t>
      </w:r>
      <w:r>
        <w:rPr>
          <w:w w:val="110"/>
        </w:rPr>
        <w:t>de</w:t>
      </w:r>
      <w:r>
        <w:rPr>
          <w:spacing w:val="-4"/>
          <w:w w:val="110"/>
        </w:rPr>
        <w:t> </w:t>
      </w:r>
      <w:r>
        <w:rPr>
          <w:w w:val="110"/>
        </w:rPr>
        <w:t>las</w:t>
      </w:r>
      <w:r>
        <w:rPr>
          <w:spacing w:val="-4"/>
          <w:w w:val="110"/>
        </w:rPr>
        <w:t> </w:t>
      </w:r>
      <w:r>
        <w:rPr>
          <w:w w:val="110"/>
        </w:rPr>
        <w:t>remuneraciones</w:t>
      </w:r>
      <w:r>
        <w:rPr>
          <w:spacing w:val="-4"/>
          <w:w w:val="110"/>
        </w:rPr>
        <w:t> </w:t>
      </w:r>
      <w:r>
        <w:rPr>
          <w:w w:val="110"/>
        </w:rPr>
        <w:t>derivadas</w:t>
      </w:r>
      <w:r>
        <w:rPr>
          <w:spacing w:val="-4"/>
          <w:w w:val="110"/>
        </w:rPr>
        <w:t> </w:t>
      </w:r>
      <w:r>
        <w:rPr>
          <w:w w:val="110"/>
        </w:rPr>
        <w:t>de</w:t>
      </w:r>
      <w:r>
        <w:rPr>
          <w:spacing w:val="-4"/>
          <w:w w:val="110"/>
        </w:rPr>
        <w:t> </w:t>
      </w:r>
      <w:r>
        <w:rPr>
          <w:w w:val="110"/>
        </w:rPr>
        <w:t>las</w:t>
      </w:r>
      <w:r>
        <w:rPr>
          <w:spacing w:val="-4"/>
          <w:w w:val="110"/>
        </w:rPr>
        <w:t> </w:t>
      </w:r>
      <w:r>
        <w:rPr>
          <w:w w:val="110"/>
        </w:rPr>
        <w:t>políticas</w:t>
      </w:r>
      <w:r>
        <w:rPr>
          <w:spacing w:val="-4"/>
          <w:w w:val="110"/>
        </w:rPr>
        <w:t> </w:t>
      </w:r>
      <w:r>
        <w:rPr>
          <w:w w:val="110"/>
        </w:rPr>
        <w:t>de</w:t>
      </w:r>
      <w:r>
        <w:rPr>
          <w:spacing w:val="-4"/>
          <w:w w:val="110"/>
        </w:rPr>
        <w:t> </w:t>
      </w:r>
      <w:r>
        <w:rPr>
          <w:w w:val="110"/>
        </w:rPr>
        <w:t>ajuste</w:t>
      </w:r>
      <w:r>
        <w:rPr>
          <w:spacing w:val="-4"/>
          <w:w w:val="110"/>
        </w:rPr>
        <w:t> </w:t>
      </w:r>
      <w:r>
        <w:rPr>
          <w:w w:val="110"/>
        </w:rPr>
        <w:t>y transformación productivas de mediados de la década de 1980 y pos- teriores, y las estrategias empresariales orientadas a la reducción de los costos de la mano de obra, dadas las condiciones de mayor com- petitividad internacional. No obstante, en cierto modo, en las décadas recientes</w:t>
      </w:r>
      <w:r>
        <w:rPr>
          <w:spacing w:val="-8"/>
          <w:w w:val="110"/>
        </w:rPr>
        <w:t> </w:t>
      </w:r>
      <w:r>
        <w:rPr>
          <w:w w:val="110"/>
        </w:rPr>
        <w:t>el</w:t>
      </w:r>
      <w:r>
        <w:rPr>
          <w:spacing w:val="-8"/>
          <w:w w:val="110"/>
        </w:rPr>
        <w:t> </w:t>
      </w:r>
      <w:r>
        <w:rPr>
          <w:w w:val="110"/>
        </w:rPr>
        <w:t>centro</w:t>
      </w:r>
      <w:r>
        <w:rPr>
          <w:spacing w:val="-8"/>
          <w:w w:val="110"/>
        </w:rPr>
        <w:t> </w:t>
      </w:r>
      <w:r>
        <w:rPr>
          <w:w w:val="110"/>
        </w:rPr>
        <w:t>del</w:t>
      </w:r>
      <w:r>
        <w:rPr>
          <w:spacing w:val="-8"/>
          <w:w w:val="110"/>
        </w:rPr>
        <w:t> </w:t>
      </w:r>
      <w:r>
        <w:rPr>
          <w:w w:val="110"/>
        </w:rPr>
        <w:t>debate</w:t>
      </w:r>
      <w:r>
        <w:rPr>
          <w:spacing w:val="-8"/>
          <w:w w:val="110"/>
        </w:rPr>
        <w:t> </w:t>
      </w:r>
      <w:r>
        <w:rPr>
          <w:w w:val="110"/>
        </w:rPr>
        <w:t>y</w:t>
      </w:r>
      <w:r>
        <w:rPr>
          <w:spacing w:val="-8"/>
          <w:w w:val="110"/>
        </w:rPr>
        <w:t> </w:t>
      </w:r>
      <w:r>
        <w:rPr>
          <w:w w:val="110"/>
        </w:rPr>
        <w:t>de</w:t>
      </w:r>
      <w:r>
        <w:rPr>
          <w:spacing w:val="-8"/>
          <w:w w:val="110"/>
        </w:rPr>
        <w:t> </w:t>
      </w:r>
      <w:r>
        <w:rPr>
          <w:w w:val="110"/>
        </w:rPr>
        <w:t>la</w:t>
      </w:r>
      <w:r>
        <w:rPr>
          <w:spacing w:val="-8"/>
          <w:w w:val="110"/>
        </w:rPr>
        <w:t> </w:t>
      </w:r>
      <w:r>
        <w:rPr>
          <w:w w:val="110"/>
        </w:rPr>
        <w:t>investigación</w:t>
      </w:r>
      <w:r>
        <w:rPr>
          <w:spacing w:val="-8"/>
          <w:w w:val="110"/>
        </w:rPr>
        <w:t> </w:t>
      </w:r>
      <w:r>
        <w:rPr>
          <w:w w:val="110"/>
        </w:rPr>
        <w:t>se</w:t>
      </w:r>
      <w:r>
        <w:rPr>
          <w:spacing w:val="-8"/>
          <w:w w:val="110"/>
        </w:rPr>
        <w:t> </w:t>
      </w:r>
      <w:r>
        <w:rPr>
          <w:w w:val="110"/>
        </w:rPr>
        <w:t>desplazó</w:t>
      </w:r>
      <w:r>
        <w:rPr>
          <w:spacing w:val="-8"/>
          <w:w w:val="110"/>
        </w:rPr>
        <w:t> </w:t>
      </w:r>
      <w:r>
        <w:rPr>
          <w:w w:val="110"/>
        </w:rPr>
        <w:t>notoria- mente del “análisis de los factores que determinan la proliferación </w:t>
      </w:r>
      <w:r>
        <w:rPr>
          <w:spacing w:val="28"/>
          <w:w w:val="110"/>
        </w:rPr>
        <w:t> </w:t>
      </w:r>
      <w:r>
        <w:rPr>
          <w:w w:val="110"/>
        </w:rPr>
        <w:t>de</w:t>
      </w:r>
    </w:p>
    <w:p>
      <w:pPr>
        <w:spacing w:after="0" w:line="252" w:lineRule="auto"/>
        <w:jc w:val="both"/>
        <w:sectPr>
          <w:headerReference w:type="even" r:id="rId220"/>
          <w:headerReference w:type="default" r:id="rId221"/>
          <w:footerReference w:type="even" r:id="rId222"/>
          <w:footerReference w:type="default" r:id="rId223"/>
          <w:pgSz w:w="8790" w:h="12760"/>
          <w:pgMar w:header="697" w:footer="725" w:top="880" w:bottom="920" w:left="1200" w:right="900"/>
          <w:pgNumType w:start="146"/>
        </w:sectPr>
      </w:pPr>
    </w:p>
    <w:p>
      <w:pPr>
        <w:pStyle w:val="BodyText"/>
        <w:spacing w:before="9"/>
        <w:rPr>
          <w:sz w:val="28"/>
        </w:rPr>
      </w:pPr>
    </w:p>
    <w:p>
      <w:pPr>
        <w:pStyle w:val="BodyText"/>
        <w:spacing w:line="252" w:lineRule="auto" w:before="73"/>
        <w:ind w:left="100" w:right="328"/>
        <w:jc w:val="both"/>
      </w:pPr>
      <w:r>
        <w:rPr>
          <w:w w:val="110"/>
        </w:rPr>
        <w:t>‘malos empleos’ […] hacia una búsqueda de las causas de la creciente desigualdad de ingresos” (Carty, 1999: 108) y, particularmente, hacia el estudio de las nuevas ocupaciones concentradas en los rangos de más bajos ingresos.</w:t>
      </w:r>
    </w:p>
    <w:p>
      <w:pPr>
        <w:pStyle w:val="BodyText"/>
        <w:spacing w:line="252" w:lineRule="auto"/>
        <w:ind w:left="100" w:right="328" w:firstLine="396"/>
        <w:jc w:val="both"/>
      </w:pPr>
      <w:r>
        <w:rPr>
          <w:spacing w:val="-3"/>
          <w:w w:val="110"/>
        </w:rPr>
        <w:t>teniendo </w:t>
      </w:r>
      <w:r>
        <w:rPr>
          <w:w w:val="110"/>
        </w:rPr>
        <w:t>en cuenta lo </w:t>
      </w:r>
      <w:r>
        <w:rPr>
          <w:spacing w:val="-3"/>
          <w:w w:val="110"/>
        </w:rPr>
        <w:t>anterior, </w:t>
      </w:r>
      <w:r>
        <w:rPr>
          <w:w w:val="110"/>
        </w:rPr>
        <w:t>este artículo tiene como objetivo analizar la situación laboral, en particular la participación económi- ca, el desempleo, la precarización laboral y sus consecuencias y efec- tos en desigualdades de ingreso de los jóvenes estadounidenses, en   el marco del modelo neoliberal dominante y la crisis de 2008, bajo el supuesto implícito y explícito de que sus condiciones de desempleo son estructurales, con creciente precariedad y desigualdades de</w:t>
      </w:r>
      <w:r>
        <w:rPr>
          <w:spacing w:val="-26"/>
          <w:w w:val="110"/>
        </w:rPr>
        <w:t> </w:t>
      </w:r>
      <w:r>
        <w:rPr>
          <w:w w:val="110"/>
        </w:rPr>
        <w:t>ingre- sos, y que dichas condiciones endémicas erosionan el interés por el trabajo </w:t>
      </w:r>
      <w:r>
        <w:rPr>
          <w:spacing w:val="-11"/>
          <w:w w:val="110"/>
        </w:rPr>
        <w:t>y,  </w:t>
      </w:r>
      <w:r>
        <w:rPr>
          <w:w w:val="110"/>
        </w:rPr>
        <w:t>con ello, los fundamentos que dieron sentido y coherencia    a la sociedad fundada en la ética del trabajo, bajo el ideal de que éste era la fuente primaria y garantía de la movilidad  </w:t>
      </w:r>
      <w:r>
        <w:rPr>
          <w:spacing w:val="1"/>
          <w:w w:val="110"/>
        </w:rPr>
        <w:t> </w:t>
      </w:r>
      <w:r>
        <w:rPr>
          <w:w w:val="110"/>
        </w:rPr>
        <w:t>social.</w:t>
      </w:r>
    </w:p>
    <w:p>
      <w:pPr>
        <w:pStyle w:val="BodyText"/>
        <w:spacing w:before="5"/>
      </w:pPr>
    </w:p>
    <w:p>
      <w:pPr>
        <w:pStyle w:val="Heading6"/>
        <w:spacing w:line="244" w:lineRule="auto"/>
        <w:ind w:right="528" w:hanging="1"/>
        <w:jc w:val="left"/>
      </w:pPr>
      <w:r>
        <w:rPr>
          <w:spacing w:val="3"/>
          <w:w w:val="134"/>
        </w:rPr>
        <w:t>e</w:t>
      </w:r>
      <w:r>
        <w:rPr>
          <w:w w:val="201"/>
        </w:rPr>
        <w:t>l</w:t>
      </w:r>
      <w:r>
        <w:rPr/>
        <w:t> </w:t>
      </w:r>
      <w:r>
        <w:rPr>
          <w:spacing w:val="2"/>
          <w:w w:val="130"/>
        </w:rPr>
        <w:t>n</w:t>
      </w:r>
      <w:r>
        <w:rPr>
          <w:spacing w:val="3"/>
          <w:w w:val="130"/>
        </w:rPr>
        <w:t>e</w:t>
      </w:r>
      <w:r>
        <w:rPr>
          <w:spacing w:val="2"/>
          <w:w w:val="165"/>
        </w:rPr>
        <w:t>ol</w:t>
      </w:r>
      <w:r>
        <w:rPr>
          <w:spacing w:val="2"/>
          <w:w w:val="129"/>
        </w:rPr>
        <w:t>i</w:t>
      </w:r>
      <w:r>
        <w:rPr>
          <w:spacing w:val="1"/>
          <w:w w:val="96"/>
        </w:rPr>
        <w:t>B</w:t>
      </w:r>
      <w:r>
        <w:rPr>
          <w:spacing w:val="3"/>
          <w:w w:val="134"/>
        </w:rPr>
        <w:t>e</w:t>
      </w:r>
      <w:r>
        <w:rPr>
          <w:spacing w:val="2"/>
          <w:w w:val="145"/>
        </w:rPr>
        <w:t>r</w:t>
      </w:r>
      <w:r>
        <w:rPr>
          <w:spacing w:val="2"/>
          <w:w w:val="155"/>
        </w:rPr>
        <w:t>al</w:t>
      </w:r>
      <w:r>
        <w:rPr>
          <w:spacing w:val="2"/>
          <w:w w:val="133"/>
        </w:rPr>
        <w:t>is</w:t>
      </w:r>
      <w:r>
        <w:rPr>
          <w:spacing w:val="2"/>
          <w:w w:val="92"/>
        </w:rPr>
        <w:t>M</w:t>
      </w:r>
      <w:r>
        <w:rPr>
          <w:w w:val="145"/>
        </w:rPr>
        <w:t>o</w:t>
      </w:r>
      <w:r>
        <w:rPr/>
        <w:t> </w:t>
      </w:r>
      <w:r>
        <w:rPr>
          <w:spacing w:val="2"/>
          <w:w w:val="139"/>
        </w:rPr>
        <w:t>co</w:t>
      </w:r>
      <w:r>
        <w:rPr>
          <w:spacing w:val="3"/>
          <w:w w:val="139"/>
        </w:rPr>
        <w:t>n</w:t>
      </w:r>
      <w:r>
        <w:rPr>
          <w:spacing w:val="2"/>
          <w:w w:val="160"/>
        </w:rPr>
        <w:t>tr</w:t>
      </w:r>
      <w:r>
        <w:rPr>
          <w:w w:val="129"/>
        </w:rPr>
        <w:t>a</w:t>
      </w:r>
      <w:r>
        <w:rPr/>
        <w:t> </w:t>
      </w:r>
      <w:r>
        <w:rPr>
          <w:spacing w:val="3"/>
          <w:w w:val="134"/>
        </w:rPr>
        <w:t>e</w:t>
      </w:r>
      <w:r>
        <w:rPr>
          <w:w w:val="201"/>
        </w:rPr>
        <w:t>l</w:t>
      </w:r>
      <w:r>
        <w:rPr/>
        <w:t> </w:t>
      </w:r>
      <w:r>
        <w:rPr>
          <w:spacing w:val="2"/>
          <w:w w:val="134"/>
        </w:rPr>
        <w:t>si</w:t>
      </w:r>
      <w:r>
        <w:rPr>
          <w:spacing w:val="1"/>
          <w:w w:val="134"/>
        </w:rPr>
        <w:t>s</w:t>
      </w:r>
      <w:r>
        <w:rPr>
          <w:spacing w:val="2"/>
          <w:w w:val="153"/>
        </w:rPr>
        <w:t>t</w:t>
      </w:r>
      <w:r>
        <w:rPr>
          <w:spacing w:val="3"/>
          <w:w w:val="153"/>
        </w:rPr>
        <w:t>e</w:t>
      </w:r>
      <w:r>
        <w:rPr>
          <w:spacing w:val="2"/>
          <w:w w:val="92"/>
        </w:rPr>
        <w:t>M</w:t>
      </w:r>
      <w:r>
        <w:rPr>
          <w:spacing w:val="7"/>
          <w:w w:val="129"/>
        </w:rPr>
        <w:t>a</w:t>
      </w:r>
      <w:r>
        <w:rPr>
          <w:w w:val="104"/>
        </w:rPr>
        <w:t>.</w:t>
      </w:r>
      <w:r>
        <w:rPr/>
        <w:t> </w:t>
      </w:r>
      <w:r>
        <w:rPr>
          <w:spacing w:val="3"/>
          <w:w w:val="134"/>
        </w:rPr>
        <w:t>e</w:t>
      </w:r>
      <w:r>
        <w:rPr>
          <w:w w:val="201"/>
        </w:rPr>
        <w:t>l</w:t>
      </w:r>
      <w:r>
        <w:rPr/>
        <w:t> </w:t>
      </w:r>
      <w:r>
        <w:rPr>
          <w:spacing w:val="1"/>
          <w:w w:val="129"/>
        </w:rPr>
        <w:t>a</w:t>
      </w:r>
      <w:r>
        <w:rPr>
          <w:spacing w:val="5"/>
          <w:w w:val="89"/>
        </w:rPr>
        <w:t>G</w:t>
      </w:r>
      <w:r>
        <w:rPr>
          <w:spacing w:val="2"/>
          <w:w w:val="159"/>
        </w:rPr>
        <w:t>o</w:t>
      </w:r>
      <w:r>
        <w:rPr>
          <w:spacing w:val="-10"/>
          <w:w w:val="159"/>
        </w:rPr>
        <w:t>t</w:t>
      </w:r>
      <w:r>
        <w:rPr>
          <w:spacing w:val="2"/>
          <w:w w:val="129"/>
        </w:rPr>
        <w:t>a</w:t>
      </w:r>
      <w:r>
        <w:rPr>
          <w:spacing w:val="2"/>
          <w:w w:val="92"/>
        </w:rPr>
        <w:t>M</w:t>
      </w:r>
      <w:r>
        <w:rPr>
          <w:spacing w:val="2"/>
          <w:w w:val="132"/>
        </w:rPr>
        <w:t>ie</w:t>
      </w:r>
      <w:r>
        <w:rPr>
          <w:spacing w:val="3"/>
          <w:w w:val="128"/>
        </w:rPr>
        <w:t>n</w:t>
      </w:r>
      <w:r>
        <w:rPr>
          <w:spacing w:val="2"/>
          <w:w w:val="180"/>
        </w:rPr>
        <w:t>t</w:t>
      </w:r>
      <w:r>
        <w:rPr>
          <w:w w:val="145"/>
        </w:rPr>
        <w:t>o </w:t>
      </w:r>
      <w:r>
        <w:rPr>
          <w:w w:val="140"/>
        </w:rPr>
        <w:t>de</w:t>
      </w:r>
      <w:r>
        <w:rPr>
          <w:spacing w:val="-55"/>
          <w:w w:val="140"/>
        </w:rPr>
        <w:t> </w:t>
      </w:r>
      <w:r>
        <w:rPr>
          <w:spacing w:val="2"/>
          <w:w w:val="140"/>
        </w:rPr>
        <w:t>las</w:t>
      </w:r>
      <w:r>
        <w:rPr>
          <w:spacing w:val="-55"/>
          <w:w w:val="140"/>
        </w:rPr>
        <w:t> </w:t>
      </w:r>
      <w:r>
        <w:rPr>
          <w:spacing w:val="2"/>
          <w:w w:val="140"/>
        </w:rPr>
        <w:t>clases</w:t>
      </w:r>
      <w:r>
        <w:rPr>
          <w:spacing w:val="-55"/>
          <w:w w:val="140"/>
        </w:rPr>
        <w:t> </w:t>
      </w:r>
      <w:r>
        <w:rPr>
          <w:w w:val="140"/>
        </w:rPr>
        <w:t>Medias</w:t>
      </w:r>
    </w:p>
    <w:p>
      <w:pPr>
        <w:pStyle w:val="BodyText"/>
        <w:spacing w:line="252" w:lineRule="auto" w:before="5"/>
        <w:ind w:left="100" w:right="328"/>
        <w:jc w:val="both"/>
      </w:pPr>
      <w:r>
        <w:rPr>
          <w:w w:val="110"/>
        </w:rPr>
        <w:t>Estados unidos, en gran medida, ha sido una sociedad meritocrática (Castillo, 2010) en la que prevalecía el reconocimiento del otro en re- lación con su persona, generalmente asociado con el origen y nacio- nalidad, así como con la identidad, los gustos e intereses personales; pero ha pasado a ser una sociedad marcada por las contradicciones del modelo laboral, a ser más individualista y caracterizada por las di- </w:t>
      </w:r>
      <w:r>
        <w:rPr>
          <w:w w:val="109"/>
        </w:rPr>
        <w:t>ferencias</w:t>
      </w:r>
      <w:r>
        <w:rPr/>
        <w:t> </w:t>
      </w:r>
      <w:r>
        <w:rPr>
          <w:w w:val="104"/>
        </w:rPr>
        <w:t>e</w:t>
      </w:r>
      <w:r>
        <w:rPr/>
        <w:t> </w:t>
      </w:r>
      <w:r>
        <w:rPr>
          <w:w w:val="106"/>
        </w:rPr>
        <w:t>intereses</w:t>
      </w:r>
      <w:r>
        <w:rPr/>
        <w:t> </w:t>
      </w:r>
      <w:r>
        <w:rPr>
          <w:w w:val="107"/>
        </w:rPr>
        <w:t>de</w:t>
      </w:r>
      <w:r>
        <w:rPr/>
        <w:t> </w:t>
      </w:r>
      <w:r>
        <w:rPr>
          <w:w w:val="111"/>
        </w:rPr>
        <w:t>clases.</w:t>
      </w:r>
      <w:r>
        <w:rPr/>
        <w:t> </w:t>
      </w:r>
      <w:r>
        <w:rPr>
          <w:w w:val="243"/>
        </w:rPr>
        <w:t>l</w:t>
      </w:r>
      <w:r>
        <w:rPr>
          <w:w w:val="112"/>
        </w:rPr>
        <w:t>a</w:t>
      </w:r>
      <w:r>
        <w:rPr/>
        <w:t> </w:t>
      </w:r>
      <w:r>
        <w:rPr>
          <w:w w:val="110"/>
        </w:rPr>
        <w:t>sociedad</w:t>
      </w:r>
      <w:r>
        <w:rPr/>
        <w:t> </w:t>
      </w:r>
      <w:r>
        <w:rPr>
          <w:w w:val="108"/>
        </w:rPr>
        <w:t>estadounidense</w:t>
      </w:r>
      <w:r>
        <w:rPr/>
        <w:t> </w:t>
      </w:r>
      <w:r>
        <w:rPr>
          <w:w w:val="105"/>
        </w:rPr>
        <w:t>es</w:t>
      </w:r>
      <w:r>
        <w:rPr/>
        <w:t> </w:t>
      </w:r>
      <w:r>
        <w:rPr>
          <w:w w:val="112"/>
        </w:rPr>
        <w:t>cada</w:t>
      </w:r>
      <w:r>
        <w:rPr/>
        <w:t> </w:t>
      </w:r>
      <w:r>
        <w:rPr>
          <w:w w:val="105"/>
        </w:rPr>
        <w:t>vez </w:t>
      </w:r>
      <w:r>
        <w:rPr>
          <w:w w:val="110"/>
        </w:rPr>
        <w:t>menos una sociedad de clase media ampliada y más una sociedad de clases polarizadas, con conflictos y tensiones inherentes a dichas so- ciedades. a pesar de lo aparentemente distinto, dadas las diferencias raciales o conflictos recurrentes entre inmigrantes y nativos, según al- gunos estudios que cubren diversos grupos demográficos, actualmen- te la mayor fuente de tensión entre los estadounidenses se desarrolla entre ricos y pobres (bbC Mundo,  2012).</w:t>
      </w:r>
    </w:p>
    <w:p>
      <w:pPr>
        <w:pStyle w:val="BodyText"/>
        <w:spacing w:line="252" w:lineRule="auto"/>
        <w:ind w:left="100" w:right="328" w:firstLine="396"/>
        <w:jc w:val="both"/>
      </w:pPr>
      <w:r>
        <w:rPr>
          <w:w w:val="243"/>
        </w:rPr>
        <w:t>l</w:t>
      </w:r>
      <w:r>
        <w:rPr>
          <w:w w:val="112"/>
        </w:rPr>
        <w:t>a</w:t>
      </w:r>
      <w:r>
        <w:rPr>
          <w:spacing w:val="20"/>
        </w:rPr>
        <w:t> </w:t>
      </w:r>
      <w:r>
        <w:rPr>
          <w:w w:val="111"/>
        </w:rPr>
        <w:t>concentración</w:t>
      </w:r>
      <w:r>
        <w:rPr>
          <w:spacing w:val="20"/>
        </w:rPr>
        <w:t> </w:t>
      </w:r>
      <w:r>
        <w:rPr>
          <w:w w:val="107"/>
        </w:rPr>
        <w:t>de</w:t>
      </w:r>
      <w:r>
        <w:rPr>
          <w:spacing w:val="20"/>
        </w:rPr>
        <w:t> </w:t>
      </w:r>
      <w:r>
        <w:rPr>
          <w:w w:val="111"/>
        </w:rPr>
        <w:t>la</w:t>
      </w:r>
      <w:r>
        <w:rPr>
          <w:spacing w:val="20"/>
        </w:rPr>
        <w:t> </w:t>
      </w:r>
      <w:r>
        <w:rPr>
          <w:w w:val="109"/>
        </w:rPr>
        <w:t>riqueza</w:t>
      </w:r>
      <w:r>
        <w:rPr>
          <w:spacing w:val="20"/>
        </w:rPr>
        <w:t> </w:t>
      </w:r>
      <w:r>
        <w:rPr>
          <w:w w:val="105"/>
        </w:rPr>
        <w:t>es</w:t>
      </w:r>
      <w:r>
        <w:rPr>
          <w:spacing w:val="20"/>
        </w:rPr>
        <w:t> </w:t>
      </w:r>
      <w:r>
        <w:rPr>
          <w:w w:val="107"/>
        </w:rPr>
        <w:t>el</w:t>
      </w:r>
      <w:r>
        <w:rPr>
          <w:spacing w:val="20"/>
        </w:rPr>
        <w:t> </w:t>
      </w:r>
      <w:r>
        <w:rPr>
          <w:w w:val="108"/>
        </w:rPr>
        <w:t>resultado</w:t>
      </w:r>
      <w:r>
        <w:rPr>
          <w:spacing w:val="20"/>
        </w:rPr>
        <w:t> </w:t>
      </w:r>
      <w:r>
        <w:rPr>
          <w:w w:val="111"/>
        </w:rPr>
        <w:t>más</w:t>
      </w:r>
      <w:r>
        <w:rPr>
          <w:spacing w:val="20"/>
        </w:rPr>
        <w:t> </w:t>
      </w:r>
      <w:r>
        <w:rPr>
          <w:w w:val="109"/>
        </w:rPr>
        <w:t>notable</w:t>
      </w:r>
      <w:r>
        <w:rPr>
          <w:spacing w:val="20"/>
        </w:rPr>
        <w:t> </w:t>
      </w:r>
      <w:r>
        <w:rPr>
          <w:w w:val="107"/>
        </w:rPr>
        <w:t>de</w:t>
      </w:r>
      <w:r>
        <w:rPr>
          <w:spacing w:val="20"/>
        </w:rPr>
        <w:t> </w:t>
      </w:r>
      <w:r>
        <w:rPr>
          <w:w w:val="111"/>
        </w:rPr>
        <w:t>la </w:t>
      </w:r>
      <w:r>
        <w:rPr>
          <w:w w:val="110"/>
        </w:rPr>
        <w:t>adopción del modelo neoliberal en Estados unidos (brooks, 2006). a  lo largo de más de tres décadas, la parte del producto interno bruto (Pib) correspondiente a salarios cayó sistemáticamente, mientras que las utilidades y ganancias empresariales crecieron de manera exorbi- tante, aún en la coyuntura de la crisis de 2008 (brook, 2006; Castillo, 2012). En particular, Kliman (2013) atribuyó a la crisis “la caída de    la tasa de ganancia y el fracaso de la producción capitalista”, la cual según él “cayó y nunca llegó a recuperarse de forma sostenida”. No obstante, la tendencia lejos de reflejar las consecuencias de una crisis de</w:t>
      </w:r>
      <w:r>
        <w:rPr>
          <w:spacing w:val="34"/>
          <w:w w:val="110"/>
        </w:rPr>
        <w:t> </w:t>
      </w:r>
      <w:r>
        <w:rPr>
          <w:w w:val="110"/>
        </w:rPr>
        <w:t>acumulación</w:t>
      </w:r>
      <w:r>
        <w:rPr>
          <w:spacing w:val="34"/>
          <w:w w:val="110"/>
        </w:rPr>
        <w:t> </w:t>
      </w:r>
      <w:r>
        <w:rPr>
          <w:w w:val="110"/>
        </w:rPr>
        <w:t>como</w:t>
      </w:r>
      <w:r>
        <w:rPr>
          <w:spacing w:val="34"/>
          <w:w w:val="110"/>
        </w:rPr>
        <w:t> </w:t>
      </w:r>
      <w:r>
        <w:rPr>
          <w:w w:val="110"/>
        </w:rPr>
        <w:t>algunos</w:t>
      </w:r>
      <w:r>
        <w:rPr>
          <w:spacing w:val="34"/>
          <w:w w:val="110"/>
        </w:rPr>
        <w:t> </w:t>
      </w:r>
      <w:r>
        <w:rPr>
          <w:w w:val="110"/>
        </w:rPr>
        <w:t>la</w:t>
      </w:r>
      <w:r>
        <w:rPr>
          <w:spacing w:val="34"/>
          <w:w w:val="110"/>
        </w:rPr>
        <w:t> </w:t>
      </w:r>
      <w:r>
        <w:rPr>
          <w:w w:val="110"/>
        </w:rPr>
        <w:t>llamaron</w:t>
      </w:r>
      <w:r>
        <w:rPr>
          <w:spacing w:val="34"/>
          <w:w w:val="110"/>
        </w:rPr>
        <w:t> </w:t>
      </w:r>
      <w:r>
        <w:rPr>
          <w:w w:val="110"/>
        </w:rPr>
        <w:t>(Kliman,</w:t>
      </w:r>
      <w:r>
        <w:rPr>
          <w:spacing w:val="34"/>
          <w:w w:val="110"/>
        </w:rPr>
        <w:t> </w:t>
      </w:r>
      <w:r>
        <w:rPr>
          <w:w w:val="110"/>
        </w:rPr>
        <w:t>2013),</w:t>
      </w:r>
      <w:r>
        <w:rPr>
          <w:spacing w:val="34"/>
          <w:w w:val="110"/>
        </w:rPr>
        <w:t> </w:t>
      </w:r>
      <w:r>
        <w:rPr>
          <w:w w:val="110"/>
        </w:rPr>
        <w:t>muestra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el éxito de la acumulación creciente y desmesurada de la clase capita- lista a expensas de una mayor explotación de las clases trabajadoras de diversas formas (Castillo, 2012), teniendo como resultado el incre- mento y profundización inusitada de las desigualdades de ingresos </w:t>
      </w:r>
      <w:r>
        <w:rPr>
          <w:w w:val="105"/>
        </w:rPr>
        <w:t>y</w:t>
      </w:r>
      <w:r>
        <w:rPr/>
        <w:t> </w:t>
      </w:r>
      <w:r>
        <w:rPr>
          <w:spacing w:val="2"/>
        </w:rPr>
        <w:t> </w:t>
      </w:r>
      <w:r>
        <w:rPr>
          <w:w w:val="108"/>
        </w:rPr>
        <w:t>los</w:t>
      </w:r>
      <w:r>
        <w:rPr/>
        <w:t> </w:t>
      </w:r>
      <w:r>
        <w:rPr>
          <w:spacing w:val="2"/>
        </w:rPr>
        <w:t> </w:t>
      </w:r>
      <w:r>
        <w:rPr>
          <w:w w:val="107"/>
        </w:rPr>
        <w:t>niveles</w:t>
      </w:r>
      <w:r>
        <w:rPr/>
        <w:t> </w:t>
      </w:r>
      <w:r>
        <w:rPr>
          <w:spacing w:val="2"/>
        </w:rPr>
        <w:t> </w:t>
      </w:r>
      <w:r>
        <w:rPr>
          <w:w w:val="107"/>
        </w:rPr>
        <w:t>de</w:t>
      </w:r>
      <w:r>
        <w:rPr/>
        <w:t> </w:t>
      </w:r>
      <w:r>
        <w:rPr>
          <w:spacing w:val="2"/>
        </w:rPr>
        <w:t> </w:t>
      </w:r>
      <w:r>
        <w:rPr>
          <w:w w:val="110"/>
        </w:rPr>
        <w:t>pobreza.</w:t>
      </w:r>
      <w:r>
        <w:rPr/>
        <w:t> </w:t>
      </w:r>
      <w:r>
        <w:rPr>
          <w:spacing w:val="2"/>
        </w:rPr>
        <w:t> </w:t>
      </w:r>
      <w:r>
        <w:rPr>
          <w:w w:val="243"/>
        </w:rPr>
        <w:t>l</w:t>
      </w:r>
      <w:r>
        <w:rPr>
          <w:w w:val="112"/>
        </w:rPr>
        <w:t>a</w:t>
      </w:r>
      <w:r>
        <w:rPr/>
        <w:t> </w:t>
      </w:r>
      <w:r>
        <w:rPr>
          <w:spacing w:val="2"/>
        </w:rPr>
        <w:t> </w:t>
      </w:r>
      <w:r>
        <w:rPr>
          <w:w w:val="110"/>
        </w:rPr>
        <w:t>línea</w:t>
      </w:r>
      <w:r>
        <w:rPr/>
        <w:t> </w:t>
      </w:r>
      <w:r>
        <w:rPr>
          <w:spacing w:val="2"/>
        </w:rPr>
        <w:t> </w:t>
      </w:r>
      <w:r>
        <w:rPr>
          <w:w w:val="109"/>
        </w:rPr>
        <w:t>invisible</w:t>
      </w:r>
      <w:r>
        <w:rPr/>
        <w:t> </w:t>
      </w:r>
      <w:r>
        <w:rPr>
          <w:spacing w:val="2"/>
        </w:rPr>
        <w:t> </w:t>
      </w:r>
      <w:r>
        <w:rPr>
          <w:w w:val="108"/>
        </w:rPr>
        <w:t>que</w:t>
      </w:r>
      <w:r>
        <w:rPr/>
        <w:t> </w:t>
      </w:r>
      <w:r>
        <w:rPr>
          <w:spacing w:val="2"/>
        </w:rPr>
        <w:t> </w:t>
      </w:r>
      <w:r>
        <w:rPr>
          <w:w w:val="109"/>
        </w:rPr>
        <w:t>separaba</w:t>
      </w:r>
      <w:r>
        <w:rPr/>
        <w:t> </w:t>
      </w:r>
      <w:r>
        <w:rPr>
          <w:spacing w:val="2"/>
        </w:rPr>
        <w:t> </w:t>
      </w:r>
      <w:r>
        <w:rPr>
          <w:w w:val="109"/>
        </w:rPr>
        <w:t>las</w:t>
      </w:r>
      <w:r>
        <w:rPr/>
        <w:t> </w:t>
      </w:r>
      <w:r>
        <w:rPr>
          <w:spacing w:val="2"/>
        </w:rPr>
        <w:t> </w:t>
      </w:r>
      <w:r>
        <w:rPr>
          <w:w w:val="109"/>
        </w:rPr>
        <w:t>clases </w:t>
      </w:r>
      <w:r>
        <w:rPr>
          <w:w w:val="110"/>
        </w:rPr>
        <w:t>sociales y diluía las diferencias en una amplia clase media ha aflorado </w:t>
      </w:r>
      <w:r>
        <w:rPr>
          <w:w w:val="111"/>
        </w:rPr>
        <w:t>marcadamente.</w:t>
      </w:r>
      <w:r>
        <w:rPr>
          <w:spacing w:val="14"/>
        </w:rPr>
        <w:t> </w:t>
      </w:r>
      <w:r>
        <w:rPr>
          <w:w w:val="243"/>
        </w:rPr>
        <w:t>l</w:t>
      </w:r>
      <w:r>
        <w:rPr>
          <w:w w:val="112"/>
        </w:rPr>
        <w:t>a</w:t>
      </w:r>
      <w:r>
        <w:rPr>
          <w:spacing w:val="14"/>
        </w:rPr>
        <w:t> </w:t>
      </w:r>
      <w:r>
        <w:rPr>
          <w:w w:val="109"/>
        </w:rPr>
        <w:t>riqueza</w:t>
      </w:r>
      <w:r>
        <w:rPr>
          <w:spacing w:val="14"/>
        </w:rPr>
        <w:t> </w:t>
      </w:r>
      <w:r>
        <w:rPr>
          <w:w w:val="105"/>
        </w:rPr>
        <w:t>se</w:t>
      </w:r>
      <w:r>
        <w:rPr>
          <w:spacing w:val="14"/>
        </w:rPr>
        <w:t> </w:t>
      </w:r>
      <w:r>
        <w:rPr>
          <w:w w:val="110"/>
        </w:rPr>
        <w:t>concentra</w:t>
      </w:r>
      <w:r>
        <w:rPr>
          <w:spacing w:val="14"/>
        </w:rPr>
        <w:t> </w:t>
      </w:r>
      <w:r>
        <w:rPr>
          <w:w w:val="112"/>
        </w:rPr>
        <w:t>cada</w:t>
      </w:r>
      <w:r>
        <w:rPr>
          <w:spacing w:val="14"/>
        </w:rPr>
        <w:t> </w:t>
      </w:r>
      <w:r>
        <w:rPr>
          <w:w w:val="105"/>
        </w:rPr>
        <w:t>vez</w:t>
      </w:r>
      <w:r>
        <w:rPr>
          <w:spacing w:val="14"/>
        </w:rPr>
        <w:t> </w:t>
      </w:r>
      <w:r>
        <w:rPr>
          <w:w w:val="111"/>
        </w:rPr>
        <w:t>más</w:t>
      </w:r>
      <w:r>
        <w:rPr>
          <w:spacing w:val="14"/>
        </w:rPr>
        <w:t> </w:t>
      </w:r>
      <w:r>
        <w:rPr>
          <w:w w:val="106"/>
        </w:rPr>
        <w:t>entre</w:t>
      </w:r>
      <w:r>
        <w:rPr>
          <w:spacing w:val="14"/>
        </w:rPr>
        <w:t> </w:t>
      </w:r>
      <w:r>
        <w:rPr>
          <w:w w:val="108"/>
        </w:rPr>
        <w:t>los</w:t>
      </w:r>
      <w:r>
        <w:rPr>
          <w:spacing w:val="14"/>
        </w:rPr>
        <w:t> </w:t>
      </w:r>
      <w:r>
        <w:rPr>
          <w:w w:val="112"/>
        </w:rPr>
        <w:t>ricos, </w:t>
      </w:r>
      <w:r>
        <w:rPr>
          <w:w w:val="110"/>
        </w:rPr>
        <w:t>en menoscabo de las clases medias y los trabajadores en las</w:t>
      </w:r>
      <w:r>
        <w:rPr>
          <w:spacing w:val="-30"/>
          <w:w w:val="110"/>
        </w:rPr>
        <w:t> </w:t>
      </w:r>
      <w:r>
        <w:rPr>
          <w:w w:val="110"/>
        </w:rPr>
        <w:t>categorías ocupacionales  más</w:t>
      </w:r>
      <w:r>
        <w:rPr>
          <w:spacing w:val="1"/>
          <w:w w:val="110"/>
        </w:rPr>
        <w:t> </w:t>
      </w:r>
      <w:r>
        <w:rPr>
          <w:w w:val="110"/>
        </w:rPr>
        <w:t>bajas.</w:t>
      </w:r>
    </w:p>
    <w:p>
      <w:pPr>
        <w:pStyle w:val="BodyText"/>
        <w:spacing w:line="252" w:lineRule="auto"/>
        <w:ind w:left="330" w:right="115" w:firstLine="396"/>
        <w:jc w:val="both"/>
      </w:pPr>
      <w:r>
        <w:rPr>
          <w:w w:val="110"/>
        </w:rPr>
        <w:t>En mi opinión, el neoliberalismo fue, y sigue siendo, una estra- tegia favorable a la lógica de capitalización basada en la flexibiliza- ción y sobreexplotación del trabajo, impuesta por las clases capita- listas en circunstancias de debilitamiento y consecuente derrota de </w:t>
      </w:r>
      <w:r>
        <w:rPr>
          <w:spacing w:val="1"/>
          <w:w w:val="111"/>
        </w:rPr>
        <w:t>l</w:t>
      </w:r>
      <w:r>
        <w:rPr>
          <w:w w:val="111"/>
        </w:rPr>
        <w:t>a</w:t>
      </w:r>
      <w:r>
        <w:rPr/>
        <w:t> </w:t>
      </w:r>
      <w:r>
        <w:rPr>
          <w:spacing w:val="-20"/>
        </w:rPr>
        <w:t> </w:t>
      </w:r>
      <w:r>
        <w:rPr>
          <w:spacing w:val="1"/>
          <w:w w:val="109"/>
        </w:rPr>
        <w:t>clas</w:t>
      </w:r>
      <w:r>
        <w:rPr>
          <w:w w:val="109"/>
        </w:rPr>
        <w:t>e</w:t>
      </w:r>
      <w:r>
        <w:rPr/>
        <w:t> </w:t>
      </w:r>
      <w:r>
        <w:rPr>
          <w:spacing w:val="-20"/>
        </w:rPr>
        <w:t> </w:t>
      </w:r>
      <w:r>
        <w:rPr>
          <w:spacing w:val="1"/>
          <w:w w:val="110"/>
        </w:rPr>
        <w:t>trabajador</w:t>
      </w:r>
      <w:r>
        <w:rPr>
          <w:w w:val="110"/>
        </w:rPr>
        <w:t>a</w:t>
      </w:r>
      <w:r>
        <w:rPr/>
        <w:t> </w:t>
      </w:r>
      <w:r>
        <w:rPr>
          <w:spacing w:val="-20"/>
        </w:rPr>
        <w:t> </w:t>
      </w:r>
      <w:r>
        <w:rPr>
          <w:spacing w:val="1"/>
          <w:w w:val="112"/>
        </w:rPr>
        <w:t>(Castillo</w:t>
      </w:r>
      <w:r>
        <w:rPr>
          <w:w w:val="112"/>
        </w:rPr>
        <w:t>,</w:t>
      </w:r>
      <w:r>
        <w:rPr/>
        <w:t> </w:t>
      </w:r>
      <w:r>
        <w:rPr>
          <w:spacing w:val="-20"/>
        </w:rPr>
        <w:t> </w:t>
      </w:r>
      <w:r>
        <w:rPr>
          <w:spacing w:val="1"/>
          <w:w w:val="105"/>
        </w:rPr>
        <w:t>2015a)</w:t>
      </w:r>
      <w:r>
        <w:rPr>
          <w:w w:val="105"/>
        </w:rPr>
        <w:t>.</w:t>
      </w:r>
      <w:r>
        <w:rPr/>
        <w:t> </w:t>
      </w:r>
      <w:r>
        <w:rPr>
          <w:spacing w:val="-20"/>
        </w:rPr>
        <w:t> </w:t>
      </w:r>
      <w:r>
        <w:rPr>
          <w:spacing w:val="1"/>
          <w:w w:val="243"/>
        </w:rPr>
        <w:t>l</w:t>
      </w:r>
      <w:r>
        <w:rPr>
          <w:w w:val="112"/>
        </w:rPr>
        <w:t>a</w:t>
      </w:r>
      <w:r>
        <w:rPr/>
        <w:t> </w:t>
      </w:r>
      <w:r>
        <w:rPr>
          <w:spacing w:val="-20"/>
        </w:rPr>
        <w:t> </w:t>
      </w:r>
      <w:r>
        <w:rPr>
          <w:spacing w:val="1"/>
          <w:w w:val="110"/>
        </w:rPr>
        <w:t>correlació</w:t>
      </w:r>
      <w:r>
        <w:rPr>
          <w:w w:val="110"/>
        </w:rPr>
        <w:t>n</w:t>
      </w:r>
      <w:r>
        <w:rPr/>
        <w:t> </w:t>
      </w:r>
      <w:r>
        <w:rPr>
          <w:spacing w:val="-20"/>
        </w:rPr>
        <w:t> </w:t>
      </w:r>
      <w:r>
        <w:rPr>
          <w:spacing w:val="1"/>
          <w:w w:val="107"/>
        </w:rPr>
        <w:t>d</w:t>
      </w:r>
      <w:r>
        <w:rPr>
          <w:w w:val="107"/>
        </w:rPr>
        <w:t>e</w:t>
      </w:r>
      <w:r>
        <w:rPr/>
        <w:t> </w:t>
      </w:r>
      <w:r>
        <w:rPr>
          <w:spacing w:val="-20"/>
        </w:rPr>
        <w:t> </w:t>
      </w:r>
      <w:r>
        <w:rPr>
          <w:spacing w:val="1"/>
          <w:w w:val="109"/>
        </w:rPr>
        <w:t>fuerza</w:t>
      </w:r>
      <w:r>
        <w:rPr>
          <w:w w:val="109"/>
        </w:rPr>
        <w:t>s</w:t>
      </w:r>
      <w:r>
        <w:rPr/>
        <w:t> </w:t>
      </w:r>
      <w:r>
        <w:rPr>
          <w:spacing w:val="-20"/>
        </w:rPr>
        <w:t> </w:t>
      </w:r>
      <w:r>
        <w:rPr>
          <w:spacing w:val="1"/>
          <w:w w:val="108"/>
        </w:rPr>
        <w:t>que </w:t>
      </w:r>
      <w:r>
        <w:rPr>
          <w:w w:val="110"/>
        </w:rPr>
        <w:t>facilitó su surgimiento no ha cambiado. si, como plantea Harvey (2013), el modelo se diseñó, y como en efecto resultó, para concen- trar e incrementar el poder de un sector de la clase capitalista, </w:t>
      </w:r>
      <w:r>
        <w:rPr>
          <w:spacing w:val="-3"/>
          <w:w w:val="110"/>
        </w:rPr>
        <w:t>par- </w:t>
      </w:r>
      <w:r>
        <w:rPr>
          <w:w w:val="110"/>
        </w:rPr>
        <w:t>ticularmente vinculado al sector financiero, éste “ha sido un éxito”.   En este sentido, la crisis de 2008 no marcó su agotamiento, sino por  el contrario significó un paso en esa dirección hacia una mayor con- centración de poder y riqueza. Harvey (2013) concluye: “Creo que 2008 no marcó el final de todo esto, una crisis de este proyecto de clase, sino un paso más”, dirigido al incremento de la acumulación  por desposesión, más que por las  formas  clásicas  de  acumulación por expansión y crecimiento económico. En Estados unidos la des- igualdad en los ingresos creció a lo largo de más de tres décadas,    pero paradójicamente la brecha se amplió con posterioridad a la re- cesión de 2008 (ribeiro, </w:t>
      </w:r>
      <w:r>
        <w:rPr>
          <w:spacing w:val="14"/>
          <w:w w:val="110"/>
        </w:rPr>
        <w:t> </w:t>
      </w:r>
      <w:r>
        <w:rPr>
          <w:w w:val="110"/>
        </w:rPr>
        <w:t>2015).</w:t>
      </w:r>
    </w:p>
    <w:p>
      <w:pPr>
        <w:pStyle w:val="BodyText"/>
        <w:spacing w:line="252" w:lineRule="auto"/>
        <w:ind w:left="330" w:right="116" w:firstLine="396"/>
        <w:jc w:val="both"/>
      </w:pPr>
      <w:r>
        <w:rPr>
          <w:w w:val="110"/>
        </w:rPr>
        <w:t>Queda claro que en el periodo neoliberal la acumulación ca- pitalista, medida con base en la tasa de beneficios, creció en de- trimento de los salarios de los trabajadores. Pero además, dicha tendencia se mantuvo e incluso se amplió ligeramente durante  la crisis de 2008 (Castillo, 2012). Es falso el supuesto  de  que,  deri- vado de la idea de tratarse de una crisis de acumulación, afectara también a las clases capitalistas. Con la crisis, no todas las </w:t>
      </w:r>
      <w:r>
        <w:rPr>
          <w:spacing w:val="2"/>
          <w:w w:val="110"/>
        </w:rPr>
        <w:t>clases </w:t>
      </w:r>
      <w:r>
        <w:rPr>
          <w:w w:val="110"/>
        </w:rPr>
        <w:t>sociales perdieron por igual; por el contrario, los ricos la aprove- </w:t>
      </w:r>
      <w:r>
        <w:rPr>
          <w:spacing w:val="2"/>
          <w:w w:val="112"/>
        </w:rPr>
        <w:t>charo</w:t>
      </w:r>
      <w:r>
        <w:rPr>
          <w:w w:val="112"/>
        </w:rPr>
        <w:t>n</w:t>
      </w:r>
      <w:r>
        <w:rPr/>
        <w:t>  </w:t>
      </w:r>
      <w:r>
        <w:rPr>
          <w:spacing w:val="2"/>
          <w:w w:val="109"/>
        </w:rPr>
        <w:t>e</w:t>
      </w:r>
      <w:r>
        <w:rPr>
          <w:w w:val="109"/>
        </w:rPr>
        <w:t>n</w:t>
      </w:r>
      <w:r>
        <w:rPr/>
        <w:t>  </w:t>
      </w:r>
      <w:r>
        <w:rPr>
          <w:spacing w:val="2"/>
          <w:w w:val="110"/>
        </w:rPr>
        <w:t>detriment</w:t>
      </w:r>
      <w:r>
        <w:rPr>
          <w:w w:val="110"/>
        </w:rPr>
        <w:t>o</w:t>
      </w:r>
      <w:r>
        <w:rPr/>
        <w:t>  </w:t>
      </w:r>
      <w:r>
        <w:rPr>
          <w:spacing w:val="2"/>
          <w:w w:val="108"/>
        </w:rPr>
        <w:t>d</w:t>
      </w:r>
      <w:r>
        <w:rPr>
          <w:w w:val="108"/>
        </w:rPr>
        <w:t>e</w:t>
      </w:r>
      <w:r>
        <w:rPr/>
        <w:t>  </w:t>
      </w:r>
      <w:r>
        <w:rPr>
          <w:spacing w:val="2"/>
          <w:w w:val="109"/>
        </w:rPr>
        <w:t>lo</w:t>
      </w:r>
      <w:r>
        <w:rPr>
          <w:w w:val="109"/>
        </w:rPr>
        <w:t>s</w:t>
      </w:r>
      <w:r>
        <w:rPr/>
        <w:t>  </w:t>
      </w:r>
      <w:r>
        <w:rPr>
          <w:spacing w:val="2"/>
          <w:w w:val="112"/>
        </w:rPr>
        <w:t>má</w:t>
      </w:r>
      <w:r>
        <w:rPr>
          <w:w w:val="112"/>
        </w:rPr>
        <w:t>s</w:t>
      </w:r>
      <w:r>
        <w:rPr/>
        <w:t>  </w:t>
      </w:r>
      <w:r>
        <w:rPr>
          <w:spacing w:val="2"/>
          <w:w w:val="110"/>
        </w:rPr>
        <w:t>pobres</w:t>
      </w:r>
      <w:r>
        <w:rPr>
          <w:w w:val="110"/>
        </w:rPr>
        <w:t>.</w:t>
      </w:r>
      <w:r>
        <w:rPr/>
        <w:t>  </w:t>
      </w:r>
      <w:r>
        <w:rPr>
          <w:spacing w:val="2"/>
          <w:w w:val="246"/>
        </w:rPr>
        <w:t>l</w:t>
      </w:r>
      <w:r>
        <w:rPr>
          <w:w w:val="113"/>
        </w:rPr>
        <w:t>a</w:t>
      </w:r>
      <w:r>
        <w:rPr/>
        <w:t>  </w:t>
      </w:r>
      <w:r>
        <w:rPr>
          <w:spacing w:val="2"/>
          <w:w w:val="110"/>
        </w:rPr>
        <w:t>recesió</w:t>
      </w:r>
      <w:r>
        <w:rPr>
          <w:w w:val="110"/>
        </w:rPr>
        <w:t>n</w:t>
      </w:r>
      <w:r>
        <w:rPr/>
        <w:t>  </w:t>
      </w:r>
      <w:r>
        <w:rPr>
          <w:spacing w:val="2"/>
          <w:w w:val="113"/>
        </w:rPr>
        <w:t>económica </w:t>
      </w:r>
      <w:r>
        <w:rPr>
          <w:w w:val="110"/>
        </w:rPr>
        <w:t>amplió la brecha salarial y de ingresos entre los más ricos y los </w:t>
      </w:r>
      <w:r>
        <w:rPr>
          <w:spacing w:val="2"/>
          <w:w w:val="110"/>
        </w:rPr>
        <w:t>más </w:t>
      </w:r>
      <w:r>
        <w:rPr>
          <w:w w:val="110"/>
        </w:rPr>
        <w:t>pobres, con lo que se incrementó el número de personas en el um- </w:t>
      </w:r>
      <w:r>
        <w:rPr>
          <w:spacing w:val="2"/>
          <w:w w:val="110"/>
        </w:rPr>
        <w:t>bra</w:t>
      </w:r>
      <w:r>
        <w:rPr>
          <w:w w:val="110"/>
        </w:rPr>
        <w:t>l</w:t>
      </w:r>
      <w:r>
        <w:rPr/>
        <w:t> </w:t>
      </w:r>
      <w:r>
        <w:rPr>
          <w:spacing w:val="-21"/>
        </w:rPr>
        <w:t> </w:t>
      </w:r>
      <w:r>
        <w:rPr>
          <w:spacing w:val="2"/>
          <w:w w:val="108"/>
        </w:rPr>
        <w:t>d</w:t>
      </w:r>
      <w:r>
        <w:rPr>
          <w:w w:val="108"/>
        </w:rPr>
        <w:t>e</w:t>
      </w:r>
      <w:r>
        <w:rPr/>
        <w:t> </w:t>
      </w:r>
      <w:r>
        <w:rPr>
          <w:spacing w:val="-21"/>
        </w:rPr>
        <w:t> </w:t>
      </w:r>
      <w:r>
        <w:rPr>
          <w:spacing w:val="2"/>
          <w:w w:val="113"/>
        </w:rPr>
        <w:t>l</w:t>
      </w:r>
      <w:r>
        <w:rPr>
          <w:w w:val="113"/>
        </w:rPr>
        <w:t>a</w:t>
      </w:r>
      <w:r>
        <w:rPr/>
        <w:t> </w:t>
      </w:r>
      <w:r>
        <w:rPr>
          <w:spacing w:val="-21"/>
        </w:rPr>
        <w:t> </w:t>
      </w:r>
      <w:r>
        <w:rPr>
          <w:spacing w:val="2"/>
          <w:w w:val="112"/>
        </w:rPr>
        <w:t>pobreza</w:t>
      </w:r>
      <w:r>
        <w:rPr>
          <w:w w:val="112"/>
        </w:rPr>
        <w:t>.</w:t>
      </w:r>
      <w:r>
        <w:rPr/>
        <w:t> </w:t>
      </w:r>
      <w:r>
        <w:rPr>
          <w:spacing w:val="-21"/>
        </w:rPr>
        <w:t> </w:t>
      </w:r>
      <w:r>
        <w:rPr>
          <w:spacing w:val="2"/>
          <w:w w:val="246"/>
        </w:rPr>
        <w:t>l</w:t>
      </w:r>
      <w:r>
        <w:rPr>
          <w:w w:val="113"/>
        </w:rPr>
        <w:t>a</w:t>
      </w:r>
      <w:r>
        <w:rPr/>
        <w:t> </w:t>
      </w:r>
      <w:r>
        <w:rPr>
          <w:spacing w:val="-21"/>
        </w:rPr>
        <w:t> </w:t>
      </w:r>
      <w:r>
        <w:rPr>
          <w:spacing w:val="2"/>
          <w:w w:val="110"/>
        </w:rPr>
        <w:t>clas</w:t>
      </w:r>
      <w:r>
        <w:rPr>
          <w:w w:val="110"/>
        </w:rPr>
        <w:t>e</w:t>
      </w:r>
      <w:r>
        <w:rPr/>
        <w:t> </w:t>
      </w:r>
      <w:r>
        <w:rPr>
          <w:spacing w:val="-21"/>
        </w:rPr>
        <w:t> </w:t>
      </w:r>
      <w:r>
        <w:rPr>
          <w:spacing w:val="2"/>
          <w:w w:val="114"/>
        </w:rPr>
        <w:t>media</w:t>
      </w:r>
      <w:r>
        <w:rPr>
          <w:w w:val="114"/>
        </w:rPr>
        <w:t>,</w:t>
      </w:r>
      <w:r>
        <w:rPr/>
        <w:t> </w:t>
      </w:r>
      <w:r>
        <w:rPr>
          <w:spacing w:val="-21"/>
        </w:rPr>
        <w:t> </w:t>
      </w:r>
      <w:r>
        <w:rPr>
          <w:spacing w:val="2"/>
          <w:w w:val="109"/>
        </w:rPr>
        <w:t>bas</w:t>
      </w:r>
      <w:r>
        <w:rPr>
          <w:w w:val="109"/>
        </w:rPr>
        <w:t>e</w:t>
      </w:r>
      <w:r>
        <w:rPr/>
        <w:t> </w:t>
      </w:r>
      <w:r>
        <w:rPr>
          <w:spacing w:val="-21"/>
        </w:rPr>
        <w:t> </w:t>
      </w:r>
      <w:r>
        <w:rPr>
          <w:spacing w:val="2"/>
          <w:w w:val="108"/>
        </w:rPr>
        <w:t>d</w:t>
      </w:r>
      <w:r>
        <w:rPr>
          <w:w w:val="108"/>
        </w:rPr>
        <w:t>e</w:t>
      </w:r>
      <w:r>
        <w:rPr/>
        <w:t> </w:t>
      </w:r>
      <w:r>
        <w:rPr>
          <w:spacing w:val="-21"/>
        </w:rPr>
        <w:t> </w:t>
      </w:r>
      <w:r>
        <w:rPr>
          <w:spacing w:val="2"/>
          <w:w w:val="113"/>
        </w:rPr>
        <w:t>l</w:t>
      </w:r>
      <w:r>
        <w:rPr>
          <w:w w:val="113"/>
        </w:rPr>
        <w:t>a</w:t>
      </w:r>
      <w:r>
        <w:rPr/>
        <w:t> </w:t>
      </w:r>
      <w:r>
        <w:rPr>
          <w:spacing w:val="-21"/>
        </w:rPr>
        <w:t> </w:t>
      </w:r>
      <w:r>
        <w:rPr>
          <w:spacing w:val="2"/>
          <w:w w:val="109"/>
        </w:rPr>
        <w:t>prosperida</w:t>
      </w:r>
      <w:r>
        <w:rPr>
          <w:w w:val="109"/>
        </w:rPr>
        <w:t>d</w:t>
      </w:r>
      <w:r>
        <w:rPr/>
        <w:t> </w:t>
      </w:r>
      <w:r>
        <w:rPr>
          <w:spacing w:val="-21"/>
        </w:rPr>
        <w:t> </w:t>
      </w:r>
      <w:r>
        <w:rPr>
          <w:spacing w:val="2"/>
          <w:w w:val="110"/>
        </w:rPr>
        <w:t>durante </w:t>
      </w:r>
      <w:r>
        <w:rPr>
          <w:w w:val="110"/>
        </w:rPr>
        <w:t>la posguerra, cedió terreno ante el cambio de modelo económico y </w:t>
      </w:r>
      <w:r>
        <w:rPr>
          <w:spacing w:val="2"/>
          <w:w w:val="109"/>
        </w:rPr>
        <w:t>lo</w:t>
      </w:r>
      <w:r>
        <w:rPr>
          <w:w w:val="109"/>
        </w:rPr>
        <w:t>s</w:t>
      </w:r>
      <w:r>
        <w:rPr/>
        <w:t> </w:t>
      </w:r>
      <w:r>
        <w:rPr>
          <w:spacing w:val="-9"/>
        </w:rPr>
        <w:t> </w:t>
      </w:r>
      <w:r>
        <w:rPr>
          <w:spacing w:val="2"/>
          <w:w w:val="110"/>
        </w:rPr>
        <w:t>efecto</w:t>
      </w:r>
      <w:r>
        <w:rPr>
          <w:w w:val="110"/>
        </w:rPr>
        <w:t>s</w:t>
      </w:r>
      <w:r>
        <w:rPr/>
        <w:t> </w:t>
      </w:r>
      <w:r>
        <w:rPr>
          <w:spacing w:val="-9"/>
        </w:rPr>
        <w:t> </w:t>
      </w:r>
      <w:r>
        <w:rPr>
          <w:spacing w:val="2"/>
          <w:w w:val="109"/>
        </w:rPr>
        <w:t>reciente</w:t>
      </w:r>
      <w:r>
        <w:rPr>
          <w:w w:val="109"/>
        </w:rPr>
        <w:t>s</w:t>
      </w:r>
      <w:r>
        <w:rPr/>
        <w:t> </w:t>
      </w:r>
      <w:r>
        <w:rPr>
          <w:spacing w:val="-9"/>
        </w:rPr>
        <w:t> </w:t>
      </w:r>
      <w:r>
        <w:rPr>
          <w:spacing w:val="2"/>
          <w:w w:val="108"/>
        </w:rPr>
        <w:t>d</w:t>
      </w:r>
      <w:r>
        <w:rPr>
          <w:w w:val="108"/>
        </w:rPr>
        <w:t>e</w:t>
      </w:r>
      <w:r>
        <w:rPr/>
        <w:t> </w:t>
      </w:r>
      <w:r>
        <w:rPr>
          <w:spacing w:val="-9"/>
        </w:rPr>
        <w:t> </w:t>
      </w:r>
      <w:r>
        <w:rPr>
          <w:spacing w:val="2"/>
          <w:w w:val="113"/>
        </w:rPr>
        <w:t>l</w:t>
      </w:r>
      <w:r>
        <w:rPr>
          <w:w w:val="113"/>
        </w:rPr>
        <w:t>a</w:t>
      </w:r>
      <w:r>
        <w:rPr/>
        <w:t> </w:t>
      </w:r>
      <w:r>
        <w:rPr>
          <w:spacing w:val="-9"/>
        </w:rPr>
        <w:t> </w:t>
      </w:r>
      <w:r>
        <w:rPr>
          <w:spacing w:val="2"/>
          <w:w w:val="111"/>
        </w:rPr>
        <w:t>crisi</w:t>
      </w:r>
      <w:r>
        <w:rPr>
          <w:w w:val="111"/>
        </w:rPr>
        <w:t>s</w:t>
      </w:r>
      <w:r>
        <w:rPr/>
        <w:t> </w:t>
      </w:r>
      <w:r>
        <w:rPr>
          <w:spacing w:val="-9"/>
        </w:rPr>
        <w:t> </w:t>
      </w:r>
      <w:r>
        <w:rPr>
          <w:spacing w:val="2"/>
          <w:w w:val="114"/>
        </w:rPr>
        <w:t>económica</w:t>
      </w:r>
      <w:r>
        <w:rPr>
          <w:w w:val="114"/>
        </w:rPr>
        <w:t>.</w:t>
      </w:r>
      <w:r>
        <w:rPr/>
        <w:t> </w:t>
      </w:r>
      <w:r>
        <w:rPr>
          <w:spacing w:val="-9"/>
        </w:rPr>
        <w:t> </w:t>
      </w:r>
      <w:r>
        <w:rPr>
          <w:spacing w:val="2"/>
          <w:w w:val="246"/>
        </w:rPr>
        <w:t>l</w:t>
      </w:r>
      <w:r>
        <w:rPr>
          <w:w w:val="113"/>
        </w:rPr>
        <w:t>a</w:t>
      </w:r>
      <w:r>
        <w:rPr/>
        <w:t> </w:t>
      </w:r>
      <w:r>
        <w:rPr>
          <w:spacing w:val="-9"/>
        </w:rPr>
        <w:t> </w:t>
      </w:r>
      <w:r>
        <w:rPr>
          <w:spacing w:val="2"/>
          <w:w w:val="111"/>
        </w:rPr>
        <w:t>tendenci</w:t>
      </w:r>
      <w:r>
        <w:rPr>
          <w:w w:val="111"/>
        </w:rPr>
        <w:t>a</w:t>
      </w:r>
      <w:r>
        <w:rPr/>
        <w:t> </w:t>
      </w:r>
      <w:r>
        <w:rPr>
          <w:spacing w:val="-9"/>
        </w:rPr>
        <w:t> </w:t>
      </w:r>
      <w:r>
        <w:rPr>
          <w:spacing w:val="2"/>
          <w:w w:val="106"/>
        </w:rPr>
        <w:t>e</w:t>
      </w:r>
      <w:r>
        <w:rPr>
          <w:w w:val="106"/>
        </w:rPr>
        <w:t>s</w:t>
      </w:r>
      <w:r>
        <w:rPr/>
        <w:t> </w:t>
      </w:r>
      <w:r>
        <w:rPr>
          <w:spacing w:val="-9"/>
        </w:rPr>
        <w:t> </w:t>
      </w:r>
      <w:r>
        <w:rPr>
          <w:spacing w:val="2"/>
          <w:w w:val="112"/>
        </w:rPr>
        <w:t>clara </w:t>
      </w:r>
      <w:r>
        <w:rPr>
          <w:w w:val="110"/>
        </w:rPr>
        <w:t>y</w:t>
      </w:r>
      <w:r>
        <w:rPr>
          <w:spacing w:val="39"/>
          <w:w w:val="110"/>
        </w:rPr>
        <w:t> </w:t>
      </w:r>
      <w:r>
        <w:rPr>
          <w:w w:val="110"/>
        </w:rPr>
        <w:t>consistente</w:t>
      </w:r>
      <w:r>
        <w:rPr>
          <w:spacing w:val="39"/>
          <w:w w:val="110"/>
        </w:rPr>
        <w:t> </w:t>
      </w:r>
      <w:r>
        <w:rPr>
          <w:w w:val="110"/>
        </w:rPr>
        <w:t>hacia</w:t>
      </w:r>
      <w:r>
        <w:rPr>
          <w:spacing w:val="39"/>
          <w:w w:val="110"/>
        </w:rPr>
        <w:t> </w:t>
      </w:r>
      <w:r>
        <w:rPr>
          <w:w w:val="110"/>
        </w:rPr>
        <w:t>la</w:t>
      </w:r>
      <w:r>
        <w:rPr>
          <w:spacing w:val="39"/>
          <w:w w:val="110"/>
        </w:rPr>
        <w:t> </w:t>
      </w:r>
      <w:r>
        <w:rPr>
          <w:w w:val="110"/>
        </w:rPr>
        <w:t>creciente</w:t>
      </w:r>
      <w:r>
        <w:rPr>
          <w:spacing w:val="39"/>
          <w:w w:val="110"/>
        </w:rPr>
        <w:t> </w:t>
      </w:r>
      <w:r>
        <w:rPr>
          <w:w w:val="110"/>
        </w:rPr>
        <w:t>concentración</w:t>
      </w:r>
      <w:r>
        <w:rPr>
          <w:spacing w:val="39"/>
          <w:w w:val="110"/>
        </w:rPr>
        <w:t> </w:t>
      </w:r>
      <w:r>
        <w:rPr>
          <w:w w:val="110"/>
        </w:rPr>
        <w:t>de</w:t>
      </w:r>
      <w:r>
        <w:rPr>
          <w:spacing w:val="39"/>
          <w:w w:val="110"/>
        </w:rPr>
        <w:t> </w:t>
      </w:r>
      <w:r>
        <w:rPr>
          <w:w w:val="110"/>
        </w:rPr>
        <w:t>los</w:t>
      </w:r>
      <w:r>
        <w:rPr>
          <w:spacing w:val="39"/>
          <w:w w:val="110"/>
        </w:rPr>
        <w:t> </w:t>
      </w:r>
      <w:r>
        <w:rPr>
          <w:w w:val="110"/>
        </w:rPr>
        <w:t>ingresos</w:t>
      </w:r>
      <w:r>
        <w:rPr>
          <w:spacing w:val="39"/>
          <w:w w:val="110"/>
        </w:rPr>
        <w:t> </w:t>
      </w:r>
      <w:r>
        <w:rPr>
          <w:w w:val="110"/>
        </w:rPr>
        <w:t>y</w:t>
      </w:r>
      <w:r>
        <w:rPr>
          <w:spacing w:val="39"/>
          <w:w w:val="110"/>
        </w:rPr>
        <w:t> </w:t>
      </w:r>
      <w:r>
        <w:rPr>
          <w:w w:val="110"/>
        </w:rPr>
        <w:t>la</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5"/>
        <w:jc w:val="both"/>
      </w:pPr>
      <w:r>
        <w:rPr>
          <w:w w:val="110"/>
        </w:rPr>
        <w:t>riqueza, el “vaciamiento” de las clases medias y el aumento de la pobreza  (stiglitz, 2012).</w:t>
      </w:r>
    </w:p>
    <w:p>
      <w:pPr>
        <w:pStyle w:val="BodyText"/>
        <w:ind w:left="497"/>
        <w:jc w:val="both"/>
      </w:pPr>
      <w:r>
        <w:rPr>
          <w:w w:val="110"/>
        </w:rPr>
        <w:t>En palabras de Carol   Graham,</w:t>
      </w:r>
    </w:p>
    <w:p>
      <w:pPr>
        <w:pStyle w:val="BodyText"/>
        <w:spacing w:before="7"/>
        <w:rPr>
          <w:sz w:val="21"/>
        </w:rPr>
      </w:pPr>
    </w:p>
    <w:p>
      <w:pPr>
        <w:spacing w:before="0"/>
        <w:ind w:left="497" w:right="328" w:firstLine="0"/>
        <w:jc w:val="both"/>
        <w:rPr>
          <w:sz w:val="18"/>
        </w:rPr>
      </w:pPr>
      <w:r>
        <w:rPr>
          <w:w w:val="105"/>
          <w:sz w:val="18"/>
        </w:rPr>
        <w:t>siempre estuvo la percepción real de que Estados unidos era una tie- </w:t>
      </w:r>
      <w:r>
        <w:rPr>
          <w:spacing w:val="41"/>
          <w:w w:val="105"/>
          <w:sz w:val="18"/>
        </w:rPr>
        <w:t> </w:t>
      </w:r>
      <w:r>
        <w:rPr>
          <w:w w:val="105"/>
          <w:sz w:val="18"/>
        </w:rPr>
        <w:t>rra de oportunidades donde cada uno podía alcanzar la clase media e incluso volverse rico. […] [No obstante,] con la crisis financiera y el incremento prolongado del desempleo, la clase media está mucho más frustrada ahora que en el pasado (Graham,   </w:t>
      </w:r>
      <w:r>
        <w:rPr>
          <w:spacing w:val="24"/>
          <w:w w:val="105"/>
          <w:sz w:val="18"/>
        </w:rPr>
        <w:t> </w:t>
      </w:r>
      <w:r>
        <w:rPr>
          <w:w w:val="105"/>
          <w:sz w:val="18"/>
        </w:rPr>
        <w:t>2014).</w:t>
      </w:r>
    </w:p>
    <w:p>
      <w:pPr>
        <w:pStyle w:val="BodyText"/>
        <w:spacing w:before="9"/>
        <w:rPr>
          <w:sz w:val="22"/>
        </w:rPr>
      </w:pPr>
    </w:p>
    <w:p>
      <w:pPr>
        <w:pStyle w:val="BodyText"/>
        <w:spacing w:line="252" w:lineRule="auto"/>
        <w:ind w:left="100" w:right="328"/>
        <w:jc w:val="both"/>
      </w:pPr>
      <w:r>
        <w:rPr>
          <w:w w:val="110"/>
        </w:rPr>
        <w:t>No todas las clases fueron igualmente afectadas con la crisis de 2008, pero</w:t>
      </w:r>
      <w:r>
        <w:rPr>
          <w:spacing w:val="-6"/>
          <w:w w:val="110"/>
        </w:rPr>
        <w:t> </w:t>
      </w:r>
      <w:r>
        <w:rPr>
          <w:w w:val="110"/>
        </w:rPr>
        <w:t>tampoco</w:t>
      </w:r>
      <w:r>
        <w:rPr>
          <w:spacing w:val="-6"/>
          <w:w w:val="110"/>
        </w:rPr>
        <w:t> </w:t>
      </w:r>
      <w:r>
        <w:rPr>
          <w:w w:val="110"/>
        </w:rPr>
        <w:t>el</w:t>
      </w:r>
      <w:r>
        <w:rPr>
          <w:spacing w:val="-6"/>
          <w:w w:val="110"/>
        </w:rPr>
        <w:t> </w:t>
      </w:r>
      <w:r>
        <w:rPr>
          <w:w w:val="110"/>
        </w:rPr>
        <w:t>proceso</w:t>
      </w:r>
      <w:r>
        <w:rPr>
          <w:spacing w:val="-6"/>
          <w:w w:val="110"/>
        </w:rPr>
        <w:t> </w:t>
      </w:r>
      <w:r>
        <w:rPr>
          <w:w w:val="110"/>
        </w:rPr>
        <w:t>de</w:t>
      </w:r>
      <w:r>
        <w:rPr>
          <w:spacing w:val="-6"/>
          <w:w w:val="110"/>
        </w:rPr>
        <w:t> </w:t>
      </w:r>
      <w:r>
        <w:rPr>
          <w:w w:val="110"/>
        </w:rPr>
        <w:t>recuperación</w:t>
      </w:r>
      <w:r>
        <w:rPr>
          <w:spacing w:val="-6"/>
          <w:w w:val="110"/>
        </w:rPr>
        <w:t> </w:t>
      </w:r>
      <w:r>
        <w:rPr>
          <w:w w:val="110"/>
        </w:rPr>
        <w:t>posterior</w:t>
      </w:r>
      <w:r>
        <w:rPr>
          <w:spacing w:val="-6"/>
          <w:w w:val="110"/>
        </w:rPr>
        <w:t> </w:t>
      </w:r>
      <w:r>
        <w:rPr>
          <w:w w:val="110"/>
        </w:rPr>
        <w:t>ha</w:t>
      </w:r>
      <w:r>
        <w:rPr>
          <w:spacing w:val="-6"/>
          <w:w w:val="110"/>
        </w:rPr>
        <w:t> </w:t>
      </w:r>
      <w:r>
        <w:rPr>
          <w:w w:val="110"/>
        </w:rPr>
        <w:t>transitado</w:t>
      </w:r>
      <w:r>
        <w:rPr>
          <w:spacing w:val="-6"/>
          <w:w w:val="110"/>
        </w:rPr>
        <w:t> </w:t>
      </w:r>
      <w:r>
        <w:rPr>
          <w:w w:val="110"/>
        </w:rPr>
        <w:t>igual para</w:t>
      </w:r>
      <w:r>
        <w:rPr>
          <w:spacing w:val="-7"/>
          <w:w w:val="110"/>
        </w:rPr>
        <w:t> </w:t>
      </w:r>
      <w:r>
        <w:rPr>
          <w:w w:val="110"/>
        </w:rPr>
        <w:t>los</w:t>
      </w:r>
      <w:r>
        <w:rPr>
          <w:spacing w:val="-7"/>
          <w:w w:val="110"/>
        </w:rPr>
        <w:t> </w:t>
      </w:r>
      <w:r>
        <w:rPr>
          <w:w w:val="110"/>
        </w:rPr>
        <w:t>distintos</w:t>
      </w:r>
      <w:r>
        <w:rPr>
          <w:spacing w:val="-7"/>
          <w:w w:val="110"/>
        </w:rPr>
        <w:t> </w:t>
      </w:r>
      <w:r>
        <w:rPr>
          <w:w w:val="110"/>
        </w:rPr>
        <w:t>sectores,</w:t>
      </w:r>
      <w:r>
        <w:rPr>
          <w:spacing w:val="-7"/>
          <w:w w:val="110"/>
        </w:rPr>
        <w:t> </w:t>
      </w:r>
      <w:r>
        <w:rPr>
          <w:w w:val="110"/>
        </w:rPr>
        <w:t>ampliándose</w:t>
      </w:r>
      <w:r>
        <w:rPr>
          <w:spacing w:val="-7"/>
          <w:w w:val="110"/>
        </w:rPr>
        <w:t> </w:t>
      </w:r>
      <w:r>
        <w:rPr>
          <w:w w:val="110"/>
        </w:rPr>
        <w:t>la</w:t>
      </w:r>
      <w:r>
        <w:rPr>
          <w:spacing w:val="-7"/>
          <w:w w:val="110"/>
        </w:rPr>
        <w:t> </w:t>
      </w:r>
      <w:r>
        <w:rPr>
          <w:w w:val="110"/>
        </w:rPr>
        <w:t>brecha</w:t>
      </w:r>
      <w:r>
        <w:rPr>
          <w:spacing w:val="-7"/>
          <w:w w:val="110"/>
        </w:rPr>
        <w:t> </w:t>
      </w:r>
      <w:r>
        <w:rPr>
          <w:w w:val="110"/>
        </w:rPr>
        <w:t>de</w:t>
      </w:r>
      <w:r>
        <w:rPr>
          <w:spacing w:val="-7"/>
          <w:w w:val="110"/>
        </w:rPr>
        <w:t> </w:t>
      </w:r>
      <w:r>
        <w:rPr>
          <w:w w:val="110"/>
        </w:rPr>
        <w:t>ingresos</w:t>
      </w:r>
      <w:r>
        <w:rPr>
          <w:spacing w:val="-7"/>
          <w:w w:val="110"/>
        </w:rPr>
        <w:t> </w:t>
      </w:r>
      <w:r>
        <w:rPr>
          <w:w w:val="110"/>
        </w:rPr>
        <w:t>entre</w:t>
      </w:r>
      <w:r>
        <w:rPr>
          <w:spacing w:val="-7"/>
          <w:w w:val="110"/>
        </w:rPr>
        <w:t> </w:t>
      </w:r>
      <w:r>
        <w:rPr>
          <w:w w:val="110"/>
        </w:rPr>
        <w:t>un grupo privilegiado del 10 por ciento, que en 2012 captaba más de la mitad de los ingresos generados en el país –el nivel más alto en más de un siglo–, y más aún, el uno por ciento que percibe la quinta parte del ingreso total nacional, el mismo segmento que según datos de </w:t>
      </w:r>
      <w:r>
        <w:rPr>
          <w:i/>
          <w:w w:val="110"/>
        </w:rPr>
        <w:t>The </w:t>
      </w:r>
      <w:r>
        <w:rPr>
          <w:i/>
          <w:spacing w:val="-3"/>
          <w:w w:val="110"/>
        </w:rPr>
        <w:t>Wall  </w:t>
      </w:r>
      <w:r>
        <w:rPr>
          <w:i/>
          <w:w w:val="110"/>
        </w:rPr>
        <w:t>Street Journal </w:t>
      </w:r>
      <w:r>
        <w:rPr>
          <w:w w:val="110"/>
        </w:rPr>
        <w:t>capturó 95 por ciento, casi el total del incremen-  to en ingresos con posterioridad a la recesión (Hinojosa, 2013) y los grupos más vulnerables y excluidos. En este sentido, Estados unidos va incluso en dirección contraria a gran parte de los países de amé- </w:t>
      </w:r>
      <w:r>
        <w:rPr>
          <w:w w:val="112"/>
        </w:rPr>
        <w:t>rica</w:t>
      </w:r>
      <w:r>
        <w:rPr>
          <w:spacing w:val="15"/>
        </w:rPr>
        <w:t> </w:t>
      </w:r>
      <w:r>
        <w:rPr>
          <w:w w:val="243"/>
        </w:rPr>
        <w:t>l</w:t>
      </w:r>
      <w:r>
        <w:rPr>
          <w:w w:val="111"/>
        </w:rPr>
        <w:t>atina</w:t>
      </w:r>
      <w:r>
        <w:rPr>
          <w:spacing w:val="15"/>
        </w:rPr>
        <w:t> </w:t>
      </w:r>
      <w:r>
        <w:rPr>
          <w:w w:val="98"/>
        </w:rPr>
        <w:t>(</w:t>
      </w:r>
      <w:r>
        <w:rPr>
          <w:w w:val="147"/>
        </w:rPr>
        <w:t>oi</w:t>
      </w:r>
      <w:r>
        <w:rPr>
          <w:spacing w:val="-22"/>
          <w:w w:val="195"/>
        </w:rPr>
        <w:t>t</w:t>
      </w:r>
      <w:r>
        <w:rPr>
          <w:w w:val="138"/>
        </w:rPr>
        <w:t>,</w:t>
      </w:r>
      <w:r>
        <w:rPr>
          <w:spacing w:val="15"/>
        </w:rPr>
        <w:t> </w:t>
      </w:r>
      <w:r>
        <w:rPr>
          <w:w w:val="104"/>
        </w:rPr>
        <w:t>2015),</w:t>
      </w:r>
      <w:r>
        <w:rPr>
          <w:spacing w:val="15"/>
        </w:rPr>
        <w:t> </w:t>
      </w:r>
      <w:r>
        <w:rPr>
          <w:w w:val="108"/>
        </w:rPr>
        <w:t>en</w:t>
      </w:r>
      <w:r>
        <w:rPr>
          <w:spacing w:val="15"/>
        </w:rPr>
        <w:t> </w:t>
      </w:r>
      <w:r>
        <w:rPr>
          <w:w w:val="108"/>
        </w:rPr>
        <w:t>los</w:t>
      </w:r>
      <w:r>
        <w:rPr>
          <w:spacing w:val="15"/>
        </w:rPr>
        <w:t> </w:t>
      </w:r>
      <w:r>
        <w:rPr>
          <w:w w:val="108"/>
        </w:rPr>
        <w:t>que</w:t>
      </w:r>
      <w:r>
        <w:rPr>
          <w:spacing w:val="15"/>
        </w:rPr>
        <w:t> </w:t>
      </w:r>
      <w:r>
        <w:rPr>
          <w:w w:val="105"/>
        </w:rPr>
        <w:t>–entre</w:t>
      </w:r>
      <w:r>
        <w:rPr>
          <w:spacing w:val="15"/>
        </w:rPr>
        <w:t> </w:t>
      </w:r>
      <w:r>
        <w:rPr>
          <w:w w:val="102"/>
        </w:rPr>
        <w:t>1990</w:t>
      </w:r>
      <w:r>
        <w:rPr>
          <w:spacing w:val="15"/>
        </w:rPr>
        <w:t> </w:t>
      </w:r>
      <w:r>
        <w:rPr>
          <w:w w:val="105"/>
        </w:rPr>
        <w:t>y</w:t>
      </w:r>
      <w:r>
        <w:rPr>
          <w:spacing w:val="15"/>
        </w:rPr>
        <w:t> </w:t>
      </w:r>
      <w:r>
        <w:rPr>
          <w:w w:val="102"/>
        </w:rPr>
        <w:t>2010–</w:t>
      </w:r>
      <w:r>
        <w:rPr>
          <w:spacing w:val="15"/>
        </w:rPr>
        <w:t> </w:t>
      </w:r>
      <w:r>
        <w:rPr>
          <w:w w:val="110"/>
        </w:rPr>
        <w:t>disminuyeron </w:t>
      </w:r>
      <w:r>
        <w:rPr>
          <w:w w:val="110"/>
        </w:rPr>
        <w:t>las desigualdades en los ingresos; en particular de aquellos que bajo esquemas de gobierno de capitalismos regionales o posneoliberales como bolivia, Venezuela, </w:t>
      </w:r>
      <w:r>
        <w:rPr>
          <w:spacing w:val="-3"/>
          <w:w w:val="110"/>
        </w:rPr>
        <w:t>uruguay, </w:t>
      </w:r>
      <w:r>
        <w:rPr>
          <w:w w:val="110"/>
        </w:rPr>
        <w:t>brasil y </w:t>
      </w:r>
      <w:r>
        <w:rPr>
          <w:spacing w:val="-3"/>
          <w:w w:val="110"/>
        </w:rPr>
        <w:t>Ecuador, </w:t>
      </w:r>
      <w:r>
        <w:rPr>
          <w:w w:val="110"/>
        </w:rPr>
        <w:t>entre otros, han mostrado avances sustantivos en el abatimiento de las desigualdades sociales y la pobreza (Castillo,</w:t>
      </w:r>
      <w:r>
        <w:rPr>
          <w:spacing w:val="22"/>
          <w:w w:val="110"/>
        </w:rPr>
        <w:t> </w:t>
      </w:r>
      <w:r>
        <w:rPr>
          <w:w w:val="110"/>
        </w:rPr>
        <w:t>2015b).</w:t>
      </w:r>
    </w:p>
    <w:p>
      <w:pPr>
        <w:pStyle w:val="BodyText"/>
        <w:spacing w:before="1"/>
        <w:rPr>
          <w:sz w:val="21"/>
        </w:rPr>
      </w:pPr>
    </w:p>
    <w:p>
      <w:pPr>
        <w:pStyle w:val="Heading6"/>
        <w:spacing w:line="244" w:lineRule="auto" w:before="1"/>
        <w:ind w:right="1808" w:hanging="1"/>
        <w:jc w:val="left"/>
      </w:pPr>
      <w:r>
        <w:rPr>
          <w:spacing w:val="3"/>
          <w:w w:val="134"/>
        </w:rPr>
        <w:t>e</w:t>
      </w:r>
      <w:r>
        <w:rPr>
          <w:w w:val="201"/>
        </w:rPr>
        <w:t>l</w:t>
      </w:r>
      <w:r>
        <w:rPr>
          <w:spacing w:val="-8"/>
        </w:rPr>
        <w:t> </w:t>
      </w:r>
      <w:r>
        <w:rPr>
          <w:spacing w:val="2"/>
          <w:w w:val="92"/>
        </w:rPr>
        <w:t>M</w:t>
      </w:r>
      <w:r>
        <w:rPr>
          <w:spacing w:val="3"/>
          <w:w w:val="134"/>
        </w:rPr>
        <w:t>e</w:t>
      </w:r>
      <w:r>
        <w:rPr>
          <w:spacing w:val="1"/>
          <w:w w:val="145"/>
        </w:rPr>
        <w:t>r</w:t>
      </w:r>
      <w:r>
        <w:rPr>
          <w:spacing w:val="4"/>
          <w:w w:val="147"/>
        </w:rPr>
        <w:t>c</w:t>
      </w:r>
      <w:r>
        <w:rPr>
          <w:spacing w:val="2"/>
          <w:w w:val="130"/>
        </w:rPr>
        <w:t>a</w:t>
      </w:r>
      <w:r>
        <w:rPr>
          <w:spacing w:val="5"/>
          <w:w w:val="130"/>
        </w:rPr>
        <w:t>d</w:t>
      </w:r>
      <w:r>
        <w:rPr>
          <w:w w:val="145"/>
        </w:rPr>
        <w:t>o</w:t>
      </w:r>
      <w:r>
        <w:rPr>
          <w:spacing w:val="-8"/>
        </w:rPr>
        <w:t> </w:t>
      </w:r>
      <w:r>
        <w:rPr>
          <w:spacing w:val="2"/>
          <w:w w:val="132"/>
        </w:rPr>
        <w:t>d</w:t>
      </w:r>
      <w:r>
        <w:rPr>
          <w:w w:val="132"/>
        </w:rPr>
        <w:t>e</w:t>
      </w:r>
      <w:r>
        <w:rPr>
          <w:spacing w:val="-8"/>
        </w:rPr>
        <w:t> </w:t>
      </w:r>
      <w:r>
        <w:rPr>
          <w:spacing w:val="2"/>
          <w:w w:val="160"/>
        </w:rPr>
        <w:t>tr</w:t>
      </w:r>
      <w:r>
        <w:rPr>
          <w:spacing w:val="2"/>
          <w:w w:val="129"/>
        </w:rPr>
        <w:t>a</w:t>
      </w:r>
      <w:r>
        <w:rPr>
          <w:w w:val="96"/>
        </w:rPr>
        <w:t>B</w:t>
      </w:r>
      <w:r>
        <w:rPr>
          <w:spacing w:val="2"/>
          <w:w w:val="129"/>
        </w:rPr>
        <w:t>a</w:t>
      </w:r>
      <w:r>
        <w:rPr>
          <w:spacing w:val="2"/>
          <w:w w:val="71"/>
        </w:rPr>
        <w:t>J</w:t>
      </w:r>
      <w:r>
        <w:rPr>
          <w:spacing w:val="-3"/>
          <w:w w:val="145"/>
        </w:rPr>
        <w:t>o</w:t>
      </w:r>
      <w:r>
        <w:rPr>
          <w:w w:val="104"/>
        </w:rPr>
        <w:t>,</w:t>
      </w:r>
      <w:r>
        <w:rPr>
          <w:spacing w:val="-9"/>
        </w:rPr>
        <w:t> </w:t>
      </w:r>
      <w:r>
        <w:rPr>
          <w:spacing w:val="7"/>
          <w:w w:val="201"/>
        </w:rPr>
        <w:t>l</w:t>
      </w:r>
      <w:r>
        <w:rPr>
          <w:w w:val="129"/>
        </w:rPr>
        <w:t>a</w:t>
      </w:r>
      <w:r>
        <w:rPr>
          <w:spacing w:val="-8"/>
        </w:rPr>
        <w:t> </w:t>
      </w:r>
      <w:r>
        <w:rPr>
          <w:spacing w:val="2"/>
          <w:w w:val="138"/>
        </w:rPr>
        <w:t>crisi</w:t>
      </w:r>
      <w:r>
        <w:rPr>
          <w:w w:val="138"/>
        </w:rPr>
        <w:t>s</w:t>
      </w:r>
      <w:r>
        <w:rPr>
          <w:spacing w:val="-8"/>
        </w:rPr>
        <w:t> </w:t>
      </w:r>
      <w:r>
        <w:rPr>
          <w:spacing w:val="3"/>
          <w:w w:val="134"/>
        </w:rPr>
        <w:t>e</w:t>
      </w:r>
      <w:r>
        <w:rPr>
          <w:spacing w:val="2"/>
          <w:w w:val="140"/>
        </w:rPr>
        <w:t>conó</w:t>
      </w:r>
      <w:r>
        <w:rPr>
          <w:spacing w:val="2"/>
          <w:w w:val="92"/>
        </w:rPr>
        <w:t>M</w:t>
      </w:r>
      <w:r>
        <w:rPr>
          <w:spacing w:val="2"/>
          <w:w w:val="140"/>
        </w:rPr>
        <w:t>i</w:t>
      </w:r>
      <w:r>
        <w:rPr>
          <w:spacing w:val="4"/>
          <w:w w:val="140"/>
        </w:rPr>
        <w:t>c</w:t>
      </w:r>
      <w:r>
        <w:rPr>
          <w:w w:val="129"/>
        </w:rPr>
        <w:t>a </w:t>
      </w:r>
      <w:r>
        <w:rPr>
          <w:w w:val="119"/>
        </w:rPr>
        <w:t>y</w:t>
      </w:r>
      <w:r>
        <w:rPr>
          <w:spacing w:val="-8"/>
        </w:rPr>
        <w:t> </w:t>
      </w:r>
      <w:r>
        <w:rPr>
          <w:spacing w:val="7"/>
          <w:w w:val="201"/>
        </w:rPr>
        <w:t>l</w:t>
      </w:r>
      <w:r>
        <w:rPr>
          <w:w w:val="129"/>
        </w:rPr>
        <w:t>a</w:t>
      </w:r>
      <w:r>
        <w:rPr>
          <w:spacing w:val="-8"/>
        </w:rPr>
        <w:t> </w:t>
      </w:r>
      <w:r>
        <w:rPr>
          <w:spacing w:val="2"/>
          <w:w w:val="99"/>
        </w:rPr>
        <w:t>P</w:t>
      </w:r>
      <w:r>
        <w:rPr>
          <w:spacing w:val="2"/>
          <w:w w:val="139"/>
        </w:rPr>
        <w:t>r</w:t>
      </w:r>
      <w:r>
        <w:rPr>
          <w:spacing w:val="3"/>
          <w:w w:val="139"/>
        </w:rPr>
        <w:t>e</w:t>
      </w:r>
      <w:r>
        <w:rPr>
          <w:spacing w:val="4"/>
          <w:w w:val="147"/>
        </w:rPr>
        <w:t>c</w:t>
      </w:r>
      <w:r>
        <w:rPr>
          <w:spacing w:val="2"/>
          <w:w w:val="134"/>
        </w:rPr>
        <w:t>ari</w:t>
      </w:r>
      <w:r>
        <w:rPr>
          <w:spacing w:val="3"/>
          <w:w w:val="134"/>
        </w:rPr>
        <w:t>e</w:t>
      </w:r>
      <w:r>
        <w:rPr>
          <w:spacing w:val="1"/>
          <w:w w:val="131"/>
        </w:rPr>
        <w:t>d</w:t>
      </w:r>
      <w:r>
        <w:rPr>
          <w:spacing w:val="2"/>
          <w:w w:val="130"/>
        </w:rPr>
        <w:t>a</w:t>
      </w:r>
      <w:r>
        <w:rPr>
          <w:w w:val="130"/>
        </w:rPr>
        <w:t>d</w:t>
      </w:r>
      <w:r>
        <w:rPr>
          <w:spacing w:val="-8"/>
        </w:rPr>
        <w:t> </w:t>
      </w:r>
      <w:r>
        <w:rPr>
          <w:spacing w:val="7"/>
          <w:w w:val="201"/>
        </w:rPr>
        <w:t>l</w:t>
      </w:r>
      <w:r>
        <w:rPr>
          <w:spacing w:val="2"/>
          <w:w w:val="129"/>
        </w:rPr>
        <w:t>a</w:t>
      </w:r>
      <w:r>
        <w:rPr>
          <w:spacing w:val="4"/>
          <w:w w:val="96"/>
        </w:rPr>
        <w:t>B</w:t>
      </w:r>
      <w:r>
        <w:rPr>
          <w:spacing w:val="2"/>
          <w:w w:val="145"/>
        </w:rPr>
        <w:t>or</w:t>
      </w:r>
      <w:r>
        <w:rPr>
          <w:spacing w:val="2"/>
          <w:w w:val="155"/>
        </w:rPr>
        <w:t>a</w:t>
      </w:r>
      <w:r>
        <w:rPr>
          <w:w w:val="155"/>
        </w:rPr>
        <w:t>l</w:t>
      </w:r>
      <w:r>
        <w:rPr>
          <w:spacing w:val="-8"/>
        </w:rPr>
        <w:t> </w:t>
      </w:r>
      <w:r>
        <w:rPr>
          <w:spacing w:val="2"/>
          <w:w w:val="132"/>
        </w:rPr>
        <w:t>d</w:t>
      </w:r>
      <w:r>
        <w:rPr>
          <w:w w:val="132"/>
        </w:rPr>
        <w:t>e</w:t>
      </w:r>
      <w:r>
        <w:rPr>
          <w:spacing w:val="-8"/>
        </w:rPr>
        <w:t> </w:t>
      </w:r>
      <w:r>
        <w:rPr>
          <w:spacing w:val="1"/>
          <w:w w:val="201"/>
        </w:rPr>
        <w:t>l</w:t>
      </w:r>
      <w:r>
        <w:rPr>
          <w:spacing w:val="3"/>
          <w:w w:val="145"/>
        </w:rPr>
        <w:t>o</w:t>
      </w:r>
      <w:r>
        <w:rPr>
          <w:w w:val="136"/>
        </w:rPr>
        <w:t>s</w:t>
      </w:r>
      <w:r>
        <w:rPr>
          <w:spacing w:val="-8"/>
        </w:rPr>
        <w:t> </w:t>
      </w:r>
      <w:r>
        <w:rPr>
          <w:spacing w:val="2"/>
          <w:w w:val="71"/>
        </w:rPr>
        <w:t>J</w:t>
      </w:r>
      <w:r>
        <w:rPr>
          <w:w w:val="145"/>
        </w:rPr>
        <w:t>ó</w:t>
      </w:r>
      <w:r>
        <w:rPr>
          <w:w w:val="129"/>
        </w:rPr>
        <w:t>v</w:t>
      </w:r>
      <w:r>
        <w:rPr>
          <w:spacing w:val="3"/>
          <w:w w:val="134"/>
        </w:rPr>
        <w:t>e</w:t>
      </w:r>
      <w:r>
        <w:rPr>
          <w:spacing w:val="2"/>
          <w:w w:val="130"/>
        </w:rPr>
        <w:t>n</w:t>
      </w:r>
      <w:r>
        <w:rPr>
          <w:spacing w:val="3"/>
          <w:w w:val="130"/>
        </w:rPr>
        <w:t>e</w:t>
      </w:r>
      <w:r>
        <w:rPr>
          <w:w w:val="136"/>
        </w:rPr>
        <w:t>s</w:t>
      </w:r>
    </w:p>
    <w:p>
      <w:pPr>
        <w:pStyle w:val="BodyText"/>
        <w:spacing w:line="252" w:lineRule="auto" w:before="5"/>
        <w:ind w:left="100" w:right="326"/>
        <w:jc w:val="both"/>
      </w:pPr>
      <w:r>
        <w:rPr>
          <w:w w:val="115"/>
        </w:rPr>
        <w:t>a lo largo de muchas décadas Estados unidos ha sido promovido y reconocido como “una máquina de creación de empleo” </w:t>
      </w:r>
      <w:r>
        <w:rPr>
          <w:spacing w:val="-10"/>
          <w:w w:val="115"/>
        </w:rPr>
        <w:t>y, </w:t>
      </w:r>
      <w:r>
        <w:rPr>
          <w:w w:val="115"/>
        </w:rPr>
        <w:t>debido a su supuesta capacidad excepcional, visto como un modelo a seguir </w:t>
      </w:r>
      <w:r>
        <w:rPr>
          <w:spacing w:val="1"/>
          <w:w w:val="108"/>
        </w:rPr>
        <w:t>po</w:t>
      </w:r>
      <w:r>
        <w:rPr>
          <w:w w:val="108"/>
        </w:rPr>
        <w:t>r</w:t>
      </w:r>
      <w:r>
        <w:rPr/>
        <w:t> </w:t>
      </w:r>
      <w:r>
        <w:rPr>
          <w:spacing w:val="3"/>
        </w:rPr>
        <w:t> </w:t>
      </w:r>
      <w:r>
        <w:rPr>
          <w:spacing w:val="1"/>
          <w:w w:val="115"/>
        </w:rPr>
        <w:t>Europa</w:t>
      </w:r>
      <w:r>
        <w:rPr>
          <w:w w:val="115"/>
        </w:rPr>
        <w:t>,</w:t>
      </w:r>
      <w:r>
        <w:rPr/>
        <w:t> </w:t>
      </w:r>
      <w:r>
        <w:rPr>
          <w:spacing w:val="3"/>
        </w:rPr>
        <w:t> </w:t>
      </w:r>
      <w:r>
        <w:rPr>
          <w:spacing w:val="1"/>
          <w:w w:val="139"/>
        </w:rPr>
        <w:t>a</w:t>
      </w:r>
      <w:r>
        <w:rPr>
          <w:spacing w:val="1"/>
          <w:w w:val="111"/>
        </w:rPr>
        <w:t>méric</w:t>
      </w:r>
      <w:r>
        <w:rPr>
          <w:w w:val="111"/>
        </w:rPr>
        <w:t>a</w:t>
      </w:r>
      <w:r>
        <w:rPr/>
        <w:t> </w:t>
      </w:r>
      <w:r>
        <w:rPr>
          <w:spacing w:val="3"/>
        </w:rPr>
        <w:t> </w:t>
      </w:r>
      <w:r>
        <w:rPr>
          <w:spacing w:val="1"/>
          <w:w w:val="243"/>
        </w:rPr>
        <w:t>l</w:t>
      </w:r>
      <w:r>
        <w:rPr>
          <w:spacing w:val="1"/>
          <w:w w:val="111"/>
        </w:rPr>
        <w:t>atin</w:t>
      </w:r>
      <w:r>
        <w:rPr>
          <w:w w:val="111"/>
        </w:rPr>
        <w:t>a</w:t>
      </w:r>
      <w:r>
        <w:rPr/>
        <w:t> </w:t>
      </w:r>
      <w:r>
        <w:rPr>
          <w:spacing w:val="3"/>
        </w:rPr>
        <w:t> </w:t>
      </w:r>
      <w:r>
        <w:rPr>
          <w:w w:val="105"/>
        </w:rPr>
        <w:t>y</w:t>
      </w:r>
      <w:r>
        <w:rPr/>
        <w:t> </w:t>
      </w:r>
      <w:r>
        <w:rPr>
          <w:spacing w:val="3"/>
        </w:rPr>
        <w:t> </w:t>
      </w:r>
      <w:r>
        <w:rPr>
          <w:spacing w:val="1"/>
          <w:w w:val="109"/>
        </w:rPr>
        <w:t>demá</w:t>
      </w:r>
      <w:r>
        <w:rPr>
          <w:w w:val="109"/>
        </w:rPr>
        <w:t>s</w:t>
      </w:r>
      <w:r>
        <w:rPr/>
        <w:t> </w:t>
      </w:r>
      <w:r>
        <w:rPr>
          <w:spacing w:val="3"/>
        </w:rPr>
        <w:t> </w:t>
      </w:r>
      <w:r>
        <w:rPr>
          <w:spacing w:val="1"/>
          <w:w w:val="108"/>
        </w:rPr>
        <w:t>paíse</w:t>
      </w:r>
      <w:r>
        <w:rPr>
          <w:w w:val="108"/>
        </w:rPr>
        <w:t>s</w:t>
      </w:r>
      <w:r>
        <w:rPr/>
        <w:t> </w:t>
      </w:r>
      <w:r>
        <w:rPr>
          <w:spacing w:val="3"/>
        </w:rPr>
        <w:t> </w:t>
      </w:r>
      <w:r>
        <w:rPr>
          <w:spacing w:val="1"/>
          <w:w w:val="107"/>
        </w:rPr>
        <w:t>de</w:t>
      </w:r>
      <w:r>
        <w:rPr>
          <w:w w:val="107"/>
        </w:rPr>
        <w:t>l</w:t>
      </w:r>
      <w:r>
        <w:rPr/>
        <w:t> </w:t>
      </w:r>
      <w:r>
        <w:rPr>
          <w:spacing w:val="3"/>
        </w:rPr>
        <w:t> </w:t>
      </w:r>
      <w:r>
        <w:rPr>
          <w:spacing w:val="1"/>
          <w:w w:val="106"/>
        </w:rPr>
        <w:t>rest</w:t>
      </w:r>
      <w:r>
        <w:rPr>
          <w:w w:val="106"/>
        </w:rPr>
        <w:t>o</w:t>
      </w:r>
      <w:r>
        <w:rPr/>
        <w:t> </w:t>
      </w:r>
      <w:r>
        <w:rPr>
          <w:spacing w:val="3"/>
        </w:rPr>
        <w:t> </w:t>
      </w:r>
      <w:r>
        <w:rPr>
          <w:spacing w:val="1"/>
          <w:w w:val="107"/>
        </w:rPr>
        <w:t>de</w:t>
      </w:r>
      <w:r>
        <w:rPr>
          <w:w w:val="107"/>
        </w:rPr>
        <w:t>l</w:t>
      </w:r>
      <w:r>
        <w:rPr/>
        <w:t> </w:t>
      </w:r>
      <w:r>
        <w:rPr>
          <w:spacing w:val="3"/>
        </w:rPr>
        <w:t> </w:t>
      </w:r>
      <w:r>
        <w:rPr>
          <w:spacing w:val="1"/>
          <w:w w:val="113"/>
        </w:rPr>
        <w:t>mundo. </w:t>
      </w:r>
      <w:r>
        <w:rPr>
          <w:w w:val="115"/>
        </w:rPr>
        <w:t>Como evidencia de ello, se destacaban las bajas tasas de desempleo de las décadas recientes, en relación con el crecimiento de la eco- nomía del Pib y los niveles de productividad de los trabajadores. No obstante, los datos ocultan aspectos de dicha realidad, que con- trasta con la situación particular de las economías emergentes en los países subdesarrollados (Castillo, 2007), lo que demuestra que el</w:t>
      </w:r>
      <w:r>
        <w:rPr>
          <w:spacing w:val="-13"/>
          <w:w w:val="115"/>
        </w:rPr>
        <w:t> </w:t>
      </w:r>
      <w:r>
        <w:rPr>
          <w:w w:val="115"/>
        </w:rPr>
        <w:t>desempleo</w:t>
      </w:r>
      <w:r>
        <w:rPr>
          <w:spacing w:val="-13"/>
          <w:w w:val="115"/>
        </w:rPr>
        <w:t> </w:t>
      </w:r>
      <w:r>
        <w:rPr>
          <w:w w:val="115"/>
        </w:rPr>
        <w:t>estadounidense</w:t>
      </w:r>
      <w:r>
        <w:rPr>
          <w:spacing w:val="-13"/>
          <w:w w:val="115"/>
        </w:rPr>
        <w:t> </w:t>
      </w:r>
      <w:r>
        <w:rPr>
          <w:w w:val="115"/>
        </w:rPr>
        <w:t>decreció</w:t>
      </w:r>
      <w:r>
        <w:rPr>
          <w:spacing w:val="-13"/>
          <w:w w:val="115"/>
        </w:rPr>
        <w:t> </w:t>
      </w:r>
      <w:r>
        <w:rPr>
          <w:w w:val="115"/>
        </w:rPr>
        <w:t>a</w:t>
      </w:r>
      <w:r>
        <w:rPr>
          <w:spacing w:val="-13"/>
          <w:w w:val="115"/>
        </w:rPr>
        <w:t> </w:t>
      </w:r>
      <w:r>
        <w:rPr>
          <w:w w:val="115"/>
        </w:rPr>
        <w:t>partir</w:t>
      </w:r>
      <w:r>
        <w:rPr>
          <w:spacing w:val="-13"/>
          <w:w w:val="115"/>
        </w:rPr>
        <w:t> </w:t>
      </w:r>
      <w:r>
        <w:rPr>
          <w:w w:val="115"/>
        </w:rPr>
        <w:t>de</w:t>
      </w:r>
      <w:r>
        <w:rPr>
          <w:spacing w:val="-13"/>
          <w:w w:val="115"/>
        </w:rPr>
        <w:t> </w:t>
      </w:r>
      <w:r>
        <w:rPr>
          <w:w w:val="115"/>
        </w:rPr>
        <w:t>la</w:t>
      </w:r>
      <w:r>
        <w:rPr>
          <w:spacing w:val="-13"/>
          <w:w w:val="115"/>
        </w:rPr>
        <w:t> </w:t>
      </w:r>
      <w:r>
        <w:rPr>
          <w:w w:val="115"/>
        </w:rPr>
        <w:t>década</w:t>
      </w:r>
      <w:r>
        <w:rPr>
          <w:spacing w:val="-13"/>
          <w:w w:val="115"/>
        </w:rPr>
        <w:t> </w:t>
      </w:r>
      <w:r>
        <w:rPr>
          <w:w w:val="115"/>
        </w:rPr>
        <w:t>de</w:t>
      </w:r>
      <w:r>
        <w:rPr>
          <w:spacing w:val="-13"/>
          <w:w w:val="115"/>
        </w:rPr>
        <w:t> </w:t>
      </w:r>
      <w:r>
        <w:rPr>
          <w:w w:val="115"/>
        </w:rPr>
        <w:t>1980 no tanto en razón de un crecimiento económico sostenido, sino de- </w:t>
      </w:r>
      <w:r>
        <w:rPr>
          <w:spacing w:val="1"/>
          <w:w w:val="110"/>
        </w:rPr>
        <w:t>bid</w:t>
      </w:r>
      <w:r>
        <w:rPr>
          <w:w w:val="110"/>
        </w:rPr>
        <w:t>o</w:t>
      </w:r>
      <w:r>
        <w:rPr>
          <w:spacing w:val="12"/>
        </w:rPr>
        <w:t> </w:t>
      </w:r>
      <w:r>
        <w:rPr>
          <w:w w:val="112"/>
        </w:rPr>
        <w:t>a</w:t>
      </w:r>
      <w:r>
        <w:rPr>
          <w:spacing w:val="12"/>
        </w:rPr>
        <w:t> </w:t>
      </w:r>
      <w:r>
        <w:rPr>
          <w:spacing w:val="1"/>
          <w:w w:val="112"/>
        </w:rPr>
        <w:t>u</w:t>
      </w:r>
      <w:r>
        <w:rPr>
          <w:w w:val="112"/>
        </w:rPr>
        <w:t>n</w:t>
      </w:r>
      <w:r>
        <w:rPr>
          <w:spacing w:val="12"/>
        </w:rPr>
        <w:t> </w:t>
      </w:r>
      <w:r>
        <w:rPr>
          <w:spacing w:val="1"/>
          <w:w w:val="110"/>
        </w:rPr>
        <w:t>crecimient</w:t>
      </w:r>
      <w:r>
        <w:rPr>
          <w:w w:val="110"/>
        </w:rPr>
        <w:t>o</w:t>
      </w:r>
      <w:r>
        <w:rPr>
          <w:spacing w:val="12"/>
        </w:rPr>
        <w:t> </w:t>
      </w:r>
      <w:r>
        <w:rPr>
          <w:spacing w:val="1"/>
          <w:w w:val="108"/>
        </w:rPr>
        <w:t>lent</w:t>
      </w:r>
      <w:r>
        <w:rPr>
          <w:w w:val="108"/>
        </w:rPr>
        <w:t>o</w:t>
      </w:r>
      <w:r>
        <w:rPr>
          <w:spacing w:val="12"/>
        </w:rPr>
        <w:t> </w:t>
      </w:r>
      <w:r>
        <w:rPr>
          <w:spacing w:val="1"/>
          <w:w w:val="107"/>
        </w:rPr>
        <w:t>d</w:t>
      </w:r>
      <w:r>
        <w:rPr>
          <w:w w:val="107"/>
        </w:rPr>
        <w:t>e</w:t>
      </w:r>
      <w:r>
        <w:rPr>
          <w:spacing w:val="12"/>
        </w:rPr>
        <w:t> </w:t>
      </w:r>
      <w:r>
        <w:rPr>
          <w:spacing w:val="1"/>
          <w:w w:val="111"/>
        </w:rPr>
        <w:t>l</w:t>
      </w:r>
      <w:r>
        <w:rPr>
          <w:w w:val="111"/>
        </w:rPr>
        <w:t>a</w:t>
      </w:r>
      <w:r>
        <w:rPr>
          <w:spacing w:val="12"/>
        </w:rPr>
        <w:t> </w:t>
      </w:r>
      <w:r>
        <w:rPr>
          <w:spacing w:val="1"/>
          <w:w w:val="110"/>
        </w:rPr>
        <w:t>fuerz</w:t>
      </w:r>
      <w:r>
        <w:rPr>
          <w:w w:val="110"/>
        </w:rPr>
        <w:t>a</w:t>
      </w:r>
      <w:r>
        <w:rPr>
          <w:spacing w:val="12"/>
        </w:rPr>
        <w:t> </w:t>
      </w:r>
      <w:r>
        <w:rPr>
          <w:spacing w:val="1"/>
          <w:w w:val="110"/>
        </w:rPr>
        <w:t>labora</w:t>
      </w:r>
      <w:r>
        <w:rPr>
          <w:w w:val="110"/>
        </w:rPr>
        <w:t>l</w:t>
      </w:r>
      <w:r>
        <w:rPr>
          <w:spacing w:val="12"/>
        </w:rPr>
        <w:t> </w:t>
      </w:r>
      <w:r>
        <w:rPr>
          <w:spacing w:val="1"/>
          <w:w w:val="112"/>
        </w:rPr>
        <w:t>(Marshall</w:t>
      </w:r>
      <w:r>
        <w:rPr>
          <w:w w:val="112"/>
        </w:rPr>
        <w:t>,</w:t>
      </w:r>
      <w:r>
        <w:rPr>
          <w:spacing w:val="12"/>
        </w:rPr>
        <w:t> </w:t>
      </w:r>
      <w:r>
        <w:rPr>
          <w:spacing w:val="1"/>
          <w:w w:val="104"/>
        </w:rPr>
        <w:t>1998)</w:t>
      </w:r>
      <w:r>
        <w:rPr>
          <w:w w:val="104"/>
        </w:rPr>
        <w:t>.</w:t>
      </w:r>
      <w:r>
        <w:rPr>
          <w:spacing w:val="12"/>
        </w:rPr>
        <w:t> </w:t>
      </w:r>
      <w:r>
        <w:rPr>
          <w:spacing w:val="1"/>
          <w:w w:val="243"/>
        </w:rPr>
        <w:t>l</w:t>
      </w:r>
      <w:r>
        <w:rPr>
          <w:w w:val="112"/>
        </w:rPr>
        <w:t>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5"/>
        <w:jc w:val="both"/>
      </w:pPr>
      <w:r>
        <w:rPr>
          <w:w w:val="110"/>
        </w:rPr>
        <w:t>evolución de las tasas de participación de la fuerza de trabajo de los grupos de 16 años y más y de 16 a 24 años, muestra la tendencia de relativo estancamiento de la primera, y la notable y drástica caída     de la segunda, a partir de comienzos de la década de 1990, con la consecuente ampliación de la brecha entre ambos segmentos pobla- cionales, con una muy débil recuperación en el periodo posterior a    la crisis de 2008 (Gráfico</w:t>
      </w:r>
      <w:r>
        <w:rPr>
          <w:spacing w:val="45"/>
          <w:w w:val="110"/>
        </w:rPr>
        <w:t> </w:t>
      </w:r>
      <w:r>
        <w:rPr>
          <w:w w:val="110"/>
        </w:rPr>
        <w:t>1).</w:t>
      </w:r>
    </w:p>
    <w:p>
      <w:pPr>
        <w:pStyle w:val="BodyText"/>
        <w:spacing w:line="252" w:lineRule="auto"/>
        <w:ind w:left="330" w:right="117" w:firstLine="396"/>
        <w:jc w:val="both"/>
      </w:pPr>
      <w:r>
        <w:rPr>
          <w:w w:val="110"/>
        </w:rPr>
        <w:t>El análisis, planteado en estos términos, quizá resulte adecuado para comprender la dinámica del empleo en Estados unidos y la falsa idea de ser un “modelo eficaz generador de empleo”. Esta coinciden- cia de situaciones hizo aparecer justo en la década de 1980 al modelo laboral estadounidense recién adoptado como exitoso, dotado de una capacidad excepcional digna de ser imitada. Pero más allá de esta ca- racterística del mercado de trabajo, en el país llama la atención la particular caída de participación de la fuerza de trabajo joven, acen- </w:t>
      </w:r>
      <w:r>
        <w:rPr>
          <w:w w:val="110"/>
        </w:rPr>
        <w:t>tuada</w:t>
      </w:r>
      <w:r>
        <w:rPr/>
        <w:t> </w:t>
      </w:r>
      <w:r>
        <w:rPr>
          <w:spacing w:val="-19"/>
        </w:rPr>
        <w:t> </w:t>
      </w:r>
      <w:r>
        <w:rPr>
          <w:w w:val="106"/>
        </w:rPr>
        <w:t>desde</w:t>
      </w:r>
      <w:r>
        <w:rPr/>
        <w:t> </w:t>
      </w:r>
      <w:r>
        <w:rPr>
          <w:spacing w:val="-19"/>
        </w:rPr>
        <w:t> </w:t>
      </w:r>
      <w:r>
        <w:rPr>
          <w:w w:val="108"/>
        </w:rPr>
        <w:t>finales</w:t>
      </w:r>
      <w:r>
        <w:rPr/>
        <w:t> </w:t>
      </w:r>
      <w:r>
        <w:rPr>
          <w:spacing w:val="-19"/>
        </w:rPr>
        <w:t> </w:t>
      </w:r>
      <w:r>
        <w:rPr>
          <w:w w:val="107"/>
        </w:rPr>
        <w:t>de</w:t>
      </w:r>
      <w:r>
        <w:rPr/>
        <w:t> </w:t>
      </w:r>
      <w:r>
        <w:rPr>
          <w:spacing w:val="-19"/>
        </w:rPr>
        <w:t> </w:t>
      </w:r>
      <w:r>
        <w:rPr>
          <w:w w:val="111"/>
        </w:rPr>
        <w:t>la</w:t>
      </w:r>
      <w:r>
        <w:rPr/>
        <w:t> </w:t>
      </w:r>
      <w:r>
        <w:rPr>
          <w:spacing w:val="-19"/>
        </w:rPr>
        <w:t> </w:t>
      </w:r>
      <w:r>
        <w:rPr>
          <w:w w:val="110"/>
        </w:rPr>
        <w:t>década</w:t>
      </w:r>
      <w:r>
        <w:rPr/>
        <w:t> </w:t>
      </w:r>
      <w:r>
        <w:rPr>
          <w:spacing w:val="-19"/>
        </w:rPr>
        <w:t> </w:t>
      </w:r>
      <w:r>
        <w:rPr>
          <w:w w:val="107"/>
        </w:rPr>
        <w:t>de</w:t>
      </w:r>
      <w:r>
        <w:rPr/>
        <w:t> </w:t>
      </w:r>
      <w:r>
        <w:rPr>
          <w:spacing w:val="-19"/>
        </w:rPr>
        <w:t> </w:t>
      </w:r>
      <w:r>
        <w:rPr>
          <w:w w:val="102"/>
        </w:rPr>
        <w:t>1980</w:t>
      </w:r>
      <w:r>
        <w:rPr/>
        <w:t> </w:t>
      </w:r>
      <w:r>
        <w:rPr>
          <w:spacing w:val="-19"/>
        </w:rPr>
        <w:t> </w:t>
      </w:r>
      <w:r>
        <w:rPr>
          <w:w w:val="98"/>
        </w:rPr>
        <w:t>(</w:t>
      </w:r>
      <w:r>
        <w:rPr>
          <w:w w:val="149"/>
        </w:rPr>
        <w:t>o</w:t>
      </w:r>
      <w:r>
        <w:rPr>
          <w:w w:val="126"/>
        </w:rPr>
        <w:t>EC</w:t>
      </w:r>
      <w:r>
        <w:rPr>
          <w:w w:val="139"/>
        </w:rPr>
        <w:t>d</w:t>
      </w:r>
      <w:r>
        <w:rPr>
          <w:w w:val="138"/>
        </w:rPr>
        <w:t>,</w:t>
      </w:r>
      <w:r>
        <w:rPr/>
        <w:t> </w:t>
      </w:r>
      <w:r>
        <w:rPr>
          <w:spacing w:val="-19"/>
        </w:rPr>
        <w:t> </w:t>
      </w:r>
      <w:r>
        <w:rPr>
          <w:w w:val="104"/>
        </w:rPr>
        <w:t>2005).</w:t>
      </w:r>
      <w:r>
        <w:rPr/>
        <w:t> </w:t>
      </w:r>
      <w:r>
        <w:rPr>
          <w:spacing w:val="-19"/>
        </w:rPr>
        <w:t> </w:t>
      </w:r>
      <w:r>
        <w:rPr>
          <w:w w:val="243"/>
        </w:rPr>
        <w:t>l</w:t>
      </w:r>
      <w:r>
        <w:rPr>
          <w:w w:val="109"/>
        </w:rPr>
        <w:t>as</w:t>
      </w:r>
      <w:r>
        <w:rPr/>
        <w:t> </w:t>
      </w:r>
      <w:r>
        <w:rPr>
          <w:spacing w:val="-19"/>
        </w:rPr>
        <w:t> </w:t>
      </w:r>
      <w:r>
        <w:rPr>
          <w:w w:val="110"/>
        </w:rPr>
        <w:t>explic</w:t>
      </w:r>
      <w:r>
        <w:rPr>
          <w:spacing w:val="-1"/>
          <w:w w:val="110"/>
        </w:rPr>
        <w:t>a</w:t>
      </w:r>
      <w:r>
        <w:rPr>
          <w:w w:val="102"/>
        </w:rPr>
        <w:t>- </w:t>
      </w:r>
      <w:r>
        <w:rPr>
          <w:w w:val="110"/>
        </w:rPr>
        <w:t>ciones mayormente compartidas aducen, por un lado, a razones de competencia</w:t>
      </w:r>
      <w:r>
        <w:rPr>
          <w:spacing w:val="-4"/>
          <w:w w:val="110"/>
        </w:rPr>
        <w:t> </w:t>
      </w:r>
      <w:r>
        <w:rPr>
          <w:w w:val="110"/>
        </w:rPr>
        <w:t>y</w:t>
      </w:r>
      <w:r>
        <w:rPr>
          <w:spacing w:val="-4"/>
          <w:w w:val="110"/>
        </w:rPr>
        <w:t> </w:t>
      </w:r>
      <w:r>
        <w:rPr>
          <w:w w:val="110"/>
        </w:rPr>
        <w:t>eventual</w:t>
      </w:r>
      <w:r>
        <w:rPr>
          <w:spacing w:val="-4"/>
          <w:w w:val="110"/>
        </w:rPr>
        <w:t> </w:t>
      </w:r>
      <w:r>
        <w:rPr>
          <w:w w:val="110"/>
        </w:rPr>
        <w:t>desplazamiento</w:t>
      </w:r>
      <w:r>
        <w:rPr>
          <w:spacing w:val="-4"/>
          <w:w w:val="110"/>
        </w:rPr>
        <w:t> </w:t>
      </w:r>
      <w:r>
        <w:rPr>
          <w:w w:val="110"/>
        </w:rPr>
        <w:t>de</w:t>
      </w:r>
      <w:r>
        <w:rPr>
          <w:spacing w:val="-4"/>
          <w:w w:val="110"/>
        </w:rPr>
        <w:t> </w:t>
      </w:r>
      <w:r>
        <w:rPr>
          <w:w w:val="110"/>
        </w:rPr>
        <w:t>la</w:t>
      </w:r>
      <w:r>
        <w:rPr>
          <w:spacing w:val="-4"/>
          <w:w w:val="110"/>
        </w:rPr>
        <w:t> </w:t>
      </w:r>
      <w:r>
        <w:rPr>
          <w:w w:val="110"/>
        </w:rPr>
        <w:t>mano</w:t>
      </w:r>
      <w:r>
        <w:rPr>
          <w:spacing w:val="-4"/>
          <w:w w:val="110"/>
        </w:rPr>
        <w:t> </w:t>
      </w:r>
      <w:r>
        <w:rPr>
          <w:w w:val="110"/>
        </w:rPr>
        <w:t>de</w:t>
      </w:r>
      <w:r>
        <w:rPr>
          <w:spacing w:val="-4"/>
          <w:w w:val="110"/>
        </w:rPr>
        <w:t> </w:t>
      </w:r>
      <w:r>
        <w:rPr>
          <w:w w:val="110"/>
        </w:rPr>
        <w:t>obra</w:t>
      </w:r>
      <w:r>
        <w:rPr>
          <w:spacing w:val="-4"/>
          <w:w w:val="110"/>
        </w:rPr>
        <w:t> </w:t>
      </w:r>
      <w:r>
        <w:rPr>
          <w:w w:val="110"/>
        </w:rPr>
        <w:t>nativa</w:t>
      </w:r>
      <w:r>
        <w:rPr>
          <w:spacing w:val="-4"/>
          <w:w w:val="110"/>
        </w:rPr>
        <w:t> </w:t>
      </w:r>
      <w:r>
        <w:rPr>
          <w:w w:val="110"/>
        </w:rPr>
        <w:t>por trabajadores migrantes, particularmente en sectores con demanda de trabajo de baja calidad </w:t>
      </w:r>
      <w:r>
        <w:rPr>
          <w:spacing w:val="-11"/>
          <w:w w:val="110"/>
        </w:rPr>
        <w:t>y, </w:t>
      </w:r>
      <w:r>
        <w:rPr>
          <w:w w:val="110"/>
        </w:rPr>
        <w:t>por otro, a la posible retención del sistema educativo, debido a las exigencias que impone el propio mercado la- boral.  así  lo  interpreta  la</w:t>
      </w:r>
      <w:r>
        <w:rPr>
          <w:spacing w:val="-15"/>
          <w:w w:val="110"/>
        </w:rPr>
        <w:t> </w:t>
      </w:r>
      <w:r>
        <w:rPr>
          <w:w w:val="110"/>
        </w:rPr>
        <w:t>oECd:</w:t>
      </w:r>
    </w:p>
    <w:p>
      <w:pPr>
        <w:pStyle w:val="BodyText"/>
        <w:spacing w:before="11"/>
        <w:rPr>
          <w:sz w:val="18"/>
        </w:rPr>
      </w:pPr>
    </w:p>
    <w:p>
      <w:pPr>
        <w:spacing w:before="0"/>
        <w:ind w:left="727" w:right="116" w:firstLine="0"/>
        <w:jc w:val="both"/>
        <w:rPr>
          <w:sz w:val="18"/>
        </w:rPr>
      </w:pPr>
      <w:r>
        <w:rPr>
          <w:i/>
          <w:w w:val="110"/>
          <w:sz w:val="18"/>
        </w:rPr>
        <w:t>one possible reason behind the fall in labour force participation among </w:t>
      </w:r>
      <w:r>
        <w:rPr>
          <w:i/>
          <w:w w:val="110"/>
          <w:sz w:val="18"/>
        </w:rPr>
        <w:t>youth is competition from low skilled immigrants and older workers; another is a rise in school enrolment. […] Another factor that may have depressed</w:t>
      </w:r>
      <w:r>
        <w:rPr>
          <w:i/>
          <w:spacing w:val="-5"/>
          <w:w w:val="110"/>
          <w:sz w:val="18"/>
        </w:rPr>
        <w:t> </w:t>
      </w:r>
      <w:r>
        <w:rPr>
          <w:i/>
          <w:w w:val="110"/>
          <w:sz w:val="18"/>
        </w:rPr>
        <w:t>labour</w:t>
      </w:r>
      <w:r>
        <w:rPr>
          <w:i/>
          <w:spacing w:val="-5"/>
          <w:w w:val="110"/>
          <w:sz w:val="18"/>
        </w:rPr>
        <w:t> </w:t>
      </w:r>
      <w:r>
        <w:rPr>
          <w:i/>
          <w:w w:val="110"/>
          <w:sz w:val="18"/>
        </w:rPr>
        <w:t>force</w:t>
      </w:r>
      <w:r>
        <w:rPr>
          <w:i/>
          <w:spacing w:val="-5"/>
          <w:w w:val="110"/>
          <w:sz w:val="18"/>
        </w:rPr>
        <w:t> </w:t>
      </w:r>
      <w:r>
        <w:rPr>
          <w:i/>
          <w:w w:val="110"/>
          <w:sz w:val="18"/>
        </w:rPr>
        <w:t>participation</w:t>
      </w:r>
      <w:r>
        <w:rPr>
          <w:i/>
          <w:spacing w:val="-5"/>
          <w:w w:val="110"/>
          <w:sz w:val="18"/>
        </w:rPr>
        <w:t> </w:t>
      </w:r>
      <w:r>
        <w:rPr>
          <w:i/>
          <w:w w:val="110"/>
          <w:sz w:val="18"/>
        </w:rPr>
        <w:t>as</w:t>
      </w:r>
      <w:r>
        <w:rPr>
          <w:i/>
          <w:spacing w:val="-5"/>
          <w:w w:val="110"/>
          <w:sz w:val="18"/>
        </w:rPr>
        <w:t> </w:t>
      </w:r>
      <w:r>
        <w:rPr>
          <w:i/>
          <w:w w:val="110"/>
          <w:sz w:val="18"/>
        </w:rPr>
        <w:t>from</w:t>
      </w:r>
      <w:r>
        <w:rPr>
          <w:i/>
          <w:spacing w:val="-5"/>
          <w:w w:val="110"/>
          <w:sz w:val="18"/>
        </w:rPr>
        <w:t> </w:t>
      </w:r>
      <w:r>
        <w:rPr>
          <w:i/>
          <w:w w:val="110"/>
          <w:sz w:val="18"/>
        </w:rPr>
        <w:t>the</w:t>
      </w:r>
      <w:r>
        <w:rPr>
          <w:i/>
          <w:spacing w:val="-5"/>
          <w:w w:val="110"/>
          <w:sz w:val="18"/>
        </w:rPr>
        <w:t> </w:t>
      </w:r>
      <w:r>
        <w:rPr>
          <w:i/>
          <w:w w:val="110"/>
          <w:sz w:val="18"/>
        </w:rPr>
        <w:t>late</w:t>
      </w:r>
      <w:r>
        <w:rPr>
          <w:i/>
          <w:spacing w:val="-5"/>
          <w:w w:val="110"/>
          <w:sz w:val="18"/>
        </w:rPr>
        <w:t> </w:t>
      </w:r>
      <w:r>
        <w:rPr>
          <w:i/>
          <w:w w:val="110"/>
          <w:sz w:val="18"/>
        </w:rPr>
        <w:t>1980s</w:t>
      </w:r>
      <w:r>
        <w:rPr>
          <w:i/>
          <w:spacing w:val="-5"/>
          <w:w w:val="110"/>
          <w:sz w:val="18"/>
        </w:rPr>
        <w:t> </w:t>
      </w:r>
      <w:r>
        <w:rPr>
          <w:i/>
          <w:w w:val="110"/>
          <w:sz w:val="18"/>
        </w:rPr>
        <w:t>is</w:t>
      </w:r>
      <w:r>
        <w:rPr>
          <w:i/>
          <w:spacing w:val="-5"/>
          <w:w w:val="110"/>
          <w:sz w:val="18"/>
        </w:rPr>
        <w:t> </w:t>
      </w:r>
      <w:r>
        <w:rPr>
          <w:i/>
          <w:w w:val="110"/>
          <w:sz w:val="18"/>
        </w:rPr>
        <w:t>a</w:t>
      </w:r>
      <w:r>
        <w:rPr>
          <w:i/>
          <w:spacing w:val="-5"/>
          <w:w w:val="110"/>
          <w:sz w:val="18"/>
        </w:rPr>
        <w:t> </w:t>
      </w:r>
      <w:r>
        <w:rPr>
          <w:i/>
          <w:w w:val="110"/>
          <w:sz w:val="18"/>
        </w:rPr>
        <w:t>tenden- cy for the low skilled to take up disability rather than unemployment benefits  </w:t>
      </w:r>
      <w:r>
        <w:rPr>
          <w:w w:val="110"/>
          <w:sz w:val="18"/>
        </w:rPr>
        <w:t>(oECd,</w:t>
      </w:r>
      <w:r>
        <w:rPr>
          <w:spacing w:val="-2"/>
          <w:w w:val="110"/>
          <w:sz w:val="18"/>
        </w:rPr>
        <w:t> </w:t>
      </w:r>
      <w:r>
        <w:rPr>
          <w:w w:val="110"/>
          <w:sz w:val="18"/>
        </w:rPr>
        <w:t>2005).</w:t>
      </w:r>
    </w:p>
    <w:p>
      <w:pPr>
        <w:pStyle w:val="BodyText"/>
        <w:spacing w:before="1"/>
        <w:rPr>
          <w:sz w:val="21"/>
        </w:rPr>
      </w:pPr>
    </w:p>
    <w:p>
      <w:pPr>
        <w:pStyle w:val="BodyText"/>
        <w:spacing w:line="252" w:lineRule="auto"/>
        <w:ind w:left="330" w:right="117"/>
        <w:jc w:val="both"/>
      </w:pPr>
      <w:r>
        <w:rPr>
          <w:w w:val="243"/>
        </w:rPr>
        <w:t>l</w:t>
      </w:r>
      <w:r>
        <w:rPr>
          <w:w w:val="112"/>
        </w:rPr>
        <w:t>a</w:t>
      </w:r>
      <w:r>
        <w:rPr/>
        <w:t> </w:t>
      </w:r>
      <w:r>
        <w:rPr>
          <w:spacing w:val="-4"/>
        </w:rPr>
        <w:t> </w:t>
      </w:r>
      <w:r>
        <w:rPr>
          <w:w w:val="110"/>
        </w:rPr>
        <w:t>inserción</w:t>
      </w:r>
      <w:r>
        <w:rPr/>
        <w:t> </w:t>
      </w:r>
      <w:r>
        <w:rPr>
          <w:spacing w:val="-4"/>
        </w:rPr>
        <w:t> </w:t>
      </w:r>
      <w:r>
        <w:rPr>
          <w:w w:val="110"/>
        </w:rPr>
        <w:t>laboral</w:t>
      </w:r>
      <w:r>
        <w:rPr/>
        <w:t> </w:t>
      </w:r>
      <w:r>
        <w:rPr>
          <w:spacing w:val="-4"/>
        </w:rPr>
        <w:t> </w:t>
      </w:r>
      <w:r>
        <w:rPr>
          <w:w w:val="107"/>
        </w:rPr>
        <w:t>de</w:t>
      </w:r>
      <w:r>
        <w:rPr/>
        <w:t> </w:t>
      </w:r>
      <w:r>
        <w:rPr>
          <w:spacing w:val="-4"/>
        </w:rPr>
        <w:t> </w:t>
      </w:r>
      <w:r>
        <w:rPr>
          <w:w w:val="108"/>
        </w:rPr>
        <w:t>los</w:t>
      </w:r>
      <w:r>
        <w:rPr/>
        <w:t> </w:t>
      </w:r>
      <w:r>
        <w:rPr>
          <w:spacing w:val="-4"/>
        </w:rPr>
        <w:t> </w:t>
      </w:r>
      <w:r>
        <w:rPr>
          <w:w w:val="108"/>
        </w:rPr>
        <w:t>jóvenes,</w:t>
      </w:r>
      <w:r>
        <w:rPr/>
        <w:t> </w:t>
      </w:r>
      <w:r>
        <w:rPr>
          <w:spacing w:val="-4"/>
        </w:rPr>
        <w:t> </w:t>
      </w:r>
      <w:r>
        <w:rPr>
          <w:w w:val="111"/>
        </w:rPr>
        <w:t>más</w:t>
      </w:r>
      <w:r>
        <w:rPr/>
        <w:t> </w:t>
      </w:r>
      <w:r>
        <w:rPr>
          <w:spacing w:val="-4"/>
        </w:rPr>
        <w:t> </w:t>
      </w:r>
      <w:r>
        <w:rPr>
          <w:w w:val="108"/>
        </w:rPr>
        <w:t>que</w:t>
      </w:r>
      <w:r>
        <w:rPr/>
        <w:t> </w:t>
      </w:r>
      <w:r>
        <w:rPr>
          <w:spacing w:val="-4"/>
        </w:rPr>
        <w:t> </w:t>
      </w:r>
      <w:r>
        <w:rPr>
          <w:w w:val="107"/>
        </w:rPr>
        <w:t>otros</w:t>
      </w:r>
      <w:r>
        <w:rPr/>
        <w:t> </w:t>
      </w:r>
      <w:r>
        <w:rPr>
          <w:spacing w:val="-4"/>
        </w:rPr>
        <w:t> </w:t>
      </w:r>
      <w:r>
        <w:rPr>
          <w:w w:val="108"/>
        </w:rPr>
        <w:t>segmentos</w:t>
      </w:r>
      <w:r>
        <w:rPr/>
        <w:t> </w:t>
      </w:r>
      <w:r>
        <w:rPr>
          <w:spacing w:val="-4"/>
        </w:rPr>
        <w:t> </w:t>
      </w:r>
      <w:r>
        <w:rPr>
          <w:w w:val="107"/>
        </w:rPr>
        <w:t>de</w:t>
      </w:r>
      <w:r>
        <w:rPr/>
        <w:t> </w:t>
      </w:r>
      <w:r>
        <w:rPr>
          <w:spacing w:val="-4"/>
        </w:rPr>
        <w:t> </w:t>
      </w:r>
      <w:r>
        <w:rPr>
          <w:w w:val="111"/>
        </w:rPr>
        <w:t>la </w:t>
      </w:r>
      <w:r>
        <w:rPr>
          <w:w w:val="110"/>
        </w:rPr>
        <w:t>población, representa un indicador fehaciente de los procesos genera- </w:t>
      </w:r>
      <w:r>
        <w:rPr>
          <w:w w:val="115"/>
        </w:rPr>
        <w:t>dores</w:t>
      </w:r>
      <w:r>
        <w:rPr>
          <w:spacing w:val="-14"/>
          <w:w w:val="115"/>
        </w:rPr>
        <w:t> </w:t>
      </w:r>
      <w:r>
        <w:rPr>
          <w:w w:val="115"/>
        </w:rPr>
        <w:t>de</w:t>
      </w:r>
      <w:r>
        <w:rPr>
          <w:spacing w:val="-14"/>
          <w:w w:val="115"/>
        </w:rPr>
        <w:t> </w:t>
      </w:r>
      <w:r>
        <w:rPr>
          <w:w w:val="115"/>
        </w:rPr>
        <w:t>desigualdad</w:t>
      </w:r>
      <w:r>
        <w:rPr>
          <w:spacing w:val="-14"/>
          <w:w w:val="115"/>
        </w:rPr>
        <w:t> </w:t>
      </w:r>
      <w:r>
        <w:rPr>
          <w:w w:val="115"/>
        </w:rPr>
        <w:t>socioeconómica</w:t>
      </w:r>
      <w:r>
        <w:rPr>
          <w:spacing w:val="-14"/>
          <w:w w:val="115"/>
        </w:rPr>
        <w:t> </w:t>
      </w:r>
      <w:r>
        <w:rPr>
          <w:w w:val="115"/>
        </w:rPr>
        <w:t>(García</w:t>
      </w:r>
      <w:r>
        <w:rPr>
          <w:spacing w:val="-14"/>
          <w:w w:val="115"/>
        </w:rPr>
        <w:t> </w:t>
      </w:r>
      <w:r>
        <w:rPr>
          <w:w w:val="115"/>
        </w:rPr>
        <w:t>y</w:t>
      </w:r>
      <w:r>
        <w:rPr>
          <w:spacing w:val="-14"/>
          <w:w w:val="115"/>
        </w:rPr>
        <w:t> </w:t>
      </w:r>
      <w:r>
        <w:rPr>
          <w:w w:val="115"/>
        </w:rPr>
        <w:t>Gutiérrez,</w:t>
      </w:r>
      <w:r>
        <w:rPr>
          <w:spacing w:val="-14"/>
          <w:w w:val="115"/>
        </w:rPr>
        <w:t> </w:t>
      </w:r>
      <w:r>
        <w:rPr>
          <w:w w:val="115"/>
        </w:rPr>
        <w:t>1996).</w:t>
      </w:r>
      <w:r>
        <w:rPr>
          <w:spacing w:val="-14"/>
          <w:w w:val="115"/>
        </w:rPr>
        <w:t> </w:t>
      </w:r>
      <w:r>
        <w:rPr>
          <w:w w:val="115"/>
        </w:rPr>
        <w:t>No obstante, coincidente con lo indicado, es un hecho el importante</w:t>
      </w:r>
      <w:r>
        <w:rPr>
          <w:spacing w:val="-23"/>
          <w:w w:val="115"/>
        </w:rPr>
        <w:t> </w:t>
      </w:r>
      <w:r>
        <w:rPr>
          <w:w w:val="115"/>
        </w:rPr>
        <w:t>in- cremento</w:t>
      </w:r>
      <w:r>
        <w:rPr>
          <w:spacing w:val="-16"/>
          <w:w w:val="115"/>
        </w:rPr>
        <w:t> </w:t>
      </w:r>
      <w:r>
        <w:rPr>
          <w:w w:val="115"/>
        </w:rPr>
        <w:t>de</w:t>
      </w:r>
      <w:r>
        <w:rPr>
          <w:spacing w:val="-16"/>
          <w:w w:val="115"/>
        </w:rPr>
        <w:t> </w:t>
      </w:r>
      <w:r>
        <w:rPr>
          <w:w w:val="115"/>
        </w:rPr>
        <w:t>la</w:t>
      </w:r>
      <w:r>
        <w:rPr>
          <w:spacing w:val="-16"/>
          <w:w w:val="115"/>
        </w:rPr>
        <w:t> </w:t>
      </w:r>
      <w:r>
        <w:rPr>
          <w:w w:val="115"/>
        </w:rPr>
        <w:t>población</w:t>
      </w:r>
      <w:r>
        <w:rPr>
          <w:spacing w:val="-16"/>
          <w:w w:val="115"/>
        </w:rPr>
        <w:t> </w:t>
      </w:r>
      <w:r>
        <w:rPr>
          <w:w w:val="115"/>
        </w:rPr>
        <w:t>joven</w:t>
      </w:r>
      <w:r>
        <w:rPr>
          <w:spacing w:val="-16"/>
          <w:w w:val="115"/>
        </w:rPr>
        <w:t> </w:t>
      </w:r>
      <w:r>
        <w:rPr>
          <w:w w:val="115"/>
        </w:rPr>
        <w:t>en</w:t>
      </w:r>
      <w:r>
        <w:rPr>
          <w:spacing w:val="-16"/>
          <w:w w:val="115"/>
        </w:rPr>
        <w:t> </w:t>
      </w:r>
      <w:r>
        <w:rPr>
          <w:w w:val="115"/>
        </w:rPr>
        <w:t>Estados</w:t>
      </w:r>
      <w:r>
        <w:rPr>
          <w:spacing w:val="-16"/>
          <w:w w:val="115"/>
        </w:rPr>
        <w:t> </w:t>
      </w:r>
      <w:r>
        <w:rPr>
          <w:w w:val="115"/>
        </w:rPr>
        <w:t>unidos</w:t>
      </w:r>
      <w:r>
        <w:rPr>
          <w:spacing w:val="-16"/>
          <w:w w:val="115"/>
        </w:rPr>
        <w:t> </w:t>
      </w:r>
      <w:r>
        <w:rPr>
          <w:w w:val="115"/>
        </w:rPr>
        <w:t>fuera</w:t>
      </w:r>
      <w:r>
        <w:rPr>
          <w:spacing w:val="-16"/>
          <w:w w:val="115"/>
        </w:rPr>
        <w:t> </w:t>
      </w:r>
      <w:r>
        <w:rPr>
          <w:w w:val="115"/>
        </w:rPr>
        <w:t>del</w:t>
      </w:r>
      <w:r>
        <w:rPr>
          <w:spacing w:val="-16"/>
          <w:w w:val="115"/>
        </w:rPr>
        <w:t> </w:t>
      </w:r>
      <w:r>
        <w:rPr>
          <w:w w:val="115"/>
        </w:rPr>
        <w:t>mercado laboral,</w:t>
      </w:r>
      <w:r>
        <w:rPr>
          <w:spacing w:val="-9"/>
          <w:w w:val="115"/>
        </w:rPr>
        <w:t> </w:t>
      </w:r>
      <w:r>
        <w:rPr>
          <w:w w:val="115"/>
        </w:rPr>
        <w:t>con</w:t>
      </w:r>
      <w:r>
        <w:rPr>
          <w:spacing w:val="-9"/>
          <w:w w:val="115"/>
        </w:rPr>
        <w:t> </w:t>
      </w:r>
      <w:r>
        <w:rPr>
          <w:w w:val="115"/>
        </w:rPr>
        <w:t>magnitudes</w:t>
      </w:r>
      <w:r>
        <w:rPr>
          <w:spacing w:val="-9"/>
          <w:w w:val="115"/>
        </w:rPr>
        <w:t> </w:t>
      </w:r>
      <w:r>
        <w:rPr>
          <w:w w:val="115"/>
        </w:rPr>
        <w:t>y</w:t>
      </w:r>
      <w:r>
        <w:rPr>
          <w:spacing w:val="-9"/>
          <w:w w:val="115"/>
        </w:rPr>
        <w:t> </w:t>
      </w:r>
      <w:r>
        <w:rPr>
          <w:w w:val="115"/>
        </w:rPr>
        <w:t>tendencias</w:t>
      </w:r>
      <w:r>
        <w:rPr>
          <w:spacing w:val="-9"/>
          <w:w w:val="115"/>
        </w:rPr>
        <w:t> </w:t>
      </w:r>
      <w:r>
        <w:rPr>
          <w:w w:val="115"/>
        </w:rPr>
        <w:t>muy</w:t>
      </w:r>
      <w:r>
        <w:rPr>
          <w:spacing w:val="-9"/>
          <w:w w:val="115"/>
        </w:rPr>
        <w:t> </w:t>
      </w:r>
      <w:r>
        <w:rPr>
          <w:w w:val="115"/>
        </w:rPr>
        <w:t>similares</w:t>
      </w:r>
      <w:r>
        <w:rPr>
          <w:spacing w:val="-9"/>
          <w:w w:val="115"/>
        </w:rPr>
        <w:t> </w:t>
      </w:r>
      <w:r>
        <w:rPr>
          <w:w w:val="115"/>
        </w:rPr>
        <w:t>a</w:t>
      </w:r>
      <w:r>
        <w:rPr>
          <w:spacing w:val="-9"/>
          <w:w w:val="115"/>
        </w:rPr>
        <w:t> </w:t>
      </w:r>
      <w:r>
        <w:rPr>
          <w:w w:val="115"/>
        </w:rPr>
        <w:t>las</w:t>
      </w:r>
      <w:r>
        <w:rPr>
          <w:spacing w:val="-9"/>
          <w:w w:val="115"/>
        </w:rPr>
        <w:t> </w:t>
      </w:r>
      <w:r>
        <w:rPr>
          <w:w w:val="115"/>
        </w:rPr>
        <w:t>de</w:t>
      </w:r>
      <w:r>
        <w:rPr>
          <w:spacing w:val="-9"/>
          <w:w w:val="115"/>
        </w:rPr>
        <w:t> </w:t>
      </w:r>
      <w:r>
        <w:rPr>
          <w:w w:val="115"/>
        </w:rPr>
        <w:t>algunos </w:t>
      </w:r>
      <w:r>
        <w:rPr>
          <w:w w:val="108"/>
        </w:rPr>
        <w:t>países</w:t>
      </w:r>
      <w:r>
        <w:rPr>
          <w:spacing w:val="16"/>
        </w:rPr>
        <w:t> </w:t>
      </w:r>
      <w:r>
        <w:rPr>
          <w:w w:val="112"/>
        </w:rPr>
        <w:t>con</w:t>
      </w:r>
      <w:r>
        <w:rPr>
          <w:spacing w:val="16"/>
        </w:rPr>
        <w:t> </w:t>
      </w:r>
      <w:r>
        <w:rPr>
          <w:w w:val="108"/>
        </w:rPr>
        <w:t>mayores</w:t>
      </w:r>
      <w:r>
        <w:rPr>
          <w:spacing w:val="16"/>
        </w:rPr>
        <w:t> </w:t>
      </w:r>
      <w:r>
        <w:rPr>
          <w:w w:val="107"/>
        </w:rPr>
        <w:t>retrasos</w:t>
      </w:r>
      <w:r>
        <w:rPr>
          <w:spacing w:val="16"/>
        </w:rPr>
        <w:t> </w:t>
      </w:r>
      <w:r>
        <w:rPr>
          <w:w w:val="107"/>
        </w:rPr>
        <w:t>de</w:t>
      </w:r>
      <w:r>
        <w:rPr>
          <w:spacing w:val="16"/>
        </w:rPr>
        <w:t> </w:t>
      </w:r>
      <w:r>
        <w:rPr>
          <w:w w:val="139"/>
        </w:rPr>
        <w:t>a</w:t>
      </w:r>
      <w:r>
        <w:rPr>
          <w:w w:val="111"/>
        </w:rPr>
        <w:t>mérica</w:t>
      </w:r>
      <w:r>
        <w:rPr>
          <w:spacing w:val="16"/>
        </w:rPr>
        <w:t> </w:t>
      </w:r>
      <w:r>
        <w:rPr>
          <w:w w:val="243"/>
        </w:rPr>
        <w:t>l</w:t>
      </w:r>
      <w:r>
        <w:rPr>
          <w:w w:val="113"/>
        </w:rPr>
        <w:t>atina.</w:t>
      </w:r>
      <w:r>
        <w:rPr>
          <w:spacing w:val="16"/>
        </w:rPr>
        <w:t> </w:t>
      </w:r>
      <w:r>
        <w:rPr>
          <w:w w:val="149"/>
        </w:rPr>
        <w:t>s</w:t>
      </w:r>
      <w:r>
        <w:rPr>
          <w:w w:val="110"/>
        </w:rPr>
        <w:t>egún</w:t>
      </w:r>
      <w:r>
        <w:rPr>
          <w:spacing w:val="16"/>
        </w:rPr>
        <w:t> </w:t>
      </w:r>
      <w:r>
        <w:rPr>
          <w:w w:val="112"/>
        </w:rPr>
        <w:t>un</w:t>
      </w:r>
      <w:r>
        <w:rPr>
          <w:spacing w:val="16"/>
        </w:rPr>
        <w:t> </w:t>
      </w:r>
      <w:r>
        <w:rPr>
          <w:w w:val="109"/>
        </w:rPr>
        <w:t>estudio</w:t>
      </w:r>
      <w:r>
        <w:rPr>
          <w:spacing w:val="16"/>
        </w:rPr>
        <w:t> </w:t>
      </w:r>
      <w:r>
        <w:rPr>
          <w:w w:val="104"/>
        </w:rPr>
        <w:t>r</w:t>
      </w:r>
      <w:r>
        <w:rPr>
          <w:spacing w:val="-1"/>
          <w:w w:val="104"/>
        </w:rPr>
        <w:t>e</w:t>
      </w:r>
      <w:r>
        <w:rPr>
          <w:w w:val="102"/>
        </w:rPr>
        <w:t>- </w:t>
      </w:r>
      <w:r>
        <w:rPr>
          <w:w w:val="115"/>
        </w:rPr>
        <w:t>ciente</w:t>
      </w:r>
      <w:r>
        <w:rPr>
          <w:spacing w:val="-14"/>
          <w:w w:val="115"/>
        </w:rPr>
        <w:t> </w:t>
      </w:r>
      <w:r>
        <w:rPr>
          <w:w w:val="115"/>
        </w:rPr>
        <w:t>de</w:t>
      </w:r>
      <w:r>
        <w:rPr>
          <w:spacing w:val="-14"/>
          <w:w w:val="115"/>
        </w:rPr>
        <w:t> </w:t>
      </w:r>
      <w:r>
        <w:rPr>
          <w:i/>
          <w:w w:val="115"/>
        </w:rPr>
        <w:t>The</w:t>
      </w:r>
      <w:r>
        <w:rPr>
          <w:i/>
          <w:spacing w:val="-14"/>
          <w:w w:val="115"/>
        </w:rPr>
        <w:t> </w:t>
      </w:r>
      <w:r>
        <w:rPr>
          <w:i/>
          <w:w w:val="115"/>
        </w:rPr>
        <w:t>opportunity</w:t>
      </w:r>
      <w:r>
        <w:rPr>
          <w:i/>
          <w:spacing w:val="-14"/>
          <w:w w:val="115"/>
        </w:rPr>
        <w:t> </w:t>
      </w:r>
      <w:r>
        <w:rPr>
          <w:i/>
          <w:w w:val="115"/>
        </w:rPr>
        <w:t>Nation</w:t>
      </w:r>
      <w:r>
        <w:rPr>
          <w:w w:val="115"/>
        </w:rPr>
        <w:t>,</w:t>
      </w:r>
      <w:r>
        <w:rPr>
          <w:spacing w:val="-14"/>
          <w:w w:val="115"/>
        </w:rPr>
        <w:t> </w:t>
      </w:r>
      <w:r>
        <w:rPr>
          <w:w w:val="115"/>
        </w:rPr>
        <w:t>en</w:t>
      </w:r>
      <w:r>
        <w:rPr>
          <w:spacing w:val="-14"/>
          <w:w w:val="115"/>
        </w:rPr>
        <w:t> </w:t>
      </w:r>
      <w:r>
        <w:rPr>
          <w:w w:val="115"/>
        </w:rPr>
        <w:t>el</w:t>
      </w:r>
      <w:r>
        <w:rPr>
          <w:spacing w:val="-14"/>
          <w:w w:val="115"/>
        </w:rPr>
        <w:t> </w:t>
      </w:r>
      <w:r>
        <w:rPr>
          <w:w w:val="115"/>
        </w:rPr>
        <w:t>país</w:t>
      </w:r>
      <w:r>
        <w:rPr>
          <w:spacing w:val="-14"/>
          <w:w w:val="115"/>
        </w:rPr>
        <w:t> </w:t>
      </w:r>
      <w:r>
        <w:rPr>
          <w:w w:val="115"/>
        </w:rPr>
        <w:t>cerca</w:t>
      </w:r>
      <w:r>
        <w:rPr>
          <w:spacing w:val="-14"/>
          <w:w w:val="115"/>
        </w:rPr>
        <w:t> </w:t>
      </w:r>
      <w:r>
        <w:rPr>
          <w:w w:val="115"/>
        </w:rPr>
        <w:t>de</w:t>
      </w:r>
      <w:r>
        <w:rPr>
          <w:spacing w:val="-14"/>
          <w:w w:val="115"/>
        </w:rPr>
        <w:t> </w:t>
      </w:r>
      <w:r>
        <w:rPr>
          <w:w w:val="115"/>
        </w:rPr>
        <w:t>6</w:t>
      </w:r>
      <w:r>
        <w:rPr>
          <w:spacing w:val="-14"/>
          <w:w w:val="115"/>
        </w:rPr>
        <w:t> </w:t>
      </w:r>
      <w:r>
        <w:rPr>
          <w:w w:val="115"/>
        </w:rPr>
        <w:t>millones</w:t>
      </w:r>
      <w:r>
        <w:rPr>
          <w:spacing w:val="-14"/>
          <w:w w:val="115"/>
        </w:rPr>
        <w:t> </w:t>
      </w:r>
      <w:r>
        <w:rPr>
          <w:w w:val="115"/>
        </w:rPr>
        <w:t>de</w:t>
      </w:r>
      <w:r>
        <w:rPr>
          <w:spacing w:val="-14"/>
          <w:w w:val="115"/>
        </w:rPr>
        <w:t> </w:t>
      </w:r>
      <w:r>
        <w:rPr>
          <w:w w:val="115"/>
        </w:rPr>
        <w:t>jó- venes</w:t>
      </w:r>
      <w:r>
        <w:rPr>
          <w:spacing w:val="-30"/>
          <w:w w:val="115"/>
        </w:rPr>
        <w:t> </w:t>
      </w:r>
      <w:r>
        <w:rPr>
          <w:w w:val="115"/>
        </w:rPr>
        <w:t>–alrededor</w:t>
      </w:r>
      <w:r>
        <w:rPr>
          <w:spacing w:val="-30"/>
          <w:w w:val="115"/>
        </w:rPr>
        <w:t> </w:t>
      </w:r>
      <w:r>
        <w:rPr>
          <w:w w:val="115"/>
        </w:rPr>
        <w:t>del</w:t>
      </w:r>
      <w:r>
        <w:rPr>
          <w:spacing w:val="-30"/>
          <w:w w:val="115"/>
        </w:rPr>
        <w:t> </w:t>
      </w:r>
      <w:r>
        <w:rPr>
          <w:w w:val="115"/>
        </w:rPr>
        <w:t>15</w:t>
      </w:r>
      <w:r>
        <w:rPr>
          <w:spacing w:val="-30"/>
          <w:w w:val="115"/>
        </w:rPr>
        <w:t> </w:t>
      </w:r>
      <w:r>
        <w:rPr>
          <w:w w:val="115"/>
        </w:rPr>
        <w:t>por</w:t>
      </w:r>
      <w:r>
        <w:rPr>
          <w:spacing w:val="-30"/>
          <w:w w:val="115"/>
        </w:rPr>
        <w:t> </w:t>
      </w:r>
      <w:r>
        <w:rPr>
          <w:w w:val="115"/>
        </w:rPr>
        <w:t>ciento</w:t>
      </w:r>
      <w:r>
        <w:rPr>
          <w:spacing w:val="-30"/>
          <w:w w:val="115"/>
        </w:rPr>
        <w:t> </w:t>
      </w:r>
      <w:r>
        <w:rPr>
          <w:w w:val="115"/>
        </w:rPr>
        <w:t>del</w:t>
      </w:r>
      <w:r>
        <w:rPr>
          <w:spacing w:val="-30"/>
          <w:w w:val="115"/>
        </w:rPr>
        <w:t> </w:t>
      </w:r>
      <w:r>
        <w:rPr>
          <w:w w:val="115"/>
        </w:rPr>
        <w:t>grupo</w:t>
      </w:r>
      <w:r>
        <w:rPr>
          <w:spacing w:val="-30"/>
          <w:w w:val="115"/>
        </w:rPr>
        <w:t> </w:t>
      </w:r>
      <w:r>
        <w:rPr>
          <w:w w:val="115"/>
        </w:rPr>
        <w:t>de</w:t>
      </w:r>
      <w:r>
        <w:rPr>
          <w:spacing w:val="-30"/>
          <w:w w:val="115"/>
        </w:rPr>
        <w:t> </w:t>
      </w:r>
      <w:r>
        <w:rPr>
          <w:w w:val="115"/>
        </w:rPr>
        <w:t>entre</w:t>
      </w:r>
      <w:r>
        <w:rPr>
          <w:spacing w:val="-30"/>
          <w:w w:val="115"/>
        </w:rPr>
        <w:t> </w:t>
      </w:r>
      <w:r>
        <w:rPr>
          <w:w w:val="115"/>
        </w:rPr>
        <w:t>16</w:t>
      </w:r>
      <w:r>
        <w:rPr>
          <w:spacing w:val="-30"/>
          <w:w w:val="115"/>
        </w:rPr>
        <w:t> </w:t>
      </w:r>
      <w:r>
        <w:rPr>
          <w:w w:val="115"/>
        </w:rPr>
        <w:t>y</w:t>
      </w:r>
      <w:r>
        <w:rPr>
          <w:spacing w:val="-30"/>
          <w:w w:val="115"/>
        </w:rPr>
        <w:t> </w:t>
      </w:r>
      <w:r>
        <w:rPr>
          <w:w w:val="115"/>
        </w:rPr>
        <w:t>24</w:t>
      </w:r>
      <w:r>
        <w:rPr>
          <w:spacing w:val="-30"/>
          <w:w w:val="115"/>
        </w:rPr>
        <w:t> </w:t>
      </w:r>
      <w:r>
        <w:rPr>
          <w:w w:val="115"/>
        </w:rPr>
        <w:t>años–</w:t>
      </w:r>
      <w:r>
        <w:rPr>
          <w:spacing w:val="-30"/>
          <w:w w:val="115"/>
        </w:rPr>
        <w:t> </w:t>
      </w:r>
      <w:r>
        <w:rPr>
          <w:w w:val="115"/>
        </w:rPr>
        <w:t>“ni estudia</w:t>
      </w:r>
      <w:r>
        <w:rPr>
          <w:spacing w:val="-12"/>
          <w:w w:val="115"/>
        </w:rPr>
        <w:t> </w:t>
      </w:r>
      <w:r>
        <w:rPr>
          <w:w w:val="115"/>
        </w:rPr>
        <w:t>ni</w:t>
      </w:r>
      <w:r>
        <w:rPr>
          <w:spacing w:val="-12"/>
          <w:w w:val="115"/>
        </w:rPr>
        <w:t> </w:t>
      </w:r>
      <w:r>
        <w:rPr>
          <w:w w:val="115"/>
        </w:rPr>
        <w:t>trabaja”</w:t>
      </w:r>
      <w:r>
        <w:rPr>
          <w:spacing w:val="-12"/>
          <w:w w:val="115"/>
        </w:rPr>
        <w:t> </w:t>
      </w:r>
      <w:r>
        <w:rPr>
          <w:w w:val="115"/>
        </w:rPr>
        <w:t>(</w:t>
      </w:r>
      <w:r>
        <w:rPr>
          <w:i/>
          <w:w w:val="115"/>
        </w:rPr>
        <w:t>El</w:t>
      </w:r>
      <w:r>
        <w:rPr>
          <w:i/>
          <w:spacing w:val="-12"/>
          <w:w w:val="115"/>
        </w:rPr>
        <w:t> </w:t>
      </w:r>
      <w:r>
        <w:rPr>
          <w:i/>
          <w:w w:val="115"/>
        </w:rPr>
        <w:t>País</w:t>
      </w:r>
      <w:r>
        <w:rPr>
          <w:w w:val="115"/>
        </w:rPr>
        <w:t>,</w:t>
      </w:r>
      <w:r>
        <w:rPr>
          <w:spacing w:val="-12"/>
          <w:w w:val="115"/>
        </w:rPr>
        <w:t> </w:t>
      </w:r>
      <w:r>
        <w:rPr>
          <w:w w:val="115"/>
        </w:rPr>
        <w:t>2013);</w:t>
      </w:r>
      <w:r>
        <w:rPr>
          <w:spacing w:val="-12"/>
          <w:w w:val="115"/>
        </w:rPr>
        <w:t> </w:t>
      </w:r>
      <w:r>
        <w:rPr>
          <w:w w:val="115"/>
        </w:rPr>
        <w:t>magnitud</w:t>
      </w:r>
      <w:r>
        <w:rPr>
          <w:spacing w:val="-12"/>
          <w:w w:val="115"/>
        </w:rPr>
        <w:t> </w:t>
      </w:r>
      <w:r>
        <w:rPr>
          <w:w w:val="115"/>
        </w:rPr>
        <w:t>muy</w:t>
      </w:r>
      <w:r>
        <w:rPr>
          <w:spacing w:val="-12"/>
          <w:w w:val="115"/>
        </w:rPr>
        <w:t> </w:t>
      </w:r>
      <w:r>
        <w:rPr>
          <w:w w:val="115"/>
        </w:rPr>
        <w:t>similar</w:t>
      </w:r>
      <w:r>
        <w:rPr>
          <w:spacing w:val="-12"/>
          <w:w w:val="115"/>
        </w:rPr>
        <w:t> </w:t>
      </w:r>
      <w:r>
        <w:rPr>
          <w:w w:val="115"/>
        </w:rPr>
        <w:t>o</w:t>
      </w:r>
      <w:r>
        <w:rPr>
          <w:spacing w:val="-12"/>
          <w:w w:val="115"/>
        </w:rPr>
        <w:t> </w:t>
      </w:r>
      <w:r>
        <w:rPr>
          <w:w w:val="115"/>
        </w:rPr>
        <w:t>cercana</w:t>
      </w:r>
      <w:r>
        <w:rPr>
          <w:spacing w:val="-12"/>
          <w:w w:val="115"/>
        </w:rPr>
        <w:t> </w:t>
      </w:r>
      <w:r>
        <w:rPr>
          <w:w w:val="115"/>
        </w:rPr>
        <w:t>a la presentada por países como El </w:t>
      </w:r>
      <w:r>
        <w:rPr>
          <w:spacing w:val="-3"/>
          <w:w w:val="115"/>
        </w:rPr>
        <w:t>salvador, </w:t>
      </w:r>
      <w:r>
        <w:rPr>
          <w:w w:val="115"/>
        </w:rPr>
        <w:t>Guatemala, Nicaragua y Honduras,</w:t>
      </w:r>
      <w:r>
        <w:rPr>
          <w:spacing w:val="-23"/>
          <w:w w:val="115"/>
        </w:rPr>
        <w:t> </w:t>
      </w:r>
      <w:r>
        <w:rPr>
          <w:w w:val="115"/>
        </w:rPr>
        <w:t>en</w:t>
      </w:r>
      <w:r>
        <w:rPr>
          <w:spacing w:val="-23"/>
          <w:w w:val="115"/>
        </w:rPr>
        <w:t> </w:t>
      </w:r>
      <w:r>
        <w:rPr>
          <w:w w:val="115"/>
        </w:rPr>
        <w:t>los</w:t>
      </w:r>
      <w:r>
        <w:rPr>
          <w:spacing w:val="-23"/>
          <w:w w:val="115"/>
        </w:rPr>
        <w:t> </w:t>
      </w:r>
      <w:r>
        <w:rPr>
          <w:w w:val="115"/>
        </w:rPr>
        <w:t>que</w:t>
      </w:r>
      <w:r>
        <w:rPr>
          <w:spacing w:val="-23"/>
          <w:w w:val="115"/>
        </w:rPr>
        <w:t> </w:t>
      </w:r>
      <w:r>
        <w:rPr>
          <w:w w:val="115"/>
        </w:rPr>
        <w:t>entre</w:t>
      </w:r>
      <w:r>
        <w:rPr>
          <w:spacing w:val="-23"/>
          <w:w w:val="115"/>
        </w:rPr>
        <w:t> </w:t>
      </w:r>
      <w:r>
        <w:rPr>
          <w:w w:val="115"/>
        </w:rPr>
        <w:t>20</w:t>
      </w:r>
      <w:r>
        <w:rPr>
          <w:spacing w:val="-23"/>
          <w:w w:val="115"/>
        </w:rPr>
        <w:t> </w:t>
      </w:r>
      <w:r>
        <w:rPr>
          <w:w w:val="115"/>
        </w:rPr>
        <w:t>y</w:t>
      </w:r>
      <w:r>
        <w:rPr>
          <w:spacing w:val="-23"/>
          <w:w w:val="115"/>
        </w:rPr>
        <w:t> </w:t>
      </w:r>
      <w:r>
        <w:rPr>
          <w:w w:val="115"/>
        </w:rPr>
        <w:t>25</w:t>
      </w:r>
      <w:r>
        <w:rPr>
          <w:spacing w:val="-23"/>
          <w:w w:val="115"/>
        </w:rPr>
        <w:t> </w:t>
      </w:r>
      <w:r>
        <w:rPr>
          <w:w w:val="115"/>
        </w:rPr>
        <w:t>por</w:t>
      </w:r>
      <w:r>
        <w:rPr>
          <w:spacing w:val="-23"/>
          <w:w w:val="115"/>
        </w:rPr>
        <w:t> </w:t>
      </w:r>
      <w:r>
        <w:rPr>
          <w:w w:val="115"/>
        </w:rPr>
        <w:t>ciento</w:t>
      </w:r>
      <w:r>
        <w:rPr>
          <w:spacing w:val="-23"/>
          <w:w w:val="115"/>
        </w:rPr>
        <w:t> </w:t>
      </w:r>
      <w:r>
        <w:rPr>
          <w:w w:val="115"/>
        </w:rPr>
        <w:t>de</w:t>
      </w:r>
      <w:r>
        <w:rPr>
          <w:spacing w:val="-23"/>
          <w:w w:val="115"/>
        </w:rPr>
        <w:t> </w:t>
      </w:r>
      <w:r>
        <w:rPr>
          <w:w w:val="115"/>
        </w:rPr>
        <w:t>los</w:t>
      </w:r>
      <w:r>
        <w:rPr>
          <w:spacing w:val="-23"/>
          <w:w w:val="115"/>
        </w:rPr>
        <w:t> </w:t>
      </w:r>
      <w:r>
        <w:rPr>
          <w:w w:val="115"/>
        </w:rPr>
        <w:t>jóvenes</w:t>
      </w:r>
      <w:r>
        <w:rPr>
          <w:spacing w:val="-23"/>
          <w:w w:val="115"/>
        </w:rPr>
        <w:t> </w:t>
      </w:r>
      <w:r>
        <w:rPr>
          <w:w w:val="115"/>
        </w:rPr>
        <w:t>de</w:t>
      </w:r>
      <w:r>
        <w:rPr>
          <w:spacing w:val="-23"/>
          <w:w w:val="115"/>
        </w:rPr>
        <w:t> </w:t>
      </w:r>
      <w:r>
        <w:rPr>
          <w:w w:val="115"/>
        </w:rPr>
        <w:t>15</w:t>
      </w:r>
      <w:r>
        <w:rPr>
          <w:spacing w:val="-23"/>
          <w:w w:val="115"/>
        </w:rPr>
        <w:t> </w:t>
      </w:r>
      <w:r>
        <w:rPr>
          <w:w w:val="115"/>
        </w:rPr>
        <w:t>a</w:t>
      </w:r>
      <w:r>
        <w:rPr>
          <w:spacing w:val="-23"/>
          <w:w w:val="115"/>
        </w:rPr>
        <w:t> </w:t>
      </w:r>
      <w:r>
        <w:rPr>
          <w:w w:val="115"/>
        </w:rPr>
        <w:t>24 años ni estudia ni trabaja </w:t>
      </w:r>
      <w:r>
        <w:rPr>
          <w:spacing w:val="-3"/>
          <w:w w:val="115"/>
        </w:rPr>
        <w:t>(CEPal,</w:t>
      </w:r>
      <w:r>
        <w:rPr>
          <w:spacing w:val="10"/>
          <w:w w:val="115"/>
        </w:rPr>
        <w:t> </w:t>
      </w:r>
      <w:r>
        <w:rPr>
          <w:w w:val="115"/>
        </w:rPr>
        <w:t>2014).</w:t>
      </w:r>
    </w:p>
    <w:p>
      <w:pPr>
        <w:spacing w:after="0" w:line="252" w:lineRule="auto"/>
        <w:jc w:val="both"/>
        <w:sectPr>
          <w:footerReference w:type="default" r:id="rId224"/>
          <w:footerReference w:type="even" r:id="rId225"/>
          <w:pgSz w:w="8790" w:h="12760"/>
          <w:pgMar w:footer="725" w:header="695" w:top="880" w:bottom="920" w:left="1200" w:right="900"/>
        </w:sectPr>
      </w:pPr>
    </w:p>
    <w:p>
      <w:pPr>
        <w:pStyle w:val="BodyText"/>
        <w:spacing w:before="10"/>
        <w:rPr>
          <w:sz w:val="27"/>
        </w:rPr>
      </w:pPr>
    </w:p>
    <w:p>
      <w:pPr>
        <w:spacing w:before="78"/>
        <w:ind w:left="921" w:right="1648" w:firstLine="0"/>
        <w:jc w:val="center"/>
        <w:rPr>
          <w:rFonts w:ascii="Arial" w:hAnsi="Arial"/>
          <w:b/>
          <w:sz w:val="17"/>
        </w:rPr>
      </w:pPr>
      <w:r>
        <w:rPr>
          <w:rFonts w:ascii="Arial" w:hAnsi="Arial"/>
          <w:b/>
          <w:w w:val="85"/>
          <w:sz w:val="17"/>
        </w:rPr>
        <w:t>Gráfico 1</w:t>
      </w:r>
    </w:p>
    <w:p>
      <w:pPr>
        <w:spacing w:line="249" w:lineRule="auto" w:before="8"/>
        <w:ind w:left="921" w:right="1649" w:firstLine="0"/>
        <w:jc w:val="center"/>
        <w:rPr>
          <w:rFonts w:ascii="Arial" w:hAnsi="Arial"/>
          <w:sz w:val="17"/>
        </w:rPr>
      </w:pPr>
      <w:r>
        <w:rPr/>
        <w:pict>
          <v:group style="position:absolute;margin-left:82.605904pt;margin-top:37.818924pt;width:306.4pt;height:189.6pt;mso-position-horizontal-relative:page;mso-position-vertical-relative:paragraph;z-index:3712" coordorigin="1652,756" coordsize="6128,3792">
            <v:rect style="position:absolute;left:1696;top:764;width:6075;height:3742" filled="false" stroked="true" strokeweight=".79pt" strokecolor="#939597"/>
            <v:line style="position:absolute" from="1696,4507" to="1696,764" stroked="true" strokeweight=".198pt" strokecolor="#000000"/>
            <v:shape style="position:absolute;left:0;top:7518;width:42;height:3742" coordorigin="0,7518" coordsize="42,3742" path="m1654,4507l1696,4507m1654,3758l1696,3758m1654,3008l1696,3008m1654,2262l1696,2262m1654,1511l1696,1511m1654,765l1696,765e" filled="false" stroked="true" strokeweight=".198pt" strokecolor="#000000">
              <v:path arrowok="t"/>
            </v:shape>
            <v:line style="position:absolute" from="1696,4507" to="7771,4507" stroked="true" strokeweight=".198pt" strokecolor="#000000"/>
            <v:shape style="position:absolute;left:0;top:11260;width:5941;height:39" coordorigin="0,11260" coordsize="5941,39" path="m1696,4508l1696,4546m2237,4508l2237,4546m2777,4508l2777,4546m3314,4508l3314,4546m3855,4508l3855,4546m4396,4508l4396,4546m4937,4508l4937,4546m5477,4508l5477,4546m6014,4508l6014,4546m6555,4508l6555,4546m7096,4508l7096,4546m7636,4508l7636,4546e" filled="false" stroked="true" strokeweight=".198pt" strokecolor="#000000">
              <v:path arrowok="t"/>
            </v:shape>
            <v:shape style="position:absolute;left:0;top:9615;width:5940;height:2563" coordorigin="0,9615" coordsize="5940,2563" path="m1765,2673l1898,2654m1898,2654l2035,2300m2035,2300l2168,1942m2168,1942l2301,1717m2301,1717l2439,1774m2439,1774l2572,1645m2572,1645l2709,1382m2709,1382l2842,1100m2842,1100l2979,1028m2979,1028l3113,1119m3113,1119l3250,1195m3250,1195l3383,1287m3383,1287l3520,1306m3520,1306l3653,1195m3653,1195l3787,1081m3787,1081l3924,1028m3924,1028l4057,1062m4057,1062l4194,1062m4194,1062l4327,1028m4327,1028l4464,1271m4464,1271l4598,1511m4598,1511l4735,1492m4735,1492l4868,1492m4868,1492l5005,1439m5005,1439l5138,1458m5138,1458l5272,1607m5272,1607l5409,1626m5409,1626l5542,1530m5542,1530l5679,1607m5679,1607l5812,1549m5812,1549l5950,1793m5950,1793l6083,2018m6083,2018l6220,2338m6220,2338l6353,2429m6353,2429l6490,2486m6490,2486l6624,2524m6624,2524l6757,2749m6757,2749l6894,2859m6894,2859l7027,3217m7027,3217l7164,3533m7164,3533l7298,3571m7298,3571l7435,3590m7435,3590l7568,3571m7568,3571l7704,3571e" filled="false" stroked="true" strokeweight="1.58pt" strokecolor="#000000">
              <v:path arrowok="t"/>
            </v:shape>
            <v:shape style="position:absolute;left:1733;top:2659;width:65;height:27" type="#_x0000_t75" stroked="false">
              <v:imagedata r:id="rId226" o:title=""/>
            </v:shape>
            <v:shape style="position:absolute;left:1866;top:2640;width:65;height:27" type="#_x0000_t75" stroked="false">
              <v:imagedata r:id="rId226" o:title=""/>
            </v:shape>
            <v:shape style="position:absolute;left:2003;top:2286;width:65;height:27" type="#_x0000_t75" stroked="false">
              <v:imagedata r:id="rId226" o:title=""/>
            </v:shape>
            <v:shape style="position:absolute;left:2136;top:1928;width:65;height:27" type="#_x0000_t75" stroked="false">
              <v:imagedata r:id="rId226" o:title=""/>
            </v:shape>
            <v:shape style="position:absolute;left:2270;top:1703;width:65;height:27" type="#_x0000_t75" stroked="false">
              <v:imagedata r:id="rId226" o:title=""/>
            </v:shape>
            <v:shape style="position:absolute;left:2407;top:1760;width:65;height:27" type="#_x0000_t75" stroked="false">
              <v:imagedata r:id="rId226" o:title=""/>
            </v:shape>
            <v:shape style="position:absolute;left:2540;top:1631;width:65;height:27" type="#_x0000_t75" stroked="false">
              <v:imagedata r:id="rId226" o:title=""/>
            </v:shape>
            <v:shape style="position:absolute;left:2677;top:1368;width:65;height:27" type="#_x0000_t75" stroked="false">
              <v:imagedata r:id="rId226" o:title=""/>
            </v:shape>
            <v:shape style="position:absolute;left:2810;top:1086;width:65;height:27" type="#_x0000_t75" stroked="false">
              <v:imagedata r:id="rId226" o:title=""/>
            </v:shape>
            <v:shape style="position:absolute;left:2947;top:1014;width:65;height:27" type="#_x0000_t75" stroked="false">
              <v:imagedata r:id="rId226" o:title=""/>
            </v:shape>
            <v:shape style="position:absolute;left:3081;top:1105;width:65;height:27" type="#_x0000_t75" stroked="false">
              <v:imagedata r:id="rId226" o:title=""/>
            </v:shape>
            <v:shape style="position:absolute;left:3218;top:1181;width:65;height:27" type="#_x0000_t75" stroked="false">
              <v:imagedata r:id="rId226" o:title=""/>
            </v:shape>
            <v:shape style="position:absolute;left:3351;top:1273;width:65;height:27" type="#_x0000_t75" stroked="false">
              <v:imagedata r:id="rId226" o:title=""/>
            </v:shape>
            <v:shape style="position:absolute;left:3488;top:1292;width:65;height:27" type="#_x0000_t75" stroked="false">
              <v:imagedata r:id="rId226" o:title=""/>
            </v:shape>
            <v:shape style="position:absolute;left:3621;top:1181;width:65;height:27" type="#_x0000_t75" stroked="false">
              <v:imagedata r:id="rId226" o:title=""/>
            </v:shape>
            <v:shape style="position:absolute;left:3755;top:1067;width:65;height:27" type="#_x0000_t75" stroked="false">
              <v:imagedata r:id="rId226" o:title=""/>
            </v:shape>
            <v:shape style="position:absolute;left:3892;top:1014;width:65;height:27" type="#_x0000_t75" stroked="false">
              <v:imagedata r:id="rId226" o:title=""/>
            </v:shape>
            <v:shape style="position:absolute;left:4025;top:1048;width:65;height:27" type="#_x0000_t75" stroked="false">
              <v:imagedata r:id="rId226" o:title=""/>
            </v:shape>
            <v:shape style="position:absolute;left:4162;top:1048;width:65;height:27" type="#_x0000_t75" stroked="false">
              <v:imagedata r:id="rId226" o:title=""/>
            </v:shape>
            <v:shape style="position:absolute;left:4295;top:1014;width:65;height:27" type="#_x0000_t75" stroked="false">
              <v:imagedata r:id="rId226" o:title=""/>
            </v:shape>
            <v:shape style="position:absolute;left:4433;top:1257;width:65;height:27" type="#_x0000_t75" stroked="false">
              <v:imagedata r:id="rId226" o:title=""/>
            </v:shape>
            <v:shape style="position:absolute;left:4566;top:1497;width:65;height:27" type="#_x0000_t75" stroked="false">
              <v:imagedata r:id="rId226" o:title=""/>
            </v:shape>
            <v:shape style="position:absolute;left:4703;top:1478;width:65;height:27" type="#_x0000_t75" stroked="false">
              <v:imagedata r:id="rId226" o:title=""/>
            </v:shape>
            <v:shape style="position:absolute;left:4836;top:1478;width:65;height:27" type="#_x0000_t75" stroked="false">
              <v:imagedata r:id="rId226" o:title=""/>
            </v:shape>
            <v:shape style="position:absolute;left:4973;top:1425;width:65;height:27" type="#_x0000_t75" stroked="false">
              <v:imagedata r:id="rId226" o:title=""/>
            </v:shape>
            <v:shape style="position:absolute;left:5107;top:1444;width:65;height:27" type="#_x0000_t75" stroked="false">
              <v:imagedata r:id="rId226" o:title=""/>
            </v:shape>
            <v:shape style="position:absolute;left:5240;top:1593;width:65;height:27" type="#_x0000_t75" stroked="false">
              <v:imagedata r:id="rId226" o:title=""/>
            </v:shape>
            <v:shape style="position:absolute;left:5377;top:1612;width:65;height:27" type="#_x0000_t75" stroked="false">
              <v:imagedata r:id="rId226" o:title=""/>
            </v:shape>
            <v:shape style="position:absolute;left:5510;top:1516;width:65;height:27" type="#_x0000_t75" stroked="false">
              <v:imagedata r:id="rId226" o:title=""/>
            </v:shape>
            <v:shape style="position:absolute;left:5647;top:1593;width:65;height:27" type="#_x0000_t75" stroked="false">
              <v:imagedata r:id="rId226" o:title=""/>
            </v:shape>
            <v:shape style="position:absolute;left:5781;top:1535;width:65;height:27" type="#_x0000_t75" stroked="false">
              <v:imagedata r:id="rId226" o:title=""/>
            </v:shape>
            <v:shape style="position:absolute;left:5918;top:1779;width:65;height:27" type="#_x0000_t75" stroked="false">
              <v:imagedata r:id="rId226" o:title=""/>
            </v:shape>
            <v:shape style="position:absolute;left:6051;top:2004;width:65;height:27" type="#_x0000_t75" stroked="false">
              <v:imagedata r:id="rId226" o:title=""/>
            </v:shape>
            <v:shape style="position:absolute;left:6188;top:2324;width:65;height:27" type="#_x0000_t75" stroked="false">
              <v:imagedata r:id="rId226" o:title=""/>
            </v:shape>
            <v:shape style="position:absolute;left:6321;top:2415;width:65;height:27" type="#_x0000_t75" stroked="false">
              <v:imagedata r:id="rId226" o:title=""/>
            </v:shape>
            <v:shape style="position:absolute;left:6458;top:2472;width:65;height:27" type="#_x0000_t75" stroked="false">
              <v:imagedata r:id="rId226" o:title=""/>
            </v:shape>
            <v:shape style="position:absolute;left:6592;top:2510;width:65;height:27" type="#_x0000_t75" stroked="false">
              <v:imagedata r:id="rId226" o:title=""/>
            </v:shape>
            <v:shape style="position:absolute;left:6725;top:2735;width:65;height:27" type="#_x0000_t75" stroked="false">
              <v:imagedata r:id="rId226" o:title=""/>
            </v:shape>
            <v:shape style="position:absolute;left:6862;top:2845;width:65;height:27" type="#_x0000_t75" stroked="false">
              <v:imagedata r:id="rId226" o:title=""/>
            </v:shape>
            <v:shape style="position:absolute;left:6995;top:3203;width:65;height:27" type="#_x0000_t75" stroked="false">
              <v:imagedata r:id="rId226" o:title=""/>
            </v:shape>
            <v:shape style="position:absolute;left:7132;top:3519;width:65;height:27" type="#_x0000_t75" stroked="false">
              <v:imagedata r:id="rId226" o:title=""/>
            </v:shape>
            <v:shape style="position:absolute;left:7266;top:3557;width:65;height:27" type="#_x0000_t75" stroked="false">
              <v:imagedata r:id="rId226" o:title=""/>
            </v:shape>
            <v:shape style="position:absolute;left:7403;top:3577;width:65;height:27" type="#_x0000_t75" stroked="false">
              <v:imagedata r:id="rId226" o:title=""/>
            </v:shape>
            <v:shape style="position:absolute;left:7536;top:3557;width:65;height:27" type="#_x0000_t75" stroked="false">
              <v:imagedata r:id="rId226" o:title=""/>
            </v:shape>
            <v:shape style="position:absolute;left:7673;top:3557;width:65;height:27" type="#_x0000_t75" stroked="false">
              <v:imagedata r:id="rId226" o:title=""/>
            </v:shape>
            <v:shape style="position:absolute;left:0;top:10003;width:5940;height:1291" coordorigin="0,10003" coordsize="5940,1291" path="m1765,2562l1898,2597m1898,2597l2035,2562m2035,2562l2168,2486m2168,2486l2301,2391m2301,2391l2439,2410m2439,2410l2572,2338m2572,2338l2709,2204m2709,2204l2842,2037m2842,2037l2979,1942m2979,1942l3113,1923m3113,1923l3250,1907m3250,1907l3383,1888m3383,1888l3520,1888m3520,1888l3653,1812m3653,1812l3787,1736m3787,1736l3924,1645m3924,1645l4057,1587m4057,1587l4194,1530m4194,1530l4327,1420m4327,1420l4464,1420m4464,1420l4598,1477m4598,1477l4735,1439m4735,1439l4868,1458m4868,1458l5005,1401m5005,1401l5138,1401m5138,1401l5272,1363m5272,1363l5409,1306m5409,1306l5542,1306m5542,1306l5679,1306m5679,1306l5812,1306m5812,1306l5950,1363m5950,1363l6083,1401m6083,1401l6220,1477m6220,1477l6353,1511m6353,1511l6490,1511m6490,1511l6624,1477m6624,1477l6757,1511m6757,1511l6894,1511m6894,1511l7027,1626m7027,1626l7164,1755m7164,1755l7298,1869m7298,1869l7435,1942m7435,1942l7568,2037m7568,2037l7704,2094e" filled="false" stroked="true" strokeweight=".79pt" strokecolor="#000000">
              <v:path arrowok="t"/>
            </v:shape>
            <w10:wrap type="none"/>
          </v:group>
        </w:pict>
      </w:r>
      <w:r>
        <w:rPr>
          <w:rFonts w:ascii="Arial" w:hAnsi="Arial"/>
          <w:w w:val="85"/>
          <w:sz w:val="17"/>
        </w:rPr>
        <w:t>Estados</w:t>
      </w:r>
      <w:r>
        <w:rPr>
          <w:rFonts w:ascii="Arial" w:hAnsi="Arial"/>
          <w:spacing w:val="-12"/>
          <w:w w:val="85"/>
          <w:sz w:val="17"/>
        </w:rPr>
        <w:t> </w:t>
      </w:r>
      <w:r>
        <w:rPr>
          <w:rFonts w:ascii="Arial" w:hAnsi="Arial"/>
          <w:w w:val="85"/>
          <w:sz w:val="17"/>
        </w:rPr>
        <w:t>Unidos.</w:t>
      </w:r>
      <w:r>
        <w:rPr>
          <w:rFonts w:ascii="Arial" w:hAnsi="Arial"/>
          <w:spacing w:val="-16"/>
          <w:w w:val="85"/>
          <w:sz w:val="17"/>
        </w:rPr>
        <w:t> </w:t>
      </w:r>
      <w:r>
        <w:rPr>
          <w:rFonts w:ascii="Arial" w:hAnsi="Arial"/>
          <w:w w:val="85"/>
          <w:sz w:val="17"/>
        </w:rPr>
        <w:t>Evolución</w:t>
      </w:r>
      <w:r>
        <w:rPr>
          <w:rFonts w:ascii="Arial" w:hAnsi="Arial"/>
          <w:spacing w:val="-12"/>
          <w:w w:val="85"/>
          <w:sz w:val="17"/>
        </w:rPr>
        <w:t> </w:t>
      </w:r>
      <w:r>
        <w:rPr>
          <w:rFonts w:ascii="Arial" w:hAnsi="Arial"/>
          <w:w w:val="85"/>
          <w:sz w:val="17"/>
        </w:rPr>
        <w:t>de</w:t>
      </w:r>
      <w:r>
        <w:rPr>
          <w:rFonts w:ascii="Arial" w:hAnsi="Arial"/>
          <w:spacing w:val="-12"/>
          <w:w w:val="85"/>
          <w:sz w:val="17"/>
        </w:rPr>
        <w:t> </w:t>
      </w:r>
      <w:r>
        <w:rPr>
          <w:rFonts w:ascii="Arial" w:hAnsi="Arial"/>
          <w:w w:val="85"/>
          <w:sz w:val="17"/>
        </w:rPr>
        <w:t>la</w:t>
      </w:r>
      <w:r>
        <w:rPr>
          <w:rFonts w:ascii="Arial" w:hAnsi="Arial"/>
          <w:spacing w:val="-12"/>
          <w:w w:val="85"/>
          <w:sz w:val="17"/>
        </w:rPr>
        <w:t> </w:t>
      </w:r>
      <w:r>
        <w:rPr>
          <w:rFonts w:ascii="Arial" w:hAnsi="Arial"/>
          <w:w w:val="85"/>
          <w:sz w:val="17"/>
        </w:rPr>
        <w:t>tasa</w:t>
      </w:r>
      <w:r>
        <w:rPr>
          <w:rFonts w:ascii="Arial" w:hAnsi="Arial"/>
          <w:spacing w:val="-12"/>
          <w:w w:val="85"/>
          <w:sz w:val="17"/>
        </w:rPr>
        <w:t> </w:t>
      </w:r>
      <w:r>
        <w:rPr>
          <w:rFonts w:ascii="Arial" w:hAnsi="Arial"/>
          <w:w w:val="85"/>
          <w:sz w:val="17"/>
        </w:rPr>
        <w:t>de</w:t>
      </w:r>
      <w:r>
        <w:rPr>
          <w:rFonts w:ascii="Arial" w:hAnsi="Arial"/>
          <w:spacing w:val="-12"/>
          <w:w w:val="85"/>
          <w:sz w:val="17"/>
        </w:rPr>
        <w:t> </w:t>
      </w:r>
      <w:r>
        <w:rPr>
          <w:rFonts w:ascii="Arial" w:hAnsi="Arial"/>
          <w:w w:val="85"/>
          <w:sz w:val="17"/>
        </w:rPr>
        <w:t>participación</w:t>
      </w:r>
      <w:r>
        <w:rPr>
          <w:rFonts w:ascii="Arial" w:hAnsi="Arial"/>
          <w:spacing w:val="-12"/>
          <w:w w:val="85"/>
          <w:sz w:val="17"/>
        </w:rPr>
        <w:t> </w:t>
      </w:r>
      <w:r>
        <w:rPr>
          <w:rFonts w:ascii="Arial" w:hAnsi="Arial"/>
          <w:w w:val="85"/>
          <w:sz w:val="17"/>
        </w:rPr>
        <w:t>de</w:t>
      </w:r>
      <w:r>
        <w:rPr>
          <w:rFonts w:ascii="Arial" w:hAnsi="Arial"/>
          <w:spacing w:val="-12"/>
          <w:w w:val="85"/>
          <w:sz w:val="17"/>
        </w:rPr>
        <w:t> </w:t>
      </w:r>
      <w:r>
        <w:rPr>
          <w:rFonts w:ascii="Arial" w:hAnsi="Arial"/>
          <w:w w:val="85"/>
          <w:sz w:val="17"/>
        </w:rPr>
        <w:t>los</w:t>
      </w:r>
      <w:r>
        <w:rPr>
          <w:rFonts w:ascii="Arial" w:hAnsi="Arial"/>
          <w:spacing w:val="-12"/>
          <w:w w:val="85"/>
          <w:sz w:val="17"/>
        </w:rPr>
        <w:t> </w:t>
      </w:r>
      <w:r>
        <w:rPr>
          <w:rFonts w:ascii="Arial" w:hAnsi="Arial"/>
          <w:w w:val="85"/>
          <w:sz w:val="17"/>
        </w:rPr>
        <w:t>jóvenes</w:t>
      </w:r>
      <w:r>
        <w:rPr>
          <w:rFonts w:ascii="Arial" w:hAnsi="Arial"/>
          <w:spacing w:val="-12"/>
          <w:w w:val="85"/>
          <w:sz w:val="17"/>
        </w:rPr>
        <w:t> </w:t>
      </w:r>
      <w:r>
        <w:rPr>
          <w:rFonts w:ascii="Arial" w:hAnsi="Arial"/>
          <w:w w:val="85"/>
          <w:sz w:val="17"/>
        </w:rPr>
        <w:t>de</w:t>
      </w:r>
      <w:r>
        <w:rPr>
          <w:rFonts w:ascii="Arial" w:hAnsi="Arial"/>
          <w:spacing w:val="-12"/>
          <w:w w:val="85"/>
          <w:sz w:val="17"/>
        </w:rPr>
        <w:t> </w:t>
      </w:r>
      <w:r>
        <w:rPr>
          <w:rFonts w:ascii="Arial" w:hAnsi="Arial"/>
          <w:w w:val="85"/>
          <w:sz w:val="17"/>
        </w:rPr>
        <w:t>16</w:t>
      </w:r>
      <w:r>
        <w:rPr>
          <w:rFonts w:ascii="Arial" w:hAnsi="Arial"/>
          <w:spacing w:val="-12"/>
          <w:w w:val="85"/>
          <w:sz w:val="17"/>
        </w:rPr>
        <w:t> </w:t>
      </w:r>
      <w:r>
        <w:rPr>
          <w:rFonts w:ascii="Arial" w:hAnsi="Arial"/>
          <w:w w:val="85"/>
          <w:sz w:val="17"/>
        </w:rPr>
        <w:t>a</w:t>
      </w:r>
      <w:r>
        <w:rPr>
          <w:rFonts w:ascii="Arial" w:hAnsi="Arial"/>
          <w:spacing w:val="-12"/>
          <w:w w:val="85"/>
          <w:sz w:val="17"/>
        </w:rPr>
        <w:t> </w:t>
      </w:r>
      <w:r>
        <w:rPr>
          <w:rFonts w:ascii="Arial" w:hAnsi="Arial"/>
          <w:w w:val="85"/>
          <w:sz w:val="17"/>
        </w:rPr>
        <w:t>24</w:t>
      </w:r>
      <w:r>
        <w:rPr>
          <w:rFonts w:ascii="Arial" w:hAnsi="Arial"/>
          <w:spacing w:val="-12"/>
          <w:w w:val="85"/>
          <w:sz w:val="17"/>
        </w:rPr>
        <w:t> </w:t>
      </w:r>
      <w:r>
        <w:rPr>
          <w:rFonts w:ascii="Arial" w:hAnsi="Arial"/>
          <w:w w:val="85"/>
          <w:sz w:val="17"/>
        </w:rPr>
        <w:t>años </w:t>
      </w:r>
      <w:r>
        <w:rPr>
          <w:rFonts w:ascii="Arial" w:hAnsi="Arial"/>
          <w:w w:val="90"/>
          <w:sz w:val="17"/>
        </w:rPr>
        <w:t>y</w:t>
      </w:r>
      <w:r>
        <w:rPr>
          <w:rFonts w:ascii="Arial" w:hAnsi="Arial"/>
          <w:spacing w:val="-25"/>
          <w:w w:val="90"/>
          <w:sz w:val="17"/>
        </w:rPr>
        <w:t> </w:t>
      </w:r>
      <w:r>
        <w:rPr>
          <w:rFonts w:ascii="Arial" w:hAnsi="Arial"/>
          <w:w w:val="90"/>
          <w:sz w:val="17"/>
        </w:rPr>
        <w:t>la</w:t>
      </w:r>
      <w:r>
        <w:rPr>
          <w:rFonts w:ascii="Arial" w:hAnsi="Arial"/>
          <w:spacing w:val="-25"/>
          <w:w w:val="90"/>
          <w:sz w:val="17"/>
        </w:rPr>
        <w:t> </w:t>
      </w:r>
      <w:r>
        <w:rPr>
          <w:rFonts w:ascii="Arial" w:hAnsi="Arial"/>
          <w:w w:val="90"/>
          <w:sz w:val="17"/>
        </w:rPr>
        <w:t>del</w:t>
      </w:r>
      <w:r>
        <w:rPr>
          <w:rFonts w:ascii="Arial" w:hAnsi="Arial"/>
          <w:spacing w:val="-25"/>
          <w:w w:val="90"/>
          <w:sz w:val="17"/>
        </w:rPr>
        <w:t> </w:t>
      </w:r>
      <w:r>
        <w:rPr>
          <w:rFonts w:ascii="Arial" w:hAnsi="Arial"/>
          <w:w w:val="90"/>
          <w:sz w:val="17"/>
        </w:rPr>
        <w:t>total</w:t>
      </w:r>
      <w:r>
        <w:rPr>
          <w:rFonts w:ascii="Arial" w:hAnsi="Arial"/>
          <w:spacing w:val="-25"/>
          <w:w w:val="90"/>
          <w:sz w:val="17"/>
        </w:rPr>
        <w:t> </w:t>
      </w:r>
      <w:r>
        <w:rPr>
          <w:rFonts w:ascii="Arial" w:hAnsi="Arial"/>
          <w:w w:val="90"/>
          <w:sz w:val="17"/>
        </w:rPr>
        <w:t>los</w:t>
      </w:r>
      <w:r>
        <w:rPr>
          <w:rFonts w:ascii="Arial" w:hAnsi="Arial"/>
          <w:spacing w:val="-25"/>
          <w:w w:val="90"/>
          <w:sz w:val="17"/>
        </w:rPr>
        <w:t> </w:t>
      </w:r>
      <w:r>
        <w:rPr>
          <w:rFonts w:ascii="Arial" w:hAnsi="Arial"/>
          <w:w w:val="90"/>
          <w:sz w:val="17"/>
        </w:rPr>
        <w:t>trabajadores</w:t>
      </w:r>
      <w:r>
        <w:rPr>
          <w:rFonts w:ascii="Arial" w:hAnsi="Arial"/>
          <w:spacing w:val="-25"/>
          <w:w w:val="90"/>
          <w:sz w:val="17"/>
        </w:rPr>
        <w:t> </w:t>
      </w:r>
      <w:r>
        <w:rPr>
          <w:rFonts w:ascii="Arial" w:hAnsi="Arial"/>
          <w:w w:val="90"/>
          <w:sz w:val="17"/>
        </w:rPr>
        <w:t>con</w:t>
      </w:r>
      <w:r>
        <w:rPr>
          <w:rFonts w:ascii="Arial" w:hAnsi="Arial"/>
          <w:spacing w:val="-25"/>
          <w:w w:val="90"/>
          <w:sz w:val="17"/>
        </w:rPr>
        <w:t> </w:t>
      </w:r>
      <w:r>
        <w:rPr>
          <w:rFonts w:ascii="Arial" w:hAnsi="Arial"/>
          <w:w w:val="90"/>
          <w:sz w:val="17"/>
        </w:rPr>
        <w:t>16</w:t>
      </w:r>
      <w:r>
        <w:rPr>
          <w:rFonts w:ascii="Arial" w:hAnsi="Arial"/>
          <w:spacing w:val="-25"/>
          <w:w w:val="90"/>
          <w:sz w:val="17"/>
        </w:rPr>
        <w:t> </w:t>
      </w:r>
      <w:r>
        <w:rPr>
          <w:rFonts w:ascii="Arial" w:hAnsi="Arial"/>
          <w:w w:val="90"/>
          <w:sz w:val="17"/>
        </w:rPr>
        <w:t>y</w:t>
      </w:r>
      <w:r>
        <w:rPr>
          <w:rFonts w:ascii="Arial" w:hAnsi="Arial"/>
          <w:spacing w:val="-25"/>
          <w:w w:val="90"/>
          <w:sz w:val="17"/>
        </w:rPr>
        <w:t> </w:t>
      </w:r>
      <w:r>
        <w:rPr>
          <w:rFonts w:ascii="Arial" w:hAnsi="Arial"/>
          <w:w w:val="90"/>
          <w:sz w:val="17"/>
        </w:rPr>
        <w:t>más</w:t>
      </w:r>
      <w:r>
        <w:rPr>
          <w:rFonts w:ascii="Arial" w:hAnsi="Arial"/>
          <w:spacing w:val="-25"/>
          <w:w w:val="90"/>
          <w:sz w:val="17"/>
        </w:rPr>
        <w:t> </w:t>
      </w:r>
      <w:r>
        <w:rPr>
          <w:rFonts w:ascii="Arial" w:hAnsi="Arial"/>
          <w:w w:val="90"/>
          <w:sz w:val="17"/>
        </w:rPr>
        <w:t>años,</w:t>
      </w:r>
      <w:r>
        <w:rPr>
          <w:rFonts w:ascii="Arial" w:hAnsi="Arial"/>
          <w:spacing w:val="-28"/>
          <w:w w:val="90"/>
          <w:sz w:val="17"/>
        </w:rPr>
        <w:t> </w:t>
      </w:r>
      <w:r>
        <w:rPr>
          <w:rFonts w:ascii="Arial" w:hAnsi="Arial"/>
          <w:w w:val="90"/>
          <w:sz w:val="17"/>
        </w:rPr>
        <w:t>1970-2014</w:t>
      </w:r>
    </w:p>
    <w:p>
      <w:pPr>
        <w:pStyle w:val="BodyText"/>
        <w:spacing w:before="8"/>
        <w:rPr>
          <w:rFonts w:ascii="Arial"/>
          <w:sz w:val="12"/>
        </w:rPr>
      </w:pPr>
      <w:r>
        <w:rPr/>
        <w:pict>
          <v:line style="position:absolute;mso-position-horizontal-relative:page;mso-position-vertical-relative:paragraph;z-index:3640;mso-wrap-distance-left:0;mso-wrap-distance-right:0" from="51.023602pt,9.759297pt" to="399.684602pt,9.759297pt" stroked="true" strokeweight="1pt" strokecolor="#000000">
            <w10:wrap type="topAndBottom"/>
          </v:line>
        </w:pict>
      </w:r>
    </w:p>
    <w:p>
      <w:pPr>
        <w:spacing w:before="39"/>
        <w:ind w:left="539" w:right="1211" w:firstLine="0"/>
        <w:jc w:val="left"/>
        <w:rPr>
          <w:rFonts w:ascii="Arial"/>
          <w:sz w:val="14"/>
        </w:rPr>
      </w:pPr>
      <w:r>
        <w:rPr>
          <w:rFonts w:ascii="Arial"/>
          <w:w w:val="95"/>
          <w:sz w:val="14"/>
        </w:rPr>
        <w:t>70</w:t>
      </w:r>
    </w:p>
    <w:p>
      <w:pPr>
        <w:pStyle w:val="BodyText"/>
        <w:rPr>
          <w:rFonts w:ascii="Arial"/>
          <w:sz w:val="20"/>
        </w:rPr>
      </w:pPr>
    </w:p>
    <w:p>
      <w:pPr>
        <w:pStyle w:val="BodyText"/>
        <w:spacing w:before="11"/>
        <w:rPr>
          <w:rFonts w:ascii="Arial"/>
          <w:sz w:val="23"/>
        </w:rPr>
      </w:pPr>
    </w:p>
    <w:p>
      <w:pPr>
        <w:spacing w:before="82"/>
        <w:ind w:left="539" w:right="1211" w:firstLine="0"/>
        <w:jc w:val="left"/>
        <w:rPr>
          <w:rFonts w:ascii="Arial"/>
          <w:sz w:val="14"/>
        </w:rPr>
      </w:pPr>
      <w:r>
        <w:rPr>
          <w:rFonts w:ascii="Arial"/>
          <w:w w:val="95"/>
          <w:sz w:val="14"/>
        </w:rPr>
        <w:t>66</w:t>
      </w:r>
    </w:p>
    <w:p>
      <w:pPr>
        <w:pStyle w:val="BodyText"/>
        <w:rPr>
          <w:rFonts w:ascii="Arial"/>
          <w:sz w:val="20"/>
        </w:rPr>
      </w:pPr>
    </w:p>
    <w:p>
      <w:pPr>
        <w:pStyle w:val="BodyText"/>
        <w:spacing w:before="11"/>
        <w:rPr>
          <w:rFonts w:ascii="Arial"/>
          <w:sz w:val="23"/>
        </w:rPr>
      </w:pPr>
    </w:p>
    <w:p>
      <w:pPr>
        <w:spacing w:before="82"/>
        <w:ind w:left="539" w:right="1211" w:firstLine="0"/>
        <w:jc w:val="left"/>
        <w:rPr>
          <w:rFonts w:ascii="Arial"/>
          <w:sz w:val="14"/>
        </w:rPr>
      </w:pPr>
      <w:r>
        <w:rPr>
          <w:rFonts w:ascii="Arial"/>
          <w:w w:val="95"/>
          <w:sz w:val="14"/>
        </w:rPr>
        <w:t>62</w:t>
      </w:r>
    </w:p>
    <w:p>
      <w:pPr>
        <w:pStyle w:val="BodyText"/>
        <w:rPr>
          <w:rFonts w:ascii="Arial"/>
          <w:sz w:val="20"/>
        </w:rPr>
      </w:pPr>
    </w:p>
    <w:p>
      <w:pPr>
        <w:pStyle w:val="BodyText"/>
        <w:spacing w:before="11"/>
        <w:rPr>
          <w:rFonts w:ascii="Arial"/>
          <w:sz w:val="23"/>
        </w:rPr>
      </w:pPr>
    </w:p>
    <w:p>
      <w:pPr>
        <w:spacing w:before="82"/>
        <w:ind w:left="539" w:right="1211" w:firstLine="0"/>
        <w:jc w:val="left"/>
        <w:rPr>
          <w:rFonts w:ascii="Arial"/>
          <w:sz w:val="14"/>
        </w:rPr>
      </w:pPr>
      <w:r>
        <w:rPr/>
        <w:pict>
          <v:shape style="position:absolute;margin-left:63.012077pt;margin-top:-14.05445pt;width:8.9pt;height:7.25pt;mso-position-horizontal-relative:page;mso-position-vertical-relative:paragraph;z-index:3784" type="#_x0000_t202" filled="false" stroked="false">
            <v:textbox inset="0,0,0,0" style="layout-flow:vertical;mso-layout-flow-alt:bottom-to-top">
              <w:txbxContent>
                <w:p>
                  <w:pPr>
                    <w:spacing w:before="10"/>
                    <w:ind w:left="20" w:right="0" w:firstLine="0"/>
                    <w:jc w:val="left"/>
                    <w:rPr>
                      <w:rFonts w:ascii="Arial"/>
                      <w:sz w:val="13"/>
                    </w:rPr>
                  </w:pPr>
                  <w:r>
                    <w:rPr>
                      <w:rFonts w:ascii="Arial"/>
                      <w:w w:val="90"/>
                      <w:sz w:val="13"/>
                    </w:rPr>
                    <w:t>%</w:t>
                  </w:r>
                </w:p>
              </w:txbxContent>
            </v:textbox>
            <w10:wrap type="none"/>
          </v:shape>
        </w:pict>
      </w:r>
      <w:r>
        <w:rPr>
          <w:rFonts w:ascii="Arial"/>
          <w:w w:val="95"/>
          <w:sz w:val="14"/>
        </w:rPr>
        <w:t>58</w:t>
      </w:r>
    </w:p>
    <w:p>
      <w:pPr>
        <w:pStyle w:val="BodyText"/>
        <w:rPr>
          <w:rFonts w:ascii="Arial"/>
          <w:sz w:val="20"/>
        </w:rPr>
      </w:pPr>
    </w:p>
    <w:p>
      <w:pPr>
        <w:pStyle w:val="BodyText"/>
        <w:spacing w:before="11"/>
        <w:rPr>
          <w:rFonts w:ascii="Arial"/>
          <w:sz w:val="23"/>
        </w:rPr>
      </w:pPr>
    </w:p>
    <w:p>
      <w:pPr>
        <w:spacing w:before="82"/>
        <w:ind w:left="539" w:right="1211" w:firstLine="0"/>
        <w:jc w:val="left"/>
        <w:rPr>
          <w:rFonts w:ascii="Arial"/>
          <w:sz w:val="14"/>
        </w:rPr>
      </w:pPr>
      <w:r>
        <w:rPr>
          <w:rFonts w:ascii="Arial"/>
          <w:w w:val="95"/>
          <w:sz w:val="14"/>
        </w:rPr>
        <w:t>54</w:t>
      </w:r>
    </w:p>
    <w:p>
      <w:pPr>
        <w:pStyle w:val="BodyText"/>
        <w:rPr>
          <w:rFonts w:ascii="Arial"/>
          <w:sz w:val="20"/>
        </w:rPr>
      </w:pPr>
    </w:p>
    <w:p>
      <w:pPr>
        <w:pStyle w:val="BodyText"/>
        <w:spacing w:before="11"/>
        <w:rPr>
          <w:rFonts w:ascii="Arial"/>
          <w:sz w:val="23"/>
        </w:rPr>
      </w:pPr>
    </w:p>
    <w:p>
      <w:pPr>
        <w:spacing w:before="82"/>
        <w:ind w:left="539" w:right="1211" w:firstLine="0"/>
        <w:jc w:val="left"/>
        <w:rPr>
          <w:rFonts w:ascii="Arial"/>
          <w:sz w:val="14"/>
        </w:rPr>
      </w:pPr>
      <w:r>
        <w:rPr>
          <w:rFonts w:ascii="Arial"/>
          <w:w w:val="95"/>
          <w:sz w:val="14"/>
        </w:rPr>
        <w:t>50</w:t>
      </w:r>
    </w:p>
    <w:p>
      <w:pPr>
        <w:tabs>
          <w:tab w:pos="1264" w:val="left" w:leader="none"/>
          <w:tab w:pos="1804" w:val="left" w:leader="none"/>
          <w:tab w:pos="2344" w:val="left" w:leader="none"/>
          <w:tab w:pos="2884" w:val="left" w:leader="none"/>
          <w:tab w:pos="3424" w:val="left" w:leader="none"/>
          <w:tab w:pos="3964" w:val="left" w:leader="none"/>
          <w:tab w:pos="4504" w:val="left" w:leader="none"/>
          <w:tab w:pos="5044" w:val="left" w:leader="none"/>
          <w:tab w:pos="5584" w:val="left" w:leader="none"/>
          <w:tab w:pos="6124" w:val="left" w:leader="none"/>
          <w:tab w:pos="6664" w:val="left" w:leader="none"/>
        </w:tabs>
        <w:spacing w:before="4"/>
        <w:ind w:left="724" w:right="0" w:firstLine="0"/>
        <w:jc w:val="left"/>
        <w:rPr>
          <w:rFonts w:ascii="Arial"/>
          <w:sz w:val="14"/>
        </w:rPr>
      </w:pPr>
      <w:r>
        <w:rPr/>
        <w:pict>
          <v:group style="position:absolute;margin-left:188.665207pt;margin-top:28.665859pt;width:16.850pt;height:1.6pt;mso-position-horizontal-relative:page;mso-position-vertical-relative:paragraph;z-index:-254872" coordorigin="3773,573" coordsize="337,32">
            <v:line style="position:absolute" from="3789,589" to="4094,589" stroked="true" strokeweight="1.58pt" strokecolor="#000000"/>
            <v:line style="position:absolute" from="3916,590" to="3965,590" stroked="true" strokeweight=".383pt" strokecolor="#000000"/>
            <v:line style="position:absolute" from="3910,590" to="3971,590" stroked="true" strokeweight=".976pt" strokecolor="#000000"/>
            <w10:wrap type="none"/>
          </v:group>
        </w:pict>
      </w:r>
      <w:r>
        <w:rPr/>
        <w:pict>
          <v:line style="position:absolute;mso-position-horizontal-relative:page;mso-position-vertical-relative:paragraph;z-index:-254848" from="243.8909pt,29.465858pt" to="259.1229pt,29.465858pt" stroked="true" strokeweight=".79pt" strokecolor="#000000">
            <w10:wrap type="none"/>
          </v:line>
        </w:pict>
      </w:r>
      <w:r>
        <w:rPr>
          <w:rFonts w:ascii="Arial"/>
          <w:w w:val="95"/>
          <w:sz w:val="14"/>
        </w:rPr>
        <w:t>1970</w:t>
        <w:tab/>
        <w:t>1974</w:t>
        <w:tab/>
        <w:t>1978</w:t>
        <w:tab/>
        <w:t>1982</w:t>
        <w:tab/>
        <w:t>1986</w:t>
        <w:tab/>
        <w:t>1990</w:t>
        <w:tab/>
        <w:t>1994</w:t>
        <w:tab/>
        <w:t>1998</w:t>
        <w:tab/>
        <w:t>2002</w:t>
        <w:tab/>
        <w:t>2006</w:t>
        <w:tab/>
        <w:t>2010</w:t>
        <w:tab/>
        <w:t>2014</w:t>
      </w:r>
    </w:p>
    <w:p>
      <w:pPr>
        <w:pStyle w:val="BodyText"/>
        <w:rPr>
          <w:rFonts w:ascii="Arial"/>
          <w:sz w:val="20"/>
        </w:rPr>
      </w:pPr>
      <w:r>
        <w:rPr/>
        <w:pict>
          <v:shape style="position:absolute;margin-left:179.942703pt;margin-top:13.592543pt;width:120.45pt;height:15.25pt;mso-position-horizontal-relative:page;mso-position-vertical-relative:paragraph;z-index:3664;mso-wrap-distance-left:0;mso-wrap-distance-right:0" type="#_x0000_t202" filled="false" stroked="true" strokeweight=".198pt" strokecolor="#000000">
            <v:textbox inset="0,0,0,0">
              <w:txbxContent>
                <w:p>
                  <w:pPr>
                    <w:tabs>
                      <w:tab w:pos="1611" w:val="left" w:leader="none"/>
                    </w:tabs>
                    <w:spacing w:before="99"/>
                    <w:ind w:left="523" w:right="0" w:firstLine="0"/>
                    <w:jc w:val="left"/>
                    <w:rPr>
                      <w:rFonts w:ascii="Arial" w:hAnsi="Arial"/>
                      <w:sz w:val="11"/>
                    </w:rPr>
                  </w:pPr>
                  <w:r>
                    <w:rPr>
                      <w:rFonts w:ascii="Arial" w:hAnsi="Arial"/>
                      <w:sz w:val="11"/>
                    </w:rPr>
                    <w:t>16</w:t>
                  </w:r>
                  <w:r>
                    <w:rPr>
                      <w:rFonts w:ascii="Arial" w:hAnsi="Arial"/>
                      <w:spacing w:val="-13"/>
                      <w:sz w:val="11"/>
                    </w:rPr>
                    <w:t> </w:t>
                  </w:r>
                  <w:r>
                    <w:rPr>
                      <w:rFonts w:ascii="Arial" w:hAnsi="Arial"/>
                      <w:sz w:val="11"/>
                    </w:rPr>
                    <w:t>-</w:t>
                  </w:r>
                  <w:r>
                    <w:rPr>
                      <w:rFonts w:ascii="Arial" w:hAnsi="Arial"/>
                      <w:spacing w:val="-13"/>
                      <w:sz w:val="11"/>
                    </w:rPr>
                    <w:t> </w:t>
                  </w:r>
                  <w:r>
                    <w:rPr>
                      <w:rFonts w:ascii="Arial" w:hAnsi="Arial"/>
                      <w:sz w:val="11"/>
                    </w:rPr>
                    <w:t>24</w:t>
                  </w:r>
                  <w:r>
                    <w:rPr>
                      <w:rFonts w:ascii="Arial" w:hAnsi="Arial"/>
                      <w:spacing w:val="-13"/>
                      <w:sz w:val="11"/>
                    </w:rPr>
                    <w:t> </w:t>
                  </w:r>
                  <w:r>
                    <w:rPr>
                      <w:rFonts w:ascii="Arial" w:hAnsi="Arial"/>
                      <w:sz w:val="11"/>
                    </w:rPr>
                    <w:t>años</w:t>
                    <w:tab/>
                  </w:r>
                  <w:r>
                    <w:rPr>
                      <w:rFonts w:ascii="Arial" w:hAnsi="Arial"/>
                      <w:w w:val="95"/>
                      <w:sz w:val="11"/>
                    </w:rPr>
                    <w:t>16</w:t>
                  </w:r>
                  <w:r>
                    <w:rPr>
                      <w:rFonts w:ascii="Arial" w:hAnsi="Arial"/>
                      <w:spacing w:val="-18"/>
                      <w:w w:val="95"/>
                      <w:sz w:val="11"/>
                    </w:rPr>
                    <w:t> </w:t>
                  </w:r>
                  <w:r>
                    <w:rPr>
                      <w:rFonts w:ascii="Arial" w:hAnsi="Arial"/>
                      <w:w w:val="95"/>
                      <w:sz w:val="11"/>
                    </w:rPr>
                    <w:t>años</w:t>
                  </w:r>
                  <w:r>
                    <w:rPr>
                      <w:rFonts w:ascii="Arial" w:hAnsi="Arial"/>
                      <w:spacing w:val="-18"/>
                      <w:w w:val="95"/>
                      <w:sz w:val="11"/>
                    </w:rPr>
                    <w:t> </w:t>
                  </w:r>
                  <w:r>
                    <w:rPr>
                      <w:rFonts w:ascii="Arial" w:hAnsi="Arial"/>
                      <w:w w:val="95"/>
                      <w:sz w:val="11"/>
                    </w:rPr>
                    <w:t>y</w:t>
                  </w:r>
                  <w:r>
                    <w:rPr>
                      <w:rFonts w:ascii="Arial" w:hAnsi="Arial"/>
                      <w:spacing w:val="-18"/>
                      <w:w w:val="95"/>
                      <w:sz w:val="11"/>
                    </w:rPr>
                    <w:t> </w:t>
                  </w:r>
                  <w:r>
                    <w:rPr>
                      <w:rFonts w:ascii="Arial" w:hAnsi="Arial"/>
                      <w:w w:val="95"/>
                      <w:sz w:val="11"/>
                    </w:rPr>
                    <w:t>más</w:t>
                  </w:r>
                </w:p>
              </w:txbxContent>
            </v:textbox>
            <w10:wrap type="topAndBottom"/>
          </v:shape>
        </w:pict>
      </w:r>
      <w:r>
        <w:rPr/>
        <w:pict>
          <v:line style="position:absolute;mso-position-horizontal-relative:page;mso-position-vertical-relative:paragraph;z-index:3688;mso-wrap-distance-left:0;mso-wrap-distance-right:0" from="51.023602pt,37.696644pt" to="399.684602pt,37.696644pt" stroked="true" strokeweight="1pt" strokecolor="#000000">
            <w10:wrap type="topAndBottom"/>
          </v:line>
        </w:pict>
      </w:r>
    </w:p>
    <w:p>
      <w:pPr>
        <w:pStyle w:val="BodyText"/>
        <w:spacing w:before="5"/>
        <w:rPr>
          <w:rFonts w:ascii="Arial"/>
          <w:sz w:val="8"/>
        </w:rPr>
      </w:pPr>
    </w:p>
    <w:p>
      <w:pPr>
        <w:spacing w:before="5"/>
        <w:ind w:left="120" w:right="0" w:firstLine="0"/>
        <w:jc w:val="both"/>
        <w:rPr>
          <w:rFonts w:ascii="Arial"/>
          <w:sz w:val="14"/>
        </w:rPr>
      </w:pPr>
      <w:r>
        <w:rPr>
          <w:rFonts w:ascii="Arial"/>
          <w:w w:val="85"/>
          <w:sz w:val="14"/>
        </w:rPr>
        <w:t>Fuente: Bureau of Labor Statistics.</w:t>
      </w:r>
    </w:p>
    <w:p>
      <w:pPr>
        <w:pStyle w:val="BodyText"/>
        <w:rPr>
          <w:rFonts w:ascii="Arial"/>
          <w:sz w:val="14"/>
        </w:rPr>
      </w:pPr>
    </w:p>
    <w:p>
      <w:pPr>
        <w:pStyle w:val="BodyText"/>
        <w:spacing w:line="252" w:lineRule="auto" w:before="97"/>
        <w:ind w:left="120" w:right="1528"/>
        <w:jc w:val="both"/>
      </w:pPr>
      <w:r>
        <w:rPr>
          <w:w w:val="110"/>
        </w:rPr>
        <w:t>Es discutible la afirmación respecto del carácter de la crisis de Esta- dos unidos y sus consecuencias en el mediano y largo plazo. Con base en los indicadores de crecimiento económico y la dinámica del </w:t>
      </w:r>
      <w:r>
        <w:rPr>
          <w:spacing w:val="-4"/>
          <w:w w:val="110"/>
        </w:rPr>
        <w:t>mer- </w:t>
      </w:r>
      <w:r>
        <w:rPr>
          <w:w w:val="110"/>
        </w:rPr>
        <w:t>cado de trabajo, se podría argüir que Estados unidos está saliendo de la crisis; pero, en todo caso, esa salida ha sido a costa de una pérdida generalizada y creciente de la calidad de las ocupaciones, con efectos en el total del mercado laboral, tanto de nativos como de inmigrantes. Ciertamente, posterior a la crisis, el desempleo bajó significativamen- te. No obstante, la aparente evolución positiva del mercado de</w:t>
      </w:r>
      <w:r>
        <w:rPr>
          <w:spacing w:val="-13"/>
          <w:w w:val="110"/>
        </w:rPr>
        <w:t> </w:t>
      </w:r>
      <w:r>
        <w:rPr>
          <w:w w:val="110"/>
        </w:rPr>
        <w:t>trabajo, dada la reducción del desempleo abierto, lejos de ofrecer alternativas ocupacionales de calidad, ha incrementado la precarización laboral     y las desigualdades salariales, con notorias consecuencias sobre todo para los trabajadores jóvenes. Con la recuperación de la crisis econó- mica, con posterioridad a 2010, ciertamente baja la tasa de</w:t>
      </w:r>
      <w:r>
        <w:rPr>
          <w:spacing w:val="-7"/>
          <w:w w:val="110"/>
        </w:rPr>
        <w:t> </w:t>
      </w:r>
      <w:r>
        <w:rPr>
          <w:w w:val="110"/>
        </w:rPr>
        <w:t>desempleo de los jóvenes, pero paradójicamente la tasa de empleo u ocupación no recupera la caída sistemática y notable que venía experimentando a finales de la década de 1990 y comienzos de la de 2000 (Gráfico</w:t>
      </w:r>
      <w:r>
        <w:rPr>
          <w:spacing w:val="35"/>
          <w:w w:val="110"/>
        </w:rPr>
        <w:t> </w:t>
      </w:r>
      <w:r>
        <w:rPr>
          <w:w w:val="110"/>
        </w:rPr>
        <w:t>2).</w:t>
      </w:r>
    </w:p>
    <w:p>
      <w:pPr>
        <w:spacing w:after="0" w:line="252" w:lineRule="auto"/>
        <w:jc w:val="both"/>
        <w:sectPr>
          <w:pgSz w:w="8790" w:h="12760"/>
          <w:pgMar w:header="697" w:footer="723" w:top="880" w:bottom="920" w:left="900" w:right="0"/>
        </w:sectPr>
      </w:pPr>
    </w:p>
    <w:p>
      <w:pPr>
        <w:pStyle w:val="BodyText"/>
        <w:spacing w:before="8"/>
        <w:rPr>
          <w:sz w:val="27"/>
        </w:rPr>
      </w:pPr>
    </w:p>
    <w:p>
      <w:pPr>
        <w:spacing w:before="78"/>
        <w:ind w:left="1266" w:right="2170" w:firstLine="0"/>
        <w:jc w:val="center"/>
        <w:rPr>
          <w:rFonts w:ascii="Arial" w:hAnsi="Arial"/>
          <w:b/>
          <w:sz w:val="17"/>
        </w:rPr>
      </w:pPr>
      <w:r>
        <w:rPr>
          <w:rFonts w:ascii="Arial" w:hAnsi="Arial"/>
          <w:b/>
          <w:w w:val="85"/>
          <w:sz w:val="17"/>
        </w:rPr>
        <w:t>Gráfico 2</w:t>
      </w:r>
    </w:p>
    <w:p>
      <w:pPr>
        <w:spacing w:line="249" w:lineRule="auto" w:before="8"/>
        <w:ind w:left="1266" w:right="2171" w:firstLine="0"/>
        <w:jc w:val="center"/>
        <w:rPr>
          <w:rFonts w:ascii="Arial" w:hAnsi="Arial"/>
          <w:sz w:val="17"/>
        </w:rPr>
      </w:pPr>
      <w:r>
        <w:rPr/>
        <w:pict>
          <v:group style="position:absolute;margin-left:77.605202pt;margin-top:39.323322pt;width:287.4pt;height:155.4pt;mso-position-horizontal-relative:page;mso-position-vertical-relative:paragraph;z-index:-254728" coordorigin="1552,786" coordsize="5748,3108">
            <v:rect style="position:absolute;left:1606;top:792;width:5641;height:3048" filled="false" stroked="true" strokeweight=".594pt" strokecolor="#949698"/>
            <v:line style="position:absolute" from="1606,792" to="1606,3840" stroked="true" strokeweight=".594pt" strokecolor="#000000"/>
            <v:line style="position:absolute" from="1558,3840" to="1653,3840" stroked="true" strokeweight=".594pt" strokecolor="#000000"/>
            <v:line style="position:absolute" from="1558,3233" to="1653,3233" stroked="true" strokeweight=".594pt" strokecolor="#000000"/>
            <v:line style="position:absolute" from="1558,2626" to="1653,2626" stroked="true" strokeweight=".594pt" strokecolor="#000000"/>
            <v:line style="position:absolute" from="1558,2007" to="1653,2007" stroked="true" strokeweight=".594pt" strokecolor="#000000"/>
            <v:line style="position:absolute" from="1558,1400" to="1653,1400" stroked="true" strokeweight=".594pt" strokecolor="#000000"/>
            <v:line style="position:absolute" from="1558,792" to="1653,792" stroked="true" strokeweight=".594pt" strokecolor="#000000"/>
            <v:line style="position:absolute" from="1606,3840" to="7246,3840" stroked="true" strokeweight=".594pt" strokecolor="#000000"/>
            <v:line style="position:absolute" from="1606,3888" to="1606,3793" stroked="true" strokeweight=".594pt" strokecolor="#000000"/>
            <v:line style="position:absolute" from="2105,3888" to="2105,3793" stroked="true" strokeweight=".594pt" strokecolor="#000000"/>
            <v:line style="position:absolute" from="2605,3888" to="2605,3793" stroked="true" strokeweight=".594pt" strokecolor="#000000"/>
            <v:line style="position:absolute" from="3105,3888" to="3105,3793" stroked="true" strokeweight=".594pt" strokecolor="#000000"/>
            <v:line style="position:absolute" from="3617,3888" to="3617,3793" stroked="true" strokeweight=".594pt" strokecolor="#000000"/>
            <v:line style="position:absolute" from="4117,3888" to="4117,3793" stroked="true" strokeweight=".594pt" strokecolor="#000000"/>
            <v:line style="position:absolute" from="4616,3888" to="4616,3793" stroked="true" strokeweight=".594pt" strokecolor="#000000"/>
            <v:line style="position:absolute" from="5116,3888" to="5116,3793" stroked="true" strokeweight=".594pt" strokecolor="#000000"/>
            <v:line style="position:absolute" from="5616,3888" to="5616,3793" stroked="true" strokeweight=".594pt" strokecolor="#000000"/>
            <v:line style="position:absolute" from="6116,3888" to="6116,3793" stroked="true" strokeweight=".594pt" strokecolor="#000000"/>
            <v:line style="position:absolute" from="6616,3888" to="6616,3793" stroked="true" strokeweight=".594pt" strokecolor="#000000"/>
            <v:line style="position:absolute" from="7115,3888" to="7115,3793" stroked="true" strokeweight=".594pt" strokecolor="#000000"/>
            <v:shape style="position:absolute;left:1659;top:1894;width:512;height:357" type="#_x0000_t75" stroked="false">
              <v:imagedata r:id="rId229" o:title=""/>
            </v:shape>
            <v:shape style="position:absolute;left:2165;top:1388;width:131;height:643" coordorigin="2165,1388" coordsize="131,643" path="m2165,2031l2177,1959,2201,1876,2213,1781,2225,1686,2248,1590,2260,1495,2284,1435,2296,1388e" filled="false" stroked="true" strokeweight=".594pt" strokecolor="#000000">
              <v:path arrowok="t"/>
            </v:shape>
            <v:shape style="position:absolute;left:2290;top:1370;width:762;height:690" type="#_x0000_t75" stroked="false">
              <v:imagedata r:id="rId230" o:title=""/>
            </v:shape>
            <v:shape style="position:absolute;left:3046;top:1126;width:131;height:441" coordorigin="3046,1126" coordsize="131,441" path="m3046,1566l3058,1519,3081,1459,3105,1328,3129,1269,3141,1209,3165,1161,3176,1126e" filled="false" stroked="true" strokeweight=".594pt" strokecolor="#000000">
              <v:path arrowok="t"/>
            </v:shape>
            <v:shape style="position:absolute;left:3176;top:1114;width:120;height:108" coordorigin="3176,1114" coordsize="120,108" path="m3176,1126l3188,1114,3200,1114,3236,1138,3272,1173,3296,1221e" filled="false" stroked="true" strokeweight=".594pt" strokecolor="#000000">
              <v:path arrowok="t"/>
            </v:shape>
            <v:shape style="position:absolute;left:3296;top:1221;width:131;height:500" coordorigin="3296,1221" coordsize="131,500" path="m3296,1221l3308,1269,3331,1328,3343,1400,3355,1471,3379,1555,3391,1614,3415,1673,3426,1721e" filled="false" stroked="true" strokeweight=".594pt" strokecolor="#000000">
              <v:path arrowok="t"/>
            </v:shape>
            <v:shape style="position:absolute;left:3426;top:1721;width:120;height:48" coordorigin="3426,1721" coordsize="120,48" path="m3426,1721l3450,1757,3486,1769,3522,1769,3546,1769e" filled="false" stroked="true" strokeweight=".594pt" strokecolor="#000000">
              <v:path arrowok="t"/>
            </v:shape>
            <v:shape style="position:absolute;left:3546;top:1769;width:131;height:48" coordorigin="3546,1769" coordsize="131,48" path="m3546,1769l3605,1781,3641,1792,3676,1816e" filled="false" stroked="true" strokeweight=".594pt" strokecolor="#000000">
              <v:path arrowok="t"/>
            </v:shape>
            <v:shape style="position:absolute;left:3676;top:1816;width:120;height:167" coordorigin="3676,1816" coordsize="120,167" path="m3676,1816l3712,1852,3736,1888,3795,1983e" filled="false" stroked="true" strokeweight=".594pt" strokecolor="#000000">
              <v:path arrowok="t"/>
            </v:shape>
            <v:shape style="position:absolute;left:3795;top:1983;width:131;height:179" coordorigin="3795,1983" coordsize="131,179" path="m3795,1983l3831,2031,3855,2078,3890,2126,3926,2162e" filled="false" stroked="true" strokeweight=".594pt" strokecolor="#000000">
              <v:path arrowok="t"/>
            </v:shape>
            <v:shape style="position:absolute;left:3926;top:2162;width:120;height:24" coordorigin="3926,2162" coordsize="120,24" path="m3926,2162l3962,2174,3986,2186,4045,2174e" filled="false" stroked="true" strokeweight=".594pt" strokecolor="#000000">
              <v:path arrowok="t"/>
            </v:shape>
            <v:shape style="position:absolute;left:4045;top:2138;width:132;height:37" coordorigin="4045,2138" coordsize="132,37" path="m4045,2174l4081,2174,4105,2174,4140,2162,4176,2138e" filled="false" stroked="true" strokeweight=".594pt" strokecolor="#000000">
              <v:path arrowok="t"/>
            </v:shape>
            <v:shape style="position:absolute;left:4176;top:1792;width:119;height:346" coordorigin="4176,1792" coordsize="119,346" path="m4176,2138l4188,2102,4212,2067,4236,1971,4260,1876,4283,1828,4295,1792e" filled="false" stroked="true" strokeweight=".594pt" strokecolor="#000000">
              <v:path arrowok="t"/>
            </v:shape>
            <v:shape style="position:absolute;left:4295;top:1673;width:131;height:120" coordorigin="4295,1673" coordsize="131,120" path="m4295,1792l4331,1745,4355,1709,4390,1686,4426,1673e" filled="false" stroked="true" strokeweight=".594pt" strokecolor="#000000">
              <v:path arrowok="t"/>
            </v:shape>
            <v:shape style="position:absolute;left:4426;top:1673;width:131;height:120" coordorigin="4426,1673" coordsize="131,120" path="m4426,1673l4462,1686,4497,1721,4521,1757,4557,1792e" filled="false" stroked="true" strokeweight=".594pt" strokecolor="#000000">
              <v:path arrowok="t"/>
            </v:shape>
            <v:shape style="position:absolute;left:4557;top:1792;width:120;height:143" coordorigin="4557,1792" coordsize="120,143" path="m4557,1792l4616,1864,4640,1900,4676,1935e" filled="false" stroked="true" strokeweight=".594pt" strokecolor="#000000">
              <v:path arrowok="t"/>
            </v:shape>
            <v:shape style="position:absolute;left:4676;top:1935;width:131;height:60" coordorigin="4676,1935" coordsize="131,60" path="m4676,1935l4736,1971,4807,1995e" filled="false" stroked="true" strokeweight=".594pt" strokecolor="#000000">
              <v:path arrowok="t"/>
            </v:shape>
            <v:shape style="position:absolute;left:4807;top:1995;width:120;height:12" coordorigin="4807,1995" coordsize="120,12" path="m4807,1995l4842,1995,4866,1995,4890,1995,4926,2007e" filled="false" stroked="true" strokeweight=".594pt" strokecolor="#000000">
              <v:path arrowok="t"/>
            </v:shape>
            <v:shape style="position:absolute;left:4926;top:2007;width:131;height:107" coordorigin="4926,2007" coordsize="131,107" path="m4926,2007l4962,2031,4985,2055,5057,2114e" filled="false" stroked="true" strokeweight=".594pt" strokecolor="#000000">
              <v:path arrowok="t"/>
            </v:shape>
            <v:shape style="position:absolute;left:5057;top:2114;width:120;height:143" coordorigin="5057,2114" coordsize="120,143" path="m5057,2114l5116,2186,5140,2221,5176,2257e" filled="false" stroked="true" strokeweight=".594pt" strokecolor="#000000">
              <v:path arrowok="t"/>
            </v:shape>
            <v:shape style="position:absolute;left:5176;top:2257;width:131;height:72" coordorigin="5176,2257" coordsize="131,72" path="m5176,2257l5211,2281,5235,2292,5307,2328e" filled="false" stroked="true" strokeweight=".594pt" strokecolor="#000000">
              <v:path arrowok="t"/>
            </v:shape>
            <v:shape style="position:absolute;left:5307;top:2328;width:120;height:95" coordorigin="5307,2328" coordsize="120,95" path="m5307,2328l5342,2352,5366,2388,5390,2423,5414,2423,5426,2423e" filled="false" stroked="true" strokeweight=".594pt" strokecolor="#000000">
              <v:path arrowok="t"/>
            </v:shape>
            <v:shape style="position:absolute;left:5426;top:2221;width:131;height:203" coordorigin="5426,2221" coordsize="131,203" path="m5426,2423l5438,2412,5461,2400,5485,2340,5521,2281,5557,2221e" filled="false" stroked="true" strokeweight=".594pt" strokecolor="#000000">
              <v:path arrowok="t"/>
            </v:shape>
            <v:shape style="position:absolute;left:5557;top:2007;width:119;height:215" coordorigin="5557,2007" coordsize="119,215" path="m5557,2221l5592,2162,5616,2102,5640,2055,5675,2007e" filled="false" stroked="true" strokeweight=".594pt" strokecolor="#000000">
              <v:path arrowok="t"/>
            </v:shape>
            <v:shape style="position:absolute;left:5675;top:1947;width:132;height:60" coordorigin="5675,1947" coordsize="132,60" path="m5675,2007l5711,1983,5735,1959,5771,1947,5807,1947e" filled="false" stroked="true" strokeweight=".594pt" strokecolor="#000000">
              <v:path arrowok="t"/>
            </v:shape>
            <v:shape style="position:absolute;left:5807;top:1947;width:119;height:96" coordorigin="5807,1947" coordsize="119,96" path="m5807,1947l5842,1959,5866,1983,5890,2019,5925,2043e" filled="false" stroked="true" strokeweight=".594pt" strokecolor="#000000">
              <v:path arrowok="t"/>
            </v:shape>
            <v:shape style="position:absolute;left:5925;top:2043;width:132;height:72" coordorigin="5925,2043" coordsize="132,72" path="m5925,2043l5985,2078,6057,2114e" filled="false" stroked="true" strokeweight=".594pt" strokecolor="#000000">
              <v:path arrowok="t"/>
            </v:shape>
            <v:shape style="position:absolute;left:6057;top:2114;width:119;height:132" coordorigin="6057,2114" coordsize="119,132" path="m6057,2114l6092,2149,6116,2186,6140,2221,6175,2245e" filled="false" stroked="true" strokeweight=".594pt" strokecolor="#000000">
              <v:path arrowok="t"/>
            </v:shape>
            <v:shape style="position:absolute;left:6175;top:2245;width:131;height:24" coordorigin="6175,2245" coordsize="131,24" path="m6175,2245l6211,2257,6235,2269,6271,2269,6306,2245e" filled="false" stroked="true" strokeweight=".594pt" strokecolor="#000000">
              <v:path arrowok="t"/>
            </v:shape>
            <v:shape style="position:absolute;left:6306;top:1888;width:131;height:358" coordorigin="6306,1888" coordsize="131,358" path="m6306,2245l6342,2186,6378,2114,6401,2007,6437,1888e" filled="false" stroked="true" strokeweight=".594pt" strokecolor="#000000">
              <v:path arrowok="t"/>
            </v:shape>
            <v:shape style="position:absolute;left:6437;top:1161;width:120;height:727" coordorigin="6437,1161" coordsize="120,727" path="m6437,1888l6449,1816,6473,1721,6485,1614,6497,1507,6509,1412,6521,1304,6544,1221,6556,1161e" filled="false" stroked="true" strokeweight=".594pt" strokecolor="#000000">
              <v:path arrowok="t"/>
            </v:shape>
            <v:shape style="position:absolute;left:6550;top:1025;width:643;height:774" type="#_x0000_t75" stroked="false">
              <v:imagedata r:id="rId231" o:title=""/>
            </v:shape>
            <v:line style="position:absolute" from="7246,792" to="7246,3840" stroked="true" strokeweight=".594pt" strokecolor="#000000"/>
            <v:line style="position:absolute" from="7199,3840" to="7294,3840" stroked="true" strokeweight=".594pt" strokecolor="#000000"/>
            <v:line style="position:absolute" from="7199,3233" to="7294,3233" stroked="true" strokeweight=".594pt" strokecolor="#000000"/>
            <v:line style="position:absolute" from="7199,2626" to="7294,2626" stroked="true" strokeweight=".594pt" strokecolor="#000000"/>
            <v:line style="position:absolute" from="7199,2007" to="7294,2007" stroked="true" strokeweight=".594pt" strokecolor="#000000"/>
            <v:line style="position:absolute" from="7199,1400" to="7294,1400" stroked="true" strokeweight=".594pt" strokecolor="#000000"/>
            <v:line style="position:absolute" from="7199,792" to="7294,792" stroked="true" strokeweight=".594pt" strokecolor="#000000"/>
            <v:shape style="position:absolute;left:1665;top:1352;width:5522;height:656" coordorigin="1665,1352" coordsize="5522,656" path="m1665,1673l1796,1709,1915,1638,2046,1519,2165,1519,2296,1638,2415,1578,2546,1495,2677,1412,2796,1376,2927,1459,3046,1495,3176,1590,3296,1578,3426,1471,3546,1447,3676,1424,3795,1400,3926,1364,4045,1352,4176,1412,4295,1519,4426,1531,4557,1519,4676,1483,4807,1471,4926,1495,5057,1483,5176,1447,5307,1447,5426,1412,5557,1495,5675,1578,5807,1650,5925,1650,6057,1650,6175,1638,6306,1686,6437,1757,6556,1935,6687,2007,6806,1995,6937,1971,7056,1947,7187,1912e" filled="false" stroked="true" strokeweight="1.188pt" strokecolor="#000000">
              <v:path arrowok="t"/>
            </v:shape>
            <v:line style="position:absolute" from="1665,1667" to="1725,1667" stroked="true" strokeweight=".594pt" strokecolor="#000000"/>
            <v:line style="position:absolute" from="1659,1667" to="1731,1667" stroked="true" strokeweight="1.188pt" strokecolor="#000000"/>
            <v:line style="position:absolute" from="1796,1703" to="1856,1703" stroked="true" strokeweight=".595pt" strokecolor="#000000"/>
            <v:line style="position:absolute" from="1790,1703" to="1861,1703" stroked="true" strokeweight="1.188pt" strokecolor="#000000"/>
            <v:line style="position:absolute" from="1915,1632" to="1975,1632" stroked="true" strokeweight=".593pt" strokecolor="#000000"/>
            <v:line style="position:absolute" from="1909,1632" to="1981,1632" stroked="true" strokeweight="1.188pt" strokecolor="#000000"/>
            <v:line style="position:absolute" from="2046,1513" to="2105,1513" stroked="true" strokeweight=".594pt" strokecolor="#000000"/>
            <v:line style="position:absolute" from="2040,1513" to="2111,1513" stroked="true" strokeweight="1.188pt" strokecolor="#000000"/>
            <v:line style="position:absolute" from="2165,1513" to="2225,1513" stroked="true" strokeweight=".594pt" strokecolor="#000000"/>
            <v:line style="position:absolute" from="2159,1513" to="2230,1513" stroked="true" strokeweight="1.188pt" strokecolor="#000000"/>
            <v:line style="position:absolute" from="2296,1632" to="2356,1632" stroked="true" strokeweight=".593pt" strokecolor="#000000"/>
            <v:line style="position:absolute" from="2290,1632" to="2362,1632" stroked="true" strokeweight="1.188pt" strokecolor="#000000"/>
            <v:line style="position:absolute" from="2415,1572" to="2474,1572" stroked="true" strokeweight=".593pt" strokecolor="#000000"/>
            <v:line style="position:absolute" from="2409,1572" to="2480,1572" stroked="true" strokeweight="1.188pt" strokecolor="#000000"/>
            <v:line style="position:absolute" from="2546,1489" to="2606,1489" stroked="true" strokeweight=".593pt" strokecolor="#000000"/>
            <v:line style="position:absolute" from="2540,1489" to="2611,1489" stroked="true" strokeweight="1.188pt" strokecolor="#000000"/>
            <v:line style="position:absolute" from="2677,1406" to="2736,1406" stroked="true" strokeweight=".593pt" strokecolor="#000000"/>
            <v:line style="position:absolute" from="2671,1406" to="2742,1406" stroked="true" strokeweight="1.188pt" strokecolor="#000000"/>
            <v:line style="position:absolute" from="2796,1370" to="2855,1370" stroked="true" strokeweight=".614pt" strokecolor="#000000"/>
            <v:line style="position:absolute" from="2790,1370" to="2861,1370" stroked="true" strokeweight="1.208pt" strokecolor="#000000"/>
            <v:line style="position:absolute" from="2927,1453" to="2986,1453" stroked="true" strokeweight=".594pt" strokecolor="#000000"/>
            <v:line style="position:absolute" from="2921,1453" to="2992,1453" stroked="true" strokeweight="1.188pt" strokecolor="#000000"/>
            <v:line style="position:absolute" from="3046,1489" to="3105,1489" stroked="true" strokeweight=".593pt" strokecolor="#000000"/>
            <v:line style="position:absolute" from="3040,1489" to="3111,1489" stroked="true" strokeweight="1.188pt" strokecolor="#000000"/>
            <v:line style="position:absolute" from="3176,1584" to="3236,1584" stroked="true" strokeweight=".595pt" strokecolor="#000000"/>
            <v:line style="position:absolute" from="3171,1584" to="3242,1584" stroked="true" strokeweight="1.188pt" strokecolor="#000000"/>
            <v:line style="position:absolute" from="3296,1572" to="3355,1572" stroked="true" strokeweight=".593pt" strokecolor="#000000"/>
            <v:line style="position:absolute" from="3290,1572" to="3361,1572" stroked="true" strokeweight="1.188pt" strokecolor="#000000"/>
            <v:line style="position:absolute" from="3426,1465" to="3486,1465" stroked="true" strokeweight=".594pt" strokecolor="#000000"/>
            <v:line style="position:absolute" from="3420,1465" to="3492,1465" stroked="true" strokeweight="1.188pt" strokecolor="#000000"/>
            <v:line style="position:absolute" from="3546,1441" to="3605,1441" stroked="true" strokeweight=".593pt" strokecolor="#000000"/>
            <v:line style="position:absolute" from="3540,1441" to="3611,1441" stroked="true" strokeweight="1.188pt" strokecolor="#000000"/>
            <v:line style="position:absolute" from="3676,1418" to="3736,1418" stroked="true" strokeweight=".594pt" strokecolor="#000000"/>
            <v:line style="position:absolute" from="3670,1418" to="3742,1418" stroked="true" strokeweight="1.188pt" strokecolor="#000000"/>
            <v:line style="position:absolute" from="3795,1394" to="3855,1394" stroked="true" strokeweight=".594pt" strokecolor="#000000"/>
            <v:line style="position:absolute" from="3790,1394" to="3861,1394" stroked="true" strokeweight="1.188pt" strokecolor="#000000"/>
            <v:line style="position:absolute" from="3926,1358" to="3986,1358" stroked="true" strokeweight=".594pt" strokecolor="#000000"/>
            <v:line style="position:absolute" from="3920,1358" to="3992,1358" stroked="true" strokeweight="1.188pt" strokecolor="#000000"/>
            <v:line style="position:absolute" from="4045,1346" to="4105,1346" stroked="true" strokeweight=".594pt" strokecolor="#000000"/>
            <v:line style="position:absolute" from="4039,1346" to="4111,1346" stroked="true" strokeweight="1.188pt" strokecolor="#000000"/>
            <v:line style="position:absolute" from="4176,1406" to="4236,1406" stroked="true" strokeweight=".593pt" strokecolor="#000000"/>
            <v:line style="position:absolute" from="4170,1406" to="4242,1406" stroked="true" strokeweight="1.188pt" strokecolor="#000000"/>
            <v:line style="position:absolute" from="4295,1513" to="4355,1513" stroked="true" strokeweight=".594pt" strokecolor="#000000"/>
            <v:line style="position:absolute" from="4289,1513" to="4361,1513" stroked="true" strokeweight="1.188pt" strokecolor="#000000"/>
            <v:line style="position:absolute" from="4426,1525" to="4486,1525" stroked="true" strokeweight=".615pt" strokecolor="#000000"/>
            <v:line style="position:absolute" from="4420,1525" to="4492,1525" stroked="true" strokeweight="1.208pt" strokecolor="#000000"/>
            <v:line style="position:absolute" from="4557,1513" to="4616,1513" stroked="true" strokeweight=".594pt" strokecolor="#000000"/>
            <v:line style="position:absolute" from="4551,1513" to="4622,1513" stroked="true" strokeweight="1.188pt" strokecolor="#000000"/>
            <v:line style="position:absolute" from="4676,1477" to="4736,1477" stroked="true" strokeweight=".594pt" strokecolor="#000000"/>
            <v:line style="position:absolute" from="4670,1477" to="4741,1477" stroked="true" strokeweight="1.188pt" strokecolor="#000000"/>
            <v:line style="position:absolute" from="4807,1465" to="4867,1465" stroked="true" strokeweight=".594pt" strokecolor="#000000"/>
            <v:line style="position:absolute" from="4801,1465" to="4873,1465" stroked="true" strokeweight="1.188pt" strokecolor="#000000"/>
            <v:line style="position:absolute" from="4926,1489" to="4985,1489" stroked="true" strokeweight=".593pt" strokecolor="#000000"/>
            <v:line style="position:absolute" from="4920,1489" to="4991,1489" stroked="true" strokeweight="1.188pt" strokecolor="#000000"/>
            <v:line style="position:absolute" from="5057,1477" to="5116,1477" stroked="true" strokeweight=".594pt" strokecolor="#000000"/>
            <v:line style="position:absolute" from="5051,1477" to="5122,1477" stroked="true" strokeweight="1.188pt" strokecolor="#000000"/>
            <v:line style="position:absolute" from="5176,1441" to="5235,1441" stroked="true" strokeweight=".593pt" strokecolor="#000000"/>
            <v:line style="position:absolute" from="5170,1441" to="5241,1441" stroked="true" strokeweight="1.188pt" strokecolor="#000000"/>
            <v:line style="position:absolute" from="5307,1441" to="5366,1441" stroked="true" strokeweight=".593pt" strokecolor="#000000"/>
            <v:line style="position:absolute" from="5301,1441" to="5372,1441" stroked="true" strokeweight="1.188pt" strokecolor="#000000"/>
            <v:line style="position:absolute" from="5426,1406" to="5485,1406" stroked="true" strokeweight=".593pt" strokecolor="#000000"/>
            <v:line style="position:absolute" from="5420,1406" to="5491,1406" stroked="true" strokeweight="1.188pt" strokecolor="#000000"/>
            <v:line style="position:absolute" from="5557,1489" to="5616,1489" stroked="true" strokeweight=".593pt" strokecolor="#000000"/>
            <v:line style="position:absolute" from="5551,1489" to="5622,1489" stroked="true" strokeweight="1.188pt" strokecolor="#000000"/>
            <v:line style="position:absolute" from="5675,1572" to="5735,1572" stroked="true" strokeweight=".593pt" strokecolor="#000000"/>
            <v:line style="position:absolute" from="5669,1572" to="5741,1572" stroked="true" strokeweight="1.188pt" strokecolor="#000000"/>
            <v:line style="position:absolute" from="5807,1644" to="5866,1644" stroked="true" strokeweight=".594pt" strokecolor="#000000"/>
            <v:line style="position:absolute" from="5801,1644" to="5872,1644" stroked="true" strokeweight="1.188pt" strokecolor="#000000"/>
            <v:line style="position:absolute" from="5925,1644" to="5985,1644" stroked="true" strokeweight=".594pt" strokecolor="#000000"/>
            <v:line style="position:absolute" from="5919,1644" to="5991,1644" stroked="true" strokeweight="1.188pt" strokecolor="#000000"/>
            <v:line style="position:absolute" from="6057,1644" to="6116,1644" stroked="true" strokeweight=".594pt" strokecolor="#000000"/>
            <v:line style="position:absolute" from="6051,1644" to="6122,1644" stroked="true" strokeweight="1.188pt" strokecolor="#000000"/>
            <v:line style="position:absolute" from="6175,1632" to="6235,1632" stroked="true" strokeweight=".593pt" strokecolor="#000000"/>
            <v:line style="position:absolute" from="6169,1632" to="6241,1632" stroked="true" strokeweight="1.188pt" strokecolor="#000000"/>
            <v:line style="position:absolute" from="6306,1679" to="6366,1679" stroked="true" strokeweight=".614pt" strokecolor="#000000"/>
            <v:line style="position:absolute" from="6300,1679" to="6372,1679" stroked="true" strokeweight="1.207pt" strokecolor="#000000"/>
            <v:line style="position:absolute" from="6437,1751" to="6497,1751" stroked="true" strokeweight=".594pt" strokecolor="#000000"/>
            <v:line style="position:absolute" from="6431,1751" to="6503,1751" stroked="true" strokeweight="1.188pt" strokecolor="#000000"/>
            <v:line style="position:absolute" from="6556,1929" to="6616,1929" stroked="true" strokeweight=".594pt" strokecolor="#000000"/>
            <v:line style="position:absolute" from="6550,1929" to="6622,1929" stroked="true" strokeweight="1.188pt" strokecolor="#000000"/>
            <v:line style="position:absolute" from="6687,2001" to="6747,2001" stroked="true" strokeweight=".593pt" strokecolor="#000000"/>
            <v:line style="position:absolute" from="6681,2001" to="6753,2001" stroked="true" strokeweight="1.188pt" strokecolor="#000000"/>
            <v:line style="position:absolute" from="6806,1989" to="6865,1989" stroked="true" strokeweight=".614pt" strokecolor="#000000"/>
            <v:line style="position:absolute" from="6800,1989" to="6871,1989" stroked="true" strokeweight="1.208pt" strokecolor="#000000"/>
            <v:line style="position:absolute" from="6937,1965" to="6997,1965" stroked="true" strokeweight=".594pt" strokecolor="#000000"/>
            <v:line style="position:absolute" from="6931,1965" to="7003,1965" stroked="true" strokeweight="1.188pt" strokecolor="#000000"/>
            <v:line style="position:absolute" from="7056,1941" to="7115,1941" stroked="true" strokeweight=".593pt" strokecolor="#000000"/>
            <v:line style="position:absolute" from="7050,1941" to="7121,1941" stroked="true" strokeweight="1.188pt" strokecolor="#000000"/>
            <v:line style="position:absolute" from="7187,1906" to="7246,1906" stroked="true" strokeweight=".594pt" strokecolor="#000000"/>
            <v:line style="position:absolute" from="7181,1906" to="7252,1906" stroked="true" strokeweight="1.188pt" strokecolor="#000000"/>
            <w10:wrap type="none"/>
          </v:group>
        </w:pict>
      </w:r>
      <w:r>
        <w:rPr>
          <w:rFonts w:ascii="Arial" w:hAnsi="Arial"/>
          <w:w w:val="85"/>
          <w:sz w:val="17"/>
        </w:rPr>
        <w:t>Estados</w:t>
      </w:r>
      <w:r>
        <w:rPr>
          <w:rFonts w:ascii="Arial" w:hAnsi="Arial"/>
          <w:spacing w:val="-16"/>
          <w:w w:val="85"/>
          <w:sz w:val="17"/>
        </w:rPr>
        <w:t> </w:t>
      </w:r>
      <w:r>
        <w:rPr>
          <w:rFonts w:ascii="Arial" w:hAnsi="Arial"/>
          <w:w w:val="85"/>
          <w:sz w:val="17"/>
        </w:rPr>
        <w:t>Unidos.</w:t>
      </w:r>
      <w:r>
        <w:rPr>
          <w:rFonts w:ascii="Arial" w:hAnsi="Arial"/>
          <w:spacing w:val="-20"/>
          <w:w w:val="85"/>
          <w:sz w:val="17"/>
        </w:rPr>
        <w:t> </w:t>
      </w:r>
      <w:r>
        <w:rPr>
          <w:rFonts w:ascii="Arial" w:hAnsi="Arial"/>
          <w:w w:val="85"/>
          <w:sz w:val="17"/>
        </w:rPr>
        <w:t>Evolución</w:t>
      </w:r>
      <w:r>
        <w:rPr>
          <w:rFonts w:ascii="Arial" w:hAnsi="Arial"/>
          <w:spacing w:val="-16"/>
          <w:w w:val="85"/>
          <w:sz w:val="17"/>
        </w:rPr>
        <w:t> </w:t>
      </w:r>
      <w:r>
        <w:rPr>
          <w:rFonts w:ascii="Arial" w:hAnsi="Arial"/>
          <w:w w:val="85"/>
          <w:sz w:val="17"/>
        </w:rPr>
        <w:t>de</w:t>
      </w:r>
      <w:r>
        <w:rPr>
          <w:rFonts w:ascii="Arial" w:hAnsi="Arial"/>
          <w:spacing w:val="-16"/>
          <w:w w:val="85"/>
          <w:sz w:val="17"/>
        </w:rPr>
        <w:t> </w:t>
      </w:r>
      <w:r>
        <w:rPr>
          <w:rFonts w:ascii="Arial" w:hAnsi="Arial"/>
          <w:w w:val="85"/>
          <w:sz w:val="17"/>
        </w:rPr>
        <w:t>las</w:t>
      </w:r>
      <w:r>
        <w:rPr>
          <w:rFonts w:ascii="Arial" w:hAnsi="Arial"/>
          <w:spacing w:val="-16"/>
          <w:w w:val="85"/>
          <w:sz w:val="17"/>
        </w:rPr>
        <w:t> </w:t>
      </w:r>
      <w:r>
        <w:rPr>
          <w:rFonts w:ascii="Arial" w:hAnsi="Arial"/>
          <w:w w:val="85"/>
          <w:sz w:val="17"/>
        </w:rPr>
        <w:t>tasas</w:t>
      </w:r>
      <w:r>
        <w:rPr>
          <w:rFonts w:ascii="Arial" w:hAnsi="Arial"/>
          <w:spacing w:val="-16"/>
          <w:w w:val="85"/>
          <w:sz w:val="17"/>
        </w:rPr>
        <w:t> </w:t>
      </w:r>
      <w:r>
        <w:rPr>
          <w:rFonts w:ascii="Arial" w:hAnsi="Arial"/>
          <w:w w:val="85"/>
          <w:sz w:val="17"/>
        </w:rPr>
        <w:t>de</w:t>
      </w:r>
      <w:r>
        <w:rPr>
          <w:rFonts w:ascii="Arial" w:hAnsi="Arial"/>
          <w:spacing w:val="-16"/>
          <w:w w:val="85"/>
          <w:sz w:val="17"/>
        </w:rPr>
        <w:t> </w:t>
      </w:r>
      <w:r>
        <w:rPr>
          <w:rFonts w:ascii="Arial" w:hAnsi="Arial"/>
          <w:w w:val="85"/>
          <w:sz w:val="17"/>
        </w:rPr>
        <w:t>desempleo</w:t>
      </w:r>
      <w:r>
        <w:rPr>
          <w:rFonts w:ascii="Arial" w:hAnsi="Arial"/>
          <w:spacing w:val="-16"/>
          <w:w w:val="85"/>
          <w:sz w:val="17"/>
        </w:rPr>
        <w:t> </w:t>
      </w:r>
      <w:r>
        <w:rPr>
          <w:rFonts w:ascii="Arial" w:hAnsi="Arial"/>
          <w:w w:val="85"/>
          <w:sz w:val="17"/>
        </w:rPr>
        <w:t>y</w:t>
      </w:r>
      <w:r>
        <w:rPr>
          <w:rFonts w:ascii="Arial" w:hAnsi="Arial"/>
          <w:spacing w:val="-16"/>
          <w:w w:val="85"/>
          <w:sz w:val="17"/>
        </w:rPr>
        <w:t> </w:t>
      </w:r>
      <w:r>
        <w:rPr>
          <w:rFonts w:ascii="Arial" w:hAnsi="Arial"/>
          <w:w w:val="85"/>
          <w:sz w:val="17"/>
        </w:rPr>
        <w:t>empleo</w:t>
      </w:r>
      <w:r>
        <w:rPr>
          <w:rFonts w:ascii="Arial" w:hAnsi="Arial"/>
          <w:spacing w:val="-16"/>
          <w:w w:val="85"/>
          <w:sz w:val="17"/>
        </w:rPr>
        <w:t> </w:t>
      </w:r>
      <w:r>
        <w:rPr>
          <w:rFonts w:ascii="Arial" w:hAnsi="Arial"/>
          <w:w w:val="85"/>
          <w:sz w:val="17"/>
        </w:rPr>
        <w:t>de</w:t>
      </w:r>
      <w:r>
        <w:rPr>
          <w:rFonts w:ascii="Arial" w:hAnsi="Arial"/>
          <w:spacing w:val="-16"/>
          <w:w w:val="85"/>
          <w:sz w:val="17"/>
        </w:rPr>
        <w:t> </w:t>
      </w:r>
      <w:r>
        <w:rPr>
          <w:rFonts w:ascii="Arial" w:hAnsi="Arial"/>
          <w:w w:val="85"/>
          <w:sz w:val="17"/>
        </w:rPr>
        <w:t>jóvenes </w:t>
      </w:r>
      <w:r>
        <w:rPr>
          <w:rFonts w:ascii="Arial" w:hAnsi="Arial"/>
          <w:w w:val="90"/>
          <w:sz w:val="17"/>
        </w:rPr>
        <w:t>de</w:t>
      </w:r>
      <w:r>
        <w:rPr>
          <w:rFonts w:ascii="Arial" w:hAnsi="Arial"/>
          <w:spacing w:val="-22"/>
          <w:w w:val="90"/>
          <w:sz w:val="17"/>
        </w:rPr>
        <w:t> </w:t>
      </w:r>
      <w:r>
        <w:rPr>
          <w:rFonts w:ascii="Arial" w:hAnsi="Arial"/>
          <w:w w:val="90"/>
          <w:sz w:val="17"/>
        </w:rPr>
        <w:t>16</w:t>
      </w:r>
      <w:r>
        <w:rPr>
          <w:rFonts w:ascii="Arial" w:hAnsi="Arial"/>
          <w:spacing w:val="-22"/>
          <w:w w:val="90"/>
          <w:sz w:val="17"/>
        </w:rPr>
        <w:t> </w:t>
      </w:r>
      <w:r>
        <w:rPr>
          <w:rFonts w:ascii="Arial" w:hAnsi="Arial"/>
          <w:w w:val="90"/>
          <w:sz w:val="17"/>
        </w:rPr>
        <w:t>a</w:t>
      </w:r>
      <w:r>
        <w:rPr>
          <w:rFonts w:ascii="Arial" w:hAnsi="Arial"/>
          <w:spacing w:val="-22"/>
          <w:w w:val="90"/>
          <w:sz w:val="17"/>
        </w:rPr>
        <w:t> </w:t>
      </w:r>
      <w:r>
        <w:rPr>
          <w:rFonts w:ascii="Arial" w:hAnsi="Arial"/>
          <w:w w:val="90"/>
          <w:sz w:val="17"/>
        </w:rPr>
        <w:t>24</w:t>
      </w:r>
      <w:r>
        <w:rPr>
          <w:rFonts w:ascii="Arial" w:hAnsi="Arial"/>
          <w:spacing w:val="-22"/>
          <w:w w:val="90"/>
          <w:sz w:val="17"/>
        </w:rPr>
        <w:t> </w:t>
      </w:r>
      <w:r>
        <w:rPr>
          <w:rFonts w:ascii="Arial" w:hAnsi="Arial"/>
          <w:w w:val="90"/>
          <w:sz w:val="17"/>
        </w:rPr>
        <w:t>años,</w:t>
      </w:r>
      <w:r>
        <w:rPr>
          <w:rFonts w:ascii="Arial" w:hAnsi="Arial"/>
          <w:spacing w:val="-25"/>
          <w:w w:val="90"/>
          <w:sz w:val="17"/>
        </w:rPr>
        <w:t> </w:t>
      </w:r>
      <w:r>
        <w:rPr>
          <w:rFonts w:ascii="Arial" w:hAnsi="Arial"/>
          <w:w w:val="90"/>
          <w:sz w:val="17"/>
        </w:rPr>
        <w:t>1970-2014</w:t>
      </w:r>
    </w:p>
    <w:p>
      <w:pPr>
        <w:pStyle w:val="BodyText"/>
        <w:spacing w:before="11"/>
        <w:rPr>
          <w:rFonts w:ascii="Arial"/>
          <w:sz w:val="12"/>
        </w:rPr>
      </w:pPr>
      <w:r>
        <w:rPr/>
        <w:pict>
          <v:line style="position:absolute;mso-position-horizontal-relative:page;mso-position-vertical-relative:paragraph;z-index:3808;mso-wrap-distance-left:0;mso-wrap-distance-right:0" from="39.685101pt,9.899898pt" to="388.346101pt,9.899898pt" stroked="true" strokeweight="1pt" strokecolor="#000000">
            <w10:wrap type="topAndBottom"/>
          </v:line>
        </w:pict>
      </w:r>
    </w:p>
    <w:p>
      <w:pPr>
        <w:tabs>
          <w:tab w:pos="6685" w:val="left" w:leader="none"/>
        </w:tabs>
        <w:spacing w:before="59"/>
        <w:ind w:left="663" w:right="1016" w:firstLine="0"/>
        <w:jc w:val="left"/>
        <w:rPr>
          <w:rFonts w:ascii="Arial"/>
          <w:sz w:val="15"/>
        </w:rPr>
      </w:pPr>
      <w:r>
        <w:rPr>
          <w:rFonts w:ascii="Arial"/>
          <w:spacing w:val="-4"/>
          <w:sz w:val="15"/>
        </w:rPr>
        <w:t>20</w:t>
        <w:tab/>
        <w:t>75</w:t>
      </w:r>
    </w:p>
    <w:p>
      <w:pPr>
        <w:pStyle w:val="BodyText"/>
        <w:rPr>
          <w:rFonts w:ascii="Arial"/>
          <w:sz w:val="20"/>
        </w:rPr>
      </w:pPr>
    </w:p>
    <w:p>
      <w:pPr>
        <w:pStyle w:val="BodyText"/>
        <w:spacing w:before="9"/>
        <w:rPr>
          <w:rFonts w:ascii="Arial"/>
          <w:sz w:val="17"/>
        </w:rPr>
      </w:pPr>
    </w:p>
    <w:p>
      <w:pPr>
        <w:tabs>
          <w:tab w:pos="6685" w:val="left" w:leader="none"/>
        </w:tabs>
        <w:spacing w:before="0"/>
        <w:ind w:left="663" w:right="1016" w:firstLine="0"/>
        <w:jc w:val="left"/>
        <w:rPr>
          <w:rFonts w:ascii="Arial"/>
          <w:sz w:val="15"/>
        </w:rPr>
      </w:pPr>
      <w:r>
        <w:rPr>
          <w:rFonts w:ascii="Arial"/>
          <w:spacing w:val="-4"/>
          <w:sz w:val="15"/>
        </w:rPr>
        <w:t>16</w:t>
        <w:tab/>
        <w:t>60</w:t>
      </w:r>
    </w:p>
    <w:p>
      <w:pPr>
        <w:pStyle w:val="BodyText"/>
        <w:rPr>
          <w:rFonts w:ascii="Arial"/>
          <w:sz w:val="20"/>
        </w:rPr>
      </w:pPr>
    </w:p>
    <w:p>
      <w:pPr>
        <w:pStyle w:val="BodyText"/>
        <w:spacing w:before="9"/>
        <w:rPr>
          <w:rFonts w:ascii="Arial"/>
          <w:sz w:val="17"/>
        </w:rPr>
      </w:pPr>
    </w:p>
    <w:p>
      <w:pPr>
        <w:tabs>
          <w:tab w:pos="6685" w:val="left" w:leader="none"/>
        </w:tabs>
        <w:spacing w:before="0"/>
        <w:ind w:left="663" w:right="1016" w:firstLine="0"/>
        <w:jc w:val="left"/>
        <w:rPr>
          <w:rFonts w:ascii="Arial"/>
          <w:sz w:val="15"/>
        </w:rPr>
      </w:pPr>
      <w:r>
        <w:rPr/>
        <w:pict>
          <v:shape style="position:absolute;margin-left:51.551594pt;margin-top:17.420149pt;width:9.75pt;height:7.9pt;mso-position-horizontal-relative:page;mso-position-vertical-relative:paragraph;z-index:3952" type="#_x0000_t202" filled="false" stroked="false">
            <v:textbox inset="0,0,0,0" style="layout-flow:vertical;mso-layout-flow-alt:bottom-to-top">
              <w:txbxContent>
                <w:p>
                  <w:pPr>
                    <w:spacing w:before="5"/>
                    <w:ind w:left="20" w:right="0" w:firstLine="0"/>
                    <w:jc w:val="left"/>
                    <w:rPr>
                      <w:rFonts w:ascii="Arial"/>
                      <w:sz w:val="15"/>
                    </w:rPr>
                  </w:pPr>
                  <w:r>
                    <w:rPr>
                      <w:rFonts w:ascii="Arial"/>
                      <w:w w:val="88"/>
                      <w:sz w:val="15"/>
                    </w:rPr>
                    <w:t>%</w:t>
                  </w:r>
                </w:p>
              </w:txbxContent>
            </v:textbox>
            <w10:wrap type="none"/>
          </v:shape>
        </w:pict>
      </w:r>
      <w:r>
        <w:rPr>
          <w:rFonts w:ascii="Arial"/>
          <w:spacing w:val="-4"/>
          <w:sz w:val="15"/>
        </w:rPr>
        <w:t>12</w:t>
        <w:tab/>
        <w:t>45</w:t>
      </w:r>
    </w:p>
    <w:p>
      <w:pPr>
        <w:pStyle w:val="BodyText"/>
        <w:rPr>
          <w:rFonts w:ascii="Arial"/>
          <w:sz w:val="20"/>
        </w:rPr>
      </w:pPr>
    </w:p>
    <w:p>
      <w:pPr>
        <w:pStyle w:val="BodyText"/>
        <w:spacing w:before="9"/>
        <w:rPr>
          <w:rFonts w:ascii="Arial"/>
          <w:sz w:val="18"/>
        </w:rPr>
      </w:pPr>
    </w:p>
    <w:p>
      <w:pPr>
        <w:tabs>
          <w:tab w:pos="6685" w:val="left" w:leader="none"/>
        </w:tabs>
        <w:spacing w:before="1"/>
        <w:ind w:left="735" w:right="1016" w:firstLine="0"/>
        <w:jc w:val="left"/>
        <w:rPr>
          <w:rFonts w:ascii="Arial"/>
          <w:sz w:val="15"/>
        </w:rPr>
      </w:pPr>
      <w:r>
        <w:rPr>
          <w:rFonts w:ascii="Arial"/>
          <w:sz w:val="15"/>
        </w:rPr>
        <w:t>8</w:t>
        <w:tab/>
      </w:r>
      <w:r>
        <w:rPr>
          <w:rFonts w:ascii="Arial"/>
          <w:spacing w:val="-4"/>
          <w:sz w:val="15"/>
        </w:rPr>
        <w:t>30</w:t>
      </w:r>
    </w:p>
    <w:p>
      <w:pPr>
        <w:pStyle w:val="BodyText"/>
        <w:rPr>
          <w:rFonts w:ascii="Arial"/>
          <w:sz w:val="20"/>
        </w:rPr>
      </w:pPr>
    </w:p>
    <w:p>
      <w:pPr>
        <w:pStyle w:val="BodyText"/>
        <w:spacing w:before="9"/>
        <w:rPr>
          <w:rFonts w:ascii="Arial"/>
          <w:sz w:val="17"/>
        </w:rPr>
      </w:pPr>
    </w:p>
    <w:p>
      <w:pPr>
        <w:tabs>
          <w:tab w:pos="6685" w:val="left" w:leader="none"/>
        </w:tabs>
        <w:spacing w:before="0"/>
        <w:ind w:left="735" w:right="1016" w:firstLine="0"/>
        <w:jc w:val="left"/>
        <w:rPr>
          <w:rFonts w:ascii="Arial"/>
          <w:sz w:val="15"/>
        </w:rPr>
      </w:pPr>
      <w:r>
        <w:rPr>
          <w:rFonts w:ascii="Arial"/>
          <w:sz w:val="15"/>
        </w:rPr>
        <w:t>4</w:t>
        <w:tab/>
      </w:r>
      <w:r>
        <w:rPr>
          <w:rFonts w:ascii="Arial"/>
          <w:spacing w:val="-4"/>
          <w:sz w:val="15"/>
        </w:rPr>
        <w:t>15</w:t>
      </w:r>
    </w:p>
    <w:p>
      <w:pPr>
        <w:pStyle w:val="BodyText"/>
        <w:rPr>
          <w:rFonts w:ascii="Arial"/>
          <w:sz w:val="20"/>
        </w:rPr>
      </w:pPr>
    </w:p>
    <w:p>
      <w:pPr>
        <w:pStyle w:val="BodyText"/>
        <w:spacing w:before="9"/>
        <w:rPr>
          <w:rFonts w:ascii="Arial"/>
          <w:sz w:val="17"/>
        </w:rPr>
      </w:pPr>
    </w:p>
    <w:p>
      <w:pPr>
        <w:tabs>
          <w:tab w:pos="5949" w:val="left" w:leader="none"/>
        </w:tabs>
        <w:spacing w:before="0"/>
        <w:ind w:left="0" w:right="610" w:firstLine="0"/>
        <w:jc w:val="center"/>
        <w:rPr>
          <w:rFonts w:ascii="Arial"/>
          <w:sz w:val="15"/>
        </w:rPr>
      </w:pPr>
      <w:r>
        <w:rPr>
          <w:rFonts w:ascii="Arial"/>
          <w:sz w:val="15"/>
        </w:rPr>
        <w:t>0</w:t>
        <w:tab/>
        <w:t>0</w:t>
      </w:r>
    </w:p>
    <w:p>
      <w:pPr>
        <w:tabs>
          <w:tab w:pos="499" w:val="left" w:leader="none"/>
          <w:tab w:pos="1011" w:val="left" w:leader="none"/>
          <w:tab w:pos="1511" w:val="left" w:leader="none"/>
          <w:tab w:pos="2011" w:val="left" w:leader="none"/>
          <w:tab w:pos="2511" w:val="left" w:leader="none"/>
          <w:tab w:pos="3010" w:val="left" w:leader="none"/>
          <w:tab w:pos="3510" w:val="left" w:leader="none"/>
          <w:tab w:pos="4010" w:val="left" w:leader="none"/>
          <w:tab w:pos="4510" w:val="left" w:leader="none"/>
          <w:tab w:pos="5022" w:val="left" w:leader="none"/>
          <w:tab w:pos="5521" w:val="left" w:leader="none"/>
        </w:tabs>
        <w:spacing w:before="53"/>
        <w:ind w:left="0" w:right="619" w:firstLine="0"/>
        <w:jc w:val="center"/>
        <w:rPr>
          <w:rFonts w:ascii="Arial"/>
          <w:sz w:val="15"/>
        </w:rPr>
      </w:pPr>
      <w:r>
        <w:rPr/>
        <w:pict>
          <v:line style="position:absolute;mso-position-horizontal-relative:page;mso-position-vertical-relative:paragraph;z-index:-254704" from="169.539001pt,26.939718pt" to="184.998001pt,26.939718pt" stroked="true" strokeweight=".594pt" strokecolor="#000000">
            <w10:wrap type="none"/>
          </v:line>
        </w:pict>
      </w:r>
      <w:r>
        <w:rPr/>
        <w:pict>
          <v:group style="position:absolute;margin-left:229.618698pt;margin-top:26.043018pt;width:16.7pt;height:1.5pt;mso-position-horizontal-relative:page;mso-position-vertical-relative:paragraph;z-index:-254680" coordorigin="4592,521" coordsize="334,30">
            <v:line style="position:absolute" from="4604,539" to="4914,539" stroked="true" strokeweight="1.188pt" strokecolor="#000000"/>
            <v:line style="position:absolute" from="4759,533" to="4795,533" stroked="true" strokeweight=".594pt" strokecolor="#000000"/>
            <v:line style="position:absolute" from="4753,533" to="4801,533" stroked="true" strokeweight="1.188pt" strokecolor="#000000"/>
            <w10:wrap type="none"/>
          </v:group>
        </w:pict>
      </w:r>
      <w:r>
        <w:rPr>
          <w:rFonts w:ascii="Arial"/>
          <w:spacing w:val="-6"/>
          <w:sz w:val="15"/>
        </w:rPr>
        <w:t>1970</w:t>
        <w:tab/>
        <w:t>1974</w:t>
        <w:tab/>
        <w:t>1978</w:t>
        <w:tab/>
        <w:t>1982</w:t>
        <w:tab/>
        <w:t>1986</w:t>
        <w:tab/>
        <w:t>1990</w:t>
        <w:tab/>
        <w:t>1994</w:t>
        <w:tab/>
        <w:t>1998</w:t>
        <w:tab/>
        <w:t>2002</w:t>
        <w:tab/>
        <w:t>2006</w:t>
        <w:tab/>
        <w:t>2010</w:t>
        <w:tab/>
        <w:t>2014</w:t>
      </w:r>
    </w:p>
    <w:p>
      <w:pPr>
        <w:pStyle w:val="BodyText"/>
        <w:rPr>
          <w:rFonts w:ascii="Arial"/>
          <w:sz w:val="13"/>
        </w:rPr>
      </w:pPr>
      <w:r>
        <w:rPr/>
        <w:pict>
          <v:shape style="position:absolute;margin-left:164.192596pt;margin-top:9.728751pt;width:114.25pt;height:12.5pt;mso-position-horizontal-relative:page;mso-position-vertical-relative:paragraph;z-index:3832;mso-wrap-distance-left:0;mso-wrap-distance-right:0" type="#_x0000_t202" filled="false" stroked="true" strokeweight=".594pt" strokecolor="#000000">
            <v:textbox inset="0,0,0,0">
              <w:txbxContent>
                <w:p>
                  <w:pPr>
                    <w:tabs>
                      <w:tab w:pos="1647" w:val="left" w:leader="none"/>
                    </w:tabs>
                    <w:spacing w:before="48"/>
                    <w:ind w:left="434" w:right="0" w:firstLine="0"/>
                    <w:jc w:val="left"/>
                    <w:rPr>
                      <w:rFonts w:ascii="Arial"/>
                      <w:sz w:val="12"/>
                    </w:rPr>
                  </w:pPr>
                  <w:r>
                    <w:rPr>
                      <w:rFonts w:ascii="Arial"/>
                      <w:spacing w:val="8"/>
                      <w:w w:val="85"/>
                      <w:sz w:val="12"/>
                    </w:rPr>
                    <w:t>Desempleo</w:t>
                  </w:r>
                  <w:r>
                    <w:rPr>
                      <w:rFonts w:ascii="Arial"/>
                      <w:spacing w:val="-8"/>
                      <w:w w:val="85"/>
                      <w:sz w:val="12"/>
                    </w:rPr>
                    <w:t> </w:t>
                  </w:r>
                  <w:r>
                    <w:rPr>
                      <w:rFonts w:ascii="Arial"/>
                      <w:spacing w:val="6"/>
                      <w:w w:val="85"/>
                      <w:sz w:val="12"/>
                    </w:rPr>
                    <w:t>(I)</w:t>
                    <w:tab/>
                  </w:r>
                  <w:r>
                    <w:rPr>
                      <w:rFonts w:ascii="Arial"/>
                      <w:spacing w:val="10"/>
                      <w:w w:val="80"/>
                      <w:sz w:val="12"/>
                    </w:rPr>
                    <w:t>Empleo</w:t>
                  </w:r>
                  <w:r>
                    <w:rPr>
                      <w:rFonts w:ascii="Arial"/>
                      <w:spacing w:val="4"/>
                      <w:w w:val="80"/>
                      <w:sz w:val="12"/>
                    </w:rPr>
                    <w:t> </w:t>
                  </w:r>
                  <w:r>
                    <w:rPr>
                      <w:rFonts w:ascii="Arial"/>
                      <w:spacing w:val="8"/>
                      <w:w w:val="80"/>
                      <w:sz w:val="12"/>
                    </w:rPr>
                    <w:t>(D)</w:t>
                  </w:r>
                  <w:r>
                    <w:rPr>
                      <w:rFonts w:ascii="Arial"/>
                      <w:spacing w:val="-21"/>
                      <w:sz w:val="12"/>
                    </w:rPr>
                    <w:t> </w:t>
                  </w:r>
                </w:p>
              </w:txbxContent>
            </v:textbox>
            <w10:wrap type="topAndBottom"/>
          </v:shape>
        </w:pict>
      </w:r>
      <w:r>
        <w:rPr/>
        <w:pict>
          <v:line style="position:absolute;mso-position-horizontal-relative:page;mso-position-vertical-relative:paragraph;z-index:3856;mso-wrap-distance-left:0;mso-wrap-distance-right:0" from="39.685101pt,32.584351pt" to="388.346101pt,32.584351pt" stroked="true" strokeweight="1pt" strokecolor="#000000">
            <w10:wrap type="topAndBottom"/>
          </v:line>
        </w:pict>
      </w:r>
    </w:p>
    <w:p>
      <w:pPr>
        <w:pStyle w:val="BodyText"/>
        <w:spacing w:before="8"/>
        <w:rPr>
          <w:rFonts w:ascii="Arial"/>
          <w:sz w:val="10"/>
        </w:rPr>
      </w:pPr>
    </w:p>
    <w:p>
      <w:pPr>
        <w:spacing w:before="5"/>
        <w:ind w:left="113" w:right="1016" w:firstLine="0"/>
        <w:jc w:val="left"/>
        <w:rPr>
          <w:rFonts w:ascii="Arial"/>
          <w:sz w:val="14"/>
        </w:rPr>
      </w:pPr>
      <w:r>
        <w:rPr>
          <w:rFonts w:ascii="Arial"/>
          <w:w w:val="85"/>
          <w:sz w:val="14"/>
        </w:rPr>
        <w:t>Fuente: Bureau of Labor Statistics.</w:t>
      </w:r>
    </w:p>
    <w:p>
      <w:pPr>
        <w:pStyle w:val="BodyText"/>
        <w:spacing w:before="6"/>
        <w:rPr>
          <w:rFonts w:ascii="Arial"/>
          <w:sz w:val="29"/>
        </w:rPr>
      </w:pPr>
    </w:p>
    <w:p>
      <w:pPr>
        <w:pStyle w:val="BodyText"/>
        <w:spacing w:line="252" w:lineRule="auto" w:before="72"/>
        <w:ind w:left="850" w:right="1017"/>
        <w:jc w:val="both"/>
      </w:pPr>
      <w:r>
        <w:rPr>
          <w:w w:val="110"/>
        </w:rPr>
        <w:t>El desempleo estructural, más que el desempleo cíclico, y la precarie- dad laboral generan mayor desigualdad; a la vez, ésta impacta en la economía, produciéndose un círculo vicioso de desocupación y dete- </w:t>
      </w:r>
      <w:r>
        <w:rPr>
          <w:w w:val="109"/>
        </w:rPr>
        <w:t>rioro</w:t>
      </w:r>
      <w:r>
        <w:rPr>
          <w:spacing w:val="2"/>
        </w:rPr>
        <w:t> </w:t>
      </w:r>
      <w:r>
        <w:rPr>
          <w:w w:val="107"/>
        </w:rPr>
        <w:t>de</w:t>
      </w:r>
      <w:r>
        <w:rPr>
          <w:spacing w:val="2"/>
        </w:rPr>
        <w:t> </w:t>
      </w:r>
      <w:r>
        <w:rPr>
          <w:w w:val="109"/>
        </w:rPr>
        <w:t>las</w:t>
      </w:r>
      <w:r>
        <w:rPr>
          <w:spacing w:val="2"/>
        </w:rPr>
        <w:t> </w:t>
      </w:r>
      <w:r>
        <w:rPr>
          <w:w w:val="111"/>
        </w:rPr>
        <w:t>ocupaciones</w:t>
      </w:r>
      <w:r>
        <w:rPr>
          <w:spacing w:val="2"/>
        </w:rPr>
        <w:t> </w:t>
      </w:r>
      <w:r>
        <w:rPr>
          <w:w w:val="109"/>
        </w:rPr>
        <w:t>generadas.</w:t>
      </w:r>
      <w:r>
        <w:rPr>
          <w:spacing w:val="2"/>
        </w:rPr>
        <w:t> </w:t>
      </w:r>
      <w:r>
        <w:rPr>
          <w:w w:val="243"/>
        </w:rPr>
        <w:t>l</w:t>
      </w:r>
      <w:r>
        <w:rPr>
          <w:w w:val="112"/>
        </w:rPr>
        <w:t>a</w:t>
      </w:r>
      <w:r>
        <w:rPr>
          <w:spacing w:val="2"/>
        </w:rPr>
        <w:t> </w:t>
      </w:r>
      <w:r>
        <w:rPr>
          <w:w w:val="112"/>
        </w:rPr>
        <w:t>flexibilización,</w:t>
      </w:r>
      <w:r>
        <w:rPr>
          <w:spacing w:val="2"/>
        </w:rPr>
        <w:t> </w:t>
      </w:r>
      <w:r>
        <w:rPr>
          <w:w w:val="109"/>
        </w:rPr>
        <w:t>desregulación</w:t>
      </w:r>
      <w:r>
        <w:rPr>
          <w:spacing w:val="2"/>
        </w:rPr>
        <w:t> </w:t>
      </w:r>
      <w:r>
        <w:rPr>
          <w:w w:val="105"/>
        </w:rPr>
        <w:t>y </w:t>
      </w:r>
      <w:r>
        <w:rPr>
          <w:w w:val="110"/>
        </w:rPr>
        <w:t>consiguiente precariedad del trabajo se ha orientado al</w:t>
      </w:r>
      <w:r>
        <w:rPr>
          <w:spacing w:val="-25"/>
          <w:w w:val="110"/>
        </w:rPr>
        <w:t> </w:t>
      </w:r>
      <w:r>
        <w:rPr>
          <w:w w:val="110"/>
        </w:rPr>
        <w:t>abaratamiento de los costos de la fuerza de trabajo y a la maximización de las ga- nancias empresariales. En ese sentido, no son resultado de la crisis,     e incluso podrían operar mejor en condiciones de estabilidad econó- mica. de ahí que, según rifkin (2004), a modo de ejemplo, gran parte de los empleos encontrados por muchos de los trabajadores durante el periodo expansivo de la economía entre 1995 y 2000 fueron tem- porales, a tiempo parcial, sin seguro médico </w:t>
      </w:r>
      <w:r>
        <w:rPr>
          <w:spacing w:val="-11"/>
          <w:w w:val="110"/>
        </w:rPr>
        <w:t>y, </w:t>
      </w:r>
      <w:r>
        <w:rPr>
          <w:w w:val="110"/>
        </w:rPr>
        <w:t>en muchos casos, en </w:t>
      </w:r>
      <w:r>
        <w:rPr>
          <w:w w:val="109"/>
        </w:rPr>
        <w:t>régimen</w:t>
      </w:r>
      <w:r>
        <w:rPr>
          <w:spacing w:val="5"/>
        </w:rPr>
        <w:t> </w:t>
      </w:r>
      <w:r>
        <w:rPr>
          <w:w w:val="107"/>
        </w:rPr>
        <w:t>de</w:t>
      </w:r>
      <w:r>
        <w:rPr>
          <w:spacing w:val="5"/>
        </w:rPr>
        <w:t> </w:t>
      </w:r>
      <w:r>
        <w:rPr>
          <w:w w:val="110"/>
        </w:rPr>
        <w:t>subempleos.</w:t>
      </w:r>
      <w:r>
        <w:rPr>
          <w:spacing w:val="5"/>
        </w:rPr>
        <w:t> </w:t>
      </w:r>
      <w:r>
        <w:rPr>
          <w:w w:val="243"/>
        </w:rPr>
        <w:t>l</w:t>
      </w:r>
      <w:r>
        <w:rPr>
          <w:w w:val="112"/>
        </w:rPr>
        <w:t>a</w:t>
      </w:r>
      <w:r>
        <w:rPr>
          <w:spacing w:val="5"/>
        </w:rPr>
        <w:t> </w:t>
      </w:r>
      <w:r>
        <w:rPr>
          <w:w w:val="109"/>
        </w:rPr>
        <w:t>crisis</w:t>
      </w:r>
      <w:r>
        <w:rPr>
          <w:spacing w:val="5"/>
        </w:rPr>
        <w:t> </w:t>
      </w:r>
      <w:r>
        <w:rPr>
          <w:w w:val="107"/>
        </w:rPr>
        <w:t>de</w:t>
      </w:r>
      <w:r>
        <w:rPr>
          <w:spacing w:val="5"/>
        </w:rPr>
        <w:t> </w:t>
      </w:r>
      <w:r>
        <w:rPr>
          <w:w w:val="102"/>
        </w:rPr>
        <w:t>2008</w:t>
      </w:r>
      <w:r>
        <w:rPr>
          <w:spacing w:val="5"/>
        </w:rPr>
        <w:t> </w:t>
      </w:r>
      <w:r>
        <w:rPr>
          <w:w w:val="109"/>
        </w:rPr>
        <w:t>sólo</w:t>
      </w:r>
      <w:r>
        <w:rPr>
          <w:spacing w:val="5"/>
        </w:rPr>
        <w:t> </w:t>
      </w:r>
      <w:r>
        <w:rPr>
          <w:w w:val="111"/>
        </w:rPr>
        <w:t>profundizó</w:t>
      </w:r>
      <w:r>
        <w:rPr>
          <w:spacing w:val="5"/>
        </w:rPr>
        <w:t> </w:t>
      </w:r>
      <w:r>
        <w:rPr>
          <w:w w:val="107"/>
        </w:rPr>
        <w:t>el</w:t>
      </w:r>
      <w:r>
        <w:rPr>
          <w:spacing w:val="5"/>
        </w:rPr>
        <w:t> </w:t>
      </w:r>
      <w:r>
        <w:rPr>
          <w:w w:val="107"/>
        </w:rPr>
        <w:t>deterioro </w:t>
      </w:r>
      <w:r>
        <w:rPr>
          <w:w w:val="110"/>
        </w:rPr>
        <w:t>del mercado</w:t>
      </w:r>
      <w:r>
        <w:rPr>
          <w:spacing w:val="27"/>
          <w:w w:val="110"/>
        </w:rPr>
        <w:t> </w:t>
      </w:r>
      <w:r>
        <w:rPr>
          <w:w w:val="110"/>
        </w:rPr>
        <w:t>laboral.</w:t>
      </w:r>
    </w:p>
    <w:p>
      <w:pPr>
        <w:pStyle w:val="BodyText"/>
        <w:spacing w:line="252" w:lineRule="auto"/>
        <w:ind w:left="850" w:right="1014" w:firstLine="396"/>
        <w:jc w:val="both"/>
      </w:pPr>
      <w:r>
        <w:rPr>
          <w:w w:val="110"/>
        </w:rPr>
        <w:t>El mercado de trabajo de Estados unidos estuvo, hasta  hace  poco, enmarcado por la estructura institucional que derivó de la  crisis de la década de 1930 y de la institucionalización que provino   de</w:t>
      </w:r>
      <w:r>
        <w:rPr>
          <w:spacing w:val="21"/>
          <w:w w:val="110"/>
        </w:rPr>
        <w:t> </w:t>
      </w:r>
      <w:r>
        <w:rPr>
          <w:w w:val="110"/>
        </w:rPr>
        <w:t>las</w:t>
      </w:r>
      <w:r>
        <w:rPr>
          <w:spacing w:val="21"/>
          <w:w w:val="110"/>
        </w:rPr>
        <w:t> </w:t>
      </w:r>
      <w:r>
        <w:rPr>
          <w:w w:val="110"/>
        </w:rPr>
        <w:t>reformas</w:t>
      </w:r>
      <w:r>
        <w:rPr>
          <w:spacing w:val="21"/>
          <w:w w:val="110"/>
        </w:rPr>
        <w:t> </w:t>
      </w:r>
      <w:r>
        <w:rPr>
          <w:w w:val="110"/>
        </w:rPr>
        <w:t>del</w:t>
      </w:r>
      <w:r>
        <w:rPr>
          <w:spacing w:val="21"/>
          <w:w w:val="110"/>
        </w:rPr>
        <w:t> </w:t>
      </w:r>
      <w:r>
        <w:rPr>
          <w:i/>
          <w:w w:val="110"/>
        </w:rPr>
        <w:t>New</w:t>
      </w:r>
      <w:r>
        <w:rPr>
          <w:i/>
          <w:spacing w:val="21"/>
          <w:w w:val="110"/>
        </w:rPr>
        <w:t> </w:t>
      </w:r>
      <w:r>
        <w:rPr>
          <w:i/>
          <w:w w:val="110"/>
        </w:rPr>
        <w:t>Deal</w:t>
      </w:r>
      <w:r>
        <w:rPr>
          <w:i/>
          <w:spacing w:val="21"/>
          <w:w w:val="110"/>
        </w:rPr>
        <w:t> </w:t>
      </w:r>
      <w:r>
        <w:rPr>
          <w:w w:val="110"/>
        </w:rPr>
        <w:t>(Piore,</w:t>
      </w:r>
      <w:r>
        <w:rPr>
          <w:spacing w:val="21"/>
          <w:w w:val="110"/>
        </w:rPr>
        <w:t> </w:t>
      </w:r>
      <w:r>
        <w:rPr>
          <w:w w:val="110"/>
        </w:rPr>
        <w:t>1983).</w:t>
      </w:r>
      <w:r>
        <w:rPr>
          <w:spacing w:val="21"/>
          <w:w w:val="110"/>
        </w:rPr>
        <w:t> </w:t>
      </w:r>
      <w:r>
        <w:rPr>
          <w:w w:val="110"/>
        </w:rPr>
        <w:t>No</w:t>
      </w:r>
      <w:r>
        <w:rPr>
          <w:spacing w:val="21"/>
          <w:w w:val="110"/>
        </w:rPr>
        <w:t> </w:t>
      </w:r>
      <w:r>
        <w:rPr>
          <w:w w:val="110"/>
        </w:rPr>
        <w:t>obstante,</w:t>
      </w:r>
      <w:r>
        <w:rPr>
          <w:spacing w:val="21"/>
          <w:w w:val="110"/>
        </w:rPr>
        <w:t> </w:t>
      </w:r>
      <w:r>
        <w:rPr>
          <w:w w:val="110"/>
        </w:rPr>
        <w:t>esta</w:t>
      </w:r>
      <w:r>
        <w:rPr>
          <w:spacing w:val="21"/>
          <w:w w:val="110"/>
        </w:rPr>
        <w:t> </w:t>
      </w:r>
      <w:r>
        <w:rPr>
          <w:spacing w:val="2"/>
          <w:w w:val="110"/>
        </w:rPr>
        <w:t>crisis</w:t>
      </w:r>
    </w:p>
    <w:p>
      <w:pPr>
        <w:pStyle w:val="BodyText"/>
        <w:ind w:left="850"/>
        <w:jc w:val="both"/>
      </w:pPr>
      <w:r>
        <w:rPr>
          <w:w w:val="120"/>
        </w:rPr>
        <w:t>–contraria a otras durante los siglos </w:t>
      </w:r>
      <w:r>
        <w:rPr>
          <w:w w:val="130"/>
        </w:rPr>
        <w:t>xix </w:t>
      </w:r>
      <w:r>
        <w:rPr>
          <w:w w:val="120"/>
        </w:rPr>
        <w:t>y xx– no generó una nueva</w:t>
      </w:r>
    </w:p>
    <w:p>
      <w:pPr>
        <w:spacing w:after="0"/>
        <w:jc w:val="both"/>
        <w:sectPr>
          <w:footerReference w:type="even" r:id="rId227"/>
          <w:footerReference w:type="default" r:id="rId228"/>
          <w:pgSz w:w="8790" w:h="12760"/>
          <w:pgMar w:footer="725" w:header="697" w:top="880" w:bottom="920" w:left="680" w:right="0"/>
          <w:pgNumType w:start="152"/>
        </w:sectPr>
      </w:pPr>
    </w:p>
    <w:p>
      <w:pPr>
        <w:pStyle w:val="BodyText"/>
        <w:spacing w:before="9"/>
        <w:rPr>
          <w:sz w:val="28"/>
        </w:rPr>
      </w:pPr>
    </w:p>
    <w:p>
      <w:pPr>
        <w:pStyle w:val="BodyText"/>
        <w:spacing w:line="252" w:lineRule="auto" w:before="73"/>
        <w:ind w:left="100" w:right="324"/>
        <w:jc w:val="both"/>
      </w:pPr>
      <w:r>
        <w:rPr>
          <w:w w:val="110"/>
        </w:rPr>
        <w:t>estructura institucional que garantizara el reinicio de un periodo de rápido crecimiento económico e influyera en una reconfiguración positiva de la clase trabajadora (Gordon, Edwards  y  reich,  </w:t>
      </w:r>
      <w:r>
        <w:rPr>
          <w:spacing w:val="2"/>
          <w:w w:val="110"/>
        </w:rPr>
        <w:t>1986). </w:t>
      </w:r>
      <w:r>
        <w:rPr>
          <w:w w:val="110"/>
        </w:rPr>
        <w:t>Esta vez, esto no pasó así </w:t>
      </w:r>
      <w:r>
        <w:rPr>
          <w:spacing w:val="-10"/>
          <w:w w:val="110"/>
        </w:rPr>
        <w:t>y, </w:t>
      </w:r>
      <w:r>
        <w:rPr>
          <w:w w:val="110"/>
        </w:rPr>
        <w:t>por el contrario, el mercado laboral no </w:t>
      </w:r>
      <w:r>
        <w:rPr>
          <w:spacing w:val="2"/>
          <w:w w:val="107"/>
        </w:rPr>
        <w:t>volvi</w:t>
      </w:r>
      <w:r>
        <w:rPr>
          <w:w w:val="107"/>
        </w:rPr>
        <w:t>ó</w:t>
      </w:r>
      <w:r>
        <w:rPr/>
        <w:t> </w:t>
      </w:r>
      <w:r>
        <w:rPr>
          <w:spacing w:val="-15"/>
        </w:rPr>
        <w:t> </w:t>
      </w:r>
      <w:r>
        <w:rPr>
          <w:w w:val="112"/>
        </w:rPr>
        <w:t>a</w:t>
      </w:r>
      <w:r>
        <w:rPr/>
        <w:t> </w:t>
      </w:r>
      <w:r>
        <w:rPr>
          <w:spacing w:val="-15"/>
        </w:rPr>
        <w:t> </w:t>
      </w:r>
      <w:r>
        <w:rPr>
          <w:spacing w:val="2"/>
          <w:w w:val="109"/>
        </w:rPr>
        <w:t>s</w:t>
      </w:r>
      <w:r>
        <w:rPr>
          <w:w w:val="109"/>
        </w:rPr>
        <w:t>u</w:t>
      </w:r>
      <w:r>
        <w:rPr/>
        <w:t> </w:t>
      </w:r>
      <w:r>
        <w:rPr>
          <w:spacing w:val="-15"/>
        </w:rPr>
        <w:t> </w:t>
      </w:r>
      <w:r>
        <w:rPr>
          <w:spacing w:val="2"/>
          <w:w w:val="111"/>
        </w:rPr>
        <w:t>normalida</w:t>
      </w:r>
      <w:r>
        <w:rPr>
          <w:w w:val="111"/>
        </w:rPr>
        <w:t>d</w:t>
      </w:r>
      <w:r>
        <w:rPr/>
        <w:t> </w:t>
      </w:r>
      <w:r>
        <w:rPr>
          <w:spacing w:val="-15"/>
        </w:rPr>
        <w:t> </w:t>
      </w:r>
      <w:r>
        <w:rPr>
          <w:spacing w:val="2"/>
          <w:w w:val="98"/>
        </w:rPr>
        <w:t>(</w:t>
      </w:r>
      <w:r>
        <w:rPr>
          <w:spacing w:val="2"/>
          <w:w w:val="149"/>
        </w:rPr>
        <w:t>o</w:t>
      </w:r>
      <w:r>
        <w:rPr>
          <w:spacing w:val="2"/>
          <w:w w:val="124"/>
        </w:rPr>
        <w:t>C</w:t>
      </w:r>
      <w:r>
        <w:rPr>
          <w:spacing w:val="2"/>
          <w:w w:val="139"/>
        </w:rPr>
        <w:t>d</w:t>
      </w:r>
      <w:r>
        <w:rPr>
          <w:spacing w:val="2"/>
          <w:w w:val="128"/>
        </w:rPr>
        <w:t>E</w:t>
      </w:r>
      <w:r>
        <w:rPr>
          <w:w w:val="138"/>
        </w:rPr>
        <w:t>,</w:t>
      </w:r>
      <w:r>
        <w:rPr/>
        <w:t> </w:t>
      </w:r>
      <w:r>
        <w:rPr>
          <w:spacing w:val="-15"/>
        </w:rPr>
        <w:t> </w:t>
      </w:r>
      <w:r>
        <w:rPr>
          <w:spacing w:val="2"/>
          <w:w w:val="111"/>
        </w:rPr>
        <w:t>citad</w:t>
      </w:r>
      <w:r>
        <w:rPr>
          <w:w w:val="111"/>
        </w:rPr>
        <w:t>o</w:t>
      </w:r>
      <w:r>
        <w:rPr/>
        <w:t> </w:t>
      </w:r>
      <w:r>
        <w:rPr>
          <w:spacing w:val="-15"/>
        </w:rPr>
        <w:t> </w:t>
      </w:r>
      <w:r>
        <w:rPr>
          <w:spacing w:val="2"/>
          <w:w w:val="108"/>
        </w:rPr>
        <w:t>po</w:t>
      </w:r>
      <w:r>
        <w:rPr>
          <w:w w:val="108"/>
        </w:rPr>
        <w:t>r</w:t>
      </w:r>
      <w:r>
        <w:rPr/>
        <w:t> </w:t>
      </w:r>
      <w:r>
        <w:rPr>
          <w:spacing w:val="-15"/>
        </w:rPr>
        <w:t> </w:t>
      </w:r>
      <w:r>
        <w:rPr>
          <w:i/>
          <w:spacing w:val="2"/>
          <w:w w:val="120"/>
        </w:rPr>
        <w:t>E</w:t>
      </w:r>
      <w:r>
        <w:rPr>
          <w:i/>
          <w:w w:val="120"/>
        </w:rPr>
        <w:t>l</w:t>
      </w:r>
      <w:r>
        <w:rPr>
          <w:i/>
        </w:rPr>
        <w:t> </w:t>
      </w:r>
      <w:r>
        <w:rPr>
          <w:i/>
          <w:spacing w:val="-15"/>
        </w:rPr>
        <w:t> </w:t>
      </w:r>
      <w:r>
        <w:rPr>
          <w:i/>
          <w:spacing w:val="2"/>
          <w:w w:val="111"/>
        </w:rPr>
        <w:t>Universal</w:t>
      </w:r>
      <w:r>
        <w:rPr>
          <w:w w:val="138"/>
        </w:rPr>
        <w:t>,</w:t>
      </w:r>
      <w:r>
        <w:rPr/>
        <w:t> </w:t>
      </w:r>
      <w:r>
        <w:rPr>
          <w:spacing w:val="-15"/>
        </w:rPr>
        <w:t> </w:t>
      </w:r>
      <w:r>
        <w:rPr>
          <w:spacing w:val="2"/>
          <w:w w:val="104"/>
        </w:rPr>
        <w:t>2014)</w:t>
      </w:r>
      <w:r>
        <w:rPr>
          <w:w w:val="104"/>
        </w:rPr>
        <w:t>.</w:t>
      </w:r>
      <w:r>
        <w:rPr/>
        <w:t> </w:t>
      </w:r>
      <w:r>
        <w:rPr>
          <w:spacing w:val="-15"/>
        </w:rPr>
        <w:t> </w:t>
      </w:r>
      <w:r>
        <w:rPr>
          <w:spacing w:val="2"/>
          <w:w w:val="243"/>
        </w:rPr>
        <w:t>l</w:t>
      </w:r>
      <w:r>
        <w:rPr>
          <w:spacing w:val="2"/>
          <w:w w:val="108"/>
        </w:rPr>
        <w:t>os </w:t>
      </w:r>
      <w:r>
        <w:rPr>
          <w:w w:val="110"/>
        </w:rPr>
        <w:t>nuevos trabajadores, entre ellos los más vulnerables, tuvieron </w:t>
      </w:r>
      <w:r>
        <w:rPr>
          <w:spacing w:val="2"/>
          <w:w w:val="110"/>
        </w:rPr>
        <w:t>que </w:t>
      </w:r>
      <w:r>
        <w:rPr>
          <w:w w:val="110"/>
        </w:rPr>
        <w:t>enfrentar situaciones más adversas de competitividad, desregula-  ción y desprotección laboral. En particular, los jóvenes no recupera- ron el estatus ocupacional   anterior.</w:t>
      </w:r>
    </w:p>
    <w:p>
      <w:pPr>
        <w:pStyle w:val="BodyText"/>
        <w:spacing w:line="252" w:lineRule="auto"/>
        <w:ind w:left="100" w:right="328" w:firstLine="396"/>
        <w:jc w:val="both"/>
      </w:pPr>
      <w:r>
        <w:rPr>
          <w:w w:val="110"/>
        </w:rPr>
        <w:t>durante muchas décadas el desempleo juvenil, correspondiente a los</w:t>
      </w:r>
      <w:r>
        <w:rPr>
          <w:spacing w:val="-3"/>
          <w:w w:val="110"/>
        </w:rPr>
        <w:t> </w:t>
      </w:r>
      <w:r>
        <w:rPr>
          <w:w w:val="110"/>
        </w:rPr>
        <w:t>grupos</w:t>
      </w:r>
      <w:r>
        <w:rPr>
          <w:spacing w:val="-3"/>
          <w:w w:val="110"/>
        </w:rPr>
        <w:t> </w:t>
      </w:r>
      <w:r>
        <w:rPr>
          <w:w w:val="110"/>
        </w:rPr>
        <w:t>de</w:t>
      </w:r>
      <w:r>
        <w:rPr>
          <w:spacing w:val="-3"/>
          <w:w w:val="110"/>
        </w:rPr>
        <w:t> </w:t>
      </w:r>
      <w:r>
        <w:rPr>
          <w:w w:val="110"/>
        </w:rPr>
        <w:t>14</w:t>
      </w:r>
      <w:r>
        <w:rPr>
          <w:spacing w:val="-3"/>
          <w:w w:val="110"/>
        </w:rPr>
        <w:t> </w:t>
      </w:r>
      <w:r>
        <w:rPr>
          <w:w w:val="110"/>
        </w:rPr>
        <w:t>a</w:t>
      </w:r>
      <w:r>
        <w:rPr>
          <w:spacing w:val="-3"/>
          <w:w w:val="110"/>
        </w:rPr>
        <w:t> </w:t>
      </w:r>
      <w:r>
        <w:rPr>
          <w:w w:val="110"/>
        </w:rPr>
        <w:t>24</w:t>
      </w:r>
      <w:r>
        <w:rPr>
          <w:spacing w:val="-3"/>
          <w:w w:val="110"/>
        </w:rPr>
        <w:t> </w:t>
      </w:r>
      <w:r>
        <w:rPr>
          <w:w w:val="110"/>
        </w:rPr>
        <w:t>y</w:t>
      </w:r>
      <w:r>
        <w:rPr>
          <w:spacing w:val="-3"/>
          <w:w w:val="110"/>
        </w:rPr>
        <w:t> </w:t>
      </w:r>
      <w:r>
        <w:rPr>
          <w:w w:val="110"/>
        </w:rPr>
        <w:t>25</w:t>
      </w:r>
      <w:r>
        <w:rPr>
          <w:spacing w:val="-3"/>
          <w:w w:val="110"/>
        </w:rPr>
        <w:t> </w:t>
      </w:r>
      <w:r>
        <w:rPr>
          <w:w w:val="110"/>
        </w:rPr>
        <w:t>a</w:t>
      </w:r>
      <w:r>
        <w:rPr>
          <w:spacing w:val="-3"/>
          <w:w w:val="110"/>
        </w:rPr>
        <w:t> </w:t>
      </w:r>
      <w:r>
        <w:rPr>
          <w:w w:val="110"/>
        </w:rPr>
        <w:t>29</w:t>
      </w:r>
      <w:r>
        <w:rPr>
          <w:spacing w:val="-3"/>
          <w:w w:val="110"/>
        </w:rPr>
        <w:t> </w:t>
      </w:r>
      <w:r>
        <w:rPr>
          <w:w w:val="110"/>
        </w:rPr>
        <w:t>años</w:t>
      </w:r>
      <w:r>
        <w:rPr>
          <w:spacing w:val="-3"/>
          <w:w w:val="110"/>
        </w:rPr>
        <w:t> </w:t>
      </w:r>
      <w:r>
        <w:rPr>
          <w:w w:val="110"/>
        </w:rPr>
        <w:t>de</w:t>
      </w:r>
      <w:r>
        <w:rPr>
          <w:spacing w:val="-3"/>
          <w:w w:val="110"/>
        </w:rPr>
        <w:t> </w:t>
      </w:r>
      <w:r>
        <w:rPr>
          <w:w w:val="110"/>
        </w:rPr>
        <w:t>edad,</w:t>
      </w:r>
      <w:r>
        <w:rPr>
          <w:spacing w:val="-3"/>
          <w:w w:val="110"/>
        </w:rPr>
        <w:t> </w:t>
      </w:r>
      <w:r>
        <w:rPr>
          <w:w w:val="110"/>
        </w:rPr>
        <w:t>fue</w:t>
      </w:r>
      <w:r>
        <w:rPr>
          <w:spacing w:val="-3"/>
          <w:w w:val="110"/>
        </w:rPr>
        <w:t> </w:t>
      </w:r>
      <w:r>
        <w:rPr>
          <w:w w:val="110"/>
        </w:rPr>
        <w:t>apreciablemente</w:t>
      </w:r>
      <w:r>
        <w:rPr>
          <w:spacing w:val="-3"/>
          <w:w w:val="110"/>
        </w:rPr>
        <w:t> </w:t>
      </w:r>
      <w:r>
        <w:rPr>
          <w:w w:val="110"/>
        </w:rPr>
        <w:t>ma- yor</w:t>
      </w:r>
      <w:r>
        <w:rPr>
          <w:spacing w:val="-4"/>
          <w:w w:val="110"/>
        </w:rPr>
        <w:t> </w:t>
      </w:r>
      <w:r>
        <w:rPr>
          <w:w w:val="110"/>
        </w:rPr>
        <w:t>que</w:t>
      </w:r>
      <w:r>
        <w:rPr>
          <w:spacing w:val="-4"/>
          <w:w w:val="110"/>
        </w:rPr>
        <w:t> </w:t>
      </w:r>
      <w:r>
        <w:rPr>
          <w:w w:val="110"/>
        </w:rPr>
        <w:t>el</w:t>
      </w:r>
      <w:r>
        <w:rPr>
          <w:spacing w:val="-4"/>
          <w:w w:val="110"/>
        </w:rPr>
        <w:t> </w:t>
      </w:r>
      <w:r>
        <w:rPr>
          <w:w w:val="110"/>
        </w:rPr>
        <w:t>del</w:t>
      </w:r>
      <w:r>
        <w:rPr>
          <w:spacing w:val="-4"/>
          <w:w w:val="110"/>
        </w:rPr>
        <w:t> </w:t>
      </w:r>
      <w:r>
        <w:rPr>
          <w:w w:val="110"/>
        </w:rPr>
        <w:t>resto</w:t>
      </w:r>
      <w:r>
        <w:rPr>
          <w:spacing w:val="-4"/>
          <w:w w:val="110"/>
        </w:rPr>
        <w:t> </w:t>
      </w:r>
      <w:r>
        <w:rPr>
          <w:w w:val="110"/>
        </w:rPr>
        <w:t>de</w:t>
      </w:r>
      <w:r>
        <w:rPr>
          <w:spacing w:val="-4"/>
          <w:w w:val="110"/>
        </w:rPr>
        <w:t> </w:t>
      </w:r>
      <w:r>
        <w:rPr>
          <w:w w:val="110"/>
        </w:rPr>
        <w:t>los</w:t>
      </w:r>
      <w:r>
        <w:rPr>
          <w:spacing w:val="-4"/>
          <w:w w:val="110"/>
        </w:rPr>
        <w:t> </w:t>
      </w:r>
      <w:r>
        <w:rPr>
          <w:w w:val="110"/>
        </w:rPr>
        <w:t>segmentos</w:t>
      </w:r>
      <w:r>
        <w:rPr>
          <w:spacing w:val="-4"/>
          <w:w w:val="110"/>
        </w:rPr>
        <w:t> </w:t>
      </w:r>
      <w:r>
        <w:rPr>
          <w:w w:val="110"/>
        </w:rPr>
        <w:t>de</w:t>
      </w:r>
      <w:r>
        <w:rPr>
          <w:spacing w:val="-4"/>
          <w:w w:val="110"/>
        </w:rPr>
        <w:t> </w:t>
      </w:r>
      <w:r>
        <w:rPr>
          <w:w w:val="110"/>
        </w:rPr>
        <w:t>la</w:t>
      </w:r>
      <w:r>
        <w:rPr>
          <w:spacing w:val="-4"/>
          <w:w w:val="110"/>
        </w:rPr>
        <w:t> </w:t>
      </w:r>
      <w:r>
        <w:rPr>
          <w:w w:val="110"/>
        </w:rPr>
        <w:t>Población</w:t>
      </w:r>
      <w:r>
        <w:rPr>
          <w:spacing w:val="-4"/>
          <w:w w:val="110"/>
        </w:rPr>
        <w:t> </w:t>
      </w:r>
      <w:r>
        <w:rPr>
          <w:w w:val="110"/>
        </w:rPr>
        <w:t>Económicamente activa, tanto en las economías avanzadas como en las subdesarrolla- das, alcanzando muchas veces el doble y hasta el triple que el de los grupos de mayor edad. diversos factores contribuyen a incrementar</w:t>
      </w:r>
      <w:r>
        <w:rPr>
          <w:spacing w:val="-12"/>
          <w:w w:val="110"/>
        </w:rPr>
        <w:t> </w:t>
      </w:r>
      <w:r>
        <w:rPr>
          <w:w w:val="110"/>
        </w:rPr>
        <w:t>la vulnerabilidad</w:t>
      </w:r>
      <w:r>
        <w:rPr>
          <w:spacing w:val="-7"/>
          <w:w w:val="110"/>
        </w:rPr>
        <w:t> </w:t>
      </w:r>
      <w:r>
        <w:rPr>
          <w:w w:val="110"/>
        </w:rPr>
        <w:t>laboral</w:t>
      </w:r>
      <w:r>
        <w:rPr>
          <w:spacing w:val="-7"/>
          <w:w w:val="110"/>
        </w:rPr>
        <w:t> </w:t>
      </w:r>
      <w:r>
        <w:rPr>
          <w:w w:val="110"/>
        </w:rPr>
        <w:t>de</w:t>
      </w:r>
      <w:r>
        <w:rPr>
          <w:spacing w:val="-7"/>
          <w:w w:val="110"/>
        </w:rPr>
        <w:t> </w:t>
      </w:r>
      <w:r>
        <w:rPr>
          <w:w w:val="110"/>
        </w:rPr>
        <w:t>los</w:t>
      </w:r>
      <w:r>
        <w:rPr>
          <w:spacing w:val="-7"/>
          <w:w w:val="110"/>
        </w:rPr>
        <w:t> </w:t>
      </w:r>
      <w:r>
        <w:rPr>
          <w:w w:val="110"/>
        </w:rPr>
        <w:t>jóvenes;</w:t>
      </w:r>
      <w:r>
        <w:rPr>
          <w:spacing w:val="-7"/>
          <w:w w:val="110"/>
        </w:rPr>
        <w:t> </w:t>
      </w:r>
      <w:r>
        <w:rPr>
          <w:w w:val="110"/>
        </w:rPr>
        <w:t>entre</w:t>
      </w:r>
      <w:r>
        <w:rPr>
          <w:spacing w:val="-7"/>
          <w:w w:val="110"/>
        </w:rPr>
        <w:t> </w:t>
      </w:r>
      <w:r>
        <w:rPr>
          <w:w w:val="110"/>
        </w:rPr>
        <w:t>ellos,</w:t>
      </w:r>
      <w:r>
        <w:rPr>
          <w:spacing w:val="-7"/>
          <w:w w:val="110"/>
        </w:rPr>
        <w:t> </w:t>
      </w:r>
      <w:r>
        <w:rPr>
          <w:w w:val="110"/>
        </w:rPr>
        <w:t>generalmente</w:t>
      </w:r>
      <w:r>
        <w:rPr>
          <w:spacing w:val="-7"/>
          <w:w w:val="110"/>
        </w:rPr>
        <w:t> </w:t>
      </w:r>
      <w:r>
        <w:rPr>
          <w:w w:val="110"/>
        </w:rPr>
        <w:t>la</w:t>
      </w:r>
      <w:r>
        <w:rPr>
          <w:spacing w:val="-7"/>
          <w:w w:val="110"/>
        </w:rPr>
        <w:t> </w:t>
      </w:r>
      <w:r>
        <w:rPr>
          <w:w w:val="110"/>
        </w:rPr>
        <w:t>falta de experiencia limita su acceso a determinados puestos </w:t>
      </w:r>
      <w:r>
        <w:rPr>
          <w:spacing w:val="-11"/>
          <w:w w:val="110"/>
        </w:rPr>
        <w:t>y, </w:t>
      </w:r>
      <w:r>
        <w:rPr>
          <w:w w:val="110"/>
        </w:rPr>
        <w:t>en otras circunstancias, habiéndola adquirido, resultan ser más fácilmente ro- tables</w:t>
      </w:r>
      <w:r>
        <w:rPr>
          <w:spacing w:val="-6"/>
          <w:w w:val="110"/>
        </w:rPr>
        <w:t> </w:t>
      </w:r>
      <w:r>
        <w:rPr>
          <w:w w:val="110"/>
        </w:rPr>
        <w:t>y</w:t>
      </w:r>
      <w:r>
        <w:rPr>
          <w:spacing w:val="-6"/>
          <w:w w:val="110"/>
        </w:rPr>
        <w:t> </w:t>
      </w:r>
      <w:r>
        <w:rPr>
          <w:w w:val="110"/>
        </w:rPr>
        <w:t>despedidos,</w:t>
      </w:r>
      <w:r>
        <w:rPr>
          <w:spacing w:val="-6"/>
          <w:w w:val="110"/>
        </w:rPr>
        <w:t> </w:t>
      </w:r>
      <w:r>
        <w:rPr>
          <w:w w:val="110"/>
        </w:rPr>
        <w:t>particularmente</w:t>
      </w:r>
      <w:r>
        <w:rPr>
          <w:spacing w:val="-6"/>
          <w:w w:val="110"/>
        </w:rPr>
        <w:t> </w:t>
      </w:r>
      <w:r>
        <w:rPr>
          <w:w w:val="110"/>
        </w:rPr>
        <w:t>en</w:t>
      </w:r>
      <w:r>
        <w:rPr>
          <w:spacing w:val="-6"/>
          <w:w w:val="110"/>
        </w:rPr>
        <w:t> </w:t>
      </w:r>
      <w:r>
        <w:rPr>
          <w:w w:val="110"/>
        </w:rPr>
        <w:t>los</w:t>
      </w:r>
      <w:r>
        <w:rPr>
          <w:spacing w:val="-6"/>
          <w:w w:val="110"/>
        </w:rPr>
        <w:t> </w:t>
      </w:r>
      <w:r>
        <w:rPr>
          <w:w w:val="110"/>
        </w:rPr>
        <w:t>momentos</w:t>
      </w:r>
      <w:r>
        <w:rPr>
          <w:spacing w:val="-6"/>
          <w:w w:val="110"/>
        </w:rPr>
        <w:t> </w:t>
      </w:r>
      <w:r>
        <w:rPr>
          <w:w w:val="110"/>
        </w:rPr>
        <w:t>de</w:t>
      </w:r>
      <w:r>
        <w:rPr>
          <w:spacing w:val="-6"/>
          <w:w w:val="110"/>
        </w:rPr>
        <w:t> </w:t>
      </w:r>
      <w:r>
        <w:rPr>
          <w:w w:val="110"/>
        </w:rPr>
        <w:t>crisis</w:t>
      </w:r>
      <w:r>
        <w:rPr>
          <w:spacing w:val="-6"/>
          <w:w w:val="110"/>
        </w:rPr>
        <w:t> </w:t>
      </w:r>
      <w:r>
        <w:rPr>
          <w:w w:val="110"/>
        </w:rPr>
        <w:t>econó- micas, dada su corta antigüedad laboral y el menor costo de indemni- zaciones por despidos, generalmente también amparada en esquemas de contratación temporales. de ahí que con las crisis los jóvenes cum- plan la sentencia de ser los últimos en llegar y los primeros en salir </w:t>
      </w:r>
      <w:r>
        <w:rPr>
          <w:spacing w:val="-5"/>
          <w:w w:val="120"/>
        </w:rPr>
        <w:t>(oit, </w:t>
      </w:r>
      <w:r>
        <w:rPr>
          <w:w w:val="110"/>
        </w:rPr>
        <w:t>2012). Es así que, con el estallido de la crisis de 2008 en Estados unidos, el desempleo de los jóvenes se disparó notablemente muy por encima del desempleo del resto de los</w:t>
      </w:r>
      <w:r>
        <w:rPr>
          <w:spacing w:val="21"/>
          <w:w w:val="110"/>
        </w:rPr>
        <w:t> </w:t>
      </w:r>
      <w:r>
        <w:rPr>
          <w:w w:val="110"/>
        </w:rPr>
        <w:t>trabajadores.</w:t>
      </w:r>
    </w:p>
    <w:p>
      <w:pPr>
        <w:pStyle w:val="BodyText"/>
        <w:spacing w:line="252" w:lineRule="auto"/>
        <w:ind w:left="100" w:right="327" w:firstLine="396"/>
        <w:jc w:val="both"/>
      </w:pPr>
      <w:r>
        <w:rPr>
          <w:w w:val="243"/>
        </w:rPr>
        <w:t>l</w:t>
      </w:r>
      <w:r>
        <w:rPr>
          <w:w w:val="112"/>
        </w:rPr>
        <w:t>a</w:t>
      </w:r>
      <w:r>
        <w:rPr>
          <w:spacing w:val="18"/>
        </w:rPr>
        <w:t> </w:t>
      </w:r>
      <w:r>
        <w:rPr>
          <w:w w:val="109"/>
        </w:rPr>
        <w:t>crisis</w:t>
      </w:r>
      <w:r>
        <w:rPr>
          <w:spacing w:val="18"/>
        </w:rPr>
        <w:t> </w:t>
      </w:r>
      <w:r>
        <w:rPr>
          <w:w w:val="107"/>
        </w:rPr>
        <w:t>de</w:t>
      </w:r>
      <w:r>
        <w:rPr>
          <w:spacing w:val="18"/>
        </w:rPr>
        <w:t> </w:t>
      </w:r>
      <w:r>
        <w:rPr>
          <w:w w:val="102"/>
        </w:rPr>
        <w:t>2008</w:t>
      </w:r>
      <w:r>
        <w:rPr>
          <w:spacing w:val="18"/>
        </w:rPr>
        <w:t> </w:t>
      </w:r>
      <w:r>
        <w:rPr>
          <w:w w:val="109"/>
        </w:rPr>
        <w:t>desencadenó</w:t>
      </w:r>
      <w:r>
        <w:rPr>
          <w:spacing w:val="18"/>
        </w:rPr>
        <w:t> </w:t>
      </w:r>
      <w:r>
        <w:rPr>
          <w:w w:val="112"/>
        </w:rPr>
        <w:t>un</w:t>
      </w:r>
      <w:r>
        <w:rPr>
          <w:spacing w:val="18"/>
        </w:rPr>
        <w:t> </w:t>
      </w:r>
      <w:r>
        <w:rPr>
          <w:w w:val="110"/>
        </w:rPr>
        <w:t>aumento</w:t>
      </w:r>
      <w:r>
        <w:rPr>
          <w:spacing w:val="18"/>
        </w:rPr>
        <w:t> </w:t>
      </w:r>
      <w:r>
        <w:rPr>
          <w:w w:val="110"/>
        </w:rPr>
        <w:t>inusitado</w:t>
      </w:r>
      <w:r>
        <w:rPr>
          <w:spacing w:val="18"/>
        </w:rPr>
        <w:t> </w:t>
      </w:r>
      <w:r>
        <w:rPr>
          <w:w w:val="107"/>
        </w:rPr>
        <w:t>del</w:t>
      </w:r>
      <w:r>
        <w:rPr>
          <w:spacing w:val="18"/>
        </w:rPr>
        <w:t> </w:t>
      </w:r>
      <w:r>
        <w:rPr>
          <w:w w:val="108"/>
        </w:rPr>
        <w:t>dese</w:t>
      </w:r>
      <w:r>
        <w:rPr>
          <w:spacing w:val="-1"/>
          <w:w w:val="108"/>
        </w:rPr>
        <w:t>m</w:t>
      </w:r>
      <w:r>
        <w:rPr>
          <w:w w:val="102"/>
        </w:rPr>
        <w:t>- </w:t>
      </w:r>
      <w:r>
        <w:rPr>
          <w:w w:val="110"/>
        </w:rPr>
        <w:t>pleo de los jóvenes </w:t>
      </w:r>
      <w:r>
        <w:rPr>
          <w:spacing w:val="-4"/>
          <w:w w:val="110"/>
        </w:rPr>
        <w:t>(Morsy, </w:t>
      </w:r>
      <w:r>
        <w:rPr>
          <w:w w:val="110"/>
        </w:rPr>
        <w:t>2012), que aún después de alcanzarse</w:t>
      </w:r>
      <w:r>
        <w:rPr>
          <w:spacing w:val="-10"/>
          <w:w w:val="110"/>
        </w:rPr>
        <w:t> </w:t>
      </w:r>
      <w:r>
        <w:rPr>
          <w:spacing w:val="-3"/>
          <w:w w:val="110"/>
        </w:rPr>
        <w:t>cier- </w:t>
      </w:r>
      <w:r>
        <w:rPr>
          <w:w w:val="109"/>
        </w:rPr>
        <w:t>ta</w:t>
      </w:r>
      <w:r>
        <w:rPr/>
        <w:t> </w:t>
      </w:r>
      <w:r>
        <w:rPr>
          <w:spacing w:val="-15"/>
        </w:rPr>
        <w:t> </w:t>
      </w:r>
      <w:r>
        <w:rPr>
          <w:w w:val="111"/>
        </w:rPr>
        <w:t>estabilización</w:t>
      </w:r>
      <w:r>
        <w:rPr/>
        <w:t> </w:t>
      </w:r>
      <w:r>
        <w:rPr>
          <w:spacing w:val="-15"/>
        </w:rPr>
        <w:t> </w:t>
      </w:r>
      <w:r>
        <w:rPr>
          <w:w w:val="113"/>
        </w:rPr>
        <w:t>económica,</w:t>
      </w:r>
      <w:r>
        <w:rPr/>
        <w:t> </w:t>
      </w:r>
      <w:r>
        <w:rPr>
          <w:spacing w:val="-15"/>
        </w:rPr>
        <w:t> </w:t>
      </w:r>
      <w:r>
        <w:rPr>
          <w:w w:val="105"/>
        </w:rPr>
        <w:t>se</w:t>
      </w:r>
      <w:r>
        <w:rPr/>
        <w:t> </w:t>
      </w:r>
      <w:r>
        <w:rPr>
          <w:spacing w:val="-15"/>
        </w:rPr>
        <w:t> </w:t>
      </w:r>
      <w:r>
        <w:rPr>
          <w:w w:val="110"/>
        </w:rPr>
        <w:t>mantiene</w:t>
      </w:r>
      <w:r>
        <w:rPr/>
        <w:t> </w:t>
      </w:r>
      <w:r>
        <w:rPr>
          <w:spacing w:val="-15"/>
        </w:rPr>
        <w:t> </w:t>
      </w:r>
      <w:r>
        <w:rPr>
          <w:w w:val="104"/>
        </w:rPr>
        <w:t>e</w:t>
      </w:r>
      <w:r>
        <w:rPr/>
        <w:t> </w:t>
      </w:r>
      <w:r>
        <w:rPr>
          <w:spacing w:val="-15"/>
        </w:rPr>
        <w:t> </w:t>
      </w:r>
      <w:r>
        <w:rPr>
          <w:w w:val="111"/>
        </w:rPr>
        <w:t>incrementa.</w:t>
      </w:r>
      <w:r>
        <w:rPr/>
        <w:t> </w:t>
      </w:r>
      <w:r>
        <w:rPr>
          <w:spacing w:val="-15"/>
        </w:rPr>
        <w:t> </w:t>
      </w:r>
      <w:r>
        <w:rPr>
          <w:w w:val="243"/>
        </w:rPr>
        <w:t>l</w:t>
      </w:r>
      <w:r>
        <w:rPr>
          <w:w w:val="108"/>
        </w:rPr>
        <w:t>os</w:t>
      </w:r>
      <w:r>
        <w:rPr/>
        <w:t> </w:t>
      </w:r>
      <w:r>
        <w:rPr>
          <w:spacing w:val="-15"/>
        </w:rPr>
        <w:t> </w:t>
      </w:r>
      <w:r>
        <w:rPr>
          <w:w w:val="108"/>
        </w:rPr>
        <w:t>jóvenes, </w:t>
      </w:r>
      <w:r>
        <w:rPr>
          <w:w w:val="110"/>
        </w:rPr>
        <w:t>al igual que las mujeres y los migrantes, también suelen ser los más afectados por la precarización del trabajo que, en general, en Estados unidos se conforma mayoritariamente de trabajo a tiempo parcial,     el cual representa casi una quinta parte de los ocupados (Kesselman, 2010). El crecimiento del empleo a tiempo parcial representa un cam- bio importante en la economía de Estados unidos, que afecta </w:t>
      </w:r>
      <w:r>
        <w:rPr>
          <w:spacing w:val="-4"/>
          <w:w w:val="110"/>
        </w:rPr>
        <w:t>par- </w:t>
      </w:r>
      <w:r>
        <w:rPr>
          <w:w w:val="110"/>
        </w:rPr>
        <w:t>ticularmente a los nuevos puestos, y en consecuencia mucho más a  los jóvenes, quienes están también entre los peor remunerados, con salarios inferiores a las dos terceras partes del salario medio </w:t>
      </w:r>
      <w:r>
        <w:rPr>
          <w:spacing w:val="-5"/>
          <w:w w:val="150"/>
        </w:rPr>
        <w:t>(oit, </w:t>
      </w:r>
      <w:r>
        <w:rPr>
          <w:w w:val="110"/>
        </w:rPr>
        <w:t>2012).</w:t>
      </w:r>
      <w:r>
        <w:rPr>
          <w:spacing w:val="-4"/>
          <w:w w:val="110"/>
        </w:rPr>
        <w:t> </w:t>
      </w:r>
      <w:r>
        <w:rPr>
          <w:w w:val="110"/>
        </w:rPr>
        <w:t>datos</w:t>
      </w:r>
      <w:r>
        <w:rPr>
          <w:spacing w:val="-4"/>
          <w:w w:val="110"/>
        </w:rPr>
        <w:t> </w:t>
      </w:r>
      <w:r>
        <w:rPr>
          <w:w w:val="110"/>
        </w:rPr>
        <w:t>de</w:t>
      </w:r>
      <w:r>
        <w:rPr>
          <w:spacing w:val="-4"/>
          <w:w w:val="110"/>
        </w:rPr>
        <w:t> </w:t>
      </w:r>
      <w:r>
        <w:rPr>
          <w:w w:val="110"/>
        </w:rPr>
        <w:t>la</w:t>
      </w:r>
      <w:r>
        <w:rPr>
          <w:spacing w:val="-4"/>
          <w:w w:val="110"/>
        </w:rPr>
        <w:t> </w:t>
      </w:r>
      <w:r>
        <w:rPr>
          <w:w w:val="150"/>
        </w:rPr>
        <w:t>oit</w:t>
      </w:r>
      <w:r>
        <w:rPr>
          <w:spacing w:val="-20"/>
          <w:w w:val="150"/>
        </w:rPr>
        <w:t> </w:t>
      </w:r>
      <w:r>
        <w:rPr>
          <w:w w:val="110"/>
        </w:rPr>
        <w:t>(2012)</w:t>
      </w:r>
      <w:r>
        <w:rPr>
          <w:spacing w:val="-4"/>
          <w:w w:val="110"/>
        </w:rPr>
        <w:t> </w:t>
      </w:r>
      <w:r>
        <w:rPr>
          <w:w w:val="110"/>
        </w:rPr>
        <w:t>muestran</w:t>
      </w:r>
      <w:r>
        <w:rPr>
          <w:spacing w:val="-4"/>
          <w:w w:val="110"/>
        </w:rPr>
        <w:t> </w:t>
      </w:r>
      <w:r>
        <w:rPr>
          <w:w w:val="110"/>
        </w:rPr>
        <w:t>que</w:t>
      </w:r>
      <w:r>
        <w:rPr>
          <w:spacing w:val="-4"/>
          <w:w w:val="110"/>
        </w:rPr>
        <w:t> </w:t>
      </w:r>
      <w:r>
        <w:rPr>
          <w:w w:val="110"/>
        </w:rPr>
        <w:t>las</w:t>
      </w:r>
      <w:r>
        <w:rPr>
          <w:spacing w:val="-4"/>
          <w:w w:val="110"/>
        </w:rPr>
        <w:t> </w:t>
      </w:r>
      <w:r>
        <w:rPr>
          <w:w w:val="110"/>
        </w:rPr>
        <w:t>mujeres</w:t>
      </w:r>
      <w:r>
        <w:rPr>
          <w:spacing w:val="-4"/>
          <w:w w:val="110"/>
        </w:rPr>
        <w:t> </w:t>
      </w:r>
      <w:r>
        <w:rPr>
          <w:w w:val="110"/>
        </w:rPr>
        <w:t>y</w:t>
      </w:r>
      <w:r>
        <w:rPr>
          <w:spacing w:val="-4"/>
          <w:w w:val="110"/>
        </w:rPr>
        <w:t> </w:t>
      </w:r>
      <w:r>
        <w:rPr>
          <w:w w:val="110"/>
        </w:rPr>
        <w:t>los</w:t>
      </w:r>
      <w:r>
        <w:rPr>
          <w:spacing w:val="-4"/>
          <w:w w:val="110"/>
        </w:rPr>
        <w:t> </w:t>
      </w:r>
      <w:r>
        <w:rPr>
          <w:w w:val="110"/>
        </w:rPr>
        <w:t>hombres jóvenes tienen 2.5 y 5.8 veces más probabilidades, respectivamente, de acceder a un empleo mal remunerado que el promedio nacional. otros datos de la misma fuente sobre los trabajadores que sólo perci- ben el salario mínimo confirman la alta presencia de los </w:t>
      </w:r>
      <w:r>
        <w:rPr>
          <w:spacing w:val="43"/>
          <w:w w:val="110"/>
        </w:rPr>
        <w:t> </w:t>
      </w:r>
      <w:r>
        <w:rPr>
          <w:w w:val="110"/>
        </w:rPr>
        <w:t>trabajadores</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jóvenes en empleos con relativamente bajos ingresos; e indica que si bien en “Estados unidos, los trabajadores jóvenes constituían apenas el 20 por ciento del total de trabajadores remunerados por hora […], representaban casi la mitad de todos los trabajadores que cobraban el salario mínimo o menos” </w:t>
      </w:r>
      <w:r>
        <w:rPr>
          <w:spacing w:val="-5"/>
          <w:w w:val="120"/>
        </w:rPr>
        <w:t>(oit, </w:t>
      </w:r>
      <w:r>
        <w:rPr>
          <w:w w:val="110"/>
        </w:rPr>
        <w:t>2012: 18), siendo los más vulnerables    y</w:t>
      </w:r>
      <w:r>
        <w:rPr>
          <w:spacing w:val="7"/>
          <w:w w:val="110"/>
        </w:rPr>
        <w:t> </w:t>
      </w:r>
      <w:r>
        <w:rPr>
          <w:w w:val="110"/>
        </w:rPr>
        <w:t>precarios.</w:t>
      </w:r>
    </w:p>
    <w:p>
      <w:pPr>
        <w:pStyle w:val="BodyText"/>
        <w:spacing w:before="5"/>
      </w:pPr>
    </w:p>
    <w:p>
      <w:pPr>
        <w:pStyle w:val="Heading6"/>
        <w:spacing w:line="244" w:lineRule="auto"/>
        <w:ind w:left="331" w:right="446" w:hanging="1"/>
        <w:jc w:val="left"/>
      </w:pPr>
      <w:r>
        <w:rPr>
          <w:spacing w:val="2"/>
          <w:w w:val="135"/>
        </w:rPr>
        <w:t>las</w:t>
      </w:r>
      <w:r>
        <w:rPr>
          <w:spacing w:val="-26"/>
          <w:w w:val="135"/>
        </w:rPr>
        <w:t> </w:t>
      </w:r>
      <w:r>
        <w:rPr>
          <w:w w:val="135"/>
        </w:rPr>
        <w:t>desiGualdades</w:t>
      </w:r>
      <w:r>
        <w:rPr>
          <w:spacing w:val="-26"/>
          <w:w w:val="135"/>
        </w:rPr>
        <w:t> </w:t>
      </w:r>
      <w:r>
        <w:rPr>
          <w:w w:val="135"/>
        </w:rPr>
        <w:t>en</w:t>
      </w:r>
      <w:r>
        <w:rPr>
          <w:spacing w:val="-26"/>
          <w:w w:val="135"/>
        </w:rPr>
        <w:t> </w:t>
      </w:r>
      <w:r>
        <w:rPr>
          <w:spacing w:val="3"/>
          <w:w w:val="135"/>
        </w:rPr>
        <w:t>la</w:t>
      </w:r>
      <w:r>
        <w:rPr>
          <w:spacing w:val="-26"/>
          <w:w w:val="135"/>
        </w:rPr>
        <w:t> </w:t>
      </w:r>
      <w:r>
        <w:rPr>
          <w:w w:val="135"/>
        </w:rPr>
        <w:t>distriBución</w:t>
      </w:r>
      <w:r>
        <w:rPr>
          <w:spacing w:val="-26"/>
          <w:w w:val="135"/>
        </w:rPr>
        <w:t> </w:t>
      </w:r>
      <w:r>
        <w:rPr>
          <w:w w:val="135"/>
        </w:rPr>
        <w:t>de</w:t>
      </w:r>
      <w:r>
        <w:rPr>
          <w:spacing w:val="-26"/>
          <w:w w:val="135"/>
        </w:rPr>
        <w:t> </w:t>
      </w:r>
      <w:r>
        <w:rPr>
          <w:w w:val="135"/>
        </w:rPr>
        <w:t>los</w:t>
      </w:r>
      <w:r>
        <w:rPr>
          <w:spacing w:val="-26"/>
          <w:w w:val="135"/>
        </w:rPr>
        <w:t> </w:t>
      </w:r>
      <w:r>
        <w:rPr>
          <w:spacing w:val="2"/>
          <w:w w:val="135"/>
        </w:rPr>
        <w:t>inGresos, </w:t>
      </w:r>
      <w:r>
        <w:rPr>
          <w:spacing w:val="3"/>
          <w:w w:val="134"/>
        </w:rPr>
        <w:t>e</w:t>
      </w:r>
      <w:r>
        <w:rPr>
          <w:w w:val="201"/>
        </w:rPr>
        <w:t>l</w:t>
      </w:r>
      <w:r>
        <w:rPr>
          <w:spacing w:val="-8"/>
        </w:rPr>
        <w:t> </w:t>
      </w:r>
      <w:r>
        <w:rPr>
          <w:spacing w:val="1"/>
          <w:w w:val="129"/>
        </w:rPr>
        <w:t>a</w:t>
      </w:r>
      <w:r>
        <w:rPr>
          <w:spacing w:val="5"/>
          <w:w w:val="89"/>
        </w:rPr>
        <w:t>G</w:t>
      </w:r>
      <w:r>
        <w:rPr>
          <w:spacing w:val="2"/>
          <w:w w:val="159"/>
        </w:rPr>
        <w:t>o</w:t>
      </w:r>
      <w:r>
        <w:rPr>
          <w:spacing w:val="-10"/>
          <w:w w:val="159"/>
        </w:rPr>
        <w:t>t</w:t>
      </w:r>
      <w:r>
        <w:rPr>
          <w:spacing w:val="2"/>
          <w:w w:val="129"/>
        </w:rPr>
        <w:t>a</w:t>
      </w:r>
      <w:r>
        <w:rPr>
          <w:spacing w:val="2"/>
          <w:w w:val="92"/>
        </w:rPr>
        <w:t>M</w:t>
      </w:r>
      <w:r>
        <w:rPr>
          <w:spacing w:val="2"/>
          <w:w w:val="132"/>
        </w:rPr>
        <w:t>i</w:t>
      </w:r>
      <w:r>
        <w:rPr>
          <w:spacing w:val="3"/>
          <w:w w:val="132"/>
        </w:rPr>
        <w:t>e</w:t>
      </w:r>
      <w:r>
        <w:rPr>
          <w:spacing w:val="3"/>
          <w:w w:val="128"/>
        </w:rPr>
        <w:t>n</w:t>
      </w:r>
      <w:r>
        <w:rPr>
          <w:spacing w:val="2"/>
          <w:w w:val="180"/>
        </w:rPr>
        <w:t>t</w:t>
      </w:r>
      <w:r>
        <w:rPr>
          <w:w w:val="145"/>
        </w:rPr>
        <w:t>o</w:t>
      </w:r>
      <w:r>
        <w:rPr>
          <w:spacing w:val="-8"/>
        </w:rPr>
        <w:t> </w:t>
      </w:r>
      <w:r>
        <w:rPr>
          <w:spacing w:val="2"/>
          <w:w w:val="132"/>
        </w:rPr>
        <w:t>d</w:t>
      </w:r>
      <w:r>
        <w:rPr>
          <w:spacing w:val="3"/>
          <w:w w:val="132"/>
        </w:rPr>
        <w:t>e</w:t>
      </w:r>
      <w:r>
        <w:rPr>
          <w:w w:val="201"/>
        </w:rPr>
        <w:t>l</w:t>
      </w:r>
      <w:r>
        <w:rPr>
          <w:spacing w:val="-8"/>
        </w:rPr>
        <w:t> </w:t>
      </w:r>
      <w:r>
        <w:rPr>
          <w:spacing w:val="2"/>
          <w:w w:val="92"/>
        </w:rPr>
        <w:t>M</w:t>
      </w:r>
      <w:r>
        <w:rPr>
          <w:spacing w:val="2"/>
          <w:w w:val="136"/>
        </w:rPr>
        <w:t>od</w:t>
      </w:r>
      <w:r>
        <w:rPr>
          <w:spacing w:val="3"/>
          <w:w w:val="136"/>
        </w:rPr>
        <w:t>e</w:t>
      </w:r>
      <w:r>
        <w:rPr>
          <w:spacing w:val="1"/>
          <w:w w:val="201"/>
        </w:rPr>
        <w:t>l</w:t>
      </w:r>
      <w:r>
        <w:rPr>
          <w:w w:val="145"/>
        </w:rPr>
        <w:t>o</w:t>
      </w:r>
      <w:r>
        <w:rPr>
          <w:spacing w:val="-8"/>
        </w:rPr>
        <w:t> </w:t>
      </w:r>
      <w:r>
        <w:rPr>
          <w:spacing w:val="2"/>
          <w:w w:val="132"/>
        </w:rPr>
        <w:t>d</w:t>
      </w:r>
      <w:r>
        <w:rPr>
          <w:w w:val="132"/>
        </w:rPr>
        <w:t>e</w:t>
      </w:r>
      <w:r>
        <w:rPr>
          <w:spacing w:val="-8"/>
        </w:rPr>
        <w:t> </w:t>
      </w:r>
      <w:r>
        <w:rPr>
          <w:spacing w:val="2"/>
          <w:w w:val="92"/>
        </w:rPr>
        <w:t>M</w:t>
      </w:r>
      <w:r>
        <w:rPr>
          <w:w w:val="145"/>
        </w:rPr>
        <w:t>o</w:t>
      </w:r>
      <w:r>
        <w:rPr>
          <w:w w:val="129"/>
        </w:rPr>
        <w:t>v</w:t>
      </w:r>
      <w:r>
        <w:rPr>
          <w:spacing w:val="2"/>
          <w:w w:val="165"/>
        </w:rPr>
        <w:t>il</w:t>
      </w:r>
      <w:r>
        <w:rPr>
          <w:spacing w:val="2"/>
          <w:w w:val="131"/>
        </w:rPr>
        <w:t>i</w:t>
      </w:r>
      <w:r>
        <w:rPr>
          <w:spacing w:val="1"/>
          <w:w w:val="131"/>
        </w:rPr>
        <w:t>d</w:t>
      </w:r>
      <w:r>
        <w:rPr>
          <w:spacing w:val="2"/>
          <w:w w:val="130"/>
        </w:rPr>
        <w:t>a</w:t>
      </w:r>
      <w:r>
        <w:rPr>
          <w:w w:val="130"/>
        </w:rPr>
        <w:t>d</w:t>
      </w:r>
      <w:r>
        <w:rPr>
          <w:spacing w:val="-8"/>
        </w:rPr>
        <w:t> </w:t>
      </w:r>
      <w:r>
        <w:rPr>
          <w:w w:val="119"/>
        </w:rPr>
        <w:t>y</w:t>
      </w:r>
      <w:r>
        <w:rPr>
          <w:spacing w:val="-8"/>
        </w:rPr>
        <w:t> </w:t>
      </w:r>
      <w:r>
        <w:rPr>
          <w:spacing w:val="3"/>
          <w:w w:val="134"/>
        </w:rPr>
        <w:t>e</w:t>
      </w:r>
      <w:r>
        <w:rPr>
          <w:w w:val="201"/>
        </w:rPr>
        <w:t>l </w:t>
      </w:r>
      <w:r>
        <w:rPr>
          <w:spacing w:val="2"/>
          <w:w w:val="132"/>
        </w:rPr>
        <w:t>d</w:t>
      </w:r>
      <w:r>
        <w:rPr>
          <w:spacing w:val="3"/>
          <w:w w:val="132"/>
        </w:rPr>
        <w:t>e</w:t>
      </w:r>
      <w:r>
        <w:rPr>
          <w:spacing w:val="2"/>
          <w:w w:val="135"/>
        </w:rPr>
        <w:t>s</w:t>
      </w:r>
      <w:r>
        <w:rPr>
          <w:spacing w:val="3"/>
          <w:w w:val="135"/>
        </w:rPr>
        <w:t>e</w:t>
      </w:r>
      <w:r>
        <w:rPr>
          <w:spacing w:val="2"/>
          <w:w w:val="136"/>
        </w:rPr>
        <w:t>n</w:t>
      </w:r>
      <w:r>
        <w:rPr>
          <w:spacing w:val="4"/>
          <w:w w:val="136"/>
        </w:rPr>
        <w:t>c</w:t>
      </w:r>
      <w:r>
        <w:rPr>
          <w:spacing w:val="2"/>
          <w:w w:val="128"/>
        </w:rPr>
        <w:t>a</w:t>
      </w:r>
      <w:r>
        <w:rPr>
          <w:spacing w:val="3"/>
          <w:w w:val="128"/>
        </w:rPr>
        <w:t>n</w:t>
      </w:r>
      <w:r>
        <w:rPr>
          <w:spacing w:val="2"/>
          <w:w w:val="180"/>
        </w:rPr>
        <w:t>t</w:t>
      </w:r>
      <w:r>
        <w:rPr>
          <w:w w:val="145"/>
        </w:rPr>
        <w:t>o</w:t>
      </w:r>
      <w:r>
        <w:rPr>
          <w:spacing w:val="-8"/>
        </w:rPr>
        <w:t> </w:t>
      </w:r>
      <w:r>
        <w:rPr>
          <w:spacing w:val="2"/>
          <w:w w:val="132"/>
        </w:rPr>
        <w:t>d</w:t>
      </w:r>
      <w:r>
        <w:rPr>
          <w:w w:val="132"/>
        </w:rPr>
        <w:t>e</w:t>
      </w:r>
      <w:r>
        <w:rPr>
          <w:spacing w:val="-8"/>
        </w:rPr>
        <w:t> </w:t>
      </w:r>
      <w:r>
        <w:rPr>
          <w:spacing w:val="1"/>
          <w:w w:val="201"/>
        </w:rPr>
        <w:t>l</w:t>
      </w:r>
      <w:r>
        <w:rPr>
          <w:spacing w:val="3"/>
          <w:w w:val="145"/>
        </w:rPr>
        <w:t>o</w:t>
      </w:r>
      <w:r>
        <w:rPr>
          <w:w w:val="136"/>
        </w:rPr>
        <w:t>s</w:t>
      </w:r>
      <w:r>
        <w:rPr>
          <w:spacing w:val="-8"/>
        </w:rPr>
        <w:t> </w:t>
      </w:r>
      <w:r>
        <w:rPr>
          <w:spacing w:val="2"/>
          <w:w w:val="71"/>
        </w:rPr>
        <w:t>J</w:t>
      </w:r>
      <w:r>
        <w:rPr>
          <w:w w:val="145"/>
        </w:rPr>
        <w:t>ó</w:t>
      </w:r>
      <w:r>
        <w:rPr>
          <w:w w:val="129"/>
        </w:rPr>
        <w:t>v</w:t>
      </w:r>
      <w:r>
        <w:rPr>
          <w:spacing w:val="3"/>
          <w:w w:val="134"/>
        </w:rPr>
        <w:t>e</w:t>
      </w:r>
      <w:r>
        <w:rPr>
          <w:spacing w:val="2"/>
          <w:w w:val="130"/>
        </w:rPr>
        <w:t>n</w:t>
      </w:r>
      <w:r>
        <w:rPr>
          <w:spacing w:val="3"/>
          <w:w w:val="130"/>
        </w:rPr>
        <w:t>e</w:t>
      </w:r>
      <w:r>
        <w:rPr>
          <w:w w:val="136"/>
        </w:rPr>
        <w:t>s</w:t>
      </w:r>
    </w:p>
    <w:p>
      <w:pPr>
        <w:pStyle w:val="BodyText"/>
        <w:spacing w:line="252" w:lineRule="auto" w:before="5"/>
        <w:ind w:left="330" w:right="117"/>
        <w:jc w:val="both"/>
      </w:pPr>
      <w:r>
        <w:rPr>
          <w:w w:val="110"/>
        </w:rPr>
        <w:t>Estados unidos experimenta la mayor desigualdad en casi un siglo, comparable o incluso peor que la de finales de la década de 1920, du- rante la llamada “Edad de oro”, caracterizada por la alta concentra- ción de riqueza, la opulencia y excentricidades de la clase capitalista. En el largo periodo desde la Gran depresión, durante el modelo de Es- tado de bienestar y basado en políticas keynesianas, hasta la adopción del modelo económico neoliberal a comienzos de la década de 1970, el país experimentó un importante y sostenido proceso de democra- tización y de redistribución de la riqueza. Estados unidos pasó a ser  el modelo de sociedad de las clases medias. a mediados de la década de 1970 la tendencia se revirtió. a partir de entonces, la ampliación sistemática de la brecha salarial fue crucial, alcanzando niveles ante- riormente</w:t>
      </w:r>
      <w:r>
        <w:rPr>
          <w:spacing w:val="8"/>
          <w:w w:val="110"/>
        </w:rPr>
        <w:t> </w:t>
      </w:r>
      <w:r>
        <w:rPr>
          <w:w w:val="110"/>
        </w:rPr>
        <w:t>insospechados.</w:t>
      </w:r>
    </w:p>
    <w:p>
      <w:pPr>
        <w:pStyle w:val="BodyText"/>
        <w:spacing w:line="252" w:lineRule="auto"/>
        <w:ind w:left="330" w:right="117" w:firstLine="396"/>
        <w:jc w:val="both"/>
      </w:pPr>
      <w:r>
        <w:rPr>
          <w:w w:val="243"/>
        </w:rPr>
        <w:t>l</w:t>
      </w:r>
      <w:r>
        <w:rPr>
          <w:w w:val="109"/>
        </w:rPr>
        <w:t>as</w:t>
      </w:r>
      <w:r>
        <w:rPr>
          <w:spacing w:val="19"/>
        </w:rPr>
        <w:t> </w:t>
      </w:r>
      <w:r>
        <w:rPr>
          <w:w w:val="109"/>
        </w:rPr>
        <w:t>razones</w:t>
      </w:r>
      <w:r>
        <w:rPr>
          <w:spacing w:val="19"/>
        </w:rPr>
        <w:t> </w:t>
      </w:r>
      <w:r>
        <w:rPr>
          <w:w w:val="109"/>
        </w:rPr>
        <w:t>son</w:t>
      </w:r>
      <w:r>
        <w:rPr>
          <w:spacing w:val="19"/>
        </w:rPr>
        <w:t> </w:t>
      </w:r>
      <w:r>
        <w:rPr>
          <w:w w:val="110"/>
        </w:rPr>
        <w:t>imputables</w:t>
      </w:r>
      <w:r>
        <w:rPr>
          <w:spacing w:val="19"/>
        </w:rPr>
        <w:t> </w:t>
      </w:r>
      <w:r>
        <w:rPr>
          <w:w w:val="111"/>
        </w:rPr>
        <w:t>al</w:t>
      </w:r>
      <w:r>
        <w:rPr>
          <w:spacing w:val="19"/>
        </w:rPr>
        <w:t> </w:t>
      </w:r>
      <w:r>
        <w:rPr>
          <w:w w:val="108"/>
        </w:rPr>
        <w:t>éxito</w:t>
      </w:r>
      <w:r>
        <w:rPr>
          <w:spacing w:val="19"/>
        </w:rPr>
        <w:t> </w:t>
      </w:r>
      <w:r>
        <w:rPr>
          <w:w w:val="102"/>
        </w:rPr>
        <w:t>(y</w:t>
      </w:r>
      <w:r>
        <w:rPr>
          <w:spacing w:val="19"/>
        </w:rPr>
        <w:t> </w:t>
      </w:r>
      <w:r>
        <w:rPr>
          <w:w w:val="111"/>
        </w:rPr>
        <w:t>no</w:t>
      </w:r>
      <w:r>
        <w:rPr>
          <w:spacing w:val="19"/>
        </w:rPr>
        <w:t> </w:t>
      </w:r>
      <w:r>
        <w:rPr>
          <w:w w:val="111"/>
        </w:rPr>
        <w:t>al</w:t>
      </w:r>
      <w:r>
        <w:rPr>
          <w:spacing w:val="19"/>
        </w:rPr>
        <w:t> </w:t>
      </w:r>
      <w:r>
        <w:rPr>
          <w:w w:val="109"/>
        </w:rPr>
        <w:t>fracaso)</w:t>
      </w:r>
      <w:r>
        <w:rPr>
          <w:spacing w:val="19"/>
        </w:rPr>
        <w:t> </w:t>
      </w:r>
      <w:r>
        <w:rPr>
          <w:w w:val="107"/>
        </w:rPr>
        <w:t>del</w:t>
      </w:r>
      <w:r>
        <w:rPr>
          <w:spacing w:val="19"/>
        </w:rPr>
        <w:t> </w:t>
      </w:r>
      <w:r>
        <w:rPr>
          <w:w w:val="110"/>
        </w:rPr>
        <w:t>modelo </w:t>
      </w:r>
      <w:r>
        <w:rPr>
          <w:w w:val="110"/>
        </w:rPr>
        <w:t>neoliberal que tuvo como meta la reversión de la tasa de beneficios  de la clase capitalista menguada durante la década de 1970 (Casti-   llo, 2010 y 2012), lo cual implicó, directa e indirectamente, la derrota política de la clase trabajadora, particularmente articulada al sector industrial productor de bienes y la desarticulación de sus</w:t>
      </w:r>
      <w:r>
        <w:rPr>
          <w:spacing w:val="-14"/>
          <w:w w:val="110"/>
        </w:rPr>
        <w:t> </w:t>
      </w:r>
      <w:r>
        <w:rPr>
          <w:w w:val="110"/>
        </w:rPr>
        <w:t>organizacio- nes sindicales. </w:t>
      </w:r>
      <w:r>
        <w:rPr>
          <w:w w:val="125"/>
        </w:rPr>
        <w:t>a </w:t>
      </w:r>
      <w:r>
        <w:rPr>
          <w:w w:val="110"/>
        </w:rPr>
        <w:t>partir de entonces, el sector industrial perdió parti- cipación en la generación de empleos y de la riqueza del país, ante el crecimiento inusitado de la producción de servicios. En Estados uni- dos, como en otras economías desarrolladas o no, la fuente principal promotora de movilidad ascendente ha estado ligada al desempeño y crecimiento del sector industrial (rifkin, </w:t>
      </w:r>
      <w:r>
        <w:rPr>
          <w:spacing w:val="32"/>
          <w:w w:val="110"/>
        </w:rPr>
        <w:t> </w:t>
      </w:r>
      <w:r>
        <w:rPr>
          <w:w w:val="110"/>
        </w:rPr>
        <w:t>2004).</w:t>
      </w:r>
    </w:p>
    <w:p>
      <w:pPr>
        <w:pStyle w:val="BodyText"/>
        <w:spacing w:line="252" w:lineRule="auto"/>
        <w:ind w:left="330" w:right="117" w:firstLine="396"/>
        <w:jc w:val="both"/>
      </w:pPr>
      <w:r>
        <w:rPr>
          <w:w w:val="110"/>
        </w:rPr>
        <w:t>El análisis de la posición relativa de los trabajadores en relación con la estructura de edad de los ocupados, independientemente de otras características sociodemográficas como el sexo y el nivel educa- tivo, entre otras, da cuenta de la posición relativa de los trabajadores en la distribución del ingreso y pone de manifiesto el mayor impacto de la desigualdad salarial entre los jóvenes. En particular, el vínculo entre el nivel de formación, la capacitación y la inserción laboral co- bra importancia especial, dada la “degradación profesional”     (Ehren-</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w w:val="112"/>
        </w:rPr>
        <w:t>reich,</w:t>
      </w:r>
      <w:r>
        <w:rPr>
          <w:spacing w:val="13"/>
        </w:rPr>
        <w:t> </w:t>
      </w:r>
      <w:r>
        <w:rPr>
          <w:w w:val="104"/>
        </w:rPr>
        <w:t>2013).</w:t>
      </w:r>
      <w:r>
        <w:rPr>
          <w:spacing w:val="14"/>
        </w:rPr>
        <w:t> </w:t>
      </w:r>
      <w:r>
        <w:rPr>
          <w:w w:val="243"/>
        </w:rPr>
        <w:t>l</w:t>
      </w:r>
      <w:r>
        <w:rPr>
          <w:w w:val="112"/>
        </w:rPr>
        <w:t>a</w:t>
      </w:r>
      <w:r>
        <w:rPr>
          <w:spacing w:val="14"/>
        </w:rPr>
        <w:t> </w:t>
      </w:r>
      <w:r>
        <w:rPr>
          <w:w w:val="110"/>
        </w:rPr>
        <w:t>brecha</w:t>
      </w:r>
      <w:r>
        <w:rPr>
          <w:spacing w:val="14"/>
        </w:rPr>
        <w:t> </w:t>
      </w:r>
      <w:r>
        <w:rPr>
          <w:w w:val="110"/>
        </w:rPr>
        <w:t>salarial</w:t>
      </w:r>
      <w:r>
        <w:rPr>
          <w:spacing w:val="13"/>
        </w:rPr>
        <w:t> </w:t>
      </w:r>
      <w:r>
        <w:rPr>
          <w:w w:val="106"/>
        </w:rPr>
        <w:t>entre</w:t>
      </w:r>
      <w:r>
        <w:rPr>
          <w:spacing w:val="14"/>
        </w:rPr>
        <w:t> </w:t>
      </w:r>
      <w:r>
        <w:rPr>
          <w:w w:val="109"/>
        </w:rPr>
        <w:t>graduados</w:t>
      </w:r>
      <w:r>
        <w:rPr>
          <w:spacing w:val="13"/>
        </w:rPr>
        <w:t> </w:t>
      </w:r>
      <w:r>
        <w:rPr>
          <w:w w:val="105"/>
        </w:rPr>
        <w:t>y</w:t>
      </w:r>
      <w:r>
        <w:rPr>
          <w:spacing w:val="13"/>
        </w:rPr>
        <w:t> </w:t>
      </w:r>
      <w:r>
        <w:rPr>
          <w:w w:val="111"/>
        </w:rPr>
        <w:t>no</w:t>
      </w:r>
      <w:r>
        <w:rPr>
          <w:spacing w:val="14"/>
        </w:rPr>
        <w:t> </w:t>
      </w:r>
      <w:r>
        <w:rPr>
          <w:w w:val="109"/>
        </w:rPr>
        <w:t>graduados</w:t>
      </w:r>
      <w:r>
        <w:rPr>
          <w:spacing w:val="13"/>
        </w:rPr>
        <w:t> </w:t>
      </w:r>
      <w:r>
        <w:rPr>
          <w:w w:val="108"/>
        </w:rPr>
        <w:t>en</w:t>
      </w:r>
      <w:r>
        <w:rPr>
          <w:spacing w:val="14"/>
        </w:rPr>
        <w:t> </w:t>
      </w:r>
      <w:r>
        <w:rPr>
          <w:w w:val="111"/>
        </w:rPr>
        <w:t>la </w:t>
      </w:r>
      <w:r>
        <w:rPr>
          <w:w w:val="110"/>
        </w:rPr>
        <w:t>universidad ha tendido a ampliarse, pero no necesariamente debido a que</w:t>
      </w:r>
      <w:r>
        <w:rPr>
          <w:spacing w:val="-7"/>
          <w:w w:val="110"/>
        </w:rPr>
        <w:t> </w:t>
      </w:r>
      <w:r>
        <w:rPr>
          <w:w w:val="110"/>
        </w:rPr>
        <w:t>los</w:t>
      </w:r>
      <w:r>
        <w:rPr>
          <w:spacing w:val="-7"/>
          <w:w w:val="110"/>
        </w:rPr>
        <w:t> </w:t>
      </w:r>
      <w:r>
        <w:rPr>
          <w:w w:val="110"/>
        </w:rPr>
        <w:t>profesionales</w:t>
      </w:r>
      <w:r>
        <w:rPr>
          <w:spacing w:val="-7"/>
          <w:w w:val="110"/>
        </w:rPr>
        <w:t> </w:t>
      </w:r>
      <w:r>
        <w:rPr>
          <w:w w:val="110"/>
        </w:rPr>
        <w:t>mejoren</w:t>
      </w:r>
      <w:r>
        <w:rPr>
          <w:spacing w:val="-7"/>
          <w:w w:val="110"/>
        </w:rPr>
        <w:t> </w:t>
      </w:r>
      <w:r>
        <w:rPr>
          <w:w w:val="110"/>
        </w:rPr>
        <w:t>sus</w:t>
      </w:r>
      <w:r>
        <w:rPr>
          <w:spacing w:val="-7"/>
          <w:w w:val="110"/>
        </w:rPr>
        <w:t> </w:t>
      </w:r>
      <w:r>
        <w:rPr>
          <w:w w:val="110"/>
        </w:rPr>
        <w:t>ingresos,</w:t>
      </w:r>
      <w:r>
        <w:rPr>
          <w:spacing w:val="-7"/>
          <w:w w:val="110"/>
        </w:rPr>
        <w:t> </w:t>
      </w:r>
      <w:r>
        <w:rPr>
          <w:w w:val="110"/>
        </w:rPr>
        <w:t>sino</w:t>
      </w:r>
      <w:r>
        <w:rPr>
          <w:spacing w:val="-7"/>
          <w:w w:val="110"/>
        </w:rPr>
        <w:t> </w:t>
      </w:r>
      <w:r>
        <w:rPr>
          <w:w w:val="110"/>
        </w:rPr>
        <w:t>a</w:t>
      </w:r>
      <w:r>
        <w:rPr>
          <w:spacing w:val="-7"/>
          <w:w w:val="110"/>
        </w:rPr>
        <w:t> </w:t>
      </w:r>
      <w:r>
        <w:rPr>
          <w:w w:val="110"/>
        </w:rPr>
        <w:t>que</w:t>
      </w:r>
      <w:r>
        <w:rPr>
          <w:spacing w:val="-7"/>
          <w:w w:val="110"/>
        </w:rPr>
        <w:t> </w:t>
      </w:r>
      <w:r>
        <w:rPr>
          <w:w w:val="110"/>
        </w:rPr>
        <w:t>los</w:t>
      </w:r>
      <w:r>
        <w:rPr>
          <w:spacing w:val="-7"/>
          <w:w w:val="110"/>
        </w:rPr>
        <w:t> </w:t>
      </w:r>
      <w:r>
        <w:rPr>
          <w:w w:val="110"/>
        </w:rPr>
        <w:t>trabajadores manuales han perdido poder</w:t>
      </w:r>
      <w:r>
        <w:rPr>
          <w:spacing w:val="34"/>
          <w:w w:val="110"/>
        </w:rPr>
        <w:t> </w:t>
      </w:r>
      <w:r>
        <w:rPr>
          <w:w w:val="110"/>
        </w:rPr>
        <w:t>adquisitivo.</w:t>
      </w:r>
    </w:p>
    <w:p>
      <w:pPr>
        <w:pStyle w:val="BodyText"/>
        <w:spacing w:line="252" w:lineRule="auto"/>
        <w:ind w:left="100" w:right="327" w:firstLine="396"/>
        <w:jc w:val="both"/>
      </w:pPr>
      <w:r>
        <w:rPr>
          <w:w w:val="115"/>
        </w:rPr>
        <w:t>En</w:t>
      </w:r>
      <w:r>
        <w:rPr>
          <w:spacing w:val="-23"/>
          <w:w w:val="115"/>
        </w:rPr>
        <w:t> </w:t>
      </w:r>
      <w:r>
        <w:rPr>
          <w:w w:val="115"/>
        </w:rPr>
        <w:t>general,</w:t>
      </w:r>
      <w:r>
        <w:rPr>
          <w:spacing w:val="-23"/>
          <w:w w:val="115"/>
        </w:rPr>
        <w:t> </w:t>
      </w:r>
      <w:r>
        <w:rPr>
          <w:w w:val="115"/>
        </w:rPr>
        <w:t>los</w:t>
      </w:r>
      <w:r>
        <w:rPr>
          <w:spacing w:val="-23"/>
          <w:w w:val="115"/>
        </w:rPr>
        <w:t> </w:t>
      </w:r>
      <w:r>
        <w:rPr>
          <w:w w:val="115"/>
        </w:rPr>
        <w:t>regímenes</w:t>
      </w:r>
      <w:r>
        <w:rPr>
          <w:spacing w:val="-23"/>
          <w:w w:val="115"/>
        </w:rPr>
        <w:t> </w:t>
      </w:r>
      <w:r>
        <w:rPr>
          <w:w w:val="115"/>
        </w:rPr>
        <w:t>de</w:t>
      </w:r>
      <w:r>
        <w:rPr>
          <w:spacing w:val="-23"/>
          <w:w w:val="115"/>
        </w:rPr>
        <w:t> </w:t>
      </w:r>
      <w:r>
        <w:rPr>
          <w:w w:val="115"/>
        </w:rPr>
        <w:t>movilidad</w:t>
      </w:r>
      <w:r>
        <w:rPr>
          <w:spacing w:val="-23"/>
          <w:w w:val="115"/>
        </w:rPr>
        <w:t> </w:t>
      </w:r>
      <w:r>
        <w:rPr>
          <w:w w:val="115"/>
        </w:rPr>
        <w:t>social</w:t>
      </w:r>
      <w:r>
        <w:rPr>
          <w:spacing w:val="-23"/>
          <w:w w:val="115"/>
        </w:rPr>
        <w:t> </w:t>
      </w:r>
      <w:r>
        <w:rPr>
          <w:w w:val="115"/>
        </w:rPr>
        <w:t>se</w:t>
      </w:r>
      <w:r>
        <w:rPr>
          <w:spacing w:val="-23"/>
          <w:w w:val="115"/>
        </w:rPr>
        <w:t> </w:t>
      </w:r>
      <w:r>
        <w:rPr>
          <w:w w:val="115"/>
        </w:rPr>
        <w:t>modificaron</w:t>
      </w:r>
      <w:r>
        <w:rPr>
          <w:spacing w:val="-23"/>
          <w:w w:val="115"/>
        </w:rPr>
        <w:t> </w:t>
      </w:r>
      <w:r>
        <w:rPr>
          <w:w w:val="115"/>
        </w:rPr>
        <w:t>con el paso del modelo económico basado en el Estado de bienestar a</w:t>
      </w:r>
      <w:r>
        <w:rPr>
          <w:spacing w:val="-28"/>
          <w:w w:val="115"/>
        </w:rPr>
        <w:t> </w:t>
      </w:r>
      <w:r>
        <w:rPr>
          <w:w w:val="115"/>
        </w:rPr>
        <w:t>la adopción del modelo neoliberal a mediados de la década de 1970 y </w:t>
      </w:r>
      <w:r>
        <w:rPr>
          <w:w w:val="107"/>
        </w:rPr>
        <w:t>de</w:t>
      </w:r>
      <w:r>
        <w:rPr>
          <w:spacing w:val="18"/>
        </w:rPr>
        <w:t> </w:t>
      </w:r>
      <w:r>
        <w:rPr>
          <w:w w:val="112"/>
        </w:rPr>
        <w:t>allí</w:t>
      </w:r>
      <w:r>
        <w:rPr>
          <w:spacing w:val="18"/>
        </w:rPr>
        <w:t> </w:t>
      </w:r>
      <w:r>
        <w:rPr>
          <w:w w:val="108"/>
        </w:rPr>
        <w:t>en</w:t>
      </w:r>
      <w:r>
        <w:rPr>
          <w:spacing w:val="18"/>
        </w:rPr>
        <w:t> </w:t>
      </w:r>
      <w:r>
        <w:rPr>
          <w:w w:val="110"/>
        </w:rPr>
        <w:t>adelante.</w:t>
      </w:r>
      <w:r>
        <w:rPr>
          <w:spacing w:val="18"/>
        </w:rPr>
        <w:t> </w:t>
      </w:r>
      <w:r>
        <w:rPr>
          <w:w w:val="243"/>
        </w:rPr>
        <w:t>l</w:t>
      </w:r>
      <w:r>
        <w:rPr>
          <w:w w:val="109"/>
        </w:rPr>
        <w:t>as</w:t>
      </w:r>
      <w:r>
        <w:rPr>
          <w:spacing w:val="18"/>
        </w:rPr>
        <w:t> </w:t>
      </w:r>
      <w:r>
        <w:rPr>
          <w:w w:val="108"/>
        </w:rPr>
        <w:t>estructuras</w:t>
      </w:r>
      <w:r>
        <w:rPr>
          <w:spacing w:val="18"/>
        </w:rPr>
        <w:t> </w:t>
      </w:r>
      <w:r>
        <w:rPr>
          <w:w w:val="107"/>
        </w:rPr>
        <w:t>de</w:t>
      </w:r>
      <w:r>
        <w:rPr>
          <w:spacing w:val="18"/>
        </w:rPr>
        <w:t> </w:t>
      </w:r>
      <w:r>
        <w:rPr>
          <w:w w:val="109"/>
        </w:rPr>
        <w:t>clases</w:t>
      </w:r>
      <w:r>
        <w:rPr>
          <w:spacing w:val="18"/>
        </w:rPr>
        <w:t> </w:t>
      </w:r>
      <w:r>
        <w:rPr>
          <w:w w:val="111"/>
        </w:rPr>
        <w:t>cambiaron</w:t>
      </w:r>
      <w:r>
        <w:rPr>
          <w:spacing w:val="18"/>
        </w:rPr>
        <w:t> </w:t>
      </w:r>
      <w:r>
        <w:rPr>
          <w:w w:val="105"/>
        </w:rPr>
        <w:t>y</w:t>
      </w:r>
      <w:r>
        <w:rPr>
          <w:spacing w:val="18"/>
        </w:rPr>
        <w:t> </w:t>
      </w:r>
      <w:r>
        <w:rPr>
          <w:w w:val="110"/>
        </w:rPr>
        <w:t>también</w:t>
      </w:r>
      <w:r>
        <w:rPr>
          <w:spacing w:val="18"/>
        </w:rPr>
        <w:t> </w:t>
      </w:r>
      <w:r>
        <w:rPr>
          <w:w w:val="110"/>
        </w:rPr>
        <w:t>lo </w:t>
      </w:r>
      <w:r>
        <w:rPr>
          <w:w w:val="115"/>
        </w:rPr>
        <w:t>hicieron</w:t>
      </w:r>
      <w:r>
        <w:rPr>
          <w:spacing w:val="-19"/>
          <w:w w:val="115"/>
        </w:rPr>
        <w:t> </w:t>
      </w:r>
      <w:r>
        <w:rPr>
          <w:w w:val="115"/>
        </w:rPr>
        <w:t>los</w:t>
      </w:r>
      <w:r>
        <w:rPr>
          <w:spacing w:val="-19"/>
          <w:w w:val="115"/>
        </w:rPr>
        <w:t> </w:t>
      </w:r>
      <w:r>
        <w:rPr>
          <w:w w:val="115"/>
        </w:rPr>
        <w:t>patrones</w:t>
      </w:r>
      <w:r>
        <w:rPr>
          <w:spacing w:val="-19"/>
          <w:w w:val="115"/>
        </w:rPr>
        <w:t> </w:t>
      </w:r>
      <w:r>
        <w:rPr>
          <w:w w:val="115"/>
        </w:rPr>
        <w:t>y</w:t>
      </w:r>
      <w:r>
        <w:rPr>
          <w:spacing w:val="-19"/>
          <w:w w:val="115"/>
        </w:rPr>
        <w:t> </w:t>
      </w:r>
      <w:r>
        <w:rPr>
          <w:w w:val="115"/>
        </w:rPr>
        <w:t>mecanismos</w:t>
      </w:r>
      <w:r>
        <w:rPr>
          <w:spacing w:val="-19"/>
          <w:w w:val="115"/>
        </w:rPr>
        <w:t> </w:t>
      </w:r>
      <w:r>
        <w:rPr>
          <w:w w:val="115"/>
        </w:rPr>
        <w:t>de</w:t>
      </w:r>
      <w:r>
        <w:rPr>
          <w:spacing w:val="-19"/>
          <w:w w:val="115"/>
        </w:rPr>
        <w:t> </w:t>
      </w:r>
      <w:r>
        <w:rPr>
          <w:w w:val="115"/>
        </w:rPr>
        <w:t>movilidad</w:t>
      </w:r>
      <w:r>
        <w:rPr>
          <w:spacing w:val="-19"/>
          <w:w w:val="115"/>
        </w:rPr>
        <w:t> </w:t>
      </w:r>
      <w:r>
        <w:rPr>
          <w:w w:val="115"/>
        </w:rPr>
        <w:t>absoluta</w:t>
      </w:r>
      <w:r>
        <w:rPr>
          <w:spacing w:val="-19"/>
          <w:w w:val="115"/>
        </w:rPr>
        <w:t> </w:t>
      </w:r>
      <w:r>
        <w:rPr>
          <w:w w:val="115"/>
        </w:rPr>
        <w:t>y</w:t>
      </w:r>
      <w:r>
        <w:rPr>
          <w:spacing w:val="-19"/>
          <w:w w:val="115"/>
        </w:rPr>
        <w:t> </w:t>
      </w:r>
      <w:r>
        <w:rPr>
          <w:w w:val="115"/>
        </w:rPr>
        <w:t>relativa. En</w:t>
      </w:r>
      <w:r>
        <w:rPr>
          <w:spacing w:val="-5"/>
          <w:w w:val="115"/>
        </w:rPr>
        <w:t> </w:t>
      </w:r>
      <w:r>
        <w:rPr>
          <w:w w:val="115"/>
        </w:rPr>
        <w:t>particular,</w:t>
      </w:r>
      <w:r>
        <w:rPr>
          <w:spacing w:val="-5"/>
          <w:w w:val="115"/>
        </w:rPr>
        <w:t> </w:t>
      </w:r>
      <w:r>
        <w:rPr>
          <w:w w:val="115"/>
        </w:rPr>
        <w:t>en</w:t>
      </w:r>
      <w:r>
        <w:rPr>
          <w:spacing w:val="-5"/>
          <w:w w:val="115"/>
        </w:rPr>
        <w:t> </w:t>
      </w:r>
      <w:r>
        <w:rPr>
          <w:w w:val="115"/>
        </w:rPr>
        <w:t>Estados</w:t>
      </w:r>
      <w:r>
        <w:rPr>
          <w:spacing w:val="-5"/>
          <w:w w:val="115"/>
        </w:rPr>
        <w:t> </w:t>
      </w:r>
      <w:r>
        <w:rPr>
          <w:w w:val="115"/>
        </w:rPr>
        <w:t>unidos</w:t>
      </w:r>
      <w:r>
        <w:rPr>
          <w:spacing w:val="-5"/>
          <w:w w:val="115"/>
        </w:rPr>
        <w:t> </w:t>
      </w:r>
      <w:r>
        <w:rPr>
          <w:w w:val="115"/>
        </w:rPr>
        <w:t>“la</w:t>
      </w:r>
      <w:r>
        <w:rPr>
          <w:spacing w:val="-5"/>
          <w:w w:val="115"/>
        </w:rPr>
        <w:t> </w:t>
      </w:r>
      <w:r>
        <w:rPr>
          <w:w w:val="115"/>
        </w:rPr>
        <w:t>tendencia</w:t>
      </w:r>
      <w:r>
        <w:rPr>
          <w:spacing w:val="-5"/>
          <w:w w:val="115"/>
        </w:rPr>
        <w:t> </w:t>
      </w:r>
      <w:r>
        <w:rPr>
          <w:w w:val="115"/>
        </w:rPr>
        <w:t>hacia</w:t>
      </w:r>
      <w:r>
        <w:rPr>
          <w:spacing w:val="-5"/>
          <w:w w:val="115"/>
        </w:rPr>
        <w:t> </w:t>
      </w:r>
      <w:r>
        <w:rPr>
          <w:w w:val="115"/>
        </w:rPr>
        <w:t>una</w:t>
      </w:r>
      <w:r>
        <w:rPr>
          <w:spacing w:val="-5"/>
          <w:w w:val="115"/>
        </w:rPr>
        <w:t> </w:t>
      </w:r>
      <w:r>
        <w:rPr>
          <w:w w:val="115"/>
        </w:rPr>
        <w:t>mayor</w:t>
      </w:r>
      <w:r>
        <w:rPr>
          <w:spacing w:val="-5"/>
          <w:w w:val="115"/>
        </w:rPr>
        <w:t> </w:t>
      </w:r>
      <w:r>
        <w:rPr>
          <w:w w:val="115"/>
        </w:rPr>
        <w:t>flui- dez social propia de los años setenta y comienzos de los ochenta,</w:t>
      </w:r>
      <w:r>
        <w:rPr>
          <w:spacing w:val="-24"/>
          <w:w w:val="115"/>
        </w:rPr>
        <w:t> </w:t>
      </w:r>
      <w:r>
        <w:rPr>
          <w:w w:val="115"/>
        </w:rPr>
        <w:t>se detuvo</w:t>
      </w:r>
      <w:r>
        <w:rPr>
          <w:spacing w:val="-15"/>
          <w:w w:val="115"/>
        </w:rPr>
        <w:t> </w:t>
      </w:r>
      <w:r>
        <w:rPr>
          <w:w w:val="115"/>
        </w:rPr>
        <w:t>en</w:t>
      </w:r>
      <w:r>
        <w:rPr>
          <w:spacing w:val="-15"/>
          <w:w w:val="115"/>
        </w:rPr>
        <w:t> </w:t>
      </w:r>
      <w:r>
        <w:rPr>
          <w:w w:val="115"/>
        </w:rPr>
        <w:t>los</w:t>
      </w:r>
      <w:r>
        <w:rPr>
          <w:spacing w:val="-15"/>
          <w:w w:val="115"/>
        </w:rPr>
        <w:t> </w:t>
      </w:r>
      <w:r>
        <w:rPr>
          <w:w w:val="115"/>
        </w:rPr>
        <w:t>noventa”</w:t>
      </w:r>
      <w:r>
        <w:rPr>
          <w:spacing w:val="-15"/>
          <w:w w:val="115"/>
        </w:rPr>
        <w:t> </w:t>
      </w:r>
      <w:r>
        <w:rPr>
          <w:w w:val="115"/>
        </w:rPr>
        <w:t>(atria,</w:t>
      </w:r>
      <w:r>
        <w:rPr>
          <w:spacing w:val="-15"/>
          <w:w w:val="115"/>
        </w:rPr>
        <w:t> </w:t>
      </w:r>
      <w:r>
        <w:rPr>
          <w:w w:val="115"/>
        </w:rPr>
        <w:t>2004:</w:t>
      </w:r>
      <w:r>
        <w:rPr>
          <w:spacing w:val="-15"/>
          <w:w w:val="115"/>
        </w:rPr>
        <w:t> </w:t>
      </w:r>
      <w:r>
        <w:rPr>
          <w:w w:val="115"/>
        </w:rPr>
        <w:t>34).</w:t>
      </w:r>
      <w:r>
        <w:rPr>
          <w:spacing w:val="-15"/>
          <w:w w:val="115"/>
        </w:rPr>
        <w:t> </w:t>
      </w:r>
      <w:r>
        <w:rPr>
          <w:w w:val="115"/>
        </w:rPr>
        <w:t>Estados</w:t>
      </w:r>
      <w:r>
        <w:rPr>
          <w:spacing w:val="-15"/>
          <w:w w:val="115"/>
        </w:rPr>
        <w:t> </w:t>
      </w:r>
      <w:r>
        <w:rPr>
          <w:w w:val="115"/>
        </w:rPr>
        <w:t>unidos</w:t>
      </w:r>
      <w:r>
        <w:rPr>
          <w:spacing w:val="-15"/>
          <w:w w:val="115"/>
        </w:rPr>
        <w:t> </w:t>
      </w:r>
      <w:r>
        <w:rPr>
          <w:w w:val="115"/>
        </w:rPr>
        <w:t>ya</w:t>
      </w:r>
      <w:r>
        <w:rPr>
          <w:spacing w:val="-15"/>
          <w:w w:val="115"/>
        </w:rPr>
        <w:t> </w:t>
      </w:r>
      <w:r>
        <w:rPr>
          <w:w w:val="115"/>
        </w:rPr>
        <w:t>no</w:t>
      </w:r>
      <w:r>
        <w:rPr>
          <w:spacing w:val="-15"/>
          <w:w w:val="115"/>
        </w:rPr>
        <w:t> </w:t>
      </w:r>
      <w:r>
        <w:rPr>
          <w:w w:val="115"/>
        </w:rPr>
        <w:t>puede sostener</w:t>
      </w:r>
      <w:r>
        <w:rPr>
          <w:spacing w:val="-30"/>
          <w:w w:val="115"/>
        </w:rPr>
        <w:t> </w:t>
      </w:r>
      <w:r>
        <w:rPr>
          <w:w w:val="115"/>
        </w:rPr>
        <w:t>sus</w:t>
      </w:r>
      <w:r>
        <w:rPr>
          <w:spacing w:val="-30"/>
          <w:w w:val="115"/>
        </w:rPr>
        <w:t> </w:t>
      </w:r>
      <w:r>
        <w:rPr>
          <w:w w:val="115"/>
        </w:rPr>
        <w:t>premisas</w:t>
      </w:r>
      <w:r>
        <w:rPr>
          <w:spacing w:val="-30"/>
          <w:w w:val="115"/>
        </w:rPr>
        <w:t> </w:t>
      </w:r>
      <w:r>
        <w:rPr>
          <w:w w:val="115"/>
        </w:rPr>
        <w:t>de</w:t>
      </w:r>
      <w:r>
        <w:rPr>
          <w:spacing w:val="-30"/>
          <w:w w:val="115"/>
        </w:rPr>
        <w:t> </w:t>
      </w:r>
      <w:r>
        <w:rPr>
          <w:w w:val="115"/>
        </w:rPr>
        <w:t>poseer</w:t>
      </w:r>
      <w:r>
        <w:rPr>
          <w:spacing w:val="-30"/>
          <w:w w:val="115"/>
        </w:rPr>
        <w:t> </w:t>
      </w:r>
      <w:r>
        <w:rPr>
          <w:w w:val="115"/>
        </w:rPr>
        <w:t>el</w:t>
      </w:r>
      <w:r>
        <w:rPr>
          <w:spacing w:val="-30"/>
          <w:w w:val="115"/>
        </w:rPr>
        <w:t> </w:t>
      </w:r>
      <w:r>
        <w:rPr>
          <w:w w:val="115"/>
        </w:rPr>
        <w:t>modelo</w:t>
      </w:r>
      <w:r>
        <w:rPr>
          <w:spacing w:val="-30"/>
          <w:w w:val="115"/>
        </w:rPr>
        <w:t> </w:t>
      </w:r>
      <w:r>
        <w:rPr>
          <w:w w:val="115"/>
        </w:rPr>
        <w:t>laboral</w:t>
      </w:r>
      <w:r>
        <w:rPr>
          <w:spacing w:val="-30"/>
          <w:w w:val="115"/>
        </w:rPr>
        <w:t> </w:t>
      </w:r>
      <w:r>
        <w:rPr>
          <w:w w:val="115"/>
        </w:rPr>
        <w:t>adecuado</w:t>
      </w:r>
      <w:r>
        <w:rPr>
          <w:spacing w:val="-30"/>
          <w:w w:val="115"/>
        </w:rPr>
        <w:t> </w:t>
      </w:r>
      <w:r>
        <w:rPr>
          <w:w w:val="115"/>
        </w:rPr>
        <w:t>que</w:t>
      </w:r>
      <w:r>
        <w:rPr>
          <w:spacing w:val="-30"/>
          <w:w w:val="115"/>
        </w:rPr>
        <w:t> </w:t>
      </w:r>
      <w:r>
        <w:rPr>
          <w:w w:val="115"/>
        </w:rPr>
        <w:t>ofre- cía</w:t>
      </w:r>
      <w:r>
        <w:rPr>
          <w:spacing w:val="-20"/>
          <w:w w:val="115"/>
        </w:rPr>
        <w:t> </w:t>
      </w:r>
      <w:r>
        <w:rPr>
          <w:w w:val="115"/>
        </w:rPr>
        <w:t>garantía</w:t>
      </w:r>
      <w:r>
        <w:rPr>
          <w:spacing w:val="-20"/>
          <w:w w:val="115"/>
        </w:rPr>
        <w:t> </w:t>
      </w:r>
      <w:r>
        <w:rPr>
          <w:w w:val="115"/>
        </w:rPr>
        <w:t>y</w:t>
      </w:r>
      <w:r>
        <w:rPr>
          <w:spacing w:val="-20"/>
          <w:w w:val="115"/>
        </w:rPr>
        <w:t> </w:t>
      </w:r>
      <w:r>
        <w:rPr>
          <w:w w:val="115"/>
        </w:rPr>
        <w:t>certeza</w:t>
      </w:r>
      <w:r>
        <w:rPr>
          <w:spacing w:val="-20"/>
          <w:w w:val="115"/>
        </w:rPr>
        <w:t> </w:t>
      </w:r>
      <w:r>
        <w:rPr>
          <w:w w:val="115"/>
        </w:rPr>
        <w:t>de</w:t>
      </w:r>
      <w:r>
        <w:rPr>
          <w:spacing w:val="-20"/>
          <w:w w:val="115"/>
        </w:rPr>
        <w:t> </w:t>
      </w:r>
      <w:r>
        <w:rPr>
          <w:w w:val="115"/>
        </w:rPr>
        <w:t>movilidad</w:t>
      </w:r>
      <w:r>
        <w:rPr>
          <w:spacing w:val="-20"/>
          <w:w w:val="115"/>
        </w:rPr>
        <w:t> </w:t>
      </w:r>
      <w:r>
        <w:rPr>
          <w:w w:val="115"/>
        </w:rPr>
        <w:t>social</w:t>
      </w:r>
      <w:r>
        <w:rPr>
          <w:spacing w:val="-20"/>
          <w:w w:val="115"/>
        </w:rPr>
        <w:t> </w:t>
      </w:r>
      <w:r>
        <w:rPr>
          <w:w w:val="115"/>
        </w:rPr>
        <w:t>ascendente</w:t>
      </w:r>
      <w:r>
        <w:rPr>
          <w:spacing w:val="-20"/>
          <w:w w:val="115"/>
        </w:rPr>
        <w:t> </w:t>
      </w:r>
      <w:r>
        <w:rPr>
          <w:w w:val="115"/>
        </w:rPr>
        <w:t>y</w:t>
      </w:r>
      <w:r>
        <w:rPr>
          <w:spacing w:val="-20"/>
          <w:w w:val="115"/>
        </w:rPr>
        <w:t> </w:t>
      </w:r>
      <w:r>
        <w:rPr>
          <w:w w:val="115"/>
        </w:rPr>
        <w:t>que,</w:t>
      </w:r>
      <w:r>
        <w:rPr>
          <w:spacing w:val="-20"/>
          <w:w w:val="115"/>
        </w:rPr>
        <w:t> </w:t>
      </w:r>
      <w:r>
        <w:rPr>
          <w:w w:val="115"/>
        </w:rPr>
        <w:t>en</w:t>
      </w:r>
      <w:r>
        <w:rPr>
          <w:spacing w:val="-20"/>
          <w:w w:val="115"/>
        </w:rPr>
        <w:t> </w:t>
      </w:r>
      <w:r>
        <w:rPr>
          <w:w w:val="115"/>
        </w:rPr>
        <w:t>conse- cuencia,</w:t>
      </w:r>
      <w:r>
        <w:rPr>
          <w:spacing w:val="-10"/>
          <w:w w:val="115"/>
        </w:rPr>
        <w:t> </w:t>
      </w:r>
      <w:r>
        <w:rPr>
          <w:w w:val="115"/>
        </w:rPr>
        <w:t>debería</w:t>
      </w:r>
      <w:r>
        <w:rPr>
          <w:spacing w:val="-10"/>
          <w:w w:val="115"/>
        </w:rPr>
        <w:t> </w:t>
      </w:r>
      <w:r>
        <w:rPr>
          <w:w w:val="115"/>
        </w:rPr>
        <w:t>ser</w:t>
      </w:r>
      <w:r>
        <w:rPr>
          <w:spacing w:val="-10"/>
          <w:w w:val="115"/>
        </w:rPr>
        <w:t> </w:t>
      </w:r>
      <w:r>
        <w:rPr>
          <w:w w:val="115"/>
        </w:rPr>
        <w:t>imitado</w:t>
      </w:r>
      <w:r>
        <w:rPr>
          <w:spacing w:val="-10"/>
          <w:w w:val="115"/>
        </w:rPr>
        <w:t> </w:t>
      </w:r>
      <w:r>
        <w:rPr>
          <w:w w:val="115"/>
        </w:rPr>
        <w:t>por</w:t>
      </w:r>
      <w:r>
        <w:rPr>
          <w:spacing w:val="-10"/>
          <w:w w:val="115"/>
        </w:rPr>
        <w:t> </w:t>
      </w:r>
      <w:r>
        <w:rPr>
          <w:w w:val="115"/>
        </w:rPr>
        <w:t>el</w:t>
      </w:r>
      <w:r>
        <w:rPr>
          <w:spacing w:val="-10"/>
          <w:w w:val="115"/>
        </w:rPr>
        <w:t> </w:t>
      </w:r>
      <w:r>
        <w:rPr>
          <w:w w:val="115"/>
        </w:rPr>
        <w:t>resto</w:t>
      </w:r>
      <w:r>
        <w:rPr>
          <w:spacing w:val="-10"/>
          <w:w w:val="115"/>
        </w:rPr>
        <w:t> </w:t>
      </w:r>
      <w:r>
        <w:rPr>
          <w:w w:val="115"/>
        </w:rPr>
        <w:t>de</w:t>
      </w:r>
      <w:r>
        <w:rPr>
          <w:spacing w:val="-10"/>
          <w:w w:val="115"/>
        </w:rPr>
        <w:t> </w:t>
      </w:r>
      <w:r>
        <w:rPr>
          <w:w w:val="115"/>
        </w:rPr>
        <w:t>los</w:t>
      </w:r>
      <w:r>
        <w:rPr>
          <w:spacing w:val="-10"/>
          <w:w w:val="115"/>
        </w:rPr>
        <w:t> </w:t>
      </w:r>
      <w:r>
        <w:rPr>
          <w:w w:val="115"/>
        </w:rPr>
        <w:t>países</w:t>
      </w:r>
      <w:r>
        <w:rPr>
          <w:spacing w:val="-10"/>
          <w:w w:val="115"/>
        </w:rPr>
        <w:t> </w:t>
      </w:r>
      <w:r>
        <w:rPr>
          <w:w w:val="115"/>
        </w:rPr>
        <w:t>del</w:t>
      </w:r>
      <w:r>
        <w:rPr>
          <w:spacing w:val="-10"/>
          <w:w w:val="115"/>
        </w:rPr>
        <w:t> </w:t>
      </w:r>
      <w:r>
        <w:rPr>
          <w:w w:val="115"/>
        </w:rPr>
        <w:t>mundo.</w:t>
      </w:r>
      <w:r>
        <w:rPr>
          <w:spacing w:val="-10"/>
          <w:w w:val="115"/>
        </w:rPr>
        <w:t> </w:t>
      </w:r>
      <w:r>
        <w:rPr>
          <w:w w:val="115"/>
        </w:rPr>
        <w:t>En el</w:t>
      </w:r>
      <w:r>
        <w:rPr>
          <w:spacing w:val="-23"/>
          <w:w w:val="115"/>
        </w:rPr>
        <w:t> </w:t>
      </w:r>
      <w:r>
        <w:rPr>
          <w:w w:val="115"/>
        </w:rPr>
        <w:t>país</w:t>
      </w:r>
      <w:r>
        <w:rPr>
          <w:spacing w:val="-23"/>
          <w:w w:val="115"/>
        </w:rPr>
        <w:t> </w:t>
      </w:r>
      <w:r>
        <w:rPr>
          <w:w w:val="115"/>
        </w:rPr>
        <w:t>ya</w:t>
      </w:r>
      <w:r>
        <w:rPr>
          <w:spacing w:val="-23"/>
          <w:w w:val="115"/>
        </w:rPr>
        <w:t> </w:t>
      </w:r>
      <w:r>
        <w:rPr>
          <w:w w:val="115"/>
        </w:rPr>
        <w:t>no</w:t>
      </w:r>
      <w:r>
        <w:rPr>
          <w:spacing w:val="-23"/>
          <w:w w:val="115"/>
        </w:rPr>
        <w:t> </w:t>
      </w:r>
      <w:r>
        <w:rPr>
          <w:w w:val="115"/>
        </w:rPr>
        <w:t>existe</w:t>
      </w:r>
      <w:r>
        <w:rPr>
          <w:spacing w:val="-23"/>
          <w:w w:val="115"/>
        </w:rPr>
        <w:t> </w:t>
      </w:r>
      <w:r>
        <w:rPr>
          <w:w w:val="115"/>
        </w:rPr>
        <w:t>esa</w:t>
      </w:r>
      <w:r>
        <w:rPr>
          <w:spacing w:val="-23"/>
          <w:w w:val="115"/>
        </w:rPr>
        <w:t> </w:t>
      </w:r>
      <w:r>
        <w:rPr>
          <w:w w:val="115"/>
        </w:rPr>
        <w:t>movilidad</w:t>
      </w:r>
      <w:r>
        <w:rPr>
          <w:spacing w:val="-23"/>
          <w:w w:val="115"/>
        </w:rPr>
        <w:t> </w:t>
      </w:r>
      <w:r>
        <w:rPr>
          <w:w w:val="115"/>
        </w:rPr>
        <w:t>sin</w:t>
      </w:r>
      <w:r>
        <w:rPr>
          <w:spacing w:val="-23"/>
          <w:w w:val="115"/>
        </w:rPr>
        <w:t> </w:t>
      </w:r>
      <w:r>
        <w:rPr>
          <w:w w:val="115"/>
        </w:rPr>
        <w:t>traba</w:t>
      </w:r>
      <w:r>
        <w:rPr>
          <w:spacing w:val="-23"/>
          <w:w w:val="115"/>
        </w:rPr>
        <w:t> </w:t>
      </w:r>
      <w:r>
        <w:rPr>
          <w:w w:val="115"/>
        </w:rPr>
        <w:t>que</w:t>
      </w:r>
      <w:r>
        <w:rPr>
          <w:spacing w:val="-23"/>
          <w:w w:val="115"/>
        </w:rPr>
        <w:t> </w:t>
      </w:r>
      <w:r>
        <w:rPr>
          <w:w w:val="115"/>
        </w:rPr>
        <w:t>le</w:t>
      </w:r>
      <w:r>
        <w:rPr>
          <w:spacing w:val="-23"/>
          <w:w w:val="115"/>
        </w:rPr>
        <w:t> </w:t>
      </w:r>
      <w:r>
        <w:rPr>
          <w:w w:val="115"/>
        </w:rPr>
        <w:t>convirtió</w:t>
      </w:r>
      <w:r>
        <w:rPr>
          <w:spacing w:val="-23"/>
          <w:w w:val="115"/>
        </w:rPr>
        <w:t> </w:t>
      </w:r>
      <w:r>
        <w:rPr>
          <w:w w:val="115"/>
        </w:rPr>
        <w:t>en</w:t>
      </w:r>
      <w:r>
        <w:rPr>
          <w:spacing w:val="-23"/>
          <w:w w:val="115"/>
        </w:rPr>
        <w:t> </w:t>
      </w:r>
      <w:r>
        <w:rPr>
          <w:w w:val="115"/>
        </w:rPr>
        <w:t>ejemplo e, incluso, envidia de los demás países ricos y pobres (rifkin,</w:t>
      </w:r>
      <w:r>
        <w:rPr>
          <w:spacing w:val="-9"/>
          <w:w w:val="115"/>
        </w:rPr>
        <w:t> </w:t>
      </w:r>
      <w:r>
        <w:rPr>
          <w:w w:val="115"/>
        </w:rPr>
        <w:t>2004). Eso</w:t>
      </w:r>
      <w:r>
        <w:rPr>
          <w:spacing w:val="-18"/>
          <w:w w:val="115"/>
        </w:rPr>
        <w:t> </w:t>
      </w:r>
      <w:r>
        <w:rPr>
          <w:w w:val="115"/>
        </w:rPr>
        <w:t>llegó</w:t>
      </w:r>
      <w:r>
        <w:rPr>
          <w:spacing w:val="-18"/>
          <w:w w:val="115"/>
        </w:rPr>
        <w:t> </w:t>
      </w:r>
      <w:r>
        <w:rPr>
          <w:w w:val="115"/>
        </w:rPr>
        <w:t>a</w:t>
      </w:r>
      <w:r>
        <w:rPr>
          <w:spacing w:val="-18"/>
          <w:w w:val="115"/>
        </w:rPr>
        <w:t> </w:t>
      </w:r>
      <w:r>
        <w:rPr>
          <w:w w:val="115"/>
        </w:rPr>
        <w:t>su</w:t>
      </w:r>
      <w:r>
        <w:rPr>
          <w:spacing w:val="-18"/>
          <w:w w:val="115"/>
        </w:rPr>
        <w:t> </w:t>
      </w:r>
      <w:r>
        <w:rPr>
          <w:w w:val="115"/>
        </w:rPr>
        <w:t>fin</w:t>
      </w:r>
      <w:r>
        <w:rPr>
          <w:spacing w:val="-18"/>
          <w:w w:val="115"/>
        </w:rPr>
        <w:t> </w:t>
      </w:r>
      <w:r>
        <w:rPr>
          <w:w w:val="115"/>
        </w:rPr>
        <w:t>desde</w:t>
      </w:r>
      <w:r>
        <w:rPr>
          <w:spacing w:val="-18"/>
          <w:w w:val="115"/>
        </w:rPr>
        <w:t> </w:t>
      </w:r>
      <w:r>
        <w:rPr>
          <w:w w:val="115"/>
        </w:rPr>
        <w:t>finales</w:t>
      </w:r>
      <w:r>
        <w:rPr>
          <w:spacing w:val="-18"/>
          <w:w w:val="115"/>
        </w:rPr>
        <w:t> </w:t>
      </w:r>
      <w:r>
        <w:rPr>
          <w:w w:val="115"/>
        </w:rPr>
        <w:t>de</w:t>
      </w:r>
      <w:r>
        <w:rPr>
          <w:spacing w:val="-18"/>
          <w:w w:val="115"/>
        </w:rPr>
        <w:t> </w:t>
      </w:r>
      <w:r>
        <w:rPr>
          <w:w w:val="115"/>
        </w:rPr>
        <w:t>la</w:t>
      </w:r>
      <w:r>
        <w:rPr>
          <w:spacing w:val="-18"/>
          <w:w w:val="115"/>
        </w:rPr>
        <w:t> </w:t>
      </w:r>
      <w:r>
        <w:rPr>
          <w:w w:val="115"/>
        </w:rPr>
        <w:t>década</w:t>
      </w:r>
      <w:r>
        <w:rPr>
          <w:spacing w:val="-18"/>
          <w:w w:val="115"/>
        </w:rPr>
        <w:t> </w:t>
      </w:r>
      <w:r>
        <w:rPr>
          <w:w w:val="115"/>
        </w:rPr>
        <w:t>de</w:t>
      </w:r>
      <w:r>
        <w:rPr>
          <w:spacing w:val="-18"/>
          <w:w w:val="115"/>
        </w:rPr>
        <w:t> </w:t>
      </w:r>
      <w:r>
        <w:rPr>
          <w:w w:val="115"/>
        </w:rPr>
        <w:t>1990</w:t>
      </w:r>
      <w:r>
        <w:rPr>
          <w:spacing w:val="-18"/>
          <w:w w:val="115"/>
        </w:rPr>
        <w:t> </w:t>
      </w:r>
      <w:r>
        <w:rPr>
          <w:w w:val="115"/>
        </w:rPr>
        <w:t>y</w:t>
      </w:r>
      <w:r>
        <w:rPr>
          <w:spacing w:val="-18"/>
          <w:w w:val="115"/>
        </w:rPr>
        <w:t> </w:t>
      </w:r>
      <w:r>
        <w:rPr>
          <w:w w:val="115"/>
        </w:rPr>
        <w:t>comienzos</w:t>
      </w:r>
      <w:r>
        <w:rPr>
          <w:spacing w:val="-18"/>
          <w:w w:val="115"/>
        </w:rPr>
        <w:t> </w:t>
      </w:r>
      <w:r>
        <w:rPr>
          <w:w w:val="115"/>
        </w:rPr>
        <w:t>de</w:t>
      </w:r>
      <w:r>
        <w:rPr>
          <w:spacing w:val="-18"/>
          <w:w w:val="115"/>
        </w:rPr>
        <w:t> </w:t>
      </w:r>
      <w:r>
        <w:rPr>
          <w:w w:val="115"/>
        </w:rPr>
        <w:t>la de</w:t>
      </w:r>
      <w:r>
        <w:rPr>
          <w:spacing w:val="-30"/>
          <w:w w:val="115"/>
        </w:rPr>
        <w:t> </w:t>
      </w:r>
      <w:r>
        <w:rPr>
          <w:w w:val="115"/>
        </w:rPr>
        <w:t>2000</w:t>
      </w:r>
      <w:r>
        <w:rPr>
          <w:spacing w:val="-30"/>
          <w:w w:val="115"/>
        </w:rPr>
        <w:t> </w:t>
      </w:r>
      <w:r>
        <w:rPr>
          <w:w w:val="115"/>
        </w:rPr>
        <w:t>cuando</w:t>
      </w:r>
      <w:r>
        <w:rPr>
          <w:spacing w:val="-30"/>
          <w:w w:val="115"/>
        </w:rPr>
        <w:t> </w:t>
      </w:r>
      <w:r>
        <w:rPr>
          <w:w w:val="115"/>
        </w:rPr>
        <w:t>–en</w:t>
      </w:r>
      <w:r>
        <w:rPr>
          <w:spacing w:val="-30"/>
          <w:w w:val="115"/>
        </w:rPr>
        <w:t> </w:t>
      </w:r>
      <w:r>
        <w:rPr>
          <w:w w:val="115"/>
        </w:rPr>
        <w:t>relación</w:t>
      </w:r>
      <w:r>
        <w:rPr>
          <w:spacing w:val="-30"/>
          <w:w w:val="115"/>
        </w:rPr>
        <w:t> </w:t>
      </w:r>
      <w:r>
        <w:rPr>
          <w:w w:val="115"/>
        </w:rPr>
        <w:t>con</w:t>
      </w:r>
      <w:r>
        <w:rPr>
          <w:spacing w:val="-30"/>
          <w:w w:val="115"/>
        </w:rPr>
        <w:t> </w:t>
      </w:r>
      <w:r>
        <w:rPr>
          <w:w w:val="115"/>
        </w:rPr>
        <w:t>“la</w:t>
      </w:r>
      <w:r>
        <w:rPr>
          <w:spacing w:val="-30"/>
          <w:w w:val="115"/>
        </w:rPr>
        <w:t> </w:t>
      </w:r>
      <w:r>
        <w:rPr>
          <w:w w:val="115"/>
        </w:rPr>
        <w:t>tasa</w:t>
      </w:r>
      <w:r>
        <w:rPr>
          <w:spacing w:val="-30"/>
          <w:w w:val="115"/>
        </w:rPr>
        <w:t> </w:t>
      </w:r>
      <w:r>
        <w:rPr>
          <w:w w:val="115"/>
        </w:rPr>
        <w:t>de</w:t>
      </w:r>
      <w:r>
        <w:rPr>
          <w:spacing w:val="-30"/>
          <w:w w:val="115"/>
        </w:rPr>
        <w:t> </w:t>
      </w:r>
      <w:r>
        <w:rPr>
          <w:w w:val="115"/>
        </w:rPr>
        <w:t>desigualdad</w:t>
      </w:r>
      <w:r>
        <w:rPr>
          <w:spacing w:val="-30"/>
          <w:w w:val="115"/>
        </w:rPr>
        <w:t> </w:t>
      </w:r>
      <w:r>
        <w:rPr>
          <w:w w:val="115"/>
        </w:rPr>
        <w:t>entre</w:t>
      </w:r>
      <w:r>
        <w:rPr>
          <w:spacing w:val="-30"/>
          <w:w w:val="115"/>
        </w:rPr>
        <w:t> </w:t>
      </w:r>
      <w:r>
        <w:rPr>
          <w:w w:val="115"/>
        </w:rPr>
        <w:t>los</w:t>
      </w:r>
      <w:r>
        <w:rPr>
          <w:spacing w:val="-30"/>
          <w:w w:val="115"/>
        </w:rPr>
        <w:t> </w:t>
      </w:r>
      <w:r>
        <w:rPr>
          <w:w w:val="115"/>
        </w:rPr>
        <w:t>sala- rios</w:t>
      </w:r>
      <w:r>
        <w:rPr>
          <w:spacing w:val="-15"/>
          <w:w w:val="115"/>
        </w:rPr>
        <w:t> </w:t>
      </w:r>
      <w:r>
        <w:rPr>
          <w:w w:val="115"/>
        </w:rPr>
        <w:t>más</w:t>
      </w:r>
      <w:r>
        <w:rPr>
          <w:spacing w:val="-15"/>
          <w:w w:val="115"/>
        </w:rPr>
        <w:t> </w:t>
      </w:r>
      <w:r>
        <w:rPr>
          <w:w w:val="115"/>
        </w:rPr>
        <w:t>altos</w:t>
      </w:r>
      <w:r>
        <w:rPr>
          <w:spacing w:val="-15"/>
          <w:w w:val="115"/>
        </w:rPr>
        <w:t> </w:t>
      </w:r>
      <w:r>
        <w:rPr>
          <w:w w:val="115"/>
        </w:rPr>
        <w:t>y</w:t>
      </w:r>
      <w:r>
        <w:rPr>
          <w:spacing w:val="-15"/>
          <w:w w:val="115"/>
        </w:rPr>
        <w:t> </w:t>
      </w:r>
      <w:r>
        <w:rPr>
          <w:w w:val="115"/>
        </w:rPr>
        <w:t>los</w:t>
      </w:r>
      <w:r>
        <w:rPr>
          <w:spacing w:val="-15"/>
          <w:w w:val="115"/>
        </w:rPr>
        <w:t> </w:t>
      </w:r>
      <w:r>
        <w:rPr>
          <w:w w:val="115"/>
        </w:rPr>
        <w:t>más</w:t>
      </w:r>
      <w:r>
        <w:rPr>
          <w:spacing w:val="-15"/>
          <w:w w:val="115"/>
        </w:rPr>
        <w:t> </w:t>
      </w:r>
      <w:r>
        <w:rPr>
          <w:w w:val="115"/>
        </w:rPr>
        <w:t>bajos”–</w:t>
      </w:r>
      <w:r>
        <w:rPr>
          <w:spacing w:val="-15"/>
          <w:w w:val="115"/>
        </w:rPr>
        <w:t> </w:t>
      </w:r>
      <w:r>
        <w:rPr>
          <w:w w:val="115"/>
        </w:rPr>
        <w:t>el</w:t>
      </w:r>
      <w:r>
        <w:rPr>
          <w:spacing w:val="-15"/>
          <w:w w:val="115"/>
        </w:rPr>
        <w:t> </w:t>
      </w:r>
      <w:r>
        <w:rPr>
          <w:w w:val="115"/>
        </w:rPr>
        <w:t>país</w:t>
      </w:r>
      <w:r>
        <w:rPr>
          <w:spacing w:val="-15"/>
          <w:w w:val="115"/>
        </w:rPr>
        <w:t> </w:t>
      </w:r>
      <w:r>
        <w:rPr>
          <w:w w:val="115"/>
        </w:rPr>
        <w:t>alcanzó</w:t>
      </w:r>
      <w:r>
        <w:rPr>
          <w:spacing w:val="-15"/>
          <w:w w:val="115"/>
        </w:rPr>
        <w:t> </w:t>
      </w:r>
      <w:r>
        <w:rPr>
          <w:w w:val="115"/>
        </w:rPr>
        <w:t>“la</w:t>
      </w:r>
      <w:r>
        <w:rPr>
          <w:spacing w:val="-15"/>
          <w:w w:val="115"/>
        </w:rPr>
        <w:t> </w:t>
      </w:r>
      <w:r>
        <w:rPr>
          <w:w w:val="115"/>
        </w:rPr>
        <w:t>distinción</w:t>
      </w:r>
      <w:r>
        <w:rPr>
          <w:spacing w:val="-15"/>
          <w:w w:val="115"/>
        </w:rPr>
        <w:t> </w:t>
      </w:r>
      <w:r>
        <w:rPr>
          <w:w w:val="115"/>
        </w:rPr>
        <w:t>de</w:t>
      </w:r>
      <w:r>
        <w:rPr>
          <w:spacing w:val="-15"/>
          <w:w w:val="115"/>
        </w:rPr>
        <w:t> </w:t>
      </w:r>
      <w:r>
        <w:rPr>
          <w:w w:val="115"/>
        </w:rPr>
        <w:t>tener </w:t>
      </w:r>
      <w:r>
        <w:rPr>
          <w:w w:val="111"/>
        </w:rPr>
        <w:t>la</w:t>
      </w:r>
      <w:r>
        <w:rPr>
          <w:spacing w:val="15"/>
        </w:rPr>
        <w:t> </w:t>
      </w:r>
      <w:r>
        <w:rPr>
          <w:w w:val="109"/>
        </w:rPr>
        <w:t>mayor</w:t>
      </w:r>
      <w:r>
        <w:rPr>
          <w:spacing w:val="15"/>
        </w:rPr>
        <w:t> </w:t>
      </w:r>
      <w:r>
        <w:rPr>
          <w:w w:val="110"/>
        </w:rPr>
        <w:t>desigualdad</w:t>
      </w:r>
      <w:r>
        <w:rPr>
          <w:spacing w:val="15"/>
        </w:rPr>
        <w:t> </w:t>
      </w:r>
      <w:r>
        <w:rPr>
          <w:w w:val="107"/>
        </w:rPr>
        <w:t>de</w:t>
      </w:r>
      <w:r>
        <w:rPr>
          <w:spacing w:val="15"/>
        </w:rPr>
        <w:t> </w:t>
      </w:r>
      <w:r>
        <w:rPr>
          <w:w w:val="109"/>
        </w:rPr>
        <w:t>salarios</w:t>
      </w:r>
      <w:r>
        <w:rPr>
          <w:spacing w:val="15"/>
        </w:rPr>
        <w:t> </w:t>
      </w:r>
      <w:r>
        <w:rPr>
          <w:w w:val="107"/>
        </w:rPr>
        <w:t>de</w:t>
      </w:r>
      <w:r>
        <w:rPr>
          <w:spacing w:val="15"/>
        </w:rPr>
        <w:t> </w:t>
      </w:r>
      <w:r>
        <w:rPr>
          <w:w w:val="108"/>
        </w:rPr>
        <w:t>todos</w:t>
      </w:r>
      <w:r>
        <w:rPr>
          <w:spacing w:val="15"/>
        </w:rPr>
        <w:t> </w:t>
      </w:r>
      <w:r>
        <w:rPr>
          <w:w w:val="108"/>
        </w:rPr>
        <w:t>los</w:t>
      </w:r>
      <w:r>
        <w:rPr>
          <w:spacing w:val="15"/>
        </w:rPr>
        <w:t> </w:t>
      </w:r>
      <w:r>
        <w:rPr>
          <w:w w:val="108"/>
        </w:rPr>
        <w:t>países</w:t>
      </w:r>
      <w:r>
        <w:rPr>
          <w:spacing w:val="15"/>
        </w:rPr>
        <w:t> </w:t>
      </w:r>
      <w:r>
        <w:rPr>
          <w:w w:val="107"/>
        </w:rPr>
        <w:t>de</w:t>
      </w:r>
      <w:r>
        <w:rPr>
          <w:spacing w:val="15"/>
        </w:rPr>
        <w:t> </w:t>
      </w:r>
      <w:r>
        <w:rPr>
          <w:w w:val="111"/>
        </w:rPr>
        <w:t>la</w:t>
      </w:r>
      <w:r>
        <w:rPr>
          <w:spacing w:val="15"/>
        </w:rPr>
        <w:t> </w:t>
      </w:r>
      <w:r>
        <w:rPr>
          <w:w w:val="149"/>
        </w:rPr>
        <w:t>o</w:t>
      </w:r>
      <w:r>
        <w:rPr>
          <w:w w:val="124"/>
        </w:rPr>
        <w:t>C</w:t>
      </w:r>
      <w:r>
        <w:rPr>
          <w:w w:val="139"/>
        </w:rPr>
        <w:t>d</w:t>
      </w:r>
      <w:r>
        <w:rPr>
          <w:w w:val="128"/>
        </w:rPr>
        <w:t>E</w:t>
      </w:r>
      <w:r>
        <w:rPr>
          <w:w w:val="123"/>
        </w:rPr>
        <w:t>”.</w:t>
      </w:r>
      <w:r>
        <w:rPr>
          <w:spacing w:val="15"/>
        </w:rPr>
        <w:t> </w:t>
      </w:r>
      <w:r>
        <w:rPr>
          <w:w w:val="243"/>
        </w:rPr>
        <w:t>l</w:t>
      </w:r>
      <w:r>
        <w:rPr>
          <w:w w:val="112"/>
        </w:rPr>
        <w:t>a </w:t>
      </w:r>
      <w:r>
        <w:rPr>
          <w:w w:val="115"/>
        </w:rPr>
        <w:t>sociedad</w:t>
      </w:r>
      <w:r>
        <w:rPr>
          <w:spacing w:val="-5"/>
          <w:w w:val="115"/>
        </w:rPr>
        <w:t> </w:t>
      </w:r>
      <w:r>
        <w:rPr>
          <w:w w:val="115"/>
        </w:rPr>
        <w:t>abierta,</w:t>
      </w:r>
      <w:r>
        <w:rPr>
          <w:spacing w:val="-5"/>
          <w:w w:val="115"/>
        </w:rPr>
        <w:t> </w:t>
      </w:r>
      <w:r>
        <w:rPr>
          <w:w w:val="115"/>
        </w:rPr>
        <w:t>con</w:t>
      </w:r>
      <w:r>
        <w:rPr>
          <w:spacing w:val="-5"/>
          <w:w w:val="115"/>
        </w:rPr>
        <w:t> </w:t>
      </w:r>
      <w:r>
        <w:rPr>
          <w:w w:val="115"/>
        </w:rPr>
        <w:t>pocas</w:t>
      </w:r>
      <w:r>
        <w:rPr>
          <w:spacing w:val="-5"/>
          <w:w w:val="115"/>
        </w:rPr>
        <w:t> </w:t>
      </w:r>
      <w:r>
        <w:rPr>
          <w:w w:val="115"/>
        </w:rPr>
        <w:t>barreras</w:t>
      </w:r>
      <w:r>
        <w:rPr>
          <w:spacing w:val="-5"/>
          <w:w w:val="115"/>
        </w:rPr>
        <w:t> </w:t>
      </w:r>
      <w:r>
        <w:rPr>
          <w:w w:val="115"/>
        </w:rPr>
        <w:t>y</w:t>
      </w:r>
      <w:r>
        <w:rPr>
          <w:spacing w:val="-5"/>
          <w:w w:val="115"/>
        </w:rPr>
        <w:t> </w:t>
      </w:r>
      <w:r>
        <w:rPr>
          <w:w w:val="115"/>
        </w:rPr>
        <w:t>fácil</w:t>
      </w:r>
      <w:r>
        <w:rPr>
          <w:spacing w:val="-5"/>
          <w:w w:val="115"/>
        </w:rPr>
        <w:t> </w:t>
      </w:r>
      <w:r>
        <w:rPr>
          <w:w w:val="115"/>
        </w:rPr>
        <w:t>movilidad</w:t>
      </w:r>
      <w:r>
        <w:rPr>
          <w:spacing w:val="-5"/>
          <w:w w:val="115"/>
        </w:rPr>
        <w:t> </w:t>
      </w:r>
      <w:r>
        <w:rPr>
          <w:w w:val="115"/>
        </w:rPr>
        <w:t>social,</w:t>
      </w:r>
      <w:r>
        <w:rPr>
          <w:spacing w:val="-5"/>
          <w:w w:val="115"/>
        </w:rPr>
        <w:t> </w:t>
      </w:r>
      <w:r>
        <w:rPr>
          <w:w w:val="115"/>
        </w:rPr>
        <w:t>parece </w:t>
      </w:r>
      <w:r>
        <w:rPr>
          <w:w w:val="110"/>
        </w:rPr>
        <w:t>haber quedado</w:t>
      </w:r>
      <w:r>
        <w:rPr>
          <w:spacing w:val="14"/>
          <w:w w:val="110"/>
        </w:rPr>
        <w:t> </w:t>
      </w:r>
      <w:r>
        <w:rPr>
          <w:w w:val="110"/>
        </w:rPr>
        <w:t>atrás.</w:t>
      </w:r>
    </w:p>
    <w:p>
      <w:pPr>
        <w:pStyle w:val="BodyText"/>
        <w:spacing w:line="252" w:lineRule="auto"/>
        <w:ind w:left="100" w:right="327" w:firstLine="396"/>
        <w:jc w:val="both"/>
      </w:pPr>
      <w:r>
        <w:rPr>
          <w:w w:val="110"/>
        </w:rPr>
        <w:t>En particular, los jóvenes cada vez encuentran menos posibili- dades de realizar sus proyectos de vida con independencia de sus fa- </w:t>
      </w:r>
      <w:r>
        <w:rPr>
          <w:w w:val="114"/>
        </w:rPr>
        <w:t>milias.</w:t>
      </w:r>
      <w:r>
        <w:rPr/>
        <w:t> </w:t>
      </w:r>
      <w:r>
        <w:rPr>
          <w:spacing w:val="-10"/>
        </w:rPr>
        <w:t> </w:t>
      </w:r>
      <w:r>
        <w:rPr>
          <w:w w:val="243"/>
        </w:rPr>
        <w:t>l</w:t>
      </w:r>
      <w:r>
        <w:rPr>
          <w:w w:val="112"/>
        </w:rPr>
        <w:t>a</w:t>
      </w:r>
      <w:r>
        <w:rPr/>
        <w:t> </w:t>
      </w:r>
      <w:r>
        <w:rPr>
          <w:spacing w:val="-10"/>
        </w:rPr>
        <w:t> </w:t>
      </w:r>
      <w:r>
        <w:rPr>
          <w:w w:val="110"/>
        </w:rPr>
        <w:t>permanencia</w:t>
      </w:r>
      <w:r>
        <w:rPr/>
        <w:t> </w:t>
      </w:r>
      <w:r>
        <w:rPr>
          <w:spacing w:val="-10"/>
        </w:rPr>
        <w:t> </w:t>
      </w:r>
      <w:r>
        <w:rPr>
          <w:w w:val="107"/>
        </w:rPr>
        <w:t>de</w:t>
      </w:r>
      <w:r>
        <w:rPr/>
        <w:t> </w:t>
      </w:r>
      <w:r>
        <w:rPr>
          <w:spacing w:val="-10"/>
        </w:rPr>
        <w:t> </w:t>
      </w:r>
      <w:r>
        <w:rPr>
          <w:w w:val="108"/>
        </w:rPr>
        <w:t>los</w:t>
      </w:r>
      <w:r>
        <w:rPr/>
        <w:t> </w:t>
      </w:r>
      <w:r>
        <w:rPr>
          <w:spacing w:val="-10"/>
        </w:rPr>
        <w:t> </w:t>
      </w:r>
      <w:r>
        <w:rPr>
          <w:w w:val="111"/>
        </w:rPr>
        <w:t>hijos</w:t>
      </w:r>
      <w:r>
        <w:rPr/>
        <w:t> </w:t>
      </w:r>
      <w:r>
        <w:rPr>
          <w:spacing w:val="-10"/>
        </w:rPr>
        <w:t> </w:t>
      </w:r>
      <w:r>
        <w:rPr>
          <w:w w:val="104"/>
        </w:rPr>
        <w:t>e</w:t>
      </w:r>
      <w:r>
        <w:rPr/>
        <w:t> </w:t>
      </w:r>
      <w:r>
        <w:rPr>
          <w:spacing w:val="-10"/>
        </w:rPr>
        <w:t> </w:t>
      </w:r>
      <w:r>
        <w:rPr>
          <w:w w:val="111"/>
        </w:rPr>
        <w:t>hijas</w:t>
      </w:r>
      <w:r>
        <w:rPr/>
        <w:t> </w:t>
      </w:r>
      <w:r>
        <w:rPr>
          <w:spacing w:val="-10"/>
        </w:rPr>
        <w:t> </w:t>
      </w:r>
      <w:r>
        <w:rPr>
          <w:w w:val="108"/>
        </w:rPr>
        <w:t>en</w:t>
      </w:r>
      <w:r>
        <w:rPr/>
        <w:t> </w:t>
      </w:r>
      <w:r>
        <w:rPr>
          <w:spacing w:val="-10"/>
        </w:rPr>
        <w:t> </w:t>
      </w:r>
      <w:r>
        <w:rPr>
          <w:w w:val="107"/>
        </w:rPr>
        <w:t>el</w:t>
      </w:r>
      <w:r>
        <w:rPr/>
        <w:t> </w:t>
      </w:r>
      <w:r>
        <w:rPr>
          <w:spacing w:val="-10"/>
        </w:rPr>
        <w:t> </w:t>
      </w:r>
      <w:r>
        <w:rPr>
          <w:w w:val="110"/>
        </w:rPr>
        <w:t>hogar</w:t>
      </w:r>
      <w:r>
        <w:rPr/>
        <w:t> </w:t>
      </w:r>
      <w:r>
        <w:rPr>
          <w:spacing w:val="-10"/>
        </w:rPr>
        <w:t> </w:t>
      </w:r>
      <w:r>
        <w:rPr>
          <w:w w:val="108"/>
        </w:rPr>
        <w:t>paterno</w:t>
      </w:r>
      <w:r>
        <w:rPr/>
        <w:t> </w:t>
      </w:r>
      <w:r>
        <w:rPr>
          <w:spacing w:val="-10"/>
        </w:rPr>
        <w:t> </w:t>
      </w:r>
      <w:r>
        <w:rPr>
          <w:w w:val="105"/>
        </w:rPr>
        <w:t>y</w:t>
      </w:r>
      <w:r>
        <w:rPr/>
        <w:t> </w:t>
      </w:r>
      <w:r>
        <w:rPr>
          <w:spacing w:val="-10"/>
        </w:rPr>
        <w:t> </w:t>
      </w:r>
      <w:r>
        <w:rPr>
          <w:w w:val="107"/>
        </w:rPr>
        <w:t>el </w:t>
      </w:r>
      <w:r>
        <w:rPr>
          <w:w w:val="110"/>
        </w:rPr>
        <w:t>retraso del matrimonio son indicadores indirectos de las limitadas condiciones que enfrentan los jóvenes en cuanto al acceso al mercado de trabajo y la disposición de empleos estables e ingresos suficientes para garantizar la conformación de una familia, ejercer con ello su independencia y construir proyectos futuros propios. dicha situación parece alterar algunas tendencias en curso y afirmar otras; por ejem- plo, según datos de Guzmán (2007) en Estados unidos, entre 1971 y 1994, la proporción de jóvenes hombres de 16 a 24 años jefes de fa- milia o esposos cayó de 21 a 11 por ciento e, igualmente, las mujeres siguieron el mismo patrón de reducción, que si bien está asociado a cambios en las pautas culturales, también refleja el entorno limitado de posibilidades que enfrentan los</w:t>
      </w:r>
      <w:r>
        <w:rPr>
          <w:spacing w:val="13"/>
          <w:w w:val="110"/>
        </w:rPr>
        <w:t> </w:t>
      </w:r>
      <w:r>
        <w:rPr>
          <w:w w:val="110"/>
        </w:rPr>
        <w:t>jóvenes.</w:t>
      </w:r>
    </w:p>
    <w:p>
      <w:pPr>
        <w:pStyle w:val="BodyText"/>
        <w:spacing w:line="252" w:lineRule="auto"/>
        <w:ind w:left="100" w:right="328" w:firstLine="396"/>
        <w:jc w:val="both"/>
      </w:pPr>
      <w:r>
        <w:rPr>
          <w:w w:val="110"/>
        </w:rPr>
        <w:t>Quizá la comprensión más extendida del llamado “sueño ame- ricano” es la de que cada generación superará a la predecesora, en cuanto a estándares y niveles de vida. El sueño americano fundado   en el pragmatismo del desarrollo material y el crecimiento económi- co</w:t>
      </w:r>
      <w:r>
        <w:rPr>
          <w:spacing w:val="23"/>
          <w:w w:val="110"/>
        </w:rPr>
        <w:t> </w:t>
      </w:r>
      <w:r>
        <w:rPr>
          <w:w w:val="110"/>
        </w:rPr>
        <w:t>del</w:t>
      </w:r>
      <w:r>
        <w:rPr>
          <w:spacing w:val="23"/>
          <w:w w:val="110"/>
        </w:rPr>
        <w:t> </w:t>
      </w:r>
      <w:r>
        <w:rPr>
          <w:w w:val="110"/>
        </w:rPr>
        <w:t>individuo,</w:t>
      </w:r>
      <w:r>
        <w:rPr>
          <w:spacing w:val="23"/>
          <w:w w:val="110"/>
        </w:rPr>
        <w:t> </w:t>
      </w:r>
      <w:r>
        <w:rPr>
          <w:w w:val="110"/>
        </w:rPr>
        <w:t>así</w:t>
      </w:r>
      <w:r>
        <w:rPr>
          <w:spacing w:val="23"/>
          <w:w w:val="110"/>
        </w:rPr>
        <w:t> </w:t>
      </w:r>
      <w:r>
        <w:rPr>
          <w:w w:val="110"/>
        </w:rPr>
        <w:t>como</w:t>
      </w:r>
      <w:r>
        <w:rPr>
          <w:spacing w:val="23"/>
          <w:w w:val="110"/>
        </w:rPr>
        <w:t> </w:t>
      </w:r>
      <w:r>
        <w:rPr>
          <w:w w:val="110"/>
        </w:rPr>
        <w:t>su</w:t>
      </w:r>
      <w:r>
        <w:rPr>
          <w:spacing w:val="23"/>
          <w:w w:val="110"/>
        </w:rPr>
        <w:t> </w:t>
      </w:r>
      <w:r>
        <w:rPr>
          <w:w w:val="110"/>
        </w:rPr>
        <w:t>independencia</w:t>
      </w:r>
      <w:r>
        <w:rPr>
          <w:spacing w:val="23"/>
          <w:w w:val="110"/>
        </w:rPr>
        <w:t> </w:t>
      </w:r>
      <w:r>
        <w:rPr>
          <w:w w:val="110"/>
        </w:rPr>
        <w:t>y</w:t>
      </w:r>
      <w:r>
        <w:rPr>
          <w:spacing w:val="23"/>
          <w:w w:val="110"/>
        </w:rPr>
        <w:t> </w:t>
      </w:r>
      <w:r>
        <w:rPr>
          <w:w w:val="110"/>
        </w:rPr>
        <w:t>autonomía,</w:t>
      </w:r>
      <w:r>
        <w:rPr>
          <w:spacing w:val="23"/>
          <w:w w:val="110"/>
        </w:rPr>
        <w:t> </w:t>
      </w:r>
      <w:r>
        <w:rPr>
          <w:w w:val="110"/>
        </w:rPr>
        <w:t>ligados</w:t>
      </w:r>
      <w:r>
        <w:rPr>
          <w:spacing w:val="23"/>
          <w:w w:val="110"/>
        </w:rPr>
        <w:t> </w:t>
      </w:r>
      <w:r>
        <w:rPr>
          <w:w w:val="110"/>
        </w:rPr>
        <w:t>al</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éxito material, se ha perdido. En la mística de las personas ese cami- no era posible, fundado en los principios de la ética del trabajo, una forma de fe o utopía basada en el esfuerzo, la constancia y persisten- cia. así se entendió y reprodujo de generación en generación. Cito el siguiente consejo de una madre a su  hijo:</w:t>
      </w:r>
    </w:p>
    <w:p>
      <w:pPr>
        <w:pStyle w:val="BodyText"/>
        <w:spacing w:before="11"/>
        <w:rPr>
          <w:sz w:val="18"/>
        </w:rPr>
      </w:pPr>
    </w:p>
    <w:p>
      <w:pPr>
        <w:spacing w:before="0"/>
        <w:ind w:left="727" w:right="118" w:firstLine="0"/>
        <w:jc w:val="both"/>
        <w:rPr>
          <w:sz w:val="18"/>
        </w:rPr>
      </w:pPr>
      <w:r>
        <w:rPr>
          <w:w w:val="110"/>
          <w:sz w:val="18"/>
        </w:rPr>
        <w:t>Hijo mío, muchas personas sueñan con hacer grandes cosas, pero lo que distingue a los soñadores de aquellos que realmente las hacen es la disciplina y el trabajo duro […] Hijo mío, recuerda que el éxito en</w:t>
      </w:r>
      <w:r>
        <w:rPr>
          <w:spacing w:val="-8"/>
          <w:w w:val="110"/>
          <w:sz w:val="18"/>
        </w:rPr>
        <w:t> </w:t>
      </w:r>
      <w:r>
        <w:rPr>
          <w:w w:val="110"/>
          <w:sz w:val="18"/>
        </w:rPr>
        <w:t>la vida</w:t>
      </w:r>
      <w:r>
        <w:rPr>
          <w:spacing w:val="-4"/>
          <w:w w:val="110"/>
          <w:sz w:val="18"/>
        </w:rPr>
        <w:t> </w:t>
      </w:r>
      <w:r>
        <w:rPr>
          <w:w w:val="110"/>
          <w:sz w:val="18"/>
        </w:rPr>
        <w:t>es</w:t>
      </w:r>
      <w:r>
        <w:rPr>
          <w:spacing w:val="-4"/>
          <w:w w:val="110"/>
          <w:sz w:val="18"/>
        </w:rPr>
        <w:t> </w:t>
      </w:r>
      <w:r>
        <w:rPr>
          <w:w w:val="110"/>
          <w:sz w:val="18"/>
        </w:rPr>
        <w:t>el</w:t>
      </w:r>
      <w:r>
        <w:rPr>
          <w:spacing w:val="-4"/>
          <w:w w:val="110"/>
          <w:sz w:val="18"/>
        </w:rPr>
        <w:t> </w:t>
      </w:r>
      <w:r>
        <w:rPr>
          <w:w w:val="110"/>
          <w:sz w:val="18"/>
        </w:rPr>
        <w:t>resultado</w:t>
      </w:r>
      <w:r>
        <w:rPr>
          <w:spacing w:val="-4"/>
          <w:w w:val="110"/>
          <w:sz w:val="18"/>
        </w:rPr>
        <w:t> </w:t>
      </w:r>
      <w:r>
        <w:rPr>
          <w:w w:val="110"/>
          <w:sz w:val="18"/>
        </w:rPr>
        <w:t>de</w:t>
      </w:r>
      <w:r>
        <w:rPr>
          <w:spacing w:val="-4"/>
          <w:w w:val="110"/>
          <w:sz w:val="18"/>
        </w:rPr>
        <w:t> </w:t>
      </w:r>
      <w:r>
        <w:rPr>
          <w:w w:val="110"/>
          <w:sz w:val="18"/>
        </w:rPr>
        <w:t>un</w:t>
      </w:r>
      <w:r>
        <w:rPr>
          <w:spacing w:val="-4"/>
          <w:w w:val="110"/>
          <w:sz w:val="18"/>
        </w:rPr>
        <w:t> </w:t>
      </w:r>
      <w:r>
        <w:rPr>
          <w:w w:val="110"/>
          <w:sz w:val="18"/>
        </w:rPr>
        <w:t>99</w:t>
      </w:r>
      <w:r>
        <w:rPr>
          <w:spacing w:val="-4"/>
          <w:w w:val="110"/>
          <w:sz w:val="18"/>
        </w:rPr>
        <w:t> </w:t>
      </w:r>
      <w:r>
        <w:rPr>
          <w:w w:val="110"/>
          <w:sz w:val="18"/>
        </w:rPr>
        <w:t>por</w:t>
      </w:r>
      <w:r>
        <w:rPr>
          <w:spacing w:val="-4"/>
          <w:w w:val="110"/>
          <w:sz w:val="18"/>
        </w:rPr>
        <w:t> </w:t>
      </w:r>
      <w:r>
        <w:rPr>
          <w:w w:val="110"/>
          <w:sz w:val="18"/>
        </w:rPr>
        <w:t>ciento</w:t>
      </w:r>
      <w:r>
        <w:rPr>
          <w:spacing w:val="-4"/>
          <w:w w:val="110"/>
          <w:sz w:val="18"/>
        </w:rPr>
        <w:t> </w:t>
      </w:r>
      <w:r>
        <w:rPr>
          <w:w w:val="110"/>
          <w:sz w:val="18"/>
        </w:rPr>
        <w:t>de</w:t>
      </w:r>
      <w:r>
        <w:rPr>
          <w:spacing w:val="-4"/>
          <w:w w:val="110"/>
          <w:sz w:val="18"/>
        </w:rPr>
        <w:t> </w:t>
      </w:r>
      <w:r>
        <w:rPr>
          <w:w w:val="110"/>
          <w:sz w:val="18"/>
        </w:rPr>
        <w:t>trabajo</w:t>
      </w:r>
      <w:r>
        <w:rPr>
          <w:spacing w:val="-4"/>
          <w:w w:val="110"/>
          <w:sz w:val="18"/>
        </w:rPr>
        <w:t> </w:t>
      </w:r>
      <w:r>
        <w:rPr>
          <w:w w:val="110"/>
          <w:sz w:val="18"/>
        </w:rPr>
        <w:t>y</w:t>
      </w:r>
      <w:r>
        <w:rPr>
          <w:spacing w:val="-4"/>
          <w:w w:val="110"/>
          <w:sz w:val="18"/>
        </w:rPr>
        <w:t> </w:t>
      </w:r>
      <w:r>
        <w:rPr>
          <w:w w:val="110"/>
          <w:sz w:val="18"/>
        </w:rPr>
        <w:t>un</w:t>
      </w:r>
      <w:r>
        <w:rPr>
          <w:spacing w:val="-4"/>
          <w:w w:val="110"/>
          <w:sz w:val="18"/>
        </w:rPr>
        <w:t> </w:t>
      </w:r>
      <w:r>
        <w:rPr>
          <w:w w:val="110"/>
          <w:sz w:val="18"/>
        </w:rPr>
        <w:t>uno</w:t>
      </w:r>
      <w:r>
        <w:rPr>
          <w:spacing w:val="-4"/>
          <w:w w:val="110"/>
          <w:sz w:val="18"/>
        </w:rPr>
        <w:t> </w:t>
      </w:r>
      <w:r>
        <w:rPr>
          <w:w w:val="110"/>
          <w:sz w:val="18"/>
        </w:rPr>
        <w:t>por</w:t>
      </w:r>
      <w:r>
        <w:rPr>
          <w:spacing w:val="-4"/>
          <w:w w:val="110"/>
          <w:sz w:val="18"/>
        </w:rPr>
        <w:t> </w:t>
      </w:r>
      <w:r>
        <w:rPr>
          <w:w w:val="110"/>
          <w:sz w:val="18"/>
        </w:rPr>
        <w:t>ciento de talento (Madre, citada por rifkin,</w:t>
      </w:r>
      <w:r>
        <w:rPr>
          <w:spacing w:val="20"/>
          <w:w w:val="110"/>
          <w:sz w:val="18"/>
        </w:rPr>
        <w:t> </w:t>
      </w:r>
      <w:r>
        <w:rPr>
          <w:w w:val="110"/>
          <w:sz w:val="18"/>
        </w:rPr>
        <w:t>2004).</w:t>
      </w:r>
    </w:p>
    <w:p>
      <w:pPr>
        <w:pStyle w:val="BodyText"/>
        <w:spacing w:before="1"/>
        <w:rPr>
          <w:sz w:val="21"/>
        </w:rPr>
      </w:pPr>
    </w:p>
    <w:p>
      <w:pPr>
        <w:pStyle w:val="BodyText"/>
        <w:spacing w:line="252" w:lineRule="auto"/>
        <w:ind w:left="330" w:right="118"/>
        <w:jc w:val="both"/>
      </w:pPr>
      <w:r>
        <w:rPr>
          <w:w w:val="110"/>
        </w:rPr>
        <w:t>No obstante, esto en Estados unidos se ha perdido o se ha desvirtua- do en las décadas recientes. observado desde fuera, el país ha dejado de ser el modelo ejemplar a seguir; desde dentro, hay un malestar y  la sensación creciente de que se ha perdido el rumbo, que el camino  es más difícil o que, simplemente, cambiaron las condiciones preva- lecientes que hasta hace poco justificaban la “arrogancia” de ser con- </w:t>
      </w:r>
      <w:r>
        <w:rPr>
          <w:w w:val="108"/>
        </w:rPr>
        <w:t>siderado</w:t>
      </w:r>
      <w:r>
        <w:rPr>
          <w:spacing w:val="15"/>
        </w:rPr>
        <w:t> </w:t>
      </w:r>
      <w:r>
        <w:rPr>
          <w:w w:val="107"/>
        </w:rPr>
        <w:t>el</w:t>
      </w:r>
      <w:r>
        <w:rPr>
          <w:spacing w:val="15"/>
        </w:rPr>
        <w:t> </w:t>
      </w:r>
      <w:r>
        <w:rPr>
          <w:w w:val="110"/>
        </w:rPr>
        <w:t>gran</w:t>
      </w:r>
      <w:r>
        <w:rPr>
          <w:spacing w:val="15"/>
        </w:rPr>
        <w:t> </w:t>
      </w:r>
      <w:r>
        <w:rPr>
          <w:w w:val="113"/>
        </w:rPr>
        <w:t>país.</w:t>
      </w:r>
      <w:r>
        <w:rPr>
          <w:spacing w:val="15"/>
        </w:rPr>
        <w:t> </w:t>
      </w:r>
      <w:r>
        <w:rPr>
          <w:w w:val="243"/>
        </w:rPr>
        <w:t>l</w:t>
      </w:r>
      <w:r>
        <w:rPr>
          <w:w w:val="109"/>
        </w:rPr>
        <w:t>as</w:t>
      </w:r>
      <w:r>
        <w:rPr>
          <w:spacing w:val="15"/>
        </w:rPr>
        <w:t> </w:t>
      </w:r>
      <w:r>
        <w:rPr>
          <w:w w:val="109"/>
        </w:rPr>
        <w:t>salidas</w:t>
      </w:r>
      <w:r>
        <w:rPr>
          <w:spacing w:val="15"/>
        </w:rPr>
        <w:t> </w:t>
      </w:r>
      <w:r>
        <w:rPr>
          <w:w w:val="111"/>
        </w:rPr>
        <w:t>no</w:t>
      </w:r>
      <w:r>
        <w:rPr>
          <w:spacing w:val="15"/>
        </w:rPr>
        <w:t> </w:t>
      </w:r>
      <w:r>
        <w:rPr>
          <w:w w:val="109"/>
        </w:rPr>
        <w:t>parecen</w:t>
      </w:r>
      <w:r>
        <w:rPr>
          <w:spacing w:val="15"/>
        </w:rPr>
        <w:t> </w:t>
      </w:r>
      <w:r>
        <w:rPr>
          <w:w w:val="110"/>
        </w:rPr>
        <w:t>claras</w:t>
      </w:r>
      <w:r>
        <w:rPr>
          <w:spacing w:val="15"/>
        </w:rPr>
        <w:t> </w:t>
      </w:r>
      <w:r>
        <w:rPr>
          <w:w w:val="113"/>
        </w:rPr>
        <w:t>ni</w:t>
      </w:r>
      <w:r>
        <w:rPr>
          <w:spacing w:val="15"/>
        </w:rPr>
        <w:t> </w:t>
      </w:r>
      <w:r>
        <w:rPr>
          <w:w w:val="111"/>
        </w:rPr>
        <w:t>inmediatas.</w:t>
      </w:r>
      <w:r>
        <w:rPr>
          <w:spacing w:val="15"/>
        </w:rPr>
        <w:t> </w:t>
      </w:r>
      <w:r>
        <w:rPr>
          <w:w w:val="149"/>
        </w:rPr>
        <w:t>s</w:t>
      </w:r>
      <w:r>
        <w:rPr>
          <w:w w:val="104"/>
        </w:rPr>
        <w:t>e </w:t>
      </w:r>
      <w:r>
        <w:rPr>
          <w:w w:val="110"/>
        </w:rPr>
        <w:t>trata de una nueva juventud, o de una misma juventud en circunstan- cias cada vez más marcadas por las contradicciones del sistema social </w:t>
      </w:r>
      <w:r>
        <w:rPr>
          <w:spacing w:val="-11"/>
          <w:w w:val="110"/>
        </w:rPr>
        <w:t>y, </w:t>
      </w:r>
      <w:r>
        <w:rPr>
          <w:w w:val="110"/>
        </w:rPr>
        <w:t>particularmente, de las limitaciones inherentes del modelo laboral adoptado a mediados de la década de 1970. En palabras de rifkin, en parte se trata</w:t>
      </w:r>
      <w:r>
        <w:rPr>
          <w:spacing w:val="-7"/>
          <w:w w:val="110"/>
        </w:rPr>
        <w:t> </w:t>
      </w:r>
      <w:r>
        <w:rPr>
          <w:w w:val="110"/>
        </w:rPr>
        <w:t>de:</w:t>
      </w:r>
    </w:p>
    <w:p>
      <w:pPr>
        <w:pStyle w:val="BodyText"/>
        <w:spacing w:before="11"/>
        <w:rPr>
          <w:sz w:val="18"/>
        </w:rPr>
      </w:pPr>
    </w:p>
    <w:p>
      <w:pPr>
        <w:spacing w:before="0"/>
        <w:ind w:left="727" w:right="115" w:firstLine="0"/>
        <w:jc w:val="both"/>
        <w:rPr>
          <w:sz w:val="18"/>
        </w:rPr>
      </w:pPr>
      <w:r>
        <w:rPr>
          <w:w w:val="105"/>
          <w:sz w:val="18"/>
        </w:rPr>
        <w:t>una juventud cada vez más atrapada en una cultura mediática que vendía la idea de la gratificación inmediata de los propios deseos. El resultado era que cada nueva generación de estadounidenses estaba menos dispuesta o incluso menos capacitada  para  trabajar  y  pospo- ner la gratificación en beneficio de ulteriores recompensas  (rifkin,</w:t>
      </w:r>
      <w:r>
        <w:rPr>
          <w:spacing w:val="41"/>
          <w:w w:val="105"/>
          <w:sz w:val="18"/>
        </w:rPr>
        <w:t> </w:t>
      </w:r>
      <w:r>
        <w:rPr>
          <w:w w:val="105"/>
          <w:sz w:val="18"/>
        </w:rPr>
        <w:t>2004:</w:t>
      </w:r>
      <w:r>
        <w:rPr>
          <w:spacing w:val="-2"/>
          <w:w w:val="105"/>
          <w:sz w:val="18"/>
        </w:rPr>
        <w:t> </w:t>
      </w:r>
      <w:r>
        <w:rPr>
          <w:w w:val="105"/>
          <w:sz w:val="18"/>
        </w:rPr>
        <w:t>42).</w:t>
      </w:r>
    </w:p>
    <w:p>
      <w:pPr>
        <w:pStyle w:val="BodyText"/>
        <w:spacing w:before="1"/>
        <w:rPr>
          <w:sz w:val="21"/>
        </w:rPr>
      </w:pPr>
    </w:p>
    <w:p>
      <w:pPr>
        <w:pStyle w:val="BodyText"/>
        <w:spacing w:line="252" w:lineRule="auto"/>
        <w:ind w:left="330" w:right="117"/>
        <w:jc w:val="both"/>
      </w:pPr>
      <w:r>
        <w:rPr>
          <w:w w:val="243"/>
        </w:rPr>
        <w:t>l</w:t>
      </w:r>
      <w:r>
        <w:rPr>
          <w:w w:val="108"/>
        </w:rPr>
        <w:t>os</w:t>
      </w:r>
      <w:r>
        <w:rPr>
          <w:spacing w:val="14"/>
        </w:rPr>
        <w:t> </w:t>
      </w:r>
      <w:r>
        <w:rPr>
          <w:w w:val="107"/>
        </w:rPr>
        <w:t>jóvenes</w:t>
      </w:r>
      <w:r>
        <w:rPr>
          <w:spacing w:val="14"/>
        </w:rPr>
        <w:t> </w:t>
      </w:r>
      <w:r>
        <w:rPr>
          <w:w w:val="109"/>
        </w:rPr>
        <w:t>son</w:t>
      </w:r>
      <w:r>
        <w:rPr>
          <w:spacing w:val="14"/>
        </w:rPr>
        <w:t> </w:t>
      </w:r>
      <w:r>
        <w:rPr>
          <w:w w:val="108"/>
        </w:rPr>
        <w:t>los</w:t>
      </w:r>
      <w:r>
        <w:rPr>
          <w:spacing w:val="14"/>
        </w:rPr>
        <w:t> </w:t>
      </w:r>
      <w:r>
        <w:rPr>
          <w:w w:val="111"/>
        </w:rPr>
        <w:t>más</w:t>
      </w:r>
      <w:r>
        <w:rPr>
          <w:spacing w:val="14"/>
        </w:rPr>
        <w:t> </w:t>
      </w:r>
      <w:r>
        <w:rPr>
          <w:w w:val="111"/>
        </w:rPr>
        <w:t>afectados.</w:t>
      </w:r>
      <w:r>
        <w:rPr>
          <w:spacing w:val="14"/>
        </w:rPr>
        <w:t> </w:t>
      </w:r>
      <w:r>
        <w:rPr>
          <w:w w:val="126"/>
        </w:rPr>
        <w:t>Y</w:t>
      </w:r>
      <w:r>
        <w:rPr>
          <w:spacing w:val="14"/>
        </w:rPr>
        <w:t> </w:t>
      </w:r>
      <w:r>
        <w:rPr>
          <w:w w:val="106"/>
        </w:rPr>
        <w:t>esto</w:t>
      </w:r>
      <w:r>
        <w:rPr>
          <w:spacing w:val="14"/>
        </w:rPr>
        <w:t> </w:t>
      </w:r>
      <w:r>
        <w:rPr>
          <w:w w:val="108"/>
        </w:rPr>
        <w:t>tiene</w:t>
      </w:r>
      <w:r>
        <w:rPr>
          <w:spacing w:val="14"/>
        </w:rPr>
        <w:t> </w:t>
      </w:r>
      <w:r>
        <w:rPr>
          <w:w w:val="112"/>
        </w:rPr>
        <w:t>un</w:t>
      </w:r>
      <w:r>
        <w:rPr>
          <w:spacing w:val="14"/>
        </w:rPr>
        <w:t> </w:t>
      </w:r>
      <w:r>
        <w:rPr>
          <w:w w:val="109"/>
        </w:rPr>
        <w:t>efecto</w:t>
      </w:r>
      <w:r>
        <w:rPr>
          <w:spacing w:val="14"/>
        </w:rPr>
        <w:t> </w:t>
      </w:r>
      <w:r>
        <w:rPr>
          <w:w w:val="107"/>
        </w:rPr>
        <w:t>de</w:t>
      </w:r>
      <w:r>
        <w:rPr>
          <w:spacing w:val="14"/>
        </w:rPr>
        <w:t> </w:t>
      </w:r>
      <w:r>
        <w:rPr>
          <w:w w:val="109"/>
        </w:rPr>
        <w:t>desalie</w:t>
      </w:r>
      <w:r>
        <w:rPr>
          <w:spacing w:val="-1"/>
          <w:w w:val="109"/>
        </w:rPr>
        <w:t>n</w:t>
      </w:r>
      <w:r>
        <w:rPr>
          <w:w w:val="102"/>
        </w:rPr>
        <w:t>- </w:t>
      </w:r>
      <w:r>
        <w:rPr>
          <w:w w:val="110"/>
        </w:rPr>
        <w:t>to generalizado, con consecuencias sobre la cultura y ética del traba- jo, parte constitutiva del sistema de valores ampliamente reconocido </w:t>
      </w:r>
      <w:r>
        <w:rPr>
          <w:w w:val="105"/>
        </w:rPr>
        <w:t>y</w:t>
      </w:r>
      <w:r>
        <w:rPr/>
        <w:t> </w:t>
      </w:r>
      <w:r>
        <w:rPr>
          <w:spacing w:val="8"/>
        </w:rPr>
        <w:t> </w:t>
      </w:r>
      <w:r>
        <w:rPr>
          <w:w w:val="109"/>
        </w:rPr>
        <w:t>promovido</w:t>
      </w:r>
      <w:r>
        <w:rPr/>
        <w:t> </w:t>
      </w:r>
      <w:r>
        <w:rPr>
          <w:spacing w:val="8"/>
        </w:rPr>
        <w:t> </w:t>
      </w:r>
      <w:r>
        <w:rPr>
          <w:w w:val="106"/>
        </w:rPr>
        <w:t>entre</w:t>
      </w:r>
      <w:r>
        <w:rPr/>
        <w:t> </w:t>
      </w:r>
      <w:r>
        <w:rPr>
          <w:spacing w:val="8"/>
        </w:rPr>
        <w:t> </w:t>
      </w:r>
      <w:r>
        <w:rPr>
          <w:w w:val="108"/>
        </w:rPr>
        <w:t>los</w:t>
      </w:r>
      <w:r>
        <w:rPr/>
        <w:t> </w:t>
      </w:r>
      <w:r>
        <w:rPr>
          <w:spacing w:val="8"/>
        </w:rPr>
        <w:t> </w:t>
      </w:r>
      <w:r>
        <w:rPr>
          <w:w w:val="109"/>
        </w:rPr>
        <w:t>estadounidenses.</w:t>
      </w:r>
      <w:r>
        <w:rPr/>
        <w:t> </w:t>
      </w:r>
      <w:r>
        <w:rPr>
          <w:spacing w:val="8"/>
        </w:rPr>
        <w:t> </w:t>
      </w:r>
      <w:r>
        <w:rPr>
          <w:w w:val="243"/>
        </w:rPr>
        <w:t>l</w:t>
      </w:r>
      <w:r>
        <w:rPr>
          <w:w w:val="112"/>
        </w:rPr>
        <w:t>a</w:t>
      </w:r>
      <w:r>
        <w:rPr/>
        <w:t> </w:t>
      </w:r>
      <w:r>
        <w:rPr>
          <w:spacing w:val="8"/>
        </w:rPr>
        <w:t> </w:t>
      </w:r>
      <w:r>
        <w:rPr>
          <w:w w:val="110"/>
        </w:rPr>
        <w:t>centralidad</w:t>
      </w:r>
      <w:r>
        <w:rPr/>
        <w:t> </w:t>
      </w:r>
      <w:r>
        <w:rPr>
          <w:spacing w:val="8"/>
        </w:rPr>
        <w:t> </w:t>
      </w:r>
      <w:r>
        <w:rPr>
          <w:w w:val="107"/>
        </w:rPr>
        <w:t>del</w:t>
      </w:r>
      <w:r>
        <w:rPr/>
        <w:t> </w:t>
      </w:r>
      <w:r>
        <w:rPr>
          <w:spacing w:val="8"/>
        </w:rPr>
        <w:t> </w:t>
      </w:r>
      <w:r>
        <w:rPr>
          <w:w w:val="110"/>
        </w:rPr>
        <w:t>trabajo </w:t>
      </w:r>
      <w:r>
        <w:rPr>
          <w:w w:val="110"/>
        </w:rPr>
        <w:t>como valor social y cultural positivo sobre el cual eran motivados los jóvenes desde muy temprana edad, ligada a la idea de independen-  cia individual y al desarrollo propio en un horizonte de posibilidades sólo alcanzables con el esfuerzo y el trabajo personal, pierde fuerza y </w:t>
      </w:r>
      <w:r>
        <w:rPr>
          <w:w w:val="108"/>
        </w:rPr>
        <w:t>parece</w:t>
      </w:r>
      <w:r>
        <w:rPr/>
        <w:t> </w:t>
      </w:r>
      <w:r>
        <w:rPr>
          <w:spacing w:val="-19"/>
        </w:rPr>
        <w:t> </w:t>
      </w:r>
      <w:r>
        <w:rPr>
          <w:w w:val="108"/>
        </w:rPr>
        <w:t>deteriorarse.</w:t>
      </w:r>
      <w:r>
        <w:rPr/>
        <w:t> </w:t>
      </w:r>
      <w:r>
        <w:rPr>
          <w:spacing w:val="-19"/>
        </w:rPr>
        <w:t> </w:t>
      </w:r>
      <w:r>
        <w:rPr>
          <w:w w:val="243"/>
        </w:rPr>
        <w:t>l</w:t>
      </w:r>
      <w:r>
        <w:rPr>
          <w:w w:val="112"/>
        </w:rPr>
        <w:t>a</w:t>
      </w:r>
      <w:r>
        <w:rPr/>
        <w:t> </w:t>
      </w:r>
      <w:r>
        <w:rPr>
          <w:spacing w:val="-19"/>
        </w:rPr>
        <w:t> </w:t>
      </w:r>
      <w:r>
        <w:rPr>
          <w:w w:val="110"/>
        </w:rPr>
        <w:t>transmisión</w:t>
      </w:r>
      <w:r>
        <w:rPr/>
        <w:t> </w:t>
      </w:r>
      <w:r>
        <w:rPr>
          <w:spacing w:val="-19"/>
        </w:rPr>
        <w:t> </w:t>
      </w:r>
      <w:r>
        <w:rPr>
          <w:w w:val="107"/>
        </w:rPr>
        <w:t>de</w:t>
      </w:r>
      <w:r>
        <w:rPr/>
        <w:t> </w:t>
      </w:r>
      <w:r>
        <w:rPr>
          <w:spacing w:val="-19"/>
        </w:rPr>
        <w:t> </w:t>
      </w:r>
      <w:r>
        <w:rPr>
          <w:w w:val="111"/>
        </w:rPr>
        <w:t>la</w:t>
      </w:r>
      <w:r>
        <w:rPr/>
        <w:t> </w:t>
      </w:r>
      <w:r>
        <w:rPr>
          <w:spacing w:val="-19"/>
        </w:rPr>
        <w:t> </w:t>
      </w:r>
      <w:r>
        <w:rPr>
          <w:w w:val="110"/>
        </w:rPr>
        <w:t>valoración</w:t>
      </w:r>
      <w:r>
        <w:rPr/>
        <w:t> </w:t>
      </w:r>
      <w:r>
        <w:rPr>
          <w:spacing w:val="-19"/>
        </w:rPr>
        <w:t> </w:t>
      </w:r>
      <w:r>
        <w:rPr>
          <w:w w:val="108"/>
        </w:rPr>
        <w:t>positiva</w:t>
      </w:r>
      <w:r>
        <w:rPr/>
        <w:t> </w:t>
      </w:r>
      <w:r>
        <w:rPr>
          <w:spacing w:val="-19"/>
        </w:rPr>
        <w:t> </w:t>
      </w:r>
      <w:r>
        <w:rPr>
          <w:w w:val="107"/>
        </w:rPr>
        <w:t>del</w:t>
      </w:r>
      <w:r>
        <w:rPr/>
        <w:t> </w:t>
      </w:r>
      <w:r>
        <w:rPr>
          <w:spacing w:val="-19"/>
        </w:rPr>
        <w:t> </w:t>
      </w:r>
      <w:r>
        <w:rPr>
          <w:w w:val="108"/>
        </w:rPr>
        <w:t>tra</w:t>
      </w:r>
      <w:r>
        <w:rPr>
          <w:w w:val="102"/>
        </w:rPr>
        <w:t>- </w:t>
      </w:r>
      <w:r>
        <w:rPr>
          <w:w w:val="110"/>
        </w:rPr>
        <w:t>bajo de una generación a otra se producía, como todos los sistemas  de creencias, a través del proceso de socialización, en la que –como han demostrado las investigaciones en países desarrollados–    </w:t>
      </w:r>
      <w:r>
        <w:rPr>
          <w:spacing w:val="14"/>
          <w:w w:val="110"/>
        </w:rPr>
        <w:t> </w:t>
      </w:r>
      <w:r>
        <w:rPr>
          <w:w w:val="110"/>
        </w:rPr>
        <w:t>tiende</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a debilitarse y perder centralidad entre los jóvenes o, por lo menos,    a no ser tan proclives como sus predecesores a considerar el trabajo como algo muy importante en sus vidas. aunque no siempre se cum- ple este patrón, como constatan investigaciones empíricas al</w:t>
      </w:r>
      <w:r>
        <w:rPr>
          <w:spacing w:val="-22"/>
          <w:w w:val="110"/>
        </w:rPr>
        <w:t> </w:t>
      </w:r>
      <w:r>
        <w:rPr>
          <w:w w:val="110"/>
        </w:rPr>
        <w:t>respecto: “existen excepciones como el caso de Estados unidos” </w:t>
      </w:r>
      <w:r>
        <w:rPr>
          <w:spacing w:val="-3"/>
          <w:w w:val="110"/>
        </w:rPr>
        <w:t>(Veira </w:t>
      </w:r>
      <w:r>
        <w:rPr>
          <w:w w:val="110"/>
        </w:rPr>
        <w:t>y </w:t>
      </w:r>
      <w:r>
        <w:rPr>
          <w:spacing w:val="-5"/>
          <w:w w:val="110"/>
        </w:rPr>
        <w:t>romy, </w:t>
      </w:r>
      <w:r>
        <w:rPr>
          <w:w w:val="110"/>
        </w:rPr>
        <w:t>1998) en el que la valoración del trabajo se mantenía y reproducía de los adultos a los jóvenes, como algo fundamental de la  </w:t>
      </w:r>
      <w:r>
        <w:rPr>
          <w:spacing w:val="9"/>
          <w:w w:val="110"/>
        </w:rPr>
        <w:t> </w:t>
      </w:r>
      <w:r>
        <w:rPr>
          <w:w w:val="110"/>
        </w:rPr>
        <w:t>vida.</w:t>
      </w:r>
    </w:p>
    <w:p>
      <w:pPr>
        <w:pStyle w:val="BodyText"/>
        <w:spacing w:line="252" w:lineRule="auto"/>
        <w:ind w:left="100" w:right="327" w:firstLine="396"/>
        <w:jc w:val="both"/>
      </w:pPr>
      <w:r>
        <w:rPr>
          <w:w w:val="243"/>
        </w:rPr>
        <w:t>l</w:t>
      </w:r>
      <w:r>
        <w:rPr>
          <w:w w:val="112"/>
        </w:rPr>
        <w:t>a</w:t>
      </w:r>
      <w:r>
        <w:rPr/>
        <w:t> </w:t>
      </w:r>
      <w:r>
        <w:rPr>
          <w:spacing w:val="1"/>
        </w:rPr>
        <w:t> </w:t>
      </w:r>
      <w:r>
        <w:rPr>
          <w:w w:val="111"/>
        </w:rPr>
        <w:t>política</w:t>
      </w:r>
      <w:r>
        <w:rPr/>
        <w:t> </w:t>
      </w:r>
      <w:r>
        <w:rPr>
          <w:spacing w:val="1"/>
        </w:rPr>
        <w:t> </w:t>
      </w:r>
      <w:r>
        <w:rPr>
          <w:w w:val="112"/>
        </w:rPr>
        <w:t>económica</w:t>
      </w:r>
      <w:r>
        <w:rPr/>
        <w:t> </w:t>
      </w:r>
      <w:r>
        <w:rPr>
          <w:spacing w:val="1"/>
        </w:rPr>
        <w:t> </w:t>
      </w:r>
      <w:r>
        <w:rPr>
          <w:w w:val="105"/>
        </w:rPr>
        <w:t>y</w:t>
      </w:r>
      <w:r>
        <w:rPr/>
        <w:t> </w:t>
      </w:r>
      <w:r>
        <w:rPr>
          <w:spacing w:val="1"/>
        </w:rPr>
        <w:t> </w:t>
      </w:r>
      <w:r>
        <w:rPr>
          <w:w w:val="111"/>
        </w:rPr>
        <w:t>social</w:t>
      </w:r>
      <w:r>
        <w:rPr/>
        <w:t> </w:t>
      </w:r>
      <w:r>
        <w:rPr>
          <w:spacing w:val="1"/>
        </w:rPr>
        <w:t> </w:t>
      </w:r>
      <w:r>
        <w:rPr>
          <w:w w:val="109"/>
        </w:rPr>
        <w:t>seguida</w:t>
      </w:r>
      <w:r>
        <w:rPr/>
        <w:t> </w:t>
      </w:r>
      <w:r>
        <w:rPr>
          <w:spacing w:val="1"/>
        </w:rPr>
        <w:t> </w:t>
      </w:r>
      <w:r>
        <w:rPr>
          <w:w w:val="108"/>
        </w:rPr>
        <w:t>por</w:t>
      </w:r>
      <w:r>
        <w:rPr/>
        <w:t> </w:t>
      </w:r>
      <w:r>
        <w:rPr>
          <w:spacing w:val="1"/>
        </w:rPr>
        <w:t> </w:t>
      </w:r>
      <w:r>
        <w:rPr>
          <w:w w:val="111"/>
        </w:rPr>
        <w:t>Estados</w:t>
      </w:r>
      <w:r>
        <w:rPr/>
        <w:t> </w:t>
      </w:r>
      <w:r>
        <w:rPr>
          <w:spacing w:val="1"/>
        </w:rPr>
        <w:t> </w:t>
      </w:r>
      <w:r>
        <w:rPr>
          <w:w w:val="140"/>
        </w:rPr>
        <w:t>u</w:t>
      </w:r>
      <w:r>
        <w:rPr>
          <w:w w:val="110"/>
        </w:rPr>
        <w:t>nidos</w:t>
      </w:r>
      <w:r>
        <w:rPr/>
        <w:t> </w:t>
      </w:r>
      <w:r>
        <w:rPr>
          <w:spacing w:val="1"/>
        </w:rPr>
        <w:t> </w:t>
      </w:r>
      <w:r>
        <w:rPr>
          <w:w w:val="112"/>
        </w:rPr>
        <w:t>ha </w:t>
      </w:r>
      <w:r>
        <w:rPr>
          <w:w w:val="110"/>
        </w:rPr>
        <w:t>conllevado a su economía a una situación “salvajemente desigual”,    en la que el ganador es un segmento reducido de la población y quizá los más afectados sean los jóvenes, con lo que, en palabras de stiglitz (2014), “se pierde quizás el activo más valioso”, y frustra el desarrollo de este segmento vulnerable de la población, una parte importante relegada del mercado de trabajo y también del sistema </w:t>
      </w:r>
      <w:r>
        <w:rPr>
          <w:spacing w:val="9"/>
          <w:w w:val="110"/>
        </w:rPr>
        <w:t> </w:t>
      </w:r>
      <w:r>
        <w:rPr>
          <w:w w:val="110"/>
        </w:rPr>
        <w:t>educativo.</w:t>
      </w:r>
    </w:p>
    <w:p>
      <w:pPr>
        <w:pStyle w:val="BodyText"/>
        <w:spacing w:before="5"/>
      </w:pPr>
    </w:p>
    <w:p>
      <w:pPr>
        <w:pStyle w:val="Heading6"/>
      </w:pPr>
      <w:r>
        <w:rPr>
          <w:w w:val="140"/>
        </w:rPr>
        <w:t>consideraciones finales</w:t>
      </w:r>
    </w:p>
    <w:p>
      <w:pPr>
        <w:pStyle w:val="BodyText"/>
        <w:spacing w:line="252" w:lineRule="auto" w:before="10"/>
        <w:ind w:left="100" w:right="327"/>
        <w:jc w:val="both"/>
      </w:pPr>
      <w:r>
        <w:rPr>
          <w:w w:val="110"/>
        </w:rPr>
        <w:t>Queda claro que en el periodo neoliberal la acumulación capitalista, medida con base en la tasa de beneficios, creció en detrimento del salario de los trabajadores. Pero, además, dicha tendencia se mantuvo e incluso se amplió ligeramente durante la crisis de 2008. Es falso el supuesto que, derivado de la idea de que se trató de una crisis de acu- mulación, afectara también a las clases capitalistas. Con la crisis, no todas las clases sociales perdieron de igual manera; por el contrario, los ricos la aprovecharon en detrimento de la clase trabajadora, de los más vulnerables y más pobres.</w:t>
      </w:r>
    </w:p>
    <w:p>
      <w:pPr>
        <w:pStyle w:val="BodyText"/>
        <w:spacing w:line="252" w:lineRule="auto"/>
        <w:ind w:left="100" w:right="327" w:firstLine="396"/>
        <w:jc w:val="both"/>
      </w:pPr>
      <w:r>
        <w:rPr>
          <w:w w:val="110"/>
        </w:rPr>
        <w:t>Estados unidos sigue siendo el país más rico del mundo, pero ha pasado a ser también el de mayor desigualdad en los ingresos y</w:t>
      </w:r>
      <w:r>
        <w:rPr>
          <w:spacing w:val="-25"/>
          <w:w w:val="110"/>
        </w:rPr>
        <w:t> </w:t>
      </w:r>
      <w:r>
        <w:rPr>
          <w:w w:val="110"/>
        </w:rPr>
        <w:t>mayor pobreza entre los países desarrollados; con lo que ha dejado de ser “la tierra de oportunidades y promesas”, y ha perdido el carácter de ser considerado como “el gran país”. El trauma repercute sobre todos, pero no todos son igualmente afectados: los pertenecientes a las cla- ses económicamente dominantes son cada vez más ricos, en contraste con la clase media que pierde privilegios, y la clase trabajadora, cada vez más relegada a la “precariedad”; pero los que más padecen el ma- lestar</w:t>
      </w:r>
      <w:r>
        <w:rPr>
          <w:spacing w:val="-9"/>
          <w:w w:val="110"/>
        </w:rPr>
        <w:t> </w:t>
      </w:r>
      <w:r>
        <w:rPr>
          <w:w w:val="110"/>
        </w:rPr>
        <w:t>del</w:t>
      </w:r>
      <w:r>
        <w:rPr>
          <w:spacing w:val="-9"/>
          <w:w w:val="110"/>
        </w:rPr>
        <w:t> </w:t>
      </w:r>
      <w:r>
        <w:rPr>
          <w:w w:val="110"/>
        </w:rPr>
        <w:t>desconcierto</w:t>
      </w:r>
      <w:r>
        <w:rPr>
          <w:spacing w:val="-9"/>
          <w:w w:val="110"/>
        </w:rPr>
        <w:t> </w:t>
      </w:r>
      <w:r>
        <w:rPr>
          <w:w w:val="110"/>
        </w:rPr>
        <w:t>son</w:t>
      </w:r>
      <w:r>
        <w:rPr>
          <w:spacing w:val="-9"/>
          <w:w w:val="110"/>
        </w:rPr>
        <w:t> </w:t>
      </w:r>
      <w:r>
        <w:rPr>
          <w:w w:val="110"/>
        </w:rPr>
        <w:t>los</w:t>
      </w:r>
      <w:r>
        <w:rPr>
          <w:spacing w:val="-9"/>
          <w:w w:val="110"/>
        </w:rPr>
        <w:t> </w:t>
      </w:r>
      <w:r>
        <w:rPr>
          <w:w w:val="110"/>
        </w:rPr>
        <w:t>jóvenes,</w:t>
      </w:r>
      <w:r>
        <w:rPr>
          <w:spacing w:val="-9"/>
          <w:w w:val="110"/>
        </w:rPr>
        <w:t> </w:t>
      </w:r>
      <w:r>
        <w:rPr>
          <w:w w:val="110"/>
        </w:rPr>
        <w:t>y</w:t>
      </w:r>
      <w:r>
        <w:rPr>
          <w:spacing w:val="-9"/>
          <w:w w:val="110"/>
        </w:rPr>
        <w:t> </w:t>
      </w:r>
      <w:r>
        <w:rPr>
          <w:w w:val="110"/>
        </w:rPr>
        <w:t>mayoritariamente</w:t>
      </w:r>
      <w:r>
        <w:rPr>
          <w:spacing w:val="-9"/>
          <w:w w:val="110"/>
        </w:rPr>
        <w:t> </w:t>
      </w:r>
      <w:r>
        <w:rPr>
          <w:w w:val="110"/>
        </w:rPr>
        <w:t>los</w:t>
      </w:r>
      <w:r>
        <w:rPr>
          <w:spacing w:val="-9"/>
          <w:w w:val="110"/>
        </w:rPr>
        <w:t> </w:t>
      </w:r>
      <w:r>
        <w:rPr>
          <w:w w:val="110"/>
        </w:rPr>
        <w:t>jóvenes de las clases más bajas, que fijaron anteriormente sus metas y proyec- tos en la ética del trabajo y ven ahora frustradas sus </w:t>
      </w:r>
      <w:r>
        <w:rPr>
          <w:spacing w:val="21"/>
          <w:w w:val="110"/>
        </w:rPr>
        <w:t> </w:t>
      </w:r>
      <w:r>
        <w:rPr>
          <w:w w:val="110"/>
        </w:rPr>
        <w:t>aspiraciones.</w:t>
      </w:r>
    </w:p>
    <w:p>
      <w:pPr>
        <w:pStyle w:val="BodyText"/>
        <w:spacing w:line="252" w:lineRule="auto"/>
        <w:ind w:left="100" w:right="328" w:firstLine="396"/>
        <w:jc w:val="both"/>
      </w:pPr>
      <w:r>
        <w:rPr>
          <w:w w:val="110"/>
        </w:rPr>
        <w:t>Esta situación, perceptible en todos los segmentos de la sociedad, es más notoria entre los jóvenes en edades de </w:t>
      </w:r>
      <w:r>
        <w:rPr>
          <w:spacing w:val="-3"/>
          <w:w w:val="110"/>
        </w:rPr>
        <w:t>trabajar, </w:t>
      </w:r>
      <w:r>
        <w:rPr>
          <w:w w:val="110"/>
        </w:rPr>
        <w:t>dado el desen- canto</w:t>
      </w:r>
      <w:r>
        <w:rPr>
          <w:spacing w:val="-5"/>
          <w:w w:val="110"/>
        </w:rPr>
        <w:t> </w:t>
      </w:r>
      <w:r>
        <w:rPr>
          <w:w w:val="110"/>
        </w:rPr>
        <w:t>que</w:t>
      </w:r>
      <w:r>
        <w:rPr>
          <w:spacing w:val="-5"/>
          <w:w w:val="110"/>
        </w:rPr>
        <w:t> </w:t>
      </w:r>
      <w:r>
        <w:rPr>
          <w:w w:val="110"/>
        </w:rPr>
        <w:t>generan</w:t>
      </w:r>
      <w:r>
        <w:rPr>
          <w:spacing w:val="-5"/>
          <w:w w:val="110"/>
        </w:rPr>
        <w:t> </w:t>
      </w:r>
      <w:r>
        <w:rPr>
          <w:w w:val="110"/>
        </w:rPr>
        <w:t>las</w:t>
      </w:r>
      <w:r>
        <w:rPr>
          <w:spacing w:val="-5"/>
          <w:w w:val="110"/>
        </w:rPr>
        <w:t> </w:t>
      </w:r>
      <w:r>
        <w:rPr>
          <w:w w:val="110"/>
        </w:rPr>
        <w:t>limitaciones</w:t>
      </w:r>
      <w:r>
        <w:rPr>
          <w:spacing w:val="-5"/>
          <w:w w:val="110"/>
        </w:rPr>
        <w:t> </w:t>
      </w:r>
      <w:r>
        <w:rPr>
          <w:w w:val="110"/>
        </w:rPr>
        <w:t>de</w:t>
      </w:r>
      <w:r>
        <w:rPr>
          <w:spacing w:val="-5"/>
          <w:w w:val="110"/>
        </w:rPr>
        <w:t> </w:t>
      </w:r>
      <w:r>
        <w:rPr>
          <w:w w:val="110"/>
        </w:rPr>
        <w:t>acceder</w:t>
      </w:r>
      <w:r>
        <w:rPr>
          <w:spacing w:val="-5"/>
          <w:w w:val="110"/>
        </w:rPr>
        <w:t> </w:t>
      </w:r>
      <w:r>
        <w:rPr>
          <w:w w:val="110"/>
        </w:rPr>
        <w:t>a</w:t>
      </w:r>
      <w:r>
        <w:rPr>
          <w:spacing w:val="-5"/>
          <w:w w:val="110"/>
        </w:rPr>
        <w:t> </w:t>
      </w:r>
      <w:r>
        <w:rPr>
          <w:w w:val="110"/>
        </w:rPr>
        <w:t>los</w:t>
      </w:r>
      <w:r>
        <w:rPr>
          <w:spacing w:val="-5"/>
          <w:w w:val="110"/>
        </w:rPr>
        <w:t> </w:t>
      </w:r>
      <w:r>
        <w:rPr>
          <w:w w:val="110"/>
        </w:rPr>
        <w:t>empleos</w:t>
      </w:r>
      <w:r>
        <w:rPr>
          <w:spacing w:val="-5"/>
          <w:w w:val="110"/>
        </w:rPr>
        <w:t> </w:t>
      </w:r>
      <w:r>
        <w:rPr>
          <w:w w:val="110"/>
        </w:rPr>
        <w:t>demanda- dos, dadas las limitaciones crecientes del mercado laboral; pero tam- bién ante la desvalorización de la acreditación educativa, en entornos altamente</w:t>
      </w:r>
      <w:r>
        <w:rPr>
          <w:spacing w:val="34"/>
          <w:w w:val="110"/>
        </w:rPr>
        <w:t> </w:t>
      </w:r>
      <w:r>
        <w:rPr>
          <w:w w:val="110"/>
        </w:rPr>
        <w:t>competitivos</w:t>
      </w:r>
      <w:r>
        <w:rPr>
          <w:spacing w:val="34"/>
          <w:w w:val="110"/>
        </w:rPr>
        <w:t> </w:t>
      </w:r>
      <w:r>
        <w:rPr>
          <w:w w:val="110"/>
        </w:rPr>
        <w:t>y</w:t>
      </w:r>
      <w:r>
        <w:rPr>
          <w:spacing w:val="34"/>
          <w:w w:val="110"/>
        </w:rPr>
        <w:t> </w:t>
      </w:r>
      <w:r>
        <w:rPr>
          <w:w w:val="110"/>
        </w:rPr>
        <w:t>no</w:t>
      </w:r>
      <w:r>
        <w:rPr>
          <w:spacing w:val="34"/>
          <w:w w:val="110"/>
        </w:rPr>
        <w:t> </w:t>
      </w:r>
      <w:r>
        <w:rPr>
          <w:w w:val="110"/>
        </w:rPr>
        <w:t>necesariamente</w:t>
      </w:r>
      <w:r>
        <w:rPr>
          <w:spacing w:val="34"/>
          <w:w w:val="110"/>
        </w:rPr>
        <w:t> </w:t>
      </w:r>
      <w:r>
        <w:rPr>
          <w:w w:val="110"/>
        </w:rPr>
        <w:t>bien</w:t>
      </w:r>
      <w:r>
        <w:rPr>
          <w:spacing w:val="34"/>
          <w:w w:val="110"/>
        </w:rPr>
        <w:t> </w:t>
      </w:r>
      <w:r>
        <w:rPr>
          <w:w w:val="110"/>
        </w:rPr>
        <w:t>gratificados</w:t>
      </w:r>
      <w:r>
        <w:rPr>
          <w:spacing w:val="34"/>
          <w:w w:val="110"/>
        </w:rPr>
        <w:t> </w:t>
      </w:r>
      <w:r>
        <w:rPr>
          <w:w w:val="110"/>
        </w:rPr>
        <w:t>sala-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rialmente. Es un hecho cada vez más conocido que actualmente los jóvenes estadounidenses rompan cada vez más con la ética de trabajo y posicionen sus esperanzas en otras promesas, y en las posibilidades lejanas de tener suerte (rifkin, 2004) o, simplemente, están quedando </w:t>
      </w:r>
      <w:r>
        <w:rPr>
          <w:w w:val="108"/>
        </w:rPr>
        <w:t>en</w:t>
      </w:r>
      <w:r>
        <w:rPr/>
        <w:t> </w:t>
      </w:r>
      <w:r>
        <w:rPr>
          <w:spacing w:val="-17"/>
        </w:rPr>
        <w:t> </w:t>
      </w:r>
      <w:r>
        <w:rPr>
          <w:w w:val="111"/>
        </w:rPr>
        <w:t>la</w:t>
      </w:r>
      <w:r>
        <w:rPr/>
        <w:t> </w:t>
      </w:r>
      <w:r>
        <w:rPr>
          <w:spacing w:val="-17"/>
        </w:rPr>
        <w:t> </w:t>
      </w:r>
      <w:r>
        <w:rPr>
          <w:w w:val="110"/>
        </w:rPr>
        <w:t>orfandad</w:t>
      </w:r>
      <w:r>
        <w:rPr/>
        <w:t> </w:t>
      </w:r>
      <w:r>
        <w:rPr>
          <w:spacing w:val="-17"/>
        </w:rPr>
        <w:t> </w:t>
      </w:r>
      <w:r>
        <w:rPr>
          <w:w w:val="107"/>
        </w:rPr>
        <w:t>de</w:t>
      </w:r>
      <w:r>
        <w:rPr/>
        <w:t> </w:t>
      </w:r>
      <w:r>
        <w:rPr>
          <w:spacing w:val="-17"/>
        </w:rPr>
        <w:t> </w:t>
      </w:r>
      <w:r>
        <w:rPr>
          <w:w w:val="108"/>
        </w:rPr>
        <w:t>alternativas</w:t>
      </w:r>
      <w:r>
        <w:rPr/>
        <w:t> </w:t>
      </w:r>
      <w:r>
        <w:rPr>
          <w:spacing w:val="-17"/>
        </w:rPr>
        <w:t> </w:t>
      </w:r>
      <w:r>
        <w:rPr>
          <w:w w:val="105"/>
        </w:rPr>
        <w:t>y</w:t>
      </w:r>
      <w:r>
        <w:rPr/>
        <w:t> </w:t>
      </w:r>
      <w:r>
        <w:rPr>
          <w:spacing w:val="-17"/>
        </w:rPr>
        <w:t> </w:t>
      </w:r>
      <w:r>
        <w:rPr>
          <w:w w:val="110"/>
        </w:rPr>
        <w:t>opciones</w:t>
      </w:r>
      <w:r>
        <w:rPr/>
        <w:t> </w:t>
      </w:r>
      <w:r>
        <w:rPr>
          <w:spacing w:val="-17"/>
        </w:rPr>
        <w:t> </w:t>
      </w:r>
      <w:r>
        <w:rPr>
          <w:w w:val="110"/>
        </w:rPr>
        <w:t>viables.</w:t>
      </w:r>
      <w:r>
        <w:rPr/>
        <w:t> </w:t>
      </w:r>
      <w:r>
        <w:rPr>
          <w:spacing w:val="-17"/>
        </w:rPr>
        <w:t> </w:t>
      </w:r>
      <w:r>
        <w:rPr>
          <w:w w:val="243"/>
        </w:rPr>
        <w:t>l</w:t>
      </w:r>
      <w:r>
        <w:rPr>
          <w:w w:val="112"/>
        </w:rPr>
        <w:t>a</w:t>
      </w:r>
      <w:r>
        <w:rPr/>
        <w:t> </w:t>
      </w:r>
      <w:r>
        <w:rPr>
          <w:spacing w:val="-17"/>
        </w:rPr>
        <w:t> </w:t>
      </w:r>
      <w:r>
        <w:rPr>
          <w:w w:val="110"/>
        </w:rPr>
        <w:t>ética</w:t>
      </w:r>
      <w:r>
        <w:rPr/>
        <w:t> </w:t>
      </w:r>
      <w:r>
        <w:rPr>
          <w:spacing w:val="-17"/>
        </w:rPr>
        <w:t> </w:t>
      </w:r>
      <w:r>
        <w:rPr>
          <w:w w:val="107"/>
        </w:rPr>
        <w:t>del</w:t>
      </w:r>
      <w:r>
        <w:rPr/>
        <w:t> </w:t>
      </w:r>
      <w:r>
        <w:rPr>
          <w:spacing w:val="-17"/>
        </w:rPr>
        <w:t> </w:t>
      </w:r>
      <w:r>
        <w:rPr>
          <w:w w:val="109"/>
        </w:rPr>
        <w:t>traba</w:t>
      </w:r>
      <w:r>
        <w:rPr>
          <w:w w:val="102"/>
        </w:rPr>
        <w:t>- </w:t>
      </w:r>
      <w:r>
        <w:rPr>
          <w:w w:val="110"/>
        </w:rPr>
        <w:t>jo, derivada del peso que tuvo el ideal de realización fundado en el “sueño americano” –como fundamento de independencia, libertad y posibilidades abiertas de movilidad social sin barreras que ofrecía el país– resultan irrealizables para gran parte de la población </w:t>
      </w:r>
      <w:r>
        <w:rPr>
          <w:spacing w:val="-11"/>
          <w:w w:val="110"/>
        </w:rPr>
        <w:t>y, </w:t>
      </w:r>
      <w:r>
        <w:rPr>
          <w:w w:val="110"/>
        </w:rPr>
        <w:t>particu- larmente, para los</w:t>
      </w:r>
      <w:r>
        <w:rPr>
          <w:spacing w:val="18"/>
          <w:w w:val="110"/>
        </w:rPr>
        <w:t> </w:t>
      </w:r>
      <w:r>
        <w:rPr>
          <w:w w:val="110"/>
        </w:rPr>
        <w:t>jóvenes.</w:t>
      </w:r>
    </w:p>
    <w:p>
      <w:pPr>
        <w:pStyle w:val="BodyText"/>
        <w:spacing w:line="252" w:lineRule="auto"/>
        <w:ind w:left="330" w:right="116" w:firstLine="396"/>
        <w:jc w:val="both"/>
      </w:pPr>
      <w:r>
        <w:rPr>
          <w:w w:val="110"/>
        </w:rPr>
        <w:t>En el nuevo entorno laboral de desempleo, precariedad, subem- pleo e incremento notable de desigualdades salariales que afectan principalmente a los jóvenes, y que en diversos sentidos limitan sus proyectos futuros de vida, estos podrían estar cambiando ese ideal fundacional y promisorio, largamente adherido a la mentalidad y </w:t>
      </w:r>
      <w:r>
        <w:rPr>
          <w:w w:val="107"/>
        </w:rPr>
        <w:t>parte</w:t>
      </w:r>
      <w:r>
        <w:rPr/>
        <w:t> </w:t>
      </w:r>
      <w:r>
        <w:rPr>
          <w:spacing w:val="-19"/>
        </w:rPr>
        <w:t> </w:t>
      </w:r>
      <w:r>
        <w:rPr>
          <w:w w:val="107"/>
        </w:rPr>
        <w:t>de</w:t>
      </w:r>
      <w:r>
        <w:rPr/>
        <w:t> </w:t>
      </w:r>
      <w:r>
        <w:rPr>
          <w:spacing w:val="-19"/>
        </w:rPr>
        <w:t> </w:t>
      </w:r>
      <w:r>
        <w:rPr>
          <w:w w:val="111"/>
        </w:rPr>
        <w:t>la</w:t>
      </w:r>
      <w:r>
        <w:rPr/>
        <w:t> </w:t>
      </w:r>
      <w:r>
        <w:rPr>
          <w:spacing w:val="-19"/>
        </w:rPr>
        <w:t> </w:t>
      </w:r>
      <w:r>
        <w:rPr>
          <w:w w:val="110"/>
        </w:rPr>
        <w:t>identidad</w:t>
      </w:r>
      <w:r>
        <w:rPr/>
        <w:t> </w:t>
      </w:r>
      <w:r>
        <w:rPr>
          <w:spacing w:val="-19"/>
        </w:rPr>
        <w:t> </w:t>
      </w:r>
      <w:r>
        <w:rPr>
          <w:w w:val="107"/>
        </w:rPr>
        <w:t>de</w:t>
      </w:r>
      <w:r>
        <w:rPr/>
        <w:t> </w:t>
      </w:r>
      <w:r>
        <w:rPr>
          <w:spacing w:val="-19"/>
        </w:rPr>
        <w:t> </w:t>
      </w:r>
      <w:r>
        <w:rPr>
          <w:w w:val="108"/>
        </w:rPr>
        <w:t>los</w:t>
      </w:r>
      <w:r>
        <w:rPr/>
        <w:t> </w:t>
      </w:r>
      <w:r>
        <w:rPr>
          <w:spacing w:val="-19"/>
        </w:rPr>
        <w:t> </w:t>
      </w:r>
      <w:r>
        <w:rPr>
          <w:w w:val="109"/>
        </w:rPr>
        <w:t>estadounidenses.</w:t>
      </w:r>
      <w:r>
        <w:rPr/>
        <w:t> </w:t>
      </w:r>
      <w:r>
        <w:rPr>
          <w:spacing w:val="-19"/>
        </w:rPr>
        <w:t> </w:t>
      </w:r>
      <w:r>
        <w:rPr>
          <w:w w:val="243"/>
        </w:rPr>
        <w:t>l</w:t>
      </w:r>
      <w:r>
        <w:rPr>
          <w:w w:val="112"/>
        </w:rPr>
        <w:t>a</w:t>
      </w:r>
      <w:r>
        <w:rPr/>
        <w:t> </w:t>
      </w:r>
      <w:r>
        <w:rPr>
          <w:spacing w:val="-19"/>
        </w:rPr>
        <w:t> </w:t>
      </w:r>
      <w:r>
        <w:rPr>
          <w:w w:val="110"/>
        </w:rPr>
        <w:t>exclusión</w:t>
      </w:r>
      <w:r>
        <w:rPr/>
        <w:t> </w:t>
      </w:r>
      <w:r>
        <w:rPr>
          <w:spacing w:val="-19"/>
        </w:rPr>
        <w:t> </w:t>
      </w:r>
      <w:r>
        <w:rPr>
          <w:w w:val="107"/>
        </w:rPr>
        <w:t>de</w:t>
      </w:r>
      <w:r>
        <w:rPr/>
        <w:t> </w:t>
      </w:r>
      <w:r>
        <w:rPr>
          <w:spacing w:val="-19"/>
        </w:rPr>
        <w:t> </w:t>
      </w:r>
      <w:r>
        <w:rPr>
          <w:w w:val="108"/>
        </w:rPr>
        <w:t>los</w:t>
      </w:r>
      <w:r>
        <w:rPr/>
        <w:t> </w:t>
      </w:r>
      <w:r>
        <w:rPr>
          <w:spacing w:val="-19"/>
        </w:rPr>
        <w:t> </w:t>
      </w:r>
      <w:r>
        <w:rPr>
          <w:w w:val="111"/>
        </w:rPr>
        <w:t>jó</w:t>
      </w:r>
      <w:r>
        <w:rPr>
          <w:w w:val="102"/>
        </w:rPr>
        <w:t>- </w:t>
      </w:r>
      <w:r>
        <w:rPr>
          <w:w w:val="110"/>
        </w:rPr>
        <w:t>venes advierte sobre una cuestión prioritaria del mercado laboral y  de las políticas públicas orientadas a subsanarla. si los jóvenes no encuentran las opciones ocupacionales demandadas, se está ante un grave problema, pero si la situación es tal que el desencanto ha orilla- do a los jóvenes a la pérdida de sentido de la ética del trabajo, central en la conformación identitaria de los estadounidenses, la situación    es aún</w:t>
      </w:r>
      <w:r>
        <w:rPr>
          <w:spacing w:val="23"/>
          <w:w w:val="110"/>
        </w:rPr>
        <w:t> </w:t>
      </w:r>
      <w:r>
        <w:rPr>
          <w:spacing w:val="-5"/>
          <w:w w:val="110"/>
        </w:rPr>
        <w:t>peor.</w:t>
      </w:r>
    </w:p>
    <w:p>
      <w:pPr>
        <w:pStyle w:val="BodyText"/>
        <w:spacing w:before="5"/>
      </w:pPr>
    </w:p>
    <w:p>
      <w:pPr>
        <w:pStyle w:val="Heading6"/>
        <w:ind w:left="331" w:right="321"/>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spacing w:line="252" w:lineRule="auto" w:before="10"/>
        <w:ind w:left="727" w:right="332" w:hanging="397"/>
        <w:jc w:val="left"/>
        <w:rPr>
          <w:sz w:val="19"/>
        </w:rPr>
      </w:pPr>
      <w:r>
        <w:rPr>
          <w:spacing w:val="-3"/>
          <w:w w:val="130"/>
          <w:sz w:val="19"/>
        </w:rPr>
        <w:t>atria,</w:t>
      </w:r>
      <w:r>
        <w:rPr>
          <w:spacing w:val="-35"/>
          <w:w w:val="130"/>
          <w:sz w:val="19"/>
        </w:rPr>
        <w:t> </w:t>
      </w:r>
      <w:r>
        <w:rPr>
          <w:w w:val="120"/>
          <w:sz w:val="19"/>
        </w:rPr>
        <w:t>raúl</w:t>
      </w:r>
      <w:r>
        <w:rPr>
          <w:spacing w:val="-31"/>
          <w:w w:val="120"/>
          <w:sz w:val="19"/>
        </w:rPr>
        <w:t> </w:t>
      </w:r>
      <w:r>
        <w:rPr>
          <w:w w:val="120"/>
          <w:sz w:val="19"/>
        </w:rPr>
        <w:t>2004</w:t>
      </w:r>
      <w:r>
        <w:rPr>
          <w:spacing w:val="-31"/>
          <w:w w:val="120"/>
          <w:sz w:val="19"/>
        </w:rPr>
        <w:t> </w:t>
      </w:r>
      <w:r>
        <w:rPr>
          <w:i/>
          <w:w w:val="120"/>
          <w:sz w:val="19"/>
        </w:rPr>
        <w:t>Estructura</w:t>
      </w:r>
      <w:r>
        <w:rPr>
          <w:i/>
          <w:spacing w:val="-31"/>
          <w:w w:val="120"/>
          <w:sz w:val="19"/>
        </w:rPr>
        <w:t> </w:t>
      </w:r>
      <w:r>
        <w:rPr>
          <w:i/>
          <w:w w:val="120"/>
          <w:sz w:val="19"/>
        </w:rPr>
        <w:t>ocupacional,</w:t>
      </w:r>
      <w:r>
        <w:rPr>
          <w:i/>
          <w:spacing w:val="-31"/>
          <w:w w:val="120"/>
          <w:sz w:val="19"/>
        </w:rPr>
        <w:t> </w:t>
      </w:r>
      <w:r>
        <w:rPr>
          <w:i/>
          <w:w w:val="120"/>
          <w:sz w:val="19"/>
        </w:rPr>
        <w:t>estructura</w:t>
      </w:r>
      <w:r>
        <w:rPr>
          <w:i/>
          <w:spacing w:val="-31"/>
          <w:w w:val="120"/>
          <w:sz w:val="19"/>
        </w:rPr>
        <w:t> </w:t>
      </w:r>
      <w:r>
        <w:rPr>
          <w:i/>
          <w:w w:val="120"/>
          <w:sz w:val="19"/>
        </w:rPr>
        <w:t>social</w:t>
      </w:r>
      <w:r>
        <w:rPr>
          <w:i/>
          <w:spacing w:val="-31"/>
          <w:w w:val="120"/>
          <w:sz w:val="19"/>
        </w:rPr>
        <w:t> </w:t>
      </w:r>
      <w:r>
        <w:rPr>
          <w:i/>
          <w:w w:val="120"/>
          <w:sz w:val="19"/>
        </w:rPr>
        <w:t>y</w:t>
      </w:r>
      <w:r>
        <w:rPr>
          <w:i/>
          <w:spacing w:val="-31"/>
          <w:w w:val="120"/>
          <w:sz w:val="19"/>
        </w:rPr>
        <w:t> </w:t>
      </w:r>
      <w:r>
        <w:rPr>
          <w:i/>
          <w:w w:val="120"/>
          <w:sz w:val="19"/>
        </w:rPr>
        <w:t>clases </w:t>
      </w:r>
      <w:r>
        <w:rPr>
          <w:i/>
          <w:w w:val="120"/>
          <w:sz w:val="19"/>
        </w:rPr>
        <w:t>sociales</w:t>
      </w:r>
      <w:r>
        <w:rPr>
          <w:i/>
          <w:spacing w:val="-14"/>
          <w:w w:val="120"/>
          <w:sz w:val="19"/>
        </w:rPr>
        <w:t> </w:t>
      </w:r>
      <w:r>
        <w:rPr>
          <w:w w:val="120"/>
          <w:sz w:val="19"/>
        </w:rPr>
        <w:t>(santiago</w:t>
      </w:r>
      <w:r>
        <w:rPr>
          <w:spacing w:val="-14"/>
          <w:w w:val="120"/>
          <w:sz w:val="19"/>
        </w:rPr>
        <w:t> </w:t>
      </w:r>
      <w:r>
        <w:rPr>
          <w:w w:val="120"/>
          <w:sz w:val="19"/>
        </w:rPr>
        <w:t>de</w:t>
      </w:r>
      <w:r>
        <w:rPr>
          <w:spacing w:val="-14"/>
          <w:w w:val="120"/>
          <w:sz w:val="19"/>
        </w:rPr>
        <w:t> </w:t>
      </w:r>
      <w:r>
        <w:rPr>
          <w:w w:val="120"/>
          <w:sz w:val="19"/>
        </w:rPr>
        <w:t>Chile:</w:t>
      </w:r>
      <w:r>
        <w:rPr>
          <w:spacing w:val="-14"/>
          <w:w w:val="120"/>
          <w:sz w:val="19"/>
        </w:rPr>
        <w:t> </w:t>
      </w:r>
      <w:r>
        <w:rPr>
          <w:spacing w:val="-3"/>
          <w:w w:val="120"/>
          <w:sz w:val="19"/>
        </w:rPr>
        <w:t>CEPal).</w:t>
      </w:r>
    </w:p>
    <w:p>
      <w:pPr>
        <w:pStyle w:val="BodyText"/>
        <w:spacing w:line="252" w:lineRule="auto" w:before="28"/>
        <w:ind w:left="727" w:right="41" w:hanging="397"/>
      </w:pPr>
      <w:r>
        <w:rPr>
          <w:w w:val="115"/>
        </w:rPr>
        <w:t>bbC MuNdo 2012 “Crece el conflicto de clases en Estados unidos”, redacción de bbC Mundo, 13 de enero.</w:t>
      </w:r>
    </w:p>
    <w:p>
      <w:pPr>
        <w:spacing w:line="252" w:lineRule="auto" w:before="28"/>
        <w:ind w:left="727" w:right="735" w:hanging="397"/>
        <w:jc w:val="left"/>
        <w:rPr>
          <w:sz w:val="19"/>
        </w:rPr>
      </w:pPr>
      <w:r>
        <w:rPr>
          <w:w w:val="110"/>
          <w:sz w:val="19"/>
        </w:rPr>
        <w:t>bECK, ulrich 2000 </w:t>
      </w:r>
      <w:r>
        <w:rPr>
          <w:i/>
          <w:w w:val="110"/>
          <w:sz w:val="19"/>
        </w:rPr>
        <w:t>Un nuevo mundo feliz. La precarización del </w:t>
      </w:r>
      <w:r>
        <w:rPr>
          <w:i/>
          <w:w w:val="110"/>
          <w:sz w:val="19"/>
        </w:rPr>
        <w:t>trabajo en la era de la globalización </w:t>
      </w:r>
      <w:r>
        <w:rPr>
          <w:w w:val="110"/>
          <w:sz w:val="19"/>
        </w:rPr>
        <w:t>(buenos aires: Paidós).</w:t>
      </w:r>
    </w:p>
    <w:p>
      <w:pPr>
        <w:pStyle w:val="BodyText"/>
        <w:spacing w:line="252" w:lineRule="auto" w:before="28"/>
        <w:ind w:left="727" w:right="352" w:hanging="397"/>
      </w:pPr>
      <w:r>
        <w:rPr>
          <w:w w:val="125"/>
        </w:rPr>
        <w:t>brooKs, </w:t>
      </w:r>
      <w:r>
        <w:rPr>
          <w:w w:val="115"/>
        </w:rPr>
        <w:t>david 2006 “Estados unidos tiene la mayor desigualdad económica del mundo desarrollado”, en </w:t>
      </w:r>
      <w:r>
        <w:rPr>
          <w:i/>
          <w:w w:val="115"/>
        </w:rPr>
        <w:t>La Jornada</w:t>
      </w:r>
      <w:r>
        <w:rPr>
          <w:w w:val="115"/>
        </w:rPr>
        <w:t>, México, </w:t>
      </w:r>
      <w:r>
        <w:rPr>
          <w:w w:val="125"/>
        </w:rPr>
        <w:t>d.F., </w:t>
      </w:r>
      <w:r>
        <w:rPr>
          <w:w w:val="115"/>
        </w:rPr>
        <w:t>1º de septiembre.</w:t>
      </w:r>
    </w:p>
    <w:p>
      <w:pPr>
        <w:spacing w:line="252" w:lineRule="auto" w:before="28"/>
        <w:ind w:left="727" w:right="536" w:hanging="397"/>
        <w:jc w:val="left"/>
        <w:rPr>
          <w:sz w:val="19"/>
        </w:rPr>
      </w:pPr>
      <w:r>
        <w:rPr>
          <w:w w:val="124"/>
          <w:sz w:val="19"/>
        </w:rPr>
        <w:t>C</w:t>
      </w:r>
      <w:r>
        <w:rPr>
          <w:w w:val="159"/>
          <w:sz w:val="19"/>
        </w:rPr>
        <w:t>a</w:t>
      </w:r>
      <w:r>
        <w:rPr>
          <w:spacing w:val="-11"/>
          <w:w w:val="159"/>
          <w:sz w:val="19"/>
        </w:rPr>
        <w:t>r</w:t>
      </w:r>
      <w:r>
        <w:rPr>
          <w:w w:val="195"/>
          <w:sz w:val="19"/>
        </w:rPr>
        <w:t>t</w:t>
      </w:r>
      <w:r>
        <w:rPr>
          <w:spacing w:val="-26"/>
          <w:w w:val="126"/>
          <w:sz w:val="19"/>
        </w:rPr>
        <w:t>Y</w:t>
      </w:r>
      <w:r>
        <w:rPr>
          <w:w w:val="138"/>
          <w:sz w:val="19"/>
        </w:rPr>
        <w:t>,</w:t>
      </w:r>
      <w:r>
        <w:rPr>
          <w:spacing w:val="12"/>
          <w:sz w:val="19"/>
        </w:rPr>
        <w:t> </w:t>
      </w:r>
      <w:r>
        <w:rPr>
          <w:w w:val="243"/>
          <w:sz w:val="19"/>
        </w:rPr>
        <w:t>l</w:t>
      </w:r>
      <w:r>
        <w:rPr>
          <w:w w:val="113"/>
          <w:sz w:val="19"/>
        </w:rPr>
        <w:t>iz</w:t>
      </w:r>
      <w:r>
        <w:rPr>
          <w:spacing w:val="12"/>
          <w:sz w:val="19"/>
        </w:rPr>
        <w:t> </w:t>
      </w:r>
      <w:r>
        <w:rPr>
          <w:w w:val="102"/>
          <w:sz w:val="19"/>
        </w:rPr>
        <w:t>1999</w:t>
      </w:r>
      <w:r>
        <w:rPr>
          <w:spacing w:val="12"/>
          <w:sz w:val="19"/>
        </w:rPr>
        <w:t> </w:t>
      </w:r>
      <w:r>
        <w:rPr>
          <w:w w:val="120"/>
          <w:sz w:val="19"/>
        </w:rPr>
        <w:t>“El</w:t>
      </w:r>
      <w:r>
        <w:rPr>
          <w:spacing w:val="12"/>
          <w:sz w:val="19"/>
        </w:rPr>
        <w:t> </w:t>
      </w:r>
      <w:r>
        <w:rPr>
          <w:w w:val="108"/>
          <w:sz w:val="19"/>
        </w:rPr>
        <w:t>debate</w:t>
      </w:r>
      <w:r>
        <w:rPr>
          <w:spacing w:val="12"/>
          <w:sz w:val="19"/>
        </w:rPr>
        <w:t> </w:t>
      </w:r>
      <w:r>
        <w:rPr>
          <w:w w:val="107"/>
          <w:sz w:val="19"/>
        </w:rPr>
        <w:t>sobre</w:t>
      </w:r>
      <w:r>
        <w:rPr>
          <w:spacing w:val="12"/>
          <w:sz w:val="19"/>
        </w:rPr>
        <w:t> </w:t>
      </w:r>
      <w:r>
        <w:rPr>
          <w:w w:val="111"/>
          <w:sz w:val="19"/>
        </w:rPr>
        <w:t>la</w:t>
      </w:r>
      <w:r>
        <w:rPr>
          <w:spacing w:val="12"/>
          <w:sz w:val="19"/>
        </w:rPr>
        <w:t> </w:t>
      </w:r>
      <w:r>
        <w:rPr>
          <w:w w:val="111"/>
          <w:sz w:val="19"/>
        </w:rPr>
        <w:t>calidad</w:t>
      </w:r>
      <w:r>
        <w:rPr>
          <w:spacing w:val="12"/>
          <w:sz w:val="19"/>
        </w:rPr>
        <w:t> </w:t>
      </w:r>
      <w:r>
        <w:rPr>
          <w:w w:val="107"/>
          <w:sz w:val="19"/>
        </w:rPr>
        <w:t>del</w:t>
      </w:r>
      <w:r>
        <w:rPr>
          <w:spacing w:val="12"/>
          <w:sz w:val="19"/>
        </w:rPr>
        <w:t> </w:t>
      </w:r>
      <w:r>
        <w:rPr>
          <w:w w:val="109"/>
          <w:sz w:val="19"/>
        </w:rPr>
        <w:t>empleo:</w:t>
      </w:r>
      <w:r>
        <w:rPr>
          <w:spacing w:val="12"/>
          <w:sz w:val="19"/>
        </w:rPr>
        <w:t> </w:t>
      </w:r>
      <w:r>
        <w:rPr>
          <w:w w:val="122"/>
          <w:sz w:val="19"/>
        </w:rPr>
        <w:t>El</w:t>
      </w:r>
      <w:r>
        <w:rPr>
          <w:spacing w:val="12"/>
          <w:sz w:val="19"/>
        </w:rPr>
        <w:t> </w:t>
      </w:r>
      <w:r>
        <w:rPr>
          <w:w w:val="111"/>
          <w:sz w:val="19"/>
        </w:rPr>
        <w:t>caso </w:t>
      </w:r>
      <w:r>
        <w:rPr>
          <w:w w:val="115"/>
          <w:sz w:val="19"/>
        </w:rPr>
        <w:t>de los Estados unidos de américa, 1970-1990”, en ricardo infante, </w:t>
      </w:r>
      <w:r>
        <w:rPr>
          <w:i/>
          <w:w w:val="115"/>
          <w:sz w:val="19"/>
        </w:rPr>
        <w:t>La calidad del empleo. La experiencia de los países </w:t>
      </w:r>
      <w:r>
        <w:rPr>
          <w:i/>
          <w:w w:val="115"/>
          <w:sz w:val="19"/>
        </w:rPr>
        <w:t>latinoamericanos</w:t>
      </w:r>
      <w:r>
        <w:rPr>
          <w:i/>
          <w:spacing w:val="-12"/>
          <w:w w:val="115"/>
          <w:sz w:val="19"/>
        </w:rPr>
        <w:t> </w:t>
      </w:r>
      <w:r>
        <w:rPr>
          <w:i/>
          <w:w w:val="115"/>
          <w:sz w:val="19"/>
        </w:rPr>
        <w:t>y</w:t>
      </w:r>
      <w:r>
        <w:rPr>
          <w:i/>
          <w:spacing w:val="-12"/>
          <w:w w:val="115"/>
          <w:sz w:val="19"/>
        </w:rPr>
        <w:t> </w:t>
      </w:r>
      <w:r>
        <w:rPr>
          <w:i/>
          <w:w w:val="115"/>
          <w:sz w:val="19"/>
        </w:rPr>
        <w:t>de</w:t>
      </w:r>
      <w:r>
        <w:rPr>
          <w:i/>
          <w:spacing w:val="-12"/>
          <w:w w:val="115"/>
          <w:sz w:val="19"/>
        </w:rPr>
        <w:t> </w:t>
      </w:r>
      <w:r>
        <w:rPr>
          <w:i/>
          <w:w w:val="115"/>
          <w:sz w:val="19"/>
        </w:rPr>
        <w:t>los</w:t>
      </w:r>
      <w:r>
        <w:rPr>
          <w:i/>
          <w:spacing w:val="-12"/>
          <w:w w:val="115"/>
          <w:sz w:val="19"/>
        </w:rPr>
        <w:t> </w:t>
      </w:r>
      <w:r>
        <w:rPr>
          <w:i/>
          <w:w w:val="115"/>
          <w:sz w:val="19"/>
        </w:rPr>
        <w:t>Estados</w:t>
      </w:r>
      <w:r>
        <w:rPr>
          <w:i/>
          <w:spacing w:val="-12"/>
          <w:w w:val="115"/>
          <w:sz w:val="19"/>
        </w:rPr>
        <w:t> </w:t>
      </w:r>
      <w:r>
        <w:rPr>
          <w:i/>
          <w:w w:val="115"/>
          <w:sz w:val="19"/>
        </w:rPr>
        <w:t>Unidos</w:t>
      </w:r>
      <w:r>
        <w:rPr>
          <w:i/>
          <w:spacing w:val="-12"/>
          <w:w w:val="115"/>
          <w:sz w:val="19"/>
        </w:rPr>
        <w:t> </w:t>
      </w:r>
      <w:r>
        <w:rPr>
          <w:w w:val="115"/>
          <w:sz w:val="19"/>
        </w:rPr>
        <w:t>(santiago</w:t>
      </w:r>
      <w:r>
        <w:rPr>
          <w:spacing w:val="-12"/>
          <w:w w:val="115"/>
          <w:sz w:val="19"/>
        </w:rPr>
        <w:t> </w:t>
      </w:r>
      <w:r>
        <w:rPr>
          <w:w w:val="115"/>
          <w:sz w:val="19"/>
        </w:rPr>
        <w:t>de</w:t>
      </w:r>
      <w:r>
        <w:rPr>
          <w:spacing w:val="-12"/>
          <w:w w:val="115"/>
          <w:sz w:val="19"/>
        </w:rPr>
        <w:t> </w:t>
      </w:r>
      <w:r>
        <w:rPr>
          <w:w w:val="115"/>
          <w:sz w:val="19"/>
        </w:rPr>
        <w:t>Chile: </w:t>
      </w:r>
      <w:r>
        <w:rPr>
          <w:w w:val="135"/>
          <w:sz w:val="19"/>
        </w:rPr>
        <w:t>oit).</w:t>
      </w:r>
    </w:p>
    <w:p>
      <w:pPr>
        <w:pStyle w:val="BodyText"/>
        <w:spacing w:line="252" w:lineRule="auto" w:before="28"/>
        <w:ind w:left="727" w:right="41" w:hanging="397"/>
      </w:pPr>
      <w:r>
        <w:rPr>
          <w:w w:val="145"/>
        </w:rPr>
        <w:t>Castillo </w:t>
      </w:r>
      <w:r>
        <w:rPr>
          <w:w w:val="115"/>
        </w:rPr>
        <w:t>FErNÁNdEZ, dídimo 2012 “Estados unidos: crisis económica, reestructuración productiva y nueva precariedad laboral”, en dídimo Castillo Fernández y Marco a. Gandásegui,</w:t>
      </w:r>
    </w:p>
    <w:p>
      <w:pPr>
        <w:spacing w:after="0" w:line="252" w:lineRule="auto"/>
        <w:sectPr>
          <w:pgSz w:w="8790" w:h="12760"/>
          <w:pgMar w:header="697" w:footer="725" w:top="880" w:bottom="920" w:left="1200" w:right="900"/>
        </w:sectPr>
      </w:pPr>
    </w:p>
    <w:p>
      <w:pPr>
        <w:pStyle w:val="BodyText"/>
        <w:spacing w:before="9"/>
        <w:rPr>
          <w:sz w:val="28"/>
        </w:rPr>
      </w:pPr>
    </w:p>
    <w:p>
      <w:pPr>
        <w:spacing w:line="252" w:lineRule="auto" w:before="73"/>
        <w:ind w:left="497" w:right="344" w:firstLine="0"/>
        <w:jc w:val="left"/>
        <w:rPr>
          <w:sz w:val="19"/>
        </w:rPr>
      </w:pPr>
      <w:r>
        <w:rPr>
          <w:w w:val="112"/>
          <w:sz w:val="19"/>
        </w:rPr>
        <w:t>hijo</w:t>
      </w:r>
      <w:r>
        <w:rPr>
          <w:spacing w:val="12"/>
          <w:sz w:val="19"/>
        </w:rPr>
        <w:t> </w:t>
      </w:r>
      <w:r>
        <w:rPr>
          <w:i/>
          <w:w w:val="112"/>
          <w:sz w:val="19"/>
        </w:rPr>
        <w:t>Estados</w:t>
      </w:r>
      <w:r>
        <w:rPr>
          <w:i/>
          <w:spacing w:val="12"/>
          <w:sz w:val="19"/>
        </w:rPr>
        <w:t> </w:t>
      </w:r>
      <w:r>
        <w:rPr>
          <w:i/>
          <w:w w:val="117"/>
          <w:sz w:val="19"/>
        </w:rPr>
        <w:t>Unidos,</w:t>
      </w:r>
      <w:r>
        <w:rPr>
          <w:i/>
          <w:spacing w:val="12"/>
          <w:sz w:val="19"/>
        </w:rPr>
        <w:t> </w:t>
      </w:r>
      <w:r>
        <w:rPr>
          <w:i/>
          <w:w w:val="112"/>
          <w:sz w:val="19"/>
        </w:rPr>
        <w:t>más</w:t>
      </w:r>
      <w:r>
        <w:rPr>
          <w:i/>
          <w:spacing w:val="12"/>
          <w:sz w:val="19"/>
        </w:rPr>
        <w:t> </w:t>
      </w:r>
      <w:r>
        <w:rPr>
          <w:i/>
          <w:w w:val="105"/>
          <w:sz w:val="19"/>
        </w:rPr>
        <w:t>allá</w:t>
      </w:r>
      <w:r>
        <w:rPr>
          <w:i/>
          <w:spacing w:val="12"/>
          <w:sz w:val="19"/>
        </w:rPr>
        <w:t> </w:t>
      </w:r>
      <w:r>
        <w:rPr>
          <w:i/>
          <w:w w:val="104"/>
          <w:sz w:val="19"/>
        </w:rPr>
        <w:t>de</w:t>
      </w:r>
      <w:r>
        <w:rPr>
          <w:i/>
          <w:spacing w:val="12"/>
          <w:sz w:val="19"/>
        </w:rPr>
        <w:t> </w:t>
      </w:r>
      <w:r>
        <w:rPr>
          <w:i/>
          <w:w w:val="105"/>
          <w:sz w:val="19"/>
        </w:rPr>
        <w:t>la</w:t>
      </w:r>
      <w:r>
        <w:rPr>
          <w:i/>
          <w:spacing w:val="12"/>
          <w:sz w:val="19"/>
        </w:rPr>
        <w:t> </w:t>
      </w:r>
      <w:r>
        <w:rPr>
          <w:i/>
          <w:w w:val="113"/>
          <w:sz w:val="19"/>
        </w:rPr>
        <w:t>crisis</w:t>
      </w:r>
      <w:r>
        <w:rPr>
          <w:i/>
          <w:spacing w:val="12"/>
          <w:sz w:val="19"/>
        </w:rPr>
        <w:t> </w:t>
      </w:r>
      <w:r>
        <w:rPr>
          <w:w w:val="111"/>
          <w:sz w:val="19"/>
        </w:rPr>
        <w:t>(México:</w:t>
      </w:r>
      <w:r>
        <w:rPr>
          <w:spacing w:val="12"/>
          <w:sz w:val="19"/>
        </w:rPr>
        <w:t> </w:t>
      </w:r>
      <w:r>
        <w:rPr>
          <w:w w:val="124"/>
          <w:sz w:val="19"/>
        </w:rPr>
        <w:t>C</w:t>
      </w:r>
      <w:r>
        <w:rPr>
          <w:w w:val="176"/>
          <w:sz w:val="19"/>
        </w:rPr>
        <w:t>la</w:t>
      </w:r>
      <w:r>
        <w:rPr>
          <w:w w:val="124"/>
          <w:sz w:val="19"/>
        </w:rPr>
        <w:t>C</w:t>
      </w:r>
      <w:r>
        <w:rPr>
          <w:w w:val="149"/>
          <w:sz w:val="19"/>
        </w:rPr>
        <w:t>so</w:t>
      </w:r>
      <w:r>
        <w:rPr>
          <w:w w:val="57"/>
          <w:sz w:val="19"/>
        </w:rPr>
        <w:t>/ </w:t>
      </w:r>
      <w:r>
        <w:rPr>
          <w:w w:val="149"/>
          <w:sz w:val="19"/>
        </w:rPr>
        <w:t> </w:t>
      </w:r>
      <w:r>
        <w:rPr>
          <w:w w:val="115"/>
          <w:sz w:val="19"/>
        </w:rPr>
        <w:t>siglo xxi/Facultad de Ciencias Políticas y sociales - universidad autónoma</w:t>
      </w:r>
      <w:r>
        <w:rPr>
          <w:spacing w:val="-10"/>
          <w:w w:val="115"/>
          <w:sz w:val="19"/>
        </w:rPr>
        <w:t> </w:t>
      </w:r>
      <w:r>
        <w:rPr>
          <w:w w:val="115"/>
          <w:sz w:val="19"/>
        </w:rPr>
        <w:t>del</w:t>
      </w:r>
      <w:r>
        <w:rPr>
          <w:spacing w:val="-10"/>
          <w:w w:val="115"/>
          <w:sz w:val="19"/>
        </w:rPr>
        <w:t> </w:t>
      </w:r>
      <w:r>
        <w:rPr>
          <w:w w:val="115"/>
          <w:sz w:val="19"/>
        </w:rPr>
        <w:t>Estado</w:t>
      </w:r>
      <w:r>
        <w:rPr>
          <w:spacing w:val="-10"/>
          <w:w w:val="115"/>
          <w:sz w:val="19"/>
        </w:rPr>
        <w:t> </w:t>
      </w:r>
      <w:r>
        <w:rPr>
          <w:w w:val="115"/>
          <w:sz w:val="19"/>
        </w:rPr>
        <w:t>de</w:t>
      </w:r>
      <w:r>
        <w:rPr>
          <w:spacing w:val="-10"/>
          <w:w w:val="115"/>
          <w:sz w:val="19"/>
        </w:rPr>
        <w:t> </w:t>
      </w:r>
      <w:r>
        <w:rPr>
          <w:w w:val="115"/>
          <w:sz w:val="19"/>
        </w:rPr>
        <w:t>México).</w:t>
      </w:r>
    </w:p>
    <w:p>
      <w:pPr>
        <w:pStyle w:val="BodyText"/>
        <w:spacing w:line="252" w:lineRule="auto" w:before="28"/>
        <w:ind w:left="497" w:right="352" w:hanging="397"/>
      </w:pPr>
      <w:r>
        <w:rPr>
          <w:w w:val="145"/>
        </w:rPr>
        <w:t>Castillo </w:t>
      </w:r>
      <w:r>
        <w:rPr>
          <w:w w:val="120"/>
        </w:rPr>
        <w:t>FErNÁNdEZ, dídimo 2007 “Hegemony and the u.s. </w:t>
      </w:r>
      <w:r>
        <w:rPr>
          <w:w w:val="243"/>
        </w:rPr>
        <w:t>l</w:t>
      </w:r>
      <w:r>
        <w:rPr>
          <w:w w:val="109"/>
        </w:rPr>
        <w:t>abor</w:t>
      </w:r>
      <w:r>
        <w:rPr/>
        <w:t> </w:t>
      </w:r>
      <w:r>
        <w:rPr>
          <w:w w:val="114"/>
        </w:rPr>
        <w:t>Model”,</w:t>
      </w:r>
      <w:r>
        <w:rPr/>
        <w:t> </w:t>
      </w:r>
      <w:r>
        <w:rPr>
          <w:w w:val="108"/>
        </w:rPr>
        <w:t>en</w:t>
      </w:r>
      <w:r>
        <w:rPr/>
        <w:t> </w:t>
      </w:r>
      <w:r>
        <w:rPr>
          <w:i/>
          <w:w w:val="111"/>
        </w:rPr>
        <w:t>Latin</w:t>
      </w:r>
      <w:r>
        <w:rPr>
          <w:i/>
        </w:rPr>
        <w:t> </w:t>
      </w:r>
      <w:r>
        <w:rPr>
          <w:i/>
          <w:w w:val="110"/>
        </w:rPr>
        <w:t>American</w:t>
      </w:r>
      <w:r>
        <w:rPr>
          <w:i/>
        </w:rPr>
        <w:t> </w:t>
      </w:r>
      <w:r>
        <w:rPr>
          <w:i/>
          <w:w w:val="107"/>
        </w:rPr>
        <w:t>Perspective</w:t>
      </w:r>
      <w:r>
        <w:rPr>
          <w:w w:val="138"/>
        </w:rPr>
        <w:t>,</w:t>
      </w:r>
      <w:r>
        <w:rPr/>
        <w:t> </w:t>
      </w:r>
      <w:r>
        <w:rPr>
          <w:w w:val="142"/>
        </w:rPr>
        <w:t>i</w:t>
      </w:r>
      <w:r>
        <w:rPr>
          <w:w w:val="107"/>
        </w:rPr>
        <w:t>ssue</w:t>
      </w:r>
      <w:r>
        <w:rPr/>
        <w:t> </w:t>
      </w:r>
      <w:r>
        <w:rPr>
          <w:w w:val="106"/>
        </w:rPr>
        <w:t>152,</w:t>
      </w:r>
      <w:r>
        <w:rPr/>
        <w:t> </w:t>
      </w:r>
      <w:r>
        <w:rPr>
          <w:w w:val="119"/>
        </w:rPr>
        <w:t>V</w:t>
      </w:r>
      <w:r>
        <w:rPr>
          <w:w w:val="116"/>
        </w:rPr>
        <w:t>ol.</w:t>
      </w:r>
      <w:r>
        <w:rPr/>
        <w:t> </w:t>
      </w:r>
      <w:r>
        <w:rPr>
          <w:w w:val="108"/>
        </w:rPr>
        <w:t>34, </w:t>
      </w:r>
      <w:r>
        <w:rPr>
          <w:w w:val="120"/>
        </w:rPr>
        <w:t>Nº 1 (California: </w:t>
      </w:r>
      <w:r>
        <w:rPr>
          <w:w w:val="125"/>
        </w:rPr>
        <w:t>laP </w:t>
      </w:r>
      <w:r>
        <w:rPr>
          <w:w w:val="120"/>
        </w:rPr>
        <w:t>Editorial), enero.</w:t>
      </w:r>
    </w:p>
    <w:p>
      <w:pPr>
        <w:spacing w:line="252" w:lineRule="auto" w:before="28"/>
        <w:ind w:left="497" w:right="437" w:hanging="397"/>
        <w:jc w:val="left"/>
        <w:rPr>
          <w:sz w:val="19"/>
        </w:rPr>
      </w:pPr>
      <w:r>
        <w:rPr>
          <w:spacing w:val="2"/>
          <w:w w:val="145"/>
          <w:sz w:val="19"/>
        </w:rPr>
        <w:t>Castillo </w:t>
      </w:r>
      <w:r>
        <w:rPr>
          <w:spacing w:val="2"/>
          <w:w w:val="120"/>
          <w:sz w:val="19"/>
        </w:rPr>
        <w:t>FErNÁNdEZ, dídimo 2010 “Hegemonía </w:t>
      </w:r>
      <w:r>
        <w:rPr>
          <w:w w:val="120"/>
          <w:sz w:val="19"/>
        </w:rPr>
        <w:t>y </w:t>
      </w:r>
      <w:r>
        <w:rPr>
          <w:spacing w:val="3"/>
          <w:w w:val="120"/>
          <w:sz w:val="19"/>
        </w:rPr>
        <w:t>clase </w:t>
      </w:r>
      <w:r>
        <w:rPr>
          <w:spacing w:val="2"/>
          <w:w w:val="120"/>
          <w:sz w:val="19"/>
        </w:rPr>
        <w:t>obrera </w:t>
      </w:r>
      <w:r>
        <w:rPr>
          <w:w w:val="120"/>
          <w:sz w:val="19"/>
        </w:rPr>
        <w:t>de </w:t>
      </w:r>
      <w:r>
        <w:rPr>
          <w:spacing w:val="2"/>
          <w:w w:val="120"/>
          <w:sz w:val="19"/>
        </w:rPr>
        <w:t>Estados unidos”, </w:t>
      </w:r>
      <w:r>
        <w:rPr>
          <w:w w:val="120"/>
          <w:sz w:val="19"/>
        </w:rPr>
        <w:t>en </w:t>
      </w:r>
      <w:r>
        <w:rPr>
          <w:spacing w:val="2"/>
          <w:w w:val="120"/>
          <w:sz w:val="19"/>
        </w:rPr>
        <w:t>Marco </w:t>
      </w:r>
      <w:r>
        <w:rPr>
          <w:w w:val="120"/>
          <w:sz w:val="19"/>
        </w:rPr>
        <w:t>a. </w:t>
      </w:r>
      <w:r>
        <w:rPr>
          <w:spacing w:val="2"/>
          <w:w w:val="120"/>
          <w:sz w:val="19"/>
        </w:rPr>
        <w:t>Gandásegui, hijo </w:t>
      </w:r>
      <w:r>
        <w:rPr>
          <w:w w:val="120"/>
          <w:sz w:val="19"/>
        </w:rPr>
        <w:t>y </w:t>
      </w:r>
      <w:r>
        <w:rPr>
          <w:spacing w:val="2"/>
          <w:w w:val="120"/>
          <w:sz w:val="19"/>
        </w:rPr>
        <w:t>dídimo</w:t>
      </w:r>
      <w:r>
        <w:rPr>
          <w:spacing w:val="-29"/>
          <w:w w:val="120"/>
          <w:sz w:val="19"/>
        </w:rPr>
        <w:t> </w:t>
      </w:r>
      <w:r>
        <w:rPr>
          <w:spacing w:val="2"/>
          <w:w w:val="120"/>
          <w:sz w:val="19"/>
        </w:rPr>
        <w:t>Castillo</w:t>
      </w:r>
      <w:r>
        <w:rPr>
          <w:spacing w:val="-29"/>
          <w:w w:val="120"/>
          <w:sz w:val="19"/>
        </w:rPr>
        <w:t> </w:t>
      </w:r>
      <w:r>
        <w:rPr>
          <w:spacing w:val="2"/>
          <w:w w:val="120"/>
          <w:sz w:val="19"/>
        </w:rPr>
        <w:t>Fernández</w:t>
      </w:r>
      <w:r>
        <w:rPr>
          <w:spacing w:val="-29"/>
          <w:w w:val="120"/>
          <w:sz w:val="19"/>
        </w:rPr>
        <w:t> </w:t>
      </w:r>
      <w:r>
        <w:rPr>
          <w:spacing w:val="2"/>
          <w:w w:val="120"/>
          <w:sz w:val="19"/>
        </w:rPr>
        <w:t>(coords.)</w:t>
      </w:r>
      <w:r>
        <w:rPr>
          <w:spacing w:val="-29"/>
          <w:w w:val="120"/>
          <w:sz w:val="19"/>
        </w:rPr>
        <w:t> </w:t>
      </w:r>
      <w:r>
        <w:rPr>
          <w:i/>
          <w:spacing w:val="2"/>
          <w:w w:val="120"/>
          <w:sz w:val="19"/>
        </w:rPr>
        <w:t>Estados</w:t>
      </w:r>
      <w:r>
        <w:rPr>
          <w:i/>
          <w:spacing w:val="-29"/>
          <w:w w:val="120"/>
          <w:sz w:val="19"/>
        </w:rPr>
        <w:t> </w:t>
      </w:r>
      <w:r>
        <w:rPr>
          <w:i/>
          <w:spacing w:val="2"/>
          <w:w w:val="120"/>
          <w:sz w:val="19"/>
        </w:rPr>
        <w:t>Unidos:</w:t>
      </w:r>
      <w:r>
        <w:rPr>
          <w:i/>
          <w:spacing w:val="-29"/>
          <w:w w:val="120"/>
          <w:sz w:val="19"/>
        </w:rPr>
        <w:t> </w:t>
      </w:r>
      <w:r>
        <w:rPr>
          <w:i/>
          <w:w w:val="120"/>
          <w:sz w:val="19"/>
        </w:rPr>
        <w:t>la</w:t>
      </w:r>
      <w:r>
        <w:rPr>
          <w:i/>
          <w:spacing w:val="-29"/>
          <w:w w:val="120"/>
          <w:sz w:val="19"/>
        </w:rPr>
        <w:t> </w:t>
      </w:r>
      <w:r>
        <w:rPr>
          <w:i/>
          <w:spacing w:val="3"/>
          <w:w w:val="120"/>
          <w:sz w:val="19"/>
        </w:rPr>
        <w:t>crisis </w:t>
      </w:r>
      <w:r>
        <w:rPr>
          <w:i/>
          <w:spacing w:val="2"/>
          <w:w w:val="120"/>
          <w:sz w:val="19"/>
        </w:rPr>
        <w:t>sistémica</w:t>
      </w:r>
      <w:r>
        <w:rPr>
          <w:i/>
          <w:spacing w:val="-21"/>
          <w:w w:val="120"/>
          <w:sz w:val="19"/>
        </w:rPr>
        <w:t> </w:t>
      </w:r>
      <w:r>
        <w:rPr>
          <w:i/>
          <w:w w:val="120"/>
          <w:sz w:val="19"/>
        </w:rPr>
        <w:t>y</w:t>
      </w:r>
      <w:r>
        <w:rPr>
          <w:i/>
          <w:spacing w:val="-21"/>
          <w:w w:val="120"/>
          <w:sz w:val="19"/>
        </w:rPr>
        <w:t> </w:t>
      </w:r>
      <w:r>
        <w:rPr>
          <w:i/>
          <w:w w:val="120"/>
          <w:sz w:val="19"/>
        </w:rPr>
        <w:t>las</w:t>
      </w:r>
      <w:r>
        <w:rPr>
          <w:i/>
          <w:spacing w:val="-21"/>
          <w:w w:val="120"/>
          <w:sz w:val="19"/>
        </w:rPr>
        <w:t> </w:t>
      </w:r>
      <w:r>
        <w:rPr>
          <w:i/>
          <w:spacing w:val="2"/>
          <w:w w:val="120"/>
          <w:sz w:val="19"/>
        </w:rPr>
        <w:t>nuevas</w:t>
      </w:r>
      <w:r>
        <w:rPr>
          <w:i/>
          <w:spacing w:val="-21"/>
          <w:w w:val="120"/>
          <w:sz w:val="19"/>
        </w:rPr>
        <w:t> </w:t>
      </w:r>
      <w:r>
        <w:rPr>
          <w:i/>
          <w:spacing w:val="2"/>
          <w:w w:val="120"/>
          <w:sz w:val="19"/>
        </w:rPr>
        <w:t>condiciones</w:t>
      </w:r>
      <w:r>
        <w:rPr>
          <w:i/>
          <w:spacing w:val="-21"/>
          <w:w w:val="120"/>
          <w:sz w:val="19"/>
        </w:rPr>
        <w:t> </w:t>
      </w:r>
      <w:r>
        <w:rPr>
          <w:i/>
          <w:w w:val="120"/>
          <w:sz w:val="19"/>
        </w:rPr>
        <w:t>de</w:t>
      </w:r>
      <w:r>
        <w:rPr>
          <w:i/>
          <w:spacing w:val="-21"/>
          <w:w w:val="120"/>
          <w:sz w:val="19"/>
        </w:rPr>
        <w:t> </w:t>
      </w:r>
      <w:r>
        <w:rPr>
          <w:i/>
          <w:spacing w:val="2"/>
          <w:w w:val="120"/>
          <w:sz w:val="19"/>
        </w:rPr>
        <w:t>legitimación</w:t>
      </w:r>
      <w:r>
        <w:rPr>
          <w:i/>
          <w:spacing w:val="-21"/>
          <w:w w:val="120"/>
          <w:sz w:val="19"/>
        </w:rPr>
        <w:t> </w:t>
      </w:r>
      <w:r>
        <w:rPr>
          <w:spacing w:val="3"/>
          <w:w w:val="120"/>
          <w:sz w:val="19"/>
        </w:rPr>
        <w:t>(México: </w:t>
      </w:r>
      <w:r>
        <w:rPr>
          <w:spacing w:val="2"/>
          <w:w w:val="120"/>
          <w:sz w:val="19"/>
        </w:rPr>
        <w:t>siglo </w:t>
      </w:r>
      <w:r>
        <w:rPr>
          <w:spacing w:val="37"/>
          <w:w w:val="120"/>
          <w:sz w:val="19"/>
        </w:rPr>
        <w:t> </w:t>
      </w:r>
      <w:r>
        <w:rPr>
          <w:spacing w:val="3"/>
          <w:w w:val="120"/>
          <w:sz w:val="19"/>
        </w:rPr>
        <w:t>xxi).</w:t>
      </w:r>
    </w:p>
    <w:p>
      <w:pPr>
        <w:pStyle w:val="BodyText"/>
        <w:spacing w:line="252" w:lineRule="auto" w:before="28"/>
        <w:ind w:left="497" w:right="704" w:hanging="397"/>
        <w:rPr>
          <w:i/>
        </w:rPr>
      </w:pPr>
      <w:r>
        <w:rPr>
          <w:w w:val="124"/>
        </w:rPr>
        <w:t>C</w:t>
      </w:r>
      <w:r>
        <w:rPr>
          <w:w w:val="172"/>
        </w:rPr>
        <w:t>astillo</w:t>
      </w:r>
      <w:r>
        <w:rPr>
          <w:spacing w:val="12"/>
        </w:rPr>
        <w:t> </w:t>
      </w:r>
      <w:r>
        <w:rPr>
          <w:w w:val="124"/>
        </w:rPr>
        <w:t>FE</w:t>
      </w:r>
      <w:r>
        <w:rPr>
          <w:w w:val="182"/>
        </w:rPr>
        <w:t>r</w:t>
      </w:r>
      <w:r>
        <w:rPr>
          <w:w w:val="116"/>
        </w:rPr>
        <w:t>NÁN</w:t>
      </w:r>
      <w:r>
        <w:rPr>
          <w:w w:val="139"/>
        </w:rPr>
        <w:t>d</w:t>
      </w:r>
      <w:r>
        <w:rPr>
          <w:w w:val="127"/>
        </w:rPr>
        <w:t>EZ,</w:t>
      </w:r>
      <w:r>
        <w:rPr>
          <w:spacing w:val="12"/>
        </w:rPr>
        <w:t> </w:t>
      </w:r>
      <w:r>
        <w:rPr>
          <w:w w:val="139"/>
        </w:rPr>
        <w:t>d</w:t>
      </w:r>
      <w:r>
        <w:rPr>
          <w:w w:val="112"/>
        </w:rPr>
        <w:t>ídimo</w:t>
      </w:r>
      <w:r>
        <w:rPr>
          <w:spacing w:val="12"/>
        </w:rPr>
        <w:t> </w:t>
      </w:r>
      <w:r>
        <w:rPr>
          <w:w w:val="104"/>
        </w:rPr>
        <w:t>2015a</w:t>
      </w:r>
      <w:r>
        <w:rPr>
          <w:spacing w:val="12"/>
        </w:rPr>
        <w:t> </w:t>
      </w:r>
      <w:r>
        <w:rPr>
          <w:w w:val="115"/>
        </w:rPr>
        <w:t>“</w:t>
      </w:r>
      <w:r>
        <w:rPr>
          <w:w w:val="243"/>
        </w:rPr>
        <w:t>l</w:t>
      </w:r>
      <w:r>
        <w:rPr>
          <w:w w:val="112"/>
        </w:rPr>
        <w:t>a</w:t>
      </w:r>
      <w:r>
        <w:rPr>
          <w:spacing w:val="12"/>
        </w:rPr>
        <w:t> </w:t>
      </w:r>
      <w:r>
        <w:rPr>
          <w:w w:val="111"/>
        </w:rPr>
        <w:t>deslocalización</w:t>
      </w:r>
      <w:r>
        <w:rPr>
          <w:spacing w:val="12"/>
        </w:rPr>
        <w:t> </w:t>
      </w:r>
      <w:r>
        <w:rPr>
          <w:w w:val="107"/>
        </w:rPr>
        <w:t>del </w:t>
      </w:r>
      <w:r>
        <w:rPr>
          <w:w w:val="110"/>
        </w:rPr>
        <w:t>trabajo</w:t>
      </w:r>
      <w:r>
        <w:rPr>
          <w:spacing w:val="12"/>
        </w:rPr>
        <w:t> </w:t>
      </w:r>
      <w:r>
        <w:rPr>
          <w:w w:val="105"/>
        </w:rPr>
        <w:t>y</w:t>
      </w:r>
      <w:r>
        <w:rPr>
          <w:spacing w:val="12"/>
        </w:rPr>
        <w:t> </w:t>
      </w:r>
      <w:r>
        <w:rPr>
          <w:w w:val="111"/>
        </w:rPr>
        <w:t>la</w:t>
      </w:r>
      <w:r>
        <w:rPr>
          <w:spacing w:val="12"/>
        </w:rPr>
        <w:t> </w:t>
      </w:r>
      <w:r>
        <w:rPr>
          <w:w w:val="112"/>
        </w:rPr>
        <w:t>migración</w:t>
      </w:r>
      <w:r>
        <w:rPr>
          <w:spacing w:val="12"/>
        </w:rPr>
        <w:t> </w:t>
      </w:r>
      <w:r>
        <w:rPr>
          <w:w w:val="113"/>
        </w:rPr>
        <w:t>hacia</w:t>
      </w:r>
      <w:r>
        <w:rPr>
          <w:spacing w:val="12"/>
        </w:rPr>
        <w:t> </w:t>
      </w:r>
      <w:r>
        <w:rPr>
          <w:w w:val="111"/>
        </w:rPr>
        <w:t>Estados</w:t>
      </w:r>
      <w:r>
        <w:rPr>
          <w:spacing w:val="12"/>
        </w:rPr>
        <w:t> </w:t>
      </w:r>
      <w:r>
        <w:rPr>
          <w:w w:val="140"/>
        </w:rPr>
        <w:t>u</w:t>
      </w:r>
      <w:r>
        <w:rPr>
          <w:w w:val="112"/>
        </w:rPr>
        <w:t>nidos.</w:t>
      </w:r>
      <w:r>
        <w:rPr>
          <w:spacing w:val="12"/>
        </w:rPr>
        <w:t> </w:t>
      </w:r>
      <w:r>
        <w:rPr>
          <w:w w:val="243"/>
        </w:rPr>
        <w:t>l</w:t>
      </w:r>
      <w:r>
        <w:rPr>
          <w:w w:val="112"/>
        </w:rPr>
        <w:t>a</w:t>
      </w:r>
      <w:r>
        <w:rPr>
          <w:spacing w:val="12"/>
        </w:rPr>
        <w:t> </w:t>
      </w:r>
      <w:r>
        <w:rPr>
          <w:w w:val="110"/>
        </w:rPr>
        <w:t>paradoja</w:t>
      </w:r>
      <w:r>
        <w:rPr>
          <w:spacing w:val="12"/>
        </w:rPr>
        <w:t> </w:t>
      </w:r>
      <w:r>
        <w:rPr>
          <w:w w:val="107"/>
        </w:rPr>
        <w:t>de </w:t>
      </w:r>
      <w:r>
        <w:rPr>
          <w:w w:val="115"/>
        </w:rPr>
        <w:t>la</w:t>
      </w:r>
      <w:r>
        <w:rPr>
          <w:spacing w:val="-14"/>
          <w:w w:val="115"/>
        </w:rPr>
        <w:t> </w:t>
      </w:r>
      <w:r>
        <w:rPr>
          <w:w w:val="115"/>
        </w:rPr>
        <w:t>‘migración</w:t>
      </w:r>
      <w:r>
        <w:rPr>
          <w:spacing w:val="-14"/>
          <w:w w:val="115"/>
        </w:rPr>
        <w:t> </w:t>
      </w:r>
      <w:r>
        <w:rPr>
          <w:w w:val="115"/>
        </w:rPr>
        <w:t>de</w:t>
      </w:r>
      <w:r>
        <w:rPr>
          <w:spacing w:val="-14"/>
          <w:w w:val="115"/>
        </w:rPr>
        <w:t> </w:t>
      </w:r>
      <w:r>
        <w:rPr>
          <w:w w:val="115"/>
        </w:rPr>
        <w:t>los</w:t>
      </w:r>
      <w:r>
        <w:rPr>
          <w:spacing w:val="-14"/>
          <w:w w:val="115"/>
        </w:rPr>
        <w:t> </w:t>
      </w:r>
      <w:r>
        <w:rPr>
          <w:w w:val="115"/>
        </w:rPr>
        <w:t>puestos’”,</w:t>
      </w:r>
      <w:r>
        <w:rPr>
          <w:spacing w:val="-14"/>
          <w:w w:val="115"/>
        </w:rPr>
        <w:t> </w:t>
      </w:r>
      <w:r>
        <w:rPr>
          <w:w w:val="115"/>
        </w:rPr>
        <w:t>en</w:t>
      </w:r>
      <w:r>
        <w:rPr>
          <w:spacing w:val="-14"/>
          <w:w w:val="115"/>
        </w:rPr>
        <w:t> </w:t>
      </w:r>
      <w:r>
        <w:rPr>
          <w:w w:val="115"/>
        </w:rPr>
        <w:t>dídimo</w:t>
      </w:r>
      <w:r>
        <w:rPr>
          <w:spacing w:val="-14"/>
          <w:w w:val="115"/>
        </w:rPr>
        <w:t> </w:t>
      </w:r>
      <w:r>
        <w:rPr>
          <w:w w:val="115"/>
        </w:rPr>
        <w:t>Castillo</w:t>
      </w:r>
      <w:r>
        <w:rPr>
          <w:spacing w:val="-14"/>
          <w:w w:val="115"/>
        </w:rPr>
        <w:t> </w:t>
      </w:r>
      <w:r>
        <w:rPr>
          <w:w w:val="115"/>
        </w:rPr>
        <w:t>Fernández, </w:t>
      </w:r>
      <w:r>
        <w:rPr>
          <w:w w:val="120"/>
        </w:rPr>
        <w:t>Norma baca </w:t>
      </w:r>
      <w:r>
        <w:rPr>
          <w:spacing w:val="-3"/>
          <w:w w:val="120"/>
        </w:rPr>
        <w:t>tavira </w:t>
      </w:r>
      <w:r>
        <w:rPr>
          <w:w w:val="120"/>
        </w:rPr>
        <w:t>y rosalba </w:t>
      </w:r>
      <w:r>
        <w:rPr>
          <w:spacing w:val="-3"/>
          <w:w w:val="120"/>
        </w:rPr>
        <w:t>todaro </w:t>
      </w:r>
      <w:r>
        <w:rPr>
          <w:w w:val="120"/>
        </w:rPr>
        <w:t>Cavallero (coord.) </w:t>
      </w:r>
      <w:r>
        <w:rPr>
          <w:w w:val="110"/>
        </w:rPr>
        <w:t>2015</w:t>
      </w:r>
      <w:r>
        <w:rPr>
          <w:spacing w:val="-11"/>
          <w:w w:val="110"/>
        </w:rPr>
        <w:t> </w:t>
      </w:r>
      <w:r>
        <w:rPr>
          <w:i/>
          <w:spacing w:val="-4"/>
          <w:w w:val="110"/>
        </w:rPr>
        <w:t>Trabajo</w:t>
      </w:r>
      <w:r>
        <w:rPr>
          <w:i/>
          <w:spacing w:val="-11"/>
          <w:w w:val="110"/>
        </w:rPr>
        <w:t> </w:t>
      </w:r>
      <w:r>
        <w:rPr>
          <w:i/>
          <w:w w:val="110"/>
        </w:rPr>
        <w:t>global</w:t>
      </w:r>
      <w:r>
        <w:rPr>
          <w:i/>
          <w:spacing w:val="-11"/>
          <w:w w:val="110"/>
        </w:rPr>
        <w:t> </w:t>
      </w:r>
      <w:r>
        <w:rPr>
          <w:i/>
          <w:w w:val="110"/>
        </w:rPr>
        <w:t>y</w:t>
      </w:r>
      <w:r>
        <w:rPr>
          <w:i/>
          <w:spacing w:val="-11"/>
          <w:w w:val="110"/>
        </w:rPr>
        <w:t> </w:t>
      </w:r>
      <w:r>
        <w:rPr>
          <w:i/>
          <w:w w:val="110"/>
        </w:rPr>
        <w:t>desigualdades</w:t>
      </w:r>
      <w:r>
        <w:rPr>
          <w:i/>
          <w:spacing w:val="-11"/>
          <w:w w:val="110"/>
        </w:rPr>
        <w:t> </w:t>
      </w:r>
      <w:r>
        <w:rPr>
          <w:i/>
          <w:w w:val="110"/>
        </w:rPr>
        <w:t>en</w:t>
      </w:r>
      <w:r>
        <w:rPr>
          <w:i/>
          <w:spacing w:val="-11"/>
          <w:w w:val="110"/>
        </w:rPr>
        <w:t> </w:t>
      </w:r>
      <w:r>
        <w:rPr>
          <w:i/>
          <w:w w:val="110"/>
        </w:rPr>
        <w:t>el</w:t>
      </w:r>
      <w:r>
        <w:rPr>
          <w:i/>
          <w:spacing w:val="-11"/>
          <w:w w:val="110"/>
        </w:rPr>
        <w:t> </w:t>
      </w:r>
      <w:r>
        <w:rPr>
          <w:i/>
          <w:w w:val="110"/>
        </w:rPr>
        <w:t>mercado</w:t>
      </w:r>
      <w:r>
        <w:rPr>
          <w:i/>
          <w:spacing w:val="-11"/>
          <w:w w:val="110"/>
        </w:rPr>
        <w:t> </w:t>
      </w:r>
      <w:r>
        <w:rPr>
          <w:i/>
          <w:w w:val="110"/>
        </w:rPr>
        <w:t>de</w:t>
      </w:r>
      <w:r>
        <w:rPr>
          <w:i/>
          <w:spacing w:val="-11"/>
          <w:w w:val="110"/>
        </w:rPr>
        <w:t> </w:t>
      </w:r>
      <w:r>
        <w:rPr>
          <w:i/>
          <w:w w:val="110"/>
        </w:rPr>
        <w:t>trabajo</w:t>
      </w:r>
    </w:p>
    <w:p>
      <w:pPr>
        <w:pStyle w:val="BodyText"/>
        <w:spacing w:line="252" w:lineRule="auto"/>
        <w:ind w:left="497" w:right="430"/>
      </w:pPr>
      <w:r>
        <w:rPr>
          <w:w w:val="115"/>
        </w:rPr>
        <w:t>(México:</w:t>
      </w:r>
      <w:r>
        <w:rPr>
          <w:spacing w:val="-11"/>
          <w:w w:val="115"/>
        </w:rPr>
        <w:t> </w:t>
      </w:r>
      <w:r>
        <w:rPr>
          <w:w w:val="115"/>
        </w:rPr>
        <w:t>Facultad</w:t>
      </w:r>
      <w:r>
        <w:rPr>
          <w:spacing w:val="-11"/>
          <w:w w:val="115"/>
        </w:rPr>
        <w:t> </w:t>
      </w:r>
      <w:r>
        <w:rPr>
          <w:w w:val="115"/>
        </w:rPr>
        <w:t>de</w:t>
      </w:r>
      <w:r>
        <w:rPr>
          <w:spacing w:val="-11"/>
          <w:w w:val="115"/>
        </w:rPr>
        <w:t> </w:t>
      </w:r>
      <w:r>
        <w:rPr>
          <w:w w:val="115"/>
        </w:rPr>
        <w:t>Ciencias</w:t>
      </w:r>
      <w:r>
        <w:rPr>
          <w:spacing w:val="-11"/>
          <w:w w:val="115"/>
        </w:rPr>
        <w:t> </w:t>
      </w:r>
      <w:r>
        <w:rPr>
          <w:w w:val="115"/>
        </w:rPr>
        <w:t>Políticas</w:t>
      </w:r>
      <w:r>
        <w:rPr>
          <w:spacing w:val="-11"/>
          <w:w w:val="115"/>
        </w:rPr>
        <w:t> </w:t>
      </w:r>
      <w:r>
        <w:rPr>
          <w:w w:val="115"/>
        </w:rPr>
        <w:t>y</w:t>
      </w:r>
      <w:r>
        <w:rPr>
          <w:spacing w:val="-11"/>
          <w:w w:val="115"/>
        </w:rPr>
        <w:t> </w:t>
      </w:r>
      <w:r>
        <w:rPr>
          <w:w w:val="115"/>
        </w:rPr>
        <w:t>sociales</w:t>
      </w:r>
      <w:r>
        <w:rPr>
          <w:spacing w:val="-11"/>
          <w:w w:val="115"/>
        </w:rPr>
        <w:t> </w:t>
      </w:r>
      <w:r>
        <w:rPr>
          <w:w w:val="115"/>
        </w:rPr>
        <w:t>-</w:t>
      </w:r>
      <w:r>
        <w:rPr>
          <w:spacing w:val="-11"/>
          <w:w w:val="115"/>
        </w:rPr>
        <w:t> </w:t>
      </w:r>
      <w:r>
        <w:rPr>
          <w:w w:val="115"/>
        </w:rPr>
        <w:t>universidad autónoma del Estado de México y Centro de Estudios de la Mujer (CEM)/ClaCso/Editorial</w:t>
      </w:r>
      <w:r>
        <w:rPr>
          <w:spacing w:val="13"/>
          <w:w w:val="115"/>
        </w:rPr>
        <w:t> </w:t>
      </w:r>
      <w:r>
        <w:rPr>
          <w:w w:val="115"/>
        </w:rPr>
        <w:t>Prometeo).</w:t>
      </w:r>
    </w:p>
    <w:p>
      <w:pPr>
        <w:pStyle w:val="BodyText"/>
        <w:spacing w:line="252" w:lineRule="auto" w:before="28"/>
        <w:ind w:left="497" w:right="908" w:hanging="397"/>
      </w:pPr>
      <w:r>
        <w:rPr>
          <w:w w:val="145"/>
        </w:rPr>
        <w:t>Castillo </w:t>
      </w:r>
      <w:r>
        <w:rPr>
          <w:w w:val="120"/>
        </w:rPr>
        <w:t>FErNÁNdEZ, dídimo 2015b Ponencia “Modelos </w:t>
      </w:r>
      <w:r>
        <w:rPr>
          <w:w w:val="115"/>
        </w:rPr>
        <w:t>económicos,</w:t>
      </w:r>
      <w:r>
        <w:rPr>
          <w:spacing w:val="-27"/>
          <w:w w:val="115"/>
        </w:rPr>
        <w:t> </w:t>
      </w:r>
      <w:r>
        <w:rPr>
          <w:w w:val="115"/>
        </w:rPr>
        <w:t>precariedad</w:t>
      </w:r>
      <w:r>
        <w:rPr>
          <w:spacing w:val="-27"/>
          <w:w w:val="115"/>
        </w:rPr>
        <w:t> </w:t>
      </w:r>
      <w:r>
        <w:rPr>
          <w:w w:val="115"/>
        </w:rPr>
        <w:t>laboral</w:t>
      </w:r>
      <w:r>
        <w:rPr>
          <w:spacing w:val="-27"/>
          <w:w w:val="115"/>
        </w:rPr>
        <w:t> </w:t>
      </w:r>
      <w:r>
        <w:rPr>
          <w:w w:val="115"/>
        </w:rPr>
        <w:t>y</w:t>
      </w:r>
      <w:r>
        <w:rPr>
          <w:spacing w:val="-27"/>
          <w:w w:val="115"/>
        </w:rPr>
        <w:t> </w:t>
      </w:r>
      <w:r>
        <w:rPr>
          <w:w w:val="115"/>
        </w:rPr>
        <w:t>desigualdades</w:t>
      </w:r>
      <w:r>
        <w:rPr>
          <w:spacing w:val="-27"/>
          <w:w w:val="115"/>
        </w:rPr>
        <w:t> </w:t>
      </w:r>
      <w:r>
        <w:rPr>
          <w:w w:val="115"/>
        </w:rPr>
        <w:t>sociales </w:t>
      </w:r>
      <w:r>
        <w:rPr>
          <w:w w:val="108"/>
        </w:rPr>
        <w:t>en</w:t>
      </w:r>
      <w:r>
        <w:rPr>
          <w:spacing w:val="12"/>
        </w:rPr>
        <w:t> </w:t>
      </w:r>
      <w:r>
        <w:rPr>
          <w:w w:val="139"/>
        </w:rPr>
        <w:t>a</w:t>
      </w:r>
      <w:r>
        <w:rPr>
          <w:w w:val="111"/>
        </w:rPr>
        <w:t>mérica</w:t>
      </w:r>
      <w:r>
        <w:rPr>
          <w:spacing w:val="12"/>
        </w:rPr>
        <w:t> </w:t>
      </w:r>
      <w:r>
        <w:rPr>
          <w:w w:val="243"/>
        </w:rPr>
        <w:t>l</w:t>
      </w:r>
      <w:r>
        <w:rPr>
          <w:w w:val="114"/>
        </w:rPr>
        <w:t>atina”,</w:t>
      </w:r>
      <w:r>
        <w:rPr>
          <w:spacing w:val="12"/>
        </w:rPr>
        <w:t> </w:t>
      </w:r>
      <w:r>
        <w:rPr>
          <w:w w:val="108"/>
        </w:rPr>
        <w:t>en</w:t>
      </w:r>
      <w:r>
        <w:rPr>
          <w:spacing w:val="12"/>
        </w:rPr>
        <w:t> </w:t>
      </w:r>
      <w:r>
        <w:rPr>
          <w:w w:val="112"/>
        </w:rPr>
        <w:t>Mesa</w:t>
      </w:r>
      <w:r>
        <w:rPr>
          <w:spacing w:val="12"/>
        </w:rPr>
        <w:t> </w:t>
      </w:r>
      <w:r>
        <w:rPr>
          <w:w w:val="112"/>
        </w:rPr>
        <w:t>pública</w:t>
      </w:r>
      <w:r>
        <w:rPr>
          <w:spacing w:val="12"/>
        </w:rPr>
        <w:t> </w:t>
      </w:r>
      <w:r>
        <w:rPr>
          <w:w w:val="115"/>
        </w:rPr>
        <w:t>“</w:t>
      </w:r>
      <w:r>
        <w:rPr>
          <w:w w:val="243"/>
        </w:rPr>
        <w:t>l</w:t>
      </w:r>
      <w:r>
        <w:rPr>
          <w:w w:val="112"/>
        </w:rPr>
        <w:t>a</w:t>
      </w:r>
      <w:r>
        <w:rPr>
          <w:spacing w:val="12"/>
        </w:rPr>
        <w:t> </w:t>
      </w:r>
      <w:r>
        <w:rPr>
          <w:w w:val="111"/>
        </w:rPr>
        <w:t>producción</w:t>
      </w:r>
      <w:r>
        <w:rPr>
          <w:spacing w:val="12"/>
        </w:rPr>
        <w:t> </w:t>
      </w:r>
      <w:r>
        <w:rPr>
          <w:w w:val="107"/>
        </w:rPr>
        <w:t>de </w:t>
      </w:r>
      <w:r>
        <w:rPr>
          <w:w w:val="109"/>
        </w:rPr>
        <w:t>las</w:t>
      </w:r>
      <w:r>
        <w:rPr>
          <w:spacing w:val="12"/>
        </w:rPr>
        <w:t> </w:t>
      </w:r>
      <w:r>
        <w:rPr>
          <w:w w:val="109"/>
        </w:rPr>
        <w:t>desigualdades</w:t>
      </w:r>
      <w:r>
        <w:rPr>
          <w:spacing w:val="12"/>
        </w:rPr>
        <w:t> </w:t>
      </w:r>
      <w:r>
        <w:rPr>
          <w:w w:val="108"/>
        </w:rPr>
        <w:t>en</w:t>
      </w:r>
      <w:r>
        <w:rPr>
          <w:spacing w:val="12"/>
        </w:rPr>
        <w:t> </w:t>
      </w:r>
      <w:r>
        <w:rPr>
          <w:w w:val="139"/>
        </w:rPr>
        <w:t>a</w:t>
      </w:r>
      <w:r>
        <w:rPr>
          <w:w w:val="111"/>
        </w:rPr>
        <w:t>mérica</w:t>
      </w:r>
      <w:r>
        <w:rPr>
          <w:spacing w:val="12"/>
        </w:rPr>
        <w:t> </w:t>
      </w:r>
      <w:r>
        <w:rPr>
          <w:w w:val="243"/>
        </w:rPr>
        <w:t>l</w:t>
      </w:r>
      <w:r>
        <w:rPr>
          <w:w w:val="111"/>
        </w:rPr>
        <w:t>atina</w:t>
      </w:r>
      <w:r>
        <w:rPr>
          <w:spacing w:val="12"/>
        </w:rPr>
        <w:t> </w:t>
      </w:r>
      <w:r>
        <w:rPr>
          <w:w w:val="105"/>
        </w:rPr>
        <w:t>y</w:t>
      </w:r>
      <w:r>
        <w:rPr>
          <w:spacing w:val="12"/>
        </w:rPr>
        <w:t> </w:t>
      </w:r>
      <w:r>
        <w:rPr>
          <w:w w:val="107"/>
        </w:rPr>
        <w:t>el</w:t>
      </w:r>
      <w:r>
        <w:rPr>
          <w:spacing w:val="12"/>
        </w:rPr>
        <w:t> </w:t>
      </w:r>
      <w:r>
        <w:rPr>
          <w:w w:val="114"/>
        </w:rPr>
        <w:t>Caribe”,</w:t>
      </w:r>
      <w:r>
        <w:rPr>
          <w:spacing w:val="12"/>
        </w:rPr>
        <w:t> </w:t>
      </w:r>
      <w:r>
        <w:rPr>
          <w:spacing w:val="-18"/>
          <w:w w:val="195"/>
        </w:rPr>
        <w:t>t</w:t>
      </w:r>
      <w:r>
        <w:rPr>
          <w:w w:val="108"/>
        </w:rPr>
        <w:t>aller</w:t>
      </w:r>
      <w:r>
        <w:rPr>
          <w:spacing w:val="12"/>
        </w:rPr>
        <w:t> </w:t>
      </w:r>
      <w:r>
        <w:rPr>
          <w:w w:val="107"/>
        </w:rPr>
        <w:t>de </w:t>
      </w:r>
      <w:r>
        <w:rPr>
          <w:w w:val="115"/>
        </w:rPr>
        <w:t>Formación</w:t>
      </w:r>
      <w:r>
        <w:rPr>
          <w:spacing w:val="-20"/>
          <w:w w:val="115"/>
        </w:rPr>
        <w:t> </w:t>
      </w:r>
      <w:r>
        <w:rPr>
          <w:w w:val="115"/>
        </w:rPr>
        <w:t>Metodológica,</w:t>
      </w:r>
      <w:r>
        <w:rPr>
          <w:spacing w:val="-20"/>
          <w:w w:val="115"/>
        </w:rPr>
        <w:t> </w:t>
      </w:r>
      <w:r>
        <w:rPr>
          <w:w w:val="115"/>
        </w:rPr>
        <w:t>Programa</w:t>
      </w:r>
      <w:r>
        <w:rPr>
          <w:spacing w:val="-20"/>
          <w:w w:val="115"/>
        </w:rPr>
        <w:t> </w:t>
      </w:r>
      <w:r>
        <w:rPr>
          <w:w w:val="115"/>
        </w:rPr>
        <w:t>de</w:t>
      </w:r>
      <w:r>
        <w:rPr>
          <w:spacing w:val="-20"/>
          <w:w w:val="115"/>
        </w:rPr>
        <w:t> </w:t>
      </w:r>
      <w:r>
        <w:rPr>
          <w:w w:val="115"/>
        </w:rPr>
        <w:t>Estudios</w:t>
      </w:r>
      <w:r>
        <w:rPr>
          <w:spacing w:val="-20"/>
          <w:w w:val="115"/>
        </w:rPr>
        <w:t> </w:t>
      </w:r>
      <w:r>
        <w:rPr>
          <w:w w:val="115"/>
        </w:rPr>
        <w:t>sobre</w:t>
      </w:r>
      <w:r>
        <w:rPr>
          <w:spacing w:val="-20"/>
          <w:w w:val="115"/>
        </w:rPr>
        <w:t> </w:t>
      </w:r>
      <w:r>
        <w:rPr>
          <w:w w:val="115"/>
        </w:rPr>
        <w:t>la</w:t>
      </w:r>
    </w:p>
    <w:p>
      <w:pPr>
        <w:pStyle w:val="BodyText"/>
        <w:spacing w:line="252" w:lineRule="auto"/>
        <w:ind w:left="497" w:right="433"/>
      </w:pPr>
      <w:r>
        <w:rPr>
          <w:w w:val="115"/>
        </w:rPr>
        <w:t>Pobreza y las desigualdades, </w:t>
      </w:r>
      <w:r>
        <w:rPr>
          <w:w w:val="125"/>
        </w:rPr>
        <w:t>ClaCso, </w:t>
      </w:r>
      <w:r>
        <w:rPr>
          <w:w w:val="115"/>
        </w:rPr>
        <w:t>Ministerio de desarrollo social, MidEs, y Fundación Ciudad del saber, Panamá, 29 de septiembre.</w:t>
      </w:r>
    </w:p>
    <w:p>
      <w:pPr>
        <w:spacing w:line="252" w:lineRule="auto" w:before="28"/>
        <w:ind w:left="497" w:right="0" w:hanging="397"/>
        <w:jc w:val="left"/>
        <w:rPr>
          <w:sz w:val="19"/>
        </w:rPr>
      </w:pPr>
      <w:r>
        <w:rPr>
          <w:w w:val="121"/>
          <w:sz w:val="19"/>
        </w:rPr>
        <w:t>CEP</w:t>
      </w:r>
      <w:r>
        <w:rPr>
          <w:w w:val="176"/>
          <w:sz w:val="19"/>
        </w:rPr>
        <w:t>al</w:t>
      </w:r>
      <w:r>
        <w:rPr>
          <w:sz w:val="19"/>
        </w:rPr>
        <w:t> </w:t>
      </w:r>
      <w:r>
        <w:rPr>
          <w:w w:val="112"/>
          <w:sz w:val="19"/>
        </w:rPr>
        <w:t>(Comisión</w:t>
      </w:r>
      <w:r>
        <w:rPr>
          <w:sz w:val="19"/>
        </w:rPr>
        <w:t> </w:t>
      </w:r>
      <w:r>
        <w:rPr>
          <w:w w:val="114"/>
          <w:sz w:val="19"/>
        </w:rPr>
        <w:t>Económica</w:t>
      </w:r>
      <w:r>
        <w:rPr>
          <w:sz w:val="19"/>
        </w:rPr>
        <w:t> </w:t>
      </w:r>
      <w:r>
        <w:rPr>
          <w:w w:val="109"/>
          <w:sz w:val="19"/>
        </w:rPr>
        <w:t>para</w:t>
      </w:r>
      <w:r>
        <w:rPr>
          <w:sz w:val="19"/>
        </w:rPr>
        <w:t> </w:t>
      </w:r>
      <w:r>
        <w:rPr>
          <w:w w:val="139"/>
          <w:sz w:val="19"/>
        </w:rPr>
        <w:t>a</w:t>
      </w:r>
      <w:r>
        <w:rPr>
          <w:w w:val="111"/>
          <w:sz w:val="19"/>
        </w:rPr>
        <w:t>mérica</w:t>
      </w:r>
      <w:r>
        <w:rPr>
          <w:sz w:val="19"/>
        </w:rPr>
        <w:t> </w:t>
      </w:r>
      <w:r>
        <w:rPr>
          <w:w w:val="243"/>
          <w:sz w:val="19"/>
        </w:rPr>
        <w:t>l</w:t>
      </w:r>
      <w:r>
        <w:rPr>
          <w:w w:val="111"/>
          <w:sz w:val="19"/>
        </w:rPr>
        <w:t>atina</w:t>
      </w:r>
      <w:r>
        <w:rPr>
          <w:sz w:val="19"/>
        </w:rPr>
        <w:t> </w:t>
      </w:r>
      <w:r>
        <w:rPr>
          <w:w w:val="105"/>
          <w:sz w:val="19"/>
        </w:rPr>
        <w:t>y</w:t>
      </w:r>
      <w:r>
        <w:rPr>
          <w:sz w:val="19"/>
        </w:rPr>
        <w:t> </w:t>
      </w:r>
      <w:r>
        <w:rPr>
          <w:w w:val="107"/>
          <w:sz w:val="19"/>
        </w:rPr>
        <w:t>el</w:t>
      </w:r>
      <w:r>
        <w:rPr>
          <w:sz w:val="19"/>
        </w:rPr>
        <w:t> </w:t>
      </w:r>
      <w:r>
        <w:rPr>
          <w:w w:val="110"/>
          <w:sz w:val="19"/>
        </w:rPr>
        <w:t>Caribe)</w:t>
      </w:r>
      <w:r>
        <w:rPr>
          <w:sz w:val="19"/>
        </w:rPr>
        <w:t> </w:t>
      </w:r>
      <w:r>
        <w:rPr>
          <w:w w:val="102"/>
          <w:sz w:val="19"/>
        </w:rPr>
        <w:t>2014 </w:t>
      </w:r>
      <w:r>
        <w:rPr>
          <w:i/>
          <w:w w:val="115"/>
          <w:sz w:val="19"/>
        </w:rPr>
        <w:t>Anuario Estadístico de América Latina y el Caribe </w:t>
      </w:r>
      <w:r>
        <w:rPr>
          <w:w w:val="115"/>
          <w:sz w:val="19"/>
        </w:rPr>
        <w:t>(santiago de </w:t>
      </w:r>
      <w:r>
        <w:rPr>
          <w:w w:val="113"/>
          <w:sz w:val="19"/>
        </w:rPr>
        <w:t>Chile:</w:t>
      </w:r>
      <w:r>
        <w:rPr>
          <w:sz w:val="19"/>
        </w:rPr>
        <w:t> </w:t>
      </w:r>
      <w:r>
        <w:rPr>
          <w:w w:val="121"/>
          <w:sz w:val="19"/>
        </w:rPr>
        <w:t>CEP</w:t>
      </w:r>
      <w:r>
        <w:rPr>
          <w:w w:val="176"/>
          <w:sz w:val="19"/>
        </w:rPr>
        <w:t>al</w:t>
      </w:r>
      <w:r>
        <w:rPr>
          <w:w w:val="57"/>
          <w:sz w:val="19"/>
        </w:rPr>
        <w:t>/</w:t>
      </w:r>
      <w:r>
        <w:rPr>
          <w:sz w:val="19"/>
        </w:rPr>
        <w:t> </w:t>
      </w:r>
      <w:r>
        <w:rPr>
          <w:w w:val="112"/>
          <w:sz w:val="19"/>
        </w:rPr>
        <w:t>Naciones</w:t>
      </w:r>
      <w:r>
        <w:rPr>
          <w:sz w:val="19"/>
        </w:rPr>
        <w:t> </w:t>
      </w:r>
      <w:r>
        <w:rPr>
          <w:w w:val="140"/>
          <w:sz w:val="19"/>
        </w:rPr>
        <w:t>u</w:t>
      </w:r>
      <w:r>
        <w:rPr>
          <w:w w:val="111"/>
          <w:sz w:val="19"/>
        </w:rPr>
        <w:t>nidas).</w:t>
      </w:r>
    </w:p>
    <w:p>
      <w:pPr>
        <w:pStyle w:val="BodyText"/>
        <w:spacing w:line="252" w:lineRule="auto" w:before="28"/>
        <w:ind w:left="497" w:right="435" w:hanging="397"/>
      </w:pPr>
      <w:r>
        <w:rPr>
          <w:w w:val="155"/>
        </w:rPr>
        <w:t>El</w:t>
      </w:r>
      <w:r>
        <w:rPr>
          <w:spacing w:val="-23"/>
          <w:w w:val="155"/>
        </w:rPr>
        <w:t> </w:t>
      </w:r>
      <w:r>
        <w:rPr>
          <w:spacing w:val="-4"/>
          <w:w w:val="115"/>
        </w:rPr>
        <w:t>PaÍs</w:t>
      </w:r>
      <w:r>
        <w:rPr>
          <w:spacing w:val="-6"/>
          <w:w w:val="115"/>
        </w:rPr>
        <w:t> </w:t>
      </w:r>
      <w:r>
        <w:rPr>
          <w:w w:val="115"/>
        </w:rPr>
        <w:t>2013</w:t>
      </w:r>
      <w:r>
        <w:rPr>
          <w:spacing w:val="-6"/>
          <w:w w:val="115"/>
        </w:rPr>
        <w:t> </w:t>
      </w:r>
      <w:r>
        <w:rPr>
          <w:w w:val="115"/>
        </w:rPr>
        <w:t>“El</w:t>
      </w:r>
      <w:r>
        <w:rPr>
          <w:spacing w:val="-6"/>
          <w:w w:val="115"/>
        </w:rPr>
        <w:t> </w:t>
      </w:r>
      <w:r>
        <w:rPr>
          <w:w w:val="115"/>
        </w:rPr>
        <w:t>15</w:t>
      </w:r>
      <w:r>
        <w:rPr>
          <w:spacing w:val="-6"/>
          <w:w w:val="115"/>
        </w:rPr>
        <w:t> </w:t>
      </w:r>
      <w:r>
        <w:rPr>
          <w:w w:val="115"/>
        </w:rPr>
        <w:t>por</w:t>
      </w:r>
      <w:r>
        <w:rPr>
          <w:spacing w:val="-6"/>
          <w:w w:val="115"/>
        </w:rPr>
        <w:t> </w:t>
      </w:r>
      <w:r>
        <w:rPr>
          <w:w w:val="115"/>
        </w:rPr>
        <w:t>ciento</w:t>
      </w:r>
      <w:r>
        <w:rPr>
          <w:spacing w:val="-6"/>
          <w:w w:val="115"/>
        </w:rPr>
        <w:t> </w:t>
      </w:r>
      <w:r>
        <w:rPr>
          <w:w w:val="115"/>
        </w:rPr>
        <w:t>de</w:t>
      </w:r>
      <w:r>
        <w:rPr>
          <w:spacing w:val="-6"/>
          <w:w w:val="115"/>
        </w:rPr>
        <w:t> </w:t>
      </w:r>
      <w:r>
        <w:rPr>
          <w:w w:val="115"/>
        </w:rPr>
        <w:t>los</w:t>
      </w:r>
      <w:r>
        <w:rPr>
          <w:spacing w:val="-6"/>
          <w:w w:val="115"/>
        </w:rPr>
        <w:t> </w:t>
      </w:r>
      <w:r>
        <w:rPr>
          <w:w w:val="115"/>
        </w:rPr>
        <w:t>jóvenes</w:t>
      </w:r>
      <w:r>
        <w:rPr>
          <w:spacing w:val="-6"/>
          <w:w w:val="115"/>
        </w:rPr>
        <w:t> </w:t>
      </w:r>
      <w:r>
        <w:rPr>
          <w:w w:val="115"/>
        </w:rPr>
        <w:t>en</w:t>
      </w:r>
      <w:r>
        <w:rPr>
          <w:spacing w:val="-6"/>
          <w:w w:val="115"/>
        </w:rPr>
        <w:t> </w:t>
      </w:r>
      <w:r>
        <w:rPr>
          <w:w w:val="115"/>
        </w:rPr>
        <w:t>Estados</w:t>
      </w:r>
      <w:r>
        <w:rPr>
          <w:spacing w:val="-6"/>
          <w:w w:val="115"/>
        </w:rPr>
        <w:t> </w:t>
      </w:r>
      <w:r>
        <w:rPr>
          <w:w w:val="115"/>
        </w:rPr>
        <w:t>unidos</w:t>
      </w:r>
      <w:r>
        <w:rPr>
          <w:spacing w:val="-6"/>
          <w:w w:val="115"/>
        </w:rPr>
        <w:t> </w:t>
      </w:r>
      <w:r>
        <w:rPr>
          <w:w w:val="115"/>
        </w:rPr>
        <w:t>no estudia</w:t>
      </w:r>
      <w:r>
        <w:rPr>
          <w:spacing w:val="-25"/>
          <w:w w:val="115"/>
        </w:rPr>
        <w:t> </w:t>
      </w:r>
      <w:r>
        <w:rPr>
          <w:w w:val="115"/>
        </w:rPr>
        <w:t>ni</w:t>
      </w:r>
      <w:r>
        <w:rPr>
          <w:spacing w:val="-25"/>
          <w:w w:val="115"/>
        </w:rPr>
        <w:t> </w:t>
      </w:r>
      <w:r>
        <w:rPr>
          <w:w w:val="115"/>
        </w:rPr>
        <w:t>trabaja”,</w:t>
      </w:r>
      <w:r>
        <w:rPr>
          <w:spacing w:val="-25"/>
          <w:w w:val="115"/>
        </w:rPr>
        <w:t> </w:t>
      </w:r>
      <w:r>
        <w:rPr>
          <w:w w:val="115"/>
        </w:rPr>
        <w:t>en</w:t>
      </w:r>
      <w:r>
        <w:rPr>
          <w:spacing w:val="-25"/>
          <w:w w:val="115"/>
        </w:rPr>
        <w:t> </w:t>
      </w:r>
      <w:r>
        <w:rPr>
          <w:i/>
          <w:w w:val="115"/>
        </w:rPr>
        <w:t>El</w:t>
      </w:r>
      <w:r>
        <w:rPr>
          <w:i/>
          <w:spacing w:val="-25"/>
          <w:w w:val="115"/>
        </w:rPr>
        <w:t> </w:t>
      </w:r>
      <w:r>
        <w:rPr>
          <w:i/>
          <w:w w:val="115"/>
        </w:rPr>
        <w:t>País</w:t>
      </w:r>
      <w:r>
        <w:rPr>
          <w:w w:val="115"/>
        </w:rPr>
        <w:t>,</w:t>
      </w:r>
      <w:r>
        <w:rPr>
          <w:spacing w:val="-25"/>
          <w:w w:val="115"/>
        </w:rPr>
        <w:t> </w:t>
      </w:r>
      <w:r>
        <w:rPr>
          <w:w w:val="115"/>
        </w:rPr>
        <w:t>21</w:t>
      </w:r>
      <w:r>
        <w:rPr>
          <w:spacing w:val="-25"/>
          <w:w w:val="115"/>
        </w:rPr>
        <w:t> </w:t>
      </w:r>
      <w:r>
        <w:rPr>
          <w:w w:val="115"/>
        </w:rPr>
        <w:t>de</w:t>
      </w:r>
      <w:r>
        <w:rPr>
          <w:spacing w:val="-25"/>
          <w:w w:val="115"/>
        </w:rPr>
        <w:t> </w:t>
      </w:r>
      <w:r>
        <w:rPr>
          <w:w w:val="115"/>
        </w:rPr>
        <w:t>octubre,</w:t>
      </w:r>
      <w:r>
        <w:rPr>
          <w:spacing w:val="-25"/>
          <w:w w:val="115"/>
        </w:rPr>
        <w:t> </w:t>
      </w:r>
      <w:r>
        <w:rPr>
          <w:w w:val="115"/>
        </w:rPr>
        <w:t>en</w:t>
      </w:r>
      <w:r>
        <w:rPr>
          <w:spacing w:val="-25"/>
          <w:w w:val="115"/>
        </w:rPr>
        <w:t> </w:t>
      </w:r>
      <w:r>
        <w:rPr>
          <w:w w:val="115"/>
        </w:rPr>
        <w:t>&lt;http://www.el país/internacional&gt;.</w:t>
      </w:r>
    </w:p>
    <w:p>
      <w:pPr>
        <w:pStyle w:val="BodyText"/>
        <w:spacing w:line="252" w:lineRule="auto" w:before="28"/>
        <w:ind w:left="497" w:right="352" w:hanging="397"/>
      </w:pPr>
      <w:r>
        <w:rPr>
          <w:w w:val="125"/>
        </w:rPr>
        <w:t>GarCÍa blaNCo, </w:t>
      </w:r>
      <w:r>
        <w:rPr>
          <w:w w:val="110"/>
        </w:rPr>
        <w:t>José María y rodolfo Gutiérrez 1996  “inserción laboral y desigual en el mercado de trabajo: cuestiones teóricas”, en </w:t>
      </w:r>
      <w:r>
        <w:rPr>
          <w:i/>
          <w:w w:val="110"/>
        </w:rPr>
        <w:t>Reis</w:t>
      </w:r>
      <w:r>
        <w:rPr>
          <w:w w:val="110"/>
        </w:rPr>
        <w:t>, revista Española de investigaciones sociológicas, Nº 75/96 (Madrid: Centro de investigaciones sociológicas).</w:t>
      </w:r>
    </w:p>
    <w:p>
      <w:pPr>
        <w:pStyle w:val="BodyText"/>
        <w:spacing w:line="252" w:lineRule="auto" w:before="28"/>
        <w:ind w:left="497" w:right="819" w:hanging="397"/>
      </w:pPr>
      <w:r>
        <w:rPr>
          <w:w w:val="110"/>
        </w:rPr>
        <w:t>GuZMÁN CoNCHa, César 2007 “Jóvenes, mercado laboral y educación: una revisión de la experiencia internacional”, en </w:t>
      </w:r>
      <w:r>
        <w:rPr>
          <w:i/>
          <w:w w:val="110"/>
        </w:rPr>
        <w:t>Trabajo  y Equidad</w:t>
      </w:r>
      <w:r>
        <w:rPr>
          <w:w w:val="110"/>
        </w:rPr>
        <w:t>, santiago de  Chile.</w:t>
      </w:r>
    </w:p>
    <w:p>
      <w:pPr>
        <w:pStyle w:val="BodyText"/>
        <w:spacing w:line="252" w:lineRule="auto" w:before="28"/>
        <w:ind w:left="497" w:right="509" w:hanging="397"/>
      </w:pPr>
      <w:r>
        <w:rPr>
          <w:w w:val="120"/>
        </w:rPr>
        <w:t>GraHaM,</w:t>
      </w:r>
      <w:r>
        <w:rPr>
          <w:spacing w:val="-25"/>
          <w:w w:val="120"/>
        </w:rPr>
        <w:t> </w:t>
      </w:r>
      <w:r>
        <w:rPr>
          <w:w w:val="120"/>
        </w:rPr>
        <w:t>Carol</w:t>
      </w:r>
      <w:r>
        <w:rPr>
          <w:spacing w:val="-25"/>
          <w:w w:val="120"/>
        </w:rPr>
        <w:t> </w:t>
      </w:r>
      <w:r>
        <w:rPr>
          <w:w w:val="120"/>
        </w:rPr>
        <w:t>2014</w:t>
      </w:r>
      <w:r>
        <w:rPr>
          <w:spacing w:val="-25"/>
          <w:w w:val="120"/>
        </w:rPr>
        <w:t> </w:t>
      </w:r>
      <w:r>
        <w:rPr>
          <w:w w:val="120"/>
        </w:rPr>
        <w:t>“Por</w:t>
      </w:r>
      <w:r>
        <w:rPr>
          <w:spacing w:val="-25"/>
          <w:w w:val="120"/>
        </w:rPr>
        <w:t> </w:t>
      </w:r>
      <w:r>
        <w:rPr>
          <w:w w:val="120"/>
        </w:rPr>
        <w:t>la</w:t>
      </w:r>
      <w:r>
        <w:rPr>
          <w:spacing w:val="-25"/>
          <w:w w:val="120"/>
        </w:rPr>
        <w:t> </w:t>
      </w:r>
      <w:r>
        <w:rPr>
          <w:w w:val="120"/>
        </w:rPr>
        <w:t>crisis</w:t>
      </w:r>
      <w:r>
        <w:rPr>
          <w:spacing w:val="-25"/>
          <w:w w:val="120"/>
        </w:rPr>
        <w:t> </w:t>
      </w:r>
      <w:r>
        <w:rPr>
          <w:w w:val="120"/>
        </w:rPr>
        <w:t>económica,</w:t>
      </w:r>
      <w:r>
        <w:rPr>
          <w:spacing w:val="-25"/>
          <w:w w:val="120"/>
        </w:rPr>
        <w:t> </w:t>
      </w:r>
      <w:r>
        <w:rPr>
          <w:w w:val="120"/>
        </w:rPr>
        <w:t>la</w:t>
      </w:r>
      <w:r>
        <w:rPr>
          <w:spacing w:val="-25"/>
          <w:w w:val="120"/>
        </w:rPr>
        <w:t> </w:t>
      </w:r>
      <w:r>
        <w:rPr>
          <w:w w:val="120"/>
        </w:rPr>
        <w:t>clase</w:t>
      </w:r>
      <w:r>
        <w:rPr>
          <w:spacing w:val="-25"/>
          <w:w w:val="120"/>
        </w:rPr>
        <w:t> </w:t>
      </w:r>
      <w:r>
        <w:rPr>
          <w:w w:val="120"/>
        </w:rPr>
        <w:t>media</w:t>
      </w:r>
      <w:r>
        <w:rPr>
          <w:spacing w:val="-25"/>
          <w:w w:val="120"/>
        </w:rPr>
        <w:t> </w:t>
      </w:r>
      <w:r>
        <w:rPr>
          <w:w w:val="120"/>
        </w:rPr>
        <w:t>cede terreno</w:t>
      </w:r>
      <w:r>
        <w:rPr>
          <w:spacing w:val="-18"/>
          <w:w w:val="120"/>
        </w:rPr>
        <w:t> </w:t>
      </w:r>
      <w:r>
        <w:rPr>
          <w:w w:val="120"/>
        </w:rPr>
        <w:t>en</w:t>
      </w:r>
      <w:r>
        <w:rPr>
          <w:spacing w:val="-18"/>
          <w:w w:val="120"/>
        </w:rPr>
        <w:t> </w:t>
      </w:r>
      <w:r>
        <w:rPr>
          <w:w w:val="120"/>
        </w:rPr>
        <w:t>EE.uu.”,</w:t>
      </w:r>
      <w:r>
        <w:rPr>
          <w:spacing w:val="-18"/>
          <w:w w:val="120"/>
        </w:rPr>
        <w:t> </w:t>
      </w:r>
      <w:r>
        <w:rPr>
          <w:w w:val="120"/>
        </w:rPr>
        <w:t>en</w:t>
      </w:r>
      <w:r>
        <w:rPr>
          <w:spacing w:val="-18"/>
          <w:w w:val="120"/>
        </w:rPr>
        <w:t> </w:t>
      </w:r>
      <w:r>
        <w:rPr>
          <w:i/>
          <w:w w:val="120"/>
        </w:rPr>
        <w:t>Clarín</w:t>
      </w:r>
      <w:r>
        <w:rPr>
          <w:w w:val="120"/>
        </w:rPr>
        <w:t>,</w:t>
      </w:r>
      <w:r>
        <w:rPr>
          <w:spacing w:val="-18"/>
          <w:w w:val="120"/>
        </w:rPr>
        <w:t> </w:t>
      </w:r>
      <w:r>
        <w:rPr>
          <w:w w:val="120"/>
        </w:rPr>
        <w:t>buenos</w:t>
      </w:r>
      <w:r>
        <w:rPr>
          <w:spacing w:val="-18"/>
          <w:w w:val="120"/>
        </w:rPr>
        <w:t> </w:t>
      </w:r>
      <w:r>
        <w:rPr>
          <w:w w:val="120"/>
        </w:rPr>
        <w:t>aires.</w:t>
      </w:r>
    </w:p>
    <w:p>
      <w:pPr>
        <w:spacing w:after="0" w:line="252" w:lineRule="auto"/>
        <w:sectPr>
          <w:pgSz w:w="8790" w:h="12760"/>
          <w:pgMar w:header="695" w:footer="723" w:top="880" w:bottom="920" w:left="920" w:right="1200"/>
        </w:sectPr>
      </w:pPr>
    </w:p>
    <w:p>
      <w:pPr>
        <w:pStyle w:val="BodyText"/>
        <w:spacing w:before="7"/>
        <w:rPr>
          <w:sz w:val="28"/>
        </w:rPr>
      </w:pPr>
    </w:p>
    <w:p>
      <w:pPr>
        <w:pStyle w:val="BodyText"/>
        <w:spacing w:line="252" w:lineRule="auto" w:before="73"/>
        <w:ind w:left="727" w:right="657" w:hanging="397"/>
      </w:pPr>
      <w:r>
        <w:rPr>
          <w:w w:val="120"/>
        </w:rPr>
        <w:t>EHrENrEiCH,</w:t>
      </w:r>
      <w:r>
        <w:rPr>
          <w:spacing w:val="-16"/>
          <w:w w:val="120"/>
        </w:rPr>
        <w:t> </w:t>
      </w:r>
      <w:r>
        <w:rPr>
          <w:w w:val="120"/>
        </w:rPr>
        <w:t>barbara</w:t>
      </w:r>
      <w:r>
        <w:rPr>
          <w:spacing w:val="-16"/>
          <w:w w:val="120"/>
        </w:rPr>
        <w:t> </w:t>
      </w:r>
      <w:r>
        <w:rPr>
          <w:w w:val="120"/>
        </w:rPr>
        <w:t>2013</w:t>
      </w:r>
      <w:r>
        <w:rPr>
          <w:spacing w:val="-16"/>
          <w:w w:val="120"/>
        </w:rPr>
        <w:t> </w:t>
      </w:r>
      <w:r>
        <w:rPr>
          <w:w w:val="120"/>
        </w:rPr>
        <w:t>“una</w:t>
      </w:r>
      <w:r>
        <w:rPr>
          <w:spacing w:val="-16"/>
          <w:w w:val="120"/>
        </w:rPr>
        <w:t> </w:t>
      </w:r>
      <w:r>
        <w:rPr>
          <w:w w:val="120"/>
        </w:rPr>
        <w:t>visita</w:t>
      </w:r>
      <w:r>
        <w:rPr>
          <w:spacing w:val="-16"/>
          <w:w w:val="120"/>
        </w:rPr>
        <w:t> </w:t>
      </w:r>
      <w:r>
        <w:rPr>
          <w:w w:val="120"/>
        </w:rPr>
        <w:t>guiada</w:t>
      </w:r>
      <w:r>
        <w:rPr>
          <w:spacing w:val="-16"/>
          <w:w w:val="120"/>
        </w:rPr>
        <w:t> </w:t>
      </w:r>
      <w:r>
        <w:rPr>
          <w:w w:val="120"/>
        </w:rPr>
        <w:t>por</w:t>
      </w:r>
      <w:r>
        <w:rPr>
          <w:spacing w:val="-16"/>
          <w:w w:val="120"/>
        </w:rPr>
        <w:t> </w:t>
      </w:r>
      <w:r>
        <w:rPr>
          <w:w w:val="120"/>
        </w:rPr>
        <w:t>las</w:t>
      </w:r>
      <w:r>
        <w:rPr>
          <w:spacing w:val="-16"/>
          <w:w w:val="120"/>
        </w:rPr>
        <w:t> </w:t>
      </w:r>
      <w:r>
        <w:rPr>
          <w:w w:val="120"/>
        </w:rPr>
        <w:t>clases sociales</w:t>
      </w:r>
      <w:r>
        <w:rPr>
          <w:spacing w:val="-23"/>
          <w:w w:val="120"/>
        </w:rPr>
        <w:t> </w:t>
      </w:r>
      <w:r>
        <w:rPr>
          <w:w w:val="120"/>
        </w:rPr>
        <w:t>de</w:t>
      </w:r>
      <w:r>
        <w:rPr>
          <w:spacing w:val="-23"/>
          <w:w w:val="120"/>
        </w:rPr>
        <w:t> </w:t>
      </w:r>
      <w:r>
        <w:rPr>
          <w:w w:val="120"/>
        </w:rPr>
        <w:t>EE.uu.”,</w:t>
      </w:r>
      <w:r>
        <w:rPr>
          <w:spacing w:val="-23"/>
          <w:w w:val="120"/>
        </w:rPr>
        <w:t> </w:t>
      </w:r>
      <w:r>
        <w:rPr>
          <w:w w:val="120"/>
        </w:rPr>
        <w:t>en</w:t>
      </w:r>
      <w:r>
        <w:rPr>
          <w:spacing w:val="-23"/>
          <w:w w:val="120"/>
        </w:rPr>
        <w:t> </w:t>
      </w:r>
      <w:r>
        <w:rPr>
          <w:i/>
          <w:w w:val="120"/>
        </w:rPr>
        <w:t>Sin</w:t>
      </w:r>
      <w:r>
        <w:rPr>
          <w:i/>
          <w:spacing w:val="-23"/>
          <w:w w:val="120"/>
        </w:rPr>
        <w:t> </w:t>
      </w:r>
      <w:r>
        <w:rPr>
          <w:i/>
          <w:w w:val="120"/>
        </w:rPr>
        <w:t>Permiso</w:t>
      </w:r>
      <w:r>
        <w:rPr>
          <w:w w:val="120"/>
        </w:rPr>
        <w:t>,</w:t>
      </w:r>
      <w:r>
        <w:rPr>
          <w:spacing w:val="-23"/>
          <w:w w:val="120"/>
        </w:rPr>
        <w:t> </w:t>
      </w:r>
      <w:r>
        <w:rPr>
          <w:w w:val="120"/>
        </w:rPr>
        <w:t>Nº</w:t>
      </w:r>
      <w:r>
        <w:rPr>
          <w:spacing w:val="-23"/>
          <w:w w:val="120"/>
        </w:rPr>
        <w:t> </w:t>
      </w:r>
      <w:r>
        <w:rPr>
          <w:w w:val="120"/>
        </w:rPr>
        <w:t>12,</w:t>
      </w:r>
      <w:r>
        <w:rPr>
          <w:spacing w:val="-23"/>
          <w:w w:val="120"/>
        </w:rPr>
        <w:t> </w:t>
      </w:r>
      <w:r>
        <w:rPr>
          <w:w w:val="120"/>
        </w:rPr>
        <w:t>febrero.</w:t>
      </w:r>
    </w:p>
    <w:p>
      <w:pPr>
        <w:pStyle w:val="BodyText"/>
        <w:spacing w:line="252" w:lineRule="auto" w:before="28"/>
        <w:ind w:left="727" w:right="237" w:hanging="397"/>
      </w:pPr>
      <w:r>
        <w:rPr>
          <w:w w:val="128"/>
        </w:rPr>
        <w:t>E</w:t>
      </w:r>
      <w:r>
        <w:rPr>
          <w:w w:val="243"/>
        </w:rPr>
        <w:t>l</w:t>
      </w:r>
      <w:r>
        <w:rPr>
          <w:spacing w:val="12"/>
        </w:rPr>
        <w:t> </w:t>
      </w:r>
      <w:r>
        <w:rPr>
          <w:w w:val="140"/>
        </w:rPr>
        <w:t>u</w:t>
      </w:r>
      <w:r>
        <w:rPr>
          <w:w w:val="119"/>
        </w:rPr>
        <w:t>N</w:t>
      </w:r>
      <w:r>
        <w:rPr>
          <w:w w:val="142"/>
        </w:rPr>
        <w:t>i</w:t>
      </w:r>
      <w:r>
        <w:rPr>
          <w:w w:val="123"/>
        </w:rPr>
        <w:t>VE</w:t>
      </w:r>
      <w:r>
        <w:rPr>
          <w:w w:val="171"/>
        </w:rPr>
        <w:t>rsal</w:t>
      </w:r>
      <w:r>
        <w:rPr>
          <w:spacing w:val="12"/>
        </w:rPr>
        <w:t> </w:t>
      </w:r>
      <w:r>
        <w:rPr>
          <w:w w:val="102"/>
        </w:rPr>
        <w:t>2014</w:t>
      </w:r>
      <w:r>
        <w:rPr>
          <w:spacing w:val="12"/>
        </w:rPr>
        <w:t> </w:t>
      </w:r>
      <w:r>
        <w:rPr>
          <w:w w:val="115"/>
        </w:rPr>
        <w:t>“</w:t>
      </w:r>
      <w:r>
        <w:rPr>
          <w:w w:val="243"/>
        </w:rPr>
        <w:t>l</w:t>
      </w:r>
      <w:r>
        <w:rPr>
          <w:w w:val="112"/>
        </w:rPr>
        <w:t>a</w:t>
      </w:r>
      <w:r>
        <w:rPr>
          <w:spacing w:val="12"/>
        </w:rPr>
        <w:t> </w:t>
      </w:r>
      <w:r>
        <w:rPr>
          <w:w w:val="149"/>
        </w:rPr>
        <w:t>o</w:t>
      </w:r>
      <w:r>
        <w:rPr>
          <w:w w:val="124"/>
        </w:rPr>
        <w:t>C</w:t>
      </w:r>
      <w:r>
        <w:rPr>
          <w:w w:val="139"/>
        </w:rPr>
        <w:t>d</w:t>
      </w:r>
      <w:r>
        <w:rPr>
          <w:w w:val="128"/>
        </w:rPr>
        <w:t>E</w:t>
      </w:r>
      <w:r>
        <w:rPr>
          <w:spacing w:val="12"/>
        </w:rPr>
        <w:t> </w:t>
      </w:r>
      <w:r>
        <w:rPr>
          <w:w w:val="109"/>
        </w:rPr>
        <w:t>señala</w:t>
      </w:r>
      <w:r>
        <w:rPr>
          <w:spacing w:val="12"/>
        </w:rPr>
        <w:t> </w:t>
      </w:r>
      <w:r>
        <w:rPr>
          <w:w w:val="109"/>
        </w:rPr>
        <w:t>altas</w:t>
      </w:r>
      <w:r>
        <w:rPr>
          <w:spacing w:val="12"/>
        </w:rPr>
        <w:t> </w:t>
      </w:r>
      <w:r>
        <w:rPr>
          <w:w w:val="109"/>
        </w:rPr>
        <w:t>desigualdades</w:t>
      </w:r>
      <w:r>
        <w:rPr>
          <w:spacing w:val="12"/>
        </w:rPr>
        <w:t> </w:t>
      </w:r>
      <w:r>
        <w:rPr>
          <w:w w:val="107"/>
        </w:rPr>
        <w:t>de </w:t>
      </w:r>
      <w:r>
        <w:rPr>
          <w:w w:val="120"/>
        </w:rPr>
        <w:t>ingreso</w:t>
      </w:r>
      <w:r>
        <w:rPr>
          <w:spacing w:val="-26"/>
          <w:w w:val="120"/>
        </w:rPr>
        <w:t> </w:t>
      </w:r>
      <w:r>
        <w:rPr>
          <w:w w:val="120"/>
        </w:rPr>
        <w:t>en</w:t>
      </w:r>
      <w:r>
        <w:rPr>
          <w:spacing w:val="-26"/>
          <w:w w:val="120"/>
        </w:rPr>
        <w:t> </w:t>
      </w:r>
      <w:r>
        <w:rPr>
          <w:w w:val="120"/>
        </w:rPr>
        <w:t>Estados</w:t>
      </w:r>
      <w:r>
        <w:rPr>
          <w:spacing w:val="-26"/>
          <w:w w:val="120"/>
        </w:rPr>
        <w:t> </w:t>
      </w:r>
      <w:r>
        <w:rPr>
          <w:w w:val="120"/>
        </w:rPr>
        <w:t>unidos”,</w:t>
      </w:r>
      <w:r>
        <w:rPr>
          <w:spacing w:val="-26"/>
          <w:w w:val="120"/>
        </w:rPr>
        <w:t> </w:t>
      </w:r>
      <w:r>
        <w:rPr>
          <w:w w:val="120"/>
        </w:rPr>
        <w:t>en</w:t>
      </w:r>
      <w:r>
        <w:rPr>
          <w:spacing w:val="-26"/>
          <w:w w:val="120"/>
        </w:rPr>
        <w:t> </w:t>
      </w:r>
      <w:r>
        <w:rPr>
          <w:i/>
          <w:w w:val="120"/>
        </w:rPr>
        <w:t>El</w:t>
      </w:r>
      <w:r>
        <w:rPr>
          <w:i/>
          <w:spacing w:val="-26"/>
          <w:w w:val="120"/>
        </w:rPr>
        <w:t> </w:t>
      </w:r>
      <w:r>
        <w:rPr>
          <w:i/>
          <w:w w:val="120"/>
        </w:rPr>
        <w:t>Universal</w:t>
      </w:r>
      <w:r>
        <w:rPr>
          <w:w w:val="120"/>
        </w:rPr>
        <w:t>,</w:t>
      </w:r>
      <w:r>
        <w:rPr>
          <w:spacing w:val="-26"/>
          <w:w w:val="120"/>
        </w:rPr>
        <w:t> </w:t>
      </w:r>
      <w:r>
        <w:rPr>
          <w:w w:val="120"/>
        </w:rPr>
        <w:t>México</w:t>
      </w:r>
      <w:r>
        <w:rPr>
          <w:spacing w:val="-26"/>
          <w:w w:val="120"/>
        </w:rPr>
        <w:t> </w:t>
      </w:r>
      <w:r>
        <w:rPr>
          <w:spacing w:val="-5"/>
          <w:w w:val="120"/>
        </w:rPr>
        <w:t>d.F.,</w:t>
      </w:r>
      <w:r>
        <w:rPr>
          <w:spacing w:val="-26"/>
          <w:w w:val="120"/>
        </w:rPr>
        <w:t> </w:t>
      </w:r>
      <w:r>
        <w:rPr>
          <w:w w:val="120"/>
        </w:rPr>
        <w:t>13</w:t>
      </w:r>
      <w:r>
        <w:rPr>
          <w:spacing w:val="-26"/>
          <w:w w:val="120"/>
        </w:rPr>
        <w:t> </w:t>
      </w:r>
      <w:r>
        <w:rPr>
          <w:w w:val="120"/>
        </w:rPr>
        <w:t>de junio.</w:t>
      </w:r>
    </w:p>
    <w:p>
      <w:pPr>
        <w:pStyle w:val="BodyText"/>
        <w:spacing w:line="252" w:lineRule="auto" w:before="28"/>
        <w:ind w:left="727" w:right="178" w:hanging="397"/>
      </w:pPr>
      <w:r>
        <w:rPr>
          <w:w w:val="110"/>
        </w:rPr>
        <w:t>HarVEY, david  2013  “El  neoliberalismo  como  ‘proyecto  de  clase’”, en </w:t>
      </w:r>
      <w:r>
        <w:rPr>
          <w:i/>
          <w:w w:val="110"/>
        </w:rPr>
        <w:t>Viento Sur</w:t>
      </w:r>
      <w:r>
        <w:rPr>
          <w:w w:val="110"/>
        </w:rPr>
        <w:t>, entrevista con Elasa boulet, 8 de abril, en &lt;http:// </w:t>
      </w:r>
      <w:hyperlink r:id="rId234">
        <w:r>
          <w:rPr>
            <w:w w:val="110"/>
          </w:rPr>
          <w:t>www.vientosur.info/spip.php?article7843&gt;</w:t>
        </w:r>
      </w:hyperlink>
      <w:r>
        <w:rPr>
          <w:w w:val="110"/>
        </w:rPr>
        <w:t> acceso octubre de 2014.</w:t>
      </w:r>
    </w:p>
    <w:p>
      <w:pPr>
        <w:spacing w:line="252" w:lineRule="auto" w:before="28"/>
        <w:ind w:left="727" w:right="42" w:hanging="397"/>
        <w:jc w:val="left"/>
        <w:rPr>
          <w:sz w:val="19"/>
        </w:rPr>
      </w:pPr>
      <w:r>
        <w:rPr>
          <w:w w:val="120"/>
          <w:sz w:val="19"/>
        </w:rPr>
        <w:t>GordoN, david M.; richard Edwards y Michael reich 1986 </w:t>
      </w:r>
      <w:r>
        <w:rPr>
          <w:i/>
          <w:spacing w:val="-4"/>
          <w:w w:val="120"/>
          <w:sz w:val="19"/>
        </w:rPr>
        <w:t>Trabajo </w:t>
      </w:r>
      <w:r>
        <w:rPr>
          <w:i/>
          <w:w w:val="120"/>
          <w:sz w:val="19"/>
        </w:rPr>
        <w:t>segmentado, trabajo dividido. La transformación histórica del trabajo en Estados Unidos </w:t>
      </w:r>
      <w:r>
        <w:rPr>
          <w:w w:val="120"/>
          <w:sz w:val="19"/>
        </w:rPr>
        <w:t>(Madrid: Ministerio de </w:t>
      </w:r>
      <w:r>
        <w:rPr>
          <w:spacing w:val="-3"/>
          <w:w w:val="120"/>
          <w:sz w:val="19"/>
        </w:rPr>
        <w:t>trabajo </w:t>
      </w:r>
      <w:r>
        <w:rPr>
          <w:w w:val="120"/>
          <w:sz w:val="19"/>
        </w:rPr>
        <w:t>y </w:t>
      </w:r>
      <w:r>
        <w:rPr>
          <w:w w:val="115"/>
          <w:sz w:val="19"/>
        </w:rPr>
        <w:t>seguridad social).</w:t>
      </w:r>
    </w:p>
    <w:p>
      <w:pPr>
        <w:pStyle w:val="BodyText"/>
        <w:spacing w:line="252" w:lineRule="auto" w:before="28"/>
        <w:ind w:left="727" w:right="152" w:hanging="397"/>
      </w:pPr>
      <w:r>
        <w:rPr>
          <w:w w:val="120"/>
        </w:rPr>
        <w:t>HiNoJosa,</w:t>
      </w:r>
      <w:r>
        <w:rPr>
          <w:spacing w:val="-22"/>
          <w:w w:val="120"/>
        </w:rPr>
        <w:t> </w:t>
      </w:r>
      <w:r>
        <w:rPr>
          <w:w w:val="120"/>
        </w:rPr>
        <w:t>rolando</w:t>
      </w:r>
      <w:r>
        <w:rPr>
          <w:spacing w:val="-22"/>
          <w:w w:val="120"/>
        </w:rPr>
        <w:t> </w:t>
      </w:r>
      <w:r>
        <w:rPr>
          <w:w w:val="120"/>
        </w:rPr>
        <w:t>2013</w:t>
      </w:r>
      <w:r>
        <w:rPr>
          <w:spacing w:val="-22"/>
          <w:w w:val="120"/>
        </w:rPr>
        <w:t> </w:t>
      </w:r>
      <w:r>
        <w:rPr>
          <w:w w:val="120"/>
        </w:rPr>
        <w:t>“ingreso</w:t>
      </w:r>
      <w:r>
        <w:rPr>
          <w:spacing w:val="-22"/>
          <w:w w:val="120"/>
        </w:rPr>
        <w:t> </w:t>
      </w:r>
      <w:r>
        <w:rPr>
          <w:w w:val="120"/>
        </w:rPr>
        <w:t>de</w:t>
      </w:r>
      <w:r>
        <w:rPr>
          <w:spacing w:val="-22"/>
          <w:w w:val="120"/>
        </w:rPr>
        <w:t> </w:t>
      </w:r>
      <w:r>
        <w:rPr>
          <w:w w:val="120"/>
        </w:rPr>
        <w:t>ricos,</w:t>
      </w:r>
      <w:r>
        <w:rPr>
          <w:spacing w:val="-22"/>
          <w:w w:val="120"/>
        </w:rPr>
        <w:t> </w:t>
      </w:r>
      <w:r>
        <w:rPr>
          <w:w w:val="120"/>
        </w:rPr>
        <w:t>en</w:t>
      </w:r>
      <w:r>
        <w:rPr>
          <w:spacing w:val="-22"/>
          <w:w w:val="120"/>
        </w:rPr>
        <w:t> </w:t>
      </w:r>
      <w:r>
        <w:rPr>
          <w:w w:val="120"/>
        </w:rPr>
        <w:t>ascenso”,</w:t>
      </w:r>
      <w:r>
        <w:rPr>
          <w:spacing w:val="-22"/>
          <w:w w:val="120"/>
        </w:rPr>
        <w:t> </w:t>
      </w:r>
      <w:r>
        <w:rPr>
          <w:w w:val="120"/>
        </w:rPr>
        <w:t>en</w:t>
      </w:r>
      <w:r>
        <w:rPr>
          <w:spacing w:val="-22"/>
          <w:w w:val="120"/>
        </w:rPr>
        <w:t> </w:t>
      </w:r>
      <w:r>
        <w:rPr>
          <w:i/>
          <w:w w:val="120"/>
        </w:rPr>
        <w:t>Reporte </w:t>
      </w:r>
      <w:r>
        <w:rPr>
          <w:i/>
          <w:w w:val="120"/>
        </w:rPr>
        <w:t>Índigo</w:t>
      </w:r>
      <w:r>
        <w:rPr>
          <w:w w:val="120"/>
        </w:rPr>
        <w:t>,</w:t>
      </w:r>
      <w:r>
        <w:rPr>
          <w:spacing w:val="-27"/>
          <w:w w:val="120"/>
        </w:rPr>
        <w:t> </w:t>
      </w:r>
      <w:r>
        <w:rPr>
          <w:w w:val="120"/>
        </w:rPr>
        <w:t>universidad</w:t>
      </w:r>
      <w:r>
        <w:rPr>
          <w:spacing w:val="-27"/>
          <w:w w:val="120"/>
        </w:rPr>
        <w:t> </w:t>
      </w:r>
      <w:r>
        <w:rPr>
          <w:w w:val="120"/>
        </w:rPr>
        <w:t>autónoma</w:t>
      </w:r>
      <w:r>
        <w:rPr>
          <w:spacing w:val="-27"/>
          <w:w w:val="120"/>
        </w:rPr>
        <w:t> </w:t>
      </w:r>
      <w:r>
        <w:rPr>
          <w:w w:val="120"/>
        </w:rPr>
        <w:t>Metropolitana,</w:t>
      </w:r>
      <w:r>
        <w:rPr>
          <w:spacing w:val="-27"/>
          <w:w w:val="120"/>
        </w:rPr>
        <w:t> </w:t>
      </w:r>
      <w:r>
        <w:rPr>
          <w:w w:val="120"/>
        </w:rPr>
        <w:t>México</w:t>
      </w:r>
      <w:r>
        <w:rPr>
          <w:spacing w:val="-27"/>
          <w:w w:val="120"/>
        </w:rPr>
        <w:t> </w:t>
      </w:r>
      <w:r>
        <w:rPr>
          <w:spacing w:val="-5"/>
          <w:w w:val="120"/>
        </w:rPr>
        <w:t>d.F.,</w:t>
      </w:r>
      <w:r>
        <w:rPr>
          <w:spacing w:val="-27"/>
          <w:w w:val="120"/>
        </w:rPr>
        <w:t> </w:t>
      </w:r>
      <w:r>
        <w:rPr>
          <w:w w:val="120"/>
        </w:rPr>
        <w:t>12 </w:t>
      </w:r>
      <w:r>
        <w:rPr>
          <w:w w:val="110"/>
        </w:rPr>
        <w:t>de</w:t>
      </w:r>
      <w:r>
        <w:rPr>
          <w:spacing w:val="-4"/>
          <w:w w:val="110"/>
        </w:rPr>
        <w:t> </w:t>
      </w:r>
      <w:r>
        <w:rPr>
          <w:w w:val="110"/>
        </w:rPr>
        <w:t>septiembre.</w:t>
      </w:r>
    </w:p>
    <w:p>
      <w:pPr>
        <w:pStyle w:val="BodyText"/>
        <w:spacing w:line="252" w:lineRule="auto" w:before="28"/>
        <w:ind w:left="727" w:right="44" w:hanging="397"/>
      </w:pPr>
      <w:r>
        <w:rPr>
          <w:w w:val="127"/>
        </w:rPr>
        <w:t>KE</w:t>
      </w:r>
      <w:r>
        <w:rPr>
          <w:w w:val="149"/>
        </w:rPr>
        <w:t>ss</w:t>
      </w:r>
      <w:r>
        <w:rPr>
          <w:w w:val="128"/>
        </w:rPr>
        <w:t>E</w:t>
      </w:r>
      <w:r>
        <w:rPr>
          <w:w w:val="243"/>
        </w:rPr>
        <w:t>l</w:t>
      </w:r>
      <w:r>
        <w:rPr>
          <w:w w:val="120"/>
        </w:rPr>
        <w:t>M</w:t>
      </w:r>
      <w:r>
        <w:rPr>
          <w:w w:val="139"/>
        </w:rPr>
        <w:t>a</w:t>
      </w:r>
      <w:r>
        <w:rPr>
          <w:w w:val="123"/>
        </w:rPr>
        <w:t>N,</w:t>
      </w:r>
      <w:r>
        <w:rPr/>
        <w:t> </w:t>
      </w:r>
      <w:r>
        <w:rPr>
          <w:w w:val="139"/>
        </w:rPr>
        <w:t>d</w:t>
      </w:r>
      <w:r>
        <w:rPr>
          <w:w w:val="111"/>
        </w:rPr>
        <w:t>onna</w:t>
      </w:r>
      <w:r>
        <w:rPr/>
        <w:t> </w:t>
      </w:r>
      <w:r>
        <w:rPr>
          <w:w w:val="102"/>
        </w:rPr>
        <w:t>2010</w:t>
      </w:r>
      <w:r>
        <w:rPr/>
        <w:t> </w:t>
      </w:r>
      <w:r>
        <w:rPr>
          <w:w w:val="115"/>
        </w:rPr>
        <w:t>“</w:t>
      </w:r>
      <w:r>
        <w:rPr>
          <w:w w:val="195"/>
        </w:rPr>
        <w:t>t</w:t>
      </w:r>
      <w:r>
        <w:rPr>
          <w:w w:val="110"/>
        </w:rPr>
        <w:t>rabalho</w:t>
      </w:r>
      <w:r>
        <w:rPr/>
        <w:t> </w:t>
      </w:r>
      <w:r>
        <w:rPr>
          <w:w w:val="109"/>
        </w:rPr>
        <w:t>precário</w:t>
      </w:r>
      <w:r>
        <w:rPr/>
        <w:t> </w:t>
      </w:r>
      <w:r>
        <w:rPr>
          <w:w w:val="104"/>
        </w:rPr>
        <w:t>e</w:t>
      </w:r>
      <w:r>
        <w:rPr/>
        <w:t> </w:t>
      </w:r>
      <w:r>
        <w:rPr>
          <w:w w:val="110"/>
        </w:rPr>
        <w:t>precarização </w:t>
      </w:r>
      <w:r>
        <w:rPr>
          <w:w w:val="115"/>
        </w:rPr>
        <w:t>institucional nos Estados unidos”, en </w:t>
      </w:r>
      <w:r>
        <w:rPr>
          <w:i/>
          <w:w w:val="115"/>
        </w:rPr>
        <w:t>Sociologias</w:t>
      </w:r>
      <w:r>
        <w:rPr>
          <w:w w:val="115"/>
        </w:rPr>
        <w:t>, ano 12, Nº 25, </w:t>
      </w:r>
      <w:r>
        <w:rPr>
          <w:w w:val="110"/>
        </w:rPr>
        <w:t>Porto alegre, set./dez.</w:t>
      </w:r>
    </w:p>
    <w:p>
      <w:pPr>
        <w:pStyle w:val="BodyText"/>
        <w:spacing w:line="252" w:lineRule="auto" w:before="28"/>
        <w:ind w:left="727" w:right="194" w:hanging="397"/>
      </w:pPr>
      <w:r>
        <w:rPr>
          <w:w w:val="126"/>
        </w:rPr>
        <w:t>K</w:t>
      </w:r>
      <w:r>
        <w:rPr>
          <w:w w:val="192"/>
        </w:rPr>
        <w:t>li</w:t>
      </w:r>
      <w:r>
        <w:rPr>
          <w:w w:val="120"/>
        </w:rPr>
        <w:t>M</w:t>
      </w:r>
      <w:r>
        <w:rPr>
          <w:w w:val="139"/>
        </w:rPr>
        <w:t>a</w:t>
      </w:r>
      <w:r>
        <w:rPr>
          <w:w w:val="123"/>
        </w:rPr>
        <w:t>N,</w:t>
      </w:r>
      <w:r>
        <w:rPr/>
        <w:t> </w:t>
      </w:r>
      <w:r>
        <w:rPr>
          <w:w w:val="139"/>
        </w:rPr>
        <w:t>a</w:t>
      </w:r>
      <w:r>
        <w:rPr>
          <w:w w:val="107"/>
        </w:rPr>
        <w:t>ndrew</w:t>
      </w:r>
      <w:r>
        <w:rPr/>
        <w:t> </w:t>
      </w:r>
      <w:r>
        <w:rPr>
          <w:w w:val="102"/>
        </w:rPr>
        <w:t>2013</w:t>
      </w:r>
      <w:r>
        <w:rPr/>
        <w:t> </w:t>
      </w:r>
      <w:r>
        <w:rPr>
          <w:w w:val="115"/>
        </w:rPr>
        <w:t>“</w:t>
      </w:r>
      <w:r>
        <w:rPr>
          <w:w w:val="243"/>
        </w:rPr>
        <w:t>l</w:t>
      </w:r>
      <w:r>
        <w:rPr>
          <w:w w:val="112"/>
        </w:rPr>
        <w:t>a</w:t>
      </w:r>
      <w:r>
        <w:rPr/>
        <w:t> </w:t>
      </w:r>
      <w:r>
        <w:rPr>
          <w:w w:val="112"/>
        </w:rPr>
        <w:t>caída</w:t>
      </w:r>
      <w:r>
        <w:rPr/>
        <w:t> </w:t>
      </w:r>
      <w:r>
        <w:rPr>
          <w:w w:val="107"/>
        </w:rPr>
        <w:t>de</w:t>
      </w:r>
      <w:r>
        <w:rPr/>
        <w:t> </w:t>
      </w:r>
      <w:r>
        <w:rPr>
          <w:w w:val="111"/>
        </w:rPr>
        <w:t>la</w:t>
      </w:r>
      <w:r>
        <w:rPr/>
        <w:t> </w:t>
      </w:r>
      <w:r>
        <w:rPr>
          <w:w w:val="109"/>
        </w:rPr>
        <w:t>tasa</w:t>
      </w:r>
      <w:r>
        <w:rPr/>
        <w:t> </w:t>
      </w:r>
      <w:r>
        <w:rPr>
          <w:w w:val="107"/>
        </w:rPr>
        <w:t>de</w:t>
      </w:r>
      <w:r>
        <w:rPr/>
        <w:t> </w:t>
      </w:r>
      <w:r>
        <w:rPr>
          <w:w w:val="112"/>
        </w:rPr>
        <w:t>ganancia</w:t>
      </w:r>
      <w:r>
        <w:rPr/>
        <w:t> </w:t>
      </w:r>
      <w:r>
        <w:rPr>
          <w:w w:val="105"/>
        </w:rPr>
        <w:t>y</w:t>
      </w:r>
      <w:r>
        <w:rPr/>
        <w:t> </w:t>
      </w:r>
      <w:r>
        <w:rPr>
          <w:w w:val="107"/>
        </w:rPr>
        <w:t>el</w:t>
      </w:r>
      <w:r>
        <w:rPr/>
        <w:t> </w:t>
      </w:r>
      <w:r>
        <w:rPr>
          <w:w w:val="111"/>
        </w:rPr>
        <w:t>fracaso </w:t>
      </w:r>
      <w:r>
        <w:rPr>
          <w:w w:val="115"/>
        </w:rPr>
        <w:t>de la producción capitalista”, en </w:t>
      </w:r>
      <w:r>
        <w:rPr>
          <w:i/>
          <w:w w:val="115"/>
        </w:rPr>
        <w:t>La Haine</w:t>
      </w:r>
      <w:r>
        <w:rPr>
          <w:w w:val="115"/>
        </w:rPr>
        <w:t>, en </w:t>
      </w:r>
      <w:hyperlink r:id="rId139">
        <w:r>
          <w:rPr>
            <w:w w:val="115"/>
          </w:rPr>
          <w:t>&lt;http://www</w:t>
        </w:r>
      </w:hyperlink>
      <w:r>
        <w:rPr>
          <w:w w:val="115"/>
        </w:rPr>
        <w:t>. lahaine.org/index.php?blog=3&amp;p=38530&gt; acceso octubre de 2014.</w:t>
      </w:r>
    </w:p>
    <w:p>
      <w:pPr>
        <w:pStyle w:val="BodyText"/>
        <w:spacing w:before="28"/>
        <w:ind w:left="330"/>
      </w:pPr>
      <w:r>
        <w:rPr>
          <w:w w:val="120"/>
        </w:rPr>
        <w:t>M</w:t>
      </w:r>
      <w:r>
        <w:rPr>
          <w:w w:val="159"/>
        </w:rPr>
        <w:t>ors</w:t>
      </w:r>
      <w:r>
        <w:rPr>
          <w:spacing w:val="-26"/>
          <w:w w:val="126"/>
        </w:rPr>
        <w:t>Y</w:t>
      </w:r>
      <w:r>
        <w:rPr>
          <w:w w:val="138"/>
        </w:rPr>
        <w:t>,</w:t>
      </w:r>
      <w:r>
        <w:rPr>
          <w:spacing w:val="12"/>
        </w:rPr>
        <w:t> </w:t>
      </w:r>
      <w:r>
        <w:rPr>
          <w:w w:val="114"/>
        </w:rPr>
        <w:t>Hanan</w:t>
      </w:r>
      <w:r>
        <w:rPr>
          <w:spacing w:val="12"/>
        </w:rPr>
        <w:t> </w:t>
      </w:r>
      <w:r>
        <w:rPr>
          <w:w w:val="102"/>
        </w:rPr>
        <w:t>2012</w:t>
      </w:r>
      <w:r>
        <w:rPr>
          <w:spacing w:val="12"/>
        </w:rPr>
        <w:t> </w:t>
      </w:r>
      <w:r>
        <w:rPr>
          <w:w w:val="115"/>
        </w:rPr>
        <w:t>“</w:t>
      </w:r>
      <w:r>
        <w:rPr>
          <w:w w:val="243"/>
        </w:rPr>
        <w:t>l</w:t>
      </w:r>
      <w:r>
        <w:rPr>
          <w:w w:val="108"/>
        </w:rPr>
        <w:t>os</w:t>
      </w:r>
      <w:r>
        <w:rPr>
          <w:spacing w:val="12"/>
        </w:rPr>
        <w:t> </w:t>
      </w:r>
      <w:r>
        <w:rPr>
          <w:w w:val="108"/>
        </w:rPr>
        <w:t>jóvenes,</w:t>
      </w:r>
      <w:r>
        <w:rPr>
          <w:spacing w:val="12"/>
        </w:rPr>
        <w:t> </w:t>
      </w:r>
      <w:r>
        <w:rPr>
          <w:w w:val="110"/>
        </w:rPr>
        <w:t>generación</w:t>
      </w:r>
      <w:r>
        <w:rPr>
          <w:spacing w:val="12"/>
        </w:rPr>
        <w:t> </w:t>
      </w:r>
      <w:r>
        <w:rPr>
          <w:w w:val="113"/>
        </w:rPr>
        <w:t>marcada”,</w:t>
      </w:r>
      <w:r>
        <w:rPr>
          <w:spacing w:val="12"/>
        </w:rPr>
        <w:t> </w:t>
      </w:r>
      <w:r>
        <w:rPr>
          <w:w w:val="108"/>
        </w:rPr>
        <w:t>en</w:t>
      </w:r>
    </w:p>
    <w:p>
      <w:pPr>
        <w:pStyle w:val="BodyText"/>
        <w:spacing w:line="283" w:lineRule="auto" w:before="11"/>
        <w:ind w:left="330" w:right="339" w:firstLine="396"/>
      </w:pPr>
      <w:r>
        <w:rPr>
          <w:i/>
          <w:w w:val="115"/>
        </w:rPr>
        <w:t>Finanzas</w:t>
      </w:r>
      <w:r>
        <w:rPr>
          <w:i/>
          <w:spacing w:val="-19"/>
          <w:w w:val="115"/>
        </w:rPr>
        <w:t> </w:t>
      </w:r>
      <w:r>
        <w:rPr>
          <w:i/>
          <w:w w:val="115"/>
        </w:rPr>
        <w:t>y</w:t>
      </w:r>
      <w:r>
        <w:rPr>
          <w:i/>
          <w:spacing w:val="-19"/>
          <w:w w:val="115"/>
        </w:rPr>
        <w:t> </w:t>
      </w:r>
      <w:r>
        <w:rPr>
          <w:i/>
          <w:w w:val="115"/>
        </w:rPr>
        <w:t>Desarrollo</w:t>
      </w:r>
      <w:r>
        <w:rPr>
          <w:w w:val="115"/>
        </w:rPr>
        <w:t>,</w:t>
      </w:r>
      <w:r>
        <w:rPr>
          <w:spacing w:val="-19"/>
          <w:w w:val="115"/>
        </w:rPr>
        <w:t> </w:t>
      </w:r>
      <w:r>
        <w:rPr>
          <w:w w:val="115"/>
        </w:rPr>
        <w:t>Fondo</w:t>
      </w:r>
      <w:r>
        <w:rPr>
          <w:spacing w:val="-19"/>
          <w:w w:val="115"/>
        </w:rPr>
        <w:t> </w:t>
      </w:r>
      <w:r>
        <w:rPr>
          <w:w w:val="115"/>
        </w:rPr>
        <w:t>Monetario</w:t>
      </w:r>
      <w:r>
        <w:rPr>
          <w:spacing w:val="-19"/>
          <w:w w:val="115"/>
        </w:rPr>
        <w:t> </w:t>
      </w:r>
      <w:r>
        <w:rPr>
          <w:w w:val="115"/>
        </w:rPr>
        <w:t>internacional,</w:t>
      </w:r>
      <w:r>
        <w:rPr>
          <w:spacing w:val="-19"/>
          <w:w w:val="115"/>
        </w:rPr>
        <w:t> </w:t>
      </w:r>
      <w:r>
        <w:rPr>
          <w:w w:val="115"/>
        </w:rPr>
        <w:t>marzo. oECd</w:t>
      </w:r>
      <w:r>
        <w:rPr>
          <w:spacing w:val="-9"/>
          <w:w w:val="115"/>
        </w:rPr>
        <w:t> </w:t>
      </w:r>
      <w:r>
        <w:rPr>
          <w:w w:val="115"/>
        </w:rPr>
        <w:t>2005</w:t>
      </w:r>
      <w:r>
        <w:rPr>
          <w:spacing w:val="-9"/>
          <w:w w:val="115"/>
        </w:rPr>
        <w:t> </w:t>
      </w:r>
      <w:r>
        <w:rPr>
          <w:w w:val="115"/>
        </w:rPr>
        <w:t>“What</w:t>
      </w:r>
      <w:r>
        <w:rPr>
          <w:spacing w:val="-9"/>
          <w:w w:val="115"/>
        </w:rPr>
        <w:t> </w:t>
      </w:r>
      <w:r>
        <w:rPr>
          <w:w w:val="115"/>
        </w:rPr>
        <w:t>are</w:t>
      </w:r>
      <w:r>
        <w:rPr>
          <w:spacing w:val="-9"/>
          <w:w w:val="115"/>
        </w:rPr>
        <w:t> </w:t>
      </w:r>
      <w:r>
        <w:rPr>
          <w:w w:val="115"/>
        </w:rPr>
        <w:t>the</w:t>
      </w:r>
      <w:r>
        <w:rPr>
          <w:spacing w:val="-9"/>
          <w:w w:val="115"/>
        </w:rPr>
        <w:t> </w:t>
      </w:r>
      <w:r>
        <w:rPr>
          <w:w w:val="115"/>
        </w:rPr>
        <w:t>problems</w:t>
      </w:r>
      <w:r>
        <w:rPr>
          <w:spacing w:val="-9"/>
          <w:w w:val="115"/>
        </w:rPr>
        <w:t> </w:t>
      </w:r>
      <w:r>
        <w:rPr>
          <w:w w:val="115"/>
        </w:rPr>
        <w:t>in</w:t>
      </w:r>
      <w:r>
        <w:rPr>
          <w:spacing w:val="-9"/>
          <w:w w:val="115"/>
        </w:rPr>
        <w:t> </w:t>
      </w:r>
      <w:r>
        <w:rPr>
          <w:w w:val="115"/>
        </w:rPr>
        <w:t>the</w:t>
      </w:r>
      <w:r>
        <w:rPr>
          <w:spacing w:val="-9"/>
          <w:w w:val="115"/>
        </w:rPr>
        <w:t> </w:t>
      </w:r>
      <w:r>
        <w:rPr>
          <w:w w:val="115"/>
        </w:rPr>
        <w:t>labour</w:t>
      </w:r>
      <w:r>
        <w:rPr>
          <w:spacing w:val="-9"/>
          <w:w w:val="115"/>
        </w:rPr>
        <w:t> </w:t>
      </w:r>
      <w:r>
        <w:rPr>
          <w:w w:val="115"/>
        </w:rPr>
        <w:t>market?”,</w:t>
      </w:r>
      <w:r>
        <w:rPr>
          <w:spacing w:val="-9"/>
          <w:w w:val="115"/>
        </w:rPr>
        <w:t> </w:t>
      </w:r>
      <w:r>
        <w:rPr>
          <w:w w:val="115"/>
        </w:rPr>
        <w:t>en</w:t>
      </w:r>
    </w:p>
    <w:p>
      <w:pPr>
        <w:spacing w:line="194" w:lineRule="exact" w:before="0"/>
        <w:ind w:left="727" w:right="0" w:firstLine="0"/>
        <w:jc w:val="left"/>
        <w:rPr>
          <w:sz w:val="19"/>
        </w:rPr>
      </w:pPr>
      <w:r>
        <w:rPr>
          <w:i/>
          <w:w w:val="110"/>
          <w:sz w:val="19"/>
        </w:rPr>
        <w:t>Economic Survey of the United States 2005: Labour market   issues</w:t>
      </w:r>
      <w:r>
        <w:rPr>
          <w:w w:val="110"/>
          <w:sz w:val="19"/>
        </w:rPr>
        <w:t>,</w:t>
      </w:r>
    </w:p>
    <w:p>
      <w:pPr>
        <w:pStyle w:val="BodyText"/>
        <w:spacing w:line="252" w:lineRule="auto" w:before="11"/>
        <w:ind w:left="727" w:right="540"/>
      </w:pPr>
      <w:r>
        <w:rPr>
          <w:w w:val="115"/>
        </w:rPr>
        <w:t>organization for Economic Cooperation and development, oECd, 27 de octubre.</w:t>
      </w:r>
    </w:p>
    <w:p>
      <w:pPr>
        <w:spacing w:line="252" w:lineRule="auto" w:before="28"/>
        <w:ind w:left="727" w:right="419" w:hanging="397"/>
        <w:jc w:val="left"/>
        <w:rPr>
          <w:sz w:val="19"/>
        </w:rPr>
      </w:pPr>
      <w:r>
        <w:rPr>
          <w:spacing w:val="-6"/>
          <w:w w:val="145"/>
          <w:sz w:val="19"/>
        </w:rPr>
        <w:t>oit, </w:t>
      </w:r>
      <w:r>
        <w:rPr>
          <w:w w:val="125"/>
          <w:sz w:val="19"/>
        </w:rPr>
        <w:t>orGaNiZaCiÓN </w:t>
      </w:r>
      <w:r>
        <w:rPr>
          <w:w w:val="145"/>
          <w:sz w:val="19"/>
        </w:rPr>
        <w:t>iNtErNaCioNal dEl trabaJo </w:t>
      </w:r>
      <w:r>
        <w:rPr>
          <w:w w:val="125"/>
          <w:sz w:val="19"/>
        </w:rPr>
        <w:t>2012  </w:t>
      </w:r>
      <w:r>
        <w:rPr>
          <w:i/>
          <w:w w:val="115"/>
          <w:sz w:val="19"/>
        </w:rPr>
        <w:t>La</w:t>
      </w:r>
      <w:r>
        <w:rPr>
          <w:i/>
          <w:spacing w:val="-14"/>
          <w:w w:val="115"/>
          <w:sz w:val="19"/>
        </w:rPr>
        <w:t> </w:t>
      </w:r>
      <w:r>
        <w:rPr>
          <w:i/>
          <w:w w:val="115"/>
          <w:sz w:val="19"/>
        </w:rPr>
        <w:t>crisis</w:t>
      </w:r>
      <w:r>
        <w:rPr>
          <w:i/>
          <w:spacing w:val="-14"/>
          <w:w w:val="115"/>
          <w:sz w:val="19"/>
        </w:rPr>
        <w:t> </w:t>
      </w:r>
      <w:r>
        <w:rPr>
          <w:i/>
          <w:w w:val="115"/>
          <w:sz w:val="19"/>
        </w:rPr>
        <w:t>del</w:t>
      </w:r>
      <w:r>
        <w:rPr>
          <w:i/>
          <w:spacing w:val="-14"/>
          <w:w w:val="115"/>
          <w:sz w:val="19"/>
        </w:rPr>
        <w:t> </w:t>
      </w:r>
      <w:r>
        <w:rPr>
          <w:i/>
          <w:w w:val="115"/>
          <w:sz w:val="19"/>
        </w:rPr>
        <w:t>empleo</w:t>
      </w:r>
      <w:r>
        <w:rPr>
          <w:i/>
          <w:spacing w:val="-14"/>
          <w:w w:val="115"/>
          <w:sz w:val="19"/>
        </w:rPr>
        <w:t> </w:t>
      </w:r>
      <w:r>
        <w:rPr>
          <w:i/>
          <w:w w:val="115"/>
          <w:sz w:val="19"/>
        </w:rPr>
        <w:t>de</w:t>
      </w:r>
      <w:r>
        <w:rPr>
          <w:i/>
          <w:spacing w:val="-14"/>
          <w:w w:val="115"/>
          <w:sz w:val="19"/>
        </w:rPr>
        <w:t> </w:t>
      </w:r>
      <w:r>
        <w:rPr>
          <w:i/>
          <w:w w:val="115"/>
          <w:sz w:val="19"/>
        </w:rPr>
        <w:t>los</w:t>
      </w:r>
      <w:r>
        <w:rPr>
          <w:i/>
          <w:spacing w:val="-14"/>
          <w:w w:val="115"/>
          <w:sz w:val="19"/>
        </w:rPr>
        <w:t> </w:t>
      </w:r>
      <w:r>
        <w:rPr>
          <w:i/>
          <w:w w:val="115"/>
          <w:sz w:val="19"/>
        </w:rPr>
        <w:t>jóvenes:</w:t>
      </w:r>
      <w:r>
        <w:rPr>
          <w:i/>
          <w:spacing w:val="-14"/>
          <w:w w:val="115"/>
          <w:sz w:val="19"/>
        </w:rPr>
        <w:t> </w:t>
      </w:r>
      <w:r>
        <w:rPr>
          <w:i/>
          <w:w w:val="115"/>
          <w:sz w:val="19"/>
        </w:rPr>
        <w:t>¡Actuemos</w:t>
      </w:r>
      <w:r>
        <w:rPr>
          <w:i/>
          <w:spacing w:val="-14"/>
          <w:w w:val="115"/>
          <w:sz w:val="19"/>
        </w:rPr>
        <w:t> </w:t>
      </w:r>
      <w:r>
        <w:rPr>
          <w:i/>
          <w:w w:val="115"/>
          <w:sz w:val="19"/>
        </w:rPr>
        <w:t>ya!</w:t>
      </w:r>
      <w:r>
        <w:rPr>
          <w:w w:val="115"/>
          <w:sz w:val="19"/>
        </w:rPr>
        <w:t>,</w:t>
      </w:r>
      <w:r>
        <w:rPr>
          <w:spacing w:val="-14"/>
          <w:w w:val="115"/>
          <w:sz w:val="19"/>
        </w:rPr>
        <w:t> </w:t>
      </w:r>
      <w:r>
        <w:rPr>
          <w:w w:val="115"/>
          <w:sz w:val="19"/>
        </w:rPr>
        <w:t>Conferencia </w:t>
      </w:r>
      <w:r>
        <w:rPr>
          <w:w w:val="120"/>
          <w:sz w:val="19"/>
        </w:rPr>
        <w:t>internacional</w:t>
      </w:r>
      <w:r>
        <w:rPr>
          <w:spacing w:val="-20"/>
          <w:w w:val="120"/>
          <w:sz w:val="19"/>
        </w:rPr>
        <w:t> </w:t>
      </w:r>
      <w:r>
        <w:rPr>
          <w:w w:val="120"/>
          <w:sz w:val="19"/>
        </w:rPr>
        <w:t>del</w:t>
      </w:r>
      <w:r>
        <w:rPr>
          <w:spacing w:val="-20"/>
          <w:w w:val="120"/>
          <w:sz w:val="19"/>
        </w:rPr>
        <w:t> </w:t>
      </w:r>
      <w:r>
        <w:rPr>
          <w:spacing w:val="-3"/>
          <w:w w:val="120"/>
          <w:sz w:val="19"/>
        </w:rPr>
        <w:t>trabajo</w:t>
      </w:r>
      <w:r>
        <w:rPr>
          <w:spacing w:val="-20"/>
          <w:w w:val="120"/>
          <w:sz w:val="19"/>
        </w:rPr>
        <w:t> </w:t>
      </w:r>
      <w:r>
        <w:rPr>
          <w:w w:val="120"/>
          <w:sz w:val="19"/>
        </w:rPr>
        <w:t>(Ginebra:</w:t>
      </w:r>
      <w:r>
        <w:rPr>
          <w:spacing w:val="-20"/>
          <w:w w:val="120"/>
          <w:sz w:val="19"/>
        </w:rPr>
        <w:t> </w:t>
      </w:r>
      <w:r>
        <w:rPr>
          <w:w w:val="120"/>
          <w:sz w:val="19"/>
        </w:rPr>
        <w:t>oit).</w:t>
      </w:r>
    </w:p>
    <w:p>
      <w:pPr>
        <w:pStyle w:val="BodyText"/>
        <w:spacing w:line="252" w:lineRule="auto" w:before="28"/>
        <w:ind w:left="727" w:hanging="397"/>
      </w:pPr>
      <w:r>
        <w:rPr>
          <w:w w:val="145"/>
        </w:rPr>
        <w:t>oit, orGaNiZaCiÓN iNtErNaCioNal dEl trabaJo </w:t>
      </w:r>
      <w:r>
        <w:rPr>
          <w:w w:val="125"/>
        </w:rPr>
        <w:t>2015 </w:t>
      </w:r>
      <w:r>
        <w:rPr>
          <w:w w:val="115"/>
        </w:rPr>
        <w:t>“</w:t>
      </w:r>
      <w:r>
        <w:rPr>
          <w:w w:val="161"/>
        </w:rPr>
        <w:t>oit</w:t>
      </w:r>
      <w:r>
        <w:rPr>
          <w:w w:val="107"/>
        </w:rPr>
        <w:t>:</w:t>
      </w:r>
      <w:r>
        <w:rPr/>
        <w:t> </w:t>
      </w:r>
      <w:r>
        <w:rPr>
          <w:w w:val="139"/>
        </w:rPr>
        <w:t>d</w:t>
      </w:r>
      <w:r>
        <w:rPr>
          <w:w w:val="111"/>
        </w:rPr>
        <w:t>isminuyó</w:t>
      </w:r>
      <w:r>
        <w:rPr/>
        <w:t> </w:t>
      </w:r>
      <w:r>
        <w:rPr>
          <w:w w:val="110"/>
        </w:rPr>
        <w:t>desigualdad</w:t>
      </w:r>
      <w:r>
        <w:rPr/>
        <w:t> </w:t>
      </w:r>
      <w:r>
        <w:rPr>
          <w:w w:val="108"/>
        </w:rPr>
        <w:t>en</w:t>
      </w:r>
      <w:r>
        <w:rPr/>
        <w:t> </w:t>
      </w:r>
      <w:r>
        <w:rPr>
          <w:w w:val="139"/>
        </w:rPr>
        <w:t>a</w:t>
      </w:r>
      <w:r>
        <w:rPr>
          <w:w w:val="111"/>
        </w:rPr>
        <w:t>mérica</w:t>
      </w:r>
      <w:r>
        <w:rPr/>
        <w:t> </w:t>
      </w:r>
      <w:r>
        <w:rPr>
          <w:w w:val="243"/>
        </w:rPr>
        <w:t>l</w:t>
      </w:r>
      <w:r>
        <w:rPr>
          <w:w w:val="111"/>
        </w:rPr>
        <w:t>atina</w:t>
      </w:r>
      <w:r>
        <w:rPr/>
        <w:t> </w:t>
      </w:r>
      <w:r>
        <w:rPr>
          <w:w w:val="105"/>
        </w:rPr>
        <w:t>y</w:t>
      </w:r>
      <w:r>
        <w:rPr/>
        <w:t> </w:t>
      </w:r>
      <w:r>
        <w:rPr>
          <w:w w:val="108"/>
        </w:rPr>
        <w:t>empeoró</w:t>
      </w:r>
      <w:r>
        <w:rPr/>
        <w:t> </w:t>
      </w:r>
      <w:r>
        <w:rPr>
          <w:w w:val="108"/>
        </w:rPr>
        <w:t>en </w:t>
      </w:r>
      <w:r>
        <w:rPr>
          <w:w w:val="115"/>
        </w:rPr>
        <w:t>Estados unidos y Europa”, 24 de marzo.</w:t>
      </w:r>
    </w:p>
    <w:p>
      <w:pPr>
        <w:spacing w:line="252" w:lineRule="auto" w:before="28"/>
        <w:ind w:left="727" w:right="229" w:hanging="397"/>
        <w:jc w:val="left"/>
        <w:rPr>
          <w:sz w:val="19"/>
        </w:rPr>
      </w:pPr>
      <w:r>
        <w:rPr>
          <w:w w:val="125"/>
          <w:sz w:val="19"/>
        </w:rPr>
        <w:t>PiKEttY, </w:t>
      </w:r>
      <w:r>
        <w:rPr>
          <w:w w:val="115"/>
          <w:sz w:val="19"/>
        </w:rPr>
        <w:t>thomas 2014 </w:t>
      </w:r>
      <w:r>
        <w:rPr>
          <w:i/>
          <w:w w:val="115"/>
          <w:sz w:val="19"/>
        </w:rPr>
        <w:t>El capital en el siglo XXI </w:t>
      </w:r>
      <w:r>
        <w:rPr>
          <w:w w:val="115"/>
          <w:sz w:val="19"/>
        </w:rPr>
        <w:t>(México: Fondo de Cultura Económica).</w:t>
      </w:r>
    </w:p>
    <w:p>
      <w:pPr>
        <w:spacing w:line="252" w:lineRule="auto" w:before="28"/>
        <w:ind w:left="727" w:right="0" w:hanging="397"/>
        <w:jc w:val="left"/>
        <w:rPr>
          <w:sz w:val="19"/>
        </w:rPr>
      </w:pPr>
      <w:r>
        <w:rPr>
          <w:w w:val="125"/>
          <w:sz w:val="19"/>
        </w:rPr>
        <w:t>PiorE, </w:t>
      </w:r>
      <w:r>
        <w:rPr>
          <w:w w:val="115"/>
          <w:sz w:val="19"/>
        </w:rPr>
        <w:t>Michael </w:t>
      </w:r>
      <w:r>
        <w:rPr>
          <w:w w:val="125"/>
          <w:sz w:val="19"/>
        </w:rPr>
        <w:t>J. </w:t>
      </w:r>
      <w:r>
        <w:rPr>
          <w:w w:val="115"/>
          <w:sz w:val="19"/>
        </w:rPr>
        <w:t>1983 </w:t>
      </w:r>
      <w:r>
        <w:rPr>
          <w:i/>
          <w:w w:val="115"/>
          <w:sz w:val="19"/>
        </w:rPr>
        <w:t>El dualismo como respuesta al cambio y a la </w:t>
      </w:r>
      <w:r>
        <w:rPr>
          <w:i/>
          <w:w w:val="110"/>
          <w:sz w:val="19"/>
        </w:rPr>
        <w:t>incertidumbre  </w:t>
      </w:r>
      <w:r>
        <w:rPr>
          <w:w w:val="110"/>
          <w:sz w:val="19"/>
        </w:rPr>
        <w:t>(Madrid: toharia).</w:t>
      </w:r>
    </w:p>
    <w:p>
      <w:pPr>
        <w:pStyle w:val="BodyText"/>
        <w:spacing w:before="28"/>
        <w:ind w:left="331"/>
      </w:pPr>
      <w:r>
        <w:rPr>
          <w:w w:val="130"/>
        </w:rPr>
        <w:t>ribEiro, </w:t>
      </w:r>
      <w:r>
        <w:rPr>
          <w:w w:val="115"/>
        </w:rPr>
        <w:t>silvia 2015 “desigualdad global y devastación”, en</w:t>
      </w:r>
    </w:p>
    <w:p>
      <w:pPr>
        <w:spacing w:before="11"/>
        <w:ind w:left="728" w:right="0" w:firstLine="0"/>
        <w:jc w:val="left"/>
        <w:rPr>
          <w:sz w:val="19"/>
        </w:rPr>
      </w:pPr>
      <w:r>
        <w:rPr>
          <w:i/>
          <w:w w:val="115"/>
          <w:sz w:val="19"/>
        </w:rPr>
        <w:t>Servicio Informativo “ALAI-AmLatina”</w:t>
      </w:r>
      <w:r>
        <w:rPr>
          <w:w w:val="115"/>
          <w:sz w:val="19"/>
        </w:rPr>
        <w:t>, Quito, 13 de enero.</w:t>
      </w:r>
    </w:p>
    <w:p>
      <w:pPr>
        <w:spacing w:after="0"/>
        <w:jc w:val="left"/>
        <w:rPr>
          <w:sz w:val="19"/>
        </w:rPr>
        <w:sectPr>
          <w:footerReference w:type="default" r:id="rId232"/>
          <w:footerReference w:type="even" r:id="rId233"/>
          <w:pgSz w:w="8790" w:h="12760"/>
          <w:pgMar w:footer="725" w:header="695" w:top="880" w:bottom="920" w:left="1200" w:right="920"/>
        </w:sectPr>
      </w:pPr>
    </w:p>
    <w:p>
      <w:pPr>
        <w:pStyle w:val="BodyText"/>
        <w:spacing w:before="9"/>
        <w:rPr>
          <w:sz w:val="28"/>
        </w:rPr>
      </w:pPr>
    </w:p>
    <w:p>
      <w:pPr>
        <w:spacing w:line="252" w:lineRule="auto" w:before="73"/>
        <w:ind w:left="497" w:right="548" w:hanging="397"/>
        <w:jc w:val="left"/>
        <w:rPr>
          <w:sz w:val="19"/>
        </w:rPr>
      </w:pPr>
      <w:r>
        <w:rPr>
          <w:w w:val="120"/>
          <w:sz w:val="19"/>
        </w:rPr>
        <w:t>riFKiN,</w:t>
      </w:r>
      <w:r>
        <w:rPr>
          <w:spacing w:val="-28"/>
          <w:w w:val="120"/>
          <w:sz w:val="19"/>
        </w:rPr>
        <w:t> </w:t>
      </w:r>
      <w:r>
        <w:rPr>
          <w:w w:val="120"/>
          <w:sz w:val="19"/>
        </w:rPr>
        <w:t>Jeremy</w:t>
      </w:r>
      <w:r>
        <w:rPr>
          <w:spacing w:val="-28"/>
          <w:w w:val="120"/>
          <w:sz w:val="19"/>
        </w:rPr>
        <w:t> </w:t>
      </w:r>
      <w:r>
        <w:rPr>
          <w:w w:val="120"/>
          <w:sz w:val="19"/>
        </w:rPr>
        <w:t>2004</w:t>
      </w:r>
      <w:r>
        <w:rPr>
          <w:spacing w:val="-28"/>
          <w:w w:val="120"/>
          <w:sz w:val="19"/>
        </w:rPr>
        <w:t> </w:t>
      </w:r>
      <w:r>
        <w:rPr>
          <w:i/>
          <w:w w:val="120"/>
          <w:sz w:val="19"/>
        </w:rPr>
        <w:t>El</w:t>
      </w:r>
      <w:r>
        <w:rPr>
          <w:i/>
          <w:spacing w:val="-28"/>
          <w:w w:val="120"/>
          <w:sz w:val="19"/>
        </w:rPr>
        <w:t> </w:t>
      </w:r>
      <w:r>
        <w:rPr>
          <w:i/>
          <w:w w:val="120"/>
          <w:sz w:val="19"/>
        </w:rPr>
        <w:t>sueño</w:t>
      </w:r>
      <w:r>
        <w:rPr>
          <w:i/>
          <w:spacing w:val="-28"/>
          <w:w w:val="120"/>
          <w:sz w:val="19"/>
        </w:rPr>
        <w:t> </w:t>
      </w:r>
      <w:r>
        <w:rPr>
          <w:i/>
          <w:w w:val="120"/>
          <w:sz w:val="19"/>
        </w:rPr>
        <w:t>europeo.</w:t>
      </w:r>
      <w:r>
        <w:rPr>
          <w:i/>
          <w:spacing w:val="-28"/>
          <w:w w:val="120"/>
          <w:sz w:val="19"/>
        </w:rPr>
        <w:t> </w:t>
      </w:r>
      <w:r>
        <w:rPr>
          <w:i/>
          <w:w w:val="120"/>
          <w:sz w:val="19"/>
        </w:rPr>
        <w:t>Cómo</w:t>
      </w:r>
      <w:r>
        <w:rPr>
          <w:i/>
          <w:spacing w:val="-28"/>
          <w:w w:val="120"/>
          <w:sz w:val="19"/>
        </w:rPr>
        <w:t> </w:t>
      </w:r>
      <w:r>
        <w:rPr>
          <w:i/>
          <w:w w:val="120"/>
          <w:sz w:val="19"/>
        </w:rPr>
        <w:t>la</w:t>
      </w:r>
      <w:r>
        <w:rPr>
          <w:i/>
          <w:spacing w:val="-28"/>
          <w:w w:val="120"/>
          <w:sz w:val="19"/>
        </w:rPr>
        <w:t> </w:t>
      </w:r>
      <w:r>
        <w:rPr>
          <w:i/>
          <w:w w:val="120"/>
          <w:sz w:val="19"/>
        </w:rPr>
        <w:t>visión</w:t>
      </w:r>
      <w:r>
        <w:rPr>
          <w:i/>
          <w:spacing w:val="-28"/>
          <w:w w:val="120"/>
          <w:sz w:val="19"/>
        </w:rPr>
        <w:t> </w:t>
      </w:r>
      <w:r>
        <w:rPr>
          <w:i/>
          <w:w w:val="120"/>
          <w:sz w:val="19"/>
        </w:rPr>
        <w:t>europea</w:t>
      </w:r>
      <w:r>
        <w:rPr>
          <w:i/>
          <w:spacing w:val="-28"/>
          <w:w w:val="120"/>
          <w:sz w:val="19"/>
        </w:rPr>
        <w:t> </w:t>
      </w:r>
      <w:r>
        <w:rPr>
          <w:i/>
          <w:w w:val="120"/>
          <w:sz w:val="19"/>
        </w:rPr>
        <w:t>del </w:t>
      </w:r>
      <w:r>
        <w:rPr>
          <w:i/>
          <w:w w:val="115"/>
          <w:sz w:val="19"/>
        </w:rPr>
        <w:t>futuro</w:t>
      </w:r>
      <w:r>
        <w:rPr>
          <w:i/>
          <w:spacing w:val="-26"/>
          <w:w w:val="115"/>
          <w:sz w:val="19"/>
        </w:rPr>
        <w:t> </w:t>
      </w:r>
      <w:r>
        <w:rPr>
          <w:i/>
          <w:w w:val="115"/>
          <w:sz w:val="19"/>
        </w:rPr>
        <w:t>está</w:t>
      </w:r>
      <w:r>
        <w:rPr>
          <w:i/>
          <w:spacing w:val="-26"/>
          <w:w w:val="115"/>
          <w:sz w:val="19"/>
        </w:rPr>
        <w:t> </w:t>
      </w:r>
      <w:r>
        <w:rPr>
          <w:i/>
          <w:w w:val="115"/>
          <w:sz w:val="19"/>
        </w:rPr>
        <w:t>eclipsando</w:t>
      </w:r>
      <w:r>
        <w:rPr>
          <w:i/>
          <w:spacing w:val="-26"/>
          <w:w w:val="115"/>
          <w:sz w:val="19"/>
        </w:rPr>
        <w:t> </w:t>
      </w:r>
      <w:r>
        <w:rPr>
          <w:i/>
          <w:w w:val="115"/>
          <w:sz w:val="19"/>
        </w:rPr>
        <w:t>el</w:t>
      </w:r>
      <w:r>
        <w:rPr>
          <w:i/>
          <w:spacing w:val="-26"/>
          <w:w w:val="115"/>
          <w:sz w:val="19"/>
        </w:rPr>
        <w:t> </w:t>
      </w:r>
      <w:r>
        <w:rPr>
          <w:i/>
          <w:w w:val="115"/>
          <w:sz w:val="19"/>
        </w:rPr>
        <w:t>sueño</w:t>
      </w:r>
      <w:r>
        <w:rPr>
          <w:i/>
          <w:spacing w:val="-26"/>
          <w:w w:val="115"/>
          <w:sz w:val="19"/>
        </w:rPr>
        <w:t> </w:t>
      </w:r>
      <w:r>
        <w:rPr>
          <w:i/>
          <w:w w:val="115"/>
          <w:sz w:val="19"/>
        </w:rPr>
        <w:t>americano</w:t>
      </w:r>
      <w:r>
        <w:rPr>
          <w:i/>
          <w:spacing w:val="-26"/>
          <w:w w:val="115"/>
          <w:sz w:val="19"/>
        </w:rPr>
        <w:t> </w:t>
      </w:r>
      <w:r>
        <w:rPr>
          <w:w w:val="115"/>
          <w:sz w:val="19"/>
        </w:rPr>
        <w:t>(barcelona:</w:t>
      </w:r>
      <w:r>
        <w:rPr>
          <w:spacing w:val="-26"/>
          <w:w w:val="115"/>
          <w:sz w:val="19"/>
        </w:rPr>
        <w:t> </w:t>
      </w:r>
      <w:r>
        <w:rPr>
          <w:w w:val="115"/>
          <w:sz w:val="19"/>
        </w:rPr>
        <w:t>Paidós).</w:t>
      </w:r>
    </w:p>
    <w:p>
      <w:pPr>
        <w:pStyle w:val="BodyText"/>
        <w:spacing w:line="252" w:lineRule="auto" w:before="28"/>
        <w:ind w:left="497" w:hanging="397"/>
      </w:pPr>
      <w:r>
        <w:rPr>
          <w:w w:val="140"/>
        </w:rPr>
        <w:t>stiGlitZ, </w:t>
      </w:r>
      <w:r>
        <w:rPr>
          <w:w w:val="115"/>
        </w:rPr>
        <w:t>Joseph E. 2012 “El precio de la desigualdad”, en </w:t>
      </w:r>
      <w:r>
        <w:rPr>
          <w:i/>
          <w:w w:val="115"/>
        </w:rPr>
        <w:t>El País</w:t>
      </w:r>
      <w:r>
        <w:rPr>
          <w:w w:val="115"/>
        </w:rPr>
        <w:t>, Madrid, 17 de junio.</w:t>
      </w:r>
    </w:p>
    <w:p>
      <w:pPr>
        <w:pStyle w:val="BodyText"/>
        <w:spacing w:line="252" w:lineRule="auto" w:before="28"/>
        <w:ind w:left="497" w:right="528" w:hanging="397"/>
      </w:pPr>
      <w:r>
        <w:rPr>
          <w:w w:val="162"/>
        </w:rPr>
        <w:t>sti</w:t>
      </w:r>
      <w:r>
        <w:rPr>
          <w:w w:val="130"/>
        </w:rPr>
        <w:t>G</w:t>
      </w:r>
      <w:r>
        <w:rPr>
          <w:w w:val="193"/>
        </w:rPr>
        <w:t>lit</w:t>
      </w:r>
      <w:r>
        <w:rPr>
          <w:w w:val="127"/>
        </w:rPr>
        <w:t>Z,</w:t>
      </w:r>
      <w:r>
        <w:rPr/>
        <w:t> </w:t>
      </w:r>
      <w:r>
        <w:rPr>
          <w:w w:val="113"/>
        </w:rPr>
        <w:t>Joseph</w:t>
      </w:r>
      <w:r>
        <w:rPr/>
        <w:t> </w:t>
      </w:r>
      <w:r>
        <w:rPr>
          <w:w w:val="130"/>
        </w:rPr>
        <w:t>E.</w:t>
      </w:r>
      <w:r>
        <w:rPr/>
        <w:t> </w:t>
      </w:r>
      <w:r>
        <w:rPr>
          <w:w w:val="102"/>
        </w:rPr>
        <w:t>2014</w:t>
      </w:r>
      <w:r>
        <w:rPr/>
        <w:t> </w:t>
      </w:r>
      <w:r>
        <w:rPr>
          <w:w w:val="115"/>
        </w:rPr>
        <w:t>“</w:t>
      </w:r>
      <w:r>
        <w:rPr>
          <w:w w:val="243"/>
        </w:rPr>
        <w:t>l</w:t>
      </w:r>
      <w:r>
        <w:rPr>
          <w:w w:val="112"/>
        </w:rPr>
        <w:t>a</w:t>
      </w:r>
      <w:r>
        <w:rPr/>
        <w:t> </w:t>
      </w:r>
      <w:r>
        <w:rPr>
          <w:w w:val="110"/>
        </w:rPr>
        <w:t>desigualdad</w:t>
      </w:r>
      <w:r>
        <w:rPr/>
        <w:t> </w:t>
      </w:r>
      <w:r>
        <w:rPr>
          <w:w w:val="105"/>
        </w:rPr>
        <w:t>y</w:t>
      </w:r>
      <w:r>
        <w:rPr/>
        <w:t> </w:t>
      </w:r>
      <w:r>
        <w:rPr>
          <w:w w:val="108"/>
        </w:rPr>
        <w:t>los</w:t>
      </w:r>
      <w:r>
        <w:rPr/>
        <w:t> </w:t>
      </w:r>
      <w:r>
        <w:rPr>
          <w:w w:val="110"/>
        </w:rPr>
        <w:t>niños</w:t>
      </w:r>
      <w:r>
        <w:rPr/>
        <w:t> </w:t>
      </w:r>
      <w:r>
        <w:rPr>
          <w:w w:val="108"/>
        </w:rPr>
        <w:t>en</w:t>
      </w:r>
      <w:r>
        <w:rPr/>
        <w:t> </w:t>
      </w:r>
      <w:r>
        <w:rPr>
          <w:w w:val="129"/>
        </w:rPr>
        <w:t>EE.</w:t>
      </w:r>
      <w:r>
        <w:rPr>
          <w:w w:val="140"/>
        </w:rPr>
        <w:t>uu</w:t>
      </w:r>
      <w:r>
        <w:rPr>
          <w:w w:val="127"/>
        </w:rPr>
        <w:t>.”, </w:t>
      </w:r>
      <w:r>
        <w:rPr>
          <w:w w:val="120"/>
        </w:rPr>
        <w:t>en </w:t>
      </w:r>
      <w:r>
        <w:rPr>
          <w:i/>
          <w:w w:val="120"/>
        </w:rPr>
        <w:t>El País</w:t>
      </w:r>
      <w:r>
        <w:rPr>
          <w:w w:val="120"/>
        </w:rPr>
        <w:t>, Madrid, 28 de diciembre.</w:t>
      </w:r>
    </w:p>
    <w:p>
      <w:pPr>
        <w:spacing w:line="252" w:lineRule="auto" w:before="28"/>
        <w:ind w:left="497" w:right="954" w:hanging="397"/>
        <w:jc w:val="left"/>
        <w:rPr>
          <w:sz w:val="19"/>
        </w:rPr>
      </w:pPr>
      <w:r>
        <w:rPr>
          <w:w w:val="145"/>
          <w:sz w:val="19"/>
        </w:rPr>
        <w:t>stiGlitZ,</w:t>
      </w:r>
      <w:r>
        <w:rPr>
          <w:spacing w:val="-41"/>
          <w:w w:val="145"/>
          <w:sz w:val="19"/>
        </w:rPr>
        <w:t> </w:t>
      </w:r>
      <w:r>
        <w:rPr>
          <w:w w:val="120"/>
          <w:sz w:val="19"/>
        </w:rPr>
        <w:t>Joseph</w:t>
      </w:r>
      <w:r>
        <w:rPr>
          <w:spacing w:val="-31"/>
          <w:w w:val="120"/>
          <w:sz w:val="19"/>
        </w:rPr>
        <w:t> </w:t>
      </w:r>
      <w:r>
        <w:rPr>
          <w:w w:val="120"/>
          <w:sz w:val="19"/>
        </w:rPr>
        <w:t>E.</w:t>
      </w:r>
      <w:r>
        <w:rPr>
          <w:spacing w:val="-31"/>
          <w:w w:val="120"/>
          <w:sz w:val="19"/>
        </w:rPr>
        <w:t> </w:t>
      </w:r>
      <w:r>
        <w:rPr>
          <w:w w:val="120"/>
          <w:sz w:val="19"/>
        </w:rPr>
        <w:t>2015</w:t>
      </w:r>
      <w:r>
        <w:rPr>
          <w:spacing w:val="-31"/>
          <w:w w:val="120"/>
          <w:sz w:val="19"/>
        </w:rPr>
        <w:t> </w:t>
      </w:r>
      <w:r>
        <w:rPr>
          <w:i/>
          <w:w w:val="120"/>
          <w:sz w:val="19"/>
        </w:rPr>
        <w:t>El</w:t>
      </w:r>
      <w:r>
        <w:rPr>
          <w:i/>
          <w:spacing w:val="-31"/>
          <w:w w:val="120"/>
          <w:sz w:val="19"/>
        </w:rPr>
        <w:t> </w:t>
      </w:r>
      <w:r>
        <w:rPr>
          <w:i/>
          <w:w w:val="120"/>
          <w:sz w:val="19"/>
        </w:rPr>
        <w:t>precio</w:t>
      </w:r>
      <w:r>
        <w:rPr>
          <w:i/>
          <w:spacing w:val="-31"/>
          <w:w w:val="120"/>
          <w:sz w:val="19"/>
        </w:rPr>
        <w:t> </w:t>
      </w:r>
      <w:r>
        <w:rPr>
          <w:i/>
          <w:w w:val="120"/>
          <w:sz w:val="19"/>
        </w:rPr>
        <w:t>de</w:t>
      </w:r>
      <w:r>
        <w:rPr>
          <w:i/>
          <w:spacing w:val="-31"/>
          <w:w w:val="120"/>
          <w:sz w:val="19"/>
        </w:rPr>
        <w:t> </w:t>
      </w:r>
      <w:r>
        <w:rPr>
          <w:i/>
          <w:w w:val="120"/>
          <w:sz w:val="19"/>
        </w:rPr>
        <w:t>la</w:t>
      </w:r>
      <w:r>
        <w:rPr>
          <w:i/>
          <w:spacing w:val="-31"/>
          <w:w w:val="120"/>
          <w:sz w:val="19"/>
        </w:rPr>
        <w:t> </w:t>
      </w:r>
      <w:r>
        <w:rPr>
          <w:i/>
          <w:w w:val="120"/>
          <w:sz w:val="19"/>
        </w:rPr>
        <w:t>desigualdad</w:t>
      </w:r>
      <w:r>
        <w:rPr>
          <w:i/>
          <w:spacing w:val="-31"/>
          <w:w w:val="120"/>
          <w:sz w:val="19"/>
        </w:rPr>
        <w:t> </w:t>
      </w:r>
      <w:r>
        <w:rPr>
          <w:w w:val="120"/>
          <w:sz w:val="19"/>
        </w:rPr>
        <w:t>(México: </w:t>
      </w:r>
      <w:r>
        <w:rPr>
          <w:spacing w:val="-3"/>
          <w:w w:val="120"/>
          <w:sz w:val="19"/>
        </w:rPr>
        <w:t>taurus).</w:t>
      </w:r>
    </w:p>
    <w:p>
      <w:pPr>
        <w:spacing w:line="252" w:lineRule="auto" w:before="28"/>
        <w:ind w:left="497" w:right="114" w:hanging="397"/>
        <w:jc w:val="left"/>
        <w:rPr>
          <w:sz w:val="19"/>
        </w:rPr>
      </w:pPr>
      <w:r>
        <w:rPr>
          <w:w w:val="123"/>
          <w:sz w:val="19"/>
        </w:rPr>
        <w:t>VE</w:t>
      </w:r>
      <w:r>
        <w:rPr>
          <w:w w:val="155"/>
          <w:sz w:val="19"/>
        </w:rPr>
        <w:t>ira</w:t>
      </w:r>
      <w:r>
        <w:rPr>
          <w:w w:val="138"/>
          <w:sz w:val="19"/>
        </w:rPr>
        <w:t>,</w:t>
      </w:r>
      <w:r>
        <w:rPr>
          <w:sz w:val="19"/>
        </w:rPr>
        <w:t> </w:t>
      </w:r>
      <w:r>
        <w:rPr>
          <w:w w:val="115"/>
          <w:sz w:val="19"/>
        </w:rPr>
        <w:t>José</w:t>
      </w:r>
      <w:r>
        <w:rPr>
          <w:sz w:val="19"/>
        </w:rPr>
        <w:t> </w:t>
      </w:r>
      <w:r>
        <w:rPr>
          <w:w w:val="243"/>
          <w:sz w:val="19"/>
        </w:rPr>
        <w:t>l</w:t>
      </w:r>
      <w:r>
        <w:rPr>
          <w:w w:val="111"/>
          <w:sz w:val="19"/>
        </w:rPr>
        <w:t>uis</w:t>
      </w:r>
      <w:r>
        <w:rPr>
          <w:sz w:val="19"/>
        </w:rPr>
        <w:t> </w:t>
      </w:r>
      <w:r>
        <w:rPr>
          <w:w w:val="105"/>
          <w:sz w:val="19"/>
        </w:rPr>
        <w:t>y</w:t>
      </w:r>
      <w:r>
        <w:rPr>
          <w:sz w:val="19"/>
        </w:rPr>
        <w:t> </w:t>
      </w:r>
      <w:r>
        <w:rPr>
          <w:w w:val="115"/>
          <w:sz w:val="19"/>
        </w:rPr>
        <w:t>José</w:t>
      </w:r>
      <w:r>
        <w:rPr>
          <w:sz w:val="19"/>
        </w:rPr>
        <w:t> </w:t>
      </w:r>
      <w:r>
        <w:rPr>
          <w:w w:val="182"/>
          <w:sz w:val="19"/>
        </w:rPr>
        <w:t>r</w:t>
      </w:r>
      <w:r>
        <w:rPr>
          <w:w w:val="110"/>
          <w:sz w:val="19"/>
        </w:rPr>
        <w:t>omy</w:t>
      </w:r>
      <w:r>
        <w:rPr>
          <w:sz w:val="19"/>
        </w:rPr>
        <w:t> </w:t>
      </w:r>
      <w:r>
        <w:rPr>
          <w:w w:val="102"/>
          <w:sz w:val="19"/>
        </w:rPr>
        <w:t>1998</w:t>
      </w:r>
      <w:r>
        <w:rPr>
          <w:sz w:val="19"/>
        </w:rPr>
        <w:t> </w:t>
      </w:r>
      <w:r>
        <w:rPr>
          <w:i/>
          <w:w w:val="111"/>
          <w:sz w:val="19"/>
        </w:rPr>
        <w:t>Revista</w:t>
      </w:r>
      <w:r>
        <w:rPr>
          <w:i/>
          <w:sz w:val="19"/>
        </w:rPr>
        <w:t> </w:t>
      </w:r>
      <w:r>
        <w:rPr>
          <w:i/>
          <w:w w:val="111"/>
          <w:sz w:val="19"/>
        </w:rPr>
        <w:t>Sociológica</w:t>
      </w:r>
      <w:r>
        <w:rPr>
          <w:w w:val="138"/>
          <w:sz w:val="19"/>
        </w:rPr>
        <w:t>,</w:t>
      </w:r>
      <w:r>
        <w:rPr>
          <w:sz w:val="19"/>
        </w:rPr>
        <w:t> </w:t>
      </w:r>
      <w:r>
        <w:rPr>
          <w:w w:val="105"/>
          <w:sz w:val="19"/>
        </w:rPr>
        <w:t>Nº</w:t>
      </w:r>
      <w:r>
        <w:rPr>
          <w:sz w:val="19"/>
        </w:rPr>
        <w:t> </w:t>
      </w:r>
      <w:r>
        <w:rPr>
          <w:w w:val="112"/>
          <w:sz w:val="19"/>
        </w:rPr>
        <w:t>3, </w:t>
      </w:r>
      <w:r>
        <w:rPr>
          <w:w w:val="115"/>
          <w:sz w:val="19"/>
        </w:rPr>
        <w:t>universidad de Cataluña, España.</w:t>
      </w:r>
    </w:p>
    <w:p>
      <w:pPr>
        <w:spacing w:after="0" w:line="252" w:lineRule="auto"/>
        <w:jc w:val="left"/>
        <w:rPr>
          <w:sz w:val="19"/>
        </w:rPr>
        <w:sectPr>
          <w:pgSz w:w="8790" w:h="12760"/>
          <w:pgMar w:header="697" w:footer="723" w:top="880" w:bottom="920" w:left="920" w:right="1200"/>
        </w:sectPr>
      </w:pPr>
    </w:p>
    <w:p>
      <w:pPr>
        <w:pStyle w:val="BodyText"/>
        <w:spacing w:before="4"/>
        <w:rPr>
          <w:rFonts w:ascii="Times New Roman"/>
          <w:sz w:val="17"/>
        </w:rPr>
      </w:pPr>
    </w:p>
    <w:p>
      <w:pPr>
        <w:spacing w:after="0"/>
        <w:rPr>
          <w:rFonts w:ascii="Times New Roman"/>
          <w:sz w:val="17"/>
        </w:rPr>
        <w:sectPr>
          <w:headerReference w:type="default" r:id="rId235"/>
          <w:footerReference w:type="default" r:id="rId236"/>
          <w:pgSz w:w="8790" w:h="12760"/>
          <w:pgMar w:header="0" w:footer="0" w:top="1180" w:bottom="280" w:left="1200" w:right="12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pStyle w:val="Heading3"/>
        <w:ind w:left="1041" w:right="1249"/>
      </w:pPr>
      <w:r>
        <w:rPr/>
        <w:t>Fabio Grobart Sunshine*</w:t>
      </w:r>
    </w:p>
    <w:p>
      <w:pPr>
        <w:pStyle w:val="BodyText"/>
        <w:spacing w:before="9"/>
        <w:rPr>
          <w:sz w:val="20"/>
        </w:rPr>
      </w:pPr>
    </w:p>
    <w:p>
      <w:pPr>
        <w:spacing w:line="340" w:lineRule="exact" w:before="0"/>
        <w:ind w:left="1519" w:right="1727" w:firstLine="0"/>
        <w:jc w:val="center"/>
        <w:rPr>
          <w:rFonts w:ascii="Times New Roman" w:hAnsi="Times New Roman"/>
          <w:b/>
          <w:sz w:val="30"/>
        </w:rPr>
      </w:pPr>
      <w:r>
        <w:rPr>
          <w:rFonts w:ascii="Times New Roman" w:hAnsi="Times New Roman"/>
          <w:b/>
          <w:spacing w:val="2"/>
          <w:w w:val="135"/>
          <w:sz w:val="30"/>
        </w:rPr>
        <w:t>ciencia</w:t>
      </w:r>
      <w:r>
        <w:rPr>
          <w:rFonts w:ascii="Times New Roman" w:hAnsi="Times New Roman"/>
          <w:b/>
          <w:spacing w:val="-59"/>
          <w:w w:val="135"/>
          <w:sz w:val="30"/>
        </w:rPr>
        <w:t> </w:t>
      </w:r>
      <w:r>
        <w:rPr>
          <w:rFonts w:ascii="Times New Roman" w:hAnsi="Times New Roman"/>
          <w:b/>
          <w:w w:val="135"/>
          <w:sz w:val="30"/>
        </w:rPr>
        <w:t>y</w:t>
      </w:r>
      <w:r>
        <w:rPr>
          <w:rFonts w:ascii="Times New Roman" w:hAnsi="Times New Roman"/>
          <w:b/>
          <w:spacing w:val="-59"/>
          <w:w w:val="135"/>
          <w:sz w:val="30"/>
        </w:rPr>
        <w:t> </w:t>
      </w:r>
      <w:r>
        <w:rPr>
          <w:rFonts w:ascii="Times New Roman" w:hAnsi="Times New Roman"/>
          <w:b/>
          <w:spacing w:val="3"/>
          <w:w w:val="135"/>
          <w:sz w:val="30"/>
        </w:rPr>
        <w:t>tecnoloGÍa </w:t>
      </w:r>
      <w:r>
        <w:rPr>
          <w:rFonts w:ascii="Times New Roman" w:hAnsi="Times New Roman"/>
          <w:b/>
          <w:w w:val="135"/>
          <w:sz w:val="30"/>
        </w:rPr>
        <w:t>en estados </w:t>
      </w:r>
      <w:r>
        <w:rPr>
          <w:rFonts w:ascii="Times New Roman" w:hAnsi="Times New Roman"/>
          <w:b/>
          <w:spacing w:val="3"/>
          <w:w w:val="135"/>
          <w:sz w:val="30"/>
        </w:rPr>
        <w:t>unidos</w:t>
      </w:r>
    </w:p>
    <w:p>
      <w:pPr>
        <w:pStyle w:val="Heading4"/>
        <w:spacing w:line="242" w:lineRule="auto"/>
        <w:ind w:left="1043" w:right="1249"/>
        <w:jc w:val="center"/>
        <w:rPr>
          <w:rFonts w:ascii="Times New Roman" w:hAnsi="Times New Roman"/>
        </w:rPr>
      </w:pPr>
      <w:r>
        <w:rPr>
          <w:rFonts w:ascii="Times New Roman" w:hAnsi="Times New Roman"/>
          <w:w w:val="135"/>
        </w:rPr>
        <w:t>deterioro </w:t>
      </w:r>
      <w:r>
        <w:rPr>
          <w:rFonts w:ascii="Times New Roman" w:hAnsi="Times New Roman"/>
          <w:spacing w:val="1"/>
          <w:w w:val="135"/>
        </w:rPr>
        <w:t>sistéMico-estructural </w:t>
      </w:r>
      <w:r>
        <w:rPr>
          <w:rFonts w:ascii="Times New Roman" w:hAnsi="Times New Roman"/>
          <w:w w:val="125"/>
        </w:rPr>
        <w:t>y</w:t>
      </w:r>
      <w:r>
        <w:rPr>
          <w:rFonts w:ascii="Times New Roman" w:hAnsi="Times New Roman"/>
          <w:spacing w:val="-42"/>
          <w:w w:val="125"/>
        </w:rPr>
        <w:t> </w:t>
      </w:r>
      <w:r>
        <w:rPr>
          <w:rFonts w:ascii="Times New Roman" w:hAnsi="Times New Roman"/>
          <w:spacing w:val="4"/>
          <w:w w:val="125"/>
        </w:rPr>
        <w:t>la</w:t>
      </w:r>
      <w:r>
        <w:rPr>
          <w:rFonts w:ascii="Times New Roman" w:hAnsi="Times New Roman"/>
          <w:spacing w:val="-42"/>
          <w:w w:val="125"/>
        </w:rPr>
        <w:t> </w:t>
      </w:r>
      <w:r>
        <w:rPr>
          <w:rFonts w:ascii="Times New Roman" w:hAnsi="Times New Roman"/>
          <w:w w:val="125"/>
        </w:rPr>
        <w:t>aGenda</w:t>
      </w:r>
      <w:r>
        <w:rPr>
          <w:rFonts w:ascii="Times New Roman" w:hAnsi="Times New Roman"/>
          <w:spacing w:val="-42"/>
          <w:w w:val="125"/>
        </w:rPr>
        <w:t> </w:t>
      </w:r>
      <w:r>
        <w:rPr>
          <w:rFonts w:ascii="Times New Roman" w:hAnsi="Times New Roman"/>
          <w:w w:val="125"/>
        </w:rPr>
        <w:t>oBaMa</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spacing w:line="244" w:lineRule="auto" w:before="199"/>
        <w:ind w:left="121" w:right="1807" w:firstLine="0"/>
        <w:jc w:val="left"/>
        <w:rPr>
          <w:rFonts w:ascii="Times New Roman" w:hAnsi="Times New Roman"/>
          <w:b/>
          <w:i/>
          <w:sz w:val="20"/>
        </w:rPr>
      </w:pPr>
      <w:r>
        <w:rPr>
          <w:rFonts w:ascii="Times New Roman" w:hAnsi="Times New Roman"/>
          <w:b/>
          <w:w w:val="140"/>
          <w:sz w:val="20"/>
        </w:rPr>
        <w:t>deterioro</w:t>
      </w:r>
      <w:r>
        <w:rPr>
          <w:rFonts w:ascii="Times New Roman" w:hAnsi="Times New Roman"/>
          <w:b/>
          <w:spacing w:val="-28"/>
          <w:w w:val="140"/>
          <w:sz w:val="20"/>
        </w:rPr>
        <w:t> </w:t>
      </w:r>
      <w:r>
        <w:rPr>
          <w:rFonts w:ascii="Times New Roman" w:hAnsi="Times New Roman"/>
          <w:b/>
          <w:w w:val="140"/>
          <w:sz w:val="20"/>
        </w:rPr>
        <w:t>Pretérito</w:t>
      </w:r>
      <w:r>
        <w:rPr>
          <w:rFonts w:ascii="Times New Roman" w:hAnsi="Times New Roman"/>
          <w:b/>
          <w:spacing w:val="-28"/>
          <w:w w:val="140"/>
          <w:sz w:val="20"/>
        </w:rPr>
        <w:t> </w:t>
      </w:r>
      <w:r>
        <w:rPr>
          <w:rFonts w:ascii="Times New Roman" w:hAnsi="Times New Roman"/>
          <w:b/>
          <w:w w:val="140"/>
          <w:sz w:val="20"/>
        </w:rPr>
        <w:t>de</w:t>
      </w:r>
      <w:r>
        <w:rPr>
          <w:rFonts w:ascii="Times New Roman" w:hAnsi="Times New Roman"/>
          <w:b/>
          <w:spacing w:val="-28"/>
          <w:w w:val="140"/>
          <w:sz w:val="20"/>
        </w:rPr>
        <w:t> </w:t>
      </w:r>
      <w:r>
        <w:rPr>
          <w:rFonts w:ascii="Times New Roman" w:hAnsi="Times New Roman"/>
          <w:b/>
          <w:spacing w:val="3"/>
          <w:w w:val="140"/>
          <w:sz w:val="20"/>
        </w:rPr>
        <w:t>la</w:t>
      </w:r>
      <w:r>
        <w:rPr>
          <w:rFonts w:ascii="Times New Roman" w:hAnsi="Times New Roman"/>
          <w:b/>
          <w:spacing w:val="-28"/>
          <w:w w:val="140"/>
          <w:sz w:val="20"/>
        </w:rPr>
        <w:t> </w:t>
      </w:r>
      <w:r>
        <w:rPr>
          <w:rFonts w:ascii="Times New Roman" w:hAnsi="Times New Roman"/>
          <w:b/>
          <w:spacing w:val="2"/>
          <w:w w:val="140"/>
          <w:sz w:val="20"/>
        </w:rPr>
        <w:t>sociedad</w:t>
      </w:r>
      <w:r>
        <w:rPr>
          <w:rFonts w:ascii="Times New Roman" w:hAnsi="Times New Roman"/>
          <w:b/>
          <w:spacing w:val="-28"/>
          <w:w w:val="140"/>
          <w:sz w:val="20"/>
        </w:rPr>
        <w:t> </w:t>
      </w:r>
      <w:r>
        <w:rPr>
          <w:rFonts w:ascii="Times New Roman" w:hAnsi="Times New Roman"/>
          <w:b/>
          <w:i/>
          <w:w w:val="140"/>
          <w:sz w:val="20"/>
        </w:rPr>
        <w:t>basada </w:t>
      </w:r>
      <w:r>
        <w:rPr>
          <w:rFonts w:ascii="Times New Roman" w:hAnsi="Times New Roman"/>
          <w:b/>
          <w:i/>
          <w:w w:val="140"/>
          <w:sz w:val="20"/>
        </w:rPr>
        <w:t>en el</w:t>
      </w:r>
      <w:r>
        <w:rPr>
          <w:rFonts w:ascii="Times New Roman" w:hAnsi="Times New Roman"/>
          <w:b/>
          <w:i/>
          <w:spacing w:val="-43"/>
          <w:w w:val="140"/>
          <w:sz w:val="20"/>
        </w:rPr>
        <w:t> </w:t>
      </w:r>
      <w:r>
        <w:rPr>
          <w:rFonts w:ascii="Times New Roman" w:hAnsi="Times New Roman"/>
          <w:b/>
          <w:i/>
          <w:spacing w:val="2"/>
          <w:w w:val="140"/>
          <w:sz w:val="20"/>
        </w:rPr>
        <w:t>conocimiento</w:t>
      </w:r>
    </w:p>
    <w:p>
      <w:pPr>
        <w:pStyle w:val="BodyText"/>
        <w:spacing w:line="252" w:lineRule="auto" w:before="5"/>
        <w:ind w:left="120" w:right="327"/>
        <w:jc w:val="both"/>
      </w:pPr>
      <w:r>
        <w:rPr>
          <w:w w:val="110"/>
        </w:rPr>
        <w:t>En trabajos anteriores, presentados ante el Grupo de </w:t>
      </w:r>
      <w:r>
        <w:rPr>
          <w:spacing w:val="-3"/>
          <w:w w:val="110"/>
        </w:rPr>
        <w:t>trabajo </w:t>
      </w:r>
      <w:r>
        <w:rPr>
          <w:w w:val="110"/>
        </w:rPr>
        <w:t>de </w:t>
      </w:r>
      <w:r>
        <w:rPr>
          <w:w w:val="130"/>
        </w:rPr>
        <w:t>ClaC- so </w:t>
      </w:r>
      <w:r>
        <w:rPr>
          <w:w w:val="110"/>
        </w:rPr>
        <w:t>“Estudios sobre los Estados unidos”</w:t>
      </w:r>
      <w:r>
        <w:rPr>
          <w:w w:val="110"/>
          <w:position w:val="7"/>
          <w:sz w:val="11"/>
        </w:rPr>
        <w:t>1</w:t>
      </w:r>
      <w:r>
        <w:rPr>
          <w:w w:val="110"/>
        </w:rPr>
        <w:t>, se explicitaron los factores cualitativos y cuantitativos que conducirían primero al auge hegemó- nico en </w:t>
      </w:r>
      <w:r>
        <w:rPr>
          <w:i/>
          <w:w w:val="110"/>
        </w:rPr>
        <w:t>cuasi solitario </w:t>
      </w:r>
      <w:r>
        <w:rPr>
          <w:w w:val="110"/>
        </w:rPr>
        <w:t>(desde finales del siglo </w:t>
      </w:r>
      <w:r>
        <w:rPr>
          <w:w w:val="130"/>
        </w:rPr>
        <w:t>xix) </w:t>
      </w:r>
      <w:r>
        <w:rPr>
          <w:w w:val="110"/>
        </w:rPr>
        <w:t>y tras su meseta    (a finales de los años ochenta del siglo </w:t>
      </w:r>
      <w:r>
        <w:rPr>
          <w:w w:val="130"/>
        </w:rPr>
        <w:t>xx) </w:t>
      </w:r>
      <w:r>
        <w:rPr>
          <w:w w:val="110"/>
        </w:rPr>
        <w:t>al sucesivo declive (desde mitades de los noventa hasta el presente) en importantes indicadores relativos y absolutos del sistema norteamericano de ciencia, tecno- logía e innovación y de su resultatividad científico-técnica, corres- pondientes productos, servicios e inversiones </w:t>
      </w:r>
      <w:r>
        <w:rPr>
          <w:spacing w:val="-4"/>
          <w:w w:val="130"/>
        </w:rPr>
        <w:t>altEC </w:t>
      </w:r>
      <w:r>
        <w:rPr>
          <w:w w:val="110"/>
        </w:rPr>
        <w:t>en el mercado mundial que –sin dejar de ser Estados unidos (EE.uu.) aún el mayor innovador– ya en el siglo </w:t>
      </w:r>
      <w:r>
        <w:rPr>
          <w:w w:val="130"/>
        </w:rPr>
        <w:t>xxi </w:t>
      </w:r>
      <w:r>
        <w:rPr>
          <w:w w:val="110"/>
        </w:rPr>
        <w:t>desembocaría en la crisis sistémico-es- tructural del capitalismo monopolista transnacionalizado, eufemísti- camente denominado </w:t>
      </w:r>
      <w:r>
        <w:rPr>
          <w:i/>
          <w:w w:val="110"/>
        </w:rPr>
        <w:t>la sociedad basada en el conocimiento</w:t>
      </w:r>
      <w:r>
        <w:rPr>
          <w:w w:val="110"/>
        </w:rPr>
        <w:t>. razones de espacio impiden presentar aquí una minuciosa panorámica de la evolución –en bi-unívoca interdependencia a lo interno y lo  </w:t>
      </w:r>
      <w:r>
        <w:rPr>
          <w:spacing w:val="18"/>
          <w:w w:val="110"/>
        </w:rPr>
        <w:t> </w:t>
      </w:r>
      <w:r>
        <w:rPr>
          <w:w w:val="110"/>
        </w:rPr>
        <w:t>externo–</w:t>
      </w:r>
    </w:p>
    <w:p>
      <w:pPr>
        <w:pStyle w:val="BodyText"/>
        <w:rPr>
          <w:sz w:val="14"/>
        </w:rPr>
      </w:pPr>
    </w:p>
    <w:p>
      <w:pPr>
        <w:pStyle w:val="ListParagraph"/>
        <w:numPr>
          <w:ilvl w:val="0"/>
          <w:numId w:val="6"/>
        </w:numPr>
        <w:tabs>
          <w:tab w:pos="291" w:val="left" w:leader="none"/>
        </w:tabs>
        <w:spacing w:line="242" w:lineRule="auto" w:before="0" w:after="0"/>
        <w:ind w:left="290" w:right="328" w:hanging="170"/>
        <w:jc w:val="left"/>
        <w:rPr>
          <w:sz w:val="16"/>
        </w:rPr>
      </w:pPr>
      <w:r>
        <w:rPr/>
        <w:pict>
          <v:line style="position:absolute;mso-position-horizontal-relative:page;mso-position-vertical-relative:paragraph;z-index:3976;mso-wrap-distance-left:0;mso-wrap-distance-right:0" from="51.023602pt,25.753563pt" to="79.369602pt,25.753563pt" stroked="true" strokeweight=".5pt" strokecolor="#000000">
            <w10:wrap type="topAndBottom"/>
          </v:line>
        </w:pict>
      </w:r>
      <w:r>
        <w:rPr>
          <w:w w:val="110"/>
          <w:sz w:val="16"/>
        </w:rPr>
        <w:t>investigador</w:t>
      </w:r>
      <w:r>
        <w:rPr>
          <w:spacing w:val="-11"/>
          <w:w w:val="110"/>
          <w:sz w:val="16"/>
        </w:rPr>
        <w:t> </w:t>
      </w:r>
      <w:r>
        <w:rPr>
          <w:w w:val="110"/>
          <w:sz w:val="16"/>
        </w:rPr>
        <w:t>del</w:t>
      </w:r>
      <w:r>
        <w:rPr>
          <w:spacing w:val="-11"/>
          <w:w w:val="110"/>
          <w:sz w:val="16"/>
        </w:rPr>
        <w:t> </w:t>
      </w:r>
      <w:r>
        <w:rPr>
          <w:w w:val="110"/>
          <w:sz w:val="16"/>
        </w:rPr>
        <w:t>Centro</w:t>
      </w:r>
      <w:r>
        <w:rPr>
          <w:spacing w:val="-11"/>
          <w:w w:val="110"/>
          <w:sz w:val="16"/>
        </w:rPr>
        <w:t> </w:t>
      </w:r>
      <w:r>
        <w:rPr>
          <w:w w:val="110"/>
          <w:sz w:val="16"/>
        </w:rPr>
        <w:t>de</w:t>
      </w:r>
      <w:r>
        <w:rPr>
          <w:spacing w:val="-11"/>
          <w:w w:val="110"/>
          <w:sz w:val="16"/>
        </w:rPr>
        <w:t> </w:t>
      </w:r>
      <w:r>
        <w:rPr>
          <w:w w:val="110"/>
          <w:sz w:val="16"/>
        </w:rPr>
        <w:t>investigaciones</w:t>
      </w:r>
      <w:r>
        <w:rPr>
          <w:spacing w:val="-11"/>
          <w:w w:val="110"/>
          <w:sz w:val="16"/>
        </w:rPr>
        <w:t> </w:t>
      </w:r>
      <w:r>
        <w:rPr>
          <w:w w:val="110"/>
          <w:sz w:val="16"/>
        </w:rPr>
        <w:t>de</w:t>
      </w:r>
      <w:r>
        <w:rPr>
          <w:spacing w:val="-11"/>
          <w:w w:val="110"/>
          <w:sz w:val="16"/>
        </w:rPr>
        <w:t> </w:t>
      </w:r>
      <w:r>
        <w:rPr>
          <w:w w:val="110"/>
          <w:sz w:val="16"/>
        </w:rPr>
        <w:t>la</w:t>
      </w:r>
      <w:r>
        <w:rPr>
          <w:spacing w:val="-11"/>
          <w:w w:val="110"/>
          <w:sz w:val="16"/>
        </w:rPr>
        <w:t> </w:t>
      </w:r>
      <w:r>
        <w:rPr>
          <w:w w:val="110"/>
          <w:sz w:val="16"/>
        </w:rPr>
        <w:t>Economía</w:t>
      </w:r>
      <w:r>
        <w:rPr>
          <w:spacing w:val="-11"/>
          <w:w w:val="110"/>
          <w:sz w:val="16"/>
        </w:rPr>
        <w:t> </w:t>
      </w:r>
      <w:r>
        <w:rPr>
          <w:w w:val="110"/>
          <w:sz w:val="16"/>
        </w:rPr>
        <w:t>internacional,</w:t>
      </w:r>
      <w:r>
        <w:rPr>
          <w:spacing w:val="-11"/>
          <w:w w:val="110"/>
          <w:sz w:val="16"/>
        </w:rPr>
        <w:t> </w:t>
      </w:r>
      <w:r>
        <w:rPr>
          <w:w w:val="110"/>
          <w:sz w:val="16"/>
        </w:rPr>
        <w:t>universi- </w:t>
      </w:r>
      <w:r>
        <w:rPr>
          <w:spacing w:val="-2"/>
          <w:w w:val="107"/>
          <w:sz w:val="16"/>
        </w:rPr>
        <w:t>da</w:t>
      </w:r>
      <w:r>
        <w:rPr>
          <w:w w:val="107"/>
          <w:sz w:val="16"/>
        </w:rPr>
        <w:t>d</w:t>
      </w:r>
      <w:r>
        <w:rPr>
          <w:spacing w:val="6"/>
          <w:sz w:val="16"/>
        </w:rPr>
        <w:t> </w:t>
      </w:r>
      <w:r>
        <w:rPr>
          <w:spacing w:val="-2"/>
          <w:w w:val="104"/>
          <w:sz w:val="16"/>
        </w:rPr>
        <w:t>d</w:t>
      </w:r>
      <w:r>
        <w:rPr>
          <w:w w:val="104"/>
          <w:sz w:val="16"/>
        </w:rPr>
        <w:t>e</w:t>
      </w:r>
      <w:r>
        <w:rPr>
          <w:spacing w:val="6"/>
          <w:sz w:val="16"/>
        </w:rPr>
        <w:t> </w:t>
      </w:r>
      <w:r>
        <w:rPr>
          <w:spacing w:val="-2"/>
          <w:w w:val="238"/>
          <w:sz w:val="16"/>
        </w:rPr>
        <w:t>l</w:t>
      </w:r>
      <w:r>
        <w:rPr>
          <w:w w:val="109"/>
          <w:sz w:val="16"/>
        </w:rPr>
        <w:t>a</w:t>
      </w:r>
      <w:r>
        <w:rPr>
          <w:spacing w:val="6"/>
          <w:sz w:val="16"/>
        </w:rPr>
        <w:t> </w:t>
      </w:r>
      <w:r>
        <w:rPr>
          <w:spacing w:val="-2"/>
          <w:w w:val="113"/>
          <w:sz w:val="16"/>
        </w:rPr>
        <w:t>Habana.</w:t>
      </w:r>
    </w:p>
    <w:p>
      <w:pPr>
        <w:spacing w:before="89"/>
        <w:ind w:left="120" w:right="321" w:firstLine="0"/>
        <w:jc w:val="left"/>
        <w:rPr>
          <w:sz w:val="16"/>
        </w:rPr>
      </w:pPr>
      <w:r>
        <w:rPr>
          <w:w w:val="105"/>
          <w:sz w:val="16"/>
        </w:rPr>
        <w:t>1    Ver Grobart (2007, 2009 y  2013).</w:t>
      </w:r>
    </w:p>
    <w:p>
      <w:pPr>
        <w:pStyle w:val="BodyText"/>
        <w:spacing w:before="3"/>
        <w:rPr>
          <w:sz w:val="25"/>
        </w:rPr>
      </w:pPr>
    </w:p>
    <w:p>
      <w:pPr>
        <w:pStyle w:val="Heading7"/>
        <w:spacing w:line="240" w:lineRule="auto" w:before="65"/>
        <w:ind w:left="1041" w:right="1249"/>
        <w:jc w:val="center"/>
      </w:pPr>
      <w:r>
        <w:rPr/>
        <w:t>163</w:t>
      </w:r>
    </w:p>
    <w:p>
      <w:pPr>
        <w:spacing w:after="0" w:line="240" w:lineRule="auto"/>
        <w:jc w:val="center"/>
        <w:sectPr>
          <w:headerReference w:type="even" r:id="rId237"/>
          <w:footerReference w:type="even" r:id="rId238"/>
          <w:pgSz w:w="8790" w:h="12760"/>
          <w:pgMar w:header="0" w:footer="0" w:top="1180" w:bottom="280" w:left="900" w:right="1200"/>
        </w:sectPr>
      </w:pPr>
    </w:p>
    <w:p>
      <w:pPr>
        <w:pStyle w:val="BodyText"/>
        <w:spacing w:before="7"/>
        <w:rPr>
          <w:sz w:val="28"/>
        </w:rPr>
      </w:pPr>
    </w:p>
    <w:p>
      <w:pPr>
        <w:pStyle w:val="BodyText"/>
        <w:spacing w:line="252" w:lineRule="auto" w:before="73"/>
        <w:ind w:left="330" w:right="118"/>
        <w:jc w:val="both"/>
      </w:pPr>
      <w:r>
        <w:rPr>
          <w:w w:val="110"/>
        </w:rPr>
        <w:t>del modelo reproductivo entronizado desde 1939. Esta introducción resume el deterioro heredado por el presidente obama, en los mismos cimientos de las fuerza productivas  metropolitanas.</w:t>
      </w:r>
    </w:p>
    <w:p>
      <w:pPr>
        <w:pStyle w:val="BodyText"/>
        <w:spacing w:line="252" w:lineRule="auto"/>
        <w:ind w:left="330" w:right="117" w:firstLine="396"/>
        <w:jc w:val="both"/>
        <w:rPr>
          <w:i/>
        </w:rPr>
      </w:pPr>
      <w:r>
        <w:rPr>
          <w:w w:val="110"/>
        </w:rPr>
        <w:t>En los albores de la segunda Guerra Mundial en EE.uu. se inte- grarían</w:t>
      </w:r>
      <w:r>
        <w:rPr>
          <w:spacing w:val="-5"/>
          <w:w w:val="110"/>
        </w:rPr>
        <w:t> </w:t>
      </w:r>
      <w:r>
        <w:rPr>
          <w:w w:val="110"/>
        </w:rPr>
        <w:t>los</w:t>
      </w:r>
      <w:r>
        <w:rPr>
          <w:spacing w:val="-5"/>
          <w:w w:val="110"/>
        </w:rPr>
        <w:t> </w:t>
      </w:r>
      <w:r>
        <w:rPr>
          <w:w w:val="110"/>
        </w:rPr>
        <w:t>intereses</w:t>
      </w:r>
      <w:r>
        <w:rPr>
          <w:spacing w:val="-5"/>
          <w:w w:val="110"/>
        </w:rPr>
        <w:t> </w:t>
      </w:r>
      <w:r>
        <w:rPr>
          <w:w w:val="110"/>
        </w:rPr>
        <w:t>del</w:t>
      </w:r>
      <w:r>
        <w:rPr>
          <w:spacing w:val="-5"/>
          <w:w w:val="110"/>
        </w:rPr>
        <w:t> </w:t>
      </w:r>
      <w:r>
        <w:rPr>
          <w:w w:val="110"/>
        </w:rPr>
        <w:t>Estado</w:t>
      </w:r>
      <w:r>
        <w:rPr>
          <w:spacing w:val="-5"/>
          <w:w w:val="110"/>
        </w:rPr>
        <w:t> </w:t>
      </w:r>
      <w:r>
        <w:rPr>
          <w:w w:val="110"/>
        </w:rPr>
        <w:t>con</w:t>
      </w:r>
      <w:r>
        <w:rPr>
          <w:spacing w:val="-5"/>
          <w:w w:val="110"/>
        </w:rPr>
        <w:t> </w:t>
      </w:r>
      <w:r>
        <w:rPr>
          <w:w w:val="110"/>
        </w:rPr>
        <w:t>los</w:t>
      </w:r>
      <w:r>
        <w:rPr>
          <w:spacing w:val="-5"/>
          <w:w w:val="110"/>
        </w:rPr>
        <w:t> </w:t>
      </w:r>
      <w:r>
        <w:rPr>
          <w:w w:val="110"/>
        </w:rPr>
        <w:t>de</w:t>
      </w:r>
      <w:r>
        <w:rPr>
          <w:spacing w:val="-5"/>
          <w:w w:val="110"/>
        </w:rPr>
        <w:t> </w:t>
      </w:r>
      <w:r>
        <w:rPr>
          <w:w w:val="110"/>
        </w:rPr>
        <w:t>las</w:t>
      </w:r>
      <w:r>
        <w:rPr>
          <w:spacing w:val="-5"/>
          <w:w w:val="110"/>
        </w:rPr>
        <w:t> </w:t>
      </w:r>
      <w:r>
        <w:rPr>
          <w:w w:val="110"/>
        </w:rPr>
        <w:t>flamantes</w:t>
      </w:r>
      <w:r>
        <w:rPr>
          <w:spacing w:val="-5"/>
          <w:w w:val="110"/>
        </w:rPr>
        <w:t> </w:t>
      </w:r>
      <w:r>
        <w:rPr>
          <w:w w:val="110"/>
        </w:rPr>
        <w:t>corporaciones transnacionales (CtN) y los de la institucionalidad científico-tecno- lógica y universitaria, conformando así el llamado Complejo Militar industrial (CMi) bajo la égida del Pentágono, el cual trazaría, coordi- naría e incluso administraría las principales líneas de política y pro- gramas relacionados con la producción bélica para la victoria sobre el </w:t>
      </w:r>
      <w:r>
        <w:rPr>
          <w:i/>
          <w:w w:val="110"/>
        </w:rPr>
        <w:t>Eje</w:t>
      </w:r>
      <w:r>
        <w:rPr>
          <w:i/>
          <w:spacing w:val="28"/>
          <w:w w:val="110"/>
        </w:rPr>
        <w:t> </w:t>
      </w:r>
      <w:r>
        <w:rPr>
          <w:i/>
          <w:w w:val="110"/>
        </w:rPr>
        <w:t>Berlín-Roma-Tokio.</w:t>
      </w:r>
    </w:p>
    <w:p>
      <w:pPr>
        <w:pStyle w:val="BodyText"/>
        <w:spacing w:line="252" w:lineRule="auto"/>
        <w:ind w:left="330" w:right="117" w:firstLine="396"/>
        <w:jc w:val="both"/>
      </w:pPr>
      <w:r>
        <w:rPr>
          <w:w w:val="110"/>
        </w:rPr>
        <w:t>se lograrían así significativas sinergias mediante la  concentra- ción de </w:t>
      </w:r>
      <w:r>
        <w:rPr>
          <w:i/>
          <w:w w:val="110"/>
        </w:rPr>
        <w:t>masa crítica </w:t>
      </w:r>
      <w:r>
        <w:rPr>
          <w:w w:val="110"/>
        </w:rPr>
        <w:t>intelectual, financiera y material en plazos ex- tremadamente cortos, para crear armamentos radicalmente nuevos, basados en los más recientes hitos de la ciencia y la ingeniería, y</w:t>
      </w:r>
    </w:p>
    <w:p>
      <w:pPr>
        <w:spacing w:line="252" w:lineRule="auto" w:before="0"/>
        <w:ind w:left="330" w:right="117" w:firstLine="0"/>
        <w:jc w:val="both"/>
        <w:rPr>
          <w:sz w:val="19"/>
        </w:rPr>
      </w:pPr>
      <w:r>
        <w:rPr>
          <w:w w:val="110"/>
          <w:sz w:val="19"/>
        </w:rPr>
        <w:t>–relevantemente– el </w:t>
      </w:r>
      <w:r>
        <w:rPr>
          <w:i/>
          <w:w w:val="110"/>
          <w:sz w:val="19"/>
        </w:rPr>
        <w:t>Proyecto Manhattan</w:t>
      </w:r>
      <w:r>
        <w:rPr>
          <w:w w:val="110"/>
          <w:sz w:val="19"/>
        </w:rPr>
        <w:t>, en pos del arma </w:t>
      </w:r>
      <w:r>
        <w:rPr>
          <w:spacing w:val="-3"/>
          <w:w w:val="110"/>
          <w:sz w:val="19"/>
        </w:rPr>
        <w:t>nuclear. </w:t>
      </w:r>
      <w:r>
        <w:rPr>
          <w:w w:val="110"/>
          <w:sz w:val="19"/>
        </w:rPr>
        <w:t>así EE.uu. irrumpiría en la </w:t>
      </w:r>
      <w:r>
        <w:rPr>
          <w:i/>
          <w:w w:val="110"/>
          <w:sz w:val="19"/>
        </w:rPr>
        <w:t>Revolución Científico-Técnica</w:t>
      </w:r>
      <w:r>
        <w:rPr>
          <w:w w:val="110"/>
          <w:sz w:val="19"/>
        </w:rPr>
        <w:t>,  inaugurando una nueva </w:t>
      </w:r>
      <w:r>
        <w:rPr>
          <w:i/>
          <w:w w:val="110"/>
          <w:sz w:val="19"/>
        </w:rPr>
        <w:t>era de oportunidades y peligros </w:t>
      </w:r>
      <w:r>
        <w:rPr>
          <w:w w:val="110"/>
          <w:sz w:val="19"/>
        </w:rPr>
        <w:t>para la humanidad. Esa capacidad científico-tecnológica-innovativa asociada a su aporte al triunfo sobre el fascismo lo situaría, junto a otros, en el pedestal de    la  hegemonía</w:t>
      </w:r>
      <w:r>
        <w:rPr>
          <w:spacing w:val="10"/>
          <w:w w:val="110"/>
          <w:sz w:val="19"/>
        </w:rPr>
        <w:t> </w:t>
      </w:r>
      <w:r>
        <w:rPr>
          <w:w w:val="110"/>
          <w:sz w:val="19"/>
        </w:rPr>
        <w:t>mundial.</w:t>
      </w:r>
    </w:p>
    <w:p>
      <w:pPr>
        <w:pStyle w:val="BodyText"/>
        <w:spacing w:line="252" w:lineRule="auto"/>
        <w:ind w:left="330" w:right="118" w:firstLine="396"/>
        <w:jc w:val="both"/>
      </w:pPr>
      <w:r>
        <w:rPr>
          <w:w w:val="115"/>
        </w:rPr>
        <w:t>No</w:t>
      </w:r>
      <w:r>
        <w:rPr>
          <w:spacing w:val="-6"/>
          <w:w w:val="115"/>
        </w:rPr>
        <w:t> </w:t>
      </w:r>
      <w:r>
        <w:rPr>
          <w:w w:val="115"/>
        </w:rPr>
        <w:t>obstante</w:t>
      </w:r>
      <w:r>
        <w:rPr>
          <w:spacing w:val="-6"/>
          <w:w w:val="115"/>
        </w:rPr>
        <w:t> </w:t>
      </w:r>
      <w:r>
        <w:rPr>
          <w:w w:val="115"/>
        </w:rPr>
        <w:t>–tal</w:t>
      </w:r>
      <w:r>
        <w:rPr>
          <w:spacing w:val="-6"/>
          <w:w w:val="115"/>
        </w:rPr>
        <w:t> </w:t>
      </w:r>
      <w:r>
        <w:rPr>
          <w:w w:val="115"/>
        </w:rPr>
        <w:t>como</w:t>
      </w:r>
      <w:r>
        <w:rPr>
          <w:spacing w:val="-6"/>
          <w:w w:val="115"/>
        </w:rPr>
        <w:t> </w:t>
      </w:r>
      <w:r>
        <w:rPr>
          <w:w w:val="115"/>
        </w:rPr>
        <w:t>actúan</w:t>
      </w:r>
      <w:r>
        <w:rPr>
          <w:spacing w:val="-6"/>
          <w:w w:val="115"/>
        </w:rPr>
        <w:t> </w:t>
      </w:r>
      <w:r>
        <w:rPr>
          <w:w w:val="115"/>
        </w:rPr>
        <w:t>las</w:t>
      </w:r>
      <w:r>
        <w:rPr>
          <w:spacing w:val="-6"/>
          <w:w w:val="115"/>
        </w:rPr>
        <w:t> </w:t>
      </w:r>
      <w:r>
        <w:rPr>
          <w:w w:val="115"/>
        </w:rPr>
        <w:t>leyes</w:t>
      </w:r>
      <w:r>
        <w:rPr>
          <w:spacing w:val="-6"/>
          <w:w w:val="115"/>
        </w:rPr>
        <w:t> </w:t>
      </w:r>
      <w:r>
        <w:rPr>
          <w:w w:val="115"/>
        </w:rPr>
        <w:t>de</w:t>
      </w:r>
      <w:r>
        <w:rPr>
          <w:spacing w:val="-6"/>
          <w:w w:val="115"/>
        </w:rPr>
        <w:t> </w:t>
      </w:r>
      <w:r>
        <w:rPr>
          <w:w w:val="115"/>
        </w:rPr>
        <w:t>la</w:t>
      </w:r>
      <w:r>
        <w:rPr>
          <w:spacing w:val="-6"/>
          <w:w w:val="115"/>
        </w:rPr>
        <w:t> </w:t>
      </w:r>
      <w:r>
        <w:rPr>
          <w:w w:val="115"/>
        </w:rPr>
        <w:t>dialéctica–</w:t>
      </w:r>
      <w:r>
        <w:rPr>
          <w:spacing w:val="-6"/>
          <w:w w:val="115"/>
        </w:rPr>
        <w:t> </w:t>
      </w:r>
      <w:r>
        <w:rPr>
          <w:w w:val="115"/>
        </w:rPr>
        <w:t>los</w:t>
      </w:r>
      <w:r>
        <w:rPr>
          <w:spacing w:val="-6"/>
          <w:w w:val="115"/>
        </w:rPr>
        <w:t> </w:t>
      </w:r>
      <w:r>
        <w:rPr>
          <w:w w:val="115"/>
        </w:rPr>
        <w:t>mis- mos</w:t>
      </w:r>
      <w:r>
        <w:rPr>
          <w:spacing w:val="-23"/>
          <w:w w:val="115"/>
        </w:rPr>
        <w:t> </w:t>
      </w:r>
      <w:r>
        <w:rPr>
          <w:w w:val="115"/>
        </w:rPr>
        <w:t>fenómenos</w:t>
      </w:r>
      <w:r>
        <w:rPr>
          <w:spacing w:val="-23"/>
          <w:w w:val="115"/>
        </w:rPr>
        <w:t> </w:t>
      </w:r>
      <w:r>
        <w:rPr>
          <w:w w:val="115"/>
        </w:rPr>
        <w:t>de</w:t>
      </w:r>
      <w:r>
        <w:rPr>
          <w:spacing w:val="-23"/>
          <w:w w:val="115"/>
        </w:rPr>
        <w:t> </w:t>
      </w:r>
      <w:r>
        <w:rPr>
          <w:w w:val="115"/>
        </w:rPr>
        <w:t>esencia</w:t>
      </w:r>
      <w:r>
        <w:rPr>
          <w:spacing w:val="-23"/>
          <w:w w:val="115"/>
        </w:rPr>
        <w:t> </w:t>
      </w:r>
      <w:r>
        <w:rPr>
          <w:w w:val="115"/>
        </w:rPr>
        <w:t>que</w:t>
      </w:r>
      <w:r>
        <w:rPr>
          <w:spacing w:val="-23"/>
          <w:w w:val="115"/>
        </w:rPr>
        <w:t> </w:t>
      </w:r>
      <w:r>
        <w:rPr>
          <w:w w:val="115"/>
        </w:rPr>
        <w:t>caracterizarían</w:t>
      </w:r>
      <w:r>
        <w:rPr>
          <w:spacing w:val="-23"/>
          <w:w w:val="115"/>
        </w:rPr>
        <w:t> </w:t>
      </w:r>
      <w:r>
        <w:rPr>
          <w:w w:val="115"/>
        </w:rPr>
        <w:t>el</w:t>
      </w:r>
      <w:r>
        <w:rPr>
          <w:spacing w:val="-23"/>
          <w:w w:val="115"/>
        </w:rPr>
        <w:t> </w:t>
      </w:r>
      <w:r>
        <w:rPr>
          <w:w w:val="115"/>
        </w:rPr>
        <w:t>funcionamiento</w:t>
      </w:r>
      <w:r>
        <w:rPr>
          <w:spacing w:val="-23"/>
          <w:w w:val="115"/>
        </w:rPr>
        <w:t> </w:t>
      </w:r>
      <w:r>
        <w:rPr>
          <w:w w:val="115"/>
        </w:rPr>
        <w:t>del sistema y contribuirían –en su momento y entorno– al auge de he- gemonía en esta esfera, conducirían –más adelante y en un mundo cambiante–</w:t>
      </w:r>
      <w:r>
        <w:rPr>
          <w:spacing w:val="-4"/>
          <w:w w:val="115"/>
        </w:rPr>
        <w:t> </w:t>
      </w:r>
      <w:r>
        <w:rPr>
          <w:w w:val="115"/>
        </w:rPr>
        <w:t>hacia</w:t>
      </w:r>
      <w:r>
        <w:rPr>
          <w:spacing w:val="-4"/>
          <w:w w:val="115"/>
        </w:rPr>
        <w:t> </w:t>
      </w:r>
      <w:r>
        <w:rPr>
          <w:w w:val="115"/>
        </w:rPr>
        <w:t>su</w:t>
      </w:r>
      <w:r>
        <w:rPr>
          <w:spacing w:val="-4"/>
          <w:w w:val="115"/>
        </w:rPr>
        <w:t> </w:t>
      </w:r>
      <w:r>
        <w:rPr>
          <w:w w:val="115"/>
        </w:rPr>
        <w:t>decadencia,</w:t>
      </w:r>
      <w:r>
        <w:rPr>
          <w:spacing w:val="-4"/>
          <w:w w:val="115"/>
        </w:rPr>
        <w:t> </w:t>
      </w:r>
      <w:r>
        <w:rPr>
          <w:w w:val="115"/>
        </w:rPr>
        <w:t>ante</w:t>
      </w:r>
      <w:r>
        <w:rPr>
          <w:spacing w:val="-4"/>
          <w:w w:val="115"/>
        </w:rPr>
        <w:t> </w:t>
      </w:r>
      <w:r>
        <w:rPr>
          <w:w w:val="115"/>
        </w:rPr>
        <w:t>la</w:t>
      </w:r>
      <w:r>
        <w:rPr>
          <w:spacing w:val="-4"/>
          <w:w w:val="115"/>
        </w:rPr>
        <w:t> </w:t>
      </w:r>
      <w:r>
        <w:rPr>
          <w:w w:val="115"/>
        </w:rPr>
        <w:t>conciencia</w:t>
      </w:r>
      <w:r>
        <w:rPr>
          <w:spacing w:val="-4"/>
          <w:w w:val="115"/>
        </w:rPr>
        <w:t> </w:t>
      </w:r>
      <w:r>
        <w:rPr>
          <w:w w:val="115"/>
        </w:rPr>
        <w:t>de</w:t>
      </w:r>
      <w:r>
        <w:rPr>
          <w:spacing w:val="-4"/>
          <w:w w:val="115"/>
        </w:rPr>
        <w:t> </w:t>
      </w:r>
      <w:r>
        <w:rPr>
          <w:w w:val="115"/>
        </w:rPr>
        <w:t>cada</w:t>
      </w:r>
      <w:r>
        <w:rPr>
          <w:spacing w:val="-4"/>
          <w:w w:val="115"/>
        </w:rPr>
        <w:t> </w:t>
      </w:r>
      <w:r>
        <w:rPr>
          <w:w w:val="115"/>
        </w:rPr>
        <w:t>vez</w:t>
      </w:r>
      <w:r>
        <w:rPr>
          <w:spacing w:val="-4"/>
          <w:w w:val="115"/>
        </w:rPr>
        <w:t> </w:t>
      </w:r>
      <w:r>
        <w:rPr>
          <w:w w:val="115"/>
        </w:rPr>
        <w:t>más amplias capas de la población mundial y del propio</w:t>
      </w:r>
      <w:r>
        <w:rPr>
          <w:spacing w:val="-12"/>
          <w:w w:val="115"/>
        </w:rPr>
        <w:t> </w:t>
      </w:r>
      <w:r>
        <w:rPr>
          <w:w w:val="115"/>
        </w:rPr>
        <w:t>EE.uu.</w:t>
      </w:r>
    </w:p>
    <w:p>
      <w:pPr>
        <w:pStyle w:val="BodyText"/>
        <w:spacing w:line="252" w:lineRule="auto"/>
        <w:ind w:left="330" w:right="114" w:firstLine="396"/>
        <w:jc w:val="both"/>
      </w:pPr>
      <w:r>
        <w:rPr>
          <w:w w:val="115"/>
        </w:rPr>
        <w:t>una vez </w:t>
      </w:r>
      <w:r>
        <w:rPr>
          <w:spacing w:val="2"/>
          <w:w w:val="115"/>
        </w:rPr>
        <w:t>terminada </w:t>
      </w:r>
      <w:r>
        <w:rPr>
          <w:w w:val="115"/>
        </w:rPr>
        <w:t>la </w:t>
      </w:r>
      <w:r>
        <w:rPr>
          <w:spacing w:val="2"/>
          <w:w w:val="115"/>
        </w:rPr>
        <w:t>segunda Guerra Mundial, </w:t>
      </w:r>
      <w:r>
        <w:rPr>
          <w:w w:val="115"/>
        </w:rPr>
        <w:t>la </w:t>
      </w:r>
      <w:r>
        <w:rPr>
          <w:spacing w:val="3"/>
          <w:w w:val="115"/>
        </w:rPr>
        <w:t>economía </w:t>
      </w:r>
      <w:r>
        <w:rPr>
          <w:spacing w:val="2"/>
          <w:w w:val="115"/>
        </w:rPr>
        <w:t>norteamericana –lejos </w:t>
      </w:r>
      <w:r>
        <w:rPr>
          <w:w w:val="115"/>
        </w:rPr>
        <w:t>de </w:t>
      </w:r>
      <w:r>
        <w:rPr>
          <w:spacing w:val="2"/>
          <w:w w:val="115"/>
        </w:rPr>
        <w:t>volver </w:t>
      </w:r>
      <w:r>
        <w:rPr>
          <w:w w:val="115"/>
        </w:rPr>
        <w:t>a </w:t>
      </w:r>
      <w:r>
        <w:rPr>
          <w:spacing w:val="2"/>
          <w:w w:val="115"/>
        </w:rPr>
        <w:t>cauces pacíficos– institucio- nalizaría </w:t>
      </w:r>
      <w:r>
        <w:rPr>
          <w:i/>
          <w:w w:val="115"/>
        </w:rPr>
        <w:t>ad </w:t>
      </w:r>
      <w:r>
        <w:rPr>
          <w:i/>
          <w:spacing w:val="2"/>
          <w:w w:val="115"/>
        </w:rPr>
        <w:t>aeternum </w:t>
      </w:r>
      <w:r>
        <w:rPr>
          <w:w w:val="115"/>
        </w:rPr>
        <w:t>el </w:t>
      </w:r>
      <w:r>
        <w:rPr>
          <w:spacing w:val="2"/>
          <w:w w:val="115"/>
        </w:rPr>
        <w:t>pacto </w:t>
      </w:r>
      <w:r>
        <w:rPr>
          <w:w w:val="115"/>
        </w:rPr>
        <w:t>que </w:t>
      </w:r>
      <w:r>
        <w:rPr>
          <w:spacing w:val="2"/>
          <w:w w:val="115"/>
        </w:rPr>
        <w:t>condujera </w:t>
      </w:r>
      <w:r>
        <w:rPr>
          <w:w w:val="115"/>
        </w:rPr>
        <w:t>a la </w:t>
      </w:r>
      <w:r>
        <w:rPr>
          <w:spacing w:val="2"/>
          <w:w w:val="115"/>
        </w:rPr>
        <w:t>creación </w:t>
      </w:r>
      <w:r>
        <w:rPr>
          <w:spacing w:val="3"/>
          <w:w w:val="115"/>
        </w:rPr>
        <w:t>del </w:t>
      </w:r>
      <w:r>
        <w:rPr>
          <w:spacing w:val="2"/>
          <w:w w:val="115"/>
        </w:rPr>
        <w:t>CMi. </w:t>
      </w:r>
      <w:r>
        <w:rPr>
          <w:w w:val="115"/>
        </w:rPr>
        <w:t>se </w:t>
      </w:r>
      <w:r>
        <w:rPr>
          <w:spacing w:val="2"/>
          <w:w w:val="115"/>
        </w:rPr>
        <w:t>observaría </w:t>
      </w:r>
      <w:r>
        <w:rPr>
          <w:w w:val="115"/>
        </w:rPr>
        <w:t>que </w:t>
      </w:r>
      <w:r>
        <w:rPr>
          <w:spacing w:val="2"/>
          <w:w w:val="115"/>
        </w:rPr>
        <w:t>–durante </w:t>
      </w:r>
      <w:r>
        <w:rPr>
          <w:w w:val="115"/>
        </w:rPr>
        <w:t>su </w:t>
      </w:r>
      <w:r>
        <w:rPr>
          <w:spacing w:val="2"/>
          <w:w w:val="115"/>
        </w:rPr>
        <w:t>funcionamiento </w:t>
      </w:r>
      <w:r>
        <w:rPr>
          <w:w w:val="115"/>
        </w:rPr>
        <w:t>en los  </w:t>
      </w:r>
      <w:r>
        <w:rPr>
          <w:spacing w:val="3"/>
          <w:w w:val="115"/>
        </w:rPr>
        <w:t>años </w:t>
      </w:r>
      <w:r>
        <w:rPr>
          <w:w w:val="115"/>
        </w:rPr>
        <w:t>de </w:t>
      </w:r>
      <w:r>
        <w:rPr>
          <w:spacing w:val="2"/>
          <w:w w:val="115"/>
        </w:rPr>
        <w:t>conflagración– </w:t>
      </w:r>
      <w:r>
        <w:rPr>
          <w:w w:val="115"/>
        </w:rPr>
        <w:t>el </w:t>
      </w:r>
      <w:r>
        <w:rPr>
          <w:spacing w:val="2"/>
          <w:w w:val="115"/>
        </w:rPr>
        <w:t>financiamiento otorgado </w:t>
      </w:r>
      <w:r>
        <w:rPr>
          <w:w w:val="115"/>
        </w:rPr>
        <w:t>a las </w:t>
      </w:r>
      <w:r>
        <w:rPr>
          <w:w w:val="125"/>
        </w:rPr>
        <w:t>CtN </w:t>
      </w:r>
      <w:r>
        <w:rPr>
          <w:spacing w:val="3"/>
          <w:w w:val="115"/>
        </w:rPr>
        <w:t>mediante </w:t>
      </w:r>
      <w:r>
        <w:rPr>
          <w:w w:val="115"/>
        </w:rPr>
        <w:t>el </w:t>
      </w:r>
      <w:r>
        <w:rPr>
          <w:spacing w:val="2"/>
          <w:w w:val="115"/>
        </w:rPr>
        <w:t>encargo </w:t>
      </w:r>
      <w:r>
        <w:rPr>
          <w:w w:val="115"/>
        </w:rPr>
        <w:t>militar-estatal, no </w:t>
      </w:r>
      <w:r>
        <w:rPr>
          <w:spacing w:val="2"/>
          <w:w w:val="115"/>
        </w:rPr>
        <w:t>solo </w:t>
      </w:r>
      <w:r>
        <w:rPr>
          <w:w w:val="115"/>
        </w:rPr>
        <w:t>les </w:t>
      </w:r>
      <w:r>
        <w:rPr>
          <w:spacing w:val="2"/>
          <w:w w:val="115"/>
        </w:rPr>
        <w:t>proporcionaría pingües </w:t>
      </w:r>
      <w:r>
        <w:rPr>
          <w:w w:val="115"/>
        </w:rPr>
        <w:t>in- </w:t>
      </w:r>
      <w:r>
        <w:rPr>
          <w:spacing w:val="2"/>
          <w:w w:val="115"/>
        </w:rPr>
        <w:t>gresos </w:t>
      </w:r>
      <w:r>
        <w:rPr>
          <w:w w:val="115"/>
        </w:rPr>
        <w:t>por la </w:t>
      </w:r>
      <w:r>
        <w:rPr>
          <w:spacing w:val="2"/>
          <w:w w:val="115"/>
        </w:rPr>
        <w:t>producción </w:t>
      </w:r>
      <w:r>
        <w:rPr>
          <w:w w:val="115"/>
        </w:rPr>
        <w:t>del </w:t>
      </w:r>
      <w:r>
        <w:rPr>
          <w:spacing w:val="2"/>
          <w:w w:val="115"/>
        </w:rPr>
        <w:t>novedoso material bélico </w:t>
      </w:r>
      <w:r>
        <w:rPr>
          <w:spacing w:val="3"/>
          <w:w w:val="115"/>
        </w:rPr>
        <w:t>–logrado </w:t>
      </w:r>
      <w:r>
        <w:rPr>
          <w:spacing w:val="2"/>
          <w:w w:val="115"/>
        </w:rPr>
        <w:t>mediante investigación </w:t>
      </w:r>
      <w:r>
        <w:rPr>
          <w:w w:val="115"/>
        </w:rPr>
        <w:t>y </w:t>
      </w:r>
      <w:r>
        <w:rPr>
          <w:spacing w:val="2"/>
          <w:w w:val="115"/>
        </w:rPr>
        <w:t>desarrollo (i+d) subvencionados– </w:t>
      </w:r>
      <w:r>
        <w:rPr>
          <w:spacing w:val="3"/>
          <w:w w:val="115"/>
        </w:rPr>
        <w:t>sino </w:t>
      </w:r>
      <w:r>
        <w:rPr>
          <w:spacing w:val="2"/>
          <w:w w:val="115"/>
        </w:rPr>
        <w:t>también </w:t>
      </w:r>
      <w:r>
        <w:rPr>
          <w:w w:val="115"/>
        </w:rPr>
        <w:t>por la </w:t>
      </w:r>
      <w:r>
        <w:rPr>
          <w:spacing w:val="2"/>
          <w:w w:val="115"/>
        </w:rPr>
        <w:t>apropiación/privatización </w:t>
      </w:r>
      <w:r>
        <w:rPr>
          <w:w w:val="115"/>
        </w:rPr>
        <w:t>de </w:t>
      </w:r>
      <w:r>
        <w:rPr>
          <w:spacing w:val="2"/>
          <w:w w:val="115"/>
        </w:rPr>
        <w:t>dichos conocimien- </w:t>
      </w:r>
      <w:r>
        <w:rPr>
          <w:w w:val="115"/>
        </w:rPr>
        <w:t>tos y su </w:t>
      </w:r>
      <w:r>
        <w:rPr>
          <w:spacing w:val="2"/>
          <w:w w:val="115"/>
        </w:rPr>
        <w:t>aplicación colateral </w:t>
      </w:r>
      <w:r>
        <w:rPr>
          <w:w w:val="115"/>
        </w:rPr>
        <w:t>en la </w:t>
      </w:r>
      <w:r>
        <w:rPr>
          <w:spacing w:val="2"/>
          <w:w w:val="115"/>
        </w:rPr>
        <w:t>producción civil para </w:t>
      </w:r>
      <w:r>
        <w:rPr>
          <w:w w:val="115"/>
        </w:rPr>
        <w:t>el </w:t>
      </w:r>
      <w:r>
        <w:rPr>
          <w:spacing w:val="2"/>
          <w:w w:val="115"/>
        </w:rPr>
        <w:t>merca- </w:t>
      </w:r>
      <w:r>
        <w:rPr>
          <w:w w:val="115"/>
        </w:rPr>
        <w:t>do, los </w:t>
      </w:r>
      <w:r>
        <w:rPr>
          <w:spacing w:val="2"/>
          <w:w w:val="115"/>
        </w:rPr>
        <w:t>llamados</w:t>
      </w:r>
      <w:r>
        <w:rPr>
          <w:spacing w:val="48"/>
          <w:w w:val="115"/>
        </w:rPr>
        <w:t> </w:t>
      </w:r>
      <w:r>
        <w:rPr>
          <w:i/>
          <w:spacing w:val="2"/>
          <w:w w:val="115"/>
        </w:rPr>
        <w:t>derrames</w:t>
      </w:r>
      <w:r>
        <w:rPr>
          <w:spacing w:val="2"/>
          <w:w w:val="115"/>
        </w:rPr>
        <w:t>.</w:t>
      </w:r>
    </w:p>
    <w:p>
      <w:pPr>
        <w:pStyle w:val="BodyText"/>
        <w:spacing w:line="252" w:lineRule="auto"/>
        <w:ind w:left="330" w:right="117" w:firstLine="396"/>
        <w:jc w:val="both"/>
      </w:pPr>
      <w:r>
        <w:rPr>
          <w:w w:val="243"/>
        </w:rPr>
        <w:t>l</w:t>
      </w:r>
      <w:r>
        <w:rPr>
          <w:w w:val="112"/>
        </w:rPr>
        <w:t>a</w:t>
      </w:r>
      <w:r>
        <w:rPr/>
        <w:t> </w:t>
      </w:r>
      <w:r>
        <w:rPr>
          <w:spacing w:val="-10"/>
        </w:rPr>
        <w:t> </w:t>
      </w:r>
      <w:r>
        <w:rPr>
          <w:i/>
          <w:w w:val="108"/>
        </w:rPr>
        <w:t>pentagonización</w:t>
      </w:r>
      <w:r>
        <w:rPr>
          <w:i/>
        </w:rPr>
        <w:t> </w:t>
      </w:r>
      <w:r>
        <w:rPr>
          <w:i/>
          <w:spacing w:val="-10"/>
        </w:rPr>
        <w:t> </w:t>
      </w:r>
      <w:r>
        <w:rPr>
          <w:w w:val="107"/>
        </w:rPr>
        <w:t>de</w:t>
      </w:r>
      <w:r>
        <w:rPr/>
        <w:t> </w:t>
      </w:r>
      <w:r>
        <w:rPr>
          <w:spacing w:val="-10"/>
        </w:rPr>
        <w:t> </w:t>
      </w:r>
      <w:r>
        <w:rPr>
          <w:w w:val="111"/>
        </w:rPr>
        <w:t>la</w:t>
      </w:r>
      <w:r>
        <w:rPr/>
        <w:t> </w:t>
      </w:r>
      <w:r>
        <w:rPr>
          <w:spacing w:val="-10"/>
        </w:rPr>
        <w:t> </w:t>
      </w:r>
      <w:r>
        <w:rPr>
          <w:w w:val="111"/>
        </w:rPr>
        <w:t>economía</w:t>
      </w:r>
      <w:r>
        <w:rPr/>
        <w:t> </w:t>
      </w:r>
      <w:r>
        <w:rPr>
          <w:spacing w:val="-10"/>
        </w:rPr>
        <w:t> </w:t>
      </w:r>
      <w:r>
        <w:rPr>
          <w:w w:val="110"/>
        </w:rPr>
        <w:t>justificaría</w:t>
      </w:r>
      <w:r>
        <w:rPr/>
        <w:t> </w:t>
      </w:r>
      <w:r>
        <w:rPr>
          <w:spacing w:val="-10"/>
        </w:rPr>
        <w:t> </w:t>
      </w:r>
      <w:r>
        <w:rPr>
          <w:w w:val="109"/>
        </w:rPr>
        <w:t>para</w:t>
      </w:r>
      <w:r>
        <w:rPr/>
        <w:t> </w:t>
      </w:r>
      <w:r>
        <w:rPr>
          <w:spacing w:val="-10"/>
        </w:rPr>
        <w:t> </w:t>
      </w:r>
      <w:r>
        <w:rPr>
          <w:w w:val="109"/>
        </w:rPr>
        <w:t>las</w:t>
      </w:r>
      <w:r>
        <w:rPr/>
        <w:t> </w:t>
      </w:r>
      <w:r>
        <w:rPr>
          <w:spacing w:val="-10"/>
        </w:rPr>
        <w:t> </w:t>
      </w:r>
      <w:r>
        <w:rPr>
          <w:w w:val="124"/>
        </w:rPr>
        <w:t>C</w:t>
      </w:r>
      <w:r>
        <w:rPr>
          <w:w w:val="195"/>
        </w:rPr>
        <w:t>t</w:t>
      </w:r>
      <w:r>
        <w:rPr>
          <w:w w:val="119"/>
        </w:rPr>
        <w:t>N</w:t>
      </w:r>
      <w:r>
        <w:rPr/>
        <w:t> </w:t>
      </w:r>
      <w:r>
        <w:rPr>
          <w:spacing w:val="-10"/>
        </w:rPr>
        <w:t> </w:t>
      </w:r>
      <w:r>
        <w:rPr>
          <w:w w:val="112"/>
        </w:rPr>
        <w:t>un </w:t>
      </w:r>
      <w:r>
        <w:rPr>
          <w:w w:val="110"/>
        </w:rPr>
        <w:t>mecanismo propulsor y legitimador de cuotas de ganancia extraor- dinarias, gracias al asegurado encargo/demanda con precios sobre- dimensionados, exenciones oficiales de su contribución al fisco, el fi- nanciamiento estatal de los procesos de i+d, el lucro</w:t>
      </w:r>
      <w:r>
        <w:rPr>
          <w:spacing w:val="35"/>
          <w:w w:val="110"/>
        </w:rPr>
        <w:t> </w:t>
      </w:r>
      <w:r>
        <w:rPr>
          <w:w w:val="110"/>
        </w:rPr>
        <w:t>–frecuentemente</w:t>
      </w:r>
    </w:p>
    <w:p>
      <w:pPr>
        <w:spacing w:after="0" w:line="252" w:lineRule="auto"/>
        <w:jc w:val="both"/>
        <w:sectPr>
          <w:headerReference w:type="even" r:id="rId239"/>
          <w:headerReference w:type="default" r:id="rId240"/>
          <w:footerReference w:type="even" r:id="rId241"/>
          <w:footerReference w:type="default" r:id="rId242"/>
          <w:pgSz w:w="8790" w:h="12760"/>
          <w:pgMar w:header="697" w:footer="725" w:top="880" w:bottom="920" w:left="1200" w:right="900"/>
          <w:pgNumType w:start="164"/>
        </w:sectPr>
      </w:pPr>
    </w:p>
    <w:p>
      <w:pPr>
        <w:pStyle w:val="BodyText"/>
        <w:spacing w:before="9"/>
        <w:rPr>
          <w:sz w:val="28"/>
        </w:rPr>
      </w:pPr>
    </w:p>
    <w:p>
      <w:pPr>
        <w:pStyle w:val="BodyText"/>
        <w:spacing w:line="252" w:lineRule="auto" w:before="73"/>
        <w:ind w:left="100" w:right="194"/>
      </w:pPr>
      <w:r>
        <w:rPr>
          <w:w w:val="110"/>
        </w:rPr>
        <w:t>abusivo– con la propiedad intelectual así usurpada a la nación, y el efecto multiplicador de los </w:t>
      </w:r>
      <w:r>
        <w:rPr>
          <w:i/>
          <w:w w:val="110"/>
        </w:rPr>
        <w:t>derrames</w:t>
      </w:r>
      <w:r>
        <w:rPr>
          <w:w w:val="110"/>
        </w:rPr>
        <w:t>.</w:t>
      </w:r>
    </w:p>
    <w:p>
      <w:pPr>
        <w:pStyle w:val="BodyText"/>
        <w:spacing w:line="252" w:lineRule="auto"/>
        <w:ind w:left="100" w:right="328" w:firstLine="396"/>
        <w:jc w:val="both"/>
      </w:pPr>
      <w:r>
        <w:rPr>
          <w:w w:val="115"/>
        </w:rPr>
        <w:t>a la vez –como derrame político– en un inicio se garantizaría la paz</w:t>
      </w:r>
      <w:r>
        <w:rPr>
          <w:spacing w:val="-16"/>
          <w:w w:val="115"/>
        </w:rPr>
        <w:t> </w:t>
      </w:r>
      <w:r>
        <w:rPr>
          <w:w w:val="115"/>
        </w:rPr>
        <w:t>social</w:t>
      </w:r>
      <w:r>
        <w:rPr>
          <w:spacing w:val="-16"/>
          <w:w w:val="115"/>
        </w:rPr>
        <w:t> </w:t>
      </w:r>
      <w:r>
        <w:rPr>
          <w:w w:val="115"/>
        </w:rPr>
        <w:t>interna</w:t>
      </w:r>
      <w:r>
        <w:rPr>
          <w:spacing w:val="-16"/>
          <w:w w:val="115"/>
        </w:rPr>
        <w:t> </w:t>
      </w:r>
      <w:r>
        <w:rPr>
          <w:w w:val="115"/>
        </w:rPr>
        <w:t>del</w:t>
      </w:r>
      <w:r>
        <w:rPr>
          <w:spacing w:val="-16"/>
          <w:w w:val="115"/>
        </w:rPr>
        <w:t> </w:t>
      </w:r>
      <w:r>
        <w:rPr>
          <w:w w:val="115"/>
        </w:rPr>
        <w:t>llamado</w:t>
      </w:r>
      <w:r>
        <w:rPr>
          <w:spacing w:val="-16"/>
          <w:w w:val="115"/>
        </w:rPr>
        <w:t> </w:t>
      </w:r>
      <w:r>
        <w:rPr>
          <w:i/>
          <w:w w:val="115"/>
        </w:rPr>
        <w:t>Estado</w:t>
      </w:r>
      <w:r>
        <w:rPr>
          <w:i/>
          <w:spacing w:val="-16"/>
          <w:w w:val="115"/>
        </w:rPr>
        <w:t> </w:t>
      </w:r>
      <w:r>
        <w:rPr>
          <w:i/>
          <w:w w:val="115"/>
        </w:rPr>
        <w:t>Benefactor</w:t>
      </w:r>
      <w:r>
        <w:rPr>
          <w:i/>
          <w:spacing w:val="-16"/>
          <w:w w:val="115"/>
        </w:rPr>
        <w:t> </w:t>
      </w:r>
      <w:r>
        <w:rPr>
          <w:w w:val="115"/>
        </w:rPr>
        <w:t>en</w:t>
      </w:r>
      <w:r>
        <w:rPr>
          <w:spacing w:val="-16"/>
          <w:w w:val="115"/>
        </w:rPr>
        <w:t> </w:t>
      </w:r>
      <w:r>
        <w:rPr>
          <w:w w:val="115"/>
        </w:rPr>
        <w:t>amplias</w:t>
      </w:r>
      <w:r>
        <w:rPr>
          <w:spacing w:val="-16"/>
          <w:w w:val="115"/>
        </w:rPr>
        <w:t> </w:t>
      </w:r>
      <w:r>
        <w:rPr>
          <w:w w:val="115"/>
        </w:rPr>
        <w:t>capas</w:t>
      </w:r>
      <w:r>
        <w:rPr>
          <w:spacing w:val="-16"/>
          <w:w w:val="115"/>
        </w:rPr>
        <w:t> </w:t>
      </w:r>
      <w:r>
        <w:rPr>
          <w:w w:val="115"/>
        </w:rPr>
        <w:t>de la</w:t>
      </w:r>
      <w:r>
        <w:rPr>
          <w:spacing w:val="-24"/>
          <w:w w:val="115"/>
        </w:rPr>
        <w:t> </w:t>
      </w:r>
      <w:r>
        <w:rPr>
          <w:w w:val="115"/>
        </w:rPr>
        <w:t>población</w:t>
      </w:r>
      <w:r>
        <w:rPr>
          <w:spacing w:val="-24"/>
          <w:w w:val="115"/>
        </w:rPr>
        <w:t> </w:t>
      </w:r>
      <w:r>
        <w:rPr>
          <w:w w:val="115"/>
        </w:rPr>
        <w:t>laboral,</w:t>
      </w:r>
      <w:r>
        <w:rPr>
          <w:spacing w:val="-24"/>
          <w:w w:val="115"/>
        </w:rPr>
        <w:t> </w:t>
      </w:r>
      <w:r>
        <w:rPr>
          <w:w w:val="115"/>
        </w:rPr>
        <w:t>superando</w:t>
      </w:r>
      <w:r>
        <w:rPr>
          <w:spacing w:val="-24"/>
          <w:w w:val="115"/>
        </w:rPr>
        <w:t> </w:t>
      </w:r>
      <w:r>
        <w:rPr>
          <w:w w:val="115"/>
        </w:rPr>
        <w:t>el</w:t>
      </w:r>
      <w:r>
        <w:rPr>
          <w:spacing w:val="-24"/>
          <w:w w:val="115"/>
        </w:rPr>
        <w:t> </w:t>
      </w:r>
      <w:r>
        <w:rPr>
          <w:w w:val="115"/>
        </w:rPr>
        <w:t>alto</w:t>
      </w:r>
      <w:r>
        <w:rPr>
          <w:spacing w:val="-24"/>
          <w:w w:val="115"/>
        </w:rPr>
        <w:t> </w:t>
      </w:r>
      <w:r>
        <w:rPr>
          <w:w w:val="115"/>
        </w:rPr>
        <w:t>grado</w:t>
      </w:r>
      <w:r>
        <w:rPr>
          <w:spacing w:val="-24"/>
          <w:w w:val="115"/>
        </w:rPr>
        <w:t> </w:t>
      </w:r>
      <w:r>
        <w:rPr>
          <w:w w:val="115"/>
        </w:rPr>
        <w:t>de</w:t>
      </w:r>
      <w:r>
        <w:rPr>
          <w:spacing w:val="-24"/>
          <w:w w:val="115"/>
        </w:rPr>
        <w:t> </w:t>
      </w:r>
      <w:r>
        <w:rPr>
          <w:w w:val="115"/>
        </w:rPr>
        <w:t>desocupación,</w:t>
      </w:r>
      <w:r>
        <w:rPr>
          <w:spacing w:val="-24"/>
          <w:w w:val="115"/>
        </w:rPr>
        <w:t> </w:t>
      </w:r>
      <w:r>
        <w:rPr>
          <w:w w:val="115"/>
        </w:rPr>
        <w:t>margi- nación</w:t>
      </w:r>
      <w:r>
        <w:rPr>
          <w:spacing w:val="-4"/>
          <w:w w:val="115"/>
        </w:rPr>
        <w:t> </w:t>
      </w:r>
      <w:r>
        <w:rPr>
          <w:w w:val="115"/>
        </w:rPr>
        <w:t>e</w:t>
      </w:r>
      <w:r>
        <w:rPr>
          <w:spacing w:val="-4"/>
          <w:w w:val="115"/>
        </w:rPr>
        <w:t> </w:t>
      </w:r>
      <w:r>
        <w:rPr>
          <w:w w:val="115"/>
        </w:rPr>
        <w:t>indigencia</w:t>
      </w:r>
      <w:r>
        <w:rPr>
          <w:spacing w:val="-4"/>
          <w:w w:val="115"/>
        </w:rPr>
        <w:t> </w:t>
      </w:r>
      <w:r>
        <w:rPr>
          <w:w w:val="115"/>
        </w:rPr>
        <w:t>económica</w:t>
      </w:r>
      <w:r>
        <w:rPr>
          <w:spacing w:val="-4"/>
          <w:w w:val="115"/>
        </w:rPr>
        <w:t> </w:t>
      </w:r>
      <w:r>
        <w:rPr>
          <w:w w:val="115"/>
        </w:rPr>
        <w:t>y</w:t>
      </w:r>
      <w:r>
        <w:rPr>
          <w:spacing w:val="-4"/>
          <w:w w:val="115"/>
        </w:rPr>
        <w:t> </w:t>
      </w:r>
      <w:r>
        <w:rPr>
          <w:w w:val="115"/>
        </w:rPr>
        <w:t>social</w:t>
      </w:r>
      <w:r>
        <w:rPr>
          <w:spacing w:val="-4"/>
          <w:w w:val="115"/>
        </w:rPr>
        <w:t> </w:t>
      </w:r>
      <w:r>
        <w:rPr>
          <w:w w:val="115"/>
        </w:rPr>
        <w:t>heredado</w:t>
      </w:r>
      <w:r>
        <w:rPr>
          <w:spacing w:val="-4"/>
          <w:w w:val="115"/>
        </w:rPr>
        <w:t> </w:t>
      </w:r>
      <w:r>
        <w:rPr>
          <w:w w:val="115"/>
        </w:rPr>
        <w:t>del</w:t>
      </w:r>
      <w:r>
        <w:rPr>
          <w:spacing w:val="-4"/>
          <w:w w:val="115"/>
        </w:rPr>
        <w:t> </w:t>
      </w:r>
      <w:r>
        <w:rPr>
          <w:w w:val="115"/>
        </w:rPr>
        <w:t>Gran</w:t>
      </w:r>
      <w:r>
        <w:rPr>
          <w:spacing w:val="-4"/>
          <w:w w:val="115"/>
        </w:rPr>
        <w:t> </w:t>
      </w:r>
      <w:r>
        <w:rPr>
          <w:w w:val="115"/>
        </w:rPr>
        <w:t>Crack</w:t>
      </w:r>
      <w:r>
        <w:rPr>
          <w:spacing w:val="-4"/>
          <w:w w:val="115"/>
        </w:rPr>
        <w:t> </w:t>
      </w:r>
      <w:r>
        <w:rPr>
          <w:w w:val="115"/>
        </w:rPr>
        <w:t>del ’29</w:t>
      </w:r>
      <w:r>
        <w:rPr>
          <w:i/>
          <w:w w:val="115"/>
        </w:rPr>
        <w:t>.</w:t>
      </w:r>
      <w:r>
        <w:rPr>
          <w:i/>
          <w:spacing w:val="-26"/>
          <w:w w:val="115"/>
        </w:rPr>
        <w:t> </w:t>
      </w:r>
      <w:r>
        <w:rPr>
          <w:w w:val="115"/>
        </w:rPr>
        <w:t>a</w:t>
      </w:r>
      <w:r>
        <w:rPr>
          <w:spacing w:val="-26"/>
          <w:w w:val="115"/>
        </w:rPr>
        <w:t> </w:t>
      </w:r>
      <w:r>
        <w:rPr>
          <w:w w:val="115"/>
        </w:rPr>
        <w:t>este</w:t>
      </w:r>
      <w:r>
        <w:rPr>
          <w:spacing w:val="-26"/>
          <w:w w:val="115"/>
        </w:rPr>
        <w:t> </w:t>
      </w:r>
      <w:r>
        <w:rPr>
          <w:w w:val="115"/>
        </w:rPr>
        <w:t>modelo,</w:t>
      </w:r>
      <w:r>
        <w:rPr>
          <w:spacing w:val="-26"/>
          <w:w w:val="115"/>
        </w:rPr>
        <w:t> </w:t>
      </w:r>
      <w:r>
        <w:rPr>
          <w:w w:val="115"/>
        </w:rPr>
        <w:t>sustentado</w:t>
      </w:r>
      <w:r>
        <w:rPr>
          <w:spacing w:val="-26"/>
          <w:w w:val="115"/>
        </w:rPr>
        <w:t> </w:t>
      </w:r>
      <w:r>
        <w:rPr>
          <w:w w:val="115"/>
        </w:rPr>
        <w:t>artificialmente</w:t>
      </w:r>
      <w:r>
        <w:rPr>
          <w:spacing w:val="-26"/>
          <w:w w:val="115"/>
        </w:rPr>
        <w:t> </w:t>
      </w:r>
      <w:r>
        <w:rPr>
          <w:w w:val="115"/>
        </w:rPr>
        <w:t>por</w:t>
      </w:r>
      <w:r>
        <w:rPr>
          <w:spacing w:val="-26"/>
          <w:w w:val="115"/>
        </w:rPr>
        <w:t> </w:t>
      </w:r>
      <w:r>
        <w:rPr>
          <w:w w:val="115"/>
        </w:rPr>
        <w:t>la</w:t>
      </w:r>
      <w:r>
        <w:rPr>
          <w:spacing w:val="-26"/>
          <w:w w:val="115"/>
        </w:rPr>
        <w:t> </w:t>
      </w:r>
      <w:r>
        <w:rPr>
          <w:w w:val="115"/>
        </w:rPr>
        <w:t>eternización</w:t>
      </w:r>
      <w:r>
        <w:rPr>
          <w:spacing w:val="-26"/>
          <w:w w:val="115"/>
        </w:rPr>
        <w:t> </w:t>
      </w:r>
      <w:r>
        <w:rPr>
          <w:w w:val="115"/>
        </w:rPr>
        <w:t>de</w:t>
      </w:r>
      <w:r>
        <w:rPr>
          <w:spacing w:val="-26"/>
          <w:w w:val="115"/>
        </w:rPr>
        <w:t> </w:t>
      </w:r>
      <w:r>
        <w:rPr>
          <w:w w:val="115"/>
        </w:rPr>
        <w:t>la economía</w:t>
      </w:r>
      <w:r>
        <w:rPr>
          <w:spacing w:val="-19"/>
          <w:w w:val="115"/>
        </w:rPr>
        <w:t> </w:t>
      </w:r>
      <w:r>
        <w:rPr>
          <w:w w:val="115"/>
        </w:rPr>
        <w:t>de</w:t>
      </w:r>
      <w:r>
        <w:rPr>
          <w:spacing w:val="-19"/>
          <w:w w:val="115"/>
        </w:rPr>
        <w:t> </w:t>
      </w:r>
      <w:r>
        <w:rPr>
          <w:w w:val="115"/>
        </w:rPr>
        <w:t>guerra,</w:t>
      </w:r>
      <w:r>
        <w:rPr>
          <w:spacing w:val="-19"/>
          <w:w w:val="115"/>
        </w:rPr>
        <w:t> </w:t>
      </w:r>
      <w:r>
        <w:rPr>
          <w:w w:val="115"/>
        </w:rPr>
        <w:t>se</w:t>
      </w:r>
      <w:r>
        <w:rPr>
          <w:spacing w:val="-19"/>
          <w:w w:val="115"/>
        </w:rPr>
        <w:t> </w:t>
      </w:r>
      <w:r>
        <w:rPr>
          <w:w w:val="115"/>
        </w:rPr>
        <w:t>le</w:t>
      </w:r>
      <w:r>
        <w:rPr>
          <w:spacing w:val="-19"/>
          <w:w w:val="115"/>
        </w:rPr>
        <w:t> </w:t>
      </w:r>
      <w:r>
        <w:rPr>
          <w:w w:val="115"/>
        </w:rPr>
        <w:t>denominaría</w:t>
      </w:r>
      <w:r>
        <w:rPr>
          <w:spacing w:val="-19"/>
          <w:w w:val="115"/>
        </w:rPr>
        <w:t> </w:t>
      </w:r>
      <w:r>
        <w:rPr>
          <w:w w:val="115"/>
        </w:rPr>
        <w:t>“Keynesianismo</w:t>
      </w:r>
      <w:r>
        <w:rPr>
          <w:spacing w:val="-19"/>
          <w:w w:val="115"/>
        </w:rPr>
        <w:t> </w:t>
      </w:r>
      <w:r>
        <w:rPr>
          <w:w w:val="115"/>
        </w:rPr>
        <w:t>militar”</w:t>
      </w:r>
      <w:r>
        <w:rPr>
          <w:i/>
          <w:w w:val="115"/>
        </w:rPr>
        <w:t>.</w:t>
      </w:r>
      <w:r>
        <w:rPr>
          <w:i/>
          <w:spacing w:val="-19"/>
          <w:w w:val="115"/>
        </w:rPr>
        <w:t> </w:t>
      </w:r>
      <w:r>
        <w:rPr>
          <w:w w:val="115"/>
        </w:rPr>
        <w:t>Más recientemente,</w:t>
      </w:r>
      <w:r>
        <w:rPr>
          <w:spacing w:val="-18"/>
          <w:w w:val="115"/>
        </w:rPr>
        <w:t> </w:t>
      </w:r>
      <w:r>
        <w:rPr>
          <w:w w:val="115"/>
        </w:rPr>
        <w:t>éste</w:t>
      </w:r>
      <w:r>
        <w:rPr>
          <w:spacing w:val="-18"/>
          <w:w w:val="115"/>
        </w:rPr>
        <w:t> </w:t>
      </w:r>
      <w:r>
        <w:rPr>
          <w:w w:val="115"/>
        </w:rPr>
        <w:t>transitaría</w:t>
      </w:r>
      <w:r>
        <w:rPr>
          <w:spacing w:val="-18"/>
          <w:w w:val="115"/>
        </w:rPr>
        <w:t> </w:t>
      </w:r>
      <w:r>
        <w:rPr>
          <w:w w:val="115"/>
        </w:rPr>
        <w:t>hacia</w:t>
      </w:r>
      <w:r>
        <w:rPr>
          <w:spacing w:val="-18"/>
          <w:w w:val="115"/>
        </w:rPr>
        <w:t> </w:t>
      </w:r>
      <w:r>
        <w:rPr>
          <w:w w:val="115"/>
        </w:rPr>
        <w:t>los</w:t>
      </w:r>
      <w:r>
        <w:rPr>
          <w:spacing w:val="-18"/>
          <w:w w:val="115"/>
        </w:rPr>
        <w:t> </w:t>
      </w:r>
      <w:r>
        <w:rPr>
          <w:w w:val="115"/>
        </w:rPr>
        <w:t>cánones</w:t>
      </w:r>
      <w:r>
        <w:rPr>
          <w:spacing w:val="-18"/>
          <w:w w:val="115"/>
        </w:rPr>
        <w:t> </w:t>
      </w:r>
      <w:r>
        <w:rPr>
          <w:w w:val="115"/>
        </w:rPr>
        <w:t>neoliberales,</w:t>
      </w:r>
      <w:r>
        <w:rPr>
          <w:spacing w:val="-18"/>
          <w:w w:val="115"/>
        </w:rPr>
        <w:t> </w:t>
      </w:r>
      <w:r>
        <w:rPr>
          <w:w w:val="115"/>
        </w:rPr>
        <w:t>con</w:t>
      </w:r>
      <w:r>
        <w:rPr>
          <w:spacing w:val="-18"/>
          <w:w w:val="115"/>
        </w:rPr>
        <w:t> </w:t>
      </w:r>
      <w:r>
        <w:rPr>
          <w:w w:val="115"/>
        </w:rPr>
        <w:t>lo que se facilitaría el desentendimiento –por parte de las CtN– de los intereses</w:t>
      </w:r>
      <w:r>
        <w:rPr>
          <w:spacing w:val="-16"/>
          <w:w w:val="115"/>
        </w:rPr>
        <w:t> </w:t>
      </w:r>
      <w:r>
        <w:rPr>
          <w:w w:val="115"/>
        </w:rPr>
        <w:t>vitales</w:t>
      </w:r>
      <w:r>
        <w:rPr>
          <w:spacing w:val="-16"/>
          <w:w w:val="115"/>
        </w:rPr>
        <w:t> </w:t>
      </w:r>
      <w:r>
        <w:rPr>
          <w:w w:val="115"/>
        </w:rPr>
        <w:t>de</w:t>
      </w:r>
      <w:r>
        <w:rPr>
          <w:spacing w:val="-16"/>
          <w:w w:val="115"/>
        </w:rPr>
        <w:t> </w:t>
      </w:r>
      <w:r>
        <w:rPr>
          <w:w w:val="115"/>
        </w:rPr>
        <w:t>“su”</w:t>
      </w:r>
      <w:r>
        <w:rPr>
          <w:spacing w:val="-16"/>
          <w:w w:val="115"/>
        </w:rPr>
        <w:t> </w:t>
      </w:r>
      <w:r>
        <w:rPr>
          <w:w w:val="115"/>
        </w:rPr>
        <w:t>clase</w:t>
      </w:r>
      <w:r>
        <w:rPr>
          <w:spacing w:val="-16"/>
          <w:w w:val="115"/>
        </w:rPr>
        <w:t> </w:t>
      </w:r>
      <w:r>
        <w:rPr>
          <w:w w:val="115"/>
        </w:rPr>
        <w:t>obrera</w:t>
      </w:r>
      <w:r>
        <w:rPr>
          <w:spacing w:val="-16"/>
          <w:w w:val="115"/>
        </w:rPr>
        <w:t> </w:t>
      </w:r>
      <w:r>
        <w:rPr>
          <w:w w:val="115"/>
        </w:rPr>
        <w:t>metropolitana;</w:t>
      </w:r>
      <w:r>
        <w:rPr>
          <w:spacing w:val="-16"/>
          <w:w w:val="115"/>
        </w:rPr>
        <w:t> </w:t>
      </w:r>
      <w:r>
        <w:rPr>
          <w:w w:val="115"/>
        </w:rPr>
        <w:t>en</w:t>
      </w:r>
      <w:r>
        <w:rPr>
          <w:spacing w:val="-16"/>
          <w:w w:val="115"/>
        </w:rPr>
        <w:t> </w:t>
      </w:r>
      <w:r>
        <w:rPr>
          <w:w w:val="115"/>
        </w:rPr>
        <w:t>primer</w:t>
      </w:r>
      <w:r>
        <w:rPr>
          <w:spacing w:val="-16"/>
          <w:w w:val="115"/>
        </w:rPr>
        <w:t> </w:t>
      </w:r>
      <w:r>
        <w:rPr>
          <w:spacing w:val="-4"/>
          <w:w w:val="115"/>
        </w:rPr>
        <w:t>lugar, </w:t>
      </w:r>
      <w:r>
        <w:rPr>
          <w:w w:val="115"/>
        </w:rPr>
        <w:t>de</w:t>
      </w:r>
      <w:r>
        <w:rPr>
          <w:spacing w:val="-30"/>
          <w:w w:val="115"/>
        </w:rPr>
        <w:t> </w:t>
      </w:r>
      <w:r>
        <w:rPr>
          <w:w w:val="115"/>
        </w:rPr>
        <w:t>los</w:t>
      </w:r>
      <w:r>
        <w:rPr>
          <w:spacing w:val="-30"/>
          <w:w w:val="115"/>
        </w:rPr>
        <w:t> </w:t>
      </w:r>
      <w:r>
        <w:rPr>
          <w:w w:val="115"/>
        </w:rPr>
        <w:t>llamados</w:t>
      </w:r>
      <w:r>
        <w:rPr>
          <w:spacing w:val="-30"/>
          <w:w w:val="115"/>
        </w:rPr>
        <w:t> </w:t>
      </w:r>
      <w:r>
        <w:rPr>
          <w:i/>
          <w:w w:val="115"/>
        </w:rPr>
        <w:t>cuellos</w:t>
      </w:r>
      <w:r>
        <w:rPr>
          <w:i/>
          <w:spacing w:val="-30"/>
          <w:w w:val="115"/>
        </w:rPr>
        <w:t> </w:t>
      </w:r>
      <w:r>
        <w:rPr>
          <w:i/>
          <w:w w:val="115"/>
        </w:rPr>
        <w:t>azules</w:t>
      </w:r>
      <w:r>
        <w:rPr>
          <w:i/>
          <w:spacing w:val="-30"/>
          <w:w w:val="115"/>
        </w:rPr>
        <w:t> </w:t>
      </w:r>
      <w:r>
        <w:rPr>
          <w:spacing w:val="-11"/>
          <w:w w:val="115"/>
        </w:rPr>
        <w:t>y,</w:t>
      </w:r>
      <w:r>
        <w:rPr>
          <w:spacing w:val="-30"/>
          <w:w w:val="115"/>
        </w:rPr>
        <w:t> </w:t>
      </w:r>
      <w:r>
        <w:rPr>
          <w:w w:val="115"/>
        </w:rPr>
        <w:t>crecientemente</w:t>
      </w:r>
      <w:r>
        <w:rPr>
          <w:spacing w:val="-30"/>
          <w:w w:val="115"/>
        </w:rPr>
        <w:t> </w:t>
      </w:r>
      <w:r>
        <w:rPr>
          <w:w w:val="115"/>
        </w:rPr>
        <w:t>también,</w:t>
      </w:r>
      <w:r>
        <w:rPr>
          <w:spacing w:val="-30"/>
          <w:w w:val="115"/>
        </w:rPr>
        <w:t> </w:t>
      </w:r>
      <w:r>
        <w:rPr>
          <w:w w:val="115"/>
        </w:rPr>
        <w:t>de</w:t>
      </w:r>
      <w:r>
        <w:rPr>
          <w:spacing w:val="-30"/>
          <w:w w:val="115"/>
        </w:rPr>
        <w:t> </w:t>
      </w:r>
      <w:r>
        <w:rPr>
          <w:w w:val="115"/>
        </w:rPr>
        <w:t>los</w:t>
      </w:r>
      <w:r>
        <w:rPr>
          <w:spacing w:val="-30"/>
          <w:w w:val="115"/>
        </w:rPr>
        <w:t> </w:t>
      </w:r>
      <w:r>
        <w:rPr>
          <w:i/>
          <w:w w:val="115"/>
        </w:rPr>
        <w:t>cuellos </w:t>
      </w:r>
      <w:r>
        <w:rPr>
          <w:i/>
          <w:w w:val="115"/>
        </w:rPr>
        <w:t>blancos</w:t>
      </w:r>
      <w:r>
        <w:rPr>
          <w:w w:val="115"/>
        </w:rPr>
        <w:t>.</w:t>
      </w:r>
    </w:p>
    <w:p>
      <w:pPr>
        <w:pStyle w:val="BodyText"/>
        <w:spacing w:line="252" w:lineRule="auto"/>
        <w:ind w:left="100" w:right="328" w:firstLine="396"/>
        <w:jc w:val="both"/>
      </w:pPr>
      <w:r>
        <w:rPr>
          <w:w w:val="110"/>
        </w:rPr>
        <w:t>Ese mecanismo condicionaría una hiperbólica distorsión, sisté- micamente especulativa y corrupta en el plano ético-político y econó- mico para la legitimación de cualquier enemigo a vencer –fuera éste real,</w:t>
      </w:r>
      <w:r>
        <w:rPr>
          <w:spacing w:val="-4"/>
          <w:w w:val="110"/>
        </w:rPr>
        <w:t> </w:t>
      </w:r>
      <w:r>
        <w:rPr>
          <w:w w:val="110"/>
        </w:rPr>
        <w:t>potencial</w:t>
      </w:r>
      <w:r>
        <w:rPr>
          <w:spacing w:val="-4"/>
          <w:w w:val="110"/>
        </w:rPr>
        <w:t> </w:t>
      </w:r>
      <w:r>
        <w:rPr>
          <w:w w:val="110"/>
        </w:rPr>
        <w:t>o</w:t>
      </w:r>
      <w:r>
        <w:rPr>
          <w:spacing w:val="-4"/>
          <w:w w:val="110"/>
        </w:rPr>
        <w:t> </w:t>
      </w:r>
      <w:r>
        <w:rPr>
          <w:w w:val="110"/>
        </w:rPr>
        <w:t>inventado–</w:t>
      </w:r>
      <w:r>
        <w:rPr>
          <w:spacing w:val="-4"/>
          <w:w w:val="110"/>
        </w:rPr>
        <w:t> </w:t>
      </w:r>
      <w:r>
        <w:rPr>
          <w:w w:val="110"/>
        </w:rPr>
        <w:t>que</w:t>
      </w:r>
      <w:r>
        <w:rPr>
          <w:spacing w:val="-4"/>
          <w:w w:val="110"/>
        </w:rPr>
        <w:t> </w:t>
      </w:r>
      <w:r>
        <w:rPr>
          <w:w w:val="110"/>
        </w:rPr>
        <w:t>se</w:t>
      </w:r>
      <w:r>
        <w:rPr>
          <w:spacing w:val="-4"/>
          <w:w w:val="110"/>
        </w:rPr>
        <w:t> </w:t>
      </w:r>
      <w:r>
        <w:rPr>
          <w:w w:val="110"/>
        </w:rPr>
        <w:t>instalaría</w:t>
      </w:r>
      <w:r>
        <w:rPr>
          <w:spacing w:val="-4"/>
          <w:w w:val="110"/>
        </w:rPr>
        <w:t> </w:t>
      </w:r>
      <w:r>
        <w:rPr>
          <w:w w:val="110"/>
        </w:rPr>
        <w:t>hasta</w:t>
      </w:r>
      <w:r>
        <w:rPr>
          <w:spacing w:val="-4"/>
          <w:w w:val="110"/>
        </w:rPr>
        <w:t> </w:t>
      </w:r>
      <w:r>
        <w:rPr>
          <w:w w:val="110"/>
        </w:rPr>
        <w:t>el</w:t>
      </w:r>
      <w:r>
        <w:rPr>
          <w:spacing w:val="-4"/>
          <w:w w:val="110"/>
        </w:rPr>
        <w:t> </w:t>
      </w:r>
      <w:r>
        <w:rPr>
          <w:w w:val="110"/>
        </w:rPr>
        <w:t>presente</w:t>
      </w:r>
      <w:r>
        <w:rPr>
          <w:spacing w:val="-4"/>
          <w:w w:val="110"/>
        </w:rPr>
        <w:t> </w:t>
      </w:r>
      <w:r>
        <w:rPr>
          <w:w w:val="110"/>
        </w:rPr>
        <w:t>como</w:t>
      </w:r>
      <w:r>
        <w:rPr>
          <w:spacing w:val="-4"/>
          <w:w w:val="110"/>
        </w:rPr>
        <w:t> </w:t>
      </w:r>
      <w:r>
        <w:rPr>
          <w:w w:val="110"/>
        </w:rPr>
        <w:t>la controvertida fuerza motriz del ciclo reproductivo de la aún primera potencia económica, militar y </w:t>
      </w:r>
      <w:r>
        <w:rPr>
          <w:spacing w:val="44"/>
          <w:w w:val="110"/>
        </w:rPr>
        <w:t> </w:t>
      </w:r>
      <w:r>
        <w:rPr>
          <w:w w:val="110"/>
        </w:rPr>
        <w:t>científico-tecnológica.</w:t>
      </w:r>
    </w:p>
    <w:p>
      <w:pPr>
        <w:pStyle w:val="BodyText"/>
        <w:spacing w:line="252" w:lineRule="auto"/>
        <w:ind w:left="100" w:right="328" w:firstLine="396"/>
        <w:jc w:val="both"/>
      </w:pPr>
      <w:r>
        <w:rPr>
          <w:w w:val="120"/>
        </w:rPr>
        <w:t>Consecuentemente</w:t>
      </w:r>
      <w:r>
        <w:rPr>
          <w:spacing w:val="-13"/>
          <w:w w:val="120"/>
        </w:rPr>
        <w:t> </w:t>
      </w:r>
      <w:r>
        <w:rPr>
          <w:w w:val="120"/>
        </w:rPr>
        <w:t>con</w:t>
      </w:r>
      <w:r>
        <w:rPr>
          <w:spacing w:val="-13"/>
          <w:w w:val="120"/>
        </w:rPr>
        <w:t> </w:t>
      </w:r>
      <w:r>
        <w:rPr>
          <w:w w:val="120"/>
        </w:rPr>
        <w:t>esta</w:t>
      </w:r>
      <w:r>
        <w:rPr>
          <w:spacing w:val="-13"/>
          <w:w w:val="120"/>
        </w:rPr>
        <w:t> </w:t>
      </w:r>
      <w:r>
        <w:rPr>
          <w:w w:val="120"/>
        </w:rPr>
        <w:t>máxima</w:t>
      </w:r>
      <w:r>
        <w:rPr>
          <w:i/>
          <w:w w:val="120"/>
        </w:rPr>
        <w:t>,</w:t>
      </w:r>
      <w:r>
        <w:rPr>
          <w:i/>
          <w:spacing w:val="-13"/>
          <w:w w:val="120"/>
        </w:rPr>
        <w:t> </w:t>
      </w:r>
      <w:r>
        <w:rPr>
          <w:w w:val="120"/>
        </w:rPr>
        <w:t>EE.uu.</w:t>
      </w:r>
      <w:r>
        <w:rPr>
          <w:spacing w:val="-13"/>
          <w:w w:val="120"/>
        </w:rPr>
        <w:t> </w:t>
      </w:r>
      <w:r>
        <w:rPr>
          <w:w w:val="120"/>
        </w:rPr>
        <w:t>asumiría</w:t>
      </w:r>
      <w:r>
        <w:rPr>
          <w:spacing w:val="-13"/>
          <w:w w:val="120"/>
        </w:rPr>
        <w:t> </w:t>
      </w:r>
      <w:r>
        <w:rPr>
          <w:w w:val="120"/>
        </w:rPr>
        <w:t>una</w:t>
      </w:r>
      <w:r>
        <w:rPr>
          <w:spacing w:val="-13"/>
          <w:w w:val="120"/>
        </w:rPr>
        <w:t> </w:t>
      </w:r>
      <w:r>
        <w:rPr>
          <w:w w:val="120"/>
        </w:rPr>
        <w:t>po- </w:t>
      </w:r>
      <w:r>
        <w:rPr>
          <w:w w:val="115"/>
        </w:rPr>
        <w:t>lítica de expansión económica global en </w:t>
      </w:r>
      <w:r>
        <w:rPr>
          <w:i/>
          <w:w w:val="115"/>
        </w:rPr>
        <w:t>cuasi solitario </w:t>
      </w:r>
      <w:r>
        <w:rPr>
          <w:w w:val="115"/>
        </w:rPr>
        <w:t>y –donde</w:t>
      </w:r>
      <w:r>
        <w:rPr>
          <w:spacing w:val="-28"/>
          <w:w w:val="115"/>
        </w:rPr>
        <w:t> </w:t>
      </w:r>
      <w:r>
        <w:rPr>
          <w:w w:val="115"/>
        </w:rPr>
        <w:t>en- contrara</w:t>
      </w:r>
      <w:r>
        <w:rPr>
          <w:spacing w:val="-15"/>
          <w:w w:val="115"/>
        </w:rPr>
        <w:t> </w:t>
      </w:r>
      <w:r>
        <w:rPr>
          <w:w w:val="115"/>
        </w:rPr>
        <w:t>resistencia–</w:t>
      </w:r>
      <w:r>
        <w:rPr>
          <w:spacing w:val="-15"/>
          <w:w w:val="115"/>
        </w:rPr>
        <w:t> </w:t>
      </w:r>
      <w:r>
        <w:rPr>
          <w:w w:val="115"/>
        </w:rPr>
        <w:t>de</w:t>
      </w:r>
      <w:r>
        <w:rPr>
          <w:spacing w:val="-15"/>
          <w:w w:val="115"/>
        </w:rPr>
        <w:t> </w:t>
      </w:r>
      <w:r>
        <w:rPr>
          <w:w w:val="115"/>
        </w:rPr>
        <w:t>chantaje</w:t>
      </w:r>
      <w:r>
        <w:rPr>
          <w:spacing w:val="-15"/>
          <w:w w:val="115"/>
        </w:rPr>
        <w:t> </w:t>
      </w:r>
      <w:r>
        <w:rPr>
          <w:w w:val="115"/>
        </w:rPr>
        <w:t>y</w:t>
      </w:r>
      <w:r>
        <w:rPr>
          <w:spacing w:val="-15"/>
          <w:w w:val="115"/>
        </w:rPr>
        <w:t> </w:t>
      </w:r>
      <w:r>
        <w:rPr>
          <w:w w:val="115"/>
        </w:rPr>
        <w:t>terrorismo</w:t>
      </w:r>
      <w:r>
        <w:rPr>
          <w:spacing w:val="-15"/>
          <w:w w:val="115"/>
        </w:rPr>
        <w:t> </w:t>
      </w:r>
      <w:r>
        <w:rPr>
          <w:w w:val="115"/>
        </w:rPr>
        <w:t>de</w:t>
      </w:r>
      <w:r>
        <w:rPr>
          <w:spacing w:val="-15"/>
          <w:w w:val="115"/>
        </w:rPr>
        <w:t> </w:t>
      </w:r>
      <w:r>
        <w:rPr>
          <w:w w:val="115"/>
        </w:rPr>
        <w:t>Estado</w:t>
      </w:r>
      <w:r>
        <w:rPr>
          <w:spacing w:val="-15"/>
          <w:w w:val="115"/>
        </w:rPr>
        <w:t> </w:t>
      </w:r>
      <w:r>
        <w:rPr>
          <w:w w:val="115"/>
        </w:rPr>
        <w:t>incluyendo </w:t>
      </w:r>
      <w:r>
        <w:rPr>
          <w:w w:val="120"/>
        </w:rPr>
        <w:t>el</w:t>
      </w:r>
      <w:r>
        <w:rPr>
          <w:spacing w:val="-22"/>
          <w:w w:val="120"/>
        </w:rPr>
        <w:t> </w:t>
      </w:r>
      <w:r>
        <w:rPr>
          <w:w w:val="120"/>
        </w:rPr>
        <w:t>uso</w:t>
      </w:r>
      <w:r>
        <w:rPr>
          <w:spacing w:val="-22"/>
          <w:w w:val="120"/>
        </w:rPr>
        <w:t> </w:t>
      </w:r>
      <w:r>
        <w:rPr>
          <w:w w:val="120"/>
        </w:rPr>
        <w:t>de</w:t>
      </w:r>
      <w:r>
        <w:rPr>
          <w:spacing w:val="-22"/>
          <w:w w:val="120"/>
        </w:rPr>
        <w:t> </w:t>
      </w:r>
      <w:r>
        <w:rPr>
          <w:w w:val="120"/>
        </w:rPr>
        <w:t>sus</w:t>
      </w:r>
      <w:r>
        <w:rPr>
          <w:spacing w:val="-22"/>
          <w:w w:val="120"/>
        </w:rPr>
        <w:t> </w:t>
      </w:r>
      <w:r>
        <w:rPr>
          <w:w w:val="120"/>
        </w:rPr>
        <w:t>más</w:t>
      </w:r>
      <w:r>
        <w:rPr>
          <w:spacing w:val="-22"/>
          <w:w w:val="120"/>
        </w:rPr>
        <w:t> </w:t>
      </w:r>
      <w:r>
        <w:rPr>
          <w:w w:val="120"/>
        </w:rPr>
        <w:t>modernas</w:t>
      </w:r>
      <w:r>
        <w:rPr>
          <w:spacing w:val="-22"/>
          <w:w w:val="120"/>
        </w:rPr>
        <w:t> </w:t>
      </w:r>
      <w:r>
        <w:rPr>
          <w:w w:val="120"/>
        </w:rPr>
        <w:t>armas</w:t>
      </w:r>
      <w:r>
        <w:rPr>
          <w:spacing w:val="-22"/>
          <w:w w:val="120"/>
        </w:rPr>
        <w:t> </w:t>
      </w:r>
      <w:r>
        <w:rPr>
          <w:w w:val="120"/>
        </w:rPr>
        <w:t>de</w:t>
      </w:r>
      <w:r>
        <w:rPr>
          <w:spacing w:val="-22"/>
          <w:w w:val="120"/>
        </w:rPr>
        <w:t> </w:t>
      </w:r>
      <w:r>
        <w:rPr>
          <w:w w:val="120"/>
        </w:rPr>
        <w:t>destrucción</w:t>
      </w:r>
      <w:r>
        <w:rPr>
          <w:spacing w:val="-22"/>
          <w:w w:val="120"/>
        </w:rPr>
        <w:t> </w:t>
      </w:r>
      <w:r>
        <w:rPr>
          <w:w w:val="120"/>
        </w:rPr>
        <w:t>masiva,</w:t>
      </w:r>
      <w:r>
        <w:rPr>
          <w:spacing w:val="-22"/>
          <w:w w:val="120"/>
        </w:rPr>
        <w:t> </w:t>
      </w:r>
      <w:r>
        <w:rPr>
          <w:w w:val="120"/>
        </w:rPr>
        <w:t>iniciado por</w:t>
      </w:r>
      <w:r>
        <w:rPr>
          <w:spacing w:val="-29"/>
          <w:w w:val="120"/>
        </w:rPr>
        <w:t> </w:t>
      </w:r>
      <w:r>
        <w:rPr>
          <w:w w:val="120"/>
        </w:rPr>
        <w:t>la</w:t>
      </w:r>
      <w:r>
        <w:rPr>
          <w:spacing w:val="-29"/>
          <w:w w:val="120"/>
        </w:rPr>
        <w:t> </w:t>
      </w:r>
      <w:r>
        <w:rPr>
          <w:w w:val="120"/>
        </w:rPr>
        <w:t>bomba</w:t>
      </w:r>
      <w:r>
        <w:rPr>
          <w:spacing w:val="-29"/>
          <w:w w:val="120"/>
        </w:rPr>
        <w:t> </w:t>
      </w:r>
      <w:r>
        <w:rPr>
          <w:w w:val="120"/>
        </w:rPr>
        <w:t>atómica.</w:t>
      </w:r>
      <w:r>
        <w:rPr>
          <w:spacing w:val="-29"/>
          <w:w w:val="120"/>
        </w:rPr>
        <w:t> </w:t>
      </w:r>
      <w:r>
        <w:rPr>
          <w:w w:val="120"/>
        </w:rPr>
        <w:t>irónicamente,</w:t>
      </w:r>
      <w:r>
        <w:rPr>
          <w:spacing w:val="-29"/>
          <w:w w:val="120"/>
        </w:rPr>
        <w:t> </w:t>
      </w:r>
      <w:r>
        <w:rPr>
          <w:w w:val="120"/>
        </w:rPr>
        <w:t>el</w:t>
      </w:r>
      <w:r>
        <w:rPr>
          <w:spacing w:val="-29"/>
          <w:w w:val="120"/>
        </w:rPr>
        <w:t> </w:t>
      </w:r>
      <w:r>
        <w:rPr>
          <w:w w:val="120"/>
        </w:rPr>
        <w:t>logro</w:t>
      </w:r>
      <w:r>
        <w:rPr>
          <w:spacing w:val="-29"/>
          <w:w w:val="120"/>
        </w:rPr>
        <w:t> </w:t>
      </w:r>
      <w:r>
        <w:rPr>
          <w:w w:val="120"/>
        </w:rPr>
        <w:t>que</w:t>
      </w:r>
      <w:r>
        <w:rPr>
          <w:spacing w:val="-29"/>
          <w:w w:val="120"/>
        </w:rPr>
        <w:t> </w:t>
      </w:r>
      <w:r>
        <w:rPr>
          <w:w w:val="120"/>
        </w:rPr>
        <w:t>iniciaría</w:t>
      </w:r>
      <w:r>
        <w:rPr>
          <w:spacing w:val="-29"/>
          <w:w w:val="120"/>
        </w:rPr>
        <w:t> </w:t>
      </w:r>
      <w:r>
        <w:rPr>
          <w:w w:val="120"/>
        </w:rPr>
        <w:t>la</w:t>
      </w:r>
      <w:r>
        <w:rPr>
          <w:spacing w:val="-29"/>
          <w:w w:val="120"/>
        </w:rPr>
        <w:t> </w:t>
      </w:r>
      <w:r>
        <w:rPr>
          <w:i/>
          <w:w w:val="120"/>
        </w:rPr>
        <w:t>era</w:t>
      </w:r>
      <w:r>
        <w:rPr>
          <w:i/>
          <w:spacing w:val="-29"/>
          <w:w w:val="120"/>
        </w:rPr>
        <w:t> </w:t>
      </w:r>
      <w:r>
        <w:rPr>
          <w:i/>
          <w:w w:val="120"/>
        </w:rPr>
        <w:t>ba- </w:t>
      </w:r>
      <w:r>
        <w:rPr>
          <w:i/>
          <w:w w:val="115"/>
        </w:rPr>
        <w:t>sada</w:t>
      </w:r>
      <w:r>
        <w:rPr>
          <w:i/>
          <w:spacing w:val="-13"/>
          <w:w w:val="115"/>
        </w:rPr>
        <w:t> </w:t>
      </w:r>
      <w:r>
        <w:rPr>
          <w:i/>
          <w:w w:val="115"/>
        </w:rPr>
        <w:t>en</w:t>
      </w:r>
      <w:r>
        <w:rPr>
          <w:i/>
          <w:spacing w:val="-13"/>
          <w:w w:val="115"/>
        </w:rPr>
        <w:t> </w:t>
      </w:r>
      <w:r>
        <w:rPr>
          <w:i/>
          <w:w w:val="115"/>
        </w:rPr>
        <w:t>el</w:t>
      </w:r>
      <w:r>
        <w:rPr>
          <w:i/>
          <w:spacing w:val="-13"/>
          <w:w w:val="115"/>
        </w:rPr>
        <w:t> </w:t>
      </w:r>
      <w:r>
        <w:rPr>
          <w:i/>
          <w:w w:val="115"/>
        </w:rPr>
        <w:t>conocimiento</w:t>
      </w:r>
      <w:r>
        <w:rPr>
          <w:w w:val="115"/>
        </w:rPr>
        <w:t>.</w:t>
      </w:r>
      <w:r>
        <w:rPr>
          <w:spacing w:val="-13"/>
          <w:w w:val="115"/>
        </w:rPr>
        <w:t> </w:t>
      </w:r>
      <w:r>
        <w:rPr>
          <w:w w:val="115"/>
        </w:rPr>
        <w:t>El</w:t>
      </w:r>
      <w:r>
        <w:rPr>
          <w:spacing w:val="-13"/>
          <w:w w:val="115"/>
        </w:rPr>
        <w:t> </w:t>
      </w:r>
      <w:r>
        <w:rPr>
          <w:w w:val="115"/>
        </w:rPr>
        <w:t>espacio</w:t>
      </w:r>
      <w:r>
        <w:rPr>
          <w:spacing w:val="-13"/>
          <w:w w:val="115"/>
        </w:rPr>
        <w:t> </w:t>
      </w:r>
      <w:r>
        <w:rPr>
          <w:w w:val="115"/>
        </w:rPr>
        <w:t>limitado</w:t>
      </w:r>
      <w:r>
        <w:rPr>
          <w:spacing w:val="-13"/>
          <w:w w:val="115"/>
        </w:rPr>
        <w:t> </w:t>
      </w:r>
      <w:r>
        <w:rPr>
          <w:w w:val="115"/>
        </w:rPr>
        <w:t>impide</w:t>
      </w:r>
      <w:r>
        <w:rPr>
          <w:spacing w:val="-13"/>
          <w:w w:val="115"/>
        </w:rPr>
        <w:t> </w:t>
      </w:r>
      <w:r>
        <w:rPr>
          <w:w w:val="115"/>
        </w:rPr>
        <w:t>referir</w:t>
      </w:r>
      <w:r>
        <w:rPr>
          <w:spacing w:val="-13"/>
          <w:w w:val="115"/>
        </w:rPr>
        <w:t> </w:t>
      </w:r>
      <w:r>
        <w:rPr>
          <w:w w:val="115"/>
        </w:rPr>
        <w:t>las</w:t>
      </w:r>
      <w:r>
        <w:rPr>
          <w:spacing w:val="-13"/>
          <w:w w:val="115"/>
        </w:rPr>
        <w:t> </w:t>
      </w:r>
      <w:r>
        <w:rPr>
          <w:w w:val="115"/>
        </w:rPr>
        <w:t>dignas respuestas</w:t>
      </w:r>
      <w:r>
        <w:rPr>
          <w:spacing w:val="-14"/>
          <w:w w:val="115"/>
        </w:rPr>
        <w:t> </w:t>
      </w:r>
      <w:r>
        <w:rPr>
          <w:w w:val="115"/>
        </w:rPr>
        <w:t>de</w:t>
      </w:r>
      <w:r>
        <w:rPr>
          <w:spacing w:val="-14"/>
          <w:w w:val="115"/>
        </w:rPr>
        <w:t> </w:t>
      </w:r>
      <w:r>
        <w:rPr>
          <w:w w:val="115"/>
        </w:rPr>
        <w:t>múltiples</w:t>
      </w:r>
      <w:r>
        <w:rPr>
          <w:spacing w:val="-14"/>
          <w:w w:val="115"/>
        </w:rPr>
        <w:t> </w:t>
      </w:r>
      <w:r>
        <w:rPr>
          <w:w w:val="115"/>
        </w:rPr>
        <w:t>países</w:t>
      </w:r>
      <w:r>
        <w:rPr>
          <w:spacing w:val="-14"/>
          <w:w w:val="115"/>
        </w:rPr>
        <w:t> </w:t>
      </w:r>
      <w:r>
        <w:rPr>
          <w:w w:val="115"/>
        </w:rPr>
        <w:t>que</w:t>
      </w:r>
      <w:r>
        <w:rPr>
          <w:spacing w:val="-14"/>
          <w:w w:val="115"/>
        </w:rPr>
        <w:t> </w:t>
      </w:r>
      <w:r>
        <w:rPr>
          <w:w w:val="115"/>
        </w:rPr>
        <w:t>–edificando</w:t>
      </w:r>
      <w:r>
        <w:rPr>
          <w:spacing w:val="-14"/>
          <w:w w:val="115"/>
        </w:rPr>
        <w:t> </w:t>
      </w:r>
      <w:r>
        <w:rPr>
          <w:w w:val="115"/>
        </w:rPr>
        <w:t>sistemas</w:t>
      </w:r>
      <w:r>
        <w:rPr>
          <w:spacing w:val="-14"/>
          <w:w w:val="115"/>
        </w:rPr>
        <w:t> </w:t>
      </w:r>
      <w:r>
        <w:rPr>
          <w:w w:val="115"/>
        </w:rPr>
        <w:t>de</w:t>
      </w:r>
      <w:r>
        <w:rPr>
          <w:spacing w:val="-14"/>
          <w:w w:val="115"/>
        </w:rPr>
        <w:t> </w:t>
      </w:r>
      <w:r>
        <w:rPr>
          <w:w w:val="115"/>
        </w:rPr>
        <w:t>ciencia</w:t>
      </w:r>
      <w:r>
        <w:rPr>
          <w:spacing w:val="-14"/>
          <w:w w:val="115"/>
        </w:rPr>
        <w:t> </w:t>
      </w:r>
      <w:r>
        <w:rPr>
          <w:w w:val="115"/>
        </w:rPr>
        <w:t>y </w:t>
      </w:r>
      <w:r>
        <w:rPr>
          <w:w w:val="110"/>
        </w:rPr>
        <w:t>tecnología– lograrían desgajarle crecientes cuotas de hegemonía,</w:t>
      </w:r>
      <w:r>
        <w:rPr>
          <w:spacing w:val="-9"/>
          <w:w w:val="110"/>
        </w:rPr>
        <w:t> </w:t>
      </w:r>
      <w:r>
        <w:rPr>
          <w:spacing w:val="-4"/>
          <w:w w:val="110"/>
        </w:rPr>
        <w:t>mer- </w:t>
      </w:r>
      <w:r>
        <w:rPr>
          <w:w w:val="120"/>
        </w:rPr>
        <w:t>cado y competitividad en alta tecnología </w:t>
      </w:r>
      <w:r>
        <w:rPr>
          <w:spacing w:val="-3"/>
          <w:w w:val="120"/>
        </w:rPr>
        <w:t>(altEC), </w:t>
      </w:r>
      <w:r>
        <w:rPr>
          <w:w w:val="120"/>
        </w:rPr>
        <w:t>a la vez que im- </w:t>
      </w:r>
      <w:r>
        <w:rPr>
          <w:w w:val="115"/>
        </w:rPr>
        <w:t>ponerle</w:t>
      </w:r>
      <w:r>
        <w:rPr>
          <w:spacing w:val="-7"/>
          <w:w w:val="115"/>
        </w:rPr>
        <w:t> </w:t>
      </w:r>
      <w:r>
        <w:rPr>
          <w:w w:val="115"/>
        </w:rPr>
        <w:t>la</w:t>
      </w:r>
      <w:r>
        <w:rPr>
          <w:spacing w:val="-7"/>
          <w:w w:val="115"/>
        </w:rPr>
        <w:t> </w:t>
      </w:r>
      <w:r>
        <w:rPr>
          <w:w w:val="115"/>
        </w:rPr>
        <w:t>paridad</w:t>
      </w:r>
      <w:r>
        <w:rPr>
          <w:spacing w:val="-7"/>
          <w:w w:val="115"/>
        </w:rPr>
        <w:t> </w:t>
      </w:r>
      <w:r>
        <w:rPr>
          <w:w w:val="115"/>
        </w:rPr>
        <w:t>estratégica</w:t>
      </w:r>
      <w:r>
        <w:rPr>
          <w:spacing w:val="-7"/>
          <w:w w:val="115"/>
        </w:rPr>
        <w:t> </w:t>
      </w:r>
      <w:r>
        <w:rPr>
          <w:w w:val="115"/>
        </w:rPr>
        <w:t>y</w:t>
      </w:r>
      <w:r>
        <w:rPr>
          <w:spacing w:val="-7"/>
          <w:w w:val="115"/>
        </w:rPr>
        <w:t> </w:t>
      </w:r>
      <w:r>
        <w:rPr>
          <w:w w:val="115"/>
        </w:rPr>
        <w:t>adelantársele</w:t>
      </w:r>
      <w:r>
        <w:rPr>
          <w:spacing w:val="-7"/>
          <w:w w:val="115"/>
        </w:rPr>
        <w:t> </w:t>
      </w:r>
      <w:r>
        <w:rPr>
          <w:w w:val="115"/>
        </w:rPr>
        <w:t>tempranamente</w:t>
      </w:r>
      <w:r>
        <w:rPr>
          <w:spacing w:val="-7"/>
          <w:w w:val="115"/>
        </w:rPr>
        <w:t> </w:t>
      </w:r>
      <w:r>
        <w:rPr>
          <w:w w:val="115"/>
        </w:rPr>
        <w:t>en</w:t>
      </w:r>
      <w:r>
        <w:rPr>
          <w:spacing w:val="-7"/>
          <w:w w:val="115"/>
        </w:rPr>
        <w:t> </w:t>
      </w:r>
      <w:r>
        <w:rPr>
          <w:w w:val="115"/>
        </w:rPr>
        <w:t>la conquista</w:t>
      </w:r>
      <w:r>
        <w:rPr>
          <w:spacing w:val="-29"/>
          <w:w w:val="115"/>
        </w:rPr>
        <w:t> </w:t>
      </w:r>
      <w:r>
        <w:rPr>
          <w:w w:val="115"/>
        </w:rPr>
        <w:t>del</w:t>
      </w:r>
      <w:r>
        <w:rPr>
          <w:spacing w:val="-29"/>
          <w:w w:val="115"/>
        </w:rPr>
        <w:t> </w:t>
      </w:r>
      <w:r>
        <w:rPr>
          <w:w w:val="115"/>
        </w:rPr>
        <w:t>cosmos.</w:t>
      </w:r>
    </w:p>
    <w:p>
      <w:pPr>
        <w:pStyle w:val="BodyText"/>
        <w:spacing w:line="252" w:lineRule="auto"/>
        <w:ind w:left="100" w:right="328" w:firstLine="396"/>
        <w:jc w:val="both"/>
      </w:pPr>
      <w:r>
        <w:rPr>
          <w:w w:val="115"/>
        </w:rPr>
        <w:t>Con</w:t>
      </w:r>
      <w:r>
        <w:rPr>
          <w:spacing w:val="-14"/>
          <w:w w:val="115"/>
        </w:rPr>
        <w:t> </w:t>
      </w:r>
      <w:r>
        <w:rPr>
          <w:w w:val="115"/>
        </w:rPr>
        <w:t>relación</w:t>
      </w:r>
      <w:r>
        <w:rPr>
          <w:spacing w:val="-14"/>
          <w:w w:val="115"/>
        </w:rPr>
        <w:t> </w:t>
      </w:r>
      <w:r>
        <w:rPr>
          <w:w w:val="115"/>
        </w:rPr>
        <w:t>al</w:t>
      </w:r>
      <w:r>
        <w:rPr>
          <w:spacing w:val="-14"/>
          <w:w w:val="115"/>
        </w:rPr>
        <w:t> </w:t>
      </w:r>
      <w:r>
        <w:rPr>
          <w:w w:val="115"/>
        </w:rPr>
        <w:t>sur</w:t>
      </w:r>
      <w:r>
        <w:rPr>
          <w:b/>
          <w:w w:val="115"/>
        </w:rPr>
        <w:t>,</w:t>
      </w:r>
      <w:r>
        <w:rPr>
          <w:b/>
          <w:spacing w:val="-14"/>
          <w:w w:val="115"/>
        </w:rPr>
        <w:t> </w:t>
      </w:r>
      <w:r>
        <w:rPr>
          <w:w w:val="115"/>
        </w:rPr>
        <w:t>entre</w:t>
      </w:r>
      <w:r>
        <w:rPr>
          <w:spacing w:val="-14"/>
          <w:w w:val="115"/>
        </w:rPr>
        <w:t> </w:t>
      </w:r>
      <w:r>
        <w:rPr>
          <w:w w:val="115"/>
        </w:rPr>
        <w:t>los</w:t>
      </w:r>
      <w:r>
        <w:rPr>
          <w:spacing w:val="-14"/>
          <w:w w:val="115"/>
        </w:rPr>
        <w:t> </w:t>
      </w:r>
      <w:r>
        <w:rPr>
          <w:w w:val="115"/>
        </w:rPr>
        <w:t>factores</w:t>
      </w:r>
      <w:r>
        <w:rPr>
          <w:spacing w:val="-14"/>
          <w:w w:val="115"/>
        </w:rPr>
        <w:t> </w:t>
      </w:r>
      <w:r>
        <w:rPr>
          <w:w w:val="115"/>
        </w:rPr>
        <w:t>para</w:t>
      </w:r>
      <w:r>
        <w:rPr>
          <w:spacing w:val="-14"/>
          <w:w w:val="115"/>
        </w:rPr>
        <w:t> </w:t>
      </w:r>
      <w:r>
        <w:rPr>
          <w:w w:val="115"/>
        </w:rPr>
        <w:t>la</w:t>
      </w:r>
      <w:r>
        <w:rPr>
          <w:spacing w:val="-14"/>
          <w:w w:val="115"/>
        </w:rPr>
        <w:t> </w:t>
      </w:r>
      <w:r>
        <w:rPr>
          <w:w w:val="115"/>
        </w:rPr>
        <w:t>obtención</w:t>
      </w:r>
      <w:r>
        <w:rPr>
          <w:spacing w:val="-14"/>
          <w:w w:val="115"/>
        </w:rPr>
        <w:t> </w:t>
      </w:r>
      <w:r>
        <w:rPr>
          <w:w w:val="115"/>
        </w:rPr>
        <w:t>multipli- cada</w:t>
      </w:r>
      <w:r>
        <w:rPr>
          <w:spacing w:val="-15"/>
          <w:w w:val="115"/>
        </w:rPr>
        <w:t> </w:t>
      </w:r>
      <w:r>
        <w:rPr>
          <w:w w:val="115"/>
        </w:rPr>
        <w:t>de</w:t>
      </w:r>
      <w:r>
        <w:rPr>
          <w:spacing w:val="-15"/>
          <w:w w:val="115"/>
        </w:rPr>
        <w:t> </w:t>
      </w:r>
      <w:r>
        <w:rPr>
          <w:w w:val="115"/>
        </w:rPr>
        <w:t>la</w:t>
      </w:r>
      <w:r>
        <w:rPr>
          <w:spacing w:val="-15"/>
          <w:w w:val="115"/>
        </w:rPr>
        <w:t> </w:t>
      </w:r>
      <w:r>
        <w:rPr>
          <w:w w:val="115"/>
        </w:rPr>
        <w:t>plusvalía</w:t>
      </w:r>
      <w:r>
        <w:rPr>
          <w:spacing w:val="-15"/>
          <w:w w:val="115"/>
        </w:rPr>
        <w:t> </w:t>
      </w:r>
      <w:r>
        <w:rPr>
          <w:w w:val="115"/>
        </w:rPr>
        <w:t>extraordinaria,</w:t>
      </w:r>
      <w:r>
        <w:rPr>
          <w:spacing w:val="-15"/>
          <w:w w:val="115"/>
        </w:rPr>
        <w:t> </w:t>
      </w:r>
      <w:r>
        <w:rPr>
          <w:w w:val="115"/>
        </w:rPr>
        <w:t>se</w:t>
      </w:r>
      <w:r>
        <w:rPr>
          <w:spacing w:val="-15"/>
          <w:w w:val="115"/>
        </w:rPr>
        <w:t> </w:t>
      </w:r>
      <w:r>
        <w:rPr>
          <w:w w:val="115"/>
        </w:rPr>
        <w:t>destacaría</w:t>
      </w:r>
      <w:r>
        <w:rPr>
          <w:spacing w:val="-15"/>
          <w:w w:val="115"/>
        </w:rPr>
        <w:t> </w:t>
      </w:r>
      <w:r>
        <w:rPr>
          <w:w w:val="115"/>
        </w:rPr>
        <w:t>la</w:t>
      </w:r>
      <w:r>
        <w:rPr>
          <w:spacing w:val="-15"/>
          <w:w w:val="115"/>
        </w:rPr>
        <w:t> </w:t>
      </w:r>
      <w:r>
        <w:rPr>
          <w:w w:val="115"/>
        </w:rPr>
        <w:t>política</w:t>
      </w:r>
      <w:r>
        <w:rPr>
          <w:spacing w:val="-15"/>
          <w:w w:val="115"/>
        </w:rPr>
        <w:t> </w:t>
      </w:r>
      <w:r>
        <w:rPr>
          <w:w w:val="115"/>
        </w:rPr>
        <w:t>de</w:t>
      </w:r>
      <w:r>
        <w:rPr>
          <w:spacing w:val="-15"/>
          <w:w w:val="115"/>
        </w:rPr>
        <w:t> </w:t>
      </w:r>
      <w:r>
        <w:rPr>
          <w:w w:val="115"/>
        </w:rPr>
        <w:t>EE.uu. </w:t>
      </w:r>
      <w:r>
        <w:rPr>
          <w:w w:val="120"/>
        </w:rPr>
        <w:t>y</w:t>
      </w:r>
      <w:r>
        <w:rPr>
          <w:spacing w:val="-16"/>
          <w:w w:val="120"/>
        </w:rPr>
        <w:t> </w:t>
      </w:r>
      <w:r>
        <w:rPr>
          <w:w w:val="120"/>
        </w:rPr>
        <w:t>sus</w:t>
      </w:r>
      <w:r>
        <w:rPr>
          <w:spacing w:val="-16"/>
          <w:w w:val="120"/>
        </w:rPr>
        <w:t> </w:t>
      </w:r>
      <w:r>
        <w:rPr>
          <w:w w:val="120"/>
        </w:rPr>
        <w:t>CtN,</w:t>
      </w:r>
      <w:r>
        <w:rPr>
          <w:spacing w:val="-16"/>
          <w:w w:val="120"/>
        </w:rPr>
        <w:t> </w:t>
      </w:r>
      <w:r>
        <w:rPr>
          <w:w w:val="120"/>
        </w:rPr>
        <w:t>junto</w:t>
      </w:r>
      <w:r>
        <w:rPr>
          <w:spacing w:val="-16"/>
          <w:w w:val="120"/>
        </w:rPr>
        <w:t> </w:t>
      </w:r>
      <w:r>
        <w:rPr>
          <w:w w:val="120"/>
        </w:rPr>
        <w:t>a</w:t>
      </w:r>
      <w:r>
        <w:rPr>
          <w:spacing w:val="-16"/>
          <w:w w:val="120"/>
        </w:rPr>
        <w:t> </w:t>
      </w:r>
      <w:r>
        <w:rPr>
          <w:w w:val="120"/>
        </w:rPr>
        <w:t>demás</w:t>
      </w:r>
      <w:r>
        <w:rPr>
          <w:spacing w:val="-16"/>
          <w:w w:val="120"/>
        </w:rPr>
        <w:t> </w:t>
      </w:r>
      <w:r>
        <w:rPr>
          <w:w w:val="120"/>
        </w:rPr>
        <w:t>países</w:t>
      </w:r>
      <w:r>
        <w:rPr>
          <w:spacing w:val="-16"/>
          <w:w w:val="120"/>
        </w:rPr>
        <w:t> </w:t>
      </w:r>
      <w:r>
        <w:rPr>
          <w:w w:val="120"/>
        </w:rPr>
        <w:t>de</w:t>
      </w:r>
      <w:r>
        <w:rPr>
          <w:spacing w:val="-16"/>
          <w:w w:val="120"/>
        </w:rPr>
        <w:t> </w:t>
      </w:r>
      <w:r>
        <w:rPr>
          <w:w w:val="120"/>
        </w:rPr>
        <w:t>la</w:t>
      </w:r>
      <w:r>
        <w:rPr>
          <w:spacing w:val="-16"/>
          <w:w w:val="120"/>
        </w:rPr>
        <w:t> </w:t>
      </w:r>
      <w:r>
        <w:rPr>
          <w:spacing w:val="-3"/>
          <w:w w:val="120"/>
        </w:rPr>
        <w:t>tríada</w:t>
      </w:r>
      <w:r>
        <w:rPr>
          <w:spacing w:val="-16"/>
          <w:w w:val="120"/>
        </w:rPr>
        <w:t> </w:t>
      </w:r>
      <w:r>
        <w:rPr>
          <w:w w:val="120"/>
        </w:rPr>
        <w:t>(EE.uu.,</w:t>
      </w:r>
      <w:r>
        <w:rPr>
          <w:spacing w:val="-16"/>
          <w:w w:val="120"/>
        </w:rPr>
        <w:t> </w:t>
      </w:r>
      <w:r>
        <w:rPr>
          <w:w w:val="120"/>
        </w:rPr>
        <w:t>unión</w:t>
      </w:r>
      <w:r>
        <w:rPr>
          <w:spacing w:val="-16"/>
          <w:w w:val="120"/>
        </w:rPr>
        <w:t> </w:t>
      </w:r>
      <w:r>
        <w:rPr>
          <w:w w:val="120"/>
        </w:rPr>
        <w:t>Europea y</w:t>
      </w:r>
      <w:r>
        <w:rPr>
          <w:spacing w:val="-17"/>
          <w:w w:val="120"/>
        </w:rPr>
        <w:t> </w:t>
      </w:r>
      <w:r>
        <w:rPr>
          <w:w w:val="120"/>
        </w:rPr>
        <w:t>Japón),</w:t>
      </w:r>
      <w:r>
        <w:rPr>
          <w:spacing w:val="-17"/>
          <w:w w:val="120"/>
        </w:rPr>
        <w:t> </w:t>
      </w:r>
      <w:r>
        <w:rPr>
          <w:w w:val="120"/>
        </w:rPr>
        <w:t>de</w:t>
      </w:r>
      <w:r>
        <w:rPr>
          <w:spacing w:val="-17"/>
          <w:w w:val="120"/>
        </w:rPr>
        <w:t> </w:t>
      </w:r>
      <w:r>
        <w:rPr>
          <w:w w:val="120"/>
        </w:rPr>
        <w:t>fomentar</w:t>
      </w:r>
      <w:r>
        <w:rPr>
          <w:spacing w:val="-17"/>
          <w:w w:val="120"/>
        </w:rPr>
        <w:t> </w:t>
      </w:r>
      <w:r>
        <w:rPr>
          <w:w w:val="120"/>
        </w:rPr>
        <w:t>un</w:t>
      </w:r>
      <w:r>
        <w:rPr>
          <w:spacing w:val="-17"/>
          <w:w w:val="120"/>
        </w:rPr>
        <w:t> </w:t>
      </w:r>
      <w:r>
        <w:rPr>
          <w:i/>
          <w:w w:val="120"/>
        </w:rPr>
        <w:t>orden</w:t>
      </w:r>
      <w:r>
        <w:rPr>
          <w:i/>
          <w:spacing w:val="-17"/>
          <w:w w:val="120"/>
        </w:rPr>
        <w:t> </w:t>
      </w:r>
      <w:r>
        <w:rPr>
          <w:w w:val="120"/>
        </w:rPr>
        <w:t>basado</w:t>
      </w:r>
      <w:r>
        <w:rPr>
          <w:spacing w:val="-17"/>
          <w:w w:val="120"/>
        </w:rPr>
        <w:t> </w:t>
      </w:r>
      <w:r>
        <w:rPr>
          <w:w w:val="120"/>
        </w:rPr>
        <w:t>en</w:t>
      </w:r>
      <w:r>
        <w:rPr>
          <w:spacing w:val="-17"/>
          <w:w w:val="120"/>
        </w:rPr>
        <w:t> </w:t>
      </w:r>
      <w:r>
        <w:rPr>
          <w:w w:val="120"/>
        </w:rPr>
        <w:t>la</w:t>
      </w:r>
      <w:r>
        <w:rPr>
          <w:spacing w:val="-17"/>
          <w:w w:val="120"/>
        </w:rPr>
        <w:t> </w:t>
      </w:r>
      <w:r>
        <w:rPr>
          <w:w w:val="120"/>
        </w:rPr>
        <w:t>globalización</w:t>
      </w:r>
      <w:r>
        <w:rPr>
          <w:spacing w:val="-17"/>
          <w:w w:val="120"/>
        </w:rPr>
        <w:t> </w:t>
      </w:r>
      <w:r>
        <w:rPr>
          <w:w w:val="120"/>
        </w:rPr>
        <w:t>por</w:t>
      </w:r>
      <w:r>
        <w:rPr>
          <w:spacing w:val="-17"/>
          <w:w w:val="120"/>
        </w:rPr>
        <w:t> </w:t>
      </w:r>
      <w:r>
        <w:rPr>
          <w:w w:val="120"/>
        </w:rPr>
        <w:t>vías </w:t>
      </w:r>
      <w:r>
        <w:rPr>
          <w:w w:val="115"/>
        </w:rPr>
        <w:t>neoliberales, que privilegiara sus ventajas competitivas dinámicas, agudizando</w:t>
      </w:r>
      <w:r>
        <w:rPr>
          <w:spacing w:val="-17"/>
          <w:w w:val="115"/>
        </w:rPr>
        <w:t> </w:t>
      </w:r>
      <w:r>
        <w:rPr>
          <w:w w:val="115"/>
        </w:rPr>
        <w:t>así</w:t>
      </w:r>
      <w:r>
        <w:rPr>
          <w:spacing w:val="-17"/>
          <w:w w:val="115"/>
        </w:rPr>
        <w:t> </w:t>
      </w:r>
      <w:r>
        <w:rPr>
          <w:w w:val="115"/>
        </w:rPr>
        <w:t>la</w:t>
      </w:r>
      <w:r>
        <w:rPr>
          <w:spacing w:val="-17"/>
          <w:w w:val="115"/>
        </w:rPr>
        <w:t> </w:t>
      </w:r>
      <w:r>
        <w:rPr>
          <w:w w:val="115"/>
        </w:rPr>
        <w:t>brecha</w:t>
      </w:r>
      <w:r>
        <w:rPr>
          <w:spacing w:val="-17"/>
          <w:w w:val="115"/>
        </w:rPr>
        <w:t> </w:t>
      </w:r>
      <w:r>
        <w:rPr>
          <w:w w:val="115"/>
        </w:rPr>
        <w:t>científico-tecnológica</w:t>
      </w:r>
      <w:r>
        <w:rPr>
          <w:spacing w:val="-17"/>
          <w:w w:val="115"/>
        </w:rPr>
        <w:t> </w:t>
      </w:r>
      <w:r>
        <w:rPr>
          <w:w w:val="115"/>
        </w:rPr>
        <w:t>e</w:t>
      </w:r>
      <w:r>
        <w:rPr>
          <w:spacing w:val="-17"/>
          <w:w w:val="115"/>
        </w:rPr>
        <w:t> </w:t>
      </w:r>
      <w:r>
        <w:rPr>
          <w:w w:val="115"/>
        </w:rPr>
        <w:t>informática</w:t>
      </w:r>
      <w:r>
        <w:rPr>
          <w:spacing w:val="-17"/>
          <w:w w:val="115"/>
        </w:rPr>
        <w:t> </w:t>
      </w:r>
      <w:r>
        <w:rPr>
          <w:w w:val="115"/>
        </w:rPr>
        <w:t>y</w:t>
      </w:r>
      <w:r>
        <w:rPr>
          <w:spacing w:val="-17"/>
          <w:w w:val="115"/>
        </w:rPr>
        <w:t> </w:t>
      </w:r>
      <w:r>
        <w:rPr>
          <w:w w:val="115"/>
        </w:rPr>
        <w:t>las</w:t>
      </w:r>
      <w:r>
        <w:rPr>
          <w:spacing w:val="-17"/>
          <w:w w:val="115"/>
        </w:rPr>
        <w:t> </w:t>
      </w:r>
      <w:r>
        <w:rPr>
          <w:w w:val="115"/>
        </w:rPr>
        <w:t>in- </w:t>
      </w:r>
      <w:r>
        <w:rPr>
          <w:w w:val="110"/>
        </w:rPr>
        <w:t>equidades</w:t>
      </w:r>
      <w:r>
        <w:rPr>
          <w:spacing w:val="45"/>
          <w:w w:val="110"/>
        </w:rPr>
        <w:t> </w:t>
      </w:r>
      <w:r>
        <w:rPr>
          <w:spacing w:val="-3"/>
          <w:w w:val="110"/>
        </w:rPr>
        <w:t>Norte-sur.</w:t>
      </w:r>
    </w:p>
    <w:p>
      <w:pPr>
        <w:pStyle w:val="BodyText"/>
        <w:spacing w:line="252" w:lineRule="auto"/>
        <w:ind w:left="100" w:right="328" w:firstLine="396"/>
        <w:jc w:val="both"/>
      </w:pPr>
      <w:r>
        <w:rPr>
          <w:w w:val="110"/>
        </w:rPr>
        <w:t>Especialmente, mediante el cobro exacerbado por la novedad e invención presentes en sus productos, servicios y diversas modalida- des de </w:t>
      </w:r>
      <w:r>
        <w:rPr>
          <w:i/>
          <w:w w:val="110"/>
        </w:rPr>
        <w:t>know-how </w:t>
      </w:r>
      <w:r>
        <w:rPr>
          <w:w w:val="110"/>
        </w:rPr>
        <w:t>y transferencia de tecnología, así como –más recien- temente–</w:t>
      </w:r>
      <w:r>
        <w:rPr>
          <w:spacing w:val="-6"/>
          <w:w w:val="110"/>
        </w:rPr>
        <w:t> </w:t>
      </w:r>
      <w:r>
        <w:rPr>
          <w:w w:val="110"/>
        </w:rPr>
        <w:t>por</w:t>
      </w:r>
      <w:r>
        <w:rPr>
          <w:spacing w:val="-6"/>
          <w:w w:val="110"/>
        </w:rPr>
        <w:t> </w:t>
      </w:r>
      <w:r>
        <w:rPr>
          <w:w w:val="110"/>
        </w:rPr>
        <w:t>la</w:t>
      </w:r>
      <w:r>
        <w:rPr>
          <w:spacing w:val="-6"/>
          <w:w w:val="110"/>
        </w:rPr>
        <w:t> </w:t>
      </w:r>
      <w:r>
        <w:rPr>
          <w:w w:val="110"/>
        </w:rPr>
        <w:t>apropiación</w:t>
      </w:r>
      <w:r>
        <w:rPr>
          <w:spacing w:val="-6"/>
          <w:w w:val="110"/>
        </w:rPr>
        <w:t> </w:t>
      </w:r>
      <w:r>
        <w:rPr>
          <w:w w:val="110"/>
        </w:rPr>
        <w:t>impositiva</w:t>
      </w:r>
      <w:r>
        <w:rPr>
          <w:spacing w:val="-6"/>
          <w:w w:val="110"/>
        </w:rPr>
        <w:t> </w:t>
      </w:r>
      <w:r>
        <w:rPr>
          <w:w w:val="110"/>
        </w:rPr>
        <w:t>de</w:t>
      </w:r>
      <w:r>
        <w:rPr>
          <w:spacing w:val="-6"/>
          <w:w w:val="110"/>
        </w:rPr>
        <w:t> </w:t>
      </w:r>
      <w:r>
        <w:rPr>
          <w:w w:val="110"/>
        </w:rPr>
        <w:t>ciertas</w:t>
      </w:r>
      <w:r>
        <w:rPr>
          <w:spacing w:val="-6"/>
          <w:w w:val="110"/>
        </w:rPr>
        <w:t> </w:t>
      </w:r>
      <w:r>
        <w:rPr>
          <w:w w:val="110"/>
        </w:rPr>
        <w:t>categorías</w:t>
      </w:r>
      <w:r>
        <w:rPr>
          <w:spacing w:val="-6"/>
          <w:w w:val="110"/>
        </w:rPr>
        <w:t> </w:t>
      </w:r>
      <w:r>
        <w:rPr>
          <w:w w:val="110"/>
        </w:rPr>
        <w:t>de</w:t>
      </w:r>
      <w:r>
        <w:rPr>
          <w:spacing w:val="-6"/>
          <w:w w:val="110"/>
        </w:rPr>
        <w:t> </w:t>
      </w:r>
      <w:r>
        <w:rPr>
          <w:w w:val="110"/>
        </w:rPr>
        <w:t>descu- brimientos, procedimientos de i+d, estándares, normas y metrología, fórmulas  y  algoritmos  matemáticos,  software  </w:t>
      </w:r>
      <w:r>
        <w:rPr>
          <w:spacing w:val="-6"/>
          <w:w w:val="110"/>
        </w:rPr>
        <w:t>y...  </w:t>
      </w:r>
      <w:r>
        <w:rPr>
          <w:w w:val="110"/>
        </w:rPr>
        <w:t>propiedades  de</w:t>
      </w:r>
      <w:r>
        <w:rPr>
          <w:spacing w:val="10"/>
          <w:w w:val="110"/>
        </w:rPr>
        <w:t> </w:t>
      </w:r>
      <w:r>
        <w:rPr>
          <w:w w:val="110"/>
        </w:rPr>
        <w:t>la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5"/>
        </w:rPr>
        <w:t>naturaleza y la biodiversidad, que no constituían objeto de paten- tamiento lícito. Estos se refrendarían –en su versión mínima– en el acuerdo</w:t>
      </w:r>
      <w:r>
        <w:rPr>
          <w:spacing w:val="-10"/>
          <w:w w:val="115"/>
        </w:rPr>
        <w:t> </w:t>
      </w:r>
      <w:r>
        <w:rPr>
          <w:w w:val="115"/>
        </w:rPr>
        <w:t>sobre</w:t>
      </w:r>
      <w:r>
        <w:rPr>
          <w:spacing w:val="-10"/>
          <w:w w:val="115"/>
        </w:rPr>
        <w:t> </w:t>
      </w:r>
      <w:r>
        <w:rPr>
          <w:w w:val="115"/>
        </w:rPr>
        <w:t>los</w:t>
      </w:r>
      <w:r>
        <w:rPr>
          <w:spacing w:val="-10"/>
          <w:w w:val="115"/>
        </w:rPr>
        <w:t> </w:t>
      </w:r>
      <w:r>
        <w:rPr>
          <w:w w:val="115"/>
        </w:rPr>
        <w:t>aspectos</w:t>
      </w:r>
      <w:r>
        <w:rPr>
          <w:spacing w:val="-10"/>
          <w:w w:val="115"/>
        </w:rPr>
        <w:t> </w:t>
      </w:r>
      <w:r>
        <w:rPr>
          <w:w w:val="115"/>
        </w:rPr>
        <w:t>de</w:t>
      </w:r>
      <w:r>
        <w:rPr>
          <w:spacing w:val="-10"/>
          <w:w w:val="115"/>
        </w:rPr>
        <w:t> </w:t>
      </w:r>
      <w:r>
        <w:rPr>
          <w:w w:val="115"/>
        </w:rPr>
        <w:t>los</w:t>
      </w:r>
      <w:r>
        <w:rPr>
          <w:spacing w:val="-10"/>
          <w:w w:val="115"/>
        </w:rPr>
        <w:t> </w:t>
      </w:r>
      <w:r>
        <w:rPr>
          <w:w w:val="115"/>
        </w:rPr>
        <w:t>derechos</w:t>
      </w:r>
      <w:r>
        <w:rPr>
          <w:spacing w:val="-10"/>
          <w:w w:val="115"/>
        </w:rPr>
        <w:t> </w:t>
      </w:r>
      <w:r>
        <w:rPr>
          <w:w w:val="115"/>
        </w:rPr>
        <w:t>de</w:t>
      </w:r>
      <w:r>
        <w:rPr>
          <w:spacing w:val="-10"/>
          <w:w w:val="115"/>
        </w:rPr>
        <w:t> </w:t>
      </w:r>
      <w:r>
        <w:rPr>
          <w:w w:val="115"/>
        </w:rPr>
        <w:t>Propiedad</w:t>
      </w:r>
      <w:r>
        <w:rPr>
          <w:spacing w:val="-10"/>
          <w:w w:val="115"/>
        </w:rPr>
        <w:t> </w:t>
      </w:r>
      <w:r>
        <w:rPr>
          <w:w w:val="115"/>
        </w:rPr>
        <w:t>intelectual relacionados con el Comercio (adPiC) de la organización Mundial de</w:t>
      </w:r>
      <w:r>
        <w:rPr>
          <w:spacing w:val="-10"/>
          <w:w w:val="115"/>
        </w:rPr>
        <w:t> </w:t>
      </w:r>
      <w:r>
        <w:rPr>
          <w:w w:val="115"/>
        </w:rPr>
        <w:t>Comercio</w:t>
      </w:r>
      <w:r>
        <w:rPr>
          <w:spacing w:val="-10"/>
          <w:w w:val="115"/>
        </w:rPr>
        <w:t> </w:t>
      </w:r>
      <w:r>
        <w:rPr>
          <w:w w:val="115"/>
        </w:rPr>
        <w:t>(oMC),</w:t>
      </w:r>
      <w:r>
        <w:rPr>
          <w:spacing w:val="-10"/>
          <w:w w:val="115"/>
        </w:rPr>
        <w:t> </w:t>
      </w:r>
      <w:r>
        <w:rPr>
          <w:w w:val="115"/>
        </w:rPr>
        <w:t>referencia</w:t>
      </w:r>
      <w:r>
        <w:rPr>
          <w:spacing w:val="-10"/>
          <w:w w:val="115"/>
        </w:rPr>
        <w:t> </w:t>
      </w:r>
      <w:r>
        <w:rPr>
          <w:w w:val="115"/>
        </w:rPr>
        <w:t>obligada</w:t>
      </w:r>
      <w:r>
        <w:rPr>
          <w:spacing w:val="-10"/>
          <w:w w:val="115"/>
        </w:rPr>
        <w:t> </w:t>
      </w:r>
      <w:r>
        <w:rPr>
          <w:w w:val="115"/>
        </w:rPr>
        <w:t>para</w:t>
      </w:r>
      <w:r>
        <w:rPr>
          <w:spacing w:val="-10"/>
          <w:w w:val="115"/>
        </w:rPr>
        <w:t> </w:t>
      </w:r>
      <w:r>
        <w:rPr>
          <w:w w:val="115"/>
        </w:rPr>
        <w:t>su</w:t>
      </w:r>
      <w:r>
        <w:rPr>
          <w:spacing w:val="-10"/>
          <w:w w:val="115"/>
        </w:rPr>
        <w:t> </w:t>
      </w:r>
      <w:r>
        <w:rPr>
          <w:w w:val="115"/>
        </w:rPr>
        <w:t>reflejo</w:t>
      </w:r>
      <w:r>
        <w:rPr>
          <w:spacing w:val="-10"/>
          <w:w w:val="115"/>
        </w:rPr>
        <w:t> </w:t>
      </w:r>
      <w:r>
        <w:rPr>
          <w:w w:val="115"/>
        </w:rPr>
        <w:t>maximizado, </w:t>
      </w:r>
      <w:r>
        <w:rPr>
          <w:w w:val="108"/>
        </w:rPr>
        <w:t>por</w:t>
      </w:r>
      <w:r>
        <w:rPr/>
        <w:t>  </w:t>
      </w:r>
      <w:r>
        <w:rPr>
          <w:w w:val="111"/>
        </w:rPr>
        <w:t>ejemplo,</w:t>
      </w:r>
      <w:r>
        <w:rPr/>
        <w:t>  </w:t>
      </w:r>
      <w:r>
        <w:rPr>
          <w:w w:val="108"/>
        </w:rPr>
        <w:t>en</w:t>
      </w:r>
      <w:r>
        <w:rPr/>
        <w:t>  </w:t>
      </w:r>
      <w:r>
        <w:rPr>
          <w:w w:val="108"/>
        </w:rPr>
        <w:t>los</w:t>
      </w:r>
      <w:r>
        <w:rPr/>
        <w:t>  </w:t>
      </w:r>
      <w:r>
        <w:rPr>
          <w:spacing w:val="-19"/>
          <w:w w:val="195"/>
        </w:rPr>
        <w:t>t</w:t>
      </w:r>
      <w:r>
        <w:rPr>
          <w:w w:val="109"/>
        </w:rPr>
        <w:t>ratados</w:t>
      </w:r>
      <w:r>
        <w:rPr/>
        <w:t>  </w:t>
      </w:r>
      <w:r>
        <w:rPr>
          <w:w w:val="107"/>
        </w:rPr>
        <w:t>de</w:t>
      </w:r>
      <w:r>
        <w:rPr/>
        <w:t>  </w:t>
      </w:r>
      <w:r>
        <w:rPr>
          <w:w w:val="108"/>
        </w:rPr>
        <w:t>libre</w:t>
      </w:r>
      <w:r>
        <w:rPr/>
        <w:t>  </w:t>
      </w:r>
      <w:r>
        <w:rPr>
          <w:w w:val="111"/>
        </w:rPr>
        <w:t>comercio</w:t>
      </w:r>
      <w:r>
        <w:rPr/>
        <w:t>  </w:t>
      </w:r>
      <w:r>
        <w:rPr>
          <w:w w:val="98"/>
        </w:rPr>
        <w:t>(</w:t>
      </w:r>
      <w:r>
        <w:rPr>
          <w:w w:val="216"/>
        </w:rPr>
        <w:t>tl</w:t>
      </w:r>
      <w:r>
        <w:rPr>
          <w:w w:val="114"/>
        </w:rPr>
        <w:t>C)</w:t>
      </w:r>
      <w:r>
        <w:rPr/>
        <w:t>  </w:t>
      </w:r>
      <w:r>
        <w:rPr>
          <w:w w:val="112"/>
        </w:rPr>
        <w:t>bi</w:t>
      </w:r>
      <w:r>
        <w:rPr/>
        <w:t>  </w:t>
      </w:r>
      <w:r>
        <w:rPr>
          <w:w w:val="105"/>
        </w:rPr>
        <w:t>y</w:t>
      </w:r>
      <w:r>
        <w:rPr/>
        <w:t>  </w:t>
      </w:r>
      <w:r>
        <w:rPr>
          <w:w w:val="112"/>
        </w:rPr>
        <w:t>multil</w:t>
      </w:r>
      <w:r>
        <w:rPr>
          <w:spacing w:val="-1"/>
          <w:w w:val="112"/>
        </w:rPr>
        <w:t>a</w:t>
      </w:r>
      <w:r>
        <w:rPr>
          <w:w w:val="102"/>
        </w:rPr>
        <w:t>- </w:t>
      </w:r>
      <w:r>
        <w:rPr>
          <w:w w:val="106"/>
        </w:rPr>
        <w:t>terales</w:t>
      </w:r>
      <w:r>
        <w:rPr/>
        <w:t> </w:t>
      </w:r>
      <w:r>
        <w:rPr>
          <w:spacing w:val="-8"/>
        </w:rPr>
        <w:t> </w:t>
      </w:r>
      <w:r>
        <w:rPr>
          <w:w w:val="107"/>
        </w:rPr>
        <w:t>de</w:t>
      </w:r>
      <w:r>
        <w:rPr/>
        <w:t> </w:t>
      </w:r>
      <w:r>
        <w:rPr>
          <w:spacing w:val="-8"/>
        </w:rPr>
        <w:t> </w:t>
      </w:r>
      <w:r>
        <w:rPr>
          <w:w w:val="129"/>
        </w:rPr>
        <w:t>EE.</w:t>
      </w:r>
      <w:r>
        <w:rPr>
          <w:w w:val="140"/>
        </w:rPr>
        <w:t>uu</w:t>
      </w:r>
      <w:r>
        <w:rPr>
          <w:w w:val="138"/>
        </w:rPr>
        <w:t>.</w:t>
      </w:r>
      <w:r>
        <w:rPr/>
        <w:t> </w:t>
      </w:r>
      <w:r>
        <w:rPr>
          <w:spacing w:val="-8"/>
        </w:rPr>
        <w:t> </w:t>
      </w:r>
      <w:r>
        <w:rPr>
          <w:w w:val="112"/>
        </w:rPr>
        <w:t>con</w:t>
      </w:r>
      <w:r>
        <w:rPr/>
        <w:t> </w:t>
      </w:r>
      <w:r>
        <w:rPr>
          <w:spacing w:val="-8"/>
        </w:rPr>
        <w:t> </w:t>
      </w:r>
      <w:r>
        <w:rPr>
          <w:w w:val="108"/>
        </w:rPr>
        <w:t>los</w:t>
      </w:r>
      <w:r>
        <w:rPr/>
        <w:t> </w:t>
      </w:r>
      <w:r>
        <w:rPr>
          <w:spacing w:val="-8"/>
        </w:rPr>
        <w:t> </w:t>
      </w:r>
      <w:r>
        <w:rPr>
          <w:w w:val="108"/>
        </w:rPr>
        <w:t>países</w:t>
      </w:r>
      <w:r>
        <w:rPr/>
        <w:t> </w:t>
      </w:r>
      <w:r>
        <w:rPr>
          <w:spacing w:val="-8"/>
        </w:rPr>
        <w:t> </w:t>
      </w:r>
      <w:r>
        <w:rPr>
          <w:w w:val="107"/>
        </w:rPr>
        <w:t>de</w:t>
      </w:r>
      <w:r>
        <w:rPr/>
        <w:t> </w:t>
      </w:r>
      <w:r>
        <w:rPr>
          <w:spacing w:val="-8"/>
        </w:rPr>
        <w:t> </w:t>
      </w:r>
      <w:r>
        <w:rPr>
          <w:w w:val="139"/>
        </w:rPr>
        <w:t>a</w:t>
      </w:r>
      <w:r>
        <w:rPr>
          <w:w w:val="111"/>
        </w:rPr>
        <w:t>mérica</w:t>
      </w:r>
      <w:r>
        <w:rPr/>
        <w:t> </w:t>
      </w:r>
      <w:r>
        <w:rPr>
          <w:spacing w:val="-8"/>
        </w:rPr>
        <w:t> </w:t>
      </w:r>
      <w:r>
        <w:rPr>
          <w:w w:val="243"/>
        </w:rPr>
        <w:t>l</w:t>
      </w:r>
      <w:r>
        <w:rPr>
          <w:w w:val="111"/>
        </w:rPr>
        <w:t>atina</w:t>
      </w:r>
      <w:r>
        <w:rPr/>
        <w:t> </w:t>
      </w:r>
      <w:r>
        <w:rPr>
          <w:spacing w:val="-8"/>
        </w:rPr>
        <w:t> </w:t>
      </w:r>
      <w:r>
        <w:rPr>
          <w:w w:val="105"/>
        </w:rPr>
        <w:t>y</w:t>
      </w:r>
      <w:r>
        <w:rPr/>
        <w:t> </w:t>
      </w:r>
      <w:r>
        <w:rPr>
          <w:spacing w:val="-8"/>
        </w:rPr>
        <w:t> </w:t>
      </w:r>
      <w:r>
        <w:rPr>
          <w:w w:val="107"/>
        </w:rPr>
        <w:t>el</w:t>
      </w:r>
      <w:r>
        <w:rPr/>
        <w:t> </w:t>
      </w:r>
      <w:r>
        <w:rPr>
          <w:spacing w:val="-8"/>
        </w:rPr>
        <w:t> </w:t>
      </w:r>
      <w:r>
        <w:rPr>
          <w:w w:val="114"/>
        </w:rPr>
        <w:t>Caribe,</w:t>
      </w:r>
      <w:r>
        <w:rPr/>
        <w:t> </w:t>
      </w:r>
      <w:r>
        <w:rPr>
          <w:spacing w:val="-8"/>
        </w:rPr>
        <w:t> </w:t>
      </w:r>
      <w:r>
        <w:rPr>
          <w:w w:val="108"/>
        </w:rPr>
        <w:t>los </w:t>
      </w:r>
      <w:r>
        <w:rPr>
          <w:w w:val="115"/>
        </w:rPr>
        <w:t>llamados</w:t>
      </w:r>
      <w:r>
        <w:rPr>
          <w:spacing w:val="47"/>
          <w:w w:val="115"/>
        </w:rPr>
        <w:t> </w:t>
      </w:r>
      <w:r>
        <w:rPr>
          <w:w w:val="115"/>
        </w:rPr>
        <w:t>adPiC++.</w:t>
      </w:r>
    </w:p>
    <w:p>
      <w:pPr>
        <w:pStyle w:val="BodyText"/>
        <w:spacing w:line="252" w:lineRule="auto"/>
        <w:ind w:left="330" w:right="117" w:firstLine="396"/>
        <w:jc w:val="both"/>
      </w:pPr>
      <w:r>
        <w:rPr>
          <w:w w:val="110"/>
        </w:rPr>
        <w:t>a pesar del alto potencial disponible –para el período en cues- tión (1945-2015)– se evidenciaría que el referido modelo no lograría dar respuesta a los principales retos científico-tecnológicos plantea- dos ante la propia sociedad norteamericana y –menos aún– ante la humanidad: el paradigmático desarrollo sostenible basado en el co- nocimiento que resolviera las necesidades de energía, alimentación, salud, educación, equilibrio ecológico, trabajo, bienestar económico, seguridad social, cultura, vivienda, además de los compromisos con- traídos en el plano internacional de contribuir al logro de las </w:t>
      </w:r>
      <w:r>
        <w:rPr>
          <w:i/>
          <w:w w:val="110"/>
        </w:rPr>
        <w:t>Metas</w:t>
      </w:r>
      <w:r>
        <w:rPr>
          <w:i/>
          <w:spacing w:val="-31"/>
          <w:w w:val="110"/>
        </w:rPr>
        <w:t> </w:t>
      </w:r>
      <w:r>
        <w:rPr>
          <w:i/>
          <w:w w:val="110"/>
        </w:rPr>
        <w:t>del </w:t>
      </w:r>
      <w:r>
        <w:rPr>
          <w:i/>
          <w:w w:val="110"/>
        </w:rPr>
        <w:t>Milenio </w:t>
      </w:r>
      <w:r>
        <w:rPr>
          <w:w w:val="110"/>
        </w:rPr>
        <w:t>a cumplimentarse en</w:t>
      </w:r>
      <w:r>
        <w:rPr>
          <w:spacing w:val="36"/>
          <w:w w:val="110"/>
        </w:rPr>
        <w:t> </w:t>
      </w:r>
      <w:r>
        <w:rPr>
          <w:w w:val="110"/>
        </w:rPr>
        <w:t>2015.</w:t>
      </w:r>
    </w:p>
    <w:p>
      <w:pPr>
        <w:pStyle w:val="BodyText"/>
        <w:spacing w:line="252" w:lineRule="auto"/>
        <w:ind w:left="330" w:right="118" w:firstLine="396"/>
        <w:jc w:val="both"/>
      </w:pPr>
      <w:r>
        <w:rPr>
          <w:w w:val="110"/>
        </w:rPr>
        <w:t>se expresaría así la insatisfacción en crecientes estratos sociales  e, incluso, importantes personeros del </w:t>
      </w:r>
      <w:r>
        <w:rPr>
          <w:i/>
          <w:w w:val="110"/>
        </w:rPr>
        <w:t>establishment </w:t>
      </w:r>
      <w:r>
        <w:rPr>
          <w:w w:val="110"/>
        </w:rPr>
        <w:t>acerca del des- empeño unilateral y/o irracional en esta esfera, causante de contro- vertidas consecuencias, si bien a favor del rendimiento corporativo, no obstante en detrimento de las expectativas de desarrollo humano</w:t>
      </w:r>
      <w:r>
        <w:rPr>
          <w:spacing w:val="-9"/>
          <w:w w:val="110"/>
        </w:rPr>
        <w:t> </w:t>
      </w:r>
      <w:r>
        <w:rPr>
          <w:w w:val="110"/>
        </w:rPr>
        <w:t>y societal</w:t>
      </w:r>
      <w:r>
        <w:rPr>
          <w:spacing w:val="29"/>
          <w:w w:val="110"/>
        </w:rPr>
        <w:t> </w:t>
      </w:r>
      <w:r>
        <w:rPr>
          <w:w w:val="110"/>
        </w:rPr>
        <w:t>mencionados.</w:t>
      </w:r>
    </w:p>
    <w:p>
      <w:pPr>
        <w:pStyle w:val="BodyText"/>
        <w:spacing w:line="252" w:lineRule="auto"/>
        <w:ind w:left="330" w:right="118" w:firstLine="396"/>
        <w:jc w:val="both"/>
      </w:pPr>
      <w:r>
        <w:rPr>
          <w:w w:val="110"/>
        </w:rPr>
        <w:t>En consecuencia, ya avanzado el siglo </w:t>
      </w:r>
      <w:r>
        <w:rPr>
          <w:w w:val="125"/>
        </w:rPr>
        <w:t>xxi, </w:t>
      </w:r>
      <w:r>
        <w:rPr>
          <w:w w:val="110"/>
        </w:rPr>
        <w:t>cada vez más nor- teamericanos meditarían acerca de las causales de tal situación y su posibilidad de solución bajo el modelo vigente:</w:t>
      </w:r>
    </w:p>
    <w:p>
      <w:pPr>
        <w:pStyle w:val="ListParagraph"/>
        <w:numPr>
          <w:ilvl w:val="0"/>
          <w:numId w:val="7"/>
        </w:numPr>
        <w:tabs>
          <w:tab w:pos="955" w:val="left" w:leader="none"/>
        </w:tabs>
        <w:spacing w:line="249" w:lineRule="auto" w:before="146" w:after="0"/>
        <w:ind w:left="954" w:right="118" w:hanging="227"/>
        <w:jc w:val="both"/>
        <w:rPr>
          <w:sz w:val="19"/>
        </w:rPr>
      </w:pPr>
      <w:r>
        <w:rPr>
          <w:w w:val="110"/>
          <w:sz w:val="19"/>
        </w:rPr>
        <w:t>El afán de la corporatividad agroalimentaria al empleo masivo de agroquímicos sintéticos y enzimático-hormonales, transgé- nicos, simientes encapsuladas, etc. ciertamente destinados a multiplicar la productividad, pero que a la vez afectarían ine- scrupulosamente la salud humana, el entorno, la biodiversidad y la economía popular (dependencia, cada año, de la compra  de nuevas simientes patentadas), en definitiva, el ciclo repro- ductivo</w:t>
      </w:r>
      <w:r>
        <w:rPr>
          <w:spacing w:val="18"/>
          <w:w w:val="110"/>
          <w:sz w:val="19"/>
        </w:rPr>
        <w:t> </w:t>
      </w:r>
      <w:r>
        <w:rPr>
          <w:w w:val="110"/>
          <w:sz w:val="19"/>
        </w:rPr>
        <w:t>societal.</w:t>
      </w:r>
    </w:p>
    <w:p>
      <w:pPr>
        <w:pStyle w:val="ListParagraph"/>
        <w:numPr>
          <w:ilvl w:val="0"/>
          <w:numId w:val="7"/>
        </w:numPr>
        <w:tabs>
          <w:tab w:pos="955" w:val="left" w:leader="none"/>
        </w:tabs>
        <w:spacing w:line="249" w:lineRule="auto" w:before="40" w:after="0"/>
        <w:ind w:left="954" w:right="117" w:hanging="227"/>
        <w:jc w:val="both"/>
        <w:rPr>
          <w:sz w:val="19"/>
        </w:rPr>
      </w:pPr>
      <w:r>
        <w:rPr>
          <w:w w:val="110"/>
          <w:sz w:val="19"/>
        </w:rPr>
        <w:t>El conservadurismo de las </w:t>
      </w:r>
      <w:r>
        <w:rPr>
          <w:w w:val="120"/>
          <w:sz w:val="19"/>
        </w:rPr>
        <w:t>CtN </w:t>
      </w:r>
      <w:r>
        <w:rPr>
          <w:w w:val="110"/>
          <w:sz w:val="19"/>
        </w:rPr>
        <w:t>energéticas y de los combus- tibles, aferradas al </w:t>
      </w:r>
      <w:r>
        <w:rPr>
          <w:i/>
          <w:w w:val="110"/>
          <w:sz w:val="19"/>
        </w:rPr>
        <w:t>modus operandi </w:t>
      </w:r>
      <w:r>
        <w:rPr>
          <w:w w:val="110"/>
          <w:sz w:val="19"/>
        </w:rPr>
        <w:t>tecnológico instalado, me- diante su posicionamiento sobre las reservas mundiales </w:t>
      </w:r>
      <w:r>
        <w:rPr>
          <w:spacing w:val="-11"/>
          <w:w w:val="110"/>
          <w:sz w:val="19"/>
        </w:rPr>
        <w:t>y, </w:t>
      </w:r>
      <w:r>
        <w:rPr>
          <w:w w:val="110"/>
          <w:sz w:val="19"/>
        </w:rPr>
        <w:t>más recientemente, del degradable recurso </w:t>
      </w:r>
      <w:r>
        <w:rPr>
          <w:i/>
          <w:w w:val="110"/>
          <w:sz w:val="19"/>
        </w:rPr>
        <w:t>tierra</w:t>
      </w:r>
      <w:r>
        <w:rPr>
          <w:w w:val="110"/>
          <w:sz w:val="19"/>
        </w:rPr>
        <w:t>, para los agro- combustibles, promoviendo así el alza de los precios y la cri-  sis alimentaria a niveles planetarios; todo ello muy a pesar de los promisorios logros científicos ya disponibles en pos de </w:t>
      </w:r>
      <w:r>
        <w:rPr>
          <w:spacing w:val="9"/>
          <w:w w:val="110"/>
          <w:sz w:val="19"/>
        </w:rPr>
        <w:t> </w:t>
      </w:r>
      <w:r>
        <w:rPr>
          <w:w w:val="110"/>
          <w:sz w:val="19"/>
        </w:rPr>
        <w:t>una</w:t>
      </w:r>
    </w:p>
    <w:p>
      <w:pPr>
        <w:spacing w:after="0" w:line="249" w:lineRule="auto"/>
        <w:jc w:val="both"/>
        <w:rPr>
          <w:sz w:val="19"/>
        </w:rPr>
        <w:sectPr>
          <w:pgSz w:w="8790" w:h="12760"/>
          <w:pgMar w:header="697" w:footer="725" w:top="880" w:bottom="920" w:left="1200" w:right="900"/>
        </w:sectPr>
      </w:pPr>
    </w:p>
    <w:p>
      <w:pPr>
        <w:pStyle w:val="BodyText"/>
        <w:spacing w:before="9"/>
        <w:rPr>
          <w:sz w:val="28"/>
        </w:rPr>
      </w:pPr>
    </w:p>
    <w:p>
      <w:pPr>
        <w:pStyle w:val="BodyText"/>
        <w:spacing w:line="256" w:lineRule="auto" w:before="73"/>
        <w:ind w:left="444" w:right="328"/>
        <w:jc w:val="both"/>
      </w:pPr>
      <w:r>
        <w:rPr>
          <w:w w:val="110"/>
        </w:rPr>
        <w:t>seguridad energética definitivamente basada en fuentes reno- vables y limpias que garantizarían la sostenibilidad integral, sin disputarse la seguridad alimentaria, y demás requisitos ecológicos del ser humano y del medio </w:t>
      </w:r>
      <w:r>
        <w:rPr>
          <w:spacing w:val="22"/>
          <w:w w:val="110"/>
        </w:rPr>
        <w:t> </w:t>
      </w:r>
      <w:r>
        <w:rPr>
          <w:w w:val="110"/>
        </w:rPr>
        <w:t>natural.</w:t>
      </w:r>
    </w:p>
    <w:p>
      <w:pPr>
        <w:pStyle w:val="ListParagraph"/>
        <w:numPr>
          <w:ilvl w:val="1"/>
          <w:numId w:val="6"/>
        </w:numPr>
        <w:tabs>
          <w:tab w:pos="445" w:val="left" w:leader="none"/>
        </w:tabs>
        <w:spacing w:line="254" w:lineRule="auto" w:before="37" w:after="0"/>
        <w:ind w:left="444" w:right="328" w:hanging="227"/>
        <w:jc w:val="both"/>
        <w:rPr>
          <w:sz w:val="19"/>
        </w:rPr>
      </w:pPr>
      <w:r>
        <w:rPr>
          <w:w w:val="110"/>
          <w:sz w:val="19"/>
        </w:rPr>
        <w:t>desde el ángulo ecológico, con esta concepción energética –in- eficiente depredadora de las menguadas reservas de combus- tibles fósiles– se generarían desproporcionadas exhalaciones de gases de efecto invernadero –causa científicamente dem- ostrada del calentamiento global (iPCC, 2002) que obtuviera   el Premio Nobel en 2007– con nefastas consecuencias para los equilibrios ecológicos y la supervivencia misma de la vida</w:t>
      </w:r>
      <w:r>
        <w:rPr>
          <w:spacing w:val="-29"/>
          <w:w w:val="110"/>
          <w:sz w:val="19"/>
        </w:rPr>
        <w:t> </w:t>
      </w:r>
      <w:r>
        <w:rPr>
          <w:w w:val="110"/>
          <w:sz w:val="19"/>
        </w:rPr>
        <w:t>plan- etaria; no obstante, persistiría una obstinada reticencia oficial a reconocer tal relación de causa-efecto y se postergaría indefi- nidamente la firma del Protocolo de Kyoto, para no afectar su </w:t>
      </w:r>
      <w:r>
        <w:rPr>
          <w:w w:val="105"/>
          <w:sz w:val="19"/>
        </w:rPr>
        <w:t>estancada/decadente  </w:t>
      </w:r>
      <w:r>
        <w:rPr>
          <w:spacing w:val="27"/>
          <w:w w:val="105"/>
          <w:sz w:val="19"/>
        </w:rPr>
        <w:t> </w:t>
      </w:r>
      <w:r>
        <w:rPr>
          <w:w w:val="105"/>
          <w:sz w:val="19"/>
        </w:rPr>
        <w:t>competitividad.</w:t>
      </w:r>
    </w:p>
    <w:p>
      <w:pPr>
        <w:pStyle w:val="ListParagraph"/>
        <w:numPr>
          <w:ilvl w:val="1"/>
          <w:numId w:val="6"/>
        </w:numPr>
        <w:tabs>
          <w:tab w:pos="445" w:val="left" w:leader="none"/>
        </w:tabs>
        <w:spacing w:line="252" w:lineRule="auto" w:before="39" w:after="0"/>
        <w:ind w:left="444" w:right="328" w:hanging="227"/>
        <w:jc w:val="both"/>
        <w:rPr>
          <w:sz w:val="19"/>
        </w:rPr>
      </w:pPr>
      <w:r>
        <w:rPr>
          <w:w w:val="243"/>
          <w:sz w:val="19"/>
        </w:rPr>
        <w:t>l</w:t>
      </w:r>
      <w:r>
        <w:rPr>
          <w:w w:val="112"/>
          <w:sz w:val="19"/>
        </w:rPr>
        <w:t>a</w:t>
      </w:r>
      <w:r>
        <w:rPr>
          <w:sz w:val="19"/>
        </w:rPr>
        <w:t> </w:t>
      </w:r>
      <w:r>
        <w:rPr>
          <w:spacing w:val="-4"/>
          <w:sz w:val="19"/>
        </w:rPr>
        <w:t> </w:t>
      </w:r>
      <w:r>
        <w:rPr>
          <w:w w:val="111"/>
          <w:sz w:val="19"/>
        </w:rPr>
        <w:t>reducción</w:t>
      </w:r>
      <w:r>
        <w:rPr>
          <w:sz w:val="19"/>
        </w:rPr>
        <w:t> </w:t>
      </w:r>
      <w:r>
        <w:rPr>
          <w:spacing w:val="-4"/>
          <w:sz w:val="19"/>
        </w:rPr>
        <w:t> </w:t>
      </w:r>
      <w:r>
        <w:rPr>
          <w:w w:val="91"/>
          <w:sz w:val="19"/>
        </w:rPr>
        <w:t>y/o</w:t>
      </w:r>
      <w:r>
        <w:rPr>
          <w:sz w:val="19"/>
        </w:rPr>
        <w:t> </w:t>
      </w:r>
      <w:r>
        <w:rPr>
          <w:spacing w:val="-4"/>
          <w:sz w:val="19"/>
        </w:rPr>
        <w:t> </w:t>
      </w:r>
      <w:r>
        <w:rPr>
          <w:w w:val="112"/>
          <w:sz w:val="19"/>
        </w:rPr>
        <w:t>anulación</w:t>
      </w:r>
      <w:r>
        <w:rPr>
          <w:sz w:val="19"/>
        </w:rPr>
        <w:t> </w:t>
      </w:r>
      <w:r>
        <w:rPr>
          <w:spacing w:val="-4"/>
          <w:sz w:val="19"/>
        </w:rPr>
        <w:t> </w:t>
      </w:r>
      <w:r>
        <w:rPr>
          <w:w w:val="107"/>
          <w:sz w:val="19"/>
        </w:rPr>
        <w:t>del</w:t>
      </w:r>
      <w:r>
        <w:rPr>
          <w:sz w:val="19"/>
        </w:rPr>
        <w:t> </w:t>
      </w:r>
      <w:r>
        <w:rPr>
          <w:spacing w:val="-4"/>
          <w:sz w:val="19"/>
        </w:rPr>
        <w:t> </w:t>
      </w:r>
      <w:r>
        <w:rPr>
          <w:w w:val="111"/>
          <w:sz w:val="19"/>
        </w:rPr>
        <w:t>financiamiento</w:t>
      </w:r>
      <w:r>
        <w:rPr>
          <w:sz w:val="19"/>
        </w:rPr>
        <w:t> </w:t>
      </w:r>
      <w:r>
        <w:rPr>
          <w:spacing w:val="-4"/>
          <w:sz w:val="19"/>
        </w:rPr>
        <w:t> </w:t>
      </w:r>
      <w:r>
        <w:rPr>
          <w:w w:val="109"/>
          <w:sz w:val="19"/>
        </w:rPr>
        <w:t>corporativo</w:t>
      </w:r>
      <w:r>
        <w:rPr>
          <w:sz w:val="19"/>
        </w:rPr>
        <w:t> </w:t>
      </w:r>
      <w:r>
        <w:rPr>
          <w:spacing w:val="-4"/>
          <w:sz w:val="19"/>
        </w:rPr>
        <w:t> </w:t>
      </w:r>
      <w:r>
        <w:rPr>
          <w:w w:val="105"/>
          <w:sz w:val="19"/>
        </w:rPr>
        <w:t>y </w:t>
      </w:r>
      <w:r>
        <w:rPr>
          <w:w w:val="110"/>
          <w:sz w:val="19"/>
        </w:rPr>
        <w:t>público de la estratégica </w:t>
      </w:r>
      <w:r>
        <w:rPr>
          <w:i/>
          <w:w w:val="110"/>
          <w:sz w:val="19"/>
        </w:rPr>
        <w:t>investigación fundamental </w:t>
      </w:r>
      <w:r>
        <w:rPr>
          <w:w w:val="110"/>
          <w:sz w:val="19"/>
        </w:rPr>
        <w:t>dispersán- dose la masa crítica de capital humano y tecnológico </w:t>
      </w:r>
      <w:r>
        <w:rPr>
          <w:spacing w:val="-11"/>
          <w:w w:val="110"/>
          <w:sz w:val="19"/>
        </w:rPr>
        <w:t>y, </w:t>
      </w:r>
      <w:r>
        <w:rPr>
          <w:w w:val="110"/>
          <w:sz w:val="19"/>
        </w:rPr>
        <w:t>con  ello, su capacidad de recuperación vanguardista a futuro, en   un mediano-largo</w:t>
      </w:r>
      <w:r>
        <w:rPr>
          <w:spacing w:val="38"/>
          <w:w w:val="110"/>
          <w:sz w:val="19"/>
        </w:rPr>
        <w:t> </w:t>
      </w:r>
      <w:r>
        <w:rPr>
          <w:w w:val="110"/>
          <w:sz w:val="19"/>
        </w:rPr>
        <w:t>plazo.</w:t>
      </w:r>
    </w:p>
    <w:p>
      <w:pPr>
        <w:pStyle w:val="ListParagraph"/>
        <w:numPr>
          <w:ilvl w:val="1"/>
          <w:numId w:val="6"/>
        </w:numPr>
        <w:tabs>
          <w:tab w:pos="445" w:val="left" w:leader="none"/>
        </w:tabs>
        <w:spacing w:line="254" w:lineRule="auto" w:before="41" w:after="0"/>
        <w:ind w:left="444" w:right="328" w:hanging="227"/>
        <w:jc w:val="both"/>
        <w:rPr>
          <w:sz w:val="19"/>
        </w:rPr>
      </w:pPr>
      <w:r>
        <w:rPr>
          <w:w w:val="243"/>
          <w:sz w:val="19"/>
        </w:rPr>
        <w:t>l</w:t>
      </w:r>
      <w:r>
        <w:rPr>
          <w:w w:val="112"/>
          <w:sz w:val="19"/>
        </w:rPr>
        <w:t>a</w:t>
      </w:r>
      <w:r>
        <w:rPr>
          <w:sz w:val="19"/>
        </w:rPr>
        <w:t>  </w:t>
      </w:r>
      <w:r>
        <w:rPr>
          <w:spacing w:val="-20"/>
          <w:sz w:val="19"/>
        </w:rPr>
        <w:t> </w:t>
      </w:r>
      <w:r>
        <w:rPr>
          <w:w w:val="111"/>
          <w:sz w:val="19"/>
        </w:rPr>
        <w:t>deslocalización</w:t>
      </w:r>
      <w:r>
        <w:rPr>
          <w:sz w:val="19"/>
        </w:rPr>
        <w:t>  </w:t>
      </w:r>
      <w:r>
        <w:rPr>
          <w:spacing w:val="-20"/>
          <w:sz w:val="19"/>
        </w:rPr>
        <w:t> </w:t>
      </w:r>
      <w:r>
        <w:rPr>
          <w:i/>
          <w:w w:val="111"/>
          <w:sz w:val="19"/>
        </w:rPr>
        <w:t>o</w:t>
      </w:r>
      <w:r>
        <w:rPr>
          <w:i/>
          <w:spacing w:val="-4"/>
          <w:w w:val="111"/>
          <w:sz w:val="19"/>
        </w:rPr>
        <w:t>f</w:t>
      </w:r>
      <w:r>
        <w:rPr>
          <w:i/>
          <w:w w:val="109"/>
          <w:sz w:val="19"/>
        </w:rPr>
        <w:t>f</w:t>
      </w:r>
      <w:r>
        <w:rPr>
          <w:i/>
          <w:sz w:val="19"/>
        </w:rPr>
        <w:t>  </w:t>
      </w:r>
      <w:r>
        <w:rPr>
          <w:i/>
          <w:spacing w:val="-20"/>
          <w:sz w:val="19"/>
        </w:rPr>
        <w:t> </w:t>
      </w:r>
      <w:r>
        <w:rPr>
          <w:i/>
          <w:w w:val="108"/>
          <w:sz w:val="19"/>
        </w:rPr>
        <w:t>shore</w:t>
      </w:r>
      <w:r>
        <w:rPr>
          <w:i/>
          <w:sz w:val="19"/>
        </w:rPr>
        <w:t>  </w:t>
      </w:r>
      <w:r>
        <w:rPr>
          <w:i/>
          <w:spacing w:val="-20"/>
          <w:sz w:val="19"/>
        </w:rPr>
        <w:t> </w:t>
      </w:r>
      <w:r>
        <w:rPr>
          <w:w w:val="108"/>
          <w:sz w:val="19"/>
        </w:rPr>
        <w:t>(fuera</w:t>
      </w:r>
      <w:r>
        <w:rPr>
          <w:sz w:val="19"/>
        </w:rPr>
        <w:t>  </w:t>
      </w:r>
      <w:r>
        <w:rPr>
          <w:spacing w:val="-20"/>
          <w:sz w:val="19"/>
        </w:rPr>
        <w:t> </w:t>
      </w:r>
      <w:r>
        <w:rPr>
          <w:w w:val="107"/>
          <w:sz w:val="19"/>
        </w:rPr>
        <w:t>de</w:t>
      </w:r>
      <w:r>
        <w:rPr>
          <w:sz w:val="19"/>
        </w:rPr>
        <w:t>  </w:t>
      </w:r>
      <w:r>
        <w:rPr>
          <w:spacing w:val="-20"/>
          <w:sz w:val="19"/>
        </w:rPr>
        <w:t> </w:t>
      </w:r>
      <w:r>
        <w:rPr>
          <w:w w:val="109"/>
          <w:sz w:val="19"/>
        </w:rPr>
        <w:t>fronteras),</w:t>
      </w:r>
      <w:r>
        <w:rPr>
          <w:sz w:val="19"/>
        </w:rPr>
        <w:t>  </w:t>
      </w:r>
      <w:r>
        <w:rPr>
          <w:spacing w:val="-19"/>
          <w:sz w:val="19"/>
        </w:rPr>
        <w:t> </w:t>
      </w:r>
      <w:r>
        <w:rPr>
          <w:w w:val="111"/>
          <w:sz w:val="19"/>
        </w:rPr>
        <w:t>buscando </w:t>
      </w:r>
      <w:r>
        <w:rPr>
          <w:w w:val="110"/>
          <w:sz w:val="19"/>
        </w:rPr>
        <w:t>fuerza laboral barata, de importantes cadenas productivas y de valores agregados, incluidos –como fenómeno novedoso– sus eslabones </w:t>
      </w:r>
      <w:r>
        <w:rPr>
          <w:spacing w:val="-4"/>
          <w:w w:val="150"/>
          <w:sz w:val="19"/>
        </w:rPr>
        <w:t>altEC </w:t>
      </w:r>
      <w:r>
        <w:rPr>
          <w:w w:val="110"/>
          <w:sz w:val="19"/>
        </w:rPr>
        <w:t>y de generación de conocimiento, condu- cente al controvertido desmembramiento del </w:t>
      </w:r>
      <w:r>
        <w:rPr>
          <w:i/>
          <w:w w:val="110"/>
          <w:sz w:val="19"/>
        </w:rPr>
        <w:t>núcleo duro </w:t>
      </w:r>
      <w:r>
        <w:rPr>
          <w:w w:val="110"/>
          <w:sz w:val="19"/>
        </w:rPr>
        <w:t>de la fuerza laboral en la metrópoli </w:t>
      </w:r>
      <w:r>
        <w:rPr>
          <w:spacing w:val="-11"/>
          <w:w w:val="110"/>
          <w:sz w:val="19"/>
        </w:rPr>
        <w:t>y, </w:t>
      </w:r>
      <w:r>
        <w:rPr>
          <w:w w:val="110"/>
          <w:sz w:val="19"/>
        </w:rPr>
        <w:t>por otro lado, al sistemático </w:t>
      </w:r>
      <w:r>
        <w:rPr>
          <w:i/>
          <w:w w:val="110"/>
          <w:sz w:val="19"/>
        </w:rPr>
        <w:t>robo</w:t>
      </w:r>
      <w:r>
        <w:rPr>
          <w:i/>
          <w:spacing w:val="-7"/>
          <w:w w:val="110"/>
          <w:sz w:val="19"/>
        </w:rPr>
        <w:t> </w:t>
      </w:r>
      <w:r>
        <w:rPr>
          <w:i/>
          <w:w w:val="110"/>
          <w:sz w:val="19"/>
        </w:rPr>
        <w:t>de</w:t>
      </w:r>
      <w:r>
        <w:rPr>
          <w:i/>
          <w:spacing w:val="-7"/>
          <w:w w:val="110"/>
          <w:sz w:val="19"/>
        </w:rPr>
        <w:t> </w:t>
      </w:r>
      <w:r>
        <w:rPr>
          <w:i/>
          <w:w w:val="110"/>
          <w:sz w:val="19"/>
        </w:rPr>
        <w:t>cerebros</w:t>
      </w:r>
      <w:r>
        <w:rPr>
          <w:i/>
          <w:spacing w:val="-7"/>
          <w:w w:val="110"/>
          <w:sz w:val="19"/>
        </w:rPr>
        <w:t> </w:t>
      </w:r>
      <w:r>
        <w:rPr>
          <w:w w:val="110"/>
          <w:sz w:val="19"/>
        </w:rPr>
        <w:t>(inmigración</w:t>
      </w:r>
      <w:r>
        <w:rPr>
          <w:spacing w:val="-7"/>
          <w:w w:val="110"/>
          <w:sz w:val="19"/>
        </w:rPr>
        <w:t> </w:t>
      </w:r>
      <w:r>
        <w:rPr>
          <w:w w:val="110"/>
          <w:sz w:val="19"/>
        </w:rPr>
        <w:t>selectiva</w:t>
      </w:r>
      <w:r>
        <w:rPr>
          <w:spacing w:val="-7"/>
          <w:w w:val="110"/>
          <w:sz w:val="19"/>
        </w:rPr>
        <w:t> </w:t>
      </w:r>
      <w:r>
        <w:rPr>
          <w:w w:val="110"/>
          <w:sz w:val="19"/>
        </w:rPr>
        <w:t>de</w:t>
      </w:r>
      <w:r>
        <w:rPr>
          <w:spacing w:val="-7"/>
          <w:w w:val="110"/>
          <w:sz w:val="19"/>
        </w:rPr>
        <w:t> </w:t>
      </w:r>
      <w:r>
        <w:rPr>
          <w:i/>
          <w:w w:val="110"/>
          <w:sz w:val="19"/>
        </w:rPr>
        <w:t>cuellos</w:t>
      </w:r>
      <w:r>
        <w:rPr>
          <w:i/>
          <w:spacing w:val="-7"/>
          <w:w w:val="110"/>
          <w:sz w:val="19"/>
        </w:rPr>
        <w:t> </w:t>
      </w:r>
      <w:r>
        <w:rPr>
          <w:i/>
          <w:w w:val="110"/>
          <w:sz w:val="19"/>
        </w:rPr>
        <w:t>blancos</w:t>
      </w:r>
      <w:r>
        <w:rPr>
          <w:i/>
          <w:spacing w:val="-7"/>
          <w:w w:val="110"/>
          <w:sz w:val="19"/>
        </w:rPr>
        <w:t> </w:t>
      </w:r>
      <w:r>
        <w:rPr>
          <w:w w:val="110"/>
          <w:sz w:val="19"/>
        </w:rPr>
        <w:t>desde países</w:t>
      </w:r>
      <w:r>
        <w:rPr>
          <w:spacing w:val="-9"/>
          <w:w w:val="110"/>
          <w:sz w:val="19"/>
        </w:rPr>
        <w:t> </w:t>
      </w:r>
      <w:r>
        <w:rPr>
          <w:w w:val="110"/>
          <w:sz w:val="19"/>
        </w:rPr>
        <w:t>de</w:t>
      </w:r>
      <w:r>
        <w:rPr>
          <w:spacing w:val="-9"/>
          <w:w w:val="110"/>
          <w:sz w:val="19"/>
        </w:rPr>
        <w:t> </w:t>
      </w:r>
      <w:r>
        <w:rPr>
          <w:w w:val="110"/>
          <w:sz w:val="19"/>
        </w:rPr>
        <w:t>menor</w:t>
      </w:r>
      <w:r>
        <w:rPr>
          <w:spacing w:val="-9"/>
          <w:w w:val="110"/>
          <w:sz w:val="19"/>
        </w:rPr>
        <w:t> </w:t>
      </w:r>
      <w:r>
        <w:rPr>
          <w:w w:val="110"/>
          <w:sz w:val="19"/>
        </w:rPr>
        <w:t>nivel</w:t>
      </w:r>
      <w:r>
        <w:rPr>
          <w:spacing w:val="-9"/>
          <w:w w:val="110"/>
          <w:sz w:val="19"/>
        </w:rPr>
        <w:t> </w:t>
      </w:r>
      <w:r>
        <w:rPr>
          <w:w w:val="110"/>
          <w:sz w:val="19"/>
        </w:rPr>
        <w:t>salarial</w:t>
      </w:r>
      <w:r>
        <w:rPr>
          <w:spacing w:val="-9"/>
          <w:w w:val="110"/>
          <w:sz w:val="19"/>
        </w:rPr>
        <w:t> </w:t>
      </w:r>
      <w:r>
        <w:rPr>
          <w:w w:val="110"/>
          <w:sz w:val="19"/>
        </w:rPr>
        <w:t>y</w:t>
      </w:r>
      <w:r>
        <w:rPr>
          <w:spacing w:val="-9"/>
          <w:w w:val="110"/>
          <w:sz w:val="19"/>
        </w:rPr>
        <w:t> </w:t>
      </w:r>
      <w:r>
        <w:rPr>
          <w:w w:val="110"/>
          <w:sz w:val="19"/>
        </w:rPr>
        <w:t>su</w:t>
      </w:r>
      <w:r>
        <w:rPr>
          <w:spacing w:val="-9"/>
          <w:w w:val="110"/>
          <w:sz w:val="19"/>
        </w:rPr>
        <w:t> </w:t>
      </w:r>
      <w:r>
        <w:rPr>
          <w:w w:val="110"/>
          <w:sz w:val="19"/>
        </w:rPr>
        <w:t>discriminatoria</w:t>
      </w:r>
      <w:r>
        <w:rPr>
          <w:spacing w:val="-9"/>
          <w:w w:val="110"/>
          <w:sz w:val="19"/>
        </w:rPr>
        <w:t> </w:t>
      </w:r>
      <w:r>
        <w:rPr>
          <w:w w:val="110"/>
          <w:sz w:val="19"/>
        </w:rPr>
        <w:t>explotación). ambos procesos, causantes de desocupación creciente, pérdida de incentivos para ingresar al sector científico-tecnológico por los jóvenes y consecuente envejecimiento de los </w:t>
      </w:r>
      <w:r>
        <w:rPr>
          <w:i/>
          <w:w w:val="110"/>
          <w:sz w:val="19"/>
        </w:rPr>
        <w:t>cuellos</w:t>
      </w:r>
      <w:r>
        <w:rPr>
          <w:i/>
          <w:spacing w:val="-13"/>
          <w:w w:val="110"/>
          <w:sz w:val="19"/>
        </w:rPr>
        <w:t> </w:t>
      </w:r>
      <w:r>
        <w:rPr>
          <w:i/>
          <w:w w:val="110"/>
          <w:sz w:val="19"/>
        </w:rPr>
        <w:t>blancos </w:t>
      </w:r>
      <w:r>
        <w:rPr>
          <w:w w:val="110"/>
          <w:sz w:val="19"/>
        </w:rPr>
        <w:t>locales.</w:t>
      </w:r>
    </w:p>
    <w:p>
      <w:pPr>
        <w:pStyle w:val="ListParagraph"/>
        <w:numPr>
          <w:ilvl w:val="1"/>
          <w:numId w:val="6"/>
        </w:numPr>
        <w:tabs>
          <w:tab w:pos="445" w:val="left" w:leader="none"/>
        </w:tabs>
        <w:spacing w:line="254" w:lineRule="auto" w:before="39" w:after="0"/>
        <w:ind w:left="444" w:right="328" w:hanging="227"/>
        <w:jc w:val="both"/>
        <w:rPr>
          <w:sz w:val="19"/>
        </w:rPr>
      </w:pPr>
      <w:r>
        <w:rPr>
          <w:spacing w:val="-1"/>
          <w:w w:val="243"/>
          <w:sz w:val="19"/>
        </w:rPr>
        <w:t>l</w:t>
      </w:r>
      <w:r>
        <w:rPr>
          <w:w w:val="112"/>
          <w:sz w:val="19"/>
        </w:rPr>
        <w:t>a</w:t>
      </w:r>
      <w:r>
        <w:rPr>
          <w:sz w:val="19"/>
        </w:rPr>
        <w:t> </w:t>
      </w:r>
      <w:r>
        <w:rPr>
          <w:spacing w:val="-21"/>
          <w:sz w:val="19"/>
        </w:rPr>
        <w:t> </w:t>
      </w:r>
      <w:r>
        <w:rPr>
          <w:spacing w:val="-1"/>
          <w:w w:val="112"/>
          <w:sz w:val="19"/>
        </w:rPr>
        <w:t>afectació</w:t>
      </w:r>
      <w:r>
        <w:rPr>
          <w:w w:val="112"/>
          <w:sz w:val="19"/>
        </w:rPr>
        <w:t>n</w:t>
      </w:r>
      <w:r>
        <w:rPr>
          <w:sz w:val="19"/>
        </w:rPr>
        <w:t> </w:t>
      </w:r>
      <w:r>
        <w:rPr>
          <w:spacing w:val="-21"/>
          <w:sz w:val="19"/>
        </w:rPr>
        <w:t> </w:t>
      </w:r>
      <w:r>
        <w:rPr>
          <w:spacing w:val="-1"/>
          <w:w w:val="106"/>
          <w:sz w:val="19"/>
        </w:rPr>
        <w:t>–po</w:t>
      </w:r>
      <w:r>
        <w:rPr>
          <w:w w:val="106"/>
          <w:sz w:val="19"/>
        </w:rPr>
        <w:t>r</w:t>
      </w:r>
      <w:r>
        <w:rPr>
          <w:sz w:val="19"/>
        </w:rPr>
        <w:t> </w:t>
      </w:r>
      <w:r>
        <w:rPr>
          <w:spacing w:val="-21"/>
          <w:sz w:val="19"/>
        </w:rPr>
        <w:t> </w:t>
      </w:r>
      <w:r>
        <w:rPr>
          <w:spacing w:val="-1"/>
          <w:w w:val="111"/>
          <w:sz w:val="19"/>
        </w:rPr>
        <w:t>l</w:t>
      </w:r>
      <w:r>
        <w:rPr>
          <w:w w:val="111"/>
          <w:sz w:val="19"/>
        </w:rPr>
        <w:t>a</w:t>
      </w:r>
      <w:r>
        <w:rPr>
          <w:sz w:val="19"/>
        </w:rPr>
        <w:t> </w:t>
      </w:r>
      <w:r>
        <w:rPr>
          <w:spacing w:val="-21"/>
          <w:sz w:val="19"/>
        </w:rPr>
        <w:t> </w:t>
      </w:r>
      <w:r>
        <w:rPr>
          <w:spacing w:val="-1"/>
          <w:w w:val="110"/>
          <w:sz w:val="19"/>
        </w:rPr>
        <w:t>deslocalización</w:t>
      </w:r>
      <w:r>
        <w:rPr>
          <w:w w:val="110"/>
          <w:sz w:val="19"/>
        </w:rPr>
        <w:t>–</w:t>
      </w:r>
      <w:r>
        <w:rPr>
          <w:sz w:val="19"/>
        </w:rPr>
        <w:t> </w:t>
      </w:r>
      <w:r>
        <w:rPr>
          <w:spacing w:val="-21"/>
          <w:sz w:val="19"/>
        </w:rPr>
        <w:t> </w:t>
      </w:r>
      <w:r>
        <w:rPr>
          <w:w w:val="112"/>
          <w:sz w:val="19"/>
        </w:rPr>
        <w:t>a</w:t>
      </w:r>
      <w:r>
        <w:rPr>
          <w:sz w:val="19"/>
        </w:rPr>
        <w:t> </w:t>
      </w:r>
      <w:r>
        <w:rPr>
          <w:spacing w:val="-21"/>
          <w:sz w:val="19"/>
        </w:rPr>
        <w:t> </w:t>
      </w:r>
      <w:r>
        <w:rPr>
          <w:spacing w:val="-1"/>
          <w:w w:val="111"/>
          <w:sz w:val="19"/>
        </w:rPr>
        <w:t>l</w:t>
      </w:r>
      <w:r>
        <w:rPr>
          <w:w w:val="111"/>
          <w:sz w:val="19"/>
        </w:rPr>
        <w:t>a</w:t>
      </w:r>
      <w:r>
        <w:rPr>
          <w:sz w:val="19"/>
        </w:rPr>
        <w:t> </w:t>
      </w:r>
      <w:r>
        <w:rPr>
          <w:spacing w:val="-21"/>
          <w:sz w:val="19"/>
        </w:rPr>
        <w:t> </w:t>
      </w:r>
      <w:r>
        <w:rPr>
          <w:spacing w:val="-1"/>
          <w:w w:val="110"/>
          <w:sz w:val="19"/>
        </w:rPr>
        <w:t>fiabilida</w:t>
      </w:r>
      <w:r>
        <w:rPr>
          <w:w w:val="110"/>
          <w:sz w:val="19"/>
        </w:rPr>
        <w:t>d</w:t>
      </w:r>
      <w:r>
        <w:rPr>
          <w:sz w:val="19"/>
        </w:rPr>
        <w:t> </w:t>
      </w:r>
      <w:r>
        <w:rPr>
          <w:spacing w:val="-21"/>
          <w:sz w:val="19"/>
        </w:rPr>
        <w:t> </w:t>
      </w:r>
      <w:r>
        <w:rPr>
          <w:spacing w:val="-1"/>
          <w:w w:val="107"/>
          <w:sz w:val="19"/>
        </w:rPr>
        <w:t>d</w:t>
      </w:r>
      <w:r>
        <w:rPr>
          <w:w w:val="107"/>
          <w:sz w:val="19"/>
        </w:rPr>
        <w:t>e</w:t>
      </w:r>
      <w:r>
        <w:rPr>
          <w:sz w:val="19"/>
        </w:rPr>
        <w:t> </w:t>
      </w:r>
      <w:r>
        <w:rPr>
          <w:spacing w:val="-21"/>
          <w:sz w:val="19"/>
        </w:rPr>
        <w:t> </w:t>
      </w:r>
      <w:r>
        <w:rPr>
          <w:spacing w:val="-1"/>
          <w:w w:val="109"/>
          <w:sz w:val="19"/>
        </w:rPr>
        <w:t>la</w:t>
      </w:r>
      <w:r>
        <w:rPr>
          <w:w w:val="109"/>
          <w:sz w:val="19"/>
        </w:rPr>
        <w:t>s</w:t>
      </w:r>
      <w:r>
        <w:rPr>
          <w:sz w:val="19"/>
        </w:rPr>
        <w:t> </w:t>
      </w:r>
      <w:r>
        <w:rPr>
          <w:spacing w:val="-21"/>
          <w:sz w:val="19"/>
        </w:rPr>
        <w:t> </w:t>
      </w:r>
      <w:r>
        <w:rPr>
          <w:spacing w:val="-1"/>
          <w:w w:val="105"/>
          <w:sz w:val="19"/>
        </w:rPr>
        <w:t>e</w:t>
      </w:r>
      <w:r>
        <w:rPr>
          <w:spacing w:val="-2"/>
          <w:w w:val="105"/>
          <w:sz w:val="19"/>
        </w:rPr>
        <w:t>s</w:t>
      </w:r>
      <w:r>
        <w:rPr>
          <w:w w:val="102"/>
          <w:sz w:val="19"/>
        </w:rPr>
        <w:t>- </w:t>
      </w:r>
      <w:r>
        <w:rPr>
          <w:w w:val="110"/>
          <w:sz w:val="19"/>
        </w:rPr>
        <w:t>tadísticas económicas estadounidenses comprometedoras de cálculos manipulados entre los reportes para el PNb y el Pib, consistentes,</w:t>
      </w:r>
      <w:r>
        <w:rPr>
          <w:spacing w:val="-6"/>
          <w:w w:val="110"/>
          <w:sz w:val="19"/>
        </w:rPr>
        <w:t> </w:t>
      </w:r>
      <w:r>
        <w:rPr>
          <w:w w:val="110"/>
          <w:sz w:val="19"/>
        </w:rPr>
        <w:t>entre</w:t>
      </w:r>
      <w:r>
        <w:rPr>
          <w:spacing w:val="-6"/>
          <w:w w:val="110"/>
          <w:sz w:val="19"/>
        </w:rPr>
        <w:t> </w:t>
      </w:r>
      <w:r>
        <w:rPr>
          <w:w w:val="110"/>
          <w:sz w:val="19"/>
        </w:rPr>
        <w:t>otros,</w:t>
      </w:r>
      <w:r>
        <w:rPr>
          <w:spacing w:val="-6"/>
          <w:w w:val="110"/>
          <w:sz w:val="19"/>
        </w:rPr>
        <w:t> </w:t>
      </w:r>
      <w:r>
        <w:rPr>
          <w:w w:val="110"/>
          <w:sz w:val="19"/>
        </w:rPr>
        <w:t>en</w:t>
      </w:r>
      <w:r>
        <w:rPr>
          <w:spacing w:val="-6"/>
          <w:w w:val="110"/>
          <w:sz w:val="19"/>
        </w:rPr>
        <w:t> </w:t>
      </w:r>
      <w:r>
        <w:rPr>
          <w:w w:val="110"/>
          <w:sz w:val="19"/>
        </w:rPr>
        <w:t>que</w:t>
      </w:r>
      <w:r>
        <w:rPr>
          <w:spacing w:val="-6"/>
          <w:w w:val="110"/>
          <w:sz w:val="19"/>
        </w:rPr>
        <w:t> </w:t>
      </w:r>
      <w:r>
        <w:rPr>
          <w:w w:val="110"/>
          <w:sz w:val="19"/>
        </w:rPr>
        <w:t>“la</w:t>
      </w:r>
      <w:r>
        <w:rPr>
          <w:spacing w:val="-6"/>
          <w:w w:val="110"/>
          <w:sz w:val="19"/>
        </w:rPr>
        <w:t> </w:t>
      </w:r>
      <w:r>
        <w:rPr>
          <w:w w:val="110"/>
          <w:sz w:val="19"/>
        </w:rPr>
        <w:t>reducción</w:t>
      </w:r>
      <w:r>
        <w:rPr>
          <w:spacing w:val="-6"/>
          <w:w w:val="110"/>
          <w:sz w:val="19"/>
        </w:rPr>
        <w:t> </w:t>
      </w:r>
      <w:r>
        <w:rPr>
          <w:w w:val="110"/>
          <w:sz w:val="19"/>
        </w:rPr>
        <w:t>de</w:t>
      </w:r>
      <w:r>
        <w:rPr>
          <w:spacing w:val="-6"/>
          <w:w w:val="110"/>
          <w:sz w:val="19"/>
        </w:rPr>
        <w:t> </w:t>
      </w:r>
      <w:r>
        <w:rPr>
          <w:w w:val="110"/>
          <w:sz w:val="19"/>
        </w:rPr>
        <w:t>costos</w:t>
      </w:r>
      <w:r>
        <w:rPr>
          <w:spacing w:val="-6"/>
          <w:w w:val="110"/>
          <w:sz w:val="19"/>
        </w:rPr>
        <w:t> </w:t>
      </w:r>
      <w:r>
        <w:rPr>
          <w:w w:val="110"/>
          <w:sz w:val="19"/>
        </w:rPr>
        <w:t>llevada a</w:t>
      </w:r>
      <w:r>
        <w:rPr>
          <w:spacing w:val="-14"/>
          <w:w w:val="110"/>
          <w:sz w:val="19"/>
        </w:rPr>
        <w:t> </w:t>
      </w:r>
      <w:r>
        <w:rPr>
          <w:w w:val="110"/>
          <w:sz w:val="19"/>
        </w:rPr>
        <w:t>cabo</w:t>
      </w:r>
      <w:r>
        <w:rPr>
          <w:spacing w:val="-14"/>
          <w:w w:val="110"/>
          <w:sz w:val="19"/>
        </w:rPr>
        <w:t> </w:t>
      </w:r>
      <w:r>
        <w:rPr>
          <w:w w:val="110"/>
          <w:sz w:val="19"/>
        </w:rPr>
        <w:t>por</w:t>
      </w:r>
      <w:r>
        <w:rPr>
          <w:spacing w:val="-14"/>
          <w:w w:val="110"/>
          <w:sz w:val="19"/>
        </w:rPr>
        <w:t> </w:t>
      </w:r>
      <w:r>
        <w:rPr>
          <w:w w:val="110"/>
          <w:sz w:val="19"/>
        </w:rPr>
        <w:t>las</w:t>
      </w:r>
      <w:r>
        <w:rPr>
          <w:spacing w:val="-14"/>
          <w:w w:val="110"/>
          <w:sz w:val="19"/>
        </w:rPr>
        <w:t> </w:t>
      </w:r>
      <w:r>
        <w:rPr>
          <w:w w:val="110"/>
          <w:sz w:val="19"/>
        </w:rPr>
        <w:t>empresas</w:t>
      </w:r>
      <w:r>
        <w:rPr>
          <w:spacing w:val="-14"/>
          <w:w w:val="110"/>
          <w:sz w:val="19"/>
        </w:rPr>
        <w:t> </w:t>
      </w:r>
      <w:r>
        <w:rPr>
          <w:w w:val="110"/>
          <w:sz w:val="19"/>
        </w:rPr>
        <w:t>estadounidenses</w:t>
      </w:r>
      <w:r>
        <w:rPr>
          <w:spacing w:val="-14"/>
          <w:w w:val="110"/>
          <w:sz w:val="19"/>
        </w:rPr>
        <w:t> </w:t>
      </w:r>
      <w:r>
        <w:rPr>
          <w:w w:val="110"/>
          <w:sz w:val="19"/>
        </w:rPr>
        <w:t>que</w:t>
      </w:r>
      <w:r>
        <w:rPr>
          <w:spacing w:val="-14"/>
          <w:w w:val="110"/>
          <w:sz w:val="19"/>
        </w:rPr>
        <w:t> </w:t>
      </w:r>
      <w:r>
        <w:rPr>
          <w:w w:val="110"/>
          <w:sz w:val="19"/>
        </w:rPr>
        <w:t>producen</w:t>
      </w:r>
      <w:r>
        <w:rPr>
          <w:spacing w:val="-14"/>
          <w:w w:val="110"/>
          <w:sz w:val="19"/>
        </w:rPr>
        <w:t> </w:t>
      </w:r>
      <w:r>
        <w:rPr>
          <w:w w:val="110"/>
          <w:sz w:val="19"/>
        </w:rPr>
        <w:t>en</w:t>
      </w:r>
      <w:r>
        <w:rPr>
          <w:spacing w:val="-14"/>
          <w:w w:val="110"/>
          <w:sz w:val="19"/>
        </w:rPr>
        <w:t> </w:t>
      </w:r>
      <w:r>
        <w:rPr>
          <w:w w:val="110"/>
          <w:sz w:val="19"/>
        </w:rPr>
        <w:t>el</w:t>
      </w:r>
      <w:r>
        <w:rPr>
          <w:spacing w:val="-14"/>
          <w:w w:val="110"/>
          <w:sz w:val="19"/>
        </w:rPr>
        <w:t> </w:t>
      </w:r>
      <w:r>
        <w:rPr>
          <w:w w:val="110"/>
          <w:sz w:val="19"/>
        </w:rPr>
        <w:t>ex- terior no se registre en el crecimiento del Pib nacional, a la vez que</w:t>
      </w:r>
      <w:r>
        <w:rPr>
          <w:spacing w:val="-7"/>
          <w:w w:val="110"/>
          <w:sz w:val="19"/>
        </w:rPr>
        <w:t> </w:t>
      </w:r>
      <w:r>
        <w:rPr>
          <w:w w:val="110"/>
          <w:sz w:val="19"/>
        </w:rPr>
        <w:t>los</w:t>
      </w:r>
      <w:r>
        <w:rPr>
          <w:spacing w:val="-7"/>
          <w:w w:val="110"/>
          <w:sz w:val="19"/>
        </w:rPr>
        <w:t> </w:t>
      </w:r>
      <w:r>
        <w:rPr>
          <w:w w:val="110"/>
          <w:sz w:val="19"/>
        </w:rPr>
        <w:t>beneficios</w:t>
      </w:r>
      <w:r>
        <w:rPr>
          <w:spacing w:val="-7"/>
          <w:w w:val="110"/>
          <w:sz w:val="19"/>
        </w:rPr>
        <w:t> </w:t>
      </w:r>
      <w:r>
        <w:rPr>
          <w:w w:val="110"/>
          <w:sz w:val="19"/>
        </w:rPr>
        <w:t>productivos</w:t>
      </w:r>
      <w:r>
        <w:rPr>
          <w:spacing w:val="-7"/>
          <w:w w:val="110"/>
          <w:sz w:val="19"/>
        </w:rPr>
        <w:t> </w:t>
      </w:r>
      <w:r>
        <w:rPr>
          <w:w w:val="110"/>
          <w:sz w:val="19"/>
        </w:rPr>
        <w:t>obtenidos</w:t>
      </w:r>
      <w:r>
        <w:rPr>
          <w:spacing w:val="-7"/>
          <w:w w:val="110"/>
          <w:sz w:val="19"/>
        </w:rPr>
        <w:t> </w:t>
      </w:r>
      <w:r>
        <w:rPr>
          <w:w w:val="110"/>
          <w:sz w:val="19"/>
        </w:rPr>
        <w:t>por</w:t>
      </w:r>
      <w:r>
        <w:rPr>
          <w:spacing w:val="-7"/>
          <w:w w:val="110"/>
          <w:sz w:val="19"/>
        </w:rPr>
        <w:t> </w:t>
      </w:r>
      <w:r>
        <w:rPr>
          <w:w w:val="110"/>
          <w:sz w:val="19"/>
        </w:rPr>
        <w:t>esas</w:t>
      </w:r>
      <w:r>
        <w:rPr>
          <w:spacing w:val="-7"/>
          <w:w w:val="110"/>
          <w:sz w:val="19"/>
        </w:rPr>
        <w:t> </w:t>
      </w:r>
      <w:r>
        <w:rPr>
          <w:w w:val="110"/>
          <w:sz w:val="19"/>
        </w:rPr>
        <w:t>empresas</w:t>
      </w:r>
      <w:r>
        <w:rPr>
          <w:spacing w:val="-7"/>
          <w:w w:val="110"/>
          <w:sz w:val="19"/>
        </w:rPr>
        <w:t> </w:t>
      </w:r>
      <w:r>
        <w:rPr>
          <w:w w:val="110"/>
          <w:sz w:val="19"/>
        </w:rPr>
        <w:t>cu- ando trasladan i+d fuera del país se registren como crecimien- to en la productividad estadounidense” (Houseman,</w:t>
      </w:r>
      <w:r>
        <w:rPr>
          <w:spacing w:val="-26"/>
          <w:w w:val="110"/>
          <w:sz w:val="19"/>
        </w:rPr>
        <w:t> </w:t>
      </w:r>
      <w:r>
        <w:rPr>
          <w:w w:val="110"/>
          <w:sz w:val="19"/>
        </w:rPr>
        <w:t>2007).</w:t>
      </w:r>
    </w:p>
    <w:p>
      <w:pPr>
        <w:spacing w:after="0" w:line="254" w:lineRule="auto"/>
        <w:jc w:val="both"/>
        <w:rPr>
          <w:sz w:val="19"/>
        </w:rPr>
        <w:sectPr>
          <w:pgSz w:w="8790" w:h="12760"/>
          <w:pgMar w:header="695" w:footer="723" w:top="880" w:bottom="920" w:left="1200" w:right="1200"/>
        </w:sectPr>
      </w:pPr>
    </w:p>
    <w:p>
      <w:pPr>
        <w:pStyle w:val="BodyText"/>
        <w:spacing w:before="6"/>
        <w:rPr>
          <w:sz w:val="25"/>
        </w:rPr>
      </w:pPr>
    </w:p>
    <w:p>
      <w:pPr>
        <w:pStyle w:val="ListParagraph"/>
        <w:numPr>
          <w:ilvl w:val="2"/>
          <w:numId w:val="6"/>
        </w:numPr>
        <w:tabs>
          <w:tab w:pos="955" w:val="left" w:leader="none"/>
        </w:tabs>
        <w:spacing w:line="249" w:lineRule="auto" w:before="61" w:after="0"/>
        <w:ind w:left="954" w:right="117" w:hanging="227"/>
        <w:jc w:val="both"/>
        <w:rPr>
          <w:sz w:val="19"/>
        </w:rPr>
      </w:pPr>
      <w:r>
        <w:rPr>
          <w:w w:val="110"/>
          <w:sz w:val="19"/>
        </w:rPr>
        <w:t>El sobre-comprometimiento de la profesión económica con los hipotéticos beneficios de la deslocalización, el globalismo y la disfuncional </w:t>
      </w:r>
      <w:r>
        <w:rPr>
          <w:i/>
          <w:w w:val="110"/>
          <w:sz w:val="19"/>
        </w:rPr>
        <w:t>Nueva Economía</w:t>
      </w:r>
      <w:r>
        <w:rPr>
          <w:w w:val="110"/>
          <w:sz w:val="19"/>
        </w:rPr>
        <w:t>: “el descubrimiento de susan Houseman” –según Paul Craig roberts (asesor del ex presi- dente ronald reagan)– “representa una gran amenaza para la ideología económica del libre mercado, el capital humano y </w:t>
      </w:r>
      <w:r>
        <w:rPr>
          <w:w w:val="108"/>
          <w:sz w:val="19"/>
        </w:rPr>
        <w:t>los</w:t>
      </w:r>
      <w:r>
        <w:rPr>
          <w:sz w:val="19"/>
        </w:rPr>
        <w:t> </w:t>
      </w:r>
      <w:r>
        <w:rPr>
          <w:spacing w:val="-14"/>
          <w:sz w:val="19"/>
        </w:rPr>
        <w:t> </w:t>
      </w:r>
      <w:r>
        <w:rPr>
          <w:w w:val="109"/>
          <w:sz w:val="19"/>
        </w:rPr>
        <w:t>subsidios</w:t>
      </w:r>
      <w:r>
        <w:rPr>
          <w:sz w:val="19"/>
        </w:rPr>
        <w:t> </w:t>
      </w:r>
      <w:r>
        <w:rPr>
          <w:spacing w:val="-14"/>
          <w:sz w:val="19"/>
        </w:rPr>
        <w:t> </w:t>
      </w:r>
      <w:r>
        <w:rPr>
          <w:w w:val="112"/>
          <w:sz w:val="19"/>
        </w:rPr>
        <w:t>a</w:t>
      </w:r>
      <w:r>
        <w:rPr>
          <w:sz w:val="19"/>
        </w:rPr>
        <w:t> </w:t>
      </w:r>
      <w:r>
        <w:rPr>
          <w:spacing w:val="-14"/>
          <w:sz w:val="19"/>
        </w:rPr>
        <w:t> </w:t>
      </w:r>
      <w:r>
        <w:rPr>
          <w:w w:val="111"/>
          <w:sz w:val="19"/>
        </w:rPr>
        <w:t>la</w:t>
      </w:r>
      <w:r>
        <w:rPr>
          <w:sz w:val="19"/>
        </w:rPr>
        <w:t> </w:t>
      </w:r>
      <w:r>
        <w:rPr>
          <w:spacing w:val="-14"/>
          <w:sz w:val="19"/>
        </w:rPr>
        <w:t> </w:t>
      </w:r>
      <w:r>
        <w:rPr>
          <w:w w:val="110"/>
          <w:sz w:val="19"/>
        </w:rPr>
        <w:t>investigación</w:t>
      </w:r>
      <w:r>
        <w:rPr>
          <w:sz w:val="19"/>
        </w:rPr>
        <w:t> </w:t>
      </w:r>
      <w:r>
        <w:rPr>
          <w:spacing w:val="-14"/>
          <w:sz w:val="19"/>
        </w:rPr>
        <w:t> </w:t>
      </w:r>
      <w:r>
        <w:rPr>
          <w:w w:val="124"/>
          <w:sz w:val="19"/>
        </w:rPr>
        <w:t>[…].</w:t>
      </w:r>
      <w:r>
        <w:rPr>
          <w:sz w:val="19"/>
        </w:rPr>
        <w:t> </w:t>
      </w:r>
      <w:r>
        <w:rPr>
          <w:spacing w:val="-14"/>
          <w:sz w:val="19"/>
        </w:rPr>
        <w:t> </w:t>
      </w:r>
      <w:r>
        <w:rPr>
          <w:w w:val="243"/>
          <w:sz w:val="19"/>
        </w:rPr>
        <w:t>l</w:t>
      </w:r>
      <w:r>
        <w:rPr>
          <w:w w:val="112"/>
          <w:sz w:val="19"/>
        </w:rPr>
        <w:t>a</w:t>
      </w:r>
      <w:r>
        <w:rPr>
          <w:sz w:val="19"/>
        </w:rPr>
        <w:t> </w:t>
      </w:r>
      <w:r>
        <w:rPr>
          <w:spacing w:val="-14"/>
          <w:sz w:val="19"/>
        </w:rPr>
        <w:t> </w:t>
      </w:r>
      <w:r>
        <w:rPr>
          <w:w w:val="111"/>
          <w:sz w:val="19"/>
        </w:rPr>
        <w:t>justificación</w:t>
      </w:r>
      <w:r>
        <w:rPr>
          <w:sz w:val="19"/>
        </w:rPr>
        <w:t> </w:t>
      </w:r>
      <w:r>
        <w:rPr>
          <w:spacing w:val="-14"/>
          <w:sz w:val="19"/>
        </w:rPr>
        <w:t> </w:t>
      </w:r>
      <w:r>
        <w:rPr>
          <w:w w:val="110"/>
          <w:sz w:val="19"/>
        </w:rPr>
        <w:t>marxista </w:t>
      </w:r>
      <w:r>
        <w:rPr>
          <w:w w:val="110"/>
          <w:sz w:val="19"/>
        </w:rPr>
        <w:t>es que la deslocalización inflaría las ganancias reduciendo los costos laborales </w:t>
      </w:r>
      <w:r>
        <w:rPr>
          <w:spacing w:val="-11"/>
          <w:w w:val="110"/>
          <w:sz w:val="19"/>
        </w:rPr>
        <w:t>y, </w:t>
      </w:r>
      <w:r>
        <w:rPr>
          <w:w w:val="110"/>
          <w:sz w:val="19"/>
        </w:rPr>
        <w:t>de ese modo, concentraría el incremento de los beneficios en manos de los propietarios y administradores del capital” (Craig,</w:t>
      </w:r>
      <w:r>
        <w:rPr>
          <w:spacing w:val="23"/>
          <w:w w:val="110"/>
          <w:sz w:val="19"/>
        </w:rPr>
        <w:t> </w:t>
      </w:r>
      <w:r>
        <w:rPr>
          <w:w w:val="110"/>
          <w:sz w:val="19"/>
        </w:rPr>
        <w:t>2007).</w:t>
      </w:r>
    </w:p>
    <w:p>
      <w:pPr>
        <w:pStyle w:val="ListParagraph"/>
        <w:numPr>
          <w:ilvl w:val="2"/>
          <w:numId w:val="6"/>
        </w:numPr>
        <w:tabs>
          <w:tab w:pos="955" w:val="left" w:leader="none"/>
        </w:tabs>
        <w:spacing w:line="249" w:lineRule="auto" w:before="40" w:after="0"/>
        <w:ind w:left="954" w:right="118" w:hanging="227"/>
        <w:jc w:val="both"/>
        <w:rPr>
          <w:sz w:val="19"/>
        </w:rPr>
      </w:pPr>
      <w:r>
        <w:rPr>
          <w:w w:val="110"/>
          <w:sz w:val="19"/>
        </w:rPr>
        <w:t>En el discurso electoral y las decisiones de política de los </w:t>
      </w:r>
      <w:r>
        <w:rPr>
          <w:spacing w:val="-4"/>
          <w:w w:val="110"/>
          <w:sz w:val="19"/>
        </w:rPr>
        <w:t>per- </w:t>
      </w:r>
      <w:r>
        <w:rPr>
          <w:w w:val="110"/>
          <w:sz w:val="19"/>
        </w:rPr>
        <w:t>soneros del </w:t>
      </w:r>
      <w:r>
        <w:rPr>
          <w:i/>
          <w:w w:val="110"/>
          <w:sz w:val="19"/>
        </w:rPr>
        <w:t>establishment </w:t>
      </w:r>
      <w:r>
        <w:rPr>
          <w:w w:val="110"/>
          <w:sz w:val="19"/>
        </w:rPr>
        <w:t>con frecuencia se acudiría a posi- ciones anticientíficas, por ejemplo de carácter </w:t>
      </w:r>
      <w:r>
        <w:rPr>
          <w:i/>
          <w:w w:val="110"/>
          <w:sz w:val="19"/>
        </w:rPr>
        <w:t>creacionista, </w:t>
      </w:r>
      <w:r>
        <w:rPr>
          <w:i/>
          <w:w w:val="110"/>
          <w:sz w:val="19"/>
        </w:rPr>
        <w:t>fundamentalista </w:t>
      </w:r>
      <w:r>
        <w:rPr>
          <w:w w:val="110"/>
          <w:sz w:val="19"/>
        </w:rPr>
        <w:t>y/o de </w:t>
      </w:r>
      <w:r>
        <w:rPr>
          <w:i/>
          <w:w w:val="110"/>
          <w:sz w:val="19"/>
        </w:rPr>
        <w:t>diseño inteligente </w:t>
      </w:r>
      <w:r>
        <w:rPr>
          <w:w w:val="110"/>
          <w:sz w:val="19"/>
        </w:rPr>
        <w:t>retrotrayendo a sig- nificativos sectores de la población hacia niveles ampliamente superados por la cultura mundial y de las propias vanguardias norteamericanas.</w:t>
      </w:r>
    </w:p>
    <w:p>
      <w:pPr>
        <w:pStyle w:val="ListParagraph"/>
        <w:numPr>
          <w:ilvl w:val="2"/>
          <w:numId w:val="6"/>
        </w:numPr>
        <w:tabs>
          <w:tab w:pos="955" w:val="left" w:leader="none"/>
        </w:tabs>
        <w:spacing w:line="247" w:lineRule="auto" w:before="40" w:after="0"/>
        <w:ind w:left="954" w:right="117" w:hanging="227"/>
        <w:jc w:val="both"/>
        <w:rPr>
          <w:sz w:val="19"/>
        </w:rPr>
      </w:pPr>
      <w:r>
        <w:rPr>
          <w:w w:val="243"/>
          <w:sz w:val="19"/>
        </w:rPr>
        <w:t>l</w:t>
      </w:r>
      <w:r>
        <w:rPr>
          <w:w w:val="112"/>
          <w:sz w:val="19"/>
        </w:rPr>
        <w:t>a</w:t>
      </w:r>
      <w:r>
        <w:rPr>
          <w:spacing w:val="11"/>
          <w:sz w:val="19"/>
        </w:rPr>
        <w:t> </w:t>
      </w:r>
      <w:r>
        <w:rPr>
          <w:i/>
          <w:w w:val="106"/>
          <w:sz w:val="19"/>
        </w:rPr>
        <w:t>ética</w:t>
      </w:r>
      <w:r>
        <w:rPr>
          <w:i/>
          <w:spacing w:val="11"/>
          <w:sz w:val="19"/>
        </w:rPr>
        <w:t> </w:t>
      </w:r>
      <w:r>
        <w:rPr>
          <w:i/>
          <w:w w:val="104"/>
          <w:sz w:val="19"/>
        </w:rPr>
        <w:t>de</w:t>
      </w:r>
      <w:r>
        <w:rPr>
          <w:i/>
          <w:spacing w:val="11"/>
          <w:sz w:val="19"/>
        </w:rPr>
        <w:t> </w:t>
      </w:r>
      <w:r>
        <w:rPr>
          <w:i/>
          <w:w w:val="105"/>
          <w:sz w:val="19"/>
        </w:rPr>
        <w:t>la</w:t>
      </w:r>
      <w:r>
        <w:rPr>
          <w:i/>
          <w:spacing w:val="11"/>
          <w:sz w:val="19"/>
        </w:rPr>
        <w:t> </w:t>
      </w:r>
      <w:r>
        <w:rPr>
          <w:i/>
          <w:w w:val="110"/>
          <w:sz w:val="19"/>
        </w:rPr>
        <w:t>vida</w:t>
      </w:r>
      <w:r>
        <w:rPr>
          <w:i/>
          <w:spacing w:val="11"/>
          <w:sz w:val="19"/>
        </w:rPr>
        <w:t> </w:t>
      </w:r>
      <w:r>
        <w:rPr>
          <w:w w:val="110"/>
          <w:sz w:val="19"/>
        </w:rPr>
        <w:t>avanzaría</w:t>
      </w:r>
      <w:r>
        <w:rPr>
          <w:spacing w:val="11"/>
          <w:sz w:val="19"/>
        </w:rPr>
        <w:t> </w:t>
      </w:r>
      <w:r>
        <w:rPr>
          <w:w w:val="111"/>
          <w:sz w:val="19"/>
        </w:rPr>
        <w:t>muy</w:t>
      </w:r>
      <w:r>
        <w:rPr>
          <w:spacing w:val="11"/>
          <w:sz w:val="19"/>
        </w:rPr>
        <w:t> </w:t>
      </w:r>
      <w:r>
        <w:rPr>
          <w:w w:val="109"/>
          <w:sz w:val="19"/>
        </w:rPr>
        <w:t>rezagada</w:t>
      </w:r>
      <w:r>
        <w:rPr>
          <w:spacing w:val="11"/>
          <w:sz w:val="19"/>
        </w:rPr>
        <w:t> </w:t>
      </w:r>
      <w:r>
        <w:rPr>
          <w:w w:val="107"/>
          <w:sz w:val="19"/>
        </w:rPr>
        <w:t>tras</w:t>
      </w:r>
      <w:r>
        <w:rPr>
          <w:spacing w:val="11"/>
          <w:sz w:val="19"/>
        </w:rPr>
        <w:t> </w:t>
      </w:r>
      <w:r>
        <w:rPr>
          <w:w w:val="111"/>
          <w:sz w:val="19"/>
        </w:rPr>
        <w:t>la</w:t>
      </w:r>
      <w:r>
        <w:rPr>
          <w:spacing w:val="11"/>
          <w:sz w:val="19"/>
        </w:rPr>
        <w:t> </w:t>
      </w:r>
      <w:r>
        <w:rPr>
          <w:w w:val="111"/>
          <w:sz w:val="19"/>
        </w:rPr>
        <w:t>masificación </w:t>
      </w:r>
      <w:r>
        <w:rPr>
          <w:w w:val="110"/>
          <w:sz w:val="19"/>
        </w:rPr>
        <w:t>socialmente incontrolada de los adelantos científico-tecnológi- cos, viéndose subyugada a los intereses eufemísticamente ava- lados por la llamada </w:t>
      </w:r>
      <w:r>
        <w:rPr>
          <w:i/>
          <w:w w:val="110"/>
          <w:sz w:val="19"/>
        </w:rPr>
        <w:t>ética del</w:t>
      </w:r>
      <w:r>
        <w:rPr>
          <w:i/>
          <w:spacing w:val="26"/>
          <w:w w:val="110"/>
          <w:sz w:val="19"/>
        </w:rPr>
        <w:t> </w:t>
      </w:r>
      <w:r>
        <w:rPr>
          <w:i/>
          <w:w w:val="110"/>
          <w:sz w:val="19"/>
        </w:rPr>
        <w:t>mercado</w:t>
      </w:r>
      <w:r>
        <w:rPr>
          <w:w w:val="110"/>
          <w:sz w:val="19"/>
        </w:rPr>
        <w:t>.</w:t>
      </w:r>
    </w:p>
    <w:p>
      <w:pPr>
        <w:pStyle w:val="ListParagraph"/>
        <w:numPr>
          <w:ilvl w:val="2"/>
          <w:numId w:val="6"/>
        </w:numPr>
        <w:tabs>
          <w:tab w:pos="955" w:val="left" w:leader="none"/>
        </w:tabs>
        <w:spacing w:line="249" w:lineRule="auto" w:before="42" w:after="0"/>
        <w:ind w:left="954" w:right="118" w:hanging="227"/>
        <w:jc w:val="both"/>
        <w:rPr>
          <w:sz w:val="19"/>
        </w:rPr>
      </w:pPr>
      <w:r>
        <w:rPr>
          <w:w w:val="110"/>
          <w:sz w:val="19"/>
        </w:rPr>
        <w:t>Históricamente, ante cada innovación comercial, la posición científicamente fundamentada y éticamente comprometida tendría que enfrentar enormes obstáculos para abrirse algún espacio tras prolongados bregares por el triunfo del sentido común, frente a los poderosos intereses corporativos respalda- dos por los </w:t>
      </w:r>
      <w:r>
        <w:rPr>
          <w:i/>
          <w:w w:val="110"/>
          <w:sz w:val="19"/>
        </w:rPr>
        <w:t>media </w:t>
      </w:r>
      <w:r>
        <w:rPr>
          <w:w w:val="110"/>
          <w:sz w:val="19"/>
        </w:rPr>
        <w:t>y la agnóstica tolerancia </w:t>
      </w:r>
      <w:r>
        <w:rPr>
          <w:spacing w:val="29"/>
          <w:w w:val="110"/>
          <w:sz w:val="19"/>
        </w:rPr>
        <w:t> </w:t>
      </w:r>
      <w:r>
        <w:rPr>
          <w:w w:val="110"/>
          <w:sz w:val="19"/>
        </w:rPr>
        <w:t>oficial.</w:t>
      </w:r>
    </w:p>
    <w:p>
      <w:pPr>
        <w:pStyle w:val="ListParagraph"/>
        <w:numPr>
          <w:ilvl w:val="2"/>
          <w:numId w:val="6"/>
        </w:numPr>
        <w:tabs>
          <w:tab w:pos="955" w:val="left" w:leader="none"/>
        </w:tabs>
        <w:spacing w:line="252" w:lineRule="auto" w:before="40" w:after="0"/>
        <w:ind w:left="954" w:right="117" w:hanging="227"/>
        <w:jc w:val="both"/>
        <w:rPr>
          <w:sz w:val="19"/>
        </w:rPr>
      </w:pPr>
      <w:r>
        <w:rPr>
          <w:w w:val="110"/>
          <w:sz w:val="19"/>
        </w:rPr>
        <w:t>sobre el hipertrófico y continuamente creciente presupuesto militar (el mayor del planeta, usurpador del contribuyente</w:t>
      </w:r>
      <w:r>
        <w:rPr>
          <w:spacing w:val="-8"/>
          <w:w w:val="110"/>
          <w:sz w:val="19"/>
        </w:rPr>
        <w:t> </w:t>
      </w:r>
      <w:r>
        <w:rPr>
          <w:spacing w:val="-4"/>
          <w:w w:val="110"/>
          <w:sz w:val="19"/>
        </w:rPr>
        <w:t>nor- </w:t>
      </w:r>
      <w:r>
        <w:rPr>
          <w:w w:val="110"/>
          <w:sz w:val="19"/>
        </w:rPr>
        <w:t>teamericano y del bienestar social de la nación, poseedora – además– de la mayor deuda interna y externa de la historia), por</w:t>
      </w:r>
      <w:r>
        <w:rPr>
          <w:spacing w:val="-5"/>
          <w:w w:val="110"/>
          <w:sz w:val="19"/>
        </w:rPr>
        <w:t> </w:t>
      </w:r>
      <w:r>
        <w:rPr>
          <w:w w:val="110"/>
          <w:sz w:val="19"/>
        </w:rPr>
        <w:t>un</w:t>
      </w:r>
      <w:r>
        <w:rPr>
          <w:spacing w:val="-5"/>
          <w:w w:val="110"/>
          <w:sz w:val="19"/>
        </w:rPr>
        <w:t> </w:t>
      </w:r>
      <w:r>
        <w:rPr>
          <w:w w:val="110"/>
          <w:sz w:val="19"/>
        </w:rPr>
        <w:t>lado,</w:t>
      </w:r>
      <w:r>
        <w:rPr>
          <w:spacing w:val="-5"/>
          <w:w w:val="110"/>
          <w:sz w:val="19"/>
        </w:rPr>
        <w:t> </w:t>
      </w:r>
      <w:r>
        <w:rPr>
          <w:w w:val="110"/>
          <w:sz w:val="19"/>
        </w:rPr>
        <w:t>y</w:t>
      </w:r>
      <w:r>
        <w:rPr>
          <w:spacing w:val="-5"/>
          <w:w w:val="110"/>
          <w:sz w:val="19"/>
        </w:rPr>
        <w:t> </w:t>
      </w:r>
      <w:r>
        <w:rPr>
          <w:w w:val="110"/>
          <w:sz w:val="19"/>
        </w:rPr>
        <w:t>de</w:t>
      </w:r>
      <w:r>
        <w:rPr>
          <w:spacing w:val="-5"/>
          <w:w w:val="110"/>
          <w:sz w:val="19"/>
        </w:rPr>
        <w:t> </w:t>
      </w:r>
      <w:r>
        <w:rPr>
          <w:w w:val="110"/>
          <w:sz w:val="19"/>
        </w:rPr>
        <w:t>las</w:t>
      </w:r>
      <w:r>
        <w:rPr>
          <w:spacing w:val="-5"/>
          <w:w w:val="110"/>
          <w:sz w:val="19"/>
        </w:rPr>
        <w:t> </w:t>
      </w:r>
      <w:r>
        <w:rPr>
          <w:w w:val="110"/>
          <w:sz w:val="19"/>
        </w:rPr>
        <w:t>insostenibles</w:t>
      </w:r>
      <w:r>
        <w:rPr>
          <w:spacing w:val="-5"/>
          <w:w w:val="110"/>
          <w:sz w:val="19"/>
        </w:rPr>
        <w:t> </w:t>
      </w:r>
      <w:r>
        <w:rPr>
          <w:w w:val="110"/>
          <w:sz w:val="19"/>
        </w:rPr>
        <w:t>inequidades</w:t>
      </w:r>
      <w:r>
        <w:rPr>
          <w:spacing w:val="-5"/>
          <w:w w:val="110"/>
          <w:sz w:val="19"/>
        </w:rPr>
        <w:t> </w:t>
      </w:r>
      <w:r>
        <w:rPr>
          <w:w w:val="110"/>
          <w:sz w:val="19"/>
        </w:rPr>
        <w:t>en</w:t>
      </w:r>
      <w:r>
        <w:rPr>
          <w:spacing w:val="-5"/>
          <w:w w:val="110"/>
          <w:sz w:val="19"/>
        </w:rPr>
        <w:t> </w:t>
      </w:r>
      <w:r>
        <w:rPr>
          <w:w w:val="110"/>
          <w:sz w:val="19"/>
        </w:rPr>
        <w:t>las</w:t>
      </w:r>
      <w:r>
        <w:rPr>
          <w:spacing w:val="-5"/>
          <w:w w:val="110"/>
          <w:sz w:val="19"/>
        </w:rPr>
        <w:t> </w:t>
      </w:r>
      <w:r>
        <w:rPr>
          <w:w w:val="110"/>
          <w:sz w:val="19"/>
        </w:rPr>
        <w:t>relaciones </w:t>
      </w:r>
      <w:r>
        <w:rPr>
          <w:spacing w:val="-3"/>
          <w:w w:val="110"/>
          <w:sz w:val="19"/>
        </w:rPr>
        <w:t>Norte-sur, </w:t>
      </w:r>
      <w:r>
        <w:rPr>
          <w:w w:val="110"/>
          <w:sz w:val="19"/>
        </w:rPr>
        <w:t>por el otro, existe una prolífica literatura que apunta hacia el inminente agotamiento del referido modelo reproduc- tivo, movido por su única función-objetivo, la plusvalía</w:t>
      </w:r>
      <w:r>
        <w:rPr>
          <w:spacing w:val="-31"/>
          <w:w w:val="110"/>
          <w:sz w:val="19"/>
        </w:rPr>
        <w:t> </w:t>
      </w:r>
      <w:r>
        <w:rPr>
          <w:w w:val="110"/>
          <w:sz w:val="19"/>
        </w:rPr>
        <w:t>extraor- dinaria,</w:t>
      </w:r>
      <w:r>
        <w:rPr>
          <w:spacing w:val="-5"/>
          <w:w w:val="110"/>
          <w:sz w:val="19"/>
        </w:rPr>
        <w:t> </w:t>
      </w:r>
      <w:r>
        <w:rPr>
          <w:w w:val="110"/>
          <w:sz w:val="19"/>
        </w:rPr>
        <w:t>sustentado</w:t>
      </w:r>
      <w:r>
        <w:rPr>
          <w:spacing w:val="-5"/>
          <w:w w:val="110"/>
          <w:sz w:val="19"/>
        </w:rPr>
        <w:t> </w:t>
      </w:r>
      <w:r>
        <w:rPr>
          <w:w w:val="110"/>
          <w:sz w:val="19"/>
        </w:rPr>
        <w:t>en</w:t>
      </w:r>
      <w:r>
        <w:rPr>
          <w:spacing w:val="-5"/>
          <w:w w:val="110"/>
          <w:sz w:val="19"/>
        </w:rPr>
        <w:t> </w:t>
      </w:r>
      <w:r>
        <w:rPr>
          <w:w w:val="110"/>
          <w:sz w:val="19"/>
        </w:rPr>
        <w:t>la</w:t>
      </w:r>
      <w:r>
        <w:rPr>
          <w:spacing w:val="-5"/>
          <w:w w:val="110"/>
          <w:sz w:val="19"/>
        </w:rPr>
        <w:t> </w:t>
      </w:r>
      <w:r>
        <w:rPr>
          <w:w w:val="110"/>
          <w:sz w:val="19"/>
        </w:rPr>
        <w:t>aberrante</w:t>
      </w:r>
      <w:r>
        <w:rPr>
          <w:spacing w:val="-5"/>
          <w:w w:val="110"/>
          <w:sz w:val="19"/>
        </w:rPr>
        <w:t> </w:t>
      </w:r>
      <w:r>
        <w:rPr>
          <w:w w:val="110"/>
          <w:sz w:val="19"/>
        </w:rPr>
        <w:t>inventiva</w:t>
      </w:r>
      <w:r>
        <w:rPr>
          <w:spacing w:val="-5"/>
          <w:w w:val="110"/>
          <w:sz w:val="19"/>
        </w:rPr>
        <w:t> </w:t>
      </w:r>
      <w:r>
        <w:rPr>
          <w:w w:val="110"/>
          <w:sz w:val="19"/>
        </w:rPr>
        <w:t>de</w:t>
      </w:r>
      <w:r>
        <w:rPr>
          <w:spacing w:val="-5"/>
          <w:w w:val="110"/>
          <w:sz w:val="19"/>
        </w:rPr>
        <w:t> </w:t>
      </w:r>
      <w:r>
        <w:rPr>
          <w:i/>
          <w:w w:val="110"/>
          <w:sz w:val="19"/>
        </w:rPr>
        <w:t>enemigos</w:t>
      </w:r>
      <w:r>
        <w:rPr>
          <w:i/>
          <w:spacing w:val="-5"/>
          <w:w w:val="110"/>
          <w:sz w:val="19"/>
        </w:rPr>
        <w:t> </w:t>
      </w:r>
      <w:r>
        <w:rPr>
          <w:i/>
          <w:w w:val="110"/>
          <w:sz w:val="19"/>
        </w:rPr>
        <w:t>en</w:t>
      </w:r>
      <w:r>
        <w:rPr>
          <w:i/>
          <w:spacing w:val="-5"/>
          <w:w w:val="110"/>
          <w:sz w:val="19"/>
        </w:rPr>
        <w:t> </w:t>
      </w:r>
      <w:r>
        <w:rPr>
          <w:i/>
          <w:w w:val="110"/>
          <w:sz w:val="19"/>
        </w:rPr>
        <w:t>60 </w:t>
      </w:r>
      <w:r>
        <w:rPr>
          <w:i/>
          <w:w w:val="110"/>
          <w:sz w:val="19"/>
        </w:rPr>
        <w:t>o más rincones oscuros</w:t>
      </w:r>
      <w:r>
        <w:rPr>
          <w:w w:val="110"/>
          <w:sz w:val="19"/>
        </w:rPr>
        <w:t>, con las consecuentes intervenciones y guerras de rapiña </w:t>
      </w:r>
      <w:r>
        <w:rPr>
          <w:i/>
          <w:w w:val="110"/>
          <w:sz w:val="19"/>
        </w:rPr>
        <w:t>all around the world</w:t>
      </w:r>
      <w:r>
        <w:rPr>
          <w:w w:val="110"/>
          <w:sz w:val="19"/>
        </w:rPr>
        <w:t>, en las que, por cierto, nunca lograrían </w:t>
      </w:r>
      <w:r>
        <w:rPr>
          <w:spacing w:val="-4"/>
          <w:w w:val="110"/>
          <w:sz w:val="19"/>
        </w:rPr>
        <w:t>vencer, </w:t>
      </w:r>
      <w:r>
        <w:rPr>
          <w:w w:val="110"/>
          <w:sz w:val="19"/>
        </w:rPr>
        <w:t>a pesar de todas las supremacías, in- cluida  la</w:t>
      </w:r>
      <w:r>
        <w:rPr>
          <w:spacing w:val="7"/>
          <w:w w:val="110"/>
          <w:sz w:val="19"/>
        </w:rPr>
        <w:t> </w:t>
      </w:r>
      <w:r>
        <w:rPr>
          <w:w w:val="110"/>
          <w:sz w:val="19"/>
        </w:rPr>
        <w:t>científico-tecnológica.</w:t>
      </w:r>
    </w:p>
    <w:p>
      <w:pPr>
        <w:spacing w:after="0" w:line="252" w:lineRule="auto"/>
        <w:jc w:val="both"/>
        <w:rPr>
          <w:sz w:val="19"/>
        </w:rPr>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razones de espacio impiden profundizar aquí en la transición –a </w:t>
      </w:r>
      <w:r>
        <w:rPr>
          <w:spacing w:val="-4"/>
          <w:w w:val="110"/>
        </w:rPr>
        <w:t>par- </w:t>
      </w:r>
      <w:r>
        <w:rPr>
          <w:w w:val="110"/>
        </w:rPr>
        <w:t>tir de los setenta– de EE.uu. y demás países capitalistas desarrollados hacia un nuevo </w:t>
      </w:r>
      <w:r>
        <w:rPr>
          <w:i/>
          <w:w w:val="110"/>
        </w:rPr>
        <w:t>Largo Ciclo Kondratieviano</w:t>
      </w:r>
      <w:r>
        <w:rPr>
          <w:w w:val="110"/>
        </w:rPr>
        <w:t>, caracterizado por el fin</w:t>
      </w:r>
      <w:r>
        <w:rPr>
          <w:spacing w:val="-23"/>
          <w:w w:val="110"/>
        </w:rPr>
        <w:t> </w:t>
      </w:r>
      <w:r>
        <w:rPr>
          <w:w w:val="110"/>
        </w:rPr>
        <w:t>del funcionamiento eficiente del modelo reproductivo </w:t>
      </w:r>
      <w:r>
        <w:rPr>
          <w:i/>
          <w:w w:val="110"/>
        </w:rPr>
        <w:t>fordista-taylorista</w:t>
      </w:r>
      <w:r>
        <w:rPr>
          <w:i/>
          <w:spacing w:val="-23"/>
          <w:w w:val="110"/>
        </w:rPr>
        <w:t> </w:t>
      </w:r>
      <w:r>
        <w:rPr>
          <w:w w:val="110"/>
        </w:rPr>
        <w:t>y el inicio del llamado </w:t>
      </w:r>
      <w:r>
        <w:rPr>
          <w:i/>
          <w:w w:val="110"/>
        </w:rPr>
        <w:t>nuevo paradigma tecno-económico</w:t>
      </w:r>
      <w:r>
        <w:rPr>
          <w:w w:val="110"/>
        </w:rPr>
        <w:t>, basado en el crecimiento mediante los últimos adelantos de la </w:t>
      </w:r>
      <w:r>
        <w:rPr>
          <w:i/>
          <w:w w:val="110"/>
        </w:rPr>
        <w:t>Revolución Científi- </w:t>
      </w:r>
      <w:r>
        <w:rPr>
          <w:i/>
          <w:spacing w:val="-3"/>
          <w:w w:val="110"/>
        </w:rPr>
        <w:t>co-Técnica </w:t>
      </w:r>
      <w:r>
        <w:rPr>
          <w:w w:val="110"/>
        </w:rPr>
        <w:t>en un impetuoso proceso de sucesivas reconversiones tec- nológicas e industriales, de profundas transformaciones estructurales y de globalización de la reproducción social  </w:t>
      </w:r>
      <w:r>
        <w:rPr>
          <w:spacing w:val="8"/>
          <w:w w:val="110"/>
        </w:rPr>
        <w:t> </w:t>
      </w:r>
      <w:r>
        <w:rPr>
          <w:w w:val="110"/>
        </w:rPr>
        <w:t>ampliada.</w:t>
      </w:r>
    </w:p>
    <w:p>
      <w:pPr>
        <w:pStyle w:val="BodyText"/>
        <w:spacing w:line="252" w:lineRule="auto"/>
        <w:ind w:left="100" w:right="328" w:firstLine="396"/>
        <w:jc w:val="both"/>
      </w:pPr>
      <w:r>
        <w:rPr>
          <w:w w:val="125"/>
        </w:rPr>
        <w:t>si </w:t>
      </w:r>
      <w:r>
        <w:rPr>
          <w:w w:val="110"/>
        </w:rPr>
        <w:t>bien este </w:t>
      </w:r>
      <w:r>
        <w:rPr>
          <w:i/>
          <w:w w:val="110"/>
        </w:rPr>
        <w:t>nuevo paradigma </w:t>
      </w:r>
      <w:r>
        <w:rPr>
          <w:w w:val="110"/>
        </w:rPr>
        <w:t>se habría manifestado ya –desde inicios de los ochenta– como exitoso a nivel micro y su madurez y expansión fueran corroboradas a nivel de las fuerzas productivas pri- mermundistas, no obstante, hasta el presente –a más de tres déca- das– no ha podido sustraer al sistema capitalista mundial de las crisis económicas recurrentes. </w:t>
      </w:r>
      <w:r>
        <w:rPr>
          <w:w w:val="125"/>
        </w:rPr>
        <w:t>o </w:t>
      </w:r>
      <w:r>
        <w:rPr>
          <w:w w:val="110"/>
        </w:rPr>
        <w:t>sea, no lograría definir la trayectoria del proclamado auge sostenido, con el aumento de la productividad social y ganancias incrementadas –como tendencia general– proclamadas para la llamada </w:t>
      </w:r>
      <w:r>
        <w:rPr>
          <w:i/>
          <w:w w:val="110"/>
        </w:rPr>
        <w:t>Nueva Economía. </w:t>
      </w:r>
      <w:r>
        <w:rPr>
          <w:w w:val="110"/>
        </w:rPr>
        <w:t>Por el contrario, ya desde la prime- ra mitad de los noventa, se harían presentes los síntomas de recesión y de crisis en diferentes regiones del planeta comenzando por Japón   y –a inicios del milenio– arribando también a </w:t>
      </w:r>
      <w:r>
        <w:rPr>
          <w:w w:val="125"/>
        </w:rPr>
        <w:t>EE.uu., </w:t>
      </w:r>
      <w:r>
        <w:rPr>
          <w:w w:val="110"/>
        </w:rPr>
        <w:t>en ¿casual? coincidencia con las</w:t>
      </w:r>
      <w:r>
        <w:rPr>
          <w:spacing w:val="38"/>
          <w:w w:val="110"/>
        </w:rPr>
        <w:t> </w:t>
      </w:r>
      <w:r>
        <w:rPr>
          <w:i/>
          <w:w w:val="110"/>
        </w:rPr>
        <w:t>gemelas</w:t>
      </w:r>
      <w:r>
        <w:rPr>
          <w:w w:val="110"/>
        </w:rPr>
        <w:t>.</w:t>
      </w:r>
    </w:p>
    <w:p>
      <w:pPr>
        <w:pStyle w:val="BodyText"/>
        <w:spacing w:line="252" w:lineRule="auto"/>
        <w:ind w:left="100" w:right="327" w:firstLine="396"/>
        <w:jc w:val="both"/>
      </w:pPr>
      <w:r>
        <w:rPr>
          <w:w w:val="115"/>
        </w:rPr>
        <w:t>En</w:t>
      </w:r>
      <w:r>
        <w:rPr>
          <w:spacing w:val="-14"/>
          <w:w w:val="115"/>
        </w:rPr>
        <w:t> </w:t>
      </w:r>
      <w:r>
        <w:rPr>
          <w:w w:val="115"/>
        </w:rPr>
        <w:t>el</w:t>
      </w:r>
      <w:r>
        <w:rPr>
          <w:spacing w:val="-14"/>
          <w:w w:val="115"/>
        </w:rPr>
        <w:t> </w:t>
      </w:r>
      <w:r>
        <w:rPr>
          <w:w w:val="115"/>
        </w:rPr>
        <w:t>contexto</w:t>
      </w:r>
      <w:r>
        <w:rPr>
          <w:spacing w:val="-14"/>
          <w:w w:val="115"/>
        </w:rPr>
        <w:t> </w:t>
      </w:r>
      <w:r>
        <w:rPr>
          <w:w w:val="115"/>
        </w:rPr>
        <w:t>contradictorio</w:t>
      </w:r>
      <w:r>
        <w:rPr>
          <w:spacing w:val="-14"/>
          <w:w w:val="115"/>
        </w:rPr>
        <w:t> </w:t>
      </w:r>
      <w:r>
        <w:rPr>
          <w:w w:val="115"/>
        </w:rPr>
        <w:t>–pleno</w:t>
      </w:r>
      <w:r>
        <w:rPr>
          <w:spacing w:val="-14"/>
          <w:w w:val="115"/>
        </w:rPr>
        <w:t> </w:t>
      </w:r>
      <w:r>
        <w:rPr>
          <w:w w:val="115"/>
        </w:rPr>
        <w:t>de</w:t>
      </w:r>
      <w:r>
        <w:rPr>
          <w:spacing w:val="-14"/>
          <w:w w:val="115"/>
        </w:rPr>
        <w:t> </w:t>
      </w:r>
      <w:r>
        <w:rPr>
          <w:w w:val="115"/>
        </w:rPr>
        <w:t>retos</w:t>
      </w:r>
      <w:r>
        <w:rPr>
          <w:spacing w:val="-14"/>
          <w:w w:val="115"/>
        </w:rPr>
        <w:t> </w:t>
      </w:r>
      <w:r>
        <w:rPr>
          <w:w w:val="115"/>
        </w:rPr>
        <w:t>e</w:t>
      </w:r>
      <w:r>
        <w:rPr>
          <w:spacing w:val="-14"/>
          <w:w w:val="115"/>
        </w:rPr>
        <w:t> </w:t>
      </w:r>
      <w:r>
        <w:rPr>
          <w:w w:val="115"/>
        </w:rPr>
        <w:t>incertidumbres– que</w:t>
      </w:r>
      <w:r>
        <w:rPr>
          <w:spacing w:val="-12"/>
          <w:w w:val="115"/>
        </w:rPr>
        <w:t> </w:t>
      </w:r>
      <w:r>
        <w:rPr>
          <w:w w:val="115"/>
        </w:rPr>
        <w:t>caracteriza</w:t>
      </w:r>
      <w:r>
        <w:rPr>
          <w:spacing w:val="-12"/>
          <w:w w:val="115"/>
        </w:rPr>
        <w:t> </w:t>
      </w:r>
      <w:r>
        <w:rPr>
          <w:w w:val="115"/>
        </w:rPr>
        <w:t>el</w:t>
      </w:r>
      <w:r>
        <w:rPr>
          <w:spacing w:val="-12"/>
          <w:w w:val="115"/>
        </w:rPr>
        <w:t> </w:t>
      </w:r>
      <w:r>
        <w:rPr>
          <w:w w:val="115"/>
        </w:rPr>
        <w:t>desarrollo</w:t>
      </w:r>
      <w:r>
        <w:rPr>
          <w:spacing w:val="-12"/>
          <w:w w:val="115"/>
        </w:rPr>
        <w:t> </w:t>
      </w:r>
      <w:r>
        <w:rPr>
          <w:w w:val="115"/>
        </w:rPr>
        <w:t>de</w:t>
      </w:r>
      <w:r>
        <w:rPr>
          <w:spacing w:val="-12"/>
          <w:w w:val="115"/>
        </w:rPr>
        <w:t> </w:t>
      </w:r>
      <w:r>
        <w:rPr>
          <w:w w:val="115"/>
        </w:rPr>
        <w:t>las</w:t>
      </w:r>
      <w:r>
        <w:rPr>
          <w:spacing w:val="-12"/>
          <w:w w:val="115"/>
        </w:rPr>
        <w:t> </w:t>
      </w:r>
      <w:r>
        <w:rPr>
          <w:w w:val="115"/>
        </w:rPr>
        <w:t>fuerzas</w:t>
      </w:r>
      <w:r>
        <w:rPr>
          <w:spacing w:val="-12"/>
          <w:w w:val="115"/>
        </w:rPr>
        <w:t> </w:t>
      </w:r>
      <w:r>
        <w:rPr>
          <w:w w:val="115"/>
        </w:rPr>
        <w:t>productivas</w:t>
      </w:r>
      <w:r>
        <w:rPr>
          <w:spacing w:val="-12"/>
          <w:w w:val="115"/>
        </w:rPr>
        <w:t> </w:t>
      </w:r>
      <w:r>
        <w:rPr>
          <w:w w:val="115"/>
        </w:rPr>
        <w:t>en</w:t>
      </w:r>
      <w:r>
        <w:rPr>
          <w:spacing w:val="-12"/>
          <w:w w:val="115"/>
        </w:rPr>
        <w:t> </w:t>
      </w:r>
      <w:r>
        <w:rPr>
          <w:w w:val="115"/>
        </w:rPr>
        <w:t>la</w:t>
      </w:r>
      <w:r>
        <w:rPr>
          <w:spacing w:val="-12"/>
          <w:w w:val="115"/>
        </w:rPr>
        <w:t> </w:t>
      </w:r>
      <w:r>
        <w:rPr>
          <w:w w:val="115"/>
        </w:rPr>
        <w:t>fase</w:t>
      </w:r>
      <w:r>
        <w:rPr>
          <w:spacing w:val="-12"/>
          <w:w w:val="115"/>
        </w:rPr>
        <w:t> </w:t>
      </w:r>
      <w:r>
        <w:rPr>
          <w:w w:val="115"/>
        </w:rPr>
        <w:t>ac- tual</w:t>
      </w:r>
      <w:r>
        <w:rPr>
          <w:spacing w:val="-24"/>
          <w:w w:val="115"/>
        </w:rPr>
        <w:t> </w:t>
      </w:r>
      <w:r>
        <w:rPr>
          <w:w w:val="115"/>
        </w:rPr>
        <w:t>del</w:t>
      </w:r>
      <w:r>
        <w:rPr>
          <w:spacing w:val="-24"/>
          <w:w w:val="115"/>
        </w:rPr>
        <w:t> </w:t>
      </w:r>
      <w:r>
        <w:rPr>
          <w:w w:val="115"/>
        </w:rPr>
        <w:t>capitalismo</w:t>
      </w:r>
      <w:r>
        <w:rPr>
          <w:spacing w:val="-24"/>
          <w:w w:val="115"/>
        </w:rPr>
        <w:t> </w:t>
      </w:r>
      <w:r>
        <w:rPr>
          <w:w w:val="115"/>
        </w:rPr>
        <w:t>monopolista</w:t>
      </w:r>
      <w:r>
        <w:rPr>
          <w:spacing w:val="-24"/>
          <w:w w:val="115"/>
        </w:rPr>
        <w:t> </w:t>
      </w:r>
      <w:r>
        <w:rPr>
          <w:w w:val="115"/>
        </w:rPr>
        <w:t>transnacionalizado,</w:t>
      </w:r>
      <w:r>
        <w:rPr>
          <w:spacing w:val="-24"/>
          <w:w w:val="115"/>
        </w:rPr>
        <w:t> </w:t>
      </w:r>
      <w:r>
        <w:rPr>
          <w:w w:val="115"/>
        </w:rPr>
        <w:t>éste</w:t>
      </w:r>
      <w:r>
        <w:rPr>
          <w:spacing w:val="-24"/>
          <w:w w:val="115"/>
        </w:rPr>
        <w:t> </w:t>
      </w:r>
      <w:r>
        <w:rPr>
          <w:w w:val="115"/>
        </w:rPr>
        <w:t>incorpora- ría como factor decisivo de su competitividad, seguridad integral y </w:t>
      </w:r>
      <w:r>
        <w:rPr>
          <w:i/>
          <w:w w:val="115"/>
        </w:rPr>
        <w:t>continuidad</w:t>
      </w:r>
      <w:r>
        <w:rPr>
          <w:i/>
          <w:spacing w:val="-7"/>
          <w:w w:val="115"/>
        </w:rPr>
        <w:t> </w:t>
      </w:r>
      <w:r>
        <w:rPr>
          <w:i/>
          <w:w w:val="115"/>
        </w:rPr>
        <w:t>histórica</w:t>
      </w:r>
      <w:r>
        <w:rPr>
          <w:i/>
          <w:spacing w:val="-7"/>
          <w:w w:val="115"/>
        </w:rPr>
        <w:t> </w:t>
      </w:r>
      <w:r>
        <w:rPr>
          <w:w w:val="115"/>
        </w:rPr>
        <w:t>como</w:t>
      </w:r>
      <w:r>
        <w:rPr>
          <w:spacing w:val="-7"/>
          <w:w w:val="115"/>
        </w:rPr>
        <w:t> </w:t>
      </w:r>
      <w:r>
        <w:rPr>
          <w:w w:val="115"/>
        </w:rPr>
        <w:t>sistema-mundo,</w:t>
      </w:r>
      <w:r>
        <w:rPr>
          <w:spacing w:val="-7"/>
          <w:w w:val="115"/>
        </w:rPr>
        <w:t> </w:t>
      </w:r>
      <w:r>
        <w:rPr>
          <w:w w:val="115"/>
        </w:rPr>
        <w:t>la</w:t>
      </w:r>
      <w:r>
        <w:rPr>
          <w:spacing w:val="-7"/>
          <w:w w:val="115"/>
        </w:rPr>
        <w:t> </w:t>
      </w:r>
      <w:r>
        <w:rPr>
          <w:w w:val="115"/>
        </w:rPr>
        <w:t>capacidad</w:t>
      </w:r>
      <w:r>
        <w:rPr>
          <w:spacing w:val="-7"/>
          <w:w w:val="115"/>
        </w:rPr>
        <w:t> </w:t>
      </w:r>
      <w:r>
        <w:rPr>
          <w:w w:val="115"/>
        </w:rPr>
        <w:t>de</w:t>
      </w:r>
      <w:r>
        <w:rPr>
          <w:spacing w:val="-7"/>
          <w:w w:val="115"/>
        </w:rPr>
        <w:t> </w:t>
      </w:r>
      <w:r>
        <w:rPr>
          <w:w w:val="115"/>
        </w:rPr>
        <w:t>genera- ción</w:t>
      </w:r>
      <w:r>
        <w:rPr>
          <w:spacing w:val="-14"/>
          <w:w w:val="115"/>
        </w:rPr>
        <w:t> </w:t>
      </w:r>
      <w:r>
        <w:rPr>
          <w:w w:val="115"/>
        </w:rPr>
        <w:t>científica</w:t>
      </w:r>
      <w:r>
        <w:rPr>
          <w:spacing w:val="-14"/>
          <w:w w:val="115"/>
        </w:rPr>
        <w:t> </w:t>
      </w:r>
      <w:r>
        <w:rPr>
          <w:w w:val="115"/>
        </w:rPr>
        <w:t>e</w:t>
      </w:r>
      <w:r>
        <w:rPr>
          <w:spacing w:val="-14"/>
          <w:w w:val="115"/>
        </w:rPr>
        <w:t> </w:t>
      </w:r>
      <w:r>
        <w:rPr>
          <w:w w:val="115"/>
        </w:rPr>
        <w:t>innovación</w:t>
      </w:r>
      <w:r>
        <w:rPr>
          <w:spacing w:val="-14"/>
          <w:w w:val="115"/>
        </w:rPr>
        <w:t> </w:t>
      </w:r>
      <w:r>
        <w:rPr>
          <w:w w:val="115"/>
        </w:rPr>
        <w:t>tecnológica</w:t>
      </w:r>
      <w:r>
        <w:rPr>
          <w:spacing w:val="-14"/>
          <w:w w:val="115"/>
        </w:rPr>
        <w:t> </w:t>
      </w:r>
      <w:r>
        <w:rPr>
          <w:w w:val="115"/>
        </w:rPr>
        <w:t>a</w:t>
      </w:r>
      <w:r>
        <w:rPr>
          <w:spacing w:val="-14"/>
          <w:w w:val="115"/>
        </w:rPr>
        <w:t> </w:t>
      </w:r>
      <w:r>
        <w:rPr>
          <w:w w:val="115"/>
        </w:rPr>
        <w:t>su</w:t>
      </w:r>
      <w:r>
        <w:rPr>
          <w:spacing w:val="-14"/>
          <w:w w:val="115"/>
        </w:rPr>
        <w:t> </w:t>
      </w:r>
      <w:r>
        <w:rPr>
          <w:w w:val="115"/>
        </w:rPr>
        <w:t>estrategia</w:t>
      </w:r>
      <w:r>
        <w:rPr>
          <w:spacing w:val="-14"/>
          <w:w w:val="115"/>
        </w:rPr>
        <w:t> </w:t>
      </w:r>
      <w:r>
        <w:rPr>
          <w:w w:val="115"/>
        </w:rPr>
        <w:t>global.</w:t>
      </w:r>
      <w:r>
        <w:rPr>
          <w:spacing w:val="-14"/>
          <w:w w:val="115"/>
        </w:rPr>
        <w:t> </w:t>
      </w:r>
      <w:r>
        <w:rPr>
          <w:w w:val="115"/>
        </w:rPr>
        <w:t>Conju- garíanse</w:t>
      </w:r>
      <w:r>
        <w:rPr>
          <w:spacing w:val="-27"/>
          <w:w w:val="115"/>
        </w:rPr>
        <w:t> </w:t>
      </w:r>
      <w:r>
        <w:rPr>
          <w:w w:val="115"/>
        </w:rPr>
        <w:t>así</w:t>
      </w:r>
      <w:r>
        <w:rPr>
          <w:spacing w:val="-27"/>
          <w:w w:val="115"/>
        </w:rPr>
        <w:t> </w:t>
      </w:r>
      <w:r>
        <w:rPr>
          <w:w w:val="115"/>
        </w:rPr>
        <w:t>el</w:t>
      </w:r>
      <w:r>
        <w:rPr>
          <w:spacing w:val="-27"/>
          <w:w w:val="115"/>
        </w:rPr>
        <w:t> </w:t>
      </w:r>
      <w:r>
        <w:rPr>
          <w:w w:val="115"/>
        </w:rPr>
        <w:t>desarrollo</w:t>
      </w:r>
      <w:r>
        <w:rPr>
          <w:spacing w:val="-27"/>
          <w:w w:val="115"/>
        </w:rPr>
        <w:t> </w:t>
      </w:r>
      <w:r>
        <w:rPr>
          <w:w w:val="115"/>
        </w:rPr>
        <w:t>intensivo</w:t>
      </w:r>
      <w:r>
        <w:rPr>
          <w:spacing w:val="-27"/>
          <w:w w:val="115"/>
        </w:rPr>
        <w:t> </w:t>
      </w:r>
      <w:r>
        <w:rPr>
          <w:w w:val="115"/>
        </w:rPr>
        <w:t>del</w:t>
      </w:r>
      <w:r>
        <w:rPr>
          <w:spacing w:val="-27"/>
          <w:w w:val="115"/>
        </w:rPr>
        <w:t> </w:t>
      </w:r>
      <w:r>
        <w:rPr>
          <w:i/>
          <w:w w:val="115"/>
        </w:rPr>
        <w:t>nuevo</w:t>
      </w:r>
      <w:r>
        <w:rPr>
          <w:i/>
          <w:spacing w:val="-27"/>
          <w:w w:val="115"/>
        </w:rPr>
        <w:t> </w:t>
      </w:r>
      <w:r>
        <w:rPr>
          <w:i/>
          <w:w w:val="115"/>
        </w:rPr>
        <w:t>paradigma</w:t>
      </w:r>
      <w:r>
        <w:rPr>
          <w:i/>
          <w:spacing w:val="-27"/>
          <w:w w:val="115"/>
        </w:rPr>
        <w:t> </w:t>
      </w:r>
      <w:r>
        <w:rPr>
          <w:w w:val="115"/>
        </w:rPr>
        <w:t>en</w:t>
      </w:r>
      <w:r>
        <w:rPr>
          <w:spacing w:val="-27"/>
          <w:w w:val="115"/>
        </w:rPr>
        <w:t> </w:t>
      </w:r>
      <w:r>
        <w:rPr>
          <w:w w:val="115"/>
        </w:rPr>
        <w:t>las</w:t>
      </w:r>
      <w:r>
        <w:rPr>
          <w:spacing w:val="-27"/>
          <w:w w:val="115"/>
        </w:rPr>
        <w:t> </w:t>
      </w:r>
      <w:r>
        <w:rPr>
          <w:w w:val="115"/>
        </w:rPr>
        <w:t>metró- polis</w:t>
      </w:r>
      <w:r>
        <w:rPr>
          <w:spacing w:val="-10"/>
          <w:w w:val="115"/>
        </w:rPr>
        <w:t> </w:t>
      </w:r>
      <w:r>
        <w:rPr>
          <w:w w:val="115"/>
        </w:rPr>
        <w:t>con</w:t>
      </w:r>
      <w:r>
        <w:rPr>
          <w:spacing w:val="-10"/>
          <w:w w:val="115"/>
        </w:rPr>
        <w:t> </w:t>
      </w:r>
      <w:r>
        <w:rPr>
          <w:w w:val="115"/>
        </w:rPr>
        <w:t>la</w:t>
      </w:r>
      <w:r>
        <w:rPr>
          <w:spacing w:val="-10"/>
          <w:w w:val="115"/>
        </w:rPr>
        <w:t> </w:t>
      </w:r>
      <w:r>
        <w:rPr>
          <w:w w:val="115"/>
        </w:rPr>
        <w:t>explotación</w:t>
      </w:r>
      <w:r>
        <w:rPr>
          <w:spacing w:val="-10"/>
          <w:w w:val="115"/>
        </w:rPr>
        <w:t> </w:t>
      </w:r>
      <w:r>
        <w:rPr>
          <w:w w:val="115"/>
        </w:rPr>
        <w:t>extensiva</w:t>
      </w:r>
      <w:r>
        <w:rPr>
          <w:spacing w:val="-10"/>
          <w:w w:val="115"/>
        </w:rPr>
        <w:t> </w:t>
      </w:r>
      <w:r>
        <w:rPr>
          <w:w w:val="115"/>
        </w:rPr>
        <w:t>de</w:t>
      </w:r>
      <w:r>
        <w:rPr>
          <w:spacing w:val="-10"/>
          <w:w w:val="115"/>
        </w:rPr>
        <w:t> </w:t>
      </w:r>
      <w:r>
        <w:rPr>
          <w:w w:val="115"/>
        </w:rPr>
        <w:t>la</w:t>
      </w:r>
      <w:r>
        <w:rPr>
          <w:spacing w:val="-10"/>
          <w:w w:val="115"/>
        </w:rPr>
        <w:t> </w:t>
      </w:r>
      <w:r>
        <w:rPr>
          <w:w w:val="115"/>
        </w:rPr>
        <w:t>periferia</w:t>
      </w:r>
      <w:r>
        <w:rPr>
          <w:spacing w:val="-10"/>
          <w:w w:val="115"/>
        </w:rPr>
        <w:t> </w:t>
      </w:r>
      <w:r>
        <w:rPr>
          <w:w w:val="115"/>
        </w:rPr>
        <w:t>del</w:t>
      </w:r>
      <w:r>
        <w:rPr>
          <w:spacing w:val="-10"/>
          <w:w w:val="115"/>
        </w:rPr>
        <w:t> </w:t>
      </w:r>
      <w:r>
        <w:rPr>
          <w:w w:val="115"/>
        </w:rPr>
        <w:t>sistema.</w:t>
      </w:r>
      <w:r>
        <w:rPr>
          <w:spacing w:val="-10"/>
          <w:w w:val="115"/>
        </w:rPr>
        <w:t> </w:t>
      </w:r>
      <w:r>
        <w:rPr>
          <w:w w:val="115"/>
        </w:rPr>
        <w:t>En</w:t>
      </w:r>
      <w:r>
        <w:rPr>
          <w:spacing w:val="-10"/>
          <w:w w:val="115"/>
        </w:rPr>
        <w:t> </w:t>
      </w:r>
      <w:r>
        <w:rPr>
          <w:w w:val="115"/>
        </w:rPr>
        <w:t>este escenario,</w:t>
      </w:r>
      <w:r>
        <w:rPr>
          <w:spacing w:val="-19"/>
          <w:w w:val="115"/>
        </w:rPr>
        <w:t> </w:t>
      </w:r>
      <w:r>
        <w:rPr>
          <w:w w:val="115"/>
        </w:rPr>
        <w:t>EE.uu.</w:t>
      </w:r>
      <w:r>
        <w:rPr>
          <w:spacing w:val="-19"/>
          <w:w w:val="115"/>
        </w:rPr>
        <w:t> </w:t>
      </w:r>
      <w:r>
        <w:rPr>
          <w:w w:val="115"/>
        </w:rPr>
        <w:t>ejercería</w:t>
      </w:r>
      <w:r>
        <w:rPr>
          <w:spacing w:val="-19"/>
          <w:w w:val="115"/>
        </w:rPr>
        <w:t> </w:t>
      </w:r>
      <w:r>
        <w:rPr>
          <w:w w:val="115"/>
        </w:rPr>
        <w:t>el</w:t>
      </w:r>
      <w:r>
        <w:rPr>
          <w:spacing w:val="-19"/>
          <w:w w:val="115"/>
        </w:rPr>
        <w:t> </w:t>
      </w:r>
      <w:r>
        <w:rPr>
          <w:w w:val="115"/>
        </w:rPr>
        <w:t>liderazgo</w:t>
      </w:r>
      <w:r>
        <w:rPr>
          <w:spacing w:val="-19"/>
          <w:w w:val="115"/>
        </w:rPr>
        <w:t> </w:t>
      </w:r>
      <w:r>
        <w:rPr>
          <w:w w:val="115"/>
        </w:rPr>
        <w:t>para</w:t>
      </w:r>
      <w:r>
        <w:rPr>
          <w:spacing w:val="-19"/>
          <w:w w:val="115"/>
        </w:rPr>
        <w:t> </w:t>
      </w:r>
      <w:r>
        <w:rPr>
          <w:w w:val="115"/>
        </w:rPr>
        <w:t>extraer</w:t>
      </w:r>
      <w:r>
        <w:rPr>
          <w:spacing w:val="-19"/>
          <w:w w:val="115"/>
        </w:rPr>
        <w:t> </w:t>
      </w:r>
      <w:r>
        <w:rPr>
          <w:w w:val="115"/>
        </w:rPr>
        <w:t>a</w:t>
      </w:r>
      <w:r>
        <w:rPr>
          <w:spacing w:val="-19"/>
          <w:w w:val="115"/>
        </w:rPr>
        <w:t> </w:t>
      </w:r>
      <w:r>
        <w:rPr>
          <w:w w:val="115"/>
        </w:rPr>
        <w:t>su</w:t>
      </w:r>
      <w:r>
        <w:rPr>
          <w:spacing w:val="-19"/>
          <w:w w:val="115"/>
        </w:rPr>
        <w:t> </w:t>
      </w:r>
      <w:r>
        <w:rPr>
          <w:w w:val="115"/>
        </w:rPr>
        <w:t>favor</w:t>
      </w:r>
      <w:r>
        <w:rPr>
          <w:spacing w:val="-19"/>
          <w:w w:val="115"/>
        </w:rPr>
        <w:t> </w:t>
      </w:r>
      <w:r>
        <w:rPr>
          <w:w w:val="115"/>
        </w:rPr>
        <w:t>signifi- </w:t>
      </w:r>
      <w:r>
        <w:rPr>
          <w:w w:val="110"/>
        </w:rPr>
        <w:t>cativas ventajas a la </w:t>
      </w:r>
      <w:r>
        <w:rPr>
          <w:i/>
          <w:w w:val="110"/>
        </w:rPr>
        <w:t>Revolución Científico-Técnica </w:t>
      </w:r>
      <w:r>
        <w:rPr>
          <w:w w:val="110"/>
        </w:rPr>
        <w:t>ascendente. Proceso </w:t>
      </w:r>
      <w:r>
        <w:rPr>
          <w:w w:val="115"/>
        </w:rPr>
        <w:t>que</w:t>
      </w:r>
      <w:r>
        <w:rPr>
          <w:spacing w:val="-26"/>
          <w:w w:val="115"/>
        </w:rPr>
        <w:t> </w:t>
      </w:r>
      <w:r>
        <w:rPr>
          <w:w w:val="115"/>
        </w:rPr>
        <w:t>–sin</w:t>
      </w:r>
      <w:r>
        <w:rPr>
          <w:spacing w:val="-26"/>
          <w:w w:val="115"/>
        </w:rPr>
        <w:t> </w:t>
      </w:r>
      <w:r>
        <w:rPr>
          <w:w w:val="115"/>
        </w:rPr>
        <w:t>embargo–</w:t>
      </w:r>
      <w:r>
        <w:rPr>
          <w:spacing w:val="-26"/>
          <w:w w:val="115"/>
        </w:rPr>
        <w:t> </w:t>
      </w:r>
      <w:r>
        <w:rPr>
          <w:w w:val="115"/>
        </w:rPr>
        <w:t>ya</w:t>
      </w:r>
      <w:r>
        <w:rPr>
          <w:spacing w:val="-26"/>
          <w:w w:val="115"/>
        </w:rPr>
        <w:t> </w:t>
      </w:r>
      <w:r>
        <w:rPr>
          <w:w w:val="115"/>
        </w:rPr>
        <w:t>antes</w:t>
      </w:r>
      <w:r>
        <w:rPr>
          <w:spacing w:val="-26"/>
          <w:w w:val="115"/>
        </w:rPr>
        <w:t> </w:t>
      </w:r>
      <w:r>
        <w:rPr>
          <w:w w:val="115"/>
        </w:rPr>
        <w:t>del</w:t>
      </w:r>
      <w:r>
        <w:rPr>
          <w:spacing w:val="-26"/>
          <w:w w:val="115"/>
        </w:rPr>
        <w:t> </w:t>
      </w:r>
      <w:r>
        <w:rPr>
          <w:w w:val="115"/>
        </w:rPr>
        <w:t>nuevo</w:t>
      </w:r>
      <w:r>
        <w:rPr>
          <w:spacing w:val="-26"/>
          <w:w w:val="115"/>
        </w:rPr>
        <w:t> </w:t>
      </w:r>
      <w:r>
        <w:rPr>
          <w:w w:val="115"/>
        </w:rPr>
        <w:t>milenio</w:t>
      </w:r>
      <w:r>
        <w:rPr>
          <w:spacing w:val="-26"/>
          <w:w w:val="115"/>
        </w:rPr>
        <w:t> </w:t>
      </w:r>
      <w:r>
        <w:rPr>
          <w:w w:val="115"/>
        </w:rPr>
        <w:t>lo</w:t>
      </w:r>
      <w:r>
        <w:rPr>
          <w:spacing w:val="-26"/>
          <w:w w:val="115"/>
        </w:rPr>
        <w:t> </w:t>
      </w:r>
      <w:r>
        <w:rPr>
          <w:w w:val="115"/>
        </w:rPr>
        <w:t>conduciría</w:t>
      </w:r>
      <w:r>
        <w:rPr>
          <w:spacing w:val="-26"/>
          <w:w w:val="115"/>
        </w:rPr>
        <w:t> </w:t>
      </w:r>
      <w:r>
        <w:rPr>
          <w:w w:val="115"/>
        </w:rPr>
        <w:t>a</w:t>
      </w:r>
      <w:r>
        <w:rPr>
          <w:spacing w:val="-26"/>
          <w:w w:val="115"/>
        </w:rPr>
        <w:t> </w:t>
      </w:r>
      <w:r>
        <w:rPr>
          <w:w w:val="115"/>
        </w:rPr>
        <w:t>la</w:t>
      </w:r>
      <w:r>
        <w:rPr>
          <w:spacing w:val="-26"/>
          <w:w w:val="115"/>
        </w:rPr>
        <w:t> </w:t>
      </w:r>
      <w:r>
        <w:rPr>
          <w:w w:val="115"/>
        </w:rPr>
        <w:t>pérdi- da</w:t>
      </w:r>
      <w:r>
        <w:rPr>
          <w:spacing w:val="-25"/>
          <w:w w:val="115"/>
        </w:rPr>
        <w:t> </w:t>
      </w:r>
      <w:r>
        <w:rPr>
          <w:w w:val="115"/>
        </w:rPr>
        <w:t>de</w:t>
      </w:r>
      <w:r>
        <w:rPr>
          <w:spacing w:val="-25"/>
          <w:w w:val="115"/>
        </w:rPr>
        <w:t> </w:t>
      </w:r>
      <w:r>
        <w:rPr>
          <w:w w:val="115"/>
        </w:rPr>
        <w:t>su</w:t>
      </w:r>
      <w:r>
        <w:rPr>
          <w:spacing w:val="-25"/>
          <w:w w:val="115"/>
        </w:rPr>
        <w:t> </w:t>
      </w:r>
      <w:r>
        <w:rPr>
          <w:i/>
          <w:w w:val="115"/>
        </w:rPr>
        <w:t>racionalidad</w:t>
      </w:r>
      <w:r>
        <w:rPr>
          <w:i/>
          <w:spacing w:val="-25"/>
          <w:w w:val="115"/>
        </w:rPr>
        <w:t> </w:t>
      </w:r>
      <w:r>
        <w:rPr>
          <w:i/>
          <w:w w:val="115"/>
        </w:rPr>
        <w:t>basada</w:t>
      </w:r>
      <w:r>
        <w:rPr>
          <w:i/>
          <w:spacing w:val="-25"/>
          <w:w w:val="115"/>
        </w:rPr>
        <w:t> </w:t>
      </w:r>
      <w:r>
        <w:rPr>
          <w:i/>
          <w:w w:val="115"/>
        </w:rPr>
        <w:t>en</w:t>
      </w:r>
      <w:r>
        <w:rPr>
          <w:i/>
          <w:spacing w:val="-25"/>
          <w:w w:val="115"/>
        </w:rPr>
        <w:t> </w:t>
      </w:r>
      <w:r>
        <w:rPr>
          <w:i/>
          <w:w w:val="115"/>
        </w:rPr>
        <w:t>la</w:t>
      </w:r>
      <w:r>
        <w:rPr>
          <w:i/>
          <w:spacing w:val="-25"/>
          <w:w w:val="115"/>
        </w:rPr>
        <w:t> </w:t>
      </w:r>
      <w:r>
        <w:rPr>
          <w:i/>
          <w:w w:val="115"/>
        </w:rPr>
        <w:t>lógica</w:t>
      </w:r>
      <w:r>
        <w:rPr>
          <w:i/>
          <w:spacing w:val="-25"/>
          <w:w w:val="115"/>
        </w:rPr>
        <w:t> </w:t>
      </w:r>
      <w:r>
        <w:rPr>
          <w:i/>
          <w:w w:val="115"/>
        </w:rPr>
        <w:t>del</w:t>
      </w:r>
      <w:r>
        <w:rPr>
          <w:i/>
          <w:spacing w:val="-25"/>
          <w:w w:val="115"/>
        </w:rPr>
        <w:t> </w:t>
      </w:r>
      <w:r>
        <w:rPr>
          <w:i/>
          <w:w w:val="115"/>
        </w:rPr>
        <w:t>capital</w:t>
      </w:r>
      <w:r>
        <w:rPr>
          <w:w w:val="115"/>
        </w:rPr>
        <w:t>,</w:t>
      </w:r>
      <w:r>
        <w:rPr>
          <w:spacing w:val="-25"/>
          <w:w w:val="115"/>
        </w:rPr>
        <w:t> </w:t>
      </w:r>
      <w:r>
        <w:rPr>
          <w:w w:val="115"/>
        </w:rPr>
        <w:t>y</w:t>
      </w:r>
      <w:r>
        <w:rPr>
          <w:spacing w:val="-25"/>
          <w:w w:val="115"/>
        </w:rPr>
        <w:t> </w:t>
      </w:r>
      <w:r>
        <w:rPr>
          <w:w w:val="115"/>
        </w:rPr>
        <w:t>a</w:t>
      </w:r>
      <w:r>
        <w:rPr>
          <w:spacing w:val="-25"/>
          <w:w w:val="115"/>
        </w:rPr>
        <w:t> </w:t>
      </w:r>
      <w:r>
        <w:rPr>
          <w:w w:val="115"/>
        </w:rPr>
        <w:t>la</w:t>
      </w:r>
      <w:r>
        <w:rPr>
          <w:spacing w:val="-25"/>
          <w:w w:val="115"/>
        </w:rPr>
        <w:t> </w:t>
      </w:r>
      <w:r>
        <w:rPr>
          <w:w w:val="115"/>
        </w:rPr>
        <w:t>consecuente decadencia</w:t>
      </w:r>
      <w:r>
        <w:rPr>
          <w:spacing w:val="-20"/>
          <w:w w:val="115"/>
        </w:rPr>
        <w:t> </w:t>
      </w:r>
      <w:r>
        <w:rPr>
          <w:w w:val="115"/>
        </w:rPr>
        <w:t>de</w:t>
      </w:r>
      <w:r>
        <w:rPr>
          <w:spacing w:val="-20"/>
          <w:w w:val="115"/>
        </w:rPr>
        <w:t> </w:t>
      </w:r>
      <w:r>
        <w:rPr>
          <w:w w:val="115"/>
        </w:rPr>
        <w:t>su</w:t>
      </w:r>
      <w:r>
        <w:rPr>
          <w:spacing w:val="-20"/>
          <w:w w:val="115"/>
        </w:rPr>
        <w:t> </w:t>
      </w:r>
      <w:r>
        <w:rPr>
          <w:w w:val="115"/>
        </w:rPr>
        <w:t>ciclo</w:t>
      </w:r>
      <w:r>
        <w:rPr>
          <w:spacing w:val="-20"/>
          <w:w w:val="115"/>
        </w:rPr>
        <w:t> </w:t>
      </w:r>
      <w:r>
        <w:rPr>
          <w:w w:val="115"/>
        </w:rPr>
        <w:t>reproductivo</w:t>
      </w:r>
      <w:r>
        <w:rPr>
          <w:spacing w:val="-20"/>
          <w:w w:val="115"/>
        </w:rPr>
        <w:t> </w:t>
      </w:r>
      <w:r>
        <w:rPr>
          <w:w w:val="115"/>
        </w:rPr>
        <w:t>–incluidos</w:t>
      </w:r>
      <w:r>
        <w:rPr>
          <w:spacing w:val="-20"/>
          <w:w w:val="115"/>
        </w:rPr>
        <w:t> </w:t>
      </w:r>
      <w:r>
        <w:rPr>
          <w:w w:val="115"/>
        </w:rPr>
        <w:t>importantes</w:t>
      </w:r>
      <w:r>
        <w:rPr>
          <w:spacing w:val="-20"/>
          <w:w w:val="115"/>
        </w:rPr>
        <w:t> </w:t>
      </w:r>
      <w:r>
        <w:rPr>
          <w:w w:val="115"/>
        </w:rPr>
        <w:t>desgajes de</w:t>
      </w:r>
      <w:r>
        <w:rPr>
          <w:spacing w:val="-11"/>
          <w:w w:val="115"/>
        </w:rPr>
        <w:t> </w:t>
      </w:r>
      <w:r>
        <w:rPr>
          <w:w w:val="115"/>
        </w:rPr>
        <w:t>competitividad–</w:t>
      </w:r>
      <w:r>
        <w:rPr>
          <w:spacing w:val="-11"/>
          <w:w w:val="115"/>
        </w:rPr>
        <w:t> y, </w:t>
      </w:r>
      <w:r>
        <w:rPr>
          <w:w w:val="115"/>
        </w:rPr>
        <w:t>con</w:t>
      </w:r>
      <w:r>
        <w:rPr>
          <w:spacing w:val="-11"/>
          <w:w w:val="115"/>
        </w:rPr>
        <w:t> </w:t>
      </w:r>
      <w:r>
        <w:rPr>
          <w:w w:val="115"/>
        </w:rPr>
        <w:t>ello,</w:t>
      </w:r>
      <w:r>
        <w:rPr>
          <w:spacing w:val="-11"/>
          <w:w w:val="115"/>
        </w:rPr>
        <w:t> </w:t>
      </w:r>
      <w:r>
        <w:rPr>
          <w:w w:val="115"/>
        </w:rPr>
        <w:t>a</w:t>
      </w:r>
      <w:r>
        <w:rPr>
          <w:spacing w:val="-11"/>
          <w:w w:val="115"/>
        </w:rPr>
        <w:t> </w:t>
      </w:r>
      <w:r>
        <w:rPr>
          <w:w w:val="115"/>
        </w:rPr>
        <w:t>una</w:t>
      </w:r>
      <w:r>
        <w:rPr>
          <w:spacing w:val="-11"/>
          <w:w w:val="115"/>
        </w:rPr>
        <w:t> </w:t>
      </w:r>
      <w:r>
        <w:rPr>
          <w:w w:val="115"/>
        </w:rPr>
        <w:t>multifacética</w:t>
      </w:r>
      <w:r>
        <w:rPr>
          <w:spacing w:val="-11"/>
          <w:w w:val="115"/>
        </w:rPr>
        <w:t> </w:t>
      </w:r>
      <w:r>
        <w:rPr>
          <w:i/>
          <w:w w:val="115"/>
        </w:rPr>
        <w:t>crisis</w:t>
      </w:r>
      <w:r>
        <w:rPr>
          <w:i/>
          <w:spacing w:val="-11"/>
          <w:w w:val="115"/>
        </w:rPr>
        <w:t> </w:t>
      </w:r>
      <w:r>
        <w:rPr>
          <w:i/>
          <w:w w:val="115"/>
        </w:rPr>
        <w:t>sistémico-es- </w:t>
      </w:r>
      <w:r>
        <w:rPr>
          <w:i/>
          <w:w w:val="115"/>
        </w:rPr>
        <w:t>tructural</w:t>
      </w:r>
      <w:r>
        <w:rPr>
          <w:w w:val="115"/>
        </w:rPr>
        <w:t>.</w:t>
      </w:r>
      <w:r>
        <w:rPr>
          <w:spacing w:val="-17"/>
          <w:w w:val="115"/>
        </w:rPr>
        <w:t> </w:t>
      </w:r>
      <w:r>
        <w:rPr>
          <w:w w:val="115"/>
        </w:rPr>
        <w:t>representa</w:t>
      </w:r>
      <w:r>
        <w:rPr>
          <w:spacing w:val="-17"/>
          <w:w w:val="115"/>
        </w:rPr>
        <w:t> </w:t>
      </w:r>
      <w:r>
        <w:rPr>
          <w:w w:val="115"/>
        </w:rPr>
        <w:t>aquí</w:t>
      </w:r>
      <w:r>
        <w:rPr>
          <w:spacing w:val="-17"/>
          <w:w w:val="115"/>
        </w:rPr>
        <w:t> </w:t>
      </w:r>
      <w:r>
        <w:rPr>
          <w:w w:val="115"/>
        </w:rPr>
        <w:t>interés</w:t>
      </w:r>
      <w:r>
        <w:rPr>
          <w:spacing w:val="-17"/>
          <w:w w:val="115"/>
        </w:rPr>
        <w:t> </w:t>
      </w:r>
      <w:r>
        <w:rPr>
          <w:w w:val="115"/>
        </w:rPr>
        <w:t>ilustrar</w:t>
      </w:r>
      <w:r>
        <w:rPr>
          <w:spacing w:val="-17"/>
          <w:w w:val="115"/>
        </w:rPr>
        <w:t> </w:t>
      </w:r>
      <w:r>
        <w:rPr>
          <w:w w:val="115"/>
        </w:rPr>
        <w:t>el</w:t>
      </w:r>
      <w:r>
        <w:rPr>
          <w:spacing w:val="-17"/>
          <w:w w:val="115"/>
        </w:rPr>
        <w:t> </w:t>
      </w:r>
      <w:r>
        <w:rPr>
          <w:w w:val="115"/>
        </w:rPr>
        <w:t>advenimiento</w:t>
      </w:r>
      <w:r>
        <w:rPr>
          <w:spacing w:val="-17"/>
          <w:w w:val="115"/>
        </w:rPr>
        <w:t> </w:t>
      </w:r>
      <w:r>
        <w:rPr>
          <w:w w:val="115"/>
        </w:rPr>
        <w:t>de</w:t>
      </w:r>
      <w:r>
        <w:rPr>
          <w:spacing w:val="-17"/>
          <w:w w:val="115"/>
        </w:rPr>
        <w:t> </w:t>
      </w:r>
      <w:r>
        <w:rPr>
          <w:w w:val="115"/>
        </w:rPr>
        <w:t>marca- dos</w:t>
      </w:r>
      <w:r>
        <w:rPr>
          <w:spacing w:val="-27"/>
          <w:w w:val="115"/>
        </w:rPr>
        <w:t> </w:t>
      </w:r>
      <w:r>
        <w:rPr>
          <w:w w:val="115"/>
        </w:rPr>
        <w:t>síntomas,</w:t>
      </w:r>
      <w:r>
        <w:rPr>
          <w:spacing w:val="-27"/>
          <w:w w:val="115"/>
        </w:rPr>
        <w:t> </w:t>
      </w:r>
      <w:r>
        <w:rPr>
          <w:w w:val="115"/>
        </w:rPr>
        <w:t>conducentes</w:t>
      </w:r>
      <w:r>
        <w:rPr>
          <w:spacing w:val="-27"/>
          <w:w w:val="115"/>
        </w:rPr>
        <w:t> </w:t>
      </w:r>
      <w:r>
        <w:rPr>
          <w:w w:val="115"/>
        </w:rPr>
        <w:t>a</w:t>
      </w:r>
      <w:r>
        <w:rPr>
          <w:spacing w:val="-27"/>
          <w:w w:val="115"/>
        </w:rPr>
        <w:t> </w:t>
      </w:r>
      <w:r>
        <w:rPr>
          <w:w w:val="115"/>
        </w:rPr>
        <w:t>la</w:t>
      </w:r>
      <w:r>
        <w:rPr>
          <w:spacing w:val="-27"/>
          <w:w w:val="115"/>
        </w:rPr>
        <w:t> </w:t>
      </w:r>
      <w:r>
        <w:rPr>
          <w:w w:val="115"/>
        </w:rPr>
        <w:t>controvertida</w:t>
      </w:r>
      <w:r>
        <w:rPr>
          <w:spacing w:val="-27"/>
          <w:w w:val="115"/>
        </w:rPr>
        <w:t> </w:t>
      </w:r>
      <w:r>
        <w:rPr>
          <w:w w:val="115"/>
        </w:rPr>
        <w:t>valoración</w:t>
      </w:r>
      <w:r>
        <w:rPr>
          <w:spacing w:val="-27"/>
          <w:w w:val="115"/>
        </w:rPr>
        <w:t> </w:t>
      </w:r>
      <w:r>
        <w:rPr>
          <w:w w:val="115"/>
        </w:rPr>
        <w:t>a</w:t>
      </w:r>
      <w:r>
        <w:rPr>
          <w:spacing w:val="-27"/>
          <w:w w:val="115"/>
        </w:rPr>
        <w:t> </w:t>
      </w:r>
      <w:r>
        <w:rPr>
          <w:w w:val="115"/>
        </w:rPr>
        <w:t>la</w:t>
      </w:r>
      <w:r>
        <w:rPr>
          <w:spacing w:val="-27"/>
          <w:w w:val="115"/>
        </w:rPr>
        <w:t> </w:t>
      </w:r>
      <w:r>
        <w:rPr>
          <w:w w:val="115"/>
        </w:rPr>
        <w:t>baja</w:t>
      </w:r>
      <w:r>
        <w:rPr>
          <w:spacing w:val="-27"/>
          <w:w w:val="115"/>
        </w:rPr>
        <w:t> </w:t>
      </w:r>
      <w:r>
        <w:rPr>
          <w:w w:val="115"/>
        </w:rPr>
        <w:t>de</w:t>
      </w:r>
      <w:r>
        <w:rPr>
          <w:spacing w:val="-27"/>
          <w:w w:val="115"/>
        </w:rPr>
        <w:t> </w:t>
      </w:r>
      <w:r>
        <w:rPr>
          <w:w w:val="115"/>
        </w:rPr>
        <w:t>la competitividad </w:t>
      </w:r>
      <w:r>
        <w:rPr>
          <w:spacing w:val="-4"/>
          <w:w w:val="130"/>
        </w:rPr>
        <w:t>altEC </w:t>
      </w:r>
      <w:r>
        <w:rPr>
          <w:w w:val="115"/>
        </w:rPr>
        <w:t>de EE.uu. </w:t>
      </w:r>
      <w:r>
        <w:rPr>
          <w:spacing w:val="-11"/>
          <w:w w:val="115"/>
        </w:rPr>
        <w:t>y, </w:t>
      </w:r>
      <w:r>
        <w:rPr>
          <w:w w:val="115"/>
        </w:rPr>
        <w:t>en consecuencia, a los límites del </w:t>
      </w:r>
      <w:r>
        <w:rPr>
          <w:w w:val="110"/>
        </w:rPr>
        <w:t>actual ciclo reproductivo del capitalismo monopolista transnacionali- </w:t>
      </w:r>
      <w:r>
        <w:rPr>
          <w:w w:val="115"/>
        </w:rPr>
        <w:t>zado</w:t>
      </w:r>
      <w:r>
        <w:rPr>
          <w:spacing w:val="-27"/>
          <w:w w:val="115"/>
        </w:rPr>
        <w:t> </w:t>
      </w:r>
      <w:r>
        <w:rPr>
          <w:w w:val="115"/>
        </w:rPr>
        <w:t>en</w:t>
      </w:r>
      <w:r>
        <w:rPr>
          <w:spacing w:val="-27"/>
          <w:w w:val="115"/>
        </w:rPr>
        <w:t> </w:t>
      </w:r>
      <w:r>
        <w:rPr>
          <w:w w:val="115"/>
        </w:rPr>
        <w:t>su</w:t>
      </w:r>
      <w:r>
        <w:rPr>
          <w:spacing w:val="-27"/>
          <w:w w:val="115"/>
        </w:rPr>
        <w:t> </w:t>
      </w:r>
      <w:r>
        <w:rPr>
          <w:w w:val="115"/>
        </w:rPr>
        <w:t>metrópoli,</w:t>
      </w:r>
      <w:r>
        <w:rPr>
          <w:spacing w:val="-27"/>
          <w:w w:val="115"/>
        </w:rPr>
        <w:t> </w:t>
      </w:r>
      <w:r>
        <w:rPr>
          <w:w w:val="115"/>
        </w:rPr>
        <w:t>hasta</w:t>
      </w:r>
      <w:r>
        <w:rPr>
          <w:spacing w:val="-27"/>
          <w:w w:val="115"/>
        </w:rPr>
        <w:t> </w:t>
      </w:r>
      <w:r>
        <w:rPr>
          <w:w w:val="115"/>
        </w:rPr>
        <w:t>entonces</w:t>
      </w:r>
      <w:r>
        <w:rPr>
          <w:spacing w:val="-27"/>
          <w:w w:val="115"/>
        </w:rPr>
        <w:t> </w:t>
      </w:r>
      <w:r>
        <w:rPr>
          <w:w w:val="115"/>
        </w:rPr>
        <w:t>ascendente</w:t>
      </w:r>
      <w:r>
        <w:rPr>
          <w:spacing w:val="-27"/>
          <w:w w:val="115"/>
        </w:rPr>
        <w:t> </w:t>
      </w:r>
      <w:r>
        <w:rPr>
          <w:w w:val="115"/>
        </w:rPr>
        <w:t>en</w:t>
      </w:r>
      <w:r>
        <w:rPr>
          <w:spacing w:val="-27"/>
          <w:w w:val="115"/>
        </w:rPr>
        <w:t> </w:t>
      </w:r>
      <w:r>
        <w:rPr>
          <w:i/>
          <w:w w:val="115"/>
        </w:rPr>
        <w:t>cuasi</w:t>
      </w:r>
      <w:r>
        <w:rPr>
          <w:i/>
          <w:spacing w:val="-27"/>
          <w:w w:val="115"/>
        </w:rPr>
        <w:t> </w:t>
      </w:r>
      <w:r>
        <w:rPr>
          <w:w w:val="115"/>
        </w:rPr>
        <w:t>solitario.</w:t>
      </w:r>
      <w:r>
        <w:rPr>
          <w:spacing w:val="-27"/>
          <w:w w:val="115"/>
        </w:rPr>
        <w:t> </w:t>
      </w:r>
      <w:r>
        <w:rPr>
          <w:w w:val="115"/>
        </w:rPr>
        <w:t>En lo</w:t>
      </w:r>
      <w:r>
        <w:rPr>
          <w:spacing w:val="-12"/>
          <w:w w:val="115"/>
        </w:rPr>
        <w:t> </w:t>
      </w:r>
      <w:r>
        <w:rPr>
          <w:w w:val="115"/>
        </w:rPr>
        <w:t>concerniente</w:t>
      </w:r>
      <w:r>
        <w:rPr>
          <w:spacing w:val="-12"/>
          <w:w w:val="115"/>
        </w:rPr>
        <w:t> </w:t>
      </w:r>
      <w:r>
        <w:rPr>
          <w:w w:val="115"/>
        </w:rPr>
        <w:t>a</w:t>
      </w:r>
      <w:r>
        <w:rPr>
          <w:spacing w:val="-12"/>
          <w:w w:val="115"/>
        </w:rPr>
        <w:t> </w:t>
      </w:r>
      <w:r>
        <w:rPr>
          <w:w w:val="115"/>
        </w:rPr>
        <w:t>los</w:t>
      </w:r>
      <w:r>
        <w:rPr>
          <w:spacing w:val="-12"/>
          <w:w w:val="115"/>
        </w:rPr>
        <w:t> </w:t>
      </w:r>
      <w:r>
        <w:rPr>
          <w:w w:val="115"/>
        </w:rPr>
        <w:t>gastos</w:t>
      </w:r>
      <w:r>
        <w:rPr>
          <w:spacing w:val="-12"/>
          <w:w w:val="115"/>
        </w:rPr>
        <w:t> </w:t>
      </w:r>
      <w:r>
        <w:rPr>
          <w:w w:val="115"/>
        </w:rPr>
        <w:t>en</w:t>
      </w:r>
      <w:r>
        <w:rPr>
          <w:spacing w:val="-12"/>
          <w:w w:val="115"/>
        </w:rPr>
        <w:t> </w:t>
      </w:r>
      <w:r>
        <w:rPr>
          <w:w w:val="115"/>
        </w:rPr>
        <w:t>i+d,</w:t>
      </w:r>
      <w:r>
        <w:rPr>
          <w:spacing w:val="-12"/>
          <w:w w:val="115"/>
        </w:rPr>
        <w:t> </w:t>
      </w:r>
      <w:r>
        <w:rPr>
          <w:w w:val="115"/>
        </w:rPr>
        <w:t>si</w:t>
      </w:r>
      <w:r>
        <w:rPr>
          <w:spacing w:val="-12"/>
          <w:w w:val="115"/>
        </w:rPr>
        <w:t> </w:t>
      </w:r>
      <w:r>
        <w:rPr>
          <w:w w:val="115"/>
        </w:rPr>
        <w:t>bien</w:t>
      </w:r>
      <w:r>
        <w:rPr>
          <w:spacing w:val="-12"/>
          <w:w w:val="115"/>
        </w:rPr>
        <w:t> </w:t>
      </w:r>
      <w:r>
        <w:rPr>
          <w:w w:val="115"/>
        </w:rPr>
        <w:t>9</w:t>
      </w:r>
      <w:r>
        <w:rPr>
          <w:spacing w:val="-12"/>
          <w:w w:val="115"/>
        </w:rPr>
        <w:t> </w:t>
      </w:r>
      <w:r>
        <w:rPr>
          <w:w w:val="115"/>
        </w:rPr>
        <w:t>países</w:t>
      </w:r>
      <w:r>
        <w:rPr>
          <w:spacing w:val="-12"/>
          <w:w w:val="115"/>
        </w:rPr>
        <w:t> </w:t>
      </w:r>
      <w:r>
        <w:rPr>
          <w:w w:val="115"/>
        </w:rPr>
        <w:t>lograrían</w:t>
      </w:r>
      <w:r>
        <w:rPr>
          <w:spacing w:val="-12"/>
          <w:w w:val="115"/>
        </w:rPr>
        <w:t> </w:t>
      </w:r>
      <w:r>
        <w:rPr>
          <w:w w:val="115"/>
        </w:rPr>
        <w:t>superar o empatar a EE.uu. en términos relativos –el gasto interno bruto</w:t>
      </w:r>
      <w:r>
        <w:rPr>
          <w:spacing w:val="2"/>
          <w:w w:val="115"/>
        </w:rPr>
        <w:t> </w:t>
      </w:r>
      <w:r>
        <w:rPr>
          <w:w w:val="115"/>
        </w:rPr>
        <w:t>en</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investigación y desarrollo (Gibid) de 2,6%– no obstante, éste manten- dría la supremacía en términos absolutos, equiparando su monto a la suma de los gastos en i+d de sus seis más cercanos competidores del G-7, sumados a los de Corea del   sur.</w:t>
      </w:r>
    </w:p>
    <w:p>
      <w:pPr>
        <w:pStyle w:val="BodyText"/>
        <w:spacing w:line="252" w:lineRule="auto"/>
        <w:ind w:left="330" w:right="117" w:firstLine="396"/>
        <w:jc w:val="both"/>
      </w:pPr>
      <w:r>
        <w:rPr>
          <w:w w:val="115"/>
        </w:rPr>
        <w:t>si bien en algunas ramas y nichos la uE, Japón y los Nuevos Países industriales del sudeste asiático (NiCs) se abrirían cuotas de </w:t>
      </w:r>
      <w:r>
        <w:rPr>
          <w:w w:val="110"/>
        </w:rPr>
        <w:t>mercado en esferas tradicionalmente norteamericanas gracias a agre- sivas</w:t>
      </w:r>
      <w:r>
        <w:rPr>
          <w:spacing w:val="-6"/>
          <w:w w:val="110"/>
        </w:rPr>
        <w:t> </w:t>
      </w:r>
      <w:r>
        <w:rPr>
          <w:w w:val="110"/>
        </w:rPr>
        <w:t>estrategias</w:t>
      </w:r>
      <w:r>
        <w:rPr>
          <w:spacing w:val="-6"/>
          <w:w w:val="110"/>
        </w:rPr>
        <w:t> </w:t>
      </w:r>
      <w:r>
        <w:rPr>
          <w:w w:val="110"/>
        </w:rPr>
        <w:t>de</w:t>
      </w:r>
      <w:r>
        <w:rPr>
          <w:spacing w:val="-6"/>
          <w:w w:val="110"/>
        </w:rPr>
        <w:t> </w:t>
      </w:r>
      <w:r>
        <w:rPr>
          <w:w w:val="110"/>
        </w:rPr>
        <w:t>competitividad,</w:t>
      </w:r>
      <w:r>
        <w:rPr>
          <w:spacing w:val="-6"/>
          <w:w w:val="110"/>
        </w:rPr>
        <w:t> </w:t>
      </w:r>
      <w:r>
        <w:rPr>
          <w:w w:val="110"/>
        </w:rPr>
        <w:t>notables</w:t>
      </w:r>
      <w:r>
        <w:rPr>
          <w:spacing w:val="-6"/>
          <w:w w:val="110"/>
        </w:rPr>
        <w:t> </w:t>
      </w:r>
      <w:r>
        <w:rPr>
          <w:w w:val="110"/>
        </w:rPr>
        <w:t>incrementos</w:t>
      </w:r>
      <w:r>
        <w:rPr>
          <w:spacing w:val="-6"/>
          <w:w w:val="110"/>
        </w:rPr>
        <w:t> </w:t>
      </w:r>
      <w:r>
        <w:rPr>
          <w:w w:val="110"/>
        </w:rPr>
        <w:t>del</w:t>
      </w:r>
      <w:r>
        <w:rPr>
          <w:spacing w:val="-6"/>
          <w:w w:val="110"/>
        </w:rPr>
        <w:t> </w:t>
      </w:r>
      <w:r>
        <w:rPr>
          <w:w w:val="110"/>
        </w:rPr>
        <w:t>ritmo</w:t>
      </w:r>
      <w:r>
        <w:rPr>
          <w:spacing w:val="-6"/>
          <w:w w:val="110"/>
        </w:rPr>
        <w:t> </w:t>
      </w:r>
      <w:r>
        <w:rPr>
          <w:w w:val="110"/>
        </w:rPr>
        <w:t>de </w:t>
      </w:r>
      <w:r>
        <w:rPr>
          <w:w w:val="115"/>
        </w:rPr>
        <w:t>desempeño en i+d industrial, sistemas generalizados de educación, y a crecientes inversiones de capital foráneo de i+d en los propios EE.uu., no obstante, EE.uu. seguiría poseyendo en términos abso- lutos de desempeño del i+d industrial aproximadamente lo mismo que la uE y Japón juntos (respectivamente: EE.uu., 45%; uE, 27%; Japón,</w:t>
      </w:r>
      <w:r>
        <w:rPr>
          <w:spacing w:val="-31"/>
          <w:w w:val="115"/>
        </w:rPr>
        <w:t> </w:t>
      </w:r>
      <w:r>
        <w:rPr>
          <w:w w:val="115"/>
        </w:rPr>
        <w:t>18%).</w:t>
      </w:r>
    </w:p>
    <w:p>
      <w:pPr>
        <w:pStyle w:val="BodyText"/>
        <w:spacing w:line="252" w:lineRule="auto"/>
        <w:ind w:left="330" w:right="117" w:firstLine="396"/>
        <w:jc w:val="both"/>
      </w:pPr>
      <w:r>
        <w:rPr>
          <w:w w:val="110"/>
        </w:rPr>
        <w:t>Ello le permitiría concentrar sistémicamente mayor nivel de re- cursos para la solución de cada proyecto, además de ampliar y articu- </w:t>
      </w:r>
      <w:r>
        <w:rPr>
          <w:w w:val="109"/>
        </w:rPr>
        <w:t>lar</w:t>
      </w:r>
      <w:r>
        <w:rPr/>
        <w:t> </w:t>
      </w:r>
      <w:r>
        <w:rPr>
          <w:spacing w:val="-15"/>
        </w:rPr>
        <w:t> </w:t>
      </w:r>
      <w:r>
        <w:rPr>
          <w:w w:val="109"/>
        </w:rPr>
        <w:t>sinérgicamente</w:t>
      </w:r>
      <w:r>
        <w:rPr/>
        <w:t> </w:t>
      </w:r>
      <w:r>
        <w:rPr>
          <w:spacing w:val="-15"/>
        </w:rPr>
        <w:t> </w:t>
      </w:r>
      <w:r>
        <w:rPr>
          <w:w w:val="107"/>
        </w:rPr>
        <w:t>el</w:t>
      </w:r>
      <w:r>
        <w:rPr/>
        <w:t> </w:t>
      </w:r>
      <w:r>
        <w:rPr>
          <w:spacing w:val="-15"/>
        </w:rPr>
        <w:t> </w:t>
      </w:r>
      <w:r>
        <w:rPr>
          <w:w w:val="112"/>
        </w:rPr>
        <w:t>cúmulo</w:t>
      </w:r>
      <w:r>
        <w:rPr/>
        <w:t> </w:t>
      </w:r>
      <w:r>
        <w:rPr>
          <w:spacing w:val="-15"/>
        </w:rPr>
        <w:t> </w:t>
      </w:r>
      <w:r>
        <w:rPr>
          <w:w w:val="107"/>
        </w:rPr>
        <w:t>de</w:t>
      </w:r>
      <w:r>
        <w:rPr/>
        <w:t> </w:t>
      </w:r>
      <w:r>
        <w:rPr>
          <w:spacing w:val="-15"/>
        </w:rPr>
        <w:t> </w:t>
      </w:r>
      <w:r>
        <w:rPr>
          <w:w w:val="108"/>
        </w:rPr>
        <w:t>proyectos</w:t>
      </w:r>
      <w:r>
        <w:rPr/>
        <w:t> </w:t>
      </w:r>
      <w:r>
        <w:rPr>
          <w:spacing w:val="-15"/>
        </w:rPr>
        <w:t> </w:t>
      </w:r>
      <w:r>
        <w:rPr>
          <w:w w:val="111"/>
        </w:rPr>
        <w:t>acometidos.</w:t>
      </w:r>
      <w:r>
        <w:rPr/>
        <w:t> </w:t>
      </w:r>
      <w:r>
        <w:rPr>
          <w:spacing w:val="-15"/>
        </w:rPr>
        <w:t> </w:t>
      </w:r>
      <w:r>
        <w:rPr>
          <w:w w:val="243"/>
        </w:rPr>
        <w:t>l</w:t>
      </w:r>
      <w:r>
        <w:rPr>
          <w:w w:val="109"/>
        </w:rPr>
        <w:t>as</w:t>
      </w:r>
      <w:r>
        <w:rPr/>
        <w:t> </w:t>
      </w:r>
      <w:r>
        <w:rPr>
          <w:spacing w:val="-15"/>
        </w:rPr>
        <w:t> </w:t>
      </w:r>
      <w:r>
        <w:rPr>
          <w:w w:val="110"/>
        </w:rPr>
        <w:t>fusiones </w:t>
      </w:r>
      <w:r>
        <w:rPr>
          <w:w w:val="110"/>
        </w:rPr>
        <w:t>y megafusiones entre empresas norteamericanas y extranjeras </w:t>
      </w:r>
      <w:r>
        <w:rPr>
          <w:spacing w:val="-4"/>
          <w:w w:val="140"/>
        </w:rPr>
        <w:t>altEC </w:t>
      </w:r>
      <w:r>
        <w:rPr>
          <w:w w:val="110"/>
        </w:rPr>
        <w:t>también le propiciarían asimilaciones directas de </w:t>
      </w:r>
      <w:r>
        <w:rPr>
          <w:spacing w:val="45"/>
          <w:w w:val="110"/>
        </w:rPr>
        <w:t> </w:t>
      </w:r>
      <w:r>
        <w:rPr>
          <w:i/>
          <w:w w:val="110"/>
        </w:rPr>
        <w:t>know-how</w:t>
      </w:r>
      <w:r>
        <w:rPr>
          <w:w w:val="110"/>
        </w:rPr>
        <w:t>.</w:t>
      </w:r>
    </w:p>
    <w:p>
      <w:pPr>
        <w:pStyle w:val="BodyText"/>
        <w:spacing w:line="252" w:lineRule="auto"/>
        <w:ind w:left="330" w:right="117" w:firstLine="396"/>
        <w:jc w:val="both"/>
      </w:pPr>
      <w:r>
        <w:rPr>
          <w:w w:val="115"/>
        </w:rPr>
        <w:t>Hasta</w:t>
      </w:r>
      <w:r>
        <w:rPr>
          <w:spacing w:val="-23"/>
          <w:w w:val="115"/>
        </w:rPr>
        <w:t> </w:t>
      </w:r>
      <w:r>
        <w:rPr>
          <w:w w:val="115"/>
        </w:rPr>
        <w:t>finales</w:t>
      </w:r>
      <w:r>
        <w:rPr>
          <w:spacing w:val="-23"/>
          <w:w w:val="115"/>
        </w:rPr>
        <w:t> </w:t>
      </w:r>
      <w:r>
        <w:rPr>
          <w:w w:val="115"/>
        </w:rPr>
        <w:t>de</w:t>
      </w:r>
      <w:r>
        <w:rPr>
          <w:spacing w:val="-23"/>
          <w:w w:val="115"/>
        </w:rPr>
        <w:t> </w:t>
      </w:r>
      <w:r>
        <w:rPr>
          <w:w w:val="115"/>
        </w:rPr>
        <w:t>los</w:t>
      </w:r>
      <w:r>
        <w:rPr>
          <w:spacing w:val="-23"/>
          <w:w w:val="115"/>
        </w:rPr>
        <w:t> </w:t>
      </w:r>
      <w:r>
        <w:rPr>
          <w:w w:val="115"/>
        </w:rPr>
        <w:t>noventa</w:t>
      </w:r>
      <w:r>
        <w:rPr>
          <w:spacing w:val="-23"/>
          <w:w w:val="115"/>
        </w:rPr>
        <w:t> </w:t>
      </w:r>
      <w:r>
        <w:rPr>
          <w:w w:val="115"/>
        </w:rPr>
        <w:t>se</w:t>
      </w:r>
      <w:r>
        <w:rPr>
          <w:spacing w:val="-23"/>
          <w:w w:val="115"/>
        </w:rPr>
        <w:t> </w:t>
      </w:r>
      <w:r>
        <w:rPr>
          <w:w w:val="115"/>
        </w:rPr>
        <w:t>proclamaría</w:t>
      </w:r>
      <w:r>
        <w:rPr>
          <w:spacing w:val="-23"/>
          <w:w w:val="115"/>
        </w:rPr>
        <w:t> </w:t>
      </w:r>
      <w:r>
        <w:rPr>
          <w:w w:val="115"/>
        </w:rPr>
        <w:t>que</w:t>
      </w:r>
      <w:r>
        <w:rPr>
          <w:spacing w:val="-23"/>
          <w:w w:val="115"/>
        </w:rPr>
        <w:t> </w:t>
      </w:r>
      <w:r>
        <w:rPr>
          <w:w w:val="115"/>
        </w:rPr>
        <w:t>para</w:t>
      </w:r>
      <w:r>
        <w:rPr>
          <w:spacing w:val="-23"/>
          <w:w w:val="115"/>
        </w:rPr>
        <w:t> </w:t>
      </w:r>
      <w:r>
        <w:rPr>
          <w:w w:val="115"/>
        </w:rPr>
        <w:t>EE.uu.</w:t>
      </w:r>
      <w:r>
        <w:rPr>
          <w:spacing w:val="-23"/>
          <w:w w:val="115"/>
        </w:rPr>
        <w:t> </w:t>
      </w:r>
      <w:r>
        <w:rPr>
          <w:w w:val="115"/>
        </w:rPr>
        <w:t>–país de alto nivel salarial– la innovación tecnológica basada en i+d</w:t>
      </w:r>
      <w:r>
        <w:rPr>
          <w:spacing w:val="-27"/>
          <w:w w:val="115"/>
        </w:rPr>
        <w:t> </w:t>
      </w:r>
      <w:r>
        <w:rPr>
          <w:w w:val="115"/>
        </w:rPr>
        <w:t>cons- tituía</w:t>
      </w:r>
      <w:r>
        <w:rPr>
          <w:spacing w:val="-22"/>
          <w:w w:val="115"/>
        </w:rPr>
        <w:t> </w:t>
      </w:r>
      <w:r>
        <w:rPr>
          <w:w w:val="115"/>
        </w:rPr>
        <w:t>la</w:t>
      </w:r>
      <w:r>
        <w:rPr>
          <w:spacing w:val="-22"/>
          <w:w w:val="115"/>
        </w:rPr>
        <w:t> </w:t>
      </w:r>
      <w:r>
        <w:rPr>
          <w:w w:val="115"/>
        </w:rPr>
        <w:t>fuente</w:t>
      </w:r>
      <w:r>
        <w:rPr>
          <w:spacing w:val="-22"/>
          <w:w w:val="115"/>
        </w:rPr>
        <w:t> </w:t>
      </w:r>
      <w:r>
        <w:rPr>
          <w:w w:val="115"/>
        </w:rPr>
        <w:t>fundamental</w:t>
      </w:r>
      <w:r>
        <w:rPr>
          <w:spacing w:val="-22"/>
          <w:w w:val="115"/>
        </w:rPr>
        <w:t> </w:t>
      </w:r>
      <w:r>
        <w:rPr>
          <w:w w:val="115"/>
        </w:rPr>
        <w:t>para</w:t>
      </w:r>
      <w:r>
        <w:rPr>
          <w:spacing w:val="-22"/>
          <w:w w:val="115"/>
        </w:rPr>
        <w:t> </w:t>
      </w:r>
      <w:r>
        <w:rPr>
          <w:w w:val="115"/>
        </w:rPr>
        <w:t>garantizar</w:t>
      </w:r>
      <w:r>
        <w:rPr>
          <w:spacing w:val="-22"/>
          <w:w w:val="115"/>
        </w:rPr>
        <w:t> </w:t>
      </w:r>
      <w:r>
        <w:rPr>
          <w:w w:val="115"/>
        </w:rPr>
        <w:t>su</w:t>
      </w:r>
      <w:r>
        <w:rPr>
          <w:spacing w:val="-22"/>
          <w:w w:val="115"/>
        </w:rPr>
        <w:t> </w:t>
      </w:r>
      <w:r>
        <w:rPr>
          <w:w w:val="115"/>
        </w:rPr>
        <w:t>competitividad</w:t>
      </w:r>
      <w:r>
        <w:rPr>
          <w:spacing w:val="-22"/>
          <w:w w:val="115"/>
        </w:rPr>
        <w:t> </w:t>
      </w:r>
      <w:r>
        <w:rPr>
          <w:w w:val="115"/>
        </w:rPr>
        <w:t>frente a</w:t>
      </w:r>
      <w:r>
        <w:rPr>
          <w:spacing w:val="-23"/>
          <w:w w:val="115"/>
        </w:rPr>
        <w:t> </w:t>
      </w:r>
      <w:r>
        <w:rPr>
          <w:w w:val="115"/>
        </w:rPr>
        <w:t>países</w:t>
      </w:r>
      <w:r>
        <w:rPr>
          <w:spacing w:val="-23"/>
          <w:w w:val="115"/>
        </w:rPr>
        <w:t> </w:t>
      </w:r>
      <w:r>
        <w:rPr>
          <w:w w:val="115"/>
        </w:rPr>
        <w:t>de</w:t>
      </w:r>
      <w:r>
        <w:rPr>
          <w:spacing w:val="-23"/>
          <w:w w:val="115"/>
        </w:rPr>
        <w:t> </w:t>
      </w:r>
      <w:r>
        <w:rPr>
          <w:w w:val="115"/>
        </w:rPr>
        <w:t>inferior</w:t>
      </w:r>
      <w:r>
        <w:rPr>
          <w:spacing w:val="-23"/>
          <w:w w:val="115"/>
        </w:rPr>
        <w:t> </w:t>
      </w:r>
      <w:r>
        <w:rPr>
          <w:w w:val="115"/>
        </w:rPr>
        <w:t>desarrollo</w:t>
      </w:r>
      <w:r>
        <w:rPr>
          <w:spacing w:val="-23"/>
          <w:w w:val="115"/>
        </w:rPr>
        <w:t> </w:t>
      </w:r>
      <w:r>
        <w:rPr>
          <w:w w:val="115"/>
        </w:rPr>
        <w:t>y</w:t>
      </w:r>
      <w:r>
        <w:rPr>
          <w:spacing w:val="-23"/>
          <w:w w:val="115"/>
        </w:rPr>
        <w:t> </w:t>
      </w:r>
      <w:r>
        <w:rPr>
          <w:w w:val="115"/>
        </w:rPr>
        <w:t>niveles</w:t>
      </w:r>
      <w:r>
        <w:rPr>
          <w:spacing w:val="-23"/>
          <w:w w:val="115"/>
        </w:rPr>
        <w:t> </w:t>
      </w:r>
      <w:r>
        <w:rPr>
          <w:w w:val="115"/>
        </w:rPr>
        <w:t>salariales.</w:t>
      </w:r>
      <w:r>
        <w:rPr>
          <w:spacing w:val="-23"/>
          <w:w w:val="115"/>
        </w:rPr>
        <w:t> </w:t>
      </w:r>
      <w:r>
        <w:rPr>
          <w:w w:val="115"/>
        </w:rPr>
        <w:t>aquellas</w:t>
      </w:r>
      <w:r>
        <w:rPr>
          <w:spacing w:val="-23"/>
          <w:w w:val="115"/>
        </w:rPr>
        <w:t> </w:t>
      </w:r>
      <w:r>
        <w:rPr>
          <w:w w:val="115"/>
        </w:rPr>
        <w:t>industrias norteamericanas que realizaran un alto volumen de i+d resultarían más</w:t>
      </w:r>
      <w:r>
        <w:rPr>
          <w:spacing w:val="-6"/>
          <w:w w:val="115"/>
        </w:rPr>
        <w:t> </w:t>
      </w:r>
      <w:r>
        <w:rPr>
          <w:w w:val="115"/>
        </w:rPr>
        <w:t>exitosas</w:t>
      </w:r>
      <w:r>
        <w:rPr>
          <w:spacing w:val="-6"/>
          <w:w w:val="115"/>
        </w:rPr>
        <w:t> </w:t>
      </w:r>
      <w:r>
        <w:rPr>
          <w:w w:val="115"/>
        </w:rPr>
        <w:t>en</w:t>
      </w:r>
      <w:r>
        <w:rPr>
          <w:spacing w:val="-6"/>
          <w:w w:val="115"/>
        </w:rPr>
        <w:t> </w:t>
      </w:r>
      <w:r>
        <w:rPr>
          <w:w w:val="115"/>
        </w:rPr>
        <w:t>el</w:t>
      </w:r>
      <w:r>
        <w:rPr>
          <w:spacing w:val="-6"/>
          <w:w w:val="115"/>
        </w:rPr>
        <w:t> </w:t>
      </w:r>
      <w:r>
        <w:rPr>
          <w:w w:val="115"/>
        </w:rPr>
        <w:t>mercado</w:t>
      </w:r>
      <w:r>
        <w:rPr>
          <w:spacing w:val="-6"/>
          <w:w w:val="115"/>
        </w:rPr>
        <w:t> </w:t>
      </w:r>
      <w:r>
        <w:rPr>
          <w:w w:val="115"/>
        </w:rPr>
        <w:t>exterior</w:t>
      </w:r>
      <w:r>
        <w:rPr>
          <w:spacing w:val="-6"/>
          <w:w w:val="115"/>
        </w:rPr>
        <w:t> </w:t>
      </w:r>
      <w:r>
        <w:rPr>
          <w:w w:val="115"/>
        </w:rPr>
        <w:t>haciéndoseles</w:t>
      </w:r>
      <w:r>
        <w:rPr>
          <w:spacing w:val="-6"/>
          <w:w w:val="115"/>
        </w:rPr>
        <w:t> </w:t>
      </w:r>
      <w:r>
        <w:rPr>
          <w:w w:val="115"/>
        </w:rPr>
        <w:t>más</w:t>
      </w:r>
      <w:r>
        <w:rPr>
          <w:spacing w:val="-6"/>
          <w:w w:val="115"/>
        </w:rPr>
        <w:t> </w:t>
      </w:r>
      <w:r>
        <w:rPr>
          <w:w w:val="115"/>
        </w:rPr>
        <w:t>soportables los</w:t>
      </w:r>
      <w:r>
        <w:rPr>
          <w:spacing w:val="-17"/>
          <w:w w:val="115"/>
        </w:rPr>
        <w:t> </w:t>
      </w:r>
      <w:r>
        <w:rPr>
          <w:w w:val="115"/>
        </w:rPr>
        <w:t>altos</w:t>
      </w:r>
      <w:r>
        <w:rPr>
          <w:spacing w:val="-17"/>
          <w:w w:val="115"/>
        </w:rPr>
        <w:t> </w:t>
      </w:r>
      <w:r>
        <w:rPr>
          <w:w w:val="115"/>
        </w:rPr>
        <w:t>salarios</w:t>
      </w:r>
      <w:r>
        <w:rPr>
          <w:spacing w:val="-17"/>
          <w:w w:val="115"/>
        </w:rPr>
        <w:t> </w:t>
      </w:r>
      <w:r>
        <w:rPr>
          <w:w w:val="115"/>
        </w:rPr>
        <w:t>de</w:t>
      </w:r>
      <w:r>
        <w:rPr>
          <w:spacing w:val="-17"/>
          <w:w w:val="115"/>
        </w:rPr>
        <w:t> </w:t>
      </w:r>
      <w:r>
        <w:rPr>
          <w:w w:val="115"/>
        </w:rPr>
        <w:t>sus</w:t>
      </w:r>
      <w:r>
        <w:rPr>
          <w:spacing w:val="-17"/>
          <w:w w:val="115"/>
        </w:rPr>
        <w:t> </w:t>
      </w:r>
      <w:r>
        <w:rPr>
          <w:w w:val="115"/>
        </w:rPr>
        <w:t>empleados</w:t>
      </w:r>
      <w:r>
        <w:rPr>
          <w:spacing w:val="-17"/>
          <w:w w:val="115"/>
        </w:rPr>
        <w:t> </w:t>
      </w:r>
      <w:r>
        <w:rPr>
          <w:w w:val="115"/>
        </w:rPr>
        <w:t>(Nsb,</w:t>
      </w:r>
      <w:r>
        <w:rPr>
          <w:spacing w:val="-17"/>
          <w:w w:val="115"/>
        </w:rPr>
        <w:t> </w:t>
      </w:r>
      <w:r>
        <w:rPr>
          <w:w w:val="115"/>
        </w:rPr>
        <w:t>2004).</w:t>
      </w:r>
    </w:p>
    <w:p>
      <w:pPr>
        <w:pStyle w:val="BodyText"/>
        <w:spacing w:line="252" w:lineRule="auto"/>
        <w:ind w:left="330" w:right="117" w:firstLine="396"/>
        <w:jc w:val="both"/>
      </w:pPr>
      <w:r>
        <w:rPr>
          <w:w w:val="110"/>
        </w:rPr>
        <w:t>No obstante, ya en el siglo </w:t>
      </w:r>
      <w:r>
        <w:rPr>
          <w:w w:val="130"/>
        </w:rPr>
        <w:t>xxi </w:t>
      </w:r>
      <w:r>
        <w:rPr>
          <w:w w:val="110"/>
        </w:rPr>
        <w:t>este mismo factor se evidenciaría como una limitante crítica: la inversión pretérita en progreso cien- tífico-técnico e innovación y en los </w:t>
      </w:r>
      <w:r>
        <w:rPr>
          <w:i/>
          <w:w w:val="110"/>
        </w:rPr>
        <w:t>cuellos blancos </w:t>
      </w:r>
      <w:r>
        <w:rPr>
          <w:w w:val="110"/>
        </w:rPr>
        <w:t>se tornaría cada  vez más onerosa en comparación con los desplazados </w:t>
      </w:r>
      <w:r>
        <w:rPr>
          <w:i/>
          <w:w w:val="110"/>
        </w:rPr>
        <w:t>cuellos azules</w:t>
      </w:r>
      <w:r>
        <w:rPr>
          <w:w w:val="110"/>
        </w:rPr>
        <w:t>, emergiendo así la llamada </w:t>
      </w:r>
      <w:r>
        <w:rPr>
          <w:i/>
          <w:w w:val="110"/>
        </w:rPr>
        <w:t>paradoja de la productividad perdida. </w:t>
      </w:r>
      <w:r>
        <w:rPr>
          <w:w w:val="110"/>
        </w:rPr>
        <w:t>¡He allí dónde el ciclo reproductivo capitalista se toparía con los límites esenciales de su</w:t>
      </w:r>
      <w:r>
        <w:rPr>
          <w:spacing w:val="23"/>
          <w:w w:val="110"/>
        </w:rPr>
        <w:t> </w:t>
      </w:r>
      <w:r>
        <w:rPr>
          <w:w w:val="110"/>
        </w:rPr>
        <w:t>racionalidad!</w:t>
      </w:r>
    </w:p>
    <w:p>
      <w:pPr>
        <w:pStyle w:val="BodyText"/>
        <w:spacing w:line="252" w:lineRule="auto"/>
        <w:ind w:left="330" w:right="117" w:firstLine="396"/>
        <w:jc w:val="both"/>
      </w:pPr>
      <w:r>
        <w:rPr>
          <w:w w:val="115"/>
        </w:rPr>
        <w:t>EE.uu. (con sus CtN) mantendría la más integral y balancea-   da de las estructuras y el más alto nivel de desarrollo en las nuevas ramas</w:t>
      </w:r>
      <w:r>
        <w:rPr>
          <w:spacing w:val="-16"/>
          <w:w w:val="115"/>
        </w:rPr>
        <w:t> </w:t>
      </w:r>
      <w:r>
        <w:rPr>
          <w:w w:val="115"/>
        </w:rPr>
        <w:t>y</w:t>
      </w:r>
      <w:r>
        <w:rPr>
          <w:spacing w:val="-16"/>
          <w:w w:val="115"/>
        </w:rPr>
        <w:t> </w:t>
      </w:r>
      <w:r>
        <w:rPr>
          <w:w w:val="115"/>
        </w:rPr>
        <w:t>servicios,</w:t>
      </w:r>
      <w:r>
        <w:rPr>
          <w:spacing w:val="-16"/>
          <w:w w:val="115"/>
        </w:rPr>
        <w:t> </w:t>
      </w:r>
      <w:r>
        <w:rPr>
          <w:w w:val="115"/>
        </w:rPr>
        <w:t>con</w:t>
      </w:r>
      <w:r>
        <w:rPr>
          <w:spacing w:val="-16"/>
          <w:w w:val="115"/>
        </w:rPr>
        <w:t> </w:t>
      </w:r>
      <w:r>
        <w:rPr>
          <w:w w:val="115"/>
        </w:rPr>
        <w:t>poderosos</w:t>
      </w:r>
      <w:r>
        <w:rPr>
          <w:spacing w:val="-16"/>
          <w:w w:val="115"/>
        </w:rPr>
        <w:t> </w:t>
      </w:r>
      <w:r>
        <w:rPr>
          <w:w w:val="115"/>
        </w:rPr>
        <w:t>tentáculos</w:t>
      </w:r>
      <w:r>
        <w:rPr>
          <w:spacing w:val="-16"/>
          <w:w w:val="115"/>
        </w:rPr>
        <w:t> </w:t>
      </w:r>
      <w:r>
        <w:rPr>
          <w:w w:val="115"/>
        </w:rPr>
        <w:t>transnacionalizados.</w:t>
      </w:r>
      <w:r>
        <w:rPr>
          <w:spacing w:val="-16"/>
          <w:w w:val="115"/>
        </w:rPr>
        <w:t> </w:t>
      </w:r>
      <w:r>
        <w:rPr>
          <w:w w:val="115"/>
        </w:rPr>
        <w:t>En contraposición,</w:t>
      </w:r>
      <w:r>
        <w:rPr>
          <w:spacing w:val="-13"/>
          <w:w w:val="115"/>
        </w:rPr>
        <w:t> </w:t>
      </w:r>
      <w:r>
        <w:rPr>
          <w:w w:val="115"/>
        </w:rPr>
        <w:t>dejaría</w:t>
      </w:r>
      <w:r>
        <w:rPr>
          <w:spacing w:val="-13"/>
          <w:w w:val="115"/>
        </w:rPr>
        <w:t> </w:t>
      </w:r>
      <w:r>
        <w:rPr>
          <w:w w:val="115"/>
        </w:rPr>
        <w:t>de</w:t>
      </w:r>
      <w:r>
        <w:rPr>
          <w:spacing w:val="-13"/>
          <w:w w:val="115"/>
        </w:rPr>
        <w:t> </w:t>
      </w:r>
      <w:r>
        <w:rPr>
          <w:w w:val="115"/>
        </w:rPr>
        <w:t>poseer</w:t>
      </w:r>
      <w:r>
        <w:rPr>
          <w:spacing w:val="-13"/>
          <w:w w:val="115"/>
        </w:rPr>
        <w:t> </w:t>
      </w:r>
      <w:r>
        <w:rPr>
          <w:w w:val="115"/>
        </w:rPr>
        <w:t>la</w:t>
      </w:r>
      <w:r>
        <w:rPr>
          <w:spacing w:val="-13"/>
          <w:w w:val="115"/>
        </w:rPr>
        <w:t> </w:t>
      </w:r>
      <w:r>
        <w:rPr>
          <w:w w:val="115"/>
        </w:rPr>
        <w:t>supremacía</w:t>
      </w:r>
      <w:r>
        <w:rPr>
          <w:spacing w:val="-13"/>
          <w:w w:val="115"/>
        </w:rPr>
        <w:t> </w:t>
      </w:r>
      <w:r>
        <w:rPr>
          <w:w w:val="115"/>
        </w:rPr>
        <w:t>en</w:t>
      </w:r>
      <w:r>
        <w:rPr>
          <w:spacing w:val="-13"/>
          <w:w w:val="115"/>
        </w:rPr>
        <w:t> </w:t>
      </w:r>
      <w:r>
        <w:rPr>
          <w:w w:val="115"/>
        </w:rPr>
        <w:t>el</w:t>
      </w:r>
      <w:r>
        <w:rPr>
          <w:spacing w:val="-13"/>
          <w:w w:val="115"/>
        </w:rPr>
        <w:t> </w:t>
      </w:r>
      <w:r>
        <w:rPr>
          <w:w w:val="115"/>
        </w:rPr>
        <w:t>mercado</w:t>
      </w:r>
      <w:r>
        <w:rPr>
          <w:spacing w:val="-13"/>
          <w:w w:val="115"/>
        </w:rPr>
        <w:t> </w:t>
      </w:r>
      <w:r>
        <w:rPr>
          <w:w w:val="115"/>
        </w:rPr>
        <w:t>mun- dial </w:t>
      </w:r>
      <w:r>
        <w:rPr>
          <w:spacing w:val="-3"/>
          <w:w w:val="130"/>
        </w:rPr>
        <w:t>altEC, </w:t>
      </w:r>
      <w:r>
        <w:rPr>
          <w:w w:val="115"/>
        </w:rPr>
        <w:t>al ceder importantes posiciones de su estructura ramal integral y dejarse penetrar por empresas de la uE, Japón y los NiCs en</w:t>
      </w:r>
      <w:r>
        <w:rPr>
          <w:spacing w:val="-11"/>
          <w:w w:val="115"/>
        </w:rPr>
        <w:t> </w:t>
      </w:r>
      <w:r>
        <w:rPr>
          <w:w w:val="115"/>
        </w:rPr>
        <w:t>su</w:t>
      </w:r>
      <w:r>
        <w:rPr>
          <w:spacing w:val="-11"/>
          <w:w w:val="115"/>
        </w:rPr>
        <w:t> </w:t>
      </w:r>
      <w:r>
        <w:rPr>
          <w:w w:val="115"/>
        </w:rPr>
        <w:t>producción</w:t>
      </w:r>
      <w:r>
        <w:rPr>
          <w:spacing w:val="-11"/>
          <w:w w:val="115"/>
        </w:rPr>
        <w:t> </w:t>
      </w:r>
      <w:r>
        <w:rPr>
          <w:w w:val="115"/>
        </w:rPr>
        <w:t>y</w:t>
      </w:r>
      <w:r>
        <w:rPr>
          <w:spacing w:val="-11"/>
          <w:w w:val="115"/>
        </w:rPr>
        <w:t> </w:t>
      </w:r>
      <w:r>
        <w:rPr>
          <w:w w:val="115"/>
        </w:rPr>
        <w:t>mercado</w:t>
      </w:r>
      <w:r>
        <w:rPr>
          <w:spacing w:val="-11"/>
          <w:w w:val="115"/>
        </w:rPr>
        <w:t> </w:t>
      </w:r>
      <w:r>
        <w:rPr>
          <w:w w:val="115"/>
        </w:rPr>
        <w:t>interno</w:t>
      </w:r>
      <w:r>
        <w:rPr>
          <w:spacing w:val="-11"/>
          <w:w w:val="115"/>
        </w:rPr>
        <w:t> </w:t>
      </w:r>
      <w:r>
        <w:rPr>
          <w:w w:val="115"/>
        </w:rPr>
        <w:t>y</w:t>
      </w:r>
      <w:r>
        <w:rPr>
          <w:spacing w:val="-11"/>
          <w:w w:val="115"/>
        </w:rPr>
        <w:t> </w:t>
      </w:r>
      <w:r>
        <w:rPr>
          <w:w w:val="115"/>
        </w:rPr>
        <w:t>transnacionalizado.</w:t>
      </w:r>
      <w:r>
        <w:rPr>
          <w:spacing w:val="-11"/>
          <w:w w:val="115"/>
        </w:rPr>
        <w:t> </w:t>
      </w:r>
      <w:r>
        <w:rPr>
          <w:w w:val="115"/>
        </w:rPr>
        <w:t>si</w:t>
      </w:r>
      <w:r>
        <w:rPr>
          <w:spacing w:val="-11"/>
          <w:w w:val="115"/>
        </w:rPr>
        <w:t> </w:t>
      </w:r>
      <w:r>
        <w:rPr>
          <w:w w:val="115"/>
        </w:rPr>
        <w:t>bien</w:t>
      </w:r>
      <w:r>
        <w:rPr>
          <w:spacing w:val="-11"/>
          <w:w w:val="115"/>
        </w:rPr>
        <w:t> </w:t>
      </w:r>
      <w:r>
        <w:rPr>
          <w:w w:val="115"/>
        </w:rPr>
        <w:t>en términos</w:t>
      </w:r>
      <w:r>
        <w:rPr>
          <w:spacing w:val="-13"/>
          <w:w w:val="115"/>
        </w:rPr>
        <w:t> </w:t>
      </w:r>
      <w:r>
        <w:rPr>
          <w:w w:val="115"/>
        </w:rPr>
        <w:t>absolutos</w:t>
      </w:r>
      <w:r>
        <w:rPr>
          <w:spacing w:val="-13"/>
          <w:w w:val="115"/>
        </w:rPr>
        <w:t> </w:t>
      </w:r>
      <w:r>
        <w:rPr>
          <w:w w:val="115"/>
        </w:rPr>
        <w:t>conservaría</w:t>
      </w:r>
      <w:r>
        <w:rPr>
          <w:spacing w:val="-13"/>
          <w:w w:val="115"/>
        </w:rPr>
        <w:t> </w:t>
      </w:r>
      <w:r>
        <w:rPr>
          <w:w w:val="115"/>
        </w:rPr>
        <w:t>casi</w:t>
      </w:r>
      <w:r>
        <w:rPr>
          <w:spacing w:val="-13"/>
          <w:w w:val="115"/>
        </w:rPr>
        <w:t> </w:t>
      </w:r>
      <w:r>
        <w:rPr>
          <w:w w:val="115"/>
        </w:rPr>
        <w:t>siempre</w:t>
      </w:r>
      <w:r>
        <w:rPr>
          <w:spacing w:val="-13"/>
          <w:w w:val="115"/>
        </w:rPr>
        <w:t> </w:t>
      </w:r>
      <w:r>
        <w:rPr>
          <w:w w:val="115"/>
        </w:rPr>
        <w:t>la</w:t>
      </w:r>
      <w:r>
        <w:rPr>
          <w:spacing w:val="-13"/>
          <w:w w:val="115"/>
        </w:rPr>
        <w:t> </w:t>
      </w:r>
      <w:r>
        <w:rPr>
          <w:w w:val="115"/>
        </w:rPr>
        <w:t>primera</w:t>
      </w:r>
      <w:r>
        <w:rPr>
          <w:spacing w:val="-13"/>
          <w:w w:val="115"/>
        </w:rPr>
        <w:t> </w:t>
      </w:r>
      <w:r>
        <w:rPr>
          <w:w w:val="115"/>
        </w:rPr>
        <w:t>posición,</w:t>
      </w:r>
      <w:r>
        <w:rPr>
          <w:spacing w:val="-13"/>
          <w:w w:val="115"/>
        </w:rPr>
        <w:t> </w:t>
      </w:r>
      <w:r>
        <w:rPr>
          <w:w w:val="115"/>
        </w:rPr>
        <w:t>no obstante</w:t>
      </w:r>
      <w:r>
        <w:rPr>
          <w:spacing w:val="-23"/>
          <w:w w:val="115"/>
        </w:rPr>
        <w:t> </w:t>
      </w:r>
      <w:r>
        <w:rPr>
          <w:w w:val="115"/>
        </w:rPr>
        <w:t>en</w:t>
      </w:r>
      <w:r>
        <w:rPr>
          <w:spacing w:val="-23"/>
          <w:w w:val="115"/>
        </w:rPr>
        <w:t> </w:t>
      </w:r>
      <w:r>
        <w:rPr>
          <w:w w:val="115"/>
        </w:rPr>
        <w:t>los</w:t>
      </w:r>
      <w:r>
        <w:rPr>
          <w:spacing w:val="-23"/>
          <w:w w:val="115"/>
        </w:rPr>
        <w:t> </w:t>
      </w:r>
      <w:r>
        <w:rPr>
          <w:w w:val="115"/>
        </w:rPr>
        <w:t>indicadores</w:t>
      </w:r>
      <w:r>
        <w:rPr>
          <w:spacing w:val="-23"/>
          <w:w w:val="115"/>
        </w:rPr>
        <w:t> </w:t>
      </w:r>
      <w:r>
        <w:rPr>
          <w:w w:val="115"/>
        </w:rPr>
        <w:t>relativos</w:t>
      </w:r>
      <w:r>
        <w:rPr>
          <w:spacing w:val="-23"/>
          <w:w w:val="115"/>
        </w:rPr>
        <w:t> </w:t>
      </w:r>
      <w:r>
        <w:rPr>
          <w:w w:val="115"/>
        </w:rPr>
        <w:t>o</w:t>
      </w:r>
      <w:r>
        <w:rPr>
          <w:spacing w:val="-23"/>
          <w:w w:val="115"/>
        </w:rPr>
        <w:t> </w:t>
      </w:r>
      <w:r>
        <w:rPr>
          <w:w w:val="115"/>
        </w:rPr>
        <w:t>de</w:t>
      </w:r>
      <w:r>
        <w:rPr>
          <w:spacing w:val="-23"/>
          <w:w w:val="115"/>
        </w:rPr>
        <w:t> </w:t>
      </w:r>
      <w:r>
        <w:rPr>
          <w:w w:val="115"/>
        </w:rPr>
        <w:t>intensidad</w:t>
      </w:r>
      <w:r>
        <w:rPr>
          <w:spacing w:val="-23"/>
          <w:w w:val="115"/>
        </w:rPr>
        <w:t> </w:t>
      </w:r>
      <w:r>
        <w:rPr>
          <w:w w:val="115"/>
        </w:rPr>
        <w:t>pasaría</w:t>
      </w:r>
      <w:r>
        <w:rPr>
          <w:spacing w:val="-23"/>
          <w:w w:val="115"/>
        </w:rPr>
        <w:t> </w:t>
      </w:r>
      <w:r>
        <w:rPr>
          <w:w w:val="115"/>
        </w:rPr>
        <w:t>a</w:t>
      </w:r>
      <w:r>
        <w:rPr>
          <w:spacing w:val="-23"/>
          <w:w w:val="115"/>
        </w:rPr>
        <w:t> </w:t>
      </w:r>
      <w:r>
        <w:rPr>
          <w:w w:val="115"/>
        </w:rPr>
        <w:t>un</w:t>
      </w:r>
      <w:r>
        <w:rPr>
          <w:spacing w:val="-23"/>
          <w:w w:val="115"/>
        </w:rPr>
        <w:t> </w:t>
      </w:r>
      <w:r>
        <w:rPr>
          <w:w w:val="115"/>
        </w:rPr>
        <w:t>pla- </w:t>
      </w:r>
      <w:r>
        <w:rPr>
          <w:w w:val="110"/>
        </w:rPr>
        <w:t>no</w:t>
      </w:r>
      <w:r>
        <w:rPr>
          <w:spacing w:val="15"/>
          <w:w w:val="110"/>
        </w:rPr>
        <w:t> </w:t>
      </w:r>
      <w:r>
        <w:rPr>
          <w:w w:val="110"/>
        </w:rPr>
        <w:t>subalterno.</w:t>
      </w:r>
    </w:p>
    <w:p>
      <w:pPr>
        <w:spacing w:after="0" w:line="252" w:lineRule="auto"/>
        <w:jc w:val="both"/>
        <w:sectPr>
          <w:footerReference w:type="default" r:id="rId243"/>
          <w:footerReference w:type="even" r:id="rId244"/>
          <w:pgSz w:w="8790" w:h="12760"/>
          <w:pgMar w:footer="725" w:header="695" w:top="880" w:bottom="920" w:left="1200" w:right="900"/>
        </w:sectPr>
      </w:pPr>
    </w:p>
    <w:p>
      <w:pPr>
        <w:pStyle w:val="BodyText"/>
        <w:spacing w:before="9"/>
        <w:rPr>
          <w:sz w:val="28"/>
        </w:rPr>
      </w:pPr>
    </w:p>
    <w:p>
      <w:pPr>
        <w:pStyle w:val="BodyText"/>
        <w:spacing w:line="252" w:lineRule="auto" w:before="73"/>
        <w:ind w:left="100" w:right="328" w:firstLine="396"/>
        <w:jc w:val="both"/>
      </w:pPr>
      <w:r>
        <w:rPr>
          <w:w w:val="110"/>
        </w:rPr>
        <w:t>Por primera vez en la historia aparecen síntomas que apunta- rían al desgaste extra-coyuntural del modelo, entre otros: la signifi- cativa reducción en la tradicionalmente alta y prestigiosa cuota de exportación mundial en segmentos ramales de productos </w:t>
      </w:r>
      <w:r>
        <w:rPr>
          <w:spacing w:val="-3"/>
          <w:w w:val="125"/>
        </w:rPr>
        <w:t>altEC; </w:t>
      </w:r>
      <w:r>
        <w:rPr>
          <w:w w:val="110"/>
        </w:rPr>
        <w:t>el prolongado y creciente déficit en el balance exportación/importación de crecientes segmentos y –a partir de </w:t>
      </w:r>
      <w:r>
        <w:rPr>
          <w:i/>
          <w:w w:val="110"/>
        </w:rPr>
        <w:t>las gemelas</w:t>
      </w:r>
      <w:r>
        <w:rPr>
          <w:w w:val="110"/>
        </w:rPr>
        <w:t>– de todo el sector </w:t>
      </w:r>
      <w:r>
        <w:rPr>
          <w:spacing w:val="-3"/>
          <w:w w:val="125"/>
        </w:rPr>
        <w:t>altEC; </w:t>
      </w:r>
      <w:r>
        <w:rPr>
          <w:w w:val="110"/>
        </w:rPr>
        <w:t>el balance negativo en las  inversiones  recíprocas  de  capital de i+d –antaño campo exclusivo de expansión norteamericana– para fungir ahora como el mayor exportador a la vez que el mayor recep- tor de capitales foráneos; la notable reducción del balance positivo anual por la transferencia de tecnología en la esfera material, si bien manteniéndose primero en el </w:t>
      </w:r>
      <w:r>
        <w:rPr>
          <w:i/>
          <w:w w:val="110"/>
        </w:rPr>
        <w:t>ranking</w:t>
      </w:r>
      <w:r>
        <w:rPr>
          <w:w w:val="110"/>
        </w:rPr>
        <w:t>, gracias al auge de los</w:t>
      </w:r>
      <w:r>
        <w:rPr>
          <w:spacing w:val="-31"/>
          <w:w w:val="110"/>
        </w:rPr>
        <w:t> </w:t>
      </w:r>
      <w:r>
        <w:rPr>
          <w:i/>
          <w:w w:val="110"/>
        </w:rPr>
        <w:t>novedosos </w:t>
      </w:r>
      <w:r>
        <w:rPr>
          <w:i/>
          <w:w w:val="110"/>
        </w:rPr>
        <w:t>servicios</w:t>
      </w:r>
      <w:r>
        <w:rPr>
          <w:i/>
          <w:spacing w:val="25"/>
          <w:w w:val="110"/>
        </w:rPr>
        <w:t> </w:t>
      </w:r>
      <w:r>
        <w:rPr>
          <w:i/>
          <w:w w:val="110"/>
        </w:rPr>
        <w:t>tecnológicos</w:t>
      </w:r>
      <w:r>
        <w:rPr>
          <w:w w:val="110"/>
        </w:rPr>
        <w:t>.</w:t>
      </w:r>
    </w:p>
    <w:p>
      <w:pPr>
        <w:pStyle w:val="BodyText"/>
        <w:spacing w:line="252" w:lineRule="auto"/>
        <w:ind w:left="100" w:right="328" w:firstLine="396"/>
        <w:jc w:val="both"/>
      </w:pPr>
      <w:r>
        <w:rPr>
          <w:w w:val="110"/>
        </w:rPr>
        <w:t>inquiriendo sobre tal inaudita fenomenología, algunos –evidente- </w:t>
      </w:r>
      <w:r>
        <w:rPr>
          <w:w w:val="115"/>
        </w:rPr>
        <w:t>mente</w:t>
      </w:r>
      <w:r>
        <w:rPr>
          <w:spacing w:val="-21"/>
          <w:w w:val="115"/>
        </w:rPr>
        <w:t> </w:t>
      </w:r>
      <w:r>
        <w:rPr>
          <w:w w:val="115"/>
        </w:rPr>
        <w:t>bajo</w:t>
      </w:r>
      <w:r>
        <w:rPr>
          <w:spacing w:val="-21"/>
          <w:w w:val="115"/>
        </w:rPr>
        <w:t> </w:t>
      </w:r>
      <w:r>
        <w:rPr>
          <w:w w:val="115"/>
        </w:rPr>
        <w:t>la</w:t>
      </w:r>
      <w:r>
        <w:rPr>
          <w:spacing w:val="-21"/>
          <w:w w:val="115"/>
        </w:rPr>
        <w:t> </w:t>
      </w:r>
      <w:r>
        <w:rPr>
          <w:w w:val="115"/>
        </w:rPr>
        <w:t>influencia</w:t>
      </w:r>
      <w:r>
        <w:rPr>
          <w:spacing w:val="-21"/>
          <w:w w:val="115"/>
        </w:rPr>
        <w:t> </w:t>
      </w:r>
      <w:r>
        <w:rPr>
          <w:w w:val="115"/>
        </w:rPr>
        <w:t>del</w:t>
      </w:r>
      <w:r>
        <w:rPr>
          <w:spacing w:val="-21"/>
          <w:w w:val="115"/>
        </w:rPr>
        <w:t> </w:t>
      </w:r>
      <w:r>
        <w:rPr>
          <w:w w:val="115"/>
        </w:rPr>
        <w:t>pensamiento</w:t>
      </w:r>
      <w:r>
        <w:rPr>
          <w:spacing w:val="-21"/>
          <w:w w:val="115"/>
        </w:rPr>
        <w:t> </w:t>
      </w:r>
      <w:r>
        <w:rPr>
          <w:w w:val="115"/>
        </w:rPr>
        <w:t>único–</w:t>
      </w:r>
      <w:r>
        <w:rPr>
          <w:spacing w:val="-21"/>
          <w:w w:val="115"/>
        </w:rPr>
        <w:t> </w:t>
      </w:r>
      <w:r>
        <w:rPr>
          <w:w w:val="115"/>
        </w:rPr>
        <w:t>alegarían</w:t>
      </w:r>
      <w:r>
        <w:rPr>
          <w:spacing w:val="-21"/>
          <w:w w:val="115"/>
        </w:rPr>
        <w:t> </w:t>
      </w:r>
      <w:r>
        <w:rPr>
          <w:w w:val="115"/>
        </w:rPr>
        <w:t>que</w:t>
      </w:r>
      <w:r>
        <w:rPr>
          <w:spacing w:val="-21"/>
          <w:w w:val="115"/>
        </w:rPr>
        <w:t> </w:t>
      </w:r>
      <w:r>
        <w:rPr>
          <w:w w:val="115"/>
        </w:rPr>
        <w:t>se</w:t>
      </w:r>
      <w:r>
        <w:rPr>
          <w:spacing w:val="-21"/>
          <w:w w:val="115"/>
        </w:rPr>
        <w:t> </w:t>
      </w:r>
      <w:r>
        <w:rPr>
          <w:w w:val="115"/>
        </w:rPr>
        <w:t>tra- taría</w:t>
      </w:r>
      <w:r>
        <w:rPr>
          <w:spacing w:val="-14"/>
          <w:w w:val="115"/>
        </w:rPr>
        <w:t> </w:t>
      </w:r>
      <w:r>
        <w:rPr>
          <w:w w:val="115"/>
        </w:rPr>
        <w:t>de</w:t>
      </w:r>
      <w:r>
        <w:rPr>
          <w:spacing w:val="-14"/>
          <w:w w:val="115"/>
        </w:rPr>
        <w:t> </w:t>
      </w:r>
      <w:r>
        <w:rPr>
          <w:w w:val="115"/>
        </w:rPr>
        <w:t>una</w:t>
      </w:r>
      <w:r>
        <w:rPr>
          <w:spacing w:val="-14"/>
          <w:w w:val="115"/>
        </w:rPr>
        <w:t> </w:t>
      </w:r>
      <w:r>
        <w:rPr>
          <w:w w:val="115"/>
        </w:rPr>
        <w:t>simple</w:t>
      </w:r>
      <w:r>
        <w:rPr>
          <w:spacing w:val="-14"/>
          <w:w w:val="115"/>
        </w:rPr>
        <w:t> </w:t>
      </w:r>
      <w:r>
        <w:rPr>
          <w:w w:val="115"/>
        </w:rPr>
        <w:t>manifestación</w:t>
      </w:r>
      <w:r>
        <w:rPr>
          <w:spacing w:val="-14"/>
          <w:w w:val="115"/>
        </w:rPr>
        <w:t> </w:t>
      </w:r>
      <w:r>
        <w:rPr>
          <w:w w:val="115"/>
        </w:rPr>
        <w:t>coyuntural,</w:t>
      </w:r>
      <w:r>
        <w:rPr>
          <w:spacing w:val="-14"/>
          <w:w w:val="115"/>
        </w:rPr>
        <w:t> </w:t>
      </w:r>
      <w:r>
        <w:rPr>
          <w:w w:val="115"/>
        </w:rPr>
        <w:t>cuya</w:t>
      </w:r>
      <w:r>
        <w:rPr>
          <w:spacing w:val="-14"/>
          <w:w w:val="115"/>
        </w:rPr>
        <w:t> </w:t>
      </w:r>
      <w:r>
        <w:rPr>
          <w:w w:val="115"/>
        </w:rPr>
        <w:t>evolución</w:t>
      </w:r>
      <w:r>
        <w:rPr>
          <w:spacing w:val="-14"/>
          <w:w w:val="115"/>
        </w:rPr>
        <w:t> </w:t>
      </w:r>
      <w:r>
        <w:rPr>
          <w:w w:val="115"/>
        </w:rPr>
        <w:t>habría que</w:t>
      </w:r>
      <w:r>
        <w:rPr>
          <w:spacing w:val="-15"/>
          <w:w w:val="115"/>
        </w:rPr>
        <w:t> </w:t>
      </w:r>
      <w:r>
        <w:rPr>
          <w:w w:val="115"/>
        </w:rPr>
        <w:t>dilucidar</w:t>
      </w:r>
      <w:r>
        <w:rPr>
          <w:spacing w:val="-15"/>
          <w:w w:val="115"/>
        </w:rPr>
        <w:t> </w:t>
      </w:r>
      <w:r>
        <w:rPr>
          <w:w w:val="115"/>
        </w:rPr>
        <w:t>con</w:t>
      </w:r>
      <w:r>
        <w:rPr>
          <w:spacing w:val="-15"/>
          <w:w w:val="115"/>
        </w:rPr>
        <w:t> </w:t>
      </w:r>
      <w:r>
        <w:rPr>
          <w:w w:val="115"/>
        </w:rPr>
        <w:t>sentido</w:t>
      </w:r>
      <w:r>
        <w:rPr>
          <w:spacing w:val="-15"/>
          <w:w w:val="115"/>
        </w:rPr>
        <w:t> </w:t>
      </w:r>
      <w:r>
        <w:rPr>
          <w:w w:val="115"/>
        </w:rPr>
        <w:t>pro-</w:t>
      </w:r>
      <w:r>
        <w:rPr>
          <w:spacing w:val="-15"/>
          <w:w w:val="115"/>
        </w:rPr>
        <w:t> </w:t>
      </w:r>
      <w:r>
        <w:rPr>
          <w:w w:val="115"/>
        </w:rPr>
        <w:t>o</w:t>
      </w:r>
      <w:r>
        <w:rPr>
          <w:spacing w:val="-15"/>
          <w:w w:val="115"/>
        </w:rPr>
        <w:t> </w:t>
      </w:r>
      <w:r>
        <w:rPr>
          <w:w w:val="115"/>
        </w:rPr>
        <w:t>contra-cíclico</w:t>
      </w:r>
      <w:r>
        <w:rPr>
          <w:spacing w:val="-15"/>
          <w:w w:val="115"/>
        </w:rPr>
        <w:t> </w:t>
      </w:r>
      <w:r>
        <w:rPr>
          <w:w w:val="115"/>
        </w:rPr>
        <w:t>relativo</w:t>
      </w:r>
      <w:r>
        <w:rPr>
          <w:spacing w:val="-15"/>
          <w:w w:val="115"/>
        </w:rPr>
        <w:t> </w:t>
      </w:r>
      <w:r>
        <w:rPr>
          <w:w w:val="115"/>
        </w:rPr>
        <w:t>a</w:t>
      </w:r>
      <w:r>
        <w:rPr>
          <w:spacing w:val="-15"/>
          <w:w w:val="115"/>
        </w:rPr>
        <w:t> </w:t>
      </w:r>
      <w:r>
        <w:rPr>
          <w:w w:val="115"/>
        </w:rPr>
        <w:t>la</w:t>
      </w:r>
      <w:r>
        <w:rPr>
          <w:spacing w:val="-15"/>
          <w:w w:val="115"/>
        </w:rPr>
        <w:t> </w:t>
      </w:r>
      <w:r>
        <w:rPr>
          <w:w w:val="115"/>
        </w:rPr>
        <w:t>economía mundial.</w:t>
      </w:r>
      <w:r>
        <w:rPr>
          <w:spacing w:val="-11"/>
          <w:w w:val="115"/>
        </w:rPr>
        <w:t> </w:t>
      </w:r>
      <w:r>
        <w:rPr>
          <w:w w:val="115"/>
        </w:rPr>
        <w:t>otros,</w:t>
      </w:r>
      <w:r>
        <w:rPr>
          <w:spacing w:val="-11"/>
          <w:w w:val="115"/>
        </w:rPr>
        <w:t> </w:t>
      </w:r>
      <w:r>
        <w:rPr>
          <w:w w:val="115"/>
        </w:rPr>
        <w:t>más</w:t>
      </w:r>
      <w:r>
        <w:rPr>
          <w:spacing w:val="-11"/>
          <w:w w:val="115"/>
        </w:rPr>
        <w:t> </w:t>
      </w:r>
      <w:r>
        <w:rPr>
          <w:w w:val="115"/>
        </w:rPr>
        <w:t>proclives</w:t>
      </w:r>
      <w:r>
        <w:rPr>
          <w:spacing w:val="-11"/>
          <w:w w:val="115"/>
        </w:rPr>
        <w:t> </w:t>
      </w:r>
      <w:r>
        <w:rPr>
          <w:w w:val="115"/>
        </w:rPr>
        <w:t>al</w:t>
      </w:r>
      <w:r>
        <w:rPr>
          <w:spacing w:val="-11"/>
          <w:w w:val="115"/>
        </w:rPr>
        <w:t> </w:t>
      </w:r>
      <w:r>
        <w:rPr>
          <w:w w:val="115"/>
        </w:rPr>
        <w:t>advenimiento</w:t>
      </w:r>
      <w:r>
        <w:rPr>
          <w:spacing w:val="-11"/>
          <w:w w:val="115"/>
        </w:rPr>
        <w:t> </w:t>
      </w:r>
      <w:r>
        <w:rPr>
          <w:w w:val="115"/>
        </w:rPr>
        <w:t>de</w:t>
      </w:r>
      <w:r>
        <w:rPr>
          <w:spacing w:val="-11"/>
          <w:w w:val="115"/>
        </w:rPr>
        <w:t> </w:t>
      </w:r>
      <w:r>
        <w:rPr>
          <w:w w:val="115"/>
        </w:rPr>
        <w:t>una</w:t>
      </w:r>
      <w:r>
        <w:rPr>
          <w:spacing w:val="-11"/>
          <w:w w:val="115"/>
        </w:rPr>
        <w:t> </w:t>
      </w:r>
      <w:r>
        <w:rPr>
          <w:w w:val="115"/>
        </w:rPr>
        <w:t>época</w:t>
      </w:r>
      <w:r>
        <w:rPr>
          <w:spacing w:val="-11"/>
          <w:w w:val="115"/>
        </w:rPr>
        <w:t> </w:t>
      </w:r>
      <w:r>
        <w:rPr>
          <w:w w:val="115"/>
        </w:rPr>
        <w:t>de</w:t>
      </w:r>
      <w:r>
        <w:rPr>
          <w:spacing w:val="-11"/>
          <w:w w:val="115"/>
        </w:rPr>
        <w:t> </w:t>
      </w:r>
      <w:r>
        <w:rPr>
          <w:w w:val="115"/>
        </w:rPr>
        <w:t>cam- bios</w:t>
      </w:r>
      <w:r>
        <w:rPr>
          <w:spacing w:val="-17"/>
          <w:w w:val="115"/>
        </w:rPr>
        <w:t> </w:t>
      </w:r>
      <w:r>
        <w:rPr>
          <w:w w:val="115"/>
        </w:rPr>
        <w:t>y/o</w:t>
      </w:r>
      <w:r>
        <w:rPr>
          <w:spacing w:val="-17"/>
          <w:w w:val="115"/>
        </w:rPr>
        <w:t> </w:t>
      </w:r>
      <w:r>
        <w:rPr>
          <w:w w:val="115"/>
        </w:rPr>
        <w:t>cambio</w:t>
      </w:r>
      <w:r>
        <w:rPr>
          <w:spacing w:val="-17"/>
          <w:w w:val="115"/>
        </w:rPr>
        <w:t> </w:t>
      </w:r>
      <w:r>
        <w:rPr>
          <w:w w:val="115"/>
        </w:rPr>
        <w:t>de</w:t>
      </w:r>
      <w:r>
        <w:rPr>
          <w:spacing w:val="-17"/>
          <w:w w:val="115"/>
        </w:rPr>
        <w:t> </w:t>
      </w:r>
      <w:r>
        <w:rPr>
          <w:w w:val="115"/>
        </w:rPr>
        <w:t>épocas</w:t>
      </w:r>
      <w:r>
        <w:rPr>
          <w:spacing w:val="-17"/>
          <w:w w:val="115"/>
        </w:rPr>
        <w:t> </w:t>
      </w:r>
      <w:r>
        <w:rPr>
          <w:w w:val="115"/>
        </w:rPr>
        <w:t>(a</w:t>
      </w:r>
      <w:r>
        <w:rPr>
          <w:spacing w:val="-17"/>
          <w:w w:val="115"/>
        </w:rPr>
        <w:t> </w:t>
      </w:r>
      <w:r>
        <w:rPr>
          <w:w w:val="115"/>
        </w:rPr>
        <w:t>las</w:t>
      </w:r>
      <w:r>
        <w:rPr>
          <w:spacing w:val="-17"/>
          <w:w w:val="115"/>
        </w:rPr>
        <w:t> </w:t>
      </w:r>
      <w:r>
        <w:rPr>
          <w:w w:val="115"/>
        </w:rPr>
        <w:t>que</w:t>
      </w:r>
      <w:r>
        <w:rPr>
          <w:spacing w:val="-17"/>
          <w:w w:val="115"/>
        </w:rPr>
        <w:t> </w:t>
      </w:r>
      <w:r>
        <w:rPr>
          <w:w w:val="115"/>
        </w:rPr>
        <w:t>adhiere</w:t>
      </w:r>
      <w:r>
        <w:rPr>
          <w:spacing w:val="-17"/>
          <w:w w:val="115"/>
        </w:rPr>
        <w:t> </w:t>
      </w:r>
      <w:r>
        <w:rPr>
          <w:w w:val="115"/>
        </w:rPr>
        <w:t>el</w:t>
      </w:r>
      <w:r>
        <w:rPr>
          <w:spacing w:val="-17"/>
          <w:w w:val="115"/>
        </w:rPr>
        <w:t> </w:t>
      </w:r>
      <w:r>
        <w:rPr>
          <w:w w:val="115"/>
        </w:rPr>
        <w:t>autor),</w:t>
      </w:r>
      <w:r>
        <w:rPr>
          <w:spacing w:val="-17"/>
          <w:w w:val="115"/>
        </w:rPr>
        <w:t> </w:t>
      </w:r>
      <w:r>
        <w:rPr>
          <w:w w:val="115"/>
        </w:rPr>
        <w:t>preconizarían </w:t>
      </w:r>
      <w:r>
        <w:rPr>
          <w:w w:val="110"/>
        </w:rPr>
        <w:t>causas sistémico-estructurales que implicarían un evidente retroceso </w:t>
      </w:r>
      <w:r>
        <w:rPr>
          <w:w w:val="115"/>
        </w:rPr>
        <w:t>relativo en la competitividad </w:t>
      </w:r>
      <w:r>
        <w:rPr>
          <w:spacing w:val="-4"/>
          <w:w w:val="130"/>
        </w:rPr>
        <w:t>altEC </w:t>
      </w:r>
      <w:r>
        <w:rPr>
          <w:w w:val="115"/>
        </w:rPr>
        <w:t>de  </w:t>
      </w:r>
      <w:r>
        <w:rPr>
          <w:spacing w:val="1"/>
          <w:w w:val="115"/>
        </w:rPr>
        <w:t> </w:t>
      </w:r>
      <w:r>
        <w:rPr>
          <w:w w:val="115"/>
        </w:rPr>
        <w:t>EE.uu.</w:t>
      </w:r>
    </w:p>
    <w:p>
      <w:pPr>
        <w:pStyle w:val="BodyText"/>
        <w:spacing w:line="252" w:lineRule="auto"/>
        <w:ind w:left="100" w:right="328" w:firstLine="396"/>
        <w:jc w:val="both"/>
      </w:pPr>
      <w:r>
        <w:rPr>
          <w:w w:val="110"/>
        </w:rPr>
        <w:t>de conjunto y pronosticando a cercano-mediano plazo, la metró- poli enfrentaría un serio alerta acerca del advenimiento de sucesivos cambios cuantitativos –mediante la continuada merma de intensidad en estratégicos segmentos </w:t>
      </w:r>
      <w:r>
        <w:rPr>
          <w:w w:val="140"/>
        </w:rPr>
        <w:t>altEC </w:t>
      </w:r>
      <w:r>
        <w:rPr>
          <w:w w:val="110"/>
        </w:rPr>
        <w:t>simultánea al fortalecimiento de poderosos competidores– que ineludiblemente la arrastrarían hacia una nueva cualidad estructural, ahora ya en términos  absolutos:</w:t>
      </w:r>
    </w:p>
    <w:p>
      <w:pPr>
        <w:pStyle w:val="BodyText"/>
        <w:spacing w:before="10"/>
        <w:rPr>
          <w:sz w:val="15"/>
        </w:rPr>
      </w:pPr>
    </w:p>
    <w:p>
      <w:pPr>
        <w:pStyle w:val="BodyText"/>
        <w:spacing w:line="252" w:lineRule="auto" w:before="1"/>
        <w:ind w:left="724" w:right="328" w:hanging="227"/>
        <w:jc w:val="both"/>
      </w:pPr>
      <w:r>
        <w:rPr>
          <w:w w:val="110"/>
          <w:sz w:val="24"/>
        </w:rPr>
        <w:t>- </w:t>
      </w:r>
      <w:r>
        <w:rPr>
          <w:w w:val="110"/>
        </w:rPr>
        <w:t>Esta se evidenciaría, por ejemplo, en la continuada tendencia, más allá del nuevo milenio, hacia la creciente profundización del déficit exportación/importación en cada vez más segmen- tos </w:t>
      </w:r>
      <w:r>
        <w:rPr>
          <w:w w:val="130"/>
        </w:rPr>
        <w:t>altEC </w:t>
      </w:r>
      <w:r>
        <w:rPr>
          <w:w w:val="110"/>
        </w:rPr>
        <w:t>(con excepción aún de la aviación, de instrumentos científicos y de medición, y de la bio-farmacéutica) y de la cre- ciente negatividad integral de este sector (Nsb, 2014), último reducto emblemático de la competitividad norteamericana, probablemente mucho mayor aún de no haberse producido desde inicios de siglo una prolongada devaluación del dólar estadounidense. se complementaría lo anterior, en lo que a consecuencias en exportaciones norteamericanas de manufac- turas –en general– y de exportaciones </w:t>
      </w:r>
      <w:r>
        <w:rPr>
          <w:w w:val="130"/>
        </w:rPr>
        <w:t>altEC </w:t>
      </w:r>
      <w:r>
        <w:rPr>
          <w:w w:val="110"/>
        </w:rPr>
        <w:t>específicamente se refiere, con el pronóstico emitido por Global insight, consul- toría económica norteamericana contratada por el </w:t>
      </w:r>
      <w:r>
        <w:rPr>
          <w:i/>
          <w:w w:val="110"/>
        </w:rPr>
        <w:t>Financial </w:t>
      </w:r>
      <w:r>
        <w:rPr>
          <w:i/>
          <w:w w:val="110"/>
        </w:rPr>
        <w:t>Times </w:t>
      </w:r>
      <w:r>
        <w:rPr>
          <w:w w:val="110"/>
        </w:rPr>
        <w:t>(Marsh, 2008), acerca de la superación –ya en 2010,  con</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954" w:right="117"/>
        <w:jc w:val="both"/>
      </w:pPr>
      <w:r>
        <w:rPr>
          <w:w w:val="115"/>
        </w:rPr>
        <w:t>tres</w:t>
      </w:r>
      <w:r>
        <w:rPr>
          <w:spacing w:val="-32"/>
          <w:w w:val="115"/>
        </w:rPr>
        <w:t> </w:t>
      </w:r>
      <w:r>
        <w:rPr>
          <w:w w:val="115"/>
        </w:rPr>
        <w:t>años</w:t>
      </w:r>
      <w:r>
        <w:rPr>
          <w:spacing w:val="-32"/>
          <w:w w:val="115"/>
        </w:rPr>
        <w:t> </w:t>
      </w:r>
      <w:r>
        <w:rPr>
          <w:w w:val="115"/>
        </w:rPr>
        <w:t>de</w:t>
      </w:r>
      <w:r>
        <w:rPr>
          <w:spacing w:val="-32"/>
          <w:w w:val="115"/>
        </w:rPr>
        <w:t> </w:t>
      </w:r>
      <w:r>
        <w:rPr>
          <w:w w:val="115"/>
        </w:rPr>
        <w:t>antelación</w:t>
      </w:r>
      <w:r>
        <w:rPr>
          <w:spacing w:val="-32"/>
          <w:w w:val="115"/>
        </w:rPr>
        <w:t> </w:t>
      </w:r>
      <w:r>
        <w:rPr>
          <w:w w:val="115"/>
        </w:rPr>
        <w:t>a</w:t>
      </w:r>
      <w:r>
        <w:rPr>
          <w:spacing w:val="-32"/>
          <w:w w:val="115"/>
        </w:rPr>
        <w:t> </w:t>
      </w:r>
      <w:r>
        <w:rPr>
          <w:w w:val="115"/>
        </w:rPr>
        <w:t>lo</w:t>
      </w:r>
      <w:r>
        <w:rPr>
          <w:spacing w:val="-32"/>
          <w:w w:val="115"/>
        </w:rPr>
        <w:t> </w:t>
      </w:r>
      <w:r>
        <w:rPr>
          <w:w w:val="115"/>
        </w:rPr>
        <w:t>previsto</w:t>
      </w:r>
      <w:r>
        <w:rPr>
          <w:spacing w:val="-32"/>
          <w:w w:val="115"/>
        </w:rPr>
        <w:t> </w:t>
      </w:r>
      <w:r>
        <w:rPr>
          <w:w w:val="115"/>
        </w:rPr>
        <w:t>en</w:t>
      </w:r>
      <w:r>
        <w:rPr>
          <w:spacing w:val="-32"/>
          <w:w w:val="115"/>
        </w:rPr>
        <w:t> </w:t>
      </w:r>
      <w:r>
        <w:rPr>
          <w:w w:val="115"/>
        </w:rPr>
        <w:t>pronósticos</w:t>
      </w:r>
      <w:r>
        <w:rPr>
          <w:spacing w:val="-32"/>
          <w:w w:val="115"/>
        </w:rPr>
        <w:t> </w:t>
      </w:r>
      <w:r>
        <w:rPr>
          <w:w w:val="115"/>
        </w:rPr>
        <w:t>anteriores– de</w:t>
      </w:r>
      <w:r>
        <w:rPr>
          <w:spacing w:val="-16"/>
          <w:w w:val="115"/>
        </w:rPr>
        <w:t> </w:t>
      </w:r>
      <w:r>
        <w:rPr>
          <w:w w:val="115"/>
        </w:rPr>
        <w:t>EE.uu.</w:t>
      </w:r>
      <w:r>
        <w:rPr>
          <w:spacing w:val="-16"/>
          <w:w w:val="115"/>
        </w:rPr>
        <w:t> </w:t>
      </w:r>
      <w:r>
        <w:rPr>
          <w:w w:val="115"/>
        </w:rPr>
        <w:t>por</w:t>
      </w:r>
      <w:r>
        <w:rPr>
          <w:spacing w:val="-16"/>
          <w:w w:val="115"/>
        </w:rPr>
        <w:t> </w:t>
      </w:r>
      <w:r>
        <w:rPr>
          <w:w w:val="115"/>
        </w:rPr>
        <w:t>China</w:t>
      </w:r>
      <w:r>
        <w:rPr>
          <w:spacing w:val="-16"/>
          <w:w w:val="115"/>
        </w:rPr>
        <w:t> </w:t>
      </w:r>
      <w:r>
        <w:rPr>
          <w:w w:val="115"/>
        </w:rPr>
        <w:t>en</w:t>
      </w:r>
      <w:r>
        <w:rPr>
          <w:spacing w:val="-16"/>
          <w:w w:val="115"/>
        </w:rPr>
        <w:t> </w:t>
      </w:r>
      <w:r>
        <w:rPr>
          <w:w w:val="115"/>
        </w:rPr>
        <w:t>términos</w:t>
      </w:r>
      <w:r>
        <w:rPr>
          <w:spacing w:val="-16"/>
          <w:w w:val="115"/>
        </w:rPr>
        <w:t> </w:t>
      </w:r>
      <w:r>
        <w:rPr>
          <w:w w:val="115"/>
        </w:rPr>
        <w:t>absolutos,</w:t>
      </w:r>
      <w:r>
        <w:rPr>
          <w:spacing w:val="-16"/>
          <w:w w:val="115"/>
        </w:rPr>
        <w:t> </w:t>
      </w:r>
      <w:r>
        <w:rPr>
          <w:w w:val="115"/>
        </w:rPr>
        <w:t>situándose</w:t>
      </w:r>
      <w:r>
        <w:rPr>
          <w:spacing w:val="-16"/>
          <w:w w:val="115"/>
        </w:rPr>
        <w:t> </w:t>
      </w:r>
      <w:r>
        <w:rPr>
          <w:w w:val="115"/>
        </w:rPr>
        <w:t>ésta</w:t>
      </w:r>
      <w:r>
        <w:rPr>
          <w:spacing w:val="-16"/>
          <w:w w:val="115"/>
        </w:rPr>
        <w:t> </w:t>
      </w:r>
      <w:r>
        <w:rPr>
          <w:w w:val="115"/>
        </w:rPr>
        <w:t>en el</w:t>
      </w:r>
      <w:r>
        <w:rPr>
          <w:spacing w:val="-18"/>
          <w:w w:val="115"/>
        </w:rPr>
        <w:t> </w:t>
      </w:r>
      <w:r>
        <w:rPr>
          <w:w w:val="115"/>
        </w:rPr>
        <w:t>primer</w:t>
      </w:r>
      <w:r>
        <w:rPr>
          <w:spacing w:val="-18"/>
          <w:w w:val="115"/>
        </w:rPr>
        <w:t> </w:t>
      </w:r>
      <w:r>
        <w:rPr>
          <w:w w:val="115"/>
        </w:rPr>
        <w:t>lugar</w:t>
      </w:r>
      <w:r>
        <w:rPr>
          <w:spacing w:val="-18"/>
          <w:w w:val="115"/>
        </w:rPr>
        <w:t> </w:t>
      </w:r>
      <w:r>
        <w:rPr>
          <w:w w:val="115"/>
        </w:rPr>
        <w:t>mundial</w:t>
      </w:r>
      <w:r>
        <w:rPr>
          <w:spacing w:val="-18"/>
          <w:w w:val="115"/>
        </w:rPr>
        <w:t> </w:t>
      </w:r>
      <w:r>
        <w:rPr>
          <w:w w:val="115"/>
        </w:rPr>
        <w:t>de</w:t>
      </w:r>
      <w:r>
        <w:rPr>
          <w:spacing w:val="-18"/>
          <w:w w:val="115"/>
        </w:rPr>
        <w:t> </w:t>
      </w:r>
      <w:r>
        <w:rPr>
          <w:w w:val="115"/>
        </w:rPr>
        <w:t>bienes</w:t>
      </w:r>
      <w:r>
        <w:rPr>
          <w:spacing w:val="-18"/>
          <w:w w:val="115"/>
        </w:rPr>
        <w:t> </w:t>
      </w:r>
      <w:r>
        <w:rPr>
          <w:w w:val="115"/>
        </w:rPr>
        <w:t>manufacturados,</w:t>
      </w:r>
      <w:r>
        <w:rPr>
          <w:spacing w:val="-18"/>
          <w:w w:val="115"/>
        </w:rPr>
        <w:t> </w:t>
      </w:r>
      <w:r>
        <w:rPr>
          <w:w w:val="115"/>
        </w:rPr>
        <w:t>ocupando respectivamente</w:t>
      </w:r>
      <w:r>
        <w:rPr>
          <w:spacing w:val="-16"/>
          <w:w w:val="115"/>
        </w:rPr>
        <w:t> </w:t>
      </w:r>
      <w:r>
        <w:rPr>
          <w:w w:val="115"/>
        </w:rPr>
        <w:t>el</w:t>
      </w:r>
      <w:r>
        <w:rPr>
          <w:spacing w:val="-16"/>
          <w:w w:val="115"/>
        </w:rPr>
        <w:t> </w:t>
      </w:r>
      <w:r>
        <w:rPr>
          <w:w w:val="115"/>
        </w:rPr>
        <w:t>16</w:t>
      </w:r>
      <w:r>
        <w:rPr>
          <w:spacing w:val="-16"/>
          <w:w w:val="115"/>
        </w:rPr>
        <w:t> </w:t>
      </w:r>
      <w:r>
        <w:rPr>
          <w:w w:val="115"/>
        </w:rPr>
        <w:t>y</w:t>
      </w:r>
      <w:r>
        <w:rPr>
          <w:spacing w:val="-16"/>
          <w:w w:val="115"/>
        </w:rPr>
        <w:t> </w:t>
      </w:r>
      <w:r>
        <w:rPr>
          <w:w w:val="115"/>
        </w:rPr>
        <w:t>el</w:t>
      </w:r>
      <w:r>
        <w:rPr>
          <w:spacing w:val="-16"/>
          <w:w w:val="115"/>
        </w:rPr>
        <w:t> </w:t>
      </w:r>
      <w:r>
        <w:rPr>
          <w:w w:val="115"/>
        </w:rPr>
        <w:t>17%</w:t>
      </w:r>
      <w:r>
        <w:rPr>
          <w:spacing w:val="-16"/>
          <w:w w:val="115"/>
        </w:rPr>
        <w:t> </w:t>
      </w:r>
      <w:r>
        <w:rPr>
          <w:w w:val="115"/>
        </w:rPr>
        <w:t>del</w:t>
      </w:r>
      <w:r>
        <w:rPr>
          <w:spacing w:val="-16"/>
          <w:w w:val="115"/>
        </w:rPr>
        <w:t> </w:t>
      </w:r>
      <w:r>
        <w:rPr>
          <w:w w:val="115"/>
        </w:rPr>
        <w:t>valor</w:t>
      </w:r>
      <w:r>
        <w:rPr>
          <w:spacing w:val="-16"/>
          <w:w w:val="115"/>
        </w:rPr>
        <w:t> </w:t>
      </w:r>
      <w:r>
        <w:rPr>
          <w:w w:val="115"/>
        </w:rPr>
        <w:t>agregado</w:t>
      </w:r>
      <w:r>
        <w:rPr>
          <w:spacing w:val="-16"/>
          <w:w w:val="115"/>
        </w:rPr>
        <w:t> </w:t>
      </w:r>
      <w:r>
        <w:rPr>
          <w:w w:val="115"/>
        </w:rPr>
        <w:t>producido. Finalizaría así la centenaria dominación absoluta de EE.uu. en</w:t>
      </w:r>
      <w:r>
        <w:rPr>
          <w:spacing w:val="-30"/>
          <w:w w:val="115"/>
        </w:rPr>
        <w:t> </w:t>
      </w:r>
      <w:r>
        <w:rPr>
          <w:w w:val="115"/>
        </w:rPr>
        <w:t>este</w:t>
      </w:r>
      <w:r>
        <w:rPr>
          <w:spacing w:val="-30"/>
          <w:w w:val="115"/>
        </w:rPr>
        <w:t> </w:t>
      </w:r>
      <w:r>
        <w:rPr>
          <w:w w:val="115"/>
        </w:rPr>
        <w:t>importante</w:t>
      </w:r>
      <w:r>
        <w:rPr>
          <w:spacing w:val="-30"/>
          <w:w w:val="115"/>
        </w:rPr>
        <w:t> </w:t>
      </w:r>
      <w:r>
        <w:rPr>
          <w:spacing w:val="-3"/>
          <w:w w:val="115"/>
        </w:rPr>
        <w:t>indicador.</w:t>
      </w:r>
    </w:p>
    <w:p>
      <w:pPr>
        <w:pStyle w:val="BodyText"/>
        <w:spacing w:before="11"/>
      </w:pPr>
    </w:p>
    <w:p>
      <w:pPr>
        <w:pStyle w:val="BodyText"/>
        <w:spacing w:line="252" w:lineRule="auto"/>
        <w:ind w:left="330" w:right="117" w:hanging="1"/>
        <w:jc w:val="both"/>
      </w:pPr>
      <w:r>
        <w:rPr>
          <w:w w:val="115"/>
        </w:rPr>
        <w:t>Ello</w:t>
      </w:r>
      <w:r>
        <w:rPr>
          <w:spacing w:val="-21"/>
          <w:w w:val="115"/>
        </w:rPr>
        <w:t> </w:t>
      </w:r>
      <w:r>
        <w:rPr>
          <w:w w:val="115"/>
        </w:rPr>
        <w:t>conduciría</w:t>
      </w:r>
      <w:r>
        <w:rPr>
          <w:spacing w:val="-21"/>
          <w:w w:val="115"/>
        </w:rPr>
        <w:t> </w:t>
      </w:r>
      <w:r>
        <w:rPr>
          <w:w w:val="115"/>
        </w:rPr>
        <w:t>necesariamente</w:t>
      </w:r>
      <w:r>
        <w:rPr>
          <w:spacing w:val="-21"/>
          <w:w w:val="115"/>
        </w:rPr>
        <w:t> </w:t>
      </w:r>
      <w:r>
        <w:rPr>
          <w:w w:val="115"/>
        </w:rPr>
        <w:t>a</w:t>
      </w:r>
      <w:r>
        <w:rPr>
          <w:spacing w:val="-21"/>
          <w:w w:val="115"/>
        </w:rPr>
        <w:t> </w:t>
      </w:r>
      <w:r>
        <w:rPr>
          <w:w w:val="115"/>
        </w:rPr>
        <w:t>la</w:t>
      </w:r>
      <w:r>
        <w:rPr>
          <w:spacing w:val="-21"/>
          <w:w w:val="115"/>
        </w:rPr>
        <w:t> </w:t>
      </w:r>
      <w:r>
        <w:rPr>
          <w:w w:val="115"/>
        </w:rPr>
        <w:t>reducción</w:t>
      </w:r>
      <w:r>
        <w:rPr>
          <w:spacing w:val="-21"/>
          <w:w w:val="115"/>
        </w:rPr>
        <w:t> </w:t>
      </w:r>
      <w:r>
        <w:rPr>
          <w:w w:val="115"/>
        </w:rPr>
        <w:t>de</w:t>
      </w:r>
      <w:r>
        <w:rPr>
          <w:spacing w:val="-21"/>
          <w:w w:val="115"/>
        </w:rPr>
        <w:t> </w:t>
      </w:r>
      <w:r>
        <w:rPr>
          <w:w w:val="115"/>
        </w:rPr>
        <w:t>la</w:t>
      </w:r>
      <w:r>
        <w:rPr>
          <w:spacing w:val="-21"/>
          <w:w w:val="115"/>
        </w:rPr>
        <w:t> </w:t>
      </w:r>
      <w:r>
        <w:rPr>
          <w:w w:val="115"/>
        </w:rPr>
        <w:t>cuota</w:t>
      </w:r>
      <w:r>
        <w:rPr>
          <w:spacing w:val="-21"/>
          <w:w w:val="115"/>
        </w:rPr>
        <w:t> </w:t>
      </w:r>
      <w:r>
        <w:rPr>
          <w:w w:val="115"/>
        </w:rPr>
        <w:t>participati- va de EE.uu., primero frente a la uE, Japón y los NiCs, y –finalmen- te– supeditándose frente a China, tanto en el comercio mundial, en general,</w:t>
      </w:r>
      <w:r>
        <w:rPr>
          <w:spacing w:val="-12"/>
          <w:w w:val="115"/>
        </w:rPr>
        <w:t> </w:t>
      </w:r>
      <w:r>
        <w:rPr>
          <w:w w:val="115"/>
        </w:rPr>
        <w:t>como</w:t>
      </w:r>
      <w:r>
        <w:rPr>
          <w:spacing w:val="-12"/>
          <w:w w:val="115"/>
        </w:rPr>
        <w:t> </w:t>
      </w:r>
      <w:r>
        <w:rPr>
          <w:w w:val="115"/>
        </w:rPr>
        <w:t>en</w:t>
      </w:r>
      <w:r>
        <w:rPr>
          <w:spacing w:val="-12"/>
          <w:w w:val="115"/>
        </w:rPr>
        <w:t> </w:t>
      </w:r>
      <w:r>
        <w:rPr>
          <w:w w:val="115"/>
        </w:rPr>
        <w:t>el</w:t>
      </w:r>
      <w:r>
        <w:rPr>
          <w:spacing w:val="-12"/>
          <w:w w:val="115"/>
        </w:rPr>
        <w:t> </w:t>
      </w:r>
      <w:r>
        <w:rPr>
          <w:w w:val="115"/>
        </w:rPr>
        <w:t>estratégico</w:t>
      </w:r>
      <w:r>
        <w:rPr>
          <w:spacing w:val="-12"/>
          <w:w w:val="115"/>
        </w:rPr>
        <w:t> </w:t>
      </w:r>
      <w:r>
        <w:rPr>
          <w:spacing w:val="-4"/>
          <w:w w:val="140"/>
        </w:rPr>
        <w:t>altEC</w:t>
      </w:r>
      <w:r>
        <w:rPr>
          <w:spacing w:val="-23"/>
          <w:w w:val="140"/>
        </w:rPr>
        <w:t> </w:t>
      </w:r>
      <w:r>
        <w:rPr>
          <w:w w:val="115"/>
        </w:rPr>
        <w:t>específicamente</w:t>
      </w:r>
      <w:r>
        <w:rPr>
          <w:spacing w:val="-12"/>
          <w:w w:val="115"/>
        </w:rPr>
        <w:t> </w:t>
      </w:r>
      <w:r>
        <w:rPr>
          <w:w w:val="115"/>
        </w:rPr>
        <w:t>(Nsb,</w:t>
      </w:r>
      <w:r>
        <w:rPr>
          <w:spacing w:val="-12"/>
          <w:w w:val="115"/>
        </w:rPr>
        <w:t> </w:t>
      </w:r>
      <w:r>
        <w:rPr>
          <w:w w:val="115"/>
        </w:rPr>
        <w:t>2014).</w:t>
      </w:r>
    </w:p>
    <w:p>
      <w:pPr>
        <w:pStyle w:val="BodyText"/>
        <w:spacing w:line="252" w:lineRule="auto"/>
        <w:ind w:left="330" w:right="117" w:firstLine="396"/>
        <w:jc w:val="both"/>
      </w:pPr>
      <w:r>
        <w:rPr>
          <w:w w:val="115"/>
        </w:rPr>
        <w:t>ante el controvertido deterioro de la otrora incólume competi- tividad de los productos </w:t>
      </w:r>
      <w:r>
        <w:rPr>
          <w:spacing w:val="-4"/>
          <w:w w:val="140"/>
        </w:rPr>
        <w:t>altEC </w:t>
      </w:r>
      <w:r>
        <w:rPr>
          <w:w w:val="115"/>
        </w:rPr>
        <w:t>norteamericanos así como de otros indicadores intensivos de su </w:t>
      </w:r>
      <w:r>
        <w:rPr>
          <w:i/>
          <w:w w:val="115"/>
        </w:rPr>
        <w:t>performance </w:t>
      </w:r>
      <w:r>
        <w:rPr>
          <w:w w:val="115"/>
        </w:rPr>
        <w:t>en i+d, la </w:t>
      </w:r>
      <w:r>
        <w:rPr>
          <w:i/>
          <w:w w:val="115"/>
        </w:rPr>
        <w:t>National Scien- </w:t>
      </w:r>
      <w:r>
        <w:rPr>
          <w:i/>
          <w:w w:val="115"/>
        </w:rPr>
        <w:t>ce</w:t>
      </w:r>
      <w:r>
        <w:rPr>
          <w:i/>
          <w:spacing w:val="-17"/>
          <w:w w:val="115"/>
        </w:rPr>
        <w:t> </w:t>
      </w:r>
      <w:r>
        <w:rPr>
          <w:i/>
          <w:w w:val="115"/>
        </w:rPr>
        <w:t>Board</w:t>
      </w:r>
      <w:r>
        <w:rPr>
          <w:i/>
          <w:spacing w:val="-17"/>
          <w:w w:val="115"/>
        </w:rPr>
        <w:t> </w:t>
      </w:r>
      <w:r>
        <w:rPr>
          <w:w w:val="115"/>
        </w:rPr>
        <w:t>(Nsb,</w:t>
      </w:r>
      <w:r>
        <w:rPr>
          <w:spacing w:val="-17"/>
          <w:w w:val="115"/>
        </w:rPr>
        <w:t> </w:t>
      </w:r>
      <w:r>
        <w:rPr>
          <w:w w:val="115"/>
        </w:rPr>
        <w:t>2006)</w:t>
      </w:r>
      <w:r>
        <w:rPr>
          <w:spacing w:val="-17"/>
          <w:w w:val="115"/>
        </w:rPr>
        <w:t> </w:t>
      </w:r>
      <w:r>
        <w:rPr>
          <w:w w:val="115"/>
        </w:rPr>
        <w:t>intentaría</w:t>
      </w:r>
      <w:r>
        <w:rPr>
          <w:spacing w:val="-17"/>
          <w:w w:val="115"/>
        </w:rPr>
        <w:t> </w:t>
      </w:r>
      <w:r>
        <w:rPr>
          <w:w w:val="115"/>
        </w:rPr>
        <w:t>ofrecer</w:t>
      </w:r>
      <w:r>
        <w:rPr>
          <w:spacing w:val="-17"/>
          <w:w w:val="115"/>
        </w:rPr>
        <w:t> </w:t>
      </w:r>
      <w:r>
        <w:rPr>
          <w:w w:val="115"/>
        </w:rPr>
        <w:t>una</w:t>
      </w:r>
      <w:r>
        <w:rPr>
          <w:spacing w:val="-17"/>
          <w:w w:val="115"/>
        </w:rPr>
        <w:t> </w:t>
      </w:r>
      <w:r>
        <w:rPr>
          <w:w w:val="115"/>
        </w:rPr>
        <w:t>imagen</w:t>
      </w:r>
      <w:r>
        <w:rPr>
          <w:spacing w:val="-17"/>
          <w:w w:val="115"/>
        </w:rPr>
        <w:t> </w:t>
      </w:r>
      <w:r>
        <w:rPr>
          <w:w w:val="115"/>
        </w:rPr>
        <w:t>inmutablemente vanguardista del tradicional estatus competitivo de EE.uu.,</w:t>
      </w:r>
      <w:r>
        <w:rPr>
          <w:spacing w:val="-19"/>
          <w:w w:val="115"/>
        </w:rPr>
        <w:t> </w:t>
      </w:r>
      <w:r>
        <w:rPr>
          <w:w w:val="115"/>
        </w:rPr>
        <w:t>ideando el llamado </w:t>
      </w:r>
      <w:r>
        <w:rPr>
          <w:i/>
          <w:w w:val="115"/>
        </w:rPr>
        <w:t>Índice de competitividad sistémica</w:t>
      </w:r>
      <w:r>
        <w:rPr>
          <w:w w:val="115"/>
        </w:rPr>
        <w:t>. sin entrar en</w:t>
      </w:r>
      <w:r>
        <w:rPr>
          <w:spacing w:val="-7"/>
          <w:w w:val="115"/>
        </w:rPr>
        <w:t> </w:t>
      </w:r>
      <w:r>
        <w:rPr>
          <w:w w:val="115"/>
        </w:rPr>
        <w:t>detalles, esta</w:t>
      </w:r>
      <w:r>
        <w:rPr>
          <w:spacing w:val="-19"/>
          <w:w w:val="115"/>
        </w:rPr>
        <w:t> </w:t>
      </w:r>
      <w:r>
        <w:rPr>
          <w:w w:val="115"/>
        </w:rPr>
        <w:t>entelequia</w:t>
      </w:r>
      <w:r>
        <w:rPr>
          <w:spacing w:val="-19"/>
          <w:w w:val="115"/>
        </w:rPr>
        <w:t> </w:t>
      </w:r>
      <w:r>
        <w:rPr>
          <w:w w:val="115"/>
        </w:rPr>
        <w:t>–manipuladora</w:t>
      </w:r>
      <w:r>
        <w:rPr>
          <w:spacing w:val="-19"/>
          <w:w w:val="115"/>
        </w:rPr>
        <w:t> </w:t>
      </w:r>
      <w:r>
        <w:rPr>
          <w:w w:val="115"/>
        </w:rPr>
        <w:t>de</w:t>
      </w:r>
      <w:r>
        <w:rPr>
          <w:spacing w:val="-19"/>
          <w:w w:val="115"/>
        </w:rPr>
        <w:t> </w:t>
      </w:r>
      <w:r>
        <w:rPr>
          <w:w w:val="115"/>
        </w:rPr>
        <w:t>la</w:t>
      </w:r>
      <w:r>
        <w:rPr>
          <w:spacing w:val="-19"/>
          <w:w w:val="115"/>
        </w:rPr>
        <w:t> </w:t>
      </w:r>
      <w:r>
        <w:rPr>
          <w:w w:val="115"/>
        </w:rPr>
        <w:t>opinión</w:t>
      </w:r>
      <w:r>
        <w:rPr>
          <w:spacing w:val="-19"/>
          <w:w w:val="115"/>
        </w:rPr>
        <w:t> </w:t>
      </w:r>
      <w:r>
        <w:rPr>
          <w:w w:val="115"/>
        </w:rPr>
        <w:t>pública</w:t>
      </w:r>
      <w:r>
        <w:rPr>
          <w:spacing w:val="-19"/>
          <w:w w:val="115"/>
        </w:rPr>
        <w:t> </w:t>
      </w:r>
      <w:r>
        <w:rPr>
          <w:w w:val="115"/>
        </w:rPr>
        <w:t>para</w:t>
      </w:r>
      <w:r>
        <w:rPr>
          <w:spacing w:val="-19"/>
          <w:w w:val="115"/>
        </w:rPr>
        <w:t> </w:t>
      </w:r>
      <w:r>
        <w:rPr>
          <w:w w:val="115"/>
        </w:rPr>
        <w:t>fines</w:t>
      </w:r>
      <w:r>
        <w:rPr>
          <w:spacing w:val="-19"/>
          <w:w w:val="115"/>
        </w:rPr>
        <w:t> </w:t>
      </w:r>
      <w:r>
        <w:rPr>
          <w:w w:val="115"/>
        </w:rPr>
        <w:t>hege- mónicos</w:t>
      </w:r>
      <w:r>
        <w:rPr>
          <w:spacing w:val="-6"/>
          <w:w w:val="115"/>
        </w:rPr>
        <w:t> </w:t>
      </w:r>
      <w:r>
        <w:rPr>
          <w:w w:val="115"/>
        </w:rPr>
        <w:t>y</w:t>
      </w:r>
      <w:r>
        <w:rPr>
          <w:spacing w:val="-6"/>
          <w:w w:val="115"/>
        </w:rPr>
        <w:t> </w:t>
      </w:r>
      <w:r>
        <w:rPr>
          <w:w w:val="115"/>
        </w:rPr>
        <w:t>comerciales–</w:t>
      </w:r>
      <w:r>
        <w:rPr>
          <w:spacing w:val="-6"/>
          <w:w w:val="115"/>
        </w:rPr>
        <w:t> </w:t>
      </w:r>
      <w:r>
        <w:rPr>
          <w:w w:val="115"/>
        </w:rPr>
        <w:t>se</w:t>
      </w:r>
      <w:r>
        <w:rPr>
          <w:spacing w:val="-6"/>
          <w:w w:val="115"/>
        </w:rPr>
        <w:t> </w:t>
      </w:r>
      <w:r>
        <w:rPr>
          <w:w w:val="115"/>
        </w:rPr>
        <w:t>caracterizaría</w:t>
      </w:r>
      <w:r>
        <w:rPr>
          <w:spacing w:val="-6"/>
          <w:w w:val="115"/>
        </w:rPr>
        <w:t> </w:t>
      </w:r>
      <w:r>
        <w:rPr>
          <w:w w:val="115"/>
        </w:rPr>
        <w:t>por</w:t>
      </w:r>
      <w:r>
        <w:rPr>
          <w:spacing w:val="-6"/>
          <w:w w:val="115"/>
        </w:rPr>
        <w:t> </w:t>
      </w:r>
      <w:r>
        <w:rPr>
          <w:w w:val="115"/>
        </w:rPr>
        <w:t>la</w:t>
      </w:r>
      <w:r>
        <w:rPr>
          <w:spacing w:val="-6"/>
          <w:w w:val="115"/>
        </w:rPr>
        <w:t> </w:t>
      </w:r>
      <w:r>
        <w:rPr>
          <w:w w:val="115"/>
        </w:rPr>
        <w:t>falta</w:t>
      </w:r>
      <w:r>
        <w:rPr>
          <w:spacing w:val="-6"/>
          <w:w w:val="115"/>
        </w:rPr>
        <w:t> </w:t>
      </w:r>
      <w:r>
        <w:rPr>
          <w:w w:val="115"/>
        </w:rPr>
        <w:t>de</w:t>
      </w:r>
      <w:r>
        <w:rPr>
          <w:spacing w:val="-6"/>
          <w:w w:val="115"/>
        </w:rPr>
        <w:t> </w:t>
      </w:r>
      <w:r>
        <w:rPr>
          <w:w w:val="115"/>
        </w:rPr>
        <w:t>transparen- cia</w:t>
      </w:r>
      <w:r>
        <w:rPr>
          <w:spacing w:val="-15"/>
          <w:w w:val="115"/>
        </w:rPr>
        <w:t> </w:t>
      </w:r>
      <w:r>
        <w:rPr>
          <w:w w:val="115"/>
        </w:rPr>
        <w:t>llamada</w:t>
      </w:r>
      <w:r>
        <w:rPr>
          <w:spacing w:val="-15"/>
          <w:w w:val="115"/>
        </w:rPr>
        <w:t> </w:t>
      </w:r>
      <w:r>
        <w:rPr>
          <w:w w:val="115"/>
        </w:rPr>
        <w:t>a</w:t>
      </w:r>
      <w:r>
        <w:rPr>
          <w:spacing w:val="-15"/>
          <w:w w:val="115"/>
        </w:rPr>
        <w:t> </w:t>
      </w:r>
      <w:r>
        <w:rPr>
          <w:w w:val="115"/>
        </w:rPr>
        <w:t>encubrir</w:t>
      </w:r>
      <w:r>
        <w:rPr>
          <w:spacing w:val="-15"/>
          <w:w w:val="115"/>
        </w:rPr>
        <w:t> </w:t>
      </w:r>
      <w:r>
        <w:rPr>
          <w:w w:val="115"/>
        </w:rPr>
        <w:t>el</w:t>
      </w:r>
      <w:r>
        <w:rPr>
          <w:spacing w:val="-15"/>
          <w:w w:val="115"/>
        </w:rPr>
        <w:t> </w:t>
      </w:r>
      <w:r>
        <w:rPr>
          <w:w w:val="115"/>
        </w:rPr>
        <w:t>subjetivismo</w:t>
      </w:r>
      <w:r>
        <w:rPr>
          <w:spacing w:val="-15"/>
          <w:w w:val="115"/>
        </w:rPr>
        <w:t> </w:t>
      </w:r>
      <w:r>
        <w:rPr>
          <w:w w:val="115"/>
        </w:rPr>
        <w:t>de</w:t>
      </w:r>
      <w:r>
        <w:rPr>
          <w:spacing w:val="-15"/>
          <w:w w:val="115"/>
        </w:rPr>
        <w:t> </w:t>
      </w:r>
      <w:r>
        <w:rPr>
          <w:w w:val="115"/>
        </w:rPr>
        <w:t>conveniencia</w:t>
      </w:r>
      <w:r>
        <w:rPr>
          <w:spacing w:val="-15"/>
          <w:w w:val="115"/>
        </w:rPr>
        <w:t> </w:t>
      </w:r>
      <w:r>
        <w:rPr>
          <w:w w:val="115"/>
        </w:rPr>
        <w:t>y</w:t>
      </w:r>
      <w:r>
        <w:rPr>
          <w:spacing w:val="-15"/>
          <w:w w:val="115"/>
        </w:rPr>
        <w:t> </w:t>
      </w:r>
      <w:r>
        <w:rPr>
          <w:w w:val="115"/>
        </w:rPr>
        <w:t>un</w:t>
      </w:r>
      <w:r>
        <w:rPr>
          <w:spacing w:val="-15"/>
          <w:w w:val="115"/>
        </w:rPr>
        <w:t> </w:t>
      </w:r>
      <w:r>
        <w:rPr>
          <w:w w:val="115"/>
        </w:rPr>
        <w:t>marcado sesgo</w:t>
      </w:r>
      <w:r>
        <w:rPr>
          <w:spacing w:val="-14"/>
          <w:w w:val="115"/>
        </w:rPr>
        <w:t> </w:t>
      </w:r>
      <w:r>
        <w:rPr>
          <w:w w:val="115"/>
        </w:rPr>
        <w:t>político</w:t>
      </w:r>
      <w:r>
        <w:rPr>
          <w:spacing w:val="-14"/>
          <w:w w:val="115"/>
        </w:rPr>
        <w:t> </w:t>
      </w:r>
      <w:r>
        <w:rPr>
          <w:w w:val="115"/>
        </w:rPr>
        <w:t>en</w:t>
      </w:r>
      <w:r>
        <w:rPr>
          <w:spacing w:val="-14"/>
          <w:w w:val="115"/>
        </w:rPr>
        <w:t> </w:t>
      </w:r>
      <w:r>
        <w:rPr>
          <w:w w:val="115"/>
        </w:rPr>
        <w:t>la</w:t>
      </w:r>
      <w:r>
        <w:rPr>
          <w:spacing w:val="-14"/>
          <w:w w:val="115"/>
        </w:rPr>
        <w:t> </w:t>
      </w:r>
      <w:r>
        <w:rPr>
          <w:w w:val="115"/>
        </w:rPr>
        <w:t>selección</w:t>
      </w:r>
      <w:r>
        <w:rPr>
          <w:spacing w:val="-14"/>
          <w:w w:val="115"/>
        </w:rPr>
        <w:t> </w:t>
      </w:r>
      <w:r>
        <w:rPr>
          <w:w w:val="115"/>
        </w:rPr>
        <w:t>de</w:t>
      </w:r>
      <w:r>
        <w:rPr>
          <w:spacing w:val="-14"/>
          <w:w w:val="115"/>
        </w:rPr>
        <w:t> </w:t>
      </w:r>
      <w:r>
        <w:rPr>
          <w:w w:val="115"/>
        </w:rPr>
        <w:t>los</w:t>
      </w:r>
      <w:r>
        <w:rPr>
          <w:spacing w:val="-14"/>
          <w:w w:val="115"/>
        </w:rPr>
        <w:t> </w:t>
      </w:r>
      <w:r>
        <w:rPr>
          <w:w w:val="115"/>
        </w:rPr>
        <w:t>indicadores</w:t>
      </w:r>
      <w:r>
        <w:rPr>
          <w:spacing w:val="-14"/>
          <w:w w:val="115"/>
        </w:rPr>
        <w:t> </w:t>
      </w:r>
      <w:r>
        <w:rPr>
          <w:w w:val="115"/>
        </w:rPr>
        <w:t>y</w:t>
      </w:r>
      <w:r>
        <w:rPr>
          <w:spacing w:val="-14"/>
          <w:w w:val="115"/>
        </w:rPr>
        <w:t> </w:t>
      </w:r>
      <w:r>
        <w:rPr>
          <w:w w:val="115"/>
        </w:rPr>
        <w:t>de</w:t>
      </w:r>
      <w:r>
        <w:rPr>
          <w:spacing w:val="-14"/>
          <w:w w:val="115"/>
        </w:rPr>
        <w:t> </w:t>
      </w:r>
      <w:r>
        <w:rPr>
          <w:w w:val="115"/>
        </w:rPr>
        <w:t>los</w:t>
      </w:r>
      <w:r>
        <w:rPr>
          <w:spacing w:val="-14"/>
          <w:w w:val="115"/>
        </w:rPr>
        <w:t> </w:t>
      </w:r>
      <w:r>
        <w:rPr>
          <w:w w:val="115"/>
        </w:rPr>
        <w:t>especialistas encuestados,</w:t>
      </w:r>
      <w:r>
        <w:rPr>
          <w:spacing w:val="-6"/>
          <w:w w:val="115"/>
        </w:rPr>
        <w:t> </w:t>
      </w:r>
      <w:r>
        <w:rPr>
          <w:w w:val="115"/>
        </w:rPr>
        <w:t>así</w:t>
      </w:r>
      <w:r>
        <w:rPr>
          <w:spacing w:val="-6"/>
          <w:w w:val="115"/>
        </w:rPr>
        <w:t> </w:t>
      </w:r>
      <w:r>
        <w:rPr>
          <w:w w:val="115"/>
        </w:rPr>
        <w:t>como</w:t>
      </w:r>
      <w:r>
        <w:rPr>
          <w:spacing w:val="-6"/>
          <w:w w:val="115"/>
        </w:rPr>
        <w:t> </w:t>
      </w:r>
      <w:r>
        <w:rPr>
          <w:w w:val="115"/>
        </w:rPr>
        <w:t>el</w:t>
      </w:r>
      <w:r>
        <w:rPr>
          <w:spacing w:val="-6"/>
          <w:w w:val="115"/>
        </w:rPr>
        <w:t> </w:t>
      </w:r>
      <w:r>
        <w:rPr>
          <w:w w:val="115"/>
        </w:rPr>
        <w:t>de</w:t>
      </w:r>
      <w:r>
        <w:rPr>
          <w:spacing w:val="-6"/>
          <w:w w:val="115"/>
        </w:rPr>
        <w:t> </w:t>
      </w:r>
      <w:r>
        <w:rPr>
          <w:w w:val="115"/>
        </w:rPr>
        <w:t>éstos</w:t>
      </w:r>
      <w:r>
        <w:rPr>
          <w:spacing w:val="-6"/>
          <w:w w:val="115"/>
        </w:rPr>
        <w:t> </w:t>
      </w:r>
      <w:r>
        <w:rPr>
          <w:w w:val="115"/>
        </w:rPr>
        <w:t>al</w:t>
      </w:r>
      <w:r>
        <w:rPr>
          <w:spacing w:val="-6"/>
          <w:w w:val="115"/>
        </w:rPr>
        <w:t> </w:t>
      </w:r>
      <w:r>
        <w:rPr>
          <w:w w:val="115"/>
        </w:rPr>
        <w:t>aportar</w:t>
      </w:r>
      <w:r>
        <w:rPr>
          <w:spacing w:val="-6"/>
          <w:w w:val="115"/>
        </w:rPr>
        <w:t> </w:t>
      </w:r>
      <w:r>
        <w:rPr>
          <w:w w:val="115"/>
        </w:rPr>
        <w:t>sus</w:t>
      </w:r>
      <w:r>
        <w:rPr>
          <w:spacing w:val="-6"/>
          <w:w w:val="115"/>
        </w:rPr>
        <w:t> </w:t>
      </w:r>
      <w:r>
        <w:rPr>
          <w:w w:val="115"/>
        </w:rPr>
        <w:t>puntuaciones</w:t>
      </w:r>
      <w:r>
        <w:rPr>
          <w:spacing w:val="-6"/>
          <w:w w:val="115"/>
        </w:rPr>
        <w:t> </w:t>
      </w:r>
      <w:r>
        <w:rPr>
          <w:w w:val="115"/>
        </w:rPr>
        <w:t>o</w:t>
      </w:r>
      <w:r>
        <w:rPr>
          <w:spacing w:val="-6"/>
          <w:w w:val="115"/>
        </w:rPr>
        <w:t> </w:t>
      </w:r>
      <w:r>
        <w:rPr>
          <w:i/>
          <w:w w:val="115"/>
        </w:rPr>
        <w:t>sco- </w:t>
      </w:r>
      <w:r>
        <w:rPr>
          <w:i/>
          <w:w w:val="115"/>
        </w:rPr>
        <w:t>res</w:t>
      </w:r>
      <w:r>
        <w:rPr>
          <w:w w:val="115"/>
        </w:rPr>
        <w:t>.</w:t>
      </w:r>
      <w:r>
        <w:rPr>
          <w:spacing w:val="-13"/>
          <w:w w:val="115"/>
        </w:rPr>
        <w:t> </w:t>
      </w:r>
      <w:r>
        <w:rPr>
          <w:w w:val="115"/>
        </w:rPr>
        <w:t>No</w:t>
      </w:r>
      <w:r>
        <w:rPr>
          <w:spacing w:val="-13"/>
          <w:w w:val="115"/>
        </w:rPr>
        <w:t> </w:t>
      </w:r>
      <w:r>
        <w:rPr>
          <w:w w:val="115"/>
        </w:rPr>
        <w:t>debería</w:t>
      </w:r>
      <w:r>
        <w:rPr>
          <w:spacing w:val="-13"/>
          <w:w w:val="115"/>
        </w:rPr>
        <w:t> </w:t>
      </w:r>
      <w:r>
        <w:rPr>
          <w:w w:val="115"/>
        </w:rPr>
        <w:t>pues</w:t>
      </w:r>
      <w:r>
        <w:rPr>
          <w:spacing w:val="-13"/>
          <w:w w:val="115"/>
        </w:rPr>
        <w:t> </w:t>
      </w:r>
      <w:r>
        <w:rPr>
          <w:w w:val="115"/>
        </w:rPr>
        <w:t>asombrarnos</w:t>
      </w:r>
      <w:r>
        <w:rPr>
          <w:spacing w:val="-13"/>
          <w:w w:val="115"/>
        </w:rPr>
        <w:t> </w:t>
      </w:r>
      <w:r>
        <w:rPr>
          <w:w w:val="115"/>
        </w:rPr>
        <w:t>que</w:t>
      </w:r>
      <w:r>
        <w:rPr>
          <w:spacing w:val="-13"/>
          <w:w w:val="115"/>
        </w:rPr>
        <w:t> </w:t>
      </w:r>
      <w:r>
        <w:rPr>
          <w:w w:val="115"/>
        </w:rPr>
        <w:t>el</w:t>
      </w:r>
      <w:r>
        <w:rPr>
          <w:spacing w:val="-13"/>
          <w:w w:val="115"/>
        </w:rPr>
        <w:t> </w:t>
      </w:r>
      <w:r>
        <w:rPr>
          <w:w w:val="115"/>
        </w:rPr>
        <w:t>objetivo</w:t>
      </w:r>
      <w:r>
        <w:rPr>
          <w:spacing w:val="-13"/>
          <w:w w:val="115"/>
        </w:rPr>
        <w:t> </w:t>
      </w:r>
      <w:r>
        <w:rPr>
          <w:w w:val="115"/>
        </w:rPr>
        <w:t>“se</w:t>
      </w:r>
      <w:r>
        <w:rPr>
          <w:spacing w:val="-13"/>
          <w:w w:val="115"/>
        </w:rPr>
        <w:t> </w:t>
      </w:r>
      <w:r>
        <w:rPr>
          <w:w w:val="115"/>
        </w:rPr>
        <w:t>lograría”</w:t>
      </w:r>
      <w:r>
        <w:rPr>
          <w:spacing w:val="-13"/>
          <w:w w:val="115"/>
        </w:rPr>
        <w:t> </w:t>
      </w:r>
      <w:r>
        <w:rPr>
          <w:w w:val="115"/>
        </w:rPr>
        <w:t>con</w:t>
      </w:r>
      <w:r>
        <w:rPr>
          <w:spacing w:val="-13"/>
          <w:w w:val="115"/>
        </w:rPr>
        <w:t> </w:t>
      </w:r>
      <w:r>
        <w:rPr>
          <w:w w:val="115"/>
        </w:rPr>
        <w:t>el máximo de puntuaciones para EE.uu., haciendo </w:t>
      </w:r>
      <w:r>
        <w:rPr>
          <w:i/>
          <w:w w:val="115"/>
        </w:rPr>
        <w:t>mutis </w:t>
      </w:r>
      <w:r>
        <w:rPr>
          <w:w w:val="115"/>
        </w:rPr>
        <w:t>–por un</w:t>
      </w:r>
      <w:r>
        <w:rPr>
          <w:spacing w:val="-32"/>
          <w:w w:val="115"/>
        </w:rPr>
        <w:t> </w:t>
      </w:r>
      <w:r>
        <w:rPr>
          <w:w w:val="115"/>
        </w:rPr>
        <w:t>tiem- pito</w:t>
      </w:r>
      <w:r>
        <w:rPr>
          <w:spacing w:val="-16"/>
          <w:w w:val="115"/>
        </w:rPr>
        <w:t> </w:t>
      </w:r>
      <w:r>
        <w:rPr>
          <w:w w:val="115"/>
        </w:rPr>
        <w:t>más–</w:t>
      </w:r>
      <w:r>
        <w:rPr>
          <w:spacing w:val="-16"/>
          <w:w w:val="115"/>
        </w:rPr>
        <w:t> </w:t>
      </w:r>
      <w:r>
        <w:rPr>
          <w:w w:val="115"/>
        </w:rPr>
        <w:t>de</w:t>
      </w:r>
      <w:r>
        <w:rPr>
          <w:spacing w:val="-16"/>
          <w:w w:val="115"/>
        </w:rPr>
        <w:t> </w:t>
      </w:r>
      <w:r>
        <w:rPr>
          <w:w w:val="115"/>
        </w:rPr>
        <w:t>su</w:t>
      </w:r>
      <w:r>
        <w:rPr>
          <w:spacing w:val="-16"/>
          <w:w w:val="115"/>
        </w:rPr>
        <w:t> </w:t>
      </w:r>
      <w:r>
        <w:rPr>
          <w:w w:val="115"/>
        </w:rPr>
        <w:t>deteriorada</w:t>
      </w:r>
      <w:r>
        <w:rPr>
          <w:spacing w:val="-16"/>
          <w:w w:val="115"/>
        </w:rPr>
        <w:t> </w:t>
      </w:r>
      <w:r>
        <w:rPr>
          <w:w w:val="115"/>
        </w:rPr>
        <w:t>competitividad</w:t>
      </w:r>
      <w:r>
        <w:rPr>
          <w:spacing w:val="-16"/>
          <w:w w:val="115"/>
        </w:rPr>
        <w:t> </w:t>
      </w:r>
      <w:r>
        <w:rPr>
          <w:spacing w:val="-3"/>
          <w:w w:val="140"/>
        </w:rPr>
        <w:t>altEC.</w:t>
      </w:r>
    </w:p>
    <w:p>
      <w:pPr>
        <w:pStyle w:val="BodyText"/>
        <w:spacing w:line="252" w:lineRule="auto"/>
        <w:ind w:left="330" w:right="117" w:firstLine="397"/>
        <w:jc w:val="both"/>
      </w:pPr>
      <w:r>
        <w:rPr>
          <w:w w:val="110"/>
        </w:rPr>
        <w:t>No obstante, ya en Nsb (2008) se rectificaría, reconociendo con aprensión</w:t>
      </w:r>
      <w:r>
        <w:rPr>
          <w:spacing w:val="-13"/>
          <w:w w:val="110"/>
        </w:rPr>
        <w:t> </w:t>
      </w:r>
      <w:r>
        <w:rPr>
          <w:w w:val="110"/>
        </w:rPr>
        <w:t>la</w:t>
      </w:r>
      <w:r>
        <w:rPr>
          <w:spacing w:val="-13"/>
          <w:w w:val="110"/>
        </w:rPr>
        <w:t> </w:t>
      </w:r>
      <w:r>
        <w:rPr>
          <w:w w:val="110"/>
        </w:rPr>
        <w:t>ausencia</w:t>
      </w:r>
      <w:r>
        <w:rPr>
          <w:spacing w:val="-13"/>
          <w:w w:val="110"/>
        </w:rPr>
        <w:t> </w:t>
      </w:r>
      <w:r>
        <w:rPr>
          <w:w w:val="110"/>
        </w:rPr>
        <w:t>de</w:t>
      </w:r>
      <w:r>
        <w:rPr>
          <w:spacing w:val="-13"/>
          <w:w w:val="110"/>
        </w:rPr>
        <w:t> </w:t>
      </w:r>
      <w:r>
        <w:rPr>
          <w:w w:val="110"/>
        </w:rPr>
        <w:t>una</w:t>
      </w:r>
      <w:r>
        <w:rPr>
          <w:spacing w:val="-13"/>
          <w:w w:val="110"/>
        </w:rPr>
        <w:t> </w:t>
      </w:r>
      <w:r>
        <w:rPr>
          <w:i/>
          <w:w w:val="110"/>
        </w:rPr>
        <w:t>métrica</w:t>
      </w:r>
      <w:r>
        <w:rPr>
          <w:i/>
          <w:spacing w:val="-13"/>
          <w:w w:val="110"/>
        </w:rPr>
        <w:t> </w:t>
      </w:r>
      <w:r>
        <w:rPr>
          <w:i/>
          <w:w w:val="110"/>
        </w:rPr>
        <w:t>adecuada</w:t>
      </w:r>
      <w:r>
        <w:rPr>
          <w:i/>
          <w:spacing w:val="-13"/>
          <w:w w:val="110"/>
        </w:rPr>
        <w:t> </w:t>
      </w:r>
      <w:r>
        <w:rPr>
          <w:w w:val="110"/>
        </w:rPr>
        <w:t>contentiva</w:t>
      </w:r>
      <w:r>
        <w:rPr>
          <w:spacing w:val="-13"/>
          <w:w w:val="110"/>
        </w:rPr>
        <w:t> </w:t>
      </w:r>
      <w:r>
        <w:rPr>
          <w:w w:val="110"/>
        </w:rPr>
        <w:t>de</w:t>
      </w:r>
      <w:r>
        <w:rPr>
          <w:spacing w:val="-13"/>
          <w:w w:val="110"/>
        </w:rPr>
        <w:t> </w:t>
      </w:r>
      <w:r>
        <w:rPr>
          <w:w w:val="110"/>
        </w:rPr>
        <w:t>datos</w:t>
      </w:r>
      <w:r>
        <w:rPr>
          <w:spacing w:val="-13"/>
          <w:w w:val="110"/>
        </w:rPr>
        <w:t> </w:t>
      </w:r>
      <w:r>
        <w:rPr>
          <w:w w:val="110"/>
        </w:rPr>
        <w:t>que reflejasen los cambios acaecidos en el ciclo reproductivo, complejiza- do por la globalización, con tal de considerar en las cadenas globales no solo ya los valores añadidos en las diversas etapas de producción, sino también los de la generación del capital intelectual. se constató, con preocupación, la significativa reducción del financiamiento fede- ral y el desentendimiento –por el sector industrial– de la</w:t>
      </w:r>
      <w:r>
        <w:rPr>
          <w:spacing w:val="-24"/>
          <w:w w:val="110"/>
        </w:rPr>
        <w:t> </w:t>
      </w:r>
      <w:r>
        <w:rPr>
          <w:w w:val="110"/>
        </w:rPr>
        <w:t>investigación fundamental, con nefastas consecuencias –no necesariamente recupe- rables– tanto para la esfera laboral cualificada como, esencialmente, para la competitividad y el vanguardismo a futuro, acaecidas con la dispersión del núcleo duro de </w:t>
      </w:r>
      <w:r>
        <w:rPr>
          <w:i/>
          <w:w w:val="110"/>
        </w:rPr>
        <w:t>los cuellos blancos</w:t>
      </w:r>
      <w:r>
        <w:rPr>
          <w:w w:val="110"/>
        </w:rPr>
        <w:t>.referirían también, como consecuencia preocupante, la drástica reducción de la produc- ción de artículos científicos en revistas arbitradas del sector indus- trial</w:t>
      </w:r>
      <w:r>
        <w:rPr>
          <w:spacing w:val="-5"/>
          <w:w w:val="110"/>
        </w:rPr>
        <w:t> </w:t>
      </w:r>
      <w:r>
        <w:rPr>
          <w:w w:val="110"/>
        </w:rPr>
        <w:t>(-30%</w:t>
      </w:r>
      <w:r>
        <w:rPr>
          <w:spacing w:val="-5"/>
          <w:w w:val="110"/>
        </w:rPr>
        <w:t> </w:t>
      </w:r>
      <w:r>
        <w:rPr>
          <w:w w:val="110"/>
        </w:rPr>
        <w:t>en</w:t>
      </w:r>
      <w:r>
        <w:rPr>
          <w:spacing w:val="-5"/>
          <w:w w:val="110"/>
        </w:rPr>
        <w:t> </w:t>
      </w:r>
      <w:r>
        <w:rPr>
          <w:w w:val="110"/>
        </w:rPr>
        <w:t>general,</w:t>
      </w:r>
      <w:r>
        <w:rPr>
          <w:spacing w:val="-5"/>
          <w:w w:val="110"/>
        </w:rPr>
        <w:t> </w:t>
      </w:r>
      <w:r>
        <w:rPr>
          <w:w w:val="110"/>
        </w:rPr>
        <w:t>entre</w:t>
      </w:r>
      <w:r>
        <w:rPr>
          <w:spacing w:val="-5"/>
          <w:w w:val="110"/>
        </w:rPr>
        <w:t> </w:t>
      </w:r>
      <w:r>
        <w:rPr>
          <w:w w:val="110"/>
        </w:rPr>
        <w:t>1995</w:t>
      </w:r>
      <w:r>
        <w:rPr>
          <w:spacing w:val="-5"/>
          <w:w w:val="110"/>
        </w:rPr>
        <w:t> </w:t>
      </w:r>
      <w:r>
        <w:rPr>
          <w:w w:val="110"/>
        </w:rPr>
        <w:t>y</w:t>
      </w:r>
      <w:r>
        <w:rPr>
          <w:spacing w:val="-5"/>
          <w:w w:val="110"/>
        </w:rPr>
        <w:t> </w:t>
      </w:r>
      <w:r>
        <w:rPr>
          <w:w w:val="110"/>
        </w:rPr>
        <w:t>2005</w:t>
      </w:r>
      <w:r>
        <w:rPr>
          <w:spacing w:val="-5"/>
          <w:w w:val="110"/>
        </w:rPr>
        <w:t> </w:t>
      </w:r>
      <w:r>
        <w:rPr>
          <w:spacing w:val="-11"/>
          <w:w w:val="110"/>
        </w:rPr>
        <w:t>y,</w:t>
      </w:r>
      <w:r>
        <w:rPr>
          <w:spacing w:val="-5"/>
          <w:w w:val="110"/>
        </w:rPr>
        <w:t> </w:t>
      </w:r>
      <w:r>
        <w:rPr>
          <w:w w:val="110"/>
        </w:rPr>
        <w:t>especialmente</w:t>
      </w:r>
      <w:r>
        <w:rPr>
          <w:spacing w:val="-5"/>
          <w:w w:val="110"/>
        </w:rPr>
        <w:t> </w:t>
      </w:r>
      <w:r>
        <w:rPr>
          <w:w w:val="110"/>
        </w:rPr>
        <w:t>en</w:t>
      </w:r>
      <w:r>
        <w:rPr>
          <w:spacing w:val="-5"/>
          <w:w w:val="110"/>
        </w:rPr>
        <w:t> </w:t>
      </w:r>
      <w:r>
        <w:rPr>
          <w:w w:val="110"/>
        </w:rPr>
        <w:t>física,</w:t>
      </w:r>
      <w:r>
        <w:rPr>
          <w:spacing w:val="-5"/>
          <w:w w:val="110"/>
        </w:rPr>
        <w:t> </w:t>
      </w:r>
      <w:r>
        <w:rPr>
          <w:w w:val="110"/>
        </w:rPr>
        <w:t>de</w:t>
      </w:r>
    </w:p>
    <w:p>
      <w:pPr>
        <w:pStyle w:val="BodyText"/>
        <w:ind w:left="330"/>
        <w:jc w:val="both"/>
      </w:pPr>
      <w:r>
        <w:rPr>
          <w:w w:val="110"/>
        </w:rPr>
        <w:t>1.000 publicaciones en 1988 a solo 300 en 2005).</w:t>
      </w:r>
    </w:p>
    <w:p>
      <w:pPr>
        <w:pStyle w:val="BodyText"/>
        <w:spacing w:line="252" w:lineRule="auto" w:before="11"/>
        <w:ind w:left="330" w:right="118" w:firstLine="396"/>
        <w:jc w:val="both"/>
      </w:pPr>
      <w:r>
        <w:rPr>
          <w:w w:val="110"/>
        </w:rPr>
        <w:t>El proceso de advenimiento del nuevo paradigma tecno-económi- co transcurriría a partir de los años setenta en un escenario</w:t>
      </w:r>
      <w:r>
        <w:rPr>
          <w:spacing w:val="-22"/>
          <w:w w:val="110"/>
        </w:rPr>
        <w:t> </w:t>
      </w:r>
      <w:r>
        <w:rPr>
          <w:w w:val="110"/>
        </w:rPr>
        <w:t>contradic-</w:t>
      </w:r>
    </w:p>
    <w:p>
      <w:pPr>
        <w:spacing w:after="0" w:line="252" w:lineRule="auto"/>
        <w:jc w:val="both"/>
        <w:sectPr>
          <w:footerReference w:type="even" r:id="rId245"/>
          <w:footerReference w:type="default" r:id="rId246"/>
          <w:pgSz w:w="8790" w:h="12760"/>
          <w:pgMar w:footer="725" w:header="697" w:top="880" w:bottom="920" w:left="1200" w:right="900"/>
          <w:pgNumType w:start="172"/>
        </w:sectPr>
      </w:pPr>
    </w:p>
    <w:p>
      <w:pPr>
        <w:pStyle w:val="BodyText"/>
        <w:spacing w:before="9"/>
        <w:rPr>
          <w:sz w:val="28"/>
        </w:rPr>
      </w:pPr>
    </w:p>
    <w:p>
      <w:pPr>
        <w:pStyle w:val="BodyText"/>
        <w:spacing w:line="252" w:lineRule="auto" w:before="73"/>
        <w:ind w:left="100" w:right="328"/>
        <w:jc w:val="both"/>
      </w:pPr>
      <w:r>
        <w:rPr>
          <w:w w:val="110"/>
        </w:rPr>
        <w:t>torio, la llamada </w:t>
      </w:r>
      <w:r>
        <w:rPr>
          <w:i/>
          <w:w w:val="110"/>
        </w:rPr>
        <w:t>paradoja de la productividad</w:t>
      </w:r>
      <w:r>
        <w:rPr>
          <w:w w:val="110"/>
        </w:rPr>
        <w:t>. Concepto acuñado por el Premio Nobel robert solow </w:t>
      </w:r>
      <w:r>
        <w:rPr>
          <w:spacing w:val="-3"/>
          <w:w w:val="110"/>
        </w:rPr>
        <w:t>(solow,  </w:t>
      </w:r>
      <w:r>
        <w:rPr>
          <w:w w:val="110"/>
        </w:rPr>
        <w:t>1987), éste se caracterizaría  por la ínfima correlación observada en un período de más de veinte años entre las enormes inversiones realizadas en la reconversión tec- nológica de avanzada con un notable incremento de la productividad </w:t>
      </w:r>
      <w:r>
        <w:rPr>
          <w:i/>
          <w:w w:val="110"/>
        </w:rPr>
        <w:t>in situ</w:t>
      </w:r>
      <w:r>
        <w:rPr>
          <w:w w:val="110"/>
        </w:rPr>
        <w:t>, por un lado, y el lento y mínimo crecimiento de la productivi- dad social a niveles macroeconómicos en ese prolongado lapso (hasta 1995, en EE.uu.), por el   </w:t>
      </w:r>
      <w:r>
        <w:rPr>
          <w:spacing w:val="2"/>
          <w:w w:val="110"/>
        </w:rPr>
        <w:t> </w:t>
      </w:r>
      <w:r>
        <w:rPr>
          <w:w w:val="110"/>
        </w:rPr>
        <w:t>otro.</w:t>
      </w:r>
    </w:p>
    <w:p>
      <w:pPr>
        <w:pStyle w:val="BodyText"/>
        <w:spacing w:line="252" w:lineRule="auto"/>
        <w:ind w:left="100" w:right="328" w:firstLine="396"/>
        <w:jc w:val="both"/>
      </w:pPr>
      <w:r>
        <w:rPr>
          <w:w w:val="110"/>
        </w:rPr>
        <w:t>Entre sus diversas causas algunos –si bien le adjudicarían limita- ciones inherentes al modo capitalista de producción– las reducirían en</w:t>
      </w:r>
      <w:r>
        <w:rPr>
          <w:spacing w:val="-5"/>
          <w:w w:val="110"/>
        </w:rPr>
        <w:t> </w:t>
      </w:r>
      <w:r>
        <w:rPr>
          <w:w w:val="110"/>
        </w:rPr>
        <w:t>su</w:t>
      </w:r>
      <w:r>
        <w:rPr>
          <w:spacing w:val="-5"/>
          <w:w w:val="110"/>
        </w:rPr>
        <w:t> </w:t>
      </w:r>
      <w:r>
        <w:rPr>
          <w:w w:val="110"/>
        </w:rPr>
        <w:t>explicación</w:t>
      </w:r>
      <w:r>
        <w:rPr>
          <w:spacing w:val="-5"/>
          <w:w w:val="110"/>
        </w:rPr>
        <w:t> </w:t>
      </w:r>
      <w:r>
        <w:rPr>
          <w:w w:val="110"/>
        </w:rPr>
        <w:t>a</w:t>
      </w:r>
      <w:r>
        <w:rPr>
          <w:spacing w:val="-5"/>
          <w:w w:val="110"/>
        </w:rPr>
        <w:t> </w:t>
      </w:r>
      <w:r>
        <w:rPr>
          <w:w w:val="110"/>
        </w:rPr>
        <w:t>los</w:t>
      </w:r>
      <w:r>
        <w:rPr>
          <w:spacing w:val="-5"/>
          <w:w w:val="110"/>
        </w:rPr>
        <w:t> </w:t>
      </w:r>
      <w:r>
        <w:rPr>
          <w:w w:val="110"/>
        </w:rPr>
        <w:t>aspectos</w:t>
      </w:r>
      <w:r>
        <w:rPr>
          <w:spacing w:val="-5"/>
          <w:w w:val="110"/>
        </w:rPr>
        <w:t> </w:t>
      </w:r>
      <w:r>
        <w:rPr>
          <w:w w:val="110"/>
        </w:rPr>
        <w:t>organizativos</w:t>
      </w:r>
      <w:r>
        <w:rPr>
          <w:spacing w:val="-5"/>
          <w:w w:val="110"/>
        </w:rPr>
        <w:t> </w:t>
      </w:r>
      <w:r>
        <w:rPr>
          <w:w w:val="110"/>
        </w:rPr>
        <w:t>y</w:t>
      </w:r>
      <w:r>
        <w:rPr>
          <w:spacing w:val="-5"/>
          <w:w w:val="110"/>
        </w:rPr>
        <w:t> </w:t>
      </w:r>
      <w:r>
        <w:rPr>
          <w:w w:val="110"/>
        </w:rPr>
        <w:t>de</w:t>
      </w:r>
      <w:r>
        <w:rPr>
          <w:spacing w:val="-5"/>
          <w:w w:val="110"/>
        </w:rPr>
        <w:t> </w:t>
      </w:r>
      <w:r>
        <w:rPr>
          <w:w w:val="110"/>
        </w:rPr>
        <w:t>deficiente</w:t>
      </w:r>
      <w:r>
        <w:rPr>
          <w:spacing w:val="-5"/>
          <w:w w:val="110"/>
        </w:rPr>
        <w:t> </w:t>
      </w:r>
      <w:r>
        <w:rPr>
          <w:w w:val="110"/>
        </w:rPr>
        <w:t>planifica- ción</w:t>
      </w:r>
      <w:r>
        <w:rPr>
          <w:spacing w:val="-5"/>
          <w:w w:val="110"/>
        </w:rPr>
        <w:t> </w:t>
      </w:r>
      <w:r>
        <w:rPr>
          <w:w w:val="110"/>
        </w:rPr>
        <w:t>perfectamente</w:t>
      </w:r>
      <w:r>
        <w:rPr>
          <w:spacing w:val="-5"/>
          <w:w w:val="110"/>
        </w:rPr>
        <w:t> </w:t>
      </w:r>
      <w:r>
        <w:rPr>
          <w:w w:val="110"/>
        </w:rPr>
        <w:t>superables</w:t>
      </w:r>
      <w:r>
        <w:rPr>
          <w:spacing w:val="-5"/>
          <w:w w:val="110"/>
        </w:rPr>
        <w:t> </w:t>
      </w:r>
      <w:r>
        <w:rPr>
          <w:w w:val="110"/>
        </w:rPr>
        <w:t>dentro</w:t>
      </w:r>
      <w:r>
        <w:rPr>
          <w:spacing w:val="-5"/>
          <w:w w:val="110"/>
        </w:rPr>
        <w:t> </w:t>
      </w:r>
      <w:r>
        <w:rPr>
          <w:w w:val="110"/>
        </w:rPr>
        <w:t>del</w:t>
      </w:r>
      <w:r>
        <w:rPr>
          <w:spacing w:val="-5"/>
          <w:w w:val="110"/>
        </w:rPr>
        <w:t> </w:t>
      </w:r>
      <w:r>
        <w:rPr>
          <w:w w:val="110"/>
        </w:rPr>
        <w:t>sistema,</w:t>
      </w:r>
      <w:r>
        <w:rPr>
          <w:spacing w:val="-5"/>
          <w:w w:val="110"/>
        </w:rPr>
        <w:t> </w:t>
      </w:r>
      <w:r>
        <w:rPr>
          <w:w w:val="110"/>
        </w:rPr>
        <w:t>lo</w:t>
      </w:r>
      <w:r>
        <w:rPr>
          <w:spacing w:val="-5"/>
          <w:w w:val="110"/>
        </w:rPr>
        <w:t> </w:t>
      </w:r>
      <w:r>
        <w:rPr>
          <w:w w:val="110"/>
        </w:rPr>
        <w:t>que</w:t>
      </w:r>
      <w:r>
        <w:rPr>
          <w:spacing w:val="-5"/>
          <w:w w:val="110"/>
        </w:rPr>
        <w:t> </w:t>
      </w:r>
      <w:r>
        <w:rPr>
          <w:w w:val="110"/>
        </w:rPr>
        <w:t>en</w:t>
      </w:r>
      <w:r>
        <w:rPr>
          <w:spacing w:val="-5"/>
          <w:w w:val="110"/>
        </w:rPr>
        <w:t> </w:t>
      </w:r>
      <w:r>
        <w:rPr>
          <w:w w:val="110"/>
        </w:rPr>
        <w:t>particular se manifestaría, por ejemplo, en las desproporciones estructurales ge- neradas por el desbalance en el intervalo temporal entre la dinámica de la nueva base técnica de la producción y la de los cambios en la estructura profesional y cualificativa de la fuerza </w:t>
      </w:r>
      <w:r>
        <w:rPr>
          <w:spacing w:val="19"/>
          <w:w w:val="110"/>
        </w:rPr>
        <w:t> </w:t>
      </w:r>
      <w:r>
        <w:rPr>
          <w:w w:val="110"/>
        </w:rPr>
        <w:t>laboral.</w:t>
      </w:r>
    </w:p>
    <w:p>
      <w:pPr>
        <w:pStyle w:val="BodyText"/>
        <w:spacing w:line="252" w:lineRule="auto"/>
        <w:ind w:left="100" w:right="328" w:firstLine="396"/>
        <w:jc w:val="both"/>
      </w:pPr>
      <w:r>
        <w:rPr>
          <w:w w:val="115"/>
        </w:rPr>
        <w:t>El quid, sin embargo, consistiría en abordar el tema en toda su profundidad, llegando al mismo grano de los límites de la</w:t>
      </w:r>
      <w:r>
        <w:rPr>
          <w:spacing w:val="-19"/>
          <w:w w:val="115"/>
        </w:rPr>
        <w:t> </w:t>
      </w:r>
      <w:r>
        <w:rPr>
          <w:w w:val="115"/>
        </w:rPr>
        <w:t>racionali- </w:t>
      </w:r>
      <w:r>
        <w:rPr>
          <w:w w:val="110"/>
        </w:rPr>
        <w:t>dad</w:t>
      </w:r>
      <w:r>
        <w:rPr>
          <w:spacing w:val="-6"/>
          <w:w w:val="110"/>
        </w:rPr>
        <w:t> </w:t>
      </w:r>
      <w:r>
        <w:rPr>
          <w:w w:val="110"/>
        </w:rPr>
        <w:t>del</w:t>
      </w:r>
      <w:r>
        <w:rPr>
          <w:spacing w:val="-6"/>
          <w:w w:val="110"/>
        </w:rPr>
        <w:t> </w:t>
      </w:r>
      <w:r>
        <w:rPr>
          <w:w w:val="110"/>
        </w:rPr>
        <w:t>proceso</w:t>
      </w:r>
      <w:r>
        <w:rPr>
          <w:spacing w:val="-6"/>
          <w:w w:val="110"/>
        </w:rPr>
        <w:t> </w:t>
      </w:r>
      <w:r>
        <w:rPr>
          <w:w w:val="110"/>
        </w:rPr>
        <w:t>reproductivo</w:t>
      </w:r>
      <w:r>
        <w:rPr>
          <w:spacing w:val="-6"/>
          <w:w w:val="110"/>
        </w:rPr>
        <w:t> </w:t>
      </w:r>
      <w:r>
        <w:rPr>
          <w:w w:val="110"/>
        </w:rPr>
        <w:t>capitalista</w:t>
      </w:r>
      <w:r>
        <w:rPr>
          <w:spacing w:val="-6"/>
          <w:w w:val="110"/>
        </w:rPr>
        <w:t> </w:t>
      </w:r>
      <w:r>
        <w:rPr>
          <w:w w:val="110"/>
        </w:rPr>
        <w:t>en</w:t>
      </w:r>
      <w:r>
        <w:rPr>
          <w:spacing w:val="-6"/>
          <w:w w:val="110"/>
        </w:rPr>
        <w:t> </w:t>
      </w:r>
      <w:r>
        <w:rPr>
          <w:w w:val="110"/>
        </w:rPr>
        <w:t>la</w:t>
      </w:r>
      <w:r>
        <w:rPr>
          <w:spacing w:val="-6"/>
          <w:w w:val="110"/>
        </w:rPr>
        <w:t> </w:t>
      </w:r>
      <w:r>
        <w:rPr>
          <w:i/>
          <w:w w:val="110"/>
        </w:rPr>
        <w:t>era</w:t>
      </w:r>
      <w:r>
        <w:rPr>
          <w:i/>
          <w:spacing w:val="-6"/>
          <w:w w:val="110"/>
        </w:rPr>
        <w:t> </w:t>
      </w:r>
      <w:r>
        <w:rPr>
          <w:i/>
          <w:w w:val="110"/>
        </w:rPr>
        <w:t>del</w:t>
      </w:r>
      <w:r>
        <w:rPr>
          <w:i/>
          <w:spacing w:val="-6"/>
          <w:w w:val="110"/>
        </w:rPr>
        <w:t> </w:t>
      </w:r>
      <w:r>
        <w:rPr>
          <w:i/>
          <w:w w:val="110"/>
        </w:rPr>
        <w:t>nuevo</w:t>
      </w:r>
      <w:r>
        <w:rPr>
          <w:i/>
          <w:spacing w:val="-6"/>
          <w:w w:val="110"/>
        </w:rPr>
        <w:t> </w:t>
      </w:r>
      <w:r>
        <w:rPr>
          <w:i/>
          <w:w w:val="110"/>
        </w:rPr>
        <w:t>paradigma </w:t>
      </w:r>
      <w:r>
        <w:rPr>
          <w:i/>
          <w:w w:val="115"/>
        </w:rPr>
        <w:t>tecnoeconómico</w:t>
      </w:r>
      <w:r>
        <w:rPr>
          <w:w w:val="115"/>
        </w:rPr>
        <w:t>.</w:t>
      </w:r>
      <w:r>
        <w:rPr>
          <w:spacing w:val="-21"/>
          <w:w w:val="115"/>
        </w:rPr>
        <w:t> </w:t>
      </w:r>
      <w:r>
        <w:rPr>
          <w:w w:val="115"/>
        </w:rPr>
        <w:t>así,</w:t>
      </w:r>
      <w:r>
        <w:rPr>
          <w:spacing w:val="-21"/>
          <w:w w:val="115"/>
        </w:rPr>
        <w:t> </w:t>
      </w:r>
      <w:r>
        <w:rPr>
          <w:spacing w:val="-3"/>
          <w:w w:val="115"/>
        </w:rPr>
        <w:t>tablada</w:t>
      </w:r>
      <w:r>
        <w:rPr>
          <w:spacing w:val="-21"/>
          <w:w w:val="115"/>
        </w:rPr>
        <w:t> </w:t>
      </w:r>
      <w:r>
        <w:rPr>
          <w:w w:val="115"/>
        </w:rPr>
        <w:t>y</w:t>
      </w:r>
      <w:r>
        <w:rPr>
          <w:spacing w:val="-21"/>
          <w:w w:val="115"/>
        </w:rPr>
        <w:t> </w:t>
      </w:r>
      <w:r>
        <w:rPr>
          <w:w w:val="115"/>
        </w:rPr>
        <w:t>dierckxsens</w:t>
      </w:r>
      <w:r>
        <w:rPr>
          <w:spacing w:val="-21"/>
          <w:w w:val="115"/>
        </w:rPr>
        <w:t> </w:t>
      </w:r>
      <w:r>
        <w:rPr>
          <w:w w:val="115"/>
        </w:rPr>
        <w:t>(2002)</w:t>
      </w:r>
      <w:r>
        <w:rPr>
          <w:spacing w:val="-21"/>
          <w:w w:val="115"/>
        </w:rPr>
        <w:t> </w:t>
      </w:r>
      <w:r>
        <w:rPr>
          <w:w w:val="115"/>
        </w:rPr>
        <w:t>referirían</w:t>
      </w:r>
      <w:r>
        <w:rPr>
          <w:spacing w:val="-21"/>
          <w:w w:val="115"/>
        </w:rPr>
        <w:t> </w:t>
      </w:r>
      <w:r>
        <w:rPr>
          <w:w w:val="115"/>
        </w:rPr>
        <w:t>que</w:t>
      </w:r>
      <w:r>
        <w:rPr>
          <w:spacing w:val="-21"/>
          <w:w w:val="115"/>
        </w:rPr>
        <w:t> </w:t>
      </w:r>
      <w:r>
        <w:rPr>
          <w:w w:val="115"/>
        </w:rPr>
        <w:t>bajo la</w:t>
      </w:r>
      <w:r>
        <w:rPr>
          <w:spacing w:val="-7"/>
          <w:w w:val="115"/>
        </w:rPr>
        <w:t> </w:t>
      </w:r>
      <w:r>
        <w:rPr>
          <w:w w:val="115"/>
        </w:rPr>
        <w:t>racionalidad</w:t>
      </w:r>
      <w:r>
        <w:rPr>
          <w:spacing w:val="-7"/>
          <w:w w:val="115"/>
        </w:rPr>
        <w:t> </w:t>
      </w:r>
      <w:r>
        <w:rPr>
          <w:w w:val="115"/>
        </w:rPr>
        <w:t>capitalista</w:t>
      </w:r>
      <w:r>
        <w:rPr>
          <w:spacing w:val="-7"/>
          <w:w w:val="115"/>
        </w:rPr>
        <w:t> </w:t>
      </w:r>
      <w:r>
        <w:rPr>
          <w:w w:val="115"/>
        </w:rPr>
        <w:t>el</w:t>
      </w:r>
      <w:r>
        <w:rPr>
          <w:spacing w:val="-7"/>
          <w:w w:val="115"/>
        </w:rPr>
        <w:t> </w:t>
      </w:r>
      <w:r>
        <w:rPr>
          <w:w w:val="115"/>
        </w:rPr>
        <w:t>crecimiento</w:t>
      </w:r>
      <w:r>
        <w:rPr>
          <w:spacing w:val="-7"/>
          <w:w w:val="115"/>
        </w:rPr>
        <w:t> </w:t>
      </w:r>
      <w:r>
        <w:rPr>
          <w:w w:val="115"/>
        </w:rPr>
        <w:t>económico</w:t>
      </w:r>
      <w:r>
        <w:rPr>
          <w:spacing w:val="-7"/>
          <w:w w:val="115"/>
        </w:rPr>
        <w:t> </w:t>
      </w:r>
      <w:r>
        <w:rPr>
          <w:w w:val="115"/>
        </w:rPr>
        <w:t>se</w:t>
      </w:r>
      <w:r>
        <w:rPr>
          <w:spacing w:val="-7"/>
          <w:w w:val="115"/>
        </w:rPr>
        <w:t> </w:t>
      </w:r>
      <w:r>
        <w:rPr>
          <w:w w:val="115"/>
        </w:rPr>
        <w:t>desenvuelve partiendo</w:t>
      </w:r>
      <w:r>
        <w:rPr>
          <w:spacing w:val="-18"/>
          <w:w w:val="115"/>
        </w:rPr>
        <w:t> </w:t>
      </w:r>
      <w:r>
        <w:rPr>
          <w:w w:val="115"/>
        </w:rPr>
        <w:t>de</w:t>
      </w:r>
      <w:r>
        <w:rPr>
          <w:spacing w:val="-18"/>
          <w:w w:val="115"/>
        </w:rPr>
        <w:t> </w:t>
      </w:r>
      <w:r>
        <w:rPr>
          <w:w w:val="115"/>
        </w:rPr>
        <w:t>la</w:t>
      </w:r>
      <w:r>
        <w:rPr>
          <w:spacing w:val="-18"/>
          <w:w w:val="115"/>
        </w:rPr>
        <w:t> </w:t>
      </w:r>
      <w:r>
        <w:rPr>
          <w:w w:val="115"/>
        </w:rPr>
        <w:t>maximización</w:t>
      </w:r>
      <w:r>
        <w:rPr>
          <w:spacing w:val="-18"/>
          <w:w w:val="115"/>
        </w:rPr>
        <w:t> </w:t>
      </w:r>
      <w:r>
        <w:rPr>
          <w:w w:val="115"/>
        </w:rPr>
        <w:t>de</w:t>
      </w:r>
      <w:r>
        <w:rPr>
          <w:spacing w:val="-18"/>
          <w:w w:val="115"/>
        </w:rPr>
        <w:t> </w:t>
      </w:r>
      <w:r>
        <w:rPr>
          <w:w w:val="115"/>
        </w:rPr>
        <w:t>la</w:t>
      </w:r>
      <w:r>
        <w:rPr>
          <w:spacing w:val="-18"/>
          <w:w w:val="115"/>
        </w:rPr>
        <w:t> </w:t>
      </w:r>
      <w:r>
        <w:rPr>
          <w:w w:val="115"/>
        </w:rPr>
        <w:t>ganancia,</w:t>
      </w:r>
      <w:r>
        <w:rPr>
          <w:spacing w:val="-18"/>
          <w:w w:val="115"/>
        </w:rPr>
        <w:t> </w:t>
      </w:r>
      <w:r>
        <w:rPr>
          <w:w w:val="115"/>
        </w:rPr>
        <w:t>para</w:t>
      </w:r>
      <w:r>
        <w:rPr>
          <w:spacing w:val="-18"/>
          <w:w w:val="115"/>
        </w:rPr>
        <w:t> </w:t>
      </w:r>
      <w:r>
        <w:rPr>
          <w:w w:val="115"/>
        </w:rPr>
        <w:t>lo</w:t>
      </w:r>
      <w:r>
        <w:rPr>
          <w:spacing w:val="-18"/>
          <w:w w:val="115"/>
        </w:rPr>
        <w:t> </w:t>
      </w:r>
      <w:r>
        <w:rPr>
          <w:w w:val="115"/>
        </w:rPr>
        <w:t>cual</w:t>
      </w:r>
      <w:r>
        <w:rPr>
          <w:spacing w:val="-18"/>
          <w:w w:val="115"/>
        </w:rPr>
        <w:t> </w:t>
      </w:r>
      <w:r>
        <w:rPr>
          <w:w w:val="115"/>
        </w:rPr>
        <w:t>incrementa en su entorno competitivo la productividad mediante la</w:t>
      </w:r>
      <w:r>
        <w:rPr>
          <w:spacing w:val="-17"/>
          <w:w w:val="115"/>
        </w:rPr>
        <w:t> </w:t>
      </w:r>
      <w:r>
        <w:rPr>
          <w:w w:val="115"/>
        </w:rPr>
        <w:t>permanen- te innovación tecnológica. si bien disponer de tecnología de punta significaría</w:t>
      </w:r>
      <w:r>
        <w:rPr>
          <w:spacing w:val="-11"/>
          <w:w w:val="115"/>
        </w:rPr>
        <w:t> </w:t>
      </w:r>
      <w:r>
        <w:rPr>
          <w:w w:val="115"/>
        </w:rPr>
        <w:t>acceder</w:t>
      </w:r>
      <w:r>
        <w:rPr>
          <w:spacing w:val="-11"/>
          <w:w w:val="115"/>
        </w:rPr>
        <w:t> </w:t>
      </w:r>
      <w:r>
        <w:rPr>
          <w:w w:val="115"/>
        </w:rPr>
        <w:t>a</w:t>
      </w:r>
      <w:r>
        <w:rPr>
          <w:spacing w:val="-11"/>
          <w:w w:val="115"/>
        </w:rPr>
        <w:t> </w:t>
      </w:r>
      <w:r>
        <w:rPr>
          <w:w w:val="115"/>
        </w:rPr>
        <w:t>ventajas</w:t>
      </w:r>
      <w:r>
        <w:rPr>
          <w:spacing w:val="-11"/>
          <w:w w:val="115"/>
        </w:rPr>
        <w:t> </w:t>
      </w:r>
      <w:r>
        <w:rPr>
          <w:w w:val="115"/>
        </w:rPr>
        <w:t>competitivas</w:t>
      </w:r>
      <w:r>
        <w:rPr>
          <w:spacing w:val="-11"/>
          <w:w w:val="115"/>
        </w:rPr>
        <w:t> </w:t>
      </w:r>
      <w:r>
        <w:rPr>
          <w:w w:val="115"/>
        </w:rPr>
        <w:t>dinámicas</w:t>
      </w:r>
      <w:r>
        <w:rPr>
          <w:spacing w:val="-11"/>
          <w:w w:val="115"/>
        </w:rPr>
        <w:t> y, </w:t>
      </w:r>
      <w:r>
        <w:rPr>
          <w:w w:val="115"/>
        </w:rPr>
        <w:t>por</w:t>
      </w:r>
      <w:r>
        <w:rPr>
          <w:spacing w:val="-11"/>
          <w:w w:val="115"/>
        </w:rPr>
        <w:t> </w:t>
      </w:r>
      <w:r>
        <w:rPr>
          <w:w w:val="115"/>
        </w:rPr>
        <w:t>tanto,</w:t>
      </w:r>
      <w:r>
        <w:rPr>
          <w:spacing w:val="-11"/>
          <w:w w:val="115"/>
        </w:rPr>
        <w:t> </w:t>
      </w:r>
      <w:r>
        <w:rPr>
          <w:w w:val="115"/>
        </w:rPr>
        <w:t>a mejores oportunidades para la ganancia, no obstante la innovación tecnológica </w:t>
      </w:r>
      <w:r>
        <w:rPr>
          <w:i/>
          <w:w w:val="115"/>
        </w:rPr>
        <w:t>per se </w:t>
      </w:r>
      <w:r>
        <w:rPr>
          <w:w w:val="115"/>
        </w:rPr>
        <w:t>no garantizaría aún una mayor tasa de ganancia ya que la rentabilidad de la innovación tecnológica dependería a su vez</w:t>
      </w:r>
      <w:r>
        <w:rPr>
          <w:spacing w:val="-12"/>
          <w:w w:val="115"/>
        </w:rPr>
        <w:t> </w:t>
      </w:r>
      <w:r>
        <w:rPr>
          <w:w w:val="115"/>
        </w:rPr>
        <w:t>del</w:t>
      </w:r>
      <w:r>
        <w:rPr>
          <w:spacing w:val="-12"/>
          <w:w w:val="115"/>
        </w:rPr>
        <w:t> </w:t>
      </w:r>
      <w:r>
        <w:rPr>
          <w:w w:val="115"/>
        </w:rPr>
        <w:t>costo</w:t>
      </w:r>
      <w:r>
        <w:rPr>
          <w:spacing w:val="-12"/>
          <w:w w:val="115"/>
        </w:rPr>
        <w:t> </w:t>
      </w:r>
      <w:r>
        <w:rPr>
          <w:w w:val="115"/>
        </w:rPr>
        <w:t>de</w:t>
      </w:r>
      <w:r>
        <w:rPr>
          <w:spacing w:val="-12"/>
          <w:w w:val="115"/>
        </w:rPr>
        <w:t> </w:t>
      </w:r>
      <w:r>
        <w:rPr>
          <w:w w:val="115"/>
        </w:rPr>
        <w:t>su</w:t>
      </w:r>
      <w:r>
        <w:rPr>
          <w:spacing w:val="-12"/>
          <w:w w:val="115"/>
        </w:rPr>
        <w:t> </w:t>
      </w:r>
      <w:r>
        <w:rPr>
          <w:w w:val="115"/>
        </w:rPr>
        <w:t>reposición</w:t>
      </w:r>
      <w:r>
        <w:rPr>
          <w:spacing w:val="-12"/>
          <w:w w:val="115"/>
        </w:rPr>
        <w:t> </w:t>
      </w:r>
      <w:r>
        <w:rPr>
          <w:w w:val="115"/>
        </w:rPr>
        <w:t>en</w:t>
      </w:r>
      <w:r>
        <w:rPr>
          <w:spacing w:val="-12"/>
          <w:w w:val="115"/>
        </w:rPr>
        <w:t> </w:t>
      </w:r>
      <w:r>
        <w:rPr>
          <w:w w:val="115"/>
        </w:rPr>
        <w:t>un</w:t>
      </w:r>
      <w:r>
        <w:rPr>
          <w:spacing w:val="-12"/>
          <w:w w:val="115"/>
        </w:rPr>
        <w:t> </w:t>
      </w:r>
      <w:r>
        <w:rPr>
          <w:w w:val="115"/>
        </w:rPr>
        <w:t>ámbito</w:t>
      </w:r>
      <w:r>
        <w:rPr>
          <w:spacing w:val="-12"/>
          <w:w w:val="115"/>
        </w:rPr>
        <w:t> </w:t>
      </w:r>
      <w:r>
        <w:rPr>
          <w:w w:val="115"/>
        </w:rPr>
        <w:t>competitivo,</w:t>
      </w:r>
      <w:r>
        <w:rPr>
          <w:spacing w:val="-12"/>
          <w:w w:val="115"/>
        </w:rPr>
        <w:t> </w:t>
      </w:r>
      <w:r>
        <w:rPr>
          <w:w w:val="115"/>
        </w:rPr>
        <w:t>donde</w:t>
      </w:r>
      <w:r>
        <w:rPr>
          <w:spacing w:val="-12"/>
          <w:w w:val="115"/>
        </w:rPr>
        <w:t> </w:t>
      </w:r>
      <w:r>
        <w:rPr>
          <w:w w:val="115"/>
        </w:rPr>
        <w:t>en</w:t>
      </w:r>
      <w:r>
        <w:rPr>
          <w:spacing w:val="-12"/>
          <w:w w:val="115"/>
        </w:rPr>
        <w:t> </w:t>
      </w:r>
      <w:r>
        <w:rPr>
          <w:w w:val="115"/>
        </w:rPr>
        <w:t>la medida</w:t>
      </w:r>
      <w:r>
        <w:rPr>
          <w:spacing w:val="-26"/>
          <w:w w:val="115"/>
        </w:rPr>
        <w:t> </w:t>
      </w:r>
      <w:r>
        <w:rPr>
          <w:w w:val="115"/>
        </w:rPr>
        <w:t>que</w:t>
      </w:r>
      <w:r>
        <w:rPr>
          <w:spacing w:val="-26"/>
          <w:w w:val="115"/>
        </w:rPr>
        <w:t> </w:t>
      </w:r>
      <w:r>
        <w:rPr>
          <w:w w:val="115"/>
        </w:rPr>
        <w:t>ésta</w:t>
      </w:r>
      <w:r>
        <w:rPr>
          <w:spacing w:val="-26"/>
          <w:w w:val="115"/>
        </w:rPr>
        <w:t> </w:t>
      </w:r>
      <w:r>
        <w:rPr>
          <w:w w:val="115"/>
        </w:rPr>
        <w:t>se</w:t>
      </w:r>
      <w:r>
        <w:rPr>
          <w:spacing w:val="-26"/>
          <w:w w:val="115"/>
        </w:rPr>
        <w:t> </w:t>
      </w:r>
      <w:r>
        <w:rPr>
          <w:w w:val="115"/>
        </w:rPr>
        <w:t>estimulase,</w:t>
      </w:r>
      <w:r>
        <w:rPr>
          <w:spacing w:val="-26"/>
          <w:w w:val="115"/>
        </w:rPr>
        <w:t> </w:t>
      </w:r>
      <w:r>
        <w:rPr>
          <w:w w:val="115"/>
        </w:rPr>
        <w:t>más</w:t>
      </w:r>
      <w:r>
        <w:rPr>
          <w:spacing w:val="-26"/>
          <w:w w:val="115"/>
        </w:rPr>
        <w:t> </w:t>
      </w:r>
      <w:r>
        <w:rPr>
          <w:w w:val="115"/>
        </w:rPr>
        <w:t>corta</w:t>
      </w:r>
      <w:r>
        <w:rPr>
          <w:spacing w:val="-26"/>
          <w:w w:val="115"/>
        </w:rPr>
        <w:t> </w:t>
      </w:r>
      <w:r>
        <w:rPr>
          <w:w w:val="115"/>
        </w:rPr>
        <w:t>se</w:t>
      </w:r>
      <w:r>
        <w:rPr>
          <w:spacing w:val="-26"/>
          <w:w w:val="115"/>
        </w:rPr>
        <w:t> </w:t>
      </w:r>
      <w:r>
        <w:rPr>
          <w:w w:val="115"/>
        </w:rPr>
        <w:t>haría</w:t>
      </w:r>
      <w:r>
        <w:rPr>
          <w:spacing w:val="-26"/>
          <w:w w:val="115"/>
        </w:rPr>
        <w:t> </w:t>
      </w:r>
      <w:r>
        <w:rPr>
          <w:w w:val="115"/>
        </w:rPr>
        <w:t>su</w:t>
      </w:r>
      <w:r>
        <w:rPr>
          <w:spacing w:val="-26"/>
          <w:w w:val="115"/>
        </w:rPr>
        <w:t> </w:t>
      </w:r>
      <w:r>
        <w:rPr>
          <w:w w:val="115"/>
        </w:rPr>
        <w:t>vida</w:t>
      </w:r>
      <w:r>
        <w:rPr>
          <w:spacing w:val="-26"/>
          <w:w w:val="115"/>
        </w:rPr>
        <w:t> </w:t>
      </w:r>
      <w:r>
        <w:rPr>
          <w:w w:val="115"/>
        </w:rPr>
        <w:t>moralmente útil</w:t>
      </w:r>
      <w:r>
        <w:rPr>
          <w:spacing w:val="-16"/>
          <w:w w:val="115"/>
        </w:rPr>
        <w:t> </w:t>
      </w:r>
      <w:r>
        <w:rPr>
          <w:w w:val="115"/>
        </w:rPr>
        <w:t>y</w:t>
      </w:r>
      <w:r>
        <w:rPr>
          <w:spacing w:val="-16"/>
          <w:w w:val="115"/>
        </w:rPr>
        <w:t> </w:t>
      </w:r>
      <w:r>
        <w:rPr>
          <w:w w:val="115"/>
        </w:rPr>
        <w:t>más</w:t>
      </w:r>
      <w:r>
        <w:rPr>
          <w:spacing w:val="-16"/>
          <w:w w:val="115"/>
        </w:rPr>
        <w:t> </w:t>
      </w:r>
      <w:r>
        <w:rPr>
          <w:w w:val="115"/>
        </w:rPr>
        <w:t>crecería</w:t>
      </w:r>
      <w:r>
        <w:rPr>
          <w:spacing w:val="-16"/>
          <w:w w:val="115"/>
        </w:rPr>
        <w:t> </w:t>
      </w:r>
      <w:r>
        <w:rPr>
          <w:w w:val="115"/>
        </w:rPr>
        <w:t>su</w:t>
      </w:r>
      <w:r>
        <w:rPr>
          <w:spacing w:val="-16"/>
          <w:w w:val="115"/>
        </w:rPr>
        <w:t> </w:t>
      </w:r>
      <w:r>
        <w:rPr>
          <w:w w:val="115"/>
        </w:rPr>
        <w:t>costo</w:t>
      </w:r>
      <w:r>
        <w:rPr>
          <w:spacing w:val="-16"/>
          <w:w w:val="115"/>
        </w:rPr>
        <w:t> </w:t>
      </w:r>
      <w:r>
        <w:rPr>
          <w:w w:val="115"/>
        </w:rPr>
        <w:t>de</w:t>
      </w:r>
      <w:r>
        <w:rPr>
          <w:spacing w:val="-16"/>
          <w:w w:val="115"/>
        </w:rPr>
        <w:t> </w:t>
      </w:r>
      <w:r>
        <w:rPr>
          <w:w w:val="115"/>
        </w:rPr>
        <w:t>reposición.</w:t>
      </w:r>
    </w:p>
    <w:p>
      <w:pPr>
        <w:pStyle w:val="BodyText"/>
        <w:spacing w:line="252" w:lineRule="auto"/>
        <w:ind w:left="100" w:right="327" w:firstLine="396"/>
        <w:jc w:val="right"/>
      </w:pPr>
      <w:r>
        <w:rPr>
          <w:spacing w:val="-5"/>
          <w:w w:val="115"/>
        </w:rPr>
        <w:t>tras </w:t>
      </w:r>
      <w:r>
        <w:rPr>
          <w:w w:val="115"/>
        </w:rPr>
        <w:t>la segunda Guerra Mundial en los países industriales</w:t>
      </w:r>
      <w:r>
        <w:rPr>
          <w:spacing w:val="26"/>
          <w:w w:val="115"/>
        </w:rPr>
        <w:t> </w:t>
      </w:r>
      <w:r>
        <w:rPr>
          <w:w w:val="115"/>
        </w:rPr>
        <w:t>y</w:t>
      </w:r>
      <w:r>
        <w:rPr>
          <w:spacing w:val="23"/>
          <w:w w:val="115"/>
        </w:rPr>
        <w:t> </w:t>
      </w:r>
      <w:r>
        <w:rPr>
          <w:w w:val="115"/>
        </w:rPr>
        <w:t>–</w:t>
      </w:r>
      <w:r>
        <w:rPr>
          <w:w w:val="102"/>
        </w:rPr>
        <w:t> </w:t>
      </w:r>
      <w:r>
        <w:rPr>
          <w:w w:val="115"/>
        </w:rPr>
        <w:t>principalmente– en Estados unidos se observaría un período</w:t>
      </w:r>
      <w:r>
        <w:rPr>
          <w:spacing w:val="-6"/>
          <w:w w:val="115"/>
        </w:rPr>
        <w:t> </w:t>
      </w:r>
      <w:r>
        <w:rPr>
          <w:w w:val="115"/>
        </w:rPr>
        <w:t>de</w:t>
      </w:r>
      <w:r>
        <w:rPr>
          <w:spacing w:val="-1"/>
          <w:w w:val="115"/>
        </w:rPr>
        <w:t> </w:t>
      </w:r>
      <w:r>
        <w:rPr>
          <w:w w:val="115"/>
        </w:rPr>
        <w:t>rá-</w:t>
      </w:r>
      <w:r>
        <w:rPr>
          <w:w w:val="102"/>
        </w:rPr>
        <w:t> </w:t>
      </w:r>
      <w:r>
        <w:rPr>
          <w:w w:val="115"/>
        </w:rPr>
        <w:t>pido crecimiento económico con una reconversión</w:t>
      </w:r>
      <w:r>
        <w:rPr>
          <w:spacing w:val="10"/>
          <w:w w:val="115"/>
        </w:rPr>
        <w:t> </w:t>
      </w:r>
      <w:r>
        <w:rPr>
          <w:w w:val="115"/>
        </w:rPr>
        <w:t>tecnológica</w:t>
      </w:r>
      <w:r>
        <w:rPr>
          <w:spacing w:val="1"/>
          <w:w w:val="115"/>
        </w:rPr>
        <w:t> </w:t>
      </w:r>
      <w:r>
        <w:rPr>
          <w:w w:val="115"/>
        </w:rPr>
        <w:t>cre-</w:t>
      </w:r>
      <w:r>
        <w:rPr>
          <w:w w:val="102"/>
        </w:rPr>
        <w:t> </w:t>
      </w:r>
      <w:r>
        <w:rPr>
          <w:w w:val="115"/>
        </w:rPr>
        <w:t>cientemente veloz. al incrementarse la sustitución de</w:t>
      </w:r>
      <w:r>
        <w:rPr>
          <w:spacing w:val="-7"/>
          <w:w w:val="115"/>
        </w:rPr>
        <w:t> </w:t>
      </w:r>
      <w:r>
        <w:rPr>
          <w:w w:val="115"/>
        </w:rPr>
        <w:t>tecnología,</w:t>
      </w:r>
      <w:r>
        <w:rPr>
          <w:spacing w:val="-1"/>
          <w:w w:val="115"/>
        </w:rPr>
        <w:t> </w:t>
      </w:r>
      <w:r>
        <w:rPr>
          <w:w w:val="115"/>
        </w:rPr>
        <w:t>se</w:t>
      </w:r>
      <w:r>
        <w:rPr>
          <w:w w:val="105"/>
        </w:rPr>
        <w:t> </w:t>
      </w:r>
      <w:r>
        <w:rPr>
          <w:w w:val="115"/>
        </w:rPr>
        <w:t>evidenciaría</w:t>
      </w:r>
      <w:r>
        <w:rPr>
          <w:spacing w:val="-7"/>
          <w:w w:val="115"/>
        </w:rPr>
        <w:t> </w:t>
      </w:r>
      <w:r>
        <w:rPr>
          <w:w w:val="115"/>
        </w:rPr>
        <w:t>la</w:t>
      </w:r>
      <w:r>
        <w:rPr>
          <w:spacing w:val="-7"/>
          <w:w w:val="115"/>
        </w:rPr>
        <w:t> </w:t>
      </w:r>
      <w:r>
        <w:rPr>
          <w:w w:val="115"/>
        </w:rPr>
        <w:t>disminución</w:t>
      </w:r>
      <w:r>
        <w:rPr>
          <w:spacing w:val="-7"/>
          <w:w w:val="115"/>
        </w:rPr>
        <w:t> </w:t>
      </w:r>
      <w:r>
        <w:rPr>
          <w:w w:val="115"/>
        </w:rPr>
        <w:t>de</w:t>
      </w:r>
      <w:r>
        <w:rPr>
          <w:spacing w:val="-7"/>
          <w:w w:val="115"/>
        </w:rPr>
        <w:t> </w:t>
      </w:r>
      <w:r>
        <w:rPr>
          <w:w w:val="115"/>
        </w:rPr>
        <w:t>su</w:t>
      </w:r>
      <w:r>
        <w:rPr>
          <w:spacing w:val="-7"/>
          <w:w w:val="115"/>
        </w:rPr>
        <w:t> </w:t>
      </w:r>
      <w:r>
        <w:rPr>
          <w:w w:val="115"/>
        </w:rPr>
        <w:t>vida</w:t>
      </w:r>
      <w:r>
        <w:rPr>
          <w:spacing w:val="-7"/>
          <w:w w:val="115"/>
        </w:rPr>
        <w:t> </w:t>
      </w:r>
      <w:r>
        <w:rPr>
          <w:w w:val="115"/>
        </w:rPr>
        <w:t>media,</w:t>
      </w:r>
      <w:r>
        <w:rPr>
          <w:spacing w:val="-7"/>
          <w:w w:val="115"/>
        </w:rPr>
        <w:t> </w:t>
      </w:r>
      <w:r>
        <w:rPr>
          <w:w w:val="115"/>
        </w:rPr>
        <w:t>aumentando</w:t>
      </w:r>
      <w:r>
        <w:rPr>
          <w:spacing w:val="-7"/>
          <w:w w:val="115"/>
        </w:rPr>
        <w:t> </w:t>
      </w:r>
      <w:r>
        <w:rPr>
          <w:w w:val="115"/>
        </w:rPr>
        <w:t>cada</w:t>
      </w:r>
      <w:r>
        <w:rPr>
          <w:spacing w:val="-7"/>
          <w:w w:val="115"/>
        </w:rPr>
        <w:t> </w:t>
      </w:r>
      <w:r>
        <w:rPr>
          <w:w w:val="115"/>
        </w:rPr>
        <w:t>vez</w:t>
      </w:r>
      <w:r>
        <w:rPr>
          <w:w w:val="105"/>
        </w:rPr>
        <w:t> </w:t>
      </w:r>
      <w:r>
        <w:rPr>
          <w:w w:val="115"/>
        </w:rPr>
        <w:t>más ese ritmo. así, en EE.uu. la vida media del capital</w:t>
      </w:r>
      <w:r>
        <w:rPr>
          <w:spacing w:val="-28"/>
          <w:w w:val="115"/>
        </w:rPr>
        <w:t> </w:t>
      </w:r>
      <w:r>
        <w:rPr>
          <w:w w:val="115"/>
        </w:rPr>
        <w:t>fijo</w:t>
      </w:r>
      <w:r>
        <w:rPr>
          <w:spacing w:val="-3"/>
          <w:w w:val="115"/>
        </w:rPr>
        <w:t> </w:t>
      </w:r>
      <w:r>
        <w:rPr>
          <w:w w:val="115"/>
        </w:rPr>
        <w:t>(incluyen-</w:t>
      </w:r>
      <w:r>
        <w:rPr>
          <w:w w:val="102"/>
        </w:rPr>
        <w:t> </w:t>
      </w:r>
      <w:r>
        <w:rPr>
          <w:w w:val="115"/>
        </w:rPr>
        <w:t>do</w:t>
      </w:r>
      <w:r>
        <w:rPr>
          <w:spacing w:val="-17"/>
          <w:w w:val="115"/>
        </w:rPr>
        <w:t> </w:t>
      </w:r>
      <w:r>
        <w:rPr>
          <w:w w:val="115"/>
        </w:rPr>
        <w:t>edificios)</w:t>
      </w:r>
      <w:r>
        <w:rPr>
          <w:spacing w:val="-17"/>
          <w:w w:val="115"/>
        </w:rPr>
        <w:t> </w:t>
      </w:r>
      <w:r>
        <w:rPr>
          <w:w w:val="115"/>
        </w:rPr>
        <w:t>se</w:t>
      </w:r>
      <w:r>
        <w:rPr>
          <w:spacing w:val="-17"/>
          <w:w w:val="115"/>
        </w:rPr>
        <w:t> </w:t>
      </w:r>
      <w:r>
        <w:rPr>
          <w:w w:val="115"/>
        </w:rPr>
        <w:t>acortaría</w:t>
      </w:r>
      <w:r>
        <w:rPr>
          <w:spacing w:val="-17"/>
          <w:w w:val="115"/>
        </w:rPr>
        <w:t> </w:t>
      </w:r>
      <w:r>
        <w:rPr>
          <w:w w:val="115"/>
        </w:rPr>
        <w:t>desde</w:t>
      </w:r>
      <w:r>
        <w:rPr>
          <w:spacing w:val="-17"/>
          <w:w w:val="115"/>
        </w:rPr>
        <w:t> </w:t>
      </w:r>
      <w:r>
        <w:rPr>
          <w:w w:val="115"/>
        </w:rPr>
        <w:t>1987</w:t>
      </w:r>
      <w:r>
        <w:rPr>
          <w:spacing w:val="-17"/>
          <w:w w:val="115"/>
        </w:rPr>
        <w:t> </w:t>
      </w:r>
      <w:r>
        <w:rPr>
          <w:w w:val="115"/>
        </w:rPr>
        <w:t>hasta</w:t>
      </w:r>
      <w:r>
        <w:rPr>
          <w:spacing w:val="-17"/>
          <w:w w:val="115"/>
        </w:rPr>
        <w:t> </w:t>
      </w:r>
      <w:r>
        <w:rPr>
          <w:w w:val="115"/>
        </w:rPr>
        <w:t>finales</w:t>
      </w:r>
      <w:r>
        <w:rPr>
          <w:spacing w:val="-17"/>
          <w:w w:val="115"/>
        </w:rPr>
        <w:t> </w:t>
      </w:r>
      <w:r>
        <w:rPr>
          <w:w w:val="115"/>
        </w:rPr>
        <w:t>de</w:t>
      </w:r>
      <w:r>
        <w:rPr>
          <w:spacing w:val="-17"/>
          <w:w w:val="115"/>
        </w:rPr>
        <w:t> </w:t>
      </w:r>
      <w:r>
        <w:rPr>
          <w:w w:val="115"/>
        </w:rPr>
        <w:t>la</w:t>
      </w:r>
      <w:r>
        <w:rPr>
          <w:spacing w:val="-17"/>
          <w:w w:val="115"/>
        </w:rPr>
        <w:t> </w:t>
      </w:r>
      <w:r>
        <w:rPr>
          <w:w w:val="115"/>
        </w:rPr>
        <w:t>década</w:t>
      </w:r>
      <w:r>
        <w:rPr>
          <w:spacing w:val="-17"/>
          <w:w w:val="115"/>
        </w:rPr>
        <w:t> </w:t>
      </w:r>
      <w:r>
        <w:rPr>
          <w:w w:val="115"/>
        </w:rPr>
        <w:t>de</w:t>
      </w:r>
      <w:r>
        <w:rPr>
          <w:spacing w:val="-17"/>
          <w:w w:val="115"/>
        </w:rPr>
        <w:t> </w:t>
      </w:r>
      <w:r>
        <w:rPr>
          <w:w w:val="115"/>
        </w:rPr>
        <w:t>los</w:t>
      </w:r>
      <w:r>
        <w:rPr>
          <w:w w:val="108"/>
        </w:rPr>
        <w:t> </w:t>
      </w:r>
      <w:r>
        <w:rPr>
          <w:w w:val="115"/>
        </w:rPr>
        <w:t>noventa</w:t>
      </w:r>
      <w:r>
        <w:rPr>
          <w:spacing w:val="-12"/>
          <w:w w:val="115"/>
        </w:rPr>
        <w:t> </w:t>
      </w:r>
      <w:r>
        <w:rPr>
          <w:w w:val="115"/>
        </w:rPr>
        <w:t>de</w:t>
      </w:r>
      <w:r>
        <w:rPr>
          <w:spacing w:val="-12"/>
          <w:w w:val="115"/>
        </w:rPr>
        <w:t> </w:t>
      </w:r>
      <w:r>
        <w:rPr>
          <w:w w:val="115"/>
        </w:rPr>
        <w:t>catorce</w:t>
      </w:r>
      <w:r>
        <w:rPr>
          <w:spacing w:val="-12"/>
          <w:w w:val="115"/>
        </w:rPr>
        <w:t> </w:t>
      </w:r>
      <w:r>
        <w:rPr>
          <w:w w:val="115"/>
        </w:rPr>
        <w:t>a</w:t>
      </w:r>
      <w:r>
        <w:rPr>
          <w:spacing w:val="-12"/>
          <w:w w:val="115"/>
        </w:rPr>
        <w:t> </w:t>
      </w:r>
      <w:r>
        <w:rPr>
          <w:w w:val="115"/>
        </w:rPr>
        <w:t>siete</w:t>
      </w:r>
      <w:r>
        <w:rPr>
          <w:spacing w:val="-12"/>
          <w:w w:val="115"/>
        </w:rPr>
        <w:t> </w:t>
      </w:r>
      <w:r>
        <w:rPr>
          <w:w w:val="115"/>
        </w:rPr>
        <w:t>años</w:t>
      </w:r>
      <w:r>
        <w:rPr>
          <w:spacing w:val="-12"/>
          <w:w w:val="115"/>
        </w:rPr>
        <w:t> </w:t>
      </w:r>
      <w:r>
        <w:rPr>
          <w:spacing w:val="-11"/>
          <w:w w:val="115"/>
        </w:rPr>
        <w:t>y,</w:t>
      </w:r>
      <w:r>
        <w:rPr>
          <w:spacing w:val="-12"/>
          <w:w w:val="115"/>
        </w:rPr>
        <w:t> </w:t>
      </w:r>
      <w:r>
        <w:rPr>
          <w:w w:val="115"/>
        </w:rPr>
        <w:t>a</w:t>
      </w:r>
      <w:r>
        <w:rPr>
          <w:spacing w:val="-12"/>
          <w:w w:val="115"/>
        </w:rPr>
        <w:t> </w:t>
      </w:r>
      <w:r>
        <w:rPr>
          <w:w w:val="115"/>
        </w:rPr>
        <w:t>su</w:t>
      </w:r>
      <w:r>
        <w:rPr>
          <w:spacing w:val="-12"/>
          <w:w w:val="115"/>
        </w:rPr>
        <w:t> </w:t>
      </w:r>
      <w:r>
        <w:rPr>
          <w:w w:val="115"/>
        </w:rPr>
        <w:t>vez,</w:t>
      </w:r>
      <w:r>
        <w:rPr>
          <w:spacing w:val="-12"/>
          <w:w w:val="115"/>
        </w:rPr>
        <w:t> </w:t>
      </w:r>
      <w:r>
        <w:rPr>
          <w:w w:val="115"/>
        </w:rPr>
        <w:t>en</w:t>
      </w:r>
      <w:r>
        <w:rPr>
          <w:spacing w:val="-12"/>
          <w:w w:val="115"/>
        </w:rPr>
        <w:t> </w:t>
      </w:r>
      <w:r>
        <w:rPr>
          <w:w w:val="115"/>
        </w:rPr>
        <w:t>Japón,</w:t>
      </w:r>
      <w:r>
        <w:rPr>
          <w:spacing w:val="-12"/>
          <w:w w:val="115"/>
        </w:rPr>
        <w:t> </w:t>
      </w:r>
      <w:r>
        <w:rPr>
          <w:w w:val="115"/>
        </w:rPr>
        <w:t>ésta</w:t>
      </w:r>
      <w:r>
        <w:rPr>
          <w:spacing w:val="-12"/>
          <w:w w:val="115"/>
        </w:rPr>
        <w:t> </w:t>
      </w:r>
      <w:r>
        <w:rPr>
          <w:w w:val="115"/>
        </w:rPr>
        <w:t>se</w:t>
      </w:r>
      <w:r>
        <w:rPr>
          <w:spacing w:val="-12"/>
          <w:w w:val="115"/>
        </w:rPr>
        <w:t> </w:t>
      </w:r>
      <w:r>
        <w:rPr>
          <w:w w:val="115"/>
        </w:rPr>
        <w:t>reduciría</w:t>
      </w:r>
      <w:r>
        <w:rPr>
          <w:w w:val="110"/>
        </w:rPr>
        <w:t> </w:t>
      </w:r>
      <w:r>
        <w:rPr>
          <w:w w:val="115"/>
        </w:rPr>
        <w:t>de</w:t>
      </w:r>
      <w:r>
        <w:rPr>
          <w:spacing w:val="-9"/>
          <w:w w:val="115"/>
        </w:rPr>
        <w:t> </w:t>
      </w:r>
      <w:r>
        <w:rPr>
          <w:w w:val="115"/>
        </w:rPr>
        <w:t>once</w:t>
      </w:r>
      <w:r>
        <w:rPr>
          <w:spacing w:val="-9"/>
          <w:w w:val="115"/>
        </w:rPr>
        <w:t> </w:t>
      </w:r>
      <w:r>
        <w:rPr>
          <w:w w:val="115"/>
        </w:rPr>
        <w:t>a</w:t>
      </w:r>
      <w:r>
        <w:rPr>
          <w:spacing w:val="-9"/>
          <w:w w:val="115"/>
        </w:rPr>
        <w:t> </w:t>
      </w:r>
      <w:r>
        <w:rPr>
          <w:w w:val="115"/>
        </w:rPr>
        <w:t>cinco</w:t>
      </w:r>
      <w:r>
        <w:rPr>
          <w:spacing w:val="-9"/>
          <w:w w:val="115"/>
        </w:rPr>
        <w:t> </w:t>
      </w:r>
      <w:r>
        <w:rPr>
          <w:w w:val="115"/>
        </w:rPr>
        <w:t>años</w:t>
      </w:r>
      <w:r>
        <w:rPr>
          <w:spacing w:val="-9"/>
          <w:w w:val="115"/>
        </w:rPr>
        <w:t> </w:t>
      </w:r>
      <w:r>
        <w:rPr>
          <w:w w:val="115"/>
        </w:rPr>
        <w:t>(Passet,</w:t>
      </w:r>
      <w:r>
        <w:rPr>
          <w:spacing w:val="-9"/>
          <w:w w:val="115"/>
        </w:rPr>
        <w:t> </w:t>
      </w:r>
      <w:r>
        <w:rPr>
          <w:w w:val="115"/>
        </w:rPr>
        <w:t>2000:</w:t>
      </w:r>
      <w:r>
        <w:rPr>
          <w:spacing w:val="-9"/>
          <w:w w:val="115"/>
        </w:rPr>
        <w:t> </w:t>
      </w:r>
      <w:r>
        <w:rPr>
          <w:w w:val="115"/>
        </w:rPr>
        <w:t>255).</w:t>
      </w:r>
      <w:r>
        <w:rPr>
          <w:spacing w:val="-9"/>
          <w:w w:val="115"/>
        </w:rPr>
        <w:t> </w:t>
      </w:r>
      <w:r>
        <w:rPr>
          <w:w w:val="115"/>
        </w:rPr>
        <w:t>Con</w:t>
      </w:r>
      <w:r>
        <w:rPr>
          <w:spacing w:val="-9"/>
          <w:w w:val="115"/>
        </w:rPr>
        <w:t> </w:t>
      </w:r>
      <w:r>
        <w:rPr>
          <w:w w:val="115"/>
        </w:rPr>
        <w:t>ello,</w:t>
      </w:r>
      <w:r>
        <w:rPr>
          <w:spacing w:val="-9"/>
          <w:w w:val="115"/>
        </w:rPr>
        <w:t> </w:t>
      </w:r>
      <w:r>
        <w:rPr>
          <w:w w:val="115"/>
        </w:rPr>
        <w:t>la</w:t>
      </w:r>
      <w:r>
        <w:rPr>
          <w:spacing w:val="-9"/>
          <w:w w:val="115"/>
        </w:rPr>
        <w:t> </w:t>
      </w:r>
      <w:r>
        <w:rPr>
          <w:w w:val="115"/>
        </w:rPr>
        <w:t>sustitución</w:t>
      </w:r>
      <w:r>
        <w:rPr>
          <w:spacing w:val="-9"/>
          <w:w w:val="115"/>
        </w:rPr>
        <w:t> </w:t>
      </w:r>
      <w:r>
        <w:rPr>
          <w:w w:val="115"/>
        </w:rPr>
        <w:t>tec-</w:t>
      </w:r>
      <w:r>
        <w:rPr>
          <w:w w:val="102"/>
        </w:rPr>
        <w:t> </w:t>
      </w:r>
      <w:r>
        <w:rPr>
          <w:w w:val="115"/>
        </w:rPr>
        <w:t>nológica</w:t>
      </w:r>
      <w:r>
        <w:rPr>
          <w:spacing w:val="-32"/>
          <w:w w:val="115"/>
        </w:rPr>
        <w:t> </w:t>
      </w:r>
      <w:r>
        <w:rPr>
          <w:w w:val="115"/>
        </w:rPr>
        <w:t>alcanzaría</w:t>
      </w:r>
      <w:r>
        <w:rPr>
          <w:spacing w:val="-32"/>
          <w:w w:val="115"/>
        </w:rPr>
        <w:t> </w:t>
      </w:r>
      <w:r>
        <w:rPr>
          <w:w w:val="115"/>
        </w:rPr>
        <w:t>los</w:t>
      </w:r>
      <w:r>
        <w:rPr>
          <w:spacing w:val="-32"/>
          <w:w w:val="115"/>
        </w:rPr>
        <w:t> </w:t>
      </w:r>
      <w:r>
        <w:rPr>
          <w:w w:val="115"/>
        </w:rPr>
        <w:t>límites</w:t>
      </w:r>
      <w:r>
        <w:rPr>
          <w:spacing w:val="-32"/>
          <w:w w:val="115"/>
        </w:rPr>
        <w:t> </w:t>
      </w:r>
      <w:r>
        <w:rPr>
          <w:w w:val="115"/>
        </w:rPr>
        <w:t>de</w:t>
      </w:r>
      <w:r>
        <w:rPr>
          <w:spacing w:val="-32"/>
          <w:w w:val="115"/>
        </w:rPr>
        <w:t> </w:t>
      </w:r>
      <w:r>
        <w:rPr>
          <w:w w:val="115"/>
        </w:rPr>
        <w:t>lo</w:t>
      </w:r>
      <w:r>
        <w:rPr>
          <w:spacing w:val="-32"/>
          <w:w w:val="115"/>
        </w:rPr>
        <w:t> </w:t>
      </w:r>
      <w:r>
        <w:rPr>
          <w:w w:val="115"/>
        </w:rPr>
        <w:t>posible</w:t>
      </w:r>
      <w:r>
        <w:rPr>
          <w:spacing w:val="-32"/>
          <w:w w:val="115"/>
        </w:rPr>
        <w:t> </w:t>
      </w:r>
      <w:r>
        <w:rPr>
          <w:w w:val="115"/>
        </w:rPr>
        <w:t>(</w:t>
      </w:r>
      <w:r>
        <w:rPr>
          <w:i/>
          <w:w w:val="115"/>
        </w:rPr>
        <w:t>The</w:t>
      </w:r>
      <w:r>
        <w:rPr>
          <w:i/>
          <w:spacing w:val="-32"/>
          <w:w w:val="115"/>
        </w:rPr>
        <w:t> </w:t>
      </w:r>
      <w:r>
        <w:rPr>
          <w:i/>
          <w:w w:val="115"/>
        </w:rPr>
        <w:t>Economist</w:t>
      </w:r>
      <w:r>
        <w:rPr>
          <w:w w:val="115"/>
        </w:rPr>
        <w:t>,</w:t>
      </w:r>
      <w:r>
        <w:rPr>
          <w:spacing w:val="-32"/>
          <w:w w:val="115"/>
        </w:rPr>
        <w:t> </w:t>
      </w:r>
      <w:r>
        <w:rPr>
          <w:w w:val="115"/>
        </w:rPr>
        <w:t>2001:</w:t>
      </w:r>
      <w:r>
        <w:rPr>
          <w:spacing w:val="-32"/>
          <w:w w:val="115"/>
        </w:rPr>
        <w:t> </w:t>
      </w:r>
      <w:r>
        <w:rPr>
          <w:w w:val="115"/>
        </w:rPr>
        <w:t>90).</w:t>
      </w:r>
      <w:r>
        <w:rPr>
          <w:w w:val="106"/>
        </w:rPr>
        <w:t> </w:t>
      </w:r>
      <w:r>
        <w:rPr>
          <w:w w:val="115"/>
        </w:rPr>
        <w:t>Por</w:t>
      </w:r>
      <w:r>
        <w:rPr>
          <w:spacing w:val="-16"/>
          <w:w w:val="115"/>
        </w:rPr>
        <w:t> </w:t>
      </w:r>
      <w:r>
        <w:rPr>
          <w:w w:val="115"/>
        </w:rPr>
        <w:t>otro</w:t>
      </w:r>
      <w:r>
        <w:rPr>
          <w:spacing w:val="-16"/>
          <w:w w:val="115"/>
        </w:rPr>
        <w:t> </w:t>
      </w:r>
      <w:r>
        <w:rPr>
          <w:w w:val="115"/>
        </w:rPr>
        <w:t>lado</w:t>
      </w:r>
      <w:r>
        <w:rPr>
          <w:spacing w:val="-16"/>
          <w:w w:val="115"/>
        </w:rPr>
        <w:t> </w:t>
      </w:r>
      <w:r>
        <w:rPr>
          <w:w w:val="115"/>
        </w:rPr>
        <w:t>–proseguiría</w:t>
      </w:r>
      <w:r>
        <w:rPr>
          <w:spacing w:val="-16"/>
          <w:w w:val="115"/>
        </w:rPr>
        <w:t> </w:t>
      </w:r>
      <w:r>
        <w:rPr>
          <w:w w:val="115"/>
        </w:rPr>
        <w:t>esta</w:t>
      </w:r>
      <w:r>
        <w:rPr>
          <w:spacing w:val="-16"/>
          <w:w w:val="115"/>
        </w:rPr>
        <w:t> </w:t>
      </w:r>
      <w:r>
        <w:rPr>
          <w:w w:val="115"/>
        </w:rPr>
        <w:t>tesis–</w:t>
      </w:r>
      <w:r>
        <w:rPr>
          <w:spacing w:val="-16"/>
          <w:w w:val="115"/>
        </w:rPr>
        <w:t> </w:t>
      </w:r>
      <w:r>
        <w:rPr>
          <w:w w:val="115"/>
        </w:rPr>
        <w:t>si</w:t>
      </w:r>
      <w:r>
        <w:rPr>
          <w:spacing w:val="-16"/>
          <w:w w:val="115"/>
        </w:rPr>
        <w:t> </w:t>
      </w:r>
      <w:r>
        <w:rPr>
          <w:w w:val="115"/>
        </w:rPr>
        <w:t>el</w:t>
      </w:r>
      <w:r>
        <w:rPr>
          <w:spacing w:val="-16"/>
          <w:w w:val="115"/>
        </w:rPr>
        <w:t> </w:t>
      </w:r>
      <w:r>
        <w:rPr>
          <w:w w:val="115"/>
        </w:rPr>
        <w:t>costo</w:t>
      </w:r>
      <w:r>
        <w:rPr>
          <w:spacing w:val="-16"/>
          <w:w w:val="115"/>
        </w:rPr>
        <w:t> </w:t>
      </w:r>
      <w:r>
        <w:rPr>
          <w:w w:val="115"/>
        </w:rPr>
        <w:t>de</w:t>
      </w:r>
      <w:r>
        <w:rPr>
          <w:spacing w:val="-16"/>
          <w:w w:val="115"/>
        </w:rPr>
        <w:t> </w:t>
      </w:r>
      <w:r>
        <w:rPr>
          <w:w w:val="115"/>
        </w:rPr>
        <w:t>la</w:t>
      </w:r>
      <w:r>
        <w:rPr>
          <w:spacing w:val="-16"/>
          <w:w w:val="115"/>
        </w:rPr>
        <w:t> </w:t>
      </w:r>
      <w:r>
        <w:rPr>
          <w:w w:val="115"/>
        </w:rPr>
        <w:t>innovación</w:t>
      </w:r>
      <w:r>
        <w:rPr>
          <w:w w:val="111"/>
        </w:rPr>
        <w:t> </w:t>
      </w:r>
      <w:r>
        <w:rPr>
          <w:w w:val="115"/>
        </w:rPr>
        <w:t>tecnológica</w:t>
      </w:r>
      <w:r>
        <w:rPr>
          <w:spacing w:val="-14"/>
          <w:w w:val="115"/>
        </w:rPr>
        <w:t> </w:t>
      </w:r>
      <w:r>
        <w:rPr>
          <w:w w:val="115"/>
        </w:rPr>
        <w:t>creciera</w:t>
      </w:r>
      <w:r>
        <w:rPr>
          <w:spacing w:val="-14"/>
          <w:w w:val="115"/>
        </w:rPr>
        <w:t> </w:t>
      </w:r>
      <w:r>
        <w:rPr>
          <w:w w:val="115"/>
        </w:rPr>
        <w:t>a</w:t>
      </w:r>
      <w:r>
        <w:rPr>
          <w:spacing w:val="-14"/>
          <w:w w:val="115"/>
        </w:rPr>
        <w:t> </w:t>
      </w:r>
      <w:r>
        <w:rPr>
          <w:w w:val="115"/>
        </w:rPr>
        <w:t>igual</w:t>
      </w:r>
      <w:r>
        <w:rPr>
          <w:spacing w:val="-14"/>
          <w:w w:val="115"/>
        </w:rPr>
        <w:t> </w:t>
      </w:r>
      <w:r>
        <w:rPr>
          <w:w w:val="115"/>
        </w:rPr>
        <w:t>velocidad</w:t>
      </w:r>
      <w:r>
        <w:rPr>
          <w:spacing w:val="-14"/>
          <w:w w:val="115"/>
        </w:rPr>
        <w:t> </w:t>
      </w:r>
      <w:r>
        <w:rPr>
          <w:w w:val="115"/>
        </w:rPr>
        <w:t>que</w:t>
      </w:r>
      <w:r>
        <w:rPr>
          <w:spacing w:val="-14"/>
          <w:w w:val="115"/>
        </w:rPr>
        <w:t> </w:t>
      </w:r>
      <w:r>
        <w:rPr>
          <w:w w:val="115"/>
        </w:rPr>
        <w:t>la</w:t>
      </w:r>
      <w:r>
        <w:rPr>
          <w:spacing w:val="-14"/>
          <w:w w:val="115"/>
        </w:rPr>
        <w:t> </w:t>
      </w:r>
      <w:r>
        <w:rPr>
          <w:w w:val="115"/>
        </w:rPr>
        <w:t>reducción</w:t>
      </w:r>
      <w:r>
        <w:rPr>
          <w:spacing w:val="-14"/>
          <w:w w:val="115"/>
        </w:rPr>
        <w:t> </w:t>
      </w:r>
      <w:r>
        <w:rPr>
          <w:w w:val="115"/>
        </w:rPr>
        <w:t>en</w:t>
      </w:r>
      <w:r>
        <w:rPr>
          <w:spacing w:val="-14"/>
          <w:w w:val="115"/>
        </w:rPr>
        <w:t> </w:t>
      </w:r>
      <w:r>
        <w:rPr>
          <w:w w:val="115"/>
        </w:rPr>
        <w:t>el</w:t>
      </w:r>
      <w:r>
        <w:rPr>
          <w:spacing w:val="-14"/>
          <w:w w:val="115"/>
        </w:rPr>
        <w:t> </w:t>
      </w:r>
      <w:r>
        <w:rPr>
          <w:w w:val="115"/>
        </w:rPr>
        <w:t>costo</w:t>
      </w:r>
      <w:r>
        <w:rPr>
          <w:spacing w:val="-14"/>
          <w:w w:val="115"/>
        </w:rPr>
        <w:t> </w:t>
      </w:r>
      <w:r>
        <w:rPr>
          <w:w w:val="115"/>
        </w:rPr>
        <w:t>la-</w:t>
      </w:r>
    </w:p>
    <w:p>
      <w:pPr>
        <w:spacing w:after="0" w:line="252" w:lineRule="auto"/>
        <w:jc w:val="right"/>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boral debido al incremento de la productividad del trabajo, el resulta- do final funcionaría como si esa productividad no hubiese aumentado. El alza de la productividad del trabajo lograda con la innovación se neutralizaría. En tal caso, la tasa de ganancia sólo podría aumentarse incrementando la tasa de explotación de los trabajadores mediante   la llamada flexibilización del trabajo y/o la socialización del costo de la innovación, al tiempo que se privatizara el beneficio obtenido. sin embargo, en tanto, se había evidenciado que el costo de la sustitución tecnológica crecería aún más deprisa y la tasa de beneficio tendería</w:t>
      </w:r>
      <w:r>
        <w:rPr>
          <w:spacing w:val="-22"/>
          <w:w w:val="110"/>
        </w:rPr>
        <w:t> </w:t>
      </w:r>
      <w:r>
        <w:rPr>
          <w:w w:val="110"/>
        </w:rPr>
        <w:t>de manera definitiva a la baja, perdiéndose así la atracción para el capital de invertir en el sector productivo </w:t>
      </w:r>
      <w:r>
        <w:rPr>
          <w:spacing w:val="-3"/>
          <w:w w:val="110"/>
        </w:rPr>
        <w:t>(brenner, </w:t>
      </w:r>
      <w:r>
        <w:rPr>
          <w:w w:val="110"/>
        </w:rPr>
        <w:t>2000:</w:t>
      </w:r>
      <w:r>
        <w:rPr>
          <w:spacing w:val="-24"/>
          <w:w w:val="110"/>
        </w:rPr>
        <w:t> </w:t>
      </w:r>
      <w:r>
        <w:rPr>
          <w:w w:val="110"/>
        </w:rPr>
        <w:t>45-52).</w:t>
      </w:r>
    </w:p>
    <w:p>
      <w:pPr>
        <w:pStyle w:val="BodyText"/>
        <w:spacing w:line="252" w:lineRule="auto"/>
        <w:ind w:left="330" w:right="65" w:firstLine="396"/>
      </w:pPr>
      <w:r>
        <w:rPr>
          <w:w w:val="110"/>
        </w:rPr>
        <w:t>En el nuevo milenio, la respuesta del gran capital a la tendencia a la baja de la tasa de ganancia sería  múltiple:</w:t>
      </w:r>
    </w:p>
    <w:p>
      <w:pPr>
        <w:pStyle w:val="BodyText"/>
        <w:spacing w:before="11"/>
        <w:rPr>
          <w:sz w:val="15"/>
        </w:rPr>
      </w:pPr>
    </w:p>
    <w:p>
      <w:pPr>
        <w:pStyle w:val="ListParagraph"/>
        <w:numPr>
          <w:ilvl w:val="0"/>
          <w:numId w:val="8"/>
        </w:numPr>
        <w:tabs>
          <w:tab w:pos="955" w:val="left" w:leader="none"/>
        </w:tabs>
        <w:spacing w:line="244" w:lineRule="auto" w:before="0" w:after="0"/>
        <w:ind w:left="954" w:right="118" w:hanging="227"/>
        <w:jc w:val="both"/>
        <w:rPr>
          <w:sz w:val="19"/>
        </w:rPr>
      </w:pPr>
      <w:r>
        <w:rPr>
          <w:w w:val="110"/>
          <w:sz w:val="19"/>
        </w:rPr>
        <w:t>se daría un abandono paulatino de las inversiones en el sector productivo y su traslado hacia el de los servicios, redistribu- tivo, financiero, informativo/comunicativo y</w:t>
      </w:r>
      <w:r>
        <w:rPr>
          <w:spacing w:val="17"/>
          <w:w w:val="110"/>
          <w:sz w:val="19"/>
        </w:rPr>
        <w:t> </w:t>
      </w:r>
      <w:r>
        <w:rPr>
          <w:w w:val="110"/>
          <w:sz w:val="19"/>
        </w:rPr>
        <w:t>especulativo.</w:t>
      </w:r>
    </w:p>
    <w:p>
      <w:pPr>
        <w:pStyle w:val="ListParagraph"/>
        <w:numPr>
          <w:ilvl w:val="0"/>
          <w:numId w:val="8"/>
        </w:numPr>
        <w:tabs>
          <w:tab w:pos="955" w:val="left" w:leader="none"/>
        </w:tabs>
        <w:spacing w:line="249" w:lineRule="auto" w:before="44" w:after="0"/>
        <w:ind w:left="954" w:right="118" w:hanging="227"/>
        <w:jc w:val="both"/>
        <w:rPr>
          <w:sz w:val="19"/>
        </w:rPr>
      </w:pPr>
      <w:r>
        <w:rPr>
          <w:w w:val="110"/>
          <w:sz w:val="19"/>
        </w:rPr>
        <w:t>Para asegurar ya no la justa remuneración del trabajo en </w:t>
      </w:r>
      <w:r>
        <w:rPr>
          <w:w w:val="125"/>
          <w:sz w:val="19"/>
        </w:rPr>
        <w:t>i+d, </w:t>
      </w:r>
      <w:r>
        <w:rPr>
          <w:w w:val="110"/>
          <w:sz w:val="19"/>
        </w:rPr>
        <w:t>sino las superganancias mediante la apropiación monopólica del conocimiento, las </w:t>
      </w:r>
      <w:r>
        <w:rPr>
          <w:w w:val="125"/>
          <w:sz w:val="19"/>
        </w:rPr>
        <w:t>CtN </w:t>
      </w:r>
      <w:r>
        <w:rPr>
          <w:w w:val="110"/>
          <w:sz w:val="19"/>
        </w:rPr>
        <w:t>protegerían las innovaciones con un sistema de propiedad intelectual cada vez más amplio, severo, prolongado en los plazos y oneroso en los </w:t>
      </w:r>
      <w:r>
        <w:rPr>
          <w:spacing w:val="2"/>
          <w:w w:val="110"/>
          <w:sz w:val="19"/>
        </w:rPr>
        <w:t> </w:t>
      </w:r>
      <w:r>
        <w:rPr>
          <w:w w:val="110"/>
          <w:sz w:val="19"/>
        </w:rPr>
        <w:t>pagos.</w:t>
      </w:r>
    </w:p>
    <w:p>
      <w:pPr>
        <w:pStyle w:val="ListParagraph"/>
        <w:numPr>
          <w:ilvl w:val="0"/>
          <w:numId w:val="8"/>
        </w:numPr>
        <w:tabs>
          <w:tab w:pos="955" w:val="left" w:leader="none"/>
        </w:tabs>
        <w:spacing w:line="249" w:lineRule="auto" w:before="40" w:after="0"/>
        <w:ind w:left="954" w:right="117" w:hanging="227"/>
        <w:jc w:val="both"/>
        <w:rPr>
          <w:sz w:val="19"/>
        </w:rPr>
      </w:pPr>
      <w:r>
        <w:rPr>
          <w:w w:val="110"/>
          <w:sz w:val="19"/>
        </w:rPr>
        <w:t>se reduciría el costo laboral al flexibilizar el mercado de tra- bajo o, como última opción, se acudiría en busca de la mano   de obra más barata, ya sea mediante el </w:t>
      </w:r>
      <w:r>
        <w:rPr>
          <w:i/>
          <w:w w:val="110"/>
          <w:sz w:val="19"/>
        </w:rPr>
        <w:t>robo de cerebros </w:t>
      </w:r>
      <w:r>
        <w:rPr>
          <w:w w:val="110"/>
          <w:sz w:val="19"/>
        </w:rPr>
        <w:t>desde países menos desarrollados, o la deslocalización del sector</w:t>
      </w:r>
      <w:r>
        <w:rPr>
          <w:spacing w:val="-19"/>
          <w:w w:val="110"/>
          <w:sz w:val="19"/>
        </w:rPr>
        <w:t> </w:t>
      </w:r>
      <w:r>
        <w:rPr>
          <w:w w:val="110"/>
          <w:sz w:val="19"/>
        </w:rPr>
        <w:t>pro- ductivo y de los servicios especializados desde las metrópolis hacia aquellos países de la periferia que, aunque</w:t>
      </w:r>
      <w:r>
        <w:rPr>
          <w:spacing w:val="-23"/>
          <w:w w:val="110"/>
          <w:sz w:val="19"/>
        </w:rPr>
        <w:t> </w:t>
      </w:r>
      <w:r>
        <w:rPr>
          <w:w w:val="110"/>
          <w:sz w:val="19"/>
        </w:rPr>
        <w:t>subdesarrolla- dos, dispusieran de suficientes condiciones sistémicas para su eficiente implementación. Ello conduciría al </w:t>
      </w:r>
      <w:r>
        <w:rPr>
          <w:spacing w:val="2"/>
          <w:w w:val="110"/>
          <w:sz w:val="19"/>
        </w:rPr>
        <w:t> </w:t>
      </w:r>
      <w:r>
        <w:rPr>
          <w:w w:val="110"/>
          <w:sz w:val="19"/>
        </w:rPr>
        <w:t>desentendimiento</w:t>
      </w:r>
    </w:p>
    <w:p>
      <w:pPr>
        <w:pStyle w:val="BodyText"/>
        <w:spacing w:line="252" w:lineRule="auto" w:before="2"/>
        <w:ind w:left="954" w:right="117"/>
        <w:jc w:val="both"/>
        <w:rPr>
          <w:i/>
        </w:rPr>
      </w:pPr>
      <w:r>
        <w:rPr>
          <w:w w:val="115"/>
        </w:rPr>
        <w:t>–por parte de las CtN– del destino de su fuerza laboral en la metrópoli,</w:t>
      </w:r>
      <w:r>
        <w:rPr>
          <w:spacing w:val="-23"/>
          <w:w w:val="115"/>
        </w:rPr>
        <w:t> </w:t>
      </w:r>
      <w:r>
        <w:rPr>
          <w:w w:val="115"/>
        </w:rPr>
        <w:t>fuesen</w:t>
      </w:r>
      <w:r>
        <w:rPr>
          <w:spacing w:val="-23"/>
          <w:w w:val="115"/>
        </w:rPr>
        <w:t> </w:t>
      </w:r>
      <w:r>
        <w:rPr>
          <w:i/>
          <w:w w:val="115"/>
        </w:rPr>
        <w:t>cuellos</w:t>
      </w:r>
      <w:r>
        <w:rPr>
          <w:i/>
          <w:spacing w:val="-23"/>
          <w:w w:val="115"/>
        </w:rPr>
        <w:t> </w:t>
      </w:r>
      <w:r>
        <w:rPr>
          <w:i/>
          <w:w w:val="115"/>
        </w:rPr>
        <w:t>azules</w:t>
      </w:r>
      <w:r>
        <w:rPr>
          <w:i/>
          <w:spacing w:val="-23"/>
          <w:w w:val="115"/>
        </w:rPr>
        <w:t> </w:t>
      </w:r>
      <w:r>
        <w:rPr>
          <w:w w:val="115"/>
        </w:rPr>
        <w:t>o,</w:t>
      </w:r>
      <w:r>
        <w:rPr>
          <w:spacing w:val="-23"/>
          <w:w w:val="115"/>
        </w:rPr>
        <w:t> </w:t>
      </w:r>
      <w:r>
        <w:rPr>
          <w:w w:val="115"/>
        </w:rPr>
        <w:t>inclusive</w:t>
      </w:r>
      <w:r>
        <w:rPr>
          <w:spacing w:val="-23"/>
          <w:w w:val="115"/>
        </w:rPr>
        <w:t> </w:t>
      </w:r>
      <w:r>
        <w:rPr>
          <w:w w:val="115"/>
        </w:rPr>
        <w:t>cada</w:t>
      </w:r>
      <w:r>
        <w:rPr>
          <w:spacing w:val="-23"/>
          <w:w w:val="115"/>
        </w:rPr>
        <w:t> </w:t>
      </w:r>
      <w:r>
        <w:rPr>
          <w:w w:val="115"/>
        </w:rPr>
        <w:t>vez</w:t>
      </w:r>
      <w:r>
        <w:rPr>
          <w:spacing w:val="-23"/>
          <w:w w:val="115"/>
        </w:rPr>
        <w:t> </w:t>
      </w:r>
      <w:r>
        <w:rPr>
          <w:w w:val="115"/>
        </w:rPr>
        <w:t>más,</w:t>
      </w:r>
      <w:r>
        <w:rPr>
          <w:spacing w:val="-23"/>
          <w:w w:val="115"/>
        </w:rPr>
        <w:t> </w:t>
      </w:r>
      <w:r>
        <w:rPr>
          <w:i/>
          <w:w w:val="115"/>
        </w:rPr>
        <w:t>cuel- </w:t>
      </w:r>
      <w:r>
        <w:rPr>
          <w:i/>
          <w:w w:val="115"/>
        </w:rPr>
        <w:t>los</w:t>
      </w:r>
      <w:r>
        <w:rPr>
          <w:i/>
          <w:spacing w:val="-12"/>
          <w:w w:val="115"/>
        </w:rPr>
        <w:t> </w:t>
      </w:r>
      <w:r>
        <w:rPr>
          <w:i/>
          <w:w w:val="115"/>
        </w:rPr>
        <w:t>blancos</w:t>
      </w:r>
      <w:r>
        <w:rPr>
          <w:w w:val="115"/>
        </w:rPr>
        <w:t>;</w:t>
      </w:r>
      <w:r>
        <w:rPr>
          <w:spacing w:val="-12"/>
          <w:w w:val="115"/>
        </w:rPr>
        <w:t> </w:t>
      </w:r>
      <w:r>
        <w:rPr>
          <w:spacing w:val="-11"/>
          <w:w w:val="115"/>
        </w:rPr>
        <w:t>y,</w:t>
      </w:r>
      <w:r>
        <w:rPr>
          <w:spacing w:val="-12"/>
          <w:w w:val="115"/>
        </w:rPr>
        <w:t> </w:t>
      </w:r>
      <w:r>
        <w:rPr>
          <w:w w:val="115"/>
        </w:rPr>
        <w:t>en</w:t>
      </w:r>
      <w:r>
        <w:rPr>
          <w:spacing w:val="-12"/>
          <w:w w:val="115"/>
        </w:rPr>
        <w:t> </w:t>
      </w:r>
      <w:r>
        <w:rPr>
          <w:w w:val="115"/>
        </w:rPr>
        <w:t>consecuencia,</w:t>
      </w:r>
      <w:r>
        <w:rPr>
          <w:spacing w:val="-12"/>
          <w:w w:val="115"/>
        </w:rPr>
        <w:t> </w:t>
      </w:r>
      <w:r>
        <w:rPr>
          <w:w w:val="115"/>
        </w:rPr>
        <w:t>al</w:t>
      </w:r>
      <w:r>
        <w:rPr>
          <w:spacing w:val="-12"/>
          <w:w w:val="115"/>
        </w:rPr>
        <w:t> </w:t>
      </w:r>
      <w:r>
        <w:rPr>
          <w:w w:val="115"/>
        </w:rPr>
        <w:t>desmembramiento</w:t>
      </w:r>
      <w:r>
        <w:rPr>
          <w:spacing w:val="-12"/>
          <w:w w:val="115"/>
        </w:rPr>
        <w:t> </w:t>
      </w:r>
      <w:r>
        <w:rPr>
          <w:w w:val="115"/>
        </w:rPr>
        <w:t>de</w:t>
      </w:r>
      <w:r>
        <w:rPr>
          <w:spacing w:val="-12"/>
          <w:w w:val="115"/>
        </w:rPr>
        <w:t> </w:t>
      </w:r>
      <w:r>
        <w:rPr>
          <w:w w:val="115"/>
        </w:rPr>
        <w:t>la</w:t>
      </w:r>
      <w:r>
        <w:rPr>
          <w:spacing w:val="-12"/>
          <w:w w:val="115"/>
        </w:rPr>
        <w:t> </w:t>
      </w:r>
      <w:r>
        <w:rPr>
          <w:w w:val="115"/>
        </w:rPr>
        <w:t>lla- mada “clase</w:t>
      </w:r>
      <w:r>
        <w:rPr>
          <w:spacing w:val="-32"/>
          <w:w w:val="115"/>
        </w:rPr>
        <w:t> </w:t>
      </w:r>
      <w:r>
        <w:rPr>
          <w:w w:val="115"/>
        </w:rPr>
        <w:t>media”</w:t>
      </w:r>
      <w:r>
        <w:rPr>
          <w:i/>
          <w:w w:val="115"/>
        </w:rPr>
        <w:t>.</w:t>
      </w:r>
    </w:p>
    <w:p>
      <w:pPr>
        <w:pStyle w:val="ListParagraph"/>
        <w:numPr>
          <w:ilvl w:val="0"/>
          <w:numId w:val="8"/>
        </w:numPr>
        <w:tabs>
          <w:tab w:pos="955" w:val="left" w:leader="none"/>
        </w:tabs>
        <w:spacing w:line="249" w:lineRule="auto" w:before="37" w:after="0"/>
        <w:ind w:left="954" w:right="118" w:hanging="227"/>
        <w:jc w:val="both"/>
        <w:rPr>
          <w:sz w:val="19"/>
        </w:rPr>
      </w:pPr>
      <w:r>
        <w:rPr>
          <w:w w:val="110"/>
          <w:sz w:val="19"/>
        </w:rPr>
        <w:t>Y se procuraría a través de los organismos económicos </w:t>
      </w:r>
      <w:r>
        <w:rPr>
          <w:spacing w:val="-3"/>
          <w:w w:val="110"/>
          <w:sz w:val="19"/>
        </w:rPr>
        <w:t>inter- </w:t>
      </w:r>
      <w:r>
        <w:rPr>
          <w:w w:val="110"/>
          <w:sz w:val="19"/>
        </w:rPr>
        <w:t>nacionales y/o mediante </w:t>
      </w:r>
      <w:r>
        <w:rPr>
          <w:w w:val="140"/>
          <w:sz w:val="19"/>
        </w:rPr>
        <w:t>tlCs </w:t>
      </w:r>
      <w:r>
        <w:rPr>
          <w:w w:val="110"/>
          <w:sz w:val="19"/>
        </w:rPr>
        <w:t>bi y multilaterales, el establec- imiento de las eufemísticamente llamadas </w:t>
      </w:r>
      <w:r>
        <w:rPr>
          <w:i/>
          <w:w w:val="110"/>
          <w:sz w:val="19"/>
        </w:rPr>
        <w:t>canchas de juego </w:t>
      </w:r>
      <w:r>
        <w:rPr>
          <w:i/>
          <w:w w:val="110"/>
          <w:sz w:val="19"/>
        </w:rPr>
        <w:t>aplanadas</w:t>
      </w:r>
      <w:r>
        <w:rPr>
          <w:w w:val="110"/>
          <w:sz w:val="19"/>
        </w:rPr>
        <w:t>, sistemas unificados de regulaciones internacionales que le garantizaran al gran capital transnacional norteameri- cano –en condiciones de inequidad–  las  mejores  facilidades de reproducción y seguridad para el mediano-largo plazo en sus transacciones inversionistas, financieras y comerciales</w:t>
      </w:r>
      <w:r>
        <w:rPr>
          <w:spacing w:val="33"/>
          <w:w w:val="110"/>
          <w:sz w:val="19"/>
        </w:rPr>
        <w:t> </w:t>
      </w:r>
      <w:r>
        <w:rPr>
          <w:w w:val="110"/>
          <w:sz w:val="19"/>
        </w:rPr>
        <w:t>con</w:t>
      </w:r>
    </w:p>
    <w:p>
      <w:pPr>
        <w:spacing w:after="0" w:line="249" w:lineRule="auto"/>
        <w:jc w:val="both"/>
        <w:rPr>
          <w:sz w:val="19"/>
        </w:rPr>
        <w:sectPr>
          <w:pgSz w:w="8790" w:h="12760"/>
          <w:pgMar w:header="697" w:footer="725" w:top="880" w:bottom="920" w:left="1200" w:right="900"/>
        </w:sectPr>
      </w:pPr>
    </w:p>
    <w:p>
      <w:pPr>
        <w:pStyle w:val="BodyText"/>
        <w:spacing w:before="9"/>
        <w:rPr>
          <w:sz w:val="28"/>
        </w:rPr>
      </w:pPr>
    </w:p>
    <w:p>
      <w:pPr>
        <w:pStyle w:val="BodyText"/>
        <w:spacing w:line="252" w:lineRule="auto" w:before="73"/>
        <w:ind w:left="724" w:right="328"/>
        <w:jc w:val="both"/>
      </w:pPr>
      <w:r>
        <w:rPr>
          <w:w w:val="110"/>
        </w:rPr>
        <w:t>los países subdesarrollados (recuérdese el rechazo al </w:t>
      </w:r>
      <w:r>
        <w:rPr>
          <w:w w:val="125"/>
        </w:rPr>
        <w:t>alCa </w:t>
      </w:r>
      <w:r>
        <w:rPr>
          <w:w w:val="110"/>
        </w:rPr>
        <w:t>en Mar del Plata en 2005, primer gran golpe antihegemónico lati- noamericano).</w:t>
      </w:r>
    </w:p>
    <w:p>
      <w:pPr>
        <w:pStyle w:val="BodyText"/>
        <w:spacing w:before="11"/>
      </w:pPr>
    </w:p>
    <w:p>
      <w:pPr>
        <w:pStyle w:val="BodyText"/>
        <w:spacing w:line="252" w:lineRule="auto"/>
        <w:ind w:left="100" w:right="328"/>
        <w:jc w:val="both"/>
      </w:pPr>
      <w:r>
        <w:rPr>
          <w:w w:val="120"/>
        </w:rPr>
        <w:t>En</w:t>
      </w:r>
      <w:r>
        <w:rPr>
          <w:spacing w:val="-20"/>
          <w:w w:val="120"/>
        </w:rPr>
        <w:t> </w:t>
      </w:r>
      <w:r>
        <w:rPr>
          <w:w w:val="120"/>
        </w:rPr>
        <w:t>la</w:t>
      </w:r>
      <w:r>
        <w:rPr>
          <w:spacing w:val="-20"/>
          <w:w w:val="120"/>
        </w:rPr>
        <w:t> </w:t>
      </w:r>
      <w:r>
        <w:rPr>
          <w:w w:val="120"/>
        </w:rPr>
        <w:t>mayoría</w:t>
      </w:r>
      <w:r>
        <w:rPr>
          <w:spacing w:val="-20"/>
          <w:w w:val="120"/>
        </w:rPr>
        <w:t> </w:t>
      </w:r>
      <w:r>
        <w:rPr>
          <w:w w:val="120"/>
        </w:rPr>
        <w:t>de</w:t>
      </w:r>
      <w:r>
        <w:rPr>
          <w:spacing w:val="-20"/>
          <w:w w:val="120"/>
        </w:rPr>
        <w:t> </w:t>
      </w:r>
      <w:r>
        <w:rPr>
          <w:w w:val="120"/>
        </w:rPr>
        <w:t>los</w:t>
      </w:r>
      <w:r>
        <w:rPr>
          <w:spacing w:val="-20"/>
          <w:w w:val="120"/>
        </w:rPr>
        <w:t> </w:t>
      </w:r>
      <w:r>
        <w:rPr>
          <w:w w:val="120"/>
        </w:rPr>
        <w:t>sectores</w:t>
      </w:r>
      <w:r>
        <w:rPr>
          <w:spacing w:val="-20"/>
          <w:w w:val="120"/>
        </w:rPr>
        <w:t> </w:t>
      </w:r>
      <w:r>
        <w:rPr>
          <w:w w:val="120"/>
        </w:rPr>
        <w:t>económicos</w:t>
      </w:r>
      <w:r>
        <w:rPr>
          <w:spacing w:val="-20"/>
          <w:w w:val="120"/>
        </w:rPr>
        <w:t> </w:t>
      </w:r>
      <w:r>
        <w:rPr>
          <w:w w:val="120"/>
        </w:rPr>
        <w:t>se</w:t>
      </w:r>
      <w:r>
        <w:rPr>
          <w:spacing w:val="-20"/>
          <w:w w:val="120"/>
        </w:rPr>
        <w:t> </w:t>
      </w:r>
      <w:r>
        <w:rPr>
          <w:w w:val="120"/>
        </w:rPr>
        <w:t>volvería</w:t>
      </w:r>
      <w:r>
        <w:rPr>
          <w:spacing w:val="-20"/>
          <w:w w:val="120"/>
        </w:rPr>
        <w:t> </w:t>
      </w:r>
      <w:r>
        <w:rPr>
          <w:w w:val="120"/>
        </w:rPr>
        <w:t>a</w:t>
      </w:r>
      <w:r>
        <w:rPr>
          <w:spacing w:val="-20"/>
          <w:w w:val="120"/>
        </w:rPr>
        <w:t> </w:t>
      </w:r>
      <w:r>
        <w:rPr>
          <w:w w:val="120"/>
        </w:rPr>
        <w:t>presentar</w:t>
      </w:r>
      <w:r>
        <w:rPr>
          <w:spacing w:val="-20"/>
          <w:w w:val="120"/>
        </w:rPr>
        <w:t> </w:t>
      </w:r>
      <w:r>
        <w:rPr>
          <w:w w:val="120"/>
        </w:rPr>
        <w:t>– con</w:t>
      </w:r>
      <w:r>
        <w:rPr>
          <w:spacing w:val="-24"/>
          <w:w w:val="120"/>
        </w:rPr>
        <w:t> </w:t>
      </w:r>
      <w:r>
        <w:rPr>
          <w:w w:val="120"/>
        </w:rPr>
        <w:t>más</w:t>
      </w:r>
      <w:r>
        <w:rPr>
          <w:spacing w:val="-24"/>
          <w:w w:val="120"/>
        </w:rPr>
        <w:t> </w:t>
      </w:r>
      <w:r>
        <w:rPr>
          <w:w w:val="120"/>
        </w:rPr>
        <w:t>fuerza</w:t>
      </w:r>
      <w:r>
        <w:rPr>
          <w:spacing w:val="-24"/>
          <w:w w:val="120"/>
        </w:rPr>
        <w:t> </w:t>
      </w:r>
      <w:r>
        <w:rPr>
          <w:w w:val="120"/>
        </w:rPr>
        <w:t>que</w:t>
      </w:r>
      <w:r>
        <w:rPr>
          <w:spacing w:val="-24"/>
          <w:w w:val="120"/>
        </w:rPr>
        <w:t> </w:t>
      </w:r>
      <w:r>
        <w:rPr>
          <w:w w:val="120"/>
        </w:rPr>
        <w:t>nunca–</w:t>
      </w:r>
      <w:r>
        <w:rPr>
          <w:spacing w:val="-24"/>
          <w:w w:val="120"/>
        </w:rPr>
        <w:t> </w:t>
      </w:r>
      <w:r>
        <w:rPr>
          <w:w w:val="120"/>
        </w:rPr>
        <w:t>el</w:t>
      </w:r>
      <w:r>
        <w:rPr>
          <w:spacing w:val="-24"/>
          <w:w w:val="120"/>
        </w:rPr>
        <w:t> </w:t>
      </w:r>
      <w:r>
        <w:rPr>
          <w:w w:val="120"/>
        </w:rPr>
        <w:t>dilema</w:t>
      </w:r>
      <w:r>
        <w:rPr>
          <w:spacing w:val="-24"/>
          <w:w w:val="120"/>
        </w:rPr>
        <w:t> </w:t>
      </w:r>
      <w:r>
        <w:rPr>
          <w:w w:val="120"/>
        </w:rPr>
        <w:t>de</w:t>
      </w:r>
      <w:r>
        <w:rPr>
          <w:spacing w:val="-24"/>
          <w:w w:val="120"/>
        </w:rPr>
        <w:t> </w:t>
      </w:r>
      <w:r>
        <w:rPr>
          <w:w w:val="120"/>
        </w:rPr>
        <w:t>la</w:t>
      </w:r>
      <w:r>
        <w:rPr>
          <w:spacing w:val="-24"/>
          <w:w w:val="120"/>
        </w:rPr>
        <w:t> </w:t>
      </w:r>
      <w:r>
        <w:rPr>
          <w:w w:val="120"/>
        </w:rPr>
        <w:t>rentabilidad</w:t>
      </w:r>
      <w:r>
        <w:rPr>
          <w:spacing w:val="-24"/>
          <w:w w:val="120"/>
        </w:rPr>
        <w:t> </w:t>
      </w:r>
      <w:r>
        <w:rPr>
          <w:w w:val="120"/>
        </w:rPr>
        <w:t>negativa</w:t>
      </w:r>
      <w:r>
        <w:rPr>
          <w:spacing w:val="-24"/>
          <w:w w:val="120"/>
        </w:rPr>
        <w:t> </w:t>
      </w:r>
      <w:r>
        <w:rPr>
          <w:w w:val="120"/>
        </w:rPr>
        <w:t>de la</w:t>
      </w:r>
      <w:r>
        <w:rPr>
          <w:spacing w:val="-14"/>
          <w:w w:val="120"/>
        </w:rPr>
        <w:t> </w:t>
      </w:r>
      <w:r>
        <w:rPr>
          <w:w w:val="120"/>
        </w:rPr>
        <w:t>sustitución</w:t>
      </w:r>
      <w:r>
        <w:rPr>
          <w:spacing w:val="-14"/>
          <w:w w:val="120"/>
        </w:rPr>
        <w:t> </w:t>
      </w:r>
      <w:r>
        <w:rPr>
          <w:w w:val="120"/>
        </w:rPr>
        <w:t>tecnológica.</w:t>
      </w:r>
      <w:r>
        <w:rPr>
          <w:spacing w:val="-14"/>
          <w:w w:val="120"/>
        </w:rPr>
        <w:t> </w:t>
      </w:r>
      <w:r>
        <w:rPr>
          <w:w w:val="120"/>
        </w:rPr>
        <w:t>al</w:t>
      </w:r>
      <w:r>
        <w:rPr>
          <w:spacing w:val="-14"/>
          <w:w w:val="120"/>
        </w:rPr>
        <w:t> </w:t>
      </w:r>
      <w:r>
        <w:rPr>
          <w:w w:val="120"/>
        </w:rPr>
        <w:t>aumentar</w:t>
      </w:r>
      <w:r>
        <w:rPr>
          <w:spacing w:val="-14"/>
          <w:w w:val="120"/>
        </w:rPr>
        <w:t> </w:t>
      </w:r>
      <w:r>
        <w:rPr>
          <w:w w:val="120"/>
        </w:rPr>
        <w:t>con</w:t>
      </w:r>
      <w:r>
        <w:rPr>
          <w:spacing w:val="-14"/>
          <w:w w:val="120"/>
        </w:rPr>
        <w:t> </w:t>
      </w:r>
      <w:r>
        <w:rPr>
          <w:w w:val="120"/>
        </w:rPr>
        <w:t>más</w:t>
      </w:r>
      <w:r>
        <w:rPr>
          <w:spacing w:val="-14"/>
          <w:w w:val="120"/>
        </w:rPr>
        <w:t> </w:t>
      </w:r>
      <w:r>
        <w:rPr>
          <w:w w:val="120"/>
        </w:rPr>
        <w:t>rapidez</w:t>
      </w:r>
      <w:r>
        <w:rPr>
          <w:spacing w:val="-14"/>
          <w:w w:val="120"/>
        </w:rPr>
        <w:t> </w:t>
      </w:r>
      <w:r>
        <w:rPr>
          <w:w w:val="120"/>
        </w:rPr>
        <w:t>los</w:t>
      </w:r>
      <w:r>
        <w:rPr>
          <w:spacing w:val="-14"/>
          <w:w w:val="120"/>
        </w:rPr>
        <w:t> </w:t>
      </w:r>
      <w:r>
        <w:rPr>
          <w:w w:val="120"/>
        </w:rPr>
        <w:t>costos </w:t>
      </w:r>
      <w:r>
        <w:rPr>
          <w:w w:val="115"/>
        </w:rPr>
        <w:t>de</w:t>
      </w:r>
      <w:r>
        <w:rPr>
          <w:spacing w:val="-8"/>
          <w:w w:val="115"/>
        </w:rPr>
        <w:t> </w:t>
      </w:r>
      <w:r>
        <w:rPr>
          <w:w w:val="115"/>
        </w:rPr>
        <w:t>la</w:t>
      </w:r>
      <w:r>
        <w:rPr>
          <w:spacing w:val="-8"/>
          <w:w w:val="115"/>
        </w:rPr>
        <w:t> </w:t>
      </w:r>
      <w:r>
        <w:rPr>
          <w:w w:val="115"/>
        </w:rPr>
        <w:t>sustitución</w:t>
      </w:r>
      <w:r>
        <w:rPr>
          <w:spacing w:val="-8"/>
          <w:w w:val="115"/>
        </w:rPr>
        <w:t> </w:t>
      </w:r>
      <w:r>
        <w:rPr>
          <w:w w:val="115"/>
        </w:rPr>
        <w:t>tecnológica</w:t>
      </w:r>
      <w:r>
        <w:rPr>
          <w:spacing w:val="-8"/>
          <w:w w:val="115"/>
        </w:rPr>
        <w:t> </w:t>
      </w:r>
      <w:r>
        <w:rPr>
          <w:w w:val="115"/>
        </w:rPr>
        <w:t>que</w:t>
      </w:r>
      <w:r>
        <w:rPr>
          <w:spacing w:val="-8"/>
          <w:w w:val="115"/>
        </w:rPr>
        <w:t> </w:t>
      </w:r>
      <w:r>
        <w:rPr>
          <w:w w:val="115"/>
        </w:rPr>
        <w:t>el</w:t>
      </w:r>
      <w:r>
        <w:rPr>
          <w:spacing w:val="-8"/>
          <w:w w:val="115"/>
        </w:rPr>
        <w:t> </w:t>
      </w:r>
      <w:r>
        <w:rPr>
          <w:w w:val="115"/>
        </w:rPr>
        <w:t>ahorro</w:t>
      </w:r>
      <w:r>
        <w:rPr>
          <w:spacing w:val="-8"/>
          <w:w w:val="115"/>
        </w:rPr>
        <w:t> </w:t>
      </w:r>
      <w:r>
        <w:rPr>
          <w:w w:val="115"/>
        </w:rPr>
        <w:t>en</w:t>
      </w:r>
      <w:r>
        <w:rPr>
          <w:spacing w:val="-8"/>
          <w:w w:val="115"/>
        </w:rPr>
        <w:t> </w:t>
      </w:r>
      <w:r>
        <w:rPr>
          <w:w w:val="115"/>
        </w:rPr>
        <w:t>el</w:t>
      </w:r>
      <w:r>
        <w:rPr>
          <w:spacing w:val="-8"/>
          <w:w w:val="115"/>
        </w:rPr>
        <w:t> </w:t>
      </w:r>
      <w:r>
        <w:rPr>
          <w:w w:val="115"/>
        </w:rPr>
        <w:t>costo</w:t>
      </w:r>
      <w:r>
        <w:rPr>
          <w:spacing w:val="-8"/>
          <w:w w:val="115"/>
        </w:rPr>
        <w:t> </w:t>
      </w:r>
      <w:r>
        <w:rPr>
          <w:w w:val="115"/>
        </w:rPr>
        <w:t>de</w:t>
      </w:r>
      <w:r>
        <w:rPr>
          <w:spacing w:val="-8"/>
          <w:w w:val="115"/>
        </w:rPr>
        <w:t> </w:t>
      </w:r>
      <w:r>
        <w:rPr>
          <w:w w:val="115"/>
        </w:rPr>
        <w:t>trabajo,</w:t>
      </w:r>
      <w:r>
        <w:rPr>
          <w:spacing w:val="-8"/>
          <w:w w:val="115"/>
        </w:rPr>
        <w:t> </w:t>
      </w:r>
      <w:r>
        <w:rPr>
          <w:w w:val="115"/>
        </w:rPr>
        <w:t>los </w:t>
      </w:r>
      <w:r>
        <w:rPr>
          <w:w w:val="120"/>
        </w:rPr>
        <w:t>beneficios</w:t>
      </w:r>
      <w:r>
        <w:rPr>
          <w:spacing w:val="-21"/>
          <w:w w:val="120"/>
        </w:rPr>
        <w:t> </w:t>
      </w:r>
      <w:r>
        <w:rPr>
          <w:w w:val="120"/>
        </w:rPr>
        <w:t>se</w:t>
      </w:r>
      <w:r>
        <w:rPr>
          <w:spacing w:val="-21"/>
          <w:w w:val="120"/>
        </w:rPr>
        <w:t> </w:t>
      </w:r>
      <w:r>
        <w:rPr>
          <w:w w:val="120"/>
        </w:rPr>
        <w:t>esfumarían.</w:t>
      </w:r>
      <w:r>
        <w:rPr>
          <w:spacing w:val="-21"/>
          <w:w w:val="120"/>
        </w:rPr>
        <w:t> </w:t>
      </w:r>
      <w:r>
        <w:rPr>
          <w:w w:val="120"/>
        </w:rPr>
        <w:t>de</w:t>
      </w:r>
      <w:r>
        <w:rPr>
          <w:spacing w:val="-21"/>
          <w:w w:val="120"/>
        </w:rPr>
        <w:t> </w:t>
      </w:r>
      <w:r>
        <w:rPr>
          <w:w w:val="120"/>
        </w:rPr>
        <w:t>esta</w:t>
      </w:r>
      <w:r>
        <w:rPr>
          <w:spacing w:val="-21"/>
          <w:w w:val="120"/>
        </w:rPr>
        <w:t> </w:t>
      </w:r>
      <w:r>
        <w:rPr>
          <w:w w:val="120"/>
        </w:rPr>
        <w:t>manera</w:t>
      </w:r>
      <w:r>
        <w:rPr>
          <w:spacing w:val="-21"/>
          <w:w w:val="120"/>
        </w:rPr>
        <w:t> </w:t>
      </w:r>
      <w:r>
        <w:rPr>
          <w:w w:val="120"/>
        </w:rPr>
        <w:t>surgiría</w:t>
      </w:r>
      <w:r>
        <w:rPr>
          <w:spacing w:val="-21"/>
          <w:w w:val="120"/>
        </w:rPr>
        <w:t> </w:t>
      </w:r>
      <w:r>
        <w:rPr>
          <w:w w:val="120"/>
        </w:rPr>
        <w:t>la</w:t>
      </w:r>
      <w:r>
        <w:rPr>
          <w:spacing w:val="-21"/>
          <w:w w:val="120"/>
        </w:rPr>
        <w:t> </w:t>
      </w:r>
      <w:r>
        <w:rPr>
          <w:i/>
          <w:w w:val="120"/>
        </w:rPr>
        <w:t>paradoja</w:t>
      </w:r>
      <w:r>
        <w:rPr>
          <w:i/>
          <w:spacing w:val="-21"/>
          <w:w w:val="120"/>
        </w:rPr>
        <w:t> </w:t>
      </w:r>
      <w:r>
        <w:rPr>
          <w:i/>
          <w:w w:val="120"/>
        </w:rPr>
        <w:t>de</w:t>
      </w:r>
      <w:r>
        <w:rPr>
          <w:i/>
          <w:spacing w:val="-21"/>
          <w:w w:val="120"/>
        </w:rPr>
        <w:t> </w:t>
      </w:r>
      <w:r>
        <w:rPr>
          <w:i/>
          <w:w w:val="120"/>
        </w:rPr>
        <w:t>la </w:t>
      </w:r>
      <w:r>
        <w:rPr>
          <w:i/>
          <w:w w:val="115"/>
        </w:rPr>
        <w:t>productividad</w:t>
      </w:r>
      <w:r>
        <w:rPr>
          <w:i/>
          <w:spacing w:val="-28"/>
          <w:w w:val="115"/>
        </w:rPr>
        <w:t> </w:t>
      </w:r>
      <w:r>
        <w:rPr>
          <w:i/>
          <w:w w:val="115"/>
        </w:rPr>
        <w:t>perdida</w:t>
      </w:r>
      <w:r>
        <w:rPr>
          <w:i/>
          <w:spacing w:val="-28"/>
          <w:w w:val="115"/>
        </w:rPr>
        <w:t> </w:t>
      </w:r>
      <w:r>
        <w:rPr>
          <w:w w:val="115"/>
        </w:rPr>
        <w:t>en</w:t>
      </w:r>
      <w:r>
        <w:rPr>
          <w:spacing w:val="-28"/>
          <w:w w:val="115"/>
        </w:rPr>
        <w:t> </w:t>
      </w:r>
      <w:r>
        <w:rPr>
          <w:w w:val="115"/>
        </w:rPr>
        <w:t>la</w:t>
      </w:r>
      <w:r>
        <w:rPr>
          <w:spacing w:val="-28"/>
          <w:w w:val="115"/>
        </w:rPr>
        <w:t> </w:t>
      </w:r>
      <w:r>
        <w:rPr>
          <w:w w:val="115"/>
        </w:rPr>
        <w:t>era</w:t>
      </w:r>
      <w:r>
        <w:rPr>
          <w:spacing w:val="-28"/>
          <w:w w:val="115"/>
        </w:rPr>
        <w:t> </w:t>
      </w:r>
      <w:r>
        <w:rPr>
          <w:w w:val="115"/>
        </w:rPr>
        <w:t>del</w:t>
      </w:r>
      <w:r>
        <w:rPr>
          <w:spacing w:val="-28"/>
          <w:w w:val="115"/>
        </w:rPr>
        <w:t> </w:t>
      </w:r>
      <w:r>
        <w:rPr>
          <w:w w:val="115"/>
        </w:rPr>
        <w:t>nuevo</w:t>
      </w:r>
      <w:r>
        <w:rPr>
          <w:spacing w:val="-28"/>
          <w:w w:val="115"/>
        </w:rPr>
        <w:t> </w:t>
      </w:r>
      <w:r>
        <w:rPr>
          <w:w w:val="115"/>
        </w:rPr>
        <w:t>paradigma</w:t>
      </w:r>
      <w:r>
        <w:rPr>
          <w:spacing w:val="-28"/>
          <w:w w:val="115"/>
        </w:rPr>
        <w:t> </w:t>
      </w:r>
      <w:r>
        <w:rPr>
          <w:w w:val="115"/>
        </w:rPr>
        <w:t>tecnoeconómico </w:t>
      </w:r>
      <w:r>
        <w:rPr>
          <w:w w:val="120"/>
        </w:rPr>
        <w:t>(Wlo,</w:t>
      </w:r>
      <w:r>
        <w:rPr>
          <w:spacing w:val="-17"/>
          <w:w w:val="120"/>
        </w:rPr>
        <w:t> </w:t>
      </w:r>
      <w:r>
        <w:rPr>
          <w:w w:val="120"/>
        </w:rPr>
        <w:t>1996).</w:t>
      </w:r>
      <w:r>
        <w:rPr>
          <w:spacing w:val="-17"/>
          <w:w w:val="120"/>
        </w:rPr>
        <w:t> </w:t>
      </w:r>
      <w:r>
        <w:rPr>
          <w:w w:val="120"/>
        </w:rPr>
        <w:t>así,</w:t>
      </w:r>
      <w:r>
        <w:rPr>
          <w:spacing w:val="-17"/>
          <w:w w:val="120"/>
        </w:rPr>
        <w:t> </w:t>
      </w:r>
      <w:r>
        <w:rPr>
          <w:w w:val="120"/>
        </w:rPr>
        <w:t>en</w:t>
      </w:r>
      <w:r>
        <w:rPr>
          <w:spacing w:val="-17"/>
          <w:w w:val="120"/>
        </w:rPr>
        <w:t> </w:t>
      </w:r>
      <w:r>
        <w:rPr>
          <w:w w:val="120"/>
        </w:rPr>
        <w:t>el</w:t>
      </w:r>
      <w:r>
        <w:rPr>
          <w:spacing w:val="-17"/>
          <w:w w:val="120"/>
        </w:rPr>
        <w:t> </w:t>
      </w:r>
      <w:r>
        <w:rPr>
          <w:w w:val="120"/>
        </w:rPr>
        <w:t>G-7,</w:t>
      </w:r>
      <w:r>
        <w:rPr>
          <w:spacing w:val="-17"/>
          <w:w w:val="120"/>
        </w:rPr>
        <w:t> </w:t>
      </w:r>
      <w:r>
        <w:rPr>
          <w:w w:val="120"/>
        </w:rPr>
        <w:t>entre</w:t>
      </w:r>
      <w:r>
        <w:rPr>
          <w:spacing w:val="-17"/>
          <w:w w:val="120"/>
        </w:rPr>
        <w:t> </w:t>
      </w:r>
      <w:r>
        <w:rPr>
          <w:w w:val="120"/>
        </w:rPr>
        <w:t>1960</w:t>
      </w:r>
      <w:r>
        <w:rPr>
          <w:spacing w:val="-17"/>
          <w:w w:val="120"/>
        </w:rPr>
        <w:t> </w:t>
      </w:r>
      <w:r>
        <w:rPr>
          <w:w w:val="120"/>
        </w:rPr>
        <w:t>y</w:t>
      </w:r>
      <w:r>
        <w:rPr>
          <w:spacing w:val="-17"/>
          <w:w w:val="120"/>
        </w:rPr>
        <w:t> </w:t>
      </w:r>
      <w:r>
        <w:rPr>
          <w:w w:val="120"/>
        </w:rPr>
        <w:t>1967,</w:t>
      </w:r>
      <w:r>
        <w:rPr>
          <w:spacing w:val="-17"/>
          <w:w w:val="120"/>
        </w:rPr>
        <w:t> </w:t>
      </w:r>
      <w:r>
        <w:rPr>
          <w:w w:val="120"/>
        </w:rPr>
        <w:t>la</w:t>
      </w:r>
      <w:r>
        <w:rPr>
          <w:spacing w:val="-17"/>
          <w:w w:val="120"/>
        </w:rPr>
        <w:t> </w:t>
      </w:r>
      <w:r>
        <w:rPr>
          <w:w w:val="120"/>
        </w:rPr>
        <w:t>productividad</w:t>
      </w:r>
      <w:r>
        <w:rPr>
          <w:spacing w:val="-17"/>
          <w:w w:val="120"/>
        </w:rPr>
        <w:t> </w:t>
      </w:r>
      <w:r>
        <w:rPr>
          <w:w w:val="120"/>
        </w:rPr>
        <w:t>del </w:t>
      </w:r>
      <w:r>
        <w:rPr>
          <w:w w:val="115"/>
        </w:rPr>
        <w:t>trabajo</w:t>
      </w:r>
      <w:r>
        <w:rPr>
          <w:spacing w:val="-20"/>
          <w:w w:val="115"/>
        </w:rPr>
        <w:t> </w:t>
      </w:r>
      <w:r>
        <w:rPr>
          <w:w w:val="115"/>
        </w:rPr>
        <w:t>creció</w:t>
      </w:r>
      <w:r>
        <w:rPr>
          <w:spacing w:val="-20"/>
          <w:w w:val="115"/>
        </w:rPr>
        <w:t> </w:t>
      </w:r>
      <w:r>
        <w:rPr>
          <w:w w:val="115"/>
        </w:rPr>
        <w:t>a</w:t>
      </w:r>
      <w:r>
        <w:rPr>
          <w:spacing w:val="-20"/>
          <w:w w:val="115"/>
        </w:rPr>
        <w:t> </w:t>
      </w:r>
      <w:r>
        <w:rPr>
          <w:w w:val="115"/>
        </w:rPr>
        <w:t>una</w:t>
      </w:r>
      <w:r>
        <w:rPr>
          <w:spacing w:val="-20"/>
          <w:w w:val="115"/>
        </w:rPr>
        <w:t> </w:t>
      </w:r>
      <w:r>
        <w:rPr>
          <w:w w:val="115"/>
        </w:rPr>
        <w:t>tasa</w:t>
      </w:r>
      <w:r>
        <w:rPr>
          <w:spacing w:val="-20"/>
          <w:w w:val="115"/>
        </w:rPr>
        <w:t> </w:t>
      </w:r>
      <w:r>
        <w:rPr>
          <w:w w:val="115"/>
        </w:rPr>
        <w:t>anual</w:t>
      </w:r>
      <w:r>
        <w:rPr>
          <w:spacing w:val="-20"/>
          <w:w w:val="115"/>
        </w:rPr>
        <w:t> </w:t>
      </w:r>
      <w:r>
        <w:rPr>
          <w:w w:val="115"/>
        </w:rPr>
        <w:t>media</w:t>
      </w:r>
      <w:r>
        <w:rPr>
          <w:spacing w:val="-20"/>
          <w:w w:val="115"/>
        </w:rPr>
        <w:t> </w:t>
      </w:r>
      <w:r>
        <w:rPr>
          <w:w w:val="115"/>
        </w:rPr>
        <w:t>del</w:t>
      </w:r>
      <w:r>
        <w:rPr>
          <w:spacing w:val="-20"/>
          <w:w w:val="115"/>
        </w:rPr>
        <w:t> </w:t>
      </w:r>
      <w:r>
        <w:rPr>
          <w:w w:val="115"/>
        </w:rPr>
        <w:t>4,3%,</w:t>
      </w:r>
      <w:r>
        <w:rPr>
          <w:spacing w:val="-20"/>
          <w:w w:val="115"/>
        </w:rPr>
        <w:t> </w:t>
      </w:r>
      <w:r>
        <w:rPr>
          <w:w w:val="115"/>
        </w:rPr>
        <w:t>entre</w:t>
      </w:r>
      <w:r>
        <w:rPr>
          <w:spacing w:val="-20"/>
          <w:w w:val="115"/>
        </w:rPr>
        <w:t> </w:t>
      </w:r>
      <w:r>
        <w:rPr>
          <w:w w:val="115"/>
        </w:rPr>
        <w:t>1973</w:t>
      </w:r>
      <w:r>
        <w:rPr>
          <w:spacing w:val="-20"/>
          <w:w w:val="115"/>
        </w:rPr>
        <w:t> </w:t>
      </w:r>
      <w:r>
        <w:rPr>
          <w:w w:val="115"/>
        </w:rPr>
        <w:t>y</w:t>
      </w:r>
      <w:r>
        <w:rPr>
          <w:spacing w:val="-20"/>
          <w:w w:val="115"/>
        </w:rPr>
        <w:t> </w:t>
      </w:r>
      <w:r>
        <w:rPr>
          <w:w w:val="115"/>
        </w:rPr>
        <w:t>1979</w:t>
      </w:r>
      <w:r>
        <w:rPr>
          <w:spacing w:val="-20"/>
          <w:w w:val="115"/>
        </w:rPr>
        <w:t> </w:t>
      </w:r>
      <w:r>
        <w:rPr>
          <w:w w:val="115"/>
        </w:rPr>
        <w:t>esa tasa</w:t>
      </w:r>
      <w:r>
        <w:rPr>
          <w:spacing w:val="-24"/>
          <w:w w:val="115"/>
        </w:rPr>
        <w:t> </w:t>
      </w:r>
      <w:r>
        <w:rPr>
          <w:w w:val="115"/>
        </w:rPr>
        <w:t>bajó</w:t>
      </w:r>
      <w:r>
        <w:rPr>
          <w:spacing w:val="-24"/>
          <w:w w:val="115"/>
        </w:rPr>
        <w:t> </w:t>
      </w:r>
      <w:r>
        <w:rPr>
          <w:w w:val="115"/>
        </w:rPr>
        <w:t>al</w:t>
      </w:r>
      <w:r>
        <w:rPr>
          <w:spacing w:val="-24"/>
          <w:w w:val="115"/>
        </w:rPr>
        <w:t> </w:t>
      </w:r>
      <w:r>
        <w:rPr>
          <w:w w:val="115"/>
        </w:rPr>
        <w:t>1,9%,</w:t>
      </w:r>
      <w:r>
        <w:rPr>
          <w:spacing w:val="-24"/>
          <w:w w:val="115"/>
        </w:rPr>
        <w:t> </w:t>
      </w:r>
      <w:r>
        <w:rPr>
          <w:w w:val="115"/>
        </w:rPr>
        <w:t>entre</w:t>
      </w:r>
      <w:r>
        <w:rPr>
          <w:spacing w:val="-24"/>
          <w:w w:val="115"/>
        </w:rPr>
        <w:t> </w:t>
      </w:r>
      <w:r>
        <w:rPr>
          <w:w w:val="115"/>
        </w:rPr>
        <w:t>1979</w:t>
      </w:r>
      <w:r>
        <w:rPr>
          <w:spacing w:val="-24"/>
          <w:w w:val="115"/>
        </w:rPr>
        <w:t> </w:t>
      </w:r>
      <w:r>
        <w:rPr>
          <w:w w:val="115"/>
        </w:rPr>
        <w:t>y</w:t>
      </w:r>
      <w:r>
        <w:rPr>
          <w:spacing w:val="-24"/>
          <w:w w:val="115"/>
        </w:rPr>
        <w:t> </w:t>
      </w:r>
      <w:r>
        <w:rPr>
          <w:w w:val="115"/>
        </w:rPr>
        <w:t>1989</w:t>
      </w:r>
      <w:r>
        <w:rPr>
          <w:spacing w:val="-24"/>
          <w:w w:val="115"/>
        </w:rPr>
        <w:t> </w:t>
      </w:r>
      <w:r>
        <w:rPr>
          <w:w w:val="115"/>
        </w:rPr>
        <w:t>descendería</w:t>
      </w:r>
      <w:r>
        <w:rPr>
          <w:spacing w:val="-24"/>
          <w:w w:val="115"/>
        </w:rPr>
        <w:t> </w:t>
      </w:r>
      <w:r>
        <w:rPr>
          <w:w w:val="115"/>
        </w:rPr>
        <w:t>al</w:t>
      </w:r>
      <w:r>
        <w:rPr>
          <w:spacing w:val="-24"/>
          <w:w w:val="115"/>
        </w:rPr>
        <w:t> </w:t>
      </w:r>
      <w:r>
        <w:rPr>
          <w:w w:val="115"/>
        </w:rPr>
        <w:t>1,7%</w:t>
      </w:r>
      <w:r>
        <w:rPr>
          <w:spacing w:val="-24"/>
          <w:w w:val="115"/>
        </w:rPr>
        <w:t> </w:t>
      </w:r>
      <w:r>
        <w:rPr>
          <w:w w:val="115"/>
        </w:rPr>
        <w:t>y</w:t>
      </w:r>
      <w:r>
        <w:rPr>
          <w:spacing w:val="-24"/>
          <w:w w:val="115"/>
        </w:rPr>
        <w:t> </w:t>
      </w:r>
      <w:r>
        <w:rPr>
          <w:w w:val="115"/>
        </w:rPr>
        <w:t>entre</w:t>
      </w:r>
      <w:r>
        <w:rPr>
          <w:spacing w:val="-24"/>
          <w:w w:val="115"/>
        </w:rPr>
        <w:t> </w:t>
      </w:r>
      <w:r>
        <w:rPr>
          <w:w w:val="115"/>
        </w:rPr>
        <w:t>1989 y</w:t>
      </w:r>
      <w:r>
        <w:rPr>
          <w:spacing w:val="-12"/>
          <w:w w:val="115"/>
        </w:rPr>
        <w:t> </w:t>
      </w:r>
      <w:r>
        <w:rPr>
          <w:w w:val="115"/>
        </w:rPr>
        <w:t>1994</w:t>
      </w:r>
      <w:r>
        <w:rPr>
          <w:spacing w:val="-12"/>
          <w:w w:val="115"/>
        </w:rPr>
        <w:t> </w:t>
      </w:r>
      <w:r>
        <w:rPr>
          <w:w w:val="115"/>
        </w:rPr>
        <w:t>se</w:t>
      </w:r>
      <w:r>
        <w:rPr>
          <w:spacing w:val="-12"/>
          <w:w w:val="115"/>
        </w:rPr>
        <w:t> </w:t>
      </w:r>
      <w:r>
        <w:rPr>
          <w:w w:val="115"/>
        </w:rPr>
        <w:t>reduciría</w:t>
      </w:r>
      <w:r>
        <w:rPr>
          <w:spacing w:val="-12"/>
          <w:w w:val="115"/>
        </w:rPr>
        <w:t> </w:t>
      </w:r>
      <w:r>
        <w:rPr>
          <w:w w:val="115"/>
        </w:rPr>
        <w:t>a</w:t>
      </w:r>
      <w:r>
        <w:rPr>
          <w:spacing w:val="-12"/>
          <w:w w:val="115"/>
        </w:rPr>
        <w:t> </w:t>
      </w:r>
      <w:r>
        <w:rPr>
          <w:w w:val="115"/>
        </w:rPr>
        <w:t>1,2%.</w:t>
      </w:r>
      <w:r>
        <w:rPr>
          <w:spacing w:val="-12"/>
          <w:w w:val="115"/>
        </w:rPr>
        <w:t> </w:t>
      </w:r>
      <w:r>
        <w:rPr>
          <w:w w:val="115"/>
        </w:rPr>
        <w:t>En</w:t>
      </w:r>
      <w:r>
        <w:rPr>
          <w:spacing w:val="-12"/>
          <w:w w:val="115"/>
        </w:rPr>
        <w:t> </w:t>
      </w:r>
      <w:r>
        <w:rPr>
          <w:w w:val="115"/>
        </w:rPr>
        <w:t>la</w:t>
      </w:r>
      <w:r>
        <w:rPr>
          <w:spacing w:val="-12"/>
          <w:w w:val="115"/>
        </w:rPr>
        <w:t> </w:t>
      </w:r>
      <w:r>
        <w:rPr>
          <w:w w:val="115"/>
        </w:rPr>
        <w:t>segunda</w:t>
      </w:r>
      <w:r>
        <w:rPr>
          <w:spacing w:val="-12"/>
          <w:w w:val="115"/>
        </w:rPr>
        <w:t> </w:t>
      </w:r>
      <w:r>
        <w:rPr>
          <w:w w:val="115"/>
        </w:rPr>
        <w:t>mitad</w:t>
      </w:r>
      <w:r>
        <w:rPr>
          <w:spacing w:val="-12"/>
          <w:w w:val="115"/>
        </w:rPr>
        <w:t> </w:t>
      </w:r>
      <w:r>
        <w:rPr>
          <w:w w:val="115"/>
        </w:rPr>
        <w:t>de</w:t>
      </w:r>
      <w:r>
        <w:rPr>
          <w:spacing w:val="-12"/>
          <w:w w:val="115"/>
        </w:rPr>
        <w:t> </w:t>
      </w:r>
      <w:r>
        <w:rPr>
          <w:w w:val="115"/>
        </w:rPr>
        <w:t>los</w:t>
      </w:r>
      <w:r>
        <w:rPr>
          <w:spacing w:val="-12"/>
          <w:w w:val="115"/>
        </w:rPr>
        <w:t> </w:t>
      </w:r>
      <w:r>
        <w:rPr>
          <w:w w:val="115"/>
        </w:rPr>
        <w:t>años</w:t>
      </w:r>
      <w:r>
        <w:rPr>
          <w:spacing w:val="-12"/>
          <w:w w:val="115"/>
        </w:rPr>
        <w:t> </w:t>
      </w:r>
      <w:r>
        <w:rPr>
          <w:w w:val="115"/>
        </w:rPr>
        <w:t>noventa, se</w:t>
      </w:r>
      <w:r>
        <w:rPr>
          <w:spacing w:val="-25"/>
          <w:w w:val="115"/>
        </w:rPr>
        <w:t> </w:t>
      </w:r>
      <w:r>
        <w:rPr>
          <w:w w:val="115"/>
        </w:rPr>
        <w:t>esfumó</w:t>
      </w:r>
      <w:r>
        <w:rPr>
          <w:spacing w:val="-25"/>
          <w:w w:val="115"/>
        </w:rPr>
        <w:t> </w:t>
      </w:r>
      <w:r>
        <w:rPr>
          <w:w w:val="115"/>
        </w:rPr>
        <w:t>(Wolman</w:t>
      </w:r>
      <w:r>
        <w:rPr>
          <w:spacing w:val="-25"/>
          <w:w w:val="115"/>
        </w:rPr>
        <w:t> </w:t>
      </w:r>
      <w:r>
        <w:rPr>
          <w:w w:val="115"/>
        </w:rPr>
        <w:t>y</w:t>
      </w:r>
      <w:r>
        <w:rPr>
          <w:spacing w:val="-25"/>
          <w:w w:val="115"/>
        </w:rPr>
        <w:t> </w:t>
      </w:r>
      <w:r>
        <w:rPr>
          <w:w w:val="115"/>
        </w:rPr>
        <w:t>Colamosca,</w:t>
      </w:r>
      <w:r>
        <w:rPr>
          <w:spacing w:val="-25"/>
          <w:w w:val="115"/>
        </w:rPr>
        <w:t> </w:t>
      </w:r>
      <w:r>
        <w:rPr>
          <w:w w:val="115"/>
        </w:rPr>
        <w:t>1997:</w:t>
      </w:r>
      <w:r>
        <w:rPr>
          <w:spacing w:val="-25"/>
          <w:w w:val="115"/>
        </w:rPr>
        <w:t> </w:t>
      </w:r>
      <w:r>
        <w:rPr>
          <w:w w:val="115"/>
        </w:rPr>
        <w:t>87;</w:t>
      </w:r>
      <w:r>
        <w:rPr>
          <w:spacing w:val="-25"/>
          <w:w w:val="115"/>
        </w:rPr>
        <w:t> </w:t>
      </w:r>
      <w:r>
        <w:rPr>
          <w:i/>
          <w:w w:val="115"/>
        </w:rPr>
        <w:t>The</w:t>
      </w:r>
      <w:r>
        <w:rPr>
          <w:i/>
          <w:spacing w:val="-25"/>
          <w:w w:val="115"/>
        </w:rPr>
        <w:t> </w:t>
      </w:r>
      <w:r>
        <w:rPr>
          <w:i/>
          <w:w w:val="115"/>
        </w:rPr>
        <w:t>Economist</w:t>
      </w:r>
      <w:r>
        <w:rPr>
          <w:w w:val="115"/>
        </w:rPr>
        <w:t>,</w:t>
      </w:r>
      <w:r>
        <w:rPr>
          <w:spacing w:val="-25"/>
          <w:w w:val="115"/>
        </w:rPr>
        <w:t> </w:t>
      </w:r>
      <w:r>
        <w:rPr>
          <w:w w:val="115"/>
        </w:rPr>
        <w:t>2001:</w:t>
      </w:r>
      <w:r>
        <w:rPr>
          <w:spacing w:val="-25"/>
          <w:w w:val="115"/>
        </w:rPr>
        <w:t> </w:t>
      </w:r>
      <w:r>
        <w:rPr>
          <w:w w:val="115"/>
        </w:rPr>
        <w:t>90). Esta</w:t>
      </w:r>
      <w:r>
        <w:rPr>
          <w:spacing w:val="-26"/>
          <w:w w:val="115"/>
        </w:rPr>
        <w:t> </w:t>
      </w:r>
      <w:r>
        <w:rPr>
          <w:w w:val="115"/>
        </w:rPr>
        <w:t>tendencia</w:t>
      </w:r>
      <w:r>
        <w:rPr>
          <w:spacing w:val="-26"/>
          <w:w w:val="115"/>
        </w:rPr>
        <w:t> </w:t>
      </w:r>
      <w:r>
        <w:rPr>
          <w:w w:val="115"/>
        </w:rPr>
        <w:t>(con</w:t>
      </w:r>
      <w:r>
        <w:rPr>
          <w:spacing w:val="-26"/>
          <w:w w:val="115"/>
        </w:rPr>
        <w:t> </w:t>
      </w:r>
      <w:r>
        <w:rPr>
          <w:w w:val="115"/>
        </w:rPr>
        <w:t>excepción</w:t>
      </w:r>
      <w:r>
        <w:rPr>
          <w:spacing w:val="-26"/>
          <w:w w:val="115"/>
        </w:rPr>
        <w:t> </w:t>
      </w:r>
      <w:r>
        <w:rPr>
          <w:w w:val="115"/>
        </w:rPr>
        <w:t>de</w:t>
      </w:r>
      <w:r>
        <w:rPr>
          <w:spacing w:val="-26"/>
          <w:w w:val="115"/>
        </w:rPr>
        <w:t> </w:t>
      </w:r>
      <w:r>
        <w:rPr>
          <w:w w:val="115"/>
        </w:rPr>
        <w:t>la</w:t>
      </w:r>
      <w:r>
        <w:rPr>
          <w:spacing w:val="-26"/>
          <w:w w:val="115"/>
        </w:rPr>
        <w:t> </w:t>
      </w:r>
      <w:r>
        <w:rPr>
          <w:w w:val="115"/>
        </w:rPr>
        <w:t>segunda</w:t>
      </w:r>
      <w:r>
        <w:rPr>
          <w:spacing w:val="-26"/>
          <w:w w:val="115"/>
        </w:rPr>
        <w:t> </w:t>
      </w:r>
      <w:r>
        <w:rPr>
          <w:w w:val="115"/>
        </w:rPr>
        <w:t>mitad</w:t>
      </w:r>
      <w:r>
        <w:rPr>
          <w:spacing w:val="-26"/>
          <w:w w:val="115"/>
        </w:rPr>
        <w:t> </w:t>
      </w:r>
      <w:r>
        <w:rPr>
          <w:w w:val="115"/>
        </w:rPr>
        <w:t>de</w:t>
      </w:r>
      <w:r>
        <w:rPr>
          <w:spacing w:val="-26"/>
          <w:w w:val="115"/>
        </w:rPr>
        <w:t> </w:t>
      </w:r>
      <w:r>
        <w:rPr>
          <w:w w:val="115"/>
        </w:rPr>
        <w:t>los</w:t>
      </w:r>
      <w:r>
        <w:rPr>
          <w:spacing w:val="-26"/>
          <w:w w:val="115"/>
        </w:rPr>
        <w:t> </w:t>
      </w:r>
      <w:r>
        <w:rPr>
          <w:w w:val="115"/>
        </w:rPr>
        <w:t>noventa)</w:t>
      </w:r>
      <w:r>
        <w:rPr>
          <w:spacing w:val="-26"/>
          <w:w w:val="115"/>
        </w:rPr>
        <w:t> </w:t>
      </w:r>
      <w:r>
        <w:rPr>
          <w:w w:val="115"/>
        </w:rPr>
        <w:t>se- </w:t>
      </w:r>
      <w:r>
        <w:rPr>
          <w:w w:val="120"/>
        </w:rPr>
        <w:t>ría</w:t>
      </w:r>
      <w:r>
        <w:rPr>
          <w:spacing w:val="-30"/>
          <w:w w:val="120"/>
        </w:rPr>
        <w:t> </w:t>
      </w:r>
      <w:r>
        <w:rPr>
          <w:w w:val="120"/>
        </w:rPr>
        <w:t>mayor</w:t>
      </w:r>
      <w:r>
        <w:rPr>
          <w:spacing w:val="-30"/>
          <w:w w:val="120"/>
        </w:rPr>
        <w:t> </w:t>
      </w:r>
      <w:r>
        <w:rPr>
          <w:w w:val="120"/>
        </w:rPr>
        <w:t>en</w:t>
      </w:r>
      <w:r>
        <w:rPr>
          <w:spacing w:val="-30"/>
          <w:w w:val="120"/>
        </w:rPr>
        <w:t> </w:t>
      </w:r>
      <w:r>
        <w:rPr>
          <w:w w:val="120"/>
        </w:rPr>
        <w:t>EE.uu.,</w:t>
      </w:r>
      <w:r>
        <w:rPr>
          <w:spacing w:val="-30"/>
          <w:w w:val="120"/>
        </w:rPr>
        <w:t> </w:t>
      </w:r>
      <w:r>
        <w:rPr>
          <w:w w:val="120"/>
        </w:rPr>
        <w:t>resultando</w:t>
      </w:r>
      <w:r>
        <w:rPr>
          <w:spacing w:val="-30"/>
          <w:w w:val="120"/>
        </w:rPr>
        <w:t> </w:t>
      </w:r>
      <w:r>
        <w:rPr>
          <w:w w:val="120"/>
        </w:rPr>
        <w:t>todavía</w:t>
      </w:r>
      <w:r>
        <w:rPr>
          <w:spacing w:val="-30"/>
          <w:w w:val="120"/>
        </w:rPr>
        <w:t> </w:t>
      </w:r>
      <w:r>
        <w:rPr>
          <w:w w:val="120"/>
        </w:rPr>
        <w:t>más</w:t>
      </w:r>
      <w:r>
        <w:rPr>
          <w:spacing w:val="-30"/>
          <w:w w:val="120"/>
        </w:rPr>
        <w:t> </w:t>
      </w:r>
      <w:r>
        <w:rPr>
          <w:w w:val="120"/>
        </w:rPr>
        <w:t>dramática</w:t>
      </w:r>
      <w:r>
        <w:rPr>
          <w:spacing w:val="-30"/>
          <w:w w:val="120"/>
        </w:rPr>
        <w:t> </w:t>
      </w:r>
      <w:r>
        <w:rPr>
          <w:w w:val="120"/>
        </w:rPr>
        <w:t>si</w:t>
      </w:r>
      <w:r>
        <w:rPr>
          <w:spacing w:val="-30"/>
          <w:w w:val="120"/>
        </w:rPr>
        <w:t> </w:t>
      </w:r>
      <w:r>
        <w:rPr>
          <w:w w:val="120"/>
        </w:rPr>
        <w:t>se</w:t>
      </w:r>
      <w:r>
        <w:rPr>
          <w:spacing w:val="-30"/>
          <w:w w:val="120"/>
        </w:rPr>
        <w:t> </w:t>
      </w:r>
      <w:r>
        <w:rPr>
          <w:w w:val="120"/>
        </w:rPr>
        <w:t>tomara </w:t>
      </w:r>
      <w:r>
        <w:rPr>
          <w:w w:val="115"/>
        </w:rPr>
        <w:t>en cuenta que la depreciación contable fue superior a la</w:t>
      </w:r>
      <w:r>
        <w:rPr>
          <w:spacing w:val="-20"/>
          <w:w w:val="115"/>
        </w:rPr>
        <w:t> </w:t>
      </w:r>
      <w:r>
        <w:rPr>
          <w:w w:val="115"/>
        </w:rPr>
        <w:t>sustitución física de</w:t>
      </w:r>
      <w:r>
        <w:rPr>
          <w:spacing w:val="-37"/>
          <w:w w:val="115"/>
        </w:rPr>
        <w:t> </w:t>
      </w:r>
      <w:r>
        <w:rPr>
          <w:w w:val="115"/>
        </w:rPr>
        <w:t>tecnología.</w:t>
      </w:r>
    </w:p>
    <w:p>
      <w:pPr>
        <w:pStyle w:val="BodyText"/>
        <w:spacing w:line="252" w:lineRule="auto"/>
        <w:ind w:left="100" w:right="327" w:firstLine="396"/>
        <w:jc w:val="right"/>
      </w:pPr>
      <w:r>
        <w:rPr>
          <w:w w:val="110"/>
        </w:rPr>
        <w:t>se</w:t>
      </w:r>
      <w:r>
        <w:rPr>
          <w:spacing w:val="22"/>
          <w:w w:val="110"/>
        </w:rPr>
        <w:t> </w:t>
      </w:r>
      <w:r>
        <w:rPr>
          <w:w w:val="110"/>
        </w:rPr>
        <w:t>llegaría</w:t>
      </w:r>
      <w:r>
        <w:rPr>
          <w:spacing w:val="22"/>
          <w:w w:val="110"/>
        </w:rPr>
        <w:t> </w:t>
      </w:r>
      <w:r>
        <w:rPr>
          <w:w w:val="110"/>
        </w:rPr>
        <w:t>así,</w:t>
      </w:r>
      <w:r>
        <w:rPr>
          <w:spacing w:val="22"/>
          <w:w w:val="110"/>
        </w:rPr>
        <w:t> </w:t>
      </w:r>
      <w:r>
        <w:rPr>
          <w:w w:val="110"/>
        </w:rPr>
        <w:t>según</w:t>
      </w:r>
      <w:r>
        <w:rPr>
          <w:spacing w:val="22"/>
          <w:w w:val="110"/>
        </w:rPr>
        <w:t> </w:t>
      </w:r>
      <w:r>
        <w:rPr>
          <w:w w:val="110"/>
        </w:rPr>
        <w:t>la</w:t>
      </w:r>
      <w:r>
        <w:rPr>
          <w:spacing w:val="22"/>
          <w:w w:val="110"/>
        </w:rPr>
        <w:t> </w:t>
      </w:r>
      <w:r>
        <w:rPr>
          <w:w w:val="110"/>
        </w:rPr>
        <w:t>referida</w:t>
      </w:r>
      <w:r>
        <w:rPr>
          <w:spacing w:val="22"/>
          <w:w w:val="110"/>
        </w:rPr>
        <w:t> </w:t>
      </w:r>
      <w:r>
        <w:rPr>
          <w:w w:val="110"/>
        </w:rPr>
        <w:t>tesis,</w:t>
      </w:r>
      <w:r>
        <w:rPr>
          <w:spacing w:val="22"/>
          <w:w w:val="110"/>
        </w:rPr>
        <w:t> </w:t>
      </w:r>
      <w:r>
        <w:rPr>
          <w:w w:val="110"/>
        </w:rPr>
        <w:t>a</w:t>
      </w:r>
      <w:r>
        <w:rPr>
          <w:spacing w:val="22"/>
          <w:w w:val="110"/>
        </w:rPr>
        <w:t> </w:t>
      </w:r>
      <w:r>
        <w:rPr>
          <w:w w:val="110"/>
        </w:rPr>
        <w:t>los</w:t>
      </w:r>
      <w:r>
        <w:rPr>
          <w:spacing w:val="22"/>
          <w:w w:val="110"/>
        </w:rPr>
        <w:t> </w:t>
      </w:r>
      <w:r>
        <w:rPr>
          <w:w w:val="110"/>
        </w:rPr>
        <w:t>límites</w:t>
      </w:r>
      <w:r>
        <w:rPr>
          <w:spacing w:val="22"/>
          <w:w w:val="110"/>
        </w:rPr>
        <w:t> </w:t>
      </w:r>
      <w:r>
        <w:rPr>
          <w:w w:val="110"/>
        </w:rPr>
        <w:t>de</w:t>
      </w:r>
      <w:r>
        <w:rPr>
          <w:spacing w:val="22"/>
          <w:w w:val="110"/>
        </w:rPr>
        <w:t> </w:t>
      </w:r>
      <w:r>
        <w:rPr>
          <w:w w:val="110"/>
        </w:rPr>
        <w:t>lo</w:t>
      </w:r>
      <w:r>
        <w:rPr>
          <w:spacing w:val="22"/>
          <w:w w:val="110"/>
        </w:rPr>
        <w:t> </w:t>
      </w:r>
      <w:r>
        <w:rPr>
          <w:w w:val="110"/>
        </w:rPr>
        <w:t>posible</w:t>
      </w:r>
      <w:r>
        <w:rPr>
          <w:w w:val="109"/>
        </w:rPr>
        <w:t> </w:t>
      </w:r>
      <w:r>
        <w:rPr>
          <w:w w:val="110"/>
        </w:rPr>
        <w:t>para</w:t>
      </w:r>
      <w:r>
        <w:rPr>
          <w:spacing w:val="13"/>
          <w:w w:val="110"/>
        </w:rPr>
        <w:t> </w:t>
      </w:r>
      <w:r>
        <w:rPr>
          <w:w w:val="110"/>
        </w:rPr>
        <w:t>acortar</w:t>
      </w:r>
      <w:r>
        <w:rPr>
          <w:spacing w:val="13"/>
          <w:w w:val="110"/>
        </w:rPr>
        <w:t> </w:t>
      </w:r>
      <w:r>
        <w:rPr>
          <w:w w:val="110"/>
        </w:rPr>
        <w:t>la</w:t>
      </w:r>
      <w:r>
        <w:rPr>
          <w:spacing w:val="13"/>
          <w:w w:val="110"/>
        </w:rPr>
        <w:t> </w:t>
      </w:r>
      <w:r>
        <w:rPr>
          <w:w w:val="110"/>
        </w:rPr>
        <w:t>vida</w:t>
      </w:r>
      <w:r>
        <w:rPr>
          <w:spacing w:val="13"/>
          <w:w w:val="110"/>
        </w:rPr>
        <w:t> </w:t>
      </w:r>
      <w:r>
        <w:rPr>
          <w:w w:val="110"/>
        </w:rPr>
        <w:t>útil</w:t>
      </w:r>
      <w:r>
        <w:rPr>
          <w:spacing w:val="13"/>
          <w:w w:val="110"/>
        </w:rPr>
        <w:t> </w:t>
      </w:r>
      <w:r>
        <w:rPr>
          <w:w w:val="110"/>
        </w:rPr>
        <w:t>de</w:t>
      </w:r>
      <w:r>
        <w:rPr>
          <w:spacing w:val="13"/>
          <w:w w:val="110"/>
        </w:rPr>
        <w:t> </w:t>
      </w:r>
      <w:r>
        <w:rPr>
          <w:w w:val="110"/>
        </w:rPr>
        <w:t>la</w:t>
      </w:r>
      <w:r>
        <w:rPr>
          <w:spacing w:val="13"/>
          <w:w w:val="110"/>
        </w:rPr>
        <w:t> </w:t>
      </w:r>
      <w:r>
        <w:rPr>
          <w:w w:val="110"/>
        </w:rPr>
        <w:t>tecnología,</w:t>
      </w:r>
      <w:r>
        <w:rPr>
          <w:spacing w:val="13"/>
          <w:w w:val="110"/>
        </w:rPr>
        <w:t> </w:t>
      </w:r>
      <w:r>
        <w:rPr>
          <w:w w:val="110"/>
        </w:rPr>
        <w:t>y</w:t>
      </w:r>
      <w:r>
        <w:rPr>
          <w:spacing w:val="13"/>
          <w:w w:val="110"/>
        </w:rPr>
        <w:t> </w:t>
      </w:r>
      <w:r>
        <w:rPr>
          <w:w w:val="110"/>
        </w:rPr>
        <w:t>con</w:t>
      </w:r>
      <w:r>
        <w:rPr>
          <w:spacing w:val="13"/>
          <w:w w:val="110"/>
        </w:rPr>
        <w:t> </w:t>
      </w:r>
      <w:r>
        <w:rPr>
          <w:w w:val="110"/>
        </w:rPr>
        <w:t>ello</w:t>
      </w:r>
      <w:r>
        <w:rPr>
          <w:spacing w:val="13"/>
          <w:w w:val="110"/>
        </w:rPr>
        <w:t> </w:t>
      </w:r>
      <w:r>
        <w:rPr>
          <w:w w:val="110"/>
        </w:rPr>
        <w:t>a</w:t>
      </w:r>
      <w:r>
        <w:rPr>
          <w:spacing w:val="13"/>
          <w:w w:val="110"/>
        </w:rPr>
        <w:t> </w:t>
      </w:r>
      <w:r>
        <w:rPr>
          <w:w w:val="110"/>
        </w:rPr>
        <w:t>los</w:t>
      </w:r>
      <w:r>
        <w:rPr>
          <w:spacing w:val="13"/>
          <w:w w:val="110"/>
        </w:rPr>
        <w:t> </w:t>
      </w:r>
      <w:r>
        <w:rPr>
          <w:w w:val="110"/>
        </w:rPr>
        <w:t>límites</w:t>
      </w:r>
      <w:r>
        <w:rPr>
          <w:spacing w:val="13"/>
          <w:w w:val="110"/>
        </w:rPr>
        <w:t> </w:t>
      </w:r>
      <w:r>
        <w:rPr>
          <w:w w:val="110"/>
        </w:rPr>
        <w:t>de</w:t>
      </w:r>
      <w:r>
        <w:rPr>
          <w:spacing w:val="13"/>
          <w:w w:val="110"/>
        </w:rPr>
        <w:t> </w:t>
      </w:r>
      <w:r>
        <w:rPr>
          <w:w w:val="110"/>
        </w:rPr>
        <w:t>la</w:t>
      </w:r>
      <w:r>
        <w:rPr>
          <w:w w:val="111"/>
        </w:rPr>
        <w:t> </w:t>
      </w:r>
      <w:r>
        <w:rPr>
          <w:w w:val="110"/>
        </w:rPr>
        <w:t>propia </w:t>
      </w:r>
      <w:r>
        <w:rPr>
          <w:i/>
          <w:w w:val="110"/>
        </w:rPr>
        <w:t>racionalidad </w:t>
      </w:r>
      <w:r>
        <w:rPr>
          <w:w w:val="110"/>
        </w:rPr>
        <w:t>capitalista en la esfera productiva.</w:t>
      </w:r>
      <w:r>
        <w:rPr>
          <w:spacing w:val="2"/>
          <w:w w:val="110"/>
        </w:rPr>
        <w:t> </w:t>
      </w:r>
      <w:r>
        <w:rPr>
          <w:w w:val="110"/>
        </w:rPr>
        <w:t>Como</w:t>
      </w:r>
      <w:r>
        <w:rPr>
          <w:spacing w:val="26"/>
          <w:w w:val="110"/>
        </w:rPr>
        <w:t> </w:t>
      </w:r>
      <w:r>
        <w:rPr>
          <w:w w:val="110"/>
        </w:rPr>
        <w:t>conse-</w:t>
      </w:r>
      <w:r>
        <w:rPr>
          <w:w w:val="102"/>
        </w:rPr>
        <w:t> </w:t>
      </w:r>
      <w:r>
        <w:rPr>
          <w:w w:val="110"/>
        </w:rPr>
        <w:t>cuencia, se observaría en el plano interno de la</w:t>
      </w:r>
      <w:r>
        <w:rPr>
          <w:spacing w:val="35"/>
          <w:w w:val="110"/>
        </w:rPr>
        <w:t> </w:t>
      </w:r>
      <w:r>
        <w:rPr>
          <w:w w:val="110"/>
        </w:rPr>
        <w:t>economía</w:t>
      </w:r>
      <w:r>
        <w:rPr>
          <w:spacing w:val="4"/>
          <w:w w:val="110"/>
        </w:rPr>
        <w:t> </w:t>
      </w:r>
      <w:r>
        <w:rPr>
          <w:w w:val="110"/>
        </w:rPr>
        <w:t>norteameri-</w:t>
      </w:r>
      <w:r>
        <w:rPr>
          <w:w w:val="102"/>
        </w:rPr>
        <w:t> </w:t>
      </w:r>
      <w:r>
        <w:rPr>
          <w:w w:val="110"/>
        </w:rPr>
        <w:t>cana una controvertida tendencia hacia la</w:t>
      </w:r>
      <w:r>
        <w:rPr>
          <w:spacing w:val="38"/>
          <w:w w:val="110"/>
        </w:rPr>
        <w:t> </w:t>
      </w:r>
      <w:r>
        <w:rPr>
          <w:w w:val="110"/>
        </w:rPr>
        <w:t>especialización</w:t>
      </w:r>
      <w:r>
        <w:rPr>
          <w:spacing w:val="14"/>
          <w:w w:val="110"/>
        </w:rPr>
        <w:t> </w:t>
      </w:r>
      <w:r>
        <w:rPr>
          <w:w w:val="110"/>
        </w:rPr>
        <w:t>internacio-</w:t>
      </w:r>
      <w:r>
        <w:rPr>
          <w:w w:val="102"/>
        </w:rPr>
        <w:t> </w:t>
      </w:r>
      <w:r>
        <w:rPr>
          <w:w w:val="110"/>
        </w:rPr>
        <w:t>nal</w:t>
      </w:r>
      <w:r>
        <w:rPr>
          <w:spacing w:val="18"/>
          <w:w w:val="110"/>
        </w:rPr>
        <w:t> </w:t>
      </w:r>
      <w:r>
        <w:rPr>
          <w:w w:val="110"/>
        </w:rPr>
        <w:t>del</w:t>
      </w:r>
      <w:r>
        <w:rPr>
          <w:spacing w:val="18"/>
          <w:w w:val="110"/>
        </w:rPr>
        <w:t> </w:t>
      </w:r>
      <w:r>
        <w:rPr>
          <w:w w:val="110"/>
        </w:rPr>
        <w:t>trabajo</w:t>
      </w:r>
      <w:r>
        <w:rPr>
          <w:spacing w:val="18"/>
          <w:w w:val="110"/>
        </w:rPr>
        <w:t> </w:t>
      </w:r>
      <w:r>
        <w:rPr>
          <w:w w:val="110"/>
        </w:rPr>
        <w:t>y</w:t>
      </w:r>
      <w:r>
        <w:rPr>
          <w:spacing w:val="18"/>
          <w:w w:val="110"/>
        </w:rPr>
        <w:t> </w:t>
      </w:r>
      <w:r>
        <w:rPr>
          <w:w w:val="110"/>
        </w:rPr>
        <w:t>la</w:t>
      </w:r>
      <w:r>
        <w:rPr>
          <w:spacing w:val="18"/>
          <w:w w:val="110"/>
        </w:rPr>
        <w:t> </w:t>
      </w:r>
      <w:r>
        <w:rPr>
          <w:w w:val="110"/>
        </w:rPr>
        <w:t>concentración</w:t>
      </w:r>
      <w:r>
        <w:rPr>
          <w:spacing w:val="18"/>
          <w:w w:val="110"/>
        </w:rPr>
        <w:t> </w:t>
      </w:r>
      <w:r>
        <w:rPr>
          <w:w w:val="110"/>
        </w:rPr>
        <w:t>cada</w:t>
      </w:r>
      <w:r>
        <w:rPr>
          <w:spacing w:val="18"/>
          <w:w w:val="110"/>
        </w:rPr>
        <w:t> </w:t>
      </w:r>
      <w:r>
        <w:rPr>
          <w:w w:val="110"/>
        </w:rPr>
        <w:t>vez</w:t>
      </w:r>
      <w:r>
        <w:rPr>
          <w:spacing w:val="18"/>
          <w:w w:val="110"/>
        </w:rPr>
        <w:t> </w:t>
      </w:r>
      <w:r>
        <w:rPr>
          <w:w w:val="110"/>
        </w:rPr>
        <w:t>mayor</w:t>
      </w:r>
      <w:r>
        <w:rPr>
          <w:spacing w:val="18"/>
          <w:w w:val="110"/>
        </w:rPr>
        <w:t> </w:t>
      </w:r>
      <w:r>
        <w:rPr>
          <w:w w:val="110"/>
        </w:rPr>
        <w:t>de</w:t>
      </w:r>
      <w:r>
        <w:rPr>
          <w:spacing w:val="18"/>
          <w:w w:val="110"/>
        </w:rPr>
        <w:t> </w:t>
      </w:r>
      <w:r>
        <w:rPr>
          <w:w w:val="110"/>
        </w:rPr>
        <w:t>las</w:t>
      </w:r>
      <w:r>
        <w:rPr>
          <w:spacing w:val="18"/>
          <w:w w:val="110"/>
        </w:rPr>
        <w:t> </w:t>
      </w:r>
      <w:r>
        <w:rPr>
          <w:w w:val="110"/>
        </w:rPr>
        <w:t>inversiones</w:t>
      </w:r>
      <w:r>
        <w:rPr>
          <w:w w:val="107"/>
        </w:rPr>
        <w:t> </w:t>
      </w:r>
      <w:r>
        <w:rPr>
          <w:w w:val="110"/>
        </w:rPr>
        <w:t>de capital en las primeras fases del ciclo reproductivo, o sea, en</w:t>
      </w:r>
      <w:r>
        <w:rPr>
          <w:spacing w:val="16"/>
          <w:w w:val="110"/>
        </w:rPr>
        <w:t> </w:t>
      </w:r>
      <w:r>
        <w:rPr>
          <w:w w:val="110"/>
        </w:rPr>
        <w:t>las</w:t>
      </w:r>
      <w:r>
        <w:rPr>
          <w:spacing w:val="1"/>
          <w:w w:val="110"/>
        </w:rPr>
        <w:t> </w:t>
      </w:r>
      <w:r>
        <w:rPr>
          <w:w w:val="110"/>
        </w:rPr>
        <w:t>es-</w:t>
      </w:r>
      <w:r>
        <w:rPr>
          <w:w w:val="102"/>
        </w:rPr>
        <w:t> </w:t>
      </w:r>
      <w:r>
        <w:rPr>
          <w:w w:val="110"/>
        </w:rPr>
        <w:t>feras de i+d, así como en las de los servicios, y muy</w:t>
      </w:r>
      <w:r>
        <w:rPr>
          <w:spacing w:val="33"/>
          <w:w w:val="110"/>
        </w:rPr>
        <w:t> </w:t>
      </w:r>
      <w:r>
        <w:rPr>
          <w:w w:val="110"/>
        </w:rPr>
        <w:t>especialmente</w:t>
      </w:r>
      <w:r>
        <w:rPr>
          <w:spacing w:val="6"/>
          <w:w w:val="110"/>
        </w:rPr>
        <w:t> </w:t>
      </w:r>
      <w:r>
        <w:rPr>
          <w:w w:val="110"/>
        </w:rPr>
        <w:t>los</w:t>
      </w:r>
      <w:r>
        <w:rPr>
          <w:w w:val="108"/>
        </w:rPr>
        <w:t> </w:t>
      </w:r>
      <w:r>
        <w:rPr>
          <w:w w:val="110"/>
        </w:rPr>
        <w:t>cuaternarios,</w:t>
      </w:r>
      <w:r>
        <w:rPr>
          <w:spacing w:val="-5"/>
          <w:w w:val="110"/>
        </w:rPr>
        <w:t> </w:t>
      </w:r>
      <w:r>
        <w:rPr>
          <w:w w:val="110"/>
        </w:rPr>
        <w:t>a</w:t>
      </w:r>
      <w:r>
        <w:rPr>
          <w:spacing w:val="-5"/>
          <w:w w:val="110"/>
        </w:rPr>
        <w:t> </w:t>
      </w:r>
      <w:r>
        <w:rPr>
          <w:w w:val="110"/>
        </w:rPr>
        <w:t>nivel</w:t>
      </w:r>
      <w:r>
        <w:rPr>
          <w:spacing w:val="-5"/>
          <w:w w:val="110"/>
        </w:rPr>
        <w:t> </w:t>
      </w:r>
      <w:r>
        <w:rPr>
          <w:w w:val="110"/>
        </w:rPr>
        <w:t>del</w:t>
      </w:r>
      <w:r>
        <w:rPr>
          <w:spacing w:val="-5"/>
          <w:w w:val="110"/>
        </w:rPr>
        <w:t> </w:t>
      </w:r>
      <w:r>
        <w:rPr>
          <w:w w:val="110"/>
        </w:rPr>
        <w:t>control</w:t>
      </w:r>
      <w:r>
        <w:rPr>
          <w:spacing w:val="-5"/>
          <w:w w:val="110"/>
        </w:rPr>
        <w:t> </w:t>
      </w:r>
      <w:r>
        <w:rPr>
          <w:w w:val="110"/>
        </w:rPr>
        <w:t>planetario</w:t>
      </w:r>
      <w:r>
        <w:rPr>
          <w:spacing w:val="-5"/>
          <w:w w:val="110"/>
        </w:rPr>
        <w:t> </w:t>
      </w:r>
      <w:r>
        <w:rPr>
          <w:w w:val="110"/>
        </w:rPr>
        <w:t>en</w:t>
      </w:r>
      <w:r>
        <w:rPr>
          <w:spacing w:val="-5"/>
          <w:w w:val="110"/>
        </w:rPr>
        <w:t> </w:t>
      </w:r>
      <w:r>
        <w:rPr>
          <w:w w:val="110"/>
        </w:rPr>
        <w:t>las</w:t>
      </w:r>
      <w:r>
        <w:rPr>
          <w:spacing w:val="-5"/>
          <w:w w:val="110"/>
        </w:rPr>
        <w:t> </w:t>
      </w:r>
      <w:r>
        <w:rPr>
          <w:w w:val="110"/>
        </w:rPr>
        <w:t>más</w:t>
      </w:r>
      <w:r>
        <w:rPr>
          <w:spacing w:val="-5"/>
          <w:w w:val="110"/>
        </w:rPr>
        <w:t> </w:t>
      </w:r>
      <w:r>
        <w:rPr>
          <w:w w:val="110"/>
        </w:rPr>
        <w:t>diversas</w:t>
      </w:r>
      <w:r>
        <w:rPr>
          <w:spacing w:val="-5"/>
          <w:w w:val="110"/>
        </w:rPr>
        <w:t> </w:t>
      </w:r>
      <w:r>
        <w:rPr>
          <w:w w:val="110"/>
        </w:rPr>
        <w:t>esferas.</w:t>
      </w:r>
      <w:r>
        <w:rPr>
          <w:w w:val="109"/>
        </w:rPr>
        <w:t> </w:t>
      </w:r>
      <w:r>
        <w:rPr>
          <w:w w:val="110"/>
        </w:rPr>
        <w:t>Empero, esta especialización se produciría en un</w:t>
      </w:r>
      <w:r>
        <w:rPr>
          <w:spacing w:val="19"/>
          <w:w w:val="110"/>
        </w:rPr>
        <w:t> </w:t>
      </w:r>
      <w:r>
        <w:rPr>
          <w:w w:val="110"/>
        </w:rPr>
        <w:t>ámbito</w:t>
      </w:r>
      <w:r>
        <w:rPr>
          <w:spacing w:val="29"/>
          <w:w w:val="110"/>
        </w:rPr>
        <w:t> </w:t>
      </w:r>
      <w:r>
        <w:rPr>
          <w:w w:val="110"/>
        </w:rPr>
        <w:t>suma-</w:t>
      </w:r>
      <w:r>
        <w:rPr>
          <w:w w:val="102"/>
        </w:rPr>
        <w:t> </w:t>
      </w:r>
      <w:r>
        <w:rPr>
          <w:w w:val="110"/>
        </w:rPr>
        <w:t>mente contradictorio con relación a la fuerza laboral calificada</w:t>
      </w:r>
      <w:r>
        <w:rPr>
          <w:spacing w:val="15"/>
          <w:w w:val="110"/>
        </w:rPr>
        <w:t> </w:t>
      </w:r>
      <w:r>
        <w:rPr>
          <w:w w:val="110"/>
        </w:rPr>
        <w:t>de</w:t>
      </w:r>
      <w:r>
        <w:rPr>
          <w:spacing w:val="11"/>
          <w:w w:val="110"/>
        </w:rPr>
        <w:t> </w:t>
      </w:r>
      <w:r>
        <w:rPr>
          <w:w w:val="110"/>
        </w:rPr>
        <w:t>in-</w:t>
      </w:r>
      <w:r>
        <w:rPr>
          <w:w w:val="102"/>
        </w:rPr>
        <w:t> </w:t>
      </w:r>
      <w:r>
        <w:rPr>
          <w:w w:val="110"/>
        </w:rPr>
        <w:t>genieros, científicos y personal docente</w:t>
      </w:r>
      <w:r>
        <w:rPr>
          <w:spacing w:val="19"/>
          <w:w w:val="110"/>
        </w:rPr>
        <w:t> </w:t>
      </w:r>
      <w:r>
        <w:rPr>
          <w:w w:val="110"/>
        </w:rPr>
        <w:t>universitario,</w:t>
      </w:r>
      <w:r>
        <w:rPr>
          <w:spacing w:val="31"/>
          <w:w w:val="110"/>
        </w:rPr>
        <w:t> </w:t>
      </w:r>
      <w:r>
        <w:rPr>
          <w:w w:val="110"/>
        </w:rPr>
        <w:t>observándose</w:t>
      </w:r>
      <w:r>
        <w:rPr>
          <w:w w:val="107"/>
        </w:rPr>
        <w:t> </w:t>
      </w:r>
      <w:r>
        <w:rPr>
          <w:w w:val="110"/>
        </w:rPr>
        <w:t>una</w:t>
      </w:r>
      <w:r>
        <w:rPr>
          <w:spacing w:val="30"/>
          <w:w w:val="110"/>
        </w:rPr>
        <w:t> </w:t>
      </w:r>
      <w:r>
        <w:rPr>
          <w:w w:val="110"/>
        </w:rPr>
        <w:t>fuerte</w:t>
      </w:r>
      <w:r>
        <w:rPr>
          <w:spacing w:val="30"/>
          <w:w w:val="110"/>
        </w:rPr>
        <w:t> </w:t>
      </w:r>
      <w:r>
        <w:rPr>
          <w:w w:val="110"/>
        </w:rPr>
        <w:t>pérdida</w:t>
      </w:r>
      <w:r>
        <w:rPr>
          <w:spacing w:val="30"/>
          <w:w w:val="110"/>
        </w:rPr>
        <w:t> </w:t>
      </w:r>
      <w:r>
        <w:rPr>
          <w:w w:val="110"/>
        </w:rPr>
        <w:t>del</w:t>
      </w:r>
      <w:r>
        <w:rPr>
          <w:spacing w:val="30"/>
          <w:w w:val="110"/>
        </w:rPr>
        <w:t> </w:t>
      </w:r>
      <w:r>
        <w:rPr>
          <w:w w:val="110"/>
        </w:rPr>
        <w:t>atractivo</w:t>
      </w:r>
      <w:r>
        <w:rPr>
          <w:spacing w:val="30"/>
          <w:w w:val="110"/>
        </w:rPr>
        <w:t> </w:t>
      </w:r>
      <w:r>
        <w:rPr>
          <w:w w:val="110"/>
        </w:rPr>
        <w:t>de</w:t>
      </w:r>
      <w:r>
        <w:rPr>
          <w:spacing w:val="30"/>
          <w:w w:val="110"/>
        </w:rPr>
        <w:t> </w:t>
      </w:r>
      <w:r>
        <w:rPr>
          <w:w w:val="110"/>
        </w:rPr>
        <w:t>las</w:t>
      </w:r>
      <w:r>
        <w:rPr>
          <w:spacing w:val="30"/>
          <w:w w:val="110"/>
        </w:rPr>
        <w:t> </w:t>
      </w:r>
      <w:r>
        <w:rPr>
          <w:w w:val="110"/>
        </w:rPr>
        <w:t>profesiones</w:t>
      </w:r>
      <w:r>
        <w:rPr>
          <w:spacing w:val="30"/>
          <w:w w:val="110"/>
        </w:rPr>
        <w:t> </w:t>
      </w:r>
      <w:r>
        <w:rPr>
          <w:w w:val="110"/>
        </w:rPr>
        <w:t>de</w:t>
      </w:r>
      <w:r>
        <w:rPr>
          <w:spacing w:val="30"/>
          <w:w w:val="110"/>
        </w:rPr>
        <w:t> </w:t>
      </w:r>
      <w:r>
        <w:rPr>
          <w:i/>
          <w:w w:val="110"/>
        </w:rPr>
        <w:t>cuello</w:t>
      </w:r>
      <w:r>
        <w:rPr>
          <w:i/>
          <w:spacing w:val="30"/>
          <w:w w:val="110"/>
        </w:rPr>
        <w:t> </w:t>
      </w:r>
      <w:r>
        <w:rPr>
          <w:i/>
          <w:w w:val="110"/>
        </w:rPr>
        <w:t>blanco</w:t>
      </w:r>
      <w:r>
        <w:rPr>
          <w:i/>
          <w:w w:val="110"/>
        </w:rPr>
        <w:t> </w:t>
      </w:r>
      <w:r>
        <w:rPr>
          <w:w w:val="110"/>
        </w:rPr>
        <w:t>por parte de las nuevas generaciones norteamericanas</w:t>
      </w:r>
      <w:r>
        <w:rPr>
          <w:spacing w:val="-23"/>
          <w:w w:val="110"/>
        </w:rPr>
        <w:t> </w:t>
      </w:r>
      <w:r>
        <w:rPr>
          <w:w w:val="110"/>
        </w:rPr>
        <w:t>(entre</w:t>
      </w:r>
      <w:r>
        <w:rPr>
          <w:spacing w:val="-4"/>
          <w:w w:val="110"/>
        </w:rPr>
        <w:t> </w:t>
      </w:r>
      <w:r>
        <w:rPr>
          <w:w w:val="110"/>
        </w:rPr>
        <w:t>diversas</w:t>
      </w:r>
      <w:r>
        <w:rPr>
          <w:w w:val="107"/>
        </w:rPr>
        <w:t> </w:t>
      </w:r>
      <w:r>
        <w:rPr>
          <w:w w:val="110"/>
        </w:rPr>
        <w:t>causas, por el alza exorbitante del coste de las</w:t>
      </w:r>
      <w:r>
        <w:rPr>
          <w:spacing w:val="41"/>
          <w:w w:val="110"/>
        </w:rPr>
        <w:t> </w:t>
      </w:r>
      <w:r>
        <w:rPr>
          <w:w w:val="110"/>
        </w:rPr>
        <w:t>matrículas</w:t>
      </w:r>
      <w:r>
        <w:rPr>
          <w:spacing w:val="14"/>
          <w:w w:val="110"/>
        </w:rPr>
        <w:t> </w:t>
      </w:r>
      <w:r>
        <w:rPr>
          <w:w w:val="110"/>
        </w:rPr>
        <w:t>universita-</w:t>
      </w:r>
      <w:r>
        <w:rPr>
          <w:w w:val="102"/>
        </w:rPr>
        <w:t> </w:t>
      </w:r>
      <w:r>
        <w:rPr>
          <w:w w:val="110"/>
        </w:rPr>
        <w:t>rias) </w:t>
      </w:r>
      <w:r>
        <w:rPr>
          <w:spacing w:val="-11"/>
          <w:w w:val="110"/>
        </w:rPr>
        <w:t>y, </w:t>
      </w:r>
      <w:r>
        <w:rPr>
          <w:w w:val="110"/>
        </w:rPr>
        <w:t>en consecuencia, el drástico envejecimiento de</w:t>
      </w:r>
      <w:r>
        <w:rPr>
          <w:spacing w:val="33"/>
          <w:w w:val="110"/>
        </w:rPr>
        <w:t> </w:t>
      </w:r>
      <w:r>
        <w:rPr>
          <w:w w:val="110"/>
        </w:rPr>
        <w:t>la</w:t>
      </w:r>
      <w:r>
        <w:rPr>
          <w:spacing w:val="7"/>
          <w:w w:val="110"/>
        </w:rPr>
        <w:t> </w:t>
      </w:r>
      <w:r>
        <w:rPr>
          <w:w w:val="110"/>
        </w:rPr>
        <w:t>composición</w:t>
      </w:r>
      <w:r>
        <w:rPr>
          <w:w w:val="111"/>
        </w:rPr>
        <w:t> </w:t>
      </w:r>
      <w:r>
        <w:rPr>
          <w:w w:val="110"/>
        </w:rPr>
        <w:t>etaria para las más variadas especialidades académicas, y</w:t>
      </w:r>
      <w:r>
        <w:rPr>
          <w:spacing w:val="2"/>
          <w:w w:val="110"/>
        </w:rPr>
        <w:t> </w:t>
      </w:r>
      <w:r>
        <w:rPr>
          <w:w w:val="110"/>
        </w:rPr>
        <w:t>su</w:t>
      </w:r>
      <w:r>
        <w:rPr>
          <w:spacing w:val="11"/>
          <w:w w:val="110"/>
        </w:rPr>
        <w:t> </w:t>
      </w:r>
      <w:r>
        <w:rPr>
          <w:w w:val="110"/>
        </w:rPr>
        <w:t>crecien-</w:t>
      </w:r>
      <w:r>
        <w:rPr>
          <w:w w:val="102"/>
        </w:rPr>
        <w:t> </w:t>
      </w:r>
      <w:r>
        <w:rPr>
          <w:w w:val="110"/>
        </w:rPr>
        <w:t>te</w:t>
      </w:r>
      <w:r>
        <w:rPr>
          <w:spacing w:val="33"/>
          <w:w w:val="110"/>
        </w:rPr>
        <w:t> </w:t>
      </w:r>
      <w:r>
        <w:rPr>
          <w:w w:val="110"/>
        </w:rPr>
        <w:t>sustitución</w:t>
      </w:r>
      <w:r>
        <w:rPr>
          <w:spacing w:val="33"/>
          <w:w w:val="110"/>
        </w:rPr>
        <w:t> </w:t>
      </w:r>
      <w:r>
        <w:rPr>
          <w:w w:val="110"/>
        </w:rPr>
        <w:t>por</w:t>
      </w:r>
      <w:r>
        <w:rPr>
          <w:spacing w:val="33"/>
          <w:w w:val="110"/>
        </w:rPr>
        <w:t> </w:t>
      </w:r>
      <w:r>
        <w:rPr>
          <w:w w:val="110"/>
        </w:rPr>
        <w:t>extranjeros,</w:t>
      </w:r>
      <w:r>
        <w:rPr>
          <w:spacing w:val="33"/>
          <w:w w:val="110"/>
        </w:rPr>
        <w:t> </w:t>
      </w:r>
      <w:r>
        <w:rPr>
          <w:w w:val="110"/>
        </w:rPr>
        <w:t>ya</w:t>
      </w:r>
      <w:r>
        <w:rPr>
          <w:spacing w:val="33"/>
          <w:w w:val="110"/>
        </w:rPr>
        <w:t> </w:t>
      </w:r>
      <w:r>
        <w:rPr>
          <w:w w:val="110"/>
        </w:rPr>
        <w:t>fuesen</w:t>
      </w:r>
      <w:r>
        <w:rPr>
          <w:spacing w:val="33"/>
          <w:w w:val="110"/>
        </w:rPr>
        <w:t> </w:t>
      </w:r>
      <w:r>
        <w:rPr>
          <w:w w:val="110"/>
        </w:rPr>
        <w:t>estos</w:t>
      </w:r>
      <w:r>
        <w:rPr>
          <w:spacing w:val="33"/>
          <w:w w:val="110"/>
        </w:rPr>
        <w:t> </w:t>
      </w:r>
      <w:r>
        <w:rPr>
          <w:w w:val="110"/>
        </w:rPr>
        <w:t>graduados</w:t>
      </w:r>
      <w:r>
        <w:rPr>
          <w:spacing w:val="33"/>
          <w:w w:val="110"/>
        </w:rPr>
        <w:t> </w:t>
      </w:r>
      <w:r>
        <w:rPr>
          <w:w w:val="110"/>
        </w:rPr>
        <w:t>en</w:t>
      </w:r>
      <w:r>
        <w:rPr>
          <w:spacing w:val="33"/>
          <w:w w:val="110"/>
        </w:rPr>
        <w:t> </w:t>
      </w:r>
      <w:r>
        <w:rPr>
          <w:w w:val="110"/>
        </w:rPr>
        <w:t>EE.uu.</w:t>
      </w:r>
      <w:r>
        <w:rPr>
          <w:w w:val="138"/>
        </w:rPr>
        <w:t> </w:t>
      </w:r>
      <w:r>
        <w:rPr>
          <w:w w:val="110"/>
        </w:rPr>
        <w:t>que decidieran quedarse (según especialidades, entre el 40 y</w:t>
      </w:r>
      <w:r>
        <w:rPr>
          <w:spacing w:val="31"/>
          <w:w w:val="110"/>
        </w:rPr>
        <w:t> </w:t>
      </w:r>
      <w:r>
        <w:rPr>
          <w:w w:val="110"/>
        </w:rPr>
        <w:t>el</w:t>
      </w:r>
      <w:r>
        <w:rPr>
          <w:spacing w:val="7"/>
          <w:w w:val="110"/>
        </w:rPr>
        <w:t> </w:t>
      </w:r>
      <w:r>
        <w:rPr>
          <w:w w:val="110"/>
        </w:rPr>
        <w:t>70%)</w:t>
      </w:r>
      <w:r>
        <w:rPr>
          <w:w w:val="101"/>
        </w:rPr>
        <w:t> </w:t>
      </w:r>
      <w:r>
        <w:rPr>
          <w:w w:val="110"/>
        </w:rPr>
        <w:t>o profesionales inmigrantes con salarios discriminatorios.</w:t>
      </w:r>
      <w:r>
        <w:rPr>
          <w:spacing w:val="45"/>
          <w:w w:val="110"/>
        </w:rPr>
        <w:t> </w:t>
      </w:r>
      <w:r>
        <w:rPr>
          <w:w w:val="110"/>
        </w:rPr>
        <w:t>al</w:t>
      </w:r>
      <w:r>
        <w:rPr>
          <w:spacing w:val="7"/>
          <w:w w:val="110"/>
        </w:rPr>
        <w:t> </w:t>
      </w:r>
      <w:r>
        <w:rPr>
          <w:w w:val="110"/>
        </w:rPr>
        <w:t>respecto</w:t>
      </w:r>
      <w:r>
        <w:rPr>
          <w:w w:val="107"/>
        </w:rPr>
        <w:t> </w:t>
      </w:r>
      <w:r>
        <w:rPr>
          <w:w w:val="110"/>
        </w:rPr>
        <w:t>serían</w:t>
      </w:r>
      <w:r>
        <w:rPr>
          <w:spacing w:val="31"/>
          <w:w w:val="110"/>
        </w:rPr>
        <w:t> </w:t>
      </w:r>
      <w:r>
        <w:rPr>
          <w:w w:val="110"/>
        </w:rPr>
        <w:t>reveladoras</w:t>
      </w:r>
      <w:r>
        <w:rPr>
          <w:spacing w:val="31"/>
          <w:w w:val="110"/>
        </w:rPr>
        <w:t> </w:t>
      </w:r>
      <w:r>
        <w:rPr>
          <w:w w:val="110"/>
        </w:rPr>
        <w:t>las</w:t>
      </w:r>
      <w:r>
        <w:rPr>
          <w:spacing w:val="31"/>
          <w:w w:val="110"/>
        </w:rPr>
        <w:t> </w:t>
      </w:r>
      <w:r>
        <w:rPr>
          <w:w w:val="110"/>
        </w:rPr>
        <w:t>estadísticas</w:t>
      </w:r>
      <w:r>
        <w:rPr>
          <w:spacing w:val="31"/>
          <w:w w:val="110"/>
        </w:rPr>
        <w:t> </w:t>
      </w:r>
      <w:r>
        <w:rPr>
          <w:w w:val="110"/>
        </w:rPr>
        <w:t>que</w:t>
      </w:r>
      <w:r>
        <w:rPr>
          <w:spacing w:val="31"/>
          <w:w w:val="110"/>
        </w:rPr>
        <w:t> </w:t>
      </w:r>
      <w:r>
        <w:rPr>
          <w:w w:val="110"/>
        </w:rPr>
        <w:t>testimonian</w:t>
      </w:r>
      <w:r>
        <w:rPr>
          <w:spacing w:val="31"/>
          <w:w w:val="110"/>
        </w:rPr>
        <w:t> </w:t>
      </w:r>
      <w:r>
        <w:rPr>
          <w:w w:val="110"/>
        </w:rPr>
        <w:t>acerca</w:t>
      </w:r>
      <w:r>
        <w:rPr>
          <w:spacing w:val="31"/>
          <w:w w:val="110"/>
        </w:rPr>
        <w:t> </w:t>
      </w:r>
      <w:r>
        <w:rPr>
          <w:w w:val="110"/>
        </w:rPr>
        <w:t>de</w:t>
      </w:r>
      <w:r>
        <w:rPr>
          <w:spacing w:val="31"/>
          <w:w w:val="110"/>
        </w:rPr>
        <w:t> </w:t>
      </w:r>
      <w:r>
        <w:rPr>
          <w:w w:val="110"/>
        </w:rPr>
        <w:t>la</w:t>
      </w:r>
      <w:r>
        <w:rPr>
          <w:spacing w:val="31"/>
          <w:w w:val="110"/>
        </w:rPr>
        <w:t> </w:t>
      </w:r>
      <w:r>
        <w:rPr>
          <w:w w:val="110"/>
        </w:rPr>
        <w:t>ex-</w:t>
      </w:r>
      <w:r>
        <w:rPr>
          <w:w w:val="102"/>
        </w:rPr>
        <w:t> </w:t>
      </w:r>
      <w:r>
        <w:rPr>
          <w:w w:val="110"/>
        </w:rPr>
        <w:t>tranjerización de las élites científicas y docentes ya durante</w:t>
      </w:r>
      <w:r>
        <w:rPr>
          <w:spacing w:val="-7"/>
          <w:w w:val="110"/>
        </w:rPr>
        <w:t> </w:t>
      </w:r>
      <w:r>
        <w:rPr>
          <w:w w:val="110"/>
        </w:rPr>
        <w:t>el</w:t>
      </w:r>
      <w:r>
        <w:rPr>
          <w:spacing w:val="-1"/>
          <w:w w:val="110"/>
        </w:rPr>
        <w:t> </w:t>
      </w:r>
      <w:r>
        <w:rPr>
          <w:w w:val="110"/>
        </w:rPr>
        <w:t>decenio</w:t>
      </w:r>
      <w:r>
        <w:rPr>
          <w:w w:val="109"/>
        </w:rPr>
        <w:t> </w:t>
      </w:r>
      <w:r>
        <w:rPr>
          <w:w w:val="110"/>
        </w:rPr>
        <w:t>1990-2000 a nivel del grado de </w:t>
      </w:r>
      <w:r>
        <w:rPr>
          <w:spacing w:val="-4"/>
          <w:w w:val="110"/>
        </w:rPr>
        <w:t>doctor, </w:t>
      </w:r>
      <w:r>
        <w:rPr>
          <w:w w:val="110"/>
        </w:rPr>
        <w:t>a saber: en</w:t>
      </w:r>
      <w:r>
        <w:rPr>
          <w:spacing w:val="6"/>
          <w:w w:val="110"/>
        </w:rPr>
        <w:t> </w:t>
      </w:r>
      <w:r>
        <w:rPr>
          <w:w w:val="110"/>
        </w:rPr>
        <w:t>plazas</w:t>
      </w:r>
      <w:r>
        <w:rPr>
          <w:spacing w:val="4"/>
          <w:w w:val="110"/>
        </w:rPr>
        <w:t> </w:t>
      </w:r>
      <w:r>
        <w:rPr>
          <w:w w:val="110"/>
        </w:rPr>
        <w:t>ingenieriles,</w:t>
      </w:r>
      <w:r>
        <w:rPr>
          <w:w w:val="110"/>
        </w:rPr>
        <w:t> </w:t>
      </w:r>
      <w:r>
        <w:rPr>
          <w:w w:val="110"/>
        </w:rPr>
        <w:t>de 40 a 53%; en ciencias físicas, de 27 a 45%; en ciencias</w:t>
      </w:r>
      <w:r>
        <w:rPr>
          <w:spacing w:val="-13"/>
          <w:w w:val="110"/>
        </w:rPr>
        <w:t> </w:t>
      </w:r>
      <w:r>
        <w:rPr>
          <w:w w:val="110"/>
        </w:rPr>
        <w:t>matemáticas</w:t>
      </w:r>
    </w:p>
    <w:p>
      <w:pPr>
        <w:spacing w:after="0" w:line="252" w:lineRule="auto"/>
        <w:jc w:val="right"/>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41"/>
      </w:pPr>
      <w:r>
        <w:rPr>
          <w:w w:val="110"/>
        </w:rPr>
        <w:t>y de computación, de 29 a 45%; en ciencias de la vida, de 25 a 45% y, en términos generales, de 23 a 35% (Nsb,  2004).</w:t>
      </w:r>
    </w:p>
    <w:p>
      <w:pPr>
        <w:pStyle w:val="BodyText"/>
        <w:spacing w:line="252" w:lineRule="auto"/>
        <w:ind w:left="330" w:right="117" w:firstLine="396"/>
        <w:jc w:val="both"/>
      </w:pPr>
      <w:r>
        <w:rPr>
          <w:w w:val="110"/>
        </w:rPr>
        <w:t>refiriéndose a las carreras universitarias de tecnología de </w:t>
      </w:r>
      <w:r>
        <w:rPr>
          <w:spacing w:val="-3"/>
          <w:w w:val="110"/>
        </w:rPr>
        <w:t>infor- </w:t>
      </w:r>
      <w:r>
        <w:rPr>
          <w:w w:val="110"/>
        </w:rPr>
        <w:t>mación y comunicaciones (tiC), sería reveladora la preocupación de bill Gates, ex presidente de Microsoft Corporation, acerca del aban- dono</w:t>
      </w:r>
      <w:r>
        <w:rPr>
          <w:spacing w:val="-5"/>
          <w:w w:val="110"/>
        </w:rPr>
        <w:t> </w:t>
      </w:r>
      <w:r>
        <w:rPr>
          <w:w w:val="110"/>
        </w:rPr>
        <w:t>de</w:t>
      </w:r>
      <w:r>
        <w:rPr>
          <w:spacing w:val="-5"/>
          <w:w w:val="110"/>
        </w:rPr>
        <w:t> </w:t>
      </w:r>
      <w:r>
        <w:rPr>
          <w:w w:val="110"/>
        </w:rPr>
        <w:t>su</w:t>
      </w:r>
      <w:r>
        <w:rPr>
          <w:spacing w:val="-5"/>
          <w:w w:val="110"/>
        </w:rPr>
        <w:t> </w:t>
      </w:r>
      <w:r>
        <w:rPr>
          <w:w w:val="110"/>
        </w:rPr>
        <w:t>popularidad</w:t>
      </w:r>
      <w:r>
        <w:rPr>
          <w:spacing w:val="-5"/>
          <w:w w:val="110"/>
        </w:rPr>
        <w:t> </w:t>
      </w:r>
      <w:r>
        <w:rPr>
          <w:w w:val="110"/>
        </w:rPr>
        <w:t>en</w:t>
      </w:r>
      <w:r>
        <w:rPr>
          <w:spacing w:val="-5"/>
          <w:w w:val="110"/>
        </w:rPr>
        <w:t> </w:t>
      </w:r>
      <w:r>
        <w:rPr>
          <w:w w:val="110"/>
        </w:rPr>
        <w:t>más</w:t>
      </w:r>
      <w:r>
        <w:rPr>
          <w:spacing w:val="-5"/>
          <w:w w:val="110"/>
        </w:rPr>
        <w:t> </w:t>
      </w:r>
      <w:r>
        <w:rPr>
          <w:w w:val="110"/>
        </w:rPr>
        <w:t>de</w:t>
      </w:r>
      <w:r>
        <w:rPr>
          <w:spacing w:val="-5"/>
          <w:w w:val="110"/>
        </w:rPr>
        <w:t> </w:t>
      </w:r>
      <w:r>
        <w:rPr>
          <w:w w:val="110"/>
        </w:rPr>
        <w:t>un</w:t>
      </w:r>
      <w:r>
        <w:rPr>
          <w:spacing w:val="-5"/>
          <w:w w:val="110"/>
        </w:rPr>
        <w:t> </w:t>
      </w:r>
      <w:r>
        <w:rPr>
          <w:w w:val="110"/>
        </w:rPr>
        <w:t>60%</w:t>
      </w:r>
      <w:r>
        <w:rPr>
          <w:spacing w:val="-5"/>
          <w:w w:val="110"/>
        </w:rPr>
        <w:t> </w:t>
      </w:r>
      <w:r>
        <w:rPr>
          <w:w w:val="110"/>
        </w:rPr>
        <w:t>entre</w:t>
      </w:r>
      <w:r>
        <w:rPr>
          <w:spacing w:val="-5"/>
          <w:w w:val="110"/>
        </w:rPr>
        <w:t> </w:t>
      </w:r>
      <w:r>
        <w:rPr>
          <w:w w:val="110"/>
        </w:rPr>
        <w:t>los</w:t>
      </w:r>
      <w:r>
        <w:rPr>
          <w:spacing w:val="-5"/>
          <w:w w:val="110"/>
        </w:rPr>
        <w:t> </w:t>
      </w:r>
      <w:r>
        <w:rPr>
          <w:w w:val="110"/>
        </w:rPr>
        <w:t>años</w:t>
      </w:r>
      <w:r>
        <w:rPr>
          <w:spacing w:val="-5"/>
          <w:w w:val="110"/>
        </w:rPr>
        <w:t> </w:t>
      </w:r>
      <w:r>
        <w:rPr>
          <w:w w:val="110"/>
        </w:rPr>
        <w:t>2000</w:t>
      </w:r>
      <w:r>
        <w:rPr>
          <w:spacing w:val="-5"/>
          <w:w w:val="110"/>
        </w:rPr>
        <w:t> </w:t>
      </w:r>
      <w:r>
        <w:rPr>
          <w:w w:val="110"/>
        </w:rPr>
        <w:t>y</w:t>
      </w:r>
      <w:r>
        <w:rPr>
          <w:spacing w:val="-5"/>
          <w:w w:val="110"/>
        </w:rPr>
        <w:t> </w:t>
      </w:r>
      <w:r>
        <w:rPr>
          <w:w w:val="110"/>
        </w:rPr>
        <w:t>2004, las que liderarían hasta entonces en las expectativas estudiantiles y concentrarían los mayores índices matriculares y –a la vez– su rei- terado llamado a los legisladores norteamericanos para facilitar los trámites de inmigración a los especialistas extranjeros que desearan trabajar en esta esfera o, de lo contrario, instalarse él con sus empre- sas </w:t>
      </w:r>
      <w:r>
        <w:rPr>
          <w:i/>
          <w:w w:val="110"/>
        </w:rPr>
        <w:t>off</w:t>
      </w:r>
      <w:r>
        <w:rPr>
          <w:i/>
          <w:spacing w:val="12"/>
          <w:w w:val="110"/>
        </w:rPr>
        <w:t> </w:t>
      </w:r>
      <w:r>
        <w:rPr>
          <w:i/>
          <w:w w:val="110"/>
        </w:rPr>
        <w:t>shore</w:t>
      </w:r>
      <w:r>
        <w:rPr>
          <w:w w:val="110"/>
        </w:rPr>
        <w:t>.</w:t>
      </w:r>
    </w:p>
    <w:p>
      <w:pPr>
        <w:pStyle w:val="BodyText"/>
        <w:spacing w:line="252" w:lineRule="auto"/>
        <w:ind w:left="330" w:right="118" w:firstLine="396"/>
        <w:jc w:val="both"/>
      </w:pPr>
      <w:r>
        <w:rPr>
          <w:w w:val="110"/>
        </w:rPr>
        <w:t>Mientras, acorde a su </w:t>
      </w:r>
      <w:r>
        <w:rPr>
          <w:i/>
          <w:w w:val="110"/>
        </w:rPr>
        <w:t>ranking</w:t>
      </w:r>
      <w:r>
        <w:rPr>
          <w:w w:val="110"/>
        </w:rPr>
        <w:t>, las universidades norteamericanas transitarían hacia </w:t>
      </w:r>
      <w:r>
        <w:rPr>
          <w:i/>
          <w:w w:val="110"/>
        </w:rPr>
        <w:t>profitable innovation business </w:t>
      </w:r>
      <w:r>
        <w:rPr>
          <w:w w:val="110"/>
        </w:rPr>
        <w:t>(rentables negocios innovadores) en función de las millonarias élites nacionales y</w:t>
      </w:r>
      <w:r>
        <w:rPr>
          <w:spacing w:val="-15"/>
          <w:w w:val="110"/>
        </w:rPr>
        <w:t> </w:t>
      </w:r>
      <w:r>
        <w:rPr>
          <w:w w:val="110"/>
        </w:rPr>
        <w:t>planeta- rias, y correspondientes alzas estratosféricas de sus</w:t>
      </w:r>
      <w:r>
        <w:rPr>
          <w:spacing w:val="37"/>
          <w:w w:val="110"/>
        </w:rPr>
        <w:t> </w:t>
      </w:r>
      <w:r>
        <w:rPr>
          <w:w w:val="110"/>
        </w:rPr>
        <w:t>matrículas.</w:t>
      </w:r>
    </w:p>
    <w:p>
      <w:pPr>
        <w:pStyle w:val="BodyText"/>
        <w:spacing w:line="252" w:lineRule="auto"/>
        <w:ind w:left="330" w:right="117" w:firstLine="396"/>
        <w:jc w:val="both"/>
      </w:pPr>
      <w:r>
        <w:rPr>
          <w:w w:val="115"/>
        </w:rPr>
        <w:t>El</w:t>
      </w:r>
      <w:r>
        <w:rPr>
          <w:spacing w:val="-13"/>
          <w:w w:val="115"/>
        </w:rPr>
        <w:t> </w:t>
      </w:r>
      <w:r>
        <w:rPr>
          <w:w w:val="115"/>
        </w:rPr>
        <w:t>advenimiento</w:t>
      </w:r>
      <w:r>
        <w:rPr>
          <w:spacing w:val="-13"/>
          <w:w w:val="115"/>
        </w:rPr>
        <w:t> </w:t>
      </w:r>
      <w:r>
        <w:rPr>
          <w:w w:val="115"/>
        </w:rPr>
        <w:t>en</w:t>
      </w:r>
      <w:r>
        <w:rPr>
          <w:spacing w:val="-13"/>
          <w:w w:val="115"/>
        </w:rPr>
        <w:t> </w:t>
      </w:r>
      <w:r>
        <w:rPr>
          <w:w w:val="115"/>
        </w:rPr>
        <w:t>2001</w:t>
      </w:r>
      <w:r>
        <w:rPr>
          <w:spacing w:val="-13"/>
          <w:w w:val="115"/>
        </w:rPr>
        <w:t> </w:t>
      </w:r>
      <w:r>
        <w:rPr>
          <w:w w:val="115"/>
        </w:rPr>
        <w:t>de</w:t>
      </w:r>
      <w:r>
        <w:rPr>
          <w:spacing w:val="-13"/>
          <w:w w:val="115"/>
        </w:rPr>
        <w:t> </w:t>
      </w:r>
      <w:r>
        <w:rPr>
          <w:w w:val="115"/>
        </w:rPr>
        <w:t>la</w:t>
      </w:r>
      <w:r>
        <w:rPr>
          <w:spacing w:val="-13"/>
          <w:w w:val="115"/>
        </w:rPr>
        <w:t> </w:t>
      </w:r>
      <w:r>
        <w:rPr>
          <w:w w:val="115"/>
        </w:rPr>
        <w:t>recesión</w:t>
      </w:r>
      <w:r>
        <w:rPr>
          <w:spacing w:val="-13"/>
          <w:w w:val="115"/>
        </w:rPr>
        <w:t> </w:t>
      </w:r>
      <w:r>
        <w:rPr>
          <w:w w:val="115"/>
        </w:rPr>
        <w:t>en</w:t>
      </w:r>
      <w:r>
        <w:rPr>
          <w:spacing w:val="-13"/>
          <w:w w:val="115"/>
        </w:rPr>
        <w:t> </w:t>
      </w:r>
      <w:r>
        <w:rPr>
          <w:w w:val="115"/>
        </w:rPr>
        <w:t>los</w:t>
      </w:r>
      <w:r>
        <w:rPr>
          <w:spacing w:val="-13"/>
          <w:w w:val="115"/>
        </w:rPr>
        <w:t> </w:t>
      </w:r>
      <w:r>
        <w:rPr>
          <w:w w:val="115"/>
        </w:rPr>
        <w:t>EE.uu.</w:t>
      </w:r>
      <w:r>
        <w:rPr>
          <w:spacing w:val="-13"/>
          <w:w w:val="115"/>
        </w:rPr>
        <w:t> </w:t>
      </w:r>
      <w:r>
        <w:rPr>
          <w:w w:val="115"/>
        </w:rPr>
        <w:t>pondría</w:t>
      </w:r>
      <w:r>
        <w:rPr>
          <w:spacing w:val="-13"/>
          <w:w w:val="115"/>
        </w:rPr>
        <w:t> </w:t>
      </w:r>
      <w:r>
        <w:rPr>
          <w:w w:val="115"/>
        </w:rPr>
        <w:t>fin al</w:t>
      </w:r>
      <w:r>
        <w:rPr>
          <w:spacing w:val="-9"/>
          <w:w w:val="115"/>
        </w:rPr>
        <w:t> </w:t>
      </w:r>
      <w:r>
        <w:rPr>
          <w:w w:val="115"/>
        </w:rPr>
        <w:t>idilio</w:t>
      </w:r>
      <w:r>
        <w:rPr>
          <w:spacing w:val="-9"/>
          <w:w w:val="115"/>
        </w:rPr>
        <w:t> </w:t>
      </w:r>
      <w:r>
        <w:rPr>
          <w:w w:val="115"/>
        </w:rPr>
        <w:t>acerca</w:t>
      </w:r>
      <w:r>
        <w:rPr>
          <w:spacing w:val="-9"/>
          <w:w w:val="115"/>
        </w:rPr>
        <w:t> </w:t>
      </w:r>
      <w:r>
        <w:rPr>
          <w:w w:val="115"/>
        </w:rPr>
        <w:t>de</w:t>
      </w:r>
      <w:r>
        <w:rPr>
          <w:spacing w:val="-9"/>
          <w:w w:val="115"/>
        </w:rPr>
        <w:t> </w:t>
      </w:r>
      <w:r>
        <w:rPr>
          <w:w w:val="115"/>
        </w:rPr>
        <w:t>un</w:t>
      </w:r>
      <w:r>
        <w:rPr>
          <w:spacing w:val="-9"/>
          <w:w w:val="115"/>
        </w:rPr>
        <w:t> </w:t>
      </w:r>
      <w:r>
        <w:rPr>
          <w:w w:val="115"/>
        </w:rPr>
        <w:t>sostenido</w:t>
      </w:r>
      <w:r>
        <w:rPr>
          <w:spacing w:val="-9"/>
          <w:w w:val="115"/>
        </w:rPr>
        <w:t> </w:t>
      </w:r>
      <w:r>
        <w:rPr>
          <w:w w:val="115"/>
        </w:rPr>
        <w:t>crecimiento</w:t>
      </w:r>
      <w:r>
        <w:rPr>
          <w:spacing w:val="-9"/>
          <w:w w:val="115"/>
        </w:rPr>
        <w:t> </w:t>
      </w:r>
      <w:r>
        <w:rPr>
          <w:w w:val="115"/>
        </w:rPr>
        <w:t>y</w:t>
      </w:r>
      <w:r>
        <w:rPr>
          <w:spacing w:val="-9"/>
          <w:w w:val="115"/>
        </w:rPr>
        <w:t> </w:t>
      </w:r>
      <w:r>
        <w:rPr>
          <w:w w:val="115"/>
        </w:rPr>
        <w:t>de</w:t>
      </w:r>
      <w:r>
        <w:rPr>
          <w:spacing w:val="-9"/>
          <w:w w:val="115"/>
        </w:rPr>
        <w:t> </w:t>
      </w:r>
      <w:r>
        <w:rPr>
          <w:w w:val="115"/>
        </w:rPr>
        <w:t>la</w:t>
      </w:r>
      <w:r>
        <w:rPr>
          <w:spacing w:val="-9"/>
          <w:w w:val="115"/>
        </w:rPr>
        <w:t> </w:t>
      </w:r>
      <w:r>
        <w:rPr>
          <w:w w:val="115"/>
        </w:rPr>
        <w:t>supuesta</w:t>
      </w:r>
      <w:r>
        <w:rPr>
          <w:spacing w:val="-9"/>
          <w:w w:val="115"/>
        </w:rPr>
        <w:t> </w:t>
      </w:r>
      <w:r>
        <w:rPr>
          <w:w w:val="115"/>
        </w:rPr>
        <w:t>desapa- rición o atenuación regulada del ciclo económico capitalista,</w:t>
      </w:r>
      <w:r>
        <w:rPr>
          <w:spacing w:val="-19"/>
          <w:w w:val="115"/>
        </w:rPr>
        <w:t> </w:t>
      </w:r>
      <w:r>
        <w:rPr>
          <w:w w:val="115"/>
        </w:rPr>
        <w:t>confir- mando</w:t>
      </w:r>
      <w:r>
        <w:rPr>
          <w:spacing w:val="-12"/>
          <w:w w:val="115"/>
        </w:rPr>
        <w:t> </w:t>
      </w:r>
      <w:r>
        <w:rPr>
          <w:w w:val="115"/>
        </w:rPr>
        <w:t>una</w:t>
      </w:r>
      <w:r>
        <w:rPr>
          <w:spacing w:val="-12"/>
          <w:w w:val="115"/>
        </w:rPr>
        <w:t> </w:t>
      </w:r>
      <w:r>
        <w:rPr>
          <w:w w:val="115"/>
        </w:rPr>
        <w:t>vez</w:t>
      </w:r>
      <w:r>
        <w:rPr>
          <w:spacing w:val="-12"/>
          <w:w w:val="115"/>
        </w:rPr>
        <w:t> </w:t>
      </w:r>
      <w:r>
        <w:rPr>
          <w:w w:val="115"/>
        </w:rPr>
        <w:t>más</w:t>
      </w:r>
      <w:r>
        <w:rPr>
          <w:spacing w:val="-12"/>
          <w:w w:val="115"/>
        </w:rPr>
        <w:t> </w:t>
      </w:r>
      <w:r>
        <w:rPr>
          <w:w w:val="115"/>
        </w:rPr>
        <w:t>la</w:t>
      </w:r>
      <w:r>
        <w:rPr>
          <w:spacing w:val="-12"/>
          <w:w w:val="115"/>
        </w:rPr>
        <w:t> </w:t>
      </w:r>
      <w:r>
        <w:rPr>
          <w:w w:val="115"/>
        </w:rPr>
        <w:t>naturaleza</w:t>
      </w:r>
      <w:r>
        <w:rPr>
          <w:spacing w:val="-12"/>
          <w:w w:val="115"/>
        </w:rPr>
        <w:t> </w:t>
      </w:r>
      <w:r>
        <w:rPr>
          <w:w w:val="115"/>
        </w:rPr>
        <w:t>cíclica</w:t>
      </w:r>
      <w:r>
        <w:rPr>
          <w:spacing w:val="-12"/>
          <w:w w:val="115"/>
        </w:rPr>
        <w:t> </w:t>
      </w:r>
      <w:r>
        <w:rPr>
          <w:w w:val="115"/>
        </w:rPr>
        <w:t>de</w:t>
      </w:r>
      <w:r>
        <w:rPr>
          <w:spacing w:val="-12"/>
          <w:w w:val="115"/>
        </w:rPr>
        <w:t> </w:t>
      </w:r>
      <w:r>
        <w:rPr>
          <w:w w:val="115"/>
        </w:rPr>
        <w:t>ese</w:t>
      </w:r>
      <w:r>
        <w:rPr>
          <w:spacing w:val="-12"/>
          <w:w w:val="115"/>
        </w:rPr>
        <w:t> </w:t>
      </w:r>
      <w:r>
        <w:rPr>
          <w:w w:val="115"/>
        </w:rPr>
        <w:t>modo</w:t>
      </w:r>
      <w:r>
        <w:rPr>
          <w:spacing w:val="-12"/>
          <w:w w:val="115"/>
        </w:rPr>
        <w:t> </w:t>
      </w:r>
      <w:r>
        <w:rPr>
          <w:w w:val="115"/>
        </w:rPr>
        <w:t>de</w:t>
      </w:r>
      <w:r>
        <w:rPr>
          <w:spacing w:val="-12"/>
          <w:w w:val="115"/>
        </w:rPr>
        <w:t> </w:t>
      </w:r>
      <w:r>
        <w:rPr>
          <w:w w:val="115"/>
        </w:rPr>
        <w:t>producción, ahora a niveles sincrónicos planetarios; </w:t>
      </w:r>
      <w:r>
        <w:rPr>
          <w:spacing w:val="-11"/>
          <w:w w:val="115"/>
        </w:rPr>
        <w:t>y, </w:t>
      </w:r>
      <w:r>
        <w:rPr>
          <w:w w:val="115"/>
        </w:rPr>
        <w:t>por otro lado, pondría en evidencia</w:t>
      </w:r>
      <w:r>
        <w:rPr>
          <w:spacing w:val="-16"/>
          <w:w w:val="115"/>
        </w:rPr>
        <w:t> </w:t>
      </w:r>
      <w:r>
        <w:rPr>
          <w:w w:val="115"/>
        </w:rPr>
        <w:t>la</w:t>
      </w:r>
      <w:r>
        <w:rPr>
          <w:spacing w:val="-16"/>
          <w:w w:val="115"/>
        </w:rPr>
        <w:t> </w:t>
      </w:r>
      <w:r>
        <w:rPr>
          <w:w w:val="115"/>
        </w:rPr>
        <w:t>impotencia</w:t>
      </w:r>
      <w:r>
        <w:rPr>
          <w:spacing w:val="-16"/>
          <w:w w:val="115"/>
        </w:rPr>
        <w:t> </w:t>
      </w:r>
      <w:r>
        <w:rPr>
          <w:w w:val="115"/>
        </w:rPr>
        <w:t>de</w:t>
      </w:r>
      <w:r>
        <w:rPr>
          <w:spacing w:val="-16"/>
          <w:w w:val="115"/>
        </w:rPr>
        <w:t> </w:t>
      </w:r>
      <w:r>
        <w:rPr>
          <w:w w:val="115"/>
        </w:rPr>
        <w:t>los</w:t>
      </w:r>
      <w:r>
        <w:rPr>
          <w:spacing w:val="-16"/>
          <w:w w:val="115"/>
        </w:rPr>
        <w:t> </w:t>
      </w:r>
      <w:r>
        <w:rPr>
          <w:w w:val="115"/>
        </w:rPr>
        <w:t>instrumentos</w:t>
      </w:r>
      <w:r>
        <w:rPr>
          <w:spacing w:val="-16"/>
          <w:w w:val="115"/>
        </w:rPr>
        <w:t> </w:t>
      </w:r>
      <w:r>
        <w:rPr>
          <w:w w:val="115"/>
        </w:rPr>
        <w:t>tecnocráticos</w:t>
      </w:r>
      <w:r>
        <w:rPr>
          <w:spacing w:val="-16"/>
          <w:w w:val="115"/>
        </w:rPr>
        <w:t> </w:t>
      </w:r>
      <w:r>
        <w:rPr>
          <w:w w:val="115"/>
        </w:rPr>
        <w:t>globaliza- dos</w:t>
      </w:r>
      <w:r>
        <w:rPr>
          <w:spacing w:val="-10"/>
          <w:w w:val="115"/>
        </w:rPr>
        <w:t> </w:t>
      </w:r>
      <w:r>
        <w:rPr>
          <w:w w:val="115"/>
        </w:rPr>
        <w:t>(entre</w:t>
      </w:r>
      <w:r>
        <w:rPr>
          <w:spacing w:val="-10"/>
          <w:w w:val="115"/>
        </w:rPr>
        <w:t> </w:t>
      </w:r>
      <w:r>
        <w:rPr>
          <w:w w:val="115"/>
        </w:rPr>
        <w:t>otros,</w:t>
      </w:r>
      <w:r>
        <w:rPr>
          <w:spacing w:val="-10"/>
          <w:w w:val="115"/>
        </w:rPr>
        <w:t> </w:t>
      </w:r>
      <w:r>
        <w:rPr>
          <w:w w:val="115"/>
        </w:rPr>
        <w:t>los</w:t>
      </w:r>
      <w:r>
        <w:rPr>
          <w:spacing w:val="-10"/>
          <w:w w:val="115"/>
        </w:rPr>
        <w:t> </w:t>
      </w:r>
      <w:r>
        <w:rPr>
          <w:w w:val="115"/>
        </w:rPr>
        <w:t>de</w:t>
      </w:r>
      <w:r>
        <w:rPr>
          <w:spacing w:val="-10"/>
          <w:w w:val="115"/>
        </w:rPr>
        <w:t> </w:t>
      </w:r>
      <w:r>
        <w:rPr>
          <w:w w:val="115"/>
        </w:rPr>
        <w:t>la</w:t>
      </w:r>
      <w:r>
        <w:rPr>
          <w:spacing w:val="-10"/>
          <w:w w:val="115"/>
        </w:rPr>
        <w:t> </w:t>
      </w:r>
      <w:r>
        <w:rPr>
          <w:w w:val="115"/>
        </w:rPr>
        <w:t>llevada</w:t>
      </w:r>
      <w:r>
        <w:rPr>
          <w:spacing w:val="-10"/>
          <w:w w:val="115"/>
        </w:rPr>
        <w:t> </w:t>
      </w:r>
      <w:r>
        <w:rPr>
          <w:w w:val="115"/>
        </w:rPr>
        <w:t>y</w:t>
      </w:r>
      <w:r>
        <w:rPr>
          <w:spacing w:val="-10"/>
          <w:w w:val="115"/>
        </w:rPr>
        <w:t> </w:t>
      </w:r>
      <w:r>
        <w:rPr>
          <w:w w:val="115"/>
        </w:rPr>
        <w:t>traída</w:t>
      </w:r>
      <w:r>
        <w:rPr>
          <w:spacing w:val="-10"/>
          <w:w w:val="115"/>
        </w:rPr>
        <w:t> </w:t>
      </w:r>
      <w:r>
        <w:rPr>
          <w:i/>
          <w:w w:val="115"/>
        </w:rPr>
        <w:t>ingeniería</w:t>
      </w:r>
      <w:r>
        <w:rPr>
          <w:i/>
          <w:spacing w:val="-10"/>
          <w:w w:val="115"/>
        </w:rPr>
        <w:t> </w:t>
      </w:r>
      <w:r>
        <w:rPr>
          <w:i/>
          <w:w w:val="115"/>
        </w:rPr>
        <w:t>financiera</w:t>
      </w:r>
      <w:r>
        <w:rPr>
          <w:w w:val="115"/>
        </w:rPr>
        <w:t>)</w:t>
      </w:r>
      <w:r>
        <w:rPr>
          <w:spacing w:val="-10"/>
          <w:w w:val="115"/>
        </w:rPr>
        <w:t> </w:t>
      </w:r>
      <w:r>
        <w:rPr>
          <w:w w:val="115"/>
        </w:rPr>
        <w:t>para regular la economía planetaria capitalista, aunque fuese exclusiva- mente</w:t>
      </w:r>
      <w:r>
        <w:rPr>
          <w:spacing w:val="-28"/>
          <w:w w:val="115"/>
        </w:rPr>
        <w:t> </w:t>
      </w:r>
      <w:r>
        <w:rPr>
          <w:w w:val="115"/>
        </w:rPr>
        <w:t>en</w:t>
      </w:r>
      <w:r>
        <w:rPr>
          <w:spacing w:val="-28"/>
          <w:w w:val="115"/>
        </w:rPr>
        <w:t> </w:t>
      </w:r>
      <w:r>
        <w:rPr>
          <w:w w:val="115"/>
        </w:rPr>
        <w:t>función</w:t>
      </w:r>
      <w:r>
        <w:rPr>
          <w:spacing w:val="-28"/>
          <w:w w:val="115"/>
        </w:rPr>
        <w:t> </w:t>
      </w:r>
      <w:r>
        <w:rPr>
          <w:w w:val="115"/>
        </w:rPr>
        <w:t>del</w:t>
      </w:r>
      <w:r>
        <w:rPr>
          <w:spacing w:val="-28"/>
          <w:w w:val="115"/>
        </w:rPr>
        <w:t> </w:t>
      </w:r>
      <w:r>
        <w:rPr>
          <w:w w:val="115"/>
        </w:rPr>
        <w:t>predominio</w:t>
      </w:r>
      <w:r>
        <w:rPr>
          <w:spacing w:val="-28"/>
          <w:w w:val="115"/>
        </w:rPr>
        <w:t> </w:t>
      </w:r>
      <w:r>
        <w:rPr>
          <w:w w:val="115"/>
        </w:rPr>
        <w:t>norteamericano.</w:t>
      </w:r>
    </w:p>
    <w:p>
      <w:pPr>
        <w:pStyle w:val="BodyText"/>
        <w:spacing w:line="252" w:lineRule="auto"/>
        <w:ind w:left="330" w:right="117" w:firstLine="396"/>
        <w:jc w:val="both"/>
      </w:pPr>
      <w:r>
        <w:rPr>
          <w:w w:val="115"/>
        </w:rPr>
        <w:t>En consonancia,  centenares  de  empresas  –en  primer  lu-   gar las de los sectores más avanzados en capital científico-tec- nológico (aeroespacial, electrónico, de las </w:t>
      </w:r>
      <w:r>
        <w:rPr>
          <w:w w:val="125"/>
        </w:rPr>
        <w:t>tiC </w:t>
      </w:r>
      <w:r>
        <w:rPr>
          <w:w w:val="115"/>
        </w:rPr>
        <w:t>e internet, </w:t>
      </w:r>
      <w:r>
        <w:rPr>
          <w:spacing w:val="-3"/>
          <w:w w:val="115"/>
        </w:rPr>
        <w:t>ener- </w:t>
      </w:r>
      <w:r>
        <w:rPr>
          <w:w w:val="115"/>
        </w:rPr>
        <w:t>gético, automovilístico, farmacéutico, bancario, etc.)– debieron disminuir producciones, servicios y su otrora muy superior corre- lación exportación/importación tanto de bienes como de capitales para, desde mediados de 2001, incrementar significativamente sus recortes de plantillas. EE.uu. alcanzaría así en un brevísimo pe- ríodo cifras récord de desocupación general (en 2010, ya de  </w:t>
      </w:r>
      <w:r>
        <w:rPr>
          <w:spacing w:val="42"/>
          <w:w w:val="115"/>
        </w:rPr>
        <w:t> </w:t>
      </w:r>
      <w:r>
        <w:rPr>
          <w:w w:val="115"/>
        </w:rPr>
        <w:t>9,5%</w:t>
      </w:r>
    </w:p>
    <w:p>
      <w:pPr>
        <w:pStyle w:val="BodyText"/>
        <w:spacing w:line="252" w:lineRule="auto"/>
        <w:ind w:left="330" w:right="117"/>
        <w:jc w:val="right"/>
      </w:pPr>
      <w:r>
        <w:rPr>
          <w:w w:val="112"/>
        </w:rPr>
        <w:t>).</w:t>
      </w:r>
      <w:r>
        <w:rPr/>
        <w:t> </w:t>
      </w:r>
      <w:r>
        <w:rPr>
          <w:spacing w:val="-11"/>
        </w:rPr>
        <w:t> </w:t>
      </w:r>
      <w:r>
        <w:rPr>
          <w:w w:val="243"/>
        </w:rPr>
        <w:t>l</w:t>
      </w:r>
      <w:r>
        <w:rPr>
          <w:w w:val="108"/>
        </w:rPr>
        <w:t>os</w:t>
      </w:r>
      <w:r>
        <w:rPr/>
        <w:t> </w:t>
      </w:r>
      <w:r>
        <w:rPr>
          <w:spacing w:val="-11"/>
        </w:rPr>
        <w:t> </w:t>
      </w:r>
      <w:r>
        <w:rPr>
          <w:i/>
          <w:w w:val="111"/>
        </w:rPr>
        <w:t>cuellos</w:t>
      </w:r>
      <w:r>
        <w:rPr>
          <w:i/>
        </w:rPr>
        <w:t> </w:t>
      </w:r>
      <w:r>
        <w:rPr>
          <w:i/>
          <w:spacing w:val="-11"/>
        </w:rPr>
        <w:t> </w:t>
      </w:r>
      <w:r>
        <w:rPr>
          <w:i/>
          <w:w w:val="111"/>
        </w:rPr>
        <w:t>blancos</w:t>
      </w:r>
      <w:r>
        <w:rPr>
          <w:i/>
        </w:rPr>
        <w:t> </w:t>
      </w:r>
      <w:r>
        <w:rPr>
          <w:i/>
          <w:spacing w:val="-11"/>
        </w:rPr>
        <w:t> </w:t>
      </w:r>
      <w:r>
        <w:rPr>
          <w:w w:val="109"/>
        </w:rPr>
        <w:t>activos</w:t>
      </w:r>
      <w:r>
        <w:rPr/>
        <w:t> </w:t>
      </w:r>
      <w:r>
        <w:rPr>
          <w:spacing w:val="-11"/>
        </w:rPr>
        <w:t> </w:t>
      </w:r>
      <w:r>
        <w:rPr>
          <w:w w:val="108"/>
        </w:rPr>
        <w:t>en</w:t>
      </w:r>
      <w:r>
        <w:rPr/>
        <w:t> </w:t>
      </w:r>
      <w:r>
        <w:rPr>
          <w:spacing w:val="-11"/>
        </w:rPr>
        <w:t> </w:t>
      </w:r>
      <w:r>
        <w:rPr>
          <w:w w:val="112"/>
        </w:rPr>
        <w:t>ciencia</w:t>
      </w:r>
      <w:r>
        <w:rPr/>
        <w:t> </w:t>
      </w:r>
      <w:r>
        <w:rPr>
          <w:spacing w:val="-11"/>
        </w:rPr>
        <w:t> </w:t>
      </w:r>
      <w:r>
        <w:rPr>
          <w:w w:val="104"/>
        </w:rPr>
        <w:t>e</w:t>
      </w:r>
      <w:r>
        <w:rPr/>
        <w:t> </w:t>
      </w:r>
      <w:r>
        <w:rPr>
          <w:spacing w:val="-11"/>
        </w:rPr>
        <w:t> </w:t>
      </w:r>
      <w:r>
        <w:rPr>
          <w:w w:val="110"/>
        </w:rPr>
        <w:t>ingeniería</w:t>
      </w:r>
      <w:r>
        <w:rPr/>
        <w:t> </w:t>
      </w:r>
      <w:r>
        <w:rPr>
          <w:spacing w:val="-11"/>
        </w:rPr>
        <w:t> </w:t>
      </w:r>
      <w:r>
        <w:rPr>
          <w:w w:val="110"/>
        </w:rPr>
        <w:t>llegarían</w:t>
      </w:r>
      <w:r>
        <w:rPr/>
        <w:t> </w:t>
      </w:r>
      <w:r>
        <w:rPr>
          <w:spacing w:val="-11"/>
        </w:rPr>
        <w:t> </w:t>
      </w:r>
      <w:r>
        <w:rPr>
          <w:w w:val="111"/>
        </w:rPr>
        <w:t>al</w:t>
      </w:r>
      <w:r>
        <w:rPr/>
        <w:t> </w:t>
      </w:r>
      <w:r>
        <w:rPr>
          <w:spacing w:val="-11"/>
        </w:rPr>
        <w:t> </w:t>
      </w:r>
      <w:r>
        <w:rPr>
          <w:w w:val="102"/>
        </w:rPr>
        <w:t>4% </w:t>
      </w:r>
      <w:r>
        <w:rPr>
          <w:w w:val="110"/>
        </w:rPr>
        <w:t>de desocupación </w:t>
      </w:r>
      <w:r>
        <w:rPr>
          <w:spacing w:val="-11"/>
          <w:w w:val="110"/>
        </w:rPr>
        <w:t>y, </w:t>
      </w:r>
      <w:r>
        <w:rPr>
          <w:w w:val="110"/>
        </w:rPr>
        <w:t>de ellos, los programadores de</w:t>
      </w:r>
      <w:r>
        <w:rPr>
          <w:spacing w:val="-14"/>
          <w:w w:val="110"/>
        </w:rPr>
        <w:t> </w:t>
      </w:r>
      <w:r>
        <w:rPr>
          <w:w w:val="110"/>
        </w:rPr>
        <w:t>computadoras</w:t>
      </w:r>
      <w:r>
        <w:rPr>
          <w:spacing w:val="35"/>
          <w:w w:val="110"/>
        </w:rPr>
        <w:t> </w:t>
      </w:r>
      <w:r>
        <w:rPr>
          <w:w w:val="110"/>
        </w:rPr>
        <w:t>y</w:t>
      </w:r>
      <w:r>
        <w:rPr>
          <w:w w:val="105"/>
        </w:rPr>
        <w:t> </w:t>
      </w:r>
      <w:r>
        <w:rPr>
          <w:w w:val="110"/>
        </w:rPr>
        <w:t>software sobrepasarían el 6,5%, ya en 2002 (Nsb,</w:t>
      </w:r>
      <w:r>
        <w:rPr>
          <w:spacing w:val="12"/>
          <w:w w:val="110"/>
        </w:rPr>
        <w:t> </w:t>
      </w:r>
      <w:r>
        <w:rPr>
          <w:w w:val="110"/>
        </w:rPr>
        <w:t>2004:</w:t>
      </w:r>
      <w:r>
        <w:rPr>
          <w:spacing w:val="1"/>
          <w:w w:val="110"/>
        </w:rPr>
        <w:t> </w:t>
      </w:r>
      <w:r>
        <w:rPr>
          <w:w w:val="110"/>
        </w:rPr>
        <w:t>diapositivas).</w:t>
      </w:r>
      <w:r>
        <w:rPr>
          <w:w w:val="109"/>
        </w:rPr>
        <w:t> </w:t>
      </w:r>
      <w:r>
        <w:rPr>
          <w:w w:val="110"/>
        </w:rPr>
        <w:t>Ello, en medio de una crisis agravada por</w:t>
      </w:r>
      <w:r>
        <w:rPr>
          <w:spacing w:val="27"/>
          <w:w w:val="110"/>
        </w:rPr>
        <w:t> </w:t>
      </w:r>
      <w:r>
        <w:rPr>
          <w:w w:val="110"/>
        </w:rPr>
        <w:t>irregularidades</w:t>
      </w:r>
      <w:r>
        <w:rPr>
          <w:spacing w:val="20"/>
          <w:w w:val="110"/>
        </w:rPr>
        <w:t> </w:t>
      </w:r>
      <w:r>
        <w:rPr>
          <w:w w:val="110"/>
        </w:rPr>
        <w:t>finan-</w:t>
      </w:r>
      <w:r>
        <w:rPr>
          <w:w w:val="102"/>
        </w:rPr>
        <w:t> </w:t>
      </w:r>
      <w:r>
        <w:rPr>
          <w:w w:val="110"/>
        </w:rPr>
        <w:t>cieras</w:t>
      </w:r>
      <w:r>
        <w:rPr>
          <w:spacing w:val="-7"/>
          <w:w w:val="110"/>
        </w:rPr>
        <w:t> </w:t>
      </w:r>
      <w:r>
        <w:rPr>
          <w:w w:val="110"/>
        </w:rPr>
        <w:t>sin</w:t>
      </w:r>
      <w:r>
        <w:rPr>
          <w:spacing w:val="-7"/>
          <w:w w:val="110"/>
        </w:rPr>
        <w:t> </w:t>
      </w:r>
      <w:r>
        <w:rPr>
          <w:w w:val="110"/>
        </w:rPr>
        <w:t>precedentes</w:t>
      </w:r>
      <w:r>
        <w:rPr>
          <w:spacing w:val="-7"/>
          <w:w w:val="110"/>
        </w:rPr>
        <w:t> </w:t>
      </w:r>
      <w:r>
        <w:rPr>
          <w:w w:val="110"/>
        </w:rPr>
        <w:t>(las</w:t>
      </w:r>
      <w:r>
        <w:rPr>
          <w:spacing w:val="-7"/>
          <w:w w:val="110"/>
        </w:rPr>
        <w:t> </w:t>
      </w:r>
      <w:r>
        <w:rPr>
          <w:w w:val="110"/>
        </w:rPr>
        <w:t>superpuestas</w:t>
      </w:r>
      <w:r>
        <w:rPr>
          <w:spacing w:val="-7"/>
          <w:w w:val="110"/>
        </w:rPr>
        <w:t> </w:t>
      </w:r>
      <w:r>
        <w:rPr>
          <w:w w:val="110"/>
        </w:rPr>
        <w:t>turbulencias</w:t>
      </w:r>
      <w:r>
        <w:rPr>
          <w:spacing w:val="-7"/>
          <w:w w:val="110"/>
        </w:rPr>
        <w:t> </w:t>
      </w:r>
      <w:r>
        <w:rPr>
          <w:w w:val="110"/>
        </w:rPr>
        <w:t>y</w:t>
      </w:r>
      <w:r>
        <w:rPr>
          <w:spacing w:val="-7"/>
          <w:w w:val="110"/>
        </w:rPr>
        <w:t> </w:t>
      </w:r>
      <w:r>
        <w:rPr>
          <w:w w:val="110"/>
        </w:rPr>
        <w:t>burbujas</w:t>
      </w:r>
      <w:r>
        <w:rPr>
          <w:spacing w:val="-7"/>
          <w:w w:val="110"/>
        </w:rPr>
        <w:t> </w:t>
      </w:r>
      <w:r>
        <w:rPr>
          <w:w w:val="110"/>
        </w:rPr>
        <w:t>espe-</w:t>
      </w:r>
      <w:r>
        <w:rPr>
          <w:w w:val="102"/>
        </w:rPr>
        <w:t> </w:t>
      </w:r>
      <w:r>
        <w:rPr>
          <w:w w:val="110"/>
        </w:rPr>
        <w:t>culativas con efecto dominó a escala planetaria), el destape</w:t>
      </w:r>
      <w:r>
        <w:rPr>
          <w:spacing w:val="32"/>
          <w:w w:val="110"/>
        </w:rPr>
        <w:t> </w:t>
      </w:r>
      <w:r>
        <w:rPr>
          <w:w w:val="110"/>
        </w:rPr>
        <w:t>del</w:t>
      </w:r>
      <w:r>
        <w:rPr>
          <w:spacing w:val="3"/>
          <w:w w:val="110"/>
        </w:rPr>
        <w:t> </w:t>
      </w:r>
      <w:r>
        <w:rPr>
          <w:w w:val="110"/>
        </w:rPr>
        <w:t>fraude</w:t>
      </w:r>
      <w:r>
        <w:rPr>
          <w:w w:val="110"/>
        </w:rPr>
        <w:t> </w:t>
      </w:r>
      <w:r>
        <w:rPr>
          <w:w w:val="110"/>
        </w:rPr>
        <w:t>corporativo,</w:t>
      </w:r>
      <w:r>
        <w:rPr>
          <w:spacing w:val="-6"/>
          <w:w w:val="110"/>
        </w:rPr>
        <w:t> </w:t>
      </w:r>
      <w:r>
        <w:rPr>
          <w:w w:val="110"/>
        </w:rPr>
        <w:t>y</w:t>
      </w:r>
      <w:r>
        <w:rPr>
          <w:spacing w:val="-6"/>
          <w:w w:val="110"/>
        </w:rPr>
        <w:t> </w:t>
      </w:r>
      <w:r>
        <w:rPr>
          <w:w w:val="110"/>
        </w:rPr>
        <w:t>la</w:t>
      </w:r>
      <w:r>
        <w:rPr>
          <w:spacing w:val="-6"/>
          <w:w w:val="110"/>
        </w:rPr>
        <w:t> </w:t>
      </w:r>
      <w:r>
        <w:rPr>
          <w:w w:val="110"/>
        </w:rPr>
        <w:t>quiebra</w:t>
      </w:r>
      <w:r>
        <w:rPr>
          <w:spacing w:val="-6"/>
          <w:w w:val="110"/>
        </w:rPr>
        <w:t> </w:t>
      </w:r>
      <w:r>
        <w:rPr>
          <w:w w:val="110"/>
        </w:rPr>
        <w:t>de</w:t>
      </w:r>
      <w:r>
        <w:rPr>
          <w:spacing w:val="-6"/>
          <w:w w:val="110"/>
        </w:rPr>
        <w:t> </w:t>
      </w:r>
      <w:r>
        <w:rPr>
          <w:w w:val="110"/>
        </w:rPr>
        <w:t>un</w:t>
      </w:r>
      <w:r>
        <w:rPr>
          <w:spacing w:val="-6"/>
          <w:w w:val="110"/>
        </w:rPr>
        <w:t> </w:t>
      </w:r>
      <w:r>
        <w:rPr>
          <w:w w:val="110"/>
        </w:rPr>
        <w:t>creciente</w:t>
      </w:r>
      <w:r>
        <w:rPr>
          <w:spacing w:val="-6"/>
          <w:w w:val="110"/>
        </w:rPr>
        <w:t> </w:t>
      </w:r>
      <w:r>
        <w:rPr>
          <w:w w:val="110"/>
        </w:rPr>
        <w:t>número</w:t>
      </w:r>
      <w:r>
        <w:rPr>
          <w:spacing w:val="-6"/>
          <w:w w:val="110"/>
        </w:rPr>
        <w:t> </w:t>
      </w:r>
      <w:r>
        <w:rPr>
          <w:w w:val="110"/>
        </w:rPr>
        <w:t>de</w:t>
      </w:r>
      <w:r>
        <w:rPr>
          <w:spacing w:val="-6"/>
          <w:w w:val="110"/>
        </w:rPr>
        <w:t> </w:t>
      </w:r>
      <w:r>
        <w:rPr>
          <w:w w:val="110"/>
        </w:rPr>
        <w:t>grandes</w:t>
      </w:r>
      <w:r>
        <w:rPr>
          <w:spacing w:val="-6"/>
          <w:w w:val="110"/>
        </w:rPr>
        <w:t> </w:t>
      </w:r>
      <w:r>
        <w:rPr>
          <w:w w:val="110"/>
        </w:rPr>
        <w:t>empresas</w:t>
      </w:r>
      <w:r>
        <w:rPr>
          <w:w w:val="108"/>
        </w:rPr>
        <w:t> </w:t>
      </w:r>
      <w:r>
        <w:rPr>
          <w:w w:val="110"/>
        </w:rPr>
        <w:t>norteamericanas (incluidas las resultantes de las</w:t>
      </w:r>
      <w:r>
        <w:rPr>
          <w:spacing w:val="-1"/>
          <w:w w:val="110"/>
        </w:rPr>
        <w:t> </w:t>
      </w:r>
      <w:r>
        <w:rPr>
          <w:w w:val="110"/>
        </w:rPr>
        <w:t>llamadas</w:t>
      </w:r>
      <w:r>
        <w:rPr>
          <w:spacing w:val="38"/>
          <w:w w:val="110"/>
        </w:rPr>
        <w:t> </w:t>
      </w:r>
      <w:r>
        <w:rPr>
          <w:w w:val="110"/>
        </w:rPr>
        <w:t>megafu-</w:t>
      </w:r>
      <w:r>
        <w:rPr>
          <w:w w:val="102"/>
        </w:rPr>
        <w:t> </w:t>
      </w:r>
      <w:r>
        <w:rPr>
          <w:w w:val="110"/>
        </w:rPr>
        <w:t>siones)</w:t>
      </w:r>
      <w:r>
        <w:rPr>
          <w:spacing w:val="31"/>
          <w:w w:val="110"/>
        </w:rPr>
        <w:t> </w:t>
      </w:r>
      <w:r>
        <w:rPr>
          <w:w w:val="110"/>
        </w:rPr>
        <w:t>con</w:t>
      </w:r>
      <w:r>
        <w:rPr>
          <w:spacing w:val="31"/>
          <w:w w:val="110"/>
        </w:rPr>
        <w:t> </w:t>
      </w:r>
      <w:r>
        <w:rPr>
          <w:w w:val="110"/>
        </w:rPr>
        <w:t>implicaciones</w:t>
      </w:r>
      <w:r>
        <w:rPr>
          <w:spacing w:val="31"/>
          <w:w w:val="110"/>
        </w:rPr>
        <w:t> </w:t>
      </w:r>
      <w:r>
        <w:rPr>
          <w:w w:val="110"/>
        </w:rPr>
        <w:t>de</w:t>
      </w:r>
      <w:r>
        <w:rPr>
          <w:spacing w:val="31"/>
          <w:w w:val="110"/>
        </w:rPr>
        <w:t> </w:t>
      </w:r>
      <w:r>
        <w:rPr>
          <w:w w:val="110"/>
        </w:rPr>
        <w:t>corrupción</w:t>
      </w:r>
      <w:r>
        <w:rPr>
          <w:spacing w:val="31"/>
          <w:w w:val="110"/>
        </w:rPr>
        <w:t> </w:t>
      </w:r>
      <w:r>
        <w:rPr>
          <w:w w:val="110"/>
        </w:rPr>
        <w:t>a</w:t>
      </w:r>
      <w:r>
        <w:rPr>
          <w:spacing w:val="31"/>
          <w:w w:val="110"/>
        </w:rPr>
        <w:t> </w:t>
      </w:r>
      <w:r>
        <w:rPr>
          <w:w w:val="110"/>
        </w:rPr>
        <w:t>los</w:t>
      </w:r>
      <w:r>
        <w:rPr>
          <w:spacing w:val="31"/>
          <w:w w:val="110"/>
        </w:rPr>
        <w:t> </w:t>
      </w:r>
      <w:r>
        <w:rPr>
          <w:w w:val="110"/>
        </w:rPr>
        <w:t>más</w:t>
      </w:r>
      <w:r>
        <w:rPr>
          <w:spacing w:val="31"/>
          <w:w w:val="110"/>
        </w:rPr>
        <w:t> </w:t>
      </w:r>
      <w:r>
        <w:rPr>
          <w:w w:val="110"/>
        </w:rPr>
        <w:t>altos</w:t>
      </w:r>
      <w:r>
        <w:rPr>
          <w:spacing w:val="31"/>
          <w:w w:val="110"/>
        </w:rPr>
        <w:t> </w:t>
      </w:r>
      <w:r>
        <w:rPr>
          <w:w w:val="110"/>
        </w:rPr>
        <w:t>niveles</w:t>
      </w:r>
      <w:r>
        <w:rPr>
          <w:spacing w:val="31"/>
          <w:w w:val="110"/>
        </w:rPr>
        <w:t> </w:t>
      </w:r>
      <w:r>
        <w:rPr>
          <w:w w:val="110"/>
        </w:rPr>
        <w:t>del</w:t>
      </w:r>
    </w:p>
    <w:p>
      <w:pPr>
        <w:spacing w:after="0" w:line="252" w:lineRule="auto"/>
        <w:jc w:val="right"/>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i/>
          <w:w w:val="110"/>
        </w:rPr>
        <w:t>establishment </w:t>
      </w:r>
      <w:r>
        <w:rPr>
          <w:w w:val="110"/>
        </w:rPr>
        <w:t>gubernamental. incidiría lo expuesto en la pérdida de credibilidad en el sistema, la creciente estampida de capitales de las bolsas de valores, la crisis inmobiliaria, la desvalorización del dólar estadounidense como referente internacional, el alza de los precios de los combustibles, alimentos y demás </w:t>
      </w:r>
      <w:r>
        <w:rPr>
          <w:i/>
          <w:w w:val="110"/>
        </w:rPr>
        <w:t>commodities</w:t>
      </w:r>
      <w:r>
        <w:rPr>
          <w:w w:val="110"/>
        </w:rPr>
        <w:t>, y la consecuente inestabilidad generalizada con efecto de contagio hacia toda la eco- nomía  mundial.</w:t>
      </w:r>
    </w:p>
    <w:p>
      <w:pPr>
        <w:pStyle w:val="BodyText"/>
        <w:spacing w:line="252" w:lineRule="auto"/>
        <w:ind w:left="100" w:right="328" w:firstLine="396"/>
        <w:jc w:val="both"/>
        <w:rPr>
          <w:i/>
        </w:rPr>
      </w:pPr>
      <w:r>
        <w:rPr>
          <w:w w:val="110"/>
        </w:rPr>
        <w:t>En dependencia de las vías de solución de este complejo proble- ma –al borde del colapso– penderían no sólo ya la supervivencia o metamorfosis del imperio, sino la de la propia vida planetaria. Es en ese contexto que se conceptualiza la crisis sistémico-estructural de EE.uu. en la esfera esencial de sus fuerzas productivas y relaciones de producción, la llamada </w:t>
      </w:r>
      <w:r>
        <w:rPr>
          <w:i/>
          <w:w w:val="110"/>
        </w:rPr>
        <w:t>sociedad basada en el   conocimiento.</w:t>
      </w:r>
    </w:p>
    <w:p>
      <w:pPr>
        <w:pStyle w:val="BodyText"/>
        <w:spacing w:before="5"/>
        <w:rPr>
          <w:i/>
        </w:rPr>
      </w:pPr>
    </w:p>
    <w:p>
      <w:pPr>
        <w:pStyle w:val="BodyText"/>
        <w:spacing w:line="252" w:lineRule="auto"/>
        <w:ind w:left="100" w:right="311" w:firstLine="1"/>
      </w:pPr>
      <w:r>
        <w:rPr>
          <w:rFonts w:ascii="Times New Roman" w:hAnsi="Times New Roman"/>
          <w:b/>
          <w:spacing w:val="3"/>
          <w:w w:val="135"/>
          <w:sz w:val="20"/>
        </w:rPr>
        <w:t>la </w:t>
      </w:r>
      <w:r>
        <w:rPr>
          <w:rFonts w:ascii="Times New Roman" w:hAnsi="Times New Roman"/>
          <w:b/>
          <w:w w:val="120"/>
          <w:sz w:val="20"/>
        </w:rPr>
        <w:t>aGenda oBaMa ¿función de caMBio o continuidades? </w:t>
      </w:r>
      <w:r>
        <w:rPr>
          <w:w w:val="115"/>
        </w:rPr>
        <w:t>Como</w:t>
      </w:r>
      <w:r>
        <w:rPr>
          <w:spacing w:val="-6"/>
          <w:w w:val="115"/>
        </w:rPr>
        <w:t> </w:t>
      </w:r>
      <w:r>
        <w:rPr>
          <w:w w:val="115"/>
        </w:rPr>
        <w:t>resultado</w:t>
      </w:r>
      <w:r>
        <w:rPr>
          <w:spacing w:val="-6"/>
          <w:w w:val="115"/>
        </w:rPr>
        <w:t> </w:t>
      </w:r>
      <w:r>
        <w:rPr>
          <w:w w:val="115"/>
        </w:rPr>
        <w:t>de</w:t>
      </w:r>
      <w:r>
        <w:rPr>
          <w:spacing w:val="-6"/>
          <w:w w:val="115"/>
        </w:rPr>
        <w:t> </w:t>
      </w:r>
      <w:r>
        <w:rPr>
          <w:w w:val="115"/>
        </w:rPr>
        <w:t>lo</w:t>
      </w:r>
      <w:r>
        <w:rPr>
          <w:spacing w:val="-6"/>
          <w:w w:val="115"/>
        </w:rPr>
        <w:t> </w:t>
      </w:r>
      <w:r>
        <w:rPr>
          <w:w w:val="115"/>
        </w:rPr>
        <w:t>expresado</w:t>
      </w:r>
      <w:r>
        <w:rPr>
          <w:spacing w:val="-6"/>
          <w:w w:val="115"/>
        </w:rPr>
        <w:t> </w:t>
      </w:r>
      <w:r>
        <w:rPr>
          <w:w w:val="115"/>
        </w:rPr>
        <w:t>–tras</w:t>
      </w:r>
      <w:r>
        <w:rPr>
          <w:spacing w:val="-6"/>
          <w:w w:val="115"/>
        </w:rPr>
        <w:t> </w:t>
      </w:r>
      <w:r>
        <w:rPr>
          <w:w w:val="115"/>
        </w:rPr>
        <w:t>las</w:t>
      </w:r>
      <w:r>
        <w:rPr>
          <w:spacing w:val="-6"/>
          <w:w w:val="115"/>
        </w:rPr>
        <w:t> </w:t>
      </w:r>
      <w:r>
        <w:rPr>
          <w:i/>
          <w:spacing w:val="-4"/>
          <w:w w:val="115"/>
        </w:rPr>
        <w:t>Torres</w:t>
      </w:r>
      <w:r>
        <w:rPr>
          <w:i/>
          <w:spacing w:val="-6"/>
          <w:w w:val="115"/>
        </w:rPr>
        <w:t> </w:t>
      </w:r>
      <w:r>
        <w:rPr>
          <w:i/>
          <w:w w:val="115"/>
        </w:rPr>
        <w:t>Gemelas</w:t>
      </w:r>
      <w:r>
        <w:rPr>
          <w:i/>
          <w:spacing w:val="-6"/>
          <w:w w:val="115"/>
        </w:rPr>
        <w:t> </w:t>
      </w:r>
      <w:r>
        <w:rPr>
          <w:w w:val="115"/>
        </w:rPr>
        <w:t>como</w:t>
      </w:r>
      <w:r>
        <w:rPr>
          <w:spacing w:val="-6"/>
          <w:w w:val="115"/>
        </w:rPr>
        <w:t> </w:t>
      </w:r>
      <w:r>
        <w:rPr>
          <w:w w:val="115"/>
        </w:rPr>
        <w:t>pun- </w:t>
      </w:r>
      <w:r>
        <w:rPr>
          <w:w w:val="120"/>
        </w:rPr>
        <w:t>to</w:t>
      </w:r>
      <w:r>
        <w:rPr>
          <w:spacing w:val="-24"/>
          <w:w w:val="120"/>
        </w:rPr>
        <w:t> </w:t>
      </w:r>
      <w:r>
        <w:rPr>
          <w:w w:val="120"/>
        </w:rPr>
        <w:t>de</w:t>
      </w:r>
      <w:r>
        <w:rPr>
          <w:spacing w:val="-24"/>
          <w:w w:val="120"/>
        </w:rPr>
        <w:t> </w:t>
      </w:r>
      <w:r>
        <w:rPr>
          <w:w w:val="120"/>
        </w:rPr>
        <w:t>inflexión–</w:t>
      </w:r>
      <w:r>
        <w:rPr>
          <w:spacing w:val="-24"/>
          <w:w w:val="120"/>
        </w:rPr>
        <w:t> </w:t>
      </w:r>
      <w:r>
        <w:rPr>
          <w:w w:val="120"/>
        </w:rPr>
        <w:t>en</w:t>
      </w:r>
      <w:r>
        <w:rPr>
          <w:spacing w:val="-24"/>
          <w:w w:val="120"/>
        </w:rPr>
        <w:t> </w:t>
      </w:r>
      <w:r>
        <w:rPr>
          <w:w w:val="120"/>
        </w:rPr>
        <w:t>EE.uu.</w:t>
      </w:r>
      <w:r>
        <w:rPr>
          <w:spacing w:val="-24"/>
          <w:w w:val="120"/>
        </w:rPr>
        <w:t> </w:t>
      </w:r>
      <w:r>
        <w:rPr>
          <w:w w:val="120"/>
        </w:rPr>
        <w:t>cobrarían</w:t>
      </w:r>
      <w:r>
        <w:rPr>
          <w:spacing w:val="-24"/>
          <w:w w:val="120"/>
        </w:rPr>
        <w:t> </w:t>
      </w:r>
      <w:r>
        <w:rPr>
          <w:w w:val="120"/>
        </w:rPr>
        <w:t>fuerza</w:t>
      </w:r>
      <w:r>
        <w:rPr>
          <w:spacing w:val="-24"/>
          <w:w w:val="120"/>
        </w:rPr>
        <w:t> </w:t>
      </w:r>
      <w:r>
        <w:rPr>
          <w:w w:val="120"/>
        </w:rPr>
        <w:t>criterios,</w:t>
      </w:r>
      <w:r>
        <w:rPr>
          <w:spacing w:val="-24"/>
          <w:w w:val="120"/>
        </w:rPr>
        <w:t> </w:t>
      </w:r>
      <w:r>
        <w:rPr>
          <w:w w:val="120"/>
        </w:rPr>
        <w:t>fuera</w:t>
      </w:r>
      <w:r>
        <w:rPr>
          <w:spacing w:val="-24"/>
          <w:w w:val="120"/>
        </w:rPr>
        <w:t> </w:t>
      </w:r>
      <w:r>
        <w:rPr>
          <w:w w:val="120"/>
        </w:rPr>
        <w:t>y</w:t>
      </w:r>
      <w:r>
        <w:rPr>
          <w:spacing w:val="-24"/>
          <w:w w:val="120"/>
        </w:rPr>
        <w:t> </w:t>
      </w:r>
      <w:r>
        <w:rPr>
          <w:w w:val="120"/>
        </w:rPr>
        <w:t>dentro </w:t>
      </w:r>
      <w:r>
        <w:rPr>
          <w:w w:val="115"/>
        </w:rPr>
        <w:t>del</w:t>
      </w:r>
      <w:r>
        <w:rPr>
          <w:spacing w:val="-17"/>
          <w:w w:val="115"/>
        </w:rPr>
        <w:t> </w:t>
      </w:r>
      <w:r>
        <w:rPr>
          <w:i/>
          <w:w w:val="115"/>
        </w:rPr>
        <w:t>establishment</w:t>
      </w:r>
      <w:r>
        <w:rPr>
          <w:w w:val="115"/>
        </w:rPr>
        <w:t>,</w:t>
      </w:r>
      <w:r>
        <w:rPr>
          <w:spacing w:val="-17"/>
          <w:w w:val="115"/>
        </w:rPr>
        <w:t> </w:t>
      </w:r>
      <w:r>
        <w:rPr>
          <w:w w:val="115"/>
        </w:rPr>
        <w:t>que</w:t>
      </w:r>
      <w:r>
        <w:rPr>
          <w:spacing w:val="-17"/>
          <w:w w:val="115"/>
        </w:rPr>
        <w:t> </w:t>
      </w:r>
      <w:r>
        <w:rPr>
          <w:w w:val="115"/>
        </w:rPr>
        <w:t>reclamarían</w:t>
      </w:r>
      <w:r>
        <w:rPr>
          <w:spacing w:val="-17"/>
          <w:w w:val="115"/>
        </w:rPr>
        <w:t> </w:t>
      </w:r>
      <w:r>
        <w:rPr>
          <w:w w:val="115"/>
        </w:rPr>
        <w:t>una</w:t>
      </w:r>
      <w:r>
        <w:rPr>
          <w:spacing w:val="-17"/>
          <w:w w:val="115"/>
        </w:rPr>
        <w:t> </w:t>
      </w:r>
      <w:r>
        <w:rPr>
          <w:w w:val="115"/>
        </w:rPr>
        <w:t>función</w:t>
      </w:r>
      <w:r>
        <w:rPr>
          <w:spacing w:val="-17"/>
          <w:w w:val="115"/>
        </w:rPr>
        <w:t> </w:t>
      </w:r>
      <w:r>
        <w:rPr>
          <w:w w:val="115"/>
        </w:rPr>
        <w:t>de</w:t>
      </w:r>
      <w:r>
        <w:rPr>
          <w:spacing w:val="-17"/>
          <w:w w:val="115"/>
        </w:rPr>
        <w:t> </w:t>
      </w:r>
      <w:r>
        <w:rPr>
          <w:w w:val="115"/>
        </w:rPr>
        <w:t>cambio</w:t>
      </w:r>
      <w:r>
        <w:rPr>
          <w:spacing w:val="-17"/>
          <w:w w:val="115"/>
        </w:rPr>
        <w:t> </w:t>
      </w:r>
      <w:r>
        <w:rPr>
          <w:w w:val="115"/>
        </w:rPr>
        <w:t>sostenida, para abrirle paso a un </w:t>
      </w:r>
      <w:r>
        <w:rPr>
          <w:i/>
          <w:w w:val="115"/>
        </w:rPr>
        <w:t>modelo inteligente </w:t>
      </w:r>
      <w:r>
        <w:rPr>
          <w:w w:val="115"/>
        </w:rPr>
        <w:t>con voluntad política, que extrajera</w:t>
      </w:r>
      <w:r>
        <w:rPr>
          <w:spacing w:val="-33"/>
          <w:w w:val="115"/>
        </w:rPr>
        <w:t> </w:t>
      </w:r>
      <w:r>
        <w:rPr>
          <w:w w:val="115"/>
        </w:rPr>
        <w:t>al</w:t>
      </w:r>
      <w:r>
        <w:rPr>
          <w:spacing w:val="-33"/>
          <w:w w:val="115"/>
        </w:rPr>
        <w:t> </w:t>
      </w:r>
      <w:r>
        <w:rPr>
          <w:w w:val="115"/>
        </w:rPr>
        <w:t>sistema</w:t>
      </w:r>
      <w:r>
        <w:rPr>
          <w:spacing w:val="-33"/>
          <w:w w:val="115"/>
        </w:rPr>
        <w:t> </w:t>
      </w:r>
      <w:r>
        <w:rPr>
          <w:w w:val="115"/>
        </w:rPr>
        <w:t>de</w:t>
      </w:r>
      <w:r>
        <w:rPr>
          <w:spacing w:val="-33"/>
          <w:w w:val="115"/>
        </w:rPr>
        <w:t> </w:t>
      </w:r>
      <w:r>
        <w:rPr>
          <w:w w:val="115"/>
        </w:rPr>
        <w:t>su</w:t>
      </w:r>
      <w:r>
        <w:rPr>
          <w:spacing w:val="-33"/>
          <w:w w:val="115"/>
        </w:rPr>
        <w:t> </w:t>
      </w:r>
      <w:r>
        <w:rPr>
          <w:w w:val="115"/>
        </w:rPr>
        <w:t>prolongado</w:t>
      </w:r>
      <w:r>
        <w:rPr>
          <w:spacing w:val="-33"/>
          <w:w w:val="115"/>
        </w:rPr>
        <w:t> </w:t>
      </w:r>
      <w:r>
        <w:rPr>
          <w:w w:val="115"/>
        </w:rPr>
        <w:t>atolladero</w:t>
      </w:r>
      <w:r>
        <w:rPr>
          <w:spacing w:val="-33"/>
          <w:w w:val="115"/>
        </w:rPr>
        <w:t> </w:t>
      </w:r>
      <w:r>
        <w:rPr>
          <w:w w:val="115"/>
        </w:rPr>
        <w:t>ético</w:t>
      </w:r>
      <w:r>
        <w:rPr>
          <w:spacing w:val="-33"/>
          <w:w w:val="115"/>
        </w:rPr>
        <w:t> </w:t>
      </w:r>
      <w:r>
        <w:rPr>
          <w:w w:val="115"/>
        </w:rPr>
        <w:t>y</w:t>
      </w:r>
      <w:r>
        <w:rPr>
          <w:spacing w:val="-33"/>
          <w:w w:val="115"/>
        </w:rPr>
        <w:t> </w:t>
      </w:r>
      <w:r>
        <w:rPr>
          <w:w w:val="115"/>
        </w:rPr>
        <w:t>estructural,</w:t>
      </w:r>
      <w:r>
        <w:rPr>
          <w:spacing w:val="-33"/>
          <w:w w:val="115"/>
        </w:rPr>
        <w:t> </w:t>
      </w:r>
      <w:r>
        <w:rPr>
          <w:w w:val="115"/>
        </w:rPr>
        <w:t>no sólo</w:t>
      </w:r>
      <w:r>
        <w:rPr>
          <w:spacing w:val="-13"/>
          <w:w w:val="115"/>
        </w:rPr>
        <w:t> </w:t>
      </w:r>
      <w:r>
        <w:rPr>
          <w:w w:val="115"/>
        </w:rPr>
        <w:t>ante</w:t>
      </w:r>
      <w:r>
        <w:rPr>
          <w:spacing w:val="-13"/>
          <w:w w:val="115"/>
        </w:rPr>
        <w:t> </w:t>
      </w:r>
      <w:r>
        <w:rPr>
          <w:w w:val="115"/>
        </w:rPr>
        <w:t>la</w:t>
      </w:r>
      <w:r>
        <w:rPr>
          <w:spacing w:val="-13"/>
          <w:w w:val="115"/>
        </w:rPr>
        <w:t> </w:t>
      </w:r>
      <w:r>
        <w:rPr>
          <w:w w:val="115"/>
        </w:rPr>
        <w:t>crisis</w:t>
      </w:r>
      <w:r>
        <w:rPr>
          <w:spacing w:val="-13"/>
          <w:w w:val="115"/>
        </w:rPr>
        <w:t> </w:t>
      </w:r>
      <w:r>
        <w:rPr>
          <w:w w:val="115"/>
        </w:rPr>
        <w:t>de</w:t>
      </w:r>
      <w:r>
        <w:rPr>
          <w:spacing w:val="-13"/>
          <w:w w:val="115"/>
        </w:rPr>
        <w:t> </w:t>
      </w:r>
      <w:r>
        <w:rPr>
          <w:w w:val="115"/>
        </w:rPr>
        <w:t>hegemonía</w:t>
      </w:r>
      <w:r>
        <w:rPr>
          <w:spacing w:val="-13"/>
          <w:w w:val="115"/>
        </w:rPr>
        <w:t> </w:t>
      </w:r>
      <w:r>
        <w:rPr>
          <w:spacing w:val="-3"/>
          <w:w w:val="115"/>
        </w:rPr>
        <w:t>exterior,</w:t>
      </w:r>
      <w:r>
        <w:rPr>
          <w:spacing w:val="-13"/>
          <w:w w:val="115"/>
        </w:rPr>
        <w:t> </w:t>
      </w:r>
      <w:r>
        <w:rPr>
          <w:w w:val="115"/>
        </w:rPr>
        <w:t>sino</w:t>
      </w:r>
      <w:r>
        <w:rPr>
          <w:spacing w:val="-13"/>
          <w:w w:val="115"/>
        </w:rPr>
        <w:t> </w:t>
      </w:r>
      <w:r>
        <w:rPr>
          <w:w w:val="115"/>
        </w:rPr>
        <w:t>principalmente</w:t>
      </w:r>
      <w:r>
        <w:rPr>
          <w:spacing w:val="-13"/>
          <w:w w:val="115"/>
        </w:rPr>
        <w:t> </w:t>
      </w:r>
      <w:r>
        <w:rPr>
          <w:w w:val="115"/>
        </w:rPr>
        <w:t>ante</w:t>
      </w:r>
      <w:r>
        <w:rPr>
          <w:spacing w:val="-13"/>
          <w:w w:val="115"/>
        </w:rPr>
        <w:t> </w:t>
      </w:r>
      <w:r>
        <w:rPr>
          <w:w w:val="115"/>
        </w:rPr>
        <w:t>la visión</w:t>
      </w:r>
      <w:r>
        <w:rPr>
          <w:spacing w:val="-25"/>
          <w:w w:val="115"/>
        </w:rPr>
        <w:t> </w:t>
      </w:r>
      <w:r>
        <w:rPr>
          <w:w w:val="115"/>
        </w:rPr>
        <w:t>de</w:t>
      </w:r>
      <w:r>
        <w:rPr>
          <w:spacing w:val="-25"/>
          <w:w w:val="115"/>
        </w:rPr>
        <w:t> </w:t>
      </w:r>
      <w:r>
        <w:rPr>
          <w:w w:val="115"/>
        </w:rPr>
        <w:t>su</w:t>
      </w:r>
      <w:r>
        <w:rPr>
          <w:spacing w:val="-25"/>
          <w:w w:val="115"/>
        </w:rPr>
        <w:t> </w:t>
      </w:r>
      <w:r>
        <w:rPr>
          <w:w w:val="115"/>
        </w:rPr>
        <w:t>propia</w:t>
      </w:r>
      <w:r>
        <w:rPr>
          <w:spacing w:val="-25"/>
          <w:w w:val="115"/>
        </w:rPr>
        <w:t> </w:t>
      </w:r>
      <w:r>
        <w:rPr>
          <w:w w:val="115"/>
        </w:rPr>
        <w:t>población,</w:t>
      </w:r>
      <w:r>
        <w:rPr>
          <w:spacing w:val="-25"/>
          <w:w w:val="115"/>
        </w:rPr>
        <w:t> </w:t>
      </w:r>
      <w:r>
        <w:rPr>
          <w:w w:val="115"/>
        </w:rPr>
        <w:t>por</w:t>
      </w:r>
      <w:r>
        <w:rPr>
          <w:spacing w:val="-25"/>
          <w:w w:val="115"/>
        </w:rPr>
        <w:t> </w:t>
      </w:r>
      <w:r>
        <w:rPr>
          <w:w w:val="115"/>
        </w:rPr>
        <w:t>su</w:t>
      </w:r>
      <w:r>
        <w:rPr>
          <w:spacing w:val="-25"/>
          <w:w w:val="115"/>
        </w:rPr>
        <w:t> </w:t>
      </w:r>
      <w:r>
        <w:rPr>
          <w:w w:val="115"/>
        </w:rPr>
        <w:t>incompatibilidad</w:t>
      </w:r>
      <w:r>
        <w:rPr>
          <w:spacing w:val="-25"/>
          <w:w w:val="115"/>
        </w:rPr>
        <w:t> </w:t>
      </w:r>
      <w:r>
        <w:rPr>
          <w:w w:val="115"/>
        </w:rPr>
        <w:t>con</w:t>
      </w:r>
      <w:r>
        <w:rPr>
          <w:spacing w:val="-25"/>
          <w:w w:val="115"/>
        </w:rPr>
        <w:t> </w:t>
      </w:r>
      <w:r>
        <w:rPr>
          <w:w w:val="115"/>
        </w:rPr>
        <w:t>un</w:t>
      </w:r>
      <w:r>
        <w:rPr>
          <w:spacing w:val="-25"/>
          <w:w w:val="115"/>
        </w:rPr>
        <w:t> </w:t>
      </w:r>
      <w:r>
        <w:rPr>
          <w:w w:val="115"/>
        </w:rPr>
        <w:t>proyec- to</w:t>
      </w:r>
      <w:r>
        <w:rPr>
          <w:spacing w:val="-12"/>
          <w:w w:val="115"/>
        </w:rPr>
        <w:t> </w:t>
      </w:r>
      <w:r>
        <w:rPr>
          <w:w w:val="115"/>
        </w:rPr>
        <w:t>societal</w:t>
      </w:r>
      <w:r>
        <w:rPr>
          <w:spacing w:val="-12"/>
          <w:w w:val="115"/>
        </w:rPr>
        <w:t> </w:t>
      </w:r>
      <w:r>
        <w:rPr>
          <w:w w:val="115"/>
        </w:rPr>
        <w:t>sostenible</w:t>
      </w:r>
      <w:r>
        <w:rPr>
          <w:spacing w:val="-12"/>
          <w:w w:val="115"/>
        </w:rPr>
        <w:t> </w:t>
      </w:r>
      <w:r>
        <w:rPr>
          <w:w w:val="115"/>
        </w:rPr>
        <w:t>a</w:t>
      </w:r>
      <w:r>
        <w:rPr>
          <w:spacing w:val="-12"/>
          <w:w w:val="115"/>
        </w:rPr>
        <w:t> </w:t>
      </w:r>
      <w:r>
        <w:rPr>
          <w:w w:val="115"/>
        </w:rPr>
        <w:t>futuro,</w:t>
      </w:r>
      <w:r>
        <w:rPr>
          <w:spacing w:val="-12"/>
          <w:w w:val="115"/>
        </w:rPr>
        <w:t> </w:t>
      </w:r>
      <w:r>
        <w:rPr>
          <w:w w:val="115"/>
        </w:rPr>
        <w:t>basado</w:t>
      </w:r>
      <w:r>
        <w:rPr>
          <w:spacing w:val="-12"/>
          <w:w w:val="115"/>
        </w:rPr>
        <w:t> </w:t>
      </w:r>
      <w:r>
        <w:rPr>
          <w:w w:val="115"/>
        </w:rPr>
        <w:t>en</w:t>
      </w:r>
      <w:r>
        <w:rPr>
          <w:spacing w:val="-12"/>
          <w:w w:val="115"/>
        </w:rPr>
        <w:t> </w:t>
      </w:r>
      <w:r>
        <w:rPr>
          <w:w w:val="115"/>
        </w:rPr>
        <w:t>el</w:t>
      </w:r>
      <w:r>
        <w:rPr>
          <w:spacing w:val="-12"/>
          <w:w w:val="115"/>
        </w:rPr>
        <w:t> </w:t>
      </w:r>
      <w:r>
        <w:rPr>
          <w:w w:val="115"/>
        </w:rPr>
        <w:t>conocimiento</w:t>
      </w:r>
      <w:r>
        <w:rPr>
          <w:spacing w:val="-12"/>
          <w:w w:val="115"/>
        </w:rPr>
        <w:t> </w:t>
      </w:r>
      <w:r>
        <w:rPr>
          <w:w w:val="115"/>
        </w:rPr>
        <w:t>y</w:t>
      </w:r>
      <w:r>
        <w:rPr>
          <w:spacing w:val="-12"/>
          <w:w w:val="115"/>
        </w:rPr>
        <w:t> </w:t>
      </w:r>
      <w:r>
        <w:rPr>
          <w:w w:val="115"/>
        </w:rPr>
        <w:t>centrado en</w:t>
      </w:r>
      <w:r>
        <w:rPr>
          <w:spacing w:val="-11"/>
          <w:w w:val="115"/>
        </w:rPr>
        <w:t> </w:t>
      </w:r>
      <w:r>
        <w:rPr>
          <w:w w:val="115"/>
        </w:rPr>
        <w:t>la</w:t>
      </w:r>
      <w:r>
        <w:rPr>
          <w:spacing w:val="-11"/>
          <w:w w:val="115"/>
        </w:rPr>
        <w:t> </w:t>
      </w:r>
      <w:r>
        <w:rPr>
          <w:w w:val="115"/>
        </w:rPr>
        <w:t>vida</w:t>
      </w:r>
      <w:r>
        <w:rPr>
          <w:spacing w:val="-11"/>
          <w:w w:val="115"/>
        </w:rPr>
        <w:t> </w:t>
      </w:r>
      <w:r>
        <w:rPr>
          <w:w w:val="115"/>
        </w:rPr>
        <w:t>de</w:t>
      </w:r>
      <w:r>
        <w:rPr>
          <w:spacing w:val="-11"/>
          <w:w w:val="115"/>
        </w:rPr>
        <w:t> </w:t>
      </w:r>
      <w:r>
        <w:rPr>
          <w:w w:val="115"/>
        </w:rPr>
        <w:t>la</w:t>
      </w:r>
      <w:r>
        <w:rPr>
          <w:spacing w:val="-11"/>
          <w:w w:val="115"/>
        </w:rPr>
        <w:t> </w:t>
      </w:r>
      <w:r>
        <w:rPr>
          <w:w w:val="115"/>
        </w:rPr>
        <w:t>nación</w:t>
      </w:r>
      <w:r>
        <w:rPr>
          <w:spacing w:val="-11"/>
          <w:w w:val="115"/>
        </w:rPr>
        <w:t> </w:t>
      </w:r>
      <w:r>
        <w:rPr>
          <w:w w:val="115"/>
        </w:rPr>
        <w:t>y</w:t>
      </w:r>
      <w:r>
        <w:rPr>
          <w:spacing w:val="-11"/>
          <w:w w:val="115"/>
        </w:rPr>
        <w:t> </w:t>
      </w:r>
      <w:r>
        <w:rPr>
          <w:w w:val="115"/>
        </w:rPr>
        <w:t>de</w:t>
      </w:r>
      <w:r>
        <w:rPr>
          <w:spacing w:val="-11"/>
          <w:w w:val="115"/>
        </w:rPr>
        <w:t> </w:t>
      </w:r>
      <w:r>
        <w:rPr>
          <w:w w:val="115"/>
        </w:rPr>
        <w:t>la</w:t>
      </w:r>
      <w:r>
        <w:rPr>
          <w:spacing w:val="-11"/>
          <w:w w:val="115"/>
        </w:rPr>
        <w:t> </w:t>
      </w:r>
      <w:r>
        <w:rPr>
          <w:w w:val="115"/>
        </w:rPr>
        <w:t>humanidad,</w:t>
      </w:r>
      <w:r>
        <w:rPr>
          <w:spacing w:val="-11"/>
          <w:w w:val="115"/>
        </w:rPr>
        <w:t> </w:t>
      </w:r>
      <w:r>
        <w:rPr>
          <w:w w:val="115"/>
        </w:rPr>
        <w:t>en</w:t>
      </w:r>
      <w:r>
        <w:rPr>
          <w:spacing w:val="-11"/>
          <w:w w:val="115"/>
        </w:rPr>
        <w:t> </w:t>
      </w:r>
      <w:r>
        <w:rPr>
          <w:w w:val="115"/>
        </w:rPr>
        <w:t>interacción</w:t>
      </w:r>
      <w:r>
        <w:rPr>
          <w:spacing w:val="-11"/>
          <w:w w:val="115"/>
        </w:rPr>
        <w:t> </w:t>
      </w:r>
      <w:r>
        <w:rPr>
          <w:w w:val="115"/>
        </w:rPr>
        <w:t>recíproca.</w:t>
      </w:r>
    </w:p>
    <w:p>
      <w:pPr>
        <w:pStyle w:val="BodyText"/>
        <w:spacing w:line="252" w:lineRule="auto"/>
        <w:ind w:left="100" w:right="328" w:firstLine="396"/>
        <w:jc w:val="both"/>
      </w:pPr>
      <w:r>
        <w:rPr>
          <w:w w:val="110"/>
        </w:rPr>
        <w:t>Por primera vez en una campaña electoral norteamericana, el candidato barack obama traería al debate temas científicos de tal trascendencia estratégica y enunciaría una agenda específica al res- pecto (Nature, 2008).</w:t>
      </w:r>
    </w:p>
    <w:p>
      <w:pPr>
        <w:pStyle w:val="BodyText"/>
        <w:spacing w:line="252" w:lineRule="auto"/>
        <w:ind w:left="100" w:right="328" w:firstLine="396"/>
        <w:jc w:val="both"/>
      </w:pPr>
      <w:r>
        <w:rPr>
          <w:w w:val="110"/>
        </w:rPr>
        <w:t>En un trabajo anterior (Grobart, 2009: 139) se expresaría la hipó- tesis de pronóstico que –dado el advenimiento de la crisis financiera– con independencia de las prioridades que proclamara el presidente que resultara electo en pos del rescate de la hegemonía, la compe- titividad y el ciclo reproductivo norteamericanos, mediante decisio- nes e inversiones en ciencia, tecnología e innovación, toda esperanza al respecto resultaría minimizada si no totalmente frustrada tras el controvertido billónico desembolso para el </w:t>
      </w:r>
      <w:r>
        <w:rPr>
          <w:i/>
          <w:w w:val="110"/>
        </w:rPr>
        <w:t>rescate </w:t>
      </w:r>
      <w:r>
        <w:rPr>
          <w:w w:val="110"/>
        </w:rPr>
        <w:t>de la gran banca privada y la industria automovilística, simultáneos al descalabro in- fraestructural, energético-ambiental, social (empleo, educación, salud y alojamiento, entre otros) y la consecuente disgregación de la “clase media”, heredados de la administración de George W.     bush.</w:t>
      </w:r>
    </w:p>
    <w:p>
      <w:pPr>
        <w:pStyle w:val="BodyText"/>
        <w:spacing w:line="252" w:lineRule="auto"/>
        <w:ind w:left="100" w:right="328" w:firstLine="454"/>
        <w:jc w:val="both"/>
      </w:pPr>
      <w:r>
        <w:rPr>
          <w:w w:val="243"/>
        </w:rPr>
        <w:t>l</w:t>
      </w:r>
      <w:r>
        <w:rPr>
          <w:w w:val="112"/>
        </w:rPr>
        <w:t>a</w:t>
      </w:r>
      <w:r>
        <w:rPr/>
        <w:t> </w:t>
      </w:r>
      <w:r>
        <w:rPr>
          <w:w w:val="111"/>
        </w:rPr>
        <w:t>capacidad</w:t>
      </w:r>
      <w:r>
        <w:rPr/>
        <w:t> </w:t>
      </w:r>
      <w:r>
        <w:rPr>
          <w:w w:val="109"/>
        </w:rPr>
        <w:t>innovadora</w:t>
      </w:r>
      <w:r>
        <w:rPr/>
        <w:t> </w:t>
      </w:r>
      <w:r>
        <w:rPr>
          <w:w w:val="107"/>
        </w:rPr>
        <w:t>del</w:t>
      </w:r>
      <w:r>
        <w:rPr/>
        <w:t> </w:t>
      </w:r>
      <w:r>
        <w:rPr>
          <w:w w:val="111"/>
        </w:rPr>
        <w:t>candidato</w:t>
      </w:r>
      <w:r>
        <w:rPr/>
        <w:t> </w:t>
      </w:r>
      <w:r>
        <w:rPr>
          <w:w w:val="149"/>
        </w:rPr>
        <w:t>o</w:t>
      </w:r>
      <w:r>
        <w:rPr>
          <w:w w:val="112"/>
        </w:rPr>
        <w:t>bama</w:t>
      </w:r>
      <w:r>
        <w:rPr/>
        <w:t> </w:t>
      </w:r>
      <w:r>
        <w:rPr>
          <w:w w:val="109"/>
        </w:rPr>
        <w:t>para</w:t>
      </w:r>
      <w:r>
        <w:rPr/>
        <w:t> </w:t>
      </w:r>
      <w:r>
        <w:rPr>
          <w:w w:val="108"/>
        </w:rPr>
        <w:t>integrar</w:t>
      </w:r>
      <w:r>
        <w:rPr/>
        <w:t> </w:t>
      </w:r>
      <w:r>
        <w:rPr>
          <w:w w:val="108"/>
        </w:rPr>
        <w:t>en </w:t>
      </w:r>
      <w:r>
        <w:rPr>
          <w:w w:val="115"/>
        </w:rPr>
        <w:t>su primera campaña electoral las funciones políticas, sociológicas, </w:t>
      </w:r>
      <w:r>
        <w:rPr>
          <w:w w:val="110"/>
        </w:rPr>
        <w:t>económicas y de informatización –hasta entonces independientes– en</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un sistema único, le proporcionaría ventajas para llegar a conocer las demandas de amplios estratos sociales hasta niveles grupales a lo </w:t>
      </w:r>
      <w:r>
        <w:rPr>
          <w:spacing w:val="-4"/>
          <w:w w:val="110"/>
        </w:rPr>
        <w:t>lar- </w:t>
      </w:r>
      <w:r>
        <w:rPr>
          <w:w w:val="110"/>
        </w:rPr>
        <w:t>go y ancho de todo el país (</w:t>
      </w:r>
      <w:r>
        <w:rPr>
          <w:i/>
          <w:w w:val="110"/>
        </w:rPr>
        <w:t>Clubs de amigos de obama</w:t>
      </w:r>
      <w:r>
        <w:rPr>
          <w:w w:val="110"/>
        </w:rPr>
        <w:t>) y –mediante el uso eficaz de internet– afinar con éstos diálogos específicos que </w:t>
      </w:r>
      <w:r>
        <w:rPr>
          <w:i/>
          <w:w w:val="110"/>
        </w:rPr>
        <w:t>favo- </w:t>
      </w:r>
      <w:r>
        <w:rPr>
          <w:i/>
          <w:w w:val="110"/>
        </w:rPr>
        <w:t>recieran </w:t>
      </w:r>
      <w:r>
        <w:rPr>
          <w:w w:val="110"/>
        </w:rPr>
        <w:t>a los intereses de cada cual, lograría no sólo la ampliación del electorado, sino también un sustancial apoyo financiero a la campaña. Ello le permitió no solo vencer a sus adversarios en sus propios terri- torios sino también superar el </w:t>
      </w:r>
      <w:r>
        <w:rPr>
          <w:i/>
          <w:w w:val="110"/>
        </w:rPr>
        <w:t>handicap </w:t>
      </w:r>
      <w:r>
        <w:rPr>
          <w:w w:val="110"/>
        </w:rPr>
        <w:t>que su figura presuponía en la sociedad norteamericana. El rotundo éxito en la batalla electoral haría pensar a muchos que acometería su administración con esta misma tecnología y tenacidad, en función del discurso de  </w:t>
      </w:r>
      <w:r>
        <w:rPr>
          <w:spacing w:val="43"/>
          <w:w w:val="110"/>
        </w:rPr>
        <w:t> </w:t>
      </w:r>
      <w:r>
        <w:rPr>
          <w:w w:val="110"/>
        </w:rPr>
        <w:t>cambio.</w:t>
      </w:r>
    </w:p>
    <w:p>
      <w:pPr>
        <w:pStyle w:val="BodyText"/>
        <w:spacing w:line="252" w:lineRule="auto"/>
        <w:ind w:left="330" w:right="117" w:firstLine="396"/>
        <w:jc w:val="both"/>
      </w:pPr>
      <w:r>
        <w:rPr>
          <w:w w:val="111"/>
        </w:rPr>
        <w:t>¿Podría</w:t>
      </w:r>
      <w:r>
        <w:rPr/>
        <w:t> </w:t>
      </w:r>
      <w:r>
        <w:rPr>
          <w:spacing w:val="-13"/>
        </w:rPr>
        <w:t> </w:t>
      </w:r>
      <w:r>
        <w:rPr>
          <w:w w:val="110"/>
        </w:rPr>
        <w:t>lograrlo?</w:t>
      </w:r>
      <w:r>
        <w:rPr/>
        <w:t> </w:t>
      </w:r>
      <w:r>
        <w:rPr>
          <w:spacing w:val="-13"/>
        </w:rPr>
        <w:t> </w:t>
      </w:r>
      <w:r>
        <w:rPr>
          <w:w w:val="243"/>
        </w:rPr>
        <w:t>l</w:t>
      </w:r>
      <w:r>
        <w:rPr>
          <w:w w:val="109"/>
        </w:rPr>
        <w:t>as</w:t>
      </w:r>
      <w:r>
        <w:rPr/>
        <w:t> </w:t>
      </w:r>
      <w:r>
        <w:rPr>
          <w:spacing w:val="-13"/>
        </w:rPr>
        <w:t> </w:t>
      </w:r>
      <w:r>
        <w:rPr>
          <w:w w:val="111"/>
        </w:rPr>
        <w:t>condiciones</w:t>
      </w:r>
      <w:r>
        <w:rPr/>
        <w:t> </w:t>
      </w:r>
      <w:r>
        <w:rPr>
          <w:spacing w:val="-13"/>
        </w:rPr>
        <w:t> </w:t>
      </w:r>
      <w:r>
        <w:rPr>
          <w:w w:val="109"/>
        </w:rPr>
        <w:t>heredadas,</w:t>
      </w:r>
      <w:r>
        <w:rPr/>
        <w:t> </w:t>
      </w:r>
      <w:r>
        <w:rPr>
          <w:spacing w:val="-13"/>
        </w:rPr>
        <w:t> </w:t>
      </w:r>
      <w:r>
        <w:rPr>
          <w:w w:val="108"/>
        </w:rPr>
        <w:t>objetivamente</w:t>
      </w:r>
      <w:r>
        <w:rPr/>
        <w:t> </w:t>
      </w:r>
      <w:r>
        <w:rPr>
          <w:spacing w:val="-13"/>
        </w:rPr>
        <w:t> </w:t>
      </w:r>
      <w:r>
        <w:rPr>
          <w:w w:val="110"/>
        </w:rPr>
        <w:t>a</w:t>
      </w:r>
      <w:r>
        <w:rPr>
          <w:spacing w:val="-1"/>
          <w:w w:val="110"/>
        </w:rPr>
        <w:t>d</w:t>
      </w:r>
      <w:r>
        <w:rPr>
          <w:w w:val="102"/>
        </w:rPr>
        <w:t>- </w:t>
      </w:r>
      <w:r>
        <w:rPr>
          <w:w w:val="110"/>
        </w:rPr>
        <w:t>versas (barack obama, 2011), y su tangencial toma de partida priori- taria a favor de los intereses coyunturales del gran capital corporativo (CtN) y del Complejo Militar industrial (CMi) –en lo cual demócratas   y republicanos coincidirían históricamente– determinarían el cauce real de su política, transitando en cada caso desde una proclamati-    va función al cambio, a la suave retirada –tras las votaciones en un Congreso con insuficiente composición a su favor– y los consecuen- tes compromisos retóricos de “más de lo mismo”. Esa inconsecuen- cia entre agenda y realidad conduciría a la reducción de su índice de popularidad, que –tras seis años de presidencia– culminaría con un </w:t>
      </w:r>
      <w:r>
        <w:rPr>
          <w:w w:val="110"/>
        </w:rPr>
        <w:t>abrumador</w:t>
      </w:r>
      <w:r>
        <w:rPr>
          <w:spacing w:val="19"/>
        </w:rPr>
        <w:t> </w:t>
      </w:r>
      <w:r>
        <w:rPr>
          <w:w w:val="107"/>
        </w:rPr>
        <w:t>voto</w:t>
      </w:r>
      <w:r>
        <w:rPr>
          <w:spacing w:val="19"/>
        </w:rPr>
        <w:t> </w:t>
      </w:r>
      <w:r>
        <w:rPr>
          <w:w w:val="107"/>
        </w:rPr>
        <w:t>de</w:t>
      </w:r>
      <w:r>
        <w:rPr>
          <w:spacing w:val="19"/>
        </w:rPr>
        <w:t> </w:t>
      </w:r>
      <w:r>
        <w:rPr>
          <w:w w:val="112"/>
        </w:rPr>
        <w:t>castigo,</w:t>
      </w:r>
      <w:r>
        <w:rPr>
          <w:spacing w:val="19"/>
        </w:rPr>
        <w:t> </w:t>
      </w:r>
      <w:r>
        <w:rPr>
          <w:w w:val="108"/>
        </w:rPr>
        <w:t>en</w:t>
      </w:r>
      <w:r>
        <w:rPr>
          <w:spacing w:val="19"/>
        </w:rPr>
        <w:t> </w:t>
      </w:r>
      <w:r>
        <w:rPr>
          <w:w w:val="111"/>
        </w:rPr>
        <w:t>ambas</w:t>
      </w:r>
      <w:r>
        <w:rPr>
          <w:spacing w:val="19"/>
        </w:rPr>
        <w:t> </w:t>
      </w:r>
      <w:r>
        <w:rPr>
          <w:w w:val="111"/>
        </w:rPr>
        <w:t>cámaras</w:t>
      </w:r>
      <w:r>
        <w:rPr>
          <w:spacing w:val="19"/>
        </w:rPr>
        <w:t> </w:t>
      </w:r>
      <w:r>
        <w:rPr>
          <w:w w:val="107"/>
        </w:rPr>
        <w:t>del</w:t>
      </w:r>
      <w:r>
        <w:rPr>
          <w:spacing w:val="19"/>
        </w:rPr>
        <w:t> </w:t>
      </w:r>
      <w:r>
        <w:rPr>
          <w:w w:val="243"/>
        </w:rPr>
        <w:t>l</w:t>
      </w:r>
      <w:r>
        <w:rPr>
          <w:w w:val="110"/>
        </w:rPr>
        <w:t>egislativo,</w:t>
      </w:r>
      <w:r>
        <w:rPr>
          <w:spacing w:val="19"/>
        </w:rPr>
        <w:t> </w:t>
      </w:r>
      <w:r>
        <w:rPr>
          <w:w w:val="108"/>
        </w:rPr>
        <w:t>en</w:t>
      </w:r>
      <w:r>
        <w:rPr>
          <w:spacing w:val="19"/>
        </w:rPr>
        <w:t> </w:t>
      </w:r>
      <w:r>
        <w:rPr>
          <w:w w:val="109"/>
        </w:rPr>
        <w:t>las </w:t>
      </w:r>
      <w:r>
        <w:rPr>
          <w:w w:val="110"/>
        </w:rPr>
        <w:t>elecciones intermedias estaduales del 4 de noviembre de</w:t>
      </w:r>
      <w:r>
        <w:rPr>
          <w:spacing w:val="-13"/>
          <w:w w:val="110"/>
        </w:rPr>
        <w:t> </w:t>
      </w:r>
      <w:r>
        <w:rPr>
          <w:w w:val="110"/>
        </w:rPr>
        <w:t>2014.</w:t>
      </w:r>
    </w:p>
    <w:p>
      <w:pPr>
        <w:pStyle w:val="BodyText"/>
        <w:spacing w:line="252" w:lineRule="auto"/>
        <w:ind w:left="330" w:right="118" w:firstLine="396"/>
        <w:jc w:val="both"/>
      </w:pPr>
      <w:r>
        <w:rPr>
          <w:w w:val="110"/>
        </w:rPr>
        <w:t>El presente análisis ilustra la tesis expresada en materia de políti- ca</w:t>
      </w:r>
      <w:r>
        <w:rPr>
          <w:spacing w:val="-9"/>
          <w:w w:val="110"/>
        </w:rPr>
        <w:t> </w:t>
      </w:r>
      <w:r>
        <w:rPr>
          <w:w w:val="110"/>
        </w:rPr>
        <w:t>científico-tecnológica</w:t>
      </w:r>
      <w:r>
        <w:rPr>
          <w:spacing w:val="-9"/>
          <w:w w:val="110"/>
        </w:rPr>
        <w:t> </w:t>
      </w:r>
      <w:r>
        <w:rPr>
          <w:w w:val="110"/>
        </w:rPr>
        <w:t>para</w:t>
      </w:r>
      <w:r>
        <w:rPr>
          <w:spacing w:val="-9"/>
          <w:w w:val="110"/>
        </w:rPr>
        <w:t> </w:t>
      </w:r>
      <w:r>
        <w:rPr>
          <w:w w:val="110"/>
        </w:rPr>
        <w:t>sectores</w:t>
      </w:r>
      <w:r>
        <w:rPr>
          <w:spacing w:val="-9"/>
          <w:w w:val="110"/>
        </w:rPr>
        <w:t> </w:t>
      </w:r>
      <w:r>
        <w:rPr>
          <w:w w:val="110"/>
        </w:rPr>
        <w:t>prioritarios</w:t>
      </w:r>
      <w:r>
        <w:rPr>
          <w:spacing w:val="-9"/>
          <w:w w:val="110"/>
        </w:rPr>
        <w:t> </w:t>
      </w:r>
      <w:r>
        <w:rPr>
          <w:w w:val="110"/>
        </w:rPr>
        <w:t>y/o</w:t>
      </w:r>
      <w:r>
        <w:rPr>
          <w:spacing w:val="-9"/>
          <w:w w:val="110"/>
        </w:rPr>
        <w:t> </w:t>
      </w:r>
      <w:r>
        <w:rPr>
          <w:w w:val="110"/>
        </w:rPr>
        <w:t>vanguardistas</w:t>
      </w:r>
      <w:r>
        <w:rPr>
          <w:spacing w:val="-9"/>
          <w:w w:val="110"/>
        </w:rPr>
        <w:t> </w:t>
      </w:r>
      <w:r>
        <w:rPr>
          <w:w w:val="110"/>
        </w:rPr>
        <w:t>y su inconsistencia a futuro de cara al “sueño  </w:t>
      </w:r>
      <w:r>
        <w:rPr>
          <w:spacing w:val="19"/>
          <w:w w:val="110"/>
        </w:rPr>
        <w:t> </w:t>
      </w:r>
      <w:r>
        <w:rPr>
          <w:w w:val="110"/>
        </w:rPr>
        <w:t>americano”.</w:t>
      </w:r>
    </w:p>
    <w:p>
      <w:pPr>
        <w:pStyle w:val="BodyText"/>
        <w:spacing w:before="11"/>
      </w:pPr>
    </w:p>
    <w:p>
      <w:pPr>
        <w:pStyle w:val="BodyText"/>
        <w:spacing w:line="252" w:lineRule="auto"/>
        <w:ind w:left="330" w:right="118"/>
        <w:jc w:val="both"/>
      </w:pPr>
      <w:r>
        <w:rPr>
          <w:i/>
          <w:w w:val="110"/>
        </w:rPr>
        <w:t>Educación, capital humano. </w:t>
      </w:r>
      <w:r>
        <w:rPr>
          <w:w w:val="110"/>
        </w:rPr>
        <w:t>un componente básico del llamado “sue- ño americano” sería el acceso igualitario a la educación, como garan- tía de la movilidad social y económica del ciudadano a   futuro.</w:t>
      </w:r>
    </w:p>
    <w:p>
      <w:pPr>
        <w:pStyle w:val="BodyText"/>
        <w:spacing w:line="252" w:lineRule="auto"/>
        <w:ind w:left="330" w:right="116" w:firstLine="396"/>
        <w:jc w:val="both"/>
        <w:rPr>
          <w:i/>
        </w:rPr>
      </w:pPr>
      <w:r>
        <w:rPr>
          <w:spacing w:val="-9"/>
          <w:w w:val="115"/>
        </w:rPr>
        <w:t>Ya </w:t>
      </w:r>
      <w:r>
        <w:rPr>
          <w:w w:val="115"/>
        </w:rPr>
        <w:t>en la segunda mitad del siglo </w:t>
      </w:r>
      <w:r>
        <w:rPr>
          <w:w w:val="130"/>
        </w:rPr>
        <w:t>xix </w:t>
      </w:r>
      <w:r>
        <w:rPr>
          <w:w w:val="115"/>
        </w:rPr>
        <w:t>–ante la llegada de mi- llones de inmigrantes y la demanda de fuerza laboral adiestrada e instruida, de cara al surgimiento impetuoso de la mayor potencia agrícola e industrial del planeta– por designio público, en algunos estados se proveía acceso gratuito a la escuela primaria para la</w:t>
      </w:r>
      <w:r>
        <w:rPr>
          <w:spacing w:val="-24"/>
          <w:w w:val="115"/>
        </w:rPr>
        <w:t> </w:t>
      </w:r>
      <w:r>
        <w:rPr>
          <w:w w:val="115"/>
        </w:rPr>
        <w:t>ma- yoría</w:t>
      </w:r>
      <w:r>
        <w:rPr>
          <w:spacing w:val="-9"/>
          <w:w w:val="115"/>
        </w:rPr>
        <w:t> </w:t>
      </w:r>
      <w:r>
        <w:rPr>
          <w:w w:val="115"/>
        </w:rPr>
        <w:t>de</w:t>
      </w:r>
      <w:r>
        <w:rPr>
          <w:spacing w:val="-9"/>
          <w:w w:val="115"/>
        </w:rPr>
        <w:t> </w:t>
      </w:r>
      <w:r>
        <w:rPr>
          <w:w w:val="115"/>
        </w:rPr>
        <w:t>niños</w:t>
      </w:r>
      <w:r>
        <w:rPr>
          <w:spacing w:val="-9"/>
          <w:w w:val="115"/>
        </w:rPr>
        <w:t> </w:t>
      </w:r>
      <w:r>
        <w:rPr>
          <w:w w:val="115"/>
        </w:rPr>
        <w:t>(blancos),</w:t>
      </w:r>
      <w:r>
        <w:rPr>
          <w:spacing w:val="-9"/>
          <w:w w:val="115"/>
        </w:rPr>
        <w:t> </w:t>
      </w:r>
      <w:r>
        <w:rPr>
          <w:w w:val="115"/>
        </w:rPr>
        <w:t>surgirían</w:t>
      </w:r>
      <w:r>
        <w:rPr>
          <w:spacing w:val="-9"/>
          <w:w w:val="115"/>
        </w:rPr>
        <w:t> </w:t>
      </w:r>
      <w:r>
        <w:rPr>
          <w:w w:val="115"/>
        </w:rPr>
        <w:t>instituciones</w:t>
      </w:r>
      <w:r>
        <w:rPr>
          <w:spacing w:val="-9"/>
          <w:w w:val="115"/>
        </w:rPr>
        <w:t> </w:t>
      </w:r>
      <w:r>
        <w:rPr>
          <w:w w:val="115"/>
        </w:rPr>
        <w:t>de</w:t>
      </w:r>
      <w:r>
        <w:rPr>
          <w:spacing w:val="-9"/>
          <w:w w:val="115"/>
        </w:rPr>
        <w:t> </w:t>
      </w:r>
      <w:r>
        <w:rPr>
          <w:w w:val="115"/>
        </w:rPr>
        <w:t>formación</w:t>
      </w:r>
      <w:r>
        <w:rPr>
          <w:spacing w:val="-9"/>
          <w:w w:val="115"/>
        </w:rPr>
        <w:t> </w:t>
      </w:r>
      <w:r>
        <w:rPr>
          <w:w w:val="115"/>
        </w:rPr>
        <w:t>técni- co-profesional </w:t>
      </w:r>
      <w:r>
        <w:rPr>
          <w:spacing w:val="-11"/>
          <w:w w:val="115"/>
        </w:rPr>
        <w:t>y, </w:t>
      </w:r>
      <w:r>
        <w:rPr>
          <w:w w:val="115"/>
        </w:rPr>
        <w:t>paulatinamente, un sistema general de educación secundaria, además de universidades e instituciones científicas. Ello garantizaría que cada generación posterior tuviera una com- posición educacional superior, en cada uno de los niveles, que las generaciones anteriores. de esta manera, a lo largo de casi un siglo y medio, la fuerza laboral norteamericana (</w:t>
      </w:r>
      <w:r>
        <w:rPr>
          <w:i/>
          <w:w w:val="115"/>
        </w:rPr>
        <w:t>cuellos azules </w:t>
      </w:r>
      <w:r>
        <w:rPr>
          <w:w w:val="115"/>
        </w:rPr>
        <w:t>y   </w:t>
      </w:r>
      <w:r>
        <w:rPr>
          <w:spacing w:val="7"/>
          <w:w w:val="115"/>
        </w:rPr>
        <w:t> </w:t>
      </w:r>
      <w:r>
        <w:rPr>
          <w:i/>
          <w:w w:val="115"/>
        </w:rPr>
        <w:t>cuellos</w:t>
      </w:r>
    </w:p>
    <w:p>
      <w:pPr>
        <w:spacing w:after="0" w:line="252" w:lineRule="auto"/>
        <w:jc w:val="both"/>
        <w:sectPr>
          <w:pgSz w:w="8790" w:h="12760"/>
          <w:pgMar w:header="697" w:footer="725" w:top="880" w:bottom="920" w:left="1200" w:right="900"/>
        </w:sectPr>
      </w:pPr>
    </w:p>
    <w:p>
      <w:pPr>
        <w:pStyle w:val="BodyText"/>
        <w:spacing w:before="9"/>
        <w:rPr>
          <w:i/>
          <w:sz w:val="28"/>
        </w:rPr>
      </w:pPr>
    </w:p>
    <w:p>
      <w:pPr>
        <w:pStyle w:val="BodyText"/>
        <w:spacing w:line="252" w:lineRule="auto" w:before="73"/>
        <w:ind w:left="120" w:right="327"/>
        <w:jc w:val="both"/>
      </w:pPr>
      <w:r>
        <w:rPr>
          <w:i/>
          <w:w w:val="110"/>
        </w:rPr>
        <w:t>blancos</w:t>
      </w:r>
      <w:r>
        <w:rPr>
          <w:w w:val="110"/>
        </w:rPr>
        <w:t>) se situaría, por su nivel educativo/profesional y académico, cuantitativa y cualitativamente en la cumbre planetaria. Ello redun- daría bi-unívocamente en su reconocida y  prodigiosa  productivi-  dad,  creatividad  y  capacidad</w:t>
      </w:r>
      <w:r>
        <w:rPr>
          <w:spacing w:val="30"/>
          <w:w w:val="110"/>
        </w:rPr>
        <w:t> </w:t>
      </w:r>
      <w:r>
        <w:rPr>
          <w:w w:val="110"/>
        </w:rPr>
        <w:t>innovadora</w:t>
      </w:r>
      <w:r>
        <w:rPr>
          <w:w w:val="110"/>
          <w:position w:val="7"/>
          <w:sz w:val="11"/>
        </w:rPr>
        <w:t>2</w:t>
      </w:r>
      <w:r>
        <w:rPr>
          <w:w w:val="110"/>
        </w:rPr>
        <w:t>.</w:t>
      </w:r>
    </w:p>
    <w:p>
      <w:pPr>
        <w:pStyle w:val="BodyText"/>
        <w:spacing w:line="252" w:lineRule="auto"/>
        <w:ind w:left="120" w:right="328" w:firstLine="396"/>
        <w:jc w:val="both"/>
      </w:pPr>
      <w:r>
        <w:rPr>
          <w:w w:val="110"/>
        </w:rPr>
        <w:t>sin embargo, a partir de los años setenta del siglo </w:t>
      </w:r>
      <w:r>
        <w:rPr>
          <w:w w:val="125"/>
        </w:rPr>
        <w:t>xx, </w:t>
      </w:r>
      <w:r>
        <w:rPr>
          <w:w w:val="110"/>
        </w:rPr>
        <w:t>aparecería una súbita inflexión: se invertirían los términos respecto a generacio- nes anteriores y posteriores. su sostenida tendencia a la baja y conse- cuencias respecto al relevo generacional de personal cualificado,</w:t>
      </w:r>
      <w:r>
        <w:rPr>
          <w:spacing w:val="-26"/>
          <w:w w:val="110"/>
        </w:rPr>
        <w:t> </w:t>
      </w:r>
      <w:r>
        <w:rPr>
          <w:w w:val="110"/>
        </w:rPr>
        <w:t>tanto en la producción y los servicios como en las instituciones universita- rias y de investigación/desarrollo, se harían sentir sensiblemente al acaecer la crisis sistémico-estructural de inicios de </w:t>
      </w:r>
      <w:r>
        <w:rPr>
          <w:spacing w:val="23"/>
          <w:w w:val="110"/>
        </w:rPr>
        <w:t> </w:t>
      </w:r>
      <w:r>
        <w:rPr>
          <w:w w:val="110"/>
        </w:rPr>
        <w:t>milenio.</w:t>
      </w:r>
    </w:p>
    <w:p>
      <w:pPr>
        <w:pStyle w:val="BodyText"/>
        <w:spacing w:line="252" w:lineRule="auto"/>
        <w:ind w:left="120" w:right="328" w:firstLine="396"/>
        <w:jc w:val="both"/>
      </w:pPr>
      <w:r>
        <w:rPr>
          <w:w w:val="115"/>
        </w:rPr>
        <w:t>así, en el año 2000 EE.uu. ocuparía el segundo lugar entre los países con mayor población poseedora de diplomas universitarios. </w:t>
      </w:r>
      <w:r>
        <w:rPr>
          <w:spacing w:val="-5"/>
          <w:w w:val="115"/>
        </w:rPr>
        <w:t>tras</w:t>
      </w:r>
      <w:r>
        <w:rPr>
          <w:spacing w:val="-12"/>
          <w:w w:val="115"/>
        </w:rPr>
        <w:t> </w:t>
      </w:r>
      <w:r>
        <w:rPr>
          <w:w w:val="115"/>
        </w:rPr>
        <w:t>la</w:t>
      </w:r>
      <w:r>
        <w:rPr>
          <w:spacing w:val="-12"/>
          <w:w w:val="115"/>
        </w:rPr>
        <w:t> </w:t>
      </w:r>
      <w:r>
        <w:rPr>
          <w:w w:val="115"/>
        </w:rPr>
        <w:t>presidencia</w:t>
      </w:r>
      <w:r>
        <w:rPr>
          <w:spacing w:val="-12"/>
          <w:w w:val="115"/>
        </w:rPr>
        <w:t> </w:t>
      </w:r>
      <w:r>
        <w:rPr>
          <w:w w:val="115"/>
        </w:rPr>
        <w:t>de</w:t>
      </w:r>
      <w:r>
        <w:rPr>
          <w:spacing w:val="-12"/>
          <w:w w:val="115"/>
        </w:rPr>
        <w:t> </w:t>
      </w:r>
      <w:r>
        <w:rPr>
          <w:w w:val="115"/>
        </w:rPr>
        <w:t>G.</w:t>
      </w:r>
      <w:r>
        <w:rPr>
          <w:spacing w:val="-12"/>
          <w:w w:val="115"/>
        </w:rPr>
        <w:t> </w:t>
      </w:r>
      <w:r>
        <w:rPr>
          <w:spacing w:val="-11"/>
          <w:w w:val="115"/>
        </w:rPr>
        <w:t>W.</w:t>
      </w:r>
      <w:r>
        <w:rPr>
          <w:spacing w:val="-12"/>
          <w:w w:val="115"/>
        </w:rPr>
        <w:t> </w:t>
      </w:r>
      <w:r>
        <w:rPr>
          <w:w w:val="115"/>
        </w:rPr>
        <w:t>bush</w:t>
      </w:r>
      <w:r>
        <w:rPr>
          <w:spacing w:val="-12"/>
          <w:w w:val="115"/>
        </w:rPr>
        <w:t> </w:t>
      </w:r>
      <w:r>
        <w:rPr>
          <w:spacing w:val="-11"/>
          <w:w w:val="115"/>
        </w:rPr>
        <w:t>y,</w:t>
      </w:r>
      <w:r>
        <w:rPr>
          <w:spacing w:val="-12"/>
          <w:w w:val="115"/>
        </w:rPr>
        <w:t> </w:t>
      </w:r>
      <w:r>
        <w:rPr>
          <w:w w:val="115"/>
        </w:rPr>
        <w:t>durante</w:t>
      </w:r>
      <w:r>
        <w:rPr>
          <w:spacing w:val="-12"/>
          <w:w w:val="115"/>
        </w:rPr>
        <w:t> </w:t>
      </w:r>
      <w:r>
        <w:rPr>
          <w:w w:val="115"/>
        </w:rPr>
        <w:t>la</w:t>
      </w:r>
      <w:r>
        <w:rPr>
          <w:spacing w:val="-12"/>
          <w:w w:val="115"/>
        </w:rPr>
        <w:t> </w:t>
      </w:r>
      <w:r>
        <w:rPr>
          <w:w w:val="115"/>
        </w:rPr>
        <w:t>primera</w:t>
      </w:r>
      <w:r>
        <w:rPr>
          <w:spacing w:val="-12"/>
          <w:w w:val="115"/>
        </w:rPr>
        <w:t> </w:t>
      </w:r>
      <w:r>
        <w:rPr>
          <w:w w:val="115"/>
        </w:rPr>
        <w:t>presidencia</w:t>
      </w:r>
      <w:r>
        <w:rPr>
          <w:spacing w:val="-12"/>
          <w:w w:val="115"/>
        </w:rPr>
        <w:t> </w:t>
      </w:r>
      <w:r>
        <w:rPr>
          <w:w w:val="115"/>
        </w:rPr>
        <w:t>de obama, este bajaría a la quinta</w:t>
      </w:r>
      <w:r>
        <w:rPr>
          <w:spacing w:val="-31"/>
          <w:w w:val="115"/>
        </w:rPr>
        <w:t> </w:t>
      </w:r>
      <w:r>
        <w:rPr>
          <w:w w:val="115"/>
        </w:rPr>
        <w:t>posición.</w:t>
      </w:r>
    </w:p>
    <w:p>
      <w:pPr>
        <w:pStyle w:val="BodyText"/>
        <w:spacing w:line="252" w:lineRule="auto"/>
        <w:ind w:left="120" w:right="327" w:firstLine="396"/>
        <w:jc w:val="both"/>
      </w:pPr>
      <w:r>
        <w:rPr>
          <w:w w:val="243"/>
        </w:rPr>
        <w:t>l</w:t>
      </w:r>
      <w:r>
        <w:rPr>
          <w:w w:val="112"/>
        </w:rPr>
        <w:t>a</w:t>
      </w:r>
      <w:r>
        <w:rPr/>
        <w:t> </w:t>
      </w:r>
      <w:r>
        <w:rPr>
          <w:spacing w:val="-13"/>
        </w:rPr>
        <w:t> </w:t>
      </w:r>
      <w:r>
        <w:rPr>
          <w:w w:val="109"/>
        </w:rPr>
        <w:t>mayor</w:t>
      </w:r>
      <w:r>
        <w:rPr/>
        <w:t> </w:t>
      </w:r>
      <w:r>
        <w:rPr>
          <w:spacing w:val="-13"/>
        </w:rPr>
        <w:t> </w:t>
      </w:r>
      <w:r>
        <w:rPr>
          <w:w w:val="111"/>
        </w:rPr>
        <w:t>amenaza</w:t>
      </w:r>
      <w:r>
        <w:rPr/>
        <w:t> </w:t>
      </w:r>
      <w:r>
        <w:rPr>
          <w:spacing w:val="-13"/>
        </w:rPr>
        <w:t> </w:t>
      </w:r>
      <w:r>
        <w:rPr>
          <w:w w:val="108"/>
        </w:rPr>
        <w:t>que</w:t>
      </w:r>
      <w:r>
        <w:rPr/>
        <w:t> </w:t>
      </w:r>
      <w:r>
        <w:rPr>
          <w:spacing w:val="-13"/>
        </w:rPr>
        <w:t> </w:t>
      </w:r>
      <w:r>
        <w:rPr>
          <w:w w:val="105"/>
        </w:rPr>
        <w:t>se</w:t>
      </w:r>
      <w:r>
        <w:rPr/>
        <w:t> </w:t>
      </w:r>
      <w:r>
        <w:rPr>
          <w:spacing w:val="-13"/>
        </w:rPr>
        <w:t> </w:t>
      </w:r>
      <w:r>
        <w:rPr>
          <w:w w:val="109"/>
        </w:rPr>
        <w:t>cierne</w:t>
      </w:r>
      <w:r>
        <w:rPr/>
        <w:t> </w:t>
      </w:r>
      <w:r>
        <w:rPr>
          <w:spacing w:val="-13"/>
        </w:rPr>
        <w:t> </w:t>
      </w:r>
      <w:r>
        <w:rPr>
          <w:w w:val="107"/>
        </w:rPr>
        <w:t>sobre</w:t>
      </w:r>
      <w:r>
        <w:rPr/>
        <w:t> </w:t>
      </w:r>
      <w:r>
        <w:rPr>
          <w:spacing w:val="-13"/>
        </w:rPr>
        <w:t> </w:t>
      </w:r>
      <w:r>
        <w:rPr>
          <w:w w:val="107"/>
        </w:rPr>
        <w:t>el</w:t>
      </w:r>
      <w:r>
        <w:rPr/>
        <w:t> </w:t>
      </w:r>
      <w:r>
        <w:rPr>
          <w:spacing w:val="-13"/>
        </w:rPr>
        <w:t> </w:t>
      </w:r>
      <w:r>
        <w:rPr>
          <w:w w:val="110"/>
        </w:rPr>
        <w:t>país</w:t>
      </w:r>
      <w:r>
        <w:rPr/>
        <w:t> </w:t>
      </w:r>
      <w:r>
        <w:rPr>
          <w:spacing w:val="-13"/>
        </w:rPr>
        <w:t> </w:t>
      </w:r>
      <w:r>
        <w:rPr>
          <w:w w:val="105"/>
        </w:rPr>
        <w:t>es</w:t>
      </w:r>
      <w:r>
        <w:rPr/>
        <w:t> </w:t>
      </w:r>
      <w:r>
        <w:rPr>
          <w:spacing w:val="-13"/>
        </w:rPr>
        <w:t> </w:t>
      </w:r>
      <w:r>
        <w:rPr>
          <w:w w:val="111"/>
        </w:rPr>
        <w:t>la</w:t>
      </w:r>
      <w:r>
        <w:rPr/>
        <w:t> </w:t>
      </w:r>
      <w:r>
        <w:rPr>
          <w:spacing w:val="-13"/>
        </w:rPr>
        <w:t> </w:t>
      </w:r>
      <w:r>
        <w:rPr>
          <w:w w:val="110"/>
        </w:rPr>
        <w:t>brecha</w:t>
      </w:r>
      <w:r>
        <w:rPr/>
        <w:t> </w:t>
      </w:r>
      <w:r>
        <w:rPr>
          <w:spacing w:val="-13"/>
        </w:rPr>
        <w:t> </w:t>
      </w:r>
      <w:r>
        <w:rPr>
          <w:w w:val="108"/>
        </w:rPr>
        <w:t>cr</w:t>
      </w:r>
      <w:r>
        <w:rPr>
          <w:spacing w:val="-1"/>
          <w:w w:val="108"/>
        </w:rPr>
        <w:t>e</w:t>
      </w:r>
      <w:r>
        <w:rPr>
          <w:w w:val="102"/>
        </w:rPr>
        <w:t>- </w:t>
      </w:r>
      <w:r>
        <w:rPr>
          <w:w w:val="110"/>
        </w:rPr>
        <w:t>ciente entre ricos y pobres. El sistema de educación establecido ac- tualmente dependería de los impuestos descentralizados a la propie- dad local, generándose así una estratificación social y</w:t>
      </w:r>
      <w:r>
        <w:rPr>
          <w:spacing w:val="-29"/>
          <w:w w:val="110"/>
        </w:rPr>
        <w:t> </w:t>
      </w:r>
      <w:r>
        <w:rPr>
          <w:w w:val="110"/>
        </w:rPr>
        <w:t>correspondiente desigualdad en la calidad de la educación primaria y secundaria entre los suburbios residenciales de clases medias/altas que proveen exce- lentes escuelas y maestros, y los barrios de clases bajas con escuelas deficientes y peligrosas, maestros con horarios excesivos y bajos sa- larios, para los hijos de los pobres, justamente los que más urgidos </w:t>
      </w:r>
      <w:r>
        <w:rPr>
          <w:w w:val="109"/>
        </w:rPr>
        <w:t>estarían</w:t>
      </w:r>
      <w:r>
        <w:rPr>
          <w:spacing w:val="20"/>
        </w:rPr>
        <w:t> </w:t>
      </w:r>
      <w:r>
        <w:rPr>
          <w:w w:val="107"/>
        </w:rPr>
        <w:t>de</w:t>
      </w:r>
      <w:r>
        <w:rPr>
          <w:spacing w:val="20"/>
        </w:rPr>
        <w:t> </w:t>
      </w:r>
      <w:r>
        <w:rPr>
          <w:w w:val="112"/>
        </w:rPr>
        <w:t>una</w:t>
      </w:r>
      <w:r>
        <w:rPr>
          <w:spacing w:val="20"/>
        </w:rPr>
        <w:t> </w:t>
      </w:r>
      <w:r>
        <w:rPr>
          <w:w w:val="110"/>
        </w:rPr>
        <w:t>ayuda</w:t>
      </w:r>
      <w:r>
        <w:rPr>
          <w:spacing w:val="20"/>
        </w:rPr>
        <w:t> </w:t>
      </w:r>
      <w:r>
        <w:rPr>
          <w:w w:val="111"/>
        </w:rPr>
        <w:t>sistemática.</w:t>
      </w:r>
      <w:r>
        <w:rPr>
          <w:spacing w:val="20"/>
        </w:rPr>
        <w:t> </w:t>
      </w:r>
      <w:r>
        <w:rPr>
          <w:w w:val="243"/>
        </w:rPr>
        <w:t>l</w:t>
      </w:r>
      <w:r>
        <w:rPr>
          <w:w w:val="112"/>
        </w:rPr>
        <w:t>a</w:t>
      </w:r>
      <w:r>
        <w:rPr>
          <w:spacing w:val="20"/>
        </w:rPr>
        <w:t> </w:t>
      </w:r>
      <w:r>
        <w:rPr>
          <w:w w:val="111"/>
        </w:rPr>
        <w:t>ausencia</w:t>
      </w:r>
      <w:r>
        <w:rPr>
          <w:spacing w:val="20"/>
        </w:rPr>
        <w:t> </w:t>
      </w:r>
      <w:r>
        <w:rPr>
          <w:w w:val="107"/>
        </w:rPr>
        <w:t>de</w:t>
      </w:r>
      <w:r>
        <w:rPr>
          <w:spacing w:val="20"/>
        </w:rPr>
        <w:t> </w:t>
      </w:r>
      <w:r>
        <w:rPr>
          <w:w w:val="112"/>
        </w:rPr>
        <w:t>una</w:t>
      </w:r>
      <w:r>
        <w:rPr>
          <w:spacing w:val="20"/>
        </w:rPr>
        <w:t> </w:t>
      </w:r>
      <w:r>
        <w:rPr>
          <w:w w:val="109"/>
        </w:rPr>
        <w:t>visión</w:t>
      </w:r>
      <w:r>
        <w:rPr>
          <w:spacing w:val="20"/>
        </w:rPr>
        <w:t> </w:t>
      </w:r>
      <w:r>
        <w:rPr>
          <w:w w:val="109"/>
        </w:rPr>
        <w:t>central </w:t>
      </w:r>
      <w:r>
        <w:rPr>
          <w:w w:val="110"/>
        </w:rPr>
        <w:t>sobre tamaño problema social, objetivamente conduciría al sistema educativo a exacerbar la desigualdad en lugar de ampliar las oportu- nidades para todos. Pareciera que el “sueño americano” hubiera emi- grado a otros</w:t>
      </w:r>
      <w:r>
        <w:rPr>
          <w:spacing w:val="16"/>
          <w:w w:val="110"/>
        </w:rPr>
        <w:t> </w:t>
      </w:r>
      <w:r>
        <w:rPr>
          <w:w w:val="110"/>
        </w:rPr>
        <w:t>lares.</w:t>
      </w:r>
    </w:p>
    <w:p>
      <w:pPr>
        <w:pStyle w:val="BodyText"/>
        <w:spacing w:line="252" w:lineRule="auto"/>
        <w:ind w:left="120" w:right="327" w:firstLine="396"/>
        <w:jc w:val="both"/>
      </w:pPr>
      <w:r>
        <w:rPr>
          <w:w w:val="110"/>
        </w:rPr>
        <w:t>durante la presidencia de G. W. bush, a múltiples universidades públicas se les recortó parte del presupuesto, lo que trajo como resul- tado el incremento del costo de sus matrículas de ingreso (en miles de dólares), “congelándose” así la entrada de nuevos estudiantes de clase media y eliminándose las becas concedidas gratuitamente a estudian- tes muy destacados.</w:t>
      </w:r>
    </w:p>
    <w:p>
      <w:pPr>
        <w:pStyle w:val="BodyText"/>
        <w:spacing w:line="252" w:lineRule="auto"/>
        <w:ind w:left="120" w:right="328" w:firstLine="396"/>
        <w:jc w:val="both"/>
      </w:pPr>
      <w:r>
        <w:rPr>
          <w:w w:val="110"/>
        </w:rPr>
        <w:t>Es indecible el drama de las otrora flamantes familias de clase media, que con un hijo universitario y otro menor de 17 años,    condi-</w:t>
      </w:r>
    </w:p>
    <w:p>
      <w:pPr>
        <w:pStyle w:val="BodyText"/>
        <w:spacing w:before="5"/>
        <w:rPr>
          <w:sz w:val="14"/>
        </w:rPr>
      </w:pPr>
      <w:r>
        <w:rPr/>
        <w:pict>
          <v:line style="position:absolute;mso-position-horizontal-relative:page;mso-position-vertical-relative:paragraph;z-index:4000;mso-wrap-distance-left:0;mso-wrap-distance-right:0" from="51.023602pt,10.661832pt" to="79.369602pt,10.661832pt" stroked="true" strokeweight=".5pt" strokecolor="#000000">
            <w10:wrap type="topAndBottom"/>
          </v:line>
        </w:pict>
      </w:r>
    </w:p>
    <w:p>
      <w:pPr>
        <w:spacing w:line="242" w:lineRule="auto" w:before="89"/>
        <w:ind w:left="120" w:right="328" w:firstLine="0"/>
        <w:jc w:val="both"/>
        <w:rPr>
          <w:sz w:val="16"/>
        </w:rPr>
      </w:pPr>
      <w:r>
        <w:rPr>
          <w:w w:val="105"/>
          <w:sz w:val="16"/>
        </w:rPr>
        <w:t>2 debe hacerse aquí la salvedad, acerca de las discriminaciones étnico-raciales y de género omnipresentes, que, aunque afrontadas a lo largo de ese período, seguirían constituyendo hasta la fecha una lección pendiente en derechos humanos, tanto por   </w:t>
      </w:r>
      <w:r>
        <w:rPr>
          <w:spacing w:val="37"/>
          <w:w w:val="105"/>
          <w:sz w:val="16"/>
        </w:rPr>
        <w:t> </w:t>
      </w:r>
      <w:r>
        <w:rPr>
          <w:w w:val="105"/>
          <w:sz w:val="16"/>
        </w:rPr>
        <w:t>la representatividad relativa en cada uno de los índices categoriales, como por su retribución salarial, en cada uno de los puestos, incluidos los elitistas profesorales y académicos.   (Nsb, </w:t>
      </w:r>
      <w:r>
        <w:rPr>
          <w:spacing w:val="5"/>
          <w:w w:val="105"/>
          <w:sz w:val="16"/>
        </w:rPr>
        <w:t> </w:t>
      </w:r>
      <w:r>
        <w:rPr>
          <w:w w:val="105"/>
          <w:sz w:val="16"/>
        </w:rPr>
        <w:t>2014).</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ción</w:t>
      </w:r>
      <w:r>
        <w:rPr>
          <w:spacing w:val="-8"/>
          <w:w w:val="110"/>
        </w:rPr>
        <w:t> </w:t>
      </w:r>
      <w:r>
        <w:rPr>
          <w:w w:val="110"/>
        </w:rPr>
        <w:t>indispensable</w:t>
      </w:r>
      <w:r>
        <w:rPr>
          <w:spacing w:val="-8"/>
          <w:w w:val="110"/>
        </w:rPr>
        <w:t> </w:t>
      </w:r>
      <w:r>
        <w:rPr>
          <w:w w:val="110"/>
        </w:rPr>
        <w:t>para</w:t>
      </w:r>
      <w:r>
        <w:rPr>
          <w:spacing w:val="-8"/>
          <w:w w:val="110"/>
        </w:rPr>
        <w:t> </w:t>
      </w:r>
      <w:r>
        <w:rPr>
          <w:w w:val="110"/>
        </w:rPr>
        <w:t>poder</w:t>
      </w:r>
      <w:r>
        <w:rPr>
          <w:spacing w:val="-8"/>
          <w:w w:val="110"/>
        </w:rPr>
        <w:t> </w:t>
      </w:r>
      <w:r>
        <w:rPr>
          <w:w w:val="110"/>
        </w:rPr>
        <w:t>obtener</w:t>
      </w:r>
      <w:r>
        <w:rPr>
          <w:spacing w:val="-8"/>
          <w:w w:val="110"/>
        </w:rPr>
        <w:t> </w:t>
      </w:r>
      <w:r>
        <w:rPr>
          <w:w w:val="110"/>
        </w:rPr>
        <w:t>los</w:t>
      </w:r>
      <w:r>
        <w:rPr>
          <w:spacing w:val="-8"/>
          <w:w w:val="110"/>
        </w:rPr>
        <w:t> </w:t>
      </w:r>
      <w:r>
        <w:rPr>
          <w:w w:val="110"/>
        </w:rPr>
        <w:t>créditos</w:t>
      </w:r>
      <w:r>
        <w:rPr>
          <w:spacing w:val="-8"/>
          <w:w w:val="110"/>
        </w:rPr>
        <w:t> </w:t>
      </w:r>
      <w:r>
        <w:rPr>
          <w:w w:val="110"/>
        </w:rPr>
        <w:t>tributarios</w:t>
      </w:r>
      <w:r>
        <w:rPr>
          <w:spacing w:val="-8"/>
          <w:w w:val="110"/>
        </w:rPr>
        <w:t> </w:t>
      </w:r>
      <w:r>
        <w:rPr>
          <w:w w:val="110"/>
        </w:rPr>
        <w:t>y</w:t>
      </w:r>
      <w:r>
        <w:rPr>
          <w:spacing w:val="-8"/>
          <w:w w:val="110"/>
        </w:rPr>
        <w:t> </w:t>
      </w:r>
      <w:r>
        <w:rPr>
          <w:w w:val="110"/>
        </w:rPr>
        <w:t>las</w:t>
      </w:r>
      <w:r>
        <w:rPr>
          <w:spacing w:val="-8"/>
          <w:w w:val="110"/>
        </w:rPr>
        <w:t> </w:t>
      </w:r>
      <w:r>
        <w:rPr>
          <w:w w:val="110"/>
        </w:rPr>
        <w:t>de- ducciones que ofrecen una pausa a las familias de ingresos medios, de no ganar un mínimo de 24.300 dólares, cuyo valor total no aportaría dinero sino hasta que los ingresos no alcanzasen los 42.850 dólares. En otras palabras, es apenas significativo para el resto de las familias que tienen hijos y no ganan lo suficiente para endeudarse con los im- puestos por</w:t>
      </w:r>
      <w:r>
        <w:rPr>
          <w:spacing w:val="-4"/>
          <w:w w:val="110"/>
        </w:rPr>
        <w:t> </w:t>
      </w:r>
      <w:r>
        <w:rPr>
          <w:w w:val="110"/>
        </w:rPr>
        <w:t>ingresos</w:t>
      </w:r>
      <w:r>
        <w:rPr>
          <w:w w:val="110"/>
          <w:position w:val="7"/>
          <w:sz w:val="11"/>
        </w:rPr>
        <w:t>3</w:t>
      </w:r>
      <w:r>
        <w:rPr>
          <w:w w:val="110"/>
        </w:rPr>
        <w:t>.</w:t>
      </w:r>
    </w:p>
    <w:p>
      <w:pPr>
        <w:pStyle w:val="BodyText"/>
        <w:spacing w:line="252" w:lineRule="auto"/>
        <w:ind w:left="330" w:right="117" w:firstLine="397"/>
        <w:jc w:val="both"/>
      </w:pPr>
      <w:r>
        <w:rPr>
          <w:w w:val="115"/>
        </w:rPr>
        <w:t>En</w:t>
      </w:r>
      <w:r>
        <w:rPr>
          <w:spacing w:val="-27"/>
          <w:w w:val="115"/>
        </w:rPr>
        <w:t> </w:t>
      </w:r>
      <w:r>
        <w:rPr>
          <w:w w:val="115"/>
        </w:rPr>
        <w:t>respuesta</w:t>
      </w:r>
      <w:r>
        <w:rPr>
          <w:spacing w:val="-27"/>
          <w:w w:val="115"/>
        </w:rPr>
        <w:t> </w:t>
      </w:r>
      <w:r>
        <w:rPr>
          <w:w w:val="115"/>
        </w:rPr>
        <w:t>al</w:t>
      </w:r>
      <w:r>
        <w:rPr>
          <w:spacing w:val="-27"/>
          <w:w w:val="115"/>
        </w:rPr>
        <w:t> </w:t>
      </w:r>
      <w:r>
        <w:rPr>
          <w:w w:val="115"/>
        </w:rPr>
        <w:t>panorama</w:t>
      </w:r>
      <w:r>
        <w:rPr>
          <w:spacing w:val="-27"/>
          <w:w w:val="115"/>
        </w:rPr>
        <w:t> </w:t>
      </w:r>
      <w:r>
        <w:rPr>
          <w:w w:val="115"/>
        </w:rPr>
        <w:t>de</w:t>
      </w:r>
      <w:r>
        <w:rPr>
          <w:spacing w:val="-27"/>
          <w:w w:val="115"/>
        </w:rPr>
        <w:t> </w:t>
      </w:r>
      <w:r>
        <w:rPr>
          <w:w w:val="115"/>
        </w:rPr>
        <w:t>descalabro</w:t>
      </w:r>
      <w:r>
        <w:rPr>
          <w:spacing w:val="-27"/>
          <w:w w:val="115"/>
        </w:rPr>
        <w:t> </w:t>
      </w:r>
      <w:r>
        <w:rPr>
          <w:w w:val="115"/>
        </w:rPr>
        <w:t>general</w:t>
      </w:r>
      <w:r>
        <w:rPr>
          <w:spacing w:val="-27"/>
          <w:w w:val="115"/>
        </w:rPr>
        <w:t> </w:t>
      </w:r>
      <w:r>
        <w:rPr>
          <w:w w:val="115"/>
        </w:rPr>
        <w:t>del</w:t>
      </w:r>
      <w:r>
        <w:rPr>
          <w:spacing w:val="-27"/>
          <w:w w:val="115"/>
        </w:rPr>
        <w:t> </w:t>
      </w:r>
      <w:r>
        <w:rPr>
          <w:w w:val="115"/>
        </w:rPr>
        <w:t>sistema</w:t>
      </w:r>
      <w:r>
        <w:rPr>
          <w:spacing w:val="-27"/>
          <w:w w:val="115"/>
        </w:rPr>
        <w:t> </w:t>
      </w:r>
      <w:r>
        <w:rPr>
          <w:w w:val="115"/>
        </w:rPr>
        <w:t>edu- cativo de Estados unidos, heredado de la presidencia de G. </w:t>
      </w:r>
      <w:r>
        <w:rPr>
          <w:spacing w:val="-11"/>
          <w:w w:val="115"/>
        </w:rPr>
        <w:t>W. </w:t>
      </w:r>
      <w:r>
        <w:rPr>
          <w:w w:val="115"/>
        </w:rPr>
        <w:t>bush, el presidente b. obama</w:t>
      </w:r>
      <w:r>
        <w:rPr>
          <w:w w:val="115"/>
          <w:position w:val="7"/>
          <w:sz w:val="11"/>
        </w:rPr>
        <w:t>4 </w:t>
      </w:r>
      <w:r>
        <w:rPr>
          <w:w w:val="115"/>
        </w:rPr>
        <w:t>delineó los principios de una reforma edu- cativa</w:t>
      </w:r>
      <w:r>
        <w:rPr>
          <w:spacing w:val="-23"/>
          <w:w w:val="115"/>
        </w:rPr>
        <w:t> </w:t>
      </w:r>
      <w:r>
        <w:rPr>
          <w:w w:val="115"/>
        </w:rPr>
        <w:t>que</w:t>
      </w:r>
      <w:r>
        <w:rPr>
          <w:spacing w:val="-23"/>
          <w:w w:val="115"/>
        </w:rPr>
        <w:t> </w:t>
      </w:r>
      <w:r>
        <w:rPr>
          <w:w w:val="115"/>
        </w:rPr>
        <w:t>el</w:t>
      </w:r>
      <w:r>
        <w:rPr>
          <w:spacing w:val="-23"/>
          <w:w w:val="115"/>
        </w:rPr>
        <w:t> </w:t>
      </w:r>
      <w:r>
        <w:rPr>
          <w:w w:val="115"/>
        </w:rPr>
        <w:t>país</w:t>
      </w:r>
      <w:r>
        <w:rPr>
          <w:spacing w:val="-23"/>
          <w:w w:val="115"/>
        </w:rPr>
        <w:t> </w:t>
      </w:r>
      <w:r>
        <w:rPr>
          <w:w w:val="115"/>
        </w:rPr>
        <w:t>requiere</w:t>
      </w:r>
      <w:r>
        <w:rPr>
          <w:spacing w:val="-23"/>
          <w:w w:val="115"/>
        </w:rPr>
        <w:t> </w:t>
      </w:r>
      <w:r>
        <w:rPr>
          <w:w w:val="115"/>
        </w:rPr>
        <w:t>para</w:t>
      </w:r>
      <w:r>
        <w:rPr>
          <w:spacing w:val="-23"/>
          <w:w w:val="115"/>
        </w:rPr>
        <w:t> </w:t>
      </w:r>
      <w:r>
        <w:rPr>
          <w:w w:val="115"/>
        </w:rPr>
        <w:t>revertir</w:t>
      </w:r>
      <w:r>
        <w:rPr>
          <w:spacing w:val="-23"/>
          <w:w w:val="115"/>
        </w:rPr>
        <w:t> </w:t>
      </w:r>
      <w:r>
        <w:rPr>
          <w:w w:val="115"/>
        </w:rPr>
        <w:t>el</w:t>
      </w:r>
      <w:r>
        <w:rPr>
          <w:spacing w:val="-23"/>
          <w:w w:val="115"/>
        </w:rPr>
        <w:t> </w:t>
      </w:r>
      <w:r>
        <w:rPr>
          <w:w w:val="115"/>
        </w:rPr>
        <w:t>rezago</w:t>
      </w:r>
      <w:r>
        <w:rPr>
          <w:spacing w:val="-23"/>
          <w:w w:val="115"/>
        </w:rPr>
        <w:t> </w:t>
      </w:r>
      <w:r>
        <w:rPr>
          <w:w w:val="115"/>
        </w:rPr>
        <w:t>en</w:t>
      </w:r>
      <w:r>
        <w:rPr>
          <w:spacing w:val="-23"/>
          <w:w w:val="115"/>
        </w:rPr>
        <w:t> </w:t>
      </w:r>
      <w:r>
        <w:rPr>
          <w:w w:val="115"/>
        </w:rPr>
        <w:t>el</w:t>
      </w:r>
      <w:r>
        <w:rPr>
          <w:spacing w:val="-23"/>
          <w:w w:val="115"/>
        </w:rPr>
        <w:t> </w:t>
      </w:r>
      <w:r>
        <w:rPr>
          <w:w w:val="115"/>
        </w:rPr>
        <w:t>desarrollo</w:t>
      </w:r>
      <w:r>
        <w:rPr>
          <w:spacing w:val="-23"/>
          <w:w w:val="115"/>
        </w:rPr>
        <w:t> </w:t>
      </w:r>
      <w:r>
        <w:rPr>
          <w:w w:val="115"/>
        </w:rPr>
        <w:t>aca- démico</w:t>
      </w:r>
      <w:r>
        <w:rPr>
          <w:spacing w:val="-22"/>
          <w:w w:val="115"/>
        </w:rPr>
        <w:t> </w:t>
      </w:r>
      <w:r>
        <w:rPr>
          <w:w w:val="115"/>
        </w:rPr>
        <w:t>que</w:t>
      </w:r>
      <w:r>
        <w:rPr>
          <w:spacing w:val="-22"/>
          <w:w w:val="115"/>
        </w:rPr>
        <w:t> </w:t>
      </w:r>
      <w:r>
        <w:rPr>
          <w:w w:val="115"/>
        </w:rPr>
        <w:t>presenta</w:t>
      </w:r>
      <w:r>
        <w:rPr>
          <w:spacing w:val="-22"/>
          <w:w w:val="115"/>
        </w:rPr>
        <w:t> </w:t>
      </w:r>
      <w:r>
        <w:rPr>
          <w:w w:val="115"/>
        </w:rPr>
        <w:t>frente</w:t>
      </w:r>
      <w:r>
        <w:rPr>
          <w:spacing w:val="-22"/>
          <w:w w:val="115"/>
        </w:rPr>
        <w:t> </w:t>
      </w:r>
      <w:r>
        <w:rPr>
          <w:w w:val="115"/>
        </w:rPr>
        <w:t>a</w:t>
      </w:r>
      <w:r>
        <w:rPr>
          <w:spacing w:val="-22"/>
          <w:w w:val="115"/>
        </w:rPr>
        <w:t> </w:t>
      </w:r>
      <w:r>
        <w:rPr>
          <w:w w:val="115"/>
        </w:rPr>
        <w:t>otras</w:t>
      </w:r>
      <w:r>
        <w:rPr>
          <w:spacing w:val="-22"/>
          <w:w w:val="115"/>
        </w:rPr>
        <w:t> </w:t>
      </w:r>
      <w:r>
        <w:rPr>
          <w:w w:val="115"/>
        </w:rPr>
        <w:t>naciones,</w:t>
      </w:r>
      <w:r>
        <w:rPr>
          <w:spacing w:val="-22"/>
          <w:w w:val="115"/>
        </w:rPr>
        <w:t> </w:t>
      </w:r>
      <w:r>
        <w:rPr>
          <w:w w:val="115"/>
        </w:rPr>
        <w:t>evidente</w:t>
      </w:r>
      <w:r>
        <w:rPr>
          <w:spacing w:val="-22"/>
          <w:w w:val="115"/>
        </w:rPr>
        <w:t> </w:t>
      </w:r>
      <w:r>
        <w:rPr>
          <w:w w:val="115"/>
        </w:rPr>
        <w:t>frente</w:t>
      </w:r>
      <w:r>
        <w:rPr>
          <w:spacing w:val="-22"/>
          <w:w w:val="115"/>
        </w:rPr>
        <w:t> </w:t>
      </w:r>
      <w:r>
        <w:rPr>
          <w:w w:val="115"/>
        </w:rPr>
        <w:t>al</w:t>
      </w:r>
      <w:r>
        <w:rPr>
          <w:spacing w:val="-22"/>
          <w:w w:val="115"/>
        </w:rPr>
        <w:t> </w:t>
      </w:r>
      <w:r>
        <w:rPr>
          <w:w w:val="115"/>
        </w:rPr>
        <w:t>pobre aprovechamiento</w:t>
      </w:r>
      <w:r>
        <w:rPr>
          <w:spacing w:val="-23"/>
          <w:w w:val="115"/>
        </w:rPr>
        <w:t> </w:t>
      </w:r>
      <w:r>
        <w:rPr>
          <w:w w:val="115"/>
        </w:rPr>
        <w:t>de</w:t>
      </w:r>
      <w:r>
        <w:rPr>
          <w:spacing w:val="-23"/>
          <w:w w:val="115"/>
        </w:rPr>
        <w:t> </w:t>
      </w:r>
      <w:r>
        <w:rPr>
          <w:w w:val="115"/>
        </w:rPr>
        <w:t>la</w:t>
      </w:r>
      <w:r>
        <w:rPr>
          <w:spacing w:val="-23"/>
          <w:w w:val="115"/>
        </w:rPr>
        <w:t> </w:t>
      </w:r>
      <w:r>
        <w:rPr>
          <w:w w:val="115"/>
        </w:rPr>
        <w:t>vasta</w:t>
      </w:r>
      <w:r>
        <w:rPr>
          <w:spacing w:val="-23"/>
          <w:w w:val="115"/>
        </w:rPr>
        <w:t> </w:t>
      </w:r>
      <w:r>
        <w:rPr>
          <w:w w:val="115"/>
        </w:rPr>
        <w:t>estructura</w:t>
      </w:r>
      <w:r>
        <w:rPr>
          <w:spacing w:val="-23"/>
          <w:w w:val="115"/>
        </w:rPr>
        <w:t> </w:t>
      </w:r>
      <w:r>
        <w:rPr>
          <w:w w:val="115"/>
        </w:rPr>
        <w:t>educativa</w:t>
      </w:r>
      <w:r>
        <w:rPr>
          <w:spacing w:val="-23"/>
          <w:w w:val="115"/>
        </w:rPr>
        <w:t> </w:t>
      </w:r>
      <w:r>
        <w:rPr>
          <w:w w:val="115"/>
        </w:rPr>
        <w:t>de</w:t>
      </w:r>
      <w:r>
        <w:rPr>
          <w:spacing w:val="-23"/>
          <w:w w:val="115"/>
        </w:rPr>
        <w:t> </w:t>
      </w:r>
      <w:r>
        <w:rPr>
          <w:w w:val="115"/>
        </w:rPr>
        <w:t>Estados</w:t>
      </w:r>
      <w:r>
        <w:rPr>
          <w:spacing w:val="-23"/>
          <w:w w:val="115"/>
        </w:rPr>
        <w:t> </w:t>
      </w:r>
      <w:r>
        <w:rPr>
          <w:w w:val="115"/>
        </w:rPr>
        <w:t>unidos, y además en tiempos de una agresiva competitividad</w:t>
      </w:r>
      <w:r>
        <w:rPr>
          <w:spacing w:val="-20"/>
          <w:w w:val="115"/>
        </w:rPr>
        <w:t> </w:t>
      </w:r>
      <w:r>
        <w:rPr>
          <w:w w:val="115"/>
        </w:rPr>
        <w:t>internacional. “Hemos</w:t>
      </w:r>
      <w:r>
        <w:rPr>
          <w:spacing w:val="-20"/>
          <w:w w:val="115"/>
        </w:rPr>
        <w:t> </w:t>
      </w:r>
      <w:r>
        <w:rPr>
          <w:w w:val="115"/>
        </w:rPr>
        <w:t>dejado</w:t>
      </w:r>
      <w:r>
        <w:rPr>
          <w:spacing w:val="-20"/>
          <w:w w:val="115"/>
        </w:rPr>
        <w:t> </w:t>
      </w:r>
      <w:r>
        <w:rPr>
          <w:w w:val="115"/>
        </w:rPr>
        <w:t>que</w:t>
      </w:r>
      <w:r>
        <w:rPr>
          <w:spacing w:val="-20"/>
          <w:w w:val="115"/>
        </w:rPr>
        <w:t> </w:t>
      </w:r>
      <w:r>
        <w:rPr>
          <w:w w:val="115"/>
        </w:rPr>
        <w:t>nuestro</w:t>
      </w:r>
      <w:r>
        <w:rPr>
          <w:spacing w:val="-20"/>
          <w:w w:val="115"/>
        </w:rPr>
        <w:t> </w:t>
      </w:r>
      <w:r>
        <w:rPr>
          <w:w w:val="115"/>
        </w:rPr>
        <w:t>grados</w:t>
      </w:r>
      <w:r>
        <w:rPr>
          <w:spacing w:val="-20"/>
          <w:w w:val="115"/>
        </w:rPr>
        <w:t> </w:t>
      </w:r>
      <w:r>
        <w:rPr>
          <w:w w:val="115"/>
        </w:rPr>
        <w:t>caigan,</w:t>
      </w:r>
      <w:r>
        <w:rPr>
          <w:spacing w:val="-20"/>
          <w:w w:val="115"/>
        </w:rPr>
        <w:t> </w:t>
      </w:r>
      <w:r>
        <w:rPr>
          <w:w w:val="115"/>
        </w:rPr>
        <w:t>nuestras</w:t>
      </w:r>
      <w:r>
        <w:rPr>
          <w:spacing w:val="-20"/>
          <w:w w:val="115"/>
        </w:rPr>
        <w:t> </w:t>
      </w:r>
      <w:r>
        <w:rPr>
          <w:w w:val="115"/>
        </w:rPr>
        <w:t>escuelas</w:t>
      </w:r>
      <w:r>
        <w:rPr>
          <w:spacing w:val="-20"/>
          <w:w w:val="115"/>
        </w:rPr>
        <w:t> </w:t>
      </w:r>
      <w:r>
        <w:rPr>
          <w:w w:val="115"/>
        </w:rPr>
        <w:t>se</w:t>
      </w:r>
      <w:r>
        <w:rPr>
          <w:spacing w:val="-20"/>
          <w:w w:val="115"/>
        </w:rPr>
        <w:t> </w:t>
      </w:r>
      <w:r>
        <w:rPr>
          <w:w w:val="115"/>
        </w:rPr>
        <w:t>dete- rioren,</w:t>
      </w:r>
      <w:r>
        <w:rPr>
          <w:spacing w:val="-31"/>
          <w:w w:val="115"/>
        </w:rPr>
        <w:t> </w:t>
      </w:r>
      <w:r>
        <w:rPr>
          <w:w w:val="115"/>
        </w:rPr>
        <w:t>la</w:t>
      </w:r>
      <w:r>
        <w:rPr>
          <w:spacing w:val="-31"/>
          <w:w w:val="115"/>
        </w:rPr>
        <w:t> </w:t>
      </w:r>
      <w:r>
        <w:rPr>
          <w:w w:val="115"/>
        </w:rPr>
        <w:t>calidad</w:t>
      </w:r>
      <w:r>
        <w:rPr>
          <w:spacing w:val="-31"/>
          <w:w w:val="115"/>
        </w:rPr>
        <w:t> </w:t>
      </w:r>
      <w:r>
        <w:rPr>
          <w:w w:val="115"/>
        </w:rPr>
        <w:t>de</w:t>
      </w:r>
      <w:r>
        <w:rPr>
          <w:spacing w:val="-31"/>
          <w:w w:val="115"/>
        </w:rPr>
        <w:t> </w:t>
      </w:r>
      <w:r>
        <w:rPr>
          <w:w w:val="115"/>
        </w:rPr>
        <w:t>nuestros</w:t>
      </w:r>
      <w:r>
        <w:rPr>
          <w:spacing w:val="-31"/>
          <w:w w:val="115"/>
        </w:rPr>
        <w:t> </w:t>
      </w:r>
      <w:r>
        <w:rPr>
          <w:w w:val="115"/>
        </w:rPr>
        <w:t>maestros</w:t>
      </w:r>
      <w:r>
        <w:rPr>
          <w:spacing w:val="-31"/>
          <w:w w:val="115"/>
        </w:rPr>
        <w:t> </w:t>
      </w:r>
      <w:r>
        <w:rPr>
          <w:w w:val="115"/>
        </w:rPr>
        <w:t>se</w:t>
      </w:r>
      <w:r>
        <w:rPr>
          <w:spacing w:val="-31"/>
          <w:w w:val="115"/>
        </w:rPr>
        <w:t> </w:t>
      </w:r>
      <w:r>
        <w:rPr>
          <w:w w:val="115"/>
        </w:rPr>
        <w:t>quede</w:t>
      </w:r>
      <w:r>
        <w:rPr>
          <w:spacing w:val="-31"/>
          <w:w w:val="115"/>
        </w:rPr>
        <w:t> </w:t>
      </w:r>
      <w:r>
        <w:rPr>
          <w:w w:val="115"/>
        </w:rPr>
        <w:t>corta</w:t>
      </w:r>
      <w:r>
        <w:rPr>
          <w:spacing w:val="-31"/>
          <w:w w:val="115"/>
        </w:rPr>
        <w:t> </w:t>
      </w:r>
      <w:r>
        <w:rPr>
          <w:w w:val="115"/>
        </w:rPr>
        <w:t>y</w:t>
      </w:r>
      <w:r>
        <w:rPr>
          <w:spacing w:val="-31"/>
          <w:w w:val="115"/>
        </w:rPr>
        <w:t> </w:t>
      </w:r>
      <w:r>
        <w:rPr>
          <w:w w:val="115"/>
        </w:rPr>
        <w:t>otras</w:t>
      </w:r>
      <w:r>
        <w:rPr>
          <w:spacing w:val="-31"/>
          <w:w w:val="115"/>
        </w:rPr>
        <w:t> </w:t>
      </w:r>
      <w:r>
        <w:rPr>
          <w:w w:val="115"/>
        </w:rPr>
        <w:t>naciones nos superen”. “El lugar de Estados unidos como un líder</w:t>
      </w:r>
      <w:r>
        <w:rPr>
          <w:spacing w:val="-17"/>
          <w:w w:val="115"/>
        </w:rPr>
        <w:t> </w:t>
      </w:r>
      <w:r>
        <w:rPr>
          <w:w w:val="115"/>
        </w:rPr>
        <w:t>económico global correrá peligro a menos que no sólo reduzcamos el costo del cuidado</w:t>
      </w:r>
      <w:r>
        <w:rPr>
          <w:spacing w:val="-15"/>
          <w:w w:val="115"/>
        </w:rPr>
        <w:t> </w:t>
      </w:r>
      <w:r>
        <w:rPr>
          <w:w w:val="115"/>
        </w:rPr>
        <w:t>médico</w:t>
      </w:r>
      <w:r>
        <w:rPr>
          <w:spacing w:val="-15"/>
          <w:w w:val="115"/>
        </w:rPr>
        <w:t> </w:t>
      </w:r>
      <w:r>
        <w:rPr>
          <w:w w:val="115"/>
        </w:rPr>
        <w:t>y</w:t>
      </w:r>
      <w:r>
        <w:rPr>
          <w:spacing w:val="-15"/>
          <w:w w:val="115"/>
        </w:rPr>
        <w:t> </w:t>
      </w:r>
      <w:r>
        <w:rPr>
          <w:w w:val="115"/>
        </w:rPr>
        <w:t>transformemos</w:t>
      </w:r>
      <w:r>
        <w:rPr>
          <w:spacing w:val="-15"/>
          <w:w w:val="115"/>
        </w:rPr>
        <w:t> </w:t>
      </w:r>
      <w:r>
        <w:rPr>
          <w:w w:val="115"/>
        </w:rPr>
        <w:t>la</w:t>
      </w:r>
      <w:r>
        <w:rPr>
          <w:spacing w:val="-15"/>
          <w:w w:val="115"/>
        </w:rPr>
        <w:t> </w:t>
      </w:r>
      <w:r>
        <w:rPr>
          <w:w w:val="115"/>
        </w:rPr>
        <w:t>forma</w:t>
      </w:r>
      <w:r>
        <w:rPr>
          <w:spacing w:val="-15"/>
          <w:w w:val="115"/>
        </w:rPr>
        <w:t> </w:t>
      </w:r>
      <w:r>
        <w:rPr>
          <w:w w:val="115"/>
        </w:rPr>
        <w:t>en</w:t>
      </w:r>
      <w:r>
        <w:rPr>
          <w:spacing w:val="-15"/>
          <w:w w:val="115"/>
        </w:rPr>
        <w:t> </w:t>
      </w:r>
      <w:r>
        <w:rPr>
          <w:w w:val="115"/>
        </w:rPr>
        <w:t>que</w:t>
      </w:r>
      <w:r>
        <w:rPr>
          <w:spacing w:val="-15"/>
          <w:w w:val="115"/>
        </w:rPr>
        <w:t> </w:t>
      </w:r>
      <w:r>
        <w:rPr>
          <w:w w:val="115"/>
        </w:rPr>
        <w:t>usamos</w:t>
      </w:r>
      <w:r>
        <w:rPr>
          <w:spacing w:val="-15"/>
          <w:w w:val="115"/>
        </w:rPr>
        <w:t> </w:t>
      </w:r>
      <w:r>
        <w:rPr>
          <w:w w:val="115"/>
        </w:rPr>
        <w:t>la</w:t>
      </w:r>
      <w:r>
        <w:rPr>
          <w:spacing w:val="-15"/>
          <w:w w:val="115"/>
        </w:rPr>
        <w:t> </w:t>
      </w:r>
      <w:r>
        <w:rPr>
          <w:w w:val="115"/>
        </w:rPr>
        <w:t>energía, sino</w:t>
      </w:r>
      <w:r>
        <w:rPr>
          <w:spacing w:val="-6"/>
          <w:w w:val="115"/>
        </w:rPr>
        <w:t> </w:t>
      </w:r>
      <w:r>
        <w:rPr>
          <w:w w:val="115"/>
        </w:rPr>
        <w:t>haciendo</w:t>
      </w:r>
      <w:r>
        <w:rPr>
          <w:spacing w:val="-6"/>
          <w:w w:val="115"/>
        </w:rPr>
        <w:t> </w:t>
      </w:r>
      <w:r>
        <w:rPr>
          <w:w w:val="115"/>
        </w:rPr>
        <w:t>un</w:t>
      </w:r>
      <w:r>
        <w:rPr>
          <w:spacing w:val="-6"/>
          <w:w w:val="115"/>
        </w:rPr>
        <w:t> </w:t>
      </w:r>
      <w:r>
        <w:rPr>
          <w:w w:val="115"/>
        </w:rPr>
        <w:t>mejor</w:t>
      </w:r>
      <w:r>
        <w:rPr>
          <w:spacing w:val="-6"/>
          <w:w w:val="115"/>
        </w:rPr>
        <w:t> </w:t>
      </w:r>
      <w:r>
        <w:rPr>
          <w:w w:val="115"/>
        </w:rPr>
        <w:t>trabajo</w:t>
      </w:r>
      <w:r>
        <w:rPr>
          <w:spacing w:val="-6"/>
          <w:w w:val="115"/>
        </w:rPr>
        <w:t> </w:t>
      </w:r>
      <w:r>
        <w:rPr>
          <w:w w:val="115"/>
        </w:rPr>
        <w:t>que</w:t>
      </w:r>
      <w:r>
        <w:rPr>
          <w:spacing w:val="-6"/>
          <w:w w:val="115"/>
        </w:rPr>
        <w:t> </w:t>
      </w:r>
      <w:r>
        <w:rPr>
          <w:w w:val="115"/>
        </w:rPr>
        <w:t>el</w:t>
      </w:r>
      <w:r>
        <w:rPr>
          <w:spacing w:val="-6"/>
          <w:w w:val="115"/>
        </w:rPr>
        <w:t> </w:t>
      </w:r>
      <w:r>
        <w:rPr>
          <w:w w:val="115"/>
        </w:rPr>
        <w:t>que</w:t>
      </w:r>
      <w:r>
        <w:rPr>
          <w:spacing w:val="-6"/>
          <w:w w:val="115"/>
        </w:rPr>
        <w:t> </w:t>
      </w:r>
      <w:r>
        <w:rPr>
          <w:w w:val="115"/>
        </w:rPr>
        <w:t>hemos</w:t>
      </w:r>
      <w:r>
        <w:rPr>
          <w:spacing w:val="-6"/>
          <w:w w:val="115"/>
        </w:rPr>
        <w:t> </w:t>
      </w:r>
      <w:r>
        <w:rPr>
          <w:w w:val="115"/>
        </w:rPr>
        <w:t>hecho</w:t>
      </w:r>
      <w:r>
        <w:rPr>
          <w:spacing w:val="-6"/>
          <w:w w:val="115"/>
        </w:rPr>
        <w:t> </w:t>
      </w:r>
      <w:r>
        <w:rPr>
          <w:w w:val="115"/>
        </w:rPr>
        <w:t>educando</w:t>
      </w:r>
      <w:r>
        <w:rPr>
          <w:spacing w:val="-6"/>
          <w:w w:val="115"/>
        </w:rPr>
        <w:t> </w:t>
      </w:r>
      <w:r>
        <w:rPr>
          <w:w w:val="115"/>
        </w:rPr>
        <w:t>a </w:t>
      </w:r>
      <w:r>
        <w:rPr>
          <w:w w:val="108"/>
        </w:rPr>
        <w:t>nuestros</w:t>
      </w:r>
      <w:r>
        <w:rPr/>
        <w:t> </w:t>
      </w:r>
      <w:r>
        <w:rPr>
          <w:spacing w:val="-10"/>
        </w:rPr>
        <w:t> </w:t>
      </w:r>
      <w:r>
        <w:rPr>
          <w:w w:val="111"/>
        </w:rPr>
        <w:t>hijos</w:t>
      </w:r>
      <w:r>
        <w:rPr/>
        <w:t> </w:t>
      </w:r>
      <w:r>
        <w:rPr>
          <w:spacing w:val="-10"/>
        </w:rPr>
        <w:t> </w:t>
      </w:r>
      <w:r>
        <w:rPr>
          <w:w w:val="104"/>
        </w:rPr>
        <w:t>e</w:t>
      </w:r>
      <w:r>
        <w:rPr/>
        <w:t> </w:t>
      </w:r>
      <w:r>
        <w:rPr>
          <w:spacing w:val="-10"/>
        </w:rPr>
        <w:t> </w:t>
      </w:r>
      <w:r>
        <w:rPr>
          <w:w w:val="114"/>
        </w:rPr>
        <w:t>hijas”.</w:t>
      </w:r>
      <w:r>
        <w:rPr/>
        <w:t> </w:t>
      </w:r>
      <w:r>
        <w:rPr>
          <w:spacing w:val="-10"/>
        </w:rPr>
        <w:t> </w:t>
      </w:r>
      <w:r>
        <w:rPr>
          <w:w w:val="115"/>
        </w:rPr>
        <w:t>“</w:t>
      </w:r>
      <w:r>
        <w:rPr>
          <w:w w:val="243"/>
        </w:rPr>
        <w:t>l</w:t>
      </w:r>
      <w:r>
        <w:rPr>
          <w:w w:val="110"/>
        </w:rPr>
        <w:t>o</w:t>
      </w:r>
      <w:r>
        <w:rPr/>
        <w:t> </w:t>
      </w:r>
      <w:r>
        <w:rPr>
          <w:spacing w:val="-10"/>
        </w:rPr>
        <w:t> </w:t>
      </w:r>
      <w:r>
        <w:rPr>
          <w:w w:val="108"/>
        </w:rPr>
        <w:t>que</w:t>
      </w:r>
      <w:r>
        <w:rPr/>
        <w:t> </w:t>
      </w:r>
      <w:r>
        <w:rPr>
          <w:spacing w:val="-10"/>
        </w:rPr>
        <w:t> </w:t>
      </w:r>
      <w:r>
        <w:rPr>
          <w:w w:val="107"/>
        </w:rPr>
        <w:t>está</w:t>
      </w:r>
      <w:r>
        <w:rPr/>
        <w:t> </w:t>
      </w:r>
      <w:r>
        <w:rPr>
          <w:spacing w:val="-10"/>
        </w:rPr>
        <w:t> </w:t>
      </w:r>
      <w:r>
        <w:rPr>
          <w:w w:val="108"/>
        </w:rPr>
        <w:t>en</w:t>
      </w:r>
      <w:r>
        <w:rPr/>
        <w:t> </w:t>
      </w:r>
      <w:r>
        <w:rPr>
          <w:spacing w:val="-10"/>
        </w:rPr>
        <w:t> </w:t>
      </w:r>
      <w:r>
        <w:rPr>
          <w:w w:val="110"/>
        </w:rPr>
        <w:t>juego</w:t>
      </w:r>
      <w:r>
        <w:rPr/>
        <w:t> </w:t>
      </w:r>
      <w:r>
        <w:rPr>
          <w:spacing w:val="-10"/>
        </w:rPr>
        <w:t> </w:t>
      </w:r>
      <w:r>
        <w:rPr>
          <w:w w:val="105"/>
        </w:rPr>
        <w:t>es</w:t>
      </w:r>
      <w:r>
        <w:rPr/>
        <w:t> </w:t>
      </w:r>
      <w:r>
        <w:rPr>
          <w:spacing w:val="-10"/>
        </w:rPr>
        <w:t> </w:t>
      </w:r>
      <w:r>
        <w:rPr>
          <w:w w:val="111"/>
        </w:rPr>
        <w:t>nada</w:t>
      </w:r>
      <w:r>
        <w:rPr/>
        <w:t> </w:t>
      </w:r>
      <w:r>
        <w:rPr>
          <w:spacing w:val="-10"/>
        </w:rPr>
        <w:t> </w:t>
      </w:r>
      <w:r>
        <w:rPr>
          <w:w w:val="109"/>
        </w:rPr>
        <w:t>menos</w:t>
      </w:r>
      <w:r>
        <w:rPr/>
        <w:t> </w:t>
      </w:r>
      <w:r>
        <w:rPr>
          <w:spacing w:val="-10"/>
        </w:rPr>
        <w:t> </w:t>
      </w:r>
      <w:r>
        <w:rPr>
          <w:w w:val="108"/>
        </w:rPr>
        <w:t>que</w:t>
      </w:r>
      <w:r>
        <w:rPr/>
        <w:t> </w:t>
      </w:r>
      <w:r>
        <w:rPr>
          <w:spacing w:val="-10"/>
        </w:rPr>
        <w:t> </w:t>
      </w:r>
      <w:r>
        <w:rPr>
          <w:w w:val="107"/>
        </w:rPr>
        <w:t>el </w:t>
      </w:r>
      <w:r>
        <w:rPr>
          <w:w w:val="109"/>
        </w:rPr>
        <w:t>sueño</w:t>
      </w:r>
      <w:r>
        <w:rPr>
          <w:spacing w:val="18"/>
        </w:rPr>
        <w:t> </w:t>
      </w:r>
      <w:r>
        <w:rPr>
          <w:w w:val="112"/>
        </w:rPr>
        <w:t>americano”.</w:t>
      </w:r>
      <w:r>
        <w:rPr>
          <w:spacing w:val="18"/>
        </w:rPr>
        <w:t> </w:t>
      </w:r>
      <w:r>
        <w:rPr>
          <w:w w:val="243"/>
        </w:rPr>
        <w:t>l</w:t>
      </w:r>
      <w:r>
        <w:rPr>
          <w:w w:val="112"/>
        </w:rPr>
        <w:t>a</w:t>
      </w:r>
      <w:r>
        <w:rPr>
          <w:spacing w:val="18"/>
        </w:rPr>
        <w:t> </w:t>
      </w:r>
      <w:r>
        <w:rPr>
          <w:w w:val="110"/>
        </w:rPr>
        <w:t>reforma</w:t>
      </w:r>
      <w:r>
        <w:rPr>
          <w:spacing w:val="18"/>
        </w:rPr>
        <w:t> </w:t>
      </w:r>
      <w:r>
        <w:rPr>
          <w:w w:val="105"/>
        </w:rPr>
        <w:t>se</w:t>
      </w:r>
      <w:r>
        <w:rPr>
          <w:spacing w:val="18"/>
        </w:rPr>
        <w:t> </w:t>
      </w:r>
      <w:r>
        <w:rPr>
          <w:w w:val="111"/>
        </w:rPr>
        <w:t>enfocará</w:t>
      </w:r>
      <w:r>
        <w:rPr>
          <w:spacing w:val="18"/>
        </w:rPr>
        <w:t> </w:t>
      </w:r>
      <w:r>
        <w:rPr>
          <w:w w:val="108"/>
        </w:rPr>
        <w:t>en</w:t>
      </w:r>
      <w:r>
        <w:rPr>
          <w:spacing w:val="18"/>
        </w:rPr>
        <w:t> </w:t>
      </w:r>
      <w:r>
        <w:rPr>
          <w:w w:val="113"/>
        </w:rPr>
        <w:t>cinco</w:t>
      </w:r>
      <w:r>
        <w:rPr>
          <w:spacing w:val="18"/>
        </w:rPr>
        <w:t> </w:t>
      </w:r>
      <w:r>
        <w:rPr>
          <w:w w:val="108"/>
        </w:rPr>
        <w:t>áreas:</w:t>
      </w:r>
      <w:r>
        <w:rPr>
          <w:spacing w:val="18"/>
        </w:rPr>
        <w:t> </w:t>
      </w:r>
      <w:r>
        <w:rPr>
          <w:w w:val="111"/>
        </w:rPr>
        <w:t>educación </w:t>
      </w:r>
      <w:r>
        <w:rPr>
          <w:w w:val="110"/>
        </w:rPr>
        <w:t>temprana, mejorar el desempeño de maestros y recompensarlo, </w:t>
      </w:r>
      <w:r>
        <w:rPr>
          <w:spacing w:val="-3"/>
          <w:w w:val="110"/>
        </w:rPr>
        <w:t>refor- </w:t>
      </w:r>
      <w:r>
        <w:rPr>
          <w:w w:val="115"/>
        </w:rPr>
        <w:t>mar</w:t>
      </w:r>
      <w:r>
        <w:rPr>
          <w:spacing w:val="-13"/>
          <w:w w:val="115"/>
        </w:rPr>
        <w:t> </w:t>
      </w:r>
      <w:r>
        <w:rPr>
          <w:w w:val="115"/>
        </w:rPr>
        <w:t>el</w:t>
      </w:r>
      <w:r>
        <w:rPr>
          <w:spacing w:val="-13"/>
          <w:w w:val="115"/>
        </w:rPr>
        <w:t> </w:t>
      </w:r>
      <w:r>
        <w:rPr>
          <w:w w:val="115"/>
        </w:rPr>
        <w:t>sistema</w:t>
      </w:r>
      <w:r>
        <w:rPr>
          <w:spacing w:val="-13"/>
          <w:w w:val="115"/>
        </w:rPr>
        <w:t> </w:t>
      </w:r>
      <w:r>
        <w:rPr>
          <w:w w:val="115"/>
        </w:rPr>
        <w:t>de</w:t>
      </w:r>
      <w:r>
        <w:rPr>
          <w:spacing w:val="-13"/>
          <w:w w:val="115"/>
        </w:rPr>
        <w:t> </w:t>
      </w:r>
      <w:r>
        <w:rPr>
          <w:w w:val="115"/>
        </w:rPr>
        <w:t>evaluación</w:t>
      </w:r>
      <w:r>
        <w:rPr>
          <w:spacing w:val="-13"/>
          <w:w w:val="115"/>
        </w:rPr>
        <w:t> </w:t>
      </w:r>
      <w:r>
        <w:rPr>
          <w:w w:val="115"/>
        </w:rPr>
        <w:t>de</w:t>
      </w:r>
      <w:r>
        <w:rPr>
          <w:spacing w:val="-13"/>
          <w:w w:val="115"/>
        </w:rPr>
        <w:t> </w:t>
      </w:r>
      <w:r>
        <w:rPr>
          <w:w w:val="115"/>
        </w:rPr>
        <w:t>estudiantes,</w:t>
      </w:r>
      <w:r>
        <w:rPr>
          <w:spacing w:val="-13"/>
          <w:w w:val="115"/>
        </w:rPr>
        <w:t> </w:t>
      </w:r>
      <w:r>
        <w:rPr>
          <w:w w:val="115"/>
        </w:rPr>
        <w:t>promover</w:t>
      </w:r>
      <w:r>
        <w:rPr>
          <w:spacing w:val="-13"/>
          <w:w w:val="115"/>
        </w:rPr>
        <w:t> </w:t>
      </w:r>
      <w:r>
        <w:rPr>
          <w:w w:val="115"/>
        </w:rPr>
        <w:t>la</w:t>
      </w:r>
      <w:r>
        <w:rPr>
          <w:spacing w:val="-13"/>
          <w:w w:val="115"/>
        </w:rPr>
        <w:t> </w:t>
      </w:r>
      <w:r>
        <w:rPr>
          <w:w w:val="115"/>
        </w:rPr>
        <w:t>excelencia en</w:t>
      </w:r>
      <w:r>
        <w:rPr>
          <w:spacing w:val="-16"/>
          <w:w w:val="115"/>
        </w:rPr>
        <w:t> </w:t>
      </w:r>
      <w:r>
        <w:rPr>
          <w:w w:val="115"/>
        </w:rPr>
        <w:t>escuelas,</w:t>
      </w:r>
      <w:r>
        <w:rPr>
          <w:spacing w:val="-16"/>
          <w:w w:val="115"/>
        </w:rPr>
        <w:t> </w:t>
      </w:r>
      <w:r>
        <w:rPr>
          <w:w w:val="115"/>
        </w:rPr>
        <w:t>e</w:t>
      </w:r>
      <w:r>
        <w:rPr>
          <w:spacing w:val="-16"/>
          <w:w w:val="115"/>
        </w:rPr>
        <w:t> </w:t>
      </w:r>
      <w:r>
        <w:rPr>
          <w:w w:val="115"/>
        </w:rPr>
        <w:t>implementar</w:t>
      </w:r>
      <w:r>
        <w:rPr>
          <w:spacing w:val="-16"/>
          <w:w w:val="115"/>
        </w:rPr>
        <w:t> </w:t>
      </w:r>
      <w:r>
        <w:rPr>
          <w:w w:val="115"/>
        </w:rPr>
        <w:t>un</w:t>
      </w:r>
      <w:r>
        <w:rPr>
          <w:spacing w:val="-16"/>
          <w:w w:val="115"/>
        </w:rPr>
        <w:t> </w:t>
      </w:r>
      <w:r>
        <w:rPr>
          <w:w w:val="115"/>
        </w:rPr>
        <w:t>calendario</w:t>
      </w:r>
      <w:r>
        <w:rPr>
          <w:spacing w:val="-16"/>
          <w:w w:val="115"/>
        </w:rPr>
        <w:t> </w:t>
      </w:r>
      <w:r>
        <w:rPr>
          <w:w w:val="115"/>
        </w:rPr>
        <w:t>con</w:t>
      </w:r>
      <w:r>
        <w:rPr>
          <w:spacing w:val="-16"/>
          <w:w w:val="115"/>
        </w:rPr>
        <w:t> </w:t>
      </w:r>
      <w:r>
        <w:rPr>
          <w:w w:val="115"/>
        </w:rPr>
        <w:t>más</w:t>
      </w:r>
      <w:r>
        <w:rPr>
          <w:spacing w:val="-16"/>
          <w:w w:val="115"/>
        </w:rPr>
        <w:t> </w:t>
      </w:r>
      <w:r>
        <w:rPr>
          <w:w w:val="115"/>
        </w:rPr>
        <w:t>días</w:t>
      </w:r>
      <w:r>
        <w:rPr>
          <w:spacing w:val="-16"/>
          <w:w w:val="115"/>
        </w:rPr>
        <w:t> </w:t>
      </w:r>
      <w:r>
        <w:rPr>
          <w:w w:val="115"/>
        </w:rPr>
        <w:t>de</w:t>
      </w:r>
      <w:r>
        <w:rPr>
          <w:spacing w:val="-16"/>
          <w:w w:val="115"/>
        </w:rPr>
        <w:t> </w:t>
      </w:r>
      <w:r>
        <w:rPr>
          <w:w w:val="115"/>
        </w:rPr>
        <w:t>clase.</w:t>
      </w:r>
    </w:p>
    <w:p>
      <w:pPr>
        <w:pStyle w:val="BodyText"/>
        <w:spacing w:line="252" w:lineRule="auto"/>
        <w:ind w:left="330" w:right="117" w:firstLine="396"/>
        <w:jc w:val="both"/>
      </w:pPr>
      <w:r>
        <w:rPr>
          <w:w w:val="110"/>
        </w:rPr>
        <w:t>anticipó que algunas tendrán un temprano impulso en el marco del “paquete de estimulo económico por 787 mil millones de dóla-   res promulgado...”, pero advirtió que “la mayoría empero requerirán acción legislativa, es por eso que estoy urgiendo al Congreso a traba- jar conmigo para promulgar estas esenciales reformas”. “Por mucho tiempo hemos aceptado el fracaso y ya basta. El sistema educativo    de Estados unidos debe ser una vez más la envidia del mundo”. En recorrido por la universidad Estatal de buffalo (N. </w:t>
      </w:r>
      <w:r>
        <w:rPr>
          <w:spacing w:val="-7"/>
          <w:w w:val="110"/>
        </w:rPr>
        <w:t>Y.), </w:t>
      </w:r>
      <w:r>
        <w:rPr>
          <w:w w:val="110"/>
        </w:rPr>
        <w:t>el presidente obama reconoció la crisis que enfrentan los estudiantes universita- rios “con deudas superiores a 26 mil dólares al graduarse”, y señaló, en defensa de la clase media, que “el costo de la enseñanza superior aumentó en 250% en la últimas tres décadas”. “El encarecimiento  </w:t>
      </w:r>
      <w:r>
        <w:rPr>
          <w:spacing w:val="44"/>
          <w:w w:val="110"/>
        </w:rPr>
        <w:t> </w:t>
      </w:r>
      <w:r>
        <w:rPr>
          <w:w w:val="110"/>
        </w:rPr>
        <w:t>de</w:t>
      </w:r>
    </w:p>
    <w:p>
      <w:pPr>
        <w:pStyle w:val="BodyText"/>
        <w:spacing w:before="9"/>
        <w:rPr>
          <w:sz w:val="25"/>
        </w:rPr>
      </w:pPr>
      <w:r>
        <w:rPr/>
        <w:pict>
          <v:line style="position:absolute;mso-position-horizontal-relative:page;mso-position-vertical-relative:paragraph;z-index:4024;mso-wrap-distance-left:0;mso-wrap-distance-right:0" from="76.5354pt,17.327232pt" to="104.8814pt,17.327232pt" stroked="true" strokeweight=".5pt" strokecolor="#000000">
            <w10:wrap type="topAndBottom"/>
          </v:line>
        </w:pict>
      </w:r>
    </w:p>
    <w:p>
      <w:pPr>
        <w:pStyle w:val="ListParagraph"/>
        <w:numPr>
          <w:ilvl w:val="0"/>
          <w:numId w:val="9"/>
        </w:numPr>
        <w:tabs>
          <w:tab w:pos="586" w:val="left" w:leader="none"/>
        </w:tabs>
        <w:spacing w:line="242" w:lineRule="auto" w:before="89" w:after="0"/>
        <w:ind w:left="330" w:right="118" w:firstLine="0"/>
        <w:jc w:val="both"/>
        <w:rPr>
          <w:sz w:val="16"/>
        </w:rPr>
      </w:pPr>
      <w:r>
        <w:rPr>
          <w:w w:val="137"/>
          <w:sz w:val="16"/>
        </w:rPr>
        <w:t>u</w:t>
      </w:r>
      <w:r>
        <w:rPr>
          <w:w w:val="106"/>
          <w:sz w:val="16"/>
        </w:rPr>
        <w:t>niversidad</w:t>
      </w:r>
      <w:r>
        <w:rPr>
          <w:sz w:val="16"/>
        </w:rPr>
        <w:t> </w:t>
      </w:r>
      <w:r>
        <w:rPr>
          <w:spacing w:val="-10"/>
          <w:sz w:val="16"/>
        </w:rPr>
        <w:t> </w:t>
      </w:r>
      <w:r>
        <w:rPr>
          <w:w w:val="107"/>
          <w:sz w:val="16"/>
        </w:rPr>
        <w:t>para</w:t>
      </w:r>
      <w:r>
        <w:rPr>
          <w:sz w:val="16"/>
        </w:rPr>
        <w:t> </w:t>
      </w:r>
      <w:r>
        <w:rPr>
          <w:spacing w:val="-10"/>
          <w:sz w:val="16"/>
        </w:rPr>
        <w:t> </w:t>
      </w:r>
      <w:r>
        <w:rPr>
          <w:w w:val="106"/>
          <w:sz w:val="16"/>
        </w:rPr>
        <w:t>los</w:t>
      </w:r>
      <w:r>
        <w:rPr>
          <w:sz w:val="16"/>
        </w:rPr>
        <w:t> </w:t>
      </w:r>
      <w:r>
        <w:rPr>
          <w:spacing w:val="-10"/>
          <w:sz w:val="16"/>
        </w:rPr>
        <w:t> </w:t>
      </w:r>
      <w:r>
        <w:rPr>
          <w:w w:val="107"/>
          <w:sz w:val="16"/>
        </w:rPr>
        <w:t>pobres.</w:t>
      </w:r>
      <w:r>
        <w:rPr>
          <w:sz w:val="16"/>
        </w:rPr>
        <w:t> </w:t>
      </w:r>
      <w:r>
        <w:rPr>
          <w:spacing w:val="-10"/>
          <w:sz w:val="16"/>
        </w:rPr>
        <w:t> </w:t>
      </w:r>
      <w:r>
        <w:rPr>
          <w:w w:val="238"/>
          <w:sz w:val="16"/>
        </w:rPr>
        <w:t>l</w:t>
      </w:r>
      <w:r>
        <w:rPr>
          <w:w w:val="109"/>
          <w:sz w:val="16"/>
        </w:rPr>
        <w:t>a</w:t>
      </w:r>
      <w:r>
        <w:rPr>
          <w:sz w:val="16"/>
        </w:rPr>
        <w:t> </w:t>
      </w:r>
      <w:r>
        <w:rPr>
          <w:spacing w:val="-10"/>
          <w:sz w:val="16"/>
        </w:rPr>
        <w:t> </w:t>
      </w:r>
      <w:r>
        <w:rPr>
          <w:w w:val="108"/>
          <w:sz w:val="16"/>
        </w:rPr>
        <w:t>ayuda</w:t>
      </w:r>
      <w:r>
        <w:rPr>
          <w:sz w:val="16"/>
        </w:rPr>
        <w:t> </w:t>
      </w:r>
      <w:r>
        <w:rPr>
          <w:spacing w:val="-10"/>
          <w:sz w:val="16"/>
        </w:rPr>
        <w:t> </w:t>
      </w:r>
      <w:r>
        <w:rPr>
          <w:w w:val="106"/>
          <w:sz w:val="16"/>
        </w:rPr>
        <w:t>federal</w:t>
      </w:r>
      <w:r>
        <w:rPr>
          <w:sz w:val="16"/>
        </w:rPr>
        <w:t> </w:t>
      </w:r>
      <w:r>
        <w:rPr>
          <w:spacing w:val="-10"/>
          <w:sz w:val="16"/>
        </w:rPr>
        <w:t> </w:t>
      </w:r>
      <w:r>
        <w:rPr>
          <w:w w:val="106"/>
          <w:sz w:val="16"/>
        </w:rPr>
        <w:t>debería</w:t>
      </w:r>
      <w:r>
        <w:rPr>
          <w:sz w:val="16"/>
        </w:rPr>
        <w:t> </w:t>
      </w:r>
      <w:r>
        <w:rPr>
          <w:spacing w:val="-10"/>
          <w:sz w:val="16"/>
        </w:rPr>
        <w:t> </w:t>
      </w:r>
      <w:r>
        <w:rPr>
          <w:w w:val="106"/>
          <w:sz w:val="16"/>
        </w:rPr>
        <w:t>dirigirse</w:t>
      </w:r>
      <w:r>
        <w:rPr>
          <w:sz w:val="16"/>
        </w:rPr>
        <w:t> </w:t>
      </w:r>
      <w:r>
        <w:rPr>
          <w:spacing w:val="-10"/>
          <w:sz w:val="16"/>
        </w:rPr>
        <w:t> </w:t>
      </w:r>
      <w:r>
        <w:rPr>
          <w:w w:val="107"/>
          <w:sz w:val="16"/>
        </w:rPr>
        <w:t>adonde</w:t>
      </w:r>
      <w:r>
        <w:rPr>
          <w:sz w:val="16"/>
        </w:rPr>
        <w:t> </w:t>
      </w:r>
      <w:r>
        <w:rPr>
          <w:spacing w:val="-10"/>
          <w:sz w:val="16"/>
        </w:rPr>
        <w:t> </w:t>
      </w:r>
      <w:r>
        <w:rPr>
          <w:w w:val="108"/>
          <w:sz w:val="16"/>
        </w:rPr>
        <w:t>más</w:t>
      </w:r>
      <w:r>
        <w:rPr>
          <w:sz w:val="16"/>
        </w:rPr>
        <w:t> </w:t>
      </w:r>
      <w:r>
        <w:rPr>
          <w:spacing w:val="-10"/>
          <w:sz w:val="16"/>
        </w:rPr>
        <w:t> </w:t>
      </w:r>
      <w:r>
        <w:rPr>
          <w:w w:val="102"/>
          <w:sz w:val="16"/>
        </w:rPr>
        <w:t>se </w:t>
      </w:r>
      <w:r>
        <w:rPr>
          <w:w w:val="110"/>
          <w:sz w:val="16"/>
        </w:rPr>
        <w:t>necesite”,</w:t>
      </w:r>
      <w:r>
        <w:rPr>
          <w:spacing w:val="-11"/>
          <w:w w:val="110"/>
          <w:sz w:val="16"/>
        </w:rPr>
        <w:t> </w:t>
      </w:r>
      <w:r>
        <w:rPr>
          <w:i/>
          <w:w w:val="110"/>
          <w:sz w:val="16"/>
        </w:rPr>
        <w:t>The</w:t>
      </w:r>
      <w:r>
        <w:rPr>
          <w:i/>
          <w:spacing w:val="-11"/>
          <w:w w:val="110"/>
          <w:sz w:val="16"/>
        </w:rPr>
        <w:t> </w:t>
      </w:r>
      <w:r>
        <w:rPr>
          <w:i/>
          <w:w w:val="110"/>
          <w:sz w:val="16"/>
        </w:rPr>
        <w:t>Washington</w:t>
      </w:r>
      <w:r>
        <w:rPr>
          <w:i/>
          <w:spacing w:val="-11"/>
          <w:w w:val="110"/>
          <w:sz w:val="16"/>
        </w:rPr>
        <w:t> </w:t>
      </w:r>
      <w:r>
        <w:rPr>
          <w:i/>
          <w:w w:val="110"/>
          <w:sz w:val="16"/>
        </w:rPr>
        <w:t>Post</w:t>
      </w:r>
      <w:r>
        <w:rPr>
          <w:i/>
          <w:spacing w:val="-11"/>
          <w:w w:val="110"/>
          <w:sz w:val="16"/>
        </w:rPr>
        <w:t> </w:t>
      </w:r>
      <w:r>
        <w:rPr>
          <w:w w:val="110"/>
          <w:sz w:val="16"/>
        </w:rPr>
        <w:t>(11</w:t>
      </w:r>
      <w:r>
        <w:rPr>
          <w:spacing w:val="-11"/>
          <w:w w:val="110"/>
          <w:sz w:val="16"/>
        </w:rPr>
        <w:t> </w:t>
      </w:r>
      <w:r>
        <w:rPr>
          <w:w w:val="110"/>
          <w:sz w:val="16"/>
        </w:rPr>
        <w:t>de</w:t>
      </w:r>
      <w:r>
        <w:rPr>
          <w:spacing w:val="-11"/>
          <w:w w:val="110"/>
          <w:sz w:val="16"/>
        </w:rPr>
        <w:t> </w:t>
      </w:r>
      <w:r>
        <w:rPr>
          <w:w w:val="110"/>
          <w:sz w:val="16"/>
        </w:rPr>
        <w:t>junio</w:t>
      </w:r>
      <w:r>
        <w:rPr>
          <w:spacing w:val="-11"/>
          <w:w w:val="110"/>
          <w:sz w:val="16"/>
        </w:rPr>
        <w:t> </w:t>
      </w:r>
      <w:r>
        <w:rPr>
          <w:w w:val="110"/>
          <w:sz w:val="16"/>
        </w:rPr>
        <w:t>de</w:t>
      </w:r>
      <w:r>
        <w:rPr>
          <w:spacing w:val="-11"/>
          <w:w w:val="110"/>
          <w:sz w:val="16"/>
        </w:rPr>
        <w:t> </w:t>
      </w:r>
      <w:r>
        <w:rPr>
          <w:w w:val="110"/>
          <w:sz w:val="16"/>
        </w:rPr>
        <w:t>2007).</w:t>
      </w:r>
    </w:p>
    <w:p>
      <w:pPr>
        <w:pStyle w:val="ListParagraph"/>
        <w:numPr>
          <w:ilvl w:val="0"/>
          <w:numId w:val="9"/>
        </w:numPr>
        <w:tabs>
          <w:tab w:pos="586" w:val="left" w:leader="none"/>
        </w:tabs>
        <w:spacing w:line="242" w:lineRule="auto" w:before="57" w:after="0"/>
        <w:ind w:left="330" w:right="116" w:firstLine="0"/>
        <w:jc w:val="both"/>
        <w:rPr>
          <w:sz w:val="16"/>
        </w:rPr>
      </w:pPr>
      <w:r>
        <w:rPr>
          <w:spacing w:val="1"/>
          <w:w w:val="111"/>
          <w:sz w:val="16"/>
        </w:rPr>
        <w:t>Cita</w:t>
      </w:r>
      <w:r>
        <w:rPr>
          <w:w w:val="111"/>
          <w:sz w:val="16"/>
        </w:rPr>
        <w:t>s</w:t>
      </w:r>
      <w:r>
        <w:rPr>
          <w:sz w:val="16"/>
        </w:rPr>
        <w:t> </w:t>
      </w:r>
      <w:r>
        <w:rPr>
          <w:spacing w:val="2"/>
          <w:sz w:val="16"/>
        </w:rPr>
        <w:t> </w:t>
      </w:r>
      <w:r>
        <w:rPr>
          <w:spacing w:val="1"/>
          <w:w w:val="104"/>
          <w:sz w:val="16"/>
        </w:rPr>
        <w:t>d</w:t>
      </w:r>
      <w:r>
        <w:rPr>
          <w:w w:val="104"/>
          <w:sz w:val="16"/>
        </w:rPr>
        <w:t>e</w:t>
      </w:r>
      <w:r>
        <w:rPr>
          <w:sz w:val="16"/>
        </w:rPr>
        <w:t> </w:t>
      </w:r>
      <w:r>
        <w:rPr>
          <w:spacing w:val="2"/>
          <w:sz w:val="16"/>
        </w:rPr>
        <w:t> </w:t>
      </w:r>
      <w:r>
        <w:rPr>
          <w:spacing w:val="1"/>
          <w:w w:val="131"/>
          <w:sz w:val="16"/>
        </w:rPr>
        <w:t>b</w:t>
      </w:r>
      <w:r>
        <w:rPr>
          <w:spacing w:val="1"/>
          <w:w w:val="108"/>
          <w:sz w:val="16"/>
        </w:rPr>
        <w:t>arac</w:t>
      </w:r>
      <w:r>
        <w:rPr>
          <w:w w:val="108"/>
          <w:sz w:val="16"/>
        </w:rPr>
        <w:t>k</w:t>
      </w:r>
      <w:r>
        <w:rPr>
          <w:sz w:val="16"/>
        </w:rPr>
        <w:t> </w:t>
      </w:r>
      <w:r>
        <w:rPr>
          <w:spacing w:val="2"/>
          <w:sz w:val="16"/>
        </w:rPr>
        <w:t> </w:t>
      </w:r>
      <w:r>
        <w:rPr>
          <w:spacing w:val="1"/>
          <w:w w:val="146"/>
          <w:sz w:val="16"/>
        </w:rPr>
        <w:t>o</w:t>
      </w:r>
      <w:r>
        <w:rPr>
          <w:spacing w:val="1"/>
          <w:w w:val="110"/>
          <w:sz w:val="16"/>
        </w:rPr>
        <w:t>bam</w:t>
      </w:r>
      <w:r>
        <w:rPr>
          <w:w w:val="110"/>
          <w:sz w:val="16"/>
        </w:rPr>
        <w:t>a</w:t>
      </w:r>
      <w:r>
        <w:rPr>
          <w:sz w:val="16"/>
        </w:rPr>
        <w:t> </w:t>
      </w:r>
      <w:r>
        <w:rPr>
          <w:spacing w:val="2"/>
          <w:sz w:val="16"/>
        </w:rPr>
        <w:t> </w:t>
      </w:r>
      <w:r>
        <w:rPr>
          <w:spacing w:val="1"/>
          <w:w w:val="108"/>
          <w:sz w:val="16"/>
        </w:rPr>
        <w:t>tomada</w:t>
      </w:r>
      <w:r>
        <w:rPr>
          <w:w w:val="108"/>
          <w:sz w:val="16"/>
        </w:rPr>
        <w:t>s</w:t>
      </w:r>
      <w:r>
        <w:rPr>
          <w:sz w:val="16"/>
        </w:rPr>
        <w:t> </w:t>
      </w:r>
      <w:r>
        <w:rPr>
          <w:spacing w:val="2"/>
          <w:sz w:val="16"/>
        </w:rPr>
        <w:t> </w:t>
      </w:r>
      <w:r>
        <w:rPr>
          <w:spacing w:val="1"/>
          <w:w w:val="104"/>
          <w:sz w:val="16"/>
        </w:rPr>
        <w:t>d</w:t>
      </w:r>
      <w:r>
        <w:rPr>
          <w:w w:val="104"/>
          <w:sz w:val="16"/>
        </w:rPr>
        <w:t>e</w:t>
      </w:r>
      <w:r>
        <w:rPr>
          <w:sz w:val="16"/>
        </w:rPr>
        <w:t> </w:t>
      </w:r>
      <w:r>
        <w:rPr>
          <w:spacing w:val="2"/>
          <w:sz w:val="16"/>
        </w:rPr>
        <w:t> </w:t>
      </w:r>
      <w:r>
        <w:rPr>
          <w:spacing w:val="1"/>
          <w:w w:val="111"/>
          <w:sz w:val="16"/>
        </w:rPr>
        <w:t>Notimex</w:t>
      </w:r>
      <w:r>
        <w:rPr>
          <w:w w:val="111"/>
          <w:sz w:val="16"/>
        </w:rPr>
        <w:t>.</w:t>
      </w:r>
      <w:r>
        <w:rPr>
          <w:sz w:val="16"/>
        </w:rPr>
        <w:t> </w:t>
      </w:r>
      <w:r>
        <w:rPr>
          <w:spacing w:val="2"/>
          <w:sz w:val="16"/>
        </w:rPr>
        <w:t> </w:t>
      </w:r>
      <w:r>
        <w:rPr>
          <w:spacing w:val="1"/>
          <w:w w:val="110"/>
          <w:sz w:val="16"/>
        </w:rPr>
        <w:t>“Conferenci</w:t>
      </w:r>
      <w:r>
        <w:rPr>
          <w:w w:val="110"/>
          <w:sz w:val="16"/>
        </w:rPr>
        <w:t>a</w:t>
      </w:r>
      <w:r>
        <w:rPr>
          <w:sz w:val="16"/>
        </w:rPr>
        <w:t> </w:t>
      </w:r>
      <w:r>
        <w:rPr>
          <w:spacing w:val="2"/>
          <w:sz w:val="16"/>
        </w:rPr>
        <w:t> </w:t>
      </w:r>
      <w:r>
        <w:rPr>
          <w:spacing w:val="1"/>
          <w:w w:val="238"/>
          <w:sz w:val="16"/>
        </w:rPr>
        <w:t>l</w:t>
      </w:r>
      <w:r>
        <w:rPr>
          <w:spacing w:val="1"/>
          <w:w w:val="106"/>
          <w:sz w:val="16"/>
        </w:rPr>
        <w:t>egislativ</w:t>
      </w:r>
      <w:r>
        <w:rPr>
          <w:w w:val="106"/>
          <w:sz w:val="16"/>
        </w:rPr>
        <w:t>a</w:t>
      </w:r>
      <w:r>
        <w:rPr>
          <w:sz w:val="16"/>
        </w:rPr>
        <w:t> </w:t>
      </w:r>
      <w:r>
        <w:rPr>
          <w:spacing w:val="2"/>
          <w:sz w:val="16"/>
        </w:rPr>
        <w:t> </w:t>
      </w:r>
      <w:r>
        <w:rPr>
          <w:spacing w:val="1"/>
          <w:w w:val="104"/>
          <w:sz w:val="16"/>
        </w:rPr>
        <w:t>d</w:t>
      </w:r>
      <w:r>
        <w:rPr>
          <w:w w:val="104"/>
          <w:sz w:val="16"/>
        </w:rPr>
        <w:t>e</w:t>
      </w:r>
      <w:r>
        <w:rPr>
          <w:sz w:val="16"/>
        </w:rPr>
        <w:t> </w:t>
      </w:r>
      <w:r>
        <w:rPr>
          <w:spacing w:val="2"/>
          <w:sz w:val="16"/>
        </w:rPr>
        <w:t> </w:t>
      </w:r>
      <w:r>
        <w:rPr>
          <w:spacing w:val="1"/>
          <w:w w:val="109"/>
          <w:sz w:val="16"/>
        </w:rPr>
        <w:t>la </w:t>
      </w:r>
      <w:r>
        <w:rPr>
          <w:w w:val="110"/>
          <w:sz w:val="16"/>
        </w:rPr>
        <w:t>Cámara de Comercio Hispana de Estados unidos”, Washington d.C. (10 de marzo  </w:t>
      </w:r>
      <w:r>
        <w:rPr>
          <w:w w:val="105"/>
          <w:sz w:val="16"/>
        </w:rPr>
        <w:t>de</w:t>
      </w:r>
      <w:r>
        <w:rPr>
          <w:spacing w:val="5"/>
          <w:w w:val="105"/>
          <w:sz w:val="16"/>
        </w:rPr>
        <w:t> </w:t>
      </w:r>
      <w:r>
        <w:rPr>
          <w:w w:val="105"/>
          <w:sz w:val="16"/>
        </w:rPr>
        <w:t>2009).</w:t>
      </w:r>
    </w:p>
    <w:p>
      <w:pPr>
        <w:spacing w:after="0" w:line="242" w:lineRule="auto"/>
        <w:jc w:val="both"/>
        <w:rPr>
          <w:sz w:val="16"/>
        </w:rPr>
        <w:sectPr>
          <w:footerReference w:type="default" r:id="rId247"/>
          <w:footerReference w:type="even" r:id="rId248"/>
          <w:pgSz w:w="8790" w:h="12760"/>
          <w:pgMar w:footer="725" w:header="695" w:top="880" w:bottom="920" w:left="1200" w:right="900"/>
        </w:sectPr>
      </w:pPr>
    </w:p>
    <w:p>
      <w:pPr>
        <w:pStyle w:val="BodyText"/>
        <w:spacing w:before="9"/>
        <w:rPr>
          <w:sz w:val="28"/>
        </w:rPr>
      </w:pPr>
    </w:p>
    <w:p>
      <w:pPr>
        <w:pStyle w:val="BodyText"/>
        <w:spacing w:line="252" w:lineRule="auto" w:before="73"/>
        <w:ind w:left="120" w:right="327"/>
        <w:jc w:val="both"/>
      </w:pPr>
      <w:r>
        <w:rPr>
          <w:w w:val="110"/>
        </w:rPr>
        <w:t>la enseñanza es insostenible…”. adelantó que instruyó al secretario   de Educación, arne duncan, con el fin de crear para el curso escolar 2015 un nuevo sistema de evaluación de las universidades basado en su</w:t>
      </w:r>
      <w:r>
        <w:rPr>
          <w:spacing w:val="-6"/>
          <w:w w:val="110"/>
        </w:rPr>
        <w:t> </w:t>
      </w:r>
      <w:r>
        <w:rPr>
          <w:w w:val="110"/>
        </w:rPr>
        <w:t>valor</w:t>
      </w:r>
      <w:r>
        <w:rPr>
          <w:spacing w:val="-6"/>
          <w:w w:val="110"/>
        </w:rPr>
        <w:t> </w:t>
      </w:r>
      <w:r>
        <w:rPr>
          <w:w w:val="110"/>
        </w:rPr>
        <w:t>para</w:t>
      </w:r>
      <w:r>
        <w:rPr>
          <w:spacing w:val="-6"/>
          <w:w w:val="110"/>
        </w:rPr>
        <w:t> </w:t>
      </w:r>
      <w:r>
        <w:rPr>
          <w:w w:val="110"/>
        </w:rPr>
        <w:t>los</w:t>
      </w:r>
      <w:r>
        <w:rPr>
          <w:spacing w:val="-6"/>
          <w:w w:val="110"/>
        </w:rPr>
        <w:t> </w:t>
      </w:r>
      <w:r>
        <w:rPr>
          <w:w w:val="110"/>
        </w:rPr>
        <w:t>estudiantes</w:t>
      </w:r>
      <w:r>
        <w:rPr>
          <w:spacing w:val="-6"/>
          <w:w w:val="110"/>
        </w:rPr>
        <w:t> </w:t>
      </w:r>
      <w:r>
        <w:rPr>
          <w:w w:val="110"/>
        </w:rPr>
        <w:t>y</w:t>
      </w:r>
      <w:r>
        <w:rPr>
          <w:spacing w:val="-6"/>
          <w:w w:val="110"/>
        </w:rPr>
        <w:t> </w:t>
      </w:r>
      <w:r>
        <w:rPr>
          <w:w w:val="110"/>
        </w:rPr>
        <w:t>los</w:t>
      </w:r>
      <w:r>
        <w:rPr>
          <w:spacing w:val="-6"/>
          <w:w w:val="110"/>
        </w:rPr>
        <w:t> </w:t>
      </w:r>
      <w:r>
        <w:rPr>
          <w:w w:val="110"/>
        </w:rPr>
        <w:t>resultados,</w:t>
      </w:r>
      <w:r>
        <w:rPr>
          <w:spacing w:val="-6"/>
          <w:w w:val="110"/>
        </w:rPr>
        <w:t> </w:t>
      </w:r>
      <w:r>
        <w:rPr>
          <w:w w:val="110"/>
        </w:rPr>
        <w:t>y</w:t>
      </w:r>
      <w:r>
        <w:rPr>
          <w:spacing w:val="-6"/>
          <w:w w:val="110"/>
        </w:rPr>
        <w:t> </w:t>
      </w:r>
      <w:r>
        <w:rPr>
          <w:w w:val="110"/>
        </w:rPr>
        <w:t>no</w:t>
      </w:r>
      <w:r>
        <w:rPr>
          <w:spacing w:val="-6"/>
          <w:w w:val="110"/>
        </w:rPr>
        <w:t> </w:t>
      </w:r>
      <w:r>
        <w:rPr>
          <w:w w:val="110"/>
        </w:rPr>
        <w:t>en</w:t>
      </w:r>
      <w:r>
        <w:rPr>
          <w:spacing w:val="-6"/>
          <w:w w:val="110"/>
        </w:rPr>
        <w:t> </w:t>
      </w:r>
      <w:r>
        <w:rPr>
          <w:w w:val="110"/>
        </w:rPr>
        <w:t>criterios</w:t>
      </w:r>
      <w:r>
        <w:rPr>
          <w:spacing w:val="-6"/>
          <w:w w:val="110"/>
        </w:rPr>
        <w:t> </w:t>
      </w:r>
      <w:r>
        <w:rPr>
          <w:w w:val="110"/>
        </w:rPr>
        <w:t>como</w:t>
      </w:r>
      <w:r>
        <w:rPr>
          <w:spacing w:val="-6"/>
          <w:w w:val="110"/>
        </w:rPr>
        <w:t> </w:t>
      </w:r>
      <w:r>
        <w:rPr>
          <w:w w:val="110"/>
        </w:rPr>
        <w:t>su exclusividad o la estética de sus instalaciones. </w:t>
      </w:r>
      <w:r>
        <w:rPr>
          <w:spacing w:val="-3"/>
          <w:w w:val="110"/>
        </w:rPr>
        <w:t>también </w:t>
      </w:r>
      <w:r>
        <w:rPr>
          <w:w w:val="110"/>
        </w:rPr>
        <w:t>prometió pro- gramas para asegurarse que los estudiantes con deudas universitarias pudieran pagarlas y cambios radicales en la forma en que los alumnos de ese nivel recibirán ayuda financiera</w:t>
      </w:r>
      <w:r>
        <w:rPr>
          <w:spacing w:val="29"/>
          <w:w w:val="110"/>
        </w:rPr>
        <w:t> </w:t>
      </w:r>
      <w:r>
        <w:rPr>
          <w:w w:val="110"/>
        </w:rPr>
        <w:t>federal.</w:t>
      </w:r>
    </w:p>
    <w:p>
      <w:pPr>
        <w:pStyle w:val="BodyText"/>
        <w:spacing w:before="11"/>
      </w:pPr>
    </w:p>
    <w:p>
      <w:pPr>
        <w:pStyle w:val="BodyText"/>
        <w:spacing w:line="252" w:lineRule="auto"/>
        <w:ind w:left="120" w:right="328"/>
        <w:jc w:val="both"/>
      </w:pPr>
      <w:r>
        <w:rPr>
          <w:i/>
          <w:w w:val="110"/>
        </w:rPr>
        <w:t>Energética. </w:t>
      </w:r>
      <w:r>
        <w:rPr>
          <w:w w:val="110"/>
        </w:rPr>
        <w:t>El temprano nombramiento de un cualificado académico al frente del departamento Nacional de Energía (NdE), steven Chu, generaría expectativas optimistas en la comunidad científica. El pre- sidente obama (en polémica con el reclamo republicano de abatir drásticamente el déficit federal de 14,3 billones de us$, entre otros, mediante la reducción en 70% del </w:t>
      </w:r>
      <w:r>
        <w:rPr>
          <w:i/>
          <w:w w:val="110"/>
        </w:rPr>
        <w:t>programa de garantía de préstamos </w:t>
      </w:r>
      <w:r>
        <w:rPr>
          <w:w w:val="110"/>
        </w:rPr>
        <w:t>del NdE que incentivaba energías renovables) expresó que, frente al alza de los precios del petróleo, debería ponérsele fin al incentivo fis- cal que recibía la industria petrolera y gasífera </w:t>
      </w:r>
      <w:r>
        <w:rPr>
          <w:spacing w:val="-11"/>
          <w:w w:val="110"/>
        </w:rPr>
        <w:t>y, </w:t>
      </w:r>
      <w:r>
        <w:rPr>
          <w:w w:val="110"/>
        </w:rPr>
        <w:t>en su </w:t>
      </w:r>
      <w:r>
        <w:rPr>
          <w:spacing w:val="-4"/>
          <w:w w:val="110"/>
        </w:rPr>
        <w:t>lugar, </w:t>
      </w:r>
      <w:r>
        <w:rPr>
          <w:w w:val="110"/>
        </w:rPr>
        <w:t>dedicarlo a la inversión para el desarrollo de las energías renovables y limpias, las del futuro en el largo </w:t>
      </w:r>
      <w:r>
        <w:rPr>
          <w:spacing w:val="5"/>
          <w:w w:val="110"/>
        </w:rPr>
        <w:t> </w:t>
      </w:r>
      <w:r>
        <w:rPr>
          <w:w w:val="110"/>
        </w:rPr>
        <w:t>plazo</w:t>
      </w:r>
      <w:r>
        <w:rPr>
          <w:w w:val="110"/>
          <w:position w:val="7"/>
          <w:sz w:val="11"/>
        </w:rPr>
        <w:t>5</w:t>
      </w:r>
      <w:r>
        <w:rPr>
          <w:w w:val="110"/>
        </w:rPr>
        <w:t>.</w:t>
      </w:r>
    </w:p>
    <w:p>
      <w:pPr>
        <w:pStyle w:val="BodyText"/>
        <w:spacing w:line="252" w:lineRule="auto"/>
        <w:ind w:left="120" w:right="327" w:firstLine="396"/>
        <w:jc w:val="both"/>
      </w:pPr>
      <w:r>
        <w:rPr>
          <w:spacing w:val="-13"/>
          <w:w w:val="120"/>
        </w:rPr>
        <w:t>Y, </w:t>
      </w:r>
      <w:r>
        <w:rPr>
          <w:w w:val="110"/>
        </w:rPr>
        <w:t>si bien se diseñaron proyectos que presuntamente suplirían el tránsito hacia la autosuficiencia energética doméstica por vías </w:t>
      </w:r>
      <w:r>
        <w:rPr>
          <w:spacing w:val="-3"/>
          <w:w w:val="110"/>
        </w:rPr>
        <w:t>alter- </w:t>
      </w:r>
      <w:r>
        <w:rPr>
          <w:w w:val="110"/>
        </w:rPr>
        <w:t>nativas, no obstante la línea principal de decisiones transitaría, como otrora, por los intereses económicos de las </w:t>
      </w:r>
      <w:r>
        <w:rPr>
          <w:w w:val="120"/>
        </w:rPr>
        <w:t>CtN </w:t>
      </w:r>
      <w:r>
        <w:rPr>
          <w:w w:val="110"/>
        </w:rPr>
        <w:t>petroleras y su afán de conquista </w:t>
      </w:r>
      <w:r>
        <w:rPr>
          <w:i/>
          <w:w w:val="110"/>
        </w:rPr>
        <w:t>manu militari </w:t>
      </w:r>
      <w:r>
        <w:rPr>
          <w:w w:val="110"/>
        </w:rPr>
        <w:t>de las reservas fósiles </w:t>
      </w:r>
      <w:r>
        <w:rPr>
          <w:spacing w:val="1"/>
          <w:w w:val="110"/>
        </w:rPr>
        <w:t> </w:t>
      </w:r>
      <w:r>
        <w:rPr>
          <w:w w:val="110"/>
        </w:rPr>
        <w:t>planetarias.</w:t>
      </w:r>
    </w:p>
    <w:p>
      <w:pPr>
        <w:pStyle w:val="BodyText"/>
        <w:spacing w:line="252" w:lineRule="auto"/>
        <w:ind w:left="120" w:right="328" w:firstLine="397"/>
        <w:jc w:val="both"/>
      </w:pPr>
      <w:r>
        <w:rPr>
          <w:w w:val="243"/>
        </w:rPr>
        <w:t>l</w:t>
      </w:r>
      <w:r>
        <w:rPr>
          <w:w w:val="109"/>
        </w:rPr>
        <w:t>ograr</w:t>
      </w:r>
      <w:r>
        <w:rPr/>
        <w:t>  </w:t>
      </w:r>
      <w:r>
        <w:rPr>
          <w:w w:val="110"/>
        </w:rPr>
        <w:t>hasta</w:t>
      </w:r>
      <w:r>
        <w:rPr/>
        <w:t>  </w:t>
      </w:r>
      <w:r>
        <w:rPr>
          <w:w w:val="112"/>
        </w:rPr>
        <w:t>un</w:t>
      </w:r>
      <w:r>
        <w:rPr/>
        <w:t>  </w:t>
      </w:r>
      <w:r>
        <w:rPr>
          <w:w w:val="102"/>
        </w:rPr>
        <w:t>25%</w:t>
      </w:r>
      <w:r>
        <w:rPr/>
        <w:t>  </w:t>
      </w:r>
      <w:r>
        <w:rPr>
          <w:w w:val="107"/>
        </w:rPr>
        <w:t>del</w:t>
      </w:r>
      <w:r>
        <w:rPr/>
        <w:t>  </w:t>
      </w:r>
      <w:r>
        <w:rPr>
          <w:w w:val="111"/>
        </w:rPr>
        <w:t>balance</w:t>
      </w:r>
      <w:r>
        <w:rPr/>
        <w:t>  </w:t>
      </w:r>
      <w:r>
        <w:rPr>
          <w:w w:val="108"/>
        </w:rPr>
        <w:t>energético</w:t>
      </w:r>
      <w:r>
        <w:rPr/>
        <w:t>  </w:t>
      </w:r>
      <w:r>
        <w:rPr>
          <w:w w:val="109"/>
        </w:rPr>
        <w:t>interno</w:t>
      </w:r>
      <w:r>
        <w:rPr/>
        <w:t>  </w:t>
      </w:r>
      <w:r>
        <w:rPr>
          <w:w w:val="109"/>
        </w:rPr>
        <w:t>mediante </w:t>
      </w:r>
      <w:r>
        <w:rPr>
          <w:w w:val="110"/>
        </w:rPr>
        <w:t>agrocombustibles suscitaría dudas acerca de su eficacia económica, sostenibilidad medioambiental y competencia con la alimentación humana, nivel que, aún asumiéndolo, sería insuficiente. El controver- tido </w:t>
      </w:r>
      <w:r>
        <w:rPr>
          <w:i/>
          <w:w w:val="110"/>
        </w:rPr>
        <w:t>fracking </w:t>
      </w:r>
      <w:r>
        <w:rPr>
          <w:w w:val="110"/>
        </w:rPr>
        <w:t>sería la otra alternativa con que despertaría expectativas de autosuficiencia energética doméstica (por el abundante recurso carbonífero-esquistoso del subsuelo y la relativa facilidad tecnológi- ca y monetaria de su extracción, además de ser compatible con la infraestructura gaso/petrolera vigente), aunque… si altamente noci- va desde el punto de vista medioambiental, por su incontrolable con- taminación </w:t>
      </w:r>
      <w:r>
        <w:rPr>
          <w:i/>
          <w:w w:val="110"/>
        </w:rPr>
        <w:t>ad aeternum </w:t>
      </w:r>
      <w:r>
        <w:rPr>
          <w:w w:val="110"/>
        </w:rPr>
        <w:t>del manto freático, las principales cuencas hídricas –inclusive el Golfo de México– y, de paso, inutilizar irrecu- perablemente el agua químicamente afectada para faenas agrícolas, industriales y domésticas.</w:t>
      </w:r>
    </w:p>
    <w:p>
      <w:pPr>
        <w:pStyle w:val="BodyText"/>
        <w:spacing w:before="1"/>
        <w:rPr>
          <w:sz w:val="23"/>
        </w:rPr>
      </w:pPr>
      <w:r>
        <w:rPr/>
        <w:pict>
          <v:line style="position:absolute;mso-position-horizontal-relative:page;mso-position-vertical-relative:paragraph;z-index:4048;mso-wrap-distance-left:0;mso-wrap-distance-right:0" from="51.023602pt,15.76003pt" to="79.369602pt,15.76003pt" stroked="true" strokeweight=".5pt" strokecolor="#000000">
            <w10:wrap type="topAndBottom"/>
          </v:line>
        </w:pict>
      </w:r>
    </w:p>
    <w:p>
      <w:pPr>
        <w:pStyle w:val="ListParagraph"/>
        <w:numPr>
          <w:ilvl w:val="0"/>
          <w:numId w:val="9"/>
        </w:numPr>
        <w:tabs>
          <w:tab w:pos="376" w:val="left" w:leader="none"/>
        </w:tabs>
        <w:spacing w:line="242" w:lineRule="auto" w:before="89" w:after="0"/>
        <w:ind w:left="120" w:right="328" w:firstLine="0"/>
        <w:jc w:val="both"/>
        <w:rPr>
          <w:sz w:val="16"/>
        </w:rPr>
      </w:pPr>
      <w:r>
        <w:rPr>
          <w:w w:val="110"/>
          <w:sz w:val="16"/>
        </w:rPr>
        <w:t>EFE, “obama favorece energía renovable frente al alza del petróleo”. </w:t>
      </w:r>
      <w:r>
        <w:rPr>
          <w:i/>
          <w:w w:val="110"/>
          <w:sz w:val="16"/>
        </w:rPr>
        <w:t>Boletín de </w:t>
      </w:r>
      <w:r>
        <w:rPr>
          <w:i/>
          <w:w w:val="110"/>
          <w:sz w:val="16"/>
        </w:rPr>
        <w:t>Noticias</w:t>
      </w:r>
      <w:r>
        <w:rPr>
          <w:i/>
          <w:spacing w:val="14"/>
          <w:sz w:val="16"/>
        </w:rPr>
        <w:t> </w:t>
      </w:r>
      <w:r>
        <w:rPr>
          <w:i/>
          <w:w w:val="112"/>
          <w:sz w:val="16"/>
        </w:rPr>
        <w:t>Económicas</w:t>
      </w:r>
      <w:r>
        <w:rPr>
          <w:w w:val="135"/>
          <w:sz w:val="16"/>
        </w:rPr>
        <w:t>.</w:t>
      </w:r>
      <w:r>
        <w:rPr>
          <w:spacing w:val="14"/>
          <w:sz w:val="16"/>
        </w:rPr>
        <w:t> </w:t>
      </w:r>
      <w:r>
        <w:rPr>
          <w:w w:val="109"/>
          <w:sz w:val="16"/>
        </w:rPr>
        <w:t>Ministerio</w:t>
      </w:r>
      <w:r>
        <w:rPr>
          <w:spacing w:val="14"/>
          <w:sz w:val="16"/>
        </w:rPr>
        <w:t> </w:t>
      </w:r>
      <w:r>
        <w:rPr>
          <w:w w:val="104"/>
          <w:sz w:val="16"/>
        </w:rPr>
        <w:t>de</w:t>
      </w:r>
      <w:r>
        <w:rPr>
          <w:spacing w:val="14"/>
          <w:sz w:val="16"/>
        </w:rPr>
        <w:t> </w:t>
      </w:r>
      <w:r>
        <w:rPr>
          <w:w w:val="112"/>
          <w:sz w:val="16"/>
        </w:rPr>
        <w:t>Economía</w:t>
      </w:r>
      <w:r>
        <w:rPr>
          <w:spacing w:val="14"/>
          <w:sz w:val="16"/>
        </w:rPr>
        <w:t> </w:t>
      </w:r>
      <w:r>
        <w:rPr>
          <w:w w:val="102"/>
          <w:sz w:val="16"/>
        </w:rPr>
        <w:t>y</w:t>
      </w:r>
      <w:r>
        <w:rPr>
          <w:spacing w:val="14"/>
          <w:sz w:val="16"/>
        </w:rPr>
        <w:t> </w:t>
      </w:r>
      <w:r>
        <w:rPr>
          <w:w w:val="110"/>
          <w:sz w:val="16"/>
        </w:rPr>
        <w:t>Planificación,</w:t>
      </w:r>
      <w:r>
        <w:rPr>
          <w:spacing w:val="14"/>
          <w:sz w:val="16"/>
        </w:rPr>
        <w:t> </w:t>
      </w:r>
      <w:r>
        <w:rPr>
          <w:w w:val="238"/>
          <w:sz w:val="16"/>
        </w:rPr>
        <w:t>l</w:t>
      </w:r>
      <w:r>
        <w:rPr>
          <w:w w:val="109"/>
          <w:sz w:val="16"/>
        </w:rPr>
        <w:t>a</w:t>
      </w:r>
      <w:r>
        <w:rPr>
          <w:spacing w:val="14"/>
          <w:sz w:val="16"/>
        </w:rPr>
        <w:t> </w:t>
      </w:r>
      <w:r>
        <w:rPr>
          <w:w w:val="113"/>
          <w:sz w:val="16"/>
        </w:rPr>
        <w:t>Habana,</w:t>
      </w:r>
      <w:r>
        <w:rPr>
          <w:spacing w:val="14"/>
          <w:sz w:val="16"/>
        </w:rPr>
        <w:t> </w:t>
      </w:r>
      <w:r>
        <w:rPr>
          <w:w w:val="102"/>
          <w:sz w:val="16"/>
        </w:rPr>
        <w:t>Nº</w:t>
      </w:r>
      <w:r>
        <w:rPr>
          <w:spacing w:val="14"/>
          <w:sz w:val="16"/>
        </w:rPr>
        <w:t> </w:t>
      </w:r>
      <w:r>
        <w:rPr>
          <w:w w:val="103"/>
          <w:sz w:val="16"/>
        </w:rPr>
        <w:t>1.479 </w:t>
      </w:r>
      <w:r>
        <w:rPr>
          <w:w w:val="110"/>
          <w:sz w:val="16"/>
        </w:rPr>
        <w:t>(24</w:t>
      </w:r>
      <w:r>
        <w:rPr>
          <w:spacing w:val="-15"/>
          <w:w w:val="110"/>
          <w:sz w:val="16"/>
        </w:rPr>
        <w:t> </w:t>
      </w:r>
      <w:r>
        <w:rPr>
          <w:w w:val="110"/>
          <w:sz w:val="16"/>
        </w:rPr>
        <w:t>de</w:t>
      </w:r>
      <w:r>
        <w:rPr>
          <w:spacing w:val="-15"/>
          <w:w w:val="110"/>
          <w:sz w:val="16"/>
        </w:rPr>
        <w:t> </w:t>
      </w:r>
      <w:r>
        <w:rPr>
          <w:w w:val="110"/>
          <w:sz w:val="16"/>
        </w:rPr>
        <w:t>abril</w:t>
      </w:r>
      <w:r>
        <w:rPr>
          <w:spacing w:val="-15"/>
          <w:w w:val="110"/>
          <w:sz w:val="16"/>
        </w:rPr>
        <w:t> </w:t>
      </w:r>
      <w:r>
        <w:rPr>
          <w:w w:val="110"/>
          <w:sz w:val="16"/>
        </w:rPr>
        <w:t>de</w:t>
      </w:r>
      <w:r>
        <w:rPr>
          <w:spacing w:val="-15"/>
          <w:w w:val="110"/>
          <w:sz w:val="16"/>
        </w:rPr>
        <w:t> </w:t>
      </w:r>
      <w:r>
        <w:rPr>
          <w:w w:val="110"/>
          <w:sz w:val="16"/>
        </w:rPr>
        <w:t>2011).</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8" w:firstLine="396"/>
        <w:jc w:val="both"/>
      </w:pPr>
      <w:r>
        <w:rPr>
          <w:w w:val="110"/>
        </w:rPr>
        <w:t>a pesar de las serias advertencias de la comunidad científica y de las verificadas denuncias de la sociedad civil, ambas opciones serían las que en definitiva adoptaría el presidente, con inmediatez econo- micista y la elocuencia de </w:t>
      </w:r>
      <w:r>
        <w:rPr>
          <w:i/>
          <w:w w:val="110"/>
        </w:rPr>
        <w:t>importantes negocios innovativos en auto- </w:t>
      </w:r>
      <w:r>
        <w:rPr>
          <w:i/>
          <w:w w:val="110"/>
        </w:rPr>
        <w:t>suficiencia energética</w:t>
      </w:r>
      <w:r>
        <w:rPr>
          <w:w w:val="110"/>
        </w:rPr>
        <w:t>, contrarios a sus enunciados de sostenibilidad ecológica  a futuro.</w:t>
      </w:r>
    </w:p>
    <w:p>
      <w:pPr>
        <w:pStyle w:val="BodyText"/>
        <w:spacing w:line="252" w:lineRule="auto"/>
        <w:ind w:left="330" w:right="117" w:firstLine="396"/>
        <w:jc w:val="right"/>
      </w:pPr>
      <w:r>
        <w:rPr>
          <w:w w:val="110"/>
        </w:rPr>
        <w:t>Por otro lado, la energía nuclear, si bien recibiría el visto bue-</w:t>
      </w:r>
      <w:r>
        <w:rPr>
          <w:w w:val="102"/>
        </w:rPr>
        <w:t> </w:t>
      </w:r>
      <w:r>
        <w:rPr>
          <w:w w:val="110"/>
        </w:rPr>
        <w:t>no del presidente para la construcción de una primera planta –tras</w:t>
      </w:r>
      <w:r>
        <w:rPr>
          <w:w w:val="106"/>
        </w:rPr>
        <w:t> </w:t>
      </w:r>
      <w:r>
        <w:rPr>
          <w:w w:val="110"/>
        </w:rPr>
        <w:t>30 años de parálisis inversionista nacional en esa esfera–, no obstan-</w:t>
      </w:r>
      <w:r>
        <w:rPr>
          <w:w w:val="102"/>
        </w:rPr>
        <w:t> </w:t>
      </w:r>
      <w:r>
        <w:rPr>
          <w:w w:val="110"/>
        </w:rPr>
        <w:t>te, su decisión por una tecnología obsoleta de bajo aprovechamiento</w:t>
      </w:r>
      <w:r>
        <w:rPr>
          <w:w w:val="109"/>
        </w:rPr>
        <w:t> </w:t>
      </w:r>
      <w:r>
        <w:rPr>
          <w:w w:val="110"/>
        </w:rPr>
        <w:t>del combustible, dificultada en adición por la disminuida fiabilidad</w:t>
      </w:r>
      <w:r>
        <w:rPr>
          <w:w w:val="110"/>
        </w:rPr>
        <w:t> </w:t>
      </w:r>
      <w:r>
        <w:rPr>
          <w:w w:val="110"/>
        </w:rPr>
        <w:t>operacional de los residuos radioactivos en los repletos y maltrechos</w:t>
      </w:r>
      <w:r>
        <w:rPr>
          <w:w w:val="110"/>
        </w:rPr>
        <w:t> </w:t>
      </w:r>
      <w:r>
        <w:rPr>
          <w:w w:val="110"/>
        </w:rPr>
        <w:t>depósitos existentes –ampliamente superados por las normativas</w:t>
      </w:r>
      <w:r>
        <w:rPr>
          <w:w w:val="109"/>
        </w:rPr>
        <w:t> </w:t>
      </w:r>
      <w:r>
        <w:rPr>
          <w:w w:val="110"/>
        </w:rPr>
        <w:t>mundialmente vigentes– motivaría controversias públicas e interna-</w:t>
      </w:r>
      <w:r>
        <w:rPr>
          <w:w w:val="102"/>
        </w:rPr>
        <w:t> </w:t>
      </w:r>
      <w:r>
        <w:rPr>
          <w:w w:val="110"/>
        </w:rPr>
        <w:t>cionales. solo la coincidente catástrofe en  Fukushima  y otras plan-</w:t>
      </w:r>
      <w:r>
        <w:rPr>
          <w:w w:val="102"/>
        </w:rPr>
        <w:t> </w:t>
      </w:r>
      <w:r>
        <w:rPr>
          <w:w w:val="110"/>
        </w:rPr>
        <w:t>tas atomoeléctricas del Japón –predominantemente de esa tecnología</w:t>
      </w:r>
      <w:r>
        <w:rPr>
          <w:w w:val="110"/>
        </w:rPr>
        <w:t> </w:t>
      </w:r>
      <w:r>
        <w:rPr>
          <w:w w:val="110"/>
        </w:rPr>
        <w:t>norteamericana– determinaría su renuncia a la recuperación  nuclear.</w:t>
      </w:r>
    </w:p>
    <w:p>
      <w:pPr>
        <w:pStyle w:val="BodyText"/>
        <w:spacing w:line="252" w:lineRule="auto"/>
        <w:ind w:left="330" w:right="117" w:firstLine="396"/>
        <w:jc w:val="both"/>
      </w:pPr>
      <w:r>
        <w:rPr>
          <w:w w:val="110"/>
        </w:rPr>
        <w:t>El debate sobre la reincorporación a la energía nuclear pondría de manifiesto el factor distorsionante a futuro de la actual “lógica del capital”: con sus correspondientes rendimientos/beneficios para las compañías beneficiarias que recibieran </w:t>
      </w:r>
      <w:r>
        <w:rPr>
          <w:i/>
          <w:w w:val="110"/>
        </w:rPr>
        <w:t>garantías de crédito </w:t>
      </w:r>
      <w:r>
        <w:rPr>
          <w:w w:val="110"/>
        </w:rPr>
        <w:t>a partir del endeudamiento aún mayor de los contribuyentes –su incompatibi- lidad, aún aplicando instrumentos de manipulación monetarista, con relación a las reales causas y consecuencias del cambio climático– y  su irreversibilidad de cara al desarrollo con pleno</w:t>
      </w:r>
      <w:r>
        <w:rPr>
          <w:spacing w:val="42"/>
          <w:w w:val="110"/>
        </w:rPr>
        <w:t> </w:t>
      </w:r>
      <w:r>
        <w:rPr>
          <w:w w:val="110"/>
        </w:rPr>
        <w:t>empleo.</w:t>
      </w:r>
    </w:p>
    <w:p>
      <w:pPr>
        <w:pStyle w:val="BodyText"/>
        <w:spacing w:line="252" w:lineRule="auto"/>
        <w:ind w:left="330" w:right="118" w:firstLine="396"/>
        <w:jc w:val="both"/>
      </w:pPr>
      <w:r>
        <w:rPr>
          <w:w w:val="110"/>
        </w:rPr>
        <w:t>Con la concepción monetarista del capitalismo monopolista transnacionalizado en la metrópoli norteamericana, la energía gene- rada por vía solar (y sus derivadas eólica, hidráulica, mareomotriz, etc.) a pesar del vanguardismo científico-tecnológico realmente</w:t>
      </w:r>
      <w:r>
        <w:rPr>
          <w:spacing w:val="-20"/>
          <w:w w:val="110"/>
        </w:rPr>
        <w:t> </w:t>
      </w:r>
      <w:r>
        <w:rPr>
          <w:w w:val="110"/>
        </w:rPr>
        <w:t>dispo- nible, no lograría superar la prueba de una inserción sistémicamente determinante a</w:t>
      </w:r>
      <w:r>
        <w:rPr>
          <w:spacing w:val="24"/>
          <w:w w:val="110"/>
        </w:rPr>
        <w:t> </w:t>
      </w:r>
      <w:r>
        <w:rPr>
          <w:w w:val="110"/>
        </w:rPr>
        <w:t>futuro.</w:t>
      </w:r>
    </w:p>
    <w:p>
      <w:pPr>
        <w:pStyle w:val="BodyText"/>
        <w:spacing w:line="252" w:lineRule="auto"/>
        <w:ind w:left="330" w:right="117" w:firstLine="396"/>
        <w:jc w:val="both"/>
      </w:pPr>
      <w:r>
        <w:rPr>
          <w:w w:val="243"/>
        </w:rPr>
        <w:t>l</w:t>
      </w:r>
      <w:r>
        <w:rPr>
          <w:w w:val="108"/>
        </w:rPr>
        <w:t>os</w:t>
      </w:r>
      <w:r>
        <w:rPr/>
        <w:t> </w:t>
      </w:r>
      <w:r>
        <w:rPr>
          <w:spacing w:val="-15"/>
        </w:rPr>
        <w:t> </w:t>
      </w:r>
      <w:r>
        <w:rPr>
          <w:w w:val="108"/>
        </w:rPr>
        <w:t>que</w:t>
      </w:r>
      <w:r>
        <w:rPr/>
        <w:t> </w:t>
      </w:r>
      <w:r>
        <w:rPr>
          <w:spacing w:val="-15"/>
        </w:rPr>
        <w:t> </w:t>
      </w:r>
      <w:r>
        <w:rPr>
          <w:w w:val="111"/>
        </w:rPr>
        <w:t>abogan</w:t>
      </w:r>
      <w:r>
        <w:rPr/>
        <w:t> </w:t>
      </w:r>
      <w:r>
        <w:rPr>
          <w:spacing w:val="-15"/>
        </w:rPr>
        <w:t> </w:t>
      </w:r>
      <w:r>
        <w:rPr>
          <w:w w:val="108"/>
        </w:rPr>
        <w:t>por</w:t>
      </w:r>
      <w:r>
        <w:rPr/>
        <w:t> </w:t>
      </w:r>
      <w:r>
        <w:rPr>
          <w:spacing w:val="-15"/>
        </w:rPr>
        <w:t> </w:t>
      </w:r>
      <w:r>
        <w:rPr>
          <w:w w:val="111"/>
        </w:rPr>
        <w:t>la</w:t>
      </w:r>
      <w:r>
        <w:rPr/>
        <w:t> </w:t>
      </w:r>
      <w:r>
        <w:rPr>
          <w:spacing w:val="-15"/>
        </w:rPr>
        <w:t> </w:t>
      </w:r>
      <w:r>
        <w:rPr>
          <w:w w:val="109"/>
        </w:rPr>
        <w:t>energía</w:t>
      </w:r>
      <w:r>
        <w:rPr/>
        <w:t> </w:t>
      </w:r>
      <w:r>
        <w:rPr>
          <w:spacing w:val="-15"/>
        </w:rPr>
        <w:t> </w:t>
      </w:r>
      <w:r>
        <w:rPr>
          <w:w w:val="108"/>
        </w:rPr>
        <w:t>solar</w:t>
      </w:r>
      <w:r>
        <w:rPr/>
        <w:t> </w:t>
      </w:r>
      <w:r>
        <w:rPr>
          <w:spacing w:val="-15"/>
        </w:rPr>
        <w:t> </w:t>
      </w:r>
      <w:r>
        <w:rPr>
          <w:w w:val="112"/>
        </w:rPr>
        <w:t>como</w:t>
      </w:r>
      <w:r>
        <w:rPr/>
        <w:t> </w:t>
      </w:r>
      <w:r>
        <w:rPr>
          <w:spacing w:val="-15"/>
        </w:rPr>
        <w:t> </w:t>
      </w:r>
      <w:r>
        <w:rPr>
          <w:w w:val="111"/>
        </w:rPr>
        <w:t>la</w:t>
      </w:r>
      <w:r>
        <w:rPr/>
        <w:t> </w:t>
      </w:r>
      <w:r>
        <w:rPr>
          <w:spacing w:val="-15"/>
        </w:rPr>
        <w:t> </w:t>
      </w:r>
      <w:r>
        <w:rPr>
          <w:w w:val="110"/>
        </w:rPr>
        <w:t>gran</w:t>
      </w:r>
      <w:r>
        <w:rPr/>
        <w:t> </w:t>
      </w:r>
      <w:r>
        <w:rPr>
          <w:spacing w:val="-15"/>
        </w:rPr>
        <w:t> </w:t>
      </w:r>
      <w:r>
        <w:rPr>
          <w:w w:val="111"/>
        </w:rPr>
        <w:t>solución</w:t>
      </w:r>
      <w:r>
        <w:rPr/>
        <w:t> </w:t>
      </w:r>
      <w:r>
        <w:rPr>
          <w:spacing w:val="-15"/>
        </w:rPr>
        <w:t> </w:t>
      </w:r>
      <w:r>
        <w:rPr>
          <w:w w:val="108"/>
        </w:rPr>
        <w:t>–sin </w:t>
      </w:r>
      <w:r>
        <w:rPr>
          <w:w w:val="110"/>
        </w:rPr>
        <w:t>por ello abandonar otras formas clásicas y alternativas de ir incre- mentando la eficacia del empleo de los combustibles fósiles aún dis- ponibles– tampoco podrían golpear en su quid, por estar inmersos    en la visión conservadora del sistema acumulativo imperante, de re- embolso cortoplacista del combustible fósil a precios crecientes. Este quid habría que buscarlo en la elaboración de estrategias de tránsito hacia fuentes abundantes, renovables y limpias –por excelencia, la energía solar– disponibles prácticamente gratis durante varios miles de millones de años más. sin embargo, su asimilación para sustituir    el nivel de consumo energético actual y futuro requeriría de voluntad política para encarar las enormes inversiones y los cuantiosos  </w:t>
      </w:r>
      <w:r>
        <w:rPr>
          <w:spacing w:val="12"/>
          <w:w w:val="110"/>
        </w:rPr>
        <w:t> </w:t>
      </w:r>
      <w:r>
        <w:rPr>
          <w:w w:val="110"/>
        </w:rPr>
        <w:t>gastos</w:t>
      </w:r>
    </w:p>
    <w:p>
      <w:pPr>
        <w:spacing w:after="0" w:line="252" w:lineRule="auto"/>
        <w:jc w:val="both"/>
        <w:sectPr>
          <w:footerReference w:type="even" r:id="rId249"/>
          <w:footerReference w:type="default" r:id="rId250"/>
          <w:pgSz w:w="8790" w:h="12760"/>
          <w:pgMar w:footer="725" w:header="697" w:top="880" w:bottom="920" w:left="1200" w:right="900"/>
          <w:pgNumType w:start="182"/>
        </w:sectPr>
      </w:pPr>
    </w:p>
    <w:p>
      <w:pPr>
        <w:pStyle w:val="BodyText"/>
        <w:spacing w:before="9"/>
        <w:rPr>
          <w:sz w:val="28"/>
        </w:rPr>
      </w:pPr>
    </w:p>
    <w:p>
      <w:pPr>
        <w:pStyle w:val="BodyText"/>
        <w:spacing w:line="252" w:lineRule="auto" w:before="73"/>
        <w:ind w:left="100" w:right="328"/>
        <w:jc w:val="both"/>
      </w:pPr>
      <w:r>
        <w:rPr>
          <w:w w:val="110"/>
        </w:rPr>
        <w:t>energéticos iniciales a reembolsar en un mediano plazo, que a partir </w:t>
      </w:r>
      <w:r>
        <w:rPr>
          <w:w w:val="107"/>
        </w:rPr>
        <w:t>de</w:t>
      </w:r>
      <w:r>
        <w:rPr>
          <w:spacing w:val="2"/>
        </w:rPr>
        <w:t> </w:t>
      </w:r>
      <w:r>
        <w:rPr>
          <w:w w:val="112"/>
        </w:rPr>
        <w:t>allí</w:t>
      </w:r>
      <w:r>
        <w:rPr>
          <w:spacing w:val="2"/>
        </w:rPr>
        <w:t> </w:t>
      </w:r>
      <w:r>
        <w:rPr>
          <w:w w:val="111"/>
        </w:rPr>
        <w:t>continuaría</w:t>
      </w:r>
      <w:r>
        <w:rPr>
          <w:spacing w:val="2"/>
        </w:rPr>
        <w:t> </w:t>
      </w:r>
      <w:r>
        <w:rPr>
          <w:w w:val="110"/>
        </w:rPr>
        <w:t>prácticamente</w:t>
      </w:r>
      <w:r>
        <w:rPr>
          <w:spacing w:val="2"/>
        </w:rPr>
        <w:t> </w:t>
      </w:r>
      <w:r>
        <w:rPr>
          <w:w w:val="111"/>
        </w:rPr>
        <w:t>gratis.</w:t>
      </w:r>
      <w:r>
        <w:rPr>
          <w:spacing w:val="2"/>
        </w:rPr>
        <w:t> </w:t>
      </w:r>
      <w:r>
        <w:rPr>
          <w:w w:val="243"/>
        </w:rPr>
        <w:t>l</w:t>
      </w:r>
      <w:r>
        <w:rPr>
          <w:w w:val="112"/>
        </w:rPr>
        <w:t>a</w:t>
      </w:r>
      <w:r>
        <w:rPr>
          <w:spacing w:val="2"/>
        </w:rPr>
        <w:t> </w:t>
      </w:r>
      <w:r>
        <w:rPr>
          <w:w w:val="110"/>
        </w:rPr>
        <w:t>inmediatez</w:t>
      </w:r>
      <w:r>
        <w:rPr>
          <w:spacing w:val="2"/>
        </w:rPr>
        <w:t> </w:t>
      </w:r>
      <w:r>
        <w:rPr>
          <w:w w:val="107"/>
        </w:rPr>
        <w:t>de</w:t>
      </w:r>
      <w:r>
        <w:rPr>
          <w:spacing w:val="2"/>
        </w:rPr>
        <w:t> </w:t>
      </w:r>
      <w:r>
        <w:rPr>
          <w:w w:val="111"/>
        </w:rPr>
        <w:t>la</w:t>
      </w:r>
      <w:r>
        <w:rPr>
          <w:spacing w:val="2"/>
        </w:rPr>
        <w:t> </w:t>
      </w:r>
      <w:r>
        <w:rPr>
          <w:w w:val="112"/>
        </w:rPr>
        <w:t>lógica</w:t>
      </w:r>
      <w:r>
        <w:rPr>
          <w:spacing w:val="2"/>
        </w:rPr>
        <w:t> </w:t>
      </w:r>
      <w:r>
        <w:rPr>
          <w:w w:val="107"/>
        </w:rPr>
        <w:t>del </w:t>
      </w:r>
      <w:r>
        <w:rPr>
          <w:w w:val="110"/>
        </w:rPr>
        <w:t>mercado en la </w:t>
      </w:r>
      <w:r>
        <w:rPr>
          <w:i/>
          <w:w w:val="110"/>
        </w:rPr>
        <w:t>metrópoli </w:t>
      </w:r>
      <w:r>
        <w:rPr>
          <w:w w:val="110"/>
        </w:rPr>
        <w:t>no estaría dispuesta a ese sacrificio</w:t>
      </w:r>
      <w:r>
        <w:rPr>
          <w:spacing w:val="-15"/>
          <w:w w:val="110"/>
        </w:rPr>
        <w:t> </w:t>
      </w:r>
      <w:r>
        <w:rPr>
          <w:w w:val="110"/>
        </w:rPr>
        <w:t>temporal, ni a sus benévolas</w:t>
      </w:r>
      <w:r>
        <w:rPr>
          <w:spacing w:val="38"/>
          <w:w w:val="110"/>
        </w:rPr>
        <w:t> </w:t>
      </w:r>
      <w:r>
        <w:rPr>
          <w:w w:val="110"/>
        </w:rPr>
        <w:t>consecuencias.</w:t>
      </w:r>
    </w:p>
    <w:p>
      <w:pPr>
        <w:pStyle w:val="BodyText"/>
        <w:spacing w:line="252" w:lineRule="auto"/>
        <w:ind w:left="100" w:right="328" w:firstLine="396"/>
        <w:jc w:val="both"/>
      </w:pPr>
      <w:r>
        <w:rPr>
          <w:w w:val="110"/>
        </w:rPr>
        <w:t>No obstante, de no emprenderse esas estrategias </w:t>
      </w:r>
      <w:r>
        <w:rPr>
          <w:spacing w:val="-6"/>
          <w:w w:val="110"/>
        </w:rPr>
        <w:t>hoy, </w:t>
      </w:r>
      <w:r>
        <w:rPr>
          <w:w w:val="110"/>
        </w:rPr>
        <w:t>con la dis- minución de las reservas y la tendencia general al encarecimiento perspectivo del combustible fósil y </w:t>
      </w:r>
      <w:r>
        <w:rPr>
          <w:spacing w:val="-3"/>
          <w:w w:val="110"/>
        </w:rPr>
        <w:t>nuclear, </w:t>
      </w:r>
      <w:r>
        <w:rPr>
          <w:w w:val="110"/>
        </w:rPr>
        <w:t>se haría mucho más one- rosa, si no totalmente imposible, la creación de su base infraestruc- </w:t>
      </w:r>
      <w:r>
        <w:rPr>
          <w:w w:val="109"/>
        </w:rPr>
        <w:t>tural</w:t>
      </w:r>
      <w:r>
        <w:rPr/>
        <w:t> </w:t>
      </w:r>
      <w:r>
        <w:rPr>
          <w:spacing w:val="-4"/>
        </w:rPr>
        <w:t> </w:t>
      </w:r>
      <w:r>
        <w:rPr>
          <w:w w:val="108"/>
        </w:rPr>
        <w:t>por</w:t>
      </w:r>
      <w:r>
        <w:rPr/>
        <w:t> </w:t>
      </w:r>
      <w:r>
        <w:rPr>
          <w:spacing w:val="-4"/>
        </w:rPr>
        <w:t> </w:t>
      </w:r>
      <w:r>
        <w:rPr>
          <w:w w:val="108"/>
        </w:rPr>
        <w:t>vía</w:t>
      </w:r>
      <w:r>
        <w:rPr/>
        <w:t> </w:t>
      </w:r>
      <w:r>
        <w:rPr>
          <w:spacing w:val="-4"/>
        </w:rPr>
        <w:t> </w:t>
      </w:r>
      <w:r>
        <w:rPr>
          <w:w w:val="109"/>
        </w:rPr>
        <w:t>auto-generadora.</w:t>
      </w:r>
      <w:r>
        <w:rPr/>
        <w:t> </w:t>
      </w:r>
      <w:r>
        <w:rPr>
          <w:spacing w:val="-4"/>
        </w:rPr>
        <w:t> </w:t>
      </w:r>
      <w:r>
        <w:rPr>
          <w:w w:val="243"/>
        </w:rPr>
        <w:t>l</w:t>
      </w:r>
      <w:r>
        <w:rPr>
          <w:w w:val="112"/>
        </w:rPr>
        <w:t>a</w:t>
      </w:r>
      <w:r>
        <w:rPr/>
        <w:t> </w:t>
      </w:r>
      <w:r>
        <w:rPr>
          <w:spacing w:val="-4"/>
        </w:rPr>
        <w:t> </w:t>
      </w:r>
      <w:r>
        <w:rPr>
          <w:w w:val="112"/>
        </w:rPr>
        <w:t>actual</w:t>
      </w:r>
      <w:r>
        <w:rPr/>
        <w:t> </w:t>
      </w:r>
      <w:r>
        <w:rPr>
          <w:spacing w:val="-4"/>
        </w:rPr>
        <w:t> </w:t>
      </w:r>
      <w:r>
        <w:rPr>
          <w:w w:val="110"/>
        </w:rPr>
        <w:t>coyuntura</w:t>
      </w:r>
      <w:r>
        <w:rPr/>
        <w:t> </w:t>
      </w:r>
      <w:r>
        <w:rPr>
          <w:spacing w:val="-4"/>
        </w:rPr>
        <w:t> </w:t>
      </w:r>
      <w:r>
        <w:rPr>
          <w:w w:val="112"/>
        </w:rPr>
        <w:t>a</w:t>
      </w:r>
      <w:r>
        <w:rPr/>
        <w:t> </w:t>
      </w:r>
      <w:r>
        <w:rPr>
          <w:spacing w:val="-4"/>
        </w:rPr>
        <w:t> </w:t>
      </w:r>
      <w:r>
        <w:rPr>
          <w:w w:val="111"/>
        </w:rPr>
        <w:t>la</w:t>
      </w:r>
      <w:r>
        <w:rPr/>
        <w:t> </w:t>
      </w:r>
      <w:r>
        <w:rPr>
          <w:spacing w:val="-4"/>
        </w:rPr>
        <w:t> </w:t>
      </w:r>
      <w:r>
        <w:rPr>
          <w:w w:val="111"/>
        </w:rPr>
        <w:t>baja</w:t>
      </w:r>
      <w:r>
        <w:rPr/>
        <w:t> </w:t>
      </w:r>
      <w:r>
        <w:rPr>
          <w:spacing w:val="-4"/>
        </w:rPr>
        <w:t> </w:t>
      </w:r>
      <w:r>
        <w:rPr>
          <w:w w:val="107"/>
        </w:rPr>
        <w:t>de</w:t>
      </w:r>
      <w:r>
        <w:rPr/>
        <w:t> </w:t>
      </w:r>
      <w:r>
        <w:rPr>
          <w:spacing w:val="-4"/>
        </w:rPr>
        <w:t> </w:t>
      </w:r>
      <w:r>
        <w:rPr>
          <w:w w:val="108"/>
        </w:rPr>
        <w:t>los </w:t>
      </w:r>
      <w:r>
        <w:rPr>
          <w:w w:val="110"/>
        </w:rPr>
        <w:t>precios</w:t>
      </w:r>
      <w:r>
        <w:rPr>
          <w:spacing w:val="-9"/>
          <w:w w:val="110"/>
        </w:rPr>
        <w:t> </w:t>
      </w:r>
      <w:r>
        <w:rPr>
          <w:w w:val="110"/>
        </w:rPr>
        <w:t>del</w:t>
      </w:r>
      <w:r>
        <w:rPr>
          <w:spacing w:val="-9"/>
          <w:w w:val="110"/>
        </w:rPr>
        <w:t> </w:t>
      </w:r>
      <w:r>
        <w:rPr>
          <w:w w:val="110"/>
        </w:rPr>
        <w:t>petróleo,</w:t>
      </w:r>
      <w:r>
        <w:rPr>
          <w:spacing w:val="-9"/>
          <w:w w:val="110"/>
        </w:rPr>
        <w:t> </w:t>
      </w:r>
      <w:r>
        <w:rPr>
          <w:w w:val="110"/>
        </w:rPr>
        <w:t>observada</w:t>
      </w:r>
      <w:r>
        <w:rPr>
          <w:spacing w:val="-9"/>
          <w:w w:val="110"/>
        </w:rPr>
        <w:t> </w:t>
      </w:r>
      <w:r>
        <w:rPr>
          <w:w w:val="110"/>
        </w:rPr>
        <w:t>entre</w:t>
      </w:r>
      <w:r>
        <w:rPr>
          <w:spacing w:val="-9"/>
          <w:w w:val="110"/>
        </w:rPr>
        <w:t> </w:t>
      </w:r>
      <w:r>
        <w:rPr>
          <w:w w:val="110"/>
        </w:rPr>
        <w:t>finales</w:t>
      </w:r>
      <w:r>
        <w:rPr>
          <w:spacing w:val="-9"/>
          <w:w w:val="110"/>
        </w:rPr>
        <w:t> </w:t>
      </w:r>
      <w:r>
        <w:rPr>
          <w:w w:val="110"/>
        </w:rPr>
        <w:t>de</w:t>
      </w:r>
      <w:r>
        <w:rPr>
          <w:spacing w:val="-9"/>
          <w:w w:val="110"/>
        </w:rPr>
        <w:t> </w:t>
      </w:r>
      <w:r>
        <w:rPr>
          <w:w w:val="110"/>
        </w:rPr>
        <w:t>2014</w:t>
      </w:r>
      <w:r>
        <w:rPr>
          <w:spacing w:val="-9"/>
          <w:w w:val="110"/>
        </w:rPr>
        <w:t> </w:t>
      </w:r>
      <w:r>
        <w:rPr>
          <w:w w:val="110"/>
        </w:rPr>
        <w:t>e</w:t>
      </w:r>
      <w:r>
        <w:rPr>
          <w:spacing w:val="-9"/>
          <w:w w:val="110"/>
        </w:rPr>
        <w:t> </w:t>
      </w:r>
      <w:r>
        <w:rPr>
          <w:w w:val="110"/>
        </w:rPr>
        <w:t>inicios</w:t>
      </w:r>
      <w:r>
        <w:rPr>
          <w:spacing w:val="-9"/>
          <w:w w:val="110"/>
        </w:rPr>
        <w:t> </w:t>
      </w:r>
      <w:r>
        <w:rPr>
          <w:w w:val="110"/>
        </w:rPr>
        <w:t>de</w:t>
      </w:r>
      <w:r>
        <w:rPr>
          <w:spacing w:val="-9"/>
          <w:w w:val="110"/>
        </w:rPr>
        <w:t> </w:t>
      </w:r>
      <w:r>
        <w:rPr>
          <w:w w:val="110"/>
        </w:rPr>
        <w:t>2015, bien debiera erigirse en “la oportunidad” para lanzar una política de inversión inicial de cara al tránsito eficiente hacia la energía  </w:t>
      </w:r>
      <w:r>
        <w:rPr>
          <w:spacing w:val="22"/>
          <w:w w:val="110"/>
        </w:rPr>
        <w:t> </w:t>
      </w:r>
      <w:r>
        <w:rPr>
          <w:w w:val="110"/>
        </w:rPr>
        <w:t>solar…</w:t>
      </w:r>
    </w:p>
    <w:p>
      <w:pPr>
        <w:pStyle w:val="BodyText"/>
        <w:spacing w:line="252" w:lineRule="auto"/>
        <w:ind w:left="100" w:right="328" w:firstLine="396"/>
        <w:jc w:val="both"/>
      </w:pPr>
      <w:r>
        <w:rPr>
          <w:w w:val="115"/>
        </w:rPr>
        <w:t>surgirían</w:t>
      </w:r>
      <w:r>
        <w:rPr>
          <w:spacing w:val="-11"/>
          <w:w w:val="115"/>
        </w:rPr>
        <w:t> </w:t>
      </w:r>
      <w:r>
        <w:rPr>
          <w:w w:val="115"/>
        </w:rPr>
        <w:t>así</w:t>
      </w:r>
      <w:r>
        <w:rPr>
          <w:spacing w:val="-11"/>
          <w:w w:val="115"/>
        </w:rPr>
        <w:t> </w:t>
      </w:r>
      <w:r>
        <w:rPr>
          <w:w w:val="115"/>
        </w:rPr>
        <w:t>entre</w:t>
      </w:r>
      <w:r>
        <w:rPr>
          <w:spacing w:val="-11"/>
          <w:w w:val="115"/>
        </w:rPr>
        <w:t> </w:t>
      </w:r>
      <w:r>
        <w:rPr>
          <w:w w:val="115"/>
        </w:rPr>
        <w:t>los</w:t>
      </w:r>
      <w:r>
        <w:rPr>
          <w:spacing w:val="-11"/>
          <w:w w:val="115"/>
        </w:rPr>
        <w:t> </w:t>
      </w:r>
      <w:r>
        <w:rPr>
          <w:w w:val="115"/>
        </w:rPr>
        <w:t>académicos</w:t>
      </w:r>
      <w:r>
        <w:rPr>
          <w:spacing w:val="-11"/>
          <w:w w:val="115"/>
        </w:rPr>
        <w:t> </w:t>
      </w:r>
      <w:r>
        <w:rPr>
          <w:w w:val="115"/>
        </w:rPr>
        <w:t>norteamericanos</w:t>
      </w:r>
      <w:r>
        <w:rPr>
          <w:spacing w:val="-11"/>
          <w:w w:val="115"/>
        </w:rPr>
        <w:t> </w:t>
      </w:r>
      <w:r>
        <w:rPr>
          <w:w w:val="115"/>
        </w:rPr>
        <w:t>–del</w:t>
      </w:r>
      <w:r>
        <w:rPr>
          <w:spacing w:val="-11"/>
          <w:w w:val="115"/>
        </w:rPr>
        <w:t> </w:t>
      </w:r>
      <w:r>
        <w:rPr>
          <w:w w:val="115"/>
        </w:rPr>
        <w:t>campo de la termodinámica– los que propugnarían el llamado </w:t>
      </w:r>
      <w:r>
        <w:rPr>
          <w:i/>
          <w:w w:val="115"/>
        </w:rPr>
        <w:t>Comunismo </w:t>
      </w:r>
      <w:r>
        <w:rPr>
          <w:i/>
          <w:w w:val="115"/>
        </w:rPr>
        <w:t>Solar</w:t>
      </w:r>
      <w:r>
        <w:rPr>
          <w:w w:val="115"/>
        </w:rPr>
        <w:t>,</w:t>
      </w:r>
      <w:r>
        <w:rPr>
          <w:spacing w:val="-24"/>
          <w:w w:val="115"/>
        </w:rPr>
        <w:t> </w:t>
      </w:r>
      <w:r>
        <w:rPr>
          <w:w w:val="115"/>
        </w:rPr>
        <w:t>con</w:t>
      </w:r>
      <w:r>
        <w:rPr>
          <w:spacing w:val="-24"/>
          <w:w w:val="115"/>
        </w:rPr>
        <w:t> </w:t>
      </w:r>
      <w:r>
        <w:rPr>
          <w:w w:val="115"/>
        </w:rPr>
        <w:t>cuya</w:t>
      </w:r>
      <w:r>
        <w:rPr>
          <w:spacing w:val="-24"/>
          <w:w w:val="115"/>
        </w:rPr>
        <w:t> </w:t>
      </w:r>
      <w:r>
        <w:rPr>
          <w:w w:val="115"/>
        </w:rPr>
        <w:t>abundancia</w:t>
      </w:r>
      <w:r>
        <w:rPr>
          <w:spacing w:val="-24"/>
          <w:w w:val="115"/>
        </w:rPr>
        <w:t> </w:t>
      </w:r>
      <w:r>
        <w:rPr>
          <w:w w:val="115"/>
        </w:rPr>
        <w:t>energética</w:t>
      </w:r>
      <w:r>
        <w:rPr>
          <w:spacing w:val="-24"/>
          <w:w w:val="115"/>
        </w:rPr>
        <w:t> </w:t>
      </w:r>
      <w:r>
        <w:rPr>
          <w:w w:val="115"/>
        </w:rPr>
        <w:t>se</w:t>
      </w:r>
      <w:r>
        <w:rPr>
          <w:spacing w:val="-24"/>
          <w:w w:val="115"/>
        </w:rPr>
        <w:t> </w:t>
      </w:r>
      <w:r>
        <w:rPr>
          <w:w w:val="115"/>
        </w:rPr>
        <w:t>pudiera</w:t>
      </w:r>
      <w:r>
        <w:rPr>
          <w:spacing w:val="-24"/>
          <w:w w:val="115"/>
        </w:rPr>
        <w:t> </w:t>
      </w:r>
      <w:r>
        <w:rPr>
          <w:w w:val="115"/>
        </w:rPr>
        <w:t>garantizar</w:t>
      </w:r>
      <w:r>
        <w:rPr>
          <w:spacing w:val="-24"/>
          <w:w w:val="115"/>
        </w:rPr>
        <w:t> </w:t>
      </w:r>
      <w:r>
        <w:rPr>
          <w:w w:val="115"/>
        </w:rPr>
        <w:t>todas</w:t>
      </w:r>
      <w:r>
        <w:rPr>
          <w:spacing w:val="-24"/>
          <w:w w:val="115"/>
        </w:rPr>
        <w:t> </w:t>
      </w:r>
      <w:r>
        <w:rPr>
          <w:w w:val="115"/>
        </w:rPr>
        <w:t>las necesidades</w:t>
      </w:r>
      <w:r>
        <w:rPr>
          <w:spacing w:val="-24"/>
          <w:w w:val="115"/>
        </w:rPr>
        <w:t> </w:t>
      </w:r>
      <w:r>
        <w:rPr>
          <w:w w:val="115"/>
        </w:rPr>
        <w:t>del</w:t>
      </w:r>
      <w:r>
        <w:rPr>
          <w:spacing w:val="-24"/>
          <w:w w:val="115"/>
        </w:rPr>
        <w:t> </w:t>
      </w:r>
      <w:r>
        <w:rPr>
          <w:w w:val="115"/>
        </w:rPr>
        <w:t>desarrollo</w:t>
      </w:r>
      <w:r>
        <w:rPr>
          <w:spacing w:val="-24"/>
          <w:w w:val="115"/>
        </w:rPr>
        <w:t> </w:t>
      </w:r>
      <w:r>
        <w:rPr>
          <w:w w:val="115"/>
        </w:rPr>
        <w:t>sostenible</w:t>
      </w:r>
      <w:r>
        <w:rPr>
          <w:spacing w:val="-24"/>
          <w:w w:val="115"/>
        </w:rPr>
        <w:t> </w:t>
      </w:r>
      <w:r>
        <w:rPr>
          <w:w w:val="115"/>
        </w:rPr>
        <w:t>a</w:t>
      </w:r>
      <w:r>
        <w:rPr>
          <w:spacing w:val="-24"/>
          <w:w w:val="115"/>
        </w:rPr>
        <w:t> </w:t>
      </w:r>
      <w:r>
        <w:rPr>
          <w:w w:val="115"/>
        </w:rPr>
        <w:t>niveles</w:t>
      </w:r>
      <w:r>
        <w:rPr>
          <w:spacing w:val="-24"/>
          <w:w w:val="115"/>
        </w:rPr>
        <w:t> </w:t>
      </w:r>
      <w:r>
        <w:rPr>
          <w:w w:val="115"/>
        </w:rPr>
        <w:t>planetarios</w:t>
      </w:r>
      <w:r>
        <w:rPr>
          <w:spacing w:val="-24"/>
          <w:w w:val="115"/>
        </w:rPr>
        <w:t> </w:t>
      </w:r>
      <w:r>
        <w:rPr>
          <w:spacing w:val="-11"/>
          <w:w w:val="115"/>
        </w:rPr>
        <w:t>y,</w:t>
      </w:r>
      <w:r>
        <w:rPr>
          <w:spacing w:val="-24"/>
          <w:w w:val="115"/>
        </w:rPr>
        <w:t> </w:t>
      </w:r>
      <w:r>
        <w:rPr>
          <w:w w:val="115"/>
        </w:rPr>
        <w:t>con</w:t>
      </w:r>
      <w:r>
        <w:rPr>
          <w:spacing w:val="-24"/>
          <w:w w:val="115"/>
        </w:rPr>
        <w:t> </w:t>
      </w:r>
      <w:r>
        <w:rPr>
          <w:w w:val="115"/>
        </w:rPr>
        <w:t>ello, la solución del cúmulo de necesidades del </w:t>
      </w:r>
      <w:r>
        <w:rPr>
          <w:i/>
          <w:w w:val="115"/>
        </w:rPr>
        <w:t>buen vivir </w:t>
      </w:r>
      <w:r>
        <w:rPr>
          <w:w w:val="115"/>
        </w:rPr>
        <w:t>de la humani- dad.</w:t>
      </w:r>
      <w:r>
        <w:rPr>
          <w:spacing w:val="-31"/>
          <w:w w:val="115"/>
        </w:rPr>
        <w:t> </w:t>
      </w:r>
      <w:r>
        <w:rPr>
          <w:w w:val="115"/>
        </w:rPr>
        <w:t>Pero,</w:t>
      </w:r>
      <w:r>
        <w:rPr>
          <w:spacing w:val="-31"/>
          <w:w w:val="115"/>
        </w:rPr>
        <w:t> </w:t>
      </w:r>
      <w:r>
        <w:rPr>
          <w:w w:val="115"/>
        </w:rPr>
        <w:t>evidentemente,</w:t>
      </w:r>
      <w:r>
        <w:rPr>
          <w:spacing w:val="-31"/>
          <w:w w:val="115"/>
        </w:rPr>
        <w:t> </w:t>
      </w:r>
      <w:r>
        <w:rPr>
          <w:w w:val="115"/>
        </w:rPr>
        <w:t>aún</w:t>
      </w:r>
      <w:r>
        <w:rPr>
          <w:spacing w:val="-31"/>
          <w:w w:val="115"/>
        </w:rPr>
        <w:t> </w:t>
      </w:r>
      <w:r>
        <w:rPr>
          <w:w w:val="115"/>
        </w:rPr>
        <w:t>las</w:t>
      </w:r>
      <w:r>
        <w:rPr>
          <w:spacing w:val="-31"/>
          <w:w w:val="115"/>
        </w:rPr>
        <w:t> </w:t>
      </w:r>
      <w:r>
        <w:rPr>
          <w:w w:val="115"/>
        </w:rPr>
        <w:t>más</w:t>
      </w:r>
      <w:r>
        <w:rPr>
          <w:spacing w:val="-31"/>
          <w:w w:val="115"/>
        </w:rPr>
        <w:t> </w:t>
      </w:r>
      <w:r>
        <w:rPr>
          <w:w w:val="115"/>
        </w:rPr>
        <w:t>intrépidas</w:t>
      </w:r>
      <w:r>
        <w:rPr>
          <w:spacing w:val="-31"/>
          <w:w w:val="115"/>
        </w:rPr>
        <w:t> </w:t>
      </w:r>
      <w:r>
        <w:rPr>
          <w:w w:val="115"/>
        </w:rPr>
        <w:t>funciones</w:t>
      </w:r>
      <w:r>
        <w:rPr>
          <w:spacing w:val="-31"/>
          <w:w w:val="115"/>
        </w:rPr>
        <w:t> </w:t>
      </w:r>
      <w:r>
        <w:rPr>
          <w:w w:val="115"/>
        </w:rPr>
        <w:t>de</w:t>
      </w:r>
      <w:r>
        <w:rPr>
          <w:spacing w:val="-31"/>
          <w:w w:val="115"/>
        </w:rPr>
        <w:t> </w:t>
      </w:r>
      <w:r>
        <w:rPr>
          <w:w w:val="115"/>
        </w:rPr>
        <w:t>cambio propugnadas por obama en su campaña electoral, no llegarían tan lejos. se evidenciaría la ausencia de una proyección estratégica y</w:t>
      </w:r>
      <w:r>
        <w:rPr>
          <w:spacing w:val="-29"/>
          <w:w w:val="115"/>
        </w:rPr>
        <w:t> </w:t>
      </w:r>
      <w:r>
        <w:rPr>
          <w:w w:val="115"/>
        </w:rPr>
        <w:t>de la</w:t>
      </w:r>
      <w:r>
        <w:rPr>
          <w:spacing w:val="-14"/>
          <w:w w:val="115"/>
        </w:rPr>
        <w:t> </w:t>
      </w:r>
      <w:r>
        <w:rPr>
          <w:w w:val="115"/>
        </w:rPr>
        <w:t>correspondiente</w:t>
      </w:r>
      <w:r>
        <w:rPr>
          <w:spacing w:val="-14"/>
          <w:w w:val="115"/>
        </w:rPr>
        <w:t> </w:t>
      </w:r>
      <w:r>
        <w:rPr>
          <w:w w:val="115"/>
        </w:rPr>
        <w:t>voluntad</w:t>
      </w:r>
      <w:r>
        <w:rPr>
          <w:spacing w:val="-14"/>
          <w:w w:val="115"/>
        </w:rPr>
        <w:t> </w:t>
      </w:r>
      <w:r>
        <w:rPr>
          <w:w w:val="115"/>
        </w:rPr>
        <w:t>política</w:t>
      </w:r>
      <w:r>
        <w:rPr>
          <w:spacing w:val="-14"/>
          <w:w w:val="115"/>
        </w:rPr>
        <w:t> </w:t>
      </w:r>
      <w:r>
        <w:rPr>
          <w:w w:val="115"/>
        </w:rPr>
        <w:t>concertada,</w:t>
      </w:r>
      <w:r>
        <w:rPr>
          <w:spacing w:val="-14"/>
          <w:w w:val="115"/>
        </w:rPr>
        <w:t> </w:t>
      </w:r>
      <w:r>
        <w:rPr>
          <w:w w:val="115"/>
        </w:rPr>
        <w:t>a</w:t>
      </w:r>
      <w:r>
        <w:rPr>
          <w:spacing w:val="-14"/>
          <w:w w:val="115"/>
        </w:rPr>
        <w:t> </w:t>
      </w:r>
      <w:r>
        <w:rPr>
          <w:w w:val="115"/>
        </w:rPr>
        <w:t>lo</w:t>
      </w:r>
      <w:r>
        <w:rPr>
          <w:spacing w:val="-14"/>
          <w:w w:val="115"/>
        </w:rPr>
        <w:t> </w:t>
      </w:r>
      <w:r>
        <w:rPr>
          <w:w w:val="115"/>
        </w:rPr>
        <w:t>largo</w:t>
      </w:r>
      <w:r>
        <w:rPr>
          <w:spacing w:val="-14"/>
          <w:w w:val="115"/>
        </w:rPr>
        <w:t> </w:t>
      </w:r>
      <w:r>
        <w:rPr>
          <w:w w:val="115"/>
        </w:rPr>
        <w:t>de</w:t>
      </w:r>
      <w:r>
        <w:rPr>
          <w:spacing w:val="-14"/>
          <w:w w:val="115"/>
        </w:rPr>
        <w:t> </w:t>
      </w:r>
      <w:r>
        <w:rPr>
          <w:w w:val="115"/>
        </w:rPr>
        <w:t>ambos períodos</w:t>
      </w:r>
      <w:r>
        <w:rPr>
          <w:spacing w:val="-31"/>
          <w:w w:val="115"/>
        </w:rPr>
        <w:t> </w:t>
      </w:r>
      <w:r>
        <w:rPr>
          <w:w w:val="115"/>
        </w:rPr>
        <w:t>electorales.</w:t>
      </w:r>
      <w:r>
        <w:rPr>
          <w:spacing w:val="-31"/>
          <w:w w:val="115"/>
        </w:rPr>
        <w:t> </w:t>
      </w:r>
      <w:r>
        <w:rPr>
          <w:w w:val="115"/>
        </w:rPr>
        <w:t>otros</w:t>
      </w:r>
      <w:r>
        <w:rPr>
          <w:spacing w:val="-31"/>
          <w:w w:val="115"/>
        </w:rPr>
        <w:t> </w:t>
      </w:r>
      <w:r>
        <w:rPr>
          <w:w w:val="115"/>
        </w:rPr>
        <w:t>países</w:t>
      </w:r>
      <w:r>
        <w:rPr>
          <w:spacing w:val="-31"/>
          <w:w w:val="115"/>
        </w:rPr>
        <w:t> </w:t>
      </w:r>
      <w:r>
        <w:rPr>
          <w:w w:val="115"/>
        </w:rPr>
        <w:t>sí</w:t>
      </w:r>
      <w:r>
        <w:rPr>
          <w:spacing w:val="-31"/>
          <w:w w:val="115"/>
        </w:rPr>
        <w:t> </w:t>
      </w:r>
      <w:r>
        <w:rPr>
          <w:w w:val="115"/>
        </w:rPr>
        <w:t>la</w:t>
      </w:r>
      <w:r>
        <w:rPr>
          <w:spacing w:val="-31"/>
          <w:w w:val="115"/>
        </w:rPr>
        <w:t> </w:t>
      </w:r>
      <w:r>
        <w:rPr>
          <w:w w:val="115"/>
        </w:rPr>
        <w:t>emprenderían</w:t>
      </w:r>
      <w:r>
        <w:rPr>
          <w:spacing w:val="-31"/>
          <w:w w:val="115"/>
        </w:rPr>
        <w:t> </w:t>
      </w:r>
      <w:r>
        <w:rPr>
          <w:w w:val="115"/>
        </w:rPr>
        <w:t>y</w:t>
      </w:r>
      <w:r>
        <w:rPr>
          <w:spacing w:val="-31"/>
          <w:w w:val="115"/>
        </w:rPr>
        <w:t> </w:t>
      </w:r>
      <w:r>
        <w:rPr>
          <w:w w:val="115"/>
        </w:rPr>
        <w:t>superarían</w:t>
      </w:r>
      <w:r>
        <w:rPr>
          <w:spacing w:val="-31"/>
          <w:w w:val="115"/>
        </w:rPr>
        <w:t> </w:t>
      </w:r>
      <w:r>
        <w:rPr>
          <w:w w:val="115"/>
        </w:rPr>
        <w:t>con creces a los </w:t>
      </w:r>
      <w:r>
        <w:rPr>
          <w:spacing w:val="19"/>
          <w:w w:val="115"/>
        </w:rPr>
        <w:t> </w:t>
      </w:r>
      <w:r>
        <w:rPr>
          <w:w w:val="115"/>
        </w:rPr>
        <w:t>EE.uu.</w:t>
      </w:r>
    </w:p>
    <w:p>
      <w:pPr>
        <w:pStyle w:val="BodyText"/>
        <w:spacing w:line="252" w:lineRule="auto"/>
        <w:ind w:left="100" w:right="328" w:firstLine="397"/>
        <w:jc w:val="both"/>
      </w:pPr>
      <w:r>
        <w:rPr>
          <w:w w:val="115"/>
        </w:rPr>
        <w:t>son elocuentes los grandiosos ritmos logrados por China en la eficiente</w:t>
      </w:r>
      <w:r>
        <w:rPr>
          <w:spacing w:val="-18"/>
          <w:w w:val="115"/>
        </w:rPr>
        <w:t> </w:t>
      </w:r>
      <w:r>
        <w:rPr>
          <w:w w:val="115"/>
        </w:rPr>
        <w:t>conversión</w:t>
      </w:r>
      <w:r>
        <w:rPr>
          <w:spacing w:val="-18"/>
          <w:w w:val="115"/>
        </w:rPr>
        <w:t> </w:t>
      </w:r>
      <w:r>
        <w:rPr>
          <w:w w:val="115"/>
        </w:rPr>
        <w:t>de</w:t>
      </w:r>
      <w:r>
        <w:rPr>
          <w:spacing w:val="-18"/>
          <w:w w:val="115"/>
        </w:rPr>
        <w:t> </w:t>
      </w:r>
      <w:r>
        <w:rPr>
          <w:w w:val="115"/>
        </w:rPr>
        <w:t>su</w:t>
      </w:r>
      <w:r>
        <w:rPr>
          <w:spacing w:val="-18"/>
          <w:w w:val="115"/>
        </w:rPr>
        <w:t> </w:t>
      </w:r>
      <w:r>
        <w:rPr>
          <w:w w:val="115"/>
        </w:rPr>
        <w:t>anticuada</w:t>
      </w:r>
      <w:r>
        <w:rPr>
          <w:spacing w:val="-18"/>
          <w:w w:val="115"/>
        </w:rPr>
        <w:t> </w:t>
      </w:r>
      <w:r>
        <w:rPr>
          <w:w w:val="115"/>
        </w:rPr>
        <w:t>base</w:t>
      </w:r>
      <w:r>
        <w:rPr>
          <w:spacing w:val="-18"/>
          <w:w w:val="115"/>
        </w:rPr>
        <w:t> </w:t>
      </w:r>
      <w:r>
        <w:rPr>
          <w:w w:val="115"/>
        </w:rPr>
        <w:t>energética</w:t>
      </w:r>
      <w:r>
        <w:rPr>
          <w:spacing w:val="-18"/>
          <w:w w:val="115"/>
        </w:rPr>
        <w:t> </w:t>
      </w:r>
      <w:r>
        <w:rPr>
          <w:w w:val="115"/>
        </w:rPr>
        <w:t>de</w:t>
      </w:r>
      <w:r>
        <w:rPr>
          <w:spacing w:val="-18"/>
          <w:w w:val="115"/>
        </w:rPr>
        <w:t> </w:t>
      </w:r>
      <w:r>
        <w:rPr>
          <w:w w:val="115"/>
        </w:rPr>
        <w:t>carbón</w:t>
      </w:r>
      <w:r>
        <w:rPr>
          <w:spacing w:val="-18"/>
          <w:w w:val="115"/>
        </w:rPr>
        <w:t> </w:t>
      </w:r>
      <w:r>
        <w:rPr>
          <w:w w:val="115"/>
        </w:rPr>
        <w:t>hacia fuentes</w:t>
      </w:r>
      <w:r>
        <w:rPr>
          <w:spacing w:val="-6"/>
          <w:w w:val="115"/>
        </w:rPr>
        <w:t> </w:t>
      </w:r>
      <w:r>
        <w:rPr>
          <w:w w:val="115"/>
        </w:rPr>
        <w:t>alternativas</w:t>
      </w:r>
      <w:r>
        <w:rPr>
          <w:spacing w:val="-6"/>
          <w:w w:val="115"/>
        </w:rPr>
        <w:t> </w:t>
      </w:r>
      <w:r>
        <w:rPr>
          <w:w w:val="115"/>
        </w:rPr>
        <w:t>limpias,</w:t>
      </w:r>
      <w:r>
        <w:rPr>
          <w:spacing w:val="-6"/>
          <w:w w:val="115"/>
        </w:rPr>
        <w:t> </w:t>
      </w:r>
      <w:r>
        <w:rPr>
          <w:w w:val="115"/>
        </w:rPr>
        <w:t>y</w:t>
      </w:r>
      <w:r>
        <w:rPr>
          <w:spacing w:val="-6"/>
          <w:w w:val="115"/>
        </w:rPr>
        <w:t> </w:t>
      </w:r>
      <w:r>
        <w:rPr>
          <w:w w:val="115"/>
        </w:rPr>
        <w:t>su</w:t>
      </w:r>
      <w:r>
        <w:rPr>
          <w:spacing w:val="-6"/>
          <w:w w:val="115"/>
        </w:rPr>
        <w:t> </w:t>
      </w:r>
      <w:r>
        <w:rPr>
          <w:w w:val="115"/>
        </w:rPr>
        <w:t>disposición</w:t>
      </w:r>
      <w:r>
        <w:rPr>
          <w:spacing w:val="-6"/>
          <w:w w:val="115"/>
        </w:rPr>
        <w:t> </w:t>
      </w:r>
      <w:r>
        <w:rPr>
          <w:w w:val="115"/>
        </w:rPr>
        <w:t>a</w:t>
      </w:r>
      <w:r>
        <w:rPr>
          <w:spacing w:val="-6"/>
          <w:w w:val="115"/>
        </w:rPr>
        <w:t> </w:t>
      </w:r>
      <w:r>
        <w:rPr>
          <w:w w:val="115"/>
        </w:rPr>
        <w:t>la</w:t>
      </w:r>
      <w:r>
        <w:rPr>
          <w:spacing w:val="-6"/>
          <w:w w:val="115"/>
        </w:rPr>
        <w:t> </w:t>
      </w:r>
      <w:r>
        <w:rPr>
          <w:w w:val="115"/>
        </w:rPr>
        <w:t>cooperación</w:t>
      </w:r>
      <w:r>
        <w:rPr>
          <w:spacing w:val="-6"/>
          <w:w w:val="115"/>
        </w:rPr>
        <w:t> </w:t>
      </w:r>
      <w:r>
        <w:rPr>
          <w:spacing w:val="-3"/>
          <w:w w:val="115"/>
        </w:rPr>
        <w:t>inter- </w:t>
      </w:r>
      <w:r>
        <w:rPr>
          <w:w w:val="115"/>
        </w:rPr>
        <w:t>nacional de alta tecnología en interés mutuo. Este enfoque, si bien interesaría</w:t>
      </w:r>
      <w:r>
        <w:rPr>
          <w:spacing w:val="-28"/>
          <w:w w:val="115"/>
        </w:rPr>
        <w:t> </w:t>
      </w:r>
      <w:r>
        <w:rPr>
          <w:w w:val="115"/>
        </w:rPr>
        <w:t>–para</w:t>
      </w:r>
      <w:r>
        <w:rPr>
          <w:spacing w:val="-28"/>
          <w:w w:val="115"/>
        </w:rPr>
        <w:t> </w:t>
      </w:r>
      <w:r>
        <w:rPr>
          <w:w w:val="115"/>
        </w:rPr>
        <w:t>la</w:t>
      </w:r>
      <w:r>
        <w:rPr>
          <w:spacing w:val="-28"/>
          <w:w w:val="115"/>
        </w:rPr>
        <w:t> </w:t>
      </w:r>
      <w:r>
        <w:rPr>
          <w:w w:val="115"/>
        </w:rPr>
        <w:t>cooperación–</w:t>
      </w:r>
      <w:r>
        <w:rPr>
          <w:spacing w:val="-28"/>
          <w:w w:val="115"/>
        </w:rPr>
        <w:t> </w:t>
      </w:r>
      <w:r>
        <w:rPr>
          <w:w w:val="115"/>
        </w:rPr>
        <w:t>a</w:t>
      </w:r>
      <w:r>
        <w:rPr>
          <w:spacing w:val="-28"/>
          <w:w w:val="115"/>
        </w:rPr>
        <w:t> </w:t>
      </w:r>
      <w:r>
        <w:rPr>
          <w:w w:val="115"/>
        </w:rPr>
        <w:t>las</w:t>
      </w:r>
      <w:r>
        <w:rPr>
          <w:spacing w:val="-28"/>
          <w:w w:val="115"/>
        </w:rPr>
        <w:t> </w:t>
      </w:r>
      <w:r>
        <w:rPr>
          <w:w w:val="115"/>
        </w:rPr>
        <w:t>compañías</w:t>
      </w:r>
      <w:r>
        <w:rPr>
          <w:spacing w:val="-28"/>
          <w:w w:val="115"/>
        </w:rPr>
        <w:t> </w:t>
      </w:r>
      <w:r>
        <w:rPr>
          <w:w w:val="115"/>
        </w:rPr>
        <w:t>especializadas</w:t>
      </w:r>
      <w:r>
        <w:rPr>
          <w:spacing w:val="-28"/>
          <w:w w:val="115"/>
        </w:rPr>
        <w:t> </w:t>
      </w:r>
      <w:r>
        <w:rPr>
          <w:spacing w:val="-4"/>
          <w:w w:val="115"/>
        </w:rPr>
        <w:t>nor- </w:t>
      </w:r>
      <w:r>
        <w:rPr>
          <w:w w:val="115"/>
        </w:rPr>
        <w:t>teamericanas,</w:t>
      </w:r>
      <w:r>
        <w:rPr>
          <w:spacing w:val="-10"/>
          <w:w w:val="115"/>
        </w:rPr>
        <w:t> </w:t>
      </w:r>
      <w:r>
        <w:rPr>
          <w:w w:val="115"/>
        </w:rPr>
        <w:t>no</w:t>
      </w:r>
      <w:r>
        <w:rPr>
          <w:spacing w:val="-10"/>
          <w:w w:val="115"/>
        </w:rPr>
        <w:t> </w:t>
      </w:r>
      <w:r>
        <w:rPr>
          <w:w w:val="115"/>
        </w:rPr>
        <w:t>obstante</w:t>
      </w:r>
      <w:r>
        <w:rPr>
          <w:spacing w:val="-10"/>
          <w:w w:val="115"/>
        </w:rPr>
        <w:t> </w:t>
      </w:r>
      <w:r>
        <w:rPr>
          <w:w w:val="115"/>
        </w:rPr>
        <w:t>chocaría</w:t>
      </w:r>
      <w:r>
        <w:rPr>
          <w:spacing w:val="-10"/>
          <w:w w:val="115"/>
        </w:rPr>
        <w:t> </w:t>
      </w:r>
      <w:r>
        <w:rPr>
          <w:w w:val="115"/>
        </w:rPr>
        <w:t>con</w:t>
      </w:r>
      <w:r>
        <w:rPr>
          <w:spacing w:val="-10"/>
          <w:w w:val="115"/>
        </w:rPr>
        <w:t> </w:t>
      </w:r>
      <w:r>
        <w:rPr>
          <w:w w:val="115"/>
        </w:rPr>
        <w:t>los</w:t>
      </w:r>
      <w:r>
        <w:rPr>
          <w:spacing w:val="-10"/>
          <w:w w:val="115"/>
        </w:rPr>
        <w:t> </w:t>
      </w:r>
      <w:r>
        <w:rPr>
          <w:w w:val="115"/>
        </w:rPr>
        <w:t>intereses</w:t>
      </w:r>
      <w:r>
        <w:rPr>
          <w:spacing w:val="-10"/>
          <w:w w:val="115"/>
        </w:rPr>
        <w:t> </w:t>
      </w:r>
      <w:r>
        <w:rPr>
          <w:w w:val="115"/>
        </w:rPr>
        <w:t>conservadores de las </w:t>
      </w:r>
      <w:r>
        <w:rPr>
          <w:w w:val="150"/>
        </w:rPr>
        <w:t>CtN </w:t>
      </w:r>
      <w:r>
        <w:rPr>
          <w:w w:val="115"/>
        </w:rPr>
        <w:t>gaso-petroleras norteamericanas y su </w:t>
      </w:r>
      <w:r>
        <w:rPr>
          <w:i/>
          <w:w w:val="115"/>
        </w:rPr>
        <w:t>lobby </w:t>
      </w:r>
      <w:r>
        <w:rPr>
          <w:w w:val="115"/>
        </w:rPr>
        <w:t>en el CMi. aunque EE.uu. disponía de capacidad innovadora, su inversión en energía</w:t>
      </w:r>
      <w:r>
        <w:rPr>
          <w:spacing w:val="-15"/>
          <w:w w:val="115"/>
        </w:rPr>
        <w:t> </w:t>
      </w:r>
      <w:r>
        <w:rPr>
          <w:w w:val="115"/>
        </w:rPr>
        <w:t>limpia</w:t>
      </w:r>
      <w:r>
        <w:rPr>
          <w:spacing w:val="-15"/>
          <w:w w:val="115"/>
        </w:rPr>
        <w:t> </w:t>
      </w:r>
      <w:r>
        <w:rPr>
          <w:w w:val="115"/>
        </w:rPr>
        <w:t>se</w:t>
      </w:r>
      <w:r>
        <w:rPr>
          <w:spacing w:val="-15"/>
          <w:w w:val="115"/>
        </w:rPr>
        <w:t> </w:t>
      </w:r>
      <w:r>
        <w:rPr>
          <w:w w:val="115"/>
        </w:rPr>
        <w:t>redujo</w:t>
      </w:r>
      <w:r>
        <w:rPr>
          <w:spacing w:val="-15"/>
          <w:w w:val="115"/>
        </w:rPr>
        <w:t> </w:t>
      </w:r>
      <w:r>
        <w:rPr>
          <w:w w:val="115"/>
        </w:rPr>
        <w:t>en</w:t>
      </w:r>
      <w:r>
        <w:rPr>
          <w:spacing w:val="-15"/>
          <w:w w:val="115"/>
        </w:rPr>
        <w:t> </w:t>
      </w:r>
      <w:r>
        <w:rPr>
          <w:w w:val="115"/>
        </w:rPr>
        <w:t>el</w:t>
      </w:r>
      <w:r>
        <w:rPr>
          <w:spacing w:val="-15"/>
          <w:w w:val="115"/>
        </w:rPr>
        <w:t> </w:t>
      </w:r>
      <w:r>
        <w:rPr>
          <w:w w:val="115"/>
        </w:rPr>
        <w:t>primer</w:t>
      </w:r>
      <w:r>
        <w:rPr>
          <w:spacing w:val="-15"/>
          <w:w w:val="115"/>
        </w:rPr>
        <w:t> </w:t>
      </w:r>
      <w:r>
        <w:rPr>
          <w:w w:val="115"/>
        </w:rPr>
        <w:t>año</w:t>
      </w:r>
      <w:r>
        <w:rPr>
          <w:spacing w:val="-15"/>
          <w:w w:val="115"/>
        </w:rPr>
        <w:t> </w:t>
      </w:r>
      <w:r>
        <w:rPr>
          <w:w w:val="115"/>
        </w:rPr>
        <w:t>de</w:t>
      </w:r>
      <w:r>
        <w:rPr>
          <w:spacing w:val="-15"/>
          <w:w w:val="115"/>
        </w:rPr>
        <w:t> </w:t>
      </w:r>
      <w:r>
        <w:rPr>
          <w:w w:val="115"/>
        </w:rPr>
        <w:t>la</w:t>
      </w:r>
      <w:r>
        <w:rPr>
          <w:spacing w:val="-15"/>
          <w:w w:val="115"/>
        </w:rPr>
        <w:t> </w:t>
      </w:r>
      <w:r>
        <w:rPr>
          <w:w w:val="115"/>
        </w:rPr>
        <w:t>presidencia</w:t>
      </w:r>
      <w:r>
        <w:rPr>
          <w:spacing w:val="-15"/>
          <w:w w:val="115"/>
        </w:rPr>
        <w:t> </w:t>
      </w:r>
      <w:r>
        <w:rPr>
          <w:w w:val="115"/>
        </w:rPr>
        <w:t>de</w:t>
      </w:r>
      <w:r>
        <w:rPr>
          <w:spacing w:val="-15"/>
          <w:w w:val="115"/>
        </w:rPr>
        <w:t> </w:t>
      </w:r>
      <w:r>
        <w:rPr>
          <w:w w:val="115"/>
        </w:rPr>
        <w:t>obama en</w:t>
      </w:r>
      <w:r>
        <w:rPr>
          <w:spacing w:val="-15"/>
          <w:w w:val="115"/>
        </w:rPr>
        <w:t> </w:t>
      </w:r>
      <w:r>
        <w:rPr>
          <w:w w:val="115"/>
        </w:rPr>
        <w:t>un</w:t>
      </w:r>
      <w:r>
        <w:rPr>
          <w:spacing w:val="-15"/>
          <w:w w:val="115"/>
        </w:rPr>
        <w:t> </w:t>
      </w:r>
      <w:r>
        <w:rPr>
          <w:w w:val="115"/>
        </w:rPr>
        <w:t>42%.</w:t>
      </w:r>
      <w:r>
        <w:rPr>
          <w:spacing w:val="-15"/>
          <w:w w:val="115"/>
        </w:rPr>
        <w:t> </w:t>
      </w:r>
      <w:r>
        <w:rPr>
          <w:w w:val="115"/>
        </w:rPr>
        <w:t>Mientras,</w:t>
      </w:r>
      <w:r>
        <w:rPr>
          <w:spacing w:val="-15"/>
          <w:w w:val="115"/>
        </w:rPr>
        <w:t> </w:t>
      </w:r>
      <w:r>
        <w:rPr>
          <w:w w:val="115"/>
        </w:rPr>
        <w:t>China</w:t>
      </w:r>
      <w:r>
        <w:rPr>
          <w:spacing w:val="-15"/>
          <w:w w:val="115"/>
        </w:rPr>
        <w:t> </w:t>
      </w:r>
      <w:r>
        <w:rPr>
          <w:w w:val="115"/>
        </w:rPr>
        <w:t>–determinada</w:t>
      </w:r>
      <w:r>
        <w:rPr>
          <w:spacing w:val="-15"/>
          <w:w w:val="115"/>
        </w:rPr>
        <w:t> </w:t>
      </w:r>
      <w:r>
        <w:rPr>
          <w:w w:val="115"/>
        </w:rPr>
        <w:t>a</w:t>
      </w:r>
      <w:r>
        <w:rPr>
          <w:spacing w:val="-15"/>
          <w:w w:val="115"/>
        </w:rPr>
        <w:t> </w:t>
      </w:r>
      <w:r>
        <w:rPr>
          <w:w w:val="115"/>
        </w:rPr>
        <w:t>ubicarse</w:t>
      </w:r>
      <w:r>
        <w:rPr>
          <w:spacing w:val="-15"/>
          <w:w w:val="115"/>
        </w:rPr>
        <w:t> </w:t>
      </w:r>
      <w:r>
        <w:rPr>
          <w:w w:val="115"/>
        </w:rPr>
        <w:t>a</w:t>
      </w:r>
      <w:r>
        <w:rPr>
          <w:spacing w:val="-15"/>
          <w:w w:val="115"/>
        </w:rPr>
        <w:t> </w:t>
      </w:r>
      <w:r>
        <w:rPr>
          <w:w w:val="115"/>
        </w:rPr>
        <w:t>la</w:t>
      </w:r>
      <w:r>
        <w:rPr>
          <w:spacing w:val="-15"/>
          <w:w w:val="115"/>
        </w:rPr>
        <w:t> </w:t>
      </w:r>
      <w:r>
        <w:rPr>
          <w:w w:val="115"/>
        </w:rPr>
        <w:t>vanguardia de la tecnología verde– superaría a EE.uu. como primer inversor</w:t>
      </w:r>
      <w:r>
        <w:rPr>
          <w:spacing w:val="-15"/>
          <w:w w:val="115"/>
        </w:rPr>
        <w:t> </w:t>
      </w:r>
      <w:r>
        <w:rPr>
          <w:w w:val="115"/>
        </w:rPr>
        <w:t>en energía limpia, al elevarse en 2009 en más del 50% y posicionarse con 19% como el centro neurálgico de este campo emergente, para alcanzar</w:t>
      </w:r>
      <w:r>
        <w:rPr>
          <w:spacing w:val="-9"/>
          <w:w w:val="115"/>
        </w:rPr>
        <w:t> </w:t>
      </w:r>
      <w:r>
        <w:rPr>
          <w:w w:val="115"/>
        </w:rPr>
        <w:t>los</w:t>
      </w:r>
      <w:r>
        <w:rPr>
          <w:spacing w:val="-9"/>
          <w:w w:val="115"/>
        </w:rPr>
        <w:t> </w:t>
      </w:r>
      <w:r>
        <w:rPr>
          <w:w w:val="115"/>
        </w:rPr>
        <w:t>34,6</w:t>
      </w:r>
      <w:r>
        <w:rPr>
          <w:spacing w:val="-9"/>
          <w:w w:val="115"/>
        </w:rPr>
        <w:t> </w:t>
      </w:r>
      <w:r>
        <w:rPr>
          <w:w w:val="115"/>
        </w:rPr>
        <w:t>mil</w:t>
      </w:r>
      <w:r>
        <w:rPr>
          <w:spacing w:val="-9"/>
          <w:w w:val="115"/>
        </w:rPr>
        <w:t> </w:t>
      </w:r>
      <w:r>
        <w:rPr>
          <w:w w:val="115"/>
        </w:rPr>
        <w:t>millones</w:t>
      </w:r>
      <w:r>
        <w:rPr>
          <w:spacing w:val="-9"/>
          <w:w w:val="115"/>
        </w:rPr>
        <w:t> </w:t>
      </w:r>
      <w:r>
        <w:rPr>
          <w:w w:val="115"/>
        </w:rPr>
        <w:t>de</w:t>
      </w:r>
      <w:r>
        <w:rPr>
          <w:spacing w:val="-9"/>
          <w:w w:val="115"/>
        </w:rPr>
        <w:t> </w:t>
      </w:r>
      <w:r>
        <w:rPr>
          <w:w w:val="115"/>
        </w:rPr>
        <w:t>us$,</w:t>
      </w:r>
      <w:r>
        <w:rPr>
          <w:spacing w:val="-9"/>
          <w:w w:val="115"/>
        </w:rPr>
        <w:t> </w:t>
      </w:r>
      <w:r>
        <w:rPr>
          <w:w w:val="115"/>
        </w:rPr>
        <w:t>cifra</w:t>
      </w:r>
      <w:r>
        <w:rPr>
          <w:spacing w:val="-9"/>
          <w:w w:val="115"/>
        </w:rPr>
        <w:t> </w:t>
      </w:r>
      <w:r>
        <w:rPr>
          <w:w w:val="115"/>
        </w:rPr>
        <w:t>superior</w:t>
      </w:r>
      <w:r>
        <w:rPr>
          <w:spacing w:val="-9"/>
          <w:w w:val="115"/>
        </w:rPr>
        <w:t> </w:t>
      </w:r>
      <w:r>
        <w:rPr>
          <w:w w:val="115"/>
        </w:rPr>
        <w:t>a</w:t>
      </w:r>
      <w:r>
        <w:rPr>
          <w:spacing w:val="-9"/>
          <w:w w:val="115"/>
        </w:rPr>
        <w:t> </w:t>
      </w:r>
      <w:r>
        <w:rPr>
          <w:w w:val="115"/>
        </w:rPr>
        <w:t>la</w:t>
      </w:r>
      <w:r>
        <w:rPr>
          <w:spacing w:val="-9"/>
          <w:w w:val="115"/>
        </w:rPr>
        <w:t> </w:t>
      </w:r>
      <w:r>
        <w:rPr>
          <w:w w:val="115"/>
        </w:rPr>
        <w:t>de</w:t>
      </w:r>
      <w:r>
        <w:rPr>
          <w:spacing w:val="-9"/>
          <w:w w:val="115"/>
        </w:rPr>
        <w:t> </w:t>
      </w:r>
      <w:r>
        <w:rPr>
          <w:w w:val="115"/>
        </w:rPr>
        <w:t>cualquier </w:t>
      </w:r>
      <w:r>
        <w:rPr>
          <w:w w:val="108"/>
        </w:rPr>
        <w:t>otro</w:t>
      </w:r>
      <w:r>
        <w:rPr>
          <w:spacing w:val="15"/>
        </w:rPr>
        <w:t> </w:t>
      </w:r>
      <w:r>
        <w:rPr>
          <w:w w:val="110"/>
        </w:rPr>
        <w:t>país</w:t>
      </w:r>
      <w:r>
        <w:rPr>
          <w:spacing w:val="15"/>
        </w:rPr>
        <w:t> </w:t>
      </w:r>
      <w:r>
        <w:rPr>
          <w:w w:val="107"/>
        </w:rPr>
        <w:t>del</w:t>
      </w:r>
      <w:r>
        <w:rPr>
          <w:spacing w:val="15"/>
        </w:rPr>
        <w:t> </w:t>
      </w:r>
      <w:r>
        <w:rPr>
          <w:w w:val="113"/>
        </w:rPr>
        <w:t>G-20.</w:t>
      </w:r>
      <w:r>
        <w:rPr>
          <w:spacing w:val="15"/>
        </w:rPr>
        <w:t> </w:t>
      </w:r>
      <w:r>
        <w:rPr>
          <w:w w:val="243"/>
        </w:rPr>
        <w:t>l</w:t>
      </w:r>
      <w:r>
        <w:rPr>
          <w:w w:val="112"/>
        </w:rPr>
        <w:t>a</w:t>
      </w:r>
      <w:r>
        <w:rPr>
          <w:spacing w:val="15"/>
        </w:rPr>
        <w:t> </w:t>
      </w:r>
      <w:r>
        <w:rPr>
          <w:w w:val="108"/>
        </w:rPr>
        <w:t>inversión</w:t>
      </w:r>
      <w:r>
        <w:rPr>
          <w:spacing w:val="15"/>
        </w:rPr>
        <w:t> </w:t>
      </w:r>
      <w:r>
        <w:rPr>
          <w:w w:val="109"/>
        </w:rPr>
        <w:t>total</w:t>
      </w:r>
      <w:r>
        <w:rPr>
          <w:spacing w:val="15"/>
        </w:rPr>
        <w:t> </w:t>
      </w:r>
      <w:r>
        <w:rPr>
          <w:w w:val="107"/>
        </w:rPr>
        <w:t>de</w:t>
      </w:r>
      <w:r>
        <w:rPr>
          <w:spacing w:val="15"/>
        </w:rPr>
        <w:t> </w:t>
      </w:r>
      <w:r>
        <w:rPr>
          <w:w w:val="129"/>
        </w:rPr>
        <w:t>EE.</w:t>
      </w:r>
      <w:r>
        <w:rPr>
          <w:w w:val="140"/>
        </w:rPr>
        <w:t>uu</w:t>
      </w:r>
      <w:r>
        <w:rPr>
          <w:w w:val="138"/>
        </w:rPr>
        <w:t>.</w:t>
      </w:r>
      <w:r>
        <w:rPr>
          <w:spacing w:val="15"/>
        </w:rPr>
        <w:t> </w:t>
      </w:r>
      <w:r>
        <w:rPr>
          <w:w w:val="109"/>
        </w:rPr>
        <w:t>quedaría</w:t>
      </w:r>
      <w:r>
        <w:rPr>
          <w:spacing w:val="15"/>
        </w:rPr>
        <w:t> </w:t>
      </w:r>
      <w:r>
        <w:rPr>
          <w:w w:val="108"/>
        </w:rPr>
        <w:t>en</w:t>
      </w:r>
      <w:r>
        <w:rPr>
          <w:spacing w:val="15"/>
        </w:rPr>
        <w:t> </w:t>
      </w:r>
      <w:r>
        <w:rPr>
          <w:w w:val="106"/>
        </w:rPr>
        <w:t>18,6</w:t>
      </w:r>
      <w:r>
        <w:rPr>
          <w:spacing w:val="15"/>
        </w:rPr>
        <w:t> </w:t>
      </w:r>
      <w:r>
        <w:rPr>
          <w:w w:val="113"/>
        </w:rPr>
        <w:t>mil </w:t>
      </w:r>
      <w:r>
        <w:rPr>
          <w:w w:val="115"/>
        </w:rPr>
        <w:t>millones</w:t>
      </w:r>
      <w:r>
        <w:rPr>
          <w:spacing w:val="-6"/>
          <w:w w:val="115"/>
        </w:rPr>
        <w:t> </w:t>
      </w:r>
      <w:r>
        <w:rPr>
          <w:w w:val="115"/>
        </w:rPr>
        <w:t>de</w:t>
      </w:r>
      <w:r>
        <w:rPr>
          <w:spacing w:val="-6"/>
          <w:w w:val="115"/>
        </w:rPr>
        <w:t> </w:t>
      </w:r>
      <w:r>
        <w:rPr>
          <w:w w:val="115"/>
        </w:rPr>
        <w:t>us$,</w:t>
      </w:r>
      <w:r>
        <w:rPr>
          <w:spacing w:val="-6"/>
          <w:w w:val="115"/>
        </w:rPr>
        <w:t> </w:t>
      </w:r>
      <w:r>
        <w:rPr>
          <w:w w:val="115"/>
        </w:rPr>
        <w:t>perdiendo</w:t>
      </w:r>
      <w:r>
        <w:rPr>
          <w:spacing w:val="-6"/>
          <w:w w:val="115"/>
        </w:rPr>
        <w:t> </w:t>
      </w:r>
      <w:r>
        <w:rPr>
          <w:w w:val="115"/>
        </w:rPr>
        <w:t>así</w:t>
      </w:r>
      <w:r>
        <w:rPr>
          <w:spacing w:val="-6"/>
          <w:w w:val="115"/>
        </w:rPr>
        <w:t> </w:t>
      </w:r>
      <w:r>
        <w:rPr>
          <w:w w:val="115"/>
        </w:rPr>
        <w:t>su</w:t>
      </w:r>
      <w:r>
        <w:rPr>
          <w:spacing w:val="-6"/>
          <w:w w:val="115"/>
        </w:rPr>
        <w:t> </w:t>
      </w:r>
      <w:r>
        <w:rPr>
          <w:w w:val="115"/>
        </w:rPr>
        <w:t>tradicional</w:t>
      </w:r>
      <w:r>
        <w:rPr>
          <w:spacing w:val="-6"/>
          <w:w w:val="115"/>
        </w:rPr>
        <w:t> </w:t>
      </w:r>
      <w:r>
        <w:rPr>
          <w:w w:val="115"/>
        </w:rPr>
        <w:t>sitial.</w:t>
      </w:r>
      <w:r>
        <w:rPr>
          <w:spacing w:val="-6"/>
          <w:w w:val="115"/>
        </w:rPr>
        <w:t> </w:t>
      </w:r>
      <w:r>
        <w:rPr>
          <w:w w:val="115"/>
        </w:rPr>
        <w:t>Con</w:t>
      </w:r>
      <w:r>
        <w:rPr>
          <w:spacing w:val="-6"/>
          <w:w w:val="115"/>
        </w:rPr>
        <w:t> </w:t>
      </w:r>
      <w:r>
        <w:rPr>
          <w:w w:val="115"/>
        </w:rPr>
        <w:t>visión</w:t>
      </w:r>
      <w:r>
        <w:rPr>
          <w:spacing w:val="-6"/>
          <w:w w:val="115"/>
        </w:rPr>
        <w:t> </w:t>
      </w:r>
      <w:r>
        <w:rPr>
          <w:w w:val="115"/>
        </w:rPr>
        <w:t>de</w:t>
      </w:r>
      <w:r>
        <w:rPr>
          <w:spacing w:val="-6"/>
          <w:w w:val="115"/>
        </w:rPr>
        <w:t> </w:t>
      </w:r>
      <w:r>
        <w:rPr>
          <w:w w:val="115"/>
        </w:rPr>
        <w:t>fu- turo,</w:t>
      </w:r>
      <w:r>
        <w:rPr>
          <w:spacing w:val="-31"/>
          <w:w w:val="115"/>
        </w:rPr>
        <w:t> </w:t>
      </w:r>
      <w:r>
        <w:rPr>
          <w:w w:val="115"/>
        </w:rPr>
        <w:t>capacidad</w:t>
      </w:r>
      <w:r>
        <w:rPr>
          <w:spacing w:val="-31"/>
          <w:w w:val="115"/>
        </w:rPr>
        <w:t> </w:t>
      </w:r>
      <w:r>
        <w:rPr>
          <w:w w:val="115"/>
        </w:rPr>
        <w:t>innovadora,</w:t>
      </w:r>
      <w:r>
        <w:rPr>
          <w:spacing w:val="-31"/>
          <w:w w:val="115"/>
        </w:rPr>
        <w:t> </w:t>
      </w:r>
      <w:r>
        <w:rPr>
          <w:w w:val="115"/>
        </w:rPr>
        <w:t>disponibilidad</w:t>
      </w:r>
      <w:r>
        <w:rPr>
          <w:spacing w:val="-31"/>
          <w:w w:val="115"/>
        </w:rPr>
        <w:t> </w:t>
      </w:r>
      <w:r>
        <w:rPr>
          <w:w w:val="115"/>
        </w:rPr>
        <w:t>de</w:t>
      </w:r>
      <w:r>
        <w:rPr>
          <w:spacing w:val="-31"/>
          <w:w w:val="115"/>
        </w:rPr>
        <w:t> </w:t>
      </w:r>
      <w:r>
        <w:rPr>
          <w:w w:val="115"/>
        </w:rPr>
        <w:t>materias</w:t>
      </w:r>
      <w:r>
        <w:rPr>
          <w:spacing w:val="-31"/>
          <w:w w:val="115"/>
        </w:rPr>
        <w:t> </w:t>
      </w:r>
      <w:r>
        <w:rPr>
          <w:w w:val="115"/>
        </w:rPr>
        <w:t>primas</w:t>
      </w:r>
      <w:r>
        <w:rPr>
          <w:spacing w:val="-31"/>
          <w:w w:val="115"/>
        </w:rPr>
        <w:t> </w:t>
      </w:r>
      <w:r>
        <w:rPr>
          <w:w w:val="115"/>
        </w:rPr>
        <w:t>y</w:t>
      </w:r>
      <w:r>
        <w:rPr>
          <w:spacing w:val="-31"/>
          <w:w w:val="115"/>
        </w:rPr>
        <w:t> </w:t>
      </w:r>
      <w:r>
        <w:rPr>
          <w:spacing w:val="-3"/>
          <w:w w:val="115"/>
        </w:rPr>
        <w:t>fuer- </w:t>
      </w:r>
      <w:r>
        <w:rPr>
          <w:w w:val="115"/>
        </w:rPr>
        <w:t>za</w:t>
      </w:r>
      <w:r>
        <w:rPr>
          <w:spacing w:val="-8"/>
          <w:w w:val="115"/>
        </w:rPr>
        <w:t> </w:t>
      </w:r>
      <w:r>
        <w:rPr>
          <w:w w:val="115"/>
        </w:rPr>
        <w:t>laboral</w:t>
      </w:r>
      <w:r>
        <w:rPr>
          <w:spacing w:val="-8"/>
          <w:w w:val="115"/>
        </w:rPr>
        <w:t> </w:t>
      </w:r>
      <w:r>
        <w:rPr>
          <w:w w:val="115"/>
        </w:rPr>
        <w:t>cualificada</w:t>
      </w:r>
      <w:r>
        <w:rPr>
          <w:spacing w:val="-8"/>
          <w:w w:val="115"/>
        </w:rPr>
        <w:t> </w:t>
      </w:r>
      <w:r>
        <w:rPr>
          <w:w w:val="115"/>
        </w:rPr>
        <w:t>y</w:t>
      </w:r>
      <w:r>
        <w:rPr>
          <w:spacing w:val="-8"/>
          <w:w w:val="115"/>
        </w:rPr>
        <w:t> </w:t>
      </w:r>
      <w:r>
        <w:rPr>
          <w:w w:val="115"/>
        </w:rPr>
        <w:t>aún</w:t>
      </w:r>
      <w:r>
        <w:rPr>
          <w:spacing w:val="-8"/>
          <w:w w:val="115"/>
        </w:rPr>
        <w:t> </w:t>
      </w:r>
      <w:r>
        <w:rPr>
          <w:w w:val="115"/>
        </w:rPr>
        <w:t>más</w:t>
      </w:r>
      <w:r>
        <w:rPr>
          <w:spacing w:val="-8"/>
          <w:w w:val="115"/>
        </w:rPr>
        <w:t> </w:t>
      </w:r>
      <w:r>
        <w:rPr>
          <w:w w:val="115"/>
        </w:rPr>
        <w:t>barata,</w:t>
      </w:r>
      <w:r>
        <w:rPr>
          <w:spacing w:val="-8"/>
          <w:w w:val="115"/>
        </w:rPr>
        <w:t> </w:t>
      </w:r>
      <w:r>
        <w:rPr>
          <w:w w:val="115"/>
        </w:rPr>
        <w:t>China</w:t>
      </w:r>
      <w:r>
        <w:rPr>
          <w:spacing w:val="-8"/>
          <w:w w:val="115"/>
        </w:rPr>
        <w:t> </w:t>
      </w:r>
      <w:r>
        <w:rPr>
          <w:w w:val="115"/>
        </w:rPr>
        <w:t>pasaría</w:t>
      </w:r>
      <w:r>
        <w:rPr>
          <w:spacing w:val="-8"/>
          <w:w w:val="115"/>
        </w:rPr>
        <w:t> </w:t>
      </w:r>
      <w:r>
        <w:rPr>
          <w:w w:val="115"/>
        </w:rPr>
        <w:t>a</w:t>
      </w:r>
      <w:r>
        <w:rPr>
          <w:spacing w:val="-8"/>
          <w:w w:val="115"/>
        </w:rPr>
        <w:t> </w:t>
      </w:r>
      <w:r>
        <w:rPr>
          <w:w w:val="115"/>
        </w:rPr>
        <w:t>ser</w:t>
      </w:r>
      <w:r>
        <w:rPr>
          <w:spacing w:val="-8"/>
          <w:w w:val="115"/>
        </w:rPr>
        <w:t> </w:t>
      </w:r>
      <w:r>
        <w:rPr>
          <w:w w:val="115"/>
        </w:rPr>
        <w:t>el</w:t>
      </w:r>
      <w:r>
        <w:rPr>
          <w:spacing w:val="-8"/>
          <w:w w:val="115"/>
        </w:rPr>
        <w:t> </w:t>
      </w:r>
      <w:r>
        <w:rPr>
          <w:w w:val="115"/>
        </w:rPr>
        <w:t>mayor y más competitivo productor y exportador mundial de dispositivos solares</w:t>
      </w:r>
      <w:r>
        <w:rPr>
          <w:spacing w:val="-30"/>
          <w:w w:val="115"/>
        </w:rPr>
        <w:t> </w:t>
      </w:r>
      <w:r>
        <w:rPr>
          <w:w w:val="115"/>
        </w:rPr>
        <w:t>y</w:t>
      </w:r>
      <w:r>
        <w:rPr>
          <w:spacing w:val="-30"/>
          <w:w w:val="115"/>
        </w:rPr>
        <w:t> </w:t>
      </w:r>
      <w:r>
        <w:rPr>
          <w:w w:val="115"/>
        </w:rPr>
        <w:t>eólicos.</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firstLine="396"/>
        <w:jc w:val="both"/>
      </w:pPr>
      <w:r>
        <w:rPr>
          <w:w w:val="110"/>
        </w:rPr>
        <w:t>semejante vanguardismo, con vistas a ocupar primeras posicio- nes, se observaría también por parte de China en el desarrollo e insta- lación masiva de reactores y plantas nucleares de cuarta generación, seguros y eficientes. actualmente, con espíritu </w:t>
      </w:r>
      <w:r>
        <w:rPr>
          <w:spacing w:val="-3"/>
          <w:w w:val="110"/>
        </w:rPr>
        <w:t>previsor, </w:t>
      </w:r>
      <w:r>
        <w:rPr>
          <w:w w:val="110"/>
        </w:rPr>
        <w:t>convocan a  los expertos científico-técnicos del planeta a participar en su futurista proyecto para la alternativa energética basada en el  </w:t>
      </w:r>
      <w:r>
        <w:rPr>
          <w:spacing w:val="4"/>
          <w:w w:val="110"/>
        </w:rPr>
        <w:t> </w:t>
      </w:r>
      <w:r>
        <w:rPr>
          <w:spacing w:val="-3"/>
          <w:w w:val="110"/>
        </w:rPr>
        <w:t>torio.</w:t>
      </w:r>
    </w:p>
    <w:p>
      <w:pPr>
        <w:pStyle w:val="BodyText"/>
        <w:spacing w:before="11"/>
      </w:pPr>
    </w:p>
    <w:p>
      <w:pPr>
        <w:pStyle w:val="BodyText"/>
        <w:spacing w:line="252" w:lineRule="auto"/>
        <w:ind w:left="330" w:right="117"/>
        <w:jc w:val="both"/>
      </w:pPr>
      <w:r>
        <w:rPr>
          <w:i/>
          <w:w w:val="115"/>
        </w:rPr>
        <w:t>Cambio climático. </w:t>
      </w:r>
      <w:r>
        <w:rPr>
          <w:w w:val="115"/>
        </w:rPr>
        <w:t>En lo concerniente a este tema</w:t>
      </w:r>
      <w:r>
        <w:rPr>
          <w:b/>
          <w:w w:val="115"/>
        </w:rPr>
        <w:t>, </w:t>
      </w:r>
      <w:r>
        <w:rPr>
          <w:w w:val="115"/>
        </w:rPr>
        <w:t>la tristemente cé- lebre</w:t>
      </w:r>
      <w:r>
        <w:rPr>
          <w:spacing w:val="-14"/>
          <w:w w:val="115"/>
        </w:rPr>
        <w:t> </w:t>
      </w:r>
      <w:r>
        <w:rPr>
          <w:w w:val="115"/>
        </w:rPr>
        <w:t>intervención</w:t>
      </w:r>
      <w:r>
        <w:rPr>
          <w:spacing w:val="-14"/>
          <w:w w:val="115"/>
        </w:rPr>
        <w:t> </w:t>
      </w:r>
      <w:r>
        <w:rPr>
          <w:w w:val="115"/>
        </w:rPr>
        <w:t>de</w:t>
      </w:r>
      <w:r>
        <w:rPr>
          <w:spacing w:val="-14"/>
          <w:w w:val="115"/>
        </w:rPr>
        <w:t> </w:t>
      </w:r>
      <w:r>
        <w:rPr>
          <w:w w:val="115"/>
        </w:rPr>
        <w:t>obama</w:t>
      </w:r>
      <w:r>
        <w:rPr>
          <w:spacing w:val="-14"/>
          <w:w w:val="115"/>
        </w:rPr>
        <w:t> </w:t>
      </w:r>
      <w:r>
        <w:rPr>
          <w:w w:val="115"/>
        </w:rPr>
        <w:t>en</w:t>
      </w:r>
      <w:r>
        <w:rPr>
          <w:spacing w:val="-14"/>
          <w:w w:val="115"/>
        </w:rPr>
        <w:t> </w:t>
      </w:r>
      <w:r>
        <w:rPr>
          <w:w w:val="115"/>
        </w:rPr>
        <w:t>la</w:t>
      </w:r>
      <w:r>
        <w:rPr>
          <w:spacing w:val="-14"/>
          <w:w w:val="115"/>
        </w:rPr>
        <w:t> </w:t>
      </w:r>
      <w:r>
        <w:rPr>
          <w:w w:val="115"/>
        </w:rPr>
        <w:t>Conferencia</w:t>
      </w:r>
      <w:r>
        <w:rPr>
          <w:spacing w:val="-14"/>
          <w:w w:val="115"/>
        </w:rPr>
        <w:t> </w:t>
      </w:r>
      <w:r>
        <w:rPr>
          <w:w w:val="115"/>
        </w:rPr>
        <w:t>Mundial</w:t>
      </w:r>
      <w:r>
        <w:rPr>
          <w:spacing w:val="-14"/>
          <w:w w:val="115"/>
        </w:rPr>
        <w:t> </w:t>
      </w:r>
      <w:r>
        <w:rPr>
          <w:w w:val="115"/>
        </w:rPr>
        <w:t>de</w:t>
      </w:r>
      <w:r>
        <w:rPr>
          <w:spacing w:val="-14"/>
          <w:w w:val="115"/>
        </w:rPr>
        <w:t> </w:t>
      </w:r>
      <w:r>
        <w:rPr>
          <w:w w:val="115"/>
        </w:rPr>
        <w:t>Copenha- gue (2009), dilatando, como su predecesor G. </w:t>
      </w:r>
      <w:r>
        <w:rPr>
          <w:spacing w:val="-11"/>
          <w:w w:val="115"/>
        </w:rPr>
        <w:t>W. </w:t>
      </w:r>
      <w:r>
        <w:rPr>
          <w:w w:val="115"/>
        </w:rPr>
        <w:t>bush, un acuerdo vinculante</w:t>
      </w:r>
      <w:r>
        <w:rPr>
          <w:spacing w:val="-25"/>
          <w:w w:val="115"/>
        </w:rPr>
        <w:t> </w:t>
      </w:r>
      <w:r>
        <w:rPr>
          <w:w w:val="115"/>
        </w:rPr>
        <w:t>sobre</w:t>
      </w:r>
      <w:r>
        <w:rPr>
          <w:spacing w:val="-25"/>
          <w:w w:val="115"/>
        </w:rPr>
        <w:t> </w:t>
      </w:r>
      <w:r>
        <w:rPr>
          <w:w w:val="115"/>
        </w:rPr>
        <w:t>la</w:t>
      </w:r>
      <w:r>
        <w:rPr>
          <w:spacing w:val="-25"/>
          <w:w w:val="115"/>
        </w:rPr>
        <w:t> </w:t>
      </w:r>
      <w:r>
        <w:rPr>
          <w:w w:val="115"/>
        </w:rPr>
        <w:t>limitación</w:t>
      </w:r>
      <w:r>
        <w:rPr>
          <w:spacing w:val="-25"/>
          <w:w w:val="115"/>
        </w:rPr>
        <w:t> </w:t>
      </w:r>
      <w:r>
        <w:rPr>
          <w:w w:val="115"/>
        </w:rPr>
        <w:t>general</w:t>
      </w:r>
      <w:r>
        <w:rPr>
          <w:spacing w:val="-25"/>
          <w:w w:val="115"/>
        </w:rPr>
        <w:t> </w:t>
      </w:r>
      <w:r>
        <w:rPr>
          <w:w w:val="115"/>
        </w:rPr>
        <w:t>de</w:t>
      </w:r>
      <w:r>
        <w:rPr>
          <w:spacing w:val="-25"/>
          <w:w w:val="115"/>
        </w:rPr>
        <w:t> </w:t>
      </w:r>
      <w:r>
        <w:rPr>
          <w:w w:val="115"/>
        </w:rPr>
        <w:t>la</w:t>
      </w:r>
      <w:r>
        <w:rPr>
          <w:spacing w:val="-25"/>
          <w:w w:val="115"/>
        </w:rPr>
        <w:t> </w:t>
      </w:r>
      <w:r>
        <w:rPr>
          <w:w w:val="115"/>
        </w:rPr>
        <w:t>emisión</w:t>
      </w:r>
      <w:r>
        <w:rPr>
          <w:spacing w:val="-25"/>
          <w:w w:val="115"/>
        </w:rPr>
        <w:t> </w:t>
      </w:r>
      <w:r>
        <w:rPr>
          <w:w w:val="115"/>
        </w:rPr>
        <w:t>de</w:t>
      </w:r>
      <w:r>
        <w:rPr>
          <w:spacing w:val="-25"/>
          <w:w w:val="115"/>
        </w:rPr>
        <w:t> </w:t>
      </w:r>
      <w:r>
        <w:rPr>
          <w:w w:val="115"/>
        </w:rPr>
        <w:t>gases</w:t>
      </w:r>
      <w:r>
        <w:rPr>
          <w:spacing w:val="-25"/>
          <w:w w:val="115"/>
        </w:rPr>
        <w:t> </w:t>
      </w:r>
      <w:r>
        <w:rPr>
          <w:w w:val="115"/>
        </w:rPr>
        <w:t>de</w:t>
      </w:r>
      <w:r>
        <w:rPr>
          <w:spacing w:val="-25"/>
          <w:w w:val="115"/>
        </w:rPr>
        <w:t> </w:t>
      </w:r>
      <w:r>
        <w:rPr>
          <w:w w:val="115"/>
        </w:rPr>
        <w:t>efecto invernadero,</w:t>
      </w:r>
      <w:r>
        <w:rPr>
          <w:spacing w:val="-20"/>
          <w:w w:val="115"/>
        </w:rPr>
        <w:t> </w:t>
      </w:r>
      <w:r>
        <w:rPr>
          <w:w w:val="115"/>
        </w:rPr>
        <w:t>decepcionaría.</w:t>
      </w:r>
      <w:r>
        <w:rPr>
          <w:spacing w:val="-20"/>
          <w:w w:val="115"/>
        </w:rPr>
        <w:t> </w:t>
      </w:r>
      <w:r>
        <w:rPr>
          <w:w w:val="115"/>
        </w:rPr>
        <w:t>Había</w:t>
      </w:r>
      <w:r>
        <w:rPr>
          <w:spacing w:val="-20"/>
          <w:w w:val="115"/>
        </w:rPr>
        <w:t> </w:t>
      </w:r>
      <w:r>
        <w:rPr>
          <w:w w:val="115"/>
        </w:rPr>
        <w:t>despertado</w:t>
      </w:r>
      <w:r>
        <w:rPr>
          <w:spacing w:val="-20"/>
          <w:w w:val="115"/>
        </w:rPr>
        <w:t> </w:t>
      </w:r>
      <w:r>
        <w:rPr>
          <w:w w:val="115"/>
        </w:rPr>
        <w:t>las</w:t>
      </w:r>
      <w:r>
        <w:rPr>
          <w:spacing w:val="-20"/>
          <w:w w:val="115"/>
        </w:rPr>
        <w:t> </w:t>
      </w:r>
      <w:r>
        <w:rPr>
          <w:w w:val="115"/>
        </w:rPr>
        <w:t>esperanzas</w:t>
      </w:r>
      <w:r>
        <w:rPr>
          <w:spacing w:val="-20"/>
          <w:w w:val="115"/>
        </w:rPr>
        <w:t> </w:t>
      </w:r>
      <w:r>
        <w:rPr>
          <w:w w:val="115"/>
        </w:rPr>
        <w:t>de</w:t>
      </w:r>
      <w:r>
        <w:rPr>
          <w:spacing w:val="-20"/>
          <w:w w:val="115"/>
        </w:rPr>
        <w:t> </w:t>
      </w:r>
      <w:r>
        <w:rPr>
          <w:w w:val="115"/>
        </w:rPr>
        <w:t>que EE.uu.</w:t>
      </w:r>
      <w:r>
        <w:rPr>
          <w:spacing w:val="-17"/>
          <w:w w:val="115"/>
        </w:rPr>
        <w:t> </w:t>
      </w:r>
      <w:r>
        <w:rPr>
          <w:w w:val="115"/>
        </w:rPr>
        <w:t>se</w:t>
      </w:r>
      <w:r>
        <w:rPr>
          <w:spacing w:val="-17"/>
          <w:w w:val="115"/>
        </w:rPr>
        <w:t> </w:t>
      </w:r>
      <w:r>
        <w:rPr>
          <w:w w:val="115"/>
        </w:rPr>
        <w:t>sumara</w:t>
      </w:r>
      <w:r>
        <w:rPr>
          <w:spacing w:val="-17"/>
          <w:w w:val="115"/>
        </w:rPr>
        <w:t> </w:t>
      </w:r>
      <w:r>
        <w:rPr>
          <w:w w:val="115"/>
        </w:rPr>
        <w:t>al</w:t>
      </w:r>
      <w:r>
        <w:rPr>
          <w:spacing w:val="-17"/>
          <w:w w:val="115"/>
        </w:rPr>
        <w:t> </w:t>
      </w:r>
      <w:r>
        <w:rPr>
          <w:w w:val="115"/>
        </w:rPr>
        <w:t>consenso</w:t>
      </w:r>
      <w:r>
        <w:rPr>
          <w:spacing w:val="-17"/>
          <w:w w:val="115"/>
        </w:rPr>
        <w:t> </w:t>
      </w:r>
      <w:r>
        <w:rPr>
          <w:w w:val="115"/>
        </w:rPr>
        <w:t>mundial</w:t>
      </w:r>
      <w:r>
        <w:rPr>
          <w:spacing w:val="-17"/>
          <w:w w:val="115"/>
        </w:rPr>
        <w:t> </w:t>
      </w:r>
      <w:r>
        <w:rPr>
          <w:w w:val="115"/>
        </w:rPr>
        <w:t>para</w:t>
      </w:r>
      <w:r>
        <w:rPr>
          <w:spacing w:val="-17"/>
          <w:w w:val="115"/>
        </w:rPr>
        <w:t> </w:t>
      </w:r>
      <w:r>
        <w:rPr>
          <w:w w:val="115"/>
        </w:rPr>
        <w:t>evitar</w:t>
      </w:r>
      <w:r>
        <w:rPr>
          <w:spacing w:val="-17"/>
          <w:w w:val="115"/>
        </w:rPr>
        <w:t> </w:t>
      </w:r>
      <w:r>
        <w:rPr>
          <w:w w:val="115"/>
        </w:rPr>
        <w:t>la</w:t>
      </w:r>
      <w:r>
        <w:rPr>
          <w:spacing w:val="-17"/>
          <w:w w:val="115"/>
        </w:rPr>
        <w:t> </w:t>
      </w:r>
      <w:r>
        <w:rPr>
          <w:w w:val="115"/>
        </w:rPr>
        <w:t>catástrofe</w:t>
      </w:r>
      <w:r>
        <w:rPr>
          <w:spacing w:val="-17"/>
          <w:w w:val="115"/>
        </w:rPr>
        <w:t> </w:t>
      </w:r>
      <w:r>
        <w:rPr>
          <w:w w:val="115"/>
        </w:rPr>
        <w:t>ecoló- </w:t>
      </w:r>
      <w:r>
        <w:rPr>
          <w:w w:val="113"/>
        </w:rPr>
        <w:t>gica</w:t>
      </w:r>
      <w:r>
        <w:rPr>
          <w:spacing w:val="16"/>
        </w:rPr>
        <w:t> </w:t>
      </w:r>
      <w:r>
        <w:rPr>
          <w:w w:val="108"/>
        </w:rPr>
        <w:t>que</w:t>
      </w:r>
      <w:r>
        <w:rPr>
          <w:spacing w:val="16"/>
        </w:rPr>
        <w:t> </w:t>
      </w:r>
      <w:r>
        <w:rPr>
          <w:w w:val="111"/>
        </w:rPr>
        <w:t>amenaza</w:t>
      </w:r>
      <w:r>
        <w:rPr>
          <w:spacing w:val="16"/>
        </w:rPr>
        <w:t> </w:t>
      </w:r>
      <w:r>
        <w:rPr>
          <w:w w:val="112"/>
        </w:rPr>
        <w:t>a</w:t>
      </w:r>
      <w:r>
        <w:rPr>
          <w:spacing w:val="16"/>
        </w:rPr>
        <w:t> </w:t>
      </w:r>
      <w:r>
        <w:rPr>
          <w:w w:val="111"/>
        </w:rPr>
        <w:t>la</w:t>
      </w:r>
      <w:r>
        <w:rPr>
          <w:spacing w:val="16"/>
        </w:rPr>
        <w:t> </w:t>
      </w:r>
      <w:r>
        <w:rPr>
          <w:w w:val="108"/>
        </w:rPr>
        <w:t>especie</w:t>
      </w:r>
      <w:r>
        <w:rPr>
          <w:spacing w:val="16"/>
        </w:rPr>
        <w:t> </w:t>
      </w:r>
      <w:r>
        <w:rPr>
          <w:w w:val="114"/>
        </w:rPr>
        <w:t>humana.</w:t>
      </w:r>
      <w:r>
        <w:rPr>
          <w:spacing w:val="16"/>
        </w:rPr>
        <w:t> </w:t>
      </w:r>
      <w:r>
        <w:rPr>
          <w:w w:val="243"/>
        </w:rPr>
        <w:t>l</w:t>
      </w:r>
      <w:r>
        <w:rPr>
          <w:w w:val="112"/>
        </w:rPr>
        <w:t>a</w:t>
      </w:r>
      <w:r>
        <w:rPr>
          <w:spacing w:val="16"/>
        </w:rPr>
        <w:t> </w:t>
      </w:r>
      <w:r>
        <w:rPr>
          <w:w w:val="111"/>
        </w:rPr>
        <w:t>política</w:t>
      </w:r>
      <w:r>
        <w:rPr>
          <w:spacing w:val="16"/>
        </w:rPr>
        <w:t> </w:t>
      </w:r>
      <w:r>
        <w:rPr>
          <w:w w:val="113"/>
        </w:rPr>
        <w:t>climática</w:t>
      </w:r>
      <w:r>
        <w:rPr>
          <w:spacing w:val="16"/>
        </w:rPr>
        <w:t> </w:t>
      </w:r>
      <w:r>
        <w:rPr>
          <w:w w:val="107"/>
        </w:rPr>
        <w:t>exterior </w:t>
      </w:r>
      <w:r>
        <w:rPr>
          <w:w w:val="115"/>
        </w:rPr>
        <w:t>de</w:t>
      </w:r>
      <w:r>
        <w:rPr>
          <w:spacing w:val="-27"/>
          <w:w w:val="115"/>
        </w:rPr>
        <w:t> </w:t>
      </w:r>
      <w:r>
        <w:rPr>
          <w:w w:val="115"/>
        </w:rPr>
        <w:t>obama</w:t>
      </w:r>
      <w:r>
        <w:rPr>
          <w:spacing w:val="-27"/>
          <w:w w:val="115"/>
        </w:rPr>
        <w:t> </w:t>
      </w:r>
      <w:r>
        <w:rPr>
          <w:w w:val="115"/>
        </w:rPr>
        <w:t>se</w:t>
      </w:r>
      <w:r>
        <w:rPr>
          <w:spacing w:val="-27"/>
          <w:w w:val="115"/>
        </w:rPr>
        <w:t> </w:t>
      </w:r>
      <w:r>
        <w:rPr>
          <w:w w:val="115"/>
        </w:rPr>
        <w:t>vería</w:t>
      </w:r>
      <w:r>
        <w:rPr>
          <w:spacing w:val="-27"/>
          <w:w w:val="115"/>
        </w:rPr>
        <w:t> </w:t>
      </w:r>
      <w:r>
        <w:rPr>
          <w:w w:val="115"/>
        </w:rPr>
        <w:t>limitada</w:t>
      </w:r>
      <w:r>
        <w:rPr>
          <w:spacing w:val="-27"/>
          <w:w w:val="115"/>
        </w:rPr>
        <w:t> </w:t>
      </w:r>
      <w:r>
        <w:rPr>
          <w:w w:val="115"/>
        </w:rPr>
        <w:t>por</w:t>
      </w:r>
      <w:r>
        <w:rPr>
          <w:spacing w:val="-27"/>
          <w:w w:val="115"/>
        </w:rPr>
        <w:t> </w:t>
      </w:r>
      <w:r>
        <w:rPr>
          <w:w w:val="115"/>
        </w:rPr>
        <w:t>el</w:t>
      </w:r>
      <w:r>
        <w:rPr>
          <w:spacing w:val="-27"/>
          <w:w w:val="115"/>
        </w:rPr>
        <w:t> </w:t>
      </w:r>
      <w:r>
        <w:rPr>
          <w:w w:val="115"/>
        </w:rPr>
        <w:t>controvertido</w:t>
      </w:r>
      <w:r>
        <w:rPr>
          <w:spacing w:val="-27"/>
          <w:w w:val="115"/>
        </w:rPr>
        <w:t> </w:t>
      </w:r>
      <w:r>
        <w:rPr>
          <w:w w:val="115"/>
        </w:rPr>
        <w:t>debate</w:t>
      </w:r>
      <w:r>
        <w:rPr>
          <w:spacing w:val="-27"/>
          <w:w w:val="115"/>
        </w:rPr>
        <w:t> </w:t>
      </w:r>
      <w:r>
        <w:rPr>
          <w:w w:val="115"/>
        </w:rPr>
        <w:t>en</w:t>
      </w:r>
      <w:r>
        <w:rPr>
          <w:spacing w:val="-27"/>
          <w:w w:val="115"/>
        </w:rPr>
        <w:t> </w:t>
      </w:r>
      <w:r>
        <w:rPr>
          <w:w w:val="115"/>
        </w:rPr>
        <w:t>el</w:t>
      </w:r>
      <w:r>
        <w:rPr>
          <w:spacing w:val="-27"/>
          <w:w w:val="115"/>
        </w:rPr>
        <w:t> </w:t>
      </w:r>
      <w:r>
        <w:rPr>
          <w:w w:val="115"/>
        </w:rPr>
        <w:t>Congreso de EE.uu. acerca del </w:t>
      </w:r>
      <w:r>
        <w:rPr>
          <w:i/>
          <w:w w:val="115"/>
        </w:rPr>
        <w:t>Proyecto de Ley Estadounidense sobre Energía </w:t>
      </w:r>
      <w:r>
        <w:rPr>
          <w:i/>
          <w:w w:val="115"/>
        </w:rPr>
        <w:t>Limpia y Seguridad</w:t>
      </w:r>
      <w:r>
        <w:rPr>
          <w:w w:val="115"/>
        </w:rPr>
        <w:t>, de difícil aprobación. Enfrentaría así el descon- cierto</w:t>
      </w:r>
      <w:r>
        <w:rPr>
          <w:spacing w:val="-26"/>
          <w:w w:val="115"/>
        </w:rPr>
        <w:t> </w:t>
      </w:r>
      <w:r>
        <w:rPr>
          <w:w w:val="115"/>
        </w:rPr>
        <w:t>general</w:t>
      </w:r>
      <w:r>
        <w:rPr>
          <w:spacing w:val="-26"/>
          <w:w w:val="115"/>
        </w:rPr>
        <w:t> </w:t>
      </w:r>
      <w:r>
        <w:rPr>
          <w:w w:val="115"/>
        </w:rPr>
        <w:t>con</w:t>
      </w:r>
      <w:r>
        <w:rPr>
          <w:spacing w:val="-26"/>
          <w:w w:val="115"/>
        </w:rPr>
        <w:t> </w:t>
      </w:r>
      <w:r>
        <w:rPr>
          <w:w w:val="115"/>
        </w:rPr>
        <w:t>numerosas</w:t>
      </w:r>
      <w:r>
        <w:rPr>
          <w:spacing w:val="-26"/>
          <w:w w:val="115"/>
        </w:rPr>
        <w:t> </w:t>
      </w:r>
      <w:r>
        <w:rPr>
          <w:w w:val="115"/>
        </w:rPr>
        <w:t>oposiciones,</w:t>
      </w:r>
      <w:r>
        <w:rPr>
          <w:spacing w:val="-26"/>
          <w:w w:val="115"/>
        </w:rPr>
        <w:t> </w:t>
      </w:r>
      <w:r>
        <w:rPr>
          <w:w w:val="115"/>
        </w:rPr>
        <w:t>entre</w:t>
      </w:r>
      <w:r>
        <w:rPr>
          <w:spacing w:val="-26"/>
          <w:w w:val="115"/>
        </w:rPr>
        <w:t> </w:t>
      </w:r>
      <w:r>
        <w:rPr>
          <w:w w:val="115"/>
        </w:rPr>
        <w:t>ellas</w:t>
      </w:r>
      <w:r>
        <w:rPr>
          <w:spacing w:val="-26"/>
          <w:w w:val="115"/>
        </w:rPr>
        <w:t> </w:t>
      </w:r>
      <w:r>
        <w:rPr>
          <w:w w:val="115"/>
        </w:rPr>
        <w:t>las</w:t>
      </w:r>
      <w:r>
        <w:rPr>
          <w:spacing w:val="-26"/>
          <w:w w:val="115"/>
        </w:rPr>
        <w:t> </w:t>
      </w:r>
      <w:r>
        <w:rPr>
          <w:w w:val="115"/>
        </w:rPr>
        <w:t>de</w:t>
      </w:r>
      <w:r>
        <w:rPr>
          <w:spacing w:val="-26"/>
          <w:w w:val="115"/>
        </w:rPr>
        <w:t> </w:t>
      </w:r>
      <w:r>
        <w:rPr>
          <w:w w:val="115"/>
        </w:rPr>
        <w:t>Venezue- </w:t>
      </w:r>
      <w:r>
        <w:rPr>
          <w:w w:val="117"/>
        </w:rPr>
        <w:t>la,</w:t>
      </w:r>
      <w:r>
        <w:rPr/>
        <w:t> </w:t>
      </w:r>
      <w:r>
        <w:rPr>
          <w:spacing w:val="-17"/>
        </w:rPr>
        <w:t> </w:t>
      </w:r>
      <w:r>
        <w:rPr>
          <w:w w:val="134"/>
        </w:rPr>
        <w:t>b</w:t>
      </w:r>
      <w:r>
        <w:rPr>
          <w:w w:val="110"/>
        </w:rPr>
        <w:t>olivia</w:t>
      </w:r>
      <w:r>
        <w:rPr/>
        <w:t> </w:t>
      </w:r>
      <w:r>
        <w:rPr>
          <w:spacing w:val="-17"/>
        </w:rPr>
        <w:t> </w:t>
      </w:r>
      <w:r>
        <w:rPr>
          <w:w w:val="105"/>
        </w:rPr>
        <w:t>y</w:t>
      </w:r>
      <w:r>
        <w:rPr/>
        <w:t> </w:t>
      </w:r>
      <w:r>
        <w:rPr>
          <w:spacing w:val="-17"/>
        </w:rPr>
        <w:t> </w:t>
      </w:r>
      <w:r>
        <w:rPr>
          <w:w w:val="117"/>
        </w:rPr>
        <w:t>Cuba.</w:t>
      </w:r>
      <w:r>
        <w:rPr/>
        <w:t> </w:t>
      </w:r>
      <w:r>
        <w:rPr>
          <w:spacing w:val="-17"/>
        </w:rPr>
        <w:t> </w:t>
      </w:r>
      <w:r>
        <w:rPr>
          <w:w w:val="243"/>
        </w:rPr>
        <w:t>l</w:t>
      </w:r>
      <w:r>
        <w:rPr>
          <w:w w:val="108"/>
        </w:rPr>
        <w:t>os</w:t>
      </w:r>
      <w:r>
        <w:rPr/>
        <w:t> </w:t>
      </w:r>
      <w:r>
        <w:rPr>
          <w:spacing w:val="-17"/>
        </w:rPr>
        <w:t> </w:t>
      </w:r>
      <w:r>
        <w:rPr>
          <w:w w:val="108"/>
        </w:rPr>
        <w:t>países</w:t>
      </w:r>
      <w:r>
        <w:rPr/>
        <w:t> </w:t>
      </w:r>
      <w:r>
        <w:rPr>
          <w:spacing w:val="-17"/>
        </w:rPr>
        <w:t> </w:t>
      </w:r>
      <w:r>
        <w:rPr>
          <w:w w:val="108"/>
        </w:rPr>
        <w:t>subdesarrollados</w:t>
      </w:r>
      <w:r>
        <w:rPr/>
        <w:t> </w:t>
      </w:r>
      <w:r>
        <w:rPr>
          <w:spacing w:val="-17"/>
        </w:rPr>
        <w:t> </w:t>
      </w:r>
      <w:r>
        <w:rPr>
          <w:w w:val="110"/>
        </w:rPr>
        <w:t>demandaban</w:t>
      </w:r>
      <w:r>
        <w:rPr/>
        <w:t> </w:t>
      </w:r>
      <w:r>
        <w:rPr>
          <w:spacing w:val="-17"/>
        </w:rPr>
        <w:t> </w:t>
      </w:r>
      <w:r>
        <w:rPr>
          <w:w w:val="108"/>
        </w:rPr>
        <w:t>que</w:t>
      </w:r>
      <w:r>
        <w:rPr/>
        <w:t> </w:t>
      </w:r>
      <w:r>
        <w:rPr>
          <w:spacing w:val="-17"/>
        </w:rPr>
        <w:t> </w:t>
      </w:r>
      <w:r>
        <w:rPr>
          <w:w w:val="108"/>
        </w:rPr>
        <w:t>los </w:t>
      </w:r>
      <w:r>
        <w:rPr>
          <w:w w:val="110"/>
        </w:rPr>
        <w:t>desarrollados</w:t>
      </w:r>
      <w:r>
        <w:rPr>
          <w:spacing w:val="-11"/>
          <w:w w:val="110"/>
        </w:rPr>
        <w:t> </w:t>
      </w:r>
      <w:r>
        <w:rPr>
          <w:w w:val="110"/>
        </w:rPr>
        <w:t>redujeran</w:t>
      </w:r>
      <w:r>
        <w:rPr>
          <w:spacing w:val="-11"/>
          <w:w w:val="110"/>
        </w:rPr>
        <w:t> </w:t>
      </w:r>
      <w:r>
        <w:rPr>
          <w:w w:val="110"/>
        </w:rPr>
        <w:t>para</w:t>
      </w:r>
      <w:r>
        <w:rPr>
          <w:spacing w:val="-11"/>
          <w:w w:val="110"/>
        </w:rPr>
        <w:t> </w:t>
      </w:r>
      <w:r>
        <w:rPr>
          <w:w w:val="110"/>
        </w:rPr>
        <w:t>2020</w:t>
      </w:r>
      <w:r>
        <w:rPr>
          <w:spacing w:val="-11"/>
          <w:w w:val="110"/>
        </w:rPr>
        <w:t> </w:t>
      </w:r>
      <w:r>
        <w:rPr>
          <w:w w:val="110"/>
        </w:rPr>
        <w:t>sus</w:t>
      </w:r>
      <w:r>
        <w:rPr>
          <w:spacing w:val="-11"/>
          <w:w w:val="110"/>
        </w:rPr>
        <w:t> </w:t>
      </w:r>
      <w:r>
        <w:rPr>
          <w:w w:val="110"/>
        </w:rPr>
        <w:t>emisiones</w:t>
      </w:r>
      <w:r>
        <w:rPr>
          <w:spacing w:val="-11"/>
          <w:w w:val="110"/>
        </w:rPr>
        <w:t> </w:t>
      </w:r>
      <w:r>
        <w:rPr>
          <w:w w:val="110"/>
        </w:rPr>
        <w:t>por</w:t>
      </w:r>
      <w:r>
        <w:rPr>
          <w:spacing w:val="-11"/>
          <w:w w:val="110"/>
        </w:rPr>
        <w:t> </w:t>
      </w:r>
      <w:r>
        <w:rPr>
          <w:w w:val="110"/>
        </w:rPr>
        <w:t>lo</w:t>
      </w:r>
      <w:r>
        <w:rPr>
          <w:spacing w:val="-11"/>
          <w:w w:val="110"/>
        </w:rPr>
        <w:t> </w:t>
      </w:r>
      <w:r>
        <w:rPr>
          <w:w w:val="110"/>
        </w:rPr>
        <w:t>menos</w:t>
      </w:r>
      <w:r>
        <w:rPr>
          <w:spacing w:val="-11"/>
          <w:w w:val="110"/>
        </w:rPr>
        <w:t> </w:t>
      </w:r>
      <w:r>
        <w:rPr>
          <w:w w:val="110"/>
        </w:rPr>
        <w:t>en</w:t>
      </w:r>
      <w:r>
        <w:rPr>
          <w:spacing w:val="-11"/>
          <w:w w:val="110"/>
        </w:rPr>
        <w:t> </w:t>
      </w:r>
      <w:r>
        <w:rPr>
          <w:w w:val="110"/>
        </w:rPr>
        <w:t>40% </w:t>
      </w:r>
      <w:r>
        <w:rPr>
          <w:w w:val="115"/>
        </w:rPr>
        <w:t>respecto</w:t>
      </w:r>
      <w:r>
        <w:rPr>
          <w:spacing w:val="-19"/>
          <w:w w:val="115"/>
        </w:rPr>
        <w:t> </w:t>
      </w:r>
      <w:r>
        <w:rPr>
          <w:w w:val="115"/>
        </w:rPr>
        <w:t>al</w:t>
      </w:r>
      <w:r>
        <w:rPr>
          <w:spacing w:val="-19"/>
          <w:w w:val="115"/>
        </w:rPr>
        <w:t> </w:t>
      </w:r>
      <w:r>
        <w:rPr>
          <w:w w:val="115"/>
        </w:rPr>
        <w:t>nivel</w:t>
      </w:r>
      <w:r>
        <w:rPr>
          <w:spacing w:val="-19"/>
          <w:w w:val="115"/>
        </w:rPr>
        <w:t> </w:t>
      </w:r>
      <w:r>
        <w:rPr>
          <w:w w:val="115"/>
        </w:rPr>
        <w:t>de</w:t>
      </w:r>
      <w:r>
        <w:rPr>
          <w:spacing w:val="-19"/>
          <w:w w:val="115"/>
        </w:rPr>
        <w:t> </w:t>
      </w:r>
      <w:r>
        <w:rPr>
          <w:w w:val="115"/>
        </w:rPr>
        <w:t>1990,</w:t>
      </w:r>
      <w:r>
        <w:rPr>
          <w:spacing w:val="-19"/>
          <w:w w:val="115"/>
        </w:rPr>
        <w:t> </w:t>
      </w:r>
      <w:r>
        <w:rPr>
          <w:w w:val="115"/>
        </w:rPr>
        <w:t>mientras</w:t>
      </w:r>
      <w:r>
        <w:rPr>
          <w:spacing w:val="-19"/>
          <w:w w:val="115"/>
        </w:rPr>
        <w:t> </w:t>
      </w:r>
      <w:r>
        <w:rPr>
          <w:w w:val="115"/>
        </w:rPr>
        <w:t>EE.uu.</w:t>
      </w:r>
      <w:r>
        <w:rPr>
          <w:spacing w:val="-19"/>
          <w:w w:val="115"/>
        </w:rPr>
        <w:t> </w:t>
      </w:r>
      <w:r>
        <w:rPr>
          <w:w w:val="115"/>
        </w:rPr>
        <w:t>estaría</w:t>
      </w:r>
      <w:r>
        <w:rPr>
          <w:spacing w:val="-19"/>
          <w:w w:val="115"/>
        </w:rPr>
        <w:t> </w:t>
      </w:r>
      <w:r>
        <w:rPr>
          <w:w w:val="115"/>
        </w:rPr>
        <w:t>dispuesto</w:t>
      </w:r>
      <w:r>
        <w:rPr>
          <w:spacing w:val="-19"/>
          <w:w w:val="115"/>
        </w:rPr>
        <w:t> </w:t>
      </w:r>
      <w:r>
        <w:rPr>
          <w:w w:val="115"/>
        </w:rPr>
        <w:t>a</w:t>
      </w:r>
      <w:r>
        <w:rPr>
          <w:spacing w:val="-19"/>
          <w:w w:val="115"/>
        </w:rPr>
        <w:t> </w:t>
      </w:r>
      <w:r>
        <w:rPr>
          <w:w w:val="115"/>
        </w:rPr>
        <w:t>reducir </w:t>
      </w:r>
      <w:r>
        <w:rPr>
          <w:w w:val="108"/>
        </w:rPr>
        <w:t>sus</w:t>
      </w:r>
      <w:r>
        <w:rPr>
          <w:spacing w:val="15"/>
        </w:rPr>
        <w:t> </w:t>
      </w:r>
      <w:r>
        <w:rPr>
          <w:w w:val="109"/>
        </w:rPr>
        <w:t>emisiones</w:t>
      </w:r>
      <w:r>
        <w:rPr>
          <w:spacing w:val="15"/>
        </w:rPr>
        <w:t> </w:t>
      </w:r>
      <w:r>
        <w:rPr>
          <w:w w:val="109"/>
        </w:rPr>
        <w:t>solo</w:t>
      </w:r>
      <w:r>
        <w:rPr>
          <w:spacing w:val="15"/>
        </w:rPr>
        <w:t> </w:t>
      </w:r>
      <w:r>
        <w:rPr>
          <w:w w:val="108"/>
        </w:rPr>
        <w:t>en</w:t>
      </w:r>
      <w:r>
        <w:rPr>
          <w:spacing w:val="15"/>
        </w:rPr>
        <w:t> </w:t>
      </w:r>
      <w:r>
        <w:rPr>
          <w:w w:val="112"/>
        </w:rPr>
        <w:t>un</w:t>
      </w:r>
      <w:r>
        <w:rPr>
          <w:spacing w:val="15"/>
        </w:rPr>
        <w:t> </w:t>
      </w:r>
      <w:r>
        <w:rPr>
          <w:w w:val="106"/>
        </w:rPr>
        <w:t>4%.</w:t>
      </w:r>
      <w:r>
        <w:rPr>
          <w:spacing w:val="15"/>
        </w:rPr>
        <w:t> </w:t>
      </w:r>
      <w:r>
        <w:rPr>
          <w:w w:val="243"/>
        </w:rPr>
        <w:t>l</w:t>
      </w:r>
      <w:r>
        <w:rPr>
          <w:w w:val="112"/>
        </w:rPr>
        <w:t>a</w:t>
      </w:r>
      <w:r>
        <w:rPr>
          <w:spacing w:val="15"/>
        </w:rPr>
        <w:t> </w:t>
      </w:r>
      <w:r>
        <w:rPr>
          <w:w w:val="111"/>
        </w:rPr>
        <w:t>opinión</w:t>
      </w:r>
      <w:r>
        <w:rPr>
          <w:spacing w:val="15"/>
        </w:rPr>
        <w:t> </w:t>
      </w:r>
      <w:r>
        <w:rPr>
          <w:w w:val="113"/>
        </w:rPr>
        <w:t>pública,</w:t>
      </w:r>
      <w:r>
        <w:rPr>
          <w:spacing w:val="15"/>
        </w:rPr>
        <w:t> </w:t>
      </w:r>
      <w:r>
        <w:rPr>
          <w:w w:val="112"/>
        </w:rPr>
        <w:t>una</w:t>
      </w:r>
      <w:r>
        <w:rPr>
          <w:spacing w:val="15"/>
        </w:rPr>
        <w:t> </w:t>
      </w:r>
      <w:r>
        <w:rPr>
          <w:w w:val="105"/>
        </w:rPr>
        <w:t>vez</w:t>
      </w:r>
      <w:r>
        <w:rPr>
          <w:spacing w:val="15"/>
        </w:rPr>
        <w:t> </w:t>
      </w:r>
      <w:r>
        <w:rPr>
          <w:w w:val="114"/>
        </w:rPr>
        <w:t>más,</w:t>
      </w:r>
      <w:r>
        <w:rPr>
          <w:spacing w:val="15"/>
        </w:rPr>
        <w:t> </w:t>
      </w:r>
      <w:r>
        <w:rPr>
          <w:w w:val="112"/>
        </w:rPr>
        <w:t>había </w:t>
      </w:r>
      <w:r>
        <w:rPr>
          <w:w w:val="115"/>
        </w:rPr>
        <w:t>sido</w:t>
      </w:r>
      <w:r>
        <w:rPr>
          <w:spacing w:val="-24"/>
          <w:w w:val="115"/>
        </w:rPr>
        <w:t> </w:t>
      </w:r>
      <w:r>
        <w:rPr>
          <w:w w:val="115"/>
        </w:rPr>
        <w:t>víctima</w:t>
      </w:r>
      <w:r>
        <w:rPr>
          <w:spacing w:val="-24"/>
          <w:w w:val="115"/>
        </w:rPr>
        <w:t> </w:t>
      </w:r>
      <w:r>
        <w:rPr>
          <w:w w:val="115"/>
        </w:rPr>
        <w:t>de</w:t>
      </w:r>
      <w:r>
        <w:rPr>
          <w:spacing w:val="-24"/>
          <w:w w:val="115"/>
        </w:rPr>
        <w:t> </w:t>
      </w:r>
      <w:r>
        <w:rPr>
          <w:w w:val="115"/>
        </w:rPr>
        <w:t>un</w:t>
      </w:r>
      <w:r>
        <w:rPr>
          <w:spacing w:val="-24"/>
          <w:w w:val="115"/>
        </w:rPr>
        <w:t> </w:t>
      </w:r>
      <w:r>
        <w:rPr>
          <w:w w:val="115"/>
        </w:rPr>
        <w:t>doloroso</w:t>
      </w:r>
      <w:r>
        <w:rPr>
          <w:spacing w:val="-24"/>
          <w:w w:val="115"/>
        </w:rPr>
        <w:t> </w:t>
      </w:r>
      <w:r>
        <w:rPr>
          <w:w w:val="115"/>
        </w:rPr>
        <w:t>desengaño.</w:t>
      </w:r>
    </w:p>
    <w:p>
      <w:pPr>
        <w:pStyle w:val="BodyText"/>
        <w:spacing w:before="11"/>
      </w:pPr>
    </w:p>
    <w:p>
      <w:pPr>
        <w:pStyle w:val="BodyText"/>
        <w:spacing w:line="252" w:lineRule="auto"/>
        <w:ind w:left="330" w:right="118"/>
        <w:jc w:val="both"/>
      </w:pPr>
      <w:r>
        <w:rPr>
          <w:i/>
          <w:w w:val="110"/>
        </w:rPr>
        <w:t>Investigación fundamental. </w:t>
      </w:r>
      <w:r>
        <w:rPr>
          <w:w w:val="110"/>
        </w:rPr>
        <w:t>Con relación a la crisis en la investigación fundamental, al disponer la considerable reducción del financiamien- to para la </w:t>
      </w:r>
      <w:r>
        <w:rPr>
          <w:i/>
          <w:w w:val="110"/>
        </w:rPr>
        <w:t>National Science Fundation </w:t>
      </w:r>
      <w:r>
        <w:rPr>
          <w:w w:val="110"/>
        </w:rPr>
        <w:t>(NsF), la </w:t>
      </w:r>
      <w:r>
        <w:rPr>
          <w:i/>
          <w:w w:val="110"/>
        </w:rPr>
        <w:t>National Agency for </w:t>
      </w:r>
      <w:r>
        <w:rPr>
          <w:i/>
          <w:w w:val="110"/>
        </w:rPr>
        <w:t>Space and Aeronautics </w:t>
      </w:r>
      <w:r>
        <w:rPr>
          <w:w w:val="110"/>
        </w:rPr>
        <w:t>(Nasa) y la </w:t>
      </w:r>
      <w:r>
        <w:rPr>
          <w:i/>
          <w:w w:val="110"/>
        </w:rPr>
        <w:t>National Health Agency </w:t>
      </w:r>
      <w:r>
        <w:rPr>
          <w:w w:val="110"/>
        </w:rPr>
        <w:t>(NHa), en- tre otras, el presidente obama “desconectaría” (el famoso </w:t>
      </w:r>
      <w:r>
        <w:rPr>
          <w:i/>
          <w:w w:val="110"/>
        </w:rPr>
        <w:t>shutdown</w:t>
      </w:r>
      <w:r>
        <w:rPr>
          <w:w w:val="110"/>
        </w:rPr>
        <w:t>),  y –al igual que G. </w:t>
      </w:r>
      <w:r>
        <w:rPr>
          <w:spacing w:val="-11"/>
          <w:w w:val="110"/>
        </w:rPr>
        <w:t>W. </w:t>
      </w:r>
      <w:r>
        <w:rPr>
          <w:w w:val="110"/>
        </w:rPr>
        <w:t>bush– renunciaría a múltiples e importantes proyectos y servicios de avanzada, entre los generados en el marco de las agencias nacionales y las universidades. Ello elevaría las protestas de la comunidad científica y destacadas personalidades de diferentes disciplinas, y de la opinión pública en general, alertando sobre la po- sibilidad de quedar irremisiblemente relegados a un segundo plano frente a China y el mundo emergente. Entre los más resonantes casos destacarían, por brindar solo algunos</w:t>
      </w:r>
      <w:r>
        <w:rPr>
          <w:spacing w:val="41"/>
          <w:w w:val="110"/>
        </w:rPr>
        <w:t> </w:t>
      </w:r>
      <w:r>
        <w:rPr>
          <w:w w:val="110"/>
        </w:rPr>
        <w:t>ejemplos:</w:t>
      </w:r>
    </w:p>
    <w:p>
      <w:pPr>
        <w:pStyle w:val="BodyText"/>
        <w:spacing w:before="10"/>
        <w:rPr>
          <w:sz w:val="15"/>
        </w:rPr>
      </w:pPr>
    </w:p>
    <w:p>
      <w:pPr>
        <w:pStyle w:val="ListParagraph"/>
        <w:numPr>
          <w:ilvl w:val="0"/>
          <w:numId w:val="10"/>
        </w:numPr>
        <w:tabs>
          <w:tab w:pos="955" w:val="left" w:leader="none"/>
        </w:tabs>
        <w:spacing w:line="244" w:lineRule="auto" w:before="1" w:after="0"/>
        <w:ind w:left="954" w:right="118" w:hanging="227"/>
        <w:jc w:val="both"/>
        <w:rPr>
          <w:sz w:val="19"/>
        </w:rPr>
      </w:pPr>
      <w:r>
        <w:rPr>
          <w:w w:val="243"/>
          <w:sz w:val="19"/>
        </w:rPr>
        <w:t>l</w:t>
      </w:r>
      <w:r>
        <w:rPr>
          <w:w w:val="112"/>
          <w:sz w:val="19"/>
        </w:rPr>
        <w:t>a</w:t>
      </w:r>
      <w:r>
        <w:rPr>
          <w:spacing w:val="16"/>
          <w:sz w:val="19"/>
        </w:rPr>
        <w:t> </w:t>
      </w:r>
      <w:r>
        <w:rPr>
          <w:w w:val="108"/>
          <w:sz w:val="19"/>
        </w:rPr>
        <w:t>reiterada</w:t>
      </w:r>
      <w:r>
        <w:rPr>
          <w:spacing w:val="16"/>
          <w:sz w:val="19"/>
        </w:rPr>
        <w:t> </w:t>
      </w:r>
      <w:r>
        <w:rPr>
          <w:w w:val="111"/>
          <w:sz w:val="19"/>
        </w:rPr>
        <w:t>renuncia</w:t>
      </w:r>
      <w:r>
        <w:rPr>
          <w:spacing w:val="16"/>
          <w:sz w:val="19"/>
        </w:rPr>
        <w:t> </w:t>
      </w:r>
      <w:r>
        <w:rPr>
          <w:w w:val="106"/>
          <w:sz w:val="19"/>
        </w:rPr>
        <w:t>–en</w:t>
      </w:r>
      <w:r>
        <w:rPr>
          <w:spacing w:val="16"/>
          <w:sz w:val="19"/>
        </w:rPr>
        <w:t> </w:t>
      </w:r>
      <w:r>
        <w:rPr>
          <w:w w:val="107"/>
          <w:sz w:val="19"/>
        </w:rPr>
        <w:t>el</w:t>
      </w:r>
      <w:r>
        <w:rPr>
          <w:spacing w:val="16"/>
          <w:sz w:val="19"/>
        </w:rPr>
        <w:t> </w:t>
      </w:r>
      <w:r>
        <w:rPr>
          <w:w w:val="112"/>
          <w:sz w:val="19"/>
        </w:rPr>
        <w:t>campo</w:t>
      </w:r>
      <w:r>
        <w:rPr>
          <w:spacing w:val="16"/>
          <w:sz w:val="19"/>
        </w:rPr>
        <w:t> </w:t>
      </w:r>
      <w:r>
        <w:rPr>
          <w:w w:val="107"/>
          <w:sz w:val="19"/>
        </w:rPr>
        <w:t>de</w:t>
      </w:r>
      <w:r>
        <w:rPr>
          <w:spacing w:val="16"/>
          <w:sz w:val="19"/>
        </w:rPr>
        <w:t> </w:t>
      </w:r>
      <w:r>
        <w:rPr>
          <w:w w:val="111"/>
          <w:sz w:val="19"/>
        </w:rPr>
        <w:t>la</w:t>
      </w:r>
      <w:r>
        <w:rPr>
          <w:spacing w:val="16"/>
          <w:sz w:val="19"/>
        </w:rPr>
        <w:t> </w:t>
      </w:r>
      <w:r>
        <w:rPr>
          <w:w w:val="111"/>
          <w:sz w:val="19"/>
        </w:rPr>
        <w:t>física–</w:t>
      </w:r>
      <w:r>
        <w:rPr>
          <w:spacing w:val="16"/>
          <w:sz w:val="19"/>
        </w:rPr>
        <w:t> </w:t>
      </w:r>
      <w:r>
        <w:rPr>
          <w:w w:val="112"/>
          <w:sz w:val="19"/>
        </w:rPr>
        <w:t>a</w:t>
      </w:r>
      <w:r>
        <w:rPr>
          <w:spacing w:val="16"/>
          <w:sz w:val="19"/>
        </w:rPr>
        <w:t> </w:t>
      </w:r>
      <w:r>
        <w:rPr>
          <w:w w:val="111"/>
          <w:sz w:val="19"/>
        </w:rPr>
        <w:t>la</w:t>
      </w:r>
      <w:r>
        <w:rPr>
          <w:spacing w:val="16"/>
          <w:sz w:val="19"/>
        </w:rPr>
        <w:t> </w:t>
      </w:r>
      <w:r>
        <w:rPr>
          <w:w w:val="110"/>
          <w:sz w:val="19"/>
        </w:rPr>
        <w:t>construc</w:t>
      </w:r>
      <w:r>
        <w:rPr>
          <w:w w:val="102"/>
          <w:sz w:val="19"/>
        </w:rPr>
        <w:t>- </w:t>
      </w:r>
      <w:r>
        <w:rPr>
          <w:w w:val="115"/>
          <w:sz w:val="19"/>
        </w:rPr>
        <w:t>ción del </w:t>
      </w:r>
      <w:r>
        <w:rPr>
          <w:i/>
          <w:w w:val="115"/>
          <w:sz w:val="19"/>
        </w:rPr>
        <w:t>supercolisionador</w:t>
      </w:r>
      <w:r>
        <w:rPr>
          <w:w w:val="115"/>
          <w:sz w:val="19"/>
        </w:rPr>
        <w:t>, el mayor acelerador de</w:t>
      </w:r>
      <w:r>
        <w:rPr>
          <w:spacing w:val="-9"/>
          <w:w w:val="115"/>
          <w:sz w:val="19"/>
        </w:rPr>
        <w:t> </w:t>
      </w:r>
      <w:r>
        <w:rPr>
          <w:w w:val="115"/>
          <w:sz w:val="19"/>
        </w:rPr>
        <w:t>partículas </w:t>
      </w:r>
      <w:r>
        <w:rPr>
          <w:w w:val="110"/>
          <w:sz w:val="19"/>
        </w:rPr>
        <w:t>del</w:t>
      </w:r>
      <w:r>
        <w:rPr>
          <w:spacing w:val="-1"/>
          <w:w w:val="110"/>
          <w:sz w:val="19"/>
        </w:rPr>
        <w:t> </w:t>
      </w:r>
      <w:r>
        <w:rPr>
          <w:w w:val="110"/>
          <w:sz w:val="19"/>
        </w:rPr>
        <w:t>planeta;</w:t>
      </w:r>
    </w:p>
    <w:p>
      <w:pPr>
        <w:pStyle w:val="ListParagraph"/>
        <w:numPr>
          <w:ilvl w:val="0"/>
          <w:numId w:val="10"/>
        </w:numPr>
        <w:tabs>
          <w:tab w:pos="955" w:val="left" w:leader="none"/>
        </w:tabs>
        <w:spacing w:line="240" w:lineRule="auto" w:before="44" w:after="0"/>
        <w:ind w:left="954" w:right="118" w:hanging="227"/>
        <w:jc w:val="both"/>
        <w:rPr>
          <w:sz w:val="19"/>
        </w:rPr>
      </w:pPr>
      <w:r>
        <w:rPr>
          <w:w w:val="243"/>
          <w:sz w:val="19"/>
        </w:rPr>
        <w:t>l</w:t>
      </w:r>
      <w:r>
        <w:rPr>
          <w:w w:val="112"/>
          <w:sz w:val="19"/>
        </w:rPr>
        <w:t>a</w:t>
      </w:r>
      <w:r>
        <w:rPr>
          <w:sz w:val="19"/>
        </w:rPr>
        <w:t> </w:t>
      </w:r>
      <w:r>
        <w:rPr>
          <w:spacing w:val="-13"/>
          <w:sz w:val="19"/>
        </w:rPr>
        <w:t> </w:t>
      </w:r>
      <w:r>
        <w:rPr>
          <w:w w:val="109"/>
          <w:sz w:val="19"/>
        </w:rPr>
        <w:t>parálisis</w:t>
      </w:r>
      <w:r>
        <w:rPr>
          <w:sz w:val="19"/>
        </w:rPr>
        <w:t> </w:t>
      </w:r>
      <w:r>
        <w:rPr>
          <w:spacing w:val="-13"/>
          <w:sz w:val="19"/>
        </w:rPr>
        <w:t> </w:t>
      </w:r>
      <w:r>
        <w:rPr>
          <w:w w:val="106"/>
          <w:sz w:val="19"/>
        </w:rPr>
        <w:t>–en</w:t>
      </w:r>
      <w:r>
        <w:rPr>
          <w:sz w:val="19"/>
        </w:rPr>
        <w:t> </w:t>
      </w:r>
      <w:r>
        <w:rPr>
          <w:spacing w:val="-13"/>
          <w:sz w:val="19"/>
        </w:rPr>
        <w:t> </w:t>
      </w:r>
      <w:r>
        <w:rPr>
          <w:w w:val="107"/>
          <w:sz w:val="19"/>
        </w:rPr>
        <w:t>el</w:t>
      </w:r>
      <w:r>
        <w:rPr>
          <w:sz w:val="19"/>
        </w:rPr>
        <w:t> </w:t>
      </w:r>
      <w:r>
        <w:rPr>
          <w:spacing w:val="-13"/>
          <w:sz w:val="19"/>
        </w:rPr>
        <w:t> </w:t>
      </w:r>
      <w:r>
        <w:rPr>
          <w:w w:val="112"/>
          <w:sz w:val="19"/>
        </w:rPr>
        <w:t>campo</w:t>
      </w:r>
      <w:r>
        <w:rPr>
          <w:sz w:val="19"/>
        </w:rPr>
        <w:t> </w:t>
      </w:r>
      <w:r>
        <w:rPr>
          <w:spacing w:val="-13"/>
          <w:sz w:val="19"/>
        </w:rPr>
        <w:t> </w:t>
      </w:r>
      <w:r>
        <w:rPr>
          <w:w w:val="107"/>
          <w:sz w:val="19"/>
        </w:rPr>
        <w:t>de</w:t>
      </w:r>
      <w:r>
        <w:rPr>
          <w:sz w:val="19"/>
        </w:rPr>
        <w:t> </w:t>
      </w:r>
      <w:r>
        <w:rPr>
          <w:spacing w:val="-13"/>
          <w:sz w:val="19"/>
        </w:rPr>
        <w:t> </w:t>
      </w:r>
      <w:r>
        <w:rPr>
          <w:w w:val="111"/>
          <w:sz w:val="19"/>
        </w:rPr>
        <w:t>la</w:t>
      </w:r>
      <w:r>
        <w:rPr>
          <w:sz w:val="19"/>
        </w:rPr>
        <w:t> </w:t>
      </w:r>
      <w:r>
        <w:rPr>
          <w:spacing w:val="-13"/>
          <w:sz w:val="19"/>
        </w:rPr>
        <w:t> </w:t>
      </w:r>
      <w:r>
        <w:rPr>
          <w:w w:val="111"/>
          <w:sz w:val="19"/>
        </w:rPr>
        <w:t>biomedicina–</w:t>
      </w:r>
      <w:r>
        <w:rPr>
          <w:sz w:val="19"/>
        </w:rPr>
        <w:t> </w:t>
      </w:r>
      <w:r>
        <w:rPr>
          <w:spacing w:val="-13"/>
          <w:sz w:val="19"/>
        </w:rPr>
        <w:t> </w:t>
      </w:r>
      <w:r>
        <w:rPr>
          <w:w w:val="107"/>
          <w:sz w:val="19"/>
        </w:rPr>
        <w:t>del</w:t>
      </w:r>
      <w:r>
        <w:rPr>
          <w:sz w:val="19"/>
        </w:rPr>
        <w:t> </w:t>
      </w:r>
      <w:r>
        <w:rPr>
          <w:spacing w:val="-13"/>
          <w:sz w:val="19"/>
        </w:rPr>
        <w:t> </w:t>
      </w:r>
      <w:r>
        <w:rPr>
          <w:w w:val="107"/>
          <w:sz w:val="19"/>
        </w:rPr>
        <w:t>soporte</w:t>
      </w:r>
      <w:r>
        <w:rPr>
          <w:sz w:val="19"/>
        </w:rPr>
        <w:t> </w:t>
      </w:r>
      <w:r>
        <w:rPr>
          <w:spacing w:val="-13"/>
          <w:sz w:val="19"/>
        </w:rPr>
        <w:t> </w:t>
      </w:r>
      <w:r>
        <w:rPr>
          <w:w w:val="108"/>
          <w:sz w:val="19"/>
        </w:rPr>
        <w:t>por </w:t>
      </w:r>
      <w:r>
        <w:rPr>
          <w:w w:val="115"/>
          <w:sz w:val="19"/>
        </w:rPr>
        <w:t>los</w:t>
      </w:r>
      <w:r>
        <w:rPr>
          <w:spacing w:val="-26"/>
          <w:w w:val="115"/>
          <w:sz w:val="19"/>
        </w:rPr>
        <w:t> </w:t>
      </w:r>
      <w:r>
        <w:rPr>
          <w:w w:val="115"/>
          <w:sz w:val="19"/>
        </w:rPr>
        <w:t>organismos</w:t>
      </w:r>
      <w:r>
        <w:rPr>
          <w:spacing w:val="-26"/>
          <w:w w:val="115"/>
          <w:sz w:val="19"/>
        </w:rPr>
        <w:t> </w:t>
      </w:r>
      <w:r>
        <w:rPr>
          <w:w w:val="115"/>
          <w:sz w:val="19"/>
        </w:rPr>
        <w:t>civiles</w:t>
      </w:r>
      <w:r>
        <w:rPr>
          <w:spacing w:val="-26"/>
          <w:w w:val="115"/>
          <w:sz w:val="19"/>
        </w:rPr>
        <w:t> </w:t>
      </w:r>
      <w:r>
        <w:rPr>
          <w:w w:val="115"/>
          <w:sz w:val="19"/>
        </w:rPr>
        <w:t>del</w:t>
      </w:r>
      <w:r>
        <w:rPr>
          <w:spacing w:val="-26"/>
          <w:w w:val="115"/>
          <w:sz w:val="19"/>
        </w:rPr>
        <w:t> </w:t>
      </w:r>
      <w:r>
        <w:rPr>
          <w:w w:val="115"/>
          <w:sz w:val="19"/>
        </w:rPr>
        <w:t>Estado</w:t>
      </w:r>
      <w:r>
        <w:rPr>
          <w:spacing w:val="-26"/>
          <w:w w:val="115"/>
          <w:sz w:val="19"/>
        </w:rPr>
        <w:t> </w:t>
      </w:r>
      <w:r>
        <w:rPr>
          <w:w w:val="115"/>
          <w:sz w:val="19"/>
        </w:rPr>
        <w:t>de</w:t>
      </w:r>
      <w:r>
        <w:rPr>
          <w:spacing w:val="-26"/>
          <w:w w:val="115"/>
          <w:sz w:val="19"/>
        </w:rPr>
        <w:t> </w:t>
      </w:r>
      <w:r>
        <w:rPr>
          <w:w w:val="115"/>
          <w:sz w:val="19"/>
        </w:rPr>
        <w:t>los</w:t>
      </w:r>
      <w:r>
        <w:rPr>
          <w:spacing w:val="-26"/>
          <w:w w:val="115"/>
          <w:sz w:val="19"/>
        </w:rPr>
        <w:t> </w:t>
      </w:r>
      <w:r>
        <w:rPr>
          <w:w w:val="115"/>
          <w:sz w:val="19"/>
        </w:rPr>
        <w:t>estudios</w:t>
      </w:r>
      <w:r>
        <w:rPr>
          <w:spacing w:val="-26"/>
          <w:w w:val="115"/>
          <w:sz w:val="19"/>
        </w:rPr>
        <w:t> </w:t>
      </w:r>
      <w:r>
        <w:rPr>
          <w:w w:val="115"/>
          <w:sz w:val="19"/>
        </w:rPr>
        <w:t>referidos</w:t>
      </w:r>
      <w:r>
        <w:rPr>
          <w:spacing w:val="-26"/>
          <w:w w:val="115"/>
          <w:sz w:val="19"/>
        </w:rPr>
        <w:t> </w:t>
      </w:r>
      <w:r>
        <w:rPr>
          <w:w w:val="115"/>
          <w:sz w:val="19"/>
        </w:rPr>
        <w:t>a</w:t>
      </w:r>
      <w:r>
        <w:rPr>
          <w:spacing w:val="-26"/>
          <w:w w:val="115"/>
          <w:sz w:val="19"/>
        </w:rPr>
        <w:t> </w:t>
      </w:r>
      <w:r>
        <w:rPr>
          <w:w w:val="115"/>
          <w:sz w:val="19"/>
        </w:rPr>
        <w:t>las</w:t>
      </w:r>
    </w:p>
    <w:p>
      <w:pPr>
        <w:spacing w:after="0" w:line="240" w:lineRule="auto"/>
        <w:jc w:val="both"/>
        <w:rPr>
          <w:sz w:val="19"/>
        </w:rPr>
        <w:sectPr>
          <w:pgSz w:w="8790" w:h="12760"/>
          <w:pgMar w:header="697" w:footer="725" w:top="880" w:bottom="920" w:left="1200" w:right="900"/>
        </w:sectPr>
      </w:pPr>
    </w:p>
    <w:p>
      <w:pPr>
        <w:pStyle w:val="BodyText"/>
        <w:spacing w:before="9"/>
        <w:rPr>
          <w:sz w:val="28"/>
        </w:rPr>
      </w:pPr>
    </w:p>
    <w:p>
      <w:pPr>
        <w:pStyle w:val="BodyText"/>
        <w:spacing w:line="252" w:lineRule="auto" w:before="73"/>
        <w:ind w:left="724" w:right="327"/>
        <w:jc w:val="both"/>
      </w:pPr>
      <w:r>
        <w:rPr>
          <w:i/>
          <w:w w:val="115"/>
        </w:rPr>
        <w:t>células</w:t>
      </w:r>
      <w:r>
        <w:rPr>
          <w:i/>
          <w:spacing w:val="-18"/>
          <w:w w:val="115"/>
        </w:rPr>
        <w:t> </w:t>
      </w:r>
      <w:r>
        <w:rPr>
          <w:i/>
          <w:w w:val="115"/>
        </w:rPr>
        <w:t>madre</w:t>
      </w:r>
      <w:r>
        <w:rPr>
          <w:i/>
          <w:spacing w:val="-18"/>
          <w:w w:val="115"/>
        </w:rPr>
        <w:t> </w:t>
      </w:r>
      <w:r>
        <w:rPr>
          <w:w w:val="115"/>
        </w:rPr>
        <w:t>y</w:t>
      </w:r>
      <w:r>
        <w:rPr>
          <w:spacing w:val="-18"/>
          <w:w w:val="115"/>
        </w:rPr>
        <w:t> </w:t>
      </w:r>
      <w:r>
        <w:rPr>
          <w:w w:val="115"/>
        </w:rPr>
        <w:t>sus</w:t>
      </w:r>
      <w:r>
        <w:rPr>
          <w:spacing w:val="-18"/>
          <w:w w:val="115"/>
        </w:rPr>
        <w:t> </w:t>
      </w:r>
      <w:r>
        <w:rPr>
          <w:w w:val="115"/>
        </w:rPr>
        <w:t>aplicaciones</w:t>
      </w:r>
      <w:r>
        <w:rPr>
          <w:spacing w:val="-18"/>
          <w:w w:val="115"/>
        </w:rPr>
        <w:t> </w:t>
      </w:r>
      <w:r>
        <w:rPr>
          <w:w w:val="115"/>
        </w:rPr>
        <w:t>en</w:t>
      </w:r>
      <w:r>
        <w:rPr>
          <w:spacing w:val="-18"/>
          <w:w w:val="115"/>
        </w:rPr>
        <w:t> </w:t>
      </w:r>
      <w:r>
        <w:rPr>
          <w:w w:val="115"/>
        </w:rPr>
        <w:t>la</w:t>
      </w:r>
      <w:r>
        <w:rPr>
          <w:spacing w:val="-18"/>
          <w:w w:val="115"/>
        </w:rPr>
        <w:t> </w:t>
      </w:r>
      <w:r>
        <w:rPr>
          <w:w w:val="115"/>
        </w:rPr>
        <w:t>restauración</w:t>
      </w:r>
      <w:r>
        <w:rPr>
          <w:spacing w:val="-18"/>
          <w:w w:val="115"/>
        </w:rPr>
        <w:t> </w:t>
      </w:r>
      <w:r>
        <w:rPr>
          <w:w w:val="115"/>
        </w:rPr>
        <w:t>de</w:t>
      </w:r>
      <w:r>
        <w:rPr>
          <w:spacing w:val="-18"/>
          <w:w w:val="115"/>
        </w:rPr>
        <w:t> </w:t>
      </w:r>
      <w:r>
        <w:rPr>
          <w:w w:val="115"/>
        </w:rPr>
        <w:t>órganos humanos;</w:t>
      </w:r>
      <w:r>
        <w:rPr>
          <w:spacing w:val="-13"/>
          <w:w w:val="115"/>
        </w:rPr>
        <w:t> </w:t>
      </w:r>
      <w:r>
        <w:rPr>
          <w:w w:val="115"/>
        </w:rPr>
        <w:t>así</w:t>
      </w:r>
      <w:r>
        <w:rPr>
          <w:spacing w:val="-13"/>
          <w:w w:val="115"/>
        </w:rPr>
        <w:t> </w:t>
      </w:r>
      <w:r>
        <w:rPr>
          <w:w w:val="115"/>
        </w:rPr>
        <w:t>como</w:t>
      </w:r>
      <w:r>
        <w:rPr>
          <w:spacing w:val="-13"/>
          <w:w w:val="115"/>
        </w:rPr>
        <w:t> </w:t>
      </w:r>
      <w:r>
        <w:rPr>
          <w:w w:val="115"/>
        </w:rPr>
        <w:t>de</w:t>
      </w:r>
      <w:r>
        <w:rPr>
          <w:spacing w:val="-13"/>
          <w:w w:val="115"/>
        </w:rPr>
        <w:t> </w:t>
      </w:r>
      <w:r>
        <w:rPr>
          <w:w w:val="115"/>
        </w:rPr>
        <w:t>servicios</w:t>
      </w:r>
      <w:r>
        <w:rPr>
          <w:spacing w:val="-13"/>
          <w:w w:val="115"/>
        </w:rPr>
        <w:t> </w:t>
      </w:r>
      <w:r>
        <w:rPr>
          <w:w w:val="115"/>
        </w:rPr>
        <w:t>sobre</w:t>
      </w:r>
      <w:r>
        <w:rPr>
          <w:spacing w:val="-13"/>
          <w:w w:val="115"/>
        </w:rPr>
        <w:t> </w:t>
      </w:r>
      <w:r>
        <w:rPr>
          <w:w w:val="115"/>
        </w:rPr>
        <w:t>enfermedades</w:t>
      </w:r>
      <w:r>
        <w:rPr>
          <w:spacing w:val="-13"/>
          <w:w w:val="115"/>
        </w:rPr>
        <w:t> </w:t>
      </w:r>
      <w:r>
        <w:rPr>
          <w:w w:val="115"/>
        </w:rPr>
        <w:t>exóticas </w:t>
      </w:r>
      <w:r>
        <w:rPr>
          <w:w w:val="110"/>
        </w:rPr>
        <w:t>de</w:t>
      </w:r>
      <w:r>
        <w:rPr>
          <w:spacing w:val="-6"/>
          <w:w w:val="110"/>
        </w:rPr>
        <w:t> </w:t>
      </w:r>
      <w:r>
        <w:rPr>
          <w:w w:val="110"/>
        </w:rPr>
        <w:t>carácter</w:t>
      </w:r>
      <w:r>
        <w:rPr>
          <w:spacing w:val="-6"/>
          <w:w w:val="110"/>
        </w:rPr>
        <w:t> </w:t>
      </w:r>
      <w:r>
        <w:rPr>
          <w:w w:val="110"/>
        </w:rPr>
        <w:t>desconocido</w:t>
      </w:r>
      <w:r>
        <w:rPr>
          <w:spacing w:val="-6"/>
          <w:w w:val="110"/>
        </w:rPr>
        <w:t> </w:t>
      </w:r>
      <w:r>
        <w:rPr>
          <w:w w:val="110"/>
        </w:rPr>
        <w:t>y/o</w:t>
      </w:r>
      <w:r>
        <w:rPr>
          <w:spacing w:val="-6"/>
          <w:w w:val="110"/>
        </w:rPr>
        <w:t> </w:t>
      </w:r>
      <w:r>
        <w:rPr>
          <w:w w:val="110"/>
        </w:rPr>
        <w:t>peligrosas</w:t>
      </w:r>
      <w:r>
        <w:rPr>
          <w:spacing w:val="-6"/>
          <w:w w:val="110"/>
        </w:rPr>
        <w:t> </w:t>
      </w:r>
      <w:r>
        <w:rPr>
          <w:w w:val="110"/>
        </w:rPr>
        <w:t>como</w:t>
      </w:r>
      <w:r>
        <w:rPr>
          <w:spacing w:val="-6"/>
          <w:w w:val="110"/>
        </w:rPr>
        <w:t> </w:t>
      </w:r>
      <w:r>
        <w:rPr>
          <w:w w:val="110"/>
        </w:rPr>
        <w:t>los</w:t>
      </w:r>
      <w:r>
        <w:rPr>
          <w:spacing w:val="-6"/>
          <w:w w:val="110"/>
        </w:rPr>
        <w:t> </w:t>
      </w:r>
      <w:r>
        <w:rPr>
          <w:w w:val="110"/>
        </w:rPr>
        <w:t>de</w:t>
      </w:r>
      <w:r>
        <w:rPr>
          <w:spacing w:val="-6"/>
          <w:w w:val="110"/>
        </w:rPr>
        <w:t> </w:t>
      </w:r>
      <w:r>
        <w:rPr>
          <w:w w:val="110"/>
        </w:rPr>
        <w:t>potenciales </w:t>
      </w:r>
      <w:r>
        <w:rPr>
          <w:w w:val="115"/>
        </w:rPr>
        <w:t>pandemias;</w:t>
      </w:r>
      <w:r>
        <w:rPr>
          <w:spacing w:val="-19"/>
          <w:w w:val="115"/>
        </w:rPr>
        <w:t> </w:t>
      </w:r>
      <w:r>
        <w:rPr>
          <w:w w:val="115"/>
        </w:rPr>
        <w:t>en</w:t>
      </w:r>
      <w:r>
        <w:rPr>
          <w:spacing w:val="-19"/>
          <w:w w:val="115"/>
        </w:rPr>
        <w:t> </w:t>
      </w:r>
      <w:r>
        <w:rPr>
          <w:w w:val="115"/>
        </w:rPr>
        <w:t>contraposición,</w:t>
      </w:r>
      <w:r>
        <w:rPr>
          <w:spacing w:val="-19"/>
          <w:w w:val="115"/>
        </w:rPr>
        <w:t> </w:t>
      </w:r>
      <w:r>
        <w:rPr>
          <w:w w:val="115"/>
        </w:rPr>
        <w:t>en</w:t>
      </w:r>
      <w:r>
        <w:rPr>
          <w:spacing w:val="-19"/>
          <w:w w:val="115"/>
        </w:rPr>
        <w:t> </w:t>
      </w:r>
      <w:r>
        <w:rPr>
          <w:w w:val="115"/>
        </w:rPr>
        <w:t>instituciones</w:t>
      </w:r>
      <w:r>
        <w:rPr>
          <w:spacing w:val="-19"/>
          <w:w w:val="115"/>
        </w:rPr>
        <w:t> </w:t>
      </w:r>
      <w:r>
        <w:rPr>
          <w:w w:val="115"/>
        </w:rPr>
        <w:t>y</w:t>
      </w:r>
      <w:r>
        <w:rPr>
          <w:spacing w:val="-19"/>
          <w:w w:val="115"/>
        </w:rPr>
        <w:t> </w:t>
      </w:r>
      <w:r>
        <w:rPr>
          <w:w w:val="115"/>
        </w:rPr>
        <w:t>laboratorios </w:t>
      </w:r>
      <w:r>
        <w:rPr>
          <w:w w:val="110"/>
        </w:rPr>
        <w:t>del ámbito militar/seguridad, se generarían durante décadas y </w:t>
      </w:r>
      <w:r>
        <w:rPr>
          <w:w w:val="115"/>
        </w:rPr>
        <w:t>continuarían</w:t>
      </w:r>
      <w:r>
        <w:rPr>
          <w:spacing w:val="-7"/>
          <w:w w:val="115"/>
        </w:rPr>
        <w:t> </w:t>
      </w:r>
      <w:r>
        <w:rPr>
          <w:w w:val="115"/>
        </w:rPr>
        <w:t>investigaciones</w:t>
      </w:r>
      <w:r>
        <w:rPr>
          <w:spacing w:val="-7"/>
          <w:w w:val="115"/>
        </w:rPr>
        <w:t> </w:t>
      </w:r>
      <w:r>
        <w:rPr>
          <w:w w:val="115"/>
        </w:rPr>
        <w:t>encubiertas</w:t>
      </w:r>
      <w:r>
        <w:rPr>
          <w:spacing w:val="-7"/>
          <w:w w:val="115"/>
        </w:rPr>
        <w:t> </w:t>
      </w:r>
      <w:r>
        <w:rPr>
          <w:w w:val="115"/>
        </w:rPr>
        <w:t>sobre</w:t>
      </w:r>
      <w:r>
        <w:rPr>
          <w:spacing w:val="-7"/>
          <w:w w:val="115"/>
        </w:rPr>
        <w:t> </w:t>
      </w:r>
      <w:r>
        <w:rPr>
          <w:w w:val="115"/>
        </w:rPr>
        <w:t>toda</w:t>
      </w:r>
      <w:r>
        <w:rPr>
          <w:spacing w:val="-7"/>
          <w:w w:val="115"/>
        </w:rPr>
        <w:t> </w:t>
      </w:r>
      <w:r>
        <w:rPr>
          <w:w w:val="115"/>
        </w:rPr>
        <w:t>clase</w:t>
      </w:r>
      <w:r>
        <w:rPr>
          <w:spacing w:val="-7"/>
          <w:w w:val="115"/>
        </w:rPr>
        <w:t> </w:t>
      </w:r>
      <w:r>
        <w:rPr>
          <w:w w:val="115"/>
        </w:rPr>
        <w:t>de </w:t>
      </w:r>
      <w:r>
        <w:rPr>
          <w:w w:val="110"/>
        </w:rPr>
        <w:t>virus,</w:t>
      </w:r>
      <w:r>
        <w:rPr>
          <w:spacing w:val="-7"/>
          <w:w w:val="110"/>
        </w:rPr>
        <w:t> </w:t>
      </w:r>
      <w:r>
        <w:rPr>
          <w:w w:val="110"/>
        </w:rPr>
        <w:t>bacterias</w:t>
      </w:r>
      <w:r>
        <w:rPr>
          <w:spacing w:val="-7"/>
          <w:w w:val="110"/>
        </w:rPr>
        <w:t> </w:t>
      </w:r>
      <w:r>
        <w:rPr>
          <w:w w:val="110"/>
        </w:rPr>
        <w:t>y</w:t>
      </w:r>
      <w:r>
        <w:rPr>
          <w:spacing w:val="-7"/>
          <w:w w:val="110"/>
        </w:rPr>
        <w:t> </w:t>
      </w:r>
      <w:r>
        <w:rPr>
          <w:w w:val="110"/>
        </w:rPr>
        <w:t>plagas</w:t>
      </w:r>
      <w:r>
        <w:rPr>
          <w:spacing w:val="-7"/>
          <w:w w:val="110"/>
        </w:rPr>
        <w:t> </w:t>
      </w:r>
      <w:r>
        <w:rPr>
          <w:w w:val="110"/>
        </w:rPr>
        <w:t>patógenas</w:t>
      </w:r>
      <w:r>
        <w:rPr>
          <w:spacing w:val="-7"/>
          <w:w w:val="110"/>
        </w:rPr>
        <w:t> </w:t>
      </w:r>
      <w:r>
        <w:rPr>
          <w:w w:val="110"/>
        </w:rPr>
        <w:t>seleccionadas</w:t>
      </w:r>
      <w:r>
        <w:rPr>
          <w:spacing w:val="-7"/>
          <w:w w:val="110"/>
        </w:rPr>
        <w:t> </w:t>
      </w:r>
      <w:r>
        <w:rPr>
          <w:w w:val="110"/>
        </w:rPr>
        <w:t>y/o</w:t>
      </w:r>
      <w:r>
        <w:rPr>
          <w:spacing w:val="-7"/>
          <w:w w:val="110"/>
        </w:rPr>
        <w:t> </w:t>
      </w:r>
      <w:r>
        <w:rPr>
          <w:w w:val="110"/>
        </w:rPr>
        <w:t>obtenidas </w:t>
      </w:r>
      <w:r>
        <w:rPr>
          <w:w w:val="115"/>
        </w:rPr>
        <w:t>mediante ingeniería genética, que afectarían a personas,</w:t>
      </w:r>
      <w:r>
        <w:rPr>
          <w:spacing w:val="-21"/>
          <w:w w:val="115"/>
        </w:rPr>
        <w:t> </w:t>
      </w:r>
      <w:r>
        <w:rPr>
          <w:w w:val="115"/>
        </w:rPr>
        <w:t>ani- males</w:t>
      </w:r>
      <w:r>
        <w:rPr>
          <w:spacing w:val="-7"/>
          <w:w w:val="115"/>
        </w:rPr>
        <w:t> </w:t>
      </w:r>
      <w:r>
        <w:rPr>
          <w:w w:val="115"/>
        </w:rPr>
        <w:t>y</w:t>
      </w:r>
      <w:r>
        <w:rPr>
          <w:spacing w:val="-7"/>
          <w:w w:val="115"/>
        </w:rPr>
        <w:t> </w:t>
      </w:r>
      <w:r>
        <w:rPr>
          <w:w w:val="115"/>
        </w:rPr>
        <w:t>plantas,</w:t>
      </w:r>
      <w:r>
        <w:rPr>
          <w:spacing w:val="-7"/>
          <w:w w:val="115"/>
        </w:rPr>
        <w:t> </w:t>
      </w:r>
      <w:r>
        <w:rPr>
          <w:w w:val="115"/>
        </w:rPr>
        <w:t>algunas</w:t>
      </w:r>
      <w:r>
        <w:rPr>
          <w:spacing w:val="-7"/>
          <w:w w:val="115"/>
        </w:rPr>
        <w:t> </w:t>
      </w:r>
      <w:r>
        <w:rPr>
          <w:w w:val="115"/>
        </w:rPr>
        <w:t>de</w:t>
      </w:r>
      <w:r>
        <w:rPr>
          <w:spacing w:val="-7"/>
          <w:w w:val="115"/>
        </w:rPr>
        <w:t> </w:t>
      </w:r>
      <w:r>
        <w:rPr>
          <w:w w:val="115"/>
        </w:rPr>
        <w:t>las</w:t>
      </w:r>
      <w:r>
        <w:rPr>
          <w:spacing w:val="-7"/>
          <w:w w:val="115"/>
        </w:rPr>
        <w:t> </w:t>
      </w:r>
      <w:r>
        <w:rPr>
          <w:w w:val="115"/>
        </w:rPr>
        <w:t>cuales</w:t>
      </w:r>
      <w:r>
        <w:rPr>
          <w:spacing w:val="-7"/>
          <w:w w:val="115"/>
        </w:rPr>
        <w:t> </w:t>
      </w:r>
      <w:r>
        <w:rPr>
          <w:w w:val="115"/>
        </w:rPr>
        <w:t>ya</w:t>
      </w:r>
      <w:r>
        <w:rPr>
          <w:spacing w:val="-7"/>
          <w:w w:val="115"/>
        </w:rPr>
        <w:t> </w:t>
      </w:r>
      <w:r>
        <w:rPr>
          <w:w w:val="115"/>
        </w:rPr>
        <w:t>han</w:t>
      </w:r>
      <w:r>
        <w:rPr>
          <w:spacing w:val="-7"/>
          <w:w w:val="115"/>
        </w:rPr>
        <w:t> </w:t>
      </w:r>
      <w:r>
        <w:rPr>
          <w:w w:val="115"/>
        </w:rPr>
        <w:t>sido</w:t>
      </w:r>
      <w:r>
        <w:rPr>
          <w:spacing w:val="-7"/>
          <w:w w:val="115"/>
        </w:rPr>
        <w:t> </w:t>
      </w:r>
      <w:r>
        <w:rPr>
          <w:w w:val="115"/>
        </w:rPr>
        <w:t>verdaderos azotes</w:t>
      </w:r>
      <w:r>
        <w:rPr>
          <w:spacing w:val="-14"/>
          <w:w w:val="115"/>
        </w:rPr>
        <w:t> </w:t>
      </w:r>
      <w:r>
        <w:rPr>
          <w:w w:val="115"/>
        </w:rPr>
        <w:t>a</w:t>
      </w:r>
      <w:r>
        <w:rPr>
          <w:spacing w:val="-14"/>
          <w:w w:val="115"/>
        </w:rPr>
        <w:t> </w:t>
      </w:r>
      <w:r>
        <w:rPr>
          <w:w w:val="115"/>
        </w:rPr>
        <w:t>los</w:t>
      </w:r>
      <w:r>
        <w:rPr>
          <w:spacing w:val="-14"/>
          <w:w w:val="115"/>
        </w:rPr>
        <w:t> </w:t>
      </w:r>
      <w:r>
        <w:rPr>
          <w:w w:val="115"/>
        </w:rPr>
        <w:t>que</w:t>
      </w:r>
      <w:r>
        <w:rPr>
          <w:spacing w:val="-14"/>
          <w:w w:val="115"/>
        </w:rPr>
        <w:t> </w:t>
      </w:r>
      <w:r>
        <w:rPr>
          <w:w w:val="115"/>
        </w:rPr>
        <w:t>fueran</w:t>
      </w:r>
      <w:r>
        <w:rPr>
          <w:spacing w:val="-14"/>
          <w:w w:val="115"/>
        </w:rPr>
        <w:t> </w:t>
      </w:r>
      <w:r>
        <w:rPr>
          <w:w w:val="115"/>
        </w:rPr>
        <w:t>criminalmente</w:t>
      </w:r>
      <w:r>
        <w:rPr>
          <w:spacing w:val="-14"/>
          <w:w w:val="115"/>
        </w:rPr>
        <w:t> </w:t>
      </w:r>
      <w:r>
        <w:rPr>
          <w:w w:val="115"/>
        </w:rPr>
        <w:t>sometidas</w:t>
      </w:r>
      <w:r>
        <w:rPr>
          <w:spacing w:val="-14"/>
          <w:w w:val="115"/>
        </w:rPr>
        <w:t> </w:t>
      </w:r>
      <w:r>
        <w:rPr>
          <w:w w:val="115"/>
        </w:rPr>
        <w:t>la</w:t>
      </w:r>
      <w:r>
        <w:rPr>
          <w:spacing w:val="-14"/>
          <w:w w:val="115"/>
        </w:rPr>
        <w:t> </w:t>
      </w:r>
      <w:r>
        <w:rPr>
          <w:w w:val="115"/>
        </w:rPr>
        <w:t>población y agricultura de Cuba y de otros países tercermundistas, que costarían la vida a miles de seres humanos; recientemente, mientras aumentaban las víctimas del ébola, se agudizaría</w:t>
      </w:r>
      <w:r>
        <w:rPr>
          <w:spacing w:val="-9"/>
          <w:w w:val="115"/>
        </w:rPr>
        <w:t> </w:t>
      </w:r>
      <w:r>
        <w:rPr>
          <w:w w:val="115"/>
        </w:rPr>
        <w:t>la paranoia</w:t>
      </w:r>
      <w:r>
        <w:rPr>
          <w:spacing w:val="-25"/>
          <w:w w:val="115"/>
        </w:rPr>
        <w:t> </w:t>
      </w:r>
      <w:r>
        <w:rPr>
          <w:w w:val="115"/>
        </w:rPr>
        <w:t>difundida</w:t>
      </w:r>
      <w:r>
        <w:rPr>
          <w:spacing w:val="-25"/>
          <w:w w:val="115"/>
        </w:rPr>
        <w:t> </w:t>
      </w:r>
      <w:r>
        <w:rPr>
          <w:w w:val="115"/>
        </w:rPr>
        <w:t>por</w:t>
      </w:r>
      <w:r>
        <w:rPr>
          <w:spacing w:val="-25"/>
          <w:w w:val="115"/>
        </w:rPr>
        <w:t> </w:t>
      </w:r>
      <w:r>
        <w:rPr>
          <w:w w:val="115"/>
        </w:rPr>
        <w:t>las</w:t>
      </w:r>
      <w:r>
        <w:rPr>
          <w:spacing w:val="-25"/>
          <w:w w:val="115"/>
        </w:rPr>
        <w:t> </w:t>
      </w:r>
      <w:r>
        <w:rPr>
          <w:w w:val="115"/>
        </w:rPr>
        <w:t>corporaciones</w:t>
      </w:r>
      <w:r>
        <w:rPr>
          <w:spacing w:val="-25"/>
          <w:w w:val="115"/>
        </w:rPr>
        <w:t> </w:t>
      </w:r>
      <w:r>
        <w:rPr>
          <w:w w:val="115"/>
        </w:rPr>
        <w:t>mediáticas,</w:t>
      </w:r>
      <w:r>
        <w:rPr>
          <w:spacing w:val="-25"/>
          <w:w w:val="115"/>
        </w:rPr>
        <w:t> </w:t>
      </w:r>
      <w:r>
        <w:rPr>
          <w:w w:val="115"/>
        </w:rPr>
        <w:t>que</w:t>
      </w:r>
      <w:r>
        <w:rPr>
          <w:spacing w:val="-25"/>
          <w:w w:val="115"/>
        </w:rPr>
        <w:t> </w:t>
      </w:r>
      <w:r>
        <w:rPr>
          <w:w w:val="115"/>
        </w:rPr>
        <w:t>pro- movería</w:t>
      </w:r>
      <w:r>
        <w:rPr>
          <w:spacing w:val="-18"/>
          <w:w w:val="115"/>
        </w:rPr>
        <w:t> </w:t>
      </w:r>
      <w:r>
        <w:rPr>
          <w:w w:val="115"/>
        </w:rPr>
        <w:t>el</w:t>
      </w:r>
      <w:r>
        <w:rPr>
          <w:spacing w:val="-18"/>
          <w:w w:val="115"/>
        </w:rPr>
        <w:t> </w:t>
      </w:r>
      <w:r>
        <w:rPr>
          <w:w w:val="115"/>
        </w:rPr>
        <w:t>valor</w:t>
      </w:r>
      <w:r>
        <w:rPr>
          <w:spacing w:val="-18"/>
          <w:w w:val="115"/>
        </w:rPr>
        <w:t> </w:t>
      </w:r>
      <w:r>
        <w:rPr>
          <w:w w:val="115"/>
        </w:rPr>
        <w:t>en</w:t>
      </w:r>
      <w:r>
        <w:rPr>
          <w:spacing w:val="-18"/>
          <w:w w:val="115"/>
        </w:rPr>
        <w:t> </w:t>
      </w:r>
      <w:r>
        <w:rPr>
          <w:w w:val="115"/>
        </w:rPr>
        <w:t>bolsa</w:t>
      </w:r>
      <w:r>
        <w:rPr>
          <w:spacing w:val="-18"/>
          <w:w w:val="115"/>
        </w:rPr>
        <w:t> </w:t>
      </w:r>
      <w:r>
        <w:rPr>
          <w:w w:val="115"/>
        </w:rPr>
        <w:t>de</w:t>
      </w:r>
      <w:r>
        <w:rPr>
          <w:spacing w:val="-18"/>
          <w:w w:val="115"/>
        </w:rPr>
        <w:t> </w:t>
      </w:r>
      <w:r>
        <w:rPr>
          <w:w w:val="115"/>
        </w:rPr>
        <w:t>las</w:t>
      </w:r>
      <w:r>
        <w:rPr>
          <w:spacing w:val="-18"/>
          <w:w w:val="115"/>
        </w:rPr>
        <w:t> </w:t>
      </w:r>
      <w:r>
        <w:rPr>
          <w:w w:val="115"/>
        </w:rPr>
        <w:t>acciones</w:t>
      </w:r>
      <w:r>
        <w:rPr>
          <w:spacing w:val="-18"/>
          <w:w w:val="115"/>
        </w:rPr>
        <w:t> </w:t>
      </w:r>
      <w:r>
        <w:rPr>
          <w:w w:val="115"/>
        </w:rPr>
        <w:t>de</w:t>
      </w:r>
      <w:r>
        <w:rPr>
          <w:spacing w:val="-18"/>
          <w:w w:val="115"/>
        </w:rPr>
        <w:t> </w:t>
      </w:r>
      <w:r>
        <w:rPr>
          <w:w w:val="115"/>
        </w:rPr>
        <w:t>las</w:t>
      </w:r>
      <w:r>
        <w:rPr>
          <w:spacing w:val="-18"/>
          <w:w w:val="115"/>
        </w:rPr>
        <w:t> </w:t>
      </w:r>
      <w:r>
        <w:rPr>
          <w:w w:val="115"/>
        </w:rPr>
        <w:t>grandes</w:t>
      </w:r>
      <w:r>
        <w:rPr>
          <w:spacing w:val="-18"/>
          <w:w w:val="115"/>
        </w:rPr>
        <w:t> </w:t>
      </w:r>
      <w:r>
        <w:rPr>
          <w:w w:val="115"/>
        </w:rPr>
        <w:t>corpo- </w:t>
      </w:r>
      <w:r>
        <w:rPr>
          <w:w w:val="110"/>
        </w:rPr>
        <w:t>raciones</w:t>
      </w:r>
      <w:r>
        <w:rPr>
          <w:spacing w:val="-10"/>
          <w:w w:val="110"/>
        </w:rPr>
        <w:t> </w:t>
      </w:r>
      <w:r>
        <w:rPr>
          <w:w w:val="110"/>
        </w:rPr>
        <w:t>farmacéuticas</w:t>
      </w:r>
      <w:r>
        <w:rPr>
          <w:spacing w:val="-10"/>
          <w:w w:val="110"/>
        </w:rPr>
        <w:t> </w:t>
      </w:r>
      <w:r>
        <w:rPr>
          <w:w w:val="110"/>
        </w:rPr>
        <w:t>que</w:t>
      </w:r>
      <w:r>
        <w:rPr>
          <w:spacing w:val="-10"/>
          <w:w w:val="110"/>
        </w:rPr>
        <w:t> </w:t>
      </w:r>
      <w:r>
        <w:rPr>
          <w:w w:val="110"/>
        </w:rPr>
        <w:t>–regidas</w:t>
      </w:r>
      <w:r>
        <w:rPr>
          <w:spacing w:val="-10"/>
          <w:w w:val="110"/>
        </w:rPr>
        <w:t> </w:t>
      </w:r>
      <w:r>
        <w:rPr>
          <w:w w:val="110"/>
        </w:rPr>
        <w:t>por</w:t>
      </w:r>
      <w:r>
        <w:rPr>
          <w:spacing w:val="-10"/>
          <w:w w:val="110"/>
        </w:rPr>
        <w:t> </w:t>
      </w:r>
      <w:r>
        <w:rPr>
          <w:w w:val="110"/>
        </w:rPr>
        <w:t>la</w:t>
      </w:r>
      <w:r>
        <w:rPr>
          <w:spacing w:val="-10"/>
          <w:w w:val="110"/>
        </w:rPr>
        <w:t> </w:t>
      </w:r>
      <w:r>
        <w:rPr>
          <w:w w:val="110"/>
        </w:rPr>
        <w:t>“ética</w:t>
      </w:r>
      <w:r>
        <w:rPr>
          <w:spacing w:val="-10"/>
          <w:w w:val="110"/>
        </w:rPr>
        <w:t> </w:t>
      </w:r>
      <w:r>
        <w:rPr>
          <w:w w:val="110"/>
        </w:rPr>
        <w:t>del</w:t>
      </w:r>
      <w:r>
        <w:rPr>
          <w:spacing w:val="-10"/>
          <w:w w:val="110"/>
        </w:rPr>
        <w:t> </w:t>
      </w:r>
      <w:r>
        <w:rPr>
          <w:w w:val="110"/>
        </w:rPr>
        <w:t>mercado”– </w:t>
      </w:r>
      <w:r>
        <w:rPr>
          <w:w w:val="115"/>
        </w:rPr>
        <w:t>permitieron</w:t>
      </w:r>
      <w:r>
        <w:rPr>
          <w:spacing w:val="-32"/>
          <w:w w:val="115"/>
        </w:rPr>
        <w:t> </w:t>
      </w:r>
      <w:r>
        <w:rPr>
          <w:w w:val="115"/>
        </w:rPr>
        <w:t>trascendieran</w:t>
      </w:r>
      <w:r>
        <w:rPr>
          <w:spacing w:val="-32"/>
          <w:w w:val="115"/>
        </w:rPr>
        <w:t> </w:t>
      </w:r>
      <w:r>
        <w:rPr>
          <w:w w:val="115"/>
        </w:rPr>
        <w:t>rumores</w:t>
      </w:r>
      <w:r>
        <w:rPr>
          <w:spacing w:val="-32"/>
          <w:w w:val="115"/>
        </w:rPr>
        <w:t> </w:t>
      </w:r>
      <w:r>
        <w:rPr>
          <w:w w:val="115"/>
        </w:rPr>
        <w:t>de</w:t>
      </w:r>
      <w:r>
        <w:rPr>
          <w:spacing w:val="-32"/>
          <w:w w:val="115"/>
        </w:rPr>
        <w:t> </w:t>
      </w:r>
      <w:r>
        <w:rPr>
          <w:w w:val="115"/>
        </w:rPr>
        <w:t>que</w:t>
      </w:r>
      <w:r>
        <w:rPr>
          <w:spacing w:val="-32"/>
          <w:w w:val="115"/>
        </w:rPr>
        <w:t> </w:t>
      </w:r>
      <w:r>
        <w:rPr>
          <w:w w:val="115"/>
        </w:rPr>
        <w:t>ya</w:t>
      </w:r>
      <w:r>
        <w:rPr>
          <w:spacing w:val="-32"/>
          <w:w w:val="115"/>
        </w:rPr>
        <w:t> </w:t>
      </w:r>
      <w:r>
        <w:rPr>
          <w:w w:val="115"/>
        </w:rPr>
        <w:t>contaban</w:t>
      </w:r>
      <w:r>
        <w:rPr>
          <w:spacing w:val="-32"/>
          <w:w w:val="115"/>
        </w:rPr>
        <w:t> </w:t>
      </w:r>
      <w:r>
        <w:rPr>
          <w:w w:val="115"/>
        </w:rPr>
        <w:t>con</w:t>
      </w:r>
      <w:r>
        <w:rPr>
          <w:spacing w:val="-32"/>
          <w:w w:val="115"/>
        </w:rPr>
        <w:t> </w:t>
      </w:r>
      <w:r>
        <w:rPr>
          <w:w w:val="115"/>
        </w:rPr>
        <w:t>los remedios, induciendo así al alza especulativa de los precios; por</w:t>
      </w:r>
      <w:r>
        <w:rPr>
          <w:spacing w:val="-20"/>
          <w:w w:val="115"/>
        </w:rPr>
        <w:t> </w:t>
      </w:r>
      <w:r>
        <w:rPr>
          <w:w w:val="115"/>
        </w:rPr>
        <w:t>otro</w:t>
      </w:r>
      <w:r>
        <w:rPr>
          <w:spacing w:val="-20"/>
          <w:w w:val="115"/>
        </w:rPr>
        <w:t> </w:t>
      </w:r>
      <w:r>
        <w:rPr>
          <w:w w:val="115"/>
        </w:rPr>
        <w:t>lado,</w:t>
      </w:r>
      <w:r>
        <w:rPr>
          <w:spacing w:val="-20"/>
          <w:w w:val="115"/>
        </w:rPr>
        <w:t> </w:t>
      </w:r>
      <w:r>
        <w:rPr>
          <w:w w:val="115"/>
        </w:rPr>
        <w:t>la</w:t>
      </w:r>
      <w:r>
        <w:rPr>
          <w:spacing w:val="-20"/>
          <w:w w:val="115"/>
        </w:rPr>
        <w:t> </w:t>
      </w:r>
      <w:r>
        <w:rPr>
          <w:w w:val="115"/>
        </w:rPr>
        <w:t>sociedad</w:t>
      </w:r>
      <w:r>
        <w:rPr>
          <w:spacing w:val="-20"/>
          <w:w w:val="115"/>
        </w:rPr>
        <w:t> </w:t>
      </w:r>
      <w:r>
        <w:rPr>
          <w:w w:val="115"/>
        </w:rPr>
        <w:t>norteamericana</w:t>
      </w:r>
      <w:r>
        <w:rPr>
          <w:spacing w:val="-20"/>
          <w:w w:val="115"/>
        </w:rPr>
        <w:t> </w:t>
      </w:r>
      <w:r>
        <w:rPr>
          <w:w w:val="115"/>
        </w:rPr>
        <w:t>sufriría</w:t>
      </w:r>
      <w:r>
        <w:rPr>
          <w:spacing w:val="-20"/>
          <w:w w:val="115"/>
        </w:rPr>
        <w:t> </w:t>
      </w:r>
      <w:r>
        <w:rPr>
          <w:w w:val="115"/>
        </w:rPr>
        <w:t>un</w:t>
      </w:r>
      <w:r>
        <w:rPr>
          <w:spacing w:val="-20"/>
          <w:w w:val="115"/>
        </w:rPr>
        <w:t> </w:t>
      </w:r>
      <w:r>
        <w:rPr>
          <w:w w:val="115"/>
        </w:rPr>
        <w:t>largo</w:t>
      </w:r>
      <w:r>
        <w:rPr>
          <w:spacing w:val="-20"/>
          <w:w w:val="115"/>
        </w:rPr>
        <w:t> </w:t>
      </w:r>
      <w:r>
        <w:rPr>
          <w:w w:val="115"/>
        </w:rPr>
        <w:t>ap- lazamiento, por más de dos años, del nombramiento del di- rector General de salud Pública de los EE.uu.,</w:t>
      </w:r>
      <w:r>
        <w:rPr>
          <w:spacing w:val="-19"/>
          <w:w w:val="115"/>
        </w:rPr>
        <w:t> </w:t>
      </w:r>
      <w:r>
        <w:rPr>
          <w:w w:val="115"/>
        </w:rPr>
        <w:t>imprescindible ante</w:t>
      </w:r>
      <w:r>
        <w:rPr>
          <w:spacing w:val="-15"/>
          <w:w w:val="115"/>
        </w:rPr>
        <w:t> </w:t>
      </w:r>
      <w:r>
        <w:rPr>
          <w:w w:val="115"/>
        </w:rPr>
        <w:t>una</w:t>
      </w:r>
      <w:r>
        <w:rPr>
          <w:spacing w:val="-15"/>
          <w:w w:val="115"/>
        </w:rPr>
        <w:t> </w:t>
      </w:r>
      <w:r>
        <w:rPr>
          <w:w w:val="115"/>
        </w:rPr>
        <w:t>probable</w:t>
      </w:r>
      <w:r>
        <w:rPr>
          <w:spacing w:val="-15"/>
          <w:w w:val="115"/>
        </w:rPr>
        <w:t> </w:t>
      </w:r>
      <w:r>
        <w:rPr>
          <w:w w:val="115"/>
        </w:rPr>
        <w:t>emergencia</w:t>
      </w:r>
      <w:r>
        <w:rPr>
          <w:spacing w:val="-15"/>
          <w:w w:val="115"/>
        </w:rPr>
        <w:t> </w:t>
      </w:r>
      <w:r>
        <w:rPr>
          <w:w w:val="115"/>
        </w:rPr>
        <w:t>pandémica</w:t>
      </w:r>
      <w:r>
        <w:rPr>
          <w:spacing w:val="-15"/>
          <w:w w:val="115"/>
        </w:rPr>
        <w:t> </w:t>
      </w:r>
      <w:r>
        <w:rPr>
          <w:w w:val="115"/>
        </w:rPr>
        <w:t>nacional</w:t>
      </w:r>
      <w:r>
        <w:rPr>
          <w:spacing w:val="-15"/>
          <w:w w:val="115"/>
        </w:rPr>
        <w:t> </w:t>
      </w:r>
      <w:r>
        <w:rPr>
          <w:w w:val="115"/>
        </w:rPr>
        <w:t>y</w:t>
      </w:r>
      <w:r>
        <w:rPr>
          <w:spacing w:val="-15"/>
          <w:w w:val="115"/>
        </w:rPr>
        <w:t> </w:t>
      </w:r>
      <w:r>
        <w:rPr>
          <w:w w:val="115"/>
        </w:rPr>
        <w:t>mundial para enfrentar con estrategia integral las mejores</w:t>
      </w:r>
      <w:r>
        <w:rPr>
          <w:spacing w:val="-20"/>
          <w:w w:val="115"/>
        </w:rPr>
        <w:t> </w:t>
      </w:r>
      <w:r>
        <w:rPr>
          <w:w w:val="115"/>
        </w:rPr>
        <w:t>soluciones de salubridad; en lo referente a la astronáutica, se suprimió gran</w:t>
      </w:r>
      <w:r>
        <w:rPr>
          <w:spacing w:val="-23"/>
          <w:w w:val="115"/>
        </w:rPr>
        <w:t> </w:t>
      </w:r>
      <w:r>
        <w:rPr>
          <w:w w:val="115"/>
        </w:rPr>
        <w:t>parte</w:t>
      </w:r>
      <w:r>
        <w:rPr>
          <w:spacing w:val="-23"/>
          <w:w w:val="115"/>
        </w:rPr>
        <w:t> </w:t>
      </w:r>
      <w:r>
        <w:rPr>
          <w:w w:val="115"/>
        </w:rPr>
        <w:t>de</w:t>
      </w:r>
      <w:r>
        <w:rPr>
          <w:spacing w:val="-23"/>
          <w:w w:val="115"/>
        </w:rPr>
        <w:t> </w:t>
      </w:r>
      <w:r>
        <w:rPr>
          <w:w w:val="115"/>
        </w:rPr>
        <w:t>la</w:t>
      </w:r>
      <w:r>
        <w:rPr>
          <w:spacing w:val="-23"/>
          <w:w w:val="115"/>
        </w:rPr>
        <w:t> </w:t>
      </w:r>
      <w:r>
        <w:rPr>
          <w:w w:val="115"/>
        </w:rPr>
        <w:t>investigación</w:t>
      </w:r>
      <w:r>
        <w:rPr>
          <w:spacing w:val="-23"/>
          <w:w w:val="115"/>
        </w:rPr>
        <w:t> </w:t>
      </w:r>
      <w:r>
        <w:rPr>
          <w:w w:val="115"/>
        </w:rPr>
        <w:t>espacial</w:t>
      </w:r>
      <w:r>
        <w:rPr>
          <w:spacing w:val="-23"/>
          <w:w w:val="115"/>
        </w:rPr>
        <w:t> </w:t>
      </w:r>
      <w:r>
        <w:rPr>
          <w:w w:val="115"/>
        </w:rPr>
        <w:t>avanzada</w:t>
      </w:r>
      <w:r>
        <w:rPr>
          <w:spacing w:val="-23"/>
          <w:w w:val="115"/>
        </w:rPr>
        <w:t> </w:t>
      </w:r>
      <w:r>
        <w:rPr>
          <w:w w:val="115"/>
        </w:rPr>
        <w:t>y</w:t>
      </w:r>
      <w:r>
        <w:rPr>
          <w:spacing w:val="-23"/>
          <w:w w:val="115"/>
        </w:rPr>
        <w:t> </w:t>
      </w:r>
      <w:r>
        <w:rPr>
          <w:w w:val="115"/>
        </w:rPr>
        <w:t>el</w:t>
      </w:r>
      <w:r>
        <w:rPr>
          <w:spacing w:val="-23"/>
          <w:w w:val="115"/>
        </w:rPr>
        <w:t> </w:t>
      </w:r>
      <w:r>
        <w:rPr>
          <w:w w:val="115"/>
        </w:rPr>
        <w:t>programa de</w:t>
      </w:r>
      <w:r>
        <w:rPr>
          <w:spacing w:val="-16"/>
          <w:w w:val="115"/>
        </w:rPr>
        <w:t> </w:t>
      </w:r>
      <w:r>
        <w:rPr>
          <w:w w:val="115"/>
        </w:rPr>
        <w:t>lanzaderas</w:t>
      </w:r>
      <w:r>
        <w:rPr>
          <w:spacing w:val="-16"/>
          <w:w w:val="115"/>
        </w:rPr>
        <w:t> </w:t>
      </w:r>
      <w:r>
        <w:rPr>
          <w:w w:val="115"/>
        </w:rPr>
        <w:t>recuperables</w:t>
      </w:r>
      <w:r>
        <w:rPr>
          <w:spacing w:val="-16"/>
          <w:w w:val="115"/>
        </w:rPr>
        <w:t> </w:t>
      </w:r>
      <w:r>
        <w:rPr>
          <w:w w:val="115"/>
        </w:rPr>
        <w:t>(</w:t>
      </w:r>
      <w:r>
        <w:rPr>
          <w:i/>
          <w:w w:val="115"/>
        </w:rPr>
        <w:t>shuttle</w:t>
      </w:r>
      <w:r>
        <w:rPr>
          <w:w w:val="115"/>
        </w:rPr>
        <w:t>),</w:t>
      </w:r>
      <w:r>
        <w:rPr>
          <w:spacing w:val="-16"/>
          <w:w w:val="115"/>
        </w:rPr>
        <w:t> </w:t>
      </w:r>
      <w:r>
        <w:rPr>
          <w:w w:val="115"/>
        </w:rPr>
        <w:t>simultáneamente</w:t>
      </w:r>
      <w:r>
        <w:rPr>
          <w:spacing w:val="-16"/>
          <w:w w:val="115"/>
        </w:rPr>
        <w:t> </w:t>
      </w:r>
      <w:r>
        <w:rPr>
          <w:w w:val="115"/>
        </w:rPr>
        <w:t>con</w:t>
      </w:r>
      <w:r>
        <w:rPr>
          <w:spacing w:val="-16"/>
          <w:w w:val="115"/>
        </w:rPr>
        <w:t> </w:t>
      </w:r>
      <w:r>
        <w:rPr>
          <w:w w:val="115"/>
        </w:rPr>
        <w:t>la negativa</w:t>
      </w:r>
      <w:r>
        <w:rPr>
          <w:spacing w:val="-20"/>
          <w:w w:val="115"/>
        </w:rPr>
        <w:t> </w:t>
      </w:r>
      <w:r>
        <w:rPr>
          <w:w w:val="115"/>
        </w:rPr>
        <w:t>a</w:t>
      </w:r>
      <w:r>
        <w:rPr>
          <w:spacing w:val="-20"/>
          <w:w w:val="115"/>
        </w:rPr>
        <w:t> </w:t>
      </w:r>
      <w:r>
        <w:rPr>
          <w:w w:val="115"/>
        </w:rPr>
        <w:t>la</w:t>
      </w:r>
      <w:r>
        <w:rPr>
          <w:spacing w:val="-20"/>
          <w:w w:val="115"/>
        </w:rPr>
        <w:t> </w:t>
      </w:r>
      <w:r>
        <w:rPr>
          <w:w w:val="115"/>
        </w:rPr>
        <w:t>puesta</w:t>
      </w:r>
      <w:r>
        <w:rPr>
          <w:spacing w:val="-20"/>
          <w:w w:val="115"/>
        </w:rPr>
        <w:t> </w:t>
      </w:r>
      <w:r>
        <w:rPr>
          <w:w w:val="115"/>
        </w:rPr>
        <w:t>a</w:t>
      </w:r>
      <w:r>
        <w:rPr>
          <w:spacing w:val="-20"/>
          <w:w w:val="115"/>
        </w:rPr>
        <w:t> </w:t>
      </w:r>
      <w:r>
        <w:rPr>
          <w:w w:val="115"/>
        </w:rPr>
        <w:t>punto</w:t>
      </w:r>
      <w:r>
        <w:rPr>
          <w:spacing w:val="-20"/>
          <w:w w:val="115"/>
        </w:rPr>
        <w:t> </w:t>
      </w:r>
      <w:r>
        <w:rPr>
          <w:w w:val="115"/>
        </w:rPr>
        <w:t>del</w:t>
      </w:r>
      <w:r>
        <w:rPr>
          <w:spacing w:val="-20"/>
          <w:w w:val="115"/>
        </w:rPr>
        <w:t> </w:t>
      </w:r>
      <w:r>
        <w:rPr>
          <w:w w:val="115"/>
        </w:rPr>
        <w:t>subsiguiente</w:t>
      </w:r>
      <w:r>
        <w:rPr>
          <w:spacing w:val="-20"/>
          <w:w w:val="115"/>
        </w:rPr>
        <w:t> </w:t>
      </w:r>
      <w:r>
        <w:rPr>
          <w:w w:val="115"/>
        </w:rPr>
        <w:t>nivel</w:t>
      </w:r>
      <w:r>
        <w:rPr>
          <w:spacing w:val="-20"/>
          <w:w w:val="115"/>
        </w:rPr>
        <w:t> </w:t>
      </w:r>
      <w:r>
        <w:rPr>
          <w:w w:val="115"/>
        </w:rPr>
        <w:t>tecnológico de</w:t>
      </w:r>
      <w:r>
        <w:rPr>
          <w:spacing w:val="-7"/>
          <w:w w:val="115"/>
        </w:rPr>
        <w:t> </w:t>
      </w:r>
      <w:r>
        <w:rPr>
          <w:w w:val="115"/>
        </w:rPr>
        <w:t>portadores</w:t>
      </w:r>
      <w:r>
        <w:rPr>
          <w:spacing w:val="-7"/>
          <w:w w:val="115"/>
        </w:rPr>
        <w:t> </w:t>
      </w:r>
      <w:r>
        <w:rPr>
          <w:w w:val="115"/>
        </w:rPr>
        <w:t>aeroespaciales;</w:t>
      </w:r>
      <w:r>
        <w:rPr>
          <w:spacing w:val="-7"/>
          <w:w w:val="115"/>
        </w:rPr>
        <w:t> </w:t>
      </w:r>
      <w:r>
        <w:rPr>
          <w:w w:val="115"/>
        </w:rPr>
        <w:t>se</w:t>
      </w:r>
      <w:r>
        <w:rPr>
          <w:spacing w:val="-7"/>
          <w:w w:val="115"/>
        </w:rPr>
        <w:t> </w:t>
      </w:r>
      <w:r>
        <w:rPr>
          <w:w w:val="115"/>
        </w:rPr>
        <w:t>propiciaría,</w:t>
      </w:r>
      <w:r>
        <w:rPr>
          <w:spacing w:val="-7"/>
          <w:w w:val="115"/>
        </w:rPr>
        <w:t> </w:t>
      </w:r>
      <w:r>
        <w:rPr>
          <w:w w:val="115"/>
        </w:rPr>
        <w:t>en</w:t>
      </w:r>
      <w:r>
        <w:rPr>
          <w:spacing w:val="-7"/>
          <w:w w:val="115"/>
        </w:rPr>
        <w:t> </w:t>
      </w:r>
      <w:r>
        <w:rPr>
          <w:w w:val="115"/>
        </w:rPr>
        <w:t>continuismo de</w:t>
      </w:r>
      <w:r>
        <w:rPr>
          <w:spacing w:val="-31"/>
          <w:w w:val="115"/>
        </w:rPr>
        <w:t> </w:t>
      </w:r>
      <w:r>
        <w:rPr>
          <w:w w:val="115"/>
        </w:rPr>
        <w:t>argumentación</w:t>
      </w:r>
      <w:r>
        <w:rPr>
          <w:spacing w:val="-31"/>
          <w:w w:val="115"/>
        </w:rPr>
        <w:t> </w:t>
      </w:r>
      <w:r>
        <w:rPr>
          <w:w w:val="115"/>
        </w:rPr>
        <w:t>neoliberal</w:t>
      </w:r>
      <w:r>
        <w:rPr>
          <w:spacing w:val="-31"/>
          <w:w w:val="115"/>
        </w:rPr>
        <w:t> </w:t>
      </w:r>
      <w:r>
        <w:rPr>
          <w:w w:val="115"/>
        </w:rPr>
        <w:t>con</w:t>
      </w:r>
      <w:r>
        <w:rPr>
          <w:spacing w:val="-31"/>
          <w:w w:val="115"/>
        </w:rPr>
        <w:t> </w:t>
      </w:r>
      <w:r>
        <w:rPr>
          <w:w w:val="115"/>
        </w:rPr>
        <w:t>su</w:t>
      </w:r>
      <w:r>
        <w:rPr>
          <w:spacing w:val="-31"/>
          <w:w w:val="115"/>
        </w:rPr>
        <w:t> </w:t>
      </w:r>
      <w:r>
        <w:rPr>
          <w:w w:val="115"/>
        </w:rPr>
        <w:t>predecesor</w:t>
      </w:r>
      <w:r>
        <w:rPr>
          <w:spacing w:val="-31"/>
          <w:w w:val="115"/>
        </w:rPr>
        <w:t> </w:t>
      </w:r>
      <w:r>
        <w:rPr>
          <w:w w:val="115"/>
        </w:rPr>
        <w:t>republicano</w:t>
      </w:r>
      <w:r>
        <w:rPr>
          <w:spacing w:val="-31"/>
          <w:w w:val="115"/>
        </w:rPr>
        <w:t> </w:t>
      </w:r>
      <w:r>
        <w:rPr>
          <w:w w:val="115"/>
        </w:rPr>
        <w:t>G.</w:t>
      </w:r>
    </w:p>
    <w:p>
      <w:pPr>
        <w:pStyle w:val="BodyText"/>
        <w:spacing w:line="252" w:lineRule="auto"/>
        <w:ind w:left="724" w:right="328"/>
        <w:jc w:val="both"/>
      </w:pPr>
      <w:r>
        <w:rPr>
          <w:w w:val="110"/>
        </w:rPr>
        <w:t>W. bush, que el sector privado asumiera </w:t>
      </w:r>
      <w:r>
        <w:rPr>
          <w:i/>
          <w:w w:val="110"/>
        </w:rPr>
        <w:t>negocios innovadores y </w:t>
      </w:r>
      <w:r>
        <w:rPr>
          <w:i/>
          <w:w w:val="110"/>
        </w:rPr>
        <w:t>lucrativos </w:t>
      </w:r>
      <w:r>
        <w:rPr>
          <w:w w:val="110"/>
        </w:rPr>
        <w:t>en campos sistémicamente dependientes de “masas críticas científico-tecnológicas conjugadas”, generadas en su momento con el esfuerzo y para el provecho de toda la nación, por ejemplo en los campos de la biomedicina y el transporte espacial, entre otros.</w:t>
      </w:r>
    </w:p>
    <w:p>
      <w:pPr>
        <w:pStyle w:val="BodyText"/>
        <w:rPr>
          <w:sz w:val="20"/>
        </w:rPr>
      </w:pPr>
    </w:p>
    <w:p>
      <w:pPr>
        <w:pStyle w:val="BodyText"/>
        <w:spacing w:line="252" w:lineRule="auto"/>
        <w:ind w:left="100" w:right="328" w:hanging="1"/>
        <w:jc w:val="both"/>
      </w:pPr>
      <w:r>
        <w:rPr>
          <w:w w:val="110"/>
        </w:rPr>
        <w:t>Por aplicar “la ley del mercado”, con este proceder se perdería la aso- ciatividad de complejos procesos de generación del conocimiento e implementación de las innovaciones, se dilapidaría la masa crítica humana, cognoscitiva, institucional y material, con lo que se castiga- ría a la nación con una desconexión de las posiciones vanguardistas para un plazo generacional. El reciente accidente en el lanzamiento </w:t>
      </w:r>
      <w:r>
        <w:rPr>
          <w:w w:val="107"/>
        </w:rPr>
        <w:t>de</w:t>
      </w:r>
      <w:r>
        <w:rPr/>
        <w:t>  </w:t>
      </w:r>
      <w:r>
        <w:rPr>
          <w:w w:val="108"/>
        </w:rPr>
        <w:t>portadores</w:t>
      </w:r>
      <w:r>
        <w:rPr/>
        <w:t>  </w:t>
      </w:r>
      <w:r>
        <w:rPr>
          <w:w w:val="108"/>
        </w:rPr>
        <w:t>privados</w:t>
      </w:r>
      <w:r>
        <w:rPr/>
        <w:t>  </w:t>
      </w:r>
      <w:r>
        <w:rPr>
          <w:w w:val="109"/>
        </w:rPr>
        <w:t>para</w:t>
      </w:r>
      <w:r>
        <w:rPr/>
        <w:t>  </w:t>
      </w:r>
      <w:r>
        <w:rPr>
          <w:w w:val="109"/>
        </w:rPr>
        <w:t>aprovisionar</w:t>
      </w:r>
      <w:r>
        <w:rPr/>
        <w:t>  </w:t>
      </w:r>
      <w:r>
        <w:rPr>
          <w:w w:val="110"/>
        </w:rPr>
        <w:t>misiones</w:t>
      </w:r>
      <w:r>
        <w:rPr/>
        <w:t>  </w:t>
      </w:r>
      <w:r>
        <w:rPr>
          <w:w w:val="107"/>
        </w:rPr>
        <w:t>del</w:t>
      </w:r>
      <w:r>
        <w:rPr/>
        <w:t>  </w:t>
      </w:r>
      <w:r>
        <w:rPr>
          <w:w w:val="243"/>
        </w:rPr>
        <w:t>l</w:t>
      </w:r>
      <w:r>
        <w:rPr>
          <w:w w:val="109"/>
        </w:rPr>
        <w:t>aboratorio</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Espacial internacional en órbita testimonia tal situación, al exponer a sus tripulantes al peligro de muerte inminente. </w:t>
      </w:r>
      <w:r>
        <w:rPr>
          <w:spacing w:val="-3"/>
          <w:w w:val="110"/>
        </w:rPr>
        <w:t>tuvieron </w:t>
      </w:r>
      <w:r>
        <w:rPr>
          <w:w w:val="110"/>
        </w:rPr>
        <w:t>que ser inme- diatamente sustituidos por portadores rusos que salvaron la misión.</w:t>
      </w:r>
    </w:p>
    <w:p>
      <w:pPr>
        <w:pStyle w:val="BodyText"/>
        <w:spacing w:line="252" w:lineRule="auto"/>
        <w:ind w:left="330" w:right="117" w:firstLine="396"/>
        <w:jc w:val="both"/>
      </w:pPr>
      <w:r>
        <w:rPr>
          <w:w w:val="110"/>
        </w:rPr>
        <w:t>a la vez, los principales índices que caracterizarían el diezmado nivel vanguardista proseguirían, como en los ’90, con tendencia defi- citaria al estancamiento y/o la profunda baja, tanto en términos rela- tivos como absolutos (relación ingresos/egresos de ramas específicas y de todo el sector </w:t>
      </w:r>
      <w:r>
        <w:rPr>
          <w:w w:val="140"/>
        </w:rPr>
        <w:t>altEC </w:t>
      </w:r>
      <w:r>
        <w:rPr>
          <w:w w:val="110"/>
        </w:rPr>
        <w:t>en el mercado mundial, incluidos los flujos de inversiones; resultatividad reduccionista en términos de publica- ciones y patentes (¡ya China les pisa los talones!) entre otros; limita- ción o parálisis de importantes servicios médicos y de colaboración científico-técnica internacional de avanzada; drástico encarecimiento de las matrículas universitarias y consecuente imposibilidad del es- tudiantado local para acceder a carreras </w:t>
      </w:r>
      <w:r>
        <w:rPr>
          <w:w w:val="140"/>
        </w:rPr>
        <w:t>altEC; </w:t>
      </w:r>
      <w:r>
        <w:rPr>
          <w:w w:val="110"/>
        </w:rPr>
        <w:t>fuga de cerebros en grupos etarios juveniles-meseta hacia otros lares de más ventajosas ofertas; consecuente envejecimiento del staff profesoral y de investi- gadores nacionales, crecientemente sustituido por inmigrantes menos onerosos, a pesar de su evidenciada discriminación salarial por gru- pos étnicos, raciales y género. El patrimonio sistémico de la nación, a futuro, se convertiría en una “burbuja” más, la   tecnológica.</w:t>
      </w:r>
    </w:p>
    <w:p>
      <w:pPr>
        <w:pStyle w:val="BodyText"/>
        <w:spacing w:line="252" w:lineRule="auto"/>
        <w:ind w:left="330" w:right="118" w:firstLine="396"/>
        <w:jc w:val="both"/>
      </w:pPr>
      <w:r>
        <w:rPr>
          <w:w w:val="110"/>
        </w:rPr>
        <w:t>se haría omnipresente la consigna: scientists &amp; americans want </w:t>
      </w:r>
      <w:r>
        <w:rPr>
          <w:w w:val="109"/>
        </w:rPr>
        <w:t>you</w:t>
      </w:r>
      <w:r>
        <w:rPr/>
        <w:t> </w:t>
      </w:r>
      <w:r>
        <w:rPr>
          <w:w w:val="108"/>
        </w:rPr>
        <w:t>to</w:t>
      </w:r>
      <w:r>
        <w:rPr/>
        <w:t> </w:t>
      </w:r>
      <w:r>
        <w:rPr>
          <w:w w:val="108"/>
        </w:rPr>
        <w:t>end</w:t>
      </w:r>
      <w:r>
        <w:rPr/>
        <w:t> </w:t>
      </w:r>
      <w:r>
        <w:rPr>
          <w:w w:val="108"/>
        </w:rPr>
        <w:t>the</w:t>
      </w:r>
      <w:r>
        <w:rPr/>
        <w:t> </w:t>
      </w:r>
      <w:r>
        <w:rPr>
          <w:w w:val="109"/>
        </w:rPr>
        <w:t>shutdown!</w:t>
      </w:r>
      <w:r>
        <w:rPr/>
        <w:t> </w:t>
      </w:r>
      <w:r>
        <w:rPr>
          <w:w w:val="98"/>
        </w:rPr>
        <w:t>(</w:t>
      </w:r>
      <w:r>
        <w:rPr>
          <w:w w:val="243"/>
        </w:rPr>
        <w:t>l</w:t>
      </w:r>
      <w:r>
        <w:rPr>
          <w:w w:val="108"/>
        </w:rPr>
        <w:t>os</w:t>
      </w:r>
      <w:r>
        <w:rPr/>
        <w:t> </w:t>
      </w:r>
      <w:r>
        <w:rPr>
          <w:w w:val="110"/>
        </w:rPr>
        <w:t>científicos</w:t>
      </w:r>
      <w:r>
        <w:rPr/>
        <w:t> </w:t>
      </w:r>
      <w:r>
        <w:rPr>
          <w:w w:val="105"/>
        </w:rPr>
        <w:t>y</w:t>
      </w:r>
      <w:r>
        <w:rPr/>
        <w:t> </w:t>
      </w:r>
      <w:r>
        <w:rPr>
          <w:w w:val="109"/>
        </w:rPr>
        <w:t>norteamericanos</w:t>
      </w:r>
      <w:r>
        <w:rPr/>
        <w:t> </w:t>
      </w:r>
      <w:r>
        <w:rPr>
          <w:w w:val="107"/>
        </w:rPr>
        <w:t>le</w:t>
      </w:r>
      <w:r>
        <w:rPr/>
        <w:t> </w:t>
      </w:r>
      <w:r>
        <w:rPr>
          <w:w w:val="110"/>
        </w:rPr>
        <w:t>exigi</w:t>
      </w:r>
      <w:r>
        <w:rPr>
          <w:w w:val="102"/>
        </w:rPr>
        <w:t>- </w:t>
      </w:r>
      <w:r>
        <w:rPr>
          <w:w w:val="110"/>
        </w:rPr>
        <w:t>mos, ¡termine con el  “desconecte”!).</w:t>
      </w:r>
    </w:p>
    <w:p>
      <w:pPr>
        <w:pStyle w:val="BodyText"/>
        <w:spacing w:line="252" w:lineRule="auto"/>
        <w:ind w:left="330" w:right="117" w:firstLine="396"/>
        <w:jc w:val="both"/>
      </w:pPr>
      <w:r>
        <w:rPr>
          <w:w w:val="243"/>
        </w:rPr>
        <w:t>l</w:t>
      </w:r>
      <w:r>
        <w:rPr>
          <w:w w:val="112"/>
        </w:rPr>
        <w:t>a</w:t>
      </w:r>
      <w:r>
        <w:rPr/>
        <w:t> </w:t>
      </w:r>
      <w:r>
        <w:rPr>
          <w:w w:val="110"/>
        </w:rPr>
        <w:t>decisión</w:t>
      </w:r>
      <w:r>
        <w:rPr/>
        <w:t> </w:t>
      </w:r>
      <w:r>
        <w:rPr>
          <w:w w:val="107"/>
        </w:rPr>
        <w:t>del</w:t>
      </w:r>
      <w:r>
        <w:rPr/>
        <w:t> </w:t>
      </w:r>
      <w:r>
        <w:rPr>
          <w:i/>
          <w:w w:val="112"/>
        </w:rPr>
        <w:t>shutdown</w:t>
      </w:r>
      <w:r>
        <w:rPr>
          <w:i/>
        </w:rPr>
        <w:t> </w:t>
      </w:r>
      <w:r>
        <w:rPr>
          <w:w w:val="111"/>
        </w:rPr>
        <w:t>forma</w:t>
      </w:r>
      <w:r>
        <w:rPr/>
        <w:t> </w:t>
      </w:r>
      <w:r>
        <w:rPr>
          <w:w w:val="107"/>
        </w:rPr>
        <w:t>parte</w:t>
      </w:r>
      <w:r>
        <w:rPr/>
        <w:t> </w:t>
      </w:r>
      <w:r>
        <w:rPr>
          <w:w w:val="107"/>
        </w:rPr>
        <w:t>del</w:t>
      </w:r>
      <w:r>
        <w:rPr/>
        <w:t> </w:t>
      </w:r>
      <w:r>
        <w:rPr>
          <w:w w:val="110"/>
        </w:rPr>
        <w:t>denominado</w:t>
      </w:r>
      <w:r>
        <w:rPr/>
        <w:t> </w:t>
      </w:r>
      <w:r>
        <w:rPr>
          <w:i/>
          <w:w w:val="106"/>
        </w:rPr>
        <w:t>sequestra</w:t>
      </w:r>
      <w:r>
        <w:rPr>
          <w:i/>
          <w:w w:val="106"/>
        </w:rPr>
        <w:t>-</w:t>
      </w:r>
      <w:r>
        <w:rPr>
          <w:i/>
          <w:w w:val="106"/>
        </w:rPr>
        <w:t> </w:t>
      </w:r>
      <w:r>
        <w:rPr>
          <w:i/>
          <w:w w:val="110"/>
        </w:rPr>
        <w:t>tion </w:t>
      </w:r>
      <w:r>
        <w:rPr>
          <w:w w:val="110"/>
        </w:rPr>
        <w:t>–traducido como “secuestro presupuestario”–, una medida fiscal que supone recortes automáticos de un total de 85.000 millones de </w:t>
      </w:r>
      <w:r>
        <w:rPr>
          <w:w w:val="108"/>
        </w:rPr>
        <w:t>dólares</w:t>
      </w:r>
      <w:r>
        <w:rPr/>
        <w:t> </w:t>
      </w:r>
      <w:r>
        <w:rPr>
          <w:w w:val="109"/>
        </w:rPr>
        <w:t>para</w:t>
      </w:r>
      <w:r>
        <w:rPr/>
        <w:t> </w:t>
      </w:r>
      <w:r>
        <w:rPr>
          <w:w w:val="109"/>
        </w:rPr>
        <w:t>equilibrar</w:t>
      </w:r>
      <w:r>
        <w:rPr/>
        <w:t> </w:t>
      </w:r>
      <w:r>
        <w:rPr>
          <w:w w:val="107"/>
        </w:rPr>
        <w:t>el</w:t>
      </w:r>
      <w:r>
        <w:rPr/>
        <w:t> </w:t>
      </w:r>
      <w:r>
        <w:rPr>
          <w:w w:val="108"/>
        </w:rPr>
        <w:t>presupuesto</w:t>
      </w:r>
      <w:r>
        <w:rPr/>
        <w:t> </w:t>
      </w:r>
      <w:r>
        <w:rPr>
          <w:w w:val="113"/>
        </w:rPr>
        <w:t>nacional.</w:t>
      </w:r>
      <w:r>
        <w:rPr/>
        <w:t> </w:t>
      </w:r>
      <w:r>
        <w:rPr>
          <w:w w:val="243"/>
        </w:rPr>
        <w:t>l</w:t>
      </w:r>
      <w:r>
        <w:rPr>
          <w:w w:val="112"/>
        </w:rPr>
        <w:t>a</w:t>
      </w:r>
      <w:r>
        <w:rPr/>
        <w:t> </w:t>
      </w:r>
      <w:r>
        <w:rPr>
          <w:w w:val="111"/>
        </w:rPr>
        <w:t>iniciativa</w:t>
      </w:r>
      <w:r>
        <w:rPr/>
        <w:t> </w:t>
      </w:r>
      <w:r>
        <w:rPr>
          <w:w w:val="105"/>
        </w:rPr>
        <w:t>se</w:t>
      </w:r>
      <w:r>
        <w:rPr/>
        <w:t> </w:t>
      </w:r>
      <w:r>
        <w:rPr>
          <w:w w:val="110"/>
        </w:rPr>
        <w:t>tomó </w:t>
      </w:r>
      <w:r>
        <w:rPr>
          <w:w w:val="110"/>
        </w:rPr>
        <w:t>ante la incapacidad por parte de la Casa blanca y los legisladores de ambos partidos de alcanzar un  acuerdo.</w:t>
      </w:r>
    </w:p>
    <w:p>
      <w:pPr>
        <w:pStyle w:val="BodyText"/>
        <w:spacing w:before="11"/>
      </w:pPr>
    </w:p>
    <w:p>
      <w:pPr>
        <w:pStyle w:val="BodyText"/>
        <w:spacing w:line="252" w:lineRule="auto"/>
        <w:ind w:left="330" w:right="117"/>
        <w:jc w:val="both"/>
      </w:pPr>
      <w:r>
        <w:rPr>
          <w:i/>
          <w:w w:val="110"/>
        </w:rPr>
        <w:t>Sector armamentista-militar. </w:t>
      </w:r>
      <w:r>
        <w:rPr>
          <w:w w:val="110"/>
        </w:rPr>
        <w:t>solo quedaría mencionar que éste segui- ría siendo el único privilegiado de los sectores, para el cual no se esca- timarían recursos. su presupuesto de 661 mil millones de us$, el más alto de la historia mundial, absorbería el 43% del gasto total del mun- do. acorde a los últimos datos verificados (Nsb, 2012) ya que el Nsb 2014 los omite, en 2009, para el total de obligaciones federales en i+d, el departamento de defensa (dod) aportaría –como tradicionalmen-  te se ha establecido– aproximadamente el 50%, con 68.2 mil millones de us$. de este monto, el 90% (61.3 mil millones) se dedicaría al de- sarrollo cuya mayor parte, 80% (54.9 mil millones), clasificaría como </w:t>
      </w:r>
      <w:r>
        <w:rPr>
          <w:i/>
          <w:w w:val="110"/>
        </w:rPr>
        <w:t>desarrollo de sistemas mayores</w:t>
      </w:r>
      <w:r>
        <w:rPr>
          <w:w w:val="110"/>
        </w:rPr>
        <w:t>, representando el costo del desarrollo, pruebas</w:t>
      </w:r>
      <w:r>
        <w:rPr>
          <w:spacing w:val="-6"/>
          <w:w w:val="110"/>
        </w:rPr>
        <w:t> </w:t>
      </w:r>
      <w:r>
        <w:rPr>
          <w:w w:val="110"/>
        </w:rPr>
        <w:t>y</w:t>
      </w:r>
      <w:r>
        <w:rPr>
          <w:spacing w:val="-6"/>
          <w:w w:val="110"/>
        </w:rPr>
        <w:t> </w:t>
      </w:r>
      <w:r>
        <w:rPr>
          <w:w w:val="110"/>
        </w:rPr>
        <w:t>evaluación</w:t>
      </w:r>
      <w:r>
        <w:rPr>
          <w:spacing w:val="-6"/>
          <w:w w:val="110"/>
        </w:rPr>
        <w:t> </w:t>
      </w:r>
      <w:r>
        <w:rPr>
          <w:w w:val="110"/>
        </w:rPr>
        <w:t>de</w:t>
      </w:r>
      <w:r>
        <w:rPr>
          <w:spacing w:val="-6"/>
          <w:w w:val="110"/>
        </w:rPr>
        <w:t> </w:t>
      </w:r>
      <w:r>
        <w:rPr>
          <w:w w:val="110"/>
        </w:rPr>
        <w:t>sistemas</w:t>
      </w:r>
      <w:r>
        <w:rPr>
          <w:spacing w:val="-6"/>
          <w:w w:val="110"/>
        </w:rPr>
        <w:t> </w:t>
      </w:r>
      <w:r>
        <w:rPr>
          <w:w w:val="110"/>
        </w:rPr>
        <w:t>de</w:t>
      </w:r>
      <w:r>
        <w:rPr>
          <w:spacing w:val="-6"/>
          <w:w w:val="110"/>
        </w:rPr>
        <w:t> </w:t>
      </w:r>
      <w:r>
        <w:rPr>
          <w:w w:val="110"/>
        </w:rPr>
        <w:t>combate,</w:t>
      </w:r>
      <w:r>
        <w:rPr>
          <w:spacing w:val="-6"/>
          <w:w w:val="110"/>
        </w:rPr>
        <w:t> </w:t>
      </w:r>
      <w:r>
        <w:rPr>
          <w:w w:val="110"/>
        </w:rPr>
        <w:t>mientras</w:t>
      </w:r>
      <w:r>
        <w:rPr>
          <w:spacing w:val="-6"/>
          <w:w w:val="110"/>
        </w:rPr>
        <w:t> </w:t>
      </w:r>
      <w:r>
        <w:rPr>
          <w:w w:val="110"/>
        </w:rPr>
        <w:t>el</w:t>
      </w:r>
      <w:r>
        <w:rPr>
          <w:spacing w:val="-6"/>
          <w:w w:val="110"/>
        </w:rPr>
        <w:t> </w:t>
      </w:r>
      <w:r>
        <w:rPr>
          <w:w w:val="110"/>
        </w:rPr>
        <w:t>10%</w:t>
      </w:r>
      <w:r>
        <w:rPr>
          <w:spacing w:val="-6"/>
          <w:w w:val="110"/>
        </w:rPr>
        <w:t> </w:t>
      </w:r>
      <w:r>
        <w:rPr>
          <w:w w:val="110"/>
        </w:rPr>
        <w:t>corres- pondería al desarrollo de tecnología de avanzada. del restante 10%,</w:t>
      </w:r>
      <w:r>
        <w:rPr>
          <w:spacing w:val="-24"/>
          <w:w w:val="110"/>
        </w:rPr>
        <w:t> </w:t>
      </w:r>
      <w:r>
        <w:rPr>
          <w:w w:val="110"/>
        </w:rPr>
        <w:t>se</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contabilizaría 3% (1.7 mil millones us$) para la investigación funda- mental y 7% (5.1 mil millones us$) para la aplicada. El 73% (49.5 mil millones) del i+d financiado por </w:t>
      </w:r>
      <w:r>
        <w:rPr>
          <w:w w:val="115"/>
        </w:rPr>
        <w:t>dod </w:t>
      </w:r>
      <w:r>
        <w:rPr>
          <w:w w:val="110"/>
        </w:rPr>
        <w:t>se ejecutaría en las empresas industriales,</w:t>
      </w:r>
      <w:r>
        <w:rPr>
          <w:spacing w:val="-6"/>
          <w:w w:val="110"/>
        </w:rPr>
        <w:t> </w:t>
      </w:r>
      <w:r>
        <w:rPr>
          <w:w w:val="110"/>
        </w:rPr>
        <w:t>las</w:t>
      </w:r>
      <w:r>
        <w:rPr>
          <w:spacing w:val="-6"/>
          <w:w w:val="110"/>
        </w:rPr>
        <w:t> </w:t>
      </w:r>
      <w:r>
        <w:rPr>
          <w:w w:val="110"/>
        </w:rPr>
        <w:t>universidades,</w:t>
      </w:r>
      <w:r>
        <w:rPr>
          <w:spacing w:val="-6"/>
          <w:w w:val="110"/>
        </w:rPr>
        <w:t> </w:t>
      </w:r>
      <w:r>
        <w:rPr>
          <w:w w:val="110"/>
        </w:rPr>
        <w:t>entidades</w:t>
      </w:r>
      <w:r>
        <w:rPr>
          <w:spacing w:val="-6"/>
          <w:w w:val="110"/>
        </w:rPr>
        <w:t> </w:t>
      </w:r>
      <w:r>
        <w:rPr>
          <w:w w:val="110"/>
        </w:rPr>
        <w:t>estaduales</w:t>
      </w:r>
      <w:r>
        <w:rPr>
          <w:spacing w:val="-6"/>
          <w:w w:val="110"/>
        </w:rPr>
        <w:t> </w:t>
      </w:r>
      <w:r>
        <w:rPr>
          <w:w w:val="110"/>
        </w:rPr>
        <w:t>e</w:t>
      </w:r>
      <w:r>
        <w:rPr>
          <w:spacing w:val="-6"/>
          <w:w w:val="110"/>
        </w:rPr>
        <w:t> </w:t>
      </w:r>
      <w:r>
        <w:rPr>
          <w:w w:val="110"/>
        </w:rPr>
        <w:t>instituciones</w:t>
      </w:r>
      <w:r>
        <w:rPr>
          <w:spacing w:val="-6"/>
          <w:w w:val="110"/>
        </w:rPr>
        <w:t> </w:t>
      </w:r>
      <w:r>
        <w:rPr>
          <w:w w:val="110"/>
        </w:rPr>
        <w:t>no lucrativas), quedándose en manos de las corporaciones el grueso del paquete con 46.3 mil millones. Por otro lado, aparte del i+d, </w:t>
      </w:r>
      <w:r>
        <w:rPr>
          <w:w w:val="115"/>
        </w:rPr>
        <w:t>dod </w:t>
      </w:r>
      <w:r>
        <w:rPr>
          <w:w w:val="110"/>
        </w:rPr>
        <w:t>contribuiría con más del 84% de todas las obligaciones federales para la industria. son elocuentes los ejemplos de aproximadamente 160 proyectos para el desarrollo de “armamentos humanizados” llamados a eliminar los insostenibles/irrentables gastos en tropas (anteriores, durante </w:t>
      </w:r>
      <w:r>
        <w:rPr>
          <w:spacing w:val="-11"/>
          <w:w w:val="110"/>
        </w:rPr>
        <w:t>y, </w:t>
      </w:r>
      <w:r>
        <w:rPr>
          <w:w w:val="110"/>
        </w:rPr>
        <w:t>principalmente, posteriores al combate), sustituyéndolas por sofisticados armamentos robotizados y/o teledirigidos, </w:t>
      </w:r>
      <w:r>
        <w:rPr>
          <w:i/>
          <w:w w:val="110"/>
        </w:rPr>
        <w:t>responde- </w:t>
      </w:r>
      <w:r>
        <w:rPr>
          <w:i/>
          <w:w w:val="110"/>
        </w:rPr>
        <w:t>dores automáticamente</w:t>
      </w:r>
      <w:r>
        <w:rPr>
          <w:w w:val="110"/>
        </w:rPr>
        <w:t>, </w:t>
      </w:r>
      <w:r>
        <w:rPr>
          <w:i/>
          <w:w w:val="110"/>
        </w:rPr>
        <w:t>drones</w:t>
      </w:r>
      <w:r>
        <w:rPr>
          <w:w w:val="110"/>
        </w:rPr>
        <w:t>, </w:t>
      </w:r>
      <w:r>
        <w:rPr>
          <w:i/>
          <w:w w:val="110"/>
        </w:rPr>
        <w:t>vigías y armamentos siderales </w:t>
      </w:r>
      <w:r>
        <w:rPr>
          <w:w w:val="110"/>
        </w:rPr>
        <w:t>llama- dos a destruir al “enemigo”, en cualquier paraje del planeta y/o del espacio, con inmediatez, precisión y letalidad total, ataques globales inmediatos y armas climatológicas (destinadas a desestabilizar selec- tivamente los sistemas medio-ambientales y agrícolas de los países- objetivos), con perdón de los sempiternos “daños colaterales”, infli- gidos a la población civil, su infraestructura y el medioambiente. de esta manera se garantizaría la seguridad norteamericana </w:t>
      </w:r>
      <w:r>
        <w:rPr>
          <w:i/>
          <w:w w:val="110"/>
        </w:rPr>
        <w:t>all around </w:t>
      </w:r>
      <w:r>
        <w:rPr>
          <w:i/>
          <w:w w:val="110"/>
        </w:rPr>
        <w:t>the world</w:t>
      </w:r>
      <w:r>
        <w:rPr>
          <w:w w:val="110"/>
        </w:rPr>
        <w:t>, en su misionero </w:t>
      </w:r>
      <w:r>
        <w:rPr>
          <w:i/>
          <w:w w:val="110"/>
        </w:rPr>
        <w:t>destino </w:t>
      </w:r>
      <w:r>
        <w:rPr>
          <w:i/>
          <w:spacing w:val="3"/>
          <w:w w:val="110"/>
        </w:rPr>
        <w:t> </w:t>
      </w:r>
      <w:r>
        <w:rPr>
          <w:i/>
          <w:w w:val="110"/>
        </w:rPr>
        <w:t>manifiesto</w:t>
      </w:r>
      <w:r>
        <w:rPr>
          <w:w w:val="110"/>
        </w:rPr>
        <w:t>.</w:t>
      </w:r>
    </w:p>
    <w:p>
      <w:pPr>
        <w:pStyle w:val="BodyText"/>
        <w:spacing w:line="252" w:lineRule="auto"/>
        <w:ind w:left="100" w:right="328" w:firstLine="396"/>
        <w:jc w:val="both"/>
      </w:pPr>
      <w:r>
        <w:rPr>
          <w:w w:val="115"/>
        </w:rPr>
        <w:t>si bien el inicialmente llamado “Keynesianismo militar” pro- seguiría como fuerza motriz del ciclo reproductivo</w:t>
      </w:r>
      <w:r>
        <w:rPr>
          <w:spacing w:val="-7"/>
          <w:w w:val="115"/>
        </w:rPr>
        <w:t> </w:t>
      </w:r>
      <w:r>
        <w:rPr>
          <w:w w:val="115"/>
        </w:rPr>
        <w:t>norteamericano concentrado en el CMi, no obstante, en su actual variante de “Pen- tagonismo</w:t>
      </w:r>
      <w:r>
        <w:rPr>
          <w:spacing w:val="-6"/>
          <w:w w:val="115"/>
        </w:rPr>
        <w:t> </w:t>
      </w:r>
      <w:r>
        <w:rPr>
          <w:w w:val="115"/>
        </w:rPr>
        <w:t>neoliberal”,</w:t>
      </w:r>
      <w:r>
        <w:rPr>
          <w:spacing w:val="-6"/>
          <w:w w:val="115"/>
        </w:rPr>
        <w:t> </w:t>
      </w:r>
      <w:r>
        <w:rPr>
          <w:w w:val="115"/>
        </w:rPr>
        <w:t>al</w:t>
      </w:r>
      <w:r>
        <w:rPr>
          <w:spacing w:val="-6"/>
          <w:w w:val="115"/>
        </w:rPr>
        <w:t> </w:t>
      </w:r>
      <w:r>
        <w:rPr>
          <w:w w:val="115"/>
        </w:rPr>
        <w:t>deslindarse</w:t>
      </w:r>
      <w:r>
        <w:rPr>
          <w:spacing w:val="-6"/>
          <w:w w:val="115"/>
        </w:rPr>
        <w:t> </w:t>
      </w:r>
      <w:r>
        <w:rPr>
          <w:w w:val="115"/>
        </w:rPr>
        <w:t>de</w:t>
      </w:r>
      <w:r>
        <w:rPr>
          <w:spacing w:val="-6"/>
          <w:w w:val="115"/>
        </w:rPr>
        <w:t> </w:t>
      </w:r>
      <w:r>
        <w:rPr>
          <w:w w:val="115"/>
        </w:rPr>
        <w:t>las</w:t>
      </w:r>
      <w:r>
        <w:rPr>
          <w:spacing w:val="-6"/>
          <w:w w:val="115"/>
        </w:rPr>
        <w:t> </w:t>
      </w:r>
      <w:r>
        <w:rPr>
          <w:i/>
          <w:w w:val="115"/>
        </w:rPr>
        <w:t>externalidades</w:t>
      </w:r>
      <w:r>
        <w:rPr>
          <w:i/>
          <w:spacing w:val="-6"/>
          <w:w w:val="115"/>
        </w:rPr>
        <w:t> </w:t>
      </w:r>
      <w:r>
        <w:rPr>
          <w:w w:val="115"/>
        </w:rPr>
        <w:t>del</w:t>
      </w:r>
      <w:r>
        <w:rPr>
          <w:spacing w:val="-6"/>
          <w:w w:val="115"/>
        </w:rPr>
        <w:t> </w:t>
      </w:r>
      <w:r>
        <w:rPr>
          <w:w w:val="115"/>
        </w:rPr>
        <w:t>bien- estar</w:t>
      </w:r>
      <w:r>
        <w:rPr>
          <w:spacing w:val="-5"/>
          <w:w w:val="115"/>
        </w:rPr>
        <w:t> </w:t>
      </w:r>
      <w:r>
        <w:rPr>
          <w:w w:val="115"/>
        </w:rPr>
        <w:t>general</w:t>
      </w:r>
      <w:r>
        <w:rPr>
          <w:spacing w:val="-5"/>
          <w:w w:val="115"/>
        </w:rPr>
        <w:t> </w:t>
      </w:r>
      <w:r>
        <w:rPr>
          <w:w w:val="115"/>
        </w:rPr>
        <w:t>y</w:t>
      </w:r>
      <w:r>
        <w:rPr>
          <w:spacing w:val="-5"/>
          <w:w w:val="115"/>
        </w:rPr>
        <w:t> </w:t>
      </w:r>
      <w:r>
        <w:rPr>
          <w:w w:val="115"/>
        </w:rPr>
        <w:t>ser</w:t>
      </w:r>
      <w:r>
        <w:rPr>
          <w:spacing w:val="-5"/>
          <w:w w:val="115"/>
        </w:rPr>
        <w:t> </w:t>
      </w:r>
      <w:r>
        <w:rPr>
          <w:w w:val="115"/>
        </w:rPr>
        <w:t>pragmáticamente</w:t>
      </w:r>
      <w:r>
        <w:rPr>
          <w:spacing w:val="-5"/>
          <w:w w:val="115"/>
        </w:rPr>
        <w:t> </w:t>
      </w:r>
      <w:r>
        <w:rPr>
          <w:w w:val="115"/>
        </w:rPr>
        <w:t>dominado</w:t>
      </w:r>
      <w:r>
        <w:rPr>
          <w:spacing w:val="-5"/>
          <w:w w:val="115"/>
        </w:rPr>
        <w:t> </w:t>
      </w:r>
      <w:r>
        <w:rPr>
          <w:w w:val="115"/>
        </w:rPr>
        <w:t>por</w:t>
      </w:r>
      <w:r>
        <w:rPr>
          <w:spacing w:val="-5"/>
          <w:w w:val="115"/>
        </w:rPr>
        <w:t> </w:t>
      </w:r>
      <w:r>
        <w:rPr>
          <w:w w:val="115"/>
        </w:rPr>
        <w:t>las</w:t>
      </w:r>
      <w:r>
        <w:rPr>
          <w:spacing w:val="-5"/>
          <w:w w:val="115"/>
        </w:rPr>
        <w:t> </w:t>
      </w:r>
      <w:r>
        <w:rPr>
          <w:w w:val="115"/>
        </w:rPr>
        <w:t>CtN,</w:t>
      </w:r>
      <w:r>
        <w:rPr>
          <w:spacing w:val="-5"/>
          <w:w w:val="115"/>
        </w:rPr>
        <w:t> </w:t>
      </w:r>
      <w:r>
        <w:rPr>
          <w:w w:val="115"/>
        </w:rPr>
        <w:t>lejos</w:t>
      </w:r>
      <w:r>
        <w:rPr>
          <w:spacing w:val="-5"/>
          <w:w w:val="115"/>
        </w:rPr>
        <w:t> </w:t>
      </w:r>
      <w:r>
        <w:rPr>
          <w:w w:val="115"/>
        </w:rPr>
        <w:t>de </w:t>
      </w:r>
      <w:r>
        <w:rPr>
          <w:spacing w:val="-3"/>
          <w:w w:val="115"/>
        </w:rPr>
        <w:t>integrar, </w:t>
      </w:r>
      <w:r>
        <w:rPr>
          <w:w w:val="115"/>
        </w:rPr>
        <w:t>margina a la propia población así sobrante y profundiza el </w:t>
      </w:r>
      <w:r>
        <w:rPr>
          <w:w w:val="110"/>
        </w:rPr>
        <w:t>atolladero</w:t>
      </w:r>
      <w:r>
        <w:rPr>
          <w:spacing w:val="-12"/>
          <w:w w:val="110"/>
        </w:rPr>
        <w:t> </w:t>
      </w:r>
      <w:r>
        <w:rPr>
          <w:w w:val="110"/>
        </w:rPr>
        <w:t>con</w:t>
      </w:r>
      <w:r>
        <w:rPr>
          <w:spacing w:val="-12"/>
          <w:w w:val="110"/>
        </w:rPr>
        <w:t> </w:t>
      </w:r>
      <w:r>
        <w:rPr>
          <w:i/>
          <w:w w:val="110"/>
        </w:rPr>
        <w:t>sempiternas</w:t>
      </w:r>
      <w:r>
        <w:rPr>
          <w:i/>
          <w:spacing w:val="-12"/>
          <w:w w:val="110"/>
        </w:rPr>
        <w:t> </w:t>
      </w:r>
      <w:r>
        <w:rPr>
          <w:i/>
          <w:w w:val="110"/>
        </w:rPr>
        <w:t>guerras</w:t>
      </w:r>
      <w:r>
        <w:rPr>
          <w:i/>
          <w:spacing w:val="-12"/>
          <w:w w:val="110"/>
        </w:rPr>
        <w:t> </w:t>
      </w:r>
      <w:r>
        <w:rPr>
          <w:i/>
          <w:w w:val="110"/>
        </w:rPr>
        <w:t>caóticas</w:t>
      </w:r>
      <w:r>
        <w:rPr>
          <w:i/>
          <w:spacing w:val="-12"/>
          <w:w w:val="110"/>
        </w:rPr>
        <w:t> </w:t>
      </w:r>
      <w:r>
        <w:rPr>
          <w:w w:val="110"/>
        </w:rPr>
        <w:t>sin</w:t>
      </w:r>
      <w:r>
        <w:rPr>
          <w:spacing w:val="-12"/>
          <w:w w:val="110"/>
        </w:rPr>
        <w:t> </w:t>
      </w:r>
      <w:r>
        <w:rPr>
          <w:w w:val="110"/>
        </w:rPr>
        <w:t>ofrecer</w:t>
      </w:r>
      <w:r>
        <w:rPr>
          <w:spacing w:val="-12"/>
          <w:w w:val="110"/>
        </w:rPr>
        <w:t> </w:t>
      </w:r>
      <w:r>
        <w:rPr>
          <w:w w:val="110"/>
        </w:rPr>
        <w:t>otras</w:t>
      </w:r>
      <w:r>
        <w:rPr>
          <w:spacing w:val="-12"/>
          <w:w w:val="110"/>
        </w:rPr>
        <w:t> </w:t>
      </w:r>
      <w:r>
        <w:rPr>
          <w:w w:val="110"/>
        </w:rPr>
        <w:t>perspecti- </w:t>
      </w:r>
      <w:r>
        <w:rPr>
          <w:w w:val="115"/>
        </w:rPr>
        <w:t>vas</w:t>
      </w:r>
      <w:r>
        <w:rPr>
          <w:spacing w:val="-25"/>
          <w:w w:val="115"/>
        </w:rPr>
        <w:t> </w:t>
      </w:r>
      <w:r>
        <w:rPr>
          <w:w w:val="115"/>
        </w:rPr>
        <w:t>“vitales”</w:t>
      </w:r>
      <w:r>
        <w:rPr>
          <w:spacing w:val="-25"/>
          <w:w w:val="115"/>
        </w:rPr>
        <w:t> </w:t>
      </w:r>
      <w:r>
        <w:rPr>
          <w:w w:val="115"/>
        </w:rPr>
        <w:t>que</w:t>
      </w:r>
      <w:r>
        <w:rPr>
          <w:spacing w:val="-25"/>
          <w:w w:val="115"/>
        </w:rPr>
        <w:t> </w:t>
      </w:r>
      <w:r>
        <w:rPr>
          <w:w w:val="115"/>
        </w:rPr>
        <w:t>la</w:t>
      </w:r>
      <w:r>
        <w:rPr>
          <w:spacing w:val="-25"/>
          <w:w w:val="115"/>
        </w:rPr>
        <w:t> </w:t>
      </w:r>
      <w:r>
        <w:rPr>
          <w:w w:val="115"/>
        </w:rPr>
        <w:t>“reproducción</w:t>
      </w:r>
      <w:r>
        <w:rPr>
          <w:spacing w:val="-25"/>
          <w:w w:val="115"/>
        </w:rPr>
        <w:t> </w:t>
      </w:r>
      <w:r>
        <w:rPr>
          <w:w w:val="115"/>
        </w:rPr>
        <w:t>mediante</w:t>
      </w:r>
      <w:r>
        <w:rPr>
          <w:spacing w:val="-25"/>
          <w:w w:val="115"/>
        </w:rPr>
        <w:t> </w:t>
      </w:r>
      <w:r>
        <w:rPr>
          <w:w w:val="115"/>
        </w:rPr>
        <w:t>la</w:t>
      </w:r>
      <w:r>
        <w:rPr>
          <w:spacing w:val="-25"/>
          <w:w w:val="115"/>
        </w:rPr>
        <w:t> </w:t>
      </w:r>
      <w:r>
        <w:rPr>
          <w:w w:val="115"/>
        </w:rPr>
        <w:t>destrucción”</w:t>
      </w:r>
      <w:r>
        <w:rPr>
          <w:spacing w:val="-25"/>
          <w:w w:val="115"/>
        </w:rPr>
        <w:t> </w:t>
      </w:r>
      <w:r>
        <w:rPr>
          <w:w w:val="115"/>
        </w:rPr>
        <w:t>cíclica</w:t>
      </w:r>
      <w:r>
        <w:rPr>
          <w:spacing w:val="-25"/>
          <w:w w:val="115"/>
        </w:rPr>
        <w:t> </w:t>
      </w:r>
      <w:r>
        <w:rPr>
          <w:w w:val="115"/>
        </w:rPr>
        <w:t>del armamento</w:t>
      </w:r>
      <w:r>
        <w:rPr>
          <w:spacing w:val="-19"/>
          <w:w w:val="115"/>
        </w:rPr>
        <w:t> </w:t>
      </w:r>
      <w:r>
        <w:rPr>
          <w:w w:val="115"/>
        </w:rPr>
        <w:t>cada</w:t>
      </w:r>
      <w:r>
        <w:rPr>
          <w:spacing w:val="-19"/>
          <w:w w:val="115"/>
        </w:rPr>
        <w:t> </w:t>
      </w:r>
      <w:r>
        <w:rPr>
          <w:w w:val="115"/>
        </w:rPr>
        <w:t>vez</w:t>
      </w:r>
      <w:r>
        <w:rPr>
          <w:spacing w:val="-19"/>
          <w:w w:val="115"/>
        </w:rPr>
        <w:t> </w:t>
      </w:r>
      <w:r>
        <w:rPr>
          <w:w w:val="115"/>
        </w:rPr>
        <w:t>más</w:t>
      </w:r>
      <w:r>
        <w:rPr>
          <w:spacing w:val="-19"/>
          <w:w w:val="115"/>
        </w:rPr>
        <w:t> </w:t>
      </w:r>
      <w:r>
        <w:rPr>
          <w:w w:val="115"/>
        </w:rPr>
        <w:t>sofisticado</w:t>
      </w:r>
      <w:r>
        <w:rPr>
          <w:spacing w:val="-19"/>
          <w:w w:val="115"/>
        </w:rPr>
        <w:t> </w:t>
      </w:r>
      <w:r>
        <w:rPr>
          <w:spacing w:val="-11"/>
          <w:w w:val="115"/>
        </w:rPr>
        <w:t>y,</w:t>
      </w:r>
      <w:r>
        <w:rPr>
          <w:spacing w:val="-19"/>
          <w:w w:val="115"/>
        </w:rPr>
        <w:t> </w:t>
      </w:r>
      <w:r>
        <w:rPr>
          <w:w w:val="115"/>
        </w:rPr>
        <w:t>por</w:t>
      </w:r>
      <w:r>
        <w:rPr>
          <w:spacing w:val="-19"/>
          <w:w w:val="115"/>
        </w:rPr>
        <w:t> </w:t>
      </w:r>
      <w:r>
        <w:rPr>
          <w:w w:val="115"/>
        </w:rPr>
        <w:t>tanto,</w:t>
      </w:r>
      <w:r>
        <w:rPr>
          <w:spacing w:val="-19"/>
          <w:w w:val="115"/>
        </w:rPr>
        <w:t> </w:t>
      </w:r>
      <w:r>
        <w:rPr>
          <w:w w:val="115"/>
        </w:rPr>
        <w:t>más</w:t>
      </w:r>
      <w:r>
        <w:rPr>
          <w:spacing w:val="-19"/>
          <w:w w:val="115"/>
        </w:rPr>
        <w:t> </w:t>
      </w:r>
      <w:r>
        <w:rPr>
          <w:w w:val="115"/>
        </w:rPr>
        <w:t>oneroso.</w:t>
      </w:r>
    </w:p>
    <w:p>
      <w:pPr>
        <w:pStyle w:val="BodyText"/>
        <w:spacing w:line="252" w:lineRule="auto"/>
        <w:ind w:left="100" w:right="328" w:firstLine="396"/>
        <w:jc w:val="both"/>
      </w:pPr>
      <w:r>
        <w:rPr>
          <w:w w:val="110"/>
        </w:rPr>
        <w:t>a diferencia de la tropa, estas armas son de uso único, no con- sumen, no necesitan de mantenimiento ni reparaciones… no requie- ren de tratamiento médico, ni pensiones por invalidez, ni reclaman    la ciudadanía norteamericana por haber servido de </w:t>
      </w:r>
      <w:r>
        <w:rPr>
          <w:i/>
          <w:w w:val="110"/>
        </w:rPr>
        <w:t>carne de cañón </w:t>
      </w:r>
      <w:r>
        <w:rPr>
          <w:i/>
          <w:w w:val="110"/>
        </w:rPr>
        <w:t>extranjera </w:t>
      </w:r>
      <w:r>
        <w:rPr>
          <w:w w:val="110"/>
        </w:rPr>
        <w:t>a los intereses del imperio. He allí su eufemística razón de máximo </w:t>
      </w:r>
      <w:r>
        <w:rPr>
          <w:spacing w:val="19"/>
          <w:w w:val="110"/>
        </w:rPr>
        <w:t> </w:t>
      </w:r>
      <w:r>
        <w:rPr>
          <w:w w:val="110"/>
        </w:rPr>
        <w:t>“humanismo”.</w:t>
      </w:r>
    </w:p>
    <w:p>
      <w:pPr>
        <w:pStyle w:val="BodyText"/>
        <w:spacing w:line="252" w:lineRule="auto"/>
        <w:ind w:left="100" w:right="328" w:firstLine="396"/>
        <w:jc w:val="both"/>
      </w:pPr>
      <w:r>
        <w:rPr>
          <w:w w:val="110"/>
        </w:rPr>
        <w:t>tras seis años de presidencia, la visión  de  cambio  proclamada por obama en su campaña electoral para la esfera científico-tecnoló- gica sufrió en los hechos un considerable retroceso, con excepción de lo relacionado con el CMi. En discurso sobre el Estado de la unión (obama, 2011), anterior al nuevo período de reelección, él recono- cería explícitamente el deplorable estado acontecido en tres esferas fundamentales para el desempeño por EE.uu. de su liderazgo a fu-</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turo, como son la educación, ciencia y tecnología, e infraestructura. también expresaría su disposición a retomar el auge, restaurando a “las clases medias”.</w:t>
      </w:r>
    </w:p>
    <w:p>
      <w:pPr>
        <w:pStyle w:val="BodyText"/>
        <w:spacing w:line="252" w:lineRule="auto"/>
        <w:ind w:left="330" w:right="115" w:firstLine="396"/>
        <w:jc w:val="both"/>
      </w:pPr>
      <w:r>
        <w:rPr>
          <w:w w:val="115"/>
        </w:rPr>
        <w:t>sin haber resuelto estos cruciales problemas, no obstante, en su discurso ante la graduación de oficiales en West Point, con ram- pante desatino, proclamaría a EE.uu. como el país de los “más in- novativos negocios” (obama, 2014). Evidentemente, se referiría al “negocio del armamentismo y las sempiternas guerras” que había </w:t>
      </w:r>
      <w:r>
        <w:rPr>
          <w:w w:val="110"/>
        </w:rPr>
        <w:t>desatado entretanto.</w:t>
      </w:r>
    </w:p>
    <w:p>
      <w:pPr>
        <w:pStyle w:val="BodyText"/>
        <w:spacing w:line="252" w:lineRule="auto"/>
        <w:ind w:left="330" w:right="115" w:firstLine="396"/>
        <w:jc w:val="both"/>
      </w:pPr>
      <w:r>
        <w:rPr>
          <w:w w:val="115"/>
        </w:rPr>
        <w:t>si bien el autor saludaría la coincidencia “en sus consecuen- cias” entre lo pronosticado por él antes de las elecciones presiden- ciales</w:t>
      </w:r>
      <w:r>
        <w:rPr>
          <w:spacing w:val="-10"/>
          <w:w w:val="115"/>
        </w:rPr>
        <w:t> </w:t>
      </w:r>
      <w:r>
        <w:rPr>
          <w:w w:val="115"/>
        </w:rPr>
        <w:t>(ver</w:t>
      </w:r>
      <w:r>
        <w:rPr>
          <w:spacing w:val="-10"/>
          <w:w w:val="115"/>
        </w:rPr>
        <w:t> </w:t>
      </w:r>
      <w:r>
        <w:rPr>
          <w:w w:val="115"/>
        </w:rPr>
        <w:t>inicio</w:t>
      </w:r>
      <w:r>
        <w:rPr>
          <w:spacing w:val="-10"/>
          <w:w w:val="115"/>
        </w:rPr>
        <w:t> </w:t>
      </w:r>
      <w:r>
        <w:rPr>
          <w:w w:val="115"/>
        </w:rPr>
        <w:t>del</w:t>
      </w:r>
      <w:r>
        <w:rPr>
          <w:spacing w:val="-10"/>
          <w:w w:val="115"/>
        </w:rPr>
        <w:t> </w:t>
      </w:r>
      <w:r>
        <w:rPr>
          <w:w w:val="115"/>
        </w:rPr>
        <w:t>capítulo)</w:t>
      </w:r>
      <w:r>
        <w:rPr>
          <w:spacing w:val="-10"/>
          <w:w w:val="115"/>
        </w:rPr>
        <w:t> </w:t>
      </w:r>
      <w:r>
        <w:rPr>
          <w:w w:val="115"/>
        </w:rPr>
        <w:t>y</w:t>
      </w:r>
      <w:r>
        <w:rPr>
          <w:spacing w:val="-10"/>
          <w:w w:val="115"/>
        </w:rPr>
        <w:t> </w:t>
      </w:r>
      <w:r>
        <w:rPr>
          <w:w w:val="115"/>
        </w:rPr>
        <w:t>el</w:t>
      </w:r>
      <w:r>
        <w:rPr>
          <w:spacing w:val="-10"/>
          <w:w w:val="115"/>
        </w:rPr>
        <w:t> </w:t>
      </w:r>
      <w:r>
        <w:rPr>
          <w:w w:val="115"/>
        </w:rPr>
        <w:t>análisis</w:t>
      </w:r>
      <w:r>
        <w:rPr>
          <w:spacing w:val="-10"/>
          <w:w w:val="115"/>
        </w:rPr>
        <w:t> </w:t>
      </w:r>
      <w:r>
        <w:rPr>
          <w:w w:val="115"/>
        </w:rPr>
        <w:t>del</w:t>
      </w:r>
      <w:r>
        <w:rPr>
          <w:spacing w:val="-10"/>
          <w:w w:val="115"/>
        </w:rPr>
        <w:t> </w:t>
      </w:r>
      <w:r>
        <w:rPr>
          <w:w w:val="115"/>
        </w:rPr>
        <w:t>presidente</w:t>
      </w:r>
      <w:r>
        <w:rPr>
          <w:spacing w:val="-10"/>
          <w:w w:val="115"/>
        </w:rPr>
        <w:t> </w:t>
      </w:r>
      <w:r>
        <w:rPr>
          <w:w w:val="115"/>
        </w:rPr>
        <w:t>en</w:t>
      </w:r>
      <w:r>
        <w:rPr>
          <w:spacing w:val="-10"/>
          <w:w w:val="115"/>
        </w:rPr>
        <w:t> </w:t>
      </w:r>
      <w:r>
        <w:rPr>
          <w:w w:val="115"/>
        </w:rPr>
        <w:t>materia de ciencia y tecnología, no obstante no puede compartir el opti-  mismo de aquél acerca de la capacidad del país de recuperarse en el resto de su administración, con el propósito de impedir un mul- tifacético retroceso hacia un segundo plano mundial, que sí ace- cha ya a EE.uu. –tras el comercio mundial de manufacturas y de  líneas-productos </w:t>
      </w:r>
      <w:r>
        <w:rPr>
          <w:spacing w:val="-3"/>
          <w:w w:val="140"/>
        </w:rPr>
        <w:t>altEC– </w:t>
      </w:r>
      <w:r>
        <w:rPr>
          <w:w w:val="115"/>
        </w:rPr>
        <w:t>consecuentemente también en la esfera de las inversiones </w:t>
      </w:r>
      <w:r>
        <w:rPr>
          <w:spacing w:val="-3"/>
          <w:w w:val="140"/>
        </w:rPr>
        <w:t>altEC </w:t>
      </w:r>
      <w:r>
        <w:rPr>
          <w:w w:val="115"/>
        </w:rPr>
        <w:t>y en el conjunto de indicadores absolutos y</w:t>
      </w:r>
      <w:r>
        <w:rPr>
          <w:spacing w:val="-13"/>
          <w:w w:val="115"/>
        </w:rPr>
        <w:t> </w:t>
      </w:r>
      <w:r>
        <w:rPr>
          <w:w w:val="115"/>
        </w:rPr>
        <w:t>relativos</w:t>
      </w:r>
      <w:r>
        <w:rPr>
          <w:spacing w:val="-13"/>
          <w:w w:val="115"/>
        </w:rPr>
        <w:t> </w:t>
      </w:r>
      <w:r>
        <w:rPr>
          <w:w w:val="115"/>
        </w:rPr>
        <w:t>de</w:t>
      </w:r>
      <w:r>
        <w:rPr>
          <w:spacing w:val="-13"/>
          <w:w w:val="115"/>
        </w:rPr>
        <w:t> </w:t>
      </w:r>
      <w:r>
        <w:rPr>
          <w:w w:val="115"/>
        </w:rPr>
        <w:t>esta</w:t>
      </w:r>
      <w:r>
        <w:rPr>
          <w:spacing w:val="-13"/>
          <w:w w:val="115"/>
        </w:rPr>
        <w:t> </w:t>
      </w:r>
      <w:r>
        <w:rPr>
          <w:w w:val="115"/>
        </w:rPr>
        <w:t>esfera.</w:t>
      </w:r>
    </w:p>
    <w:p>
      <w:pPr>
        <w:pStyle w:val="BodyText"/>
        <w:spacing w:line="252" w:lineRule="auto"/>
        <w:ind w:left="330" w:right="118" w:firstLine="396"/>
        <w:jc w:val="both"/>
      </w:pPr>
      <w:r>
        <w:rPr>
          <w:w w:val="115"/>
        </w:rPr>
        <w:t>abordándolo como si tratara de un asunto coyuntural, el pre- sidente subvalora los aspectos </w:t>
      </w:r>
      <w:r>
        <w:rPr>
          <w:i/>
          <w:w w:val="115"/>
        </w:rPr>
        <w:t>cuasi </w:t>
      </w:r>
      <w:r>
        <w:rPr>
          <w:w w:val="115"/>
        </w:rPr>
        <w:t>irreversibles de esencia sis- témico-estructural que marcan la crisis del modelo reproductivo norteamericano, tanto en el plano de la deteriorada </w:t>
      </w:r>
      <w:r>
        <w:rPr>
          <w:i/>
          <w:w w:val="115"/>
        </w:rPr>
        <w:t>masa crítica </w:t>
      </w:r>
      <w:r>
        <w:rPr>
          <w:w w:val="115"/>
        </w:rPr>
        <w:t>en ciencia-tecnología-innovación,</w:t>
      </w:r>
      <w:r>
        <w:rPr>
          <w:spacing w:val="-8"/>
          <w:w w:val="115"/>
        </w:rPr>
        <w:t> </w:t>
      </w:r>
      <w:r>
        <w:rPr>
          <w:w w:val="115"/>
        </w:rPr>
        <w:t>en</w:t>
      </w:r>
      <w:r>
        <w:rPr>
          <w:spacing w:val="-8"/>
          <w:w w:val="115"/>
        </w:rPr>
        <w:t> </w:t>
      </w:r>
      <w:r>
        <w:rPr>
          <w:w w:val="115"/>
        </w:rPr>
        <w:t>los</w:t>
      </w:r>
      <w:r>
        <w:rPr>
          <w:spacing w:val="-8"/>
          <w:w w:val="115"/>
        </w:rPr>
        <w:t> </w:t>
      </w:r>
      <w:r>
        <w:rPr>
          <w:w w:val="115"/>
        </w:rPr>
        <w:t>mismos</w:t>
      </w:r>
      <w:r>
        <w:rPr>
          <w:spacing w:val="-8"/>
          <w:w w:val="115"/>
        </w:rPr>
        <w:t> </w:t>
      </w:r>
      <w:r>
        <w:rPr>
          <w:w w:val="115"/>
        </w:rPr>
        <w:t>cimientos</w:t>
      </w:r>
      <w:r>
        <w:rPr>
          <w:spacing w:val="-8"/>
          <w:w w:val="115"/>
        </w:rPr>
        <w:t> </w:t>
      </w:r>
      <w:r>
        <w:rPr>
          <w:w w:val="115"/>
        </w:rPr>
        <w:t>de</w:t>
      </w:r>
      <w:r>
        <w:rPr>
          <w:spacing w:val="-8"/>
          <w:w w:val="115"/>
        </w:rPr>
        <w:t> </w:t>
      </w:r>
      <w:r>
        <w:rPr>
          <w:w w:val="115"/>
        </w:rPr>
        <w:t>sus</w:t>
      </w:r>
      <w:r>
        <w:rPr>
          <w:spacing w:val="-8"/>
          <w:w w:val="115"/>
        </w:rPr>
        <w:t> </w:t>
      </w:r>
      <w:r>
        <w:rPr>
          <w:spacing w:val="-3"/>
          <w:w w:val="115"/>
        </w:rPr>
        <w:t>fuer- </w:t>
      </w:r>
      <w:r>
        <w:rPr>
          <w:w w:val="115"/>
        </w:rPr>
        <w:t>zas</w:t>
      </w:r>
      <w:r>
        <w:rPr>
          <w:spacing w:val="-14"/>
          <w:w w:val="115"/>
        </w:rPr>
        <w:t> </w:t>
      </w:r>
      <w:r>
        <w:rPr>
          <w:w w:val="115"/>
        </w:rPr>
        <w:t>productivas,</w:t>
      </w:r>
      <w:r>
        <w:rPr>
          <w:spacing w:val="-14"/>
          <w:w w:val="115"/>
        </w:rPr>
        <w:t> </w:t>
      </w:r>
      <w:r>
        <w:rPr>
          <w:w w:val="115"/>
        </w:rPr>
        <w:t>como</w:t>
      </w:r>
      <w:r>
        <w:rPr>
          <w:spacing w:val="-14"/>
          <w:w w:val="115"/>
        </w:rPr>
        <w:t> </w:t>
      </w:r>
      <w:r>
        <w:rPr>
          <w:w w:val="115"/>
        </w:rPr>
        <w:t>en</w:t>
      </w:r>
      <w:r>
        <w:rPr>
          <w:spacing w:val="-14"/>
          <w:w w:val="115"/>
        </w:rPr>
        <w:t> </w:t>
      </w:r>
      <w:r>
        <w:rPr>
          <w:w w:val="115"/>
        </w:rPr>
        <w:t>el</w:t>
      </w:r>
      <w:r>
        <w:rPr>
          <w:spacing w:val="-14"/>
          <w:w w:val="115"/>
        </w:rPr>
        <w:t> </w:t>
      </w:r>
      <w:r>
        <w:rPr>
          <w:w w:val="115"/>
        </w:rPr>
        <w:t>de</w:t>
      </w:r>
      <w:r>
        <w:rPr>
          <w:spacing w:val="-14"/>
          <w:w w:val="115"/>
        </w:rPr>
        <w:t> </w:t>
      </w:r>
      <w:r>
        <w:rPr>
          <w:w w:val="115"/>
        </w:rPr>
        <w:t>la</w:t>
      </w:r>
      <w:r>
        <w:rPr>
          <w:spacing w:val="-14"/>
          <w:w w:val="115"/>
        </w:rPr>
        <w:t> </w:t>
      </w:r>
      <w:r>
        <w:rPr>
          <w:w w:val="115"/>
        </w:rPr>
        <w:t>compleja</w:t>
      </w:r>
      <w:r>
        <w:rPr>
          <w:spacing w:val="-14"/>
          <w:w w:val="115"/>
        </w:rPr>
        <w:t> </w:t>
      </w:r>
      <w:r>
        <w:rPr>
          <w:w w:val="115"/>
        </w:rPr>
        <w:t>arena</w:t>
      </w:r>
      <w:r>
        <w:rPr>
          <w:spacing w:val="-14"/>
          <w:w w:val="115"/>
        </w:rPr>
        <w:t> </w:t>
      </w:r>
      <w:r>
        <w:rPr>
          <w:w w:val="115"/>
        </w:rPr>
        <w:t>económica</w:t>
      </w:r>
      <w:r>
        <w:rPr>
          <w:spacing w:val="-14"/>
          <w:w w:val="115"/>
        </w:rPr>
        <w:t> </w:t>
      </w:r>
      <w:r>
        <w:rPr>
          <w:w w:val="115"/>
        </w:rPr>
        <w:t>interna- cional en pujante proceso de reconfiguración a favor de nuevas po- tencias y agrupaciones integracionistas emergentes (briCs, aPEC, aEa, CElaC, entre otros). ambos aspectos, según afirma este </w:t>
      </w:r>
      <w:r>
        <w:rPr>
          <w:spacing w:val="-4"/>
          <w:w w:val="115"/>
        </w:rPr>
        <w:t>autor, </w:t>
      </w:r>
      <w:r>
        <w:rPr>
          <w:w w:val="115"/>
        </w:rPr>
        <w:t>disociadores</w:t>
      </w:r>
      <w:r>
        <w:rPr>
          <w:spacing w:val="-24"/>
          <w:w w:val="115"/>
        </w:rPr>
        <w:t> </w:t>
      </w:r>
      <w:r>
        <w:rPr>
          <w:w w:val="115"/>
        </w:rPr>
        <w:t>de</w:t>
      </w:r>
      <w:r>
        <w:rPr>
          <w:spacing w:val="-24"/>
          <w:w w:val="115"/>
        </w:rPr>
        <w:t> </w:t>
      </w:r>
      <w:r>
        <w:rPr>
          <w:w w:val="115"/>
        </w:rPr>
        <w:t>la</w:t>
      </w:r>
      <w:r>
        <w:rPr>
          <w:spacing w:val="-24"/>
          <w:w w:val="115"/>
        </w:rPr>
        <w:t> </w:t>
      </w:r>
      <w:r>
        <w:rPr>
          <w:w w:val="115"/>
        </w:rPr>
        <w:t>“lógica”</w:t>
      </w:r>
      <w:r>
        <w:rPr>
          <w:spacing w:val="-24"/>
          <w:w w:val="115"/>
        </w:rPr>
        <w:t> </w:t>
      </w:r>
      <w:r>
        <w:rPr>
          <w:w w:val="115"/>
        </w:rPr>
        <w:t>del</w:t>
      </w:r>
      <w:r>
        <w:rPr>
          <w:spacing w:val="-24"/>
          <w:w w:val="115"/>
        </w:rPr>
        <w:t> </w:t>
      </w:r>
      <w:r>
        <w:rPr>
          <w:w w:val="115"/>
        </w:rPr>
        <w:t>capital</w:t>
      </w:r>
      <w:r>
        <w:rPr>
          <w:spacing w:val="-24"/>
          <w:w w:val="115"/>
        </w:rPr>
        <w:t> </w:t>
      </w:r>
      <w:r>
        <w:rPr>
          <w:w w:val="115"/>
        </w:rPr>
        <w:t>norteamericano</w:t>
      </w:r>
      <w:r>
        <w:rPr>
          <w:spacing w:val="-24"/>
          <w:w w:val="115"/>
        </w:rPr>
        <w:t> </w:t>
      </w:r>
      <w:r>
        <w:rPr>
          <w:w w:val="115"/>
        </w:rPr>
        <w:t>en</w:t>
      </w:r>
      <w:r>
        <w:rPr>
          <w:spacing w:val="-24"/>
          <w:w w:val="115"/>
        </w:rPr>
        <w:t> </w:t>
      </w:r>
      <w:r>
        <w:rPr>
          <w:w w:val="115"/>
        </w:rPr>
        <w:t>su</w:t>
      </w:r>
      <w:r>
        <w:rPr>
          <w:spacing w:val="-24"/>
          <w:w w:val="115"/>
        </w:rPr>
        <w:t> </w:t>
      </w:r>
      <w:r>
        <w:rPr>
          <w:w w:val="115"/>
        </w:rPr>
        <w:t>metrópo- li,</w:t>
      </w:r>
      <w:r>
        <w:rPr>
          <w:spacing w:val="-14"/>
          <w:w w:val="115"/>
        </w:rPr>
        <w:t> </w:t>
      </w:r>
      <w:r>
        <w:rPr>
          <w:w w:val="115"/>
        </w:rPr>
        <w:t>para</w:t>
      </w:r>
      <w:r>
        <w:rPr>
          <w:spacing w:val="-14"/>
          <w:w w:val="115"/>
        </w:rPr>
        <w:t> </w:t>
      </w:r>
      <w:r>
        <w:rPr>
          <w:w w:val="115"/>
        </w:rPr>
        <w:t>más</w:t>
      </w:r>
      <w:r>
        <w:rPr>
          <w:spacing w:val="-14"/>
          <w:w w:val="115"/>
        </w:rPr>
        <w:t> </w:t>
      </w:r>
      <w:r>
        <w:rPr>
          <w:w w:val="115"/>
        </w:rPr>
        <w:t>allá</w:t>
      </w:r>
      <w:r>
        <w:rPr>
          <w:spacing w:val="-14"/>
          <w:w w:val="115"/>
        </w:rPr>
        <w:t> </w:t>
      </w:r>
      <w:r>
        <w:rPr>
          <w:w w:val="115"/>
        </w:rPr>
        <w:t>del</w:t>
      </w:r>
      <w:r>
        <w:rPr>
          <w:spacing w:val="-14"/>
          <w:w w:val="115"/>
        </w:rPr>
        <w:t> </w:t>
      </w:r>
      <w:r>
        <w:rPr>
          <w:w w:val="115"/>
        </w:rPr>
        <w:t>mediano-largo</w:t>
      </w:r>
      <w:r>
        <w:rPr>
          <w:spacing w:val="-14"/>
          <w:w w:val="115"/>
        </w:rPr>
        <w:t> </w:t>
      </w:r>
      <w:r>
        <w:rPr>
          <w:w w:val="115"/>
        </w:rPr>
        <w:t>plazo.</w:t>
      </w:r>
    </w:p>
    <w:p>
      <w:pPr>
        <w:pStyle w:val="BodyText"/>
        <w:spacing w:line="252" w:lineRule="auto"/>
        <w:ind w:left="330" w:right="117" w:firstLine="396"/>
        <w:jc w:val="both"/>
      </w:pPr>
      <w:r>
        <w:rPr>
          <w:w w:val="110"/>
        </w:rPr>
        <w:t>brillan por su ausencia visiones estratégicas de reinserción </w:t>
      </w:r>
      <w:r>
        <w:rPr>
          <w:spacing w:val="-3"/>
          <w:w w:val="110"/>
        </w:rPr>
        <w:t>alter- </w:t>
      </w:r>
      <w:r>
        <w:rPr>
          <w:w w:val="110"/>
        </w:rPr>
        <w:t>nativa en el sistema-mundo, consecuentes con los inicialmente enun- ciados principios de convivencia y cooperación multipolar de cara al desarrollo humano sostenible y planetario, incorporando mancomu- nadamente lo más avanzado del conocimiento, acorde con los dere- chos del Hombre y las Naciones, proclamados por la Carta de la oNu. Con sus multifacéticas y continuadas agresiones, la administración   de obama reafirma el curso de guerrerismo permanente impuesto por el CMi a sus antecesores, secuestra las potencialidades socio-econó- micas y de creatividad científico-tecnológica de la nación, y empuja peligrosamente a la humanidad al borde de su existencia </w:t>
      </w:r>
      <w:r>
        <w:rPr>
          <w:spacing w:val="-11"/>
          <w:w w:val="110"/>
        </w:rPr>
        <w:t>y, </w:t>
      </w:r>
      <w:r>
        <w:rPr>
          <w:w w:val="110"/>
        </w:rPr>
        <w:t>al planeta, de la</w:t>
      </w:r>
      <w:r>
        <w:rPr>
          <w:spacing w:val="19"/>
          <w:w w:val="110"/>
        </w:rPr>
        <w:t> </w:t>
      </w:r>
      <w:r>
        <w:rPr>
          <w:w w:val="110"/>
        </w:rPr>
        <w:t>vida.</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7" w:firstLine="396"/>
        <w:jc w:val="both"/>
      </w:pPr>
      <w:r>
        <w:rPr>
          <w:w w:val="115"/>
        </w:rPr>
        <w:t>Con</w:t>
      </w:r>
      <w:r>
        <w:rPr>
          <w:spacing w:val="12"/>
        </w:rPr>
        <w:t> </w:t>
      </w:r>
      <w:r>
        <w:rPr>
          <w:w w:val="110"/>
        </w:rPr>
        <w:t>relación</w:t>
      </w:r>
      <w:r>
        <w:rPr>
          <w:spacing w:val="12"/>
        </w:rPr>
        <w:t> </w:t>
      </w:r>
      <w:r>
        <w:rPr>
          <w:w w:val="112"/>
        </w:rPr>
        <w:t>a</w:t>
      </w:r>
      <w:r>
        <w:rPr>
          <w:spacing w:val="12"/>
        </w:rPr>
        <w:t> </w:t>
      </w:r>
      <w:r>
        <w:rPr>
          <w:w w:val="111"/>
        </w:rPr>
        <w:t>la</w:t>
      </w:r>
      <w:r>
        <w:rPr>
          <w:spacing w:val="12"/>
        </w:rPr>
        <w:t> </w:t>
      </w:r>
      <w:r>
        <w:rPr>
          <w:w w:val="110"/>
        </w:rPr>
        <w:t>cooperación</w:t>
      </w:r>
      <w:r>
        <w:rPr>
          <w:spacing w:val="12"/>
        </w:rPr>
        <w:t> </w:t>
      </w:r>
      <w:r>
        <w:rPr>
          <w:w w:val="112"/>
        </w:rPr>
        <w:t>con</w:t>
      </w:r>
      <w:r>
        <w:rPr>
          <w:spacing w:val="15"/>
        </w:rPr>
        <w:t> </w:t>
      </w:r>
      <w:r>
        <w:rPr>
          <w:w w:val="139"/>
        </w:rPr>
        <w:t>a</w:t>
      </w:r>
      <w:r>
        <w:rPr>
          <w:w w:val="111"/>
        </w:rPr>
        <w:t>mérica</w:t>
      </w:r>
      <w:r>
        <w:rPr>
          <w:spacing w:val="12"/>
        </w:rPr>
        <w:t> </w:t>
      </w:r>
      <w:r>
        <w:rPr>
          <w:w w:val="243"/>
        </w:rPr>
        <w:t>l</w:t>
      </w:r>
      <w:r>
        <w:rPr>
          <w:w w:val="111"/>
        </w:rPr>
        <w:t>atina</w:t>
      </w:r>
      <w:r>
        <w:rPr>
          <w:spacing w:val="12"/>
        </w:rPr>
        <w:t> </w:t>
      </w:r>
      <w:r>
        <w:rPr>
          <w:w w:val="105"/>
        </w:rPr>
        <w:t>y</w:t>
      </w:r>
      <w:r>
        <w:rPr>
          <w:spacing w:val="12"/>
        </w:rPr>
        <w:t> </w:t>
      </w:r>
      <w:r>
        <w:rPr>
          <w:w w:val="107"/>
        </w:rPr>
        <w:t>el</w:t>
      </w:r>
      <w:r>
        <w:rPr>
          <w:spacing w:val="12"/>
        </w:rPr>
        <w:t> </w:t>
      </w:r>
      <w:r>
        <w:rPr>
          <w:w w:val="114"/>
        </w:rPr>
        <w:t>Caribe,</w:t>
      </w:r>
      <w:r>
        <w:rPr>
          <w:spacing w:val="12"/>
        </w:rPr>
        <w:t> </w:t>
      </w:r>
      <w:r>
        <w:rPr>
          <w:w w:val="108"/>
        </w:rPr>
        <w:t>en </w:t>
      </w:r>
      <w:r>
        <w:rPr>
          <w:w w:val="115"/>
        </w:rPr>
        <w:t>mensaje</w:t>
      </w:r>
      <w:r>
        <w:rPr>
          <w:spacing w:val="-6"/>
          <w:w w:val="115"/>
        </w:rPr>
        <w:t> </w:t>
      </w:r>
      <w:r>
        <w:rPr>
          <w:w w:val="115"/>
        </w:rPr>
        <w:t>de</w:t>
      </w:r>
      <w:r>
        <w:rPr>
          <w:spacing w:val="-6"/>
          <w:w w:val="115"/>
        </w:rPr>
        <w:t> </w:t>
      </w:r>
      <w:r>
        <w:rPr>
          <w:w w:val="115"/>
        </w:rPr>
        <w:t>obama</w:t>
      </w:r>
      <w:r>
        <w:rPr>
          <w:spacing w:val="-6"/>
          <w:w w:val="115"/>
        </w:rPr>
        <w:t> </w:t>
      </w:r>
      <w:r>
        <w:rPr>
          <w:w w:val="115"/>
        </w:rPr>
        <w:t>a</w:t>
      </w:r>
      <w:r>
        <w:rPr>
          <w:spacing w:val="-6"/>
          <w:w w:val="115"/>
        </w:rPr>
        <w:t> </w:t>
      </w:r>
      <w:r>
        <w:rPr>
          <w:w w:val="115"/>
        </w:rPr>
        <w:t>la</w:t>
      </w:r>
      <w:r>
        <w:rPr>
          <w:spacing w:val="-7"/>
          <w:w w:val="115"/>
        </w:rPr>
        <w:t> </w:t>
      </w:r>
      <w:r>
        <w:rPr>
          <w:i/>
          <w:w w:val="115"/>
        </w:rPr>
        <w:t>Cumbre</w:t>
      </w:r>
      <w:r>
        <w:rPr>
          <w:i/>
          <w:spacing w:val="-6"/>
          <w:w w:val="115"/>
        </w:rPr>
        <w:t> </w:t>
      </w:r>
      <w:r>
        <w:rPr>
          <w:i/>
          <w:w w:val="115"/>
        </w:rPr>
        <w:t>de</w:t>
      </w:r>
      <w:r>
        <w:rPr>
          <w:i/>
          <w:spacing w:val="-6"/>
          <w:w w:val="115"/>
        </w:rPr>
        <w:t> </w:t>
      </w:r>
      <w:r>
        <w:rPr>
          <w:i/>
          <w:w w:val="115"/>
        </w:rPr>
        <w:t>las</w:t>
      </w:r>
      <w:r>
        <w:rPr>
          <w:i/>
          <w:spacing w:val="-6"/>
          <w:w w:val="115"/>
        </w:rPr>
        <w:t> </w:t>
      </w:r>
      <w:r>
        <w:rPr>
          <w:i/>
          <w:w w:val="115"/>
        </w:rPr>
        <w:t>Américas</w:t>
      </w:r>
      <w:r>
        <w:rPr>
          <w:i/>
          <w:spacing w:val="-6"/>
          <w:w w:val="115"/>
        </w:rPr>
        <w:t> </w:t>
      </w:r>
      <w:r>
        <w:rPr>
          <w:i/>
          <w:w w:val="115"/>
        </w:rPr>
        <w:t>en</w:t>
      </w:r>
      <w:r>
        <w:rPr>
          <w:i/>
          <w:spacing w:val="-6"/>
          <w:w w:val="115"/>
        </w:rPr>
        <w:t> </w:t>
      </w:r>
      <w:r>
        <w:rPr>
          <w:i/>
          <w:spacing w:val="-3"/>
          <w:w w:val="115"/>
        </w:rPr>
        <w:t>Trinidad</w:t>
      </w:r>
      <w:r>
        <w:rPr>
          <w:i/>
          <w:spacing w:val="-6"/>
          <w:w w:val="115"/>
        </w:rPr>
        <w:t> </w:t>
      </w:r>
      <w:r>
        <w:rPr>
          <w:i/>
          <w:w w:val="115"/>
        </w:rPr>
        <w:t>y</w:t>
      </w:r>
      <w:r>
        <w:rPr>
          <w:i/>
          <w:spacing w:val="-6"/>
          <w:w w:val="115"/>
        </w:rPr>
        <w:t> </w:t>
      </w:r>
      <w:r>
        <w:rPr>
          <w:i/>
          <w:spacing w:val="-4"/>
          <w:w w:val="115"/>
        </w:rPr>
        <w:t>Tobago</w:t>
      </w:r>
      <w:r>
        <w:rPr>
          <w:spacing w:val="-4"/>
          <w:w w:val="115"/>
        </w:rPr>
        <w:t>, </w:t>
      </w:r>
      <w:r>
        <w:rPr>
          <w:w w:val="115"/>
        </w:rPr>
        <w:t>respecto al ámbito del conocimiento, emitió el deseo de “crear una alianza</w:t>
      </w:r>
      <w:r>
        <w:rPr>
          <w:spacing w:val="-4"/>
          <w:w w:val="115"/>
        </w:rPr>
        <w:t> </w:t>
      </w:r>
      <w:r>
        <w:rPr>
          <w:w w:val="115"/>
        </w:rPr>
        <w:t>de</w:t>
      </w:r>
      <w:r>
        <w:rPr>
          <w:spacing w:val="-4"/>
          <w:w w:val="115"/>
        </w:rPr>
        <w:t> </w:t>
      </w:r>
      <w:r>
        <w:rPr>
          <w:w w:val="115"/>
        </w:rPr>
        <w:t>las</w:t>
      </w:r>
      <w:r>
        <w:rPr>
          <w:spacing w:val="-4"/>
          <w:w w:val="115"/>
        </w:rPr>
        <w:t> </w:t>
      </w:r>
      <w:r>
        <w:rPr>
          <w:w w:val="115"/>
        </w:rPr>
        <w:t>américas</w:t>
      </w:r>
      <w:r>
        <w:rPr>
          <w:spacing w:val="-4"/>
          <w:w w:val="115"/>
        </w:rPr>
        <w:t> </w:t>
      </w:r>
      <w:r>
        <w:rPr>
          <w:w w:val="115"/>
        </w:rPr>
        <w:t>para</w:t>
      </w:r>
      <w:r>
        <w:rPr>
          <w:spacing w:val="-4"/>
          <w:w w:val="115"/>
        </w:rPr>
        <w:t> </w:t>
      </w:r>
      <w:r>
        <w:rPr>
          <w:w w:val="115"/>
        </w:rPr>
        <w:t>la</w:t>
      </w:r>
      <w:r>
        <w:rPr>
          <w:spacing w:val="-4"/>
          <w:w w:val="115"/>
        </w:rPr>
        <w:t> </w:t>
      </w:r>
      <w:r>
        <w:rPr>
          <w:w w:val="115"/>
        </w:rPr>
        <w:t>Energía</w:t>
      </w:r>
      <w:r>
        <w:rPr>
          <w:spacing w:val="-4"/>
          <w:w w:val="115"/>
        </w:rPr>
        <w:t> </w:t>
      </w:r>
      <w:r>
        <w:rPr>
          <w:w w:val="115"/>
        </w:rPr>
        <w:t>y</w:t>
      </w:r>
      <w:r>
        <w:rPr>
          <w:spacing w:val="-4"/>
          <w:w w:val="115"/>
        </w:rPr>
        <w:t> </w:t>
      </w:r>
      <w:r>
        <w:rPr>
          <w:w w:val="115"/>
        </w:rPr>
        <w:t>el</w:t>
      </w:r>
      <w:r>
        <w:rPr>
          <w:spacing w:val="-4"/>
          <w:w w:val="115"/>
        </w:rPr>
        <w:t> </w:t>
      </w:r>
      <w:r>
        <w:rPr>
          <w:w w:val="115"/>
        </w:rPr>
        <w:t>Clima</w:t>
      </w:r>
      <w:r>
        <w:rPr>
          <w:spacing w:val="-4"/>
          <w:w w:val="115"/>
        </w:rPr>
        <w:t> </w:t>
      </w:r>
      <w:r>
        <w:rPr>
          <w:w w:val="115"/>
        </w:rPr>
        <w:t>que</w:t>
      </w:r>
      <w:r>
        <w:rPr>
          <w:spacing w:val="-4"/>
          <w:w w:val="115"/>
        </w:rPr>
        <w:t> </w:t>
      </w:r>
      <w:r>
        <w:rPr>
          <w:w w:val="115"/>
        </w:rPr>
        <w:t>nos</w:t>
      </w:r>
      <w:r>
        <w:rPr>
          <w:spacing w:val="-4"/>
          <w:w w:val="115"/>
        </w:rPr>
        <w:t> </w:t>
      </w:r>
      <w:r>
        <w:rPr>
          <w:w w:val="115"/>
        </w:rPr>
        <w:t>ayudara</w:t>
      </w:r>
      <w:r>
        <w:rPr>
          <w:spacing w:val="-4"/>
          <w:w w:val="115"/>
        </w:rPr>
        <w:t> </w:t>
      </w:r>
      <w:r>
        <w:rPr>
          <w:w w:val="115"/>
        </w:rPr>
        <w:t>a aprender</w:t>
      </w:r>
      <w:r>
        <w:rPr>
          <w:spacing w:val="-31"/>
          <w:w w:val="115"/>
        </w:rPr>
        <w:t> </w:t>
      </w:r>
      <w:r>
        <w:rPr>
          <w:w w:val="115"/>
        </w:rPr>
        <w:t>a</w:t>
      </w:r>
      <w:r>
        <w:rPr>
          <w:spacing w:val="-31"/>
          <w:w w:val="115"/>
        </w:rPr>
        <w:t> </w:t>
      </w:r>
      <w:r>
        <w:rPr>
          <w:w w:val="115"/>
        </w:rPr>
        <w:t>unos</w:t>
      </w:r>
      <w:r>
        <w:rPr>
          <w:spacing w:val="-31"/>
          <w:w w:val="115"/>
        </w:rPr>
        <w:t> </w:t>
      </w:r>
      <w:r>
        <w:rPr>
          <w:w w:val="115"/>
        </w:rPr>
        <w:t>de</w:t>
      </w:r>
      <w:r>
        <w:rPr>
          <w:spacing w:val="-31"/>
          <w:w w:val="115"/>
        </w:rPr>
        <w:t> </w:t>
      </w:r>
      <w:r>
        <w:rPr>
          <w:w w:val="115"/>
        </w:rPr>
        <w:t>otros,</w:t>
      </w:r>
      <w:r>
        <w:rPr>
          <w:spacing w:val="-31"/>
          <w:w w:val="115"/>
        </w:rPr>
        <w:t> </w:t>
      </w:r>
      <w:r>
        <w:rPr>
          <w:w w:val="115"/>
        </w:rPr>
        <w:t>compartir</w:t>
      </w:r>
      <w:r>
        <w:rPr>
          <w:spacing w:val="-31"/>
          <w:w w:val="115"/>
        </w:rPr>
        <w:t> </w:t>
      </w:r>
      <w:r>
        <w:rPr>
          <w:w w:val="115"/>
        </w:rPr>
        <w:t>tecnología,</w:t>
      </w:r>
      <w:r>
        <w:rPr>
          <w:spacing w:val="-31"/>
          <w:w w:val="115"/>
        </w:rPr>
        <w:t> </w:t>
      </w:r>
      <w:r>
        <w:rPr>
          <w:w w:val="115"/>
        </w:rPr>
        <w:t>potenciar</w:t>
      </w:r>
      <w:r>
        <w:rPr>
          <w:spacing w:val="-31"/>
          <w:w w:val="115"/>
        </w:rPr>
        <w:t> </w:t>
      </w:r>
      <w:r>
        <w:rPr>
          <w:w w:val="115"/>
        </w:rPr>
        <w:t>la</w:t>
      </w:r>
      <w:r>
        <w:rPr>
          <w:spacing w:val="-31"/>
          <w:w w:val="115"/>
        </w:rPr>
        <w:t> </w:t>
      </w:r>
      <w:r>
        <w:rPr>
          <w:w w:val="115"/>
        </w:rPr>
        <w:t>inversión y</w:t>
      </w:r>
      <w:r>
        <w:rPr>
          <w:spacing w:val="-13"/>
          <w:w w:val="115"/>
        </w:rPr>
        <w:t> </w:t>
      </w:r>
      <w:r>
        <w:rPr>
          <w:w w:val="115"/>
        </w:rPr>
        <w:t>sacar</w:t>
      </w:r>
      <w:r>
        <w:rPr>
          <w:spacing w:val="-13"/>
          <w:w w:val="115"/>
        </w:rPr>
        <w:t> </w:t>
      </w:r>
      <w:r>
        <w:rPr>
          <w:w w:val="115"/>
        </w:rPr>
        <w:t>el</w:t>
      </w:r>
      <w:r>
        <w:rPr>
          <w:spacing w:val="-13"/>
          <w:w w:val="115"/>
        </w:rPr>
        <w:t> </w:t>
      </w:r>
      <w:r>
        <w:rPr>
          <w:w w:val="115"/>
        </w:rPr>
        <w:t>provecho</w:t>
      </w:r>
      <w:r>
        <w:rPr>
          <w:spacing w:val="-13"/>
          <w:w w:val="115"/>
        </w:rPr>
        <w:t> </w:t>
      </w:r>
      <w:r>
        <w:rPr>
          <w:w w:val="115"/>
        </w:rPr>
        <w:t>máximo</w:t>
      </w:r>
      <w:r>
        <w:rPr>
          <w:spacing w:val="-13"/>
          <w:w w:val="115"/>
        </w:rPr>
        <w:t> </w:t>
      </w:r>
      <w:r>
        <w:rPr>
          <w:w w:val="115"/>
        </w:rPr>
        <w:t>a</w:t>
      </w:r>
      <w:r>
        <w:rPr>
          <w:spacing w:val="-13"/>
          <w:w w:val="115"/>
        </w:rPr>
        <w:t> </w:t>
      </w:r>
      <w:r>
        <w:rPr>
          <w:w w:val="115"/>
        </w:rPr>
        <w:t>nuestra</w:t>
      </w:r>
      <w:r>
        <w:rPr>
          <w:spacing w:val="-13"/>
          <w:w w:val="115"/>
        </w:rPr>
        <w:t> </w:t>
      </w:r>
      <w:r>
        <w:rPr>
          <w:w w:val="115"/>
        </w:rPr>
        <w:t>ventaja</w:t>
      </w:r>
      <w:r>
        <w:rPr>
          <w:spacing w:val="-13"/>
          <w:w w:val="115"/>
        </w:rPr>
        <w:t> </w:t>
      </w:r>
      <w:r>
        <w:rPr>
          <w:w w:val="115"/>
        </w:rPr>
        <w:t>comparativa”</w:t>
      </w:r>
      <w:r>
        <w:rPr>
          <w:spacing w:val="-13"/>
          <w:w w:val="115"/>
        </w:rPr>
        <w:t> </w:t>
      </w:r>
      <w:r>
        <w:rPr>
          <w:w w:val="115"/>
        </w:rPr>
        <w:t>(obama, 2009).</w:t>
      </w:r>
      <w:r>
        <w:rPr>
          <w:spacing w:val="-18"/>
          <w:w w:val="115"/>
        </w:rPr>
        <w:t> </w:t>
      </w:r>
      <w:r>
        <w:rPr>
          <w:w w:val="115"/>
        </w:rPr>
        <w:t>a</w:t>
      </w:r>
      <w:r>
        <w:rPr>
          <w:spacing w:val="-18"/>
          <w:w w:val="115"/>
        </w:rPr>
        <w:t> </w:t>
      </w:r>
      <w:r>
        <w:rPr>
          <w:w w:val="115"/>
        </w:rPr>
        <w:t>seis</w:t>
      </w:r>
      <w:r>
        <w:rPr>
          <w:spacing w:val="-18"/>
          <w:w w:val="115"/>
        </w:rPr>
        <w:t> </w:t>
      </w:r>
      <w:r>
        <w:rPr>
          <w:w w:val="115"/>
        </w:rPr>
        <w:t>años,</w:t>
      </w:r>
      <w:r>
        <w:rPr>
          <w:spacing w:val="-18"/>
          <w:w w:val="115"/>
        </w:rPr>
        <w:t> </w:t>
      </w:r>
      <w:r>
        <w:rPr>
          <w:w w:val="115"/>
        </w:rPr>
        <w:t>ese</w:t>
      </w:r>
      <w:r>
        <w:rPr>
          <w:spacing w:val="-18"/>
          <w:w w:val="115"/>
        </w:rPr>
        <w:t> </w:t>
      </w:r>
      <w:r>
        <w:rPr>
          <w:w w:val="115"/>
        </w:rPr>
        <w:t>buen</w:t>
      </w:r>
      <w:r>
        <w:rPr>
          <w:spacing w:val="-18"/>
          <w:w w:val="115"/>
        </w:rPr>
        <w:t> </w:t>
      </w:r>
      <w:r>
        <w:rPr>
          <w:w w:val="115"/>
        </w:rPr>
        <w:t>deseo</w:t>
      </w:r>
      <w:r>
        <w:rPr>
          <w:spacing w:val="-18"/>
          <w:w w:val="115"/>
        </w:rPr>
        <w:t> </w:t>
      </w:r>
      <w:r>
        <w:rPr>
          <w:w w:val="115"/>
        </w:rPr>
        <w:t>ha</w:t>
      </w:r>
      <w:r>
        <w:rPr>
          <w:spacing w:val="-18"/>
          <w:w w:val="115"/>
        </w:rPr>
        <w:t> </w:t>
      </w:r>
      <w:r>
        <w:rPr>
          <w:w w:val="115"/>
        </w:rPr>
        <w:t>quedado</w:t>
      </w:r>
      <w:r>
        <w:rPr>
          <w:spacing w:val="-18"/>
          <w:w w:val="115"/>
        </w:rPr>
        <w:t> </w:t>
      </w:r>
      <w:r>
        <w:rPr>
          <w:w w:val="115"/>
        </w:rPr>
        <w:t>en</w:t>
      </w:r>
      <w:r>
        <w:rPr>
          <w:spacing w:val="-18"/>
          <w:w w:val="115"/>
        </w:rPr>
        <w:t> </w:t>
      </w:r>
      <w:r>
        <w:rPr>
          <w:w w:val="115"/>
        </w:rPr>
        <w:t>el</w:t>
      </w:r>
      <w:r>
        <w:rPr>
          <w:spacing w:val="-18"/>
          <w:w w:val="115"/>
        </w:rPr>
        <w:t> </w:t>
      </w:r>
      <w:r>
        <w:rPr>
          <w:w w:val="115"/>
        </w:rPr>
        <w:t>olvido:</w:t>
      </w:r>
      <w:r>
        <w:rPr>
          <w:spacing w:val="-18"/>
          <w:w w:val="115"/>
        </w:rPr>
        <w:t> </w:t>
      </w:r>
      <w:r>
        <w:rPr>
          <w:w w:val="115"/>
        </w:rPr>
        <w:t>probable- mente</w:t>
      </w:r>
      <w:r>
        <w:rPr>
          <w:spacing w:val="-15"/>
          <w:w w:val="115"/>
        </w:rPr>
        <w:t> </w:t>
      </w:r>
      <w:r>
        <w:rPr>
          <w:w w:val="115"/>
        </w:rPr>
        <w:t>no</w:t>
      </w:r>
      <w:r>
        <w:rPr>
          <w:spacing w:val="-15"/>
          <w:w w:val="115"/>
        </w:rPr>
        <w:t> </w:t>
      </w:r>
      <w:r>
        <w:rPr>
          <w:w w:val="115"/>
        </w:rPr>
        <w:t>haya</w:t>
      </w:r>
      <w:r>
        <w:rPr>
          <w:spacing w:val="-15"/>
          <w:w w:val="115"/>
        </w:rPr>
        <w:t> </w:t>
      </w:r>
      <w:r>
        <w:rPr>
          <w:w w:val="115"/>
        </w:rPr>
        <w:t>ni</w:t>
      </w:r>
      <w:r>
        <w:rPr>
          <w:spacing w:val="-15"/>
          <w:w w:val="115"/>
        </w:rPr>
        <w:t> </w:t>
      </w:r>
      <w:r>
        <w:rPr>
          <w:w w:val="115"/>
        </w:rPr>
        <w:t>recursos</w:t>
      </w:r>
      <w:r>
        <w:rPr>
          <w:spacing w:val="-15"/>
          <w:w w:val="115"/>
        </w:rPr>
        <w:t> </w:t>
      </w:r>
      <w:r>
        <w:rPr>
          <w:w w:val="115"/>
        </w:rPr>
        <w:t>ni</w:t>
      </w:r>
      <w:r>
        <w:rPr>
          <w:spacing w:val="-15"/>
          <w:w w:val="115"/>
        </w:rPr>
        <w:t> </w:t>
      </w:r>
      <w:r>
        <w:rPr>
          <w:w w:val="115"/>
        </w:rPr>
        <w:t>interés.</w:t>
      </w:r>
      <w:r>
        <w:rPr>
          <w:spacing w:val="-15"/>
          <w:w w:val="115"/>
        </w:rPr>
        <w:t> </w:t>
      </w:r>
      <w:r>
        <w:rPr>
          <w:w w:val="115"/>
        </w:rPr>
        <w:t>sus</w:t>
      </w:r>
      <w:r>
        <w:rPr>
          <w:spacing w:val="-15"/>
          <w:w w:val="115"/>
        </w:rPr>
        <w:t> </w:t>
      </w:r>
      <w:r>
        <w:rPr>
          <w:w w:val="115"/>
        </w:rPr>
        <w:t>visitas</w:t>
      </w:r>
      <w:r>
        <w:rPr>
          <w:spacing w:val="-15"/>
          <w:w w:val="115"/>
        </w:rPr>
        <w:t> </w:t>
      </w:r>
      <w:r>
        <w:rPr>
          <w:w w:val="115"/>
        </w:rPr>
        <w:t>a</w:t>
      </w:r>
      <w:r>
        <w:rPr>
          <w:spacing w:val="-15"/>
          <w:w w:val="115"/>
        </w:rPr>
        <w:t> </w:t>
      </w:r>
      <w:r>
        <w:rPr>
          <w:w w:val="115"/>
        </w:rPr>
        <w:t>tres</w:t>
      </w:r>
      <w:r>
        <w:rPr>
          <w:spacing w:val="-15"/>
          <w:w w:val="115"/>
        </w:rPr>
        <w:t> </w:t>
      </w:r>
      <w:r>
        <w:rPr>
          <w:w w:val="115"/>
        </w:rPr>
        <w:t>países</w:t>
      </w:r>
      <w:r>
        <w:rPr>
          <w:spacing w:val="-15"/>
          <w:w w:val="115"/>
        </w:rPr>
        <w:t> </w:t>
      </w:r>
      <w:r>
        <w:rPr>
          <w:w w:val="115"/>
        </w:rPr>
        <w:t>latinoa- mericanos en 2011 –brasil, Chile y El salvador– y su discurso en la </w:t>
      </w:r>
      <w:r>
        <w:rPr>
          <w:i/>
          <w:w w:val="115"/>
        </w:rPr>
        <w:t>Cumbre</w:t>
      </w:r>
      <w:r>
        <w:rPr>
          <w:i/>
          <w:spacing w:val="-17"/>
          <w:w w:val="115"/>
        </w:rPr>
        <w:t> </w:t>
      </w:r>
      <w:r>
        <w:rPr>
          <w:i/>
          <w:w w:val="115"/>
        </w:rPr>
        <w:t>de</w:t>
      </w:r>
      <w:r>
        <w:rPr>
          <w:i/>
          <w:spacing w:val="-17"/>
          <w:w w:val="115"/>
        </w:rPr>
        <w:t> </w:t>
      </w:r>
      <w:r>
        <w:rPr>
          <w:i/>
          <w:w w:val="115"/>
        </w:rPr>
        <w:t>las</w:t>
      </w:r>
      <w:r>
        <w:rPr>
          <w:i/>
          <w:spacing w:val="-17"/>
          <w:w w:val="115"/>
        </w:rPr>
        <w:t> </w:t>
      </w:r>
      <w:r>
        <w:rPr>
          <w:i/>
          <w:w w:val="115"/>
        </w:rPr>
        <w:t>Américas</w:t>
      </w:r>
      <w:r>
        <w:rPr>
          <w:i/>
          <w:spacing w:val="-17"/>
          <w:w w:val="115"/>
        </w:rPr>
        <w:t> </w:t>
      </w:r>
      <w:r>
        <w:rPr>
          <w:i/>
          <w:w w:val="115"/>
        </w:rPr>
        <w:t>de</w:t>
      </w:r>
      <w:r>
        <w:rPr>
          <w:i/>
          <w:spacing w:val="-17"/>
          <w:w w:val="115"/>
        </w:rPr>
        <w:t> </w:t>
      </w:r>
      <w:r>
        <w:rPr>
          <w:i/>
          <w:w w:val="115"/>
        </w:rPr>
        <w:t>Cartagena</w:t>
      </w:r>
      <w:r>
        <w:rPr>
          <w:i/>
          <w:spacing w:val="-17"/>
          <w:w w:val="115"/>
        </w:rPr>
        <w:t> </w:t>
      </w:r>
      <w:r>
        <w:rPr>
          <w:i/>
          <w:w w:val="115"/>
        </w:rPr>
        <w:t>de</w:t>
      </w:r>
      <w:r>
        <w:rPr>
          <w:i/>
          <w:spacing w:val="-17"/>
          <w:w w:val="115"/>
        </w:rPr>
        <w:t> </w:t>
      </w:r>
      <w:r>
        <w:rPr>
          <w:i/>
          <w:w w:val="115"/>
        </w:rPr>
        <w:t>Indias</w:t>
      </w:r>
      <w:r>
        <w:rPr>
          <w:i/>
          <w:spacing w:val="-17"/>
          <w:w w:val="115"/>
        </w:rPr>
        <w:t> </w:t>
      </w:r>
      <w:r>
        <w:rPr>
          <w:w w:val="115"/>
        </w:rPr>
        <w:t>en</w:t>
      </w:r>
      <w:r>
        <w:rPr>
          <w:spacing w:val="-17"/>
          <w:w w:val="115"/>
        </w:rPr>
        <w:t> </w:t>
      </w:r>
      <w:r>
        <w:rPr>
          <w:w w:val="115"/>
        </w:rPr>
        <w:t>2012,</w:t>
      </w:r>
      <w:r>
        <w:rPr>
          <w:spacing w:val="-17"/>
          <w:w w:val="115"/>
        </w:rPr>
        <w:t> </w:t>
      </w:r>
      <w:r>
        <w:rPr>
          <w:w w:val="115"/>
        </w:rPr>
        <w:t>eludieron</w:t>
      </w:r>
      <w:r>
        <w:rPr>
          <w:spacing w:val="-17"/>
          <w:w w:val="115"/>
        </w:rPr>
        <w:t> </w:t>
      </w:r>
      <w:r>
        <w:rPr>
          <w:w w:val="115"/>
        </w:rPr>
        <w:t>las ofertas</w:t>
      </w:r>
      <w:r>
        <w:rPr>
          <w:spacing w:val="-33"/>
          <w:w w:val="115"/>
        </w:rPr>
        <w:t> </w:t>
      </w:r>
      <w:r>
        <w:rPr>
          <w:w w:val="115"/>
        </w:rPr>
        <w:t>iniciales</w:t>
      </w:r>
      <w:r>
        <w:rPr>
          <w:spacing w:val="-33"/>
          <w:w w:val="115"/>
        </w:rPr>
        <w:t> </w:t>
      </w:r>
      <w:r>
        <w:rPr>
          <w:w w:val="115"/>
        </w:rPr>
        <w:t>de</w:t>
      </w:r>
      <w:r>
        <w:rPr>
          <w:spacing w:val="-33"/>
          <w:w w:val="115"/>
        </w:rPr>
        <w:t> </w:t>
      </w:r>
      <w:r>
        <w:rPr>
          <w:w w:val="115"/>
        </w:rPr>
        <w:t>cooperación</w:t>
      </w:r>
      <w:r>
        <w:rPr>
          <w:spacing w:val="-33"/>
          <w:w w:val="115"/>
        </w:rPr>
        <w:t> </w:t>
      </w:r>
      <w:r>
        <w:rPr>
          <w:w w:val="115"/>
        </w:rPr>
        <w:t>en</w:t>
      </w:r>
      <w:r>
        <w:rPr>
          <w:spacing w:val="-33"/>
          <w:w w:val="115"/>
        </w:rPr>
        <w:t> </w:t>
      </w:r>
      <w:r>
        <w:rPr>
          <w:w w:val="115"/>
        </w:rPr>
        <w:t>la</w:t>
      </w:r>
      <w:r>
        <w:rPr>
          <w:spacing w:val="-33"/>
          <w:w w:val="115"/>
        </w:rPr>
        <w:t> </w:t>
      </w:r>
      <w:r>
        <w:rPr>
          <w:w w:val="115"/>
        </w:rPr>
        <w:t>esfera</w:t>
      </w:r>
      <w:r>
        <w:rPr>
          <w:spacing w:val="-33"/>
          <w:w w:val="115"/>
        </w:rPr>
        <w:t> </w:t>
      </w:r>
      <w:r>
        <w:rPr>
          <w:w w:val="115"/>
        </w:rPr>
        <w:t>científico-tecnológica</w:t>
      </w:r>
      <w:r>
        <w:rPr>
          <w:spacing w:val="-33"/>
          <w:w w:val="115"/>
        </w:rPr>
        <w:t> </w:t>
      </w:r>
      <w:r>
        <w:rPr>
          <w:w w:val="115"/>
        </w:rPr>
        <w:t>y</w:t>
      </w:r>
      <w:r>
        <w:rPr>
          <w:spacing w:val="-33"/>
          <w:w w:val="115"/>
        </w:rPr>
        <w:t> </w:t>
      </w:r>
      <w:r>
        <w:rPr>
          <w:w w:val="115"/>
        </w:rPr>
        <w:t>de </w:t>
      </w:r>
      <w:r>
        <w:rPr>
          <w:w w:val="110"/>
        </w:rPr>
        <w:t>sostenibilidad energética, alimentaria y </w:t>
      </w:r>
      <w:r>
        <w:rPr>
          <w:spacing w:val="14"/>
          <w:w w:val="110"/>
        </w:rPr>
        <w:t> </w:t>
      </w:r>
      <w:r>
        <w:rPr>
          <w:w w:val="110"/>
        </w:rPr>
        <w:t>ecológica.</w:t>
      </w:r>
    </w:p>
    <w:p>
      <w:pPr>
        <w:pStyle w:val="BodyText"/>
        <w:spacing w:line="252" w:lineRule="auto"/>
        <w:ind w:left="100" w:right="328" w:firstLine="396"/>
        <w:jc w:val="both"/>
      </w:pPr>
      <w:r>
        <w:rPr>
          <w:w w:val="115"/>
        </w:rPr>
        <w:t>En</w:t>
      </w:r>
      <w:r>
        <w:rPr>
          <w:spacing w:val="-7"/>
          <w:w w:val="115"/>
        </w:rPr>
        <w:t> </w:t>
      </w:r>
      <w:r>
        <w:rPr>
          <w:w w:val="115"/>
        </w:rPr>
        <w:t>su</w:t>
      </w:r>
      <w:r>
        <w:rPr>
          <w:spacing w:val="-7"/>
          <w:w w:val="115"/>
        </w:rPr>
        <w:t> </w:t>
      </w:r>
      <w:r>
        <w:rPr>
          <w:spacing w:val="-4"/>
          <w:w w:val="115"/>
        </w:rPr>
        <w:t>lugar,</w:t>
      </w:r>
      <w:r>
        <w:rPr>
          <w:spacing w:val="-7"/>
          <w:w w:val="115"/>
        </w:rPr>
        <w:t> </w:t>
      </w:r>
      <w:r>
        <w:rPr>
          <w:w w:val="115"/>
        </w:rPr>
        <w:t>somos</w:t>
      </w:r>
      <w:r>
        <w:rPr>
          <w:spacing w:val="-7"/>
          <w:w w:val="115"/>
        </w:rPr>
        <w:t> </w:t>
      </w:r>
      <w:r>
        <w:rPr>
          <w:w w:val="115"/>
        </w:rPr>
        <w:t>testigos</w:t>
      </w:r>
      <w:r>
        <w:rPr>
          <w:spacing w:val="-7"/>
          <w:w w:val="115"/>
        </w:rPr>
        <w:t> </w:t>
      </w:r>
      <w:r>
        <w:rPr>
          <w:w w:val="115"/>
        </w:rPr>
        <w:t>de</w:t>
      </w:r>
      <w:r>
        <w:rPr>
          <w:spacing w:val="-7"/>
          <w:w w:val="115"/>
        </w:rPr>
        <w:t> </w:t>
      </w:r>
      <w:r>
        <w:rPr>
          <w:w w:val="115"/>
        </w:rPr>
        <w:t>una</w:t>
      </w:r>
      <w:r>
        <w:rPr>
          <w:spacing w:val="-7"/>
          <w:w w:val="115"/>
        </w:rPr>
        <w:t> </w:t>
      </w:r>
      <w:r>
        <w:rPr>
          <w:w w:val="115"/>
        </w:rPr>
        <w:t>continuista</w:t>
      </w:r>
      <w:r>
        <w:rPr>
          <w:spacing w:val="-7"/>
          <w:w w:val="115"/>
        </w:rPr>
        <w:t> </w:t>
      </w:r>
      <w:r>
        <w:rPr>
          <w:w w:val="115"/>
        </w:rPr>
        <w:t>presencia</w:t>
      </w:r>
      <w:r>
        <w:rPr>
          <w:spacing w:val="-7"/>
          <w:w w:val="115"/>
        </w:rPr>
        <w:t> </w:t>
      </w:r>
      <w:r>
        <w:rPr>
          <w:w w:val="115"/>
        </w:rPr>
        <w:t>militar norteamericana</w:t>
      </w:r>
      <w:r>
        <w:rPr>
          <w:spacing w:val="-29"/>
          <w:w w:val="115"/>
        </w:rPr>
        <w:t> </w:t>
      </w:r>
      <w:r>
        <w:rPr>
          <w:w w:val="115"/>
        </w:rPr>
        <w:t>en</w:t>
      </w:r>
      <w:r>
        <w:rPr>
          <w:spacing w:val="-29"/>
          <w:w w:val="115"/>
        </w:rPr>
        <w:t> </w:t>
      </w:r>
      <w:r>
        <w:rPr>
          <w:i/>
          <w:w w:val="115"/>
        </w:rPr>
        <w:t>Nuestra</w:t>
      </w:r>
      <w:r>
        <w:rPr>
          <w:i/>
          <w:spacing w:val="-29"/>
          <w:w w:val="115"/>
        </w:rPr>
        <w:t> </w:t>
      </w:r>
      <w:r>
        <w:rPr>
          <w:i/>
          <w:w w:val="115"/>
        </w:rPr>
        <w:t>América</w:t>
      </w:r>
      <w:r>
        <w:rPr>
          <w:i/>
          <w:spacing w:val="-29"/>
          <w:w w:val="115"/>
        </w:rPr>
        <w:t> </w:t>
      </w:r>
      <w:r>
        <w:rPr>
          <w:w w:val="115"/>
        </w:rPr>
        <w:t>–acorde</w:t>
      </w:r>
      <w:r>
        <w:rPr>
          <w:spacing w:val="-29"/>
          <w:w w:val="115"/>
        </w:rPr>
        <w:t> </w:t>
      </w:r>
      <w:r>
        <w:rPr>
          <w:w w:val="115"/>
        </w:rPr>
        <w:t>a</w:t>
      </w:r>
      <w:r>
        <w:rPr>
          <w:spacing w:val="-29"/>
          <w:w w:val="115"/>
        </w:rPr>
        <w:t> </w:t>
      </w:r>
      <w:r>
        <w:rPr>
          <w:w w:val="115"/>
        </w:rPr>
        <w:t>los</w:t>
      </w:r>
      <w:r>
        <w:rPr>
          <w:spacing w:val="-29"/>
          <w:w w:val="115"/>
        </w:rPr>
        <w:t> </w:t>
      </w:r>
      <w:r>
        <w:rPr>
          <w:w w:val="115"/>
        </w:rPr>
        <w:t>designios</w:t>
      </w:r>
      <w:r>
        <w:rPr>
          <w:spacing w:val="-29"/>
          <w:w w:val="115"/>
        </w:rPr>
        <w:t> </w:t>
      </w:r>
      <w:r>
        <w:rPr>
          <w:w w:val="115"/>
        </w:rPr>
        <w:t>geoestra- tégicos</w:t>
      </w:r>
      <w:r>
        <w:rPr>
          <w:spacing w:val="-17"/>
          <w:w w:val="115"/>
        </w:rPr>
        <w:t> </w:t>
      </w:r>
      <w:r>
        <w:rPr>
          <w:w w:val="115"/>
        </w:rPr>
        <w:t>de</w:t>
      </w:r>
      <w:r>
        <w:rPr>
          <w:spacing w:val="-17"/>
          <w:w w:val="115"/>
        </w:rPr>
        <w:t> </w:t>
      </w:r>
      <w:r>
        <w:rPr>
          <w:w w:val="115"/>
        </w:rPr>
        <w:t>la</w:t>
      </w:r>
      <w:r>
        <w:rPr>
          <w:spacing w:val="-17"/>
          <w:w w:val="115"/>
        </w:rPr>
        <w:t> </w:t>
      </w:r>
      <w:r>
        <w:rPr>
          <w:w w:val="115"/>
        </w:rPr>
        <w:t>doctrina</w:t>
      </w:r>
      <w:r>
        <w:rPr>
          <w:spacing w:val="-17"/>
          <w:w w:val="115"/>
        </w:rPr>
        <w:t> </w:t>
      </w:r>
      <w:r>
        <w:rPr>
          <w:w w:val="115"/>
        </w:rPr>
        <w:t>Monroe</w:t>
      </w:r>
      <w:r>
        <w:rPr>
          <w:i/>
          <w:w w:val="115"/>
        </w:rPr>
        <w:t>–</w:t>
      </w:r>
      <w:r>
        <w:rPr>
          <w:i/>
          <w:spacing w:val="-17"/>
          <w:w w:val="115"/>
        </w:rPr>
        <w:t> </w:t>
      </w:r>
      <w:r>
        <w:rPr>
          <w:w w:val="115"/>
        </w:rPr>
        <w:t>reservorio</w:t>
      </w:r>
      <w:r>
        <w:rPr>
          <w:spacing w:val="-17"/>
          <w:w w:val="115"/>
        </w:rPr>
        <w:t> </w:t>
      </w:r>
      <w:r>
        <w:rPr>
          <w:w w:val="115"/>
        </w:rPr>
        <w:t>de</w:t>
      </w:r>
      <w:r>
        <w:rPr>
          <w:spacing w:val="-17"/>
          <w:w w:val="115"/>
        </w:rPr>
        <w:t> </w:t>
      </w:r>
      <w:r>
        <w:rPr>
          <w:w w:val="115"/>
        </w:rPr>
        <w:t>innumerables</w:t>
      </w:r>
      <w:r>
        <w:rPr>
          <w:spacing w:val="-17"/>
          <w:w w:val="115"/>
        </w:rPr>
        <w:t> </w:t>
      </w:r>
      <w:r>
        <w:rPr>
          <w:w w:val="115"/>
        </w:rPr>
        <w:t>recursos naturales</w:t>
      </w:r>
      <w:r>
        <w:rPr>
          <w:spacing w:val="-24"/>
          <w:w w:val="115"/>
        </w:rPr>
        <w:t> </w:t>
      </w:r>
      <w:r>
        <w:rPr>
          <w:w w:val="115"/>
        </w:rPr>
        <w:t>y</w:t>
      </w:r>
      <w:r>
        <w:rPr>
          <w:spacing w:val="-24"/>
          <w:w w:val="115"/>
        </w:rPr>
        <w:t> </w:t>
      </w:r>
      <w:r>
        <w:rPr>
          <w:w w:val="115"/>
        </w:rPr>
        <w:t>de</w:t>
      </w:r>
      <w:r>
        <w:rPr>
          <w:spacing w:val="-24"/>
          <w:w w:val="115"/>
        </w:rPr>
        <w:t> </w:t>
      </w:r>
      <w:r>
        <w:rPr>
          <w:w w:val="115"/>
        </w:rPr>
        <w:t>la</w:t>
      </w:r>
      <w:r>
        <w:rPr>
          <w:spacing w:val="-24"/>
          <w:w w:val="115"/>
        </w:rPr>
        <w:t> </w:t>
      </w:r>
      <w:r>
        <w:rPr>
          <w:w w:val="115"/>
        </w:rPr>
        <w:t>biosfera,</w:t>
      </w:r>
      <w:r>
        <w:rPr>
          <w:spacing w:val="-24"/>
          <w:w w:val="115"/>
        </w:rPr>
        <w:t> </w:t>
      </w:r>
      <w:r>
        <w:rPr>
          <w:w w:val="115"/>
        </w:rPr>
        <w:t>además</w:t>
      </w:r>
      <w:r>
        <w:rPr>
          <w:spacing w:val="-24"/>
          <w:w w:val="115"/>
        </w:rPr>
        <w:t> </w:t>
      </w:r>
      <w:r>
        <w:rPr>
          <w:w w:val="115"/>
        </w:rPr>
        <w:t>de</w:t>
      </w:r>
      <w:r>
        <w:rPr>
          <w:spacing w:val="-24"/>
          <w:w w:val="115"/>
        </w:rPr>
        <w:t> </w:t>
      </w:r>
      <w:r>
        <w:rPr>
          <w:w w:val="115"/>
        </w:rPr>
        <w:t>abundante</w:t>
      </w:r>
      <w:r>
        <w:rPr>
          <w:spacing w:val="-24"/>
          <w:w w:val="115"/>
        </w:rPr>
        <w:t> </w:t>
      </w:r>
      <w:r>
        <w:rPr>
          <w:w w:val="115"/>
        </w:rPr>
        <w:t>fuerza</w:t>
      </w:r>
      <w:r>
        <w:rPr>
          <w:spacing w:val="-24"/>
          <w:w w:val="115"/>
        </w:rPr>
        <w:t> </w:t>
      </w:r>
      <w:r>
        <w:rPr>
          <w:w w:val="115"/>
        </w:rPr>
        <w:t>laboral.</w:t>
      </w:r>
      <w:r>
        <w:rPr>
          <w:spacing w:val="-24"/>
          <w:w w:val="115"/>
        </w:rPr>
        <w:t> </w:t>
      </w:r>
      <w:r>
        <w:rPr>
          <w:w w:val="115"/>
        </w:rPr>
        <w:t>¿Esta- </w:t>
      </w:r>
      <w:r>
        <w:rPr>
          <w:w w:val="110"/>
        </w:rPr>
        <w:t>rán</w:t>
      </w:r>
      <w:r>
        <w:rPr>
          <w:spacing w:val="12"/>
        </w:rPr>
        <w:t> </w:t>
      </w:r>
      <w:r>
        <w:rPr>
          <w:w w:val="108"/>
        </w:rPr>
        <w:t>los</w:t>
      </w:r>
      <w:r>
        <w:rPr>
          <w:spacing w:val="12"/>
        </w:rPr>
        <w:t> </w:t>
      </w:r>
      <w:r>
        <w:rPr>
          <w:w w:val="109"/>
        </w:rPr>
        <w:t>pueblos</w:t>
      </w:r>
      <w:r>
        <w:rPr>
          <w:spacing w:val="12"/>
        </w:rPr>
        <w:t> </w:t>
      </w:r>
      <w:r>
        <w:rPr>
          <w:w w:val="107"/>
        </w:rPr>
        <w:t>de</w:t>
      </w:r>
      <w:r>
        <w:rPr>
          <w:spacing w:val="12"/>
        </w:rPr>
        <w:t> </w:t>
      </w:r>
      <w:r>
        <w:rPr>
          <w:w w:val="139"/>
        </w:rPr>
        <w:t>a</w:t>
      </w:r>
      <w:r>
        <w:rPr>
          <w:w w:val="111"/>
        </w:rPr>
        <w:t>mérica</w:t>
      </w:r>
      <w:r>
        <w:rPr>
          <w:spacing w:val="12"/>
        </w:rPr>
        <w:t> </w:t>
      </w:r>
      <w:r>
        <w:rPr>
          <w:w w:val="243"/>
        </w:rPr>
        <w:t>l</w:t>
      </w:r>
      <w:r>
        <w:rPr>
          <w:w w:val="111"/>
        </w:rPr>
        <w:t>atina</w:t>
      </w:r>
      <w:r>
        <w:rPr>
          <w:spacing w:val="12"/>
        </w:rPr>
        <w:t> </w:t>
      </w:r>
      <w:r>
        <w:rPr>
          <w:w w:val="105"/>
        </w:rPr>
        <w:t>y</w:t>
      </w:r>
      <w:r>
        <w:rPr>
          <w:spacing w:val="12"/>
        </w:rPr>
        <w:t> </w:t>
      </w:r>
      <w:r>
        <w:rPr>
          <w:w w:val="107"/>
        </w:rPr>
        <w:t>el</w:t>
      </w:r>
      <w:r>
        <w:rPr>
          <w:spacing w:val="12"/>
        </w:rPr>
        <w:t> </w:t>
      </w:r>
      <w:r>
        <w:rPr>
          <w:w w:val="112"/>
        </w:rPr>
        <w:t>Caribe</w:t>
      </w:r>
      <w:r>
        <w:rPr>
          <w:spacing w:val="12"/>
        </w:rPr>
        <w:t> </w:t>
      </w:r>
      <w:r>
        <w:rPr>
          <w:w w:val="108"/>
        </w:rPr>
        <w:t>dispuestos</w:t>
      </w:r>
      <w:r>
        <w:rPr>
          <w:spacing w:val="12"/>
        </w:rPr>
        <w:t> </w:t>
      </w:r>
      <w:r>
        <w:rPr>
          <w:w w:val="106"/>
        </w:rPr>
        <w:t>–tras</w:t>
      </w:r>
      <w:r>
        <w:rPr>
          <w:spacing w:val="12"/>
        </w:rPr>
        <w:t> </w:t>
      </w:r>
      <w:r>
        <w:rPr>
          <w:w w:val="107"/>
        </w:rPr>
        <w:t>el</w:t>
      </w:r>
      <w:r>
        <w:rPr>
          <w:spacing w:val="12"/>
        </w:rPr>
        <w:t> </w:t>
      </w:r>
      <w:r>
        <w:rPr>
          <w:w w:val="98"/>
        </w:rPr>
        <w:t>200º </w:t>
      </w:r>
      <w:r>
        <w:rPr>
          <w:w w:val="115"/>
        </w:rPr>
        <w:t>aniversario de su independencia, el cambio de época acaecido en el siglo</w:t>
      </w:r>
      <w:r>
        <w:rPr>
          <w:spacing w:val="-17"/>
          <w:w w:val="115"/>
        </w:rPr>
        <w:t> </w:t>
      </w:r>
      <w:r>
        <w:rPr>
          <w:w w:val="130"/>
        </w:rPr>
        <w:t>xxi</w:t>
      </w:r>
      <w:r>
        <w:rPr>
          <w:spacing w:val="-23"/>
          <w:w w:val="130"/>
        </w:rPr>
        <w:t> </w:t>
      </w:r>
      <w:r>
        <w:rPr>
          <w:w w:val="115"/>
        </w:rPr>
        <w:t>y</w:t>
      </w:r>
      <w:r>
        <w:rPr>
          <w:spacing w:val="-17"/>
          <w:w w:val="115"/>
        </w:rPr>
        <w:t> </w:t>
      </w:r>
      <w:r>
        <w:rPr>
          <w:w w:val="115"/>
        </w:rPr>
        <w:t>de</w:t>
      </w:r>
      <w:r>
        <w:rPr>
          <w:spacing w:val="-17"/>
          <w:w w:val="115"/>
        </w:rPr>
        <w:t> </w:t>
      </w:r>
      <w:r>
        <w:rPr>
          <w:w w:val="115"/>
        </w:rPr>
        <w:t>correlación</w:t>
      </w:r>
      <w:r>
        <w:rPr>
          <w:spacing w:val="-17"/>
          <w:w w:val="115"/>
        </w:rPr>
        <w:t> </w:t>
      </w:r>
      <w:r>
        <w:rPr>
          <w:w w:val="115"/>
        </w:rPr>
        <w:t>de</w:t>
      </w:r>
      <w:r>
        <w:rPr>
          <w:spacing w:val="-17"/>
          <w:w w:val="115"/>
        </w:rPr>
        <w:t> </w:t>
      </w:r>
      <w:r>
        <w:rPr>
          <w:w w:val="115"/>
        </w:rPr>
        <w:t>fuerzas</w:t>
      </w:r>
      <w:r>
        <w:rPr>
          <w:spacing w:val="-17"/>
          <w:w w:val="115"/>
        </w:rPr>
        <w:t> </w:t>
      </w:r>
      <w:r>
        <w:rPr>
          <w:w w:val="115"/>
        </w:rPr>
        <w:t>mundiales–</w:t>
      </w:r>
      <w:r>
        <w:rPr>
          <w:spacing w:val="-17"/>
          <w:w w:val="115"/>
        </w:rPr>
        <w:t> </w:t>
      </w:r>
      <w:r>
        <w:rPr>
          <w:w w:val="115"/>
        </w:rPr>
        <w:t>a</w:t>
      </w:r>
      <w:r>
        <w:rPr>
          <w:spacing w:val="-17"/>
          <w:w w:val="115"/>
        </w:rPr>
        <w:t> </w:t>
      </w:r>
      <w:r>
        <w:rPr>
          <w:w w:val="115"/>
        </w:rPr>
        <w:t>aceptar</w:t>
      </w:r>
      <w:r>
        <w:rPr>
          <w:spacing w:val="-17"/>
          <w:w w:val="115"/>
        </w:rPr>
        <w:t> </w:t>
      </w:r>
      <w:r>
        <w:rPr>
          <w:w w:val="115"/>
        </w:rPr>
        <w:t>esta</w:t>
      </w:r>
      <w:r>
        <w:rPr>
          <w:spacing w:val="-17"/>
          <w:w w:val="115"/>
        </w:rPr>
        <w:t> </w:t>
      </w:r>
      <w:r>
        <w:rPr>
          <w:w w:val="115"/>
        </w:rPr>
        <w:t>visión retrógrada</w:t>
      </w:r>
      <w:r>
        <w:rPr>
          <w:spacing w:val="-30"/>
          <w:w w:val="115"/>
        </w:rPr>
        <w:t> </w:t>
      </w:r>
      <w:r>
        <w:rPr>
          <w:w w:val="115"/>
        </w:rPr>
        <w:t>de</w:t>
      </w:r>
      <w:r>
        <w:rPr>
          <w:spacing w:val="-30"/>
          <w:w w:val="115"/>
        </w:rPr>
        <w:t> </w:t>
      </w:r>
      <w:r>
        <w:rPr>
          <w:w w:val="115"/>
        </w:rPr>
        <w:t>la</w:t>
      </w:r>
      <w:r>
        <w:rPr>
          <w:spacing w:val="-30"/>
          <w:w w:val="115"/>
        </w:rPr>
        <w:t> </w:t>
      </w:r>
      <w:r>
        <w:rPr>
          <w:w w:val="115"/>
        </w:rPr>
        <w:t>historia?</w:t>
      </w:r>
    </w:p>
    <w:p>
      <w:pPr>
        <w:spacing w:line="252" w:lineRule="auto" w:before="0"/>
        <w:ind w:left="100" w:right="327" w:firstLine="396"/>
        <w:jc w:val="both"/>
        <w:rPr>
          <w:i/>
          <w:sz w:val="19"/>
        </w:rPr>
      </w:pPr>
      <w:r>
        <w:rPr>
          <w:w w:val="115"/>
          <w:sz w:val="19"/>
        </w:rPr>
        <w:t>su</w:t>
      </w:r>
      <w:r>
        <w:rPr>
          <w:spacing w:val="-15"/>
          <w:w w:val="115"/>
          <w:sz w:val="19"/>
        </w:rPr>
        <w:t> </w:t>
      </w:r>
      <w:r>
        <w:rPr>
          <w:w w:val="115"/>
          <w:sz w:val="19"/>
        </w:rPr>
        <w:t>respuesta</w:t>
      </w:r>
      <w:r>
        <w:rPr>
          <w:spacing w:val="-15"/>
          <w:w w:val="115"/>
          <w:sz w:val="19"/>
        </w:rPr>
        <w:t> </w:t>
      </w:r>
      <w:r>
        <w:rPr>
          <w:w w:val="115"/>
          <w:sz w:val="19"/>
        </w:rPr>
        <w:t>evidencia</w:t>
      </w:r>
      <w:r>
        <w:rPr>
          <w:spacing w:val="-15"/>
          <w:w w:val="115"/>
          <w:sz w:val="19"/>
        </w:rPr>
        <w:t> </w:t>
      </w:r>
      <w:r>
        <w:rPr>
          <w:w w:val="115"/>
          <w:sz w:val="19"/>
        </w:rPr>
        <w:t>un</w:t>
      </w:r>
      <w:r>
        <w:rPr>
          <w:spacing w:val="-15"/>
          <w:w w:val="115"/>
          <w:sz w:val="19"/>
        </w:rPr>
        <w:t> </w:t>
      </w:r>
      <w:r>
        <w:rPr>
          <w:w w:val="115"/>
          <w:sz w:val="19"/>
        </w:rPr>
        <w:t>creciente</w:t>
      </w:r>
      <w:r>
        <w:rPr>
          <w:spacing w:val="-15"/>
          <w:w w:val="115"/>
          <w:sz w:val="19"/>
        </w:rPr>
        <w:t> </w:t>
      </w:r>
      <w:r>
        <w:rPr>
          <w:w w:val="115"/>
          <w:sz w:val="19"/>
        </w:rPr>
        <w:t>rompimiento</w:t>
      </w:r>
      <w:r>
        <w:rPr>
          <w:spacing w:val="-15"/>
          <w:w w:val="115"/>
          <w:sz w:val="19"/>
        </w:rPr>
        <w:t> </w:t>
      </w:r>
      <w:r>
        <w:rPr>
          <w:w w:val="115"/>
          <w:sz w:val="19"/>
        </w:rPr>
        <w:t>con</w:t>
      </w:r>
      <w:r>
        <w:rPr>
          <w:spacing w:val="-15"/>
          <w:w w:val="115"/>
          <w:sz w:val="19"/>
        </w:rPr>
        <w:t> </w:t>
      </w:r>
      <w:r>
        <w:rPr>
          <w:w w:val="115"/>
          <w:sz w:val="19"/>
        </w:rPr>
        <w:t>el</w:t>
      </w:r>
      <w:r>
        <w:rPr>
          <w:spacing w:val="-15"/>
          <w:w w:val="115"/>
          <w:sz w:val="19"/>
        </w:rPr>
        <w:t> </w:t>
      </w:r>
      <w:r>
        <w:rPr>
          <w:i/>
          <w:w w:val="115"/>
          <w:sz w:val="19"/>
        </w:rPr>
        <w:t>Consen- </w:t>
      </w:r>
      <w:r>
        <w:rPr>
          <w:i/>
          <w:w w:val="115"/>
          <w:sz w:val="19"/>
        </w:rPr>
        <w:t>so</w:t>
      </w:r>
      <w:r>
        <w:rPr>
          <w:i/>
          <w:spacing w:val="-14"/>
          <w:w w:val="115"/>
          <w:sz w:val="19"/>
        </w:rPr>
        <w:t> </w:t>
      </w:r>
      <w:r>
        <w:rPr>
          <w:i/>
          <w:w w:val="115"/>
          <w:sz w:val="19"/>
        </w:rPr>
        <w:t>de</w:t>
      </w:r>
      <w:r>
        <w:rPr>
          <w:i/>
          <w:spacing w:val="-14"/>
          <w:w w:val="115"/>
          <w:sz w:val="19"/>
        </w:rPr>
        <w:t> </w:t>
      </w:r>
      <w:r>
        <w:rPr>
          <w:i/>
          <w:w w:val="115"/>
          <w:sz w:val="19"/>
        </w:rPr>
        <w:t>Washington</w:t>
      </w:r>
      <w:r>
        <w:rPr>
          <w:w w:val="115"/>
          <w:sz w:val="19"/>
        </w:rPr>
        <w:t>,</w:t>
      </w:r>
      <w:r>
        <w:rPr>
          <w:spacing w:val="-14"/>
          <w:w w:val="115"/>
          <w:sz w:val="19"/>
        </w:rPr>
        <w:t> </w:t>
      </w:r>
      <w:r>
        <w:rPr>
          <w:w w:val="115"/>
          <w:sz w:val="19"/>
        </w:rPr>
        <w:t>tras</w:t>
      </w:r>
      <w:r>
        <w:rPr>
          <w:spacing w:val="-14"/>
          <w:w w:val="115"/>
          <w:sz w:val="19"/>
        </w:rPr>
        <w:t> </w:t>
      </w:r>
      <w:r>
        <w:rPr>
          <w:w w:val="115"/>
          <w:sz w:val="19"/>
        </w:rPr>
        <w:t>la</w:t>
      </w:r>
      <w:r>
        <w:rPr>
          <w:spacing w:val="-14"/>
          <w:w w:val="115"/>
          <w:sz w:val="19"/>
        </w:rPr>
        <w:t> </w:t>
      </w:r>
      <w:r>
        <w:rPr>
          <w:w w:val="115"/>
          <w:sz w:val="19"/>
        </w:rPr>
        <w:t>negativa</w:t>
      </w:r>
      <w:r>
        <w:rPr>
          <w:spacing w:val="-14"/>
          <w:w w:val="115"/>
          <w:sz w:val="19"/>
        </w:rPr>
        <w:t> </w:t>
      </w:r>
      <w:r>
        <w:rPr>
          <w:w w:val="115"/>
          <w:sz w:val="19"/>
        </w:rPr>
        <w:t>unánime</w:t>
      </w:r>
      <w:r>
        <w:rPr>
          <w:spacing w:val="-14"/>
          <w:w w:val="115"/>
          <w:sz w:val="19"/>
        </w:rPr>
        <w:t> </w:t>
      </w:r>
      <w:r>
        <w:rPr>
          <w:i/>
          <w:w w:val="115"/>
          <w:sz w:val="19"/>
        </w:rPr>
        <w:t>al</w:t>
      </w:r>
      <w:r>
        <w:rPr>
          <w:i/>
          <w:spacing w:val="-14"/>
          <w:w w:val="115"/>
          <w:sz w:val="19"/>
        </w:rPr>
        <w:t> </w:t>
      </w:r>
      <w:r>
        <w:rPr>
          <w:i/>
          <w:w w:val="115"/>
          <w:sz w:val="19"/>
        </w:rPr>
        <w:t>Área</w:t>
      </w:r>
      <w:r>
        <w:rPr>
          <w:i/>
          <w:spacing w:val="-14"/>
          <w:w w:val="115"/>
          <w:sz w:val="19"/>
        </w:rPr>
        <w:t> </w:t>
      </w:r>
      <w:r>
        <w:rPr>
          <w:i/>
          <w:w w:val="115"/>
          <w:sz w:val="19"/>
        </w:rPr>
        <w:t>de</w:t>
      </w:r>
      <w:r>
        <w:rPr>
          <w:i/>
          <w:spacing w:val="-14"/>
          <w:w w:val="115"/>
          <w:sz w:val="19"/>
        </w:rPr>
        <w:t> </w:t>
      </w:r>
      <w:r>
        <w:rPr>
          <w:i/>
          <w:w w:val="115"/>
          <w:sz w:val="19"/>
        </w:rPr>
        <w:t>Libre</w:t>
      </w:r>
      <w:r>
        <w:rPr>
          <w:i/>
          <w:spacing w:val="-14"/>
          <w:w w:val="115"/>
          <w:sz w:val="19"/>
        </w:rPr>
        <w:t> </w:t>
      </w:r>
      <w:r>
        <w:rPr>
          <w:i/>
          <w:w w:val="115"/>
          <w:sz w:val="19"/>
        </w:rPr>
        <w:t>Comercio </w:t>
      </w:r>
      <w:r>
        <w:rPr>
          <w:i/>
          <w:w w:val="115"/>
          <w:sz w:val="19"/>
        </w:rPr>
        <w:t>para</w:t>
      </w:r>
      <w:r>
        <w:rPr>
          <w:i/>
          <w:spacing w:val="-11"/>
          <w:w w:val="115"/>
          <w:sz w:val="19"/>
        </w:rPr>
        <w:t> </w:t>
      </w:r>
      <w:r>
        <w:rPr>
          <w:i/>
          <w:w w:val="115"/>
          <w:sz w:val="19"/>
        </w:rPr>
        <w:t>las</w:t>
      </w:r>
      <w:r>
        <w:rPr>
          <w:i/>
          <w:spacing w:val="-11"/>
          <w:w w:val="115"/>
          <w:sz w:val="19"/>
        </w:rPr>
        <w:t> </w:t>
      </w:r>
      <w:r>
        <w:rPr>
          <w:i/>
          <w:w w:val="115"/>
          <w:sz w:val="19"/>
        </w:rPr>
        <w:t>Américas</w:t>
      </w:r>
      <w:r>
        <w:rPr>
          <w:i/>
          <w:spacing w:val="-11"/>
          <w:w w:val="115"/>
          <w:sz w:val="19"/>
        </w:rPr>
        <w:t> </w:t>
      </w:r>
      <w:r>
        <w:rPr>
          <w:w w:val="115"/>
          <w:sz w:val="19"/>
        </w:rPr>
        <w:t>(alCa)</w:t>
      </w:r>
      <w:r>
        <w:rPr>
          <w:spacing w:val="-11"/>
          <w:w w:val="115"/>
          <w:sz w:val="19"/>
        </w:rPr>
        <w:t> </w:t>
      </w:r>
      <w:r>
        <w:rPr>
          <w:w w:val="115"/>
          <w:sz w:val="19"/>
        </w:rPr>
        <w:t>en</w:t>
      </w:r>
      <w:r>
        <w:rPr>
          <w:spacing w:val="-11"/>
          <w:w w:val="115"/>
          <w:sz w:val="19"/>
        </w:rPr>
        <w:t> </w:t>
      </w:r>
      <w:r>
        <w:rPr>
          <w:w w:val="115"/>
          <w:sz w:val="19"/>
        </w:rPr>
        <w:t>Mar</w:t>
      </w:r>
      <w:r>
        <w:rPr>
          <w:spacing w:val="-11"/>
          <w:w w:val="115"/>
          <w:sz w:val="19"/>
        </w:rPr>
        <w:t> </w:t>
      </w:r>
      <w:r>
        <w:rPr>
          <w:w w:val="115"/>
          <w:sz w:val="19"/>
        </w:rPr>
        <w:t>del</w:t>
      </w:r>
      <w:r>
        <w:rPr>
          <w:spacing w:val="-11"/>
          <w:w w:val="115"/>
          <w:sz w:val="19"/>
        </w:rPr>
        <w:t> </w:t>
      </w:r>
      <w:r>
        <w:rPr>
          <w:w w:val="115"/>
          <w:sz w:val="19"/>
        </w:rPr>
        <w:t>Plata</w:t>
      </w:r>
      <w:r>
        <w:rPr>
          <w:spacing w:val="-11"/>
          <w:w w:val="115"/>
          <w:sz w:val="19"/>
        </w:rPr>
        <w:t> </w:t>
      </w:r>
      <w:r>
        <w:rPr>
          <w:w w:val="115"/>
          <w:sz w:val="19"/>
        </w:rPr>
        <w:t>en</w:t>
      </w:r>
      <w:r>
        <w:rPr>
          <w:spacing w:val="-11"/>
          <w:w w:val="115"/>
          <w:sz w:val="19"/>
        </w:rPr>
        <w:t> </w:t>
      </w:r>
      <w:r>
        <w:rPr>
          <w:w w:val="115"/>
          <w:sz w:val="19"/>
        </w:rPr>
        <w:t>2005;</w:t>
      </w:r>
      <w:r>
        <w:rPr>
          <w:spacing w:val="-11"/>
          <w:w w:val="115"/>
          <w:sz w:val="19"/>
        </w:rPr>
        <w:t> </w:t>
      </w:r>
      <w:r>
        <w:rPr>
          <w:w w:val="115"/>
          <w:sz w:val="19"/>
        </w:rPr>
        <w:t>y</w:t>
      </w:r>
      <w:r>
        <w:rPr>
          <w:spacing w:val="-11"/>
          <w:w w:val="115"/>
          <w:sz w:val="19"/>
        </w:rPr>
        <w:t> </w:t>
      </w:r>
      <w:r>
        <w:rPr>
          <w:w w:val="115"/>
          <w:sz w:val="19"/>
        </w:rPr>
        <w:t>la</w:t>
      </w:r>
      <w:r>
        <w:rPr>
          <w:spacing w:val="-11"/>
          <w:w w:val="115"/>
          <w:sz w:val="19"/>
        </w:rPr>
        <w:t> </w:t>
      </w:r>
      <w:r>
        <w:rPr>
          <w:w w:val="115"/>
          <w:sz w:val="19"/>
        </w:rPr>
        <w:t>edificación</w:t>
      </w:r>
      <w:r>
        <w:rPr>
          <w:spacing w:val="-11"/>
          <w:w w:val="115"/>
          <w:sz w:val="19"/>
        </w:rPr>
        <w:t> </w:t>
      </w:r>
      <w:r>
        <w:rPr>
          <w:w w:val="115"/>
          <w:sz w:val="19"/>
        </w:rPr>
        <w:t>de disímiles modelos de integración, como las clásicas asociaciones</w:t>
      </w:r>
      <w:r>
        <w:rPr>
          <w:spacing w:val="-8"/>
          <w:w w:val="115"/>
          <w:sz w:val="19"/>
        </w:rPr>
        <w:t> </w:t>
      </w:r>
      <w:r>
        <w:rPr>
          <w:w w:val="115"/>
          <w:sz w:val="19"/>
        </w:rPr>
        <w:t>de libre comercio y las alternativas de desarrollo inclusivo, sostenible, solidario,</w:t>
      </w:r>
      <w:r>
        <w:rPr>
          <w:spacing w:val="-12"/>
          <w:w w:val="115"/>
          <w:sz w:val="19"/>
        </w:rPr>
        <w:t> </w:t>
      </w:r>
      <w:r>
        <w:rPr>
          <w:w w:val="115"/>
          <w:sz w:val="19"/>
        </w:rPr>
        <w:t>del</w:t>
      </w:r>
      <w:r>
        <w:rPr>
          <w:spacing w:val="-12"/>
          <w:w w:val="115"/>
          <w:sz w:val="19"/>
        </w:rPr>
        <w:t> </w:t>
      </w:r>
      <w:r>
        <w:rPr>
          <w:i/>
          <w:w w:val="115"/>
          <w:sz w:val="19"/>
        </w:rPr>
        <w:t>buen</w:t>
      </w:r>
      <w:r>
        <w:rPr>
          <w:i/>
          <w:spacing w:val="-12"/>
          <w:w w:val="115"/>
          <w:sz w:val="19"/>
        </w:rPr>
        <w:t> </w:t>
      </w:r>
      <w:r>
        <w:rPr>
          <w:i/>
          <w:w w:val="115"/>
          <w:sz w:val="19"/>
        </w:rPr>
        <w:t>vivir</w:t>
      </w:r>
      <w:r>
        <w:rPr>
          <w:w w:val="115"/>
          <w:sz w:val="19"/>
        </w:rPr>
        <w:t>,</w:t>
      </w:r>
      <w:r>
        <w:rPr>
          <w:spacing w:val="-12"/>
          <w:w w:val="115"/>
          <w:sz w:val="19"/>
        </w:rPr>
        <w:t> </w:t>
      </w:r>
      <w:r>
        <w:rPr>
          <w:i/>
          <w:w w:val="115"/>
          <w:sz w:val="19"/>
        </w:rPr>
        <w:t>pachamamista</w:t>
      </w:r>
      <w:r>
        <w:rPr>
          <w:w w:val="115"/>
          <w:sz w:val="19"/>
        </w:rPr>
        <w:t>,</w:t>
      </w:r>
      <w:r>
        <w:rPr>
          <w:spacing w:val="-12"/>
          <w:w w:val="115"/>
          <w:sz w:val="19"/>
        </w:rPr>
        <w:t> </w:t>
      </w:r>
      <w:r>
        <w:rPr>
          <w:w w:val="115"/>
          <w:sz w:val="19"/>
        </w:rPr>
        <w:t>socialista,</w:t>
      </w:r>
      <w:r>
        <w:rPr>
          <w:spacing w:val="-12"/>
          <w:w w:val="115"/>
          <w:sz w:val="19"/>
        </w:rPr>
        <w:t> </w:t>
      </w:r>
      <w:r>
        <w:rPr>
          <w:w w:val="115"/>
          <w:sz w:val="19"/>
        </w:rPr>
        <w:t>en</w:t>
      </w:r>
      <w:r>
        <w:rPr>
          <w:spacing w:val="-12"/>
          <w:w w:val="115"/>
          <w:sz w:val="19"/>
        </w:rPr>
        <w:t> </w:t>
      </w:r>
      <w:r>
        <w:rPr>
          <w:w w:val="115"/>
          <w:sz w:val="19"/>
        </w:rPr>
        <w:t>justicia</w:t>
      </w:r>
      <w:r>
        <w:rPr>
          <w:spacing w:val="-12"/>
          <w:w w:val="115"/>
          <w:sz w:val="19"/>
        </w:rPr>
        <w:t> </w:t>
      </w:r>
      <w:r>
        <w:rPr>
          <w:w w:val="115"/>
          <w:sz w:val="19"/>
        </w:rPr>
        <w:t>social</w:t>
      </w:r>
      <w:r>
        <w:rPr>
          <w:spacing w:val="-12"/>
          <w:w w:val="115"/>
          <w:sz w:val="19"/>
        </w:rPr>
        <w:t> </w:t>
      </w:r>
      <w:r>
        <w:rPr>
          <w:w w:val="115"/>
          <w:sz w:val="19"/>
        </w:rPr>
        <w:t>y equidad,</w:t>
      </w:r>
      <w:r>
        <w:rPr>
          <w:spacing w:val="-33"/>
          <w:w w:val="115"/>
          <w:sz w:val="19"/>
        </w:rPr>
        <w:t> </w:t>
      </w:r>
      <w:r>
        <w:rPr>
          <w:w w:val="115"/>
          <w:sz w:val="19"/>
        </w:rPr>
        <w:t>necesariamente</w:t>
      </w:r>
      <w:r>
        <w:rPr>
          <w:spacing w:val="-33"/>
          <w:w w:val="115"/>
          <w:sz w:val="19"/>
        </w:rPr>
        <w:t> </w:t>
      </w:r>
      <w:r>
        <w:rPr>
          <w:w w:val="115"/>
          <w:sz w:val="19"/>
        </w:rPr>
        <w:t>basados</w:t>
      </w:r>
      <w:r>
        <w:rPr>
          <w:spacing w:val="-33"/>
          <w:w w:val="115"/>
          <w:sz w:val="19"/>
        </w:rPr>
        <w:t> </w:t>
      </w:r>
      <w:r>
        <w:rPr>
          <w:w w:val="115"/>
          <w:sz w:val="19"/>
        </w:rPr>
        <w:t>en</w:t>
      </w:r>
      <w:r>
        <w:rPr>
          <w:spacing w:val="-33"/>
          <w:w w:val="115"/>
          <w:sz w:val="19"/>
        </w:rPr>
        <w:t> </w:t>
      </w:r>
      <w:r>
        <w:rPr>
          <w:w w:val="115"/>
          <w:sz w:val="19"/>
        </w:rPr>
        <w:t>el</w:t>
      </w:r>
      <w:r>
        <w:rPr>
          <w:spacing w:val="-33"/>
          <w:w w:val="115"/>
          <w:sz w:val="19"/>
        </w:rPr>
        <w:t> </w:t>
      </w:r>
      <w:r>
        <w:rPr>
          <w:w w:val="115"/>
          <w:sz w:val="19"/>
        </w:rPr>
        <w:t>conocimiento.</w:t>
      </w:r>
      <w:r>
        <w:rPr>
          <w:spacing w:val="-33"/>
          <w:w w:val="115"/>
          <w:sz w:val="19"/>
        </w:rPr>
        <w:t> </w:t>
      </w:r>
      <w:r>
        <w:rPr>
          <w:w w:val="115"/>
          <w:sz w:val="19"/>
        </w:rPr>
        <w:t>En</w:t>
      </w:r>
      <w:r>
        <w:rPr>
          <w:spacing w:val="-33"/>
          <w:w w:val="115"/>
          <w:sz w:val="19"/>
        </w:rPr>
        <w:t> </w:t>
      </w:r>
      <w:r>
        <w:rPr>
          <w:w w:val="115"/>
          <w:sz w:val="19"/>
        </w:rPr>
        <w:t>este</w:t>
      </w:r>
      <w:r>
        <w:rPr>
          <w:spacing w:val="-33"/>
          <w:w w:val="115"/>
          <w:sz w:val="19"/>
        </w:rPr>
        <w:t> </w:t>
      </w:r>
      <w:r>
        <w:rPr>
          <w:w w:val="115"/>
          <w:sz w:val="19"/>
        </w:rPr>
        <w:t>sentido, constituyó</w:t>
      </w:r>
      <w:r>
        <w:rPr>
          <w:spacing w:val="-12"/>
          <w:w w:val="115"/>
          <w:sz w:val="19"/>
        </w:rPr>
        <w:t> </w:t>
      </w:r>
      <w:r>
        <w:rPr>
          <w:w w:val="115"/>
          <w:sz w:val="19"/>
        </w:rPr>
        <w:t>un</w:t>
      </w:r>
      <w:r>
        <w:rPr>
          <w:spacing w:val="-12"/>
          <w:w w:val="115"/>
          <w:sz w:val="19"/>
        </w:rPr>
        <w:t> </w:t>
      </w:r>
      <w:r>
        <w:rPr>
          <w:w w:val="115"/>
          <w:sz w:val="19"/>
        </w:rPr>
        <w:t>paso</w:t>
      </w:r>
      <w:r>
        <w:rPr>
          <w:spacing w:val="-12"/>
          <w:w w:val="115"/>
          <w:sz w:val="19"/>
        </w:rPr>
        <w:t> </w:t>
      </w:r>
      <w:r>
        <w:rPr>
          <w:w w:val="115"/>
          <w:sz w:val="19"/>
        </w:rPr>
        <w:t>trascendente</w:t>
      </w:r>
      <w:r>
        <w:rPr>
          <w:spacing w:val="-12"/>
          <w:w w:val="115"/>
          <w:sz w:val="19"/>
        </w:rPr>
        <w:t> </w:t>
      </w:r>
      <w:r>
        <w:rPr>
          <w:w w:val="115"/>
          <w:sz w:val="19"/>
        </w:rPr>
        <w:t>la</w:t>
      </w:r>
      <w:r>
        <w:rPr>
          <w:spacing w:val="-12"/>
          <w:w w:val="115"/>
          <w:sz w:val="19"/>
        </w:rPr>
        <w:t> </w:t>
      </w:r>
      <w:r>
        <w:rPr>
          <w:w w:val="115"/>
          <w:sz w:val="19"/>
        </w:rPr>
        <w:t>reciente</w:t>
      </w:r>
      <w:r>
        <w:rPr>
          <w:spacing w:val="-12"/>
          <w:w w:val="115"/>
          <w:sz w:val="19"/>
        </w:rPr>
        <w:t> </w:t>
      </w:r>
      <w:r>
        <w:rPr>
          <w:w w:val="115"/>
          <w:sz w:val="19"/>
        </w:rPr>
        <w:t>fundación</w:t>
      </w:r>
      <w:r>
        <w:rPr>
          <w:spacing w:val="-12"/>
          <w:w w:val="115"/>
          <w:sz w:val="19"/>
        </w:rPr>
        <w:t> </w:t>
      </w:r>
      <w:r>
        <w:rPr>
          <w:w w:val="115"/>
          <w:sz w:val="19"/>
        </w:rPr>
        <w:t>de</w:t>
      </w:r>
      <w:r>
        <w:rPr>
          <w:spacing w:val="-12"/>
          <w:w w:val="115"/>
          <w:sz w:val="19"/>
        </w:rPr>
        <w:t> </w:t>
      </w:r>
      <w:r>
        <w:rPr>
          <w:w w:val="115"/>
          <w:sz w:val="19"/>
        </w:rPr>
        <w:t>la</w:t>
      </w:r>
      <w:r>
        <w:rPr>
          <w:spacing w:val="-12"/>
          <w:w w:val="115"/>
          <w:sz w:val="19"/>
        </w:rPr>
        <w:t> </w:t>
      </w:r>
      <w:r>
        <w:rPr>
          <w:i/>
          <w:w w:val="115"/>
          <w:sz w:val="19"/>
        </w:rPr>
        <w:t>Comuni- </w:t>
      </w:r>
      <w:r>
        <w:rPr>
          <w:i/>
          <w:w w:val="115"/>
          <w:sz w:val="19"/>
        </w:rPr>
        <w:t>dad de Estados Latinoamericanos y Caribeños </w:t>
      </w:r>
      <w:r>
        <w:rPr>
          <w:w w:val="115"/>
          <w:sz w:val="19"/>
        </w:rPr>
        <w:t>(CElaC), que agrupa de forma permanente, por primera vez, a los 33 países de la región (sin</w:t>
      </w:r>
      <w:r>
        <w:rPr>
          <w:spacing w:val="-5"/>
          <w:w w:val="115"/>
          <w:sz w:val="19"/>
        </w:rPr>
        <w:t> </w:t>
      </w:r>
      <w:r>
        <w:rPr>
          <w:w w:val="115"/>
          <w:sz w:val="19"/>
        </w:rPr>
        <w:t>EE.uu.</w:t>
      </w:r>
      <w:r>
        <w:rPr>
          <w:spacing w:val="-5"/>
          <w:w w:val="115"/>
          <w:sz w:val="19"/>
        </w:rPr>
        <w:t> </w:t>
      </w:r>
      <w:r>
        <w:rPr>
          <w:w w:val="115"/>
          <w:sz w:val="19"/>
        </w:rPr>
        <w:t>ni</w:t>
      </w:r>
      <w:r>
        <w:rPr>
          <w:spacing w:val="-5"/>
          <w:w w:val="115"/>
          <w:sz w:val="19"/>
        </w:rPr>
        <w:t> </w:t>
      </w:r>
      <w:r>
        <w:rPr>
          <w:w w:val="115"/>
          <w:sz w:val="19"/>
        </w:rPr>
        <w:t>Canadá)</w:t>
      </w:r>
      <w:r>
        <w:rPr>
          <w:spacing w:val="-5"/>
          <w:w w:val="115"/>
          <w:sz w:val="19"/>
        </w:rPr>
        <w:t> </w:t>
      </w:r>
      <w:r>
        <w:rPr>
          <w:w w:val="115"/>
          <w:sz w:val="19"/>
        </w:rPr>
        <w:t>como</w:t>
      </w:r>
      <w:r>
        <w:rPr>
          <w:spacing w:val="-5"/>
          <w:w w:val="115"/>
          <w:sz w:val="19"/>
        </w:rPr>
        <w:t> </w:t>
      </w:r>
      <w:r>
        <w:rPr>
          <w:w w:val="115"/>
          <w:sz w:val="19"/>
        </w:rPr>
        <w:t>instrumento</w:t>
      </w:r>
      <w:r>
        <w:rPr>
          <w:spacing w:val="-5"/>
          <w:w w:val="115"/>
          <w:sz w:val="19"/>
        </w:rPr>
        <w:t> </w:t>
      </w:r>
      <w:r>
        <w:rPr>
          <w:w w:val="115"/>
          <w:sz w:val="19"/>
        </w:rPr>
        <w:t>de</w:t>
      </w:r>
      <w:r>
        <w:rPr>
          <w:spacing w:val="-5"/>
          <w:w w:val="115"/>
          <w:sz w:val="19"/>
        </w:rPr>
        <w:t> </w:t>
      </w:r>
      <w:r>
        <w:rPr>
          <w:w w:val="115"/>
          <w:sz w:val="19"/>
        </w:rPr>
        <w:t>diálogo,</w:t>
      </w:r>
      <w:r>
        <w:rPr>
          <w:spacing w:val="-5"/>
          <w:w w:val="115"/>
          <w:sz w:val="19"/>
        </w:rPr>
        <w:t> </w:t>
      </w:r>
      <w:r>
        <w:rPr>
          <w:w w:val="115"/>
          <w:sz w:val="19"/>
        </w:rPr>
        <w:t>concertación</w:t>
      </w:r>
      <w:r>
        <w:rPr>
          <w:spacing w:val="-5"/>
          <w:w w:val="115"/>
          <w:sz w:val="19"/>
        </w:rPr>
        <w:t> </w:t>
      </w:r>
      <w:r>
        <w:rPr>
          <w:w w:val="115"/>
          <w:sz w:val="19"/>
        </w:rPr>
        <w:t>y cooperación,</w:t>
      </w:r>
      <w:r>
        <w:rPr>
          <w:spacing w:val="-21"/>
          <w:w w:val="115"/>
          <w:sz w:val="19"/>
        </w:rPr>
        <w:t> </w:t>
      </w:r>
      <w:r>
        <w:rPr>
          <w:w w:val="115"/>
          <w:sz w:val="19"/>
        </w:rPr>
        <w:t>un</w:t>
      </w:r>
      <w:r>
        <w:rPr>
          <w:spacing w:val="-21"/>
          <w:w w:val="115"/>
          <w:sz w:val="19"/>
        </w:rPr>
        <w:t> </w:t>
      </w:r>
      <w:r>
        <w:rPr>
          <w:w w:val="115"/>
          <w:sz w:val="19"/>
        </w:rPr>
        <w:t>foro</w:t>
      </w:r>
      <w:r>
        <w:rPr>
          <w:spacing w:val="-21"/>
          <w:w w:val="115"/>
          <w:sz w:val="19"/>
        </w:rPr>
        <w:t> </w:t>
      </w:r>
      <w:r>
        <w:rPr>
          <w:w w:val="115"/>
          <w:sz w:val="19"/>
        </w:rPr>
        <w:t>y</w:t>
      </w:r>
      <w:r>
        <w:rPr>
          <w:spacing w:val="-21"/>
          <w:w w:val="115"/>
          <w:sz w:val="19"/>
        </w:rPr>
        <w:t> </w:t>
      </w:r>
      <w:r>
        <w:rPr>
          <w:w w:val="115"/>
          <w:sz w:val="19"/>
        </w:rPr>
        <w:t>actor</w:t>
      </w:r>
      <w:r>
        <w:rPr>
          <w:spacing w:val="-21"/>
          <w:w w:val="115"/>
          <w:sz w:val="19"/>
        </w:rPr>
        <w:t> </w:t>
      </w:r>
      <w:r>
        <w:rPr>
          <w:w w:val="115"/>
          <w:sz w:val="19"/>
        </w:rPr>
        <w:t>político</w:t>
      </w:r>
      <w:r>
        <w:rPr>
          <w:spacing w:val="-21"/>
          <w:w w:val="115"/>
          <w:sz w:val="19"/>
        </w:rPr>
        <w:t> </w:t>
      </w:r>
      <w:r>
        <w:rPr>
          <w:w w:val="115"/>
          <w:sz w:val="19"/>
        </w:rPr>
        <w:t>para</w:t>
      </w:r>
      <w:r>
        <w:rPr>
          <w:spacing w:val="-21"/>
          <w:w w:val="115"/>
          <w:sz w:val="19"/>
        </w:rPr>
        <w:t> </w:t>
      </w:r>
      <w:r>
        <w:rPr>
          <w:w w:val="115"/>
          <w:sz w:val="19"/>
        </w:rPr>
        <w:t>avanzar</w:t>
      </w:r>
      <w:r>
        <w:rPr>
          <w:spacing w:val="-21"/>
          <w:w w:val="115"/>
          <w:sz w:val="19"/>
        </w:rPr>
        <w:t> </w:t>
      </w:r>
      <w:r>
        <w:rPr>
          <w:w w:val="115"/>
          <w:sz w:val="19"/>
        </w:rPr>
        <w:t>en</w:t>
      </w:r>
      <w:r>
        <w:rPr>
          <w:spacing w:val="-21"/>
          <w:w w:val="115"/>
          <w:sz w:val="19"/>
        </w:rPr>
        <w:t> </w:t>
      </w:r>
      <w:r>
        <w:rPr>
          <w:w w:val="115"/>
          <w:sz w:val="19"/>
        </w:rPr>
        <w:t>el</w:t>
      </w:r>
      <w:r>
        <w:rPr>
          <w:spacing w:val="-21"/>
          <w:w w:val="115"/>
          <w:sz w:val="19"/>
        </w:rPr>
        <w:t> </w:t>
      </w:r>
      <w:r>
        <w:rPr>
          <w:w w:val="115"/>
          <w:sz w:val="19"/>
        </w:rPr>
        <w:t>proceso</w:t>
      </w:r>
      <w:r>
        <w:rPr>
          <w:spacing w:val="-21"/>
          <w:w w:val="115"/>
          <w:sz w:val="19"/>
        </w:rPr>
        <w:t> </w:t>
      </w:r>
      <w:r>
        <w:rPr>
          <w:w w:val="115"/>
          <w:sz w:val="19"/>
        </w:rPr>
        <w:t>de</w:t>
      </w:r>
      <w:r>
        <w:rPr>
          <w:spacing w:val="-21"/>
          <w:w w:val="115"/>
          <w:sz w:val="19"/>
        </w:rPr>
        <w:t> </w:t>
      </w:r>
      <w:r>
        <w:rPr>
          <w:w w:val="115"/>
          <w:sz w:val="19"/>
        </w:rPr>
        <w:t>in- tegración</w:t>
      </w:r>
      <w:r>
        <w:rPr>
          <w:spacing w:val="-32"/>
          <w:w w:val="115"/>
          <w:sz w:val="19"/>
        </w:rPr>
        <w:t> </w:t>
      </w:r>
      <w:r>
        <w:rPr>
          <w:w w:val="115"/>
          <w:sz w:val="19"/>
        </w:rPr>
        <w:t>política,</w:t>
      </w:r>
      <w:r>
        <w:rPr>
          <w:spacing w:val="-32"/>
          <w:w w:val="115"/>
          <w:sz w:val="19"/>
        </w:rPr>
        <w:t> </w:t>
      </w:r>
      <w:r>
        <w:rPr>
          <w:w w:val="115"/>
          <w:sz w:val="19"/>
        </w:rPr>
        <w:t>económica,</w:t>
      </w:r>
      <w:r>
        <w:rPr>
          <w:spacing w:val="-32"/>
          <w:w w:val="115"/>
          <w:sz w:val="19"/>
        </w:rPr>
        <w:t> </w:t>
      </w:r>
      <w:r>
        <w:rPr>
          <w:w w:val="115"/>
          <w:sz w:val="19"/>
        </w:rPr>
        <w:t>social,</w:t>
      </w:r>
      <w:r>
        <w:rPr>
          <w:spacing w:val="-32"/>
          <w:w w:val="115"/>
          <w:sz w:val="19"/>
        </w:rPr>
        <w:t> </w:t>
      </w:r>
      <w:r>
        <w:rPr>
          <w:w w:val="115"/>
          <w:sz w:val="19"/>
        </w:rPr>
        <w:t>ecológica,</w:t>
      </w:r>
      <w:r>
        <w:rPr>
          <w:spacing w:val="-32"/>
          <w:w w:val="115"/>
          <w:sz w:val="19"/>
        </w:rPr>
        <w:t> </w:t>
      </w:r>
      <w:r>
        <w:rPr>
          <w:w w:val="115"/>
          <w:sz w:val="19"/>
        </w:rPr>
        <w:t>cultural,</w:t>
      </w:r>
      <w:r>
        <w:rPr>
          <w:spacing w:val="-32"/>
          <w:w w:val="115"/>
          <w:sz w:val="19"/>
        </w:rPr>
        <w:t> </w:t>
      </w:r>
      <w:r>
        <w:rPr>
          <w:w w:val="115"/>
          <w:sz w:val="19"/>
        </w:rPr>
        <w:t>pretendiente al necesario principio de </w:t>
      </w:r>
      <w:r>
        <w:rPr>
          <w:i/>
          <w:w w:val="115"/>
          <w:sz w:val="19"/>
        </w:rPr>
        <w:t>unidad en la diversidad </w:t>
      </w:r>
      <w:r>
        <w:rPr>
          <w:w w:val="115"/>
          <w:sz w:val="19"/>
        </w:rPr>
        <w:t>y proclamando al subcontinente</w:t>
      </w:r>
      <w:r>
        <w:rPr>
          <w:spacing w:val="-25"/>
          <w:w w:val="115"/>
          <w:sz w:val="19"/>
        </w:rPr>
        <w:t> </w:t>
      </w:r>
      <w:r>
        <w:rPr>
          <w:w w:val="115"/>
          <w:sz w:val="19"/>
        </w:rPr>
        <w:t>como</w:t>
      </w:r>
      <w:r>
        <w:rPr>
          <w:spacing w:val="-25"/>
          <w:w w:val="115"/>
          <w:sz w:val="19"/>
        </w:rPr>
        <w:t> </w:t>
      </w:r>
      <w:r>
        <w:rPr>
          <w:i/>
          <w:w w:val="115"/>
          <w:sz w:val="19"/>
        </w:rPr>
        <w:t>Zona</w:t>
      </w:r>
      <w:r>
        <w:rPr>
          <w:i/>
          <w:spacing w:val="-25"/>
          <w:w w:val="115"/>
          <w:sz w:val="19"/>
        </w:rPr>
        <w:t> </w:t>
      </w:r>
      <w:r>
        <w:rPr>
          <w:i/>
          <w:w w:val="115"/>
          <w:sz w:val="19"/>
        </w:rPr>
        <w:t>de</w:t>
      </w:r>
      <w:r>
        <w:rPr>
          <w:i/>
          <w:spacing w:val="-25"/>
          <w:w w:val="115"/>
          <w:sz w:val="19"/>
        </w:rPr>
        <w:t> </w:t>
      </w:r>
      <w:r>
        <w:rPr>
          <w:i/>
          <w:w w:val="115"/>
          <w:sz w:val="19"/>
        </w:rPr>
        <w:t>Paz,</w:t>
      </w:r>
      <w:r>
        <w:rPr>
          <w:i/>
          <w:spacing w:val="-25"/>
          <w:w w:val="115"/>
          <w:sz w:val="19"/>
        </w:rPr>
        <w:t> </w:t>
      </w:r>
      <w:r>
        <w:rPr>
          <w:i/>
          <w:w w:val="115"/>
          <w:sz w:val="19"/>
        </w:rPr>
        <w:t>libre</w:t>
      </w:r>
      <w:r>
        <w:rPr>
          <w:i/>
          <w:spacing w:val="-25"/>
          <w:w w:val="115"/>
          <w:sz w:val="19"/>
        </w:rPr>
        <w:t> </w:t>
      </w:r>
      <w:r>
        <w:rPr>
          <w:i/>
          <w:w w:val="115"/>
          <w:sz w:val="19"/>
        </w:rPr>
        <w:t>de</w:t>
      </w:r>
      <w:r>
        <w:rPr>
          <w:i/>
          <w:spacing w:val="-25"/>
          <w:w w:val="115"/>
          <w:sz w:val="19"/>
        </w:rPr>
        <w:t> </w:t>
      </w:r>
      <w:r>
        <w:rPr>
          <w:i/>
          <w:w w:val="115"/>
          <w:sz w:val="19"/>
        </w:rPr>
        <w:t>armamento</w:t>
      </w:r>
      <w:r>
        <w:rPr>
          <w:i/>
          <w:spacing w:val="-25"/>
          <w:w w:val="115"/>
          <w:sz w:val="19"/>
        </w:rPr>
        <w:t> </w:t>
      </w:r>
      <w:r>
        <w:rPr>
          <w:i/>
          <w:spacing w:val="-3"/>
          <w:w w:val="115"/>
          <w:sz w:val="19"/>
        </w:rPr>
        <w:t>nuclear.</w:t>
      </w:r>
    </w:p>
    <w:p>
      <w:pPr>
        <w:spacing w:line="252" w:lineRule="auto" w:before="0"/>
        <w:ind w:left="100" w:right="326" w:firstLine="396"/>
        <w:jc w:val="both"/>
        <w:rPr>
          <w:sz w:val="19"/>
        </w:rPr>
      </w:pPr>
      <w:r>
        <w:rPr>
          <w:w w:val="110"/>
          <w:sz w:val="19"/>
        </w:rPr>
        <w:t>Entre sus múltiples aciertos fundacionales, en lo que al tema de este artículo concierne, se distingue la reciente </w:t>
      </w:r>
      <w:r>
        <w:rPr>
          <w:i/>
          <w:w w:val="110"/>
          <w:sz w:val="19"/>
        </w:rPr>
        <w:t>Declaración de San </w:t>
      </w:r>
      <w:r>
        <w:rPr>
          <w:i/>
          <w:w w:val="110"/>
          <w:sz w:val="19"/>
        </w:rPr>
        <w:t>José sobre </w:t>
      </w:r>
      <w:r>
        <w:rPr>
          <w:i/>
          <w:spacing w:val="-3"/>
          <w:w w:val="110"/>
          <w:sz w:val="19"/>
        </w:rPr>
        <w:t>Talento  </w:t>
      </w:r>
      <w:r>
        <w:rPr>
          <w:i/>
          <w:w w:val="110"/>
          <w:sz w:val="19"/>
        </w:rPr>
        <w:t>Humano en Ciencia, Tecnología e Innovación para    la  Competitividad  de  la  CELAC</w:t>
      </w:r>
      <w:r>
        <w:rPr>
          <w:w w:val="110"/>
          <w:sz w:val="19"/>
        </w:rPr>
        <w:t>,  que  define  los  objetivos,  principios y condiciones idóneas para que el talento humano de la región sea    un elemento dinamizador en la sociedad mancomunada del conoci- </w:t>
      </w:r>
      <w:r>
        <w:rPr>
          <w:spacing w:val="1"/>
          <w:w w:val="110"/>
          <w:sz w:val="19"/>
        </w:rPr>
        <w:t>mient</w:t>
      </w:r>
      <w:r>
        <w:rPr>
          <w:w w:val="110"/>
          <w:sz w:val="19"/>
        </w:rPr>
        <w:t>o</w:t>
      </w:r>
      <w:r>
        <w:rPr>
          <w:sz w:val="19"/>
        </w:rPr>
        <w:t> </w:t>
      </w:r>
      <w:r>
        <w:rPr>
          <w:spacing w:val="-9"/>
          <w:sz w:val="19"/>
        </w:rPr>
        <w:t> </w:t>
      </w:r>
      <w:r>
        <w:rPr>
          <w:spacing w:val="1"/>
          <w:w w:val="119"/>
          <w:sz w:val="19"/>
        </w:rPr>
        <w:t>(CE</w:t>
      </w:r>
      <w:r>
        <w:rPr>
          <w:spacing w:val="1"/>
          <w:w w:val="176"/>
          <w:sz w:val="19"/>
        </w:rPr>
        <w:t>la</w:t>
      </w:r>
      <w:r>
        <w:rPr>
          <w:spacing w:val="1"/>
          <w:w w:val="128"/>
          <w:sz w:val="19"/>
        </w:rPr>
        <w:t>C</w:t>
      </w:r>
      <w:r>
        <w:rPr>
          <w:w w:val="128"/>
          <w:sz w:val="19"/>
        </w:rPr>
        <w:t>,</w:t>
      </w:r>
      <w:r>
        <w:rPr>
          <w:sz w:val="19"/>
        </w:rPr>
        <w:t> </w:t>
      </w:r>
      <w:r>
        <w:rPr>
          <w:spacing w:val="-9"/>
          <w:sz w:val="19"/>
        </w:rPr>
        <w:t> </w:t>
      </w:r>
      <w:r>
        <w:rPr>
          <w:spacing w:val="1"/>
          <w:w w:val="104"/>
          <w:sz w:val="19"/>
        </w:rPr>
        <w:t>2014)</w:t>
      </w:r>
      <w:r>
        <w:rPr>
          <w:w w:val="104"/>
          <w:sz w:val="19"/>
        </w:rPr>
        <w:t>.</w:t>
      </w:r>
      <w:r>
        <w:rPr>
          <w:sz w:val="19"/>
        </w:rPr>
        <w:t> </w:t>
      </w:r>
      <w:r>
        <w:rPr>
          <w:spacing w:val="-9"/>
          <w:sz w:val="19"/>
        </w:rPr>
        <w:t> </w:t>
      </w:r>
      <w:r>
        <w:rPr>
          <w:spacing w:val="1"/>
          <w:w w:val="243"/>
          <w:sz w:val="19"/>
        </w:rPr>
        <w:t>l</w:t>
      </w:r>
      <w:r>
        <w:rPr>
          <w:w w:val="112"/>
          <w:sz w:val="19"/>
        </w:rPr>
        <w:t>a</w:t>
      </w:r>
      <w:r>
        <w:rPr>
          <w:sz w:val="19"/>
        </w:rPr>
        <w:t> </w:t>
      </w:r>
      <w:r>
        <w:rPr>
          <w:spacing w:val="-9"/>
          <w:sz w:val="19"/>
        </w:rPr>
        <w:t> </w:t>
      </w:r>
      <w:r>
        <w:rPr>
          <w:spacing w:val="1"/>
          <w:w w:val="108"/>
          <w:sz w:val="19"/>
        </w:rPr>
        <w:t>preexistenci</w:t>
      </w:r>
      <w:r>
        <w:rPr>
          <w:w w:val="108"/>
          <w:sz w:val="19"/>
        </w:rPr>
        <w:t>a</w:t>
      </w:r>
      <w:r>
        <w:rPr>
          <w:sz w:val="19"/>
        </w:rPr>
        <w:t> </w:t>
      </w:r>
      <w:r>
        <w:rPr>
          <w:spacing w:val="-9"/>
          <w:sz w:val="19"/>
        </w:rPr>
        <w:t> </w:t>
      </w:r>
      <w:r>
        <w:rPr>
          <w:spacing w:val="1"/>
          <w:w w:val="108"/>
          <w:sz w:val="19"/>
        </w:rPr>
        <w:t>e</w:t>
      </w:r>
      <w:r>
        <w:rPr>
          <w:w w:val="108"/>
          <w:sz w:val="19"/>
        </w:rPr>
        <w:t>n</w:t>
      </w:r>
      <w:r>
        <w:rPr>
          <w:sz w:val="19"/>
        </w:rPr>
        <w:t> </w:t>
      </w:r>
      <w:r>
        <w:rPr>
          <w:spacing w:val="-9"/>
          <w:sz w:val="19"/>
        </w:rPr>
        <w:t> </w:t>
      </w:r>
      <w:r>
        <w:rPr>
          <w:spacing w:val="1"/>
          <w:w w:val="106"/>
          <w:sz w:val="19"/>
        </w:rPr>
        <w:t>diverso</w:t>
      </w:r>
      <w:r>
        <w:rPr>
          <w:w w:val="106"/>
          <w:sz w:val="19"/>
        </w:rPr>
        <w:t>s</w:t>
      </w:r>
      <w:r>
        <w:rPr>
          <w:sz w:val="19"/>
        </w:rPr>
        <w:t> </w:t>
      </w:r>
      <w:r>
        <w:rPr>
          <w:spacing w:val="-9"/>
          <w:sz w:val="19"/>
        </w:rPr>
        <w:t> </w:t>
      </w:r>
      <w:r>
        <w:rPr>
          <w:spacing w:val="1"/>
          <w:w w:val="108"/>
          <w:sz w:val="19"/>
        </w:rPr>
        <w:t>paíse</w:t>
      </w:r>
      <w:r>
        <w:rPr>
          <w:w w:val="108"/>
          <w:sz w:val="19"/>
        </w:rPr>
        <w:t>s</w:t>
      </w:r>
      <w:r>
        <w:rPr>
          <w:sz w:val="19"/>
        </w:rPr>
        <w:t> </w:t>
      </w:r>
      <w:r>
        <w:rPr>
          <w:spacing w:val="-9"/>
          <w:sz w:val="19"/>
        </w:rPr>
        <w:t> </w:t>
      </w:r>
      <w:r>
        <w:rPr>
          <w:w w:val="105"/>
          <w:sz w:val="19"/>
        </w:rPr>
        <w:t>y</w:t>
      </w:r>
      <w:r>
        <w:rPr>
          <w:sz w:val="19"/>
        </w:rPr>
        <w:t> </w:t>
      </w:r>
      <w:r>
        <w:rPr>
          <w:spacing w:val="-9"/>
          <w:sz w:val="19"/>
        </w:rPr>
        <w:t> </w:t>
      </w:r>
      <w:r>
        <w:rPr>
          <w:spacing w:val="1"/>
          <w:w w:val="110"/>
          <w:sz w:val="19"/>
        </w:rPr>
        <w:t>agru</w:t>
      </w:r>
      <w:r>
        <w:rPr>
          <w:w w:val="102"/>
          <w:sz w:val="19"/>
        </w:rPr>
        <w:t>- </w:t>
      </w:r>
      <w:r>
        <w:rPr>
          <w:w w:val="110"/>
          <w:sz w:val="19"/>
        </w:rPr>
        <w:t>paciones de la </w:t>
      </w:r>
      <w:r>
        <w:rPr>
          <w:w w:val="150"/>
          <w:sz w:val="19"/>
        </w:rPr>
        <w:t>CElaC </w:t>
      </w:r>
      <w:r>
        <w:rPr>
          <w:w w:val="110"/>
          <w:sz w:val="19"/>
        </w:rPr>
        <w:t>de </w:t>
      </w:r>
      <w:r>
        <w:rPr>
          <w:i/>
          <w:w w:val="110"/>
          <w:sz w:val="19"/>
        </w:rPr>
        <w:t>masa crítica </w:t>
      </w:r>
      <w:r>
        <w:rPr>
          <w:w w:val="110"/>
          <w:sz w:val="19"/>
        </w:rPr>
        <w:t>en diversos campos del  </w:t>
      </w:r>
      <w:r>
        <w:rPr>
          <w:spacing w:val="34"/>
          <w:w w:val="110"/>
          <w:sz w:val="19"/>
        </w:rPr>
        <w:t> </w:t>
      </w:r>
      <w:r>
        <w:rPr>
          <w:w w:val="110"/>
          <w:sz w:val="19"/>
        </w:rPr>
        <w:t>saber</w:t>
      </w:r>
    </w:p>
    <w:p>
      <w:pPr>
        <w:spacing w:after="0" w:line="252" w:lineRule="auto"/>
        <w:jc w:val="both"/>
        <w:rPr>
          <w:sz w:val="19"/>
        </w:rPr>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6"/>
        <w:jc w:val="both"/>
      </w:pPr>
      <w:r>
        <w:rPr>
          <w:w w:val="110"/>
        </w:rPr>
        <w:t>y de su correspondiente asociación  a  sectores  de  la  producción  y los servicios, indica sobre la necesidad y posibilidad de su óptima </w:t>
      </w:r>
      <w:r>
        <w:rPr>
          <w:spacing w:val="1"/>
          <w:w w:val="110"/>
        </w:rPr>
        <w:t>generalizació</w:t>
      </w:r>
      <w:r>
        <w:rPr>
          <w:w w:val="110"/>
        </w:rPr>
        <w:t>n</w:t>
      </w:r>
      <w:r>
        <w:rPr>
          <w:spacing w:val="12"/>
        </w:rPr>
        <w:t> </w:t>
      </w:r>
      <w:r>
        <w:rPr>
          <w:w w:val="112"/>
        </w:rPr>
        <w:t>a</w:t>
      </w:r>
      <w:r>
        <w:rPr>
          <w:spacing w:val="12"/>
        </w:rPr>
        <w:t> </w:t>
      </w:r>
      <w:r>
        <w:rPr>
          <w:spacing w:val="1"/>
          <w:w w:val="109"/>
        </w:rPr>
        <w:t>toda</w:t>
      </w:r>
      <w:r>
        <w:rPr>
          <w:w w:val="109"/>
        </w:rPr>
        <w:t>s</w:t>
      </w:r>
      <w:r>
        <w:rPr>
          <w:spacing w:val="12"/>
        </w:rPr>
        <w:t> </w:t>
      </w:r>
      <w:r>
        <w:rPr>
          <w:spacing w:val="1"/>
          <w:w w:val="109"/>
        </w:rPr>
        <w:t>la</w:t>
      </w:r>
      <w:r>
        <w:rPr>
          <w:w w:val="109"/>
        </w:rPr>
        <w:t>s</w:t>
      </w:r>
      <w:r>
        <w:rPr>
          <w:spacing w:val="12"/>
        </w:rPr>
        <w:t> </w:t>
      </w:r>
      <w:r>
        <w:rPr>
          <w:spacing w:val="1"/>
          <w:w w:val="107"/>
        </w:rPr>
        <w:t>esfera</w:t>
      </w:r>
      <w:r>
        <w:rPr>
          <w:w w:val="107"/>
        </w:rPr>
        <w:t>s</w:t>
      </w:r>
      <w:r>
        <w:rPr>
          <w:spacing w:val="12"/>
        </w:rPr>
        <w:t> </w:t>
      </w:r>
      <w:r>
        <w:rPr>
          <w:spacing w:val="1"/>
          <w:w w:val="107"/>
        </w:rPr>
        <w:t>de</w:t>
      </w:r>
      <w:r>
        <w:rPr>
          <w:w w:val="107"/>
        </w:rPr>
        <w:t>l</w:t>
      </w:r>
      <w:r>
        <w:rPr>
          <w:spacing w:val="12"/>
        </w:rPr>
        <w:t> </w:t>
      </w:r>
      <w:r>
        <w:rPr>
          <w:spacing w:val="1"/>
          <w:w w:val="109"/>
        </w:rPr>
        <w:t>quehace</w:t>
      </w:r>
      <w:r>
        <w:rPr>
          <w:w w:val="109"/>
        </w:rPr>
        <w:t>r</w:t>
      </w:r>
      <w:r>
        <w:rPr>
          <w:spacing w:val="12"/>
        </w:rPr>
        <w:t> </w:t>
      </w:r>
      <w:r>
        <w:rPr>
          <w:spacing w:val="1"/>
          <w:w w:val="113"/>
        </w:rPr>
        <w:t>humano</w:t>
      </w:r>
      <w:r>
        <w:rPr>
          <w:w w:val="113"/>
        </w:rPr>
        <w:t>.</w:t>
      </w:r>
      <w:r>
        <w:rPr>
          <w:spacing w:val="12"/>
        </w:rPr>
        <w:t> </w:t>
      </w:r>
      <w:r>
        <w:rPr>
          <w:spacing w:val="1"/>
          <w:w w:val="243"/>
        </w:rPr>
        <w:t>l</w:t>
      </w:r>
      <w:r>
        <w:rPr>
          <w:w w:val="112"/>
        </w:rPr>
        <w:t>a</w:t>
      </w:r>
      <w:r>
        <w:rPr>
          <w:spacing w:val="12"/>
        </w:rPr>
        <w:t> </w:t>
      </w:r>
      <w:r>
        <w:rPr>
          <w:spacing w:val="1"/>
          <w:w w:val="139"/>
        </w:rPr>
        <w:t>d</w:t>
      </w:r>
      <w:r>
        <w:rPr>
          <w:spacing w:val="1"/>
          <w:w w:val="110"/>
        </w:rPr>
        <w:t>eclar</w:t>
      </w:r>
      <w:r>
        <w:rPr>
          <w:spacing w:val="2"/>
          <w:w w:val="110"/>
        </w:rPr>
        <w:t>a</w:t>
      </w:r>
      <w:r>
        <w:rPr>
          <w:w w:val="102"/>
        </w:rPr>
        <w:t>- </w:t>
      </w:r>
      <w:r>
        <w:rPr>
          <w:w w:val="110"/>
        </w:rPr>
        <w:t>ción Política de belén, en la recién celebrada </w:t>
      </w:r>
      <w:r>
        <w:rPr>
          <w:w w:val="150"/>
        </w:rPr>
        <w:t>iii </w:t>
      </w:r>
      <w:r>
        <w:rPr>
          <w:w w:val="110"/>
        </w:rPr>
        <w:t>Cumbre de </w:t>
      </w:r>
      <w:r>
        <w:rPr>
          <w:w w:val="150"/>
        </w:rPr>
        <w:t>CElaC, </w:t>
      </w:r>
      <w:r>
        <w:rPr>
          <w:w w:val="110"/>
        </w:rPr>
        <w:t>Costa rica, integra un amplio espectro de principios, objetivos e ins- trumentos que contribuyan a esa gran transformación. </w:t>
      </w:r>
      <w:r>
        <w:rPr>
          <w:w w:val="150"/>
        </w:rPr>
        <w:t>a </w:t>
      </w:r>
      <w:r>
        <w:rPr>
          <w:w w:val="110"/>
        </w:rPr>
        <w:t>partir de   ese consenso, el presidente del Ecuador, rafael Correa, al asumir la presidencia</w:t>
      </w:r>
      <w:r>
        <w:rPr>
          <w:spacing w:val="-4"/>
          <w:w w:val="110"/>
        </w:rPr>
        <w:t> </w:t>
      </w:r>
      <w:r>
        <w:rPr>
          <w:i/>
          <w:w w:val="110"/>
        </w:rPr>
        <w:t>pro</w:t>
      </w:r>
      <w:r>
        <w:rPr>
          <w:i/>
          <w:spacing w:val="-4"/>
          <w:w w:val="110"/>
        </w:rPr>
        <w:t> </w:t>
      </w:r>
      <w:r>
        <w:rPr>
          <w:i/>
          <w:w w:val="110"/>
        </w:rPr>
        <w:t>tempore</w:t>
      </w:r>
      <w:r>
        <w:rPr>
          <w:i/>
          <w:spacing w:val="-4"/>
          <w:w w:val="110"/>
        </w:rPr>
        <w:t> </w:t>
      </w:r>
      <w:r>
        <w:rPr>
          <w:w w:val="110"/>
        </w:rPr>
        <w:t>de</w:t>
      </w:r>
      <w:r>
        <w:rPr>
          <w:spacing w:val="-4"/>
          <w:w w:val="110"/>
        </w:rPr>
        <w:t> </w:t>
      </w:r>
      <w:r>
        <w:rPr>
          <w:w w:val="110"/>
        </w:rPr>
        <w:t>la</w:t>
      </w:r>
      <w:r>
        <w:rPr>
          <w:spacing w:val="-4"/>
          <w:w w:val="110"/>
        </w:rPr>
        <w:t> </w:t>
      </w:r>
      <w:r>
        <w:rPr>
          <w:w w:val="150"/>
        </w:rPr>
        <w:t>CElaC</w:t>
      </w:r>
      <w:r>
        <w:rPr>
          <w:spacing w:val="-21"/>
          <w:w w:val="150"/>
        </w:rPr>
        <w:t> </w:t>
      </w:r>
      <w:r>
        <w:rPr>
          <w:w w:val="110"/>
        </w:rPr>
        <w:t>para</w:t>
      </w:r>
      <w:r>
        <w:rPr>
          <w:spacing w:val="-4"/>
          <w:w w:val="110"/>
        </w:rPr>
        <w:t> </w:t>
      </w:r>
      <w:r>
        <w:rPr>
          <w:w w:val="110"/>
        </w:rPr>
        <w:t>el</w:t>
      </w:r>
      <w:r>
        <w:rPr>
          <w:spacing w:val="-4"/>
          <w:w w:val="110"/>
        </w:rPr>
        <w:t> </w:t>
      </w:r>
      <w:r>
        <w:rPr>
          <w:w w:val="110"/>
        </w:rPr>
        <w:t>subsiguiente</w:t>
      </w:r>
      <w:r>
        <w:rPr>
          <w:spacing w:val="-4"/>
          <w:w w:val="110"/>
        </w:rPr>
        <w:t> </w:t>
      </w:r>
      <w:r>
        <w:rPr>
          <w:w w:val="110"/>
        </w:rPr>
        <w:t>período</w:t>
      </w:r>
      <w:r>
        <w:rPr>
          <w:spacing w:val="-4"/>
          <w:w w:val="110"/>
        </w:rPr>
        <w:t> </w:t>
      </w:r>
      <w:r>
        <w:rPr>
          <w:w w:val="110"/>
        </w:rPr>
        <w:t>de 2015, priorizó la implementación de cuatro ejes fundamentales rela- cionados con la erradicación de la extrema pobreza, la construcción de una arquitectura financiera regional, </w:t>
      </w:r>
      <w:r>
        <w:rPr>
          <w:i/>
          <w:w w:val="110"/>
        </w:rPr>
        <w:t>el desarrollo de la ciencia y la </w:t>
      </w:r>
      <w:r>
        <w:rPr>
          <w:i/>
          <w:w w:val="110"/>
        </w:rPr>
        <w:t>tecnología </w:t>
      </w:r>
      <w:r>
        <w:rPr>
          <w:w w:val="110"/>
        </w:rPr>
        <w:t>y la infraestructura vial, productiva y energética (Correa, 2015). sin dudas, se trata de un hito cualitativo, programático y me- todológico, en pos de metas concretas de acercamiento a la anhelada estrategia </w:t>
      </w:r>
      <w:r>
        <w:rPr>
          <w:spacing w:val="11"/>
          <w:w w:val="110"/>
        </w:rPr>
        <w:t> </w:t>
      </w:r>
      <w:r>
        <w:rPr>
          <w:w w:val="110"/>
        </w:rPr>
        <w:t>mancomunada.</w:t>
      </w:r>
    </w:p>
    <w:p>
      <w:pPr>
        <w:pStyle w:val="BodyText"/>
        <w:spacing w:line="252" w:lineRule="auto"/>
        <w:ind w:left="330" w:right="115" w:firstLine="396"/>
        <w:jc w:val="both"/>
        <w:rPr>
          <w:i/>
        </w:rPr>
      </w:pPr>
      <w:r>
        <w:rPr>
          <w:w w:val="115"/>
        </w:rPr>
        <w:t>otro</w:t>
      </w:r>
      <w:r>
        <w:rPr>
          <w:spacing w:val="-15"/>
          <w:w w:val="115"/>
        </w:rPr>
        <w:t> </w:t>
      </w:r>
      <w:r>
        <w:rPr>
          <w:w w:val="115"/>
        </w:rPr>
        <w:t>paso</w:t>
      </w:r>
      <w:r>
        <w:rPr>
          <w:spacing w:val="-15"/>
          <w:w w:val="115"/>
        </w:rPr>
        <w:t> </w:t>
      </w:r>
      <w:r>
        <w:rPr>
          <w:w w:val="115"/>
        </w:rPr>
        <w:t>trascendente,</w:t>
      </w:r>
      <w:r>
        <w:rPr>
          <w:spacing w:val="-15"/>
          <w:w w:val="115"/>
        </w:rPr>
        <w:t> </w:t>
      </w:r>
      <w:r>
        <w:rPr>
          <w:w w:val="115"/>
        </w:rPr>
        <w:t>para</w:t>
      </w:r>
      <w:r>
        <w:rPr>
          <w:spacing w:val="-15"/>
          <w:w w:val="115"/>
        </w:rPr>
        <w:t> </w:t>
      </w:r>
      <w:r>
        <w:rPr>
          <w:w w:val="115"/>
        </w:rPr>
        <w:t>vencer</w:t>
      </w:r>
      <w:r>
        <w:rPr>
          <w:spacing w:val="-15"/>
          <w:w w:val="115"/>
        </w:rPr>
        <w:t> </w:t>
      </w:r>
      <w:r>
        <w:rPr>
          <w:w w:val="115"/>
        </w:rPr>
        <w:t>la</w:t>
      </w:r>
      <w:r>
        <w:rPr>
          <w:spacing w:val="-15"/>
          <w:w w:val="115"/>
        </w:rPr>
        <w:t> </w:t>
      </w:r>
      <w:r>
        <w:rPr>
          <w:w w:val="115"/>
        </w:rPr>
        <w:t>brecha</w:t>
      </w:r>
      <w:r>
        <w:rPr>
          <w:spacing w:val="-15"/>
          <w:w w:val="115"/>
        </w:rPr>
        <w:t> </w:t>
      </w:r>
      <w:r>
        <w:rPr>
          <w:w w:val="115"/>
        </w:rPr>
        <w:t>del</w:t>
      </w:r>
      <w:r>
        <w:rPr>
          <w:spacing w:val="-15"/>
          <w:w w:val="115"/>
        </w:rPr>
        <w:t> </w:t>
      </w:r>
      <w:r>
        <w:rPr>
          <w:w w:val="115"/>
        </w:rPr>
        <w:t>subdesarrollo en el </w:t>
      </w:r>
      <w:r>
        <w:rPr>
          <w:i/>
          <w:w w:val="115"/>
        </w:rPr>
        <w:t>traspatio imperial</w:t>
      </w:r>
      <w:r>
        <w:rPr>
          <w:w w:val="115"/>
        </w:rPr>
        <w:t>, e insertarse en condiciones de equidad en la forja de un mundo multipolar, es el estrechamiento de lazos bi-  y multilaterales </w:t>
      </w:r>
      <w:r>
        <w:rPr>
          <w:spacing w:val="-4"/>
          <w:w w:val="115"/>
        </w:rPr>
        <w:t>sur-sur, </w:t>
      </w:r>
      <w:r>
        <w:rPr>
          <w:w w:val="115"/>
        </w:rPr>
        <w:t>con otras comunidades y países, esencial- mente sus avanzadas de los briCs. además del “Comercio”, asumen un lugar prioritario las “inversiones”, “Ciencia-tecnología-innova- ción”, “Cambio Climático” y el “desarrollo Humano” como pilares distintivos</w:t>
      </w:r>
      <w:r>
        <w:rPr>
          <w:spacing w:val="-9"/>
          <w:w w:val="115"/>
        </w:rPr>
        <w:t> </w:t>
      </w:r>
      <w:r>
        <w:rPr>
          <w:w w:val="115"/>
        </w:rPr>
        <w:t>en</w:t>
      </w:r>
      <w:r>
        <w:rPr>
          <w:spacing w:val="-9"/>
          <w:w w:val="115"/>
        </w:rPr>
        <w:t> </w:t>
      </w:r>
      <w:r>
        <w:rPr>
          <w:w w:val="115"/>
        </w:rPr>
        <w:t>régimen</w:t>
      </w:r>
      <w:r>
        <w:rPr>
          <w:spacing w:val="-9"/>
          <w:w w:val="115"/>
        </w:rPr>
        <w:t> </w:t>
      </w:r>
      <w:r>
        <w:rPr>
          <w:w w:val="115"/>
        </w:rPr>
        <w:t>de</w:t>
      </w:r>
      <w:r>
        <w:rPr>
          <w:spacing w:val="-9"/>
          <w:w w:val="115"/>
        </w:rPr>
        <w:t> </w:t>
      </w:r>
      <w:r>
        <w:rPr>
          <w:i/>
          <w:w w:val="115"/>
        </w:rPr>
        <w:t>ganar-ganar</w:t>
      </w:r>
      <w:r>
        <w:rPr>
          <w:w w:val="115"/>
        </w:rPr>
        <w:t>,</w:t>
      </w:r>
      <w:r>
        <w:rPr>
          <w:spacing w:val="-9"/>
          <w:w w:val="115"/>
        </w:rPr>
        <w:t> </w:t>
      </w:r>
      <w:r>
        <w:rPr>
          <w:w w:val="115"/>
        </w:rPr>
        <w:t>a</w:t>
      </w:r>
      <w:r>
        <w:rPr>
          <w:spacing w:val="-9"/>
          <w:w w:val="115"/>
        </w:rPr>
        <w:t> </w:t>
      </w:r>
      <w:r>
        <w:rPr>
          <w:w w:val="115"/>
        </w:rPr>
        <w:t>diferencia</w:t>
      </w:r>
      <w:r>
        <w:rPr>
          <w:spacing w:val="-9"/>
          <w:w w:val="115"/>
        </w:rPr>
        <w:t> </w:t>
      </w:r>
      <w:r>
        <w:rPr>
          <w:w w:val="115"/>
        </w:rPr>
        <w:t>del</w:t>
      </w:r>
      <w:r>
        <w:rPr>
          <w:spacing w:val="-9"/>
          <w:w w:val="115"/>
        </w:rPr>
        <w:t> </w:t>
      </w:r>
      <w:r>
        <w:rPr>
          <w:w w:val="115"/>
        </w:rPr>
        <w:t>intercambio desigual</w:t>
      </w:r>
      <w:r>
        <w:rPr>
          <w:spacing w:val="-15"/>
          <w:w w:val="115"/>
        </w:rPr>
        <w:t> </w:t>
      </w:r>
      <w:r>
        <w:rPr>
          <w:w w:val="115"/>
        </w:rPr>
        <w:t>de</w:t>
      </w:r>
      <w:r>
        <w:rPr>
          <w:spacing w:val="-15"/>
          <w:w w:val="115"/>
        </w:rPr>
        <w:t> </w:t>
      </w:r>
      <w:r>
        <w:rPr>
          <w:w w:val="115"/>
        </w:rPr>
        <w:t>los</w:t>
      </w:r>
      <w:r>
        <w:rPr>
          <w:spacing w:val="-15"/>
          <w:w w:val="115"/>
        </w:rPr>
        <w:t> </w:t>
      </w:r>
      <w:r>
        <w:rPr>
          <w:w w:val="115"/>
        </w:rPr>
        <w:t>precedentes</w:t>
      </w:r>
      <w:r>
        <w:rPr>
          <w:spacing w:val="-15"/>
          <w:w w:val="115"/>
        </w:rPr>
        <w:t> </w:t>
      </w:r>
      <w:r>
        <w:rPr>
          <w:w w:val="115"/>
        </w:rPr>
        <w:t>modelos</w:t>
      </w:r>
      <w:r>
        <w:rPr>
          <w:spacing w:val="-15"/>
          <w:w w:val="115"/>
        </w:rPr>
        <w:t> </w:t>
      </w:r>
      <w:r>
        <w:rPr>
          <w:w w:val="115"/>
        </w:rPr>
        <w:t>Norte-sur,</w:t>
      </w:r>
      <w:r>
        <w:rPr>
          <w:spacing w:val="-15"/>
          <w:w w:val="115"/>
        </w:rPr>
        <w:t> </w:t>
      </w:r>
      <w:r>
        <w:rPr>
          <w:w w:val="115"/>
        </w:rPr>
        <w:t>promotores</w:t>
      </w:r>
      <w:r>
        <w:rPr>
          <w:spacing w:val="-15"/>
          <w:w w:val="115"/>
        </w:rPr>
        <w:t> </w:t>
      </w:r>
      <w:r>
        <w:rPr>
          <w:w w:val="115"/>
        </w:rPr>
        <w:t>de</w:t>
      </w:r>
      <w:r>
        <w:rPr>
          <w:spacing w:val="-15"/>
          <w:w w:val="115"/>
        </w:rPr>
        <w:t> </w:t>
      </w:r>
      <w:r>
        <w:rPr>
          <w:w w:val="115"/>
        </w:rPr>
        <w:t>rela- </w:t>
      </w:r>
      <w:r>
        <w:rPr>
          <w:w w:val="110"/>
        </w:rPr>
        <w:t>ciones </w:t>
      </w:r>
      <w:r>
        <w:rPr>
          <w:i/>
          <w:w w:val="110"/>
        </w:rPr>
        <w:t>master-servant.</w:t>
      </w:r>
    </w:p>
    <w:p>
      <w:pPr>
        <w:pStyle w:val="BodyText"/>
        <w:spacing w:line="252" w:lineRule="auto"/>
        <w:ind w:left="330" w:right="117" w:firstLine="396"/>
        <w:jc w:val="both"/>
      </w:pPr>
      <w:r>
        <w:rPr>
          <w:w w:val="115"/>
        </w:rPr>
        <w:t>un</w:t>
      </w:r>
      <w:r>
        <w:rPr>
          <w:spacing w:val="-16"/>
          <w:w w:val="115"/>
        </w:rPr>
        <w:t> </w:t>
      </w:r>
      <w:r>
        <w:rPr>
          <w:w w:val="115"/>
        </w:rPr>
        <w:t>hito</w:t>
      </w:r>
      <w:r>
        <w:rPr>
          <w:spacing w:val="-16"/>
          <w:w w:val="115"/>
        </w:rPr>
        <w:t> </w:t>
      </w:r>
      <w:r>
        <w:rPr>
          <w:w w:val="115"/>
        </w:rPr>
        <w:t>en</w:t>
      </w:r>
      <w:r>
        <w:rPr>
          <w:spacing w:val="-16"/>
          <w:w w:val="115"/>
        </w:rPr>
        <w:t> </w:t>
      </w:r>
      <w:r>
        <w:rPr>
          <w:w w:val="115"/>
        </w:rPr>
        <w:t>este</w:t>
      </w:r>
      <w:r>
        <w:rPr>
          <w:spacing w:val="-16"/>
          <w:w w:val="115"/>
        </w:rPr>
        <w:t> </w:t>
      </w:r>
      <w:r>
        <w:rPr>
          <w:w w:val="115"/>
        </w:rPr>
        <w:t>plano,</w:t>
      </w:r>
      <w:r>
        <w:rPr>
          <w:spacing w:val="-16"/>
          <w:w w:val="115"/>
        </w:rPr>
        <w:t> </w:t>
      </w:r>
      <w:r>
        <w:rPr>
          <w:w w:val="115"/>
        </w:rPr>
        <w:t>de</w:t>
      </w:r>
      <w:r>
        <w:rPr>
          <w:spacing w:val="-16"/>
          <w:w w:val="115"/>
        </w:rPr>
        <w:t> </w:t>
      </w:r>
      <w:r>
        <w:rPr>
          <w:w w:val="115"/>
        </w:rPr>
        <w:t>altruismo</w:t>
      </w:r>
      <w:r>
        <w:rPr>
          <w:spacing w:val="-16"/>
          <w:w w:val="115"/>
        </w:rPr>
        <w:t> </w:t>
      </w:r>
      <w:r>
        <w:rPr>
          <w:w w:val="115"/>
        </w:rPr>
        <w:t>y</w:t>
      </w:r>
      <w:r>
        <w:rPr>
          <w:spacing w:val="-16"/>
          <w:w w:val="115"/>
        </w:rPr>
        <w:t> </w:t>
      </w:r>
      <w:r>
        <w:rPr>
          <w:w w:val="115"/>
        </w:rPr>
        <w:t>humanismo</w:t>
      </w:r>
      <w:r>
        <w:rPr>
          <w:spacing w:val="-16"/>
          <w:w w:val="115"/>
        </w:rPr>
        <w:t> </w:t>
      </w:r>
      <w:r>
        <w:rPr>
          <w:w w:val="115"/>
        </w:rPr>
        <w:t>–a</w:t>
      </w:r>
      <w:r>
        <w:rPr>
          <w:spacing w:val="-16"/>
          <w:w w:val="115"/>
        </w:rPr>
        <w:t> </w:t>
      </w:r>
      <w:r>
        <w:rPr>
          <w:w w:val="115"/>
        </w:rPr>
        <w:t>la</w:t>
      </w:r>
      <w:r>
        <w:rPr>
          <w:spacing w:val="-16"/>
          <w:w w:val="115"/>
        </w:rPr>
        <w:t> </w:t>
      </w:r>
      <w:r>
        <w:rPr>
          <w:w w:val="115"/>
        </w:rPr>
        <w:t>vez</w:t>
      </w:r>
      <w:r>
        <w:rPr>
          <w:spacing w:val="-16"/>
          <w:w w:val="115"/>
        </w:rPr>
        <w:t> </w:t>
      </w:r>
      <w:r>
        <w:rPr>
          <w:w w:val="115"/>
        </w:rPr>
        <w:t>que</w:t>
      </w:r>
      <w:r>
        <w:rPr>
          <w:spacing w:val="-16"/>
          <w:w w:val="115"/>
        </w:rPr>
        <w:t> </w:t>
      </w:r>
      <w:r>
        <w:rPr>
          <w:w w:val="115"/>
        </w:rPr>
        <w:t>de alto conocimiento y servicio científico– a escala regional y</w:t>
      </w:r>
      <w:r>
        <w:rPr>
          <w:spacing w:val="-8"/>
          <w:w w:val="115"/>
        </w:rPr>
        <w:t> </w:t>
      </w:r>
      <w:r>
        <w:rPr>
          <w:w w:val="115"/>
        </w:rPr>
        <w:t>mundial, fue la inmediata respuesta de Cuba al llamado directo del secreta- rio General de la oNu, ban Kimoon, y de la secretaria General de    la organización Mundial de la salud (oMs), Margaret Chan, con el envío</w:t>
      </w:r>
      <w:r>
        <w:rPr>
          <w:spacing w:val="-14"/>
          <w:w w:val="115"/>
        </w:rPr>
        <w:t> </w:t>
      </w:r>
      <w:r>
        <w:rPr>
          <w:w w:val="115"/>
        </w:rPr>
        <w:t>de</w:t>
      </w:r>
      <w:r>
        <w:rPr>
          <w:spacing w:val="-14"/>
          <w:w w:val="115"/>
        </w:rPr>
        <w:t> </w:t>
      </w:r>
      <w:r>
        <w:rPr>
          <w:w w:val="115"/>
        </w:rPr>
        <w:t>una</w:t>
      </w:r>
      <w:r>
        <w:rPr>
          <w:spacing w:val="-14"/>
          <w:w w:val="115"/>
        </w:rPr>
        <w:t> </w:t>
      </w:r>
      <w:r>
        <w:rPr>
          <w:w w:val="115"/>
        </w:rPr>
        <w:t>brigada</w:t>
      </w:r>
      <w:r>
        <w:rPr>
          <w:spacing w:val="-14"/>
          <w:w w:val="115"/>
        </w:rPr>
        <w:t> </w:t>
      </w:r>
      <w:r>
        <w:rPr>
          <w:w w:val="115"/>
        </w:rPr>
        <w:t>de</w:t>
      </w:r>
      <w:r>
        <w:rPr>
          <w:spacing w:val="-14"/>
          <w:w w:val="115"/>
        </w:rPr>
        <w:t> </w:t>
      </w:r>
      <w:r>
        <w:rPr>
          <w:w w:val="115"/>
        </w:rPr>
        <w:t>casi</w:t>
      </w:r>
      <w:r>
        <w:rPr>
          <w:spacing w:val="-14"/>
          <w:w w:val="115"/>
        </w:rPr>
        <w:t> </w:t>
      </w:r>
      <w:r>
        <w:rPr>
          <w:w w:val="115"/>
        </w:rPr>
        <w:t>medio</w:t>
      </w:r>
      <w:r>
        <w:rPr>
          <w:spacing w:val="-14"/>
          <w:w w:val="115"/>
        </w:rPr>
        <w:t> </w:t>
      </w:r>
      <w:r>
        <w:rPr>
          <w:w w:val="115"/>
        </w:rPr>
        <w:t>millar</w:t>
      </w:r>
      <w:r>
        <w:rPr>
          <w:spacing w:val="-14"/>
          <w:w w:val="115"/>
        </w:rPr>
        <w:t> </w:t>
      </w:r>
      <w:r>
        <w:rPr>
          <w:w w:val="115"/>
        </w:rPr>
        <w:t>de</w:t>
      </w:r>
      <w:r>
        <w:rPr>
          <w:spacing w:val="-14"/>
          <w:w w:val="115"/>
        </w:rPr>
        <w:t> </w:t>
      </w:r>
      <w:r>
        <w:rPr>
          <w:w w:val="115"/>
        </w:rPr>
        <w:t>médicos</w:t>
      </w:r>
      <w:r>
        <w:rPr>
          <w:spacing w:val="-14"/>
          <w:w w:val="115"/>
        </w:rPr>
        <w:t> </w:t>
      </w:r>
      <w:r>
        <w:rPr>
          <w:w w:val="115"/>
        </w:rPr>
        <w:t>y</w:t>
      </w:r>
      <w:r>
        <w:rPr>
          <w:spacing w:val="-14"/>
          <w:w w:val="115"/>
        </w:rPr>
        <w:t> </w:t>
      </w:r>
      <w:r>
        <w:rPr>
          <w:w w:val="115"/>
        </w:rPr>
        <w:t>paramédicos </w:t>
      </w:r>
      <w:r>
        <w:rPr>
          <w:w w:val="111"/>
        </w:rPr>
        <w:t>cubanos</w:t>
      </w:r>
      <w:r>
        <w:rPr>
          <w:spacing w:val="10"/>
        </w:rPr>
        <w:t> </w:t>
      </w:r>
      <w:r>
        <w:rPr>
          <w:w w:val="112"/>
        </w:rPr>
        <w:t>a</w:t>
      </w:r>
      <w:r>
        <w:rPr>
          <w:spacing w:val="10"/>
        </w:rPr>
        <w:t> </w:t>
      </w:r>
      <w:r>
        <w:rPr>
          <w:w w:val="105"/>
        </w:rPr>
        <w:t>tres</w:t>
      </w:r>
      <w:r>
        <w:rPr>
          <w:spacing w:val="10"/>
        </w:rPr>
        <w:t> </w:t>
      </w:r>
      <w:r>
        <w:rPr>
          <w:w w:val="108"/>
        </w:rPr>
        <w:t>países</w:t>
      </w:r>
      <w:r>
        <w:rPr>
          <w:spacing w:val="10"/>
        </w:rPr>
        <w:t> </w:t>
      </w:r>
      <w:r>
        <w:rPr>
          <w:w w:val="107"/>
        </w:rPr>
        <w:t>del</w:t>
      </w:r>
      <w:r>
        <w:rPr>
          <w:spacing w:val="10"/>
        </w:rPr>
        <w:t> </w:t>
      </w:r>
      <w:r>
        <w:rPr>
          <w:w w:val="112"/>
        </w:rPr>
        <w:t>África</w:t>
      </w:r>
      <w:r>
        <w:rPr>
          <w:spacing w:val="10"/>
        </w:rPr>
        <w:t> </w:t>
      </w:r>
      <w:r>
        <w:rPr>
          <w:w w:val="114"/>
        </w:rPr>
        <w:t>(Guinea,</w:t>
      </w:r>
      <w:r>
        <w:rPr>
          <w:spacing w:val="10"/>
        </w:rPr>
        <w:t> </w:t>
      </w:r>
      <w:r>
        <w:rPr>
          <w:w w:val="149"/>
        </w:rPr>
        <w:t>s</w:t>
      </w:r>
      <w:r>
        <w:rPr>
          <w:w w:val="108"/>
        </w:rPr>
        <w:t>ierra</w:t>
      </w:r>
      <w:r>
        <w:rPr>
          <w:spacing w:val="10"/>
        </w:rPr>
        <w:t> </w:t>
      </w:r>
      <w:r>
        <w:rPr>
          <w:w w:val="243"/>
        </w:rPr>
        <w:t>l</w:t>
      </w:r>
      <w:r>
        <w:rPr>
          <w:w w:val="109"/>
        </w:rPr>
        <w:t>eona</w:t>
      </w:r>
      <w:r>
        <w:rPr>
          <w:spacing w:val="10"/>
        </w:rPr>
        <w:t> </w:t>
      </w:r>
      <w:r>
        <w:rPr>
          <w:w w:val="105"/>
        </w:rPr>
        <w:t>y</w:t>
      </w:r>
      <w:r>
        <w:rPr>
          <w:spacing w:val="10"/>
        </w:rPr>
        <w:t> </w:t>
      </w:r>
      <w:r>
        <w:rPr>
          <w:w w:val="243"/>
        </w:rPr>
        <w:t>l</w:t>
      </w:r>
      <w:r>
        <w:rPr>
          <w:w w:val="108"/>
        </w:rPr>
        <w:t>iberia)</w:t>
      </w:r>
      <w:r>
        <w:rPr>
          <w:spacing w:val="10"/>
        </w:rPr>
        <w:t> </w:t>
      </w:r>
      <w:r>
        <w:rPr>
          <w:w w:val="109"/>
        </w:rPr>
        <w:t>para</w:t>
      </w:r>
    </w:p>
    <w:p>
      <w:pPr>
        <w:pStyle w:val="BodyText"/>
        <w:spacing w:line="252" w:lineRule="auto"/>
        <w:ind w:left="330" w:right="117"/>
        <w:jc w:val="both"/>
      </w:pPr>
      <w:r>
        <w:rPr>
          <w:w w:val="115"/>
        </w:rPr>
        <w:t>–con la cura de los infectados de ébola– impedir una incontrolable pandemia</w:t>
      </w:r>
      <w:r>
        <w:rPr>
          <w:spacing w:val="-26"/>
          <w:w w:val="115"/>
        </w:rPr>
        <w:t> </w:t>
      </w:r>
      <w:r>
        <w:rPr>
          <w:w w:val="115"/>
        </w:rPr>
        <w:t>que</w:t>
      </w:r>
      <w:r>
        <w:rPr>
          <w:spacing w:val="-26"/>
          <w:w w:val="115"/>
        </w:rPr>
        <w:t> </w:t>
      </w:r>
      <w:r>
        <w:rPr>
          <w:w w:val="115"/>
        </w:rPr>
        <w:t>se</w:t>
      </w:r>
      <w:r>
        <w:rPr>
          <w:spacing w:val="-26"/>
          <w:w w:val="115"/>
        </w:rPr>
        <w:t> </w:t>
      </w:r>
      <w:r>
        <w:rPr>
          <w:w w:val="115"/>
        </w:rPr>
        <w:t>expandiera</w:t>
      </w:r>
      <w:r>
        <w:rPr>
          <w:spacing w:val="-26"/>
          <w:w w:val="115"/>
        </w:rPr>
        <w:t> </w:t>
      </w:r>
      <w:r>
        <w:rPr>
          <w:w w:val="115"/>
        </w:rPr>
        <w:t>hacia</w:t>
      </w:r>
      <w:r>
        <w:rPr>
          <w:spacing w:val="-26"/>
          <w:w w:val="115"/>
        </w:rPr>
        <w:t> </w:t>
      </w:r>
      <w:r>
        <w:rPr>
          <w:w w:val="115"/>
        </w:rPr>
        <w:t>toda</w:t>
      </w:r>
      <w:r>
        <w:rPr>
          <w:spacing w:val="-26"/>
          <w:w w:val="115"/>
        </w:rPr>
        <w:t> </w:t>
      </w:r>
      <w:r>
        <w:rPr>
          <w:w w:val="115"/>
        </w:rPr>
        <w:t>la</w:t>
      </w:r>
      <w:r>
        <w:rPr>
          <w:spacing w:val="-26"/>
          <w:w w:val="115"/>
        </w:rPr>
        <w:t> </w:t>
      </w:r>
      <w:r>
        <w:rPr>
          <w:w w:val="115"/>
        </w:rPr>
        <w:t>humanidad.</w:t>
      </w:r>
      <w:r>
        <w:rPr>
          <w:spacing w:val="-26"/>
          <w:w w:val="115"/>
        </w:rPr>
        <w:t> </w:t>
      </w:r>
      <w:r>
        <w:rPr>
          <w:w w:val="150"/>
        </w:rPr>
        <w:t>a</w:t>
      </w:r>
      <w:r>
        <w:rPr>
          <w:spacing w:val="-40"/>
          <w:w w:val="150"/>
        </w:rPr>
        <w:t> </w:t>
      </w:r>
      <w:r>
        <w:rPr>
          <w:w w:val="115"/>
        </w:rPr>
        <w:t>consecución, </w:t>
      </w:r>
      <w:r>
        <w:rPr>
          <w:w w:val="107"/>
        </w:rPr>
        <w:t>esta</w:t>
      </w:r>
      <w:r>
        <w:rPr>
          <w:spacing w:val="10"/>
        </w:rPr>
        <w:t> </w:t>
      </w:r>
      <w:r>
        <w:rPr>
          <w:w w:val="111"/>
        </w:rPr>
        <w:t>iniciativa</w:t>
      </w:r>
      <w:r>
        <w:rPr>
          <w:spacing w:val="10"/>
        </w:rPr>
        <w:t> </w:t>
      </w:r>
      <w:r>
        <w:rPr>
          <w:w w:val="111"/>
        </w:rPr>
        <w:t>fue</w:t>
      </w:r>
      <w:r>
        <w:rPr>
          <w:spacing w:val="10"/>
        </w:rPr>
        <w:t> </w:t>
      </w:r>
      <w:r>
        <w:rPr>
          <w:w w:val="112"/>
        </w:rPr>
        <w:t>acogida</w:t>
      </w:r>
      <w:r>
        <w:rPr>
          <w:spacing w:val="10"/>
        </w:rPr>
        <w:t> </w:t>
      </w:r>
      <w:r>
        <w:rPr>
          <w:w w:val="108"/>
        </w:rPr>
        <w:t>por</w:t>
      </w:r>
      <w:r>
        <w:rPr>
          <w:spacing w:val="10"/>
        </w:rPr>
        <w:t> </w:t>
      </w:r>
      <w:r>
        <w:rPr>
          <w:w w:val="108"/>
        </w:rPr>
        <w:t>los</w:t>
      </w:r>
      <w:r>
        <w:rPr>
          <w:spacing w:val="10"/>
        </w:rPr>
        <w:t> </w:t>
      </w:r>
      <w:r>
        <w:rPr>
          <w:w w:val="108"/>
        </w:rPr>
        <w:t>países</w:t>
      </w:r>
      <w:r>
        <w:rPr>
          <w:spacing w:val="10"/>
        </w:rPr>
        <w:t> </w:t>
      </w:r>
      <w:r>
        <w:rPr>
          <w:w w:val="107"/>
        </w:rPr>
        <w:t>del</w:t>
      </w:r>
      <w:r>
        <w:rPr>
          <w:spacing w:val="10"/>
        </w:rPr>
        <w:t> </w:t>
      </w:r>
      <w:r>
        <w:rPr>
          <w:w w:val="153"/>
        </w:rPr>
        <w:t>alba</w:t>
      </w:r>
      <w:r>
        <w:rPr>
          <w:w w:val="102"/>
        </w:rPr>
        <w:t>-</w:t>
      </w:r>
      <w:r>
        <w:rPr>
          <w:w w:val="195"/>
        </w:rPr>
        <w:t>t</w:t>
      </w:r>
      <w:r>
        <w:rPr>
          <w:w w:val="118"/>
        </w:rPr>
        <w:t>CP</w:t>
      </w:r>
      <w:r>
        <w:rPr>
          <w:spacing w:val="10"/>
        </w:rPr>
        <w:t> </w:t>
      </w:r>
      <w:r>
        <w:rPr>
          <w:w w:val="105"/>
        </w:rPr>
        <w:t>y</w:t>
      </w:r>
      <w:r>
        <w:rPr>
          <w:spacing w:val="10"/>
        </w:rPr>
        <w:t> </w:t>
      </w:r>
      <w:r>
        <w:rPr>
          <w:w w:val="108"/>
        </w:rPr>
        <w:t>por</w:t>
      </w:r>
      <w:r>
        <w:rPr>
          <w:spacing w:val="10"/>
        </w:rPr>
        <w:t> </w:t>
      </w:r>
      <w:r>
        <w:rPr>
          <w:w w:val="111"/>
        </w:rPr>
        <w:t>la</w:t>
      </w:r>
      <w:r>
        <w:rPr>
          <w:spacing w:val="10"/>
        </w:rPr>
        <w:t> </w:t>
      </w:r>
      <w:r>
        <w:rPr>
          <w:w w:val="149"/>
        </w:rPr>
        <w:t>o</w:t>
      </w:r>
      <w:r>
        <w:rPr>
          <w:w w:val="120"/>
        </w:rPr>
        <w:t>M</w:t>
      </w:r>
      <w:r>
        <w:rPr>
          <w:w w:val="149"/>
        </w:rPr>
        <w:t>s</w:t>
      </w:r>
      <w:r>
        <w:rPr>
          <w:w w:val="57"/>
        </w:rPr>
        <w:t>/ </w:t>
      </w:r>
      <w:r>
        <w:rPr>
          <w:w w:val="150"/>
        </w:rPr>
        <w:t>oPs</w:t>
      </w:r>
      <w:r>
        <w:rPr>
          <w:spacing w:val="-19"/>
          <w:w w:val="150"/>
        </w:rPr>
        <w:t> </w:t>
      </w:r>
      <w:r>
        <w:rPr>
          <w:w w:val="115"/>
        </w:rPr>
        <w:t>en</w:t>
      </w:r>
      <w:r>
        <w:rPr>
          <w:spacing w:val="-4"/>
          <w:w w:val="115"/>
        </w:rPr>
        <w:t> </w:t>
      </w:r>
      <w:r>
        <w:rPr>
          <w:i/>
          <w:w w:val="115"/>
        </w:rPr>
        <w:t>Cumbre</w:t>
      </w:r>
      <w:r>
        <w:rPr>
          <w:i/>
          <w:spacing w:val="-4"/>
          <w:w w:val="115"/>
        </w:rPr>
        <w:t> </w:t>
      </w:r>
      <w:r>
        <w:rPr>
          <w:i/>
          <w:w w:val="115"/>
        </w:rPr>
        <w:t>extraordinaria</w:t>
      </w:r>
      <w:r>
        <w:rPr>
          <w:i/>
          <w:spacing w:val="-4"/>
          <w:w w:val="115"/>
        </w:rPr>
        <w:t> </w:t>
      </w:r>
      <w:r>
        <w:rPr>
          <w:i/>
          <w:w w:val="115"/>
        </w:rPr>
        <w:t>sobre</w:t>
      </w:r>
      <w:r>
        <w:rPr>
          <w:i/>
          <w:spacing w:val="-4"/>
          <w:w w:val="115"/>
        </w:rPr>
        <w:t> </w:t>
      </w:r>
      <w:r>
        <w:rPr>
          <w:i/>
          <w:w w:val="115"/>
        </w:rPr>
        <w:t>el</w:t>
      </w:r>
      <w:r>
        <w:rPr>
          <w:i/>
          <w:spacing w:val="-4"/>
          <w:w w:val="115"/>
        </w:rPr>
        <w:t> </w:t>
      </w:r>
      <w:r>
        <w:rPr>
          <w:i/>
          <w:w w:val="115"/>
        </w:rPr>
        <w:t>Ébola</w:t>
      </w:r>
      <w:r>
        <w:rPr>
          <w:i/>
          <w:spacing w:val="-5"/>
          <w:w w:val="115"/>
        </w:rPr>
        <w:t> </w:t>
      </w:r>
      <w:r>
        <w:rPr>
          <w:i/>
          <w:w w:val="115"/>
        </w:rPr>
        <w:t>en</w:t>
      </w:r>
      <w:r>
        <w:rPr>
          <w:i/>
          <w:spacing w:val="-4"/>
          <w:w w:val="115"/>
        </w:rPr>
        <w:t> </w:t>
      </w:r>
      <w:r>
        <w:rPr>
          <w:i/>
          <w:w w:val="115"/>
        </w:rPr>
        <w:t>La</w:t>
      </w:r>
      <w:r>
        <w:rPr>
          <w:i/>
          <w:spacing w:val="-4"/>
          <w:w w:val="115"/>
        </w:rPr>
        <w:t> </w:t>
      </w:r>
      <w:r>
        <w:rPr>
          <w:i/>
          <w:w w:val="115"/>
        </w:rPr>
        <w:t>Habana</w:t>
      </w:r>
      <w:r>
        <w:rPr>
          <w:i/>
          <w:spacing w:val="-4"/>
          <w:w w:val="115"/>
        </w:rPr>
        <w:t> </w:t>
      </w:r>
      <w:r>
        <w:rPr>
          <w:w w:val="115"/>
        </w:rPr>
        <w:t>el</w:t>
      </w:r>
      <w:r>
        <w:rPr>
          <w:spacing w:val="-4"/>
          <w:w w:val="115"/>
        </w:rPr>
        <w:t> </w:t>
      </w:r>
      <w:r>
        <w:rPr>
          <w:w w:val="115"/>
        </w:rPr>
        <w:t>20</w:t>
      </w:r>
      <w:r>
        <w:rPr>
          <w:spacing w:val="-4"/>
          <w:w w:val="115"/>
        </w:rPr>
        <w:t> </w:t>
      </w:r>
      <w:r>
        <w:rPr>
          <w:w w:val="115"/>
        </w:rPr>
        <w:t>de octubre</w:t>
      </w:r>
      <w:r>
        <w:rPr>
          <w:spacing w:val="-17"/>
          <w:w w:val="115"/>
        </w:rPr>
        <w:t> </w:t>
      </w:r>
      <w:r>
        <w:rPr>
          <w:w w:val="115"/>
        </w:rPr>
        <w:t>de</w:t>
      </w:r>
      <w:r>
        <w:rPr>
          <w:spacing w:val="-17"/>
          <w:w w:val="115"/>
        </w:rPr>
        <w:t> </w:t>
      </w:r>
      <w:r>
        <w:rPr>
          <w:w w:val="115"/>
        </w:rPr>
        <w:t>2014,</w:t>
      </w:r>
      <w:r>
        <w:rPr>
          <w:spacing w:val="-17"/>
          <w:w w:val="115"/>
        </w:rPr>
        <w:t> </w:t>
      </w:r>
      <w:r>
        <w:rPr>
          <w:w w:val="115"/>
        </w:rPr>
        <w:t>a</w:t>
      </w:r>
      <w:r>
        <w:rPr>
          <w:spacing w:val="-17"/>
          <w:w w:val="115"/>
        </w:rPr>
        <w:t> </w:t>
      </w:r>
      <w:r>
        <w:rPr>
          <w:w w:val="115"/>
        </w:rPr>
        <w:t>la</w:t>
      </w:r>
      <w:r>
        <w:rPr>
          <w:spacing w:val="-17"/>
          <w:w w:val="115"/>
        </w:rPr>
        <w:t> </w:t>
      </w:r>
      <w:r>
        <w:rPr>
          <w:w w:val="115"/>
        </w:rPr>
        <w:t>que</w:t>
      </w:r>
      <w:r>
        <w:rPr>
          <w:spacing w:val="-17"/>
          <w:w w:val="115"/>
        </w:rPr>
        <w:t> </w:t>
      </w:r>
      <w:r>
        <w:rPr>
          <w:w w:val="115"/>
        </w:rPr>
        <w:t>Cuba</w:t>
      </w:r>
      <w:r>
        <w:rPr>
          <w:spacing w:val="-17"/>
          <w:w w:val="115"/>
        </w:rPr>
        <w:t> </w:t>
      </w:r>
      <w:r>
        <w:rPr>
          <w:w w:val="115"/>
        </w:rPr>
        <w:t>sometió</w:t>
      </w:r>
      <w:r>
        <w:rPr>
          <w:spacing w:val="-17"/>
          <w:w w:val="115"/>
        </w:rPr>
        <w:t> </w:t>
      </w:r>
      <w:r>
        <w:rPr>
          <w:w w:val="115"/>
        </w:rPr>
        <w:t>la</w:t>
      </w:r>
      <w:r>
        <w:rPr>
          <w:spacing w:val="-17"/>
          <w:w w:val="115"/>
        </w:rPr>
        <w:t> </w:t>
      </w:r>
      <w:r>
        <w:rPr>
          <w:w w:val="115"/>
        </w:rPr>
        <w:t>“Estrategia</w:t>
      </w:r>
      <w:r>
        <w:rPr>
          <w:spacing w:val="-17"/>
          <w:w w:val="115"/>
        </w:rPr>
        <w:t> </w:t>
      </w:r>
      <w:r>
        <w:rPr>
          <w:w w:val="115"/>
        </w:rPr>
        <w:t>de</w:t>
      </w:r>
      <w:r>
        <w:rPr>
          <w:spacing w:val="-17"/>
          <w:w w:val="115"/>
        </w:rPr>
        <w:t> </w:t>
      </w:r>
      <w:r>
        <w:rPr>
          <w:w w:val="115"/>
        </w:rPr>
        <w:t>lucha</w:t>
      </w:r>
      <w:r>
        <w:rPr>
          <w:spacing w:val="-17"/>
          <w:w w:val="115"/>
        </w:rPr>
        <w:t> </w:t>
      </w:r>
      <w:r>
        <w:rPr>
          <w:w w:val="115"/>
        </w:rPr>
        <w:t>contra el</w:t>
      </w:r>
      <w:r>
        <w:rPr>
          <w:spacing w:val="-16"/>
          <w:w w:val="115"/>
        </w:rPr>
        <w:t> </w:t>
      </w:r>
      <w:r>
        <w:rPr>
          <w:w w:val="115"/>
        </w:rPr>
        <w:t>brote</w:t>
      </w:r>
      <w:r>
        <w:rPr>
          <w:spacing w:val="-16"/>
          <w:w w:val="115"/>
        </w:rPr>
        <w:t> </w:t>
      </w:r>
      <w:r>
        <w:rPr>
          <w:w w:val="115"/>
        </w:rPr>
        <w:t>del</w:t>
      </w:r>
      <w:r>
        <w:rPr>
          <w:spacing w:val="-16"/>
          <w:w w:val="115"/>
        </w:rPr>
        <w:t> </w:t>
      </w:r>
      <w:r>
        <w:rPr>
          <w:w w:val="115"/>
        </w:rPr>
        <w:t>ébola</w:t>
      </w:r>
      <w:r>
        <w:rPr>
          <w:spacing w:val="-16"/>
          <w:w w:val="115"/>
        </w:rPr>
        <w:t> </w:t>
      </w:r>
      <w:r>
        <w:rPr>
          <w:w w:val="115"/>
        </w:rPr>
        <w:t>en</w:t>
      </w:r>
      <w:r>
        <w:rPr>
          <w:spacing w:val="-16"/>
          <w:w w:val="115"/>
        </w:rPr>
        <w:t> </w:t>
      </w:r>
      <w:r>
        <w:rPr>
          <w:w w:val="115"/>
        </w:rPr>
        <w:t>el</w:t>
      </w:r>
      <w:r>
        <w:rPr>
          <w:spacing w:val="-16"/>
          <w:w w:val="115"/>
        </w:rPr>
        <w:t> </w:t>
      </w:r>
      <w:r>
        <w:rPr>
          <w:w w:val="115"/>
        </w:rPr>
        <w:t>África</w:t>
      </w:r>
      <w:r>
        <w:rPr>
          <w:spacing w:val="-16"/>
          <w:w w:val="115"/>
        </w:rPr>
        <w:t> </w:t>
      </w:r>
      <w:r>
        <w:rPr>
          <w:w w:val="115"/>
        </w:rPr>
        <w:t>occidental”</w:t>
      </w:r>
      <w:r>
        <w:rPr>
          <w:spacing w:val="-16"/>
          <w:w w:val="115"/>
        </w:rPr>
        <w:t> </w:t>
      </w:r>
      <w:r>
        <w:rPr>
          <w:spacing w:val="-3"/>
          <w:w w:val="150"/>
        </w:rPr>
        <w:t>(alba-tCP,</w:t>
      </w:r>
      <w:r>
        <w:rPr>
          <w:spacing w:val="-30"/>
          <w:w w:val="150"/>
        </w:rPr>
        <w:t> </w:t>
      </w:r>
      <w:r>
        <w:rPr>
          <w:w w:val="115"/>
        </w:rPr>
        <w:t>2014),</w:t>
      </w:r>
      <w:r>
        <w:rPr>
          <w:spacing w:val="-16"/>
          <w:w w:val="115"/>
        </w:rPr>
        <w:t> </w:t>
      </w:r>
      <w:r>
        <w:rPr>
          <w:w w:val="115"/>
        </w:rPr>
        <w:t>para</w:t>
      </w:r>
      <w:r>
        <w:rPr>
          <w:spacing w:val="-16"/>
          <w:w w:val="115"/>
        </w:rPr>
        <w:t> </w:t>
      </w:r>
      <w:r>
        <w:rPr>
          <w:w w:val="115"/>
        </w:rPr>
        <w:t>su generalización mancomunada –en su fase preventiva y de creación </w:t>
      </w:r>
      <w:r>
        <w:rPr>
          <w:w w:val="107"/>
        </w:rPr>
        <w:t>de</w:t>
      </w:r>
      <w:r>
        <w:rPr>
          <w:spacing w:val="19"/>
        </w:rPr>
        <w:t> </w:t>
      </w:r>
      <w:r>
        <w:rPr>
          <w:w w:val="107"/>
        </w:rPr>
        <w:t>respuestas</w:t>
      </w:r>
      <w:r>
        <w:rPr>
          <w:spacing w:val="19"/>
        </w:rPr>
        <w:t> </w:t>
      </w:r>
      <w:r>
        <w:rPr>
          <w:w w:val="107"/>
        </w:rPr>
        <w:t>eficaces–</w:t>
      </w:r>
      <w:r>
        <w:rPr>
          <w:spacing w:val="19"/>
        </w:rPr>
        <w:t> </w:t>
      </w:r>
      <w:r>
        <w:rPr>
          <w:w w:val="112"/>
        </w:rPr>
        <w:t>con</w:t>
      </w:r>
      <w:r>
        <w:rPr>
          <w:spacing w:val="19"/>
        </w:rPr>
        <w:t> </w:t>
      </w:r>
      <w:r>
        <w:rPr>
          <w:w w:val="109"/>
        </w:rPr>
        <w:t>toda</w:t>
      </w:r>
      <w:r>
        <w:rPr>
          <w:spacing w:val="19"/>
        </w:rPr>
        <w:t> </w:t>
      </w:r>
      <w:r>
        <w:rPr>
          <w:w w:val="139"/>
        </w:rPr>
        <w:t>a</w:t>
      </w:r>
      <w:r>
        <w:rPr>
          <w:w w:val="111"/>
        </w:rPr>
        <w:t>mérica</w:t>
      </w:r>
      <w:r>
        <w:rPr>
          <w:spacing w:val="19"/>
        </w:rPr>
        <w:t> </w:t>
      </w:r>
      <w:r>
        <w:rPr>
          <w:w w:val="243"/>
        </w:rPr>
        <w:t>l</w:t>
      </w:r>
      <w:r>
        <w:rPr>
          <w:w w:val="111"/>
        </w:rPr>
        <w:t>atina</w:t>
      </w:r>
      <w:r>
        <w:rPr>
          <w:spacing w:val="19"/>
        </w:rPr>
        <w:t> </w:t>
      </w:r>
      <w:r>
        <w:rPr>
          <w:w w:val="105"/>
        </w:rPr>
        <w:t>y</w:t>
      </w:r>
      <w:r>
        <w:rPr>
          <w:spacing w:val="19"/>
        </w:rPr>
        <w:t> </w:t>
      </w:r>
      <w:r>
        <w:rPr>
          <w:w w:val="107"/>
        </w:rPr>
        <w:t>el</w:t>
      </w:r>
      <w:r>
        <w:rPr>
          <w:spacing w:val="19"/>
        </w:rPr>
        <w:t> </w:t>
      </w:r>
      <w:r>
        <w:rPr>
          <w:w w:val="112"/>
        </w:rPr>
        <w:t>Carib</w:t>
      </w:r>
      <w:r>
        <w:rPr>
          <w:spacing w:val="-1"/>
          <w:w w:val="112"/>
        </w:rPr>
        <w:t>e</w:t>
      </w:r>
      <w:r>
        <w:rPr>
          <w:w w:val="106"/>
          <w:position w:val="7"/>
          <w:sz w:val="11"/>
        </w:rPr>
        <w:t>6</w:t>
      </w:r>
      <w:r>
        <w:rPr>
          <w:w w:val="138"/>
        </w:rPr>
        <w:t>.</w:t>
      </w:r>
      <w:r>
        <w:rPr>
          <w:spacing w:val="19"/>
        </w:rPr>
        <w:t> </w:t>
      </w:r>
      <w:r>
        <w:rPr>
          <w:w w:val="243"/>
        </w:rPr>
        <w:t>l</w:t>
      </w:r>
      <w:r>
        <w:rPr>
          <w:w w:val="112"/>
        </w:rPr>
        <w:t>a</w:t>
      </w:r>
      <w:r>
        <w:rPr>
          <w:spacing w:val="19"/>
        </w:rPr>
        <w:t> </w:t>
      </w:r>
      <w:r>
        <w:rPr>
          <w:w w:val="106"/>
        </w:rPr>
        <w:t>pr</w:t>
      </w:r>
      <w:r>
        <w:rPr>
          <w:spacing w:val="-1"/>
          <w:w w:val="106"/>
        </w:rPr>
        <w:t>e</w:t>
      </w:r>
      <w:r>
        <w:rPr>
          <w:w w:val="102"/>
        </w:rPr>
        <w:t>-</w:t>
      </w:r>
    </w:p>
    <w:p>
      <w:pPr>
        <w:pStyle w:val="BodyText"/>
        <w:spacing w:before="4"/>
      </w:pPr>
      <w:r>
        <w:rPr/>
        <w:pict>
          <v:line style="position:absolute;mso-position-horizontal-relative:page;mso-position-vertical-relative:paragraph;z-index:4072;mso-wrap-distance-left:0;mso-wrap-distance-right:0" from="76.5354pt,13.558232pt" to="104.8814pt,13.558232pt" stroked="true" strokeweight=".5pt" strokecolor="#000000">
            <w10:wrap type="topAndBottom"/>
          </v:line>
        </w:pict>
      </w:r>
    </w:p>
    <w:p>
      <w:pPr>
        <w:pStyle w:val="ListParagraph"/>
        <w:numPr>
          <w:ilvl w:val="0"/>
          <w:numId w:val="9"/>
        </w:numPr>
        <w:tabs>
          <w:tab w:pos="586" w:val="left" w:leader="none"/>
        </w:tabs>
        <w:spacing w:line="242" w:lineRule="auto" w:before="89" w:after="0"/>
        <w:ind w:left="330" w:right="119" w:firstLine="0"/>
        <w:jc w:val="left"/>
        <w:rPr>
          <w:sz w:val="16"/>
        </w:rPr>
      </w:pPr>
      <w:r>
        <w:rPr>
          <w:w w:val="110"/>
          <w:sz w:val="16"/>
        </w:rPr>
        <w:t>“Por</w:t>
      </w:r>
      <w:r>
        <w:rPr>
          <w:spacing w:val="-8"/>
          <w:w w:val="110"/>
          <w:sz w:val="16"/>
        </w:rPr>
        <w:t> </w:t>
      </w:r>
      <w:r>
        <w:rPr>
          <w:w w:val="110"/>
          <w:sz w:val="16"/>
        </w:rPr>
        <w:t>una</w:t>
      </w:r>
      <w:r>
        <w:rPr>
          <w:spacing w:val="-8"/>
          <w:w w:val="110"/>
          <w:sz w:val="16"/>
        </w:rPr>
        <w:t> </w:t>
      </w:r>
      <w:r>
        <w:rPr>
          <w:w w:val="110"/>
          <w:sz w:val="16"/>
        </w:rPr>
        <w:t>región</w:t>
      </w:r>
      <w:r>
        <w:rPr>
          <w:spacing w:val="-8"/>
          <w:w w:val="110"/>
          <w:sz w:val="16"/>
        </w:rPr>
        <w:t> </w:t>
      </w:r>
      <w:r>
        <w:rPr>
          <w:w w:val="110"/>
          <w:sz w:val="16"/>
        </w:rPr>
        <w:t>libre</w:t>
      </w:r>
      <w:r>
        <w:rPr>
          <w:spacing w:val="-8"/>
          <w:w w:val="110"/>
          <w:sz w:val="16"/>
        </w:rPr>
        <w:t> </w:t>
      </w:r>
      <w:r>
        <w:rPr>
          <w:w w:val="110"/>
          <w:sz w:val="16"/>
        </w:rPr>
        <w:t>de</w:t>
      </w:r>
      <w:r>
        <w:rPr>
          <w:spacing w:val="-8"/>
          <w:w w:val="110"/>
          <w:sz w:val="16"/>
        </w:rPr>
        <w:t> </w:t>
      </w:r>
      <w:r>
        <w:rPr>
          <w:w w:val="110"/>
          <w:sz w:val="16"/>
        </w:rPr>
        <w:t>ébola.</w:t>
      </w:r>
      <w:r>
        <w:rPr>
          <w:spacing w:val="-8"/>
          <w:w w:val="110"/>
          <w:sz w:val="16"/>
        </w:rPr>
        <w:t> </w:t>
      </w:r>
      <w:r>
        <w:rPr>
          <w:w w:val="110"/>
          <w:sz w:val="16"/>
        </w:rPr>
        <w:t>Necesidad</w:t>
      </w:r>
      <w:r>
        <w:rPr>
          <w:spacing w:val="-8"/>
          <w:w w:val="110"/>
          <w:sz w:val="16"/>
        </w:rPr>
        <w:t> </w:t>
      </w:r>
      <w:r>
        <w:rPr>
          <w:w w:val="110"/>
          <w:sz w:val="16"/>
        </w:rPr>
        <w:t>urgente</w:t>
      </w:r>
      <w:r>
        <w:rPr>
          <w:spacing w:val="-8"/>
          <w:w w:val="110"/>
          <w:sz w:val="16"/>
        </w:rPr>
        <w:t> </w:t>
      </w:r>
      <w:r>
        <w:rPr>
          <w:w w:val="110"/>
          <w:sz w:val="16"/>
        </w:rPr>
        <w:t>de</w:t>
      </w:r>
      <w:r>
        <w:rPr>
          <w:spacing w:val="-8"/>
          <w:w w:val="110"/>
          <w:sz w:val="16"/>
        </w:rPr>
        <w:t> </w:t>
      </w:r>
      <w:r>
        <w:rPr>
          <w:w w:val="110"/>
          <w:sz w:val="16"/>
        </w:rPr>
        <w:t>acción</w:t>
      </w:r>
      <w:r>
        <w:rPr>
          <w:spacing w:val="-8"/>
          <w:w w:val="110"/>
          <w:sz w:val="16"/>
        </w:rPr>
        <w:t> </w:t>
      </w:r>
      <w:r>
        <w:rPr>
          <w:w w:val="110"/>
          <w:sz w:val="16"/>
        </w:rPr>
        <w:t>común.</w:t>
      </w:r>
      <w:r>
        <w:rPr>
          <w:spacing w:val="-8"/>
          <w:w w:val="110"/>
          <w:sz w:val="16"/>
        </w:rPr>
        <w:t> </w:t>
      </w:r>
      <w:r>
        <w:rPr>
          <w:w w:val="110"/>
          <w:sz w:val="16"/>
        </w:rPr>
        <w:t>Prepararnos, </w:t>
      </w:r>
      <w:r>
        <w:rPr>
          <w:w w:val="111"/>
          <w:sz w:val="16"/>
        </w:rPr>
        <w:t>única</w:t>
      </w:r>
      <w:r>
        <w:rPr>
          <w:spacing w:val="9"/>
          <w:sz w:val="16"/>
        </w:rPr>
        <w:t> </w:t>
      </w:r>
      <w:r>
        <w:rPr>
          <w:w w:val="109"/>
          <w:sz w:val="16"/>
        </w:rPr>
        <w:t>forma</w:t>
      </w:r>
      <w:r>
        <w:rPr>
          <w:spacing w:val="9"/>
          <w:sz w:val="16"/>
        </w:rPr>
        <w:t> </w:t>
      </w:r>
      <w:r>
        <w:rPr>
          <w:w w:val="104"/>
          <w:sz w:val="16"/>
        </w:rPr>
        <w:t>de</w:t>
      </w:r>
      <w:r>
        <w:rPr>
          <w:spacing w:val="9"/>
          <w:sz w:val="16"/>
        </w:rPr>
        <w:t> </w:t>
      </w:r>
      <w:r>
        <w:rPr>
          <w:w w:val="106"/>
          <w:sz w:val="16"/>
        </w:rPr>
        <w:t>enfrentar</w:t>
      </w:r>
      <w:r>
        <w:rPr>
          <w:spacing w:val="9"/>
          <w:sz w:val="16"/>
        </w:rPr>
        <w:t> </w:t>
      </w:r>
      <w:r>
        <w:rPr>
          <w:w w:val="104"/>
          <w:sz w:val="16"/>
        </w:rPr>
        <w:t>el</w:t>
      </w:r>
      <w:r>
        <w:rPr>
          <w:spacing w:val="9"/>
          <w:sz w:val="16"/>
        </w:rPr>
        <w:t> </w:t>
      </w:r>
      <w:r>
        <w:rPr>
          <w:w w:val="110"/>
          <w:sz w:val="16"/>
        </w:rPr>
        <w:t>ébola”.</w:t>
      </w:r>
      <w:r>
        <w:rPr>
          <w:spacing w:val="9"/>
          <w:sz w:val="16"/>
        </w:rPr>
        <w:t> </w:t>
      </w:r>
      <w:r>
        <w:rPr>
          <w:i/>
          <w:w w:val="111"/>
          <w:sz w:val="16"/>
        </w:rPr>
        <w:t>Granma</w:t>
      </w:r>
      <w:r>
        <w:rPr>
          <w:w w:val="135"/>
          <w:sz w:val="16"/>
        </w:rPr>
        <w:t>,</w:t>
      </w:r>
      <w:r>
        <w:rPr>
          <w:spacing w:val="9"/>
          <w:sz w:val="16"/>
        </w:rPr>
        <w:t> </w:t>
      </w:r>
      <w:r>
        <w:rPr>
          <w:w w:val="238"/>
          <w:sz w:val="16"/>
        </w:rPr>
        <w:t>l</w:t>
      </w:r>
      <w:r>
        <w:rPr>
          <w:w w:val="109"/>
          <w:sz w:val="16"/>
        </w:rPr>
        <w:t>a</w:t>
      </w:r>
      <w:r>
        <w:rPr>
          <w:spacing w:val="9"/>
          <w:sz w:val="16"/>
        </w:rPr>
        <w:t> </w:t>
      </w:r>
      <w:r>
        <w:rPr>
          <w:w w:val="112"/>
          <w:sz w:val="16"/>
        </w:rPr>
        <w:t>Habana</w:t>
      </w:r>
      <w:r>
        <w:rPr>
          <w:spacing w:val="9"/>
          <w:sz w:val="16"/>
        </w:rPr>
        <w:t> </w:t>
      </w:r>
      <w:r>
        <w:rPr>
          <w:w w:val="99"/>
          <w:sz w:val="16"/>
        </w:rPr>
        <w:t>(30</w:t>
      </w:r>
      <w:r>
        <w:rPr>
          <w:spacing w:val="9"/>
          <w:sz w:val="16"/>
        </w:rPr>
        <w:t> </w:t>
      </w:r>
      <w:r>
        <w:rPr>
          <w:w w:val="104"/>
          <w:sz w:val="16"/>
        </w:rPr>
        <w:t>de</w:t>
      </w:r>
      <w:r>
        <w:rPr>
          <w:spacing w:val="9"/>
          <w:sz w:val="16"/>
        </w:rPr>
        <w:t> </w:t>
      </w:r>
      <w:r>
        <w:rPr>
          <w:w w:val="107"/>
          <w:sz w:val="16"/>
        </w:rPr>
        <w:t>octubre</w:t>
      </w:r>
      <w:r>
        <w:rPr>
          <w:spacing w:val="9"/>
          <w:sz w:val="16"/>
        </w:rPr>
        <w:t> </w:t>
      </w:r>
      <w:r>
        <w:rPr>
          <w:w w:val="104"/>
          <w:sz w:val="16"/>
        </w:rPr>
        <w:t>de</w:t>
      </w:r>
      <w:r>
        <w:rPr>
          <w:spacing w:val="9"/>
          <w:sz w:val="16"/>
        </w:rPr>
        <w:t> </w:t>
      </w:r>
      <w:r>
        <w:rPr>
          <w:w w:val="102"/>
          <w:sz w:val="16"/>
        </w:rPr>
        <w:t>2014).</w:t>
      </w:r>
    </w:p>
    <w:p>
      <w:pPr>
        <w:spacing w:after="0" w:line="242" w:lineRule="auto"/>
        <w:jc w:val="left"/>
        <w:rPr>
          <w:sz w:val="16"/>
        </w:rPr>
        <w:sectPr>
          <w:footerReference w:type="default" r:id="rId251"/>
          <w:footerReference w:type="even" r:id="rId252"/>
          <w:pgSz w:w="8790" w:h="12760"/>
          <w:pgMar w:footer="725" w:header="695" w:top="880" w:bottom="920" w:left="1200" w:right="900"/>
        </w:sectPr>
      </w:pPr>
    </w:p>
    <w:p>
      <w:pPr>
        <w:pStyle w:val="BodyText"/>
        <w:spacing w:before="9"/>
        <w:rPr>
          <w:sz w:val="28"/>
        </w:rPr>
      </w:pPr>
    </w:p>
    <w:p>
      <w:pPr>
        <w:pStyle w:val="BodyText"/>
        <w:spacing w:line="252" w:lineRule="auto" w:before="73"/>
        <w:ind w:left="100" w:right="328"/>
        <w:jc w:val="both"/>
      </w:pPr>
      <w:r>
        <w:rPr>
          <w:w w:val="110"/>
        </w:rPr>
        <w:t>sencia, junto a la estrecha colaboración organizativa y material de la </w:t>
      </w:r>
      <w:r>
        <w:rPr>
          <w:w w:val="149"/>
        </w:rPr>
        <w:t>o</w:t>
      </w:r>
      <w:r>
        <w:rPr>
          <w:w w:val="120"/>
        </w:rPr>
        <w:t>M</w:t>
      </w:r>
      <w:r>
        <w:rPr>
          <w:w w:val="149"/>
        </w:rPr>
        <w:t>s</w:t>
      </w:r>
      <w:r>
        <w:rPr>
          <w:w w:val="57"/>
        </w:rPr>
        <w:t>/</w:t>
      </w:r>
      <w:r>
        <w:rPr>
          <w:w w:val="149"/>
        </w:rPr>
        <w:t>o</w:t>
      </w:r>
      <w:r>
        <w:rPr>
          <w:w w:val="113"/>
        </w:rPr>
        <w:t>P</w:t>
      </w:r>
      <w:r>
        <w:rPr>
          <w:w w:val="149"/>
        </w:rPr>
        <w:t>s</w:t>
      </w:r>
      <w:r>
        <w:rPr>
          <w:w w:val="138"/>
        </w:rPr>
        <w:t>,</w:t>
      </w:r>
      <w:r>
        <w:rPr/>
        <w:t> </w:t>
      </w:r>
      <w:r>
        <w:rPr>
          <w:spacing w:val="-2"/>
        </w:rPr>
        <w:t> </w:t>
      </w:r>
      <w:r>
        <w:rPr>
          <w:w w:val="105"/>
        </w:rPr>
        <w:t>y</w:t>
      </w:r>
      <w:r>
        <w:rPr/>
        <w:t> </w:t>
      </w:r>
      <w:r>
        <w:rPr>
          <w:spacing w:val="-2"/>
        </w:rPr>
        <w:t> </w:t>
      </w:r>
      <w:r>
        <w:rPr>
          <w:w w:val="111"/>
        </w:rPr>
        <w:t>la</w:t>
      </w:r>
      <w:r>
        <w:rPr/>
        <w:t> </w:t>
      </w:r>
      <w:r>
        <w:rPr>
          <w:spacing w:val="-2"/>
        </w:rPr>
        <w:t> </w:t>
      </w:r>
      <w:r>
        <w:rPr>
          <w:w w:val="111"/>
        </w:rPr>
        <w:t>contribución</w:t>
      </w:r>
      <w:r>
        <w:rPr/>
        <w:t> </w:t>
      </w:r>
      <w:r>
        <w:rPr>
          <w:spacing w:val="-2"/>
        </w:rPr>
        <w:t> </w:t>
      </w:r>
      <w:r>
        <w:rPr>
          <w:w w:val="105"/>
        </w:rPr>
        <w:t>y</w:t>
      </w:r>
      <w:r>
        <w:rPr/>
        <w:t> </w:t>
      </w:r>
      <w:r>
        <w:rPr>
          <w:spacing w:val="-2"/>
        </w:rPr>
        <w:t> </w:t>
      </w:r>
      <w:r>
        <w:rPr>
          <w:w w:val="111"/>
        </w:rPr>
        <w:t>participación</w:t>
      </w:r>
      <w:r>
        <w:rPr/>
        <w:t> </w:t>
      </w:r>
      <w:r>
        <w:rPr>
          <w:spacing w:val="-2"/>
        </w:rPr>
        <w:t> </w:t>
      </w:r>
      <w:r>
        <w:rPr>
          <w:w w:val="107"/>
        </w:rPr>
        <w:t>de</w:t>
      </w:r>
      <w:r>
        <w:rPr/>
        <w:t> </w:t>
      </w:r>
      <w:r>
        <w:rPr>
          <w:spacing w:val="-2"/>
        </w:rPr>
        <w:t> </w:t>
      </w:r>
      <w:r>
        <w:rPr>
          <w:w w:val="110"/>
        </w:rPr>
        <w:t>múltiples</w:t>
      </w:r>
      <w:r>
        <w:rPr/>
        <w:t> </w:t>
      </w:r>
      <w:r>
        <w:rPr>
          <w:spacing w:val="-2"/>
        </w:rPr>
        <w:t> </w:t>
      </w:r>
      <w:r>
        <w:rPr>
          <w:w w:val="108"/>
        </w:rPr>
        <w:t>países</w:t>
      </w:r>
      <w:r>
        <w:rPr/>
        <w:t> </w:t>
      </w:r>
      <w:r>
        <w:rPr>
          <w:spacing w:val="-2"/>
        </w:rPr>
        <w:t> </w:t>
      </w:r>
      <w:r>
        <w:rPr>
          <w:w w:val="108"/>
        </w:rPr>
        <w:t>en </w:t>
      </w:r>
      <w:r>
        <w:rPr>
          <w:w w:val="110"/>
        </w:rPr>
        <w:t>esta estrategia, marcarían un punto de inflexión histórico de “un antes y un después”, en la edificación de un modelo-mundo </w:t>
      </w:r>
      <w:r>
        <w:rPr>
          <w:spacing w:val="-4"/>
          <w:w w:val="110"/>
        </w:rPr>
        <w:t>mejor, </w:t>
      </w:r>
      <w:r>
        <w:rPr>
          <w:w w:val="110"/>
        </w:rPr>
        <w:t>basado  en la solidaridad. En breves días, Cuba organizó el primer curso de capacitación internacional, para la participación de especialistas y di- rectivos de toda américa. ¡Que sí se </w:t>
      </w:r>
      <w:r>
        <w:rPr>
          <w:spacing w:val="29"/>
          <w:w w:val="110"/>
        </w:rPr>
        <w:t> </w:t>
      </w:r>
      <w:r>
        <w:rPr>
          <w:w w:val="110"/>
        </w:rPr>
        <w:t>puede!</w:t>
      </w:r>
    </w:p>
    <w:p>
      <w:pPr>
        <w:pStyle w:val="BodyText"/>
        <w:spacing w:line="252" w:lineRule="auto"/>
        <w:ind w:left="100" w:right="328" w:firstLine="396"/>
        <w:jc w:val="both"/>
      </w:pPr>
      <w:r>
        <w:rPr>
          <w:w w:val="110"/>
        </w:rPr>
        <w:t>al respecto reflexionaría el compañero Fidel: “todos comprende- mos que al cumplir esta tarea con el máximo de preparación y eficien- cia, se estará protegiendo a nuestro pueblo y a los pueblos hermanos </w:t>
      </w:r>
      <w:r>
        <w:rPr>
          <w:w w:val="107"/>
        </w:rPr>
        <w:t>del</w:t>
      </w:r>
      <w:r>
        <w:rPr/>
        <w:t> </w:t>
      </w:r>
      <w:r>
        <w:rPr>
          <w:w w:val="112"/>
        </w:rPr>
        <w:t>Caribe</w:t>
      </w:r>
      <w:r>
        <w:rPr/>
        <w:t> </w:t>
      </w:r>
      <w:r>
        <w:rPr>
          <w:w w:val="105"/>
        </w:rPr>
        <w:t>y</w:t>
      </w:r>
      <w:r>
        <w:rPr/>
        <w:t> </w:t>
      </w:r>
      <w:r>
        <w:rPr>
          <w:w w:val="139"/>
        </w:rPr>
        <w:t>a</w:t>
      </w:r>
      <w:r>
        <w:rPr>
          <w:w w:val="111"/>
        </w:rPr>
        <w:t>mérica</w:t>
      </w:r>
      <w:r>
        <w:rPr/>
        <w:t> </w:t>
      </w:r>
      <w:r>
        <w:rPr>
          <w:w w:val="243"/>
        </w:rPr>
        <w:t>l</w:t>
      </w:r>
      <w:r>
        <w:rPr>
          <w:w w:val="113"/>
        </w:rPr>
        <w:t>atina,</w:t>
      </w:r>
      <w:r>
        <w:rPr/>
        <w:t> </w:t>
      </w:r>
      <w:r>
        <w:rPr>
          <w:w w:val="105"/>
        </w:rPr>
        <w:t>y</w:t>
      </w:r>
      <w:r>
        <w:rPr/>
        <w:t> </w:t>
      </w:r>
      <w:r>
        <w:rPr>
          <w:w w:val="108"/>
        </w:rPr>
        <w:t>evitando</w:t>
      </w:r>
      <w:r>
        <w:rPr/>
        <w:t> </w:t>
      </w:r>
      <w:r>
        <w:rPr>
          <w:w w:val="108"/>
        </w:rPr>
        <w:t>que</w:t>
      </w:r>
      <w:r>
        <w:rPr/>
        <w:t> </w:t>
      </w:r>
      <w:r>
        <w:rPr>
          <w:w w:val="105"/>
        </w:rPr>
        <w:t>se</w:t>
      </w:r>
      <w:r>
        <w:rPr/>
        <w:t> </w:t>
      </w:r>
      <w:r>
        <w:rPr>
          <w:w w:val="111"/>
        </w:rPr>
        <w:t>expanda,</w:t>
      </w:r>
      <w:r>
        <w:rPr/>
        <w:t> </w:t>
      </w:r>
      <w:r>
        <w:rPr>
          <w:w w:val="108"/>
        </w:rPr>
        <w:t>ya</w:t>
      </w:r>
      <w:r>
        <w:rPr/>
        <w:t> </w:t>
      </w:r>
      <w:r>
        <w:rPr>
          <w:w w:val="108"/>
        </w:rPr>
        <w:t>que</w:t>
      </w:r>
      <w:r>
        <w:rPr/>
        <w:t> </w:t>
      </w:r>
      <w:r>
        <w:rPr>
          <w:w w:val="111"/>
        </w:rPr>
        <w:t>lamen</w:t>
      </w:r>
      <w:r>
        <w:rPr>
          <w:w w:val="102"/>
        </w:rPr>
        <w:t>- </w:t>
      </w:r>
      <w:r>
        <w:rPr>
          <w:w w:val="110"/>
        </w:rPr>
        <w:t>tablemente se ha introducido y podría extenderse en Estados unidos, que tantos vínculos personales e intercambios mantiene con el resto del mundo. Gustosamente cooperaremos con el personal norteameri- cano en esa tarea, y no en búsqueda de la paz entre los dos Estados que han sido adversarios durante tantos años sino, en cualquier caso, por la Paz para el Mundo, un objetivo que puede y debe intentarse (Castro, 2014).</w:t>
      </w:r>
    </w:p>
    <w:p>
      <w:pPr>
        <w:pStyle w:val="BodyText"/>
        <w:spacing w:line="252" w:lineRule="auto"/>
        <w:ind w:left="100" w:right="328" w:firstLine="396"/>
        <w:jc w:val="both"/>
      </w:pPr>
      <w:r>
        <w:rPr>
          <w:w w:val="115"/>
        </w:rPr>
        <w:t>a su vez, ante la inmediata movilización de toda la </w:t>
      </w:r>
      <w:r>
        <w:rPr>
          <w:w w:val="125"/>
        </w:rPr>
        <w:t>CElaC </w:t>
      </w:r>
      <w:r>
        <w:rPr>
          <w:w w:val="115"/>
        </w:rPr>
        <w:t>y la perentoria amenaza, también EE.uu. manifestó su disposición de cooperar con Cuba, la región y la oPs frente a la amenaza de pan- demia, compartir sus preliminares conocimientos epidemiológicos y de tratamiento específico, experiencias (4 casos en su territorio con 50% de éxito, medicamentos en desarrollo preliminar a prue- ba bajo autorización de la oMs), equipos de protección y entre- namiento del personal bajo riesgo. Expresada oficialmente por el doctor Nelson arboleda, director regional del Centro de Control y Prevención</w:t>
      </w:r>
      <w:r>
        <w:rPr>
          <w:spacing w:val="-20"/>
          <w:w w:val="115"/>
        </w:rPr>
        <w:t> </w:t>
      </w:r>
      <w:r>
        <w:rPr>
          <w:w w:val="115"/>
        </w:rPr>
        <w:t>de</w:t>
      </w:r>
      <w:r>
        <w:rPr>
          <w:spacing w:val="-20"/>
          <w:w w:val="115"/>
        </w:rPr>
        <w:t> </w:t>
      </w:r>
      <w:r>
        <w:rPr>
          <w:w w:val="115"/>
        </w:rPr>
        <w:t>Enfermedades</w:t>
      </w:r>
      <w:r>
        <w:rPr>
          <w:spacing w:val="-20"/>
          <w:w w:val="115"/>
        </w:rPr>
        <w:t> </w:t>
      </w:r>
      <w:r>
        <w:rPr>
          <w:w w:val="115"/>
        </w:rPr>
        <w:t>de</w:t>
      </w:r>
      <w:r>
        <w:rPr>
          <w:spacing w:val="-20"/>
          <w:w w:val="115"/>
        </w:rPr>
        <w:t> </w:t>
      </w:r>
      <w:r>
        <w:rPr>
          <w:w w:val="115"/>
        </w:rPr>
        <w:t>Estados</w:t>
      </w:r>
      <w:r>
        <w:rPr>
          <w:spacing w:val="-20"/>
          <w:w w:val="115"/>
        </w:rPr>
        <w:t> </w:t>
      </w:r>
      <w:r>
        <w:rPr>
          <w:w w:val="115"/>
        </w:rPr>
        <w:t>unidos</w:t>
      </w:r>
      <w:r>
        <w:rPr>
          <w:spacing w:val="-20"/>
          <w:w w:val="115"/>
        </w:rPr>
        <w:t> </w:t>
      </w:r>
      <w:r>
        <w:rPr>
          <w:w w:val="115"/>
        </w:rPr>
        <w:t>para</w:t>
      </w:r>
      <w:r>
        <w:rPr>
          <w:spacing w:val="-20"/>
          <w:w w:val="115"/>
        </w:rPr>
        <w:t> </w:t>
      </w:r>
      <w:r>
        <w:rPr>
          <w:w w:val="115"/>
        </w:rPr>
        <w:t>Centroamérica</w:t>
      </w:r>
    </w:p>
    <w:p>
      <w:pPr>
        <w:pStyle w:val="BodyText"/>
        <w:spacing w:line="252" w:lineRule="auto"/>
        <w:ind w:left="100" w:right="328"/>
        <w:jc w:val="both"/>
      </w:pPr>
      <w:r>
        <w:rPr>
          <w:w w:val="110"/>
        </w:rPr>
        <w:t>, esta disposición fue bienvenida recíprocamente, de buena voluntad y esperanza en el urgente interés común.</w:t>
      </w:r>
    </w:p>
    <w:p>
      <w:pPr>
        <w:pStyle w:val="BodyText"/>
        <w:spacing w:line="252" w:lineRule="auto"/>
        <w:ind w:left="100" w:right="328" w:firstLine="460"/>
        <w:jc w:val="both"/>
      </w:pPr>
      <w:r>
        <w:rPr>
          <w:w w:val="110"/>
        </w:rPr>
        <w:t>Con máximo apego al humanismo, la solidaridad y la ética bio- médica-social, cumplida la misión eliminándose los focos existentes en las tres repúblicas africanas y de retorno la heroica brigada sana y salva a su punto de partida, esta hazaña simboliza un hito de excep- cional trascendencia, de colaboración alternativa </w:t>
      </w:r>
      <w:r>
        <w:rPr>
          <w:i/>
          <w:w w:val="110"/>
        </w:rPr>
        <w:t>con todos y para el </w:t>
      </w:r>
      <w:r>
        <w:rPr>
          <w:i/>
          <w:w w:val="110"/>
        </w:rPr>
        <w:t>bien de todos </w:t>
      </w:r>
      <w:r>
        <w:rPr>
          <w:w w:val="110"/>
        </w:rPr>
        <w:t>en las américas y a escala planetaria. Existen múltiples campos y disciplinas en los que esta singular experiencia bien pudiera generalizarse, en los planos bi- y multilaterales, pero ello ya sería ob- jeto de un próximo  análisis.</w:t>
      </w:r>
    </w:p>
    <w:p>
      <w:pPr>
        <w:pStyle w:val="BodyText"/>
        <w:spacing w:before="5"/>
      </w:pPr>
    </w:p>
    <w:p>
      <w:pPr>
        <w:spacing w:before="0"/>
        <w:ind w:left="101" w:right="0" w:firstLine="0"/>
        <w:jc w:val="both"/>
        <w:rPr>
          <w:rFonts w:ascii="Times New Roman"/>
          <w:b/>
          <w:sz w:val="20"/>
        </w:rPr>
      </w:pPr>
      <w:r>
        <w:rPr>
          <w:rFonts w:ascii="Times New Roman"/>
          <w:b/>
          <w:w w:val="140"/>
          <w:sz w:val="20"/>
        </w:rPr>
        <w:t>conclusiones</w:t>
      </w:r>
    </w:p>
    <w:p>
      <w:pPr>
        <w:spacing w:line="252" w:lineRule="auto" w:before="10"/>
        <w:ind w:left="100" w:right="328" w:firstLine="0"/>
        <w:jc w:val="both"/>
        <w:rPr>
          <w:sz w:val="19"/>
        </w:rPr>
      </w:pPr>
      <w:r>
        <w:rPr>
          <w:w w:val="110"/>
          <w:sz w:val="19"/>
        </w:rPr>
        <w:t>se agrava la pérdida de racionalidad del ciclo reproductivo capitalista en la era de la </w:t>
      </w:r>
      <w:r>
        <w:rPr>
          <w:i/>
          <w:w w:val="110"/>
          <w:sz w:val="19"/>
        </w:rPr>
        <w:t>sociedad basada en el conocimiento </w:t>
      </w:r>
      <w:r>
        <w:rPr>
          <w:w w:val="110"/>
          <w:sz w:val="19"/>
        </w:rPr>
        <w:t>con relación al  ago-</w:t>
      </w:r>
    </w:p>
    <w:p>
      <w:pPr>
        <w:spacing w:after="0" w:line="252" w:lineRule="auto"/>
        <w:jc w:val="both"/>
        <w:rPr>
          <w:sz w:val="19"/>
        </w:rPr>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41"/>
      </w:pPr>
      <w:r>
        <w:rPr>
          <w:w w:val="110"/>
        </w:rPr>
        <w:t>tamiento de la propia razón de ser del capitalismo metropolitano, la obtención de la plusvalía extraordinaria.</w:t>
      </w:r>
    </w:p>
    <w:p>
      <w:pPr>
        <w:pStyle w:val="BodyText"/>
        <w:spacing w:line="252" w:lineRule="auto"/>
        <w:ind w:left="330" w:right="118" w:firstLine="396"/>
        <w:jc w:val="both"/>
      </w:pPr>
      <w:r>
        <w:rPr>
          <w:w w:val="110"/>
        </w:rPr>
        <w:t>se agudizan causas sistémico-estructurales que implican un mar- cado retroceso en la competitividad </w:t>
      </w:r>
      <w:r>
        <w:rPr>
          <w:w w:val="130"/>
        </w:rPr>
        <w:t>altEC </w:t>
      </w:r>
      <w:r>
        <w:rPr>
          <w:w w:val="110"/>
        </w:rPr>
        <w:t>norteamericana y, en con- secuencia, el cuestionamiento de su hegemonía para este sector en el importante </w:t>
      </w:r>
      <w:r>
        <w:rPr>
          <w:i/>
          <w:w w:val="110"/>
        </w:rPr>
        <w:t>marketplace</w:t>
      </w:r>
      <w:r>
        <w:rPr>
          <w:w w:val="110"/>
        </w:rPr>
        <w:t>.</w:t>
      </w:r>
    </w:p>
    <w:p>
      <w:pPr>
        <w:pStyle w:val="BodyText"/>
        <w:spacing w:line="252" w:lineRule="auto"/>
        <w:ind w:left="330" w:right="118" w:firstLine="396"/>
        <w:jc w:val="both"/>
      </w:pPr>
      <w:r>
        <w:rPr>
          <w:w w:val="110"/>
        </w:rPr>
        <w:t>El estallido de la burbuja financiera ha evidenciado la ausencia  de estudios prospectivos y de una </w:t>
      </w:r>
      <w:r>
        <w:rPr>
          <w:i/>
          <w:w w:val="110"/>
        </w:rPr>
        <w:t>métrica </w:t>
      </w:r>
      <w:r>
        <w:rPr>
          <w:w w:val="110"/>
        </w:rPr>
        <w:t>que –más allá de lo coyun- tural– desentrañasen con un enfoque de complejidad el conjunto de síntomas e interrelaciones de causa-efecto que afirman “la crisis sisté- mico-estructural en los mismos cimientos científico-tecnológicos del capitalismo  monopolista</w:t>
      </w:r>
      <w:r>
        <w:rPr>
          <w:spacing w:val="24"/>
          <w:w w:val="110"/>
        </w:rPr>
        <w:t> </w:t>
      </w:r>
      <w:r>
        <w:rPr>
          <w:w w:val="110"/>
        </w:rPr>
        <w:t>transnacionalizado”.</w:t>
      </w:r>
    </w:p>
    <w:p>
      <w:pPr>
        <w:pStyle w:val="BodyText"/>
        <w:spacing w:line="252" w:lineRule="auto"/>
        <w:ind w:left="330" w:right="118" w:firstLine="397"/>
        <w:jc w:val="both"/>
      </w:pPr>
      <w:r>
        <w:rPr>
          <w:w w:val="110"/>
        </w:rPr>
        <w:t>se evidencia la caducidad del modelo de “Keynesianismo mili- tar”, también en su actual mutación de “Pentagonismo neoliberal”,    en pos de la hegemonía y/o dominio planetario. increméntanse la re- sistencia –fuera y dentro del </w:t>
      </w:r>
      <w:r>
        <w:rPr>
          <w:i/>
          <w:w w:val="110"/>
        </w:rPr>
        <w:t>establishment– </w:t>
      </w:r>
      <w:r>
        <w:rPr>
          <w:w w:val="110"/>
        </w:rPr>
        <w:t>favorecedora al tránsito hacia un “modelo inteligente”, con voluntad política al cambio, que extraiga</w:t>
      </w:r>
      <w:r>
        <w:rPr>
          <w:spacing w:val="-5"/>
          <w:w w:val="110"/>
        </w:rPr>
        <w:t> </w:t>
      </w:r>
      <w:r>
        <w:rPr>
          <w:w w:val="110"/>
        </w:rPr>
        <w:t>al</w:t>
      </w:r>
      <w:r>
        <w:rPr>
          <w:spacing w:val="-5"/>
          <w:w w:val="110"/>
        </w:rPr>
        <w:t> </w:t>
      </w:r>
      <w:r>
        <w:rPr>
          <w:w w:val="110"/>
        </w:rPr>
        <w:t>sistema</w:t>
      </w:r>
      <w:r>
        <w:rPr>
          <w:spacing w:val="-5"/>
          <w:w w:val="110"/>
        </w:rPr>
        <w:t> </w:t>
      </w:r>
      <w:r>
        <w:rPr>
          <w:w w:val="110"/>
        </w:rPr>
        <w:t>de</w:t>
      </w:r>
      <w:r>
        <w:rPr>
          <w:spacing w:val="-5"/>
          <w:w w:val="110"/>
        </w:rPr>
        <w:t> </w:t>
      </w:r>
      <w:r>
        <w:rPr>
          <w:w w:val="110"/>
        </w:rPr>
        <w:t>su</w:t>
      </w:r>
      <w:r>
        <w:rPr>
          <w:spacing w:val="-5"/>
          <w:w w:val="110"/>
        </w:rPr>
        <w:t> </w:t>
      </w:r>
      <w:r>
        <w:rPr>
          <w:w w:val="110"/>
        </w:rPr>
        <w:t>prolongada</w:t>
      </w:r>
      <w:r>
        <w:rPr>
          <w:spacing w:val="-5"/>
          <w:w w:val="110"/>
        </w:rPr>
        <w:t> </w:t>
      </w:r>
      <w:r>
        <w:rPr>
          <w:i/>
          <w:w w:val="110"/>
        </w:rPr>
        <w:t>naturaleza</w:t>
      </w:r>
      <w:r>
        <w:rPr>
          <w:i/>
          <w:spacing w:val="-5"/>
          <w:w w:val="110"/>
        </w:rPr>
        <w:t> </w:t>
      </w:r>
      <w:r>
        <w:rPr>
          <w:i/>
          <w:w w:val="110"/>
        </w:rPr>
        <w:t>guerrerista</w:t>
      </w:r>
      <w:r>
        <w:rPr>
          <w:w w:val="110"/>
        </w:rPr>
        <w:t>.</w:t>
      </w:r>
    </w:p>
    <w:p>
      <w:pPr>
        <w:pStyle w:val="BodyText"/>
        <w:spacing w:line="252" w:lineRule="auto"/>
        <w:ind w:left="330" w:right="117" w:firstLine="396"/>
        <w:jc w:val="both"/>
        <w:rPr>
          <w:i/>
        </w:rPr>
      </w:pPr>
      <w:r>
        <w:rPr>
          <w:w w:val="110"/>
        </w:rPr>
        <w:t>En función de las vías de solución de este complejo problema – entre el colapso y el precipicio guerrerista– dependerán no sólo ya la supervivencia y/o metamorfosis del imperio, sino la de la propia vida planetaria. Está echado el reto de cara al futuro de la especie humana, al fin del dominio unipolar y a la reconfiguración de las relaciones internacionales en pos del </w:t>
      </w:r>
      <w:r>
        <w:rPr>
          <w:i/>
          <w:w w:val="110"/>
        </w:rPr>
        <w:t>desarrollo sostenible planetario.</w:t>
      </w:r>
    </w:p>
    <w:p>
      <w:pPr>
        <w:pStyle w:val="BodyText"/>
        <w:spacing w:line="252" w:lineRule="auto"/>
        <w:ind w:left="330" w:right="117" w:firstLine="396"/>
        <w:jc w:val="both"/>
      </w:pPr>
      <w:r>
        <w:rPr>
          <w:w w:val="110"/>
        </w:rPr>
        <w:t>Para </w:t>
      </w:r>
      <w:r>
        <w:rPr>
          <w:i/>
          <w:w w:val="110"/>
        </w:rPr>
        <w:t>Nuestra América </w:t>
      </w:r>
      <w:r>
        <w:rPr>
          <w:w w:val="110"/>
        </w:rPr>
        <w:t>la situacióndescrita solo permitiría inferir las siguientes consecuencias en sus relaciones científico-tecnológicas con los EE.uu.: por un lado, el creciente arreciamiento para la ad- quisición de propiedad intelectual norteamericana; </w:t>
      </w:r>
      <w:r>
        <w:rPr>
          <w:spacing w:val="-11"/>
          <w:w w:val="110"/>
        </w:rPr>
        <w:t>y, </w:t>
      </w:r>
      <w:r>
        <w:rPr>
          <w:i/>
          <w:w w:val="110"/>
        </w:rPr>
        <w:t>en recompen-  </w:t>
      </w:r>
      <w:r>
        <w:rPr>
          <w:i/>
          <w:w w:val="110"/>
        </w:rPr>
        <w:t>sa</w:t>
      </w:r>
      <w:r>
        <w:rPr>
          <w:w w:val="110"/>
        </w:rPr>
        <w:t>, facilidades para la emigración selectiva de los más baratos </w:t>
      </w:r>
      <w:r>
        <w:rPr>
          <w:i/>
          <w:w w:val="110"/>
        </w:rPr>
        <w:t>cuellos </w:t>
      </w:r>
      <w:r>
        <w:rPr>
          <w:i/>
          <w:w w:val="110"/>
        </w:rPr>
        <w:t>blancos </w:t>
      </w:r>
      <w:r>
        <w:rPr>
          <w:w w:val="110"/>
        </w:rPr>
        <w:t>latinoamericanos y caribeños. Más de lo  </w:t>
      </w:r>
      <w:r>
        <w:rPr>
          <w:spacing w:val="24"/>
          <w:w w:val="110"/>
        </w:rPr>
        <w:t> </w:t>
      </w:r>
      <w:r>
        <w:rPr>
          <w:w w:val="110"/>
        </w:rPr>
        <w:t>mismo.</w:t>
      </w:r>
    </w:p>
    <w:p>
      <w:pPr>
        <w:pStyle w:val="BodyText"/>
        <w:spacing w:line="252" w:lineRule="auto"/>
        <w:ind w:left="330" w:right="117" w:firstLine="396"/>
        <w:jc w:val="both"/>
      </w:pPr>
      <w:r>
        <w:rPr>
          <w:w w:val="110"/>
        </w:rPr>
        <w:t>ante el creciente afán de militarización de la dominación nortea- mericana</w:t>
      </w:r>
      <w:r>
        <w:rPr>
          <w:spacing w:val="-5"/>
          <w:w w:val="110"/>
        </w:rPr>
        <w:t> </w:t>
      </w:r>
      <w:r>
        <w:rPr>
          <w:w w:val="110"/>
        </w:rPr>
        <w:t>en</w:t>
      </w:r>
      <w:r>
        <w:rPr>
          <w:spacing w:val="-5"/>
          <w:w w:val="110"/>
        </w:rPr>
        <w:t> </w:t>
      </w:r>
      <w:r>
        <w:rPr>
          <w:i/>
          <w:w w:val="110"/>
        </w:rPr>
        <w:t>Nuestra</w:t>
      </w:r>
      <w:r>
        <w:rPr>
          <w:i/>
          <w:spacing w:val="-5"/>
          <w:w w:val="110"/>
        </w:rPr>
        <w:t> </w:t>
      </w:r>
      <w:r>
        <w:rPr>
          <w:i/>
          <w:w w:val="110"/>
        </w:rPr>
        <w:t>América</w:t>
      </w:r>
      <w:r>
        <w:rPr>
          <w:w w:val="110"/>
        </w:rPr>
        <w:t>,</w:t>
      </w:r>
      <w:r>
        <w:rPr>
          <w:spacing w:val="-5"/>
          <w:w w:val="110"/>
        </w:rPr>
        <w:t> </w:t>
      </w:r>
      <w:r>
        <w:rPr>
          <w:w w:val="110"/>
        </w:rPr>
        <w:t>la</w:t>
      </w:r>
      <w:r>
        <w:rPr>
          <w:spacing w:val="-5"/>
          <w:w w:val="110"/>
        </w:rPr>
        <w:t> </w:t>
      </w:r>
      <w:r>
        <w:rPr>
          <w:w w:val="110"/>
        </w:rPr>
        <w:t>respuesta</w:t>
      </w:r>
      <w:r>
        <w:rPr>
          <w:spacing w:val="-5"/>
          <w:w w:val="110"/>
        </w:rPr>
        <w:t> </w:t>
      </w:r>
      <w:r>
        <w:rPr>
          <w:w w:val="110"/>
        </w:rPr>
        <w:t>de</w:t>
      </w:r>
      <w:r>
        <w:rPr>
          <w:spacing w:val="-5"/>
          <w:w w:val="110"/>
        </w:rPr>
        <w:t> </w:t>
      </w:r>
      <w:r>
        <w:rPr>
          <w:w w:val="110"/>
        </w:rPr>
        <w:t>los</w:t>
      </w:r>
      <w:r>
        <w:rPr>
          <w:spacing w:val="-5"/>
          <w:w w:val="110"/>
        </w:rPr>
        <w:t> </w:t>
      </w:r>
      <w:r>
        <w:rPr>
          <w:w w:val="110"/>
        </w:rPr>
        <w:t>pueblos</w:t>
      </w:r>
      <w:r>
        <w:rPr>
          <w:spacing w:val="-5"/>
          <w:w w:val="110"/>
        </w:rPr>
        <w:t> </w:t>
      </w:r>
      <w:r>
        <w:rPr>
          <w:w w:val="110"/>
        </w:rPr>
        <w:t>evidencia</w:t>
      </w:r>
      <w:r>
        <w:rPr>
          <w:spacing w:val="-5"/>
          <w:w w:val="110"/>
        </w:rPr>
        <w:t> </w:t>
      </w:r>
      <w:r>
        <w:rPr>
          <w:w w:val="110"/>
        </w:rPr>
        <w:t>un ascendente rompimiento con el Consenso de Washington y la edifica- ción de modelos alternativos de integración multifacética para el de- sarrollo sostenible, inclusivo, solidario, del </w:t>
      </w:r>
      <w:r>
        <w:rPr>
          <w:i/>
          <w:w w:val="110"/>
        </w:rPr>
        <w:t>buen vivir</w:t>
      </w:r>
      <w:r>
        <w:rPr>
          <w:w w:val="110"/>
        </w:rPr>
        <w:t>, </w:t>
      </w:r>
      <w:r>
        <w:rPr>
          <w:i/>
          <w:w w:val="110"/>
        </w:rPr>
        <w:t>pachamamista   </w:t>
      </w:r>
      <w:r>
        <w:rPr>
          <w:w w:val="110"/>
        </w:rPr>
        <w:t>y socialista, con justicia social y equidad, de </w:t>
      </w:r>
      <w:r>
        <w:rPr>
          <w:i/>
          <w:w w:val="110"/>
        </w:rPr>
        <w:t>unidad en la diversidad   </w:t>
      </w:r>
      <w:r>
        <w:rPr>
          <w:i/>
          <w:w w:val="110"/>
        </w:rPr>
        <w:t>en zona de paz</w:t>
      </w:r>
      <w:r>
        <w:rPr>
          <w:w w:val="110"/>
        </w:rPr>
        <w:t>, necesariamente basados en el conocimiento. </w:t>
      </w:r>
      <w:r>
        <w:rPr>
          <w:spacing w:val="-3"/>
          <w:w w:val="110"/>
        </w:rPr>
        <w:t>también, </w:t>
      </w:r>
      <w:r>
        <w:rPr>
          <w:w w:val="110"/>
        </w:rPr>
        <w:t>una nueva configuración mundial de relaciones </w:t>
      </w:r>
      <w:r>
        <w:rPr>
          <w:spacing w:val="-5"/>
          <w:w w:val="110"/>
        </w:rPr>
        <w:t>sur-sur, </w:t>
      </w:r>
      <w:r>
        <w:rPr>
          <w:w w:val="110"/>
        </w:rPr>
        <w:t>con modelos de cooperación mutuamente ventajosos en todos los planos: políti- cos, económicos, sociales, ecológicos, defensivos y… necesariamente científico-tecnológicos e</w:t>
      </w:r>
      <w:r>
        <w:rPr>
          <w:spacing w:val="17"/>
          <w:w w:val="110"/>
        </w:rPr>
        <w:t> </w:t>
      </w:r>
      <w:r>
        <w:rPr>
          <w:w w:val="110"/>
        </w:rPr>
        <w:t>innovativos.</w:t>
      </w:r>
    </w:p>
    <w:p>
      <w:pPr>
        <w:pStyle w:val="BodyText"/>
        <w:spacing w:line="252" w:lineRule="auto"/>
        <w:ind w:left="330" w:right="117" w:firstLine="396"/>
        <w:jc w:val="both"/>
      </w:pPr>
      <w:r>
        <w:rPr>
          <w:w w:val="110"/>
        </w:rPr>
        <w:t>¿obama? sostenida incongruencia entre el discurso electoral ba- sado en una función de cambio y la continuidad, por otros medios,  en</w:t>
      </w:r>
    </w:p>
    <w:p>
      <w:pPr>
        <w:spacing w:after="0" w:line="252" w:lineRule="auto"/>
        <w:jc w:val="both"/>
        <w:sectPr>
          <w:footerReference w:type="even" r:id="rId253"/>
          <w:footerReference w:type="default" r:id="rId254"/>
          <w:pgSz w:w="8790" w:h="12760"/>
          <w:pgMar w:footer="725" w:header="697" w:top="880" w:bottom="920" w:left="1200" w:right="900"/>
          <w:pgNumType w:start="192"/>
        </w:sectPr>
      </w:pPr>
    </w:p>
    <w:p>
      <w:pPr>
        <w:pStyle w:val="BodyText"/>
        <w:spacing w:before="9"/>
        <w:rPr>
          <w:sz w:val="28"/>
        </w:rPr>
      </w:pPr>
    </w:p>
    <w:p>
      <w:pPr>
        <w:pStyle w:val="BodyText"/>
        <w:spacing w:line="252" w:lineRule="auto" w:before="73"/>
        <w:ind w:left="100"/>
      </w:pPr>
      <w:r>
        <w:rPr>
          <w:w w:val="110"/>
        </w:rPr>
        <w:t>el actuar aún más guerrerista que su predecesor, también en ciencia, tecnología e innovación.</w:t>
      </w:r>
    </w:p>
    <w:p>
      <w:pPr>
        <w:pStyle w:val="BodyText"/>
        <w:spacing w:line="252" w:lineRule="auto"/>
        <w:ind w:left="100" w:right="328" w:firstLine="396"/>
        <w:jc w:val="both"/>
      </w:pPr>
      <w:r>
        <w:rPr>
          <w:w w:val="110"/>
        </w:rPr>
        <w:t>¿Pudiera el peligro de pandemia mortal para la humanidad, in- cluido el propio pueblo norteamericano, constituir un punto paradóji- </w:t>
      </w:r>
      <w:r>
        <w:rPr>
          <w:w w:val="110"/>
        </w:rPr>
        <w:t>camente</w:t>
      </w:r>
      <w:r>
        <w:rPr>
          <w:spacing w:val="13"/>
        </w:rPr>
        <w:t> </w:t>
      </w:r>
      <w:r>
        <w:rPr>
          <w:w w:val="108"/>
        </w:rPr>
        <w:t>esperanzador</w:t>
      </w:r>
      <w:r>
        <w:rPr>
          <w:spacing w:val="13"/>
        </w:rPr>
        <w:t> </w:t>
      </w:r>
      <w:r>
        <w:rPr>
          <w:w w:val="109"/>
        </w:rPr>
        <w:t>para</w:t>
      </w:r>
      <w:r>
        <w:rPr>
          <w:spacing w:val="13"/>
        </w:rPr>
        <w:t> </w:t>
      </w:r>
      <w:r>
        <w:rPr>
          <w:w w:val="111"/>
        </w:rPr>
        <w:t>la</w:t>
      </w:r>
      <w:r>
        <w:rPr>
          <w:spacing w:val="13"/>
        </w:rPr>
        <w:t> </w:t>
      </w:r>
      <w:r>
        <w:rPr>
          <w:w w:val="110"/>
        </w:rPr>
        <w:t>inflexión</w:t>
      </w:r>
      <w:r>
        <w:rPr>
          <w:spacing w:val="13"/>
        </w:rPr>
        <w:t> </w:t>
      </w:r>
      <w:r>
        <w:rPr>
          <w:w w:val="108"/>
        </w:rPr>
        <w:t>en</w:t>
      </w:r>
      <w:r>
        <w:rPr>
          <w:spacing w:val="13"/>
        </w:rPr>
        <w:t> </w:t>
      </w:r>
      <w:r>
        <w:rPr>
          <w:w w:val="105"/>
        </w:rPr>
        <w:t>este</w:t>
      </w:r>
      <w:r>
        <w:rPr>
          <w:spacing w:val="13"/>
        </w:rPr>
        <w:t> </w:t>
      </w:r>
      <w:r>
        <w:rPr>
          <w:w w:val="108"/>
        </w:rPr>
        <w:t>proceder?</w:t>
      </w:r>
      <w:r>
        <w:rPr>
          <w:spacing w:val="13"/>
        </w:rPr>
        <w:t> </w:t>
      </w:r>
      <w:r>
        <w:rPr>
          <w:w w:val="243"/>
        </w:rPr>
        <w:t>l</w:t>
      </w:r>
      <w:r>
        <w:rPr>
          <w:w w:val="112"/>
        </w:rPr>
        <w:t>a</w:t>
      </w:r>
      <w:r>
        <w:rPr>
          <w:spacing w:val="13"/>
        </w:rPr>
        <w:t> </w:t>
      </w:r>
      <w:r>
        <w:rPr>
          <w:w w:val="110"/>
        </w:rPr>
        <w:t>singular </w:t>
      </w:r>
      <w:r>
        <w:rPr>
          <w:w w:val="110"/>
        </w:rPr>
        <w:t>colaboración establecida por Cuba en el campo de la lucha contra la pandemia</w:t>
      </w:r>
      <w:r>
        <w:rPr>
          <w:spacing w:val="-8"/>
          <w:w w:val="110"/>
        </w:rPr>
        <w:t> </w:t>
      </w:r>
      <w:r>
        <w:rPr>
          <w:w w:val="110"/>
        </w:rPr>
        <w:t>del</w:t>
      </w:r>
      <w:r>
        <w:rPr>
          <w:spacing w:val="-8"/>
          <w:w w:val="110"/>
        </w:rPr>
        <w:t> </w:t>
      </w:r>
      <w:r>
        <w:rPr>
          <w:w w:val="110"/>
        </w:rPr>
        <w:t>ébola</w:t>
      </w:r>
      <w:r>
        <w:rPr>
          <w:spacing w:val="-8"/>
          <w:w w:val="110"/>
        </w:rPr>
        <w:t> </w:t>
      </w:r>
      <w:r>
        <w:rPr>
          <w:w w:val="110"/>
        </w:rPr>
        <w:t>bien</w:t>
      </w:r>
      <w:r>
        <w:rPr>
          <w:spacing w:val="-8"/>
          <w:w w:val="110"/>
        </w:rPr>
        <w:t> </w:t>
      </w:r>
      <w:r>
        <w:rPr>
          <w:w w:val="110"/>
        </w:rPr>
        <w:t>pudiera</w:t>
      </w:r>
      <w:r>
        <w:rPr>
          <w:spacing w:val="-8"/>
          <w:w w:val="110"/>
        </w:rPr>
        <w:t> </w:t>
      </w:r>
      <w:r>
        <w:rPr>
          <w:w w:val="110"/>
        </w:rPr>
        <w:t>convertirse</w:t>
      </w:r>
      <w:r>
        <w:rPr>
          <w:spacing w:val="-8"/>
          <w:w w:val="110"/>
        </w:rPr>
        <w:t> </w:t>
      </w:r>
      <w:r>
        <w:rPr>
          <w:w w:val="110"/>
        </w:rPr>
        <w:t>–tanto</w:t>
      </w:r>
      <w:r>
        <w:rPr>
          <w:spacing w:val="-8"/>
          <w:w w:val="110"/>
        </w:rPr>
        <w:t> </w:t>
      </w:r>
      <w:r>
        <w:rPr>
          <w:w w:val="110"/>
        </w:rPr>
        <w:t>para</w:t>
      </w:r>
      <w:r>
        <w:rPr>
          <w:spacing w:val="-8"/>
          <w:w w:val="110"/>
        </w:rPr>
        <w:t> </w:t>
      </w:r>
      <w:r>
        <w:rPr>
          <w:w w:val="110"/>
        </w:rPr>
        <w:t>todos</w:t>
      </w:r>
      <w:r>
        <w:rPr>
          <w:spacing w:val="-8"/>
          <w:w w:val="110"/>
        </w:rPr>
        <w:t> </w:t>
      </w:r>
      <w:r>
        <w:rPr>
          <w:w w:val="110"/>
        </w:rPr>
        <w:t>los</w:t>
      </w:r>
      <w:r>
        <w:rPr>
          <w:spacing w:val="-8"/>
          <w:w w:val="110"/>
        </w:rPr>
        <w:t> </w:t>
      </w:r>
      <w:r>
        <w:rPr>
          <w:w w:val="110"/>
        </w:rPr>
        <w:t>paí- ses de la </w:t>
      </w:r>
      <w:r>
        <w:rPr>
          <w:w w:val="150"/>
        </w:rPr>
        <w:t>CElaC, </w:t>
      </w:r>
      <w:r>
        <w:rPr>
          <w:w w:val="110"/>
        </w:rPr>
        <w:t>los organismos internacionales implicados, como para </w:t>
      </w:r>
      <w:r>
        <w:rPr>
          <w:w w:val="150"/>
        </w:rPr>
        <w:t>EE.uu. </w:t>
      </w:r>
      <w:r>
        <w:rPr>
          <w:w w:val="110"/>
        </w:rPr>
        <w:t>y Canadá– en un hito precursor de enfoque alternati- vo, de cara a una colaboración científico-tecnológica solidaria a ciclo completo, con todos y para el bien de </w:t>
      </w:r>
      <w:r>
        <w:rPr>
          <w:spacing w:val="22"/>
          <w:w w:val="110"/>
        </w:rPr>
        <w:t> </w:t>
      </w:r>
      <w:r>
        <w:rPr>
          <w:w w:val="110"/>
        </w:rPr>
        <w:t>todos.</w:t>
      </w:r>
    </w:p>
    <w:p>
      <w:pPr>
        <w:pStyle w:val="BodyText"/>
        <w:spacing w:before="5"/>
      </w:pPr>
    </w:p>
    <w:p>
      <w:pPr>
        <w:pStyle w:val="Heading6"/>
        <w:jc w:val="left"/>
      </w:pPr>
      <w:r>
        <w:rPr>
          <w:spacing w:val="3"/>
          <w:w w:val="134"/>
        </w:rPr>
        <w:t>e</w:t>
      </w:r>
      <w:r>
        <w:rPr>
          <w:spacing w:val="2"/>
          <w:w w:val="96"/>
        </w:rPr>
        <w:t>PÍ</w:t>
      </w:r>
      <w:r>
        <w:rPr>
          <w:spacing w:val="1"/>
          <w:w w:val="201"/>
        </w:rPr>
        <w:t>l</w:t>
      </w:r>
      <w:r>
        <w:rPr>
          <w:spacing w:val="5"/>
          <w:w w:val="145"/>
        </w:rPr>
        <w:t>o</w:t>
      </w:r>
      <w:r>
        <w:rPr>
          <w:spacing w:val="5"/>
          <w:w w:val="89"/>
        </w:rPr>
        <w:t>G</w:t>
      </w:r>
      <w:r>
        <w:rPr>
          <w:w w:val="145"/>
        </w:rPr>
        <w:t>o</w:t>
      </w:r>
    </w:p>
    <w:p>
      <w:pPr>
        <w:pStyle w:val="BodyText"/>
        <w:spacing w:before="10"/>
        <w:ind w:left="100"/>
      </w:pPr>
      <w:r>
        <w:rPr>
          <w:w w:val="110"/>
        </w:rPr>
        <w:t>dígame de qué se   jacta…</w:t>
      </w:r>
    </w:p>
    <w:p>
      <w:pPr>
        <w:pStyle w:val="BodyText"/>
        <w:spacing w:before="11"/>
      </w:pPr>
    </w:p>
    <w:p>
      <w:pPr>
        <w:spacing w:before="0"/>
        <w:ind w:left="497" w:right="328" w:firstLine="0"/>
        <w:jc w:val="both"/>
        <w:rPr>
          <w:sz w:val="18"/>
        </w:rPr>
      </w:pPr>
      <w:r>
        <w:rPr>
          <w:i/>
          <w:w w:val="105"/>
          <w:sz w:val="18"/>
        </w:rPr>
        <w:t>In fact, by most measures America has rarely been stronger relative to the </w:t>
      </w:r>
      <w:r>
        <w:rPr>
          <w:i/>
          <w:w w:val="105"/>
          <w:sz w:val="18"/>
        </w:rPr>
        <w:t>rest of the world. Those who argue otherwise –who suggest that America</w:t>
      </w:r>
      <w:r>
        <w:rPr>
          <w:i/>
          <w:spacing w:val="41"/>
          <w:w w:val="105"/>
          <w:sz w:val="18"/>
        </w:rPr>
        <w:t> </w:t>
      </w:r>
      <w:r>
        <w:rPr>
          <w:i/>
          <w:w w:val="105"/>
          <w:sz w:val="18"/>
        </w:rPr>
        <w:t>is in decline or has seen its global leadership slip away– are either mis- reading history or engaged in partisan politics. our military has no </w:t>
      </w:r>
      <w:r>
        <w:rPr>
          <w:i/>
          <w:spacing w:val="-4"/>
          <w:w w:val="105"/>
          <w:sz w:val="18"/>
        </w:rPr>
        <w:t>peer. </w:t>
      </w:r>
      <w:r>
        <w:rPr>
          <w:i/>
          <w:w w:val="105"/>
          <w:sz w:val="18"/>
        </w:rPr>
        <w:t>Meanwhile, our economy remains the most dynamic on Earth, our busi- nesses the most innovative. Each </w:t>
      </w:r>
      <w:r>
        <w:rPr>
          <w:i/>
          <w:spacing w:val="-4"/>
          <w:w w:val="105"/>
          <w:sz w:val="18"/>
        </w:rPr>
        <w:t>year, </w:t>
      </w:r>
      <w:r>
        <w:rPr>
          <w:i/>
          <w:w w:val="105"/>
          <w:sz w:val="18"/>
        </w:rPr>
        <w:t>we grow more energy independent. America continues to attract striving immigrants. It is America that the world looks to for help </w:t>
      </w:r>
      <w:r>
        <w:rPr>
          <w:w w:val="105"/>
          <w:sz w:val="18"/>
        </w:rPr>
        <w:t>(obama,  </w:t>
      </w:r>
      <w:r>
        <w:rPr>
          <w:spacing w:val="39"/>
          <w:w w:val="105"/>
          <w:sz w:val="18"/>
        </w:rPr>
        <w:t> </w:t>
      </w:r>
      <w:r>
        <w:rPr>
          <w:w w:val="105"/>
          <w:sz w:val="18"/>
        </w:rPr>
        <w:t>2014).</w:t>
      </w:r>
    </w:p>
    <w:p>
      <w:pPr>
        <w:pStyle w:val="BodyText"/>
        <w:spacing w:before="1"/>
        <w:rPr>
          <w:sz w:val="21"/>
        </w:rPr>
      </w:pPr>
    </w:p>
    <w:p>
      <w:pPr>
        <w:pStyle w:val="BodyText"/>
        <w:spacing w:line="252" w:lineRule="auto"/>
        <w:ind w:left="100" w:right="328"/>
        <w:jc w:val="both"/>
      </w:pPr>
      <w:r>
        <w:rPr>
          <w:w w:val="110"/>
        </w:rPr>
        <w:t>y las elecciones del 4 de noviembre de 2014 le respondieron de qué </w:t>
      </w:r>
      <w:r>
        <w:rPr>
          <w:w w:val="111"/>
        </w:rPr>
        <w:t>carece.</w:t>
      </w:r>
      <w:r>
        <w:rPr/>
        <w:t> </w:t>
      </w:r>
      <w:r>
        <w:rPr>
          <w:w w:val="243"/>
        </w:rPr>
        <w:t>l</w:t>
      </w:r>
      <w:r>
        <w:rPr>
          <w:w w:val="108"/>
        </w:rPr>
        <w:t>os</w:t>
      </w:r>
      <w:r>
        <w:rPr/>
        <w:t> </w:t>
      </w:r>
      <w:r>
        <w:rPr>
          <w:w w:val="110"/>
        </w:rPr>
        <w:t>científicos</w:t>
      </w:r>
      <w:r>
        <w:rPr/>
        <w:t> </w:t>
      </w:r>
      <w:r>
        <w:rPr>
          <w:w w:val="105"/>
        </w:rPr>
        <w:t>y</w:t>
      </w:r>
      <w:r>
        <w:rPr/>
        <w:t> </w:t>
      </w:r>
      <w:r>
        <w:rPr>
          <w:w w:val="109"/>
        </w:rPr>
        <w:t>norteamericanos</w:t>
      </w:r>
      <w:r>
        <w:rPr/>
        <w:t> </w:t>
      </w:r>
      <w:r>
        <w:rPr>
          <w:w w:val="107"/>
        </w:rPr>
        <w:t>le</w:t>
      </w:r>
      <w:r>
        <w:rPr/>
        <w:t> </w:t>
      </w:r>
      <w:r>
        <w:rPr>
          <w:w w:val="110"/>
        </w:rPr>
        <w:t>demandan</w:t>
      </w:r>
      <w:r>
        <w:rPr/>
        <w:t> </w:t>
      </w:r>
      <w:r>
        <w:rPr>
          <w:w w:val="108"/>
        </w:rPr>
        <w:t>que</w:t>
      </w:r>
      <w:r>
        <w:rPr/>
        <w:t> </w:t>
      </w:r>
      <w:r>
        <w:rPr>
          <w:w w:val="110"/>
        </w:rPr>
        <w:t>ponga</w:t>
      </w:r>
      <w:r>
        <w:rPr/>
        <w:t> </w:t>
      </w:r>
      <w:r>
        <w:rPr>
          <w:w w:val="107"/>
        </w:rPr>
        <w:t>fin </w:t>
      </w:r>
      <w:r>
        <w:rPr>
          <w:w w:val="110"/>
        </w:rPr>
        <w:t>a la desconexión.</w:t>
      </w:r>
    </w:p>
    <w:p>
      <w:pPr>
        <w:pStyle w:val="BodyText"/>
        <w:spacing w:before="5"/>
      </w:pPr>
    </w:p>
    <w:p>
      <w:pPr>
        <w:pStyle w:val="Heading6"/>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pStyle w:val="BodyText"/>
        <w:spacing w:line="252" w:lineRule="auto" w:before="10"/>
        <w:ind w:left="497" w:right="741" w:hanging="397"/>
      </w:pPr>
      <w:r>
        <w:rPr>
          <w:w w:val="145"/>
        </w:rPr>
        <w:t>alba-tCP</w:t>
      </w:r>
      <w:r>
        <w:rPr>
          <w:spacing w:val="-37"/>
          <w:w w:val="145"/>
        </w:rPr>
        <w:t> </w:t>
      </w:r>
      <w:r>
        <w:rPr>
          <w:w w:val="115"/>
        </w:rPr>
        <w:t>2014</w:t>
      </w:r>
      <w:r>
        <w:rPr>
          <w:spacing w:val="-25"/>
          <w:w w:val="115"/>
        </w:rPr>
        <w:t> </w:t>
      </w:r>
      <w:r>
        <w:rPr>
          <w:w w:val="115"/>
        </w:rPr>
        <w:t>“Cumbre</w:t>
      </w:r>
      <w:r>
        <w:rPr>
          <w:spacing w:val="-25"/>
          <w:w w:val="115"/>
        </w:rPr>
        <w:t> </w:t>
      </w:r>
      <w:r>
        <w:rPr>
          <w:w w:val="115"/>
        </w:rPr>
        <w:t>Extraordinaria</w:t>
      </w:r>
      <w:r>
        <w:rPr>
          <w:spacing w:val="-25"/>
          <w:w w:val="115"/>
        </w:rPr>
        <w:t> </w:t>
      </w:r>
      <w:r>
        <w:rPr>
          <w:w w:val="115"/>
        </w:rPr>
        <w:t>del</w:t>
      </w:r>
      <w:r>
        <w:rPr>
          <w:spacing w:val="-25"/>
          <w:w w:val="115"/>
        </w:rPr>
        <w:t> </w:t>
      </w:r>
      <w:r>
        <w:rPr>
          <w:w w:val="145"/>
        </w:rPr>
        <w:t>alba-tCP</w:t>
      </w:r>
      <w:r>
        <w:rPr>
          <w:spacing w:val="-37"/>
          <w:w w:val="145"/>
        </w:rPr>
        <w:t> </w:t>
      </w:r>
      <w:r>
        <w:rPr>
          <w:w w:val="115"/>
        </w:rPr>
        <w:t>sobre</w:t>
      </w:r>
      <w:r>
        <w:rPr>
          <w:spacing w:val="-25"/>
          <w:w w:val="115"/>
        </w:rPr>
        <w:t> </w:t>
      </w:r>
      <w:r>
        <w:rPr>
          <w:w w:val="115"/>
        </w:rPr>
        <w:t>el </w:t>
      </w:r>
      <w:r>
        <w:rPr>
          <w:w w:val="112"/>
        </w:rPr>
        <w:t>ébola”,</w:t>
      </w:r>
      <w:r>
        <w:rPr>
          <w:spacing w:val="12"/>
        </w:rPr>
        <w:t> </w:t>
      </w:r>
      <w:r>
        <w:rPr>
          <w:w w:val="108"/>
        </w:rPr>
        <w:t>en</w:t>
      </w:r>
      <w:r>
        <w:rPr>
          <w:spacing w:val="12"/>
        </w:rPr>
        <w:t> </w:t>
      </w:r>
      <w:r>
        <w:rPr>
          <w:i/>
          <w:w w:val="113"/>
        </w:rPr>
        <w:t>Granma</w:t>
      </w:r>
      <w:r>
        <w:rPr>
          <w:w w:val="138"/>
        </w:rPr>
        <w:t>,</w:t>
      </w:r>
      <w:r>
        <w:rPr>
          <w:spacing w:val="12"/>
        </w:rPr>
        <w:t> </w:t>
      </w:r>
      <w:r>
        <w:rPr>
          <w:w w:val="243"/>
        </w:rPr>
        <w:t>l</w:t>
      </w:r>
      <w:r>
        <w:rPr>
          <w:w w:val="112"/>
        </w:rPr>
        <w:t>a</w:t>
      </w:r>
      <w:r>
        <w:rPr>
          <w:spacing w:val="12"/>
        </w:rPr>
        <w:t> </w:t>
      </w:r>
      <w:r>
        <w:rPr>
          <w:w w:val="114"/>
        </w:rPr>
        <w:t>Habana</w:t>
      </w:r>
      <w:r>
        <w:rPr>
          <w:spacing w:val="12"/>
        </w:rPr>
        <w:t> </w:t>
      </w:r>
      <w:r>
        <w:rPr>
          <w:w w:val="101"/>
        </w:rPr>
        <w:t>(20</w:t>
      </w:r>
      <w:r>
        <w:rPr>
          <w:spacing w:val="12"/>
        </w:rPr>
        <w:t> </w:t>
      </w:r>
      <w:r>
        <w:rPr>
          <w:w w:val="107"/>
        </w:rPr>
        <w:t>de</w:t>
      </w:r>
      <w:r>
        <w:rPr>
          <w:spacing w:val="12"/>
        </w:rPr>
        <w:t> </w:t>
      </w:r>
      <w:r>
        <w:rPr>
          <w:w w:val="109"/>
        </w:rPr>
        <w:t>octubre</w:t>
      </w:r>
      <w:r>
        <w:rPr>
          <w:spacing w:val="12"/>
        </w:rPr>
        <w:t> </w:t>
      </w:r>
      <w:r>
        <w:rPr>
          <w:w w:val="107"/>
        </w:rPr>
        <w:t>de</w:t>
      </w:r>
      <w:r>
        <w:rPr>
          <w:spacing w:val="12"/>
        </w:rPr>
        <w:t> </w:t>
      </w:r>
      <w:r>
        <w:rPr>
          <w:w w:val="104"/>
        </w:rPr>
        <w:t>2014).</w:t>
      </w:r>
    </w:p>
    <w:p>
      <w:pPr>
        <w:spacing w:before="28"/>
        <w:ind w:left="100" w:right="0" w:firstLine="0"/>
        <w:jc w:val="left"/>
        <w:rPr>
          <w:i/>
          <w:sz w:val="19"/>
        </w:rPr>
      </w:pPr>
      <w:r>
        <w:rPr>
          <w:w w:val="115"/>
          <w:sz w:val="19"/>
        </w:rPr>
        <w:t>brenner, </w:t>
      </w:r>
      <w:r>
        <w:rPr>
          <w:w w:val="130"/>
          <w:sz w:val="19"/>
        </w:rPr>
        <w:t>r. </w:t>
      </w:r>
      <w:r>
        <w:rPr>
          <w:w w:val="115"/>
          <w:sz w:val="19"/>
        </w:rPr>
        <w:t>2000 </w:t>
      </w:r>
      <w:r>
        <w:rPr>
          <w:i/>
          <w:w w:val="115"/>
          <w:sz w:val="19"/>
        </w:rPr>
        <w:t>La expansión económica y la burbuja bursátil</w:t>
      </w:r>
    </w:p>
    <w:p>
      <w:pPr>
        <w:pStyle w:val="BodyText"/>
        <w:spacing w:before="11"/>
        <w:ind w:left="497"/>
        <w:jc w:val="both"/>
      </w:pPr>
      <w:r>
        <w:rPr>
          <w:w w:val="115"/>
        </w:rPr>
        <w:t>(Madrid: asnal).</w:t>
      </w:r>
    </w:p>
    <w:p>
      <w:pPr>
        <w:pStyle w:val="BodyText"/>
        <w:spacing w:line="252" w:lineRule="auto" w:before="39"/>
        <w:ind w:left="497" w:right="528" w:hanging="397"/>
      </w:pPr>
      <w:r>
        <w:rPr>
          <w:w w:val="113"/>
        </w:rPr>
        <w:t>Castro,</w:t>
      </w:r>
      <w:r>
        <w:rPr/>
        <w:t> </w:t>
      </w:r>
      <w:r>
        <w:rPr>
          <w:w w:val="111"/>
        </w:rPr>
        <w:t>Fidel</w:t>
      </w:r>
      <w:r>
        <w:rPr/>
        <w:t> </w:t>
      </w:r>
      <w:r>
        <w:rPr>
          <w:w w:val="102"/>
        </w:rPr>
        <w:t>2014</w:t>
      </w:r>
      <w:r>
        <w:rPr/>
        <w:t> </w:t>
      </w:r>
      <w:r>
        <w:rPr>
          <w:w w:val="115"/>
        </w:rPr>
        <w:t>“</w:t>
      </w:r>
      <w:r>
        <w:rPr>
          <w:w w:val="243"/>
        </w:rPr>
        <w:t>l</w:t>
      </w:r>
      <w:r>
        <w:rPr>
          <w:w w:val="112"/>
        </w:rPr>
        <w:t>a</w:t>
      </w:r>
      <w:r>
        <w:rPr/>
        <w:t> </w:t>
      </w:r>
      <w:r>
        <w:rPr>
          <w:w w:val="110"/>
        </w:rPr>
        <w:t>hora</w:t>
      </w:r>
      <w:r>
        <w:rPr/>
        <w:t> </w:t>
      </w:r>
      <w:r>
        <w:rPr>
          <w:w w:val="107"/>
        </w:rPr>
        <w:t>del</w:t>
      </w:r>
      <w:r>
        <w:rPr/>
        <w:t> </w:t>
      </w:r>
      <w:r>
        <w:rPr>
          <w:w w:val="110"/>
        </w:rPr>
        <w:t>deber”,</w:t>
      </w:r>
      <w:r>
        <w:rPr/>
        <w:t> </w:t>
      </w:r>
      <w:r>
        <w:rPr>
          <w:w w:val="108"/>
        </w:rPr>
        <w:t>en</w:t>
      </w:r>
      <w:r>
        <w:rPr/>
        <w:t> </w:t>
      </w:r>
      <w:r>
        <w:rPr>
          <w:i/>
          <w:w w:val="113"/>
        </w:rPr>
        <w:t>Granma</w:t>
      </w:r>
      <w:r>
        <w:rPr>
          <w:w w:val="138"/>
        </w:rPr>
        <w:t>,</w:t>
      </w:r>
      <w:r>
        <w:rPr/>
        <w:t> </w:t>
      </w:r>
      <w:r>
        <w:rPr>
          <w:w w:val="243"/>
        </w:rPr>
        <w:t>l</w:t>
      </w:r>
      <w:r>
        <w:rPr>
          <w:w w:val="112"/>
        </w:rPr>
        <w:t>a</w:t>
      </w:r>
      <w:r>
        <w:rPr/>
        <w:t> </w:t>
      </w:r>
      <w:r>
        <w:rPr>
          <w:w w:val="114"/>
        </w:rPr>
        <w:t>Habana</w:t>
      </w:r>
      <w:r>
        <w:rPr/>
        <w:t> </w:t>
      </w:r>
      <w:r>
        <w:rPr>
          <w:w w:val="101"/>
        </w:rPr>
        <w:t>(18 </w:t>
      </w:r>
      <w:r>
        <w:rPr>
          <w:w w:val="110"/>
        </w:rPr>
        <w:t>de octubre de 2014).</w:t>
      </w:r>
    </w:p>
    <w:p>
      <w:pPr>
        <w:pStyle w:val="BodyText"/>
        <w:spacing w:line="252" w:lineRule="auto" w:before="28"/>
        <w:ind w:left="497" w:right="500" w:hanging="397"/>
      </w:pPr>
      <w:r>
        <w:rPr>
          <w:w w:val="120"/>
        </w:rPr>
        <w:t>CElaC </w:t>
      </w:r>
      <w:r>
        <w:rPr>
          <w:w w:val="115"/>
        </w:rPr>
        <w:t>2014 “ii reunión de altos Funcionarios sobre Ciencia y </w:t>
      </w:r>
      <w:r>
        <w:rPr>
          <w:w w:val="195"/>
        </w:rPr>
        <w:t>t</w:t>
      </w:r>
      <w:r>
        <w:rPr>
          <w:w w:val="111"/>
        </w:rPr>
        <w:t>ecnología</w:t>
      </w:r>
      <w:r>
        <w:rPr/>
        <w:t> </w:t>
      </w:r>
      <w:r>
        <w:rPr>
          <w:w w:val="107"/>
        </w:rPr>
        <w:t>de</w:t>
      </w:r>
      <w:r>
        <w:rPr/>
        <w:t> </w:t>
      </w:r>
      <w:r>
        <w:rPr>
          <w:w w:val="111"/>
        </w:rPr>
        <w:t>la</w:t>
      </w:r>
      <w:r>
        <w:rPr/>
        <w:t> </w:t>
      </w:r>
      <w:r>
        <w:rPr>
          <w:w w:val="113"/>
        </w:rPr>
        <w:t>Comunidad</w:t>
      </w:r>
      <w:r>
        <w:rPr/>
        <w:t> </w:t>
      </w:r>
      <w:r>
        <w:rPr>
          <w:w w:val="107"/>
        </w:rPr>
        <w:t>de</w:t>
      </w:r>
      <w:r>
        <w:rPr/>
        <w:t> </w:t>
      </w:r>
      <w:r>
        <w:rPr>
          <w:w w:val="111"/>
        </w:rPr>
        <w:t>Estados</w:t>
      </w:r>
      <w:r>
        <w:rPr/>
        <w:t> </w:t>
      </w:r>
      <w:r>
        <w:rPr>
          <w:w w:val="243"/>
        </w:rPr>
        <w:t>l</w:t>
      </w:r>
      <w:r>
        <w:rPr>
          <w:w w:val="110"/>
        </w:rPr>
        <w:t>atinoamericanos</w:t>
      </w:r>
      <w:r>
        <w:rPr/>
        <w:t> </w:t>
      </w:r>
      <w:r>
        <w:rPr>
          <w:w w:val="105"/>
        </w:rPr>
        <w:t>y </w:t>
      </w:r>
      <w:r>
        <w:rPr>
          <w:w w:val="115"/>
        </w:rPr>
        <w:t>Caribeños (CElaC). declaración de san José sobre talento Humano en Ciencia, tecnología e innovación para la </w:t>
      </w:r>
      <w:r>
        <w:rPr>
          <w:w w:val="110"/>
        </w:rPr>
        <w:t>Competitividad</w:t>
      </w:r>
      <w:r>
        <w:rPr/>
        <w:t> </w:t>
      </w:r>
      <w:r>
        <w:rPr>
          <w:w w:val="107"/>
        </w:rPr>
        <w:t>de</w:t>
      </w:r>
      <w:r>
        <w:rPr/>
        <w:t> </w:t>
      </w:r>
      <w:r>
        <w:rPr>
          <w:w w:val="111"/>
        </w:rPr>
        <w:t>la</w:t>
      </w:r>
      <w:r>
        <w:rPr/>
        <w:t> </w:t>
      </w:r>
      <w:r>
        <w:rPr>
          <w:w w:val="113"/>
        </w:rPr>
        <w:t>Comunidad</w:t>
      </w:r>
      <w:r>
        <w:rPr/>
        <w:t> </w:t>
      </w:r>
      <w:r>
        <w:rPr>
          <w:w w:val="107"/>
        </w:rPr>
        <w:t>de</w:t>
      </w:r>
      <w:r>
        <w:rPr/>
        <w:t> </w:t>
      </w:r>
      <w:r>
        <w:rPr>
          <w:w w:val="111"/>
        </w:rPr>
        <w:t>Estados</w:t>
      </w:r>
      <w:r>
        <w:rPr/>
        <w:t> </w:t>
      </w:r>
      <w:r>
        <w:rPr>
          <w:w w:val="243"/>
        </w:rPr>
        <w:t>l</w:t>
      </w:r>
      <w:r>
        <w:rPr>
          <w:w w:val="110"/>
        </w:rPr>
        <w:t>atinoamericanos </w:t>
      </w:r>
      <w:r>
        <w:rPr>
          <w:w w:val="115"/>
        </w:rPr>
        <w:t>y Caribeños”, san José de Costa rica,  abril.</w:t>
      </w:r>
    </w:p>
    <w:p>
      <w:pPr>
        <w:pStyle w:val="BodyText"/>
        <w:spacing w:line="252" w:lineRule="auto" w:before="28"/>
        <w:ind w:left="497" w:right="114" w:hanging="397"/>
      </w:pPr>
      <w:r>
        <w:rPr>
          <w:w w:val="112"/>
        </w:rPr>
        <w:t>Correa,</w:t>
      </w:r>
      <w:r>
        <w:rPr/>
        <w:t> </w:t>
      </w:r>
      <w:r>
        <w:rPr>
          <w:w w:val="182"/>
        </w:rPr>
        <w:t>r</w:t>
      </w:r>
      <w:r>
        <w:rPr>
          <w:w w:val="111"/>
        </w:rPr>
        <w:t>afael</w:t>
      </w:r>
      <w:r>
        <w:rPr/>
        <w:t> </w:t>
      </w:r>
      <w:r>
        <w:rPr>
          <w:w w:val="102"/>
        </w:rPr>
        <w:t>2015</w:t>
      </w:r>
      <w:r>
        <w:rPr/>
        <w:t> </w:t>
      </w:r>
      <w:r>
        <w:rPr>
          <w:w w:val="115"/>
        </w:rPr>
        <w:t>“</w:t>
      </w:r>
      <w:r>
        <w:rPr>
          <w:w w:val="243"/>
        </w:rPr>
        <w:t>l</w:t>
      </w:r>
      <w:r>
        <w:rPr>
          <w:w w:val="112"/>
        </w:rPr>
        <w:t>a</w:t>
      </w:r>
      <w:r>
        <w:rPr/>
        <w:t> </w:t>
      </w:r>
      <w:r>
        <w:rPr>
          <w:w w:val="110"/>
        </w:rPr>
        <w:t>erradicación</w:t>
      </w:r>
      <w:r>
        <w:rPr/>
        <w:t> </w:t>
      </w:r>
      <w:r>
        <w:rPr>
          <w:w w:val="107"/>
        </w:rPr>
        <w:t>de</w:t>
      </w:r>
      <w:r>
        <w:rPr/>
        <w:t> </w:t>
      </w:r>
      <w:r>
        <w:rPr>
          <w:w w:val="111"/>
        </w:rPr>
        <w:t>la</w:t>
      </w:r>
      <w:r>
        <w:rPr/>
        <w:t> </w:t>
      </w:r>
      <w:r>
        <w:rPr>
          <w:w w:val="109"/>
        </w:rPr>
        <w:t>pobreza</w:t>
      </w:r>
      <w:r>
        <w:rPr/>
        <w:t> </w:t>
      </w:r>
      <w:r>
        <w:rPr>
          <w:w w:val="105"/>
        </w:rPr>
        <w:t>es</w:t>
      </w:r>
      <w:r>
        <w:rPr/>
        <w:t> </w:t>
      </w:r>
      <w:r>
        <w:rPr>
          <w:w w:val="112"/>
        </w:rPr>
        <w:t>un</w:t>
      </w:r>
      <w:r>
        <w:rPr/>
        <w:t> </w:t>
      </w:r>
      <w:r>
        <w:rPr>
          <w:w w:val="109"/>
        </w:rPr>
        <w:t>imperativo </w:t>
      </w:r>
      <w:r>
        <w:rPr>
          <w:w w:val="110"/>
        </w:rPr>
        <w:t>moral para nuestra región y para el planeta entero”.  discurso</w:t>
      </w:r>
    </w:p>
    <w:p>
      <w:pPr>
        <w:spacing w:after="0" w:line="252" w:lineRule="auto"/>
        <w:sectPr>
          <w:pgSz w:w="8790" w:h="12760"/>
          <w:pgMar w:header="695" w:footer="723" w:top="880" w:bottom="920" w:left="920" w:right="1200"/>
        </w:sectPr>
      </w:pPr>
    </w:p>
    <w:p>
      <w:pPr>
        <w:pStyle w:val="BodyText"/>
        <w:spacing w:before="7"/>
        <w:rPr>
          <w:sz w:val="28"/>
        </w:rPr>
      </w:pPr>
    </w:p>
    <w:p>
      <w:pPr>
        <w:pStyle w:val="BodyText"/>
        <w:spacing w:line="252" w:lineRule="auto" w:before="73"/>
        <w:ind w:left="727" w:right="172"/>
      </w:pPr>
      <w:r>
        <w:rPr>
          <w:w w:val="115"/>
        </w:rPr>
        <w:t>pronunciado</w:t>
      </w:r>
      <w:r>
        <w:rPr>
          <w:spacing w:val="-10"/>
          <w:w w:val="115"/>
        </w:rPr>
        <w:t> </w:t>
      </w:r>
      <w:r>
        <w:rPr>
          <w:w w:val="115"/>
        </w:rPr>
        <w:t>en</w:t>
      </w:r>
      <w:r>
        <w:rPr>
          <w:spacing w:val="-10"/>
          <w:w w:val="115"/>
        </w:rPr>
        <w:t> </w:t>
      </w:r>
      <w:r>
        <w:rPr>
          <w:w w:val="115"/>
        </w:rPr>
        <w:t>la</w:t>
      </w:r>
      <w:r>
        <w:rPr>
          <w:spacing w:val="-10"/>
          <w:w w:val="115"/>
        </w:rPr>
        <w:t> </w:t>
      </w:r>
      <w:r>
        <w:rPr>
          <w:w w:val="150"/>
        </w:rPr>
        <w:t>iii</w:t>
      </w:r>
      <w:r>
        <w:rPr>
          <w:spacing w:val="-25"/>
          <w:w w:val="150"/>
        </w:rPr>
        <w:t> </w:t>
      </w:r>
      <w:r>
        <w:rPr>
          <w:w w:val="115"/>
        </w:rPr>
        <w:t>Cumbre</w:t>
      </w:r>
      <w:r>
        <w:rPr>
          <w:spacing w:val="-10"/>
          <w:w w:val="115"/>
        </w:rPr>
        <w:t> </w:t>
      </w:r>
      <w:r>
        <w:rPr>
          <w:w w:val="150"/>
        </w:rPr>
        <w:t>CElaC,</w:t>
      </w:r>
      <w:r>
        <w:rPr>
          <w:spacing w:val="-25"/>
          <w:w w:val="150"/>
        </w:rPr>
        <w:t> </w:t>
      </w:r>
      <w:r>
        <w:rPr>
          <w:w w:val="115"/>
        </w:rPr>
        <w:t>Costa</w:t>
      </w:r>
      <w:r>
        <w:rPr>
          <w:spacing w:val="-10"/>
          <w:w w:val="115"/>
        </w:rPr>
        <w:t> </w:t>
      </w:r>
      <w:r>
        <w:rPr>
          <w:w w:val="115"/>
        </w:rPr>
        <w:t>rica,</w:t>
      </w:r>
      <w:r>
        <w:rPr>
          <w:spacing w:val="-10"/>
          <w:w w:val="115"/>
        </w:rPr>
        <w:t> </w:t>
      </w:r>
      <w:r>
        <w:rPr>
          <w:w w:val="115"/>
        </w:rPr>
        <w:t>29</w:t>
      </w:r>
      <w:r>
        <w:rPr>
          <w:spacing w:val="-10"/>
          <w:w w:val="115"/>
        </w:rPr>
        <w:t> </w:t>
      </w:r>
      <w:r>
        <w:rPr>
          <w:w w:val="115"/>
        </w:rPr>
        <w:t>de</w:t>
      </w:r>
      <w:r>
        <w:rPr>
          <w:spacing w:val="-10"/>
          <w:w w:val="115"/>
        </w:rPr>
        <w:t> </w:t>
      </w:r>
      <w:r>
        <w:rPr>
          <w:w w:val="115"/>
        </w:rPr>
        <w:t>enero </w:t>
      </w:r>
      <w:r>
        <w:rPr>
          <w:w w:val="107"/>
        </w:rPr>
        <w:t>de</w:t>
      </w:r>
      <w:r>
        <w:rPr>
          <w:spacing w:val="12"/>
        </w:rPr>
        <w:t> </w:t>
      </w:r>
      <w:r>
        <w:rPr>
          <w:w w:val="105"/>
        </w:rPr>
        <w:t>2015,</w:t>
      </w:r>
      <w:r>
        <w:rPr>
          <w:spacing w:val="12"/>
        </w:rPr>
        <w:t> </w:t>
      </w:r>
      <w:r>
        <w:rPr>
          <w:w w:val="108"/>
        </w:rPr>
        <w:t>en</w:t>
      </w:r>
      <w:r>
        <w:rPr>
          <w:spacing w:val="12"/>
        </w:rPr>
        <w:t> </w:t>
      </w:r>
      <w:r>
        <w:rPr>
          <w:i/>
          <w:w w:val="113"/>
        </w:rPr>
        <w:t>Granma</w:t>
      </w:r>
      <w:r>
        <w:rPr>
          <w:w w:val="138"/>
        </w:rPr>
        <w:t>,</w:t>
      </w:r>
      <w:r>
        <w:rPr>
          <w:spacing w:val="12"/>
        </w:rPr>
        <w:t> </w:t>
      </w:r>
      <w:r>
        <w:rPr>
          <w:w w:val="243"/>
        </w:rPr>
        <w:t>l</w:t>
      </w:r>
      <w:r>
        <w:rPr>
          <w:w w:val="112"/>
        </w:rPr>
        <w:t>a</w:t>
      </w:r>
      <w:r>
        <w:rPr>
          <w:spacing w:val="12"/>
        </w:rPr>
        <w:t> </w:t>
      </w:r>
      <w:r>
        <w:rPr>
          <w:w w:val="114"/>
        </w:rPr>
        <w:t>Habana</w:t>
      </w:r>
      <w:r>
        <w:rPr>
          <w:spacing w:val="12"/>
        </w:rPr>
        <w:t> </w:t>
      </w:r>
      <w:r>
        <w:rPr>
          <w:w w:val="101"/>
        </w:rPr>
        <w:t>(30</w:t>
      </w:r>
      <w:r>
        <w:rPr>
          <w:spacing w:val="12"/>
        </w:rPr>
        <w:t> </w:t>
      </w:r>
      <w:r>
        <w:rPr>
          <w:w w:val="107"/>
        </w:rPr>
        <w:t>de</w:t>
      </w:r>
      <w:r>
        <w:rPr>
          <w:spacing w:val="12"/>
        </w:rPr>
        <w:t> </w:t>
      </w:r>
      <w:r>
        <w:rPr>
          <w:w w:val="108"/>
        </w:rPr>
        <w:t>enero).</w:t>
      </w:r>
    </w:p>
    <w:p>
      <w:pPr>
        <w:pStyle w:val="BodyText"/>
        <w:spacing w:line="252" w:lineRule="auto" w:before="28"/>
        <w:ind w:left="727" w:right="172" w:hanging="397"/>
      </w:pPr>
      <w:r>
        <w:rPr>
          <w:w w:val="110"/>
        </w:rPr>
        <w:t>Craig roberts, Paul 2007 “Economía de Estados unidos”, en </w:t>
      </w:r>
      <w:r>
        <w:rPr>
          <w:i/>
          <w:w w:val="110"/>
        </w:rPr>
        <w:t>RIP </w:t>
      </w:r>
      <w:r>
        <w:rPr>
          <w:i/>
          <w:w w:val="110"/>
        </w:rPr>
        <w:t>Sinpermiso</w:t>
      </w:r>
      <w:r>
        <w:rPr>
          <w:w w:val="110"/>
        </w:rPr>
        <w:t>, en </w:t>
      </w:r>
      <w:hyperlink r:id="rId255">
        <w:r>
          <w:rPr>
            <w:w w:val="110"/>
          </w:rPr>
          <w:t>&lt;www.sinpermiso.170907&gt;.</w:t>
        </w:r>
      </w:hyperlink>
    </w:p>
    <w:p>
      <w:pPr>
        <w:pStyle w:val="BodyText"/>
        <w:spacing w:line="252" w:lineRule="auto" w:before="28"/>
        <w:ind w:left="727" w:right="172" w:hanging="397"/>
      </w:pPr>
      <w:r>
        <w:rPr>
          <w:w w:val="110"/>
        </w:rPr>
        <w:t>Grobart, Fabio 2007 “science and technology in the united states: </w:t>
      </w:r>
      <w:r>
        <w:rPr>
          <w:w w:val="111"/>
        </w:rPr>
        <w:t>Hegemony</w:t>
      </w:r>
      <w:r>
        <w:rPr/>
        <w:t> </w:t>
      </w:r>
      <w:r>
        <w:rPr>
          <w:w w:val="109"/>
        </w:rPr>
        <w:t>under</w:t>
      </w:r>
      <w:r>
        <w:rPr/>
        <w:t> </w:t>
      </w:r>
      <w:r>
        <w:rPr>
          <w:w w:val="110"/>
        </w:rPr>
        <w:t>fire”,</w:t>
      </w:r>
      <w:r>
        <w:rPr/>
        <w:t> </w:t>
      </w:r>
      <w:r>
        <w:rPr>
          <w:w w:val="108"/>
        </w:rPr>
        <w:t>en</w:t>
      </w:r>
      <w:r>
        <w:rPr/>
        <w:t> </w:t>
      </w:r>
      <w:r>
        <w:rPr>
          <w:i/>
          <w:w w:val="111"/>
        </w:rPr>
        <w:t>Latin</w:t>
      </w:r>
      <w:r>
        <w:rPr>
          <w:i/>
        </w:rPr>
        <w:t> </w:t>
      </w:r>
      <w:r>
        <w:rPr>
          <w:i/>
          <w:w w:val="110"/>
        </w:rPr>
        <w:t>American</w:t>
      </w:r>
      <w:r>
        <w:rPr>
          <w:i/>
        </w:rPr>
        <w:t> </w:t>
      </w:r>
      <w:r>
        <w:rPr>
          <w:i/>
          <w:w w:val="107"/>
        </w:rPr>
        <w:t>Perspectives</w:t>
      </w:r>
      <w:r>
        <w:rPr>
          <w:w w:val="138"/>
        </w:rPr>
        <w:t>,</w:t>
      </w:r>
      <w:r>
        <w:rPr/>
        <w:t> </w:t>
      </w:r>
      <w:r>
        <w:rPr>
          <w:w w:val="243"/>
        </w:rPr>
        <w:t>l</w:t>
      </w:r>
      <w:r>
        <w:rPr>
          <w:w w:val="108"/>
        </w:rPr>
        <w:t>os </w:t>
      </w:r>
      <w:r>
        <w:rPr>
          <w:w w:val="110"/>
        </w:rPr>
        <w:t>angeles</w:t>
      </w:r>
      <w:r>
        <w:rPr>
          <w:i/>
          <w:w w:val="110"/>
        </w:rPr>
        <w:t>, </w:t>
      </w:r>
      <w:r>
        <w:rPr>
          <w:w w:val="110"/>
        </w:rPr>
        <w:t>issue 152, Vol. 34, Nº 1, pp.  39-45.</w:t>
      </w:r>
    </w:p>
    <w:p>
      <w:pPr>
        <w:pStyle w:val="BodyText"/>
        <w:spacing w:line="252" w:lineRule="auto" w:before="28"/>
        <w:ind w:left="727" w:right="196" w:hanging="397"/>
      </w:pPr>
      <w:r>
        <w:rPr>
          <w:w w:val="115"/>
        </w:rPr>
        <w:t>Grobart, Fabio 2009 “Ciencia y tecnología en los Estados unidos: Hegemonía</w:t>
      </w:r>
      <w:r>
        <w:rPr>
          <w:spacing w:val="-21"/>
          <w:w w:val="115"/>
        </w:rPr>
        <w:t> </w:t>
      </w:r>
      <w:r>
        <w:rPr>
          <w:w w:val="115"/>
        </w:rPr>
        <w:t>bajo</w:t>
      </w:r>
      <w:r>
        <w:rPr>
          <w:spacing w:val="-21"/>
          <w:w w:val="115"/>
        </w:rPr>
        <w:t> </w:t>
      </w:r>
      <w:r>
        <w:rPr>
          <w:w w:val="115"/>
        </w:rPr>
        <w:t>creciente</w:t>
      </w:r>
      <w:r>
        <w:rPr>
          <w:spacing w:val="-21"/>
          <w:w w:val="115"/>
        </w:rPr>
        <w:t> </w:t>
      </w:r>
      <w:r>
        <w:rPr>
          <w:w w:val="115"/>
        </w:rPr>
        <w:t>cuestionamiento”,</w:t>
      </w:r>
      <w:r>
        <w:rPr>
          <w:spacing w:val="-21"/>
          <w:w w:val="115"/>
        </w:rPr>
        <w:t> </w:t>
      </w:r>
      <w:r>
        <w:rPr>
          <w:w w:val="115"/>
        </w:rPr>
        <w:t>en</w:t>
      </w:r>
      <w:r>
        <w:rPr>
          <w:spacing w:val="-21"/>
          <w:w w:val="115"/>
        </w:rPr>
        <w:t> </w:t>
      </w:r>
      <w:r>
        <w:rPr>
          <w:i/>
          <w:w w:val="115"/>
        </w:rPr>
        <w:t>Cuadernos</w:t>
      </w:r>
      <w:r>
        <w:rPr>
          <w:i/>
          <w:spacing w:val="-21"/>
          <w:w w:val="115"/>
        </w:rPr>
        <w:t> </w:t>
      </w:r>
      <w:r>
        <w:rPr>
          <w:i/>
          <w:w w:val="115"/>
        </w:rPr>
        <w:t>de </w:t>
      </w:r>
      <w:r>
        <w:rPr>
          <w:i/>
          <w:w w:val="109"/>
        </w:rPr>
        <w:t>Nuestra</w:t>
      </w:r>
      <w:r>
        <w:rPr>
          <w:i/>
          <w:spacing w:val="12"/>
        </w:rPr>
        <w:t> </w:t>
      </w:r>
      <w:r>
        <w:rPr>
          <w:i/>
          <w:w w:val="109"/>
        </w:rPr>
        <w:t>América</w:t>
      </w:r>
      <w:r>
        <w:rPr>
          <w:w w:val="138"/>
        </w:rPr>
        <w:t>,</w:t>
      </w:r>
      <w:r>
        <w:rPr>
          <w:spacing w:val="12"/>
        </w:rPr>
        <w:t> </w:t>
      </w:r>
      <w:r>
        <w:rPr>
          <w:w w:val="243"/>
        </w:rPr>
        <w:t>l</w:t>
      </w:r>
      <w:r>
        <w:rPr>
          <w:w w:val="112"/>
        </w:rPr>
        <w:t>a</w:t>
      </w:r>
      <w:r>
        <w:rPr>
          <w:spacing w:val="12"/>
        </w:rPr>
        <w:t> </w:t>
      </w:r>
      <w:r>
        <w:rPr>
          <w:w w:val="115"/>
        </w:rPr>
        <w:t>Habana,</w:t>
      </w:r>
      <w:r>
        <w:rPr>
          <w:spacing w:val="12"/>
        </w:rPr>
        <w:t> </w:t>
      </w:r>
      <w:r>
        <w:rPr>
          <w:w w:val="105"/>
        </w:rPr>
        <w:t>Nº</w:t>
      </w:r>
      <w:r>
        <w:rPr>
          <w:spacing w:val="12"/>
        </w:rPr>
        <w:t> </w:t>
      </w:r>
      <w:r>
        <w:rPr>
          <w:w w:val="105"/>
        </w:rPr>
        <w:t>43-44,</w:t>
      </w:r>
      <w:r>
        <w:rPr>
          <w:spacing w:val="12"/>
        </w:rPr>
        <w:t> </w:t>
      </w:r>
      <w:r>
        <w:rPr>
          <w:spacing w:val="-15"/>
          <w:w w:val="119"/>
        </w:rPr>
        <w:t>V</w:t>
      </w:r>
      <w:r>
        <w:rPr>
          <w:w w:val="116"/>
        </w:rPr>
        <w:t>ol.</w:t>
      </w:r>
      <w:r>
        <w:rPr>
          <w:spacing w:val="12"/>
        </w:rPr>
        <w:t> </w:t>
      </w:r>
      <w:r>
        <w:rPr>
          <w:w w:val="153"/>
        </w:rPr>
        <w:t>xxii</w:t>
      </w:r>
      <w:r>
        <w:rPr>
          <w:w w:val="138"/>
        </w:rPr>
        <w:t>,</w:t>
      </w:r>
      <w:r>
        <w:rPr>
          <w:spacing w:val="12"/>
        </w:rPr>
        <w:t> </w:t>
      </w:r>
      <w:r>
        <w:rPr>
          <w:w w:val="113"/>
        </w:rPr>
        <w:t>pp.</w:t>
      </w:r>
      <w:r>
        <w:rPr>
          <w:spacing w:val="12"/>
        </w:rPr>
        <w:t> </w:t>
      </w:r>
      <w:r>
        <w:rPr>
          <w:w w:val="104"/>
        </w:rPr>
        <w:t>117-140.</w:t>
      </w:r>
    </w:p>
    <w:p>
      <w:pPr>
        <w:pStyle w:val="BodyText"/>
        <w:spacing w:line="252" w:lineRule="auto" w:before="28"/>
        <w:ind w:left="727" w:right="84" w:hanging="397"/>
      </w:pPr>
      <w:r>
        <w:rPr>
          <w:w w:val="115"/>
        </w:rPr>
        <w:t>Grobart, Fabio 2013 “Ciencia y tecnología en los Estados unidos. Crisis sistémico-estructural en los cimientos del capitalismo </w:t>
      </w:r>
      <w:r>
        <w:rPr>
          <w:w w:val="110"/>
        </w:rPr>
        <w:t>monopolista</w:t>
      </w:r>
      <w:r>
        <w:rPr/>
        <w:t> </w:t>
      </w:r>
      <w:r>
        <w:rPr>
          <w:w w:val="111"/>
        </w:rPr>
        <w:t>transnacionalizado”,</w:t>
      </w:r>
      <w:r>
        <w:rPr/>
        <w:t> </w:t>
      </w:r>
      <w:r>
        <w:rPr>
          <w:w w:val="108"/>
        </w:rPr>
        <w:t>en</w:t>
      </w:r>
      <w:r>
        <w:rPr/>
        <w:t> </w:t>
      </w:r>
      <w:r>
        <w:rPr>
          <w:i/>
          <w:w w:val="114"/>
        </w:rPr>
        <w:t>Economía</w:t>
      </w:r>
      <w:r>
        <w:rPr>
          <w:i/>
        </w:rPr>
        <w:t> </w:t>
      </w:r>
      <w:r>
        <w:rPr>
          <w:i/>
          <w:w w:val="106"/>
        </w:rPr>
        <w:t>y</w:t>
      </w:r>
      <w:r>
        <w:rPr>
          <w:i/>
        </w:rPr>
        <w:t> </w:t>
      </w:r>
      <w:r>
        <w:rPr>
          <w:i/>
          <w:w w:val="108"/>
        </w:rPr>
        <w:t>Desarrollo</w:t>
      </w:r>
      <w:r>
        <w:rPr>
          <w:w w:val="138"/>
        </w:rPr>
        <w:t>,</w:t>
      </w:r>
      <w:r>
        <w:rPr/>
        <w:t> </w:t>
      </w:r>
      <w:r>
        <w:rPr>
          <w:w w:val="243"/>
        </w:rPr>
        <w:t>l</w:t>
      </w:r>
      <w:r>
        <w:rPr>
          <w:w w:val="112"/>
        </w:rPr>
        <w:t>a </w:t>
      </w:r>
      <w:r>
        <w:rPr>
          <w:w w:val="115"/>
        </w:rPr>
        <w:t>Habana, año </w:t>
      </w:r>
      <w:r>
        <w:rPr>
          <w:w w:val="150"/>
        </w:rPr>
        <w:t>xliV, </w:t>
      </w:r>
      <w:r>
        <w:rPr>
          <w:w w:val="115"/>
        </w:rPr>
        <w:t>Vol. 149, Nº 1, pp. 117-138.</w:t>
      </w:r>
    </w:p>
    <w:p>
      <w:pPr>
        <w:pStyle w:val="BodyText"/>
        <w:spacing w:line="252" w:lineRule="auto" w:before="28"/>
        <w:ind w:left="727" w:right="172" w:hanging="397"/>
      </w:pPr>
      <w:r>
        <w:rPr>
          <w:w w:val="115"/>
        </w:rPr>
        <w:t>Houseman, susan 2007 “the real cost of offshoring”, en </w:t>
      </w:r>
      <w:r>
        <w:rPr>
          <w:i/>
          <w:w w:val="115"/>
        </w:rPr>
        <w:t>Business </w:t>
      </w:r>
      <w:r>
        <w:rPr>
          <w:i/>
          <w:w w:val="115"/>
        </w:rPr>
        <w:t>Week</w:t>
      </w:r>
      <w:r>
        <w:rPr>
          <w:w w:val="115"/>
        </w:rPr>
        <w:t>, New York, 18 de junio de 2007 (portada).</w:t>
      </w:r>
    </w:p>
    <w:p>
      <w:pPr>
        <w:spacing w:line="252" w:lineRule="auto" w:before="28"/>
        <w:ind w:left="727" w:right="84" w:hanging="397"/>
        <w:jc w:val="left"/>
        <w:rPr>
          <w:sz w:val="19"/>
        </w:rPr>
      </w:pPr>
      <w:r>
        <w:rPr>
          <w:w w:val="115"/>
          <w:sz w:val="19"/>
        </w:rPr>
        <w:t>iPCC 2002 </w:t>
      </w:r>
      <w:r>
        <w:rPr>
          <w:i/>
          <w:w w:val="115"/>
          <w:sz w:val="19"/>
        </w:rPr>
        <w:t>Climate Change 2001. Synthesis Report. Contribution of </w:t>
      </w:r>
      <w:r>
        <w:rPr>
          <w:i/>
          <w:w w:val="115"/>
          <w:sz w:val="19"/>
        </w:rPr>
        <w:t>Working Groups I, II and III to the Third Assessment Report of the</w:t>
      </w:r>
      <w:r>
        <w:rPr>
          <w:i/>
          <w:spacing w:val="-30"/>
          <w:w w:val="115"/>
          <w:sz w:val="19"/>
        </w:rPr>
        <w:t> </w:t>
      </w:r>
      <w:r>
        <w:rPr>
          <w:i/>
          <w:w w:val="115"/>
          <w:sz w:val="19"/>
        </w:rPr>
        <w:t>Intergovernmental</w:t>
      </w:r>
      <w:r>
        <w:rPr>
          <w:i/>
          <w:spacing w:val="-30"/>
          <w:w w:val="115"/>
          <w:sz w:val="19"/>
        </w:rPr>
        <w:t> </w:t>
      </w:r>
      <w:r>
        <w:rPr>
          <w:i/>
          <w:w w:val="115"/>
          <w:sz w:val="19"/>
        </w:rPr>
        <w:t>Panel</w:t>
      </w:r>
      <w:r>
        <w:rPr>
          <w:i/>
          <w:spacing w:val="-30"/>
          <w:w w:val="115"/>
          <w:sz w:val="19"/>
        </w:rPr>
        <w:t> </w:t>
      </w:r>
      <w:r>
        <w:rPr>
          <w:i/>
          <w:w w:val="115"/>
          <w:sz w:val="19"/>
        </w:rPr>
        <w:t>on</w:t>
      </w:r>
      <w:r>
        <w:rPr>
          <w:i/>
          <w:spacing w:val="-30"/>
          <w:w w:val="115"/>
          <w:sz w:val="19"/>
        </w:rPr>
        <w:t> </w:t>
      </w:r>
      <w:r>
        <w:rPr>
          <w:i/>
          <w:w w:val="115"/>
          <w:sz w:val="19"/>
        </w:rPr>
        <w:t>Climate</w:t>
      </w:r>
      <w:r>
        <w:rPr>
          <w:i/>
          <w:spacing w:val="-30"/>
          <w:w w:val="115"/>
          <w:sz w:val="19"/>
        </w:rPr>
        <w:t> </w:t>
      </w:r>
      <w:r>
        <w:rPr>
          <w:i/>
          <w:w w:val="115"/>
          <w:sz w:val="19"/>
        </w:rPr>
        <w:t>Change</w:t>
      </w:r>
      <w:r>
        <w:rPr>
          <w:i/>
          <w:spacing w:val="-30"/>
          <w:w w:val="115"/>
          <w:sz w:val="19"/>
        </w:rPr>
        <w:t> </w:t>
      </w:r>
      <w:r>
        <w:rPr>
          <w:w w:val="115"/>
          <w:sz w:val="19"/>
        </w:rPr>
        <w:t>(Ginebra:</w:t>
      </w:r>
      <w:r>
        <w:rPr>
          <w:spacing w:val="-30"/>
          <w:w w:val="115"/>
          <w:sz w:val="19"/>
        </w:rPr>
        <w:t> </w:t>
      </w:r>
      <w:r>
        <w:rPr>
          <w:w w:val="115"/>
          <w:sz w:val="19"/>
        </w:rPr>
        <w:t>oMM/ uNEP).</w:t>
      </w:r>
    </w:p>
    <w:p>
      <w:pPr>
        <w:pStyle w:val="BodyText"/>
        <w:spacing w:before="28"/>
        <w:ind w:left="330"/>
      </w:pPr>
      <w:r>
        <w:rPr>
          <w:w w:val="115"/>
        </w:rPr>
        <w:t>Marsh, P. 2008 “China to overtake u.s. as largest manufacturer”, en</w:t>
      </w:r>
    </w:p>
    <w:p>
      <w:pPr>
        <w:spacing w:before="11"/>
        <w:ind w:left="727" w:right="172" w:firstLine="0"/>
        <w:jc w:val="left"/>
        <w:rPr>
          <w:sz w:val="19"/>
        </w:rPr>
      </w:pPr>
      <w:r>
        <w:rPr>
          <w:i/>
          <w:w w:val="112"/>
          <w:sz w:val="19"/>
        </w:rPr>
        <w:t>Financial</w:t>
      </w:r>
      <w:r>
        <w:rPr>
          <w:i/>
          <w:spacing w:val="12"/>
          <w:sz w:val="19"/>
        </w:rPr>
        <w:t> </w:t>
      </w:r>
      <w:r>
        <w:rPr>
          <w:i/>
          <w:spacing w:val="-9"/>
          <w:w w:val="108"/>
          <w:sz w:val="19"/>
        </w:rPr>
        <w:t>T</w:t>
      </w:r>
      <w:r>
        <w:rPr>
          <w:i/>
          <w:w w:val="112"/>
          <w:sz w:val="19"/>
        </w:rPr>
        <w:t>imes</w:t>
      </w:r>
      <w:r>
        <w:rPr>
          <w:w w:val="138"/>
          <w:sz w:val="19"/>
        </w:rPr>
        <w:t>,</w:t>
      </w:r>
      <w:r>
        <w:rPr>
          <w:spacing w:val="12"/>
          <w:sz w:val="19"/>
        </w:rPr>
        <w:t> </w:t>
      </w:r>
      <w:r>
        <w:rPr>
          <w:w w:val="243"/>
          <w:sz w:val="19"/>
        </w:rPr>
        <w:t>l</w:t>
      </w:r>
      <w:r>
        <w:rPr>
          <w:w w:val="110"/>
          <w:sz w:val="19"/>
        </w:rPr>
        <w:t>ondres,</w:t>
      </w:r>
      <w:r>
        <w:rPr>
          <w:spacing w:val="12"/>
          <w:sz w:val="19"/>
        </w:rPr>
        <w:t> </w:t>
      </w:r>
      <w:r>
        <w:rPr>
          <w:w w:val="102"/>
          <w:sz w:val="19"/>
        </w:rPr>
        <w:t>10</w:t>
      </w:r>
      <w:r>
        <w:rPr>
          <w:spacing w:val="12"/>
          <w:sz w:val="19"/>
        </w:rPr>
        <w:t> </w:t>
      </w:r>
      <w:r>
        <w:rPr>
          <w:w w:val="107"/>
          <w:sz w:val="19"/>
        </w:rPr>
        <w:t>de</w:t>
      </w:r>
      <w:r>
        <w:rPr>
          <w:spacing w:val="12"/>
          <w:sz w:val="19"/>
        </w:rPr>
        <w:t> </w:t>
      </w:r>
      <w:r>
        <w:rPr>
          <w:w w:val="109"/>
          <w:sz w:val="19"/>
        </w:rPr>
        <w:t>agosto</w:t>
      </w:r>
      <w:r>
        <w:rPr>
          <w:spacing w:val="12"/>
          <w:sz w:val="19"/>
        </w:rPr>
        <w:t> </w:t>
      </w:r>
      <w:r>
        <w:rPr>
          <w:w w:val="107"/>
          <w:sz w:val="19"/>
        </w:rPr>
        <w:t>de</w:t>
      </w:r>
      <w:r>
        <w:rPr>
          <w:spacing w:val="12"/>
          <w:sz w:val="19"/>
        </w:rPr>
        <w:t> </w:t>
      </w:r>
      <w:r>
        <w:rPr>
          <w:w w:val="105"/>
          <w:sz w:val="19"/>
        </w:rPr>
        <w:t>2008.</w:t>
      </w:r>
    </w:p>
    <w:p>
      <w:pPr>
        <w:pStyle w:val="BodyText"/>
        <w:spacing w:line="252" w:lineRule="auto" w:before="39"/>
        <w:ind w:left="727" w:right="172" w:hanging="397"/>
      </w:pPr>
      <w:r>
        <w:rPr>
          <w:w w:val="111"/>
        </w:rPr>
        <w:t>Nature</w:t>
      </w:r>
      <w:r>
        <w:rPr/>
        <w:t> </w:t>
      </w:r>
      <w:r>
        <w:rPr>
          <w:w w:val="102"/>
        </w:rPr>
        <w:t>2008</w:t>
      </w:r>
      <w:r>
        <w:rPr/>
        <w:t> </w:t>
      </w:r>
      <w:r>
        <w:rPr>
          <w:w w:val="115"/>
        </w:rPr>
        <w:t>“</w:t>
      </w:r>
      <w:r>
        <w:rPr>
          <w:w w:val="139"/>
        </w:rPr>
        <w:t>a</w:t>
      </w:r>
      <w:r>
        <w:rPr>
          <w:w w:val="110"/>
        </w:rPr>
        <w:t>merica’</w:t>
      </w:r>
      <w:r>
        <w:rPr>
          <w:w w:val="105"/>
        </w:rPr>
        <w:t>s</w:t>
      </w:r>
      <w:r>
        <w:rPr/>
        <w:t> </w:t>
      </w:r>
      <w:r>
        <w:rPr>
          <w:w w:val="108"/>
        </w:rPr>
        <w:t>fresh</w:t>
      </w:r>
      <w:r>
        <w:rPr/>
        <w:t> </w:t>
      </w:r>
      <w:r>
        <w:rPr>
          <w:w w:val="111"/>
        </w:rPr>
        <w:t>start”,</w:t>
      </w:r>
      <w:r>
        <w:rPr/>
        <w:t> </w:t>
      </w:r>
      <w:r>
        <w:rPr>
          <w:w w:val="108"/>
        </w:rPr>
        <w:t>en</w:t>
      </w:r>
      <w:r>
        <w:rPr/>
        <w:t> </w:t>
      </w:r>
      <w:r>
        <w:rPr>
          <w:i/>
          <w:w w:val="107"/>
        </w:rPr>
        <w:t>Nature</w:t>
      </w:r>
      <w:r>
        <w:rPr>
          <w:w w:val="138"/>
        </w:rPr>
        <w:t>,</w:t>
      </w:r>
      <w:r>
        <w:rPr/>
        <w:t> </w:t>
      </w:r>
      <w:r>
        <w:rPr>
          <w:w w:val="243"/>
        </w:rPr>
        <w:t>l</w:t>
      </w:r>
      <w:r>
        <w:rPr>
          <w:w w:val="110"/>
        </w:rPr>
        <w:t>ondres,</w:t>
      </w:r>
      <w:r>
        <w:rPr/>
        <w:t> </w:t>
      </w:r>
      <w:r>
        <w:rPr>
          <w:w w:val="102"/>
        </w:rPr>
        <w:t>25</w:t>
      </w:r>
      <w:r>
        <w:rPr/>
        <w:t> </w:t>
      </w:r>
      <w:r>
        <w:rPr>
          <w:w w:val="107"/>
        </w:rPr>
        <w:t>de </w:t>
      </w:r>
      <w:r>
        <w:rPr>
          <w:w w:val="110"/>
        </w:rPr>
        <w:t>septiembre de 2008, en</w:t>
      </w:r>
    </w:p>
    <w:p>
      <w:pPr>
        <w:pStyle w:val="BodyText"/>
        <w:spacing w:line="252" w:lineRule="auto" w:before="28"/>
        <w:ind w:left="727" w:right="172" w:hanging="397"/>
      </w:pPr>
      <w:hyperlink r:id="rId256">
        <w:r>
          <w:rPr/>
          <w:t>&lt;http://www.nature.com/nature/journal/v455/n7212/full/455431a.</w:t>
        </w:r>
      </w:hyperlink>
      <w:r>
        <w:rPr/>
        <w:t> </w:t>
      </w:r>
      <w:r>
        <w:rPr>
          <w:w w:val="105"/>
        </w:rPr>
        <w:t>html/&gt;.</w:t>
      </w:r>
    </w:p>
    <w:p>
      <w:pPr>
        <w:spacing w:line="252" w:lineRule="auto" w:before="28"/>
        <w:ind w:left="727" w:right="814" w:hanging="397"/>
        <w:jc w:val="left"/>
        <w:rPr>
          <w:sz w:val="19"/>
        </w:rPr>
      </w:pPr>
      <w:r>
        <w:rPr>
          <w:w w:val="115"/>
          <w:sz w:val="19"/>
        </w:rPr>
        <w:t>Nsb 2004 National science board. </w:t>
      </w:r>
      <w:r>
        <w:rPr>
          <w:i/>
          <w:w w:val="115"/>
          <w:sz w:val="19"/>
        </w:rPr>
        <w:t>Science and Engineering </w:t>
      </w:r>
      <w:r>
        <w:rPr>
          <w:i/>
          <w:w w:val="115"/>
          <w:sz w:val="19"/>
        </w:rPr>
        <w:t>Indicators 2004</w:t>
      </w:r>
      <w:r>
        <w:rPr>
          <w:w w:val="115"/>
          <w:sz w:val="19"/>
        </w:rPr>
        <w:t>, two volumes (Washington d.C.: u.s. Government Print office), Volume 1, Nsb 04-01.</w:t>
      </w:r>
    </w:p>
    <w:p>
      <w:pPr>
        <w:spacing w:line="252" w:lineRule="auto" w:before="28"/>
        <w:ind w:left="727" w:right="814" w:hanging="397"/>
        <w:jc w:val="left"/>
        <w:rPr>
          <w:sz w:val="19"/>
        </w:rPr>
      </w:pPr>
      <w:r>
        <w:rPr>
          <w:w w:val="115"/>
          <w:sz w:val="19"/>
        </w:rPr>
        <w:t>Nsb 2006 National science board. </w:t>
      </w:r>
      <w:r>
        <w:rPr>
          <w:i/>
          <w:w w:val="115"/>
          <w:sz w:val="19"/>
        </w:rPr>
        <w:t>Science and Engineering </w:t>
      </w:r>
      <w:r>
        <w:rPr>
          <w:i/>
          <w:w w:val="115"/>
          <w:sz w:val="19"/>
        </w:rPr>
        <w:t>Indicators 2006</w:t>
      </w:r>
      <w:r>
        <w:rPr>
          <w:w w:val="115"/>
          <w:sz w:val="19"/>
        </w:rPr>
        <w:t>, two volumes (Washington d.C.: u.s. Government Print office), Volume 1, Nsb 06-01.</w:t>
      </w:r>
    </w:p>
    <w:p>
      <w:pPr>
        <w:spacing w:line="252" w:lineRule="auto" w:before="28"/>
        <w:ind w:left="727" w:right="814" w:hanging="397"/>
        <w:jc w:val="left"/>
        <w:rPr>
          <w:sz w:val="19"/>
        </w:rPr>
      </w:pPr>
      <w:r>
        <w:rPr>
          <w:w w:val="115"/>
          <w:sz w:val="19"/>
        </w:rPr>
        <w:t>Nsb 2008 National science board. </w:t>
      </w:r>
      <w:r>
        <w:rPr>
          <w:i/>
          <w:w w:val="115"/>
          <w:sz w:val="19"/>
        </w:rPr>
        <w:t>Science and Engineering </w:t>
      </w:r>
      <w:r>
        <w:rPr>
          <w:i/>
          <w:w w:val="115"/>
          <w:sz w:val="19"/>
        </w:rPr>
        <w:t>Indicators 2008</w:t>
      </w:r>
      <w:r>
        <w:rPr>
          <w:w w:val="115"/>
          <w:sz w:val="19"/>
        </w:rPr>
        <w:t>, two volumes (Washington d.C.: u.s. Government Print office), Volume 1, Nsb 08-01.</w:t>
      </w:r>
    </w:p>
    <w:p>
      <w:pPr>
        <w:spacing w:line="252" w:lineRule="auto" w:before="28"/>
        <w:ind w:left="727" w:right="814" w:hanging="397"/>
        <w:jc w:val="left"/>
        <w:rPr>
          <w:sz w:val="19"/>
        </w:rPr>
      </w:pPr>
      <w:r>
        <w:rPr>
          <w:w w:val="115"/>
          <w:sz w:val="19"/>
        </w:rPr>
        <w:t>Nsb 2010 National science board. </w:t>
      </w:r>
      <w:r>
        <w:rPr>
          <w:i/>
          <w:w w:val="115"/>
          <w:sz w:val="19"/>
        </w:rPr>
        <w:t>Science and Engineering </w:t>
      </w:r>
      <w:r>
        <w:rPr>
          <w:i/>
          <w:w w:val="115"/>
          <w:sz w:val="19"/>
        </w:rPr>
        <w:t>Indicators 2010</w:t>
      </w:r>
      <w:r>
        <w:rPr>
          <w:w w:val="115"/>
          <w:sz w:val="19"/>
        </w:rPr>
        <w:t>, two volumes (Washington d.C.: u.s. Government Print office), Volume 1, Nsb 10-01.</w:t>
      </w:r>
    </w:p>
    <w:p>
      <w:pPr>
        <w:spacing w:line="252" w:lineRule="auto" w:before="28"/>
        <w:ind w:left="727" w:right="814" w:hanging="397"/>
        <w:jc w:val="left"/>
        <w:rPr>
          <w:sz w:val="19"/>
        </w:rPr>
      </w:pPr>
      <w:r>
        <w:rPr>
          <w:w w:val="115"/>
          <w:sz w:val="19"/>
        </w:rPr>
        <w:t>Nsb 2012 National science board. </w:t>
      </w:r>
      <w:r>
        <w:rPr>
          <w:i/>
          <w:w w:val="115"/>
          <w:sz w:val="19"/>
        </w:rPr>
        <w:t>Science and Engineering </w:t>
      </w:r>
      <w:r>
        <w:rPr>
          <w:i/>
          <w:w w:val="115"/>
          <w:sz w:val="19"/>
        </w:rPr>
        <w:t>Indicators 2012</w:t>
      </w:r>
      <w:r>
        <w:rPr>
          <w:w w:val="115"/>
          <w:sz w:val="19"/>
        </w:rPr>
        <w:t>, two volumes (Washington d.C.: u.s. Government Print office), Volume 1, Nsb 12-01.</w:t>
      </w:r>
    </w:p>
    <w:p>
      <w:pPr>
        <w:spacing w:after="0" w:line="252" w:lineRule="auto"/>
        <w:jc w:val="left"/>
        <w:rPr>
          <w:sz w:val="19"/>
        </w:rPr>
        <w:sectPr>
          <w:pgSz w:w="8790" w:h="12760"/>
          <w:pgMar w:header="697" w:footer="725" w:top="880" w:bottom="920" w:left="1200" w:right="1040"/>
        </w:sectPr>
      </w:pPr>
    </w:p>
    <w:p>
      <w:pPr>
        <w:pStyle w:val="BodyText"/>
        <w:spacing w:before="9"/>
        <w:rPr>
          <w:sz w:val="28"/>
        </w:rPr>
      </w:pPr>
    </w:p>
    <w:p>
      <w:pPr>
        <w:spacing w:line="252" w:lineRule="auto" w:before="73"/>
        <w:ind w:left="497" w:right="1164" w:hanging="397"/>
        <w:jc w:val="left"/>
        <w:rPr>
          <w:sz w:val="19"/>
        </w:rPr>
      </w:pPr>
      <w:r>
        <w:rPr>
          <w:w w:val="115"/>
          <w:sz w:val="19"/>
        </w:rPr>
        <w:t>Nsb 2014 National science board. </w:t>
      </w:r>
      <w:r>
        <w:rPr>
          <w:i/>
          <w:w w:val="115"/>
          <w:sz w:val="19"/>
        </w:rPr>
        <w:t>Science and Engineering </w:t>
      </w:r>
      <w:r>
        <w:rPr>
          <w:i/>
          <w:w w:val="115"/>
          <w:sz w:val="19"/>
        </w:rPr>
        <w:t>Indicators 2014</w:t>
      </w:r>
      <w:r>
        <w:rPr>
          <w:w w:val="115"/>
          <w:sz w:val="19"/>
        </w:rPr>
        <w:t>, two volumes (Washington d.C.: u.s. Government Print office), Volume 1, Nsb 14-01.</w:t>
      </w:r>
    </w:p>
    <w:p>
      <w:pPr>
        <w:spacing w:line="252" w:lineRule="auto" w:before="28"/>
        <w:ind w:left="497" w:right="0" w:hanging="397"/>
        <w:jc w:val="left"/>
        <w:rPr>
          <w:sz w:val="19"/>
        </w:rPr>
      </w:pPr>
      <w:r>
        <w:rPr>
          <w:w w:val="110"/>
          <w:sz w:val="19"/>
        </w:rPr>
        <w:t>obama, barack 2009 </w:t>
      </w:r>
      <w:r>
        <w:rPr>
          <w:i/>
          <w:w w:val="110"/>
          <w:sz w:val="19"/>
        </w:rPr>
        <w:t>Discurso íntegro de obama en 5º Cumbre de las </w:t>
      </w:r>
      <w:r>
        <w:rPr>
          <w:i/>
          <w:w w:val="110"/>
          <w:sz w:val="19"/>
        </w:rPr>
        <w:t>Américas</w:t>
      </w:r>
      <w:r>
        <w:rPr>
          <w:w w:val="110"/>
          <w:sz w:val="19"/>
        </w:rPr>
        <w:t>, trinidad  &amp; tobago,  18 de abril de   2009.</w:t>
      </w:r>
    </w:p>
    <w:p>
      <w:pPr>
        <w:spacing w:line="252" w:lineRule="auto" w:before="28"/>
        <w:ind w:left="497" w:right="727" w:hanging="397"/>
        <w:jc w:val="left"/>
        <w:rPr>
          <w:i/>
          <w:sz w:val="19"/>
        </w:rPr>
      </w:pPr>
      <w:r>
        <w:rPr>
          <w:w w:val="110"/>
          <w:sz w:val="19"/>
        </w:rPr>
        <w:t>obama, barack 2011 </w:t>
      </w:r>
      <w:r>
        <w:rPr>
          <w:i/>
          <w:w w:val="110"/>
          <w:sz w:val="19"/>
        </w:rPr>
        <w:t>Transcript: </w:t>
      </w:r>
      <w:r>
        <w:rPr>
          <w:spacing w:val="-3"/>
          <w:w w:val="110"/>
          <w:sz w:val="19"/>
        </w:rPr>
        <w:t>obama’s </w:t>
      </w:r>
      <w:r>
        <w:rPr>
          <w:i/>
          <w:w w:val="110"/>
          <w:sz w:val="19"/>
        </w:rPr>
        <w:t>State of The Union </w:t>
      </w:r>
      <w:r>
        <w:rPr>
          <w:i/>
          <w:w w:val="110"/>
          <w:sz w:val="19"/>
        </w:rPr>
        <w:t>Adress: NPR. The text of Presidents </w:t>
      </w:r>
      <w:r>
        <w:rPr>
          <w:i/>
          <w:spacing w:val="-3"/>
          <w:w w:val="110"/>
          <w:sz w:val="19"/>
        </w:rPr>
        <w:t>obama’s </w:t>
      </w:r>
      <w:r>
        <w:rPr>
          <w:i/>
          <w:w w:val="110"/>
          <w:sz w:val="19"/>
        </w:rPr>
        <w:t>State of the    Union Address as released by the White House</w:t>
      </w:r>
      <w:r>
        <w:rPr>
          <w:w w:val="110"/>
          <w:sz w:val="19"/>
        </w:rPr>
        <w:t>, en </w:t>
      </w:r>
      <w:r>
        <w:rPr>
          <w:spacing w:val="-5"/>
          <w:w w:val="110"/>
          <w:sz w:val="19"/>
        </w:rPr>
        <w:t>&lt;www.npr. </w:t>
      </w:r>
      <w:r>
        <w:rPr>
          <w:sz w:val="19"/>
        </w:rPr>
        <w:t>org/2011/01/26/133224933/transcript-obamas-state-of-union- </w:t>
      </w:r>
      <w:r>
        <w:rPr>
          <w:w w:val="110"/>
          <w:sz w:val="19"/>
        </w:rPr>
        <w:t>adress&gt;, 25 de enero de</w:t>
      </w:r>
      <w:r>
        <w:rPr>
          <w:spacing w:val="-22"/>
          <w:w w:val="110"/>
          <w:sz w:val="19"/>
        </w:rPr>
        <w:t> </w:t>
      </w:r>
      <w:r>
        <w:rPr>
          <w:w w:val="110"/>
          <w:sz w:val="19"/>
        </w:rPr>
        <w:t>2011</w:t>
      </w:r>
      <w:r>
        <w:rPr>
          <w:i/>
          <w:w w:val="110"/>
          <w:sz w:val="19"/>
        </w:rPr>
        <w:t>.</w:t>
      </w:r>
    </w:p>
    <w:p>
      <w:pPr>
        <w:pStyle w:val="BodyText"/>
        <w:spacing w:line="252" w:lineRule="auto" w:before="28"/>
        <w:ind w:left="497" w:right="437" w:hanging="397"/>
      </w:pPr>
      <w:r>
        <w:rPr>
          <w:w w:val="110"/>
        </w:rPr>
        <w:t>obama, barack 2014 Following is the full text transcript as delivered of President </w:t>
      </w:r>
      <w:r>
        <w:rPr>
          <w:spacing w:val="-3"/>
          <w:w w:val="110"/>
        </w:rPr>
        <w:t>obama’s </w:t>
      </w:r>
      <w:r>
        <w:rPr>
          <w:w w:val="110"/>
        </w:rPr>
        <w:t>commencement address at the united states Military academy at </w:t>
      </w:r>
      <w:r>
        <w:rPr>
          <w:spacing w:val="-3"/>
          <w:w w:val="110"/>
        </w:rPr>
        <w:t>West </w:t>
      </w:r>
      <w:r>
        <w:rPr>
          <w:w w:val="110"/>
        </w:rPr>
        <w:t>Point, 28 de mayo de  </w:t>
      </w:r>
      <w:r>
        <w:rPr>
          <w:spacing w:val="18"/>
          <w:w w:val="110"/>
        </w:rPr>
        <w:t> </w:t>
      </w:r>
      <w:r>
        <w:rPr>
          <w:w w:val="110"/>
        </w:rPr>
        <w:t>2014.</w:t>
      </w:r>
    </w:p>
    <w:p>
      <w:pPr>
        <w:spacing w:line="252" w:lineRule="auto" w:before="28"/>
        <w:ind w:left="497" w:right="819" w:hanging="397"/>
        <w:jc w:val="left"/>
        <w:rPr>
          <w:sz w:val="19"/>
        </w:rPr>
      </w:pPr>
      <w:r>
        <w:rPr>
          <w:w w:val="110"/>
          <w:sz w:val="19"/>
        </w:rPr>
        <w:t>solow, robert 1987 “We’d better Watch out”, en </w:t>
      </w:r>
      <w:r>
        <w:rPr>
          <w:i/>
          <w:w w:val="110"/>
          <w:sz w:val="19"/>
        </w:rPr>
        <w:t>New York Times </w:t>
      </w:r>
      <w:r>
        <w:rPr>
          <w:i/>
          <w:w w:val="110"/>
          <w:sz w:val="19"/>
        </w:rPr>
        <w:t>Book Review</w:t>
      </w:r>
      <w:r>
        <w:rPr>
          <w:w w:val="110"/>
          <w:sz w:val="19"/>
        </w:rPr>
        <w:t>, New York, 12 de julio de 1987, p.   36.</w:t>
      </w:r>
    </w:p>
    <w:p>
      <w:pPr>
        <w:spacing w:line="252" w:lineRule="auto" w:before="28"/>
        <w:ind w:left="497" w:right="395" w:hanging="397"/>
        <w:jc w:val="left"/>
        <w:rPr>
          <w:sz w:val="19"/>
        </w:rPr>
      </w:pPr>
      <w:r>
        <w:rPr>
          <w:spacing w:val="-3"/>
          <w:w w:val="115"/>
          <w:sz w:val="19"/>
        </w:rPr>
        <w:t>tablada, </w:t>
      </w:r>
      <w:r>
        <w:rPr>
          <w:w w:val="115"/>
          <w:sz w:val="19"/>
        </w:rPr>
        <w:t>Carlos; dierckxsens, Wims 2002 </w:t>
      </w:r>
      <w:r>
        <w:rPr>
          <w:i/>
          <w:w w:val="115"/>
          <w:sz w:val="19"/>
        </w:rPr>
        <w:t>Guerra Global, Resistencia </w:t>
      </w:r>
      <w:r>
        <w:rPr>
          <w:i/>
          <w:w w:val="114"/>
          <w:sz w:val="19"/>
        </w:rPr>
        <w:t>Mundial</w:t>
      </w:r>
      <w:r>
        <w:rPr>
          <w:i/>
          <w:sz w:val="19"/>
        </w:rPr>
        <w:t> </w:t>
      </w:r>
      <w:r>
        <w:rPr>
          <w:i/>
          <w:w w:val="106"/>
          <w:sz w:val="19"/>
        </w:rPr>
        <w:t>y</w:t>
      </w:r>
      <w:r>
        <w:rPr>
          <w:i/>
          <w:sz w:val="19"/>
        </w:rPr>
        <w:t> </w:t>
      </w:r>
      <w:r>
        <w:rPr>
          <w:i/>
          <w:w w:val="107"/>
          <w:sz w:val="19"/>
        </w:rPr>
        <w:t>Alternativas</w:t>
      </w:r>
      <w:r>
        <w:rPr>
          <w:i/>
          <w:sz w:val="19"/>
        </w:rPr>
        <w:t> </w:t>
      </w:r>
      <w:r>
        <w:rPr>
          <w:w w:val="98"/>
          <w:sz w:val="19"/>
        </w:rPr>
        <w:t>(</w:t>
      </w:r>
      <w:r>
        <w:rPr>
          <w:w w:val="243"/>
          <w:sz w:val="19"/>
        </w:rPr>
        <w:t>l</w:t>
      </w:r>
      <w:r>
        <w:rPr>
          <w:w w:val="112"/>
          <w:sz w:val="19"/>
        </w:rPr>
        <w:t>a</w:t>
      </w:r>
      <w:r>
        <w:rPr>
          <w:sz w:val="19"/>
        </w:rPr>
        <w:t> </w:t>
      </w:r>
      <w:r>
        <w:rPr>
          <w:w w:val="113"/>
          <w:sz w:val="19"/>
        </w:rPr>
        <w:t>Habana:</w:t>
      </w:r>
      <w:r>
        <w:rPr>
          <w:sz w:val="19"/>
        </w:rPr>
        <w:t> </w:t>
      </w:r>
      <w:r>
        <w:rPr>
          <w:w w:val="113"/>
          <w:sz w:val="19"/>
        </w:rPr>
        <w:t>Ciencias</w:t>
      </w:r>
      <w:r>
        <w:rPr>
          <w:sz w:val="19"/>
        </w:rPr>
        <w:t> </w:t>
      </w:r>
      <w:r>
        <w:rPr>
          <w:w w:val="149"/>
          <w:sz w:val="19"/>
        </w:rPr>
        <w:t>s</w:t>
      </w:r>
      <w:r>
        <w:rPr>
          <w:w w:val="110"/>
          <w:sz w:val="19"/>
        </w:rPr>
        <w:t>ociales).</w:t>
      </w:r>
    </w:p>
    <w:p>
      <w:pPr>
        <w:spacing w:line="283" w:lineRule="auto" w:before="28"/>
        <w:ind w:left="100" w:right="1913" w:firstLine="0"/>
        <w:jc w:val="left"/>
        <w:rPr>
          <w:sz w:val="19"/>
        </w:rPr>
      </w:pPr>
      <w:r>
        <w:rPr>
          <w:i/>
          <w:w w:val="107"/>
          <w:sz w:val="19"/>
        </w:rPr>
        <w:t>The</w:t>
      </w:r>
      <w:r>
        <w:rPr>
          <w:i/>
          <w:spacing w:val="12"/>
          <w:sz w:val="19"/>
        </w:rPr>
        <w:t> </w:t>
      </w:r>
      <w:r>
        <w:rPr>
          <w:i/>
          <w:w w:val="115"/>
          <w:sz w:val="19"/>
        </w:rPr>
        <w:t>Economist</w:t>
      </w:r>
      <w:r>
        <w:rPr>
          <w:i/>
          <w:spacing w:val="12"/>
          <w:sz w:val="19"/>
        </w:rPr>
        <w:t> </w:t>
      </w:r>
      <w:r>
        <w:rPr>
          <w:w w:val="102"/>
          <w:sz w:val="19"/>
        </w:rPr>
        <w:t>2001</w:t>
      </w:r>
      <w:r>
        <w:rPr>
          <w:spacing w:val="12"/>
          <w:sz w:val="19"/>
        </w:rPr>
        <w:t> </w:t>
      </w:r>
      <w:r>
        <w:rPr>
          <w:w w:val="98"/>
          <w:sz w:val="19"/>
        </w:rPr>
        <w:t>(</w:t>
      </w:r>
      <w:r>
        <w:rPr>
          <w:w w:val="243"/>
          <w:sz w:val="19"/>
        </w:rPr>
        <w:t>l</w:t>
      </w:r>
      <w:r>
        <w:rPr>
          <w:w w:val="109"/>
          <w:sz w:val="19"/>
        </w:rPr>
        <w:t>ondon)</w:t>
      </w:r>
      <w:r>
        <w:rPr>
          <w:spacing w:val="12"/>
          <w:sz w:val="19"/>
        </w:rPr>
        <w:t> </w:t>
      </w:r>
      <w:r>
        <w:rPr>
          <w:w w:val="102"/>
          <w:sz w:val="19"/>
        </w:rPr>
        <w:t>8</w:t>
      </w:r>
      <w:r>
        <w:rPr>
          <w:spacing w:val="12"/>
          <w:sz w:val="19"/>
        </w:rPr>
        <w:t> </w:t>
      </w:r>
      <w:r>
        <w:rPr>
          <w:w w:val="107"/>
          <w:sz w:val="19"/>
        </w:rPr>
        <w:t>de</w:t>
      </w:r>
      <w:r>
        <w:rPr>
          <w:spacing w:val="12"/>
          <w:sz w:val="19"/>
        </w:rPr>
        <w:t> </w:t>
      </w:r>
      <w:r>
        <w:rPr>
          <w:w w:val="109"/>
          <w:sz w:val="19"/>
        </w:rPr>
        <w:t>septiembre. </w:t>
      </w:r>
      <w:r>
        <w:rPr>
          <w:w w:val="115"/>
          <w:sz w:val="19"/>
        </w:rPr>
        <w:t>Passet,</w:t>
      </w:r>
      <w:r>
        <w:rPr>
          <w:spacing w:val="-24"/>
          <w:w w:val="115"/>
          <w:sz w:val="19"/>
        </w:rPr>
        <w:t> </w:t>
      </w:r>
      <w:r>
        <w:rPr>
          <w:w w:val="130"/>
          <w:sz w:val="19"/>
        </w:rPr>
        <w:t>r.</w:t>
      </w:r>
      <w:r>
        <w:rPr>
          <w:spacing w:val="-31"/>
          <w:w w:val="130"/>
          <w:sz w:val="19"/>
        </w:rPr>
        <w:t> </w:t>
      </w:r>
      <w:r>
        <w:rPr>
          <w:w w:val="115"/>
          <w:sz w:val="19"/>
        </w:rPr>
        <w:t>2000</w:t>
      </w:r>
      <w:r>
        <w:rPr>
          <w:spacing w:val="-24"/>
          <w:w w:val="115"/>
          <w:sz w:val="19"/>
        </w:rPr>
        <w:t> </w:t>
      </w:r>
      <w:r>
        <w:rPr>
          <w:i/>
          <w:w w:val="115"/>
          <w:sz w:val="19"/>
        </w:rPr>
        <w:t>L’illusion</w:t>
      </w:r>
      <w:r>
        <w:rPr>
          <w:i/>
          <w:spacing w:val="-24"/>
          <w:w w:val="115"/>
          <w:sz w:val="19"/>
        </w:rPr>
        <w:t> </w:t>
      </w:r>
      <w:r>
        <w:rPr>
          <w:i/>
          <w:w w:val="115"/>
          <w:sz w:val="19"/>
        </w:rPr>
        <w:t>néo-liberal</w:t>
      </w:r>
      <w:r>
        <w:rPr>
          <w:i/>
          <w:spacing w:val="-24"/>
          <w:w w:val="115"/>
          <w:sz w:val="19"/>
        </w:rPr>
        <w:t> </w:t>
      </w:r>
      <w:r>
        <w:rPr>
          <w:w w:val="115"/>
          <w:sz w:val="19"/>
        </w:rPr>
        <w:t>(París:</w:t>
      </w:r>
      <w:r>
        <w:rPr>
          <w:spacing w:val="-24"/>
          <w:w w:val="115"/>
          <w:sz w:val="19"/>
        </w:rPr>
        <w:t> </w:t>
      </w:r>
      <w:r>
        <w:rPr>
          <w:w w:val="115"/>
          <w:sz w:val="19"/>
        </w:rPr>
        <w:t>Fayard).</w:t>
      </w:r>
    </w:p>
    <w:p>
      <w:pPr>
        <w:spacing w:line="252" w:lineRule="auto" w:before="0"/>
        <w:ind w:left="497" w:right="790" w:hanging="397"/>
        <w:jc w:val="both"/>
        <w:rPr>
          <w:sz w:val="19"/>
        </w:rPr>
      </w:pPr>
      <w:r>
        <w:rPr>
          <w:w w:val="115"/>
          <w:sz w:val="19"/>
        </w:rPr>
        <w:t>Wolman,</w:t>
      </w:r>
      <w:r>
        <w:rPr>
          <w:spacing w:val="-5"/>
          <w:w w:val="115"/>
          <w:sz w:val="19"/>
        </w:rPr>
        <w:t> </w:t>
      </w:r>
      <w:r>
        <w:rPr>
          <w:spacing w:val="-11"/>
          <w:w w:val="115"/>
          <w:sz w:val="19"/>
        </w:rPr>
        <w:t>W.</w:t>
      </w:r>
      <w:r>
        <w:rPr>
          <w:spacing w:val="-5"/>
          <w:w w:val="115"/>
          <w:sz w:val="19"/>
        </w:rPr>
        <w:t> </w:t>
      </w:r>
      <w:r>
        <w:rPr>
          <w:w w:val="115"/>
          <w:sz w:val="19"/>
        </w:rPr>
        <w:t>y</w:t>
      </w:r>
      <w:r>
        <w:rPr>
          <w:spacing w:val="-5"/>
          <w:w w:val="115"/>
          <w:sz w:val="19"/>
        </w:rPr>
        <w:t> </w:t>
      </w:r>
      <w:r>
        <w:rPr>
          <w:w w:val="115"/>
          <w:sz w:val="19"/>
        </w:rPr>
        <w:t>Colamosca,</w:t>
      </w:r>
      <w:r>
        <w:rPr>
          <w:spacing w:val="-5"/>
          <w:w w:val="115"/>
          <w:sz w:val="19"/>
        </w:rPr>
        <w:t> </w:t>
      </w:r>
      <w:r>
        <w:rPr>
          <w:w w:val="115"/>
          <w:sz w:val="19"/>
        </w:rPr>
        <w:t>a.</w:t>
      </w:r>
      <w:r>
        <w:rPr>
          <w:spacing w:val="-5"/>
          <w:w w:val="115"/>
          <w:sz w:val="19"/>
        </w:rPr>
        <w:t> </w:t>
      </w:r>
      <w:r>
        <w:rPr>
          <w:w w:val="115"/>
          <w:sz w:val="19"/>
        </w:rPr>
        <w:t>1997</w:t>
      </w:r>
      <w:r>
        <w:rPr>
          <w:spacing w:val="-5"/>
          <w:w w:val="115"/>
          <w:sz w:val="19"/>
        </w:rPr>
        <w:t> </w:t>
      </w:r>
      <w:r>
        <w:rPr>
          <w:i/>
          <w:w w:val="115"/>
          <w:sz w:val="19"/>
        </w:rPr>
        <w:t>The</w:t>
      </w:r>
      <w:r>
        <w:rPr>
          <w:i/>
          <w:spacing w:val="-5"/>
          <w:w w:val="115"/>
          <w:sz w:val="19"/>
        </w:rPr>
        <w:t> </w:t>
      </w:r>
      <w:r>
        <w:rPr>
          <w:i/>
          <w:w w:val="115"/>
          <w:sz w:val="19"/>
        </w:rPr>
        <w:t>Judas</w:t>
      </w:r>
      <w:r>
        <w:rPr>
          <w:i/>
          <w:spacing w:val="-5"/>
          <w:w w:val="115"/>
          <w:sz w:val="19"/>
        </w:rPr>
        <w:t> </w:t>
      </w:r>
      <w:r>
        <w:rPr>
          <w:i/>
          <w:w w:val="115"/>
          <w:sz w:val="19"/>
        </w:rPr>
        <w:t>Economy</w:t>
      </w:r>
      <w:r>
        <w:rPr>
          <w:w w:val="115"/>
          <w:sz w:val="19"/>
        </w:rPr>
        <w:t>,</w:t>
      </w:r>
      <w:r>
        <w:rPr>
          <w:spacing w:val="-5"/>
          <w:w w:val="115"/>
          <w:sz w:val="19"/>
        </w:rPr>
        <w:t> </w:t>
      </w:r>
      <w:r>
        <w:rPr>
          <w:w w:val="115"/>
          <w:sz w:val="19"/>
        </w:rPr>
        <w:t>en</w:t>
      </w:r>
      <w:r>
        <w:rPr>
          <w:spacing w:val="-5"/>
          <w:w w:val="115"/>
          <w:sz w:val="19"/>
        </w:rPr>
        <w:t> </w:t>
      </w:r>
      <w:r>
        <w:rPr>
          <w:i/>
          <w:spacing w:val="-3"/>
          <w:w w:val="115"/>
          <w:sz w:val="19"/>
        </w:rPr>
        <w:t>World </w:t>
      </w:r>
      <w:r>
        <w:rPr>
          <w:i/>
          <w:w w:val="110"/>
          <w:sz w:val="19"/>
        </w:rPr>
        <w:t>Development Report: Knowledge for Development </w:t>
      </w:r>
      <w:r>
        <w:rPr>
          <w:w w:val="110"/>
          <w:sz w:val="19"/>
        </w:rPr>
        <w:t>(New </w:t>
      </w:r>
      <w:r>
        <w:rPr>
          <w:spacing w:val="-4"/>
          <w:w w:val="110"/>
          <w:sz w:val="19"/>
        </w:rPr>
        <w:t>York: </w:t>
      </w:r>
      <w:r>
        <w:rPr>
          <w:w w:val="115"/>
          <w:sz w:val="19"/>
        </w:rPr>
        <w:t>oxford</w:t>
      </w:r>
      <w:r>
        <w:rPr>
          <w:spacing w:val="-21"/>
          <w:w w:val="115"/>
          <w:sz w:val="19"/>
        </w:rPr>
        <w:t> </w:t>
      </w:r>
      <w:r>
        <w:rPr>
          <w:w w:val="115"/>
          <w:sz w:val="19"/>
        </w:rPr>
        <w:t>university</w:t>
      </w:r>
      <w:r>
        <w:rPr>
          <w:spacing w:val="-21"/>
          <w:w w:val="115"/>
          <w:sz w:val="19"/>
        </w:rPr>
        <w:t> </w:t>
      </w:r>
      <w:r>
        <w:rPr>
          <w:w w:val="115"/>
          <w:sz w:val="19"/>
        </w:rPr>
        <w:t>Press).</w:t>
      </w:r>
    </w:p>
    <w:p>
      <w:pPr>
        <w:spacing w:before="28"/>
        <w:ind w:left="100" w:right="0" w:firstLine="0"/>
        <w:jc w:val="left"/>
        <w:rPr>
          <w:i/>
          <w:sz w:val="19"/>
        </w:rPr>
      </w:pPr>
      <w:r>
        <w:rPr>
          <w:spacing w:val="-11"/>
          <w:w w:val="110"/>
          <w:sz w:val="19"/>
        </w:rPr>
        <w:t>W</w:t>
      </w:r>
      <w:r>
        <w:rPr>
          <w:w w:val="108"/>
          <w:sz w:val="19"/>
        </w:rPr>
        <w:t>orld</w:t>
      </w:r>
      <w:r>
        <w:rPr>
          <w:spacing w:val="12"/>
          <w:sz w:val="19"/>
        </w:rPr>
        <w:t> </w:t>
      </w:r>
      <w:r>
        <w:rPr>
          <w:w w:val="243"/>
          <w:sz w:val="19"/>
        </w:rPr>
        <w:t>l</w:t>
      </w:r>
      <w:r>
        <w:rPr>
          <w:w w:val="110"/>
          <w:sz w:val="19"/>
        </w:rPr>
        <w:t>abour</w:t>
      </w:r>
      <w:r>
        <w:rPr>
          <w:spacing w:val="12"/>
          <w:sz w:val="19"/>
        </w:rPr>
        <w:t> </w:t>
      </w:r>
      <w:r>
        <w:rPr>
          <w:w w:val="149"/>
          <w:sz w:val="19"/>
        </w:rPr>
        <w:t>o</w:t>
      </w:r>
      <w:r>
        <w:rPr>
          <w:w w:val="111"/>
          <w:sz w:val="19"/>
        </w:rPr>
        <w:t>rganization</w:t>
      </w:r>
      <w:r>
        <w:rPr>
          <w:spacing w:val="12"/>
          <w:sz w:val="19"/>
        </w:rPr>
        <w:t> </w:t>
      </w:r>
      <w:r>
        <w:rPr>
          <w:w w:val="102"/>
          <w:sz w:val="19"/>
        </w:rPr>
        <w:t>1996</w:t>
      </w:r>
      <w:r>
        <w:rPr>
          <w:spacing w:val="12"/>
          <w:sz w:val="19"/>
        </w:rPr>
        <w:t> </w:t>
      </w:r>
      <w:r>
        <w:rPr>
          <w:i/>
          <w:spacing w:val="-11"/>
          <w:w w:val="107"/>
          <w:sz w:val="19"/>
        </w:rPr>
        <w:t>W</w:t>
      </w:r>
      <w:r>
        <w:rPr>
          <w:i/>
          <w:w w:val="106"/>
          <w:sz w:val="19"/>
        </w:rPr>
        <w:t>orld</w:t>
      </w:r>
      <w:r>
        <w:rPr>
          <w:i/>
          <w:spacing w:val="12"/>
          <w:sz w:val="19"/>
        </w:rPr>
        <w:t> </w:t>
      </w:r>
      <w:r>
        <w:rPr>
          <w:i/>
          <w:w w:val="112"/>
          <w:sz w:val="19"/>
        </w:rPr>
        <w:t>Employment</w:t>
      </w:r>
      <w:r>
        <w:rPr>
          <w:i/>
          <w:spacing w:val="12"/>
          <w:sz w:val="19"/>
        </w:rPr>
        <w:t> </w:t>
      </w:r>
      <w:r>
        <w:rPr>
          <w:i/>
          <w:w w:val="108"/>
          <w:sz w:val="19"/>
        </w:rPr>
        <w:t>Report</w:t>
      </w:r>
      <w:r>
        <w:rPr>
          <w:i/>
          <w:spacing w:val="12"/>
          <w:sz w:val="19"/>
        </w:rPr>
        <w:t> </w:t>
      </w:r>
      <w:r>
        <w:rPr>
          <w:i/>
          <w:w w:val="107"/>
          <w:sz w:val="19"/>
        </w:rPr>
        <w:t>1996</w:t>
      </w:r>
    </w:p>
    <w:p>
      <w:pPr>
        <w:pStyle w:val="BodyText"/>
        <w:spacing w:before="11"/>
        <w:ind w:left="497"/>
      </w:pPr>
      <w:r>
        <w:rPr>
          <w:w w:val="120"/>
        </w:rPr>
        <w:t>(Wlo: Ginebra).</w:t>
      </w:r>
    </w:p>
    <w:p>
      <w:pPr>
        <w:spacing w:after="0"/>
        <w:sectPr>
          <w:pgSz w:w="8790" w:h="12760"/>
          <w:pgMar w:header="695" w:footer="723" w:top="880" w:bottom="920" w:left="920" w:right="1200"/>
        </w:sectPr>
      </w:pPr>
    </w:p>
    <w:p>
      <w:pPr>
        <w:pStyle w:val="BodyText"/>
        <w:spacing w:before="4"/>
        <w:rPr>
          <w:rFonts w:ascii="Times New Roman"/>
          <w:sz w:val="17"/>
        </w:rPr>
      </w:pPr>
    </w:p>
    <w:p>
      <w:pPr>
        <w:spacing w:after="0"/>
        <w:rPr>
          <w:rFonts w:ascii="Times New Roman"/>
          <w:sz w:val="17"/>
        </w:rPr>
        <w:sectPr>
          <w:headerReference w:type="default" r:id="rId257"/>
          <w:footerReference w:type="default" r:id="rId258"/>
          <w:pgSz w:w="8790" w:h="12760"/>
          <w:pgMar w:header="0" w:footer="0" w:top="1180" w:bottom="280" w:left="1200" w:right="12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pStyle w:val="Heading3"/>
        <w:ind w:left="1583" w:right="321"/>
        <w:jc w:val="left"/>
      </w:pPr>
      <w:r>
        <w:rPr/>
        <w:t>Casandra Castorena Sánchez*</w:t>
      </w:r>
    </w:p>
    <w:p>
      <w:pPr>
        <w:pStyle w:val="BodyText"/>
        <w:spacing w:before="9"/>
        <w:rPr>
          <w:sz w:val="20"/>
        </w:rPr>
      </w:pPr>
    </w:p>
    <w:p>
      <w:pPr>
        <w:spacing w:line="340" w:lineRule="exact" w:before="0"/>
        <w:ind w:left="248" w:right="452" w:firstLine="999"/>
        <w:jc w:val="left"/>
        <w:rPr>
          <w:rFonts w:ascii="Times New Roman" w:hAnsi="Times New Roman"/>
          <w:b/>
          <w:sz w:val="30"/>
        </w:rPr>
      </w:pPr>
      <w:r>
        <w:rPr>
          <w:rFonts w:ascii="Times New Roman" w:hAnsi="Times New Roman"/>
          <w:b/>
          <w:spacing w:val="2"/>
          <w:w w:val="145"/>
          <w:sz w:val="30"/>
        </w:rPr>
        <w:t>los </w:t>
      </w:r>
      <w:r>
        <w:rPr>
          <w:rFonts w:ascii="Times New Roman" w:hAnsi="Times New Roman"/>
          <w:b/>
          <w:spacing w:val="-3"/>
          <w:w w:val="145"/>
          <w:sz w:val="30"/>
        </w:rPr>
        <w:t>cuatro </w:t>
      </w:r>
      <w:r>
        <w:rPr>
          <w:rFonts w:ascii="Times New Roman" w:hAnsi="Times New Roman"/>
          <w:b/>
          <w:spacing w:val="4"/>
          <w:w w:val="145"/>
          <w:sz w:val="30"/>
        </w:rPr>
        <w:t>Pilares </w:t>
      </w:r>
      <w:r>
        <w:rPr>
          <w:rFonts w:ascii="Times New Roman" w:hAnsi="Times New Roman"/>
          <w:b/>
          <w:w w:val="145"/>
          <w:sz w:val="30"/>
        </w:rPr>
        <w:t>de </w:t>
      </w:r>
      <w:r>
        <w:rPr>
          <w:rFonts w:ascii="Times New Roman" w:hAnsi="Times New Roman"/>
          <w:b/>
          <w:spacing w:val="5"/>
          <w:w w:val="145"/>
          <w:sz w:val="30"/>
        </w:rPr>
        <w:t>la </w:t>
      </w:r>
      <w:r>
        <w:rPr>
          <w:rFonts w:ascii="Times New Roman" w:hAnsi="Times New Roman"/>
          <w:b/>
          <w:spacing w:val="3"/>
          <w:w w:val="140"/>
          <w:sz w:val="30"/>
        </w:rPr>
        <w:t>PolÍtica</w:t>
      </w:r>
      <w:r>
        <w:rPr>
          <w:rFonts w:ascii="Times New Roman" w:hAnsi="Times New Roman"/>
          <w:b/>
          <w:spacing w:val="-64"/>
          <w:w w:val="140"/>
          <w:sz w:val="30"/>
        </w:rPr>
        <w:t> </w:t>
      </w:r>
      <w:r>
        <w:rPr>
          <w:rFonts w:ascii="Times New Roman" w:hAnsi="Times New Roman"/>
          <w:b/>
          <w:spacing w:val="3"/>
          <w:w w:val="140"/>
          <w:sz w:val="30"/>
        </w:rPr>
        <w:t>exterior</w:t>
      </w:r>
      <w:r>
        <w:rPr>
          <w:rFonts w:ascii="Times New Roman" w:hAnsi="Times New Roman"/>
          <w:b/>
          <w:spacing w:val="-64"/>
          <w:w w:val="140"/>
          <w:sz w:val="30"/>
        </w:rPr>
        <w:t> </w:t>
      </w:r>
      <w:r>
        <w:rPr>
          <w:rFonts w:ascii="Times New Roman" w:hAnsi="Times New Roman"/>
          <w:b/>
          <w:w w:val="140"/>
          <w:sz w:val="30"/>
        </w:rPr>
        <w:t>de</w:t>
      </w:r>
      <w:r>
        <w:rPr>
          <w:rFonts w:ascii="Times New Roman" w:hAnsi="Times New Roman"/>
          <w:b/>
          <w:spacing w:val="-64"/>
          <w:w w:val="140"/>
          <w:sz w:val="30"/>
        </w:rPr>
        <w:t> </w:t>
      </w:r>
      <w:r>
        <w:rPr>
          <w:rFonts w:ascii="Times New Roman" w:hAnsi="Times New Roman"/>
          <w:b/>
          <w:w w:val="140"/>
          <w:sz w:val="30"/>
        </w:rPr>
        <w:t>estados</w:t>
      </w:r>
      <w:r>
        <w:rPr>
          <w:rFonts w:ascii="Times New Roman" w:hAnsi="Times New Roman"/>
          <w:b/>
          <w:spacing w:val="-64"/>
          <w:w w:val="140"/>
          <w:sz w:val="30"/>
        </w:rPr>
        <w:t> </w:t>
      </w:r>
      <w:r>
        <w:rPr>
          <w:rFonts w:ascii="Times New Roman" w:hAnsi="Times New Roman"/>
          <w:b/>
          <w:spacing w:val="3"/>
          <w:w w:val="140"/>
          <w:sz w:val="30"/>
        </w:rPr>
        <w:t>unidos</w:t>
      </w:r>
    </w:p>
    <w:p>
      <w:pPr>
        <w:spacing w:line="340" w:lineRule="exact" w:before="0"/>
        <w:ind w:left="1965" w:right="837" w:hanging="1325"/>
        <w:jc w:val="left"/>
        <w:rPr>
          <w:rFonts w:ascii="Times New Roman"/>
          <w:b/>
          <w:sz w:val="30"/>
        </w:rPr>
      </w:pPr>
      <w:r>
        <w:rPr>
          <w:rFonts w:ascii="Times New Roman"/>
          <w:b/>
          <w:w w:val="135"/>
          <w:sz w:val="30"/>
        </w:rPr>
        <w:t>Hacia</w:t>
      </w:r>
      <w:r>
        <w:rPr>
          <w:rFonts w:ascii="Times New Roman"/>
          <w:b/>
          <w:spacing w:val="-49"/>
          <w:w w:val="135"/>
          <w:sz w:val="30"/>
        </w:rPr>
        <w:t> </w:t>
      </w:r>
      <w:r>
        <w:rPr>
          <w:rFonts w:ascii="Times New Roman"/>
          <w:b/>
          <w:w w:val="135"/>
          <w:sz w:val="30"/>
        </w:rPr>
        <w:t>el</w:t>
      </w:r>
      <w:r>
        <w:rPr>
          <w:rFonts w:ascii="Times New Roman"/>
          <w:b/>
          <w:spacing w:val="-49"/>
          <w:w w:val="135"/>
          <w:sz w:val="30"/>
        </w:rPr>
        <w:t> </w:t>
      </w:r>
      <w:r>
        <w:rPr>
          <w:rFonts w:ascii="Times New Roman"/>
          <w:b/>
          <w:spacing w:val="2"/>
          <w:w w:val="135"/>
          <w:sz w:val="30"/>
        </w:rPr>
        <w:t>HeMisferio</w:t>
      </w:r>
      <w:r>
        <w:rPr>
          <w:rFonts w:ascii="Times New Roman"/>
          <w:b/>
          <w:spacing w:val="-49"/>
          <w:w w:val="135"/>
          <w:sz w:val="30"/>
        </w:rPr>
        <w:t> </w:t>
      </w:r>
      <w:r>
        <w:rPr>
          <w:rFonts w:ascii="Times New Roman"/>
          <w:b/>
          <w:w w:val="135"/>
          <w:sz w:val="30"/>
        </w:rPr>
        <w:t>occidental </w:t>
      </w:r>
      <w:r>
        <w:rPr>
          <w:rFonts w:ascii="Times New Roman"/>
          <w:b/>
          <w:spacing w:val="4"/>
          <w:w w:val="134"/>
          <w:sz w:val="30"/>
        </w:rPr>
        <w:t>e</w:t>
      </w:r>
      <w:r>
        <w:rPr>
          <w:rFonts w:ascii="Times New Roman"/>
          <w:b/>
          <w:w w:val="128"/>
          <w:sz w:val="30"/>
        </w:rPr>
        <w:t>n</w:t>
      </w:r>
      <w:r>
        <w:rPr>
          <w:rFonts w:ascii="Times New Roman"/>
          <w:b/>
          <w:spacing w:val="-12"/>
          <w:sz w:val="30"/>
        </w:rPr>
        <w:t> </w:t>
      </w:r>
      <w:r>
        <w:rPr>
          <w:rFonts w:ascii="Times New Roman"/>
          <w:b/>
          <w:spacing w:val="4"/>
          <w:w w:val="134"/>
          <w:sz w:val="30"/>
        </w:rPr>
        <w:t>e</w:t>
      </w:r>
      <w:r>
        <w:rPr>
          <w:rFonts w:ascii="Times New Roman"/>
          <w:b/>
          <w:w w:val="201"/>
          <w:sz w:val="30"/>
        </w:rPr>
        <w:t>l</w:t>
      </w:r>
      <w:r>
        <w:rPr>
          <w:rFonts w:ascii="Times New Roman"/>
          <w:b/>
          <w:spacing w:val="-12"/>
          <w:sz w:val="30"/>
        </w:rPr>
        <w:t> </w:t>
      </w:r>
      <w:r>
        <w:rPr>
          <w:rFonts w:ascii="Times New Roman"/>
          <w:b/>
          <w:spacing w:val="3"/>
          <w:w w:val="136"/>
          <w:sz w:val="30"/>
        </w:rPr>
        <w:t>s</w:t>
      </w:r>
      <w:r>
        <w:rPr>
          <w:rFonts w:ascii="Times New Roman"/>
          <w:b/>
          <w:spacing w:val="3"/>
          <w:w w:val="129"/>
          <w:sz w:val="30"/>
        </w:rPr>
        <w:t>i</w:t>
      </w:r>
      <w:r>
        <w:rPr>
          <w:rFonts w:ascii="Times New Roman"/>
          <w:b/>
          <w:spacing w:val="4"/>
          <w:w w:val="89"/>
          <w:sz w:val="30"/>
        </w:rPr>
        <w:t>G</w:t>
      </w:r>
      <w:r>
        <w:rPr>
          <w:rFonts w:ascii="Times New Roman"/>
          <w:b/>
          <w:spacing w:val="2"/>
          <w:w w:val="201"/>
          <w:sz w:val="30"/>
        </w:rPr>
        <w:t>l</w:t>
      </w:r>
      <w:r>
        <w:rPr>
          <w:rFonts w:ascii="Times New Roman"/>
          <w:b/>
          <w:w w:val="145"/>
          <w:sz w:val="30"/>
        </w:rPr>
        <w:t>o</w:t>
      </w:r>
      <w:r>
        <w:rPr>
          <w:rFonts w:ascii="Times New Roman"/>
          <w:b/>
          <w:spacing w:val="-12"/>
          <w:sz w:val="30"/>
        </w:rPr>
        <w:t> </w:t>
      </w:r>
      <w:r>
        <w:rPr>
          <w:rFonts w:ascii="Times New Roman"/>
          <w:b/>
          <w:spacing w:val="4"/>
          <w:w w:val="124"/>
          <w:sz w:val="30"/>
        </w:rPr>
        <w:t>x</w:t>
      </w:r>
      <w:r>
        <w:rPr>
          <w:rFonts w:ascii="Times New Roman"/>
          <w:b/>
          <w:spacing w:val="5"/>
          <w:w w:val="124"/>
          <w:sz w:val="30"/>
        </w:rPr>
        <w:t>x</w:t>
      </w:r>
      <w:r>
        <w:rPr>
          <w:rFonts w:ascii="Times New Roman"/>
          <w:b/>
          <w:spacing w:val="1"/>
          <w:w w:val="129"/>
          <w:sz w:val="30"/>
        </w:rPr>
        <w:t>i</w:t>
      </w:r>
      <w:r>
        <w:rPr>
          <w:rFonts w:ascii="Times New Roman"/>
          <w:b/>
          <w:w w:val="81"/>
          <w:sz w:val="30"/>
        </w:rPr>
        <w:t>**</w:t>
      </w: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42"/>
        </w:rPr>
      </w:pPr>
    </w:p>
    <w:p>
      <w:pPr>
        <w:pStyle w:val="Heading6"/>
        <w:ind w:left="121"/>
      </w:pPr>
      <w:r>
        <w:rPr>
          <w:w w:val="140"/>
        </w:rPr>
        <w:t>introducción</w:t>
      </w:r>
    </w:p>
    <w:p>
      <w:pPr>
        <w:pStyle w:val="BodyText"/>
        <w:spacing w:line="252" w:lineRule="auto" w:before="10"/>
        <w:ind w:left="120" w:right="328"/>
        <w:jc w:val="both"/>
      </w:pPr>
      <w:r>
        <w:rPr>
          <w:w w:val="110"/>
        </w:rPr>
        <w:t>Hacer una revisión de la política exterior de Estados unidos hacia       el Hemisferio occidental</w:t>
      </w:r>
      <w:r>
        <w:rPr>
          <w:w w:val="110"/>
          <w:position w:val="7"/>
          <w:sz w:val="11"/>
        </w:rPr>
        <w:t>1 </w:t>
      </w:r>
      <w:r>
        <w:rPr>
          <w:w w:val="110"/>
        </w:rPr>
        <w:t>resulta no sólo obligado para entender la dinámica actual de las relaciones entre dicha nación y sus correlatos latinoamericanos y caribeños, sino que también permite revisar los cambios, continuidades, orientaciones y proyecciones tanto en los ob- jetivos como estrategias de política exterior de Estados unidos en el siglo presente </w:t>
      </w:r>
      <w:r>
        <w:rPr>
          <w:spacing w:val="-11"/>
          <w:w w:val="110"/>
        </w:rPr>
        <w:t>y,  </w:t>
      </w:r>
      <w:r>
        <w:rPr>
          <w:w w:val="110"/>
        </w:rPr>
        <w:t>al mismo tiempo, nos obliga a evaluar y estudiar   </w:t>
      </w:r>
      <w:r>
        <w:rPr>
          <w:spacing w:val="11"/>
          <w:w w:val="110"/>
        </w:rPr>
        <w:t> </w:t>
      </w:r>
      <w:r>
        <w:rPr>
          <w:w w:val="110"/>
        </w:rPr>
        <w:t>las</w:t>
      </w:r>
    </w:p>
    <w:p>
      <w:pPr>
        <w:pStyle w:val="BodyText"/>
        <w:spacing w:before="6"/>
        <w:rPr>
          <w:sz w:val="14"/>
        </w:rPr>
      </w:pPr>
    </w:p>
    <w:p>
      <w:pPr>
        <w:spacing w:line="242" w:lineRule="auto" w:before="75"/>
        <w:ind w:left="517" w:right="328" w:hanging="317"/>
        <w:jc w:val="both"/>
        <w:rPr>
          <w:sz w:val="16"/>
        </w:rPr>
      </w:pPr>
      <w:r>
        <w:rPr>
          <w:w w:val="110"/>
          <w:sz w:val="16"/>
        </w:rPr>
        <w:t>* Profesora adscripta al Centro de relaciones internacionales de la Facultad de Ciencias Políticas y sociales de la universidad Nacional autónoma de México (uNaM) y colaboradora en el Grupo de trabajo sobre estudios de Estados uni- dos  de  </w:t>
      </w:r>
      <w:r>
        <w:rPr>
          <w:w w:val="125"/>
          <w:sz w:val="16"/>
        </w:rPr>
        <w:t>ClaCso.</w:t>
      </w:r>
    </w:p>
    <w:p>
      <w:pPr>
        <w:spacing w:line="242" w:lineRule="auto" w:before="57"/>
        <w:ind w:left="517" w:right="328" w:hanging="397"/>
        <w:jc w:val="both"/>
        <w:rPr>
          <w:sz w:val="16"/>
        </w:rPr>
      </w:pPr>
      <w:r>
        <w:rPr>
          <w:w w:val="110"/>
          <w:sz w:val="16"/>
        </w:rPr>
        <w:t>** Este capítulo fue elaborado con el apoyo del Programa uNaM-dGaPa-PaPiit- iN306414.</w:t>
      </w:r>
    </w:p>
    <w:p>
      <w:pPr>
        <w:pStyle w:val="BodyText"/>
        <w:spacing w:before="8"/>
        <w:rPr>
          <w:sz w:val="9"/>
        </w:rPr>
      </w:pPr>
      <w:r>
        <w:rPr/>
        <w:pict>
          <v:line style="position:absolute;mso-position-horizontal-relative:page;mso-position-vertical-relative:paragraph;z-index:4096;mso-wrap-distance-left:0;mso-wrap-distance-right:0" from="51.023602pt,7.912864pt" to="79.369602pt,7.912864pt" stroked="true" strokeweight=".5pt" strokecolor="#000000">
            <w10:wrap type="topAndBottom"/>
          </v:line>
        </w:pict>
      </w:r>
    </w:p>
    <w:p>
      <w:pPr>
        <w:pStyle w:val="ListParagraph"/>
        <w:numPr>
          <w:ilvl w:val="0"/>
          <w:numId w:val="11"/>
        </w:numPr>
        <w:tabs>
          <w:tab w:pos="376" w:val="left" w:leader="none"/>
        </w:tabs>
        <w:spacing w:line="242" w:lineRule="auto" w:before="89" w:after="0"/>
        <w:ind w:left="120" w:right="328" w:firstLine="0"/>
        <w:jc w:val="both"/>
        <w:rPr>
          <w:sz w:val="16"/>
        </w:rPr>
      </w:pPr>
      <w:r>
        <w:rPr>
          <w:w w:val="105"/>
          <w:sz w:val="16"/>
        </w:rPr>
        <w:t>Para efectos de este trabajo, se usará la división regional que sugiere el departa- mento de Estado de los Estados unidos para dar cuenta de sus objetivos y estrategias de política exterior hacia las diferentes regiones del mundo, por lo anterior, deberá entenderse Hemisferio occidental como aquella región geográfica que incluye única- </w:t>
      </w:r>
      <w:r>
        <w:rPr>
          <w:w w:val="106"/>
          <w:sz w:val="16"/>
        </w:rPr>
        <w:t>mente</w:t>
      </w:r>
      <w:r>
        <w:rPr>
          <w:spacing w:val="13"/>
          <w:sz w:val="16"/>
        </w:rPr>
        <w:t> </w:t>
      </w:r>
      <w:r>
        <w:rPr>
          <w:w w:val="109"/>
          <w:sz w:val="16"/>
        </w:rPr>
        <w:t>a</w:t>
      </w:r>
      <w:r>
        <w:rPr>
          <w:spacing w:val="13"/>
          <w:sz w:val="16"/>
        </w:rPr>
        <w:t> </w:t>
      </w:r>
      <w:r>
        <w:rPr>
          <w:w w:val="107"/>
          <w:sz w:val="16"/>
        </w:rPr>
        <w:t>las</w:t>
      </w:r>
      <w:r>
        <w:rPr>
          <w:spacing w:val="13"/>
          <w:sz w:val="16"/>
        </w:rPr>
        <w:t> </w:t>
      </w:r>
      <w:r>
        <w:rPr>
          <w:w w:val="108"/>
          <w:sz w:val="16"/>
        </w:rPr>
        <w:t>naciones</w:t>
      </w:r>
      <w:r>
        <w:rPr>
          <w:spacing w:val="13"/>
          <w:sz w:val="16"/>
        </w:rPr>
        <w:t> </w:t>
      </w:r>
      <w:r>
        <w:rPr>
          <w:w w:val="105"/>
          <w:sz w:val="16"/>
        </w:rPr>
        <w:t>del</w:t>
      </w:r>
      <w:r>
        <w:rPr>
          <w:spacing w:val="13"/>
          <w:sz w:val="16"/>
        </w:rPr>
        <w:t> </w:t>
      </w:r>
      <w:r>
        <w:rPr>
          <w:w w:val="107"/>
          <w:sz w:val="16"/>
        </w:rPr>
        <w:t>continente</w:t>
      </w:r>
      <w:r>
        <w:rPr>
          <w:spacing w:val="13"/>
          <w:sz w:val="16"/>
        </w:rPr>
        <w:t> </w:t>
      </w:r>
      <w:r>
        <w:rPr>
          <w:w w:val="110"/>
          <w:sz w:val="16"/>
        </w:rPr>
        <w:t>americano.</w:t>
      </w:r>
      <w:r>
        <w:rPr>
          <w:spacing w:val="13"/>
          <w:sz w:val="16"/>
        </w:rPr>
        <w:t> </w:t>
      </w:r>
      <w:r>
        <w:rPr>
          <w:w w:val="238"/>
          <w:sz w:val="16"/>
        </w:rPr>
        <w:t>l</w:t>
      </w:r>
      <w:r>
        <w:rPr>
          <w:w w:val="106"/>
          <w:sz w:val="16"/>
        </w:rPr>
        <w:t>as</w:t>
      </w:r>
      <w:r>
        <w:rPr>
          <w:spacing w:val="13"/>
          <w:sz w:val="16"/>
        </w:rPr>
        <w:t> </w:t>
      </w:r>
      <w:r>
        <w:rPr>
          <w:w w:val="106"/>
          <w:sz w:val="16"/>
        </w:rPr>
        <w:t>otras</w:t>
      </w:r>
      <w:r>
        <w:rPr>
          <w:spacing w:val="13"/>
          <w:sz w:val="16"/>
        </w:rPr>
        <w:t> </w:t>
      </w:r>
      <w:r>
        <w:rPr>
          <w:w w:val="106"/>
          <w:sz w:val="16"/>
        </w:rPr>
        <w:t>regiones</w:t>
      </w:r>
      <w:r>
        <w:rPr>
          <w:spacing w:val="13"/>
          <w:sz w:val="16"/>
        </w:rPr>
        <w:t> </w:t>
      </w:r>
      <w:r>
        <w:rPr>
          <w:w w:val="107"/>
          <w:sz w:val="16"/>
        </w:rPr>
        <w:t>son:</w:t>
      </w:r>
      <w:r>
        <w:rPr>
          <w:spacing w:val="13"/>
          <w:sz w:val="16"/>
        </w:rPr>
        <w:t> </w:t>
      </w:r>
      <w:r>
        <w:rPr>
          <w:w w:val="104"/>
          <w:sz w:val="16"/>
        </w:rPr>
        <w:t>el</w:t>
      </w:r>
      <w:r>
        <w:rPr>
          <w:spacing w:val="13"/>
          <w:sz w:val="16"/>
        </w:rPr>
        <w:t> </w:t>
      </w:r>
      <w:r>
        <w:rPr>
          <w:w w:val="109"/>
          <w:sz w:val="16"/>
        </w:rPr>
        <w:t>Pacífico</w:t>
      </w:r>
      <w:r>
        <w:rPr>
          <w:spacing w:val="13"/>
          <w:sz w:val="16"/>
        </w:rPr>
        <w:t> </w:t>
      </w:r>
      <w:r>
        <w:rPr>
          <w:w w:val="102"/>
          <w:sz w:val="16"/>
        </w:rPr>
        <w:t>y </w:t>
      </w:r>
      <w:r>
        <w:rPr>
          <w:w w:val="105"/>
          <w:sz w:val="16"/>
        </w:rPr>
        <w:t>el sudeste asiático, Europa y Eurasia, Cercano oriente (incluye al Medio oriente y el Norte  de  África),  asia  Central  y  del  </w:t>
      </w:r>
      <w:r>
        <w:rPr>
          <w:spacing w:val="-5"/>
          <w:w w:val="105"/>
          <w:sz w:val="16"/>
        </w:rPr>
        <w:t>sur,  </w:t>
      </w:r>
      <w:r>
        <w:rPr>
          <w:w w:val="105"/>
          <w:sz w:val="16"/>
        </w:rPr>
        <w:t>África</w:t>
      </w:r>
      <w:r>
        <w:rPr>
          <w:spacing w:val="3"/>
          <w:w w:val="105"/>
          <w:sz w:val="16"/>
        </w:rPr>
        <w:t> </w:t>
      </w:r>
      <w:r>
        <w:rPr>
          <w:w w:val="105"/>
          <w:sz w:val="16"/>
        </w:rPr>
        <w:t>subsahariana.</w:t>
      </w:r>
    </w:p>
    <w:p>
      <w:pPr>
        <w:pStyle w:val="BodyText"/>
        <w:spacing w:before="1"/>
        <w:rPr>
          <w:sz w:val="25"/>
        </w:rPr>
      </w:pPr>
    </w:p>
    <w:p>
      <w:pPr>
        <w:pStyle w:val="Heading7"/>
        <w:spacing w:line="240" w:lineRule="auto" w:before="65"/>
        <w:ind w:left="1041" w:right="1249"/>
        <w:jc w:val="center"/>
      </w:pPr>
      <w:r>
        <w:rPr/>
        <w:t>197</w:t>
      </w:r>
    </w:p>
    <w:p>
      <w:pPr>
        <w:spacing w:after="0" w:line="240" w:lineRule="auto"/>
        <w:jc w:val="center"/>
        <w:sectPr>
          <w:headerReference w:type="even" r:id="rId259"/>
          <w:footerReference w:type="even" r:id="rId260"/>
          <w:pgSz w:w="8790" w:h="12760"/>
          <w:pgMar w:header="0" w:footer="0" w:top="1180" w:bottom="280" w:left="900" w:right="1200"/>
        </w:sectPr>
      </w:pPr>
    </w:p>
    <w:p>
      <w:pPr>
        <w:pStyle w:val="BodyText"/>
        <w:spacing w:before="7"/>
        <w:rPr>
          <w:sz w:val="28"/>
        </w:rPr>
      </w:pPr>
    </w:p>
    <w:p>
      <w:pPr>
        <w:pStyle w:val="BodyText"/>
        <w:spacing w:line="252" w:lineRule="auto" w:before="73"/>
        <w:ind w:left="330" w:right="117"/>
        <w:jc w:val="both"/>
      </w:pPr>
      <w:r>
        <w:rPr>
          <w:w w:val="110"/>
        </w:rPr>
        <w:t>respuestas que han surgido a dicha política, tanto regionales como nacionales, desde México hasta el Cono   sur.</w:t>
      </w:r>
    </w:p>
    <w:p>
      <w:pPr>
        <w:pStyle w:val="BodyText"/>
        <w:spacing w:line="252" w:lineRule="auto"/>
        <w:ind w:left="330" w:right="117" w:firstLine="396"/>
        <w:jc w:val="both"/>
      </w:pPr>
      <w:r>
        <w:rPr>
          <w:w w:val="110"/>
        </w:rPr>
        <w:t>aunque dicha revisión contiene múltiples retos tanto teórico-con- ceptuales como metodológicos y explicativos –pues exige que dicho análisis sea realizado a través de un enfoque multidisciplinario y en diferentes niveles de complejidad– interesa recordar la importancia de tener una aproximación más objetiva hacia los temas prioritarios que ocupan la agenda del Hemisferio  occidental.  tradicionalmente, los enfoques históricos y geopolíticos han sido los instrumentos ana- líticos más difundidos y utilizados para estudiar las relaciones entre </w:t>
      </w:r>
      <w:r>
        <w:rPr>
          <w:w w:val="111"/>
        </w:rPr>
        <w:t>Estados</w:t>
      </w:r>
      <w:r>
        <w:rPr>
          <w:spacing w:val="19"/>
        </w:rPr>
        <w:t> </w:t>
      </w:r>
      <w:r>
        <w:rPr>
          <w:w w:val="140"/>
        </w:rPr>
        <w:t>u</w:t>
      </w:r>
      <w:r>
        <w:rPr>
          <w:w w:val="110"/>
        </w:rPr>
        <w:t>nidos</w:t>
      </w:r>
      <w:r>
        <w:rPr>
          <w:spacing w:val="19"/>
        </w:rPr>
        <w:t> </w:t>
      </w:r>
      <w:r>
        <w:rPr>
          <w:w w:val="105"/>
        </w:rPr>
        <w:t>y</w:t>
      </w:r>
      <w:r>
        <w:rPr>
          <w:spacing w:val="19"/>
        </w:rPr>
        <w:t> </w:t>
      </w:r>
      <w:r>
        <w:rPr>
          <w:w w:val="107"/>
        </w:rPr>
        <w:t>otros</w:t>
      </w:r>
      <w:r>
        <w:rPr>
          <w:spacing w:val="19"/>
        </w:rPr>
        <w:t> </w:t>
      </w:r>
      <w:r>
        <w:rPr>
          <w:w w:val="108"/>
        </w:rPr>
        <w:t>países</w:t>
      </w:r>
      <w:r>
        <w:rPr>
          <w:spacing w:val="19"/>
        </w:rPr>
        <w:t> </w:t>
      </w:r>
      <w:r>
        <w:rPr>
          <w:w w:val="107"/>
        </w:rPr>
        <w:t>de</w:t>
      </w:r>
      <w:r>
        <w:rPr>
          <w:spacing w:val="19"/>
        </w:rPr>
        <w:t> </w:t>
      </w:r>
      <w:r>
        <w:rPr>
          <w:w w:val="139"/>
        </w:rPr>
        <w:t>a</w:t>
      </w:r>
      <w:r>
        <w:rPr>
          <w:w w:val="111"/>
        </w:rPr>
        <w:t>mérica</w:t>
      </w:r>
      <w:r>
        <w:rPr>
          <w:spacing w:val="19"/>
        </w:rPr>
        <w:t> </w:t>
      </w:r>
      <w:r>
        <w:rPr>
          <w:w w:val="243"/>
        </w:rPr>
        <w:t>l</w:t>
      </w:r>
      <w:r>
        <w:rPr>
          <w:w w:val="111"/>
        </w:rPr>
        <w:t>atina</w:t>
      </w:r>
      <w:r>
        <w:rPr>
          <w:spacing w:val="19"/>
        </w:rPr>
        <w:t> </w:t>
      </w:r>
      <w:r>
        <w:rPr>
          <w:w w:val="105"/>
        </w:rPr>
        <w:t>y</w:t>
      </w:r>
      <w:r>
        <w:rPr>
          <w:spacing w:val="19"/>
        </w:rPr>
        <w:t> </w:t>
      </w:r>
      <w:r>
        <w:rPr>
          <w:w w:val="107"/>
        </w:rPr>
        <w:t>el</w:t>
      </w:r>
      <w:r>
        <w:rPr>
          <w:spacing w:val="19"/>
        </w:rPr>
        <w:t> </w:t>
      </w:r>
      <w:r>
        <w:rPr>
          <w:w w:val="114"/>
        </w:rPr>
        <w:t>Caribe,</w:t>
      </w:r>
      <w:r>
        <w:rPr>
          <w:spacing w:val="19"/>
        </w:rPr>
        <w:t> </w:t>
      </w:r>
      <w:r>
        <w:rPr>
          <w:w w:val="111"/>
        </w:rPr>
        <w:t>no</w:t>
      </w:r>
      <w:r>
        <w:rPr>
          <w:spacing w:val="19"/>
        </w:rPr>
        <w:t> </w:t>
      </w:r>
      <w:r>
        <w:rPr>
          <w:w w:val="109"/>
        </w:rPr>
        <w:t>sólo </w:t>
      </w:r>
      <w:r>
        <w:rPr>
          <w:w w:val="110"/>
        </w:rPr>
        <w:t>por su riqueza conceptual y documental, sino porque además brindan elementos clave para realizar reflexiones críticas y de mayor entendi- miento</w:t>
      </w:r>
      <w:r>
        <w:rPr>
          <w:spacing w:val="-6"/>
          <w:w w:val="110"/>
        </w:rPr>
        <w:t> </w:t>
      </w:r>
      <w:r>
        <w:rPr>
          <w:w w:val="110"/>
        </w:rPr>
        <w:t>del</w:t>
      </w:r>
      <w:r>
        <w:rPr>
          <w:spacing w:val="-6"/>
          <w:w w:val="110"/>
        </w:rPr>
        <w:t> </w:t>
      </w:r>
      <w:r>
        <w:rPr>
          <w:w w:val="110"/>
        </w:rPr>
        <w:t>estado</w:t>
      </w:r>
      <w:r>
        <w:rPr>
          <w:spacing w:val="-6"/>
          <w:w w:val="110"/>
        </w:rPr>
        <w:t> </w:t>
      </w:r>
      <w:r>
        <w:rPr>
          <w:w w:val="110"/>
        </w:rPr>
        <w:t>actual</w:t>
      </w:r>
      <w:r>
        <w:rPr>
          <w:spacing w:val="-6"/>
          <w:w w:val="110"/>
        </w:rPr>
        <w:t> </w:t>
      </w:r>
      <w:r>
        <w:rPr>
          <w:w w:val="110"/>
        </w:rPr>
        <w:t>de</w:t>
      </w:r>
      <w:r>
        <w:rPr>
          <w:spacing w:val="-6"/>
          <w:w w:val="110"/>
        </w:rPr>
        <w:t> </w:t>
      </w:r>
      <w:r>
        <w:rPr>
          <w:w w:val="110"/>
        </w:rPr>
        <w:t>las</w:t>
      </w:r>
      <w:r>
        <w:rPr>
          <w:spacing w:val="-6"/>
          <w:w w:val="110"/>
        </w:rPr>
        <w:t> </w:t>
      </w:r>
      <w:r>
        <w:rPr>
          <w:w w:val="110"/>
        </w:rPr>
        <w:t>relaciones</w:t>
      </w:r>
      <w:r>
        <w:rPr>
          <w:spacing w:val="-6"/>
          <w:w w:val="110"/>
        </w:rPr>
        <w:t> </w:t>
      </w:r>
      <w:r>
        <w:rPr>
          <w:w w:val="110"/>
        </w:rPr>
        <w:t>entre</w:t>
      </w:r>
      <w:r>
        <w:rPr>
          <w:spacing w:val="-6"/>
          <w:w w:val="110"/>
        </w:rPr>
        <w:t> </w:t>
      </w:r>
      <w:r>
        <w:rPr>
          <w:w w:val="110"/>
        </w:rPr>
        <w:t>los</w:t>
      </w:r>
      <w:r>
        <w:rPr>
          <w:spacing w:val="-6"/>
          <w:w w:val="110"/>
        </w:rPr>
        <w:t> </w:t>
      </w:r>
      <w:r>
        <w:rPr>
          <w:w w:val="110"/>
        </w:rPr>
        <w:t>diversos</w:t>
      </w:r>
      <w:r>
        <w:rPr>
          <w:spacing w:val="-6"/>
          <w:w w:val="110"/>
        </w:rPr>
        <w:t> </w:t>
      </w:r>
      <w:r>
        <w:rPr>
          <w:w w:val="110"/>
        </w:rPr>
        <w:t>países</w:t>
      </w:r>
      <w:r>
        <w:rPr>
          <w:spacing w:val="-6"/>
          <w:w w:val="110"/>
        </w:rPr>
        <w:t> </w:t>
      </w:r>
      <w:r>
        <w:rPr>
          <w:w w:val="110"/>
        </w:rPr>
        <w:t>y/o subregiones del hemisferio. No obstante, este trabajo busca ponderar un enfoque metodológico a fin</w:t>
      </w:r>
      <w:r>
        <w:rPr>
          <w:spacing w:val="41"/>
          <w:w w:val="110"/>
        </w:rPr>
        <w:t> </w:t>
      </w:r>
      <w:r>
        <w:rPr>
          <w:w w:val="110"/>
        </w:rPr>
        <w:t>de:</w:t>
      </w:r>
    </w:p>
    <w:p>
      <w:pPr>
        <w:pStyle w:val="BodyText"/>
        <w:spacing w:before="11"/>
      </w:pPr>
    </w:p>
    <w:p>
      <w:pPr>
        <w:pStyle w:val="ListParagraph"/>
        <w:numPr>
          <w:ilvl w:val="1"/>
          <w:numId w:val="11"/>
        </w:numPr>
        <w:tabs>
          <w:tab w:pos="955" w:val="left" w:leader="none"/>
        </w:tabs>
        <w:spacing w:line="252" w:lineRule="auto" w:before="0" w:after="0"/>
        <w:ind w:left="954" w:right="118" w:hanging="227"/>
        <w:jc w:val="left"/>
        <w:rPr>
          <w:sz w:val="19"/>
        </w:rPr>
      </w:pPr>
      <w:r>
        <w:rPr>
          <w:w w:val="110"/>
          <w:sz w:val="19"/>
        </w:rPr>
        <w:t>reducir algunos vicios analíticos sobre el estudio de la política exterior de Estados</w:t>
      </w:r>
      <w:r>
        <w:rPr>
          <w:spacing w:val="44"/>
          <w:w w:val="110"/>
          <w:sz w:val="19"/>
        </w:rPr>
        <w:t> </w:t>
      </w:r>
      <w:r>
        <w:rPr>
          <w:w w:val="110"/>
          <w:sz w:val="19"/>
        </w:rPr>
        <w:t>unidos;</w:t>
      </w:r>
    </w:p>
    <w:p>
      <w:pPr>
        <w:pStyle w:val="ListParagraph"/>
        <w:numPr>
          <w:ilvl w:val="1"/>
          <w:numId w:val="11"/>
        </w:numPr>
        <w:tabs>
          <w:tab w:pos="955" w:val="left" w:leader="none"/>
        </w:tabs>
        <w:spacing w:line="252" w:lineRule="auto" w:before="85" w:after="0"/>
        <w:ind w:left="954" w:right="118" w:hanging="227"/>
        <w:jc w:val="left"/>
        <w:rPr>
          <w:sz w:val="19"/>
        </w:rPr>
      </w:pPr>
      <w:r>
        <w:rPr>
          <w:w w:val="110"/>
          <w:sz w:val="19"/>
        </w:rPr>
        <w:t>Exponer los temas prioritarios de la agenda que dicho país ha definido para el Hemisferio occidental en el siglo  </w:t>
      </w:r>
      <w:r>
        <w:rPr>
          <w:spacing w:val="6"/>
          <w:w w:val="110"/>
          <w:sz w:val="19"/>
        </w:rPr>
        <w:t> </w:t>
      </w:r>
      <w:r>
        <w:rPr>
          <w:w w:val="110"/>
          <w:sz w:val="19"/>
        </w:rPr>
        <w:t>presente.</w:t>
      </w:r>
    </w:p>
    <w:p>
      <w:pPr>
        <w:pStyle w:val="BodyText"/>
        <w:spacing w:before="11"/>
      </w:pPr>
    </w:p>
    <w:p>
      <w:pPr>
        <w:pStyle w:val="BodyText"/>
        <w:spacing w:line="252" w:lineRule="auto"/>
        <w:ind w:left="330" w:right="117"/>
        <w:jc w:val="both"/>
      </w:pPr>
      <w:r>
        <w:rPr>
          <w:w w:val="110"/>
        </w:rPr>
        <w:t>Pues partimos de la premisa en la cual “los peligros y amenazas” que predominaron durante la Guerra Fría han sido reemplazados –aun- que parcialmente– por otros retos: tráfico ilícito de drogas y de</w:t>
      </w:r>
      <w:r>
        <w:rPr>
          <w:spacing w:val="-18"/>
          <w:w w:val="110"/>
        </w:rPr>
        <w:t> </w:t>
      </w:r>
      <w:r>
        <w:rPr>
          <w:w w:val="110"/>
        </w:rPr>
        <w:t>armas, trata de personas, crimen transnacional organizado y ciber-seguridad, lo</w:t>
      </w:r>
      <w:r>
        <w:rPr>
          <w:spacing w:val="-8"/>
          <w:w w:val="110"/>
        </w:rPr>
        <w:t> </w:t>
      </w:r>
      <w:r>
        <w:rPr>
          <w:w w:val="110"/>
        </w:rPr>
        <w:t>anterior</w:t>
      </w:r>
      <w:r>
        <w:rPr>
          <w:spacing w:val="-8"/>
          <w:w w:val="110"/>
        </w:rPr>
        <w:t> </w:t>
      </w:r>
      <w:r>
        <w:rPr>
          <w:w w:val="110"/>
        </w:rPr>
        <w:t>–por</w:t>
      </w:r>
      <w:r>
        <w:rPr>
          <w:spacing w:val="-8"/>
          <w:w w:val="110"/>
        </w:rPr>
        <w:t> </w:t>
      </w:r>
      <w:r>
        <w:rPr>
          <w:w w:val="110"/>
        </w:rPr>
        <w:t>supuesto–</w:t>
      </w:r>
      <w:r>
        <w:rPr>
          <w:spacing w:val="-8"/>
          <w:w w:val="110"/>
        </w:rPr>
        <w:t> </w:t>
      </w:r>
      <w:r>
        <w:rPr>
          <w:w w:val="110"/>
        </w:rPr>
        <w:t>desde</w:t>
      </w:r>
      <w:r>
        <w:rPr>
          <w:spacing w:val="-8"/>
          <w:w w:val="110"/>
        </w:rPr>
        <w:t> </w:t>
      </w:r>
      <w:r>
        <w:rPr>
          <w:w w:val="110"/>
        </w:rPr>
        <w:t>la</w:t>
      </w:r>
      <w:r>
        <w:rPr>
          <w:spacing w:val="-8"/>
          <w:w w:val="110"/>
        </w:rPr>
        <w:t> </w:t>
      </w:r>
      <w:r>
        <w:rPr>
          <w:w w:val="110"/>
        </w:rPr>
        <w:t>óptica</w:t>
      </w:r>
      <w:r>
        <w:rPr>
          <w:spacing w:val="-8"/>
          <w:w w:val="110"/>
        </w:rPr>
        <w:t> </w:t>
      </w:r>
      <w:r>
        <w:rPr>
          <w:w w:val="110"/>
        </w:rPr>
        <w:t>estadounidense,</w:t>
      </w:r>
      <w:r>
        <w:rPr>
          <w:spacing w:val="-8"/>
          <w:w w:val="110"/>
        </w:rPr>
        <w:t> </w:t>
      </w:r>
      <w:r>
        <w:rPr>
          <w:w w:val="110"/>
        </w:rPr>
        <w:t>pues</w:t>
      </w:r>
      <w:r>
        <w:rPr>
          <w:spacing w:val="-8"/>
          <w:w w:val="110"/>
        </w:rPr>
        <w:t> </w:t>
      </w:r>
      <w:r>
        <w:rPr>
          <w:w w:val="110"/>
        </w:rPr>
        <w:t>es</w:t>
      </w:r>
      <w:r>
        <w:rPr>
          <w:spacing w:val="-8"/>
          <w:w w:val="110"/>
        </w:rPr>
        <w:t> </w:t>
      </w:r>
      <w:r>
        <w:rPr>
          <w:w w:val="110"/>
        </w:rPr>
        <w:t>cla- ro que existe otra definición de retos y amenazas desde la inmediatez latinoamericana  y caribeña.</w:t>
      </w:r>
    </w:p>
    <w:p>
      <w:pPr>
        <w:pStyle w:val="BodyText"/>
        <w:spacing w:line="252" w:lineRule="auto"/>
        <w:ind w:left="330" w:right="117" w:firstLine="396"/>
        <w:jc w:val="both"/>
      </w:pPr>
      <w:r>
        <w:rPr>
          <w:w w:val="110"/>
        </w:rPr>
        <w:t>a los efectos de este trabajo, se tomará en cuenta el portafolio    de “retos” definidos desde Estados unidos a fin de entender cuáles  son las prioridades regionales del gobierno de barack obama en la actualidad; pues implican un cambio en las definiciones tradicionales de “seguridad” y “cooperación multilateral” </w:t>
      </w:r>
      <w:r>
        <w:rPr>
          <w:spacing w:val="-11"/>
          <w:w w:val="110"/>
        </w:rPr>
        <w:t>y, </w:t>
      </w:r>
      <w:r>
        <w:rPr>
          <w:w w:val="110"/>
        </w:rPr>
        <w:t>por ende, modifican las fórmulas de colaboración entre los gobiernos involucrados y/o la se- lección de instrumentos para hacer frente a dichos </w:t>
      </w:r>
      <w:r>
        <w:rPr>
          <w:spacing w:val="13"/>
          <w:w w:val="110"/>
        </w:rPr>
        <w:t> </w:t>
      </w:r>
      <w:r>
        <w:rPr>
          <w:w w:val="110"/>
        </w:rPr>
        <w:t>retos.</w:t>
      </w:r>
    </w:p>
    <w:p>
      <w:pPr>
        <w:pStyle w:val="BodyText"/>
        <w:spacing w:before="5"/>
      </w:pPr>
    </w:p>
    <w:p>
      <w:pPr>
        <w:pStyle w:val="Heading6"/>
        <w:spacing w:line="244" w:lineRule="auto"/>
        <w:ind w:left="331" w:right="333"/>
        <w:jc w:val="left"/>
      </w:pPr>
      <w:r>
        <w:rPr>
          <w:spacing w:val="2"/>
          <w:w w:val="140"/>
        </w:rPr>
        <w:t>rePensando </w:t>
      </w:r>
      <w:r>
        <w:rPr>
          <w:w w:val="140"/>
        </w:rPr>
        <w:t>los niveles de análisis y actores </w:t>
      </w:r>
      <w:r>
        <w:rPr>
          <w:spacing w:val="2"/>
          <w:w w:val="140"/>
        </w:rPr>
        <w:t>que </w:t>
      </w:r>
      <w:r>
        <w:rPr>
          <w:w w:val="140"/>
        </w:rPr>
        <w:t>intervienen</w:t>
      </w:r>
      <w:r>
        <w:rPr>
          <w:spacing w:val="-39"/>
          <w:w w:val="140"/>
        </w:rPr>
        <w:t> </w:t>
      </w:r>
      <w:r>
        <w:rPr>
          <w:w w:val="140"/>
        </w:rPr>
        <w:t>en</w:t>
      </w:r>
      <w:r>
        <w:rPr>
          <w:spacing w:val="-39"/>
          <w:w w:val="140"/>
        </w:rPr>
        <w:t> </w:t>
      </w:r>
      <w:r>
        <w:rPr>
          <w:spacing w:val="3"/>
          <w:w w:val="140"/>
        </w:rPr>
        <w:t>la</w:t>
      </w:r>
      <w:r>
        <w:rPr>
          <w:spacing w:val="-39"/>
          <w:w w:val="140"/>
        </w:rPr>
        <w:t> </w:t>
      </w:r>
      <w:r>
        <w:rPr>
          <w:spacing w:val="2"/>
          <w:w w:val="140"/>
        </w:rPr>
        <w:t>forMulación</w:t>
      </w:r>
      <w:r>
        <w:rPr>
          <w:spacing w:val="-39"/>
          <w:w w:val="140"/>
        </w:rPr>
        <w:t> </w:t>
      </w:r>
      <w:r>
        <w:rPr>
          <w:w w:val="140"/>
        </w:rPr>
        <w:t>de</w:t>
      </w:r>
      <w:r>
        <w:rPr>
          <w:spacing w:val="-39"/>
          <w:w w:val="140"/>
        </w:rPr>
        <w:t> </w:t>
      </w:r>
      <w:r>
        <w:rPr>
          <w:spacing w:val="3"/>
          <w:w w:val="140"/>
        </w:rPr>
        <w:t>la</w:t>
      </w:r>
      <w:r>
        <w:rPr>
          <w:spacing w:val="-39"/>
          <w:w w:val="140"/>
        </w:rPr>
        <w:t> </w:t>
      </w:r>
      <w:r>
        <w:rPr>
          <w:spacing w:val="2"/>
          <w:w w:val="140"/>
        </w:rPr>
        <w:t>PolÍtica</w:t>
      </w:r>
      <w:r>
        <w:rPr>
          <w:spacing w:val="-39"/>
          <w:w w:val="140"/>
        </w:rPr>
        <w:t> </w:t>
      </w:r>
      <w:r>
        <w:rPr>
          <w:spacing w:val="2"/>
          <w:w w:val="140"/>
        </w:rPr>
        <w:t>exterior </w:t>
      </w:r>
      <w:r>
        <w:rPr>
          <w:w w:val="140"/>
        </w:rPr>
        <w:t>de</w:t>
      </w:r>
      <w:r>
        <w:rPr>
          <w:spacing w:val="-49"/>
          <w:w w:val="140"/>
        </w:rPr>
        <w:t> </w:t>
      </w:r>
      <w:r>
        <w:rPr>
          <w:w w:val="140"/>
        </w:rPr>
        <w:t>estados</w:t>
      </w:r>
      <w:r>
        <w:rPr>
          <w:spacing w:val="-49"/>
          <w:w w:val="140"/>
        </w:rPr>
        <w:t> </w:t>
      </w:r>
      <w:r>
        <w:rPr>
          <w:spacing w:val="2"/>
          <w:w w:val="140"/>
        </w:rPr>
        <w:t>unidos</w:t>
      </w:r>
    </w:p>
    <w:p>
      <w:pPr>
        <w:pStyle w:val="BodyText"/>
        <w:spacing w:line="252" w:lineRule="auto" w:before="5"/>
        <w:ind w:left="330" w:right="117"/>
        <w:jc w:val="both"/>
      </w:pPr>
      <w:r>
        <w:rPr>
          <w:w w:val="243"/>
        </w:rPr>
        <w:t>l</w:t>
      </w:r>
      <w:r>
        <w:rPr>
          <w:w w:val="110"/>
        </w:rPr>
        <w:t>o</w:t>
      </w:r>
      <w:r>
        <w:rPr/>
        <w:t>  </w:t>
      </w:r>
      <w:r>
        <w:rPr>
          <w:w w:val="109"/>
        </w:rPr>
        <w:t>primero</w:t>
      </w:r>
      <w:r>
        <w:rPr/>
        <w:t>  </w:t>
      </w:r>
      <w:r>
        <w:rPr>
          <w:w w:val="108"/>
        </w:rPr>
        <w:t>que</w:t>
      </w:r>
      <w:r>
        <w:rPr/>
        <w:t>  </w:t>
      </w:r>
      <w:r>
        <w:rPr>
          <w:w w:val="111"/>
        </w:rPr>
        <w:t>buscamos</w:t>
      </w:r>
      <w:r>
        <w:rPr/>
        <w:t>  </w:t>
      </w:r>
      <w:r>
        <w:rPr>
          <w:w w:val="110"/>
        </w:rPr>
        <w:t>aclarar</w:t>
      </w:r>
      <w:r>
        <w:rPr/>
        <w:t>  </w:t>
      </w:r>
      <w:r>
        <w:rPr>
          <w:w w:val="105"/>
        </w:rPr>
        <w:t>es</w:t>
      </w:r>
      <w:r>
        <w:rPr/>
        <w:t>  </w:t>
      </w:r>
      <w:r>
        <w:rPr>
          <w:w w:val="108"/>
        </w:rPr>
        <w:t>que</w:t>
      </w:r>
      <w:r>
        <w:rPr/>
        <w:t>  </w:t>
      </w:r>
      <w:r>
        <w:rPr>
          <w:w w:val="111"/>
        </w:rPr>
        <w:t>la</w:t>
      </w:r>
      <w:r>
        <w:rPr/>
        <w:t>  </w:t>
      </w:r>
      <w:r>
        <w:rPr>
          <w:w w:val="110"/>
        </w:rPr>
        <w:t>agenda</w:t>
      </w:r>
      <w:r>
        <w:rPr/>
        <w:t>  </w:t>
      </w:r>
      <w:r>
        <w:rPr>
          <w:w w:val="107"/>
        </w:rPr>
        <w:t>de</w:t>
      </w:r>
      <w:r>
        <w:rPr/>
        <w:t>  </w:t>
      </w:r>
      <w:r>
        <w:rPr>
          <w:w w:val="111"/>
        </w:rPr>
        <w:t>política</w:t>
      </w:r>
      <w:r>
        <w:rPr/>
        <w:t>  </w:t>
      </w:r>
      <w:r>
        <w:rPr>
          <w:w w:val="107"/>
        </w:rPr>
        <w:t>ex</w:t>
      </w:r>
      <w:r>
        <w:rPr>
          <w:w w:val="102"/>
        </w:rPr>
        <w:t>- </w:t>
      </w:r>
      <w:r>
        <w:rPr>
          <w:w w:val="110"/>
        </w:rPr>
        <w:t>terior de Estados unidos –incluso, podría decirse que “de cualquier país”– no es el resultado de la toma de decisiones de una sola persona</w:t>
      </w:r>
    </w:p>
    <w:p>
      <w:pPr>
        <w:spacing w:after="0" w:line="252" w:lineRule="auto"/>
        <w:jc w:val="both"/>
        <w:sectPr>
          <w:headerReference w:type="default" r:id="rId261"/>
          <w:headerReference w:type="even" r:id="rId262"/>
          <w:footerReference w:type="default" r:id="rId263"/>
          <w:footerReference w:type="even" r:id="rId264"/>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w w:val="110"/>
        </w:rPr>
        <w:t>como el presidente, ni de un solo grupo, ya sea un partido político, una empresa transnacional o bien un grupo de interés sino que es, en todo caso, el resultado de un proceso de negociación e intercambio    (y en algunas situaciones, construcción) de acuerdos entre diferentes grupos que poseen intereses, objetivos y mecanismos de incidencia</w:t>
      </w:r>
      <w:r>
        <w:rPr>
          <w:spacing w:val="-13"/>
          <w:w w:val="110"/>
        </w:rPr>
        <w:t> </w:t>
      </w:r>
      <w:r>
        <w:rPr>
          <w:w w:val="110"/>
        </w:rPr>
        <w:t>en el proceso de formulación de la política exterior de Estados unidos. resulta un “desacierto” analizar y evaluar las acciones y resultados de política exterior a partir de este enfoque reduccionista, pues si algo han demostrado la Ciencia Política, la sociología </w:t>
      </w:r>
      <w:r>
        <w:rPr>
          <w:spacing w:val="-11"/>
          <w:w w:val="110"/>
        </w:rPr>
        <w:t>y, </w:t>
      </w:r>
      <w:r>
        <w:rPr>
          <w:w w:val="110"/>
        </w:rPr>
        <w:t>desde luego, la Historia es que la realidad es mucho más compleja </w:t>
      </w:r>
      <w:r>
        <w:rPr>
          <w:spacing w:val="-11"/>
          <w:w w:val="110"/>
        </w:rPr>
        <w:t>y, </w:t>
      </w:r>
      <w:r>
        <w:rPr>
          <w:w w:val="110"/>
        </w:rPr>
        <w:t>por ende, la defi- nición de una agenda política-económica y geoestratégica no depende de la decisión de unas cuantas personas o de una sola institución –la Casa blanca, el Pentágono o el Consejo de seguridad Nacional)–, sino que es, por el contrario, el resultado de los acuerdos construidos</w:t>
      </w:r>
      <w:r>
        <w:rPr>
          <w:spacing w:val="-28"/>
          <w:w w:val="110"/>
        </w:rPr>
        <w:t> </w:t>
      </w:r>
      <w:r>
        <w:rPr>
          <w:w w:val="110"/>
        </w:rPr>
        <w:t>entre los diferentes actores, instituciones y niveles de</w:t>
      </w:r>
      <w:r>
        <w:rPr>
          <w:spacing w:val="27"/>
          <w:w w:val="110"/>
        </w:rPr>
        <w:t> </w:t>
      </w:r>
      <w:r>
        <w:rPr>
          <w:w w:val="110"/>
        </w:rPr>
        <w:t>gobierno.</w:t>
      </w:r>
    </w:p>
    <w:p>
      <w:pPr>
        <w:pStyle w:val="BodyText"/>
        <w:spacing w:line="252" w:lineRule="auto"/>
        <w:ind w:left="120" w:right="328" w:firstLine="396"/>
        <w:jc w:val="both"/>
        <w:rPr>
          <w:sz w:val="11"/>
        </w:rPr>
      </w:pPr>
      <w:r>
        <w:rPr>
          <w:w w:val="110"/>
        </w:rPr>
        <w:t>sin afán de profundizar más sobre esta advertencia, nos hemos permitido </w:t>
      </w:r>
      <w:r>
        <w:rPr>
          <w:spacing w:val="-3"/>
          <w:w w:val="110"/>
        </w:rPr>
        <w:t>recuperar, </w:t>
      </w:r>
      <w:r>
        <w:rPr>
          <w:w w:val="110"/>
        </w:rPr>
        <w:t>brevemente, algunas notas metodológicas esbo- zadas por el politólogo y filósofo estadounidense arthur </w:t>
      </w:r>
      <w:r>
        <w:rPr>
          <w:spacing w:val="-11"/>
          <w:w w:val="110"/>
        </w:rPr>
        <w:t>F.  </w:t>
      </w:r>
      <w:r>
        <w:rPr>
          <w:w w:val="110"/>
        </w:rPr>
        <w:t>bentley</w:t>
      </w:r>
      <w:r>
        <w:rPr>
          <w:w w:val="110"/>
          <w:position w:val="7"/>
          <w:sz w:val="11"/>
        </w:rPr>
        <w:t>2    </w:t>
      </w:r>
      <w:r>
        <w:rPr>
          <w:w w:val="110"/>
        </w:rPr>
        <w:t>en su obra titulada </w:t>
      </w:r>
      <w:r>
        <w:rPr>
          <w:i/>
          <w:w w:val="110"/>
        </w:rPr>
        <w:t>The Process of Government</w:t>
      </w:r>
      <w:r>
        <w:rPr>
          <w:w w:val="110"/>
        </w:rPr>
        <w:t>. El gran mérito de la obra de bentley sugiere aproximarse al estudio de lo político como un “proceso en el cual participan diferentes grupos que operan de cierta manera dependiendo del lugar y el tiempo” que se ha elegido </w:t>
      </w:r>
      <w:r>
        <w:rPr>
          <w:spacing w:val="-3"/>
          <w:w w:val="110"/>
        </w:rPr>
        <w:t>obser- </w:t>
      </w:r>
      <w:r>
        <w:rPr>
          <w:spacing w:val="-5"/>
          <w:w w:val="110"/>
        </w:rPr>
        <w:t>var.</w:t>
      </w:r>
      <w:r>
        <w:rPr>
          <w:spacing w:val="-5"/>
          <w:w w:val="110"/>
          <w:position w:val="7"/>
          <w:sz w:val="11"/>
        </w:rPr>
        <w:t>3 </w:t>
      </w:r>
      <w:r>
        <w:rPr>
          <w:w w:val="110"/>
        </w:rPr>
        <w:t>Por </w:t>
      </w:r>
      <w:r>
        <w:rPr>
          <w:i/>
          <w:w w:val="110"/>
        </w:rPr>
        <w:t>grupo </w:t>
      </w:r>
      <w:r>
        <w:rPr>
          <w:w w:val="110"/>
        </w:rPr>
        <w:t>debe entenderse “el conjunto de sujetos de una socie- dad que actúan de manera colectiva (</w:t>
      </w:r>
      <w:r>
        <w:rPr>
          <w:i/>
          <w:w w:val="110"/>
        </w:rPr>
        <w:t>mass activity</w:t>
      </w:r>
      <w:r>
        <w:rPr>
          <w:w w:val="110"/>
        </w:rPr>
        <w:t>) y no sólo como  una </w:t>
      </w:r>
      <w:r>
        <w:rPr>
          <w:i/>
          <w:w w:val="110"/>
        </w:rPr>
        <w:t>masa </w:t>
      </w:r>
      <w:r>
        <w:rPr>
          <w:w w:val="110"/>
        </w:rPr>
        <w:t>física agrupada (</w:t>
      </w:r>
      <w:r>
        <w:rPr>
          <w:i/>
          <w:w w:val="110"/>
        </w:rPr>
        <w:t>physical mass</w:t>
      </w:r>
      <w:r>
        <w:rPr>
          <w:w w:val="110"/>
        </w:rPr>
        <w:t>) que ha sido desprendida de otras masas”; sin embargo, la adhesión a cierto grupo “no descarta la posibilidad de que éstos participen –o se involucren– en las activida- des de otros</w:t>
      </w:r>
      <w:r>
        <w:rPr>
          <w:spacing w:val="6"/>
          <w:w w:val="110"/>
        </w:rPr>
        <w:t> </w:t>
      </w:r>
      <w:r>
        <w:rPr>
          <w:w w:val="110"/>
        </w:rPr>
        <w:t>grupos”.</w:t>
      </w:r>
      <w:r>
        <w:rPr>
          <w:w w:val="110"/>
          <w:position w:val="7"/>
          <w:sz w:val="11"/>
        </w:rPr>
        <w:t>4</w:t>
      </w:r>
    </w:p>
    <w:p>
      <w:pPr>
        <w:pStyle w:val="BodyText"/>
        <w:spacing w:line="252" w:lineRule="auto"/>
        <w:ind w:left="120" w:right="325" w:firstLine="396"/>
        <w:jc w:val="both"/>
      </w:pPr>
      <w:r>
        <w:rPr>
          <w:w w:val="110"/>
        </w:rPr>
        <w:t>bentley señala que cada uno de los </w:t>
      </w:r>
      <w:r>
        <w:rPr>
          <w:i/>
          <w:w w:val="110"/>
        </w:rPr>
        <w:t>grupos </w:t>
      </w:r>
      <w:r>
        <w:rPr>
          <w:w w:val="110"/>
        </w:rPr>
        <w:t>que componen una sociedad debe ser analizados de manera diferenciada, sobre todo cuando se trata de grupos políticos (</w:t>
      </w:r>
      <w:r>
        <w:rPr>
          <w:i/>
          <w:w w:val="110"/>
        </w:rPr>
        <w:t>political groups</w:t>
      </w:r>
      <w:r>
        <w:rPr>
          <w:w w:val="110"/>
        </w:rPr>
        <w:t>), que el autor encuentra marcadamente excepcionales frente a otros grupos, pues aquellos se caracterizan por “representar a otros grupos”, y esto los vuelve “fundamentales” para el estudio de lo político. un tercer ele-</w:t>
      </w:r>
    </w:p>
    <w:p>
      <w:pPr>
        <w:pStyle w:val="BodyText"/>
        <w:rPr>
          <w:sz w:val="20"/>
        </w:rPr>
      </w:pPr>
    </w:p>
    <w:p>
      <w:pPr>
        <w:pStyle w:val="BodyText"/>
        <w:spacing w:before="2"/>
        <w:rPr>
          <w:sz w:val="12"/>
        </w:rPr>
      </w:pPr>
      <w:r>
        <w:rPr/>
        <w:pict>
          <v:line style="position:absolute;mso-position-horizontal-relative:page;mso-position-vertical-relative:paragraph;z-index:4120;mso-wrap-distance-left:0;mso-wrap-distance-right:0" from="51.023602pt,9.365304pt" to="79.369602pt,9.365304pt" stroked="true" strokeweight=".5pt" strokecolor="#000000">
            <w10:wrap type="topAndBottom"/>
          </v:line>
        </w:pict>
      </w:r>
    </w:p>
    <w:p>
      <w:pPr>
        <w:pStyle w:val="ListParagraph"/>
        <w:numPr>
          <w:ilvl w:val="0"/>
          <w:numId w:val="11"/>
        </w:numPr>
        <w:tabs>
          <w:tab w:pos="376" w:val="left" w:leader="none"/>
        </w:tabs>
        <w:spacing w:line="242" w:lineRule="auto" w:before="89" w:after="0"/>
        <w:ind w:left="120" w:right="328" w:firstLine="0"/>
        <w:jc w:val="both"/>
        <w:rPr>
          <w:sz w:val="16"/>
        </w:rPr>
      </w:pPr>
      <w:r>
        <w:rPr>
          <w:w w:val="110"/>
          <w:sz w:val="16"/>
        </w:rPr>
        <w:t>si</w:t>
      </w:r>
      <w:r>
        <w:rPr>
          <w:spacing w:val="-9"/>
          <w:w w:val="110"/>
          <w:sz w:val="16"/>
        </w:rPr>
        <w:t> </w:t>
      </w:r>
      <w:r>
        <w:rPr>
          <w:w w:val="110"/>
          <w:sz w:val="16"/>
        </w:rPr>
        <w:t>bien</w:t>
      </w:r>
      <w:r>
        <w:rPr>
          <w:spacing w:val="-9"/>
          <w:w w:val="110"/>
          <w:sz w:val="16"/>
        </w:rPr>
        <w:t> </w:t>
      </w:r>
      <w:r>
        <w:rPr>
          <w:w w:val="110"/>
          <w:sz w:val="16"/>
        </w:rPr>
        <w:t>existen</w:t>
      </w:r>
      <w:r>
        <w:rPr>
          <w:spacing w:val="-9"/>
          <w:w w:val="110"/>
          <w:sz w:val="16"/>
        </w:rPr>
        <w:t> </w:t>
      </w:r>
      <w:r>
        <w:rPr>
          <w:w w:val="110"/>
          <w:sz w:val="16"/>
        </w:rPr>
        <w:t>otros</w:t>
      </w:r>
      <w:r>
        <w:rPr>
          <w:spacing w:val="-9"/>
          <w:w w:val="110"/>
          <w:sz w:val="16"/>
        </w:rPr>
        <w:t> </w:t>
      </w:r>
      <w:r>
        <w:rPr>
          <w:w w:val="110"/>
          <w:sz w:val="16"/>
        </w:rPr>
        <w:t>autores</w:t>
      </w:r>
      <w:r>
        <w:rPr>
          <w:spacing w:val="-9"/>
          <w:w w:val="110"/>
          <w:sz w:val="16"/>
        </w:rPr>
        <w:t> </w:t>
      </w:r>
      <w:r>
        <w:rPr>
          <w:w w:val="110"/>
          <w:sz w:val="16"/>
        </w:rPr>
        <w:t>tanto</w:t>
      </w:r>
      <w:r>
        <w:rPr>
          <w:spacing w:val="-9"/>
          <w:w w:val="110"/>
          <w:sz w:val="16"/>
        </w:rPr>
        <w:t> </w:t>
      </w:r>
      <w:r>
        <w:rPr>
          <w:w w:val="110"/>
          <w:sz w:val="16"/>
        </w:rPr>
        <w:t>europeos</w:t>
      </w:r>
      <w:r>
        <w:rPr>
          <w:spacing w:val="-9"/>
          <w:w w:val="110"/>
          <w:sz w:val="16"/>
        </w:rPr>
        <w:t> </w:t>
      </w:r>
      <w:r>
        <w:rPr>
          <w:w w:val="110"/>
          <w:sz w:val="16"/>
        </w:rPr>
        <w:t>como</w:t>
      </w:r>
      <w:r>
        <w:rPr>
          <w:spacing w:val="-9"/>
          <w:w w:val="110"/>
          <w:sz w:val="16"/>
        </w:rPr>
        <w:t> </w:t>
      </w:r>
      <w:r>
        <w:rPr>
          <w:w w:val="110"/>
          <w:sz w:val="16"/>
        </w:rPr>
        <w:t>latinoamericanos</w:t>
      </w:r>
      <w:r>
        <w:rPr>
          <w:spacing w:val="-9"/>
          <w:w w:val="110"/>
          <w:sz w:val="16"/>
        </w:rPr>
        <w:t> </w:t>
      </w:r>
      <w:r>
        <w:rPr>
          <w:w w:val="110"/>
          <w:sz w:val="16"/>
        </w:rPr>
        <w:t>que</w:t>
      </w:r>
      <w:r>
        <w:rPr>
          <w:spacing w:val="-9"/>
          <w:w w:val="110"/>
          <w:sz w:val="16"/>
        </w:rPr>
        <w:t> </w:t>
      </w:r>
      <w:r>
        <w:rPr>
          <w:w w:val="110"/>
          <w:sz w:val="16"/>
        </w:rPr>
        <w:t>también han abordado el tema de las élites y los grupos en el poder; se ha optado por recu- perar a un autor estadounidense que es referencia tanto en los círculos académicos como políticos en Estados unidos desde hace más de cien años y que, por otro lado, nos</w:t>
      </w:r>
      <w:r>
        <w:rPr>
          <w:spacing w:val="-10"/>
          <w:w w:val="110"/>
          <w:sz w:val="16"/>
        </w:rPr>
        <w:t> </w:t>
      </w:r>
      <w:r>
        <w:rPr>
          <w:w w:val="110"/>
          <w:sz w:val="16"/>
        </w:rPr>
        <w:t>permite</w:t>
      </w:r>
      <w:r>
        <w:rPr>
          <w:spacing w:val="-10"/>
          <w:w w:val="110"/>
          <w:sz w:val="16"/>
        </w:rPr>
        <w:t> </w:t>
      </w:r>
      <w:r>
        <w:rPr>
          <w:w w:val="110"/>
          <w:sz w:val="16"/>
        </w:rPr>
        <w:t>rescatar</w:t>
      </w:r>
      <w:r>
        <w:rPr>
          <w:spacing w:val="-10"/>
          <w:w w:val="110"/>
          <w:sz w:val="16"/>
        </w:rPr>
        <w:t> </w:t>
      </w:r>
      <w:r>
        <w:rPr>
          <w:w w:val="110"/>
          <w:sz w:val="16"/>
        </w:rPr>
        <w:t>las</w:t>
      </w:r>
      <w:r>
        <w:rPr>
          <w:spacing w:val="-10"/>
          <w:w w:val="110"/>
          <w:sz w:val="16"/>
        </w:rPr>
        <w:t> </w:t>
      </w:r>
      <w:r>
        <w:rPr>
          <w:w w:val="110"/>
          <w:sz w:val="16"/>
        </w:rPr>
        <w:t>ideas</w:t>
      </w:r>
      <w:r>
        <w:rPr>
          <w:spacing w:val="-10"/>
          <w:w w:val="110"/>
          <w:sz w:val="16"/>
        </w:rPr>
        <w:t> </w:t>
      </w:r>
      <w:r>
        <w:rPr>
          <w:w w:val="110"/>
          <w:sz w:val="16"/>
        </w:rPr>
        <w:t>del</w:t>
      </w:r>
      <w:r>
        <w:rPr>
          <w:spacing w:val="-10"/>
          <w:w w:val="110"/>
          <w:sz w:val="16"/>
        </w:rPr>
        <w:t> </w:t>
      </w:r>
      <w:r>
        <w:rPr>
          <w:w w:val="110"/>
          <w:sz w:val="16"/>
        </w:rPr>
        <w:t>autor</w:t>
      </w:r>
      <w:r>
        <w:rPr>
          <w:spacing w:val="-10"/>
          <w:w w:val="110"/>
          <w:sz w:val="16"/>
        </w:rPr>
        <w:t> </w:t>
      </w:r>
      <w:r>
        <w:rPr>
          <w:w w:val="110"/>
          <w:sz w:val="16"/>
        </w:rPr>
        <w:t>desde</w:t>
      </w:r>
      <w:r>
        <w:rPr>
          <w:spacing w:val="-10"/>
          <w:w w:val="110"/>
          <w:sz w:val="16"/>
        </w:rPr>
        <w:t> </w:t>
      </w:r>
      <w:r>
        <w:rPr>
          <w:w w:val="110"/>
          <w:sz w:val="16"/>
        </w:rPr>
        <w:t>su</w:t>
      </w:r>
      <w:r>
        <w:rPr>
          <w:spacing w:val="-10"/>
          <w:w w:val="110"/>
          <w:sz w:val="16"/>
        </w:rPr>
        <w:t> </w:t>
      </w:r>
      <w:r>
        <w:rPr>
          <w:w w:val="110"/>
          <w:sz w:val="16"/>
        </w:rPr>
        <w:t>inmediatez</w:t>
      </w:r>
      <w:r>
        <w:rPr>
          <w:spacing w:val="-10"/>
          <w:w w:val="110"/>
          <w:sz w:val="16"/>
        </w:rPr>
        <w:t> </w:t>
      </w:r>
      <w:r>
        <w:rPr>
          <w:w w:val="110"/>
          <w:sz w:val="16"/>
        </w:rPr>
        <w:t>estadounidense.</w:t>
      </w:r>
    </w:p>
    <w:p>
      <w:pPr>
        <w:pStyle w:val="ListParagraph"/>
        <w:numPr>
          <w:ilvl w:val="0"/>
          <w:numId w:val="11"/>
        </w:numPr>
        <w:tabs>
          <w:tab w:pos="376" w:val="left" w:leader="none"/>
        </w:tabs>
        <w:spacing w:line="242" w:lineRule="auto" w:before="57" w:after="0"/>
        <w:ind w:left="120" w:right="328" w:firstLine="0"/>
        <w:jc w:val="both"/>
        <w:rPr>
          <w:sz w:val="16"/>
        </w:rPr>
      </w:pPr>
      <w:r>
        <w:rPr>
          <w:w w:val="110"/>
          <w:sz w:val="16"/>
        </w:rPr>
        <w:t>arthur </w:t>
      </w:r>
      <w:r>
        <w:rPr>
          <w:spacing w:val="-9"/>
          <w:w w:val="110"/>
          <w:sz w:val="16"/>
        </w:rPr>
        <w:t>F. </w:t>
      </w:r>
      <w:r>
        <w:rPr>
          <w:spacing w:val="-3"/>
          <w:w w:val="110"/>
          <w:sz w:val="16"/>
        </w:rPr>
        <w:t>bentley, </w:t>
      </w:r>
      <w:r>
        <w:rPr>
          <w:w w:val="110"/>
          <w:sz w:val="16"/>
        </w:rPr>
        <w:t>“Group activities”, </w:t>
      </w:r>
      <w:r>
        <w:rPr>
          <w:i/>
          <w:w w:val="110"/>
          <w:sz w:val="16"/>
        </w:rPr>
        <w:t>The Process of Government</w:t>
      </w:r>
      <w:r>
        <w:rPr>
          <w:w w:val="110"/>
          <w:sz w:val="16"/>
        </w:rPr>
        <w:t>, the belknap Press of Harvard university Press, Cambridge, Massachussets, p.</w:t>
      </w:r>
      <w:r>
        <w:rPr>
          <w:spacing w:val="-13"/>
          <w:w w:val="110"/>
          <w:sz w:val="16"/>
        </w:rPr>
        <w:t> </w:t>
      </w:r>
      <w:r>
        <w:rPr>
          <w:w w:val="110"/>
          <w:sz w:val="16"/>
        </w:rPr>
        <w:t>209.</w:t>
      </w:r>
    </w:p>
    <w:p>
      <w:pPr>
        <w:pStyle w:val="ListParagraph"/>
        <w:numPr>
          <w:ilvl w:val="0"/>
          <w:numId w:val="11"/>
        </w:numPr>
        <w:tabs>
          <w:tab w:pos="376" w:val="left" w:leader="none"/>
        </w:tabs>
        <w:spacing w:line="240" w:lineRule="auto" w:before="57" w:after="0"/>
        <w:ind w:left="375" w:right="0" w:hanging="255"/>
        <w:jc w:val="both"/>
        <w:rPr>
          <w:sz w:val="16"/>
        </w:rPr>
      </w:pPr>
      <w:r>
        <w:rPr>
          <w:i/>
          <w:w w:val="110"/>
          <w:sz w:val="16"/>
        </w:rPr>
        <w:t>Ibídem</w:t>
      </w:r>
      <w:r>
        <w:rPr>
          <w:w w:val="110"/>
          <w:sz w:val="16"/>
        </w:rPr>
        <w:t>, p.</w:t>
      </w:r>
      <w:r>
        <w:rPr>
          <w:spacing w:val="8"/>
          <w:w w:val="110"/>
          <w:sz w:val="16"/>
        </w:rPr>
        <w:t> </w:t>
      </w:r>
      <w:r>
        <w:rPr>
          <w:w w:val="110"/>
          <w:sz w:val="16"/>
        </w:rPr>
        <w:t>210.</w:t>
      </w:r>
    </w:p>
    <w:p>
      <w:pPr>
        <w:spacing w:after="0" w:line="240"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6"/>
        <w:jc w:val="both"/>
        <w:rPr>
          <w:sz w:val="11"/>
        </w:rPr>
      </w:pPr>
      <w:r>
        <w:rPr>
          <w:w w:val="110"/>
        </w:rPr>
        <w:t>mento a destacar por bentley son las “acciones colectivas” (</w:t>
      </w:r>
      <w:r>
        <w:rPr>
          <w:i/>
          <w:w w:val="110"/>
        </w:rPr>
        <w:t>political </w:t>
      </w:r>
      <w:r>
        <w:rPr>
          <w:i/>
          <w:w w:val="110"/>
        </w:rPr>
        <w:t>actions</w:t>
      </w:r>
      <w:r>
        <w:rPr>
          <w:w w:val="110"/>
        </w:rPr>
        <w:t>) pues éstas “representan –de manera oculta o invisible–  a otros grupos e intereses”, que no tienen un carácter visible en el proceso político (</w:t>
      </w:r>
      <w:r>
        <w:rPr>
          <w:i/>
          <w:w w:val="110"/>
        </w:rPr>
        <w:t>underlying groups</w:t>
      </w:r>
      <w:r>
        <w:rPr>
          <w:w w:val="110"/>
        </w:rPr>
        <w:t>); y sobre todo de aquellos gru- pos que, por su pertenencia a otras esferas de la vida política, han  sido adscritos a la esfera económica, financiera, militar, social, etc. (</w:t>
      </w:r>
      <w:r>
        <w:rPr>
          <w:i/>
          <w:w w:val="110"/>
        </w:rPr>
        <w:t>lower-lying political</w:t>
      </w:r>
      <w:r>
        <w:rPr>
          <w:i/>
          <w:spacing w:val="-12"/>
          <w:w w:val="110"/>
        </w:rPr>
        <w:t> </w:t>
      </w:r>
      <w:r>
        <w:rPr>
          <w:i/>
          <w:w w:val="110"/>
        </w:rPr>
        <w:t>groups</w:t>
      </w:r>
      <w:r>
        <w:rPr>
          <w:w w:val="110"/>
        </w:rPr>
        <w:t>).</w:t>
      </w:r>
      <w:r>
        <w:rPr>
          <w:w w:val="110"/>
          <w:position w:val="7"/>
          <w:sz w:val="11"/>
        </w:rPr>
        <w:t>5</w:t>
      </w:r>
    </w:p>
    <w:p>
      <w:pPr>
        <w:pStyle w:val="BodyText"/>
        <w:spacing w:line="252" w:lineRule="auto"/>
        <w:ind w:left="330" w:right="117" w:firstLine="453"/>
        <w:jc w:val="both"/>
      </w:pPr>
      <w:r>
        <w:rPr>
          <w:w w:val="110"/>
        </w:rPr>
        <w:t>Es decir, recuperar la tesis de bentley es de mucha utilidad para evitar caer en el error de dar crédito a un solo grupo como represen- tante o actor único de la sociedad estadounidense, al contrario, es im- prescindible descubrir todos aquellos grupos –políticos y no políticos, evidentes y ocultos– cuyas conductas, procederes e intereses influyen en el proceso de gobierno y, por ende, de la formulación de la agenda de política tanto interna (</w:t>
      </w:r>
      <w:r>
        <w:rPr>
          <w:i/>
          <w:w w:val="110"/>
        </w:rPr>
        <w:t>domestic</w:t>
      </w:r>
      <w:r>
        <w:rPr>
          <w:w w:val="110"/>
        </w:rPr>
        <w:t>) como externa (</w:t>
      </w:r>
      <w:r>
        <w:rPr>
          <w:i/>
          <w:w w:val="110"/>
        </w:rPr>
        <w:t>foreign</w:t>
      </w:r>
      <w:r>
        <w:rPr>
          <w:w w:val="110"/>
        </w:rPr>
        <w:t>).</w:t>
      </w:r>
    </w:p>
    <w:p>
      <w:pPr>
        <w:pStyle w:val="BodyText"/>
        <w:spacing w:line="252" w:lineRule="auto"/>
        <w:ind w:left="330" w:right="117" w:firstLine="396"/>
        <w:jc w:val="both"/>
      </w:pPr>
      <w:r>
        <w:rPr>
          <w:w w:val="243"/>
        </w:rPr>
        <w:t>l</w:t>
      </w:r>
      <w:r>
        <w:rPr>
          <w:w w:val="112"/>
        </w:rPr>
        <w:t>a</w:t>
      </w:r>
      <w:r>
        <w:rPr>
          <w:spacing w:val="11"/>
        </w:rPr>
        <w:t> </w:t>
      </w:r>
      <w:r>
        <w:rPr>
          <w:w w:val="107"/>
        </w:rPr>
        <w:t>tercera</w:t>
      </w:r>
      <w:r>
        <w:rPr>
          <w:spacing w:val="11"/>
        </w:rPr>
        <w:t> </w:t>
      </w:r>
      <w:r>
        <w:rPr>
          <w:w w:val="109"/>
        </w:rPr>
        <w:t>sugerencia</w:t>
      </w:r>
      <w:r>
        <w:rPr>
          <w:spacing w:val="11"/>
        </w:rPr>
        <w:t> </w:t>
      </w:r>
      <w:r>
        <w:rPr>
          <w:w w:val="110"/>
        </w:rPr>
        <w:t>metodológica</w:t>
      </w:r>
      <w:r>
        <w:rPr>
          <w:spacing w:val="11"/>
        </w:rPr>
        <w:t> </w:t>
      </w:r>
      <w:r>
        <w:rPr>
          <w:w w:val="109"/>
        </w:rPr>
        <w:t>bentleyana</w:t>
      </w:r>
      <w:r>
        <w:rPr>
          <w:spacing w:val="11"/>
        </w:rPr>
        <w:t> </w:t>
      </w:r>
      <w:r>
        <w:rPr>
          <w:w w:val="109"/>
        </w:rPr>
        <w:t>sentencia</w:t>
      </w:r>
      <w:r>
        <w:rPr>
          <w:spacing w:val="11"/>
        </w:rPr>
        <w:t> </w:t>
      </w:r>
      <w:r>
        <w:rPr>
          <w:w w:val="108"/>
        </w:rPr>
        <w:t>que</w:t>
      </w:r>
      <w:r>
        <w:rPr>
          <w:spacing w:val="11"/>
        </w:rPr>
        <w:t> </w:t>
      </w:r>
      <w:r>
        <w:rPr>
          <w:w w:val="108"/>
        </w:rPr>
        <w:t>“es </w:t>
      </w:r>
      <w:r>
        <w:rPr>
          <w:w w:val="110"/>
        </w:rPr>
        <w:t>imposible que exista un grupo que no posea –manifieste o busque– un </w:t>
      </w:r>
      <w:r>
        <w:rPr>
          <w:i/>
          <w:w w:val="110"/>
        </w:rPr>
        <w:t>interés</w:t>
      </w:r>
      <w:r>
        <w:rPr>
          <w:w w:val="110"/>
        </w:rPr>
        <w:t>”; y aquí, aunque el término </w:t>
      </w:r>
      <w:r>
        <w:rPr>
          <w:i/>
          <w:w w:val="110"/>
        </w:rPr>
        <w:t>interés </w:t>
      </w:r>
      <w:r>
        <w:rPr>
          <w:w w:val="110"/>
        </w:rPr>
        <w:t>siempre ha adquirido una mayor connotación económica, lo que bentley nos dice es que debe admitirse la existencia de intereses variados, compuestos o mixtos (</w:t>
      </w:r>
      <w:r>
        <w:rPr>
          <w:i/>
          <w:w w:val="110"/>
        </w:rPr>
        <w:t>multiform interests</w:t>
      </w:r>
      <w:r>
        <w:rPr>
          <w:w w:val="110"/>
        </w:rPr>
        <w:t>).</w:t>
      </w:r>
      <w:r>
        <w:rPr>
          <w:w w:val="110"/>
          <w:position w:val="7"/>
          <w:sz w:val="11"/>
        </w:rPr>
        <w:t>6 </w:t>
      </w:r>
      <w:r>
        <w:rPr>
          <w:w w:val="110"/>
        </w:rPr>
        <w:t>otras de las recomendaciones que hace bentley para analizar y comprender los grupos de presión que participan en</w:t>
      </w:r>
      <w:r>
        <w:rPr>
          <w:spacing w:val="-17"/>
          <w:w w:val="110"/>
        </w:rPr>
        <w:t> </w:t>
      </w:r>
      <w:r>
        <w:rPr>
          <w:w w:val="110"/>
        </w:rPr>
        <w:t>el proceso de gobierno (toma de decisiones) consiste en identificar qué tipo de grupos intervienen y cómo o de qué manera participan en la política, pues estos son dinámicos, es </w:t>
      </w:r>
      <w:r>
        <w:rPr>
          <w:spacing w:val="-4"/>
          <w:w w:val="110"/>
        </w:rPr>
        <w:t>decir, </w:t>
      </w:r>
      <w:r>
        <w:rPr>
          <w:w w:val="110"/>
        </w:rPr>
        <w:t>existe un sistema de rota- ción que hace que éstos desarrollen un movimiento de rotación con el paso del tiempo.</w:t>
      </w:r>
      <w:r>
        <w:rPr>
          <w:w w:val="110"/>
          <w:position w:val="7"/>
          <w:sz w:val="11"/>
        </w:rPr>
        <w:t>7 </w:t>
      </w:r>
      <w:r>
        <w:rPr>
          <w:w w:val="110"/>
        </w:rPr>
        <w:t>si bien, este planteamiento parece lógico de acuerdo a lo expuesto por la teoría de la “circulación de las élites” esbozada por Vilfredo Pareto; ni las élites en el poder ni los grupos dominantes en el proceso de gobierno desaparecen por completo al ser</w:t>
      </w:r>
      <w:r>
        <w:rPr>
          <w:spacing w:val="-20"/>
          <w:w w:val="110"/>
        </w:rPr>
        <w:t> </w:t>
      </w:r>
      <w:r>
        <w:rPr>
          <w:w w:val="110"/>
        </w:rPr>
        <w:t>sustituidas por élites y/o grupos nuevos o distintos, lo que se modifica es el gra- do de influencia y de participación que tienen en el mercado político  y la manera en que se relacionan con otros grupos, sobre todo con aquellos que han adquirido mayor peso en comparación a una fase anterior del</w:t>
      </w:r>
      <w:r>
        <w:rPr>
          <w:spacing w:val="6"/>
          <w:w w:val="110"/>
        </w:rPr>
        <w:t> </w:t>
      </w:r>
      <w:r>
        <w:rPr>
          <w:w w:val="110"/>
        </w:rPr>
        <w:t>proceso.</w:t>
      </w:r>
    </w:p>
    <w:p>
      <w:pPr>
        <w:pStyle w:val="BodyText"/>
        <w:spacing w:line="252" w:lineRule="auto"/>
        <w:ind w:left="330" w:right="118" w:firstLine="396"/>
        <w:jc w:val="both"/>
      </w:pPr>
      <w:r>
        <w:rPr>
          <w:w w:val="110"/>
        </w:rPr>
        <w:t>Por último, bentley sentencia que “cualquier acto en el proceso  de gobierno es producto de la presión de unos grupos de interés</w:t>
      </w:r>
      <w:r>
        <w:rPr>
          <w:spacing w:val="-31"/>
          <w:w w:val="110"/>
        </w:rPr>
        <w:t> </w:t>
      </w:r>
      <w:r>
        <w:rPr>
          <w:w w:val="110"/>
        </w:rPr>
        <w:t>sobre</w:t>
      </w:r>
    </w:p>
    <w:p>
      <w:pPr>
        <w:pStyle w:val="BodyText"/>
        <w:spacing w:before="8"/>
        <w:rPr>
          <w:sz w:val="24"/>
        </w:rPr>
      </w:pPr>
      <w:r>
        <w:rPr/>
        <w:pict>
          <v:line style="position:absolute;mso-position-horizontal-relative:page;mso-position-vertical-relative:paragraph;z-index:4144;mso-wrap-distance-left:0;mso-wrap-distance-right:0" from="76.5354pt,16.697929pt" to="104.8814pt,16.697929pt" stroked="true" strokeweight=".5pt" strokecolor="#000000">
            <w10:wrap type="topAndBottom"/>
          </v:line>
        </w:pict>
      </w:r>
    </w:p>
    <w:p>
      <w:pPr>
        <w:pStyle w:val="ListParagraph"/>
        <w:numPr>
          <w:ilvl w:val="0"/>
          <w:numId w:val="11"/>
        </w:numPr>
        <w:tabs>
          <w:tab w:pos="586" w:val="left" w:leader="none"/>
        </w:tabs>
        <w:spacing w:line="242" w:lineRule="auto" w:before="89" w:after="0"/>
        <w:ind w:left="330" w:right="118" w:firstLine="0"/>
        <w:jc w:val="both"/>
        <w:rPr>
          <w:sz w:val="16"/>
        </w:rPr>
      </w:pPr>
      <w:r>
        <w:rPr>
          <w:w w:val="105"/>
          <w:sz w:val="16"/>
        </w:rPr>
        <w:t>algunos de esos grupos “invisibles” pueden ser las empresas transnacionales, los grupos de presión, los grupos de cabildeo (lobbies), los partidos políticos (o faccio- </w:t>
      </w:r>
      <w:r>
        <w:rPr>
          <w:spacing w:val="37"/>
          <w:w w:val="105"/>
          <w:sz w:val="16"/>
        </w:rPr>
        <w:t> </w:t>
      </w:r>
      <w:r>
        <w:rPr>
          <w:w w:val="105"/>
          <w:sz w:val="16"/>
        </w:rPr>
        <w:t>nes partidistas), comités en el Congreso, organizaciones no gubernamentales o de la sociedad  civil,</w:t>
      </w:r>
      <w:r>
        <w:rPr>
          <w:spacing w:val="27"/>
          <w:w w:val="105"/>
          <w:sz w:val="16"/>
        </w:rPr>
        <w:t> </w:t>
      </w:r>
      <w:r>
        <w:rPr>
          <w:w w:val="105"/>
          <w:sz w:val="16"/>
        </w:rPr>
        <w:t>etc.</w:t>
      </w:r>
    </w:p>
    <w:p>
      <w:pPr>
        <w:spacing w:before="57"/>
        <w:ind w:left="330" w:right="0" w:firstLine="0"/>
        <w:jc w:val="both"/>
        <w:rPr>
          <w:sz w:val="16"/>
        </w:rPr>
      </w:pPr>
      <w:r>
        <w:rPr>
          <w:w w:val="115"/>
          <w:sz w:val="16"/>
        </w:rPr>
        <w:t>6   </w:t>
      </w:r>
      <w:r>
        <w:rPr>
          <w:i/>
          <w:w w:val="115"/>
          <w:sz w:val="16"/>
        </w:rPr>
        <w:t>Ídem</w:t>
      </w:r>
      <w:r>
        <w:rPr>
          <w:w w:val="115"/>
          <w:sz w:val="16"/>
        </w:rPr>
        <w:t>, p. 212.</w:t>
      </w:r>
    </w:p>
    <w:p>
      <w:pPr>
        <w:spacing w:before="59"/>
        <w:ind w:left="330" w:right="0" w:firstLine="0"/>
        <w:jc w:val="both"/>
        <w:rPr>
          <w:sz w:val="16"/>
        </w:rPr>
      </w:pPr>
      <w:r>
        <w:rPr>
          <w:w w:val="115"/>
          <w:sz w:val="16"/>
        </w:rPr>
        <w:t>7   </w:t>
      </w:r>
      <w:r>
        <w:rPr>
          <w:i/>
          <w:w w:val="115"/>
          <w:sz w:val="16"/>
        </w:rPr>
        <w:t>Ídem</w:t>
      </w:r>
      <w:r>
        <w:rPr>
          <w:w w:val="115"/>
          <w:sz w:val="16"/>
        </w:rPr>
        <w:t>, p. 210.</w:t>
      </w:r>
    </w:p>
    <w:p>
      <w:pPr>
        <w:spacing w:after="0"/>
        <w:jc w:val="both"/>
        <w:rPr>
          <w:sz w:val="16"/>
        </w:rPr>
        <w:sectPr>
          <w:footerReference w:type="default" r:id="rId265"/>
          <w:footerReference w:type="even" r:id="rId266"/>
          <w:pgSz w:w="8790" w:h="12760"/>
          <w:pgMar w:footer="725" w:header="697" w:top="880" w:bottom="920" w:left="1200" w:right="900"/>
        </w:sectPr>
      </w:pPr>
    </w:p>
    <w:p>
      <w:pPr>
        <w:pStyle w:val="BodyText"/>
        <w:spacing w:before="9"/>
        <w:rPr>
          <w:sz w:val="28"/>
        </w:rPr>
      </w:pPr>
    </w:p>
    <w:p>
      <w:pPr>
        <w:pStyle w:val="BodyText"/>
        <w:spacing w:line="252" w:lineRule="auto" w:before="73"/>
        <w:ind w:left="120" w:right="328"/>
        <w:jc w:val="both"/>
        <w:rPr>
          <w:sz w:val="11"/>
        </w:rPr>
      </w:pPr>
      <w:r>
        <w:rPr>
          <w:w w:val="110"/>
        </w:rPr>
        <w:t>otros,</w:t>
      </w:r>
      <w:r>
        <w:rPr>
          <w:spacing w:val="-10"/>
          <w:w w:val="110"/>
        </w:rPr>
        <w:t> </w:t>
      </w:r>
      <w:r>
        <w:rPr>
          <w:w w:val="110"/>
        </w:rPr>
        <w:t>la</w:t>
      </w:r>
      <w:r>
        <w:rPr>
          <w:spacing w:val="-10"/>
          <w:w w:val="110"/>
        </w:rPr>
        <w:t> </w:t>
      </w:r>
      <w:r>
        <w:rPr>
          <w:w w:val="110"/>
        </w:rPr>
        <w:t>formación</w:t>
      </w:r>
      <w:r>
        <w:rPr>
          <w:spacing w:val="-10"/>
          <w:w w:val="110"/>
        </w:rPr>
        <w:t> </w:t>
      </w:r>
      <w:r>
        <w:rPr>
          <w:w w:val="110"/>
        </w:rPr>
        <w:t>de</w:t>
      </w:r>
      <w:r>
        <w:rPr>
          <w:spacing w:val="-10"/>
          <w:w w:val="110"/>
        </w:rPr>
        <w:t> </w:t>
      </w:r>
      <w:r>
        <w:rPr>
          <w:w w:val="110"/>
        </w:rPr>
        <w:t>nuevos</w:t>
      </w:r>
      <w:r>
        <w:rPr>
          <w:spacing w:val="-10"/>
          <w:w w:val="110"/>
        </w:rPr>
        <w:t> </w:t>
      </w:r>
      <w:r>
        <w:rPr>
          <w:w w:val="110"/>
        </w:rPr>
        <w:t>grupos</w:t>
      </w:r>
      <w:r>
        <w:rPr>
          <w:spacing w:val="-10"/>
          <w:w w:val="110"/>
        </w:rPr>
        <w:t> </w:t>
      </w:r>
      <w:r>
        <w:rPr>
          <w:w w:val="110"/>
        </w:rPr>
        <w:t>y</w:t>
      </w:r>
      <w:r>
        <w:rPr>
          <w:spacing w:val="-10"/>
          <w:w w:val="110"/>
        </w:rPr>
        <w:t> </w:t>
      </w:r>
      <w:r>
        <w:rPr>
          <w:w w:val="110"/>
        </w:rPr>
        <w:t>la</w:t>
      </w:r>
      <w:r>
        <w:rPr>
          <w:spacing w:val="-10"/>
          <w:w w:val="110"/>
        </w:rPr>
        <w:t> </w:t>
      </w:r>
      <w:r>
        <w:rPr>
          <w:w w:val="110"/>
        </w:rPr>
        <w:t>expulsión</w:t>
      </w:r>
      <w:r>
        <w:rPr>
          <w:spacing w:val="-10"/>
          <w:w w:val="110"/>
        </w:rPr>
        <w:t> </w:t>
      </w:r>
      <w:r>
        <w:rPr>
          <w:w w:val="110"/>
        </w:rPr>
        <w:t>de</w:t>
      </w:r>
      <w:r>
        <w:rPr>
          <w:spacing w:val="-10"/>
          <w:w w:val="110"/>
        </w:rPr>
        <w:t> </w:t>
      </w:r>
      <w:r>
        <w:rPr>
          <w:w w:val="110"/>
        </w:rPr>
        <w:t>otros</w:t>
      </w:r>
      <w:r>
        <w:rPr>
          <w:spacing w:val="-10"/>
          <w:w w:val="110"/>
        </w:rPr>
        <w:t> </w:t>
      </w:r>
      <w:r>
        <w:rPr>
          <w:w w:val="110"/>
        </w:rPr>
        <w:t>a</w:t>
      </w:r>
      <w:r>
        <w:rPr>
          <w:spacing w:val="-10"/>
          <w:w w:val="110"/>
        </w:rPr>
        <w:t> </w:t>
      </w:r>
      <w:r>
        <w:rPr>
          <w:w w:val="110"/>
        </w:rPr>
        <w:t>través</w:t>
      </w:r>
      <w:r>
        <w:rPr>
          <w:spacing w:val="-10"/>
          <w:w w:val="110"/>
        </w:rPr>
        <w:t> </w:t>
      </w:r>
      <w:r>
        <w:rPr>
          <w:w w:val="110"/>
        </w:rPr>
        <w:t>de mecanismos</w:t>
      </w:r>
      <w:r>
        <w:rPr>
          <w:spacing w:val="-11"/>
          <w:w w:val="110"/>
        </w:rPr>
        <w:t> </w:t>
      </w:r>
      <w:r>
        <w:rPr>
          <w:w w:val="110"/>
        </w:rPr>
        <w:t>de</w:t>
      </w:r>
      <w:r>
        <w:rPr>
          <w:spacing w:val="-11"/>
          <w:w w:val="110"/>
        </w:rPr>
        <w:t> </w:t>
      </w:r>
      <w:r>
        <w:rPr>
          <w:w w:val="110"/>
        </w:rPr>
        <w:t>ajuste</w:t>
      </w:r>
      <w:r>
        <w:rPr>
          <w:spacing w:val="-11"/>
          <w:w w:val="110"/>
        </w:rPr>
        <w:t> </w:t>
      </w:r>
      <w:r>
        <w:rPr>
          <w:w w:val="110"/>
        </w:rPr>
        <w:t>que</w:t>
      </w:r>
      <w:r>
        <w:rPr>
          <w:spacing w:val="-11"/>
          <w:w w:val="110"/>
        </w:rPr>
        <w:t> </w:t>
      </w:r>
      <w:r>
        <w:rPr>
          <w:w w:val="110"/>
        </w:rPr>
        <w:t>ellos</w:t>
      </w:r>
      <w:r>
        <w:rPr>
          <w:spacing w:val="-11"/>
          <w:w w:val="110"/>
        </w:rPr>
        <w:t> </w:t>
      </w:r>
      <w:r>
        <w:rPr>
          <w:w w:val="110"/>
        </w:rPr>
        <w:t>mismos</w:t>
      </w:r>
      <w:r>
        <w:rPr>
          <w:spacing w:val="-11"/>
          <w:w w:val="110"/>
        </w:rPr>
        <w:t> </w:t>
      </w:r>
      <w:r>
        <w:rPr>
          <w:w w:val="110"/>
        </w:rPr>
        <w:t>generan</w:t>
      </w:r>
      <w:r>
        <w:rPr>
          <w:spacing w:val="-11"/>
          <w:w w:val="110"/>
        </w:rPr>
        <w:t> </w:t>
      </w:r>
      <w:r>
        <w:rPr>
          <w:w w:val="110"/>
        </w:rPr>
        <w:t>al</w:t>
      </w:r>
      <w:r>
        <w:rPr>
          <w:spacing w:val="-11"/>
          <w:w w:val="110"/>
        </w:rPr>
        <w:t> </w:t>
      </w:r>
      <w:r>
        <w:rPr>
          <w:w w:val="110"/>
        </w:rPr>
        <w:t>interior</w:t>
      </w:r>
      <w:r>
        <w:rPr>
          <w:spacing w:val="-11"/>
          <w:w w:val="110"/>
        </w:rPr>
        <w:t> </w:t>
      </w:r>
      <w:r>
        <w:rPr>
          <w:w w:val="110"/>
        </w:rPr>
        <w:t>de</w:t>
      </w:r>
      <w:r>
        <w:rPr>
          <w:spacing w:val="-11"/>
          <w:w w:val="110"/>
        </w:rPr>
        <w:t> </w:t>
      </w:r>
      <w:r>
        <w:rPr>
          <w:w w:val="110"/>
        </w:rPr>
        <w:t>las</w:t>
      </w:r>
      <w:r>
        <w:rPr>
          <w:spacing w:val="-11"/>
          <w:w w:val="110"/>
        </w:rPr>
        <w:t> </w:t>
      </w:r>
      <w:r>
        <w:rPr>
          <w:w w:val="110"/>
        </w:rPr>
        <w:t>agen- cias</w:t>
      </w:r>
      <w:r>
        <w:rPr>
          <w:spacing w:val="-8"/>
          <w:w w:val="110"/>
        </w:rPr>
        <w:t> </w:t>
      </w:r>
      <w:r>
        <w:rPr>
          <w:w w:val="110"/>
        </w:rPr>
        <w:t>o</w:t>
      </w:r>
      <w:r>
        <w:rPr>
          <w:spacing w:val="-8"/>
          <w:w w:val="110"/>
        </w:rPr>
        <w:t> </w:t>
      </w:r>
      <w:r>
        <w:rPr>
          <w:w w:val="110"/>
        </w:rPr>
        <w:t>instituciones</w:t>
      </w:r>
      <w:r>
        <w:rPr>
          <w:spacing w:val="-8"/>
          <w:w w:val="110"/>
        </w:rPr>
        <w:t> </w:t>
      </w:r>
      <w:r>
        <w:rPr>
          <w:w w:val="110"/>
        </w:rPr>
        <w:t>en</w:t>
      </w:r>
      <w:r>
        <w:rPr>
          <w:spacing w:val="-8"/>
          <w:w w:val="110"/>
        </w:rPr>
        <w:t> </w:t>
      </w:r>
      <w:r>
        <w:rPr>
          <w:w w:val="110"/>
        </w:rPr>
        <w:t>las</w:t>
      </w:r>
      <w:r>
        <w:rPr>
          <w:spacing w:val="-8"/>
          <w:w w:val="110"/>
        </w:rPr>
        <w:t> </w:t>
      </w:r>
      <w:r>
        <w:rPr>
          <w:w w:val="110"/>
        </w:rPr>
        <w:t>que</w:t>
      </w:r>
      <w:r>
        <w:rPr>
          <w:spacing w:val="-8"/>
          <w:w w:val="110"/>
        </w:rPr>
        <w:t> </w:t>
      </w:r>
      <w:r>
        <w:rPr>
          <w:w w:val="110"/>
        </w:rPr>
        <w:t>participan”.</w:t>
      </w:r>
      <w:r>
        <w:rPr>
          <w:w w:val="110"/>
          <w:position w:val="7"/>
          <w:sz w:val="11"/>
        </w:rPr>
        <w:t>8</w:t>
      </w:r>
      <w:r>
        <w:rPr>
          <w:spacing w:val="12"/>
          <w:w w:val="110"/>
          <w:position w:val="7"/>
          <w:sz w:val="11"/>
        </w:rPr>
        <w:t> </w:t>
      </w:r>
      <w:r>
        <w:rPr>
          <w:w w:val="110"/>
        </w:rPr>
        <w:t>“Ningún</w:t>
      </w:r>
      <w:r>
        <w:rPr>
          <w:spacing w:val="-8"/>
          <w:w w:val="110"/>
        </w:rPr>
        <w:t> </w:t>
      </w:r>
      <w:r>
        <w:rPr>
          <w:w w:val="110"/>
        </w:rPr>
        <w:t>grupo</w:t>
      </w:r>
      <w:r>
        <w:rPr>
          <w:spacing w:val="-8"/>
          <w:w w:val="110"/>
        </w:rPr>
        <w:t> </w:t>
      </w:r>
      <w:r>
        <w:rPr>
          <w:w w:val="110"/>
        </w:rPr>
        <w:t>de</w:t>
      </w:r>
      <w:r>
        <w:rPr>
          <w:spacing w:val="-8"/>
          <w:w w:val="110"/>
        </w:rPr>
        <w:t> </w:t>
      </w:r>
      <w:r>
        <w:rPr>
          <w:w w:val="110"/>
        </w:rPr>
        <w:t>interés</w:t>
      </w:r>
      <w:r>
        <w:rPr>
          <w:spacing w:val="-8"/>
          <w:w w:val="110"/>
        </w:rPr>
        <w:t> </w:t>
      </w:r>
      <w:r>
        <w:rPr>
          <w:w w:val="110"/>
        </w:rPr>
        <w:t>es relevante</w:t>
      </w:r>
      <w:r>
        <w:rPr>
          <w:spacing w:val="-11"/>
          <w:w w:val="110"/>
        </w:rPr>
        <w:t> </w:t>
      </w:r>
      <w:r>
        <w:rPr>
          <w:w w:val="110"/>
        </w:rPr>
        <w:t>si</w:t>
      </w:r>
      <w:r>
        <w:rPr>
          <w:spacing w:val="-11"/>
          <w:w w:val="110"/>
        </w:rPr>
        <w:t> </w:t>
      </w:r>
      <w:r>
        <w:rPr>
          <w:w w:val="110"/>
        </w:rPr>
        <w:t>no</w:t>
      </w:r>
      <w:r>
        <w:rPr>
          <w:spacing w:val="-11"/>
          <w:w w:val="110"/>
        </w:rPr>
        <w:t> </w:t>
      </w:r>
      <w:r>
        <w:rPr>
          <w:w w:val="110"/>
        </w:rPr>
        <w:t>es</w:t>
      </w:r>
      <w:r>
        <w:rPr>
          <w:spacing w:val="-11"/>
          <w:w w:val="110"/>
        </w:rPr>
        <w:t> </w:t>
      </w:r>
      <w:r>
        <w:rPr>
          <w:w w:val="110"/>
        </w:rPr>
        <w:t>en</w:t>
      </w:r>
      <w:r>
        <w:rPr>
          <w:spacing w:val="-11"/>
          <w:w w:val="110"/>
        </w:rPr>
        <w:t> </w:t>
      </w:r>
      <w:r>
        <w:rPr>
          <w:w w:val="110"/>
        </w:rPr>
        <w:t>relación</w:t>
      </w:r>
      <w:r>
        <w:rPr>
          <w:spacing w:val="-11"/>
          <w:w w:val="110"/>
        </w:rPr>
        <w:t> </w:t>
      </w:r>
      <w:r>
        <w:rPr>
          <w:w w:val="110"/>
        </w:rPr>
        <w:t>a</w:t>
      </w:r>
      <w:r>
        <w:rPr>
          <w:spacing w:val="-11"/>
          <w:w w:val="110"/>
        </w:rPr>
        <w:t> </w:t>
      </w:r>
      <w:r>
        <w:rPr>
          <w:w w:val="110"/>
        </w:rPr>
        <w:t>otros</w:t>
      </w:r>
      <w:r>
        <w:rPr>
          <w:spacing w:val="-11"/>
          <w:w w:val="110"/>
        </w:rPr>
        <w:t> </w:t>
      </w:r>
      <w:r>
        <w:rPr>
          <w:w w:val="110"/>
        </w:rPr>
        <w:t>grupos</w:t>
      </w:r>
      <w:r>
        <w:rPr>
          <w:spacing w:val="-11"/>
          <w:w w:val="110"/>
        </w:rPr>
        <w:t> </w:t>
      </w:r>
      <w:r>
        <w:rPr>
          <w:w w:val="110"/>
        </w:rPr>
        <w:t>de</w:t>
      </w:r>
      <w:r>
        <w:rPr>
          <w:spacing w:val="-11"/>
          <w:w w:val="110"/>
        </w:rPr>
        <w:t> </w:t>
      </w:r>
      <w:r>
        <w:rPr>
          <w:w w:val="110"/>
        </w:rPr>
        <w:t>interés,</w:t>
      </w:r>
      <w:r>
        <w:rPr>
          <w:spacing w:val="-11"/>
          <w:w w:val="110"/>
        </w:rPr>
        <w:t> </w:t>
      </w:r>
      <w:r>
        <w:rPr>
          <w:w w:val="110"/>
        </w:rPr>
        <w:t>si</w:t>
      </w:r>
      <w:r>
        <w:rPr>
          <w:spacing w:val="-11"/>
          <w:w w:val="110"/>
        </w:rPr>
        <w:t> </w:t>
      </w:r>
      <w:r>
        <w:rPr>
          <w:w w:val="110"/>
        </w:rPr>
        <w:t>no</w:t>
      </w:r>
      <w:r>
        <w:rPr>
          <w:spacing w:val="-11"/>
          <w:w w:val="110"/>
        </w:rPr>
        <w:t> </w:t>
      </w:r>
      <w:r>
        <w:rPr>
          <w:w w:val="110"/>
        </w:rPr>
        <w:t>se</w:t>
      </w:r>
      <w:r>
        <w:rPr>
          <w:spacing w:val="-11"/>
          <w:w w:val="110"/>
        </w:rPr>
        <w:t> </w:t>
      </w:r>
      <w:r>
        <w:rPr>
          <w:w w:val="110"/>
        </w:rPr>
        <w:t>refiere</w:t>
      </w:r>
      <w:r>
        <w:rPr>
          <w:spacing w:val="-11"/>
          <w:w w:val="110"/>
        </w:rPr>
        <w:t> </w:t>
      </w:r>
      <w:r>
        <w:rPr>
          <w:w w:val="110"/>
        </w:rPr>
        <w:t>a la</w:t>
      </w:r>
      <w:r>
        <w:rPr>
          <w:spacing w:val="-4"/>
          <w:w w:val="110"/>
        </w:rPr>
        <w:t> </w:t>
      </w:r>
      <w:r>
        <w:rPr>
          <w:w w:val="110"/>
        </w:rPr>
        <w:t>presión</w:t>
      </w:r>
      <w:r>
        <w:rPr>
          <w:spacing w:val="-4"/>
          <w:w w:val="110"/>
        </w:rPr>
        <w:t> </w:t>
      </w:r>
      <w:r>
        <w:rPr>
          <w:w w:val="110"/>
        </w:rPr>
        <w:t>que</w:t>
      </w:r>
      <w:r>
        <w:rPr>
          <w:spacing w:val="-4"/>
          <w:w w:val="110"/>
        </w:rPr>
        <w:t> </w:t>
      </w:r>
      <w:r>
        <w:rPr>
          <w:w w:val="110"/>
        </w:rPr>
        <w:t>éstos</w:t>
      </w:r>
      <w:r>
        <w:rPr>
          <w:spacing w:val="-4"/>
          <w:w w:val="110"/>
        </w:rPr>
        <w:t> </w:t>
      </w:r>
      <w:r>
        <w:rPr>
          <w:w w:val="110"/>
        </w:rPr>
        <w:t>y</w:t>
      </w:r>
      <w:r>
        <w:rPr>
          <w:spacing w:val="-4"/>
          <w:w w:val="110"/>
        </w:rPr>
        <w:t> </w:t>
      </w:r>
      <w:r>
        <w:rPr>
          <w:w w:val="110"/>
        </w:rPr>
        <w:t>aquellos</w:t>
      </w:r>
      <w:r>
        <w:rPr>
          <w:spacing w:val="-4"/>
          <w:w w:val="110"/>
        </w:rPr>
        <w:t> </w:t>
      </w:r>
      <w:r>
        <w:rPr>
          <w:w w:val="110"/>
        </w:rPr>
        <w:t>ejercen</w:t>
      </w:r>
      <w:r>
        <w:rPr>
          <w:spacing w:val="-4"/>
          <w:w w:val="110"/>
        </w:rPr>
        <w:t> </w:t>
      </w:r>
      <w:r>
        <w:rPr>
          <w:w w:val="110"/>
        </w:rPr>
        <w:t>los</w:t>
      </w:r>
      <w:r>
        <w:rPr>
          <w:spacing w:val="-4"/>
          <w:w w:val="110"/>
        </w:rPr>
        <w:t> </w:t>
      </w:r>
      <w:r>
        <w:rPr>
          <w:w w:val="110"/>
        </w:rPr>
        <w:t>unos</w:t>
      </w:r>
      <w:r>
        <w:rPr>
          <w:spacing w:val="-4"/>
          <w:w w:val="110"/>
        </w:rPr>
        <w:t> </w:t>
      </w:r>
      <w:r>
        <w:rPr>
          <w:w w:val="110"/>
        </w:rPr>
        <w:t>sobre</w:t>
      </w:r>
      <w:r>
        <w:rPr>
          <w:spacing w:val="-4"/>
          <w:w w:val="110"/>
        </w:rPr>
        <w:t> </w:t>
      </w:r>
      <w:r>
        <w:rPr>
          <w:w w:val="110"/>
        </w:rPr>
        <w:t>los</w:t>
      </w:r>
      <w:r>
        <w:rPr>
          <w:spacing w:val="-4"/>
          <w:w w:val="110"/>
        </w:rPr>
        <w:t> </w:t>
      </w:r>
      <w:r>
        <w:rPr>
          <w:w w:val="110"/>
        </w:rPr>
        <w:t>otros”.</w:t>
      </w:r>
      <w:r>
        <w:rPr>
          <w:w w:val="110"/>
          <w:position w:val="7"/>
          <w:sz w:val="11"/>
        </w:rPr>
        <w:t>9</w:t>
      </w:r>
    </w:p>
    <w:p>
      <w:pPr>
        <w:pStyle w:val="BodyText"/>
        <w:spacing w:line="252" w:lineRule="auto"/>
        <w:ind w:left="120" w:right="327" w:firstLine="396"/>
        <w:jc w:val="both"/>
      </w:pPr>
      <w:r>
        <w:rPr>
          <w:w w:val="243"/>
        </w:rPr>
        <w:t>l</w:t>
      </w:r>
      <w:r>
        <w:rPr>
          <w:w w:val="108"/>
        </w:rPr>
        <w:t>os</w:t>
      </w:r>
      <w:r>
        <w:rPr/>
        <w:t> </w:t>
      </w:r>
      <w:r>
        <w:rPr>
          <w:spacing w:val="12"/>
        </w:rPr>
        <w:t> </w:t>
      </w:r>
      <w:r>
        <w:rPr>
          <w:w w:val="108"/>
        </w:rPr>
        <w:t>diferentes</w:t>
      </w:r>
      <w:r>
        <w:rPr/>
        <w:t> </w:t>
      </w:r>
      <w:r>
        <w:rPr>
          <w:spacing w:val="12"/>
        </w:rPr>
        <w:t> </w:t>
      </w:r>
      <w:r>
        <w:rPr>
          <w:w w:val="109"/>
        </w:rPr>
        <w:t>grupos</w:t>
      </w:r>
      <w:r>
        <w:rPr/>
        <w:t> </w:t>
      </w:r>
      <w:r>
        <w:rPr>
          <w:spacing w:val="12"/>
        </w:rPr>
        <w:t> </w:t>
      </w:r>
      <w:r>
        <w:rPr>
          <w:w w:val="107"/>
        </w:rPr>
        <w:t>de</w:t>
      </w:r>
      <w:r>
        <w:rPr/>
        <w:t> </w:t>
      </w:r>
      <w:r>
        <w:rPr>
          <w:spacing w:val="12"/>
        </w:rPr>
        <w:t> </w:t>
      </w:r>
      <w:r>
        <w:rPr>
          <w:w w:val="110"/>
        </w:rPr>
        <w:t>presión,</w:t>
      </w:r>
      <w:r>
        <w:rPr/>
        <w:t> </w:t>
      </w:r>
      <w:r>
        <w:rPr>
          <w:spacing w:val="12"/>
        </w:rPr>
        <w:t> </w:t>
      </w:r>
      <w:r>
        <w:rPr>
          <w:w w:val="110"/>
        </w:rPr>
        <w:t>o</w:t>
      </w:r>
      <w:r>
        <w:rPr/>
        <w:t> </w:t>
      </w:r>
      <w:r>
        <w:rPr>
          <w:spacing w:val="12"/>
        </w:rPr>
        <w:t> </w:t>
      </w:r>
      <w:r>
        <w:rPr>
          <w:w w:val="107"/>
        </w:rPr>
        <w:t>de</w:t>
      </w:r>
      <w:r>
        <w:rPr/>
        <w:t> </w:t>
      </w:r>
      <w:r>
        <w:rPr>
          <w:spacing w:val="12"/>
        </w:rPr>
        <w:t> </w:t>
      </w:r>
      <w:r>
        <w:rPr>
          <w:w w:val="109"/>
        </w:rPr>
        <w:t>interés,</w:t>
      </w:r>
      <w:r>
        <w:rPr/>
        <w:t> </w:t>
      </w:r>
      <w:r>
        <w:rPr>
          <w:spacing w:val="12"/>
        </w:rPr>
        <w:t> </w:t>
      </w:r>
      <w:r>
        <w:rPr>
          <w:w w:val="108"/>
        </w:rPr>
        <w:t>que</w:t>
      </w:r>
      <w:r>
        <w:rPr/>
        <w:t> </w:t>
      </w:r>
      <w:r>
        <w:rPr>
          <w:spacing w:val="12"/>
        </w:rPr>
        <w:t> </w:t>
      </w:r>
      <w:r>
        <w:rPr>
          <w:w w:val="111"/>
        </w:rPr>
        <w:t>menciona </w:t>
      </w:r>
      <w:r>
        <w:rPr>
          <w:w w:val="110"/>
        </w:rPr>
        <w:t>bentley pueden ser identificados a través de las instituciones </w:t>
      </w:r>
      <w:r>
        <w:rPr>
          <w:spacing w:val="-3"/>
          <w:w w:val="110"/>
        </w:rPr>
        <w:t>guber- </w:t>
      </w:r>
      <w:r>
        <w:rPr>
          <w:w w:val="110"/>
        </w:rPr>
        <w:t>namentales y/o privadas, de partidos políticos, de los </w:t>
      </w:r>
      <w:r>
        <w:rPr>
          <w:i/>
          <w:w w:val="110"/>
        </w:rPr>
        <w:t>lobbies</w:t>
      </w:r>
      <w:r>
        <w:rPr>
          <w:w w:val="110"/>
        </w:rPr>
        <w:t>,</w:t>
      </w:r>
      <w:r>
        <w:rPr>
          <w:spacing w:val="-28"/>
          <w:w w:val="110"/>
        </w:rPr>
        <w:t> </w:t>
      </w:r>
      <w:r>
        <w:rPr>
          <w:w w:val="110"/>
        </w:rPr>
        <w:t>corpora- ciones, organizaciones de la sociedad civil, medios de comunicación, entre otros. ahora, también es importante recordar que la presión ejercida entre estos diferentes grupos se da también en distintos ni- veles: </w:t>
      </w:r>
      <w:r>
        <w:rPr>
          <w:i/>
          <w:w w:val="110"/>
        </w:rPr>
        <w:t>i) </w:t>
      </w:r>
      <w:r>
        <w:rPr>
          <w:w w:val="110"/>
        </w:rPr>
        <w:t>estatal; </w:t>
      </w:r>
      <w:r>
        <w:rPr>
          <w:i/>
          <w:w w:val="110"/>
        </w:rPr>
        <w:t>ii) </w:t>
      </w:r>
      <w:r>
        <w:rPr>
          <w:w w:val="110"/>
        </w:rPr>
        <w:t>local; </w:t>
      </w:r>
      <w:r>
        <w:rPr>
          <w:i/>
          <w:w w:val="110"/>
        </w:rPr>
        <w:t>iii) </w:t>
      </w:r>
      <w:r>
        <w:rPr>
          <w:w w:val="110"/>
        </w:rPr>
        <w:t>comunitario</w:t>
      </w:r>
      <w:r>
        <w:rPr>
          <w:w w:val="110"/>
          <w:position w:val="7"/>
          <w:sz w:val="11"/>
        </w:rPr>
        <w:t>10</w:t>
      </w:r>
      <w:r>
        <w:rPr>
          <w:w w:val="110"/>
        </w:rPr>
        <w:t>; no obstante, hoy en día existen otros niveles que también deben ser agregados: el federal, el nacional, el internacional, transnacional, el supranacional, regional, subregional e</w:t>
      </w:r>
      <w:r>
        <w:rPr>
          <w:spacing w:val="16"/>
          <w:w w:val="110"/>
        </w:rPr>
        <w:t> </w:t>
      </w:r>
      <w:r>
        <w:rPr>
          <w:w w:val="110"/>
        </w:rPr>
        <w:t>interregional.</w:t>
      </w:r>
    </w:p>
    <w:p>
      <w:pPr>
        <w:pStyle w:val="BodyText"/>
        <w:spacing w:line="252" w:lineRule="auto"/>
        <w:ind w:left="120" w:right="327" w:firstLine="396"/>
        <w:jc w:val="both"/>
        <w:rPr>
          <w:sz w:val="11"/>
        </w:rPr>
      </w:pPr>
      <w:r>
        <w:rPr>
          <w:w w:val="110"/>
        </w:rPr>
        <w:t>En otras palabras, lo que la </w:t>
      </w:r>
      <w:r>
        <w:rPr>
          <w:i/>
          <w:w w:val="110"/>
        </w:rPr>
        <w:t>Policy Science </w:t>
      </w:r>
      <w:r>
        <w:rPr>
          <w:w w:val="110"/>
        </w:rPr>
        <w:t>de bentley incorpora   en el análisis es la figura de “un mercado político”, pues es el espacio pragmático en el cual se lleva a cabo “la compra y la maximización de favores y ganancias (respectivamente)”. Es un espacio que no observa clases sociales, sino grupos. No busca la simetría política o el cumpli- miento de la </w:t>
      </w:r>
      <w:r>
        <w:rPr>
          <w:spacing w:val="-6"/>
          <w:w w:val="110"/>
        </w:rPr>
        <w:t>ley, </w:t>
      </w:r>
      <w:r>
        <w:rPr>
          <w:w w:val="110"/>
        </w:rPr>
        <w:t>sino satisfacer intereses. Entonces, para entender de manera más completa el tipo de decisiones tomadas durante la admi- nistración de barack obama –y de cualquier otra administración esta- dounidense– en primer </w:t>
      </w:r>
      <w:r>
        <w:rPr>
          <w:spacing w:val="-4"/>
          <w:w w:val="110"/>
        </w:rPr>
        <w:t>lugar, </w:t>
      </w:r>
      <w:r>
        <w:rPr>
          <w:w w:val="110"/>
        </w:rPr>
        <w:t>es necesario identificar la composición del</w:t>
      </w:r>
      <w:r>
        <w:rPr>
          <w:spacing w:val="-8"/>
          <w:w w:val="110"/>
        </w:rPr>
        <w:t> </w:t>
      </w:r>
      <w:r>
        <w:rPr>
          <w:w w:val="110"/>
        </w:rPr>
        <w:t>grupo</w:t>
      </w:r>
      <w:r>
        <w:rPr>
          <w:spacing w:val="-8"/>
          <w:w w:val="110"/>
        </w:rPr>
        <w:t> </w:t>
      </w:r>
      <w:r>
        <w:rPr>
          <w:w w:val="110"/>
        </w:rPr>
        <w:t>(o</w:t>
      </w:r>
      <w:r>
        <w:rPr>
          <w:spacing w:val="-8"/>
          <w:w w:val="110"/>
        </w:rPr>
        <w:t> </w:t>
      </w:r>
      <w:r>
        <w:rPr>
          <w:w w:val="110"/>
        </w:rPr>
        <w:t>grupos)</w:t>
      </w:r>
      <w:r>
        <w:rPr>
          <w:spacing w:val="-8"/>
          <w:w w:val="110"/>
        </w:rPr>
        <w:t> </w:t>
      </w:r>
      <w:r>
        <w:rPr>
          <w:w w:val="110"/>
        </w:rPr>
        <w:t>de</w:t>
      </w:r>
      <w:r>
        <w:rPr>
          <w:spacing w:val="-8"/>
          <w:w w:val="110"/>
        </w:rPr>
        <w:t> </w:t>
      </w:r>
      <w:r>
        <w:rPr>
          <w:w w:val="110"/>
        </w:rPr>
        <w:t>políticos,</w:t>
      </w:r>
      <w:r>
        <w:rPr>
          <w:spacing w:val="-8"/>
          <w:w w:val="110"/>
        </w:rPr>
        <w:t> </w:t>
      </w:r>
      <w:r>
        <w:rPr>
          <w:w w:val="110"/>
        </w:rPr>
        <w:t>abogados,</w:t>
      </w:r>
      <w:r>
        <w:rPr>
          <w:spacing w:val="-8"/>
          <w:w w:val="110"/>
        </w:rPr>
        <w:t> </w:t>
      </w:r>
      <w:r>
        <w:rPr>
          <w:w w:val="110"/>
        </w:rPr>
        <w:t>empresarios,</w:t>
      </w:r>
      <w:r>
        <w:rPr>
          <w:spacing w:val="-8"/>
          <w:w w:val="110"/>
        </w:rPr>
        <w:t> </w:t>
      </w:r>
      <w:r>
        <w:rPr>
          <w:i/>
          <w:w w:val="110"/>
        </w:rPr>
        <w:t>lobbistas</w:t>
      </w:r>
      <w:r>
        <w:rPr>
          <w:w w:val="110"/>
        </w:rPr>
        <w:t>,</w:t>
      </w:r>
      <w:r>
        <w:rPr>
          <w:spacing w:val="-8"/>
          <w:w w:val="110"/>
        </w:rPr>
        <w:t> </w:t>
      </w:r>
      <w:r>
        <w:rPr>
          <w:w w:val="110"/>
        </w:rPr>
        <w:t>en- tre otros, que han participado o participan (directa e indirectamente) en</w:t>
      </w:r>
      <w:r>
        <w:rPr>
          <w:spacing w:val="-4"/>
          <w:w w:val="110"/>
        </w:rPr>
        <w:t> </w:t>
      </w:r>
      <w:r>
        <w:rPr>
          <w:w w:val="110"/>
        </w:rPr>
        <w:t>el</w:t>
      </w:r>
      <w:r>
        <w:rPr>
          <w:spacing w:val="-4"/>
          <w:w w:val="110"/>
        </w:rPr>
        <w:t> </w:t>
      </w:r>
      <w:r>
        <w:rPr>
          <w:w w:val="110"/>
        </w:rPr>
        <w:t>proceso</w:t>
      </w:r>
      <w:r>
        <w:rPr>
          <w:spacing w:val="-4"/>
          <w:w w:val="110"/>
        </w:rPr>
        <w:t> </w:t>
      </w:r>
      <w:r>
        <w:rPr>
          <w:w w:val="110"/>
        </w:rPr>
        <w:t>de</w:t>
      </w:r>
      <w:r>
        <w:rPr>
          <w:spacing w:val="-4"/>
          <w:w w:val="110"/>
        </w:rPr>
        <w:t> </w:t>
      </w:r>
      <w:r>
        <w:rPr>
          <w:w w:val="110"/>
        </w:rPr>
        <w:t>toma</w:t>
      </w:r>
      <w:r>
        <w:rPr>
          <w:spacing w:val="-4"/>
          <w:w w:val="110"/>
        </w:rPr>
        <w:t> </w:t>
      </w:r>
      <w:r>
        <w:rPr>
          <w:w w:val="110"/>
        </w:rPr>
        <w:t>de</w:t>
      </w:r>
      <w:r>
        <w:rPr>
          <w:spacing w:val="-4"/>
          <w:w w:val="110"/>
        </w:rPr>
        <w:t> </w:t>
      </w:r>
      <w:r>
        <w:rPr>
          <w:w w:val="110"/>
        </w:rPr>
        <w:t>decisiones;</w:t>
      </w:r>
      <w:r>
        <w:rPr>
          <w:spacing w:val="-4"/>
          <w:w w:val="110"/>
        </w:rPr>
        <w:t> </w:t>
      </w:r>
      <w:r>
        <w:rPr>
          <w:w w:val="110"/>
        </w:rPr>
        <w:t>pues</w:t>
      </w:r>
      <w:r>
        <w:rPr>
          <w:spacing w:val="-4"/>
          <w:w w:val="110"/>
        </w:rPr>
        <w:t> </w:t>
      </w:r>
      <w:r>
        <w:rPr>
          <w:w w:val="110"/>
        </w:rPr>
        <w:t>el</w:t>
      </w:r>
      <w:r>
        <w:rPr>
          <w:spacing w:val="-4"/>
          <w:w w:val="110"/>
        </w:rPr>
        <w:t> </w:t>
      </w:r>
      <w:r>
        <w:rPr>
          <w:w w:val="110"/>
        </w:rPr>
        <w:t>análisis</w:t>
      </w:r>
      <w:r>
        <w:rPr>
          <w:spacing w:val="-4"/>
          <w:w w:val="110"/>
        </w:rPr>
        <w:t> </w:t>
      </w:r>
      <w:r>
        <w:rPr>
          <w:w w:val="110"/>
        </w:rPr>
        <w:t>de</w:t>
      </w:r>
      <w:r>
        <w:rPr>
          <w:spacing w:val="-4"/>
          <w:w w:val="110"/>
        </w:rPr>
        <w:t> </w:t>
      </w:r>
      <w:r>
        <w:rPr>
          <w:w w:val="110"/>
        </w:rPr>
        <w:t>éste</w:t>
      </w:r>
      <w:r>
        <w:rPr>
          <w:spacing w:val="-4"/>
          <w:w w:val="110"/>
        </w:rPr>
        <w:t> </w:t>
      </w:r>
      <w:r>
        <w:rPr>
          <w:w w:val="110"/>
        </w:rPr>
        <w:t>o</w:t>
      </w:r>
      <w:r>
        <w:rPr>
          <w:spacing w:val="-4"/>
          <w:w w:val="110"/>
        </w:rPr>
        <w:t> </w:t>
      </w:r>
      <w:r>
        <w:rPr>
          <w:w w:val="110"/>
        </w:rPr>
        <w:t>de</w:t>
      </w:r>
      <w:r>
        <w:rPr>
          <w:spacing w:val="-4"/>
          <w:w w:val="110"/>
        </w:rPr>
        <w:t> </w:t>
      </w:r>
      <w:r>
        <w:rPr>
          <w:w w:val="110"/>
        </w:rPr>
        <w:t>aque- llos como individuos aislados el uno de los otros, y viceversa, arrojará un análisis deficiente y corto en su alcance explicativo. dicho mapeo de</w:t>
      </w:r>
      <w:r>
        <w:rPr>
          <w:spacing w:val="-4"/>
          <w:w w:val="110"/>
        </w:rPr>
        <w:t> </w:t>
      </w:r>
      <w:r>
        <w:rPr>
          <w:w w:val="110"/>
        </w:rPr>
        <w:t>actores</w:t>
      </w:r>
      <w:r>
        <w:rPr>
          <w:spacing w:val="-4"/>
          <w:w w:val="110"/>
        </w:rPr>
        <w:t> </w:t>
      </w:r>
      <w:r>
        <w:rPr>
          <w:w w:val="110"/>
        </w:rPr>
        <w:t>e</w:t>
      </w:r>
      <w:r>
        <w:rPr>
          <w:spacing w:val="-4"/>
          <w:w w:val="110"/>
        </w:rPr>
        <w:t> </w:t>
      </w:r>
      <w:r>
        <w:rPr>
          <w:w w:val="110"/>
        </w:rPr>
        <w:t>instituciones</w:t>
      </w:r>
      <w:r>
        <w:rPr>
          <w:spacing w:val="-4"/>
          <w:w w:val="110"/>
        </w:rPr>
        <w:t> </w:t>
      </w:r>
      <w:r>
        <w:rPr>
          <w:w w:val="110"/>
        </w:rPr>
        <w:t>busca</w:t>
      </w:r>
      <w:r>
        <w:rPr>
          <w:spacing w:val="-4"/>
          <w:w w:val="110"/>
        </w:rPr>
        <w:t> </w:t>
      </w:r>
      <w:r>
        <w:rPr>
          <w:w w:val="110"/>
        </w:rPr>
        <w:t>sustituir</w:t>
      </w:r>
      <w:r>
        <w:rPr>
          <w:spacing w:val="-4"/>
          <w:w w:val="110"/>
        </w:rPr>
        <w:t> </w:t>
      </w:r>
      <w:r>
        <w:rPr>
          <w:w w:val="110"/>
        </w:rPr>
        <w:t>el</w:t>
      </w:r>
      <w:r>
        <w:rPr>
          <w:spacing w:val="-4"/>
          <w:w w:val="110"/>
        </w:rPr>
        <w:t> </w:t>
      </w:r>
      <w:r>
        <w:rPr>
          <w:w w:val="110"/>
        </w:rPr>
        <w:t>énfasis</w:t>
      </w:r>
      <w:r>
        <w:rPr>
          <w:spacing w:val="-4"/>
          <w:w w:val="110"/>
        </w:rPr>
        <w:t> </w:t>
      </w:r>
      <w:r>
        <w:rPr>
          <w:w w:val="110"/>
        </w:rPr>
        <w:t>en</w:t>
      </w:r>
      <w:r>
        <w:rPr>
          <w:spacing w:val="-4"/>
          <w:w w:val="110"/>
        </w:rPr>
        <w:t> </w:t>
      </w:r>
      <w:r>
        <w:rPr>
          <w:w w:val="110"/>
        </w:rPr>
        <w:t>la</w:t>
      </w:r>
      <w:r>
        <w:rPr>
          <w:spacing w:val="-4"/>
          <w:w w:val="110"/>
        </w:rPr>
        <w:t> </w:t>
      </w:r>
      <w:r>
        <w:rPr>
          <w:i/>
          <w:w w:val="110"/>
        </w:rPr>
        <w:t>individualidad </w:t>
      </w:r>
      <w:r>
        <w:rPr>
          <w:w w:val="110"/>
        </w:rPr>
        <w:t>de</w:t>
      </w:r>
      <w:r>
        <w:rPr>
          <w:spacing w:val="-4"/>
          <w:w w:val="110"/>
        </w:rPr>
        <w:t> </w:t>
      </w:r>
      <w:r>
        <w:rPr>
          <w:w w:val="110"/>
        </w:rPr>
        <w:t>cada</w:t>
      </w:r>
      <w:r>
        <w:rPr>
          <w:spacing w:val="-4"/>
          <w:w w:val="110"/>
        </w:rPr>
        <w:t> </w:t>
      </w:r>
      <w:r>
        <w:rPr>
          <w:w w:val="110"/>
        </w:rPr>
        <w:t>uno</w:t>
      </w:r>
      <w:r>
        <w:rPr>
          <w:spacing w:val="-4"/>
          <w:w w:val="110"/>
        </w:rPr>
        <w:t> </w:t>
      </w:r>
      <w:r>
        <w:rPr>
          <w:w w:val="110"/>
        </w:rPr>
        <w:t>de</w:t>
      </w:r>
      <w:r>
        <w:rPr>
          <w:spacing w:val="-4"/>
          <w:w w:val="110"/>
        </w:rPr>
        <w:t> </w:t>
      </w:r>
      <w:r>
        <w:rPr>
          <w:w w:val="110"/>
        </w:rPr>
        <w:t>los</w:t>
      </w:r>
      <w:r>
        <w:rPr>
          <w:spacing w:val="-4"/>
          <w:w w:val="110"/>
        </w:rPr>
        <w:t> </w:t>
      </w:r>
      <w:r>
        <w:rPr>
          <w:w w:val="110"/>
        </w:rPr>
        <w:t>actores</w:t>
      </w:r>
      <w:r>
        <w:rPr>
          <w:spacing w:val="-4"/>
          <w:w w:val="110"/>
        </w:rPr>
        <w:t> </w:t>
      </w:r>
      <w:r>
        <w:rPr>
          <w:w w:val="110"/>
        </w:rPr>
        <w:t>identificados,</w:t>
      </w:r>
      <w:r>
        <w:rPr>
          <w:spacing w:val="-4"/>
          <w:w w:val="110"/>
        </w:rPr>
        <w:t> </w:t>
      </w:r>
      <w:r>
        <w:rPr>
          <w:w w:val="110"/>
        </w:rPr>
        <w:t>y</w:t>
      </w:r>
      <w:r>
        <w:rPr>
          <w:spacing w:val="-4"/>
          <w:w w:val="110"/>
        </w:rPr>
        <w:t> </w:t>
      </w:r>
      <w:r>
        <w:rPr>
          <w:w w:val="110"/>
        </w:rPr>
        <w:t>analizar</w:t>
      </w:r>
      <w:r>
        <w:rPr>
          <w:spacing w:val="-4"/>
          <w:w w:val="110"/>
        </w:rPr>
        <w:t> </w:t>
      </w:r>
      <w:r>
        <w:rPr>
          <w:w w:val="110"/>
        </w:rPr>
        <w:t>con</w:t>
      </w:r>
      <w:r>
        <w:rPr>
          <w:spacing w:val="-4"/>
          <w:w w:val="110"/>
        </w:rPr>
        <w:t> </w:t>
      </w:r>
      <w:r>
        <w:rPr>
          <w:w w:val="110"/>
        </w:rPr>
        <w:t>mayor</w:t>
      </w:r>
      <w:r>
        <w:rPr>
          <w:spacing w:val="-4"/>
          <w:w w:val="110"/>
        </w:rPr>
        <w:t> </w:t>
      </w:r>
      <w:r>
        <w:rPr>
          <w:w w:val="110"/>
        </w:rPr>
        <w:t>rigor</w:t>
      </w:r>
      <w:r>
        <w:rPr>
          <w:spacing w:val="-4"/>
          <w:w w:val="110"/>
        </w:rPr>
        <w:t> </w:t>
      </w:r>
      <w:r>
        <w:rPr>
          <w:w w:val="110"/>
        </w:rPr>
        <w:t>las relaciones que se generan entre los miembros que integran los grupos políticos y económicos. interesa destacar la relación que guardan el uno con el otro y </w:t>
      </w:r>
      <w:r>
        <w:rPr>
          <w:i/>
          <w:w w:val="110"/>
        </w:rPr>
        <w:t>sobre </w:t>
      </w:r>
      <w:r>
        <w:rPr>
          <w:w w:val="110"/>
        </w:rPr>
        <w:t>el otro y cómo estas relaciones impactan en la toma de decisiones políticas del gobierno</w:t>
      </w:r>
      <w:r>
        <w:rPr>
          <w:spacing w:val="-22"/>
          <w:w w:val="110"/>
        </w:rPr>
        <w:t> </w:t>
      </w:r>
      <w:r>
        <w:rPr>
          <w:w w:val="110"/>
        </w:rPr>
        <w:t>estadounidense.</w:t>
      </w:r>
      <w:r>
        <w:rPr>
          <w:w w:val="110"/>
          <w:position w:val="7"/>
          <w:sz w:val="11"/>
        </w:rPr>
        <w:t>11</w:t>
      </w:r>
    </w:p>
    <w:p>
      <w:pPr>
        <w:pStyle w:val="BodyText"/>
        <w:spacing w:before="7"/>
        <w:rPr>
          <w:sz w:val="23"/>
        </w:rPr>
      </w:pPr>
      <w:r>
        <w:rPr/>
        <w:pict>
          <v:line style="position:absolute;mso-position-horizontal-relative:page;mso-position-vertical-relative:paragraph;z-index:4168;mso-wrap-distance-left:0;mso-wrap-distance-right:0" from="51.023602pt,16.066828pt" to="79.369602pt,16.066828pt" stroked="true" strokeweight=".5pt" strokecolor="#000000">
            <w10:wrap type="topAndBottom"/>
          </v:line>
        </w:pict>
      </w:r>
    </w:p>
    <w:p>
      <w:pPr>
        <w:spacing w:line="316" w:lineRule="auto" w:before="89"/>
        <w:ind w:left="120" w:right="3492" w:firstLine="0"/>
        <w:jc w:val="left"/>
        <w:rPr>
          <w:sz w:val="16"/>
        </w:rPr>
      </w:pPr>
      <w:r>
        <w:rPr>
          <w:w w:val="110"/>
          <w:sz w:val="16"/>
        </w:rPr>
        <w:t>8  </w:t>
      </w:r>
      <w:r>
        <w:rPr>
          <w:spacing w:val="-3"/>
          <w:w w:val="110"/>
          <w:sz w:val="16"/>
        </w:rPr>
        <w:t>bentley, </w:t>
      </w:r>
      <w:r>
        <w:rPr>
          <w:w w:val="110"/>
          <w:sz w:val="16"/>
        </w:rPr>
        <w:t>“Government”, </w:t>
      </w:r>
      <w:r>
        <w:rPr>
          <w:i/>
          <w:w w:val="110"/>
          <w:sz w:val="16"/>
        </w:rPr>
        <w:t>op. cit.</w:t>
      </w:r>
      <w:r>
        <w:rPr>
          <w:w w:val="110"/>
          <w:sz w:val="16"/>
        </w:rPr>
        <w:t>, p. 269.  9    </w:t>
      </w:r>
      <w:r>
        <w:rPr>
          <w:i/>
          <w:w w:val="110"/>
          <w:sz w:val="16"/>
        </w:rPr>
        <w:t>Ídem</w:t>
      </w:r>
      <w:r>
        <w:rPr>
          <w:w w:val="110"/>
          <w:sz w:val="16"/>
        </w:rPr>
        <w:t>, p.</w:t>
      </w:r>
      <w:r>
        <w:rPr>
          <w:spacing w:val="9"/>
          <w:w w:val="110"/>
          <w:sz w:val="16"/>
        </w:rPr>
        <w:t> </w:t>
      </w:r>
      <w:r>
        <w:rPr>
          <w:w w:val="110"/>
          <w:sz w:val="16"/>
        </w:rPr>
        <w:t>271.</w:t>
      </w:r>
    </w:p>
    <w:p>
      <w:pPr>
        <w:pStyle w:val="ListParagraph"/>
        <w:numPr>
          <w:ilvl w:val="0"/>
          <w:numId w:val="12"/>
        </w:numPr>
        <w:tabs>
          <w:tab w:pos="376" w:val="left" w:leader="none"/>
        </w:tabs>
        <w:spacing w:line="187" w:lineRule="exact" w:before="0" w:after="0"/>
        <w:ind w:left="120" w:right="0" w:firstLine="0"/>
        <w:jc w:val="both"/>
        <w:rPr>
          <w:sz w:val="16"/>
        </w:rPr>
      </w:pPr>
      <w:r>
        <w:rPr>
          <w:w w:val="110"/>
          <w:sz w:val="16"/>
        </w:rPr>
        <w:t>“Classifications of Government”, </w:t>
      </w:r>
      <w:r>
        <w:rPr>
          <w:i/>
          <w:w w:val="110"/>
          <w:sz w:val="16"/>
        </w:rPr>
        <w:t>op.cit.</w:t>
      </w:r>
      <w:r>
        <w:rPr>
          <w:w w:val="110"/>
          <w:sz w:val="16"/>
        </w:rPr>
        <w:t>, p.</w:t>
      </w:r>
      <w:r>
        <w:rPr>
          <w:spacing w:val="25"/>
          <w:w w:val="110"/>
          <w:sz w:val="16"/>
        </w:rPr>
        <w:t> </w:t>
      </w:r>
      <w:r>
        <w:rPr>
          <w:w w:val="110"/>
          <w:sz w:val="16"/>
        </w:rPr>
        <w:t>303.</w:t>
      </w:r>
    </w:p>
    <w:p>
      <w:pPr>
        <w:pStyle w:val="ListParagraph"/>
        <w:numPr>
          <w:ilvl w:val="0"/>
          <w:numId w:val="12"/>
        </w:numPr>
        <w:tabs>
          <w:tab w:pos="376" w:val="left" w:leader="none"/>
        </w:tabs>
        <w:spacing w:line="242" w:lineRule="auto" w:before="59" w:after="0"/>
        <w:ind w:left="120" w:right="328" w:firstLine="0"/>
        <w:jc w:val="both"/>
        <w:rPr>
          <w:sz w:val="16"/>
        </w:rPr>
      </w:pPr>
      <w:r>
        <w:rPr>
          <w:spacing w:val="-5"/>
          <w:w w:val="105"/>
          <w:sz w:val="16"/>
        </w:rPr>
        <w:t>tal  </w:t>
      </w:r>
      <w:r>
        <w:rPr>
          <w:w w:val="105"/>
          <w:sz w:val="16"/>
        </w:rPr>
        <w:t>y como lo desarrolla arthur </w:t>
      </w:r>
      <w:r>
        <w:rPr>
          <w:spacing w:val="-9"/>
          <w:w w:val="105"/>
          <w:sz w:val="16"/>
        </w:rPr>
        <w:t>F.  </w:t>
      </w:r>
      <w:r>
        <w:rPr>
          <w:w w:val="105"/>
          <w:sz w:val="16"/>
        </w:rPr>
        <w:t>bentley en su obra </w:t>
      </w:r>
      <w:r>
        <w:rPr>
          <w:i/>
          <w:w w:val="105"/>
          <w:sz w:val="16"/>
        </w:rPr>
        <w:t>The Process of Government</w:t>
      </w:r>
      <w:r>
        <w:rPr>
          <w:w w:val="105"/>
          <w:sz w:val="16"/>
        </w:rPr>
        <w:t>,   </w:t>
      </w:r>
      <w:r>
        <w:rPr>
          <w:spacing w:val="37"/>
          <w:w w:val="105"/>
          <w:sz w:val="16"/>
        </w:rPr>
        <w:t> </w:t>
      </w:r>
      <w:r>
        <w:rPr>
          <w:w w:val="105"/>
          <w:sz w:val="16"/>
        </w:rPr>
        <w:t>en cualquier acercamiento y análisis de los hechos políticos en el sistema político esta- dounidense es imprescindible considerar el </w:t>
      </w:r>
      <w:r>
        <w:rPr>
          <w:i/>
          <w:w w:val="105"/>
          <w:sz w:val="16"/>
        </w:rPr>
        <w:t>raw material</w:t>
      </w:r>
      <w:r>
        <w:rPr>
          <w:w w:val="105"/>
          <w:sz w:val="16"/>
        </w:rPr>
        <w:t>, esto es “la relación que</w:t>
      </w:r>
      <w:r>
        <w:rPr>
          <w:spacing w:val="-13"/>
          <w:w w:val="105"/>
          <w:sz w:val="16"/>
        </w:rPr>
        <w:t> </w:t>
      </w:r>
      <w:r>
        <w:rPr>
          <w:w w:val="105"/>
          <w:sz w:val="16"/>
        </w:rPr>
        <w:t>existe entre</w:t>
      </w:r>
      <w:r>
        <w:rPr>
          <w:spacing w:val="13"/>
          <w:w w:val="105"/>
          <w:sz w:val="16"/>
        </w:rPr>
        <w:t> </w:t>
      </w:r>
      <w:r>
        <w:rPr>
          <w:w w:val="105"/>
          <w:sz w:val="16"/>
        </w:rPr>
        <w:t>un</w:t>
      </w:r>
      <w:r>
        <w:rPr>
          <w:spacing w:val="13"/>
          <w:w w:val="105"/>
          <w:sz w:val="16"/>
        </w:rPr>
        <w:t> </w:t>
      </w:r>
      <w:r>
        <w:rPr>
          <w:w w:val="105"/>
          <w:sz w:val="16"/>
        </w:rPr>
        <w:t>determinado</w:t>
      </w:r>
      <w:r>
        <w:rPr>
          <w:spacing w:val="13"/>
          <w:w w:val="105"/>
          <w:sz w:val="16"/>
        </w:rPr>
        <w:t> </w:t>
      </w:r>
      <w:r>
        <w:rPr>
          <w:w w:val="105"/>
          <w:sz w:val="16"/>
        </w:rPr>
        <w:t>grupo</w:t>
      </w:r>
      <w:r>
        <w:rPr>
          <w:spacing w:val="13"/>
          <w:w w:val="105"/>
          <w:sz w:val="16"/>
        </w:rPr>
        <w:t> </w:t>
      </w:r>
      <w:r>
        <w:rPr>
          <w:w w:val="105"/>
          <w:sz w:val="16"/>
        </w:rPr>
        <w:t>de</w:t>
      </w:r>
      <w:r>
        <w:rPr>
          <w:spacing w:val="13"/>
          <w:w w:val="105"/>
          <w:sz w:val="16"/>
        </w:rPr>
        <w:t> </w:t>
      </w:r>
      <w:r>
        <w:rPr>
          <w:w w:val="105"/>
          <w:sz w:val="16"/>
        </w:rPr>
        <w:t>hombres”,</w:t>
      </w:r>
      <w:r>
        <w:rPr>
          <w:spacing w:val="13"/>
          <w:w w:val="105"/>
          <w:sz w:val="16"/>
        </w:rPr>
        <w:t> </w:t>
      </w:r>
      <w:r>
        <w:rPr>
          <w:w w:val="105"/>
          <w:sz w:val="16"/>
        </w:rPr>
        <w:t>pero</w:t>
      </w:r>
      <w:r>
        <w:rPr>
          <w:spacing w:val="13"/>
          <w:w w:val="105"/>
          <w:sz w:val="16"/>
        </w:rPr>
        <w:t> </w:t>
      </w:r>
      <w:r>
        <w:rPr>
          <w:w w:val="105"/>
          <w:sz w:val="16"/>
        </w:rPr>
        <w:t>no</w:t>
      </w:r>
      <w:r>
        <w:rPr>
          <w:spacing w:val="13"/>
          <w:w w:val="105"/>
          <w:sz w:val="16"/>
        </w:rPr>
        <w:t> </w:t>
      </w:r>
      <w:r>
        <w:rPr>
          <w:w w:val="105"/>
          <w:sz w:val="16"/>
        </w:rPr>
        <w:t>como</w:t>
      </w:r>
      <w:r>
        <w:rPr>
          <w:spacing w:val="13"/>
          <w:w w:val="105"/>
          <w:sz w:val="16"/>
        </w:rPr>
        <w:t> </w:t>
      </w:r>
      <w:r>
        <w:rPr>
          <w:w w:val="105"/>
          <w:sz w:val="16"/>
        </w:rPr>
        <w:t>individuos,</w:t>
      </w:r>
      <w:r>
        <w:rPr>
          <w:spacing w:val="13"/>
          <w:w w:val="105"/>
          <w:sz w:val="16"/>
        </w:rPr>
        <w:t> </w:t>
      </w:r>
      <w:r>
        <w:rPr>
          <w:w w:val="105"/>
          <w:sz w:val="16"/>
        </w:rPr>
        <w:t>sino</w:t>
      </w:r>
      <w:r>
        <w:rPr>
          <w:spacing w:val="13"/>
          <w:w w:val="105"/>
          <w:sz w:val="16"/>
        </w:rPr>
        <w:t> </w:t>
      </w:r>
      <w:r>
        <w:rPr>
          <w:w w:val="105"/>
          <w:sz w:val="16"/>
        </w:rPr>
        <w:t>“por</w:t>
      </w:r>
      <w:r>
        <w:rPr>
          <w:spacing w:val="13"/>
          <w:w w:val="105"/>
          <w:sz w:val="16"/>
        </w:rPr>
        <w:t> </w:t>
      </w:r>
      <w:r>
        <w:rPr>
          <w:w w:val="105"/>
          <w:sz w:val="16"/>
        </w:rPr>
        <w:t>el</w:t>
      </w:r>
      <w:r>
        <w:rPr>
          <w:spacing w:val="13"/>
          <w:w w:val="105"/>
          <w:sz w:val="16"/>
        </w:rPr>
        <w:t> </w:t>
      </w:r>
      <w:r>
        <w:rPr>
          <w:w w:val="105"/>
          <w:sz w:val="16"/>
        </w:rPr>
        <w:t>tipo</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8" w:firstLine="396"/>
        <w:jc w:val="both"/>
      </w:pPr>
      <w:r>
        <w:rPr>
          <w:w w:val="110"/>
        </w:rPr>
        <w:t>después de identificar los actores e instituciones que intervienen en</w:t>
      </w:r>
      <w:r>
        <w:rPr>
          <w:spacing w:val="-14"/>
          <w:w w:val="110"/>
        </w:rPr>
        <w:t> </w:t>
      </w:r>
      <w:r>
        <w:rPr>
          <w:w w:val="110"/>
        </w:rPr>
        <w:t>dicho</w:t>
      </w:r>
      <w:r>
        <w:rPr>
          <w:spacing w:val="-14"/>
          <w:w w:val="110"/>
        </w:rPr>
        <w:t> </w:t>
      </w:r>
      <w:r>
        <w:rPr>
          <w:w w:val="110"/>
        </w:rPr>
        <w:t>mercado</w:t>
      </w:r>
      <w:r>
        <w:rPr>
          <w:spacing w:val="-14"/>
          <w:w w:val="110"/>
        </w:rPr>
        <w:t> </w:t>
      </w:r>
      <w:r>
        <w:rPr>
          <w:w w:val="110"/>
        </w:rPr>
        <w:t>político,</w:t>
      </w:r>
      <w:r>
        <w:rPr>
          <w:spacing w:val="-14"/>
          <w:w w:val="110"/>
        </w:rPr>
        <w:t> </w:t>
      </w:r>
      <w:r>
        <w:rPr>
          <w:w w:val="110"/>
        </w:rPr>
        <w:t>el</w:t>
      </w:r>
      <w:r>
        <w:rPr>
          <w:spacing w:val="-14"/>
          <w:w w:val="110"/>
        </w:rPr>
        <w:t> </w:t>
      </w:r>
      <w:r>
        <w:rPr>
          <w:w w:val="110"/>
        </w:rPr>
        <w:t>siguiente</w:t>
      </w:r>
      <w:r>
        <w:rPr>
          <w:spacing w:val="-14"/>
          <w:w w:val="110"/>
        </w:rPr>
        <w:t> </w:t>
      </w:r>
      <w:r>
        <w:rPr>
          <w:w w:val="110"/>
        </w:rPr>
        <w:t>paso</w:t>
      </w:r>
      <w:r>
        <w:rPr>
          <w:spacing w:val="-14"/>
          <w:w w:val="110"/>
        </w:rPr>
        <w:t> </w:t>
      </w:r>
      <w:r>
        <w:rPr>
          <w:w w:val="110"/>
        </w:rPr>
        <w:t>es</w:t>
      </w:r>
      <w:r>
        <w:rPr>
          <w:spacing w:val="-14"/>
          <w:w w:val="110"/>
        </w:rPr>
        <w:t> </w:t>
      </w:r>
      <w:r>
        <w:rPr>
          <w:w w:val="110"/>
        </w:rPr>
        <w:t>analizar</w:t>
      </w:r>
      <w:r>
        <w:rPr>
          <w:spacing w:val="-14"/>
          <w:w w:val="110"/>
        </w:rPr>
        <w:t> </w:t>
      </w:r>
      <w:r>
        <w:rPr>
          <w:w w:val="110"/>
        </w:rPr>
        <w:t>el</w:t>
      </w:r>
      <w:r>
        <w:rPr>
          <w:spacing w:val="-14"/>
          <w:w w:val="110"/>
        </w:rPr>
        <w:t> </w:t>
      </w:r>
      <w:r>
        <w:rPr>
          <w:w w:val="110"/>
        </w:rPr>
        <w:t>entramado</w:t>
      </w:r>
      <w:r>
        <w:rPr>
          <w:spacing w:val="-14"/>
          <w:w w:val="110"/>
        </w:rPr>
        <w:t> </w:t>
      </w:r>
      <w:r>
        <w:rPr>
          <w:w w:val="110"/>
        </w:rPr>
        <w:t>de interacciones que se genera entre éstos (</w:t>
      </w:r>
      <w:r>
        <w:rPr>
          <w:i/>
          <w:w w:val="110"/>
        </w:rPr>
        <w:t>criss-cross groups in</w:t>
      </w:r>
      <w:r>
        <w:rPr>
          <w:i/>
          <w:spacing w:val="-13"/>
          <w:w w:val="110"/>
        </w:rPr>
        <w:t> </w:t>
      </w:r>
      <w:r>
        <w:rPr>
          <w:i/>
          <w:w w:val="110"/>
        </w:rPr>
        <w:t>action</w:t>
      </w:r>
      <w:r>
        <w:rPr>
          <w:w w:val="110"/>
        </w:rPr>
        <w:t>).</w:t>
      </w:r>
      <w:r>
        <w:rPr>
          <w:w w:val="110"/>
          <w:position w:val="7"/>
          <w:sz w:val="11"/>
        </w:rPr>
        <w:t>12 </w:t>
      </w:r>
      <w:r>
        <w:rPr>
          <w:w w:val="110"/>
        </w:rPr>
        <w:t>Entonces, si bien existe una gran literatura sobre cómo interpretar las acciones de política exterior de barack obama en sus dos administra- ciones, este recordatorio de bentley nos permite reafirmar que los re- sultados</w:t>
      </w:r>
      <w:r>
        <w:rPr>
          <w:spacing w:val="-20"/>
          <w:w w:val="110"/>
        </w:rPr>
        <w:t> </w:t>
      </w:r>
      <w:r>
        <w:rPr>
          <w:w w:val="110"/>
        </w:rPr>
        <w:t>y</w:t>
      </w:r>
      <w:r>
        <w:rPr>
          <w:spacing w:val="-20"/>
          <w:w w:val="110"/>
        </w:rPr>
        <w:t> </w:t>
      </w:r>
      <w:r>
        <w:rPr>
          <w:w w:val="110"/>
        </w:rPr>
        <w:t>estrategias</w:t>
      </w:r>
      <w:r>
        <w:rPr>
          <w:spacing w:val="-20"/>
          <w:w w:val="110"/>
        </w:rPr>
        <w:t> </w:t>
      </w:r>
      <w:r>
        <w:rPr>
          <w:w w:val="110"/>
        </w:rPr>
        <w:t>empleados</w:t>
      </w:r>
      <w:r>
        <w:rPr>
          <w:spacing w:val="-20"/>
          <w:w w:val="110"/>
        </w:rPr>
        <w:t> </w:t>
      </w:r>
      <w:r>
        <w:rPr>
          <w:w w:val="110"/>
        </w:rPr>
        <w:t>por</w:t>
      </w:r>
      <w:r>
        <w:rPr>
          <w:spacing w:val="-20"/>
          <w:w w:val="110"/>
        </w:rPr>
        <w:t> </w:t>
      </w:r>
      <w:r>
        <w:rPr>
          <w:w w:val="110"/>
        </w:rPr>
        <w:t>el</w:t>
      </w:r>
      <w:r>
        <w:rPr>
          <w:spacing w:val="-20"/>
          <w:w w:val="110"/>
        </w:rPr>
        <w:t> </w:t>
      </w:r>
      <w:r>
        <w:rPr>
          <w:w w:val="110"/>
        </w:rPr>
        <w:t>gobierno</w:t>
      </w:r>
      <w:r>
        <w:rPr>
          <w:spacing w:val="-20"/>
          <w:w w:val="110"/>
        </w:rPr>
        <w:t> </w:t>
      </w:r>
      <w:r>
        <w:rPr>
          <w:w w:val="110"/>
        </w:rPr>
        <w:t>estadounidense</w:t>
      </w:r>
      <w:r>
        <w:rPr>
          <w:spacing w:val="-20"/>
          <w:w w:val="110"/>
        </w:rPr>
        <w:t> </w:t>
      </w:r>
      <w:r>
        <w:rPr>
          <w:w w:val="110"/>
        </w:rPr>
        <w:t>actual no han sido producto de las decisiones tomadas por una sola persona; sino que son el reflejo de algunos intereses perseguidos por otros</w:t>
      </w:r>
      <w:r>
        <w:rPr>
          <w:spacing w:val="-11"/>
          <w:w w:val="110"/>
        </w:rPr>
        <w:t> </w:t>
      </w:r>
      <w:r>
        <w:rPr>
          <w:w w:val="110"/>
        </w:rPr>
        <w:t>gru- pos que según el tema, país o región deberán ser revisados de manera específica</w:t>
      </w:r>
      <w:r>
        <w:rPr>
          <w:spacing w:val="-16"/>
          <w:w w:val="110"/>
        </w:rPr>
        <w:t> </w:t>
      </w:r>
      <w:r>
        <w:rPr>
          <w:w w:val="110"/>
        </w:rPr>
        <w:t>a</w:t>
      </w:r>
      <w:r>
        <w:rPr>
          <w:spacing w:val="-16"/>
          <w:w w:val="110"/>
        </w:rPr>
        <w:t> </w:t>
      </w:r>
      <w:r>
        <w:rPr>
          <w:w w:val="110"/>
        </w:rPr>
        <w:t>fin</w:t>
      </w:r>
      <w:r>
        <w:rPr>
          <w:spacing w:val="-16"/>
          <w:w w:val="110"/>
        </w:rPr>
        <w:t> </w:t>
      </w:r>
      <w:r>
        <w:rPr>
          <w:w w:val="110"/>
        </w:rPr>
        <w:t>de</w:t>
      </w:r>
      <w:r>
        <w:rPr>
          <w:spacing w:val="-16"/>
          <w:w w:val="110"/>
        </w:rPr>
        <w:t> </w:t>
      </w:r>
      <w:r>
        <w:rPr>
          <w:w w:val="110"/>
        </w:rPr>
        <w:t>tener</w:t>
      </w:r>
      <w:r>
        <w:rPr>
          <w:spacing w:val="-16"/>
          <w:w w:val="110"/>
        </w:rPr>
        <w:t> </w:t>
      </w:r>
      <w:r>
        <w:rPr>
          <w:w w:val="110"/>
        </w:rPr>
        <w:t>una</w:t>
      </w:r>
      <w:r>
        <w:rPr>
          <w:spacing w:val="-16"/>
          <w:w w:val="110"/>
        </w:rPr>
        <w:t> </w:t>
      </w:r>
      <w:r>
        <w:rPr>
          <w:w w:val="110"/>
        </w:rPr>
        <w:t>comprensión</w:t>
      </w:r>
      <w:r>
        <w:rPr>
          <w:spacing w:val="-16"/>
          <w:w w:val="110"/>
        </w:rPr>
        <w:t> </w:t>
      </w:r>
      <w:r>
        <w:rPr>
          <w:w w:val="110"/>
        </w:rPr>
        <w:t>más</w:t>
      </w:r>
      <w:r>
        <w:rPr>
          <w:spacing w:val="-16"/>
          <w:w w:val="110"/>
        </w:rPr>
        <w:t> </w:t>
      </w:r>
      <w:r>
        <w:rPr>
          <w:w w:val="110"/>
        </w:rPr>
        <w:t>precisa</w:t>
      </w:r>
      <w:r>
        <w:rPr>
          <w:spacing w:val="-16"/>
          <w:w w:val="110"/>
        </w:rPr>
        <w:t> </w:t>
      </w:r>
      <w:r>
        <w:rPr>
          <w:w w:val="110"/>
        </w:rPr>
        <w:t>del</w:t>
      </w:r>
      <w:r>
        <w:rPr>
          <w:spacing w:val="-16"/>
          <w:w w:val="110"/>
        </w:rPr>
        <w:t> </w:t>
      </w:r>
      <w:r>
        <w:rPr>
          <w:w w:val="110"/>
        </w:rPr>
        <w:t>devenir</w:t>
      </w:r>
      <w:r>
        <w:rPr>
          <w:spacing w:val="-16"/>
          <w:w w:val="110"/>
        </w:rPr>
        <w:t> </w:t>
      </w:r>
      <w:r>
        <w:rPr>
          <w:w w:val="110"/>
        </w:rPr>
        <w:t>de</w:t>
      </w:r>
      <w:r>
        <w:rPr>
          <w:spacing w:val="-16"/>
          <w:w w:val="110"/>
        </w:rPr>
        <w:t> </w:t>
      </w:r>
      <w:r>
        <w:rPr>
          <w:w w:val="110"/>
        </w:rPr>
        <w:t>las relaciones actuales que priman en el Hemisferio</w:t>
      </w:r>
      <w:r>
        <w:rPr>
          <w:spacing w:val="9"/>
          <w:w w:val="110"/>
        </w:rPr>
        <w:t> </w:t>
      </w:r>
      <w:r>
        <w:rPr>
          <w:w w:val="110"/>
        </w:rPr>
        <w:t>occidental.</w:t>
      </w:r>
    </w:p>
    <w:p>
      <w:pPr>
        <w:pStyle w:val="BodyText"/>
        <w:spacing w:line="252" w:lineRule="auto"/>
        <w:ind w:left="330" w:right="118" w:firstLine="396"/>
        <w:jc w:val="both"/>
      </w:pPr>
      <w:r>
        <w:rPr>
          <w:w w:val="110"/>
        </w:rPr>
        <w:t>Finalmente, introducimos otra advertencia teórico-metodológica hecha por el politólogo mexicano y especialista en estudios sobre</w:t>
      </w:r>
      <w:r>
        <w:rPr>
          <w:spacing w:val="-13"/>
          <w:w w:val="110"/>
        </w:rPr>
        <w:t> </w:t>
      </w:r>
      <w:r>
        <w:rPr>
          <w:w w:val="110"/>
        </w:rPr>
        <w:t>pen- </w:t>
      </w:r>
      <w:r>
        <w:rPr>
          <w:spacing w:val="-2"/>
          <w:w w:val="109"/>
        </w:rPr>
        <w:t>samient</w:t>
      </w:r>
      <w:r>
        <w:rPr>
          <w:w w:val="109"/>
        </w:rPr>
        <w:t>o</w:t>
      </w:r>
      <w:r>
        <w:rPr/>
        <w:t> </w:t>
      </w:r>
      <w:r>
        <w:rPr>
          <w:spacing w:val="-6"/>
        </w:rPr>
        <w:t> </w:t>
      </w:r>
      <w:r>
        <w:rPr>
          <w:spacing w:val="-2"/>
          <w:w w:val="110"/>
        </w:rPr>
        <w:t>polític</w:t>
      </w:r>
      <w:r>
        <w:rPr>
          <w:w w:val="110"/>
        </w:rPr>
        <w:t>o</w:t>
      </w:r>
      <w:r>
        <w:rPr/>
        <w:t> </w:t>
      </w:r>
      <w:r>
        <w:rPr>
          <w:spacing w:val="-6"/>
        </w:rPr>
        <w:t> </w:t>
      </w:r>
      <w:r>
        <w:rPr>
          <w:spacing w:val="-2"/>
          <w:w w:val="108"/>
        </w:rPr>
        <w:t>estadounidense</w:t>
      </w:r>
      <w:r>
        <w:rPr>
          <w:w w:val="108"/>
        </w:rPr>
        <w:t>,</w:t>
      </w:r>
      <w:r>
        <w:rPr/>
        <w:t> </w:t>
      </w:r>
      <w:r>
        <w:rPr>
          <w:spacing w:val="-6"/>
        </w:rPr>
        <w:t> </w:t>
      </w:r>
      <w:r>
        <w:rPr>
          <w:spacing w:val="-2"/>
          <w:w w:val="114"/>
        </w:rPr>
        <w:t>Jos</w:t>
      </w:r>
      <w:r>
        <w:rPr>
          <w:w w:val="114"/>
        </w:rPr>
        <w:t>é</w:t>
      </w:r>
      <w:r>
        <w:rPr/>
        <w:t> </w:t>
      </w:r>
      <w:r>
        <w:rPr>
          <w:spacing w:val="-6"/>
        </w:rPr>
        <w:t> </w:t>
      </w:r>
      <w:r>
        <w:rPr>
          <w:spacing w:val="-2"/>
          <w:w w:val="241"/>
        </w:rPr>
        <w:t>l</w:t>
      </w:r>
      <w:r>
        <w:rPr>
          <w:spacing w:val="-2"/>
          <w:w w:val="109"/>
        </w:rPr>
        <w:t>ui</w:t>
      </w:r>
      <w:r>
        <w:rPr>
          <w:w w:val="109"/>
        </w:rPr>
        <w:t>s</w:t>
      </w:r>
      <w:r>
        <w:rPr/>
        <w:t> </w:t>
      </w:r>
      <w:r>
        <w:rPr>
          <w:spacing w:val="-6"/>
        </w:rPr>
        <w:t> </w:t>
      </w:r>
      <w:r>
        <w:rPr>
          <w:spacing w:val="-2"/>
          <w:w w:val="148"/>
        </w:rPr>
        <w:t>o</w:t>
      </w:r>
      <w:r>
        <w:rPr>
          <w:spacing w:val="-2"/>
          <w:w w:val="111"/>
        </w:rPr>
        <w:t>rozco</w:t>
      </w:r>
      <w:r>
        <w:rPr>
          <w:w w:val="111"/>
        </w:rPr>
        <w:t>,</w:t>
      </w:r>
      <w:r>
        <w:rPr/>
        <w:t> </w:t>
      </w:r>
      <w:r>
        <w:rPr>
          <w:spacing w:val="-6"/>
        </w:rPr>
        <w:t> </w:t>
      </w:r>
      <w:r>
        <w:rPr>
          <w:spacing w:val="-2"/>
          <w:w w:val="108"/>
        </w:rPr>
        <w:t>quie</w:t>
      </w:r>
      <w:r>
        <w:rPr>
          <w:w w:val="108"/>
        </w:rPr>
        <w:t>n</w:t>
      </w:r>
      <w:r>
        <w:rPr/>
        <w:t> </w:t>
      </w:r>
      <w:r>
        <w:rPr>
          <w:spacing w:val="-6"/>
        </w:rPr>
        <w:t> </w:t>
      </w:r>
      <w:r>
        <w:rPr>
          <w:spacing w:val="-2"/>
          <w:w w:val="108"/>
        </w:rPr>
        <w:t>no</w:t>
      </w:r>
      <w:r>
        <w:rPr>
          <w:w w:val="108"/>
        </w:rPr>
        <w:t>s</w:t>
      </w:r>
      <w:r>
        <w:rPr/>
        <w:t> </w:t>
      </w:r>
      <w:r>
        <w:rPr>
          <w:spacing w:val="-6"/>
        </w:rPr>
        <w:t> </w:t>
      </w:r>
      <w:r>
        <w:rPr>
          <w:spacing w:val="-2"/>
          <w:w w:val="108"/>
        </w:rPr>
        <w:t>invita </w:t>
      </w:r>
      <w:r>
        <w:rPr>
          <w:w w:val="115"/>
        </w:rPr>
        <w:t>a</w:t>
      </w:r>
      <w:r>
        <w:rPr>
          <w:spacing w:val="-10"/>
          <w:w w:val="115"/>
        </w:rPr>
        <w:t> </w:t>
      </w:r>
      <w:r>
        <w:rPr>
          <w:w w:val="115"/>
        </w:rPr>
        <w:t>abandonar</w:t>
      </w:r>
      <w:r>
        <w:rPr>
          <w:spacing w:val="-10"/>
          <w:w w:val="115"/>
        </w:rPr>
        <w:t> </w:t>
      </w:r>
      <w:r>
        <w:rPr>
          <w:w w:val="115"/>
        </w:rPr>
        <w:t>“esa</w:t>
      </w:r>
      <w:r>
        <w:rPr>
          <w:spacing w:val="-10"/>
          <w:w w:val="115"/>
        </w:rPr>
        <w:t> </w:t>
      </w:r>
      <w:r>
        <w:rPr>
          <w:w w:val="115"/>
        </w:rPr>
        <w:t>obsesión</w:t>
      </w:r>
      <w:r>
        <w:rPr>
          <w:spacing w:val="-10"/>
          <w:w w:val="115"/>
        </w:rPr>
        <w:t> </w:t>
      </w:r>
      <w:r>
        <w:rPr>
          <w:w w:val="115"/>
        </w:rPr>
        <w:t>de</w:t>
      </w:r>
      <w:r>
        <w:rPr>
          <w:spacing w:val="-10"/>
          <w:w w:val="115"/>
        </w:rPr>
        <w:t> </w:t>
      </w:r>
      <w:r>
        <w:rPr>
          <w:w w:val="115"/>
        </w:rPr>
        <w:t>separar</w:t>
      </w:r>
      <w:r>
        <w:rPr>
          <w:spacing w:val="-10"/>
          <w:w w:val="115"/>
        </w:rPr>
        <w:t> </w:t>
      </w:r>
      <w:r>
        <w:rPr>
          <w:w w:val="115"/>
        </w:rPr>
        <w:t>el</w:t>
      </w:r>
      <w:r>
        <w:rPr>
          <w:spacing w:val="-10"/>
          <w:w w:val="115"/>
        </w:rPr>
        <w:t> </w:t>
      </w:r>
      <w:r>
        <w:rPr>
          <w:w w:val="115"/>
        </w:rPr>
        <w:t>Estado</w:t>
      </w:r>
      <w:r>
        <w:rPr>
          <w:spacing w:val="-10"/>
          <w:w w:val="115"/>
        </w:rPr>
        <w:t> </w:t>
      </w:r>
      <w:r>
        <w:rPr>
          <w:w w:val="115"/>
        </w:rPr>
        <w:t>del</w:t>
      </w:r>
      <w:r>
        <w:rPr>
          <w:spacing w:val="-10"/>
          <w:w w:val="115"/>
        </w:rPr>
        <w:t> </w:t>
      </w:r>
      <w:r>
        <w:rPr>
          <w:w w:val="115"/>
        </w:rPr>
        <w:t>Mercado</w:t>
      </w:r>
      <w:r>
        <w:rPr>
          <w:spacing w:val="-10"/>
          <w:w w:val="115"/>
        </w:rPr>
        <w:t> </w:t>
      </w:r>
      <w:r>
        <w:rPr>
          <w:w w:val="115"/>
        </w:rPr>
        <w:t>a</w:t>
      </w:r>
      <w:r>
        <w:rPr>
          <w:spacing w:val="-10"/>
          <w:w w:val="115"/>
        </w:rPr>
        <w:t> </w:t>
      </w:r>
      <w:r>
        <w:rPr>
          <w:w w:val="115"/>
        </w:rPr>
        <w:t>fin</w:t>
      </w:r>
      <w:r>
        <w:rPr>
          <w:spacing w:val="-10"/>
          <w:w w:val="115"/>
        </w:rPr>
        <w:t> </w:t>
      </w:r>
      <w:r>
        <w:rPr>
          <w:w w:val="115"/>
        </w:rPr>
        <w:t>de entender</w:t>
      </w:r>
      <w:r>
        <w:rPr>
          <w:spacing w:val="-27"/>
          <w:w w:val="115"/>
        </w:rPr>
        <w:t> </w:t>
      </w:r>
      <w:r>
        <w:rPr>
          <w:w w:val="115"/>
        </w:rPr>
        <w:t>el</w:t>
      </w:r>
      <w:r>
        <w:rPr>
          <w:spacing w:val="-27"/>
          <w:w w:val="115"/>
        </w:rPr>
        <w:t> </w:t>
      </w:r>
      <w:r>
        <w:rPr>
          <w:i/>
          <w:w w:val="115"/>
        </w:rPr>
        <w:t>modus</w:t>
      </w:r>
      <w:r>
        <w:rPr>
          <w:i/>
          <w:spacing w:val="-27"/>
          <w:w w:val="115"/>
        </w:rPr>
        <w:t> </w:t>
      </w:r>
      <w:r>
        <w:rPr>
          <w:i/>
          <w:w w:val="115"/>
        </w:rPr>
        <w:t>operandi</w:t>
      </w:r>
      <w:r>
        <w:rPr>
          <w:i/>
          <w:spacing w:val="-27"/>
          <w:w w:val="115"/>
        </w:rPr>
        <w:t> </w:t>
      </w:r>
      <w:r>
        <w:rPr>
          <w:w w:val="115"/>
        </w:rPr>
        <w:t>de</w:t>
      </w:r>
      <w:r>
        <w:rPr>
          <w:spacing w:val="-27"/>
          <w:w w:val="115"/>
        </w:rPr>
        <w:t> </w:t>
      </w:r>
      <w:r>
        <w:rPr>
          <w:w w:val="115"/>
        </w:rPr>
        <w:t>Estados</w:t>
      </w:r>
      <w:r>
        <w:rPr>
          <w:spacing w:val="-27"/>
          <w:w w:val="115"/>
        </w:rPr>
        <w:t> </w:t>
      </w:r>
      <w:r>
        <w:rPr>
          <w:w w:val="115"/>
        </w:rPr>
        <w:t>unidos”.</w:t>
      </w:r>
      <w:r>
        <w:rPr>
          <w:spacing w:val="-27"/>
          <w:w w:val="115"/>
        </w:rPr>
        <w:t> </w:t>
      </w:r>
      <w:r>
        <w:rPr>
          <w:w w:val="115"/>
        </w:rPr>
        <w:t>orozco</w:t>
      </w:r>
      <w:r>
        <w:rPr>
          <w:spacing w:val="-27"/>
          <w:w w:val="115"/>
        </w:rPr>
        <w:t> </w:t>
      </w:r>
      <w:r>
        <w:rPr>
          <w:w w:val="115"/>
        </w:rPr>
        <w:t>menciona</w:t>
      </w:r>
      <w:r>
        <w:rPr>
          <w:spacing w:val="-27"/>
          <w:w w:val="115"/>
        </w:rPr>
        <w:t> </w:t>
      </w:r>
      <w:r>
        <w:rPr>
          <w:spacing w:val="-2"/>
          <w:w w:val="115"/>
        </w:rPr>
        <w:t>que </w:t>
      </w:r>
      <w:r>
        <w:rPr>
          <w:w w:val="115"/>
        </w:rPr>
        <w:t>estamos</w:t>
      </w:r>
      <w:r>
        <w:rPr>
          <w:spacing w:val="-6"/>
          <w:w w:val="115"/>
        </w:rPr>
        <w:t> </w:t>
      </w:r>
      <w:r>
        <w:rPr>
          <w:w w:val="115"/>
        </w:rPr>
        <w:t>frente</w:t>
      </w:r>
      <w:r>
        <w:rPr>
          <w:spacing w:val="-6"/>
          <w:w w:val="115"/>
        </w:rPr>
        <w:t> </w:t>
      </w:r>
      <w:r>
        <w:rPr>
          <w:w w:val="115"/>
        </w:rPr>
        <w:t>a</w:t>
      </w:r>
      <w:r>
        <w:rPr>
          <w:spacing w:val="-6"/>
          <w:w w:val="115"/>
        </w:rPr>
        <w:t> </w:t>
      </w:r>
      <w:r>
        <w:rPr>
          <w:w w:val="115"/>
        </w:rPr>
        <w:t>un</w:t>
      </w:r>
      <w:r>
        <w:rPr>
          <w:spacing w:val="-6"/>
          <w:w w:val="115"/>
        </w:rPr>
        <w:t> </w:t>
      </w:r>
      <w:r>
        <w:rPr>
          <w:i/>
          <w:w w:val="115"/>
        </w:rPr>
        <w:t>pragmatismo</w:t>
      </w:r>
      <w:r>
        <w:rPr>
          <w:i/>
          <w:spacing w:val="-6"/>
          <w:w w:val="115"/>
        </w:rPr>
        <w:t> </w:t>
      </w:r>
      <w:r>
        <w:rPr>
          <w:w w:val="115"/>
        </w:rPr>
        <w:t>que</w:t>
      </w:r>
      <w:r>
        <w:rPr>
          <w:spacing w:val="-6"/>
          <w:w w:val="115"/>
        </w:rPr>
        <w:t> </w:t>
      </w:r>
      <w:r>
        <w:rPr>
          <w:w w:val="115"/>
        </w:rPr>
        <w:t>“desbanca</w:t>
      </w:r>
      <w:r>
        <w:rPr>
          <w:spacing w:val="-6"/>
          <w:w w:val="115"/>
        </w:rPr>
        <w:t> </w:t>
      </w:r>
      <w:r>
        <w:rPr>
          <w:w w:val="115"/>
        </w:rPr>
        <w:t>los</w:t>
      </w:r>
      <w:r>
        <w:rPr>
          <w:spacing w:val="-6"/>
          <w:w w:val="115"/>
        </w:rPr>
        <w:t> </w:t>
      </w:r>
      <w:r>
        <w:rPr>
          <w:w w:val="115"/>
        </w:rPr>
        <w:t>determinismos </w:t>
      </w:r>
      <w:r>
        <w:rPr>
          <w:w w:val="110"/>
        </w:rPr>
        <w:t>idealistas y materialistas y cancela los absolutismos éticos y</w:t>
      </w:r>
      <w:r>
        <w:rPr>
          <w:spacing w:val="-23"/>
          <w:w w:val="110"/>
        </w:rPr>
        <w:t> </w:t>
      </w:r>
      <w:r>
        <w:rPr>
          <w:w w:val="110"/>
        </w:rPr>
        <w:t>políticos”. sugiere</w:t>
      </w:r>
      <w:r>
        <w:rPr>
          <w:spacing w:val="-18"/>
          <w:w w:val="110"/>
        </w:rPr>
        <w:t> </w:t>
      </w:r>
      <w:r>
        <w:rPr>
          <w:w w:val="110"/>
        </w:rPr>
        <w:t>un</w:t>
      </w:r>
      <w:r>
        <w:rPr>
          <w:spacing w:val="-18"/>
          <w:w w:val="110"/>
        </w:rPr>
        <w:t> </w:t>
      </w:r>
      <w:r>
        <w:rPr>
          <w:w w:val="110"/>
        </w:rPr>
        <w:t>razonamiento</w:t>
      </w:r>
      <w:r>
        <w:rPr>
          <w:spacing w:val="-18"/>
          <w:w w:val="110"/>
        </w:rPr>
        <w:t> </w:t>
      </w:r>
      <w:r>
        <w:rPr>
          <w:w w:val="110"/>
        </w:rPr>
        <w:t>que</w:t>
      </w:r>
      <w:r>
        <w:rPr>
          <w:spacing w:val="-18"/>
          <w:w w:val="110"/>
        </w:rPr>
        <w:t> </w:t>
      </w:r>
      <w:r>
        <w:rPr>
          <w:i/>
          <w:w w:val="110"/>
        </w:rPr>
        <w:t>deconstruya</w:t>
      </w:r>
      <w:r>
        <w:rPr>
          <w:i/>
          <w:spacing w:val="-18"/>
          <w:w w:val="110"/>
        </w:rPr>
        <w:t> </w:t>
      </w:r>
      <w:r>
        <w:rPr>
          <w:w w:val="110"/>
        </w:rPr>
        <w:t>la</w:t>
      </w:r>
      <w:r>
        <w:rPr>
          <w:spacing w:val="-18"/>
          <w:w w:val="110"/>
        </w:rPr>
        <w:t> </w:t>
      </w:r>
      <w:r>
        <w:rPr>
          <w:w w:val="110"/>
        </w:rPr>
        <w:t>pirámide</w:t>
      </w:r>
      <w:r>
        <w:rPr>
          <w:spacing w:val="-18"/>
          <w:w w:val="110"/>
        </w:rPr>
        <w:t> </w:t>
      </w:r>
      <w:r>
        <w:rPr>
          <w:w w:val="110"/>
        </w:rPr>
        <w:t>rígida</w:t>
      </w:r>
      <w:r>
        <w:rPr>
          <w:spacing w:val="-18"/>
          <w:w w:val="110"/>
        </w:rPr>
        <w:t> </w:t>
      </w:r>
      <w:r>
        <w:rPr>
          <w:w w:val="110"/>
        </w:rPr>
        <w:t>con</w:t>
      </w:r>
      <w:r>
        <w:rPr>
          <w:spacing w:val="-18"/>
          <w:w w:val="110"/>
        </w:rPr>
        <w:t> </w:t>
      </w:r>
      <w:r>
        <w:rPr>
          <w:w w:val="110"/>
        </w:rPr>
        <w:t>estruc- </w:t>
      </w:r>
      <w:r>
        <w:rPr>
          <w:w w:val="115"/>
        </w:rPr>
        <w:t>tura</w:t>
      </w:r>
      <w:r>
        <w:rPr>
          <w:spacing w:val="-27"/>
          <w:w w:val="115"/>
        </w:rPr>
        <w:t> </w:t>
      </w:r>
      <w:r>
        <w:rPr>
          <w:w w:val="115"/>
        </w:rPr>
        <w:t>vertical</w:t>
      </w:r>
      <w:r>
        <w:rPr>
          <w:spacing w:val="-27"/>
          <w:w w:val="115"/>
        </w:rPr>
        <w:t> </w:t>
      </w:r>
      <w:r>
        <w:rPr>
          <w:w w:val="115"/>
        </w:rPr>
        <w:t>del</w:t>
      </w:r>
      <w:r>
        <w:rPr>
          <w:spacing w:val="-27"/>
          <w:w w:val="115"/>
        </w:rPr>
        <w:t> </w:t>
      </w:r>
      <w:r>
        <w:rPr>
          <w:w w:val="115"/>
        </w:rPr>
        <w:t>Estado</w:t>
      </w:r>
      <w:r>
        <w:rPr>
          <w:spacing w:val="-27"/>
          <w:w w:val="115"/>
        </w:rPr>
        <w:t> </w:t>
      </w:r>
      <w:r>
        <w:rPr>
          <w:w w:val="115"/>
        </w:rPr>
        <w:t>que</w:t>
      </w:r>
      <w:r>
        <w:rPr>
          <w:spacing w:val="-27"/>
          <w:w w:val="115"/>
        </w:rPr>
        <w:t> </w:t>
      </w:r>
      <w:r>
        <w:rPr>
          <w:w w:val="115"/>
        </w:rPr>
        <w:t>minimiza</w:t>
      </w:r>
      <w:r>
        <w:rPr>
          <w:spacing w:val="-27"/>
          <w:w w:val="115"/>
        </w:rPr>
        <w:t> </w:t>
      </w:r>
      <w:r>
        <w:rPr>
          <w:w w:val="115"/>
        </w:rPr>
        <w:t>su</w:t>
      </w:r>
      <w:r>
        <w:rPr>
          <w:spacing w:val="-27"/>
          <w:w w:val="115"/>
        </w:rPr>
        <w:t> </w:t>
      </w:r>
      <w:r>
        <w:rPr>
          <w:w w:val="115"/>
        </w:rPr>
        <w:t>dispositivos</w:t>
      </w:r>
      <w:r>
        <w:rPr>
          <w:spacing w:val="-27"/>
          <w:w w:val="115"/>
        </w:rPr>
        <w:t> </w:t>
      </w:r>
      <w:r>
        <w:rPr>
          <w:w w:val="115"/>
        </w:rPr>
        <w:t>de</w:t>
      </w:r>
      <w:r>
        <w:rPr>
          <w:spacing w:val="-27"/>
          <w:w w:val="115"/>
        </w:rPr>
        <w:t> </w:t>
      </w:r>
      <w:r>
        <w:rPr>
          <w:w w:val="115"/>
        </w:rPr>
        <w:t>dominación</w:t>
      </w:r>
      <w:r>
        <w:rPr>
          <w:spacing w:val="-27"/>
          <w:w w:val="115"/>
        </w:rPr>
        <w:t> </w:t>
      </w:r>
      <w:r>
        <w:rPr>
          <w:w w:val="115"/>
        </w:rPr>
        <w:t>y los</w:t>
      </w:r>
      <w:r>
        <w:rPr>
          <w:spacing w:val="-21"/>
          <w:w w:val="115"/>
        </w:rPr>
        <w:t> </w:t>
      </w:r>
      <w:r>
        <w:rPr>
          <w:w w:val="115"/>
        </w:rPr>
        <w:t>combina</w:t>
      </w:r>
      <w:r>
        <w:rPr>
          <w:spacing w:val="-21"/>
          <w:w w:val="115"/>
        </w:rPr>
        <w:t> </w:t>
      </w:r>
      <w:r>
        <w:rPr>
          <w:w w:val="115"/>
        </w:rPr>
        <w:t>–en</w:t>
      </w:r>
      <w:r>
        <w:rPr>
          <w:spacing w:val="-21"/>
          <w:w w:val="115"/>
        </w:rPr>
        <w:t> </w:t>
      </w:r>
      <w:r>
        <w:rPr>
          <w:w w:val="115"/>
        </w:rPr>
        <w:t>cambio–</w:t>
      </w:r>
      <w:r>
        <w:rPr>
          <w:spacing w:val="-21"/>
          <w:w w:val="115"/>
        </w:rPr>
        <w:t> </w:t>
      </w:r>
      <w:r>
        <w:rPr>
          <w:w w:val="115"/>
        </w:rPr>
        <w:t>con</w:t>
      </w:r>
      <w:r>
        <w:rPr>
          <w:spacing w:val="-21"/>
          <w:w w:val="115"/>
        </w:rPr>
        <w:t> </w:t>
      </w:r>
      <w:r>
        <w:rPr>
          <w:w w:val="115"/>
        </w:rPr>
        <w:t>la</w:t>
      </w:r>
      <w:r>
        <w:rPr>
          <w:spacing w:val="-21"/>
          <w:w w:val="115"/>
        </w:rPr>
        <w:t> </w:t>
      </w:r>
      <w:r>
        <w:rPr>
          <w:w w:val="115"/>
        </w:rPr>
        <w:t>introducción</w:t>
      </w:r>
      <w:r>
        <w:rPr>
          <w:spacing w:val="-21"/>
          <w:w w:val="115"/>
        </w:rPr>
        <w:t> </w:t>
      </w:r>
      <w:r>
        <w:rPr>
          <w:w w:val="115"/>
        </w:rPr>
        <w:t>de</w:t>
      </w:r>
      <w:r>
        <w:rPr>
          <w:spacing w:val="-21"/>
          <w:w w:val="115"/>
        </w:rPr>
        <w:t> </w:t>
      </w:r>
      <w:r>
        <w:rPr>
          <w:w w:val="115"/>
        </w:rPr>
        <w:t>métodos</w:t>
      </w:r>
      <w:r>
        <w:rPr>
          <w:spacing w:val="-21"/>
          <w:w w:val="115"/>
        </w:rPr>
        <w:t> </w:t>
      </w:r>
      <w:r>
        <w:rPr>
          <w:w w:val="115"/>
        </w:rPr>
        <w:t>que</w:t>
      </w:r>
      <w:r>
        <w:rPr>
          <w:spacing w:val="-21"/>
          <w:w w:val="115"/>
        </w:rPr>
        <w:t> </w:t>
      </w:r>
      <w:r>
        <w:rPr>
          <w:w w:val="115"/>
        </w:rPr>
        <w:t>se</w:t>
      </w:r>
      <w:r>
        <w:rPr>
          <w:spacing w:val="-21"/>
          <w:w w:val="115"/>
        </w:rPr>
        <w:t> </w:t>
      </w:r>
      <w:r>
        <w:rPr>
          <w:w w:val="115"/>
        </w:rPr>
        <w:t>“sec- </w:t>
      </w:r>
      <w:r>
        <w:rPr>
          <w:w w:val="110"/>
        </w:rPr>
        <w:t>cionan, sectorializan y rejerarquizan”; pues nos encontramos frente a </w:t>
      </w:r>
      <w:r>
        <w:rPr>
          <w:w w:val="115"/>
        </w:rPr>
        <w:t>una</w:t>
      </w:r>
      <w:r>
        <w:rPr>
          <w:spacing w:val="-28"/>
          <w:w w:val="115"/>
        </w:rPr>
        <w:t> </w:t>
      </w:r>
      <w:r>
        <w:rPr>
          <w:w w:val="115"/>
        </w:rPr>
        <w:t>entidad</w:t>
      </w:r>
      <w:r>
        <w:rPr>
          <w:spacing w:val="-28"/>
          <w:w w:val="115"/>
        </w:rPr>
        <w:t> </w:t>
      </w:r>
      <w:r>
        <w:rPr>
          <w:w w:val="115"/>
        </w:rPr>
        <w:t>estatal</w:t>
      </w:r>
      <w:r>
        <w:rPr>
          <w:spacing w:val="-28"/>
          <w:w w:val="115"/>
        </w:rPr>
        <w:t> </w:t>
      </w:r>
      <w:r>
        <w:rPr>
          <w:w w:val="115"/>
        </w:rPr>
        <w:t>y</w:t>
      </w:r>
      <w:r>
        <w:rPr>
          <w:spacing w:val="-28"/>
          <w:w w:val="115"/>
        </w:rPr>
        <w:t> </w:t>
      </w:r>
      <w:r>
        <w:rPr>
          <w:w w:val="115"/>
        </w:rPr>
        <w:t>de</w:t>
      </w:r>
      <w:r>
        <w:rPr>
          <w:spacing w:val="-28"/>
          <w:w w:val="115"/>
        </w:rPr>
        <w:t> </w:t>
      </w:r>
      <w:r>
        <w:rPr>
          <w:w w:val="115"/>
        </w:rPr>
        <w:t>mercado</w:t>
      </w:r>
      <w:r>
        <w:rPr>
          <w:spacing w:val="-28"/>
          <w:w w:val="115"/>
        </w:rPr>
        <w:t> </w:t>
      </w:r>
      <w:r>
        <w:rPr>
          <w:w w:val="115"/>
        </w:rPr>
        <w:t>que</w:t>
      </w:r>
      <w:r>
        <w:rPr>
          <w:spacing w:val="-28"/>
          <w:w w:val="115"/>
        </w:rPr>
        <w:t> </w:t>
      </w:r>
      <w:r>
        <w:rPr>
          <w:w w:val="115"/>
        </w:rPr>
        <w:t>es</w:t>
      </w:r>
      <w:r>
        <w:rPr>
          <w:spacing w:val="-28"/>
          <w:w w:val="115"/>
        </w:rPr>
        <w:t> </w:t>
      </w:r>
      <w:r>
        <w:rPr>
          <w:w w:val="115"/>
        </w:rPr>
        <w:t>indivisible</w:t>
      </w:r>
      <w:r>
        <w:rPr>
          <w:spacing w:val="-28"/>
          <w:w w:val="115"/>
        </w:rPr>
        <w:t> </w:t>
      </w:r>
      <w:r>
        <w:rPr>
          <w:w w:val="115"/>
        </w:rPr>
        <w:t>y</w:t>
      </w:r>
      <w:r>
        <w:rPr>
          <w:spacing w:val="-28"/>
          <w:w w:val="115"/>
        </w:rPr>
        <w:t> </w:t>
      </w:r>
      <w:r>
        <w:rPr>
          <w:w w:val="115"/>
        </w:rPr>
        <w:t>que</w:t>
      </w:r>
      <w:r>
        <w:rPr>
          <w:spacing w:val="-28"/>
          <w:w w:val="115"/>
        </w:rPr>
        <w:t> </w:t>
      </w:r>
      <w:r>
        <w:rPr>
          <w:w w:val="115"/>
        </w:rPr>
        <w:t>“relativiza</w:t>
      </w:r>
      <w:r>
        <w:rPr>
          <w:spacing w:val="-28"/>
          <w:w w:val="115"/>
        </w:rPr>
        <w:t> </w:t>
      </w:r>
      <w:r>
        <w:rPr>
          <w:w w:val="115"/>
        </w:rPr>
        <w:t>su </w:t>
      </w:r>
      <w:r>
        <w:rPr>
          <w:w w:val="110"/>
        </w:rPr>
        <w:t>soberanía</w:t>
      </w:r>
      <w:r>
        <w:rPr>
          <w:spacing w:val="-22"/>
          <w:w w:val="110"/>
        </w:rPr>
        <w:t> </w:t>
      </w:r>
      <w:r>
        <w:rPr>
          <w:w w:val="110"/>
        </w:rPr>
        <w:t>cuando</w:t>
      </w:r>
      <w:r>
        <w:rPr>
          <w:spacing w:val="-22"/>
          <w:w w:val="110"/>
        </w:rPr>
        <w:t> </w:t>
      </w:r>
      <w:r>
        <w:rPr>
          <w:w w:val="110"/>
        </w:rPr>
        <w:t>se</w:t>
      </w:r>
      <w:r>
        <w:rPr>
          <w:spacing w:val="-22"/>
          <w:w w:val="110"/>
        </w:rPr>
        <w:t> </w:t>
      </w:r>
      <w:r>
        <w:rPr>
          <w:w w:val="110"/>
        </w:rPr>
        <w:t>trata</w:t>
      </w:r>
      <w:r>
        <w:rPr>
          <w:spacing w:val="-22"/>
          <w:w w:val="110"/>
        </w:rPr>
        <w:t> </w:t>
      </w:r>
      <w:r>
        <w:rPr>
          <w:w w:val="110"/>
        </w:rPr>
        <w:t>de</w:t>
      </w:r>
      <w:r>
        <w:rPr>
          <w:spacing w:val="-22"/>
          <w:w w:val="110"/>
        </w:rPr>
        <w:t> </w:t>
      </w:r>
      <w:r>
        <w:rPr>
          <w:w w:val="110"/>
        </w:rPr>
        <w:t>asuntos</w:t>
      </w:r>
      <w:r>
        <w:rPr>
          <w:spacing w:val="-22"/>
          <w:w w:val="110"/>
        </w:rPr>
        <w:t> </w:t>
      </w:r>
      <w:r>
        <w:rPr>
          <w:w w:val="110"/>
        </w:rPr>
        <w:t>domésticos,</w:t>
      </w:r>
      <w:r>
        <w:rPr>
          <w:spacing w:val="-22"/>
          <w:w w:val="110"/>
        </w:rPr>
        <w:t> </w:t>
      </w:r>
      <w:r>
        <w:rPr>
          <w:w w:val="110"/>
        </w:rPr>
        <w:t>más</w:t>
      </w:r>
      <w:r>
        <w:rPr>
          <w:spacing w:val="-22"/>
          <w:w w:val="110"/>
        </w:rPr>
        <w:t> </w:t>
      </w:r>
      <w:r>
        <w:rPr>
          <w:w w:val="110"/>
        </w:rPr>
        <w:t>no</w:t>
      </w:r>
      <w:r>
        <w:rPr>
          <w:spacing w:val="-22"/>
          <w:w w:val="110"/>
        </w:rPr>
        <w:t> </w:t>
      </w:r>
      <w:r>
        <w:rPr>
          <w:w w:val="110"/>
        </w:rPr>
        <w:t>en</w:t>
      </w:r>
      <w:r>
        <w:rPr>
          <w:spacing w:val="-22"/>
          <w:w w:val="110"/>
        </w:rPr>
        <w:t> </w:t>
      </w:r>
      <w:r>
        <w:rPr>
          <w:w w:val="110"/>
        </w:rPr>
        <w:t>el</w:t>
      </w:r>
      <w:r>
        <w:rPr>
          <w:spacing w:val="-22"/>
          <w:w w:val="110"/>
        </w:rPr>
        <w:t> </w:t>
      </w:r>
      <w:r>
        <w:rPr>
          <w:w w:val="110"/>
        </w:rPr>
        <w:t>escenario internacional,</w:t>
      </w:r>
      <w:r>
        <w:rPr>
          <w:spacing w:val="-20"/>
          <w:w w:val="110"/>
        </w:rPr>
        <w:t> </w:t>
      </w:r>
      <w:r>
        <w:rPr>
          <w:w w:val="110"/>
        </w:rPr>
        <w:t>pues</w:t>
      </w:r>
      <w:r>
        <w:rPr>
          <w:spacing w:val="-20"/>
          <w:w w:val="110"/>
        </w:rPr>
        <w:t> </w:t>
      </w:r>
      <w:r>
        <w:rPr>
          <w:w w:val="110"/>
        </w:rPr>
        <w:t>en</w:t>
      </w:r>
      <w:r>
        <w:rPr>
          <w:spacing w:val="-20"/>
          <w:w w:val="110"/>
        </w:rPr>
        <w:t> </w:t>
      </w:r>
      <w:r>
        <w:rPr>
          <w:w w:val="110"/>
        </w:rPr>
        <w:t>este</w:t>
      </w:r>
      <w:r>
        <w:rPr>
          <w:spacing w:val="-20"/>
          <w:w w:val="110"/>
        </w:rPr>
        <w:t> </w:t>
      </w:r>
      <w:r>
        <w:rPr>
          <w:w w:val="110"/>
        </w:rPr>
        <w:t>nivel</w:t>
      </w:r>
      <w:r>
        <w:rPr>
          <w:spacing w:val="-20"/>
          <w:w w:val="110"/>
        </w:rPr>
        <w:t> </w:t>
      </w:r>
      <w:r>
        <w:rPr>
          <w:w w:val="110"/>
        </w:rPr>
        <w:t>se</w:t>
      </w:r>
      <w:r>
        <w:rPr>
          <w:spacing w:val="-20"/>
          <w:w w:val="110"/>
        </w:rPr>
        <w:t> </w:t>
      </w:r>
      <w:r>
        <w:rPr>
          <w:w w:val="110"/>
        </w:rPr>
        <w:t>“descentralizan</w:t>
      </w:r>
      <w:r>
        <w:rPr>
          <w:spacing w:val="-20"/>
          <w:w w:val="110"/>
        </w:rPr>
        <w:t> </w:t>
      </w:r>
      <w:r>
        <w:rPr>
          <w:w w:val="110"/>
        </w:rPr>
        <w:t>y</w:t>
      </w:r>
      <w:r>
        <w:rPr>
          <w:spacing w:val="-20"/>
          <w:w w:val="110"/>
        </w:rPr>
        <w:t> </w:t>
      </w:r>
      <w:r>
        <w:rPr>
          <w:w w:val="110"/>
        </w:rPr>
        <w:t>refortalecen</w:t>
      </w:r>
      <w:r>
        <w:rPr>
          <w:spacing w:val="-20"/>
          <w:w w:val="110"/>
        </w:rPr>
        <w:t> </w:t>
      </w:r>
      <w:r>
        <w:rPr>
          <w:w w:val="110"/>
        </w:rPr>
        <w:t>los</w:t>
      </w:r>
      <w:r>
        <w:rPr>
          <w:spacing w:val="-20"/>
          <w:w w:val="110"/>
        </w:rPr>
        <w:t> </w:t>
      </w:r>
      <w:r>
        <w:rPr>
          <w:w w:val="110"/>
        </w:rPr>
        <w:t>es- pacios</w:t>
      </w:r>
      <w:r>
        <w:rPr>
          <w:spacing w:val="-24"/>
          <w:w w:val="110"/>
        </w:rPr>
        <w:t> </w:t>
      </w:r>
      <w:r>
        <w:rPr>
          <w:w w:val="110"/>
        </w:rPr>
        <w:t>nacionales</w:t>
      </w:r>
      <w:r>
        <w:rPr>
          <w:spacing w:val="-24"/>
          <w:w w:val="110"/>
        </w:rPr>
        <w:t> </w:t>
      </w:r>
      <w:r>
        <w:rPr>
          <w:w w:val="110"/>
        </w:rPr>
        <w:t>y</w:t>
      </w:r>
      <w:r>
        <w:rPr>
          <w:spacing w:val="-24"/>
          <w:w w:val="110"/>
        </w:rPr>
        <w:t> </w:t>
      </w:r>
      <w:r>
        <w:rPr>
          <w:w w:val="110"/>
        </w:rPr>
        <w:t>transnacionales</w:t>
      </w:r>
      <w:r>
        <w:rPr>
          <w:spacing w:val="-24"/>
          <w:w w:val="110"/>
        </w:rPr>
        <w:t> </w:t>
      </w:r>
      <w:r>
        <w:rPr>
          <w:w w:val="110"/>
        </w:rPr>
        <w:t>del</w:t>
      </w:r>
      <w:r>
        <w:rPr>
          <w:spacing w:val="-24"/>
          <w:w w:val="110"/>
        </w:rPr>
        <w:t> </w:t>
      </w:r>
      <w:r>
        <w:rPr>
          <w:w w:val="110"/>
        </w:rPr>
        <w:t>capitalismo</w:t>
      </w:r>
      <w:r>
        <w:rPr>
          <w:spacing w:val="-24"/>
          <w:w w:val="110"/>
        </w:rPr>
        <w:t> </w:t>
      </w:r>
      <w:r>
        <w:rPr>
          <w:w w:val="110"/>
        </w:rPr>
        <w:t>estadounidense”</w:t>
      </w:r>
      <w:r>
        <w:rPr>
          <w:w w:val="110"/>
          <w:position w:val="7"/>
          <w:sz w:val="11"/>
        </w:rPr>
        <w:t>13</w:t>
      </w:r>
      <w:r>
        <w:rPr>
          <w:w w:val="110"/>
        </w:rPr>
        <w:t>.</w:t>
      </w:r>
    </w:p>
    <w:p>
      <w:pPr>
        <w:pStyle w:val="BodyText"/>
        <w:spacing w:line="252" w:lineRule="auto"/>
        <w:ind w:left="330" w:right="118" w:firstLine="396"/>
        <w:jc w:val="both"/>
      </w:pPr>
      <w:r>
        <w:rPr>
          <w:w w:val="110"/>
        </w:rPr>
        <w:t>No obstante, lo anterior no debe ser interpretado como una falta de atribución estatal (</w:t>
      </w:r>
      <w:r>
        <w:rPr>
          <w:i/>
          <w:w w:val="110"/>
        </w:rPr>
        <w:t>statelessness</w:t>
      </w:r>
      <w:r>
        <w:rPr>
          <w:w w:val="110"/>
        </w:rPr>
        <w:t>), ni mucho menos como una </w:t>
      </w:r>
      <w:r>
        <w:rPr>
          <w:spacing w:val="-5"/>
          <w:w w:val="110"/>
        </w:rPr>
        <w:t>inter- </w:t>
      </w:r>
      <w:r>
        <w:rPr>
          <w:w w:val="110"/>
        </w:rPr>
        <w:t>pretación</w:t>
      </w:r>
      <w:r>
        <w:rPr>
          <w:spacing w:val="-12"/>
          <w:w w:val="110"/>
        </w:rPr>
        <w:t> </w:t>
      </w:r>
      <w:r>
        <w:rPr>
          <w:w w:val="110"/>
        </w:rPr>
        <w:t>de</w:t>
      </w:r>
      <w:r>
        <w:rPr>
          <w:spacing w:val="-12"/>
          <w:w w:val="110"/>
        </w:rPr>
        <w:t> </w:t>
      </w:r>
      <w:r>
        <w:rPr>
          <w:w w:val="110"/>
        </w:rPr>
        <w:t>anarquía</w:t>
      </w:r>
      <w:r>
        <w:rPr>
          <w:spacing w:val="-12"/>
          <w:w w:val="110"/>
        </w:rPr>
        <w:t> </w:t>
      </w:r>
      <w:r>
        <w:rPr>
          <w:w w:val="110"/>
        </w:rPr>
        <w:t>política</w:t>
      </w:r>
      <w:r>
        <w:rPr>
          <w:spacing w:val="-12"/>
          <w:w w:val="110"/>
        </w:rPr>
        <w:t> </w:t>
      </w:r>
      <w:r>
        <w:rPr>
          <w:w w:val="110"/>
        </w:rPr>
        <w:t>o</w:t>
      </w:r>
      <w:r>
        <w:rPr>
          <w:spacing w:val="-12"/>
          <w:w w:val="110"/>
        </w:rPr>
        <w:t> </w:t>
      </w:r>
      <w:r>
        <w:rPr>
          <w:w w:val="110"/>
        </w:rPr>
        <w:t>filosófica</w:t>
      </w:r>
      <w:r>
        <w:rPr>
          <w:spacing w:val="-12"/>
          <w:w w:val="110"/>
        </w:rPr>
        <w:t> </w:t>
      </w:r>
      <w:r>
        <w:rPr>
          <w:w w:val="110"/>
        </w:rPr>
        <w:t>ni</w:t>
      </w:r>
      <w:r>
        <w:rPr>
          <w:spacing w:val="-12"/>
          <w:w w:val="110"/>
        </w:rPr>
        <w:t> </w:t>
      </w:r>
      <w:r>
        <w:rPr>
          <w:w w:val="110"/>
        </w:rPr>
        <w:t>de</w:t>
      </w:r>
      <w:r>
        <w:rPr>
          <w:spacing w:val="-12"/>
          <w:w w:val="110"/>
        </w:rPr>
        <w:t> </w:t>
      </w:r>
      <w:r>
        <w:rPr>
          <w:w w:val="110"/>
        </w:rPr>
        <w:t>falta</w:t>
      </w:r>
      <w:r>
        <w:rPr>
          <w:spacing w:val="-12"/>
          <w:w w:val="110"/>
        </w:rPr>
        <w:t> </w:t>
      </w:r>
      <w:r>
        <w:rPr>
          <w:w w:val="110"/>
        </w:rPr>
        <w:t>de</w:t>
      </w:r>
      <w:r>
        <w:rPr>
          <w:spacing w:val="-12"/>
          <w:w w:val="110"/>
        </w:rPr>
        <w:t> </w:t>
      </w:r>
      <w:r>
        <w:rPr>
          <w:w w:val="110"/>
        </w:rPr>
        <w:t>estructura</w:t>
      </w:r>
      <w:r>
        <w:rPr>
          <w:spacing w:val="-12"/>
          <w:w w:val="110"/>
        </w:rPr>
        <w:t> </w:t>
      </w:r>
      <w:r>
        <w:rPr>
          <w:w w:val="110"/>
        </w:rPr>
        <w:t>insti- tucional interna, es –en todo caso– el llamado a la relectura del </w:t>
      </w:r>
      <w:r>
        <w:rPr>
          <w:spacing w:val="-2"/>
          <w:w w:val="110"/>
        </w:rPr>
        <w:t>Estado </w:t>
      </w:r>
      <w:r>
        <w:rPr>
          <w:w w:val="110"/>
        </w:rPr>
        <w:t>norteamericano</w:t>
      </w:r>
      <w:r>
        <w:rPr>
          <w:w w:val="110"/>
          <w:position w:val="7"/>
          <w:sz w:val="11"/>
        </w:rPr>
        <w:t>14 </w:t>
      </w:r>
      <w:r>
        <w:rPr>
          <w:w w:val="110"/>
        </w:rPr>
        <w:t>a</w:t>
      </w:r>
      <w:r>
        <w:rPr>
          <w:spacing w:val="-19"/>
          <w:w w:val="110"/>
        </w:rPr>
        <w:t> </w:t>
      </w:r>
      <w:r>
        <w:rPr>
          <w:w w:val="110"/>
        </w:rPr>
        <w:t>través</w:t>
      </w:r>
      <w:r>
        <w:rPr>
          <w:spacing w:val="-19"/>
          <w:w w:val="110"/>
        </w:rPr>
        <w:t> </w:t>
      </w:r>
      <w:r>
        <w:rPr>
          <w:w w:val="110"/>
        </w:rPr>
        <w:t>del</w:t>
      </w:r>
      <w:r>
        <w:rPr>
          <w:spacing w:val="-19"/>
          <w:w w:val="110"/>
        </w:rPr>
        <w:t> </w:t>
      </w:r>
      <w:r>
        <w:rPr>
          <w:w w:val="110"/>
        </w:rPr>
        <w:t>estudio</w:t>
      </w:r>
      <w:r>
        <w:rPr>
          <w:spacing w:val="-19"/>
          <w:w w:val="110"/>
        </w:rPr>
        <w:t> </w:t>
      </w:r>
      <w:r>
        <w:rPr>
          <w:w w:val="110"/>
        </w:rPr>
        <w:t>de</w:t>
      </w:r>
      <w:r>
        <w:rPr>
          <w:spacing w:val="-19"/>
          <w:w w:val="110"/>
        </w:rPr>
        <w:t> </w:t>
      </w:r>
      <w:r>
        <w:rPr>
          <w:w w:val="110"/>
        </w:rPr>
        <w:t>los</w:t>
      </w:r>
      <w:r>
        <w:rPr>
          <w:spacing w:val="-19"/>
          <w:w w:val="110"/>
        </w:rPr>
        <w:t> </w:t>
      </w:r>
      <w:r>
        <w:rPr>
          <w:w w:val="110"/>
        </w:rPr>
        <w:t>diferentes</w:t>
      </w:r>
      <w:r>
        <w:rPr>
          <w:spacing w:val="-19"/>
          <w:w w:val="110"/>
        </w:rPr>
        <w:t> </w:t>
      </w:r>
      <w:r>
        <w:rPr>
          <w:w w:val="110"/>
        </w:rPr>
        <w:t>centros</w:t>
      </w:r>
      <w:r>
        <w:rPr>
          <w:spacing w:val="-19"/>
          <w:w w:val="110"/>
        </w:rPr>
        <w:t> </w:t>
      </w:r>
      <w:r>
        <w:rPr>
          <w:w w:val="110"/>
        </w:rPr>
        <w:t>de</w:t>
      </w:r>
      <w:r>
        <w:rPr>
          <w:spacing w:val="-19"/>
          <w:w w:val="110"/>
        </w:rPr>
        <w:t> </w:t>
      </w:r>
      <w:r>
        <w:rPr>
          <w:w w:val="110"/>
        </w:rPr>
        <w:t>poder e</w:t>
      </w:r>
      <w:r>
        <w:rPr>
          <w:spacing w:val="-9"/>
          <w:w w:val="110"/>
        </w:rPr>
        <w:t> </w:t>
      </w:r>
      <w:r>
        <w:rPr>
          <w:w w:val="110"/>
        </w:rPr>
        <w:t>interés</w:t>
      </w:r>
      <w:r>
        <w:rPr>
          <w:spacing w:val="-9"/>
          <w:w w:val="110"/>
        </w:rPr>
        <w:t> </w:t>
      </w:r>
      <w:r>
        <w:rPr>
          <w:w w:val="110"/>
        </w:rPr>
        <w:t>que</w:t>
      </w:r>
      <w:r>
        <w:rPr>
          <w:spacing w:val="-9"/>
          <w:w w:val="110"/>
        </w:rPr>
        <w:t> </w:t>
      </w:r>
      <w:r>
        <w:rPr>
          <w:w w:val="110"/>
        </w:rPr>
        <w:t>lo</w:t>
      </w:r>
      <w:r>
        <w:rPr>
          <w:spacing w:val="-9"/>
          <w:w w:val="110"/>
        </w:rPr>
        <w:t> </w:t>
      </w:r>
      <w:r>
        <w:rPr>
          <w:w w:val="110"/>
        </w:rPr>
        <w:t>componen,</w:t>
      </w:r>
      <w:r>
        <w:rPr>
          <w:spacing w:val="-9"/>
          <w:w w:val="110"/>
        </w:rPr>
        <w:t> </w:t>
      </w:r>
      <w:r>
        <w:rPr>
          <w:w w:val="110"/>
        </w:rPr>
        <w:t>es</w:t>
      </w:r>
      <w:r>
        <w:rPr>
          <w:spacing w:val="-9"/>
          <w:w w:val="110"/>
        </w:rPr>
        <w:t> </w:t>
      </w:r>
      <w:r>
        <w:rPr>
          <w:w w:val="110"/>
        </w:rPr>
        <w:t>una</w:t>
      </w:r>
      <w:r>
        <w:rPr>
          <w:spacing w:val="-9"/>
          <w:w w:val="110"/>
        </w:rPr>
        <w:t> </w:t>
      </w:r>
      <w:r>
        <w:rPr>
          <w:w w:val="110"/>
        </w:rPr>
        <w:t>invitación</w:t>
      </w:r>
      <w:r>
        <w:rPr>
          <w:spacing w:val="-9"/>
          <w:w w:val="110"/>
        </w:rPr>
        <w:t> </w:t>
      </w:r>
      <w:r>
        <w:rPr>
          <w:w w:val="110"/>
        </w:rPr>
        <w:t>al</w:t>
      </w:r>
      <w:r>
        <w:rPr>
          <w:spacing w:val="-9"/>
          <w:w w:val="110"/>
        </w:rPr>
        <w:t> </w:t>
      </w:r>
      <w:r>
        <w:rPr>
          <w:w w:val="110"/>
        </w:rPr>
        <w:t>estudio</w:t>
      </w:r>
      <w:r>
        <w:rPr>
          <w:spacing w:val="-9"/>
          <w:w w:val="110"/>
        </w:rPr>
        <w:t> </w:t>
      </w:r>
      <w:r>
        <w:rPr>
          <w:w w:val="110"/>
        </w:rPr>
        <w:t>“no</w:t>
      </w:r>
      <w:r>
        <w:rPr>
          <w:spacing w:val="-9"/>
          <w:w w:val="110"/>
        </w:rPr>
        <w:t> </w:t>
      </w:r>
      <w:r>
        <w:rPr>
          <w:w w:val="110"/>
        </w:rPr>
        <w:t>en</w:t>
      </w:r>
      <w:r>
        <w:rPr>
          <w:spacing w:val="-9"/>
          <w:w w:val="110"/>
        </w:rPr>
        <w:t> </w:t>
      </w:r>
      <w:r>
        <w:rPr>
          <w:w w:val="110"/>
        </w:rPr>
        <w:t>términos de</w:t>
      </w:r>
      <w:r>
        <w:rPr>
          <w:spacing w:val="-16"/>
          <w:w w:val="110"/>
        </w:rPr>
        <w:t> </w:t>
      </w:r>
      <w:r>
        <w:rPr>
          <w:i/>
          <w:w w:val="110"/>
        </w:rPr>
        <w:t>totalidad</w:t>
      </w:r>
      <w:r>
        <w:rPr>
          <w:w w:val="110"/>
        </w:rPr>
        <w:t>”</w:t>
      </w:r>
      <w:r>
        <w:rPr>
          <w:spacing w:val="-16"/>
          <w:w w:val="110"/>
        </w:rPr>
        <w:t> </w:t>
      </w:r>
      <w:r>
        <w:rPr>
          <w:w w:val="110"/>
        </w:rPr>
        <w:t>sino</w:t>
      </w:r>
      <w:r>
        <w:rPr>
          <w:spacing w:val="-16"/>
          <w:w w:val="110"/>
        </w:rPr>
        <w:t> </w:t>
      </w:r>
      <w:r>
        <w:rPr>
          <w:w w:val="110"/>
        </w:rPr>
        <w:t>en</w:t>
      </w:r>
      <w:r>
        <w:rPr>
          <w:spacing w:val="-16"/>
          <w:w w:val="110"/>
        </w:rPr>
        <w:t> </w:t>
      </w:r>
      <w:r>
        <w:rPr>
          <w:w w:val="110"/>
        </w:rPr>
        <w:t>los</w:t>
      </w:r>
      <w:r>
        <w:rPr>
          <w:spacing w:val="-16"/>
          <w:w w:val="110"/>
        </w:rPr>
        <w:t> </w:t>
      </w:r>
      <w:r>
        <w:rPr>
          <w:w w:val="110"/>
        </w:rPr>
        <w:t>de</w:t>
      </w:r>
      <w:r>
        <w:rPr>
          <w:spacing w:val="-16"/>
          <w:w w:val="110"/>
        </w:rPr>
        <w:t> </w:t>
      </w:r>
      <w:r>
        <w:rPr>
          <w:w w:val="110"/>
        </w:rPr>
        <w:t>“niveles</w:t>
      </w:r>
      <w:r>
        <w:rPr>
          <w:spacing w:val="-16"/>
          <w:w w:val="110"/>
        </w:rPr>
        <w:t> </w:t>
      </w:r>
      <w:r>
        <w:rPr>
          <w:w w:val="110"/>
        </w:rPr>
        <w:t>de</w:t>
      </w:r>
      <w:r>
        <w:rPr>
          <w:spacing w:val="-16"/>
          <w:w w:val="110"/>
        </w:rPr>
        <w:t> </w:t>
      </w:r>
      <w:r>
        <w:rPr>
          <w:i/>
          <w:w w:val="110"/>
        </w:rPr>
        <w:t>agregación</w:t>
      </w:r>
      <w:r>
        <w:rPr>
          <w:w w:val="110"/>
        </w:rPr>
        <w:t>”.</w:t>
      </w:r>
      <w:r>
        <w:rPr>
          <w:spacing w:val="-16"/>
          <w:w w:val="110"/>
        </w:rPr>
        <w:t> </w:t>
      </w:r>
      <w:r>
        <w:rPr>
          <w:w w:val="110"/>
        </w:rPr>
        <w:t>Entonces,</w:t>
      </w:r>
      <w:r>
        <w:rPr>
          <w:spacing w:val="-16"/>
          <w:w w:val="110"/>
        </w:rPr>
        <w:t> </w:t>
      </w:r>
      <w:r>
        <w:rPr>
          <w:w w:val="110"/>
        </w:rPr>
        <w:t>para</w:t>
      </w:r>
      <w:r>
        <w:rPr>
          <w:spacing w:val="-16"/>
          <w:w w:val="110"/>
        </w:rPr>
        <w:t> </w:t>
      </w:r>
      <w:r>
        <w:rPr>
          <w:spacing w:val="-5"/>
          <w:w w:val="110"/>
        </w:rPr>
        <w:t>acer- </w:t>
      </w:r>
      <w:r>
        <w:rPr>
          <w:w w:val="110"/>
        </w:rPr>
        <w:t>carse</w:t>
      </w:r>
      <w:r>
        <w:rPr>
          <w:spacing w:val="-10"/>
          <w:w w:val="110"/>
        </w:rPr>
        <w:t> </w:t>
      </w:r>
      <w:r>
        <w:rPr>
          <w:w w:val="110"/>
        </w:rPr>
        <w:t>a</w:t>
      </w:r>
      <w:r>
        <w:rPr>
          <w:spacing w:val="-10"/>
          <w:w w:val="110"/>
        </w:rPr>
        <w:t> </w:t>
      </w:r>
      <w:r>
        <w:rPr>
          <w:w w:val="110"/>
        </w:rPr>
        <w:t>la</w:t>
      </w:r>
      <w:r>
        <w:rPr>
          <w:spacing w:val="-10"/>
          <w:w w:val="110"/>
        </w:rPr>
        <w:t> </w:t>
      </w:r>
      <w:r>
        <w:rPr>
          <w:w w:val="110"/>
        </w:rPr>
        <w:t>comprensión</w:t>
      </w:r>
      <w:r>
        <w:rPr>
          <w:spacing w:val="-10"/>
          <w:w w:val="110"/>
        </w:rPr>
        <w:t> </w:t>
      </w:r>
      <w:r>
        <w:rPr>
          <w:w w:val="110"/>
        </w:rPr>
        <w:t>de</w:t>
      </w:r>
      <w:r>
        <w:rPr>
          <w:spacing w:val="-10"/>
          <w:w w:val="110"/>
        </w:rPr>
        <w:t> </w:t>
      </w:r>
      <w:r>
        <w:rPr>
          <w:w w:val="110"/>
        </w:rPr>
        <w:t>la</w:t>
      </w:r>
      <w:r>
        <w:rPr>
          <w:spacing w:val="-10"/>
          <w:w w:val="110"/>
        </w:rPr>
        <w:t> </w:t>
      </w:r>
      <w:r>
        <w:rPr>
          <w:w w:val="110"/>
        </w:rPr>
        <w:t>complejidad</w:t>
      </w:r>
      <w:r>
        <w:rPr>
          <w:spacing w:val="-10"/>
          <w:w w:val="110"/>
        </w:rPr>
        <w:t> </w:t>
      </w:r>
      <w:r>
        <w:rPr>
          <w:w w:val="110"/>
        </w:rPr>
        <w:t>estatal</w:t>
      </w:r>
      <w:r>
        <w:rPr>
          <w:spacing w:val="-10"/>
          <w:w w:val="110"/>
        </w:rPr>
        <w:t> </w:t>
      </w:r>
      <w:r>
        <w:rPr>
          <w:w w:val="110"/>
        </w:rPr>
        <w:t>y</w:t>
      </w:r>
      <w:r>
        <w:rPr>
          <w:spacing w:val="-10"/>
          <w:w w:val="110"/>
        </w:rPr>
        <w:t> </w:t>
      </w:r>
      <w:r>
        <w:rPr>
          <w:w w:val="110"/>
        </w:rPr>
        <w:t>comercial</w:t>
      </w:r>
      <w:r>
        <w:rPr>
          <w:spacing w:val="-10"/>
          <w:w w:val="110"/>
        </w:rPr>
        <w:t> </w:t>
      </w:r>
      <w:r>
        <w:rPr>
          <w:w w:val="110"/>
        </w:rPr>
        <w:t>de</w:t>
      </w:r>
      <w:r>
        <w:rPr>
          <w:spacing w:val="-10"/>
          <w:w w:val="110"/>
        </w:rPr>
        <w:t> </w:t>
      </w:r>
      <w:r>
        <w:rPr>
          <w:w w:val="110"/>
        </w:rPr>
        <w:t>una</w:t>
      </w:r>
      <w:r>
        <w:rPr>
          <w:spacing w:val="-10"/>
          <w:w w:val="110"/>
        </w:rPr>
        <w:t> </w:t>
      </w:r>
      <w:r>
        <w:rPr>
          <w:w w:val="110"/>
        </w:rPr>
        <w:t>na- ción como la estadounidense, en este trabajo se recupera la</w:t>
      </w:r>
      <w:r>
        <w:rPr>
          <w:spacing w:val="-2"/>
          <w:w w:val="110"/>
        </w:rPr>
        <w:t> </w:t>
      </w:r>
      <w:r>
        <w:rPr>
          <w:w w:val="110"/>
        </w:rPr>
        <w:t>propuesta</w:t>
      </w:r>
    </w:p>
    <w:p>
      <w:pPr>
        <w:pStyle w:val="BodyText"/>
        <w:spacing w:before="9"/>
        <w:rPr>
          <w:sz w:val="27"/>
        </w:rPr>
      </w:pPr>
    </w:p>
    <w:p>
      <w:pPr>
        <w:spacing w:before="74"/>
        <w:ind w:left="330" w:right="41" w:firstLine="0"/>
        <w:jc w:val="left"/>
        <w:rPr>
          <w:sz w:val="16"/>
        </w:rPr>
      </w:pPr>
      <w:r>
        <w:rPr>
          <w:w w:val="105"/>
          <w:sz w:val="16"/>
        </w:rPr>
        <w:t>de conductas y procederes que manifiestan los unos con los otros y sobre otros”. arthur</w:t>
      </w:r>
    </w:p>
    <w:p>
      <w:pPr>
        <w:spacing w:line="316" w:lineRule="auto" w:before="2"/>
        <w:ind w:left="330" w:right="837" w:firstLine="0"/>
        <w:jc w:val="left"/>
        <w:rPr>
          <w:sz w:val="16"/>
        </w:rPr>
      </w:pPr>
      <w:r>
        <w:rPr>
          <w:w w:val="110"/>
          <w:sz w:val="16"/>
        </w:rPr>
        <w:t>F. bentley, “the raw material”, </w:t>
      </w:r>
      <w:r>
        <w:rPr>
          <w:i/>
          <w:w w:val="110"/>
          <w:sz w:val="16"/>
        </w:rPr>
        <w:t>The Process of Government</w:t>
      </w:r>
      <w:r>
        <w:rPr>
          <w:w w:val="110"/>
          <w:sz w:val="16"/>
        </w:rPr>
        <w:t>, </w:t>
      </w:r>
      <w:r>
        <w:rPr>
          <w:i/>
          <w:w w:val="110"/>
          <w:sz w:val="16"/>
        </w:rPr>
        <w:t>op. cit.</w:t>
      </w:r>
      <w:r>
        <w:rPr>
          <w:w w:val="110"/>
          <w:sz w:val="16"/>
        </w:rPr>
        <w:t>, p. 176. 12  “Group activities”, </w:t>
      </w:r>
      <w:r>
        <w:rPr>
          <w:i/>
          <w:w w:val="110"/>
          <w:sz w:val="16"/>
        </w:rPr>
        <w:t>The Process of Government</w:t>
      </w:r>
      <w:r>
        <w:rPr>
          <w:w w:val="110"/>
          <w:sz w:val="16"/>
        </w:rPr>
        <w:t>, ídem, p. 208.</w:t>
      </w:r>
    </w:p>
    <w:p>
      <w:pPr>
        <w:pStyle w:val="ListParagraph"/>
        <w:numPr>
          <w:ilvl w:val="1"/>
          <w:numId w:val="12"/>
        </w:numPr>
        <w:tabs>
          <w:tab w:pos="586" w:val="left" w:leader="none"/>
        </w:tabs>
        <w:spacing w:line="187" w:lineRule="exact" w:before="0" w:after="0"/>
        <w:ind w:left="330" w:right="0" w:firstLine="0"/>
        <w:jc w:val="left"/>
        <w:rPr>
          <w:sz w:val="16"/>
        </w:rPr>
      </w:pPr>
      <w:r>
        <w:rPr>
          <w:spacing w:val="-2"/>
          <w:w w:val="110"/>
          <w:sz w:val="16"/>
        </w:rPr>
        <w:t>Jos</w:t>
      </w:r>
      <w:r>
        <w:rPr>
          <w:w w:val="110"/>
          <w:sz w:val="16"/>
        </w:rPr>
        <w:t>é</w:t>
      </w:r>
      <w:r>
        <w:rPr>
          <w:spacing w:val="-1"/>
          <w:sz w:val="16"/>
        </w:rPr>
        <w:t> </w:t>
      </w:r>
      <w:r>
        <w:rPr>
          <w:spacing w:val="-2"/>
          <w:w w:val="233"/>
          <w:sz w:val="16"/>
        </w:rPr>
        <w:t>l</w:t>
      </w:r>
      <w:r>
        <w:rPr>
          <w:spacing w:val="-2"/>
          <w:w w:val="106"/>
          <w:sz w:val="16"/>
        </w:rPr>
        <w:t>ui</w:t>
      </w:r>
      <w:r>
        <w:rPr>
          <w:w w:val="106"/>
          <w:sz w:val="16"/>
        </w:rPr>
        <w:t>s</w:t>
      </w:r>
      <w:r>
        <w:rPr>
          <w:spacing w:val="-1"/>
          <w:sz w:val="16"/>
        </w:rPr>
        <w:t> </w:t>
      </w:r>
      <w:r>
        <w:rPr>
          <w:spacing w:val="-2"/>
          <w:w w:val="143"/>
          <w:sz w:val="16"/>
        </w:rPr>
        <w:t>o</w:t>
      </w:r>
      <w:r>
        <w:rPr>
          <w:spacing w:val="-2"/>
          <w:w w:val="108"/>
          <w:sz w:val="16"/>
        </w:rPr>
        <w:t>rozco</w:t>
      </w:r>
      <w:r>
        <w:rPr>
          <w:w w:val="108"/>
          <w:sz w:val="16"/>
        </w:rPr>
        <w:t>,</w:t>
      </w:r>
      <w:r>
        <w:rPr>
          <w:spacing w:val="-1"/>
          <w:sz w:val="16"/>
        </w:rPr>
        <w:t> </w:t>
      </w:r>
      <w:r>
        <w:rPr>
          <w:i/>
          <w:spacing w:val="-2"/>
          <w:w w:val="107"/>
          <w:sz w:val="16"/>
        </w:rPr>
        <w:t>Razó</w:t>
      </w:r>
      <w:r>
        <w:rPr>
          <w:i/>
          <w:w w:val="107"/>
          <w:sz w:val="16"/>
        </w:rPr>
        <w:t>n</w:t>
      </w:r>
      <w:r>
        <w:rPr>
          <w:i/>
          <w:spacing w:val="-1"/>
          <w:sz w:val="16"/>
        </w:rPr>
        <w:t> </w:t>
      </w:r>
      <w:r>
        <w:rPr>
          <w:i/>
          <w:spacing w:val="-2"/>
          <w:w w:val="99"/>
          <w:sz w:val="16"/>
        </w:rPr>
        <w:t>d</w:t>
      </w:r>
      <w:r>
        <w:rPr>
          <w:i/>
          <w:w w:val="99"/>
          <w:sz w:val="16"/>
        </w:rPr>
        <w:t>e</w:t>
      </w:r>
      <w:r>
        <w:rPr>
          <w:i/>
          <w:spacing w:val="-1"/>
          <w:sz w:val="16"/>
        </w:rPr>
        <w:t> </w:t>
      </w:r>
      <w:r>
        <w:rPr>
          <w:i/>
          <w:spacing w:val="-2"/>
          <w:w w:val="107"/>
          <w:sz w:val="16"/>
        </w:rPr>
        <w:t>Estad</w:t>
      </w:r>
      <w:r>
        <w:rPr>
          <w:i/>
          <w:w w:val="107"/>
          <w:sz w:val="16"/>
        </w:rPr>
        <w:t>o</w:t>
      </w:r>
      <w:r>
        <w:rPr>
          <w:i/>
          <w:spacing w:val="-1"/>
          <w:sz w:val="16"/>
        </w:rPr>
        <w:t> </w:t>
      </w:r>
      <w:r>
        <w:rPr>
          <w:i/>
          <w:w w:val="102"/>
          <w:sz w:val="16"/>
        </w:rPr>
        <w:t>y</w:t>
      </w:r>
      <w:r>
        <w:rPr>
          <w:i/>
          <w:spacing w:val="-1"/>
          <w:sz w:val="16"/>
        </w:rPr>
        <w:t> </w:t>
      </w:r>
      <w:r>
        <w:rPr>
          <w:i/>
          <w:spacing w:val="-2"/>
          <w:w w:val="102"/>
          <w:sz w:val="16"/>
        </w:rPr>
        <w:t>razó</w:t>
      </w:r>
      <w:r>
        <w:rPr>
          <w:i/>
          <w:w w:val="102"/>
          <w:sz w:val="16"/>
        </w:rPr>
        <w:t>n</w:t>
      </w:r>
      <w:r>
        <w:rPr>
          <w:i/>
          <w:spacing w:val="-1"/>
          <w:sz w:val="16"/>
        </w:rPr>
        <w:t> </w:t>
      </w:r>
      <w:r>
        <w:rPr>
          <w:i/>
          <w:spacing w:val="-2"/>
          <w:w w:val="99"/>
          <w:sz w:val="16"/>
        </w:rPr>
        <w:t>d</w:t>
      </w:r>
      <w:r>
        <w:rPr>
          <w:i/>
          <w:w w:val="99"/>
          <w:sz w:val="16"/>
        </w:rPr>
        <w:t>e</w:t>
      </w:r>
      <w:r>
        <w:rPr>
          <w:i/>
          <w:spacing w:val="-1"/>
          <w:sz w:val="16"/>
        </w:rPr>
        <w:t> </w:t>
      </w:r>
      <w:r>
        <w:rPr>
          <w:i/>
          <w:spacing w:val="-2"/>
          <w:w w:val="104"/>
          <w:sz w:val="16"/>
        </w:rPr>
        <w:t>Mercado</w:t>
      </w:r>
      <w:r>
        <w:rPr>
          <w:w w:val="132"/>
          <w:sz w:val="16"/>
        </w:rPr>
        <w:t>,</w:t>
      </w:r>
      <w:r>
        <w:rPr>
          <w:spacing w:val="-1"/>
          <w:sz w:val="16"/>
        </w:rPr>
        <w:t> </w:t>
      </w:r>
      <w:r>
        <w:rPr>
          <w:spacing w:val="-2"/>
          <w:w w:val="120"/>
          <w:sz w:val="16"/>
        </w:rPr>
        <w:t>FCE</w:t>
      </w:r>
      <w:r>
        <w:rPr>
          <w:w w:val="120"/>
          <w:sz w:val="16"/>
        </w:rPr>
        <w:t>,</w:t>
      </w:r>
      <w:r>
        <w:rPr>
          <w:spacing w:val="-1"/>
          <w:sz w:val="16"/>
        </w:rPr>
        <w:t> </w:t>
      </w:r>
      <w:r>
        <w:rPr>
          <w:spacing w:val="-2"/>
          <w:w w:val="110"/>
          <w:sz w:val="16"/>
        </w:rPr>
        <w:t>México</w:t>
      </w:r>
      <w:r>
        <w:rPr>
          <w:w w:val="110"/>
          <w:sz w:val="16"/>
        </w:rPr>
        <w:t>,</w:t>
      </w:r>
      <w:r>
        <w:rPr>
          <w:spacing w:val="-1"/>
          <w:sz w:val="16"/>
        </w:rPr>
        <w:t> </w:t>
      </w:r>
      <w:r>
        <w:rPr>
          <w:spacing w:val="-2"/>
          <w:w w:val="101"/>
          <w:sz w:val="16"/>
        </w:rPr>
        <w:t>1992</w:t>
      </w:r>
      <w:r>
        <w:rPr>
          <w:w w:val="101"/>
          <w:sz w:val="16"/>
        </w:rPr>
        <w:t>,</w:t>
      </w:r>
      <w:r>
        <w:rPr>
          <w:spacing w:val="-1"/>
          <w:sz w:val="16"/>
        </w:rPr>
        <w:t> </w:t>
      </w:r>
      <w:r>
        <w:rPr>
          <w:spacing w:val="-2"/>
          <w:w w:val="108"/>
          <w:sz w:val="16"/>
        </w:rPr>
        <w:t>pp</w:t>
      </w:r>
      <w:r>
        <w:rPr>
          <w:w w:val="108"/>
          <w:sz w:val="16"/>
        </w:rPr>
        <w:t>.</w:t>
      </w:r>
      <w:r>
        <w:rPr>
          <w:spacing w:val="-1"/>
          <w:sz w:val="16"/>
        </w:rPr>
        <w:t> </w:t>
      </w:r>
      <w:r>
        <w:rPr>
          <w:spacing w:val="-2"/>
          <w:w w:val="100"/>
          <w:sz w:val="16"/>
        </w:rPr>
        <w:t>26-27.</w:t>
      </w:r>
    </w:p>
    <w:p>
      <w:pPr>
        <w:pStyle w:val="ListParagraph"/>
        <w:numPr>
          <w:ilvl w:val="1"/>
          <w:numId w:val="12"/>
        </w:numPr>
        <w:tabs>
          <w:tab w:pos="586" w:val="left" w:leader="none"/>
        </w:tabs>
        <w:spacing w:line="242" w:lineRule="auto" w:before="59" w:after="0"/>
        <w:ind w:left="330" w:right="117" w:firstLine="0"/>
        <w:jc w:val="left"/>
        <w:rPr>
          <w:sz w:val="16"/>
        </w:rPr>
      </w:pPr>
      <w:r>
        <w:rPr>
          <w:w w:val="110"/>
          <w:sz w:val="16"/>
        </w:rPr>
        <w:t>así</w:t>
      </w:r>
      <w:r>
        <w:rPr>
          <w:spacing w:val="-3"/>
          <w:w w:val="110"/>
          <w:sz w:val="16"/>
        </w:rPr>
        <w:t> </w:t>
      </w:r>
      <w:r>
        <w:rPr>
          <w:w w:val="110"/>
          <w:sz w:val="16"/>
        </w:rPr>
        <w:t>lo</w:t>
      </w:r>
      <w:r>
        <w:rPr>
          <w:spacing w:val="-3"/>
          <w:w w:val="110"/>
          <w:sz w:val="16"/>
        </w:rPr>
        <w:t> </w:t>
      </w:r>
      <w:r>
        <w:rPr>
          <w:w w:val="110"/>
          <w:sz w:val="16"/>
        </w:rPr>
        <w:t>denomina</w:t>
      </w:r>
      <w:r>
        <w:rPr>
          <w:spacing w:val="-3"/>
          <w:w w:val="110"/>
          <w:sz w:val="16"/>
        </w:rPr>
        <w:t> </w:t>
      </w:r>
      <w:r>
        <w:rPr>
          <w:w w:val="110"/>
          <w:sz w:val="16"/>
        </w:rPr>
        <w:t>el</w:t>
      </w:r>
      <w:r>
        <w:rPr>
          <w:spacing w:val="-3"/>
          <w:w w:val="110"/>
          <w:sz w:val="16"/>
        </w:rPr>
        <w:t> </w:t>
      </w:r>
      <w:r>
        <w:rPr>
          <w:w w:val="110"/>
          <w:sz w:val="16"/>
        </w:rPr>
        <w:t>autor</w:t>
      </w:r>
      <w:r>
        <w:rPr>
          <w:spacing w:val="-3"/>
          <w:w w:val="110"/>
          <w:sz w:val="16"/>
        </w:rPr>
        <w:t> </w:t>
      </w:r>
      <w:r>
        <w:rPr>
          <w:w w:val="110"/>
          <w:sz w:val="16"/>
        </w:rPr>
        <w:t>en</w:t>
      </w:r>
      <w:r>
        <w:rPr>
          <w:spacing w:val="-3"/>
          <w:w w:val="110"/>
          <w:sz w:val="16"/>
        </w:rPr>
        <w:t> </w:t>
      </w:r>
      <w:r>
        <w:rPr>
          <w:w w:val="110"/>
          <w:sz w:val="16"/>
        </w:rPr>
        <w:t>su</w:t>
      </w:r>
      <w:r>
        <w:rPr>
          <w:spacing w:val="-3"/>
          <w:w w:val="110"/>
          <w:sz w:val="16"/>
        </w:rPr>
        <w:t> </w:t>
      </w:r>
      <w:r>
        <w:rPr>
          <w:w w:val="110"/>
          <w:sz w:val="16"/>
        </w:rPr>
        <w:t>obra,</w:t>
      </w:r>
      <w:r>
        <w:rPr>
          <w:spacing w:val="-3"/>
          <w:w w:val="110"/>
          <w:sz w:val="16"/>
        </w:rPr>
        <w:t> </w:t>
      </w:r>
      <w:r>
        <w:rPr>
          <w:w w:val="110"/>
          <w:sz w:val="16"/>
        </w:rPr>
        <w:t>sin</w:t>
      </w:r>
      <w:r>
        <w:rPr>
          <w:spacing w:val="-3"/>
          <w:w w:val="110"/>
          <w:sz w:val="16"/>
        </w:rPr>
        <w:t> </w:t>
      </w:r>
      <w:r>
        <w:rPr>
          <w:w w:val="110"/>
          <w:sz w:val="16"/>
        </w:rPr>
        <w:t>embargo</w:t>
      </w:r>
      <w:r>
        <w:rPr>
          <w:spacing w:val="-3"/>
          <w:w w:val="110"/>
          <w:sz w:val="16"/>
        </w:rPr>
        <w:t> </w:t>
      </w:r>
      <w:r>
        <w:rPr>
          <w:w w:val="110"/>
          <w:sz w:val="16"/>
        </w:rPr>
        <w:t>hace</w:t>
      </w:r>
      <w:r>
        <w:rPr>
          <w:spacing w:val="-3"/>
          <w:w w:val="110"/>
          <w:sz w:val="16"/>
        </w:rPr>
        <w:t> </w:t>
      </w:r>
      <w:r>
        <w:rPr>
          <w:w w:val="110"/>
          <w:sz w:val="16"/>
        </w:rPr>
        <w:t>alusión</w:t>
      </w:r>
      <w:r>
        <w:rPr>
          <w:spacing w:val="-3"/>
          <w:w w:val="110"/>
          <w:sz w:val="16"/>
        </w:rPr>
        <w:t> </w:t>
      </w:r>
      <w:r>
        <w:rPr>
          <w:w w:val="110"/>
          <w:sz w:val="16"/>
        </w:rPr>
        <w:t>al</w:t>
      </w:r>
      <w:r>
        <w:rPr>
          <w:spacing w:val="-3"/>
          <w:w w:val="110"/>
          <w:sz w:val="16"/>
        </w:rPr>
        <w:t> </w:t>
      </w:r>
      <w:r>
        <w:rPr>
          <w:w w:val="110"/>
          <w:sz w:val="16"/>
        </w:rPr>
        <w:t>Estado</w:t>
      </w:r>
      <w:r>
        <w:rPr>
          <w:spacing w:val="-3"/>
          <w:w w:val="110"/>
          <w:sz w:val="16"/>
        </w:rPr>
        <w:t> </w:t>
      </w:r>
      <w:r>
        <w:rPr>
          <w:w w:val="110"/>
          <w:sz w:val="16"/>
        </w:rPr>
        <w:t>estadou- nidense.</w:t>
      </w:r>
    </w:p>
    <w:p>
      <w:pPr>
        <w:spacing w:after="0" w:line="242" w:lineRule="auto"/>
        <w:jc w:val="left"/>
        <w:rPr>
          <w:sz w:val="16"/>
        </w:rPr>
        <w:sectPr>
          <w:footerReference w:type="default" r:id="rId267"/>
          <w:footerReference w:type="even" r:id="rId268"/>
          <w:pgSz w:w="8790" w:h="12760"/>
          <w:pgMar w:footer="1061" w:header="697" w:top="880" w:bottom="1260" w:left="1200" w:right="900"/>
        </w:sectPr>
      </w:pPr>
    </w:p>
    <w:p>
      <w:pPr>
        <w:pStyle w:val="BodyText"/>
        <w:spacing w:before="9"/>
        <w:rPr>
          <w:sz w:val="28"/>
        </w:rPr>
      </w:pPr>
    </w:p>
    <w:p>
      <w:pPr>
        <w:pStyle w:val="BodyText"/>
        <w:spacing w:line="252" w:lineRule="auto" w:before="73"/>
        <w:ind w:left="120" w:right="848"/>
        <w:jc w:val="both"/>
      </w:pPr>
      <w:r>
        <w:rPr>
          <w:spacing w:val="-2"/>
          <w:w w:val="110"/>
        </w:rPr>
        <w:t>metodológic</w:t>
      </w:r>
      <w:r>
        <w:rPr>
          <w:w w:val="110"/>
        </w:rPr>
        <w:t>a</w:t>
      </w:r>
      <w:r>
        <w:rPr/>
        <w:t> </w:t>
      </w:r>
      <w:r>
        <w:rPr>
          <w:spacing w:val="-2"/>
          <w:w w:val="107"/>
        </w:rPr>
        <w:t>d</w:t>
      </w:r>
      <w:r>
        <w:rPr>
          <w:w w:val="107"/>
        </w:rPr>
        <w:t>e</w:t>
      </w:r>
      <w:r>
        <w:rPr/>
        <w:t> </w:t>
      </w:r>
      <w:r>
        <w:rPr>
          <w:spacing w:val="-2"/>
          <w:w w:val="115"/>
        </w:rPr>
        <w:t>Jos</w:t>
      </w:r>
      <w:r>
        <w:rPr>
          <w:w w:val="115"/>
        </w:rPr>
        <w:t>é</w:t>
      </w:r>
      <w:r>
        <w:rPr/>
        <w:t> </w:t>
      </w:r>
      <w:r>
        <w:rPr>
          <w:spacing w:val="-2"/>
          <w:w w:val="243"/>
        </w:rPr>
        <w:t>l</w:t>
      </w:r>
      <w:r>
        <w:rPr>
          <w:spacing w:val="-2"/>
          <w:w w:val="111"/>
        </w:rPr>
        <w:t>ui</w:t>
      </w:r>
      <w:r>
        <w:rPr>
          <w:w w:val="111"/>
        </w:rPr>
        <w:t>s</w:t>
      </w:r>
      <w:r>
        <w:rPr/>
        <w:t> </w:t>
      </w:r>
      <w:r>
        <w:rPr>
          <w:spacing w:val="-2"/>
          <w:w w:val="149"/>
        </w:rPr>
        <w:t>o</w:t>
      </w:r>
      <w:r>
        <w:rPr>
          <w:spacing w:val="-2"/>
          <w:w w:val="110"/>
        </w:rPr>
        <w:t>rozc</w:t>
      </w:r>
      <w:r>
        <w:rPr>
          <w:w w:val="110"/>
        </w:rPr>
        <w:t>o</w:t>
      </w:r>
      <w:r>
        <w:rPr/>
        <w:t> </w:t>
      </w:r>
      <w:r>
        <w:rPr>
          <w:w w:val="112"/>
        </w:rPr>
        <w:t>a</w:t>
      </w:r>
      <w:r>
        <w:rPr/>
        <w:t> </w:t>
      </w:r>
      <w:r>
        <w:rPr>
          <w:spacing w:val="-1"/>
          <w:w w:val="104"/>
        </w:rPr>
        <w:t>fi</w:t>
      </w:r>
      <w:r>
        <w:rPr>
          <w:w w:val="111"/>
        </w:rPr>
        <w:t>n</w:t>
      </w:r>
      <w:r>
        <w:rPr/>
        <w:t> </w:t>
      </w:r>
      <w:r>
        <w:rPr>
          <w:spacing w:val="-2"/>
          <w:w w:val="107"/>
        </w:rPr>
        <w:t>d</w:t>
      </w:r>
      <w:r>
        <w:rPr>
          <w:w w:val="107"/>
        </w:rPr>
        <w:t>e</w:t>
      </w:r>
      <w:r>
        <w:rPr/>
        <w:t> </w:t>
      </w:r>
      <w:r>
        <w:rPr>
          <w:spacing w:val="-2"/>
          <w:w w:val="109"/>
        </w:rPr>
        <w:t>aproximars</w:t>
      </w:r>
      <w:r>
        <w:rPr>
          <w:w w:val="109"/>
        </w:rPr>
        <w:t>e</w:t>
      </w:r>
      <w:r>
        <w:rPr/>
        <w:t> </w:t>
      </w:r>
      <w:r>
        <w:rPr>
          <w:spacing w:val="-2"/>
          <w:w w:val="111"/>
        </w:rPr>
        <w:t>a</w:t>
      </w:r>
      <w:r>
        <w:rPr>
          <w:w w:val="111"/>
        </w:rPr>
        <w:t>l</w:t>
      </w:r>
      <w:r>
        <w:rPr/>
        <w:t> </w:t>
      </w:r>
      <w:r>
        <w:rPr>
          <w:spacing w:val="-2"/>
          <w:w w:val="109"/>
        </w:rPr>
        <w:t>estudi</w:t>
      </w:r>
      <w:r>
        <w:rPr>
          <w:w w:val="109"/>
        </w:rPr>
        <w:t>o</w:t>
      </w:r>
      <w:r>
        <w:rPr/>
        <w:t> </w:t>
      </w:r>
      <w:r>
        <w:rPr>
          <w:spacing w:val="-2"/>
          <w:w w:val="107"/>
        </w:rPr>
        <w:t>d</w:t>
      </w:r>
      <w:r>
        <w:rPr>
          <w:w w:val="107"/>
        </w:rPr>
        <w:t>e</w:t>
      </w:r>
      <w:r>
        <w:rPr/>
        <w:t> </w:t>
      </w:r>
      <w:r>
        <w:rPr>
          <w:spacing w:val="-2"/>
          <w:w w:val="108"/>
        </w:rPr>
        <w:t>los </w:t>
      </w:r>
      <w:r>
        <w:rPr>
          <w:w w:val="110"/>
        </w:rPr>
        <w:t>datos empíricos, históricos e institucionales desde una óptica</w:t>
      </w:r>
      <w:r>
        <w:rPr>
          <w:spacing w:val="-21"/>
          <w:w w:val="110"/>
        </w:rPr>
        <w:t> </w:t>
      </w:r>
      <w:r>
        <w:rPr>
          <w:w w:val="110"/>
        </w:rPr>
        <w:t>horizon- </w:t>
      </w:r>
      <w:r>
        <w:rPr>
          <w:w w:val="115"/>
        </w:rPr>
        <w:t>tal</w:t>
      </w:r>
      <w:r>
        <w:rPr>
          <w:spacing w:val="-27"/>
          <w:w w:val="115"/>
        </w:rPr>
        <w:t> </w:t>
      </w:r>
      <w:r>
        <w:rPr>
          <w:w w:val="115"/>
        </w:rPr>
        <w:t>a</w:t>
      </w:r>
      <w:r>
        <w:rPr>
          <w:spacing w:val="-27"/>
          <w:w w:val="115"/>
        </w:rPr>
        <w:t> </w:t>
      </w:r>
      <w:r>
        <w:rPr>
          <w:w w:val="115"/>
        </w:rPr>
        <w:t>través</w:t>
      </w:r>
      <w:r>
        <w:rPr>
          <w:spacing w:val="-27"/>
          <w:w w:val="115"/>
        </w:rPr>
        <w:t> </w:t>
      </w:r>
      <w:r>
        <w:rPr>
          <w:w w:val="115"/>
        </w:rPr>
        <w:t>de</w:t>
      </w:r>
      <w:r>
        <w:rPr>
          <w:spacing w:val="-27"/>
          <w:w w:val="115"/>
        </w:rPr>
        <w:t> </w:t>
      </w:r>
      <w:r>
        <w:rPr>
          <w:w w:val="115"/>
        </w:rPr>
        <w:t>una</w:t>
      </w:r>
      <w:r>
        <w:rPr>
          <w:spacing w:val="-27"/>
          <w:w w:val="115"/>
        </w:rPr>
        <w:t> </w:t>
      </w:r>
      <w:r>
        <w:rPr>
          <w:w w:val="115"/>
        </w:rPr>
        <w:t>división</w:t>
      </w:r>
      <w:r>
        <w:rPr>
          <w:spacing w:val="-27"/>
          <w:w w:val="115"/>
        </w:rPr>
        <w:t> </w:t>
      </w:r>
      <w:r>
        <w:rPr>
          <w:w w:val="115"/>
        </w:rPr>
        <w:t>de</w:t>
      </w:r>
      <w:r>
        <w:rPr>
          <w:spacing w:val="-27"/>
          <w:w w:val="115"/>
        </w:rPr>
        <w:t> </w:t>
      </w:r>
      <w:r>
        <w:rPr>
          <w:w w:val="115"/>
        </w:rPr>
        <w:t>cuatro</w:t>
      </w:r>
      <w:r>
        <w:rPr>
          <w:spacing w:val="-27"/>
          <w:w w:val="115"/>
        </w:rPr>
        <w:t> </w:t>
      </w:r>
      <w:r>
        <w:rPr>
          <w:w w:val="115"/>
        </w:rPr>
        <w:t>niveles</w:t>
      </w:r>
      <w:r>
        <w:rPr>
          <w:spacing w:val="-27"/>
          <w:w w:val="115"/>
        </w:rPr>
        <w:t> </w:t>
      </w:r>
      <w:r>
        <w:rPr>
          <w:w w:val="115"/>
        </w:rPr>
        <w:t>de</w:t>
      </w:r>
      <w:r>
        <w:rPr>
          <w:spacing w:val="-27"/>
          <w:w w:val="115"/>
        </w:rPr>
        <w:t> </w:t>
      </w:r>
      <w:r>
        <w:rPr>
          <w:w w:val="115"/>
        </w:rPr>
        <w:t>análisis:</w:t>
      </w:r>
      <w:r>
        <w:rPr>
          <w:spacing w:val="-27"/>
          <w:w w:val="115"/>
        </w:rPr>
        <w:t> </w:t>
      </w:r>
      <w:r>
        <w:rPr>
          <w:i/>
          <w:w w:val="115"/>
        </w:rPr>
        <w:t>i)</w:t>
      </w:r>
      <w:r>
        <w:rPr>
          <w:i/>
          <w:spacing w:val="-27"/>
          <w:w w:val="115"/>
        </w:rPr>
        <w:t> </w:t>
      </w:r>
      <w:r>
        <w:rPr>
          <w:w w:val="115"/>
        </w:rPr>
        <w:t>micropolíti- </w:t>
      </w:r>
      <w:r>
        <w:rPr>
          <w:w w:val="110"/>
        </w:rPr>
        <w:t>co;</w:t>
      </w:r>
      <w:r>
        <w:rPr>
          <w:spacing w:val="-4"/>
          <w:w w:val="110"/>
        </w:rPr>
        <w:t> </w:t>
      </w:r>
      <w:r>
        <w:rPr>
          <w:i/>
          <w:w w:val="110"/>
        </w:rPr>
        <w:t>ii)</w:t>
      </w:r>
      <w:r>
        <w:rPr>
          <w:i/>
          <w:spacing w:val="-4"/>
          <w:w w:val="110"/>
        </w:rPr>
        <w:t> </w:t>
      </w:r>
      <w:r>
        <w:rPr>
          <w:w w:val="110"/>
        </w:rPr>
        <w:t>mesopolítico;</w:t>
      </w:r>
      <w:r>
        <w:rPr>
          <w:spacing w:val="-4"/>
          <w:w w:val="110"/>
        </w:rPr>
        <w:t> </w:t>
      </w:r>
      <w:r>
        <w:rPr>
          <w:i/>
          <w:w w:val="110"/>
        </w:rPr>
        <w:t>iii)</w:t>
      </w:r>
      <w:r>
        <w:rPr>
          <w:i/>
          <w:spacing w:val="-4"/>
          <w:w w:val="110"/>
        </w:rPr>
        <w:t> </w:t>
      </w:r>
      <w:r>
        <w:rPr>
          <w:w w:val="110"/>
        </w:rPr>
        <w:t>macropolítico;</w:t>
      </w:r>
      <w:r>
        <w:rPr>
          <w:spacing w:val="-4"/>
          <w:w w:val="110"/>
        </w:rPr>
        <w:t> </w:t>
      </w:r>
      <w:r>
        <w:rPr>
          <w:i/>
          <w:w w:val="110"/>
        </w:rPr>
        <w:t>iv)</w:t>
      </w:r>
      <w:r>
        <w:rPr>
          <w:i/>
          <w:spacing w:val="-4"/>
          <w:w w:val="110"/>
        </w:rPr>
        <w:t> </w:t>
      </w:r>
      <w:r>
        <w:rPr>
          <w:w w:val="110"/>
        </w:rPr>
        <w:t>metapolítico</w:t>
      </w:r>
      <w:r>
        <w:rPr>
          <w:spacing w:val="-4"/>
          <w:w w:val="110"/>
        </w:rPr>
        <w:t> </w:t>
      </w:r>
      <w:r>
        <w:rPr>
          <w:w w:val="110"/>
        </w:rPr>
        <w:t>(ver</w:t>
      </w:r>
      <w:r>
        <w:rPr>
          <w:spacing w:val="-4"/>
          <w:w w:val="110"/>
        </w:rPr>
        <w:t> </w:t>
      </w:r>
      <w:r>
        <w:rPr>
          <w:w w:val="110"/>
        </w:rPr>
        <w:t>cuadro</w:t>
      </w:r>
      <w:r>
        <w:rPr>
          <w:spacing w:val="-4"/>
          <w:w w:val="110"/>
        </w:rPr>
        <w:t> </w:t>
      </w:r>
      <w:r>
        <w:rPr>
          <w:spacing w:val="-2"/>
          <w:w w:val="110"/>
        </w:rPr>
        <w:t>1).</w:t>
      </w:r>
    </w:p>
    <w:p>
      <w:pPr>
        <w:pStyle w:val="BodyText"/>
        <w:spacing w:before="2"/>
      </w:pPr>
    </w:p>
    <w:p>
      <w:pPr>
        <w:spacing w:before="0"/>
        <w:ind w:left="670" w:right="717" w:firstLine="0"/>
        <w:jc w:val="center"/>
        <w:rPr>
          <w:rFonts w:ascii="Arial"/>
          <w:b/>
          <w:sz w:val="17"/>
        </w:rPr>
      </w:pPr>
      <w:r>
        <w:rPr>
          <w:rFonts w:ascii="Arial"/>
          <w:b/>
          <w:w w:val="85"/>
          <w:sz w:val="17"/>
        </w:rPr>
        <w:t>Cuadro 1</w:t>
      </w:r>
    </w:p>
    <w:p>
      <w:pPr>
        <w:spacing w:before="8"/>
        <w:ind w:left="1331" w:right="158" w:firstLine="0"/>
        <w:jc w:val="left"/>
        <w:rPr>
          <w:rFonts w:ascii="Arial" w:hAnsi="Arial"/>
          <w:sz w:val="17"/>
        </w:rPr>
      </w:pPr>
      <w:r>
        <w:rPr/>
        <w:pict>
          <v:group style="position:absolute;margin-left:117.738998pt;margin-top:231.870712pt;width:63.05pt;height:173.05pt;mso-position-horizontal-relative:page;mso-position-vertical-relative:paragraph;z-index:4312" coordorigin="2355,4637" coordsize="1261,3461">
            <v:rect style="position:absolute;left:2361;top:4644;width:1248;height:463" filled="false" stroked="true" strokeweight=".632pt" strokecolor="#000000"/>
            <v:rect style="position:absolute;left:2361;top:5107;width:1248;height:2985" filled="false" stroked="true" strokeweight=".632pt" strokecolor="#000000"/>
            <v:shape style="position:absolute;left:2361;top:4644;width:1248;height:463" type="#_x0000_t202" filled="false" stroked="false">
              <v:textbox inset="0,0,0,0">
                <w:txbxContent>
                  <w:p>
                    <w:pPr>
                      <w:spacing w:line="240" w:lineRule="auto" w:before="5"/>
                      <w:rPr>
                        <w:rFonts w:ascii="Arial"/>
                        <w:sz w:val="12"/>
                      </w:rPr>
                    </w:pPr>
                  </w:p>
                  <w:p>
                    <w:pPr>
                      <w:spacing w:before="1"/>
                      <w:ind w:left="297" w:right="108" w:firstLine="0"/>
                      <w:jc w:val="left"/>
                      <w:rPr>
                        <w:rFonts w:ascii="Arial"/>
                        <w:sz w:val="15"/>
                      </w:rPr>
                    </w:pPr>
                    <w:r>
                      <w:rPr>
                        <w:rFonts w:ascii="Arial"/>
                        <w:w w:val="85"/>
                        <w:sz w:val="15"/>
                      </w:rPr>
                      <w:t>El Mercado</w:t>
                    </w:r>
                  </w:p>
                </w:txbxContent>
              </v:textbox>
              <w10:wrap type="none"/>
            </v:shape>
            <v:shape style="position:absolute;left:2411;top:5167;width:948;height:1299" type="#_x0000_t202" filled="false" stroked="false">
              <v:textbox inset="0,0,0,0">
                <w:txbxContent>
                  <w:p>
                    <w:pPr>
                      <w:numPr>
                        <w:ilvl w:val="0"/>
                        <w:numId w:val="13"/>
                      </w:numPr>
                      <w:tabs>
                        <w:tab w:pos="76" w:val="left" w:leader="none"/>
                      </w:tabs>
                      <w:spacing w:line="213" w:lineRule="auto" w:before="0"/>
                      <w:ind w:left="67" w:right="0" w:hanging="67"/>
                      <w:jc w:val="left"/>
                      <w:rPr>
                        <w:rFonts w:ascii="Arial"/>
                        <w:sz w:val="12"/>
                      </w:rPr>
                    </w:pPr>
                    <w:r>
                      <w:rPr>
                        <w:rFonts w:ascii="Arial"/>
                        <w:w w:val="90"/>
                        <w:sz w:val="12"/>
                      </w:rPr>
                      <w:t>Se</w:t>
                    </w:r>
                    <w:r>
                      <w:rPr>
                        <w:rFonts w:ascii="Arial"/>
                        <w:spacing w:val="-15"/>
                        <w:w w:val="90"/>
                        <w:sz w:val="12"/>
                      </w:rPr>
                      <w:t> </w:t>
                    </w:r>
                    <w:r>
                      <w:rPr>
                        <w:rFonts w:ascii="Arial"/>
                        <w:w w:val="90"/>
                        <w:sz w:val="12"/>
                      </w:rPr>
                      <w:t>lleva</w:t>
                    </w:r>
                    <w:r>
                      <w:rPr>
                        <w:rFonts w:ascii="Arial"/>
                        <w:spacing w:val="-15"/>
                        <w:w w:val="90"/>
                        <w:sz w:val="12"/>
                      </w:rPr>
                      <w:t> </w:t>
                    </w:r>
                    <w:r>
                      <w:rPr>
                        <w:rFonts w:ascii="Arial"/>
                        <w:w w:val="90"/>
                        <w:sz w:val="12"/>
                      </w:rPr>
                      <w:t>a</w:t>
                    </w:r>
                    <w:r>
                      <w:rPr>
                        <w:rFonts w:ascii="Arial"/>
                        <w:spacing w:val="-15"/>
                        <w:w w:val="90"/>
                        <w:sz w:val="12"/>
                      </w:rPr>
                      <w:t> </w:t>
                    </w:r>
                    <w:r>
                      <w:rPr>
                        <w:rFonts w:ascii="Arial"/>
                        <w:w w:val="90"/>
                        <w:sz w:val="12"/>
                      </w:rPr>
                      <w:t>cabo</w:t>
                    </w:r>
                    <w:r>
                      <w:rPr>
                        <w:rFonts w:ascii="Arial"/>
                        <w:spacing w:val="-15"/>
                        <w:w w:val="90"/>
                        <w:sz w:val="12"/>
                      </w:rPr>
                      <w:t> </w:t>
                    </w:r>
                    <w:r>
                      <w:rPr>
                        <w:rFonts w:ascii="Arial"/>
                        <w:w w:val="90"/>
                        <w:sz w:val="12"/>
                      </w:rPr>
                      <w:t>de manera menos centralizada y </w:t>
                    </w:r>
                    <w:r>
                      <w:rPr>
                        <w:rFonts w:ascii="Arial"/>
                        <w:w w:val="85"/>
                        <w:sz w:val="12"/>
                      </w:rPr>
                      <w:t>autoritaria entre</w:t>
                    </w:r>
                    <w:r>
                      <w:rPr>
                        <w:rFonts w:ascii="Arial"/>
                        <w:spacing w:val="-22"/>
                        <w:w w:val="85"/>
                        <w:sz w:val="12"/>
                      </w:rPr>
                      <w:t> </w:t>
                    </w:r>
                    <w:r>
                      <w:rPr>
                        <w:rFonts w:ascii="Arial"/>
                        <w:w w:val="85"/>
                        <w:sz w:val="12"/>
                      </w:rPr>
                      <w:t>las:</w:t>
                    </w:r>
                  </w:p>
                  <w:p>
                    <w:pPr>
                      <w:numPr>
                        <w:ilvl w:val="1"/>
                        <w:numId w:val="13"/>
                      </w:numPr>
                      <w:tabs>
                        <w:tab w:pos="144" w:val="left" w:leader="none"/>
                      </w:tabs>
                      <w:spacing w:line="213" w:lineRule="auto" w:before="29"/>
                      <w:ind w:left="151" w:right="9" w:hanging="84"/>
                      <w:jc w:val="left"/>
                      <w:rPr>
                        <w:rFonts w:ascii="Sakkal Majalla" w:hAnsi="Sakkal Majalla"/>
                        <w:sz w:val="12"/>
                      </w:rPr>
                    </w:pPr>
                    <w:r>
                      <w:rPr>
                        <w:rFonts w:ascii="Trebuchet MS" w:hAnsi="Trebuchet MS"/>
                        <w:w w:val="95"/>
                        <w:sz w:val="12"/>
                      </w:rPr>
                      <w:t>Unidades de </w:t>
                    </w:r>
                    <w:r>
                      <w:rPr>
                        <w:rFonts w:ascii="Calibri" w:hAnsi="Calibri"/>
                        <w:w w:val="85"/>
                        <w:sz w:val="12"/>
                      </w:rPr>
                      <w:t>decisión (</w:t>
                    </w:r>
                    <w:r>
                      <w:rPr>
                        <w:rFonts w:ascii="Trebuchet MS" w:hAnsi="Trebuchet MS"/>
                        <w:w w:val="85"/>
                        <w:sz w:val="12"/>
                      </w:rPr>
                      <w:t>decision </w:t>
                    </w:r>
                    <w:r>
                      <w:rPr>
                        <w:rFonts w:ascii="Arial" w:hAnsi="Arial"/>
                        <w:w w:val="85"/>
                        <w:sz w:val="12"/>
                      </w:rPr>
                      <w:t>units</w:t>
                    </w:r>
                    <w:r>
                      <w:rPr>
                        <w:rFonts w:ascii="Arial" w:hAnsi="Arial"/>
                        <w:spacing w:val="-15"/>
                        <w:w w:val="85"/>
                        <w:sz w:val="12"/>
                      </w:rPr>
                      <w:t> </w:t>
                    </w:r>
                    <w:r>
                      <w:rPr>
                        <w:rFonts w:ascii="Sakkal Majalla" w:hAnsi="Sakkal Majalla"/>
                        <w:w w:val="85"/>
                        <w:sz w:val="12"/>
                      </w:rPr>
                      <w:t>)</w:t>
                    </w:r>
                  </w:p>
                  <w:p>
                    <w:pPr>
                      <w:numPr>
                        <w:ilvl w:val="1"/>
                        <w:numId w:val="13"/>
                      </w:numPr>
                      <w:tabs>
                        <w:tab w:pos="144" w:val="left" w:leader="none"/>
                      </w:tabs>
                      <w:spacing w:line="218" w:lineRule="auto" w:before="0"/>
                      <w:ind w:left="151" w:right="104" w:hanging="84"/>
                      <w:jc w:val="left"/>
                      <w:rPr>
                        <w:rFonts w:ascii="Arial" w:hAnsi="Arial"/>
                        <w:sz w:val="12"/>
                      </w:rPr>
                    </w:pPr>
                    <w:r>
                      <w:rPr>
                        <w:rFonts w:ascii="Trebuchet MS" w:hAnsi="Trebuchet MS"/>
                        <w:w w:val="95"/>
                        <w:sz w:val="12"/>
                      </w:rPr>
                      <w:t>Los grupos de </w:t>
                    </w:r>
                    <w:r>
                      <w:rPr>
                        <w:rFonts w:ascii="Arial" w:hAnsi="Arial"/>
                        <w:w w:val="85"/>
                        <w:sz w:val="12"/>
                      </w:rPr>
                      <w:t>interés</w:t>
                    </w:r>
                    <w:r>
                      <w:rPr>
                        <w:rFonts w:ascii="Arial" w:hAnsi="Arial"/>
                        <w:spacing w:val="-13"/>
                        <w:w w:val="85"/>
                        <w:sz w:val="12"/>
                      </w:rPr>
                      <w:t> </w:t>
                    </w:r>
                    <w:r>
                      <w:rPr>
                        <w:rFonts w:ascii="Arial" w:hAnsi="Arial"/>
                        <w:w w:val="85"/>
                        <w:sz w:val="12"/>
                      </w:rPr>
                      <w:t>(interest </w:t>
                    </w:r>
                    <w:r>
                      <w:rPr>
                        <w:rFonts w:ascii="Arial" w:hAnsi="Arial"/>
                        <w:w w:val="95"/>
                        <w:sz w:val="12"/>
                      </w:rPr>
                      <w:t>units)</w:t>
                    </w:r>
                  </w:p>
                </w:txbxContent>
              </v:textbox>
              <w10:wrap type="none"/>
            </v:shape>
            <v:shape style="position:absolute;left:2411;top:7089;width:945;height:371" type="#_x0000_t202" filled="false" stroked="false">
              <v:textbox inset="0,0,0,0">
                <w:txbxContent>
                  <w:p>
                    <w:pPr>
                      <w:numPr>
                        <w:ilvl w:val="0"/>
                        <w:numId w:val="14"/>
                      </w:numPr>
                      <w:tabs>
                        <w:tab w:pos="76" w:val="left" w:leader="none"/>
                      </w:tabs>
                      <w:spacing w:line="121" w:lineRule="exact" w:before="0"/>
                      <w:ind w:left="75" w:right="0" w:hanging="75"/>
                      <w:jc w:val="left"/>
                      <w:rPr>
                        <w:rFonts w:ascii="Arial"/>
                        <w:sz w:val="12"/>
                      </w:rPr>
                    </w:pPr>
                    <w:r>
                      <w:rPr>
                        <w:rFonts w:ascii="Arial"/>
                        <w:w w:val="80"/>
                        <w:sz w:val="12"/>
                      </w:rPr>
                      <w:t>Opera de</w:t>
                    </w:r>
                    <w:r>
                      <w:rPr>
                        <w:rFonts w:ascii="Arial"/>
                        <w:spacing w:val="3"/>
                        <w:w w:val="80"/>
                        <w:sz w:val="12"/>
                      </w:rPr>
                      <w:t> </w:t>
                    </w:r>
                    <w:r>
                      <w:rPr>
                        <w:rFonts w:ascii="Arial"/>
                        <w:w w:val="80"/>
                        <w:sz w:val="12"/>
                      </w:rPr>
                      <w:t>manera</w:t>
                    </w:r>
                  </w:p>
                  <w:p>
                    <w:pPr>
                      <w:spacing w:line="118" w:lineRule="exact" w:before="16"/>
                      <w:ind w:left="67" w:right="-17" w:firstLine="0"/>
                      <w:jc w:val="left"/>
                      <w:rPr>
                        <w:rFonts w:ascii="Arial" w:hAnsi="Arial"/>
                        <w:sz w:val="12"/>
                      </w:rPr>
                    </w:pPr>
                    <w:r>
                      <w:rPr>
                        <w:rFonts w:ascii="Arial" w:hAnsi="Arial"/>
                        <w:w w:val="85"/>
                        <w:sz w:val="12"/>
                      </w:rPr>
                      <w:t>privada</w:t>
                    </w:r>
                    <w:r>
                      <w:rPr>
                        <w:rFonts w:ascii="Arial" w:hAnsi="Arial"/>
                        <w:spacing w:val="-10"/>
                        <w:w w:val="85"/>
                        <w:sz w:val="12"/>
                      </w:rPr>
                      <w:t> </w:t>
                    </w:r>
                    <w:r>
                      <w:rPr>
                        <w:rFonts w:ascii="Arial" w:hAnsi="Arial"/>
                        <w:w w:val="85"/>
                        <w:sz w:val="12"/>
                      </w:rPr>
                      <w:t>a</w:t>
                    </w:r>
                    <w:r>
                      <w:rPr>
                        <w:rFonts w:ascii="Arial" w:hAnsi="Arial"/>
                        <w:spacing w:val="-10"/>
                        <w:w w:val="85"/>
                        <w:sz w:val="12"/>
                      </w:rPr>
                      <w:t> </w:t>
                    </w:r>
                    <w:r>
                      <w:rPr>
                        <w:rFonts w:ascii="Arial" w:hAnsi="Arial"/>
                        <w:w w:val="85"/>
                        <w:sz w:val="12"/>
                      </w:rPr>
                      <w:t>través</w:t>
                    </w:r>
                    <w:r>
                      <w:rPr>
                        <w:rFonts w:ascii="Arial" w:hAnsi="Arial"/>
                        <w:spacing w:val="-10"/>
                        <w:w w:val="85"/>
                        <w:sz w:val="12"/>
                      </w:rPr>
                      <w:t> </w:t>
                    </w:r>
                    <w:r>
                      <w:rPr>
                        <w:rFonts w:ascii="Arial" w:hAnsi="Arial"/>
                        <w:w w:val="85"/>
                        <w:sz w:val="12"/>
                      </w:rPr>
                      <w:t>del </w:t>
                    </w:r>
                    <w:r>
                      <w:rPr>
                        <w:rFonts w:ascii="Arial" w:hAnsi="Arial"/>
                        <w:w w:val="80"/>
                        <w:sz w:val="12"/>
                      </w:rPr>
                      <w:t>cabildeo ( lobbying</w:t>
                    </w:r>
                    <w:r>
                      <w:rPr>
                        <w:rFonts w:ascii="Arial" w:hAnsi="Arial"/>
                        <w:spacing w:val="-11"/>
                        <w:w w:val="80"/>
                        <w:sz w:val="12"/>
                      </w:rPr>
                      <w:t> </w:t>
                    </w:r>
                    <w:r>
                      <w:rPr>
                        <w:rFonts w:ascii="Arial" w:hAnsi="Arial"/>
                        <w:w w:val="80"/>
                        <w:sz w:val="12"/>
                      </w:rPr>
                      <w:t>).</w:t>
                    </w:r>
                  </w:p>
                </w:txbxContent>
              </v:textbox>
              <w10:wrap type="none"/>
            </v:shape>
            <w10:wrap type="none"/>
          </v:group>
        </w:pict>
      </w:r>
      <w:r>
        <w:rPr/>
        <w:pict>
          <v:group style="position:absolute;margin-left:188.869705pt;margin-top:231.870712pt;width:63.05pt;height:173.05pt;mso-position-horizontal-relative:page;mso-position-vertical-relative:paragraph;z-index:4408" coordorigin="3777,4637" coordsize="1261,3461">
            <v:rect style="position:absolute;left:3784;top:4644;width:1248;height:463" filled="false" stroked="true" strokeweight=".632pt" strokecolor="#000000"/>
            <v:rect style="position:absolute;left:3784;top:5107;width:1248;height:2985" filled="false" stroked="true" strokeweight=".632pt" strokecolor="#000000"/>
            <v:shape style="position:absolute;left:3784;top:4644;width:1248;height:463" type="#_x0000_t202" filled="false" stroked="false">
              <v:textbox inset="0,0,0,0">
                <w:txbxContent>
                  <w:p>
                    <w:pPr>
                      <w:spacing w:line="134" w:lineRule="exact" w:before="38"/>
                      <w:ind w:left="109" w:right="107" w:firstLine="0"/>
                      <w:jc w:val="center"/>
                      <w:rPr>
                        <w:rFonts w:ascii="Arial" w:hAnsi="Arial"/>
                        <w:sz w:val="13"/>
                      </w:rPr>
                    </w:pPr>
                    <w:r>
                      <w:rPr>
                        <w:rFonts w:ascii="Arial" w:hAnsi="Arial"/>
                        <w:w w:val="90"/>
                        <w:sz w:val="13"/>
                      </w:rPr>
                      <w:t>Medios de opinión </w:t>
                    </w:r>
                    <w:r>
                      <w:rPr>
                        <w:rFonts w:ascii="Arial" w:hAnsi="Arial"/>
                        <w:w w:val="95"/>
                        <w:sz w:val="13"/>
                      </w:rPr>
                      <w:t>pública y partidos </w:t>
                    </w:r>
                    <w:r>
                      <w:rPr>
                        <w:rFonts w:ascii="Arial" w:hAnsi="Arial"/>
                        <w:sz w:val="13"/>
                      </w:rPr>
                      <w:t>políticos</w:t>
                    </w:r>
                  </w:p>
                </w:txbxContent>
              </v:textbox>
              <w10:wrap type="none"/>
            </v:shape>
            <v:shape style="position:absolute;left:3833;top:5167;width:924;height:1147" type="#_x0000_t202" filled="false" stroked="false">
              <v:textbox inset="0,0,0,0">
                <w:txbxContent>
                  <w:p>
                    <w:pPr>
                      <w:numPr>
                        <w:ilvl w:val="0"/>
                        <w:numId w:val="15"/>
                      </w:numPr>
                      <w:tabs>
                        <w:tab w:pos="76" w:val="left" w:leader="none"/>
                      </w:tabs>
                      <w:spacing w:line="111" w:lineRule="exact" w:before="0"/>
                      <w:ind w:left="67" w:right="0" w:hanging="67"/>
                      <w:jc w:val="left"/>
                      <w:rPr>
                        <w:rFonts w:ascii="Arial"/>
                        <w:sz w:val="12"/>
                      </w:rPr>
                    </w:pPr>
                    <w:r>
                      <w:rPr>
                        <w:rFonts w:ascii="Arial"/>
                        <w:w w:val="80"/>
                        <w:sz w:val="12"/>
                      </w:rPr>
                      <w:t>Grandes</w:t>
                    </w:r>
                    <w:r>
                      <w:rPr>
                        <w:rFonts w:ascii="Arial"/>
                        <w:spacing w:val="9"/>
                        <w:w w:val="80"/>
                        <w:sz w:val="12"/>
                      </w:rPr>
                      <w:t> </w:t>
                    </w:r>
                    <w:r>
                      <w:rPr>
                        <w:rFonts w:ascii="Arial"/>
                        <w:w w:val="80"/>
                        <w:sz w:val="12"/>
                      </w:rPr>
                      <w:t>directorios</w:t>
                    </w:r>
                  </w:p>
                  <w:p>
                    <w:pPr>
                      <w:spacing w:line="130" w:lineRule="exact" w:before="0"/>
                      <w:ind w:left="67" w:right="0" w:firstLine="0"/>
                      <w:jc w:val="left"/>
                      <w:rPr>
                        <w:rFonts w:ascii="Calibri"/>
                        <w:sz w:val="12"/>
                      </w:rPr>
                    </w:pPr>
                    <w:r>
                      <w:rPr>
                        <w:rFonts w:ascii="Calibri"/>
                        <w:w w:val="95"/>
                        <w:sz w:val="12"/>
                      </w:rPr>
                      <w:t>multidivisionales</w:t>
                    </w:r>
                  </w:p>
                  <w:p>
                    <w:pPr>
                      <w:spacing w:line="131" w:lineRule="exact" w:before="0"/>
                      <w:ind w:left="67" w:right="0" w:firstLine="0"/>
                      <w:jc w:val="left"/>
                      <w:rPr>
                        <w:rFonts w:ascii="Arial"/>
                        <w:sz w:val="12"/>
                      </w:rPr>
                    </w:pPr>
                    <w:r>
                      <w:rPr>
                        <w:rFonts w:ascii="Arial"/>
                        <w:w w:val="80"/>
                        <w:sz w:val="12"/>
                      </w:rPr>
                      <w:t>( holdings )</w:t>
                    </w:r>
                  </w:p>
                  <w:p>
                    <w:pPr>
                      <w:numPr>
                        <w:ilvl w:val="0"/>
                        <w:numId w:val="15"/>
                      </w:numPr>
                      <w:tabs>
                        <w:tab w:pos="76" w:val="left" w:leader="none"/>
                      </w:tabs>
                      <w:spacing w:line="213" w:lineRule="auto" w:before="10"/>
                      <w:ind w:left="67" w:right="124" w:hanging="67"/>
                      <w:jc w:val="left"/>
                      <w:rPr>
                        <w:rFonts w:ascii="Calibri"/>
                        <w:sz w:val="12"/>
                      </w:rPr>
                    </w:pPr>
                    <w:r>
                      <w:rPr>
                        <w:rFonts w:ascii="Arial"/>
                        <w:w w:val="95"/>
                        <w:sz w:val="12"/>
                      </w:rPr>
                      <w:t>Complejo </w:t>
                    </w:r>
                    <w:r>
                      <w:rPr>
                        <w:rFonts w:ascii="Calibri"/>
                        <w:w w:val="95"/>
                        <w:sz w:val="12"/>
                      </w:rPr>
                      <w:t>institucional- </w:t>
                    </w:r>
                    <w:r>
                      <w:rPr>
                        <w:rFonts w:ascii="Trebuchet MS"/>
                        <w:w w:val="95"/>
                        <w:sz w:val="12"/>
                      </w:rPr>
                      <w:t>empresarial e </w:t>
                    </w:r>
                    <w:r>
                      <w:rPr>
                        <w:rFonts w:ascii="Calibri"/>
                        <w:w w:val="85"/>
                        <w:sz w:val="12"/>
                      </w:rPr>
                      <w:t>intelectual (tanto </w:t>
                    </w:r>
                    <w:r>
                      <w:rPr>
                        <w:rFonts w:ascii="Calibri"/>
                        <w:w w:val="95"/>
                        <w:sz w:val="12"/>
                      </w:rPr>
                      <w:t>vertical como </w:t>
                    </w:r>
                    <w:r>
                      <w:rPr>
                        <w:rFonts w:ascii="Calibri"/>
                        <w:w w:val="85"/>
                        <w:sz w:val="12"/>
                      </w:rPr>
                      <w:t>horizontalmente)</w:t>
                    </w:r>
                  </w:p>
                </w:txbxContent>
              </v:textbox>
              <w10:wrap type="none"/>
            </v:shape>
            <v:shape style="position:absolute;left:3833;top:6650;width:907;height:1282" type="#_x0000_t202" filled="false" stroked="false">
              <v:textbox inset="0,0,0,0">
                <w:txbxContent>
                  <w:p>
                    <w:pPr>
                      <w:numPr>
                        <w:ilvl w:val="0"/>
                        <w:numId w:val="16"/>
                      </w:numPr>
                      <w:tabs>
                        <w:tab w:pos="76" w:val="left" w:leader="none"/>
                      </w:tabs>
                      <w:spacing w:line="211" w:lineRule="auto" w:before="0"/>
                      <w:ind w:left="67" w:right="0" w:hanging="67"/>
                      <w:jc w:val="left"/>
                      <w:rPr>
                        <w:rFonts w:ascii="Calibri" w:hAnsi="Calibri"/>
                        <w:sz w:val="12"/>
                      </w:rPr>
                    </w:pPr>
                    <w:r>
                      <w:rPr>
                        <w:rFonts w:ascii="Calibri" w:hAnsi="Calibri"/>
                        <w:sz w:val="12"/>
                      </w:rPr>
                      <w:t>Existe una </w:t>
                    </w:r>
                    <w:r>
                      <w:rPr>
                        <w:rFonts w:ascii="Trebuchet MS" w:hAnsi="Trebuchet MS"/>
                        <w:sz w:val="12"/>
                      </w:rPr>
                      <w:t>sincronización empresarial a </w:t>
                    </w:r>
                    <w:r>
                      <w:rPr>
                        <w:rFonts w:ascii="Calibri" w:hAnsi="Calibri"/>
                        <w:sz w:val="12"/>
                      </w:rPr>
                      <w:t>través de la </w:t>
                    </w:r>
                    <w:r>
                      <w:rPr>
                        <w:rFonts w:ascii="Calibri" w:hAnsi="Calibri"/>
                        <w:w w:val="90"/>
                        <w:sz w:val="12"/>
                      </w:rPr>
                      <w:t>privatización</w:t>
                    </w:r>
                    <w:r>
                      <w:rPr>
                        <w:rFonts w:ascii="Calibri" w:hAnsi="Calibri"/>
                        <w:spacing w:val="-11"/>
                        <w:w w:val="90"/>
                        <w:sz w:val="12"/>
                      </w:rPr>
                      <w:t> </w:t>
                    </w:r>
                    <w:r>
                      <w:rPr>
                        <w:rFonts w:ascii="Trebuchet MS" w:hAnsi="Trebuchet MS"/>
                        <w:w w:val="90"/>
                        <w:sz w:val="12"/>
                      </w:rPr>
                      <w:t>de</w:t>
                    </w:r>
                    <w:r>
                      <w:rPr>
                        <w:rFonts w:ascii="Trebuchet MS" w:hAnsi="Trebuchet MS"/>
                        <w:spacing w:val="-20"/>
                        <w:w w:val="90"/>
                        <w:sz w:val="12"/>
                      </w:rPr>
                      <w:t> </w:t>
                    </w:r>
                    <w:r>
                      <w:rPr>
                        <w:rFonts w:ascii="Trebuchet MS" w:hAnsi="Trebuchet MS"/>
                        <w:w w:val="90"/>
                        <w:sz w:val="12"/>
                      </w:rPr>
                      <w:t>los</w:t>
                    </w:r>
                    <w:r>
                      <w:rPr>
                        <w:rFonts w:ascii="Trebuchet MS" w:hAnsi="Trebuchet MS"/>
                        <w:w w:val="83"/>
                        <w:sz w:val="12"/>
                      </w:rPr>
                      <w:t> </w:t>
                    </w:r>
                    <w:r>
                      <w:rPr>
                        <w:rFonts w:ascii="Calibri" w:hAnsi="Calibri"/>
                        <w:w w:val="90"/>
                        <w:sz w:val="12"/>
                      </w:rPr>
                      <w:t>instrumentos de la </w:t>
                    </w:r>
                    <w:r>
                      <w:rPr>
                        <w:rFonts w:ascii="Calibri" w:hAnsi="Calibri"/>
                        <w:sz w:val="12"/>
                      </w:rPr>
                      <w:t>policy-making.</w:t>
                    </w:r>
                  </w:p>
                  <w:p>
                    <w:pPr>
                      <w:numPr>
                        <w:ilvl w:val="0"/>
                        <w:numId w:val="16"/>
                      </w:numPr>
                      <w:tabs>
                        <w:tab w:pos="76" w:val="left" w:leader="none"/>
                      </w:tabs>
                      <w:spacing w:line="216" w:lineRule="auto" w:before="22"/>
                      <w:ind w:left="67" w:right="48" w:hanging="67"/>
                      <w:jc w:val="left"/>
                      <w:rPr>
                        <w:rFonts w:ascii="Calibri" w:hAnsi="Calibri"/>
                        <w:sz w:val="12"/>
                      </w:rPr>
                    </w:pPr>
                    <w:r>
                      <w:rPr>
                        <w:rFonts w:ascii="Trebuchet MS" w:hAnsi="Trebuchet MS"/>
                        <w:w w:val="95"/>
                        <w:sz w:val="12"/>
                      </w:rPr>
                      <w:t>Observa una </w:t>
                    </w:r>
                    <w:r>
                      <w:rPr>
                        <w:rFonts w:ascii="Trebuchet MS" w:hAnsi="Trebuchet MS"/>
                        <w:w w:val="80"/>
                        <w:sz w:val="12"/>
                      </w:rPr>
                      <w:t>dinámica privada- </w:t>
                    </w:r>
                    <w:r>
                      <w:rPr>
                        <w:rFonts w:ascii="Calibri" w:hAnsi="Calibri"/>
                        <w:w w:val="95"/>
                        <w:sz w:val="12"/>
                      </w:rPr>
                      <w:t>concertadora.</w:t>
                    </w:r>
                  </w:p>
                </w:txbxContent>
              </v:textbox>
              <w10:wrap type="none"/>
            </v:shape>
            <w10:wrap type="none"/>
          </v:group>
        </w:pict>
      </w:r>
      <w:r>
        <w:rPr/>
        <w:pict>
          <v:group style="position:absolute;margin-left:260.000305pt;margin-top:231.870712pt;width:63.05pt;height:173.05pt;mso-position-horizontal-relative:page;mso-position-vertical-relative:paragraph;z-index:4480" coordorigin="5200,4637" coordsize="1261,3461">
            <v:rect style="position:absolute;left:5207;top:4644;width:1248;height:463" filled="false" stroked="true" strokeweight=".632pt" strokecolor="#000000"/>
            <v:rect style="position:absolute;left:5207;top:5107;width:1248;height:2985" filled="false" stroked="true" strokeweight=".632pt" strokecolor="#000000"/>
            <v:shape style="position:absolute;left:5207;top:4644;width:1248;height:463" type="#_x0000_t202" filled="false" stroked="false">
              <v:textbox inset="0,0,0,0">
                <w:txbxContent>
                  <w:p>
                    <w:pPr>
                      <w:spacing w:line="240" w:lineRule="auto" w:before="5"/>
                      <w:rPr>
                        <w:rFonts w:ascii="Arial"/>
                        <w:sz w:val="12"/>
                      </w:rPr>
                    </w:pPr>
                  </w:p>
                  <w:p>
                    <w:pPr>
                      <w:spacing w:before="1"/>
                      <w:ind w:left="354" w:right="108" w:firstLine="0"/>
                      <w:jc w:val="left"/>
                      <w:rPr>
                        <w:rFonts w:ascii="Arial"/>
                        <w:sz w:val="15"/>
                      </w:rPr>
                    </w:pPr>
                    <w:r>
                      <w:rPr>
                        <w:rFonts w:ascii="Arial"/>
                        <w:w w:val="85"/>
                        <w:sz w:val="15"/>
                      </w:rPr>
                      <w:t>El Estado</w:t>
                    </w:r>
                  </w:p>
                </w:txbxContent>
              </v:textbox>
              <w10:wrap type="none"/>
            </v:shape>
            <v:shape style="position:absolute;left:5207;top:5107;width:1248;height:2985" type="#_x0000_t202" filled="false" stroked="false">
              <v:textbox inset="0,0,0,0">
                <w:txbxContent>
                  <w:p>
                    <w:pPr>
                      <w:numPr>
                        <w:ilvl w:val="0"/>
                        <w:numId w:val="17"/>
                      </w:numPr>
                      <w:tabs>
                        <w:tab w:pos="126" w:val="left" w:leader="none"/>
                      </w:tabs>
                      <w:spacing w:line="118" w:lineRule="exact" w:before="61"/>
                      <w:ind w:left="117" w:right="366" w:hanging="68"/>
                      <w:jc w:val="left"/>
                      <w:rPr>
                        <w:rFonts w:ascii="Calibri"/>
                        <w:sz w:val="12"/>
                      </w:rPr>
                    </w:pPr>
                    <w:r>
                      <w:rPr>
                        <w:rFonts w:ascii="Calibri"/>
                        <w:w w:val="85"/>
                        <w:sz w:val="12"/>
                      </w:rPr>
                      <w:t>Departamento de </w:t>
                    </w:r>
                    <w:r>
                      <w:rPr>
                        <w:rFonts w:ascii="Calibri"/>
                        <w:w w:val="95"/>
                        <w:sz w:val="12"/>
                      </w:rPr>
                      <w:t>Estado</w:t>
                    </w:r>
                  </w:p>
                  <w:p>
                    <w:pPr>
                      <w:numPr>
                        <w:ilvl w:val="0"/>
                        <w:numId w:val="17"/>
                      </w:numPr>
                      <w:tabs>
                        <w:tab w:pos="126" w:val="left" w:leader="none"/>
                      </w:tabs>
                      <w:spacing w:line="118" w:lineRule="exact" w:before="33"/>
                      <w:ind w:left="117" w:right="366" w:hanging="68"/>
                      <w:jc w:val="left"/>
                      <w:rPr>
                        <w:rFonts w:ascii="Trebuchet MS"/>
                        <w:sz w:val="12"/>
                      </w:rPr>
                    </w:pPr>
                    <w:r>
                      <w:rPr>
                        <w:rFonts w:ascii="Calibri"/>
                        <w:w w:val="85"/>
                        <w:sz w:val="12"/>
                      </w:rPr>
                      <w:t>Departamento de </w:t>
                    </w:r>
                    <w:r>
                      <w:rPr>
                        <w:rFonts w:ascii="Trebuchet MS"/>
                        <w:w w:val="95"/>
                        <w:sz w:val="12"/>
                      </w:rPr>
                      <w:t>Comercio</w:t>
                    </w:r>
                  </w:p>
                  <w:p>
                    <w:pPr>
                      <w:numPr>
                        <w:ilvl w:val="0"/>
                        <w:numId w:val="17"/>
                      </w:numPr>
                      <w:tabs>
                        <w:tab w:pos="126" w:val="left" w:leader="none"/>
                      </w:tabs>
                      <w:spacing w:line="134" w:lineRule="exact" w:before="21"/>
                      <w:ind w:left="117" w:right="366" w:hanging="68"/>
                      <w:jc w:val="left"/>
                      <w:rPr>
                        <w:rFonts w:ascii="Calibri"/>
                        <w:sz w:val="12"/>
                      </w:rPr>
                    </w:pPr>
                    <w:r>
                      <w:rPr>
                        <w:rFonts w:ascii="Calibri"/>
                        <w:w w:val="85"/>
                        <w:sz w:val="12"/>
                      </w:rPr>
                      <w:t>Departamento de </w:t>
                    </w:r>
                    <w:r>
                      <w:rPr>
                        <w:rFonts w:ascii="Calibri"/>
                        <w:sz w:val="12"/>
                      </w:rPr>
                      <w:t>Defensa,</w:t>
                    </w:r>
                  </w:p>
                  <w:p>
                    <w:pPr>
                      <w:numPr>
                        <w:ilvl w:val="0"/>
                        <w:numId w:val="17"/>
                      </w:numPr>
                      <w:tabs>
                        <w:tab w:pos="126" w:val="left" w:leader="none"/>
                      </w:tabs>
                      <w:spacing w:line="141" w:lineRule="exact" w:before="10"/>
                      <w:ind w:left="125" w:right="0" w:hanging="76"/>
                      <w:jc w:val="left"/>
                      <w:rPr>
                        <w:rFonts w:ascii="Calibri"/>
                        <w:sz w:val="12"/>
                      </w:rPr>
                    </w:pPr>
                    <w:r>
                      <w:rPr>
                        <w:rFonts w:ascii="Calibri"/>
                        <w:w w:val="90"/>
                        <w:sz w:val="12"/>
                      </w:rPr>
                      <w:t>El</w:t>
                    </w:r>
                    <w:r>
                      <w:rPr>
                        <w:rFonts w:ascii="Calibri"/>
                        <w:spacing w:val="4"/>
                        <w:w w:val="90"/>
                        <w:sz w:val="12"/>
                      </w:rPr>
                      <w:t> </w:t>
                    </w:r>
                    <w:r>
                      <w:rPr>
                        <w:rFonts w:ascii="Calibri"/>
                        <w:w w:val="90"/>
                        <w:sz w:val="12"/>
                      </w:rPr>
                      <w:t>Congreso,</w:t>
                    </w:r>
                  </w:p>
                  <w:p>
                    <w:pPr>
                      <w:numPr>
                        <w:ilvl w:val="0"/>
                        <w:numId w:val="17"/>
                      </w:numPr>
                      <w:tabs>
                        <w:tab w:pos="126" w:val="left" w:leader="none"/>
                      </w:tabs>
                      <w:spacing w:line="134" w:lineRule="exact" w:before="1"/>
                      <w:ind w:left="117" w:right="283" w:hanging="68"/>
                      <w:jc w:val="left"/>
                      <w:rPr>
                        <w:rFonts w:ascii="Trebuchet MS"/>
                        <w:sz w:val="12"/>
                      </w:rPr>
                    </w:pPr>
                    <w:r>
                      <w:rPr>
                        <w:rFonts w:ascii="Calibri"/>
                        <w:w w:val="95"/>
                        <w:sz w:val="12"/>
                      </w:rPr>
                      <w:t>El Consejo de </w:t>
                    </w:r>
                    <w:r>
                      <w:rPr>
                        <w:rFonts w:ascii="Trebuchet MS"/>
                        <w:w w:val="80"/>
                        <w:sz w:val="12"/>
                      </w:rPr>
                      <w:t>Seguridad</w:t>
                    </w:r>
                    <w:r>
                      <w:rPr>
                        <w:rFonts w:ascii="Trebuchet MS"/>
                        <w:spacing w:val="25"/>
                        <w:w w:val="80"/>
                        <w:sz w:val="12"/>
                      </w:rPr>
                      <w:t> </w:t>
                    </w:r>
                    <w:r>
                      <w:rPr>
                        <w:rFonts w:ascii="Trebuchet MS"/>
                        <w:w w:val="80"/>
                        <w:sz w:val="12"/>
                      </w:rPr>
                      <w:t>Nacional</w:t>
                    </w:r>
                  </w:p>
                  <w:p>
                    <w:pPr>
                      <w:numPr>
                        <w:ilvl w:val="0"/>
                        <w:numId w:val="17"/>
                      </w:numPr>
                      <w:tabs>
                        <w:tab w:pos="126" w:val="left" w:leader="none"/>
                      </w:tabs>
                      <w:spacing w:before="10"/>
                      <w:ind w:left="125" w:right="0" w:hanging="76"/>
                      <w:jc w:val="left"/>
                      <w:rPr>
                        <w:rFonts w:ascii="Calibri" w:hAnsi="Calibri"/>
                        <w:sz w:val="12"/>
                      </w:rPr>
                    </w:pPr>
                    <w:r>
                      <w:rPr>
                        <w:rFonts w:ascii="Calibri" w:hAnsi="Calibri"/>
                        <w:w w:val="90"/>
                        <w:sz w:val="12"/>
                      </w:rPr>
                      <w:t>El</w:t>
                    </w:r>
                    <w:r>
                      <w:rPr>
                        <w:rFonts w:ascii="Calibri" w:hAnsi="Calibri"/>
                        <w:spacing w:val="-9"/>
                        <w:w w:val="90"/>
                        <w:sz w:val="12"/>
                      </w:rPr>
                      <w:t> </w:t>
                    </w:r>
                    <w:r>
                      <w:rPr>
                        <w:rFonts w:ascii="Calibri" w:hAnsi="Calibri"/>
                        <w:w w:val="90"/>
                        <w:sz w:val="12"/>
                      </w:rPr>
                      <w:t>Pentágono.</w:t>
                    </w:r>
                  </w:p>
                  <w:p>
                    <w:pPr>
                      <w:spacing w:line="240" w:lineRule="auto" w:before="4"/>
                      <w:rPr>
                        <w:rFonts w:ascii="Arial"/>
                        <w:sz w:val="13"/>
                      </w:rPr>
                    </w:pPr>
                  </w:p>
                  <w:p>
                    <w:pPr>
                      <w:numPr>
                        <w:ilvl w:val="0"/>
                        <w:numId w:val="17"/>
                      </w:numPr>
                      <w:tabs>
                        <w:tab w:pos="126" w:val="left" w:leader="none"/>
                      </w:tabs>
                      <w:spacing w:line="213" w:lineRule="auto" w:before="0"/>
                      <w:ind w:left="117" w:right="266" w:hanging="68"/>
                      <w:jc w:val="left"/>
                      <w:rPr>
                        <w:rFonts w:ascii="Calibri" w:hAnsi="Calibri"/>
                        <w:sz w:val="12"/>
                      </w:rPr>
                    </w:pPr>
                    <w:r>
                      <w:rPr>
                        <w:rFonts w:ascii="Trebuchet MS" w:hAnsi="Trebuchet MS"/>
                        <w:w w:val="80"/>
                        <w:sz w:val="12"/>
                      </w:rPr>
                      <w:t>Opera</w:t>
                    </w:r>
                    <w:r>
                      <w:rPr>
                        <w:rFonts w:ascii="Trebuchet MS" w:hAnsi="Trebuchet MS"/>
                        <w:spacing w:val="-5"/>
                        <w:w w:val="80"/>
                        <w:sz w:val="12"/>
                      </w:rPr>
                      <w:t> </w:t>
                    </w:r>
                    <w:r>
                      <w:rPr>
                        <w:rFonts w:ascii="Trebuchet MS" w:hAnsi="Trebuchet MS"/>
                        <w:w w:val="80"/>
                        <w:sz w:val="12"/>
                      </w:rPr>
                      <w:t>estatalmente </w:t>
                    </w:r>
                    <w:r>
                      <w:rPr>
                        <w:rFonts w:ascii="Calibri" w:hAnsi="Calibri"/>
                        <w:sz w:val="12"/>
                      </w:rPr>
                      <w:t>y trasciende las </w:t>
                    </w:r>
                    <w:r>
                      <w:rPr>
                        <w:rFonts w:ascii="Calibri" w:hAnsi="Calibri"/>
                        <w:w w:val="90"/>
                        <w:sz w:val="12"/>
                      </w:rPr>
                      <w:t>políticas sectoriales y regionales.</w:t>
                    </w:r>
                  </w:p>
                  <w:p>
                    <w:pPr>
                      <w:spacing w:line="240" w:lineRule="auto" w:before="0"/>
                      <w:rPr>
                        <w:rFonts w:ascii="Arial"/>
                        <w:sz w:val="15"/>
                      </w:rPr>
                    </w:pPr>
                  </w:p>
                  <w:p>
                    <w:pPr>
                      <w:numPr>
                        <w:ilvl w:val="0"/>
                        <w:numId w:val="17"/>
                      </w:numPr>
                      <w:tabs>
                        <w:tab w:pos="126" w:val="left" w:leader="none"/>
                      </w:tabs>
                      <w:spacing w:line="216" w:lineRule="auto" w:before="1"/>
                      <w:ind w:left="117" w:right="346" w:hanging="68"/>
                      <w:jc w:val="left"/>
                      <w:rPr>
                        <w:rFonts w:ascii="Calibri" w:hAnsi="Calibri"/>
                        <w:sz w:val="12"/>
                      </w:rPr>
                    </w:pPr>
                    <w:r>
                      <w:rPr>
                        <w:rFonts w:ascii="Trebuchet MS" w:hAnsi="Trebuchet MS"/>
                        <w:w w:val="95"/>
                        <w:sz w:val="12"/>
                      </w:rPr>
                      <w:t>Observa una </w:t>
                    </w:r>
                    <w:r>
                      <w:rPr>
                        <w:rFonts w:ascii="Trebuchet MS" w:hAnsi="Trebuchet MS"/>
                        <w:w w:val="80"/>
                        <w:sz w:val="12"/>
                      </w:rPr>
                      <w:t>dinámica pública- </w:t>
                    </w:r>
                    <w:r>
                      <w:rPr>
                        <w:rFonts w:ascii="Calibri" w:hAnsi="Calibri"/>
                        <w:w w:val="95"/>
                        <w:sz w:val="12"/>
                      </w:rPr>
                      <w:t>autoritaria.</w:t>
                    </w:r>
                  </w:p>
                </w:txbxContent>
              </v:textbox>
              <w10:wrap type="none"/>
            </v:shape>
            <w10:wrap type="none"/>
          </v:group>
        </w:pict>
      </w:r>
      <w:r>
        <w:rPr/>
        <w:pict>
          <v:group style="position:absolute;margin-left:331.131805pt;margin-top:231.870712pt;width:63.05pt;height:173.05pt;mso-position-horizontal-relative:page;mso-position-vertical-relative:paragraph;z-index:4576" coordorigin="6623,4637" coordsize="1261,3461">
            <v:rect style="position:absolute;left:6629;top:4644;width:1248;height:463" filled="false" stroked="true" strokeweight=".632pt" strokecolor="#000000"/>
            <v:rect style="position:absolute;left:6629;top:5107;width:1248;height:2985" filled="false" stroked="true" strokeweight=".632pt" strokecolor="#000000"/>
            <v:shape style="position:absolute;left:6629;top:4644;width:1248;height:463" type="#_x0000_t202" filled="false" stroked="false">
              <v:textbox inset="0,0,0,0">
                <w:txbxContent>
                  <w:p>
                    <w:pPr>
                      <w:spacing w:line="254" w:lineRule="auto" w:before="33"/>
                      <w:ind w:left="129" w:right="108" w:firstLine="294"/>
                      <w:jc w:val="left"/>
                      <w:rPr>
                        <w:rFonts w:ascii="Arial" w:hAnsi="Arial"/>
                        <w:sz w:val="15"/>
                      </w:rPr>
                    </w:pPr>
                    <w:r>
                      <w:rPr>
                        <w:rFonts w:ascii="Arial" w:hAnsi="Arial"/>
                        <w:sz w:val="15"/>
                      </w:rPr>
                      <w:t>Ideario </w:t>
                    </w:r>
                    <w:r>
                      <w:rPr>
                        <w:rFonts w:ascii="Arial" w:hAnsi="Arial"/>
                        <w:w w:val="90"/>
                        <w:sz w:val="15"/>
                      </w:rPr>
                      <w:t>político filosófico</w:t>
                    </w:r>
                  </w:p>
                </w:txbxContent>
              </v:textbox>
              <w10:wrap type="none"/>
            </v:shape>
            <v:shape style="position:absolute;left:6679;top:5167;width:721;height:489" type="#_x0000_t202" filled="false" stroked="false">
              <v:textbox inset="0,0,0,0">
                <w:txbxContent>
                  <w:p>
                    <w:pPr>
                      <w:numPr>
                        <w:ilvl w:val="0"/>
                        <w:numId w:val="18"/>
                      </w:numPr>
                      <w:tabs>
                        <w:tab w:pos="76" w:val="left" w:leader="none"/>
                      </w:tabs>
                      <w:spacing w:line="204" w:lineRule="auto" w:before="0"/>
                      <w:ind w:left="67" w:right="0" w:hanging="67"/>
                      <w:jc w:val="left"/>
                      <w:rPr>
                        <w:rFonts w:ascii="Calibri"/>
                        <w:sz w:val="12"/>
                      </w:rPr>
                    </w:pPr>
                    <w:r>
                      <w:rPr>
                        <w:rFonts w:ascii="Trebuchet MS"/>
                        <w:w w:val="95"/>
                        <w:sz w:val="12"/>
                      </w:rPr>
                      <w:t>No obser </w:t>
                    </w:r>
                    <w:r>
                      <w:rPr>
                        <w:rFonts w:ascii="Calibri"/>
                        <w:w w:val="95"/>
                        <w:sz w:val="12"/>
                      </w:rPr>
                      <w:t>depostiarios </w:t>
                    </w:r>
                    <w:r>
                      <w:rPr>
                        <w:rFonts w:ascii="Calibri"/>
                        <w:w w:val="90"/>
                        <w:sz w:val="12"/>
                      </w:rPr>
                      <w:t>permanentes</w:t>
                    </w:r>
                    <w:r>
                      <w:rPr>
                        <w:rFonts w:ascii="Calibri"/>
                        <w:spacing w:val="-14"/>
                        <w:w w:val="90"/>
                        <w:sz w:val="12"/>
                      </w:rPr>
                      <w:t> </w:t>
                    </w:r>
                    <w:r>
                      <w:rPr>
                        <w:rFonts w:ascii="Calibri"/>
                        <w:w w:val="90"/>
                        <w:sz w:val="12"/>
                      </w:rPr>
                      <w:t>o</w:t>
                    </w:r>
                    <w:r>
                      <w:rPr>
                        <w:rFonts w:ascii="Calibri"/>
                        <w:w w:val="82"/>
                        <w:sz w:val="12"/>
                      </w:rPr>
                      <w:t> </w:t>
                    </w:r>
                    <w:r>
                      <w:rPr>
                        <w:rFonts w:ascii="Calibri"/>
                        <w:w w:val="95"/>
                        <w:sz w:val="12"/>
                      </w:rPr>
                      <w:t>infalibles.</w:t>
                    </w:r>
                  </w:p>
                </w:txbxContent>
              </v:textbox>
              <w10:wrap type="none"/>
            </v:shape>
            <v:shape style="position:absolute;left:6679;top:7021;width:939;height:641" type="#_x0000_t202" filled="false" stroked="false">
              <v:textbox inset="0,0,0,0">
                <w:txbxContent>
                  <w:p>
                    <w:pPr>
                      <w:numPr>
                        <w:ilvl w:val="0"/>
                        <w:numId w:val="19"/>
                      </w:numPr>
                      <w:tabs>
                        <w:tab w:pos="76" w:val="left" w:leader="none"/>
                      </w:tabs>
                      <w:spacing w:line="120" w:lineRule="exact" w:before="0"/>
                      <w:ind w:left="75" w:right="0" w:hanging="75"/>
                      <w:jc w:val="left"/>
                      <w:rPr>
                        <w:rFonts w:ascii="Trebuchet MS"/>
                        <w:sz w:val="12"/>
                      </w:rPr>
                    </w:pPr>
                    <w:r>
                      <w:rPr>
                        <w:rFonts w:ascii="Trebuchet MS"/>
                        <w:w w:val="80"/>
                        <w:sz w:val="12"/>
                      </w:rPr>
                      <w:t>Universaliza</w:t>
                    </w:r>
                    <w:r>
                      <w:rPr>
                        <w:rFonts w:ascii="Trebuchet MS"/>
                        <w:spacing w:val="7"/>
                        <w:w w:val="80"/>
                        <w:sz w:val="12"/>
                      </w:rPr>
                      <w:t> </w:t>
                    </w:r>
                    <w:r>
                      <w:rPr>
                        <w:rFonts w:ascii="Trebuchet MS"/>
                        <w:w w:val="80"/>
                        <w:sz w:val="12"/>
                      </w:rPr>
                      <w:t>valores</w:t>
                    </w:r>
                  </w:p>
                  <w:p>
                    <w:pPr>
                      <w:spacing w:line="211" w:lineRule="auto" w:before="10"/>
                      <w:ind w:left="67" w:right="-4" w:firstLine="0"/>
                      <w:jc w:val="left"/>
                      <w:rPr>
                        <w:rFonts w:ascii="Calibri" w:hAnsi="Calibri"/>
                        <w:sz w:val="12"/>
                      </w:rPr>
                    </w:pPr>
                    <w:r>
                      <w:rPr>
                        <w:rFonts w:ascii="Calibri" w:hAnsi="Calibri"/>
                        <w:sz w:val="12"/>
                      </w:rPr>
                      <w:t>e</w:t>
                    </w:r>
                    <w:r>
                      <w:rPr>
                        <w:rFonts w:ascii="Calibri" w:hAnsi="Calibri"/>
                        <w:spacing w:val="-15"/>
                        <w:sz w:val="12"/>
                      </w:rPr>
                      <w:t> </w:t>
                    </w:r>
                    <w:r>
                      <w:rPr>
                        <w:rFonts w:ascii="Calibri" w:hAnsi="Calibri"/>
                        <w:sz w:val="12"/>
                      </w:rPr>
                      <w:t>ideas</w:t>
                    </w:r>
                    <w:r>
                      <w:rPr>
                        <w:rFonts w:ascii="Calibri" w:hAnsi="Calibri"/>
                        <w:spacing w:val="-15"/>
                        <w:sz w:val="12"/>
                      </w:rPr>
                      <w:t> </w:t>
                    </w:r>
                    <w:r>
                      <w:rPr>
                        <w:rFonts w:ascii="Calibri" w:hAnsi="Calibri"/>
                        <w:sz w:val="12"/>
                      </w:rPr>
                      <w:t>a</w:t>
                    </w:r>
                    <w:r>
                      <w:rPr>
                        <w:rFonts w:ascii="Calibri" w:hAnsi="Calibri"/>
                        <w:spacing w:val="-15"/>
                        <w:sz w:val="12"/>
                      </w:rPr>
                      <w:t> </w:t>
                    </w:r>
                    <w:r>
                      <w:rPr>
                        <w:rFonts w:ascii="Calibri" w:hAnsi="Calibri"/>
                        <w:sz w:val="12"/>
                      </w:rPr>
                      <w:t>través</w:t>
                    </w:r>
                    <w:r>
                      <w:rPr>
                        <w:rFonts w:ascii="Calibri" w:hAnsi="Calibri"/>
                        <w:spacing w:val="-15"/>
                        <w:sz w:val="12"/>
                      </w:rPr>
                      <w:t> </w:t>
                    </w:r>
                    <w:r>
                      <w:rPr>
                        <w:rFonts w:ascii="Calibri" w:hAnsi="Calibri"/>
                        <w:sz w:val="12"/>
                      </w:rPr>
                      <w:t>de </w:t>
                    </w:r>
                    <w:r>
                      <w:rPr>
                        <w:rFonts w:ascii="Calibri" w:hAnsi="Calibri"/>
                        <w:w w:val="90"/>
                        <w:sz w:val="12"/>
                      </w:rPr>
                      <w:t>su difusión</w:t>
                    </w:r>
                    <w:r>
                      <w:rPr>
                        <w:rFonts w:ascii="Calibri" w:hAnsi="Calibri"/>
                        <w:spacing w:val="-5"/>
                        <w:w w:val="90"/>
                        <w:sz w:val="12"/>
                      </w:rPr>
                      <w:t> </w:t>
                    </w:r>
                    <w:r>
                      <w:rPr>
                        <w:rFonts w:ascii="Calibri" w:hAnsi="Calibri"/>
                        <w:w w:val="90"/>
                        <w:sz w:val="12"/>
                      </w:rPr>
                      <w:t>cultural, </w:t>
                    </w:r>
                    <w:r>
                      <w:rPr>
                        <w:rFonts w:ascii="Calibri" w:hAnsi="Calibri"/>
                        <w:sz w:val="12"/>
                      </w:rPr>
                      <w:t>política e ideológica.</w:t>
                    </w:r>
                  </w:p>
                </w:txbxContent>
              </v:textbox>
              <w10:wrap type="none"/>
            </v:shape>
            <w10:wrap type="none"/>
          </v:group>
        </w:pict>
      </w:r>
      <w:r>
        <w:rPr/>
        <w:pict>
          <v:group style="position:absolute;margin-left:117.738998pt;margin-top:26.684614pt;width:63.05pt;height:193.9pt;mso-position-horizontal-relative:page;mso-position-vertical-relative:paragraph;z-index:4648" coordorigin="2355,534" coordsize="1261,3878">
            <v:rect style="position:absolute;left:2361;top:540;width:1248;height:457" filled="false" stroked="true" strokeweight=".632pt" strokecolor="#000000"/>
            <v:rect style="position:absolute;left:2361;top:997;width:1248;height:3407" filled="false" stroked="true" strokeweight=".632pt" strokecolor="#000000"/>
            <v:shape style="position:absolute;left:2361;top:540;width:1248;height:457" type="#_x0000_t202" filled="false" stroked="false">
              <v:textbox inset="0,0,0,0">
                <w:txbxContent>
                  <w:p>
                    <w:pPr>
                      <w:spacing w:before="55"/>
                      <w:ind w:left="253" w:right="108" w:firstLine="0"/>
                      <w:jc w:val="left"/>
                      <w:rPr>
                        <w:rFonts w:ascii="Arial" w:hAnsi="Arial"/>
                        <w:sz w:val="15"/>
                      </w:rPr>
                    </w:pPr>
                    <w:r>
                      <w:rPr>
                        <w:rFonts w:ascii="Arial" w:hAnsi="Arial"/>
                        <w:sz w:val="15"/>
                      </w:rPr>
                      <w:t>Micropolítico</w:t>
                    </w:r>
                  </w:p>
                  <w:p>
                    <w:pPr>
                      <w:spacing w:before="8"/>
                      <w:ind w:left="188" w:right="108" w:firstLine="0"/>
                      <w:jc w:val="left"/>
                      <w:rPr>
                        <w:rFonts w:ascii="Trebuchet MS" w:hAnsi="Trebuchet MS"/>
                        <w:sz w:val="12"/>
                      </w:rPr>
                    </w:pPr>
                    <w:r>
                      <w:rPr>
                        <w:rFonts w:ascii="Trebuchet MS" w:hAnsi="Trebuchet MS"/>
                        <w:w w:val="80"/>
                        <w:sz w:val="10"/>
                      </w:rPr>
                      <w:t>(Empírico y distributivo</w:t>
                    </w:r>
                    <w:r>
                      <w:rPr>
                        <w:rFonts w:ascii="Trebuchet MS" w:hAnsi="Trebuchet MS"/>
                        <w:w w:val="80"/>
                        <w:sz w:val="12"/>
                      </w:rPr>
                      <w:t>)</w:t>
                    </w:r>
                  </w:p>
                </w:txbxContent>
              </v:textbox>
              <w10:wrap type="none"/>
            </v:shape>
            <v:shape style="position:absolute;left:2361;top:997;width:1248;height:3408" type="#_x0000_t202" filled="false" stroked="false">
              <v:textbox inset="0,0,0,0">
                <w:txbxContent>
                  <w:p>
                    <w:pPr>
                      <w:spacing w:line="230" w:lineRule="auto" w:before="61"/>
                      <w:ind w:left="124" w:right="0" w:hanging="68"/>
                      <w:jc w:val="left"/>
                      <w:rPr>
                        <w:rFonts w:ascii="Arial" w:hAnsi="Arial"/>
                        <w:sz w:val="13"/>
                      </w:rPr>
                    </w:pPr>
                    <w:r>
                      <w:rPr>
                        <w:rFonts w:ascii="Trebuchet MS" w:hAnsi="Trebuchet MS"/>
                        <w:w w:val="95"/>
                        <w:sz w:val="13"/>
                      </w:rPr>
                      <w:t>•</w:t>
                    </w:r>
                    <w:r>
                      <w:rPr>
                        <w:rFonts w:ascii="Arial" w:hAnsi="Arial"/>
                        <w:w w:val="95"/>
                        <w:sz w:val="13"/>
                      </w:rPr>
                      <w:t>La competencia intergrupal es inherente y el eje </w:t>
                    </w:r>
                    <w:r>
                      <w:rPr>
                        <w:rFonts w:ascii="Arial" w:hAnsi="Arial"/>
                        <w:w w:val="90"/>
                        <w:sz w:val="13"/>
                      </w:rPr>
                      <w:t>rector en el sistema </w:t>
                    </w:r>
                    <w:r>
                      <w:rPr>
                        <w:rFonts w:ascii="Arial" w:hAnsi="Arial"/>
                        <w:w w:val="95"/>
                        <w:sz w:val="13"/>
                      </w:rPr>
                      <w:t>internacional.</w:t>
                    </w:r>
                  </w:p>
                  <w:p>
                    <w:pPr>
                      <w:spacing w:line="225" w:lineRule="auto" w:before="27"/>
                      <w:ind w:left="124" w:right="108" w:hanging="68"/>
                      <w:jc w:val="left"/>
                      <w:rPr>
                        <w:rFonts w:ascii="Calibri" w:hAnsi="Calibri"/>
                        <w:sz w:val="13"/>
                      </w:rPr>
                    </w:pPr>
                    <w:r>
                      <w:rPr>
                        <w:rFonts w:ascii="Trebuchet MS" w:hAnsi="Trebuchet MS"/>
                        <w:w w:val="90"/>
                        <w:sz w:val="13"/>
                      </w:rPr>
                      <w:t>•</w:t>
                    </w:r>
                    <w:r>
                      <w:rPr>
                        <w:rFonts w:ascii="Arial" w:hAnsi="Arial"/>
                        <w:w w:val="90"/>
                        <w:sz w:val="13"/>
                      </w:rPr>
                      <w:t>Precisa de una </w:t>
                    </w:r>
                    <w:r>
                      <w:rPr>
                        <w:rFonts w:ascii="Trebuchet MS" w:hAnsi="Trebuchet MS"/>
                        <w:sz w:val="13"/>
                      </w:rPr>
                      <w:t>zona de proyección </w:t>
                    </w:r>
                    <w:r>
                      <w:rPr>
                        <w:rFonts w:ascii="Calibri" w:hAnsi="Calibri"/>
                        <w:sz w:val="13"/>
                      </w:rPr>
                      <w:t>(imperativo categórico mercantil).</w:t>
                    </w:r>
                  </w:p>
                  <w:p>
                    <w:pPr>
                      <w:spacing w:line="152" w:lineRule="exact" w:before="14"/>
                      <w:ind w:left="124" w:right="108" w:hanging="68"/>
                      <w:jc w:val="left"/>
                      <w:rPr>
                        <w:rFonts w:ascii="Calibri" w:hAnsi="Calibri"/>
                        <w:sz w:val="13"/>
                      </w:rPr>
                    </w:pPr>
                    <w:r>
                      <w:rPr>
                        <w:rFonts w:ascii="Trebuchet MS" w:hAnsi="Trebuchet MS"/>
                        <w:w w:val="90"/>
                        <w:sz w:val="13"/>
                      </w:rPr>
                      <w:t>•Posee una lógica </w:t>
                    </w:r>
                    <w:r>
                      <w:rPr>
                        <w:rFonts w:ascii="Calibri" w:hAnsi="Calibri"/>
                        <w:w w:val="95"/>
                        <w:sz w:val="13"/>
                      </w:rPr>
                      <w:t>intercambiaria y </w:t>
                    </w:r>
                    <w:r>
                      <w:rPr>
                        <w:rFonts w:ascii="Calibri" w:hAnsi="Calibri"/>
                        <w:sz w:val="13"/>
                      </w:rPr>
                      <w:t>competitiva.</w:t>
                    </w:r>
                  </w:p>
                  <w:p>
                    <w:pPr>
                      <w:spacing w:line="134" w:lineRule="exact" w:before="31"/>
                      <w:ind w:left="124" w:right="108" w:hanging="68"/>
                      <w:jc w:val="left"/>
                      <w:rPr>
                        <w:rFonts w:ascii="Calibri" w:hAnsi="Calibri"/>
                        <w:sz w:val="13"/>
                      </w:rPr>
                    </w:pPr>
                    <w:r>
                      <w:rPr>
                        <w:rFonts w:ascii="Trebuchet MS" w:hAnsi="Trebuchet MS"/>
                        <w:sz w:val="13"/>
                      </w:rPr>
                      <w:t>•</w:t>
                    </w:r>
                    <w:r>
                      <w:rPr>
                        <w:rFonts w:ascii="Calibri" w:hAnsi="Calibri"/>
                        <w:sz w:val="13"/>
                      </w:rPr>
                      <w:t>Prescinde del </w:t>
                    </w:r>
                    <w:r>
                      <w:rPr>
                        <w:rFonts w:ascii="Calibri" w:hAnsi="Calibri"/>
                        <w:w w:val="90"/>
                        <w:sz w:val="13"/>
                      </w:rPr>
                      <w:t>contexto histórico.</w:t>
                    </w:r>
                  </w:p>
                </w:txbxContent>
              </v:textbox>
              <w10:wrap type="none"/>
            </v:shape>
            <w10:wrap type="none"/>
          </v:group>
        </w:pict>
      </w:r>
      <w:r>
        <w:rPr/>
        <w:pict>
          <v:group style="position:absolute;margin-left:188.869705pt;margin-top:26.684614pt;width:63.05pt;height:193.9pt;mso-position-horizontal-relative:page;mso-position-vertical-relative:paragraph;z-index:4720" coordorigin="3777,534" coordsize="1261,3878">
            <v:rect style="position:absolute;left:3784;top:540;width:1248;height:457" filled="false" stroked="true" strokeweight=".632pt" strokecolor="#000000"/>
            <v:rect style="position:absolute;left:3784;top:997;width:1248;height:3407" filled="false" stroked="true" strokeweight=".632pt" strokecolor="#000000"/>
            <v:shape style="position:absolute;left:3784;top:540;width:1248;height:457" type="#_x0000_t202" filled="false" stroked="false">
              <v:textbox inset="0,0,0,0">
                <w:txbxContent>
                  <w:p>
                    <w:pPr>
                      <w:spacing w:before="52"/>
                      <w:ind w:left="109" w:right="102" w:firstLine="0"/>
                      <w:jc w:val="center"/>
                      <w:rPr>
                        <w:rFonts w:ascii="Arial" w:hAnsi="Arial"/>
                        <w:sz w:val="15"/>
                      </w:rPr>
                    </w:pPr>
                    <w:r>
                      <w:rPr>
                        <w:rFonts w:ascii="Arial" w:hAnsi="Arial"/>
                        <w:sz w:val="15"/>
                      </w:rPr>
                      <w:t>Mesopolítico</w:t>
                    </w:r>
                  </w:p>
                  <w:p>
                    <w:pPr>
                      <w:spacing w:before="29"/>
                      <w:ind w:left="109" w:right="114" w:firstLine="0"/>
                      <w:jc w:val="center"/>
                      <w:rPr>
                        <w:rFonts w:ascii="Trebuchet MS" w:hAnsi="Trebuchet MS"/>
                        <w:sz w:val="10"/>
                      </w:rPr>
                    </w:pPr>
                    <w:r>
                      <w:rPr>
                        <w:rFonts w:ascii="Trebuchet MS" w:hAnsi="Trebuchet MS"/>
                        <w:w w:val="80"/>
                        <w:sz w:val="10"/>
                      </w:rPr>
                      <w:t>(Cientiﬁcista y corporativo)</w:t>
                    </w:r>
                  </w:p>
                </w:txbxContent>
              </v:textbox>
              <w10:wrap type="none"/>
            </v:shape>
            <v:shape style="position:absolute;left:3784;top:997;width:1248;height:3408" type="#_x0000_t202" filled="false" stroked="false">
              <v:textbox inset="0,0,0,0">
                <w:txbxContent>
                  <w:p>
                    <w:pPr>
                      <w:spacing w:line="225" w:lineRule="auto" w:before="63"/>
                      <w:ind w:left="124" w:right="134" w:hanging="68"/>
                      <w:jc w:val="left"/>
                      <w:rPr>
                        <w:rFonts w:ascii="Calibri" w:hAnsi="Calibri"/>
                        <w:sz w:val="13"/>
                      </w:rPr>
                    </w:pPr>
                    <w:r>
                      <w:rPr>
                        <w:rFonts w:ascii="Trebuchet MS" w:hAnsi="Trebuchet MS"/>
                        <w:sz w:val="13"/>
                      </w:rPr>
                      <w:t>•Expone una disciplina </w:t>
                    </w:r>
                    <w:r>
                      <w:rPr>
                        <w:rFonts w:ascii="Calibri" w:hAnsi="Calibri"/>
                        <w:sz w:val="13"/>
                      </w:rPr>
                      <w:t>ﬁnanciera y una </w:t>
                    </w:r>
                    <w:r>
                      <w:rPr>
                        <w:rFonts w:ascii="Calibri" w:hAnsi="Calibri"/>
                        <w:w w:val="95"/>
                        <w:sz w:val="13"/>
                      </w:rPr>
                      <w:t>estructura reticular </w:t>
                    </w:r>
                    <w:r>
                      <w:rPr>
                        <w:rFonts w:ascii="Trebuchet MS" w:hAnsi="Trebuchet MS"/>
                        <w:sz w:val="13"/>
                      </w:rPr>
                      <w:t>de los negocios </w:t>
                    </w:r>
                    <w:r>
                      <w:rPr>
                        <w:rFonts w:ascii="Calibri" w:hAnsi="Calibri"/>
                        <w:sz w:val="13"/>
                      </w:rPr>
                      <w:t>estadounidenses.</w:t>
                    </w:r>
                  </w:p>
                  <w:p>
                    <w:pPr>
                      <w:spacing w:line="223" w:lineRule="auto" w:before="20"/>
                      <w:ind w:left="124" w:right="108" w:hanging="68"/>
                      <w:jc w:val="left"/>
                      <w:rPr>
                        <w:rFonts w:ascii="Calibri" w:hAnsi="Calibri"/>
                        <w:sz w:val="13"/>
                      </w:rPr>
                    </w:pPr>
                    <w:r>
                      <w:rPr>
                        <w:rFonts w:ascii="Trebuchet MS" w:hAnsi="Trebuchet MS"/>
                        <w:sz w:val="13"/>
                      </w:rPr>
                      <w:t>•</w:t>
                    </w:r>
                    <w:r>
                      <w:rPr>
                        <w:rFonts w:ascii="Calibri" w:hAnsi="Calibri"/>
                        <w:sz w:val="13"/>
                      </w:rPr>
                      <w:t>El “interés </w:t>
                    </w:r>
                    <w:r>
                      <w:rPr>
                        <w:rFonts w:ascii="Trebuchet MS" w:hAnsi="Trebuchet MS"/>
                        <w:sz w:val="13"/>
                      </w:rPr>
                      <w:t>nacional” es prioridad de la </w:t>
                    </w:r>
                    <w:r>
                      <w:rPr>
                        <w:rFonts w:ascii="Calibri" w:hAnsi="Calibri"/>
                        <w:w w:val="95"/>
                        <w:sz w:val="13"/>
                      </w:rPr>
                      <w:t>agenda (interna y</w:t>
                    </w:r>
                    <w:r>
                      <w:rPr>
                        <w:rFonts w:ascii="Calibri" w:hAnsi="Calibri"/>
                        <w:w w:val="93"/>
                        <w:sz w:val="13"/>
                      </w:rPr>
                      <w:t> </w:t>
                    </w:r>
                    <w:r>
                      <w:rPr>
                        <w:rFonts w:ascii="Calibri" w:hAnsi="Calibri"/>
                        <w:sz w:val="13"/>
                      </w:rPr>
                      <w:t>externa).</w:t>
                    </w:r>
                  </w:p>
                  <w:p>
                    <w:pPr>
                      <w:spacing w:line="152" w:lineRule="exact" w:before="14"/>
                      <w:ind w:left="124" w:right="108" w:hanging="68"/>
                      <w:jc w:val="left"/>
                      <w:rPr>
                        <w:rFonts w:ascii="Calibri" w:hAnsi="Calibri"/>
                        <w:sz w:val="13"/>
                      </w:rPr>
                    </w:pPr>
                    <w:r>
                      <w:rPr>
                        <w:rFonts w:ascii="Trebuchet MS" w:hAnsi="Trebuchet MS"/>
                        <w:sz w:val="13"/>
                      </w:rPr>
                      <w:t>•</w:t>
                    </w:r>
                    <w:r>
                      <w:rPr>
                        <w:rFonts w:ascii="Calibri" w:hAnsi="Calibri"/>
                        <w:sz w:val="13"/>
                      </w:rPr>
                      <w:t>Exhibe una </w:t>
                    </w:r>
                    <w:r>
                      <w:rPr>
                        <w:rFonts w:ascii="Trebuchet MS" w:hAnsi="Trebuchet MS"/>
                        <w:w w:val="80"/>
                        <w:sz w:val="13"/>
                      </w:rPr>
                      <w:t>racionalidad </w:t>
                    </w:r>
                    <w:r>
                      <w:rPr>
                        <w:rFonts w:ascii="Calibri" w:hAnsi="Calibri"/>
                        <w:w w:val="90"/>
                        <w:sz w:val="13"/>
                      </w:rPr>
                      <w:t>corporativa.</w:t>
                    </w:r>
                  </w:p>
                  <w:p>
                    <w:pPr>
                      <w:spacing w:line="216" w:lineRule="auto" w:before="26"/>
                      <w:ind w:left="124" w:right="108" w:hanging="68"/>
                      <w:jc w:val="left"/>
                      <w:rPr>
                        <w:rFonts w:ascii="Calibri" w:hAnsi="Calibri"/>
                        <w:sz w:val="13"/>
                      </w:rPr>
                    </w:pPr>
                    <w:r>
                      <w:rPr>
                        <w:rFonts w:ascii="Trebuchet MS" w:hAnsi="Trebuchet MS"/>
                        <w:sz w:val="13"/>
                      </w:rPr>
                      <w:t>•</w:t>
                    </w:r>
                    <w:r>
                      <w:rPr>
                        <w:rFonts w:ascii="Calibri" w:hAnsi="Calibri"/>
                        <w:sz w:val="13"/>
                      </w:rPr>
                      <w:t>Es neutral </w:t>
                    </w:r>
                    <w:r>
                      <w:rPr>
                        <w:rFonts w:ascii="Franklin Gothic Medium" w:hAnsi="Franklin Gothic Medium"/>
                        <w:sz w:val="13"/>
                      </w:rPr>
                      <w:t>, </w:t>
                    </w:r>
                    <w:r>
                      <w:rPr>
                        <w:rFonts w:ascii="Calibri" w:hAnsi="Calibri"/>
                        <w:sz w:val="13"/>
                      </w:rPr>
                      <w:t>apolítico y </w:t>
                    </w:r>
                    <w:r>
                      <w:rPr>
                        <w:rFonts w:ascii="Calibri" w:hAnsi="Calibri"/>
                        <w:w w:val="90"/>
                        <w:sz w:val="13"/>
                      </w:rPr>
                      <w:t>posideológico.</w:t>
                    </w:r>
                  </w:p>
                  <w:p>
                    <w:pPr>
                      <w:spacing w:line="220" w:lineRule="auto" w:before="25"/>
                      <w:ind w:left="124" w:right="252" w:hanging="68"/>
                      <w:jc w:val="left"/>
                      <w:rPr>
                        <w:rFonts w:ascii="Calibri" w:hAnsi="Calibri"/>
                        <w:sz w:val="13"/>
                      </w:rPr>
                    </w:pPr>
                    <w:r>
                      <w:rPr>
                        <w:rFonts w:ascii="Trebuchet MS" w:hAnsi="Trebuchet MS"/>
                        <w:sz w:val="13"/>
                      </w:rPr>
                      <w:t>•Posee una </w:t>
                    </w:r>
                    <w:r>
                      <w:rPr>
                        <w:rFonts w:ascii="Calibri" w:hAnsi="Calibri"/>
                        <w:sz w:val="13"/>
                      </w:rPr>
                      <w:t>inteligencia </w:t>
                    </w:r>
                    <w:r>
                      <w:rPr>
                        <w:rFonts w:ascii="Calibri" w:hAnsi="Calibri"/>
                        <w:w w:val="95"/>
                        <w:sz w:val="13"/>
                      </w:rPr>
                      <w:t>táctico-gerencial.</w:t>
                    </w:r>
                  </w:p>
                </w:txbxContent>
              </v:textbox>
              <w10:wrap type="none"/>
            </v:shape>
            <w10:wrap type="none"/>
          </v:group>
        </w:pict>
      </w:r>
      <w:r>
        <w:rPr/>
        <w:pict>
          <v:group style="position:absolute;margin-left:260.000305pt;margin-top:26.684614pt;width:63.05pt;height:193.9pt;mso-position-horizontal-relative:page;mso-position-vertical-relative:paragraph;z-index:4792" coordorigin="5200,534" coordsize="1261,3878">
            <v:rect style="position:absolute;left:5207;top:540;width:1248;height:457" filled="false" stroked="true" strokeweight=".632pt" strokecolor="#000000"/>
            <v:rect style="position:absolute;left:5207;top:997;width:1248;height:3407" filled="false" stroked="true" strokeweight=".632pt" strokecolor="#000000"/>
            <v:shape style="position:absolute;left:5207;top:540;width:1248;height:457" type="#_x0000_t202" filled="false" stroked="false">
              <v:textbox inset="0,0,0,0">
                <w:txbxContent>
                  <w:p>
                    <w:pPr>
                      <w:spacing w:before="55"/>
                      <w:ind w:left="248" w:right="0" w:firstLine="0"/>
                      <w:jc w:val="left"/>
                      <w:rPr>
                        <w:rFonts w:ascii="Arial" w:hAnsi="Arial"/>
                        <w:sz w:val="15"/>
                      </w:rPr>
                    </w:pPr>
                    <w:r>
                      <w:rPr>
                        <w:rFonts w:ascii="Arial" w:hAnsi="Arial"/>
                        <w:sz w:val="15"/>
                      </w:rPr>
                      <w:t>Macropolítico</w:t>
                    </w:r>
                  </w:p>
                  <w:p>
                    <w:pPr>
                      <w:spacing w:before="26"/>
                      <w:ind w:left="319" w:right="108" w:firstLine="0"/>
                      <w:jc w:val="left"/>
                      <w:rPr>
                        <w:rFonts w:ascii="Trebuchet MS" w:hAnsi="Trebuchet MS"/>
                        <w:sz w:val="10"/>
                      </w:rPr>
                    </w:pPr>
                    <w:r>
                      <w:rPr>
                        <w:rFonts w:ascii="Trebuchet MS" w:hAnsi="Trebuchet MS"/>
                        <w:w w:val="80"/>
                        <w:sz w:val="10"/>
                      </w:rPr>
                      <w:t>(Público y estatal)</w:t>
                    </w:r>
                  </w:p>
                </w:txbxContent>
              </v:textbox>
              <w10:wrap type="none"/>
            </v:shape>
            <v:shape style="position:absolute;left:5207;top:997;width:1248;height:3408" type="#_x0000_t202" filled="false" stroked="false">
              <v:textbox inset="0,0,0,0">
                <w:txbxContent>
                  <w:p>
                    <w:pPr>
                      <w:spacing w:line="218" w:lineRule="auto" w:before="65"/>
                      <w:ind w:left="124" w:right="151" w:hanging="68"/>
                      <w:jc w:val="left"/>
                      <w:rPr>
                        <w:rFonts w:ascii="Calibri" w:hAnsi="Calibri"/>
                        <w:sz w:val="13"/>
                      </w:rPr>
                    </w:pPr>
                    <w:r>
                      <w:rPr>
                        <w:rFonts w:ascii="Trebuchet MS" w:hAnsi="Trebuchet MS"/>
                        <w:sz w:val="13"/>
                      </w:rPr>
                      <w:t>•</w:t>
                    </w:r>
                    <w:r>
                      <w:rPr>
                        <w:rFonts w:ascii="Calibri" w:hAnsi="Calibri"/>
                        <w:sz w:val="13"/>
                      </w:rPr>
                      <w:t>Es útil para descifrar las </w:t>
                    </w:r>
                    <w:r>
                      <w:rPr>
                        <w:rFonts w:ascii="Calibri" w:hAnsi="Calibri"/>
                        <w:w w:val="95"/>
                        <w:sz w:val="13"/>
                      </w:rPr>
                      <w:t>grandes directrices </w:t>
                    </w:r>
                    <w:r>
                      <w:rPr>
                        <w:rFonts w:ascii="Calibri" w:hAnsi="Calibri"/>
                        <w:sz w:val="13"/>
                      </w:rPr>
                      <w:t>estratégicas (coercitivamente validadas).</w:t>
                    </w:r>
                  </w:p>
                  <w:p>
                    <w:pPr>
                      <w:spacing w:line="225" w:lineRule="auto" w:before="20"/>
                      <w:ind w:left="124" w:right="160" w:hanging="68"/>
                      <w:jc w:val="left"/>
                      <w:rPr>
                        <w:rFonts w:ascii="Arial" w:hAnsi="Arial"/>
                        <w:sz w:val="13"/>
                      </w:rPr>
                    </w:pPr>
                    <w:r>
                      <w:rPr>
                        <w:rFonts w:ascii="Trebuchet MS" w:hAnsi="Trebuchet MS"/>
                        <w:w w:val="95"/>
                        <w:sz w:val="13"/>
                      </w:rPr>
                      <w:t>•</w:t>
                    </w:r>
                    <w:r>
                      <w:rPr>
                        <w:rFonts w:ascii="Calibri" w:hAnsi="Calibri"/>
                        <w:w w:val="95"/>
                        <w:sz w:val="13"/>
                      </w:rPr>
                      <w:t>Es dialécticamente </w:t>
                    </w:r>
                    <w:r>
                      <w:rPr>
                        <w:rFonts w:ascii="Arial" w:hAnsi="Arial"/>
                        <w:w w:val="90"/>
                        <w:sz w:val="13"/>
                      </w:rPr>
                      <w:t>superior dado que subsume los</w:t>
                    </w:r>
                  </w:p>
                  <w:p>
                    <w:pPr>
                      <w:spacing w:line="134" w:lineRule="exact" w:before="18"/>
                      <w:ind w:left="124" w:right="108" w:firstLine="0"/>
                      <w:jc w:val="left"/>
                      <w:rPr>
                        <w:rFonts w:ascii="Arial" w:hAnsi="Arial"/>
                        <w:sz w:val="13"/>
                      </w:rPr>
                    </w:pPr>
                    <w:r>
                      <w:rPr>
                        <w:rFonts w:ascii="Arial" w:hAnsi="Arial"/>
                        <w:w w:val="90"/>
                        <w:sz w:val="13"/>
                      </w:rPr>
                      <w:t>niveles micro y</w:t>
                    </w:r>
                    <w:r>
                      <w:rPr>
                        <w:rFonts w:ascii="Arial" w:hAnsi="Arial"/>
                        <w:w w:val="84"/>
                        <w:sz w:val="13"/>
                      </w:rPr>
                      <w:t> </w:t>
                    </w:r>
                    <w:r>
                      <w:rPr>
                        <w:rFonts w:ascii="Arial" w:hAnsi="Arial"/>
                        <w:w w:val="85"/>
                        <w:sz w:val="13"/>
                      </w:rPr>
                      <w:t>mesopolíticos.</w:t>
                    </w:r>
                  </w:p>
                  <w:p>
                    <w:pPr>
                      <w:spacing w:line="230" w:lineRule="auto" w:before="23"/>
                      <w:ind w:left="124" w:right="137" w:hanging="68"/>
                      <w:jc w:val="left"/>
                      <w:rPr>
                        <w:rFonts w:ascii="Arial" w:hAnsi="Arial"/>
                        <w:sz w:val="13"/>
                      </w:rPr>
                    </w:pPr>
                    <w:r>
                      <w:rPr>
                        <w:rFonts w:ascii="Trebuchet MS" w:hAnsi="Trebuchet MS"/>
                        <w:w w:val="95"/>
                        <w:sz w:val="13"/>
                      </w:rPr>
                      <w:t>•</w:t>
                    </w:r>
                    <w:r>
                      <w:rPr>
                        <w:rFonts w:ascii="Calibri" w:hAnsi="Calibri"/>
                        <w:w w:val="95"/>
                        <w:sz w:val="13"/>
                      </w:rPr>
                      <w:t>Se sostiene bajo un </w:t>
                    </w:r>
                    <w:r>
                      <w:rPr>
                        <w:rFonts w:ascii="Trebuchet MS" w:hAnsi="Trebuchet MS"/>
                        <w:w w:val="95"/>
                        <w:sz w:val="13"/>
                      </w:rPr>
                      <w:t>régimen de ambivalencias de </w:t>
                    </w:r>
                    <w:r>
                      <w:rPr>
                        <w:rFonts w:ascii="Arial" w:hAnsi="Arial"/>
                        <w:w w:val="90"/>
                        <w:sz w:val="13"/>
                      </w:rPr>
                      <w:t>check &amp; balances.</w:t>
                    </w:r>
                  </w:p>
                  <w:p>
                    <w:pPr>
                      <w:spacing w:line="223" w:lineRule="auto" w:before="27"/>
                      <w:ind w:left="124" w:right="118" w:hanging="68"/>
                      <w:jc w:val="left"/>
                      <w:rPr>
                        <w:rFonts w:ascii="Calibri" w:hAnsi="Calibri"/>
                        <w:sz w:val="13"/>
                      </w:rPr>
                    </w:pPr>
                    <w:r>
                      <w:rPr>
                        <w:rFonts w:ascii="Trebuchet MS" w:hAnsi="Trebuchet MS"/>
                        <w:sz w:val="13"/>
                      </w:rPr>
                      <w:t>•</w:t>
                    </w:r>
                    <w:r>
                      <w:rPr>
                        <w:rFonts w:ascii="Calibri" w:hAnsi="Calibri"/>
                        <w:sz w:val="13"/>
                      </w:rPr>
                      <w:t>El Estado cierra el circuito competitivo de la </w:t>
                    </w:r>
                    <w:r>
                      <w:rPr>
                        <w:rFonts w:ascii="Calibri" w:hAnsi="Calibri"/>
                        <w:w w:val="95"/>
                        <w:sz w:val="13"/>
                      </w:rPr>
                      <w:t>toma de decisiones y lo centraliza.</w:t>
                    </w:r>
                  </w:p>
                </w:txbxContent>
              </v:textbox>
              <w10:wrap type="none"/>
            </v:shape>
            <w10:wrap type="none"/>
          </v:group>
        </w:pict>
      </w:r>
      <w:r>
        <w:rPr/>
        <w:pict>
          <v:group style="position:absolute;margin-left:331.131805pt;margin-top:26.684614pt;width:63.05pt;height:193.9pt;mso-position-horizontal-relative:page;mso-position-vertical-relative:paragraph;z-index:4864" coordorigin="6623,534" coordsize="1261,3878">
            <v:rect style="position:absolute;left:6629;top:540;width:1248;height:457" filled="false" stroked="true" strokeweight=".632pt" strokecolor="#000000"/>
            <v:rect style="position:absolute;left:6629;top:997;width:1248;height:3407" filled="false" stroked="true" strokeweight=".632pt" strokecolor="#000000"/>
            <v:shape style="position:absolute;left:6629;top:540;width:1248;height:457" type="#_x0000_t202" filled="false" stroked="false">
              <v:textbox inset="0,0,0,0">
                <w:txbxContent>
                  <w:p>
                    <w:pPr>
                      <w:spacing w:before="55"/>
                      <w:ind w:left="109" w:right="97" w:firstLine="0"/>
                      <w:jc w:val="center"/>
                      <w:rPr>
                        <w:rFonts w:ascii="Arial" w:hAnsi="Arial"/>
                        <w:sz w:val="15"/>
                      </w:rPr>
                    </w:pPr>
                    <w:r>
                      <w:rPr>
                        <w:rFonts w:ascii="Arial" w:hAnsi="Arial"/>
                        <w:sz w:val="15"/>
                      </w:rPr>
                      <w:t>Metapolítico</w:t>
                    </w:r>
                  </w:p>
                  <w:p>
                    <w:pPr>
                      <w:spacing w:before="26"/>
                      <w:ind w:left="109" w:right="89" w:firstLine="0"/>
                      <w:jc w:val="center"/>
                      <w:rPr>
                        <w:rFonts w:ascii="Trebuchet MS" w:hAnsi="Trebuchet MS"/>
                        <w:sz w:val="10"/>
                      </w:rPr>
                    </w:pPr>
                    <w:r>
                      <w:rPr>
                        <w:rFonts w:ascii="Trebuchet MS" w:hAnsi="Trebuchet MS"/>
                        <w:w w:val="80"/>
                        <w:sz w:val="10"/>
                      </w:rPr>
                      <w:t>(Ideológico y legitimador)</w:t>
                    </w:r>
                  </w:p>
                </w:txbxContent>
              </v:textbox>
              <w10:wrap type="none"/>
            </v:shape>
            <v:shape style="position:absolute;left:6629;top:997;width:1248;height:3408" type="#_x0000_t202" filled="false" stroked="false">
              <v:textbox inset="0,0,0,0">
                <w:txbxContent>
                  <w:p>
                    <w:pPr>
                      <w:spacing w:before="54"/>
                      <w:ind w:left="56" w:right="108" w:firstLine="0"/>
                      <w:jc w:val="left"/>
                      <w:rPr>
                        <w:rFonts w:ascii="Calibri" w:hAnsi="Calibri"/>
                        <w:sz w:val="13"/>
                      </w:rPr>
                    </w:pPr>
                    <w:r>
                      <w:rPr>
                        <w:rFonts w:ascii="Trebuchet MS" w:hAnsi="Trebuchet MS"/>
                        <w:w w:val="95"/>
                        <w:sz w:val="13"/>
                      </w:rPr>
                      <w:t>•</w:t>
                    </w:r>
                    <w:r>
                      <w:rPr>
                        <w:rFonts w:ascii="Calibri" w:hAnsi="Calibri"/>
                        <w:w w:val="95"/>
                        <w:sz w:val="13"/>
                      </w:rPr>
                      <w:t>A través de:</w:t>
                    </w:r>
                  </w:p>
                  <w:p>
                    <w:pPr>
                      <w:spacing w:line="148" w:lineRule="exact" w:before="10"/>
                      <w:ind w:left="124" w:right="108" w:firstLine="0"/>
                      <w:jc w:val="left"/>
                      <w:rPr>
                        <w:rFonts w:ascii="Calibri" w:hAnsi="Calibri"/>
                        <w:sz w:val="13"/>
                      </w:rPr>
                    </w:pPr>
                    <w:r>
                      <w:rPr>
                        <w:rFonts w:ascii="Trebuchet MS" w:hAnsi="Trebuchet MS"/>
                        <w:sz w:val="13"/>
                      </w:rPr>
                      <w:t>•</w:t>
                    </w:r>
                    <w:r>
                      <w:rPr>
                        <w:rFonts w:ascii="Calibri" w:hAnsi="Calibri"/>
                        <w:sz w:val="13"/>
                      </w:rPr>
                      <w:t>la</w:t>
                    </w:r>
                  </w:p>
                  <w:p>
                    <w:pPr>
                      <w:spacing w:line="139" w:lineRule="exact" w:before="0"/>
                      <w:ind w:left="208" w:right="108" w:firstLine="0"/>
                      <w:jc w:val="left"/>
                      <w:rPr>
                        <w:rFonts w:ascii="Trebuchet MS" w:hAnsi="Trebuchet MS"/>
                        <w:sz w:val="13"/>
                      </w:rPr>
                    </w:pPr>
                    <w:r>
                      <w:rPr>
                        <w:rFonts w:ascii="Trebuchet MS" w:hAnsi="Trebuchet MS"/>
                        <w:w w:val="95"/>
                        <w:sz w:val="13"/>
                      </w:rPr>
                      <w:t>universalización</w:t>
                    </w:r>
                  </w:p>
                  <w:p>
                    <w:pPr>
                      <w:spacing w:line="223" w:lineRule="auto" w:before="8"/>
                      <w:ind w:left="208" w:right="108" w:firstLine="0"/>
                      <w:jc w:val="left"/>
                      <w:rPr>
                        <w:rFonts w:ascii="Calibri" w:hAnsi="Calibri"/>
                        <w:sz w:val="13"/>
                      </w:rPr>
                    </w:pPr>
                    <w:r>
                      <w:rPr>
                        <w:rFonts w:ascii="Calibri" w:hAnsi="Calibri"/>
                        <w:sz w:val="13"/>
                      </w:rPr>
                      <w:t>de la libertad, la </w:t>
                    </w:r>
                    <w:r>
                      <w:rPr>
                        <w:rFonts w:ascii="Calibri" w:hAnsi="Calibri"/>
                        <w:w w:val="95"/>
                        <w:sz w:val="13"/>
                      </w:rPr>
                      <w:t>productividad, la</w:t>
                    </w:r>
                    <w:r>
                      <w:rPr>
                        <w:rFonts w:ascii="Calibri" w:hAnsi="Calibri"/>
                        <w:w w:val="94"/>
                        <w:sz w:val="13"/>
                      </w:rPr>
                      <w:t> </w:t>
                    </w:r>
                    <w:r>
                      <w:rPr>
                        <w:rFonts w:ascii="Calibri" w:hAnsi="Calibri"/>
                        <w:sz w:val="13"/>
                      </w:rPr>
                      <w:t>eﬁciencia, el cristianismo, la seguridad </w:t>
                    </w:r>
                    <w:r>
                      <w:rPr>
                        <w:rFonts w:ascii="Trebuchet MS" w:hAnsi="Trebuchet MS"/>
                        <w:sz w:val="13"/>
                      </w:rPr>
                      <w:t>nacional y la </w:t>
                    </w:r>
                    <w:r>
                      <w:rPr>
                        <w:rFonts w:ascii="Calibri" w:hAnsi="Calibri"/>
                        <w:sz w:val="13"/>
                      </w:rPr>
                      <w:t>democracia,</w:t>
                    </w:r>
                  </w:p>
                  <w:p>
                    <w:pPr>
                      <w:spacing w:line="223" w:lineRule="auto" w:before="22"/>
                      <w:ind w:left="124" w:right="134" w:hanging="68"/>
                      <w:jc w:val="left"/>
                      <w:rPr>
                        <w:rFonts w:ascii="Calibri" w:hAnsi="Calibri"/>
                        <w:sz w:val="13"/>
                      </w:rPr>
                    </w:pPr>
                    <w:r>
                      <w:rPr>
                        <w:rFonts w:ascii="Trebuchet MS" w:hAnsi="Trebuchet MS"/>
                        <w:sz w:val="13"/>
                      </w:rPr>
                      <w:t>•movilización </w:t>
                    </w:r>
                    <w:r>
                      <w:rPr>
                        <w:rFonts w:ascii="Tahoma" w:hAnsi="Tahoma"/>
                        <w:sz w:val="13"/>
                      </w:rPr>
                      <w:t>elástica </w:t>
                    </w:r>
                    <w:r>
                      <w:rPr>
                        <w:rFonts w:ascii="Calibri" w:hAnsi="Calibri"/>
                        <w:sz w:val="13"/>
                      </w:rPr>
                      <w:t>de un </w:t>
                    </w:r>
                    <w:r>
                      <w:rPr>
                        <w:rFonts w:ascii="Calibri" w:hAnsi="Calibri"/>
                        <w:w w:val="95"/>
                        <w:sz w:val="13"/>
                      </w:rPr>
                      <w:t>conjunto de piezas </w:t>
                    </w:r>
                    <w:r>
                      <w:rPr>
                        <w:rFonts w:ascii="Calibri" w:hAnsi="Calibri"/>
                        <w:sz w:val="13"/>
                      </w:rPr>
                      <w:t>dogmáticas a través de textos </w:t>
                    </w:r>
                    <w:r>
                      <w:rPr>
                        <w:rFonts w:ascii="Trebuchet MS" w:hAnsi="Trebuchet MS"/>
                        <w:sz w:val="13"/>
                      </w:rPr>
                      <w:t>liberales o </w:t>
                    </w:r>
                    <w:r>
                      <w:rPr>
                        <w:rFonts w:ascii="Trebuchet MS" w:hAnsi="Trebuchet MS"/>
                        <w:w w:val="85"/>
                        <w:sz w:val="13"/>
                      </w:rPr>
                      <w:t>conservadores “en </w:t>
                    </w:r>
                    <w:r>
                      <w:rPr>
                        <w:rFonts w:ascii="Trebuchet MS" w:hAnsi="Trebuchet MS"/>
                        <w:sz w:val="13"/>
                      </w:rPr>
                      <w:t>función de su </w:t>
                    </w:r>
                    <w:r>
                      <w:rPr>
                        <w:rFonts w:ascii="Calibri" w:hAnsi="Calibri"/>
                        <w:sz w:val="13"/>
                      </w:rPr>
                      <w:t>oportunidad </w:t>
                    </w:r>
                    <w:r>
                      <w:rPr>
                        <w:rFonts w:ascii="Trebuchet MS" w:hAnsi="Trebuchet MS"/>
                        <w:w w:val="95"/>
                        <w:sz w:val="13"/>
                      </w:rPr>
                      <w:t>económica” o de </w:t>
                    </w:r>
                    <w:r>
                      <w:rPr>
                        <w:rFonts w:ascii="Calibri" w:hAnsi="Calibri"/>
                        <w:sz w:val="13"/>
                      </w:rPr>
                      <w:t>su “contundencia estratégica”.</w:t>
                    </w:r>
                  </w:p>
                </w:txbxContent>
              </v:textbox>
              <w10:wrap type="none"/>
            </v:shape>
            <w10:wrap type="none"/>
          </v:group>
        </w:pict>
      </w:r>
      <w:r>
        <w:rPr/>
        <w:pict>
          <v:group style="position:absolute;margin-left:51.429001pt;margin-top:344.047119pt;width:62.35pt;height:68.650pt;mso-position-horizontal-relative:page;mso-position-vertical-relative:paragraph;z-index:4912" coordorigin="1029,6881" coordsize="1247,1373">
            <v:shape style="position:absolute;left:1029;top:7259;width:1068;height:308" type="#_x0000_t75" stroked="false">
              <v:imagedata r:id="rId269" o:title=""/>
            </v:shape>
            <v:shape style="position:absolute;left:1942;top:6887;width:327;height:1360" coordorigin="1942,6887" coordsize="327,1360" path="m2269,8247l2205,8244,2153,8239,2118,8230,2105,8219,2105,7419,2093,7409,2057,7400,2006,7394,1942,7392,2006,7390,2057,7384,2093,7375,2105,7365,2105,6915,2118,6904,2153,6895,2205,6890,2269,6887e" filled="false" stroked="true" strokeweight=".632pt" strokecolor="#000000">
              <v:path arrowok="t"/>
            </v:shape>
            <v:shape style="position:absolute;left:1029;top:6881;width:1247;height:1372" type="#_x0000_t202" filled="false" stroked="false">
              <v:textbox inset="0,0,0,0">
                <w:txbxContent>
                  <w:p>
                    <w:pPr>
                      <w:spacing w:line="240" w:lineRule="auto" w:before="0"/>
                      <w:rPr>
                        <w:rFonts w:ascii="Arial"/>
                        <w:sz w:val="12"/>
                      </w:rPr>
                    </w:pPr>
                  </w:p>
                  <w:p>
                    <w:pPr>
                      <w:spacing w:line="240" w:lineRule="auto" w:before="0"/>
                      <w:rPr>
                        <w:rFonts w:ascii="Arial"/>
                        <w:sz w:val="12"/>
                      </w:rPr>
                    </w:pPr>
                  </w:p>
                  <w:p>
                    <w:pPr>
                      <w:spacing w:line="244" w:lineRule="auto" w:before="98"/>
                      <w:ind w:left="154" w:right="432" w:firstLine="0"/>
                      <w:jc w:val="left"/>
                      <w:rPr>
                        <w:rFonts w:ascii="Trebuchet MS" w:hAnsi="Trebuchet MS"/>
                        <w:sz w:val="12"/>
                      </w:rPr>
                    </w:pPr>
                    <w:r>
                      <w:rPr>
                        <w:rFonts w:ascii="Trebuchet MS" w:hAnsi="Trebuchet MS"/>
                        <w:w w:val="85"/>
                        <w:sz w:val="12"/>
                      </w:rPr>
                      <w:t>Mecanismo de </w:t>
                    </w:r>
                    <w:r>
                      <w:rPr>
                        <w:rFonts w:ascii="Trebuchet MS" w:hAnsi="Trebuchet MS"/>
                        <w:w w:val="90"/>
                        <w:sz w:val="12"/>
                      </w:rPr>
                      <w:t>operación</w:t>
                    </w:r>
                  </w:p>
                </w:txbxContent>
              </v:textbox>
              <w10:wrap type="none"/>
            </v:shape>
            <w10:wrap type="none"/>
          </v:group>
        </w:pict>
      </w:r>
      <w:r>
        <w:rPr/>
        <w:pict>
          <v:group style="position:absolute;margin-left:52.844627pt;margin-top:281.607605pt;width:53.25pt;height:16.5pt;mso-position-horizontal-relative:page;mso-position-vertical-relative:paragraph;z-index:4960" coordorigin="1057,5632" coordsize="1065,330">
            <v:shape style="position:absolute;left:1057;top:5632;width:1064;height:308" type="#_x0000_t75" stroked="false">
              <v:imagedata r:id="rId270" o:title=""/>
            </v:shape>
            <v:shape style="position:absolute;left:1057;top:5632;width:1065;height:330" type="#_x0000_t202" filled="false" stroked="false">
              <v:textbox inset="0,0,0,0">
                <w:txbxContent>
                  <w:p>
                    <w:pPr>
                      <w:tabs>
                        <w:tab w:pos="884" w:val="left" w:leader="none"/>
                      </w:tabs>
                      <w:spacing w:line="136" w:lineRule="exact" w:before="61"/>
                      <w:ind w:left="207" w:right="0" w:firstLine="0"/>
                      <w:jc w:val="left"/>
                      <w:rPr>
                        <w:rFonts w:ascii="Times New Roman"/>
                        <w:sz w:val="12"/>
                      </w:rPr>
                    </w:pPr>
                    <w:r>
                      <w:rPr>
                        <w:rFonts w:ascii="Trebuchet MS"/>
                        <w:w w:val="90"/>
                        <w:sz w:val="12"/>
                      </w:rPr>
                      <w:t>Actores</w:t>
                    </w:r>
                    <w:r>
                      <w:rPr>
                        <w:rFonts w:ascii="Trebuchet MS"/>
                        <w:sz w:val="12"/>
                      </w:rPr>
                      <w:tab/>
                    </w:r>
                    <w:r>
                      <w:rPr>
                        <w:rFonts w:ascii="Times New Roman"/>
                        <w:w w:val="98"/>
                        <w:sz w:val="12"/>
                        <w:u w:val="single"/>
                      </w:rPr>
                      <w:t> </w:t>
                    </w:r>
                    <w:r>
                      <w:rPr>
                        <w:rFonts w:ascii="Times New Roman"/>
                        <w:spacing w:val="6"/>
                        <w:sz w:val="12"/>
                        <w:u w:val="single"/>
                      </w:rPr>
                      <w:t> </w:t>
                    </w:r>
                  </w:p>
                  <w:p>
                    <w:pPr>
                      <w:spacing w:line="132" w:lineRule="exact" w:before="0"/>
                      <w:ind w:left="207" w:right="0" w:firstLine="0"/>
                      <w:jc w:val="left"/>
                      <w:rPr>
                        <w:rFonts w:ascii="Trebuchet MS"/>
                        <w:sz w:val="12"/>
                      </w:rPr>
                    </w:pPr>
                    <w:r>
                      <w:rPr>
                        <w:rFonts w:ascii="Trebuchet MS"/>
                        <w:w w:val="90"/>
                        <w:sz w:val="12"/>
                      </w:rPr>
                      <w:t>involucrados</w:t>
                    </w:r>
                  </w:p>
                </w:txbxContent>
              </v:textbox>
              <w10:wrap type="none"/>
            </v:shape>
            <w10:wrap type="none"/>
          </v:group>
        </w:pict>
      </w:r>
      <w:r>
        <w:rPr/>
        <w:pict>
          <v:group style="position:absolute;margin-left:53.249249pt;margin-top:231.78511pt;width:60.15pt;height:9pt;mso-position-horizontal-relative:page;mso-position-vertical-relative:paragraph;z-index:5008" coordorigin="1065,4636" coordsize="1203,180">
            <v:shape style="position:absolute;left:1065;top:4665;width:1064;height:150" type="#_x0000_t75" stroked="false">
              <v:imagedata r:id="rId271" o:title=""/>
            </v:shape>
            <v:shape style="position:absolute;left:2068;top:4636;width:199;height:157" type="#_x0000_t75" stroked="false">
              <v:imagedata r:id="rId272" o:title=""/>
            </v:shape>
            <v:shape style="position:absolute;left:1065;top:4636;width:1203;height:180" type="#_x0000_t202" filled="false" stroked="false">
              <v:textbox inset="0,0,0,0">
                <w:txbxContent>
                  <w:p>
                    <w:pPr>
                      <w:spacing w:before="9"/>
                      <w:ind w:left="121" w:right="0" w:firstLine="0"/>
                      <w:jc w:val="left"/>
                      <w:rPr>
                        <w:rFonts w:ascii="Trebuchet MS" w:hAnsi="Trebuchet MS"/>
                        <w:sz w:val="12"/>
                      </w:rPr>
                    </w:pPr>
                    <w:r>
                      <w:rPr>
                        <w:rFonts w:ascii="Trebuchet MS" w:hAnsi="Trebuchet MS"/>
                        <w:w w:val="85"/>
                        <w:sz w:val="12"/>
                      </w:rPr>
                      <w:t>Espacio de acción</w:t>
                    </w:r>
                  </w:p>
                </w:txbxContent>
              </v:textbox>
              <w10:wrap type="none"/>
            </v:shape>
            <w10:wrap type="none"/>
          </v:group>
        </w:pict>
      </w:r>
      <w:r>
        <w:rPr/>
        <w:pict>
          <v:group style="position:absolute;margin-left:51.429001pt;margin-top:69.476913pt;width:62.3pt;height:139.8pt;mso-position-horizontal-relative:page;mso-position-vertical-relative:paragraph;z-index:5056" coordorigin="1029,1390" coordsize="1246,2796">
            <v:shape style="position:absolute;left:1029;top:2083;width:1068;height:150" type="#_x0000_t75" stroked="false">
              <v:imagedata r:id="rId273" o:title=""/>
            </v:shape>
            <v:shape style="position:absolute;left:2011;top:1396;width:256;height:2783" coordorigin="2011,1396" coordsize="256,2783" path="m2267,4178l2218,4177,2177,4172,2150,4165,2139,4157,2139,2220,2129,2212,2102,2205,2061,2200,2011,2199,2061,2197,2102,2192,2129,2186,2139,2177,2139,1417,2150,1409,2177,1402,2218,1398,2267,1396e" filled="false" stroked="true" strokeweight=".632pt" strokecolor="#000000">
              <v:path arrowok="t"/>
            </v:shape>
            <v:shape style="position:absolute;left:1239;top:2130;width:653;height:119" type="#_x0000_t202" filled="false" stroked="false">
              <v:textbox inset="0,0,0,0">
                <w:txbxContent>
                  <w:p>
                    <w:pPr>
                      <w:spacing w:line="118" w:lineRule="exact" w:before="0"/>
                      <w:ind w:left="0" w:right="-7" w:firstLine="0"/>
                      <w:jc w:val="left"/>
                      <w:rPr>
                        <w:rFonts w:ascii="Trebuchet MS" w:hAnsi="Trebuchet MS"/>
                        <w:sz w:val="12"/>
                      </w:rPr>
                    </w:pPr>
                    <w:r>
                      <w:rPr>
                        <w:rFonts w:ascii="Trebuchet MS" w:hAnsi="Trebuchet MS"/>
                        <w:w w:val="80"/>
                        <w:sz w:val="12"/>
                      </w:rPr>
                      <w:t>Características</w:t>
                    </w:r>
                  </w:p>
                </w:txbxContent>
              </v:textbox>
              <w10:wrap type="none"/>
            </v:shape>
            <w10:wrap type="none"/>
          </v:group>
        </w:pict>
      </w:r>
      <w:r>
        <w:rPr/>
        <w:pict>
          <v:group style="position:absolute;margin-left:51.429001pt;margin-top:39.639214pt;width:59.35pt;height:7.9pt;mso-position-horizontal-relative:page;mso-position-vertical-relative:paragraph;z-index:5104" coordorigin="1029,793" coordsize="1187,158">
            <v:shape style="position:absolute;left:1029;top:801;width:1068;height:150" type="#_x0000_t75" stroked="false">
              <v:imagedata r:id="rId273" o:title=""/>
            </v:shape>
            <v:shape style="position:absolute;left:2016;top:793;width:199;height:157" type="#_x0000_t75" stroked="false">
              <v:imagedata r:id="rId274" o:title=""/>
            </v:shape>
            <v:shape style="position:absolute;left:1029;top:793;width:1187;height:158" type="#_x0000_t202" filled="false" stroked="false">
              <v:textbox inset="0,0,0,0">
                <w:txbxContent>
                  <w:p>
                    <w:pPr>
                      <w:spacing w:before="4"/>
                      <w:ind w:left="181" w:right="0" w:firstLine="0"/>
                      <w:jc w:val="left"/>
                      <w:rPr>
                        <w:rFonts w:ascii="Trebuchet MS" w:hAnsi="Trebuchet MS"/>
                        <w:sz w:val="12"/>
                      </w:rPr>
                    </w:pPr>
                    <w:r>
                      <w:rPr>
                        <w:rFonts w:ascii="Trebuchet MS" w:hAnsi="Trebuchet MS"/>
                        <w:w w:val="85"/>
                        <w:sz w:val="12"/>
                      </w:rPr>
                      <w:t>Nivel de análisis</w:t>
                    </w:r>
                  </w:p>
                </w:txbxContent>
              </v:textbox>
              <w10:wrap type="none"/>
            </v:shape>
            <w10:wrap type="none"/>
          </v:group>
        </w:pict>
      </w:r>
      <w:r>
        <w:rPr/>
        <w:pict>
          <v:group style="position:absolute;margin-left:51.429001pt;margin-top:53.794613pt;width:58.5pt;height:8.4pt;mso-position-horizontal-relative:page;mso-position-vertical-relative:paragraph;z-index:5152" coordorigin="1029,1076" coordsize="1170,168">
            <v:shape style="position:absolute;left:1029;top:1076;width:1068;height:150" type="#_x0000_t75" stroked="false">
              <v:imagedata r:id="rId273" o:title=""/>
            </v:shape>
            <v:shape style="position:absolute;left:1999;top:1087;width:199;height:157" type="#_x0000_t75" stroked="false">
              <v:imagedata r:id="rId275" o:title=""/>
            </v:shape>
            <v:shape style="position:absolute;left:1029;top:1076;width:1170;height:168" type="#_x0000_t202" filled="false" stroked="false">
              <v:textbox inset="0,0,0,0">
                <w:txbxContent>
                  <w:p>
                    <w:pPr>
                      <w:spacing w:line="136" w:lineRule="exact" w:before="0"/>
                      <w:ind w:left="190" w:right="0" w:firstLine="0"/>
                      <w:jc w:val="left"/>
                      <w:rPr>
                        <w:rFonts w:ascii="Trebuchet MS"/>
                        <w:sz w:val="12"/>
                      </w:rPr>
                    </w:pPr>
                    <w:r>
                      <w:rPr>
                        <w:rFonts w:ascii="Trebuchet MS"/>
                        <w:w w:val="80"/>
                        <w:sz w:val="12"/>
                      </w:rPr>
                      <w:t>Nivel de estudio</w:t>
                    </w:r>
                  </w:p>
                </w:txbxContent>
              </v:textbox>
              <w10:wrap type="none"/>
            </v:shape>
            <w10:wrap type="none"/>
          </v:group>
        </w:pict>
      </w:r>
      <w:r>
        <w:rPr>
          <w:rFonts w:ascii="Arial" w:hAnsi="Arial"/>
          <w:w w:val="85"/>
          <w:sz w:val="17"/>
        </w:rPr>
        <w:t>Propuesta metodológica para el análisis de la política exterior de EE.UU.</w:t>
      </w:r>
    </w:p>
    <w:p>
      <w:pPr>
        <w:pStyle w:val="BodyText"/>
        <w:spacing w:before="9"/>
        <w:rPr>
          <w:rFonts w:ascii="Arial"/>
          <w:sz w:val="11"/>
        </w:rPr>
      </w:pPr>
      <w:r>
        <w:rPr/>
        <w:pict>
          <v:line style="position:absolute;mso-position-horizontal-relative:page;mso-position-vertical-relative:paragraph;z-index:4192;mso-wrap-distance-left:0;mso-wrap-distance-right:0" from="51.023602pt,9.227545pt" to="399.684602pt,9.227545pt" stroked="true" strokeweight="1pt" strokecolor="#000000">
            <w10:wrap type="topAndBottom"/>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8"/>
        </w:rPr>
      </w:pPr>
      <w:r>
        <w:rPr/>
        <w:pict>
          <v:line style="position:absolute;mso-position-horizontal-relative:page;mso-position-vertical-relative:paragraph;z-index:4216;mso-wrap-distance-left:0;mso-wrap-distance-right:0" from="51.023602pt,18.761927pt" to="399.684602pt,18.761927pt" stroked="true" strokeweight="1pt" strokecolor="#000000">
            <w10:wrap type="topAndBottom"/>
          </v:line>
        </w:pict>
      </w:r>
    </w:p>
    <w:p>
      <w:pPr>
        <w:spacing w:line="249" w:lineRule="auto" w:before="3"/>
        <w:ind w:left="120" w:right="1012" w:firstLine="0"/>
        <w:jc w:val="left"/>
        <w:rPr>
          <w:rFonts w:ascii="Arial" w:hAnsi="Arial"/>
          <w:sz w:val="14"/>
        </w:rPr>
      </w:pPr>
      <w:r>
        <w:rPr>
          <w:rFonts w:ascii="Arial" w:hAnsi="Arial"/>
          <w:w w:val="85"/>
          <w:sz w:val="14"/>
        </w:rPr>
        <w:t>Fuente:</w:t>
      </w:r>
      <w:r>
        <w:rPr>
          <w:rFonts w:ascii="Arial" w:hAnsi="Arial"/>
          <w:spacing w:val="-17"/>
          <w:w w:val="85"/>
          <w:sz w:val="14"/>
        </w:rPr>
        <w:t> </w:t>
      </w:r>
      <w:r>
        <w:rPr>
          <w:rFonts w:ascii="Arial" w:hAnsi="Arial"/>
          <w:w w:val="85"/>
          <w:sz w:val="14"/>
        </w:rPr>
        <w:t>elaboración</w:t>
      </w:r>
      <w:r>
        <w:rPr>
          <w:rFonts w:ascii="Arial" w:hAnsi="Arial"/>
          <w:spacing w:val="-14"/>
          <w:w w:val="85"/>
          <w:sz w:val="14"/>
        </w:rPr>
        <w:t> </w:t>
      </w:r>
      <w:r>
        <w:rPr>
          <w:rFonts w:ascii="Arial" w:hAnsi="Arial"/>
          <w:w w:val="85"/>
          <w:sz w:val="14"/>
        </w:rPr>
        <w:t>propia</w:t>
      </w:r>
      <w:r>
        <w:rPr>
          <w:rFonts w:ascii="Arial" w:hAnsi="Arial"/>
          <w:spacing w:val="-14"/>
          <w:w w:val="85"/>
          <w:sz w:val="14"/>
        </w:rPr>
        <w:t> </w:t>
      </w:r>
      <w:r>
        <w:rPr>
          <w:rFonts w:ascii="Arial" w:hAnsi="Arial"/>
          <w:w w:val="85"/>
          <w:sz w:val="14"/>
        </w:rPr>
        <w:t>según</w:t>
      </w:r>
      <w:r>
        <w:rPr>
          <w:rFonts w:ascii="Arial" w:hAnsi="Arial"/>
          <w:spacing w:val="-14"/>
          <w:w w:val="85"/>
          <w:sz w:val="14"/>
        </w:rPr>
        <w:t> </w:t>
      </w:r>
      <w:r>
        <w:rPr>
          <w:rFonts w:ascii="Arial" w:hAnsi="Arial"/>
          <w:w w:val="85"/>
          <w:sz w:val="14"/>
        </w:rPr>
        <w:t>lo</w:t>
      </w:r>
      <w:r>
        <w:rPr>
          <w:rFonts w:ascii="Arial" w:hAnsi="Arial"/>
          <w:spacing w:val="-14"/>
          <w:w w:val="85"/>
          <w:sz w:val="14"/>
        </w:rPr>
        <w:t> </w:t>
      </w:r>
      <w:r>
        <w:rPr>
          <w:rFonts w:ascii="Arial" w:hAnsi="Arial"/>
          <w:w w:val="85"/>
          <w:sz w:val="14"/>
        </w:rPr>
        <w:t>expuesto</w:t>
      </w:r>
      <w:r>
        <w:rPr>
          <w:rFonts w:ascii="Arial" w:hAnsi="Arial"/>
          <w:spacing w:val="-14"/>
          <w:w w:val="85"/>
          <w:sz w:val="14"/>
        </w:rPr>
        <w:t> </w:t>
      </w:r>
      <w:r>
        <w:rPr>
          <w:rFonts w:ascii="Arial" w:hAnsi="Arial"/>
          <w:w w:val="85"/>
          <w:sz w:val="14"/>
        </w:rPr>
        <w:t>en</w:t>
      </w:r>
      <w:r>
        <w:rPr>
          <w:rFonts w:ascii="Arial" w:hAnsi="Arial"/>
          <w:spacing w:val="-14"/>
          <w:w w:val="85"/>
          <w:sz w:val="14"/>
        </w:rPr>
        <w:t> </w:t>
      </w:r>
      <w:r>
        <w:rPr>
          <w:rFonts w:ascii="Arial" w:hAnsi="Arial"/>
          <w:w w:val="85"/>
          <w:sz w:val="14"/>
        </w:rPr>
        <w:t>el</w:t>
      </w:r>
      <w:r>
        <w:rPr>
          <w:rFonts w:ascii="Arial" w:hAnsi="Arial"/>
          <w:spacing w:val="-14"/>
          <w:w w:val="85"/>
          <w:sz w:val="14"/>
        </w:rPr>
        <w:t> </w:t>
      </w:r>
      <w:r>
        <w:rPr>
          <w:rFonts w:ascii="Arial" w:hAnsi="Arial"/>
          <w:w w:val="85"/>
          <w:sz w:val="14"/>
        </w:rPr>
        <w:t>texto:</w:t>
      </w:r>
      <w:r>
        <w:rPr>
          <w:rFonts w:ascii="Arial" w:hAnsi="Arial"/>
          <w:spacing w:val="-17"/>
          <w:w w:val="85"/>
          <w:sz w:val="14"/>
        </w:rPr>
        <w:t> </w:t>
      </w:r>
      <w:r>
        <w:rPr>
          <w:rFonts w:ascii="Arial" w:hAnsi="Arial"/>
          <w:w w:val="85"/>
          <w:sz w:val="14"/>
        </w:rPr>
        <w:t>José</w:t>
      </w:r>
      <w:r>
        <w:rPr>
          <w:rFonts w:ascii="Arial" w:hAnsi="Arial"/>
          <w:spacing w:val="-14"/>
          <w:w w:val="85"/>
          <w:sz w:val="14"/>
        </w:rPr>
        <w:t> </w:t>
      </w:r>
      <w:r>
        <w:rPr>
          <w:rFonts w:ascii="Arial" w:hAnsi="Arial"/>
          <w:w w:val="85"/>
          <w:sz w:val="14"/>
        </w:rPr>
        <w:t>Luis</w:t>
      </w:r>
      <w:r>
        <w:rPr>
          <w:rFonts w:ascii="Arial" w:hAnsi="Arial"/>
          <w:spacing w:val="-14"/>
          <w:w w:val="85"/>
          <w:sz w:val="14"/>
        </w:rPr>
        <w:t> </w:t>
      </w:r>
      <w:r>
        <w:rPr>
          <w:rFonts w:ascii="Arial" w:hAnsi="Arial"/>
          <w:w w:val="85"/>
          <w:sz w:val="14"/>
        </w:rPr>
        <w:t>Orozco,</w:t>
      </w:r>
      <w:r>
        <w:rPr>
          <w:rFonts w:ascii="Arial" w:hAnsi="Arial"/>
          <w:spacing w:val="-17"/>
          <w:w w:val="85"/>
          <w:sz w:val="14"/>
        </w:rPr>
        <w:t> </w:t>
      </w:r>
      <w:r>
        <w:rPr>
          <w:rFonts w:ascii="Arial" w:hAnsi="Arial"/>
          <w:i/>
          <w:w w:val="85"/>
          <w:sz w:val="14"/>
        </w:rPr>
        <w:t>Razón</w:t>
      </w:r>
      <w:r>
        <w:rPr>
          <w:rFonts w:ascii="Arial" w:hAnsi="Arial"/>
          <w:i/>
          <w:spacing w:val="-14"/>
          <w:w w:val="85"/>
          <w:sz w:val="14"/>
        </w:rPr>
        <w:t> </w:t>
      </w:r>
      <w:r>
        <w:rPr>
          <w:rFonts w:ascii="Arial" w:hAnsi="Arial"/>
          <w:i/>
          <w:w w:val="85"/>
          <w:sz w:val="14"/>
        </w:rPr>
        <w:t>de</w:t>
      </w:r>
      <w:r>
        <w:rPr>
          <w:rFonts w:ascii="Arial" w:hAnsi="Arial"/>
          <w:i/>
          <w:spacing w:val="-14"/>
          <w:w w:val="85"/>
          <w:sz w:val="14"/>
        </w:rPr>
        <w:t> </w:t>
      </w:r>
      <w:r>
        <w:rPr>
          <w:rFonts w:ascii="Arial" w:hAnsi="Arial"/>
          <w:i/>
          <w:w w:val="85"/>
          <w:sz w:val="14"/>
        </w:rPr>
        <w:t>Estado,</w:t>
      </w:r>
      <w:r>
        <w:rPr>
          <w:rFonts w:ascii="Arial" w:hAnsi="Arial"/>
          <w:i/>
          <w:spacing w:val="-17"/>
          <w:w w:val="85"/>
          <w:sz w:val="14"/>
        </w:rPr>
        <w:t> </w:t>
      </w:r>
      <w:r>
        <w:rPr>
          <w:rFonts w:ascii="Arial" w:hAnsi="Arial"/>
          <w:i/>
          <w:w w:val="85"/>
          <w:sz w:val="14"/>
        </w:rPr>
        <w:t>razón</w:t>
      </w:r>
      <w:r>
        <w:rPr>
          <w:rFonts w:ascii="Arial" w:hAnsi="Arial"/>
          <w:i/>
          <w:spacing w:val="-14"/>
          <w:w w:val="85"/>
          <w:sz w:val="14"/>
        </w:rPr>
        <w:t> </w:t>
      </w:r>
      <w:r>
        <w:rPr>
          <w:rFonts w:ascii="Arial" w:hAnsi="Arial"/>
          <w:i/>
          <w:w w:val="85"/>
          <w:sz w:val="14"/>
        </w:rPr>
        <w:t>de</w:t>
      </w:r>
      <w:r>
        <w:rPr>
          <w:rFonts w:ascii="Arial" w:hAnsi="Arial"/>
          <w:i/>
          <w:spacing w:val="-14"/>
          <w:w w:val="85"/>
          <w:sz w:val="14"/>
        </w:rPr>
        <w:t> </w:t>
      </w:r>
      <w:r>
        <w:rPr>
          <w:rFonts w:ascii="Arial" w:hAnsi="Arial"/>
          <w:i/>
          <w:w w:val="85"/>
          <w:sz w:val="14"/>
        </w:rPr>
        <w:t>mercado</w:t>
      </w:r>
      <w:r>
        <w:rPr>
          <w:rFonts w:ascii="Arial" w:hAnsi="Arial"/>
          <w:w w:val="85"/>
          <w:sz w:val="14"/>
        </w:rPr>
        <w:t>,</w:t>
      </w:r>
      <w:r>
        <w:rPr>
          <w:rFonts w:ascii="Arial" w:hAnsi="Arial"/>
          <w:spacing w:val="-17"/>
          <w:w w:val="85"/>
          <w:sz w:val="14"/>
        </w:rPr>
        <w:t> </w:t>
      </w:r>
      <w:r>
        <w:rPr>
          <w:rFonts w:ascii="Arial" w:hAnsi="Arial"/>
          <w:w w:val="85"/>
          <w:sz w:val="14"/>
        </w:rPr>
        <w:t>FCE, México, 1992, pp.</w:t>
      </w:r>
      <w:r>
        <w:rPr>
          <w:rFonts w:ascii="Arial" w:hAnsi="Arial"/>
          <w:spacing w:val="-8"/>
          <w:w w:val="85"/>
          <w:sz w:val="14"/>
        </w:rPr>
        <w:t> </w:t>
      </w:r>
      <w:r>
        <w:rPr>
          <w:rFonts w:ascii="Arial" w:hAnsi="Arial"/>
          <w:w w:val="85"/>
          <w:sz w:val="14"/>
        </w:rPr>
        <w:t>26-43.</w:t>
      </w:r>
    </w:p>
    <w:p>
      <w:pPr>
        <w:spacing w:after="0" w:line="249" w:lineRule="auto"/>
        <w:jc w:val="left"/>
        <w:rPr>
          <w:rFonts w:ascii="Arial" w:hAnsi="Arial"/>
          <w:sz w:val="14"/>
        </w:rPr>
        <w:sectPr>
          <w:pgSz w:w="8790" w:h="12760"/>
          <w:pgMar w:header="695" w:footer="723" w:top="880" w:bottom="920" w:left="900" w:right="680"/>
        </w:sectPr>
      </w:pPr>
    </w:p>
    <w:p>
      <w:pPr>
        <w:pStyle w:val="BodyText"/>
        <w:spacing w:before="2"/>
        <w:rPr>
          <w:rFonts w:ascii="Arial"/>
          <w:sz w:val="29"/>
        </w:rPr>
      </w:pPr>
    </w:p>
    <w:p>
      <w:pPr>
        <w:pStyle w:val="BodyText"/>
        <w:spacing w:line="252" w:lineRule="auto" w:before="72"/>
        <w:ind w:left="330" w:right="117"/>
        <w:jc w:val="both"/>
      </w:pPr>
      <w:r>
        <w:rPr>
          <w:w w:val="110"/>
        </w:rPr>
        <w:t>El cuadro anterior proporciona elementos conceptuales y metodoló- gicos para trazar una ruta de análisis e interpretación de las acciones políticas y económicas emprendidas por alguno de los actores de Es- tados unidos mencionados en la tabla según determinado nivel de análisis. Estos criterios y niveles propuestos por orozco permiten de- limitar</w:t>
      </w:r>
      <w:r>
        <w:rPr>
          <w:spacing w:val="-4"/>
          <w:w w:val="110"/>
        </w:rPr>
        <w:t> </w:t>
      </w:r>
      <w:r>
        <w:rPr>
          <w:w w:val="110"/>
        </w:rPr>
        <w:t>con</w:t>
      </w:r>
      <w:r>
        <w:rPr>
          <w:spacing w:val="-4"/>
          <w:w w:val="110"/>
        </w:rPr>
        <w:t> </w:t>
      </w:r>
      <w:r>
        <w:rPr>
          <w:w w:val="110"/>
        </w:rPr>
        <w:t>mayor</w:t>
      </w:r>
      <w:r>
        <w:rPr>
          <w:spacing w:val="-4"/>
          <w:w w:val="110"/>
        </w:rPr>
        <w:t> </w:t>
      </w:r>
      <w:r>
        <w:rPr>
          <w:w w:val="110"/>
        </w:rPr>
        <w:t>precisión</w:t>
      </w:r>
      <w:r>
        <w:rPr>
          <w:spacing w:val="-4"/>
          <w:w w:val="110"/>
        </w:rPr>
        <w:t> </w:t>
      </w:r>
      <w:r>
        <w:rPr>
          <w:w w:val="110"/>
        </w:rPr>
        <w:t>qué,</w:t>
      </w:r>
      <w:r>
        <w:rPr>
          <w:spacing w:val="-4"/>
          <w:w w:val="110"/>
        </w:rPr>
        <w:t> </w:t>
      </w:r>
      <w:r>
        <w:rPr>
          <w:w w:val="110"/>
        </w:rPr>
        <w:t>cómo</w:t>
      </w:r>
      <w:r>
        <w:rPr>
          <w:spacing w:val="-4"/>
          <w:w w:val="110"/>
        </w:rPr>
        <w:t> </w:t>
      </w:r>
      <w:r>
        <w:rPr>
          <w:w w:val="110"/>
        </w:rPr>
        <w:t>y</w:t>
      </w:r>
      <w:r>
        <w:rPr>
          <w:spacing w:val="-4"/>
          <w:w w:val="110"/>
        </w:rPr>
        <w:t> </w:t>
      </w:r>
      <w:r>
        <w:rPr>
          <w:w w:val="110"/>
        </w:rPr>
        <w:t>desde</w:t>
      </w:r>
      <w:r>
        <w:rPr>
          <w:spacing w:val="-4"/>
          <w:w w:val="110"/>
        </w:rPr>
        <w:t> </w:t>
      </w:r>
      <w:r>
        <w:rPr>
          <w:w w:val="110"/>
        </w:rPr>
        <w:t>qué</w:t>
      </w:r>
      <w:r>
        <w:rPr>
          <w:spacing w:val="-4"/>
          <w:w w:val="110"/>
        </w:rPr>
        <w:t> </w:t>
      </w:r>
      <w:r>
        <w:rPr>
          <w:w w:val="110"/>
        </w:rPr>
        <w:t>enfoque</w:t>
      </w:r>
      <w:r>
        <w:rPr>
          <w:spacing w:val="-4"/>
          <w:w w:val="110"/>
        </w:rPr>
        <w:t> </w:t>
      </w:r>
      <w:r>
        <w:rPr>
          <w:w w:val="110"/>
        </w:rPr>
        <w:t>o</w:t>
      </w:r>
      <w:r>
        <w:rPr>
          <w:spacing w:val="-4"/>
          <w:w w:val="110"/>
        </w:rPr>
        <w:t> </w:t>
      </w:r>
      <w:r>
        <w:rPr>
          <w:w w:val="110"/>
        </w:rPr>
        <w:t>nivel</w:t>
      </w:r>
      <w:r>
        <w:rPr>
          <w:spacing w:val="-4"/>
          <w:w w:val="110"/>
        </w:rPr>
        <w:t> </w:t>
      </w:r>
      <w:r>
        <w:rPr>
          <w:w w:val="110"/>
        </w:rPr>
        <w:t>de- bemos aproximarnos al tema de interés; para efectos de este trabajo, interesa identificar cuáles son los actores clave tanto estatales como no estatales, la naturaleza público o privada de los intereses, objetivos y estrategias involucradas para la formulación de la agenda bilateral, subregional o hemisférica según la definición de la agenda de política exterior</w:t>
      </w:r>
      <w:r>
        <w:rPr>
          <w:spacing w:val="-12"/>
          <w:w w:val="110"/>
        </w:rPr>
        <w:t> </w:t>
      </w:r>
      <w:r>
        <w:rPr>
          <w:w w:val="110"/>
        </w:rPr>
        <w:t>estadounidense.</w:t>
      </w:r>
    </w:p>
    <w:p>
      <w:pPr>
        <w:pStyle w:val="BodyText"/>
        <w:spacing w:line="252" w:lineRule="auto"/>
        <w:ind w:left="330" w:right="117" w:firstLine="396"/>
        <w:jc w:val="both"/>
      </w:pPr>
      <w:r>
        <w:rPr>
          <w:w w:val="110"/>
        </w:rPr>
        <w:t>Finalmente, y para complementar la propuesta metodológica tan- to de bentley como de orozco, en esta última parte se recupera el modelo de análisis de robert d. Putman sobre los “juegos de doble nivel” (</w:t>
      </w:r>
      <w:r>
        <w:rPr>
          <w:i/>
          <w:w w:val="110"/>
        </w:rPr>
        <w:t>two-level games</w:t>
      </w:r>
      <w:r>
        <w:rPr>
          <w:w w:val="110"/>
        </w:rPr>
        <w:t>):</w:t>
      </w:r>
    </w:p>
    <w:p>
      <w:pPr>
        <w:pStyle w:val="BodyText"/>
        <w:spacing w:before="11"/>
        <w:rPr>
          <w:sz w:val="18"/>
        </w:rPr>
      </w:pPr>
    </w:p>
    <w:p>
      <w:pPr>
        <w:spacing w:before="0"/>
        <w:ind w:left="727" w:right="117" w:firstLine="0"/>
        <w:jc w:val="both"/>
        <w:rPr>
          <w:sz w:val="10"/>
        </w:rPr>
      </w:pPr>
      <w:r>
        <w:rPr>
          <w:w w:val="110"/>
          <w:sz w:val="18"/>
        </w:rPr>
        <w:t>En el ámbito nacional, los grupos internos persiguen sus propios in- tereses</w:t>
      </w:r>
      <w:r>
        <w:rPr>
          <w:spacing w:val="-6"/>
          <w:w w:val="110"/>
          <w:sz w:val="18"/>
        </w:rPr>
        <w:t> </w:t>
      </w:r>
      <w:r>
        <w:rPr>
          <w:w w:val="110"/>
          <w:sz w:val="18"/>
        </w:rPr>
        <w:t>al</w:t>
      </w:r>
      <w:r>
        <w:rPr>
          <w:spacing w:val="-6"/>
          <w:w w:val="110"/>
          <w:sz w:val="18"/>
        </w:rPr>
        <w:t> </w:t>
      </w:r>
      <w:r>
        <w:rPr>
          <w:w w:val="110"/>
          <w:sz w:val="18"/>
        </w:rPr>
        <w:t>ejercer</w:t>
      </w:r>
      <w:r>
        <w:rPr>
          <w:spacing w:val="-6"/>
          <w:w w:val="110"/>
          <w:sz w:val="18"/>
        </w:rPr>
        <w:t> </w:t>
      </w:r>
      <w:r>
        <w:rPr>
          <w:w w:val="110"/>
          <w:sz w:val="18"/>
        </w:rPr>
        <w:t>presión</w:t>
      </w:r>
      <w:r>
        <w:rPr>
          <w:spacing w:val="-6"/>
          <w:w w:val="110"/>
          <w:sz w:val="18"/>
        </w:rPr>
        <w:t> </w:t>
      </w:r>
      <w:r>
        <w:rPr>
          <w:w w:val="110"/>
          <w:sz w:val="18"/>
        </w:rPr>
        <w:t>a</w:t>
      </w:r>
      <w:r>
        <w:rPr>
          <w:spacing w:val="-6"/>
          <w:w w:val="110"/>
          <w:sz w:val="18"/>
        </w:rPr>
        <w:t> </w:t>
      </w:r>
      <w:r>
        <w:rPr>
          <w:w w:val="110"/>
          <w:sz w:val="18"/>
        </w:rPr>
        <w:t>través</w:t>
      </w:r>
      <w:r>
        <w:rPr>
          <w:spacing w:val="-6"/>
          <w:w w:val="110"/>
          <w:sz w:val="18"/>
        </w:rPr>
        <w:t> </w:t>
      </w:r>
      <w:r>
        <w:rPr>
          <w:w w:val="110"/>
          <w:sz w:val="18"/>
        </w:rPr>
        <w:t>del</w:t>
      </w:r>
      <w:r>
        <w:rPr>
          <w:spacing w:val="-6"/>
          <w:w w:val="110"/>
          <w:sz w:val="18"/>
        </w:rPr>
        <w:t> </w:t>
      </w:r>
      <w:r>
        <w:rPr>
          <w:w w:val="110"/>
          <w:sz w:val="18"/>
        </w:rPr>
        <w:t>aparato</w:t>
      </w:r>
      <w:r>
        <w:rPr>
          <w:spacing w:val="-6"/>
          <w:w w:val="110"/>
          <w:sz w:val="18"/>
        </w:rPr>
        <w:t> </w:t>
      </w:r>
      <w:r>
        <w:rPr>
          <w:w w:val="110"/>
          <w:sz w:val="18"/>
        </w:rPr>
        <w:t>de</w:t>
      </w:r>
      <w:r>
        <w:rPr>
          <w:spacing w:val="-6"/>
          <w:w w:val="110"/>
          <w:sz w:val="18"/>
        </w:rPr>
        <w:t> </w:t>
      </w:r>
      <w:r>
        <w:rPr>
          <w:w w:val="110"/>
          <w:sz w:val="18"/>
        </w:rPr>
        <w:t>gobierno</w:t>
      </w:r>
      <w:r>
        <w:rPr>
          <w:spacing w:val="-6"/>
          <w:w w:val="110"/>
          <w:sz w:val="18"/>
        </w:rPr>
        <w:t> </w:t>
      </w:r>
      <w:r>
        <w:rPr>
          <w:w w:val="110"/>
          <w:sz w:val="18"/>
        </w:rPr>
        <w:t>a</w:t>
      </w:r>
      <w:r>
        <w:rPr>
          <w:spacing w:val="-6"/>
          <w:w w:val="110"/>
          <w:sz w:val="18"/>
        </w:rPr>
        <w:t> </w:t>
      </w:r>
      <w:r>
        <w:rPr>
          <w:w w:val="110"/>
          <w:sz w:val="18"/>
        </w:rPr>
        <w:t>fin</w:t>
      </w:r>
      <w:r>
        <w:rPr>
          <w:spacing w:val="-6"/>
          <w:w w:val="110"/>
          <w:sz w:val="18"/>
        </w:rPr>
        <w:t> </w:t>
      </w:r>
      <w:r>
        <w:rPr>
          <w:w w:val="110"/>
          <w:sz w:val="18"/>
        </w:rPr>
        <w:t>de</w:t>
      </w:r>
      <w:r>
        <w:rPr>
          <w:spacing w:val="-6"/>
          <w:w w:val="110"/>
          <w:sz w:val="18"/>
        </w:rPr>
        <w:t> </w:t>
      </w:r>
      <w:r>
        <w:rPr>
          <w:w w:val="110"/>
          <w:sz w:val="18"/>
        </w:rPr>
        <w:t>que adopte</w:t>
      </w:r>
      <w:r>
        <w:rPr>
          <w:spacing w:val="-5"/>
          <w:w w:val="110"/>
          <w:sz w:val="18"/>
        </w:rPr>
        <w:t> </w:t>
      </w:r>
      <w:r>
        <w:rPr>
          <w:w w:val="110"/>
          <w:sz w:val="18"/>
        </w:rPr>
        <w:t>o</w:t>
      </w:r>
      <w:r>
        <w:rPr>
          <w:spacing w:val="-5"/>
          <w:w w:val="110"/>
          <w:sz w:val="18"/>
        </w:rPr>
        <w:t> </w:t>
      </w:r>
      <w:r>
        <w:rPr>
          <w:w w:val="110"/>
          <w:sz w:val="18"/>
        </w:rPr>
        <w:t>favorezca</w:t>
      </w:r>
      <w:r>
        <w:rPr>
          <w:spacing w:val="-5"/>
          <w:w w:val="110"/>
          <w:sz w:val="18"/>
        </w:rPr>
        <w:t> </w:t>
      </w:r>
      <w:r>
        <w:rPr>
          <w:w w:val="110"/>
          <w:sz w:val="18"/>
        </w:rPr>
        <w:t>ciertas</w:t>
      </w:r>
      <w:r>
        <w:rPr>
          <w:spacing w:val="-5"/>
          <w:w w:val="110"/>
          <w:sz w:val="18"/>
        </w:rPr>
        <w:t> </w:t>
      </w:r>
      <w:r>
        <w:rPr>
          <w:w w:val="110"/>
          <w:sz w:val="18"/>
        </w:rPr>
        <w:t>políticas,</w:t>
      </w:r>
      <w:r>
        <w:rPr>
          <w:spacing w:val="-5"/>
          <w:w w:val="110"/>
          <w:sz w:val="18"/>
        </w:rPr>
        <w:t> </w:t>
      </w:r>
      <w:r>
        <w:rPr>
          <w:w w:val="110"/>
          <w:sz w:val="18"/>
        </w:rPr>
        <w:t>y</w:t>
      </w:r>
      <w:r>
        <w:rPr>
          <w:spacing w:val="-5"/>
          <w:w w:val="110"/>
          <w:sz w:val="18"/>
        </w:rPr>
        <w:t> </w:t>
      </w:r>
      <w:r>
        <w:rPr>
          <w:w w:val="110"/>
          <w:sz w:val="18"/>
        </w:rPr>
        <w:t>los</w:t>
      </w:r>
      <w:r>
        <w:rPr>
          <w:spacing w:val="-5"/>
          <w:w w:val="110"/>
          <w:sz w:val="18"/>
        </w:rPr>
        <w:t> </w:t>
      </w:r>
      <w:r>
        <w:rPr>
          <w:w w:val="110"/>
          <w:sz w:val="18"/>
        </w:rPr>
        <w:t>políticos</w:t>
      </w:r>
      <w:r>
        <w:rPr>
          <w:spacing w:val="-5"/>
          <w:w w:val="110"/>
          <w:sz w:val="18"/>
        </w:rPr>
        <w:t> </w:t>
      </w:r>
      <w:r>
        <w:rPr>
          <w:w w:val="110"/>
          <w:sz w:val="18"/>
        </w:rPr>
        <w:t>buscan</w:t>
      </w:r>
      <w:r>
        <w:rPr>
          <w:spacing w:val="-5"/>
          <w:w w:val="110"/>
          <w:sz w:val="18"/>
        </w:rPr>
        <w:t> </w:t>
      </w:r>
      <w:r>
        <w:rPr>
          <w:w w:val="110"/>
          <w:sz w:val="18"/>
        </w:rPr>
        <w:t>llegar</w:t>
      </w:r>
      <w:r>
        <w:rPr>
          <w:spacing w:val="-5"/>
          <w:w w:val="110"/>
          <w:sz w:val="18"/>
        </w:rPr>
        <w:t> </w:t>
      </w:r>
      <w:r>
        <w:rPr>
          <w:w w:val="110"/>
          <w:sz w:val="18"/>
        </w:rPr>
        <w:t>al</w:t>
      </w:r>
      <w:r>
        <w:rPr>
          <w:spacing w:val="-5"/>
          <w:w w:val="110"/>
          <w:sz w:val="18"/>
        </w:rPr>
        <w:t> </w:t>
      </w:r>
      <w:r>
        <w:rPr>
          <w:w w:val="110"/>
          <w:sz w:val="18"/>
        </w:rPr>
        <w:t>po- der a través de la construcción de coaliciones entre estos grupos [</w:t>
      </w:r>
      <w:r>
        <w:rPr>
          <w:i/>
          <w:w w:val="110"/>
          <w:sz w:val="18"/>
        </w:rPr>
        <w:t>do- </w:t>
      </w:r>
      <w:r>
        <w:rPr>
          <w:i/>
          <w:w w:val="110"/>
          <w:sz w:val="18"/>
        </w:rPr>
        <w:t>mestic groups</w:t>
      </w:r>
      <w:r>
        <w:rPr>
          <w:w w:val="110"/>
          <w:sz w:val="18"/>
        </w:rPr>
        <w:t>]. En el ámbito internacional, los gobiernos nacionales buscan</w:t>
      </w:r>
      <w:r>
        <w:rPr>
          <w:spacing w:val="-6"/>
          <w:w w:val="110"/>
          <w:sz w:val="18"/>
        </w:rPr>
        <w:t> </w:t>
      </w:r>
      <w:r>
        <w:rPr>
          <w:w w:val="110"/>
          <w:sz w:val="18"/>
        </w:rPr>
        <w:t>maximizar</w:t>
      </w:r>
      <w:r>
        <w:rPr>
          <w:spacing w:val="-6"/>
          <w:w w:val="110"/>
          <w:sz w:val="18"/>
        </w:rPr>
        <w:t> </w:t>
      </w:r>
      <w:r>
        <w:rPr>
          <w:w w:val="110"/>
          <w:sz w:val="18"/>
        </w:rPr>
        <w:t>sus</w:t>
      </w:r>
      <w:r>
        <w:rPr>
          <w:spacing w:val="-6"/>
          <w:w w:val="110"/>
          <w:sz w:val="18"/>
        </w:rPr>
        <w:t> </w:t>
      </w:r>
      <w:r>
        <w:rPr>
          <w:w w:val="110"/>
          <w:sz w:val="18"/>
        </w:rPr>
        <w:t>propias</w:t>
      </w:r>
      <w:r>
        <w:rPr>
          <w:spacing w:val="-6"/>
          <w:w w:val="110"/>
          <w:sz w:val="18"/>
        </w:rPr>
        <w:t> </w:t>
      </w:r>
      <w:r>
        <w:rPr>
          <w:w w:val="110"/>
          <w:sz w:val="18"/>
        </w:rPr>
        <w:t>capacidades</w:t>
      </w:r>
      <w:r>
        <w:rPr>
          <w:spacing w:val="-6"/>
          <w:w w:val="110"/>
          <w:sz w:val="18"/>
        </w:rPr>
        <w:t> </w:t>
      </w:r>
      <w:r>
        <w:rPr>
          <w:w w:val="110"/>
          <w:sz w:val="18"/>
        </w:rPr>
        <w:t>para</w:t>
      </w:r>
      <w:r>
        <w:rPr>
          <w:spacing w:val="-6"/>
          <w:w w:val="110"/>
          <w:sz w:val="18"/>
        </w:rPr>
        <w:t> </w:t>
      </w:r>
      <w:r>
        <w:rPr>
          <w:w w:val="110"/>
          <w:sz w:val="18"/>
        </w:rPr>
        <w:t>satisfacer</w:t>
      </w:r>
      <w:r>
        <w:rPr>
          <w:spacing w:val="-6"/>
          <w:w w:val="110"/>
          <w:sz w:val="18"/>
        </w:rPr>
        <w:t> </w:t>
      </w:r>
      <w:r>
        <w:rPr>
          <w:w w:val="110"/>
          <w:sz w:val="18"/>
        </w:rPr>
        <w:t>las</w:t>
      </w:r>
      <w:r>
        <w:rPr>
          <w:spacing w:val="-6"/>
          <w:w w:val="110"/>
          <w:sz w:val="18"/>
        </w:rPr>
        <w:t> </w:t>
      </w:r>
      <w:r>
        <w:rPr>
          <w:w w:val="110"/>
          <w:sz w:val="18"/>
        </w:rPr>
        <w:t>deman- das y presiones internas, mientras minimizan los efectos de ciertas consecuencias adversas producto del desarrollo de actividades </w:t>
      </w:r>
      <w:r>
        <w:rPr>
          <w:spacing w:val="-3"/>
          <w:w w:val="110"/>
          <w:sz w:val="18"/>
        </w:rPr>
        <w:t>exter- </w:t>
      </w:r>
      <w:r>
        <w:rPr>
          <w:w w:val="110"/>
          <w:sz w:val="18"/>
        </w:rPr>
        <w:t>nas. Ninguno de los dos niveles [</w:t>
      </w:r>
      <w:r>
        <w:rPr>
          <w:i/>
          <w:w w:val="110"/>
          <w:sz w:val="18"/>
        </w:rPr>
        <w:t>games</w:t>
      </w:r>
      <w:r>
        <w:rPr>
          <w:w w:val="110"/>
          <w:sz w:val="18"/>
        </w:rPr>
        <w:t>] puede ser ignorado por los principales</w:t>
      </w:r>
      <w:r>
        <w:rPr>
          <w:spacing w:val="-19"/>
          <w:w w:val="110"/>
          <w:sz w:val="18"/>
        </w:rPr>
        <w:t> </w:t>
      </w:r>
      <w:r>
        <w:rPr>
          <w:w w:val="110"/>
          <w:sz w:val="18"/>
        </w:rPr>
        <w:t>tomadores</w:t>
      </w:r>
      <w:r>
        <w:rPr>
          <w:spacing w:val="-19"/>
          <w:w w:val="110"/>
          <w:sz w:val="18"/>
        </w:rPr>
        <w:t> </w:t>
      </w:r>
      <w:r>
        <w:rPr>
          <w:w w:val="110"/>
          <w:sz w:val="18"/>
        </w:rPr>
        <w:t>de</w:t>
      </w:r>
      <w:r>
        <w:rPr>
          <w:spacing w:val="-19"/>
          <w:w w:val="110"/>
          <w:sz w:val="18"/>
        </w:rPr>
        <w:t> </w:t>
      </w:r>
      <w:r>
        <w:rPr>
          <w:w w:val="110"/>
          <w:sz w:val="18"/>
        </w:rPr>
        <w:t>decisiones.</w:t>
      </w:r>
      <w:r>
        <w:rPr>
          <w:w w:val="110"/>
          <w:position w:val="6"/>
          <w:sz w:val="10"/>
        </w:rPr>
        <w:t>15</w:t>
      </w:r>
    </w:p>
    <w:p>
      <w:pPr>
        <w:pStyle w:val="BodyText"/>
        <w:spacing w:before="1"/>
        <w:rPr>
          <w:sz w:val="21"/>
        </w:rPr>
      </w:pPr>
    </w:p>
    <w:p>
      <w:pPr>
        <w:pStyle w:val="BodyText"/>
        <w:spacing w:line="252" w:lineRule="auto" w:before="1"/>
        <w:ind w:left="330" w:right="117"/>
        <w:jc w:val="both"/>
      </w:pPr>
      <w:r>
        <w:rPr>
          <w:w w:val="110"/>
        </w:rPr>
        <w:t>rescatar este enfoque permite revalorizar el papel del Estado como actor clave del análisis teórico no sólo de las relaciones internacio- nales, sino de las Ciencias sociales y Políticas en general; le asigna un papel mayor y más visible a los tomadores de decisiones, los congre- sos y a los grupos de presión internos. No obstante, con este modelo conviene identificar la naturaleza institucional más que individual de cada uno de esos actores, es decir se trata de observar y analizar más el rol, funciones y alcances de poder y negociación que tiene una ins- titución como la </w:t>
      </w:r>
      <w:r>
        <w:rPr>
          <w:i/>
          <w:w w:val="110"/>
        </w:rPr>
        <w:t>presidencia </w:t>
      </w:r>
      <w:r>
        <w:rPr>
          <w:w w:val="110"/>
        </w:rPr>
        <w:t>en Estados unidos (</w:t>
      </w:r>
      <w:r>
        <w:rPr>
          <w:i/>
          <w:w w:val="110"/>
        </w:rPr>
        <w:t>US Presidency</w:t>
      </w:r>
      <w:r>
        <w:rPr>
          <w:w w:val="110"/>
        </w:rPr>
        <w:t>) más que el presidente de turno, o bien el brazo legislativo, el Partido de- mócrata o republicano, más que los líderes respectivos de cada cáma- ra y/o ala partidista.</w:t>
      </w:r>
    </w:p>
    <w:p>
      <w:pPr>
        <w:pStyle w:val="BodyText"/>
        <w:rPr>
          <w:sz w:val="21"/>
        </w:rPr>
      </w:pPr>
      <w:r>
        <w:rPr/>
        <w:pict>
          <v:line style="position:absolute;mso-position-horizontal-relative:page;mso-position-vertical-relative:paragraph;z-index:5176;mso-wrap-distance-left:0;mso-wrap-distance-right:0" from="76.5354pt,14.558232pt" to="104.8814pt,14.558232pt" stroked="true" strokeweight=".5pt" strokecolor="#000000">
            <w10:wrap type="topAndBottom"/>
          </v:line>
        </w:pict>
      </w:r>
    </w:p>
    <w:p>
      <w:pPr>
        <w:pStyle w:val="ListParagraph"/>
        <w:numPr>
          <w:ilvl w:val="1"/>
          <w:numId w:val="12"/>
        </w:numPr>
        <w:tabs>
          <w:tab w:pos="586" w:val="left" w:leader="none"/>
        </w:tabs>
        <w:spacing w:line="242" w:lineRule="auto" w:before="89" w:after="0"/>
        <w:ind w:left="330" w:right="118" w:firstLine="0"/>
        <w:jc w:val="both"/>
        <w:rPr>
          <w:sz w:val="16"/>
        </w:rPr>
      </w:pPr>
      <w:r>
        <w:rPr>
          <w:w w:val="110"/>
          <w:sz w:val="16"/>
        </w:rPr>
        <w:t>traducción propia, </w:t>
      </w:r>
      <w:r>
        <w:rPr>
          <w:i/>
          <w:spacing w:val="-4"/>
          <w:w w:val="110"/>
          <w:sz w:val="16"/>
        </w:rPr>
        <w:t>Cfr. </w:t>
      </w:r>
      <w:r>
        <w:rPr>
          <w:w w:val="110"/>
          <w:sz w:val="16"/>
        </w:rPr>
        <w:t>robert d. Putman, “diplomacy and domestic politics: the logic of two-level games”, </w:t>
      </w:r>
      <w:r>
        <w:rPr>
          <w:i/>
          <w:w w:val="110"/>
          <w:sz w:val="16"/>
        </w:rPr>
        <w:t>Internatinal organization</w:t>
      </w:r>
      <w:r>
        <w:rPr>
          <w:w w:val="110"/>
          <w:sz w:val="16"/>
        </w:rPr>
        <w:t>, </w:t>
      </w:r>
      <w:r>
        <w:rPr>
          <w:spacing w:val="-3"/>
          <w:w w:val="110"/>
          <w:sz w:val="16"/>
        </w:rPr>
        <w:t>Vol. </w:t>
      </w:r>
      <w:r>
        <w:rPr>
          <w:w w:val="110"/>
          <w:sz w:val="16"/>
        </w:rPr>
        <w:t>42, Nº 3, </w:t>
      </w:r>
      <w:r>
        <w:rPr>
          <w:spacing w:val="-3"/>
          <w:w w:val="110"/>
          <w:sz w:val="16"/>
        </w:rPr>
        <w:t>summer, </w:t>
      </w:r>
      <w:r>
        <w:rPr>
          <w:w w:val="110"/>
          <w:sz w:val="16"/>
        </w:rPr>
        <w:t>1988, p. 434.</w:t>
      </w:r>
    </w:p>
    <w:p>
      <w:pPr>
        <w:spacing w:after="0" w:line="242" w:lineRule="auto"/>
        <w:jc w:val="both"/>
        <w:rPr>
          <w:sz w:val="16"/>
        </w:rPr>
        <w:sectPr>
          <w:footerReference w:type="even" r:id="rId276"/>
          <w:footerReference w:type="default" r:id="rId277"/>
          <w:pgSz w:w="8790" w:h="12760"/>
          <w:pgMar w:footer="725" w:header="695" w:top="880" w:bottom="920" w:left="1200" w:right="900"/>
          <w:pgNumType w:start="204"/>
        </w:sectPr>
      </w:pPr>
    </w:p>
    <w:p>
      <w:pPr>
        <w:pStyle w:val="BodyText"/>
        <w:spacing w:before="9"/>
        <w:rPr>
          <w:sz w:val="28"/>
        </w:rPr>
      </w:pPr>
    </w:p>
    <w:p>
      <w:pPr>
        <w:pStyle w:val="BodyText"/>
        <w:spacing w:line="252" w:lineRule="auto" w:before="73"/>
        <w:ind w:left="120" w:right="868" w:firstLine="396"/>
        <w:jc w:val="both"/>
        <w:rPr>
          <w:sz w:val="11"/>
        </w:rPr>
      </w:pPr>
      <w:r>
        <w:rPr>
          <w:w w:val="110"/>
        </w:rPr>
        <w:t>otro de los factores que evidencia este enfoque es el “conflicto de intereses” que se genera tanto en la esfera interna como en la externa, y en la interacción entre éstas en el afán de definir o identificar el </w:t>
      </w:r>
      <w:r>
        <w:rPr>
          <w:i/>
          <w:w w:val="110"/>
        </w:rPr>
        <w:t>in- </w:t>
      </w:r>
      <w:r>
        <w:rPr>
          <w:i/>
          <w:w w:val="110"/>
        </w:rPr>
        <w:t>terés nacional</w:t>
      </w:r>
      <w:r>
        <w:rPr>
          <w:w w:val="110"/>
        </w:rPr>
        <w:t>.</w:t>
      </w:r>
      <w:r>
        <w:rPr>
          <w:w w:val="110"/>
          <w:position w:val="6"/>
          <w:sz w:val="11"/>
        </w:rPr>
        <w:t>16</w:t>
      </w:r>
    </w:p>
    <w:p>
      <w:pPr>
        <w:pStyle w:val="BodyText"/>
        <w:rPr>
          <w:sz w:val="20"/>
        </w:rPr>
      </w:pPr>
    </w:p>
    <w:p>
      <w:pPr>
        <w:pStyle w:val="BodyText"/>
        <w:spacing w:before="9"/>
        <w:rPr>
          <w:sz w:val="17"/>
        </w:rPr>
      </w:pPr>
      <w:r>
        <w:rPr/>
        <w:pict>
          <v:line style="position:absolute;mso-position-horizontal-relative:page;mso-position-vertical-relative:paragraph;z-index:5200;mso-wrap-distance-left:0;mso-wrap-distance-right:0" from="51.023602pt,12.870519pt" to="400.251602pt,12.870519pt" stroked="true" strokeweight="1pt" strokecolor="#000000">
            <w10:wrap type="topAndBottom"/>
          </v:line>
        </w:pict>
      </w:r>
    </w:p>
    <w:p>
      <w:pPr>
        <w:pStyle w:val="BodyText"/>
        <w:spacing w:before="8"/>
        <w:rPr>
          <w:sz w:val="22"/>
        </w:rPr>
      </w:pPr>
    </w:p>
    <w:p>
      <w:pPr>
        <w:spacing w:after="0"/>
        <w:rPr>
          <w:sz w:val="22"/>
        </w:rPr>
        <w:sectPr>
          <w:pgSz w:w="8790" w:h="12760"/>
          <w:pgMar w:header="697" w:footer="723" w:top="880" w:bottom="920" w:left="900" w:right="660"/>
        </w:sectPr>
      </w:pPr>
    </w:p>
    <w:p>
      <w:pPr>
        <w:spacing w:line="136" w:lineRule="exact" w:before="103"/>
        <w:ind w:left="700" w:right="18" w:firstLine="32"/>
        <w:jc w:val="center"/>
        <w:rPr>
          <w:rFonts w:ascii="Calibri" w:hAnsi="Calibri"/>
          <w:sz w:val="13"/>
        </w:rPr>
      </w:pPr>
      <w:r>
        <w:rPr/>
        <w:pict>
          <v:group style="position:absolute;margin-left:58.110168pt;margin-top:-6.827188pt;width:335.2pt;height:107.95pt;mso-position-horizontal-relative:page;mso-position-vertical-relative:paragraph;z-index:-253336" coordorigin="1162,-137" coordsize="6704,2159">
            <v:shape style="position:absolute;left:2878;top:60;width:581;height:1888" type="#_x0000_t75" stroked="false">
              <v:imagedata r:id="rId278" o:title=""/>
            </v:shape>
            <v:shape style="position:absolute;left:3316;top:-1;width:708;height:2011" type="#_x0000_t75" stroked="false">
              <v:imagedata r:id="rId279" o:title=""/>
            </v:shape>
            <v:shape style="position:absolute;left:3550;top:314;width:1470;height:1405" type="#_x0000_t75" stroked="false">
              <v:imagedata r:id="rId280" o:title=""/>
            </v:shape>
            <v:shape style="position:absolute;left:5556;top:27;width:745;height:1994" type="#_x0000_t75" stroked="false">
              <v:imagedata r:id="rId281" o:title=""/>
            </v:shape>
            <v:shape style="position:absolute;left:6170;top:121;width:577;height:1892" type="#_x0000_t75" stroked="false">
              <v:imagedata r:id="rId282" o:title=""/>
            </v:shape>
            <v:shape style="position:absolute;left:4684;top:314;width:1429;height:1364" type="#_x0000_t75" stroked="false">
              <v:imagedata r:id="rId283" o:title=""/>
            </v:shape>
            <v:shape style="position:absolute;left:1301;top:-137;width:1171;height:1192" type="#_x0000_t75" stroked="false">
              <v:imagedata r:id="rId284" o:title=""/>
            </v:shape>
            <v:shape style="position:absolute;left:1232;top:809;width:410;height:405" type="#_x0000_t75" stroked="false">
              <v:imagedata r:id="rId285" o:title=""/>
            </v:shape>
            <v:shape style="position:absolute;left:2378;top:302;width:246;height:250" type="#_x0000_t75" stroked="false">
              <v:imagedata r:id="rId286" o:title=""/>
            </v:shape>
            <v:shape style="position:absolute;left:2116;top:482;width:1163;height:1089" type="#_x0000_t75" stroked="false">
              <v:imagedata r:id="rId287" o:title=""/>
            </v:shape>
            <v:shape style="position:absolute;left:2342;top:1534;width:250;height:246" type="#_x0000_t75" stroked="false">
              <v:imagedata r:id="rId288" o:title=""/>
            </v:shape>
            <v:shape style="position:absolute;left:1162;top:863;width:1241;height:999" type="#_x0000_t75" stroked="false">
              <v:imagedata r:id="rId289" o:title=""/>
            </v:shape>
            <v:shape style="position:absolute;left:6281;top:232;width:1585;height:1581" type="#_x0000_t75" stroked="false">
              <v:imagedata r:id="rId290" o:title=""/>
            </v:shape>
            <w10:wrap type="none"/>
          </v:group>
        </w:pict>
      </w:r>
      <w:r>
        <w:rPr>
          <w:rFonts w:ascii="Calibri" w:hAnsi="Calibri"/>
          <w:w w:val="95"/>
          <w:sz w:val="13"/>
        </w:rPr>
        <w:t>Intereses </w:t>
      </w:r>
      <w:r>
        <w:rPr>
          <w:rFonts w:ascii="Calibri" w:hAnsi="Calibri"/>
          <w:w w:val="90"/>
          <w:sz w:val="13"/>
        </w:rPr>
        <w:t>económico</w:t>
      </w:r>
    </w:p>
    <w:p>
      <w:pPr>
        <w:spacing w:line="148" w:lineRule="exact" w:before="2"/>
        <w:ind w:left="0" w:right="251" w:firstLine="0"/>
        <w:jc w:val="right"/>
        <w:rPr>
          <w:rFonts w:ascii="Calibri"/>
          <w:sz w:val="13"/>
        </w:rPr>
      </w:pPr>
      <w:r>
        <w:rPr>
          <w:rFonts w:ascii="Calibri"/>
          <w:w w:val="120"/>
          <w:sz w:val="13"/>
        </w:rPr>
        <w:t>-</w:t>
      </w:r>
    </w:p>
    <w:p>
      <w:pPr>
        <w:spacing w:line="148" w:lineRule="exact" w:before="0"/>
        <w:ind w:left="660" w:right="-9" w:firstLine="0"/>
        <w:jc w:val="left"/>
        <w:rPr>
          <w:rFonts w:ascii="Calibri"/>
          <w:sz w:val="13"/>
        </w:rPr>
      </w:pPr>
      <w:r>
        <w:rPr>
          <w:rFonts w:ascii="Calibri"/>
          <w:w w:val="95"/>
          <w:sz w:val="13"/>
        </w:rPr>
        <w:t>comerciales</w:t>
      </w:r>
    </w:p>
    <w:p>
      <w:pPr>
        <w:pStyle w:val="BodyText"/>
        <w:rPr>
          <w:rFonts w:ascii="Calibri"/>
          <w:sz w:val="14"/>
        </w:rPr>
      </w:pPr>
    </w:p>
    <w:p>
      <w:pPr>
        <w:pStyle w:val="BodyText"/>
        <w:rPr>
          <w:rFonts w:ascii="Calibri"/>
          <w:sz w:val="14"/>
        </w:rPr>
      </w:pPr>
    </w:p>
    <w:p>
      <w:pPr>
        <w:pStyle w:val="BodyText"/>
        <w:spacing w:before="7"/>
        <w:rPr>
          <w:rFonts w:ascii="Calibri"/>
          <w:sz w:val="10"/>
        </w:rPr>
      </w:pPr>
    </w:p>
    <w:p>
      <w:pPr>
        <w:spacing w:line="136" w:lineRule="exact" w:before="0"/>
        <w:ind w:left="585" w:right="-9" w:firstLine="88"/>
        <w:jc w:val="left"/>
        <w:rPr>
          <w:rFonts w:ascii="Calibri" w:hAnsi="Calibri"/>
          <w:sz w:val="13"/>
        </w:rPr>
      </w:pPr>
      <w:r>
        <w:rPr>
          <w:rFonts w:ascii="Calibri" w:hAnsi="Calibri"/>
          <w:sz w:val="13"/>
        </w:rPr>
        <w:t>Intereses </w:t>
      </w:r>
      <w:r>
        <w:rPr>
          <w:rFonts w:ascii="Calibri" w:hAnsi="Calibri"/>
          <w:w w:val="95"/>
          <w:sz w:val="13"/>
        </w:rPr>
        <w:t>geopolítico-</w:t>
      </w:r>
    </w:p>
    <w:p>
      <w:pPr>
        <w:spacing w:before="18"/>
        <w:ind w:left="585" w:right="-9" w:firstLine="0"/>
        <w:jc w:val="left"/>
        <w:rPr>
          <w:rFonts w:ascii="Calibri" w:hAnsi="Calibri"/>
          <w:sz w:val="13"/>
        </w:rPr>
      </w:pPr>
      <w:r>
        <w:rPr>
          <w:rFonts w:ascii="Calibri" w:hAnsi="Calibri"/>
          <w:sz w:val="13"/>
        </w:rPr>
        <w:t>estratégicos</w:t>
      </w:r>
    </w:p>
    <w:p>
      <w:pPr>
        <w:pStyle w:val="BodyText"/>
        <w:rPr>
          <w:rFonts w:ascii="Calibri"/>
          <w:sz w:val="14"/>
        </w:rPr>
      </w:pPr>
      <w:r>
        <w:rPr/>
        <w:br w:type="column"/>
      </w:r>
      <w:r>
        <w:rPr>
          <w:rFonts w:ascii="Calibri"/>
          <w:sz w:val="14"/>
        </w:rPr>
      </w:r>
    </w:p>
    <w:p>
      <w:pPr>
        <w:pStyle w:val="BodyText"/>
        <w:rPr>
          <w:rFonts w:ascii="Calibri"/>
          <w:sz w:val="14"/>
        </w:rPr>
      </w:pPr>
    </w:p>
    <w:p>
      <w:pPr>
        <w:pStyle w:val="BodyText"/>
        <w:rPr>
          <w:rFonts w:ascii="Calibri"/>
          <w:sz w:val="14"/>
        </w:rPr>
      </w:pPr>
    </w:p>
    <w:p>
      <w:pPr>
        <w:pStyle w:val="BodyText"/>
        <w:spacing w:before="7"/>
        <w:rPr>
          <w:rFonts w:ascii="Calibri"/>
          <w:sz w:val="12"/>
        </w:rPr>
      </w:pPr>
    </w:p>
    <w:p>
      <w:pPr>
        <w:spacing w:line="216" w:lineRule="auto" w:before="0"/>
        <w:ind w:left="233" w:right="0" w:firstLine="19"/>
        <w:jc w:val="center"/>
        <w:rPr>
          <w:rFonts w:ascii="Calibri"/>
          <w:sz w:val="13"/>
        </w:rPr>
      </w:pPr>
      <w:r>
        <w:rPr>
          <w:rFonts w:ascii="Calibri"/>
          <w:sz w:val="13"/>
        </w:rPr>
        <w:t>Intereses partidistas vs     </w:t>
      </w:r>
      <w:r>
        <w:rPr>
          <w:rFonts w:ascii="Calibri"/>
          <w:w w:val="90"/>
          <w:sz w:val="13"/>
        </w:rPr>
        <w:t>bipartidistas</w:t>
      </w:r>
    </w:p>
    <w:p>
      <w:pPr>
        <w:pStyle w:val="BodyText"/>
        <w:rPr>
          <w:rFonts w:ascii="Calibri"/>
          <w:sz w:val="18"/>
        </w:rPr>
      </w:pPr>
      <w:r>
        <w:rPr/>
        <w:br w:type="column"/>
      </w:r>
      <w:r>
        <w:rPr>
          <w:rFonts w:ascii="Calibri"/>
          <w:sz w:val="18"/>
        </w:rPr>
      </w:r>
    </w:p>
    <w:p>
      <w:pPr>
        <w:pStyle w:val="BodyText"/>
        <w:spacing w:before="6"/>
        <w:rPr>
          <w:rFonts w:ascii="Calibri"/>
          <w:sz w:val="22"/>
        </w:rPr>
      </w:pPr>
    </w:p>
    <w:p>
      <w:pPr>
        <w:spacing w:line="218" w:lineRule="auto" w:before="0"/>
        <w:ind w:left="585" w:right="0" w:firstLine="0"/>
        <w:jc w:val="center"/>
        <w:rPr>
          <w:rFonts w:ascii="Calibri" w:hAnsi="Calibri"/>
          <w:sz w:val="18"/>
        </w:rPr>
      </w:pPr>
      <w:r>
        <w:rPr>
          <w:rFonts w:ascii="Calibri" w:hAnsi="Calibri"/>
          <w:w w:val="90"/>
          <w:sz w:val="18"/>
        </w:rPr>
        <w:t>Agenda </w:t>
      </w:r>
      <w:r>
        <w:rPr>
          <w:rFonts w:ascii="Calibri" w:hAnsi="Calibri"/>
          <w:sz w:val="18"/>
        </w:rPr>
        <w:t>de </w:t>
      </w:r>
      <w:r>
        <w:rPr>
          <w:rFonts w:ascii="Calibri" w:hAnsi="Calibri"/>
          <w:w w:val="90"/>
          <w:sz w:val="18"/>
        </w:rPr>
        <w:t>política interna</w:t>
      </w:r>
    </w:p>
    <w:p>
      <w:pPr>
        <w:spacing w:line="223" w:lineRule="auto" w:before="0"/>
        <w:ind w:left="558" w:right="0" w:firstLine="0"/>
        <w:jc w:val="center"/>
        <w:rPr>
          <w:rFonts w:ascii="Calibri"/>
          <w:sz w:val="12"/>
        </w:rPr>
      </w:pPr>
      <w:r>
        <w:rPr>
          <w:rFonts w:ascii="Calibri"/>
          <w:w w:val="90"/>
          <w:sz w:val="12"/>
        </w:rPr>
        <w:t>( domestic</w:t>
      </w:r>
      <w:r>
        <w:rPr>
          <w:rFonts w:ascii="Calibri"/>
          <w:w w:val="89"/>
          <w:sz w:val="12"/>
        </w:rPr>
        <w:t> </w:t>
      </w:r>
      <w:r>
        <w:rPr>
          <w:rFonts w:ascii="Calibri"/>
          <w:sz w:val="12"/>
        </w:rPr>
        <w:t>issues)</w:t>
      </w:r>
    </w:p>
    <w:p>
      <w:pPr>
        <w:pStyle w:val="BodyText"/>
        <w:rPr>
          <w:rFonts w:ascii="Calibri"/>
          <w:sz w:val="18"/>
        </w:rPr>
      </w:pPr>
      <w:r>
        <w:rPr/>
        <w:br w:type="column"/>
      </w:r>
      <w:r>
        <w:rPr>
          <w:rFonts w:ascii="Calibri"/>
          <w:sz w:val="18"/>
        </w:rPr>
      </w:r>
    </w:p>
    <w:p>
      <w:pPr>
        <w:pStyle w:val="BodyText"/>
        <w:rPr>
          <w:rFonts w:ascii="Calibri"/>
          <w:sz w:val="20"/>
        </w:rPr>
      </w:pPr>
    </w:p>
    <w:p>
      <w:pPr>
        <w:spacing w:line="218" w:lineRule="auto" w:before="0"/>
        <w:ind w:left="585" w:right="0" w:hanging="14"/>
        <w:jc w:val="center"/>
        <w:rPr>
          <w:rFonts w:ascii="Calibri" w:hAnsi="Calibri"/>
          <w:sz w:val="18"/>
        </w:rPr>
      </w:pPr>
      <w:r>
        <w:rPr>
          <w:rFonts w:ascii="Calibri" w:hAnsi="Calibri"/>
          <w:w w:val="95"/>
          <w:sz w:val="18"/>
        </w:rPr>
        <w:t>Agenda </w:t>
      </w:r>
      <w:r>
        <w:rPr>
          <w:rFonts w:ascii="Calibri" w:hAnsi="Calibri"/>
          <w:sz w:val="18"/>
        </w:rPr>
        <w:t>de </w:t>
      </w:r>
      <w:r>
        <w:rPr>
          <w:rFonts w:ascii="Calibri" w:hAnsi="Calibri"/>
          <w:w w:val="95"/>
          <w:sz w:val="18"/>
        </w:rPr>
        <w:t>política </w:t>
      </w:r>
      <w:r>
        <w:rPr>
          <w:rFonts w:ascii="Calibri" w:hAnsi="Calibri"/>
          <w:w w:val="90"/>
          <w:sz w:val="18"/>
        </w:rPr>
        <w:t>exterior</w:t>
      </w:r>
    </w:p>
    <w:p>
      <w:pPr>
        <w:spacing w:line="129" w:lineRule="exact" w:before="0"/>
        <w:ind w:left="660" w:right="60" w:firstLine="0"/>
        <w:jc w:val="center"/>
        <w:rPr>
          <w:rFonts w:ascii="Calibri"/>
          <w:sz w:val="12"/>
        </w:rPr>
      </w:pPr>
      <w:r>
        <w:rPr>
          <w:rFonts w:ascii="Calibri"/>
          <w:w w:val="85"/>
          <w:sz w:val="12"/>
        </w:rPr>
        <w:t>( foreign</w:t>
      </w:r>
    </w:p>
    <w:p>
      <w:pPr>
        <w:spacing w:line="157" w:lineRule="exact" w:before="0"/>
        <w:ind w:left="665" w:right="36" w:firstLine="0"/>
        <w:jc w:val="center"/>
        <w:rPr>
          <w:rFonts w:ascii="Calibri"/>
          <w:sz w:val="13"/>
        </w:rPr>
      </w:pPr>
      <w:r>
        <w:rPr>
          <w:rFonts w:ascii="Calibri"/>
          <w:sz w:val="12"/>
        </w:rPr>
        <w:t>issues</w:t>
      </w:r>
      <w:r>
        <w:rPr>
          <w:rFonts w:ascii="Calibri"/>
          <w:sz w:val="13"/>
        </w:rPr>
        <w:t>)</w:t>
      </w:r>
    </w:p>
    <w:p>
      <w:pPr>
        <w:pStyle w:val="BodyText"/>
        <w:rPr>
          <w:rFonts w:ascii="Calibri"/>
          <w:sz w:val="18"/>
        </w:rPr>
      </w:pPr>
      <w:r>
        <w:rPr/>
        <w:br w:type="column"/>
      </w:r>
      <w:r>
        <w:rPr>
          <w:rFonts w:ascii="Calibri"/>
          <w:sz w:val="18"/>
        </w:rPr>
      </w:r>
    </w:p>
    <w:p>
      <w:pPr>
        <w:pStyle w:val="BodyText"/>
        <w:rPr>
          <w:rFonts w:ascii="Calibri"/>
          <w:sz w:val="18"/>
        </w:rPr>
      </w:pPr>
    </w:p>
    <w:p>
      <w:pPr>
        <w:pStyle w:val="BodyText"/>
        <w:spacing w:before="7"/>
        <w:rPr>
          <w:rFonts w:ascii="Calibri"/>
          <w:sz w:val="14"/>
        </w:rPr>
      </w:pPr>
    </w:p>
    <w:p>
      <w:pPr>
        <w:spacing w:line="188" w:lineRule="exact" w:before="0"/>
        <w:ind w:left="585" w:right="710" w:firstLine="17"/>
        <w:jc w:val="center"/>
        <w:rPr>
          <w:rFonts w:ascii="Calibri" w:hAnsi="Calibri"/>
          <w:sz w:val="18"/>
        </w:rPr>
      </w:pPr>
      <w:r>
        <w:rPr>
          <w:rFonts w:ascii="Calibri" w:hAnsi="Calibri"/>
          <w:w w:val="90"/>
          <w:sz w:val="18"/>
        </w:rPr>
        <w:t>Intereses de política </w:t>
      </w:r>
      <w:r>
        <w:rPr>
          <w:rFonts w:ascii="Calibri" w:hAnsi="Calibri"/>
          <w:w w:val="95"/>
          <w:sz w:val="18"/>
        </w:rPr>
        <w:t>exterior </w:t>
      </w:r>
      <w:r>
        <w:rPr>
          <w:rFonts w:ascii="Calibri" w:hAnsi="Calibri"/>
          <w:w w:val="90"/>
          <w:sz w:val="18"/>
        </w:rPr>
        <w:t>por región</w:t>
      </w:r>
    </w:p>
    <w:p>
      <w:pPr>
        <w:spacing w:after="0" w:line="188" w:lineRule="exact"/>
        <w:jc w:val="center"/>
        <w:rPr>
          <w:rFonts w:ascii="Calibri" w:hAnsi="Calibri"/>
          <w:sz w:val="18"/>
        </w:rPr>
        <w:sectPr>
          <w:type w:val="continuous"/>
          <w:pgSz w:w="8790" w:h="12760"/>
          <w:pgMar w:top="360" w:bottom="280" w:left="900" w:right="660"/>
          <w:cols w:num="5" w:equalWidth="0">
            <w:col w:w="1270" w:space="40"/>
            <w:col w:w="850" w:space="345"/>
            <w:col w:w="1107" w:space="41"/>
            <w:col w:w="1121" w:space="469"/>
            <w:col w:w="1987"/>
          </w:cols>
        </w:sectPr>
      </w:pPr>
    </w:p>
    <w:p>
      <w:pPr>
        <w:pStyle w:val="BodyText"/>
        <w:spacing w:before="2"/>
        <w:rPr>
          <w:rFonts w:ascii="Calibri"/>
          <w:sz w:val="18"/>
        </w:rPr>
      </w:pPr>
    </w:p>
    <w:p>
      <w:pPr>
        <w:spacing w:after="0"/>
        <w:rPr>
          <w:rFonts w:ascii="Calibri"/>
          <w:sz w:val="18"/>
        </w:rPr>
        <w:sectPr>
          <w:type w:val="continuous"/>
          <w:pgSz w:w="8790" w:h="12760"/>
          <w:pgMar w:top="360" w:bottom="280" w:left="900" w:right="660"/>
        </w:sectPr>
      </w:pPr>
    </w:p>
    <w:p>
      <w:pPr>
        <w:pStyle w:val="BodyText"/>
        <w:spacing w:before="2"/>
        <w:rPr>
          <w:rFonts w:ascii="Calibri"/>
          <w:sz w:val="17"/>
        </w:rPr>
      </w:pPr>
    </w:p>
    <w:p>
      <w:pPr>
        <w:pStyle w:val="Heading7"/>
        <w:spacing w:line="204" w:lineRule="exact" w:before="1"/>
        <w:ind w:left="559" w:firstLine="466"/>
        <w:rPr>
          <w:rFonts w:ascii="Arial" w:hAnsi="Arial"/>
        </w:rPr>
      </w:pPr>
      <w:r>
        <w:rPr>
          <w:rFonts w:ascii="Arial" w:hAnsi="Arial"/>
        </w:rPr>
        <w:t>Élites </w:t>
      </w:r>
      <w:r>
        <w:rPr>
          <w:rFonts w:ascii="Arial" w:hAnsi="Arial"/>
          <w:w w:val="85"/>
        </w:rPr>
        <w:t>estadounidenses</w:t>
      </w:r>
    </w:p>
    <w:p>
      <w:pPr>
        <w:spacing w:line="256" w:lineRule="exact" w:before="90"/>
        <w:ind w:left="619" w:right="0" w:hanging="60"/>
        <w:jc w:val="left"/>
        <w:rPr>
          <w:rFonts w:ascii="Arial"/>
          <w:sz w:val="24"/>
        </w:rPr>
      </w:pPr>
      <w:r>
        <w:rPr/>
        <w:br w:type="column"/>
      </w:r>
      <w:r>
        <w:rPr>
          <w:rFonts w:ascii="Arial"/>
          <w:w w:val="80"/>
          <w:sz w:val="24"/>
        </w:rPr>
        <w:t>Estados </w:t>
      </w:r>
      <w:r>
        <w:rPr>
          <w:rFonts w:ascii="Arial"/>
          <w:w w:val="85"/>
          <w:sz w:val="24"/>
        </w:rPr>
        <w:t>Unidos</w:t>
      </w:r>
    </w:p>
    <w:p>
      <w:pPr>
        <w:pStyle w:val="BodyText"/>
        <w:spacing w:before="7"/>
        <w:rPr>
          <w:rFonts w:ascii="Arial"/>
          <w:sz w:val="18"/>
        </w:rPr>
      </w:pPr>
      <w:r>
        <w:rPr/>
        <w:br w:type="column"/>
      </w:r>
      <w:r>
        <w:rPr>
          <w:rFonts w:ascii="Arial"/>
          <w:sz w:val="18"/>
        </w:rPr>
      </w:r>
    </w:p>
    <w:p>
      <w:pPr>
        <w:spacing w:line="204" w:lineRule="exact" w:before="0"/>
        <w:ind w:left="565" w:right="0" w:hanging="6"/>
        <w:jc w:val="left"/>
        <w:rPr>
          <w:rFonts w:ascii="Arial"/>
          <w:sz w:val="20"/>
        </w:rPr>
      </w:pPr>
      <w:r>
        <w:rPr>
          <w:rFonts w:ascii="Arial"/>
          <w:w w:val="85"/>
          <w:sz w:val="20"/>
        </w:rPr>
        <w:t>Hemisferio Occidental</w:t>
      </w:r>
    </w:p>
    <w:p>
      <w:pPr>
        <w:spacing w:after="0" w:line="204" w:lineRule="exact"/>
        <w:jc w:val="left"/>
        <w:rPr>
          <w:rFonts w:ascii="Arial"/>
          <w:sz w:val="20"/>
        </w:rPr>
        <w:sectPr>
          <w:type w:val="continuous"/>
          <w:pgSz w:w="8790" w:h="12760"/>
          <w:pgMar w:top="360" w:bottom="280" w:left="900" w:right="660"/>
          <w:cols w:num="3" w:equalWidth="0">
            <w:col w:w="1890" w:space="1103"/>
            <w:col w:w="1281" w:space="1077"/>
            <w:col w:w="1879"/>
          </w:cols>
        </w:sectPr>
      </w:pPr>
    </w:p>
    <w:p>
      <w:pPr>
        <w:pStyle w:val="BodyText"/>
        <w:rPr>
          <w:rFonts w:ascii="Arial"/>
          <w:sz w:val="11"/>
        </w:rPr>
      </w:pPr>
    </w:p>
    <w:p>
      <w:pPr>
        <w:pStyle w:val="BodyText"/>
        <w:spacing w:line="20" w:lineRule="exact"/>
        <w:ind w:left="110"/>
        <w:rPr>
          <w:rFonts w:ascii="Arial"/>
          <w:sz w:val="2"/>
        </w:rPr>
      </w:pPr>
      <w:r>
        <w:rPr>
          <w:rFonts w:ascii="Arial"/>
          <w:sz w:val="2"/>
        </w:rPr>
        <w:pict>
          <v:group style="width:350.25pt;height:1pt;mso-position-horizontal-relative:char;mso-position-vertical-relative:line" coordorigin="0,0" coordsize="7005,20">
            <v:line style="position:absolute" from="10,10" to="6995,10" stroked="true" strokeweight="1pt" strokecolor="#000000"/>
          </v:group>
        </w:pict>
      </w:r>
      <w:r>
        <w:rPr>
          <w:rFonts w:ascii="Arial"/>
          <w:sz w:val="2"/>
        </w:rPr>
      </w:r>
    </w:p>
    <w:p>
      <w:pPr>
        <w:spacing w:before="57"/>
        <w:ind w:left="120" w:right="0" w:firstLine="0"/>
        <w:jc w:val="both"/>
        <w:rPr>
          <w:rFonts w:ascii="Arial" w:hAnsi="Arial"/>
          <w:sz w:val="14"/>
        </w:rPr>
      </w:pPr>
      <w:r>
        <w:rPr>
          <w:rFonts w:ascii="Arial" w:hAnsi="Arial"/>
          <w:w w:val="80"/>
          <w:sz w:val="14"/>
        </w:rPr>
        <w:t>Fuente: elaboración  propia</w:t>
      </w:r>
    </w:p>
    <w:p>
      <w:pPr>
        <w:pStyle w:val="BodyText"/>
        <w:rPr>
          <w:rFonts w:ascii="Arial"/>
          <w:sz w:val="14"/>
        </w:rPr>
      </w:pPr>
    </w:p>
    <w:p>
      <w:pPr>
        <w:pStyle w:val="BodyText"/>
        <w:spacing w:before="6"/>
        <w:rPr>
          <w:rFonts w:ascii="Arial"/>
          <w:sz w:val="20"/>
        </w:rPr>
      </w:pPr>
    </w:p>
    <w:p>
      <w:pPr>
        <w:pStyle w:val="BodyText"/>
        <w:spacing w:line="252" w:lineRule="auto" w:before="1"/>
        <w:ind w:left="120" w:right="868"/>
        <w:jc w:val="both"/>
      </w:pPr>
      <w:r>
        <w:rPr>
          <w:w w:val="110"/>
        </w:rPr>
        <w:t>En el diagrama </w:t>
      </w:r>
      <w:r>
        <w:rPr>
          <w:spacing w:val="-3"/>
          <w:w w:val="110"/>
        </w:rPr>
        <w:t>anterior, </w:t>
      </w:r>
      <w:r>
        <w:rPr>
          <w:w w:val="110"/>
        </w:rPr>
        <w:t>tanto las intersecciones como la falta de co- nexión entre algunas de las esferas –entendiendo éstas como grupos o unidades diferenciadas– reflejan de manera sencilla y esquemática el conflicto de intereses que se generan entre las diversas agendas</w:t>
      </w:r>
      <w:r>
        <w:rPr>
          <w:spacing w:val="-22"/>
          <w:w w:val="110"/>
        </w:rPr>
        <w:t> </w:t>
      </w:r>
      <w:r>
        <w:rPr>
          <w:w w:val="110"/>
        </w:rPr>
        <w:t>según el tipo de actores, intereses y ámbitos de toma de decisiones. de</w:t>
      </w:r>
      <w:r>
        <w:rPr>
          <w:spacing w:val="-29"/>
          <w:w w:val="110"/>
        </w:rPr>
        <w:t> </w:t>
      </w:r>
      <w:r>
        <w:rPr>
          <w:spacing w:val="-3"/>
          <w:w w:val="110"/>
        </w:rPr>
        <w:t>acuer- </w:t>
      </w:r>
      <w:r>
        <w:rPr>
          <w:w w:val="110"/>
        </w:rPr>
        <w:t>do al modelo de Putman, podemos interpretar que las negociaciones   y los acuerdos en el “mercado político” reflejan en ocasiones mayores ganancias en el ámbito interno (</w:t>
      </w:r>
      <w:r>
        <w:rPr>
          <w:i/>
          <w:w w:val="110"/>
        </w:rPr>
        <w:t>domestic distributional consequences</w:t>
      </w:r>
      <w:r>
        <w:rPr>
          <w:w w:val="110"/>
        </w:rPr>
        <w:t>) más que en el externo y viceversa, todo dependerá del tema, </w:t>
      </w:r>
      <w:r>
        <w:rPr>
          <w:spacing w:val="-4"/>
          <w:w w:val="110"/>
        </w:rPr>
        <w:t>actor,</w:t>
      </w:r>
      <w:r>
        <w:rPr>
          <w:spacing w:val="-22"/>
          <w:w w:val="110"/>
        </w:rPr>
        <w:t> </w:t>
      </w:r>
      <w:r>
        <w:rPr>
          <w:w w:val="110"/>
        </w:rPr>
        <w:t>ins- titución y nivel de análisis como ya hemos mencionado anteriormen- te.</w:t>
      </w:r>
      <w:r>
        <w:rPr>
          <w:spacing w:val="-5"/>
          <w:w w:val="110"/>
        </w:rPr>
        <w:t> </w:t>
      </w:r>
      <w:r>
        <w:rPr>
          <w:w w:val="110"/>
        </w:rPr>
        <w:t>al</w:t>
      </w:r>
      <w:r>
        <w:rPr>
          <w:spacing w:val="-5"/>
          <w:w w:val="110"/>
        </w:rPr>
        <w:t> </w:t>
      </w:r>
      <w:r>
        <w:rPr>
          <w:w w:val="110"/>
        </w:rPr>
        <w:t>respecto,</w:t>
      </w:r>
      <w:r>
        <w:rPr>
          <w:spacing w:val="-5"/>
          <w:w w:val="110"/>
        </w:rPr>
        <w:t> </w:t>
      </w:r>
      <w:r>
        <w:rPr>
          <w:w w:val="110"/>
        </w:rPr>
        <w:t>se</w:t>
      </w:r>
      <w:r>
        <w:rPr>
          <w:spacing w:val="-5"/>
          <w:w w:val="110"/>
        </w:rPr>
        <w:t> </w:t>
      </w:r>
      <w:r>
        <w:rPr>
          <w:w w:val="110"/>
        </w:rPr>
        <w:t>puede</w:t>
      </w:r>
      <w:r>
        <w:rPr>
          <w:spacing w:val="-5"/>
          <w:w w:val="110"/>
        </w:rPr>
        <w:t> </w:t>
      </w:r>
      <w:r>
        <w:rPr>
          <w:w w:val="110"/>
        </w:rPr>
        <w:t>agregar</w:t>
      </w:r>
      <w:r>
        <w:rPr>
          <w:spacing w:val="-5"/>
          <w:w w:val="110"/>
        </w:rPr>
        <w:t> </w:t>
      </w:r>
      <w:r>
        <w:rPr>
          <w:w w:val="110"/>
        </w:rPr>
        <w:t>que</w:t>
      </w:r>
      <w:r>
        <w:rPr>
          <w:spacing w:val="-5"/>
          <w:w w:val="110"/>
        </w:rPr>
        <w:t> </w:t>
      </w:r>
      <w:r>
        <w:rPr>
          <w:w w:val="110"/>
        </w:rPr>
        <w:t>la</w:t>
      </w:r>
      <w:r>
        <w:rPr>
          <w:spacing w:val="-5"/>
          <w:w w:val="110"/>
        </w:rPr>
        <w:t> </w:t>
      </w:r>
      <w:r>
        <w:rPr>
          <w:w w:val="110"/>
        </w:rPr>
        <w:t>creación</w:t>
      </w:r>
      <w:r>
        <w:rPr>
          <w:spacing w:val="-5"/>
          <w:w w:val="110"/>
        </w:rPr>
        <w:t> </w:t>
      </w:r>
      <w:r>
        <w:rPr>
          <w:w w:val="110"/>
        </w:rPr>
        <w:t>de</w:t>
      </w:r>
      <w:r>
        <w:rPr>
          <w:spacing w:val="-5"/>
          <w:w w:val="110"/>
        </w:rPr>
        <w:t> </w:t>
      </w:r>
      <w:r>
        <w:rPr>
          <w:w w:val="110"/>
        </w:rPr>
        <w:t>ciertos</w:t>
      </w:r>
      <w:r>
        <w:rPr>
          <w:spacing w:val="-5"/>
          <w:w w:val="110"/>
        </w:rPr>
        <w:t> </w:t>
      </w:r>
      <w:r>
        <w:rPr>
          <w:w w:val="110"/>
        </w:rPr>
        <w:t>acuerdos</w:t>
      </w:r>
      <w:r>
        <w:rPr>
          <w:spacing w:val="-5"/>
          <w:w w:val="110"/>
        </w:rPr>
        <w:t> </w:t>
      </w:r>
      <w:r>
        <w:rPr>
          <w:w w:val="110"/>
        </w:rPr>
        <w:t>de cooperación implica esquemas de ganadores y perdedores internos </w:t>
      </w:r>
      <w:r>
        <w:rPr>
          <w:spacing w:val="-11"/>
          <w:w w:val="110"/>
        </w:rPr>
        <w:t>y, </w:t>
      </w:r>
      <w:r>
        <w:rPr>
          <w:w w:val="110"/>
        </w:rPr>
        <w:t>por</w:t>
      </w:r>
      <w:r>
        <w:rPr>
          <w:spacing w:val="-4"/>
          <w:w w:val="110"/>
        </w:rPr>
        <w:t> </w:t>
      </w:r>
      <w:r>
        <w:rPr>
          <w:w w:val="110"/>
        </w:rPr>
        <w:t>lo</w:t>
      </w:r>
      <w:r>
        <w:rPr>
          <w:spacing w:val="-4"/>
          <w:w w:val="110"/>
        </w:rPr>
        <w:t> </w:t>
      </w:r>
      <w:r>
        <w:rPr>
          <w:w w:val="110"/>
        </w:rPr>
        <w:t>tanto,</w:t>
      </w:r>
      <w:r>
        <w:rPr>
          <w:spacing w:val="-4"/>
          <w:w w:val="110"/>
        </w:rPr>
        <w:t> </w:t>
      </w:r>
      <w:r>
        <w:rPr>
          <w:w w:val="110"/>
        </w:rPr>
        <w:t>de</w:t>
      </w:r>
      <w:r>
        <w:rPr>
          <w:spacing w:val="-4"/>
          <w:w w:val="110"/>
        </w:rPr>
        <w:t> </w:t>
      </w:r>
      <w:r>
        <w:rPr>
          <w:w w:val="110"/>
        </w:rPr>
        <w:t>actores</w:t>
      </w:r>
      <w:r>
        <w:rPr>
          <w:spacing w:val="-4"/>
          <w:w w:val="110"/>
        </w:rPr>
        <w:t> </w:t>
      </w:r>
      <w:r>
        <w:rPr>
          <w:w w:val="110"/>
        </w:rPr>
        <w:t>a</w:t>
      </w:r>
      <w:r>
        <w:rPr>
          <w:spacing w:val="-4"/>
          <w:w w:val="110"/>
        </w:rPr>
        <w:t> </w:t>
      </w:r>
      <w:r>
        <w:rPr>
          <w:w w:val="110"/>
        </w:rPr>
        <w:t>favor</w:t>
      </w:r>
      <w:r>
        <w:rPr>
          <w:spacing w:val="-4"/>
          <w:w w:val="110"/>
        </w:rPr>
        <w:t> </w:t>
      </w:r>
      <w:r>
        <w:rPr>
          <w:w w:val="110"/>
        </w:rPr>
        <w:t>(</w:t>
      </w:r>
      <w:r>
        <w:rPr>
          <w:i/>
          <w:w w:val="110"/>
        </w:rPr>
        <w:t>supporters</w:t>
      </w:r>
      <w:r>
        <w:rPr>
          <w:w w:val="110"/>
        </w:rPr>
        <w:t>)</w:t>
      </w:r>
      <w:r>
        <w:rPr>
          <w:spacing w:val="-4"/>
          <w:w w:val="110"/>
        </w:rPr>
        <w:t> </w:t>
      </w:r>
      <w:r>
        <w:rPr>
          <w:w w:val="110"/>
        </w:rPr>
        <w:t>y</w:t>
      </w:r>
      <w:r>
        <w:rPr>
          <w:spacing w:val="-4"/>
          <w:w w:val="110"/>
        </w:rPr>
        <w:t> </w:t>
      </w:r>
      <w:r>
        <w:rPr>
          <w:w w:val="110"/>
        </w:rPr>
        <w:t>en</w:t>
      </w:r>
      <w:r>
        <w:rPr>
          <w:spacing w:val="-4"/>
          <w:w w:val="110"/>
        </w:rPr>
        <w:t> </w:t>
      </w:r>
      <w:r>
        <w:rPr>
          <w:w w:val="110"/>
        </w:rPr>
        <w:t>contra</w:t>
      </w:r>
      <w:r>
        <w:rPr>
          <w:spacing w:val="-4"/>
          <w:w w:val="110"/>
        </w:rPr>
        <w:t> </w:t>
      </w:r>
      <w:r>
        <w:rPr>
          <w:w w:val="110"/>
        </w:rPr>
        <w:t>(</w:t>
      </w:r>
      <w:r>
        <w:rPr>
          <w:i/>
          <w:w w:val="110"/>
        </w:rPr>
        <w:t>opponents</w:t>
      </w:r>
      <w:r>
        <w:rPr>
          <w:w w:val="110"/>
        </w:rPr>
        <w:t>)</w:t>
      </w:r>
      <w:r>
        <w:rPr>
          <w:spacing w:val="-4"/>
          <w:w w:val="110"/>
        </w:rPr>
        <w:t> </w:t>
      </w:r>
      <w:r>
        <w:rPr>
          <w:w w:val="110"/>
        </w:rPr>
        <w:t>de modo que la lucha interna que se generará entre estos actores impac- tará en la formulación de acuerdos futuros tanto en lo nacional como en lo</w:t>
      </w:r>
      <w:r>
        <w:rPr>
          <w:spacing w:val="35"/>
          <w:w w:val="110"/>
        </w:rPr>
        <w:t> </w:t>
      </w:r>
      <w:r>
        <w:rPr>
          <w:w w:val="110"/>
        </w:rPr>
        <w:t>internacional.</w:t>
      </w:r>
    </w:p>
    <w:p>
      <w:pPr>
        <w:pStyle w:val="BodyText"/>
        <w:spacing w:before="10"/>
        <w:rPr>
          <w:sz w:val="28"/>
        </w:rPr>
      </w:pPr>
      <w:r>
        <w:rPr/>
        <w:pict>
          <v:line style="position:absolute;mso-position-horizontal-relative:page;mso-position-vertical-relative:paragraph;z-index:5248;mso-wrap-distance-left:0;mso-wrap-distance-right:0" from="51.023602pt,19.16003pt" to="79.369602pt,19.16003pt" stroked="true" strokeweight=".5pt" strokecolor="#000000">
            <w10:wrap type="topAndBottom"/>
          </v:line>
        </w:pict>
      </w:r>
    </w:p>
    <w:p>
      <w:pPr>
        <w:pStyle w:val="ListParagraph"/>
        <w:numPr>
          <w:ilvl w:val="1"/>
          <w:numId w:val="12"/>
        </w:numPr>
        <w:tabs>
          <w:tab w:pos="376" w:val="left" w:leader="none"/>
        </w:tabs>
        <w:spacing w:line="242" w:lineRule="auto" w:before="89" w:after="0"/>
        <w:ind w:left="120" w:right="868" w:firstLine="0"/>
        <w:jc w:val="both"/>
        <w:rPr>
          <w:sz w:val="16"/>
        </w:rPr>
      </w:pPr>
      <w:r>
        <w:rPr>
          <w:w w:val="110"/>
          <w:sz w:val="16"/>
        </w:rPr>
        <w:t>Para profundizar en la discusión conceptual y teórica respecto a los aportes que brinda</w:t>
      </w:r>
      <w:r>
        <w:rPr>
          <w:spacing w:val="-7"/>
          <w:w w:val="110"/>
          <w:sz w:val="16"/>
        </w:rPr>
        <w:t> </w:t>
      </w:r>
      <w:r>
        <w:rPr>
          <w:w w:val="110"/>
          <w:sz w:val="16"/>
        </w:rPr>
        <w:t>el</w:t>
      </w:r>
      <w:r>
        <w:rPr>
          <w:spacing w:val="-7"/>
          <w:w w:val="110"/>
          <w:sz w:val="16"/>
        </w:rPr>
        <w:t> </w:t>
      </w:r>
      <w:r>
        <w:rPr>
          <w:w w:val="110"/>
          <w:sz w:val="16"/>
        </w:rPr>
        <w:t>enfoque</w:t>
      </w:r>
      <w:r>
        <w:rPr>
          <w:spacing w:val="-7"/>
          <w:w w:val="110"/>
          <w:sz w:val="16"/>
        </w:rPr>
        <w:t> </w:t>
      </w:r>
      <w:r>
        <w:rPr>
          <w:i/>
          <w:w w:val="110"/>
          <w:sz w:val="16"/>
        </w:rPr>
        <w:t>two-level</w:t>
      </w:r>
      <w:r>
        <w:rPr>
          <w:i/>
          <w:spacing w:val="-7"/>
          <w:w w:val="110"/>
          <w:sz w:val="16"/>
        </w:rPr>
        <w:t> </w:t>
      </w:r>
      <w:r>
        <w:rPr>
          <w:i/>
          <w:w w:val="110"/>
          <w:sz w:val="16"/>
        </w:rPr>
        <w:t>games</w:t>
      </w:r>
      <w:r>
        <w:rPr>
          <w:i/>
          <w:spacing w:val="-7"/>
          <w:w w:val="110"/>
          <w:sz w:val="16"/>
        </w:rPr>
        <w:t> </w:t>
      </w:r>
      <w:r>
        <w:rPr>
          <w:w w:val="110"/>
          <w:sz w:val="16"/>
        </w:rPr>
        <w:t>al</w:t>
      </w:r>
      <w:r>
        <w:rPr>
          <w:spacing w:val="-7"/>
          <w:w w:val="110"/>
          <w:sz w:val="16"/>
        </w:rPr>
        <w:t> </w:t>
      </w:r>
      <w:r>
        <w:rPr>
          <w:w w:val="110"/>
          <w:sz w:val="16"/>
        </w:rPr>
        <w:t>análisis</w:t>
      </w:r>
      <w:r>
        <w:rPr>
          <w:spacing w:val="-7"/>
          <w:w w:val="110"/>
          <w:sz w:val="16"/>
        </w:rPr>
        <w:t> </w:t>
      </w:r>
      <w:r>
        <w:rPr>
          <w:w w:val="110"/>
          <w:sz w:val="16"/>
        </w:rPr>
        <w:t>de</w:t>
      </w:r>
      <w:r>
        <w:rPr>
          <w:spacing w:val="-7"/>
          <w:w w:val="110"/>
          <w:sz w:val="16"/>
        </w:rPr>
        <w:t> </w:t>
      </w:r>
      <w:r>
        <w:rPr>
          <w:w w:val="110"/>
          <w:sz w:val="16"/>
        </w:rPr>
        <w:t>las</w:t>
      </w:r>
      <w:r>
        <w:rPr>
          <w:spacing w:val="-7"/>
          <w:w w:val="110"/>
          <w:sz w:val="16"/>
        </w:rPr>
        <w:t> </w:t>
      </w:r>
      <w:r>
        <w:rPr>
          <w:w w:val="110"/>
          <w:sz w:val="16"/>
        </w:rPr>
        <w:t>relaciones</w:t>
      </w:r>
      <w:r>
        <w:rPr>
          <w:spacing w:val="-7"/>
          <w:w w:val="110"/>
          <w:sz w:val="16"/>
        </w:rPr>
        <w:t> </w:t>
      </w:r>
      <w:r>
        <w:rPr>
          <w:w w:val="110"/>
          <w:sz w:val="16"/>
        </w:rPr>
        <w:t>internacionales,</w:t>
      </w:r>
      <w:r>
        <w:rPr>
          <w:spacing w:val="-7"/>
          <w:w w:val="110"/>
          <w:sz w:val="16"/>
        </w:rPr>
        <w:t> </w:t>
      </w:r>
      <w:r>
        <w:rPr>
          <w:w w:val="110"/>
          <w:sz w:val="16"/>
        </w:rPr>
        <w:t>se</w:t>
      </w:r>
      <w:r>
        <w:rPr>
          <w:spacing w:val="-7"/>
          <w:w w:val="110"/>
          <w:sz w:val="16"/>
        </w:rPr>
        <w:t> </w:t>
      </w:r>
      <w:r>
        <w:rPr>
          <w:w w:val="110"/>
          <w:sz w:val="16"/>
        </w:rPr>
        <w:t>su- giere la lectura de los siguientes autores: </w:t>
      </w:r>
      <w:r>
        <w:rPr>
          <w:spacing w:val="-3"/>
          <w:w w:val="110"/>
          <w:sz w:val="16"/>
        </w:rPr>
        <w:t>Mayer, </w:t>
      </w:r>
      <w:r>
        <w:rPr>
          <w:w w:val="110"/>
          <w:sz w:val="16"/>
        </w:rPr>
        <w:t>1992; iida, 1993ª, alt y</w:t>
      </w:r>
      <w:r>
        <w:rPr>
          <w:spacing w:val="-10"/>
          <w:w w:val="110"/>
          <w:sz w:val="16"/>
        </w:rPr>
        <w:t> </w:t>
      </w:r>
      <w:r>
        <w:rPr>
          <w:w w:val="110"/>
          <w:sz w:val="16"/>
        </w:rPr>
        <w:t>Eichengren, </w:t>
      </w:r>
      <w:r>
        <w:rPr>
          <w:w w:val="100"/>
          <w:sz w:val="16"/>
        </w:rPr>
        <w:t>1989;</w:t>
      </w:r>
      <w:r>
        <w:rPr>
          <w:spacing w:val="9"/>
          <w:sz w:val="16"/>
        </w:rPr>
        <w:t> </w:t>
      </w:r>
      <w:r>
        <w:rPr>
          <w:w w:val="114"/>
          <w:sz w:val="16"/>
        </w:rPr>
        <w:t>Mo</w:t>
      </w:r>
      <w:r>
        <w:rPr>
          <w:spacing w:val="9"/>
          <w:sz w:val="16"/>
        </w:rPr>
        <w:t> </w:t>
      </w:r>
      <w:r>
        <w:rPr>
          <w:spacing w:val="-15"/>
          <w:w w:val="191"/>
          <w:sz w:val="16"/>
        </w:rPr>
        <w:t>t</w:t>
      </w:r>
      <w:r>
        <w:rPr>
          <w:w w:val="107"/>
          <w:sz w:val="16"/>
        </w:rPr>
        <w:t>sebelis,</w:t>
      </w:r>
      <w:r>
        <w:rPr>
          <w:spacing w:val="9"/>
          <w:sz w:val="16"/>
        </w:rPr>
        <w:t> </w:t>
      </w:r>
      <w:r>
        <w:rPr>
          <w:w w:val="100"/>
          <w:sz w:val="16"/>
        </w:rPr>
        <w:t>1990;</w:t>
      </w:r>
      <w:r>
        <w:rPr>
          <w:spacing w:val="9"/>
          <w:sz w:val="16"/>
        </w:rPr>
        <w:t> </w:t>
      </w:r>
      <w:r>
        <w:rPr>
          <w:w w:val="238"/>
          <w:sz w:val="16"/>
        </w:rPr>
        <w:t>l</w:t>
      </w:r>
      <w:r>
        <w:rPr>
          <w:w w:val="111"/>
          <w:sz w:val="16"/>
        </w:rPr>
        <w:t>ohmann,</w:t>
      </w:r>
      <w:r>
        <w:rPr>
          <w:spacing w:val="9"/>
          <w:sz w:val="16"/>
        </w:rPr>
        <w:t> </w:t>
      </w:r>
      <w:r>
        <w:rPr>
          <w:w w:val="100"/>
          <w:sz w:val="16"/>
        </w:rPr>
        <w:t>1993;</w:t>
      </w:r>
      <w:r>
        <w:rPr>
          <w:spacing w:val="9"/>
          <w:sz w:val="16"/>
        </w:rPr>
        <w:t> </w:t>
      </w:r>
      <w:r>
        <w:rPr>
          <w:w w:val="109"/>
          <w:sz w:val="16"/>
        </w:rPr>
        <w:t>Pahre,</w:t>
      </w:r>
      <w:r>
        <w:rPr>
          <w:spacing w:val="9"/>
          <w:sz w:val="16"/>
        </w:rPr>
        <w:t> </w:t>
      </w:r>
      <w:r>
        <w:rPr>
          <w:w w:val="100"/>
          <w:sz w:val="16"/>
        </w:rPr>
        <w:t>1994;</w:t>
      </w:r>
      <w:r>
        <w:rPr>
          <w:spacing w:val="9"/>
          <w:sz w:val="16"/>
        </w:rPr>
        <w:t> </w:t>
      </w:r>
      <w:r>
        <w:rPr>
          <w:w w:val="136"/>
          <w:sz w:val="16"/>
        </w:rPr>
        <w:t>d</w:t>
      </w:r>
      <w:r>
        <w:rPr>
          <w:w w:val="105"/>
          <w:sz w:val="16"/>
        </w:rPr>
        <w:t>owns</w:t>
      </w:r>
      <w:r>
        <w:rPr>
          <w:spacing w:val="9"/>
          <w:sz w:val="16"/>
        </w:rPr>
        <w:t> </w:t>
      </w:r>
      <w:r>
        <w:rPr>
          <w:w w:val="108"/>
          <w:sz w:val="16"/>
        </w:rPr>
        <w:t>and</w:t>
      </w:r>
      <w:r>
        <w:rPr>
          <w:spacing w:val="9"/>
          <w:sz w:val="16"/>
        </w:rPr>
        <w:t> </w:t>
      </w:r>
      <w:r>
        <w:rPr>
          <w:w w:val="179"/>
          <w:sz w:val="16"/>
        </w:rPr>
        <w:t>r</w:t>
      </w:r>
      <w:r>
        <w:rPr>
          <w:w w:val="110"/>
          <w:sz w:val="16"/>
        </w:rPr>
        <w:t>ocke,</w:t>
      </w:r>
      <w:r>
        <w:rPr>
          <w:spacing w:val="9"/>
          <w:sz w:val="16"/>
        </w:rPr>
        <w:t> </w:t>
      </w:r>
      <w:r>
        <w:rPr>
          <w:w w:val="100"/>
          <w:sz w:val="16"/>
        </w:rPr>
        <w:t>1995;</w:t>
      </w:r>
      <w:r>
        <w:rPr>
          <w:spacing w:val="9"/>
          <w:sz w:val="16"/>
        </w:rPr>
        <w:t> </w:t>
      </w:r>
      <w:r>
        <w:rPr>
          <w:w w:val="117"/>
          <w:sz w:val="16"/>
        </w:rPr>
        <w:t>Mo,</w:t>
      </w:r>
    </w:p>
    <w:p>
      <w:pPr>
        <w:spacing w:before="0"/>
        <w:ind w:left="120" w:right="0" w:firstLine="0"/>
        <w:jc w:val="both"/>
        <w:rPr>
          <w:sz w:val="16"/>
        </w:rPr>
      </w:pPr>
      <w:r>
        <w:rPr>
          <w:w w:val="105"/>
          <w:sz w:val="16"/>
        </w:rPr>
        <w:t>1991, 1994 y 1995.</w:t>
      </w:r>
    </w:p>
    <w:p>
      <w:pPr>
        <w:spacing w:after="0"/>
        <w:jc w:val="both"/>
        <w:rPr>
          <w:sz w:val="16"/>
        </w:rPr>
        <w:sectPr>
          <w:type w:val="continuous"/>
          <w:pgSz w:w="8790" w:h="12760"/>
          <w:pgMar w:top="360" w:bottom="280" w:left="900" w:right="660"/>
        </w:sectPr>
      </w:pPr>
    </w:p>
    <w:p>
      <w:pPr>
        <w:pStyle w:val="BodyText"/>
        <w:spacing w:before="7"/>
        <w:rPr>
          <w:sz w:val="28"/>
        </w:rPr>
      </w:pPr>
    </w:p>
    <w:p>
      <w:pPr>
        <w:pStyle w:val="BodyText"/>
        <w:spacing w:line="252" w:lineRule="auto" w:before="73"/>
        <w:ind w:left="330" w:right="117" w:firstLine="396"/>
        <w:jc w:val="both"/>
      </w:pPr>
      <w:r>
        <w:rPr>
          <w:w w:val="110"/>
        </w:rPr>
        <w:t>Hasta aquí, y desde un punto de vista teórico, rechazar la pro- puesta analítica que ofrece el realismo sobre el Estado permite su- perar premisas reduccionistas que lo ven como un ente unitario y en el cual todos los Estados son iguales, desempeñan las mismas tareas frente a “situaciones externas similares” y poseen una misma lógica de toma de decisiones. si bien es posible identificar varias tareas si- milares, la toma de decisiones para cumplir con dichas tareas varía </w:t>
      </w:r>
      <w:r>
        <w:rPr>
          <w:w w:val="107"/>
        </w:rPr>
        <w:t>de</w:t>
      </w:r>
      <w:r>
        <w:rPr/>
        <w:t> </w:t>
      </w:r>
      <w:r>
        <w:rPr>
          <w:spacing w:val="-7"/>
        </w:rPr>
        <w:t> </w:t>
      </w:r>
      <w:r>
        <w:rPr>
          <w:w w:val="112"/>
        </w:rPr>
        <w:t>un</w:t>
      </w:r>
      <w:r>
        <w:rPr/>
        <w:t> </w:t>
      </w:r>
      <w:r>
        <w:rPr>
          <w:spacing w:val="-7"/>
        </w:rPr>
        <w:t> </w:t>
      </w:r>
      <w:r>
        <w:rPr>
          <w:w w:val="112"/>
        </w:rPr>
        <w:t>Estado</w:t>
      </w:r>
      <w:r>
        <w:rPr/>
        <w:t> </w:t>
      </w:r>
      <w:r>
        <w:rPr>
          <w:spacing w:val="-7"/>
        </w:rPr>
        <w:t> </w:t>
      </w:r>
      <w:r>
        <w:rPr>
          <w:w w:val="112"/>
        </w:rPr>
        <w:t>a</w:t>
      </w:r>
      <w:r>
        <w:rPr/>
        <w:t> </w:t>
      </w:r>
      <w:r>
        <w:rPr>
          <w:spacing w:val="-7"/>
        </w:rPr>
        <w:t> </w:t>
      </w:r>
      <w:r>
        <w:rPr>
          <w:w w:val="111"/>
        </w:rPr>
        <w:t>otro.</w:t>
      </w:r>
      <w:r>
        <w:rPr/>
        <w:t> </w:t>
      </w:r>
      <w:r>
        <w:rPr>
          <w:spacing w:val="-7"/>
        </w:rPr>
        <w:t> </w:t>
      </w:r>
      <w:r>
        <w:rPr>
          <w:w w:val="243"/>
        </w:rPr>
        <w:t>l</w:t>
      </w:r>
      <w:r>
        <w:rPr>
          <w:w w:val="109"/>
        </w:rPr>
        <w:t>as</w:t>
      </w:r>
      <w:r>
        <w:rPr/>
        <w:t> </w:t>
      </w:r>
      <w:r>
        <w:rPr>
          <w:spacing w:val="-7"/>
        </w:rPr>
        <w:t> </w:t>
      </w:r>
      <w:r>
        <w:rPr>
          <w:w w:val="110"/>
        </w:rPr>
        <w:t>diferencias</w:t>
      </w:r>
      <w:r>
        <w:rPr/>
        <w:t> </w:t>
      </w:r>
      <w:r>
        <w:rPr>
          <w:spacing w:val="-7"/>
        </w:rPr>
        <w:t> </w:t>
      </w:r>
      <w:r>
        <w:rPr>
          <w:w w:val="108"/>
        </w:rPr>
        <w:t>que</w:t>
      </w:r>
      <w:r>
        <w:rPr/>
        <w:t> </w:t>
      </w:r>
      <w:r>
        <w:rPr>
          <w:spacing w:val="-7"/>
        </w:rPr>
        <w:t> </w:t>
      </w:r>
      <w:r>
        <w:rPr>
          <w:w w:val="112"/>
        </w:rPr>
        <w:t>cada</w:t>
      </w:r>
      <w:r>
        <w:rPr/>
        <w:t> </w:t>
      </w:r>
      <w:r>
        <w:rPr>
          <w:spacing w:val="-7"/>
        </w:rPr>
        <w:t> </w:t>
      </w:r>
      <w:r>
        <w:rPr>
          <w:w w:val="111"/>
        </w:rPr>
        <w:t>uno</w:t>
      </w:r>
      <w:r>
        <w:rPr/>
        <w:t> </w:t>
      </w:r>
      <w:r>
        <w:rPr>
          <w:spacing w:val="-7"/>
        </w:rPr>
        <w:t> </w:t>
      </w:r>
      <w:r>
        <w:rPr>
          <w:w w:val="107"/>
        </w:rPr>
        <w:t>de</w:t>
      </w:r>
      <w:r>
        <w:rPr/>
        <w:t> </w:t>
      </w:r>
      <w:r>
        <w:rPr>
          <w:spacing w:val="-7"/>
        </w:rPr>
        <w:t> </w:t>
      </w:r>
      <w:r>
        <w:rPr>
          <w:w w:val="106"/>
        </w:rPr>
        <w:t>éstos</w:t>
      </w:r>
      <w:r>
        <w:rPr/>
        <w:t> </w:t>
      </w:r>
      <w:r>
        <w:rPr>
          <w:spacing w:val="-7"/>
        </w:rPr>
        <w:t> </w:t>
      </w:r>
      <w:r>
        <w:rPr>
          <w:w w:val="108"/>
        </w:rPr>
        <w:t>expone </w:t>
      </w:r>
      <w:r>
        <w:rPr>
          <w:w w:val="110"/>
        </w:rPr>
        <w:t>pueden ser identificadas a través de sus </w:t>
      </w:r>
      <w:r>
        <w:rPr>
          <w:i/>
          <w:w w:val="110"/>
        </w:rPr>
        <w:t>preferencias internas </w:t>
      </w:r>
      <w:r>
        <w:rPr>
          <w:w w:val="110"/>
        </w:rPr>
        <w:t>y de sus instituciones políticas.</w:t>
      </w:r>
      <w:r>
        <w:rPr>
          <w:w w:val="110"/>
          <w:position w:val="6"/>
          <w:sz w:val="11"/>
        </w:rPr>
        <w:t>17 </w:t>
      </w:r>
      <w:r>
        <w:rPr>
          <w:w w:val="110"/>
        </w:rPr>
        <w:t>a su vez, permite abandonar la lectura </w:t>
      </w:r>
      <w:r>
        <w:rPr>
          <w:spacing w:val="-3"/>
          <w:w w:val="110"/>
        </w:rPr>
        <w:t>jerár- </w:t>
      </w:r>
      <w:r>
        <w:rPr>
          <w:w w:val="110"/>
        </w:rPr>
        <w:t>quica, vertical, descendente, centralizada y subordinada de la toma de decisiones en el Estado en medio de un sistema internacional </w:t>
      </w:r>
      <w:r>
        <w:rPr>
          <w:spacing w:val="-3"/>
          <w:w w:val="110"/>
        </w:rPr>
        <w:t>anár- </w:t>
      </w:r>
      <w:r>
        <w:rPr>
          <w:w w:val="110"/>
        </w:rPr>
        <w:t>quico, descentralizado pero coordinado.</w:t>
      </w:r>
      <w:r>
        <w:rPr>
          <w:w w:val="110"/>
          <w:position w:val="6"/>
          <w:sz w:val="11"/>
        </w:rPr>
        <w:t>18   </w:t>
      </w:r>
      <w:r>
        <w:rPr>
          <w:w w:val="110"/>
        </w:rPr>
        <w:t>al igual que otros    </w:t>
      </w:r>
      <w:r>
        <w:rPr>
          <w:spacing w:val="9"/>
          <w:w w:val="110"/>
        </w:rPr>
        <w:t> </w:t>
      </w:r>
      <w:r>
        <w:rPr>
          <w:w w:val="110"/>
        </w:rPr>
        <w:t>autores</w:t>
      </w:r>
    </w:p>
    <w:p>
      <w:pPr>
        <w:pStyle w:val="BodyText"/>
        <w:spacing w:line="252" w:lineRule="auto"/>
        <w:ind w:left="330" w:right="117"/>
        <w:jc w:val="both"/>
      </w:pPr>
      <w:r>
        <w:rPr>
          <w:w w:val="110"/>
        </w:rPr>
        <w:t>–entre ellos ruggie y Keohane</w:t>
      </w:r>
      <w:r>
        <w:rPr>
          <w:w w:val="110"/>
          <w:position w:val="6"/>
          <w:sz w:val="11"/>
        </w:rPr>
        <w:t>19</w:t>
      </w:r>
      <w:r>
        <w:rPr>
          <w:w w:val="110"/>
        </w:rPr>
        <w:t>– este trabajo secunda el enfoque que relaja y altera dicha visión sobre el poder tanto en el ámbito nacional como internacional; es decir, recupera el enfoque poliárquico que He- len Milner ofrece al hablar de un sistema “compuesto por diferentes actores que poseen preferencias diversas y que comparte el poder en la toma de decisiones”</w:t>
      </w:r>
      <w:r>
        <w:rPr>
          <w:w w:val="110"/>
          <w:position w:val="6"/>
          <w:sz w:val="11"/>
        </w:rPr>
        <w:t>20</w:t>
      </w:r>
      <w:r>
        <w:rPr>
          <w:w w:val="110"/>
        </w:rPr>
        <w:t>.</w:t>
      </w:r>
    </w:p>
    <w:p>
      <w:pPr>
        <w:pStyle w:val="BodyText"/>
        <w:spacing w:line="252" w:lineRule="auto"/>
        <w:ind w:left="330" w:right="117" w:firstLine="396"/>
        <w:jc w:val="both"/>
      </w:pPr>
      <w:r>
        <w:rPr>
          <w:w w:val="110"/>
        </w:rPr>
        <w:t>si bien la </w:t>
      </w:r>
      <w:r>
        <w:rPr>
          <w:i/>
          <w:w w:val="110"/>
        </w:rPr>
        <w:t>supervivencia </w:t>
      </w:r>
      <w:r>
        <w:rPr>
          <w:w w:val="110"/>
        </w:rPr>
        <w:t>del Estado se conserva como una de las misiones básicas de los tomadores de decisiones y desde luego se en- cuentra como uno de los intereses y metas principales de Estados unidos, “varias de las decisiones no refieren o giran en torno a dicho propósito”; sin embargo, “la búsqueda de un compromiso interno” se vuelve crucial en un sistema poliárquico en el cual la política interna- cional y la política exterior forman parte de dicho sistema de lucha de poder interno; de modo que las políticas internas varían según deter- minado </w:t>
      </w:r>
      <w:r>
        <w:rPr>
          <w:i/>
          <w:w w:val="110"/>
        </w:rPr>
        <w:t>continuum </w:t>
      </w:r>
      <w:r>
        <w:rPr>
          <w:w w:val="110"/>
        </w:rPr>
        <w:t>de lo jerárquico a lo anárquico y el ingrediente po- liárquico entre éstos. tres factores resultan decisivos en este esquema analítico  (</w:t>
      </w:r>
      <w:r>
        <w:rPr>
          <w:i/>
          <w:w w:val="110"/>
        </w:rPr>
        <w:t>continuum</w:t>
      </w:r>
      <w:r>
        <w:rPr>
          <w:w w:val="110"/>
        </w:rPr>
        <w:t>):</w:t>
      </w:r>
    </w:p>
    <w:p>
      <w:pPr>
        <w:pStyle w:val="BodyText"/>
        <w:spacing w:before="11"/>
      </w:pPr>
    </w:p>
    <w:p>
      <w:pPr>
        <w:pStyle w:val="ListParagraph"/>
        <w:numPr>
          <w:ilvl w:val="2"/>
          <w:numId w:val="12"/>
        </w:numPr>
        <w:tabs>
          <w:tab w:pos="955" w:val="left" w:leader="none"/>
        </w:tabs>
        <w:spacing w:line="252" w:lineRule="auto" w:before="0" w:after="0"/>
        <w:ind w:left="954" w:right="118" w:hanging="227"/>
        <w:jc w:val="left"/>
        <w:rPr>
          <w:sz w:val="19"/>
        </w:rPr>
      </w:pPr>
      <w:r>
        <w:rPr>
          <w:w w:val="243"/>
          <w:sz w:val="19"/>
        </w:rPr>
        <w:t>l</w:t>
      </w:r>
      <w:r>
        <w:rPr>
          <w:w w:val="109"/>
          <w:sz w:val="19"/>
        </w:rPr>
        <w:t>as</w:t>
      </w:r>
      <w:r>
        <w:rPr>
          <w:spacing w:val="19"/>
          <w:sz w:val="19"/>
        </w:rPr>
        <w:t> </w:t>
      </w:r>
      <w:r>
        <w:rPr>
          <w:i/>
          <w:w w:val="106"/>
          <w:sz w:val="19"/>
        </w:rPr>
        <w:t>preferencias</w:t>
      </w:r>
      <w:r>
        <w:rPr>
          <w:i/>
          <w:spacing w:val="19"/>
          <w:sz w:val="19"/>
        </w:rPr>
        <w:t> </w:t>
      </w:r>
      <w:r>
        <w:rPr>
          <w:w w:val="107"/>
          <w:sz w:val="19"/>
        </w:rPr>
        <w:t>reflejadas</w:t>
      </w:r>
      <w:r>
        <w:rPr>
          <w:spacing w:val="19"/>
          <w:sz w:val="19"/>
        </w:rPr>
        <w:t> </w:t>
      </w:r>
      <w:r>
        <w:rPr>
          <w:w w:val="110"/>
          <w:sz w:val="19"/>
        </w:rPr>
        <w:t>o</w:t>
      </w:r>
      <w:r>
        <w:rPr>
          <w:spacing w:val="19"/>
          <w:sz w:val="19"/>
        </w:rPr>
        <w:t> </w:t>
      </w:r>
      <w:r>
        <w:rPr>
          <w:w w:val="108"/>
          <w:sz w:val="19"/>
        </w:rPr>
        <w:t>recuperadas</w:t>
      </w:r>
      <w:r>
        <w:rPr>
          <w:spacing w:val="19"/>
          <w:sz w:val="19"/>
        </w:rPr>
        <w:t> </w:t>
      </w:r>
      <w:r>
        <w:rPr>
          <w:w w:val="108"/>
          <w:sz w:val="19"/>
        </w:rPr>
        <w:t>en</w:t>
      </w:r>
      <w:r>
        <w:rPr>
          <w:spacing w:val="19"/>
          <w:sz w:val="19"/>
        </w:rPr>
        <w:t> </w:t>
      </w:r>
      <w:r>
        <w:rPr>
          <w:w w:val="109"/>
          <w:sz w:val="19"/>
        </w:rPr>
        <w:t>las</w:t>
      </w:r>
      <w:r>
        <w:rPr>
          <w:spacing w:val="19"/>
          <w:sz w:val="19"/>
        </w:rPr>
        <w:t> </w:t>
      </w:r>
      <w:r>
        <w:rPr>
          <w:w w:val="111"/>
          <w:sz w:val="19"/>
        </w:rPr>
        <w:t>políticas</w:t>
      </w:r>
      <w:r>
        <w:rPr>
          <w:spacing w:val="19"/>
          <w:sz w:val="19"/>
        </w:rPr>
        <w:t> </w:t>
      </w:r>
      <w:r>
        <w:rPr>
          <w:w w:val="98"/>
          <w:sz w:val="19"/>
        </w:rPr>
        <w:t>(</w:t>
      </w:r>
      <w:r>
        <w:rPr>
          <w:i/>
          <w:w w:val="110"/>
          <w:sz w:val="19"/>
        </w:rPr>
        <w:t>pol</w:t>
      </w:r>
      <w:r>
        <w:rPr>
          <w:i/>
          <w:spacing w:val="-1"/>
          <w:w w:val="110"/>
          <w:sz w:val="19"/>
        </w:rPr>
        <w:t>i</w:t>
      </w:r>
      <w:r>
        <w:rPr>
          <w:i/>
          <w:w w:val="106"/>
          <w:sz w:val="19"/>
        </w:rPr>
        <w:t>-</w:t>
      </w:r>
      <w:r>
        <w:rPr>
          <w:i/>
          <w:w w:val="106"/>
          <w:sz w:val="19"/>
        </w:rPr>
        <w:t> </w:t>
      </w:r>
      <w:r>
        <w:rPr>
          <w:i/>
          <w:w w:val="110"/>
          <w:sz w:val="19"/>
        </w:rPr>
        <w:t>cies</w:t>
      </w:r>
      <w:r>
        <w:rPr>
          <w:w w:val="110"/>
          <w:sz w:val="19"/>
        </w:rPr>
        <w:t>) propuestas o defendidas por los actores</w:t>
      </w:r>
      <w:r>
        <w:rPr>
          <w:spacing w:val="20"/>
          <w:w w:val="110"/>
          <w:sz w:val="19"/>
        </w:rPr>
        <w:t> </w:t>
      </w:r>
      <w:r>
        <w:rPr>
          <w:w w:val="110"/>
          <w:sz w:val="19"/>
        </w:rPr>
        <w:t>internos.</w:t>
      </w:r>
    </w:p>
    <w:p>
      <w:pPr>
        <w:pStyle w:val="BodyText"/>
        <w:spacing w:before="10"/>
        <w:rPr>
          <w:sz w:val="14"/>
        </w:rPr>
      </w:pPr>
      <w:r>
        <w:rPr/>
        <w:pict>
          <v:line style="position:absolute;mso-position-horizontal-relative:page;mso-position-vertical-relative:paragraph;z-index:5296;mso-wrap-distance-left:0;mso-wrap-distance-right:0" from="76.5354pt,10.954233pt" to="104.8814pt,10.954233pt" stroked="true" strokeweight=".5pt" strokecolor="#000000">
            <w10:wrap type="topAndBottom"/>
          </v:line>
        </w:pict>
      </w:r>
    </w:p>
    <w:p>
      <w:pPr>
        <w:pStyle w:val="ListParagraph"/>
        <w:numPr>
          <w:ilvl w:val="1"/>
          <w:numId w:val="12"/>
        </w:numPr>
        <w:tabs>
          <w:tab w:pos="586" w:val="left" w:leader="none"/>
        </w:tabs>
        <w:spacing w:line="242" w:lineRule="auto" w:before="89" w:after="0"/>
        <w:ind w:left="330" w:right="118" w:firstLine="0"/>
        <w:jc w:val="both"/>
        <w:rPr>
          <w:sz w:val="16"/>
        </w:rPr>
      </w:pPr>
      <w:r>
        <w:rPr>
          <w:w w:val="105"/>
          <w:sz w:val="16"/>
        </w:rPr>
        <w:t>sin embargo, el problema central de esta propuesta analítica es la construcción    </w:t>
      </w:r>
      <w:r>
        <w:rPr>
          <w:spacing w:val="37"/>
          <w:w w:val="105"/>
          <w:sz w:val="16"/>
        </w:rPr>
        <w:t> </w:t>
      </w:r>
      <w:r>
        <w:rPr>
          <w:w w:val="105"/>
          <w:sz w:val="16"/>
        </w:rPr>
        <w:t>de un marco conceptual lógico y práctico que permita la categorización de dichas diferencias entre y para cada uno de los diferentes Estados a fin de que sea útil y relevante para el entendimiento de la política    </w:t>
      </w:r>
      <w:r>
        <w:rPr>
          <w:spacing w:val="4"/>
          <w:w w:val="105"/>
          <w:sz w:val="16"/>
        </w:rPr>
        <w:t> </w:t>
      </w:r>
      <w:r>
        <w:rPr>
          <w:w w:val="105"/>
          <w:sz w:val="16"/>
        </w:rPr>
        <w:t>internacional.</w:t>
      </w:r>
    </w:p>
    <w:p>
      <w:pPr>
        <w:pStyle w:val="ListParagraph"/>
        <w:numPr>
          <w:ilvl w:val="1"/>
          <w:numId w:val="12"/>
        </w:numPr>
        <w:tabs>
          <w:tab w:pos="586" w:val="left" w:leader="none"/>
        </w:tabs>
        <w:spacing w:line="242" w:lineRule="auto" w:before="57" w:after="0"/>
        <w:ind w:left="330" w:right="118" w:firstLine="0"/>
        <w:jc w:val="both"/>
        <w:rPr>
          <w:sz w:val="16"/>
        </w:rPr>
      </w:pPr>
      <w:r>
        <w:rPr>
          <w:w w:val="110"/>
          <w:sz w:val="16"/>
        </w:rPr>
        <w:t>Kenneth Waltz, </w:t>
      </w:r>
      <w:r>
        <w:rPr>
          <w:i/>
          <w:w w:val="110"/>
          <w:sz w:val="16"/>
        </w:rPr>
        <w:t>Theory of International Politics</w:t>
      </w:r>
      <w:r>
        <w:rPr>
          <w:w w:val="110"/>
          <w:sz w:val="16"/>
        </w:rPr>
        <w:t>, addison-Wesley, reading, Ma, 1979, p.</w:t>
      </w:r>
      <w:r>
        <w:rPr>
          <w:spacing w:val="-18"/>
          <w:w w:val="110"/>
          <w:sz w:val="16"/>
        </w:rPr>
        <w:t> </w:t>
      </w:r>
      <w:r>
        <w:rPr>
          <w:w w:val="110"/>
          <w:sz w:val="16"/>
        </w:rPr>
        <w:t>88.</w:t>
      </w:r>
    </w:p>
    <w:p>
      <w:pPr>
        <w:pStyle w:val="ListParagraph"/>
        <w:numPr>
          <w:ilvl w:val="1"/>
          <w:numId w:val="12"/>
        </w:numPr>
        <w:tabs>
          <w:tab w:pos="586" w:val="left" w:leader="none"/>
        </w:tabs>
        <w:spacing w:line="242" w:lineRule="auto" w:before="57" w:after="0"/>
        <w:ind w:left="330" w:right="118" w:firstLine="0"/>
        <w:jc w:val="both"/>
        <w:rPr>
          <w:sz w:val="16"/>
        </w:rPr>
      </w:pPr>
      <w:r>
        <w:rPr>
          <w:i/>
          <w:spacing w:val="-4"/>
          <w:w w:val="110"/>
          <w:sz w:val="16"/>
        </w:rPr>
        <w:t>Cfr. </w:t>
      </w:r>
      <w:r>
        <w:rPr>
          <w:w w:val="110"/>
          <w:sz w:val="16"/>
        </w:rPr>
        <w:t>robert Keohane, </w:t>
      </w:r>
      <w:r>
        <w:rPr>
          <w:i/>
          <w:w w:val="110"/>
          <w:sz w:val="16"/>
        </w:rPr>
        <w:t>After Hegemony: Cooperation and Discord in the World Poli- </w:t>
      </w:r>
      <w:r>
        <w:rPr>
          <w:i/>
          <w:w w:val="110"/>
          <w:sz w:val="16"/>
        </w:rPr>
        <w:t>tical Economy</w:t>
      </w:r>
      <w:r>
        <w:rPr>
          <w:w w:val="110"/>
          <w:sz w:val="16"/>
        </w:rPr>
        <w:t>, Princeton university Press, Princeton,</w:t>
      </w:r>
      <w:r>
        <w:rPr>
          <w:spacing w:val="-12"/>
          <w:w w:val="110"/>
          <w:sz w:val="16"/>
        </w:rPr>
        <w:t> </w:t>
      </w:r>
      <w:r>
        <w:rPr>
          <w:w w:val="110"/>
          <w:sz w:val="16"/>
        </w:rPr>
        <w:t>1984.</w:t>
      </w:r>
    </w:p>
    <w:p>
      <w:pPr>
        <w:pStyle w:val="ListParagraph"/>
        <w:numPr>
          <w:ilvl w:val="1"/>
          <w:numId w:val="12"/>
        </w:numPr>
        <w:tabs>
          <w:tab w:pos="586" w:val="left" w:leader="none"/>
        </w:tabs>
        <w:spacing w:line="242" w:lineRule="auto" w:before="57" w:after="0"/>
        <w:ind w:left="330" w:right="118" w:firstLine="0"/>
        <w:jc w:val="both"/>
        <w:rPr>
          <w:sz w:val="16"/>
        </w:rPr>
      </w:pPr>
      <w:r>
        <w:rPr>
          <w:w w:val="110"/>
          <w:sz w:val="16"/>
        </w:rPr>
        <w:t>Helen </w:t>
      </w:r>
      <w:r>
        <w:rPr>
          <w:spacing w:val="-3"/>
          <w:w w:val="110"/>
          <w:sz w:val="16"/>
        </w:rPr>
        <w:t>Milner, </w:t>
      </w:r>
      <w:r>
        <w:rPr>
          <w:i/>
          <w:w w:val="110"/>
          <w:sz w:val="16"/>
        </w:rPr>
        <w:t>Interests, Institutions, and Information: Domestic Politics and Inter- </w:t>
      </w:r>
      <w:r>
        <w:rPr>
          <w:i/>
          <w:w w:val="110"/>
          <w:sz w:val="16"/>
        </w:rPr>
        <w:t>national Relations</w:t>
      </w:r>
      <w:r>
        <w:rPr>
          <w:w w:val="110"/>
          <w:sz w:val="16"/>
        </w:rPr>
        <w:t>, Princeton university Press, Princeton, 1997, p.</w:t>
      </w:r>
      <w:r>
        <w:rPr>
          <w:spacing w:val="-26"/>
          <w:w w:val="110"/>
          <w:sz w:val="16"/>
        </w:rPr>
        <w:t> </w:t>
      </w:r>
      <w:r>
        <w:rPr>
          <w:w w:val="110"/>
          <w:sz w:val="16"/>
        </w:rPr>
        <w:t>11.</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ListParagraph"/>
        <w:numPr>
          <w:ilvl w:val="0"/>
          <w:numId w:val="20"/>
        </w:numPr>
        <w:tabs>
          <w:tab w:pos="745" w:val="left" w:leader="none"/>
        </w:tabs>
        <w:spacing w:line="252" w:lineRule="auto" w:before="73" w:after="0"/>
        <w:ind w:left="744" w:right="328" w:hanging="227"/>
        <w:jc w:val="left"/>
        <w:rPr>
          <w:sz w:val="19"/>
        </w:rPr>
      </w:pPr>
      <w:r>
        <w:rPr>
          <w:w w:val="243"/>
          <w:sz w:val="19"/>
        </w:rPr>
        <w:t>l</w:t>
      </w:r>
      <w:r>
        <w:rPr>
          <w:w w:val="109"/>
          <w:sz w:val="19"/>
        </w:rPr>
        <w:t>as</w:t>
      </w:r>
      <w:r>
        <w:rPr>
          <w:spacing w:val="13"/>
          <w:sz w:val="19"/>
        </w:rPr>
        <w:t> </w:t>
      </w:r>
      <w:r>
        <w:rPr>
          <w:i/>
          <w:w w:val="113"/>
          <w:sz w:val="19"/>
        </w:rPr>
        <w:t>instituciones</w:t>
      </w:r>
      <w:r>
        <w:rPr>
          <w:i/>
          <w:spacing w:val="13"/>
          <w:sz w:val="19"/>
        </w:rPr>
        <w:t> </w:t>
      </w:r>
      <w:r>
        <w:rPr>
          <w:w w:val="107"/>
          <w:sz w:val="19"/>
        </w:rPr>
        <w:t>de</w:t>
      </w:r>
      <w:r>
        <w:rPr>
          <w:spacing w:val="13"/>
          <w:sz w:val="19"/>
        </w:rPr>
        <w:t> </w:t>
      </w:r>
      <w:r>
        <w:rPr>
          <w:w w:val="107"/>
          <w:sz w:val="19"/>
        </w:rPr>
        <w:t>poder</w:t>
      </w:r>
      <w:r>
        <w:rPr>
          <w:spacing w:val="13"/>
          <w:sz w:val="19"/>
        </w:rPr>
        <w:t> </w:t>
      </w:r>
      <w:r>
        <w:rPr>
          <w:w w:val="108"/>
          <w:sz w:val="19"/>
        </w:rPr>
        <w:t>que</w:t>
      </w:r>
      <w:r>
        <w:rPr>
          <w:spacing w:val="13"/>
          <w:sz w:val="19"/>
        </w:rPr>
        <w:t> </w:t>
      </w:r>
      <w:r>
        <w:rPr>
          <w:w w:val="109"/>
          <w:sz w:val="19"/>
        </w:rPr>
        <w:t>son</w:t>
      </w:r>
      <w:r>
        <w:rPr>
          <w:spacing w:val="13"/>
          <w:sz w:val="19"/>
        </w:rPr>
        <w:t> </w:t>
      </w:r>
      <w:r>
        <w:rPr>
          <w:w w:val="110"/>
          <w:sz w:val="19"/>
        </w:rPr>
        <w:t>compartidas</w:t>
      </w:r>
      <w:r>
        <w:rPr>
          <w:spacing w:val="13"/>
          <w:sz w:val="19"/>
        </w:rPr>
        <w:t> </w:t>
      </w:r>
      <w:r>
        <w:rPr>
          <w:w w:val="108"/>
          <w:sz w:val="19"/>
        </w:rPr>
        <w:t>por</w:t>
      </w:r>
      <w:r>
        <w:rPr>
          <w:spacing w:val="13"/>
          <w:sz w:val="19"/>
        </w:rPr>
        <w:t> </w:t>
      </w:r>
      <w:r>
        <w:rPr>
          <w:w w:val="111"/>
          <w:sz w:val="19"/>
        </w:rPr>
        <w:t>dichos</w:t>
      </w:r>
      <w:r>
        <w:rPr>
          <w:spacing w:val="13"/>
          <w:sz w:val="19"/>
        </w:rPr>
        <w:t> </w:t>
      </w:r>
      <w:r>
        <w:rPr>
          <w:w w:val="113"/>
          <w:sz w:val="19"/>
        </w:rPr>
        <w:t>a</w:t>
      </w:r>
      <w:r>
        <w:rPr>
          <w:spacing w:val="-1"/>
          <w:w w:val="113"/>
          <w:sz w:val="19"/>
        </w:rPr>
        <w:t>c</w:t>
      </w:r>
      <w:r>
        <w:rPr>
          <w:w w:val="102"/>
          <w:sz w:val="19"/>
        </w:rPr>
        <w:t>- </w:t>
      </w:r>
      <w:r>
        <w:rPr>
          <w:w w:val="115"/>
          <w:sz w:val="19"/>
        </w:rPr>
        <w:t>tores.</w:t>
      </w:r>
    </w:p>
    <w:p>
      <w:pPr>
        <w:pStyle w:val="ListParagraph"/>
        <w:numPr>
          <w:ilvl w:val="0"/>
          <w:numId w:val="20"/>
        </w:numPr>
        <w:tabs>
          <w:tab w:pos="745" w:val="left" w:leader="none"/>
        </w:tabs>
        <w:spacing w:line="252" w:lineRule="auto" w:before="85" w:after="0"/>
        <w:ind w:left="744" w:right="328" w:hanging="227"/>
        <w:jc w:val="left"/>
        <w:rPr>
          <w:sz w:val="19"/>
        </w:rPr>
      </w:pPr>
      <w:r>
        <w:rPr>
          <w:w w:val="243"/>
          <w:sz w:val="19"/>
        </w:rPr>
        <w:t>l</w:t>
      </w:r>
      <w:r>
        <w:rPr>
          <w:w w:val="112"/>
          <w:sz w:val="19"/>
        </w:rPr>
        <w:t>a</w:t>
      </w:r>
      <w:r>
        <w:rPr>
          <w:spacing w:val="9"/>
          <w:sz w:val="19"/>
        </w:rPr>
        <w:t> </w:t>
      </w:r>
      <w:r>
        <w:rPr>
          <w:w w:val="110"/>
          <w:sz w:val="19"/>
        </w:rPr>
        <w:t>distribución</w:t>
      </w:r>
      <w:r>
        <w:rPr>
          <w:spacing w:val="9"/>
          <w:sz w:val="19"/>
        </w:rPr>
        <w:t> </w:t>
      </w:r>
      <w:r>
        <w:rPr>
          <w:w w:val="107"/>
          <w:sz w:val="19"/>
        </w:rPr>
        <w:t>de</w:t>
      </w:r>
      <w:r>
        <w:rPr>
          <w:spacing w:val="9"/>
          <w:sz w:val="19"/>
        </w:rPr>
        <w:t> </w:t>
      </w:r>
      <w:r>
        <w:rPr>
          <w:i/>
          <w:w w:val="112"/>
          <w:sz w:val="19"/>
        </w:rPr>
        <w:t>información</w:t>
      </w:r>
      <w:r>
        <w:rPr>
          <w:i/>
          <w:spacing w:val="9"/>
          <w:sz w:val="19"/>
        </w:rPr>
        <w:t> </w:t>
      </w:r>
      <w:r>
        <w:rPr>
          <w:w w:val="108"/>
          <w:sz w:val="19"/>
        </w:rPr>
        <w:t>que</w:t>
      </w:r>
      <w:r>
        <w:rPr>
          <w:spacing w:val="9"/>
          <w:sz w:val="19"/>
        </w:rPr>
        <w:t> </w:t>
      </w:r>
      <w:r>
        <w:rPr>
          <w:w w:val="107"/>
          <w:sz w:val="19"/>
        </w:rPr>
        <w:t>existe</w:t>
      </w:r>
      <w:r>
        <w:rPr>
          <w:spacing w:val="9"/>
          <w:sz w:val="19"/>
        </w:rPr>
        <w:t> </w:t>
      </w:r>
      <w:r>
        <w:rPr>
          <w:w w:val="106"/>
          <w:sz w:val="19"/>
        </w:rPr>
        <w:t>entre</w:t>
      </w:r>
      <w:r>
        <w:rPr>
          <w:spacing w:val="9"/>
          <w:sz w:val="19"/>
        </w:rPr>
        <w:t> </w:t>
      </w:r>
      <w:r>
        <w:rPr>
          <w:w w:val="108"/>
          <w:sz w:val="19"/>
        </w:rPr>
        <w:t>los</w:t>
      </w:r>
      <w:r>
        <w:rPr>
          <w:spacing w:val="9"/>
          <w:sz w:val="19"/>
        </w:rPr>
        <w:t> </w:t>
      </w:r>
      <w:r>
        <w:rPr>
          <w:w w:val="111"/>
          <w:sz w:val="19"/>
        </w:rPr>
        <w:t>mismos</w:t>
      </w:r>
      <w:r>
        <w:rPr>
          <w:spacing w:val="9"/>
          <w:sz w:val="19"/>
        </w:rPr>
        <w:t> </w:t>
      </w:r>
      <w:r>
        <w:rPr>
          <w:w w:val="113"/>
          <w:sz w:val="19"/>
        </w:rPr>
        <w:t>ac</w:t>
      </w:r>
      <w:r>
        <w:rPr>
          <w:w w:val="102"/>
          <w:sz w:val="19"/>
        </w:rPr>
        <w:t>- </w:t>
      </w:r>
      <w:r>
        <w:rPr>
          <w:w w:val="115"/>
          <w:sz w:val="19"/>
        </w:rPr>
        <w:t>tores.</w:t>
      </w:r>
    </w:p>
    <w:p>
      <w:pPr>
        <w:pStyle w:val="BodyText"/>
        <w:spacing w:before="11"/>
      </w:pPr>
    </w:p>
    <w:p>
      <w:pPr>
        <w:pStyle w:val="BodyText"/>
        <w:spacing w:line="252" w:lineRule="auto"/>
        <w:ind w:left="120" w:right="328"/>
        <w:jc w:val="both"/>
      </w:pPr>
      <w:r>
        <w:rPr>
          <w:w w:val="110"/>
        </w:rPr>
        <w:t>El último factor que debe agregarse es la distribución de </w:t>
      </w:r>
      <w:r>
        <w:rPr>
          <w:i/>
          <w:w w:val="110"/>
        </w:rPr>
        <w:t>poder </w:t>
      </w:r>
      <w:r>
        <w:rPr>
          <w:w w:val="110"/>
        </w:rPr>
        <w:t>pues “el grado de distribución de información y poder aunado al grado de divergencia que existe entre las preferencias de los actores internos involucrados, definirá el alcance del nivel poliárquico” que observará dicho Estado. una de las premisas básicas de este enfoque parte de la existencia de “preferencias distintas” entre los actores, pues lo</w:t>
      </w:r>
      <w:r>
        <w:rPr>
          <w:spacing w:val="-8"/>
          <w:w w:val="110"/>
        </w:rPr>
        <w:t> </w:t>
      </w:r>
      <w:r>
        <w:rPr>
          <w:w w:val="110"/>
        </w:rPr>
        <w:t>contra- rio develaría la presencia de un Estado </w:t>
      </w:r>
      <w:r>
        <w:rPr>
          <w:i/>
          <w:w w:val="110"/>
        </w:rPr>
        <w:t>unitario </w:t>
      </w:r>
      <w:r>
        <w:rPr>
          <w:w w:val="110"/>
        </w:rPr>
        <w:t>como lo propone el realismo; de modo que la observancia de esta discordancia</w:t>
      </w:r>
      <w:r>
        <w:rPr>
          <w:w w:val="110"/>
          <w:position w:val="6"/>
          <w:sz w:val="11"/>
        </w:rPr>
        <w:t>21 </w:t>
      </w:r>
      <w:r>
        <w:rPr>
          <w:w w:val="110"/>
        </w:rPr>
        <w:t>es una variable clave para la comprensión del comportamiento y efectos de las decisiones y acciones llevadas a cabo por los distintos actores en  el proceso de formulación de la política exterior de Estados  </w:t>
      </w:r>
      <w:r>
        <w:rPr>
          <w:spacing w:val="31"/>
          <w:w w:val="110"/>
        </w:rPr>
        <w:t> </w:t>
      </w:r>
      <w:r>
        <w:rPr>
          <w:w w:val="110"/>
        </w:rPr>
        <w:t>unidos.</w:t>
      </w:r>
    </w:p>
    <w:p>
      <w:pPr>
        <w:pStyle w:val="BodyText"/>
        <w:spacing w:line="252" w:lineRule="auto"/>
        <w:ind w:left="120" w:right="327" w:firstLine="396"/>
        <w:jc w:val="both"/>
      </w:pPr>
      <w:r>
        <w:rPr>
          <w:w w:val="243"/>
        </w:rPr>
        <w:t>l</w:t>
      </w:r>
      <w:r>
        <w:rPr>
          <w:w w:val="112"/>
        </w:rPr>
        <w:t>a</w:t>
      </w:r>
      <w:r>
        <w:rPr>
          <w:spacing w:val="13"/>
        </w:rPr>
        <w:t> </w:t>
      </w:r>
      <w:r>
        <w:rPr>
          <w:w w:val="109"/>
        </w:rPr>
        <w:t>segunda</w:t>
      </w:r>
      <w:r>
        <w:rPr>
          <w:spacing w:val="13"/>
        </w:rPr>
        <w:t> </w:t>
      </w:r>
      <w:r>
        <w:rPr>
          <w:w w:val="109"/>
        </w:rPr>
        <w:t>premisa</w:t>
      </w:r>
      <w:r>
        <w:rPr>
          <w:spacing w:val="13"/>
        </w:rPr>
        <w:t> </w:t>
      </w:r>
      <w:r>
        <w:rPr>
          <w:w w:val="108"/>
        </w:rPr>
        <w:t>que</w:t>
      </w:r>
      <w:r>
        <w:rPr>
          <w:spacing w:val="13"/>
        </w:rPr>
        <w:t> </w:t>
      </w:r>
      <w:r>
        <w:rPr>
          <w:w w:val="105"/>
        </w:rPr>
        <w:t>se</w:t>
      </w:r>
      <w:r>
        <w:rPr>
          <w:spacing w:val="13"/>
        </w:rPr>
        <w:t> </w:t>
      </w:r>
      <w:r>
        <w:rPr>
          <w:w w:val="107"/>
        </w:rPr>
        <w:t>desprende</w:t>
      </w:r>
      <w:r>
        <w:rPr>
          <w:spacing w:val="13"/>
        </w:rPr>
        <w:t> </w:t>
      </w:r>
      <w:r>
        <w:rPr>
          <w:w w:val="107"/>
        </w:rPr>
        <w:t>del</w:t>
      </w:r>
      <w:r>
        <w:rPr>
          <w:spacing w:val="13"/>
        </w:rPr>
        <w:t> </w:t>
      </w:r>
      <w:r>
        <w:rPr>
          <w:w w:val="109"/>
        </w:rPr>
        <w:t>enfoque</w:t>
      </w:r>
      <w:r>
        <w:rPr>
          <w:spacing w:val="13"/>
        </w:rPr>
        <w:t> </w:t>
      </w:r>
      <w:r>
        <w:rPr>
          <w:w w:val="111"/>
        </w:rPr>
        <w:t>poliárquico</w:t>
      </w:r>
      <w:r>
        <w:rPr>
          <w:spacing w:val="13"/>
        </w:rPr>
        <w:t> </w:t>
      </w:r>
      <w:r>
        <w:rPr>
          <w:w w:val="105"/>
        </w:rPr>
        <w:t>es </w:t>
      </w:r>
      <w:r>
        <w:rPr>
          <w:w w:val="110"/>
        </w:rPr>
        <w:t>que</w:t>
      </w:r>
      <w:r>
        <w:rPr>
          <w:spacing w:val="-4"/>
          <w:w w:val="110"/>
        </w:rPr>
        <w:t> </w:t>
      </w:r>
      <w:r>
        <w:rPr>
          <w:w w:val="110"/>
        </w:rPr>
        <w:t>“el</w:t>
      </w:r>
      <w:r>
        <w:rPr>
          <w:spacing w:val="-4"/>
          <w:w w:val="110"/>
        </w:rPr>
        <w:t> </w:t>
      </w:r>
      <w:r>
        <w:rPr>
          <w:w w:val="110"/>
        </w:rPr>
        <w:t>sistema</w:t>
      </w:r>
      <w:r>
        <w:rPr>
          <w:spacing w:val="-4"/>
          <w:w w:val="110"/>
        </w:rPr>
        <w:t> </w:t>
      </w:r>
      <w:r>
        <w:rPr>
          <w:w w:val="110"/>
        </w:rPr>
        <w:t>y</w:t>
      </w:r>
      <w:r>
        <w:rPr>
          <w:spacing w:val="-4"/>
          <w:w w:val="110"/>
        </w:rPr>
        <w:t> </w:t>
      </w:r>
      <w:r>
        <w:rPr>
          <w:w w:val="110"/>
        </w:rPr>
        <w:t>proceso</w:t>
      </w:r>
      <w:r>
        <w:rPr>
          <w:spacing w:val="-4"/>
          <w:w w:val="110"/>
        </w:rPr>
        <w:t> </w:t>
      </w:r>
      <w:r>
        <w:rPr>
          <w:w w:val="110"/>
        </w:rPr>
        <w:t>de</w:t>
      </w:r>
      <w:r>
        <w:rPr>
          <w:spacing w:val="-4"/>
          <w:w w:val="110"/>
        </w:rPr>
        <w:t> </w:t>
      </w:r>
      <w:r>
        <w:rPr>
          <w:w w:val="110"/>
        </w:rPr>
        <w:t>toma</w:t>
      </w:r>
      <w:r>
        <w:rPr>
          <w:spacing w:val="-4"/>
          <w:w w:val="110"/>
        </w:rPr>
        <w:t> </w:t>
      </w:r>
      <w:r>
        <w:rPr>
          <w:w w:val="110"/>
        </w:rPr>
        <w:t>de</w:t>
      </w:r>
      <w:r>
        <w:rPr>
          <w:spacing w:val="-4"/>
          <w:w w:val="110"/>
        </w:rPr>
        <w:t> </w:t>
      </w:r>
      <w:r>
        <w:rPr>
          <w:w w:val="110"/>
        </w:rPr>
        <w:t>decisiones</w:t>
      </w:r>
      <w:r>
        <w:rPr>
          <w:spacing w:val="-4"/>
          <w:w w:val="110"/>
        </w:rPr>
        <w:t> </w:t>
      </w:r>
      <w:r>
        <w:rPr>
          <w:w w:val="110"/>
        </w:rPr>
        <w:t>debe</w:t>
      </w:r>
      <w:r>
        <w:rPr>
          <w:spacing w:val="-4"/>
          <w:w w:val="110"/>
        </w:rPr>
        <w:t> </w:t>
      </w:r>
      <w:r>
        <w:rPr>
          <w:w w:val="110"/>
        </w:rPr>
        <w:t>ser</w:t>
      </w:r>
      <w:r>
        <w:rPr>
          <w:spacing w:val="-4"/>
          <w:w w:val="110"/>
        </w:rPr>
        <w:t> </w:t>
      </w:r>
      <w:r>
        <w:rPr>
          <w:w w:val="110"/>
        </w:rPr>
        <w:t>compartido”, ya que si un solo actor posee el control total sobre este proceso, se observa el mismo esquema jerárquico del modelo realista. del mismo modo, la tercera premisa expone que “si un grupo controla toda la información relevante sobre determinado asunto”, se cae en la misma </w:t>
      </w:r>
      <w:r>
        <w:rPr>
          <w:i/>
          <w:w w:val="110"/>
        </w:rPr>
        <w:t>trampa </w:t>
      </w:r>
      <w:r>
        <w:rPr>
          <w:w w:val="110"/>
        </w:rPr>
        <w:t>mencionada anteriormente. de este modo, las preferencias,  las instituciones y la información resultan variables clave para la com- prensión del comportamiento de algunos actores al interior del Esta- do estadounidense, no de éste </w:t>
      </w:r>
      <w:r>
        <w:rPr>
          <w:i/>
          <w:w w:val="110"/>
        </w:rPr>
        <w:t>per</w:t>
      </w:r>
      <w:r>
        <w:rPr>
          <w:i/>
          <w:spacing w:val="10"/>
          <w:w w:val="110"/>
        </w:rPr>
        <w:t> </w:t>
      </w:r>
      <w:r>
        <w:rPr>
          <w:i/>
          <w:w w:val="110"/>
        </w:rPr>
        <w:t>se</w:t>
      </w:r>
      <w:r>
        <w:rPr>
          <w:w w:val="110"/>
        </w:rPr>
        <w:t>.</w:t>
      </w:r>
    </w:p>
    <w:p>
      <w:pPr>
        <w:pStyle w:val="BodyText"/>
        <w:spacing w:line="252" w:lineRule="auto"/>
        <w:ind w:left="120" w:right="326" w:firstLine="396"/>
        <w:jc w:val="both"/>
      </w:pPr>
      <w:r>
        <w:rPr>
          <w:w w:val="110"/>
        </w:rPr>
        <w:t>Entonces, más allá de identificar si las causas o efectos tienen un origen e impacto internos o externos, respectivamente, este trabajo sugiere priorizar el grado de </w:t>
      </w:r>
      <w:r>
        <w:rPr>
          <w:i/>
          <w:w w:val="110"/>
        </w:rPr>
        <w:t>interdependencia </w:t>
      </w:r>
      <w:r>
        <w:rPr>
          <w:w w:val="110"/>
        </w:rPr>
        <w:t>que existe entre am- bos niveles y si consigue traspasar fronteras (</w:t>
      </w:r>
      <w:r>
        <w:rPr>
          <w:i/>
          <w:w w:val="110"/>
        </w:rPr>
        <w:t>cross-national</w:t>
      </w:r>
      <w:r>
        <w:rPr>
          <w:w w:val="110"/>
        </w:rPr>
        <w:t>) ya sea </w:t>
      </w:r>
      <w:r>
        <w:rPr>
          <w:spacing w:val="1"/>
          <w:w w:val="106"/>
        </w:rPr>
        <w:t>desd</w:t>
      </w:r>
      <w:r>
        <w:rPr>
          <w:w w:val="106"/>
        </w:rPr>
        <w:t>e</w:t>
      </w:r>
      <w:r>
        <w:rPr/>
        <w:t> </w:t>
      </w:r>
      <w:r>
        <w:rPr>
          <w:spacing w:val="-18"/>
        </w:rPr>
        <w:t> </w:t>
      </w:r>
      <w:r>
        <w:rPr>
          <w:spacing w:val="1"/>
          <w:w w:val="112"/>
        </w:rPr>
        <w:t>un</w:t>
      </w:r>
      <w:r>
        <w:rPr>
          <w:w w:val="112"/>
        </w:rPr>
        <w:t>a</w:t>
      </w:r>
      <w:r>
        <w:rPr/>
        <w:t> </w:t>
      </w:r>
      <w:r>
        <w:rPr>
          <w:spacing w:val="-18"/>
        </w:rPr>
        <w:t> </w:t>
      </w:r>
      <w:r>
        <w:rPr>
          <w:spacing w:val="1"/>
          <w:w w:val="112"/>
        </w:rPr>
        <w:t>lógic</w:t>
      </w:r>
      <w:r>
        <w:rPr>
          <w:w w:val="112"/>
        </w:rPr>
        <w:t>a</w:t>
      </w:r>
      <w:r>
        <w:rPr/>
        <w:t> </w:t>
      </w:r>
      <w:r>
        <w:rPr>
          <w:spacing w:val="-18"/>
        </w:rPr>
        <w:t> </w:t>
      </w:r>
      <w:r>
        <w:rPr>
          <w:spacing w:val="1"/>
          <w:w w:val="109"/>
        </w:rPr>
        <w:t>centrípet</w:t>
      </w:r>
      <w:r>
        <w:rPr>
          <w:w w:val="109"/>
        </w:rPr>
        <w:t>a</w:t>
      </w:r>
      <w:r>
        <w:rPr/>
        <w:t> </w:t>
      </w:r>
      <w:r>
        <w:rPr>
          <w:spacing w:val="-18"/>
        </w:rPr>
        <w:t> </w:t>
      </w:r>
      <w:r>
        <w:rPr>
          <w:w w:val="110"/>
        </w:rPr>
        <w:t>o</w:t>
      </w:r>
      <w:r>
        <w:rPr/>
        <w:t> </w:t>
      </w:r>
      <w:r>
        <w:rPr>
          <w:spacing w:val="-18"/>
        </w:rPr>
        <w:t> </w:t>
      </w:r>
      <w:r>
        <w:rPr>
          <w:spacing w:val="1"/>
          <w:w w:val="112"/>
        </w:rPr>
        <w:t>centrífuga</w:t>
      </w:r>
      <w:r>
        <w:rPr>
          <w:w w:val="112"/>
        </w:rPr>
        <w:t>.</w:t>
      </w:r>
      <w:r>
        <w:rPr/>
        <w:t> </w:t>
      </w:r>
      <w:r>
        <w:rPr>
          <w:spacing w:val="-18"/>
        </w:rPr>
        <w:t> </w:t>
      </w:r>
      <w:r>
        <w:rPr>
          <w:spacing w:val="1"/>
          <w:w w:val="243"/>
        </w:rPr>
        <w:t>l</w:t>
      </w:r>
      <w:r>
        <w:rPr>
          <w:w w:val="110"/>
        </w:rPr>
        <w:t>o</w:t>
      </w:r>
      <w:r>
        <w:rPr/>
        <w:t> </w:t>
      </w:r>
      <w:r>
        <w:rPr>
          <w:spacing w:val="-18"/>
        </w:rPr>
        <w:t> </w:t>
      </w:r>
      <w:r>
        <w:rPr>
          <w:spacing w:val="1"/>
          <w:w w:val="108"/>
        </w:rPr>
        <w:t>anterio</w:t>
      </w:r>
      <w:r>
        <w:rPr>
          <w:w w:val="108"/>
        </w:rPr>
        <w:t>r</w:t>
      </w:r>
      <w:r>
        <w:rPr/>
        <w:t> </w:t>
      </w:r>
      <w:r>
        <w:rPr>
          <w:spacing w:val="-18"/>
        </w:rPr>
        <w:t> </w:t>
      </w:r>
      <w:r>
        <w:rPr>
          <w:spacing w:val="1"/>
          <w:w w:val="105"/>
        </w:rPr>
        <w:t>e</w:t>
      </w:r>
      <w:r>
        <w:rPr>
          <w:w w:val="105"/>
        </w:rPr>
        <w:t>s</w:t>
      </w:r>
      <w:r>
        <w:rPr/>
        <w:t> </w:t>
      </w:r>
      <w:r>
        <w:rPr>
          <w:spacing w:val="-18"/>
        </w:rPr>
        <w:t> </w:t>
      </w:r>
      <w:r>
        <w:rPr>
          <w:spacing w:val="1"/>
          <w:w w:val="109"/>
        </w:rPr>
        <w:t>recuperado </w:t>
      </w:r>
      <w:r>
        <w:rPr>
          <w:w w:val="110"/>
        </w:rPr>
        <w:t>a través de la propuesta o enfoque teórico del “juego de dos niveles” (</w:t>
      </w:r>
      <w:r>
        <w:rPr>
          <w:i/>
          <w:w w:val="110"/>
        </w:rPr>
        <w:t>two-level game</w:t>
      </w:r>
      <w:r>
        <w:rPr>
          <w:w w:val="110"/>
        </w:rPr>
        <w:t>) propuesto desde finales de los años ochenta por Mi- chael doyle, robert Putnam y principios de los noventa con bruce russett</w:t>
      </w:r>
      <w:r>
        <w:rPr>
          <w:w w:val="110"/>
          <w:position w:val="6"/>
          <w:sz w:val="11"/>
        </w:rPr>
        <w:t>22</w:t>
      </w:r>
      <w:r>
        <w:rPr>
          <w:w w:val="110"/>
        </w:rPr>
        <w:t>,</w:t>
      </w:r>
      <w:r>
        <w:rPr>
          <w:spacing w:val="30"/>
          <w:w w:val="110"/>
        </w:rPr>
        <w:t> </w:t>
      </w:r>
      <w:r>
        <w:rPr>
          <w:w w:val="110"/>
        </w:rPr>
        <w:t>en</w:t>
      </w:r>
      <w:r>
        <w:rPr>
          <w:spacing w:val="30"/>
          <w:w w:val="110"/>
        </w:rPr>
        <w:t> </w:t>
      </w:r>
      <w:r>
        <w:rPr>
          <w:w w:val="110"/>
        </w:rPr>
        <w:t>el</w:t>
      </w:r>
      <w:r>
        <w:rPr>
          <w:spacing w:val="30"/>
          <w:w w:val="110"/>
        </w:rPr>
        <w:t> </w:t>
      </w:r>
      <w:r>
        <w:rPr>
          <w:w w:val="110"/>
        </w:rPr>
        <w:t>cual</w:t>
      </w:r>
      <w:r>
        <w:rPr>
          <w:spacing w:val="30"/>
          <w:w w:val="110"/>
        </w:rPr>
        <w:t> </w:t>
      </w:r>
      <w:r>
        <w:rPr>
          <w:w w:val="110"/>
        </w:rPr>
        <w:t>“los</w:t>
      </w:r>
      <w:r>
        <w:rPr>
          <w:spacing w:val="30"/>
          <w:w w:val="110"/>
        </w:rPr>
        <w:t> </w:t>
      </w:r>
      <w:r>
        <w:rPr>
          <w:w w:val="110"/>
        </w:rPr>
        <w:t>factores</w:t>
      </w:r>
      <w:r>
        <w:rPr>
          <w:spacing w:val="30"/>
          <w:w w:val="110"/>
        </w:rPr>
        <w:t> </w:t>
      </w:r>
      <w:r>
        <w:rPr>
          <w:w w:val="110"/>
        </w:rPr>
        <w:t>internos”</w:t>
      </w:r>
      <w:r>
        <w:rPr>
          <w:spacing w:val="30"/>
          <w:w w:val="110"/>
        </w:rPr>
        <w:t> </w:t>
      </w:r>
      <w:r>
        <w:rPr>
          <w:w w:val="110"/>
        </w:rPr>
        <w:t>reaparecieron</w:t>
      </w:r>
      <w:r>
        <w:rPr>
          <w:spacing w:val="30"/>
          <w:w w:val="110"/>
        </w:rPr>
        <w:t> </w:t>
      </w:r>
      <w:r>
        <w:rPr>
          <w:w w:val="110"/>
        </w:rPr>
        <w:t>en</w:t>
      </w:r>
      <w:r>
        <w:rPr>
          <w:spacing w:val="30"/>
          <w:w w:val="110"/>
        </w:rPr>
        <w:t> </w:t>
      </w:r>
      <w:r>
        <w:rPr>
          <w:w w:val="110"/>
        </w:rPr>
        <w:t>los</w:t>
      </w:r>
      <w:r>
        <w:rPr>
          <w:spacing w:val="30"/>
          <w:w w:val="110"/>
        </w:rPr>
        <w:t> </w:t>
      </w:r>
      <w:r>
        <w:rPr>
          <w:w w:val="110"/>
        </w:rPr>
        <w:t>es-</w:t>
      </w:r>
    </w:p>
    <w:p>
      <w:pPr>
        <w:pStyle w:val="BodyText"/>
        <w:rPr>
          <w:sz w:val="26"/>
        </w:rPr>
      </w:pPr>
      <w:r>
        <w:rPr/>
        <w:pict>
          <v:line style="position:absolute;mso-position-horizontal-relative:page;mso-position-vertical-relative:paragraph;z-index:5320;mso-wrap-distance-left:0;mso-wrap-distance-right:0" from="51.023701pt,17.473427pt" to="79.369701pt,17.473427pt" stroked="true" strokeweight=".5pt" strokecolor="#000000">
            <w10:wrap type="topAndBottom"/>
          </v:line>
        </w:pict>
      </w:r>
    </w:p>
    <w:p>
      <w:pPr>
        <w:pStyle w:val="ListParagraph"/>
        <w:numPr>
          <w:ilvl w:val="1"/>
          <w:numId w:val="12"/>
        </w:numPr>
        <w:tabs>
          <w:tab w:pos="376" w:val="left" w:leader="none"/>
        </w:tabs>
        <w:spacing w:line="242" w:lineRule="auto" w:before="89" w:after="0"/>
        <w:ind w:left="120" w:right="328" w:firstLine="0"/>
        <w:jc w:val="both"/>
        <w:rPr>
          <w:sz w:val="16"/>
        </w:rPr>
      </w:pPr>
      <w:r>
        <w:rPr>
          <w:w w:val="110"/>
          <w:sz w:val="16"/>
        </w:rPr>
        <w:t>al contar con las mismas preferencias, se vuelve irrelevante el grado de poder   o de información que posean los diferentes actores, pues elegirán y defenderán las mismas</w:t>
      </w:r>
      <w:r>
        <w:rPr>
          <w:spacing w:val="2"/>
          <w:w w:val="110"/>
          <w:sz w:val="16"/>
        </w:rPr>
        <w:t> </w:t>
      </w:r>
      <w:r>
        <w:rPr>
          <w:w w:val="110"/>
          <w:sz w:val="16"/>
        </w:rPr>
        <w:t>políticas.</w:t>
      </w:r>
    </w:p>
    <w:p>
      <w:pPr>
        <w:pStyle w:val="ListParagraph"/>
        <w:numPr>
          <w:ilvl w:val="1"/>
          <w:numId w:val="12"/>
        </w:numPr>
        <w:tabs>
          <w:tab w:pos="376" w:val="left" w:leader="none"/>
        </w:tabs>
        <w:spacing w:line="242" w:lineRule="auto" w:before="57" w:after="0"/>
        <w:ind w:left="120" w:right="328" w:firstLine="0"/>
        <w:jc w:val="both"/>
        <w:rPr>
          <w:sz w:val="16"/>
        </w:rPr>
      </w:pPr>
      <w:r>
        <w:rPr>
          <w:i/>
          <w:w w:val="110"/>
          <w:sz w:val="16"/>
        </w:rPr>
        <w:t>Cf</w:t>
      </w:r>
      <w:r>
        <w:rPr>
          <w:i/>
          <w:spacing w:val="-15"/>
          <w:w w:val="110"/>
          <w:sz w:val="16"/>
        </w:rPr>
        <w:t>r</w:t>
      </w:r>
      <w:r>
        <w:rPr>
          <w:i/>
          <w:w w:val="139"/>
          <w:sz w:val="16"/>
        </w:rPr>
        <w:t>.</w:t>
      </w:r>
      <w:r>
        <w:rPr>
          <w:i/>
          <w:sz w:val="16"/>
        </w:rPr>
        <w:t> </w:t>
      </w:r>
      <w:r>
        <w:rPr>
          <w:i/>
          <w:spacing w:val="-16"/>
          <w:sz w:val="16"/>
        </w:rPr>
        <w:t> </w:t>
      </w:r>
      <w:r>
        <w:rPr>
          <w:w w:val="111"/>
          <w:sz w:val="16"/>
        </w:rPr>
        <w:t>Michael</w:t>
      </w:r>
      <w:r>
        <w:rPr>
          <w:sz w:val="16"/>
        </w:rPr>
        <w:t> </w:t>
      </w:r>
      <w:r>
        <w:rPr>
          <w:spacing w:val="-16"/>
          <w:sz w:val="16"/>
        </w:rPr>
        <w:t> </w:t>
      </w:r>
      <w:r>
        <w:rPr>
          <w:w w:val="136"/>
          <w:sz w:val="16"/>
        </w:rPr>
        <w:t>d</w:t>
      </w:r>
      <w:r>
        <w:rPr>
          <w:w w:val="108"/>
          <w:sz w:val="16"/>
        </w:rPr>
        <w:t>oyle,</w:t>
      </w:r>
      <w:r>
        <w:rPr>
          <w:sz w:val="16"/>
        </w:rPr>
        <w:t> </w:t>
      </w:r>
      <w:r>
        <w:rPr>
          <w:spacing w:val="-16"/>
          <w:sz w:val="16"/>
        </w:rPr>
        <w:t> </w:t>
      </w:r>
      <w:r>
        <w:rPr>
          <w:w w:val="114"/>
          <w:sz w:val="16"/>
        </w:rPr>
        <w:t>“Kant,</w:t>
      </w:r>
      <w:r>
        <w:rPr>
          <w:sz w:val="16"/>
        </w:rPr>
        <w:t> </w:t>
      </w:r>
      <w:r>
        <w:rPr>
          <w:spacing w:val="-16"/>
          <w:sz w:val="16"/>
        </w:rPr>
        <w:t> </w:t>
      </w:r>
      <w:r>
        <w:rPr>
          <w:w w:val="238"/>
          <w:sz w:val="16"/>
        </w:rPr>
        <w:t>l</w:t>
      </w:r>
      <w:r>
        <w:rPr>
          <w:w w:val="107"/>
          <w:sz w:val="16"/>
        </w:rPr>
        <w:t>iberal</w:t>
      </w:r>
      <w:r>
        <w:rPr>
          <w:sz w:val="16"/>
        </w:rPr>
        <w:t> </w:t>
      </w:r>
      <w:r>
        <w:rPr>
          <w:spacing w:val="-16"/>
          <w:sz w:val="16"/>
        </w:rPr>
        <w:t> </w:t>
      </w:r>
      <w:r>
        <w:rPr>
          <w:w w:val="238"/>
          <w:sz w:val="16"/>
        </w:rPr>
        <w:t>l</w:t>
      </w:r>
      <w:r>
        <w:rPr>
          <w:w w:val="109"/>
          <w:sz w:val="16"/>
        </w:rPr>
        <w:t>egacies,</w:t>
      </w:r>
      <w:r>
        <w:rPr>
          <w:sz w:val="16"/>
        </w:rPr>
        <w:t> </w:t>
      </w:r>
      <w:r>
        <w:rPr>
          <w:spacing w:val="-16"/>
          <w:sz w:val="16"/>
        </w:rPr>
        <w:t> </w:t>
      </w:r>
      <w:r>
        <w:rPr>
          <w:w w:val="108"/>
          <w:sz w:val="16"/>
        </w:rPr>
        <w:t>and</w:t>
      </w:r>
      <w:r>
        <w:rPr>
          <w:sz w:val="16"/>
        </w:rPr>
        <w:t> </w:t>
      </w:r>
      <w:r>
        <w:rPr>
          <w:spacing w:val="-16"/>
          <w:sz w:val="16"/>
        </w:rPr>
        <w:t> </w:t>
      </w:r>
      <w:r>
        <w:rPr>
          <w:w w:val="108"/>
          <w:sz w:val="16"/>
        </w:rPr>
        <w:t>Foreign</w:t>
      </w:r>
      <w:r>
        <w:rPr>
          <w:sz w:val="16"/>
        </w:rPr>
        <w:t> </w:t>
      </w:r>
      <w:r>
        <w:rPr>
          <w:spacing w:val="-16"/>
          <w:sz w:val="16"/>
        </w:rPr>
        <w:t> </w:t>
      </w:r>
      <w:r>
        <w:rPr>
          <w:w w:val="136"/>
          <w:sz w:val="16"/>
        </w:rPr>
        <w:t>a</w:t>
      </w:r>
      <w:r>
        <w:rPr>
          <w:spacing w:val="-3"/>
          <w:w w:val="116"/>
          <w:sz w:val="16"/>
        </w:rPr>
        <w:t>f</w:t>
      </w:r>
      <w:r>
        <w:rPr>
          <w:w w:val="111"/>
          <w:sz w:val="16"/>
        </w:rPr>
        <w:t>fairs”,</w:t>
      </w:r>
      <w:r>
        <w:rPr>
          <w:sz w:val="16"/>
        </w:rPr>
        <w:t> </w:t>
      </w:r>
      <w:r>
        <w:rPr>
          <w:spacing w:val="-16"/>
          <w:sz w:val="16"/>
        </w:rPr>
        <w:t> </w:t>
      </w:r>
      <w:r>
        <w:rPr>
          <w:w w:val="106"/>
          <w:sz w:val="16"/>
        </w:rPr>
        <w:t>en</w:t>
      </w:r>
      <w:r>
        <w:rPr>
          <w:sz w:val="16"/>
        </w:rPr>
        <w:t> </w:t>
      </w:r>
      <w:r>
        <w:rPr>
          <w:spacing w:val="-16"/>
          <w:sz w:val="16"/>
        </w:rPr>
        <w:t> </w:t>
      </w:r>
      <w:r>
        <w:rPr>
          <w:i/>
          <w:w w:val="109"/>
          <w:sz w:val="16"/>
        </w:rPr>
        <w:t>Philosophy</w:t>
      </w:r>
      <w:r>
        <w:rPr>
          <w:i/>
          <w:w w:val="109"/>
          <w:sz w:val="16"/>
        </w:rPr>
        <w:t> </w:t>
      </w:r>
      <w:r>
        <w:rPr>
          <w:i/>
          <w:w w:val="107"/>
          <w:sz w:val="16"/>
        </w:rPr>
        <w:t>and</w:t>
      </w:r>
      <w:r>
        <w:rPr>
          <w:i/>
          <w:spacing w:val="7"/>
          <w:sz w:val="16"/>
        </w:rPr>
        <w:t> </w:t>
      </w:r>
      <w:r>
        <w:rPr>
          <w:i/>
          <w:w w:val="111"/>
          <w:sz w:val="16"/>
        </w:rPr>
        <w:t>Public</w:t>
      </w:r>
      <w:r>
        <w:rPr>
          <w:i/>
          <w:spacing w:val="7"/>
          <w:sz w:val="16"/>
        </w:rPr>
        <w:t> </w:t>
      </w:r>
      <w:r>
        <w:rPr>
          <w:i/>
          <w:w w:val="109"/>
          <w:sz w:val="16"/>
        </w:rPr>
        <w:t>A</w:t>
      </w:r>
      <w:r>
        <w:rPr>
          <w:i/>
          <w:spacing w:val="-3"/>
          <w:w w:val="109"/>
          <w:sz w:val="16"/>
        </w:rPr>
        <w:t>f</w:t>
      </w:r>
      <w:r>
        <w:rPr>
          <w:i/>
          <w:w w:val="106"/>
          <w:sz w:val="16"/>
        </w:rPr>
        <w:t>fairs</w:t>
      </w:r>
      <w:r>
        <w:rPr>
          <w:w w:val="135"/>
          <w:sz w:val="16"/>
        </w:rPr>
        <w:t>,</w:t>
      </w:r>
      <w:r>
        <w:rPr>
          <w:spacing w:val="7"/>
          <w:sz w:val="16"/>
        </w:rPr>
        <w:t> </w:t>
      </w:r>
      <w:r>
        <w:rPr>
          <w:w w:val="100"/>
          <w:sz w:val="16"/>
        </w:rPr>
        <w:t>1983;</w:t>
      </w:r>
      <w:r>
        <w:rPr>
          <w:spacing w:val="7"/>
          <w:sz w:val="16"/>
        </w:rPr>
        <w:t> </w:t>
      </w:r>
      <w:r>
        <w:rPr>
          <w:w w:val="179"/>
          <w:sz w:val="16"/>
        </w:rPr>
        <w:t>r</w:t>
      </w:r>
      <w:r>
        <w:rPr>
          <w:w w:val="105"/>
          <w:sz w:val="16"/>
        </w:rPr>
        <w:t>obert</w:t>
      </w:r>
      <w:r>
        <w:rPr>
          <w:spacing w:val="7"/>
          <w:sz w:val="16"/>
        </w:rPr>
        <w:t> </w:t>
      </w:r>
      <w:r>
        <w:rPr>
          <w:w w:val="111"/>
          <w:sz w:val="16"/>
        </w:rPr>
        <w:t>Putnam,</w:t>
      </w:r>
      <w:r>
        <w:rPr>
          <w:spacing w:val="7"/>
          <w:sz w:val="16"/>
        </w:rPr>
        <w:t> </w:t>
      </w:r>
      <w:r>
        <w:rPr>
          <w:w w:val="113"/>
          <w:sz w:val="16"/>
        </w:rPr>
        <w:t>“</w:t>
      </w:r>
      <w:r>
        <w:rPr>
          <w:w w:val="136"/>
          <w:sz w:val="16"/>
        </w:rPr>
        <w:t>d</w:t>
      </w:r>
      <w:r>
        <w:rPr>
          <w:w w:val="109"/>
          <w:sz w:val="16"/>
        </w:rPr>
        <w:t>iplomacy</w:t>
      </w:r>
      <w:r>
        <w:rPr>
          <w:spacing w:val="7"/>
          <w:sz w:val="16"/>
        </w:rPr>
        <w:t> </w:t>
      </w:r>
      <w:r>
        <w:rPr>
          <w:w w:val="108"/>
          <w:sz w:val="16"/>
        </w:rPr>
        <w:t>and</w:t>
      </w:r>
      <w:r>
        <w:rPr>
          <w:spacing w:val="7"/>
          <w:sz w:val="16"/>
        </w:rPr>
        <w:t> </w:t>
      </w:r>
      <w:r>
        <w:rPr>
          <w:w w:val="136"/>
          <w:sz w:val="16"/>
        </w:rPr>
        <w:t>d</w:t>
      </w:r>
      <w:r>
        <w:rPr>
          <w:w w:val="108"/>
          <w:sz w:val="16"/>
        </w:rPr>
        <w:t>omestic</w:t>
      </w:r>
      <w:r>
        <w:rPr>
          <w:spacing w:val="7"/>
          <w:sz w:val="16"/>
        </w:rPr>
        <w:t> </w:t>
      </w:r>
      <w:r>
        <w:rPr>
          <w:w w:val="108"/>
          <w:sz w:val="16"/>
        </w:rPr>
        <w:t>Politics:</w:t>
      </w:r>
      <w:r>
        <w:rPr>
          <w:spacing w:val="7"/>
          <w:sz w:val="16"/>
        </w:rPr>
        <w:t> </w:t>
      </w:r>
      <w:r>
        <w:rPr>
          <w:w w:val="191"/>
          <w:sz w:val="16"/>
        </w:rPr>
        <w:t>t</w:t>
      </w:r>
      <w:r>
        <w:rPr>
          <w:w w:val="106"/>
          <w:sz w:val="16"/>
        </w:rPr>
        <w:t>he</w:t>
      </w:r>
      <w:r>
        <w:rPr>
          <w:spacing w:val="7"/>
          <w:sz w:val="16"/>
        </w:rPr>
        <w:t> </w:t>
      </w:r>
      <w:r>
        <w:rPr>
          <w:w w:val="238"/>
          <w:sz w:val="16"/>
        </w:rPr>
        <w:t>l</w:t>
      </w:r>
      <w:r>
        <w:rPr>
          <w:w w:val="108"/>
          <w:sz w:val="16"/>
        </w:rPr>
        <w:t>o</w:t>
      </w:r>
      <w:r>
        <w:rPr>
          <w:w w:val="100"/>
          <w:sz w:val="16"/>
        </w:rPr>
        <w:t>- </w:t>
      </w:r>
      <w:r>
        <w:rPr>
          <w:w w:val="111"/>
          <w:sz w:val="16"/>
        </w:rPr>
        <w:t>gic</w:t>
      </w:r>
      <w:r>
        <w:rPr>
          <w:spacing w:val="17"/>
          <w:sz w:val="16"/>
        </w:rPr>
        <w:t> </w:t>
      </w:r>
      <w:r>
        <w:rPr>
          <w:w w:val="111"/>
          <w:sz w:val="16"/>
        </w:rPr>
        <w:t>of</w:t>
      </w:r>
      <w:r>
        <w:rPr>
          <w:spacing w:val="17"/>
          <w:sz w:val="16"/>
        </w:rPr>
        <w:t> </w:t>
      </w:r>
      <w:r>
        <w:rPr>
          <w:spacing w:val="-21"/>
          <w:w w:val="191"/>
          <w:sz w:val="16"/>
        </w:rPr>
        <w:t>t</w:t>
      </w:r>
      <w:r>
        <w:rPr>
          <w:w w:val="104"/>
          <w:sz w:val="16"/>
        </w:rPr>
        <w:t>wo-</w:t>
      </w:r>
      <w:r>
        <w:rPr>
          <w:w w:val="238"/>
          <w:sz w:val="16"/>
        </w:rPr>
        <w:t>l</w:t>
      </w:r>
      <w:r>
        <w:rPr>
          <w:w w:val="102"/>
          <w:sz w:val="16"/>
        </w:rPr>
        <w:t>evel</w:t>
      </w:r>
      <w:r>
        <w:rPr>
          <w:spacing w:val="17"/>
          <w:sz w:val="16"/>
        </w:rPr>
        <w:t> </w:t>
      </w:r>
      <w:r>
        <w:rPr>
          <w:w w:val="113"/>
          <w:sz w:val="16"/>
        </w:rPr>
        <w:t>Games”,</w:t>
      </w:r>
      <w:r>
        <w:rPr>
          <w:spacing w:val="17"/>
          <w:sz w:val="16"/>
        </w:rPr>
        <w:t> </w:t>
      </w:r>
      <w:r>
        <w:rPr>
          <w:w w:val="106"/>
          <w:sz w:val="16"/>
        </w:rPr>
        <w:t>en</w:t>
      </w:r>
      <w:r>
        <w:rPr>
          <w:spacing w:val="17"/>
          <w:sz w:val="16"/>
        </w:rPr>
        <w:t> </w:t>
      </w:r>
      <w:r>
        <w:rPr>
          <w:i/>
          <w:w w:val="106"/>
          <w:sz w:val="16"/>
        </w:rPr>
        <w:t>International</w:t>
      </w:r>
      <w:r>
        <w:rPr>
          <w:i/>
          <w:spacing w:val="17"/>
          <w:sz w:val="16"/>
        </w:rPr>
        <w:t> </w:t>
      </w:r>
      <w:r>
        <w:rPr>
          <w:i/>
          <w:w w:val="153"/>
          <w:sz w:val="16"/>
        </w:rPr>
        <w:t>o</w:t>
      </w:r>
      <w:r>
        <w:rPr>
          <w:i/>
          <w:w w:val="104"/>
          <w:sz w:val="16"/>
        </w:rPr>
        <w:t>rganization</w:t>
      </w:r>
      <w:r>
        <w:rPr>
          <w:w w:val="135"/>
          <w:sz w:val="16"/>
        </w:rPr>
        <w:t>,</w:t>
      </w:r>
      <w:r>
        <w:rPr>
          <w:spacing w:val="17"/>
          <w:sz w:val="16"/>
        </w:rPr>
        <w:t> </w:t>
      </w:r>
      <w:r>
        <w:rPr>
          <w:w w:val="102"/>
          <w:sz w:val="16"/>
        </w:rPr>
        <w:t>Nº</w:t>
      </w:r>
      <w:r>
        <w:rPr>
          <w:spacing w:val="17"/>
          <w:sz w:val="16"/>
        </w:rPr>
        <w:t> </w:t>
      </w:r>
      <w:r>
        <w:rPr>
          <w:w w:val="100"/>
          <w:sz w:val="16"/>
        </w:rPr>
        <w:t>42</w:t>
      </w:r>
      <w:r>
        <w:rPr>
          <w:spacing w:val="17"/>
          <w:sz w:val="16"/>
        </w:rPr>
        <w:t> </w:t>
      </w:r>
      <w:r>
        <w:rPr>
          <w:w w:val="96"/>
          <w:sz w:val="16"/>
        </w:rPr>
        <w:t>(</w:t>
      </w:r>
      <w:r>
        <w:rPr>
          <w:w w:val="146"/>
          <w:sz w:val="16"/>
        </w:rPr>
        <w:t>s</w:t>
      </w:r>
      <w:r>
        <w:rPr>
          <w:w w:val="108"/>
          <w:sz w:val="16"/>
        </w:rPr>
        <w:t>ummer),</w:t>
      </w:r>
      <w:r>
        <w:rPr>
          <w:spacing w:val="17"/>
          <w:sz w:val="16"/>
        </w:rPr>
        <w:t> </w:t>
      </w:r>
      <w:r>
        <w:rPr>
          <w:w w:val="103"/>
          <w:sz w:val="16"/>
        </w:rPr>
        <w:t>1988,</w:t>
      </w:r>
      <w:r>
        <w:rPr>
          <w:spacing w:val="17"/>
          <w:sz w:val="16"/>
        </w:rPr>
        <w:t> </w:t>
      </w:r>
      <w:r>
        <w:rPr>
          <w:w w:val="111"/>
          <w:sz w:val="16"/>
        </w:rPr>
        <w:t>pp. </w:t>
      </w:r>
      <w:r>
        <w:rPr>
          <w:w w:val="100"/>
          <w:sz w:val="16"/>
        </w:rPr>
        <w:t>427-60;</w:t>
      </w:r>
      <w:r>
        <w:rPr>
          <w:spacing w:val="9"/>
          <w:sz w:val="16"/>
        </w:rPr>
        <w:t> </w:t>
      </w:r>
      <w:r>
        <w:rPr>
          <w:w w:val="102"/>
          <w:sz w:val="16"/>
        </w:rPr>
        <w:t>y</w:t>
      </w:r>
      <w:r>
        <w:rPr>
          <w:spacing w:val="9"/>
          <w:sz w:val="16"/>
        </w:rPr>
        <w:t> </w:t>
      </w:r>
      <w:r>
        <w:rPr>
          <w:w w:val="131"/>
          <w:sz w:val="16"/>
        </w:rPr>
        <w:t>b</w:t>
      </w:r>
      <w:r>
        <w:rPr>
          <w:w w:val="107"/>
          <w:sz w:val="16"/>
        </w:rPr>
        <w:t>ruce</w:t>
      </w:r>
      <w:r>
        <w:rPr>
          <w:spacing w:val="9"/>
          <w:sz w:val="16"/>
        </w:rPr>
        <w:t> </w:t>
      </w:r>
      <w:r>
        <w:rPr>
          <w:w w:val="179"/>
          <w:sz w:val="16"/>
        </w:rPr>
        <w:t>r</w:t>
      </w:r>
      <w:r>
        <w:rPr>
          <w:w w:val="107"/>
          <w:sz w:val="16"/>
        </w:rPr>
        <w:t>ussett,</w:t>
      </w:r>
      <w:r>
        <w:rPr>
          <w:spacing w:val="9"/>
          <w:sz w:val="16"/>
        </w:rPr>
        <w:t> </w:t>
      </w:r>
      <w:r>
        <w:rPr>
          <w:w w:val="108"/>
          <w:sz w:val="16"/>
        </w:rPr>
        <w:t>“Why</w:t>
      </w:r>
      <w:r>
        <w:rPr>
          <w:spacing w:val="9"/>
          <w:sz w:val="16"/>
        </w:rPr>
        <w:t> </w:t>
      </w:r>
      <w:r>
        <w:rPr>
          <w:w w:val="136"/>
          <w:sz w:val="16"/>
        </w:rPr>
        <w:t>d</w:t>
      </w:r>
      <w:r>
        <w:rPr>
          <w:w w:val="108"/>
          <w:sz w:val="16"/>
        </w:rPr>
        <w:t>emocratic</w:t>
      </w:r>
      <w:r>
        <w:rPr>
          <w:spacing w:val="9"/>
          <w:sz w:val="16"/>
        </w:rPr>
        <w:t> </w:t>
      </w:r>
      <w:r>
        <w:rPr>
          <w:w w:val="110"/>
          <w:sz w:val="16"/>
        </w:rPr>
        <w:t>Peace?”,</w:t>
      </w:r>
      <w:r>
        <w:rPr>
          <w:spacing w:val="9"/>
          <w:sz w:val="16"/>
        </w:rPr>
        <w:t> </w:t>
      </w:r>
      <w:r>
        <w:rPr>
          <w:w w:val="121"/>
          <w:sz w:val="16"/>
        </w:rPr>
        <w:t>M.</w:t>
      </w:r>
      <w:r>
        <w:rPr>
          <w:spacing w:val="9"/>
          <w:sz w:val="16"/>
        </w:rPr>
        <w:t> </w:t>
      </w:r>
      <w:r>
        <w:rPr>
          <w:w w:val="131"/>
          <w:sz w:val="16"/>
        </w:rPr>
        <w:t>b</w:t>
      </w:r>
      <w:r>
        <w:rPr>
          <w:w w:val="108"/>
          <w:sz w:val="16"/>
        </w:rPr>
        <w:t>rown,</w:t>
      </w:r>
      <w:r>
        <w:rPr>
          <w:spacing w:val="9"/>
          <w:sz w:val="16"/>
        </w:rPr>
        <w:t> </w:t>
      </w:r>
      <w:r>
        <w:rPr>
          <w:w w:val="146"/>
          <w:sz w:val="16"/>
        </w:rPr>
        <w:t>s</w:t>
      </w:r>
      <w:r>
        <w:rPr>
          <w:w w:val="135"/>
          <w:sz w:val="16"/>
        </w:rPr>
        <w:t>.</w:t>
      </w:r>
      <w:r>
        <w:rPr>
          <w:spacing w:val="9"/>
          <w:sz w:val="16"/>
        </w:rPr>
        <w:t> </w:t>
      </w:r>
      <w:r>
        <w:rPr>
          <w:spacing w:val="-15"/>
          <w:w w:val="238"/>
          <w:sz w:val="16"/>
        </w:rPr>
        <w:t>l</w:t>
      </w:r>
      <w:r>
        <w:rPr>
          <w:w w:val="109"/>
          <w:sz w:val="16"/>
        </w:rPr>
        <w:t>ynn-Jones</w:t>
      </w:r>
      <w:r>
        <w:rPr>
          <w:spacing w:val="9"/>
          <w:sz w:val="16"/>
        </w:rPr>
        <w:t> </w:t>
      </w:r>
      <w:r>
        <w:rPr>
          <w:w w:val="108"/>
          <w:sz w:val="16"/>
        </w:rPr>
        <w:t>and</w:t>
      </w:r>
      <w:r>
        <w:rPr>
          <w:spacing w:val="9"/>
          <w:sz w:val="16"/>
        </w:rPr>
        <w:t> </w:t>
      </w:r>
      <w:r>
        <w:rPr>
          <w:w w:val="146"/>
          <w:sz w:val="16"/>
        </w:rPr>
        <w:t>s</w:t>
      </w:r>
      <w:r>
        <w:rPr>
          <w:w w:val="135"/>
          <w:sz w:val="16"/>
        </w:rPr>
        <w:t>.</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6"/>
        <w:jc w:val="both"/>
      </w:pPr>
      <w:r>
        <w:rPr>
          <w:w w:val="115"/>
        </w:rPr>
        <w:t>quemas</w:t>
      </w:r>
      <w:r>
        <w:rPr>
          <w:spacing w:val="-12"/>
          <w:w w:val="115"/>
        </w:rPr>
        <w:t> </w:t>
      </w:r>
      <w:r>
        <w:rPr>
          <w:w w:val="115"/>
        </w:rPr>
        <w:t>teóricos</w:t>
      </w:r>
      <w:r>
        <w:rPr>
          <w:spacing w:val="-12"/>
          <w:w w:val="115"/>
        </w:rPr>
        <w:t> </w:t>
      </w:r>
      <w:r>
        <w:rPr>
          <w:w w:val="115"/>
        </w:rPr>
        <w:t>de</w:t>
      </w:r>
      <w:r>
        <w:rPr>
          <w:spacing w:val="-12"/>
          <w:w w:val="115"/>
        </w:rPr>
        <w:t> </w:t>
      </w:r>
      <w:r>
        <w:rPr>
          <w:w w:val="115"/>
        </w:rPr>
        <w:t>las</w:t>
      </w:r>
      <w:r>
        <w:rPr>
          <w:spacing w:val="-12"/>
          <w:w w:val="115"/>
        </w:rPr>
        <w:t> </w:t>
      </w:r>
      <w:r>
        <w:rPr>
          <w:w w:val="115"/>
        </w:rPr>
        <w:t>relaciones</w:t>
      </w:r>
      <w:r>
        <w:rPr>
          <w:spacing w:val="-12"/>
          <w:w w:val="115"/>
        </w:rPr>
        <w:t> </w:t>
      </w:r>
      <w:r>
        <w:rPr>
          <w:w w:val="115"/>
        </w:rPr>
        <w:t>internacionales.</w:t>
      </w:r>
      <w:r>
        <w:rPr>
          <w:spacing w:val="-12"/>
          <w:w w:val="115"/>
        </w:rPr>
        <w:t> </w:t>
      </w:r>
      <w:r>
        <w:rPr>
          <w:w w:val="115"/>
        </w:rPr>
        <w:t>En</w:t>
      </w:r>
      <w:r>
        <w:rPr>
          <w:spacing w:val="-12"/>
          <w:w w:val="115"/>
        </w:rPr>
        <w:t> </w:t>
      </w:r>
      <w:r>
        <w:rPr>
          <w:w w:val="115"/>
        </w:rPr>
        <w:t>el</w:t>
      </w:r>
      <w:r>
        <w:rPr>
          <w:spacing w:val="-12"/>
          <w:w w:val="115"/>
        </w:rPr>
        <w:t> </w:t>
      </w:r>
      <w:r>
        <w:rPr>
          <w:w w:val="115"/>
        </w:rPr>
        <w:t>enfoque</w:t>
      </w:r>
      <w:r>
        <w:rPr>
          <w:spacing w:val="-12"/>
          <w:w w:val="115"/>
        </w:rPr>
        <w:t> </w:t>
      </w:r>
      <w:r>
        <w:rPr>
          <w:w w:val="115"/>
        </w:rPr>
        <w:t>del juego</w:t>
      </w:r>
      <w:r>
        <w:rPr>
          <w:spacing w:val="-20"/>
          <w:w w:val="115"/>
        </w:rPr>
        <w:t> </w:t>
      </w:r>
      <w:r>
        <w:rPr>
          <w:w w:val="115"/>
        </w:rPr>
        <w:t>en</w:t>
      </w:r>
      <w:r>
        <w:rPr>
          <w:spacing w:val="-20"/>
          <w:w w:val="115"/>
        </w:rPr>
        <w:t> </w:t>
      </w:r>
      <w:r>
        <w:rPr>
          <w:w w:val="115"/>
        </w:rPr>
        <w:t>dos</w:t>
      </w:r>
      <w:r>
        <w:rPr>
          <w:spacing w:val="-20"/>
          <w:w w:val="115"/>
        </w:rPr>
        <w:t> </w:t>
      </w:r>
      <w:r>
        <w:rPr>
          <w:w w:val="115"/>
        </w:rPr>
        <w:t>niveles:</w:t>
      </w:r>
    </w:p>
    <w:p>
      <w:pPr>
        <w:pStyle w:val="BodyText"/>
        <w:spacing w:before="10"/>
        <w:rPr>
          <w:sz w:val="15"/>
        </w:rPr>
      </w:pPr>
    </w:p>
    <w:p>
      <w:pPr>
        <w:pStyle w:val="ListParagraph"/>
        <w:numPr>
          <w:ilvl w:val="0"/>
          <w:numId w:val="21"/>
        </w:numPr>
        <w:tabs>
          <w:tab w:pos="955" w:val="left" w:leader="none"/>
        </w:tabs>
        <w:spacing w:line="240" w:lineRule="auto" w:before="0" w:after="0"/>
        <w:ind w:left="954" w:right="117" w:hanging="227"/>
        <w:jc w:val="left"/>
        <w:rPr>
          <w:sz w:val="19"/>
        </w:rPr>
      </w:pPr>
      <w:r>
        <w:rPr>
          <w:w w:val="243"/>
          <w:sz w:val="19"/>
        </w:rPr>
        <w:t>l</w:t>
      </w:r>
      <w:r>
        <w:rPr>
          <w:w w:val="108"/>
          <w:sz w:val="19"/>
        </w:rPr>
        <w:t>os</w:t>
      </w:r>
      <w:r>
        <w:rPr>
          <w:sz w:val="19"/>
        </w:rPr>
        <w:t> </w:t>
      </w:r>
      <w:r>
        <w:rPr>
          <w:w w:val="108"/>
          <w:sz w:val="19"/>
        </w:rPr>
        <w:t>actores</w:t>
      </w:r>
      <w:r>
        <w:rPr>
          <w:sz w:val="19"/>
        </w:rPr>
        <w:t> </w:t>
      </w:r>
      <w:r>
        <w:rPr>
          <w:w w:val="110"/>
          <w:sz w:val="19"/>
        </w:rPr>
        <w:t>políticos</w:t>
      </w:r>
      <w:r>
        <w:rPr>
          <w:sz w:val="19"/>
        </w:rPr>
        <w:t> </w:t>
      </w:r>
      <w:r>
        <w:rPr>
          <w:w w:val="108"/>
          <w:sz w:val="19"/>
        </w:rPr>
        <w:t>tienen</w:t>
      </w:r>
      <w:r>
        <w:rPr>
          <w:sz w:val="19"/>
        </w:rPr>
        <w:t> </w:t>
      </w:r>
      <w:r>
        <w:rPr>
          <w:w w:val="112"/>
          <w:sz w:val="19"/>
        </w:rPr>
        <w:t>incidencia</w:t>
      </w:r>
      <w:r>
        <w:rPr>
          <w:sz w:val="19"/>
        </w:rPr>
        <w:t> </w:t>
      </w:r>
      <w:r>
        <w:rPr>
          <w:w w:val="109"/>
          <w:sz w:val="19"/>
        </w:rPr>
        <w:t>tanto</w:t>
      </w:r>
      <w:r>
        <w:rPr>
          <w:sz w:val="19"/>
        </w:rPr>
        <w:t> </w:t>
      </w:r>
      <w:r>
        <w:rPr>
          <w:w w:val="108"/>
          <w:sz w:val="19"/>
        </w:rPr>
        <w:t>en</w:t>
      </w:r>
      <w:r>
        <w:rPr>
          <w:sz w:val="19"/>
        </w:rPr>
        <w:t> </w:t>
      </w:r>
      <w:r>
        <w:rPr>
          <w:w w:val="111"/>
          <w:sz w:val="19"/>
        </w:rPr>
        <w:t>la</w:t>
      </w:r>
      <w:r>
        <w:rPr>
          <w:sz w:val="19"/>
        </w:rPr>
        <w:t> </w:t>
      </w:r>
      <w:r>
        <w:rPr>
          <w:w w:val="109"/>
          <w:sz w:val="19"/>
        </w:rPr>
        <w:t>arena</w:t>
      </w:r>
      <w:r>
        <w:rPr>
          <w:sz w:val="19"/>
        </w:rPr>
        <w:t> </w:t>
      </w:r>
      <w:r>
        <w:rPr>
          <w:w w:val="109"/>
          <w:sz w:val="19"/>
        </w:rPr>
        <w:t>interna </w:t>
      </w:r>
      <w:r>
        <w:rPr>
          <w:w w:val="110"/>
          <w:sz w:val="19"/>
        </w:rPr>
        <w:t>(</w:t>
      </w:r>
      <w:r>
        <w:rPr>
          <w:i/>
          <w:w w:val="110"/>
          <w:sz w:val="19"/>
        </w:rPr>
        <w:t>domestic game</w:t>
      </w:r>
      <w:r>
        <w:rPr>
          <w:w w:val="110"/>
          <w:sz w:val="19"/>
        </w:rPr>
        <w:t>) como en la internacional (</w:t>
      </w:r>
      <w:r>
        <w:rPr>
          <w:i/>
          <w:w w:val="110"/>
          <w:sz w:val="19"/>
        </w:rPr>
        <w:t>international</w:t>
      </w:r>
      <w:r>
        <w:rPr>
          <w:i/>
          <w:spacing w:val="-27"/>
          <w:w w:val="110"/>
          <w:sz w:val="19"/>
        </w:rPr>
        <w:t> </w:t>
      </w:r>
      <w:r>
        <w:rPr>
          <w:i/>
          <w:w w:val="110"/>
          <w:sz w:val="19"/>
        </w:rPr>
        <w:t>game</w:t>
      </w:r>
      <w:r>
        <w:rPr>
          <w:w w:val="110"/>
          <w:sz w:val="19"/>
        </w:rPr>
        <w:t>).</w:t>
      </w:r>
    </w:p>
    <w:p>
      <w:pPr>
        <w:pStyle w:val="ListParagraph"/>
        <w:numPr>
          <w:ilvl w:val="0"/>
          <w:numId w:val="21"/>
        </w:numPr>
        <w:tabs>
          <w:tab w:pos="955" w:val="left" w:leader="none"/>
        </w:tabs>
        <w:spacing w:line="240" w:lineRule="auto" w:before="49" w:after="0"/>
        <w:ind w:left="954" w:right="0" w:hanging="227"/>
        <w:jc w:val="left"/>
        <w:rPr>
          <w:sz w:val="19"/>
        </w:rPr>
      </w:pPr>
      <w:r>
        <w:rPr>
          <w:w w:val="110"/>
          <w:sz w:val="19"/>
        </w:rPr>
        <w:t>buscan alcanzar sus metas en ambos </w:t>
      </w:r>
      <w:r>
        <w:rPr>
          <w:spacing w:val="36"/>
          <w:w w:val="110"/>
          <w:sz w:val="19"/>
        </w:rPr>
        <w:t> </w:t>
      </w:r>
      <w:r>
        <w:rPr>
          <w:w w:val="110"/>
          <w:sz w:val="19"/>
        </w:rPr>
        <w:t>niveles.</w:t>
      </w:r>
    </w:p>
    <w:p>
      <w:pPr>
        <w:pStyle w:val="ListParagraph"/>
        <w:numPr>
          <w:ilvl w:val="0"/>
          <w:numId w:val="21"/>
        </w:numPr>
        <w:tabs>
          <w:tab w:pos="955" w:val="left" w:leader="none"/>
        </w:tabs>
        <w:spacing w:line="240" w:lineRule="auto" w:before="37" w:after="0"/>
        <w:ind w:left="954" w:right="118" w:hanging="227"/>
        <w:jc w:val="left"/>
        <w:rPr>
          <w:sz w:val="19"/>
        </w:rPr>
      </w:pPr>
      <w:r>
        <w:rPr>
          <w:w w:val="110"/>
          <w:sz w:val="19"/>
        </w:rPr>
        <w:t>Enfrentan diferentes tipos de obstáculos y presiones en cada uno de esos escenarios y</w:t>
      </w:r>
      <w:r>
        <w:rPr>
          <w:spacing w:val="8"/>
          <w:w w:val="110"/>
          <w:sz w:val="19"/>
        </w:rPr>
        <w:t> </w:t>
      </w:r>
      <w:r>
        <w:rPr>
          <w:w w:val="110"/>
          <w:sz w:val="19"/>
        </w:rPr>
        <w:t>niveles.</w:t>
      </w:r>
    </w:p>
    <w:p>
      <w:pPr>
        <w:pStyle w:val="ListParagraph"/>
        <w:numPr>
          <w:ilvl w:val="0"/>
          <w:numId w:val="21"/>
        </w:numPr>
        <w:tabs>
          <w:tab w:pos="955" w:val="left" w:leader="none"/>
        </w:tabs>
        <w:spacing w:line="240" w:lineRule="auto" w:before="49" w:after="0"/>
        <w:ind w:left="954" w:right="118" w:hanging="227"/>
        <w:jc w:val="left"/>
        <w:rPr>
          <w:sz w:val="19"/>
        </w:rPr>
      </w:pPr>
      <w:r>
        <w:rPr>
          <w:w w:val="243"/>
          <w:sz w:val="19"/>
        </w:rPr>
        <w:t>l</w:t>
      </w:r>
      <w:r>
        <w:rPr>
          <w:w w:val="108"/>
          <w:sz w:val="19"/>
        </w:rPr>
        <w:t>os</w:t>
      </w:r>
      <w:r>
        <w:rPr>
          <w:sz w:val="19"/>
        </w:rPr>
        <w:t> </w:t>
      </w:r>
      <w:r>
        <w:rPr>
          <w:spacing w:val="-13"/>
          <w:sz w:val="19"/>
        </w:rPr>
        <w:t> </w:t>
      </w:r>
      <w:r>
        <w:rPr>
          <w:w w:val="108"/>
          <w:sz w:val="19"/>
        </w:rPr>
        <w:t>actores</w:t>
      </w:r>
      <w:r>
        <w:rPr>
          <w:sz w:val="19"/>
        </w:rPr>
        <w:t> </w:t>
      </w:r>
      <w:r>
        <w:rPr>
          <w:spacing w:val="-13"/>
          <w:sz w:val="19"/>
        </w:rPr>
        <w:t> </w:t>
      </w:r>
      <w:r>
        <w:rPr>
          <w:w w:val="109"/>
          <w:sz w:val="19"/>
        </w:rPr>
        <w:t>operan</w:t>
      </w:r>
      <w:r>
        <w:rPr>
          <w:sz w:val="19"/>
        </w:rPr>
        <w:t> </w:t>
      </w:r>
      <w:r>
        <w:rPr>
          <w:spacing w:val="-13"/>
          <w:sz w:val="19"/>
        </w:rPr>
        <w:t> </w:t>
      </w:r>
      <w:r>
        <w:rPr>
          <w:w w:val="112"/>
          <w:sz w:val="19"/>
        </w:rPr>
        <w:t>a</w:t>
      </w:r>
      <w:r>
        <w:rPr>
          <w:sz w:val="19"/>
        </w:rPr>
        <w:t> </w:t>
      </w:r>
      <w:r>
        <w:rPr>
          <w:spacing w:val="-13"/>
          <w:sz w:val="19"/>
        </w:rPr>
        <w:t> </w:t>
      </w:r>
      <w:r>
        <w:rPr>
          <w:w w:val="105"/>
          <w:sz w:val="19"/>
        </w:rPr>
        <w:t>través</w:t>
      </w:r>
      <w:r>
        <w:rPr>
          <w:sz w:val="19"/>
        </w:rPr>
        <w:t> </w:t>
      </w:r>
      <w:r>
        <w:rPr>
          <w:spacing w:val="-13"/>
          <w:sz w:val="19"/>
        </w:rPr>
        <w:t> </w:t>
      </w:r>
      <w:r>
        <w:rPr>
          <w:w w:val="107"/>
          <w:sz w:val="19"/>
        </w:rPr>
        <w:t>de</w:t>
      </w:r>
      <w:r>
        <w:rPr>
          <w:sz w:val="19"/>
        </w:rPr>
        <w:t> </w:t>
      </w:r>
      <w:r>
        <w:rPr>
          <w:spacing w:val="-13"/>
          <w:sz w:val="19"/>
        </w:rPr>
        <w:t> </w:t>
      </w:r>
      <w:r>
        <w:rPr>
          <w:w w:val="112"/>
          <w:sz w:val="19"/>
        </w:rPr>
        <w:t>una</w:t>
      </w:r>
      <w:r>
        <w:rPr>
          <w:sz w:val="19"/>
        </w:rPr>
        <w:t> </w:t>
      </w:r>
      <w:r>
        <w:rPr>
          <w:spacing w:val="-13"/>
          <w:sz w:val="19"/>
        </w:rPr>
        <w:t> </w:t>
      </w:r>
      <w:r>
        <w:rPr>
          <w:w w:val="112"/>
          <w:sz w:val="19"/>
        </w:rPr>
        <w:t>lógica</w:t>
      </w:r>
      <w:r>
        <w:rPr>
          <w:sz w:val="19"/>
        </w:rPr>
        <w:t> </w:t>
      </w:r>
      <w:r>
        <w:rPr>
          <w:spacing w:val="-13"/>
          <w:sz w:val="19"/>
        </w:rPr>
        <w:t> </w:t>
      </w:r>
      <w:r>
        <w:rPr>
          <w:w w:val="107"/>
          <w:sz w:val="19"/>
        </w:rPr>
        <w:t>de</w:t>
      </w:r>
      <w:r>
        <w:rPr>
          <w:sz w:val="19"/>
        </w:rPr>
        <w:t> </w:t>
      </w:r>
      <w:r>
        <w:rPr>
          <w:spacing w:val="-13"/>
          <w:sz w:val="19"/>
        </w:rPr>
        <w:t> </w:t>
      </w:r>
      <w:r>
        <w:rPr>
          <w:w w:val="110"/>
          <w:sz w:val="19"/>
        </w:rPr>
        <w:t>elección</w:t>
      </w:r>
      <w:r>
        <w:rPr>
          <w:sz w:val="19"/>
        </w:rPr>
        <w:t> </w:t>
      </w:r>
      <w:r>
        <w:rPr>
          <w:spacing w:val="-13"/>
          <w:sz w:val="19"/>
        </w:rPr>
        <w:t> </w:t>
      </w:r>
      <w:r>
        <w:rPr>
          <w:w w:val="105"/>
          <w:sz w:val="19"/>
        </w:rPr>
        <w:t>y</w:t>
      </w:r>
      <w:r>
        <w:rPr>
          <w:sz w:val="19"/>
        </w:rPr>
        <w:t> </w:t>
      </w:r>
      <w:r>
        <w:rPr>
          <w:spacing w:val="-13"/>
          <w:sz w:val="19"/>
        </w:rPr>
        <w:t> </w:t>
      </w:r>
      <w:r>
        <w:rPr>
          <w:w w:val="107"/>
          <w:sz w:val="19"/>
        </w:rPr>
        <w:t>ope</w:t>
      </w:r>
      <w:r>
        <w:rPr>
          <w:spacing w:val="-15"/>
          <w:w w:val="107"/>
          <w:sz w:val="19"/>
        </w:rPr>
        <w:t>r</w:t>
      </w:r>
      <w:r>
        <w:rPr>
          <w:w w:val="102"/>
          <w:sz w:val="19"/>
        </w:rPr>
        <w:t>- </w:t>
      </w:r>
      <w:r>
        <w:rPr>
          <w:w w:val="110"/>
          <w:sz w:val="19"/>
        </w:rPr>
        <w:t>ación racional (</w:t>
      </w:r>
      <w:r>
        <w:rPr>
          <w:i/>
          <w:w w:val="110"/>
          <w:sz w:val="19"/>
        </w:rPr>
        <w:t>rational</w:t>
      </w:r>
      <w:r>
        <w:rPr>
          <w:i/>
          <w:spacing w:val="31"/>
          <w:w w:val="110"/>
          <w:sz w:val="19"/>
        </w:rPr>
        <w:t> </w:t>
      </w:r>
      <w:r>
        <w:rPr>
          <w:i/>
          <w:w w:val="110"/>
          <w:sz w:val="19"/>
        </w:rPr>
        <w:t>choice</w:t>
      </w:r>
      <w:r>
        <w:rPr>
          <w:w w:val="110"/>
          <w:sz w:val="19"/>
        </w:rPr>
        <w:t>).</w:t>
      </w:r>
    </w:p>
    <w:p>
      <w:pPr>
        <w:pStyle w:val="BodyText"/>
        <w:spacing w:before="10"/>
        <w:rPr>
          <w:sz w:val="20"/>
        </w:rPr>
      </w:pPr>
    </w:p>
    <w:p>
      <w:pPr>
        <w:pStyle w:val="BodyText"/>
        <w:spacing w:line="252" w:lineRule="auto"/>
        <w:ind w:left="330" w:right="117"/>
        <w:jc w:val="both"/>
      </w:pPr>
      <w:r>
        <w:rPr>
          <w:w w:val="110"/>
        </w:rPr>
        <w:t>Este trabajo secunda el modelo de actores propuesto por Milner para identificar la dinámica interna que existe entre los diferentes grupos de actores dado que, si bien cada uno de ellos persigue intereses igua- les o diferentes, se diferencian en gran medida el uno del otro por el tipo de preferencias (políticas) que cada uno propone o defiende para cubrir sus intereses propios y porque también varía según el contexto institucional (estructura política interna del gobierno) o la cantidad de información que posee cada grupo respecto a un tema u objetivo para incidir en el proceso de toma de decisiones en ambos niveles, como se ha manejado hasta </w:t>
      </w:r>
      <w:r>
        <w:rPr>
          <w:spacing w:val="26"/>
          <w:w w:val="110"/>
        </w:rPr>
        <w:t> </w:t>
      </w:r>
      <w:r>
        <w:rPr>
          <w:w w:val="110"/>
        </w:rPr>
        <w:t>ahora.</w:t>
      </w:r>
    </w:p>
    <w:p>
      <w:pPr>
        <w:pStyle w:val="BodyText"/>
        <w:spacing w:line="252" w:lineRule="auto"/>
        <w:ind w:left="330" w:right="117" w:firstLine="396"/>
        <w:jc w:val="both"/>
      </w:pPr>
      <w:r>
        <w:rPr>
          <w:w w:val="110"/>
        </w:rPr>
        <w:t>En segundo </w:t>
      </w:r>
      <w:r>
        <w:rPr>
          <w:spacing w:val="-4"/>
          <w:w w:val="110"/>
        </w:rPr>
        <w:t>lugar, </w:t>
      </w:r>
      <w:r>
        <w:rPr>
          <w:w w:val="110"/>
        </w:rPr>
        <w:t>es importante señalar que se respetará la</w:t>
      </w:r>
      <w:r>
        <w:rPr>
          <w:spacing w:val="-24"/>
          <w:w w:val="110"/>
        </w:rPr>
        <w:t> </w:t>
      </w:r>
      <w:r>
        <w:rPr>
          <w:w w:val="110"/>
        </w:rPr>
        <w:t>figura de “grupos de actores” en lugar de “actores” dado que el juego político que se desarrolla al interior del aparato de gobierno estadounidense es producto de la interacción de diferentes grupos de poder y no de actores individuales, tal como sugiere la tesis de arthur  </w:t>
      </w:r>
      <w:r>
        <w:rPr>
          <w:spacing w:val="14"/>
          <w:w w:val="110"/>
        </w:rPr>
        <w:t> </w:t>
      </w:r>
      <w:r>
        <w:rPr>
          <w:spacing w:val="-3"/>
          <w:w w:val="110"/>
        </w:rPr>
        <w:t>bentley.</w:t>
      </w:r>
    </w:p>
    <w:p>
      <w:pPr>
        <w:pStyle w:val="BodyText"/>
        <w:spacing w:line="252" w:lineRule="auto"/>
        <w:ind w:left="330" w:right="117" w:firstLine="396"/>
        <w:jc w:val="both"/>
      </w:pPr>
      <w:r>
        <w:rPr>
          <w:w w:val="110"/>
        </w:rPr>
        <w:t>Metodológicamente, centrar parte del análisis en el estudio de los grupos de actores que participan e inciden en la formulación y el pro- ceso de toma de decisión y de definición de la agenda de gobierno es clave porque permite identificar no sólo las preferencias (políticas) que cada uno de los subgrupos perseguirá, sino también los intereses que tienen éstos sobre determinado tema. Por lo tanto, al analizar      la agenda de política interior y </w:t>
      </w:r>
      <w:r>
        <w:rPr>
          <w:spacing w:val="-3"/>
          <w:w w:val="110"/>
        </w:rPr>
        <w:t>exterior,  </w:t>
      </w:r>
      <w:r>
        <w:rPr>
          <w:w w:val="110"/>
        </w:rPr>
        <w:t>será posible identificar que   el establecimiento de los objetivos y metas están asociados más con los intereses; mientras que las estrategias, tácticas y acciones que se formulen para alcanzar dichos objetivos están más asociados a las </w:t>
      </w:r>
      <w:r>
        <w:rPr>
          <w:i/>
          <w:w w:val="110"/>
        </w:rPr>
        <w:t>preferencias </w:t>
      </w:r>
      <w:r>
        <w:rPr>
          <w:w w:val="110"/>
        </w:rPr>
        <w:t>de los actores</w:t>
      </w:r>
      <w:r>
        <w:rPr>
          <w:spacing w:val="-9"/>
          <w:w w:val="110"/>
        </w:rPr>
        <w:t> </w:t>
      </w:r>
      <w:r>
        <w:rPr>
          <w:w w:val="110"/>
        </w:rPr>
        <w:t>involucrados.</w:t>
      </w:r>
    </w:p>
    <w:p>
      <w:pPr>
        <w:pStyle w:val="BodyText"/>
        <w:spacing w:line="252" w:lineRule="auto"/>
        <w:ind w:left="330" w:right="117" w:firstLine="396"/>
        <w:jc w:val="both"/>
      </w:pPr>
      <w:r>
        <w:rPr>
          <w:w w:val="110"/>
        </w:rPr>
        <w:t>Con base en lo anterior y en lo expuesto a lo largo de este aparta- do, se buscó exponer que los intereses expuestos en la agenda    actual</w:t>
      </w:r>
    </w:p>
    <w:p>
      <w:pPr>
        <w:pStyle w:val="BodyText"/>
        <w:spacing w:before="6"/>
        <w:rPr>
          <w:sz w:val="17"/>
        </w:rPr>
      </w:pPr>
      <w:r>
        <w:rPr/>
        <w:pict>
          <v:line style="position:absolute;mso-position-horizontal-relative:page;mso-position-vertical-relative:paragraph;z-index:5344;mso-wrap-distance-left:0;mso-wrap-distance-right:0" from="76.5354pt,12.502332pt" to="104.8814pt,12.502332pt" stroked="true" strokeweight=".5pt" strokecolor="#000000">
            <w10:wrap type="topAndBottom"/>
          </v:line>
        </w:pict>
      </w:r>
    </w:p>
    <w:p>
      <w:pPr>
        <w:spacing w:line="242" w:lineRule="auto" w:before="89"/>
        <w:ind w:left="330" w:right="119" w:firstLine="0"/>
        <w:jc w:val="left"/>
        <w:rPr>
          <w:sz w:val="16"/>
        </w:rPr>
      </w:pPr>
      <w:r>
        <w:rPr>
          <w:w w:val="110"/>
          <w:sz w:val="16"/>
        </w:rPr>
        <w:t>Miller (ed.) </w:t>
      </w:r>
      <w:r>
        <w:rPr>
          <w:i/>
          <w:w w:val="110"/>
          <w:sz w:val="16"/>
        </w:rPr>
        <w:t>Debating the Democratic Peace</w:t>
      </w:r>
      <w:r>
        <w:rPr>
          <w:w w:val="110"/>
          <w:sz w:val="16"/>
        </w:rPr>
        <w:t>, </w:t>
      </w:r>
      <w:r>
        <w:rPr>
          <w:w w:val="125"/>
          <w:sz w:val="16"/>
        </w:rPr>
        <w:t>Mit </w:t>
      </w:r>
      <w:r>
        <w:rPr>
          <w:w w:val="110"/>
          <w:sz w:val="16"/>
        </w:rPr>
        <w:t>Press, Cambridge, Mass., 1996, pp. 82-115.</w:t>
      </w:r>
    </w:p>
    <w:p>
      <w:pPr>
        <w:spacing w:after="0" w:line="242" w:lineRule="auto"/>
        <w:jc w:val="left"/>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7"/>
        <w:jc w:val="both"/>
      </w:pPr>
      <w:r>
        <w:rPr>
          <w:w w:val="110"/>
        </w:rPr>
        <w:t>del gobierno de barack obama son muy similares a los intereses </w:t>
      </w:r>
      <w:r>
        <w:rPr>
          <w:spacing w:val="-4"/>
          <w:w w:val="110"/>
        </w:rPr>
        <w:t>per- </w:t>
      </w:r>
      <w:r>
        <w:rPr>
          <w:w w:val="110"/>
        </w:rPr>
        <w:t>seguidos por administraciones anteriores; aunque es posible</w:t>
      </w:r>
      <w:r>
        <w:rPr>
          <w:spacing w:val="-16"/>
          <w:w w:val="110"/>
        </w:rPr>
        <w:t> </w:t>
      </w:r>
      <w:r>
        <w:rPr>
          <w:w w:val="110"/>
        </w:rPr>
        <w:t>observar un cambio de preferencias y coaliciones para garantizar el alcance de dichos objetivos </w:t>
      </w:r>
      <w:r>
        <w:rPr>
          <w:spacing w:val="-11"/>
          <w:w w:val="110"/>
        </w:rPr>
        <w:t>y, </w:t>
      </w:r>
      <w:r>
        <w:rPr>
          <w:w w:val="110"/>
        </w:rPr>
        <w:t>por ende, de los intereses de ciertos </w:t>
      </w:r>
      <w:r>
        <w:rPr>
          <w:spacing w:val="3"/>
          <w:w w:val="110"/>
        </w:rPr>
        <w:t> </w:t>
      </w:r>
      <w:r>
        <w:rPr>
          <w:w w:val="110"/>
        </w:rPr>
        <w:t>grupos.</w:t>
      </w:r>
    </w:p>
    <w:p>
      <w:pPr>
        <w:pStyle w:val="BodyText"/>
        <w:spacing w:before="5"/>
      </w:pPr>
    </w:p>
    <w:p>
      <w:pPr>
        <w:pStyle w:val="Heading6"/>
        <w:spacing w:line="244" w:lineRule="auto"/>
        <w:ind w:left="121" w:right="1461" w:hanging="1"/>
        <w:jc w:val="left"/>
      </w:pPr>
      <w:r>
        <w:rPr>
          <w:spacing w:val="3"/>
          <w:w w:val="140"/>
        </w:rPr>
        <w:t>la</w:t>
      </w:r>
      <w:r>
        <w:rPr>
          <w:spacing w:val="-39"/>
          <w:w w:val="140"/>
        </w:rPr>
        <w:t> </w:t>
      </w:r>
      <w:r>
        <w:rPr>
          <w:spacing w:val="2"/>
          <w:w w:val="140"/>
        </w:rPr>
        <w:t>PolÍtica</w:t>
      </w:r>
      <w:r>
        <w:rPr>
          <w:spacing w:val="-39"/>
          <w:w w:val="140"/>
        </w:rPr>
        <w:t> </w:t>
      </w:r>
      <w:r>
        <w:rPr>
          <w:spacing w:val="2"/>
          <w:w w:val="140"/>
        </w:rPr>
        <w:t>exterior</w:t>
      </w:r>
      <w:r>
        <w:rPr>
          <w:spacing w:val="-39"/>
          <w:w w:val="140"/>
        </w:rPr>
        <w:t> </w:t>
      </w:r>
      <w:r>
        <w:rPr>
          <w:w w:val="140"/>
        </w:rPr>
        <w:t>de</w:t>
      </w:r>
      <w:r>
        <w:rPr>
          <w:spacing w:val="-39"/>
          <w:w w:val="140"/>
        </w:rPr>
        <w:t> </w:t>
      </w:r>
      <w:r>
        <w:rPr>
          <w:w w:val="140"/>
        </w:rPr>
        <w:t>estados</w:t>
      </w:r>
      <w:r>
        <w:rPr>
          <w:spacing w:val="-39"/>
          <w:w w:val="140"/>
        </w:rPr>
        <w:t> </w:t>
      </w:r>
      <w:r>
        <w:rPr>
          <w:spacing w:val="2"/>
          <w:w w:val="140"/>
        </w:rPr>
        <w:t>unidos</w:t>
      </w:r>
      <w:r>
        <w:rPr>
          <w:spacing w:val="-39"/>
          <w:w w:val="140"/>
        </w:rPr>
        <w:t> </w:t>
      </w:r>
      <w:r>
        <w:rPr>
          <w:w w:val="140"/>
        </w:rPr>
        <w:t>Para</w:t>
      </w:r>
      <w:r>
        <w:rPr>
          <w:spacing w:val="-39"/>
          <w:w w:val="140"/>
        </w:rPr>
        <w:t> </w:t>
      </w:r>
      <w:r>
        <w:rPr>
          <w:w w:val="140"/>
        </w:rPr>
        <w:t>el </w:t>
      </w:r>
      <w:r>
        <w:rPr>
          <w:spacing w:val="-1"/>
          <w:w w:val="135"/>
        </w:rPr>
        <w:t>HeMisferio</w:t>
      </w:r>
      <w:r>
        <w:rPr>
          <w:spacing w:val="2"/>
          <w:w w:val="135"/>
        </w:rPr>
        <w:t> </w:t>
      </w:r>
      <w:r>
        <w:rPr>
          <w:spacing w:val="-1"/>
          <w:w w:val="135"/>
        </w:rPr>
        <w:t>occidental</w:t>
      </w:r>
    </w:p>
    <w:p>
      <w:pPr>
        <w:pStyle w:val="BodyText"/>
        <w:spacing w:line="252" w:lineRule="auto" w:before="5"/>
        <w:ind w:left="120" w:right="328"/>
        <w:jc w:val="both"/>
      </w:pPr>
      <w:r>
        <w:rPr>
          <w:w w:val="110"/>
        </w:rPr>
        <w:t>después de revisar las sugerencias conceptuales previas, conviene entonces aclarar otros elementos que, aunque descriptivos, permiten identificar cuáles son las áreas prioritarias que dominan la agenda actual de política exterior de Estados unidos hacia cada país o región (</w:t>
      </w:r>
      <w:r>
        <w:rPr>
          <w:i/>
          <w:w w:val="110"/>
        </w:rPr>
        <w:t>countries &amp; regions</w:t>
      </w:r>
      <w:r>
        <w:rPr>
          <w:w w:val="110"/>
        </w:rPr>
        <w:t>) desde una lógica bilateral (ej. Estados unidos- México/Cuba/Colombia), sub-regional (ej. Estados unidos-Caribe/ Centroamérica/Cono sur) o bien regional (Estados unidos-Hemisfe- rio occidental/Pacífico/sudeste asiático).</w:t>
      </w:r>
    </w:p>
    <w:p>
      <w:pPr>
        <w:pStyle w:val="BodyText"/>
        <w:spacing w:line="252" w:lineRule="auto"/>
        <w:ind w:left="120" w:right="328" w:firstLine="396"/>
        <w:jc w:val="both"/>
      </w:pPr>
      <w:r>
        <w:rPr>
          <w:w w:val="110"/>
        </w:rPr>
        <w:t>Existen siete grandes ejes de clasificación para revisar la agenda de política exterior que es administrada y ejecutada por el departa- mento de Estado (</w:t>
      </w:r>
      <w:r>
        <w:rPr>
          <w:i/>
          <w:w w:val="110"/>
        </w:rPr>
        <w:t>Department of State</w:t>
      </w:r>
      <w:r>
        <w:rPr>
          <w:w w:val="110"/>
        </w:rPr>
        <w:t>, </w:t>
      </w:r>
      <w:r>
        <w:rPr>
          <w:w w:val="125"/>
        </w:rPr>
        <w:t>dos </w:t>
      </w:r>
      <w:r>
        <w:rPr>
          <w:w w:val="110"/>
        </w:rPr>
        <w:t>por sus siglas en inglés) como entidad responsable de las actividades en el exterior del gobier- </w:t>
      </w:r>
      <w:r>
        <w:rPr>
          <w:w w:val="111"/>
        </w:rPr>
        <w:t>no</w:t>
      </w:r>
      <w:r>
        <w:rPr/>
        <w:t> </w:t>
      </w:r>
      <w:r>
        <w:rPr>
          <w:w w:val="109"/>
        </w:rPr>
        <w:t>estadounidense.</w:t>
      </w:r>
      <w:r>
        <w:rPr>
          <w:w w:val="103"/>
          <w:position w:val="6"/>
          <w:sz w:val="11"/>
        </w:rPr>
        <w:t>23</w:t>
      </w:r>
      <w:r>
        <w:rPr>
          <w:position w:val="6"/>
          <w:sz w:val="11"/>
        </w:rPr>
        <w:t>  </w:t>
      </w:r>
      <w:r>
        <w:rPr>
          <w:w w:val="243"/>
        </w:rPr>
        <w:t>l</w:t>
      </w:r>
      <w:r>
        <w:rPr>
          <w:w w:val="108"/>
        </w:rPr>
        <w:t>os</w:t>
      </w:r>
      <w:r>
        <w:rPr/>
        <w:t> </w:t>
      </w:r>
      <w:r>
        <w:rPr>
          <w:w w:val="106"/>
        </w:rPr>
        <w:t>ejes</w:t>
      </w:r>
      <w:r>
        <w:rPr/>
        <w:t> </w:t>
      </w:r>
      <w:r>
        <w:rPr>
          <w:w w:val="109"/>
        </w:rPr>
        <w:t>son:</w:t>
      </w:r>
    </w:p>
    <w:p>
      <w:pPr>
        <w:pStyle w:val="BodyText"/>
        <w:spacing w:before="10"/>
        <w:rPr>
          <w:sz w:val="15"/>
        </w:rPr>
      </w:pPr>
    </w:p>
    <w:p>
      <w:pPr>
        <w:pStyle w:val="ListParagraph"/>
        <w:numPr>
          <w:ilvl w:val="0"/>
          <w:numId w:val="22"/>
        </w:numPr>
        <w:tabs>
          <w:tab w:pos="745" w:val="left" w:leader="none"/>
        </w:tabs>
        <w:spacing w:line="240" w:lineRule="auto" w:before="0" w:after="0"/>
        <w:ind w:left="744" w:right="0" w:hanging="227"/>
        <w:jc w:val="left"/>
        <w:rPr>
          <w:sz w:val="19"/>
        </w:rPr>
      </w:pPr>
      <w:r>
        <w:rPr>
          <w:w w:val="110"/>
          <w:sz w:val="19"/>
        </w:rPr>
        <w:t>Países y regiones (</w:t>
      </w:r>
      <w:r>
        <w:rPr>
          <w:i/>
          <w:w w:val="110"/>
          <w:sz w:val="19"/>
        </w:rPr>
        <w:t>countries and</w:t>
      </w:r>
      <w:r>
        <w:rPr>
          <w:i/>
          <w:spacing w:val="4"/>
          <w:w w:val="110"/>
          <w:sz w:val="19"/>
        </w:rPr>
        <w:t> </w:t>
      </w:r>
      <w:r>
        <w:rPr>
          <w:i/>
          <w:w w:val="110"/>
          <w:sz w:val="19"/>
        </w:rPr>
        <w:t>regions</w:t>
      </w:r>
      <w:r>
        <w:rPr>
          <w:w w:val="110"/>
          <w:sz w:val="19"/>
        </w:rPr>
        <w:t>).</w:t>
      </w:r>
    </w:p>
    <w:p>
      <w:pPr>
        <w:pStyle w:val="ListParagraph"/>
        <w:numPr>
          <w:ilvl w:val="0"/>
          <w:numId w:val="22"/>
        </w:numPr>
        <w:tabs>
          <w:tab w:pos="745" w:val="left" w:leader="none"/>
        </w:tabs>
        <w:spacing w:line="240" w:lineRule="auto" w:before="37" w:after="0"/>
        <w:ind w:left="744" w:right="0" w:hanging="227"/>
        <w:jc w:val="left"/>
        <w:rPr>
          <w:sz w:val="19"/>
        </w:rPr>
      </w:pPr>
      <w:r>
        <w:rPr>
          <w:w w:val="110"/>
          <w:sz w:val="19"/>
        </w:rPr>
        <w:t>Políticas por temas (</w:t>
      </w:r>
      <w:r>
        <w:rPr>
          <w:i/>
          <w:w w:val="110"/>
          <w:sz w:val="19"/>
        </w:rPr>
        <w:t>policy </w:t>
      </w:r>
      <w:r>
        <w:rPr>
          <w:i/>
          <w:spacing w:val="10"/>
          <w:w w:val="110"/>
          <w:sz w:val="19"/>
        </w:rPr>
        <w:t> </w:t>
      </w:r>
      <w:r>
        <w:rPr>
          <w:i/>
          <w:w w:val="110"/>
          <w:sz w:val="19"/>
        </w:rPr>
        <w:t>issues</w:t>
      </w:r>
      <w:r>
        <w:rPr>
          <w:w w:val="110"/>
          <w:sz w:val="19"/>
        </w:rPr>
        <w:t>).</w:t>
      </w:r>
    </w:p>
    <w:p>
      <w:pPr>
        <w:pStyle w:val="ListParagraph"/>
        <w:numPr>
          <w:ilvl w:val="0"/>
          <w:numId w:val="22"/>
        </w:numPr>
        <w:tabs>
          <w:tab w:pos="745" w:val="left" w:leader="none"/>
        </w:tabs>
        <w:spacing w:line="240" w:lineRule="auto" w:before="37" w:after="0"/>
        <w:ind w:left="744" w:right="328" w:hanging="227"/>
        <w:jc w:val="left"/>
        <w:rPr>
          <w:sz w:val="19"/>
        </w:rPr>
      </w:pPr>
      <w:r>
        <w:rPr>
          <w:w w:val="110"/>
          <w:sz w:val="19"/>
        </w:rPr>
        <w:t>Economía, energía y medio ambiente (</w:t>
      </w:r>
      <w:r>
        <w:rPr>
          <w:i/>
          <w:w w:val="110"/>
          <w:sz w:val="19"/>
        </w:rPr>
        <w:t>economics, energy &amp; en- </w:t>
      </w:r>
      <w:r>
        <w:rPr>
          <w:i/>
          <w:w w:val="110"/>
          <w:sz w:val="19"/>
        </w:rPr>
        <w:t>vironment</w:t>
      </w:r>
      <w:r>
        <w:rPr>
          <w:w w:val="110"/>
          <w:sz w:val="19"/>
        </w:rPr>
        <w:t>).</w:t>
      </w:r>
    </w:p>
    <w:p>
      <w:pPr>
        <w:pStyle w:val="ListParagraph"/>
        <w:numPr>
          <w:ilvl w:val="0"/>
          <w:numId w:val="22"/>
        </w:numPr>
        <w:tabs>
          <w:tab w:pos="745" w:val="left" w:leader="none"/>
        </w:tabs>
        <w:spacing w:line="240" w:lineRule="auto" w:before="48" w:after="0"/>
        <w:ind w:left="744" w:right="328" w:hanging="227"/>
        <w:jc w:val="left"/>
        <w:rPr>
          <w:sz w:val="19"/>
        </w:rPr>
      </w:pPr>
      <w:r>
        <w:rPr>
          <w:w w:val="110"/>
          <w:sz w:val="19"/>
        </w:rPr>
        <w:t>seguridad internacional y control de armas (</w:t>
      </w:r>
      <w:r>
        <w:rPr>
          <w:i/>
          <w:w w:val="110"/>
          <w:sz w:val="19"/>
        </w:rPr>
        <w:t>control arms &amp; </w:t>
      </w:r>
      <w:r>
        <w:rPr>
          <w:i/>
          <w:w w:val="110"/>
          <w:sz w:val="19"/>
        </w:rPr>
        <w:t>international</w:t>
      </w:r>
      <w:r>
        <w:rPr>
          <w:i/>
          <w:spacing w:val="-11"/>
          <w:w w:val="110"/>
          <w:sz w:val="19"/>
        </w:rPr>
        <w:t> </w:t>
      </w:r>
      <w:r>
        <w:rPr>
          <w:i/>
          <w:w w:val="110"/>
          <w:sz w:val="19"/>
        </w:rPr>
        <w:t>security</w:t>
      </w:r>
      <w:r>
        <w:rPr>
          <w:w w:val="110"/>
          <w:sz w:val="19"/>
        </w:rPr>
        <w:t>).</w:t>
      </w:r>
    </w:p>
    <w:p>
      <w:pPr>
        <w:pStyle w:val="ListParagraph"/>
        <w:numPr>
          <w:ilvl w:val="0"/>
          <w:numId w:val="22"/>
        </w:numPr>
        <w:tabs>
          <w:tab w:pos="745" w:val="left" w:leader="none"/>
        </w:tabs>
        <w:spacing w:line="240" w:lineRule="auto" w:before="49" w:after="0"/>
        <w:ind w:left="744" w:right="328" w:hanging="227"/>
        <w:jc w:val="left"/>
        <w:rPr>
          <w:sz w:val="19"/>
        </w:rPr>
      </w:pPr>
      <w:r>
        <w:rPr>
          <w:w w:val="110"/>
          <w:sz w:val="19"/>
        </w:rPr>
        <w:t>democracia y seguridad ciudadana (</w:t>
      </w:r>
      <w:r>
        <w:rPr>
          <w:i/>
          <w:w w:val="110"/>
          <w:sz w:val="19"/>
        </w:rPr>
        <w:t>democracy &amp; citizen secu- </w:t>
      </w:r>
      <w:r>
        <w:rPr>
          <w:i/>
          <w:w w:val="110"/>
          <w:sz w:val="19"/>
        </w:rPr>
        <w:t>rity</w:t>
      </w:r>
      <w:r>
        <w:rPr>
          <w:w w:val="110"/>
          <w:sz w:val="19"/>
        </w:rPr>
        <w:t>).</w:t>
      </w:r>
    </w:p>
    <w:p>
      <w:pPr>
        <w:pStyle w:val="ListParagraph"/>
        <w:numPr>
          <w:ilvl w:val="0"/>
          <w:numId w:val="22"/>
        </w:numPr>
        <w:tabs>
          <w:tab w:pos="745" w:val="left" w:leader="none"/>
        </w:tabs>
        <w:spacing w:line="240" w:lineRule="auto" w:before="48" w:after="0"/>
        <w:ind w:left="744" w:right="329" w:hanging="227"/>
        <w:jc w:val="left"/>
        <w:rPr>
          <w:sz w:val="19"/>
        </w:rPr>
      </w:pPr>
      <w:r>
        <w:rPr>
          <w:w w:val="110"/>
          <w:sz w:val="19"/>
        </w:rPr>
        <w:t>diplomacia pública y asuntos públicos (</w:t>
      </w:r>
      <w:r>
        <w:rPr>
          <w:i/>
          <w:w w:val="110"/>
          <w:sz w:val="19"/>
        </w:rPr>
        <w:t>public diplomacy &amp; </w:t>
      </w:r>
      <w:r>
        <w:rPr>
          <w:i/>
          <w:w w:val="110"/>
          <w:sz w:val="19"/>
        </w:rPr>
        <w:t>citizen</w:t>
      </w:r>
      <w:r>
        <w:rPr>
          <w:i/>
          <w:spacing w:val="-1"/>
          <w:w w:val="110"/>
          <w:sz w:val="19"/>
        </w:rPr>
        <w:t> </w:t>
      </w:r>
      <w:r>
        <w:rPr>
          <w:i/>
          <w:w w:val="110"/>
          <w:sz w:val="19"/>
        </w:rPr>
        <w:t>security</w:t>
      </w:r>
      <w:r>
        <w:rPr>
          <w:w w:val="110"/>
          <w:sz w:val="19"/>
        </w:rPr>
        <w:t>).</w:t>
      </w:r>
    </w:p>
    <w:p>
      <w:pPr>
        <w:pStyle w:val="ListParagraph"/>
        <w:numPr>
          <w:ilvl w:val="0"/>
          <w:numId w:val="22"/>
        </w:numPr>
        <w:tabs>
          <w:tab w:pos="745" w:val="left" w:leader="none"/>
        </w:tabs>
        <w:spacing w:line="240" w:lineRule="auto" w:before="49" w:after="0"/>
        <w:ind w:left="744" w:right="0" w:hanging="227"/>
        <w:jc w:val="left"/>
        <w:rPr>
          <w:sz w:val="19"/>
        </w:rPr>
      </w:pPr>
      <w:r>
        <w:rPr>
          <w:w w:val="110"/>
          <w:sz w:val="19"/>
        </w:rPr>
        <w:t>asistencia y desarrollo (</w:t>
      </w:r>
      <w:r>
        <w:rPr>
          <w:i/>
          <w:w w:val="110"/>
          <w:sz w:val="19"/>
        </w:rPr>
        <w:t>assistance &amp;  development</w:t>
      </w:r>
      <w:r>
        <w:rPr>
          <w:w w:val="110"/>
          <w:sz w:val="19"/>
        </w:rPr>
        <w:t>).</w:t>
      </w:r>
    </w:p>
    <w:p>
      <w:pPr>
        <w:pStyle w:val="BodyText"/>
        <w:spacing w:before="11"/>
      </w:pPr>
    </w:p>
    <w:p>
      <w:pPr>
        <w:pStyle w:val="BodyText"/>
        <w:spacing w:line="252" w:lineRule="auto"/>
        <w:ind w:left="120" w:right="328"/>
        <w:jc w:val="both"/>
      </w:pPr>
      <w:r>
        <w:rPr>
          <w:w w:val="110"/>
        </w:rPr>
        <w:t>En lo que refiere a la lógica de </w:t>
      </w:r>
      <w:r>
        <w:rPr>
          <w:i/>
          <w:w w:val="110"/>
        </w:rPr>
        <w:t>ii) política por temas </w:t>
      </w:r>
      <w:r>
        <w:rPr>
          <w:w w:val="110"/>
        </w:rPr>
        <w:t>se atienden los siguientes asuntos: afganistán, China, cambio climático, combate al terrorismo, asuntos de ciber-seguridad, combate al Estado islámico</w:t>
      </w:r>
    </w:p>
    <w:p>
      <w:pPr>
        <w:pStyle w:val="BodyText"/>
        <w:spacing w:before="3"/>
        <w:rPr>
          <w:sz w:val="23"/>
        </w:rPr>
      </w:pPr>
      <w:r>
        <w:rPr/>
        <w:pict>
          <v:line style="position:absolute;mso-position-horizontal-relative:page;mso-position-vertical-relative:paragraph;z-index:5368;mso-wrap-distance-left:0;mso-wrap-distance-right:0" from="51.023701pt,15.853635pt" to="79.369701pt,15.853635pt" stroked="true" strokeweight=".5pt" strokecolor="#000000">
            <w10:wrap type="topAndBottom"/>
          </v:line>
        </w:pict>
      </w:r>
    </w:p>
    <w:p>
      <w:pPr>
        <w:pStyle w:val="ListParagraph"/>
        <w:numPr>
          <w:ilvl w:val="1"/>
          <w:numId w:val="12"/>
        </w:numPr>
        <w:tabs>
          <w:tab w:pos="376" w:val="left" w:leader="none"/>
        </w:tabs>
        <w:spacing w:line="242" w:lineRule="auto" w:before="89" w:after="0"/>
        <w:ind w:left="120" w:right="327" w:firstLine="0"/>
        <w:jc w:val="both"/>
        <w:rPr>
          <w:sz w:val="16"/>
        </w:rPr>
      </w:pPr>
      <w:r>
        <w:rPr>
          <w:w w:val="110"/>
          <w:sz w:val="16"/>
        </w:rPr>
        <w:t>Hemos presentado dicha clasificación con base en la información pública dis- ponible hasta diciembre de 2015 en la página oficial del </w:t>
      </w:r>
      <w:r>
        <w:rPr>
          <w:i/>
          <w:w w:val="110"/>
          <w:sz w:val="16"/>
        </w:rPr>
        <w:t>U.S. Department of State</w:t>
      </w:r>
      <w:r>
        <w:rPr>
          <w:w w:val="110"/>
          <w:sz w:val="16"/>
        </w:rPr>
        <w:t>, para</w:t>
      </w:r>
      <w:r>
        <w:rPr>
          <w:spacing w:val="-11"/>
          <w:w w:val="110"/>
          <w:sz w:val="16"/>
        </w:rPr>
        <w:t> </w:t>
      </w:r>
      <w:r>
        <w:rPr>
          <w:w w:val="110"/>
          <w:sz w:val="16"/>
        </w:rPr>
        <w:t>revisar</w:t>
      </w:r>
      <w:r>
        <w:rPr>
          <w:spacing w:val="-11"/>
          <w:w w:val="110"/>
          <w:sz w:val="16"/>
        </w:rPr>
        <w:t> </w:t>
      </w:r>
      <w:r>
        <w:rPr>
          <w:w w:val="110"/>
          <w:sz w:val="16"/>
        </w:rPr>
        <w:t>con</w:t>
      </w:r>
      <w:r>
        <w:rPr>
          <w:spacing w:val="-11"/>
          <w:w w:val="110"/>
          <w:sz w:val="16"/>
        </w:rPr>
        <w:t> </w:t>
      </w:r>
      <w:r>
        <w:rPr>
          <w:w w:val="110"/>
          <w:sz w:val="16"/>
        </w:rPr>
        <w:t>mayor</w:t>
      </w:r>
      <w:r>
        <w:rPr>
          <w:spacing w:val="-11"/>
          <w:w w:val="110"/>
          <w:sz w:val="16"/>
        </w:rPr>
        <w:t> </w:t>
      </w:r>
      <w:r>
        <w:rPr>
          <w:w w:val="110"/>
          <w:sz w:val="16"/>
        </w:rPr>
        <w:t>detalle</w:t>
      </w:r>
      <w:r>
        <w:rPr>
          <w:spacing w:val="-11"/>
          <w:w w:val="110"/>
          <w:sz w:val="16"/>
        </w:rPr>
        <w:t> </w:t>
      </w:r>
      <w:r>
        <w:rPr>
          <w:w w:val="110"/>
          <w:sz w:val="16"/>
        </w:rPr>
        <w:t>cada</w:t>
      </w:r>
      <w:r>
        <w:rPr>
          <w:spacing w:val="-11"/>
          <w:w w:val="110"/>
          <w:sz w:val="16"/>
        </w:rPr>
        <w:t> </w:t>
      </w:r>
      <w:r>
        <w:rPr>
          <w:w w:val="110"/>
          <w:sz w:val="16"/>
        </w:rPr>
        <w:t>uno</w:t>
      </w:r>
      <w:r>
        <w:rPr>
          <w:spacing w:val="-11"/>
          <w:w w:val="110"/>
          <w:sz w:val="16"/>
        </w:rPr>
        <w:t> </w:t>
      </w:r>
      <w:r>
        <w:rPr>
          <w:w w:val="110"/>
          <w:sz w:val="16"/>
        </w:rPr>
        <w:t>de</w:t>
      </w:r>
      <w:r>
        <w:rPr>
          <w:spacing w:val="-11"/>
          <w:w w:val="110"/>
          <w:sz w:val="16"/>
        </w:rPr>
        <w:t> </w:t>
      </w:r>
      <w:r>
        <w:rPr>
          <w:w w:val="110"/>
          <w:sz w:val="16"/>
        </w:rPr>
        <w:t>los</w:t>
      </w:r>
      <w:r>
        <w:rPr>
          <w:spacing w:val="-11"/>
          <w:w w:val="110"/>
          <w:sz w:val="16"/>
        </w:rPr>
        <w:t> </w:t>
      </w:r>
      <w:r>
        <w:rPr>
          <w:w w:val="110"/>
          <w:sz w:val="16"/>
        </w:rPr>
        <w:t>ejes</w:t>
      </w:r>
      <w:r>
        <w:rPr>
          <w:spacing w:val="-11"/>
          <w:w w:val="110"/>
          <w:sz w:val="16"/>
        </w:rPr>
        <w:t> </w:t>
      </w:r>
      <w:r>
        <w:rPr>
          <w:w w:val="110"/>
          <w:sz w:val="16"/>
        </w:rPr>
        <w:t>presentados,</w:t>
      </w:r>
      <w:r>
        <w:rPr>
          <w:spacing w:val="-11"/>
          <w:w w:val="110"/>
          <w:sz w:val="16"/>
        </w:rPr>
        <w:t> </w:t>
      </w:r>
      <w:r>
        <w:rPr>
          <w:w w:val="110"/>
          <w:sz w:val="16"/>
        </w:rPr>
        <w:t>se</w:t>
      </w:r>
      <w:r>
        <w:rPr>
          <w:spacing w:val="-11"/>
          <w:w w:val="110"/>
          <w:sz w:val="16"/>
        </w:rPr>
        <w:t> </w:t>
      </w:r>
      <w:r>
        <w:rPr>
          <w:w w:val="110"/>
          <w:sz w:val="16"/>
        </w:rPr>
        <w:t>sugiere</w:t>
      </w:r>
      <w:r>
        <w:rPr>
          <w:spacing w:val="-11"/>
          <w:w w:val="110"/>
          <w:sz w:val="16"/>
        </w:rPr>
        <w:t> </w:t>
      </w:r>
      <w:r>
        <w:rPr>
          <w:w w:val="110"/>
          <w:sz w:val="16"/>
        </w:rPr>
        <w:t>consultar</w:t>
      </w:r>
    </w:p>
    <w:p>
      <w:pPr>
        <w:spacing w:before="0"/>
        <w:ind w:left="120" w:right="0" w:firstLine="0"/>
        <w:jc w:val="both"/>
        <w:rPr>
          <w:sz w:val="16"/>
        </w:rPr>
      </w:pPr>
      <w:r>
        <w:rPr>
          <w:i/>
          <w:w w:val="105"/>
          <w:sz w:val="16"/>
        </w:rPr>
        <w:t>&lt;</w:t>
      </w:r>
      <w:hyperlink r:id="rId291">
        <w:r>
          <w:rPr>
            <w:w w:val="105"/>
            <w:sz w:val="16"/>
          </w:rPr>
          <w:t>http://goo.gl/cd6HEJ&gt;.</w:t>
        </w:r>
      </w:hyperlink>
    </w:p>
    <w:p>
      <w:pPr>
        <w:spacing w:after="0"/>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(isis), democracia y derechos humanos, asuntos económicos, segu- ridad energética, seguridad alimentaria, salud, irán, israel, no proli- feración de armas nucleares y misiles, Pakistán, África subsahariana, siria, trata de personas, ucrania, asuntos de género (enfocados a la </w:t>
      </w:r>
      <w:r>
        <w:rPr>
          <w:w w:val="110"/>
        </w:rPr>
        <w:t>mujer),</w:t>
      </w:r>
      <w:r>
        <w:rPr/>
        <w:t> </w:t>
      </w:r>
      <w:r>
        <w:rPr>
          <w:w w:val="109"/>
        </w:rPr>
        <w:t>asuntos</w:t>
      </w:r>
      <w:r>
        <w:rPr/>
        <w:t> </w:t>
      </w:r>
      <w:r>
        <w:rPr>
          <w:w w:val="107"/>
        </w:rPr>
        <w:t>de</w:t>
      </w:r>
      <w:r>
        <w:rPr/>
        <w:t> </w:t>
      </w:r>
      <w:r>
        <w:rPr>
          <w:w w:val="108"/>
        </w:rPr>
        <w:t>los</w:t>
      </w:r>
      <w:r>
        <w:rPr/>
        <w:t> </w:t>
      </w:r>
      <w:r>
        <w:rPr>
          <w:w w:val="108"/>
        </w:rPr>
        <w:t>jóvenes.</w:t>
      </w:r>
      <w:r>
        <w:rPr/>
        <w:t> </w:t>
      </w:r>
      <w:r>
        <w:rPr>
          <w:w w:val="243"/>
        </w:rPr>
        <w:t>l</w:t>
      </w:r>
      <w:r>
        <w:rPr>
          <w:w w:val="112"/>
        </w:rPr>
        <w:t>a</w:t>
      </w:r>
      <w:r>
        <w:rPr/>
        <w:t> </w:t>
      </w:r>
      <w:r>
        <w:rPr>
          <w:w w:val="111"/>
        </w:rPr>
        <w:t>clasificación</w:t>
      </w:r>
      <w:r>
        <w:rPr/>
        <w:t> </w:t>
      </w:r>
      <w:r>
        <w:rPr>
          <w:w w:val="111"/>
        </w:rPr>
        <w:t>temática</w:t>
      </w:r>
      <w:r>
        <w:rPr/>
        <w:t> </w:t>
      </w:r>
      <w:r>
        <w:rPr>
          <w:w w:val="108"/>
        </w:rPr>
        <w:t>permite</w:t>
      </w:r>
      <w:r>
        <w:rPr/>
        <w:t> </w:t>
      </w:r>
      <w:r>
        <w:rPr>
          <w:w w:val="105"/>
        </w:rPr>
        <w:t>evi</w:t>
      </w:r>
      <w:r>
        <w:rPr>
          <w:w w:val="102"/>
        </w:rPr>
        <w:t>- </w:t>
      </w:r>
      <w:r>
        <w:rPr>
          <w:w w:val="110"/>
        </w:rPr>
        <w:t>denciar cuáles son los asuntos prioritarios para Estados unidos, al respecto, se puede observar que hay un tratamiento diferenciado ha- cia algunos países, la mayoría de ellos ubicados en la región del Medio oriente, el sudeste asiático o Europa del Este; ningún país latinoame- ricano o caribeño entra en este esquema. No obstante, al revisar con mayor detenimiento las sub-agendas en asuntos económicos, energé- ticos, derechos humanos y democracia o cambio climático, se podrá observar que el departamento de Estado tiene diferentes estrategias y misiones con cada uno de los países que componen la   región.</w:t>
      </w:r>
    </w:p>
    <w:p>
      <w:pPr>
        <w:pStyle w:val="BodyText"/>
        <w:spacing w:line="252" w:lineRule="auto"/>
        <w:ind w:left="330" w:right="117" w:firstLine="396"/>
        <w:jc w:val="both"/>
      </w:pPr>
      <w:r>
        <w:rPr>
          <w:w w:val="115"/>
        </w:rPr>
        <w:t>respecto</w:t>
      </w:r>
      <w:r>
        <w:rPr>
          <w:spacing w:val="-18"/>
          <w:w w:val="115"/>
        </w:rPr>
        <w:t> </w:t>
      </w:r>
      <w:r>
        <w:rPr>
          <w:w w:val="115"/>
        </w:rPr>
        <w:t>a</w:t>
      </w:r>
      <w:r>
        <w:rPr>
          <w:spacing w:val="-18"/>
          <w:w w:val="115"/>
        </w:rPr>
        <w:t> </w:t>
      </w:r>
      <w:r>
        <w:rPr>
          <w:i/>
          <w:w w:val="115"/>
        </w:rPr>
        <w:t>iii)</w:t>
      </w:r>
      <w:r>
        <w:rPr>
          <w:i/>
          <w:spacing w:val="-18"/>
          <w:w w:val="115"/>
        </w:rPr>
        <w:t> </w:t>
      </w:r>
      <w:r>
        <w:rPr>
          <w:w w:val="115"/>
        </w:rPr>
        <w:t>los</w:t>
      </w:r>
      <w:r>
        <w:rPr>
          <w:spacing w:val="-18"/>
          <w:w w:val="115"/>
        </w:rPr>
        <w:t> </w:t>
      </w:r>
      <w:r>
        <w:rPr>
          <w:i/>
          <w:w w:val="115"/>
        </w:rPr>
        <w:t>asuntos</w:t>
      </w:r>
      <w:r>
        <w:rPr>
          <w:i/>
          <w:spacing w:val="-18"/>
          <w:w w:val="115"/>
        </w:rPr>
        <w:t> </w:t>
      </w:r>
      <w:r>
        <w:rPr>
          <w:i/>
          <w:w w:val="115"/>
        </w:rPr>
        <w:t>de</w:t>
      </w:r>
      <w:r>
        <w:rPr>
          <w:i/>
          <w:spacing w:val="-18"/>
          <w:w w:val="115"/>
        </w:rPr>
        <w:t> </w:t>
      </w:r>
      <w:r>
        <w:rPr>
          <w:i/>
          <w:w w:val="115"/>
        </w:rPr>
        <w:t>economía,</w:t>
      </w:r>
      <w:r>
        <w:rPr>
          <w:i/>
          <w:spacing w:val="-18"/>
          <w:w w:val="115"/>
        </w:rPr>
        <w:t> </w:t>
      </w:r>
      <w:r>
        <w:rPr>
          <w:i/>
          <w:w w:val="115"/>
        </w:rPr>
        <w:t>energía</w:t>
      </w:r>
      <w:r>
        <w:rPr>
          <w:i/>
          <w:spacing w:val="-18"/>
          <w:w w:val="115"/>
        </w:rPr>
        <w:t> </w:t>
      </w:r>
      <w:r>
        <w:rPr>
          <w:i/>
          <w:w w:val="115"/>
        </w:rPr>
        <w:t>y</w:t>
      </w:r>
      <w:r>
        <w:rPr>
          <w:i/>
          <w:spacing w:val="-18"/>
          <w:w w:val="115"/>
        </w:rPr>
        <w:t> </w:t>
      </w:r>
      <w:r>
        <w:rPr>
          <w:i/>
          <w:w w:val="115"/>
        </w:rPr>
        <w:t>medio</w:t>
      </w:r>
      <w:r>
        <w:rPr>
          <w:i/>
          <w:spacing w:val="-18"/>
          <w:w w:val="115"/>
        </w:rPr>
        <w:t> </w:t>
      </w:r>
      <w:r>
        <w:rPr>
          <w:i/>
          <w:w w:val="115"/>
        </w:rPr>
        <w:t>ambiente</w:t>
      </w:r>
      <w:r>
        <w:rPr>
          <w:w w:val="115"/>
        </w:rPr>
        <w:t>, la</w:t>
      </w:r>
      <w:r>
        <w:rPr>
          <w:spacing w:val="-9"/>
          <w:w w:val="115"/>
        </w:rPr>
        <w:t> </w:t>
      </w:r>
      <w:r>
        <w:rPr>
          <w:w w:val="115"/>
        </w:rPr>
        <w:t>agenda</w:t>
      </w:r>
      <w:r>
        <w:rPr>
          <w:spacing w:val="-9"/>
          <w:w w:val="115"/>
        </w:rPr>
        <w:t> </w:t>
      </w:r>
      <w:r>
        <w:rPr>
          <w:w w:val="115"/>
        </w:rPr>
        <w:t>se</w:t>
      </w:r>
      <w:r>
        <w:rPr>
          <w:spacing w:val="-9"/>
          <w:w w:val="115"/>
        </w:rPr>
        <w:t> </w:t>
      </w:r>
      <w:r>
        <w:rPr>
          <w:w w:val="115"/>
        </w:rPr>
        <w:t>divide</w:t>
      </w:r>
      <w:r>
        <w:rPr>
          <w:spacing w:val="-9"/>
          <w:w w:val="115"/>
        </w:rPr>
        <w:t> </w:t>
      </w:r>
      <w:r>
        <w:rPr>
          <w:w w:val="115"/>
        </w:rPr>
        <w:t>de</w:t>
      </w:r>
      <w:r>
        <w:rPr>
          <w:spacing w:val="-9"/>
          <w:w w:val="115"/>
        </w:rPr>
        <w:t> </w:t>
      </w:r>
      <w:r>
        <w:rPr>
          <w:w w:val="115"/>
        </w:rPr>
        <w:t>la</w:t>
      </w:r>
      <w:r>
        <w:rPr>
          <w:spacing w:val="-9"/>
          <w:w w:val="115"/>
        </w:rPr>
        <w:t> </w:t>
      </w:r>
      <w:r>
        <w:rPr>
          <w:w w:val="115"/>
        </w:rPr>
        <w:t>siguiente</w:t>
      </w:r>
      <w:r>
        <w:rPr>
          <w:spacing w:val="-9"/>
          <w:w w:val="115"/>
        </w:rPr>
        <w:t> </w:t>
      </w:r>
      <w:r>
        <w:rPr>
          <w:w w:val="115"/>
        </w:rPr>
        <w:t>manera:</w:t>
      </w:r>
      <w:r>
        <w:rPr>
          <w:spacing w:val="-9"/>
          <w:w w:val="115"/>
        </w:rPr>
        <w:t> </w:t>
      </w:r>
      <w:r>
        <w:rPr>
          <w:w w:val="115"/>
        </w:rPr>
        <w:t>el</w:t>
      </w:r>
      <w:r>
        <w:rPr>
          <w:spacing w:val="-9"/>
          <w:w w:val="115"/>
        </w:rPr>
        <w:t> </w:t>
      </w:r>
      <w:r>
        <w:rPr>
          <w:w w:val="115"/>
        </w:rPr>
        <w:t>Ártico,</w:t>
      </w:r>
      <w:r>
        <w:rPr>
          <w:spacing w:val="-9"/>
          <w:w w:val="115"/>
        </w:rPr>
        <w:t> </w:t>
      </w:r>
      <w:r>
        <w:rPr>
          <w:w w:val="115"/>
        </w:rPr>
        <w:t>energía,</w:t>
      </w:r>
      <w:r>
        <w:rPr>
          <w:spacing w:val="-9"/>
          <w:w w:val="115"/>
        </w:rPr>
        <w:t> </w:t>
      </w:r>
      <w:r>
        <w:rPr>
          <w:w w:val="115"/>
        </w:rPr>
        <w:t>econo- mía y negocios, asuntos del medio ambiente, asociaciones globales (</w:t>
      </w:r>
      <w:r>
        <w:rPr>
          <w:i/>
          <w:w w:val="115"/>
        </w:rPr>
        <w:t>global</w:t>
      </w:r>
      <w:r>
        <w:rPr>
          <w:i/>
          <w:spacing w:val="-11"/>
          <w:w w:val="115"/>
        </w:rPr>
        <w:t> </w:t>
      </w:r>
      <w:r>
        <w:rPr>
          <w:i/>
          <w:w w:val="115"/>
        </w:rPr>
        <w:t>partnerships</w:t>
      </w:r>
      <w:r>
        <w:rPr>
          <w:w w:val="115"/>
        </w:rPr>
        <w:t>),</w:t>
      </w:r>
      <w:r>
        <w:rPr>
          <w:spacing w:val="-11"/>
          <w:w w:val="115"/>
        </w:rPr>
        <w:t> </w:t>
      </w:r>
      <w:r>
        <w:rPr>
          <w:w w:val="115"/>
        </w:rPr>
        <w:t>océanos,</w:t>
      </w:r>
      <w:r>
        <w:rPr>
          <w:spacing w:val="-11"/>
          <w:w w:val="115"/>
        </w:rPr>
        <w:t> </w:t>
      </w:r>
      <w:r>
        <w:rPr>
          <w:w w:val="115"/>
        </w:rPr>
        <w:t>ciencia</w:t>
      </w:r>
      <w:r>
        <w:rPr>
          <w:spacing w:val="-11"/>
          <w:w w:val="115"/>
        </w:rPr>
        <w:t> </w:t>
      </w:r>
      <w:r>
        <w:rPr>
          <w:w w:val="115"/>
        </w:rPr>
        <w:t>y</w:t>
      </w:r>
      <w:r>
        <w:rPr>
          <w:spacing w:val="-11"/>
          <w:w w:val="115"/>
        </w:rPr>
        <w:t> </w:t>
      </w:r>
      <w:r>
        <w:rPr>
          <w:w w:val="115"/>
        </w:rPr>
        <w:t>tecnología,</w:t>
      </w:r>
      <w:r>
        <w:rPr>
          <w:spacing w:val="-11"/>
          <w:w w:val="115"/>
        </w:rPr>
        <w:t> </w:t>
      </w:r>
      <w:r>
        <w:rPr>
          <w:w w:val="115"/>
        </w:rPr>
        <w:t>negocios</w:t>
      </w:r>
      <w:r>
        <w:rPr>
          <w:spacing w:val="-11"/>
          <w:w w:val="115"/>
        </w:rPr>
        <w:t> </w:t>
      </w:r>
      <w:r>
        <w:rPr>
          <w:w w:val="115"/>
        </w:rPr>
        <w:t>peque- ños,</w:t>
      </w:r>
      <w:r>
        <w:rPr>
          <w:spacing w:val="-25"/>
          <w:w w:val="115"/>
        </w:rPr>
        <w:t> </w:t>
      </w:r>
      <w:r>
        <w:rPr>
          <w:w w:val="115"/>
        </w:rPr>
        <w:t>programas</w:t>
      </w:r>
      <w:r>
        <w:rPr>
          <w:spacing w:val="-25"/>
          <w:w w:val="115"/>
        </w:rPr>
        <w:t> </w:t>
      </w:r>
      <w:r>
        <w:rPr>
          <w:w w:val="115"/>
        </w:rPr>
        <w:t>y</w:t>
      </w:r>
      <w:r>
        <w:rPr>
          <w:spacing w:val="-25"/>
          <w:w w:val="115"/>
        </w:rPr>
        <w:t> </w:t>
      </w:r>
      <w:r>
        <w:rPr>
          <w:w w:val="115"/>
        </w:rPr>
        <w:t>tratados</w:t>
      </w:r>
      <w:r>
        <w:rPr>
          <w:spacing w:val="-25"/>
          <w:w w:val="115"/>
        </w:rPr>
        <w:t> </w:t>
      </w:r>
      <w:r>
        <w:rPr>
          <w:w w:val="115"/>
        </w:rPr>
        <w:t>de</w:t>
      </w:r>
      <w:r>
        <w:rPr>
          <w:spacing w:val="-25"/>
          <w:w w:val="115"/>
        </w:rPr>
        <w:t> </w:t>
      </w:r>
      <w:r>
        <w:rPr>
          <w:w w:val="115"/>
        </w:rPr>
        <w:t>libre</w:t>
      </w:r>
      <w:r>
        <w:rPr>
          <w:spacing w:val="-25"/>
          <w:w w:val="115"/>
        </w:rPr>
        <w:t> </w:t>
      </w:r>
      <w:r>
        <w:rPr>
          <w:w w:val="115"/>
        </w:rPr>
        <w:t>comercio;</w:t>
      </w:r>
      <w:r>
        <w:rPr>
          <w:spacing w:val="-25"/>
          <w:w w:val="115"/>
        </w:rPr>
        <w:t> </w:t>
      </w:r>
      <w:r>
        <w:rPr>
          <w:i/>
          <w:w w:val="115"/>
        </w:rPr>
        <w:t>iv</w:t>
      </w:r>
      <w:r>
        <w:rPr>
          <w:w w:val="115"/>
        </w:rPr>
        <w:t>)</w:t>
      </w:r>
      <w:r>
        <w:rPr>
          <w:spacing w:val="-25"/>
          <w:w w:val="115"/>
        </w:rPr>
        <w:t> </w:t>
      </w:r>
      <w:r>
        <w:rPr>
          <w:i/>
          <w:w w:val="115"/>
        </w:rPr>
        <w:t>seguridad</w:t>
      </w:r>
      <w:r>
        <w:rPr>
          <w:i/>
          <w:spacing w:val="-25"/>
          <w:w w:val="115"/>
        </w:rPr>
        <w:t> </w:t>
      </w:r>
      <w:r>
        <w:rPr>
          <w:i/>
          <w:w w:val="115"/>
        </w:rPr>
        <w:t>internacio- </w:t>
      </w:r>
      <w:r>
        <w:rPr>
          <w:i/>
          <w:w w:val="115"/>
        </w:rPr>
        <w:t>nal</w:t>
      </w:r>
      <w:r>
        <w:rPr>
          <w:i/>
          <w:spacing w:val="-9"/>
          <w:w w:val="115"/>
        </w:rPr>
        <w:t> </w:t>
      </w:r>
      <w:r>
        <w:rPr>
          <w:i/>
          <w:w w:val="115"/>
        </w:rPr>
        <w:t>y</w:t>
      </w:r>
      <w:r>
        <w:rPr>
          <w:i/>
          <w:spacing w:val="-9"/>
          <w:w w:val="115"/>
        </w:rPr>
        <w:t> </w:t>
      </w:r>
      <w:r>
        <w:rPr>
          <w:i/>
          <w:w w:val="115"/>
        </w:rPr>
        <w:t>control</w:t>
      </w:r>
      <w:r>
        <w:rPr>
          <w:i/>
          <w:spacing w:val="-9"/>
          <w:w w:val="115"/>
        </w:rPr>
        <w:t> </w:t>
      </w:r>
      <w:r>
        <w:rPr>
          <w:i/>
          <w:w w:val="115"/>
        </w:rPr>
        <w:t>de</w:t>
      </w:r>
      <w:r>
        <w:rPr>
          <w:i/>
          <w:spacing w:val="-9"/>
          <w:w w:val="115"/>
        </w:rPr>
        <w:t> </w:t>
      </w:r>
      <w:r>
        <w:rPr>
          <w:i/>
          <w:w w:val="115"/>
        </w:rPr>
        <w:t>armas</w:t>
      </w:r>
      <w:r>
        <w:rPr>
          <w:w w:val="115"/>
        </w:rPr>
        <w:t>,</w:t>
      </w:r>
      <w:r>
        <w:rPr>
          <w:spacing w:val="-9"/>
          <w:w w:val="115"/>
        </w:rPr>
        <w:t> </w:t>
      </w:r>
      <w:r>
        <w:rPr>
          <w:w w:val="115"/>
        </w:rPr>
        <w:t>la</w:t>
      </w:r>
      <w:r>
        <w:rPr>
          <w:spacing w:val="-9"/>
          <w:w w:val="115"/>
        </w:rPr>
        <w:t> </w:t>
      </w:r>
      <w:r>
        <w:rPr>
          <w:w w:val="115"/>
        </w:rPr>
        <w:t>agenda</w:t>
      </w:r>
      <w:r>
        <w:rPr>
          <w:spacing w:val="-9"/>
          <w:w w:val="115"/>
        </w:rPr>
        <w:t> </w:t>
      </w:r>
      <w:r>
        <w:rPr>
          <w:w w:val="115"/>
        </w:rPr>
        <w:t>revisa</w:t>
      </w:r>
      <w:r>
        <w:rPr>
          <w:spacing w:val="-9"/>
          <w:w w:val="115"/>
        </w:rPr>
        <w:t> </w:t>
      </w:r>
      <w:r>
        <w:rPr>
          <w:w w:val="115"/>
        </w:rPr>
        <w:t>asuntos</w:t>
      </w:r>
      <w:r>
        <w:rPr>
          <w:spacing w:val="-9"/>
          <w:w w:val="115"/>
        </w:rPr>
        <w:t> </w:t>
      </w:r>
      <w:r>
        <w:rPr>
          <w:w w:val="115"/>
        </w:rPr>
        <w:t>de</w:t>
      </w:r>
      <w:r>
        <w:rPr>
          <w:spacing w:val="-9"/>
          <w:w w:val="115"/>
        </w:rPr>
        <w:t> </w:t>
      </w:r>
      <w:r>
        <w:rPr>
          <w:w w:val="115"/>
        </w:rPr>
        <w:t>control</w:t>
      </w:r>
      <w:r>
        <w:rPr>
          <w:spacing w:val="-9"/>
          <w:w w:val="115"/>
        </w:rPr>
        <w:t> </w:t>
      </w:r>
      <w:r>
        <w:rPr>
          <w:w w:val="115"/>
        </w:rPr>
        <w:t>de</w:t>
      </w:r>
      <w:r>
        <w:rPr>
          <w:spacing w:val="-9"/>
          <w:w w:val="115"/>
        </w:rPr>
        <w:t> </w:t>
      </w:r>
      <w:r>
        <w:rPr>
          <w:w w:val="115"/>
        </w:rPr>
        <w:t>armas, combate</w:t>
      </w:r>
      <w:r>
        <w:rPr>
          <w:spacing w:val="-5"/>
          <w:w w:val="115"/>
        </w:rPr>
        <w:t> </w:t>
      </w:r>
      <w:r>
        <w:rPr>
          <w:w w:val="115"/>
        </w:rPr>
        <w:t>al</w:t>
      </w:r>
      <w:r>
        <w:rPr>
          <w:spacing w:val="-5"/>
          <w:w w:val="115"/>
        </w:rPr>
        <w:t> </w:t>
      </w:r>
      <w:r>
        <w:rPr>
          <w:w w:val="115"/>
        </w:rPr>
        <w:t>terrorismo,</w:t>
      </w:r>
      <w:r>
        <w:rPr>
          <w:spacing w:val="-5"/>
          <w:w w:val="115"/>
        </w:rPr>
        <w:t> </w:t>
      </w:r>
      <w:r>
        <w:rPr>
          <w:w w:val="115"/>
        </w:rPr>
        <w:t>controles</w:t>
      </w:r>
      <w:r>
        <w:rPr>
          <w:spacing w:val="-5"/>
          <w:w w:val="115"/>
        </w:rPr>
        <w:t> </w:t>
      </w:r>
      <w:r>
        <w:rPr>
          <w:w w:val="115"/>
        </w:rPr>
        <w:t>de</w:t>
      </w:r>
      <w:r>
        <w:rPr>
          <w:spacing w:val="-5"/>
          <w:w w:val="115"/>
        </w:rPr>
        <w:t> </w:t>
      </w:r>
      <w:r>
        <w:rPr>
          <w:w w:val="115"/>
        </w:rPr>
        <w:t>comercio</w:t>
      </w:r>
      <w:r>
        <w:rPr>
          <w:spacing w:val="-5"/>
          <w:w w:val="115"/>
        </w:rPr>
        <w:t> </w:t>
      </w:r>
      <w:r>
        <w:rPr>
          <w:w w:val="115"/>
        </w:rPr>
        <w:t>y</w:t>
      </w:r>
      <w:r>
        <w:rPr>
          <w:spacing w:val="-5"/>
          <w:w w:val="115"/>
        </w:rPr>
        <w:t> </w:t>
      </w:r>
      <w:r>
        <w:rPr>
          <w:w w:val="115"/>
        </w:rPr>
        <w:t>defensa,</w:t>
      </w:r>
      <w:r>
        <w:rPr>
          <w:spacing w:val="-5"/>
          <w:w w:val="115"/>
        </w:rPr>
        <w:t> </w:t>
      </w:r>
      <w:r>
        <w:rPr>
          <w:w w:val="115"/>
        </w:rPr>
        <w:t>no</w:t>
      </w:r>
      <w:r>
        <w:rPr>
          <w:spacing w:val="-5"/>
          <w:w w:val="115"/>
        </w:rPr>
        <w:t> </w:t>
      </w:r>
      <w:r>
        <w:rPr>
          <w:w w:val="115"/>
        </w:rPr>
        <w:t>asuntos político-militares, </w:t>
      </w:r>
      <w:r>
        <w:rPr>
          <w:spacing w:val="-3"/>
          <w:w w:val="115"/>
        </w:rPr>
        <w:t>tratado </w:t>
      </w:r>
      <w:r>
        <w:rPr>
          <w:w w:val="115"/>
        </w:rPr>
        <w:t>de no proliferación de armas nucleares (</w:t>
      </w:r>
      <w:r>
        <w:rPr>
          <w:i/>
          <w:w w:val="115"/>
        </w:rPr>
        <w:t>New</w:t>
      </w:r>
      <w:r>
        <w:rPr>
          <w:i/>
          <w:spacing w:val="-13"/>
          <w:w w:val="115"/>
        </w:rPr>
        <w:t> </w:t>
      </w:r>
      <w:r>
        <w:rPr>
          <w:i/>
          <w:spacing w:val="-3"/>
          <w:w w:val="115"/>
        </w:rPr>
        <w:t>START</w:t>
      </w:r>
      <w:r>
        <w:rPr>
          <w:spacing w:val="-3"/>
          <w:w w:val="115"/>
        </w:rPr>
        <w:t>);</w:t>
      </w:r>
      <w:r>
        <w:rPr>
          <w:spacing w:val="-13"/>
          <w:w w:val="115"/>
        </w:rPr>
        <w:t> </w:t>
      </w:r>
      <w:r>
        <w:rPr>
          <w:i/>
          <w:w w:val="115"/>
        </w:rPr>
        <w:t>v)</w:t>
      </w:r>
      <w:r>
        <w:rPr>
          <w:i/>
          <w:spacing w:val="-13"/>
          <w:w w:val="115"/>
        </w:rPr>
        <w:t> </w:t>
      </w:r>
      <w:r>
        <w:rPr>
          <w:i/>
          <w:w w:val="115"/>
        </w:rPr>
        <w:t>la</w:t>
      </w:r>
      <w:r>
        <w:rPr>
          <w:i/>
          <w:spacing w:val="-13"/>
          <w:w w:val="115"/>
        </w:rPr>
        <w:t> </w:t>
      </w:r>
      <w:r>
        <w:rPr>
          <w:i/>
          <w:w w:val="115"/>
        </w:rPr>
        <w:t>democracia</w:t>
      </w:r>
      <w:r>
        <w:rPr>
          <w:i/>
          <w:spacing w:val="-13"/>
          <w:w w:val="115"/>
        </w:rPr>
        <w:t> </w:t>
      </w:r>
      <w:r>
        <w:rPr>
          <w:i/>
          <w:w w:val="115"/>
        </w:rPr>
        <w:t>y</w:t>
      </w:r>
      <w:r>
        <w:rPr>
          <w:i/>
          <w:spacing w:val="-13"/>
          <w:w w:val="115"/>
        </w:rPr>
        <w:t> </w:t>
      </w:r>
      <w:r>
        <w:rPr>
          <w:i/>
          <w:w w:val="115"/>
        </w:rPr>
        <w:t>seguridad</w:t>
      </w:r>
      <w:r>
        <w:rPr>
          <w:i/>
          <w:spacing w:val="-13"/>
          <w:w w:val="115"/>
        </w:rPr>
        <w:t> </w:t>
      </w:r>
      <w:r>
        <w:rPr>
          <w:i/>
          <w:w w:val="115"/>
        </w:rPr>
        <w:t>ciudadana</w:t>
      </w:r>
      <w:r>
        <w:rPr>
          <w:w w:val="115"/>
        </w:rPr>
        <w:t>,</w:t>
      </w:r>
      <w:r>
        <w:rPr>
          <w:spacing w:val="-13"/>
          <w:w w:val="115"/>
        </w:rPr>
        <w:t> </w:t>
      </w:r>
      <w:r>
        <w:rPr>
          <w:w w:val="115"/>
        </w:rPr>
        <w:t>algunos</w:t>
      </w:r>
      <w:r>
        <w:rPr>
          <w:spacing w:val="-13"/>
          <w:w w:val="115"/>
        </w:rPr>
        <w:t> </w:t>
      </w:r>
      <w:r>
        <w:rPr>
          <w:w w:val="115"/>
        </w:rPr>
        <w:t>de</w:t>
      </w:r>
      <w:r>
        <w:rPr>
          <w:spacing w:val="-13"/>
          <w:w w:val="115"/>
        </w:rPr>
        <w:t> </w:t>
      </w:r>
      <w:r>
        <w:rPr>
          <w:w w:val="115"/>
        </w:rPr>
        <w:t>los asuntos</w:t>
      </w:r>
      <w:r>
        <w:rPr>
          <w:spacing w:val="-27"/>
          <w:w w:val="115"/>
        </w:rPr>
        <w:t> </w:t>
      </w:r>
      <w:r>
        <w:rPr>
          <w:w w:val="115"/>
        </w:rPr>
        <w:t>atendidos</w:t>
      </w:r>
      <w:r>
        <w:rPr>
          <w:spacing w:val="-27"/>
          <w:w w:val="115"/>
        </w:rPr>
        <w:t> </w:t>
      </w:r>
      <w:r>
        <w:rPr>
          <w:w w:val="115"/>
        </w:rPr>
        <w:t>en</w:t>
      </w:r>
      <w:r>
        <w:rPr>
          <w:spacing w:val="-27"/>
          <w:w w:val="115"/>
        </w:rPr>
        <w:t> </w:t>
      </w:r>
      <w:r>
        <w:rPr>
          <w:w w:val="115"/>
        </w:rPr>
        <w:t>este</w:t>
      </w:r>
      <w:r>
        <w:rPr>
          <w:spacing w:val="-27"/>
          <w:w w:val="115"/>
        </w:rPr>
        <w:t> </w:t>
      </w:r>
      <w:r>
        <w:rPr>
          <w:w w:val="115"/>
        </w:rPr>
        <w:t>área</w:t>
      </w:r>
      <w:r>
        <w:rPr>
          <w:spacing w:val="-27"/>
          <w:w w:val="115"/>
        </w:rPr>
        <w:t> </w:t>
      </w:r>
      <w:r>
        <w:rPr>
          <w:w w:val="115"/>
        </w:rPr>
        <w:t>son</w:t>
      </w:r>
      <w:r>
        <w:rPr>
          <w:spacing w:val="-27"/>
          <w:w w:val="115"/>
        </w:rPr>
        <w:t> </w:t>
      </w:r>
      <w:r>
        <w:rPr>
          <w:w w:val="115"/>
        </w:rPr>
        <w:t>estabilización</w:t>
      </w:r>
      <w:r>
        <w:rPr>
          <w:spacing w:val="-27"/>
          <w:w w:val="115"/>
        </w:rPr>
        <w:t> </w:t>
      </w:r>
      <w:r>
        <w:rPr>
          <w:w w:val="115"/>
        </w:rPr>
        <w:t>y</w:t>
      </w:r>
      <w:r>
        <w:rPr>
          <w:spacing w:val="-27"/>
          <w:w w:val="115"/>
        </w:rPr>
        <w:t> </w:t>
      </w:r>
      <w:r>
        <w:rPr>
          <w:w w:val="115"/>
        </w:rPr>
        <w:t>conflicto,</w:t>
      </w:r>
      <w:r>
        <w:rPr>
          <w:spacing w:val="-27"/>
          <w:w w:val="115"/>
        </w:rPr>
        <w:t> </w:t>
      </w:r>
      <w:r>
        <w:rPr>
          <w:w w:val="115"/>
        </w:rPr>
        <w:t>combate al terrorismo, justicia penal global, derechos humanos,</w:t>
      </w:r>
      <w:r>
        <w:rPr>
          <w:spacing w:val="-28"/>
          <w:w w:val="115"/>
        </w:rPr>
        <w:t> </w:t>
      </w:r>
      <w:r>
        <w:rPr>
          <w:w w:val="115"/>
        </w:rPr>
        <w:t>procuración de</w:t>
      </w:r>
      <w:r>
        <w:rPr>
          <w:spacing w:val="-25"/>
          <w:w w:val="115"/>
        </w:rPr>
        <w:t> </w:t>
      </w:r>
      <w:r>
        <w:rPr>
          <w:w w:val="115"/>
        </w:rPr>
        <w:t>justicia</w:t>
      </w:r>
      <w:r>
        <w:rPr>
          <w:spacing w:val="-25"/>
          <w:w w:val="115"/>
        </w:rPr>
        <w:t> </w:t>
      </w:r>
      <w:r>
        <w:rPr>
          <w:w w:val="115"/>
        </w:rPr>
        <w:t>y</w:t>
      </w:r>
      <w:r>
        <w:rPr>
          <w:spacing w:val="-25"/>
          <w:w w:val="115"/>
        </w:rPr>
        <w:t> </w:t>
      </w:r>
      <w:r>
        <w:rPr>
          <w:w w:val="115"/>
        </w:rPr>
        <w:t>asuntos</w:t>
      </w:r>
      <w:r>
        <w:rPr>
          <w:spacing w:val="-25"/>
          <w:w w:val="115"/>
        </w:rPr>
        <w:t> </w:t>
      </w:r>
      <w:r>
        <w:rPr>
          <w:w w:val="115"/>
        </w:rPr>
        <w:t>de</w:t>
      </w:r>
      <w:r>
        <w:rPr>
          <w:spacing w:val="-25"/>
          <w:w w:val="115"/>
        </w:rPr>
        <w:t> </w:t>
      </w:r>
      <w:r>
        <w:rPr>
          <w:w w:val="115"/>
        </w:rPr>
        <w:t>combate</w:t>
      </w:r>
      <w:r>
        <w:rPr>
          <w:spacing w:val="-25"/>
          <w:w w:val="115"/>
        </w:rPr>
        <w:t> </w:t>
      </w:r>
      <w:r>
        <w:rPr>
          <w:w w:val="115"/>
        </w:rPr>
        <w:t>al</w:t>
      </w:r>
      <w:r>
        <w:rPr>
          <w:spacing w:val="-25"/>
          <w:w w:val="115"/>
        </w:rPr>
        <w:t> </w:t>
      </w:r>
      <w:r>
        <w:rPr>
          <w:w w:val="115"/>
        </w:rPr>
        <w:t>narcotráfico,</w:t>
      </w:r>
      <w:r>
        <w:rPr>
          <w:spacing w:val="-25"/>
          <w:w w:val="115"/>
        </w:rPr>
        <w:t> </w:t>
      </w:r>
      <w:r>
        <w:rPr>
          <w:w w:val="115"/>
        </w:rPr>
        <w:t>migración,</w:t>
      </w:r>
      <w:r>
        <w:rPr>
          <w:spacing w:val="-25"/>
          <w:w w:val="115"/>
        </w:rPr>
        <w:t> </w:t>
      </w:r>
      <w:r>
        <w:rPr>
          <w:w w:val="115"/>
        </w:rPr>
        <w:t>población y</w:t>
      </w:r>
      <w:r>
        <w:rPr>
          <w:spacing w:val="-9"/>
          <w:w w:val="115"/>
        </w:rPr>
        <w:t> </w:t>
      </w:r>
      <w:r>
        <w:rPr>
          <w:w w:val="115"/>
        </w:rPr>
        <w:t>refugiados,</w:t>
      </w:r>
      <w:r>
        <w:rPr>
          <w:spacing w:val="-9"/>
          <w:w w:val="115"/>
        </w:rPr>
        <w:t> </w:t>
      </w:r>
      <w:r>
        <w:rPr>
          <w:w w:val="115"/>
        </w:rPr>
        <w:t>trata</w:t>
      </w:r>
      <w:r>
        <w:rPr>
          <w:spacing w:val="-9"/>
          <w:w w:val="115"/>
        </w:rPr>
        <w:t> </w:t>
      </w:r>
      <w:r>
        <w:rPr>
          <w:w w:val="115"/>
        </w:rPr>
        <w:t>de</w:t>
      </w:r>
      <w:r>
        <w:rPr>
          <w:spacing w:val="-9"/>
          <w:w w:val="115"/>
        </w:rPr>
        <w:t> </w:t>
      </w:r>
      <w:r>
        <w:rPr>
          <w:w w:val="115"/>
        </w:rPr>
        <w:t>personas</w:t>
      </w:r>
      <w:r>
        <w:rPr>
          <w:spacing w:val="-9"/>
          <w:w w:val="115"/>
        </w:rPr>
        <w:t> </w:t>
      </w:r>
      <w:r>
        <w:rPr>
          <w:w w:val="115"/>
        </w:rPr>
        <w:t>y</w:t>
      </w:r>
      <w:r>
        <w:rPr>
          <w:spacing w:val="-9"/>
          <w:w w:val="115"/>
        </w:rPr>
        <w:t> </w:t>
      </w:r>
      <w:r>
        <w:rPr>
          <w:w w:val="115"/>
        </w:rPr>
        <w:t>asuntos</w:t>
      </w:r>
      <w:r>
        <w:rPr>
          <w:spacing w:val="-9"/>
          <w:w w:val="115"/>
        </w:rPr>
        <w:t> </w:t>
      </w:r>
      <w:r>
        <w:rPr>
          <w:w w:val="115"/>
        </w:rPr>
        <w:t>de</w:t>
      </w:r>
      <w:r>
        <w:rPr>
          <w:spacing w:val="-9"/>
          <w:w w:val="115"/>
        </w:rPr>
        <w:t> </w:t>
      </w:r>
      <w:r>
        <w:rPr>
          <w:w w:val="115"/>
        </w:rPr>
        <w:t>la</w:t>
      </w:r>
      <w:r>
        <w:rPr>
          <w:spacing w:val="-9"/>
          <w:w w:val="115"/>
        </w:rPr>
        <w:t> </w:t>
      </w:r>
      <w:r>
        <w:rPr>
          <w:w w:val="115"/>
        </w:rPr>
        <w:t>mujer;</w:t>
      </w:r>
      <w:r>
        <w:rPr>
          <w:spacing w:val="-9"/>
          <w:w w:val="115"/>
        </w:rPr>
        <w:t> </w:t>
      </w:r>
      <w:r>
        <w:rPr>
          <w:i/>
          <w:w w:val="115"/>
        </w:rPr>
        <w:t>vi</w:t>
      </w:r>
      <w:r>
        <w:rPr>
          <w:w w:val="115"/>
        </w:rPr>
        <w:t>)</w:t>
      </w:r>
      <w:r>
        <w:rPr>
          <w:spacing w:val="-9"/>
          <w:w w:val="115"/>
        </w:rPr>
        <w:t> </w:t>
      </w:r>
      <w:r>
        <w:rPr>
          <w:w w:val="115"/>
        </w:rPr>
        <w:t>diplomacia y asuntos públicos (</w:t>
      </w:r>
      <w:r>
        <w:rPr>
          <w:i/>
          <w:w w:val="115"/>
        </w:rPr>
        <w:t>public diplomacy &amp; public affairs</w:t>
      </w:r>
      <w:r>
        <w:rPr>
          <w:w w:val="115"/>
        </w:rPr>
        <w:t>) en la cual se administran los programas educativos y de intercambio</w:t>
      </w:r>
      <w:r>
        <w:rPr>
          <w:spacing w:val="-32"/>
          <w:w w:val="115"/>
        </w:rPr>
        <w:t> </w:t>
      </w:r>
      <w:r>
        <w:rPr>
          <w:w w:val="115"/>
        </w:rPr>
        <w:t>internacio- nal,</w:t>
      </w:r>
      <w:r>
        <w:rPr>
          <w:spacing w:val="-15"/>
          <w:w w:val="115"/>
        </w:rPr>
        <w:t> </w:t>
      </w:r>
      <w:r>
        <w:rPr>
          <w:w w:val="115"/>
        </w:rPr>
        <w:t>temas</w:t>
      </w:r>
      <w:r>
        <w:rPr>
          <w:spacing w:val="-15"/>
          <w:w w:val="115"/>
        </w:rPr>
        <w:t> </w:t>
      </w:r>
      <w:r>
        <w:rPr>
          <w:w w:val="115"/>
        </w:rPr>
        <w:t>sobre</w:t>
      </w:r>
      <w:r>
        <w:rPr>
          <w:spacing w:val="-15"/>
          <w:w w:val="115"/>
        </w:rPr>
        <w:t> </w:t>
      </w:r>
      <w:r>
        <w:rPr>
          <w:w w:val="115"/>
        </w:rPr>
        <w:t>educación</w:t>
      </w:r>
      <w:r>
        <w:rPr>
          <w:spacing w:val="-15"/>
          <w:w w:val="115"/>
        </w:rPr>
        <w:t> </w:t>
      </w:r>
      <w:r>
        <w:rPr>
          <w:w w:val="115"/>
        </w:rPr>
        <w:t>y</w:t>
      </w:r>
      <w:r>
        <w:rPr>
          <w:spacing w:val="-15"/>
          <w:w w:val="115"/>
        </w:rPr>
        <w:t> </w:t>
      </w:r>
      <w:r>
        <w:rPr>
          <w:w w:val="115"/>
        </w:rPr>
        <w:t>cultura,</w:t>
      </w:r>
      <w:r>
        <w:rPr>
          <w:spacing w:val="-15"/>
          <w:w w:val="115"/>
        </w:rPr>
        <w:t> </w:t>
      </w:r>
      <w:r>
        <w:rPr>
          <w:w w:val="115"/>
        </w:rPr>
        <w:t>historia</w:t>
      </w:r>
      <w:r>
        <w:rPr>
          <w:spacing w:val="-15"/>
          <w:w w:val="115"/>
        </w:rPr>
        <w:t> </w:t>
      </w:r>
      <w:r>
        <w:rPr>
          <w:w w:val="115"/>
        </w:rPr>
        <w:t>y</w:t>
      </w:r>
      <w:r>
        <w:rPr>
          <w:spacing w:val="-15"/>
          <w:w w:val="115"/>
        </w:rPr>
        <w:t> </w:t>
      </w:r>
      <w:r>
        <w:rPr>
          <w:w w:val="115"/>
        </w:rPr>
        <w:t>relaciones</w:t>
      </w:r>
      <w:r>
        <w:rPr>
          <w:spacing w:val="-15"/>
          <w:w w:val="115"/>
        </w:rPr>
        <w:t> </w:t>
      </w:r>
      <w:r>
        <w:rPr>
          <w:w w:val="115"/>
        </w:rPr>
        <w:t>exteriores de Estados unidos con otros países, asuntos de la juventud; en </w:t>
      </w:r>
      <w:r>
        <w:rPr>
          <w:i/>
          <w:w w:val="115"/>
        </w:rPr>
        <w:t>vii</w:t>
      </w:r>
      <w:r>
        <w:rPr>
          <w:w w:val="115"/>
        </w:rPr>
        <w:t>) </w:t>
      </w:r>
      <w:r>
        <w:rPr>
          <w:i/>
          <w:w w:val="110"/>
        </w:rPr>
        <w:t>asistencia y desarrollo</w:t>
      </w:r>
      <w:r>
        <w:rPr>
          <w:w w:val="110"/>
        </w:rPr>
        <w:t>, es posible revisar las actividades desarrolladas </w:t>
      </w:r>
      <w:r>
        <w:rPr>
          <w:w w:val="115"/>
        </w:rPr>
        <w:t>por la oficina de recursos para asistencia en el </w:t>
      </w:r>
      <w:r>
        <w:rPr>
          <w:spacing w:val="-3"/>
          <w:w w:val="115"/>
        </w:rPr>
        <w:t>exterior, </w:t>
      </w:r>
      <w:r>
        <w:rPr>
          <w:w w:val="115"/>
        </w:rPr>
        <w:t>oficina</w:t>
      </w:r>
      <w:r>
        <w:rPr>
          <w:spacing w:val="-18"/>
          <w:w w:val="115"/>
        </w:rPr>
        <w:t> </w:t>
      </w:r>
      <w:r>
        <w:rPr>
          <w:w w:val="115"/>
        </w:rPr>
        <w:t>para asuntos de la diplomacia para la salud, agencia internacional para el</w:t>
      </w:r>
      <w:r>
        <w:rPr>
          <w:spacing w:val="-7"/>
          <w:w w:val="115"/>
        </w:rPr>
        <w:t> </w:t>
      </w:r>
      <w:r>
        <w:rPr>
          <w:w w:val="115"/>
        </w:rPr>
        <w:t>desarrollo</w:t>
      </w:r>
      <w:r>
        <w:rPr>
          <w:spacing w:val="-7"/>
          <w:w w:val="115"/>
        </w:rPr>
        <w:t> </w:t>
      </w:r>
      <w:r>
        <w:rPr>
          <w:w w:val="115"/>
        </w:rPr>
        <w:t>(usaid),</w:t>
      </w:r>
      <w:r>
        <w:rPr>
          <w:spacing w:val="-7"/>
          <w:w w:val="115"/>
        </w:rPr>
        <w:t> </w:t>
      </w:r>
      <w:r>
        <w:rPr>
          <w:w w:val="115"/>
        </w:rPr>
        <w:t>mejores</w:t>
      </w:r>
      <w:r>
        <w:rPr>
          <w:spacing w:val="-7"/>
          <w:w w:val="115"/>
        </w:rPr>
        <w:t> </w:t>
      </w:r>
      <w:r>
        <w:rPr>
          <w:w w:val="115"/>
        </w:rPr>
        <w:t>condiciones</w:t>
      </w:r>
      <w:r>
        <w:rPr>
          <w:spacing w:val="-7"/>
          <w:w w:val="115"/>
        </w:rPr>
        <w:t> </w:t>
      </w:r>
      <w:r>
        <w:rPr>
          <w:w w:val="115"/>
        </w:rPr>
        <w:t>en</w:t>
      </w:r>
      <w:r>
        <w:rPr>
          <w:spacing w:val="-7"/>
          <w:w w:val="115"/>
        </w:rPr>
        <w:t> </w:t>
      </w:r>
      <w:r>
        <w:rPr>
          <w:w w:val="115"/>
        </w:rPr>
        <w:t>materia</w:t>
      </w:r>
      <w:r>
        <w:rPr>
          <w:spacing w:val="-7"/>
          <w:w w:val="115"/>
        </w:rPr>
        <w:t> </w:t>
      </w:r>
      <w:r>
        <w:rPr>
          <w:w w:val="115"/>
        </w:rPr>
        <w:t>de</w:t>
      </w:r>
      <w:r>
        <w:rPr>
          <w:spacing w:val="-7"/>
          <w:w w:val="115"/>
        </w:rPr>
        <w:t> </w:t>
      </w:r>
      <w:r>
        <w:rPr>
          <w:w w:val="115"/>
        </w:rPr>
        <w:t>atención</w:t>
      </w:r>
      <w:r>
        <w:rPr>
          <w:spacing w:val="-7"/>
          <w:w w:val="115"/>
        </w:rPr>
        <w:t> </w:t>
      </w:r>
      <w:r>
        <w:rPr>
          <w:w w:val="115"/>
        </w:rPr>
        <w:t>al sida (síndrome de inmunodeficiencia adquirida, aids por sus siglas en</w:t>
      </w:r>
      <w:r>
        <w:rPr>
          <w:spacing w:val="-18"/>
          <w:w w:val="115"/>
        </w:rPr>
        <w:t> </w:t>
      </w:r>
      <w:r>
        <w:rPr>
          <w:w w:val="115"/>
        </w:rPr>
        <w:t>inglés),</w:t>
      </w:r>
      <w:r>
        <w:rPr>
          <w:spacing w:val="-18"/>
          <w:w w:val="115"/>
        </w:rPr>
        <w:t> </w:t>
      </w:r>
      <w:r>
        <w:rPr>
          <w:w w:val="115"/>
        </w:rPr>
        <w:t>las</w:t>
      </w:r>
      <w:r>
        <w:rPr>
          <w:spacing w:val="-18"/>
          <w:w w:val="115"/>
        </w:rPr>
        <w:t> </w:t>
      </w:r>
      <w:r>
        <w:rPr>
          <w:w w:val="115"/>
        </w:rPr>
        <w:t>respuestas</w:t>
      </w:r>
      <w:r>
        <w:rPr>
          <w:spacing w:val="-18"/>
          <w:w w:val="115"/>
        </w:rPr>
        <w:t> </w:t>
      </w:r>
      <w:r>
        <w:rPr>
          <w:w w:val="115"/>
        </w:rPr>
        <w:t>a</w:t>
      </w:r>
      <w:r>
        <w:rPr>
          <w:spacing w:val="-18"/>
          <w:w w:val="115"/>
        </w:rPr>
        <w:t> </w:t>
      </w:r>
      <w:r>
        <w:rPr>
          <w:w w:val="115"/>
        </w:rPr>
        <w:t>la</w:t>
      </w:r>
      <w:r>
        <w:rPr>
          <w:spacing w:val="-18"/>
          <w:w w:val="115"/>
        </w:rPr>
        <w:t> </w:t>
      </w:r>
      <w:r>
        <w:rPr>
          <w:w w:val="115"/>
        </w:rPr>
        <w:t>amenaza</w:t>
      </w:r>
      <w:r>
        <w:rPr>
          <w:spacing w:val="-18"/>
          <w:w w:val="115"/>
        </w:rPr>
        <w:t> </w:t>
      </w:r>
      <w:r>
        <w:rPr>
          <w:w w:val="115"/>
        </w:rPr>
        <w:t>del</w:t>
      </w:r>
      <w:r>
        <w:rPr>
          <w:spacing w:val="-18"/>
          <w:w w:val="115"/>
        </w:rPr>
        <w:t> </w:t>
      </w:r>
      <w:r>
        <w:rPr>
          <w:w w:val="115"/>
        </w:rPr>
        <w:t>ébola.</w:t>
      </w:r>
    </w:p>
    <w:p>
      <w:pPr>
        <w:pStyle w:val="BodyText"/>
        <w:spacing w:line="252" w:lineRule="auto"/>
        <w:ind w:left="330" w:right="116" w:firstLine="396"/>
        <w:jc w:val="both"/>
      </w:pPr>
      <w:r>
        <w:rPr>
          <w:spacing w:val="1"/>
          <w:w w:val="248"/>
        </w:rPr>
        <w:t>l</w:t>
      </w:r>
      <w:r>
        <w:rPr>
          <w:w w:val="114"/>
        </w:rPr>
        <w:t>a</w:t>
      </w:r>
      <w:r>
        <w:rPr/>
        <w:t> </w:t>
      </w:r>
      <w:r>
        <w:rPr>
          <w:spacing w:val="7"/>
        </w:rPr>
        <w:t> </w:t>
      </w:r>
      <w:r>
        <w:rPr>
          <w:spacing w:val="1"/>
          <w:w w:val="114"/>
        </w:rPr>
        <w:t>clasi</w:t>
      </w:r>
      <w:r>
        <w:rPr>
          <w:spacing w:val="1"/>
          <w:w w:val="106"/>
        </w:rPr>
        <w:t>fi</w:t>
      </w:r>
      <w:r>
        <w:rPr>
          <w:spacing w:val="1"/>
          <w:w w:val="115"/>
        </w:rPr>
        <w:t>cació</w:t>
      </w:r>
      <w:r>
        <w:rPr>
          <w:w w:val="115"/>
        </w:rPr>
        <w:t>n</w:t>
      </w:r>
      <w:r>
        <w:rPr/>
        <w:t> </w:t>
      </w:r>
      <w:r>
        <w:rPr>
          <w:spacing w:val="7"/>
        </w:rPr>
        <w:t> </w:t>
      </w:r>
      <w:r>
        <w:rPr>
          <w:spacing w:val="1"/>
          <w:w w:val="110"/>
        </w:rPr>
        <w:t>presentad</w:t>
      </w:r>
      <w:r>
        <w:rPr>
          <w:w w:val="110"/>
        </w:rPr>
        <w:t>a</w:t>
      </w:r>
      <w:r>
        <w:rPr/>
        <w:t> </w:t>
      </w:r>
      <w:r>
        <w:rPr>
          <w:spacing w:val="7"/>
        </w:rPr>
        <w:t> </w:t>
      </w:r>
      <w:r>
        <w:rPr>
          <w:spacing w:val="1"/>
          <w:w w:val="111"/>
        </w:rPr>
        <w:t>anteriorment</w:t>
      </w:r>
      <w:r>
        <w:rPr>
          <w:w w:val="111"/>
        </w:rPr>
        <w:t>e</w:t>
      </w:r>
      <w:r>
        <w:rPr/>
        <w:t> </w:t>
      </w:r>
      <w:r>
        <w:rPr>
          <w:spacing w:val="7"/>
        </w:rPr>
        <w:t> </w:t>
      </w:r>
      <w:r>
        <w:rPr>
          <w:spacing w:val="1"/>
          <w:w w:val="110"/>
        </w:rPr>
        <w:t>permit</w:t>
      </w:r>
      <w:r>
        <w:rPr>
          <w:w w:val="110"/>
        </w:rPr>
        <w:t>e</w:t>
      </w:r>
      <w:r>
        <w:rPr/>
        <w:t> </w:t>
      </w:r>
      <w:r>
        <w:rPr>
          <w:spacing w:val="7"/>
        </w:rPr>
        <w:t> </w:t>
      </w:r>
      <w:r>
        <w:rPr>
          <w:spacing w:val="1"/>
          <w:w w:val="112"/>
        </w:rPr>
        <w:t>visualizar </w:t>
      </w:r>
      <w:r>
        <w:rPr>
          <w:w w:val="115"/>
        </w:rPr>
        <w:t>los criterios temáticos, geográficos, institucionales, programáticos y burocráticos en los cuales está definida la agenda global de polí- tica exterior de Estados unidos; sirve como </w:t>
      </w:r>
      <w:r>
        <w:rPr>
          <w:i/>
          <w:w w:val="115"/>
        </w:rPr>
        <w:t>radiografía </w:t>
      </w:r>
      <w:r>
        <w:rPr>
          <w:w w:val="115"/>
        </w:rPr>
        <w:t>inicial para identificar</w:t>
      </w:r>
      <w:r>
        <w:rPr>
          <w:spacing w:val="-12"/>
          <w:w w:val="115"/>
        </w:rPr>
        <w:t> </w:t>
      </w:r>
      <w:r>
        <w:rPr>
          <w:w w:val="115"/>
        </w:rPr>
        <w:t>cuáles</w:t>
      </w:r>
      <w:r>
        <w:rPr>
          <w:spacing w:val="-12"/>
          <w:w w:val="115"/>
        </w:rPr>
        <w:t> </w:t>
      </w:r>
      <w:r>
        <w:rPr>
          <w:w w:val="115"/>
        </w:rPr>
        <w:t>son</w:t>
      </w:r>
      <w:r>
        <w:rPr>
          <w:spacing w:val="-12"/>
          <w:w w:val="115"/>
        </w:rPr>
        <w:t> </w:t>
      </w:r>
      <w:r>
        <w:rPr>
          <w:w w:val="115"/>
        </w:rPr>
        <w:t>los</w:t>
      </w:r>
      <w:r>
        <w:rPr>
          <w:spacing w:val="-12"/>
          <w:w w:val="115"/>
        </w:rPr>
        <w:t> </w:t>
      </w:r>
      <w:r>
        <w:rPr>
          <w:w w:val="115"/>
        </w:rPr>
        <w:t>temas</w:t>
      </w:r>
      <w:r>
        <w:rPr>
          <w:spacing w:val="-12"/>
          <w:w w:val="115"/>
        </w:rPr>
        <w:t> </w:t>
      </w:r>
      <w:r>
        <w:rPr>
          <w:w w:val="115"/>
        </w:rPr>
        <w:t>y</w:t>
      </w:r>
      <w:r>
        <w:rPr>
          <w:spacing w:val="-12"/>
          <w:w w:val="115"/>
        </w:rPr>
        <w:t> </w:t>
      </w:r>
      <w:r>
        <w:rPr>
          <w:w w:val="115"/>
        </w:rPr>
        <w:t>áreas</w:t>
      </w:r>
      <w:r>
        <w:rPr>
          <w:spacing w:val="-12"/>
          <w:w w:val="115"/>
        </w:rPr>
        <w:t> </w:t>
      </w:r>
      <w:r>
        <w:rPr>
          <w:w w:val="115"/>
        </w:rPr>
        <w:t>prioritarias</w:t>
      </w:r>
      <w:r>
        <w:rPr>
          <w:spacing w:val="-12"/>
          <w:w w:val="115"/>
        </w:rPr>
        <w:t> </w:t>
      </w:r>
      <w:r>
        <w:rPr>
          <w:w w:val="115"/>
        </w:rPr>
        <w:t>para</w:t>
      </w:r>
      <w:r>
        <w:rPr>
          <w:spacing w:val="-12"/>
          <w:w w:val="115"/>
        </w:rPr>
        <w:t> </w:t>
      </w:r>
      <w:r>
        <w:rPr>
          <w:w w:val="115"/>
        </w:rPr>
        <w:t>el</w:t>
      </w:r>
      <w:r>
        <w:rPr>
          <w:spacing w:val="-12"/>
          <w:w w:val="115"/>
        </w:rPr>
        <w:t> </w:t>
      </w:r>
      <w:r>
        <w:rPr>
          <w:w w:val="115"/>
        </w:rPr>
        <w:t>gobierno de barack obama </w:t>
      </w:r>
      <w:r>
        <w:rPr>
          <w:spacing w:val="-10"/>
          <w:w w:val="115"/>
        </w:rPr>
        <w:t>y, </w:t>
      </w:r>
      <w:r>
        <w:rPr>
          <w:w w:val="115"/>
        </w:rPr>
        <w:t>por ende, son nuestro primer filtro para</w:t>
      </w:r>
      <w:r>
        <w:rPr>
          <w:spacing w:val="2"/>
          <w:w w:val="115"/>
        </w:rPr>
        <w:t> </w:t>
      </w:r>
      <w:r>
        <w:rPr>
          <w:w w:val="115"/>
        </w:rPr>
        <w:t>identi-</w:t>
      </w:r>
    </w:p>
    <w:p>
      <w:pPr>
        <w:spacing w:after="0" w:line="252" w:lineRule="auto"/>
        <w:jc w:val="both"/>
        <w:sectPr>
          <w:footerReference w:type="default" r:id="rId292"/>
          <w:footerReference w:type="even" r:id="rId293"/>
          <w:pgSz w:w="8790" w:h="12760"/>
          <w:pgMar w:footer="725" w:header="697" w:top="880" w:bottom="920" w:left="1200" w:right="900"/>
        </w:sectPr>
      </w:pPr>
    </w:p>
    <w:p>
      <w:pPr>
        <w:pStyle w:val="BodyText"/>
        <w:spacing w:before="9"/>
        <w:rPr>
          <w:sz w:val="28"/>
        </w:rPr>
      </w:pPr>
    </w:p>
    <w:p>
      <w:pPr>
        <w:pStyle w:val="BodyText"/>
        <w:spacing w:line="252" w:lineRule="auto" w:before="73"/>
        <w:ind w:left="100" w:right="325"/>
        <w:jc w:val="both"/>
      </w:pPr>
      <w:r>
        <w:rPr>
          <w:w w:val="110"/>
        </w:rPr>
        <w:t>ficar la naturaleza interna (</w:t>
      </w:r>
      <w:r>
        <w:rPr>
          <w:i/>
          <w:w w:val="110"/>
        </w:rPr>
        <w:t>domestic</w:t>
      </w:r>
      <w:r>
        <w:rPr>
          <w:w w:val="110"/>
        </w:rPr>
        <w:t>) o externa (</w:t>
      </w:r>
      <w:r>
        <w:rPr>
          <w:i/>
          <w:w w:val="110"/>
        </w:rPr>
        <w:t>foreign</w:t>
      </w:r>
      <w:r>
        <w:rPr>
          <w:w w:val="110"/>
        </w:rPr>
        <w:t>) que poseen temas tan cruciales como el comercio, el desarrollo o los derechos humanos tanto en la agenda nacional  estadounidense  como  en  la que comparte con sus correlatos latinoamericanos y caribeños tan-   to a nivel bilateral como sub-regional según el tema prioritario de       la </w:t>
      </w:r>
      <w:r>
        <w:rPr>
          <w:spacing w:val="11"/>
          <w:w w:val="110"/>
        </w:rPr>
        <w:t> </w:t>
      </w:r>
      <w:r>
        <w:rPr>
          <w:w w:val="110"/>
        </w:rPr>
        <w:t>contraparte.</w:t>
      </w:r>
    </w:p>
    <w:p>
      <w:pPr>
        <w:pStyle w:val="BodyText"/>
        <w:spacing w:line="252" w:lineRule="auto"/>
        <w:ind w:left="100" w:right="328" w:firstLine="396"/>
        <w:jc w:val="both"/>
      </w:pPr>
      <w:r>
        <w:rPr>
          <w:w w:val="110"/>
        </w:rPr>
        <w:t>En segundo </w:t>
      </w:r>
      <w:r>
        <w:rPr>
          <w:spacing w:val="-4"/>
          <w:w w:val="110"/>
        </w:rPr>
        <w:t>lugar, </w:t>
      </w:r>
      <w:r>
        <w:rPr>
          <w:w w:val="110"/>
        </w:rPr>
        <w:t>esta clasificación evidencia que los asuntos mi- litares y/o de seguridad no son los únicos prioritarios en la agenda de política exterior estadounidense </w:t>
      </w:r>
      <w:r>
        <w:rPr>
          <w:spacing w:val="-11"/>
          <w:w w:val="110"/>
        </w:rPr>
        <w:t>y, </w:t>
      </w:r>
      <w:r>
        <w:rPr>
          <w:w w:val="110"/>
        </w:rPr>
        <w:t>por ende, resulta poco objetivo –o comprehensivo– seguir concentrando el análisis de la relación entre </w:t>
      </w:r>
      <w:r>
        <w:rPr>
          <w:w w:val="111"/>
        </w:rPr>
        <w:t>Estados</w:t>
      </w:r>
      <w:r>
        <w:rPr>
          <w:spacing w:val="15"/>
        </w:rPr>
        <w:t> </w:t>
      </w:r>
      <w:r>
        <w:rPr>
          <w:w w:val="140"/>
        </w:rPr>
        <w:t>u</w:t>
      </w:r>
      <w:r>
        <w:rPr>
          <w:w w:val="110"/>
        </w:rPr>
        <w:t>nidos</w:t>
      </w:r>
      <w:r>
        <w:rPr>
          <w:spacing w:val="15"/>
        </w:rPr>
        <w:t> </w:t>
      </w:r>
      <w:r>
        <w:rPr>
          <w:w w:val="112"/>
        </w:rPr>
        <w:t>con</w:t>
      </w:r>
      <w:r>
        <w:rPr>
          <w:spacing w:val="15"/>
        </w:rPr>
        <w:t> </w:t>
      </w:r>
      <w:r>
        <w:rPr>
          <w:w w:val="139"/>
        </w:rPr>
        <w:t>a</w:t>
      </w:r>
      <w:r>
        <w:rPr>
          <w:w w:val="111"/>
        </w:rPr>
        <w:t>mérica</w:t>
      </w:r>
      <w:r>
        <w:rPr>
          <w:spacing w:val="15"/>
        </w:rPr>
        <w:t> </w:t>
      </w:r>
      <w:r>
        <w:rPr>
          <w:w w:val="243"/>
        </w:rPr>
        <w:t>l</w:t>
      </w:r>
      <w:r>
        <w:rPr>
          <w:w w:val="111"/>
        </w:rPr>
        <w:t>atina</w:t>
      </w:r>
      <w:r>
        <w:rPr>
          <w:spacing w:val="15"/>
        </w:rPr>
        <w:t> </w:t>
      </w:r>
      <w:r>
        <w:rPr>
          <w:w w:val="105"/>
        </w:rPr>
        <w:t>y</w:t>
      </w:r>
      <w:r>
        <w:rPr>
          <w:spacing w:val="15"/>
        </w:rPr>
        <w:t> </w:t>
      </w:r>
      <w:r>
        <w:rPr>
          <w:w w:val="107"/>
        </w:rPr>
        <w:t>el</w:t>
      </w:r>
      <w:r>
        <w:rPr>
          <w:spacing w:val="15"/>
        </w:rPr>
        <w:t> </w:t>
      </w:r>
      <w:r>
        <w:rPr>
          <w:w w:val="112"/>
        </w:rPr>
        <w:t>Caribe</w:t>
      </w:r>
      <w:r>
        <w:rPr>
          <w:spacing w:val="15"/>
        </w:rPr>
        <w:t> </w:t>
      </w:r>
      <w:r>
        <w:rPr>
          <w:w w:val="106"/>
        </w:rPr>
        <w:t>desde</w:t>
      </w:r>
      <w:r>
        <w:rPr>
          <w:spacing w:val="15"/>
        </w:rPr>
        <w:t> </w:t>
      </w:r>
      <w:r>
        <w:rPr>
          <w:w w:val="111"/>
        </w:rPr>
        <w:t>la</w:t>
      </w:r>
      <w:r>
        <w:rPr>
          <w:spacing w:val="15"/>
        </w:rPr>
        <w:t> </w:t>
      </w:r>
      <w:r>
        <w:rPr>
          <w:w w:val="112"/>
        </w:rPr>
        <w:t>lógica</w:t>
      </w:r>
      <w:r>
        <w:rPr>
          <w:spacing w:val="15"/>
        </w:rPr>
        <w:t> </w:t>
      </w:r>
      <w:r>
        <w:rPr>
          <w:w w:val="111"/>
        </w:rPr>
        <w:t>arm</w:t>
      </w:r>
      <w:r>
        <w:rPr>
          <w:spacing w:val="-1"/>
          <w:w w:val="111"/>
        </w:rPr>
        <w:t>a</w:t>
      </w:r>
      <w:r>
        <w:rPr>
          <w:w w:val="102"/>
        </w:rPr>
        <w:t>- </w:t>
      </w:r>
      <w:r>
        <w:rPr>
          <w:w w:val="110"/>
        </w:rPr>
        <w:t>mentista</w:t>
      </w:r>
      <w:r>
        <w:rPr>
          <w:spacing w:val="-11"/>
          <w:w w:val="110"/>
        </w:rPr>
        <w:t> </w:t>
      </w:r>
      <w:r>
        <w:rPr>
          <w:w w:val="110"/>
        </w:rPr>
        <w:t>y/o</w:t>
      </w:r>
      <w:r>
        <w:rPr>
          <w:spacing w:val="-11"/>
          <w:w w:val="110"/>
        </w:rPr>
        <w:t> </w:t>
      </w:r>
      <w:r>
        <w:rPr>
          <w:w w:val="110"/>
        </w:rPr>
        <w:t>intervencionista</w:t>
      </w:r>
      <w:r>
        <w:rPr>
          <w:spacing w:val="-11"/>
          <w:w w:val="110"/>
        </w:rPr>
        <w:t> </w:t>
      </w:r>
      <w:r>
        <w:rPr>
          <w:w w:val="110"/>
        </w:rPr>
        <w:t>pues,</w:t>
      </w:r>
      <w:r>
        <w:rPr>
          <w:spacing w:val="-11"/>
          <w:w w:val="110"/>
        </w:rPr>
        <w:t> </w:t>
      </w:r>
      <w:r>
        <w:rPr>
          <w:w w:val="110"/>
        </w:rPr>
        <w:t>al</w:t>
      </w:r>
      <w:r>
        <w:rPr>
          <w:spacing w:val="-11"/>
          <w:w w:val="110"/>
        </w:rPr>
        <w:t> </w:t>
      </w:r>
      <w:r>
        <w:rPr>
          <w:w w:val="110"/>
        </w:rPr>
        <w:t>revisar</w:t>
      </w:r>
      <w:r>
        <w:rPr>
          <w:spacing w:val="-11"/>
          <w:w w:val="110"/>
        </w:rPr>
        <w:t> </w:t>
      </w:r>
      <w:r>
        <w:rPr>
          <w:w w:val="110"/>
        </w:rPr>
        <w:t>la</w:t>
      </w:r>
      <w:r>
        <w:rPr>
          <w:spacing w:val="-11"/>
          <w:w w:val="110"/>
        </w:rPr>
        <w:t> </w:t>
      </w:r>
      <w:r>
        <w:rPr>
          <w:w w:val="110"/>
        </w:rPr>
        <w:t>distribución</w:t>
      </w:r>
      <w:r>
        <w:rPr>
          <w:spacing w:val="-11"/>
          <w:w w:val="110"/>
        </w:rPr>
        <w:t> </w:t>
      </w:r>
      <w:r>
        <w:rPr>
          <w:w w:val="110"/>
        </w:rPr>
        <w:t>del</w:t>
      </w:r>
      <w:r>
        <w:rPr>
          <w:spacing w:val="-11"/>
          <w:w w:val="110"/>
        </w:rPr>
        <w:t> </w:t>
      </w:r>
      <w:r>
        <w:rPr>
          <w:w w:val="110"/>
        </w:rPr>
        <w:t>presu- puesto federal, tanto el que fue sugerido por el Ejecutivo como el que ha sido aprobado por el Congreso estadounidense, se podrá observar que si bien los rubros de defensa y operaciones en el Exterior (</w:t>
      </w:r>
      <w:r>
        <w:rPr>
          <w:i/>
          <w:w w:val="110"/>
        </w:rPr>
        <w:t>over- </w:t>
      </w:r>
      <w:r>
        <w:rPr>
          <w:i/>
          <w:w w:val="110"/>
        </w:rPr>
        <w:t>seas operations</w:t>
      </w:r>
      <w:r>
        <w:rPr>
          <w:w w:val="110"/>
        </w:rPr>
        <w:t>) reciben un monto extraordinariamente mayor a otras partidas de gasto gubernamental; más del 60% de dicho presupuesto es destinado a las actividades militares, navales y de defensa en otras regiones ajenas al Hemisferio occidental, y aun cuando se mantiene  un cierto porcentaje de asistencia técnica y financiera en el rubro mi- </w:t>
      </w:r>
      <w:r>
        <w:rPr>
          <w:spacing w:val="-4"/>
          <w:w w:val="110"/>
        </w:rPr>
        <w:t>litar, </w:t>
      </w:r>
      <w:r>
        <w:rPr>
          <w:w w:val="110"/>
        </w:rPr>
        <w:t>éste refleja un descenso (ver Gráfico</w:t>
      </w:r>
      <w:r>
        <w:rPr>
          <w:spacing w:val="25"/>
          <w:w w:val="110"/>
        </w:rPr>
        <w:t> </w:t>
      </w:r>
      <w:r>
        <w:rPr>
          <w:w w:val="110"/>
        </w:rPr>
        <w:t>1).</w:t>
      </w:r>
    </w:p>
    <w:p>
      <w:pPr>
        <w:pStyle w:val="BodyText"/>
        <w:spacing w:line="252" w:lineRule="auto"/>
        <w:ind w:left="100" w:right="328" w:firstLine="396"/>
        <w:jc w:val="both"/>
      </w:pPr>
      <w:r>
        <w:rPr>
          <w:w w:val="115"/>
        </w:rPr>
        <w:t>Entonces,</w:t>
      </w:r>
      <w:r>
        <w:rPr>
          <w:spacing w:val="-24"/>
          <w:w w:val="115"/>
        </w:rPr>
        <w:t> </w:t>
      </w:r>
      <w:r>
        <w:rPr>
          <w:w w:val="115"/>
        </w:rPr>
        <w:t>como</w:t>
      </w:r>
      <w:r>
        <w:rPr>
          <w:spacing w:val="-24"/>
          <w:w w:val="115"/>
        </w:rPr>
        <w:t> </w:t>
      </w:r>
      <w:r>
        <w:rPr>
          <w:w w:val="115"/>
        </w:rPr>
        <w:t>primer</w:t>
      </w:r>
      <w:r>
        <w:rPr>
          <w:spacing w:val="-24"/>
          <w:w w:val="115"/>
        </w:rPr>
        <w:t> </w:t>
      </w:r>
      <w:r>
        <w:rPr>
          <w:w w:val="115"/>
        </w:rPr>
        <w:t>hallazgo</w:t>
      </w:r>
      <w:r>
        <w:rPr>
          <w:spacing w:val="-24"/>
          <w:w w:val="115"/>
        </w:rPr>
        <w:t> </w:t>
      </w:r>
      <w:r>
        <w:rPr>
          <w:w w:val="115"/>
        </w:rPr>
        <w:t>podemos</w:t>
      </w:r>
      <w:r>
        <w:rPr>
          <w:spacing w:val="-24"/>
          <w:w w:val="115"/>
        </w:rPr>
        <w:t> </w:t>
      </w:r>
      <w:r>
        <w:rPr>
          <w:w w:val="115"/>
        </w:rPr>
        <w:t>concluir</w:t>
      </w:r>
      <w:r>
        <w:rPr>
          <w:spacing w:val="-24"/>
          <w:w w:val="115"/>
        </w:rPr>
        <w:t> </w:t>
      </w:r>
      <w:r>
        <w:rPr>
          <w:w w:val="115"/>
        </w:rPr>
        <w:t>que</w:t>
      </w:r>
      <w:r>
        <w:rPr>
          <w:spacing w:val="-24"/>
          <w:w w:val="115"/>
        </w:rPr>
        <w:t> </w:t>
      </w:r>
      <w:r>
        <w:rPr>
          <w:w w:val="115"/>
        </w:rPr>
        <w:t>el</w:t>
      </w:r>
      <w:r>
        <w:rPr>
          <w:spacing w:val="-24"/>
          <w:w w:val="115"/>
        </w:rPr>
        <w:t> </w:t>
      </w:r>
      <w:r>
        <w:rPr>
          <w:w w:val="115"/>
        </w:rPr>
        <w:t>acerca- </w:t>
      </w:r>
      <w:r>
        <w:rPr>
          <w:w w:val="110"/>
        </w:rPr>
        <w:t>miento</w:t>
      </w:r>
      <w:r>
        <w:rPr>
          <w:spacing w:val="9"/>
        </w:rPr>
        <w:t> </w:t>
      </w:r>
      <w:r>
        <w:rPr>
          <w:w w:val="105"/>
        </w:rPr>
        <w:t>y</w:t>
      </w:r>
      <w:r>
        <w:rPr>
          <w:spacing w:val="9"/>
        </w:rPr>
        <w:t> </w:t>
      </w:r>
      <w:r>
        <w:rPr>
          <w:w w:val="111"/>
        </w:rPr>
        <w:t>la</w:t>
      </w:r>
      <w:r>
        <w:rPr>
          <w:spacing w:val="9"/>
        </w:rPr>
        <w:t> </w:t>
      </w:r>
      <w:r>
        <w:rPr>
          <w:w w:val="112"/>
        </w:rPr>
        <w:t>dinámica</w:t>
      </w:r>
      <w:r>
        <w:rPr>
          <w:spacing w:val="9"/>
        </w:rPr>
        <w:t> </w:t>
      </w:r>
      <w:r>
        <w:rPr>
          <w:w w:val="110"/>
        </w:rPr>
        <w:t>relacional</w:t>
      </w:r>
      <w:r>
        <w:rPr>
          <w:spacing w:val="9"/>
        </w:rPr>
        <w:t> </w:t>
      </w:r>
      <w:r>
        <w:rPr>
          <w:w w:val="107"/>
        </w:rPr>
        <w:t>de</w:t>
      </w:r>
      <w:r>
        <w:rPr>
          <w:spacing w:val="9"/>
        </w:rPr>
        <w:t> </w:t>
      </w:r>
      <w:r>
        <w:rPr>
          <w:w w:val="111"/>
        </w:rPr>
        <w:t>Estados</w:t>
      </w:r>
      <w:r>
        <w:rPr>
          <w:spacing w:val="9"/>
        </w:rPr>
        <w:t> </w:t>
      </w:r>
      <w:r>
        <w:rPr>
          <w:w w:val="140"/>
        </w:rPr>
        <w:t>u</w:t>
      </w:r>
      <w:r>
        <w:rPr>
          <w:w w:val="110"/>
        </w:rPr>
        <w:t>nidos</w:t>
      </w:r>
      <w:r>
        <w:rPr>
          <w:spacing w:val="9"/>
        </w:rPr>
        <w:t> </w:t>
      </w:r>
      <w:r>
        <w:rPr>
          <w:w w:val="113"/>
        </w:rPr>
        <w:t>hacia</w:t>
      </w:r>
      <w:r>
        <w:rPr>
          <w:spacing w:val="9"/>
        </w:rPr>
        <w:t> </w:t>
      </w:r>
      <w:r>
        <w:rPr>
          <w:w w:val="139"/>
        </w:rPr>
        <w:t>a</w:t>
      </w:r>
      <w:r>
        <w:rPr>
          <w:w w:val="111"/>
        </w:rPr>
        <w:t>mérica</w:t>
      </w:r>
      <w:r>
        <w:rPr>
          <w:spacing w:val="9"/>
        </w:rPr>
        <w:t> </w:t>
      </w:r>
      <w:r>
        <w:rPr>
          <w:w w:val="243"/>
        </w:rPr>
        <w:t>l</w:t>
      </w:r>
      <w:r>
        <w:rPr>
          <w:spacing w:val="-1"/>
          <w:w w:val="112"/>
        </w:rPr>
        <w:t>a</w:t>
      </w:r>
      <w:r>
        <w:rPr>
          <w:w w:val="102"/>
        </w:rPr>
        <w:t>- </w:t>
      </w:r>
      <w:r>
        <w:rPr>
          <w:w w:val="115"/>
        </w:rPr>
        <w:t>tina</w:t>
      </w:r>
      <w:r>
        <w:rPr>
          <w:spacing w:val="-19"/>
          <w:w w:val="115"/>
        </w:rPr>
        <w:t> </w:t>
      </w:r>
      <w:r>
        <w:rPr>
          <w:w w:val="115"/>
        </w:rPr>
        <w:t>y</w:t>
      </w:r>
      <w:r>
        <w:rPr>
          <w:spacing w:val="-19"/>
          <w:w w:val="115"/>
        </w:rPr>
        <w:t> </w:t>
      </w:r>
      <w:r>
        <w:rPr>
          <w:w w:val="115"/>
        </w:rPr>
        <w:t>el</w:t>
      </w:r>
      <w:r>
        <w:rPr>
          <w:spacing w:val="-19"/>
          <w:w w:val="115"/>
        </w:rPr>
        <w:t> </w:t>
      </w:r>
      <w:r>
        <w:rPr>
          <w:w w:val="115"/>
        </w:rPr>
        <w:t>Caribe</w:t>
      </w:r>
      <w:r>
        <w:rPr>
          <w:spacing w:val="-19"/>
          <w:w w:val="115"/>
        </w:rPr>
        <w:t> </w:t>
      </w:r>
      <w:r>
        <w:rPr>
          <w:w w:val="115"/>
        </w:rPr>
        <w:t>responde</w:t>
      </w:r>
      <w:r>
        <w:rPr>
          <w:spacing w:val="-19"/>
          <w:w w:val="115"/>
        </w:rPr>
        <w:t> </w:t>
      </w:r>
      <w:r>
        <w:rPr>
          <w:w w:val="115"/>
        </w:rPr>
        <w:t>a</w:t>
      </w:r>
      <w:r>
        <w:rPr>
          <w:spacing w:val="-19"/>
          <w:w w:val="115"/>
        </w:rPr>
        <w:t> </w:t>
      </w:r>
      <w:r>
        <w:rPr>
          <w:w w:val="115"/>
        </w:rPr>
        <w:t>lógicas</w:t>
      </w:r>
      <w:r>
        <w:rPr>
          <w:spacing w:val="-19"/>
          <w:w w:val="115"/>
        </w:rPr>
        <w:t> </w:t>
      </w:r>
      <w:r>
        <w:rPr>
          <w:w w:val="115"/>
        </w:rPr>
        <w:t>diferentes</w:t>
      </w:r>
      <w:r>
        <w:rPr>
          <w:spacing w:val="-19"/>
          <w:w w:val="115"/>
        </w:rPr>
        <w:t> </w:t>
      </w:r>
      <w:r>
        <w:rPr>
          <w:w w:val="115"/>
        </w:rPr>
        <w:t>a</w:t>
      </w:r>
      <w:r>
        <w:rPr>
          <w:spacing w:val="-19"/>
          <w:w w:val="115"/>
        </w:rPr>
        <w:t> </w:t>
      </w:r>
      <w:r>
        <w:rPr>
          <w:w w:val="115"/>
        </w:rPr>
        <w:t>la</w:t>
      </w:r>
      <w:r>
        <w:rPr>
          <w:spacing w:val="-19"/>
          <w:w w:val="115"/>
        </w:rPr>
        <w:t> </w:t>
      </w:r>
      <w:r>
        <w:rPr>
          <w:w w:val="115"/>
        </w:rPr>
        <w:t>intervención</w:t>
      </w:r>
      <w:r>
        <w:rPr>
          <w:spacing w:val="-19"/>
          <w:w w:val="115"/>
        </w:rPr>
        <w:t> </w:t>
      </w:r>
      <w:r>
        <w:rPr>
          <w:w w:val="115"/>
        </w:rPr>
        <w:t>militar directa, a diferencia de lo que ocurrió durante la segunda mitad del siglo </w:t>
      </w:r>
      <w:r>
        <w:rPr>
          <w:w w:val="125"/>
        </w:rPr>
        <w:t>xx. </w:t>
      </w:r>
      <w:r>
        <w:rPr>
          <w:w w:val="115"/>
        </w:rPr>
        <w:t>si bien la observancia del presupuesto es importante en la medida</w:t>
      </w:r>
      <w:r>
        <w:rPr>
          <w:spacing w:val="-23"/>
          <w:w w:val="115"/>
        </w:rPr>
        <w:t> </w:t>
      </w:r>
      <w:r>
        <w:rPr>
          <w:w w:val="115"/>
        </w:rPr>
        <w:t>en</w:t>
      </w:r>
      <w:r>
        <w:rPr>
          <w:spacing w:val="-23"/>
          <w:w w:val="115"/>
        </w:rPr>
        <w:t> </w:t>
      </w:r>
      <w:r>
        <w:rPr>
          <w:w w:val="115"/>
        </w:rPr>
        <w:t>que</w:t>
      </w:r>
      <w:r>
        <w:rPr>
          <w:spacing w:val="-23"/>
          <w:w w:val="115"/>
        </w:rPr>
        <w:t> </w:t>
      </w:r>
      <w:r>
        <w:rPr>
          <w:w w:val="115"/>
        </w:rPr>
        <w:t>permite</w:t>
      </w:r>
      <w:r>
        <w:rPr>
          <w:spacing w:val="-23"/>
          <w:w w:val="115"/>
        </w:rPr>
        <w:t> </w:t>
      </w:r>
      <w:r>
        <w:rPr>
          <w:w w:val="115"/>
        </w:rPr>
        <w:t>“comprobar”</w:t>
      </w:r>
      <w:r>
        <w:rPr>
          <w:spacing w:val="-23"/>
          <w:w w:val="115"/>
        </w:rPr>
        <w:t> </w:t>
      </w:r>
      <w:r>
        <w:rPr>
          <w:w w:val="115"/>
        </w:rPr>
        <w:t>el</w:t>
      </w:r>
      <w:r>
        <w:rPr>
          <w:spacing w:val="-23"/>
          <w:w w:val="115"/>
        </w:rPr>
        <w:t> </w:t>
      </w:r>
      <w:r>
        <w:rPr>
          <w:w w:val="115"/>
        </w:rPr>
        <w:t>grado</w:t>
      </w:r>
      <w:r>
        <w:rPr>
          <w:spacing w:val="-23"/>
          <w:w w:val="115"/>
        </w:rPr>
        <w:t> </w:t>
      </w:r>
      <w:r>
        <w:rPr>
          <w:w w:val="115"/>
        </w:rPr>
        <w:t>de</w:t>
      </w:r>
      <w:r>
        <w:rPr>
          <w:spacing w:val="-23"/>
          <w:w w:val="115"/>
        </w:rPr>
        <w:t> </w:t>
      </w:r>
      <w:r>
        <w:rPr>
          <w:w w:val="115"/>
        </w:rPr>
        <w:t>prioridad</w:t>
      </w:r>
      <w:r>
        <w:rPr>
          <w:spacing w:val="-23"/>
          <w:w w:val="115"/>
        </w:rPr>
        <w:t> </w:t>
      </w:r>
      <w:r>
        <w:rPr>
          <w:w w:val="115"/>
        </w:rPr>
        <w:t>que</w:t>
      </w:r>
      <w:r>
        <w:rPr>
          <w:spacing w:val="-23"/>
          <w:w w:val="115"/>
        </w:rPr>
        <w:t> </w:t>
      </w:r>
      <w:r>
        <w:rPr>
          <w:w w:val="115"/>
        </w:rPr>
        <w:t>tienen los</w:t>
      </w:r>
      <w:r>
        <w:rPr>
          <w:spacing w:val="-21"/>
          <w:w w:val="115"/>
        </w:rPr>
        <w:t> </w:t>
      </w:r>
      <w:r>
        <w:rPr>
          <w:w w:val="115"/>
        </w:rPr>
        <w:t>temas</w:t>
      </w:r>
      <w:r>
        <w:rPr>
          <w:spacing w:val="-21"/>
          <w:w w:val="115"/>
        </w:rPr>
        <w:t> </w:t>
      </w:r>
      <w:r>
        <w:rPr>
          <w:w w:val="115"/>
        </w:rPr>
        <w:t>según</w:t>
      </w:r>
      <w:r>
        <w:rPr>
          <w:spacing w:val="-21"/>
          <w:w w:val="115"/>
        </w:rPr>
        <w:t> </w:t>
      </w:r>
      <w:r>
        <w:rPr>
          <w:w w:val="115"/>
        </w:rPr>
        <w:t>la</w:t>
      </w:r>
      <w:r>
        <w:rPr>
          <w:spacing w:val="-21"/>
          <w:w w:val="115"/>
        </w:rPr>
        <w:t> </w:t>
      </w:r>
      <w:r>
        <w:rPr>
          <w:w w:val="115"/>
        </w:rPr>
        <w:t>cantidad</w:t>
      </w:r>
      <w:r>
        <w:rPr>
          <w:spacing w:val="-21"/>
          <w:w w:val="115"/>
        </w:rPr>
        <w:t> </w:t>
      </w:r>
      <w:r>
        <w:rPr>
          <w:w w:val="115"/>
        </w:rPr>
        <w:t>de</w:t>
      </w:r>
      <w:r>
        <w:rPr>
          <w:spacing w:val="-21"/>
          <w:w w:val="115"/>
        </w:rPr>
        <w:t> </w:t>
      </w:r>
      <w:r>
        <w:rPr>
          <w:w w:val="115"/>
        </w:rPr>
        <w:t>millones</w:t>
      </w:r>
      <w:r>
        <w:rPr>
          <w:spacing w:val="-21"/>
          <w:w w:val="115"/>
        </w:rPr>
        <w:t> </w:t>
      </w:r>
      <w:r>
        <w:rPr>
          <w:w w:val="115"/>
        </w:rPr>
        <w:t>de</w:t>
      </w:r>
      <w:r>
        <w:rPr>
          <w:spacing w:val="-21"/>
          <w:w w:val="115"/>
        </w:rPr>
        <w:t> </w:t>
      </w:r>
      <w:r>
        <w:rPr>
          <w:w w:val="115"/>
        </w:rPr>
        <w:t>dólares</w:t>
      </w:r>
      <w:r>
        <w:rPr>
          <w:spacing w:val="-21"/>
          <w:w w:val="115"/>
        </w:rPr>
        <w:t> </w:t>
      </w:r>
      <w:r>
        <w:rPr>
          <w:w w:val="115"/>
        </w:rPr>
        <w:t>que</w:t>
      </w:r>
      <w:r>
        <w:rPr>
          <w:spacing w:val="-21"/>
          <w:w w:val="115"/>
        </w:rPr>
        <w:t> </w:t>
      </w:r>
      <w:r>
        <w:rPr>
          <w:w w:val="115"/>
        </w:rPr>
        <w:t>han</w:t>
      </w:r>
      <w:r>
        <w:rPr>
          <w:spacing w:val="-21"/>
          <w:w w:val="115"/>
        </w:rPr>
        <w:t> </w:t>
      </w:r>
      <w:r>
        <w:rPr>
          <w:w w:val="115"/>
        </w:rPr>
        <w:t>sido</w:t>
      </w:r>
      <w:r>
        <w:rPr>
          <w:spacing w:val="-21"/>
          <w:w w:val="115"/>
        </w:rPr>
        <w:t> </w:t>
      </w:r>
      <w:r>
        <w:rPr>
          <w:w w:val="115"/>
        </w:rPr>
        <w:t>apro- bados</w:t>
      </w:r>
      <w:r>
        <w:rPr>
          <w:spacing w:val="-21"/>
          <w:w w:val="115"/>
        </w:rPr>
        <w:t> </w:t>
      </w:r>
      <w:r>
        <w:rPr>
          <w:w w:val="115"/>
        </w:rPr>
        <w:t>por</w:t>
      </w:r>
      <w:r>
        <w:rPr>
          <w:spacing w:val="-21"/>
          <w:w w:val="115"/>
        </w:rPr>
        <w:t> </w:t>
      </w:r>
      <w:r>
        <w:rPr>
          <w:w w:val="115"/>
        </w:rPr>
        <w:t>el</w:t>
      </w:r>
      <w:r>
        <w:rPr>
          <w:spacing w:val="-21"/>
          <w:w w:val="115"/>
        </w:rPr>
        <w:t> </w:t>
      </w:r>
      <w:r>
        <w:rPr>
          <w:w w:val="115"/>
        </w:rPr>
        <w:t>Congreso</w:t>
      </w:r>
      <w:r>
        <w:rPr>
          <w:spacing w:val="-21"/>
          <w:w w:val="115"/>
        </w:rPr>
        <w:t> </w:t>
      </w:r>
      <w:r>
        <w:rPr>
          <w:w w:val="115"/>
        </w:rPr>
        <w:t>estadounidense</w:t>
      </w:r>
      <w:r>
        <w:rPr>
          <w:spacing w:val="-21"/>
          <w:w w:val="115"/>
        </w:rPr>
        <w:t> </w:t>
      </w:r>
      <w:r>
        <w:rPr>
          <w:w w:val="115"/>
        </w:rPr>
        <w:t>para</w:t>
      </w:r>
      <w:r>
        <w:rPr>
          <w:spacing w:val="-21"/>
          <w:w w:val="115"/>
        </w:rPr>
        <w:t> </w:t>
      </w:r>
      <w:r>
        <w:rPr>
          <w:w w:val="115"/>
        </w:rPr>
        <w:t>llevar</w:t>
      </w:r>
      <w:r>
        <w:rPr>
          <w:spacing w:val="-21"/>
          <w:w w:val="115"/>
        </w:rPr>
        <w:t> </w:t>
      </w:r>
      <w:r>
        <w:rPr>
          <w:w w:val="115"/>
        </w:rPr>
        <w:t>a</w:t>
      </w:r>
      <w:r>
        <w:rPr>
          <w:spacing w:val="-21"/>
          <w:w w:val="115"/>
        </w:rPr>
        <w:t> </w:t>
      </w:r>
      <w:r>
        <w:rPr>
          <w:w w:val="115"/>
        </w:rPr>
        <w:t>cabo</w:t>
      </w:r>
      <w:r>
        <w:rPr>
          <w:spacing w:val="-21"/>
          <w:w w:val="115"/>
        </w:rPr>
        <w:t> </w:t>
      </w:r>
      <w:r>
        <w:rPr>
          <w:w w:val="115"/>
        </w:rPr>
        <w:t>las</w:t>
      </w:r>
      <w:r>
        <w:rPr>
          <w:spacing w:val="-21"/>
          <w:w w:val="115"/>
        </w:rPr>
        <w:t> </w:t>
      </w:r>
      <w:r>
        <w:rPr>
          <w:w w:val="115"/>
        </w:rPr>
        <w:t>acciones de</w:t>
      </w:r>
      <w:r>
        <w:rPr>
          <w:spacing w:val="-17"/>
          <w:w w:val="115"/>
        </w:rPr>
        <w:t> </w:t>
      </w:r>
      <w:r>
        <w:rPr>
          <w:w w:val="115"/>
        </w:rPr>
        <w:t>política</w:t>
      </w:r>
      <w:r>
        <w:rPr>
          <w:spacing w:val="-17"/>
          <w:w w:val="115"/>
        </w:rPr>
        <w:t> </w:t>
      </w:r>
      <w:r>
        <w:rPr>
          <w:w w:val="115"/>
        </w:rPr>
        <w:t>exterior;</w:t>
      </w:r>
      <w:r>
        <w:rPr>
          <w:spacing w:val="-17"/>
          <w:w w:val="115"/>
        </w:rPr>
        <w:t> </w:t>
      </w:r>
      <w:r>
        <w:rPr>
          <w:w w:val="115"/>
        </w:rPr>
        <w:t>el</w:t>
      </w:r>
      <w:r>
        <w:rPr>
          <w:spacing w:val="-17"/>
          <w:w w:val="115"/>
        </w:rPr>
        <w:t> </w:t>
      </w:r>
      <w:r>
        <w:rPr>
          <w:w w:val="115"/>
        </w:rPr>
        <w:t>Gráfico</w:t>
      </w:r>
      <w:r>
        <w:rPr>
          <w:spacing w:val="-17"/>
          <w:w w:val="115"/>
        </w:rPr>
        <w:t> </w:t>
      </w:r>
      <w:r>
        <w:rPr>
          <w:w w:val="115"/>
        </w:rPr>
        <w:t>1</w:t>
      </w:r>
      <w:r>
        <w:rPr>
          <w:spacing w:val="-17"/>
          <w:w w:val="115"/>
        </w:rPr>
        <w:t> </w:t>
      </w:r>
      <w:r>
        <w:rPr>
          <w:w w:val="115"/>
        </w:rPr>
        <w:t>permite</w:t>
      </w:r>
      <w:r>
        <w:rPr>
          <w:spacing w:val="-17"/>
          <w:w w:val="115"/>
        </w:rPr>
        <w:t> </w:t>
      </w:r>
      <w:r>
        <w:rPr>
          <w:w w:val="115"/>
        </w:rPr>
        <w:t>observar</w:t>
      </w:r>
      <w:r>
        <w:rPr>
          <w:spacing w:val="-17"/>
          <w:w w:val="115"/>
        </w:rPr>
        <w:t> </w:t>
      </w:r>
      <w:r>
        <w:rPr>
          <w:w w:val="115"/>
        </w:rPr>
        <w:t>un</w:t>
      </w:r>
      <w:r>
        <w:rPr>
          <w:spacing w:val="-17"/>
          <w:w w:val="115"/>
        </w:rPr>
        <w:t> </w:t>
      </w:r>
      <w:r>
        <w:rPr>
          <w:w w:val="115"/>
        </w:rPr>
        <w:t>menor</w:t>
      </w:r>
      <w:r>
        <w:rPr>
          <w:spacing w:val="-17"/>
          <w:w w:val="115"/>
        </w:rPr>
        <w:t> </w:t>
      </w:r>
      <w:r>
        <w:rPr>
          <w:w w:val="115"/>
        </w:rPr>
        <w:t>grado</w:t>
      </w:r>
      <w:r>
        <w:rPr>
          <w:spacing w:val="-17"/>
          <w:w w:val="115"/>
        </w:rPr>
        <w:t> </w:t>
      </w:r>
      <w:r>
        <w:rPr>
          <w:w w:val="115"/>
        </w:rPr>
        <w:t>de </w:t>
      </w:r>
      <w:r>
        <w:rPr>
          <w:w w:val="110"/>
        </w:rPr>
        <w:t>inversión presupuestaria en temas de defensa y operaciones militares </w:t>
      </w:r>
      <w:r>
        <w:rPr>
          <w:w w:val="108"/>
        </w:rPr>
        <w:t>en</w:t>
      </w:r>
      <w:r>
        <w:rPr/>
        <w:t> </w:t>
      </w:r>
      <w:r>
        <w:rPr>
          <w:spacing w:val="2"/>
        </w:rPr>
        <w:t> </w:t>
      </w:r>
      <w:r>
        <w:rPr>
          <w:w w:val="111"/>
        </w:rPr>
        <w:t>la</w:t>
      </w:r>
      <w:r>
        <w:rPr/>
        <w:t> </w:t>
      </w:r>
      <w:r>
        <w:rPr>
          <w:spacing w:val="2"/>
        </w:rPr>
        <w:t> </w:t>
      </w:r>
      <w:r>
        <w:rPr>
          <w:w w:val="109"/>
        </w:rPr>
        <w:t>región</w:t>
      </w:r>
      <w:r>
        <w:rPr/>
        <w:t> </w:t>
      </w:r>
      <w:r>
        <w:rPr>
          <w:spacing w:val="2"/>
        </w:rPr>
        <w:t> </w:t>
      </w:r>
      <w:r>
        <w:rPr>
          <w:w w:val="107"/>
        </w:rPr>
        <w:t>de</w:t>
      </w:r>
      <w:r>
        <w:rPr/>
        <w:t> </w:t>
      </w:r>
      <w:r>
        <w:rPr>
          <w:spacing w:val="2"/>
        </w:rPr>
        <w:t> </w:t>
      </w:r>
      <w:r>
        <w:rPr>
          <w:w w:val="139"/>
        </w:rPr>
        <w:t>a</w:t>
      </w:r>
      <w:r>
        <w:rPr>
          <w:w w:val="111"/>
        </w:rPr>
        <w:t>mérica</w:t>
      </w:r>
      <w:r>
        <w:rPr/>
        <w:t> </w:t>
      </w:r>
      <w:r>
        <w:rPr>
          <w:spacing w:val="2"/>
        </w:rPr>
        <w:t> </w:t>
      </w:r>
      <w:r>
        <w:rPr>
          <w:w w:val="243"/>
        </w:rPr>
        <w:t>l</w:t>
      </w:r>
      <w:r>
        <w:rPr>
          <w:w w:val="111"/>
        </w:rPr>
        <w:t>atina</w:t>
      </w:r>
      <w:r>
        <w:rPr/>
        <w:t> </w:t>
      </w:r>
      <w:r>
        <w:rPr>
          <w:spacing w:val="2"/>
        </w:rPr>
        <w:t> </w:t>
      </w:r>
      <w:r>
        <w:rPr>
          <w:w w:val="105"/>
        </w:rPr>
        <w:t>y</w:t>
      </w:r>
      <w:r>
        <w:rPr/>
        <w:t> </w:t>
      </w:r>
      <w:r>
        <w:rPr>
          <w:spacing w:val="2"/>
        </w:rPr>
        <w:t> </w:t>
      </w:r>
      <w:r>
        <w:rPr>
          <w:w w:val="107"/>
        </w:rPr>
        <w:t>el</w:t>
      </w:r>
      <w:r>
        <w:rPr/>
        <w:t> </w:t>
      </w:r>
      <w:r>
        <w:rPr>
          <w:spacing w:val="2"/>
        </w:rPr>
        <w:t> </w:t>
      </w:r>
      <w:r>
        <w:rPr>
          <w:w w:val="114"/>
        </w:rPr>
        <w:t>Caribe,</w:t>
      </w:r>
      <w:r>
        <w:rPr/>
        <w:t> </w:t>
      </w:r>
      <w:r>
        <w:rPr>
          <w:spacing w:val="2"/>
        </w:rPr>
        <w:t> </w:t>
      </w:r>
      <w:r>
        <w:rPr>
          <w:w w:val="111"/>
        </w:rPr>
        <w:t>no</w:t>
      </w:r>
      <w:r>
        <w:rPr/>
        <w:t> </w:t>
      </w:r>
      <w:r>
        <w:rPr>
          <w:spacing w:val="2"/>
        </w:rPr>
        <w:t> </w:t>
      </w:r>
      <w:r>
        <w:rPr>
          <w:w w:val="110"/>
        </w:rPr>
        <w:t>obstante,</w:t>
      </w:r>
      <w:r>
        <w:rPr/>
        <w:t> </w:t>
      </w:r>
      <w:r>
        <w:rPr>
          <w:spacing w:val="2"/>
        </w:rPr>
        <w:t> </w:t>
      </w:r>
      <w:r>
        <w:rPr>
          <w:w w:val="112"/>
        </w:rPr>
        <w:t>una</w:t>
      </w:r>
      <w:r>
        <w:rPr/>
        <w:t> </w:t>
      </w:r>
      <w:r>
        <w:rPr>
          <w:spacing w:val="2"/>
        </w:rPr>
        <w:t> </w:t>
      </w:r>
      <w:r>
        <w:rPr>
          <w:w w:val="110"/>
        </w:rPr>
        <w:t>gran </w:t>
      </w:r>
      <w:r>
        <w:rPr>
          <w:w w:val="115"/>
        </w:rPr>
        <w:t>parte</w:t>
      </w:r>
      <w:r>
        <w:rPr>
          <w:spacing w:val="-6"/>
          <w:w w:val="115"/>
        </w:rPr>
        <w:t> </w:t>
      </w:r>
      <w:r>
        <w:rPr>
          <w:w w:val="115"/>
        </w:rPr>
        <w:t>de</w:t>
      </w:r>
      <w:r>
        <w:rPr>
          <w:spacing w:val="-6"/>
          <w:w w:val="115"/>
        </w:rPr>
        <w:t> </w:t>
      </w:r>
      <w:r>
        <w:rPr>
          <w:w w:val="115"/>
        </w:rPr>
        <w:t>la</w:t>
      </w:r>
      <w:r>
        <w:rPr>
          <w:spacing w:val="-6"/>
          <w:w w:val="115"/>
        </w:rPr>
        <w:t> </w:t>
      </w:r>
      <w:r>
        <w:rPr>
          <w:w w:val="115"/>
        </w:rPr>
        <w:t>agenda</w:t>
      </w:r>
      <w:r>
        <w:rPr>
          <w:spacing w:val="-6"/>
          <w:w w:val="115"/>
        </w:rPr>
        <w:t> </w:t>
      </w:r>
      <w:r>
        <w:rPr>
          <w:w w:val="115"/>
        </w:rPr>
        <w:t>en</w:t>
      </w:r>
      <w:r>
        <w:rPr>
          <w:spacing w:val="-6"/>
          <w:w w:val="115"/>
        </w:rPr>
        <w:t> </w:t>
      </w:r>
      <w:r>
        <w:rPr>
          <w:w w:val="115"/>
        </w:rPr>
        <w:t>el</w:t>
      </w:r>
      <w:r>
        <w:rPr>
          <w:spacing w:val="-6"/>
          <w:w w:val="115"/>
        </w:rPr>
        <w:t> </w:t>
      </w:r>
      <w:r>
        <w:rPr>
          <w:w w:val="115"/>
        </w:rPr>
        <w:t>Hemisferio</w:t>
      </w:r>
      <w:r>
        <w:rPr>
          <w:spacing w:val="-6"/>
          <w:w w:val="115"/>
        </w:rPr>
        <w:t> </w:t>
      </w:r>
      <w:r>
        <w:rPr>
          <w:w w:val="115"/>
        </w:rPr>
        <w:t>occidental</w:t>
      </w:r>
      <w:r>
        <w:rPr>
          <w:spacing w:val="-6"/>
          <w:w w:val="115"/>
        </w:rPr>
        <w:t> </w:t>
      </w:r>
      <w:r>
        <w:rPr>
          <w:w w:val="115"/>
        </w:rPr>
        <w:t>sigue</w:t>
      </w:r>
      <w:r>
        <w:rPr>
          <w:spacing w:val="-6"/>
          <w:w w:val="115"/>
        </w:rPr>
        <w:t> </w:t>
      </w:r>
      <w:r>
        <w:rPr>
          <w:w w:val="115"/>
        </w:rPr>
        <w:t>ubicando</w:t>
      </w:r>
      <w:r>
        <w:rPr>
          <w:spacing w:val="-6"/>
          <w:w w:val="115"/>
        </w:rPr>
        <w:t> </w:t>
      </w:r>
      <w:r>
        <w:rPr>
          <w:w w:val="115"/>
        </w:rPr>
        <w:t>como prioritarios</w:t>
      </w:r>
      <w:r>
        <w:rPr>
          <w:spacing w:val="-5"/>
          <w:w w:val="115"/>
        </w:rPr>
        <w:t> </w:t>
      </w:r>
      <w:r>
        <w:rPr>
          <w:w w:val="115"/>
        </w:rPr>
        <w:t>los</w:t>
      </w:r>
      <w:r>
        <w:rPr>
          <w:spacing w:val="-5"/>
          <w:w w:val="115"/>
        </w:rPr>
        <w:t> </w:t>
      </w:r>
      <w:r>
        <w:rPr>
          <w:w w:val="115"/>
        </w:rPr>
        <w:t>temas</w:t>
      </w:r>
      <w:r>
        <w:rPr>
          <w:spacing w:val="-5"/>
          <w:w w:val="115"/>
        </w:rPr>
        <w:t> </w:t>
      </w:r>
      <w:r>
        <w:rPr>
          <w:w w:val="115"/>
        </w:rPr>
        <w:t>de</w:t>
      </w:r>
      <w:r>
        <w:rPr>
          <w:spacing w:val="-5"/>
          <w:w w:val="115"/>
        </w:rPr>
        <w:t> </w:t>
      </w:r>
      <w:r>
        <w:rPr>
          <w:w w:val="115"/>
        </w:rPr>
        <w:t>seguridad</w:t>
      </w:r>
      <w:r>
        <w:rPr>
          <w:spacing w:val="-5"/>
          <w:w w:val="115"/>
        </w:rPr>
        <w:t> </w:t>
      </w:r>
      <w:r>
        <w:rPr>
          <w:w w:val="115"/>
        </w:rPr>
        <w:t>regional</w:t>
      </w:r>
      <w:r>
        <w:rPr>
          <w:spacing w:val="-5"/>
          <w:w w:val="115"/>
        </w:rPr>
        <w:t> </w:t>
      </w:r>
      <w:r>
        <w:rPr>
          <w:w w:val="115"/>
        </w:rPr>
        <w:t>pero</w:t>
      </w:r>
      <w:r>
        <w:rPr>
          <w:spacing w:val="-5"/>
          <w:w w:val="115"/>
        </w:rPr>
        <w:t> </w:t>
      </w:r>
      <w:r>
        <w:rPr>
          <w:w w:val="115"/>
        </w:rPr>
        <w:t>ahora</w:t>
      </w:r>
      <w:r>
        <w:rPr>
          <w:spacing w:val="-5"/>
          <w:w w:val="115"/>
        </w:rPr>
        <w:t> </w:t>
      </w:r>
      <w:r>
        <w:rPr>
          <w:w w:val="115"/>
        </w:rPr>
        <w:t>en</w:t>
      </w:r>
      <w:r>
        <w:rPr>
          <w:spacing w:val="-5"/>
          <w:w w:val="115"/>
        </w:rPr>
        <w:t> </w:t>
      </w:r>
      <w:r>
        <w:rPr>
          <w:w w:val="115"/>
        </w:rPr>
        <w:t>el</w:t>
      </w:r>
      <w:r>
        <w:rPr>
          <w:spacing w:val="-5"/>
          <w:w w:val="115"/>
        </w:rPr>
        <w:t> </w:t>
      </w:r>
      <w:r>
        <w:rPr>
          <w:w w:val="115"/>
        </w:rPr>
        <w:t>marco del</w:t>
      </w:r>
      <w:r>
        <w:rPr>
          <w:spacing w:val="-25"/>
          <w:w w:val="115"/>
        </w:rPr>
        <w:t> </w:t>
      </w:r>
      <w:r>
        <w:rPr>
          <w:w w:val="115"/>
        </w:rPr>
        <w:t>combate</w:t>
      </w:r>
      <w:r>
        <w:rPr>
          <w:spacing w:val="-25"/>
          <w:w w:val="115"/>
        </w:rPr>
        <w:t> </w:t>
      </w:r>
      <w:r>
        <w:rPr>
          <w:w w:val="115"/>
        </w:rPr>
        <w:t>al</w:t>
      </w:r>
      <w:r>
        <w:rPr>
          <w:spacing w:val="-25"/>
          <w:w w:val="115"/>
        </w:rPr>
        <w:t> </w:t>
      </w:r>
      <w:r>
        <w:rPr>
          <w:w w:val="115"/>
        </w:rPr>
        <w:t>crimen</w:t>
      </w:r>
      <w:r>
        <w:rPr>
          <w:spacing w:val="-25"/>
          <w:w w:val="115"/>
        </w:rPr>
        <w:t> </w:t>
      </w:r>
      <w:r>
        <w:rPr>
          <w:w w:val="115"/>
        </w:rPr>
        <w:t>organizado</w:t>
      </w:r>
      <w:r>
        <w:rPr>
          <w:spacing w:val="-25"/>
          <w:w w:val="115"/>
        </w:rPr>
        <w:t> </w:t>
      </w:r>
      <w:r>
        <w:rPr>
          <w:w w:val="115"/>
        </w:rPr>
        <w:t>transnacional,</w:t>
      </w:r>
      <w:r>
        <w:rPr>
          <w:spacing w:val="-25"/>
          <w:w w:val="115"/>
        </w:rPr>
        <w:t> </w:t>
      </w:r>
      <w:r>
        <w:rPr>
          <w:w w:val="115"/>
        </w:rPr>
        <w:t>el</w:t>
      </w:r>
      <w:r>
        <w:rPr>
          <w:spacing w:val="-25"/>
          <w:w w:val="115"/>
        </w:rPr>
        <w:t> </w:t>
      </w:r>
      <w:r>
        <w:rPr>
          <w:w w:val="115"/>
        </w:rPr>
        <w:t>combate</w:t>
      </w:r>
      <w:r>
        <w:rPr>
          <w:spacing w:val="-25"/>
          <w:w w:val="115"/>
        </w:rPr>
        <w:t> </w:t>
      </w:r>
      <w:r>
        <w:rPr>
          <w:w w:val="115"/>
        </w:rPr>
        <w:t>al</w:t>
      </w:r>
      <w:r>
        <w:rPr>
          <w:spacing w:val="-25"/>
          <w:w w:val="115"/>
        </w:rPr>
        <w:t> </w:t>
      </w:r>
      <w:r>
        <w:rPr>
          <w:w w:val="115"/>
        </w:rPr>
        <w:t>tráfico ilegal de drogas y de armas así como la inseguridad ciudadana e in- cremento</w:t>
      </w:r>
      <w:r>
        <w:rPr>
          <w:spacing w:val="-17"/>
          <w:w w:val="115"/>
        </w:rPr>
        <w:t> </w:t>
      </w:r>
      <w:r>
        <w:rPr>
          <w:w w:val="115"/>
        </w:rPr>
        <w:t>del</w:t>
      </w:r>
      <w:r>
        <w:rPr>
          <w:spacing w:val="-17"/>
          <w:w w:val="115"/>
        </w:rPr>
        <w:t> </w:t>
      </w:r>
      <w:r>
        <w:rPr>
          <w:w w:val="115"/>
        </w:rPr>
        <w:t>crimen</w:t>
      </w:r>
      <w:r>
        <w:rPr>
          <w:spacing w:val="-17"/>
          <w:w w:val="115"/>
        </w:rPr>
        <w:t> </w:t>
      </w:r>
      <w:r>
        <w:rPr>
          <w:w w:val="115"/>
        </w:rPr>
        <w:t>y</w:t>
      </w:r>
      <w:r>
        <w:rPr>
          <w:spacing w:val="-17"/>
          <w:w w:val="115"/>
        </w:rPr>
        <w:t> </w:t>
      </w:r>
      <w:r>
        <w:rPr>
          <w:w w:val="115"/>
        </w:rPr>
        <w:t>homicidios</w:t>
      </w:r>
      <w:r>
        <w:rPr>
          <w:spacing w:val="-17"/>
          <w:w w:val="115"/>
        </w:rPr>
        <w:t> </w:t>
      </w:r>
      <w:r>
        <w:rPr>
          <w:w w:val="115"/>
        </w:rPr>
        <w:t>en</w:t>
      </w:r>
      <w:r>
        <w:rPr>
          <w:spacing w:val="-17"/>
          <w:w w:val="115"/>
        </w:rPr>
        <w:t> </w:t>
      </w:r>
      <w:r>
        <w:rPr>
          <w:w w:val="115"/>
        </w:rPr>
        <w:t>la</w:t>
      </w:r>
      <w:r>
        <w:rPr>
          <w:spacing w:val="-17"/>
          <w:w w:val="115"/>
        </w:rPr>
        <w:t> </w:t>
      </w:r>
      <w:r>
        <w:rPr>
          <w:w w:val="115"/>
        </w:rPr>
        <w:t>región.</w:t>
      </w:r>
      <w:r>
        <w:rPr>
          <w:spacing w:val="-17"/>
          <w:w w:val="115"/>
        </w:rPr>
        <w:t> </w:t>
      </w:r>
      <w:r>
        <w:rPr>
          <w:w w:val="115"/>
        </w:rPr>
        <w:t>Más</w:t>
      </w:r>
      <w:r>
        <w:rPr>
          <w:spacing w:val="-17"/>
          <w:w w:val="115"/>
        </w:rPr>
        <w:t> </w:t>
      </w:r>
      <w:r>
        <w:rPr>
          <w:w w:val="115"/>
        </w:rPr>
        <w:t>adelante</w:t>
      </w:r>
      <w:r>
        <w:rPr>
          <w:spacing w:val="-17"/>
          <w:w w:val="115"/>
        </w:rPr>
        <w:t> </w:t>
      </w:r>
      <w:r>
        <w:rPr>
          <w:w w:val="115"/>
        </w:rPr>
        <w:t>se</w:t>
      </w:r>
      <w:r>
        <w:rPr>
          <w:spacing w:val="-17"/>
          <w:w w:val="115"/>
        </w:rPr>
        <w:t> </w:t>
      </w:r>
      <w:r>
        <w:rPr>
          <w:w w:val="115"/>
        </w:rPr>
        <w:t>men- cionarán</w:t>
      </w:r>
      <w:r>
        <w:rPr>
          <w:spacing w:val="-23"/>
          <w:w w:val="115"/>
        </w:rPr>
        <w:t> </w:t>
      </w:r>
      <w:r>
        <w:rPr>
          <w:w w:val="115"/>
        </w:rPr>
        <w:t>detalles</w:t>
      </w:r>
      <w:r>
        <w:rPr>
          <w:spacing w:val="-23"/>
          <w:w w:val="115"/>
        </w:rPr>
        <w:t> </w:t>
      </w:r>
      <w:r>
        <w:rPr>
          <w:w w:val="115"/>
        </w:rPr>
        <w:t>adicionales</w:t>
      </w:r>
      <w:r>
        <w:rPr>
          <w:spacing w:val="-23"/>
          <w:w w:val="115"/>
        </w:rPr>
        <w:t> </w:t>
      </w:r>
      <w:r>
        <w:rPr>
          <w:w w:val="115"/>
        </w:rPr>
        <w:t>sobre</w:t>
      </w:r>
      <w:r>
        <w:rPr>
          <w:spacing w:val="-23"/>
          <w:w w:val="115"/>
        </w:rPr>
        <w:t> </w:t>
      </w:r>
      <w:r>
        <w:rPr>
          <w:w w:val="115"/>
        </w:rPr>
        <w:t>estos</w:t>
      </w:r>
      <w:r>
        <w:rPr>
          <w:spacing w:val="-23"/>
          <w:w w:val="115"/>
        </w:rPr>
        <w:t> </w:t>
      </w:r>
      <w:r>
        <w:rPr>
          <w:w w:val="115"/>
        </w:rPr>
        <w:t>temas,</w:t>
      </w:r>
      <w:r>
        <w:rPr>
          <w:spacing w:val="-23"/>
          <w:w w:val="115"/>
        </w:rPr>
        <w:t> </w:t>
      </w:r>
      <w:r>
        <w:rPr>
          <w:w w:val="115"/>
        </w:rPr>
        <w:t>por</w:t>
      </w:r>
      <w:r>
        <w:rPr>
          <w:spacing w:val="-23"/>
          <w:w w:val="115"/>
        </w:rPr>
        <w:t> </w:t>
      </w:r>
      <w:r>
        <w:rPr>
          <w:w w:val="115"/>
        </w:rPr>
        <w:t>ahora,</w:t>
      </w:r>
      <w:r>
        <w:rPr>
          <w:spacing w:val="-23"/>
          <w:w w:val="115"/>
        </w:rPr>
        <w:t> </w:t>
      </w:r>
      <w:r>
        <w:rPr>
          <w:w w:val="115"/>
        </w:rPr>
        <w:t>basta</w:t>
      </w:r>
      <w:r>
        <w:rPr>
          <w:spacing w:val="-23"/>
          <w:w w:val="115"/>
        </w:rPr>
        <w:t> </w:t>
      </w:r>
      <w:r>
        <w:rPr>
          <w:w w:val="115"/>
        </w:rPr>
        <w:t>rea- firmar</w:t>
      </w:r>
      <w:r>
        <w:rPr>
          <w:spacing w:val="-24"/>
          <w:w w:val="115"/>
        </w:rPr>
        <w:t> </w:t>
      </w:r>
      <w:r>
        <w:rPr>
          <w:w w:val="115"/>
        </w:rPr>
        <w:t>la</w:t>
      </w:r>
      <w:r>
        <w:rPr>
          <w:spacing w:val="-24"/>
          <w:w w:val="115"/>
        </w:rPr>
        <w:t> </w:t>
      </w:r>
      <w:r>
        <w:rPr>
          <w:w w:val="115"/>
        </w:rPr>
        <w:t>sugerencia</w:t>
      </w:r>
      <w:r>
        <w:rPr>
          <w:spacing w:val="-24"/>
          <w:w w:val="115"/>
        </w:rPr>
        <w:t> </w:t>
      </w:r>
      <w:r>
        <w:rPr>
          <w:w w:val="115"/>
        </w:rPr>
        <w:t>de</w:t>
      </w:r>
      <w:r>
        <w:rPr>
          <w:spacing w:val="-24"/>
          <w:w w:val="115"/>
        </w:rPr>
        <w:t> </w:t>
      </w:r>
      <w:r>
        <w:rPr>
          <w:w w:val="115"/>
        </w:rPr>
        <w:t>“no</w:t>
      </w:r>
      <w:r>
        <w:rPr>
          <w:spacing w:val="-24"/>
          <w:w w:val="115"/>
        </w:rPr>
        <w:t> </w:t>
      </w:r>
      <w:r>
        <w:rPr>
          <w:w w:val="115"/>
        </w:rPr>
        <w:t>reducir</w:t>
      </w:r>
      <w:r>
        <w:rPr>
          <w:spacing w:val="-24"/>
          <w:w w:val="115"/>
        </w:rPr>
        <w:t> </w:t>
      </w:r>
      <w:r>
        <w:rPr>
          <w:w w:val="115"/>
        </w:rPr>
        <w:t>los</w:t>
      </w:r>
      <w:r>
        <w:rPr>
          <w:spacing w:val="-24"/>
          <w:w w:val="115"/>
        </w:rPr>
        <w:t> </w:t>
      </w:r>
      <w:r>
        <w:rPr>
          <w:w w:val="115"/>
        </w:rPr>
        <w:t>intereses</w:t>
      </w:r>
      <w:r>
        <w:rPr>
          <w:spacing w:val="-24"/>
          <w:w w:val="115"/>
        </w:rPr>
        <w:t> </w:t>
      </w:r>
      <w:r>
        <w:rPr>
          <w:w w:val="115"/>
        </w:rPr>
        <w:t>y</w:t>
      </w:r>
      <w:r>
        <w:rPr>
          <w:spacing w:val="-24"/>
          <w:w w:val="115"/>
        </w:rPr>
        <w:t> </w:t>
      </w:r>
      <w:r>
        <w:rPr>
          <w:w w:val="115"/>
        </w:rPr>
        <w:t>acciones</w:t>
      </w:r>
      <w:r>
        <w:rPr>
          <w:spacing w:val="-24"/>
          <w:w w:val="115"/>
        </w:rPr>
        <w:t> </w:t>
      </w:r>
      <w:r>
        <w:rPr>
          <w:w w:val="115"/>
        </w:rPr>
        <w:t>de</w:t>
      </w:r>
      <w:r>
        <w:rPr>
          <w:spacing w:val="-24"/>
          <w:w w:val="115"/>
        </w:rPr>
        <w:t> </w:t>
      </w:r>
      <w:r>
        <w:rPr>
          <w:w w:val="115"/>
        </w:rPr>
        <w:t>política exterior de Estados unidos a una lógica defensiva o de</w:t>
      </w:r>
      <w:r>
        <w:rPr>
          <w:spacing w:val="-21"/>
          <w:w w:val="115"/>
        </w:rPr>
        <w:t> </w:t>
      </w:r>
      <w:r>
        <w:rPr>
          <w:w w:val="115"/>
        </w:rPr>
        <w:t>intervención militar”</w:t>
      </w:r>
      <w:r>
        <w:rPr>
          <w:spacing w:val="-22"/>
          <w:w w:val="115"/>
        </w:rPr>
        <w:t> </w:t>
      </w:r>
      <w:r>
        <w:rPr>
          <w:w w:val="115"/>
        </w:rPr>
        <w:t>pues</w:t>
      </w:r>
      <w:r>
        <w:rPr>
          <w:spacing w:val="-22"/>
          <w:w w:val="115"/>
        </w:rPr>
        <w:t> </w:t>
      </w:r>
      <w:r>
        <w:rPr>
          <w:w w:val="115"/>
        </w:rPr>
        <w:t>existen</w:t>
      </w:r>
      <w:r>
        <w:rPr>
          <w:spacing w:val="-22"/>
          <w:w w:val="115"/>
        </w:rPr>
        <w:t> </w:t>
      </w:r>
      <w:r>
        <w:rPr>
          <w:w w:val="115"/>
        </w:rPr>
        <w:t>otros</w:t>
      </w:r>
      <w:r>
        <w:rPr>
          <w:spacing w:val="-22"/>
          <w:w w:val="115"/>
        </w:rPr>
        <w:t> </w:t>
      </w:r>
      <w:r>
        <w:rPr>
          <w:w w:val="115"/>
        </w:rPr>
        <w:t>temas</w:t>
      </w:r>
      <w:r>
        <w:rPr>
          <w:spacing w:val="-22"/>
          <w:w w:val="115"/>
        </w:rPr>
        <w:t> </w:t>
      </w:r>
      <w:r>
        <w:rPr>
          <w:w w:val="115"/>
        </w:rPr>
        <w:t>como</w:t>
      </w:r>
      <w:r>
        <w:rPr>
          <w:spacing w:val="-22"/>
          <w:w w:val="115"/>
        </w:rPr>
        <w:t> </w:t>
      </w:r>
      <w:r>
        <w:rPr>
          <w:w w:val="115"/>
        </w:rPr>
        <w:t>los</w:t>
      </w:r>
      <w:r>
        <w:rPr>
          <w:spacing w:val="-22"/>
          <w:w w:val="115"/>
        </w:rPr>
        <w:t> </w:t>
      </w:r>
      <w:r>
        <w:rPr>
          <w:w w:val="115"/>
        </w:rPr>
        <w:t>comerciales</w:t>
      </w:r>
      <w:r>
        <w:rPr>
          <w:spacing w:val="-22"/>
          <w:w w:val="115"/>
        </w:rPr>
        <w:t> </w:t>
      </w:r>
      <w:r>
        <w:rPr>
          <w:w w:val="115"/>
        </w:rPr>
        <w:t>y</w:t>
      </w:r>
      <w:r>
        <w:rPr>
          <w:spacing w:val="-22"/>
          <w:w w:val="115"/>
        </w:rPr>
        <w:t> </w:t>
      </w:r>
      <w:r>
        <w:rPr>
          <w:w w:val="115"/>
        </w:rPr>
        <w:t>de</w:t>
      </w:r>
      <w:r>
        <w:rPr>
          <w:spacing w:val="-22"/>
          <w:w w:val="115"/>
        </w:rPr>
        <w:t> </w:t>
      </w:r>
      <w:r>
        <w:rPr>
          <w:w w:val="115"/>
        </w:rPr>
        <w:t>negocios, energéticos</w:t>
      </w:r>
      <w:r>
        <w:rPr>
          <w:spacing w:val="-24"/>
          <w:w w:val="115"/>
        </w:rPr>
        <w:t> </w:t>
      </w:r>
      <w:r>
        <w:rPr>
          <w:w w:val="115"/>
        </w:rPr>
        <w:t>y</w:t>
      </w:r>
      <w:r>
        <w:rPr>
          <w:spacing w:val="-24"/>
          <w:w w:val="115"/>
        </w:rPr>
        <w:t> </w:t>
      </w:r>
      <w:r>
        <w:rPr>
          <w:w w:val="115"/>
        </w:rPr>
        <w:t>de</w:t>
      </w:r>
      <w:r>
        <w:rPr>
          <w:spacing w:val="-24"/>
          <w:w w:val="115"/>
        </w:rPr>
        <w:t> </w:t>
      </w:r>
      <w:r>
        <w:rPr>
          <w:w w:val="115"/>
        </w:rPr>
        <w:t>gobernanza</w:t>
      </w:r>
      <w:r>
        <w:rPr>
          <w:spacing w:val="-24"/>
          <w:w w:val="115"/>
        </w:rPr>
        <w:t> </w:t>
      </w:r>
      <w:r>
        <w:rPr>
          <w:w w:val="115"/>
        </w:rPr>
        <w:t>(</w:t>
      </w:r>
      <w:r>
        <w:rPr>
          <w:i/>
          <w:w w:val="115"/>
        </w:rPr>
        <w:t>governance</w:t>
      </w:r>
      <w:r>
        <w:rPr>
          <w:w w:val="115"/>
        </w:rPr>
        <w:t>)</w:t>
      </w:r>
      <w:r>
        <w:rPr>
          <w:spacing w:val="-24"/>
          <w:w w:val="115"/>
        </w:rPr>
        <w:t> </w:t>
      </w:r>
      <w:r>
        <w:rPr>
          <w:w w:val="115"/>
        </w:rPr>
        <w:t>que</w:t>
      </w:r>
      <w:r>
        <w:rPr>
          <w:spacing w:val="-24"/>
          <w:w w:val="115"/>
        </w:rPr>
        <w:t> </w:t>
      </w:r>
      <w:r>
        <w:rPr>
          <w:w w:val="115"/>
        </w:rPr>
        <w:t>también</w:t>
      </w:r>
      <w:r>
        <w:rPr>
          <w:spacing w:val="-24"/>
          <w:w w:val="115"/>
        </w:rPr>
        <w:t> </w:t>
      </w:r>
      <w:r>
        <w:rPr>
          <w:w w:val="115"/>
        </w:rPr>
        <w:t>forman</w:t>
      </w:r>
      <w:r>
        <w:rPr>
          <w:spacing w:val="-24"/>
          <w:w w:val="115"/>
        </w:rPr>
        <w:t> </w:t>
      </w:r>
      <w:r>
        <w:rPr>
          <w:w w:val="115"/>
        </w:rPr>
        <w:t>parte del</w:t>
      </w:r>
      <w:r>
        <w:rPr>
          <w:spacing w:val="-30"/>
          <w:w w:val="115"/>
        </w:rPr>
        <w:t> </w:t>
      </w:r>
      <w:r>
        <w:rPr>
          <w:w w:val="115"/>
        </w:rPr>
        <w:t>portafolio</w:t>
      </w:r>
      <w:r>
        <w:rPr>
          <w:spacing w:val="-30"/>
          <w:w w:val="115"/>
        </w:rPr>
        <w:t> </w:t>
      </w:r>
      <w:r>
        <w:rPr>
          <w:w w:val="115"/>
        </w:rPr>
        <w:t>de</w:t>
      </w:r>
      <w:r>
        <w:rPr>
          <w:spacing w:val="-30"/>
          <w:w w:val="115"/>
        </w:rPr>
        <w:t> </w:t>
      </w:r>
      <w:r>
        <w:rPr>
          <w:w w:val="115"/>
        </w:rPr>
        <w:t>temas</w:t>
      </w:r>
      <w:r>
        <w:rPr>
          <w:spacing w:val="-30"/>
          <w:w w:val="115"/>
        </w:rPr>
        <w:t> </w:t>
      </w:r>
      <w:r>
        <w:rPr>
          <w:w w:val="115"/>
        </w:rPr>
        <w:t>a</w:t>
      </w:r>
      <w:r>
        <w:rPr>
          <w:spacing w:val="-30"/>
          <w:w w:val="115"/>
        </w:rPr>
        <w:t> </w:t>
      </w:r>
      <w:r>
        <w:rPr>
          <w:w w:val="115"/>
        </w:rPr>
        <w:t>revisar</w:t>
      </w:r>
      <w:r>
        <w:rPr>
          <w:spacing w:val="-30"/>
          <w:w w:val="115"/>
        </w:rPr>
        <w:t> </w:t>
      </w:r>
      <w:r>
        <w:rPr>
          <w:w w:val="115"/>
        </w:rPr>
        <w:t>para</w:t>
      </w:r>
      <w:r>
        <w:rPr>
          <w:spacing w:val="-30"/>
          <w:w w:val="115"/>
        </w:rPr>
        <w:t> </w:t>
      </w:r>
      <w:r>
        <w:rPr>
          <w:w w:val="115"/>
        </w:rPr>
        <w:t>entender</w:t>
      </w:r>
      <w:r>
        <w:rPr>
          <w:spacing w:val="-30"/>
          <w:w w:val="115"/>
        </w:rPr>
        <w:t> </w:t>
      </w:r>
      <w:r>
        <w:rPr>
          <w:w w:val="115"/>
        </w:rPr>
        <w:t>las</w:t>
      </w:r>
      <w:r>
        <w:rPr>
          <w:spacing w:val="-30"/>
          <w:w w:val="115"/>
        </w:rPr>
        <w:t> </w:t>
      </w:r>
      <w:r>
        <w:rPr>
          <w:w w:val="115"/>
        </w:rPr>
        <w:t>acciones</w:t>
      </w:r>
      <w:r>
        <w:rPr>
          <w:spacing w:val="-30"/>
          <w:w w:val="115"/>
        </w:rPr>
        <w:t> </w:t>
      </w:r>
      <w:r>
        <w:rPr>
          <w:w w:val="115"/>
        </w:rPr>
        <w:t>de</w:t>
      </w:r>
      <w:r>
        <w:rPr>
          <w:spacing w:val="-30"/>
          <w:w w:val="115"/>
        </w:rPr>
        <w:t> </w:t>
      </w:r>
      <w:r>
        <w:rPr>
          <w:w w:val="115"/>
        </w:rPr>
        <w:t>política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exterior de Estados unidos en los diferentes países que componen la región latinoamericana y  caribeña.</w:t>
      </w:r>
    </w:p>
    <w:p>
      <w:pPr>
        <w:pStyle w:val="BodyText"/>
        <w:spacing w:line="252" w:lineRule="auto"/>
        <w:ind w:left="330" w:right="117" w:firstLine="396"/>
        <w:jc w:val="both"/>
      </w:pPr>
      <w:r>
        <w:rPr>
          <w:w w:val="110"/>
        </w:rPr>
        <w:t>una vez “desmitificada” la existencia de una agenda estadouni- dense exclusivamente militarista, a continuación se presentan los cuatro pilares que sostiene la agenda de política exterior de Estados unidos en el Hemisferio occidental</w:t>
      </w:r>
      <w:r>
        <w:rPr>
          <w:w w:val="110"/>
          <w:position w:val="6"/>
          <w:sz w:val="11"/>
        </w:rPr>
        <w:t>24</w:t>
      </w:r>
      <w:r>
        <w:rPr>
          <w:w w:val="110"/>
        </w:rPr>
        <w:t>, que   son:</w:t>
      </w:r>
    </w:p>
    <w:p>
      <w:pPr>
        <w:pStyle w:val="BodyText"/>
        <w:spacing w:before="11"/>
      </w:pPr>
    </w:p>
    <w:p>
      <w:pPr>
        <w:pStyle w:val="ListParagraph"/>
        <w:numPr>
          <w:ilvl w:val="2"/>
          <w:numId w:val="12"/>
        </w:numPr>
        <w:tabs>
          <w:tab w:pos="955" w:val="left" w:leader="none"/>
        </w:tabs>
        <w:spacing w:line="240" w:lineRule="auto" w:before="0" w:after="0"/>
        <w:ind w:left="954" w:right="0" w:hanging="227"/>
        <w:jc w:val="left"/>
        <w:rPr>
          <w:sz w:val="19"/>
        </w:rPr>
      </w:pPr>
      <w:r>
        <w:rPr>
          <w:w w:val="110"/>
          <w:sz w:val="19"/>
        </w:rPr>
        <w:t>impulso de oportunidades económicas y </w:t>
      </w:r>
      <w:r>
        <w:rPr>
          <w:spacing w:val="22"/>
          <w:w w:val="110"/>
          <w:sz w:val="19"/>
        </w:rPr>
        <w:t> </w:t>
      </w:r>
      <w:r>
        <w:rPr>
          <w:w w:val="110"/>
          <w:sz w:val="19"/>
        </w:rPr>
        <w:t>sociales.</w:t>
      </w:r>
    </w:p>
    <w:p>
      <w:pPr>
        <w:pStyle w:val="ListParagraph"/>
        <w:numPr>
          <w:ilvl w:val="2"/>
          <w:numId w:val="12"/>
        </w:numPr>
        <w:tabs>
          <w:tab w:pos="955" w:val="left" w:leader="none"/>
        </w:tabs>
        <w:spacing w:line="240" w:lineRule="auto" w:before="96" w:after="0"/>
        <w:ind w:left="954" w:right="0" w:hanging="227"/>
        <w:jc w:val="left"/>
        <w:rPr>
          <w:sz w:val="19"/>
        </w:rPr>
      </w:pPr>
      <w:r>
        <w:rPr>
          <w:w w:val="115"/>
          <w:sz w:val="19"/>
        </w:rPr>
        <w:t>seguridad</w:t>
      </w:r>
      <w:r>
        <w:rPr>
          <w:spacing w:val="-19"/>
          <w:w w:val="115"/>
          <w:sz w:val="19"/>
        </w:rPr>
        <w:t> </w:t>
      </w:r>
      <w:r>
        <w:rPr>
          <w:w w:val="115"/>
          <w:sz w:val="19"/>
        </w:rPr>
        <w:t>ciudadana.</w:t>
      </w:r>
    </w:p>
    <w:p>
      <w:pPr>
        <w:pStyle w:val="ListParagraph"/>
        <w:numPr>
          <w:ilvl w:val="2"/>
          <w:numId w:val="12"/>
        </w:numPr>
        <w:tabs>
          <w:tab w:pos="955" w:val="left" w:leader="none"/>
        </w:tabs>
        <w:spacing w:line="252" w:lineRule="auto" w:before="96" w:after="0"/>
        <w:ind w:left="954" w:right="118" w:hanging="227"/>
        <w:jc w:val="left"/>
        <w:rPr>
          <w:sz w:val="19"/>
        </w:rPr>
      </w:pPr>
      <w:r>
        <w:rPr>
          <w:w w:val="110"/>
          <w:sz w:val="19"/>
        </w:rPr>
        <w:t>Energías sustentables y mitigación de los efectos del cambio climático.</w:t>
      </w:r>
    </w:p>
    <w:p>
      <w:pPr>
        <w:pStyle w:val="ListParagraph"/>
        <w:numPr>
          <w:ilvl w:val="2"/>
          <w:numId w:val="12"/>
        </w:numPr>
        <w:tabs>
          <w:tab w:pos="955" w:val="left" w:leader="none"/>
        </w:tabs>
        <w:spacing w:line="252" w:lineRule="auto" w:before="85" w:after="0"/>
        <w:ind w:left="954" w:right="118" w:hanging="227"/>
        <w:jc w:val="left"/>
        <w:rPr>
          <w:sz w:val="19"/>
        </w:rPr>
      </w:pPr>
      <w:r>
        <w:rPr>
          <w:w w:val="110"/>
          <w:sz w:val="19"/>
        </w:rPr>
        <w:t>Fortalecimiento efectivo de las instituciones de gobernanza democrática.</w:t>
      </w:r>
    </w:p>
    <w:p>
      <w:pPr>
        <w:pStyle w:val="BodyText"/>
        <w:spacing w:before="11"/>
      </w:pPr>
    </w:p>
    <w:p>
      <w:pPr>
        <w:pStyle w:val="BodyText"/>
        <w:spacing w:line="252" w:lineRule="auto"/>
        <w:ind w:left="330" w:right="117"/>
        <w:jc w:val="both"/>
      </w:pPr>
      <w:r>
        <w:rPr>
          <w:w w:val="110"/>
        </w:rPr>
        <w:t>Cada uno de estos pilares evidencia los intereses económicos, </w:t>
      </w:r>
      <w:r>
        <w:rPr>
          <w:spacing w:val="-3"/>
          <w:w w:val="110"/>
        </w:rPr>
        <w:t>comer- </w:t>
      </w:r>
      <w:r>
        <w:rPr>
          <w:w w:val="110"/>
        </w:rPr>
        <w:t>ciales, político-democráticos y ambientales-energéticos que actual- mente tiene la administración de barack obama en la región de amé- </w:t>
      </w:r>
      <w:r>
        <w:rPr>
          <w:w w:val="112"/>
        </w:rPr>
        <w:t>rica</w:t>
      </w:r>
      <w:r>
        <w:rPr>
          <w:spacing w:val="13"/>
        </w:rPr>
        <w:t> </w:t>
      </w:r>
      <w:r>
        <w:rPr>
          <w:w w:val="243"/>
        </w:rPr>
        <w:t>l</w:t>
      </w:r>
      <w:r>
        <w:rPr>
          <w:w w:val="111"/>
        </w:rPr>
        <w:t>atina</w:t>
      </w:r>
      <w:r>
        <w:rPr>
          <w:spacing w:val="13"/>
        </w:rPr>
        <w:t> </w:t>
      </w:r>
      <w:r>
        <w:rPr>
          <w:w w:val="105"/>
        </w:rPr>
        <w:t>y</w:t>
      </w:r>
      <w:r>
        <w:rPr>
          <w:spacing w:val="13"/>
        </w:rPr>
        <w:t> </w:t>
      </w:r>
      <w:r>
        <w:rPr>
          <w:w w:val="107"/>
        </w:rPr>
        <w:t>el</w:t>
      </w:r>
      <w:r>
        <w:rPr>
          <w:spacing w:val="13"/>
        </w:rPr>
        <w:t> </w:t>
      </w:r>
      <w:r>
        <w:rPr>
          <w:w w:val="114"/>
        </w:rPr>
        <w:t>Caribe.</w:t>
      </w:r>
      <w:r>
        <w:rPr>
          <w:spacing w:val="13"/>
        </w:rPr>
        <w:t> </w:t>
      </w:r>
      <w:r>
        <w:rPr>
          <w:w w:val="120"/>
        </w:rPr>
        <w:t>En</w:t>
      </w:r>
      <w:r>
        <w:rPr>
          <w:spacing w:val="13"/>
        </w:rPr>
        <w:t> </w:t>
      </w:r>
      <w:r>
        <w:rPr>
          <w:w w:val="110"/>
        </w:rPr>
        <w:t>lo</w:t>
      </w:r>
      <w:r>
        <w:rPr>
          <w:spacing w:val="13"/>
        </w:rPr>
        <w:t> </w:t>
      </w:r>
      <w:r>
        <w:rPr>
          <w:w w:val="108"/>
        </w:rPr>
        <w:t>que</w:t>
      </w:r>
      <w:r>
        <w:rPr>
          <w:spacing w:val="13"/>
        </w:rPr>
        <w:t> </w:t>
      </w:r>
      <w:r>
        <w:rPr>
          <w:w w:val="104"/>
        </w:rPr>
        <w:t>refiere</w:t>
      </w:r>
      <w:r>
        <w:rPr>
          <w:spacing w:val="13"/>
        </w:rPr>
        <w:t> </w:t>
      </w:r>
      <w:r>
        <w:rPr>
          <w:w w:val="111"/>
        </w:rPr>
        <w:t>al</w:t>
      </w:r>
      <w:r>
        <w:rPr>
          <w:spacing w:val="13"/>
        </w:rPr>
        <w:t> </w:t>
      </w:r>
      <w:r>
        <w:rPr>
          <w:w w:val="109"/>
        </w:rPr>
        <w:t>primer</w:t>
      </w:r>
      <w:r>
        <w:rPr>
          <w:spacing w:val="13"/>
        </w:rPr>
        <w:t> </w:t>
      </w:r>
      <w:r>
        <w:rPr>
          <w:w w:val="110"/>
        </w:rPr>
        <w:t>pilar</w:t>
      </w:r>
      <w:r>
        <w:rPr>
          <w:spacing w:val="13"/>
        </w:rPr>
        <w:t> </w:t>
      </w:r>
      <w:r>
        <w:rPr>
          <w:w w:val="108"/>
        </w:rPr>
        <w:t>existen</w:t>
      </w:r>
      <w:r>
        <w:rPr>
          <w:spacing w:val="13"/>
        </w:rPr>
        <w:t> </w:t>
      </w:r>
      <w:r>
        <w:rPr>
          <w:w w:val="107"/>
        </w:rPr>
        <w:t>nueve </w:t>
      </w:r>
      <w:r>
        <w:rPr>
          <w:w w:val="110"/>
        </w:rPr>
        <w:t>iniciativas:</w:t>
      </w:r>
      <w:r>
        <w:rPr>
          <w:spacing w:val="11"/>
        </w:rPr>
        <w:t> </w:t>
      </w:r>
      <w:r>
        <w:rPr>
          <w:w w:val="113"/>
        </w:rPr>
        <w:t>Caminos</w:t>
      </w:r>
      <w:r>
        <w:rPr>
          <w:spacing w:val="11"/>
        </w:rPr>
        <w:t> </w:t>
      </w:r>
      <w:r>
        <w:rPr>
          <w:w w:val="113"/>
        </w:rPr>
        <w:t>hacia</w:t>
      </w:r>
      <w:r>
        <w:rPr>
          <w:spacing w:val="11"/>
        </w:rPr>
        <w:t> </w:t>
      </w:r>
      <w:r>
        <w:rPr>
          <w:w w:val="111"/>
        </w:rPr>
        <w:t>la</w:t>
      </w:r>
      <w:r>
        <w:rPr>
          <w:spacing w:val="11"/>
        </w:rPr>
        <w:t> </w:t>
      </w:r>
      <w:r>
        <w:rPr>
          <w:w w:val="108"/>
        </w:rPr>
        <w:t>Prosperida</w:t>
      </w:r>
      <w:r>
        <w:rPr>
          <w:spacing w:val="-1"/>
          <w:w w:val="108"/>
        </w:rPr>
        <w:t>d</w:t>
      </w:r>
      <w:r>
        <w:rPr>
          <w:w w:val="103"/>
          <w:position w:val="6"/>
          <w:sz w:val="11"/>
        </w:rPr>
        <w:t>25</w:t>
      </w:r>
      <w:r>
        <w:rPr>
          <w:w w:val="138"/>
        </w:rPr>
        <w:t>,</w:t>
      </w:r>
      <w:r>
        <w:rPr>
          <w:spacing w:val="11"/>
        </w:rPr>
        <w:t> </w:t>
      </w:r>
      <w:r>
        <w:rPr>
          <w:spacing w:val="-18"/>
          <w:w w:val="195"/>
        </w:rPr>
        <w:t>t</w:t>
      </w:r>
      <w:r>
        <w:rPr>
          <w:w w:val="109"/>
        </w:rPr>
        <w:t>ratados</w:t>
      </w:r>
      <w:r>
        <w:rPr>
          <w:spacing w:val="11"/>
        </w:rPr>
        <w:t> </w:t>
      </w:r>
      <w:r>
        <w:rPr>
          <w:w w:val="107"/>
        </w:rPr>
        <w:t>de</w:t>
      </w:r>
      <w:r>
        <w:rPr>
          <w:spacing w:val="11"/>
        </w:rPr>
        <w:t> </w:t>
      </w:r>
      <w:r>
        <w:rPr>
          <w:w w:val="243"/>
        </w:rPr>
        <w:t>l</w:t>
      </w:r>
      <w:r>
        <w:rPr>
          <w:w w:val="108"/>
        </w:rPr>
        <w:t>ibre</w:t>
      </w:r>
      <w:r>
        <w:rPr>
          <w:spacing w:val="11"/>
        </w:rPr>
        <w:t> </w:t>
      </w:r>
      <w:r>
        <w:rPr>
          <w:w w:val="112"/>
        </w:rPr>
        <w:t>Come</w:t>
      </w:r>
      <w:r>
        <w:rPr>
          <w:spacing w:val="-15"/>
          <w:w w:val="112"/>
        </w:rPr>
        <w:t>r</w:t>
      </w:r>
      <w:r>
        <w:rPr>
          <w:w w:val="102"/>
        </w:rPr>
        <w:t>- </w:t>
      </w:r>
      <w:r>
        <w:rPr>
          <w:w w:val="110"/>
        </w:rPr>
        <w:t>cio, redes de negocios pequeños, plan de acción conjunta entre Esta- dos unidos y brasil para eliminar la discriminación racial y promover la equidad social, red interamericana de protección social, transac- ciones seguras, </w:t>
      </w:r>
      <w:r>
        <w:rPr>
          <w:i/>
          <w:w w:val="110"/>
        </w:rPr>
        <w:t>Latino American IdEA</w:t>
      </w:r>
      <w:r>
        <w:rPr>
          <w:i/>
          <w:w w:val="110"/>
          <w:position w:val="6"/>
          <w:sz w:val="11"/>
        </w:rPr>
        <w:t>26</w:t>
      </w:r>
      <w:r>
        <w:rPr>
          <w:w w:val="110"/>
        </w:rPr>
        <w:t>, </w:t>
      </w:r>
      <w:r>
        <w:rPr>
          <w:i/>
          <w:w w:val="110"/>
        </w:rPr>
        <w:t>Caribbean IdEA Marketplace</w:t>
      </w:r>
      <w:r>
        <w:rPr>
          <w:i/>
          <w:w w:val="110"/>
          <w:position w:val="6"/>
          <w:sz w:val="11"/>
        </w:rPr>
        <w:t>27 </w:t>
      </w:r>
      <w:r>
        <w:rPr>
          <w:w w:val="110"/>
        </w:rPr>
        <w:t>(ambas plataformas sirven como foros de diálogo de alto nivel entre</w:t>
      </w:r>
      <w:r>
        <w:rPr>
          <w:spacing w:val="-32"/>
          <w:w w:val="110"/>
        </w:rPr>
        <w:t> </w:t>
      </w:r>
      <w:r>
        <w:rPr>
          <w:w w:val="110"/>
        </w:rPr>
        <w:t>el gobierno estadounidense y sus correlatos latinoamericanos para pro- mover el comercio, la apertura de nuevos negocios y empresas </w:t>
      </w:r>
      <w:r>
        <w:rPr>
          <w:spacing w:val="-11"/>
          <w:w w:val="110"/>
        </w:rPr>
        <w:t>y, </w:t>
      </w:r>
      <w:r>
        <w:rPr>
          <w:w w:val="110"/>
        </w:rPr>
        <w:t>por otro lado, flexibilizar las legislaciones nacionales a fin de acelerar los procesos de comercio entre estas naciones), finalmente se tiene la ini- ciativa de emprendimiento económico dirigido a las </w:t>
      </w:r>
      <w:r>
        <w:rPr>
          <w:spacing w:val="23"/>
          <w:w w:val="110"/>
        </w:rPr>
        <w:t> </w:t>
      </w:r>
      <w:r>
        <w:rPr>
          <w:w w:val="110"/>
        </w:rPr>
        <w:t>mujeres</w:t>
      </w:r>
      <w:r>
        <w:rPr>
          <w:w w:val="110"/>
          <w:position w:val="6"/>
          <w:sz w:val="11"/>
        </w:rPr>
        <w:t>28</w:t>
      </w:r>
      <w:r>
        <w:rPr>
          <w:w w:val="110"/>
        </w:rPr>
        <w:t>.</w:t>
      </w:r>
    </w:p>
    <w:p>
      <w:pPr>
        <w:pStyle w:val="BodyText"/>
        <w:spacing w:line="252" w:lineRule="auto"/>
        <w:ind w:left="330" w:right="118" w:firstLine="396"/>
        <w:jc w:val="both"/>
        <w:rPr>
          <w:i/>
        </w:rPr>
      </w:pPr>
      <w:r>
        <w:rPr>
          <w:w w:val="110"/>
        </w:rPr>
        <w:t>respecto al segundo pilar, el departamento tiene dos iniciativas específicas: asociación climática y energética en las américas</w:t>
      </w:r>
      <w:r>
        <w:rPr>
          <w:w w:val="110"/>
          <w:position w:val="6"/>
          <w:sz w:val="11"/>
        </w:rPr>
        <w:t>29   </w:t>
      </w:r>
      <w:r>
        <w:rPr>
          <w:w w:val="110"/>
        </w:rPr>
        <w:t>y    </w:t>
      </w:r>
      <w:r>
        <w:rPr>
          <w:i/>
          <w:w w:val="110"/>
        </w:rPr>
        <w:t>Co-</w:t>
      </w:r>
    </w:p>
    <w:p>
      <w:pPr>
        <w:pStyle w:val="BodyText"/>
        <w:spacing w:before="5"/>
        <w:rPr>
          <w:i/>
          <w:sz w:val="23"/>
        </w:rPr>
      </w:pPr>
      <w:r>
        <w:rPr/>
        <w:pict>
          <v:line style="position:absolute;mso-position-horizontal-relative:page;mso-position-vertical-relative:paragraph;z-index:5392;mso-wrap-distance-left:0;mso-wrap-distance-right:0" from="76.5354pt,15.932738pt" to="104.8814pt,15.932738pt" stroked="true" strokeweight=".5pt" strokecolor="#000000">
            <w10:wrap type="topAndBottom"/>
          </v:line>
        </w:pict>
      </w:r>
    </w:p>
    <w:p>
      <w:pPr>
        <w:pStyle w:val="ListParagraph"/>
        <w:numPr>
          <w:ilvl w:val="1"/>
          <w:numId w:val="12"/>
        </w:numPr>
        <w:tabs>
          <w:tab w:pos="586" w:val="left" w:leader="none"/>
        </w:tabs>
        <w:spacing w:line="242" w:lineRule="auto" w:before="89" w:after="0"/>
        <w:ind w:left="330" w:right="118" w:firstLine="0"/>
        <w:jc w:val="both"/>
        <w:rPr>
          <w:sz w:val="16"/>
        </w:rPr>
      </w:pPr>
      <w:r>
        <w:rPr>
          <w:w w:val="110"/>
          <w:sz w:val="16"/>
        </w:rPr>
        <w:t>Hemos presentado dicha clasificación con base en la información pública dispo- nible hasta diciembre de 2015 en la página oficial del </w:t>
      </w:r>
      <w:r>
        <w:rPr>
          <w:i/>
          <w:w w:val="110"/>
          <w:sz w:val="16"/>
        </w:rPr>
        <w:t>U.S. Department of State</w:t>
      </w:r>
      <w:r>
        <w:rPr>
          <w:w w:val="110"/>
          <w:sz w:val="16"/>
        </w:rPr>
        <w:t>, para revisar</w:t>
      </w:r>
      <w:r>
        <w:rPr>
          <w:spacing w:val="-21"/>
          <w:w w:val="110"/>
          <w:sz w:val="16"/>
        </w:rPr>
        <w:t> </w:t>
      </w:r>
      <w:r>
        <w:rPr>
          <w:w w:val="110"/>
          <w:sz w:val="16"/>
        </w:rPr>
        <w:t>con</w:t>
      </w:r>
      <w:r>
        <w:rPr>
          <w:spacing w:val="-21"/>
          <w:w w:val="110"/>
          <w:sz w:val="16"/>
        </w:rPr>
        <w:t> </w:t>
      </w:r>
      <w:r>
        <w:rPr>
          <w:w w:val="110"/>
          <w:sz w:val="16"/>
        </w:rPr>
        <w:t>mayor</w:t>
      </w:r>
      <w:r>
        <w:rPr>
          <w:spacing w:val="-21"/>
          <w:w w:val="110"/>
          <w:sz w:val="16"/>
        </w:rPr>
        <w:t> </w:t>
      </w:r>
      <w:r>
        <w:rPr>
          <w:w w:val="110"/>
          <w:sz w:val="16"/>
        </w:rPr>
        <w:t>detalle</w:t>
      </w:r>
      <w:r>
        <w:rPr>
          <w:spacing w:val="-21"/>
          <w:w w:val="110"/>
          <w:sz w:val="16"/>
        </w:rPr>
        <w:t> </w:t>
      </w:r>
      <w:r>
        <w:rPr>
          <w:w w:val="110"/>
          <w:sz w:val="16"/>
        </w:rPr>
        <w:t>los</w:t>
      </w:r>
      <w:r>
        <w:rPr>
          <w:spacing w:val="-21"/>
          <w:w w:val="110"/>
          <w:sz w:val="16"/>
        </w:rPr>
        <w:t> </w:t>
      </w:r>
      <w:r>
        <w:rPr>
          <w:w w:val="110"/>
          <w:sz w:val="16"/>
        </w:rPr>
        <w:t>cuatro</w:t>
      </w:r>
      <w:r>
        <w:rPr>
          <w:spacing w:val="-21"/>
          <w:w w:val="110"/>
          <w:sz w:val="16"/>
        </w:rPr>
        <w:t> </w:t>
      </w:r>
      <w:r>
        <w:rPr>
          <w:w w:val="110"/>
          <w:sz w:val="16"/>
        </w:rPr>
        <w:t>pilares</w:t>
      </w:r>
      <w:r>
        <w:rPr>
          <w:spacing w:val="-21"/>
          <w:w w:val="110"/>
          <w:sz w:val="16"/>
        </w:rPr>
        <w:t> </w:t>
      </w:r>
      <w:r>
        <w:rPr>
          <w:w w:val="110"/>
          <w:sz w:val="16"/>
        </w:rPr>
        <w:t>presentados,</w:t>
      </w:r>
      <w:r>
        <w:rPr>
          <w:spacing w:val="-21"/>
          <w:w w:val="110"/>
          <w:sz w:val="16"/>
        </w:rPr>
        <w:t> </w:t>
      </w:r>
      <w:r>
        <w:rPr>
          <w:w w:val="110"/>
          <w:sz w:val="16"/>
        </w:rPr>
        <w:t>se</w:t>
      </w:r>
      <w:r>
        <w:rPr>
          <w:spacing w:val="-21"/>
          <w:w w:val="110"/>
          <w:sz w:val="16"/>
        </w:rPr>
        <w:t> </w:t>
      </w:r>
      <w:r>
        <w:rPr>
          <w:w w:val="110"/>
          <w:sz w:val="16"/>
        </w:rPr>
        <w:t>sugiere</w:t>
      </w:r>
      <w:r>
        <w:rPr>
          <w:spacing w:val="-21"/>
          <w:w w:val="110"/>
          <w:sz w:val="16"/>
        </w:rPr>
        <w:t> </w:t>
      </w:r>
      <w:r>
        <w:rPr>
          <w:w w:val="110"/>
          <w:sz w:val="16"/>
        </w:rPr>
        <w:t>consultar</w:t>
      </w:r>
      <w:r>
        <w:rPr>
          <w:spacing w:val="-21"/>
          <w:w w:val="110"/>
          <w:sz w:val="16"/>
        </w:rPr>
        <w:t> </w:t>
      </w:r>
      <w:r>
        <w:rPr>
          <w:w w:val="110"/>
          <w:sz w:val="16"/>
        </w:rPr>
        <w:t>&lt;http:// go.usa.gov/cKM4Z&gt;.</w:t>
      </w:r>
    </w:p>
    <w:p>
      <w:pPr>
        <w:pStyle w:val="ListParagraph"/>
        <w:numPr>
          <w:ilvl w:val="1"/>
          <w:numId w:val="12"/>
        </w:numPr>
        <w:tabs>
          <w:tab w:pos="586" w:val="left" w:leader="none"/>
        </w:tabs>
        <w:spacing w:line="316" w:lineRule="auto" w:before="57" w:after="0"/>
        <w:ind w:left="330" w:right="1178" w:firstLine="0"/>
        <w:jc w:val="left"/>
        <w:rPr>
          <w:sz w:val="16"/>
        </w:rPr>
      </w:pPr>
      <w:r>
        <w:rPr>
          <w:i/>
          <w:spacing w:val="-4"/>
          <w:w w:val="105"/>
          <w:sz w:val="16"/>
        </w:rPr>
        <w:t>Cfr. </w:t>
      </w:r>
      <w:r>
        <w:rPr>
          <w:i/>
          <w:w w:val="105"/>
          <w:sz w:val="16"/>
        </w:rPr>
        <w:t>Pathways to Prosperity in the Americas</w:t>
      </w:r>
      <w:r>
        <w:rPr>
          <w:w w:val="105"/>
          <w:sz w:val="16"/>
        </w:rPr>
        <w:t>, &lt;</w:t>
      </w:r>
      <w:hyperlink r:id="rId296">
        <w:r>
          <w:rPr>
            <w:w w:val="105"/>
            <w:sz w:val="16"/>
          </w:rPr>
          <w:t>http://goo.gl/f4WFfb&gt;.</w:t>
        </w:r>
      </w:hyperlink>
      <w:r>
        <w:rPr>
          <w:w w:val="105"/>
          <w:sz w:val="16"/>
        </w:rPr>
        <w:t> 26   </w:t>
      </w:r>
      <w:r>
        <w:rPr>
          <w:i/>
          <w:spacing w:val="-4"/>
          <w:w w:val="105"/>
          <w:sz w:val="16"/>
        </w:rPr>
        <w:t>Cfr.  </w:t>
      </w:r>
      <w:r>
        <w:rPr>
          <w:i/>
          <w:w w:val="105"/>
          <w:sz w:val="16"/>
        </w:rPr>
        <w:t>Latino  America  IdEA</w:t>
      </w:r>
      <w:r>
        <w:rPr>
          <w:w w:val="105"/>
          <w:sz w:val="16"/>
        </w:rPr>
        <w:t>,</w:t>
      </w:r>
      <w:r>
        <w:rPr>
          <w:spacing w:val="-9"/>
          <w:w w:val="105"/>
          <w:sz w:val="16"/>
        </w:rPr>
        <w:t> </w:t>
      </w:r>
      <w:r>
        <w:rPr>
          <w:w w:val="105"/>
          <w:sz w:val="16"/>
        </w:rPr>
        <w:t>&lt;</w:t>
      </w:r>
      <w:hyperlink r:id="rId297">
        <w:r>
          <w:rPr>
            <w:w w:val="105"/>
            <w:sz w:val="16"/>
          </w:rPr>
          <w:t>http://goo.gl/9stt1N&gt;.</w:t>
        </w:r>
      </w:hyperlink>
    </w:p>
    <w:p>
      <w:pPr>
        <w:pStyle w:val="ListParagraph"/>
        <w:numPr>
          <w:ilvl w:val="0"/>
          <w:numId w:val="23"/>
        </w:numPr>
        <w:tabs>
          <w:tab w:pos="586" w:val="left" w:leader="none"/>
        </w:tabs>
        <w:spacing w:line="187" w:lineRule="exact" w:before="0" w:after="0"/>
        <w:ind w:left="330" w:right="0" w:firstLine="0"/>
        <w:jc w:val="both"/>
        <w:rPr>
          <w:sz w:val="16"/>
        </w:rPr>
      </w:pPr>
      <w:r>
        <w:rPr>
          <w:i/>
          <w:spacing w:val="-4"/>
          <w:w w:val="105"/>
          <w:sz w:val="16"/>
        </w:rPr>
        <w:t>Cfr.  </w:t>
      </w:r>
      <w:r>
        <w:rPr>
          <w:i/>
          <w:w w:val="105"/>
          <w:sz w:val="16"/>
        </w:rPr>
        <w:t>Caribbean IdEA Marketplace</w:t>
      </w:r>
      <w:r>
        <w:rPr>
          <w:w w:val="105"/>
          <w:sz w:val="16"/>
        </w:rPr>
        <w:t>, </w:t>
      </w:r>
      <w:r>
        <w:rPr>
          <w:spacing w:val="8"/>
          <w:w w:val="105"/>
          <w:sz w:val="16"/>
        </w:rPr>
        <w:t> </w:t>
      </w:r>
      <w:r>
        <w:rPr>
          <w:w w:val="105"/>
          <w:sz w:val="16"/>
        </w:rPr>
        <w:t>&lt;</w:t>
      </w:r>
      <w:hyperlink r:id="rId298">
        <w:r>
          <w:rPr>
            <w:w w:val="105"/>
            <w:sz w:val="16"/>
          </w:rPr>
          <w:t>http://goo.gl/Qe3QH0&gt;.</w:t>
        </w:r>
      </w:hyperlink>
    </w:p>
    <w:p>
      <w:pPr>
        <w:pStyle w:val="ListParagraph"/>
        <w:numPr>
          <w:ilvl w:val="0"/>
          <w:numId w:val="23"/>
        </w:numPr>
        <w:tabs>
          <w:tab w:pos="586" w:val="left" w:leader="none"/>
        </w:tabs>
        <w:spacing w:line="242" w:lineRule="auto" w:before="59" w:after="0"/>
        <w:ind w:left="330" w:right="456" w:firstLine="0"/>
        <w:jc w:val="left"/>
        <w:rPr>
          <w:sz w:val="16"/>
        </w:rPr>
      </w:pPr>
      <w:r>
        <w:rPr>
          <w:i/>
          <w:spacing w:val="-4"/>
          <w:w w:val="105"/>
          <w:sz w:val="16"/>
        </w:rPr>
        <w:t>Cfr. Women’s </w:t>
      </w:r>
      <w:r>
        <w:rPr>
          <w:i/>
          <w:w w:val="105"/>
          <w:sz w:val="16"/>
        </w:rPr>
        <w:t>Enterpreneurship in the Americas </w:t>
      </w:r>
      <w:r>
        <w:rPr>
          <w:w w:val="105"/>
          <w:sz w:val="16"/>
        </w:rPr>
        <w:t>(WEamericas), &lt;</w:t>
      </w:r>
      <w:hyperlink r:id="rId108">
        <w:r>
          <w:rPr>
            <w:w w:val="105"/>
            <w:sz w:val="16"/>
          </w:rPr>
          <w:t>http://goo.gl/</w:t>
        </w:r>
      </w:hyperlink>
      <w:r>
        <w:rPr>
          <w:w w:val="105"/>
          <w:sz w:val="16"/>
        </w:rPr>
        <w:t> hG24CV&gt;.</w:t>
      </w:r>
    </w:p>
    <w:p>
      <w:pPr>
        <w:pStyle w:val="ListParagraph"/>
        <w:numPr>
          <w:ilvl w:val="0"/>
          <w:numId w:val="23"/>
        </w:numPr>
        <w:tabs>
          <w:tab w:pos="586" w:val="left" w:leader="none"/>
        </w:tabs>
        <w:spacing w:line="240" w:lineRule="auto" w:before="57" w:after="0"/>
        <w:ind w:left="585" w:right="0" w:hanging="255"/>
        <w:jc w:val="both"/>
        <w:rPr>
          <w:sz w:val="16"/>
        </w:rPr>
      </w:pPr>
      <w:r>
        <w:rPr>
          <w:i/>
          <w:spacing w:val="-4"/>
          <w:w w:val="105"/>
          <w:sz w:val="16"/>
        </w:rPr>
        <w:t>Cfr.  </w:t>
      </w:r>
      <w:r>
        <w:rPr>
          <w:i/>
          <w:w w:val="105"/>
          <w:sz w:val="16"/>
        </w:rPr>
        <w:t>Energy and climate Partnership in the Americas</w:t>
      </w:r>
      <w:r>
        <w:rPr>
          <w:w w:val="105"/>
          <w:sz w:val="16"/>
        </w:rPr>
        <w:t>,  </w:t>
      </w:r>
      <w:r>
        <w:rPr>
          <w:spacing w:val="27"/>
          <w:w w:val="105"/>
          <w:sz w:val="16"/>
        </w:rPr>
        <w:t> </w:t>
      </w:r>
      <w:r>
        <w:rPr>
          <w:w w:val="105"/>
          <w:sz w:val="16"/>
        </w:rPr>
        <w:t>&lt;</w:t>
      </w:r>
      <w:hyperlink r:id="rId299">
        <w:r>
          <w:rPr>
            <w:w w:val="105"/>
            <w:sz w:val="16"/>
          </w:rPr>
          <w:t>http://go.usa.gov/3EGK4&gt;.</w:t>
        </w:r>
      </w:hyperlink>
    </w:p>
    <w:p>
      <w:pPr>
        <w:spacing w:after="0" w:line="240" w:lineRule="auto"/>
        <w:jc w:val="both"/>
        <w:rPr>
          <w:sz w:val="16"/>
        </w:rPr>
        <w:sectPr>
          <w:footerReference w:type="even" r:id="rId294"/>
          <w:footerReference w:type="default" r:id="rId295"/>
          <w:pgSz w:w="8790" w:h="12760"/>
          <w:pgMar w:footer="725" w:header="695" w:top="880" w:bottom="920" w:left="1200" w:right="900"/>
          <w:pgNumType w:start="212"/>
        </w:sectPr>
      </w:pPr>
    </w:p>
    <w:p>
      <w:pPr>
        <w:pStyle w:val="BodyText"/>
        <w:spacing w:before="8"/>
        <w:rPr>
          <w:sz w:val="28"/>
        </w:rPr>
      </w:pPr>
    </w:p>
    <w:p>
      <w:pPr>
        <w:pStyle w:val="BodyText"/>
        <w:spacing w:line="252" w:lineRule="auto" w:before="74"/>
        <w:ind w:left="120" w:right="328"/>
        <w:jc w:val="both"/>
      </w:pPr>
      <w:r>
        <w:rPr>
          <w:i/>
          <w:w w:val="110"/>
        </w:rPr>
        <w:t>necta 2022</w:t>
      </w:r>
      <w:r>
        <w:rPr>
          <w:i/>
          <w:w w:val="110"/>
          <w:position w:val="6"/>
          <w:sz w:val="11"/>
        </w:rPr>
        <w:t>30</w:t>
      </w:r>
      <w:r>
        <w:rPr>
          <w:w w:val="110"/>
        </w:rPr>
        <w:t>, ésta última llama especialmente la atención pues busca impulsar un sistema de electricidad a nivel continental en el cual sean empresas</w:t>
      </w:r>
      <w:r>
        <w:rPr>
          <w:spacing w:val="-9"/>
          <w:w w:val="110"/>
        </w:rPr>
        <w:t> </w:t>
      </w:r>
      <w:r>
        <w:rPr>
          <w:w w:val="110"/>
        </w:rPr>
        <w:t>estadounidenses</w:t>
      </w:r>
      <w:r>
        <w:rPr>
          <w:spacing w:val="-9"/>
          <w:w w:val="110"/>
        </w:rPr>
        <w:t> </w:t>
      </w:r>
      <w:r>
        <w:rPr>
          <w:w w:val="110"/>
        </w:rPr>
        <w:t>(y</w:t>
      </w:r>
      <w:r>
        <w:rPr>
          <w:spacing w:val="-9"/>
          <w:w w:val="110"/>
        </w:rPr>
        <w:t> </w:t>
      </w:r>
      <w:r>
        <w:rPr>
          <w:w w:val="110"/>
        </w:rPr>
        <w:t>canadienses)</w:t>
      </w:r>
      <w:r>
        <w:rPr>
          <w:spacing w:val="-9"/>
          <w:w w:val="110"/>
        </w:rPr>
        <w:t> </w:t>
      </w:r>
      <w:r>
        <w:rPr>
          <w:w w:val="110"/>
        </w:rPr>
        <w:t>las</w:t>
      </w:r>
      <w:r>
        <w:rPr>
          <w:spacing w:val="-9"/>
          <w:w w:val="110"/>
        </w:rPr>
        <w:t> </w:t>
      </w:r>
      <w:r>
        <w:rPr>
          <w:w w:val="110"/>
        </w:rPr>
        <w:t>principales</w:t>
      </w:r>
      <w:r>
        <w:rPr>
          <w:spacing w:val="-9"/>
          <w:w w:val="110"/>
        </w:rPr>
        <w:t> </w:t>
      </w:r>
      <w:r>
        <w:rPr>
          <w:w w:val="110"/>
        </w:rPr>
        <w:t>promotoras y proveedoras de los servicios de infraestructura y tecnología para la instalación de dicho sistema, además fue unos de los principales te- mas abordados en la agenda “empresarial” de la última Cumbre de las américas realizada en abril de 2015 en </w:t>
      </w:r>
      <w:r>
        <w:rPr>
          <w:spacing w:val="29"/>
          <w:w w:val="110"/>
        </w:rPr>
        <w:t> </w:t>
      </w:r>
      <w:r>
        <w:rPr>
          <w:w w:val="110"/>
        </w:rPr>
        <w:t>Panamá.</w:t>
      </w:r>
    </w:p>
    <w:p>
      <w:pPr>
        <w:pStyle w:val="BodyText"/>
        <w:spacing w:line="252" w:lineRule="auto"/>
        <w:ind w:left="120" w:right="328" w:firstLine="396"/>
        <w:jc w:val="both"/>
      </w:pPr>
      <w:r>
        <w:rPr>
          <w:w w:val="115"/>
        </w:rPr>
        <w:t>El tercer pilar –quizás el de mayor relevancia– está compuesto de</w:t>
      </w:r>
      <w:r>
        <w:rPr>
          <w:spacing w:val="-11"/>
          <w:w w:val="115"/>
        </w:rPr>
        <w:t> </w:t>
      </w:r>
      <w:r>
        <w:rPr>
          <w:w w:val="115"/>
        </w:rPr>
        <w:t>cuatro</w:t>
      </w:r>
      <w:r>
        <w:rPr>
          <w:spacing w:val="-11"/>
          <w:w w:val="115"/>
        </w:rPr>
        <w:t> </w:t>
      </w:r>
      <w:r>
        <w:rPr>
          <w:w w:val="115"/>
        </w:rPr>
        <w:t>iniciativas:</w:t>
      </w:r>
      <w:r>
        <w:rPr>
          <w:spacing w:val="-11"/>
          <w:w w:val="115"/>
        </w:rPr>
        <w:t> </w:t>
      </w:r>
      <w:r>
        <w:rPr>
          <w:w w:val="115"/>
        </w:rPr>
        <w:t>la</w:t>
      </w:r>
      <w:r>
        <w:rPr>
          <w:spacing w:val="-11"/>
          <w:w w:val="115"/>
        </w:rPr>
        <w:t> </w:t>
      </w:r>
      <w:r>
        <w:rPr>
          <w:w w:val="115"/>
        </w:rPr>
        <w:t>iniciativa</w:t>
      </w:r>
      <w:r>
        <w:rPr>
          <w:spacing w:val="-11"/>
          <w:w w:val="115"/>
        </w:rPr>
        <w:t> </w:t>
      </w:r>
      <w:r>
        <w:rPr>
          <w:w w:val="115"/>
        </w:rPr>
        <w:t>Mérida</w:t>
      </w:r>
      <w:r>
        <w:rPr>
          <w:w w:val="115"/>
          <w:position w:val="6"/>
          <w:sz w:val="11"/>
        </w:rPr>
        <w:t>31</w:t>
      </w:r>
      <w:r>
        <w:rPr>
          <w:w w:val="115"/>
        </w:rPr>
        <w:t>,</w:t>
      </w:r>
      <w:r>
        <w:rPr>
          <w:spacing w:val="-11"/>
          <w:w w:val="115"/>
        </w:rPr>
        <w:t> </w:t>
      </w:r>
      <w:r>
        <w:rPr>
          <w:w w:val="115"/>
        </w:rPr>
        <w:t>la</w:t>
      </w:r>
      <w:r>
        <w:rPr>
          <w:spacing w:val="-11"/>
          <w:w w:val="115"/>
        </w:rPr>
        <w:t> </w:t>
      </w:r>
      <w:r>
        <w:rPr>
          <w:w w:val="115"/>
        </w:rPr>
        <w:t>iniciativa</w:t>
      </w:r>
      <w:r>
        <w:rPr>
          <w:spacing w:val="-11"/>
          <w:w w:val="115"/>
        </w:rPr>
        <w:t> </w:t>
      </w:r>
      <w:r>
        <w:rPr>
          <w:w w:val="115"/>
        </w:rPr>
        <w:t>de</w:t>
      </w:r>
      <w:r>
        <w:rPr>
          <w:spacing w:val="-11"/>
          <w:w w:val="115"/>
        </w:rPr>
        <w:t> </w:t>
      </w:r>
      <w:r>
        <w:rPr>
          <w:w w:val="115"/>
        </w:rPr>
        <w:t>seguridad </w:t>
      </w:r>
      <w:r>
        <w:rPr>
          <w:w w:val="120"/>
        </w:rPr>
        <w:t>para</w:t>
      </w:r>
      <w:r>
        <w:rPr>
          <w:spacing w:val="-21"/>
          <w:w w:val="120"/>
        </w:rPr>
        <w:t> </w:t>
      </w:r>
      <w:r>
        <w:rPr>
          <w:w w:val="120"/>
        </w:rPr>
        <w:t>la</w:t>
      </w:r>
      <w:r>
        <w:rPr>
          <w:spacing w:val="-21"/>
          <w:w w:val="120"/>
        </w:rPr>
        <w:t> </w:t>
      </w:r>
      <w:r>
        <w:rPr>
          <w:w w:val="120"/>
        </w:rPr>
        <w:t>cuenca</w:t>
      </w:r>
      <w:r>
        <w:rPr>
          <w:spacing w:val="-21"/>
          <w:w w:val="120"/>
        </w:rPr>
        <w:t> </w:t>
      </w:r>
      <w:r>
        <w:rPr>
          <w:w w:val="120"/>
        </w:rPr>
        <w:t>del</w:t>
      </w:r>
      <w:r>
        <w:rPr>
          <w:spacing w:val="-21"/>
          <w:w w:val="120"/>
        </w:rPr>
        <w:t> </w:t>
      </w:r>
      <w:r>
        <w:rPr>
          <w:w w:val="120"/>
        </w:rPr>
        <w:t>Caribe</w:t>
      </w:r>
      <w:r>
        <w:rPr>
          <w:w w:val="120"/>
          <w:position w:val="6"/>
          <w:sz w:val="11"/>
        </w:rPr>
        <w:t>32</w:t>
      </w:r>
      <w:r>
        <w:rPr>
          <w:w w:val="120"/>
        </w:rPr>
        <w:t>,</w:t>
      </w:r>
      <w:r>
        <w:rPr>
          <w:spacing w:val="-21"/>
          <w:w w:val="120"/>
        </w:rPr>
        <w:t> </w:t>
      </w:r>
      <w:r>
        <w:rPr>
          <w:w w:val="120"/>
        </w:rPr>
        <w:t>la</w:t>
      </w:r>
      <w:r>
        <w:rPr>
          <w:spacing w:val="-21"/>
          <w:w w:val="120"/>
        </w:rPr>
        <w:t> </w:t>
      </w:r>
      <w:r>
        <w:rPr>
          <w:w w:val="120"/>
        </w:rPr>
        <w:t>iniciativa</w:t>
      </w:r>
      <w:r>
        <w:rPr>
          <w:spacing w:val="-21"/>
          <w:w w:val="120"/>
        </w:rPr>
        <w:t> </w:t>
      </w:r>
      <w:r>
        <w:rPr>
          <w:w w:val="120"/>
        </w:rPr>
        <w:t>de</w:t>
      </w:r>
      <w:r>
        <w:rPr>
          <w:spacing w:val="-21"/>
          <w:w w:val="120"/>
        </w:rPr>
        <w:t> </w:t>
      </w:r>
      <w:r>
        <w:rPr>
          <w:w w:val="120"/>
        </w:rPr>
        <w:t>seguridad</w:t>
      </w:r>
      <w:r>
        <w:rPr>
          <w:spacing w:val="-21"/>
          <w:w w:val="120"/>
        </w:rPr>
        <w:t> </w:t>
      </w:r>
      <w:r>
        <w:rPr>
          <w:w w:val="120"/>
        </w:rPr>
        <w:t>regional</w:t>
      </w:r>
      <w:r>
        <w:rPr>
          <w:spacing w:val="-21"/>
          <w:w w:val="120"/>
        </w:rPr>
        <w:t> </w:t>
      </w:r>
      <w:r>
        <w:rPr>
          <w:w w:val="120"/>
        </w:rPr>
        <w:t>para Centroamérica</w:t>
      </w:r>
      <w:r>
        <w:rPr>
          <w:w w:val="120"/>
          <w:position w:val="6"/>
          <w:sz w:val="11"/>
        </w:rPr>
        <w:t>33</w:t>
      </w:r>
      <w:r>
        <w:rPr>
          <w:spacing w:val="3"/>
          <w:w w:val="120"/>
          <w:position w:val="6"/>
          <w:sz w:val="11"/>
        </w:rPr>
        <w:t> </w:t>
      </w:r>
      <w:r>
        <w:rPr>
          <w:w w:val="120"/>
        </w:rPr>
        <w:t>(Carsi,</w:t>
      </w:r>
      <w:r>
        <w:rPr>
          <w:spacing w:val="-19"/>
          <w:w w:val="120"/>
        </w:rPr>
        <w:t> </w:t>
      </w:r>
      <w:r>
        <w:rPr>
          <w:w w:val="120"/>
        </w:rPr>
        <w:t>por</w:t>
      </w:r>
      <w:r>
        <w:rPr>
          <w:spacing w:val="-19"/>
          <w:w w:val="120"/>
        </w:rPr>
        <w:t> </w:t>
      </w:r>
      <w:r>
        <w:rPr>
          <w:w w:val="120"/>
        </w:rPr>
        <w:t>sus</w:t>
      </w:r>
      <w:r>
        <w:rPr>
          <w:spacing w:val="-19"/>
          <w:w w:val="120"/>
        </w:rPr>
        <w:t> </w:t>
      </w:r>
      <w:r>
        <w:rPr>
          <w:w w:val="120"/>
        </w:rPr>
        <w:t>siglas</w:t>
      </w:r>
      <w:r>
        <w:rPr>
          <w:spacing w:val="-19"/>
          <w:w w:val="120"/>
        </w:rPr>
        <w:t> </w:t>
      </w:r>
      <w:r>
        <w:rPr>
          <w:w w:val="120"/>
        </w:rPr>
        <w:t>en</w:t>
      </w:r>
      <w:r>
        <w:rPr>
          <w:spacing w:val="-19"/>
          <w:w w:val="120"/>
        </w:rPr>
        <w:t> </w:t>
      </w:r>
      <w:r>
        <w:rPr>
          <w:w w:val="120"/>
        </w:rPr>
        <w:t>inglés),</w:t>
      </w:r>
      <w:r>
        <w:rPr>
          <w:spacing w:val="-19"/>
          <w:w w:val="120"/>
        </w:rPr>
        <w:t> </w:t>
      </w:r>
      <w:r>
        <w:rPr>
          <w:w w:val="120"/>
        </w:rPr>
        <w:t>y</w:t>
      </w:r>
      <w:r>
        <w:rPr>
          <w:spacing w:val="-19"/>
          <w:w w:val="120"/>
        </w:rPr>
        <w:t> </w:t>
      </w:r>
      <w:r>
        <w:rPr>
          <w:w w:val="120"/>
        </w:rPr>
        <w:t>la</w:t>
      </w:r>
      <w:r>
        <w:rPr>
          <w:spacing w:val="-19"/>
          <w:w w:val="120"/>
        </w:rPr>
        <w:t> </w:t>
      </w:r>
      <w:r>
        <w:rPr>
          <w:w w:val="120"/>
        </w:rPr>
        <w:t>iniciativa</w:t>
      </w:r>
      <w:r>
        <w:rPr>
          <w:spacing w:val="-19"/>
          <w:w w:val="120"/>
        </w:rPr>
        <w:t> </w:t>
      </w:r>
      <w:r>
        <w:rPr>
          <w:w w:val="120"/>
        </w:rPr>
        <w:t>que </w:t>
      </w:r>
      <w:r>
        <w:rPr>
          <w:w w:val="115"/>
        </w:rPr>
        <w:t>otorga</w:t>
      </w:r>
      <w:r>
        <w:rPr>
          <w:spacing w:val="-15"/>
          <w:w w:val="115"/>
        </w:rPr>
        <w:t> </w:t>
      </w:r>
      <w:r>
        <w:rPr>
          <w:w w:val="115"/>
        </w:rPr>
        <w:t>poderes</w:t>
      </w:r>
      <w:r>
        <w:rPr>
          <w:spacing w:val="-15"/>
          <w:w w:val="115"/>
        </w:rPr>
        <w:t> </w:t>
      </w:r>
      <w:r>
        <w:rPr>
          <w:w w:val="115"/>
        </w:rPr>
        <w:t>de</w:t>
      </w:r>
      <w:r>
        <w:rPr>
          <w:spacing w:val="-15"/>
          <w:w w:val="115"/>
        </w:rPr>
        <w:t> </w:t>
      </w:r>
      <w:r>
        <w:rPr>
          <w:w w:val="115"/>
        </w:rPr>
        <w:t>autoridad</w:t>
      </w:r>
      <w:r>
        <w:rPr>
          <w:spacing w:val="-15"/>
          <w:w w:val="115"/>
        </w:rPr>
        <w:t> </w:t>
      </w:r>
      <w:r>
        <w:rPr>
          <w:w w:val="115"/>
        </w:rPr>
        <w:t>al</w:t>
      </w:r>
      <w:r>
        <w:rPr>
          <w:spacing w:val="-15"/>
          <w:w w:val="115"/>
        </w:rPr>
        <w:t> </w:t>
      </w:r>
      <w:r>
        <w:rPr>
          <w:w w:val="115"/>
        </w:rPr>
        <w:t>secretario</w:t>
      </w:r>
      <w:r>
        <w:rPr>
          <w:spacing w:val="-15"/>
          <w:w w:val="115"/>
        </w:rPr>
        <w:t> </w:t>
      </w:r>
      <w:r>
        <w:rPr>
          <w:w w:val="115"/>
        </w:rPr>
        <w:t>del</w:t>
      </w:r>
      <w:r>
        <w:rPr>
          <w:spacing w:val="-15"/>
          <w:w w:val="115"/>
        </w:rPr>
        <w:t> </w:t>
      </w:r>
      <w:r>
        <w:rPr>
          <w:w w:val="115"/>
        </w:rPr>
        <w:t>departamento</w:t>
      </w:r>
      <w:r>
        <w:rPr>
          <w:spacing w:val="-15"/>
          <w:w w:val="115"/>
        </w:rPr>
        <w:t> </w:t>
      </w:r>
      <w:r>
        <w:rPr>
          <w:w w:val="115"/>
        </w:rPr>
        <w:t>de</w:t>
      </w:r>
      <w:r>
        <w:rPr>
          <w:spacing w:val="-15"/>
          <w:w w:val="115"/>
        </w:rPr>
        <w:t> </w:t>
      </w:r>
      <w:r>
        <w:rPr>
          <w:w w:val="115"/>
        </w:rPr>
        <w:t>Esta- do</w:t>
      </w:r>
      <w:r>
        <w:rPr>
          <w:spacing w:val="-29"/>
          <w:w w:val="115"/>
        </w:rPr>
        <w:t> </w:t>
      </w:r>
      <w:r>
        <w:rPr>
          <w:w w:val="115"/>
        </w:rPr>
        <w:t>para</w:t>
      </w:r>
      <w:r>
        <w:rPr>
          <w:spacing w:val="-29"/>
          <w:w w:val="115"/>
        </w:rPr>
        <w:t> </w:t>
      </w:r>
      <w:r>
        <w:rPr>
          <w:w w:val="115"/>
        </w:rPr>
        <w:t>aprobar</w:t>
      </w:r>
      <w:r>
        <w:rPr>
          <w:spacing w:val="-29"/>
          <w:w w:val="115"/>
        </w:rPr>
        <w:t> </w:t>
      </w:r>
      <w:r>
        <w:rPr>
          <w:w w:val="115"/>
        </w:rPr>
        <w:t>la</w:t>
      </w:r>
      <w:r>
        <w:rPr>
          <w:spacing w:val="-29"/>
          <w:w w:val="115"/>
        </w:rPr>
        <w:t> </w:t>
      </w:r>
      <w:r>
        <w:rPr>
          <w:w w:val="115"/>
        </w:rPr>
        <w:t>construcción,</w:t>
      </w:r>
      <w:r>
        <w:rPr>
          <w:spacing w:val="-29"/>
          <w:w w:val="115"/>
        </w:rPr>
        <w:t> </w:t>
      </w:r>
      <w:r>
        <w:rPr>
          <w:w w:val="115"/>
        </w:rPr>
        <w:t>conexión,</w:t>
      </w:r>
      <w:r>
        <w:rPr>
          <w:spacing w:val="-29"/>
          <w:w w:val="115"/>
        </w:rPr>
        <w:t> </w:t>
      </w:r>
      <w:r>
        <w:rPr>
          <w:w w:val="115"/>
        </w:rPr>
        <w:t>operación</w:t>
      </w:r>
      <w:r>
        <w:rPr>
          <w:spacing w:val="-29"/>
          <w:w w:val="115"/>
        </w:rPr>
        <w:t> </w:t>
      </w:r>
      <w:r>
        <w:rPr>
          <w:w w:val="115"/>
        </w:rPr>
        <w:t>y</w:t>
      </w:r>
      <w:r>
        <w:rPr>
          <w:spacing w:val="-29"/>
          <w:w w:val="115"/>
        </w:rPr>
        <w:t> </w:t>
      </w:r>
      <w:r>
        <w:rPr>
          <w:w w:val="115"/>
        </w:rPr>
        <w:t>mantenimien- to</w:t>
      </w:r>
      <w:r>
        <w:rPr>
          <w:spacing w:val="-23"/>
          <w:w w:val="115"/>
        </w:rPr>
        <w:t> </w:t>
      </w:r>
      <w:r>
        <w:rPr>
          <w:w w:val="115"/>
        </w:rPr>
        <w:t>de</w:t>
      </w:r>
      <w:r>
        <w:rPr>
          <w:spacing w:val="-23"/>
          <w:w w:val="115"/>
        </w:rPr>
        <w:t> </w:t>
      </w:r>
      <w:r>
        <w:rPr>
          <w:w w:val="115"/>
        </w:rPr>
        <w:t>cualquier</w:t>
      </w:r>
      <w:r>
        <w:rPr>
          <w:spacing w:val="-23"/>
          <w:w w:val="115"/>
        </w:rPr>
        <w:t> </w:t>
      </w:r>
      <w:r>
        <w:rPr>
          <w:w w:val="115"/>
        </w:rPr>
        <w:t>“necesidad</w:t>
      </w:r>
      <w:r>
        <w:rPr>
          <w:spacing w:val="-23"/>
          <w:w w:val="115"/>
        </w:rPr>
        <w:t> </w:t>
      </w:r>
      <w:r>
        <w:rPr>
          <w:w w:val="115"/>
        </w:rPr>
        <w:t>fronteriza”</w:t>
      </w:r>
      <w:r>
        <w:rPr>
          <w:spacing w:val="-23"/>
          <w:w w:val="115"/>
        </w:rPr>
        <w:t> </w:t>
      </w:r>
      <w:r>
        <w:rPr>
          <w:w w:val="115"/>
        </w:rPr>
        <w:t>con</w:t>
      </w:r>
      <w:r>
        <w:rPr>
          <w:spacing w:val="-23"/>
          <w:w w:val="115"/>
        </w:rPr>
        <w:t> </w:t>
      </w:r>
      <w:r>
        <w:rPr>
          <w:w w:val="115"/>
        </w:rPr>
        <w:t>Canadá</w:t>
      </w:r>
      <w:r>
        <w:rPr>
          <w:spacing w:val="-23"/>
          <w:w w:val="115"/>
        </w:rPr>
        <w:t> </w:t>
      </w:r>
      <w:r>
        <w:rPr>
          <w:w w:val="110"/>
        </w:rPr>
        <w:t>y/o</w:t>
      </w:r>
      <w:r>
        <w:rPr>
          <w:spacing w:val="-21"/>
          <w:w w:val="110"/>
        </w:rPr>
        <w:t> </w:t>
      </w:r>
      <w:r>
        <w:rPr>
          <w:w w:val="115"/>
        </w:rPr>
        <w:t>México</w:t>
      </w:r>
      <w:r>
        <w:rPr>
          <w:w w:val="115"/>
          <w:position w:val="6"/>
          <w:sz w:val="11"/>
        </w:rPr>
        <w:t>34</w:t>
      </w:r>
      <w:r>
        <w:rPr>
          <w:w w:val="115"/>
        </w:rPr>
        <w:t>.</w:t>
      </w:r>
    </w:p>
    <w:p>
      <w:pPr>
        <w:pStyle w:val="BodyText"/>
        <w:spacing w:line="252" w:lineRule="auto"/>
        <w:ind w:left="120" w:right="328" w:firstLine="396"/>
        <w:jc w:val="both"/>
      </w:pPr>
      <w:r>
        <w:rPr>
          <w:w w:val="110"/>
        </w:rPr>
        <w:t>Finalmente, el cuarto </w:t>
      </w:r>
      <w:r>
        <w:rPr>
          <w:spacing w:val="-4"/>
          <w:w w:val="110"/>
        </w:rPr>
        <w:t>pilar, </w:t>
      </w:r>
      <w:r>
        <w:rPr>
          <w:w w:val="110"/>
        </w:rPr>
        <w:t>más que iniciativas involucra las agen- das y actividades de dos foros política y económicamente</w:t>
      </w:r>
      <w:r>
        <w:rPr>
          <w:spacing w:val="-19"/>
          <w:w w:val="110"/>
        </w:rPr>
        <w:t> </w:t>
      </w:r>
      <w:r>
        <w:rPr>
          <w:w w:val="110"/>
        </w:rPr>
        <w:t>estratégicos, la Cumbre de las américas y la organización de los Estados ameri- canos (oEa), ambos espacios de diálogo, negociación y concertación    a nivel hemisférico en los cuales las agendas, acuerdos y programas impulsados, financiados y aprobados sirven como “indicadores” para visualizar el grado de importancia que tienen los temas o bien para observar cómo van evolucionando</w:t>
      </w:r>
      <w:r>
        <w:rPr>
          <w:spacing w:val="30"/>
          <w:w w:val="110"/>
        </w:rPr>
        <w:t> </w:t>
      </w:r>
      <w:r>
        <w:rPr>
          <w:w w:val="110"/>
        </w:rPr>
        <w:t>periódicamente.</w:t>
      </w:r>
    </w:p>
    <w:p>
      <w:pPr>
        <w:pStyle w:val="BodyText"/>
        <w:spacing w:line="252" w:lineRule="auto"/>
        <w:ind w:left="120" w:right="327" w:firstLine="396"/>
        <w:jc w:val="both"/>
      </w:pPr>
      <w:r>
        <w:rPr>
          <w:w w:val="115"/>
        </w:rPr>
        <w:t>a fin de profundizar en cada uno de los pilares anteriormente mencionados,</w:t>
      </w:r>
      <w:r>
        <w:rPr>
          <w:spacing w:val="-11"/>
          <w:w w:val="115"/>
        </w:rPr>
        <w:t> </w:t>
      </w:r>
      <w:r>
        <w:rPr>
          <w:w w:val="115"/>
        </w:rPr>
        <w:t>se</w:t>
      </w:r>
      <w:r>
        <w:rPr>
          <w:spacing w:val="-11"/>
          <w:w w:val="115"/>
        </w:rPr>
        <w:t> </w:t>
      </w:r>
      <w:r>
        <w:rPr>
          <w:w w:val="115"/>
        </w:rPr>
        <w:t>sugiere</w:t>
      </w:r>
      <w:r>
        <w:rPr>
          <w:spacing w:val="-11"/>
          <w:w w:val="115"/>
        </w:rPr>
        <w:t> </w:t>
      </w:r>
      <w:r>
        <w:rPr>
          <w:w w:val="115"/>
        </w:rPr>
        <w:t>consultar</w:t>
      </w:r>
      <w:r>
        <w:rPr>
          <w:spacing w:val="-11"/>
          <w:w w:val="115"/>
        </w:rPr>
        <w:t> </w:t>
      </w:r>
      <w:r>
        <w:rPr>
          <w:w w:val="115"/>
        </w:rPr>
        <w:t>el</w:t>
      </w:r>
      <w:r>
        <w:rPr>
          <w:spacing w:val="-11"/>
          <w:w w:val="115"/>
        </w:rPr>
        <w:t> </w:t>
      </w:r>
      <w:r>
        <w:rPr>
          <w:i/>
          <w:w w:val="115"/>
        </w:rPr>
        <w:t>Quadriennal</w:t>
      </w:r>
      <w:r>
        <w:rPr>
          <w:i/>
          <w:spacing w:val="-11"/>
          <w:w w:val="115"/>
        </w:rPr>
        <w:t> </w:t>
      </w:r>
      <w:r>
        <w:rPr>
          <w:i/>
          <w:w w:val="115"/>
        </w:rPr>
        <w:t>de</w:t>
      </w:r>
      <w:r>
        <w:rPr>
          <w:i/>
          <w:spacing w:val="-11"/>
          <w:w w:val="115"/>
        </w:rPr>
        <w:t> </w:t>
      </w:r>
      <w:r>
        <w:rPr>
          <w:i/>
          <w:w w:val="115"/>
        </w:rPr>
        <w:t>Desarrollo</w:t>
      </w:r>
      <w:r>
        <w:rPr>
          <w:i/>
          <w:spacing w:val="-11"/>
          <w:w w:val="115"/>
        </w:rPr>
        <w:t> </w:t>
      </w:r>
      <w:r>
        <w:rPr>
          <w:i/>
          <w:w w:val="115"/>
        </w:rPr>
        <w:t>y</w:t>
      </w:r>
      <w:r>
        <w:rPr>
          <w:i/>
          <w:spacing w:val="-11"/>
          <w:w w:val="115"/>
        </w:rPr>
        <w:t> </w:t>
      </w:r>
      <w:r>
        <w:rPr>
          <w:i/>
          <w:w w:val="115"/>
        </w:rPr>
        <w:t>Di- </w:t>
      </w:r>
      <w:r>
        <w:rPr>
          <w:i/>
          <w:w w:val="115"/>
        </w:rPr>
        <w:t>plomacia</w:t>
      </w:r>
      <w:r>
        <w:rPr>
          <w:i/>
          <w:w w:val="115"/>
          <w:position w:val="6"/>
          <w:sz w:val="11"/>
        </w:rPr>
        <w:t>35 </w:t>
      </w:r>
      <w:r>
        <w:rPr>
          <w:w w:val="115"/>
        </w:rPr>
        <w:t>(Qddr por sus siglas en inglés) tanto de 2010 como de 2015 </w:t>
      </w:r>
      <w:r>
        <w:rPr>
          <w:spacing w:val="-11"/>
          <w:w w:val="115"/>
        </w:rPr>
        <w:t>y, </w:t>
      </w:r>
      <w:r>
        <w:rPr>
          <w:w w:val="115"/>
        </w:rPr>
        <w:t>en segundo </w:t>
      </w:r>
      <w:r>
        <w:rPr>
          <w:spacing w:val="-4"/>
          <w:w w:val="115"/>
        </w:rPr>
        <w:t>lugar, </w:t>
      </w:r>
      <w:r>
        <w:rPr>
          <w:w w:val="115"/>
        </w:rPr>
        <w:t>la </w:t>
      </w:r>
      <w:r>
        <w:rPr>
          <w:i/>
          <w:w w:val="115"/>
        </w:rPr>
        <w:t>Estrategia de Seguridad Nacional</w:t>
      </w:r>
      <w:r>
        <w:rPr>
          <w:i/>
          <w:w w:val="115"/>
          <w:position w:val="6"/>
          <w:sz w:val="11"/>
        </w:rPr>
        <w:t>36 </w:t>
      </w:r>
      <w:r>
        <w:rPr>
          <w:w w:val="115"/>
        </w:rPr>
        <w:t>(Nss por sus siglas en inglés) hecha pública por la administración de ba- rack obama en febrero de 2015. ambos documentos permiten</w:t>
      </w:r>
      <w:r>
        <w:rPr>
          <w:spacing w:val="-31"/>
          <w:w w:val="115"/>
        </w:rPr>
        <w:t> </w:t>
      </w:r>
      <w:r>
        <w:rPr>
          <w:w w:val="115"/>
        </w:rPr>
        <w:t>iden- tificar cuáles son las metas, objetivos, estrategias y líneas de</w:t>
      </w:r>
      <w:r>
        <w:rPr>
          <w:spacing w:val="7"/>
          <w:w w:val="115"/>
        </w:rPr>
        <w:t> </w:t>
      </w:r>
      <w:r>
        <w:rPr>
          <w:w w:val="115"/>
        </w:rPr>
        <w:t>acción</w:t>
      </w:r>
    </w:p>
    <w:p>
      <w:pPr>
        <w:pStyle w:val="BodyText"/>
        <w:spacing w:before="5"/>
        <w:rPr>
          <w:sz w:val="15"/>
        </w:rPr>
      </w:pPr>
      <w:r>
        <w:rPr/>
        <w:pict>
          <v:line style="position:absolute;mso-position-horizontal-relative:page;mso-position-vertical-relative:paragraph;z-index:5416;mso-wrap-distance-left:0;mso-wrap-distance-right:0" from="51.023602pt,11.250337pt" to="79.369602pt,11.250337pt" stroked="true" strokeweight=".5pt" strokecolor="#000000">
            <w10:wrap type="topAndBottom"/>
          </v:line>
        </w:pict>
      </w:r>
    </w:p>
    <w:p>
      <w:pPr>
        <w:pStyle w:val="ListParagraph"/>
        <w:numPr>
          <w:ilvl w:val="0"/>
          <w:numId w:val="23"/>
        </w:numPr>
        <w:tabs>
          <w:tab w:pos="376" w:val="left" w:leader="none"/>
        </w:tabs>
        <w:spacing w:line="240" w:lineRule="auto" w:before="89" w:after="0"/>
        <w:ind w:left="375" w:right="0" w:hanging="255"/>
        <w:jc w:val="both"/>
        <w:rPr>
          <w:sz w:val="16"/>
        </w:rPr>
      </w:pPr>
      <w:r>
        <w:rPr>
          <w:i/>
          <w:spacing w:val="-4"/>
          <w:w w:val="105"/>
          <w:sz w:val="16"/>
        </w:rPr>
        <w:t>Cfr.  </w:t>
      </w:r>
      <w:r>
        <w:rPr>
          <w:i/>
          <w:w w:val="105"/>
          <w:sz w:val="16"/>
        </w:rPr>
        <w:t>Connecting  2022</w:t>
      </w:r>
      <w:r>
        <w:rPr>
          <w:w w:val="105"/>
          <w:sz w:val="16"/>
        </w:rPr>
        <w:t>,</w:t>
      </w:r>
      <w:r>
        <w:rPr>
          <w:spacing w:val="19"/>
          <w:w w:val="105"/>
          <w:sz w:val="16"/>
        </w:rPr>
        <w:t> </w:t>
      </w:r>
      <w:r>
        <w:rPr>
          <w:w w:val="105"/>
          <w:sz w:val="16"/>
        </w:rPr>
        <w:t>&lt;</w:t>
      </w:r>
      <w:hyperlink r:id="rId300">
        <w:r>
          <w:rPr>
            <w:w w:val="105"/>
            <w:sz w:val="16"/>
          </w:rPr>
          <w:t>http://go.usa.gov/3EGKk&gt;.</w:t>
        </w:r>
      </w:hyperlink>
    </w:p>
    <w:p>
      <w:pPr>
        <w:pStyle w:val="ListParagraph"/>
        <w:numPr>
          <w:ilvl w:val="0"/>
          <w:numId w:val="23"/>
        </w:numPr>
        <w:tabs>
          <w:tab w:pos="376" w:val="left" w:leader="none"/>
        </w:tabs>
        <w:spacing w:line="242" w:lineRule="auto" w:before="59" w:after="0"/>
        <w:ind w:left="120" w:right="327" w:firstLine="0"/>
        <w:jc w:val="both"/>
        <w:rPr>
          <w:sz w:val="16"/>
        </w:rPr>
      </w:pPr>
      <w:r>
        <w:rPr>
          <w:w w:val="238"/>
          <w:sz w:val="16"/>
        </w:rPr>
        <w:t>l</w:t>
      </w:r>
      <w:r>
        <w:rPr>
          <w:w w:val="109"/>
          <w:sz w:val="16"/>
        </w:rPr>
        <w:t>a</w:t>
      </w:r>
      <w:r>
        <w:rPr>
          <w:spacing w:val="13"/>
          <w:sz w:val="16"/>
        </w:rPr>
        <w:t> </w:t>
      </w:r>
      <w:r>
        <w:rPr>
          <w:w w:val="140"/>
          <w:sz w:val="16"/>
        </w:rPr>
        <w:t>i</w:t>
      </w:r>
      <w:r>
        <w:rPr>
          <w:w w:val="109"/>
          <w:sz w:val="16"/>
        </w:rPr>
        <w:t>niciativa</w:t>
      </w:r>
      <w:r>
        <w:rPr>
          <w:spacing w:val="13"/>
          <w:sz w:val="16"/>
        </w:rPr>
        <w:t> </w:t>
      </w:r>
      <w:r>
        <w:rPr>
          <w:w w:val="109"/>
          <w:sz w:val="16"/>
        </w:rPr>
        <w:t>Mérida</w:t>
      </w:r>
      <w:r>
        <w:rPr>
          <w:spacing w:val="13"/>
          <w:sz w:val="16"/>
        </w:rPr>
        <w:t> </w:t>
      </w:r>
      <w:r>
        <w:rPr>
          <w:w w:val="96"/>
          <w:sz w:val="16"/>
        </w:rPr>
        <w:t>(</w:t>
      </w:r>
      <w:r>
        <w:rPr>
          <w:i/>
          <w:w w:val="106"/>
          <w:sz w:val="16"/>
        </w:rPr>
        <w:t>Merida</w:t>
      </w:r>
      <w:r>
        <w:rPr>
          <w:i/>
          <w:spacing w:val="13"/>
          <w:sz w:val="16"/>
        </w:rPr>
        <w:t> </w:t>
      </w:r>
      <w:r>
        <w:rPr>
          <w:i/>
          <w:w w:val="109"/>
          <w:sz w:val="16"/>
        </w:rPr>
        <w:t>Innitiative</w:t>
      </w:r>
      <w:r>
        <w:rPr>
          <w:w w:val="96"/>
          <w:sz w:val="16"/>
        </w:rPr>
        <w:t>)</w:t>
      </w:r>
      <w:r>
        <w:rPr>
          <w:spacing w:val="13"/>
          <w:sz w:val="16"/>
        </w:rPr>
        <w:t> </w:t>
      </w:r>
      <w:r>
        <w:rPr>
          <w:w w:val="102"/>
          <w:sz w:val="16"/>
        </w:rPr>
        <w:t>es</w:t>
      </w:r>
      <w:r>
        <w:rPr>
          <w:spacing w:val="13"/>
          <w:sz w:val="16"/>
        </w:rPr>
        <w:t> </w:t>
      </w:r>
      <w:r>
        <w:rPr>
          <w:w w:val="110"/>
          <w:sz w:val="16"/>
        </w:rPr>
        <w:t>un</w:t>
      </w:r>
      <w:r>
        <w:rPr>
          <w:spacing w:val="13"/>
          <w:sz w:val="16"/>
        </w:rPr>
        <w:t> </w:t>
      </w:r>
      <w:r>
        <w:rPr>
          <w:w w:val="107"/>
          <w:sz w:val="16"/>
        </w:rPr>
        <w:t>acuerdo</w:t>
      </w:r>
      <w:r>
        <w:rPr>
          <w:spacing w:val="13"/>
          <w:sz w:val="16"/>
        </w:rPr>
        <w:t> </w:t>
      </w:r>
      <w:r>
        <w:rPr>
          <w:w w:val="104"/>
          <w:sz w:val="16"/>
        </w:rPr>
        <w:t>de</w:t>
      </w:r>
      <w:r>
        <w:rPr>
          <w:spacing w:val="13"/>
          <w:sz w:val="16"/>
        </w:rPr>
        <w:t> </w:t>
      </w:r>
      <w:r>
        <w:rPr>
          <w:w w:val="108"/>
          <w:sz w:val="16"/>
        </w:rPr>
        <w:t>cooperación</w:t>
      </w:r>
      <w:r>
        <w:rPr>
          <w:spacing w:val="13"/>
          <w:sz w:val="16"/>
        </w:rPr>
        <w:t> </w:t>
      </w:r>
      <w:r>
        <w:rPr>
          <w:w w:val="106"/>
          <w:sz w:val="16"/>
        </w:rPr>
        <w:t>en</w:t>
      </w:r>
      <w:r>
        <w:rPr>
          <w:spacing w:val="13"/>
          <w:sz w:val="16"/>
        </w:rPr>
        <w:t> </w:t>
      </w:r>
      <w:r>
        <w:rPr>
          <w:w w:val="107"/>
          <w:sz w:val="16"/>
        </w:rPr>
        <w:t>mate</w:t>
      </w:r>
      <w:r>
        <w:rPr>
          <w:w w:val="100"/>
          <w:sz w:val="16"/>
        </w:rPr>
        <w:t>- </w:t>
      </w:r>
      <w:r>
        <w:rPr>
          <w:w w:val="110"/>
          <w:sz w:val="16"/>
        </w:rPr>
        <w:t>ria de seguridad fronteriza y combate al crimen organizado firmado entre Estados unidos y México, está compuesta por cuatro pilares que buscan: </w:t>
      </w:r>
      <w:r>
        <w:rPr>
          <w:i/>
          <w:w w:val="110"/>
          <w:sz w:val="16"/>
        </w:rPr>
        <w:t>i) </w:t>
      </w:r>
      <w:r>
        <w:rPr>
          <w:w w:val="110"/>
          <w:sz w:val="16"/>
        </w:rPr>
        <w:t>afectar la capaci- dad operativa del crimen organizado; </w:t>
      </w:r>
      <w:r>
        <w:rPr>
          <w:i/>
          <w:w w:val="110"/>
          <w:sz w:val="16"/>
        </w:rPr>
        <w:t>ii) </w:t>
      </w:r>
      <w:r>
        <w:rPr>
          <w:w w:val="110"/>
          <w:sz w:val="16"/>
        </w:rPr>
        <w:t>institucionalizar la capacidad de mantener el Estado de derecho; </w:t>
      </w:r>
      <w:r>
        <w:rPr>
          <w:i/>
          <w:w w:val="110"/>
          <w:sz w:val="16"/>
        </w:rPr>
        <w:t>iii) </w:t>
      </w:r>
      <w:r>
        <w:rPr>
          <w:w w:val="110"/>
          <w:sz w:val="16"/>
        </w:rPr>
        <w:t>crear una estructura fronteriza del siglo </w:t>
      </w:r>
      <w:r>
        <w:rPr>
          <w:w w:val="145"/>
          <w:sz w:val="16"/>
        </w:rPr>
        <w:t>xxi; </w:t>
      </w:r>
      <w:r>
        <w:rPr>
          <w:i/>
          <w:w w:val="110"/>
          <w:sz w:val="16"/>
        </w:rPr>
        <w:t>iv)</w:t>
      </w:r>
      <w:r>
        <w:rPr>
          <w:i/>
          <w:spacing w:val="-20"/>
          <w:w w:val="110"/>
          <w:sz w:val="16"/>
        </w:rPr>
        <w:t> </w:t>
      </w:r>
      <w:r>
        <w:rPr>
          <w:w w:val="110"/>
          <w:sz w:val="16"/>
        </w:rPr>
        <w:t>construir comunidades</w:t>
      </w:r>
      <w:r>
        <w:rPr>
          <w:spacing w:val="-22"/>
          <w:w w:val="110"/>
          <w:sz w:val="16"/>
        </w:rPr>
        <w:t> </w:t>
      </w:r>
      <w:r>
        <w:rPr>
          <w:w w:val="110"/>
          <w:sz w:val="16"/>
        </w:rPr>
        <w:t>fuertes</w:t>
      </w:r>
      <w:r>
        <w:rPr>
          <w:spacing w:val="-22"/>
          <w:w w:val="110"/>
          <w:sz w:val="16"/>
        </w:rPr>
        <w:t> </w:t>
      </w:r>
      <w:r>
        <w:rPr>
          <w:w w:val="110"/>
          <w:sz w:val="16"/>
        </w:rPr>
        <w:t>y</w:t>
      </w:r>
      <w:r>
        <w:rPr>
          <w:spacing w:val="-22"/>
          <w:w w:val="110"/>
          <w:sz w:val="16"/>
        </w:rPr>
        <w:t> </w:t>
      </w:r>
      <w:r>
        <w:rPr>
          <w:w w:val="110"/>
          <w:sz w:val="16"/>
        </w:rPr>
        <w:t>resilientes.</w:t>
      </w:r>
      <w:r>
        <w:rPr>
          <w:spacing w:val="-22"/>
          <w:w w:val="110"/>
          <w:sz w:val="16"/>
        </w:rPr>
        <w:t> </w:t>
      </w:r>
      <w:r>
        <w:rPr>
          <w:w w:val="110"/>
          <w:sz w:val="16"/>
        </w:rPr>
        <w:t>Para</w:t>
      </w:r>
      <w:r>
        <w:rPr>
          <w:spacing w:val="-22"/>
          <w:w w:val="110"/>
          <w:sz w:val="16"/>
        </w:rPr>
        <w:t> </w:t>
      </w:r>
      <w:r>
        <w:rPr>
          <w:w w:val="110"/>
          <w:sz w:val="16"/>
        </w:rPr>
        <w:t>mayor</w:t>
      </w:r>
      <w:r>
        <w:rPr>
          <w:spacing w:val="-22"/>
          <w:w w:val="110"/>
          <w:sz w:val="16"/>
        </w:rPr>
        <w:t> </w:t>
      </w:r>
      <w:r>
        <w:rPr>
          <w:w w:val="110"/>
          <w:sz w:val="16"/>
        </w:rPr>
        <w:t>información,</w:t>
      </w:r>
      <w:r>
        <w:rPr>
          <w:spacing w:val="-22"/>
          <w:w w:val="110"/>
          <w:sz w:val="16"/>
        </w:rPr>
        <w:t> </w:t>
      </w:r>
      <w:r>
        <w:rPr>
          <w:w w:val="110"/>
          <w:sz w:val="16"/>
        </w:rPr>
        <w:t>consultar</w:t>
      </w:r>
      <w:r>
        <w:rPr>
          <w:spacing w:val="-22"/>
          <w:w w:val="110"/>
          <w:sz w:val="16"/>
        </w:rPr>
        <w:t> </w:t>
      </w:r>
      <w:r>
        <w:rPr>
          <w:w w:val="110"/>
          <w:sz w:val="16"/>
        </w:rPr>
        <w:t>&lt;</w:t>
      </w:r>
      <w:hyperlink r:id="rId108">
        <w:r>
          <w:rPr>
            <w:w w:val="110"/>
            <w:sz w:val="16"/>
          </w:rPr>
          <w:t>http://goo.gl/</w:t>
        </w:r>
      </w:hyperlink>
      <w:r>
        <w:rPr>
          <w:w w:val="110"/>
          <w:sz w:val="16"/>
        </w:rPr>
        <w:t> k4bPcb&gt;.</w:t>
      </w:r>
    </w:p>
    <w:p>
      <w:pPr>
        <w:pStyle w:val="ListParagraph"/>
        <w:numPr>
          <w:ilvl w:val="0"/>
          <w:numId w:val="23"/>
        </w:numPr>
        <w:tabs>
          <w:tab w:pos="376" w:val="left" w:leader="none"/>
        </w:tabs>
        <w:spacing w:line="240" w:lineRule="auto" w:before="57" w:after="0"/>
        <w:ind w:left="375" w:right="0" w:hanging="255"/>
        <w:jc w:val="both"/>
        <w:rPr>
          <w:sz w:val="16"/>
        </w:rPr>
      </w:pPr>
      <w:r>
        <w:rPr>
          <w:i/>
          <w:spacing w:val="-4"/>
          <w:w w:val="105"/>
          <w:sz w:val="16"/>
        </w:rPr>
        <w:t>Cfr.  </w:t>
      </w:r>
      <w:r>
        <w:rPr>
          <w:i/>
          <w:w w:val="105"/>
          <w:sz w:val="16"/>
        </w:rPr>
        <w:t>Caribbean  Basin  Security  Initiative</w:t>
      </w:r>
      <w:r>
        <w:rPr>
          <w:w w:val="105"/>
          <w:sz w:val="16"/>
        </w:rPr>
        <w:t>,</w:t>
      </w:r>
      <w:r>
        <w:rPr>
          <w:spacing w:val="-4"/>
          <w:w w:val="105"/>
          <w:sz w:val="16"/>
        </w:rPr>
        <w:t> </w:t>
      </w:r>
      <w:r>
        <w:rPr>
          <w:w w:val="105"/>
          <w:sz w:val="16"/>
        </w:rPr>
        <w:t>&lt;</w:t>
      </w:r>
      <w:hyperlink r:id="rId301">
        <w:r>
          <w:rPr>
            <w:w w:val="105"/>
            <w:sz w:val="16"/>
          </w:rPr>
          <w:t>http://go.usa.gov/37MHQ&gt;.</w:t>
        </w:r>
      </w:hyperlink>
    </w:p>
    <w:p>
      <w:pPr>
        <w:pStyle w:val="ListParagraph"/>
        <w:numPr>
          <w:ilvl w:val="0"/>
          <w:numId w:val="23"/>
        </w:numPr>
        <w:tabs>
          <w:tab w:pos="376" w:val="left" w:leader="none"/>
        </w:tabs>
        <w:spacing w:line="240" w:lineRule="auto" w:before="59" w:after="0"/>
        <w:ind w:left="375" w:right="0" w:hanging="255"/>
        <w:jc w:val="both"/>
        <w:rPr>
          <w:sz w:val="16"/>
        </w:rPr>
      </w:pPr>
      <w:r>
        <w:rPr>
          <w:i/>
          <w:spacing w:val="-4"/>
          <w:w w:val="105"/>
          <w:sz w:val="16"/>
        </w:rPr>
        <w:t>Cfr.  </w:t>
      </w:r>
      <w:r>
        <w:rPr>
          <w:i/>
          <w:w w:val="105"/>
          <w:sz w:val="16"/>
        </w:rPr>
        <w:t>Central American Regional Security Initiative</w:t>
      </w:r>
      <w:r>
        <w:rPr>
          <w:w w:val="105"/>
          <w:sz w:val="16"/>
        </w:rPr>
        <w:t>,  </w:t>
      </w:r>
      <w:r>
        <w:rPr>
          <w:spacing w:val="25"/>
          <w:w w:val="105"/>
          <w:sz w:val="16"/>
        </w:rPr>
        <w:t> </w:t>
      </w:r>
      <w:r>
        <w:rPr>
          <w:w w:val="105"/>
          <w:sz w:val="16"/>
        </w:rPr>
        <w:t>&lt;</w:t>
      </w:r>
      <w:hyperlink r:id="rId302">
        <w:r>
          <w:rPr>
            <w:w w:val="105"/>
            <w:sz w:val="16"/>
          </w:rPr>
          <w:t>http://go.usa.gov/3mKwF&gt;.</w:t>
        </w:r>
      </w:hyperlink>
    </w:p>
    <w:p>
      <w:pPr>
        <w:pStyle w:val="ListParagraph"/>
        <w:numPr>
          <w:ilvl w:val="0"/>
          <w:numId w:val="23"/>
        </w:numPr>
        <w:tabs>
          <w:tab w:pos="376" w:val="left" w:leader="none"/>
        </w:tabs>
        <w:spacing w:line="242" w:lineRule="auto" w:before="59" w:after="0"/>
        <w:ind w:left="120" w:right="353" w:firstLine="0"/>
        <w:jc w:val="left"/>
        <w:rPr>
          <w:sz w:val="16"/>
        </w:rPr>
      </w:pPr>
      <w:r>
        <w:rPr>
          <w:i/>
          <w:spacing w:val="-4"/>
          <w:w w:val="105"/>
          <w:sz w:val="16"/>
        </w:rPr>
        <w:t>Cfr. </w:t>
      </w:r>
      <w:r>
        <w:rPr>
          <w:i/>
          <w:w w:val="105"/>
          <w:sz w:val="16"/>
        </w:rPr>
        <w:t>Presidential permits for border crossings</w:t>
      </w:r>
      <w:r>
        <w:rPr>
          <w:w w:val="105"/>
          <w:sz w:val="16"/>
        </w:rPr>
        <w:t>, iniciativa aprobada con base en la orden  Ejecutiva  11.423  promulgada  por  barack  obama,</w:t>
      </w:r>
      <w:r>
        <w:rPr>
          <w:spacing w:val="18"/>
          <w:w w:val="105"/>
          <w:sz w:val="16"/>
        </w:rPr>
        <w:t> </w:t>
      </w:r>
      <w:r>
        <w:rPr>
          <w:w w:val="105"/>
          <w:sz w:val="16"/>
        </w:rPr>
        <w:t>&lt;</w:t>
      </w:r>
      <w:hyperlink r:id="rId303">
        <w:r>
          <w:rPr>
            <w:w w:val="105"/>
            <w:sz w:val="16"/>
          </w:rPr>
          <w:t>http://go.usa.gov/cxgKb</w:t>
        </w:r>
      </w:hyperlink>
      <w:r>
        <w:rPr>
          <w:w w:val="105"/>
          <w:sz w:val="16"/>
        </w:rPr>
        <w:t>&gt;.</w:t>
      </w:r>
    </w:p>
    <w:p>
      <w:pPr>
        <w:pStyle w:val="ListParagraph"/>
        <w:numPr>
          <w:ilvl w:val="0"/>
          <w:numId w:val="23"/>
        </w:numPr>
        <w:tabs>
          <w:tab w:pos="376" w:val="left" w:leader="none"/>
        </w:tabs>
        <w:spacing w:line="316" w:lineRule="auto" w:before="57" w:after="0"/>
        <w:ind w:left="120" w:right="623" w:firstLine="0"/>
        <w:jc w:val="left"/>
        <w:rPr>
          <w:sz w:val="16"/>
        </w:rPr>
      </w:pPr>
      <w:r>
        <w:rPr>
          <w:i/>
          <w:spacing w:val="-4"/>
          <w:w w:val="110"/>
          <w:sz w:val="16"/>
        </w:rPr>
        <w:t>Cfr.</w:t>
      </w:r>
      <w:r>
        <w:rPr>
          <w:i/>
          <w:spacing w:val="-12"/>
          <w:w w:val="110"/>
          <w:sz w:val="16"/>
        </w:rPr>
        <w:t> </w:t>
      </w:r>
      <w:r>
        <w:rPr>
          <w:i/>
          <w:w w:val="110"/>
          <w:sz w:val="16"/>
        </w:rPr>
        <w:t>Quadriennal</w:t>
      </w:r>
      <w:r>
        <w:rPr>
          <w:i/>
          <w:spacing w:val="-12"/>
          <w:w w:val="110"/>
          <w:sz w:val="16"/>
        </w:rPr>
        <w:t> </w:t>
      </w:r>
      <w:r>
        <w:rPr>
          <w:i/>
          <w:w w:val="110"/>
          <w:sz w:val="16"/>
        </w:rPr>
        <w:t>Diplomacy</w:t>
      </w:r>
      <w:r>
        <w:rPr>
          <w:i/>
          <w:spacing w:val="-12"/>
          <w:w w:val="110"/>
          <w:sz w:val="16"/>
        </w:rPr>
        <w:t> </w:t>
      </w:r>
      <w:r>
        <w:rPr>
          <w:i/>
          <w:w w:val="110"/>
          <w:sz w:val="16"/>
        </w:rPr>
        <w:t>and</w:t>
      </w:r>
      <w:r>
        <w:rPr>
          <w:i/>
          <w:spacing w:val="-12"/>
          <w:w w:val="110"/>
          <w:sz w:val="16"/>
        </w:rPr>
        <w:t> </w:t>
      </w:r>
      <w:r>
        <w:rPr>
          <w:i/>
          <w:w w:val="110"/>
          <w:sz w:val="16"/>
        </w:rPr>
        <w:t>Development</w:t>
      </w:r>
      <w:r>
        <w:rPr>
          <w:i/>
          <w:spacing w:val="-12"/>
          <w:w w:val="110"/>
          <w:sz w:val="16"/>
        </w:rPr>
        <w:t> </w:t>
      </w:r>
      <w:r>
        <w:rPr>
          <w:i/>
          <w:w w:val="110"/>
          <w:sz w:val="16"/>
        </w:rPr>
        <w:t>Review</w:t>
      </w:r>
      <w:r>
        <w:rPr>
          <w:w w:val="110"/>
          <w:sz w:val="16"/>
        </w:rPr>
        <w:t>,</w:t>
      </w:r>
      <w:r>
        <w:rPr>
          <w:spacing w:val="-12"/>
          <w:w w:val="110"/>
          <w:sz w:val="16"/>
        </w:rPr>
        <w:t> </w:t>
      </w:r>
      <w:r>
        <w:rPr>
          <w:w w:val="110"/>
          <w:sz w:val="16"/>
        </w:rPr>
        <w:t>&lt;</w:t>
      </w:r>
      <w:hyperlink r:id="rId304">
        <w:r>
          <w:rPr>
            <w:w w:val="110"/>
            <w:sz w:val="16"/>
          </w:rPr>
          <w:t>http://goo.gl/o5Zrfy&gt;.</w:t>
        </w:r>
      </w:hyperlink>
      <w:r>
        <w:rPr>
          <w:w w:val="110"/>
          <w:sz w:val="16"/>
        </w:rPr>
        <w:t> 36</w:t>
      </w:r>
      <w:r>
        <w:rPr>
          <w:spacing w:val="5"/>
          <w:w w:val="110"/>
          <w:sz w:val="16"/>
        </w:rPr>
        <w:t> </w:t>
      </w:r>
      <w:r>
        <w:rPr>
          <w:i/>
          <w:spacing w:val="-4"/>
          <w:w w:val="110"/>
          <w:sz w:val="16"/>
        </w:rPr>
        <w:t>Cfr.</w:t>
      </w:r>
      <w:r>
        <w:rPr>
          <w:i/>
          <w:spacing w:val="-14"/>
          <w:w w:val="110"/>
          <w:sz w:val="16"/>
        </w:rPr>
        <w:t> </w:t>
      </w:r>
      <w:r>
        <w:rPr>
          <w:i/>
          <w:w w:val="110"/>
          <w:sz w:val="16"/>
        </w:rPr>
        <w:t>U.S.</w:t>
      </w:r>
      <w:r>
        <w:rPr>
          <w:i/>
          <w:spacing w:val="-14"/>
          <w:w w:val="110"/>
          <w:sz w:val="16"/>
        </w:rPr>
        <w:t> </w:t>
      </w:r>
      <w:r>
        <w:rPr>
          <w:i/>
          <w:w w:val="110"/>
          <w:sz w:val="16"/>
        </w:rPr>
        <w:t>National</w:t>
      </w:r>
      <w:r>
        <w:rPr>
          <w:i/>
          <w:spacing w:val="-14"/>
          <w:w w:val="110"/>
          <w:sz w:val="16"/>
        </w:rPr>
        <w:t> </w:t>
      </w:r>
      <w:r>
        <w:rPr>
          <w:i/>
          <w:w w:val="110"/>
          <w:sz w:val="16"/>
        </w:rPr>
        <w:t>Security</w:t>
      </w:r>
      <w:r>
        <w:rPr>
          <w:i/>
          <w:spacing w:val="-14"/>
          <w:w w:val="110"/>
          <w:sz w:val="16"/>
        </w:rPr>
        <w:t> </w:t>
      </w:r>
      <w:r>
        <w:rPr>
          <w:i/>
          <w:w w:val="110"/>
          <w:sz w:val="16"/>
        </w:rPr>
        <w:t>Strategy</w:t>
      </w:r>
      <w:r>
        <w:rPr>
          <w:i/>
          <w:spacing w:val="-14"/>
          <w:w w:val="110"/>
          <w:sz w:val="16"/>
        </w:rPr>
        <w:t> </w:t>
      </w:r>
      <w:r>
        <w:rPr>
          <w:i/>
          <w:w w:val="110"/>
          <w:sz w:val="16"/>
        </w:rPr>
        <w:t>2015</w:t>
      </w:r>
      <w:r>
        <w:rPr>
          <w:w w:val="110"/>
          <w:sz w:val="16"/>
        </w:rPr>
        <w:t>,</w:t>
      </w:r>
      <w:r>
        <w:rPr>
          <w:spacing w:val="-14"/>
          <w:w w:val="110"/>
          <w:sz w:val="16"/>
        </w:rPr>
        <w:t> </w:t>
      </w:r>
      <w:r>
        <w:rPr>
          <w:w w:val="110"/>
          <w:sz w:val="16"/>
        </w:rPr>
        <w:t>&lt;https://goo.gl/EwQFiu&gt;.</w:t>
      </w:r>
    </w:p>
    <w:p>
      <w:pPr>
        <w:spacing w:after="0" w:line="316" w:lineRule="auto"/>
        <w:jc w:val="left"/>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850" w:right="117"/>
        <w:jc w:val="both"/>
      </w:pPr>
      <w:r>
        <w:rPr>
          <w:w w:val="110"/>
        </w:rPr>
        <w:t>que la administración estadounidense actual ha definido no sólo para el Hemisferio occidental sino para las otras regiones; por otro lado, son esenciales para guiar nuestro estudio pues determinan las bases   y líneas de acción de la agenda de política exterior de Estados unidos que, tal y como se explicó en la primera parte de este trabajo, son el resultado de un proceso de negociación multinivel sobre diferentes temas e</w:t>
      </w:r>
      <w:r>
        <w:rPr>
          <w:spacing w:val="-5"/>
          <w:w w:val="110"/>
        </w:rPr>
        <w:t> </w:t>
      </w:r>
      <w:r>
        <w:rPr>
          <w:w w:val="110"/>
        </w:rPr>
        <w:t>intereses.</w:t>
      </w:r>
    </w:p>
    <w:p>
      <w:pPr>
        <w:pStyle w:val="BodyText"/>
        <w:spacing w:line="252" w:lineRule="auto"/>
        <w:ind w:left="850" w:right="117" w:firstLine="396"/>
        <w:jc w:val="both"/>
      </w:pPr>
      <w:r>
        <w:rPr>
          <w:w w:val="115"/>
        </w:rPr>
        <w:t>El Qddr es relevante dado que es a partir de la administración de</w:t>
      </w:r>
      <w:r>
        <w:rPr>
          <w:spacing w:val="-21"/>
          <w:w w:val="115"/>
        </w:rPr>
        <w:t> </w:t>
      </w:r>
      <w:r>
        <w:rPr>
          <w:w w:val="115"/>
        </w:rPr>
        <w:t>barack</w:t>
      </w:r>
      <w:r>
        <w:rPr>
          <w:spacing w:val="-21"/>
          <w:w w:val="115"/>
        </w:rPr>
        <w:t> </w:t>
      </w:r>
      <w:r>
        <w:rPr>
          <w:w w:val="115"/>
        </w:rPr>
        <w:t>obama</w:t>
      </w:r>
      <w:r>
        <w:rPr>
          <w:spacing w:val="-21"/>
          <w:w w:val="115"/>
        </w:rPr>
        <w:t> </w:t>
      </w:r>
      <w:r>
        <w:rPr>
          <w:w w:val="115"/>
        </w:rPr>
        <w:t>que</w:t>
      </w:r>
      <w:r>
        <w:rPr>
          <w:spacing w:val="-21"/>
          <w:w w:val="115"/>
        </w:rPr>
        <w:t> </w:t>
      </w:r>
      <w:r>
        <w:rPr>
          <w:w w:val="115"/>
        </w:rPr>
        <w:t>la</w:t>
      </w:r>
      <w:r>
        <w:rPr>
          <w:spacing w:val="-21"/>
          <w:w w:val="115"/>
        </w:rPr>
        <w:t> </w:t>
      </w:r>
      <w:r>
        <w:rPr>
          <w:w w:val="115"/>
        </w:rPr>
        <w:t>agenda</w:t>
      </w:r>
      <w:r>
        <w:rPr>
          <w:spacing w:val="-21"/>
          <w:w w:val="115"/>
        </w:rPr>
        <w:t> </w:t>
      </w:r>
      <w:r>
        <w:rPr>
          <w:w w:val="115"/>
        </w:rPr>
        <w:t>de</w:t>
      </w:r>
      <w:r>
        <w:rPr>
          <w:spacing w:val="-21"/>
          <w:w w:val="115"/>
        </w:rPr>
        <w:t> </w:t>
      </w:r>
      <w:r>
        <w:rPr>
          <w:w w:val="115"/>
        </w:rPr>
        <w:t>desarrollo</w:t>
      </w:r>
      <w:r>
        <w:rPr>
          <w:spacing w:val="-21"/>
          <w:w w:val="115"/>
        </w:rPr>
        <w:t> </w:t>
      </w:r>
      <w:r>
        <w:rPr>
          <w:w w:val="115"/>
        </w:rPr>
        <w:t>(</w:t>
      </w:r>
      <w:r>
        <w:rPr>
          <w:i/>
          <w:w w:val="115"/>
        </w:rPr>
        <w:t>development</w:t>
      </w:r>
      <w:r>
        <w:rPr>
          <w:w w:val="115"/>
        </w:rPr>
        <w:t>)</w:t>
      </w:r>
      <w:r>
        <w:rPr>
          <w:spacing w:val="-21"/>
          <w:w w:val="115"/>
        </w:rPr>
        <w:t> </w:t>
      </w:r>
      <w:r>
        <w:rPr>
          <w:w w:val="115"/>
        </w:rPr>
        <w:t>adquirió el</w:t>
      </w:r>
      <w:r>
        <w:rPr>
          <w:spacing w:val="-11"/>
          <w:w w:val="115"/>
        </w:rPr>
        <w:t> </w:t>
      </w:r>
      <w:r>
        <w:rPr>
          <w:w w:val="115"/>
        </w:rPr>
        <w:t>mismo</w:t>
      </w:r>
      <w:r>
        <w:rPr>
          <w:spacing w:val="-11"/>
          <w:w w:val="115"/>
        </w:rPr>
        <w:t> </w:t>
      </w:r>
      <w:r>
        <w:rPr>
          <w:w w:val="115"/>
        </w:rPr>
        <w:t>estatus</w:t>
      </w:r>
      <w:r>
        <w:rPr>
          <w:spacing w:val="-11"/>
          <w:w w:val="115"/>
        </w:rPr>
        <w:t> </w:t>
      </w:r>
      <w:r>
        <w:rPr>
          <w:w w:val="115"/>
        </w:rPr>
        <w:t>jerárquico</w:t>
      </w:r>
      <w:r>
        <w:rPr>
          <w:spacing w:val="-11"/>
          <w:w w:val="115"/>
        </w:rPr>
        <w:t> </w:t>
      </w:r>
      <w:r>
        <w:rPr>
          <w:w w:val="115"/>
        </w:rPr>
        <w:t>y</w:t>
      </w:r>
      <w:r>
        <w:rPr>
          <w:spacing w:val="-11"/>
          <w:w w:val="115"/>
        </w:rPr>
        <w:t> </w:t>
      </w:r>
      <w:r>
        <w:rPr>
          <w:w w:val="115"/>
        </w:rPr>
        <w:t>de</w:t>
      </w:r>
      <w:r>
        <w:rPr>
          <w:spacing w:val="-11"/>
          <w:w w:val="115"/>
        </w:rPr>
        <w:t> </w:t>
      </w:r>
      <w:r>
        <w:rPr>
          <w:w w:val="115"/>
        </w:rPr>
        <w:t>atención</w:t>
      </w:r>
      <w:r>
        <w:rPr>
          <w:spacing w:val="-11"/>
          <w:w w:val="115"/>
        </w:rPr>
        <w:t> </w:t>
      </w:r>
      <w:r>
        <w:rPr>
          <w:w w:val="115"/>
        </w:rPr>
        <w:t>que</w:t>
      </w:r>
      <w:r>
        <w:rPr>
          <w:spacing w:val="-11"/>
          <w:w w:val="115"/>
        </w:rPr>
        <w:t> </w:t>
      </w:r>
      <w:r>
        <w:rPr>
          <w:w w:val="115"/>
        </w:rPr>
        <w:t>la</w:t>
      </w:r>
      <w:r>
        <w:rPr>
          <w:spacing w:val="-11"/>
          <w:w w:val="115"/>
        </w:rPr>
        <w:t> </w:t>
      </w:r>
      <w:r>
        <w:rPr>
          <w:w w:val="115"/>
        </w:rPr>
        <w:t>agenda</w:t>
      </w:r>
      <w:r>
        <w:rPr>
          <w:spacing w:val="-11"/>
          <w:w w:val="115"/>
        </w:rPr>
        <w:t> </w:t>
      </w:r>
      <w:r>
        <w:rPr>
          <w:w w:val="115"/>
        </w:rPr>
        <w:t>de</w:t>
      </w:r>
      <w:r>
        <w:rPr>
          <w:spacing w:val="-11"/>
          <w:w w:val="115"/>
        </w:rPr>
        <w:t> </w:t>
      </w:r>
      <w:r>
        <w:rPr>
          <w:w w:val="115"/>
        </w:rPr>
        <w:t>diploma- cia</w:t>
      </w:r>
      <w:r>
        <w:rPr>
          <w:spacing w:val="-26"/>
          <w:w w:val="115"/>
        </w:rPr>
        <w:t> </w:t>
      </w:r>
      <w:r>
        <w:rPr>
          <w:w w:val="115"/>
        </w:rPr>
        <w:t>y</w:t>
      </w:r>
      <w:r>
        <w:rPr>
          <w:spacing w:val="-26"/>
          <w:w w:val="115"/>
        </w:rPr>
        <w:t> </w:t>
      </w:r>
      <w:r>
        <w:rPr>
          <w:w w:val="115"/>
        </w:rPr>
        <w:t>de</w:t>
      </w:r>
      <w:r>
        <w:rPr>
          <w:spacing w:val="-26"/>
          <w:w w:val="115"/>
        </w:rPr>
        <w:t> </w:t>
      </w:r>
      <w:r>
        <w:rPr>
          <w:w w:val="115"/>
        </w:rPr>
        <w:t>defensa;</w:t>
      </w:r>
      <w:r>
        <w:rPr>
          <w:spacing w:val="-26"/>
          <w:w w:val="115"/>
        </w:rPr>
        <w:t> </w:t>
      </w:r>
      <w:r>
        <w:rPr>
          <w:w w:val="115"/>
        </w:rPr>
        <w:t>si</w:t>
      </w:r>
      <w:r>
        <w:rPr>
          <w:spacing w:val="-26"/>
          <w:w w:val="115"/>
        </w:rPr>
        <w:t> </w:t>
      </w:r>
      <w:r>
        <w:rPr>
          <w:w w:val="115"/>
        </w:rPr>
        <w:t>bien</w:t>
      </w:r>
      <w:r>
        <w:rPr>
          <w:spacing w:val="-26"/>
          <w:w w:val="115"/>
        </w:rPr>
        <w:t> </w:t>
      </w:r>
      <w:r>
        <w:rPr>
          <w:w w:val="115"/>
        </w:rPr>
        <w:t>los</w:t>
      </w:r>
      <w:r>
        <w:rPr>
          <w:spacing w:val="-26"/>
          <w:w w:val="115"/>
        </w:rPr>
        <w:t> </w:t>
      </w:r>
      <w:r>
        <w:rPr>
          <w:w w:val="115"/>
        </w:rPr>
        <w:t>montos</w:t>
      </w:r>
      <w:r>
        <w:rPr>
          <w:spacing w:val="-26"/>
          <w:w w:val="115"/>
        </w:rPr>
        <w:t> </w:t>
      </w:r>
      <w:r>
        <w:rPr>
          <w:w w:val="115"/>
        </w:rPr>
        <w:t>presupuestarios,</w:t>
      </w:r>
      <w:r>
        <w:rPr>
          <w:spacing w:val="-26"/>
          <w:w w:val="115"/>
        </w:rPr>
        <w:t> </w:t>
      </w:r>
      <w:r>
        <w:rPr>
          <w:w w:val="115"/>
        </w:rPr>
        <w:t>líneas</w:t>
      </w:r>
      <w:r>
        <w:rPr>
          <w:spacing w:val="-26"/>
          <w:w w:val="115"/>
        </w:rPr>
        <w:t> </w:t>
      </w:r>
      <w:r>
        <w:rPr>
          <w:w w:val="115"/>
        </w:rPr>
        <w:t>de</w:t>
      </w:r>
      <w:r>
        <w:rPr>
          <w:spacing w:val="-26"/>
          <w:w w:val="115"/>
        </w:rPr>
        <w:t> </w:t>
      </w:r>
      <w:r>
        <w:rPr>
          <w:w w:val="115"/>
        </w:rPr>
        <w:t>acción</w:t>
      </w:r>
      <w:r>
        <w:rPr>
          <w:spacing w:val="-26"/>
          <w:w w:val="115"/>
        </w:rPr>
        <w:t> </w:t>
      </w:r>
      <w:r>
        <w:rPr>
          <w:w w:val="115"/>
        </w:rPr>
        <w:t>y personal</w:t>
      </w:r>
      <w:r>
        <w:rPr>
          <w:spacing w:val="-25"/>
          <w:w w:val="115"/>
        </w:rPr>
        <w:t> </w:t>
      </w:r>
      <w:r>
        <w:rPr>
          <w:w w:val="115"/>
        </w:rPr>
        <w:t>especializado</w:t>
      </w:r>
      <w:r>
        <w:rPr>
          <w:spacing w:val="-25"/>
          <w:w w:val="115"/>
        </w:rPr>
        <w:t> </w:t>
      </w:r>
      <w:r>
        <w:rPr>
          <w:w w:val="115"/>
        </w:rPr>
        <w:t>a</w:t>
      </w:r>
      <w:r>
        <w:rPr>
          <w:spacing w:val="-25"/>
          <w:w w:val="115"/>
        </w:rPr>
        <w:t> </w:t>
      </w:r>
      <w:r>
        <w:rPr>
          <w:w w:val="115"/>
        </w:rPr>
        <w:t>cada</w:t>
      </w:r>
      <w:r>
        <w:rPr>
          <w:spacing w:val="-25"/>
          <w:w w:val="115"/>
        </w:rPr>
        <w:t> </w:t>
      </w:r>
      <w:r>
        <w:rPr>
          <w:w w:val="115"/>
        </w:rPr>
        <w:t>área</w:t>
      </w:r>
      <w:r>
        <w:rPr>
          <w:spacing w:val="-25"/>
          <w:w w:val="115"/>
        </w:rPr>
        <w:t> </w:t>
      </w:r>
      <w:r>
        <w:rPr>
          <w:w w:val="115"/>
        </w:rPr>
        <w:t>varía</w:t>
      </w:r>
      <w:r>
        <w:rPr>
          <w:spacing w:val="-25"/>
          <w:w w:val="115"/>
        </w:rPr>
        <w:t> </w:t>
      </w:r>
      <w:r>
        <w:rPr>
          <w:w w:val="115"/>
        </w:rPr>
        <w:t>significativamente</w:t>
      </w:r>
      <w:r>
        <w:rPr>
          <w:spacing w:val="-25"/>
          <w:w w:val="115"/>
        </w:rPr>
        <w:t> </w:t>
      </w:r>
      <w:r>
        <w:rPr>
          <w:w w:val="115"/>
        </w:rPr>
        <w:t>el</w:t>
      </w:r>
      <w:r>
        <w:rPr>
          <w:spacing w:val="-25"/>
          <w:w w:val="115"/>
        </w:rPr>
        <w:t> </w:t>
      </w:r>
      <w:r>
        <w:rPr>
          <w:w w:val="115"/>
        </w:rPr>
        <w:t>uno</w:t>
      </w:r>
      <w:r>
        <w:rPr>
          <w:spacing w:val="-25"/>
          <w:w w:val="115"/>
        </w:rPr>
        <w:t> </w:t>
      </w:r>
      <w:r>
        <w:rPr>
          <w:w w:val="115"/>
        </w:rPr>
        <w:t>del otro,</w:t>
      </w:r>
      <w:r>
        <w:rPr>
          <w:spacing w:val="-13"/>
          <w:w w:val="115"/>
        </w:rPr>
        <w:t> </w:t>
      </w:r>
      <w:r>
        <w:rPr>
          <w:w w:val="115"/>
        </w:rPr>
        <w:t>en</w:t>
      </w:r>
      <w:r>
        <w:rPr>
          <w:spacing w:val="-13"/>
          <w:w w:val="115"/>
        </w:rPr>
        <w:t> </w:t>
      </w:r>
      <w:r>
        <w:rPr>
          <w:w w:val="115"/>
        </w:rPr>
        <w:t>el</w:t>
      </w:r>
      <w:r>
        <w:rPr>
          <w:spacing w:val="-13"/>
          <w:w w:val="115"/>
        </w:rPr>
        <w:t> </w:t>
      </w:r>
      <w:r>
        <w:rPr>
          <w:w w:val="115"/>
        </w:rPr>
        <w:t>espectro</w:t>
      </w:r>
      <w:r>
        <w:rPr>
          <w:spacing w:val="-13"/>
          <w:w w:val="115"/>
        </w:rPr>
        <w:t> </w:t>
      </w:r>
      <w:r>
        <w:rPr>
          <w:w w:val="115"/>
        </w:rPr>
        <w:t>político</w:t>
      </w:r>
      <w:r>
        <w:rPr>
          <w:spacing w:val="-13"/>
          <w:w w:val="115"/>
        </w:rPr>
        <w:t> </w:t>
      </w:r>
      <w:r>
        <w:rPr>
          <w:w w:val="115"/>
        </w:rPr>
        <w:t>y</w:t>
      </w:r>
      <w:r>
        <w:rPr>
          <w:spacing w:val="-13"/>
          <w:w w:val="115"/>
        </w:rPr>
        <w:t> </w:t>
      </w:r>
      <w:r>
        <w:rPr>
          <w:w w:val="115"/>
        </w:rPr>
        <w:t>gubernamental</w:t>
      </w:r>
      <w:r>
        <w:rPr>
          <w:spacing w:val="-13"/>
          <w:w w:val="115"/>
        </w:rPr>
        <w:t> </w:t>
      </w:r>
      <w:r>
        <w:rPr>
          <w:b/>
          <w:i/>
          <w:w w:val="115"/>
        </w:rPr>
        <w:t>–</w:t>
      </w:r>
      <w:r>
        <w:rPr>
          <w:w w:val="115"/>
        </w:rPr>
        <w:t>tanto</w:t>
      </w:r>
      <w:r>
        <w:rPr>
          <w:spacing w:val="-13"/>
          <w:w w:val="115"/>
        </w:rPr>
        <w:t> </w:t>
      </w:r>
      <w:r>
        <w:rPr>
          <w:w w:val="115"/>
        </w:rPr>
        <w:t>al</w:t>
      </w:r>
      <w:r>
        <w:rPr>
          <w:spacing w:val="-13"/>
          <w:w w:val="115"/>
        </w:rPr>
        <w:t> </w:t>
      </w:r>
      <w:r>
        <w:rPr>
          <w:w w:val="115"/>
        </w:rPr>
        <w:t>interior</w:t>
      </w:r>
      <w:r>
        <w:rPr>
          <w:spacing w:val="-13"/>
          <w:w w:val="115"/>
        </w:rPr>
        <w:t> </w:t>
      </w:r>
      <w:r>
        <w:rPr>
          <w:w w:val="115"/>
        </w:rPr>
        <w:t>como fuera de Estados unidos</w:t>
      </w:r>
      <w:r>
        <w:rPr>
          <w:b/>
          <w:i/>
          <w:w w:val="115"/>
        </w:rPr>
        <w:t>– </w:t>
      </w:r>
      <w:r>
        <w:rPr>
          <w:w w:val="115"/>
        </w:rPr>
        <w:t>las tres agendas (desarrollo, diplomacia</w:t>
      </w:r>
      <w:r>
        <w:rPr>
          <w:spacing w:val="-9"/>
          <w:w w:val="115"/>
        </w:rPr>
        <w:t> </w:t>
      </w:r>
      <w:r>
        <w:rPr>
          <w:w w:val="115"/>
        </w:rPr>
        <w:t>y defensa, “3ds”) son tratadas al mismo nivel </w:t>
      </w:r>
      <w:r>
        <w:rPr>
          <w:spacing w:val="-11"/>
          <w:w w:val="115"/>
        </w:rPr>
        <w:t>y, </w:t>
      </w:r>
      <w:r>
        <w:rPr>
          <w:w w:val="115"/>
        </w:rPr>
        <w:t>por ende, la revisión </w:t>
      </w:r>
      <w:r>
        <w:rPr>
          <w:w w:val="110"/>
        </w:rPr>
        <w:t>de dicho documento resulta clave para identificar aquellas estrategias </w:t>
      </w:r>
      <w:r>
        <w:rPr>
          <w:w w:val="115"/>
        </w:rPr>
        <w:t>y acciones “no militares” que la administración obama ha diseñado para el Hemisferio</w:t>
      </w:r>
      <w:r>
        <w:rPr>
          <w:spacing w:val="-24"/>
          <w:w w:val="115"/>
        </w:rPr>
        <w:t> </w:t>
      </w:r>
      <w:r>
        <w:rPr>
          <w:w w:val="115"/>
        </w:rPr>
        <w:t>occidental.</w:t>
      </w:r>
    </w:p>
    <w:p>
      <w:pPr>
        <w:pStyle w:val="BodyText"/>
        <w:spacing w:line="252" w:lineRule="auto"/>
        <w:ind w:left="850" w:right="115" w:firstLine="396"/>
        <w:jc w:val="both"/>
      </w:pPr>
      <w:r>
        <w:rPr>
          <w:w w:val="120"/>
        </w:rPr>
        <w:t>En el Qddr se habla de cuatro prioridades estratégicas: </w:t>
      </w:r>
      <w:r>
        <w:rPr>
          <w:i/>
          <w:w w:val="120"/>
        </w:rPr>
        <w:t>i) </w:t>
      </w:r>
      <w:r>
        <w:rPr>
          <w:w w:val="120"/>
        </w:rPr>
        <w:t>contención de la violencia extrema; </w:t>
      </w:r>
      <w:r>
        <w:rPr>
          <w:i/>
          <w:w w:val="120"/>
        </w:rPr>
        <w:t>ii) </w:t>
      </w:r>
      <w:r>
        <w:rPr>
          <w:w w:val="120"/>
        </w:rPr>
        <w:t>promoción de sociedades abiertas</w:t>
      </w:r>
      <w:r>
        <w:rPr>
          <w:spacing w:val="-17"/>
          <w:w w:val="120"/>
        </w:rPr>
        <w:t> </w:t>
      </w:r>
      <w:r>
        <w:rPr>
          <w:w w:val="120"/>
        </w:rPr>
        <w:t>y</w:t>
      </w:r>
      <w:r>
        <w:rPr>
          <w:spacing w:val="-17"/>
          <w:w w:val="120"/>
        </w:rPr>
        <w:t> </w:t>
      </w:r>
      <w:r>
        <w:rPr>
          <w:w w:val="120"/>
        </w:rPr>
        <w:t>democráticas;</w:t>
      </w:r>
      <w:r>
        <w:rPr>
          <w:spacing w:val="-17"/>
          <w:w w:val="120"/>
        </w:rPr>
        <w:t> </w:t>
      </w:r>
      <w:r>
        <w:rPr>
          <w:i/>
          <w:w w:val="120"/>
        </w:rPr>
        <w:t>iii)</w:t>
      </w:r>
      <w:r>
        <w:rPr>
          <w:i/>
          <w:spacing w:val="-17"/>
          <w:w w:val="120"/>
        </w:rPr>
        <w:t> </w:t>
      </w:r>
      <w:r>
        <w:rPr>
          <w:w w:val="120"/>
        </w:rPr>
        <w:t>crecimiento</w:t>
      </w:r>
      <w:r>
        <w:rPr>
          <w:spacing w:val="-17"/>
          <w:w w:val="120"/>
        </w:rPr>
        <w:t> </w:t>
      </w:r>
      <w:r>
        <w:rPr>
          <w:w w:val="120"/>
        </w:rPr>
        <w:t>económico</w:t>
      </w:r>
      <w:r>
        <w:rPr>
          <w:spacing w:val="-17"/>
          <w:w w:val="120"/>
        </w:rPr>
        <w:t> </w:t>
      </w:r>
      <w:r>
        <w:rPr>
          <w:w w:val="120"/>
        </w:rPr>
        <w:t>incluyente;</w:t>
      </w:r>
      <w:r>
        <w:rPr>
          <w:spacing w:val="-17"/>
          <w:w w:val="120"/>
        </w:rPr>
        <w:t> </w:t>
      </w:r>
      <w:r>
        <w:rPr>
          <w:w w:val="120"/>
        </w:rPr>
        <w:t>y</w:t>
      </w:r>
    </w:p>
    <w:p>
      <w:pPr>
        <w:pStyle w:val="BodyText"/>
        <w:spacing w:line="252" w:lineRule="auto"/>
        <w:ind w:left="850" w:right="115"/>
        <w:jc w:val="both"/>
      </w:pPr>
      <w:r>
        <w:rPr>
          <w:i/>
          <w:w w:val="110"/>
        </w:rPr>
        <w:t>iv) </w:t>
      </w:r>
      <w:r>
        <w:rPr>
          <w:w w:val="110"/>
        </w:rPr>
        <w:t>cambio climático; mientras que la Nss establece como pilares estratégicos: la seguridad, la prosperidad, los valores (democracia y libertad) y el orden internacional; cada uno de estos criterios invo- lucra  lo siguiente:</w:t>
      </w:r>
    </w:p>
    <w:p>
      <w:pPr>
        <w:pStyle w:val="BodyText"/>
        <w:rPr>
          <w:sz w:val="20"/>
        </w:rPr>
      </w:pPr>
    </w:p>
    <w:p>
      <w:pPr>
        <w:pStyle w:val="BodyText"/>
        <w:spacing w:before="7" w:after="1"/>
        <w:rPr>
          <w:sz w:val="11"/>
        </w:rPr>
      </w:pPr>
    </w:p>
    <w:tbl>
      <w:tblPr>
        <w:tblW w:w="0" w:type="auto"/>
        <w:jc w:val="left"/>
        <w:tblInd w:w="1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487"/>
        <w:gridCol w:w="3487"/>
      </w:tblGrid>
      <w:tr>
        <w:trPr>
          <w:trHeight w:val="1810" w:hRule="exact"/>
        </w:trPr>
        <w:tc>
          <w:tcPr>
            <w:tcW w:w="3487" w:type="dxa"/>
            <w:tcBorders>
              <w:left w:val="nil"/>
              <w:bottom w:val="dotted" w:sz="4" w:space="0" w:color="000000"/>
              <w:right w:val="dotted" w:sz="4" w:space="0" w:color="000000"/>
            </w:tcBorders>
          </w:tcPr>
          <w:p>
            <w:pPr>
              <w:pStyle w:val="TableParagraph"/>
              <w:spacing w:before="34"/>
              <w:ind w:left="80"/>
              <w:rPr>
                <w:sz w:val="16"/>
              </w:rPr>
            </w:pPr>
            <w:r>
              <w:rPr>
                <w:w w:val="95"/>
                <w:sz w:val="16"/>
              </w:rPr>
              <w:t>Seguridad</w:t>
            </w:r>
          </w:p>
          <w:p>
            <w:pPr>
              <w:pStyle w:val="TableParagraph"/>
              <w:numPr>
                <w:ilvl w:val="0"/>
                <w:numId w:val="24"/>
              </w:numPr>
              <w:tabs>
                <w:tab w:pos="199" w:val="left" w:leader="none"/>
              </w:tabs>
              <w:spacing w:line="240" w:lineRule="auto" w:before="8" w:after="0"/>
              <w:ind w:left="80" w:right="0" w:firstLine="0"/>
              <w:jc w:val="left"/>
              <w:rPr>
                <w:rFonts w:ascii="Trebuchet MS"/>
                <w:sz w:val="16"/>
              </w:rPr>
            </w:pPr>
            <w:r>
              <w:rPr>
                <w:rFonts w:ascii="Trebuchet MS"/>
                <w:w w:val="80"/>
                <w:sz w:val="16"/>
              </w:rPr>
              <w:t>Fortalecer la defensa</w:t>
            </w:r>
            <w:r>
              <w:rPr>
                <w:rFonts w:ascii="Trebuchet MS"/>
                <w:spacing w:val="17"/>
                <w:w w:val="80"/>
                <w:sz w:val="16"/>
              </w:rPr>
              <w:t> </w:t>
            </w:r>
            <w:r>
              <w:rPr>
                <w:rFonts w:ascii="Trebuchet MS"/>
                <w:w w:val="80"/>
                <w:sz w:val="16"/>
              </w:rPr>
              <w:t>nacional.</w:t>
            </w:r>
          </w:p>
          <w:p>
            <w:pPr>
              <w:pStyle w:val="TableParagraph"/>
              <w:numPr>
                <w:ilvl w:val="0"/>
                <w:numId w:val="24"/>
              </w:numPr>
              <w:tabs>
                <w:tab w:pos="199" w:val="left" w:leader="none"/>
              </w:tabs>
              <w:spacing w:line="240" w:lineRule="auto" w:before="6" w:after="0"/>
              <w:ind w:left="198" w:right="0" w:hanging="118"/>
              <w:jc w:val="left"/>
              <w:rPr>
                <w:rFonts w:ascii="Trebuchet MS"/>
                <w:sz w:val="16"/>
              </w:rPr>
            </w:pPr>
            <w:r>
              <w:rPr>
                <w:rFonts w:ascii="Trebuchet MS"/>
                <w:w w:val="85"/>
                <w:sz w:val="16"/>
              </w:rPr>
              <w:t>Reforzar</w:t>
            </w:r>
            <w:r>
              <w:rPr>
                <w:rFonts w:ascii="Trebuchet MS"/>
                <w:spacing w:val="-28"/>
                <w:w w:val="85"/>
                <w:sz w:val="16"/>
              </w:rPr>
              <w:t> </w:t>
            </w:r>
            <w:r>
              <w:rPr>
                <w:rFonts w:ascii="Trebuchet MS"/>
                <w:w w:val="85"/>
                <w:sz w:val="16"/>
              </w:rPr>
              <w:t>la</w:t>
            </w:r>
            <w:r>
              <w:rPr>
                <w:rFonts w:ascii="Trebuchet MS"/>
                <w:spacing w:val="-28"/>
                <w:w w:val="85"/>
                <w:sz w:val="16"/>
              </w:rPr>
              <w:t> </w:t>
            </w:r>
            <w:r>
              <w:rPr>
                <w:rFonts w:ascii="Trebuchet MS"/>
                <w:w w:val="85"/>
                <w:sz w:val="16"/>
              </w:rPr>
              <w:t>seguridad</w:t>
            </w:r>
            <w:r>
              <w:rPr>
                <w:rFonts w:ascii="Trebuchet MS"/>
                <w:spacing w:val="-28"/>
                <w:w w:val="85"/>
                <w:sz w:val="16"/>
              </w:rPr>
              <w:t> </w:t>
            </w:r>
            <w:r>
              <w:rPr>
                <w:rFonts w:ascii="Trebuchet MS"/>
                <w:w w:val="85"/>
                <w:sz w:val="16"/>
              </w:rPr>
              <w:t>interna.</w:t>
            </w:r>
          </w:p>
          <w:p>
            <w:pPr>
              <w:pStyle w:val="TableParagraph"/>
              <w:numPr>
                <w:ilvl w:val="0"/>
                <w:numId w:val="24"/>
              </w:numPr>
              <w:tabs>
                <w:tab w:pos="199" w:val="left" w:leader="none"/>
              </w:tabs>
              <w:spacing w:line="240" w:lineRule="auto" w:before="6" w:after="0"/>
              <w:ind w:left="198" w:right="0" w:hanging="118"/>
              <w:jc w:val="left"/>
              <w:rPr>
                <w:rFonts w:ascii="Trebuchet MS"/>
                <w:sz w:val="16"/>
              </w:rPr>
            </w:pPr>
            <w:r>
              <w:rPr>
                <w:rFonts w:ascii="Trebuchet MS"/>
                <w:w w:val="85"/>
                <w:sz w:val="16"/>
              </w:rPr>
              <w:t>Combatir</w:t>
            </w:r>
            <w:r>
              <w:rPr>
                <w:rFonts w:ascii="Trebuchet MS"/>
                <w:spacing w:val="-23"/>
                <w:w w:val="85"/>
                <w:sz w:val="16"/>
              </w:rPr>
              <w:t> </w:t>
            </w:r>
            <w:r>
              <w:rPr>
                <w:rFonts w:ascii="Trebuchet MS"/>
                <w:w w:val="85"/>
                <w:sz w:val="16"/>
              </w:rPr>
              <w:t>la</w:t>
            </w:r>
            <w:r>
              <w:rPr>
                <w:rFonts w:ascii="Trebuchet MS"/>
                <w:spacing w:val="-23"/>
                <w:w w:val="85"/>
                <w:sz w:val="16"/>
              </w:rPr>
              <w:t> </w:t>
            </w:r>
            <w:r>
              <w:rPr>
                <w:rFonts w:ascii="Trebuchet MS"/>
                <w:w w:val="85"/>
                <w:sz w:val="16"/>
              </w:rPr>
              <w:t>amenaza</w:t>
            </w:r>
            <w:r>
              <w:rPr>
                <w:rFonts w:ascii="Trebuchet MS"/>
                <w:spacing w:val="-23"/>
                <w:w w:val="85"/>
                <w:sz w:val="16"/>
              </w:rPr>
              <w:t> </w:t>
            </w:r>
            <w:r>
              <w:rPr>
                <w:rFonts w:ascii="Trebuchet MS"/>
                <w:w w:val="85"/>
                <w:sz w:val="16"/>
              </w:rPr>
              <w:t>al</w:t>
            </w:r>
            <w:r>
              <w:rPr>
                <w:rFonts w:ascii="Trebuchet MS"/>
                <w:spacing w:val="-23"/>
                <w:w w:val="85"/>
                <w:sz w:val="16"/>
              </w:rPr>
              <w:t> </w:t>
            </w:r>
            <w:r>
              <w:rPr>
                <w:rFonts w:ascii="Trebuchet MS"/>
                <w:w w:val="85"/>
                <w:sz w:val="16"/>
              </w:rPr>
              <w:t>terrorismo</w:t>
            </w:r>
            <w:r>
              <w:rPr>
                <w:rFonts w:ascii="Trebuchet MS"/>
                <w:spacing w:val="-23"/>
                <w:w w:val="85"/>
                <w:sz w:val="16"/>
              </w:rPr>
              <w:t> </w:t>
            </w:r>
            <w:r>
              <w:rPr>
                <w:rFonts w:ascii="Trebuchet MS"/>
                <w:w w:val="85"/>
                <w:sz w:val="16"/>
              </w:rPr>
              <w:t>global.</w:t>
            </w:r>
          </w:p>
          <w:p>
            <w:pPr>
              <w:pStyle w:val="TableParagraph"/>
              <w:numPr>
                <w:ilvl w:val="0"/>
                <w:numId w:val="24"/>
              </w:numPr>
              <w:tabs>
                <w:tab w:pos="199" w:val="left" w:leader="none"/>
              </w:tabs>
              <w:spacing w:line="247" w:lineRule="auto" w:before="6" w:after="0"/>
              <w:ind w:left="80" w:right="389" w:firstLine="0"/>
              <w:jc w:val="left"/>
              <w:rPr>
                <w:sz w:val="16"/>
              </w:rPr>
            </w:pPr>
            <w:r>
              <w:rPr>
                <w:rFonts w:ascii="Trebuchet MS" w:hAnsi="Trebuchet MS"/>
                <w:w w:val="85"/>
                <w:sz w:val="16"/>
              </w:rPr>
              <w:t>Construir</w:t>
            </w:r>
            <w:r>
              <w:rPr>
                <w:rFonts w:ascii="Trebuchet MS" w:hAnsi="Trebuchet MS"/>
                <w:spacing w:val="-14"/>
                <w:w w:val="85"/>
                <w:sz w:val="16"/>
              </w:rPr>
              <w:t> </w:t>
            </w:r>
            <w:r>
              <w:rPr>
                <w:rFonts w:ascii="Trebuchet MS" w:hAnsi="Trebuchet MS"/>
                <w:w w:val="85"/>
                <w:sz w:val="16"/>
              </w:rPr>
              <w:t>capacidades</w:t>
            </w:r>
            <w:r>
              <w:rPr>
                <w:rFonts w:ascii="Trebuchet MS" w:hAnsi="Trebuchet MS"/>
                <w:spacing w:val="-14"/>
                <w:w w:val="85"/>
                <w:sz w:val="16"/>
              </w:rPr>
              <w:t> </w:t>
            </w:r>
            <w:r>
              <w:rPr>
                <w:rFonts w:ascii="Trebuchet MS" w:hAnsi="Trebuchet MS"/>
                <w:w w:val="85"/>
                <w:sz w:val="16"/>
              </w:rPr>
              <w:t>de</w:t>
            </w:r>
            <w:r>
              <w:rPr>
                <w:rFonts w:ascii="Trebuchet MS" w:hAnsi="Trebuchet MS"/>
                <w:spacing w:val="-14"/>
                <w:w w:val="85"/>
                <w:sz w:val="16"/>
              </w:rPr>
              <w:t> </w:t>
            </w:r>
            <w:r>
              <w:rPr>
                <w:rFonts w:ascii="Trebuchet MS" w:hAnsi="Trebuchet MS"/>
                <w:w w:val="85"/>
                <w:sz w:val="16"/>
              </w:rPr>
              <w:t>prevención</w:t>
            </w:r>
            <w:r>
              <w:rPr>
                <w:rFonts w:ascii="Trebuchet MS" w:hAnsi="Trebuchet MS"/>
                <w:spacing w:val="-14"/>
                <w:w w:val="85"/>
                <w:sz w:val="16"/>
              </w:rPr>
              <w:t> </w:t>
            </w:r>
            <w:r>
              <w:rPr>
                <w:rFonts w:ascii="Trebuchet MS" w:hAnsi="Trebuchet MS"/>
                <w:w w:val="85"/>
                <w:sz w:val="16"/>
              </w:rPr>
              <w:t>social</w:t>
            </w:r>
            <w:r>
              <w:rPr>
                <w:rFonts w:ascii="Trebuchet MS" w:hAnsi="Trebuchet MS"/>
                <w:spacing w:val="-14"/>
                <w:w w:val="85"/>
                <w:sz w:val="16"/>
              </w:rPr>
              <w:t> </w:t>
            </w:r>
            <w:r>
              <w:rPr>
                <w:rFonts w:ascii="Trebuchet MS" w:hAnsi="Trebuchet MS"/>
                <w:w w:val="85"/>
                <w:sz w:val="16"/>
              </w:rPr>
              <w:t>de</w:t>
            </w:r>
            <w:r>
              <w:rPr>
                <w:rFonts w:ascii="Trebuchet MS" w:hAnsi="Trebuchet MS"/>
                <w:spacing w:val="-14"/>
                <w:w w:val="85"/>
                <w:sz w:val="16"/>
              </w:rPr>
              <w:t> </w:t>
            </w:r>
            <w:r>
              <w:rPr>
                <w:rFonts w:ascii="Trebuchet MS" w:hAnsi="Trebuchet MS"/>
                <w:w w:val="85"/>
                <w:sz w:val="16"/>
              </w:rPr>
              <w:t>la </w:t>
            </w:r>
            <w:r>
              <w:rPr>
                <w:w w:val="85"/>
                <w:sz w:val="16"/>
              </w:rPr>
              <w:t>violencia y el</w:t>
            </w:r>
            <w:r>
              <w:rPr>
                <w:spacing w:val="-19"/>
                <w:w w:val="85"/>
                <w:sz w:val="16"/>
              </w:rPr>
              <w:t> </w:t>
            </w:r>
            <w:r>
              <w:rPr>
                <w:w w:val="85"/>
                <w:sz w:val="16"/>
              </w:rPr>
              <w:t>delito.</w:t>
            </w:r>
          </w:p>
          <w:p>
            <w:pPr>
              <w:pStyle w:val="TableParagraph"/>
              <w:numPr>
                <w:ilvl w:val="0"/>
                <w:numId w:val="24"/>
              </w:numPr>
              <w:tabs>
                <w:tab w:pos="199" w:val="left" w:leader="none"/>
              </w:tabs>
              <w:spacing w:line="240" w:lineRule="auto" w:before="2" w:after="0"/>
              <w:ind w:left="198" w:right="0" w:hanging="118"/>
              <w:jc w:val="left"/>
              <w:rPr>
                <w:rFonts w:ascii="Trebuchet MS" w:hAnsi="Trebuchet MS"/>
                <w:sz w:val="16"/>
              </w:rPr>
            </w:pPr>
            <w:r>
              <w:rPr>
                <w:rFonts w:ascii="Trebuchet MS" w:hAnsi="Trebuchet MS"/>
                <w:w w:val="85"/>
                <w:sz w:val="16"/>
              </w:rPr>
              <w:t>Prevenir</w:t>
            </w:r>
            <w:r>
              <w:rPr>
                <w:rFonts w:ascii="Trebuchet MS" w:hAnsi="Trebuchet MS"/>
                <w:spacing w:val="-14"/>
                <w:w w:val="85"/>
                <w:sz w:val="16"/>
              </w:rPr>
              <w:t> </w:t>
            </w:r>
            <w:r>
              <w:rPr>
                <w:rFonts w:ascii="Trebuchet MS" w:hAnsi="Trebuchet MS"/>
                <w:w w:val="85"/>
                <w:sz w:val="16"/>
              </w:rPr>
              <w:t>la</w:t>
            </w:r>
            <w:r>
              <w:rPr>
                <w:rFonts w:ascii="Trebuchet MS" w:hAnsi="Trebuchet MS"/>
                <w:spacing w:val="-14"/>
                <w:w w:val="85"/>
                <w:sz w:val="16"/>
              </w:rPr>
              <w:t> </w:t>
            </w:r>
            <w:r>
              <w:rPr>
                <w:rFonts w:ascii="Trebuchet MS" w:hAnsi="Trebuchet MS"/>
                <w:w w:val="85"/>
                <w:sz w:val="16"/>
              </w:rPr>
              <w:t>difusión</w:t>
            </w:r>
            <w:r>
              <w:rPr>
                <w:rFonts w:ascii="Trebuchet MS" w:hAnsi="Trebuchet MS"/>
                <w:spacing w:val="-14"/>
                <w:w w:val="85"/>
                <w:sz w:val="16"/>
              </w:rPr>
              <w:t> </w:t>
            </w:r>
            <w:r>
              <w:rPr>
                <w:rFonts w:ascii="Trebuchet MS" w:hAnsi="Trebuchet MS"/>
                <w:w w:val="85"/>
                <w:sz w:val="16"/>
              </w:rPr>
              <w:t>de</w:t>
            </w:r>
            <w:r>
              <w:rPr>
                <w:rFonts w:ascii="Trebuchet MS" w:hAnsi="Trebuchet MS"/>
                <w:spacing w:val="-14"/>
                <w:w w:val="85"/>
                <w:sz w:val="16"/>
              </w:rPr>
              <w:t> </w:t>
            </w:r>
            <w:r>
              <w:rPr>
                <w:rFonts w:ascii="Trebuchet MS" w:hAnsi="Trebuchet MS"/>
                <w:w w:val="85"/>
                <w:sz w:val="16"/>
              </w:rPr>
              <w:t>armas</w:t>
            </w:r>
            <w:r>
              <w:rPr>
                <w:rFonts w:ascii="Trebuchet MS" w:hAnsi="Trebuchet MS"/>
                <w:spacing w:val="-14"/>
                <w:w w:val="85"/>
                <w:sz w:val="16"/>
              </w:rPr>
              <w:t> </w:t>
            </w:r>
            <w:r>
              <w:rPr>
                <w:rFonts w:ascii="Trebuchet MS" w:hAnsi="Trebuchet MS"/>
                <w:w w:val="85"/>
                <w:sz w:val="16"/>
              </w:rPr>
              <w:t>de</w:t>
            </w:r>
            <w:r>
              <w:rPr>
                <w:rFonts w:ascii="Trebuchet MS" w:hAnsi="Trebuchet MS"/>
                <w:spacing w:val="-14"/>
                <w:w w:val="85"/>
                <w:sz w:val="16"/>
              </w:rPr>
              <w:t> </w:t>
            </w:r>
            <w:r>
              <w:rPr>
                <w:rFonts w:ascii="Trebuchet MS" w:hAnsi="Trebuchet MS"/>
                <w:w w:val="85"/>
                <w:sz w:val="16"/>
              </w:rPr>
              <w:t>destrucción</w:t>
            </w:r>
            <w:r>
              <w:rPr>
                <w:rFonts w:ascii="Trebuchet MS" w:hAnsi="Trebuchet MS"/>
                <w:spacing w:val="-14"/>
                <w:w w:val="85"/>
                <w:sz w:val="16"/>
              </w:rPr>
              <w:t> </w:t>
            </w:r>
            <w:r>
              <w:rPr>
                <w:rFonts w:ascii="Trebuchet MS" w:hAnsi="Trebuchet MS"/>
                <w:w w:val="85"/>
                <w:sz w:val="16"/>
              </w:rPr>
              <w:t>masiva.</w:t>
            </w:r>
          </w:p>
          <w:p>
            <w:pPr>
              <w:pStyle w:val="TableParagraph"/>
              <w:numPr>
                <w:ilvl w:val="0"/>
                <w:numId w:val="24"/>
              </w:numPr>
              <w:tabs>
                <w:tab w:pos="193" w:val="left" w:leader="none"/>
              </w:tabs>
              <w:spacing w:line="240" w:lineRule="auto" w:before="6" w:after="0"/>
              <w:ind w:left="192" w:right="0" w:hanging="112"/>
              <w:jc w:val="left"/>
              <w:rPr>
                <w:rFonts w:ascii="Trebuchet MS" w:hAnsi="Trebuchet MS"/>
                <w:sz w:val="16"/>
              </w:rPr>
            </w:pPr>
            <w:r>
              <w:rPr>
                <w:rFonts w:ascii="Trebuchet MS" w:hAnsi="Trebuchet MS"/>
                <w:w w:val="85"/>
                <w:sz w:val="16"/>
              </w:rPr>
              <w:t>Afrontar</w:t>
            </w:r>
            <w:r>
              <w:rPr>
                <w:rFonts w:ascii="Trebuchet MS" w:hAnsi="Trebuchet MS"/>
                <w:spacing w:val="-26"/>
                <w:w w:val="85"/>
                <w:sz w:val="16"/>
              </w:rPr>
              <w:t> </w:t>
            </w:r>
            <w:r>
              <w:rPr>
                <w:rFonts w:ascii="Trebuchet MS" w:hAnsi="Trebuchet MS"/>
                <w:w w:val="85"/>
                <w:sz w:val="16"/>
              </w:rPr>
              <w:t>las</w:t>
            </w:r>
            <w:r>
              <w:rPr>
                <w:rFonts w:ascii="Trebuchet MS" w:hAnsi="Trebuchet MS"/>
                <w:spacing w:val="-26"/>
                <w:w w:val="85"/>
                <w:sz w:val="16"/>
              </w:rPr>
              <w:t> </w:t>
            </w:r>
            <w:r>
              <w:rPr>
                <w:rFonts w:ascii="Trebuchet MS" w:hAnsi="Trebuchet MS"/>
                <w:w w:val="85"/>
                <w:sz w:val="16"/>
              </w:rPr>
              <w:t>implicaciones</w:t>
            </w:r>
            <w:r>
              <w:rPr>
                <w:rFonts w:ascii="Trebuchet MS" w:hAnsi="Trebuchet MS"/>
                <w:spacing w:val="-26"/>
                <w:w w:val="85"/>
                <w:sz w:val="16"/>
              </w:rPr>
              <w:t> </w:t>
            </w:r>
            <w:r>
              <w:rPr>
                <w:rFonts w:ascii="Trebuchet MS" w:hAnsi="Trebuchet MS"/>
                <w:w w:val="85"/>
                <w:sz w:val="16"/>
              </w:rPr>
              <w:t>del</w:t>
            </w:r>
            <w:r>
              <w:rPr>
                <w:rFonts w:ascii="Trebuchet MS" w:hAnsi="Trebuchet MS"/>
                <w:spacing w:val="-26"/>
                <w:w w:val="85"/>
                <w:sz w:val="16"/>
              </w:rPr>
              <w:t> </w:t>
            </w:r>
            <w:r>
              <w:rPr>
                <w:rFonts w:ascii="Trebuchet MS" w:hAnsi="Trebuchet MS"/>
                <w:w w:val="85"/>
                <w:sz w:val="16"/>
              </w:rPr>
              <w:t>cambio</w:t>
            </w:r>
            <w:r>
              <w:rPr>
                <w:rFonts w:ascii="Trebuchet MS" w:hAnsi="Trebuchet MS"/>
                <w:spacing w:val="-26"/>
                <w:w w:val="85"/>
                <w:sz w:val="16"/>
              </w:rPr>
              <w:t> </w:t>
            </w:r>
            <w:r>
              <w:rPr>
                <w:rFonts w:ascii="Trebuchet MS" w:hAnsi="Trebuchet MS"/>
                <w:w w:val="85"/>
                <w:sz w:val="16"/>
              </w:rPr>
              <w:t>climático.</w:t>
            </w:r>
          </w:p>
          <w:p>
            <w:pPr>
              <w:pStyle w:val="TableParagraph"/>
              <w:numPr>
                <w:ilvl w:val="0"/>
                <w:numId w:val="24"/>
              </w:numPr>
              <w:tabs>
                <w:tab w:pos="199" w:val="left" w:leader="none"/>
              </w:tabs>
              <w:spacing w:line="240" w:lineRule="auto" w:before="6" w:after="0"/>
              <w:ind w:left="198" w:right="0" w:hanging="118"/>
              <w:jc w:val="left"/>
              <w:rPr>
                <w:rFonts w:ascii="Trebuchet MS"/>
                <w:sz w:val="16"/>
              </w:rPr>
            </w:pPr>
            <w:r>
              <w:rPr>
                <w:rFonts w:ascii="Trebuchet MS"/>
                <w:w w:val="85"/>
                <w:sz w:val="16"/>
              </w:rPr>
              <w:t>Garantizar</w:t>
            </w:r>
            <w:r>
              <w:rPr>
                <w:rFonts w:ascii="Trebuchet MS"/>
                <w:spacing w:val="-17"/>
                <w:w w:val="85"/>
                <w:sz w:val="16"/>
              </w:rPr>
              <w:t> </w:t>
            </w:r>
            <w:r>
              <w:rPr>
                <w:rFonts w:ascii="Trebuchet MS"/>
                <w:w w:val="85"/>
                <w:sz w:val="16"/>
              </w:rPr>
              <w:t>el</w:t>
            </w:r>
            <w:r>
              <w:rPr>
                <w:rFonts w:ascii="Trebuchet MS"/>
                <w:spacing w:val="-17"/>
                <w:w w:val="85"/>
                <w:sz w:val="16"/>
              </w:rPr>
              <w:t> </w:t>
            </w:r>
            <w:r>
              <w:rPr>
                <w:rFonts w:ascii="Trebuchet MS"/>
                <w:w w:val="85"/>
                <w:sz w:val="16"/>
              </w:rPr>
              <w:t>acceso</w:t>
            </w:r>
            <w:r>
              <w:rPr>
                <w:rFonts w:ascii="Trebuchet MS"/>
                <w:spacing w:val="-17"/>
                <w:w w:val="85"/>
                <w:sz w:val="16"/>
              </w:rPr>
              <w:t> </w:t>
            </w:r>
            <w:r>
              <w:rPr>
                <w:rFonts w:ascii="Trebuchet MS"/>
                <w:w w:val="85"/>
                <w:sz w:val="16"/>
              </w:rPr>
              <w:t>a</w:t>
            </w:r>
            <w:r>
              <w:rPr>
                <w:rFonts w:ascii="Trebuchet MS"/>
                <w:spacing w:val="-17"/>
                <w:w w:val="85"/>
                <w:sz w:val="16"/>
              </w:rPr>
              <w:t> </w:t>
            </w:r>
            <w:r>
              <w:rPr>
                <w:rFonts w:ascii="Trebuchet MS"/>
                <w:w w:val="85"/>
                <w:sz w:val="16"/>
              </w:rPr>
              <w:t>espacios</w:t>
            </w:r>
            <w:r>
              <w:rPr>
                <w:rFonts w:ascii="Trebuchet MS"/>
                <w:spacing w:val="-17"/>
                <w:w w:val="85"/>
                <w:sz w:val="16"/>
              </w:rPr>
              <w:t> </w:t>
            </w:r>
            <w:r>
              <w:rPr>
                <w:rFonts w:ascii="Trebuchet MS"/>
                <w:w w:val="85"/>
                <w:sz w:val="16"/>
              </w:rPr>
              <w:t>compartidos.</w:t>
            </w:r>
          </w:p>
        </w:tc>
        <w:tc>
          <w:tcPr>
            <w:tcW w:w="3487" w:type="dxa"/>
            <w:tcBorders>
              <w:left w:val="dotted" w:sz="4" w:space="0" w:color="000000"/>
              <w:bottom w:val="dotted" w:sz="4" w:space="0" w:color="000000"/>
              <w:right w:val="nil"/>
            </w:tcBorders>
          </w:tcPr>
          <w:p>
            <w:pPr>
              <w:pStyle w:val="TableParagraph"/>
              <w:spacing w:before="34"/>
              <w:ind w:left="74"/>
              <w:rPr>
                <w:sz w:val="16"/>
              </w:rPr>
            </w:pPr>
            <w:r>
              <w:rPr>
                <w:w w:val="95"/>
                <w:sz w:val="16"/>
              </w:rPr>
              <w:t>Valores</w:t>
            </w:r>
          </w:p>
          <w:p>
            <w:pPr>
              <w:pStyle w:val="TableParagraph"/>
              <w:numPr>
                <w:ilvl w:val="0"/>
                <w:numId w:val="25"/>
              </w:numPr>
              <w:tabs>
                <w:tab w:pos="194" w:val="left" w:leader="none"/>
              </w:tabs>
              <w:spacing w:line="247" w:lineRule="auto" w:before="8" w:after="0"/>
              <w:ind w:left="74" w:right="459" w:firstLine="0"/>
              <w:jc w:val="left"/>
              <w:rPr>
                <w:sz w:val="16"/>
              </w:rPr>
            </w:pPr>
            <w:r>
              <w:rPr>
                <w:rFonts w:ascii="Trebuchet MS"/>
                <w:w w:val="85"/>
                <w:sz w:val="16"/>
              </w:rPr>
              <w:t>Promover</w:t>
            </w:r>
            <w:r>
              <w:rPr>
                <w:rFonts w:ascii="Trebuchet MS"/>
                <w:spacing w:val="-26"/>
                <w:w w:val="85"/>
                <w:sz w:val="16"/>
              </w:rPr>
              <w:t> </w:t>
            </w:r>
            <w:r>
              <w:rPr>
                <w:rFonts w:ascii="Trebuchet MS"/>
                <w:w w:val="85"/>
                <w:sz w:val="16"/>
              </w:rPr>
              <w:t>los</w:t>
            </w:r>
            <w:r>
              <w:rPr>
                <w:rFonts w:ascii="Trebuchet MS"/>
                <w:spacing w:val="-26"/>
                <w:w w:val="85"/>
                <w:sz w:val="16"/>
              </w:rPr>
              <w:t> </w:t>
            </w:r>
            <w:r>
              <w:rPr>
                <w:rFonts w:ascii="Trebuchet MS"/>
                <w:w w:val="85"/>
                <w:sz w:val="16"/>
              </w:rPr>
              <w:t>valores</w:t>
            </w:r>
            <w:r>
              <w:rPr>
                <w:rFonts w:ascii="Trebuchet MS"/>
                <w:spacing w:val="-26"/>
                <w:w w:val="85"/>
                <w:sz w:val="16"/>
              </w:rPr>
              <w:t> </w:t>
            </w:r>
            <w:r>
              <w:rPr>
                <w:rFonts w:ascii="Trebuchet MS"/>
                <w:w w:val="85"/>
                <w:sz w:val="16"/>
              </w:rPr>
              <w:t>estadounidenses</w:t>
            </w:r>
            <w:r>
              <w:rPr>
                <w:rFonts w:ascii="Trebuchet MS"/>
                <w:spacing w:val="-26"/>
                <w:w w:val="85"/>
                <w:sz w:val="16"/>
              </w:rPr>
              <w:t> </w:t>
            </w:r>
            <w:r>
              <w:rPr>
                <w:rFonts w:ascii="Trebuchet MS"/>
                <w:w w:val="85"/>
                <w:sz w:val="16"/>
              </w:rPr>
              <w:t>(libertad,</w:t>
            </w:r>
            <w:r>
              <w:rPr>
                <w:rFonts w:ascii="Trebuchet MS"/>
                <w:w w:val="76"/>
                <w:sz w:val="16"/>
              </w:rPr>
              <w:t> </w:t>
            </w:r>
            <w:r>
              <w:rPr>
                <w:w w:val="85"/>
                <w:sz w:val="16"/>
              </w:rPr>
              <w:t>democracia,</w:t>
            </w:r>
            <w:r>
              <w:rPr>
                <w:spacing w:val="-22"/>
                <w:w w:val="85"/>
                <w:sz w:val="16"/>
              </w:rPr>
              <w:t> </w:t>
            </w:r>
            <w:r>
              <w:rPr>
                <w:w w:val="85"/>
                <w:sz w:val="16"/>
              </w:rPr>
              <w:t>derechos</w:t>
            </w:r>
            <w:r>
              <w:rPr>
                <w:spacing w:val="-19"/>
                <w:w w:val="85"/>
                <w:sz w:val="16"/>
              </w:rPr>
              <w:t> </w:t>
            </w:r>
            <w:r>
              <w:rPr>
                <w:w w:val="85"/>
                <w:sz w:val="16"/>
              </w:rPr>
              <w:t>humanos,</w:t>
            </w:r>
            <w:r>
              <w:rPr>
                <w:spacing w:val="-22"/>
                <w:w w:val="85"/>
                <w:sz w:val="16"/>
              </w:rPr>
              <w:t> </w:t>
            </w:r>
            <w:r>
              <w:rPr>
                <w:w w:val="85"/>
                <w:sz w:val="16"/>
              </w:rPr>
              <w:t>etc.).</w:t>
            </w:r>
          </w:p>
          <w:p>
            <w:pPr>
              <w:pStyle w:val="TableParagraph"/>
              <w:numPr>
                <w:ilvl w:val="0"/>
                <w:numId w:val="25"/>
              </w:numPr>
              <w:tabs>
                <w:tab w:pos="194" w:val="left" w:leader="none"/>
              </w:tabs>
              <w:spacing w:line="240" w:lineRule="auto" w:before="2" w:after="0"/>
              <w:ind w:left="193" w:right="0" w:hanging="119"/>
              <w:jc w:val="left"/>
              <w:rPr>
                <w:rFonts w:ascii="Trebuchet MS"/>
                <w:sz w:val="16"/>
              </w:rPr>
            </w:pPr>
            <w:r>
              <w:rPr>
                <w:rFonts w:ascii="Trebuchet MS"/>
                <w:w w:val="85"/>
                <w:sz w:val="16"/>
              </w:rPr>
              <w:t>Incorporar</w:t>
            </w:r>
            <w:r>
              <w:rPr>
                <w:rFonts w:ascii="Trebuchet MS"/>
                <w:spacing w:val="-18"/>
                <w:w w:val="85"/>
                <w:sz w:val="16"/>
              </w:rPr>
              <w:t> </w:t>
            </w:r>
            <w:r>
              <w:rPr>
                <w:rFonts w:ascii="Trebuchet MS"/>
                <w:w w:val="85"/>
                <w:sz w:val="16"/>
              </w:rPr>
              <w:t>la</w:t>
            </w:r>
            <w:r>
              <w:rPr>
                <w:rFonts w:ascii="Trebuchet MS"/>
                <w:spacing w:val="-18"/>
                <w:w w:val="85"/>
                <w:sz w:val="16"/>
              </w:rPr>
              <w:t> </w:t>
            </w:r>
            <w:r>
              <w:rPr>
                <w:rFonts w:ascii="Trebuchet MS"/>
                <w:w w:val="85"/>
                <w:sz w:val="16"/>
              </w:rPr>
              <w:t>igualdad</w:t>
            </w:r>
            <w:r>
              <w:rPr>
                <w:rFonts w:ascii="Trebuchet MS"/>
                <w:spacing w:val="-18"/>
                <w:w w:val="85"/>
                <w:sz w:val="16"/>
              </w:rPr>
              <w:t> </w:t>
            </w:r>
            <w:r>
              <w:rPr>
                <w:rFonts w:ascii="Trebuchet MS"/>
                <w:w w:val="85"/>
                <w:sz w:val="16"/>
              </w:rPr>
              <w:t>entre</w:t>
            </w:r>
            <w:r>
              <w:rPr>
                <w:rFonts w:ascii="Trebuchet MS"/>
                <w:spacing w:val="-18"/>
                <w:w w:val="85"/>
                <w:sz w:val="16"/>
              </w:rPr>
              <w:t> </w:t>
            </w:r>
            <w:r>
              <w:rPr>
                <w:rFonts w:ascii="Trebuchet MS"/>
                <w:w w:val="85"/>
                <w:sz w:val="16"/>
              </w:rPr>
              <w:t>las</w:t>
            </w:r>
            <w:r>
              <w:rPr>
                <w:rFonts w:ascii="Trebuchet MS"/>
                <w:spacing w:val="-18"/>
                <w:w w:val="85"/>
                <w:sz w:val="16"/>
              </w:rPr>
              <w:t> </w:t>
            </w:r>
            <w:r>
              <w:rPr>
                <w:rFonts w:ascii="Trebuchet MS"/>
                <w:w w:val="85"/>
                <w:sz w:val="16"/>
              </w:rPr>
              <w:t>personas.</w:t>
            </w:r>
          </w:p>
          <w:p>
            <w:pPr>
              <w:pStyle w:val="TableParagraph"/>
              <w:numPr>
                <w:ilvl w:val="0"/>
                <w:numId w:val="25"/>
              </w:numPr>
              <w:tabs>
                <w:tab w:pos="194" w:val="left" w:leader="none"/>
              </w:tabs>
              <w:spacing w:line="240" w:lineRule="auto" w:before="6" w:after="0"/>
              <w:ind w:left="193" w:right="0" w:hanging="119"/>
              <w:jc w:val="left"/>
              <w:rPr>
                <w:rFonts w:ascii="Trebuchet MS"/>
                <w:sz w:val="16"/>
              </w:rPr>
            </w:pPr>
            <w:r>
              <w:rPr>
                <w:rFonts w:ascii="Trebuchet MS"/>
                <w:w w:val="85"/>
                <w:sz w:val="16"/>
              </w:rPr>
              <w:t>Brindar</w:t>
            </w:r>
            <w:r>
              <w:rPr>
                <w:rFonts w:ascii="Trebuchet MS"/>
                <w:spacing w:val="-13"/>
                <w:w w:val="85"/>
                <w:sz w:val="16"/>
              </w:rPr>
              <w:t> </w:t>
            </w:r>
            <w:r>
              <w:rPr>
                <w:rFonts w:ascii="Trebuchet MS"/>
                <w:w w:val="85"/>
                <w:sz w:val="16"/>
              </w:rPr>
              <w:t>apoyo</w:t>
            </w:r>
            <w:r>
              <w:rPr>
                <w:rFonts w:ascii="Trebuchet MS"/>
                <w:spacing w:val="-13"/>
                <w:w w:val="85"/>
                <w:sz w:val="16"/>
              </w:rPr>
              <w:t> </w:t>
            </w:r>
            <w:r>
              <w:rPr>
                <w:rFonts w:ascii="Trebuchet MS"/>
                <w:w w:val="85"/>
                <w:sz w:val="16"/>
              </w:rPr>
              <w:t>a</w:t>
            </w:r>
            <w:r>
              <w:rPr>
                <w:rFonts w:ascii="Trebuchet MS"/>
                <w:spacing w:val="-13"/>
                <w:w w:val="85"/>
                <w:sz w:val="16"/>
              </w:rPr>
              <w:t> </w:t>
            </w:r>
            <w:r>
              <w:rPr>
                <w:rFonts w:ascii="Trebuchet MS"/>
                <w:w w:val="85"/>
                <w:sz w:val="16"/>
              </w:rPr>
              <w:t>las</w:t>
            </w:r>
            <w:r>
              <w:rPr>
                <w:rFonts w:ascii="Trebuchet MS"/>
                <w:spacing w:val="-13"/>
                <w:w w:val="85"/>
                <w:sz w:val="16"/>
              </w:rPr>
              <w:t> </w:t>
            </w:r>
            <w:r>
              <w:rPr>
                <w:rFonts w:ascii="Trebuchet MS"/>
                <w:w w:val="85"/>
                <w:sz w:val="16"/>
              </w:rPr>
              <w:t>democracias</w:t>
            </w:r>
            <w:r>
              <w:rPr>
                <w:rFonts w:ascii="Trebuchet MS"/>
                <w:spacing w:val="-13"/>
                <w:w w:val="85"/>
                <w:sz w:val="16"/>
              </w:rPr>
              <w:t> </w:t>
            </w:r>
            <w:r>
              <w:rPr>
                <w:rFonts w:ascii="Trebuchet MS"/>
                <w:w w:val="85"/>
                <w:sz w:val="16"/>
              </w:rPr>
              <w:t>emergentes.</w:t>
            </w:r>
          </w:p>
          <w:p>
            <w:pPr>
              <w:pStyle w:val="TableParagraph"/>
              <w:numPr>
                <w:ilvl w:val="0"/>
                <w:numId w:val="25"/>
              </w:numPr>
              <w:tabs>
                <w:tab w:pos="188" w:val="left" w:leader="none"/>
              </w:tabs>
              <w:spacing w:line="247" w:lineRule="auto" w:before="6" w:after="0"/>
              <w:ind w:left="74" w:right="175" w:firstLine="0"/>
              <w:jc w:val="left"/>
              <w:rPr>
                <w:sz w:val="16"/>
              </w:rPr>
            </w:pPr>
            <w:r>
              <w:rPr>
                <w:rFonts w:ascii="Trebuchet MS" w:hAnsi="Trebuchet MS"/>
                <w:w w:val="85"/>
                <w:sz w:val="16"/>
              </w:rPr>
              <w:t>Apoyar</w:t>
            </w:r>
            <w:r>
              <w:rPr>
                <w:rFonts w:ascii="Trebuchet MS" w:hAnsi="Trebuchet MS"/>
                <w:spacing w:val="-11"/>
                <w:w w:val="85"/>
                <w:sz w:val="16"/>
              </w:rPr>
              <w:t> </w:t>
            </w:r>
            <w:r>
              <w:rPr>
                <w:rFonts w:ascii="Trebuchet MS" w:hAnsi="Trebuchet MS"/>
                <w:w w:val="85"/>
                <w:sz w:val="16"/>
              </w:rPr>
              <w:t>a</w:t>
            </w:r>
            <w:r>
              <w:rPr>
                <w:rFonts w:ascii="Trebuchet MS" w:hAnsi="Trebuchet MS"/>
                <w:spacing w:val="-11"/>
                <w:w w:val="85"/>
                <w:sz w:val="16"/>
              </w:rPr>
              <w:t> </w:t>
            </w:r>
            <w:r>
              <w:rPr>
                <w:rFonts w:ascii="Trebuchet MS" w:hAnsi="Trebuchet MS"/>
                <w:w w:val="85"/>
                <w:sz w:val="16"/>
              </w:rPr>
              <w:t>las</w:t>
            </w:r>
            <w:r>
              <w:rPr>
                <w:rFonts w:ascii="Trebuchet MS" w:hAnsi="Trebuchet MS"/>
                <w:spacing w:val="-11"/>
                <w:w w:val="85"/>
                <w:sz w:val="16"/>
              </w:rPr>
              <w:t> </w:t>
            </w:r>
            <w:r>
              <w:rPr>
                <w:rFonts w:ascii="Trebuchet MS" w:hAnsi="Trebuchet MS"/>
                <w:w w:val="85"/>
                <w:sz w:val="16"/>
              </w:rPr>
              <w:t>organizaciones</w:t>
            </w:r>
            <w:r>
              <w:rPr>
                <w:rFonts w:ascii="Trebuchet MS" w:hAnsi="Trebuchet MS"/>
                <w:spacing w:val="-11"/>
                <w:w w:val="85"/>
                <w:sz w:val="16"/>
              </w:rPr>
              <w:t> </w:t>
            </w:r>
            <w:r>
              <w:rPr>
                <w:rFonts w:ascii="Trebuchet MS" w:hAnsi="Trebuchet MS"/>
                <w:w w:val="85"/>
                <w:sz w:val="16"/>
              </w:rPr>
              <w:t>de</w:t>
            </w:r>
            <w:r>
              <w:rPr>
                <w:rFonts w:ascii="Trebuchet MS" w:hAnsi="Trebuchet MS"/>
                <w:spacing w:val="-11"/>
                <w:w w:val="85"/>
                <w:sz w:val="16"/>
              </w:rPr>
              <w:t> </w:t>
            </w:r>
            <w:r>
              <w:rPr>
                <w:rFonts w:ascii="Trebuchet MS" w:hAnsi="Trebuchet MS"/>
                <w:w w:val="85"/>
                <w:sz w:val="16"/>
              </w:rPr>
              <w:t>la</w:t>
            </w:r>
            <w:r>
              <w:rPr>
                <w:rFonts w:ascii="Trebuchet MS" w:hAnsi="Trebuchet MS"/>
                <w:spacing w:val="-11"/>
                <w:w w:val="85"/>
                <w:sz w:val="16"/>
              </w:rPr>
              <w:t> </w:t>
            </w:r>
            <w:r>
              <w:rPr>
                <w:rFonts w:ascii="Trebuchet MS" w:hAnsi="Trebuchet MS"/>
                <w:w w:val="85"/>
                <w:sz w:val="16"/>
              </w:rPr>
              <w:t>sociedad</w:t>
            </w:r>
            <w:r>
              <w:rPr>
                <w:rFonts w:ascii="Trebuchet MS" w:hAnsi="Trebuchet MS"/>
                <w:spacing w:val="-11"/>
                <w:w w:val="85"/>
                <w:sz w:val="16"/>
              </w:rPr>
              <w:t> </w:t>
            </w:r>
            <w:r>
              <w:rPr>
                <w:rFonts w:ascii="Trebuchet MS" w:hAnsi="Trebuchet MS"/>
                <w:w w:val="85"/>
                <w:sz w:val="16"/>
              </w:rPr>
              <w:t>civil</w:t>
            </w:r>
            <w:r>
              <w:rPr>
                <w:rFonts w:ascii="Trebuchet MS" w:hAnsi="Trebuchet MS"/>
                <w:spacing w:val="-11"/>
                <w:w w:val="85"/>
                <w:sz w:val="16"/>
              </w:rPr>
              <w:t> </w:t>
            </w:r>
            <w:r>
              <w:rPr>
                <w:rFonts w:ascii="Trebuchet MS" w:hAnsi="Trebuchet MS"/>
                <w:w w:val="85"/>
                <w:sz w:val="16"/>
              </w:rPr>
              <w:t>para </w:t>
            </w:r>
            <w:r>
              <w:rPr>
                <w:w w:val="85"/>
                <w:sz w:val="16"/>
              </w:rPr>
              <w:t>que</w:t>
            </w:r>
            <w:r>
              <w:rPr>
                <w:spacing w:val="-14"/>
                <w:w w:val="85"/>
                <w:sz w:val="16"/>
              </w:rPr>
              <w:t> </w:t>
            </w:r>
            <w:r>
              <w:rPr>
                <w:w w:val="85"/>
                <w:sz w:val="16"/>
              </w:rPr>
              <w:t>sean</w:t>
            </w:r>
            <w:r>
              <w:rPr>
                <w:spacing w:val="-14"/>
                <w:w w:val="85"/>
                <w:sz w:val="16"/>
              </w:rPr>
              <w:t> </w:t>
            </w:r>
            <w:r>
              <w:rPr>
                <w:w w:val="85"/>
                <w:sz w:val="16"/>
              </w:rPr>
              <w:t>más</w:t>
            </w:r>
            <w:r>
              <w:rPr>
                <w:spacing w:val="-14"/>
                <w:w w:val="85"/>
                <w:sz w:val="16"/>
              </w:rPr>
              <w:t> </w:t>
            </w:r>
            <w:r>
              <w:rPr>
                <w:w w:val="85"/>
                <w:sz w:val="16"/>
              </w:rPr>
              <w:t>proactivas.</w:t>
            </w:r>
          </w:p>
          <w:p>
            <w:pPr>
              <w:pStyle w:val="TableParagraph"/>
              <w:numPr>
                <w:ilvl w:val="0"/>
                <w:numId w:val="25"/>
              </w:numPr>
              <w:tabs>
                <w:tab w:pos="194" w:val="left" w:leader="none"/>
              </w:tabs>
              <w:spacing w:line="240" w:lineRule="auto" w:before="2" w:after="0"/>
              <w:ind w:left="193" w:right="0" w:hanging="119"/>
              <w:jc w:val="left"/>
              <w:rPr>
                <w:rFonts w:ascii="Trebuchet MS"/>
                <w:sz w:val="16"/>
              </w:rPr>
            </w:pPr>
            <w:r>
              <w:rPr>
                <w:rFonts w:ascii="Trebuchet MS"/>
                <w:w w:val="80"/>
                <w:sz w:val="16"/>
              </w:rPr>
              <w:t>Impulsar  liderazgos</w:t>
            </w:r>
            <w:r>
              <w:rPr>
                <w:rFonts w:ascii="Trebuchet MS"/>
                <w:spacing w:val="1"/>
                <w:w w:val="80"/>
                <w:sz w:val="16"/>
              </w:rPr>
              <w:t> </w:t>
            </w:r>
            <w:r>
              <w:rPr>
                <w:rFonts w:ascii="Trebuchet MS"/>
                <w:w w:val="80"/>
                <w:sz w:val="16"/>
              </w:rPr>
              <w:t>juveniles.</w:t>
            </w:r>
          </w:p>
          <w:p>
            <w:pPr>
              <w:pStyle w:val="TableParagraph"/>
              <w:numPr>
                <w:ilvl w:val="0"/>
                <w:numId w:val="25"/>
              </w:numPr>
              <w:tabs>
                <w:tab w:pos="194" w:val="left" w:leader="none"/>
              </w:tabs>
              <w:spacing w:line="240" w:lineRule="auto" w:before="6" w:after="0"/>
              <w:ind w:left="193" w:right="0" w:hanging="119"/>
              <w:jc w:val="left"/>
              <w:rPr>
                <w:rFonts w:ascii="Trebuchet MS" w:hAnsi="Trebuchet MS"/>
                <w:sz w:val="16"/>
              </w:rPr>
            </w:pPr>
            <w:r>
              <w:rPr>
                <w:rFonts w:ascii="Trebuchet MS" w:hAnsi="Trebuchet MS"/>
                <w:w w:val="85"/>
                <w:sz w:val="16"/>
              </w:rPr>
              <w:t>Prevenir</w:t>
            </w:r>
            <w:r>
              <w:rPr>
                <w:rFonts w:ascii="Trebuchet MS" w:hAnsi="Trebuchet MS"/>
                <w:spacing w:val="-17"/>
                <w:w w:val="85"/>
                <w:sz w:val="16"/>
              </w:rPr>
              <w:t> </w:t>
            </w:r>
            <w:r>
              <w:rPr>
                <w:rFonts w:ascii="Trebuchet MS" w:hAnsi="Trebuchet MS"/>
                <w:w w:val="85"/>
                <w:sz w:val="16"/>
              </w:rPr>
              <w:t>la</w:t>
            </w:r>
            <w:r>
              <w:rPr>
                <w:rFonts w:ascii="Trebuchet MS" w:hAnsi="Trebuchet MS"/>
                <w:spacing w:val="-17"/>
                <w:w w:val="85"/>
                <w:sz w:val="16"/>
              </w:rPr>
              <w:t> </w:t>
            </w:r>
            <w:r>
              <w:rPr>
                <w:rFonts w:ascii="Trebuchet MS" w:hAnsi="Trebuchet MS"/>
                <w:w w:val="85"/>
                <w:sz w:val="16"/>
              </w:rPr>
              <w:t>violación</w:t>
            </w:r>
            <w:r>
              <w:rPr>
                <w:rFonts w:ascii="Trebuchet MS" w:hAnsi="Trebuchet MS"/>
                <w:spacing w:val="-17"/>
                <w:w w:val="85"/>
                <w:sz w:val="16"/>
              </w:rPr>
              <w:t> </w:t>
            </w:r>
            <w:r>
              <w:rPr>
                <w:rFonts w:ascii="Trebuchet MS" w:hAnsi="Trebuchet MS"/>
                <w:w w:val="85"/>
                <w:sz w:val="16"/>
              </w:rPr>
              <w:t>de</w:t>
            </w:r>
            <w:r>
              <w:rPr>
                <w:rFonts w:ascii="Trebuchet MS" w:hAnsi="Trebuchet MS"/>
                <w:spacing w:val="-17"/>
                <w:w w:val="85"/>
                <w:sz w:val="16"/>
              </w:rPr>
              <w:t> </w:t>
            </w:r>
            <w:r>
              <w:rPr>
                <w:rFonts w:ascii="Trebuchet MS" w:hAnsi="Trebuchet MS"/>
                <w:w w:val="85"/>
                <w:sz w:val="16"/>
              </w:rPr>
              <w:t>derechos</w:t>
            </w:r>
            <w:r>
              <w:rPr>
                <w:rFonts w:ascii="Trebuchet MS" w:hAnsi="Trebuchet MS"/>
                <w:spacing w:val="-17"/>
                <w:w w:val="85"/>
                <w:sz w:val="16"/>
              </w:rPr>
              <w:t> </w:t>
            </w:r>
            <w:r>
              <w:rPr>
                <w:rFonts w:ascii="Trebuchet MS" w:hAnsi="Trebuchet MS"/>
                <w:w w:val="85"/>
                <w:sz w:val="16"/>
              </w:rPr>
              <w:t>humanos.</w:t>
            </w:r>
          </w:p>
        </w:tc>
      </w:tr>
      <w:tr>
        <w:trPr>
          <w:trHeight w:val="1810" w:hRule="exact"/>
        </w:trPr>
        <w:tc>
          <w:tcPr>
            <w:tcW w:w="3487" w:type="dxa"/>
            <w:tcBorders>
              <w:top w:val="dotted" w:sz="4" w:space="0" w:color="000000"/>
              <w:left w:val="nil"/>
              <w:right w:val="dotted" w:sz="4" w:space="0" w:color="000000"/>
            </w:tcBorders>
          </w:tcPr>
          <w:p>
            <w:pPr>
              <w:pStyle w:val="TableParagraph"/>
              <w:spacing w:before="39"/>
              <w:ind w:left="80"/>
              <w:rPr>
                <w:sz w:val="16"/>
              </w:rPr>
            </w:pPr>
            <w:r>
              <w:rPr>
                <w:w w:val="95"/>
                <w:sz w:val="16"/>
              </w:rPr>
              <w:t>Prosperidad</w:t>
            </w:r>
          </w:p>
          <w:p>
            <w:pPr>
              <w:pStyle w:val="TableParagraph"/>
              <w:numPr>
                <w:ilvl w:val="0"/>
                <w:numId w:val="26"/>
              </w:numPr>
              <w:tabs>
                <w:tab w:pos="193" w:val="left" w:leader="none"/>
              </w:tabs>
              <w:spacing w:line="240" w:lineRule="auto" w:before="8" w:after="0"/>
              <w:ind w:left="80" w:right="0" w:firstLine="0"/>
              <w:jc w:val="left"/>
              <w:rPr>
                <w:rFonts w:ascii="Trebuchet MS" w:hAnsi="Trebuchet MS"/>
                <w:sz w:val="16"/>
              </w:rPr>
            </w:pPr>
            <w:r>
              <w:rPr>
                <w:rFonts w:ascii="Trebuchet MS" w:hAnsi="Trebuchet MS"/>
                <w:w w:val="85"/>
                <w:sz w:val="16"/>
              </w:rPr>
              <w:t>Activar</w:t>
            </w:r>
            <w:r>
              <w:rPr>
                <w:rFonts w:ascii="Trebuchet MS" w:hAnsi="Trebuchet MS"/>
                <w:spacing w:val="-15"/>
                <w:w w:val="85"/>
                <w:sz w:val="16"/>
              </w:rPr>
              <w:t> </w:t>
            </w:r>
            <w:r>
              <w:rPr>
                <w:rFonts w:ascii="Trebuchet MS" w:hAnsi="Trebuchet MS"/>
                <w:w w:val="85"/>
                <w:sz w:val="16"/>
              </w:rPr>
              <w:t>la</w:t>
            </w:r>
            <w:r>
              <w:rPr>
                <w:rFonts w:ascii="Trebuchet MS" w:hAnsi="Trebuchet MS"/>
                <w:spacing w:val="-15"/>
                <w:w w:val="85"/>
                <w:sz w:val="16"/>
              </w:rPr>
              <w:t> </w:t>
            </w:r>
            <w:r>
              <w:rPr>
                <w:rFonts w:ascii="Trebuchet MS" w:hAnsi="Trebuchet MS"/>
                <w:w w:val="85"/>
                <w:sz w:val="16"/>
              </w:rPr>
              <w:t>economía</w:t>
            </w:r>
            <w:r>
              <w:rPr>
                <w:rFonts w:ascii="Trebuchet MS" w:hAnsi="Trebuchet MS"/>
                <w:spacing w:val="-15"/>
                <w:w w:val="85"/>
                <w:sz w:val="16"/>
              </w:rPr>
              <w:t> </w:t>
            </w:r>
            <w:r>
              <w:rPr>
                <w:rFonts w:ascii="Trebuchet MS" w:hAnsi="Trebuchet MS"/>
                <w:w w:val="85"/>
                <w:sz w:val="16"/>
              </w:rPr>
              <w:t>de</w:t>
            </w:r>
            <w:r>
              <w:rPr>
                <w:rFonts w:ascii="Trebuchet MS" w:hAnsi="Trebuchet MS"/>
                <w:spacing w:val="-15"/>
                <w:w w:val="85"/>
                <w:sz w:val="16"/>
              </w:rPr>
              <w:t> </w:t>
            </w:r>
            <w:r>
              <w:rPr>
                <w:rFonts w:ascii="Trebuchet MS" w:hAnsi="Trebuchet MS"/>
                <w:w w:val="85"/>
                <w:sz w:val="16"/>
              </w:rPr>
              <w:t>Estados</w:t>
            </w:r>
            <w:r>
              <w:rPr>
                <w:rFonts w:ascii="Trebuchet MS" w:hAnsi="Trebuchet MS"/>
                <w:spacing w:val="-15"/>
                <w:w w:val="85"/>
                <w:sz w:val="16"/>
              </w:rPr>
              <w:t> </w:t>
            </w:r>
            <w:r>
              <w:rPr>
                <w:rFonts w:ascii="Trebuchet MS" w:hAnsi="Trebuchet MS"/>
                <w:w w:val="85"/>
                <w:sz w:val="16"/>
              </w:rPr>
              <w:t>Unidos.</w:t>
            </w:r>
          </w:p>
          <w:p>
            <w:pPr>
              <w:pStyle w:val="TableParagraph"/>
              <w:numPr>
                <w:ilvl w:val="0"/>
                <w:numId w:val="26"/>
              </w:numPr>
              <w:tabs>
                <w:tab w:pos="199" w:val="left" w:leader="none"/>
              </w:tabs>
              <w:spacing w:line="240" w:lineRule="auto" w:before="6" w:after="0"/>
              <w:ind w:left="198" w:right="0" w:hanging="118"/>
              <w:jc w:val="left"/>
              <w:rPr>
                <w:rFonts w:ascii="Trebuchet MS" w:hAnsi="Trebuchet MS"/>
                <w:sz w:val="16"/>
              </w:rPr>
            </w:pPr>
            <w:r>
              <w:rPr>
                <w:rFonts w:ascii="Trebuchet MS" w:hAnsi="Trebuchet MS"/>
                <w:w w:val="85"/>
                <w:sz w:val="16"/>
              </w:rPr>
              <w:t>Impulsar</w:t>
            </w:r>
            <w:r>
              <w:rPr>
                <w:rFonts w:ascii="Trebuchet MS" w:hAnsi="Trebuchet MS"/>
                <w:spacing w:val="-21"/>
                <w:w w:val="85"/>
                <w:sz w:val="16"/>
              </w:rPr>
              <w:t> </w:t>
            </w:r>
            <w:r>
              <w:rPr>
                <w:rFonts w:ascii="Trebuchet MS" w:hAnsi="Trebuchet MS"/>
                <w:w w:val="85"/>
                <w:sz w:val="16"/>
              </w:rPr>
              <w:t>la</w:t>
            </w:r>
            <w:r>
              <w:rPr>
                <w:rFonts w:ascii="Trebuchet MS" w:hAnsi="Trebuchet MS"/>
                <w:spacing w:val="-21"/>
                <w:w w:val="85"/>
                <w:sz w:val="16"/>
              </w:rPr>
              <w:t> </w:t>
            </w:r>
            <w:r>
              <w:rPr>
                <w:rFonts w:ascii="Trebuchet MS" w:hAnsi="Trebuchet MS"/>
                <w:w w:val="85"/>
                <w:sz w:val="16"/>
              </w:rPr>
              <w:t>seguridad</w:t>
            </w:r>
            <w:r>
              <w:rPr>
                <w:rFonts w:ascii="Trebuchet MS" w:hAnsi="Trebuchet MS"/>
                <w:spacing w:val="-21"/>
                <w:w w:val="85"/>
                <w:sz w:val="16"/>
              </w:rPr>
              <w:t> </w:t>
            </w:r>
            <w:r>
              <w:rPr>
                <w:rFonts w:ascii="Trebuchet MS" w:hAnsi="Trebuchet MS"/>
                <w:w w:val="85"/>
                <w:sz w:val="16"/>
              </w:rPr>
              <w:t>energética</w:t>
            </w:r>
            <w:r>
              <w:rPr>
                <w:rFonts w:ascii="Trebuchet MS" w:hAnsi="Trebuchet MS"/>
                <w:spacing w:val="-21"/>
                <w:w w:val="85"/>
                <w:sz w:val="16"/>
              </w:rPr>
              <w:t> </w:t>
            </w:r>
            <w:r>
              <w:rPr>
                <w:rFonts w:ascii="Trebuchet MS" w:hAnsi="Trebuchet MS"/>
                <w:w w:val="85"/>
                <w:sz w:val="16"/>
              </w:rPr>
              <w:t>estadounidense.</w:t>
            </w:r>
          </w:p>
          <w:p>
            <w:pPr>
              <w:pStyle w:val="TableParagraph"/>
              <w:numPr>
                <w:ilvl w:val="0"/>
                <w:numId w:val="26"/>
              </w:numPr>
              <w:tabs>
                <w:tab w:pos="199" w:val="left" w:leader="none"/>
              </w:tabs>
              <w:spacing w:line="247" w:lineRule="auto" w:before="6" w:after="0"/>
              <w:ind w:left="80" w:right="218" w:firstLine="0"/>
              <w:jc w:val="left"/>
              <w:rPr>
                <w:sz w:val="16"/>
              </w:rPr>
            </w:pPr>
            <w:r>
              <w:rPr>
                <w:rFonts w:ascii="Trebuchet MS" w:hAnsi="Trebuchet MS"/>
                <w:w w:val="85"/>
                <w:sz w:val="16"/>
              </w:rPr>
              <w:t>Posicionarse</w:t>
            </w:r>
            <w:r>
              <w:rPr>
                <w:rFonts w:ascii="Trebuchet MS" w:hAnsi="Trebuchet MS"/>
                <w:spacing w:val="-9"/>
                <w:w w:val="85"/>
                <w:sz w:val="16"/>
              </w:rPr>
              <w:t> </w:t>
            </w:r>
            <w:r>
              <w:rPr>
                <w:rFonts w:ascii="Trebuchet MS" w:hAnsi="Trebuchet MS"/>
                <w:w w:val="85"/>
                <w:sz w:val="16"/>
              </w:rPr>
              <w:t>como</w:t>
            </w:r>
            <w:r>
              <w:rPr>
                <w:rFonts w:ascii="Trebuchet MS" w:hAnsi="Trebuchet MS"/>
                <w:spacing w:val="-9"/>
                <w:w w:val="85"/>
                <w:sz w:val="16"/>
              </w:rPr>
              <w:t> </w:t>
            </w:r>
            <w:r>
              <w:rPr>
                <w:rFonts w:ascii="Trebuchet MS" w:hAnsi="Trebuchet MS"/>
                <w:w w:val="85"/>
                <w:sz w:val="16"/>
              </w:rPr>
              <w:t>líder</w:t>
            </w:r>
            <w:r>
              <w:rPr>
                <w:rFonts w:ascii="Trebuchet MS" w:hAnsi="Trebuchet MS"/>
                <w:spacing w:val="-9"/>
                <w:w w:val="85"/>
                <w:sz w:val="16"/>
              </w:rPr>
              <w:t> </w:t>
            </w:r>
            <w:r>
              <w:rPr>
                <w:rFonts w:ascii="Trebuchet MS" w:hAnsi="Trebuchet MS"/>
                <w:w w:val="85"/>
                <w:sz w:val="16"/>
              </w:rPr>
              <w:t>en</w:t>
            </w:r>
            <w:r>
              <w:rPr>
                <w:rFonts w:ascii="Trebuchet MS" w:hAnsi="Trebuchet MS"/>
                <w:spacing w:val="-9"/>
                <w:w w:val="85"/>
                <w:sz w:val="16"/>
              </w:rPr>
              <w:t> </w:t>
            </w:r>
            <w:r>
              <w:rPr>
                <w:rFonts w:ascii="Trebuchet MS" w:hAnsi="Trebuchet MS"/>
                <w:w w:val="85"/>
                <w:sz w:val="16"/>
              </w:rPr>
              <w:t>los</w:t>
            </w:r>
            <w:r>
              <w:rPr>
                <w:rFonts w:ascii="Trebuchet MS" w:hAnsi="Trebuchet MS"/>
                <w:spacing w:val="-9"/>
                <w:w w:val="85"/>
                <w:sz w:val="16"/>
              </w:rPr>
              <w:t> </w:t>
            </w:r>
            <w:r>
              <w:rPr>
                <w:rFonts w:ascii="Trebuchet MS" w:hAnsi="Trebuchet MS"/>
                <w:w w:val="85"/>
                <w:sz w:val="16"/>
              </w:rPr>
              <w:t>avances</w:t>
            </w:r>
            <w:r>
              <w:rPr>
                <w:rFonts w:ascii="Trebuchet MS" w:hAnsi="Trebuchet MS"/>
                <w:spacing w:val="-9"/>
                <w:w w:val="85"/>
                <w:sz w:val="16"/>
              </w:rPr>
              <w:t> </w:t>
            </w:r>
            <w:r>
              <w:rPr>
                <w:rFonts w:ascii="Trebuchet MS" w:hAnsi="Trebuchet MS"/>
                <w:w w:val="85"/>
                <w:sz w:val="16"/>
              </w:rPr>
              <w:t>de</w:t>
            </w:r>
            <w:r>
              <w:rPr>
                <w:rFonts w:ascii="Trebuchet MS" w:hAnsi="Trebuchet MS"/>
                <w:spacing w:val="-9"/>
                <w:w w:val="85"/>
                <w:sz w:val="16"/>
              </w:rPr>
              <w:t> </w:t>
            </w:r>
            <w:r>
              <w:rPr>
                <w:rFonts w:ascii="Trebuchet MS" w:hAnsi="Trebuchet MS"/>
                <w:w w:val="85"/>
                <w:sz w:val="16"/>
              </w:rPr>
              <w:t>ciencia</w:t>
            </w:r>
            <w:r>
              <w:rPr>
                <w:rFonts w:ascii="Trebuchet MS" w:hAnsi="Trebuchet MS"/>
                <w:spacing w:val="-9"/>
                <w:w w:val="85"/>
                <w:sz w:val="16"/>
              </w:rPr>
              <w:t> </w:t>
            </w:r>
            <w:r>
              <w:rPr>
                <w:rFonts w:ascii="Trebuchet MS" w:hAnsi="Trebuchet MS"/>
                <w:w w:val="85"/>
                <w:sz w:val="16"/>
              </w:rPr>
              <w:t>y </w:t>
            </w:r>
            <w:r>
              <w:rPr>
                <w:w w:val="95"/>
                <w:sz w:val="16"/>
              </w:rPr>
              <w:t>tecnología.</w:t>
            </w:r>
          </w:p>
          <w:p>
            <w:pPr>
              <w:pStyle w:val="TableParagraph"/>
              <w:numPr>
                <w:ilvl w:val="0"/>
                <w:numId w:val="26"/>
              </w:numPr>
              <w:tabs>
                <w:tab w:pos="199" w:val="left" w:leader="none"/>
              </w:tabs>
              <w:spacing w:line="240" w:lineRule="auto" w:before="2" w:after="0"/>
              <w:ind w:left="198" w:right="0" w:hanging="118"/>
              <w:jc w:val="left"/>
              <w:rPr>
                <w:rFonts w:ascii="Trebuchet MS" w:hAnsi="Trebuchet MS"/>
                <w:sz w:val="16"/>
              </w:rPr>
            </w:pPr>
            <w:r>
              <w:rPr>
                <w:rFonts w:ascii="Trebuchet MS" w:hAnsi="Trebuchet MS"/>
                <w:w w:val="85"/>
                <w:sz w:val="16"/>
              </w:rPr>
              <w:t>Definir</w:t>
            </w:r>
            <w:r>
              <w:rPr>
                <w:rFonts w:ascii="Trebuchet MS" w:hAnsi="Trebuchet MS"/>
                <w:spacing w:val="-21"/>
                <w:w w:val="85"/>
                <w:sz w:val="16"/>
              </w:rPr>
              <w:t> </w:t>
            </w:r>
            <w:r>
              <w:rPr>
                <w:rFonts w:ascii="Trebuchet MS" w:hAnsi="Trebuchet MS"/>
                <w:w w:val="85"/>
                <w:sz w:val="16"/>
              </w:rPr>
              <w:t>el</w:t>
            </w:r>
            <w:r>
              <w:rPr>
                <w:rFonts w:ascii="Trebuchet MS" w:hAnsi="Trebuchet MS"/>
                <w:spacing w:val="-21"/>
                <w:w w:val="85"/>
                <w:sz w:val="16"/>
              </w:rPr>
              <w:t> </w:t>
            </w:r>
            <w:r>
              <w:rPr>
                <w:rFonts w:ascii="Trebuchet MS" w:hAnsi="Trebuchet MS"/>
                <w:w w:val="85"/>
                <w:sz w:val="16"/>
              </w:rPr>
              <w:t>nuevo</w:t>
            </w:r>
            <w:r>
              <w:rPr>
                <w:rFonts w:ascii="Trebuchet MS" w:hAnsi="Trebuchet MS"/>
                <w:spacing w:val="-21"/>
                <w:w w:val="85"/>
                <w:sz w:val="16"/>
              </w:rPr>
              <w:t> </w:t>
            </w:r>
            <w:r>
              <w:rPr>
                <w:rFonts w:ascii="Trebuchet MS" w:hAnsi="Trebuchet MS"/>
                <w:w w:val="85"/>
                <w:sz w:val="16"/>
              </w:rPr>
              <w:t>orden</w:t>
            </w:r>
            <w:r>
              <w:rPr>
                <w:rFonts w:ascii="Trebuchet MS" w:hAnsi="Trebuchet MS"/>
                <w:spacing w:val="-21"/>
                <w:w w:val="85"/>
                <w:sz w:val="16"/>
              </w:rPr>
              <w:t> </w:t>
            </w:r>
            <w:r>
              <w:rPr>
                <w:rFonts w:ascii="Trebuchet MS" w:hAnsi="Trebuchet MS"/>
                <w:w w:val="85"/>
                <w:sz w:val="16"/>
              </w:rPr>
              <w:t>económico</w:t>
            </w:r>
            <w:r>
              <w:rPr>
                <w:rFonts w:ascii="Trebuchet MS" w:hAnsi="Trebuchet MS"/>
                <w:spacing w:val="-21"/>
                <w:w w:val="85"/>
                <w:sz w:val="16"/>
              </w:rPr>
              <w:t> </w:t>
            </w:r>
            <w:r>
              <w:rPr>
                <w:rFonts w:ascii="Trebuchet MS" w:hAnsi="Trebuchet MS"/>
                <w:w w:val="85"/>
                <w:sz w:val="16"/>
              </w:rPr>
              <w:t>global.</w:t>
            </w:r>
          </w:p>
          <w:p>
            <w:pPr>
              <w:pStyle w:val="TableParagraph"/>
              <w:numPr>
                <w:ilvl w:val="0"/>
                <w:numId w:val="26"/>
              </w:numPr>
              <w:tabs>
                <w:tab w:pos="199" w:val="left" w:leader="none"/>
              </w:tabs>
              <w:spacing w:line="240" w:lineRule="auto" w:before="6" w:after="0"/>
              <w:ind w:left="198" w:right="0" w:hanging="118"/>
              <w:jc w:val="left"/>
              <w:rPr>
                <w:rFonts w:ascii="Trebuchet MS"/>
                <w:sz w:val="16"/>
              </w:rPr>
            </w:pPr>
            <w:r>
              <w:rPr>
                <w:rFonts w:ascii="Trebuchet MS"/>
                <w:w w:val="80"/>
                <w:sz w:val="16"/>
              </w:rPr>
              <w:t>Erradicar la pobreza</w:t>
            </w:r>
            <w:r>
              <w:rPr>
                <w:rFonts w:ascii="Trebuchet MS"/>
                <w:spacing w:val="15"/>
                <w:w w:val="80"/>
                <w:sz w:val="16"/>
              </w:rPr>
              <w:t> </w:t>
            </w:r>
            <w:r>
              <w:rPr>
                <w:rFonts w:ascii="Trebuchet MS"/>
                <w:w w:val="80"/>
                <w:sz w:val="16"/>
              </w:rPr>
              <w:t>extrema.</w:t>
            </w:r>
          </w:p>
        </w:tc>
        <w:tc>
          <w:tcPr>
            <w:tcW w:w="3487" w:type="dxa"/>
            <w:tcBorders>
              <w:top w:val="dotted" w:sz="4" w:space="0" w:color="000000"/>
              <w:left w:val="dotted" w:sz="4" w:space="0" w:color="000000"/>
              <w:right w:val="nil"/>
            </w:tcBorders>
          </w:tcPr>
          <w:p>
            <w:pPr>
              <w:pStyle w:val="TableParagraph"/>
              <w:spacing w:before="39"/>
              <w:ind w:left="74"/>
              <w:rPr>
                <w:sz w:val="16"/>
              </w:rPr>
            </w:pPr>
            <w:r>
              <w:rPr>
                <w:w w:val="85"/>
                <w:sz w:val="16"/>
              </w:rPr>
              <w:t>Orden internacional</w:t>
            </w:r>
          </w:p>
          <w:p>
            <w:pPr>
              <w:pStyle w:val="TableParagraph"/>
              <w:numPr>
                <w:ilvl w:val="0"/>
                <w:numId w:val="27"/>
              </w:numPr>
              <w:tabs>
                <w:tab w:pos="194" w:val="left" w:leader="none"/>
              </w:tabs>
              <w:spacing w:line="247" w:lineRule="auto" w:before="8" w:after="0"/>
              <w:ind w:left="74" w:right="339" w:firstLine="0"/>
              <w:jc w:val="left"/>
              <w:rPr>
                <w:sz w:val="16"/>
              </w:rPr>
            </w:pPr>
            <w:r>
              <w:rPr>
                <w:rFonts w:ascii="Trebuchet MS" w:hAnsi="Trebuchet MS"/>
                <w:w w:val="85"/>
                <w:sz w:val="16"/>
              </w:rPr>
              <w:t>Buscar</w:t>
            </w:r>
            <w:r>
              <w:rPr>
                <w:rFonts w:ascii="Trebuchet MS" w:hAnsi="Trebuchet MS"/>
                <w:spacing w:val="-12"/>
                <w:w w:val="85"/>
                <w:sz w:val="16"/>
              </w:rPr>
              <w:t> </w:t>
            </w:r>
            <w:r>
              <w:rPr>
                <w:rFonts w:ascii="Trebuchet MS" w:hAnsi="Trebuchet MS"/>
                <w:w w:val="85"/>
                <w:sz w:val="16"/>
              </w:rPr>
              <w:t>el</w:t>
            </w:r>
            <w:r>
              <w:rPr>
                <w:rFonts w:ascii="Trebuchet MS" w:hAnsi="Trebuchet MS"/>
                <w:spacing w:val="-12"/>
                <w:w w:val="85"/>
                <w:sz w:val="16"/>
              </w:rPr>
              <w:t> </w:t>
            </w:r>
            <w:r>
              <w:rPr>
                <w:rFonts w:ascii="Trebuchet MS" w:hAnsi="Trebuchet MS"/>
                <w:w w:val="85"/>
                <w:sz w:val="16"/>
              </w:rPr>
              <w:t>equilibrio</w:t>
            </w:r>
            <w:r>
              <w:rPr>
                <w:rFonts w:ascii="Trebuchet MS" w:hAnsi="Trebuchet MS"/>
                <w:spacing w:val="-12"/>
                <w:w w:val="85"/>
                <w:sz w:val="16"/>
              </w:rPr>
              <w:t> </w:t>
            </w:r>
            <w:r>
              <w:rPr>
                <w:rFonts w:ascii="Trebuchet MS" w:hAnsi="Trebuchet MS"/>
                <w:w w:val="85"/>
                <w:sz w:val="16"/>
              </w:rPr>
              <w:t>de</w:t>
            </w:r>
            <w:r>
              <w:rPr>
                <w:rFonts w:ascii="Trebuchet MS" w:hAnsi="Trebuchet MS"/>
                <w:spacing w:val="-12"/>
                <w:w w:val="85"/>
                <w:sz w:val="16"/>
              </w:rPr>
              <w:t> </w:t>
            </w:r>
            <w:r>
              <w:rPr>
                <w:rFonts w:ascii="Trebuchet MS" w:hAnsi="Trebuchet MS"/>
                <w:w w:val="85"/>
                <w:sz w:val="16"/>
              </w:rPr>
              <w:t>poder</w:t>
            </w:r>
            <w:r>
              <w:rPr>
                <w:rFonts w:ascii="Trebuchet MS" w:hAnsi="Trebuchet MS"/>
                <w:spacing w:val="-12"/>
                <w:w w:val="85"/>
                <w:sz w:val="16"/>
              </w:rPr>
              <w:t> </w:t>
            </w:r>
            <w:r>
              <w:rPr>
                <w:rFonts w:ascii="Trebuchet MS" w:hAnsi="Trebuchet MS"/>
                <w:w w:val="85"/>
                <w:sz w:val="16"/>
              </w:rPr>
              <w:t>en</w:t>
            </w:r>
            <w:r>
              <w:rPr>
                <w:rFonts w:ascii="Trebuchet MS" w:hAnsi="Trebuchet MS"/>
                <w:spacing w:val="-12"/>
                <w:w w:val="85"/>
                <w:sz w:val="16"/>
              </w:rPr>
              <w:t> </w:t>
            </w:r>
            <w:r>
              <w:rPr>
                <w:rFonts w:ascii="Trebuchet MS" w:hAnsi="Trebuchet MS"/>
                <w:w w:val="85"/>
                <w:sz w:val="16"/>
              </w:rPr>
              <w:t>la</w:t>
            </w:r>
            <w:r>
              <w:rPr>
                <w:rFonts w:ascii="Trebuchet MS" w:hAnsi="Trebuchet MS"/>
                <w:spacing w:val="-12"/>
                <w:w w:val="85"/>
                <w:sz w:val="16"/>
              </w:rPr>
              <w:t> </w:t>
            </w:r>
            <w:r>
              <w:rPr>
                <w:rFonts w:ascii="Trebuchet MS" w:hAnsi="Trebuchet MS"/>
                <w:w w:val="85"/>
                <w:sz w:val="16"/>
              </w:rPr>
              <w:t>región</w:t>
            </w:r>
            <w:r>
              <w:rPr>
                <w:rFonts w:ascii="Trebuchet MS" w:hAnsi="Trebuchet MS"/>
                <w:spacing w:val="-12"/>
                <w:w w:val="85"/>
                <w:sz w:val="16"/>
              </w:rPr>
              <w:t> </w:t>
            </w:r>
            <w:r>
              <w:rPr>
                <w:rFonts w:ascii="Trebuchet MS" w:hAnsi="Trebuchet MS"/>
                <w:w w:val="85"/>
                <w:sz w:val="16"/>
              </w:rPr>
              <w:t>de</w:t>
            </w:r>
            <w:r>
              <w:rPr>
                <w:rFonts w:ascii="Trebuchet MS" w:hAnsi="Trebuchet MS"/>
                <w:spacing w:val="-16"/>
                <w:w w:val="85"/>
                <w:sz w:val="16"/>
              </w:rPr>
              <w:t> </w:t>
            </w:r>
            <w:r>
              <w:rPr>
                <w:rFonts w:ascii="Trebuchet MS" w:hAnsi="Trebuchet MS"/>
                <w:w w:val="85"/>
                <w:sz w:val="16"/>
              </w:rPr>
              <w:t>Asia- </w:t>
            </w:r>
            <w:r>
              <w:rPr>
                <w:w w:val="90"/>
                <w:sz w:val="16"/>
              </w:rPr>
              <w:t>Pacífico.</w:t>
            </w:r>
          </w:p>
          <w:p>
            <w:pPr>
              <w:pStyle w:val="TableParagraph"/>
              <w:numPr>
                <w:ilvl w:val="0"/>
                <w:numId w:val="27"/>
              </w:numPr>
              <w:tabs>
                <w:tab w:pos="194" w:val="left" w:leader="none"/>
              </w:tabs>
              <w:spacing w:line="240" w:lineRule="auto" w:before="2" w:after="0"/>
              <w:ind w:left="193" w:right="0" w:hanging="119"/>
              <w:jc w:val="left"/>
              <w:rPr>
                <w:rFonts w:ascii="Trebuchet MS" w:hAnsi="Trebuchet MS"/>
                <w:sz w:val="16"/>
              </w:rPr>
            </w:pPr>
            <w:r>
              <w:rPr>
                <w:rFonts w:ascii="Trebuchet MS" w:hAnsi="Trebuchet MS"/>
                <w:w w:val="85"/>
                <w:sz w:val="16"/>
              </w:rPr>
              <w:t>Fortalecer</w:t>
            </w:r>
            <w:r>
              <w:rPr>
                <w:rFonts w:ascii="Trebuchet MS" w:hAnsi="Trebuchet MS"/>
                <w:spacing w:val="-21"/>
                <w:w w:val="85"/>
                <w:sz w:val="16"/>
              </w:rPr>
              <w:t> </w:t>
            </w:r>
            <w:r>
              <w:rPr>
                <w:rFonts w:ascii="Trebuchet MS" w:hAnsi="Trebuchet MS"/>
                <w:w w:val="85"/>
                <w:sz w:val="16"/>
              </w:rPr>
              <w:t>y</w:t>
            </w:r>
            <w:r>
              <w:rPr>
                <w:rFonts w:ascii="Trebuchet MS" w:hAnsi="Trebuchet MS"/>
                <w:spacing w:val="-21"/>
                <w:w w:val="85"/>
                <w:sz w:val="16"/>
              </w:rPr>
              <w:t> </w:t>
            </w:r>
            <w:r>
              <w:rPr>
                <w:rFonts w:ascii="Trebuchet MS" w:hAnsi="Trebuchet MS"/>
                <w:w w:val="85"/>
                <w:sz w:val="16"/>
              </w:rPr>
              <w:t>mejorar</w:t>
            </w:r>
            <w:r>
              <w:rPr>
                <w:rFonts w:ascii="Trebuchet MS" w:hAnsi="Trebuchet MS"/>
                <w:spacing w:val="-21"/>
                <w:w w:val="85"/>
                <w:sz w:val="16"/>
              </w:rPr>
              <w:t> </w:t>
            </w:r>
            <w:r>
              <w:rPr>
                <w:rFonts w:ascii="Trebuchet MS" w:hAnsi="Trebuchet MS"/>
                <w:w w:val="85"/>
                <w:sz w:val="16"/>
              </w:rPr>
              <w:t>la</w:t>
            </w:r>
            <w:r>
              <w:rPr>
                <w:rFonts w:ascii="Trebuchet MS" w:hAnsi="Trebuchet MS"/>
                <w:spacing w:val="-21"/>
                <w:w w:val="85"/>
                <w:sz w:val="16"/>
              </w:rPr>
              <w:t> </w:t>
            </w:r>
            <w:r>
              <w:rPr>
                <w:rFonts w:ascii="Trebuchet MS" w:hAnsi="Trebuchet MS"/>
                <w:w w:val="85"/>
                <w:sz w:val="16"/>
              </w:rPr>
              <w:t>relación</w:t>
            </w:r>
            <w:r>
              <w:rPr>
                <w:rFonts w:ascii="Trebuchet MS" w:hAnsi="Trebuchet MS"/>
                <w:spacing w:val="-21"/>
                <w:w w:val="85"/>
                <w:sz w:val="16"/>
              </w:rPr>
              <w:t> </w:t>
            </w:r>
            <w:r>
              <w:rPr>
                <w:rFonts w:ascii="Trebuchet MS" w:hAnsi="Trebuchet MS"/>
                <w:w w:val="85"/>
                <w:sz w:val="16"/>
              </w:rPr>
              <w:t>y</w:t>
            </w:r>
            <w:r>
              <w:rPr>
                <w:rFonts w:ascii="Trebuchet MS" w:hAnsi="Trebuchet MS"/>
                <w:spacing w:val="-21"/>
                <w:w w:val="85"/>
                <w:sz w:val="16"/>
              </w:rPr>
              <w:t> </w:t>
            </w:r>
            <w:r>
              <w:rPr>
                <w:rFonts w:ascii="Trebuchet MS" w:hAnsi="Trebuchet MS"/>
                <w:w w:val="85"/>
                <w:sz w:val="16"/>
              </w:rPr>
              <w:t>alianzas</w:t>
            </w:r>
            <w:r>
              <w:rPr>
                <w:rFonts w:ascii="Trebuchet MS" w:hAnsi="Trebuchet MS"/>
                <w:spacing w:val="-21"/>
                <w:w w:val="85"/>
                <w:sz w:val="16"/>
              </w:rPr>
              <w:t> </w:t>
            </w:r>
            <w:r>
              <w:rPr>
                <w:rFonts w:ascii="Trebuchet MS" w:hAnsi="Trebuchet MS"/>
                <w:w w:val="85"/>
                <w:sz w:val="16"/>
              </w:rPr>
              <w:t>con</w:t>
            </w:r>
            <w:r>
              <w:rPr>
                <w:rFonts w:ascii="Trebuchet MS" w:hAnsi="Trebuchet MS"/>
                <w:spacing w:val="-21"/>
                <w:w w:val="85"/>
                <w:sz w:val="16"/>
              </w:rPr>
              <w:t> </w:t>
            </w:r>
            <w:r>
              <w:rPr>
                <w:rFonts w:ascii="Trebuchet MS" w:hAnsi="Trebuchet MS"/>
                <w:w w:val="85"/>
                <w:sz w:val="16"/>
              </w:rPr>
              <w:t>Europa.</w:t>
            </w:r>
          </w:p>
          <w:p>
            <w:pPr>
              <w:pStyle w:val="TableParagraph"/>
              <w:numPr>
                <w:ilvl w:val="0"/>
                <w:numId w:val="27"/>
              </w:numPr>
              <w:tabs>
                <w:tab w:pos="194" w:val="left" w:leader="none"/>
              </w:tabs>
              <w:spacing w:line="247" w:lineRule="auto" w:before="6" w:after="0"/>
              <w:ind w:left="74" w:right="189" w:firstLine="0"/>
              <w:jc w:val="left"/>
              <w:rPr>
                <w:sz w:val="16"/>
              </w:rPr>
            </w:pPr>
            <w:r>
              <w:rPr>
                <w:rFonts w:ascii="Trebuchet MS" w:hAnsi="Trebuchet MS"/>
                <w:w w:val="90"/>
                <w:sz w:val="16"/>
              </w:rPr>
              <w:t>Buscar</w:t>
            </w:r>
            <w:r>
              <w:rPr>
                <w:rFonts w:ascii="Trebuchet MS" w:hAnsi="Trebuchet MS"/>
                <w:spacing w:val="-28"/>
                <w:w w:val="90"/>
                <w:sz w:val="16"/>
              </w:rPr>
              <w:t> </w:t>
            </w:r>
            <w:r>
              <w:rPr>
                <w:rFonts w:ascii="Trebuchet MS" w:hAnsi="Trebuchet MS"/>
                <w:w w:val="90"/>
                <w:sz w:val="16"/>
              </w:rPr>
              <w:t>la</w:t>
            </w:r>
            <w:r>
              <w:rPr>
                <w:rFonts w:ascii="Trebuchet MS" w:hAnsi="Trebuchet MS"/>
                <w:spacing w:val="-28"/>
                <w:w w:val="90"/>
                <w:sz w:val="16"/>
              </w:rPr>
              <w:t> </w:t>
            </w:r>
            <w:r>
              <w:rPr>
                <w:rFonts w:ascii="Trebuchet MS" w:hAnsi="Trebuchet MS"/>
                <w:w w:val="90"/>
                <w:sz w:val="16"/>
              </w:rPr>
              <w:t>paz</w:t>
            </w:r>
            <w:r>
              <w:rPr>
                <w:rFonts w:ascii="Trebuchet MS" w:hAnsi="Trebuchet MS"/>
                <w:spacing w:val="-28"/>
                <w:w w:val="90"/>
                <w:sz w:val="16"/>
              </w:rPr>
              <w:t> </w:t>
            </w:r>
            <w:r>
              <w:rPr>
                <w:rFonts w:ascii="Trebuchet MS" w:hAnsi="Trebuchet MS"/>
                <w:w w:val="90"/>
                <w:sz w:val="16"/>
              </w:rPr>
              <w:t>y</w:t>
            </w:r>
            <w:r>
              <w:rPr>
                <w:rFonts w:ascii="Trebuchet MS" w:hAnsi="Trebuchet MS"/>
                <w:spacing w:val="-28"/>
                <w:w w:val="90"/>
                <w:sz w:val="16"/>
              </w:rPr>
              <w:t> </w:t>
            </w:r>
            <w:r>
              <w:rPr>
                <w:rFonts w:ascii="Trebuchet MS" w:hAnsi="Trebuchet MS"/>
                <w:w w:val="90"/>
                <w:sz w:val="16"/>
              </w:rPr>
              <w:t>estabilidad</w:t>
            </w:r>
            <w:r>
              <w:rPr>
                <w:rFonts w:ascii="Trebuchet MS" w:hAnsi="Trebuchet MS"/>
                <w:spacing w:val="-28"/>
                <w:w w:val="90"/>
                <w:sz w:val="16"/>
              </w:rPr>
              <w:t> </w:t>
            </w:r>
            <w:r>
              <w:rPr>
                <w:rFonts w:ascii="Trebuchet MS" w:hAnsi="Trebuchet MS"/>
                <w:w w:val="90"/>
                <w:sz w:val="16"/>
              </w:rPr>
              <w:t>en</w:t>
            </w:r>
            <w:r>
              <w:rPr>
                <w:rFonts w:ascii="Trebuchet MS" w:hAnsi="Trebuchet MS"/>
                <w:spacing w:val="-28"/>
                <w:w w:val="90"/>
                <w:sz w:val="16"/>
              </w:rPr>
              <w:t> </w:t>
            </w:r>
            <w:r>
              <w:rPr>
                <w:rFonts w:ascii="Trebuchet MS" w:hAnsi="Trebuchet MS"/>
                <w:w w:val="90"/>
                <w:sz w:val="16"/>
              </w:rPr>
              <w:t>las</w:t>
            </w:r>
            <w:r>
              <w:rPr>
                <w:rFonts w:ascii="Trebuchet MS" w:hAnsi="Trebuchet MS"/>
                <w:spacing w:val="-28"/>
                <w:w w:val="90"/>
                <w:sz w:val="16"/>
              </w:rPr>
              <w:t> </w:t>
            </w:r>
            <w:r>
              <w:rPr>
                <w:rFonts w:ascii="Trebuchet MS" w:hAnsi="Trebuchet MS"/>
                <w:w w:val="90"/>
                <w:sz w:val="16"/>
              </w:rPr>
              <w:t>regiones</w:t>
            </w:r>
            <w:r>
              <w:rPr>
                <w:rFonts w:ascii="Trebuchet MS" w:hAnsi="Trebuchet MS"/>
                <w:spacing w:val="-28"/>
                <w:w w:val="90"/>
                <w:sz w:val="16"/>
              </w:rPr>
              <w:t> </w:t>
            </w:r>
            <w:r>
              <w:rPr>
                <w:rFonts w:ascii="Trebuchet MS" w:hAnsi="Trebuchet MS"/>
                <w:w w:val="90"/>
                <w:sz w:val="16"/>
              </w:rPr>
              <w:t>de</w:t>
            </w:r>
            <w:r>
              <w:rPr>
                <w:rFonts w:ascii="Trebuchet MS" w:hAnsi="Trebuchet MS"/>
                <w:spacing w:val="-28"/>
                <w:w w:val="90"/>
                <w:sz w:val="16"/>
              </w:rPr>
              <w:t> </w:t>
            </w:r>
            <w:r>
              <w:rPr>
                <w:rFonts w:ascii="Trebuchet MS" w:hAnsi="Trebuchet MS"/>
                <w:w w:val="90"/>
                <w:sz w:val="16"/>
              </w:rPr>
              <w:t>Medio</w:t>
            </w:r>
            <w:r>
              <w:rPr>
                <w:rFonts w:ascii="Trebuchet MS" w:hAnsi="Trebuchet MS"/>
                <w:w w:val="85"/>
                <w:sz w:val="16"/>
              </w:rPr>
              <w:t> </w:t>
            </w:r>
            <w:r>
              <w:rPr>
                <w:w w:val="85"/>
                <w:sz w:val="16"/>
              </w:rPr>
              <w:t>Oriente</w:t>
            </w:r>
            <w:r>
              <w:rPr>
                <w:spacing w:val="-13"/>
                <w:w w:val="85"/>
                <w:sz w:val="16"/>
              </w:rPr>
              <w:t> </w:t>
            </w:r>
            <w:r>
              <w:rPr>
                <w:w w:val="85"/>
                <w:sz w:val="16"/>
              </w:rPr>
              <w:t>y</w:t>
            </w:r>
            <w:r>
              <w:rPr>
                <w:spacing w:val="-16"/>
                <w:w w:val="85"/>
                <w:sz w:val="16"/>
              </w:rPr>
              <w:t> </w:t>
            </w:r>
            <w:r>
              <w:rPr>
                <w:w w:val="85"/>
                <w:sz w:val="16"/>
              </w:rPr>
              <w:t>África</w:t>
            </w:r>
            <w:r>
              <w:rPr>
                <w:spacing w:val="-13"/>
                <w:w w:val="85"/>
                <w:sz w:val="16"/>
              </w:rPr>
              <w:t> </w:t>
            </w:r>
            <w:r>
              <w:rPr>
                <w:w w:val="85"/>
                <w:sz w:val="16"/>
              </w:rPr>
              <w:t>del</w:t>
            </w:r>
            <w:r>
              <w:rPr>
                <w:spacing w:val="-13"/>
                <w:w w:val="85"/>
                <w:sz w:val="16"/>
              </w:rPr>
              <w:t> </w:t>
            </w:r>
            <w:r>
              <w:rPr>
                <w:w w:val="85"/>
                <w:sz w:val="16"/>
              </w:rPr>
              <w:t>Norte.</w:t>
            </w:r>
          </w:p>
          <w:p>
            <w:pPr>
              <w:pStyle w:val="TableParagraph"/>
              <w:numPr>
                <w:ilvl w:val="0"/>
                <w:numId w:val="27"/>
              </w:numPr>
              <w:tabs>
                <w:tab w:pos="194" w:val="left" w:leader="none"/>
              </w:tabs>
              <w:spacing w:line="240" w:lineRule="auto" w:before="2" w:after="0"/>
              <w:ind w:left="193" w:right="0" w:hanging="119"/>
              <w:jc w:val="left"/>
              <w:rPr>
                <w:rFonts w:ascii="Trebuchet MS" w:hAnsi="Trebuchet MS"/>
                <w:sz w:val="16"/>
              </w:rPr>
            </w:pPr>
            <w:r>
              <w:rPr>
                <w:rFonts w:ascii="Trebuchet MS" w:hAnsi="Trebuchet MS"/>
                <w:w w:val="85"/>
                <w:sz w:val="16"/>
              </w:rPr>
              <w:t>Invertir</w:t>
            </w:r>
            <w:r>
              <w:rPr>
                <w:rFonts w:ascii="Trebuchet MS" w:hAnsi="Trebuchet MS"/>
                <w:spacing w:val="-28"/>
                <w:w w:val="85"/>
                <w:sz w:val="16"/>
              </w:rPr>
              <w:t> </w:t>
            </w:r>
            <w:r>
              <w:rPr>
                <w:rFonts w:ascii="Trebuchet MS" w:hAnsi="Trebuchet MS"/>
                <w:w w:val="85"/>
                <w:sz w:val="16"/>
              </w:rPr>
              <w:t>en</w:t>
            </w:r>
            <w:r>
              <w:rPr>
                <w:rFonts w:ascii="Trebuchet MS" w:hAnsi="Trebuchet MS"/>
                <w:spacing w:val="-28"/>
                <w:w w:val="85"/>
                <w:sz w:val="16"/>
              </w:rPr>
              <w:t> </w:t>
            </w:r>
            <w:r>
              <w:rPr>
                <w:rFonts w:ascii="Trebuchet MS" w:hAnsi="Trebuchet MS"/>
                <w:w w:val="85"/>
                <w:sz w:val="16"/>
              </w:rPr>
              <w:t>el</w:t>
            </w:r>
            <w:r>
              <w:rPr>
                <w:rFonts w:ascii="Trebuchet MS" w:hAnsi="Trebuchet MS"/>
                <w:spacing w:val="-28"/>
                <w:w w:val="85"/>
                <w:sz w:val="16"/>
              </w:rPr>
              <w:t> </w:t>
            </w:r>
            <w:r>
              <w:rPr>
                <w:rFonts w:ascii="Trebuchet MS" w:hAnsi="Trebuchet MS"/>
                <w:w w:val="85"/>
                <w:sz w:val="16"/>
              </w:rPr>
              <w:t>futuro</w:t>
            </w:r>
            <w:r>
              <w:rPr>
                <w:rFonts w:ascii="Trebuchet MS" w:hAnsi="Trebuchet MS"/>
                <w:spacing w:val="-28"/>
                <w:w w:val="85"/>
                <w:sz w:val="16"/>
              </w:rPr>
              <w:t> </w:t>
            </w:r>
            <w:r>
              <w:rPr>
                <w:rFonts w:ascii="Trebuchet MS" w:hAnsi="Trebuchet MS"/>
                <w:w w:val="85"/>
                <w:sz w:val="16"/>
              </w:rPr>
              <w:t>de</w:t>
            </w:r>
            <w:r>
              <w:rPr>
                <w:rFonts w:ascii="Trebuchet MS" w:hAnsi="Trebuchet MS"/>
                <w:spacing w:val="-30"/>
                <w:w w:val="85"/>
                <w:sz w:val="16"/>
              </w:rPr>
              <w:t> </w:t>
            </w:r>
            <w:r>
              <w:rPr>
                <w:rFonts w:ascii="Trebuchet MS" w:hAnsi="Trebuchet MS"/>
                <w:w w:val="85"/>
                <w:sz w:val="16"/>
              </w:rPr>
              <w:t>África.</w:t>
            </w:r>
          </w:p>
          <w:p>
            <w:pPr>
              <w:pStyle w:val="TableParagraph"/>
              <w:numPr>
                <w:ilvl w:val="0"/>
                <w:numId w:val="27"/>
              </w:numPr>
              <w:tabs>
                <w:tab w:pos="194" w:val="left" w:leader="none"/>
              </w:tabs>
              <w:spacing w:line="247" w:lineRule="auto" w:before="6" w:after="0"/>
              <w:ind w:left="74" w:right="123" w:firstLine="0"/>
              <w:jc w:val="left"/>
              <w:rPr>
                <w:sz w:val="16"/>
              </w:rPr>
            </w:pPr>
            <w:r>
              <w:rPr>
                <w:rFonts w:ascii="Trebuchet MS" w:hAnsi="Trebuchet MS"/>
                <w:w w:val="85"/>
                <w:sz w:val="16"/>
              </w:rPr>
              <w:t>Profundizar</w:t>
            </w:r>
            <w:r>
              <w:rPr>
                <w:rFonts w:ascii="Trebuchet MS" w:hAnsi="Trebuchet MS"/>
                <w:spacing w:val="-16"/>
                <w:w w:val="85"/>
                <w:sz w:val="16"/>
              </w:rPr>
              <w:t> </w:t>
            </w:r>
            <w:r>
              <w:rPr>
                <w:rFonts w:ascii="Trebuchet MS" w:hAnsi="Trebuchet MS"/>
                <w:w w:val="85"/>
                <w:sz w:val="16"/>
              </w:rPr>
              <w:t>la</w:t>
            </w:r>
            <w:r>
              <w:rPr>
                <w:rFonts w:ascii="Trebuchet MS" w:hAnsi="Trebuchet MS"/>
                <w:spacing w:val="-16"/>
                <w:w w:val="85"/>
                <w:sz w:val="16"/>
              </w:rPr>
              <w:t> </w:t>
            </w:r>
            <w:r>
              <w:rPr>
                <w:rFonts w:ascii="Trebuchet MS" w:hAnsi="Trebuchet MS"/>
                <w:w w:val="85"/>
                <w:sz w:val="16"/>
              </w:rPr>
              <w:t>cooperación</w:t>
            </w:r>
            <w:r>
              <w:rPr>
                <w:rFonts w:ascii="Trebuchet MS" w:hAnsi="Trebuchet MS"/>
                <w:spacing w:val="-16"/>
                <w:w w:val="85"/>
                <w:sz w:val="16"/>
              </w:rPr>
              <w:t> </w:t>
            </w:r>
            <w:r>
              <w:rPr>
                <w:rFonts w:ascii="Trebuchet MS" w:hAnsi="Trebuchet MS"/>
                <w:w w:val="85"/>
                <w:sz w:val="16"/>
              </w:rPr>
              <w:t>económica</w:t>
            </w:r>
            <w:r>
              <w:rPr>
                <w:rFonts w:ascii="Trebuchet MS" w:hAnsi="Trebuchet MS"/>
                <w:spacing w:val="-16"/>
                <w:w w:val="85"/>
                <w:sz w:val="16"/>
              </w:rPr>
              <w:t> </w:t>
            </w:r>
            <w:r>
              <w:rPr>
                <w:rFonts w:ascii="Trebuchet MS" w:hAnsi="Trebuchet MS"/>
                <w:w w:val="85"/>
                <w:sz w:val="16"/>
              </w:rPr>
              <w:t>y</w:t>
            </w:r>
            <w:r>
              <w:rPr>
                <w:rFonts w:ascii="Trebuchet MS" w:hAnsi="Trebuchet MS"/>
                <w:spacing w:val="-16"/>
                <w:w w:val="85"/>
                <w:sz w:val="16"/>
              </w:rPr>
              <w:t> </w:t>
            </w:r>
            <w:r>
              <w:rPr>
                <w:rFonts w:ascii="Trebuchet MS" w:hAnsi="Trebuchet MS"/>
                <w:w w:val="85"/>
                <w:sz w:val="16"/>
              </w:rPr>
              <w:t>de</w:t>
            </w:r>
            <w:r>
              <w:rPr>
                <w:rFonts w:ascii="Trebuchet MS" w:hAnsi="Trebuchet MS"/>
                <w:spacing w:val="-16"/>
                <w:w w:val="85"/>
                <w:sz w:val="16"/>
              </w:rPr>
              <w:t> </w:t>
            </w:r>
            <w:r>
              <w:rPr>
                <w:rFonts w:ascii="Trebuchet MS" w:hAnsi="Trebuchet MS"/>
                <w:w w:val="85"/>
                <w:sz w:val="16"/>
              </w:rPr>
              <w:t>seguridad </w:t>
            </w:r>
            <w:r>
              <w:rPr>
                <w:w w:val="85"/>
                <w:sz w:val="16"/>
              </w:rPr>
              <w:t>en “las</w:t>
            </w:r>
            <w:r>
              <w:rPr>
                <w:spacing w:val="2"/>
                <w:w w:val="85"/>
                <w:sz w:val="16"/>
              </w:rPr>
              <w:t> </w:t>
            </w:r>
            <w:r>
              <w:rPr>
                <w:w w:val="85"/>
                <w:sz w:val="16"/>
              </w:rPr>
              <w:t>Américas”.</w:t>
            </w:r>
          </w:p>
        </w:tc>
      </w:tr>
    </w:tbl>
    <w:p>
      <w:pPr>
        <w:spacing w:after="0" w:line="247" w:lineRule="auto"/>
        <w:jc w:val="left"/>
        <w:rPr>
          <w:sz w:val="16"/>
        </w:rPr>
        <w:sectPr>
          <w:pgSz w:w="8790" w:h="12760"/>
          <w:pgMar w:header="695" w:footer="725" w:top="880" w:bottom="920" w:left="680" w:right="900"/>
        </w:sectPr>
      </w:pPr>
    </w:p>
    <w:p>
      <w:pPr>
        <w:pStyle w:val="BodyText"/>
        <w:spacing w:before="9"/>
        <w:rPr>
          <w:sz w:val="28"/>
        </w:rPr>
      </w:pPr>
    </w:p>
    <w:p>
      <w:pPr>
        <w:pStyle w:val="BodyText"/>
        <w:spacing w:line="252" w:lineRule="auto" w:before="73"/>
        <w:ind w:left="100" w:right="326"/>
        <w:jc w:val="both"/>
      </w:pPr>
      <w:r>
        <w:rPr>
          <w:spacing w:val="1"/>
          <w:w w:val="246"/>
        </w:rPr>
        <w:t>l</w:t>
      </w:r>
      <w:r>
        <w:rPr>
          <w:w w:val="113"/>
        </w:rPr>
        <w:t>a</w:t>
      </w:r>
      <w:r>
        <w:rPr/>
        <w:t> </w:t>
      </w:r>
      <w:r>
        <w:rPr>
          <w:spacing w:val="-4"/>
        </w:rPr>
        <w:t> </w:t>
      </w:r>
      <w:r>
        <w:rPr>
          <w:spacing w:val="1"/>
          <w:w w:val="113"/>
        </w:rPr>
        <w:t>combinació</w:t>
      </w:r>
      <w:r>
        <w:rPr>
          <w:w w:val="113"/>
        </w:rPr>
        <w:t>n</w:t>
      </w:r>
      <w:r>
        <w:rPr/>
        <w:t> </w:t>
      </w:r>
      <w:r>
        <w:rPr>
          <w:spacing w:val="-4"/>
        </w:rPr>
        <w:t> </w:t>
      </w:r>
      <w:r>
        <w:rPr>
          <w:spacing w:val="1"/>
          <w:w w:val="108"/>
        </w:rPr>
        <w:t>d</w:t>
      </w:r>
      <w:r>
        <w:rPr>
          <w:w w:val="108"/>
        </w:rPr>
        <w:t>e</w:t>
      </w:r>
      <w:r>
        <w:rPr/>
        <w:t> </w:t>
      </w:r>
      <w:r>
        <w:rPr>
          <w:spacing w:val="-4"/>
        </w:rPr>
        <w:t> </w:t>
      </w:r>
      <w:r>
        <w:rPr>
          <w:spacing w:val="1"/>
          <w:w w:val="110"/>
        </w:rPr>
        <w:t>la</w:t>
      </w:r>
      <w:r>
        <w:rPr>
          <w:w w:val="110"/>
        </w:rPr>
        <w:t>s</w:t>
      </w:r>
      <w:r>
        <w:rPr/>
        <w:t> </w:t>
      </w:r>
      <w:r>
        <w:rPr>
          <w:spacing w:val="-4"/>
        </w:rPr>
        <w:t> </w:t>
      </w:r>
      <w:r>
        <w:rPr>
          <w:spacing w:val="1"/>
          <w:w w:val="106"/>
        </w:rPr>
        <w:t>tre</w:t>
      </w:r>
      <w:r>
        <w:rPr>
          <w:w w:val="106"/>
        </w:rPr>
        <w:t>s</w:t>
      </w:r>
      <w:r>
        <w:rPr/>
        <w:t> </w:t>
      </w:r>
      <w:r>
        <w:rPr>
          <w:spacing w:val="-4"/>
        </w:rPr>
        <w:t> </w:t>
      </w:r>
      <w:r>
        <w:rPr>
          <w:spacing w:val="1"/>
          <w:w w:val="110"/>
        </w:rPr>
        <w:t>agenda</w:t>
      </w:r>
      <w:r>
        <w:rPr>
          <w:w w:val="110"/>
        </w:rPr>
        <w:t>s</w:t>
      </w:r>
      <w:r>
        <w:rPr/>
        <w:t> </w:t>
      </w:r>
      <w:r>
        <w:rPr>
          <w:spacing w:val="-4"/>
        </w:rPr>
        <w:t> </w:t>
      </w:r>
      <w:r>
        <w:rPr>
          <w:spacing w:val="1"/>
          <w:w w:val="109"/>
        </w:rPr>
        <w:t>–tant</w:t>
      </w:r>
      <w:r>
        <w:rPr>
          <w:w w:val="109"/>
        </w:rPr>
        <w:t>o</w:t>
      </w:r>
      <w:r>
        <w:rPr/>
        <w:t> </w:t>
      </w:r>
      <w:r>
        <w:rPr>
          <w:spacing w:val="-4"/>
        </w:rPr>
        <w:t> </w:t>
      </w:r>
      <w:r>
        <w:rPr>
          <w:spacing w:val="1"/>
          <w:w w:val="113"/>
        </w:rPr>
        <w:t>l</w:t>
      </w:r>
      <w:r>
        <w:rPr>
          <w:w w:val="113"/>
        </w:rPr>
        <w:t>a</w:t>
      </w:r>
      <w:r>
        <w:rPr/>
        <w:t> </w:t>
      </w:r>
      <w:r>
        <w:rPr>
          <w:spacing w:val="-4"/>
        </w:rPr>
        <w:t> </w:t>
      </w:r>
      <w:r>
        <w:rPr>
          <w:spacing w:val="1"/>
          <w:w w:val="109"/>
        </w:rPr>
        <w:t>de</w:t>
      </w:r>
      <w:r>
        <w:rPr>
          <w:w w:val="109"/>
        </w:rPr>
        <w:t>l</w:t>
      </w:r>
      <w:r>
        <w:rPr/>
        <w:t> </w:t>
      </w:r>
      <w:r>
        <w:rPr>
          <w:spacing w:val="-4"/>
        </w:rPr>
        <w:t> </w:t>
      </w:r>
      <w:r>
        <w:rPr>
          <w:spacing w:val="1"/>
          <w:w w:val="122"/>
        </w:rPr>
        <w:t>Q</w:t>
      </w:r>
      <w:r>
        <w:rPr>
          <w:spacing w:val="1"/>
          <w:w w:val="151"/>
        </w:rPr>
        <w:t>ddr</w:t>
      </w:r>
      <w:r>
        <w:rPr>
          <w:w w:val="151"/>
        </w:rPr>
        <w:t>,</w:t>
      </w:r>
      <w:r>
        <w:rPr/>
        <w:t> </w:t>
      </w:r>
      <w:r>
        <w:rPr>
          <w:spacing w:val="-5"/>
        </w:rPr>
        <w:t> </w:t>
      </w:r>
      <w:r>
        <w:rPr>
          <w:spacing w:val="1"/>
          <w:w w:val="113"/>
        </w:rPr>
        <w:t>com</w:t>
      </w:r>
      <w:r>
        <w:rPr>
          <w:w w:val="113"/>
        </w:rPr>
        <w:t>o</w:t>
      </w:r>
      <w:r>
        <w:rPr/>
        <w:t> </w:t>
      </w:r>
      <w:r>
        <w:rPr>
          <w:spacing w:val="-4"/>
        </w:rPr>
        <w:t> </w:t>
      </w:r>
      <w:r>
        <w:rPr>
          <w:spacing w:val="1"/>
          <w:w w:val="113"/>
        </w:rPr>
        <w:t>la </w:t>
      </w:r>
      <w:r>
        <w:rPr>
          <w:w w:val="110"/>
        </w:rPr>
        <w:t>del </w:t>
      </w:r>
      <w:r>
        <w:rPr>
          <w:w w:val="150"/>
        </w:rPr>
        <w:t>Nss </w:t>
      </w:r>
      <w:r>
        <w:rPr>
          <w:w w:val="110"/>
        </w:rPr>
        <w:t>y aquella que el departamento de Estado ha programado para el Hemisferio occidental– demuestran coincidencias tanto te- máticas como programáticas y estratégicas, en cada una de ellas es posible observar la prioridad que se da a los temas de seguridad,      sin embargo, desde el punto de vista de la </w:t>
      </w:r>
      <w:r>
        <w:rPr>
          <w:i/>
          <w:w w:val="110"/>
        </w:rPr>
        <w:t>seguridad ciudadana </w:t>
      </w:r>
      <w:r>
        <w:rPr>
          <w:w w:val="110"/>
        </w:rPr>
        <w:t>–la cual consiste en involucrar a los gobiernos de los países latinoa- mericanos (receptores del financiamiento y asesoría técnica esta- dounidense)– a fin de que ellos sean los principales responsables y encargados de administrar no sólo los recursos, sino también los </w:t>
      </w:r>
      <w:r>
        <w:rPr>
          <w:spacing w:val="1"/>
          <w:w w:val="112"/>
        </w:rPr>
        <w:t>costos</w:t>
      </w:r>
      <w:r>
        <w:rPr>
          <w:w w:val="112"/>
        </w:rPr>
        <w:t>,</w:t>
      </w:r>
      <w:r>
        <w:rPr>
          <w:spacing w:val="13"/>
        </w:rPr>
        <w:t> </w:t>
      </w:r>
      <w:r>
        <w:rPr>
          <w:spacing w:val="1"/>
          <w:w w:val="109"/>
        </w:rPr>
        <w:t>lo</w:t>
      </w:r>
      <w:r>
        <w:rPr>
          <w:w w:val="109"/>
        </w:rPr>
        <w:t>s</w:t>
      </w:r>
      <w:r>
        <w:rPr>
          <w:spacing w:val="13"/>
        </w:rPr>
        <w:t> </w:t>
      </w:r>
      <w:r>
        <w:rPr>
          <w:spacing w:val="1"/>
          <w:w w:val="110"/>
        </w:rPr>
        <w:t>objetivos</w:t>
      </w:r>
      <w:r>
        <w:rPr>
          <w:w w:val="110"/>
        </w:rPr>
        <w:t>,</w:t>
      </w:r>
      <w:r>
        <w:rPr>
          <w:spacing w:val="13"/>
        </w:rPr>
        <w:t> </w:t>
      </w:r>
      <w:r>
        <w:rPr>
          <w:spacing w:val="1"/>
          <w:w w:val="110"/>
        </w:rPr>
        <w:t>la</w:t>
      </w:r>
      <w:r>
        <w:rPr>
          <w:w w:val="110"/>
        </w:rPr>
        <w:t>s</w:t>
      </w:r>
      <w:r>
        <w:rPr>
          <w:spacing w:val="13"/>
        </w:rPr>
        <w:t> </w:t>
      </w:r>
      <w:r>
        <w:rPr>
          <w:spacing w:val="1"/>
          <w:w w:val="110"/>
        </w:rPr>
        <w:t>actividade</w:t>
      </w:r>
      <w:r>
        <w:rPr>
          <w:w w:val="110"/>
        </w:rPr>
        <w:t>s</w:t>
      </w:r>
      <w:r>
        <w:rPr>
          <w:spacing w:val="13"/>
        </w:rPr>
        <w:t> </w:t>
      </w:r>
      <w:r>
        <w:rPr>
          <w:w w:val="106"/>
        </w:rPr>
        <w:t>y</w:t>
      </w:r>
      <w:r>
        <w:rPr>
          <w:spacing w:val="13"/>
        </w:rPr>
        <w:t> </w:t>
      </w:r>
      <w:r>
        <w:rPr>
          <w:spacing w:val="1"/>
          <w:w w:val="109"/>
        </w:rPr>
        <w:t>lo</w:t>
      </w:r>
      <w:r>
        <w:rPr>
          <w:w w:val="109"/>
        </w:rPr>
        <w:t>s</w:t>
      </w:r>
      <w:r>
        <w:rPr>
          <w:spacing w:val="13"/>
        </w:rPr>
        <w:t> </w:t>
      </w:r>
      <w:r>
        <w:rPr>
          <w:spacing w:val="1"/>
          <w:w w:val="113"/>
        </w:rPr>
        <w:t>impactos</w:t>
      </w:r>
      <w:r>
        <w:rPr>
          <w:w w:val="113"/>
        </w:rPr>
        <w:t>.</w:t>
      </w:r>
      <w:r>
        <w:rPr>
          <w:spacing w:val="13"/>
        </w:rPr>
        <w:t> </w:t>
      </w:r>
      <w:r>
        <w:rPr>
          <w:spacing w:val="1"/>
          <w:w w:val="246"/>
        </w:rPr>
        <w:t>l</w:t>
      </w:r>
      <w:r>
        <w:rPr>
          <w:spacing w:val="1"/>
          <w:w w:val="109"/>
        </w:rPr>
        <w:t>o</w:t>
      </w:r>
      <w:r>
        <w:rPr>
          <w:w w:val="109"/>
        </w:rPr>
        <w:t>s</w:t>
      </w:r>
      <w:r>
        <w:rPr>
          <w:spacing w:val="13"/>
        </w:rPr>
        <w:t> </w:t>
      </w:r>
      <w:r>
        <w:rPr>
          <w:spacing w:val="1"/>
          <w:w w:val="110"/>
        </w:rPr>
        <w:t>cuerpo</w:t>
      </w:r>
      <w:r>
        <w:rPr>
          <w:w w:val="110"/>
        </w:rPr>
        <w:t>s</w:t>
      </w:r>
      <w:r>
        <w:rPr>
          <w:spacing w:val="13"/>
        </w:rPr>
        <w:t> </w:t>
      </w:r>
      <w:r>
        <w:rPr>
          <w:spacing w:val="1"/>
          <w:w w:val="110"/>
        </w:rPr>
        <w:t>p</w:t>
      </w:r>
      <w:r>
        <w:rPr>
          <w:spacing w:val="2"/>
          <w:w w:val="110"/>
        </w:rPr>
        <w:t>o</w:t>
      </w:r>
      <w:r>
        <w:rPr>
          <w:w w:val="103"/>
        </w:rPr>
        <w:t>- </w:t>
      </w:r>
      <w:r>
        <w:rPr>
          <w:w w:val="110"/>
        </w:rPr>
        <w:t>licíacos y entidades de seguridad pública a nivel estatal y municipal son las instituciones hacia las cuales está dirigida esta estrategia, aunque ésta es complementada con actividades de capacitación a la sociedad civil organizada a fin de que desempeñen un rol “vigilante”   y de “supervisión” constante en la implementación de políticas y programas públicos en materia de seguridad, pues, desde hace más  de una década los índices de violencia, homicidios e inseguridad se han incrementado en la  </w:t>
      </w:r>
      <w:r>
        <w:rPr>
          <w:spacing w:val="21"/>
          <w:w w:val="110"/>
        </w:rPr>
        <w:t> </w:t>
      </w:r>
      <w:r>
        <w:rPr>
          <w:w w:val="110"/>
        </w:rPr>
        <w:t>región.</w:t>
      </w:r>
    </w:p>
    <w:p>
      <w:pPr>
        <w:pStyle w:val="BodyText"/>
        <w:spacing w:line="252" w:lineRule="auto"/>
        <w:ind w:left="100" w:right="328" w:firstLine="396"/>
        <w:jc w:val="both"/>
      </w:pPr>
      <w:r>
        <w:rPr>
          <w:w w:val="110"/>
        </w:rPr>
        <w:t>El mismo esquema de seguridad ciudadana es combinado con otros temas prioritarios como el de derechos humanos, gobernanza democrática y corporativa, Estado de derecho, combate a la corrup- ción y la impunidad a fin de “fortalecer” la debilidad institucional y gubernamental que “se padece” en algunas naciones latinoamerica- nas. si bien es cierto que cada uno de estos problemas son reales en nuestros países, no podemos asegurar que las estrategias y</w:t>
      </w:r>
      <w:r>
        <w:rPr>
          <w:spacing w:val="-32"/>
          <w:w w:val="110"/>
        </w:rPr>
        <w:t> </w:t>
      </w:r>
      <w:r>
        <w:rPr>
          <w:w w:val="110"/>
        </w:rPr>
        <w:t>programas impulsados estén siendo efectivos en su totalidad o que estén contri- buyendo al mejoramiento de la situación política y social, pues la “me- jora”, el progreso alcanzado hasta el momento es diferente en cada país y en ningún caso se ha conseguido “erradicar” completamente el problema, en todo caso se ha </w:t>
      </w:r>
      <w:r>
        <w:rPr>
          <w:spacing w:val="24"/>
          <w:w w:val="110"/>
        </w:rPr>
        <w:t> </w:t>
      </w:r>
      <w:r>
        <w:rPr>
          <w:w w:val="110"/>
        </w:rPr>
        <w:t>administrado.</w:t>
      </w:r>
    </w:p>
    <w:p>
      <w:pPr>
        <w:pStyle w:val="BodyText"/>
        <w:spacing w:line="252" w:lineRule="auto"/>
        <w:ind w:left="100" w:right="327" w:firstLine="396"/>
        <w:jc w:val="both"/>
      </w:pPr>
      <w:r>
        <w:rPr>
          <w:w w:val="243"/>
        </w:rPr>
        <w:t>l</w:t>
      </w:r>
      <w:r>
        <w:rPr>
          <w:w w:val="112"/>
        </w:rPr>
        <w:t>a</w:t>
      </w:r>
      <w:r>
        <w:rPr/>
        <w:t> </w:t>
      </w:r>
      <w:r>
        <w:rPr>
          <w:spacing w:val="-18"/>
        </w:rPr>
        <w:t> </w:t>
      </w:r>
      <w:r>
        <w:rPr>
          <w:w w:val="110"/>
        </w:rPr>
        <w:t>agenda</w:t>
      </w:r>
      <w:r>
        <w:rPr/>
        <w:t> </w:t>
      </w:r>
      <w:r>
        <w:rPr>
          <w:spacing w:val="-18"/>
        </w:rPr>
        <w:t> </w:t>
      </w:r>
      <w:r>
        <w:rPr>
          <w:w w:val="112"/>
        </w:rPr>
        <w:t>económica</w:t>
      </w:r>
      <w:r>
        <w:rPr/>
        <w:t> </w:t>
      </w:r>
      <w:r>
        <w:rPr>
          <w:spacing w:val="-18"/>
        </w:rPr>
        <w:t> </w:t>
      </w:r>
      <w:r>
        <w:rPr>
          <w:w w:val="110"/>
        </w:rPr>
        <w:t>también</w:t>
      </w:r>
      <w:r>
        <w:rPr/>
        <w:t> </w:t>
      </w:r>
      <w:r>
        <w:rPr>
          <w:spacing w:val="-18"/>
        </w:rPr>
        <w:t> </w:t>
      </w:r>
      <w:r>
        <w:rPr>
          <w:w w:val="107"/>
        </w:rPr>
        <w:t>está</w:t>
      </w:r>
      <w:r>
        <w:rPr/>
        <w:t> </w:t>
      </w:r>
      <w:r>
        <w:rPr>
          <w:spacing w:val="-18"/>
        </w:rPr>
        <w:t> </w:t>
      </w:r>
      <w:r>
        <w:rPr>
          <w:w w:val="106"/>
        </w:rPr>
        <w:t>presente</w:t>
      </w:r>
      <w:r>
        <w:rPr/>
        <w:t> </w:t>
      </w:r>
      <w:r>
        <w:rPr>
          <w:spacing w:val="-19"/>
        </w:rPr>
        <w:t> </w:t>
      </w:r>
      <w:r>
        <w:rPr>
          <w:w w:val="108"/>
        </w:rPr>
        <w:t>en</w:t>
      </w:r>
      <w:r>
        <w:rPr/>
        <w:t> </w:t>
      </w:r>
      <w:r>
        <w:rPr>
          <w:spacing w:val="-18"/>
        </w:rPr>
        <w:t> </w:t>
      </w:r>
      <w:r>
        <w:rPr>
          <w:w w:val="108"/>
        </w:rPr>
        <w:t>todos</w:t>
      </w:r>
      <w:r>
        <w:rPr/>
        <w:t> </w:t>
      </w:r>
      <w:r>
        <w:rPr>
          <w:spacing w:val="-18"/>
        </w:rPr>
        <w:t> </w:t>
      </w:r>
      <w:r>
        <w:rPr>
          <w:w w:val="108"/>
        </w:rPr>
        <w:t>los</w:t>
      </w:r>
      <w:r>
        <w:rPr/>
        <w:t> </w:t>
      </w:r>
      <w:r>
        <w:rPr>
          <w:spacing w:val="-19"/>
        </w:rPr>
        <w:t> </w:t>
      </w:r>
      <w:r>
        <w:rPr>
          <w:w w:val="107"/>
        </w:rPr>
        <w:t>esqu</w:t>
      </w:r>
      <w:r>
        <w:rPr>
          <w:spacing w:val="-1"/>
          <w:w w:val="107"/>
        </w:rPr>
        <w:t>e</w:t>
      </w:r>
      <w:r>
        <w:rPr>
          <w:w w:val="102"/>
        </w:rPr>
        <w:t>- </w:t>
      </w:r>
      <w:r>
        <w:rPr>
          <w:w w:val="115"/>
        </w:rPr>
        <w:t>mas.</w:t>
      </w:r>
      <w:r>
        <w:rPr>
          <w:spacing w:val="-24"/>
          <w:w w:val="115"/>
        </w:rPr>
        <w:t> </w:t>
      </w:r>
      <w:r>
        <w:rPr>
          <w:w w:val="115"/>
        </w:rPr>
        <w:t>Como</w:t>
      </w:r>
      <w:r>
        <w:rPr>
          <w:spacing w:val="-24"/>
          <w:w w:val="115"/>
        </w:rPr>
        <w:t> </w:t>
      </w:r>
      <w:r>
        <w:rPr>
          <w:w w:val="115"/>
        </w:rPr>
        <w:t>se</w:t>
      </w:r>
      <w:r>
        <w:rPr>
          <w:spacing w:val="-24"/>
          <w:w w:val="115"/>
        </w:rPr>
        <w:t> </w:t>
      </w:r>
      <w:r>
        <w:rPr>
          <w:w w:val="115"/>
        </w:rPr>
        <w:t>mencionó</w:t>
      </w:r>
      <w:r>
        <w:rPr>
          <w:spacing w:val="-24"/>
          <w:w w:val="115"/>
        </w:rPr>
        <w:t> </w:t>
      </w:r>
      <w:r>
        <w:rPr>
          <w:w w:val="115"/>
        </w:rPr>
        <w:t>inicialmente,</w:t>
      </w:r>
      <w:r>
        <w:rPr>
          <w:spacing w:val="-24"/>
          <w:w w:val="115"/>
        </w:rPr>
        <w:t> </w:t>
      </w:r>
      <w:r>
        <w:rPr>
          <w:w w:val="115"/>
        </w:rPr>
        <w:t>la</w:t>
      </w:r>
      <w:r>
        <w:rPr>
          <w:spacing w:val="-24"/>
          <w:w w:val="115"/>
        </w:rPr>
        <w:t> </w:t>
      </w:r>
      <w:r>
        <w:rPr>
          <w:w w:val="115"/>
        </w:rPr>
        <w:t>“imposibilidad”</w:t>
      </w:r>
      <w:r>
        <w:rPr>
          <w:spacing w:val="-24"/>
          <w:w w:val="115"/>
        </w:rPr>
        <w:t> </w:t>
      </w:r>
      <w:r>
        <w:rPr>
          <w:w w:val="115"/>
        </w:rPr>
        <w:t>de</w:t>
      </w:r>
      <w:r>
        <w:rPr>
          <w:spacing w:val="-24"/>
          <w:w w:val="115"/>
        </w:rPr>
        <w:t> </w:t>
      </w:r>
      <w:r>
        <w:rPr>
          <w:w w:val="115"/>
        </w:rPr>
        <w:t>separar</w:t>
      </w:r>
      <w:r>
        <w:rPr>
          <w:spacing w:val="-24"/>
          <w:w w:val="115"/>
        </w:rPr>
        <w:t> </w:t>
      </w:r>
      <w:r>
        <w:rPr>
          <w:w w:val="115"/>
        </w:rPr>
        <w:t>el Estado</w:t>
      </w:r>
      <w:r>
        <w:rPr>
          <w:spacing w:val="-14"/>
          <w:w w:val="115"/>
        </w:rPr>
        <w:t> </w:t>
      </w:r>
      <w:r>
        <w:rPr>
          <w:w w:val="115"/>
        </w:rPr>
        <w:t>del</w:t>
      </w:r>
      <w:r>
        <w:rPr>
          <w:spacing w:val="-14"/>
          <w:w w:val="115"/>
        </w:rPr>
        <w:t> </w:t>
      </w:r>
      <w:r>
        <w:rPr>
          <w:w w:val="115"/>
        </w:rPr>
        <w:t>Mercado</w:t>
      </w:r>
      <w:r>
        <w:rPr>
          <w:spacing w:val="-14"/>
          <w:w w:val="115"/>
        </w:rPr>
        <w:t> </w:t>
      </w:r>
      <w:r>
        <w:rPr>
          <w:w w:val="115"/>
        </w:rPr>
        <w:t>en</w:t>
      </w:r>
      <w:r>
        <w:rPr>
          <w:spacing w:val="-14"/>
          <w:w w:val="115"/>
        </w:rPr>
        <w:t> </w:t>
      </w:r>
      <w:r>
        <w:rPr>
          <w:w w:val="115"/>
        </w:rPr>
        <w:t>las</w:t>
      </w:r>
      <w:r>
        <w:rPr>
          <w:spacing w:val="-14"/>
          <w:w w:val="115"/>
        </w:rPr>
        <w:t> </w:t>
      </w:r>
      <w:r>
        <w:rPr>
          <w:w w:val="115"/>
        </w:rPr>
        <w:t>estrategias</w:t>
      </w:r>
      <w:r>
        <w:rPr>
          <w:spacing w:val="-14"/>
          <w:w w:val="115"/>
        </w:rPr>
        <w:t> </w:t>
      </w:r>
      <w:r>
        <w:rPr>
          <w:w w:val="115"/>
        </w:rPr>
        <w:t>y</w:t>
      </w:r>
      <w:r>
        <w:rPr>
          <w:spacing w:val="-14"/>
          <w:w w:val="115"/>
        </w:rPr>
        <w:t> </w:t>
      </w:r>
      <w:r>
        <w:rPr>
          <w:w w:val="115"/>
        </w:rPr>
        <w:t>objetivos</w:t>
      </w:r>
      <w:r>
        <w:rPr>
          <w:spacing w:val="-14"/>
          <w:w w:val="115"/>
        </w:rPr>
        <w:t> </w:t>
      </w:r>
      <w:r>
        <w:rPr>
          <w:w w:val="115"/>
        </w:rPr>
        <w:t>de</w:t>
      </w:r>
      <w:r>
        <w:rPr>
          <w:spacing w:val="-14"/>
          <w:w w:val="115"/>
        </w:rPr>
        <w:t> </w:t>
      </w:r>
      <w:r>
        <w:rPr>
          <w:w w:val="115"/>
        </w:rPr>
        <w:t>política</w:t>
      </w:r>
      <w:r>
        <w:rPr>
          <w:spacing w:val="-14"/>
          <w:w w:val="115"/>
        </w:rPr>
        <w:t> </w:t>
      </w:r>
      <w:r>
        <w:rPr>
          <w:w w:val="115"/>
        </w:rPr>
        <w:t>exterior en</w:t>
      </w:r>
      <w:r>
        <w:rPr>
          <w:spacing w:val="-7"/>
          <w:w w:val="115"/>
        </w:rPr>
        <w:t> </w:t>
      </w:r>
      <w:r>
        <w:rPr>
          <w:w w:val="115"/>
        </w:rPr>
        <w:t>Estados</w:t>
      </w:r>
      <w:r>
        <w:rPr>
          <w:spacing w:val="-7"/>
          <w:w w:val="115"/>
        </w:rPr>
        <w:t> </w:t>
      </w:r>
      <w:r>
        <w:rPr>
          <w:w w:val="115"/>
        </w:rPr>
        <w:t>unidos,</w:t>
      </w:r>
      <w:r>
        <w:rPr>
          <w:spacing w:val="-7"/>
          <w:w w:val="115"/>
        </w:rPr>
        <w:t> </w:t>
      </w:r>
      <w:r>
        <w:rPr>
          <w:w w:val="115"/>
        </w:rPr>
        <w:t>evidencia</w:t>
      </w:r>
      <w:r>
        <w:rPr>
          <w:spacing w:val="-7"/>
          <w:w w:val="115"/>
        </w:rPr>
        <w:t> </w:t>
      </w:r>
      <w:r>
        <w:rPr>
          <w:w w:val="115"/>
        </w:rPr>
        <w:t>la</w:t>
      </w:r>
      <w:r>
        <w:rPr>
          <w:spacing w:val="-7"/>
          <w:w w:val="115"/>
        </w:rPr>
        <w:t> </w:t>
      </w:r>
      <w:r>
        <w:rPr>
          <w:w w:val="115"/>
        </w:rPr>
        <w:t>inherencia</w:t>
      </w:r>
      <w:r>
        <w:rPr>
          <w:spacing w:val="-7"/>
          <w:w w:val="115"/>
        </w:rPr>
        <w:t> </w:t>
      </w:r>
      <w:r>
        <w:rPr>
          <w:w w:val="115"/>
        </w:rPr>
        <w:t>de</w:t>
      </w:r>
      <w:r>
        <w:rPr>
          <w:spacing w:val="-7"/>
          <w:w w:val="115"/>
        </w:rPr>
        <w:t> </w:t>
      </w:r>
      <w:r>
        <w:rPr>
          <w:w w:val="115"/>
        </w:rPr>
        <w:t>las</w:t>
      </w:r>
      <w:r>
        <w:rPr>
          <w:spacing w:val="-7"/>
          <w:w w:val="115"/>
        </w:rPr>
        <w:t> </w:t>
      </w:r>
      <w:r>
        <w:rPr>
          <w:w w:val="115"/>
        </w:rPr>
        <w:t>agendas</w:t>
      </w:r>
      <w:r>
        <w:rPr>
          <w:spacing w:val="-7"/>
          <w:w w:val="115"/>
        </w:rPr>
        <w:t> </w:t>
      </w:r>
      <w:r>
        <w:rPr>
          <w:w w:val="115"/>
        </w:rPr>
        <w:t>tanto</w:t>
      </w:r>
      <w:r>
        <w:rPr>
          <w:spacing w:val="-7"/>
          <w:w w:val="115"/>
        </w:rPr>
        <w:t> </w:t>
      </w:r>
      <w:r>
        <w:rPr>
          <w:w w:val="115"/>
        </w:rPr>
        <w:t>eco- nómica como política; de este modo, la promoción de los negocios, “ser</w:t>
      </w:r>
      <w:r>
        <w:rPr>
          <w:spacing w:val="-10"/>
          <w:w w:val="115"/>
        </w:rPr>
        <w:t> </w:t>
      </w:r>
      <w:r>
        <w:rPr>
          <w:w w:val="115"/>
        </w:rPr>
        <w:t>líder</w:t>
      </w:r>
      <w:r>
        <w:rPr>
          <w:spacing w:val="-10"/>
          <w:w w:val="115"/>
        </w:rPr>
        <w:t> </w:t>
      </w:r>
      <w:r>
        <w:rPr>
          <w:w w:val="115"/>
        </w:rPr>
        <w:t>mundial”</w:t>
      </w:r>
      <w:r>
        <w:rPr>
          <w:spacing w:val="-10"/>
          <w:w w:val="115"/>
        </w:rPr>
        <w:t> </w:t>
      </w:r>
      <w:r>
        <w:rPr>
          <w:w w:val="115"/>
        </w:rPr>
        <w:t>y</w:t>
      </w:r>
      <w:r>
        <w:rPr>
          <w:spacing w:val="-10"/>
          <w:w w:val="115"/>
        </w:rPr>
        <w:t> </w:t>
      </w:r>
      <w:r>
        <w:rPr>
          <w:w w:val="115"/>
        </w:rPr>
        <w:t>“redefinir</w:t>
      </w:r>
      <w:r>
        <w:rPr>
          <w:spacing w:val="-10"/>
          <w:w w:val="115"/>
        </w:rPr>
        <w:t> </w:t>
      </w:r>
      <w:r>
        <w:rPr>
          <w:w w:val="115"/>
        </w:rPr>
        <w:t>el</w:t>
      </w:r>
      <w:r>
        <w:rPr>
          <w:spacing w:val="-10"/>
          <w:w w:val="115"/>
        </w:rPr>
        <w:t> </w:t>
      </w:r>
      <w:r>
        <w:rPr>
          <w:w w:val="115"/>
        </w:rPr>
        <w:t>orden</w:t>
      </w:r>
      <w:r>
        <w:rPr>
          <w:spacing w:val="-10"/>
          <w:w w:val="115"/>
        </w:rPr>
        <w:t> </w:t>
      </w:r>
      <w:r>
        <w:rPr>
          <w:w w:val="115"/>
        </w:rPr>
        <w:t>económico</w:t>
      </w:r>
      <w:r>
        <w:rPr>
          <w:spacing w:val="-10"/>
          <w:w w:val="115"/>
        </w:rPr>
        <w:t> </w:t>
      </w:r>
      <w:r>
        <w:rPr>
          <w:w w:val="115"/>
        </w:rPr>
        <w:t>global”</w:t>
      </w:r>
      <w:r>
        <w:rPr>
          <w:spacing w:val="-10"/>
          <w:w w:val="115"/>
        </w:rPr>
        <w:t> </w:t>
      </w:r>
      <w:r>
        <w:rPr>
          <w:w w:val="115"/>
        </w:rPr>
        <w:t>empatan coherentemente</w:t>
      </w:r>
      <w:r>
        <w:rPr>
          <w:spacing w:val="-19"/>
          <w:w w:val="115"/>
        </w:rPr>
        <w:t> </w:t>
      </w:r>
      <w:r>
        <w:rPr>
          <w:w w:val="115"/>
        </w:rPr>
        <w:t>–que</w:t>
      </w:r>
      <w:r>
        <w:rPr>
          <w:spacing w:val="-19"/>
          <w:w w:val="115"/>
        </w:rPr>
        <w:t> </w:t>
      </w:r>
      <w:r>
        <w:rPr>
          <w:w w:val="115"/>
        </w:rPr>
        <w:t>no</w:t>
      </w:r>
      <w:r>
        <w:rPr>
          <w:spacing w:val="-19"/>
          <w:w w:val="115"/>
        </w:rPr>
        <w:t> </w:t>
      </w:r>
      <w:r>
        <w:rPr>
          <w:w w:val="115"/>
        </w:rPr>
        <w:t>atinadamente–</w:t>
      </w:r>
      <w:r>
        <w:rPr>
          <w:spacing w:val="-19"/>
          <w:w w:val="115"/>
        </w:rPr>
        <w:t> </w:t>
      </w:r>
      <w:r>
        <w:rPr>
          <w:w w:val="115"/>
        </w:rPr>
        <w:t>con</w:t>
      </w:r>
      <w:r>
        <w:rPr>
          <w:spacing w:val="-19"/>
          <w:w w:val="115"/>
        </w:rPr>
        <w:t> </w:t>
      </w:r>
      <w:r>
        <w:rPr>
          <w:w w:val="115"/>
        </w:rPr>
        <w:t>las</w:t>
      </w:r>
      <w:r>
        <w:rPr>
          <w:spacing w:val="-19"/>
          <w:w w:val="115"/>
        </w:rPr>
        <w:t> </w:t>
      </w:r>
      <w:r>
        <w:rPr>
          <w:w w:val="115"/>
        </w:rPr>
        <w:t>iniciativas</w:t>
      </w:r>
      <w:r>
        <w:rPr>
          <w:spacing w:val="-19"/>
          <w:w w:val="115"/>
        </w:rPr>
        <w:t> </w:t>
      </w:r>
      <w:r>
        <w:rPr>
          <w:w w:val="115"/>
        </w:rPr>
        <w:t>y</w:t>
      </w:r>
      <w:r>
        <w:rPr>
          <w:spacing w:val="-19"/>
          <w:w w:val="115"/>
        </w:rPr>
        <w:t> </w:t>
      </w:r>
      <w:r>
        <w:rPr>
          <w:w w:val="115"/>
        </w:rPr>
        <w:t>estrate- </w:t>
      </w:r>
      <w:r>
        <w:rPr>
          <w:w w:val="110"/>
        </w:rPr>
        <w:t>gias</w:t>
      </w:r>
      <w:r>
        <w:rPr/>
        <w:t> </w:t>
      </w:r>
      <w:r>
        <w:rPr>
          <w:spacing w:val="1"/>
        </w:rPr>
        <w:t> </w:t>
      </w:r>
      <w:r>
        <w:rPr>
          <w:w w:val="108"/>
        </w:rPr>
        <w:t>estadounidenses</w:t>
      </w:r>
      <w:r>
        <w:rPr/>
        <w:t> </w:t>
      </w:r>
      <w:r>
        <w:rPr>
          <w:spacing w:val="1"/>
        </w:rPr>
        <w:t> </w:t>
      </w:r>
      <w:r>
        <w:rPr>
          <w:w w:val="108"/>
        </w:rPr>
        <w:t>en</w:t>
      </w:r>
      <w:r>
        <w:rPr/>
        <w:t> </w:t>
      </w:r>
      <w:r>
        <w:rPr>
          <w:spacing w:val="1"/>
        </w:rPr>
        <w:t> </w:t>
      </w:r>
      <w:r>
        <w:rPr>
          <w:w w:val="109"/>
        </w:rPr>
        <w:t>las</w:t>
      </w:r>
      <w:r>
        <w:rPr/>
        <w:t> </w:t>
      </w:r>
      <w:r>
        <w:rPr>
          <w:spacing w:val="1"/>
        </w:rPr>
        <w:t> </w:t>
      </w:r>
      <w:r>
        <w:rPr>
          <w:w w:val="108"/>
        </w:rPr>
        <w:t>diferentes</w:t>
      </w:r>
      <w:r>
        <w:rPr/>
        <w:t> </w:t>
      </w:r>
      <w:r>
        <w:rPr>
          <w:spacing w:val="1"/>
        </w:rPr>
        <w:t> </w:t>
      </w:r>
      <w:r>
        <w:rPr>
          <w:w w:val="108"/>
        </w:rPr>
        <w:t>regiones</w:t>
      </w:r>
      <w:r>
        <w:rPr/>
        <w:t> </w:t>
      </w:r>
      <w:r>
        <w:rPr>
          <w:spacing w:val="1"/>
        </w:rPr>
        <w:t> </w:t>
      </w:r>
      <w:r>
        <w:rPr>
          <w:spacing w:val="-22"/>
          <w:w w:val="105"/>
        </w:rPr>
        <w:t>y</w:t>
      </w:r>
      <w:r>
        <w:rPr>
          <w:w w:val="138"/>
        </w:rPr>
        <w:t>,</w:t>
      </w:r>
      <w:r>
        <w:rPr/>
        <w:t> </w:t>
      </w:r>
      <w:r>
        <w:rPr>
          <w:spacing w:val="1"/>
        </w:rPr>
        <w:t> </w:t>
      </w:r>
      <w:r>
        <w:rPr>
          <w:w w:val="108"/>
        </w:rPr>
        <w:t>en</w:t>
      </w:r>
      <w:r>
        <w:rPr/>
        <w:t> </w:t>
      </w:r>
      <w:r>
        <w:rPr>
          <w:spacing w:val="1"/>
        </w:rPr>
        <w:t> </w:t>
      </w:r>
      <w:r>
        <w:rPr>
          <w:w w:val="139"/>
        </w:rPr>
        <w:t>a</w:t>
      </w:r>
      <w:r>
        <w:rPr>
          <w:w w:val="111"/>
        </w:rPr>
        <w:t>mérica</w:t>
      </w:r>
      <w:r>
        <w:rPr/>
        <w:t> </w:t>
      </w:r>
      <w:r>
        <w:rPr>
          <w:spacing w:val="1"/>
        </w:rPr>
        <w:t> </w:t>
      </w:r>
      <w:r>
        <w:rPr>
          <w:w w:val="243"/>
        </w:rPr>
        <w:t>l</w:t>
      </w:r>
      <w:r>
        <w:rPr>
          <w:w w:val="111"/>
        </w:rPr>
        <w:t>ati</w:t>
      </w:r>
      <w:r>
        <w:rPr>
          <w:w w:val="102"/>
        </w:rPr>
        <w:t>- </w:t>
      </w:r>
      <w:r>
        <w:rPr>
          <w:w w:val="115"/>
        </w:rPr>
        <w:t>na,</w:t>
      </w:r>
      <w:r>
        <w:rPr>
          <w:spacing w:val="-5"/>
          <w:w w:val="115"/>
        </w:rPr>
        <w:t> </w:t>
      </w:r>
      <w:r>
        <w:rPr>
          <w:w w:val="115"/>
        </w:rPr>
        <w:t>la</w:t>
      </w:r>
      <w:r>
        <w:rPr>
          <w:spacing w:val="-5"/>
          <w:w w:val="115"/>
        </w:rPr>
        <w:t> </w:t>
      </w:r>
      <w:r>
        <w:rPr>
          <w:w w:val="115"/>
        </w:rPr>
        <w:t>inversión</w:t>
      </w:r>
      <w:r>
        <w:rPr>
          <w:spacing w:val="-5"/>
          <w:w w:val="115"/>
        </w:rPr>
        <w:t> </w:t>
      </w:r>
      <w:r>
        <w:rPr>
          <w:w w:val="115"/>
        </w:rPr>
        <w:t>estadounidense</w:t>
      </w:r>
      <w:r>
        <w:rPr>
          <w:spacing w:val="-5"/>
          <w:w w:val="115"/>
        </w:rPr>
        <w:t> </w:t>
      </w:r>
      <w:r>
        <w:rPr>
          <w:w w:val="115"/>
        </w:rPr>
        <w:t>en</w:t>
      </w:r>
      <w:r>
        <w:rPr>
          <w:spacing w:val="-5"/>
          <w:w w:val="115"/>
        </w:rPr>
        <w:t> </w:t>
      </w:r>
      <w:r>
        <w:rPr>
          <w:w w:val="115"/>
        </w:rPr>
        <w:t>el</w:t>
      </w:r>
      <w:r>
        <w:rPr>
          <w:spacing w:val="-5"/>
          <w:w w:val="115"/>
        </w:rPr>
        <w:t> </w:t>
      </w:r>
      <w:r>
        <w:rPr>
          <w:w w:val="115"/>
        </w:rPr>
        <w:t>sector</w:t>
      </w:r>
      <w:r>
        <w:rPr>
          <w:spacing w:val="-5"/>
          <w:w w:val="115"/>
        </w:rPr>
        <w:t> </w:t>
      </w:r>
      <w:r>
        <w:rPr>
          <w:w w:val="115"/>
        </w:rPr>
        <w:t>energético</w:t>
      </w:r>
      <w:r>
        <w:rPr>
          <w:spacing w:val="-5"/>
          <w:w w:val="115"/>
        </w:rPr>
        <w:t> </w:t>
      </w:r>
      <w:r>
        <w:rPr>
          <w:w w:val="115"/>
        </w:rPr>
        <w:t>y</w:t>
      </w:r>
      <w:r>
        <w:rPr>
          <w:spacing w:val="-5"/>
          <w:w w:val="115"/>
        </w:rPr>
        <w:t> </w:t>
      </w:r>
      <w:r>
        <w:rPr>
          <w:w w:val="115"/>
        </w:rPr>
        <w:t>la</w:t>
      </w:r>
      <w:r>
        <w:rPr>
          <w:spacing w:val="-5"/>
          <w:w w:val="115"/>
        </w:rPr>
        <w:t> </w:t>
      </w:r>
      <w:r>
        <w:rPr>
          <w:w w:val="115"/>
        </w:rPr>
        <w:t>firma</w:t>
      </w:r>
      <w:r>
        <w:rPr>
          <w:spacing w:val="-5"/>
          <w:w w:val="115"/>
        </w:rPr>
        <w:t> </w:t>
      </w:r>
      <w:r>
        <w:rPr>
          <w:w w:val="115"/>
        </w:rPr>
        <w:t>de futuros</w:t>
      </w:r>
      <w:r>
        <w:rPr>
          <w:spacing w:val="-7"/>
          <w:w w:val="115"/>
        </w:rPr>
        <w:t> </w:t>
      </w:r>
      <w:r>
        <w:rPr>
          <w:w w:val="115"/>
        </w:rPr>
        <w:t>tratados</w:t>
      </w:r>
      <w:r>
        <w:rPr>
          <w:spacing w:val="-7"/>
          <w:w w:val="115"/>
        </w:rPr>
        <w:t> </w:t>
      </w:r>
      <w:r>
        <w:rPr>
          <w:w w:val="115"/>
        </w:rPr>
        <w:t>de</w:t>
      </w:r>
      <w:r>
        <w:rPr>
          <w:spacing w:val="-7"/>
          <w:w w:val="115"/>
        </w:rPr>
        <w:t> </w:t>
      </w:r>
      <w:r>
        <w:rPr>
          <w:w w:val="115"/>
        </w:rPr>
        <w:t>libre</w:t>
      </w:r>
      <w:r>
        <w:rPr>
          <w:spacing w:val="-7"/>
          <w:w w:val="115"/>
        </w:rPr>
        <w:t> </w:t>
      </w:r>
      <w:r>
        <w:rPr>
          <w:w w:val="115"/>
        </w:rPr>
        <w:t>comercio</w:t>
      </w:r>
      <w:r>
        <w:rPr>
          <w:spacing w:val="-7"/>
          <w:w w:val="115"/>
        </w:rPr>
        <w:t> </w:t>
      </w:r>
      <w:r>
        <w:rPr>
          <w:w w:val="115"/>
        </w:rPr>
        <w:t>(como</w:t>
      </w:r>
      <w:r>
        <w:rPr>
          <w:spacing w:val="-7"/>
          <w:w w:val="115"/>
        </w:rPr>
        <w:t> </w:t>
      </w:r>
      <w:r>
        <w:rPr>
          <w:w w:val="115"/>
        </w:rPr>
        <w:t>estrategia</w:t>
      </w:r>
      <w:r>
        <w:rPr>
          <w:spacing w:val="-7"/>
          <w:w w:val="115"/>
        </w:rPr>
        <w:t> </w:t>
      </w:r>
      <w:r>
        <w:rPr>
          <w:w w:val="115"/>
        </w:rPr>
        <w:t>bilateral)</w:t>
      </w:r>
      <w:r>
        <w:rPr>
          <w:spacing w:val="-7"/>
          <w:w w:val="115"/>
        </w:rPr>
        <w:t> </w:t>
      </w:r>
      <w:r>
        <w:rPr>
          <w:w w:val="115"/>
        </w:rPr>
        <w:t>serán los principales indicadores que darán cuenta del interés de</w:t>
      </w:r>
      <w:r>
        <w:rPr>
          <w:spacing w:val="-23"/>
          <w:w w:val="115"/>
        </w:rPr>
        <w:t> </w:t>
      </w:r>
      <w:r>
        <w:rPr>
          <w:w w:val="115"/>
        </w:rPr>
        <w:t>Estados unidos en la</w:t>
      </w:r>
      <w:r>
        <w:rPr>
          <w:spacing w:val="-15"/>
          <w:w w:val="115"/>
        </w:rPr>
        <w:t> </w:t>
      </w:r>
      <w:r>
        <w:rPr>
          <w:w w:val="115"/>
        </w:rPr>
        <w:t>región.</w:t>
      </w:r>
    </w:p>
    <w:p>
      <w:pPr>
        <w:spacing w:after="0" w:line="252" w:lineRule="auto"/>
        <w:jc w:val="both"/>
        <w:sectPr>
          <w:pgSz w:w="8790" w:h="12760"/>
          <w:pgMar w:header="697" w:footer="723" w:top="880" w:bottom="920" w:left="920" w:right="1200"/>
        </w:sectPr>
      </w:pPr>
    </w:p>
    <w:p>
      <w:pPr>
        <w:pStyle w:val="BodyText"/>
        <w:spacing w:before="4"/>
        <w:rPr>
          <w:sz w:val="28"/>
        </w:rPr>
      </w:pPr>
    </w:p>
    <w:p>
      <w:pPr>
        <w:pStyle w:val="Heading6"/>
        <w:spacing w:before="68"/>
        <w:ind w:left="331"/>
      </w:pPr>
      <w:r>
        <w:rPr>
          <w:w w:val="140"/>
        </w:rPr>
        <w:t>consideraciones finales</w:t>
      </w:r>
    </w:p>
    <w:p>
      <w:pPr>
        <w:pStyle w:val="BodyText"/>
        <w:spacing w:line="252" w:lineRule="auto" w:before="10"/>
        <w:ind w:left="330" w:right="114"/>
        <w:jc w:val="both"/>
      </w:pPr>
      <w:r>
        <w:rPr>
          <w:w w:val="110"/>
        </w:rPr>
        <w:t>a lo largo de este capítulo se expuso la importancia de tener </w:t>
      </w:r>
      <w:r>
        <w:rPr>
          <w:spacing w:val="2"/>
          <w:w w:val="110"/>
        </w:rPr>
        <w:t>una </w:t>
      </w:r>
      <w:r>
        <w:rPr>
          <w:w w:val="110"/>
        </w:rPr>
        <w:t>aproximación más objetiva hacia los  temas  prioritarios  que  ocu-  pan la agenda del Hemisferio occidental y que giran en  torno  a  cuatro pilares según la identificación de “peligros y amenazas” </w:t>
      </w:r>
      <w:r>
        <w:rPr>
          <w:spacing w:val="2"/>
          <w:w w:val="110"/>
        </w:rPr>
        <w:t>que </w:t>
      </w:r>
      <w:r>
        <w:rPr>
          <w:w w:val="110"/>
        </w:rPr>
        <w:t>han sido identificados tanto por el Consejo de seguridad Nacional como por el departamento de Estado y la Casa blanca. al respecto,      se demostró que la agenda de política exterior hacia “las américas”   no es exclusivamente “militarista” y que los temas e iniciativas en materia de seguridad están más orientados a combatir el </w:t>
      </w:r>
      <w:r>
        <w:rPr>
          <w:spacing w:val="2"/>
          <w:w w:val="110"/>
        </w:rPr>
        <w:t>crimen </w:t>
      </w:r>
      <w:r>
        <w:rPr>
          <w:w w:val="110"/>
        </w:rPr>
        <w:t>organizado transnacional, el tráfico ilegal de drogas, la trata de personal y la violencia e inseguridad ciudadana sobre todo en la región centroamericana, caribeña y –en cierta medida– también en México por ser el país vecino que conecta ambas subregiones </w:t>
      </w:r>
      <w:r>
        <w:rPr>
          <w:spacing w:val="2"/>
          <w:w w:val="110"/>
        </w:rPr>
        <w:t>con </w:t>
      </w:r>
      <w:r>
        <w:rPr>
          <w:w w:val="110"/>
        </w:rPr>
        <w:t>Estados  </w:t>
      </w:r>
      <w:r>
        <w:rPr>
          <w:spacing w:val="17"/>
          <w:w w:val="110"/>
        </w:rPr>
        <w:t> </w:t>
      </w:r>
      <w:r>
        <w:rPr>
          <w:w w:val="110"/>
        </w:rPr>
        <w:t>unidos.</w:t>
      </w:r>
    </w:p>
    <w:p>
      <w:pPr>
        <w:pStyle w:val="BodyText"/>
        <w:spacing w:line="252" w:lineRule="auto"/>
        <w:ind w:left="330" w:right="118" w:firstLine="396"/>
        <w:jc w:val="both"/>
      </w:pPr>
      <w:r>
        <w:rPr>
          <w:w w:val="110"/>
        </w:rPr>
        <w:t>Por</w:t>
      </w:r>
      <w:r>
        <w:rPr>
          <w:spacing w:val="-4"/>
          <w:w w:val="110"/>
        </w:rPr>
        <w:t> </w:t>
      </w:r>
      <w:r>
        <w:rPr>
          <w:w w:val="110"/>
        </w:rPr>
        <w:t>otro</w:t>
      </w:r>
      <w:r>
        <w:rPr>
          <w:spacing w:val="-4"/>
          <w:w w:val="110"/>
        </w:rPr>
        <w:t> </w:t>
      </w:r>
      <w:r>
        <w:rPr>
          <w:w w:val="110"/>
        </w:rPr>
        <w:t>lado,</w:t>
      </w:r>
      <w:r>
        <w:rPr>
          <w:spacing w:val="-4"/>
          <w:w w:val="110"/>
        </w:rPr>
        <w:t> </w:t>
      </w:r>
      <w:r>
        <w:rPr>
          <w:w w:val="110"/>
        </w:rPr>
        <w:t>se</w:t>
      </w:r>
      <w:r>
        <w:rPr>
          <w:spacing w:val="-4"/>
          <w:w w:val="110"/>
        </w:rPr>
        <w:t> </w:t>
      </w:r>
      <w:r>
        <w:rPr>
          <w:w w:val="110"/>
        </w:rPr>
        <w:t>recordó</w:t>
      </w:r>
      <w:r>
        <w:rPr>
          <w:spacing w:val="-4"/>
          <w:w w:val="110"/>
        </w:rPr>
        <w:t> </w:t>
      </w:r>
      <w:r>
        <w:rPr>
          <w:w w:val="110"/>
        </w:rPr>
        <w:t>la</w:t>
      </w:r>
      <w:r>
        <w:rPr>
          <w:spacing w:val="-4"/>
          <w:w w:val="110"/>
        </w:rPr>
        <w:t> </w:t>
      </w:r>
      <w:r>
        <w:rPr>
          <w:w w:val="110"/>
        </w:rPr>
        <w:t>importancia</w:t>
      </w:r>
      <w:r>
        <w:rPr>
          <w:spacing w:val="-4"/>
          <w:w w:val="110"/>
        </w:rPr>
        <w:t> </w:t>
      </w:r>
      <w:r>
        <w:rPr>
          <w:w w:val="110"/>
        </w:rPr>
        <w:t>de</w:t>
      </w:r>
      <w:r>
        <w:rPr>
          <w:spacing w:val="-4"/>
          <w:w w:val="110"/>
        </w:rPr>
        <w:t> </w:t>
      </w:r>
      <w:r>
        <w:rPr>
          <w:w w:val="110"/>
        </w:rPr>
        <w:t>entender</w:t>
      </w:r>
      <w:r>
        <w:rPr>
          <w:spacing w:val="-4"/>
          <w:w w:val="110"/>
        </w:rPr>
        <w:t> </w:t>
      </w:r>
      <w:r>
        <w:rPr>
          <w:w w:val="110"/>
        </w:rPr>
        <w:t>los</w:t>
      </w:r>
      <w:r>
        <w:rPr>
          <w:spacing w:val="-4"/>
          <w:w w:val="110"/>
        </w:rPr>
        <w:t> </w:t>
      </w:r>
      <w:r>
        <w:rPr>
          <w:w w:val="110"/>
        </w:rPr>
        <w:t>objetivos, estrategias, mecanismos y misiones de política exterior desde la ópti- ca estadounidense a fin de contar con mejores tácticas de negociación en el establecimiento de acuerdos de cooperación con Estados uni- dos,</w:t>
      </w:r>
      <w:r>
        <w:rPr>
          <w:spacing w:val="-7"/>
          <w:w w:val="110"/>
        </w:rPr>
        <w:t> </w:t>
      </w:r>
      <w:r>
        <w:rPr>
          <w:w w:val="110"/>
        </w:rPr>
        <w:t>pues</w:t>
      </w:r>
      <w:r>
        <w:rPr>
          <w:spacing w:val="-7"/>
          <w:w w:val="110"/>
        </w:rPr>
        <w:t> </w:t>
      </w:r>
      <w:r>
        <w:rPr>
          <w:w w:val="110"/>
        </w:rPr>
        <w:t>existen</w:t>
      </w:r>
      <w:r>
        <w:rPr>
          <w:spacing w:val="-7"/>
          <w:w w:val="110"/>
        </w:rPr>
        <w:t> </w:t>
      </w:r>
      <w:r>
        <w:rPr>
          <w:w w:val="110"/>
        </w:rPr>
        <w:t>varios</w:t>
      </w:r>
      <w:r>
        <w:rPr>
          <w:spacing w:val="-7"/>
          <w:w w:val="110"/>
        </w:rPr>
        <w:t> </w:t>
      </w:r>
      <w:r>
        <w:rPr>
          <w:w w:val="110"/>
        </w:rPr>
        <w:t>programas</w:t>
      </w:r>
      <w:r>
        <w:rPr>
          <w:spacing w:val="-7"/>
          <w:w w:val="110"/>
        </w:rPr>
        <w:t> </w:t>
      </w:r>
      <w:r>
        <w:rPr>
          <w:w w:val="110"/>
        </w:rPr>
        <w:t>y</w:t>
      </w:r>
      <w:r>
        <w:rPr>
          <w:spacing w:val="-7"/>
          <w:w w:val="110"/>
        </w:rPr>
        <w:t> </w:t>
      </w:r>
      <w:r>
        <w:rPr>
          <w:w w:val="110"/>
        </w:rPr>
        <w:t>acuerdos</w:t>
      </w:r>
      <w:r>
        <w:rPr>
          <w:spacing w:val="-7"/>
          <w:w w:val="110"/>
        </w:rPr>
        <w:t> </w:t>
      </w:r>
      <w:r>
        <w:rPr>
          <w:w w:val="110"/>
        </w:rPr>
        <w:t>vigentes</w:t>
      </w:r>
      <w:r>
        <w:rPr>
          <w:spacing w:val="-7"/>
          <w:w w:val="110"/>
        </w:rPr>
        <w:t> </w:t>
      </w:r>
      <w:r>
        <w:rPr>
          <w:w w:val="110"/>
        </w:rPr>
        <w:t>que</w:t>
      </w:r>
      <w:r>
        <w:rPr>
          <w:spacing w:val="-7"/>
          <w:w w:val="110"/>
        </w:rPr>
        <w:t> </w:t>
      </w:r>
      <w:r>
        <w:rPr>
          <w:w w:val="110"/>
        </w:rPr>
        <w:t>no</w:t>
      </w:r>
      <w:r>
        <w:rPr>
          <w:spacing w:val="-7"/>
          <w:w w:val="110"/>
        </w:rPr>
        <w:t> </w:t>
      </w:r>
      <w:r>
        <w:rPr>
          <w:w w:val="110"/>
        </w:rPr>
        <w:t>pueden ser ignorados por los gobiernos latinoamericanos y que, en cambio, ameritan ser estudiados en profundidad a fin de mejorar la</w:t>
      </w:r>
      <w:r>
        <w:rPr>
          <w:spacing w:val="-31"/>
          <w:w w:val="110"/>
        </w:rPr>
        <w:t> </w:t>
      </w:r>
      <w:r>
        <w:rPr>
          <w:w w:val="110"/>
        </w:rPr>
        <w:t>implemen- tación de éstos </w:t>
      </w:r>
      <w:r>
        <w:rPr>
          <w:spacing w:val="-11"/>
          <w:w w:val="110"/>
        </w:rPr>
        <w:t>y, </w:t>
      </w:r>
      <w:r>
        <w:rPr>
          <w:w w:val="110"/>
        </w:rPr>
        <w:t>con ello, conseguir mayor efectividad y beneficios </w:t>
      </w:r>
      <w:r>
        <w:rPr>
          <w:w w:val="109"/>
        </w:rPr>
        <w:t>para</w:t>
      </w:r>
      <w:r>
        <w:rPr>
          <w:spacing w:val="13"/>
        </w:rPr>
        <w:t> </w:t>
      </w:r>
      <w:r>
        <w:rPr>
          <w:w w:val="139"/>
        </w:rPr>
        <w:t>a</w:t>
      </w:r>
      <w:r>
        <w:rPr>
          <w:w w:val="111"/>
        </w:rPr>
        <w:t>mérica</w:t>
      </w:r>
      <w:r>
        <w:rPr>
          <w:spacing w:val="13"/>
        </w:rPr>
        <w:t> </w:t>
      </w:r>
      <w:r>
        <w:rPr>
          <w:w w:val="243"/>
        </w:rPr>
        <w:t>l</w:t>
      </w:r>
      <w:r>
        <w:rPr>
          <w:w w:val="111"/>
        </w:rPr>
        <w:t>atina</w:t>
      </w:r>
      <w:r>
        <w:rPr>
          <w:spacing w:val="13"/>
        </w:rPr>
        <w:t> </w:t>
      </w:r>
      <w:r>
        <w:rPr>
          <w:w w:val="105"/>
        </w:rPr>
        <w:t>y</w:t>
      </w:r>
      <w:r>
        <w:rPr>
          <w:spacing w:val="13"/>
        </w:rPr>
        <w:t> </w:t>
      </w:r>
      <w:r>
        <w:rPr>
          <w:w w:val="107"/>
        </w:rPr>
        <w:t>el</w:t>
      </w:r>
      <w:r>
        <w:rPr>
          <w:spacing w:val="13"/>
        </w:rPr>
        <w:t> </w:t>
      </w:r>
      <w:r>
        <w:rPr>
          <w:w w:val="112"/>
        </w:rPr>
        <w:t>Caribe</w:t>
      </w:r>
      <w:r>
        <w:rPr>
          <w:spacing w:val="13"/>
        </w:rPr>
        <w:t> </w:t>
      </w:r>
      <w:r>
        <w:rPr>
          <w:w w:val="105"/>
        </w:rPr>
        <w:t>y</w:t>
      </w:r>
      <w:r>
        <w:rPr>
          <w:spacing w:val="13"/>
        </w:rPr>
        <w:t> </w:t>
      </w:r>
      <w:r>
        <w:rPr>
          <w:w w:val="107"/>
        </w:rPr>
        <w:t>de</w:t>
      </w:r>
      <w:r>
        <w:rPr>
          <w:spacing w:val="13"/>
        </w:rPr>
        <w:t> </w:t>
      </w:r>
      <w:r>
        <w:rPr>
          <w:w w:val="105"/>
        </w:rPr>
        <w:t>este</w:t>
      </w:r>
      <w:r>
        <w:rPr>
          <w:spacing w:val="13"/>
        </w:rPr>
        <w:t> </w:t>
      </w:r>
      <w:r>
        <w:rPr>
          <w:w w:val="111"/>
        </w:rPr>
        <w:t>modo</w:t>
      </w:r>
      <w:r>
        <w:rPr>
          <w:spacing w:val="13"/>
        </w:rPr>
        <w:t> </w:t>
      </w:r>
      <w:r>
        <w:rPr>
          <w:w w:val="108"/>
        </w:rPr>
        <w:t>romper</w:t>
      </w:r>
      <w:r>
        <w:rPr>
          <w:spacing w:val="13"/>
        </w:rPr>
        <w:t> </w:t>
      </w:r>
      <w:r>
        <w:rPr>
          <w:w w:val="112"/>
        </w:rPr>
        <w:t>con</w:t>
      </w:r>
      <w:r>
        <w:rPr>
          <w:spacing w:val="13"/>
        </w:rPr>
        <w:t> </w:t>
      </w:r>
      <w:r>
        <w:rPr>
          <w:w w:val="107"/>
        </w:rPr>
        <w:t>el</w:t>
      </w:r>
      <w:r>
        <w:rPr>
          <w:spacing w:val="13"/>
        </w:rPr>
        <w:t> </w:t>
      </w:r>
      <w:r>
        <w:rPr>
          <w:w w:val="109"/>
        </w:rPr>
        <w:t>patrón</w:t>
      </w:r>
    </w:p>
    <w:p>
      <w:pPr>
        <w:pStyle w:val="BodyText"/>
        <w:spacing w:line="252" w:lineRule="auto"/>
        <w:ind w:left="330" w:right="119"/>
        <w:jc w:val="both"/>
      </w:pPr>
      <w:r>
        <w:rPr>
          <w:w w:val="110"/>
        </w:rPr>
        <w:t>–verdadero o falso– en el cual sólo Estados unidos obtiene beneficios de estos mecanismos bilaterales y regionales.</w:t>
      </w:r>
    </w:p>
    <w:p>
      <w:pPr>
        <w:pStyle w:val="BodyText"/>
        <w:spacing w:line="252" w:lineRule="auto"/>
        <w:ind w:left="330" w:right="116" w:firstLine="396"/>
        <w:jc w:val="both"/>
      </w:pPr>
      <w:r>
        <w:rPr>
          <w:w w:val="110"/>
        </w:rPr>
        <w:t>Finalmente, este espacio permitió recordar la importancia de observar y estudiar a cada uno de los actores que intervienen en el proceso de formulación de política exterior de Estados unidos, aun- que no fue posible abundar en el peso político y económico de cada uno de estos actores, o bien citar algún ejemplo en particular; el ob- jetivo fue rescatar las bases metodológicas mínimas a fin de no “per- dernos” en la identificación de los sujetos clave que son partícipes, directa e indirectamente, en la toma de decisiones que, finalmente, terminan impactando en nuestras propias realidades latinoamerica- nas y caribeñas.</w:t>
      </w:r>
    </w:p>
    <w:p>
      <w:pPr>
        <w:spacing w:after="0" w:line="252" w:lineRule="auto"/>
        <w:jc w:val="both"/>
        <w:sectPr>
          <w:pgSz w:w="8790" w:h="12760"/>
          <w:pgMar w:header="695" w:footer="725" w:top="880" w:bottom="920" w:left="1200" w:right="900"/>
        </w:sectPr>
      </w:pPr>
    </w:p>
    <w:p>
      <w:pPr>
        <w:pStyle w:val="BodyText"/>
        <w:spacing w:before="10"/>
        <w:rPr>
          <w:sz w:val="27"/>
        </w:rPr>
      </w:pPr>
    </w:p>
    <w:p>
      <w:pPr>
        <w:spacing w:before="78"/>
        <w:ind w:left="972" w:right="1039" w:firstLine="0"/>
        <w:jc w:val="center"/>
        <w:rPr>
          <w:rFonts w:ascii="Arial" w:hAnsi="Arial"/>
          <w:b/>
          <w:sz w:val="17"/>
        </w:rPr>
      </w:pPr>
      <w:r>
        <w:rPr>
          <w:rFonts w:ascii="Arial" w:hAnsi="Arial"/>
          <w:b/>
          <w:w w:val="85"/>
          <w:sz w:val="17"/>
        </w:rPr>
        <w:t>Gráfico 1</w:t>
      </w:r>
    </w:p>
    <w:p>
      <w:pPr>
        <w:spacing w:line="249" w:lineRule="auto" w:before="8"/>
        <w:ind w:left="972" w:right="1040" w:firstLine="0"/>
        <w:jc w:val="center"/>
        <w:rPr>
          <w:rFonts w:ascii="Arial" w:hAnsi="Arial"/>
          <w:sz w:val="17"/>
        </w:rPr>
      </w:pPr>
      <w:r>
        <w:rPr>
          <w:rFonts w:ascii="Arial" w:hAnsi="Arial"/>
          <w:w w:val="85"/>
          <w:sz w:val="17"/>
        </w:rPr>
        <w:t>Evolución</w:t>
      </w:r>
      <w:r>
        <w:rPr>
          <w:rFonts w:ascii="Arial" w:hAnsi="Arial"/>
          <w:spacing w:val="-13"/>
          <w:w w:val="85"/>
          <w:sz w:val="17"/>
        </w:rPr>
        <w:t> </w:t>
      </w:r>
      <w:r>
        <w:rPr>
          <w:rFonts w:ascii="Arial" w:hAnsi="Arial"/>
          <w:w w:val="85"/>
          <w:sz w:val="17"/>
        </w:rPr>
        <w:t>de</w:t>
      </w:r>
      <w:r>
        <w:rPr>
          <w:rFonts w:ascii="Arial" w:hAnsi="Arial"/>
          <w:spacing w:val="-13"/>
          <w:w w:val="85"/>
          <w:sz w:val="17"/>
        </w:rPr>
        <w:t> </w:t>
      </w:r>
      <w:r>
        <w:rPr>
          <w:rFonts w:ascii="Arial" w:hAnsi="Arial"/>
          <w:w w:val="85"/>
          <w:sz w:val="17"/>
        </w:rPr>
        <w:t>la</w:t>
      </w:r>
      <w:r>
        <w:rPr>
          <w:rFonts w:ascii="Arial" w:hAnsi="Arial"/>
          <w:spacing w:val="-17"/>
          <w:w w:val="85"/>
          <w:sz w:val="17"/>
        </w:rPr>
        <w:t> </w:t>
      </w:r>
      <w:r>
        <w:rPr>
          <w:rFonts w:ascii="Arial" w:hAnsi="Arial"/>
          <w:w w:val="85"/>
          <w:sz w:val="17"/>
        </w:rPr>
        <w:t>Asistencia</w:t>
      </w:r>
      <w:r>
        <w:rPr>
          <w:rFonts w:ascii="Arial" w:hAnsi="Arial"/>
          <w:spacing w:val="-13"/>
          <w:w w:val="85"/>
          <w:sz w:val="17"/>
        </w:rPr>
        <w:t> </w:t>
      </w:r>
      <w:r>
        <w:rPr>
          <w:rFonts w:ascii="Arial" w:hAnsi="Arial"/>
          <w:w w:val="85"/>
          <w:sz w:val="17"/>
        </w:rPr>
        <w:t>Militar</w:t>
      </w:r>
      <w:r>
        <w:rPr>
          <w:rFonts w:ascii="Arial" w:hAnsi="Arial"/>
          <w:spacing w:val="-13"/>
          <w:w w:val="85"/>
          <w:sz w:val="17"/>
        </w:rPr>
        <w:t> </w:t>
      </w:r>
      <w:r>
        <w:rPr>
          <w:rFonts w:ascii="Arial" w:hAnsi="Arial"/>
          <w:w w:val="85"/>
          <w:sz w:val="17"/>
        </w:rPr>
        <w:t>de</w:t>
      </w:r>
      <w:r>
        <w:rPr>
          <w:rFonts w:ascii="Arial" w:hAnsi="Arial"/>
          <w:spacing w:val="-13"/>
          <w:w w:val="85"/>
          <w:sz w:val="17"/>
        </w:rPr>
        <w:t> </w:t>
      </w:r>
      <w:r>
        <w:rPr>
          <w:rFonts w:ascii="Arial" w:hAnsi="Arial"/>
          <w:w w:val="85"/>
          <w:sz w:val="17"/>
        </w:rPr>
        <w:t>Estados</w:t>
      </w:r>
      <w:r>
        <w:rPr>
          <w:rFonts w:ascii="Arial" w:hAnsi="Arial"/>
          <w:spacing w:val="-13"/>
          <w:w w:val="85"/>
          <w:sz w:val="17"/>
        </w:rPr>
        <w:t> </w:t>
      </w:r>
      <w:r>
        <w:rPr>
          <w:rFonts w:ascii="Arial" w:hAnsi="Arial"/>
          <w:w w:val="85"/>
          <w:sz w:val="17"/>
        </w:rPr>
        <w:t>Unidos</w:t>
      </w:r>
      <w:r>
        <w:rPr>
          <w:rFonts w:ascii="Arial" w:hAnsi="Arial"/>
          <w:spacing w:val="-13"/>
          <w:w w:val="85"/>
          <w:sz w:val="17"/>
        </w:rPr>
        <w:t> </w:t>
      </w:r>
      <w:r>
        <w:rPr>
          <w:rFonts w:ascii="Arial" w:hAnsi="Arial"/>
          <w:w w:val="85"/>
          <w:sz w:val="17"/>
        </w:rPr>
        <w:t>a</w:t>
      </w:r>
      <w:r>
        <w:rPr>
          <w:rFonts w:ascii="Arial" w:hAnsi="Arial"/>
          <w:spacing w:val="-17"/>
          <w:w w:val="85"/>
          <w:sz w:val="17"/>
        </w:rPr>
        <w:t> </w:t>
      </w:r>
      <w:r>
        <w:rPr>
          <w:rFonts w:ascii="Arial" w:hAnsi="Arial"/>
          <w:w w:val="85"/>
          <w:sz w:val="17"/>
        </w:rPr>
        <w:t>América</w:t>
      </w:r>
      <w:r>
        <w:rPr>
          <w:rFonts w:ascii="Arial" w:hAnsi="Arial"/>
          <w:spacing w:val="-13"/>
          <w:w w:val="85"/>
          <w:sz w:val="17"/>
        </w:rPr>
        <w:t> </w:t>
      </w:r>
      <w:r>
        <w:rPr>
          <w:rFonts w:ascii="Arial" w:hAnsi="Arial"/>
          <w:w w:val="85"/>
          <w:sz w:val="17"/>
        </w:rPr>
        <w:t>Latina</w:t>
      </w:r>
      <w:r>
        <w:rPr>
          <w:rFonts w:ascii="Arial" w:hAnsi="Arial"/>
          <w:spacing w:val="-13"/>
          <w:w w:val="85"/>
          <w:sz w:val="17"/>
        </w:rPr>
        <w:t> </w:t>
      </w:r>
      <w:r>
        <w:rPr>
          <w:rFonts w:ascii="Arial" w:hAnsi="Arial"/>
          <w:w w:val="85"/>
          <w:sz w:val="17"/>
        </w:rPr>
        <w:t>y</w:t>
      </w:r>
      <w:r>
        <w:rPr>
          <w:rFonts w:ascii="Arial" w:hAnsi="Arial"/>
          <w:spacing w:val="-13"/>
          <w:w w:val="85"/>
          <w:sz w:val="17"/>
        </w:rPr>
        <w:t> </w:t>
      </w:r>
      <w:r>
        <w:rPr>
          <w:rFonts w:ascii="Arial" w:hAnsi="Arial"/>
          <w:w w:val="85"/>
          <w:sz w:val="17"/>
        </w:rPr>
        <w:t>el</w:t>
      </w:r>
      <w:r>
        <w:rPr>
          <w:rFonts w:ascii="Arial" w:hAnsi="Arial"/>
          <w:spacing w:val="-13"/>
          <w:w w:val="85"/>
          <w:sz w:val="17"/>
        </w:rPr>
        <w:t> </w:t>
      </w:r>
      <w:r>
        <w:rPr>
          <w:rFonts w:ascii="Arial" w:hAnsi="Arial"/>
          <w:w w:val="85"/>
          <w:sz w:val="17"/>
        </w:rPr>
        <w:t>Caribe después</w:t>
      </w:r>
      <w:r>
        <w:rPr>
          <w:rFonts w:ascii="Arial" w:hAnsi="Arial"/>
          <w:spacing w:val="-19"/>
          <w:w w:val="85"/>
          <w:sz w:val="17"/>
        </w:rPr>
        <w:t> </w:t>
      </w:r>
      <w:r>
        <w:rPr>
          <w:rFonts w:ascii="Arial" w:hAnsi="Arial"/>
          <w:w w:val="85"/>
          <w:sz w:val="17"/>
        </w:rPr>
        <w:t>de</w:t>
      </w:r>
      <w:r>
        <w:rPr>
          <w:rFonts w:ascii="Arial" w:hAnsi="Arial"/>
          <w:spacing w:val="-19"/>
          <w:w w:val="85"/>
          <w:sz w:val="17"/>
        </w:rPr>
        <w:t> </w:t>
      </w:r>
      <w:r>
        <w:rPr>
          <w:rFonts w:ascii="Arial" w:hAnsi="Arial"/>
          <w:w w:val="85"/>
          <w:sz w:val="17"/>
        </w:rPr>
        <w:t>la</w:t>
      </w:r>
      <w:r>
        <w:rPr>
          <w:rFonts w:ascii="Arial" w:hAnsi="Arial"/>
          <w:spacing w:val="-19"/>
          <w:w w:val="85"/>
          <w:sz w:val="17"/>
        </w:rPr>
        <w:t> </w:t>
      </w:r>
      <w:r>
        <w:rPr>
          <w:rFonts w:ascii="Arial" w:hAnsi="Arial"/>
          <w:w w:val="85"/>
          <w:sz w:val="17"/>
        </w:rPr>
        <w:t>Segunda</w:t>
      </w:r>
      <w:r>
        <w:rPr>
          <w:rFonts w:ascii="Arial" w:hAnsi="Arial"/>
          <w:spacing w:val="-19"/>
          <w:w w:val="85"/>
          <w:sz w:val="17"/>
        </w:rPr>
        <w:t> </w:t>
      </w:r>
      <w:r>
        <w:rPr>
          <w:rFonts w:ascii="Arial" w:hAnsi="Arial"/>
          <w:w w:val="85"/>
          <w:sz w:val="17"/>
        </w:rPr>
        <w:t>Guerra</w:t>
      </w:r>
      <w:r>
        <w:rPr>
          <w:rFonts w:ascii="Arial" w:hAnsi="Arial"/>
          <w:spacing w:val="-19"/>
          <w:w w:val="85"/>
          <w:sz w:val="17"/>
        </w:rPr>
        <w:t> </w:t>
      </w:r>
      <w:r>
        <w:rPr>
          <w:rFonts w:ascii="Arial" w:hAnsi="Arial"/>
          <w:w w:val="85"/>
          <w:sz w:val="17"/>
        </w:rPr>
        <w:t>Mundial</w:t>
      </w:r>
    </w:p>
    <w:p>
      <w:pPr>
        <w:pStyle w:val="BodyText"/>
        <w:spacing w:before="10"/>
        <w:rPr>
          <w:rFonts w:ascii="Arial"/>
          <w:sz w:val="13"/>
        </w:rPr>
      </w:pPr>
      <w:r>
        <w:rPr/>
        <w:pict>
          <v:line style="position:absolute;mso-position-horizontal-relative:page;mso-position-vertical-relative:paragraph;z-index:5440;mso-wrap-distance-left:0;mso-wrap-distance-right:0" from="51.023602pt,10.466397pt" to="400.251602pt,10.466397pt" stroked="true" strokeweight="1pt" strokecolor="#000000">
            <w10:wrap type="topAndBottom"/>
          </v:line>
        </w:pict>
      </w:r>
      <w:r>
        <w:rPr/>
        <w:drawing>
          <wp:anchor distT="0" distB="0" distL="0" distR="0" allowOverlap="1" layoutInCell="1" locked="0" behindDoc="0" simplePos="0" relativeHeight="5464">
            <wp:simplePos x="0" y="0"/>
            <wp:positionH relativeFrom="page">
              <wp:posOffset>1593888</wp:posOffset>
            </wp:positionH>
            <wp:positionV relativeFrom="paragraph">
              <wp:posOffset>242743</wp:posOffset>
            </wp:positionV>
            <wp:extent cx="2559523" cy="1469136"/>
            <wp:effectExtent l="0" t="0" r="0" b="0"/>
            <wp:wrapTopAndBottom/>
            <wp:docPr id="19" name="image64.png" descr=""/>
            <wp:cNvGraphicFramePr>
              <a:graphicFrameLocks noChangeAspect="1"/>
            </wp:cNvGraphicFramePr>
            <a:graphic>
              <a:graphicData uri="http://schemas.openxmlformats.org/drawingml/2006/picture">
                <pic:pic>
                  <pic:nvPicPr>
                    <pic:cNvPr id="20" name="image64.png"/>
                    <pic:cNvPicPr/>
                  </pic:nvPicPr>
                  <pic:blipFill>
                    <a:blip r:embed="rId305" cstate="print"/>
                    <a:stretch>
                      <a:fillRect/>
                    </a:stretch>
                  </pic:blipFill>
                  <pic:spPr>
                    <a:xfrm>
                      <a:off x="0" y="0"/>
                      <a:ext cx="2559523" cy="1469136"/>
                    </a:xfrm>
                    <a:prstGeom prst="rect">
                      <a:avLst/>
                    </a:prstGeom>
                  </pic:spPr>
                </pic:pic>
              </a:graphicData>
            </a:graphic>
          </wp:anchor>
        </w:drawing>
      </w:r>
      <w:r>
        <w:rPr/>
        <w:pict>
          <v:line style="position:absolute;mso-position-horizontal-relative:page;mso-position-vertical-relative:paragraph;z-index:5488;mso-wrap-distance-left:0;mso-wrap-distance-right:0" from="51.023602pt,143.200699pt" to="400.251602pt,143.200699pt" stroked="true" strokeweight="1pt" strokecolor="#000000">
            <w10:wrap type="topAndBottom"/>
          </v:line>
        </w:pict>
      </w:r>
    </w:p>
    <w:p>
      <w:pPr>
        <w:pStyle w:val="BodyText"/>
        <w:spacing w:before="2"/>
        <w:rPr>
          <w:rFonts w:ascii="Arial"/>
          <w:sz w:val="8"/>
        </w:rPr>
      </w:pPr>
    </w:p>
    <w:p>
      <w:pPr>
        <w:pStyle w:val="BodyText"/>
        <w:spacing w:before="9"/>
        <w:rPr>
          <w:rFonts w:ascii="Arial"/>
          <w:sz w:val="7"/>
        </w:rPr>
      </w:pPr>
    </w:p>
    <w:p>
      <w:pPr>
        <w:spacing w:line="249" w:lineRule="auto" w:before="18"/>
        <w:ind w:left="120" w:right="1007" w:firstLine="0"/>
        <w:jc w:val="left"/>
        <w:rPr>
          <w:rFonts w:ascii="Arial"/>
          <w:sz w:val="14"/>
        </w:rPr>
      </w:pPr>
      <w:r>
        <w:rPr>
          <w:rFonts w:ascii="Arial"/>
          <w:w w:val="85"/>
          <w:sz w:val="14"/>
        </w:rPr>
        <w:t>Fuente:</w:t>
      </w:r>
      <w:r>
        <w:rPr>
          <w:rFonts w:ascii="Arial"/>
          <w:spacing w:val="-15"/>
          <w:w w:val="85"/>
          <w:sz w:val="14"/>
        </w:rPr>
        <w:t> </w:t>
      </w:r>
      <w:r>
        <w:rPr>
          <w:rFonts w:ascii="Arial"/>
          <w:w w:val="85"/>
          <w:sz w:val="14"/>
        </w:rPr>
        <w:t>Richard</w:t>
      </w:r>
      <w:r>
        <w:rPr>
          <w:rFonts w:ascii="Arial"/>
          <w:spacing w:val="-11"/>
          <w:w w:val="85"/>
          <w:sz w:val="14"/>
        </w:rPr>
        <w:t> </w:t>
      </w:r>
      <w:r>
        <w:rPr>
          <w:rFonts w:ascii="Arial"/>
          <w:w w:val="85"/>
          <w:sz w:val="14"/>
        </w:rPr>
        <w:t>Feinberg,</w:t>
      </w:r>
      <w:r>
        <w:rPr>
          <w:rFonts w:ascii="Arial"/>
          <w:spacing w:val="-15"/>
          <w:w w:val="85"/>
          <w:sz w:val="14"/>
        </w:rPr>
        <w:t> </w:t>
      </w:r>
      <w:r>
        <w:rPr>
          <w:rFonts w:ascii="Arial"/>
          <w:w w:val="85"/>
          <w:sz w:val="14"/>
        </w:rPr>
        <w:t>Emily</w:t>
      </w:r>
      <w:r>
        <w:rPr>
          <w:rFonts w:ascii="Arial"/>
          <w:spacing w:val="-11"/>
          <w:w w:val="85"/>
          <w:sz w:val="14"/>
        </w:rPr>
        <w:t> </w:t>
      </w:r>
      <w:r>
        <w:rPr>
          <w:rFonts w:ascii="Arial"/>
          <w:w w:val="85"/>
          <w:sz w:val="14"/>
        </w:rPr>
        <w:t>Miller</w:t>
      </w:r>
      <w:r>
        <w:rPr>
          <w:rFonts w:ascii="Arial"/>
          <w:spacing w:val="-11"/>
          <w:w w:val="85"/>
          <w:sz w:val="14"/>
        </w:rPr>
        <w:t> </w:t>
      </w:r>
      <w:r>
        <w:rPr>
          <w:rFonts w:ascii="Arial"/>
          <w:w w:val="85"/>
          <w:sz w:val="14"/>
        </w:rPr>
        <w:t>and</w:t>
      </w:r>
      <w:r>
        <w:rPr>
          <w:rFonts w:ascii="Arial"/>
          <w:spacing w:val="-11"/>
          <w:w w:val="85"/>
          <w:sz w:val="14"/>
        </w:rPr>
        <w:t> </w:t>
      </w:r>
      <w:r>
        <w:rPr>
          <w:rFonts w:ascii="Arial"/>
          <w:w w:val="85"/>
          <w:sz w:val="14"/>
        </w:rPr>
        <w:t>Harold</w:t>
      </w:r>
      <w:r>
        <w:rPr>
          <w:rFonts w:ascii="Arial"/>
          <w:spacing w:val="-15"/>
          <w:w w:val="85"/>
          <w:sz w:val="14"/>
        </w:rPr>
        <w:t> </w:t>
      </w:r>
      <w:r>
        <w:rPr>
          <w:rFonts w:ascii="Arial"/>
          <w:w w:val="85"/>
          <w:sz w:val="14"/>
        </w:rPr>
        <w:t>Trinkunas,</w:t>
      </w:r>
      <w:r>
        <w:rPr>
          <w:rFonts w:ascii="Arial"/>
          <w:spacing w:val="-15"/>
          <w:w w:val="85"/>
          <w:sz w:val="14"/>
        </w:rPr>
        <w:t> </w:t>
      </w:r>
      <w:r>
        <w:rPr>
          <w:rFonts w:ascii="Arial"/>
          <w:i/>
          <w:w w:val="85"/>
          <w:sz w:val="14"/>
        </w:rPr>
        <w:t>Better</w:t>
      </w:r>
      <w:r>
        <w:rPr>
          <w:rFonts w:ascii="Arial"/>
          <w:i/>
          <w:spacing w:val="-11"/>
          <w:w w:val="85"/>
          <w:sz w:val="14"/>
        </w:rPr>
        <w:t> </w:t>
      </w:r>
      <w:r>
        <w:rPr>
          <w:rFonts w:ascii="Arial"/>
          <w:i/>
          <w:w w:val="85"/>
          <w:sz w:val="14"/>
        </w:rPr>
        <w:t>than</w:t>
      </w:r>
      <w:r>
        <w:rPr>
          <w:rFonts w:ascii="Arial"/>
          <w:i/>
          <w:spacing w:val="-11"/>
          <w:w w:val="85"/>
          <w:sz w:val="14"/>
        </w:rPr>
        <w:t> </w:t>
      </w:r>
      <w:r>
        <w:rPr>
          <w:rFonts w:ascii="Arial"/>
          <w:i/>
          <w:w w:val="85"/>
          <w:sz w:val="14"/>
        </w:rPr>
        <w:t>you</w:t>
      </w:r>
      <w:r>
        <w:rPr>
          <w:rFonts w:ascii="Arial"/>
          <w:i/>
          <w:spacing w:val="-11"/>
          <w:w w:val="85"/>
          <w:sz w:val="14"/>
        </w:rPr>
        <w:t> </w:t>
      </w:r>
      <w:r>
        <w:rPr>
          <w:rFonts w:ascii="Arial"/>
          <w:i/>
          <w:w w:val="85"/>
          <w:sz w:val="14"/>
        </w:rPr>
        <w:t>think:</w:t>
      </w:r>
      <w:r>
        <w:rPr>
          <w:rFonts w:ascii="Arial"/>
          <w:i/>
          <w:spacing w:val="-15"/>
          <w:w w:val="85"/>
          <w:sz w:val="14"/>
        </w:rPr>
        <w:t> </w:t>
      </w:r>
      <w:r>
        <w:rPr>
          <w:rFonts w:ascii="Arial"/>
          <w:i/>
          <w:w w:val="85"/>
          <w:sz w:val="14"/>
        </w:rPr>
        <w:t>Reframing</w:t>
      </w:r>
      <w:r>
        <w:rPr>
          <w:rFonts w:ascii="Arial"/>
          <w:i/>
          <w:spacing w:val="-11"/>
          <w:w w:val="85"/>
          <w:sz w:val="14"/>
        </w:rPr>
        <w:t> </w:t>
      </w:r>
      <w:r>
        <w:rPr>
          <w:rFonts w:ascii="Arial"/>
          <w:i/>
          <w:w w:val="85"/>
          <w:sz w:val="14"/>
        </w:rPr>
        <w:t>inter-American</w:t>
      </w:r>
      <w:r>
        <w:rPr>
          <w:rFonts w:ascii="Arial"/>
          <w:i/>
          <w:spacing w:val="-11"/>
          <w:w w:val="85"/>
          <w:sz w:val="14"/>
        </w:rPr>
        <w:t> </w:t>
      </w:r>
      <w:r>
        <w:rPr>
          <w:rFonts w:ascii="Arial"/>
          <w:i/>
          <w:w w:val="85"/>
          <w:sz w:val="14"/>
        </w:rPr>
        <w:t>relations </w:t>
      </w:r>
      <w:r>
        <w:rPr>
          <w:rFonts w:ascii="Arial"/>
          <w:i/>
          <w:w w:val="85"/>
          <w:sz w:val="14"/>
        </w:rPr>
        <w:t>(Policy</w:t>
      </w:r>
      <w:r>
        <w:rPr>
          <w:rFonts w:ascii="Arial"/>
          <w:i/>
          <w:spacing w:val="-9"/>
          <w:w w:val="85"/>
          <w:sz w:val="14"/>
        </w:rPr>
        <w:t> </w:t>
      </w:r>
      <w:r>
        <w:rPr>
          <w:rFonts w:ascii="Arial"/>
          <w:i/>
          <w:w w:val="85"/>
          <w:sz w:val="14"/>
        </w:rPr>
        <w:t>Brief)</w:t>
      </w:r>
      <w:r>
        <w:rPr>
          <w:rFonts w:ascii="Arial"/>
          <w:w w:val="85"/>
          <w:sz w:val="14"/>
        </w:rPr>
        <w:t>,</w:t>
      </w:r>
      <w:r>
        <w:rPr>
          <w:rFonts w:ascii="Arial"/>
          <w:spacing w:val="-13"/>
          <w:w w:val="85"/>
          <w:sz w:val="14"/>
        </w:rPr>
        <w:t> </w:t>
      </w:r>
      <w:r>
        <w:rPr>
          <w:rFonts w:ascii="Arial"/>
          <w:w w:val="85"/>
          <w:sz w:val="14"/>
        </w:rPr>
        <w:t>Brookings</w:t>
      </w:r>
      <w:r>
        <w:rPr>
          <w:rFonts w:ascii="Arial"/>
          <w:spacing w:val="-9"/>
          <w:w w:val="85"/>
          <w:sz w:val="14"/>
        </w:rPr>
        <w:t> </w:t>
      </w:r>
      <w:r>
        <w:rPr>
          <w:rFonts w:ascii="Arial"/>
          <w:w w:val="85"/>
          <w:sz w:val="14"/>
        </w:rPr>
        <w:t>Institution,</w:t>
      </w:r>
      <w:r>
        <w:rPr>
          <w:rFonts w:ascii="Arial"/>
          <w:spacing w:val="-13"/>
          <w:w w:val="85"/>
          <w:sz w:val="14"/>
        </w:rPr>
        <w:t> </w:t>
      </w:r>
      <w:r>
        <w:rPr>
          <w:rFonts w:ascii="Arial"/>
          <w:w w:val="85"/>
          <w:sz w:val="14"/>
        </w:rPr>
        <w:t>marzo</w:t>
      </w:r>
      <w:r>
        <w:rPr>
          <w:rFonts w:ascii="Arial"/>
          <w:spacing w:val="-9"/>
          <w:w w:val="85"/>
          <w:sz w:val="14"/>
        </w:rPr>
        <w:t> </w:t>
      </w:r>
      <w:r>
        <w:rPr>
          <w:rFonts w:ascii="Arial"/>
          <w:w w:val="85"/>
          <w:sz w:val="14"/>
        </w:rPr>
        <w:t>2015,</w:t>
      </w:r>
      <w:r>
        <w:rPr>
          <w:rFonts w:ascii="Arial"/>
          <w:spacing w:val="-13"/>
          <w:w w:val="85"/>
          <w:sz w:val="14"/>
        </w:rPr>
        <w:t> </w:t>
      </w:r>
      <w:r>
        <w:rPr>
          <w:rFonts w:ascii="Arial"/>
          <w:w w:val="85"/>
          <w:sz w:val="14"/>
        </w:rPr>
        <w:t>p.</w:t>
      </w:r>
      <w:r>
        <w:rPr>
          <w:rFonts w:ascii="Arial"/>
          <w:spacing w:val="-13"/>
          <w:w w:val="85"/>
          <w:sz w:val="14"/>
        </w:rPr>
        <w:t> </w:t>
      </w:r>
      <w:r>
        <w:rPr>
          <w:rFonts w:ascii="Arial"/>
          <w:w w:val="85"/>
          <w:sz w:val="14"/>
        </w:rPr>
        <w:t>5.</w:t>
      </w:r>
    </w:p>
    <w:p>
      <w:pPr>
        <w:pStyle w:val="BodyText"/>
        <w:rPr>
          <w:rFonts w:ascii="Arial"/>
          <w:sz w:val="14"/>
        </w:rPr>
      </w:pPr>
    </w:p>
    <w:p>
      <w:pPr>
        <w:pStyle w:val="BodyText"/>
        <w:rPr>
          <w:rFonts w:ascii="Arial"/>
          <w:sz w:val="14"/>
        </w:rPr>
      </w:pPr>
    </w:p>
    <w:p>
      <w:pPr>
        <w:pStyle w:val="BodyText"/>
        <w:spacing w:before="7"/>
        <w:rPr>
          <w:rFonts w:ascii="Arial"/>
          <w:sz w:val="13"/>
        </w:rPr>
      </w:pPr>
    </w:p>
    <w:p>
      <w:pPr>
        <w:pStyle w:val="Heading6"/>
        <w:spacing w:before="1"/>
        <w:ind w:left="121" w:right="1007"/>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spacing w:line="252" w:lineRule="auto" w:before="10"/>
        <w:ind w:left="517" w:right="941" w:hanging="397"/>
        <w:jc w:val="left"/>
        <w:rPr>
          <w:sz w:val="19"/>
        </w:rPr>
      </w:pPr>
      <w:r>
        <w:rPr>
          <w:spacing w:val="-3"/>
          <w:w w:val="115"/>
          <w:sz w:val="19"/>
        </w:rPr>
        <w:t>bentley, </w:t>
      </w:r>
      <w:r>
        <w:rPr>
          <w:w w:val="115"/>
          <w:sz w:val="19"/>
        </w:rPr>
        <w:t>arthur </w:t>
      </w:r>
      <w:r>
        <w:rPr>
          <w:spacing w:val="-8"/>
          <w:w w:val="115"/>
          <w:sz w:val="19"/>
        </w:rPr>
        <w:t>F., </w:t>
      </w:r>
      <w:r>
        <w:rPr>
          <w:i/>
          <w:w w:val="115"/>
          <w:sz w:val="19"/>
        </w:rPr>
        <w:t>The Process of Government </w:t>
      </w:r>
      <w:r>
        <w:rPr>
          <w:w w:val="115"/>
          <w:sz w:val="19"/>
        </w:rPr>
        <w:t>(Cambridge, Massachussets:</w:t>
      </w:r>
      <w:r>
        <w:rPr>
          <w:spacing w:val="-18"/>
          <w:w w:val="115"/>
          <w:sz w:val="19"/>
        </w:rPr>
        <w:t> </w:t>
      </w:r>
      <w:r>
        <w:rPr>
          <w:w w:val="115"/>
          <w:sz w:val="19"/>
        </w:rPr>
        <w:t>the</w:t>
      </w:r>
      <w:r>
        <w:rPr>
          <w:spacing w:val="-18"/>
          <w:w w:val="115"/>
          <w:sz w:val="19"/>
        </w:rPr>
        <w:t> </w:t>
      </w:r>
      <w:r>
        <w:rPr>
          <w:w w:val="115"/>
          <w:sz w:val="19"/>
        </w:rPr>
        <w:t>belknap</w:t>
      </w:r>
      <w:r>
        <w:rPr>
          <w:spacing w:val="-18"/>
          <w:w w:val="115"/>
          <w:sz w:val="19"/>
        </w:rPr>
        <w:t> </w:t>
      </w:r>
      <w:r>
        <w:rPr>
          <w:w w:val="115"/>
          <w:sz w:val="19"/>
        </w:rPr>
        <w:t>Press</w:t>
      </w:r>
      <w:r>
        <w:rPr>
          <w:spacing w:val="-18"/>
          <w:w w:val="115"/>
          <w:sz w:val="19"/>
        </w:rPr>
        <w:t> </w:t>
      </w:r>
      <w:r>
        <w:rPr>
          <w:w w:val="115"/>
          <w:sz w:val="19"/>
        </w:rPr>
        <w:t>of</w:t>
      </w:r>
      <w:r>
        <w:rPr>
          <w:spacing w:val="-18"/>
          <w:w w:val="115"/>
          <w:sz w:val="19"/>
        </w:rPr>
        <w:t> </w:t>
      </w:r>
      <w:r>
        <w:rPr>
          <w:w w:val="115"/>
          <w:sz w:val="19"/>
        </w:rPr>
        <w:t>Harvard</w:t>
      </w:r>
      <w:r>
        <w:rPr>
          <w:spacing w:val="-18"/>
          <w:w w:val="115"/>
          <w:sz w:val="19"/>
        </w:rPr>
        <w:t> </w:t>
      </w:r>
      <w:r>
        <w:rPr>
          <w:w w:val="115"/>
          <w:sz w:val="19"/>
        </w:rPr>
        <w:t>university</w:t>
      </w:r>
      <w:r>
        <w:rPr>
          <w:spacing w:val="-18"/>
          <w:w w:val="115"/>
          <w:sz w:val="19"/>
        </w:rPr>
        <w:t> </w:t>
      </w:r>
      <w:r>
        <w:rPr>
          <w:w w:val="115"/>
          <w:sz w:val="19"/>
        </w:rPr>
        <w:t>Press).</w:t>
      </w:r>
    </w:p>
    <w:p>
      <w:pPr>
        <w:spacing w:line="252" w:lineRule="auto" w:before="28"/>
        <w:ind w:left="517" w:right="941" w:hanging="397"/>
        <w:jc w:val="left"/>
        <w:rPr>
          <w:sz w:val="19"/>
        </w:rPr>
      </w:pPr>
      <w:r>
        <w:rPr>
          <w:w w:val="110"/>
          <w:sz w:val="19"/>
        </w:rPr>
        <w:t>Feinberg, richard; Emily Miller and Harold trinkunas 2015 </w:t>
      </w:r>
      <w:r>
        <w:rPr>
          <w:i/>
          <w:w w:val="110"/>
          <w:sz w:val="19"/>
        </w:rPr>
        <w:t>Better </w:t>
      </w:r>
      <w:r>
        <w:rPr>
          <w:i/>
          <w:w w:val="110"/>
          <w:sz w:val="19"/>
        </w:rPr>
        <w:t>than you think: Reframing inter-American relations (Policy Brief</w:t>
      </w:r>
      <w:r>
        <w:rPr>
          <w:w w:val="110"/>
          <w:sz w:val="19"/>
        </w:rPr>
        <w:t>), brookings institution, marzo, p.   5.</w:t>
      </w:r>
    </w:p>
    <w:p>
      <w:pPr>
        <w:spacing w:line="252" w:lineRule="auto" w:before="28"/>
        <w:ind w:left="517" w:right="1007" w:hanging="397"/>
        <w:jc w:val="left"/>
        <w:rPr>
          <w:sz w:val="19"/>
        </w:rPr>
      </w:pPr>
      <w:r>
        <w:rPr>
          <w:w w:val="110"/>
          <w:sz w:val="19"/>
        </w:rPr>
        <w:t>Milner, Helen 1997 </w:t>
      </w:r>
      <w:r>
        <w:rPr>
          <w:i/>
          <w:w w:val="110"/>
          <w:sz w:val="19"/>
        </w:rPr>
        <w:t>Interests, Institutions, and Information: Domestic </w:t>
      </w:r>
      <w:r>
        <w:rPr>
          <w:i/>
          <w:w w:val="110"/>
          <w:sz w:val="19"/>
        </w:rPr>
        <w:t>Politics and International Relations </w:t>
      </w:r>
      <w:r>
        <w:rPr>
          <w:w w:val="110"/>
          <w:sz w:val="19"/>
        </w:rPr>
        <w:t>(Princeton: Princeton university Press).</w:t>
      </w:r>
    </w:p>
    <w:p>
      <w:pPr>
        <w:spacing w:line="252" w:lineRule="auto" w:before="28"/>
        <w:ind w:left="517" w:right="1007" w:hanging="397"/>
        <w:jc w:val="left"/>
        <w:rPr>
          <w:sz w:val="19"/>
        </w:rPr>
      </w:pPr>
      <w:r>
        <w:rPr>
          <w:w w:val="149"/>
          <w:sz w:val="19"/>
        </w:rPr>
        <w:t>o</w:t>
      </w:r>
      <w:r>
        <w:rPr>
          <w:w w:val="113"/>
          <w:sz w:val="19"/>
        </w:rPr>
        <w:t>rozco,</w:t>
      </w:r>
      <w:r>
        <w:rPr>
          <w:sz w:val="19"/>
        </w:rPr>
        <w:t> </w:t>
      </w:r>
      <w:r>
        <w:rPr>
          <w:w w:val="115"/>
          <w:sz w:val="19"/>
        </w:rPr>
        <w:t>José</w:t>
      </w:r>
      <w:r>
        <w:rPr>
          <w:sz w:val="19"/>
        </w:rPr>
        <w:t> </w:t>
      </w:r>
      <w:r>
        <w:rPr>
          <w:w w:val="243"/>
          <w:sz w:val="19"/>
        </w:rPr>
        <w:t>l</w:t>
      </w:r>
      <w:r>
        <w:rPr>
          <w:w w:val="111"/>
          <w:sz w:val="19"/>
        </w:rPr>
        <w:t>uis</w:t>
      </w:r>
      <w:r>
        <w:rPr>
          <w:sz w:val="19"/>
        </w:rPr>
        <w:t> </w:t>
      </w:r>
      <w:r>
        <w:rPr>
          <w:w w:val="102"/>
          <w:sz w:val="19"/>
        </w:rPr>
        <w:t>1992</w:t>
      </w:r>
      <w:r>
        <w:rPr>
          <w:sz w:val="19"/>
        </w:rPr>
        <w:t> </w:t>
      </w:r>
      <w:r>
        <w:rPr>
          <w:i/>
          <w:w w:val="112"/>
          <w:sz w:val="19"/>
        </w:rPr>
        <w:t>Razón</w:t>
      </w:r>
      <w:r>
        <w:rPr>
          <w:i/>
          <w:sz w:val="19"/>
        </w:rPr>
        <w:t> </w:t>
      </w:r>
      <w:r>
        <w:rPr>
          <w:i/>
          <w:w w:val="104"/>
          <w:sz w:val="19"/>
        </w:rPr>
        <w:t>de</w:t>
      </w:r>
      <w:r>
        <w:rPr>
          <w:i/>
          <w:sz w:val="19"/>
        </w:rPr>
        <w:t> </w:t>
      </w:r>
      <w:r>
        <w:rPr>
          <w:i/>
          <w:w w:val="112"/>
          <w:sz w:val="19"/>
        </w:rPr>
        <w:t>Estado</w:t>
      </w:r>
      <w:r>
        <w:rPr>
          <w:i/>
          <w:sz w:val="19"/>
        </w:rPr>
        <w:t> </w:t>
      </w:r>
      <w:r>
        <w:rPr>
          <w:i/>
          <w:w w:val="106"/>
          <w:sz w:val="19"/>
        </w:rPr>
        <w:t>y</w:t>
      </w:r>
      <w:r>
        <w:rPr>
          <w:i/>
          <w:sz w:val="19"/>
        </w:rPr>
        <w:t> </w:t>
      </w:r>
      <w:r>
        <w:rPr>
          <w:i/>
          <w:w w:val="106"/>
          <w:sz w:val="19"/>
        </w:rPr>
        <w:t>razón</w:t>
      </w:r>
      <w:r>
        <w:rPr>
          <w:i/>
          <w:sz w:val="19"/>
        </w:rPr>
        <w:t> </w:t>
      </w:r>
      <w:r>
        <w:rPr>
          <w:i/>
          <w:w w:val="104"/>
          <w:sz w:val="19"/>
        </w:rPr>
        <w:t>de</w:t>
      </w:r>
      <w:r>
        <w:rPr>
          <w:i/>
          <w:sz w:val="19"/>
        </w:rPr>
        <w:t> </w:t>
      </w:r>
      <w:r>
        <w:rPr>
          <w:i/>
          <w:w w:val="108"/>
          <w:sz w:val="19"/>
        </w:rPr>
        <w:t>Mercado</w:t>
      </w:r>
      <w:r>
        <w:rPr>
          <w:i/>
          <w:sz w:val="19"/>
        </w:rPr>
        <w:t> </w:t>
      </w:r>
      <w:r>
        <w:rPr>
          <w:w w:val="111"/>
          <w:sz w:val="19"/>
        </w:rPr>
        <w:t>(México</w:t>
      </w:r>
      <w:r>
        <w:rPr>
          <w:w w:val="107"/>
          <w:sz w:val="19"/>
        </w:rPr>
        <w:t>: </w:t>
      </w:r>
      <w:r>
        <w:rPr>
          <w:w w:val="115"/>
          <w:sz w:val="19"/>
        </w:rPr>
        <w:t>FCE).</w:t>
      </w:r>
    </w:p>
    <w:p>
      <w:pPr>
        <w:pStyle w:val="BodyText"/>
        <w:spacing w:line="252" w:lineRule="auto" w:before="28"/>
        <w:ind w:left="517" w:right="961" w:hanging="397"/>
        <w:jc w:val="both"/>
      </w:pPr>
      <w:r>
        <w:rPr>
          <w:w w:val="115"/>
        </w:rPr>
        <w:t>Putman,</w:t>
      </w:r>
      <w:r>
        <w:rPr>
          <w:spacing w:val="-6"/>
          <w:w w:val="115"/>
        </w:rPr>
        <w:t> </w:t>
      </w:r>
      <w:r>
        <w:rPr>
          <w:w w:val="115"/>
        </w:rPr>
        <w:t>robert</w:t>
      </w:r>
      <w:r>
        <w:rPr>
          <w:spacing w:val="-6"/>
          <w:w w:val="115"/>
        </w:rPr>
        <w:t> </w:t>
      </w:r>
      <w:r>
        <w:rPr>
          <w:w w:val="115"/>
        </w:rPr>
        <w:t>d.</w:t>
      </w:r>
      <w:r>
        <w:rPr>
          <w:spacing w:val="-6"/>
          <w:w w:val="115"/>
        </w:rPr>
        <w:t> </w:t>
      </w:r>
      <w:r>
        <w:rPr>
          <w:w w:val="115"/>
        </w:rPr>
        <w:t>1988</w:t>
      </w:r>
      <w:r>
        <w:rPr>
          <w:spacing w:val="-6"/>
          <w:w w:val="115"/>
        </w:rPr>
        <w:t> </w:t>
      </w:r>
      <w:r>
        <w:rPr>
          <w:w w:val="115"/>
        </w:rPr>
        <w:t>“diplomacy</w:t>
      </w:r>
      <w:r>
        <w:rPr>
          <w:spacing w:val="-6"/>
          <w:w w:val="115"/>
        </w:rPr>
        <w:t> </w:t>
      </w:r>
      <w:r>
        <w:rPr>
          <w:w w:val="115"/>
        </w:rPr>
        <w:t>and</w:t>
      </w:r>
      <w:r>
        <w:rPr>
          <w:spacing w:val="-6"/>
          <w:w w:val="115"/>
        </w:rPr>
        <w:t> </w:t>
      </w:r>
      <w:r>
        <w:rPr>
          <w:w w:val="115"/>
        </w:rPr>
        <w:t>domestic</w:t>
      </w:r>
      <w:r>
        <w:rPr>
          <w:spacing w:val="-6"/>
          <w:w w:val="115"/>
        </w:rPr>
        <w:t> </w:t>
      </w:r>
      <w:r>
        <w:rPr>
          <w:w w:val="115"/>
        </w:rPr>
        <w:t>politics:</w:t>
      </w:r>
      <w:r>
        <w:rPr>
          <w:spacing w:val="-6"/>
          <w:w w:val="115"/>
        </w:rPr>
        <w:t> </w:t>
      </w:r>
      <w:r>
        <w:rPr>
          <w:w w:val="115"/>
        </w:rPr>
        <w:t>the</w:t>
      </w:r>
      <w:r>
        <w:rPr>
          <w:spacing w:val="-6"/>
          <w:w w:val="115"/>
        </w:rPr>
        <w:t> </w:t>
      </w:r>
      <w:r>
        <w:rPr>
          <w:w w:val="115"/>
        </w:rPr>
        <w:t>logic of</w:t>
      </w:r>
      <w:r>
        <w:rPr>
          <w:spacing w:val="-19"/>
          <w:w w:val="115"/>
        </w:rPr>
        <w:t> </w:t>
      </w:r>
      <w:r>
        <w:rPr>
          <w:w w:val="115"/>
        </w:rPr>
        <w:t>two-level</w:t>
      </w:r>
      <w:r>
        <w:rPr>
          <w:spacing w:val="-19"/>
          <w:w w:val="115"/>
        </w:rPr>
        <w:t> </w:t>
      </w:r>
      <w:r>
        <w:rPr>
          <w:w w:val="115"/>
        </w:rPr>
        <w:t>games”,</w:t>
      </w:r>
      <w:r>
        <w:rPr>
          <w:spacing w:val="-19"/>
          <w:w w:val="115"/>
        </w:rPr>
        <w:t> </w:t>
      </w:r>
      <w:r>
        <w:rPr>
          <w:w w:val="115"/>
        </w:rPr>
        <w:t>en</w:t>
      </w:r>
      <w:r>
        <w:rPr>
          <w:spacing w:val="-19"/>
          <w:w w:val="115"/>
        </w:rPr>
        <w:t> </w:t>
      </w:r>
      <w:r>
        <w:rPr>
          <w:i/>
          <w:w w:val="115"/>
        </w:rPr>
        <w:t>International</w:t>
      </w:r>
      <w:r>
        <w:rPr>
          <w:i/>
          <w:spacing w:val="-19"/>
          <w:w w:val="115"/>
        </w:rPr>
        <w:t> </w:t>
      </w:r>
      <w:r>
        <w:rPr>
          <w:i/>
          <w:w w:val="115"/>
        </w:rPr>
        <w:t>organization</w:t>
      </w:r>
      <w:r>
        <w:rPr>
          <w:w w:val="115"/>
        </w:rPr>
        <w:t>,</w:t>
      </w:r>
      <w:r>
        <w:rPr>
          <w:spacing w:val="-19"/>
          <w:w w:val="115"/>
        </w:rPr>
        <w:t> </w:t>
      </w:r>
      <w:r>
        <w:rPr>
          <w:spacing w:val="-4"/>
          <w:w w:val="115"/>
        </w:rPr>
        <w:t>Vol.</w:t>
      </w:r>
      <w:r>
        <w:rPr>
          <w:spacing w:val="-19"/>
          <w:w w:val="115"/>
        </w:rPr>
        <w:t> </w:t>
      </w:r>
      <w:r>
        <w:rPr>
          <w:w w:val="115"/>
        </w:rPr>
        <w:t>42,</w:t>
      </w:r>
      <w:r>
        <w:rPr>
          <w:spacing w:val="-19"/>
          <w:w w:val="115"/>
        </w:rPr>
        <w:t> </w:t>
      </w:r>
      <w:r>
        <w:rPr>
          <w:w w:val="115"/>
        </w:rPr>
        <w:t>Nº</w:t>
      </w:r>
      <w:r>
        <w:rPr>
          <w:spacing w:val="-19"/>
          <w:w w:val="115"/>
        </w:rPr>
        <w:t> </w:t>
      </w:r>
      <w:r>
        <w:rPr>
          <w:w w:val="115"/>
        </w:rPr>
        <w:t>3, </w:t>
      </w:r>
      <w:r>
        <w:rPr>
          <w:spacing w:val="-4"/>
          <w:w w:val="115"/>
        </w:rPr>
        <w:t>summer.</w:t>
      </w:r>
    </w:p>
    <w:p>
      <w:pPr>
        <w:spacing w:line="252" w:lineRule="auto" w:before="28"/>
        <w:ind w:left="517" w:right="899" w:hanging="397"/>
        <w:jc w:val="left"/>
        <w:rPr>
          <w:sz w:val="19"/>
        </w:rPr>
      </w:pPr>
      <w:r>
        <w:rPr>
          <w:w w:val="110"/>
          <w:sz w:val="19"/>
        </w:rPr>
        <w:t>Waltz, Kenneth 1979 </w:t>
      </w:r>
      <w:r>
        <w:rPr>
          <w:i/>
          <w:w w:val="110"/>
          <w:sz w:val="19"/>
        </w:rPr>
        <w:t>Theory of International Politics </w:t>
      </w:r>
      <w:r>
        <w:rPr>
          <w:w w:val="110"/>
          <w:sz w:val="19"/>
        </w:rPr>
        <w:t>(reading, Mass.: addison-Wesley).</w:t>
      </w:r>
    </w:p>
    <w:p>
      <w:pPr>
        <w:spacing w:line="252" w:lineRule="auto" w:before="28"/>
        <w:ind w:left="517" w:right="1007" w:hanging="397"/>
        <w:jc w:val="left"/>
        <w:rPr>
          <w:sz w:val="19"/>
        </w:rPr>
      </w:pPr>
      <w:r>
        <w:rPr>
          <w:i/>
          <w:w w:val="110"/>
          <w:sz w:val="19"/>
        </w:rPr>
        <w:t>U.S. Department of State </w:t>
      </w:r>
      <w:r>
        <w:rPr>
          <w:w w:val="110"/>
          <w:sz w:val="19"/>
        </w:rPr>
        <w:t>(dos), official website, en </w:t>
      </w:r>
      <w:hyperlink r:id="rId108">
        <w:r>
          <w:rPr>
            <w:w w:val="110"/>
            <w:sz w:val="19"/>
          </w:rPr>
          <w:t>&lt;http://goo.gl/</w:t>
        </w:r>
      </w:hyperlink>
      <w:r>
        <w:rPr>
          <w:w w:val="110"/>
          <w:sz w:val="19"/>
        </w:rPr>
        <w:t> cd6HEJ&gt;.</w:t>
      </w:r>
    </w:p>
    <w:p>
      <w:pPr>
        <w:tabs>
          <w:tab w:pos="1478" w:val="left" w:leader="none"/>
        </w:tabs>
        <w:spacing w:line="252" w:lineRule="auto" w:before="28"/>
        <w:ind w:left="517" w:right="874" w:hanging="397"/>
        <w:jc w:val="left"/>
        <w:rPr>
          <w:sz w:val="19"/>
        </w:rPr>
      </w:pPr>
      <w:r>
        <w:rPr>
          <w:w w:val="128"/>
          <w:sz w:val="19"/>
          <w:u w:val="single"/>
        </w:rPr>
        <w:t> </w:t>
      </w:r>
      <w:r>
        <w:rPr>
          <w:sz w:val="19"/>
          <w:u w:val="single"/>
        </w:rPr>
        <w:tab/>
        <w:tab/>
      </w:r>
      <w:r>
        <w:rPr>
          <w:w w:val="110"/>
          <w:sz w:val="19"/>
        </w:rPr>
        <w:t>,</w:t>
      </w:r>
      <w:r>
        <w:rPr>
          <w:spacing w:val="-14"/>
          <w:w w:val="110"/>
          <w:sz w:val="19"/>
        </w:rPr>
        <w:t> </w:t>
      </w:r>
      <w:r>
        <w:rPr>
          <w:i/>
          <w:w w:val="110"/>
          <w:sz w:val="19"/>
        </w:rPr>
        <w:t>Pathways</w:t>
      </w:r>
      <w:r>
        <w:rPr>
          <w:i/>
          <w:spacing w:val="-14"/>
          <w:w w:val="110"/>
          <w:sz w:val="19"/>
        </w:rPr>
        <w:t> </w:t>
      </w:r>
      <w:r>
        <w:rPr>
          <w:i/>
          <w:w w:val="110"/>
          <w:sz w:val="19"/>
        </w:rPr>
        <w:t>to</w:t>
      </w:r>
      <w:r>
        <w:rPr>
          <w:i/>
          <w:spacing w:val="-14"/>
          <w:w w:val="110"/>
          <w:sz w:val="19"/>
        </w:rPr>
        <w:t> </w:t>
      </w:r>
      <w:r>
        <w:rPr>
          <w:i/>
          <w:w w:val="110"/>
          <w:sz w:val="19"/>
        </w:rPr>
        <w:t>Prosperity</w:t>
      </w:r>
      <w:r>
        <w:rPr>
          <w:i/>
          <w:spacing w:val="-14"/>
          <w:w w:val="110"/>
          <w:sz w:val="19"/>
        </w:rPr>
        <w:t> </w:t>
      </w:r>
      <w:r>
        <w:rPr>
          <w:i/>
          <w:w w:val="110"/>
          <w:sz w:val="19"/>
        </w:rPr>
        <w:t>in</w:t>
      </w:r>
      <w:r>
        <w:rPr>
          <w:i/>
          <w:spacing w:val="-14"/>
          <w:w w:val="110"/>
          <w:sz w:val="19"/>
        </w:rPr>
        <w:t> </w:t>
      </w:r>
      <w:r>
        <w:rPr>
          <w:i/>
          <w:w w:val="110"/>
          <w:sz w:val="19"/>
        </w:rPr>
        <w:t>the</w:t>
      </w:r>
      <w:r>
        <w:rPr>
          <w:i/>
          <w:spacing w:val="-14"/>
          <w:w w:val="110"/>
          <w:sz w:val="19"/>
        </w:rPr>
        <w:t> </w:t>
      </w:r>
      <w:r>
        <w:rPr>
          <w:i/>
          <w:w w:val="110"/>
          <w:sz w:val="19"/>
        </w:rPr>
        <w:t>Americas</w:t>
      </w:r>
      <w:r>
        <w:rPr>
          <w:w w:val="110"/>
          <w:sz w:val="19"/>
        </w:rPr>
        <w:t>,</w:t>
      </w:r>
      <w:r>
        <w:rPr>
          <w:spacing w:val="-14"/>
          <w:w w:val="110"/>
          <w:sz w:val="19"/>
        </w:rPr>
        <w:t> </w:t>
      </w:r>
      <w:hyperlink r:id="rId108">
        <w:r>
          <w:rPr>
            <w:w w:val="110"/>
            <w:sz w:val="19"/>
          </w:rPr>
          <w:t>&lt;http://goo.gl/</w:t>
        </w:r>
      </w:hyperlink>
      <w:r>
        <w:rPr>
          <w:w w:val="99"/>
          <w:sz w:val="19"/>
        </w:rPr>
        <w:t> </w:t>
      </w:r>
      <w:r>
        <w:rPr>
          <w:w w:val="110"/>
          <w:sz w:val="19"/>
        </w:rPr>
        <w:t>f4WFfb&gt;.</w:t>
      </w:r>
    </w:p>
    <w:p>
      <w:pPr>
        <w:tabs>
          <w:tab w:pos="1478" w:val="left" w:leader="none"/>
        </w:tabs>
        <w:spacing w:before="28"/>
        <w:ind w:left="120" w:right="1007" w:firstLine="0"/>
        <w:jc w:val="left"/>
        <w:rPr>
          <w:sz w:val="19"/>
        </w:rPr>
      </w:pPr>
      <w:r>
        <w:rPr>
          <w:w w:val="128"/>
          <w:sz w:val="19"/>
          <w:u w:val="single"/>
        </w:rPr>
        <w:t> </w:t>
      </w:r>
      <w:r>
        <w:rPr>
          <w:sz w:val="19"/>
          <w:u w:val="single"/>
        </w:rPr>
        <w:tab/>
      </w:r>
      <w:r>
        <w:rPr>
          <w:w w:val="110"/>
          <w:sz w:val="19"/>
        </w:rPr>
        <w:t>, </w:t>
      </w:r>
      <w:r>
        <w:rPr>
          <w:i/>
          <w:w w:val="110"/>
          <w:sz w:val="19"/>
        </w:rPr>
        <w:t>Latino America IdEA</w:t>
      </w:r>
      <w:r>
        <w:rPr>
          <w:w w:val="110"/>
          <w:sz w:val="19"/>
        </w:rPr>
        <w:t>,  </w:t>
      </w:r>
      <w:hyperlink r:id="rId297">
        <w:r>
          <w:rPr>
            <w:w w:val="110"/>
            <w:sz w:val="19"/>
          </w:rPr>
          <w:t>&lt;http://goo.gl/9</w:t>
        </w:r>
      </w:hyperlink>
      <w:r>
        <w:rPr>
          <w:w w:val="110"/>
          <w:sz w:val="19"/>
        </w:rPr>
        <w:t>s</w:t>
      </w:r>
      <w:hyperlink r:id="rId297">
        <w:r>
          <w:rPr>
            <w:w w:val="110"/>
            <w:sz w:val="19"/>
          </w:rPr>
          <w:t>tt1N&gt;.</w:t>
        </w:r>
      </w:hyperlink>
    </w:p>
    <w:p>
      <w:pPr>
        <w:tabs>
          <w:tab w:pos="1478" w:val="left" w:leader="none"/>
        </w:tabs>
        <w:spacing w:line="252" w:lineRule="auto" w:before="39"/>
        <w:ind w:left="517" w:right="1775" w:hanging="397"/>
        <w:jc w:val="left"/>
        <w:rPr>
          <w:sz w:val="19"/>
        </w:rPr>
      </w:pPr>
      <w:r>
        <w:rPr>
          <w:w w:val="128"/>
          <w:sz w:val="19"/>
          <w:u w:val="single"/>
        </w:rPr>
        <w:t> </w:t>
      </w:r>
      <w:r>
        <w:rPr>
          <w:sz w:val="19"/>
          <w:u w:val="single"/>
        </w:rPr>
        <w:tab/>
        <w:tab/>
      </w:r>
      <w:r>
        <w:rPr>
          <w:w w:val="110"/>
          <w:sz w:val="19"/>
        </w:rPr>
        <w:t>,</w:t>
      </w:r>
      <w:r>
        <w:rPr>
          <w:spacing w:val="-23"/>
          <w:w w:val="110"/>
          <w:sz w:val="19"/>
        </w:rPr>
        <w:t> </w:t>
      </w:r>
      <w:r>
        <w:rPr>
          <w:i/>
          <w:w w:val="110"/>
          <w:sz w:val="19"/>
        </w:rPr>
        <w:t>Caribbean</w:t>
      </w:r>
      <w:r>
        <w:rPr>
          <w:i/>
          <w:spacing w:val="-23"/>
          <w:w w:val="110"/>
          <w:sz w:val="19"/>
        </w:rPr>
        <w:t> </w:t>
      </w:r>
      <w:r>
        <w:rPr>
          <w:i/>
          <w:w w:val="110"/>
          <w:sz w:val="19"/>
        </w:rPr>
        <w:t>IdEA</w:t>
      </w:r>
      <w:r>
        <w:rPr>
          <w:i/>
          <w:spacing w:val="-23"/>
          <w:w w:val="110"/>
          <w:sz w:val="19"/>
        </w:rPr>
        <w:t> </w:t>
      </w:r>
      <w:r>
        <w:rPr>
          <w:i/>
          <w:w w:val="110"/>
          <w:sz w:val="19"/>
        </w:rPr>
        <w:t>Marketplace</w:t>
      </w:r>
      <w:r>
        <w:rPr>
          <w:w w:val="110"/>
          <w:sz w:val="19"/>
        </w:rPr>
        <w:t>,</w:t>
      </w:r>
      <w:r>
        <w:rPr>
          <w:spacing w:val="-23"/>
          <w:w w:val="110"/>
          <w:sz w:val="19"/>
        </w:rPr>
        <w:t> </w:t>
      </w:r>
      <w:hyperlink r:id="rId108">
        <w:r>
          <w:rPr>
            <w:w w:val="110"/>
            <w:sz w:val="19"/>
          </w:rPr>
          <w:t>&lt;http://goo.gl/</w:t>
        </w:r>
      </w:hyperlink>
      <w:r>
        <w:rPr>
          <w:w w:val="99"/>
          <w:sz w:val="19"/>
        </w:rPr>
        <w:t> </w:t>
      </w:r>
      <w:r>
        <w:rPr>
          <w:w w:val="110"/>
          <w:sz w:val="19"/>
        </w:rPr>
        <w:t>Qe3QH0&gt;.</w:t>
      </w:r>
    </w:p>
    <w:p>
      <w:pPr>
        <w:spacing w:after="0" w:line="252" w:lineRule="auto"/>
        <w:jc w:val="left"/>
        <w:rPr>
          <w:sz w:val="19"/>
        </w:rPr>
        <w:sectPr>
          <w:pgSz w:w="8790" w:h="12760"/>
          <w:pgMar w:header="697" w:footer="723" w:top="880" w:bottom="920" w:left="900" w:right="660"/>
        </w:sectPr>
      </w:pPr>
    </w:p>
    <w:p>
      <w:pPr>
        <w:pStyle w:val="BodyText"/>
        <w:spacing w:before="7"/>
        <w:rPr>
          <w:sz w:val="28"/>
        </w:rPr>
      </w:pPr>
    </w:p>
    <w:p>
      <w:pPr>
        <w:tabs>
          <w:tab w:pos="1688" w:val="left" w:leader="none"/>
        </w:tabs>
        <w:spacing w:line="252" w:lineRule="auto" w:before="73"/>
        <w:ind w:left="727" w:right="307" w:hanging="397"/>
        <w:jc w:val="left"/>
        <w:rPr>
          <w:sz w:val="19"/>
        </w:rPr>
      </w:pPr>
      <w:r>
        <w:rPr>
          <w:w w:val="128"/>
          <w:sz w:val="19"/>
          <w:u w:val="single"/>
        </w:rPr>
        <w:t> </w:t>
      </w:r>
      <w:r>
        <w:rPr>
          <w:sz w:val="19"/>
          <w:u w:val="single"/>
        </w:rPr>
        <w:tab/>
        <w:tab/>
      </w:r>
      <w:r>
        <w:rPr>
          <w:w w:val="110"/>
          <w:sz w:val="19"/>
        </w:rPr>
        <w:t>, </w:t>
      </w:r>
      <w:r>
        <w:rPr>
          <w:i/>
          <w:spacing w:val="-5"/>
          <w:w w:val="110"/>
          <w:sz w:val="19"/>
        </w:rPr>
        <w:t>Women’s </w:t>
      </w:r>
      <w:r>
        <w:rPr>
          <w:i/>
          <w:w w:val="110"/>
          <w:sz w:val="19"/>
        </w:rPr>
        <w:t>Enterpreneurship in the</w:t>
      </w:r>
      <w:r>
        <w:rPr>
          <w:i/>
          <w:spacing w:val="-21"/>
          <w:w w:val="110"/>
          <w:sz w:val="19"/>
        </w:rPr>
        <w:t> </w:t>
      </w:r>
      <w:r>
        <w:rPr>
          <w:i/>
          <w:w w:val="110"/>
          <w:sz w:val="19"/>
        </w:rPr>
        <w:t>Americas</w:t>
      </w:r>
      <w:r>
        <w:rPr>
          <w:w w:val="110"/>
          <w:sz w:val="19"/>
        </w:rPr>
        <w:t>,</w:t>
      </w:r>
      <w:r>
        <w:rPr>
          <w:spacing w:val="-6"/>
          <w:w w:val="110"/>
          <w:sz w:val="19"/>
        </w:rPr>
        <w:t> </w:t>
      </w:r>
      <w:r>
        <w:rPr>
          <w:w w:val="110"/>
          <w:sz w:val="19"/>
        </w:rPr>
        <w:t>&lt;http://</w:t>
      </w:r>
      <w:r>
        <w:rPr>
          <w:w w:val="95"/>
          <w:sz w:val="19"/>
        </w:rPr>
        <w:t> </w:t>
      </w:r>
      <w:r>
        <w:rPr>
          <w:w w:val="110"/>
          <w:sz w:val="19"/>
        </w:rPr>
        <w:t>goo.gl/hG24CV&gt;.</w:t>
      </w:r>
    </w:p>
    <w:p>
      <w:pPr>
        <w:tabs>
          <w:tab w:pos="1688" w:val="left" w:leader="none"/>
        </w:tabs>
        <w:spacing w:before="28"/>
        <w:ind w:left="330" w:right="365" w:firstLine="0"/>
        <w:jc w:val="left"/>
        <w:rPr>
          <w:sz w:val="19"/>
        </w:rPr>
      </w:pPr>
      <w:r>
        <w:rPr>
          <w:w w:val="128"/>
          <w:sz w:val="19"/>
          <w:u w:val="single"/>
        </w:rPr>
        <w:t> </w:t>
      </w:r>
      <w:r>
        <w:rPr>
          <w:sz w:val="19"/>
          <w:u w:val="single"/>
        </w:rPr>
        <w:tab/>
      </w:r>
      <w:r>
        <w:rPr>
          <w:w w:val="115"/>
          <w:sz w:val="19"/>
        </w:rPr>
        <w:t>,</w:t>
      </w:r>
      <w:r>
        <w:rPr>
          <w:spacing w:val="-24"/>
          <w:w w:val="115"/>
          <w:sz w:val="19"/>
        </w:rPr>
        <w:t> </w:t>
      </w:r>
      <w:r>
        <w:rPr>
          <w:i/>
          <w:w w:val="115"/>
          <w:sz w:val="19"/>
        </w:rPr>
        <w:t>Energy</w:t>
      </w:r>
      <w:r>
        <w:rPr>
          <w:i/>
          <w:spacing w:val="-24"/>
          <w:w w:val="115"/>
          <w:sz w:val="19"/>
        </w:rPr>
        <w:t> </w:t>
      </w:r>
      <w:r>
        <w:rPr>
          <w:i/>
          <w:w w:val="115"/>
          <w:sz w:val="19"/>
        </w:rPr>
        <w:t>and</w:t>
      </w:r>
      <w:r>
        <w:rPr>
          <w:i/>
          <w:spacing w:val="-24"/>
          <w:w w:val="115"/>
          <w:sz w:val="19"/>
        </w:rPr>
        <w:t> </w:t>
      </w:r>
      <w:r>
        <w:rPr>
          <w:i/>
          <w:w w:val="115"/>
          <w:sz w:val="19"/>
        </w:rPr>
        <w:t>climate</w:t>
      </w:r>
      <w:r>
        <w:rPr>
          <w:i/>
          <w:spacing w:val="-24"/>
          <w:w w:val="115"/>
          <w:sz w:val="19"/>
        </w:rPr>
        <w:t> </w:t>
      </w:r>
      <w:r>
        <w:rPr>
          <w:i/>
          <w:w w:val="115"/>
          <w:sz w:val="19"/>
        </w:rPr>
        <w:t>Partnership</w:t>
      </w:r>
      <w:r>
        <w:rPr>
          <w:i/>
          <w:spacing w:val="-24"/>
          <w:w w:val="115"/>
          <w:sz w:val="19"/>
        </w:rPr>
        <w:t> </w:t>
      </w:r>
      <w:r>
        <w:rPr>
          <w:i/>
          <w:w w:val="115"/>
          <w:sz w:val="19"/>
        </w:rPr>
        <w:t>in</w:t>
      </w:r>
      <w:r>
        <w:rPr>
          <w:i/>
          <w:spacing w:val="-24"/>
          <w:w w:val="115"/>
          <w:sz w:val="19"/>
        </w:rPr>
        <w:t> </w:t>
      </w:r>
      <w:r>
        <w:rPr>
          <w:i/>
          <w:w w:val="115"/>
          <w:sz w:val="19"/>
        </w:rPr>
        <w:t>the</w:t>
      </w:r>
      <w:r>
        <w:rPr>
          <w:i/>
          <w:spacing w:val="-24"/>
          <w:w w:val="115"/>
          <w:sz w:val="19"/>
        </w:rPr>
        <w:t> </w:t>
      </w:r>
      <w:r>
        <w:rPr>
          <w:i/>
          <w:w w:val="115"/>
          <w:sz w:val="19"/>
        </w:rPr>
        <w:t>Americas</w:t>
      </w:r>
      <w:r>
        <w:rPr>
          <w:w w:val="115"/>
          <w:sz w:val="19"/>
        </w:rPr>
        <w:t>,</w:t>
      </w:r>
    </w:p>
    <w:p>
      <w:pPr>
        <w:pStyle w:val="BodyText"/>
        <w:spacing w:before="11"/>
        <w:ind w:left="727" w:right="365"/>
      </w:pPr>
      <w:hyperlink r:id="rId299">
        <w:r>
          <w:rPr>
            <w:w w:val="105"/>
          </w:rPr>
          <w:t>&lt;http://go.usa.gov/3EGK4&gt;.</w:t>
        </w:r>
      </w:hyperlink>
    </w:p>
    <w:p>
      <w:pPr>
        <w:tabs>
          <w:tab w:pos="1688" w:val="left" w:leader="none"/>
        </w:tabs>
        <w:spacing w:before="39"/>
        <w:ind w:left="330" w:right="365" w:firstLine="0"/>
        <w:jc w:val="left"/>
        <w:rPr>
          <w:sz w:val="19"/>
        </w:rPr>
      </w:pPr>
      <w:r>
        <w:rPr>
          <w:w w:val="128"/>
          <w:sz w:val="19"/>
          <w:u w:val="single"/>
        </w:rPr>
        <w:t> </w:t>
      </w:r>
      <w:r>
        <w:rPr>
          <w:sz w:val="19"/>
          <w:u w:val="single"/>
        </w:rPr>
        <w:tab/>
      </w:r>
      <w:r>
        <w:rPr>
          <w:w w:val="110"/>
          <w:sz w:val="19"/>
        </w:rPr>
        <w:t>, </w:t>
      </w:r>
      <w:r>
        <w:rPr>
          <w:i/>
          <w:w w:val="110"/>
          <w:sz w:val="19"/>
        </w:rPr>
        <w:t>Connecting 2022</w:t>
      </w:r>
      <w:r>
        <w:rPr>
          <w:w w:val="110"/>
          <w:sz w:val="19"/>
        </w:rPr>
        <w:t>,</w:t>
      </w:r>
      <w:r>
        <w:rPr>
          <w:spacing w:val="-18"/>
          <w:w w:val="110"/>
          <w:sz w:val="19"/>
        </w:rPr>
        <w:t> </w:t>
      </w:r>
      <w:hyperlink r:id="rId300">
        <w:r>
          <w:rPr>
            <w:w w:val="110"/>
            <w:sz w:val="19"/>
          </w:rPr>
          <w:t>&lt;http://go.usa.gov/3EGKk&gt;.</w:t>
        </w:r>
      </w:hyperlink>
    </w:p>
    <w:p>
      <w:pPr>
        <w:tabs>
          <w:tab w:pos="1688" w:val="left" w:leader="none"/>
        </w:tabs>
        <w:spacing w:line="252" w:lineRule="auto" w:before="39"/>
        <w:ind w:left="727" w:right="365" w:hanging="397"/>
        <w:jc w:val="left"/>
        <w:rPr>
          <w:sz w:val="19"/>
        </w:rPr>
      </w:pPr>
      <w:r>
        <w:rPr>
          <w:w w:val="128"/>
          <w:sz w:val="19"/>
          <w:u w:val="single"/>
        </w:rPr>
        <w:t> </w:t>
      </w:r>
      <w:r>
        <w:rPr>
          <w:sz w:val="19"/>
          <w:u w:val="single"/>
        </w:rPr>
        <w:tab/>
        <w:tab/>
      </w:r>
      <w:r>
        <w:rPr>
          <w:w w:val="110"/>
          <w:sz w:val="19"/>
        </w:rPr>
        <w:t>, </w:t>
      </w:r>
      <w:r>
        <w:rPr>
          <w:i/>
          <w:w w:val="110"/>
          <w:sz w:val="19"/>
        </w:rPr>
        <w:t>Caribbean Basin Security</w:t>
      </w:r>
      <w:r>
        <w:rPr>
          <w:i/>
          <w:spacing w:val="10"/>
          <w:w w:val="110"/>
          <w:sz w:val="19"/>
        </w:rPr>
        <w:t> </w:t>
      </w:r>
      <w:r>
        <w:rPr>
          <w:i/>
          <w:w w:val="110"/>
          <w:sz w:val="19"/>
        </w:rPr>
        <w:t>Initiative</w:t>
      </w:r>
      <w:r>
        <w:rPr>
          <w:w w:val="110"/>
          <w:sz w:val="19"/>
        </w:rPr>
        <w:t>,</w:t>
      </w:r>
      <w:r>
        <w:rPr>
          <w:spacing w:val="2"/>
          <w:w w:val="110"/>
          <w:sz w:val="19"/>
        </w:rPr>
        <w:t> </w:t>
      </w:r>
      <w:hyperlink r:id="rId306">
        <w:r>
          <w:rPr>
            <w:w w:val="110"/>
            <w:sz w:val="19"/>
          </w:rPr>
          <w:t>&lt;http://go.usa.</w:t>
        </w:r>
      </w:hyperlink>
      <w:r>
        <w:rPr>
          <w:w w:val="103"/>
          <w:sz w:val="19"/>
        </w:rPr>
        <w:t> </w:t>
      </w:r>
      <w:r>
        <w:rPr>
          <w:w w:val="115"/>
          <w:sz w:val="19"/>
        </w:rPr>
        <w:t>gov/37MHQ&gt;.</w:t>
      </w:r>
    </w:p>
    <w:p>
      <w:pPr>
        <w:tabs>
          <w:tab w:pos="1688" w:val="left" w:leader="none"/>
        </w:tabs>
        <w:spacing w:line="252" w:lineRule="auto" w:before="28"/>
        <w:ind w:left="727" w:right="103" w:hanging="397"/>
        <w:jc w:val="left"/>
        <w:rPr>
          <w:sz w:val="19"/>
        </w:rPr>
      </w:pPr>
      <w:r>
        <w:rPr>
          <w:w w:val="128"/>
          <w:sz w:val="19"/>
          <w:u w:val="single"/>
        </w:rPr>
        <w:t> </w:t>
      </w:r>
      <w:r>
        <w:rPr>
          <w:sz w:val="19"/>
          <w:u w:val="single"/>
        </w:rPr>
        <w:tab/>
        <w:tab/>
      </w:r>
      <w:r>
        <w:rPr>
          <w:w w:val="110"/>
          <w:sz w:val="19"/>
        </w:rPr>
        <w:t>, </w:t>
      </w:r>
      <w:r>
        <w:rPr>
          <w:i/>
          <w:w w:val="110"/>
          <w:sz w:val="19"/>
        </w:rPr>
        <w:t>Central American Regional Security</w:t>
      </w:r>
      <w:r>
        <w:rPr>
          <w:i/>
          <w:spacing w:val="-27"/>
          <w:w w:val="110"/>
          <w:sz w:val="19"/>
        </w:rPr>
        <w:t> </w:t>
      </w:r>
      <w:r>
        <w:rPr>
          <w:i/>
          <w:w w:val="110"/>
          <w:sz w:val="19"/>
        </w:rPr>
        <w:t>Initiative</w:t>
      </w:r>
      <w:r>
        <w:rPr>
          <w:w w:val="110"/>
          <w:sz w:val="19"/>
        </w:rPr>
        <w:t>,</w:t>
      </w:r>
      <w:r>
        <w:rPr>
          <w:spacing w:val="-6"/>
          <w:w w:val="110"/>
          <w:sz w:val="19"/>
        </w:rPr>
        <w:t> </w:t>
      </w:r>
      <w:r>
        <w:rPr>
          <w:w w:val="110"/>
          <w:sz w:val="19"/>
        </w:rPr>
        <w:t>&lt;http://</w:t>
      </w:r>
      <w:r>
        <w:rPr>
          <w:w w:val="95"/>
          <w:sz w:val="19"/>
        </w:rPr>
        <w:t> </w:t>
      </w:r>
      <w:r>
        <w:rPr>
          <w:w w:val="110"/>
          <w:sz w:val="19"/>
        </w:rPr>
        <w:t>go.usa.gov/3mKwF&gt;.</w:t>
      </w:r>
    </w:p>
    <w:p>
      <w:pPr>
        <w:tabs>
          <w:tab w:pos="1688" w:val="left" w:leader="none"/>
        </w:tabs>
        <w:spacing w:before="28"/>
        <w:ind w:left="330" w:right="103" w:firstLine="0"/>
        <w:jc w:val="left"/>
        <w:rPr>
          <w:sz w:val="19"/>
        </w:rPr>
      </w:pPr>
      <w:r>
        <w:rPr>
          <w:w w:val="128"/>
          <w:sz w:val="19"/>
          <w:u w:val="single"/>
        </w:rPr>
        <w:t> </w:t>
      </w:r>
      <w:r>
        <w:rPr>
          <w:sz w:val="19"/>
          <w:u w:val="single"/>
        </w:rPr>
        <w:tab/>
      </w:r>
      <w:r>
        <w:rPr>
          <w:w w:val="115"/>
          <w:sz w:val="19"/>
        </w:rPr>
        <w:t>,</w:t>
      </w:r>
      <w:r>
        <w:rPr>
          <w:spacing w:val="-20"/>
          <w:w w:val="115"/>
          <w:sz w:val="19"/>
        </w:rPr>
        <w:t> </w:t>
      </w:r>
      <w:r>
        <w:rPr>
          <w:i/>
          <w:w w:val="115"/>
          <w:sz w:val="19"/>
        </w:rPr>
        <w:t>Quadriennal</w:t>
      </w:r>
      <w:r>
        <w:rPr>
          <w:i/>
          <w:spacing w:val="-20"/>
          <w:w w:val="115"/>
          <w:sz w:val="19"/>
        </w:rPr>
        <w:t> </w:t>
      </w:r>
      <w:r>
        <w:rPr>
          <w:i/>
          <w:w w:val="115"/>
          <w:sz w:val="19"/>
        </w:rPr>
        <w:t>Diplomacy</w:t>
      </w:r>
      <w:r>
        <w:rPr>
          <w:i/>
          <w:spacing w:val="-20"/>
          <w:w w:val="115"/>
          <w:sz w:val="19"/>
        </w:rPr>
        <w:t> </w:t>
      </w:r>
      <w:r>
        <w:rPr>
          <w:i/>
          <w:w w:val="115"/>
          <w:sz w:val="19"/>
        </w:rPr>
        <w:t>and</w:t>
      </w:r>
      <w:r>
        <w:rPr>
          <w:i/>
          <w:spacing w:val="-20"/>
          <w:w w:val="115"/>
          <w:sz w:val="19"/>
        </w:rPr>
        <w:t> </w:t>
      </w:r>
      <w:r>
        <w:rPr>
          <w:i/>
          <w:w w:val="115"/>
          <w:sz w:val="19"/>
        </w:rPr>
        <w:t>Develpmment</w:t>
      </w:r>
      <w:r>
        <w:rPr>
          <w:i/>
          <w:spacing w:val="-20"/>
          <w:w w:val="115"/>
          <w:sz w:val="19"/>
        </w:rPr>
        <w:t> </w:t>
      </w:r>
      <w:r>
        <w:rPr>
          <w:i/>
          <w:w w:val="115"/>
          <w:sz w:val="19"/>
        </w:rPr>
        <w:t>Review</w:t>
      </w:r>
      <w:r>
        <w:rPr>
          <w:w w:val="115"/>
          <w:sz w:val="19"/>
        </w:rPr>
        <w:t>,</w:t>
      </w:r>
    </w:p>
    <w:p>
      <w:pPr>
        <w:pStyle w:val="BodyText"/>
        <w:spacing w:before="11"/>
        <w:ind w:left="727" w:right="365"/>
      </w:pPr>
      <w:hyperlink r:id="rId304">
        <w:r>
          <w:rPr>
            <w:w w:val="105"/>
          </w:rPr>
          <w:t>&lt;http://goo.gl/o5Z</w:t>
        </w:r>
      </w:hyperlink>
      <w:r>
        <w:rPr>
          <w:w w:val="105"/>
        </w:rPr>
        <w:t>r</w:t>
      </w:r>
      <w:hyperlink r:id="rId304">
        <w:r>
          <w:rPr>
            <w:w w:val="105"/>
          </w:rPr>
          <w:t>fy&gt;.</w:t>
        </w:r>
      </w:hyperlink>
    </w:p>
    <w:p>
      <w:pPr>
        <w:spacing w:before="39"/>
        <w:ind w:left="330" w:right="365" w:firstLine="0"/>
        <w:jc w:val="left"/>
        <w:rPr>
          <w:i/>
          <w:sz w:val="19"/>
        </w:rPr>
      </w:pPr>
      <w:r>
        <w:rPr>
          <w:w w:val="115"/>
          <w:sz w:val="19"/>
        </w:rPr>
        <w:t>National security Council </w:t>
      </w:r>
      <w:r>
        <w:rPr>
          <w:i/>
          <w:w w:val="115"/>
          <w:sz w:val="19"/>
        </w:rPr>
        <w:t>U.S. National Security Strategy 2015</w:t>
      </w:r>
    </w:p>
    <w:p>
      <w:pPr>
        <w:pStyle w:val="BodyText"/>
        <w:spacing w:before="11"/>
        <w:ind w:left="727" w:right="365"/>
      </w:pPr>
      <w:r>
        <w:rPr>
          <w:w w:val="110"/>
        </w:rPr>
        <w:t>(official website), en &lt;https://goo.gl/EwQFiu&gt;.</w:t>
      </w:r>
    </w:p>
    <w:p>
      <w:pPr>
        <w:spacing w:after="0"/>
        <w:sectPr>
          <w:pgSz w:w="8790" w:h="12760"/>
          <w:pgMar w:header="695" w:footer="725" w:top="880" w:bottom="920" w:left="1200" w:right="960"/>
        </w:sectPr>
      </w:pPr>
    </w:p>
    <w:p>
      <w:pPr>
        <w:pStyle w:val="BodyText"/>
        <w:rPr>
          <w:sz w:val="20"/>
        </w:rPr>
      </w:pPr>
    </w:p>
    <w:p>
      <w:pPr>
        <w:pStyle w:val="BodyText"/>
        <w:rPr>
          <w:sz w:val="20"/>
        </w:rPr>
      </w:pPr>
    </w:p>
    <w:p>
      <w:pPr>
        <w:pStyle w:val="BodyText"/>
        <w:spacing w:before="10"/>
        <w:rPr>
          <w:sz w:val="27"/>
        </w:rPr>
      </w:pPr>
    </w:p>
    <w:p>
      <w:pPr>
        <w:pStyle w:val="Heading3"/>
        <w:ind w:left="1041" w:right="1249"/>
      </w:pPr>
      <w:r>
        <w:rPr/>
        <w:t>Ary Cesar Minella*</w:t>
      </w:r>
    </w:p>
    <w:p>
      <w:pPr>
        <w:pStyle w:val="BodyText"/>
        <w:spacing w:before="1"/>
        <w:rPr>
          <w:sz w:val="20"/>
        </w:rPr>
      </w:pPr>
    </w:p>
    <w:p>
      <w:pPr>
        <w:spacing w:before="0"/>
        <w:ind w:left="348" w:right="556" w:firstLine="0"/>
        <w:jc w:val="center"/>
        <w:rPr>
          <w:rFonts w:ascii="Times New Roman" w:hAnsi="Times New Roman"/>
          <w:b/>
          <w:sz w:val="30"/>
        </w:rPr>
      </w:pPr>
      <w:r>
        <w:rPr>
          <w:rFonts w:ascii="Times New Roman" w:hAnsi="Times New Roman"/>
          <w:b/>
          <w:spacing w:val="1"/>
          <w:w w:val="135"/>
          <w:sz w:val="30"/>
        </w:rPr>
        <w:t>reforMas</w:t>
      </w:r>
      <w:r>
        <w:rPr>
          <w:rFonts w:ascii="Times New Roman" w:hAnsi="Times New Roman"/>
          <w:b/>
          <w:spacing w:val="-70"/>
          <w:w w:val="135"/>
          <w:sz w:val="30"/>
        </w:rPr>
        <w:t> </w:t>
      </w:r>
      <w:r>
        <w:rPr>
          <w:rFonts w:ascii="Times New Roman" w:hAnsi="Times New Roman"/>
          <w:b/>
          <w:spacing w:val="1"/>
          <w:w w:val="135"/>
          <w:sz w:val="30"/>
        </w:rPr>
        <w:t>PolÍticas</w:t>
      </w:r>
      <w:r>
        <w:rPr>
          <w:rFonts w:ascii="Times New Roman" w:hAnsi="Times New Roman"/>
          <w:b/>
          <w:spacing w:val="-70"/>
          <w:w w:val="135"/>
          <w:sz w:val="30"/>
        </w:rPr>
        <w:t> </w:t>
      </w:r>
      <w:r>
        <w:rPr>
          <w:rFonts w:ascii="Times New Roman" w:hAnsi="Times New Roman"/>
          <w:b/>
          <w:w w:val="135"/>
          <w:sz w:val="30"/>
        </w:rPr>
        <w:t>y</w:t>
      </w:r>
      <w:r>
        <w:rPr>
          <w:rFonts w:ascii="Times New Roman" w:hAnsi="Times New Roman"/>
          <w:b/>
          <w:spacing w:val="-70"/>
          <w:w w:val="135"/>
          <w:sz w:val="30"/>
        </w:rPr>
        <w:t> </w:t>
      </w:r>
      <w:r>
        <w:rPr>
          <w:rFonts w:ascii="Times New Roman" w:hAnsi="Times New Roman"/>
          <w:b/>
          <w:spacing w:val="1"/>
          <w:w w:val="135"/>
          <w:sz w:val="30"/>
        </w:rPr>
        <w:t>econóMicas</w:t>
      </w:r>
    </w:p>
    <w:p>
      <w:pPr>
        <w:spacing w:line="242" w:lineRule="auto" w:before="225"/>
        <w:ind w:left="351" w:right="556" w:firstLine="0"/>
        <w:jc w:val="center"/>
        <w:rPr>
          <w:rFonts w:ascii="Times New Roman" w:hAnsi="Times New Roman"/>
          <w:b/>
          <w:sz w:val="24"/>
        </w:rPr>
      </w:pPr>
      <w:r>
        <w:rPr>
          <w:rFonts w:ascii="Times New Roman" w:hAnsi="Times New Roman"/>
          <w:b/>
          <w:w w:val="145"/>
          <w:sz w:val="24"/>
        </w:rPr>
        <w:t>la actuación del </w:t>
      </w:r>
      <w:r>
        <w:rPr>
          <w:rFonts w:ascii="Times New Roman" w:hAnsi="Times New Roman"/>
          <w:b/>
          <w:i/>
          <w:w w:val="145"/>
          <w:sz w:val="24"/>
        </w:rPr>
        <w:t>center for international </w:t>
      </w:r>
      <w:r>
        <w:rPr>
          <w:rFonts w:ascii="Times New Roman" w:hAnsi="Times New Roman"/>
          <w:b/>
          <w:i/>
          <w:w w:val="100"/>
          <w:sz w:val="24"/>
        </w:rPr>
        <w:t>P</w:t>
      </w:r>
      <w:r>
        <w:rPr>
          <w:rFonts w:ascii="Times New Roman" w:hAnsi="Times New Roman"/>
          <w:b/>
          <w:i/>
          <w:w w:val="149"/>
          <w:sz w:val="24"/>
        </w:rPr>
        <w:t>ri</w:t>
      </w:r>
      <w:r>
        <w:rPr>
          <w:rFonts w:ascii="Times New Roman" w:hAnsi="Times New Roman"/>
          <w:b/>
          <w:i/>
          <w:w w:val="145"/>
          <w:sz w:val="24"/>
        </w:rPr>
        <w:t>v</w:t>
      </w:r>
      <w:r>
        <w:rPr>
          <w:rFonts w:ascii="Times New Roman" w:hAnsi="Times New Roman"/>
          <w:b/>
          <w:i/>
          <w:w w:val="128"/>
          <w:sz w:val="24"/>
        </w:rPr>
        <w:t>a</w:t>
      </w:r>
      <w:r>
        <w:rPr>
          <w:rFonts w:ascii="Times New Roman" w:hAnsi="Times New Roman"/>
          <w:b/>
          <w:i/>
          <w:w w:val="210"/>
          <w:sz w:val="24"/>
        </w:rPr>
        <w:t>t</w:t>
      </w:r>
      <w:r>
        <w:rPr>
          <w:rFonts w:ascii="Times New Roman" w:hAnsi="Times New Roman"/>
          <w:b/>
          <w:i/>
          <w:w w:val="134"/>
          <w:sz w:val="24"/>
        </w:rPr>
        <w:t>e</w:t>
      </w:r>
      <w:r>
        <w:rPr>
          <w:rFonts w:ascii="Times New Roman" w:hAnsi="Times New Roman"/>
          <w:b/>
          <w:i/>
          <w:sz w:val="24"/>
        </w:rPr>
        <w:t> </w:t>
      </w:r>
      <w:r>
        <w:rPr>
          <w:rFonts w:ascii="Times New Roman" w:hAnsi="Times New Roman"/>
          <w:b/>
          <w:i/>
          <w:w w:val="134"/>
          <w:sz w:val="24"/>
        </w:rPr>
        <w:t>e</w:t>
      </w:r>
      <w:r>
        <w:rPr>
          <w:rFonts w:ascii="Times New Roman" w:hAnsi="Times New Roman"/>
          <w:b/>
          <w:i/>
          <w:w w:val="128"/>
          <w:sz w:val="24"/>
        </w:rPr>
        <w:t>n</w:t>
      </w:r>
      <w:r>
        <w:rPr>
          <w:rFonts w:ascii="Times New Roman" w:hAnsi="Times New Roman"/>
          <w:b/>
          <w:i/>
          <w:w w:val="210"/>
          <w:sz w:val="24"/>
        </w:rPr>
        <w:t>t</w:t>
      </w:r>
      <w:r>
        <w:rPr>
          <w:rFonts w:ascii="Times New Roman" w:hAnsi="Times New Roman"/>
          <w:b/>
          <w:i/>
          <w:w w:val="134"/>
          <w:sz w:val="24"/>
        </w:rPr>
        <w:t>e</w:t>
      </w:r>
      <w:r>
        <w:rPr>
          <w:rFonts w:ascii="Times New Roman" w:hAnsi="Times New Roman"/>
          <w:b/>
          <w:i/>
          <w:w w:val="163"/>
          <w:sz w:val="24"/>
        </w:rPr>
        <w:t>r</w:t>
      </w:r>
      <w:r>
        <w:rPr>
          <w:rFonts w:ascii="Times New Roman" w:hAnsi="Times New Roman"/>
          <w:b/>
          <w:i/>
          <w:w w:val="100"/>
          <w:sz w:val="24"/>
        </w:rPr>
        <w:t>P</w:t>
      </w:r>
      <w:r>
        <w:rPr>
          <w:rFonts w:ascii="Times New Roman" w:hAnsi="Times New Roman"/>
          <w:b/>
          <w:i/>
          <w:w w:val="149"/>
          <w:sz w:val="24"/>
        </w:rPr>
        <w:t>ri</w:t>
      </w:r>
      <w:r>
        <w:rPr>
          <w:rFonts w:ascii="Times New Roman" w:hAnsi="Times New Roman"/>
          <w:b/>
          <w:i/>
          <w:w w:val="133"/>
          <w:sz w:val="24"/>
        </w:rPr>
        <w:t>se</w:t>
      </w:r>
      <w:r>
        <w:rPr>
          <w:rFonts w:ascii="Times New Roman" w:hAnsi="Times New Roman"/>
          <w:b/>
          <w:i/>
          <w:sz w:val="24"/>
        </w:rPr>
        <w:t> </w:t>
      </w:r>
      <w:r>
        <w:rPr>
          <w:rFonts w:ascii="Times New Roman" w:hAnsi="Times New Roman"/>
          <w:b/>
          <w:w w:val="133"/>
          <w:sz w:val="24"/>
        </w:rPr>
        <w:t>(ci</w:t>
      </w:r>
      <w:r>
        <w:rPr>
          <w:rFonts w:ascii="Times New Roman" w:hAnsi="Times New Roman"/>
          <w:b/>
          <w:w w:val="99"/>
          <w:sz w:val="24"/>
        </w:rPr>
        <w:t>P</w:t>
      </w:r>
      <w:r>
        <w:rPr>
          <w:rFonts w:ascii="Times New Roman" w:hAnsi="Times New Roman"/>
          <w:b/>
          <w:w w:val="126"/>
          <w:sz w:val="24"/>
        </w:rPr>
        <w:t>e)</w:t>
      </w:r>
      <w:r>
        <w:rPr>
          <w:rFonts w:ascii="Times New Roman" w:hAnsi="Times New Roman"/>
          <w:b/>
          <w:sz w:val="24"/>
        </w:rPr>
        <w:t> </w:t>
      </w:r>
      <w:r>
        <w:rPr>
          <w:rFonts w:ascii="Times New Roman" w:hAnsi="Times New Roman"/>
          <w:b/>
          <w:w w:val="134"/>
          <w:sz w:val="24"/>
        </w:rPr>
        <w:t>e</w:t>
      </w:r>
      <w:r>
        <w:rPr>
          <w:rFonts w:ascii="Times New Roman" w:hAnsi="Times New Roman"/>
          <w:b/>
          <w:w w:val="128"/>
          <w:sz w:val="24"/>
        </w:rPr>
        <w:t>n</w:t>
      </w:r>
      <w:r>
        <w:rPr>
          <w:rFonts w:ascii="Times New Roman" w:hAnsi="Times New Roman"/>
          <w:b/>
          <w:sz w:val="24"/>
        </w:rPr>
        <w:t> </w:t>
      </w:r>
      <w:r>
        <w:rPr>
          <w:rFonts w:ascii="Times New Roman" w:hAnsi="Times New Roman"/>
          <w:b/>
          <w:w w:val="105"/>
          <w:sz w:val="24"/>
        </w:rPr>
        <w:t>aM</w:t>
      </w:r>
      <w:r>
        <w:rPr>
          <w:rFonts w:ascii="Times New Roman" w:hAnsi="Times New Roman"/>
          <w:b/>
          <w:w w:val="134"/>
          <w:sz w:val="24"/>
        </w:rPr>
        <w:t>é</w:t>
      </w:r>
      <w:r>
        <w:rPr>
          <w:rFonts w:ascii="Times New Roman" w:hAnsi="Times New Roman"/>
          <w:b/>
          <w:w w:val="142"/>
          <w:sz w:val="24"/>
        </w:rPr>
        <w:t>ric</w:t>
      </w:r>
      <w:r>
        <w:rPr>
          <w:rFonts w:ascii="Times New Roman" w:hAnsi="Times New Roman"/>
          <w:b/>
          <w:w w:val="129"/>
          <w:sz w:val="24"/>
        </w:rPr>
        <w:t>a</w:t>
      </w:r>
      <w:r>
        <w:rPr>
          <w:rFonts w:ascii="Times New Roman" w:hAnsi="Times New Roman"/>
          <w:b/>
          <w:sz w:val="24"/>
        </w:rPr>
        <w:t> </w:t>
      </w:r>
      <w:r>
        <w:rPr>
          <w:rFonts w:ascii="Times New Roman" w:hAnsi="Times New Roman"/>
          <w:b/>
          <w:w w:val="201"/>
          <w:sz w:val="24"/>
        </w:rPr>
        <w:t>l</w:t>
      </w:r>
      <w:r>
        <w:rPr>
          <w:rFonts w:ascii="Times New Roman" w:hAnsi="Times New Roman"/>
          <w:b/>
          <w:w w:val="129"/>
          <w:sz w:val="24"/>
        </w:rPr>
        <w:t>a</w:t>
      </w:r>
      <w:r>
        <w:rPr>
          <w:rFonts w:ascii="Times New Roman" w:hAnsi="Times New Roman"/>
          <w:b/>
          <w:w w:val="143"/>
          <w:sz w:val="24"/>
        </w:rPr>
        <w:t>tin</w:t>
      </w:r>
      <w:r>
        <w:rPr>
          <w:rFonts w:ascii="Times New Roman" w:hAnsi="Times New Roman"/>
          <w:b/>
          <w:w w:val="129"/>
          <w:sz w:val="24"/>
        </w:rPr>
        <w:t>a</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spacing w:before="6"/>
        <w:rPr>
          <w:rFonts w:ascii="Times New Roman"/>
          <w:b/>
          <w:sz w:val="27"/>
        </w:rPr>
      </w:pPr>
    </w:p>
    <w:p>
      <w:pPr>
        <w:pStyle w:val="Heading6"/>
        <w:ind w:left="121"/>
      </w:pPr>
      <w:r>
        <w:rPr>
          <w:w w:val="140"/>
        </w:rPr>
        <w:t>introducción</w:t>
      </w:r>
    </w:p>
    <w:p>
      <w:pPr>
        <w:spacing w:line="252" w:lineRule="auto" w:before="10"/>
        <w:ind w:left="120" w:right="328" w:firstLine="0"/>
        <w:jc w:val="both"/>
        <w:rPr>
          <w:sz w:val="19"/>
        </w:rPr>
      </w:pPr>
      <w:r>
        <w:rPr>
          <w:w w:val="110"/>
          <w:sz w:val="19"/>
        </w:rPr>
        <w:t>a finales de los años setenta e inicio de los ochenta, el gobierno de los Estados unidos redefinió parte de su estrategia de actuación e </w:t>
      </w:r>
      <w:r>
        <w:rPr>
          <w:spacing w:val="-3"/>
          <w:w w:val="110"/>
          <w:sz w:val="19"/>
        </w:rPr>
        <w:t>inter- </w:t>
      </w:r>
      <w:r>
        <w:rPr>
          <w:w w:val="110"/>
          <w:sz w:val="19"/>
        </w:rPr>
        <w:t>vención en el </w:t>
      </w:r>
      <w:r>
        <w:rPr>
          <w:spacing w:val="-3"/>
          <w:w w:val="110"/>
          <w:sz w:val="19"/>
        </w:rPr>
        <w:t>exterior, </w:t>
      </w:r>
      <w:r>
        <w:rPr>
          <w:w w:val="110"/>
          <w:sz w:val="19"/>
        </w:rPr>
        <w:t>mientras que la administración reagan, con la aprobación del Congreso, creó en 1983 la </w:t>
      </w:r>
      <w:r>
        <w:rPr>
          <w:i/>
          <w:w w:val="110"/>
          <w:sz w:val="19"/>
        </w:rPr>
        <w:t>National Endowment for De- </w:t>
      </w:r>
      <w:r>
        <w:rPr>
          <w:i/>
          <w:w w:val="110"/>
          <w:sz w:val="19"/>
        </w:rPr>
        <w:t>mocracy </w:t>
      </w:r>
      <w:r>
        <w:rPr>
          <w:w w:val="110"/>
          <w:sz w:val="19"/>
        </w:rPr>
        <w:t>(NEd por sus siglas en inglés), una organización de carácter privado pero financiada con recursos del gobierno estadounidense</w:t>
      </w:r>
      <w:r>
        <w:rPr>
          <w:w w:val="110"/>
          <w:position w:val="6"/>
          <w:sz w:val="11"/>
        </w:rPr>
        <w:t>1</w:t>
      </w:r>
      <w:r>
        <w:rPr>
          <w:w w:val="110"/>
          <w:sz w:val="19"/>
        </w:rPr>
        <w:t>. </w:t>
      </w:r>
      <w:r>
        <w:rPr>
          <w:w w:val="243"/>
          <w:sz w:val="19"/>
        </w:rPr>
        <w:t>l</w:t>
      </w:r>
      <w:r>
        <w:rPr>
          <w:w w:val="112"/>
          <w:sz w:val="19"/>
        </w:rPr>
        <w:t>a</w:t>
      </w:r>
      <w:r>
        <w:rPr>
          <w:sz w:val="19"/>
        </w:rPr>
        <w:t> </w:t>
      </w:r>
      <w:r>
        <w:rPr>
          <w:spacing w:val="-3"/>
          <w:sz w:val="19"/>
        </w:rPr>
        <w:t> </w:t>
      </w:r>
      <w:r>
        <w:rPr>
          <w:w w:val="112"/>
          <w:sz w:val="19"/>
        </w:rPr>
        <w:t>formación</w:t>
      </w:r>
      <w:r>
        <w:rPr>
          <w:sz w:val="19"/>
        </w:rPr>
        <w:t> </w:t>
      </w:r>
      <w:r>
        <w:rPr>
          <w:spacing w:val="-3"/>
          <w:sz w:val="19"/>
        </w:rPr>
        <w:t> </w:t>
      </w:r>
      <w:r>
        <w:rPr>
          <w:w w:val="107"/>
          <w:sz w:val="19"/>
        </w:rPr>
        <w:t>de</w:t>
      </w:r>
      <w:r>
        <w:rPr>
          <w:sz w:val="19"/>
        </w:rPr>
        <w:t> </w:t>
      </w:r>
      <w:r>
        <w:rPr>
          <w:spacing w:val="-3"/>
          <w:sz w:val="19"/>
        </w:rPr>
        <w:t> </w:t>
      </w:r>
      <w:r>
        <w:rPr>
          <w:w w:val="111"/>
          <w:sz w:val="19"/>
        </w:rPr>
        <w:t>la</w:t>
      </w:r>
      <w:r>
        <w:rPr>
          <w:sz w:val="19"/>
        </w:rPr>
        <w:t> </w:t>
      </w:r>
      <w:r>
        <w:rPr>
          <w:spacing w:val="-3"/>
          <w:sz w:val="19"/>
        </w:rPr>
        <w:t> </w:t>
      </w:r>
      <w:r>
        <w:rPr>
          <w:w w:val="123"/>
          <w:sz w:val="19"/>
        </w:rPr>
        <w:t>NE</w:t>
      </w:r>
      <w:r>
        <w:rPr>
          <w:w w:val="139"/>
          <w:sz w:val="19"/>
        </w:rPr>
        <w:t>d</w:t>
      </w:r>
      <w:r>
        <w:rPr>
          <w:sz w:val="19"/>
        </w:rPr>
        <w:t> </w:t>
      </w:r>
      <w:r>
        <w:rPr>
          <w:spacing w:val="-3"/>
          <w:sz w:val="19"/>
        </w:rPr>
        <w:t> </w:t>
      </w:r>
      <w:r>
        <w:rPr>
          <w:w w:val="111"/>
          <w:sz w:val="19"/>
        </w:rPr>
        <w:t>fue</w:t>
      </w:r>
      <w:r>
        <w:rPr>
          <w:sz w:val="19"/>
        </w:rPr>
        <w:t> </w:t>
      </w:r>
      <w:r>
        <w:rPr>
          <w:spacing w:val="-3"/>
          <w:sz w:val="19"/>
        </w:rPr>
        <w:t> </w:t>
      </w:r>
      <w:r>
        <w:rPr>
          <w:w w:val="109"/>
          <w:sz w:val="19"/>
        </w:rPr>
        <w:t>seguida</w:t>
      </w:r>
      <w:r>
        <w:rPr>
          <w:sz w:val="19"/>
        </w:rPr>
        <w:t> </w:t>
      </w:r>
      <w:r>
        <w:rPr>
          <w:spacing w:val="-3"/>
          <w:sz w:val="19"/>
        </w:rPr>
        <w:t> </w:t>
      </w:r>
      <w:r>
        <w:rPr>
          <w:w w:val="108"/>
          <w:sz w:val="19"/>
        </w:rPr>
        <w:t>por</w:t>
      </w:r>
      <w:r>
        <w:rPr>
          <w:sz w:val="19"/>
        </w:rPr>
        <w:t> </w:t>
      </w:r>
      <w:r>
        <w:rPr>
          <w:spacing w:val="-3"/>
          <w:sz w:val="19"/>
        </w:rPr>
        <w:t> </w:t>
      </w:r>
      <w:r>
        <w:rPr>
          <w:w w:val="111"/>
          <w:sz w:val="19"/>
        </w:rPr>
        <w:t>la</w:t>
      </w:r>
      <w:r>
        <w:rPr>
          <w:sz w:val="19"/>
        </w:rPr>
        <w:t> </w:t>
      </w:r>
      <w:r>
        <w:rPr>
          <w:spacing w:val="-3"/>
          <w:sz w:val="19"/>
        </w:rPr>
        <w:t> </w:t>
      </w:r>
      <w:r>
        <w:rPr>
          <w:w w:val="111"/>
          <w:sz w:val="19"/>
        </w:rPr>
        <w:t>creación</w:t>
      </w:r>
      <w:r>
        <w:rPr>
          <w:sz w:val="19"/>
        </w:rPr>
        <w:t> </w:t>
      </w:r>
      <w:r>
        <w:rPr>
          <w:spacing w:val="-3"/>
          <w:sz w:val="19"/>
        </w:rPr>
        <w:t> </w:t>
      </w:r>
      <w:r>
        <w:rPr>
          <w:w w:val="107"/>
          <w:sz w:val="19"/>
        </w:rPr>
        <w:t>del</w:t>
      </w:r>
      <w:r>
        <w:rPr>
          <w:sz w:val="19"/>
        </w:rPr>
        <w:t> </w:t>
      </w:r>
      <w:r>
        <w:rPr>
          <w:spacing w:val="-3"/>
          <w:sz w:val="19"/>
        </w:rPr>
        <w:t> </w:t>
      </w:r>
      <w:r>
        <w:rPr>
          <w:i/>
          <w:w w:val="107"/>
          <w:sz w:val="19"/>
        </w:rPr>
        <w:t>Center</w:t>
      </w:r>
      <w:r>
        <w:rPr>
          <w:i/>
          <w:sz w:val="19"/>
        </w:rPr>
        <w:t> </w:t>
      </w:r>
      <w:r>
        <w:rPr>
          <w:i/>
          <w:spacing w:val="-3"/>
          <w:sz w:val="19"/>
        </w:rPr>
        <w:t> </w:t>
      </w:r>
      <w:r>
        <w:rPr>
          <w:i/>
          <w:w w:val="106"/>
          <w:sz w:val="19"/>
        </w:rPr>
        <w:t>for</w:t>
      </w:r>
      <w:r>
        <w:rPr>
          <w:i/>
          <w:w w:val="106"/>
          <w:sz w:val="19"/>
        </w:rPr>
        <w:t> </w:t>
      </w:r>
      <w:r>
        <w:rPr>
          <w:i/>
          <w:w w:val="110"/>
          <w:sz w:val="19"/>
        </w:rPr>
        <w:t>International Private Enterprise </w:t>
      </w:r>
      <w:r>
        <w:rPr>
          <w:w w:val="110"/>
          <w:sz w:val="19"/>
        </w:rPr>
        <w:t>(CiPE), este y la NEd se vincularon además al </w:t>
      </w:r>
      <w:r>
        <w:rPr>
          <w:i/>
          <w:w w:val="110"/>
          <w:sz w:val="19"/>
        </w:rPr>
        <w:t>National Democratic Institute for International Affairs </w:t>
      </w:r>
      <w:r>
        <w:rPr>
          <w:w w:val="110"/>
          <w:sz w:val="19"/>
        </w:rPr>
        <w:t>(Ndi) y</w:t>
      </w:r>
      <w:r>
        <w:rPr>
          <w:spacing w:val="22"/>
          <w:w w:val="110"/>
          <w:sz w:val="19"/>
        </w:rPr>
        <w:t> </w:t>
      </w:r>
      <w:r>
        <w:rPr>
          <w:w w:val="110"/>
          <w:sz w:val="19"/>
        </w:rPr>
        <w:t>el</w:t>
      </w:r>
      <w:r>
        <w:rPr>
          <w:spacing w:val="22"/>
          <w:w w:val="110"/>
          <w:sz w:val="19"/>
        </w:rPr>
        <w:t> </w:t>
      </w:r>
      <w:r>
        <w:rPr>
          <w:i/>
          <w:w w:val="110"/>
          <w:sz w:val="19"/>
        </w:rPr>
        <w:t>National</w:t>
      </w:r>
      <w:r>
        <w:rPr>
          <w:i/>
          <w:spacing w:val="22"/>
          <w:w w:val="110"/>
          <w:sz w:val="19"/>
        </w:rPr>
        <w:t> </w:t>
      </w:r>
      <w:r>
        <w:rPr>
          <w:i/>
          <w:w w:val="110"/>
          <w:sz w:val="19"/>
        </w:rPr>
        <w:t>Republican</w:t>
      </w:r>
      <w:r>
        <w:rPr>
          <w:i/>
          <w:spacing w:val="22"/>
          <w:w w:val="110"/>
          <w:sz w:val="19"/>
        </w:rPr>
        <w:t> </w:t>
      </w:r>
      <w:r>
        <w:rPr>
          <w:i/>
          <w:w w:val="110"/>
          <w:sz w:val="19"/>
        </w:rPr>
        <w:t>Institute</w:t>
      </w:r>
      <w:r>
        <w:rPr>
          <w:i/>
          <w:spacing w:val="22"/>
          <w:w w:val="110"/>
          <w:sz w:val="19"/>
        </w:rPr>
        <w:t> </w:t>
      </w:r>
      <w:r>
        <w:rPr>
          <w:i/>
          <w:w w:val="110"/>
          <w:sz w:val="19"/>
        </w:rPr>
        <w:t>for</w:t>
      </w:r>
      <w:r>
        <w:rPr>
          <w:i/>
          <w:spacing w:val="22"/>
          <w:w w:val="110"/>
          <w:sz w:val="19"/>
        </w:rPr>
        <w:t> </w:t>
      </w:r>
      <w:r>
        <w:rPr>
          <w:i/>
          <w:w w:val="110"/>
          <w:sz w:val="19"/>
        </w:rPr>
        <w:t>International</w:t>
      </w:r>
      <w:r>
        <w:rPr>
          <w:i/>
          <w:spacing w:val="22"/>
          <w:w w:val="110"/>
          <w:sz w:val="19"/>
        </w:rPr>
        <w:t> </w:t>
      </w:r>
      <w:r>
        <w:rPr>
          <w:i/>
          <w:w w:val="110"/>
          <w:sz w:val="19"/>
        </w:rPr>
        <w:t>Affairs</w:t>
      </w:r>
      <w:r>
        <w:rPr>
          <w:w w:val="110"/>
          <w:sz w:val="19"/>
        </w:rPr>
        <w:t>,</w:t>
      </w:r>
      <w:r>
        <w:rPr>
          <w:spacing w:val="22"/>
          <w:w w:val="110"/>
          <w:sz w:val="19"/>
        </w:rPr>
        <w:t> </w:t>
      </w:r>
      <w:r>
        <w:rPr>
          <w:w w:val="110"/>
          <w:sz w:val="19"/>
        </w:rPr>
        <w:t>más</w:t>
      </w:r>
      <w:r>
        <w:rPr>
          <w:spacing w:val="22"/>
          <w:w w:val="110"/>
          <w:sz w:val="19"/>
        </w:rPr>
        <w:t> </w:t>
      </w:r>
      <w:r>
        <w:rPr>
          <w:w w:val="110"/>
          <w:sz w:val="19"/>
        </w:rPr>
        <w:t>tarde</w:t>
      </w:r>
    </w:p>
    <w:p>
      <w:pPr>
        <w:pStyle w:val="BodyText"/>
        <w:spacing w:before="4"/>
        <w:rPr>
          <w:sz w:val="17"/>
        </w:rPr>
      </w:pPr>
    </w:p>
    <w:p>
      <w:pPr>
        <w:spacing w:line="242" w:lineRule="auto" w:before="75"/>
        <w:ind w:left="290" w:right="328" w:hanging="171"/>
        <w:jc w:val="both"/>
        <w:rPr>
          <w:sz w:val="16"/>
        </w:rPr>
      </w:pPr>
      <w:r>
        <w:rPr>
          <w:w w:val="110"/>
          <w:sz w:val="16"/>
        </w:rPr>
        <w:t>* doctorado en </w:t>
      </w:r>
      <w:r>
        <w:rPr>
          <w:i/>
          <w:w w:val="110"/>
          <w:sz w:val="16"/>
        </w:rPr>
        <w:t>Estudios Latinoamericanos </w:t>
      </w:r>
      <w:r>
        <w:rPr>
          <w:w w:val="110"/>
          <w:sz w:val="16"/>
        </w:rPr>
        <w:t>por  la  universidad  Nacional  autóno- ma de México (uNaM). Profesor titular, universidad Federal de santa Catarina (uFsC), brasil. El texto es una reproducción resumida y actualizada de dos tra- bajos anteriores (Minella, 2009 y 2009a). investigación realizada con apoyo del Consejo Nacional de desarrollo Científico y tecnológico  (CNPq).</w:t>
      </w:r>
    </w:p>
    <w:p>
      <w:pPr>
        <w:pStyle w:val="BodyText"/>
        <w:rPr>
          <w:sz w:val="16"/>
        </w:rPr>
      </w:pPr>
      <w:r>
        <w:rPr/>
        <w:pict>
          <v:line style="position:absolute;mso-position-horizontal-relative:page;mso-position-vertical-relative:paragraph;z-index:5512;mso-wrap-distance-left:0;mso-wrap-distance-right:0" from="51.023701pt,11.600867pt" to="79.369701pt,11.600867pt" stroked="true" strokeweight=".5pt" strokecolor="#000000">
            <w10:wrap type="topAndBottom"/>
          </v:line>
        </w:pict>
      </w:r>
    </w:p>
    <w:p>
      <w:pPr>
        <w:spacing w:line="242" w:lineRule="auto" w:before="89"/>
        <w:ind w:left="120" w:right="328" w:firstLine="0"/>
        <w:jc w:val="both"/>
        <w:rPr>
          <w:sz w:val="16"/>
        </w:rPr>
      </w:pPr>
      <w:r>
        <w:rPr>
          <w:w w:val="100"/>
          <w:sz w:val="16"/>
        </w:rPr>
        <w:t>1</w:t>
      </w:r>
      <w:r>
        <w:rPr>
          <w:sz w:val="16"/>
        </w:rPr>
        <w:t>    </w:t>
      </w:r>
      <w:r>
        <w:rPr>
          <w:spacing w:val="-11"/>
          <w:sz w:val="16"/>
        </w:rPr>
        <w:t> </w:t>
      </w:r>
      <w:r>
        <w:rPr>
          <w:w w:val="238"/>
          <w:sz w:val="16"/>
        </w:rPr>
        <w:t>l</w:t>
      </w:r>
      <w:r>
        <w:rPr>
          <w:w w:val="109"/>
          <w:sz w:val="16"/>
        </w:rPr>
        <w:t>a</w:t>
      </w:r>
      <w:r>
        <w:rPr>
          <w:sz w:val="16"/>
        </w:rPr>
        <w:t> </w:t>
      </w:r>
      <w:r>
        <w:rPr>
          <w:spacing w:val="-6"/>
          <w:sz w:val="16"/>
        </w:rPr>
        <w:t> </w:t>
      </w:r>
      <w:r>
        <w:rPr>
          <w:w w:val="108"/>
          <w:sz w:val="16"/>
        </w:rPr>
        <w:t>historia</w:t>
      </w:r>
      <w:r>
        <w:rPr>
          <w:sz w:val="16"/>
        </w:rPr>
        <w:t> </w:t>
      </w:r>
      <w:r>
        <w:rPr>
          <w:spacing w:val="-6"/>
          <w:sz w:val="16"/>
        </w:rPr>
        <w:t> </w:t>
      </w:r>
      <w:r>
        <w:rPr>
          <w:w w:val="104"/>
          <w:sz w:val="16"/>
        </w:rPr>
        <w:t>de</w:t>
      </w:r>
      <w:r>
        <w:rPr>
          <w:sz w:val="16"/>
        </w:rPr>
        <w:t> </w:t>
      </w:r>
      <w:r>
        <w:rPr>
          <w:spacing w:val="-6"/>
          <w:sz w:val="16"/>
        </w:rPr>
        <w:t> </w:t>
      </w:r>
      <w:r>
        <w:rPr>
          <w:w w:val="109"/>
          <w:sz w:val="16"/>
        </w:rPr>
        <w:t>la</w:t>
      </w:r>
      <w:r>
        <w:rPr>
          <w:sz w:val="16"/>
        </w:rPr>
        <w:t> </w:t>
      </w:r>
      <w:r>
        <w:rPr>
          <w:spacing w:val="-6"/>
          <w:sz w:val="16"/>
        </w:rPr>
        <w:t> </w:t>
      </w:r>
      <w:r>
        <w:rPr>
          <w:w w:val="120"/>
          <w:sz w:val="16"/>
        </w:rPr>
        <w:t>NE</w:t>
      </w:r>
      <w:r>
        <w:rPr>
          <w:w w:val="136"/>
          <w:sz w:val="16"/>
        </w:rPr>
        <w:t>d</w:t>
      </w:r>
      <w:r>
        <w:rPr>
          <w:sz w:val="16"/>
        </w:rPr>
        <w:t> </w:t>
      </w:r>
      <w:r>
        <w:rPr>
          <w:spacing w:val="-6"/>
          <w:sz w:val="16"/>
        </w:rPr>
        <w:t> </w:t>
      </w:r>
      <w:r>
        <w:rPr>
          <w:w w:val="104"/>
          <w:sz w:val="16"/>
        </w:rPr>
        <w:t>desde</w:t>
      </w:r>
      <w:r>
        <w:rPr>
          <w:sz w:val="16"/>
        </w:rPr>
        <w:t> </w:t>
      </w:r>
      <w:r>
        <w:rPr>
          <w:spacing w:val="-6"/>
          <w:sz w:val="16"/>
        </w:rPr>
        <w:t> </w:t>
      </w:r>
      <w:r>
        <w:rPr>
          <w:w w:val="107"/>
          <w:sz w:val="16"/>
        </w:rPr>
        <w:t>su</w:t>
      </w:r>
      <w:r>
        <w:rPr>
          <w:sz w:val="16"/>
        </w:rPr>
        <w:t> </w:t>
      </w:r>
      <w:r>
        <w:rPr>
          <w:spacing w:val="-6"/>
          <w:sz w:val="16"/>
        </w:rPr>
        <w:t> </w:t>
      </w:r>
      <w:r>
        <w:rPr>
          <w:w w:val="107"/>
          <w:sz w:val="16"/>
        </w:rPr>
        <w:t>propia</w:t>
      </w:r>
      <w:r>
        <w:rPr>
          <w:sz w:val="16"/>
        </w:rPr>
        <w:t> </w:t>
      </w:r>
      <w:r>
        <w:rPr>
          <w:spacing w:val="-6"/>
          <w:sz w:val="16"/>
        </w:rPr>
        <w:t> </w:t>
      </w:r>
      <w:r>
        <w:rPr>
          <w:w w:val="105"/>
          <w:sz w:val="16"/>
        </w:rPr>
        <w:t>perspectiva</w:t>
      </w:r>
      <w:r>
        <w:rPr>
          <w:sz w:val="16"/>
        </w:rPr>
        <w:t> </w:t>
      </w:r>
      <w:r>
        <w:rPr>
          <w:spacing w:val="-6"/>
          <w:sz w:val="16"/>
        </w:rPr>
        <w:t> </w:t>
      </w:r>
      <w:r>
        <w:rPr>
          <w:w w:val="102"/>
          <w:sz w:val="16"/>
        </w:rPr>
        <w:t>se</w:t>
      </w:r>
      <w:r>
        <w:rPr>
          <w:sz w:val="16"/>
        </w:rPr>
        <w:t> </w:t>
      </w:r>
      <w:r>
        <w:rPr>
          <w:spacing w:val="-6"/>
          <w:sz w:val="16"/>
        </w:rPr>
        <w:t> </w:t>
      </w:r>
      <w:r>
        <w:rPr>
          <w:w w:val="105"/>
          <w:sz w:val="16"/>
        </w:rPr>
        <w:t>presenta</w:t>
      </w:r>
      <w:r>
        <w:rPr>
          <w:sz w:val="16"/>
        </w:rPr>
        <w:t> </w:t>
      </w:r>
      <w:r>
        <w:rPr>
          <w:spacing w:val="-6"/>
          <w:sz w:val="16"/>
        </w:rPr>
        <w:t> </w:t>
      </w:r>
      <w:r>
        <w:rPr>
          <w:w w:val="106"/>
          <w:sz w:val="16"/>
        </w:rPr>
        <w:t>en</w:t>
      </w:r>
      <w:r>
        <w:rPr>
          <w:sz w:val="16"/>
        </w:rPr>
        <w:t> </w:t>
      </w:r>
      <w:r>
        <w:rPr>
          <w:spacing w:val="-6"/>
          <w:sz w:val="16"/>
        </w:rPr>
        <w:t> </w:t>
      </w:r>
      <w:r>
        <w:rPr>
          <w:w w:val="108"/>
          <w:sz w:val="16"/>
        </w:rPr>
        <w:t>artículos</w:t>
      </w:r>
      <w:r>
        <w:rPr>
          <w:sz w:val="16"/>
        </w:rPr>
        <w:t> </w:t>
      </w:r>
      <w:r>
        <w:rPr>
          <w:spacing w:val="-6"/>
          <w:sz w:val="16"/>
        </w:rPr>
        <w:t> </w:t>
      </w:r>
      <w:r>
        <w:rPr>
          <w:w w:val="104"/>
          <w:sz w:val="16"/>
        </w:rPr>
        <w:t>de </w:t>
      </w:r>
      <w:r>
        <w:rPr>
          <w:w w:val="238"/>
          <w:sz w:val="16"/>
        </w:rPr>
        <w:t>l</w:t>
      </w:r>
      <w:r>
        <w:rPr>
          <w:w w:val="104"/>
          <w:sz w:val="16"/>
        </w:rPr>
        <w:t>owe</w:t>
      </w:r>
      <w:r>
        <w:rPr>
          <w:spacing w:val="9"/>
          <w:sz w:val="16"/>
        </w:rPr>
        <w:t> </w:t>
      </w:r>
      <w:r>
        <w:rPr>
          <w:w w:val="102"/>
          <w:sz w:val="16"/>
        </w:rPr>
        <w:t>(2008,</w:t>
      </w:r>
      <w:r>
        <w:rPr>
          <w:spacing w:val="10"/>
          <w:sz w:val="16"/>
        </w:rPr>
        <w:t> </w:t>
      </w:r>
      <w:r>
        <w:rPr>
          <w:w w:val="102"/>
          <w:sz w:val="16"/>
        </w:rPr>
        <w:t>2015).</w:t>
      </w:r>
      <w:r>
        <w:rPr>
          <w:spacing w:val="9"/>
          <w:sz w:val="16"/>
        </w:rPr>
        <w:t> </w:t>
      </w:r>
      <w:r>
        <w:rPr>
          <w:w w:val="108"/>
          <w:sz w:val="16"/>
        </w:rPr>
        <w:t>Para</w:t>
      </w:r>
      <w:r>
        <w:rPr>
          <w:spacing w:val="10"/>
          <w:sz w:val="16"/>
        </w:rPr>
        <w:t> </w:t>
      </w:r>
      <w:r>
        <w:rPr>
          <w:w w:val="110"/>
          <w:sz w:val="16"/>
        </w:rPr>
        <w:t>un</w:t>
      </w:r>
      <w:r>
        <w:rPr>
          <w:spacing w:val="9"/>
          <w:sz w:val="16"/>
        </w:rPr>
        <w:t> </w:t>
      </w:r>
      <w:r>
        <w:rPr>
          <w:w w:val="108"/>
          <w:sz w:val="16"/>
        </w:rPr>
        <w:t>análisis</w:t>
      </w:r>
      <w:r>
        <w:rPr>
          <w:spacing w:val="10"/>
          <w:sz w:val="16"/>
        </w:rPr>
        <w:t> </w:t>
      </w:r>
      <w:r>
        <w:rPr>
          <w:w w:val="108"/>
          <w:sz w:val="16"/>
        </w:rPr>
        <w:t>más</w:t>
      </w:r>
      <w:r>
        <w:rPr>
          <w:spacing w:val="9"/>
          <w:sz w:val="16"/>
        </w:rPr>
        <w:t> </w:t>
      </w:r>
      <w:r>
        <w:rPr>
          <w:w w:val="107"/>
          <w:sz w:val="16"/>
        </w:rPr>
        <w:t>detallado</w:t>
      </w:r>
      <w:r>
        <w:rPr>
          <w:spacing w:val="9"/>
          <w:sz w:val="16"/>
        </w:rPr>
        <w:t> </w:t>
      </w:r>
      <w:r>
        <w:rPr>
          <w:w w:val="104"/>
          <w:sz w:val="16"/>
        </w:rPr>
        <w:t>de</w:t>
      </w:r>
      <w:r>
        <w:rPr>
          <w:spacing w:val="9"/>
          <w:sz w:val="16"/>
        </w:rPr>
        <w:t> </w:t>
      </w:r>
      <w:r>
        <w:rPr>
          <w:w w:val="109"/>
          <w:sz w:val="16"/>
        </w:rPr>
        <w:t>la</w:t>
      </w:r>
      <w:r>
        <w:rPr>
          <w:spacing w:val="9"/>
          <w:sz w:val="16"/>
        </w:rPr>
        <w:t> </w:t>
      </w:r>
      <w:r>
        <w:rPr>
          <w:w w:val="110"/>
          <w:sz w:val="16"/>
        </w:rPr>
        <w:t>formación</w:t>
      </w:r>
      <w:r>
        <w:rPr>
          <w:spacing w:val="9"/>
          <w:sz w:val="16"/>
        </w:rPr>
        <w:t> </w:t>
      </w:r>
      <w:r>
        <w:rPr>
          <w:w w:val="102"/>
          <w:sz w:val="16"/>
        </w:rPr>
        <w:t>y</w:t>
      </w:r>
      <w:r>
        <w:rPr>
          <w:spacing w:val="10"/>
          <w:sz w:val="16"/>
        </w:rPr>
        <w:t> </w:t>
      </w:r>
      <w:r>
        <w:rPr>
          <w:w w:val="110"/>
          <w:sz w:val="16"/>
        </w:rPr>
        <w:t>actuación</w:t>
      </w:r>
      <w:r>
        <w:rPr>
          <w:spacing w:val="9"/>
          <w:sz w:val="16"/>
        </w:rPr>
        <w:t> </w:t>
      </w:r>
      <w:r>
        <w:rPr>
          <w:w w:val="104"/>
          <w:sz w:val="16"/>
        </w:rPr>
        <w:t>de</w:t>
      </w:r>
      <w:r>
        <w:rPr>
          <w:spacing w:val="9"/>
          <w:sz w:val="16"/>
        </w:rPr>
        <w:t> </w:t>
      </w:r>
      <w:r>
        <w:rPr>
          <w:w w:val="109"/>
          <w:sz w:val="16"/>
        </w:rPr>
        <w:t>la </w:t>
      </w:r>
      <w:r>
        <w:rPr>
          <w:w w:val="115"/>
          <w:sz w:val="16"/>
        </w:rPr>
        <w:t>NEd,</w:t>
      </w:r>
      <w:r>
        <w:rPr>
          <w:spacing w:val="-21"/>
          <w:w w:val="115"/>
          <w:sz w:val="16"/>
        </w:rPr>
        <w:t> </w:t>
      </w:r>
      <w:r>
        <w:rPr>
          <w:w w:val="115"/>
          <w:sz w:val="16"/>
        </w:rPr>
        <w:t>ver</w:t>
      </w:r>
      <w:r>
        <w:rPr>
          <w:spacing w:val="-21"/>
          <w:w w:val="115"/>
          <w:sz w:val="16"/>
        </w:rPr>
        <w:t> </w:t>
      </w:r>
      <w:r>
        <w:rPr>
          <w:w w:val="115"/>
          <w:sz w:val="16"/>
        </w:rPr>
        <w:t>robinson</w:t>
      </w:r>
      <w:r>
        <w:rPr>
          <w:spacing w:val="-21"/>
          <w:w w:val="115"/>
          <w:sz w:val="16"/>
        </w:rPr>
        <w:t> </w:t>
      </w:r>
      <w:r>
        <w:rPr>
          <w:w w:val="115"/>
          <w:sz w:val="16"/>
        </w:rPr>
        <w:t>(1998),</w:t>
      </w:r>
      <w:r>
        <w:rPr>
          <w:spacing w:val="-21"/>
          <w:w w:val="115"/>
          <w:sz w:val="16"/>
        </w:rPr>
        <w:t> </w:t>
      </w:r>
      <w:r>
        <w:rPr>
          <w:w w:val="115"/>
          <w:sz w:val="16"/>
        </w:rPr>
        <w:t>Golinger</w:t>
      </w:r>
      <w:r>
        <w:rPr>
          <w:spacing w:val="-21"/>
          <w:w w:val="115"/>
          <w:sz w:val="16"/>
        </w:rPr>
        <w:t> </w:t>
      </w:r>
      <w:r>
        <w:rPr>
          <w:w w:val="115"/>
          <w:sz w:val="16"/>
        </w:rPr>
        <w:t>(2005</w:t>
      </w:r>
      <w:r>
        <w:rPr>
          <w:spacing w:val="-21"/>
          <w:w w:val="115"/>
          <w:sz w:val="16"/>
        </w:rPr>
        <w:t> </w:t>
      </w:r>
      <w:r>
        <w:rPr>
          <w:w w:val="115"/>
          <w:sz w:val="16"/>
        </w:rPr>
        <w:t>y</w:t>
      </w:r>
      <w:r>
        <w:rPr>
          <w:spacing w:val="-21"/>
          <w:w w:val="115"/>
          <w:sz w:val="16"/>
        </w:rPr>
        <w:t> </w:t>
      </w:r>
      <w:r>
        <w:rPr>
          <w:w w:val="115"/>
          <w:sz w:val="16"/>
        </w:rPr>
        <w:t>2006),</w:t>
      </w:r>
      <w:r>
        <w:rPr>
          <w:spacing w:val="-21"/>
          <w:w w:val="115"/>
          <w:sz w:val="16"/>
        </w:rPr>
        <w:t> </w:t>
      </w:r>
      <w:r>
        <w:rPr>
          <w:w w:val="115"/>
          <w:sz w:val="16"/>
        </w:rPr>
        <w:t>especialmente</w:t>
      </w:r>
      <w:r>
        <w:rPr>
          <w:spacing w:val="-21"/>
          <w:w w:val="115"/>
          <w:sz w:val="16"/>
        </w:rPr>
        <w:t> </w:t>
      </w:r>
      <w:r>
        <w:rPr>
          <w:w w:val="115"/>
          <w:sz w:val="16"/>
        </w:rPr>
        <w:t>para</w:t>
      </w:r>
      <w:r>
        <w:rPr>
          <w:spacing w:val="-21"/>
          <w:w w:val="115"/>
          <w:sz w:val="16"/>
        </w:rPr>
        <w:t> </w:t>
      </w:r>
      <w:r>
        <w:rPr>
          <w:w w:val="115"/>
          <w:sz w:val="16"/>
        </w:rPr>
        <w:t>la</w:t>
      </w:r>
      <w:r>
        <w:rPr>
          <w:spacing w:val="-21"/>
          <w:w w:val="115"/>
          <w:sz w:val="16"/>
        </w:rPr>
        <w:t> </w:t>
      </w:r>
      <w:r>
        <w:rPr>
          <w:w w:val="115"/>
          <w:sz w:val="16"/>
        </w:rPr>
        <w:t>acción</w:t>
      </w:r>
      <w:r>
        <w:rPr>
          <w:spacing w:val="-21"/>
          <w:w w:val="115"/>
          <w:sz w:val="16"/>
        </w:rPr>
        <w:t> </w:t>
      </w:r>
      <w:r>
        <w:rPr>
          <w:w w:val="115"/>
          <w:sz w:val="16"/>
        </w:rPr>
        <w:t>de la</w:t>
      </w:r>
      <w:r>
        <w:rPr>
          <w:spacing w:val="-23"/>
          <w:w w:val="115"/>
          <w:sz w:val="16"/>
        </w:rPr>
        <w:t> </w:t>
      </w:r>
      <w:r>
        <w:rPr>
          <w:w w:val="115"/>
          <w:sz w:val="16"/>
        </w:rPr>
        <w:t>NEd</w:t>
      </w:r>
      <w:r>
        <w:rPr>
          <w:spacing w:val="-23"/>
          <w:w w:val="115"/>
          <w:sz w:val="16"/>
        </w:rPr>
        <w:t> </w:t>
      </w:r>
      <w:r>
        <w:rPr>
          <w:w w:val="115"/>
          <w:sz w:val="16"/>
        </w:rPr>
        <w:t>en</w:t>
      </w:r>
      <w:r>
        <w:rPr>
          <w:spacing w:val="-23"/>
          <w:w w:val="115"/>
          <w:sz w:val="16"/>
        </w:rPr>
        <w:t> </w:t>
      </w:r>
      <w:r>
        <w:rPr>
          <w:w w:val="115"/>
          <w:sz w:val="16"/>
        </w:rPr>
        <w:t>Venezuela</w:t>
      </w:r>
      <w:r>
        <w:rPr>
          <w:spacing w:val="-23"/>
          <w:w w:val="115"/>
          <w:sz w:val="16"/>
        </w:rPr>
        <w:t> </w:t>
      </w:r>
      <w:r>
        <w:rPr>
          <w:w w:val="115"/>
          <w:sz w:val="16"/>
        </w:rPr>
        <w:t>(Minella,</w:t>
      </w:r>
      <w:r>
        <w:rPr>
          <w:spacing w:val="-23"/>
          <w:w w:val="115"/>
          <w:sz w:val="16"/>
        </w:rPr>
        <w:t> </w:t>
      </w:r>
      <w:r>
        <w:rPr>
          <w:w w:val="115"/>
          <w:sz w:val="16"/>
        </w:rPr>
        <w:t>2009).</w:t>
      </w:r>
    </w:p>
    <w:p>
      <w:pPr>
        <w:pStyle w:val="BodyText"/>
        <w:spacing w:before="1"/>
        <w:rPr>
          <w:sz w:val="25"/>
        </w:rPr>
      </w:pPr>
    </w:p>
    <w:p>
      <w:pPr>
        <w:pStyle w:val="Heading7"/>
        <w:spacing w:line="240" w:lineRule="auto" w:before="65"/>
        <w:ind w:left="1041" w:right="1249"/>
        <w:jc w:val="center"/>
      </w:pPr>
      <w:r>
        <w:rPr/>
        <w:t>219</w:t>
      </w:r>
    </w:p>
    <w:p>
      <w:pPr>
        <w:spacing w:after="0" w:line="240" w:lineRule="auto"/>
        <w:jc w:val="center"/>
        <w:sectPr>
          <w:headerReference w:type="even" r:id="rId307"/>
          <w:footerReference w:type="even" r:id="rId308"/>
          <w:pgSz w:w="8790" w:h="12760"/>
          <w:pgMar w:header="0" w:footer="0" w:top="1180" w:bottom="280" w:left="900" w:right="1200"/>
        </w:sectPr>
      </w:pPr>
    </w:p>
    <w:p>
      <w:pPr>
        <w:pStyle w:val="BodyText"/>
        <w:spacing w:before="6"/>
        <w:rPr>
          <w:sz w:val="28"/>
        </w:rPr>
      </w:pPr>
    </w:p>
    <w:p>
      <w:pPr>
        <w:spacing w:line="252" w:lineRule="auto" w:before="74"/>
        <w:ind w:left="330" w:right="118" w:firstLine="0"/>
        <w:jc w:val="both"/>
        <w:rPr>
          <w:sz w:val="19"/>
        </w:rPr>
      </w:pPr>
      <w:r>
        <w:rPr>
          <w:w w:val="115"/>
          <w:sz w:val="19"/>
        </w:rPr>
        <w:t>denominado </w:t>
      </w:r>
      <w:r>
        <w:rPr>
          <w:i/>
          <w:w w:val="115"/>
          <w:sz w:val="19"/>
        </w:rPr>
        <w:t>International Republican Institute </w:t>
      </w:r>
      <w:r>
        <w:rPr>
          <w:w w:val="115"/>
          <w:sz w:val="19"/>
        </w:rPr>
        <w:t>(iri)</w:t>
      </w:r>
      <w:r>
        <w:rPr>
          <w:w w:val="115"/>
          <w:position w:val="6"/>
          <w:sz w:val="11"/>
        </w:rPr>
        <w:t>2</w:t>
      </w:r>
      <w:r>
        <w:rPr>
          <w:w w:val="115"/>
          <w:sz w:val="19"/>
        </w:rPr>
        <w:t>.también se</w:t>
      </w:r>
      <w:r>
        <w:rPr>
          <w:spacing w:val="-8"/>
          <w:w w:val="115"/>
          <w:sz w:val="19"/>
        </w:rPr>
        <w:t> </w:t>
      </w:r>
      <w:r>
        <w:rPr>
          <w:w w:val="115"/>
          <w:sz w:val="19"/>
        </w:rPr>
        <w:t>afi- lió a la NEd el </w:t>
      </w:r>
      <w:r>
        <w:rPr>
          <w:i/>
          <w:w w:val="115"/>
          <w:sz w:val="19"/>
        </w:rPr>
        <w:t>Free </w:t>
      </w:r>
      <w:r>
        <w:rPr>
          <w:i/>
          <w:spacing w:val="-5"/>
          <w:w w:val="115"/>
          <w:sz w:val="19"/>
        </w:rPr>
        <w:t>Trade </w:t>
      </w:r>
      <w:r>
        <w:rPr>
          <w:i/>
          <w:w w:val="115"/>
          <w:sz w:val="19"/>
        </w:rPr>
        <w:t>Union Institute </w:t>
      </w:r>
      <w:r>
        <w:rPr>
          <w:w w:val="115"/>
          <w:sz w:val="19"/>
        </w:rPr>
        <w:t>(Ftui), uno de los</w:t>
      </w:r>
      <w:r>
        <w:rPr>
          <w:spacing w:val="-23"/>
          <w:w w:val="115"/>
          <w:sz w:val="19"/>
        </w:rPr>
        <w:t> </w:t>
      </w:r>
      <w:r>
        <w:rPr>
          <w:w w:val="115"/>
          <w:sz w:val="19"/>
        </w:rPr>
        <w:t>institutos creados por la </w:t>
      </w:r>
      <w:r>
        <w:rPr>
          <w:i/>
          <w:w w:val="115"/>
          <w:sz w:val="19"/>
        </w:rPr>
        <w:t>American Federation of Labor –Congress of</w:t>
      </w:r>
      <w:r>
        <w:rPr>
          <w:i/>
          <w:spacing w:val="-12"/>
          <w:w w:val="115"/>
          <w:sz w:val="19"/>
        </w:rPr>
        <w:t> </w:t>
      </w:r>
      <w:r>
        <w:rPr>
          <w:i/>
          <w:w w:val="115"/>
          <w:sz w:val="19"/>
        </w:rPr>
        <w:t>Industrial </w:t>
      </w:r>
      <w:r>
        <w:rPr>
          <w:i/>
          <w:w w:val="115"/>
          <w:sz w:val="19"/>
        </w:rPr>
        <w:t>organizations </w:t>
      </w:r>
      <w:r>
        <w:rPr>
          <w:w w:val="115"/>
          <w:sz w:val="19"/>
        </w:rPr>
        <w:t>(aFl-Cio)– para su actividad en el </w:t>
      </w:r>
      <w:r>
        <w:rPr>
          <w:spacing w:val="-3"/>
          <w:w w:val="115"/>
          <w:sz w:val="19"/>
        </w:rPr>
        <w:t>exterior. </w:t>
      </w:r>
      <w:r>
        <w:rPr>
          <w:w w:val="115"/>
          <w:sz w:val="19"/>
        </w:rPr>
        <w:t>En 1997, la</w:t>
      </w:r>
      <w:r>
        <w:rPr>
          <w:spacing w:val="-13"/>
          <w:w w:val="115"/>
          <w:sz w:val="19"/>
        </w:rPr>
        <w:t> </w:t>
      </w:r>
      <w:r>
        <w:rPr>
          <w:w w:val="125"/>
          <w:sz w:val="19"/>
        </w:rPr>
        <w:t>aFl-Cio</w:t>
      </w:r>
      <w:r>
        <w:rPr>
          <w:spacing w:val="-17"/>
          <w:w w:val="125"/>
          <w:sz w:val="19"/>
        </w:rPr>
        <w:t> </w:t>
      </w:r>
      <w:r>
        <w:rPr>
          <w:w w:val="115"/>
          <w:sz w:val="19"/>
        </w:rPr>
        <w:t>unificó</w:t>
      </w:r>
      <w:r>
        <w:rPr>
          <w:spacing w:val="-13"/>
          <w:w w:val="115"/>
          <w:sz w:val="19"/>
        </w:rPr>
        <w:t> </w:t>
      </w:r>
      <w:r>
        <w:rPr>
          <w:w w:val="115"/>
          <w:sz w:val="19"/>
        </w:rPr>
        <w:t>sus</w:t>
      </w:r>
      <w:r>
        <w:rPr>
          <w:spacing w:val="-13"/>
          <w:w w:val="115"/>
          <w:sz w:val="19"/>
        </w:rPr>
        <w:t> </w:t>
      </w:r>
      <w:r>
        <w:rPr>
          <w:w w:val="115"/>
          <w:sz w:val="19"/>
        </w:rPr>
        <w:t>cuatro</w:t>
      </w:r>
      <w:r>
        <w:rPr>
          <w:spacing w:val="-13"/>
          <w:w w:val="115"/>
          <w:sz w:val="19"/>
        </w:rPr>
        <w:t> </w:t>
      </w:r>
      <w:r>
        <w:rPr>
          <w:w w:val="115"/>
          <w:sz w:val="19"/>
        </w:rPr>
        <w:t>institutos</w:t>
      </w:r>
      <w:r>
        <w:rPr>
          <w:spacing w:val="-13"/>
          <w:w w:val="115"/>
          <w:sz w:val="19"/>
        </w:rPr>
        <w:t> </w:t>
      </w:r>
      <w:r>
        <w:rPr>
          <w:w w:val="115"/>
          <w:sz w:val="19"/>
        </w:rPr>
        <w:t>de</w:t>
      </w:r>
      <w:r>
        <w:rPr>
          <w:spacing w:val="-13"/>
          <w:w w:val="115"/>
          <w:sz w:val="19"/>
        </w:rPr>
        <w:t> </w:t>
      </w:r>
      <w:r>
        <w:rPr>
          <w:w w:val="115"/>
          <w:sz w:val="19"/>
        </w:rPr>
        <w:t>intervención</w:t>
      </w:r>
      <w:r>
        <w:rPr>
          <w:spacing w:val="-13"/>
          <w:w w:val="115"/>
          <w:sz w:val="19"/>
        </w:rPr>
        <w:t> </w:t>
      </w:r>
      <w:r>
        <w:rPr>
          <w:w w:val="115"/>
          <w:sz w:val="19"/>
        </w:rPr>
        <w:t>en</w:t>
      </w:r>
      <w:r>
        <w:rPr>
          <w:spacing w:val="-13"/>
          <w:w w:val="115"/>
          <w:sz w:val="19"/>
        </w:rPr>
        <w:t> </w:t>
      </w:r>
      <w:r>
        <w:rPr>
          <w:w w:val="115"/>
          <w:sz w:val="19"/>
        </w:rPr>
        <w:t>el</w:t>
      </w:r>
      <w:r>
        <w:rPr>
          <w:spacing w:val="-13"/>
          <w:w w:val="115"/>
          <w:sz w:val="19"/>
        </w:rPr>
        <w:t> </w:t>
      </w:r>
      <w:r>
        <w:rPr>
          <w:w w:val="115"/>
          <w:sz w:val="19"/>
        </w:rPr>
        <w:t>exterior y creó el </w:t>
      </w:r>
      <w:r>
        <w:rPr>
          <w:i/>
          <w:w w:val="115"/>
          <w:sz w:val="19"/>
        </w:rPr>
        <w:t>American Center for International Labor Solidarity </w:t>
      </w:r>
      <w:r>
        <w:rPr>
          <w:w w:val="125"/>
          <w:sz w:val="19"/>
        </w:rPr>
        <w:t>(aCils), </w:t>
      </w:r>
      <w:r>
        <w:rPr>
          <w:w w:val="115"/>
          <w:sz w:val="19"/>
        </w:rPr>
        <w:t>también</w:t>
      </w:r>
      <w:r>
        <w:rPr>
          <w:spacing w:val="-29"/>
          <w:w w:val="115"/>
          <w:sz w:val="19"/>
        </w:rPr>
        <w:t> </w:t>
      </w:r>
      <w:r>
        <w:rPr>
          <w:w w:val="115"/>
          <w:sz w:val="19"/>
        </w:rPr>
        <w:t>conocido</w:t>
      </w:r>
      <w:r>
        <w:rPr>
          <w:spacing w:val="-29"/>
          <w:w w:val="115"/>
          <w:sz w:val="19"/>
        </w:rPr>
        <w:t> </w:t>
      </w:r>
      <w:r>
        <w:rPr>
          <w:w w:val="115"/>
          <w:sz w:val="19"/>
        </w:rPr>
        <w:t>como</w:t>
      </w:r>
      <w:r>
        <w:rPr>
          <w:spacing w:val="-29"/>
          <w:w w:val="115"/>
          <w:sz w:val="19"/>
        </w:rPr>
        <w:t> </w:t>
      </w:r>
      <w:r>
        <w:rPr>
          <w:i/>
          <w:w w:val="115"/>
          <w:sz w:val="19"/>
        </w:rPr>
        <w:t>Solidarity</w:t>
      </w:r>
      <w:r>
        <w:rPr>
          <w:i/>
          <w:spacing w:val="-29"/>
          <w:w w:val="115"/>
          <w:sz w:val="19"/>
        </w:rPr>
        <w:t> </w:t>
      </w:r>
      <w:r>
        <w:rPr>
          <w:i/>
          <w:w w:val="115"/>
          <w:sz w:val="19"/>
        </w:rPr>
        <w:t>Center</w:t>
      </w:r>
      <w:r>
        <w:rPr>
          <w:w w:val="115"/>
          <w:position w:val="6"/>
          <w:sz w:val="11"/>
        </w:rPr>
        <w:t>3</w:t>
      </w:r>
      <w:r>
        <w:rPr>
          <w:w w:val="115"/>
          <w:sz w:val="19"/>
        </w:rPr>
        <w:t>.</w:t>
      </w:r>
    </w:p>
    <w:p>
      <w:pPr>
        <w:pStyle w:val="BodyText"/>
        <w:spacing w:line="252" w:lineRule="auto"/>
        <w:ind w:left="330" w:right="117" w:firstLine="396"/>
        <w:jc w:val="both"/>
      </w:pPr>
      <w:r>
        <w:rPr>
          <w:w w:val="115"/>
        </w:rPr>
        <w:t>así, la estructura de la NEd representa una articulación estra- tégica</w:t>
      </w:r>
      <w:r>
        <w:rPr>
          <w:spacing w:val="-10"/>
          <w:w w:val="115"/>
        </w:rPr>
        <w:t> </w:t>
      </w:r>
      <w:r>
        <w:rPr>
          <w:w w:val="115"/>
        </w:rPr>
        <w:t>entre</w:t>
      </w:r>
      <w:r>
        <w:rPr>
          <w:spacing w:val="-10"/>
          <w:w w:val="115"/>
        </w:rPr>
        <w:t> </w:t>
      </w:r>
      <w:r>
        <w:rPr>
          <w:w w:val="115"/>
        </w:rPr>
        <w:t>el</w:t>
      </w:r>
      <w:r>
        <w:rPr>
          <w:spacing w:val="-10"/>
          <w:w w:val="115"/>
        </w:rPr>
        <w:t> </w:t>
      </w:r>
      <w:r>
        <w:rPr>
          <w:w w:val="115"/>
        </w:rPr>
        <w:t>Estado</w:t>
      </w:r>
      <w:r>
        <w:rPr>
          <w:spacing w:val="-10"/>
          <w:w w:val="115"/>
        </w:rPr>
        <w:t> </w:t>
      </w:r>
      <w:r>
        <w:rPr>
          <w:w w:val="115"/>
        </w:rPr>
        <w:t>norteamericano,</w:t>
      </w:r>
      <w:r>
        <w:rPr>
          <w:spacing w:val="-10"/>
          <w:w w:val="115"/>
        </w:rPr>
        <w:t> </w:t>
      </w:r>
      <w:r>
        <w:rPr>
          <w:w w:val="115"/>
        </w:rPr>
        <w:t>los</w:t>
      </w:r>
      <w:r>
        <w:rPr>
          <w:spacing w:val="-10"/>
          <w:w w:val="115"/>
        </w:rPr>
        <w:t> </w:t>
      </w:r>
      <w:r>
        <w:rPr>
          <w:w w:val="115"/>
        </w:rPr>
        <w:t>dos</w:t>
      </w:r>
      <w:r>
        <w:rPr>
          <w:spacing w:val="-10"/>
          <w:w w:val="115"/>
        </w:rPr>
        <w:t> </w:t>
      </w:r>
      <w:r>
        <w:rPr>
          <w:w w:val="115"/>
        </w:rPr>
        <w:t>partidos</w:t>
      </w:r>
      <w:r>
        <w:rPr>
          <w:spacing w:val="-10"/>
          <w:w w:val="115"/>
        </w:rPr>
        <w:t> </w:t>
      </w:r>
      <w:r>
        <w:rPr>
          <w:w w:val="115"/>
        </w:rPr>
        <w:t>políticos</w:t>
      </w:r>
      <w:r>
        <w:rPr>
          <w:spacing w:val="-10"/>
          <w:w w:val="115"/>
        </w:rPr>
        <w:t> </w:t>
      </w:r>
      <w:r>
        <w:rPr>
          <w:w w:val="115"/>
        </w:rPr>
        <w:t>do- minantes, las corporaciones (por medio del CiPE) estadounidenses </w:t>
      </w:r>
      <w:r>
        <w:rPr>
          <w:w w:val="105"/>
        </w:rPr>
        <w:t>y</w:t>
      </w:r>
      <w:r>
        <w:rPr/>
        <w:t> </w:t>
      </w:r>
      <w:r>
        <w:rPr>
          <w:spacing w:val="-6"/>
        </w:rPr>
        <w:t> </w:t>
      </w:r>
      <w:r>
        <w:rPr>
          <w:w w:val="111"/>
        </w:rPr>
        <w:t>la</w:t>
      </w:r>
      <w:r>
        <w:rPr/>
        <w:t> </w:t>
      </w:r>
      <w:r>
        <w:rPr>
          <w:spacing w:val="-6"/>
        </w:rPr>
        <w:t> </w:t>
      </w:r>
      <w:r>
        <w:rPr>
          <w:w w:val="112"/>
        </w:rPr>
        <w:t>cúpula</w:t>
      </w:r>
      <w:r>
        <w:rPr/>
        <w:t> </w:t>
      </w:r>
      <w:r>
        <w:rPr>
          <w:spacing w:val="-6"/>
        </w:rPr>
        <w:t> </w:t>
      </w:r>
      <w:r>
        <w:rPr>
          <w:w w:val="107"/>
        </w:rPr>
        <w:t>del</w:t>
      </w:r>
      <w:r>
        <w:rPr/>
        <w:t> </w:t>
      </w:r>
      <w:r>
        <w:rPr>
          <w:spacing w:val="-6"/>
        </w:rPr>
        <w:t> </w:t>
      </w:r>
      <w:r>
        <w:rPr>
          <w:w w:val="110"/>
        </w:rPr>
        <w:t>movimiento</w:t>
      </w:r>
      <w:r>
        <w:rPr/>
        <w:t> </w:t>
      </w:r>
      <w:r>
        <w:rPr>
          <w:spacing w:val="-6"/>
        </w:rPr>
        <w:t> </w:t>
      </w:r>
      <w:r>
        <w:rPr>
          <w:w w:val="113"/>
        </w:rPr>
        <w:t>sindical.</w:t>
      </w:r>
      <w:r>
        <w:rPr/>
        <w:t> </w:t>
      </w:r>
      <w:r>
        <w:rPr>
          <w:spacing w:val="-6"/>
        </w:rPr>
        <w:t> </w:t>
      </w:r>
      <w:r>
        <w:rPr>
          <w:w w:val="149"/>
        </w:rPr>
        <w:t>s</w:t>
      </w:r>
      <w:r>
        <w:rPr>
          <w:w w:val="110"/>
        </w:rPr>
        <w:t>iguiendo</w:t>
      </w:r>
      <w:r>
        <w:rPr/>
        <w:t> </w:t>
      </w:r>
      <w:r>
        <w:rPr>
          <w:spacing w:val="-6"/>
        </w:rPr>
        <w:t> </w:t>
      </w:r>
      <w:r>
        <w:rPr>
          <w:w w:val="112"/>
        </w:rPr>
        <w:t>a</w:t>
      </w:r>
      <w:r>
        <w:rPr/>
        <w:t> </w:t>
      </w:r>
      <w:r>
        <w:rPr>
          <w:spacing w:val="-6"/>
        </w:rPr>
        <w:t> </w:t>
      </w:r>
      <w:r>
        <w:rPr>
          <w:w w:val="243"/>
        </w:rPr>
        <w:t>l</w:t>
      </w:r>
      <w:r>
        <w:rPr>
          <w:w w:val="106"/>
        </w:rPr>
        <w:t>owe</w:t>
      </w:r>
      <w:r>
        <w:rPr/>
        <w:t> </w:t>
      </w:r>
      <w:r>
        <w:rPr>
          <w:spacing w:val="-6"/>
        </w:rPr>
        <w:t> </w:t>
      </w:r>
      <w:r>
        <w:rPr>
          <w:w w:val="103"/>
        </w:rPr>
        <w:t>(2008),</w:t>
      </w:r>
      <w:r>
        <w:rPr/>
        <w:t> </w:t>
      </w:r>
      <w:r>
        <w:rPr>
          <w:spacing w:val="-6"/>
        </w:rPr>
        <w:t> </w:t>
      </w:r>
      <w:r>
        <w:rPr>
          <w:w w:val="110"/>
        </w:rPr>
        <w:t>alto </w:t>
      </w:r>
      <w:r>
        <w:rPr>
          <w:w w:val="115"/>
        </w:rPr>
        <w:t>directivo</w:t>
      </w:r>
      <w:r>
        <w:rPr>
          <w:spacing w:val="-5"/>
          <w:w w:val="115"/>
        </w:rPr>
        <w:t> </w:t>
      </w:r>
      <w:r>
        <w:rPr>
          <w:w w:val="115"/>
        </w:rPr>
        <w:t>de</w:t>
      </w:r>
      <w:r>
        <w:rPr>
          <w:spacing w:val="-5"/>
          <w:w w:val="115"/>
        </w:rPr>
        <w:t> </w:t>
      </w:r>
      <w:r>
        <w:rPr>
          <w:w w:val="115"/>
        </w:rPr>
        <w:t>la</w:t>
      </w:r>
      <w:r>
        <w:rPr>
          <w:spacing w:val="-5"/>
          <w:w w:val="115"/>
        </w:rPr>
        <w:t> </w:t>
      </w:r>
      <w:r>
        <w:rPr>
          <w:w w:val="115"/>
        </w:rPr>
        <w:t>organización,</w:t>
      </w:r>
      <w:r>
        <w:rPr>
          <w:spacing w:val="-5"/>
          <w:w w:val="115"/>
        </w:rPr>
        <w:t> </w:t>
      </w:r>
      <w:r>
        <w:rPr>
          <w:w w:val="115"/>
        </w:rPr>
        <w:t>los</w:t>
      </w:r>
      <w:r>
        <w:rPr>
          <w:spacing w:val="-5"/>
          <w:w w:val="115"/>
        </w:rPr>
        <w:t> </w:t>
      </w:r>
      <w:r>
        <w:rPr>
          <w:w w:val="115"/>
        </w:rPr>
        <w:t>objetivos</w:t>
      </w:r>
      <w:r>
        <w:rPr>
          <w:spacing w:val="-5"/>
          <w:w w:val="115"/>
        </w:rPr>
        <w:t> </w:t>
      </w:r>
      <w:r>
        <w:rPr>
          <w:w w:val="115"/>
        </w:rPr>
        <w:t>de</w:t>
      </w:r>
      <w:r>
        <w:rPr>
          <w:spacing w:val="-5"/>
          <w:w w:val="115"/>
        </w:rPr>
        <w:t> </w:t>
      </w:r>
      <w:r>
        <w:rPr>
          <w:w w:val="115"/>
        </w:rPr>
        <w:t>la</w:t>
      </w:r>
      <w:r>
        <w:rPr>
          <w:spacing w:val="-5"/>
          <w:w w:val="115"/>
        </w:rPr>
        <w:t> </w:t>
      </w:r>
      <w:r>
        <w:rPr>
          <w:w w:val="115"/>
        </w:rPr>
        <w:t>NEd,</w:t>
      </w:r>
      <w:r>
        <w:rPr>
          <w:spacing w:val="-5"/>
          <w:w w:val="115"/>
        </w:rPr>
        <w:t> </w:t>
      </w:r>
      <w:r>
        <w:rPr>
          <w:w w:val="115"/>
        </w:rPr>
        <w:t>definidos</w:t>
      </w:r>
      <w:r>
        <w:rPr>
          <w:spacing w:val="-5"/>
          <w:w w:val="115"/>
        </w:rPr>
        <w:t> </w:t>
      </w:r>
      <w:r>
        <w:rPr>
          <w:w w:val="115"/>
        </w:rPr>
        <w:t>en</w:t>
      </w:r>
      <w:r>
        <w:rPr>
          <w:spacing w:val="-5"/>
          <w:w w:val="115"/>
        </w:rPr>
        <w:t> </w:t>
      </w:r>
      <w:r>
        <w:rPr>
          <w:w w:val="115"/>
        </w:rPr>
        <w:t>su fundación,</w:t>
      </w:r>
      <w:r>
        <w:rPr>
          <w:spacing w:val="-24"/>
          <w:w w:val="115"/>
        </w:rPr>
        <w:t> </w:t>
      </w:r>
      <w:r>
        <w:rPr>
          <w:w w:val="115"/>
        </w:rPr>
        <w:t>son:</w:t>
      </w:r>
    </w:p>
    <w:p>
      <w:pPr>
        <w:pStyle w:val="BodyText"/>
        <w:spacing w:before="11"/>
        <w:rPr>
          <w:sz w:val="18"/>
        </w:rPr>
      </w:pPr>
    </w:p>
    <w:p>
      <w:pPr>
        <w:spacing w:before="0"/>
        <w:ind w:left="727" w:right="117" w:firstLine="0"/>
        <w:jc w:val="both"/>
        <w:rPr>
          <w:sz w:val="18"/>
        </w:rPr>
      </w:pPr>
      <w:r>
        <w:rPr>
          <w:w w:val="110"/>
          <w:sz w:val="18"/>
        </w:rPr>
        <w:t>[...] estimular el desarrollo de instituciones democráticas a través de iniciativas</w:t>
      </w:r>
      <w:r>
        <w:rPr>
          <w:spacing w:val="-6"/>
          <w:w w:val="110"/>
          <w:sz w:val="18"/>
        </w:rPr>
        <w:t> </w:t>
      </w:r>
      <w:r>
        <w:rPr>
          <w:w w:val="110"/>
          <w:sz w:val="18"/>
        </w:rPr>
        <w:t>del</w:t>
      </w:r>
      <w:r>
        <w:rPr>
          <w:spacing w:val="-6"/>
          <w:w w:val="110"/>
          <w:sz w:val="18"/>
        </w:rPr>
        <w:t> </w:t>
      </w:r>
      <w:r>
        <w:rPr>
          <w:w w:val="110"/>
          <w:sz w:val="18"/>
        </w:rPr>
        <w:t>sector</w:t>
      </w:r>
      <w:r>
        <w:rPr>
          <w:spacing w:val="-6"/>
          <w:w w:val="110"/>
          <w:sz w:val="18"/>
        </w:rPr>
        <w:t> </w:t>
      </w:r>
      <w:r>
        <w:rPr>
          <w:w w:val="110"/>
          <w:sz w:val="18"/>
        </w:rPr>
        <w:t>privado;</w:t>
      </w:r>
      <w:r>
        <w:rPr>
          <w:spacing w:val="-6"/>
          <w:w w:val="110"/>
          <w:sz w:val="18"/>
        </w:rPr>
        <w:t> </w:t>
      </w:r>
      <w:r>
        <w:rPr>
          <w:w w:val="110"/>
          <w:sz w:val="18"/>
        </w:rPr>
        <w:t>facilitar</w:t>
      </w:r>
      <w:r>
        <w:rPr>
          <w:spacing w:val="-6"/>
          <w:w w:val="110"/>
          <w:sz w:val="18"/>
        </w:rPr>
        <w:t> </w:t>
      </w:r>
      <w:r>
        <w:rPr>
          <w:w w:val="110"/>
          <w:sz w:val="18"/>
        </w:rPr>
        <w:t>el</w:t>
      </w:r>
      <w:r>
        <w:rPr>
          <w:spacing w:val="-6"/>
          <w:w w:val="110"/>
          <w:sz w:val="18"/>
        </w:rPr>
        <w:t> </w:t>
      </w:r>
      <w:r>
        <w:rPr>
          <w:w w:val="110"/>
          <w:sz w:val="18"/>
        </w:rPr>
        <w:t>intercambio</w:t>
      </w:r>
      <w:r>
        <w:rPr>
          <w:spacing w:val="-6"/>
          <w:w w:val="110"/>
          <w:sz w:val="18"/>
        </w:rPr>
        <w:t> </w:t>
      </w:r>
      <w:r>
        <w:rPr>
          <w:w w:val="110"/>
          <w:sz w:val="18"/>
        </w:rPr>
        <w:t>entre</w:t>
      </w:r>
      <w:r>
        <w:rPr>
          <w:spacing w:val="-6"/>
          <w:w w:val="110"/>
          <w:sz w:val="18"/>
        </w:rPr>
        <w:t> </w:t>
      </w:r>
      <w:r>
        <w:rPr>
          <w:w w:val="110"/>
          <w:sz w:val="18"/>
        </w:rPr>
        <w:t>grupos</w:t>
      </w:r>
      <w:r>
        <w:rPr>
          <w:spacing w:val="-6"/>
          <w:w w:val="110"/>
          <w:sz w:val="18"/>
        </w:rPr>
        <w:t> </w:t>
      </w:r>
      <w:r>
        <w:rPr>
          <w:w w:val="110"/>
          <w:sz w:val="18"/>
        </w:rPr>
        <w:t>del sector</w:t>
      </w:r>
      <w:r>
        <w:rPr>
          <w:spacing w:val="-5"/>
          <w:w w:val="110"/>
          <w:sz w:val="18"/>
        </w:rPr>
        <w:t> </w:t>
      </w:r>
      <w:r>
        <w:rPr>
          <w:w w:val="110"/>
          <w:sz w:val="18"/>
        </w:rPr>
        <w:t>privado</w:t>
      </w:r>
      <w:r>
        <w:rPr>
          <w:spacing w:val="-5"/>
          <w:w w:val="110"/>
          <w:sz w:val="18"/>
        </w:rPr>
        <w:t> </w:t>
      </w:r>
      <w:r>
        <w:rPr>
          <w:w w:val="110"/>
          <w:sz w:val="18"/>
        </w:rPr>
        <w:t>(especialmente</w:t>
      </w:r>
      <w:r>
        <w:rPr>
          <w:spacing w:val="-5"/>
          <w:w w:val="110"/>
          <w:sz w:val="18"/>
        </w:rPr>
        <w:t> </w:t>
      </w:r>
      <w:r>
        <w:rPr>
          <w:w w:val="110"/>
          <w:sz w:val="18"/>
        </w:rPr>
        <w:t>entre</w:t>
      </w:r>
      <w:r>
        <w:rPr>
          <w:spacing w:val="-5"/>
          <w:w w:val="110"/>
          <w:sz w:val="18"/>
        </w:rPr>
        <w:t> </w:t>
      </w:r>
      <w:r>
        <w:rPr>
          <w:w w:val="110"/>
          <w:sz w:val="18"/>
        </w:rPr>
        <w:t>los</w:t>
      </w:r>
      <w:r>
        <w:rPr>
          <w:spacing w:val="-5"/>
          <w:w w:val="110"/>
          <w:sz w:val="18"/>
        </w:rPr>
        <w:t> </w:t>
      </w:r>
      <w:r>
        <w:rPr>
          <w:w w:val="110"/>
          <w:sz w:val="18"/>
        </w:rPr>
        <w:t>cuatro</w:t>
      </w:r>
      <w:r>
        <w:rPr>
          <w:spacing w:val="-5"/>
          <w:w w:val="110"/>
          <w:sz w:val="18"/>
        </w:rPr>
        <w:t> </w:t>
      </w:r>
      <w:r>
        <w:rPr>
          <w:w w:val="110"/>
          <w:sz w:val="18"/>
        </w:rPr>
        <w:t>institutos</w:t>
      </w:r>
      <w:r>
        <w:rPr>
          <w:spacing w:val="-5"/>
          <w:w w:val="110"/>
          <w:sz w:val="18"/>
        </w:rPr>
        <w:t> </w:t>
      </w:r>
      <w:r>
        <w:rPr>
          <w:w w:val="110"/>
          <w:sz w:val="18"/>
        </w:rPr>
        <w:t>integrados</w:t>
      </w:r>
      <w:r>
        <w:rPr>
          <w:spacing w:val="-5"/>
          <w:w w:val="110"/>
          <w:sz w:val="18"/>
        </w:rPr>
        <w:t> </w:t>
      </w:r>
      <w:r>
        <w:rPr>
          <w:w w:val="110"/>
          <w:sz w:val="18"/>
        </w:rPr>
        <w:t>a la NEd) y los grupos democráticos del exterior; promover la partici- pación no-gubernamental en programas de formación democrática; fortalecer</w:t>
      </w:r>
      <w:r>
        <w:rPr>
          <w:spacing w:val="-13"/>
          <w:w w:val="110"/>
          <w:sz w:val="18"/>
        </w:rPr>
        <w:t> </w:t>
      </w:r>
      <w:r>
        <w:rPr>
          <w:w w:val="110"/>
          <w:sz w:val="18"/>
        </w:rPr>
        <w:t>los</w:t>
      </w:r>
      <w:r>
        <w:rPr>
          <w:spacing w:val="-13"/>
          <w:w w:val="110"/>
          <w:sz w:val="18"/>
        </w:rPr>
        <w:t> </w:t>
      </w:r>
      <w:r>
        <w:rPr>
          <w:w w:val="110"/>
          <w:sz w:val="18"/>
        </w:rPr>
        <w:t>procesos</w:t>
      </w:r>
      <w:r>
        <w:rPr>
          <w:spacing w:val="-13"/>
          <w:w w:val="110"/>
          <w:sz w:val="18"/>
        </w:rPr>
        <w:t> </w:t>
      </w:r>
      <w:r>
        <w:rPr>
          <w:w w:val="110"/>
          <w:sz w:val="18"/>
        </w:rPr>
        <w:t>democráticos</w:t>
      </w:r>
      <w:r>
        <w:rPr>
          <w:spacing w:val="-13"/>
          <w:w w:val="110"/>
          <w:sz w:val="18"/>
        </w:rPr>
        <w:t> </w:t>
      </w:r>
      <w:r>
        <w:rPr>
          <w:w w:val="110"/>
          <w:sz w:val="18"/>
        </w:rPr>
        <w:t>en</w:t>
      </w:r>
      <w:r>
        <w:rPr>
          <w:spacing w:val="-13"/>
          <w:w w:val="110"/>
          <w:sz w:val="18"/>
        </w:rPr>
        <w:t> </w:t>
      </w:r>
      <w:r>
        <w:rPr>
          <w:w w:val="110"/>
          <w:sz w:val="18"/>
        </w:rPr>
        <w:t>el</w:t>
      </w:r>
      <w:r>
        <w:rPr>
          <w:spacing w:val="-13"/>
          <w:w w:val="110"/>
          <w:sz w:val="18"/>
        </w:rPr>
        <w:t> </w:t>
      </w:r>
      <w:r>
        <w:rPr>
          <w:w w:val="110"/>
          <w:sz w:val="18"/>
        </w:rPr>
        <w:t>exterior</w:t>
      </w:r>
      <w:r>
        <w:rPr>
          <w:spacing w:val="-13"/>
          <w:w w:val="110"/>
          <w:sz w:val="18"/>
        </w:rPr>
        <w:t> </w:t>
      </w:r>
      <w:r>
        <w:rPr>
          <w:w w:val="110"/>
          <w:sz w:val="18"/>
        </w:rPr>
        <w:t>en</w:t>
      </w:r>
      <w:r>
        <w:rPr>
          <w:spacing w:val="-13"/>
          <w:w w:val="110"/>
          <w:sz w:val="18"/>
        </w:rPr>
        <w:t> </w:t>
      </w:r>
      <w:r>
        <w:rPr>
          <w:w w:val="110"/>
          <w:sz w:val="18"/>
        </w:rPr>
        <w:t>cooperación</w:t>
      </w:r>
      <w:r>
        <w:rPr>
          <w:spacing w:val="-13"/>
          <w:w w:val="110"/>
          <w:sz w:val="18"/>
        </w:rPr>
        <w:t> </w:t>
      </w:r>
      <w:r>
        <w:rPr>
          <w:w w:val="110"/>
          <w:sz w:val="18"/>
        </w:rPr>
        <w:t>con las fuerzas democráticas locales; promover la cooperación entre los sectores privados de los Estados unidos y los del exterior “dedicados a los valores culturales, instituciones, y organizaciones democráticas pluralistas”; y alentar el desarrollo democrático coincidente con los intereses</w:t>
      </w:r>
      <w:r>
        <w:rPr>
          <w:spacing w:val="-4"/>
          <w:w w:val="110"/>
          <w:sz w:val="18"/>
        </w:rPr>
        <w:t> </w:t>
      </w:r>
      <w:r>
        <w:rPr>
          <w:w w:val="110"/>
          <w:sz w:val="18"/>
        </w:rPr>
        <w:t>de</w:t>
      </w:r>
      <w:r>
        <w:rPr>
          <w:spacing w:val="-4"/>
          <w:w w:val="110"/>
          <w:sz w:val="18"/>
        </w:rPr>
        <w:t> </w:t>
      </w:r>
      <w:r>
        <w:rPr>
          <w:w w:val="110"/>
          <w:sz w:val="18"/>
        </w:rPr>
        <w:t>Estados</w:t>
      </w:r>
      <w:r>
        <w:rPr>
          <w:spacing w:val="-4"/>
          <w:w w:val="110"/>
          <w:sz w:val="18"/>
        </w:rPr>
        <w:t> </w:t>
      </w:r>
      <w:r>
        <w:rPr>
          <w:w w:val="110"/>
          <w:sz w:val="18"/>
        </w:rPr>
        <w:t>unidos</w:t>
      </w:r>
      <w:r>
        <w:rPr>
          <w:spacing w:val="-4"/>
          <w:w w:val="110"/>
          <w:sz w:val="18"/>
        </w:rPr>
        <w:t> </w:t>
      </w:r>
      <w:r>
        <w:rPr>
          <w:w w:val="110"/>
          <w:sz w:val="18"/>
        </w:rPr>
        <w:t>y</w:t>
      </w:r>
      <w:r>
        <w:rPr>
          <w:spacing w:val="-4"/>
          <w:w w:val="110"/>
          <w:sz w:val="18"/>
        </w:rPr>
        <w:t> </w:t>
      </w:r>
      <w:r>
        <w:rPr>
          <w:w w:val="110"/>
          <w:sz w:val="18"/>
        </w:rPr>
        <w:t>de</w:t>
      </w:r>
      <w:r>
        <w:rPr>
          <w:spacing w:val="-4"/>
          <w:w w:val="110"/>
          <w:sz w:val="18"/>
        </w:rPr>
        <w:t> </w:t>
      </w:r>
      <w:r>
        <w:rPr>
          <w:w w:val="110"/>
          <w:sz w:val="18"/>
        </w:rPr>
        <w:t>los</w:t>
      </w:r>
      <w:r>
        <w:rPr>
          <w:spacing w:val="-4"/>
          <w:w w:val="110"/>
          <w:sz w:val="18"/>
        </w:rPr>
        <w:t> </w:t>
      </w:r>
      <w:r>
        <w:rPr>
          <w:w w:val="110"/>
          <w:sz w:val="18"/>
        </w:rPr>
        <w:t>grupos</w:t>
      </w:r>
      <w:r>
        <w:rPr>
          <w:spacing w:val="-4"/>
          <w:w w:val="110"/>
          <w:sz w:val="18"/>
        </w:rPr>
        <w:t> </w:t>
      </w:r>
      <w:r>
        <w:rPr>
          <w:w w:val="110"/>
          <w:sz w:val="18"/>
        </w:rPr>
        <w:t>que</w:t>
      </w:r>
      <w:r>
        <w:rPr>
          <w:spacing w:val="-4"/>
          <w:w w:val="110"/>
          <w:sz w:val="18"/>
        </w:rPr>
        <w:t> </w:t>
      </w:r>
      <w:r>
        <w:rPr>
          <w:w w:val="110"/>
          <w:sz w:val="18"/>
        </w:rPr>
        <w:t>reciben</w:t>
      </w:r>
      <w:r>
        <w:rPr>
          <w:spacing w:val="-4"/>
          <w:w w:val="110"/>
          <w:sz w:val="18"/>
        </w:rPr>
        <w:t> </w:t>
      </w:r>
      <w:r>
        <w:rPr>
          <w:w w:val="110"/>
          <w:sz w:val="18"/>
        </w:rPr>
        <w:t>la</w:t>
      </w:r>
      <w:r>
        <w:rPr>
          <w:spacing w:val="-4"/>
          <w:w w:val="110"/>
          <w:sz w:val="18"/>
        </w:rPr>
        <w:t> </w:t>
      </w:r>
      <w:r>
        <w:rPr>
          <w:w w:val="110"/>
          <w:sz w:val="18"/>
        </w:rPr>
        <w:t>asistencia.</w:t>
      </w:r>
    </w:p>
    <w:p>
      <w:pPr>
        <w:pStyle w:val="BodyText"/>
        <w:spacing w:before="1"/>
        <w:rPr>
          <w:sz w:val="21"/>
        </w:rPr>
      </w:pPr>
    </w:p>
    <w:p>
      <w:pPr>
        <w:pStyle w:val="BodyText"/>
        <w:spacing w:line="252" w:lineRule="auto" w:before="1"/>
        <w:ind w:left="330" w:right="117"/>
        <w:jc w:val="both"/>
      </w:pPr>
      <w:r>
        <w:rPr>
          <w:w w:val="110"/>
        </w:rPr>
        <w:t>El mismo autor subraya que la definición de la NEd como una organi- zación no gubernamental, aun cuando sea financiada por el gobierno de los Estados unidos, permite que ella “pueda apoyar fuerzas políti- cas democráticas en situaciones represivas o políticamente sensibles, donde el apoyo del propio gobierno de los Estados unidos […] puede </w:t>
      </w:r>
      <w:r>
        <w:rPr>
          <w:w w:val="105"/>
        </w:rPr>
        <w:t>ser</w:t>
      </w:r>
      <w:r>
        <w:rPr/>
        <w:t> </w:t>
      </w:r>
      <w:r>
        <w:rPr>
          <w:w w:val="111"/>
        </w:rPr>
        <w:t>diplomática</w:t>
      </w:r>
      <w:r>
        <w:rPr/>
        <w:t> </w:t>
      </w:r>
      <w:r>
        <w:rPr>
          <w:w w:val="110"/>
        </w:rPr>
        <w:t>o</w:t>
      </w:r>
      <w:r>
        <w:rPr/>
        <w:t> </w:t>
      </w:r>
      <w:r>
        <w:rPr>
          <w:w w:val="110"/>
        </w:rPr>
        <w:t>políticamente</w:t>
      </w:r>
      <w:r>
        <w:rPr/>
        <w:t> </w:t>
      </w:r>
      <w:r>
        <w:rPr>
          <w:w w:val="109"/>
        </w:rPr>
        <w:t>inviable</w:t>
      </w:r>
      <w:r>
        <w:rPr/>
        <w:t> </w:t>
      </w:r>
      <w:r>
        <w:rPr>
          <w:w w:val="98"/>
        </w:rPr>
        <w:t>(</w:t>
      </w:r>
      <w:r>
        <w:rPr>
          <w:w w:val="243"/>
        </w:rPr>
        <w:t>l</w:t>
      </w:r>
      <w:r>
        <w:rPr>
          <w:w w:val="109"/>
        </w:rPr>
        <w:t>owe,</w:t>
      </w:r>
      <w:r>
        <w:rPr/>
        <w:t> </w:t>
      </w:r>
      <w:r>
        <w:rPr>
          <w:w w:val="103"/>
        </w:rPr>
        <w:t>2008:</w:t>
      </w:r>
      <w:r>
        <w:rPr/>
        <w:t> </w:t>
      </w:r>
      <w:r>
        <w:rPr>
          <w:w w:val="107"/>
        </w:rPr>
        <w:t>8).</w:t>
      </w:r>
    </w:p>
    <w:p>
      <w:pPr>
        <w:pStyle w:val="BodyText"/>
        <w:spacing w:line="252" w:lineRule="auto"/>
        <w:ind w:left="330" w:right="118" w:firstLine="396"/>
        <w:jc w:val="both"/>
      </w:pPr>
      <w:r>
        <w:rPr>
          <w:w w:val="110"/>
        </w:rPr>
        <w:t>Como observan scott y Walters (2000: 255), la NEd permite desa- rrollar políticas que normalmente serían impedidas por principios de soberanía y de no-intervención, y esta “diplomacia informal” sería un elemento potencialmente útil para la política externa. Esta  dimensión</w:t>
      </w:r>
    </w:p>
    <w:p>
      <w:pPr>
        <w:pStyle w:val="BodyText"/>
        <w:spacing w:before="9"/>
        <w:rPr>
          <w:sz w:val="16"/>
        </w:rPr>
      </w:pPr>
      <w:r>
        <w:rPr/>
        <w:pict>
          <v:line style="position:absolute;mso-position-horizontal-relative:page;mso-position-vertical-relative:paragraph;z-index:5536;mso-wrap-distance-left:0;mso-wrap-distance-right:0" from="76.5354pt,12.077231pt" to="104.8814pt,12.077231pt" stroked="true" strokeweight=".5pt" strokecolor="#000000">
            <w10:wrap type="topAndBottom"/>
          </v:line>
        </w:pict>
      </w:r>
    </w:p>
    <w:p>
      <w:pPr>
        <w:pStyle w:val="ListParagraph"/>
        <w:numPr>
          <w:ilvl w:val="0"/>
          <w:numId w:val="28"/>
        </w:numPr>
        <w:tabs>
          <w:tab w:pos="586" w:val="left" w:leader="none"/>
        </w:tabs>
        <w:spacing w:line="242" w:lineRule="auto" w:before="89" w:after="0"/>
        <w:ind w:left="330" w:right="118" w:firstLine="0"/>
        <w:jc w:val="both"/>
        <w:rPr>
          <w:sz w:val="16"/>
        </w:rPr>
      </w:pPr>
      <w:r>
        <w:rPr>
          <w:w w:val="110"/>
          <w:sz w:val="16"/>
        </w:rPr>
        <w:t>El Ndi y el </w:t>
      </w:r>
      <w:r>
        <w:rPr>
          <w:w w:val="130"/>
          <w:sz w:val="16"/>
        </w:rPr>
        <w:t>iri </w:t>
      </w:r>
      <w:r>
        <w:rPr>
          <w:w w:val="110"/>
          <w:sz w:val="16"/>
        </w:rPr>
        <w:t>están vinculados al Partido demócrata y al Partido republicano, respectivamente.</w:t>
      </w:r>
    </w:p>
    <w:p>
      <w:pPr>
        <w:pStyle w:val="ListParagraph"/>
        <w:numPr>
          <w:ilvl w:val="0"/>
          <w:numId w:val="28"/>
        </w:numPr>
        <w:tabs>
          <w:tab w:pos="586" w:val="left" w:leader="none"/>
        </w:tabs>
        <w:spacing w:line="242" w:lineRule="auto" w:before="57" w:after="0"/>
        <w:ind w:left="330" w:right="118" w:firstLine="0"/>
        <w:jc w:val="both"/>
        <w:rPr>
          <w:sz w:val="16"/>
        </w:rPr>
      </w:pPr>
      <w:r>
        <w:rPr>
          <w:w w:val="115"/>
          <w:sz w:val="16"/>
        </w:rPr>
        <w:t>institutos</w:t>
      </w:r>
      <w:r>
        <w:rPr>
          <w:spacing w:val="-17"/>
          <w:w w:val="115"/>
          <w:sz w:val="16"/>
        </w:rPr>
        <w:t> </w:t>
      </w:r>
      <w:r>
        <w:rPr>
          <w:w w:val="115"/>
          <w:sz w:val="16"/>
        </w:rPr>
        <w:t>unificados:</w:t>
      </w:r>
      <w:r>
        <w:rPr>
          <w:spacing w:val="-17"/>
          <w:w w:val="115"/>
          <w:sz w:val="16"/>
        </w:rPr>
        <w:t> </w:t>
      </w:r>
      <w:r>
        <w:rPr>
          <w:i/>
          <w:w w:val="115"/>
          <w:sz w:val="16"/>
        </w:rPr>
        <w:t>Free</w:t>
      </w:r>
      <w:r>
        <w:rPr>
          <w:i/>
          <w:spacing w:val="-17"/>
          <w:w w:val="115"/>
          <w:sz w:val="16"/>
        </w:rPr>
        <w:t> </w:t>
      </w:r>
      <w:r>
        <w:rPr>
          <w:i/>
          <w:spacing w:val="-4"/>
          <w:w w:val="115"/>
          <w:sz w:val="16"/>
        </w:rPr>
        <w:t>Trade</w:t>
      </w:r>
      <w:r>
        <w:rPr>
          <w:i/>
          <w:spacing w:val="-17"/>
          <w:w w:val="115"/>
          <w:sz w:val="16"/>
        </w:rPr>
        <w:t> </w:t>
      </w:r>
      <w:r>
        <w:rPr>
          <w:i/>
          <w:w w:val="115"/>
          <w:sz w:val="16"/>
        </w:rPr>
        <w:t>Union</w:t>
      </w:r>
      <w:r>
        <w:rPr>
          <w:i/>
          <w:spacing w:val="-17"/>
          <w:w w:val="115"/>
          <w:sz w:val="16"/>
        </w:rPr>
        <w:t> </w:t>
      </w:r>
      <w:r>
        <w:rPr>
          <w:i/>
          <w:w w:val="115"/>
          <w:sz w:val="16"/>
        </w:rPr>
        <w:t>Institute</w:t>
      </w:r>
      <w:r>
        <w:rPr>
          <w:i/>
          <w:spacing w:val="-17"/>
          <w:w w:val="115"/>
          <w:sz w:val="16"/>
        </w:rPr>
        <w:t> </w:t>
      </w:r>
      <w:r>
        <w:rPr>
          <w:w w:val="115"/>
          <w:sz w:val="16"/>
        </w:rPr>
        <w:t>(Ftui),</w:t>
      </w:r>
      <w:r>
        <w:rPr>
          <w:spacing w:val="-17"/>
          <w:w w:val="115"/>
          <w:sz w:val="16"/>
        </w:rPr>
        <w:t> </w:t>
      </w:r>
      <w:r>
        <w:rPr>
          <w:w w:val="115"/>
          <w:sz w:val="16"/>
        </w:rPr>
        <w:t>creado</w:t>
      </w:r>
      <w:r>
        <w:rPr>
          <w:spacing w:val="-17"/>
          <w:w w:val="115"/>
          <w:sz w:val="16"/>
        </w:rPr>
        <w:t> </w:t>
      </w:r>
      <w:r>
        <w:rPr>
          <w:w w:val="115"/>
          <w:sz w:val="16"/>
        </w:rPr>
        <w:t>en</w:t>
      </w:r>
      <w:r>
        <w:rPr>
          <w:spacing w:val="-17"/>
          <w:w w:val="115"/>
          <w:sz w:val="16"/>
        </w:rPr>
        <w:t> </w:t>
      </w:r>
      <w:r>
        <w:rPr>
          <w:w w:val="115"/>
          <w:sz w:val="16"/>
        </w:rPr>
        <w:t>1977</w:t>
      </w:r>
      <w:r>
        <w:rPr>
          <w:spacing w:val="-17"/>
          <w:w w:val="115"/>
          <w:sz w:val="16"/>
        </w:rPr>
        <w:t> </w:t>
      </w:r>
      <w:r>
        <w:rPr>
          <w:w w:val="115"/>
          <w:sz w:val="16"/>
        </w:rPr>
        <w:t>para</w:t>
      </w:r>
      <w:r>
        <w:rPr>
          <w:spacing w:val="-17"/>
          <w:w w:val="115"/>
          <w:sz w:val="16"/>
        </w:rPr>
        <w:t> </w:t>
      </w:r>
      <w:r>
        <w:rPr>
          <w:w w:val="115"/>
          <w:sz w:val="16"/>
        </w:rPr>
        <w:t>ac- tuar</w:t>
      </w:r>
      <w:r>
        <w:rPr>
          <w:spacing w:val="-20"/>
          <w:w w:val="115"/>
          <w:sz w:val="16"/>
        </w:rPr>
        <w:t> </w:t>
      </w:r>
      <w:r>
        <w:rPr>
          <w:w w:val="115"/>
          <w:sz w:val="16"/>
        </w:rPr>
        <w:t>en</w:t>
      </w:r>
      <w:r>
        <w:rPr>
          <w:spacing w:val="-20"/>
          <w:w w:val="115"/>
          <w:sz w:val="16"/>
        </w:rPr>
        <w:t> </w:t>
      </w:r>
      <w:r>
        <w:rPr>
          <w:w w:val="115"/>
          <w:sz w:val="16"/>
        </w:rPr>
        <w:t>Europa,</w:t>
      </w:r>
      <w:r>
        <w:rPr>
          <w:spacing w:val="-20"/>
          <w:w w:val="115"/>
          <w:sz w:val="16"/>
        </w:rPr>
        <w:t> </w:t>
      </w:r>
      <w:r>
        <w:rPr>
          <w:w w:val="115"/>
          <w:sz w:val="16"/>
        </w:rPr>
        <w:t>especialmente</w:t>
      </w:r>
      <w:r>
        <w:rPr>
          <w:spacing w:val="-20"/>
          <w:w w:val="115"/>
          <w:sz w:val="16"/>
        </w:rPr>
        <w:t> </w:t>
      </w:r>
      <w:r>
        <w:rPr>
          <w:w w:val="115"/>
          <w:sz w:val="16"/>
        </w:rPr>
        <w:t>en</w:t>
      </w:r>
      <w:r>
        <w:rPr>
          <w:spacing w:val="-20"/>
          <w:w w:val="115"/>
          <w:sz w:val="16"/>
        </w:rPr>
        <w:t> </w:t>
      </w:r>
      <w:r>
        <w:rPr>
          <w:w w:val="115"/>
          <w:sz w:val="16"/>
        </w:rPr>
        <w:t>España</w:t>
      </w:r>
      <w:r>
        <w:rPr>
          <w:spacing w:val="-20"/>
          <w:w w:val="115"/>
          <w:sz w:val="16"/>
        </w:rPr>
        <w:t> </w:t>
      </w:r>
      <w:r>
        <w:rPr>
          <w:w w:val="115"/>
          <w:sz w:val="16"/>
        </w:rPr>
        <w:t>y</w:t>
      </w:r>
      <w:r>
        <w:rPr>
          <w:spacing w:val="-20"/>
          <w:w w:val="115"/>
          <w:sz w:val="16"/>
        </w:rPr>
        <w:t> </w:t>
      </w:r>
      <w:r>
        <w:rPr>
          <w:w w:val="115"/>
          <w:sz w:val="16"/>
        </w:rPr>
        <w:t>en</w:t>
      </w:r>
      <w:r>
        <w:rPr>
          <w:spacing w:val="-20"/>
          <w:w w:val="115"/>
          <w:sz w:val="16"/>
        </w:rPr>
        <w:t> </w:t>
      </w:r>
      <w:r>
        <w:rPr>
          <w:w w:val="115"/>
          <w:sz w:val="16"/>
        </w:rPr>
        <w:t>Portugal;</w:t>
      </w:r>
      <w:r>
        <w:rPr>
          <w:spacing w:val="-20"/>
          <w:w w:val="115"/>
          <w:sz w:val="16"/>
        </w:rPr>
        <w:t> </w:t>
      </w:r>
      <w:r>
        <w:rPr>
          <w:i/>
          <w:w w:val="115"/>
          <w:sz w:val="16"/>
        </w:rPr>
        <w:t>American</w:t>
      </w:r>
      <w:r>
        <w:rPr>
          <w:i/>
          <w:spacing w:val="-20"/>
          <w:w w:val="115"/>
          <w:sz w:val="16"/>
        </w:rPr>
        <w:t> </w:t>
      </w:r>
      <w:r>
        <w:rPr>
          <w:i/>
          <w:w w:val="115"/>
          <w:sz w:val="16"/>
        </w:rPr>
        <w:t>Institute</w:t>
      </w:r>
      <w:r>
        <w:rPr>
          <w:i/>
          <w:spacing w:val="-20"/>
          <w:w w:val="115"/>
          <w:sz w:val="16"/>
        </w:rPr>
        <w:t> </w:t>
      </w:r>
      <w:r>
        <w:rPr>
          <w:i/>
          <w:w w:val="115"/>
          <w:sz w:val="16"/>
        </w:rPr>
        <w:t>for</w:t>
      </w:r>
      <w:r>
        <w:rPr>
          <w:i/>
          <w:spacing w:val="-20"/>
          <w:w w:val="115"/>
          <w:sz w:val="16"/>
        </w:rPr>
        <w:t> </w:t>
      </w:r>
      <w:r>
        <w:rPr>
          <w:i/>
          <w:w w:val="115"/>
          <w:sz w:val="16"/>
        </w:rPr>
        <w:t>Free </w:t>
      </w:r>
      <w:r>
        <w:rPr>
          <w:i/>
          <w:w w:val="106"/>
          <w:sz w:val="16"/>
        </w:rPr>
        <w:t>Labor</w:t>
      </w:r>
      <w:r>
        <w:rPr>
          <w:i/>
          <w:spacing w:val="6"/>
          <w:sz w:val="16"/>
        </w:rPr>
        <w:t> </w:t>
      </w:r>
      <w:r>
        <w:rPr>
          <w:i/>
          <w:w w:val="107"/>
          <w:sz w:val="16"/>
        </w:rPr>
        <w:t>Development</w:t>
      </w:r>
      <w:r>
        <w:rPr>
          <w:i/>
          <w:spacing w:val="6"/>
          <w:sz w:val="16"/>
        </w:rPr>
        <w:t> </w:t>
      </w:r>
      <w:r>
        <w:rPr>
          <w:w w:val="96"/>
          <w:sz w:val="16"/>
        </w:rPr>
        <w:t>(</w:t>
      </w:r>
      <w:r>
        <w:rPr>
          <w:w w:val="137"/>
          <w:sz w:val="16"/>
        </w:rPr>
        <w:t>ai</w:t>
      </w:r>
      <w:r>
        <w:rPr>
          <w:w w:val="117"/>
          <w:sz w:val="16"/>
        </w:rPr>
        <w:t>F</w:t>
      </w:r>
      <w:r>
        <w:rPr>
          <w:w w:val="170"/>
          <w:sz w:val="16"/>
        </w:rPr>
        <w:t>ld</w:t>
      </w:r>
      <w:r>
        <w:rPr>
          <w:w w:val="110"/>
          <w:sz w:val="16"/>
        </w:rPr>
        <w:t>),</w:t>
      </w:r>
      <w:r>
        <w:rPr>
          <w:spacing w:val="6"/>
          <w:sz w:val="16"/>
        </w:rPr>
        <w:t> </w:t>
      </w:r>
      <w:r>
        <w:rPr>
          <w:w w:val="107"/>
          <w:sz w:val="16"/>
        </w:rPr>
        <w:t>creado</w:t>
      </w:r>
      <w:r>
        <w:rPr>
          <w:spacing w:val="6"/>
          <w:sz w:val="16"/>
        </w:rPr>
        <w:t> </w:t>
      </w:r>
      <w:r>
        <w:rPr>
          <w:w w:val="106"/>
          <w:sz w:val="16"/>
        </w:rPr>
        <w:t>en</w:t>
      </w:r>
      <w:r>
        <w:rPr>
          <w:spacing w:val="6"/>
          <w:sz w:val="16"/>
        </w:rPr>
        <w:t> </w:t>
      </w:r>
      <w:r>
        <w:rPr>
          <w:w w:val="100"/>
          <w:sz w:val="16"/>
        </w:rPr>
        <w:t>1962</w:t>
      </w:r>
      <w:r>
        <w:rPr>
          <w:spacing w:val="6"/>
          <w:sz w:val="16"/>
        </w:rPr>
        <w:t> </w:t>
      </w:r>
      <w:r>
        <w:rPr>
          <w:w w:val="107"/>
          <w:sz w:val="16"/>
        </w:rPr>
        <w:t>para</w:t>
      </w:r>
      <w:r>
        <w:rPr>
          <w:spacing w:val="6"/>
          <w:sz w:val="16"/>
        </w:rPr>
        <w:t> </w:t>
      </w:r>
      <w:r>
        <w:rPr>
          <w:w w:val="105"/>
          <w:sz w:val="16"/>
        </w:rPr>
        <w:t>operar</w:t>
      </w:r>
      <w:r>
        <w:rPr>
          <w:spacing w:val="6"/>
          <w:sz w:val="16"/>
        </w:rPr>
        <w:t> </w:t>
      </w:r>
      <w:r>
        <w:rPr>
          <w:w w:val="106"/>
          <w:sz w:val="16"/>
        </w:rPr>
        <w:t>en</w:t>
      </w:r>
      <w:r>
        <w:rPr>
          <w:spacing w:val="6"/>
          <w:sz w:val="16"/>
        </w:rPr>
        <w:t> </w:t>
      </w:r>
      <w:r>
        <w:rPr>
          <w:w w:val="136"/>
          <w:sz w:val="16"/>
        </w:rPr>
        <w:t>a</w:t>
      </w:r>
      <w:r>
        <w:rPr>
          <w:w w:val="108"/>
          <w:sz w:val="16"/>
        </w:rPr>
        <w:t>mérica</w:t>
      </w:r>
      <w:r>
        <w:rPr>
          <w:spacing w:val="6"/>
          <w:sz w:val="16"/>
        </w:rPr>
        <w:t> </w:t>
      </w:r>
      <w:r>
        <w:rPr>
          <w:w w:val="238"/>
          <w:sz w:val="16"/>
        </w:rPr>
        <w:t>l</w:t>
      </w:r>
      <w:r>
        <w:rPr>
          <w:w w:val="108"/>
          <w:sz w:val="16"/>
        </w:rPr>
        <w:t>atina;</w:t>
      </w:r>
      <w:r>
        <w:rPr>
          <w:spacing w:val="6"/>
          <w:sz w:val="16"/>
        </w:rPr>
        <w:t> </w:t>
      </w:r>
      <w:r>
        <w:rPr>
          <w:i/>
          <w:w w:val="107"/>
          <w:sz w:val="16"/>
        </w:rPr>
        <w:t>African-</w:t>
      </w:r>
      <w:r>
        <w:rPr>
          <w:i/>
          <w:w w:val="107"/>
          <w:sz w:val="16"/>
        </w:rPr>
        <w:t> </w:t>
      </w:r>
      <w:r>
        <w:rPr>
          <w:i/>
          <w:w w:val="115"/>
          <w:sz w:val="16"/>
        </w:rPr>
        <w:t>American</w:t>
      </w:r>
      <w:r>
        <w:rPr>
          <w:i/>
          <w:spacing w:val="-24"/>
          <w:w w:val="115"/>
          <w:sz w:val="16"/>
        </w:rPr>
        <w:t> </w:t>
      </w:r>
      <w:r>
        <w:rPr>
          <w:i/>
          <w:w w:val="115"/>
          <w:sz w:val="16"/>
        </w:rPr>
        <w:t>Labor</w:t>
      </w:r>
      <w:r>
        <w:rPr>
          <w:i/>
          <w:spacing w:val="-24"/>
          <w:w w:val="115"/>
          <w:sz w:val="16"/>
        </w:rPr>
        <w:t> </w:t>
      </w:r>
      <w:r>
        <w:rPr>
          <w:i/>
          <w:w w:val="115"/>
          <w:sz w:val="16"/>
        </w:rPr>
        <w:t>Center</w:t>
      </w:r>
      <w:r>
        <w:rPr>
          <w:i/>
          <w:spacing w:val="-24"/>
          <w:w w:val="115"/>
          <w:sz w:val="16"/>
        </w:rPr>
        <w:t> </w:t>
      </w:r>
      <w:r>
        <w:rPr>
          <w:w w:val="115"/>
          <w:sz w:val="16"/>
        </w:rPr>
        <w:t>(aalC,</w:t>
      </w:r>
      <w:r>
        <w:rPr>
          <w:spacing w:val="-24"/>
          <w:w w:val="115"/>
          <w:sz w:val="16"/>
        </w:rPr>
        <w:t> </w:t>
      </w:r>
      <w:r>
        <w:rPr>
          <w:w w:val="115"/>
          <w:sz w:val="16"/>
        </w:rPr>
        <w:t>1964)</w:t>
      </w:r>
      <w:r>
        <w:rPr>
          <w:spacing w:val="-24"/>
          <w:w w:val="115"/>
          <w:sz w:val="16"/>
        </w:rPr>
        <w:t> </w:t>
      </w:r>
      <w:r>
        <w:rPr>
          <w:w w:val="115"/>
          <w:sz w:val="16"/>
        </w:rPr>
        <w:t>y</w:t>
      </w:r>
      <w:r>
        <w:rPr>
          <w:spacing w:val="-24"/>
          <w:w w:val="115"/>
          <w:sz w:val="16"/>
        </w:rPr>
        <w:t> </w:t>
      </w:r>
      <w:r>
        <w:rPr>
          <w:w w:val="115"/>
          <w:sz w:val="16"/>
        </w:rPr>
        <w:t>el</w:t>
      </w:r>
      <w:r>
        <w:rPr>
          <w:spacing w:val="-24"/>
          <w:w w:val="115"/>
          <w:sz w:val="16"/>
        </w:rPr>
        <w:t> </w:t>
      </w:r>
      <w:r>
        <w:rPr>
          <w:i/>
          <w:w w:val="115"/>
          <w:sz w:val="16"/>
        </w:rPr>
        <w:t>Asian-American</w:t>
      </w:r>
      <w:r>
        <w:rPr>
          <w:i/>
          <w:spacing w:val="-24"/>
          <w:w w:val="115"/>
          <w:sz w:val="16"/>
        </w:rPr>
        <w:t> </w:t>
      </w:r>
      <w:r>
        <w:rPr>
          <w:i/>
          <w:w w:val="115"/>
          <w:sz w:val="16"/>
        </w:rPr>
        <w:t>Free</w:t>
      </w:r>
      <w:r>
        <w:rPr>
          <w:i/>
          <w:spacing w:val="-24"/>
          <w:w w:val="115"/>
          <w:sz w:val="16"/>
        </w:rPr>
        <w:t> </w:t>
      </w:r>
      <w:r>
        <w:rPr>
          <w:i/>
          <w:w w:val="115"/>
          <w:sz w:val="16"/>
        </w:rPr>
        <w:t>Labor</w:t>
      </w:r>
      <w:r>
        <w:rPr>
          <w:i/>
          <w:spacing w:val="-24"/>
          <w:w w:val="115"/>
          <w:sz w:val="16"/>
        </w:rPr>
        <w:t> </w:t>
      </w:r>
      <w:r>
        <w:rPr>
          <w:i/>
          <w:w w:val="115"/>
          <w:sz w:val="16"/>
        </w:rPr>
        <w:t>Institute</w:t>
      </w:r>
      <w:r>
        <w:rPr>
          <w:i/>
          <w:spacing w:val="-24"/>
          <w:w w:val="115"/>
          <w:sz w:val="16"/>
        </w:rPr>
        <w:t> </w:t>
      </w:r>
      <w:r>
        <w:rPr>
          <w:w w:val="125"/>
          <w:sz w:val="16"/>
        </w:rPr>
        <w:t>(aaFli, </w:t>
      </w:r>
      <w:r>
        <w:rPr>
          <w:w w:val="115"/>
          <w:sz w:val="16"/>
        </w:rPr>
        <w:t>1968)</w:t>
      </w:r>
      <w:r>
        <w:rPr>
          <w:spacing w:val="-22"/>
          <w:w w:val="115"/>
          <w:sz w:val="16"/>
        </w:rPr>
        <w:t> </w:t>
      </w:r>
      <w:r>
        <w:rPr>
          <w:w w:val="115"/>
          <w:sz w:val="16"/>
        </w:rPr>
        <w:t>(</w:t>
      </w:r>
      <w:r>
        <w:rPr>
          <w:i/>
          <w:w w:val="115"/>
          <w:sz w:val="16"/>
        </w:rPr>
        <w:t>Cf.</w:t>
      </w:r>
      <w:r>
        <w:rPr>
          <w:i/>
          <w:spacing w:val="-22"/>
          <w:w w:val="115"/>
          <w:sz w:val="16"/>
        </w:rPr>
        <w:t> </w:t>
      </w:r>
      <w:r>
        <w:rPr>
          <w:w w:val="115"/>
          <w:sz w:val="16"/>
        </w:rPr>
        <w:t>amorim,</w:t>
      </w:r>
      <w:r>
        <w:rPr>
          <w:spacing w:val="-22"/>
          <w:w w:val="115"/>
          <w:sz w:val="16"/>
        </w:rPr>
        <w:t> </w:t>
      </w:r>
      <w:r>
        <w:rPr>
          <w:w w:val="115"/>
          <w:sz w:val="16"/>
        </w:rPr>
        <w:t>2007).</w:t>
      </w:r>
      <w:r>
        <w:rPr>
          <w:spacing w:val="-22"/>
          <w:w w:val="115"/>
          <w:sz w:val="16"/>
        </w:rPr>
        <w:t> </w:t>
      </w:r>
      <w:r>
        <w:rPr>
          <w:w w:val="115"/>
          <w:sz w:val="16"/>
        </w:rPr>
        <w:t>Para</w:t>
      </w:r>
      <w:r>
        <w:rPr>
          <w:spacing w:val="-22"/>
          <w:w w:val="115"/>
          <w:sz w:val="16"/>
        </w:rPr>
        <w:t> </w:t>
      </w:r>
      <w:r>
        <w:rPr>
          <w:w w:val="115"/>
          <w:sz w:val="16"/>
        </w:rPr>
        <w:t>un</w:t>
      </w:r>
      <w:r>
        <w:rPr>
          <w:spacing w:val="-22"/>
          <w:w w:val="115"/>
          <w:sz w:val="16"/>
        </w:rPr>
        <w:t> </w:t>
      </w:r>
      <w:r>
        <w:rPr>
          <w:w w:val="115"/>
          <w:sz w:val="16"/>
        </w:rPr>
        <w:t>análisis</w:t>
      </w:r>
      <w:r>
        <w:rPr>
          <w:spacing w:val="-22"/>
          <w:w w:val="115"/>
          <w:sz w:val="16"/>
        </w:rPr>
        <w:t> </w:t>
      </w:r>
      <w:r>
        <w:rPr>
          <w:w w:val="115"/>
          <w:sz w:val="16"/>
        </w:rPr>
        <w:t>más</w:t>
      </w:r>
      <w:r>
        <w:rPr>
          <w:spacing w:val="-22"/>
          <w:w w:val="115"/>
          <w:sz w:val="16"/>
        </w:rPr>
        <w:t> </w:t>
      </w:r>
      <w:r>
        <w:rPr>
          <w:w w:val="115"/>
          <w:sz w:val="16"/>
        </w:rPr>
        <w:t>detallado</w:t>
      </w:r>
      <w:r>
        <w:rPr>
          <w:spacing w:val="-22"/>
          <w:w w:val="115"/>
          <w:sz w:val="16"/>
        </w:rPr>
        <w:t> </w:t>
      </w:r>
      <w:r>
        <w:rPr>
          <w:w w:val="115"/>
          <w:sz w:val="16"/>
        </w:rPr>
        <w:t>de</w:t>
      </w:r>
      <w:r>
        <w:rPr>
          <w:spacing w:val="-22"/>
          <w:w w:val="115"/>
          <w:sz w:val="16"/>
        </w:rPr>
        <w:t> </w:t>
      </w:r>
      <w:r>
        <w:rPr>
          <w:w w:val="115"/>
          <w:sz w:val="16"/>
        </w:rPr>
        <w:t>la</w:t>
      </w:r>
      <w:r>
        <w:rPr>
          <w:spacing w:val="-22"/>
          <w:w w:val="115"/>
          <w:sz w:val="16"/>
        </w:rPr>
        <w:t> </w:t>
      </w:r>
      <w:r>
        <w:rPr>
          <w:w w:val="115"/>
          <w:sz w:val="16"/>
        </w:rPr>
        <w:t>actuación</w:t>
      </w:r>
      <w:r>
        <w:rPr>
          <w:spacing w:val="-22"/>
          <w:w w:val="115"/>
          <w:sz w:val="16"/>
        </w:rPr>
        <w:t> </w:t>
      </w:r>
      <w:r>
        <w:rPr>
          <w:w w:val="115"/>
          <w:sz w:val="16"/>
        </w:rPr>
        <w:t>del</w:t>
      </w:r>
      <w:r>
        <w:rPr>
          <w:spacing w:val="-22"/>
          <w:w w:val="115"/>
          <w:sz w:val="16"/>
        </w:rPr>
        <w:t> </w:t>
      </w:r>
      <w:r>
        <w:rPr>
          <w:i/>
          <w:w w:val="115"/>
          <w:sz w:val="16"/>
        </w:rPr>
        <w:t>Solida- </w:t>
      </w:r>
      <w:r>
        <w:rPr>
          <w:i/>
          <w:w w:val="102"/>
          <w:sz w:val="16"/>
        </w:rPr>
        <w:t>rity</w:t>
      </w:r>
      <w:r>
        <w:rPr>
          <w:i/>
          <w:spacing w:val="9"/>
          <w:sz w:val="16"/>
        </w:rPr>
        <w:t> </w:t>
      </w:r>
      <w:r>
        <w:rPr>
          <w:i/>
          <w:w w:val="105"/>
          <w:sz w:val="16"/>
        </w:rPr>
        <w:t>Center</w:t>
      </w:r>
      <w:r>
        <w:rPr>
          <w:i/>
          <w:spacing w:val="9"/>
          <w:sz w:val="16"/>
        </w:rPr>
        <w:t> </w:t>
      </w:r>
      <w:r>
        <w:rPr>
          <w:w w:val="106"/>
          <w:sz w:val="16"/>
        </w:rPr>
        <w:t>en</w:t>
      </w:r>
      <w:r>
        <w:rPr>
          <w:spacing w:val="9"/>
          <w:sz w:val="16"/>
        </w:rPr>
        <w:t> </w:t>
      </w:r>
      <w:r>
        <w:rPr>
          <w:w w:val="136"/>
          <w:sz w:val="16"/>
        </w:rPr>
        <w:t>a</w:t>
      </w:r>
      <w:r>
        <w:rPr>
          <w:w w:val="108"/>
          <w:sz w:val="16"/>
        </w:rPr>
        <w:t>mérica</w:t>
      </w:r>
      <w:r>
        <w:rPr>
          <w:spacing w:val="9"/>
          <w:sz w:val="16"/>
        </w:rPr>
        <w:t> </w:t>
      </w:r>
      <w:r>
        <w:rPr>
          <w:w w:val="238"/>
          <w:sz w:val="16"/>
        </w:rPr>
        <w:t>l</w:t>
      </w:r>
      <w:r>
        <w:rPr>
          <w:w w:val="111"/>
          <w:sz w:val="16"/>
        </w:rPr>
        <w:t>atina,</w:t>
      </w:r>
      <w:r>
        <w:rPr>
          <w:spacing w:val="9"/>
          <w:sz w:val="16"/>
        </w:rPr>
        <w:t> </w:t>
      </w:r>
      <w:r>
        <w:rPr>
          <w:w w:val="101"/>
          <w:sz w:val="16"/>
        </w:rPr>
        <w:t>ver</w:t>
      </w:r>
      <w:r>
        <w:rPr>
          <w:spacing w:val="9"/>
          <w:sz w:val="16"/>
        </w:rPr>
        <w:t> </w:t>
      </w:r>
      <w:r>
        <w:rPr>
          <w:w w:val="131"/>
          <w:sz w:val="16"/>
        </w:rPr>
        <w:t>b</w:t>
      </w:r>
      <w:r>
        <w:rPr>
          <w:w w:val="105"/>
          <w:sz w:val="16"/>
        </w:rPr>
        <w:t>ass</w:t>
      </w:r>
      <w:r>
        <w:rPr>
          <w:spacing w:val="9"/>
          <w:sz w:val="16"/>
        </w:rPr>
        <w:t> </w:t>
      </w:r>
      <w:r>
        <w:rPr>
          <w:w w:val="101"/>
          <w:sz w:val="16"/>
        </w:rPr>
        <w:t>(2012).</w:t>
      </w:r>
    </w:p>
    <w:p>
      <w:pPr>
        <w:spacing w:after="0" w:line="242" w:lineRule="auto"/>
        <w:jc w:val="both"/>
        <w:rPr>
          <w:sz w:val="16"/>
        </w:rPr>
        <w:sectPr>
          <w:headerReference w:type="default" r:id="rId309"/>
          <w:headerReference w:type="even" r:id="rId310"/>
          <w:footerReference w:type="default" r:id="rId311"/>
          <w:footerReference w:type="even" r:id="rId312"/>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w w:val="110"/>
        </w:rPr>
        <w:t>intervencionista fue denunciada en el propio Congreso estadouniden- se desde la formación misma de la   NEd.</w:t>
      </w:r>
    </w:p>
    <w:p>
      <w:pPr>
        <w:pStyle w:val="BodyText"/>
        <w:spacing w:line="252" w:lineRule="auto"/>
        <w:ind w:left="120" w:right="326" w:firstLine="396"/>
        <w:jc w:val="both"/>
      </w:pPr>
      <w:r>
        <w:rPr>
          <w:spacing w:val="1"/>
          <w:w w:val="243"/>
        </w:rPr>
        <w:t>l</w:t>
      </w:r>
      <w:r>
        <w:rPr>
          <w:spacing w:val="1"/>
          <w:w w:val="108"/>
        </w:rPr>
        <w:t>o</w:t>
      </w:r>
      <w:r>
        <w:rPr>
          <w:w w:val="108"/>
        </w:rPr>
        <w:t>s</w:t>
      </w:r>
      <w:r>
        <w:rPr/>
        <w:t> </w:t>
      </w:r>
      <w:r>
        <w:rPr>
          <w:spacing w:val="8"/>
        </w:rPr>
        <w:t> </w:t>
      </w:r>
      <w:r>
        <w:rPr>
          <w:spacing w:val="1"/>
          <w:w w:val="108"/>
        </w:rPr>
        <w:t>recurso</w:t>
      </w:r>
      <w:r>
        <w:rPr>
          <w:w w:val="108"/>
        </w:rPr>
        <w:t>s</w:t>
      </w:r>
      <w:r>
        <w:rPr/>
        <w:t> </w:t>
      </w:r>
      <w:r>
        <w:rPr>
          <w:spacing w:val="8"/>
        </w:rPr>
        <w:t> </w:t>
      </w:r>
      <w:r>
        <w:rPr>
          <w:spacing w:val="1"/>
          <w:w w:val="107"/>
        </w:rPr>
        <w:t>d</w:t>
      </w:r>
      <w:r>
        <w:rPr>
          <w:w w:val="107"/>
        </w:rPr>
        <w:t>e</w:t>
      </w:r>
      <w:r>
        <w:rPr/>
        <w:t> </w:t>
      </w:r>
      <w:r>
        <w:rPr>
          <w:spacing w:val="8"/>
        </w:rPr>
        <w:t> </w:t>
      </w:r>
      <w:r>
        <w:rPr>
          <w:spacing w:val="1"/>
          <w:w w:val="111"/>
        </w:rPr>
        <w:t>l</w:t>
      </w:r>
      <w:r>
        <w:rPr>
          <w:w w:val="111"/>
        </w:rPr>
        <w:t>a</w:t>
      </w:r>
      <w:r>
        <w:rPr/>
        <w:t> </w:t>
      </w:r>
      <w:r>
        <w:rPr>
          <w:spacing w:val="8"/>
        </w:rPr>
        <w:t> </w:t>
      </w:r>
      <w:r>
        <w:rPr>
          <w:spacing w:val="1"/>
          <w:w w:val="123"/>
        </w:rPr>
        <w:t>NE</w:t>
      </w:r>
      <w:r>
        <w:rPr>
          <w:w w:val="139"/>
        </w:rPr>
        <w:t>d</w:t>
      </w:r>
      <w:r>
        <w:rPr/>
        <w:t> </w:t>
      </w:r>
      <w:r>
        <w:rPr>
          <w:spacing w:val="8"/>
        </w:rPr>
        <w:t> </w:t>
      </w:r>
      <w:r>
        <w:rPr>
          <w:spacing w:val="1"/>
          <w:w w:val="109"/>
        </w:rPr>
        <w:t>so</w:t>
      </w:r>
      <w:r>
        <w:rPr>
          <w:w w:val="109"/>
        </w:rPr>
        <w:t>n</w:t>
      </w:r>
      <w:r>
        <w:rPr/>
        <w:t> </w:t>
      </w:r>
      <w:r>
        <w:rPr>
          <w:spacing w:val="8"/>
        </w:rPr>
        <w:t> </w:t>
      </w:r>
      <w:r>
        <w:rPr>
          <w:spacing w:val="1"/>
          <w:w w:val="110"/>
        </w:rPr>
        <w:t>utilizado</w:t>
      </w:r>
      <w:r>
        <w:rPr>
          <w:w w:val="110"/>
        </w:rPr>
        <w:t>s</w:t>
      </w:r>
      <w:r>
        <w:rPr/>
        <w:t> </w:t>
      </w:r>
      <w:r>
        <w:rPr>
          <w:spacing w:val="8"/>
        </w:rPr>
        <w:t> </w:t>
      </w:r>
      <w:r>
        <w:rPr>
          <w:spacing w:val="1"/>
          <w:w w:val="108"/>
        </w:rPr>
        <w:t>e</w:t>
      </w:r>
      <w:r>
        <w:rPr>
          <w:w w:val="108"/>
        </w:rPr>
        <w:t>n</w:t>
      </w:r>
      <w:r>
        <w:rPr/>
        <w:t> </w:t>
      </w:r>
      <w:r>
        <w:rPr>
          <w:spacing w:val="8"/>
        </w:rPr>
        <w:t> </w:t>
      </w:r>
      <w:r>
        <w:rPr>
          <w:spacing w:val="1"/>
          <w:w w:val="107"/>
        </w:rPr>
        <w:t>e</w:t>
      </w:r>
      <w:r>
        <w:rPr>
          <w:w w:val="107"/>
        </w:rPr>
        <w:t>l</w:t>
      </w:r>
      <w:r>
        <w:rPr/>
        <w:t> </w:t>
      </w:r>
      <w:r>
        <w:rPr>
          <w:spacing w:val="8"/>
        </w:rPr>
        <w:t> </w:t>
      </w:r>
      <w:r>
        <w:rPr>
          <w:spacing w:val="1"/>
          <w:w w:val="107"/>
        </w:rPr>
        <w:t>exterio</w:t>
      </w:r>
      <w:r>
        <w:rPr>
          <w:w w:val="107"/>
        </w:rPr>
        <w:t>r</w:t>
      </w:r>
      <w:r>
        <w:rPr/>
        <w:t> </w:t>
      </w:r>
      <w:r>
        <w:rPr>
          <w:spacing w:val="8"/>
        </w:rPr>
        <w:t> </w:t>
      </w:r>
      <w:r>
        <w:rPr>
          <w:spacing w:val="1"/>
          <w:w w:val="109"/>
        </w:rPr>
        <w:t>par</w:t>
      </w:r>
      <w:r>
        <w:rPr>
          <w:w w:val="109"/>
        </w:rPr>
        <w:t>a</w:t>
      </w:r>
      <w:r>
        <w:rPr/>
        <w:t> </w:t>
      </w:r>
      <w:r>
        <w:rPr>
          <w:spacing w:val="8"/>
        </w:rPr>
        <w:t> </w:t>
      </w:r>
      <w:r>
        <w:rPr>
          <w:w w:val="104"/>
        </w:rPr>
        <w:t>f</w:t>
      </w:r>
      <w:r>
        <w:rPr>
          <w:spacing w:val="1"/>
          <w:w w:val="104"/>
        </w:rPr>
        <w:t>i</w:t>
      </w:r>
      <w:r>
        <w:rPr>
          <w:w w:val="102"/>
        </w:rPr>
        <w:t>- </w:t>
      </w:r>
      <w:r>
        <w:rPr>
          <w:w w:val="110"/>
        </w:rPr>
        <w:t>nanciar actividades y organizaciones de diversos tipos: centros de investigación y formulación de políticas públicas –conocidos como </w:t>
      </w:r>
      <w:r>
        <w:rPr>
          <w:i/>
          <w:w w:val="110"/>
        </w:rPr>
        <w:t>think tanks</w:t>
      </w:r>
      <w:r>
        <w:rPr>
          <w:w w:val="110"/>
        </w:rPr>
        <w:t>–, oNGs, asociaciones empresariales y de trabajadores, partidos políticos, diferentes organizaciones de la sociedad civil</w:t>
      </w:r>
      <w:r>
        <w:rPr>
          <w:w w:val="110"/>
          <w:position w:val="6"/>
          <w:sz w:val="11"/>
        </w:rPr>
        <w:t>4</w:t>
      </w:r>
      <w:r>
        <w:rPr>
          <w:w w:val="110"/>
        </w:rPr>
        <w:t>. al mismo tiempo que contribuye al proceso de </w:t>
      </w:r>
      <w:r>
        <w:rPr>
          <w:i/>
          <w:w w:val="110"/>
        </w:rPr>
        <w:t>oenegización </w:t>
      </w:r>
      <w:r>
        <w:rPr>
          <w:w w:val="110"/>
        </w:rPr>
        <w:t>de la políti- ca social, conforme menciona oliveira (2006: 284), se articula con el conjunto de fuerzas que intervienen en las políticas públicas. según    el análisis de Petras (1997, 1999) un conjunto de oNGs creadas a        lo largo de los años ochenta y noventa desarrolló una acción políti-    ca tendiente a minar el crecimiento de movimientos sociales que se oponían  al  modelo</w:t>
      </w:r>
      <w:r>
        <w:rPr>
          <w:spacing w:val="-17"/>
          <w:w w:val="110"/>
        </w:rPr>
        <w:t> </w:t>
      </w:r>
      <w:r>
        <w:rPr>
          <w:w w:val="110"/>
        </w:rPr>
        <w:t>neoliberal.</w:t>
      </w:r>
    </w:p>
    <w:p>
      <w:pPr>
        <w:pStyle w:val="BodyText"/>
        <w:spacing w:before="5"/>
      </w:pPr>
    </w:p>
    <w:p>
      <w:pPr>
        <w:spacing w:before="0"/>
        <w:ind w:left="121" w:right="0" w:firstLine="0"/>
        <w:jc w:val="both"/>
        <w:rPr>
          <w:rFonts w:ascii="Times New Roman"/>
          <w:b/>
          <w:sz w:val="20"/>
        </w:rPr>
      </w:pPr>
      <w:r>
        <w:rPr>
          <w:rFonts w:ascii="Times New Roman"/>
          <w:b/>
          <w:i/>
          <w:spacing w:val="2"/>
          <w:w w:val="148"/>
          <w:sz w:val="20"/>
        </w:rPr>
        <w:t>c</w:t>
      </w:r>
      <w:r>
        <w:rPr>
          <w:rFonts w:ascii="Times New Roman"/>
          <w:b/>
          <w:i/>
          <w:spacing w:val="3"/>
          <w:w w:val="134"/>
          <w:sz w:val="20"/>
        </w:rPr>
        <w:t>e</w:t>
      </w:r>
      <w:r>
        <w:rPr>
          <w:rFonts w:ascii="Times New Roman"/>
          <w:b/>
          <w:i/>
          <w:spacing w:val="4"/>
          <w:w w:val="128"/>
          <w:sz w:val="20"/>
        </w:rPr>
        <w:t>n</w:t>
      </w:r>
      <w:r>
        <w:rPr>
          <w:rFonts w:ascii="Times New Roman"/>
          <w:b/>
          <w:i/>
          <w:spacing w:val="4"/>
          <w:w w:val="210"/>
          <w:sz w:val="20"/>
        </w:rPr>
        <w:t>t</w:t>
      </w:r>
      <w:r>
        <w:rPr>
          <w:rFonts w:ascii="Times New Roman"/>
          <w:b/>
          <w:i/>
          <w:spacing w:val="3"/>
          <w:w w:val="134"/>
          <w:sz w:val="20"/>
        </w:rPr>
        <w:t>e</w:t>
      </w:r>
      <w:r>
        <w:rPr>
          <w:rFonts w:ascii="Times New Roman"/>
          <w:b/>
          <w:i/>
          <w:w w:val="163"/>
          <w:sz w:val="20"/>
        </w:rPr>
        <w:t>r</w:t>
      </w:r>
      <w:r>
        <w:rPr>
          <w:rFonts w:ascii="Times New Roman"/>
          <w:b/>
          <w:i/>
          <w:spacing w:val="-8"/>
          <w:sz w:val="20"/>
        </w:rPr>
        <w:t> </w:t>
      </w:r>
      <w:r>
        <w:rPr>
          <w:rFonts w:ascii="Times New Roman"/>
          <w:b/>
          <w:i/>
          <w:spacing w:val="3"/>
          <w:w w:val="168"/>
          <w:sz w:val="20"/>
        </w:rPr>
        <w:t>f</w:t>
      </w:r>
      <w:r>
        <w:rPr>
          <w:rFonts w:ascii="Times New Roman"/>
          <w:b/>
          <w:i/>
          <w:spacing w:val="2"/>
          <w:w w:val="153"/>
          <w:sz w:val="20"/>
        </w:rPr>
        <w:t>o</w:t>
      </w:r>
      <w:r>
        <w:rPr>
          <w:rFonts w:ascii="Times New Roman"/>
          <w:b/>
          <w:i/>
          <w:w w:val="153"/>
          <w:sz w:val="20"/>
        </w:rPr>
        <w:t>r</w:t>
      </w:r>
      <w:r>
        <w:rPr>
          <w:rFonts w:ascii="Times New Roman"/>
          <w:b/>
          <w:i/>
          <w:spacing w:val="-8"/>
          <w:sz w:val="20"/>
        </w:rPr>
        <w:t> </w:t>
      </w:r>
      <w:r>
        <w:rPr>
          <w:rFonts w:ascii="Times New Roman"/>
          <w:b/>
          <w:i/>
          <w:spacing w:val="2"/>
          <w:w w:val="131"/>
          <w:sz w:val="20"/>
        </w:rPr>
        <w:t>i</w:t>
      </w:r>
      <w:r>
        <w:rPr>
          <w:rFonts w:ascii="Times New Roman"/>
          <w:b/>
          <w:i/>
          <w:spacing w:val="4"/>
          <w:w w:val="128"/>
          <w:sz w:val="20"/>
        </w:rPr>
        <w:t>n</w:t>
      </w:r>
      <w:r>
        <w:rPr>
          <w:rFonts w:ascii="Times New Roman"/>
          <w:b/>
          <w:i/>
          <w:spacing w:val="4"/>
          <w:w w:val="210"/>
          <w:sz w:val="20"/>
        </w:rPr>
        <w:t>t</w:t>
      </w:r>
      <w:r>
        <w:rPr>
          <w:rFonts w:ascii="Times New Roman"/>
          <w:b/>
          <w:i/>
          <w:spacing w:val="3"/>
          <w:w w:val="134"/>
          <w:sz w:val="20"/>
        </w:rPr>
        <w:t>e</w:t>
      </w:r>
      <w:r>
        <w:rPr>
          <w:rFonts w:ascii="Times New Roman"/>
          <w:b/>
          <w:i/>
          <w:spacing w:val="2"/>
          <w:w w:val="142"/>
          <w:sz w:val="20"/>
        </w:rPr>
        <w:t>r</w:t>
      </w:r>
      <w:r>
        <w:rPr>
          <w:rFonts w:ascii="Times New Roman"/>
          <w:b/>
          <w:i/>
          <w:spacing w:val="-1"/>
          <w:w w:val="142"/>
          <w:sz w:val="20"/>
        </w:rPr>
        <w:t>n</w:t>
      </w:r>
      <w:r>
        <w:rPr>
          <w:rFonts w:ascii="Times New Roman"/>
          <w:b/>
          <w:i/>
          <w:spacing w:val="-10"/>
          <w:w w:val="128"/>
          <w:sz w:val="20"/>
        </w:rPr>
        <w:t>a</w:t>
      </w:r>
      <w:r>
        <w:rPr>
          <w:rFonts w:ascii="Times New Roman"/>
          <w:b/>
          <w:i/>
          <w:spacing w:val="4"/>
          <w:w w:val="210"/>
          <w:sz w:val="20"/>
        </w:rPr>
        <w:t>t</w:t>
      </w:r>
      <w:r>
        <w:rPr>
          <w:rFonts w:ascii="Times New Roman"/>
          <w:b/>
          <w:i/>
          <w:spacing w:val="2"/>
          <w:w w:val="131"/>
          <w:sz w:val="20"/>
        </w:rPr>
        <w:t>i</w:t>
      </w:r>
      <w:r>
        <w:rPr>
          <w:rFonts w:ascii="Times New Roman"/>
          <w:b/>
          <w:i/>
          <w:spacing w:val="2"/>
          <w:w w:val="136"/>
          <w:sz w:val="20"/>
        </w:rPr>
        <w:t>o</w:t>
      </w:r>
      <w:r>
        <w:rPr>
          <w:rFonts w:ascii="Times New Roman"/>
          <w:b/>
          <w:i/>
          <w:spacing w:val="-1"/>
          <w:w w:val="136"/>
          <w:sz w:val="20"/>
        </w:rPr>
        <w:t>n</w:t>
      </w:r>
      <w:r>
        <w:rPr>
          <w:rFonts w:ascii="Times New Roman"/>
          <w:b/>
          <w:i/>
          <w:spacing w:val="2"/>
          <w:w w:val="156"/>
          <w:sz w:val="20"/>
        </w:rPr>
        <w:t>a</w:t>
      </w:r>
      <w:r>
        <w:rPr>
          <w:rFonts w:ascii="Times New Roman"/>
          <w:b/>
          <w:i/>
          <w:w w:val="156"/>
          <w:sz w:val="20"/>
        </w:rPr>
        <w:t>l</w:t>
      </w:r>
      <w:r>
        <w:rPr>
          <w:rFonts w:ascii="Times New Roman"/>
          <w:b/>
          <w:i/>
          <w:spacing w:val="-8"/>
          <w:sz w:val="20"/>
        </w:rPr>
        <w:t> </w:t>
      </w:r>
      <w:r>
        <w:rPr>
          <w:rFonts w:ascii="Times New Roman"/>
          <w:b/>
          <w:i/>
          <w:spacing w:val="1"/>
          <w:w w:val="100"/>
          <w:sz w:val="20"/>
        </w:rPr>
        <w:t>P</w:t>
      </w:r>
      <w:r>
        <w:rPr>
          <w:rFonts w:ascii="Times New Roman"/>
          <w:b/>
          <w:i/>
          <w:spacing w:val="2"/>
          <w:w w:val="149"/>
          <w:sz w:val="20"/>
        </w:rPr>
        <w:t>ri</w:t>
      </w:r>
      <w:r>
        <w:rPr>
          <w:rFonts w:ascii="Times New Roman"/>
          <w:b/>
          <w:i/>
          <w:spacing w:val="-8"/>
          <w:w w:val="145"/>
          <w:sz w:val="20"/>
        </w:rPr>
        <w:t>v</w:t>
      </w:r>
      <w:r>
        <w:rPr>
          <w:rFonts w:ascii="Times New Roman"/>
          <w:b/>
          <w:i/>
          <w:spacing w:val="-10"/>
          <w:w w:val="128"/>
          <w:sz w:val="20"/>
        </w:rPr>
        <w:t>a</w:t>
      </w:r>
      <w:r>
        <w:rPr>
          <w:rFonts w:ascii="Times New Roman"/>
          <w:b/>
          <w:i/>
          <w:spacing w:val="4"/>
          <w:w w:val="210"/>
          <w:sz w:val="20"/>
        </w:rPr>
        <w:t>t</w:t>
      </w:r>
      <w:r>
        <w:rPr>
          <w:rFonts w:ascii="Times New Roman"/>
          <w:b/>
          <w:i/>
          <w:w w:val="134"/>
          <w:sz w:val="20"/>
        </w:rPr>
        <w:t>e</w:t>
      </w:r>
      <w:r>
        <w:rPr>
          <w:rFonts w:ascii="Times New Roman"/>
          <w:b/>
          <w:i/>
          <w:spacing w:val="-8"/>
          <w:sz w:val="20"/>
        </w:rPr>
        <w:t> </w:t>
      </w:r>
      <w:r>
        <w:rPr>
          <w:rFonts w:ascii="Times New Roman"/>
          <w:b/>
          <w:i/>
          <w:spacing w:val="3"/>
          <w:w w:val="134"/>
          <w:sz w:val="20"/>
        </w:rPr>
        <w:t>e</w:t>
      </w:r>
      <w:r>
        <w:rPr>
          <w:rFonts w:ascii="Times New Roman"/>
          <w:b/>
          <w:i/>
          <w:spacing w:val="4"/>
          <w:w w:val="128"/>
          <w:sz w:val="20"/>
        </w:rPr>
        <w:t>n</w:t>
      </w:r>
      <w:r>
        <w:rPr>
          <w:rFonts w:ascii="Times New Roman"/>
          <w:b/>
          <w:i/>
          <w:spacing w:val="4"/>
          <w:w w:val="210"/>
          <w:sz w:val="20"/>
        </w:rPr>
        <w:t>t</w:t>
      </w:r>
      <w:r>
        <w:rPr>
          <w:rFonts w:ascii="Times New Roman"/>
          <w:b/>
          <w:i/>
          <w:spacing w:val="3"/>
          <w:w w:val="134"/>
          <w:sz w:val="20"/>
        </w:rPr>
        <w:t>e</w:t>
      </w:r>
      <w:r>
        <w:rPr>
          <w:rFonts w:ascii="Times New Roman"/>
          <w:b/>
          <w:i/>
          <w:spacing w:val="2"/>
          <w:w w:val="163"/>
          <w:sz w:val="20"/>
        </w:rPr>
        <w:t>r</w:t>
      </w:r>
      <w:r>
        <w:rPr>
          <w:rFonts w:ascii="Times New Roman"/>
          <w:b/>
          <w:i/>
          <w:spacing w:val="1"/>
          <w:w w:val="100"/>
          <w:sz w:val="20"/>
        </w:rPr>
        <w:t>P</w:t>
      </w:r>
      <w:r>
        <w:rPr>
          <w:rFonts w:ascii="Times New Roman"/>
          <w:b/>
          <w:i/>
          <w:spacing w:val="2"/>
          <w:w w:val="149"/>
          <w:sz w:val="20"/>
        </w:rPr>
        <w:t>ri</w:t>
      </w:r>
      <w:r>
        <w:rPr>
          <w:rFonts w:ascii="Times New Roman"/>
          <w:b/>
          <w:i/>
          <w:spacing w:val="2"/>
          <w:w w:val="133"/>
          <w:sz w:val="20"/>
        </w:rPr>
        <w:t>s</w:t>
      </w:r>
      <w:r>
        <w:rPr>
          <w:rFonts w:ascii="Times New Roman"/>
          <w:b/>
          <w:i/>
          <w:w w:val="133"/>
          <w:sz w:val="20"/>
        </w:rPr>
        <w:t>e</w:t>
      </w:r>
      <w:r>
        <w:rPr>
          <w:rFonts w:ascii="Times New Roman"/>
          <w:b/>
          <w:i/>
          <w:spacing w:val="-8"/>
          <w:sz w:val="20"/>
        </w:rPr>
        <w:t> </w:t>
      </w:r>
      <w:r>
        <w:rPr>
          <w:rFonts w:ascii="Times New Roman"/>
          <w:b/>
          <w:spacing w:val="2"/>
          <w:w w:val="133"/>
          <w:sz w:val="20"/>
        </w:rPr>
        <w:t>(ci</w:t>
      </w:r>
      <w:r>
        <w:rPr>
          <w:rFonts w:ascii="Times New Roman"/>
          <w:b/>
          <w:spacing w:val="2"/>
          <w:w w:val="99"/>
          <w:sz w:val="20"/>
        </w:rPr>
        <w:t>P</w:t>
      </w:r>
      <w:r>
        <w:rPr>
          <w:rFonts w:ascii="Times New Roman"/>
          <w:b/>
          <w:spacing w:val="2"/>
          <w:w w:val="126"/>
          <w:sz w:val="20"/>
        </w:rPr>
        <w:t>e)</w:t>
      </w:r>
    </w:p>
    <w:p>
      <w:pPr>
        <w:pStyle w:val="BodyText"/>
        <w:spacing w:line="252" w:lineRule="auto" w:before="10"/>
        <w:ind w:left="120" w:right="327"/>
        <w:jc w:val="both"/>
      </w:pPr>
      <w:r>
        <w:rPr>
          <w:w w:val="110"/>
        </w:rPr>
        <w:t>El CiPE, la organización de interés en este trabajo, se constituyó como una entidad vinculada a la </w:t>
      </w:r>
      <w:r>
        <w:rPr>
          <w:i/>
          <w:w w:val="110"/>
        </w:rPr>
        <w:t>U.S. Chamber of Commerce </w:t>
      </w:r>
      <w:r>
        <w:rPr>
          <w:w w:val="110"/>
        </w:rPr>
        <w:t>(Cámara Esta- dounidense de Comercio), una poderosa organización empresarial a la cual se vinculan más de una centena de asociaciones empresariales en el</w:t>
      </w:r>
      <w:r>
        <w:rPr>
          <w:spacing w:val="29"/>
          <w:w w:val="110"/>
        </w:rPr>
        <w:t> </w:t>
      </w:r>
      <w:r>
        <w:rPr>
          <w:w w:val="110"/>
        </w:rPr>
        <w:t>mundo.</w:t>
      </w:r>
    </w:p>
    <w:p>
      <w:pPr>
        <w:pStyle w:val="BodyText"/>
        <w:spacing w:line="252" w:lineRule="auto"/>
        <w:ind w:left="120" w:right="327" w:firstLine="396"/>
        <w:jc w:val="both"/>
      </w:pPr>
      <w:r>
        <w:rPr>
          <w:w w:val="110"/>
        </w:rPr>
        <w:t>Para analizar el giro neoliberal de los Estados unidos en los años setenta, Harvey (2008) comienza con el histórico informe que elevara </w:t>
      </w:r>
      <w:r>
        <w:rPr>
          <w:w w:val="243"/>
        </w:rPr>
        <w:t>l</w:t>
      </w:r>
      <w:r>
        <w:rPr>
          <w:w w:val="106"/>
        </w:rPr>
        <w:t>ewis</w:t>
      </w:r>
      <w:r>
        <w:rPr>
          <w:spacing w:val="3"/>
        </w:rPr>
        <w:t> </w:t>
      </w:r>
      <w:r>
        <w:rPr>
          <w:w w:val="108"/>
        </w:rPr>
        <w:t>Powell</w:t>
      </w:r>
      <w:r>
        <w:rPr>
          <w:spacing w:val="3"/>
        </w:rPr>
        <w:t> </w:t>
      </w:r>
      <w:r>
        <w:rPr>
          <w:w w:val="112"/>
        </w:rPr>
        <w:t>a</w:t>
      </w:r>
      <w:r>
        <w:rPr>
          <w:spacing w:val="3"/>
        </w:rPr>
        <w:t> </w:t>
      </w:r>
      <w:r>
        <w:rPr>
          <w:w w:val="111"/>
        </w:rPr>
        <w:t>la</w:t>
      </w:r>
      <w:r>
        <w:rPr>
          <w:spacing w:val="3"/>
        </w:rPr>
        <w:t> </w:t>
      </w:r>
      <w:r>
        <w:rPr>
          <w:w w:val="113"/>
        </w:rPr>
        <w:t>Cámara</w:t>
      </w:r>
      <w:r>
        <w:rPr>
          <w:spacing w:val="3"/>
        </w:rPr>
        <w:t> </w:t>
      </w:r>
      <w:r>
        <w:rPr>
          <w:w w:val="107"/>
        </w:rPr>
        <w:t>de</w:t>
      </w:r>
      <w:r>
        <w:rPr>
          <w:spacing w:val="3"/>
        </w:rPr>
        <w:t> </w:t>
      </w:r>
      <w:r>
        <w:rPr>
          <w:w w:val="112"/>
        </w:rPr>
        <w:t>Comercio</w:t>
      </w:r>
      <w:r>
        <w:rPr>
          <w:spacing w:val="3"/>
        </w:rPr>
        <w:t> </w:t>
      </w:r>
      <w:r>
        <w:rPr>
          <w:w w:val="107"/>
        </w:rPr>
        <w:t>de</w:t>
      </w:r>
      <w:r>
        <w:rPr>
          <w:spacing w:val="3"/>
        </w:rPr>
        <w:t> </w:t>
      </w:r>
      <w:r>
        <w:rPr>
          <w:w w:val="108"/>
        </w:rPr>
        <w:t>los</w:t>
      </w:r>
      <w:r>
        <w:rPr>
          <w:spacing w:val="3"/>
        </w:rPr>
        <w:t> </w:t>
      </w:r>
      <w:r>
        <w:rPr>
          <w:w w:val="111"/>
        </w:rPr>
        <w:t>Estados</w:t>
      </w:r>
      <w:r>
        <w:rPr>
          <w:spacing w:val="3"/>
        </w:rPr>
        <w:t> </w:t>
      </w:r>
      <w:r>
        <w:rPr>
          <w:w w:val="140"/>
        </w:rPr>
        <w:t>u</w:t>
      </w:r>
      <w:r>
        <w:rPr>
          <w:w w:val="110"/>
        </w:rPr>
        <w:t>nidos</w:t>
      </w:r>
      <w:r>
        <w:rPr>
          <w:spacing w:val="3"/>
        </w:rPr>
        <w:t> </w:t>
      </w:r>
      <w:r>
        <w:rPr>
          <w:w w:val="108"/>
        </w:rPr>
        <w:t>en</w:t>
      </w:r>
      <w:r>
        <w:rPr>
          <w:spacing w:val="3"/>
        </w:rPr>
        <w:t> </w:t>
      </w:r>
      <w:r>
        <w:rPr>
          <w:w w:val="109"/>
        </w:rPr>
        <w:t>agos</w:t>
      </w:r>
      <w:r>
        <w:rPr>
          <w:w w:val="102"/>
        </w:rPr>
        <w:t>- </w:t>
      </w:r>
      <w:r>
        <w:rPr>
          <w:w w:val="110"/>
        </w:rPr>
        <w:t>to de 1971, cuando se preparaba para asumir un puesto en la Corte suprema, habiendo sido elegido por richard Nixon. En el documento Powell hace una defensa del sistema estadounidense de libre</w:t>
      </w:r>
      <w:r>
        <w:rPr>
          <w:spacing w:val="-13"/>
          <w:w w:val="110"/>
        </w:rPr>
        <w:t> </w:t>
      </w:r>
      <w:r>
        <w:rPr>
          <w:w w:val="110"/>
        </w:rPr>
        <w:t>mercado y de la necesidad de movilizar esfuerzos contra aquellos que busquen destruirlo.</w:t>
      </w:r>
      <w:r>
        <w:rPr>
          <w:spacing w:val="19"/>
          <w:w w:val="110"/>
        </w:rPr>
        <w:t> </w:t>
      </w:r>
      <w:r>
        <w:rPr>
          <w:w w:val="110"/>
        </w:rPr>
        <w:t>Para</w:t>
      </w:r>
      <w:r>
        <w:rPr>
          <w:spacing w:val="19"/>
          <w:w w:val="110"/>
        </w:rPr>
        <w:t> </w:t>
      </w:r>
      <w:r>
        <w:rPr>
          <w:w w:val="110"/>
        </w:rPr>
        <w:t>esto,</w:t>
      </w:r>
      <w:r>
        <w:rPr>
          <w:spacing w:val="19"/>
          <w:w w:val="110"/>
        </w:rPr>
        <w:t> </w:t>
      </w:r>
      <w:r>
        <w:rPr>
          <w:w w:val="110"/>
        </w:rPr>
        <w:t>no</w:t>
      </w:r>
      <w:r>
        <w:rPr>
          <w:spacing w:val="19"/>
          <w:w w:val="110"/>
        </w:rPr>
        <w:t> </w:t>
      </w:r>
      <w:r>
        <w:rPr>
          <w:w w:val="110"/>
        </w:rPr>
        <w:t>alcanzaría</w:t>
      </w:r>
      <w:r>
        <w:rPr>
          <w:spacing w:val="19"/>
          <w:w w:val="110"/>
        </w:rPr>
        <w:t> </w:t>
      </w:r>
      <w:r>
        <w:rPr>
          <w:w w:val="110"/>
        </w:rPr>
        <w:t>con</w:t>
      </w:r>
      <w:r>
        <w:rPr>
          <w:spacing w:val="19"/>
          <w:w w:val="110"/>
        </w:rPr>
        <w:t> </w:t>
      </w:r>
      <w:r>
        <w:rPr>
          <w:w w:val="110"/>
        </w:rPr>
        <w:t>acción</w:t>
      </w:r>
      <w:r>
        <w:rPr>
          <w:spacing w:val="19"/>
          <w:w w:val="110"/>
        </w:rPr>
        <w:t> </w:t>
      </w:r>
      <w:r>
        <w:rPr>
          <w:w w:val="110"/>
        </w:rPr>
        <w:t>individual.</w:t>
      </w:r>
      <w:r>
        <w:rPr>
          <w:spacing w:val="19"/>
          <w:w w:val="110"/>
        </w:rPr>
        <w:t> </w:t>
      </w:r>
      <w:r>
        <w:rPr>
          <w:w w:val="110"/>
        </w:rPr>
        <w:t>según</w:t>
      </w:r>
      <w:r>
        <w:rPr>
          <w:spacing w:val="19"/>
          <w:w w:val="110"/>
        </w:rPr>
        <w:t> </w:t>
      </w:r>
      <w:r>
        <w:rPr>
          <w:w w:val="110"/>
        </w:rPr>
        <w:t>él,</w:t>
      </w:r>
    </w:p>
    <w:p>
      <w:pPr>
        <w:pStyle w:val="BodyText"/>
      </w:pPr>
    </w:p>
    <w:p>
      <w:pPr>
        <w:spacing w:before="0"/>
        <w:ind w:left="517" w:right="328" w:firstLine="0"/>
        <w:jc w:val="both"/>
        <w:rPr>
          <w:sz w:val="18"/>
        </w:rPr>
      </w:pPr>
      <w:r>
        <w:rPr>
          <w:w w:val="238"/>
          <w:sz w:val="18"/>
        </w:rPr>
        <w:t>l</w:t>
      </w:r>
      <w:r>
        <w:rPr>
          <w:w w:val="109"/>
          <w:sz w:val="18"/>
        </w:rPr>
        <w:t>a</w:t>
      </w:r>
      <w:r>
        <w:rPr>
          <w:sz w:val="18"/>
        </w:rPr>
        <w:t> </w:t>
      </w:r>
      <w:r>
        <w:rPr>
          <w:spacing w:val="-10"/>
          <w:sz w:val="18"/>
        </w:rPr>
        <w:t> </w:t>
      </w:r>
      <w:r>
        <w:rPr>
          <w:w w:val="108"/>
          <w:sz w:val="18"/>
        </w:rPr>
        <w:t>fuerza</w:t>
      </w:r>
      <w:r>
        <w:rPr>
          <w:sz w:val="18"/>
        </w:rPr>
        <w:t> </w:t>
      </w:r>
      <w:r>
        <w:rPr>
          <w:spacing w:val="-10"/>
          <w:sz w:val="18"/>
        </w:rPr>
        <w:t> </w:t>
      </w:r>
      <w:r>
        <w:rPr>
          <w:w w:val="104"/>
          <w:sz w:val="18"/>
        </w:rPr>
        <w:t>reside</w:t>
      </w:r>
      <w:r>
        <w:rPr>
          <w:sz w:val="18"/>
        </w:rPr>
        <w:t> </w:t>
      </w:r>
      <w:r>
        <w:rPr>
          <w:spacing w:val="-10"/>
          <w:sz w:val="18"/>
        </w:rPr>
        <w:t> </w:t>
      </w:r>
      <w:r>
        <w:rPr>
          <w:w w:val="106"/>
          <w:sz w:val="18"/>
        </w:rPr>
        <w:t>en</w:t>
      </w:r>
      <w:r>
        <w:rPr>
          <w:sz w:val="18"/>
        </w:rPr>
        <w:t> </w:t>
      </w:r>
      <w:r>
        <w:rPr>
          <w:spacing w:val="-10"/>
          <w:sz w:val="18"/>
        </w:rPr>
        <w:t> </w:t>
      </w:r>
      <w:r>
        <w:rPr>
          <w:w w:val="109"/>
          <w:sz w:val="18"/>
        </w:rPr>
        <w:t>la</w:t>
      </w:r>
      <w:r>
        <w:rPr>
          <w:sz w:val="18"/>
        </w:rPr>
        <w:t> </w:t>
      </w:r>
      <w:r>
        <w:rPr>
          <w:spacing w:val="-10"/>
          <w:sz w:val="18"/>
        </w:rPr>
        <w:t> </w:t>
      </w:r>
      <w:r>
        <w:rPr>
          <w:w w:val="110"/>
          <w:sz w:val="18"/>
        </w:rPr>
        <w:t>organización,</w:t>
      </w:r>
      <w:r>
        <w:rPr>
          <w:sz w:val="18"/>
        </w:rPr>
        <w:t> </w:t>
      </w:r>
      <w:r>
        <w:rPr>
          <w:spacing w:val="-10"/>
          <w:sz w:val="18"/>
        </w:rPr>
        <w:t> </w:t>
      </w:r>
      <w:r>
        <w:rPr>
          <w:w w:val="106"/>
          <w:sz w:val="18"/>
        </w:rPr>
        <w:t>en</w:t>
      </w:r>
      <w:r>
        <w:rPr>
          <w:sz w:val="18"/>
        </w:rPr>
        <w:t> </w:t>
      </w:r>
      <w:r>
        <w:rPr>
          <w:spacing w:val="-10"/>
          <w:sz w:val="18"/>
        </w:rPr>
        <w:t> </w:t>
      </w:r>
      <w:r>
        <w:rPr>
          <w:w w:val="109"/>
          <w:sz w:val="18"/>
        </w:rPr>
        <w:t>la</w:t>
      </w:r>
      <w:r>
        <w:rPr>
          <w:sz w:val="18"/>
        </w:rPr>
        <w:t> </w:t>
      </w:r>
      <w:r>
        <w:rPr>
          <w:spacing w:val="-10"/>
          <w:sz w:val="18"/>
        </w:rPr>
        <w:t> </w:t>
      </w:r>
      <w:r>
        <w:rPr>
          <w:w w:val="109"/>
          <w:sz w:val="18"/>
        </w:rPr>
        <w:t>planificación</w:t>
      </w:r>
      <w:r>
        <w:rPr>
          <w:sz w:val="18"/>
        </w:rPr>
        <w:t> </w:t>
      </w:r>
      <w:r>
        <w:rPr>
          <w:spacing w:val="-10"/>
          <w:sz w:val="18"/>
        </w:rPr>
        <w:t> </w:t>
      </w:r>
      <w:r>
        <w:rPr>
          <w:w w:val="102"/>
          <w:sz w:val="18"/>
        </w:rPr>
        <w:t>e</w:t>
      </w:r>
      <w:r>
        <w:rPr>
          <w:sz w:val="18"/>
        </w:rPr>
        <w:t> </w:t>
      </w:r>
      <w:r>
        <w:rPr>
          <w:spacing w:val="-10"/>
          <w:sz w:val="18"/>
        </w:rPr>
        <w:t> </w:t>
      </w:r>
      <w:r>
        <w:rPr>
          <w:w w:val="108"/>
          <w:sz w:val="18"/>
        </w:rPr>
        <w:t>implemen</w:t>
      </w:r>
      <w:r>
        <w:rPr>
          <w:w w:val="100"/>
          <w:sz w:val="18"/>
        </w:rPr>
        <w:t>- </w:t>
      </w:r>
      <w:r>
        <w:rPr>
          <w:w w:val="110"/>
          <w:sz w:val="18"/>
        </w:rPr>
        <w:t>tación meticulosa de largo plazo, en la coherencia de acción duran-</w:t>
      </w:r>
      <w:r>
        <w:rPr>
          <w:spacing w:val="43"/>
          <w:w w:val="110"/>
          <w:sz w:val="18"/>
        </w:rPr>
        <w:t> </w:t>
      </w:r>
      <w:r>
        <w:rPr>
          <w:w w:val="110"/>
          <w:sz w:val="18"/>
        </w:rPr>
        <w:t>te un período indefinido de años, en el financiamiento en una escala que</w:t>
      </w:r>
      <w:r>
        <w:rPr>
          <w:spacing w:val="-11"/>
          <w:w w:val="110"/>
          <w:sz w:val="18"/>
        </w:rPr>
        <w:t> </w:t>
      </w:r>
      <w:r>
        <w:rPr>
          <w:w w:val="110"/>
          <w:sz w:val="18"/>
        </w:rPr>
        <w:t>se</w:t>
      </w:r>
      <w:r>
        <w:rPr>
          <w:spacing w:val="-11"/>
          <w:w w:val="110"/>
          <w:sz w:val="18"/>
        </w:rPr>
        <w:t> </w:t>
      </w:r>
      <w:r>
        <w:rPr>
          <w:w w:val="110"/>
          <w:sz w:val="18"/>
        </w:rPr>
        <w:t>obtiene</w:t>
      </w:r>
      <w:r>
        <w:rPr>
          <w:spacing w:val="-11"/>
          <w:w w:val="110"/>
          <w:sz w:val="18"/>
        </w:rPr>
        <w:t> </w:t>
      </w:r>
      <w:r>
        <w:rPr>
          <w:w w:val="110"/>
          <w:sz w:val="18"/>
        </w:rPr>
        <w:t>solamente</w:t>
      </w:r>
      <w:r>
        <w:rPr>
          <w:spacing w:val="-11"/>
          <w:w w:val="110"/>
          <w:sz w:val="18"/>
        </w:rPr>
        <w:t> </w:t>
      </w:r>
      <w:r>
        <w:rPr>
          <w:w w:val="110"/>
          <w:sz w:val="18"/>
        </w:rPr>
        <w:t>por</w:t>
      </w:r>
      <w:r>
        <w:rPr>
          <w:spacing w:val="-11"/>
          <w:w w:val="110"/>
          <w:sz w:val="18"/>
        </w:rPr>
        <w:t> </w:t>
      </w:r>
      <w:r>
        <w:rPr>
          <w:w w:val="110"/>
          <w:sz w:val="18"/>
        </w:rPr>
        <w:t>medio</w:t>
      </w:r>
      <w:r>
        <w:rPr>
          <w:spacing w:val="-11"/>
          <w:w w:val="110"/>
          <w:sz w:val="18"/>
        </w:rPr>
        <w:t> </w:t>
      </w:r>
      <w:r>
        <w:rPr>
          <w:w w:val="110"/>
          <w:sz w:val="18"/>
        </w:rPr>
        <w:t>del</w:t>
      </w:r>
      <w:r>
        <w:rPr>
          <w:spacing w:val="-11"/>
          <w:w w:val="110"/>
          <w:sz w:val="18"/>
        </w:rPr>
        <w:t> </w:t>
      </w:r>
      <w:r>
        <w:rPr>
          <w:w w:val="110"/>
          <w:sz w:val="18"/>
        </w:rPr>
        <w:t>esfuerzo</w:t>
      </w:r>
      <w:r>
        <w:rPr>
          <w:spacing w:val="-11"/>
          <w:w w:val="110"/>
          <w:sz w:val="18"/>
        </w:rPr>
        <w:t> </w:t>
      </w:r>
      <w:r>
        <w:rPr>
          <w:w w:val="110"/>
          <w:sz w:val="18"/>
        </w:rPr>
        <w:t>conjunto,</w:t>
      </w:r>
      <w:r>
        <w:rPr>
          <w:spacing w:val="-11"/>
          <w:w w:val="110"/>
          <w:sz w:val="18"/>
        </w:rPr>
        <w:t> </w:t>
      </w:r>
      <w:r>
        <w:rPr>
          <w:w w:val="110"/>
          <w:sz w:val="18"/>
        </w:rPr>
        <w:t>en</w:t>
      </w:r>
      <w:r>
        <w:rPr>
          <w:spacing w:val="-11"/>
          <w:w w:val="110"/>
          <w:sz w:val="18"/>
        </w:rPr>
        <w:t> </w:t>
      </w:r>
      <w:r>
        <w:rPr>
          <w:w w:val="110"/>
          <w:sz w:val="18"/>
        </w:rPr>
        <w:t>el</w:t>
      </w:r>
      <w:r>
        <w:rPr>
          <w:spacing w:val="-11"/>
          <w:w w:val="110"/>
          <w:sz w:val="18"/>
        </w:rPr>
        <w:t> </w:t>
      </w:r>
      <w:r>
        <w:rPr>
          <w:w w:val="110"/>
          <w:sz w:val="18"/>
        </w:rPr>
        <w:t>poder político que solamente se obtiene por medio de la acción unida y de organizaciones</w:t>
      </w:r>
      <w:r>
        <w:rPr>
          <w:spacing w:val="-8"/>
          <w:w w:val="110"/>
          <w:sz w:val="18"/>
        </w:rPr>
        <w:t> </w:t>
      </w:r>
      <w:r>
        <w:rPr>
          <w:w w:val="110"/>
          <w:sz w:val="18"/>
        </w:rPr>
        <w:t>de</w:t>
      </w:r>
      <w:r>
        <w:rPr>
          <w:spacing w:val="-8"/>
          <w:w w:val="110"/>
          <w:sz w:val="18"/>
        </w:rPr>
        <w:t> </w:t>
      </w:r>
      <w:r>
        <w:rPr>
          <w:w w:val="110"/>
          <w:sz w:val="18"/>
        </w:rPr>
        <w:t>alcance</w:t>
      </w:r>
      <w:r>
        <w:rPr>
          <w:spacing w:val="-8"/>
          <w:w w:val="110"/>
          <w:sz w:val="18"/>
        </w:rPr>
        <w:t> </w:t>
      </w:r>
      <w:r>
        <w:rPr>
          <w:w w:val="110"/>
          <w:sz w:val="18"/>
        </w:rPr>
        <w:t>nacional</w:t>
      </w:r>
      <w:r>
        <w:rPr>
          <w:spacing w:val="-8"/>
          <w:w w:val="110"/>
          <w:sz w:val="18"/>
        </w:rPr>
        <w:t> </w:t>
      </w:r>
      <w:r>
        <w:rPr>
          <w:w w:val="110"/>
          <w:sz w:val="18"/>
        </w:rPr>
        <w:t>(Powell,</w:t>
      </w:r>
      <w:r>
        <w:rPr>
          <w:spacing w:val="-8"/>
          <w:w w:val="110"/>
          <w:sz w:val="18"/>
        </w:rPr>
        <w:t> </w:t>
      </w:r>
      <w:r>
        <w:rPr>
          <w:w w:val="110"/>
          <w:sz w:val="18"/>
        </w:rPr>
        <w:t>“Memorando”;</w:t>
      </w:r>
      <w:r>
        <w:rPr>
          <w:spacing w:val="-8"/>
          <w:w w:val="110"/>
          <w:sz w:val="18"/>
        </w:rPr>
        <w:t> </w:t>
      </w:r>
      <w:r>
        <w:rPr>
          <w:w w:val="110"/>
          <w:sz w:val="18"/>
        </w:rPr>
        <w:t>en</w:t>
      </w:r>
      <w:r>
        <w:rPr>
          <w:spacing w:val="-8"/>
          <w:w w:val="110"/>
          <w:sz w:val="18"/>
        </w:rPr>
        <w:t> </w:t>
      </w:r>
      <w:r>
        <w:rPr>
          <w:spacing w:val="-3"/>
          <w:w w:val="110"/>
          <w:sz w:val="18"/>
        </w:rPr>
        <w:t>Harvey, </w:t>
      </w:r>
      <w:r>
        <w:rPr>
          <w:w w:val="105"/>
          <w:sz w:val="18"/>
        </w:rPr>
        <w:t>2008:</w:t>
      </w:r>
      <w:r>
        <w:rPr>
          <w:spacing w:val="-14"/>
          <w:w w:val="105"/>
          <w:sz w:val="18"/>
        </w:rPr>
        <w:t> </w:t>
      </w:r>
      <w:r>
        <w:rPr>
          <w:w w:val="105"/>
          <w:sz w:val="18"/>
        </w:rPr>
        <w:t>52).</w:t>
      </w:r>
    </w:p>
    <w:p>
      <w:pPr>
        <w:pStyle w:val="BodyText"/>
        <w:spacing w:before="1"/>
        <w:rPr>
          <w:sz w:val="21"/>
        </w:rPr>
      </w:pPr>
    </w:p>
    <w:p>
      <w:pPr>
        <w:pStyle w:val="BodyText"/>
        <w:spacing w:line="252" w:lineRule="auto"/>
        <w:ind w:left="120" w:right="328"/>
        <w:jc w:val="both"/>
      </w:pPr>
      <w:r>
        <w:rPr>
          <w:w w:val="243"/>
        </w:rPr>
        <w:t>l</w:t>
      </w:r>
      <w:r>
        <w:rPr>
          <w:w w:val="110"/>
        </w:rPr>
        <w:t>o</w:t>
      </w:r>
      <w:r>
        <w:rPr/>
        <w:t> </w:t>
      </w:r>
      <w:r>
        <w:rPr>
          <w:spacing w:val="-16"/>
        </w:rPr>
        <w:t> </w:t>
      </w:r>
      <w:r>
        <w:rPr>
          <w:w w:val="108"/>
        </w:rPr>
        <w:t>que</w:t>
      </w:r>
      <w:r>
        <w:rPr/>
        <w:t> </w:t>
      </w:r>
      <w:r>
        <w:rPr>
          <w:spacing w:val="-16"/>
        </w:rPr>
        <w:t> </w:t>
      </w:r>
      <w:r>
        <w:rPr>
          <w:w w:val="108"/>
        </w:rPr>
        <w:t>Powell</w:t>
      </w:r>
      <w:r>
        <w:rPr/>
        <w:t> </w:t>
      </w:r>
      <w:r>
        <w:rPr>
          <w:spacing w:val="-16"/>
        </w:rPr>
        <w:t> </w:t>
      </w:r>
      <w:r>
        <w:rPr>
          <w:w w:val="109"/>
        </w:rPr>
        <w:t>sugería</w:t>
      </w:r>
      <w:r>
        <w:rPr/>
        <w:t> </w:t>
      </w:r>
      <w:r>
        <w:rPr>
          <w:spacing w:val="-16"/>
        </w:rPr>
        <w:t> </w:t>
      </w:r>
      <w:r>
        <w:rPr>
          <w:w w:val="112"/>
        </w:rPr>
        <w:t>a</w:t>
      </w:r>
      <w:r>
        <w:rPr/>
        <w:t> </w:t>
      </w:r>
      <w:r>
        <w:rPr>
          <w:spacing w:val="-16"/>
        </w:rPr>
        <w:t> </w:t>
      </w:r>
      <w:r>
        <w:rPr>
          <w:w w:val="111"/>
        </w:rPr>
        <w:t>la</w:t>
      </w:r>
      <w:r>
        <w:rPr/>
        <w:t> </w:t>
      </w:r>
      <w:r>
        <w:rPr>
          <w:spacing w:val="-16"/>
        </w:rPr>
        <w:t> </w:t>
      </w:r>
      <w:r>
        <w:rPr>
          <w:w w:val="113"/>
        </w:rPr>
        <w:t>Cámara</w:t>
      </w:r>
      <w:r>
        <w:rPr/>
        <w:t> </w:t>
      </w:r>
      <w:r>
        <w:rPr>
          <w:spacing w:val="-16"/>
        </w:rPr>
        <w:t> </w:t>
      </w:r>
      <w:r>
        <w:rPr>
          <w:w w:val="107"/>
        </w:rPr>
        <w:t>de</w:t>
      </w:r>
      <w:r>
        <w:rPr/>
        <w:t> </w:t>
      </w:r>
      <w:r>
        <w:rPr>
          <w:spacing w:val="-16"/>
        </w:rPr>
        <w:t> </w:t>
      </w:r>
      <w:r>
        <w:rPr>
          <w:w w:val="112"/>
        </w:rPr>
        <w:t>Comercio</w:t>
      </w:r>
      <w:r>
        <w:rPr/>
        <w:t> </w:t>
      </w:r>
      <w:r>
        <w:rPr>
          <w:spacing w:val="-16"/>
        </w:rPr>
        <w:t> </w:t>
      </w:r>
      <w:r>
        <w:rPr>
          <w:w w:val="107"/>
        </w:rPr>
        <w:t>era</w:t>
      </w:r>
      <w:r>
        <w:rPr/>
        <w:t> </w:t>
      </w:r>
      <w:r>
        <w:rPr>
          <w:spacing w:val="-16"/>
        </w:rPr>
        <w:t> </w:t>
      </w:r>
      <w:r>
        <w:rPr>
          <w:w w:val="108"/>
        </w:rPr>
        <w:t>desarrollar</w:t>
      </w:r>
      <w:r>
        <w:rPr/>
        <w:t> </w:t>
      </w:r>
      <w:r>
        <w:rPr>
          <w:spacing w:val="-15"/>
        </w:rPr>
        <w:t> </w:t>
      </w:r>
      <w:r>
        <w:rPr>
          <w:w w:val="112"/>
        </w:rPr>
        <w:t>una </w:t>
      </w:r>
      <w:r>
        <w:rPr>
          <w:w w:val="115"/>
        </w:rPr>
        <w:t>acción</w:t>
      </w:r>
      <w:r>
        <w:rPr>
          <w:spacing w:val="-21"/>
          <w:w w:val="115"/>
        </w:rPr>
        <w:t> </w:t>
      </w:r>
      <w:r>
        <w:rPr>
          <w:w w:val="115"/>
        </w:rPr>
        <w:t>directa</w:t>
      </w:r>
      <w:r>
        <w:rPr>
          <w:spacing w:val="-21"/>
          <w:w w:val="115"/>
        </w:rPr>
        <w:t> </w:t>
      </w:r>
      <w:r>
        <w:rPr>
          <w:w w:val="115"/>
        </w:rPr>
        <w:t>junto</w:t>
      </w:r>
      <w:r>
        <w:rPr>
          <w:spacing w:val="-21"/>
          <w:w w:val="115"/>
        </w:rPr>
        <w:t> </w:t>
      </w:r>
      <w:r>
        <w:rPr>
          <w:w w:val="115"/>
        </w:rPr>
        <w:t>a</w:t>
      </w:r>
      <w:r>
        <w:rPr>
          <w:spacing w:val="-21"/>
          <w:w w:val="115"/>
        </w:rPr>
        <w:t> </w:t>
      </w:r>
      <w:r>
        <w:rPr>
          <w:w w:val="115"/>
        </w:rPr>
        <w:t>las</w:t>
      </w:r>
      <w:r>
        <w:rPr>
          <w:spacing w:val="-21"/>
          <w:w w:val="115"/>
        </w:rPr>
        <w:t> </w:t>
      </w:r>
      <w:r>
        <w:rPr>
          <w:w w:val="115"/>
        </w:rPr>
        <w:t>universidades,</w:t>
      </w:r>
      <w:r>
        <w:rPr>
          <w:spacing w:val="-21"/>
          <w:w w:val="115"/>
        </w:rPr>
        <w:t> </w:t>
      </w:r>
      <w:r>
        <w:rPr>
          <w:w w:val="115"/>
        </w:rPr>
        <w:t>escuelas,</w:t>
      </w:r>
      <w:r>
        <w:rPr>
          <w:spacing w:val="-21"/>
          <w:w w:val="115"/>
        </w:rPr>
        <w:t> </w:t>
      </w:r>
      <w:r>
        <w:rPr>
          <w:w w:val="115"/>
        </w:rPr>
        <w:t>medios</w:t>
      </w:r>
      <w:r>
        <w:rPr>
          <w:spacing w:val="-21"/>
          <w:w w:val="115"/>
        </w:rPr>
        <w:t> </w:t>
      </w:r>
      <w:r>
        <w:rPr>
          <w:w w:val="115"/>
        </w:rPr>
        <w:t>de</w:t>
      </w:r>
      <w:r>
        <w:rPr>
          <w:spacing w:val="-21"/>
          <w:w w:val="115"/>
        </w:rPr>
        <w:t> </w:t>
      </w:r>
      <w:r>
        <w:rPr>
          <w:w w:val="115"/>
        </w:rPr>
        <w:t>comuni-</w:t>
      </w:r>
    </w:p>
    <w:p>
      <w:pPr>
        <w:pStyle w:val="BodyText"/>
        <w:rPr>
          <w:sz w:val="20"/>
        </w:rPr>
      </w:pPr>
    </w:p>
    <w:p>
      <w:pPr>
        <w:pStyle w:val="BodyText"/>
        <w:spacing w:before="10"/>
        <w:rPr>
          <w:sz w:val="11"/>
        </w:rPr>
      </w:pPr>
      <w:r>
        <w:rPr/>
        <w:pict>
          <v:line style="position:absolute;mso-position-horizontal-relative:page;mso-position-vertical-relative:paragraph;z-index:5560;mso-wrap-distance-left:0;mso-wrap-distance-right:0" from="51.023602pt,9.186399pt" to="79.369602pt,9.186399pt" stroked="true" strokeweight=".5pt" strokecolor="#000000">
            <w10:wrap type="topAndBottom"/>
          </v:line>
        </w:pict>
      </w:r>
    </w:p>
    <w:p>
      <w:pPr>
        <w:pStyle w:val="ListParagraph"/>
        <w:numPr>
          <w:ilvl w:val="0"/>
          <w:numId w:val="28"/>
        </w:numPr>
        <w:tabs>
          <w:tab w:pos="376" w:val="left" w:leader="none"/>
        </w:tabs>
        <w:spacing w:line="242" w:lineRule="auto" w:before="89" w:after="0"/>
        <w:ind w:left="120" w:right="328" w:firstLine="0"/>
        <w:jc w:val="left"/>
        <w:rPr>
          <w:sz w:val="16"/>
        </w:rPr>
      </w:pPr>
      <w:r>
        <w:rPr>
          <w:w w:val="110"/>
          <w:sz w:val="16"/>
        </w:rPr>
        <w:t>Entre 1990 y 1997, la NEd financió directamente 1.754 programas en el mundo, con</w:t>
      </w:r>
      <w:r>
        <w:rPr>
          <w:spacing w:val="-6"/>
          <w:w w:val="110"/>
          <w:sz w:val="16"/>
        </w:rPr>
        <w:t> </w:t>
      </w:r>
      <w:r>
        <w:rPr>
          <w:w w:val="110"/>
          <w:sz w:val="16"/>
        </w:rPr>
        <w:t>un</w:t>
      </w:r>
      <w:r>
        <w:rPr>
          <w:spacing w:val="-6"/>
          <w:w w:val="110"/>
          <w:sz w:val="16"/>
        </w:rPr>
        <w:t> </w:t>
      </w:r>
      <w:r>
        <w:rPr>
          <w:w w:val="110"/>
          <w:sz w:val="16"/>
        </w:rPr>
        <w:t>total</w:t>
      </w:r>
      <w:r>
        <w:rPr>
          <w:spacing w:val="-6"/>
          <w:w w:val="110"/>
          <w:sz w:val="16"/>
        </w:rPr>
        <w:t> </w:t>
      </w:r>
      <w:r>
        <w:rPr>
          <w:w w:val="110"/>
          <w:sz w:val="16"/>
        </w:rPr>
        <w:t>de</w:t>
      </w:r>
      <w:r>
        <w:rPr>
          <w:spacing w:val="-6"/>
          <w:w w:val="110"/>
          <w:sz w:val="16"/>
        </w:rPr>
        <w:t> </w:t>
      </w:r>
      <w:r>
        <w:rPr>
          <w:w w:val="110"/>
          <w:sz w:val="16"/>
        </w:rPr>
        <w:t>us$</w:t>
      </w:r>
      <w:r>
        <w:rPr>
          <w:spacing w:val="-6"/>
          <w:w w:val="110"/>
          <w:sz w:val="16"/>
        </w:rPr>
        <w:t> </w:t>
      </w:r>
      <w:r>
        <w:rPr>
          <w:w w:val="110"/>
          <w:sz w:val="16"/>
        </w:rPr>
        <w:t>153,2</w:t>
      </w:r>
      <w:r>
        <w:rPr>
          <w:spacing w:val="-6"/>
          <w:w w:val="110"/>
          <w:sz w:val="16"/>
        </w:rPr>
        <w:t> </w:t>
      </w:r>
      <w:r>
        <w:rPr>
          <w:w w:val="110"/>
          <w:sz w:val="16"/>
        </w:rPr>
        <w:t>millones</w:t>
      </w:r>
      <w:r>
        <w:rPr>
          <w:spacing w:val="-6"/>
          <w:w w:val="110"/>
          <w:sz w:val="16"/>
        </w:rPr>
        <w:t> </w:t>
      </w:r>
      <w:r>
        <w:rPr>
          <w:w w:val="110"/>
          <w:sz w:val="16"/>
        </w:rPr>
        <w:t>de</w:t>
      </w:r>
      <w:r>
        <w:rPr>
          <w:spacing w:val="-6"/>
          <w:w w:val="110"/>
          <w:sz w:val="16"/>
        </w:rPr>
        <w:t> </w:t>
      </w:r>
      <w:r>
        <w:rPr>
          <w:w w:val="110"/>
          <w:sz w:val="16"/>
        </w:rPr>
        <w:t>dólares</w:t>
      </w:r>
      <w:r>
        <w:rPr>
          <w:spacing w:val="-6"/>
          <w:w w:val="110"/>
          <w:sz w:val="16"/>
        </w:rPr>
        <w:t> </w:t>
      </w:r>
      <w:r>
        <w:rPr>
          <w:w w:val="110"/>
          <w:sz w:val="16"/>
        </w:rPr>
        <w:t>(scott</w:t>
      </w:r>
      <w:r>
        <w:rPr>
          <w:spacing w:val="-6"/>
          <w:w w:val="110"/>
          <w:sz w:val="16"/>
        </w:rPr>
        <w:t> </w:t>
      </w:r>
      <w:r>
        <w:rPr>
          <w:w w:val="110"/>
          <w:sz w:val="16"/>
        </w:rPr>
        <w:t>y</w:t>
      </w:r>
      <w:r>
        <w:rPr>
          <w:spacing w:val="-6"/>
          <w:w w:val="110"/>
          <w:sz w:val="16"/>
        </w:rPr>
        <w:t> </w:t>
      </w:r>
      <w:r>
        <w:rPr>
          <w:w w:val="110"/>
          <w:sz w:val="16"/>
        </w:rPr>
        <w:t>Walters,</w:t>
      </w:r>
      <w:r>
        <w:rPr>
          <w:spacing w:val="-6"/>
          <w:w w:val="110"/>
          <w:sz w:val="16"/>
        </w:rPr>
        <w:t> </w:t>
      </w:r>
      <w:r>
        <w:rPr>
          <w:w w:val="110"/>
          <w:sz w:val="16"/>
        </w:rPr>
        <w:t>2000:</w:t>
      </w:r>
      <w:r>
        <w:rPr>
          <w:spacing w:val="-6"/>
          <w:w w:val="110"/>
          <w:sz w:val="16"/>
        </w:rPr>
        <w:t> </w:t>
      </w:r>
      <w:r>
        <w:rPr>
          <w:w w:val="110"/>
          <w:sz w:val="16"/>
        </w:rPr>
        <w:t>243-244).</w:t>
      </w:r>
    </w:p>
    <w:p>
      <w:pPr>
        <w:spacing w:after="0" w:line="242" w:lineRule="auto"/>
        <w:jc w:val="left"/>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cación, mercado editorial y cortes de justicia para revertir el cuadro y cambiar el pensamiento de las personas sobre “las corporaciones, el derecho, la cultura y el individuo” </w:t>
      </w:r>
      <w:r>
        <w:rPr>
          <w:spacing w:val="-3"/>
          <w:w w:val="110"/>
        </w:rPr>
        <w:t>(Harvey, </w:t>
      </w:r>
      <w:r>
        <w:rPr>
          <w:w w:val="110"/>
        </w:rPr>
        <w:t>2008: 53).</w:t>
      </w:r>
      <w:r>
        <w:rPr>
          <w:w w:val="110"/>
          <w:position w:val="6"/>
          <w:sz w:val="11"/>
        </w:rPr>
        <w:t>5 </w:t>
      </w:r>
      <w:r>
        <w:rPr>
          <w:w w:val="110"/>
        </w:rPr>
        <w:t>según </w:t>
      </w:r>
      <w:r>
        <w:rPr>
          <w:spacing w:val="-4"/>
          <w:w w:val="110"/>
        </w:rPr>
        <w:t>Harvey, </w:t>
      </w:r>
      <w:r>
        <w:rPr>
          <w:w w:val="110"/>
        </w:rPr>
        <w:t>“es difícil saber qué influencia directa ejerció esta presión sobre el plano de la lucha de clases”. No obstante, dice, “sabemos que después de eso la Cámara de Comercio amplió su base de 60 mil empresas,     en 1972, a más de un cuarto de millón, diez años más tarde”, y que, asociada a la </w:t>
      </w:r>
      <w:r>
        <w:rPr>
          <w:i/>
          <w:w w:val="110"/>
        </w:rPr>
        <w:t>National Association of Manufacturers</w:t>
      </w:r>
      <w:r>
        <w:rPr>
          <w:w w:val="110"/>
        </w:rPr>
        <w:t>, juntó muchos recursos para hacer </w:t>
      </w:r>
      <w:r>
        <w:rPr>
          <w:i/>
          <w:w w:val="110"/>
        </w:rPr>
        <w:t>lobbying </w:t>
      </w:r>
      <w:r>
        <w:rPr>
          <w:w w:val="110"/>
        </w:rPr>
        <w:t>(cabildeo) y promover la investigación </w:t>
      </w:r>
      <w:r>
        <w:rPr>
          <w:spacing w:val="-3"/>
          <w:w w:val="110"/>
        </w:rPr>
        <w:t>(Harvey, </w:t>
      </w:r>
      <w:r>
        <w:rPr>
          <w:w w:val="110"/>
        </w:rPr>
        <w:t>2008:</w:t>
      </w:r>
      <w:r>
        <w:rPr>
          <w:spacing w:val="-24"/>
          <w:w w:val="110"/>
        </w:rPr>
        <w:t> </w:t>
      </w:r>
      <w:r>
        <w:rPr>
          <w:w w:val="110"/>
        </w:rPr>
        <w:t>53).</w:t>
      </w:r>
    </w:p>
    <w:p>
      <w:pPr>
        <w:pStyle w:val="BodyText"/>
        <w:spacing w:line="252" w:lineRule="auto"/>
        <w:ind w:left="330" w:right="117" w:firstLine="397"/>
        <w:jc w:val="both"/>
      </w:pPr>
      <w:r>
        <w:rPr>
          <w:w w:val="120"/>
        </w:rPr>
        <w:t>a</w:t>
      </w:r>
      <w:r>
        <w:rPr>
          <w:spacing w:val="-30"/>
          <w:w w:val="120"/>
        </w:rPr>
        <w:t> </w:t>
      </w:r>
      <w:r>
        <w:rPr>
          <w:w w:val="120"/>
        </w:rPr>
        <w:t>pesar</w:t>
      </w:r>
      <w:r>
        <w:rPr>
          <w:spacing w:val="-30"/>
          <w:w w:val="120"/>
        </w:rPr>
        <w:t> </w:t>
      </w:r>
      <w:r>
        <w:rPr>
          <w:w w:val="120"/>
        </w:rPr>
        <w:t>de</w:t>
      </w:r>
      <w:r>
        <w:rPr>
          <w:spacing w:val="-30"/>
          <w:w w:val="120"/>
        </w:rPr>
        <w:t> </w:t>
      </w:r>
      <w:r>
        <w:rPr>
          <w:w w:val="120"/>
        </w:rPr>
        <w:t>ser</w:t>
      </w:r>
      <w:r>
        <w:rPr>
          <w:spacing w:val="-30"/>
          <w:w w:val="120"/>
        </w:rPr>
        <w:t> </w:t>
      </w:r>
      <w:r>
        <w:rPr>
          <w:w w:val="120"/>
        </w:rPr>
        <w:t>una</w:t>
      </w:r>
      <w:r>
        <w:rPr>
          <w:spacing w:val="-30"/>
          <w:w w:val="120"/>
        </w:rPr>
        <w:t> </w:t>
      </w:r>
      <w:r>
        <w:rPr>
          <w:w w:val="120"/>
        </w:rPr>
        <w:t>entidad</w:t>
      </w:r>
      <w:r>
        <w:rPr>
          <w:spacing w:val="-30"/>
          <w:w w:val="120"/>
        </w:rPr>
        <w:t> </w:t>
      </w:r>
      <w:r>
        <w:rPr>
          <w:w w:val="120"/>
        </w:rPr>
        <w:t>privada</w:t>
      </w:r>
      <w:r>
        <w:rPr>
          <w:spacing w:val="-30"/>
          <w:w w:val="120"/>
        </w:rPr>
        <w:t> </w:t>
      </w:r>
      <w:r>
        <w:rPr>
          <w:w w:val="120"/>
        </w:rPr>
        <w:t>vinculada</w:t>
      </w:r>
      <w:r>
        <w:rPr>
          <w:spacing w:val="-30"/>
          <w:w w:val="120"/>
        </w:rPr>
        <w:t> </w:t>
      </w:r>
      <w:r>
        <w:rPr>
          <w:w w:val="120"/>
        </w:rPr>
        <w:t>a</w:t>
      </w:r>
      <w:r>
        <w:rPr>
          <w:spacing w:val="-30"/>
          <w:w w:val="120"/>
        </w:rPr>
        <w:t> </w:t>
      </w:r>
      <w:r>
        <w:rPr>
          <w:w w:val="120"/>
        </w:rPr>
        <w:t>la</w:t>
      </w:r>
      <w:r>
        <w:rPr>
          <w:spacing w:val="-30"/>
          <w:w w:val="120"/>
        </w:rPr>
        <w:t> </w:t>
      </w:r>
      <w:r>
        <w:rPr>
          <w:w w:val="120"/>
        </w:rPr>
        <w:t>Cámara</w:t>
      </w:r>
      <w:r>
        <w:rPr>
          <w:spacing w:val="-30"/>
          <w:w w:val="120"/>
        </w:rPr>
        <w:t> </w:t>
      </w:r>
      <w:r>
        <w:rPr>
          <w:w w:val="120"/>
        </w:rPr>
        <w:t>de</w:t>
      </w:r>
      <w:r>
        <w:rPr>
          <w:spacing w:val="-30"/>
          <w:w w:val="120"/>
        </w:rPr>
        <w:t> </w:t>
      </w:r>
      <w:r>
        <w:rPr>
          <w:w w:val="120"/>
        </w:rPr>
        <w:t>Co- </w:t>
      </w:r>
      <w:r>
        <w:rPr>
          <w:w w:val="115"/>
        </w:rPr>
        <w:t>mercio, los fondos del CiPE provienen básicamente del gobierno de Estados</w:t>
      </w:r>
      <w:r>
        <w:rPr>
          <w:spacing w:val="-10"/>
          <w:w w:val="115"/>
        </w:rPr>
        <w:t> </w:t>
      </w:r>
      <w:r>
        <w:rPr>
          <w:w w:val="115"/>
        </w:rPr>
        <w:t>unidos,</w:t>
      </w:r>
      <w:r>
        <w:rPr>
          <w:spacing w:val="-10"/>
          <w:w w:val="115"/>
        </w:rPr>
        <w:t> </w:t>
      </w:r>
      <w:r>
        <w:rPr>
          <w:w w:val="115"/>
        </w:rPr>
        <w:t>que</w:t>
      </w:r>
      <w:r>
        <w:rPr>
          <w:spacing w:val="-10"/>
          <w:w w:val="115"/>
        </w:rPr>
        <w:t> </w:t>
      </w:r>
      <w:r>
        <w:rPr>
          <w:w w:val="115"/>
        </w:rPr>
        <w:t>transfiere</w:t>
      </w:r>
      <w:r>
        <w:rPr>
          <w:spacing w:val="-10"/>
          <w:w w:val="115"/>
        </w:rPr>
        <w:t> </w:t>
      </w:r>
      <w:r>
        <w:rPr>
          <w:w w:val="115"/>
        </w:rPr>
        <w:t>una</w:t>
      </w:r>
      <w:r>
        <w:rPr>
          <w:spacing w:val="-10"/>
          <w:w w:val="115"/>
        </w:rPr>
        <w:t> </w:t>
      </w:r>
      <w:r>
        <w:rPr>
          <w:w w:val="115"/>
        </w:rPr>
        <w:t>parte</w:t>
      </w:r>
      <w:r>
        <w:rPr>
          <w:spacing w:val="-10"/>
          <w:w w:val="115"/>
        </w:rPr>
        <w:t> </w:t>
      </w:r>
      <w:r>
        <w:rPr>
          <w:w w:val="115"/>
        </w:rPr>
        <w:t>directamente</w:t>
      </w:r>
      <w:r>
        <w:rPr>
          <w:spacing w:val="-10"/>
          <w:w w:val="115"/>
        </w:rPr>
        <w:t> </w:t>
      </w:r>
      <w:r>
        <w:rPr>
          <w:w w:val="115"/>
        </w:rPr>
        <w:t>a</w:t>
      </w:r>
      <w:r>
        <w:rPr>
          <w:spacing w:val="-10"/>
          <w:w w:val="115"/>
        </w:rPr>
        <w:t> </w:t>
      </w:r>
      <w:r>
        <w:rPr>
          <w:w w:val="115"/>
        </w:rPr>
        <w:t>través</w:t>
      </w:r>
      <w:r>
        <w:rPr>
          <w:spacing w:val="-10"/>
          <w:w w:val="115"/>
        </w:rPr>
        <w:t> </w:t>
      </w:r>
      <w:r>
        <w:rPr>
          <w:w w:val="115"/>
        </w:rPr>
        <w:t>de</w:t>
      </w:r>
      <w:r>
        <w:rPr>
          <w:spacing w:val="-10"/>
          <w:w w:val="115"/>
        </w:rPr>
        <w:t> </w:t>
      </w:r>
      <w:r>
        <w:rPr>
          <w:w w:val="115"/>
        </w:rPr>
        <w:t>la </w:t>
      </w:r>
      <w:r>
        <w:rPr>
          <w:w w:val="120"/>
        </w:rPr>
        <w:t>usaid, y otra a través del NEd que, a su vez, recibe fondos de las </w:t>
      </w:r>
      <w:r>
        <w:rPr>
          <w:w w:val="110"/>
        </w:rPr>
        <w:t>mismas</w:t>
      </w:r>
      <w:r>
        <w:rPr>
          <w:spacing w:val="17"/>
          <w:w w:val="110"/>
        </w:rPr>
        <w:t> </w:t>
      </w:r>
      <w:r>
        <w:rPr>
          <w:w w:val="110"/>
        </w:rPr>
        <w:t>fuentes</w:t>
      </w:r>
      <w:r>
        <w:rPr>
          <w:w w:val="110"/>
          <w:position w:val="6"/>
          <w:sz w:val="11"/>
        </w:rPr>
        <w:t>6</w:t>
      </w:r>
      <w:r>
        <w:rPr>
          <w:w w:val="110"/>
        </w:rPr>
        <w:t>.</w:t>
      </w:r>
    </w:p>
    <w:p>
      <w:pPr>
        <w:pStyle w:val="BodyText"/>
        <w:spacing w:line="252" w:lineRule="auto"/>
        <w:ind w:left="330" w:right="117" w:firstLine="396"/>
        <w:jc w:val="both"/>
      </w:pPr>
      <w:r>
        <w:rPr>
          <w:w w:val="110"/>
        </w:rPr>
        <w:t>En la estrategia del NEd, corresponde al CiPE concentrar su ope- ración en el sector empresarial, especialmente las asociaciones de re- presentación de clase (gremios) y organizaciones de la sociedad civil bajo su influencia, para lograr su compromiso en la formulación e implementación de políticas públicas orientadas con base en el inte- rés del mercado.</w:t>
      </w:r>
    </w:p>
    <w:p>
      <w:pPr>
        <w:pStyle w:val="BodyText"/>
        <w:spacing w:line="252" w:lineRule="auto"/>
        <w:ind w:left="330" w:right="117" w:firstLine="396"/>
        <w:jc w:val="both"/>
      </w:pPr>
      <w:r>
        <w:rPr>
          <w:w w:val="243"/>
        </w:rPr>
        <w:t>l</w:t>
      </w:r>
      <w:r>
        <w:rPr>
          <w:w w:val="109"/>
        </w:rPr>
        <w:t>as</w:t>
      </w:r>
      <w:r>
        <w:rPr>
          <w:spacing w:val="20"/>
        </w:rPr>
        <w:t> </w:t>
      </w:r>
      <w:r>
        <w:rPr>
          <w:w w:val="111"/>
        </w:rPr>
        <w:t>asociaciones</w:t>
      </w:r>
      <w:r>
        <w:rPr>
          <w:spacing w:val="20"/>
        </w:rPr>
        <w:t> </w:t>
      </w:r>
      <w:r>
        <w:rPr>
          <w:w w:val="108"/>
        </w:rPr>
        <w:t>empresariales</w:t>
      </w:r>
      <w:r>
        <w:rPr>
          <w:spacing w:val="20"/>
        </w:rPr>
        <w:t> </w:t>
      </w:r>
      <w:r>
        <w:rPr>
          <w:w w:val="109"/>
        </w:rPr>
        <w:t>son</w:t>
      </w:r>
      <w:r>
        <w:rPr>
          <w:spacing w:val="20"/>
        </w:rPr>
        <w:t> </w:t>
      </w:r>
      <w:r>
        <w:rPr>
          <w:w w:val="109"/>
        </w:rPr>
        <w:t>consideradas</w:t>
      </w:r>
      <w:r>
        <w:rPr>
          <w:spacing w:val="20"/>
        </w:rPr>
        <w:t> </w:t>
      </w:r>
      <w:r>
        <w:rPr>
          <w:w w:val="110"/>
        </w:rPr>
        <w:t>fundamentales </w:t>
      </w:r>
      <w:r>
        <w:rPr>
          <w:w w:val="110"/>
        </w:rPr>
        <w:t>para la participación del sector en la sociedad civil como actores cla- ve en la redefinición de las políticas públicas. Por lo tanto, el CiPE establece un vínculo estrecho con estas organizaciones estimulando    y</w:t>
      </w:r>
      <w:r>
        <w:rPr>
          <w:spacing w:val="36"/>
          <w:w w:val="110"/>
        </w:rPr>
        <w:t> </w:t>
      </w:r>
      <w:r>
        <w:rPr>
          <w:w w:val="110"/>
        </w:rPr>
        <w:t>apoyando</w:t>
      </w:r>
      <w:r>
        <w:rPr>
          <w:spacing w:val="36"/>
          <w:w w:val="110"/>
        </w:rPr>
        <w:t> </w:t>
      </w:r>
      <w:r>
        <w:rPr>
          <w:w w:val="110"/>
        </w:rPr>
        <w:t>la</w:t>
      </w:r>
      <w:r>
        <w:rPr>
          <w:spacing w:val="36"/>
          <w:w w:val="110"/>
        </w:rPr>
        <w:t> </w:t>
      </w:r>
      <w:r>
        <w:rPr>
          <w:w w:val="110"/>
        </w:rPr>
        <w:t>participación</w:t>
      </w:r>
      <w:r>
        <w:rPr>
          <w:spacing w:val="36"/>
          <w:w w:val="110"/>
        </w:rPr>
        <w:t> </w:t>
      </w:r>
      <w:r>
        <w:rPr>
          <w:w w:val="110"/>
        </w:rPr>
        <w:t>de</w:t>
      </w:r>
      <w:r>
        <w:rPr>
          <w:spacing w:val="36"/>
          <w:w w:val="110"/>
        </w:rPr>
        <w:t> </w:t>
      </w:r>
      <w:r>
        <w:rPr>
          <w:w w:val="110"/>
        </w:rPr>
        <w:t>los</w:t>
      </w:r>
      <w:r>
        <w:rPr>
          <w:spacing w:val="36"/>
          <w:w w:val="110"/>
        </w:rPr>
        <w:t> </w:t>
      </w:r>
      <w:r>
        <w:rPr>
          <w:w w:val="110"/>
        </w:rPr>
        <w:t>empresarios</w:t>
      </w:r>
      <w:r>
        <w:rPr>
          <w:spacing w:val="36"/>
          <w:w w:val="110"/>
        </w:rPr>
        <w:t> </w:t>
      </w:r>
      <w:r>
        <w:rPr>
          <w:w w:val="110"/>
        </w:rPr>
        <w:t>en</w:t>
      </w:r>
      <w:r>
        <w:rPr>
          <w:spacing w:val="36"/>
          <w:w w:val="110"/>
        </w:rPr>
        <w:t> </w:t>
      </w:r>
      <w:r>
        <w:rPr>
          <w:w w:val="110"/>
        </w:rPr>
        <w:t>el</w:t>
      </w:r>
      <w:r>
        <w:rPr>
          <w:spacing w:val="36"/>
          <w:w w:val="110"/>
        </w:rPr>
        <w:t> </w:t>
      </w:r>
      <w:r>
        <w:rPr>
          <w:w w:val="110"/>
        </w:rPr>
        <w:t>proceso</w:t>
      </w:r>
      <w:r>
        <w:rPr>
          <w:spacing w:val="36"/>
          <w:w w:val="110"/>
        </w:rPr>
        <w:t> </w:t>
      </w:r>
      <w:r>
        <w:rPr>
          <w:w w:val="110"/>
        </w:rPr>
        <w:t>polí-</w:t>
      </w:r>
    </w:p>
    <w:p>
      <w:pPr>
        <w:pStyle w:val="BodyText"/>
        <w:spacing w:before="5"/>
        <w:rPr>
          <w:sz w:val="18"/>
        </w:rPr>
      </w:pPr>
      <w:r>
        <w:rPr/>
        <w:pict>
          <v:line style="position:absolute;mso-position-horizontal-relative:page;mso-position-vertical-relative:paragraph;z-index:5584;mso-wrap-distance-left:0;mso-wrap-distance-right:0" from="76.5355pt,13.027228pt" to="104.8815pt,13.027228pt" stroked="true" strokeweight=".5pt" strokecolor="#000000">
            <w10:wrap type="topAndBottom"/>
          </v:line>
        </w:pict>
      </w:r>
    </w:p>
    <w:p>
      <w:pPr>
        <w:pStyle w:val="ListParagraph"/>
        <w:numPr>
          <w:ilvl w:val="0"/>
          <w:numId w:val="28"/>
        </w:numPr>
        <w:tabs>
          <w:tab w:pos="586" w:val="left" w:leader="none"/>
        </w:tabs>
        <w:spacing w:line="242" w:lineRule="auto" w:before="89" w:after="0"/>
        <w:ind w:left="330" w:right="117" w:firstLine="0"/>
        <w:jc w:val="both"/>
        <w:rPr>
          <w:sz w:val="16"/>
        </w:rPr>
      </w:pPr>
      <w:r>
        <w:rPr>
          <w:w w:val="108"/>
          <w:sz w:val="16"/>
        </w:rPr>
        <w:t>Para</w:t>
      </w:r>
      <w:r>
        <w:rPr>
          <w:sz w:val="16"/>
        </w:rPr>
        <w:t> </w:t>
      </w:r>
      <w:r>
        <w:rPr>
          <w:spacing w:val="-15"/>
          <w:sz w:val="16"/>
        </w:rPr>
        <w:t> </w:t>
      </w:r>
      <w:r>
        <w:rPr>
          <w:w w:val="108"/>
          <w:sz w:val="16"/>
        </w:rPr>
        <w:t>entonces,</w:t>
      </w:r>
      <w:r>
        <w:rPr>
          <w:sz w:val="16"/>
        </w:rPr>
        <w:t> </w:t>
      </w:r>
      <w:r>
        <w:rPr>
          <w:spacing w:val="-15"/>
          <w:sz w:val="16"/>
        </w:rPr>
        <w:t> </w:t>
      </w:r>
      <w:r>
        <w:rPr>
          <w:w w:val="238"/>
          <w:sz w:val="16"/>
        </w:rPr>
        <w:t>l</w:t>
      </w:r>
      <w:r>
        <w:rPr>
          <w:w w:val="104"/>
          <w:sz w:val="16"/>
        </w:rPr>
        <w:t>ewis</w:t>
      </w:r>
      <w:r>
        <w:rPr>
          <w:sz w:val="16"/>
        </w:rPr>
        <w:t> </w:t>
      </w:r>
      <w:r>
        <w:rPr>
          <w:spacing w:val="-15"/>
          <w:sz w:val="16"/>
        </w:rPr>
        <w:t> </w:t>
      </w:r>
      <w:r>
        <w:rPr>
          <w:w w:val="105"/>
          <w:sz w:val="16"/>
        </w:rPr>
        <w:t>era</w:t>
      </w:r>
      <w:r>
        <w:rPr>
          <w:sz w:val="16"/>
        </w:rPr>
        <w:t> </w:t>
      </w:r>
      <w:r>
        <w:rPr>
          <w:spacing w:val="-15"/>
          <w:sz w:val="16"/>
        </w:rPr>
        <w:t> </w:t>
      </w:r>
      <w:r>
        <w:rPr>
          <w:w w:val="108"/>
          <w:sz w:val="16"/>
        </w:rPr>
        <w:t>abogado</w:t>
      </w:r>
      <w:r>
        <w:rPr>
          <w:sz w:val="16"/>
        </w:rPr>
        <w:t> </w:t>
      </w:r>
      <w:r>
        <w:rPr>
          <w:spacing w:val="-15"/>
          <w:sz w:val="16"/>
        </w:rPr>
        <w:t> </w:t>
      </w:r>
      <w:r>
        <w:rPr>
          <w:w w:val="104"/>
          <w:sz w:val="16"/>
        </w:rPr>
        <w:t>de</w:t>
      </w:r>
      <w:r>
        <w:rPr>
          <w:sz w:val="16"/>
        </w:rPr>
        <w:t> </w:t>
      </w:r>
      <w:r>
        <w:rPr>
          <w:spacing w:val="-15"/>
          <w:sz w:val="16"/>
        </w:rPr>
        <w:t> </w:t>
      </w:r>
      <w:r>
        <w:rPr>
          <w:w w:val="106"/>
          <w:sz w:val="16"/>
        </w:rPr>
        <w:t>varias</w:t>
      </w:r>
      <w:r>
        <w:rPr>
          <w:sz w:val="16"/>
        </w:rPr>
        <w:t> </w:t>
      </w:r>
      <w:r>
        <w:rPr>
          <w:spacing w:val="-15"/>
          <w:sz w:val="16"/>
        </w:rPr>
        <w:t> </w:t>
      </w:r>
      <w:r>
        <w:rPr>
          <w:w w:val="105"/>
          <w:sz w:val="16"/>
        </w:rPr>
        <w:t>empresas</w:t>
      </w:r>
      <w:r>
        <w:rPr>
          <w:sz w:val="16"/>
        </w:rPr>
        <w:t> </w:t>
      </w:r>
      <w:r>
        <w:rPr>
          <w:spacing w:val="-15"/>
          <w:sz w:val="16"/>
        </w:rPr>
        <w:t> </w:t>
      </w:r>
      <w:r>
        <w:rPr>
          <w:w w:val="102"/>
          <w:sz w:val="16"/>
        </w:rPr>
        <w:t>y</w:t>
      </w:r>
      <w:r>
        <w:rPr>
          <w:sz w:val="16"/>
        </w:rPr>
        <w:t> </w:t>
      </w:r>
      <w:r>
        <w:rPr>
          <w:spacing w:val="-15"/>
          <w:sz w:val="16"/>
        </w:rPr>
        <w:t> </w:t>
      </w:r>
      <w:r>
        <w:rPr>
          <w:w w:val="108"/>
          <w:sz w:val="16"/>
        </w:rPr>
        <w:t>participaba</w:t>
      </w:r>
      <w:r>
        <w:rPr>
          <w:sz w:val="16"/>
        </w:rPr>
        <w:t> </w:t>
      </w:r>
      <w:r>
        <w:rPr>
          <w:spacing w:val="-15"/>
          <w:sz w:val="16"/>
        </w:rPr>
        <w:t> </w:t>
      </w:r>
      <w:r>
        <w:rPr>
          <w:w w:val="105"/>
          <w:sz w:val="16"/>
        </w:rPr>
        <w:t>del</w:t>
      </w:r>
      <w:r>
        <w:rPr>
          <w:sz w:val="16"/>
        </w:rPr>
        <w:t> </w:t>
      </w:r>
      <w:r>
        <w:rPr>
          <w:spacing w:val="-15"/>
          <w:sz w:val="16"/>
        </w:rPr>
        <w:t> </w:t>
      </w:r>
      <w:r>
        <w:rPr>
          <w:w w:val="107"/>
          <w:sz w:val="16"/>
        </w:rPr>
        <w:t>consejo </w:t>
      </w:r>
      <w:r>
        <w:rPr>
          <w:w w:val="105"/>
          <w:sz w:val="16"/>
        </w:rPr>
        <w:t>administrativo de once corporaciones. Este documento fue conocido como “Mani- fiesto Powell” y está disponible en </w:t>
      </w:r>
      <w:hyperlink r:id="rId315">
        <w:r>
          <w:rPr>
            <w:w w:val="105"/>
            <w:sz w:val="16"/>
          </w:rPr>
          <w:t>&lt;http://www.reclaimdemocracy.org/corporate_ac</w:t>
        </w:r>
      </w:hyperlink>
      <w:r>
        <w:rPr>
          <w:w w:val="105"/>
          <w:sz w:val="16"/>
        </w:rPr>
        <w:t>- countability/powell_memo_lewis.html&gt;. Para breves comentarios sobre el memoran- do, ver en esta misma dirección el texto “the Powell Memo, introduction”, del 3 de </w:t>
      </w:r>
      <w:r>
        <w:rPr>
          <w:spacing w:val="37"/>
          <w:w w:val="105"/>
          <w:sz w:val="16"/>
        </w:rPr>
        <w:t> </w:t>
      </w:r>
      <w:r>
        <w:rPr>
          <w:w w:val="105"/>
          <w:sz w:val="16"/>
        </w:rPr>
        <w:t>abril de</w:t>
      </w:r>
      <w:r>
        <w:rPr>
          <w:spacing w:val="18"/>
          <w:w w:val="105"/>
          <w:sz w:val="16"/>
        </w:rPr>
        <w:t> </w:t>
      </w:r>
      <w:r>
        <w:rPr>
          <w:w w:val="105"/>
          <w:sz w:val="16"/>
        </w:rPr>
        <w:t>2004.</w:t>
      </w:r>
    </w:p>
    <w:p>
      <w:pPr>
        <w:pStyle w:val="ListParagraph"/>
        <w:numPr>
          <w:ilvl w:val="0"/>
          <w:numId w:val="28"/>
        </w:numPr>
        <w:tabs>
          <w:tab w:pos="586" w:val="left" w:leader="none"/>
        </w:tabs>
        <w:spacing w:line="242" w:lineRule="auto" w:before="57" w:after="0"/>
        <w:ind w:left="330" w:right="118" w:firstLine="0"/>
        <w:jc w:val="both"/>
        <w:rPr>
          <w:sz w:val="16"/>
        </w:rPr>
      </w:pPr>
      <w:r>
        <w:rPr>
          <w:w w:val="238"/>
          <w:sz w:val="16"/>
        </w:rPr>
        <w:t>l</w:t>
      </w:r>
      <w:r>
        <w:rPr>
          <w:w w:val="105"/>
          <w:sz w:val="16"/>
        </w:rPr>
        <w:t>os</w:t>
      </w:r>
      <w:r>
        <w:rPr>
          <w:spacing w:val="4"/>
          <w:sz w:val="16"/>
        </w:rPr>
        <w:t> </w:t>
      </w:r>
      <w:r>
        <w:rPr>
          <w:w w:val="106"/>
          <w:sz w:val="16"/>
        </w:rPr>
        <w:t>recursos</w:t>
      </w:r>
      <w:r>
        <w:rPr>
          <w:spacing w:val="4"/>
          <w:sz w:val="16"/>
        </w:rPr>
        <w:t> </w:t>
      </w:r>
      <w:r>
        <w:rPr>
          <w:w w:val="105"/>
          <w:sz w:val="16"/>
        </w:rPr>
        <w:t>provenientes</w:t>
      </w:r>
      <w:r>
        <w:rPr>
          <w:spacing w:val="4"/>
          <w:sz w:val="16"/>
        </w:rPr>
        <w:t> </w:t>
      </w:r>
      <w:r>
        <w:rPr>
          <w:w w:val="104"/>
          <w:sz w:val="16"/>
        </w:rPr>
        <w:t>de</w:t>
      </w:r>
      <w:r>
        <w:rPr>
          <w:spacing w:val="4"/>
          <w:sz w:val="16"/>
        </w:rPr>
        <w:t> </w:t>
      </w:r>
      <w:r>
        <w:rPr>
          <w:w w:val="106"/>
          <w:sz w:val="16"/>
        </w:rPr>
        <w:t>otras</w:t>
      </w:r>
      <w:r>
        <w:rPr>
          <w:spacing w:val="4"/>
          <w:sz w:val="16"/>
        </w:rPr>
        <w:t> </w:t>
      </w:r>
      <w:r>
        <w:rPr>
          <w:w w:val="106"/>
          <w:sz w:val="16"/>
        </w:rPr>
        <w:t>fuentes</w:t>
      </w:r>
      <w:r>
        <w:rPr>
          <w:spacing w:val="4"/>
          <w:sz w:val="16"/>
        </w:rPr>
        <w:t> </w:t>
      </w:r>
      <w:r>
        <w:rPr>
          <w:w w:val="106"/>
          <w:sz w:val="16"/>
        </w:rPr>
        <w:t>tienen</w:t>
      </w:r>
      <w:r>
        <w:rPr>
          <w:spacing w:val="4"/>
          <w:sz w:val="16"/>
        </w:rPr>
        <w:t> </w:t>
      </w:r>
      <w:r>
        <w:rPr>
          <w:w w:val="110"/>
          <w:sz w:val="16"/>
        </w:rPr>
        <w:t>una</w:t>
      </w:r>
      <w:r>
        <w:rPr>
          <w:spacing w:val="4"/>
          <w:sz w:val="16"/>
        </w:rPr>
        <w:t> </w:t>
      </w:r>
      <w:r>
        <w:rPr>
          <w:w w:val="109"/>
          <w:sz w:val="16"/>
        </w:rPr>
        <w:t>participación</w:t>
      </w:r>
      <w:r>
        <w:rPr>
          <w:spacing w:val="4"/>
          <w:sz w:val="16"/>
        </w:rPr>
        <w:t> </w:t>
      </w:r>
      <w:r>
        <w:rPr>
          <w:w w:val="106"/>
          <w:sz w:val="16"/>
        </w:rPr>
        <w:t>pequeña</w:t>
      </w:r>
      <w:r>
        <w:rPr>
          <w:spacing w:val="4"/>
          <w:sz w:val="16"/>
        </w:rPr>
        <w:t> </w:t>
      </w:r>
      <w:r>
        <w:rPr>
          <w:w w:val="99"/>
          <w:sz w:val="16"/>
        </w:rPr>
        <w:t>(1% </w:t>
      </w:r>
      <w:r>
        <w:rPr>
          <w:w w:val="110"/>
          <w:sz w:val="16"/>
        </w:rPr>
        <w:t>en 2002; 6% en 2004; 3% en 2012). Cuentan entre ellas el propio departamento de Estado, con el cual mantuvo de larga data una sociedad en la publicación del bole- tín del CiPE, </w:t>
      </w:r>
      <w:r>
        <w:rPr>
          <w:i/>
          <w:w w:val="110"/>
          <w:sz w:val="16"/>
        </w:rPr>
        <w:t>Economic Reform </w:t>
      </w:r>
      <w:r>
        <w:rPr>
          <w:i/>
          <w:spacing w:val="-4"/>
          <w:w w:val="110"/>
          <w:sz w:val="16"/>
        </w:rPr>
        <w:t>Today </w:t>
      </w:r>
      <w:r>
        <w:rPr>
          <w:w w:val="110"/>
          <w:sz w:val="16"/>
        </w:rPr>
        <w:t>(bohn, 2001: 17) y organismos internaciona- les como la oNu, el banco Mundial y su </w:t>
      </w:r>
      <w:r>
        <w:rPr>
          <w:i/>
          <w:w w:val="110"/>
          <w:sz w:val="16"/>
        </w:rPr>
        <w:t>International Finance Corporation </w:t>
      </w:r>
      <w:r>
        <w:rPr>
          <w:w w:val="110"/>
          <w:sz w:val="16"/>
        </w:rPr>
        <w:t>(iFC), además de oNG como la </w:t>
      </w:r>
      <w:r>
        <w:rPr>
          <w:i/>
          <w:w w:val="110"/>
          <w:sz w:val="16"/>
        </w:rPr>
        <w:t>Global Corporate Governance Forum </w:t>
      </w:r>
      <w:r>
        <w:rPr>
          <w:w w:val="110"/>
          <w:sz w:val="16"/>
        </w:rPr>
        <w:t>y grandes empresas estadounidenses (CiPE, </w:t>
      </w:r>
      <w:r>
        <w:rPr>
          <w:i/>
          <w:w w:val="110"/>
          <w:sz w:val="16"/>
        </w:rPr>
        <w:t>Annual Report</w:t>
      </w:r>
      <w:r>
        <w:rPr>
          <w:w w:val="110"/>
          <w:sz w:val="16"/>
        </w:rPr>
        <w:t>, 2003: 4). algunas, como el banco Mundial, también apoyan a organizaciones con las que el CiPE se asocia o “coopera” en la región. En 2010, los fondos de us$ 20,1 millones provenían básicamente del NEd (73%), de </w:t>
      </w:r>
      <w:r>
        <w:rPr>
          <w:w w:val="125"/>
          <w:sz w:val="16"/>
        </w:rPr>
        <w:t>usaid </w:t>
      </w:r>
      <w:r>
        <w:rPr>
          <w:w w:val="110"/>
          <w:sz w:val="16"/>
        </w:rPr>
        <w:t>(14%) y del departamento de Estado (13%) (CiPE, </w:t>
      </w:r>
      <w:r>
        <w:rPr>
          <w:i/>
          <w:w w:val="110"/>
          <w:sz w:val="16"/>
        </w:rPr>
        <w:t>Annual Report</w:t>
      </w:r>
      <w:r>
        <w:rPr>
          <w:w w:val="110"/>
          <w:sz w:val="16"/>
        </w:rPr>
        <w:t>, 2010: 35). En 2012, las mismas fuentes eran responsables por el 97% de los</w:t>
      </w:r>
      <w:r>
        <w:rPr>
          <w:spacing w:val="-12"/>
          <w:w w:val="110"/>
          <w:sz w:val="16"/>
        </w:rPr>
        <w:t> </w:t>
      </w:r>
      <w:r>
        <w:rPr>
          <w:w w:val="110"/>
          <w:sz w:val="16"/>
        </w:rPr>
        <w:t>fondos (respectivamente 84%, 10% y 3%), y 3% de fondos privados (sobre un total de us$ 17,6 millones) (CiPE, </w:t>
      </w:r>
      <w:r>
        <w:rPr>
          <w:i/>
          <w:w w:val="110"/>
          <w:sz w:val="16"/>
        </w:rPr>
        <w:t>Annual Report</w:t>
      </w:r>
      <w:r>
        <w:rPr>
          <w:w w:val="110"/>
          <w:sz w:val="16"/>
        </w:rPr>
        <w:t>,</w:t>
      </w:r>
      <w:r>
        <w:rPr>
          <w:spacing w:val="-8"/>
          <w:w w:val="110"/>
          <w:sz w:val="16"/>
        </w:rPr>
        <w:t> </w:t>
      </w:r>
      <w:r>
        <w:rPr>
          <w:w w:val="110"/>
          <w:sz w:val="16"/>
        </w:rPr>
        <w:t>2012).</w:t>
      </w:r>
    </w:p>
    <w:p>
      <w:pPr>
        <w:spacing w:after="0" w:line="242" w:lineRule="auto"/>
        <w:jc w:val="both"/>
        <w:rPr>
          <w:sz w:val="16"/>
        </w:rPr>
        <w:sectPr>
          <w:footerReference w:type="even" r:id="rId313"/>
          <w:footerReference w:type="default" r:id="rId314"/>
          <w:pgSz w:w="8790" w:h="12760"/>
          <w:pgMar w:footer="725" w:header="695" w:top="880" w:bottom="920" w:left="1200" w:right="900"/>
          <w:pgNumType w:start="222"/>
        </w:sectPr>
      </w:pPr>
    </w:p>
    <w:p>
      <w:pPr>
        <w:pStyle w:val="BodyText"/>
        <w:spacing w:before="9"/>
        <w:rPr>
          <w:sz w:val="28"/>
        </w:rPr>
      </w:pPr>
    </w:p>
    <w:p>
      <w:pPr>
        <w:pStyle w:val="BodyText"/>
        <w:spacing w:line="252" w:lineRule="auto" w:before="73"/>
        <w:ind w:left="120" w:right="328"/>
        <w:jc w:val="both"/>
      </w:pPr>
      <w:r>
        <w:rPr>
          <w:w w:val="110"/>
        </w:rPr>
        <w:t>tico (CiPE, </w:t>
      </w:r>
      <w:r>
        <w:rPr>
          <w:i/>
          <w:w w:val="110"/>
        </w:rPr>
        <w:t>Annual Report</w:t>
      </w:r>
      <w:r>
        <w:rPr>
          <w:w w:val="110"/>
        </w:rPr>
        <w:t>, cap. 1, 2004: 7-8). Para esto, elaboró un manual de orientación para movilizar a la “comunidad empresarial”   a fin de incidir en la reforma de políticas públicas estableciendo las prioridades empresariales en el campo legislativo y de la regulación</w:t>
      </w:r>
      <w:r>
        <w:rPr>
          <w:w w:val="110"/>
          <w:position w:val="6"/>
          <w:sz w:val="11"/>
        </w:rPr>
        <w:t>7</w:t>
      </w:r>
      <w:r>
        <w:rPr>
          <w:w w:val="110"/>
        </w:rPr>
        <w:t>. según el balance publicado en 2002, el manual tuvo mucho éxito en el desarrollo de una agenda empresarial nacional en países como Haití, argentina, ucrania y en agendas regionales de rusia (CiPE, </w:t>
      </w:r>
      <w:r>
        <w:rPr>
          <w:i/>
          <w:w w:val="110"/>
        </w:rPr>
        <w:t>Annual </w:t>
      </w:r>
      <w:r>
        <w:rPr>
          <w:i/>
          <w:w w:val="110"/>
        </w:rPr>
        <w:t>Report</w:t>
      </w:r>
      <w:r>
        <w:rPr>
          <w:w w:val="110"/>
        </w:rPr>
        <w:t>, 2002:</w:t>
      </w:r>
      <w:r>
        <w:rPr>
          <w:spacing w:val="-29"/>
          <w:w w:val="110"/>
        </w:rPr>
        <w:t> </w:t>
      </w:r>
      <w:r>
        <w:rPr>
          <w:w w:val="110"/>
        </w:rPr>
        <w:t>41).</w:t>
      </w:r>
    </w:p>
    <w:p>
      <w:pPr>
        <w:pStyle w:val="BodyText"/>
        <w:spacing w:line="252" w:lineRule="auto"/>
        <w:ind w:left="120" w:right="328" w:firstLine="397"/>
        <w:jc w:val="both"/>
      </w:pPr>
      <w:r>
        <w:rPr>
          <w:w w:val="110"/>
        </w:rPr>
        <w:t>desde su fundación, según información del propio  Centro,  el  CiPE financió a más de mil organizaciones e iniciativas locales en más de cien países y condujo programas de capacitación en administra- ción de asociaciones empresariales en África, asia, Europa, Eurasia, </w:t>
      </w:r>
      <w:r>
        <w:rPr>
          <w:w w:val="149"/>
        </w:rPr>
        <w:t>o</w:t>
      </w:r>
      <w:r>
        <w:rPr>
          <w:w w:val="107"/>
        </w:rPr>
        <w:t>riente</w:t>
      </w:r>
      <w:r>
        <w:rPr>
          <w:spacing w:val="8"/>
        </w:rPr>
        <w:t> </w:t>
      </w:r>
      <w:r>
        <w:rPr>
          <w:w w:val="112"/>
        </w:rPr>
        <w:t>Medio</w:t>
      </w:r>
      <w:r>
        <w:rPr>
          <w:spacing w:val="8"/>
        </w:rPr>
        <w:t> </w:t>
      </w:r>
      <w:r>
        <w:rPr>
          <w:w w:val="105"/>
        </w:rPr>
        <w:t>y</w:t>
      </w:r>
      <w:r>
        <w:rPr>
          <w:spacing w:val="8"/>
        </w:rPr>
        <w:t> </w:t>
      </w:r>
      <w:r>
        <w:rPr>
          <w:w w:val="139"/>
        </w:rPr>
        <w:t>a</w:t>
      </w:r>
      <w:r>
        <w:rPr>
          <w:w w:val="111"/>
        </w:rPr>
        <w:t>mérica</w:t>
      </w:r>
      <w:r>
        <w:rPr>
          <w:spacing w:val="8"/>
        </w:rPr>
        <w:t> </w:t>
      </w:r>
      <w:r>
        <w:rPr>
          <w:w w:val="243"/>
        </w:rPr>
        <w:t>l</w:t>
      </w:r>
      <w:r>
        <w:rPr>
          <w:w w:val="113"/>
        </w:rPr>
        <w:t>atina.</w:t>
      </w:r>
      <w:r>
        <w:rPr>
          <w:spacing w:val="8"/>
        </w:rPr>
        <w:t> </w:t>
      </w:r>
      <w:r>
        <w:rPr>
          <w:w w:val="120"/>
        </w:rPr>
        <w:t>En</w:t>
      </w:r>
      <w:r>
        <w:rPr>
          <w:spacing w:val="8"/>
        </w:rPr>
        <w:t> </w:t>
      </w:r>
      <w:r>
        <w:rPr>
          <w:w w:val="105"/>
        </w:rPr>
        <w:t>2010,</w:t>
      </w:r>
      <w:r>
        <w:rPr>
          <w:spacing w:val="8"/>
        </w:rPr>
        <w:t> </w:t>
      </w:r>
      <w:r>
        <w:rPr>
          <w:w w:val="107"/>
        </w:rPr>
        <w:t>el</w:t>
      </w:r>
      <w:r>
        <w:rPr>
          <w:spacing w:val="8"/>
        </w:rPr>
        <w:t> </w:t>
      </w:r>
      <w:r>
        <w:rPr>
          <w:w w:val="124"/>
        </w:rPr>
        <w:t>C</w:t>
      </w:r>
      <w:r>
        <w:rPr>
          <w:w w:val="142"/>
        </w:rPr>
        <w:t>i</w:t>
      </w:r>
      <w:r>
        <w:rPr>
          <w:w w:val="120"/>
        </w:rPr>
        <w:t>PE</w:t>
      </w:r>
      <w:r>
        <w:rPr>
          <w:spacing w:val="8"/>
        </w:rPr>
        <w:t> </w:t>
      </w:r>
      <w:r>
        <w:rPr>
          <w:w w:val="111"/>
        </w:rPr>
        <w:t>actuó</w:t>
      </w:r>
      <w:r>
        <w:rPr>
          <w:spacing w:val="8"/>
        </w:rPr>
        <w:t> </w:t>
      </w:r>
      <w:r>
        <w:rPr>
          <w:w w:val="108"/>
        </w:rPr>
        <w:t>en</w:t>
      </w:r>
      <w:r>
        <w:rPr>
          <w:spacing w:val="8"/>
        </w:rPr>
        <w:t> </w:t>
      </w:r>
      <w:r>
        <w:rPr>
          <w:w w:val="102"/>
        </w:rPr>
        <w:t>51</w:t>
      </w:r>
      <w:r>
        <w:rPr>
          <w:spacing w:val="8"/>
        </w:rPr>
        <w:t> </w:t>
      </w:r>
      <w:r>
        <w:rPr>
          <w:w w:val="110"/>
        </w:rPr>
        <w:t>países, </w:t>
      </w:r>
      <w:r>
        <w:rPr>
          <w:w w:val="110"/>
        </w:rPr>
        <w:t>apoyando 165 proyectos, con 122 organizaciones (CiPE, </w:t>
      </w:r>
      <w:r>
        <w:rPr>
          <w:i/>
          <w:w w:val="110"/>
        </w:rPr>
        <w:t>Annual Re- </w:t>
      </w:r>
      <w:r>
        <w:rPr>
          <w:i/>
          <w:w w:val="110"/>
        </w:rPr>
        <w:t>port</w:t>
      </w:r>
      <w:r>
        <w:rPr>
          <w:w w:val="110"/>
        </w:rPr>
        <w:t>, 2010). Para una visión del conjunto de operaciones realizadas</w:t>
      </w:r>
      <w:r>
        <w:rPr>
          <w:spacing w:val="-8"/>
          <w:w w:val="110"/>
        </w:rPr>
        <w:t> </w:t>
      </w:r>
      <w:r>
        <w:rPr>
          <w:w w:val="110"/>
        </w:rPr>
        <w:t>en </w:t>
      </w:r>
      <w:r>
        <w:rPr>
          <w:w w:val="139"/>
        </w:rPr>
        <w:t>a</w:t>
      </w:r>
      <w:r>
        <w:rPr>
          <w:w w:val="111"/>
        </w:rPr>
        <w:t>mérica</w:t>
      </w:r>
      <w:r>
        <w:rPr>
          <w:spacing w:val="12"/>
        </w:rPr>
        <w:t> </w:t>
      </w:r>
      <w:r>
        <w:rPr>
          <w:w w:val="243"/>
        </w:rPr>
        <w:t>l</w:t>
      </w:r>
      <w:r>
        <w:rPr>
          <w:w w:val="111"/>
        </w:rPr>
        <w:t>atina</w:t>
      </w:r>
      <w:r>
        <w:rPr>
          <w:spacing w:val="12"/>
        </w:rPr>
        <w:t> </w:t>
      </w:r>
      <w:r>
        <w:rPr>
          <w:w w:val="108"/>
        </w:rPr>
        <w:t>en</w:t>
      </w:r>
      <w:r>
        <w:rPr>
          <w:spacing w:val="12"/>
        </w:rPr>
        <w:t> </w:t>
      </w:r>
      <w:r>
        <w:rPr>
          <w:w w:val="107"/>
        </w:rPr>
        <w:t>el</w:t>
      </w:r>
      <w:r>
        <w:rPr>
          <w:spacing w:val="12"/>
        </w:rPr>
        <w:t> </w:t>
      </w:r>
      <w:r>
        <w:rPr>
          <w:w w:val="108"/>
        </w:rPr>
        <w:t>período</w:t>
      </w:r>
      <w:r>
        <w:rPr>
          <w:spacing w:val="12"/>
        </w:rPr>
        <w:t> </w:t>
      </w:r>
      <w:r>
        <w:rPr>
          <w:w w:val="104"/>
        </w:rPr>
        <w:t>1984-2013,</w:t>
      </w:r>
      <w:r>
        <w:rPr>
          <w:spacing w:val="12"/>
        </w:rPr>
        <w:t> </w:t>
      </w:r>
      <w:r>
        <w:rPr>
          <w:w w:val="103"/>
        </w:rPr>
        <w:t>ver</w:t>
      </w:r>
      <w:r>
        <w:rPr>
          <w:spacing w:val="12"/>
        </w:rPr>
        <w:t> </w:t>
      </w:r>
      <w:r>
        <w:rPr>
          <w:w w:val="111"/>
        </w:rPr>
        <w:t>anexos,</w:t>
      </w:r>
      <w:r>
        <w:rPr>
          <w:spacing w:val="12"/>
        </w:rPr>
        <w:t> </w:t>
      </w:r>
      <w:r>
        <w:rPr>
          <w:w w:val="112"/>
        </w:rPr>
        <w:t>Cuadro</w:t>
      </w:r>
      <w:r>
        <w:rPr>
          <w:spacing w:val="12"/>
        </w:rPr>
        <w:t> </w:t>
      </w:r>
      <w:r>
        <w:rPr>
          <w:w w:val="112"/>
        </w:rPr>
        <w:t>2.</w:t>
      </w:r>
    </w:p>
    <w:p>
      <w:pPr>
        <w:pStyle w:val="BodyText"/>
        <w:spacing w:line="252" w:lineRule="auto"/>
        <w:ind w:left="120" w:right="326" w:firstLine="396"/>
        <w:jc w:val="both"/>
      </w:pPr>
      <w:r>
        <w:rPr>
          <w:w w:val="115"/>
        </w:rPr>
        <w:t>En los primeros años, dice bohn, el CiPE concentró sus progra- mas</w:t>
      </w:r>
      <w:r>
        <w:rPr>
          <w:spacing w:val="-21"/>
          <w:w w:val="115"/>
        </w:rPr>
        <w:t> </w:t>
      </w:r>
      <w:r>
        <w:rPr>
          <w:w w:val="115"/>
        </w:rPr>
        <w:t>en</w:t>
      </w:r>
      <w:r>
        <w:rPr>
          <w:spacing w:val="-21"/>
          <w:w w:val="115"/>
        </w:rPr>
        <w:t> </w:t>
      </w:r>
      <w:r>
        <w:rPr>
          <w:w w:val="115"/>
        </w:rPr>
        <w:t>aquellos</w:t>
      </w:r>
      <w:r>
        <w:rPr>
          <w:spacing w:val="-21"/>
          <w:w w:val="115"/>
        </w:rPr>
        <w:t> </w:t>
      </w:r>
      <w:r>
        <w:rPr>
          <w:w w:val="115"/>
        </w:rPr>
        <w:t>países</w:t>
      </w:r>
      <w:r>
        <w:rPr>
          <w:spacing w:val="-21"/>
          <w:w w:val="115"/>
        </w:rPr>
        <w:t> </w:t>
      </w:r>
      <w:r>
        <w:rPr>
          <w:w w:val="115"/>
        </w:rPr>
        <w:t>que</w:t>
      </w:r>
      <w:r>
        <w:rPr>
          <w:spacing w:val="-21"/>
          <w:w w:val="115"/>
        </w:rPr>
        <w:t> </w:t>
      </w:r>
      <w:r>
        <w:rPr>
          <w:w w:val="115"/>
        </w:rPr>
        <w:t>habían</w:t>
      </w:r>
      <w:r>
        <w:rPr>
          <w:spacing w:val="-21"/>
          <w:w w:val="115"/>
        </w:rPr>
        <w:t> </w:t>
      </w:r>
      <w:r>
        <w:rPr>
          <w:w w:val="115"/>
        </w:rPr>
        <w:t>demostrado</w:t>
      </w:r>
      <w:r>
        <w:rPr>
          <w:spacing w:val="-21"/>
          <w:w w:val="115"/>
        </w:rPr>
        <w:t> </w:t>
      </w:r>
      <w:r>
        <w:rPr>
          <w:w w:val="115"/>
        </w:rPr>
        <w:t>un</w:t>
      </w:r>
      <w:r>
        <w:rPr>
          <w:spacing w:val="-21"/>
          <w:w w:val="115"/>
        </w:rPr>
        <w:t> </w:t>
      </w:r>
      <w:r>
        <w:rPr>
          <w:w w:val="115"/>
        </w:rPr>
        <w:t>empeño</w:t>
      </w:r>
      <w:r>
        <w:rPr>
          <w:spacing w:val="-21"/>
          <w:w w:val="115"/>
        </w:rPr>
        <w:t> </w:t>
      </w:r>
      <w:r>
        <w:rPr>
          <w:w w:val="115"/>
        </w:rPr>
        <w:t>favorable al</w:t>
      </w:r>
      <w:r>
        <w:rPr>
          <w:spacing w:val="-5"/>
          <w:w w:val="115"/>
        </w:rPr>
        <w:t> </w:t>
      </w:r>
      <w:r>
        <w:rPr>
          <w:w w:val="115"/>
        </w:rPr>
        <w:t>desarrollo</w:t>
      </w:r>
      <w:r>
        <w:rPr>
          <w:spacing w:val="-5"/>
          <w:w w:val="115"/>
        </w:rPr>
        <w:t> </w:t>
      </w:r>
      <w:r>
        <w:rPr>
          <w:w w:val="115"/>
        </w:rPr>
        <w:t>de</w:t>
      </w:r>
      <w:r>
        <w:rPr>
          <w:spacing w:val="-5"/>
          <w:w w:val="115"/>
        </w:rPr>
        <w:t> </w:t>
      </w:r>
      <w:r>
        <w:rPr>
          <w:w w:val="115"/>
        </w:rPr>
        <w:t>las</w:t>
      </w:r>
      <w:r>
        <w:rPr>
          <w:spacing w:val="-5"/>
          <w:w w:val="115"/>
        </w:rPr>
        <w:t> </w:t>
      </w:r>
      <w:r>
        <w:rPr>
          <w:w w:val="115"/>
        </w:rPr>
        <w:t>empresas</w:t>
      </w:r>
      <w:r>
        <w:rPr>
          <w:spacing w:val="-5"/>
          <w:w w:val="115"/>
        </w:rPr>
        <w:t> </w:t>
      </w:r>
      <w:r>
        <w:rPr>
          <w:w w:val="115"/>
        </w:rPr>
        <w:t>privadas</w:t>
      </w:r>
      <w:r>
        <w:rPr>
          <w:spacing w:val="-5"/>
          <w:w w:val="115"/>
        </w:rPr>
        <w:t> </w:t>
      </w:r>
      <w:r>
        <w:rPr>
          <w:w w:val="115"/>
        </w:rPr>
        <w:t>y</w:t>
      </w:r>
      <w:r>
        <w:rPr>
          <w:spacing w:val="-5"/>
          <w:w w:val="115"/>
        </w:rPr>
        <w:t> </w:t>
      </w:r>
      <w:r>
        <w:rPr>
          <w:w w:val="115"/>
        </w:rPr>
        <w:t>de</w:t>
      </w:r>
      <w:r>
        <w:rPr>
          <w:spacing w:val="-5"/>
          <w:w w:val="115"/>
        </w:rPr>
        <w:t> </w:t>
      </w:r>
      <w:r>
        <w:rPr>
          <w:w w:val="115"/>
        </w:rPr>
        <w:t>la</w:t>
      </w:r>
      <w:r>
        <w:rPr>
          <w:spacing w:val="-5"/>
          <w:w w:val="115"/>
        </w:rPr>
        <w:t> </w:t>
      </w:r>
      <w:r>
        <w:rPr>
          <w:w w:val="115"/>
        </w:rPr>
        <w:t>democracia.</w:t>
      </w:r>
      <w:r>
        <w:rPr>
          <w:spacing w:val="-5"/>
          <w:w w:val="115"/>
        </w:rPr>
        <w:t> </w:t>
      </w:r>
      <w:r>
        <w:rPr>
          <w:w w:val="115"/>
        </w:rPr>
        <w:t>Pero</w:t>
      </w:r>
      <w:r>
        <w:rPr>
          <w:spacing w:val="-5"/>
          <w:w w:val="115"/>
        </w:rPr>
        <w:t> </w:t>
      </w:r>
      <w:r>
        <w:rPr>
          <w:w w:val="115"/>
        </w:rPr>
        <w:t>con posterioridad quedó claro que sus planes podían ser aplicados en países donde el empeño gubernamental por el capitalismo y la de- mocracia</w:t>
      </w:r>
      <w:r>
        <w:rPr>
          <w:spacing w:val="-8"/>
          <w:w w:val="115"/>
        </w:rPr>
        <w:t> </w:t>
      </w:r>
      <w:r>
        <w:rPr>
          <w:w w:val="115"/>
        </w:rPr>
        <w:t>eran</w:t>
      </w:r>
      <w:r>
        <w:rPr>
          <w:spacing w:val="-8"/>
          <w:w w:val="115"/>
        </w:rPr>
        <w:t> </w:t>
      </w:r>
      <w:r>
        <w:rPr>
          <w:w w:val="115"/>
        </w:rPr>
        <w:t>débiles,</w:t>
      </w:r>
      <w:r>
        <w:rPr>
          <w:spacing w:val="-8"/>
          <w:w w:val="115"/>
        </w:rPr>
        <w:t> </w:t>
      </w:r>
      <w:r>
        <w:rPr>
          <w:w w:val="115"/>
        </w:rPr>
        <w:t>siempre</w:t>
      </w:r>
      <w:r>
        <w:rPr>
          <w:spacing w:val="-8"/>
          <w:w w:val="115"/>
        </w:rPr>
        <w:t> </w:t>
      </w:r>
      <w:r>
        <w:rPr>
          <w:w w:val="115"/>
        </w:rPr>
        <w:t>que</w:t>
      </w:r>
      <w:r>
        <w:rPr>
          <w:spacing w:val="-8"/>
          <w:w w:val="115"/>
        </w:rPr>
        <w:t> </w:t>
      </w:r>
      <w:r>
        <w:rPr>
          <w:w w:val="115"/>
        </w:rPr>
        <w:t>encontrase</w:t>
      </w:r>
      <w:r>
        <w:rPr>
          <w:spacing w:val="-8"/>
          <w:w w:val="115"/>
        </w:rPr>
        <w:t> </w:t>
      </w:r>
      <w:r>
        <w:rPr>
          <w:w w:val="115"/>
        </w:rPr>
        <w:t>organizaciones</w:t>
      </w:r>
      <w:r>
        <w:rPr>
          <w:spacing w:val="-8"/>
          <w:w w:val="115"/>
        </w:rPr>
        <w:t> </w:t>
      </w:r>
      <w:r>
        <w:rPr>
          <w:w w:val="115"/>
        </w:rPr>
        <w:t>“de- dicadas y entusiastas” para “cooperar”. Fue así, por ejemplo, que el CiPE apoyó programas en rusia y en Nigeria. Conforme a la ideo- logía del emprendimiento, estimular el “surgimiento de asociacio- nes empresariales y </w:t>
      </w:r>
      <w:r>
        <w:rPr>
          <w:i/>
          <w:w w:val="115"/>
        </w:rPr>
        <w:t>think tanks </w:t>
      </w:r>
      <w:r>
        <w:rPr>
          <w:w w:val="115"/>
        </w:rPr>
        <w:t>es parte vital de la promoción de la cultura democrática e impulso para la reforma económica” (bohn, 2001: 15). así, a fines de los años ochenta amplió sus operaciones incluyendo programas en África y en asia. después de la caída del Muro de berlín (1989) y las primeras elecciones “parcialmente li- bres” en Polonia y en Hungría, el CiPE pasó a operar en Europa del Este y Central y a partir de 1991 en rusia y en ucrania. a mediados de</w:t>
      </w:r>
      <w:r>
        <w:rPr>
          <w:spacing w:val="-14"/>
          <w:w w:val="115"/>
        </w:rPr>
        <w:t> </w:t>
      </w:r>
      <w:r>
        <w:rPr>
          <w:w w:val="115"/>
        </w:rPr>
        <w:t>los</w:t>
      </w:r>
      <w:r>
        <w:rPr>
          <w:spacing w:val="-14"/>
          <w:w w:val="115"/>
        </w:rPr>
        <w:t> </w:t>
      </w:r>
      <w:r>
        <w:rPr>
          <w:w w:val="115"/>
        </w:rPr>
        <w:t>años</w:t>
      </w:r>
      <w:r>
        <w:rPr>
          <w:spacing w:val="-14"/>
          <w:w w:val="115"/>
        </w:rPr>
        <w:t> </w:t>
      </w:r>
      <w:r>
        <w:rPr>
          <w:w w:val="115"/>
        </w:rPr>
        <w:t>noventa</w:t>
      </w:r>
      <w:r>
        <w:rPr>
          <w:spacing w:val="-14"/>
          <w:w w:val="115"/>
        </w:rPr>
        <w:t> </w:t>
      </w:r>
      <w:r>
        <w:rPr>
          <w:w w:val="115"/>
        </w:rPr>
        <w:t>había</w:t>
      </w:r>
      <w:r>
        <w:rPr>
          <w:spacing w:val="-14"/>
          <w:w w:val="115"/>
        </w:rPr>
        <w:t> </w:t>
      </w:r>
      <w:r>
        <w:rPr>
          <w:w w:val="115"/>
        </w:rPr>
        <w:t>establecido</w:t>
      </w:r>
      <w:r>
        <w:rPr>
          <w:spacing w:val="-14"/>
          <w:w w:val="115"/>
        </w:rPr>
        <w:t> </w:t>
      </w:r>
      <w:r>
        <w:rPr>
          <w:w w:val="115"/>
        </w:rPr>
        <w:t>programas</w:t>
      </w:r>
      <w:r>
        <w:rPr>
          <w:spacing w:val="-14"/>
          <w:w w:val="115"/>
        </w:rPr>
        <w:t> </w:t>
      </w:r>
      <w:r>
        <w:rPr>
          <w:w w:val="115"/>
        </w:rPr>
        <w:t>en</w:t>
      </w:r>
      <w:r>
        <w:rPr>
          <w:spacing w:val="-14"/>
          <w:w w:val="115"/>
        </w:rPr>
        <w:t> </w:t>
      </w:r>
      <w:r>
        <w:rPr>
          <w:w w:val="115"/>
        </w:rPr>
        <w:t>China</w:t>
      </w:r>
      <w:r>
        <w:rPr>
          <w:spacing w:val="-14"/>
          <w:w w:val="115"/>
        </w:rPr>
        <w:t> </w:t>
      </w:r>
      <w:r>
        <w:rPr>
          <w:w w:val="115"/>
        </w:rPr>
        <w:t>y</w:t>
      </w:r>
      <w:r>
        <w:rPr>
          <w:spacing w:val="-14"/>
          <w:w w:val="115"/>
        </w:rPr>
        <w:t> </w:t>
      </w:r>
      <w:r>
        <w:rPr>
          <w:w w:val="115"/>
        </w:rPr>
        <w:t>en</w:t>
      </w:r>
      <w:r>
        <w:rPr>
          <w:spacing w:val="-14"/>
          <w:w w:val="115"/>
        </w:rPr>
        <w:t> </w:t>
      </w:r>
      <w:r>
        <w:rPr>
          <w:w w:val="115"/>
        </w:rPr>
        <w:t>Viet- nam</w:t>
      </w:r>
      <w:r>
        <w:rPr>
          <w:spacing w:val="-26"/>
          <w:w w:val="115"/>
        </w:rPr>
        <w:t> </w:t>
      </w:r>
      <w:r>
        <w:rPr>
          <w:w w:val="115"/>
        </w:rPr>
        <w:t>(bohn,</w:t>
      </w:r>
      <w:r>
        <w:rPr>
          <w:spacing w:val="-26"/>
          <w:w w:val="115"/>
        </w:rPr>
        <w:t> </w:t>
      </w:r>
      <w:r>
        <w:rPr>
          <w:w w:val="115"/>
        </w:rPr>
        <w:t>2001:</w:t>
      </w:r>
      <w:r>
        <w:rPr>
          <w:spacing w:val="-26"/>
          <w:w w:val="115"/>
        </w:rPr>
        <w:t> </w:t>
      </w:r>
      <w:r>
        <w:rPr>
          <w:w w:val="115"/>
        </w:rPr>
        <w:t>14-15).</w:t>
      </w:r>
    </w:p>
    <w:p>
      <w:pPr>
        <w:pStyle w:val="BodyText"/>
        <w:spacing w:line="252" w:lineRule="auto"/>
        <w:ind w:left="120" w:right="328" w:firstLine="396"/>
        <w:jc w:val="both"/>
      </w:pPr>
      <w:r>
        <w:rPr>
          <w:w w:val="110"/>
        </w:rPr>
        <w:t>después del 11 de septiembre de 2001, la atención se volvió</w:t>
      </w:r>
      <w:r>
        <w:rPr>
          <w:spacing w:val="-8"/>
          <w:w w:val="110"/>
        </w:rPr>
        <w:t> </w:t>
      </w:r>
      <w:r>
        <w:rPr>
          <w:w w:val="110"/>
        </w:rPr>
        <w:t>espe- cialmente</w:t>
      </w:r>
      <w:r>
        <w:rPr>
          <w:spacing w:val="-9"/>
          <w:w w:val="110"/>
        </w:rPr>
        <w:t> </w:t>
      </w:r>
      <w:r>
        <w:rPr>
          <w:w w:val="110"/>
        </w:rPr>
        <w:t>hacia</w:t>
      </w:r>
      <w:r>
        <w:rPr>
          <w:spacing w:val="-9"/>
          <w:w w:val="110"/>
        </w:rPr>
        <w:t> </w:t>
      </w:r>
      <w:r>
        <w:rPr>
          <w:w w:val="110"/>
        </w:rPr>
        <w:t>los</w:t>
      </w:r>
      <w:r>
        <w:rPr>
          <w:spacing w:val="-9"/>
          <w:w w:val="110"/>
        </w:rPr>
        <w:t> </w:t>
      </w:r>
      <w:r>
        <w:rPr>
          <w:w w:val="110"/>
        </w:rPr>
        <w:t>países</w:t>
      </w:r>
      <w:r>
        <w:rPr>
          <w:spacing w:val="-9"/>
          <w:w w:val="110"/>
        </w:rPr>
        <w:t> </w:t>
      </w:r>
      <w:r>
        <w:rPr>
          <w:w w:val="110"/>
        </w:rPr>
        <w:t>árabes.</w:t>
      </w:r>
      <w:r>
        <w:rPr>
          <w:spacing w:val="-9"/>
          <w:w w:val="110"/>
        </w:rPr>
        <w:t> </w:t>
      </w:r>
      <w:r>
        <w:rPr>
          <w:w w:val="110"/>
        </w:rPr>
        <w:t>En</w:t>
      </w:r>
      <w:r>
        <w:rPr>
          <w:spacing w:val="-9"/>
          <w:w w:val="110"/>
        </w:rPr>
        <w:t> </w:t>
      </w:r>
      <w:r>
        <w:rPr>
          <w:w w:val="110"/>
        </w:rPr>
        <w:t>2007</w:t>
      </w:r>
      <w:r>
        <w:rPr>
          <w:spacing w:val="-9"/>
          <w:w w:val="110"/>
        </w:rPr>
        <w:t> </w:t>
      </w:r>
      <w:r>
        <w:rPr>
          <w:w w:val="110"/>
        </w:rPr>
        <w:t>y</w:t>
      </w:r>
      <w:r>
        <w:rPr>
          <w:spacing w:val="-9"/>
          <w:w w:val="110"/>
        </w:rPr>
        <w:t> </w:t>
      </w:r>
      <w:r>
        <w:rPr>
          <w:w w:val="110"/>
        </w:rPr>
        <w:t>2011,</w:t>
      </w:r>
      <w:r>
        <w:rPr>
          <w:spacing w:val="-9"/>
          <w:w w:val="110"/>
        </w:rPr>
        <w:t> </w:t>
      </w:r>
      <w:r>
        <w:rPr>
          <w:w w:val="110"/>
        </w:rPr>
        <w:t>el</w:t>
      </w:r>
      <w:r>
        <w:rPr>
          <w:spacing w:val="-9"/>
          <w:w w:val="110"/>
        </w:rPr>
        <w:t> </w:t>
      </w:r>
      <w:r>
        <w:rPr>
          <w:w w:val="110"/>
        </w:rPr>
        <w:t>54%</w:t>
      </w:r>
      <w:r>
        <w:rPr>
          <w:spacing w:val="-9"/>
          <w:w w:val="110"/>
        </w:rPr>
        <w:t> </w:t>
      </w:r>
      <w:r>
        <w:rPr>
          <w:w w:val="110"/>
        </w:rPr>
        <w:t>y</w:t>
      </w:r>
      <w:r>
        <w:rPr>
          <w:spacing w:val="-9"/>
          <w:w w:val="110"/>
        </w:rPr>
        <w:t> </w:t>
      </w:r>
      <w:r>
        <w:rPr>
          <w:w w:val="110"/>
        </w:rPr>
        <w:t>el</w:t>
      </w:r>
      <w:r>
        <w:rPr>
          <w:spacing w:val="-9"/>
          <w:w w:val="110"/>
        </w:rPr>
        <w:t> </w:t>
      </w:r>
      <w:r>
        <w:rPr>
          <w:w w:val="110"/>
        </w:rPr>
        <w:t>33%</w:t>
      </w:r>
      <w:r>
        <w:rPr>
          <w:spacing w:val="-9"/>
          <w:w w:val="110"/>
        </w:rPr>
        <w:t> </w:t>
      </w:r>
      <w:r>
        <w:rPr>
          <w:w w:val="110"/>
        </w:rPr>
        <w:t>res- pectivamente de los recursos fueron aplicados en los países del Norte de</w:t>
      </w:r>
      <w:r>
        <w:rPr>
          <w:spacing w:val="24"/>
          <w:w w:val="110"/>
        </w:rPr>
        <w:t> </w:t>
      </w:r>
      <w:r>
        <w:rPr>
          <w:w w:val="110"/>
        </w:rPr>
        <w:t>África</w:t>
      </w:r>
      <w:r>
        <w:rPr>
          <w:spacing w:val="24"/>
          <w:w w:val="110"/>
        </w:rPr>
        <w:t> </w:t>
      </w:r>
      <w:r>
        <w:rPr>
          <w:w w:val="110"/>
        </w:rPr>
        <w:t>y</w:t>
      </w:r>
      <w:r>
        <w:rPr>
          <w:spacing w:val="24"/>
          <w:w w:val="110"/>
        </w:rPr>
        <w:t> </w:t>
      </w:r>
      <w:r>
        <w:rPr>
          <w:w w:val="110"/>
        </w:rPr>
        <w:t>Medio</w:t>
      </w:r>
      <w:r>
        <w:rPr>
          <w:spacing w:val="24"/>
          <w:w w:val="110"/>
        </w:rPr>
        <w:t> </w:t>
      </w:r>
      <w:r>
        <w:rPr>
          <w:w w:val="110"/>
        </w:rPr>
        <w:t>oriente.</w:t>
      </w:r>
      <w:r>
        <w:rPr>
          <w:spacing w:val="24"/>
          <w:w w:val="110"/>
        </w:rPr>
        <w:t> </w:t>
      </w:r>
      <w:r>
        <w:rPr>
          <w:w w:val="110"/>
        </w:rPr>
        <w:t>En</w:t>
      </w:r>
      <w:r>
        <w:rPr>
          <w:spacing w:val="24"/>
          <w:w w:val="110"/>
        </w:rPr>
        <w:t> </w:t>
      </w:r>
      <w:r>
        <w:rPr>
          <w:w w:val="110"/>
        </w:rPr>
        <w:t>el</w:t>
      </w:r>
      <w:r>
        <w:rPr>
          <w:spacing w:val="24"/>
          <w:w w:val="110"/>
        </w:rPr>
        <w:t> </w:t>
      </w:r>
      <w:r>
        <w:rPr>
          <w:w w:val="110"/>
        </w:rPr>
        <w:t>mismo</w:t>
      </w:r>
      <w:r>
        <w:rPr>
          <w:spacing w:val="24"/>
          <w:w w:val="110"/>
        </w:rPr>
        <w:t> </w:t>
      </w:r>
      <w:r>
        <w:rPr>
          <w:w w:val="110"/>
        </w:rPr>
        <w:t>período,</w:t>
      </w:r>
      <w:r>
        <w:rPr>
          <w:spacing w:val="24"/>
          <w:w w:val="110"/>
        </w:rPr>
        <w:t> </w:t>
      </w:r>
      <w:r>
        <w:rPr>
          <w:w w:val="110"/>
        </w:rPr>
        <w:t>12%</w:t>
      </w:r>
      <w:r>
        <w:rPr>
          <w:spacing w:val="24"/>
          <w:w w:val="110"/>
        </w:rPr>
        <w:t> </w:t>
      </w:r>
      <w:r>
        <w:rPr>
          <w:w w:val="110"/>
        </w:rPr>
        <w:t>y</w:t>
      </w:r>
      <w:r>
        <w:rPr>
          <w:spacing w:val="24"/>
          <w:w w:val="110"/>
        </w:rPr>
        <w:t> </w:t>
      </w:r>
      <w:r>
        <w:rPr>
          <w:w w:val="110"/>
        </w:rPr>
        <w:t>23%</w:t>
      </w:r>
      <w:r>
        <w:rPr>
          <w:spacing w:val="24"/>
          <w:w w:val="110"/>
        </w:rPr>
        <w:t> </w:t>
      </w:r>
      <w:r>
        <w:rPr>
          <w:w w:val="110"/>
        </w:rPr>
        <w:t>fueron</w:t>
      </w:r>
    </w:p>
    <w:p>
      <w:pPr>
        <w:pStyle w:val="BodyText"/>
        <w:spacing w:before="10"/>
        <w:rPr>
          <w:sz w:val="26"/>
        </w:rPr>
      </w:pPr>
      <w:r>
        <w:rPr/>
        <w:pict>
          <v:line style="position:absolute;mso-position-horizontal-relative:page;mso-position-vertical-relative:paragraph;z-index:5608;mso-wrap-distance-left:0;mso-wrap-distance-right:0" from="51.023602pt,17.960033pt" to="79.369602pt,17.960033pt" stroked="true" strokeweight=".5pt" strokecolor="#000000">
            <w10:wrap type="topAndBottom"/>
          </v:line>
        </w:pict>
      </w:r>
    </w:p>
    <w:p>
      <w:pPr>
        <w:pStyle w:val="ListParagraph"/>
        <w:numPr>
          <w:ilvl w:val="0"/>
          <w:numId w:val="28"/>
        </w:numPr>
        <w:tabs>
          <w:tab w:pos="376" w:val="left" w:leader="none"/>
        </w:tabs>
        <w:spacing w:line="242" w:lineRule="auto" w:before="89" w:after="0"/>
        <w:ind w:left="120" w:right="327" w:firstLine="0"/>
        <w:jc w:val="both"/>
        <w:rPr>
          <w:sz w:val="16"/>
        </w:rPr>
      </w:pPr>
      <w:r>
        <w:rPr>
          <w:w w:val="105"/>
          <w:sz w:val="16"/>
        </w:rPr>
        <w:t>CiPE, </w:t>
      </w:r>
      <w:r>
        <w:rPr>
          <w:i/>
          <w:w w:val="105"/>
          <w:sz w:val="16"/>
        </w:rPr>
        <w:t>Guía para la agenda nacional empresarial: la voz de las empresas</w:t>
      </w:r>
      <w:r>
        <w:rPr>
          <w:w w:val="105"/>
          <w:sz w:val="16"/>
        </w:rPr>
        <w:t>. disponible en</w:t>
      </w:r>
      <w:r>
        <w:rPr>
          <w:spacing w:val="-11"/>
          <w:w w:val="105"/>
          <w:sz w:val="16"/>
        </w:rPr>
        <w:t> </w:t>
      </w:r>
      <w:r>
        <w:rPr>
          <w:w w:val="105"/>
          <w:sz w:val="16"/>
        </w:rPr>
        <w:t>&lt;</w:t>
      </w:r>
      <w:hyperlink r:id="rId316">
        <w:r>
          <w:rPr>
            <w:w w:val="105"/>
            <w:sz w:val="16"/>
          </w:rPr>
          <w:t>http://www.cipe.org/regional/lac/pdf/spanishnba.pdf</w:t>
        </w:r>
      </w:hyperlink>
      <w:r>
        <w:rPr>
          <w:w w:val="105"/>
          <w:sz w:val="16"/>
        </w:rPr>
        <w:t>&gt;</w:t>
      </w:r>
      <w:r>
        <w:rPr>
          <w:spacing w:val="-11"/>
          <w:w w:val="105"/>
          <w:sz w:val="16"/>
        </w:rPr>
        <w:t> </w:t>
      </w:r>
      <w:r>
        <w:rPr>
          <w:w w:val="105"/>
          <w:sz w:val="16"/>
        </w:rPr>
        <w:t>según</w:t>
      </w:r>
      <w:r>
        <w:rPr>
          <w:spacing w:val="-11"/>
          <w:w w:val="105"/>
          <w:sz w:val="16"/>
        </w:rPr>
        <w:t> </w:t>
      </w:r>
      <w:r>
        <w:rPr>
          <w:w w:val="105"/>
          <w:sz w:val="16"/>
        </w:rPr>
        <w:t>entrada</w:t>
      </w:r>
      <w:r>
        <w:rPr>
          <w:spacing w:val="-11"/>
          <w:w w:val="105"/>
          <w:sz w:val="16"/>
        </w:rPr>
        <w:t> </w:t>
      </w:r>
      <w:r>
        <w:rPr>
          <w:w w:val="105"/>
          <w:sz w:val="16"/>
        </w:rPr>
        <w:t>hecha</w:t>
      </w:r>
      <w:r>
        <w:rPr>
          <w:spacing w:val="-11"/>
          <w:w w:val="105"/>
          <w:sz w:val="16"/>
        </w:rPr>
        <w:t> </w:t>
      </w:r>
      <w:r>
        <w:rPr>
          <w:w w:val="105"/>
          <w:sz w:val="16"/>
        </w:rPr>
        <w:t>el</w:t>
      </w:r>
      <w:r>
        <w:rPr>
          <w:spacing w:val="-11"/>
          <w:w w:val="105"/>
          <w:sz w:val="16"/>
        </w:rPr>
        <w:t> </w:t>
      </w:r>
      <w:r>
        <w:rPr>
          <w:w w:val="105"/>
          <w:sz w:val="16"/>
        </w:rPr>
        <w:t>día 5 de septiembre de 2008. Esta orientación a los empresarios se presenta con mayor profundidad</w:t>
      </w:r>
      <w:r>
        <w:rPr>
          <w:spacing w:val="27"/>
          <w:w w:val="105"/>
          <w:sz w:val="16"/>
        </w:rPr>
        <w:t> </w:t>
      </w:r>
      <w:r>
        <w:rPr>
          <w:w w:val="105"/>
          <w:sz w:val="16"/>
        </w:rPr>
        <w:t>en</w:t>
      </w:r>
      <w:r>
        <w:rPr>
          <w:spacing w:val="27"/>
          <w:w w:val="105"/>
          <w:sz w:val="16"/>
        </w:rPr>
        <w:t> </w:t>
      </w:r>
      <w:r>
        <w:rPr>
          <w:w w:val="105"/>
          <w:sz w:val="16"/>
        </w:rPr>
        <w:t>la</w:t>
      </w:r>
      <w:r>
        <w:rPr>
          <w:spacing w:val="27"/>
          <w:w w:val="105"/>
          <w:sz w:val="16"/>
        </w:rPr>
        <w:t> </w:t>
      </w:r>
      <w:r>
        <w:rPr>
          <w:w w:val="105"/>
          <w:sz w:val="16"/>
        </w:rPr>
        <w:t>publicación</w:t>
      </w:r>
      <w:r>
        <w:rPr>
          <w:spacing w:val="27"/>
          <w:w w:val="105"/>
          <w:sz w:val="16"/>
        </w:rPr>
        <w:t> </w:t>
      </w:r>
      <w:r>
        <w:rPr>
          <w:w w:val="105"/>
          <w:sz w:val="16"/>
        </w:rPr>
        <w:t>del</w:t>
      </w:r>
      <w:r>
        <w:rPr>
          <w:spacing w:val="27"/>
          <w:w w:val="105"/>
          <w:sz w:val="16"/>
        </w:rPr>
        <w:t> </w:t>
      </w:r>
      <w:r>
        <w:rPr>
          <w:w w:val="105"/>
          <w:sz w:val="16"/>
        </w:rPr>
        <w:t>CiPE</w:t>
      </w:r>
      <w:r>
        <w:rPr>
          <w:spacing w:val="27"/>
          <w:w w:val="105"/>
          <w:sz w:val="16"/>
        </w:rPr>
        <w:t> </w:t>
      </w:r>
      <w:r>
        <w:rPr>
          <w:w w:val="105"/>
          <w:sz w:val="16"/>
        </w:rPr>
        <w:t>compilada</w:t>
      </w:r>
      <w:r>
        <w:rPr>
          <w:spacing w:val="27"/>
          <w:w w:val="105"/>
          <w:sz w:val="16"/>
        </w:rPr>
        <w:t> </w:t>
      </w:r>
      <w:r>
        <w:rPr>
          <w:w w:val="105"/>
          <w:sz w:val="16"/>
        </w:rPr>
        <w:t>por</w:t>
      </w:r>
      <w:r>
        <w:rPr>
          <w:spacing w:val="27"/>
          <w:w w:val="105"/>
          <w:sz w:val="16"/>
        </w:rPr>
        <w:t> </w:t>
      </w:r>
      <w:r>
        <w:rPr>
          <w:w w:val="105"/>
          <w:sz w:val="16"/>
        </w:rPr>
        <w:t>Milner</w:t>
      </w:r>
      <w:r>
        <w:rPr>
          <w:spacing w:val="27"/>
          <w:w w:val="105"/>
          <w:sz w:val="16"/>
        </w:rPr>
        <w:t> </w:t>
      </w:r>
      <w:r>
        <w:rPr>
          <w:w w:val="105"/>
          <w:sz w:val="16"/>
        </w:rPr>
        <w:t>(1999).</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41"/>
      </w:pPr>
      <w:r>
        <w:rPr>
          <w:w w:val="108"/>
        </w:rPr>
        <w:t>destinados</w:t>
      </w:r>
      <w:r>
        <w:rPr/>
        <w:t> </w:t>
      </w:r>
      <w:r>
        <w:rPr>
          <w:w w:val="112"/>
        </w:rPr>
        <w:t>a</w:t>
      </w:r>
      <w:r>
        <w:rPr/>
        <w:t> </w:t>
      </w:r>
      <w:r>
        <w:rPr>
          <w:w w:val="107"/>
        </w:rPr>
        <w:t>otros</w:t>
      </w:r>
      <w:r>
        <w:rPr/>
        <w:t> </w:t>
      </w:r>
      <w:r>
        <w:rPr>
          <w:w w:val="108"/>
        </w:rPr>
        <w:t>países</w:t>
      </w:r>
      <w:r>
        <w:rPr/>
        <w:t> </w:t>
      </w:r>
      <w:r>
        <w:rPr>
          <w:w w:val="107"/>
        </w:rPr>
        <w:t>de</w:t>
      </w:r>
      <w:r>
        <w:rPr/>
        <w:t> </w:t>
      </w:r>
      <w:r>
        <w:rPr>
          <w:w w:val="139"/>
        </w:rPr>
        <w:t>a</w:t>
      </w:r>
      <w:r>
        <w:rPr>
          <w:w w:val="110"/>
        </w:rPr>
        <w:t>sia</w:t>
      </w:r>
      <w:r>
        <w:rPr/>
        <w:t> </w:t>
      </w:r>
      <w:r>
        <w:rPr>
          <w:w w:val="109"/>
        </w:rPr>
        <w:t>mientras</w:t>
      </w:r>
      <w:r>
        <w:rPr/>
        <w:t> </w:t>
      </w:r>
      <w:r>
        <w:rPr>
          <w:w w:val="139"/>
        </w:rPr>
        <w:t>a</w:t>
      </w:r>
      <w:r>
        <w:rPr>
          <w:w w:val="111"/>
        </w:rPr>
        <w:t>mérica</w:t>
      </w:r>
      <w:r>
        <w:rPr/>
        <w:t> </w:t>
      </w:r>
      <w:r>
        <w:rPr>
          <w:w w:val="243"/>
        </w:rPr>
        <w:t>l</w:t>
      </w:r>
      <w:r>
        <w:rPr>
          <w:w w:val="111"/>
        </w:rPr>
        <w:t>atina</w:t>
      </w:r>
      <w:r>
        <w:rPr/>
        <w:t> </w:t>
      </w:r>
      <w:r>
        <w:rPr>
          <w:w w:val="105"/>
        </w:rPr>
        <w:t>y</w:t>
      </w:r>
      <w:r>
        <w:rPr/>
        <w:t> </w:t>
      </w:r>
      <w:r>
        <w:rPr>
          <w:w w:val="107"/>
        </w:rPr>
        <w:t>el</w:t>
      </w:r>
      <w:r>
        <w:rPr/>
        <w:t> </w:t>
      </w:r>
      <w:r>
        <w:rPr>
          <w:w w:val="112"/>
        </w:rPr>
        <w:t>Caribe </w:t>
      </w:r>
      <w:r>
        <w:rPr>
          <w:w w:val="115"/>
        </w:rPr>
        <w:t>recibieron 9% y 6,5% (CiPE, </w:t>
      </w:r>
      <w:r>
        <w:rPr>
          <w:i/>
          <w:w w:val="115"/>
        </w:rPr>
        <w:t>Annual Report</w:t>
      </w:r>
      <w:r>
        <w:rPr>
          <w:w w:val="115"/>
        </w:rPr>
        <w:t>, 2007 y 2011).</w:t>
      </w:r>
    </w:p>
    <w:p>
      <w:pPr>
        <w:pStyle w:val="BodyText"/>
        <w:spacing w:line="252" w:lineRule="auto"/>
        <w:ind w:left="330" w:right="117" w:firstLine="396"/>
        <w:jc w:val="both"/>
      </w:pPr>
      <w:r>
        <w:rPr>
          <w:w w:val="110"/>
        </w:rPr>
        <w:t>En lo fundamental, la acción del CiPE se lleva adelante a través   de la “cooperación” con socios locales (</w:t>
      </w:r>
      <w:r>
        <w:rPr>
          <w:i/>
          <w:w w:val="110"/>
        </w:rPr>
        <w:t>local partners</w:t>
      </w:r>
      <w:r>
        <w:rPr>
          <w:w w:val="110"/>
        </w:rPr>
        <w:t>), especialmente con asociaciones empresariales, </w:t>
      </w:r>
      <w:r>
        <w:rPr>
          <w:i/>
          <w:w w:val="110"/>
        </w:rPr>
        <w:t>think tanks</w:t>
      </w:r>
      <w:r>
        <w:rPr>
          <w:w w:val="110"/>
        </w:rPr>
        <w:t>, oNGs, universidades y otras organizaciones de la sociedad civil. En el desarrollo de estos programas conjuntos, las organizaciones locales obtienen recursos </w:t>
      </w:r>
      <w:r>
        <w:rPr>
          <w:w w:val="107"/>
        </w:rPr>
        <w:t>de</w:t>
      </w:r>
      <w:r>
        <w:rPr/>
        <w:t> </w:t>
      </w:r>
      <w:r>
        <w:rPr>
          <w:spacing w:val="-9"/>
        </w:rPr>
        <w:t> </w:t>
      </w:r>
      <w:r>
        <w:rPr>
          <w:w w:val="108"/>
        </w:rPr>
        <w:t>otras</w:t>
      </w:r>
      <w:r>
        <w:rPr/>
        <w:t> </w:t>
      </w:r>
      <w:r>
        <w:rPr>
          <w:spacing w:val="-9"/>
        </w:rPr>
        <w:t> </w:t>
      </w:r>
      <w:r>
        <w:rPr>
          <w:w w:val="110"/>
        </w:rPr>
        <w:t>fuentes.</w:t>
      </w:r>
      <w:r>
        <w:rPr/>
        <w:t> </w:t>
      </w:r>
      <w:r>
        <w:rPr>
          <w:spacing w:val="-9"/>
        </w:rPr>
        <w:t> </w:t>
      </w:r>
      <w:r>
        <w:rPr>
          <w:w w:val="243"/>
        </w:rPr>
        <w:t>l</w:t>
      </w:r>
      <w:r>
        <w:rPr>
          <w:w w:val="112"/>
        </w:rPr>
        <w:t>a</w:t>
      </w:r>
      <w:r>
        <w:rPr/>
        <w:t> </w:t>
      </w:r>
      <w:r>
        <w:rPr>
          <w:spacing w:val="-9"/>
        </w:rPr>
        <w:t> </w:t>
      </w:r>
      <w:r>
        <w:rPr>
          <w:w w:val="111"/>
        </w:rPr>
        <w:t>filiación</w:t>
      </w:r>
      <w:r>
        <w:rPr/>
        <w:t> </w:t>
      </w:r>
      <w:r>
        <w:rPr>
          <w:spacing w:val="-9"/>
        </w:rPr>
        <w:t> </w:t>
      </w:r>
      <w:r>
        <w:rPr>
          <w:w w:val="107"/>
        </w:rPr>
        <w:t>del</w:t>
      </w:r>
      <w:r>
        <w:rPr/>
        <w:t> </w:t>
      </w:r>
      <w:r>
        <w:rPr>
          <w:spacing w:val="-9"/>
        </w:rPr>
        <w:t> </w:t>
      </w:r>
      <w:r>
        <w:rPr>
          <w:w w:val="124"/>
        </w:rPr>
        <w:t>C</w:t>
      </w:r>
      <w:r>
        <w:rPr>
          <w:w w:val="142"/>
        </w:rPr>
        <w:t>i</w:t>
      </w:r>
      <w:r>
        <w:rPr>
          <w:w w:val="120"/>
        </w:rPr>
        <w:t>PE</w:t>
      </w:r>
      <w:r>
        <w:rPr/>
        <w:t> </w:t>
      </w:r>
      <w:r>
        <w:rPr>
          <w:spacing w:val="-9"/>
        </w:rPr>
        <w:t> </w:t>
      </w:r>
      <w:r>
        <w:rPr>
          <w:w w:val="112"/>
        </w:rPr>
        <w:t>a</w:t>
      </w:r>
      <w:r>
        <w:rPr/>
        <w:t> </w:t>
      </w:r>
      <w:r>
        <w:rPr>
          <w:spacing w:val="-9"/>
        </w:rPr>
        <w:t> </w:t>
      </w:r>
      <w:r>
        <w:rPr>
          <w:w w:val="111"/>
        </w:rPr>
        <w:t>la</w:t>
      </w:r>
      <w:r>
        <w:rPr/>
        <w:t> </w:t>
      </w:r>
      <w:r>
        <w:rPr>
          <w:spacing w:val="-9"/>
        </w:rPr>
        <w:t> </w:t>
      </w:r>
      <w:r>
        <w:rPr>
          <w:w w:val="113"/>
        </w:rPr>
        <w:t>Cámara</w:t>
      </w:r>
      <w:r>
        <w:rPr/>
        <w:t> </w:t>
      </w:r>
      <w:r>
        <w:rPr>
          <w:spacing w:val="-9"/>
        </w:rPr>
        <w:t> </w:t>
      </w:r>
      <w:r>
        <w:rPr>
          <w:w w:val="107"/>
        </w:rPr>
        <w:t>de</w:t>
      </w:r>
      <w:r>
        <w:rPr/>
        <w:t> </w:t>
      </w:r>
      <w:r>
        <w:rPr>
          <w:spacing w:val="-9"/>
        </w:rPr>
        <w:t> </w:t>
      </w:r>
      <w:r>
        <w:rPr>
          <w:w w:val="112"/>
        </w:rPr>
        <w:t>Comercio</w:t>
      </w:r>
      <w:r>
        <w:rPr/>
        <w:t> </w:t>
      </w:r>
      <w:r>
        <w:rPr>
          <w:spacing w:val="-9"/>
        </w:rPr>
        <w:t> </w:t>
      </w:r>
      <w:r>
        <w:rPr>
          <w:w w:val="107"/>
        </w:rPr>
        <w:t>de </w:t>
      </w:r>
      <w:r>
        <w:rPr>
          <w:w w:val="110"/>
        </w:rPr>
        <w:t>Estados unidos facilitó su ingreso en la región pues la mayoría de     los países latinoamericanos cuentan con una Cámara americana de Comercio (Geurts </w:t>
      </w:r>
      <w:r>
        <w:rPr>
          <w:i/>
          <w:w w:val="110"/>
        </w:rPr>
        <w:t>et al.</w:t>
      </w:r>
      <w:r>
        <w:rPr>
          <w:w w:val="110"/>
        </w:rPr>
        <w:t>, 2001:</w:t>
      </w:r>
      <w:r>
        <w:rPr>
          <w:spacing w:val="17"/>
          <w:w w:val="110"/>
        </w:rPr>
        <w:t> </w:t>
      </w:r>
      <w:r>
        <w:rPr>
          <w:w w:val="110"/>
        </w:rPr>
        <w:t>64).</w:t>
      </w:r>
    </w:p>
    <w:p>
      <w:pPr>
        <w:pStyle w:val="BodyText"/>
        <w:spacing w:line="252" w:lineRule="auto"/>
        <w:ind w:left="330" w:right="116" w:firstLine="438"/>
        <w:jc w:val="both"/>
      </w:pPr>
      <w:r>
        <w:rPr>
          <w:spacing w:val="1"/>
          <w:w w:val="243"/>
        </w:rPr>
        <w:t>l</w:t>
      </w:r>
      <w:r>
        <w:rPr>
          <w:w w:val="112"/>
        </w:rPr>
        <w:t>a</w:t>
      </w:r>
      <w:r>
        <w:rPr/>
        <w:t> </w:t>
      </w:r>
      <w:r>
        <w:rPr>
          <w:spacing w:val="-11"/>
        </w:rPr>
        <w:t> </w:t>
      </w:r>
      <w:r>
        <w:rPr>
          <w:spacing w:val="1"/>
          <w:w w:val="112"/>
        </w:rPr>
        <w:t>articulació</w:t>
      </w:r>
      <w:r>
        <w:rPr>
          <w:w w:val="112"/>
        </w:rPr>
        <w:t>n</w:t>
      </w:r>
      <w:r>
        <w:rPr/>
        <w:t> </w:t>
      </w:r>
      <w:r>
        <w:rPr>
          <w:spacing w:val="-11"/>
        </w:rPr>
        <w:t> </w:t>
      </w:r>
      <w:r>
        <w:rPr>
          <w:spacing w:val="1"/>
          <w:w w:val="107"/>
        </w:rPr>
        <w:t>d</w:t>
      </w:r>
      <w:r>
        <w:rPr>
          <w:w w:val="107"/>
        </w:rPr>
        <w:t>e</w:t>
      </w:r>
      <w:r>
        <w:rPr/>
        <w:t> </w:t>
      </w:r>
      <w:r>
        <w:rPr>
          <w:spacing w:val="-11"/>
        </w:rPr>
        <w:t> </w:t>
      </w:r>
      <w:r>
        <w:rPr>
          <w:spacing w:val="1"/>
          <w:w w:val="124"/>
        </w:rPr>
        <w:t>C</w:t>
      </w:r>
      <w:r>
        <w:rPr>
          <w:spacing w:val="1"/>
          <w:w w:val="142"/>
        </w:rPr>
        <w:t>i</w:t>
      </w:r>
      <w:r>
        <w:rPr>
          <w:spacing w:val="1"/>
          <w:w w:val="120"/>
        </w:rPr>
        <w:t>P</w:t>
      </w:r>
      <w:r>
        <w:rPr>
          <w:w w:val="120"/>
        </w:rPr>
        <w:t>E</w:t>
      </w:r>
      <w:r>
        <w:rPr/>
        <w:t> </w:t>
      </w:r>
      <w:r>
        <w:rPr>
          <w:spacing w:val="-11"/>
        </w:rPr>
        <w:t> </w:t>
      </w:r>
      <w:r>
        <w:rPr>
          <w:spacing w:val="1"/>
          <w:w w:val="112"/>
        </w:rPr>
        <w:t>co</w:t>
      </w:r>
      <w:r>
        <w:rPr>
          <w:w w:val="112"/>
        </w:rPr>
        <w:t>n</w:t>
      </w:r>
      <w:r>
        <w:rPr/>
        <w:t> </w:t>
      </w:r>
      <w:r>
        <w:rPr>
          <w:spacing w:val="-11"/>
        </w:rPr>
        <w:t> </w:t>
      </w:r>
      <w:r>
        <w:rPr>
          <w:spacing w:val="1"/>
          <w:w w:val="108"/>
        </w:rPr>
        <w:t>lo</w:t>
      </w:r>
      <w:r>
        <w:rPr>
          <w:w w:val="108"/>
        </w:rPr>
        <w:t>s</w:t>
      </w:r>
      <w:r>
        <w:rPr/>
        <w:t> </w:t>
      </w:r>
      <w:r>
        <w:rPr>
          <w:spacing w:val="-11"/>
        </w:rPr>
        <w:t> </w:t>
      </w:r>
      <w:r>
        <w:rPr>
          <w:spacing w:val="1"/>
          <w:w w:val="110"/>
        </w:rPr>
        <w:t>socio</w:t>
      </w:r>
      <w:r>
        <w:rPr>
          <w:w w:val="110"/>
        </w:rPr>
        <w:t>s</w:t>
      </w:r>
      <w:r>
        <w:rPr/>
        <w:t> </w:t>
      </w:r>
      <w:r>
        <w:rPr>
          <w:spacing w:val="-11"/>
        </w:rPr>
        <w:t> </w:t>
      </w:r>
      <w:r>
        <w:rPr>
          <w:spacing w:val="1"/>
          <w:w w:val="110"/>
        </w:rPr>
        <w:t>locale</w:t>
      </w:r>
      <w:r>
        <w:rPr>
          <w:w w:val="110"/>
        </w:rPr>
        <w:t>s</w:t>
      </w:r>
      <w:r>
        <w:rPr/>
        <w:t> </w:t>
      </w:r>
      <w:r>
        <w:rPr>
          <w:spacing w:val="-11"/>
        </w:rPr>
        <w:t> </w:t>
      </w:r>
      <w:r>
        <w:rPr>
          <w:spacing w:val="1"/>
          <w:w w:val="105"/>
        </w:rPr>
        <w:t>e</w:t>
      </w:r>
      <w:r>
        <w:rPr>
          <w:w w:val="105"/>
        </w:rPr>
        <w:t>s</w:t>
      </w:r>
      <w:r>
        <w:rPr/>
        <w:t> </w:t>
      </w:r>
      <w:r>
        <w:rPr>
          <w:spacing w:val="-11"/>
        </w:rPr>
        <w:t> </w:t>
      </w:r>
      <w:r>
        <w:rPr>
          <w:spacing w:val="1"/>
          <w:w w:val="109"/>
        </w:rPr>
        <w:t>centra</w:t>
      </w:r>
      <w:r>
        <w:rPr>
          <w:w w:val="109"/>
        </w:rPr>
        <w:t>l</w:t>
      </w:r>
      <w:r>
        <w:rPr/>
        <w:t> </w:t>
      </w:r>
      <w:r>
        <w:rPr>
          <w:spacing w:val="-11"/>
        </w:rPr>
        <w:t> </w:t>
      </w:r>
      <w:r>
        <w:rPr>
          <w:spacing w:val="1"/>
          <w:w w:val="108"/>
        </w:rPr>
        <w:t>e</w:t>
      </w:r>
      <w:r>
        <w:rPr>
          <w:w w:val="108"/>
        </w:rPr>
        <w:t>n</w:t>
      </w:r>
      <w:r>
        <w:rPr/>
        <w:t> </w:t>
      </w:r>
      <w:r>
        <w:rPr>
          <w:spacing w:val="-11"/>
        </w:rPr>
        <w:t> </w:t>
      </w:r>
      <w:r>
        <w:rPr>
          <w:spacing w:val="1"/>
          <w:w w:val="107"/>
        </w:rPr>
        <w:t>el </w:t>
      </w:r>
      <w:r>
        <w:rPr>
          <w:w w:val="110"/>
        </w:rPr>
        <w:t>abordaje del CiPE y ellas deben ser activas en la elaboración e im- plementación de los proyectos (“empoderamiento de los organiza- </w:t>
      </w:r>
      <w:r>
        <w:rPr>
          <w:spacing w:val="1"/>
          <w:w w:val="110"/>
        </w:rPr>
        <w:t>cione</w:t>
      </w:r>
      <w:r>
        <w:rPr>
          <w:w w:val="110"/>
        </w:rPr>
        <w:t>s</w:t>
      </w:r>
      <w:r>
        <w:rPr/>
        <w:t> </w:t>
      </w:r>
      <w:r>
        <w:rPr>
          <w:spacing w:val="-5"/>
        </w:rPr>
        <w:t> </w:t>
      </w:r>
      <w:r>
        <w:rPr>
          <w:spacing w:val="1"/>
          <w:w w:val="112"/>
        </w:rPr>
        <w:t>locales”</w:t>
      </w:r>
      <w:r>
        <w:rPr>
          <w:w w:val="112"/>
        </w:rPr>
        <w:t>,</w:t>
      </w:r>
      <w:r>
        <w:rPr/>
        <w:t> </w:t>
      </w:r>
      <w:r>
        <w:rPr>
          <w:spacing w:val="-5"/>
        </w:rPr>
        <w:t> </w:t>
      </w:r>
      <w:r>
        <w:rPr>
          <w:spacing w:val="1"/>
          <w:w w:val="108"/>
        </w:rPr>
        <w:t>e</w:t>
      </w:r>
      <w:r>
        <w:rPr>
          <w:w w:val="108"/>
        </w:rPr>
        <w:t>n</w:t>
      </w:r>
      <w:r>
        <w:rPr/>
        <w:t> </w:t>
      </w:r>
      <w:r>
        <w:rPr>
          <w:spacing w:val="-5"/>
        </w:rPr>
        <w:t> </w:t>
      </w:r>
      <w:r>
        <w:rPr>
          <w:spacing w:val="1"/>
          <w:w w:val="107"/>
        </w:rPr>
        <w:t>e</w:t>
      </w:r>
      <w:r>
        <w:rPr>
          <w:w w:val="107"/>
        </w:rPr>
        <w:t>l</w:t>
      </w:r>
      <w:r>
        <w:rPr/>
        <w:t> </w:t>
      </w:r>
      <w:r>
        <w:rPr>
          <w:spacing w:val="-5"/>
        </w:rPr>
        <w:t> </w:t>
      </w:r>
      <w:r>
        <w:rPr>
          <w:spacing w:val="1"/>
          <w:w w:val="110"/>
        </w:rPr>
        <w:t>lenguaj</w:t>
      </w:r>
      <w:r>
        <w:rPr>
          <w:w w:val="110"/>
        </w:rPr>
        <w:t>e</w:t>
      </w:r>
      <w:r>
        <w:rPr/>
        <w:t> </w:t>
      </w:r>
      <w:r>
        <w:rPr>
          <w:spacing w:val="-5"/>
        </w:rPr>
        <w:t> </w:t>
      </w:r>
      <w:r>
        <w:rPr>
          <w:spacing w:val="1"/>
          <w:w w:val="107"/>
        </w:rPr>
        <w:t>d</w:t>
      </w:r>
      <w:r>
        <w:rPr>
          <w:w w:val="107"/>
        </w:rPr>
        <w:t>e</w:t>
      </w:r>
      <w:r>
        <w:rPr/>
        <w:t> </w:t>
      </w:r>
      <w:r>
        <w:rPr>
          <w:spacing w:val="-5"/>
        </w:rPr>
        <w:t> </w:t>
      </w:r>
      <w:r>
        <w:rPr>
          <w:spacing w:val="1"/>
          <w:w w:val="111"/>
        </w:rPr>
        <w:t>l</w:t>
      </w:r>
      <w:r>
        <w:rPr>
          <w:w w:val="111"/>
        </w:rPr>
        <w:t>a</w:t>
      </w:r>
      <w:r>
        <w:rPr/>
        <w:t> </w:t>
      </w:r>
      <w:r>
        <w:rPr>
          <w:spacing w:val="-5"/>
        </w:rPr>
        <w:t> </w:t>
      </w:r>
      <w:r>
        <w:rPr>
          <w:spacing w:val="1"/>
          <w:w w:val="111"/>
        </w:rPr>
        <w:t>organización)</w:t>
      </w:r>
      <w:r>
        <w:rPr>
          <w:w w:val="111"/>
        </w:rPr>
        <w:t>.</w:t>
      </w:r>
      <w:r>
        <w:rPr/>
        <w:t> </w:t>
      </w:r>
      <w:r>
        <w:rPr>
          <w:spacing w:val="-5"/>
        </w:rPr>
        <w:t> </w:t>
      </w:r>
      <w:r>
        <w:rPr>
          <w:spacing w:val="1"/>
          <w:w w:val="243"/>
        </w:rPr>
        <w:t>l</w:t>
      </w:r>
      <w:r>
        <w:rPr>
          <w:spacing w:val="1"/>
          <w:w w:val="108"/>
        </w:rPr>
        <w:t>o</w:t>
      </w:r>
      <w:r>
        <w:rPr>
          <w:w w:val="108"/>
        </w:rPr>
        <w:t>s</w:t>
      </w:r>
      <w:r>
        <w:rPr/>
        <w:t> </w:t>
      </w:r>
      <w:r>
        <w:rPr>
          <w:spacing w:val="-5"/>
        </w:rPr>
        <w:t> </w:t>
      </w:r>
      <w:r>
        <w:rPr>
          <w:spacing w:val="1"/>
          <w:w w:val="110"/>
        </w:rPr>
        <w:t>principales </w:t>
      </w:r>
      <w:r>
        <w:rPr>
          <w:w w:val="110"/>
        </w:rPr>
        <w:t>programas de acción incluyen: a) el combate a la corrupción; b) la promoción de la gobernanza corporativa; c) reformas institucionales para llevar el sector informal a la economía formal; d) reforzar el papel de la mujer y la juventud (programas, cursos, organizaciones, educación); e) promover la gobernanza democrática; f) reducir los conflictos por la renta a través de la iniciativa empresarial</w:t>
      </w:r>
      <w:r>
        <w:rPr>
          <w:w w:val="110"/>
          <w:position w:val="6"/>
          <w:sz w:val="11"/>
        </w:rPr>
        <w:t>8</w:t>
      </w:r>
      <w:r>
        <w:rPr>
          <w:w w:val="110"/>
        </w:rPr>
        <w:t>; g) desa- rrollo de las asociaciones empresariales; h) reforma en la legislación   y regulaciones que dificultan las actividades empresariales; i) acceso  a la información para alcanzar mayor transparencia en el gobierno,  en la divulgación y el entendimiento de los principios democráticos orientados al</w:t>
      </w:r>
      <w:r>
        <w:rPr>
          <w:spacing w:val="45"/>
          <w:w w:val="110"/>
        </w:rPr>
        <w:t> </w:t>
      </w:r>
      <w:r>
        <w:rPr>
          <w:w w:val="110"/>
        </w:rPr>
        <w:t>mercado</w:t>
      </w:r>
      <w:r>
        <w:rPr>
          <w:w w:val="110"/>
          <w:position w:val="6"/>
          <w:sz w:val="11"/>
        </w:rPr>
        <w:t>9</w:t>
      </w:r>
      <w:r>
        <w:rPr>
          <w:w w:val="110"/>
        </w:rPr>
        <w:t>.</w:t>
      </w:r>
    </w:p>
    <w:p>
      <w:pPr>
        <w:pStyle w:val="BodyText"/>
        <w:spacing w:line="252" w:lineRule="auto"/>
        <w:ind w:left="330" w:right="117" w:firstLine="396"/>
        <w:jc w:val="both"/>
      </w:pPr>
      <w:r>
        <w:rPr>
          <w:w w:val="110"/>
        </w:rPr>
        <w:t>En febrero de 2007 el CiPE divulgó un documento con los linea- mientos estratégicos para el período 2007-2012 (CiPE, 2007a). según este documento, la emergencia del “populismo” y del “proteccionis- mo” son dos grandes desafíos a ser enfrentados en este período. Este “nuevo populismo”, según el CiPE, busca desvincular la liberalización política de las reformas de libre mercado y libre comercio </w:t>
      </w:r>
      <w:r>
        <w:rPr>
          <w:spacing w:val="-11"/>
          <w:w w:val="110"/>
        </w:rPr>
        <w:t>y, </w:t>
      </w:r>
      <w:r>
        <w:rPr>
          <w:w w:val="110"/>
        </w:rPr>
        <w:t>al mismo tiempo, reforzar lazos políticos y económicos regionales contrarios     a la reforma global. Esto fue considerado como un “retroceso demo- crático”</w:t>
      </w:r>
      <w:r>
        <w:rPr>
          <w:spacing w:val="23"/>
          <w:w w:val="110"/>
        </w:rPr>
        <w:t> </w:t>
      </w:r>
      <w:r>
        <w:rPr>
          <w:w w:val="110"/>
        </w:rPr>
        <w:t>(</w:t>
      </w:r>
      <w:r>
        <w:rPr>
          <w:i/>
          <w:w w:val="110"/>
        </w:rPr>
        <w:t>democracy</w:t>
      </w:r>
      <w:r>
        <w:rPr>
          <w:i/>
          <w:spacing w:val="23"/>
          <w:w w:val="110"/>
        </w:rPr>
        <w:t> </w:t>
      </w:r>
      <w:r>
        <w:rPr>
          <w:i/>
          <w:w w:val="110"/>
        </w:rPr>
        <w:t>backlash</w:t>
      </w:r>
      <w:r>
        <w:rPr>
          <w:w w:val="110"/>
        </w:rPr>
        <w:t>)</w:t>
      </w:r>
      <w:r>
        <w:rPr>
          <w:spacing w:val="23"/>
          <w:w w:val="110"/>
        </w:rPr>
        <w:t> </w:t>
      </w:r>
      <w:r>
        <w:rPr>
          <w:w w:val="110"/>
        </w:rPr>
        <w:t>y</w:t>
      </w:r>
      <w:r>
        <w:rPr>
          <w:spacing w:val="23"/>
          <w:w w:val="110"/>
        </w:rPr>
        <w:t> </w:t>
      </w:r>
      <w:r>
        <w:rPr>
          <w:w w:val="110"/>
        </w:rPr>
        <w:t>el</w:t>
      </w:r>
      <w:r>
        <w:rPr>
          <w:spacing w:val="23"/>
          <w:w w:val="110"/>
        </w:rPr>
        <w:t> </w:t>
      </w:r>
      <w:r>
        <w:rPr>
          <w:w w:val="110"/>
        </w:rPr>
        <w:t>“desafío”</w:t>
      </w:r>
      <w:r>
        <w:rPr>
          <w:spacing w:val="23"/>
          <w:w w:val="110"/>
        </w:rPr>
        <w:t> </w:t>
      </w:r>
      <w:r>
        <w:rPr>
          <w:w w:val="110"/>
        </w:rPr>
        <w:t>de</w:t>
      </w:r>
      <w:r>
        <w:rPr>
          <w:spacing w:val="23"/>
          <w:w w:val="110"/>
        </w:rPr>
        <w:t> </w:t>
      </w:r>
      <w:r>
        <w:rPr>
          <w:w w:val="110"/>
        </w:rPr>
        <w:t>la</w:t>
      </w:r>
      <w:r>
        <w:rPr>
          <w:spacing w:val="23"/>
          <w:w w:val="110"/>
        </w:rPr>
        <w:t> </w:t>
      </w:r>
      <w:r>
        <w:rPr>
          <w:w w:val="110"/>
        </w:rPr>
        <w:t>organización</w:t>
      </w:r>
      <w:r>
        <w:rPr>
          <w:spacing w:val="23"/>
          <w:w w:val="110"/>
        </w:rPr>
        <w:t> </w:t>
      </w:r>
      <w:r>
        <w:rPr>
          <w:w w:val="110"/>
        </w:rPr>
        <w:t>sería</w:t>
      </w:r>
    </w:p>
    <w:p>
      <w:pPr>
        <w:pStyle w:val="BodyText"/>
        <w:rPr>
          <w:sz w:val="20"/>
        </w:rPr>
      </w:pPr>
    </w:p>
    <w:p>
      <w:pPr>
        <w:pStyle w:val="BodyText"/>
        <w:spacing w:before="3"/>
        <w:rPr>
          <w:sz w:val="13"/>
        </w:rPr>
      </w:pPr>
      <w:r>
        <w:rPr/>
        <w:pict>
          <v:line style="position:absolute;mso-position-horizontal-relative:page;mso-position-vertical-relative:paragraph;z-index:5632;mso-wrap-distance-left:0;mso-wrap-distance-right:0" from="76.5354pt,9.999991pt" to="104.8814pt,9.999991pt" stroked="true" strokeweight=".5pt" strokecolor="#000000">
            <w10:wrap type="topAndBottom"/>
          </v:line>
        </w:pict>
      </w:r>
    </w:p>
    <w:p>
      <w:pPr>
        <w:pStyle w:val="ListParagraph"/>
        <w:numPr>
          <w:ilvl w:val="0"/>
          <w:numId w:val="28"/>
        </w:numPr>
        <w:tabs>
          <w:tab w:pos="586" w:val="left" w:leader="none"/>
        </w:tabs>
        <w:spacing w:line="242" w:lineRule="auto" w:before="89" w:after="0"/>
        <w:ind w:left="330" w:right="118" w:firstLine="0"/>
        <w:jc w:val="both"/>
        <w:rPr>
          <w:sz w:val="16"/>
        </w:rPr>
      </w:pPr>
      <w:r>
        <w:rPr>
          <w:w w:val="110"/>
          <w:sz w:val="16"/>
        </w:rPr>
        <w:t>El</w:t>
      </w:r>
      <w:r>
        <w:rPr>
          <w:spacing w:val="-5"/>
          <w:w w:val="110"/>
          <w:sz w:val="16"/>
        </w:rPr>
        <w:t> </w:t>
      </w:r>
      <w:r>
        <w:rPr>
          <w:w w:val="110"/>
          <w:sz w:val="16"/>
        </w:rPr>
        <w:t>CiPE</w:t>
      </w:r>
      <w:r>
        <w:rPr>
          <w:spacing w:val="-5"/>
          <w:w w:val="110"/>
          <w:sz w:val="16"/>
        </w:rPr>
        <w:t> </w:t>
      </w:r>
      <w:r>
        <w:rPr>
          <w:w w:val="110"/>
          <w:sz w:val="16"/>
        </w:rPr>
        <w:t>estimula</w:t>
      </w:r>
      <w:r>
        <w:rPr>
          <w:spacing w:val="-5"/>
          <w:w w:val="110"/>
          <w:sz w:val="16"/>
        </w:rPr>
        <w:t> </w:t>
      </w:r>
      <w:r>
        <w:rPr>
          <w:w w:val="110"/>
          <w:sz w:val="16"/>
        </w:rPr>
        <w:t>el</w:t>
      </w:r>
      <w:r>
        <w:rPr>
          <w:spacing w:val="-5"/>
          <w:w w:val="110"/>
          <w:sz w:val="16"/>
        </w:rPr>
        <w:t> </w:t>
      </w:r>
      <w:r>
        <w:rPr>
          <w:w w:val="110"/>
          <w:sz w:val="16"/>
        </w:rPr>
        <w:t>desarrollo</w:t>
      </w:r>
      <w:r>
        <w:rPr>
          <w:spacing w:val="-5"/>
          <w:w w:val="110"/>
          <w:sz w:val="16"/>
        </w:rPr>
        <w:t> </w:t>
      </w:r>
      <w:r>
        <w:rPr>
          <w:w w:val="110"/>
          <w:sz w:val="16"/>
        </w:rPr>
        <w:t>de</w:t>
      </w:r>
      <w:r>
        <w:rPr>
          <w:spacing w:val="-5"/>
          <w:w w:val="110"/>
          <w:sz w:val="16"/>
        </w:rPr>
        <w:t> </w:t>
      </w:r>
      <w:r>
        <w:rPr>
          <w:w w:val="110"/>
          <w:sz w:val="16"/>
        </w:rPr>
        <w:t>iniciativas</w:t>
      </w:r>
      <w:r>
        <w:rPr>
          <w:spacing w:val="-5"/>
          <w:w w:val="110"/>
          <w:sz w:val="16"/>
        </w:rPr>
        <w:t> </w:t>
      </w:r>
      <w:r>
        <w:rPr>
          <w:w w:val="110"/>
          <w:sz w:val="16"/>
        </w:rPr>
        <w:t>empresariales</w:t>
      </w:r>
      <w:r>
        <w:rPr>
          <w:spacing w:val="-5"/>
          <w:w w:val="110"/>
          <w:sz w:val="16"/>
        </w:rPr>
        <w:t> </w:t>
      </w:r>
      <w:r>
        <w:rPr>
          <w:w w:val="110"/>
          <w:sz w:val="16"/>
        </w:rPr>
        <w:t>que</w:t>
      </w:r>
      <w:r>
        <w:rPr>
          <w:spacing w:val="-5"/>
          <w:w w:val="110"/>
          <w:sz w:val="16"/>
        </w:rPr>
        <w:t> </w:t>
      </w:r>
      <w:r>
        <w:rPr>
          <w:w w:val="110"/>
          <w:sz w:val="16"/>
        </w:rPr>
        <w:t>generan</w:t>
      </w:r>
      <w:r>
        <w:rPr>
          <w:spacing w:val="-5"/>
          <w:w w:val="110"/>
          <w:sz w:val="16"/>
        </w:rPr>
        <w:t> </w:t>
      </w:r>
      <w:r>
        <w:rPr>
          <w:w w:val="110"/>
          <w:sz w:val="16"/>
        </w:rPr>
        <w:t>empleo</w:t>
      </w:r>
      <w:r>
        <w:rPr>
          <w:spacing w:val="-5"/>
          <w:w w:val="110"/>
          <w:sz w:val="16"/>
        </w:rPr>
        <w:t> </w:t>
      </w:r>
      <w:r>
        <w:rPr>
          <w:w w:val="110"/>
          <w:sz w:val="16"/>
        </w:rPr>
        <w:t>y renta,</w:t>
      </w:r>
      <w:r>
        <w:rPr>
          <w:spacing w:val="-18"/>
          <w:w w:val="110"/>
          <w:sz w:val="16"/>
        </w:rPr>
        <w:t> </w:t>
      </w:r>
      <w:r>
        <w:rPr>
          <w:w w:val="110"/>
          <w:sz w:val="16"/>
        </w:rPr>
        <w:t>especialmente</w:t>
      </w:r>
      <w:r>
        <w:rPr>
          <w:spacing w:val="-18"/>
          <w:w w:val="110"/>
          <w:sz w:val="16"/>
        </w:rPr>
        <w:t> </w:t>
      </w:r>
      <w:r>
        <w:rPr>
          <w:w w:val="110"/>
          <w:sz w:val="16"/>
        </w:rPr>
        <w:t>a</w:t>
      </w:r>
      <w:r>
        <w:rPr>
          <w:spacing w:val="-18"/>
          <w:w w:val="110"/>
          <w:sz w:val="16"/>
        </w:rPr>
        <w:t> </w:t>
      </w:r>
      <w:r>
        <w:rPr>
          <w:w w:val="110"/>
          <w:sz w:val="16"/>
        </w:rPr>
        <w:t>través</w:t>
      </w:r>
      <w:r>
        <w:rPr>
          <w:spacing w:val="-18"/>
          <w:w w:val="110"/>
          <w:sz w:val="16"/>
        </w:rPr>
        <w:t> </w:t>
      </w:r>
      <w:r>
        <w:rPr>
          <w:w w:val="110"/>
          <w:sz w:val="16"/>
        </w:rPr>
        <w:t>de</w:t>
      </w:r>
      <w:r>
        <w:rPr>
          <w:spacing w:val="-18"/>
          <w:w w:val="110"/>
          <w:sz w:val="16"/>
        </w:rPr>
        <w:t> </w:t>
      </w:r>
      <w:r>
        <w:rPr>
          <w:w w:val="110"/>
          <w:sz w:val="16"/>
        </w:rPr>
        <w:t>las</w:t>
      </w:r>
      <w:r>
        <w:rPr>
          <w:spacing w:val="-18"/>
          <w:w w:val="110"/>
          <w:sz w:val="16"/>
        </w:rPr>
        <w:t> </w:t>
      </w:r>
      <w:r>
        <w:rPr>
          <w:w w:val="110"/>
          <w:sz w:val="16"/>
        </w:rPr>
        <w:t>pequeñas</w:t>
      </w:r>
      <w:r>
        <w:rPr>
          <w:spacing w:val="-18"/>
          <w:w w:val="110"/>
          <w:sz w:val="16"/>
        </w:rPr>
        <w:t> </w:t>
      </w:r>
      <w:r>
        <w:rPr>
          <w:w w:val="110"/>
          <w:sz w:val="16"/>
        </w:rPr>
        <w:t>y</w:t>
      </w:r>
      <w:r>
        <w:rPr>
          <w:spacing w:val="-18"/>
          <w:w w:val="110"/>
          <w:sz w:val="16"/>
        </w:rPr>
        <w:t> </w:t>
      </w:r>
      <w:r>
        <w:rPr>
          <w:w w:val="110"/>
          <w:sz w:val="16"/>
        </w:rPr>
        <w:t>las</w:t>
      </w:r>
      <w:r>
        <w:rPr>
          <w:spacing w:val="-18"/>
          <w:w w:val="110"/>
          <w:sz w:val="16"/>
        </w:rPr>
        <w:t> </w:t>
      </w:r>
      <w:r>
        <w:rPr>
          <w:w w:val="110"/>
          <w:sz w:val="16"/>
        </w:rPr>
        <w:t>microempresas.</w:t>
      </w:r>
      <w:r>
        <w:rPr>
          <w:spacing w:val="-18"/>
          <w:w w:val="110"/>
          <w:sz w:val="16"/>
        </w:rPr>
        <w:t> </w:t>
      </w:r>
      <w:r>
        <w:rPr>
          <w:w w:val="110"/>
          <w:sz w:val="16"/>
        </w:rPr>
        <w:t>Pero</w:t>
      </w:r>
      <w:r>
        <w:rPr>
          <w:spacing w:val="-18"/>
          <w:w w:val="110"/>
          <w:sz w:val="16"/>
        </w:rPr>
        <w:t> </w:t>
      </w:r>
      <w:r>
        <w:rPr>
          <w:w w:val="110"/>
          <w:sz w:val="16"/>
        </w:rPr>
        <w:t>las</w:t>
      </w:r>
      <w:r>
        <w:rPr>
          <w:spacing w:val="-18"/>
          <w:w w:val="110"/>
          <w:sz w:val="16"/>
        </w:rPr>
        <w:t> </w:t>
      </w:r>
      <w:r>
        <w:rPr>
          <w:w w:val="110"/>
          <w:sz w:val="16"/>
        </w:rPr>
        <w:t>pequeñas y</w:t>
      </w:r>
      <w:r>
        <w:rPr>
          <w:spacing w:val="-9"/>
          <w:w w:val="110"/>
          <w:sz w:val="16"/>
        </w:rPr>
        <w:t> </w:t>
      </w:r>
      <w:r>
        <w:rPr>
          <w:w w:val="110"/>
          <w:sz w:val="16"/>
        </w:rPr>
        <w:t>medianas</w:t>
      </w:r>
      <w:r>
        <w:rPr>
          <w:spacing w:val="-9"/>
          <w:w w:val="110"/>
          <w:sz w:val="16"/>
        </w:rPr>
        <w:t> </w:t>
      </w:r>
      <w:r>
        <w:rPr>
          <w:w w:val="110"/>
          <w:sz w:val="16"/>
        </w:rPr>
        <w:t>empresas</w:t>
      </w:r>
      <w:r>
        <w:rPr>
          <w:spacing w:val="-9"/>
          <w:w w:val="110"/>
          <w:sz w:val="16"/>
        </w:rPr>
        <w:t> </w:t>
      </w:r>
      <w:r>
        <w:rPr>
          <w:w w:val="110"/>
          <w:sz w:val="16"/>
        </w:rPr>
        <w:t>juegan</w:t>
      </w:r>
      <w:r>
        <w:rPr>
          <w:spacing w:val="-9"/>
          <w:w w:val="110"/>
          <w:sz w:val="16"/>
        </w:rPr>
        <w:t> </w:t>
      </w:r>
      <w:r>
        <w:rPr>
          <w:w w:val="110"/>
          <w:sz w:val="16"/>
        </w:rPr>
        <w:t>también</w:t>
      </w:r>
      <w:r>
        <w:rPr>
          <w:spacing w:val="-9"/>
          <w:w w:val="110"/>
          <w:sz w:val="16"/>
        </w:rPr>
        <w:t> </w:t>
      </w:r>
      <w:r>
        <w:rPr>
          <w:w w:val="110"/>
          <w:sz w:val="16"/>
        </w:rPr>
        <w:t>un</w:t>
      </w:r>
      <w:r>
        <w:rPr>
          <w:spacing w:val="-9"/>
          <w:w w:val="110"/>
          <w:sz w:val="16"/>
        </w:rPr>
        <w:t> </w:t>
      </w:r>
      <w:r>
        <w:rPr>
          <w:w w:val="110"/>
          <w:sz w:val="16"/>
        </w:rPr>
        <w:t>papel</w:t>
      </w:r>
      <w:r>
        <w:rPr>
          <w:spacing w:val="-9"/>
          <w:w w:val="110"/>
          <w:sz w:val="16"/>
        </w:rPr>
        <w:t> </w:t>
      </w:r>
      <w:r>
        <w:rPr>
          <w:w w:val="110"/>
          <w:sz w:val="16"/>
        </w:rPr>
        <w:t>político</w:t>
      </w:r>
      <w:r>
        <w:rPr>
          <w:spacing w:val="-9"/>
          <w:w w:val="110"/>
          <w:sz w:val="16"/>
        </w:rPr>
        <w:t> </w:t>
      </w:r>
      <w:r>
        <w:rPr>
          <w:w w:val="110"/>
          <w:sz w:val="16"/>
        </w:rPr>
        <w:t>y</w:t>
      </w:r>
      <w:r>
        <w:rPr>
          <w:spacing w:val="-9"/>
          <w:w w:val="110"/>
          <w:sz w:val="16"/>
        </w:rPr>
        <w:t> </w:t>
      </w:r>
      <w:r>
        <w:rPr>
          <w:w w:val="110"/>
          <w:sz w:val="16"/>
        </w:rPr>
        <w:t>deben</w:t>
      </w:r>
      <w:r>
        <w:rPr>
          <w:spacing w:val="-9"/>
          <w:w w:val="110"/>
          <w:sz w:val="16"/>
        </w:rPr>
        <w:t> </w:t>
      </w:r>
      <w:r>
        <w:rPr>
          <w:w w:val="110"/>
          <w:sz w:val="16"/>
        </w:rPr>
        <w:t>ser</w:t>
      </w:r>
      <w:r>
        <w:rPr>
          <w:spacing w:val="-9"/>
          <w:w w:val="110"/>
          <w:sz w:val="16"/>
        </w:rPr>
        <w:t> </w:t>
      </w:r>
      <w:r>
        <w:rPr>
          <w:w w:val="110"/>
          <w:sz w:val="16"/>
        </w:rPr>
        <w:t>movilizadas</w:t>
      </w:r>
      <w:r>
        <w:rPr>
          <w:spacing w:val="-9"/>
          <w:w w:val="110"/>
          <w:sz w:val="16"/>
        </w:rPr>
        <w:t> </w:t>
      </w:r>
      <w:r>
        <w:rPr>
          <w:w w:val="110"/>
          <w:sz w:val="16"/>
        </w:rPr>
        <w:t>para dirigir</w:t>
      </w:r>
      <w:r>
        <w:rPr>
          <w:spacing w:val="-7"/>
          <w:w w:val="110"/>
          <w:sz w:val="16"/>
        </w:rPr>
        <w:t> </w:t>
      </w:r>
      <w:r>
        <w:rPr>
          <w:w w:val="110"/>
          <w:sz w:val="16"/>
        </w:rPr>
        <w:t>las</w:t>
      </w:r>
      <w:r>
        <w:rPr>
          <w:spacing w:val="-7"/>
          <w:w w:val="110"/>
          <w:sz w:val="16"/>
        </w:rPr>
        <w:t> </w:t>
      </w:r>
      <w:r>
        <w:rPr>
          <w:w w:val="110"/>
          <w:sz w:val="16"/>
        </w:rPr>
        <w:t>reformas,</w:t>
      </w:r>
      <w:r>
        <w:rPr>
          <w:spacing w:val="-7"/>
          <w:w w:val="110"/>
          <w:sz w:val="16"/>
        </w:rPr>
        <w:t> </w:t>
      </w:r>
      <w:r>
        <w:rPr>
          <w:w w:val="110"/>
          <w:sz w:val="16"/>
        </w:rPr>
        <w:t>y</w:t>
      </w:r>
      <w:r>
        <w:rPr>
          <w:spacing w:val="-7"/>
          <w:w w:val="110"/>
          <w:sz w:val="16"/>
        </w:rPr>
        <w:t> </w:t>
      </w:r>
      <w:r>
        <w:rPr>
          <w:w w:val="110"/>
          <w:sz w:val="16"/>
        </w:rPr>
        <w:t>las</w:t>
      </w:r>
      <w:r>
        <w:rPr>
          <w:spacing w:val="-7"/>
          <w:w w:val="110"/>
          <w:sz w:val="16"/>
        </w:rPr>
        <w:t> </w:t>
      </w:r>
      <w:r>
        <w:rPr>
          <w:w w:val="110"/>
          <w:sz w:val="16"/>
        </w:rPr>
        <w:t>asociaciones</w:t>
      </w:r>
      <w:r>
        <w:rPr>
          <w:spacing w:val="-7"/>
          <w:w w:val="110"/>
          <w:sz w:val="16"/>
        </w:rPr>
        <w:t> </w:t>
      </w:r>
      <w:r>
        <w:rPr>
          <w:w w:val="110"/>
          <w:sz w:val="16"/>
        </w:rPr>
        <w:t>empresariales</w:t>
      </w:r>
      <w:r>
        <w:rPr>
          <w:spacing w:val="-7"/>
          <w:w w:val="110"/>
          <w:sz w:val="16"/>
        </w:rPr>
        <w:t> </w:t>
      </w:r>
      <w:r>
        <w:rPr>
          <w:w w:val="110"/>
          <w:sz w:val="16"/>
        </w:rPr>
        <w:t>serían</w:t>
      </w:r>
      <w:r>
        <w:rPr>
          <w:spacing w:val="-7"/>
          <w:w w:val="110"/>
          <w:sz w:val="16"/>
        </w:rPr>
        <w:t> </w:t>
      </w:r>
      <w:r>
        <w:rPr>
          <w:w w:val="110"/>
          <w:sz w:val="16"/>
        </w:rPr>
        <w:t>un</w:t>
      </w:r>
      <w:r>
        <w:rPr>
          <w:spacing w:val="-7"/>
          <w:w w:val="110"/>
          <w:sz w:val="16"/>
        </w:rPr>
        <w:t> </w:t>
      </w:r>
      <w:r>
        <w:rPr>
          <w:w w:val="110"/>
          <w:sz w:val="16"/>
        </w:rPr>
        <w:t>instrumento</w:t>
      </w:r>
      <w:r>
        <w:rPr>
          <w:spacing w:val="-7"/>
          <w:w w:val="110"/>
          <w:sz w:val="16"/>
        </w:rPr>
        <w:t> </w:t>
      </w:r>
      <w:r>
        <w:rPr>
          <w:w w:val="110"/>
          <w:sz w:val="16"/>
        </w:rPr>
        <w:t>efectivo para esto (bohn,</w:t>
      </w:r>
      <w:r>
        <w:rPr>
          <w:spacing w:val="-22"/>
          <w:w w:val="110"/>
          <w:sz w:val="16"/>
        </w:rPr>
        <w:t> </w:t>
      </w:r>
      <w:r>
        <w:rPr>
          <w:w w:val="110"/>
          <w:sz w:val="16"/>
        </w:rPr>
        <w:t>2001).</w:t>
      </w:r>
    </w:p>
    <w:p>
      <w:pPr>
        <w:pStyle w:val="ListParagraph"/>
        <w:numPr>
          <w:ilvl w:val="0"/>
          <w:numId w:val="28"/>
        </w:numPr>
        <w:tabs>
          <w:tab w:pos="586" w:val="left" w:leader="none"/>
        </w:tabs>
        <w:spacing w:line="242" w:lineRule="auto" w:before="57" w:after="0"/>
        <w:ind w:left="330" w:right="118" w:firstLine="0"/>
        <w:jc w:val="both"/>
        <w:rPr>
          <w:sz w:val="16"/>
        </w:rPr>
      </w:pPr>
      <w:r>
        <w:rPr>
          <w:i/>
          <w:w w:val="110"/>
          <w:sz w:val="16"/>
        </w:rPr>
        <w:t>Cf.</w:t>
      </w:r>
      <w:r>
        <w:rPr>
          <w:i/>
          <w:spacing w:val="-20"/>
          <w:w w:val="110"/>
          <w:sz w:val="16"/>
        </w:rPr>
        <w:t> </w:t>
      </w:r>
      <w:r>
        <w:rPr>
          <w:w w:val="110"/>
          <w:sz w:val="16"/>
        </w:rPr>
        <w:t>CiPE,</w:t>
      </w:r>
      <w:r>
        <w:rPr>
          <w:spacing w:val="-20"/>
          <w:w w:val="110"/>
          <w:sz w:val="16"/>
        </w:rPr>
        <w:t> </w:t>
      </w:r>
      <w:r>
        <w:rPr>
          <w:w w:val="110"/>
          <w:sz w:val="16"/>
        </w:rPr>
        <w:t>&lt;</w:t>
      </w:r>
      <w:hyperlink r:id="rId317">
        <w:r>
          <w:rPr>
            <w:w w:val="110"/>
            <w:sz w:val="16"/>
          </w:rPr>
          <w:t>http://www.cipe.org/about/aboutCiPE.pdf&gt;</w:t>
        </w:r>
      </w:hyperlink>
      <w:r>
        <w:rPr>
          <w:spacing w:val="-20"/>
          <w:w w:val="110"/>
          <w:sz w:val="16"/>
        </w:rPr>
        <w:t> </w:t>
      </w:r>
      <w:r>
        <w:rPr>
          <w:w w:val="110"/>
          <w:sz w:val="16"/>
        </w:rPr>
        <w:t>según</w:t>
      </w:r>
      <w:r>
        <w:rPr>
          <w:spacing w:val="-20"/>
          <w:w w:val="110"/>
          <w:sz w:val="16"/>
        </w:rPr>
        <w:t> </w:t>
      </w:r>
      <w:r>
        <w:rPr>
          <w:w w:val="110"/>
          <w:sz w:val="16"/>
        </w:rPr>
        <w:t>entrada</w:t>
      </w:r>
      <w:r>
        <w:rPr>
          <w:spacing w:val="-20"/>
          <w:w w:val="110"/>
          <w:sz w:val="16"/>
        </w:rPr>
        <w:t> </w:t>
      </w:r>
      <w:r>
        <w:rPr>
          <w:w w:val="110"/>
          <w:sz w:val="16"/>
        </w:rPr>
        <w:t>hecha</w:t>
      </w:r>
      <w:r>
        <w:rPr>
          <w:spacing w:val="-20"/>
          <w:w w:val="110"/>
          <w:sz w:val="16"/>
        </w:rPr>
        <w:t> </w:t>
      </w:r>
      <w:r>
        <w:rPr>
          <w:w w:val="110"/>
          <w:sz w:val="16"/>
        </w:rPr>
        <w:t>el</w:t>
      </w:r>
      <w:r>
        <w:rPr>
          <w:spacing w:val="-20"/>
          <w:w w:val="110"/>
          <w:sz w:val="16"/>
        </w:rPr>
        <w:t> </w:t>
      </w:r>
      <w:r>
        <w:rPr>
          <w:w w:val="110"/>
          <w:sz w:val="16"/>
        </w:rPr>
        <w:t>día </w:t>
      </w:r>
      <w:r>
        <w:rPr>
          <w:sz w:val="16"/>
        </w:rPr>
        <w:t>25/04/2008; y bohn</w:t>
      </w:r>
      <w:r>
        <w:rPr>
          <w:spacing w:val="28"/>
          <w:sz w:val="16"/>
        </w:rPr>
        <w:t> </w:t>
      </w:r>
      <w:r>
        <w:rPr>
          <w:sz w:val="16"/>
        </w:rPr>
        <w:t>(2001).</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11"/>
      </w:pPr>
      <w:r>
        <w:rPr>
          <w:w w:val="110"/>
        </w:rPr>
        <w:t>“sostener el ímpetu de las reformas democráticas y del libre mercado” (CiPE, 2007a: 3).</w:t>
      </w:r>
    </w:p>
    <w:p>
      <w:pPr>
        <w:pStyle w:val="BodyText"/>
        <w:spacing w:line="252" w:lineRule="auto"/>
        <w:ind w:left="100" w:right="328" w:firstLine="396"/>
        <w:jc w:val="both"/>
      </w:pPr>
      <w:r>
        <w:rPr>
          <w:w w:val="115"/>
        </w:rPr>
        <w:t>según el documento citado, cinco temas fueron considerados centrales</w:t>
      </w:r>
      <w:r>
        <w:rPr>
          <w:spacing w:val="-21"/>
          <w:w w:val="115"/>
        </w:rPr>
        <w:t> </w:t>
      </w:r>
      <w:r>
        <w:rPr>
          <w:w w:val="115"/>
        </w:rPr>
        <w:t>para</w:t>
      </w:r>
      <w:r>
        <w:rPr>
          <w:spacing w:val="-21"/>
          <w:w w:val="115"/>
        </w:rPr>
        <w:t> </w:t>
      </w:r>
      <w:r>
        <w:rPr>
          <w:w w:val="115"/>
        </w:rPr>
        <w:t>la</w:t>
      </w:r>
      <w:r>
        <w:rPr>
          <w:spacing w:val="-21"/>
          <w:w w:val="115"/>
        </w:rPr>
        <w:t> </w:t>
      </w:r>
      <w:r>
        <w:rPr>
          <w:w w:val="115"/>
        </w:rPr>
        <w:t>acción</w:t>
      </w:r>
      <w:r>
        <w:rPr>
          <w:spacing w:val="-21"/>
          <w:w w:val="115"/>
        </w:rPr>
        <w:t> </w:t>
      </w:r>
      <w:r>
        <w:rPr>
          <w:w w:val="115"/>
        </w:rPr>
        <w:t>del</w:t>
      </w:r>
      <w:r>
        <w:rPr>
          <w:spacing w:val="-21"/>
          <w:w w:val="115"/>
        </w:rPr>
        <w:t> </w:t>
      </w:r>
      <w:r>
        <w:rPr>
          <w:w w:val="115"/>
        </w:rPr>
        <w:t>CiPE</w:t>
      </w:r>
      <w:r>
        <w:rPr>
          <w:spacing w:val="-21"/>
          <w:w w:val="115"/>
        </w:rPr>
        <w:t> </w:t>
      </w:r>
      <w:r>
        <w:rPr>
          <w:w w:val="115"/>
        </w:rPr>
        <w:t>en</w:t>
      </w:r>
      <w:r>
        <w:rPr>
          <w:spacing w:val="-21"/>
          <w:w w:val="115"/>
        </w:rPr>
        <w:t> </w:t>
      </w:r>
      <w:r>
        <w:rPr>
          <w:w w:val="115"/>
        </w:rPr>
        <w:t>el</w:t>
      </w:r>
      <w:r>
        <w:rPr>
          <w:spacing w:val="-21"/>
          <w:w w:val="115"/>
        </w:rPr>
        <w:t> </w:t>
      </w:r>
      <w:r>
        <w:rPr>
          <w:w w:val="115"/>
        </w:rPr>
        <w:t>período</w:t>
      </w:r>
      <w:r>
        <w:rPr>
          <w:spacing w:val="-21"/>
          <w:w w:val="115"/>
        </w:rPr>
        <w:t> </w:t>
      </w:r>
      <w:r>
        <w:rPr>
          <w:w w:val="115"/>
        </w:rPr>
        <w:t>2007-2012.</w:t>
      </w:r>
      <w:r>
        <w:rPr>
          <w:spacing w:val="-21"/>
          <w:w w:val="115"/>
        </w:rPr>
        <w:t> </w:t>
      </w:r>
      <w:r>
        <w:rPr>
          <w:w w:val="115"/>
        </w:rPr>
        <w:t>El</w:t>
      </w:r>
      <w:r>
        <w:rPr>
          <w:spacing w:val="-21"/>
          <w:w w:val="115"/>
        </w:rPr>
        <w:t> </w:t>
      </w:r>
      <w:r>
        <w:rPr>
          <w:w w:val="115"/>
        </w:rPr>
        <w:t>primero es la formación de “propuestas económicas para los partidos</w:t>
      </w:r>
      <w:r>
        <w:rPr>
          <w:spacing w:val="-13"/>
          <w:w w:val="115"/>
        </w:rPr>
        <w:t> </w:t>
      </w:r>
      <w:r>
        <w:rPr>
          <w:w w:val="115"/>
        </w:rPr>
        <w:t>políti- cos”.</w:t>
      </w:r>
      <w:r>
        <w:rPr>
          <w:spacing w:val="-23"/>
          <w:w w:val="115"/>
        </w:rPr>
        <w:t> </w:t>
      </w:r>
      <w:r>
        <w:rPr>
          <w:w w:val="115"/>
        </w:rPr>
        <w:t>El</w:t>
      </w:r>
      <w:r>
        <w:rPr>
          <w:spacing w:val="-23"/>
          <w:w w:val="115"/>
        </w:rPr>
        <w:t> </w:t>
      </w:r>
      <w:r>
        <w:rPr>
          <w:w w:val="115"/>
        </w:rPr>
        <w:t>objetivo</w:t>
      </w:r>
      <w:r>
        <w:rPr>
          <w:spacing w:val="-23"/>
          <w:w w:val="115"/>
        </w:rPr>
        <w:t> </w:t>
      </w:r>
      <w:r>
        <w:rPr>
          <w:w w:val="115"/>
        </w:rPr>
        <w:t>es</w:t>
      </w:r>
      <w:r>
        <w:rPr>
          <w:spacing w:val="-23"/>
          <w:w w:val="115"/>
        </w:rPr>
        <w:t> </w:t>
      </w:r>
      <w:r>
        <w:rPr>
          <w:w w:val="115"/>
        </w:rPr>
        <w:t>combatir</w:t>
      </w:r>
      <w:r>
        <w:rPr>
          <w:spacing w:val="-23"/>
          <w:w w:val="115"/>
        </w:rPr>
        <w:t> </w:t>
      </w:r>
      <w:r>
        <w:rPr>
          <w:w w:val="115"/>
        </w:rPr>
        <w:t>las</w:t>
      </w:r>
      <w:r>
        <w:rPr>
          <w:spacing w:val="-23"/>
          <w:w w:val="115"/>
        </w:rPr>
        <w:t> </w:t>
      </w:r>
      <w:r>
        <w:rPr>
          <w:w w:val="115"/>
        </w:rPr>
        <w:t>propuestas</w:t>
      </w:r>
      <w:r>
        <w:rPr>
          <w:spacing w:val="-23"/>
          <w:w w:val="115"/>
        </w:rPr>
        <w:t> </w:t>
      </w:r>
      <w:r>
        <w:rPr>
          <w:w w:val="115"/>
        </w:rPr>
        <w:t>“populistas”</w:t>
      </w:r>
      <w:r>
        <w:rPr>
          <w:spacing w:val="-23"/>
          <w:w w:val="115"/>
        </w:rPr>
        <w:t> </w:t>
      </w:r>
      <w:r>
        <w:rPr>
          <w:w w:val="115"/>
        </w:rPr>
        <w:t>y</w:t>
      </w:r>
      <w:r>
        <w:rPr>
          <w:spacing w:val="-23"/>
          <w:w w:val="115"/>
        </w:rPr>
        <w:t> </w:t>
      </w:r>
      <w:r>
        <w:rPr>
          <w:w w:val="115"/>
        </w:rPr>
        <w:t>desarrollar un abordaje centrado en la gobernanza, en reformas</w:t>
      </w:r>
      <w:r>
        <w:rPr>
          <w:spacing w:val="-34"/>
          <w:w w:val="115"/>
        </w:rPr>
        <w:t> </w:t>
      </w:r>
      <w:r>
        <w:rPr>
          <w:w w:val="115"/>
        </w:rPr>
        <w:t>institucionales y</w:t>
      </w:r>
      <w:r>
        <w:rPr>
          <w:spacing w:val="-17"/>
          <w:w w:val="115"/>
        </w:rPr>
        <w:t> </w:t>
      </w:r>
      <w:r>
        <w:rPr>
          <w:w w:val="115"/>
        </w:rPr>
        <w:t>educación</w:t>
      </w:r>
      <w:r>
        <w:rPr>
          <w:spacing w:val="-17"/>
          <w:w w:val="115"/>
        </w:rPr>
        <w:t> </w:t>
      </w:r>
      <w:r>
        <w:rPr>
          <w:w w:val="115"/>
        </w:rPr>
        <w:t>ciudadana</w:t>
      </w:r>
      <w:r>
        <w:rPr>
          <w:spacing w:val="-17"/>
          <w:w w:val="115"/>
        </w:rPr>
        <w:t> </w:t>
      </w:r>
      <w:r>
        <w:rPr>
          <w:w w:val="115"/>
        </w:rPr>
        <w:t>sobre</w:t>
      </w:r>
      <w:r>
        <w:rPr>
          <w:spacing w:val="-17"/>
          <w:w w:val="115"/>
        </w:rPr>
        <w:t> </w:t>
      </w:r>
      <w:r>
        <w:rPr>
          <w:w w:val="115"/>
        </w:rPr>
        <w:t>las</w:t>
      </w:r>
      <w:r>
        <w:rPr>
          <w:spacing w:val="-17"/>
          <w:w w:val="115"/>
        </w:rPr>
        <w:t> </w:t>
      </w:r>
      <w:r>
        <w:rPr>
          <w:w w:val="115"/>
        </w:rPr>
        <w:t>ventajas</w:t>
      </w:r>
      <w:r>
        <w:rPr>
          <w:spacing w:val="-17"/>
          <w:w w:val="115"/>
        </w:rPr>
        <w:t> </w:t>
      </w:r>
      <w:r>
        <w:rPr>
          <w:w w:val="115"/>
        </w:rPr>
        <w:t>de</w:t>
      </w:r>
      <w:r>
        <w:rPr>
          <w:spacing w:val="-17"/>
          <w:w w:val="115"/>
        </w:rPr>
        <w:t> </w:t>
      </w:r>
      <w:r>
        <w:rPr>
          <w:w w:val="115"/>
        </w:rPr>
        <w:t>las</w:t>
      </w:r>
      <w:r>
        <w:rPr>
          <w:spacing w:val="-17"/>
          <w:w w:val="115"/>
        </w:rPr>
        <w:t> </w:t>
      </w:r>
      <w:r>
        <w:rPr>
          <w:w w:val="115"/>
        </w:rPr>
        <w:t>políticas</w:t>
      </w:r>
      <w:r>
        <w:rPr>
          <w:spacing w:val="-17"/>
          <w:w w:val="115"/>
        </w:rPr>
        <w:t> </w:t>
      </w:r>
      <w:r>
        <w:rPr>
          <w:w w:val="115"/>
        </w:rPr>
        <w:t>propuestas. </w:t>
      </w:r>
      <w:r>
        <w:rPr>
          <w:w w:val="115"/>
        </w:rPr>
        <w:t>“</w:t>
      </w:r>
      <w:r>
        <w:rPr>
          <w:w w:val="243"/>
        </w:rPr>
        <w:t>l</w:t>
      </w:r>
      <w:r>
        <w:rPr>
          <w:w w:val="112"/>
        </w:rPr>
        <w:t>a</w:t>
      </w:r>
      <w:r>
        <w:rPr>
          <w:spacing w:val="9"/>
        </w:rPr>
        <w:t> </w:t>
      </w:r>
      <w:r>
        <w:rPr>
          <w:w w:val="110"/>
        </w:rPr>
        <w:t>reforma</w:t>
      </w:r>
      <w:r>
        <w:rPr>
          <w:spacing w:val="9"/>
        </w:rPr>
        <w:t> </w:t>
      </w:r>
      <w:r>
        <w:rPr>
          <w:w w:val="107"/>
        </w:rPr>
        <w:t>del</w:t>
      </w:r>
      <w:r>
        <w:rPr>
          <w:spacing w:val="9"/>
        </w:rPr>
        <w:t> </w:t>
      </w:r>
      <w:r>
        <w:rPr>
          <w:w w:val="108"/>
        </w:rPr>
        <w:t>sector</w:t>
      </w:r>
      <w:r>
        <w:rPr>
          <w:spacing w:val="9"/>
        </w:rPr>
        <w:t> </w:t>
      </w:r>
      <w:r>
        <w:rPr>
          <w:w w:val="112"/>
        </w:rPr>
        <w:t>informal”</w:t>
      </w:r>
      <w:r>
        <w:rPr>
          <w:spacing w:val="9"/>
        </w:rPr>
        <w:t> </w:t>
      </w:r>
      <w:r>
        <w:rPr>
          <w:w w:val="105"/>
        </w:rPr>
        <w:t>es</w:t>
      </w:r>
      <w:r>
        <w:rPr>
          <w:spacing w:val="9"/>
        </w:rPr>
        <w:t> </w:t>
      </w:r>
      <w:r>
        <w:rPr>
          <w:w w:val="112"/>
        </w:rPr>
        <w:t>un</w:t>
      </w:r>
      <w:r>
        <w:rPr>
          <w:spacing w:val="9"/>
        </w:rPr>
        <w:t> </w:t>
      </w:r>
      <w:r>
        <w:rPr>
          <w:w w:val="109"/>
        </w:rPr>
        <w:t>segundo</w:t>
      </w:r>
      <w:r>
        <w:rPr>
          <w:spacing w:val="9"/>
        </w:rPr>
        <w:t> </w:t>
      </w:r>
      <w:r>
        <w:rPr>
          <w:w w:val="113"/>
        </w:rPr>
        <w:t>foco</w:t>
      </w:r>
      <w:r>
        <w:rPr>
          <w:spacing w:val="9"/>
        </w:rPr>
        <w:t> </w:t>
      </w:r>
      <w:r>
        <w:rPr>
          <w:w w:val="107"/>
        </w:rPr>
        <w:t>de</w:t>
      </w:r>
      <w:r>
        <w:rPr>
          <w:spacing w:val="9"/>
        </w:rPr>
        <w:t> </w:t>
      </w:r>
      <w:r>
        <w:rPr>
          <w:w w:val="112"/>
        </w:rPr>
        <w:t>actuación</w:t>
      </w:r>
      <w:r>
        <w:rPr>
          <w:spacing w:val="9"/>
        </w:rPr>
        <w:t> </w:t>
      </w:r>
      <w:r>
        <w:rPr>
          <w:w w:val="105"/>
        </w:rPr>
        <w:t>y</w:t>
      </w:r>
      <w:r>
        <w:rPr>
          <w:spacing w:val="9"/>
        </w:rPr>
        <w:t> </w:t>
      </w:r>
      <w:r>
        <w:rPr>
          <w:w w:val="107"/>
        </w:rPr>
        <w:t>el </w:t>
      </w:r>
      <w:r>
        <w:rPr>
          <w:w w:val="109"/>
        </w:rPr>
        <w:t>ejemplo</w:t>
      </w:r>
      <w:r>
        <w:rPr>
          <w:spacing w:val="13"/>
        </w:rPr>
        <w:t> </w:t>
      </w:r>
      <w:r>
        <w:rPr>
          <w:w w:val="109"/>
        </w:rPr>
        <w:t>inspirador</w:t>
      </w:r>
      <w:r>
        <w:rPr>
          <w:spacing w:val="13"/>
        </w:rPr>
        <w:t> </w:t>
      </w:r>
      <w:r>
        <w:rPr>
          <w:w w:val="106"/>
        </w:rPr>
        <w:t>viene</w:t>
      </w:r>
      <w:r>
        <w:rPr>
          <w:spacing w:val="13"/>
        </w:rPr>
        <w:t> </w:t>
      </w:r>
      <w:r>
        <w:rPr>
          <w:w w:val="107"/>
        </w:rPr>
        <w:t>del</w:t>
      </w:r>
      <w:r>
        <w:rPr>
          <w:spacing w:val="13"/>
        </w:rPr>
        <w:t> </w:t>
      </w:r>
      <w:r>
        <w:rPr>
          <w:w w:val="110"/>
        </w:rPr>
        <w:t>trabajo</w:t>
      </w:r>
      <w:r>
        <w:rPr>
          <w:spacing w:val="13"/>
        </w:rPr>
        <w:t> </w:t>
      </w:r>
      <w:r>
        <w:rPr>
          <w:w w:val="111"/>
        </w:rPr>
        <w:t>hecho</w:t>
      </w:r>
      <w:r>
        <w:rPr>
          <w:spacing w:val="13"/>
        </w:rPr>
        <w:t> </w:t>
      </w:r>
      <w:r>
        <w:rPr>
          <w:w w:val="108"/>
        </w:rPr>
        <w:t>por</w:t>
      </w:r>
      <w:r>
        <w:rPr>
          <w:spacing w:val="13"/>
        </w:rPr>
        <w:t> </w:t>
      </w:r>
      <w:r>
        <w:rPr>
          <w:w w:val="107"/>
        </w:rPr>
        <w:t>el</w:t>
      </w:r>
      <w:r>
        <w:rPr>
          <w:spacing w:val="13"/>
        </w:rPr>
        <w:t> </w:t>
      </w:r>
      <w:r>
        <w:rPr>
          <w:w w:val="142"/>
        </w:rPr>
        <w:t>i</w:t>
      </w:r>
      <w:r>
        <w:rPr>
          <w:w w:val="109"/>
        </w:rPr>
        <w:t>nstituto</w:t>
      </w:r>
      <w:r>
        <w:rPr>
          <w:spacing w:val="13"/>
        </w:rPr>
        <w:t> </w:t>
      </w:r>
      <w:r>
        <w:rPr>
          <w:w w:val="243"/>
        </w:rPr>
        <w:t>l</w:t>
      </w:r>
      <w:r>
        <w:rPr>
          <w:w w:val="108"/>
        </w:rPr>
        <w:t>ibertad</w:t>
      </w:r>
      <w:r>
        <w:rPr>
          <w:spacing w:val="13"/>
        </w:rPr>
        <w:t> </w:t>
      </w:r>
      <w:r>
        <w:rPr>
          <w:w w:val="105"/>
        </w:rPr>
        <w:t>y </w:t>
      </w:r>
      <w:r>
        <w:rPr>
          <w:w w:val="115"/>
        </w:rPr>
        <w:t>democracia</w:t>
      </w:r>
      <w:r>
        <w:rPr>
          <w:spacing w:val="-10"/>
          <w:w w:val="115"/>
        </w:rPr>
        <w:t> </w:t>
      </w:r>
      <w:r>
        <w:rPr>
          <w:w w:val="130"/>
        </w:rPr>
        <w:t>(ilP)</w:t>
      </w:r>
      <w:r>
        <w:rPr>
          <w:spacing w:val="-16"/>
          <w:w w:val="130"/>
        </w:rPr>
        <w:t> </w:t>
      </w:r>
      <w:r>
        <w:rPr>
          <w:w w:val="115"/>
        </w:rPr>
        <w:t>en</w:t>
      </w:r>
      <w:r>
        <w:rPr>
          <w:spacing w:val="-10"/>
          <w:w w:val="115"/>
        </w:rPr>
        <w:t> </w:t>
      </w:r>
      <w:r>
        <w:rPr>
          <w:w w:val="115"/>
        </w:rPr>
        <w:t>Perú.</w:t>
      </w:r>
      <w:r>
        <w:rPr>
          <w:spacing w:val="-10"/>
          <w:w w:val="115"/>
        </w:rPr>
        <w:t> </w:t>
      </w:r>
      <w:r>
        <w:rPr>
          <w:w w:val="115"/>
        </w:rPr>
        <w:t>Existen</w:t>
      </w:r>
      <w:r>
        <w:rPr>
          <w:spacing w:val="-10"/>
          <w:w w:val="115"/>
        </w:rPr>
        <w:t> </w:t>
      </w:r>
      <w:r>
        <w:rPr>
          <w:w w:val="115"/>
        </w:rPr>
        <w:t>razones</w:t>
      </w:r>
      <w:r>
        <w:rPr>
          <w:spacing w:val="-10"/>
          <w:w w:val="115"/>
        </w:rPr>
        <w:t> </w:t>
      </w:r>
      <w:r>
        <w:rPr>
          <w:w w:val="115"/>
        </w:rPr>
        <w:t>políticas</w:t>
      </w:r>
      <w:r>
        <w:rPr>
          <w:spacing w:val="-10"/>
          <w:w w:val="115"/>
        </w:rPr>
        <w:t> </w:t>
      </w:r>
      <w:r>
        <w:rPr>
          <w:w w:val="115"/>
        </w:rPr>
        <w:t>de</w:t>
      </w:r>
      <w:r>
        <w:rPr>
          <w:spacing w:val="-10"/>
          <w:w w:val="115"/>
        </w:rPr>
        <w:t> </w:t>
      </w:r>
      <w:r>
        <w:rPr>
          <w:w w:val="115"/>
        </w:rPr>
        <w:t>interés</w:t>
      </w:r>
      <w:r>
        <w:rPr>
          <w:spacing w:val="-10"/>
          <w:w w:val="115"/>
        </w:rPr>
        <w:t> </w:t>
      </w:r>
      <w:r>
        <w:rPr>
          <w:w w:val="115"/>
        </w:rPr>
        <w:t>por</w:t>
      </w:r>
      <w:r>
        <w:rPr>
          <w:spacing w:val="-10"/>
          <w:w w:val="115"/>
        </w:rPr>
        <w:t> </w:t>
      </w:r>
      <w:r>
        <w:rPr>
          <w:w w:val="115"/>
        </w:rPr>
        <w:t>el sector informal, pues el CiPE evalúa que éste ofrezca una</w:t>
      </w:r>
      <w:r>
        <w:rPr>
          <w:spacing w:val="-25"/>
          <w:w w:val="115"/>
        </w:rPr>
        <w:t> </w:t>
      </w:r>
      <w:r>
        <w:rPr>
          <w:w w:val="115"/>
        </w:rPr>
        <w:t>importan- te</w:t>
      </w:r>
      <w:r>
        <w:rPr>
          <w:spacing w:val="-7"/>
          <w:w w:val="115"/>
        </w:rPr>
        <w:t> </w:t>
      </w:r>
      <w:r>
        <w:rPr>
          <w:w w:val="115"/>
        </w:rPr>
        <w:t>base</w:t>
      </w:r>
      <w:r>
        <w:rPr>
          <w:spacing w:val="-7"/>
          <w:w w:val="115"/>
        </w:rPr>
        <w:t> </w:t>
      </w:r>
      <w:r>
        <w:rPr>
          <w:w w:val="115"/>
        </w:rPr>
        <w:t>para</w:t>
      </w:r>
      <w:r>
        <w:rPr>
          <w:spacing w:val="-7"/>
          <w:w w:val="115"/>
        </w:rPr>
        <w:t> </w:t>
      </w:r>
      <w:r>
        <w:rPr>
          <w:w w:val="115"/>
        </w:rPr>
        <w:t>las</w:t>
      </w:r>
      <w:r>
        <w:rPr>
          <w:spacing w:val="-7"/>
          <w:w w:val="115"/>
        </w:rPr>
        <w:t> </w:t>
      </w:r>
      <w:r>
        <w:rPr>
          <w:w w:val="115"/>
        </w:rPr>
        <w:t>políticas</w:t>
      </w:r>
      <w:r>
        <w:rPr>
          <w:spacing w:val="-7"/>
          <w:w w:val="115"/>
        </w:rPr>
        <w:t> </w:t>
      </w:r>
      <w:r>
        <w:rPr>
          <w:w w:val="115"/>
        </w:rPr>
        <w:t>populistas.</w:t>
      </w:r>
      <w:r>
        <w:rPr>
          <w:spacing w:val="-7"/>
          <w:w w:val="115"/>
        </w:rPr>
        <w:t> </w:t>
      </w:r>
      <w:r>
        <w:rPr>
          <w:w w:val="115"/>
        </w:rPr>
        <w:t>El</w:t>
      </w:r>
      <w:r>
        <w:rPr>
          <w:spacing w:val="-7"/>
          <w:w w:val="115"/>
        </w:rPr>
        <w:t> </w:t>
      </w:r>
      <w:r>
        <w:rPr>
          <w:w w:val="115"/>
        </w:rPr>
        <w:t>proceso</w:t>
      </w:r>
      <w:r>
        <w:rPr>
          <w:spacing w:val="-7"/>
          <w:w w:val="115"/>
        </w:rPr>
        <w:t> </w:t>
      </w:r>
      <w:r>
        <w:rPr>
          <w:w w:val="115"/>
        </w:rPr>
        <w:t>de</w:t>
      </w:r>
      <w:r>
        <w:rPr>
          <w:spacing w:val="-7"/>
          <w:w w:val="115"/>
        </w:rPr>
        <w:t> </w:t>
      </w:r>
      <w:r>
        <w:rPr>
          <w:w w:val="115"/>
        </w:rPr>
        <w:t>formalización</w:t>
      </w:r>
      <w:r>
        <w:rPr>
          <w:spacing w:val="-7"/>
          <w:w w:val="115"/>
        </w:rPr>
        <w:t> </w:t>
      </w:r>
      <w:r>
        <w:rPr>
          <w:w w:val="115"/>
        </w:rPr>
        <w:t>del sector</w:t>
      </w:r>
      <w:r>
        <w:rPr>
          <w:spacing w:val="-7"/>
          <w:w w:val="115"/>
        </w:rPr>
        <w:t> </w:t>
      </w:r>
      <w:r>
        <w:rPr>
          <w:w w:val="115"/>
        </w:rPr>
        <w:t>informal</w:t>
      </w:r>
      <w:r>
        <w:rPr>
          <w:spacing w:val="-7"/>
          <w:w w:val="115"/>
        </w:rPr>
        <w:t> </w:t>
      </w:r>
      <w:r>
        <w:rPr>
          <w:w w:val="115"/>
        </w:rPr>
        <w:t>en</w:t>
      </w:r>
      <w:r>
        <w:rPr>
          <w:spacing w:val="-7"/>
          <w:w w:val="115"/>
        </w:rPr>
        <w:t> </w:t>
      </w:r>
      <w:r>
        <w:rPr>
          <w:w w:val="115"/>
        </w:rPr>
        <w:t>Perú</w:t>
      </w:r>
      <w:r>
        <w:rPr>
          <w:spacing w:val="-7"/>
          <w:w w:val="115"/>
        </w:rPr>
        <w:t> </w:t>
      </w:r>
      <w:r>
        <w:rPr>
          <w:w w:val="115"/>
        </w:rPr>
        <w:t>habría</w:t>
      </w:r>
      <w:r>
        <w:rPr>
          <w:spacing w:val="-7"/>
          <w:w w:val="115"/>
        </w:rPr>
        <w:t> </w:t>
      </w:r>
      <w:r>
        <w:rPr>
          <w:w w:val="115"/>
        </w:rPr>
        <w:t>contribuido</w:t>
      </w:r>
      <w:r>
        <w:rPr>
          <w:spacing w:val="-7"/>
          <w:w w:val="115"/>
        </w:rPr>
        <w:t> </w:t>
      </w:r>
      <w:r>
        <w:rPr>
          <w:w w:val="115"/>
        </w:rPr>
        <w:t>a</w:t>
      </w:r>
      <w:r>
        <w:rPr>
          <w:spacing w:val="-7"/>
          <w:w w:val="115"/>
        </w:rPr>
        <w:t> </w:t>
      </w:r>
      <w:r>
        <w:rPr>
          <w:w w:val="115"/>
        </w:rPr>
        <w:t>debilitar</w:t>
      </w:r>
      <w:r>
        <w:rPr>
          <w:spacing w:val="-7"/>
          <w:w w:val="115"/>
        </w:rPr>
        <w:t> </w:t>
      </w:r>
      <w:r>
        <w:rPr>
          <w:w w:val="115"/>
        </w:rPr>
        <w:t>a</w:t>
      </w:r>
      <w:r>
        <w:rPr>
          <w:spacing w:val="-7"/>
          <w:w w:val="115"/>
        </w:rPr>
        <w:t> </w:t>
      </w:r>
      <w:r>
        <w:rPr>
          <w:w w:val="115"/>
        </w:rPr>
        <w:t>la</w:t>
      </w:r>
      <w:r>
        <w:rPr>
          <w:spacing w:val="-7"/>
          <w:w w:val="115"/>
        </w:rPr>
        <w:t> </w:t>
      </w:r>
      <w:r>
        <w:rPr>
          <w:w w:val="115"/>
        </w:rPr>
        <w:t>izquierda en aquel país, según lo evalúa el </w:t>
      </w:r>
      <w:r>
        <w:rPr>
          <w:spacing w:val="-7"/>
          <w:w w:val="130"/>
        </w:rPr>
        <w:t>ilP. </w:t>
      </w:r>
      <w:r>
        <w:rPr>
          <w:w w:val="115"/>
        </w:rPr>
        <w:t>El tercer foco es “capacitar al sector</w:t>
      </w:r>
      <w:r>
        <w:rPr>
          <w:spacing w:val="-22"/>
          <w:w w:val="115"/>
        </w:rPr>
        <w:t> </w:t>
      </w:r>
      <w:r>
        <w:rPr>
          <w:w w:val="115"/>
        </w:rPr>
        <w:t>privado</w:t>
      </w:r>
      <w:r>
        <w:rPr>
          <w:spacing w:val="-22"/>
          <w:w w:val="115"/>
        </w:rPr>
        <w:t> </w:t>
      </w:r>
      <w:r>
        <w:rPr>
          <w:w w:val="115"/>
        </w:rPr>
        <w:t>para</w:t>
      </w:r>
      <w:r>
        <w:rPr>
          <w:spacing w:val="-22"/>
          <w:w w:val="115"/>
        </w:rPr>
        <w:t> </w:t>
      </w:r>
      <w:r>
        <w:rPr>
          <w:w w:val="115"/>
        </w:rPr>
        <w:t>participar</w:t>
      </w:r>
      <w:r>
        <w:rPr>
          <w:spacing w:val="-22"/>
          <w:w w:val="115"/>
        </w:rPr>
        <w:t> </w:t>
      </w:r>
      <w:r>
        <w:rPr>
          <w:w w:val="115"/>
        </w:rPr>
        <w:t>de</w:t>
      </w:r>
      <w:r>
        <w:rPr>
          <w:spacing w:val="-22"/>
          <w:w w:val="115"/>
        </w:rPr>
        <w:t> </w:t>
      </w:r>
      <w:r>
        <w:rPr>
          <w:w w:val="115"/>
        </w:rPr>
        <w:t>forma</w:t>
      </w:r>
      <w:r>
        <w:rPr>
          <w:spacing w:val="-22"/>
          <w:w w:val="115"/>
        </w:rPr>
        <w:t> </w:t>
      </w:r>
      <w:r>
        <w:rPr>
          <w:w w:val="115"/>
        </w:rPr>
        <w:t>más</w:t>
      </w:r>
      <w:r>
        <w:rPr>
          <w:spacing w:val="-22"/>
          <w:w w:val="115"/>
        </w:rPr>
        <w:t> </w:t>
      </w:r>
      <w:r>
        <w:rPr>
          <w:w w:val="115"/>
        </w:rPr>
        <w:t>activa</w:t>
      </w:r>
      <w:r>
        <w:rPr>
          <w:spacing w:val="-22"/>
          <w:w w:val="115"/>
        </w:rPr>
        <w:t> </w:t>
      </w:r>
      <w:r>
        <w:rPr>
          <w:w w:val="115"/>
        </w:rPr>
        <w:t>en</w:t>
      </w:r>
      <w:r>
        <w:rPr>
          <w:spacing w:val="-22"/>
          <w:w w:val="115"/>
        </w:rPr>
        <w:t> </w:t>
      </w:r>
      <w:r>
        <w:rPr>
          <w:w w:val="115"/>
        </w:rPr>
        <w:t>los</w:t>
      </w:r>
      <w:r>
        <w:rPr>
          <w:spacing w:val="-22"/>
          <w:w w:val="115"/>
        </w:rPr>
        <w:t> </w:t>
      </w:r>
      <w:r>
        <w:rPr>
          <w:w w:val="115"/>
        </w:rPr>
        <w:t>procesos</w:t>
      </w:r>
      <w:r>
        <w:rPr>
          <w:spacing w:val="-22"/>
          <w:w w:val="115"/>
        </w:rPr>
        <w:t> </w:t>
      </w:r>
      <w:r>
        <w:rPr>
          <w:w w:val="115"/>
        </w:rPr>
        <w:t>de definición</w:t>
      </w:r>
      <w:r>
        <w:rPr>
          <w:spacing w:val="-11"/>
          <w:w w:val="115"/>
        </w:rPr>
        <w:t> </w:t>
      </w:r>
      <w:r>
        <w:rPr>
          <w:w w:val="115"/>
        </w:rPr>
        <w:t>de</w:t>
      </w:r>
      <w:r>
        <w:rPr>
          <w:spacing w:val="-11"/>
          <w:w w:val="115"/>
        </w:rPr>
        <w:t> </w:t>
      </w:r>
      <w:r>
        <w:rPr>
          <w:w w:val="115"/>
        </w:rPr>
        <w:t>las</w:t>
      </w:r>
      <w:r>
        <w:rPr>
          <w:spacing w:val="-11"/>
          <w:w w:val="115"/>
        </w:rPr>
        <w:t> </w:t>
      </w:r>
      <w:r>
        <w:rPr>
          <w:w w:val="115"/>
        </w:rPr>
        <w:t>políticas</w:t>
      </w:r>
      <w:r>
        <w:rPr>
          <w:spacing w:val="-11"/>
          <w:w w:val="115"/>
        </w:rPr>
        <w:t> </w:t>
      </w:r>
      <w:r>
        <w:rPr>
          <w:w w:val="115"/>
        </w:rPr>
        <w:t>públicas”,</w:t>
      </w:r>
      <w:r>
        <w:rPr>
          <w:spacing w:val="-11"/>
          <w:w w:val="115"/>
        </w:rPr>
        <w:t> </w:t>
      </w:r>
      <w:r>
        <w:rPr>
          <w:w w:val="115"/>
        </w:rPr>
        <w:t>siempre</w:t>
      </w:r>
      <w:r>
        <w:rPr>
          <w:spacing w:val="-11"/>
          <w:w w:val="115"/>
        </w:rPr>
        <w:t> </w:t>
      </w:r>
      <w:r>
        <w:rPr>
          <w:w w:val="115"/>
        </w:rPr>
        <w:t>con</w:t>
      </w:r>
      <w:r>
        <w:rPr>
          <w:spacing w:val="-11"/>
          <w:w w:val="115"/>
        </w:rPr>
        <w:t> </w:t>
      </w:r>
      <w:r>
        <w:rPr>
          <w:w w:val="115"/>
        </w:rPr>
        <w:t>el</w:t>
      </w:r>
      <w:r>
        <w:rPr>
          <w:spacing w:val="-11"/>
          <w:w w:val="115"/>
        </w:rPr>
        <w:t> </w:t>
      </w:r>
      <w:r>
        <w:rPr>
          <w:w w:val="115"/>
        </w:rPr>
        <w:t>objetivo</w:t>
      </w:r>
      <w:r>
        <w:rPr>
          <w:spacing w:val="-11"/>
          <w:w w:val="115"/>
        </w:rPr>
        <w:t> </w:t>
      </w:r>
      <w:r>
        <w:rPr>
          <w:w w:val="115"/>
        </w:rPr>
        <w:t>de</w:t>
      </w:r>
      <w:r>
        <w:rPr>
          <w:spacing w:val="-11"/>
          <w:w w:val="115"/>
        </w:rPr>
        <w:t> </w:t>
      </w:r>
      <w:r>
        <w:rPr>
          <w:w w:val="115"/>
        </w:rPr>
        <w:t>crear un</w:t>
      </w:r>
      <w:r>
        <w:rPr>
          <w:spacing w:val="-5"/>
          <w:w w:val="115"/>
        </w:rPr>
        <w:t> </w:t>
      </w:r>
      <w:r>
        <w:rPr>
          <w:w w:val="115"/>
        </w:rPr>
        <w:t>consenso</w:t>
      </w:r>
      <w:r>
        <w:rPr>
          <w:spacing w:val="-5"/>
          <w:w w:val="115"/>
        </w:rPr>
        <w:t> </w:t>
      </w:r>
      <w:r>
        <w:rPr>
          <w:w w:val="115"/>
        </w:rPr>
        <w:t>en</w:t>
      </w:r>
      <w:r>
        <w:rPr>
          <w:spacing w:val="-5"/>
          <w:w w:val="115"/>
        </w:rPr>
        <w:t> </w:t>
      </w:r>
      <w:r>
        <w:rPr>
          <w:w w:val="115"/>
        </w:rPr>
        <w:t>torno</w:t>
      </w:r>
      <w:r>
        <w:rPr>
          <w:spacing w:val="-5"/>
          <w:w w:val="115"/>
        </w:rPr>
        <w:t> </w:t>
      </w:r>
      <w:r>
        <w:rPr>
          <w:w w:val="115"/>
        </w:rPr>
        <w:t>de</w:t>
      </w:r>
      <w:r>
        <w:rPr>
          <w:spacing w:val="-5"/>
          <w:w w:val="115"/>
        </w:rPr>
        <w:t> </w:t>
      </w:r>
      <w:r>
        <w:rPr>
          <w:w w:val="115"/>
        </w:rPr>
        <w:t>la</w:t>
      </w:r>
      <w:r>
        <w:rPr>
          <w:spacing w:val="-5"/>
          <w:w w:val="115"/>
        </w:rPr>
        <w:t> </w:t>
      </w:r>
      <w:r>
        <w:rPr>
          <w:w w:val="115"/>
        </w:rPr>
        <w:t>democracia</w:t>
      </w:r>
      <w:r>
        <w:rPr>
          <w:spacing w:val="-5"/>
          <w:w w:val="115"/>
        </w:rPr>
        <w:t> </w:t>
      </w:r>
      <w:r>
        <w:rPr>
          <w:w w:val="115"/>
        </w:rPr>
        <w:t>y</w:t>
      </w:r>
      <w:r>
        <w:rPr>
          <w:spacing w:val="-5"/>
          <w:w w:val="115"/>
        </w:rPr>
        <w:t> </w:t>
      </w:r>
      <w:r>
        <w:rPr>
          <w:w w:val="115"/>
        </w:rPr>
        <w:t>en</w:t>
      </w:r>
      <w:r>
        <w:rPr>
          <w:spacing w:val="-5"/>
          <w:w w:val="115"/>
        </w:rPr>
        <w:t> </w:t>
      </w:r>
      <w:r>
        <w:rPr>
          <w:w w:val="115"/>
        </w:rPr>
        <w:t>las</w:t>
      </w:r>
      <w:r>
        <w:rPr>
          <w:spacing w:val="-5"/>
          <w:w w:val="115"/>
        </w:rPr>
        <w:t> </w:t>
      </w:r>
      <w:r>
        <w:rPr>
          <w:w w:val="115"/>
        </w:rPr>
        <w:t>reformas</w:t>
      </w:r>
      <w:r>
        <w:rPr>
          <w:spacing w:val="-5"/>
          <w:w w:val="115"/>
        </w:rPr>
        <w:t> </w:t>
      </w:r>
      <w:r>
        <w:rPr>
          <w:w w:val="115"/>
        </w:rPr>
        <w:t>a</w:t>
      </w:r>
      <w:r>
        <w:rPr>
          <w:spacing w:val="-5"/>
          <w:w w:val="115"/>
        </w:rPr>
        <w:t> </w:t>
      </w:r>
      <w:r>
        <w:rPr>
          <w:w w:val="115"/>
        </w:rPr>
        <w:t>favor</w:t>
      </w:r>
      <w:r>
        <w:rPr>
          <w:spacing w:val="-5"/>
          <w:w w:val="115"/>
        </w:rPr>
        <w:t> </w:t>
      </w:r>
      <w:r>
        <w:rPr>
          <w:w w:val="115"/>
        </w:rPr>
        <w:t>del libre mercado. El cuarto tema fue “apoyar la implementación de la “gobernanza</w:t>
      </w:r>
      <w:r>
        <w:rPr>
          <w:spacing w:val="-7"/>
          <w:w w:val="115"/>
        </w:rPr>
        <w:t> </w:t>
      </w:r>
      <w:r>
        <w:rPr>
          <w:w w:val="115"/>
        </w:rPr>
        <w:t>corporativa</w:t>
      </w:r>
      <w:r>
        <w:rPr>
          <w:spacing w:val="-7"/>
          <w:w w:val="115"/>
        </w:rPr>
        <w:t> </w:t>
      </w:r>
      <w:r>
        <w:rPr>
          <w:w w:val="115"/>
        </w:rPr>
        <w:t>y</w:t>
      </w:r>
      <w:r>
        <w:rPr>
          <w:spacing w:val="-7"/>
          <w:w w:val="115"/>
        </w:rPr>
        <w:t> </w:t>
      </w:r>
      <w:r>
        <w:rPr>
          <w:w w:val="115"/>
        </w:rPr>
        <w:t>la</w:t>
      </w:r>
      <w:r>
        <w:rPr>
          <w:spacing w:val="-7"/>
          <w:w w:val="115"/>
        </w:rPr>
        <w:t> </w:t>
      </w:r>
      <w:r>
        <w:rPr>
          <w:w w:val="115"/>
        </w:rPr>
        <w:t>ciudadanía</w:t>
      </w:r>
      <w:r>
        <w:rPr>
          <w:spacing w:val="-7"/>
          <w:w w:val="115"/>
        </w:rPr>
        <w:t> </w:t>
      </w:r>
      <w:r>
        <w:rPr>
          <w:w w:val="115"/>
        </w:rPr>
        <w:t>corporativa”</w:t>
      </w:r>
      <w:r>
        <w:rPr>
          <w:spacing w:val="-7"/>
          <w:w w:val="115"/>
        </w:rPr>
        <w:t> </w:t>
      </w:r>
      <w:r>
        <w:rPr>
          <w:w w:val="115"/>
        </w:rPr>
        <w:t>(</w:t>
      </w:r>
      <w:r>
        <w:rPr>
          <w:i/>
          <w:w w:val="115"/>
        </w:rPr>
        <w:t>corporate</w:t>
      </w:r>
      <w:r>
        <w:rPr>
          <w:i/>
          <w:spacing w:val="-7"/>
          <w:w w:val="115"/>
        </w:rPr>
        <w:t> </w:t>
      </w:r>
      <w:r>
        <w:rPr>
          <w:i/>
          <w:w w:val="115"/>
        </w:rPr>
        <w:t>ci- </w:t>
      </w:r>
      <w:r>
        <w:rPr>
          <w:i/>
          <w:w w:val="115"/>
        </w:rPr>
        <w:t>tizenship</w:t>
      </w:r>
      <w:r>
        <w:rPr>
          <w:w w:val="115"/>
        </w:rPr>
        <w:t>),</w:t>
      </w:r>
      <w:r>
        <w:rPr>
          <w:spacing w:val="-18"/>
          <w:w w:val="115"/>
        </w:rPr>
        <w:t> </w:t>
      </w:r>
      <w:r>
        <w:rPr>
          <w:w w:val="115"/>
        </w:rPr>
        <w:t>como</w:t>
      </w:r>
      <w:r>
        <w:rPr>
          <w:spacing w:val="-18"/>
          <w:w w:val="115"/>
        </w:rPr>
        <w:t> </w:t>
      </w:r>
      <w:r>
        <w:rPr>
          <w:w w:val="115"/>
        </w:rPr>
        <w:t>mecanismos</w:t>
      </w:r>
      <w:r>
        <w:rPr>
          <w:spacing w:val="-18"/>
          <w:w w:val="115"/>
        </w:rPr>
        <w:t> </w:t>
      </w:r>
      <w:r>
        <w:rPr>
          <w:w w:val="115"/>
        </w:rPr>
        <w:t>para</w:t>
      </w:r>
      <w:r>
        <w:rPr>
          <w:spacing w:val="-18"/>
          <w:w w:val="115"/>
        </w:rPr>
        <w:t> </w:t>
      </w:r>
      <w:r>
        <w:rPr>
          <w:w w:val="115"/>
        </w:rPr>
        <w:t>fortalecer</w:t>
      </w:r>
      <w:r>
        <w:rPr>
          <w:spacing w:val="-18"/>
          <w:w w:val="115"/>
        </w:rPr>
        <w:t> </w:t>
      </w:r>
      <w:r>
        <w:rPr>
          <w:w w:val="115"/>
        </w:rPr>
        <w:t>el</w:t>
      </w:r>
      <w:r>
        <w:rPr>
          <w:spacing w:val="-18"/>
          <w:w w:val="115"/>
        </w:rPr>
        <w:t> </w:t>
      </w:r>
      <w:r>
        <w:rPr>
          <w:w w:val="115"/>
        </w:rPr>
        <w:t>mercado</w:t>
      </w:r>
      <w:r>
        <w:rPr>
          <w:spacing w:val="-18"/>
          <w:w w:val="115"/>
        </w:rPr>
        <w:t> </w:t>
      </w:r>
      <w:r>
        <w:rPr>
          <w:w w:val="115"/>
        </w:rPr>
        <w:t>de</w:t>
      </w:r>
      <w:r>
        <w:rPr>
          <w:spacing w:val="-18"/>
          <w:w w:val="115"/>
        </w:rPr>
        <w:t> </w:t>
      </w:r>
      <w:r>
        <w:rPr>
          <w:w w:val="115"/>
        </w:rPr>
        <w:t>capitales y atraer inversiones. Finalmente, otro foco será el “combate a la co- rrupción”,</w:t>
      </w:r>
      <w:r>
        <w:rPr>
          <w:spacing w:val="-18"/>
          <w:w w:val="115"/>
        </w:rPr>
        <w:t> </w:t>
      </w:r>
      <w:r>
        <w:rPr>
          <w:w w:val="115"/>
        </w:rPr>
        <w:t>que</w:t>
      </w:r>
      <w:r>
        <w:rPr>
          <w:spacing w:val="-18"/>
          <w:w w:val="115"/>
        </w:rPr>
        <w:t> </w:t>
      </w:r>
      <w:r>
        <w:rPr>
          <w:w w:val="115"/>
        </w:rPr>
        <w:t>–según</w:t>
      </w:r>
      <w:r>
        <w:rPr>
          <w:spacing w:val="-18"/>
          <w:w w:val="115"/>
        </w:rPr>
        <w:t> </w:t>
      </w:r>
      <w:r>
        <w:rPr>
          <w:w w:val="115"/>
        </w:rPr>
        <w:t>evalúan–</w:t>
      </w:r>
      <w:r>
        <w:rPr>
          <w:spacing w:val="-18"/>
          <w:w w:val="115"/>
        </w:rPr>
        <w:t> </w:t>
      </w:r>
      <w:r>
        <w:rPr>
          <w:w w:val="115"/>
        </w:rPr>
        <w:t>representa</w:t>
      </w:r>
      <w:r>
        <w:rPr>
          <w:spacing w:val="-18"/>
          <w:w w:val="115"/>
        </w:rPr>
        <w:t> </w:t>
      </w:r>
      <w:r>
        <w:rPr>
          <w:w w:val="115"/>
        </w:rPr>
        <w:t>un</w:t>
      </w:r>
      <w:r>
        <w:rPr>
          <w:spacing w:val="-18"/>
          <w:w w:val="115"/>
        </w:rPr>
        <w:t> </w:t>
      </w:r>
      <w:r>
        <w:rPr>
          <w:w w:val="115"/>
        </w:rPr>
        <w:t>costo</w:t>
      </w:r>
      <w:r>
        <w:rPr>
          <w:spacing w:val="-18"/>
          <w:w w:val="115"/>
        </w:rPr>
        <w:t> </w:t>
      </w:r>
      <w:r>
        <w:rPr>
          <w:w w:val="115"/>
        </w:rPr>
        <w:t>elevado</w:t>
      </w:r>
      <w:r>
        <w:rPr>
          <w:spacing w:val="-18"/>
          <w:w w:val="115"/>
        </w:rPr>
        <w:t> </w:t>
      </w:r>
      <w:r>
        <w:rPr>
          <w:w w:val="115"/>
        </w:rPr>
        <w:t>para</w:t>
      </w:r>
      <w:r>
        <w:rPr>
          <w:spacing w:val="-18"/>
          <w:w w:val="115"/>
        </w:rPr>
        <w:t> </w:t>
      </w:r>
      <w:r>
        <w:rPr>
          <w:w w:val="115"/>
        </w:rPr>
        <w:t>las </w:t>
      </w:r>
      <w:r>
        <w:rPr>
          <w:w w:val="108"/>
        </w:rPr>
        <w:t>empresas</w:t>
      </w:r>
      <w:r>
        <w:rPr>
          <w:spacing w:val="4"/>
        </w:rPr>
        <w:t> </w:t>
      </w:r>
      <w:r>
        <w:rPr>
          <w:w w:val="108"/>
        </w:rPr>
        <w:t>que</w:t>
      </w:r>
      <w:r>
        <w:rPr>
          <w:spacing w:val="4"/>
        </w:rPr>
        <w:t> </w:t>
      </w:r>
      <w:r>
        <w:rPr>
          <w:w w:val="112"/>
        </w:rPr>
        <w:t>actúan</w:t>
      </w:r>
      <w:r>
        <w:rPr>
          <w:spacing w:val="4"/>
        </w:rPr>
        <w:t> </w:t>
      </w:r>
      <w:r>
        <w:rPr>
          <w:w w:val="108"/>
        </w:rPr>
        <w:t>en</w:t>
      </w:r>
      <w:r>
        <w:rPr>
          <w:spacing w:val="4"/>
        </w:rPr>
        <w:t> </w:t>
      </w:r>
      <w:r>
        <w:rPr>
          <w:w w:val="139"/>
        </w:rPr>
        <w:t>a</w:t>
      </w:r>
      <w:r>
        <w:rPr>
          <w:w w:val="111"/>
        </w:rPr>
        <w:t>mérica</w:t>
      </w:r>
      <w:r>
        <w:rPr>
          <w:spacing w:val="4"/>
        </w:rPr>
        <w:t> </w:t>
      </w:r>
      <w:r>
        <w:rPr>
          <w:w w:val="243"/>
        </w:rPr>
        <w:t>l</w:t>
      </w:r>
      <w:r>
        <w:rPr>
          <w:w w:val="111"/>
        </w:rPr>
        <w:t>atina</w:t>
      </w:r>
      <w:r>
        <w:rPr>
          <w:spacing w:val="4"/>
        </w:rPr>
        <w:t> </w:t>
      </w:r>
      <w:r>
        <w:rPr>
          <w:w w:val="103"/>
        </w:rPr>
        <w:t>(se</w:t>
      </w:r>
      <w:r>
        <w:rPr>
          <w:spacing w:val="4"/>
        </w:rPr>
        <w:t> </w:t>
      </w:r>
      <w:r>
        <w:rPr>
          <w:w w:val="110"/>
        </w:rPr>
        <w:t>estiman</w:t>
      </w:r>
      <w:r>
        <w:rPr>
          <w:spacing w:val="4"/>
        </w:rPr>
        <w:t> </w:t>
      </w:r>
      <w:r>
        <w:rPr>
          <w:w w:val="108"/>
        </w:rPr>
        <w:t>en</w:t>
      </w:r>
      <w:r>
        <w:rPr>
          <w:spacing w:val="4"/>
        </w:rPr>
        <w:t> </w:t>
      </w:r>
      <w:r>
        <w:rPr>
          <w:w w:val="102"/>
        </w:rPr>
        <w:t>10%</w:t>
      </w:r>
      <w:r>
        <w:rPr>
          <w:spacing w:val="4"/>
        </w:rPr>
        <w:t> </w:t>
      </w:r>
      <w:r>
        <w:rPr>
          <w:w w:val="108"/>
        </w:rPr>
        <w:t>los</w:t>
      </w:r>
      <w:r>
        <w:rPr>
          <w:spacing w:val="4"/>
        </w:rPr>
        <w:t> </w:t>
      </w:r>
      <w:r>
        <w:rPr>
          <w:w w:val="109"/>
        </w:rPr>
        <w:t>costos </w:t>
      </w:r>
      <w:r>
        <w:rPr>
          <w:w w:val="115"/>
        </w:rPr>
        <w:t>de</w:t>
      </w:r>
      <w:r>
        <w:rPr>
          <w:spacing w:val="-28"/>
          <w:w w:val="115"/>
        </w:rPr>
        <w:t> </w:t>
      </w:r>
      <w:r>
        <w:rPr>
          <w:w w:val="115"/>
        </w:rPr>
        <w:t>transacción</w:t>
      </w:r>
      <w:r>
        <w:rPr>
          <w:spacing w:val="-28"/>
          <w:w w:val="115"/>
        </w:rPr>
        <w:t> </w:t>
      </w:r>
      <w:r>
        <w:rPr>
          <w:w w:val="115"/>
        </w:rPr>
        <w:t>comprometidos</w:t>
      </w:r>
      <w:r>
        <w:rPr>
          <w:spacing w:val="-28"/>
          <w:w w:val="115"/>
        </w:rPr>
        <w:t> </w:t>
      </w:r>
      <w:r>
        <w:rPr>
          <w:w w:val="115"/>
        </w:rPr>
        <w:t>en</w:t>
      </w:r>
      <w:r>
        <w:rPr>
          <w:spacing w:val="-28"/>
          <w:w w:val="115"/>
        </w:rPr>
        <w:t> </w:t>
      </w:r>
      <w:r>
        <w:rPr>
          <w:w w:val="115"/>
        </w:rPr>
        <w:t>la</w:t>
      </w:r>
      <w:r>
        <w:rPr>
          <w:spacing w:val="-28"/>
          <w:w w:val="115"/>
        </w:rPr>
        <w:t> </w:t>
      </w:r>
      <w:r>
        <w:rPr>
          <w:w w:val="115"/>
        </w:rPr>
        <w:t>corrupción).</w:t>
      </w:r>
    </w:p>
    <w:p>
      <w:pPr>
        <w:pStyle w:val="BodyText"/>
        <w:spacing w:line="252" w:lineRule="auto"/>
        <w:ind w:left="100" w:right="329" w:firstLine="396"/>
        <w:jc w:val="both"/>
      </w:pPr>
      <w:r>
        <w:rPr>
          <w:w w:val="115"/>
        </w:rPr>
        <w:t>a</w:t>
      </w:r>
      <w:r>
        <w:rPr>
          <w:spacing w:val="-8"/>
          <w:w w:val="115"/>
        </w:rPr>
        <w:t> </w:t>
      </w:r>
      <w:r>
        <w:rPr>
          <w:w w:val="115"/>
        </w:rPr>
        <w:t>continuación</w:t>
      </w:r>
      <w:r>
        <w:rPr>
          <w:spacing w:val="-8"/>
          <w:w w:val="115"/>
        </w:rPr>
        <w:t> </w:t>
      </w:r>
      <w:r>
        <w:rPr>
          <w:w w:val="115"/>
        </w:rPr>
        <w:t>se</w:t>
      </w:r>
      <w:r>
        <w:rPr>
          <w:spacing w:val="-8"/>
          <w:w w:val="115"/>
        </w:rPr>
        <w:t> </w:t>
      </w:r>
      <w:r>
        <w:rPr>
          <w:w w:val="115"/>
        </w:rPr>
        <w:t>analizará</w:t>
      </w:r>
      <w:r>
        <w:rPr>
          <w:spacing w:val="-8"/>
          <w:w w:val="115"/>
        </w:rPr>
        <w:t> </w:t>
      </w:r>
      <w:r>
        <w:rPr>
          <w:w w:val="115"/>
        </w:rPr>
        <w:t>la</w:t>
      </w:r>
      <w:r>
        <w:rPr>
          <w:spacing w:val="-8"/>
          <w:w w:val="115"/>
        </w:rPr>
        <w:t> </w:t>
      </w:r>
      <w:r>
        <w:rPr>
          <w:w w:val="115"/>
        </w:rPr>
        <w:t>presencia</w:t>
      </w:r>
      <w:r>
        <w:rPr>
          <w:spacing w:val="-8"/>
          <w:w w:val="115"/>
        </w:rPr>
        <w:t> </w:t>
      </w:r>
      <w:r>
        <w:rPr>
          <w:w w:val="115"/>
        </w:rPr>
        <w:t>del</w:t>
      </w:r>
      <w:r>
        <w:rPr>
          <w:spacing w:val="-8"/>
          <w:w w:val="115"/>
        </w:rPr>
        <w:t> </w:t>
      </w:r>
      <w:r>
        <w:rPr>
          <w:w w:val="115"/>
        </w:rPr>
        <w:t>CiPE</w:t>
      </w:r>
      <w:r>
        <w:rPr>
          <w:spacing w:val="-8"/>
          <w:w w:val="115"/>
        </w:rPr>
        <w:t> </w:t>
      </w:r>
      <w:r>
        <w:rPr>
          <w:w w:val="115"/>
        </w:rPr>
        <w:t>en</w:t>
      </w:r>
      <w:r>
        <w:rPr>
          <w:spacing w:val="-8"/>
          <w:w w:val="115"/>
        </w:rPr>
        <w:t> </w:t>
      </w:r>
      <w:r>
        <w:rPr>
          <w:w w:val="115"/>
        </w:rPr>
        <w:t>el</w:t>
      </w:r>
      <w:r>
        <w:rPr>
          <w:spacing w:val="-8"/>
          <w:w w:val="115"/>
        </w:rPr>
        <w:t> </w:t>
      </w:r>
      <w:r>
        <w:rPr>
          <w:w w:val="115"/>
        </w:rPr>
        <w:t>Perú</w:t>
      </w:r>
      <w:r>
        <w:rPr>
          <w:spacing w:val="-8"/>
          <w:w w:val="115"/>
        </w:rPr>
        <w:t> </w:t>
      </w:r>
      <w:r>
        <w:rPr>
          <w:w w:val="115"/>
        </w:rPr>
        <w:t>y</w:t>
      </w:r>
      <w:r>
        <w:rPr>
          <w:spacing w:val="-8"/>
          <w:w w:val="115"/>
        </w:rPr>
        <w:t> </w:t>
      </w:r>
      <w:r>
        <w:rPr>
          <w:w w:val="115"/>
        </w:rPr>
        <w:t>en la</w:t>
      </w:r>
      <w:r>
        <w:rPr>
          <w:spacing w:val="-8"/>
          <w:w w:val="115"/>
        </w:rPr>
        <w:t> </w:t>
      </w:r>
      <w:r>
        <w:rPr>
          <w:w w:val="115"/>
        </w:rPr>
        <w:t>argentina</w:t>
      </w:r>
      <w:r>
        <w:rPr>
          <w:spacing w:val="-8"/>
          <w:w w:val="115"/>
        </w:rPr>
        <w:t> </w:t>
      </w:r>
      <w:r>
        <w:rPr>
          <w:w w:val="115"/>
        </w:rPr>
        <w:t>así</w:t>
      </w:r>
      <w:r>
        <w:rPr>
          <w:spacing w:val="-8"/>
          <w:w w:val="115"/>
        </w:rPr>
        <w:t> </w:t>
      </w:r>
      <w:r>
        <w:rPr>
          <w:w w:val="115"/>
        </w:rPr>
        <w:t>como</w:t>
      </w:r>
      <w:r>
        <w:rPr>
          <w:spacing w:val="-8"/>
          <w:w w:val="115"/>
        </w:rPr>
        <w:t> </w:t>
      </w:r>
      <w:r>
        <w:rPr>
          <w:w w:val="115"/>
        </w:rPr>
        <w:t>algunas</w:t>
      </w:r>
      <w:r>
        <w:rPr>
          <w:spacing w:val="-8"/>
          <w:w w:val="115"/>
        </w:rPr>
        <w:t> </w:t>
      </w:r>
      <w:r>
        <w:rPr>
          <w:w w:val="115"/>
        </w:rPr>
        <w:t>intervenciones</w:t>
      </w:r>
      <w:r>
        <w:rPr>
          <w:spacing w:val="-8"/>
          <w:w w:val="115"/>
        </w:rPr>
        <w:t> </w:t>
      </w:r>
      <w:r>
        <w:rPr>
          <w:w w:val="115"/>
        </w:rPr>
        <w:t>de</w:t>
      </w:r>
      <w:r>
        <w:rPr>
          <w:spacing w:val="-8"/>
          <w:w w:val="115"/>
        </w:rPr>
        <w:t> </w:t>
      </w:r>
      <w:r>
        <w:rPr>
          <w:w w:val="115"/>
        </w:rPr>
        <w:t>la</w:t>
      </w:r>
      <w:r>
        <w:rPr>
          <w:spacing w:val="-8"/>
          <w:w w:val="115"/>
        </w:rPr>
        <w:t> </w:t>
      </w:r>
      <w:r>
        <w:rPr>
          <w:w w:val="115"/>
        </w:rPr>
        <w:t>NEd</w:t>
      </w:r>
      <w:r>
        <w:rPr>
          <w:spacing w:val="-8"/>
          <w:w w:val="115"/>
        </w:rPr>
        <w:t> </w:t>
      </w:r>
      <w:r>
        <w:rPr>
          <w:w w:val="115"/>
        </w:rPr>
        <w:t>(directas</w:t>
      </w:r>
      <w:r>
        <w:rPr>
          <w:spacing w:val="-8"/>
          <w:w w:val="115"/>
        </w:rPr>
        <w:t> </w:t>
      </w:r>
      <w:r>
        <w:rPr>
          <w:w w:val="115"/>
        </w:rPr>
        <w:t>o</w:t>
      </w:r>
      <w:r>
        <w:rPr>
          <w:spacing w:val="-8"/>
          <w:w w:val="115"/>
        </w:rPr>
        <w:t> </w:t>
      </w:r>
      <w:r>
        <w:rPr>
          <w:w w:val="115"/>
        </w:rPr>
        <w:t>a través del </w:t>
      </w:r>
      <w:r>
        <w:rPr>
          <w:w w:val="130"/>
        </w:rPr>
        <w:t>iri </w:t>
      </w:r>
      <w:r>
        <w:rPr>
          <w:w w:val="115"/>
        </w:rPr>
        <w:t>y del</w:t>
      </w:r>
      <w:r>
        <w:rPr>
          <w:spacing w:val="30"/>
          <w:w w:val="115"/>
        </w:rPr>
        <w:t> </w:t>
      </w:r>
      <w:r>
        <w:rPr>
          <w:w w:val="115"/>
        </w:rPr>
        <w:t>Ndi).</w:t>
      </w:r>
    </w:p>
    <w:p>
      <w:pPr>
        <w:pStyle w:val="BodyText"/>
        <w:spacing w:before="5"/>
      </w:pPr>
    </w:p>
    <w:p>
      <w:pPr>
        <w:pStyle w:val="Heading6"/>
        <w:spacing w:line="244" w:lineRule="auto"/>
        <w:ind w:right="1222" w:hanging="1"/>
        <w:jc w:val="left"/>
      </w:pPr>
      <w:r>
        <w:rPr>
          <w:spacing w:val="2"/>
          <w:w w:val="135"/>
        </w:rPr>
        <w:t>las</w:t>
      </w:r>
      <w:r>
        <w:rPr>
          <w:spacing w:val="-42"/>
          <w:w w:val="135"/>
        </w:rPr>
        <w:t> </w:t>
      </w:r>
      <w:r>
        <w:rPr>
          <w:spacing w:val="2"/>
          <w:w w:val="135"/>
        </w:rPr>
        <w:t>orGanizaciones</w:t>
      </w:r>
      <w:r>
        <w:rPr>
          <w:spacing w:val="-42"/>
          <w:w w:val="135"/>
        </w:rPr>
        <w:t> </w:t>
      </w:r>
      <w:r>
        <w:rPr>
          <w:w w:val="135"/>
        </w:rPr>
        <w:t>que</w:t>
      </w:r>
      <w:r>
        <w:rPr>
          <w:spacing w:val="-42"/>
          <w:w w:val="135"/>
        </w:rPr>
        <w:t> </w:t>
      </w:r>
      <w:r>
        <w:rPr>
          <w:w w:val="135"/>
        </w:rPr>
        <w:t>reciBen</w:t>
      </w:r>
      <w:r>
        <w:rPr>
          <w:spacing w:val="-42"/>
          <w:w w:val="135"/>
        </w:rPr>
        <w:t> </w:t>
      </w:r>
      <w:r>
        <w:rPr>
          <w:w w:val="135"/>
        </w:rPr>
        <w:t>financiaMiento </w:t>
      </w:r>
      <w:r>
        <w:rPr>
          <w:spacing w:val="3"/>
          <w:w w:val="134"/>
        </w:rPr>
        <w:t>e</w:t>
      </w:r>
      <w:r>
        <w:rPr>
          <w:w w:val="128"/>
        </w:rPr>
        <w:t>n</w:t>
      </w:r>
      <w:r>
        <w:rPr>
          <w:spacing w:val="-8"/>
        </w:rPr>
        <w:t> </w:t>
      </w:r>
      <w:r>
        <w:rPr>
          <w:spacing w:val="2"/>
          <w:w w:val="114"/>
        </w:rPr>
        <w:t>P</w:t>
      </w:r>
      <w:r>
        <w:rPr>
          <w:spacing w:val="3"/>
          <w:w w:val="114"/>
        </w:rPr>
        <w:t>e</w:t>
      </w:r>
      <w:r>
        <w:rPr>
          <w:spacing w:val="-1"/>
          <w:w w:val="145"/>
        </w:rPr>
        <w:t>r</w:t>
      </w:r>
      <w:r>
        <w:rPr>
          <w:spacing w:val="1"/>
          <w:w w:val="131"/>
        </w:rPr>
        <w:t>ú</w:t>
      </w:r>
      <w:r>
        <w:rPr>
          <w:w w:val="78"/>
        </w:rPr>
        <w:t>:</w:t>
      </w:r>
      <w:r>
        <w:rPr>
          <w:spacing w:val="-9"/>
        </w:rPr>
        <w:t> </w:t>
      </w:r>
      <w:r>
        <w:rPr>
          <w:spacing w:val="3"/>
          <w:w w:val="134"/>
        </w:rPr>
        <w:t>e</w:t>
      </w:r>
      <w:r>
        <w:rPr>
          <w:w w:val="201"/>
        </w:rPr>
        <w:t>l</w:t>
      </w:r>
      <w:r>
        <w:rPr>
          <w:spacing w:val="-8"/>
        </w:rPr>
        <w:t> </w:t>
      </w:r>
      <w:r>
        <w:rPr>
          <w:spacing w:val="2"/>
          <w:w w:val="129"/>
        </w:rPr>
        <w:t>i</w:t>
      </w:r>
      <w:r>
        <w:rPr>
          <w:spacing w:val="2"/>
          <w:w w:val="131"/>
        </w:rPr>
        <w:t>n</w:t>
      </w:r>
      <w:r>
        <w:rPr>
          <w:spacing w:val="1"/>
          <w:w w:val="131"/>
        </w:rPr>
        <w:t>s</w:t>
      </w:r>
      <w:r>
        <w:rPr>
          <w:spacing w:val="2"/>
          <w:w w:val="156"/>
        </w:rPr>
        <w:t>ti</w:t>
      </w:r>
      <w:r>
        <w:rPr>
          <w:spacing w:val="3"/>
          <w:w w:val="180"/>
        </w:rPr>
        <w:t>t</w:t>
      </w:r>
      <w:r>
        <w:rPr>
          <w:spacing w:val="4"/>
          <w:w w:val="131"/>
        </w:rPr>
        <w:t>u</w:t>
      </w:r>
      <w:r>
        <w:rPr>
          <w:spacing w:val="2"/>
          <w:w w:val="180"/>
        </w:rPr>
        <w:t>t</w:t>
      </w:r>
      <w:r>
        <w:rPr>
          <w:w w:val="145"/>
        </w:rPr>
        <w:t>o</w:t>
      </w:r>
      <w:r>
        <w:rPr>
          <w:spacing w:val="-8"/>
        </w:rPr>
        <w:t> </w:t>
      </w:r>
      <w:r>
        <w:rPr>
          <w:spacing w:val="2"/>
          <w:w w:val="201"/>
        </w:rPr>
        <w:t>l</w:t>
      </w:r>
      <w:r>
        <w:rPr>
          <w:spacing w:val="2"/>
          <w:w w:val="129"/>
        </w:rPr>
        <w:t>i</w:t>
      </w:r>
      <w:r>
        <w:rPr>
          <w:spacing w:val="1"/>
          <w:w w:val="96"/>
        </w:rPr>
        <w:t>B</w:t>
      </w:r>
      <w:r>
        <w:rPr>
          <w:spacing w:val="3"/>
          <w:w w:val="134"/>
        </w:rPr>
        <w:t>e</w:t>
      </w:r>
      <w:r>
        <w:rPr>
          <w:spacing w:val="-1"/>
          <w:w w:val="145"/>
        </w:rPr>
        <w:t>r</w:t>
      </w:r>
      <w:r>
        <w:rPr>
          <w:spacing w:val="-10"/>
          <w:w w:val="180"/>
        </w:rPr>
        <w:t>t</w:t>
      </w:r>
      <w:r>
        <w:rPr>
          <w:spacing w:val="2"/>
          <w:w w:val="130"/>
        </w:rPr>
        <w:t>a</w:t>
      </w:r>
      <w:r>
        <w:rPr>
          <w:w w:val="130"/>
        </w:rPr>
        <w:t>d</w:t>
      </w:r>
      <w:r>
        <w:rPr>
          <w:spacing w:val="-8"/>
        </w:rPr>
        <w:t> </w:t>
      </w:r>
      <w:r>
        <w:rPr>
          <w:w w:val="119"/>
        </w:rPr>
        <w:t>y</w:t>
      </w:r>
      <w:r>
        <w:rPr>
          <w:spacing w:val="-8"/>
        </w:rPr>
        <w:t> </w:t>
      </w:r>
      <w:r>
        <w:rPr>
          <w:spacing w:val="2"/>
          <w:w w:val="131"/>
        </w:rPr>
        <w:t>d</w:t>
      </w:r>
      <w:r>
        <w:rPr>
          <w:spacing w:val="3"/>
          <w:w w:val="134"/>
        </w:rPr>
        <w:t>e</w:t>
      </w:r>
      <w:r>
        <w:rPr>
          <w:spacing w:val="2"/>
          <w:w w:val="92"/>
        </w:rPr>
        <w:t>M</w:t>
      </w:r>
      <w:r>
        <w:rPr>
          <w:spacing w:val="5"/>
          <w:w w:val="145"/>
        </w:rPr>
        <w:t>o</w:t>
      </w:r>
      <w:r>
        <w:rPr>
          <w:spacing w:val="2"/>
          <w:w w:val="146"/>
        </w:rPr>
        <w:t>cr</w:t>
      </w:r>
      <w:r>
        <w:rPr>
          <w:spacing w:val="1"/>
          <w:w w:val="129"/>
        </w:rPr>
        <w:t>a</w:t>
      </w:r>
      <w:r>
        <w:rPr>
          <w:spacing w:val="2"/>
          <w:w w:val="136"/>
        </w:rPr>
        <w:t>ci</w:t>
      </w:r>
      <w:r>
        <w:rPr>
          <w:w w:val="136"/>
        </w:rPr>
        <w:t>a</w:t>
      </w:r>
      <w:r>
        <w:rPr>
          <w:spacing w:val="-8"/>
        </w:rPr>
        <w:t> </w:t>
      </w:r>
      <w:r>
        <w:rPr>
          <w:spacing w:val="2"/>
          <w:w w:val="147"/>
        </w:rPr>
        <w:t>(il</w:t>
      </w:r>
      <w:r>
        <w:rPr>
          <w:spacing w:val="2"/>
          <w:w w:val="126"/>
        </w:rPr>
        <w:t>d) </w:t>
      </w:r>
      <w:r>
        <w:rPr>
          <w:w w:val="140"/>
        </w:rPr>
        <w:t>y</w:t>
      </w:r>
      <w:r>
        <w:rPr>
          <w:spacing w:val="-24"/>
          <w:w w:val="140"/>
        </w:rPr>
        <w:t> </w:t>
      </w:r>
      <w:r>
        <w:rPr>
          <w:w w:val="140"/>
        </w:rPr>
        <w:t>el</w:t>
      </w:r>
      <w:r>
        <w:rPr>
          <w:spacing w:val="-24"/>
          <w:w w:val="140"/>
        </w:rPr>
        <w:t> </w:t>
      </w:r>
      <w:r>
        <w:rPr>
          <w:w w:val="140"/>
        </w:rPr>
        <w:t>instituto</w:t>
      </w:r>
      <w:r>
        <w:rPr>
          <w:spacing w:val="-24"/>
          <w:w w:val="140"/>
        </w:rPr>
        <w:t> </w:t>
      </w:r>
      <w:r>
        <w:rPr>
          <w:w w:val="140"/>
        </w:rPr>
        <w:t>aPoyo</w:t>
      </w:r>
    </w:p>
    <w:p>
      <w:pPr>
        <w:pStyle w:val="BodyText"/>
        <w:spacing w:line="252" w:lineRule="auto" w:before="5"/>
        <w:ind w:left="100" w:right="328"/>
        <w:jc w:val="both"/>
      </w:pPr>
      <w:r>
        <w:rPr>
          <w:w w:val="115"/>
        </w:rPr>
        <w:t>según las evaluaciones hechas por el CiPE, el </w:t>
      </w:r>
      <w:r>
        <w:rPr>
          <w:w w:val="150"/>
        </w:rPr>
        <w:t>ild </w:t>
      </w:r>
      <w:r>
        <w:rPr>
          <w:w w:val="115"/>
        </w:rPr>
        <w:t>fue ampliamente reconocido por su actividad a favor de crear un consenso en torno de la economía de mercado en Perú durante los años ochenta y por establecer</w:t>
      </w:r>
      <w:r>
        <w:rPr>
          <w:spacing w:val="-9"/>
          <w:w w:val="115"/>
        </w:rPr>
        <w:t> </w:t>
      </w:r>
      <w:r>
        <w:rPr>
          <w:w w:val="115"/>
        </w:rPr>
        <w:t>los</w:t>
      </w:r>
      <w:r>
        <w:rPr>
          <w:spacing w:val="-9"/>
          <w:w w:val="115"/>
        </w:rPr>
        <w:t> </w:t>
      </w:r>
      <w:r>
        <w:rPr>
          <w:w w:val="115"/>
        </w:rPr>
        <w:t>pilares</w:t>
      </w:r>
      <w:r>
        <w:rPr>
          <w:spacing w:val="-9"/>
          <w:w w:val="115"/>
        </w:rPr>
        <w:t> </w:t>
      </w:r>
      <w:r>
        <w:rPr>
          <w:w w:val="115"/>
        </w:rPr>
        <w:t>para</w:t>
      </w:r>
      <w:r>
        <w:rPr>
          <w:spacing w:val="-9"/>
          <w:w w:val="115"/>
        </w:rPr>
        <w:t> </w:t>
      </w:r>
      <w:r>
        <w:rPr>
          <w:w w:val="115"/>
        </w:rPr>
        <w:t>los</w:t>
      </w:r>
      <w:r>
        <w:rPr>
          <w:spacing w:val="-9"/>
          <w:w w:val="115"/>
        </w:rPr>
        <w:t> </w:t>
      </w:r>
      <w:r>
        <w:rPr>
          <w:w w:val="115"/>
        </w:rPr>
        <w:t>programas</w:t>
      </w:r>
      <w:r>
        <w:rPr>
          <w:spacing w:val="-9"/>
          <w:w w:val="115"/>
        </w:rPr>
        <w:t> </w:t>
      </w:r>
      <w:r>
        <w:rPr>
          <w:w w:val="115"/>
        </w:rPr>
        <w:t>de</w:t>
      </w:r>
      <w:r>
        <w:rPr>
          <w:spacing w:val="-9"/>
          <w:w w:val="115"/>
        </w:rPr>
        <w:t> </w:t>
      </w:r>
      <w:r>
        <w:rPr>
          <w:w w:val="115"/>
        </w:rPr>
        <w:t>reforma</w:t>
      </w:r>
      <w:r>
        <w:rPr>
          <w:spacing w:val="-9"/>
          <w:w w:val="115"/>
        </w:rPr>
        <w:t> </w:t>
      </w:r>
      <w:r>
        <w:rPr>
          <w:w w:val="115"/>
        </w:rPr>
        <w:t>económica</w:t>
      </w:r>
      <w:r>
        <w:rPr>
          <w:spacing w:val="-9"/>
          <w:w w:val="115"/>
        </w:rPr>
        <w:t> </w:t>
      </w:r>
      <w:r>
        <w:rPr>
          <w:w w:val="115"/>
        </w:rPr>
        <w:t>du- </w:t>
      </w:r>
      <w:r>
        <w:rPr>
          <w:w w:val="108"/>
        </w:rPr>
        <w:t>rante</w:t>
      </w:r>
      <w:r>
        <w:rPr/>
        <w:t> </w:t>
      </w:r>
      <w:r>
        <w:rPr>
          <w:spacing w:val="-10"/>
        </w:rPr>
        <w:t> </w:t>
      </w:r>
      <w:r>
        <w:rPr>
          <w:w w:val="108"/>
        </w:rPr>
        <w:t>los</w:t>
      </w:r>
      <w:r>
        <w:rPr/>
        <w:t> </w:t>
      </w:r>
      <w:r>
        <w:rPr>
          <w:spacing w:val="-10"/>
        </w:rPr>
        <w:t> </w:t>
      </w:r>
      <w:r>
        <w:rPr>
          <w:w w:val="110"/>
        </w:rPr>
        <w:t>años</w:t>
      </w:r>
      <w:r>
        <w:rPr/>
        <w:t> </w:t>
      </w:r>
      <w:r>
        <w:rPr>
          <w:spacing w:val="-10"/>
        </w:rPr>
        <w:t> </w:t>
      </w:r>
      <w:r>
        <w:rPr>
          <w:w w:val="108"/>
        </w:rPr>
        <w:t>noventa</w:t>
      </w:r>
      <w:r>
        <w:rPr/>
        <w:t> </w:t>
      </w:r>
      <w:r>
        <w:rPr>
          <w:spacing w:val="-10"/>
        </w:rPr>
        <w:t> </w:t>
      </w:r>
      <w:r>
        <w:rPr>
          <w:w w:val="110"/>
        </w:rPr>
        <w:t>(Geurts</w:t>
      </w:r>
      <w:r>
        <w:rPr/>
        <w:t> </w:t>
      </w:r>
      <w:r>
        <w:rPr>
          <w:spacing w:val="-10"/>
        </w:rPr>
        <w:t> </w:t>
      </w:r>
      <w:r>
        <w:rPr>
          <w:i/>
          <w:w w:val="98"/>
        </w:rPr>
        <w:t>et</w:t>
      </w:r>
      <w:r>
        <w:rPr>
          <w:i/>
        </w:rPr>
        <w:t> </w:t>
      </w:r>
      <w:r>
        <w:rPr>
          <w:i/>
          <w:spacing w:val="-10"/>
        </w:rPr>
        <w:t> </w:t>
      </w:r>
      <w:r>
        <w:rPr>
          <w:i/>
          <w:w w:val="112"/>
        </w:rPr>
        <w:t>al.</w:t>
      </w:r>
      <w:r>
        <w:rPr>
          <w:w w:val="138"/>
        </w:rPr>
        <w:t>,</w:t>
      </w:r>
      <w:r>
        <w:rPr/>
        <w:t> </w:t>
      </w:r>
      <w:r>
        <w:rPr>
          <w:spacing w:val="-10"/>
        </w:rPr>
        <w:t> </w:t>
      </w:r>
      <w:r>
        <w:rPr>
          <w:w w:val="103"/>
        </w:rPr>
        <w:t>2001:</w:t>
      </w:r>
      <w:r>
        <w:rPr/>
        <w:t> </w:t>
      </w:r>
      <w:r>
        <w:rPr>
          <w:spacing w:val="-10"/>
        </w:rPr>
        <w:t> </w:t>
      </w:r>
      <w:r>
        <w:rPr>
          <w:w w:val="106"/>
        </w:rPr>
        <w:t>61).</w:t>
      </w:r>
      <w:r>
        <w:rPr/>
        <w:t> </w:t>
      </w:r>
      <w:r>
        <w:rPr>
          <w:spacing w:val="-10"/>
        </w:rPr>
        <w:t> </w:t>
      </w:r>
      <w:r>
        <w:rPr>
          <w:w w:val="243"/>
        </w:rPr>
        <w:t>l</w:t>
      </w:r>
      <w:r>
        <w:rPr>
          <w:w w:val="112"/>
        </w:rPr>
        <w:t>a</w:t>
      </w:r>
      <w:r>
        <w:rPr/>
        <w:t> </w:t>
      </w:r>
      <w:r>
        <w:rPr>
          <w:spacing w:val="-10"/>
        </w:rPr>
        <w:t> </w:t>
      </w:r>
      <w:r>
        <w:rPr>
          <w:w w:val="109"/>
        </w:rPr>
        <w:t>figura</w:t>
      </w:r>
      <w:r>
        <w:rPr/>
        <w:t> </w:t>
      </w:r>
      <w:r>
        <w:rPr>
          <w:spacing w:val="-10"/>
        </w:rPr>
        <w:t> </w:t>
      </w:r>
      <w:r>
        <w:rPr>
          <w:w w:val="109"/>
        </w:rPr>
        <w:t>destacada </w:t>
      </w:r>
      <w:r>
        <w:rPr>
          <w:w w:val="115"/>
        </w:rPr>
        <w:t>es Hernando de soto, fundador del </w:t>
      </w:r>
      <w:r>
        <w:rPr>
          <w:w w:val="150"/>
        </w:rPr>
        <w:t>ild </w:t>
      </w:r>
      <w:r>
        <w:rPr>
          <w:w w:val="115"/>
        </w:rPr>
        <w:t>(CiPE, </w:t>
      </w:r>
      <w:r>
        <w:rPr>
          <w:i/>
          <w:w w:val="115"/>
        </w:rPr>
        <w:t>Annual Report</w:t>
      </w:r>
      <w:r>
        <w:rPr>
          <w:w w:val="115"/>
        </w:rPr>
        <w:t>, 2003, cap. 6:</w:t>
      </w:r>
      <w:r>
        <w:rPr>
          <w:spacing w:val="-21"/>
          <w:w w:val="115"/>
        </w:rPr>
        <w:t> </w:t>
      </w:r>
      <w:r>
        <w:rPr>
          <w:w w:val="115"/>
        </w:rPr>
        <w:t>6).</w:t>
      </w:r>
    </w:p>
    <w:p>
      <w:pPr>
        <w:pStyle w:val="BodyText"/>
        <w:spacing w:line="252" w:lineRule="auto"/>
        <w:ind w:left="100" w:right="327" w:firstLine="396"/>
        <w:jc w:val="both"/>
      </w:pPr>
      <w:r>
        <w:rPr>
          <w:w w:val="110"/>
        </w:rPr>
        <w:t>Entre 1981 y 1984, el </w:t>
      </w:r>
      <w:r>
        <w:rPr>
          <w:w w:val="130"/>
        </w:rPr>
        <w:t>ild, </w:t>
      </w:r>
      <w:r>
        <w:rPr>
          <w:w w:val="110"/>
        </w:rPr>
        <w:t>entonces con un pequeño grupo de investigadores, analizó la situación del mercado informal en el Perú y pasó a defender un proceso de cambios que permitiría reducir drás- ticamente el procedimiento de registro legal de un negocio, lo que</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41"/>
      </w:pPr>
      <w:r>
        <w:rPr>
          <w:w w:val="110"/>
        </w:rPr>
        <w:t>ayudaría a millares de empresas a pasar del sector informal al sector formal de la economía (Geurts </w:t>
      </w:r>
      <w:r>
        <w:rPr>
          <w:i/>
          <w:w w:val="110"/>
        </w:rPr>
        <w:t>et al.</w:t>
      </w:r>
      <w:r>
        <w:rPr>
          <w:w w:val="110"/>
        </w:rPr>
        <w:t>, 2001: 61; islam,  2007).</w:t>
      </w:r>
    </w:p>
    <w:p>
      <w:pPr>
        <w:pStyle w:val="BodyText"/>
        <w:spacing w:line="252" w:lineRule="auto"/>
        <w:ind w:left="330" w:right="117" w:firstLine="397"/>
        <w:jc w:val="both"/>
      </w:pPr>
      <w:r>
        <w:rPr>
          <w:w w:val="110"/>
        </w:rPr>
        <w:t>Evaluando que las propuestas y acciones del </w:t>
      </w:r>
      <w:r>
        <w:rPr>
          <w:w w:val="135"/>
        </w:rPr>
        <w:t>ild </w:t>
      </w:r>
      <w:r>
        <w:rPr>
          <w:w w:val="110"/>
        </w:rPr>
        <w:t>contribuían para crear un sistema más estable de gobierno y minar el apoyo a sendero </w:t>
      </w:r>
      <w:r>
        <w:rPr>
          <w:w w:val="243"/>
        </w:rPr>
        <w:t>l</w:t>
      </w:r>
      <w:r>
        <w:rPr>
          <w:w w:val="111"/>
        </w:rPr>
        <w:t>uminoso</w:t>
      </w:r>
      <w:r>
        <w:rPr>
          <w:spacing w:val="12"/>
        </w:rPr>
        <w:t> </w:t>
      </w:r>
      <w:r>
        <w:rPr>
          <w:w w:val="105"/>
        </w:rPr>
        <w:t>y</w:t>
      </w:r>
      <w:r>
        <w:rPr>
          <w:spacing w:val="12"/>
        </w:rPr>
        <w:t> </w:t>
      </w:r>
      <w:r>
        <w:rPr>
          <w:w w:val="110"/>
        </w:rPr>
        <w:t>así</w:t>
      </w:r>
      <w:r>
        <w:rPr>
          <w:spacing w:val="12"/>
        </w:rPr>
        <w:t> </w:t>
      </w:r>
      <w:r>
        <w:rPr>
          <w:w w:val="108"/>
        </w:rPr>
        <w:t>crear</w:t>
      </w:r>
      <w:r>
        <w:rPr>
          <w:spacing w:val="12"/>
        </w:rPr>
        <w:t> </w:t>
      </w:r>
      <w:r>
        <w:rPr>
          <w:w w:val="112"/>
        </w:rPr>
        <w:t>un</w:t>
      </w:r>
      <w:r>
        <w:rPr>
          <w:spacing w:val="12"/>
        </w:rPr>
        <w:t> </w:t>
      </w:r>
      <w:r>
        <w:rPr>
          <w:w w:val="109"/>
        </w:rPr>
        <w:t>abordaje</w:t>
      </w:r>
      <w:r>
        <w:rPr>
          <w:spacing w:val="12"/>
        </w:rPr>
        <w:t> </w:t>
      </w:r>
      <w:r>
        <w:rPr>
          <w:w w:val="108"/>
        </w:rPr>
        <w:t>alternativo</w:t>
      </w:r>
      <w:r>
        <w:rPr>
          <w:spacing w:val="12"/>
        </w:rPr>
        <w:t> </w:t>
      </w:r>
      <w:r>
        <w:rPr>
          <w:w w:val="109"/>
        </w:rPr>
        <w:t>para</w:t>
      </w:r>
      <w:r>
        <w:rPr>
          <w:spacing w:val="12"/>
        </w:rPr>
        <w:t> </w:t>
      </w:r>
      <w:r>
        <w:rPr>
          <w:w w:val="111"/>
        </w:rPr>
        <w:t>“combatir</w:t>
      </w:r>
      <w:r>
        <w:rPr>
          <w:spacing w:val="12"/>
        </w:rPr>
        <w:t> </w:t>
      </w:r>
      <w:r>
        <w:rPr>
          <w:w w:val="107"/>
        </w:rPr>
        <w:t>el</w:t>
      </w:r>
      <w:r>
        <w:rPr>
          <w:spacing w:val="12"/>
        </w:rPr>
        <w:t> </w:t>
      </w:r>
      <w:r>
        <w:rPr>
          <w:w w:val="106"/>
        </w:rPr>
        <w:t>terro</w:t>
      </w:r>
      <w:r>
        <w:rPr>
          <w:w w:val="102"/>
        </w:rPr>
        <w:t>- </w:t>
      </w:r>
      <w:r>
        <w:rPr>
          <w:w w:val="110"/>
        </w:rPr>
        <w:t>rismo”, el CiPE apoyó este instituto en su primer programa, en 1984 (CiPE, </w:t>
      </w:r>
      <w:r>
        <w:rPr>
          <w:i/>
          <w:w w:val="110"/>
        </w:rPr>
        <w:t>Annual Report</w:t>
      </w:r>
      <w:r>
        <w:rPr>
          <w:w w:val="110"/>
        </w:rPr>
        <w:t>, 2003, caps. 1 y 6: 2 y 13). según islam (2007), la obra de soto </w:t>
      </w:r>
      <w:r>
        <w:rPr>
          <w:i/>
          <w:w w:val="110"/>
        </w:rPr>
        <w:t>The other path: the invisible revolution in the Third </w:t>
      </w:r>
      <w:r>
        <w:rPr>
          <w:i/>
          <w:spacing w:val="-3"/>
          <w:w w:val="110"/>
        </w:rPr>
        <w:t>World </w:t>
      </w:r>
      <w:r>
        <w:rPr>
          <w:w w:val="110"/>
        </w:rPr>
        <w:t>(New </w:t>
      </w:r>
      <w:r>
        <w:rPr>
          <w:spacing w:val="-4"/>
          <w:w w:val="110"/>
        </w:rPr>
        <w:t>York, </w:t>
      </w:r>
      <w:r>
        <w:rPr>
          <w:w w:val="110"/>
        </w:rPr>
        <w:t>basic books, 2002), publicada originalmente en 1986, ofrecía “a los pobres una alternativa a la revolución: el ‘emprendedu- rismo’</w:t>
      </w:r>
      <w:r>
        <w:rPr>
          <w:spacing w:val="-6"/>
          <w:w w:val="110"/>
        </w:rPr>
        <w:t> </w:t>
      </w:r>
      <w:r>
        <w:rPr>
          <w:w w:val="110"/>
        </w:rPr>
        <w:t>[</w:t>
      </w:r>
      <w:r>
        <w:rPr>
          <w:i/>
          <w:w w:val="110"/>
        </w:rPr>
        <w:t>entrepreneurship</w:t>
      </w:r>
      <w:r>
        <w:rPr>
          <w:w w:val="110"/>
        </w:rPr>
        <w:t>]</w:t>
      </w:r>
      <w:r>
        <w:rPr>
          <w:w w:val="110"/>
          <w:position w:val="6"/>
          <w:sz w:val="11"/>
        </w:rPr>
        <w:t>10</w:t>
      </w:r>
      <w:r>
        <w:rPr>
          <w:w w:val="110"/>
        </w:rPr>
        <w:t>.</w:t>
      </w:r>
      <w:r>
        <w:rPr>
          <w:spacing w:val="-6"/>
          <w:w w:val="110"/>
        </w:rPr>
        <w:t> </w:t>
      </w:r>
      <w:r>
        <w:rPr>
          <w:w w:val="110"/>
        </w:rPr>
        <w:t>Esta</w:t>
      </w:r>
      <w:r>
        <w:rPr>
          <w:spacing w:val="-6"/>
          <w:w w:val="110"/>
        </w:rPr>
        <w:t> </w:t>
      </w:r>
      <w:r>
        <w:rPr>
          <w:w w:val="110"/>
        </w:rPr>
        <w:t>perspectiva,</w:t>
      </w:r>
      <w:r>
        <w:rPr>
          <w:spacing w:val="-6"/>
          <w:w w:val="110"/>
        </w:rPr>
        <w:t> </w:t>
      </w:r>
      <w:r>
        <w:rPr>
          <w:w w:val="110"/>
        </w:rPr>
        <w:t>que</w:t>
      </w:r>
      <w:r>
        <w:rPr>
          <w:spacing w:val="-6"/>
          <w:w w:val="110"/>
        </w:rPr>
        <w:t> </w:t>
      </w:r>
      <w:r>
        <w:rPr>
          <w:w w:val="110"/>
        </w:rPr>
        <w:t>también</w:t>
      </w:r>
      <w:r>
        <w:rPr>
          <w:spacing w:val="-6"/>
          <w:w w:val="110"/>
        </w:rPr>
        <w:t> </w:t>
      </w:r>
      <w:r>
        <w:rPr>
          <w:w w:val="110"/>
        </w:rPr>
        <w:t>identificaba la debilidad de las instituciones como la primera barrera para el creci- miento empresarial y destacaba la importancia del desarrollo de ins- tituciones como garantía de contratos, mercado financiero y sistema judicial, recibió una buena acogida en el CiPE, y pasó a ser difundida en las organizaciones multilaterales (islam, 2007:</w:t>
      </w:r>
      <w:r>
        <w:rPr>
          <w:spacing w:val="8"/>
          <w:w w:val="110"/>
        </w:rPr>
        <w:t> </w:t>
      </w:r>
      <w:r>
        <w:rPr>
          <w:w w:val="110"/>
        </w:rPr>
        <w:t>55-56).</w:t>
      </w:r>
    </w:p>
    <w:p>
      <w:pPr>
        <w:pStyle w:val="BodyText"/>
        <w:spacing w:line="252" w:lineRule="auto"/>
        <w:ind w:left="330" w:right="117" w:firstLine="396"/>
        <w:jc w:val="both"/>
      </w:pPr>
      <w:r>
        <w:rPr>
          <w:w w:val="115"/>
        </w:rPr>
        <w:t>En período reciente (a partir de 2009), el </w:t>
      </w:r>
      <w:r>
        <w:rPr>
          <w:w w:val="140"/>
        </w:rPr>
        <w:t>ild </w:t>
      </w:r>
      <w:r>
        <w:rPr>
          <w:w w:val="115"/>
        </w:rPr>
        <w:t>recibió apoyo del CiPE</w:t>
      </w:r>
      <w:r>
        <w:rPr>
          <w:spacing w:val="-8"/>
          <w:w w:val="115"/>
        </w:rPr>
        <w:t> </w:t>
      </w:r>
      <w:r>
        <w:rPr>
          <w:w w:val="115"/>
        </w:rPr>
        <w:t>para</w:t>
      </w:r>
      <w:r>
        <w:rPr>
          <w:spacing w:val="-8"/>
          <w:w w:val="115"/>
        </w:rPr>
        <w:t> </w:t>
      </w:r>
      <w:r>
        <w:rPr>
          <w:w w:val="115"/>
        </w:rPr>
        <w:t>actuar</w:t>
      </w:r>
      <w:r>
        <w:rPr>
          <w:spacing w:val="-8"/>
          <w:w w:val="115"/>
        </w:rPr>
        <w:t> </w:t>
      </w:r>
      <w:r>
        <w:rPr>
          <w:w w:val="115"/>
        </w:rPr>
        <w:t>junto</w:t>
      </w:r>
      <w:r>
        <w:rPr>
          <w:spacing w:val="-8"/>
          <w:w w:val="115"/>
        </w:rPr>
        <w:t> </w:t>
      </w:r>
      <w:r>
        <w:rPr>
          <w:w w:val="115"/>
        </w:rPr>
        <w:t>a</w:t>
      </w:r>
      <w:r>
        <w:rPr>
          <w:spacing w:val="-8"/>
          <w:w w:val="115"/>
        </w:rPr>
        <w:t> </w:t>
      </w:r>
      <w:r>
        <w:rPr>
          <w:w w:val="115"/>
        </w:rPr>
        <w:t>las</w:t>
      </w:r>
      <w:r>
        <w:rPr>
          <w:spacing w:val="-8"/>
          <w:w w:val="115"/>
        </w:rPr>
        <w:t> </w:t>
      </w:r>
      <w:r>
        <w:rPr>
          <w:w w:val="115"/>
        </w:rPr>
        <w:t>comunidades</w:t>
      </w:r>
      <w:r>
        <w:rPr>
          <w:spacing w:val="-8"/>
          <w:w w:val="115"/>
        </w:rPr>
        <w:t> </w:t>
      </w:r>
      <w:r>
        <w:rPr>
          <w:w w:val="115"/>
        </w:rPr>
        <w:t>indígenas</w:t>
      </w:r>
      <w:r>
        <w:rPr>
          <w:spacing w:val="-8"/>
          <w:w w:val="115"/>
        </w:rPr>
        <w:t> </w:t>
      </w:r>
      <w:r>
        <w:rPr>
          <w:w w:val="115"/>
        </w:rPr>
        <w:t>peruanas</w:t>
      </w:r>
      <w:r>
        <w:rPr>
          <w:spacing w:val="-8"/>
          <w:w w:val="115"/>
        </w:rPr>
        <w:t> </w:t>
      </w:r>
      <w:r>
        <w:rPr>
          <w:w w:val="115"/>
        </w:rPr>
        <w:t>movi- lizadas contra la acción del gobierno en sus regiones. Para el CiPE, “las</w:t>
      </w:r>
      <w:r>
        <w:rPr>
          <w:spacing w:val="-8"/>
          <w:w w:val="115"/>
        </w:rPr>
        <w:t> </w:t>
      </w:r>
      <w:r>
        <w:rPr>
          <w:w w:val="115"/>
        </w:rPr>
        <w:t>revueltas”</w:t>
      </w:r>
      <w:r>
        <w:rPr>
          <w:spacing w:val="-8"/>
          <w:w w:val="115"/>
        </w:rPr>
        <w:t> </w:t>
      </w:r>
      <w:r>
        <w:rPr>
          <w:w w:val="115"/>
        </w:rPr>
        <w:t>indígenas</w:t>
      </w:r>
      <w:r>
        <w:rPr>
          <w:spacing w:val="-8"/>
          <w:w w:val="115"/>
        </w:rPr>
        <w:t> </w:t>
      </w:r>
      <w:r>
        <w:rPr>
          <w:w w:val="115"/>
        </w:rPr>
        <w:t>“dificultan</w:t>
      </w:r>
      <w:r>
        <w:rPr>
          <w:spacing w:val="-8"/>
          <w:w w:val="115"/>
        </w:rPr>
        <w:t> </w:t>
      </w:r>
      <w:r>
        <w:rPr>
          <w:w w:val="115"/>
        </w:rPr>
        <w:t>el</w:t>
      </w:r>
      <w:r>
        <w:rPr>
          <w:spacing w:val="-8"/>
          <w:w w:val="115"/>
        </w:rPr>
        <w:t> </w:t>
      </w:r>
      <w:r>
        <w:rPr>
          <w:w w:val="115"/>
        </w:rPr>
        <w:t>crecimiento</w:t>
      </w:r>
      <w:r>
        <w:rPr>
          <w:spacing w:val="-8"/>
          <w:w w:val="115"/>
        </w:rPr>
        <w:t> </w:t>
      </w:r>
      <w:r>
        <w:rPr>
          <w:w w:val="115"/>
        </w:rPr>
        <w:t>de</w:t>
      </w:r>
      <w:r>
        <w:rPr>
          <w:spacing w:val="-8"/>
          <w:w w:val="115"/>
        </w:rPr>
        <w:t> </w:t>
      </w:r>
      <w:r>
        <w:rPr>
          <w:w w:val="115"/>
        </w:rPr>
        <w:t>los</w:t>
      </w:r>
      <w:r>
        <w:rPr>
          <w:spacing w:val="-8"/>
          <w:w w:val="115"/>
        </w:rPr>
        <w:t> </w:t>
      </w:r>
      <w:r>
        <w:rPr>
          <w:w w:val="115"/>
        </w:rPr>
        <w:t>excelentes índices económicos” del Perú y amenazan el Estado de derecho y la democracia. al mismo tiempo, reconoce que la población indígena necesita ser consultada en los procesos de decisión, de modo que</w:t>
      </w:r>
      <w:r>
        <w:rPr>
          <w:spacing w:val="-27"/>
          <w:w w:val="115"/>
        </w:rPr>
        <w:t> </w:t>
      </w:r>
      <w:r>
        <w:rPr>
          <w:w w:val="115"/>
        </w:rPr>
        <w:t>la propuesta del </w:t>
      </w:r>
      <w:r>
        <w:rPr>
          <w:w w:val="140"/>
        </w:rPr>
        <w:t>ild </w:t>
      </w:r>
      <w:r>
        <w:rPr>
          <w:w w:val="115"/>
        </w:rPr>
        <w:t>fue “promover la integración de las</w:t>
      </w:r>
      <w:r>
        <w:rPr>
          <w:spacing w:val="-10"/>
          <w:w w:val="115"/>
        </w:rPr>
        <w:t> </w:t>
      </w:r>
      <w:r>
        <w:rPr>
          <w:w w:val="115"/>
        </w:rPr>
        <w:t>comunidades indígenas</w:t>
      </w:r>
      <w:r>
        <w:rPr>
          <w:spacing w:val="-14"/>
          <w:w w:val="115"/>
        </w:rPr>
        <w:t> </w:t>
      </w:r>
      <w:r>
        <w:rPr>
          <w:w w:val="115"/>
        </w:rPr>
        <w:t>peruanas</w:t>
      </w:r>
      <w:r>
        <w:rPr>
          <w:spacing w:val="-14"/>
          <w:w w:val="115"/>
        </w:rPr>
        <w:t> </w:t>
      </w:r>
      <w:r>
        <w:rPr>
          <w:w w:val="115"/>
        </w:rPr>
        <w:t>en</w:t>
      </w:r>
      <w:r>
        <w:rPr>
          <w:spacing w:val="-14"/>
          <w:w w:val="115"/>
        </w:rPr>
        <w:t> </w:t>
      </w:r>
      <w:r>
        <w:rPr>
          <w:w w:val="115"/>
        </w:rPr>
        <w:t>el</w:t>
      </w:r>
      <w:r>
        <w:rPr>
          <w:spacing w:val="-14"/>
          <w:w w:val="115"/>
        </w:rPr>
        <w:t> </w:t>
      </w:r>
      <w:r>
        <w:rPr>
          <w:w w:val="115"/>
        </w:rPr>
        <w:t>sistema</w:t>
      </w:r>
      <w:r>
        <w:rPr>
          <w:spacing w:val="-14"/>
          <w:w w:val="115"/>
        </w:rPr>
        <w:t> </w:t>
      </w:r>
      <w:r>
        <w:rPr>
          <w:w w:val="115"/>
        </w:rPr>
        <w:t>democrático</w:t>
      </w:r>
      <w:r>
        <w:rPr>
          <w:spacing w:val="-14"/>
          <w:w w:val="115"/>
        </w:rPr>
        <w:t> </w:t>
      </w:r>
      <w:r>
        <w:rPr>
          <w:w w:val="115"/>
        </w:rPr>
        <w:t>y</w:t>
      </w:r>
      <w:r>
        <w:rPr>
          <w:spacing w:val="-14"/>
          <w:w w:val="115"/>
        </w:rPr>
        <w:t> </w:t>
      </w:r>
      <w:r>
        <w:rPr>
          <w:w w:val="115"/>
        </w:rPr>
        <w:t>la</w:t>
      </w:r>
      <w:r>
        <w:rPr>
          <w:spacing w:val="-14"/>
          <w:w w:val="115"/>
        </w:rPr>
        <w:t> </w:t>
      </w:r>
      <w:r>
        <w:rPr>
          <w:w w:val="115"/>
        </w:rPr>
        <w:t>economía</w:t>
      </w:r>
      <w:r>
        <w:rPr>
          <w:spacing w:val="-14"/>
          <w:w w:val="115"/>
        </w:rPr>
        <w:t> </w:t>
      </w:r>
      <w:r>
        <w:rPr>
          <w:w w:val="115"/>
        </w:rPr>
        <w:t>de</w:t>
      </w:r>
      <w:r>
        <w:rPr>
          <w:spacing w:val="-14"/>
          <w:w w:val="115"/>
        </w:rPr>
        <w:t> </w:t>
      </w:r>
      <w:r>
        <w:rPr>
          <w:spacing w:val="-4"/>
          <w:w w:val="115"/>
        </w:rPr>
        <w:t>mer- </w:t>
      </w:r>
      <w:r>
        <w:rPr>
          <w:w w:val="115"/>
        </w:rPr>
        <w:t>cado”</w:t>
      </w:r>
      <w:r>
        <w:rPr>
          <w:spacing w:val="-22"/>
          <w:w w:val="115"/>
        </w:rPr>
        <w:t> </w:t>
      </w:r>
      <w:r>
        <w:rPr>
          <w:w w:val="115"/>
        </w:rPr>
        <w:t>(CiPE,</w:t>
      </w:r>
      <w:r>
        <w:rPr>
          <w:spacing w:val="-22"/>
          <w:w w:val="115"/>
        </w:rPr>
        <w:t> </w:t>
      </w:r>
      <w:r>
        <w:rPr>
          <w:i/>
          <w:w w:val="115"/>
        </w:rPr>
        <w:t>Annual</w:t>
      </w:r>
      <w:r>
        <w:rPr>
          <w:i/>
          <w:spacing w:val="-22"/>
          <w:w w:val="115"/>
        </w:rPr>
        <w:t> </w:t>
      </w:r>
      <w:r>
        <w:rPr>
          <w:i/>
          <w:w w:val="115"/>
        </w:rPr>
        <w:t>Report</w:t>
      </w:r>
      <w:r>
        <w:rPr>
          <w:w w:val="115"/>
        </w:rPr>
        <w:t>,</w:t>
      </w:r>
      <w:r>
        <w:rPr>
          <w:spacing w:val="-22"/>
          <w:w w:val="115"/>
        </w:rPr>
        <w:t> </w:t>
      </w:r>
      <w:r>
        <w:rPr>
          <w:w w:val="115"/>
        </w:rPr>
        <w:t>2011:</w:t>
      </w:r>
      <w:r>
        <w:rPr>
          <w:spacing w:val="-22"/>
          <w:w w:val="115"/>
        </w:rPr>
        <w:t> </w:t>
      </w:r>
      <w:r>
        <w:rPr>
          <w:w w:val="115"/>
        </w:rPr>
        <w:t>27).</w:t>
      </w:r>
      <w:r>
        <w:rPr>
          <w:spacing w:val="-22"/>
          <w:w w:val="115"/>
        </w:rPr>
        <w:t> </w:t>
      </w:r>
      <w:r>
        <w:rPr>
          <w:w w:val="115"/>
        </w:rPr>
        <w:t>Para</w:t>
      </w:r>
      <w:r>
        <w:rPr>
          <w:spacing w:val="-22"/>
          <w:w w:val="115"/>
        </w:rPr>
        <w:t> </w:t>
      </w:r>
      <w:r>
        <w:rPr>
          <w:w w:val="115"/>
        </w:rPr>
        <w:t>su</w:t>
      </w:r>
      <w:r>
        <w:rPr>
          <w:spacing w:val="-22"/>
          <w:w w:val="115"/>
        </w:rPr>
        <w:t> </w:t>
      </w:r>
      <w:r>
        <w:rPr>
          <w:w w:val="115"/>
        </w:rPr>
        <w:t>actuación</w:t>
      </w:r>
      <w:r>
        <w:rPr>
          <w:spacing w:val="-22"/>
          <w:w w:val="115"/>
        </w:rPr>
        <w:t> </w:t>
      </w:r>
      <w:r>
        <w:rPr>
          <w:w w:val="115"/>
        </w:rPr>
        <w:t>política</w:t>
      </w:r>
      <w:r>
        <w:rPr>
          <w:spacing w:val="-22"/>
          <w:w w:val="115"/>
        </w:rPr>
        <w:t> </w:t>
      </w:r>
      <w:r>
        <w:rPr>
          <w:w w:val="115"/>
        </w:rPr>
        <w:t>en</w:t>
      </w:r>
      <w:r>
        <w:rPr>
          <w:spacing w:val="-22"/>
          <w:w w:val="115"/>
        </w:rPr>
        <w:t> </w:t>
      </w:r>
      <w:r>
        <w:rPr>
          <w:w w:val="115"/>
        </w:rPr>
        <w:t>el Perú</w:t>
      </w:r>
      <w:r>
        <w:rPr>
          <w:spacing w:val="-18"/>
          <w:w w:val="115"/>
        </w:rPr>
        <w:t> </w:t>
      </w:r>
      <w:r>
        <w:rPr>
          <w:w w:val="115"/>
        </w:rPr>
        <w:t>en</w:t>
      </w:r>
      <w:r>
        <w:rPr>
          <w:spacing w:val="-18"/>
          <w:w w:val="115"/>
        </w:rPr>
        <w:t> </w:t>
      </w:r>
      <w:r>
        <w:rPr>
          <w:w w:val="115"/>
        </w:rPr>
        <w:t>los</w:t>
      </w:r>
      <w:r>
        <w:rPr>
          <w:spacing w:val="-18"/>
          <w:w w:val="115"/>
        </w:rPr>
        <w:t> </w:t>
      </w:r>
      <w:r>
        <w:rPr>
          <w:w w:val="115"/>
        </w:rPr>
        <w:t>años</w:t>
      </w:r>
      <w:r>
        <w:rPr>
          <w:spacing w:val="-18"/>
          <w:w w:val="115"/>
        </w:rPr>
        <w:t> </w:t>
      </w:r>
      <w:r>
        <w:rPr>
          <w:w w:val="115"/>
        </w:rPr>
        <w:t>noventa,</w:t>
      </w:r>
      <w:r>
        <w:rPr>
          <w:spacing w:val="-18"/>
          <w:w w:val="115"/>
        </w:rPr>
        <w:t> </w:t>
      </w:r>
      <w:r>
        <w:rPr>
          <w:w w:val="115"/>
        </w:rPr>
        <w:t>el</w:t>
      </w:r>
      <w:r>
        <w:rPr>
          <w:spacing w:val="-18"/>
          <w:w w:val="115"/>
        </w:rPr>
        <w:t> </w:t>
      </w:r>
      <w:r>
        <w:rPr>
          <w:w w:val="115"/>
        </w:rPr>
        <w:t>CiPE</w:t>
      </w:r>
      <w:r>
        <w:rPr>
          <w:spacing w:val="-18"/>
          <w:w w:val="115"/>
        </w:rPr>
        <w:t> </w:t>
      </w:r>
      <w:r>
        <w:rPr>
          <w:w w:val="115"/>
        </w:rPr>
        <w:t>estableció</w:t>
      </w:r>
      <w:r>
        <w:rPr>
          <w:spacing w:val="-18"/>
          <w:w w:val="115"/>
        </w:rPr>
        <w:t> </w:t>
      </w:r>
      <w:r>
        <w:rPr>
          <w:w w:val="115"/>
        </w:rPr>
        <w:t>vínculos</w:t>
      </w:r>
      <w:r>
        <w:rPr>
          <w:spacing w:val="-18"/>
          <w:w w:val="115"/>
        </w:rPr>
        <w:t> </w:t>
      </w:r>
      <w:r>
        <w:rPr>
          <w:w w:val="115"/>
        </w:rPr>
        <w:t>con</w:t>
      </w:r>
      <w:r>
        <w:rPr>
          <w:spacing w:val="-18"/>
          <w:w w:val="115"/>
        </w:rPr>
        <w:t> </w:t>
      </w:r>
      <w:r>
        <w:rPr>
          <w:w w:val="115"/>
        </w:rPr>
        <w:t>otra</w:t>
      </w:r>
      <w:r>
        <w:rPr>
          <w:spacing w:val="-18"/>
          <w:w w:val="115"/>
        </w:rPr>
        <w:t> </w:t>
      </w:r>
      <w:r>
        <w:rPr>
          <w:w w:val="115"/>
        </w:rPr>
        <w:t>organi- zación</w:t>
      </w:r>
      <w:r>
        <w:rPr>
          <w:spacing w:val="-20"/>
          <w:w w:val="115"/>
        </w:rPr>
        <w:t> </w:t>
      </w:r>
      <w:r>
        <w:rPr>
          <w:w w:val="115"/>
        </w:rPr>
        <w:t>del</w:t>
      </w:r>
      <w:r>
        <w:rPr>
          <w:spacing w:val="-20"/>
          <w:w w:val="115"/>
        </w:rPr>
        <w:t> </w:t>
      </w:r>
      <w:r>
        <w:rPr>
          <w:w w:val="115"/>
        </w:rPr>
        <w:t>país:</w:t>
      </w:r>
      <w:r>
        <w:rPr>
          <w:spacing w:val="-20"/>
          <w:w w:val="115"/>
        </w:rPr>
        <w:t> </w:t>
      </w:r>
      <w:r>
        <w:rPr>
          <w:w w:val="115"/>
        </w:rPr>
        <w:t>el</w:t>
      </w:r>
      <w:r>
        <w:rPr>
          <w:spacing w:val="-20"/>
          <w:w w:val="115"/>
        </w:rPr>
        <w:t> </w:t>
      </w:r>
      <w:r>
        <w:rPr>
          <w:w w:val="115"/>
        </w:rPr>
        <w:t>instituto</w:t>
      </w:r>
      <w:r>
        <w:rPr>
          <w:spacing w:val="-20"/>
          <w:w w:val="115"/>
        </w:rPr>
        <w:t> </w:t>
      </w:r>
      <w:r>
        <w:rPr>
          <w:w w:val="115"/>
        </w:rPr>
        <w:t>apoyo</w:t>
      </w:r>
      <w:r>
        <w:rPr>
          <w:w w:val="115"/>
          <w:position w:val="6"/>
          <w:sz w:val="11"/>
        </w:rPr>
        <w:t>11</w:t>
      </w:r>
      <w:r>
        <w:rPr>
          <w:w w:val="115"/>
        </w:rPr>
        <w:t>.</w:t>
      </w:r>
      <w:r>
        <w:rPr>
          <w:spacing w:val="-20"/>
          <w:w w:val="115"/>
        </w:rPr>
        <w:t> </w:t>
      </w:r>
      <w:r>
        <w:rPr>
          <w:w w:val="115"/>
        </w:rPr>
        <w:t>organizado</w:t>
      </w:r>
      <w:r>
        <w:rPr>
          <w:spacing w:val="-20"/>
          <w:w w:val="115"/>
        </w:rPr>
        <w:t> </w:t>
      </w:r>
      <w:r>
        <w:rPr>
          <w:w w:val="115"/>
        </w:rPr>
        <w:t>en</w:t>
      </w:r>
      <w:r>
        <w:rPr>
          <w:spacing w:val="-20"/>
          <w:w w:val="115"/>
        </w:rPr>
        <w:t> </w:t>
      </w:r>
      <w:r>
        <w:rPr>
          <w:w w:val="115"/>
        </w:rPr>
        <w:t>1989</w:t>
      </w:r>
      <w:r>
        <w:rPr>
          <w:spacing w:val="-20"/>
          <w:w w:val="115"/>
        </w:rPr>
        <w:t> </w:t>
      </w:r>
      <w:r>
        <w:rPr>
          <w:w w:val="115"/>
        </w:rPr>
        <w:t>para</w:t>
      </w:r>
      <w:r>
        <w:rPr>
          <w:spacing w:val="-20"/>
          <w:w w:val="115"/>
        </w:rPr>
        <w:t> </w:t>
      </w:r>
      <w:r>
        <w:rPr>
          <w:w w:val="115"/>
        </w:rPr>
        <w:t>realizar una</w:t>
      </w:r>
      <w:r>
        <w:rPr>
          <w:spacing w:val="-32"/>
          <w:w w:val="115"/>
        </w:rPr>
        <w:t> </w:t>
      </w:r>
      <w:r>
        <w:rPr>
          <w:w w:val="115"/>
        </w:rPr>
        <w:t>investigación</w:t>
      </w:r>
      <w:r>
        <w:rPr>
          <w:spacing w:val="-32"/>
          <w:w w:val="115"/>
        </w:rPr>
        <w:t> </w:t>
      </w:r>
      <w:r>
        <w:rPr>
          <w:w w:val="115"/>
        </w:rPr>
        <w:t>en</w:t>
      </w:r>
      <w:r>
        <w:rPr>
          <w:spacing w:val="-32"/>
          <w:w w:val="115"/>
        </w:rPr>
        <w:t> </w:t>
      </w:r>
      <w:r>
        <w:rPr>
          <w:w w:val="115"/>
        </w:rPr>
        <w:t>política</w:t>
      </w:r>
      <w:r>
        <w:rPr>
          <w:spacing w:val="-32"/>
          <w:w w:val="115"/>
        </w:rPr>
        <w:t> </w:t>
      </w:r>
      <w:r>
        <w:rPr>
          <w:w w:val="115"/>
        </w:rPr>
        <w:t>económica,</w:t>
      </w:r>
      <w:r>
        <w:rPr>
          <w:spacing w:val="-32"/>
          <w:w w:val="115"/>
        </w:rPr>
        <w:t> </w:t>
      </w:r>
      <w:r>
        <w:rPr>
          <w:w w:val="115"/>
        </w:rPr>
        <w:t>este</w:t>
      </w:r>
      <w:r>
        <w:rPr>
          <w:spacing w:val="-32"/>
          <w:w w:val="115"/>
        </w:rPr>
        <w:t> </w:t>
      </w:r>
      <w:r>
        <w:rPr>
          <w:w w:val="115"/>
        </w:rPr>
        <w:t>instituto</w:t>
      </w:r>
      <w:r>
        <w:rPr>
          <w:spacing w:val="-32"/>
          <w:w w:val="115"/>
        </w:rPr>
        <w:t> </w:t>
      </w:r>
      <w:r>
        <w:rPr>
          <w:w w:val="115"/>
        </w:rPr>
        <w:t>estuvo</w:t>
      </w:r>
      <w:r>
        <w:rPr>
          <w:spacing w:val="-32"/>
          <w:w w:val="115"/>
        </w:rPr>
        <w:t> </w:t>
      </w:r>
      <w:r>
        <w:rPr>
          <w:w w:val="115"/>
        </w:rPr>
        <w:t>vincula- do a aPoYo, una entidad privada de consultoría empresarial creada en</w:t>
      </w:r>
      <w:r>
        <w:rPr>
          <w:spacing w:val="-25"/>
          <w:w w:val="115"/>
        </w:rPr>
        <w:t> </w:t>
      </w:r>
      <w:r>
        <w:rPr>
          <w:w w:val="115"/>
        </w:rPr>
        <w:t>1977,</w:t>
      </w:r>
      <w:r>
        <w:rPr>
          <w:spacing w:val="-25"/>
          <w:w w:val="115"/>
        </w:rPr>
        <w:t> </w:t>
      </w:r>
      <w:r>
        <w:rPr>
          <w:w w:val="115"/>
        </w:rPr>
        <w:t>durante</w:t>
      </w:r>
      <w:r>
        <w:rPr>
          <w:spacing w:val="-25"/>
          <w:w w:val="115"/>
        </w:rPr>
        <w:t> </w:t>
      </w:r>
      <w:r>
        <w:rPr>
          <w:w w:val="115"/>
        </w:rPr>
        <w:t>el</w:t>
      </w:r>
      <w:r>
        <w:rPr>
          <w:spacing w:val="-25"/>
          <w:w w:val="115"/>
        </w:rPr>
        <w:t> </w:t>
      </w:r>
      <w:r>
        <w:rPr>
          <w:w w:val="115"/>
        </w:rPr>
        <w:t>gobierno</w:t>
      </w:r>
      <w:r>
        <w:rPr>
          <w:spacing w:val="-25"/>
          <w:w w:val="115"/>
        </w:rPr>
        <w:t> </w:t>
      </w:r>
      <w:r>
        <w:rPr>
          <w:spacing w:val="-3"/>
          <w:w w:val="115"/>
        </w:rPr>
        <w:t>militar.</w:t>
      </w:r>
    </w:p>
    <w:p>
      <w:pPr>
        <w:pStyle w:val="BodyText"/>
        <w:spacing w:line="252" w:lineRule="auto"/>
        <w:ind w:left="330" w:right="118" w:firstLine="461"/>
        <w:jc w:val="both"/>
      </w:pPr>
      <w:r>
        <w:rPr>
          <w:w w:val="115"/>
        </w:rPr>
        <w:t>El instituto aPoYo pasó a realizar el servicio de asesoría legis- lativa,</w:t>
      </w:r>
      <w:r>
        <w:rPr>
          <w:spacing w:val="-16"/>
          <w:w w:val="115"/>
        </w:rPr>
        <w:t> </w:t>
      </w:r>
      <w:r>
        <w:rPr>
          <w:w w:val="115"/>
        </w:rPr>
        <w:t>justamente,</w:t>
      </w:r>
      <w:r>
        <w:rPr>
          <w:spacing w:val="-16"/>
          <w:w w:val="115"/>
        </w:rPr>
        <w:t> </w:t>
      </w:r>
      <w:r>
        <w:rPr>
          <w:w w:val="115"/>
        </w:rPr>
        <w:t>en</w:t>
      </w:r>
      <w:r>
        <w:rPr>
          <w:spacing w:val="-16"/>
          <w:w w:val="115"/>
        </w:rPr>
        <w:t> </w:t>
      </w:r>
      <w:r>
        <w:rPr>
          <w:w w:val="115"/>
        </w:rPr>
        <w:t>el</w:t>
      </w:r>
      <w:r>
        <w:rPr>
          <w:spacing w:val="-16"/>
          <w:w w:val="115"/>
        </w:rPr>
        <w:t> </w:t>
      </w:r>
      <w:r>
        <w:rPr>
          <w:w w:val="115"/>
        </w:rPr>
        <w:t>momento</w:t>
      </w:r>
      <w:r>
        <w:rPr>
          <w:spacing w:val="-16"/>
          <w:w w:val="115"/>
        </w:rPr>
        <w:t> </w:t>
      </w:r>
      <w:r>
        <w:rPr>
          <w:w w:val="115"/>
        </w:rPr>
        <w:t>en</w:t>
      </w:r>
      <w:r>
        <w:rPr>
          <w:spacing w:val="-16"/>
          <w:w w:val="115"/>
        </w:rPr>
        <w:t> </w:t>
      </w:r>
      <w:r>
        <w:rPr>
          <w:w w:val="115"/>
        </w:rPr>
        <w:t>que</w:t>
      </w:r>
      <w:r>
        <w:rPr>
          <w:spacing w:val="-16"/>
          <w:w w:val="115"/>
        </w:rPr>
        <w:t> </w:t>
      </w:r>
      <w:r>
        <w:rPr>
          <w:w w:val="115"/>
        </w:rPr>
        <w:t>el</w:t>
      </w:r>
      <w:r>
        <w:rPr>
          <w:spacing w:val="-16"/>
          <w:w w:val="115"/>
        </w:rPr>
        <w:t> </w:t>
      </w:r>
      <w:r>
        <w:rPr>
          <w:w w:val="115"/>
        </w:rPr>
        <w:t>gobierno</w:t>
      </w:r>
      <w:r>
        <w:rPr>
          <w:spacing w:val="-16"/>
          <w:w w:val="115"/>
        </w:rPr>
        <w:t> </w:t>
      </w:r>
      <w:r>
        <w:rPr>
          <w:w w:val="115"/>
        </w:rPr>
        <w:t>de</w:t>
      </w:r>
      <w:r>
        <w:rPr>
          <w:spacing w:val="-16"/>
          <w:w w:val="115"/>
        </w:rPr>
        <w:t> </w:t>
      </w:r>
      <w:r>
        <w:rPr>
          <w:w w:val="115"/>
        </w:rPr>
        <w:t>Fujimori</w:t>
      </w:r>
      <w:r>
        <w:rPr>
          <w:spacing w:val="-16"/>
          <w:w w:val="115"/>
        </w:rPr>
        <w:t> </w:t>
      </w:r>
      <w:r>
        <w:rPr>
          <w:w w:val="115"/>
        </w:rPr>
        <w:t>ini- ciaba su programa de estabilización financiera y reforma</w:t>
      </w:r>
      <w:r>
        <w:rPr>
          <w:spacing w:val="32"/>
          <w:w w:val="115"/>
        </w:rPr>
        <w:t> </w:t>
      </w:r>
      <w:r>
        <w:rPr>
          <w:w w:val="115"/>
        </w:rPr>
        <w:t>económi-</w:t>
      </w:r>
    </w:p>
    <w:p>
      <w:pPr>
        <w:pStyle w:val="BodyText"/>
        <w:spacing w:before="10"/>
        <w:rPr>
          <w:sz w:val="20"/>
        </w:rPr>
      </w:pPr>
      <w:r>
        <w:rPr/>
        <w:pict>
          <v:line style="position:absolute;mso-position-horizontal-relative:page;mso-position-vertical-relative:paragraph;z-index:5656;mso-wrap-distance-left:0;mso-wrap-distance-right:0" from="76.5355pt,14.423636pt" to="104.8815pt,14.423636pt" stroked="true" strokeweight=".5pt" strokecolor="#000000">
            <w10:wrap type="topAndBottom"/>
          </v:line>
        </w:pict>
      </w:r>
    </w:p>
    <w:p>
      <w:pPr>
        <w:pStyle w:val="ListParagraph"/>
        <w:numPr>
          <w:ilvl w:val="0"/>
          <w:numId w:val="28"/>
        </w:numPr>
        <w:tabs>
          <w:tab w:pos="586" w:val="left" w:leader="none"/>
        </w:tabs>
        <w:spacing w:line="242" w:lineRule="auto" w:before="89" w:after="0"/>
        <w:ind w:left="330" w:right="117" w:firstLine="0"/>
        <w:jc w:val="both"/>
        <w:rPr>
          <w:sz w:val="16"/>
        </w:rPr>
      </w:pPr>
      <w:r>
        <w:rPr>
          <w:w w:val="110"/>
          <w:sz w:val="16"/>
        </w:rPr>
        <w:t>según el CiPE, esta obra habría revolucionado la manera de pensar de los</w:t>
      </w:r>
      <w:r>
        <w:rPr>
          <w:spacing w:val="-19"/>
          <w:w w:val="110"/>
          <w:sz w:val="16"/>
        </w:rPr>
        <w:t> </w:t>
      </w:r>
      <w:r>
        <w:rPr>
          <w:w w:val="110"/>
          <w:sz w:val="16"/>
        </w:rPr>
        <w:t>acadé- micos,</w:t>
      </w:r>
      <w:r>
        <w:rPr>
          <w:spacing w:val="-16"/>
          <w:w w:val="110"/>
          <w:sz w:val="16"/>
        </w:rPr>
        <w:t> </w:t>
      </w:r>
      <w:r>
        <w:rPr>
          <w:w w:val="110"/>
          <w:sz w:val="16"/>
        </w:rPr>
        <w:t>especialistas</w:t>
      </w:r>
      <w:r>
        <w:rPr>
          <w:spacing w:val="-16"/>
          <w:w w:val="110"/>
          <w:sz w:val="16"/>
        </w:rPr>
        <w:t> </w:t>
      </w:r>
      <w:r>
        <w:rPr>
          <w:w w:val="110"/>
          <w:sz w:val="16"/>
        </w:rPr>
        <w:t>en</w:t>
      </w:r>
      <w:r>
        <w:rPr>
          <w:spacing w:val="-16"/>
          <w:w w:val="110"/>
          <w:sz w:val="16"/>
        </w:rPr>
        <w:t> </w:t>
      </w:r>
      <w:r>
        <w:rPr>
          <w:w w:val="110"/>
          <w:sz w:val="16"/>
        </w:rPr>
        <w:t>desarrollo</w:t>
      </w:r>
      <w:r>
        <w:rPr>
          <w:spacing w:val="-16"/>
          <w:w w:val="110"/>
          <w:sz w:val="16"/>
        </w:rPr>
        <w:t> </w:t>
      </w:r>
      <w:r>
        <w:rPr>
          <w:w w:val="110"/>
          <w:sz w:val="16"/>
        </w:rPr>
        <w:t>y</w:t>
      </w:r>
      <w:r>
        <w:rPr>
          <w:spacing w:val="-16"/>
          <w:w w:val="110"/>
          <w:sz w:val="16"/>
        </w:rPr>
        <w:t> </w:t>
      </w:r>
      <w:r>
        <w:rPr>
          <w:w w:val="110"/>
          <w:sz w:val="16"/>
        </w:rPr>
        <w:t>políticos</w:t>
      </w:r>
      <w:r>
        <w:rPr>
          <w:spacing w:val="-16"/>
          <w:w w:val="110"/>
          <w:sz w:val="16"/>
        </w:rPr>
        <w:t> </w:t>
      </w:r>
      <w:r>
        <w:rPr>
          <w:w w:val="110"/>
          <w:sz w:val="16"/>
        </w:rPr>
        <w:t>en</w:t>
      </w:r>
      <w:r>
        <w:rPr>
          <w:spacing w:val="-16"/>
          <w:w w:val="110"/>
          <w:sz w:val="16"/>
        </w:rPr>
        <w:t> </w:t>
      </w:r>
      <w:r>
        <w:rPr>
          <w:w w:val="110"/>
          <w:sz w:val="16"/>
        </w:rPr>
        <w:t>el</w:t>
      </w:r>
      <w:r>
        <w:rPr>
          <w:spacing w:val="-16"/>
          <w:w w:val="110"/>
          <w:sz w:val="16"/>
        </w:rPr>
        <w:t> </w:t>
      </w:r>
      <w:r>
        <w:rPr>
          <w:w w:val="110"/>
          <w:sz w:val="16"/>
        </w:rPr>
        <w:t>gobierno</w:t>
      </w:r>
      <w:r>
        <w:rPr>
          <w:spacing w:val="-16"/>
          <w:w w:val="110"/>
          <w:sz w:val="16"/>
        </w:rPr>
        <w:t> </w:t>
      </w:r>
      <w:r>
        <w:rPr>
          <w:w w:val="110"/>
          <w:sz w:val="16"/>
        </w:rPr>
        <w:t>sobre</w:t>
      </w:r>
      <w:r>
        <w:rPr>
          <w:spacing w:val="-16"/>
          <w:w w:val="110"/>
          <w:sz w:val="16"/>
        </w:rPr>
        <w:t> </w:t>
      </w:r>
      <w:r>
        <w:rPr>
          <w:w w:val="110"/>
          <w:sz w:val="16"/>
        </w:rPr>
        <w:t>el</w:t>
      </w:r>
      <w:r>
        <w:rPr>
          <w:spacing w:val="-16"/>
          <w:w w:val="110"/>
          <w:sz w:val="16"/>
        </w:rPr>
        <w:t> </w:t>
      </w:r>
      <w:r>
        <w:rPr>
          <w:w w:val="110"/>
          <w:sz w:val="16"/>
        </w:rPr>
        <w:t>papel</w:t>
      </w:r>
      <w:r>
        <w:rPr>
          <w:spacing w:val="-16"/>
          <w:w w:val="110"/>
          <w:sz w:val="16"/>
        </w:rPr>
        <w:t> </w:t>
      </w:r>
      <w:r>
        <w:rPr>
          <w:w w:val="110"/>
          <w:sz w:val="16"/>
        </w:rPr>
        <w:t>del</w:t>
      </w:r>
      <w:r>
        <w:rPr>
          <w:spacing w:val="-16"/>
          <w:w w:val="110"/>
          <w:sz w:val="16"/>
        </w:rPr>
        <w:t> </w:t>
      </w:r>
      <w:r>
        <w:rPr>
          <w:w w:val="110"/>
          <w:sz w:val="16"/>
        </w:rPr>
        <w:t>derecho a la propiedad (CiPE, </w:t>
      </w:r>
      <w:r>
        <w:rPr>
          <w:i/>
          <w:w w:val="110"/>
          <w:sz w:val="16"/>
        </w:rPr>
        <w:t>Annual Report</w:t>
      </w:r>
      <w:r>
        <w:rPr>
          <w:w w:val="110"/>
          <w:sz w:val="16"/>
        </w:rPr>
        <w:t>, 2003, cap. 1:</w:t>
      </w:r>
      <w:r>
        <w:rPr>
          <w:spacing w:val="24"/>
          <w:w w:val="110"/>
          <w:sz w:val="16"/>
        </w:rPr>
        <w:t> </w:t>
      </w:r>
      <w:r>
        <w:rPr>
          <w:w w:val="110"/>
          <w:sz w:val="16"/>
        </w:rPr>
        <w:t>2).</w:t>
      </w:r>
    </w:p>
    <w:p>
      <w:pPr>
        <w:pStyle w:val="ListParagraph"/>
        <w:numPr>
          <w:ilvl w:val="0"/>
          <w:numId w:val="28"/>
        </w:numPr>
        <w:tabs>
          <w:tab w:pos="586" w:val="left" w:leader="none"/>
        </w:tabs>
        <w:spacing w:line="242" w:lineRule="auto" w:before="57" w:after="0"/>
        <w:ind w:left="330" w:right="118" w:firstLine="0"/>
        <w:jc w:val="both"/>
        <w:rPr>
          <w:sz w:val="16"/>
        </w:rPr>
      </w:pPr>
      <w:r>
        <w:rPr>
          <w:w w:val="110"/>
          <w:sz w:val="16"/>
        </w:rPr>
        <w:t>según una encuesta realizada por el </w:t>
      </w:r>
      <w:r>
        <w:rPr>
          <w:i/>
          <w:w w:val="110"/>
          <w:sz w:val="16"/>
        </w:rPr>
        <w:t>Foreign Policy Research Institute </w:t>
      </w:r>
      <w:r>
        <w:rPr>
          <w:w w:val="110"/>
          <w:sz w:val="16"/>
        </w:rPr>
        <w:t>(FPri) de Filadelfia, en un universo de 5.080 </w:t>
      </w:r>
      <w:r>
        <w:rPr>
          <w:i/>
          <w:w w:val="110"/>
          <w:sz w:val="16"/>
        </w:rPr>
        <w:t>think tanks </w:t>
      </w:r>
      <w:r>
        <w:rPr>
          <w:w w:val="110"/>
          <w:sz w:val="16"/>
        </w:rPr>
        <w:t>y organizaciones de la sociedad civil, </w:t>
      </w:r>
      <w:r>
        <w:rPr>
          <w:w w:val="100"/>
          <w:sz w:val="16"/>
        </w:rPr>
        <w:t>408</w:t>
      </w:r>
      <w:r>
        <w:rPr>
          <w:spacing w:val="16"/>
          <w:sz w:val="16"/>
        </w:rPr>
        <w:t> </w:t>
      </w:r>
      <w:r>
        <w:rPr>
          <w:w w:val="106"/>
          <w:sz w:val="16"/>
        </w:rPr>
        <w:t>están</w:t>
      </w:r>
      <w:r>
        <w:rPr>
          <w:spacing w:val="16"/>
          <w:sz w:val="16"/>
        </w:rPr>
        <w:t> </w:t>
      </w:r>
      <w:r>
        <w:rPr>
          <w:w w:val="106"/>
          <w:sz w:val="16"/>
        </w:rPr>
        <w:t>en</w:t>
      </w:r>
      <w:r>
        <w:rPr>
          <w:spacing w:val="16"/>
          <w:sz w:val="16"/>
        </w:rPr>
        <w:t> </w:t>
      </w:r>
      <w:r>
        <w:rPr>
          <w:w w:val="136"/>
          <w:sz w:val="16"/>
        </w:rPr>
        <w:t>a</w:t>
      </w:r>
      <w:r>
        <w:rPr>
          <w:w w:val="108"/>
          <w:sz w:val="16"/>
        </w:rPr>
        <w:t>mérica</w:t>
      </w:r>
      <w:r>
        <w:rPr>
          <w:spacing w:val="16"/>
          <w:sz w:val="16"/>
        </w:rPr>
        <w:t> </w:t>
      </w:r>
      <w:r>
        <w:rPr>
          <w:w w:val="238"/>
          <w:sz w:val="16"/>
        </w:rPr>
        <w:t>l</w:t>
      </w:r>
      <w:r>
        <w:rPr>
          <w:w w:val="111"/>
          <w:sz w:val="16"/>
        </w:rPr>
        <w:t>atina,</w:t>
      </w:r>
      <w:r>
        <w:rPr>
          <w:spacing w:val="16"/>
          <w:sz w:val="16"/>
        </w:rPr>
        <w:t> </w:t>
      </w:r>
      <w:r>
        <w:rPr>
          <w:w w:val="104"/>
          <w:sz w:val="16"/>
        </w:rPr>
        <w:t>de</w:t>
      </w:r>
      <w:r>
        <w:rPr>
          <w:spacing w:val="16"/>
          <w:sz w:val="16"/>
        </w:rPr>
        <w:t> </w:t>
      </w:r>
      <w:r>
        <w:rPr>
          <w:w w:val="107"/>
          <w:sz w:val="16"/>
        </w:rPr>
        <w:t>las</w:t>
      </w:r>
      <w:r>
        <w:rPr>
          <w:spacing w:val="16"/>
          <w:sz w:val="16"/>
        </w:rPr>
        <w:t> </w:t>
      </w:r>
      <w:r>
        <w:rPr>
          <w:w w:val="108"/>
          <w:sz w:val="16"/>
        </w:rPr>
        <w:t>cuales</w:t>
      </w:r>
      <w:r>
        <w:rPr>
          <w:spacing w:val="16"/>
          <w:sz w:val="16"/>
        </w:rPr>
        <w:t> </w:t>
      </w:r>
      <w:r>
        <w:rPr>
          <w:w w:val="100"/>
          <w:sz w:val="16"/>
        </w:rPr>
        <w:t>21</w:t>
      </w:r>
      <w:r>
        <w:rPr>
          <w:spacing w:val="16"/>
          <w:sz w:val="16"/>
        </w:rPr>
        <w:t> </w:t>
      </w:r>
      <w:r>
        <w:rPr>
          <w:w w:val="106"/>
          <w:sz w:val="16"/>
        </w:rPr>
        <w:t>están</w:t>
      </w:r>
      <w:r>
        <w:rPr>
          <w:spacing w:val="16"/>
          <w:sz w:val="16"/>
        </w:rPr>
        <w:t> </w:t>
      </w:r>
      <w:r>
        <w:rPr>
          <w:w w:val="106"/>
          <w:sz w:val="16"/>
        </w:rPr>
        <w:t>en</w:t>
      </w:r>
      <w:r>
        <w:rPr>
          <w:spacing w:val="16"/>
          <w:sz w:val="16"/>
        </w:rPr>
        <w:t> </w:t>
      </w:r>
      <w:r>
        <w:rPr>
          <w:w w:val="104"/>
          <w:sz w:val="16"/>
        </w:rPr>
        <w:t>el</w:t>
      </w:r>
      <w:r>
        <w:rPr>
          <w:spacing w:val="16"/>
          <w:sz w:val="16"/>
        </w:rPr>
        <w:t> </w:t>
      </w:r>
      <w:r>
        <w:rPr>
          <w:w w:val="109"/>
          <w:sz w:val="16"/>
        </w:rPr>
        <w:t>Perú.</w:t>
      </w:r>
      <w:r>
        <w:rPr>
          <w:spacing w:val="16"/>
          <w:sz w:val="16"/>
        </w:rPr>
        <w:t> </w:t>
      </w:r>
      <w:r>
        <w:rPr>
          <w:w w:val="120"/>
          <w:sz w:val="16"/>
        </w:rPr>
        <w:t>El</w:t>
      </w:r>
      <w:r>
        <w:rPr>
          <w:spacing w:val="16"/>
          <w:sz w:val="16"/>
        </w:rPr>
        <w:t> </w:t>
      </w:r>
      <w:r>
        <w:rPr>
          <w:w w:val="140"/>
          <w:sz w:val="16"/>
        </w:rPr>
        <w:t>i</w:t>
      </w:r>
      <w:r>
        <w:rPr>
          <w:w w:val="107"/>
          <w:sz w:val="16"/>
        </w:rPr>
        <w:t>nstituto</w:t>
      </w:r>
      <w:r>
        <w:rPr>
          <w:spacing w:val="16"/>
          <w:sz w:val="16"/>
        </w:rPr>
        <w:t> </w:t>
      </w:r>
      <w:r>
        <w:rPr>
          <w:w w:val="136"/>
          <w:sz w:val="16"/>
        </w:rPr>
        <w:t>a</w:t>
      </w:r>
      <w:r>
        <w:rPr>
          <w:w w:val="110"/>
          <w:sz w:val="16"/>
        </w:rPr>
        <w:t>P</w:t>
      </w:r>
      <w:r>
        <w:rPr>
          <w:w w:val="146"/>
          <w:sz w:val="16"/>
        </w:rPr>
        <w:t>o</w:t>
      </w:r>
      <w:r>
        <w:rPr>
          <w:w w:val="123"/>
          <w:sz w:val="16"/>
        </w:rPr>
        <w:t>Y</w:t>
      </w:r>
      <w:r>
        <w:rPr>
          <w:w w:val="146"/>
          <w:sz w:val="16"/>
        </w:rPr>
        <w:t>o </w:t>
      </w:r>
      <w:r>
        <w:rPr>
          <w:w w:val="108"/>
          <w:sz w:val="16"/>
        </w:rPr>
        <w:t>fue</w:t>
      </w:r>
      <w:r>
        <w:rPr>
          <w:sz w:val="16"/>
        </w:rPr>
        <w:t> </w:t>
      </w:r>
      <w:r>
        <w:rPr>
          <w:spacing w:val="-17"/>
          <w:sz w:val="16"/>
        </w:rPr>
        <w:t> </w:t>
      </w:r>
      <w:r>
        <w:rPr>
          <w:w w:val="107"/>
          <w:sz w:val="16"/>
        </w:rPr>
        <w:t>considerado</w:t>
      </w:r>
      <w:r>
        <w:rPr>
          <w:sz w:val="16"/>
        </w:rPr>
        <w:t> </w:t>
      </w:r>
      <w:r>
        <w:rPr>
          <w:spacing w:val="-17"/>
          <w:sz w:val="16"/>
        </w:rPr>
        <w:t> </w:t>
      </w:r>
      <w:r>
        <w:rPr>
          <w:w w:val="110"/>
          <w:sz w:val="16"/>
        </w:rPr>
        <w:t>como</w:t>
      </w:r>
      <w:r>
        <w:rPr>
          <w:sz w:val="16"/>
        </w:rPr>
        <w:t> </w:t>
      </w:r>
      <w:r>
        <w:rPr>
          <w:spacing w:val="-17"/>
          <w:sz w:val="16"/>
        </w:rPr>
        <w:t> </w:t>
      </w:r>
      <w:r>
        <w:rPr>
          <w:w w:val="109"/>
          <w:sz w:val="16"/>
        </w:rPr>
        <w:t>uno</w:t>
      </w:r>
      <w:r>
        <w:rPr>
          <w:sz w:val="16"/>
        </w:rPr>
        <w:t> </w:t>
      </w:r>
      <w:r>
        <w:rPr>
          <w:spacing w:val="-17"/>
          <w:sz w:val="16"/>
        </w:rPr>
        <w:t> </w:t>
      </w:r>
      <w:r>
        <w:rPr>
          <w:w w:val="104"/>
          <w:sz w:val="16"/>
        </w:rPr>
        <w:t>de</w:t>
      </w:r>
      <w:r>
        <w:rPr>
          <w:sz w:val="16"/>
        </w:rPr>
        <w:t> </w:t>
      </w:r>
      <w:r>
        <w:rPr>
          <w:spacing w:val="-17"/>
          <w:sz w:val="16"/>
        </w:rPr>
        <w:t> </w:t>
      </w:r>
      <w:r>
        <w:rPr>
          <w:w w:val="106"/>
          <w:sz w:val="16"/>
        </w:rPr>
        <w:t>los</w:t>
      </w:r>
      <w:r>
        <w:rPr>
          <w:sz w:val="16"/>
        </w:rPr>
        <w:t> </w:t>
      </w:r>
      <w:r>
        <w:rPr>
          <w:spacing w:val="-17"/>
          <w:sz w:val="16"/>
        </w:rPr>
        <w:t> </w:t>
      </w:r>
      <w:r>
        <w:rPr>
          <w:w w:val="111"/>
          <w:sz w:val="16"/>
        </w:rPr>
        <w:t>cinco</w:t>
      </w:r>
      <w:r>
        <w:rPr>
          <w:sz w:val="16"/>
        </w:rPr>
        <w:t> </w:t>
      </w:r>
      <w:r>
        <w:rPr>
          <w:spacing w:val="-17"/>
          <w:sz w:val="16"/>
        </w:rPr>
        <w:t> </w:t>
      </w:r>
      <w:r>
        <w:rPr>
          <w:w w:val="106"/>
          <w:sz w:val="16"/>
        </w:rPr>
        <w:t>mejores</w:t>
      </w:r>
      <w:r>
        <w:rPr>
          <w:sz w:val="16"/>
        </w:rPr>
        <w:t> </w:t>
      </w:r>
      <w:r>
        <w:rPr>
          <w:spacing w:val="-17"/>
          <w:sz w:val="16"/>
        </w:rPr>
        <w:t> </w:t>
      </w:r>
      <w:r>
        <w:rPr>
          <w:i/>
          <w:w w:val="109"/>
          <w:sz w:val="16"/>
        </w:rPr>
        <w:t>think</w:t>
      </w:r>
      <w:r>
        <w:rPr>
          <w:i/>
          <w:sz w:val="16"/>
        </w:rPr>
        <w:t> </w:t>
      </w:r>
      <w:r>
        <w:rPr>
          <w:i/>
          <w:spacing w:val="-17"/>
          <w:sz w:val="16"/>
        </w:rPr>
        <w:t> </w:t>
      </w:r>
      <w:r>
        <w:rPr>
          <w:i/>
          <w:w w:val="107"/>
          <w:sz w:val="16"/>
        </w:rPr>
        <w:t>tanks</w:t>
      </w:r>
      <w:r>
        <w:rPr>
          <w:i/>
          <w:sz w:val="16"/>
        </w:rPr>
        <w:t> </w:t>
      </w:r>
      <w:r>
        <w:rPr>
          <w:i/>
          <w:spacing w:val="-17"/>
          <w:sz w:val="16"/>
        </w:rPr>
        <w:t> </w:t>
      </w:r>
      <w:r>
        <w:rPr>
          <w:w w:val="105"/>
          <w:sz w:val="16"/>
        </w:rPr>
        <w:t>del</w:t>
      </w:r>
      <w:r>
        <w:rPr>
          <w:sz w:val="16"/>
        </w:rPr>
        <w:t> </w:t>
      </w:r>
      <w:r>
        <w:rPr>
          <w:spacing w:val="-17"/>
          <w:sz w:val="16"/>
        </w:rPr>
        <w:t> </w:t>
      </w:r>
      <w:r>
        <w:rPr>
          <w:w w:val="108"/>
          <w:sz w:val="16"/>
        </w:rPr>
        <w:t>continente.</w:t>
      </w:r>
      <w:r>
        <w:rPr>
          <w:sz w:val="16"/>
        </w:rPr>
        <w:t> </w:t>
      </w:r>
      <w:r>
        <w:rPr>
          <w:spacing w:val="-17"/>
          <w:sz w:val="16"/>
        </w:rPr>
        <w:t> </w:t>
      </w:r>
      <w:r>
        <w:rPr>
          <w:w w:val="238"/>
          <w:sz w:val="16"/>
        </w:rPr>
        <w:t>l</w:t>
      </w:r>
      <w:r>
        <w:rPr>
          <w:w w:val="105"/>
          <w:sz w:val="16"/>
        </w:rPr>
        <w:t>os</w:t>
      </w:r>
      <w:r>
        <w:rPr>
          <w:sz w:val="16"/>
        </w:rPr>
        <w:t> </w:t>
      </w:r>
      <w:r>
        <w:rPr>
          <w:spacing w:val="-17"/>
          <w:sz w:val="16"/>
        </w:rPr>
        <w:t> </w:t>
      </w:r>
      <w:r>
        <w:rPr>
          <w:w w:val="104"/>
          <w:sz w:val="16"/>
        </w:rPr>
        <w:t>de</w:t>
      </w:r>
      <w:r>
        <w:rPr>
          <w:w w:val="100"/>
          <w:sz w:val="16"/>
        </w:rPr>
        <w:t>- </w:t>
      </w:r>
      <w:r>
        <w:rPr>
          <w:w w:val="110"/>
          <w:sz w:val="16"/>
        </w:rPr>
        <w:t>más son de argentina (dos), de brasil y de Chile (disponible en </w:t>
      </w:r>
      <w:hyperlink r:id="rId318">
        <w:r>
          <w:rPr>
            <w:w w:val="110"/>
            <w:sz w:val="16"/>
          </w:rPr>
          <w:t>&lt;www.apoyo.com&gt;</w:t>
        </w:r>
      </w:hyperlink>
      <w:r>
        <w:rPr>
          <w:w w:val="110"/>
          <w:sz w:val="16"/>
        </w:rPr>
        <w:t> según</w:t>
      </w:r>
      <w:r>
        <w:rPr>
          <w:spacing w:val="-11"/>
          <w:w w:val="110"/>
          <w:sz w:val="16"/>
        </w:rPr>
        <w:t> </w:t>
      </w:r>
      <w:r>
        <w:rPr>
          <w:w w:val="110"/>
          <w:sz w:val="16"/>
        </w:rPr>
        <w:t>entrada</w:t>
      </w:r>
      <w:r>
        <w:rPr>
          <w:spacing w:val="-11"/>
          <w:w w:val="110"/>
          <w:sz w:val="16"/>
        </w:rPr>
        <w:t> </w:t>
      </w:r>
      <w:r>
        <w:rPr>
          <w:w w:val="110"/>
          <w:sz w:val="16"/>
        </w:rPr>
        <w:t>hecha</w:t>
      </w:r>
      <w:r>
        <w:rPr>
          <w:spacing w:val="-11"/>
          <w:w w:val="110"/>
          <w:sz w:val="16"/>
        </w:rPr>
        <w:t> </w:t>
      </w:r>
      <w:r>
        <w:rPr>
          <w:w w:val="110"/>
          <w:sz w:val="16"/>
        </w:rPr>
        <w:t>el</w:t>
      </w:r>
      <w:r>
        <w:rPr>
          <w:spacing w:val="-11"/>
          <w:w w:val="110"/>
          <w:sz w:val="16"/>
        </w:rPr>
        <w:t> </w:t>
      </w:r>
      <w:r>
        <w:rPr>
          <w:w w:val="110"/>
          <w:sz w:val="16"/>
        </w:rPr>
        <w:t>4</w:t>
      </w:r>
      <w:r>
        <w:rPr>
          <w:spacing w:val="-11"/>
          <w:w w:val="110"/>
          <w:sz w:val="16"/>
        </w:rPr>
        <w:t> </w:t>
      </w:r>
      <w:r>
        <w:rPr>
          <w:w w:val="110"/>
          <w:sz w:val="16"/>
        </w:rPr>
        <w:t>de</w:t>
      </w:r>
      <w:r>
        <w:rPr>
          <w:spacing w:val="-11"/>
          <w:w w:val="110"/>
          <w:sz w:val="16"/>
        </w:rPr>
        <w:t> </w:t>
      </w:r>
      <w:r>
        <w:rPr>
          <w:w w:val="110"/>
          <w:sz w:val="16"/>
        </w:rPr>
        <w:t>septiembre</w:t>
      </w:r>
      <w:r>
        <w:rPr>
          <w:spacing w:val="-11"/>
          <w:w w:val="110"/>
          <w:sz w:val="16"/>
        </w:rPr>
        <w:t> </w:t>
      </w:r>
      <w:r>
        <w:rPr>
          <w:w w:val="110"/>
          <w:sz w:val="16"/>
        </w:rPr>
        <w:t>de</w:t>
      </w:r>
      <w:r>
        <w:rPr>
          <w:spacing w:val="-11"/>
          <w:w w:val="110"/>
          <w:sz w:val="16"/>
        </w:rPr>
        <w:t> </w:t>
      </w:r>
      <w:r>
        <w:rPr>
          <w:w w:val="110"/>
          <w:sz w:val="16"/>
        </w:rPr>
        <w:t>2008).</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before="73"/>
        <w:ind w:left="120"/>
        <w:jc w:val="both"/>
      </w:pPr>
      <w:r>
        <w:rPr>
          <w:w w:val="110"/>
        </w:rPr>
        <w:t>ca. así, entre julio de 1990 y fines de 1992, el CiPE financió con us$</w:t>
      </w:r>
    </w:p>
    <w:p>
      <w:pPr>
        <w:pStyle w:val="BodyText"/>
        <w:spacing w:line="252" w:lineRule="auto" w:before="11"/>
        <w:ind w:left="120" w:right="328"/>
        <w:jc w:val="both"/>
      </w:pPr>
      <w:r>
        <w:rPr>
          <w:w w:val="110"/>
        </w:rPr>
        <w:t>150.000 el programa dirigido al Congreso (</w:t>
      </w:r>
      <w:r>
        <w:rPr>
          <w:i/>
          <w:w w:val="110"/>
        </w:rPr>
        <w:t>Congressional Support</w:t>
      </w:r>
      <w:r>
        <w:rPr>
          <w:w w:val="110"/>
        </w:rPr>
        <w:t>) por </w:t>
      </w:r>
      <w:r>
        <w:rPr>
          <w:w w:val="115"/>
        </w:rPr>
        <w:t>el</w:t>
      </w:r>
      <w:r>
        <w:rPr>
          <w:spacing w:val="-21"/>
          <w:w w:val="115"/>
        </w:rPr>
        <w:t> </w:t>
      </w:r>
      <w:r>
        <w:rPr>
          <w:w w:val="115"/>
        </w:rPr>
        <w:t>instituto,</w:t>
      </w:r>
      <w:r>
        <w:rPr>
          <w:spacing w:val="-21"/>
          <w:w w:val="115"/>
        </w:rPr>
        <w:t> </w:t>
      </w:r>
      <w:r>
        <w:rPr>
          <w:w w:val="115"/>
        </w:rPr>
        <w:t>que</w:t>
      </w:r>
      <w:r>
        <w:rPr>
          <w:spacing w:val="-21"/>
          <w:w w:val="115"/>
        </w:rPr>
        <w:t> </w:t>
      </w:r>
      <w:r>
        <w:rPr>
          <w:w w:val="115"/>
        </w:rPr>
        <w:t>–por</w:t>
      </w:r>
      <w:r>
        <w:rPr>
          <w:spacing w:val="-21"/>
          <w:w w:val="115"/>
        </w:rPr>
        <w:t> </w:t>
      </w:r>
      <w:r>
        <w:rPr>
          <w:w w:val="115"/>
        </w:rPr>
        <w:t>su</w:t>
      </w:r>
      <w:r>
        <w:rPr>
          <w:spacing w:val="-21"/>
          <w:w w:val="115"/>
        </w:rPr>
        <w:t> </w:t>
      </w:r>
      <w:r>
        <w:rPr>
          <w:w w:val="115"/>
        </w:rPr>
        <w:t>parte–</w:t>
      </w:r>
      <w:r>
        <w:rPr>
          <w:spacing w:val="-21"/>
          <w:w w:val="115"/>
        </w:rPr>
        <w:t> </w:t>
      </w:r>
      <w:r>
        <w:rPr>
          <w:w w:val="115"/>
        </w:rPr>
        <w:t>aportó</w:t>
      </w:r>
      <w:r>
        <w:rPr>
          <w:spacing w:val="-21"/>
          <w:w w:val="115"/>
        </w:rPr>
        <w:t> </w:t>
      </w:r>
      <w:r>
        <w:rPr>
          <w:w w:val="115"/>
        </w:rPr>
        <w:t>us$</w:t>
      </w:r>
      <w:r>
        <w:rPr>
          <w:spacing w:val="-21"/>
          <w:w w:val="115"/>
        </w:rPr>
        <w:t> </w:t>
      </w:r>
      <w:r>
        <w:rPr>
          <w:w w:val="115"/>
        </w:rPr>
        <w:t>90.000.</w:t>
      </w:r>
      <w:r>
        <w:rPr>
          <w:spacing w:val="-21"/>
          <w:w w:val="115"/>
        </w:rPr>
        <w:t> </w:t>
      </w:r>
      <w:r>
        <w:rPr>
          <w:w w:val="115"/>
        </w:rPr>
        <w:t>según</w:t>
      </w:r>
      <w:r>
        <w:rPr>
          <w:spacing w:val="-21"/>
          <w:w w:val="115"/>
        </w:rPr>
        <w:t> </w:t>
      </w:r>
      <w:r>
        <w:rPr>
          <w:w w:val="115"/>
        </w:rPr>
        <w:t>el</w:t>
      </w:r>
      <w:r>
        <w:rPr>
          <w:spacing w:val="-21"/>
          <w:w w:val="115"/>
        </w:rPr>
        <w:t> </w:t>
      </w:r>
      <w:r>
        <w:rPr>
          <w:w w:val="115"/>
        </w:rPr>
        <w:t>análisis</w:t>
      </w:r>
      <w:r>
        <w:rPr>
          <w:spacing w:val="-21"/>
          <w:w w:val="115"/>
        </w:rPr>
        <w:t> </w:t>
      </w:r>
      <w:r>
        <w:rPr>
          <w:w w:val="115"/>
        </w:rPr>
        <w:t>de </w:t>
      </w:r>
      <w:r>
        <w:rPr>
          <w:w w:val="110"/>
        </w:rPr>
        <w:t>Mashek</w:t>
      </w:r>
      <w:r>
        <w:rPr>
          <w:spacing w:val="-6"/>
          <w:w w:val="110"/>
        </w:rPr>
        <w:t> </w:t>
      </w:r>
      <w:r>
        <w:rPr>
          <w:w w:val="110"/>
        </w:rPr>
        <w:t>(1993:</w:t>
      </w:r>
      <w:r>
        <w:rPr>
          <w:spacing w:val="-6"/>
          <w:w w:val="110"/>
        </w:rPr>
        <w:t> </w:t>
      </w:r>
      <w:r>
        <w:rPr>
          <w:w w:val="110"/>
        </w:rPr>
        <w:t>100),</w:t>
      </w:r>
      <w:r>
        <w:rPr>
          <w:spacing w:val="-6"/>
          <w:w w:val="110"/>
        </w:rPr>
        <w:t> </w:t>
      </w:r>
      <w:r>
        <w:rPr>
          <w:w w:val="110"/>
        </w:rPr>
        <w:t>el</w:t>
      </w:r>
      <w:r>
        <w:rPr>
          <w:spacing w:val="-6"/>
          <w:w w:val="110"/>
        </w:rPr>
        <w:t> </w:t>
      </w:r>
      <w:r>
        <w:rPr>
          <w:w w:val="110"/>
        </w:rPr>
        <w:t>servicio</w:t>
      </w:r>
      <w:r>
        <w:rPr>
          <w:spacing w:val="-6"/>
          <w:w w:val="110"/>
        </w:rPr>
        <w:t> </w:t>
      </w:r>
      <w:r>
        <w:rPr>
          <w:w w:val="110"/>
        </w:rPr>
        <w:t>de</w:t>
      </w:r>
      <w:r>
        <w:rPr>
          <w:spacing w:val="-6"/>
          <w:w w:val="110"/>
        </w:rPr>
        <w:t> </w:t>
      </w:r>
      <w:r>
        <w:rPr>
          <w:w w:val="110"/>
        </w:rPr>
        <w:t>informes</w:t>
      </w:r>
      <w:r>
        <w:rPr>
          <w:spacing w:val="-6"/>
          <w:w w:val="110"/>
        </w:rPr>
        <w:t> </w:t>
      </w:r>
      <w:r>
        <w:rPr>
          <w:w w:val="110"/>
        </w:rPr>
        <w:t>legislativos</w:t>
      </w:r>
      <w:r>
        <w:rPr>
          <w:spacing w:val="-6"/>
          <w:w w:val="110"/>
        </w:rPr>
        <w:t> </w:t>
      </w:r>
      <w:r>
        <w:rPr>
          <w:w w:val="110"/>
        </w:rPr>
        <w:t>mensuales</w:t>
      </w:r>
      <w:r>
        <w:rPr>
          <w:spacing w:val="-6"/>
          <w:w w:val="110"/>
        </w:rPr>
        <w:t> </w:t>
      </w:r>
      <w:r>
        <w:rPr>
          <w:w w:val="110"/>
        </w:rPr>
        <w:t>fue </w:t>
      </w:r>
      <w:r>
        <w:rPr>
          <w:w w:val="115"/>
        </w:rPr>
        <w:t>recibido</w:t>
      </w:r>
      <w:r>
        <w:rPr>
          <w:spacing w:val="-20"/>
          <w:w w:val="115"/>
        </w:rPr>
        <w:t> </w:t>
      </w:r>
      <w:r>
        <w:rPr>
          <w:w w:val="115"/>
        </w:rPr>
        <w:t>con</w:t>
      </w:r>
      <w:r>
        <w:rPr>
          <w:spacing w:val="-20"/>
          <w:w w:val="115"/>
        </w:rPr>
        <w:t> </w:t>
      </w:r>
      <w:r>
        <w:rPr>
          <w:w w:val="115"/>
        </w:rPr>
        <w:t>gran</w:t>
      </w:r>
      <w:r>
        <w:rPr>
          <w:spacing w:val="-20"/>
          <w:w w:val="115"/>
        </w:rPr>
        <w:t> </w:t>
      </w:r>
      <w:r>
        <w:rPr>
          <w:w w:val="115"/>
        </w:rPr>
        <w:t>entusiasmo</w:t>
      </w:r>
      <w:r>
        <w:rPr>
          <w:spacing w:val="-20"/>
          <w:w w:val="115"/>
        </w:rPr>
        <w:t> </w:t>
      </w:r>
      <w:r>
        <w:rPr>
          <w:w w:val="115"/>
        </w:rPr>
        <w:t>por</w:t>
      </w:r>
      <w:r>
        <w:rPr>
          <w:spacing w:val="-20"/>
          <w:w w:val="115"/>
        </w:rPr>
        <w:t> </w:t>
      </w:r>
      <w:r>
        <w:rPr>
          <w:w w:val="115"/>
        </w:rPr>
        <w:t>el</w:t>
      </w:r>
      <w:r>
        <w:rPr>
          <w:spacing w:val="-20"/>
          <w:w w:val="115"/>
        </w:rPr>
        <w:t> </w:t>
      </w:r>
      <w:r>
        <w:rPr>
          <w:w w:val="115"/>
        </w:rPr>
        <w:t>Congreso,</w:t>
      </w:r>
      <w:r>
        <w:rPr>
          <w:spacing w:val="-20"/>
          <w:w w:val="115"/>
        </w:rPr>
        <w:t> </w:t>
      </w:r>
      <w:r>
        <w:rPr>
          <w:w w:val="115"/>
        </w:rPr>
        <w:t>incluidos</w:t>
      </w:r>
      <w:r>
        <w:rPr>
          <w:spacing w:val="-20"/>
          <w:w w:val="115"/>
        </w:rPr>
        <w:t> </w:t>
      </w:r>
      <w:r>
        <w:rPr>
          <w:w w:val="115"/>
        </w:rPr>
        <w:t>algunos</w:t>
      </w:r>
      <w:r>
        <w:rPr>
          <w:spacing w:val="-20"/>
          <w:w w:val="115"/>
        </w:rPr>
        <w:t> </w:t>
      </w:r>
      <w:r>
        <w:rPr>
          <w:spacing w:val="-4"/>
          <w:w w:val="115"/>
        </w:rPr>
        <w:t>par- </w:t>
      </w:r>
      <w:r>
        <w:rPr>
          <w:w w:val="115"/>
        </w:rPr>
        <w:t>lamentarios de la “izquierda moderada”. El servicio se interrumpió cuando</w:t>
      </w:r>
      <w:r>
        <w:rPr>
          <w:spacing w:val="-25"/>
          <w:w w:val="115"/>
        </w:rPr>
        <w:t> </w:t>
      </w:r>
      <w:r>
        <w:rPr>
          <w:w w:val="115"/>
        </w:rPr>
        <w:t>el</w:t>
      </w:r>
      <w:r>
        <w:rPr>
          <w:spacing w:val="-25"/>
          <w:w w:val="115"/>
        </w:rPr>
        <w:t> </w:t>
      </w:r>
      <w:r>
        <w:rPr>
          <w:w w:val="115"/>
        </w:rPr>
        <w:t>Congreso</w:t>
      </w:r>
      <w:r>
        <w:rPr>
          <w:spacing w:val="-25"/>
          <w:w w:val="115"/>
        </w:rPr>
        <w:t> </w:t>
      </w:r>
      <w:r>
        <w:rPr>
          <w:w w:val="115"/>
        </w:rPr>
        <w:t>fue</w:t>
      </w:r>
      <w:r>
        <w:rPr>
          <w:spacing w:val="-25"/>
          <w:w w:val="115"/>
        </w:rPr>
        <w:t> </w:t>
      </w:r>
      <w:r>
        <w:rPr>
          <w:w w:val="115"/>
        </w:rPr>
        <w:t>cerrado</w:t>
      </w:r>
      <w:r>
        <w:rPr>
          <w:spacing w:val="-25"/>
          <w:w w:val="115"/>
        </w:rPr>
        <w:t> </w:t>
      </w:r>
      <w:r>
        <w:rPr>
          <w:w w:val="115"/>
        </w:rPr>
        <w:t>en</w:t>
      </w:r>
      <w:r>
        <w:rPr>
          <w:spacing w:val="-25"/>
          <w:w w:val="115"/>
        </w:rPr>
        <w:t> </w:t>
      </w:r>
      <w:r>
        <w:rPr>
          <w:w w:val="115"/>
        </w:rPr>
        <w:t>abril</w:t>
      </w:r>
      <w:r>
        <w:rPr>
          <w:spacing w:val="-25"/>
          <w:w w:val="115"/>
        </w:rPr>
        <w:t> </w:t>
      </w:r>
      <w:r>
        <w:rPr>
          <w:w w:val="115"/>
        </w:rPr>
        <w:t>de</w:t>
      </w:r>
      <w:r>
        <w:rPr>
          <w:spacing w:val="-25"/>
          <w:w w:val="115"/>
        </w:rPr>
        <w:t> </w:t>
      </w:r>
      <w:r>
        <w:rPr>
          <w:w w:val="115"/>
        </w:rPr>
        <w:t>1992.</w:t>
      </w:r>
      <w:r>
        <w:rPr>
          <w:spacing w:val="-25"/>
          <w:w w:val="115"/>
        </w:rPr>
        <w:t> </w:t>
      </w:r>
      <w:r>
        <w:rPr>
          <w:w w:val="115"/>
        </w:rPr>
        <w:t>Pero</w:t>
      </w:r>
      <w:r>
        <w:rPr>
          <w:spacing w:val="-25"/>
          <w:w w:val="115"/>
        </w:rPr>
        <w:t> </w:t>
      </w:r>
      <w:r>
        <w:rPr>
          <w:w w:val="115"/>
        </w:rPr>
        <w:t>la</w:t>
      </w:r>
      <w:r>
        <w:rPr>
          <w:spacing w:val="-25"/>
          <w:w w:val="115"/>
        </w:rPr>
        <w:t> </w:t>
      </w:r>
      <w:r>
        <w:rPr>
          <w:w w:val="115"/>
        </w:rPr>
        <w:t>formación</w:t>
      </w:r>
      <w:r>
        <w:rPr>
          <w:spacing w:val="-25"/>
          <w:w w:val="115"/>
        </w:rPr>
        <w:t> </w:t>
      </w:r>
      <w:r>
        <w:rPr>
          <w:w w:val="115"/>
        </w:rPr>
        <w:t>de la</w:t>
      </w:r>
      <w:r>
        <w:rPr>
          <w:spacing w:val="-5"/>
          <w:w w:val="115"/>
        </w:rPr>
        <w:t> </w:t>
      </w:r>
      <w:r>
        <w:rPr>
          <w:w w:val="115"/>
        </w:rPr>
        <w:t>asamblea</w:t>
      </w:r>
      <w:r>
        <w:rPr>
          <w:spacing w:val="-5"/>
          <w:w w:val="115"/>
        </w:rPr>
        <w:t> </w:t>
      </w:r>
      <w:r>
        <w:rPr>
          <w:w w:val="115"/>
        </w:rPr>
        <w:t>Constituyente</w:t>
      </w:r>
      <w:r>
        <w:rPr>
          <w:spacing w:val="-5"/>
          <w:w w:val="115"/>
        </w:rPr>
        <w:t> </w:t>
      </w:r>
      <w:r>
        <w:rPr>
          <w:w w:val="115"/>
        </w:rPr>
        <w:t>movilizó</w:t>
      </w:r>
      <w:r>
        <w:rPr>
          <w:spacing w:val="-5"/>
          <w:w w:val="115"/>
        </w:rPr>
        <w:t> </w:t>
      </w:r>
      <w:r>
        <w:rPr>
          <w:w w:val="115"/>
        </w:rPr>
        <w:t>al</w:t>
      </w:r>
      <w:r>
        <w:rPr>
          <w:spacing w:val="-5"/>
          <w:w w:val="115"/>
        </w:rPr>
        <w:t> </w:t>
      </w:r>
      <w:r>
        <w:rPr>
          <w:w w:val="115"/>
        </w:rPr>
        <w:t>CiPE</w:t>
      </w:r>
      <w:r>
        <w:rPr>
          <w:spacing w:val="-5"/>
          <w:w w:val="115"/>
        </w:rPr>
        <w:t> </w:t>
      </w:r>
      <w:r>
        <w:rPr>
          <w:w w:val="115"/>
        </w:rPr>
        <w:t>y</w:t>
      </w:r>
      <w:r>
        <w:rPr>
          <w:spacing w:val="-5"/>
          <w:w w:val="115"/>
        </w:rPr>
        <w:t> </w:t>
      </w:r>
      <w:r>
        <w:rPr>
          <w:w w:val="115"/>
        </w:rPr>
        <w:t>a</w:t>
      </w:r>
      <w:r>
        <w:rPr>
          <w:spacing w:val="-5"/>
          <w:w w:val="115"/>
        </w:rPr>
        <w:t> </w:t>
      </w:r>
      <w:r>
        <w:rPr>
          <w:w w:val="115"/>
        </w:rPr>
        <w:t>aPoYo</w:t>
      </w:r>
      <w:r>
        <w:rPr>
          <w:spacing w:val="-5"/>
          <w:w w:val="115"/>
        </w:rPr>
        <w:t> </w:t>
      </w:r>
      <w:r>
        <w:rPr>
          <w:w w:val="115"/>
        </w:rPr>
        <w:t>para</w:t>
      </w:r>
      <w:r>
        <w:rPr>
          <w:spacing w:val="-5"/>
          <w:w w:val="115"/>
        </w:rPr>
        <w:t> </w:t>
      </w:r>
      <w:r>
        <w:rPr>
          <w:w w:val="115"/>
        </w:rPr>
        <w:t>revisar</w:t>
      </w:r>
      <w:r>
        <w:rPr>
          <w:spacing w:val="-5"/>
          <w:w w:val="115"/>
        </w:rPr>
        <w:t> </w:t>
      </w:r>
      <w:r>
        <w:rPr>
          <w:w w:val="115"/>
        </w:rPr>
        <w:t>y </w:t>
      </w:r>
      <w:r>
        <w:rPr>
          <w:w w:val="110"/>
        </w:rPr>
        <w:t>presentar propuestas sobre temas</w:t>
      </w:r>
      <w:r>
        <w:rPr>
          <w:spacing w:val="-5"/>
          <w:w w:val="110"/>
        </w:rPr>
        <w:t> </w:t>
      </w:r>
      <w:r>
        <w:rPr>
          <w:w w:val="110"/>
        </w:rPr>
        <w:t>económicos</w:t>
      </w:r>
      <w:r>
        <w:rPr>
          <w:w w:val="110"/>
          <w:position w:val="6"/>
          <w:sz w:val="11"/>
        </w:rPr>
        <w:t>12</w:t>
      </w:r>
      <w:r>
        <w:rPr>
          <w:w w:val="110"/>
        </w:rPr>
        <w:t>.</w:t>
      </w:r>
    </w:p>
    <w:p>
      <w:pPr>
        <w:pStyle w:val="BodyText"/>
        <w:spacing w:line="252" w:lineRule="auto"/>
        <w:ind w:left="120" w:right="327" w:firstLine="396"/>
        <w:jc w:val="both"/>
      </w:pPr>
      <w:r>
        <w:rPr>
          <w:w w:val="110"/>
        </w:rPr>
        <w:t>En 2005, el instituto –en asociación con el CiPE– realizó una serie de discusiones que servirían de base para la definición de una agenda Empresarial Nacional para el Perú, y que representa todo un progra- ma de gobierno enfocado en las elecciones presidenciales de 2006. En el período de 2005 a 2007, el CiPE apoyó iniciativas para el desarrollo de la gobernanza corporativa, que serán analizadas más adelante. En 2011-2013, el CiPE mantenía cooperación con el instituto </w:t>
      </w:r>
      <w:r>
        <w:rPr>
          <w:spacing w:val="-3"/>
          <w:w w:val="110"/>
        </w:rPr>
        <w:t>invertir, </w:t>
      </w:r>
      <w:r>
        <w:rPr>
          <w:w w:val="110"/>
        </w:rPr>
        <w:t>de- sarrollando el programa </w:t>
      </w:r>
      <w:r>
        <w:rPr>
          <w:i/>
          <w:w w:val="110"/>
        </w:rPr>
        <w:t>Emprende Ahora</w:t>
      </w:r>
      <w:r>
        <w:rPr>
          <w:w w:val="110"/>
        </w:rPr>
        <w:t>, creado para la difusión de los valores de la democracia y del emprendedurismo entre los</w:t>
      </w:r>
      <w:r>
        <w:rPr>
          <w:spacing w:val="-14"/>
          <w:w w:val="110"/>
        </w:rPr>
        <w:t> </w:t>
      </w:r>
      <w:r>
        <w:rPr>
          <w:w w:val="110"/>
        </w:rPr>
        <w:t>jóvenes (CiPE, </w:t>
      </w:r>
      <w:r>
        <w:rPr>
          <w:i/>
          <w:w w:val="110"/>
        </w:rPr>
        <w:t>Annual Report</w:t>
      </w:r>
      <w:r>
        <w:rPr>
          <w:w w:val="110"/>
        </w:rPr>
        <w:t>, 2011 y </w:t>
      </w:r>
      <w:r>
        <w:rPr>
          <w:spacing w:val="7"/>
          <w:w w:val="110"/>
        </w:rPr>
        <w:t> </w:t>
      </w:r>
      <w:r>
        <w:rPr>
          <w:w w:val="110"/>
        </w:rPr>
        <w:t>2013).</w:t>
      </w:r>
    </w:p>
    <w:p>
      <w:pPr>
        <w:pStyle w:val="BodyText"/>
        <w:spacing w:before="5"/>
      </w:pPr>
    </w:p>
    <w:p>
      <w:pPr>
        <w:pStyle w:val="Heading6"/>
        <w:spacing w:line="244" w:lineRule="auto"/>
        <w:ind w:left="121" w:right="321" w:hanging="1"/>
        <w:jc w:val="left"/>
      </w:pPr>
      <w:r>
        <w:rPr>
          <w:w w:val="130"/>
        </w:rPr>
        <w:t>orGanizaciones</w:t>
      </w:r>
      <w:r>
        <w:rPr>
          <w:spacing w:val="-18"/>
          <w:w w:val="130"/>
        </w:rPr>
        <w:t> </w:t>
      </w:r>
      <w:r>
        <w:rPr>
          <w:w w:val="130"/>
        </w:rPr>
        <w:t>arGentinas</w:t>
      </w:r>
      <w:r>
        <w:rPr>
          <w:spacing w:val="-18"/>
          <w:w w:val="130"/>
        </w:rPr>
        <w:t> </w:t>
      </w:r>
      <w:r>
        <w:rPr>
          <w:w w:val="130"/>
        </w:rPr>
        <w:t>que</w:t>
      </w:r>
      <w:r>
        <w:rPr>
          <w:spacing w:val="-18"/>
          <w:w w:val="130"/>
        </w:rPr>
        <w:t> </w:t>
      </w:r>
      <w:r>
        <w:rPr>
          <w:w w:val="130"/>
        </w:rPr>
        <w:t>reciBen</w:t>
      </w:r>
      <w:r>
        <w:rPr>
          <w:spacing w:val="-18"/>
          <w:w w:val="130"/>
        </w:rPr>
        <w:t> </w:t>
      </w:r>
      <w:r>
        <w:rPr>
          <w:w w:val="130"/>
        </w:rPr>
        <w:t>aPoyo</w:t>
      </w:r>
      <w:r>
        <w:rPr>
          <w:spacing w:val="-18"/>
          <w:w w:val="130"/>
        </w:rPr>
        <w:t> </w:t>
      </w:r>
      <w:r>
        <w:rPr>
          <w:w w:val="130"/>
        </w:rPr>
        <w:t>del</w:t>
      </w:r>
      <w:r>
        <w:rPr>
          <w:spacing w:val="-18"/>
          <w:w w:val="130"/>
        </w:rPr>
        <w:t> </w:t>
      </w:r>
      <w:r>
        <w:rPr>
          <w:w w:val="130"/>
        </w:rPr>
        <w:t>ciPe: </w:t>
      </w:r>
      <w:r>
        <w:rPr>
          <w:spacing w:val="2"/>
          <w:w w:val="130"/>
        </w:rPr>
        <w:t>ieral, </w:t>
      </w:r>
      <w:r>
        <w:rPr>
          <w:w w:val="130"/>
        </w:rPr>
        <w:t>ciPPec y</w:t>
      </w:r>
      <w:r>
        <w:rPr>
          <w:spacing w:val="-17"/>
          <w:w w:val="130"/>
        </w:rPr>
        <w:t> </w:t>
      </w:r>
      <w:r>
        <w:rPr>
          <w:w w:val="130"/>
        </w:rPr>
        <w:t>cef</w:t>
      </w:r>
    </w:p>
    <w:p>
      <w:pPr>
        <w:pStyle w:val="BodyText"/>
        <w:spacing w:line="252" w:lineRule="auto" w:before="5"/>
        <w:ind w:left="120" w:right="328"/>
        <w:jc w:val="both"/>
      </w:pPr>
      <w:r>
        <w:rPr>
          <w:w w:val="122"/>
        </w:rPr>
        <w:t>El</w:t>
      </w:r>
      <w:r>
        <w:rPr/>
        <w:t> </w:t>
      </w:r>
      <w:r>
        <w:rPr>
          <w:spacing w:val="-14"/>
        </w:rPr>
        <w:t> </w:t>
      </w:r>
      <w:r>
        <w:rPr>
          <w:w w:val="142"/>
        </w:rPr>
        <w:t>i</w:t>
      </w:r>
      <w:r>
        <w:rPr>
          <w:w w:val="109"/>
        </w:rPr>
        <w:t>nstituto</w:t>
      </w:r>
      <w:r>
        <w:rPr/>
        <w:t> </w:t>
      </w:r>
      <w:r>
        <w:rPr>
          <w:spacing w:val="-14"/>
        </w:rPr>
        <w:t> </w:t>
      </w:r>
      <w:r>
        <w:rPr>
          <w:w w:val="107"/>
        </w:rPr>
        <w:t>de</w:t>
      </w:r>
      <w:r>
        <w:rPr/>
        <w:t> </w:t>
      </w:r>
      <w:r>
        <w:rPr>
          <w:spacing w:val="-14"/>
        </w:rPr>
        <w:t> </w:t>
      </w:r>
      <w:r>
        <w:rPr>
          <w:w w:val="112"/>
        </w:rPr>
        <w:t>Estudios</w:t>
      </w:r>
      <w:r>
        <w:rPr/>
        <w:t> </w:t>
      </w:r>
      <w:r>
        <w:rPr>
          <w:spacing w:val="-14"/>
        </w:rPr>
        <w:t> </w:t>
      </w:r>
      <w:r>
        <w:rPr>
          <w:w w:val="113"/>
        </w:rPr>
        <w:t>Económicos</w:t>
      </w:r>
      <w:r>
        <w:rPr/>
        <w:t> </w:t>
      </w:r>
      <w:r>
        <w:rPr>
          <w:spacing w:val="-14"/>
        </w:rPr>
        <w:t> </w:t>
      </w:r>
      <w:r>
        <w:rPr>
          <w:w w:val="107"/>
        </w:rPr>
        <w:t>de</w:t>
      </w:r>
      <w:r>
        <w:rPr/>
        <w:t> </w:t>
      </w:r>
      <w:r>
        <w:rPr>
          <w:spacing w:val="-14"/>
        </w:rPr>
        <w:t> </w:t>
      </w:r>
      <w:r>
        <w:rPr>
          <w:w w:val="111"/>
        </w:rPr>
        <w:t>la</w:t>
      </w:r>
      <w:r>
        <w:rPr/>
        <w:t> </w:t>
      </w:r>
      <w:r>
        <w:rPr>
          <w:spacing w:val="-14"/>
        </w:rPr>
        <w:t> </w:t>
      </w:r>
      <w:r>
        <w:rPr>
          <w:w w:val="182"/>
        </w:rPr>
        <w:t>r</w:t>
      </w:r>
      <w:r>
        <w:rPr>
          <w:w w:val="110"/>
        </w:rPr>
        <w:t>ealidad</w:t>
      </w:r>
      <w:r>
        <w:rPr/>
        <w:t> </w:t>
      </w:r>
      <w:r>
        <w:rPr>
          <w:spacing w:val="-14"/>
        </w:rPr>
        <w:t> </w:t>
      </w:r>
      <w:r>
        <w:rPr>
          <w:w w:val="139"/>
        </w:rPr>
        <w:t>a</w:t>
      </w:r>
      <w:r>
        <w:rPr>
          <w:w w:val="109"/>
        </w:rPr>
        <w:t>rgentina</w:t>
      </w:r>
      <w:r>
        <w:rPr/>
        <w:t> </w:t>
      </w:r>
      <w:r>
        <w:rPr>
          <w:spacing w:val="-14"/>
        </w:rPr>
        <w:t> </w:t>
      </w:r>
      <w:r>
        <w:rPr>
          <w:w w:val="105"/>
        </w:rPr>
        <w:t>y</w:t>
      </w:r>
      <w:r>
        <w:rPr/>
        <w:t> </w:t>
      </w:r>
      <w:r>
        <w:rPr>
          <w:spacing w:val="-14"/>
        </w:rPr>
        <w:t> </w:t>
      </w:r>
      <w:r>
        <w:rPr>
          <w:w w:val="243"/>
        </w:rPr>
        <w:t>l</w:t>
      </w:r>
      <w:r>
        <w:rPr>
          <w:spacing w:val="-1"/>
          <w:w w:val="112"/>
        </w:rPr>
        <w:t>a</w:t>
      </w:r>
      <w:r>
        <w:rPr>
          <w:w w:val="102"/>
        </w:rPr>
        <w:t>- </w:t>
      </w:r>
      <w:r>
        <w:rPr>
          <w:w w:val="110"/>
        </w:rPr>
        <w:t>tinoamericana </w:t>
      </w:r>
      <w:r>
        <w:rPr>
          <w:w w:val="135"/>
        </w:rPr>
        <w:t>(iEEral)  </w:t>
      </w:r>
      <w:r>
        <w:rPr>
          <w:w w:val="110"/>
        </w:rPr>
        <w:t>fue  creado  en  1977  por  empresarios  en  la ciudad de Córdoba junto a la Fundación Mediterránea, a la cual   está vinculado</w:t>
      </w:r>
      <w:r>
        <w:rPr>
          <w:w w:val="110"/>
          <w:position w:val="6"/>
          <w:sz w:val="11"/>
        </w:rPr>
        <w:t>13</w:t>
      </w:r>
      <w:r>
        <w:rPr>
          <w:w w:val="110"/>
        </w:rPr>
        <w:t>. En 1996 pasó a denominarse instituto de Estudios </w:t>
      </w:r>
      <w:r>
        <w:rPr>
          <w:w w:val="107"/>
        </w:rPr>
        <w:t>de</w:t>
      </w:r>
      <w:r>
        <w:rPr/>
        <w:t> </w:t>
      </w:r>
      <w:r>
        <w:rPr>
          <w:spacing w:val="-17"/>
        </w:rPr>
        <w:t> </w:t>
      </w:r>
      <w:r>
        <w:rPr>
          <w:w w:val="111"/>
        </w:rPr>
        <w:t>la</w:t>
      </w:r>
      <w:r>
        <w:rPr/>
        <w:t> </w:t>
      </w:r>
      <w:r>
        <w:rPr>
          <w:spacing w:val="-17"/>
        </w:rPr>
        <w:t> </w:t>
      </w:r>
      <w:r>
        <w:rPr>
          <w:w w:val="182"/>
        </w:rPr>
        <w:t>r</w:t>
      </w:r>
      <w:r>
        <w:rPr>
          <w:w w:val="110"/>
        </w:rPr>
        <w:t>ealidad</w:t>
      </w:r>
      <w:r>
        <w:rPr/>
        <w:t> </w:t>
      </w:r>
      <w:r>
        <w:rPr>
          <w:spacing w:val="-17"/>
        </w:rPr>
        <w:t> </w:t>
      </w:r>
      <w:r>
        <w:rPr>
          <w:w w:val="139"/>
        </w:rPr>
        <w:t>a</w:t>
      </w:r>
      <w:r>
        <w:rPr>
          <w:w w:val="109"/>
        </w:rPr>
        <w:t>rgentina</w:t>
      </w:r>
      <w:r>
        <w:rPr/>
        <w:t> </w:t>
      </w:r>
      <w:r>
        <w:rPr>
          <w:spacing w:val="-17"/>
        </w:rPr>
        <w:t> </w:t>
      </w:r>
      <w:r>
        <w:rPr>
          <w:w w:val="105"/>
        </w:rPr>
        <w:t>y</w:t>
      </w:r>
      <w:r>
        <w:rPr/>
        <w:t> </w:t>
      </w:r>
      <w:r>
        <w:rPr>
          <w:spacing w:val="-17"/>
        </w:rPr>
        <w:t> </w:t>
      </w:r>
      <w:r>
        <w:rPr>
          <w:w w:val="243"/>
        </w:rPr>
        <w:t>l</w:t>
      </w:r>
      <w:r>
        <w:rPr>
          <w:w w:val="111"/>
        </w:rPr>
        <w:t>atinoamericana</w:t>
      </w:r>
      <w:r>
        <w:rPr/>
        <w:t> </w:t>
      </w:r>
      <w:r>
        <w:rPr>
          <w:spacing w:val="-17"/>
        </w:rPr>
        <w:t> </w:t>
      </w:r>
      <w:r>
        <w:rPr>
          <w:w w:val="98"/>
        </w:rPr>
        <w:t>(</w:t>
      </w:r>
      <w:r>
        <w:rPr>
          <w:w w:val="142"/>
        </w:rPr>
        <w:t>i</w:t>
      </w:r>
      <w:r>
        <w:rPr>
          <w:w w:val="128"/>
        </w:rPr>
        <w:t>E</w:t>
      </w:r>
      <w:r>
        <w:rPr>
          <w:w w:val="178"/>
        </w:rPr>
        <w:t>ral</w:t>
      </w:r>
      <w:r>
        <w:rPr>
          <w:w w:val="112"/>
        </w:rPr>
        <w:t>).</w:t>
      </w:r>
      <w:r>
        <w:rPr/>
        <w:t> </w:t>
      </w:r>
      <w:r>
        <w:rPr>
          <w:spacing w:val="-17"/>
        </w:rPr>
        <w:t> </w:t>
      </w:r>
      <w:r>
        <w:rPr>
          <w:w w:val="122"/>
        </w:rPr>
        <w:t>El</w:t>
      </w:r>
      <w:r>
        <w:rPr/>
        <w:t> </w:t>
      </w:r>
      <w:r>
        <w:rPr>
          <w:spacing w:val="-17"/>
        </w:rPr>
        <w:t> </w:t>
      </w:r>
      <w:r>
        <w:rPr>
          <w:w w:val="108"/>
        </w:rPr>
        <w:t>objetivo</w:t>
      </w:r>
      <w:r>
        <w:rPr/>
        <w:t> </w:t>
      </w:r>
      <w:r>
        <w:rPr>
          <w:spacing w:val="-17"/>
        </w:rPr>
        <w:t> </w:t>
      </w:r>
      <w:r>
        <w:rPr>
          <w:w w:val="107"/>
        </w:rPr>
        <w:t>de </w:t>
      </w:r>
      <w:r>
        <w:rPr>
          <w:w w:val="110"/>
        </w:rPr>
        <w:t>la Fundación fue promover la investigación sobre cuestiones eco- nómicas para crear un espacio para la discusión y formulación de propuestas de políticas económicas desde la perspectiva empresarial. </w:t>
      </w:r>
      <w:r>
        <w:rPr>
          <w:w w:val="115"/>
        </w:rPr>
        <w:t>“</w:t>
      </w:r>
      <w:r>
        <w:rPr>
          <w:w w:val="243"/>
        </w:rPr>
        <w:t>l</w:t>
      </w:r>
      <w:r>
        <w:rPr>
          <w:w w:val="112"/>
        </w:rPr>
        <w:t>a</w:t>
      </w:r>
      <w:r>
        <w:rPr>
          <w:spacing w:val="9"/>
        </w:rPr>
        <w:t> </w:t>
      </w:r>
      <w:r>
        <w:rPr>
          <w:w w:val="110"/>
        </w:rPr>
        <w:t>metodología</w:t>
      </w:r>
      <w:r>
        <w:rPr>
          <w:spacing w:val="9"/>
        </w:rPr>
        <w:t> </w:t>
      </w:r>
      <w:r>
        <w:rPr>
          <w:w w:val="107"/>
        </w:rPr>
        <w:t>de</w:t>
      </w:r>
      <w:r>
        <w:rPr>
          <w:spacing w:val="9"/>
        </w:rPr>
        <w:t> </w:t>
      </w:r>
      <w:r>
        <w:rPr>
          <w:w w:val="110"/>
        </w:rPr>
        <w:t>trabajo</w:t>
      </w:r>
      <w:r>
        <w:rPr>
          <w:spacing w:val="9"/>
        </w:rPr>
        <w:t> </w:t>
      </w:r>
      <w:r>
        <w:rPr>
          <w:w w:val="110"/>
        </w:rPr>
        <w:t>impuesta</w:t>
      </w:r>
      <w:r>
        <w:rPr>
          <w:spacing w:val="9"/>
        </w:rPr>
        <w:t> </w:t>
      </w:r>
      <w:r>
        <w:rPr>
          <w:w w:val="108"/>
        </w:rPr>
        <w:t>por</w:t>
      </w:r>
      <w:r>
        <w:rPr>
          <w:spacing w:val="9"/>
        </w:rPr>
        <w:t> </w:t>
      </w:r>
      <w:r>
        <w:rPr>
          <w:w w:val="111"/>
        </w:rPr>
        <w:t>la</w:t>
      </w:r>
      <w:r>
        <w:rPr>
          <w:spacing w:val="9"/>
        </w:rPr>
        <w:t> </w:t>
      </w:r>
      <w:r>
        <w:rPr>
          <w:w w:val="113"/>
        </w:rPr>
        <w:t>Fundación</w:t>
      </w:r>
      <w:r>
        <w:rPr>
          <w:spacing w:val="9"/>
        </w:rPr>
        <w:t> </w:t>
      </w:r>
      <w:r>
        <w:rPr>
          <w:w w:val="110"/>
        </w:rPr>
        <w:t>Mediterránea, </w:t>
      </w:r>
      <w:r>
        <w:rPr>
          <w:w w:val="110"/>
        </w:rPr>
        <w:t>desde su creación, fue la interacción permanente entre empresarios y técnicos”</w:t>
      </w:r>
      <w:r>
        <w:rPr>
          <w:w w:val="110"/>
          <w:position w:val="6"/>
          <w:sz w:val="11"/>
        </w:rPr>
        <w:t>14</w:t>
      </w:r>
      <w:r>
        <w:rPr>
          <w:w w:val="110"/>
        </w:rPr>
        <w:t>. El </w:t>
      </w:r>
      <w:r>
        <w:rPr>
          <w:w w:val="135"/>
        </w:rPr>
        <w:t>iEral </w:t>
      </w:r>
      <w:r>
        <w:rPr>
          <w:w w:val="110"/>
        </w:rPr>
        <w:t>contó con un equipo de economistas dedicados    a tiempo completo a la investigación.  domingo  Cavallo,  presidente del</w:t>
      </w:r>
      <w:r>
        <w:rPr>
          <w:spacing w:val="26"/>
          <w:w w:val="110"/>
        </w:rPr>
        <w:t> </w:t>
      </w:r>
      <w:r>
        <w:rPr>
          <w:w w:val="110"/>
        </w:rPr>
        <w:t>instituto,</w:t>
      </w:r>
      <w:r>
        <w:rPr>
          <w:spacing w:val="26"/>
          <w:w w:val="110"/>
        </w:rPr>
        <w:t> </w:t>
      </w:r>
      <w:r>
        <w:rPr>
          <w:w w:val="110"/>
        </w:rPr>
        <w:t>asumió</w:t>
      </w:r>
      <w:r>
        <w:rPr>
          <w:spacing w:val="26"/>
          <w:w w:val="110"/>
        </w:rPr>
        <w:t> </w:t>
      </w:r>
      <w:r>
        <w:rPr>
          <w:w w:val="110"/>
        </w:rPr>
        <w:t>el</w:t>
      </w:r>
      <w:r>
        <w:rPr>
          <w:spacing w:val="26"/>
          <w:w w:val="110"/>
        </w:rPr>
        <w:t> </w:t>
      </w:r>
      <w:r>
        <w:rPr>
          <w:w w:val="110"/>
        </w:rPr>
        <w:t>Ministerio</w:t>
      </w:r>
      <w:r>
        <w:rPr>
          <w:spacing w:val="26"/>
          <w:w w:val="110"/>
        </w:rPr>
        <w:t> </w:t>
      </w:r>
      <w:r>
        <w:rPr>
          <w:w w:val="110"/>
        </w:rPr>
        <w:t>de</w:t>
      </w:r>
      <w:r>
        <w:rPr>
          <w:spacing w:val="26"/>
          <w:w w:val="110"/>
        </w:rPr>
        <w:t> </w:t>
      </w:r>
      <w:r>
        <w:rPr>
          <w:w w:val="110"/>
        </w:rPr>
        <w:t>Economía</w:t>
      </w:r>
      <w:r>
        <w:rPr>
          <w:spacing w:val="26"/>
          <w:w w:val="110"/>
        </w:rPr>
        <w:t> </w:t>
      </w:r>
      <w:r>
        <w:rPr>
          <w:w w:val="110"/>
        </w:rPr>
        <w:t>en</w:t>
      </w:r>
      <w:r>
        <w:rPr>
          <w:spacing w:val="26"/>
          <w:w w:val="110"/>
        </w:rPr>
        <w:t> </w:t>
      </w:r>
      <w:r>
        <w:rPr>
          <w:w w:val="110"/>
        </w:rPr>
        <w:t>enero</w:t>
      </w:r>
      <w:r>
        <w:rPr>
          <w:spacing w:val="26"/>
          <w:w w:val="110"/>
        </w:rPr>
        <w:t> </w:t>
      </w:r>
      <w:r>
        <w:rPr>
          <w:w w:val="110"/>
        </w:rPr>
        <w:t>de</w:t>
      </w:r>
      <w:r>
        <w:rPr>
          <w:spacing w:val="26"/>
          <w:w w:val="110"/>
        </w:rPr>
        <w:t> </w:t>
      </w:r>
      <w:r>
        <w:rPr>
          <w:w w:val="110"/>
        </w:rPr>
        <w:t>1991</w:t>
      </w:r>
      <w:r>
        <w:rPr>
          <w:spacing w:val="26"/>
          <w:w w:val="110"/>
        </w:rPr>
        <w:t> </w:t>
      </w:r>
      <w:r>
        <w:rPr>
          <w:w w:val="110"/>
        </w:rPr>
        <w:t>y</w:t>
      </w:r>
    </w:p>
    <w:p>
      <w:pPr>
        <w:pStyle w:val="BodyText"/>
        <w:spacing w:before="5"/>
        <w:rPr>
          <w:sz w:val="28"/>
        </w:rPr>
      </w:pPr>
      <w:r>
        <w:rPr/>
        <w:pict>
          <v:line style="position:absolute;mso-position-horizontal-relative:page;mso-position-vertical-relative:paragraph;z-index:5680;mso-wrap-distance-left:0;mso-wrap-distance-right:0" from="51.023602pt,18.892525pt" to="79.369602pt,18.892525pt" stroked="true" strokeweight=".5pt" strokecolor="#000000">
            <w10:wrap type="topAndBottom"/>
          </v:line>
        </w:pict>
      </w:r>
    </w:p>
    <w:p>
      <w:pPr>
        <w:pStyle w:val="ListParagraph"/>
        <w:numPr>
          <w:ilvl w:val="0"/>
          <w:numId w:val="28"/>
        </w:numPr>
        <w:tabs>
          <w:tab w:pos="376" w:val="left" w:leader="none"/>
        </w:tabs>
        <w:spacing w:line="242" w:lineRule="auto" w:before="89" w:after="0"/>
        <w:ind w:left="120" w:right="328" w:firstLine="0"/>
        <w:jc w:val="both"/>
        <w:rPr>
          <w:sz w:val="16"/>
        </w:rPr>
      </w:pPr>
      <w:r>
        <w:rPr>
          <w:w w:val="110"/>
          <w:sz w:val="16"/>
        </w:rPr>
        <w:t>Entre julio de 1990 y fines de 1992, el CiPE financió con us$ 150.000 el progra- ma dirigido al Congreso (</w:t>
      </w:r>
      <w:r>
        <w:rPr>
          <w:i/>
          <w:w w:val="110"/>
          <w:sz w:val="16"/>
        </w:rPr>
        <w:t>Congressional Support</w:t>
      </w:r>
      <w:r>
        <w:rPr>
          <w:w w:val="110"/>
          <w:sz w:val="16"/>
        </w:rPr>
        <w:t>) por el instituto apoyo, que, por su parte, aportó us$</w:t>
      </w:r>
      <w:r>
        <w:rPr>
          <w:spacing w:val="17"/>
          <w:w w:val="110"/>
          <w:sz w:val="16"/>
        </w:rPr>
        <w:t> </w:t>
      </w:r>
      <w:r>
        <w:rPr>
          <w:w w:val="110"/>
          <w:sz w:val="16"/>
        </w:rPr>
        <w:t>90.000.</w:t>
      </w:r>
    </w:p>
    <w:p>
      <w:pPr>
        <w:pStyle w:val="ListParagraph"/>
        <w:numPr>
          <w:ilvl w:val="0"/>
          <w:numId w:val="28"/>
        </w:numPr>
        <w:tabs>
          <w:tab w:pos="376" w:val="left" w:leader="none"/>
        </w:tabs>
        <w:spacing w:line="242" w:lineRule="auto" w:before="57" w:after="0"/>
        <w:ind w:left="120" w:right="329" w:firstLine="0"/>
        <w:jc w:val="both"/>
        <w:rPr>
          <w:sz w:val="16"/>
        </w:rPr>
      </w:pPr>
      <w:r>
        <w:rPr>
          <w:w w:val="110"/>
          <w:sz w:val="16"/>
        </w:rPr>
        <w:t>Para un análisis detallado de la Fundación Mediterránea y el </w:t>
      </w:r>
      <w:r>
        <w:rPr>
          <w:w w:val="130"/>
          <w:sz w:val="16"/>
        </w:rPr>
        <w:t>iEEral </w:t>
      </w:r>
      <w:r>
        <w:rPr>
          <w:w w:val="110"/>
          <w:sz w:val="16"/>
        </w:rPr>
        <w:t>ver los trabajos</w:t>
      </w:r>
      <w:r>
        <w:rPr>
          <w:spacing w:val="-8"/>
          <w:w w:val="110"/>
          <w:sz w:val="16"/>
        </w:rPr>
        <w:t> </w:t>
      </w:r>
      <w:r>
        <w:rPr>
          <w:w w:val="110"/>
          <w:sz w:val="16"/>
        </w:rPr>
        <w:t>de</w:t>
      </w:r>
      <w:r>
        <w:rPr>
          <w:spacing w:val="-8"/>
          <w:w w:val="110"/>
          <w:sz w:val="16"/>
        </w:rPr>
        <w:t> </w:t>
      </w:r>
      <w:r>
        <w:rPr>
          <w:w w:val="110"/>
          <w:sz w:val="16"/>
        </w:rPr>
        <w:t>ramírez</w:t>
      </w:r>
      <w:r>
        <w:rPr>
          <w:spacing w:val="-8"/>
          <w:w w:val="110"/>
          <w:sz w:val="16"/>
        </w:rPr>
        <w:t> </w:t>
      </w:r>
      <w:r>
        <w:rPr>
          <w:w w:val="110"/>
          <w:sz w:val="16"/>
        </w:rPr>
        <w:t>(2000,</w:t>
      </w:r>
      <w:r>
        <w:rPr>
          <w:spacing w:val="-8"/>
          <w:w w:val="110"/>
          <w:sz w:val="16"/>
        </w:rPr>
        <w:t> </w:t>
      </w:r>
      <w:r>
        <w:rPr>
          <w:w w:val="110"/>
          <w:sz w:val="16"/>
        </w:rPr>
        <w:t>2006).</w:t>
      </w:r>
    </w:p>
    <w:p>
      <w:pPr>
        <w:pStyle w:val="ListParagraph"/>
        <w:numPr>
          <w:ilvl w:val="0"/>
          <w:numId w:val="28"/>
        </w:numPr>
        <w:tabs>
          <w:tab w:pos="376" w:val="left" w:leader="none"/>
        </w:tabs>
        <w:spacing w:line="242" w:lineRule="auto" w:before="57" w:after="0"/>
        <w:ind w:left="120" w:right="328" w:firstLine="0"/>
        <w:jc w:val="both"/>
        <w:rPr>
          <w:sz w:val="16"/>
        </w:rPr>
      </w:pPr>
      <w:r>
        <w:rPr>
          <w:w w:val="125"/>
          <w:sz w:val="16"/>
        </w:rPr>
        <w:t>iEral, </w:t>
      </w:r>
      <w:r>
        <w:rPr>
          <w:i/>
          <w:w w:val="110"/>
          <w:sz w:val="16"/>
        </w:rPr>
        <w:t>orígenes y objetivos</w:t>
      </w:r>
      <w:r>
        <w:rPr>
          <w:w w:val="110"/>
          <w:sz w:val="16"/>
        </w:rPr>
        <w:t>. disponible en &lt;</w:t>
      </w:r>
      <w:hyperlink r:id="rId319">
        <w:r>
          <w:rPr>
            <w:w w:val="110"/>
            <w:sz w:val="16"/>
          </w:rPr>
          <w:t>http://www.ieral.org</w:t>
        </w:r>
      </w:hyperlink>
      <w:r>
        <w:rPr>
          <w:w w:val="110"/>
          <w:sz w:val="16"/>
        </w:rPr>
        <w:t>&gt; según entrada hecha</w:t>
      </w:r>
      <w:r>
        <w:rPr>
          <w:spacing w:val="-9"/>
          <w:w w:val="110"/>
          <w:sz w:val="16"/>
        </w:rPr>
        <w:t> </w:t>
      </w:r>
      <w:r>
        <w:rPr>
          <w:w w:val="110"/>
          <w:sz w:val="16"/>
        </w:rPr>
        <w:t>el</w:t>
      </w:r>
      <w:r>
        <w:rPr>
          <w:spacing w:val="-9"/>
          <w:w w:val="110"/>
          <w:sz w:val="16"/>
        </w:rPr>
        <w:t> </w:t>
      </w:r>
      <w:r>
        <w:rPr>
          <w:w w:val="110"/>
          <w:sz w:val="16"/>
        </w:rPr>
        <w:t>día</w:t>
      </w:r>
      <w:r>
        <w:rPr>
          <w:spacing w:val="-9"/>
          <w:w w:val="110"/>
          <w:sz w:val="16"/>
        </w:rPr>
        <w:t> </w:t>
      </w:r>
      <w:r>
        <w:rPr>
          <w:w w:val="110"/>
          <w:sz w:val="16"/>
        </w:rPr>
        <w:t>25</w:t>
      </w:r>
      <w:r>
        <w:rPr>
          <w:spacing w:val="-9"/>
          <w:w w:val="110"/>
          <w:sz w:val="16"/>
        </w:rPr>
        <w:t> </w:t>
      </w:r>
      <w:r>
        <w:rPr>
          <w:w w:val="110"/>
          <w:sz w:val="16"/>
        </w:rPr>
        <w:t>de</w:t>
      </w:r>
      <w:r>
        <w:rPr>
          <w:spacing w:val="-9"/>
          <w:w w:val="110"/>
          <w:sz w:val="16"/>
        </w:rPr>
        <w:t> </w:t>
      </w:r>
      <w:r>
        <w:rPr>
          <w:w w:val="110"/>
          <w:sz w:val="16"/>
        </w:rPr>
        <w:t>septiembre</w:t>
      </w:r>
      <w:r>
        <w:rPr>
          <w:spacing w:val="-9"/>
          <w:w w:val="110"/>
          <w:sz w:val="16"/>
        </w:rPr>
        <w:t> </w:t>
      </w:r>
      <w:r>
        <w:rPr>
          <w:w w:val="110"/>
          <w:sz w:val="16"/>
        </w:rPr>
        <w:t>de</w:t>
      </w:r>
      <w:r>
        <w:rPr>
          <w:spacing w:val="-9"/>
          <w:w w:val="110"/>
          <w:sz w:val="16"/>
        </w:rPr>
        <w:t> </w:t>
      </w:r>
      <w:r>
        <w:rPr>
          <w:w w:val="110"/>
          <w:sz w:val="16"/>
        </w:rPr>
        <w:t>2005.</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formó parte de su equipo con investigadores de ahí (ramírez, 2006: 187-188). según Geurts </w:t>
      </w:r>
      <w:r>
        <w:rPr>
          <w:i/>
          <w:w w:val="110"/>
        </w:rPr>
        <w:t>et al</w:t>
      </w:r>
      <w:r>
        <w:rPr>
          <w:w w:val="110"/>
        </w:rPr>
        <w:t>. (2001: 61) muchos informes producidos por el </w:t>
      </w:r>
      <w:r>
        <w:rPr>
          <w:w w:val="140"/>
        </w:rPr>
        <w:t>iEral </w:t>
      </w:r>
      <w:r>
        <w:rPr>
          <w:w w:val="110"/>
        </w:rPr>
        <w:t>sirvieron de base para las propuestas de reforma de la economía argentina adoptadas por Cavallo. El Programa de apoyo </w:t>
      </w:r>
      <w:r>
        <w:rPr>
          <w:w w:val="243"/>
        </w:rPr>
        <w:t>l</w:t>
      </w:r>
      <w:r>
        <w:rPr>
          <w:w w:val="108"/>
        </w:rPr>
        <w:t>egislativo</w:t>
      </w:r>
      <w:r>
        <w:rPr/>
        <w:t>  </w:t>
      </w:r>
      <w:r>
        <w:rPr>
          <w:w w:val="108"/>
        </w:rPr>
        <w:t>desarrollado</w:t>
      </w:r>
      <w:r>
        <w:rPr/>
        <w:t>  </w:t>
      </w:r>
      <w:r>
        <w:rPr>
          <w:w w:val="106"/>
        </w:rPr>
        <w:t>entre</w:t>
      </w:r>
      <w:r>
        <w:rPr/>
        <w:t>  </w:t>
      </w:r>
      <w:r>
        <w:rPr>
          <w:w w:val="111"/>
        </w:rPr>
        <w:t>marzo</w:t>
      </w:r>
      <w:r>
        <w:rPr/>
        <w:t>  </w:t>
      </w:r>
      <w:r>
        <w:rPr>
          <w:w w:val="107"/>
        </w:rPr>
        <w:t>de</w:t>
      </w:r>
      <w:r>
        <w:rPr/>
        <w:t>  </w:t>
      </w:r>
      <w:r>
        <w:rPr>
          <w:w w:val="102"/>
        </w:rPr>
        <w:t>1988</w:t>
      </w:r>
      <w:r>
        <w:rPr/>
        <w:t>  </w:t>
      </w:r>
      <w:r>
        <w:rPr>
          <w:w w:val="105"/>
        </w:rPr>
        <w:t>y</w:t>
      </w:r>
      <w:r>
        <w:rPr/>
        <w:t>  </w:t>
      </w:r>
      <w:r>
        <w:rPr>
          <w:w w:val="108"/>
        </w:rPr>
        <w:t>febrero</w:t>
      </w:r>
      <w:r>
        <w:rPr/>
        <w:t>  </w:t>
      </w:r>
      <w:r>
        <w:rPr>
          <w:w w:val="107"/>
        </w:rPr>
        <w:t>de</w:t>
      </w:r>
      <w:r>
        <w:rPr/>
        <w:t>  </w:t>
      </w:r>
      <w:r>
        <w:rPr>
          <w:w w:val="102"/>
        </w:rPr>
        <w:t>1993</w:t>
      </w:r>
      <w:r>
        <w:rPr/>
        <w:t>  </w:t>
      </w:r>
      <w:r>
        <w:rPr>
          <w:w w:val="108"/>
        </w:rPr>
        <w:t>en </w:t>
      </w:r>
      <w:r>
        <w:rPr>
          <w:w w:val="110"/>
        </w:rPr>
        <w:t>aquel país, canalizó casi un millón de dólares, de los cuales cerca de us$ 450.000 salieron de los fondos del CiPE (Mashek, 1993). durante este período, a través de asociaciones (</w:t>
      </w:r>
      <w:r>
        <w:rPr>
          <w:i/>
          <w:w w:val="110"/>
        </w:rPr>
        <w:t>partnerships</w:t>
      </w:r>
      <w:r>
        <w:rPr>
          <w:w w:val="110"/>
        </w:rPr>
        <w:t>) con organizacio- nes locales, el CiPE canalizó us$ 2.866.690 para “programas de apoyo </w:t>
      </w:r>
      <w:r>
        <w:rPr>
          <w:w w:val="109"/>
        </w:rPr>
        <w:t>legislativo”</w:t>
      </w:r>
      <w:r>
        <w:rPr/>
        <w:t> </w:t>
      </w:r>
      <w:r>
        <w:rPr>
          <w:w w:val="108"/>
        </w:rPr>
        <w:t>en</w:t>
      </w:r>
      <w:r>
        <w:rPr/>
        <w:t> </w:t>
      </w:r>
      <w:r>
        <w:rPr>
          <w:w w:val="109"/>
        </w:rPr>
        <w:t>doce</w:t>
      </w:r>
      <w:r>
        <w:rPr/>
        <w:t> </w:t>
      </w:r>
      <w:r>
        <w:rPr>
          <w:w w:val="108"/>
        </w:rPr>
        <w:t>países</w:t>
      </w:r>
      <w:r>
        <w:rPr/>
        <w:t> </w:t>
      </w:r>
      <w:r>
        <w:rPr>
          <w:w w:val="107"/>
        </w:rPr>
        <w:t>de</w:t>
      </w:r>
      <w:r>
        <w:rPr/>
        <w:t> </w:t>
      </w:r>
      <w:r>
        <w:rPr>
          <w:w w:val="139"/>
        </w:rPr>
        <w:t>a</w:t>
      </w:r>
      <w:r>
        <w:rPr>
          <w:w w:val="111"/>
        </w:rPr>
        <w:t>mérica</w:t>
      </w:r>
      <w:r>
        <w:rPr/>
        <w:t> </w:t>
      </w:r>
      <w:r>
        <w:rPr>
          <w:w w:val="243"/>
        </w:rPr>
        <w:t>l</w:t>
      </w:r>
      <w:r>
        <w:rPr>
          <w:w w:val="111"/>
        </w:rPr>
        <w:t>atina</w:t>
      </w:r>
      <w:r>
        <w:rPr>
          <w:w w:val="103"/>
          <w:position w:val="6"/>
          <w:sz w:val="11"/>
        </w:rPr>
        <w:t>15</w:t>
      </w:r>
      <w:r>
        <w:rPr>
          <w:w w:val="138"/>
        </w:rPr>
        <w:t>.</w:t>
      </w:r>
    </w:p>
    <w:p>
      <w:pPr>
        <w:pStyle w:val="BodyText"/>
        <w:spacing w:line="252" w:lineRule="auto"/>
        <w:ind w:left="330" w:right="117" w:firstLine="396"/>
        <w:jc w:val="both"/>
      </w:pPr>
      <w:r>
        <w:rPr>
          <w:w w:val="110"/>
        </w:rPr>
        <w:t>aparentemente, el apoyo del CiPE  al  </w:t>
      </w:r>
      <w:r>
        <w:rPr>
          <w:w w:val="135"/>
        </w:rPr>
        <w:t>iEral </w:t>
      </w:r>
      <w:r>
        <w:rPr>
          <w:w w:val="110"/>
        </w:rPr>
        <w:t>disminuyó  a  partir de la crisis económica que asoló el país en 2001-2002</w:t>
      </w:r>
      <w:r>
        <w:rPr>
          <w:w w:val="110"/>
          <w:position w:val="6"/>
          <w:sz w:val="11"/>
        </w:rPr>
        <w:t>16 </w:t>
      </w:r>
      <w:r>
        <w:rPr>
          <w:w w:val="110"/>
        </w:rPr>
        <w:t>y que, según braun (braun </w:t>
      </w:r>
      <w:r>
        <w:rPr>
          <w:i/>
          <w:w w:val="110"/>
        </w:rPr>
        <w:t>et al.</w:t>
      </w:r>
      <w:r>
        <w:rPr>
          <w:w w:val="110"/>
        </w:rPr>
        <w:t>, 2004), puso en cuestionamiento a un conjunto mayor de </w:t>
      </w:r>
      <w:r>
        <w:rPr>
          <w:i/>
          <w:w w:val="110"/>
        </w:rPr>
        <w:t>think tanks </w:t>
      </w:r>
      <w:r>
        <w:rPr>
          <w:w w:val="110"/>
        </w:rPr>
        <w:t>en tanto fuentes de análisis política y recluta- miento de cuadros para el  Estado.</w:t>
      </w:r>
    </w:p>
    <w:p>
      <w:pPr>
        <w:pStyle w:val="BodyText"/>
        <w:spacing w:line="252" w:lineRule="auto"/>
        <w:ind w:left="330" w:right="117" w:firstLine="396"/>
        <w:jc w:val="both"/>
      </w:pPr>
      <w:r>
        <w:rPr>
          <w:w w:val="115"/>
        </w:rPr>
        <w:t>a partir de 2002, el CiPE empezó a apoyar al Centro de imple- mentación de Políticas Públicas para la Equidad y el Crecimiento (CiPPEC), organización que busca crear un consenso sobre la nece- sidad de reformas políticas y económicas en la argentina, actuando en la formulación e implementación de políticas públicas</w:t>
      </w:r>
      <w:r>
        <w:rPr>
          <w:w w:val="115"/>
          <w:position w:val="6"/>
          <w:sz w:val="11"/>
        </w:rPr>
        <w:t>17</w:t>
      </w:r>
      <w:r>
        <w:rPr>
          <w:w w:val="115"/>
        </w:rPr>
        <w:t>. En</w:t>
      </w:r>
      <w:r>
        <w:rPr>
          <w:spacing w:val="-28"/>
          <w:w w:val="115"/>
        </w:rPr>
        <w:t> </w:t>
      </w:r>
      <w:r>
        <w:rPr>
          <w:w w:val="115"/>
        </w:rPr>
        <w:t>poco tiempo, el Centro pasó a </w:t>
      </w:r>
      <w:r>
        <w:rPr>
          <w:spacing w:val="-4"/>
          <w:w w:val="115"/>
        </w:rPr>
        <w:t>contar, </w:t>
      </w:r>
      <w:r>
        <w:rPr>
          <w:w w:val="115"/>
        </w:rPr>
        <w:t>además del CiPE, con el apoyo de varias fundaciones y organizaciones de la sociedad civil y recursos de</w:t>
      </w:r>
      <w:r>
        <w:rPr>
          <w:spacing w:val="-8"/>
          <w:w w:val="115"/>
        </w:rPr>
        <w:t> </w:t>
      </w:r>
      <w:r>
        <w:rPr>
          <w:w w:val="115"/>
        </w:rPr>
        <w:t>organismos</w:t>
      </w:r>
      <w:r>
        <w:rPr>
          <w:spacing w:val="-8"/>
          <w:w w:val="115"/>
        </w:rPr>
        <w:t> </w:t>
      </w:r>
      <w:r>
        <w:rPr>
          <w:w w:val="115"/>
        </w:rPr>
        <w:t>como</w:t>
      </w:r>
      <w:r>
        <w:rPr>
          <w:spacing w:val="-8"/>
          <w:w w:val="115"/>
        </w:rPr>
        <w:t> </w:t>
      </w:r>
      <w:r>
        <w:rPr>
          <w:w w:val="115"/>
        </w:rPr>
        <w:t>el</w:t>
      </w:r>
      <w:r>
        <w:rPr>
          <w:spacing w:val="-8"/>
          <w:w w:val="115"/>
        </w:rPr>
        <w:t> </w:t>
      </w:r>
      <w:r>
        <w:rPr>
          <w:w w:val="115"/>
        </w:rPr>
        <w:t>banco</w:t>
      </w:r>
      <w:r>
        <w:rPr>
          <w:spacing w:val="-8"/>
          <w:w w:val="115"/>
        </w:rPr>
        <w:t> </w:t>
      </w:r>
      <w:r>
        <w:rPr>
          <w:w w:val="115"/>
        </w:rPr>
        <w:t>Mundial</w:t>
      </w:r>
      <w:r>
        <w:rPr>
          <w:spacing w:val="-8"/>
          <w:w w:val="115"/>
        </w:rPr>
        <w:t> </w:t>
      </w:r>
      <w:r>
        <w:rPr>
          <w:w w:val="115"/>
        </w:rPr>
        <w:t>y</w:t>
      </w:r>
      <w:r>
        <w:rPr>
          <w:spacing w:val="-8"/>
          <w:w w:val="115"/>
        </w:rPr>
        <w:t> </w:t>
      </w:r>
      <w:r>
        <w:rPr>
          <w:w w:val="115"/>
        </w:rPr>
        <w:t>el</w:t>
      </w:r>
      <w:r>
        <w:rPr>
          <w:spacing w:val="-8"/>
          <w:w w:val="115"/>
        </w:rPr>
        <w:t> </w:t>
      </w:r>
      <w:r>
        <w:rPr>
          <w:w w:val="115"/>
        </w:rPr>
        <w:t>banco</w:t>
      </w:r>
      <w:r>
        <w:rPr>
          <w:spacing w:val="-8"/>
          <w:w w:val="115"/>
        </w:rPr>
        <w:t> </w:t>
      </w:r>
      <w:r>
        <w:rPr>
          <w:w w:val="115"/>
        </w:rPr>
        <w:t>interamericano</w:t>
      </w:r>
      <w:r>
        <w:rPr>
          <w:spacing w:val="-8"/>
          <w:w w:val="115"/>
        </w:rPr>
        <w:t> </w:t>
      </w:r>
      <w:r>
        <w:rPr>
          <w:w w:val="115"/>
        </w:rPr>
        <w:t>de desarrollo (bid). sin embargo, es importante destacar que el apoyo recibido</w:t>
      </w:r>
      <w:r>
        <w:rPr>
          <w:spacing w:val="-19"/>
          <w:w w:val="115"/>
        </w:rPr>
        <w:t> </w:t>
      </w:r>
      <w:r>
        <w:rPr>
          <w:w w:val="115"/>
        </w:rPr>
        <w:t>del</w:t>
      </w:r>
      <w:r>
        <w:rPr>
          <w:spacing w:val="-19"/>
          <w:w w:val="115"/>
        </w:rPr>
        <w:t> </w:t>
      </w:r>
      <w:r>
        <w:rPr>
          <w:w w:val="115"/>
        </w:rPr>
        <w:t>NEd</w:t>
      </w:r>
      <w:r>
        <w:rPr>
          <w:spacing w:val="-19"/>
          <w:w w:val="115"/>
        </w:rPr>
        <w:t> </w:t>
      </w:r>
      <w:r>
        <w:rPr>
          <w:w w:val="115"/>
        </w:rPr>
        <w:t>fue</w:t>
      </w:r>
      <w:r>
        <w:rPr>
          <w:spacing w:val="-19"/>
          <w:w w:val="115"/>
        </w:rPr>
        <w:t> </w:t>
      </w:r>
      <w:r>
        <w:rPr>
          <w:w w:val="115"/>
        </w:rPr>
        <w:t>mucho</w:t>
      </w:r>
      <w:r>
        <w:rPr>
          <w:spacing w:val="-19"/>
          <w:w w:val="115"/>
        </w:rPr>
        <w:t> </w:t>
      </w:r>
      <w:r>
        <w:rPr>
          <w:w w:val="115"/>
        </w:rPr>
        <w:t>más</w:t>
      </w:r>
      <w:r>
        <w:rPr>
          <w:spacing w:val="-19"/>
          <w:w w:val="115"/>
        </w:rPr>
        <w:t> </w:t>
      </w:r>
      <w:r>
        <w:rPr>
          <w:w w:val="115"/>
        </w:rPr>
        <w:t>amplio</w:t>
      </w:r>
      <w:r>
        <w:rPr>
          <w:spacing w:val="-19"/>
          <w:w w:val="115"/>
        </w:rPr>
        <w:t> </w:t>
      </w:r>
      <w:r>
        <w:rPr>
          <w:w w:val="115"/>
        </w:rPr>
        <w:t>y</w:t>
      </w:r>
      <w:r>
        <w:rPr>
          <w:spacing w:val="-19"/>
          <w:w w:val="115"/>
        </w:rPr>
        <w:t> </w:t>
      </w:r>
      <w:r>
        <w:rPr>
          <w:w w:val="115"/>
        </w:rPr>
        <w:t>probablemente</w:t>
      </w:r>
      <w:r>
        <w:rPr>
          <w:spacing w:val="-19"/>
          <w:w w:val="115"/>
        </w:rPr>
        <w:t> </w:t>
      </w:r>
      <w:r>
        <w:rPr>
          <w:w w:val="115"/>
        </w:rPr>
        <w:t>fundamen- tal</w:t>
      </w:r>
      <w:r>
        <w:rPr>
          <w:spacing w:val="-8"/>
          <w:w w:val="115"/>
        </w:rPr>
        <w:t> </w:t>
      </w:r>
      <w:r>
        <w:rPr>
          <w:w w:val="115"/>
        </w:rPr>
        <w:t>para</w:t>
      </w:r>
      <w:r>
        <w:rPr>
          <w:spacing w:val="-8"/>
          <w:w w:val="115"/>
        </w:rPr>
        <w:t> </w:t>
      </w:r>
      <w:r>
        <w:rPr>
          <w:w w:val="115"/>
        </w:rPr>
        <w:t>consolidarlo.</w:t>
      </w:r>
      <w:r>
        <w:rPr>
          <w:spacing w:val="-8"/>
          <w:w w:val="115"/>
        </w:rPr>
        <w:t> </w:t>
      </w:r>
      <w:r>
        <w:rPr>
          <w:w w:val="115"/>
        </w:rPr>
        <w:t>así,</w:t>
      </w:r>
      <w:r>
        <w:rPr>
          <w:spacing w:val="-8"/>
          <w:w w:val="115"/>
        </w:rPr>
        <w:t> </w:t>
      </w:r>
      <w:r>
        <w:rPr>
          <w:w w:val="115"/>
        </w:rPr>
        <w:t>más</w:t>
      </w:r>
      <w:r>
        <w:rPr>
          <w:spacing w:val="-8"/>
          <w:w w:val="115"/>
        </w:rPr>
        <w:t> </w:t>
      </w:r>
      <w:r>
        <w:rPr>
          <w:w w:val="115"/>
        </w:rPr>
        <w:t>allá</w:t>
      </w:r>
      <w:r>
        <w:rPr>
          <w:spacing w:val="-8"/>
          <w:w w:val="115"/>
        </w:rPr>
        <w:t> </w:t>
      </w:r>
      <w:r>
        <w:rPr>
          <w:w w:val="115"/>
        </w:rPr>
        <w:t>del</w:t>
      </w:r>
      <w:r>
        <w:rPr>
          <w:spacing w:val="-8"/>
          <w:w w:val="115"/>
        </w:rPr>
        <w:t> </w:t>
      </w:r>
      <w:r>
        <w:rPr>
          <w:w w:val="115"/>
        </w:rPr>
        <w:t>CiPE,</w:t>
      </w:r>
      <w:r>
        <w:rPr>
          <w:spacing w:val="-8"/>
          <w:w w:val="115"/>
        </w:rPr>
        <w:t> </w:t>
      </w:r>
      <w:r>
        <w:rPr>
          <w:w w:val="115"/>
        </w:rPr>
        <w:t>el</w:t>
      </w:r>
      <w:r>
        <w:rPr>
          <w:spacing w:val="-8"/>
          <w:w w:val="115"/>
        </w:rPr>
        <w:t> </w:t>
      </w:r>
      <w:r>
        <w:rPr>
          <w:w w:val="115"/>
        </w:rPr>
        <w:t>NEd</w:t>
      </w:r>
      <w:r>
        <w:rPr>
          <w:spacing w:val="-8"/>
          <w:w w:val="115"/>
        </w:rPr>
        <w:t> </w:t>
      </w:r>
      <w:r>
        <w:rPr>
          <w:w w:val="115"/>
        </w:rPr>
        <w:t>canalizó</w:t>
      </w:r>
      <w:r>
        <w:rPr>
          <w:spacing w:val="-8"/>
          <w:w w:val="115"/>
        </w:rPr>
        <w:t> </w:t>
      </w:r>
      <w:r>
        <w:rPr>
          <w:w w:val="115"/>
        </w:rPr>
        <w:t>recursos al CiPPEC de forma directa y especialmente a través del </w:t>
      </w:r>
      <w:r>
        <w:rPr>
          <w:w w:val="130"/>
        </w:rPr>
        <w:t>iri. </w:t>
      </w:r>
      <w:r>
        <w:rPr>
          <w:w w:val="115"/>
        </w:rPr>
        <w:t>En el período</w:t>
      </w:r>
      <w:r>
        <w:rPr>
          <w:spacing w:val="-29"/>
          <w:w w:val="115"/>
        </w:rPr>
        <w:t> </w:t>
      </w:r>
      <w:r>
        <w:rPr>
          <w:w w:val="115"/>
        </w:rPr>
        <w:t>de</w:t>
      </w:r>
      <w:r>
        <w:rPr>
          <w:spacing w:val="-29"/>
          <w:w w:val="115"/>
        </w:rPr>
        <w:t> </w:t>
      </w:r>
      <w:r>
        <w:rPr>
          <w:w w:val="115"/>
        </w:rPr>
        <w:t>2002</w:t>
      </w:r>
      <w:r>
        <w:rPr>
          <w:spacing w:val="-29"/>
          <w:w w:val="115"/>
        </w:rPr>
        <w:t> </w:t>
      </w:r>
      <w:r>
        <w:rPr>
          <w:w w:val="115"/>
        </w:rPr>
        <w:t>a</w:t>
      </w:r>
      <w:r>
        <w:rPr>
          <w:spacing w:val="-29"/>
          <w:w w:val="115"/>
        </w:rPr>
        <w:t> </w:t>
      </w:r>
      <w:r>
        <w:rPr>
          <w:w w:val="115"/>
        </w:rPr>
        <w:t>2007</w:t>
      </w:r>
      <w:r>
        <w:rPr>
          <w:spacing w:val="-29"/>
          <w:w w:val="115"/>
        </w:rPr>
        <w:t> </w:t>
      </w:r>
      <w:r>
        <w:rPr>
          <w:w w:val="115"/>
        </w:rPr>
        <w:t>el</w:t>
      </w:r>
      <w:r>
        <w:rPr>
          <w:spacing w:val="-29"/>
          <w:w w:val="115"/>
        </w:rPr>
        <w:t> </w:t>
      </w:r>
      <w:r>
        <w:rPr>
          <w:w w:val="115"/>
        </w:rPr>
        <w:t>CiPPEC</w:t>
      </w:r>
      <w:r>
        <w:rPr>
          <w:spacing w:val="-29"/>
          <w:w w:val="115"/>
        </w:rPr>
        <w:t> </w:t>
      </w:r>
      <w:r>
        <w:rPr>
          <w:w w:val="115"/>
        </w:rPr>
        <w:t>recibió</w:t>
      </w:r>
      <w:r>
        <w:rPr>
          <w:spacing w:val="-29"/>
          <w:w w:val="115"/>
        </w:rPr>
        <w:t> </w:t>
      </w:r>
      <w:r>
        <w:rPr>
          <w:w w:val="115"/>
        </w:rPr>
        <w:t>de</w:t>
      </w:r>
      <w:r>
        <w:rPr>
          <w:spacing w:val="-29"/>
          <w:w w:val="115"/>
        </w:rPr>
        <w:t> </w:t>
      </w:r>
      <w:r>
        <w:rPr>
          <w:w w:val="115"/>
        </w:rPr>
        <w:t>estas</w:t>
      </w:r>
      <w:r>
        <w:rPr>
          <w:spacing w:val="-29"/>
          <w:w w:val="115"/>
        </w:rPr>
        <w:t> </w:t>
      </w:r>
      <w:r>
        <w:rPr>
          <w:w w:val="115"/>
        </w:rPr>
        <w:t>organizaciones</w:t>
      </w:r>
      <w:r>
        <w:rPr>
          <w:spacing w:val="-29"/>
          <w:w w:val="115"/>
        </w:rPr>
        <w:t> </w:t>
      </w:r>
      <w:r>
        <w:rPr>
          <w:w w:val="115"/>
        </w:rPr>
        <w:t>más de</w:t>
      </w:r>
      <w:r>
        <w:rPr>
          <w:spacing w:val="-16"/>
          <w:w w:val="115"/>
        </w:rPr>
        <w:t> </w:t>
      </w:r>
      <w:r>
        <w:rPr>
          <w:w w:val="115"/>
        </w:rPr>
        <w:t>us$</w:t>
      </w:r>
      <w:r>
        <w:rPr>
          <w:spacing w:val="-16"/>
          <w:w w:val="115"/>
        </w:rPr>
        <w:t> </w:t>
      </w:r>
      <w:r>
        <w:rPr>
          <w:w w:val="115"/>
        </w:rPr>
        <w:t>900.000</w:t>
      </w:r>
      <w:r>
        <w:rPr>
          <w:spacing w:val="-16"/>
          <w:w w:val="115"/>
        </w:rPr>
        <w:t> </w:t>
      </w:r>
      <w:r>
        <w:rPr>
          <w:w w:val="115"/>
        </w:rPr>
        <w:t>(solamente</w:t>
      </w:r>
      <w:r>
        <w:rPr>
          <w:spacing w:val="-16"/>
          <w:w w:val="115"/>
        </w:rPr>
        <w:t> </w:t>
      </w:r>
      <w:r>
        <w:rPr>
          <w:w w:val="115"/>
        </w:rPr>
        <w:t>el</w:t>
      </w:r>
      <w:r>
        <w:rPr>
          <w:spacing w:val="-16"/>
          <w:w w:val="115"/>
        </w:rPr>
        <w:t> </w:t>
      </w:r>
      <w:r>
        <w:rPr>
          <w:w w:val="130"/>
        </w:rPr>
        <w:t>iri</w:t>
      </w:r>
      <w:r>
        <w:rPr>
          <w:spacing w:val="-22"/>
          <w:w w:val="130"/>
        </w:rPr>
        <w:t> </w:t>
      </w:r>
      <w:r>
        <w:rPr>
          <w:w w:val="115"/>
        </w:rPr>
        <w:t>fue</w:t>
      </w:r>
      <w:r>
        <w:rPr>
          <w:spacing w:val="-16"/>
          <w:w w:val="115"/>
        </w:rPr>
        <w:t> </w:t>
      </w:r>
      <w:r>
        <w:rPr>
          <w:w w:val="115"/>
        </w:rPr>
        <w:t>responsable</w:t>
      </w:r>
      <w:r>
        <w:rPr>
          <w:spacing w:val="-16"/>
          <w:w w:val="115"/>
        </w:rPr>
        <w:t> </w:t>
      </w:r>
      <w:r>
        <w:rPr>
          <w:w w:val="115"/>
        </w:rPr>
        <w:t>por</w:t>
      </w:r>
      <w:r>
        <w:rPr>
          <w:spacing w:val="-16"/>
          <w:w w:val="115"/>
        </w:rPr>
        <w:t> </w:t>
      </w:r>
      <w:r>
        <w:rPr>
          <w:w w:val="115"/>
        </w:rPr>
        <w:t>us$</w:t>
      </w:r>
      <w:r>
        <w:rPr>
          <w:spacing w:val="-16"/>
          <w:w w:val="115"/>
        </w:rPr>
        <w:t> </w:t>
      </w:r>
      <w:r>
        <w:rPr>
          <w:w w:val="115"/>
        </w:rPr>
        <w:t>525.000)</w:t>
      </w:r>
      <w:r>
        <w:rPr>
          <w:w w:val="115"/>
          <w:position w:val="6"/>
          <w:sz w:val="11"/>
        </w:rPr>
        <w:t>18</w:t>
      </w:r>
      <w:r>
        <w:rPr>
          <w:w w:val="115"/>
        </w:rPr>
        <w:t>.</w:t>
      </w:r>
    </w:p>
    <w:p>
      <w:pPr>
        <w:pStyle w:val="BodyText"/>
        <w:spacing w:before="8"/>
        <w:rPr>
          <w:sz w:val="13"/>
        </w:rPr>
      </w:pPr>
      <w:r>
        <w:rPr/>
        <w:pict>
          <v:line style="position:absolute;mso-position-horizontal-relative:page;mso-position-vertical-relative:paragraph;z-index:5704;mso-wrap-distance-left:0;mso-wrap-distance-right:0" from="76.5355pt,10.259638pt" to="104.8815pt,10.259638pt" stroked="true" strokeweight=".5pt" strokecolor="#000000">
            <w10:wrap type="topAndBottom"/>
          </v:line>
        </w:pict>
      </w:r>
    </w:p>
    <w:p>
      <w:pPr>
        <w:pStyle w:val="ListParagraph"/>
        <w:numPr>
          <w:ilvl w:val="0"/>
          <w:numId w:val="28"/>
        </w:numPr>
        <w:tabs>
          <w:tab w:pos="586" w:val="left" w:leader="none"/>
        </w:tabs>
        <w:spacing w:line="240" w:lineRule="auto" w:before="89" w:after="0"/>
        <w:ind w:left="585" w:right="0" w:hanging="255"/>
        <w:jc w:val="both"/>
        <w:rPr>
          <w:sz w:val="16"/>
        </w:rPr>
      </w:pPr>
      <w:r>
        <w:rPr>
          <w:w w:val="110"/>
          <w:sz w:val="16"/>
        </w:rPr>
        <w:t>según datos colectados en Maschek (1993: 59-106) y CiPE, </w:t>
      </w:r>
      <w:r>
        <w:rPr>
          <w:i/>
          <w:w w:val="110"/>
          <w:sz w:val="16"/>
        </w:rPr>
        <w:t>Annual Report</w:t>
      </w:r>
      <w:r>
        <w:rPr>
          <w:w w:val="110"/>
          <w:sz w:val="16"/>
        </w:rPr>
        <w:t>,</w:t>
      </w:r>
      <w:r>
        <w:rPr>
          <w:spacing w:val="-23"/>
          <w:w w:val="110"/>
          <w:sz w:val="16"/>
        </w:rPr>
        <w:t> </w:t>
      </w:r>
      <w:r>
        <w:rPr>
          <w:w w:val="110"/>
          <w:sz w:val="16"/>
        </w:rPr>
        <w:t>2003,</w:t>
      </w:r>
    </w:p>
    <w:p>
      <w:pPr>
        <w:spacing w:before="2"/>
        <w:ind w:left="330" w:right="0" w:firstLine="0"/>
        <w:jc w:val="both"/>
        <w:rPr>
          <w:sz w:val="16"/>
        </w:rPr>
      </w:pPr>
      <w:r>
        <w:rPr>
          <w:w w:val="105"/>
          <w:sz w:val="16"/>
        </w:rPr>
        <w:t>cap. 3, p. 9. Para más detalles ver Minella (2009: 22).</w:t>
      </w:r>
    </w:p>
    <w:p>
      <w:pPr>
        <w:pStyle w:val="ListParagraph"/>
        <w:numPr>
          <w:ilvl w:val="0"/>
          <w:numId w:val="28"/>
        </w:numPr>
        <w:tabs>
          <w:tab w:pos="586" w:val="left" w:leader="none"/>
        </w:tabs>
        <w:spacing w:line="242" w:lineRule="auto" w:before="59" w:after="0"/>
        <w:ind w:left="330" w:right="118" w:firstLine="0"/>
        <w:jc w:val="both"/>
        <w:rPr>
          <w:sz w:val="16"/>
        </w:rPr>
      </w:pPr>
      <w:r>
        <w:rPr>
          <w:w w:val="238"/>
          <w:sz w:val="16"/>
        </w:rPr>
        <w:t>l</w:t>
      </w:r>
      <w:r>
        <w:rPr>
          <w:w w:val="106"/>
          <w:sz w:val="16"/>
        </w:rPr>
        <w:t>as</w:t>
      </w:r>
      <w:r>
        <w:rPr>
          <w:spacing w:val="9"/>
          <w:sz w:val="16"/>
        </w:rPr>
        <w:t> </w:t>
      </w:r>
      <w:r>
        <w:rPr>
          <w:w w:val="106"/>
          <w:sz w:val="16"/>
        </w:rPr>
        <w:t>referencias</w:t>
      </w:r>
      <w:r>
        <w:rPr>
          <w:spacing w:val="9"/>
          <w:sz w:val="16"/>
        </w:rPr>
        <w:t> </w:t>
      </w:r>
      <w:r>
        <w:rPr>
          <w:w w:val="109"/>
          <w:sz w:val="16"/>
        </w:rPr>
        <w:t>al</w:t>
      </w:r>
      <w:r>
        <w:rPr>
          <w:spacing w:val="9"/>
          <w:sz w:val="16"/>
        </w:rPr>
        <w:t> </w:t>
      </w:r>
      <w:r>
        <w:rPr>
          <w:w w:val="140"/>
          <w:sz w:val="16"/>
        </w:rPr>
        <w:t>i</w:t>
      </w:r>
      <w:r>
        <w:rPr>
          <w:w w:val="125"/>
          <w:sz w:val="16"/>
        </w:rPr>
        <w:t>E</w:t>
      </w:r>
      <w:r>
        <w:rPr>
          <w:w w:val="175"/>
          <w:sz w:val="16"/>
        </w:rPr>
        <w:t>ral</w:t>
      </w:r>
      <w:r>
        <w:rPr>
          <w:spacing w:val="9"/>
          <w:sz w:val="16"/>
        </w:rPr>
        <w:t> </w:t>
      </w:r>
      <w:r>
        <w:rPr>
          <w:w w:val="106"/>
          <w:sz w:val="16"/>
        </w:rPr>
        <w:t>en</w:t>
      </w:r>
      <w:r>
        <w:rPr>
          <w:spacing w:val="9"/>
          <w:sz w:val="16"/>
        </w:rPr>
        <w:t> </w:t>
      </w:r>
      <w:r>
        <w:rPr>
          <w:w w:val="104"/>
          <w:sz w:val="16"/>
        </w:rPr>
        <w:t>el</w:t>
      </w:r>
      <w:r>
        <w:rPr>
          <w:spacing w:val="9"/>
          <w:sz w:val="16"/>
        </w:rPr>
        <w:t> </w:t>
      </w:r>
      <w:r>
        <w:rPr>
          <w:w w:val="108"/>
          <w:sz w:val="16"/>
        </w:rPr>
        <w:t>informe</w:t>
      </w:r>
      <w:r>
        <w:rPr>
          <w:spacing w:val="9"/>
          <w:sz w:val="16"/>
        </w:rPr>
        <w:t> </w:t>
      </w:r>
      <w:r>
        <w:rPr>
          <w:w w:val="105"/>
          <w:sz w:val="16"/>
        </w:rPr>
        <w:t>del</w:t>
      </w:r>
      <w:r>
        <w:rPr>
          <w:spacing w:val="9"/>
          <w:sz w:val="16"/>
        </w:rPr>
        <w:t> </w:t>
      </w:r>
      <w:r>
        <w:rPr>
          <w:w w:val="121"/>
          <w:sz w:val="16"/>
        </w:rPr>
        <w:t>C</w:t>
      </w:r>
      <w:r>
        <w:rPr>
          <w:w w:val="140"/>
          <w:sz w:val="16"/>
        </w:rPr>
        <w:t>i</w:t>
      </w:r>
      <w:r>
        <w:rPr>
          <w:w w:val="118"/>
          <w:sz w:val="16"/>
        </w:rPr>
        <w:t>PE</w:t>
      </w:r>
      <w:r>
        <w:rPr>
          <w:spacing w:val="9"/>
          <w:sz w:val="16"/>
        </w:rPr>
        <w:t> </w:t>
      </w:r>
      <w:r>
        <w:rPr>
          <w:w w:val="104"/>
          <w:sz w:val="16"/>
        </w:rPr>
        <w:t>de</w:t>
      </w:r>
      <w:r>
        <w:rPr>
          <w:spacing w:val="9"/>
          <w:sz w:val="16"/>
        </w:rPr>
        <w:t> </w:t>
      </w:r>
      <w:r>
        <w:rPr>
          <w:w w:val="100"/>
          <w:sz w:val="16"/>
        </w:rPr>
        <w:t>2003</w:t>
      </w:r>
      <w:r>
        <w:rPr>
          <w:spacing w:val="9"/>
          <w:sz w:val="16"/>
        </w:rPr>
        <w:t> </w:t>
      </w:r>
      <w:r>
        <w:rPr>
          <w:w w:val="107"/>
          <w:sz w:val="16"/>
        </w:rPr>
        <w:t>son</w:t>
      </w:r>
      <w:r>
        <w:rPr>
          <w:spacing w:val="9"/>
          <w:sz w:val="16"/>
        </w:rPr>
        <w:t> </w:t>
      </w:r>
      <w:r>
        <w:rPr>
          <w:w w:val="108"/>
          <w:sz w:val="16"/>
        </w:rPr>
        <w:t>poco</w:t>
      </w:r>
      <w:r>
        <w:rPr>
          <w:spacing w:val="9"/>
          <w:sz w:val="16"/>
        </w:rPr>
        <w:t> </w:t>
      </w:r>
      <w:r>
        <w:rPr>
          <w:w w:val="108"/>
          <w:sz w:val="16"/>
        </w:rPr>
        <w:t>precisas.</w:t>
      </w:r>
      <w:r>
        <w:rPr>
          <w:spacing w:val="9"/>
          <w:sz w:val="16"/>
        </w:rPr>
        <w:t> </w:t>
      </w:r>
      <w:r>
        <w:rPr>
          <w:w w:val="146"/>
          <w:sz w:val="16"/>
        </w:rPr>
        <w:t>s</w:t>
      </w:r>
      <w:r>
        <w:rPr>
          <w:w w:val="108"/>
          <w:sz w:val="16"/>
        </w:rPr>
        <w:t>ólo </w:t>
      </w:r>
      <w:r>
        <w:rPr>
          <w:w w:val="115"/>
          <w:sz w:val="16"/>
        </w:rPr>
        <w:t>informa</w:t>
      </w:r>
      <w:r>
        <w:rPr>
          <w:spacing w:val="-24"/>
          <w:w w:val="115"/>
          <w:sz w:val="16"/>
        </w:rPr>
        <w:t> </w:t>
      </w:r>
      <w:r>
        <w:rPr>
          <w:w w:val="115"/>
          <w:sz w:val="16"/>
        </w:rPr>
        <w:t>que</w:t>
      </w:r>
      <w:r>
        <w:rPr>
          <w:spacing w:val="-24"/>
          <w:w w:val="115"/>
          <w:sz w:val="16"/>
        </w:rPr>
        <w:t> </w:t>
      </w:r>
      <w:r>
        <w:rPr>
          <w:w w:val="115"/>
          <w:sz w:val="16"/>
        </w:rPr>
        <w:t>el</w:t>
      </w:r>
      <w:r>
        <w:rPr>
          <w:spacing w:val="-24"/>
          <w:w w:val="115"/>
          <w:sz w:val="16"/>
        </w:rPr>
        <w:t> </w:t>
      </w:r>
      <w:r>
        <w:rPr>
          <w:w w:val="115"/>
          <w:sz w:val="16"/>
        </w:rPr>
        <w:t>instituto</w:t>
      </w:r>
      <w:r>
        <w:rPr>
          <w:spacing w:val="-24"/>
          <w:w w:val="115"/>
          <w:sz w:val="16"/>
        </w:rPr>
        <w:t> </w:t>
      </w:r>
      <w:r>
        <w:rPr>
          <w:w w:val="115"/>
          <w:sz w:val="16"/>
        </w:rPr>
        <w:t>continúa</w:t>
      </w:r>
      <w:r>
        <w:rPr>
          <w:spacing w:val="-24"/>
          <w:w w:val="115"/>
          <w:sz w:val="16"/>
        </w:rPr>
        <w:t> </w:t>
      </w:r>
      <w:r>
        <w:rPr>
          <w:w w:val="115"/>
          <w:sz w:val="16"/>
        </w:rPr>
        <w:t>realizando</w:t>
      </w:r>
      <w:r>
        <w:rPr>
          <w:spacing w:val="-24"/>
          <w:w w:val="115"/>
          <w:sz w:val="16"/>
        </w:rPr>
        <w:t> </w:t>
      </w:r>
      <w:r>
        <w:rPr>
          <w:w w:val="115"/>
          <w:sz w:val="16"/>
        </w:rPr>
        <w:t>la</w:t>
      </w:r>
      <w:r>
        <w:rPr>
          <w:spacing w:val="-24"/>
          <w:w w:val="115"/>
          <w:sz w:val="16"/>
        </w:rPr>
        <w:t> </w:t>
      </w:r>
      <w:r>
        <w:rPr>
          <w:w w:val="115"/>
          <w:sz w:val="16"/>
        </w:rPr>
        <w:t>actividad</w:t>
      </w:r>
      <w:r>
        <w:rPr>
          <w:spacing w:val="-24"/>
          <w:w w:val="115"/>
          <w:sz w:val="16"/>
        </w:rPr>
        <w:t> </w:t>
      </w:r>
      <w:r>
        <w:rPr>
          <w:w w:val="115"/>
          <w:sz w:val="16"/>
        </w:rPr>
        <w:t>de</w:t>
      </w:r>
      <w:r>
        <w:rPr>
          <w:spacing w:val="-24"/>
          <w:w w:val="115"/>
          <w:sz w:val="16"/>
        </w:rPr>
        <w:t> </w:t>
      </w:r>
      <w:r>
        <w:rPr>
          <w:w w:val="115"/>
          <w:sz w:val="16"/>
        </w:rPr>
        <w:t>análisis</w:t>
      </w:r>
      <w:r>
        <w:rPr>
          <w:spacing w:val="-24"/>
          <w:w w:val="115"/>
          <w:sz w:val="16"/>
        </w:rPr>
        <w:t> </w:t>
      </w:r>
      <w:r>
        <w:rPr>
          <w:w w:val="115"/>
          <w:sz w:val="16"/>
        </w:rPr>
        <w:t>legislativa</w:t>
      </w:r>
      <w:r>
        <w:rPr>
          <w:spacing w:val="-24"/>
          <w:w w:val="115"/>
          <w:sz w:val="16"/>
        </w:rPr>
        <w:t> </w:t>
      </w:r>
      <w:r>
        <w:rPr>
          <w:w w:val="115"/>
          <w:sz w:val="16"/>
        </w:rPr>
        <w:t>para influenciar</w:t>
      </w:r>
      <w:r>
        <w:rPr>
          <w:spacing w:val="-25"/>
          <w:w w:val="115"/>
          <w:sz w:val="16"/>
        </w:rPr>
        <w:t> </w:t>
      </w:r>
      <w:r>
        <w:rPr>
          <w:w w:val="115"/>
          <w:sz w:val="16"/>
        </w:rPr>
        <w:t>el</w:t>
      </w:r>
      <w:r>
        <w:rPr>
          <w:spacing w:val="-25"/>
          <w:w w:val="115"/>
          <w:sz w:val="16"/>
        </w:rPr>
        <w:t> </w:t>
      </w:r>
      <w:r>
        <w:rPr>
          <w:w w:val="115"/>
          <w:sz w:val="16"/>
        </w:rPr>
        <w:t>Congreso</w:t>
      </w:r>
      <w:r>
        <w:rPr>
          <w:spacing w:val="-25"/>
          <w:w w:val="115"/>
          <w:sz w:val="16"/>
        </w:rPr>
        <w:t> </w:t>
      </w:r>
      <w:r>
        <w:rPr>
          <w:w w:val="115"/>
          <w:sz w:val="16"/>
        </w:rPr>
        <w:t>y</w:t>
      </w:r>
      <w:r>
        <w:rPr>
          <w:spacing w:val="-25"/>
          <w:w w:val="115"/>
          <w:sz w:val="16"/>
        </w:rPr>
        <w:t> </w:t>
      </w:r>
      <w:r>
        <w:rPr>
          <w:w w:val="115"/>
          <w:sz w:val="16"/>
        </w:rPr>
        <w:t>la</w:t>
      </w:r>
      <w:r>
        <w:rPr>
          <w:spacing w:val="-25"/>
          <w:w w:val="115"/>
          <w:sz w:val="16"/>
        </w:rPr>
        <w:t> </w:t>
      </w:r>
      <w:r>
        <w:rPr>
          <w:w w:val="115"/>
          <w:sz w:val="16"/>
        </w:rPr>
        <w:t>opinión</w:t>
      </w:r>
      <w:r>
        <w:rPr>
          <w:spacing w:val="-25"/>
          <w:w w:val="115"/>
          <w:sz w:val="16"/>
        </w:rPr>
        <w:t> </w:t>
      </w:r>
      <w:r>
        <w:rPr>
          <w:w w:val="115"/>
          <w:sz w:val="16"/>
        </w:rPr>
        <w:t>pública.</w:t>
      </w:r>
    </w:p>
    <w:p>
      <w:pPr>
        <w:pStyle w:val="ListParagraph"/>
        <w:numPr>
          <w:ilvl w:val="0"/>
          <w:numId w:val="28"/>
        </w:numPr>
        <w:tabs>
          <w:tab w:pos="586" w:val="left" w:leader="none"/>
        </w:tabs>
        <w:spacing w:line="242" w:lineRule="auto" w:before="57" w:after="0"/>
        <w:ind w:left="330" w:right="118" w:firstLine="0"/>
        <w:jc w:val="both"/>
        <w:rPr>
          <w:sz w:val="16"/>
        </w:rPr>
      </w:pPr>
      <w:r>
        <w:rPr>
          <w:spacing w:val="-4"/>
          <w:w w:val="110"/>
          <w:sz w:val="16"/>
        </w:rPr>
        <w:t>Ver</w:t>
      </w:r>
      <w:r>
        <w:rPr>
          <w:spacing w:val="-10"/>
          <w:w w:val="110"/>
          <w:sz w:val="16"/>
        </w:rPr>
        <w:t> </w:t>
      </w:r>
      <w:hyperlink r:id="rId320">
        <w:r>
          <w:rPr>
            <w:w w:val="110"/>
            <w:sz w:val="16"/>
          </w:rPr>
          <w:t>&lt;http://www.cippec.org&gt;,</w:t>
        </w:r>
      </w:hyperlink>
      <w:r>
        <w:rPr>
          <w:spacing w:val="-10"/>
          <w:w w:val="110"/>
          <w:sz w:val="16"/>
        </w:rPr>
        <w:t> </w:t>
      </w:r>
      <w:r>
        <w:rPr>
          <w:w w:val="110"/>
          <w:sz w:val="16"/>
        </w:rPr>
        <w:t>y</w:t>
      </w:r>
      <w:r>
        <w:rPr>
          <w:spacing w:val="-10"/>
          <w:w w:val="110"/>
          <w:sz w:val="16"/>
        </w:rPr>
        <w:t> </w:t>
      </w:r>
      <w:r>
        <w:rPr>
          <w:w w:val="110"/>
          <w:sz w:val="16"/>
        </w:rPr>
        <w:t>CiPE,</w:t>
      </w:r>
      <w:r>
        <w:rPr>
          <w:spacing w:val="-11"/>
          <w:w w:val="110"/>
          <w:sz w:val="16"/>
        </w:rPr>
        <w:t> </w:t>
      </w:r>
      <w:r>
        <w:rPr>
          <w:i/>
          <w:w w:val="110"/>
          <w:sz w:val="16"/>
        </w:rPr>
        <w:t>Annual</w:t>
      </w:r>
      <w:r>
        <w:rPr>
          <w:i/>
          <w:spacing w:val="-10"/>
          <w:w w:val="110"/>
          <w:sz w:val="16"/>
        </w:rPr>
        <w:t> </w:t>
      </w:r>
      <w:r>
        <w:rPr>
          <w:i/>
          <w:w w:val="110"/>
          <w:sz w:val="16"/>
        </w:rPr>
        <w:t>Report</w:t>
      </w:r>
      <w:r>
        <w:rPr>
          <w:w w:val="110"/>
          <w:sz w:val="16"/>
        </w:rPr>
        <w:t>,</w:t>
      </w:r>
      <w:r>
        <w:rPr>
          <w:spacing w:val="-10"/>
          <w:w w:val="110"/>
          <w:sz w:val="16"/>
        </w:rPr>
        <w:t> </w:t>
      </w:r>
      <w:r>
        <w:rPr>
          <w:w w:val="110"/>
          <w:sz w:val="16"/>
        </w:rPr>
        <w:t>2002</w:t>
      </w:r>
      <w:r>
        <w:rPr>
          <w:spacing w:val="-10"/>
          <w:w w:val="110"/>
          <w:sz w:val="16"/>
        </w:rPr>
        <w:t> </w:t>
      </w:r>
      <w:r>
        <w:rPr>
          <w:w w:val="110"/>
          <w:sz w:val="16"/>
        </w:rPr>
        <w:t>y</w:t>
      </w:r>
      <w:r>
        <w:rPr>
          <w:spacing w:val="-10"/>
          <w:w w:val="110"/>
          <w:sz w:val="16"/>
        </w:rPr>
        <w:t> </w:t>
      </w:r>
      <w:r>
        <w:rPr>
          <w:w w:val="110"/>
          <w:sz w:val="16"/>
        </w:rPr>
        <w:t>2007.</w:t>
      </w:r>
      <w:r>
        <w:rPr>
          <w:spacing w:val="-10"/>
          <w:w w:val="110"/>
          <w:sz w:val="16"/>
        </w:rPr>
        <w:t> </w:t>
      </w:r>
      <w:r>
        <w:rPr>
          <w:w w:val="110"/>
          <w:sz w:val="16"/>
        </w:rPr>
        <w:t>Entre</w:t>
      </w:r>
      <w:r>
        <w:rPr>
          <w:spacing w:val="-10"/>
          <w:w w:val="110"/>
          <w:sz w:val="16"/>
        </w:rPr>
        <w:t> </w:t>
      </w:r>
      <w:r>
        <w:rPr>
          <w:w w:val="110"/>
          <w:sz w:val="16"/>
        </w:rPr>
        <w:t>los</w:t>
      </w:r>
      <w:r>
        <w:rPr>
          <w:spacing w:val="-10"/>
          <w:w w:val="110"/>
          <w:sz w:val="16"/>
        </w:rPr>
        <w:t> </w:t>
      </w:r>
      <w:r>
        <w:rPr>
          <w:w w:val="110"/>
          <w:sz w:val="16"/>
        </w:rPr>
        <w:t>once “jóvenes profesionales” que fundaron el CiPPEC en 2000, ocho tenían en común su formación (de maestría o doctorado) en la Harvard university (cuatro en Políticas Públicas, tres en Economía, uno en administración Pública y otro en Política Edu- </w:t>
      </w:r>
      <w:r>
        <w:rPr>
          <w:w w:val="110"/>
          <w:sz w:val="16"/>
        </w:rPr>
        <w:t>cacional).</w:t>
      </w:r>
      <w:r>
        <w:rPr>
          <w:spacing w:val="4"/>
          <w:sz w:val="16"/>
        </w:rPr>
        <w:t> </w:t>
      </w:r>
      <w:r>
        <w:rPr>
          <w:w w:val="238"/>
          <w:sz w:val="16"/>
        </w:rPr>
        <w:t>l</w:t>
      </w:r>
      <w:r>
        <w:rPr>
          <w:w w:val="105"/>
          <w:sz w:val="16"/>
        </w:rPr>
        <w:t>os</w:t>
      </w:r>
      <w:r>
        <w:rPr>
          <w:spacing w:val="4"/>
          <w:sz w:val="16"/>
        </w:rPr>
        <w:t> </w:t>
      </w:r>
      <w:r>
        <w:rPr>
          <w:w w:val="107"/>
          <w:sz w:val="16"/>
        </w:rPr>
        <w:t>demás</w:t>
      </w:r>
      <w:r>
        <w:rPr>
          <w:spacing w:val="4"/>
          <w:sz w:val="16"/>
        </w:rPr>
        <w:t> </w:t>
      </w:r>
      <w:r>
        <w:rPr>
          <w:w w:val="107"/>
          <w:sz w:val="16"/>
        </w:rPr>
        <w:t>fundadores</w:t>
      </w:r>
      <w:r>
        <w:rPr>
          <w:spacing w:val="4"/>
          <w:sz w:val="16"/>
        </w:rPr>
        <w:t> </w:t>
      </w:r>
      <w:r>
        <w:rPr>
          <w:w w:val="102"/>
          <w:sz w:val="16"/>
        </w:rPr>
        <w:t>se</w:t>
      </w:r>
      <w:r>
        <w:rPr>
          <w:spacing w:val="4"/>
          <w:sz w:val="16"/>
        </w:rPr>
        <w:t> </w:t>
      </w:r>
      <w:r>
        <w:rPr>
          <w:w w:val="108"/>
          <w:sz w:val="16"/>
        </w:rPr>
        <w:t>formaron</w:t>
      </w:r>
      <w:r>
        <w:rPr>
          <w:spacing w:val="4"/>
          <w:sz w:val="16"/>
        </w:rPr>
        <w:t> </w:t>
      </w:r>
      <w:r>
        <w:rPr>
          <w:w w:val="106"/>
          <w:sz w:val="16"/>
        </w:rPr>
        <w:t>en</w:t>
      </w:r>
      <w:r>
        <w:rPr>
          <w:spacing w:val="4"/>
          <w:sz w:val="16"/>
        </w:rPr>
        <w:t> </w:t>
      </w:r>
      <w:r>
        <w:rPr>
          <w:w w:val="109"/>
          <w:sz w:val="16"/>
        </w:rPr>
        <w:t>la</w:t>
      </w:r>
      <w:r>
        <w:rPr>
          <w:spacing w:val="4"/>
          <w:sz w:val="16"/>
        </w:rPr>
        <w:t> </w:t>
      </w:r>
      <w:r>
        <w:rPr>
          <w:w w:val="238"/>
          <w:sz w:val="16"/>
        </w:rPr>
        <w:t>l</w:t>
      </w:r>
      <w:r>
        <w:rPr>
          <w:w w:val="108"/>
          <w:sz w:val="16"/>
        </w:rPr>
        <w:t>ondon</w:t>
      </w:r>
      <w:r>
        <w:rPr>
          <w:spacing w:val="4"/>
          <w:sz w:val="16"/>
        </w:rPr>
        <w:t> </w:t>
      </w:r>
      <w:r>
        <w:rPr>
          <w:w w:val="146"/>
          <w:sz w:val="16"/>
        </w:rPr>
        <w:t>s</w:t>
      </w:r>
      <w:r>
        <w:rPr>
          <w:w w:val="109"/>
          <w:sz w:val="16"/>
        </w:rPr>
        <w:t>chool</w:t>
      </w:r>
      <w:r>
        <w:rPr>
          <w:spacing w:val="4"/>
          <w:sz w:val="16"/>
        </w:rPr>
        <w:t> </w:t>
      </w:r>
      <w:r>
        <w:rPr>
          <w:w w:val="111"/>
          <w:sz w:val="16"/>
        </w:rPr>
        <w:t>of</w:t>
      </w:r>
      <w:r>
        <w:rPr>
          <w:spacing w:val="4"/>
          <w:sz w:val="16"/>
        </w:rPr>
        <w:t> </w:t>
      </w:r>
      <w:r>
        <w:rPr>
          <w:w w:val="112"/>
          <w:sz w:val="16"/>
        </w:rPr>
        <w:t>Economics,</w:t>
      </w:r>
      <w:r>
        <w:rPr>
          <w:spacing w:val="4"/>
          <w:sz w:val="16"/>
        </w:rPr>
        <w:t> </w:t>
      </w:r>
      <w:r>
        <w:rPr>
          <w:w w:val="106"/>
          <w:sz w:val="16"/>
        </w:rPr>
        <w:t>en </w:t>
      </w:r>
      <w:r>
        <w:rPr>
          <w:w w:val="110"/>
          <w:sz w:val="16"/>
        </w:rPr>
        <w:t>la</w:t>
      </w:r>
      <w:r>
        <w:rPr>
          <w:spacing w:val="-13"/>
          <w:w w:val="110"/>
          <w:sz w:val="16"/>
        </w:rPr>
        <w:t> </w:t>
      </w:r>
      <w:r>
        <w:rPr>
          <w:w w:val="110"/>
          <w:sz w:val="16"/>
        </w:rPr>
        <w:t>Northwestern</w:t>
      </w:r>
      <w:r>
        <w:rPr>
          <w:spacing w:val="-13"/>
          <w:w w:val="110"/>
          <w:sz w:val="16"/>
        </w:rPr>
        <w:t> </w:t>
      </w:r>
      <w:r>
        <w:rPr>
          <w:w w:val="110"/>
          <w:sz w:val="16"/>
        </w:rPr>
        <w:t>university</w:t>
      </w:r>
      <w:r>
        <w:rPr>
          <w:spacing w:val="-13"/>
          <w:w w:val="110"/>
          <w:sz w:val="16"/>
        </w:rPr>
        <w:t> </w:t>
      </w:r>
      <w:r>
        <w:rPr>
          <w:w w:val="110"/>
          <w:sz w:val="16"/>
        </w:rPr>
        <w:t>y</w:t>
      </w:r>
      <w:r>
        <w:rPr>
          <w:spacing w:val="-13"/>
          <w:w w:val="110"/>
          <w:sz w:val="16"/>
        </w:rPr>
        <w:t> </w:t>
      </w:r>
      <w:r>
        <w:rPr>
          <w:w w:val="110"/>
          <w:sz w:val="16"/>
        </w:rPr>
        <w:t>en</w:t>
      </w:r>
      <w:r>
        <w:rPr>
          <w:spacing w:val="-13"/>
          <w:w w:val="110"/>
          <w:sz w:val="16"/>
        </w:rPr>
        <w:t> </w:t>
      </w:r>
      <w:r>
        <w:rPr>
          <w:w w:val="110"/>
          <w:sz w:val="16"/>
        </w:rPr>
        <w:t>la</w:t>
      </w:r>
      <w:r>
        <w:rPr>
          <w:spacing w:val="-13"/>
          <w:w w:val="110"/>
          <w:sz w:val="16"/>
        </w:rPr>
        <w:t> </w:t>
      </w:r>
      <w:r>
        <w:rPr>
          <w:w w:val="110"/>
          <w:sz w:val="16"/>
        </w:rPr>
        <w:t>university</w:t>
      </w:r>
      <w:r>
        <w:rPr>
          <w:spacing w:val="-13"/>
          <w:w w:val="110"/>
          <w:sz w:val="16"/>
        </w:rPr>
        <w:t> </w:t>
      </w:r>
      <w:r>
        <w:rPr>
          <w:w w:val="110"/>
          <w:sz w:val="16"/>
        </w:rPr>
        <w:t>of</w:t>
      </w:r>
      <w:r>
        <w:rPr>
          <w:spacing w:val="-13"/>
          <w:w w:val="110"/>
          <w:sz w:val="16"/>
        </w:rPr>
        <w:t> </w:t>
      </w:r>
      <w:r>
        <w:rPr>
          <w:w w:val="110"/>
          <w:sz w:val="16"/>
        </w:rPr>
        <w:t>Chicago.</w:t>
      </w:r>
      <w:r>
        <w:rPr>
          <w:spacing w:val="-13"/>
          <w:w w:val="110"/>
          <w:sz w:val="16"/>
        </w:rPr>
        <w:t> </w:t>
      </w:r>
      <w:r>
        <w:rPr>
          <w:w w:val="110"/>
          <w:sz w:val="16"/>
        </w:rPr>
        <w:t>disponible</w:t>
      </w:r>
      <w:r>
        <w:rPr>
          <w:spacing w:val="-13"/>
          <w:w w:val="110"/>
          <w:sz w:val="16"/>
        </w:rPr>
        <w:t> </w:t>
      </w:r>
      <w:r>
        <w:rPr>
          <w:w w:val="110"/>
          <w:sz w:val="16"/>
        </w:rPr>
        <w:t>en</w:t>
      </w:r>
      <w:r>
        <w:rPr>
          <w:spacing w:val="-13"/>
          <w:w w:val="110"/>
          <w:sz w:val="16"/>
        </w:rPr>
        <w:t> </w:t>
      </w:r>
      <w:hyperlink r:id="rId139">
        <w:r>
          <w:rPr>
            <w:w w:val="110"/>
            <w:sz w:val="16"/>
          </w:rPr>
          <w:t>&lt;http://www</w:t>
        </w:r>
      </w:hyperlink>
      <w:r>
        <w:rPr>
          <w:w w:val="110"/>
          <w:sz w:val="16"/>
        </w:rPr>
        <w:t>. </w:t>
      </w:r>
      <w:r>
        <w:rPr>
          <w:w w:val="105"/>
          <w:sz w:val="16"/>
        </w:rPr>
        <w:t>cippec.org/Main.php?do=contentshow&amp;id=4&gt; según entrada hecha el  </w:t>
      </w:r>
      <w:r>
        <w:rPr>
          <w:spacing w:val="22"/>
          <w:w w:val="105"/>
          <w:sz w:val="16"/>
        </w:rPr>
        <w:t> </w:t>
      </w:r>
      <w:r>
        <w:rPr>
          <w:w w:val="105"/>
          <w:sz w:val="16"/>
        </w:rPr>
        <w:t>29/09/2008.</w:t>
      </w:r>
    </w:p>
    <w:p>
      <w:pPr>
        <w:pStyle w:val="ListParagraph"/>
        <w:numPr>
          <w:ilvl w:val="0"/>
          <w:numId w:val="28"/>
        </w:numPr>
        <w:tabs>
          <w:tab w:pos="586" w:val="left" w:leader="none"/>
        </w:tabs>
        <w:spacing w:line="242" w:lineRule="auto" w:before="57" w:after="0"/>
        <w:ind w:left="330" w:right="118" w:firstLine="0"/>
        <w:jc w:val="both"/>
        <w:rPr>
          <w:sz w:val="16"/>
        </w:rPr>
      </w:pPr>
      <w:r>
        <w:rPr>
          <w:w w:val="105"/>
          <w:sz w:val="16"/>
        </w:rPr>
        <w:t>informaciones colectadas a partir de los informes  del  NEd  (NEd, </w:t>
      </w:r>
      <w:r>
        <w:rPr>
          <w:i/>
          <w:w w:val="105"/>
          <w:sz w:val="16"/>
        </w:rPr>
        <w:t>Latin  America </w:t>
      </w:r>
      <w:r>
        <w:rPr>
          <w:i/>
          <w:w w:val="105"/>
          <w:sz w:val="16"/>
        </w:rPr>
        <w:t>and the Caribean Program</w:t>
      </w:r>
      <w:r>
        <w:rPr>
          <w:w w:val="105"/>
          <w:sz w:val="16"/>
        </w:rPr>
        <w:t>. disponible en </w:t>
      </w:r>
      <w:hyperlink r:id="rId321">
        <w:r>
          <w:rPr>
            <w:w w:val="105"/>
            <w:sz w:val="16"/>
          </w:rPr>
          <w:t>&lt;http:/www.ned.org/grants&gt;</w:t>
        </w:r>
      </w:hyperlink>
      <w:r>
        <w:rPr>
          <w:w w:val="105"/>
          <w:sz w:val="16"/>
        </w:rPr>
        <w:t> según entrada hecha el 31 de octubre de </w:t>
      </w:r>
      <w:r>
        <w:rPr>
          <w:spacing w:val="21"/>
          <w:w w:val="105"/>
          <w:sz w:val="16"/>
        </w:rPr>
        <w:t> </w:t>
      </w:r>
      <w:r>
        <w:rPr>
          <w:w w:val="105"/>
          <w:sz w:val="16"/>
        </w:rPr>
        <w:t>2008.</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8" w:firstLine="396"/>
        <w:jc w:val="both"/>
      </w:pPr>
      <w:r>
        <w:rPr>
          <w:w w:val="110"/>
        </w:rPr>
        <w:t>El CiPPEC recibe apoyo de varios gobiernos (alemania, Finlan- dia, suiza, Noruega) y organizaciones como la </w:t>
      </w:r>
      <w:r>
        <w:rPr>
          <w:i/>
          <w:w w:val="110"/>
        </w:rPr>
        <w:t>open Society Institute </w:t>
      </w:r>
      <w:r>
        <w:rPr>
          <w:w w:val="110"/>
        </w:rPr>
        <w:t>(osi), vinculada al mega-investigador George soros</w:t>
      </w:r>
      <w:r>
        <w:rPr>
          <w:w w:val="110"/>
          <w:position w:val="6"/>
          <w:sz w:val="11"/>
        </w:rPr>
        <w:t>19</w:t>
      </w:r>
      <w:r>
        <w:rPr>
          <w:w w:val="110"/>
        </w:rPr>
        <w:t>. además, una centena de empresas argentinas, multinacionales y grandes bancos son mencionados como</w:t>
      </w:r>
      <w:r>
        <w:rPr>
          <w:spacing w:val="43"/>
          <w:w w:val="110"/>
        </w:rPr>
        <w:t> </w:t>
      </w:r>
      <w:r>
        <w:rPr>
          <w:w w:val="110"/>
        </w:rPr>
        <w:t>financiadores</w:t>
      </w:r>
      <w:r>
        <w:rPr>
          <w:w w:val="110"/>
          <w:position w:val="6"/>
          <w:sz w:val="11"/>
        </w:rPr>
        <w:t>20</w:t>
      </w:r>
      <w:r>
        <w:rPr>
          <w:w w:val="110"/>
        </w:rPr>
        <w:t>.</w:t>
      </w:r>
    </w:p>
    <w:p>
      <w:pPr>
        <w:pStyle w:val="BodyText"/>
        <w:spacing w:line="252" w:lineRule="auto"/>
        <w:ind w:left="120" w:right="328" w:firstLine="397"/>
        <w:jc w:val="both"/>
      </w:pPr>
      <w:r>
        <w:rPr>
          <w:w w:val="110"/>
        </w:rPr>
        <w:t>En síntesis, el CiPPEC menciona el apoyo de 15 gobiernos, 25 agencias de cooperación internacional, 100 empresas y 164 personas. además de su actuación en el Congreso argentino, CiPPEC coopera  con el Ministerio de Educación en programas educacionales y con organizaciones de la sociedad civil. En 2011 realizó programas en 17 provincias y 11 municipios. En este mismo año el CiPE apoyó la ac- tuación del Centro en el proceso electoral, con el programa intitulado </w:t>
      </w:r>
      <w:r>
        <w:rPr>
          <w:i/>
          <w:w w:val="110"/>
        </w:rPr>
        <w:t>Agencia Presidencial 2011-2015. </w:t>
      </w:r>
      <w:r>
        <w:rPr>
          <w:w w:val="110"/>
        </w:rPr>
        <w:t>según datos del informe del CiPE y del mismo CiPPEC, la actuación del Centro fue muy activa en las elec- </w:t>
      </w:r>
      <w:r>
        <w:rPr>
          <w:w w:val="110"/>
        </w:rPr>
        <w:t>ciones</w:t>
      </w:r>
      <w:r>
        <w:rPr/>
        <w:t> </w:t>
      </w:r>
      <w:r>
        <w:rPr>
          <w:spacing w:val="-17"/>
        </w:rPr>
        <w:t> </w:t>
      </w:r>
      <w:r>
        <w:rPr>
          <w:w w:val="108"/>
        </w:rPr>
        <w:t>presidenciales</w:t>
      </w:r>
      <w:r>
        <w:rPr/>
        <w:t> </w:t>
      </w:r>
      <w:r>
        <w:rPr>
          <w:spacing w:val="-17"/>
        </w:rPr>
        <w:t> </w:t>
      </w:r>
      <w:r>
        <w:rPr>
          <w:w w:val="107"/>
        </w:rPr>
        <w:t>de</w:t>
      </w:r>
      <w:r>
        <w:rPr/>
        <w:t> </w:t>
      </w:r>
      <w:r>
        <w:rPr>
          <w:spacing w:val="-17"/>
        </w:rPr>
        <w:t> </w:t>
      </w:r>
      <w:r>
        <w:rPr>
          <w:w w:val="102"/>
        </w:rPr>
        <w:t>2011</w:t>
      </w:r>
      <w:r>
        <w:rPr>
          <w:w w:val="103"/>
          <w:position w:val="6"/>
          <w:sz w:val="11"/>
        </w:rPr>
        <w:t>21</w:t>
      </w:r>
      <w:r>
        <w:rPr>
          <w:w w:val="138"/>
        </w:rPr>
        <w:t>.</w:t>
      </w:r>
      <w:r>
        <w:rPr/>
        <w:t> </w:t>
      </w:r>
      <w:r>
        <w:rPr>
          <w:spacing w:val="-17"/>
        </w:rPr>
        <w:t> </w:t>
      </w:r>
      <w:r>
        <w:rPr>
          <w:w w:val="243"/>
        </w:rPr>
        <w:t>l</w:t>
      </w:r>
      <w:r>
        <w:rPr>
          <w:w w:val="110"/>
        </w:rPr>
        <w:t>o</w:t>
      </w:r>
      <w:r>
        <w:rPr/>
        <w:t> </w:t>
      </w:r>
      <w:r>
        <w:rPr>
          <w:spacing w:val="-17"/>
        </w:rPr>
        <w:t> </w:t>
      </w:r>
      <w:r>
        <w:rPr>
          <w:w w:val="112"/>
        </w:rPr>
        <w:t>mismo</w:t>
      </w:r>
      <w:r>
        <w:rPr/>
        <w:t> </w:t>
      </w:r>
      <w:r>
        <w:rPr>
          <w:spacing w:val="-17"/>
        </w:rPr>
        <w:t> </w:t>
      </w:r>
      <w:r>
        <w:rPr>
          <w:w w:val="108"/>
        </w:rPr>
        <w:t>parece</w:t>
      </w:r>
      <w:r>
        <w:rPr/>
        <w:t> </w:t>
      </w:r>
      <w:r>
        <w:rPr>
          <w:spacing w:val="-17"/>
        </w:rPr>
        <w:t> </w:t>
      </w:r>
      <w:r>
        <w:rPr>
          <w:w w:val="109"/>
        </w:rPr>
        <w:t>haber</w:t>
      </w:r>
      <w:r>
        <w:rPr/>
        <w:t> </w:t>
      </w:r>
      <w:r>
        <w:rPr>
          <w:spacing w:val="-17"/>
        </w:rPr>
        <w:t> </w:t>
      </w:r>
      <w:r>
        <w:rPr>
          <w:w w:val="110"/>
        </w:rPr>
        <w:t>ocurrido</w:t>
      </w:r>
      <w:r>
        <w:rPr/>
        <w:t> </w:t>
      </w:r>
      <w:r>
        <w:rPr>
          <w:spacing w:val="-17"/>
        </w:rPr>
        <w:t> </w:t>
      </w:r>
      <w:r>
        <w:rPr>
          <w:w w:val="108"/>
        </w:rPr>
        <w:t>en </w:t>
      </w:r>
      <w:r>
        <w:rPr>
          <w:w w:val="110"/>
        </w:rPr>
        <w:t>las elecciones de</w:t>
      </w:r>
      <w:r>
        <w:rPr>
          <w:spacing w:val="-7"/>
          <w:w w:val="110"/>
        </w:rPr>
        <w:t> </w:t>
      </w:r>
      <w:r>
        <w:rPr>
          <w:w w:val="110"/>
        </w:rPr>
        <w:t>2015.</w:t>
      </w:r>
    </w:p>
    <w:p>
      <w:pPr>
        <w:pStyle w:val="BodyText"/>
        <w:spacing w:line="252" w:lineRule="auto"/>
        <w:ind w:left="120" w:right="328" w:firstLine="396"/>
        <w:jc w:val="both"/>
      </w:pPr>
      <w:r>
        <w:rPr>
          <w:w w:val="110"/>
        </w:rPr>
        <w:t>En 2006, de acuerdo a su estrategia de apoyo a la gobernanza corporativa, el CiPE incluyó en su actuación en la argentina a la Fun- dación Centro para la Estabilidad Financiera (CEF), como se verá a continuación. En 2011, el proyecto en ejecución con el apoyo del CiPE se relaciona con la transparencia de los fondos públicos de   jubilación</w:t>
      </w:r>
    </w:p>
    <w:p>
      <w:pPr>
        <w:pStyle w:val="BodyText"/>
        <w:rPr>
          <w:sz w:val="20"/>
        </w:rPr>
      </w:pPr>
    </w:p>
    <w:p>
      <w:pPr>
        <w:pStyle w:val="BodyText"/>
        <w:spacing w:before="4"/>
        <w:rPr>
          <w:sz w:val="12"/>
        </w:rPr>
      </w:pPr>
      <w:r>
        <w:rPr/>
        <w:pict>
          <v:line style="position:absolute;mso-position-horizontal-relative:page;mso-position-vertical-relative:paragraph;z-index:5728;mso-wrap-distance-left:0;mso-wrap-distance-right:0" from="51.023602pt,9.468896pt" to="79.369602pt,9.468896pt" stroked="true" strokeweight=".5pt" strokecolor="#000000">
            <w10:wrap type="topAndBottom"/>
          </v:line>
        </w:pict>
      </w:r>
    </w:p>
    <w:p>
      <w:pPr>
        <w:pStyle w:val="ListParagraph"/>
        <w:numPr>
          <w:ilvl w:val="0"/>
          <w:numId w:val="28"/>
        </w:numPr>
        <w:tabs>
          <w:tab w:pos="376" w:val="left" w:leader="none"/>
        </w:tabs>
        <w:spacing w:line="242" w:lineRule="auto" w:before="89" w:after="0"/>
        <w:ind w:left="120" w:right="328" w:firstLine="0"/>
        <w:jc w:val="both"/>
        <w:rPr>
          <w:sz w:val="16"/>
        </w:rPr>
      </w:pPr>
      <w:r>
        <w:rPr>
          <w:w w:val="238"/>
          <w:sz w:val="16"/>
        </w:rPr>
        <w:t>l</w:t>
      </w:r>
      <w:r>
        <w:rPr>
          <w:w w:val="107"/>
          <w:sz w:val="16"/>
        </w:rPr>
        <w:t>ista</w:t>
      </w:r>
      <w:r>
        <w:rPr>
          <w:sz w:val="16"/>
        </w:rPr>
        <w:t> </w:t>
      </w:r>
      <w:r>
        <w:rPr>
          <w:spacing w:val="-14"/>
          <w:sz w:val="16"/>
        </w:rPr>
        <w:t> </w:t>
      </w:r>
      <w:r>
        <w:rPr>
          <w:w w:val="104"/>
          <w:sz w:val="16"/>
        </w:rPr>
        <w:t>de</w:t>
      </w:r>
      <w:r>
        <w:rPr>
          <w:sz w:val="16"/>
        </w:rPr>
        <w:t> </w:t>
      </w:r>
      <w:r>
        <w:rPr>
          <w:spacing w:val="-14"/>
          <w:sz w:val="16"/>
        </w:rPr>
        <w:t> </w:t>
      </w:r>
      <w:r>
        <w:rPr>
          <w:w w:val="106"/>
          <w:sz w:val="16"/>
        </w:rPr>
        <w:t>otras</w:t>
      </w:r>
      <w:r>
        <w:rPr>
          <w:sz w:val="16"/>
        </w:rPr>
        <w:t> </w:t>
      </w:r>
      <w:r>
        <w:rPr>
          <w:spacing w:val="-14"/>
          <w:sz w:val="16"/>
        </w:rPr>
        <w:t> </w:t>
      </w:r>
      <w:r>
        <w:rPr>
          <w:w w:val="108"/>
          <w:sz w:val="16"/>
        </w:rPr>
        <w:t>organizaciones</w:t>
      </w:r>
      <w:r>
        <w:rPr>
          <w:sz w:val="16"/>
        </w:rPr>
        <w:t> </w:t>
      </w:r>
      <w:r>
        <w:rPr>
          <w:spacing w:val="-14"/>
          <w:sz w:val="16"/>
        </w:rPr>
        <w:t> </w:t>
      </w:r>
      <w:r>
        <w:rPr>
          <w:w w:val="106"/>
          <w:sz w:val="16"/>
        </w:rPr>
        <w:t>que</w:t>
      </w:r>
      <w:r>
        <w:rPr>
          <w:sz w:val="16"/>
        </w:rPr>
        <w:t> </w:t>
      </w:r>
      <w:r>
        <w:rPr>
          <w:spacing w:val="-14"/>
          <w:sz w:val="16"/>
        </w:rPr>
        <w:t> </w:t>
      </w:r>
      <w:r>
        <w:rPr>
          <w:w w:val="107"/>
          <w:sz w:val="16"/>
        </w:rPr>
        <w:t>apoyan</w:t>
      </w:r>
      <w:r>
        <w:rPr>
          <w:sz w:val="16"/>
        </w:rPr>
        <w:t> </w:t>
      </w:r>
      <w:r>
        <w:rPr>
          <w:spacing w:val="-14"/>
          <w:sz w:val="16"/>
        </w:rPr>
        <w:t> </w:t>
      </w:r>
      <w:r>
        <w:rPr>
          <w:w w:val="121"/>
          <w:sz w:val="16"/>
        </w:rPr>
        <w:t>C</w:t>
      </w:r>
      <w:r>
        <w:rPr>
          <w:w w:val="140"/>
          <w:sz w:val="16"/>
        </w:rPr>
        <w:t>i</w:t>
      </w:r>
      <w:r>
        <w:rPr>
          <w:w w:val="117"/>
          <w:sz w:val="16"/>
        </w:rPr>
        <w:t>PPEC</w:t>
      </w:r>
      <w:r>
        <w:rPr>
          <w:w w:val="135"/>
          <w:sz w:val="16"/>
        </w:rPr>
        <w:t>,</w:t>
      </w:r>
      <w:r>
        <w:rPr>
          <w:sz w:val="16"/>
        </w:rPr>
        <w:t> </w:t>
      </w:r>
      <w:r>
        <w:rPr>
          <w:spacing w:val="-14"/>
          <w:sz w:val="16"/>
        </w:rPr>
        <w:t> </w:t>
      </w:r>
      <w:r>
        <w:rPr>
          <w:w w:val="104"/>
          <w:sz w:val="16"/>
        </w:rPr>
        <w:t>de</w:t>
      </w:r>
      <w:r>
        <w:rPr>
          <w:sz w:val="16"/>
        </w:rPr>
        <w:t> </w:t>
      </w:r>
      <w:r>
        <w:rPr>
          <w:spacing w:val="-14"/>
          <w:sz w:val="16"/>
        </w:rPr>
        <w:t> </w:t>
      </w:r>
      <w:r>
        <w:rPr>
          <w:w w:val="107"/>
          <w:sz w:val="16"/>
        </w:rPr>
        <w:t>acuerdo</w:t>
      </w:r>
      <w:r>
        <w:rPr>
          <w:sz w:val="16"/>
        </w:rPr>
        <w:t> </w:t>
      </w:r>
      <w:r>
        <w:rPr>
          <w:spacing w:val="-14"/>
          <w:sz w:val="16"/>
        </w:rPr>
        <w:t> </w:t>
      </w:r>
      <w:r>
        <w:rPr>
          <w:w w:val="109"/>
          <w:sz w:val="16"/>
        </w:rPr>
        <w:t>a</w:t>
      </w:r>
      <w:r>
        <w:rPr>
          <w:sz w:val="16"/>
        </w:rPr>
        <w:t> </w:t>
      </w:r>
      <w:r>
        <w:rPr>
          <w:spacing w:val="-14"/>
          <w:sz w:val="16"/>
        </w:rPr>
        <w:t> </w:t>
      </w:r>
      <w:r>
        <w:rPr>
          <w:w w:val="109"/>
          <w:sz w:val="16"/>
        </w:rPr>
        <w:t>informaciones </w:t>
      </w:r>
      <w:r>
        <w:rPr>
          <w:w w:val="110"/>
          <w:sz w:val="16"/>
        </w:rPr>
        <w:t>del mismo Centro: </w:t>
      </w:r>
      <w:r>
        <w:rPr>
          <w:i/>
          <w:w w:val="110"/>
          <w:sz w:val="16"/>
        </w:rPr>
        <w:t>International Initiative for Impact Evaluation </w:t>
      </w:r>
      <w:r>
        <w:rPr>
          <w:w w:val="110"/>
          <w:sz w:val="16"/>
        </w:rPr>
        <w:t>(3iE), banco Mun- dial, </w:t>
      </w:r>
      <w:r>
        <w:rPr>
          <w:w w:val="120"/>
          <w:sz w:val="16"/>
        </w:rPr>
        <w:t>bid, </w:t>
      </w:r>
      <w:r>
        <w:rPr>
          <w:w w:val="110"/>
          <w:sz w:val="16"/>
        </w:rPr>
        <w:t>brookings, Embajada de alemania (Fondo de democracia y Fondo de de- rechos Humanos del Ministerio de relaciones Exteriores), Embajada de Finlandia, Embajada de suiza (Ministerio de relaciones Exteriores), Fondo de anticorrupción Noruego (bid), </w:t>
      </w:r>
      <w:r>
        <w:rPr>
          <w:w w:val="120"/>
          <w:sz w:val="16"/>
        </w:rPr>
        <w:t>FoNtra, </w:t>
      </w:r>
      <w:r>
        <w:rPr>
          <w:i/>
          <w:w w:val="110"/>
          <w:sz w:val="16"/>
        </w:rPr>
        <w:t>Global Development Network </w:t>
      </w:r>
      <w:r>
        <w:rPr>
          <w:w w:val="110"/>
          <w:sz w:val="16"/>
        </w:rPr>
        <w:t>(GdN), </w:t>
      </w:r>
      <w:r>
        <w:rPr>
          <w:w w:val="120"/>
          <w:sz w:val="16"/>
        </w:rPr>
        <w:t>idrC, </w:t>
      </w:r>
      <w:r>
        <w:rPr>
          <w:i/>
          <w:w w:val="110"/>
          <w:sz w:val="16"/>
        </w:rPr>
        <w:t>National En- </w:t>
      </w:r>
      <w:r>
        <w:rPr>
          <w:i/>
          <w:w w:val="110"/>
          <w:sz w:val="16"/>
        </w:rPr>
        <w:t>dowment</w:t>
      </w:r>
      <w:r>
        <w:rPr>
          <w:i/>
          <w:spacing w:val="-5"/>
          <w:w w:val="110"/>
          <w:sz w:val="16"/>
        </w:rPr>
        <w:t> </w:t>
      </w:r>
      <w:r>
        <w:rPr>
          <w:i/>
          <w:w w:val="110"/>
          <w:sz w:val="16"/>
        </w:rPr>
        <w:t>for</w:t>
      </w:r>
      <w:r>
        <w:rPr>
          <w:i/>
          <w:spacing w:val="-5"/>
          <w:w w:val="110"/>
          <w:sz w:val="16"/>
        </w:rPr>
        <w:t> </w:t>
      </w:r>
      <w:r>
        <w:rPr>
          <w:i/>
          <w:w w:val="110"/>
          <w:sz w:val="16"/>
        </w:rPr>
        <w:t>Democracy</w:t>
      </w:r>
      <w:r>
        <w:rPr>
          <w:w w:val="110"/>
          <w:sz w:val="16"/>
        </w:rPr>
        <w:t>,</w:t>
      </w:r>
      <w:r>
        <w:rPr>
          <w:spacing w:val="-5"/>
          <w:w w:val="110"/>
          <w:sz w:val="16"/>
        </w:rPr>
        <w:t> </w:t>
      </w:r>
      <w:r>
        <w:rPr>
          <w:i/>
          <w:w w:val="110"/>
          <w:sz w:val="16"/>
        </w:rPr>
        <w:t>overseas</w:t>
      </w:r>
      <w:r>
        <w:rPr>
          <w:i/>
          <w:spacing w:val="-5"/>
          <w:w w:val="110"/>
          <w:sz w:val="16"/>
        </w:rPr>
        <w:t> </w:t>
      </w:r>
      <w:r>
        <w:rPr>
          <w:i/>
          <w:w w:val="110"/>
          <w:sz w:val="16"/>
        </w:rPr>
        <w:t>Development</w:t>
      </w:r>
      <w:r>
        <w:rPr>
          <w:i/>
          <w:spacing w:val="-5"/>
          <w:w w:val="110"/>
          <w:sz w:val="16"/>
        </w:rPr>
        <w:t> </w:t>
      </w:r>
      <w:r>
        <w:rPr>
          <w:i/>
          <w:w w:val="110"/>
          <w:sz w:val="16"/>
        </w:rPr>
        <w:t>Institute</w:t>
      </w:r>
      <w:r>
        <w:rPr>
          <w:i/>
          <w:spacing w:val="-5"/>
          <w:w w:val="110"/>
          <w:sz w:val="16"/>
        </w:rPr>
        <w:t> </w:t>
      </w:r>
      <w:r>
        <w:rPr>
          <w:w w:val="110"/>
          <w:sz w:val="16"/>
        </w:rPr>
        <w:t>(odi),</w:t>
      </w:r>
      <w:r>
        <w:rPr>
          <w:spacing w:val="-5"/>
          <w:w w:val="110"/>
          <w:sz w:val="16"/>
        </w:rPr>
        <w:t> </w:t>
      </w:r>
      <w:r>
        <w:rPr>
          <w:i/>
          <w:w w:val="110"/>
          <w:sz w:val="16"/>
        </w:rPr>
        <w:t>Partnership</w:t>
      </w:r>
      <w:r>
        <w:rPr>
          <w:i/>
          <w:spacing w:val="-5"/>
          <w:w w:val="110"/>
          <w:sz w:val="16"/>
        </w:rPr>
        <w:t> </w:t>
      </w:r>
      <w:r>
        <w:rPr>
          <w:i/>
          <w:w w:val="110"/>
          <w:sz w:val="16"/>
        </w:rPr>
        <w:t>for</w:t>
      </w:r>
      <w:r>
        <w:rPr>
          <w:i/>
          <w:spacing w:val="-5"/>
          <w:w w:val="110"/>
          <w:sz w:val="16"/>
        </w:rPr>
        <w:t> </w:t>
      </w:r>
      <w:r>
        <w:rPr>
          <w:i/>
          <w:spacing w:val="-3"/>
          <w:w w:val="110"/>
          <w:sz w:val="16"/>
        </w:rPr>
        <w:t>Trans- </w:t>
      </w:r>
      <w:r>
        <w:rPr>
          <w:i/>
          <w:w w:val="110"/>
          <w:sz w:val="16"/>
        </w:rPr>
        <w:t>parency Fund </w:t>
      </w:r>
      <w:r>
        <w:rPr>
          <w:w w:val="110"/>
          <w:sz w:val="16"/>
        </w:rPr>
        <w:t>(PtF), </w:t>
      </w:r>
      <w:r>
        <w:rPr>
          <w:i/>
          <w:w w:val="110"/>
          <w:sz w:val="16"/>
        </w:rPr>
        <w:t>Save the Children</w:t>
      </w:r>
      <w:r>
        <w:rPr>
          <w:w w:val="110"/>
          <w:sz w:val="16"/>
        </w:rPr>
        <w:t>, </w:t>
      </w:r>
      <w:r>
        <w:rPr>
          <w:w w:val="120"/>
          <w:sz w:val="16"/>
        </w:rPr>
        <w:t>tiNKEr, </w:t>
      </w:r>
      <w:r>
        <w:rPr>
          <w:spacing w:val="-3"/>
          <w:w w:val="120"/>
          <w:sz w:val="16"/>
        </w:rPr>
        <w:t>uNiCEF, </w:t>
      </w:r>
      <w:r>
        <w:rPr>
          <w:i/>
          <w:w w:val="110"/>
          <w:sz w:val="16"/>
        </w:rPr>
        <w:t>World Health organization/ </w:t>
      </w:r>
      <w:r>
        <w:rPr>
          <w:i/>
          <w:w w:val="105"/>
          <w:sz w:val="16"/>
        </w:rPr>
        <w:t>Alliance</w:t>
      </w:r>
      <w:r>
        <w:rPr>
          <w:w w:val="105"/>
          <w:sz w:val="16"/>
        </w:rPr>
        <w:t>. disponible en &lt;</w:t>
      </w:r>
      <w:hyperlink r:id="rId322">
        <w:r>
          <w:rPr>
            <w:w w:val="105"/>
            <w:sz w:val="16"/>
          </w:rPr>
          <w:t>http://www.cippec.org/Main.php?do=contentshow&amp;id=17</w:t>
        </w:r>
      </w:hyperlink>
      <w:r>
        <w:rPr>
          <w:w w:val="105"/>
          <w:sz w:val="16"/>
        </w:rPr>
        <w:t>&gt; </w:t>
      </w:r>
      <w:r>
        <w:rPr>
          <w:w w:val="110"/>
          <w:sz w:val="16"/>
        </w:rPr>
        <w:t>según</w:t>
      </w:r>
      <w:r>
        <w:rPr>
          <w:spacing w:val="-8"/>
          <w:w w:val="110"/>
          <w:sz w:val="16"/>
        </w:rPr>
        <w:t> </w:t>
      </w:r>
      <w:r>
        <w:rPr>
          <w:w w:val="110"/>
          <w:sz w:val="16"/>
        </w:rPr>
        <w:t>entrada</w:t>
      </w:r>
      <w:r>
        <w:rPr>
          <w:spacing w:val="-8"/>
          <w:w w:val="110"/>
          <w:sz w:val="16"/>
        </w:rPr>
        <w:t> </w:t>
      </w:r>
      <w:r>
        <w:rPr>
          <w:w w:val="110"/>
          <w:sz w:val="16"/>
        </w:rPr>
        <w:t>hecha</w:t>
      </w:r>
      <w:r>
        <w:rPr>
          <w:spacing w:val="-8"/>
          <w:w w:val="110"/>
          <w:sz w:val="16"/>
        </w:rPr>
        <w:t> </w:t>
      </w:r>
      <w:r>
        <w:rPr>
          <w:w w:val="110"/>
          <w:sz w:val="16"/>
        </w:rPr>
        <w:t>el</w:t>
      </w:r>
      <w:r>
        <w:rPr>
          <w:spacing w:val="-8"/>
          <w:w w:val="110"/>
          <w:sz w:val="16"/>
        </w:rPr>
        <w:t> </w:t>
      </w:r>
      <w:r>
        <w:rPr>
          <w:w w:val="110"/>
          <w:sz w:val="16"/>
        </w:rPr>
        <w:t>día</w:t>
      </w:r>
      <w:r>
        <w:rPr>
          <w:spacing w:val="-8"/>
          <w:w w:val="110"/>
          <w:sz w:val="16"/>
        </w:rPr>
        <w:t> </w:t>
      </w:r>
      <w:r>
        <w:rPr>
          <w:w w:val="110"/>
          <w:sz w:val="16"/>
        </w:rPr>
        <w:t>23</w:t>
      </w:r>
      <w:r>
        <w:rPr>
          <w:spacing w:val="-8"/>
          <w:w w:val="110"/>
          <w:sz w:val="16"/>
        </w:rPr>
        <w:t> </w:t>
      </w:r>
      <w:r>
        <w:rPr>
          <w:w w:val="110"/>
          <w:sz w:val="16"/>
        </w:rPr>
        <w:t>de</w:t>
      </w:r>
      <w:r>
        <w:rPr>
          <w:spacing w:val="-8"/>
          <w:w w:val="110"/>
          <w:sz w:val="16"/>
        </w:rPr>
        <w:t> </w:t>
      </w:r>
      <w:r>
        <w:rPr>
          <w:w w:val="110"/>
          <w:sz w:val="16"/>
        </w:rPr>
        <w:t>mayo</w:t>
      </w:r>
      <w:r>
        <w:rPr>
          <w:spacing w:val="-8"/>
          <w:w w:val="110"/>
          <w:sz w:val="16"/>
        </w:rPr>
        <w:t> </w:t>
      </w:r>
      <w:r>
        <w:rPr>
          <w:w w:val="110"/>
          <w:sz w:val="16"/>
        </w:rPr>
        <w:t>de</w:t>
      </w:r>
      <w:r>
        <w:rPr>
          <w:spacing w:val="-8"/>
          <w:w w:val="110"/>
          <w:sz w:val="16"/>
        </w:rPr>
        <w:t> </w:t>
      </w:r>
      <w:r>
        <w:rPr>
          <w:w w:val="110"/>
          <w:sz w:val="16"/>
        </w:rPr>
        <w:t>2012</w:t>
      </w:r>
      <w:r>
        <w:rPr>
          <w:spacing w:val="-8"/>
          <w:w w:val="110"/>
          <w:sz w:val="16"/>
        </w:rPr>
        <w:t> </w:t>
      </w:r>
      <w:r>
        <w:rPr>
          <w:w w:val="110"/>
          <w:sz w:val="16"/>
        </w:rPr>
        <w:t>y</w:t>
      </w:r>
      <w:r>
        <w:rPr>
          <w:spacing w:val="-8"/>
          <w:w w:val="110"/>
          <w:sz w:val="16"/>
        </w:rPr>
        <w:t> </w:t>
      </w:r>
      <w:r>
        <w:rPr>
          <w:w w:val="110"/>
          <w:sz w:val="16"/>
        </w:rPr>
        <w:t>16</w:t>
      </w:r>
      <w:r>
        <w:rPr>
          <w:spacing w:val="-8"/>
          <w:w w:val="110"/>
          <w:sz w:val="16"/>
        </w:rPr>
        <w:t> </w:t>
      </w:r>
      <w:r>
        <w:rPr>
          <w:w w:val="110"/>
          <w:sz w:val="16"/>
        </w:rPr>
        <w:t>agosto</w:t>
      </w:r>
      <w:r>
        <w:rPr>
          <w:spacing w:val="-8"/>
          <w:w w:val="110"/>
          <w:sz w:val="16"/>
        </w:rPr>
        <w:t> </w:t>
      </w:r>
      <w:r>
        <w:rPr>
          <w:w w:val="110"/>
          <w:sz w:val="16"/>
        </w:rPr>
        <w:t>de</w:t>
      </w:r>
      <w:r>
        <w:rPr>
          <w:spacing w:val="-8"/>
          <w:w w:val="110"/>
          <w:sz w:val="16"/>
        </w:rPr>
        <w:t> </w:t>
      </w:r>
      <w:r>
        <w:rPr>
          <w:w w:val="110"/>
          <w:sz w:val="16"/>
        </w:rPr>
        <w:t>2013.</w:t>
      </w:r>
    </w:p>
    <w:p>
      <w:pPr>
        <w:pStyle w:val="ListParagraph"/>
        <w:numPr>
          <w:ilvl w:val="0"/>
          <w:numId w:val="28"/>
        </w:numPr>
        <w:tabs>
          <w:tab w:pos="376" w:val="left" w:leader="none"/>
        </w:tabs>
        <w:spacing w:line="242" w:lineRule="auto" w:before="57" w:after="0"/>
        <w:ind w:left="120" w:right="327" w:firstLine="0"/>
        <w:jc w:val="both"/>
        <w:rPr>
          <w:sz w:val="16"/>
        </w:rPr>
      </w:pPr>
      <w:r>
        <w:rPr>
          <w:w w:val="110"/>
          <w:sz w:val="16"/>
        </w:rPr>
        <w:t>Entre las empresas se cuentan 3M, </w:t>
      </w:r>
      <w:r>
        <w:rPr>
          <w:w w:val="120"/>
          <w:sz w:val="16"/>
        </w:rPr>
        <w:t>aEa, </w:t>
      </w:r>
      <w:r>
        <w:rPr>
          <w:w w:val="110"/>
          <w:sz w:val="16"/>
        </w:rPr>
        <w:t>aeropuertos argentina 2000, american Express, Coca Cola, dell, Fiat, Grupo </w:t>
      </w:r>
      <w:r>
        <w:rPr>
          <w:w w:val="120"/>
          <w:sz w:val="16"/>
        </w:rPr>
        <w:t>arCor, </w:t>
      </w:r>
      <w:r>
        <w:rPr>
          <w:w w:val="110"/>
          <w:sz w:val="16"/>
        </w:rPr>
        <w:t>intel, Petrobras, Philips, Microsoft, siemens, telecom, telefónica, </w:t>
      </w:r>
      <w:r>
        <w:rPr>
          <w:spacing w:val="-3"/>
          <w:w w:val="110"/>
          <w:sz w:val="16"/>
        </w:rPr>
        <w:t>Vale, </w:t>
      </w:r>
      <w:r>
        <w:rPr>
          <w:spacing w:val="-5"/>
          <w:w w:val="110"/>
          <w:sz w:val="16"/>
        </w:rPr>
        <w:t>YPF.  </w:t>
      </w:r>
      <w:r>
        <w:rPr>
          <w:w w:val="110"/>
          <w:sz w:val="16"/>
        </w:rPr>
        <w:t>Entre  los  bancos  cabe  mencionar  banco de la Ciudad de buenos aires, santander </w:t>
      </w:r>
      <w:r>
        <w:rPr>
          <w:w w:val="120"/>
          <w:sz w:val="16"/>
        </w:rPr>
        <w:t>rio </w:t>
      </w:r>
      <w:r>
        <w:rPr>
          <w:w w:val="110"/>
          <w:sz w:val="16"/>
        </w:rPr>
        <w:t>y el deustche bank. además de asocia- ciones empresariales como la aMCHaM (Cámara americana de Comercio), con la cual el CiPE está vinculado, y la asociación de bancos de la argentina (aba) que re- úne</w:t>
      </w:r>
      <w:r>
        <w:rPr>
          <w:spacing w:val="-12"/>
          <w:w w:val="110"/>
          <w:sz w:val="16"/>
        </w:rPr>
        <w:t> </w:t>
      </w:r>
      <w:r>
        <w:rPr>
          <w:w w:val="110"/>
          <w:sz w:val="16"/>
        </w:rPr>
        <w:t>a</w:t>
      </w:r>
      <w:r>
        <w:rPr>
          <w:spacing w:val="-12"/>
          <w:w w:val="110"/>
          <w:sz w:val="16"/>
        </w:rPr>
        <w:t> </w:t>
      </w:r>
      <w:r>
        <w:rPr>
          <w:w w:val="110"/>
          <w:sz w:val="16"/>
        </w:rPr>
        <w:t>los</w:t>
      </w:r>
      <w:r>
        <w:rPr>
          <w:spacing w:val="-12"/>
          <w:w w:val="110"/>
          <w:sz w:val="16"/>
        </w:rPr>
        <w:t> </w:t>
      </w:r>
      <w:r>
        <w:rPr>
          <w:w w:val="110"/>
          <w:sz w:val="16"/>
        </w:rPr>
        <w:t>bancos</w:t>
      </w:r>
      <w:r>
        <w:rPr>
          <w:spacing w:val="-12"/>
          <w:w w:val="110"/>
          <w:sz w:val="16"/>
        </w:rPr>
        <w:t> </w:t>
      </w:r>
      <w:r>
        <w:rPr>
          <w:w w:val="110"/>
          <w:sz w:val="16"/>
        </w:rPr>
        <w:t>extranjeros</w:t>
      </w:r>
      <w:r>
        <w:rPr>
          <w:spacing w:val="-12"/>
          <w:w w:val="110"/>
          <w:sz w:val="16"/>
        </w:rPr>
        <w:t> </w:t>
      </w:r>
      <w:r>
        <w:rPr>
          <w:w w:val="110"/>
          <w:sz w:val="16"/>
        </w:rPr>
        <w:t>en</w:t>
      </w:r>
      <w:r>
        <w:rPr>
          <w:spacing w:val="-12"/>
          <w:w w:val="110"/>
          <w:sz w:val="16"/>
        </w:rPr>
        <w:t> </w:t>
      </w:r>
      <w:r>
        <w:rPr>
          <w:w w:val="110"/>
          <w:sz w:val="16"/>
        </w:rPr>
        <w:t>el</w:t>
      </w:r>
      <w:r>
        <w:rPr>
          <w:spacing w:val="-12"/>
          <w:w w:val="110"/>
          <w:sz w:val="16"/>
        </w:rPr>
        <w:t> </w:t>
      </w:r>
      <w:r>
        <w:rPr>
          <w:w w:val="110"/>
          <w:sz w:val="16"/>
        </w:rPr>
        <w:t>país.</w:t>
      </w:r>
      <w:r>
        <w:rPr>
          <w:spacing w:val="-12"/>
          <w:w w:val="110"/>
          <w:sz w:val="16"/>
        </w:rPr>
        <w:t> </w:t>
      </w:r>
      <w:r>
        <w:rPr>
          <w:w w:val="110"/>
          <w:sz w:val="16"/>
        </w:rPr>
        <w:t>disponible</w:t>
      </w:r>
      <w:r>
        <w:rPr>
          <w:spacing w:val="-12"/>
          <w:w w:val="110"/>
          <w:sz w:val="16"/>
        </w:rPr>
        <w:t> </w:t>
      </w:r>
      <w:r>
        <w:rPr>
          <w:w w:val="110"/>
          <w:sz w:val="16"/>
        </w:rPr>
        <w:t>en</w:t>
      </w:r>
      <w:r>
        <w:rPr>
          <w:spacing w:val="-12"/>
          <w:w w:val="110"/>
          <w:sz w:val="16"/>
        </w:rPr>
        <w:t> </w:t>
      </w:r>
      <w:hyperlink r:id="rId323">
        <w:r>
          <w:rPr>
            <w:w w:val="110"/>
            <w:sz w:val="16"/>
          </w:rPr>
          <w:t>&lt;http://www.cippec.org/Main.</w:t>
        </w:r>
      </w:hyperlink>
      <w:r>
        <w:rPr>
          <w:w w:val="110"/>
          <w:sz w:val="16"/>
        </w:rPr>
        <w:t> php?do=contentshow&amp;id=17&gt;</w:t>
      </w:r>
      <w:r>
        <w:rPr>
          <w:spacing w:val="-8"/>
          <w:w w:val="110"/>
          <w:sz w:val="16"/>
        </w:rPr>
        <w:t> </w:t>
      </w:r>
      <w:r>
        <w:rPr>
          <w:w w:val="110"/>
          <w:sz w:val="16"/>
        </w:rPr>
        <w:t>según</w:t>
      </w:r>
      <w:r>
        <w:rPr>
          <w:spacing w:val="-8"/>
          <w:w w:val="110"/>
          <w:sz w:val="16"/>
        </w:rPr>
        <w:t> </w:t>
      </w:r>
      <w:r>
        <w:rPr>
          <w:w w:val="110"/>
          <w:sz w:val="16"/>
        </w:rPr>
        <w:t>entrada</w:t>
      </w:r>
      <w:r>
        <w:rPr>
          <w:spacing w:val="-8"/>
          <w:w w:val="110"/>
          <w:sz w:val="16"/>
        </w:rPr>
        <w:t> </w:t>
      </w:r>
      <w:r>
        <w:rPr>
          <w:w w:val="110"/>
          <w:sz w:val="16"/>
        </w:rPr>
        <w:t>hecha</w:t>
      </w:r>
      <w:r>
        <w:rPr>
          <w:spacing w:val="-8"/>
          <w:w w:val="110"/>
          <w:sz w:val="16"/>
        </w:rPr>
        <w:t> </w:t>
      </w:r>
      <w:r>
        <w:rPr>
          <w:w w:val="110"/>
          <w:sz w:val="16"/>
        </w:rPr>
        <w:t>el</w:t>
      </w:r>
      <w:r>
        <w:rPr>
          <w:spacing w:val="-8"/>
          <w:w w:val="110"/>
          <w:sz w:val="16"/>
        </w:rPr>
        <w:t> </w:t>
      </w:r>
      <w:r>
        <w:rPr>
          <w:w w:val="110"/>
          <w:sz w:val="16"/>
        </w:rPr>
        <w:t>día</w:t>
      </w:r>
      <w:r>
        <w:rPr>
          <w:spacing w:val="-8"/>
          <w:w w:val="110"/>
          <w:sz w:val="16"/>
        </w:rPr>
        <w:t> </w:t>
      </w:r>
      <w:r>
        <w:rPr>
          <w:w w:val="110"/>
          <w:sz w:val="16"/>
        </w:rPr>
        <w:t>12</w:t>
      </w:r>
      <w:r>
        <w:rPr>
          <w:spacing w:val="-8"/>
          <w:w w:val="110"/>
          <w:sz w:val="16"/>
        </w:rPr>
        <w:t> </w:t>
      </w:r>
      <w:r>
        <w:rPr>
          <w:w w:val="110"/>
          <w:sz w:val="16"/>
        </w:rPr>
        <w:t>de</w:t>
      </w:r>
      <w:r>
        <w:rPr>
          <w:spacing w:val="-8"/>
          <w:w w:val="110"/>
          <w:sz w:val="16"/>
        </w:rPr>
        <w:t> </w:t>
      </w:r>
      <w:r>
        <w:rPr>
          <w:w w:val="110"/>
          <w:sz w:val="16"/>
        </w:rPr>
        <w:t>agosto</w:t>
      </w:r>
      <w:r>
        <w:rPr>
          <w:spacing w:val="-8"/>
          <w:w w:val="110"/>
          <w:sz w:val="16"/>
        </w:rPr>
        <w:t> </w:t>
      </w:r>
      <w:r>
        <w:rPr>
          <w:w w:val="110"/>
          <w:sz w:val="16"/>
        </w:rPr>
        <w:t>de</w:t>
      </w:r>
      <w:r>
        <w:rPr>
          <w:spacing w:val="-8"/>
          <w:w w:val="110"/>
          <w:sz w:val="16"/>
        </w:rPr>
        <w:t> </w:t>
      </w:r>
      <w:r>
        <w:rPr>
          <w:w w:val="110"/>
          <w:sz w:val="16"/>
        </w:rPr>
        <w:t>2013.</w:t>
      </w:r>
    </w:p>
    <w:p>
      <w:pPr>
        <w:pStyle w:val="ListParagraph"/>
        <w:numPr>
          <w:ilvl w:val="0"/>
          <w:numId w:val="28"/>
        </w:numPr>
        <w:tabs>
          <w:tab w:pos="376" w:val="left" w:leader="none"/>
        </w:tabs>
        <w:spacing w:line="242" w:lineRule="auto" w:before="57" w:after="0"/>
        <w:ind w:left="120" w:right="327" w:firstLine="0"/>
        <w:jc w:val="both"/>
        <w:rPr>
          <w:sz w:val="16"/>
        </w:rPr>
      </w:pPr>
      <w:r>
        <w:rPr>
          <w:w w:val="110"/>
          <w:sz w:val="16"/>
        </w:rPr>
        <w:t>“Más de 1.200 políticos, funcionarios públicos, empresarios, diplomáticos y pe- riodistas</w:t>
      </w:r>
      <w:r>
        <w:rPr>
          <w:spacing w:val="-4"/>
          <w:w w:val="110"/>
          <w:sz w:val="16"/>
        </w:rPr>
        <w:t> </w:t>
      </w:r>
      <w:r>
        <w:rPr>
          <w:w w:val="110"/>
          <w:sz w:val="16"/>
        </w:rPr>
        <w:t>participaron</w:t>
      </w:r>
      <w:r>
        <w:rPr>
          <w:spacing w:val="-4"/>
          <w:w w:val="110"/>
          <w:sz w:val="16"/>
        </w:rPr>
        <w:t> </w:t>
      </w:r>
      <w:r>
        <w:rPr>
          <w:w w:val="110"/>
          <w:sz w:val="16"/>
        </w:rPr>
        <w:t>del</w:t>
      </w:r>
      <w:r>
        <w:rPr>
          <w:spacing w:val="-4"/>
          <w:w w:val="110"/>
          <w:sz w:val="16"/>
        </w:rPr>
        <w:t> </w:t>
      </w:r>
      <w:r>
        <w:rPr>
          <w:w w:val="110"/>
          <w:sz w:val="16"/>
        </w:rPr>
        <w:t>lanzamiento</w:t>
      </w:r>
      <w:r>
        <w:rPr>
          <w:spacing w:val="-4"/>
          <w:w w:val="110"/>
          <w:sz w:val="16"/>
        </w:rPr>
        <w:t> </w:t>
      </w:r>
      <w:r>
        <w:rPr>
          <w:w w:val="110"/>
          <w:sz w:val="16"/>
        </w:rPr>
        <w:t>del</w:t>
      </w:r>
      <w:r>
        <w:rPr>
          <w:spacing w:val="-4"/>
          <w:w w:val="110"/>
          <w:sz w:val="16"/>
        </w:rPr>
        <w:t> </w:t>
      </w:r>
      <w:r>
        <w:rPr>
          <w:w w:val="110"/>
          <w:sz w:val="16"/>
        </w:rPr>
        <w:t>programa,</w:t>
      </w:r>
      <w:r>
        <w:rPr>
          <w:spacing w:val="-4"/>
          <w:w w:val="110"/>
          <w:sz w:val="16"/>
        </w:rPr>
        <w:t> </w:t>
      </w:r>
      <w:r>
        <w:rPr>
          <w:w w:val="110"/>
          <w:sz w:val="16"/>
        </w:rPr>
        <w:t>que</w:t>
      </w:r>
      <w:r>
        <w:rPr>
          <w:spacing w:val="-4"/>
          <w:w w:val="110"/>
          <w:sz w:val="16"/>
        </w:rPr>
        <w:t> </w:t>
      </w:r>
      <w:r>
        <w:rPr>
          <w:w w:val="110"/>
          <w:sz w:val="16"/>
        </w:rPr>
        <w:t>fue</w:t>
      </w:r>
      <w:r>
        <w:rPr>
          <w:spacing w:val="-4"/>
          <w:w w:val="110"/>
          <w:sz w:val="16"/>
        </w:rPr>
        <w:t> </w:t>
      </w:r>
      <w:r>
        <w:rPr>
          <w:w w:val="110"/>
          <w:sz w:val="16"/>
        </w:rPr>
        <w:t>presentado</w:t>
      </w:r>
      <w:r>
        <w:rPr>
          <w:spacing w:val="-4"/>
          <w:w w:val="110"/>
          <w:sz w:val="16"/>
        </w:rPr>
        <w:t> </w:t>
      </w:r>
      <w:r>
        <w:rPr>
          <w:w w:val="110"/>
          <w:sz w:val="16"/>
        </w:rPr>
        <w:t>en</w:t>
      </w:r>
      <w:r>
        <w:rPr>
          <w:spacing w:val="-4"/>
          <w:w w:val="110"/>
          <w:sz w:val="16"/>
        </w:rPr>
        <w:t> </w:t>
      </w:r>
      <w:r>
        <w:rPr>
          <w:w w:val="110"/>
          <w:sz w:val="16"/>
        </w:rPr>
        <w:t>30</w:t>
      </w:r>
      <w:r>
        <w:rPr>
          <w:spacing w:val="-4"/>
          <w:w w:val="110"/>
          <w:sz w:val="16"/>
        </w:rPr>
        <w:t> </w:t>
      </w:r>
      <w:r>
        <w:rPr>
          <w:w w:val="110"/>
          <w:sz w:val="16"/>
        </w:rPr>
        <w:t>artí- culos en periódicos nacionales, 12 periódicos de provincias, 5 estaciones de radio y </w:t>
      </w:r>
      <w:r>
        <w:rPr>
          <w:w w:val="106"/>
          <w:sz w:val="16"/>
        </w:rPr>
        <w:t>dos</w:t>
      </w:r>
      <w:r>
        <w:rPr>
          <w:spacing w:val="10"/>
          <w:sz w:val="16"/>
        </w:rPr>
        <w:t> </w:t>
      </w:r>
      <w:r>
        <w:rPr>
          <w:w w:val="107"/>
          <w:sz w:val="16"/>
        </w:rPr>
        <w:t>programas</w:t>
      </w:r>
      <w:r>
        <w:rPr>
          <w:spacing w:val="10"/>
          <w:sz w:val="16"/>
        </w:rPr>
        <w:t> </w:t>
      </w:r>
      <w:r>
        <w:rPr>
          <w:w w:val="104"/>
          <w:sz w:val="16"/>
        </w:rPr>
        <w:t>de</w:t>
      </w:r>
      <w:r>
        <w:rPr>
          <w:spacing w:val="10"/>
          <w:sz w:val="16"/>
        </w:rPr>
        <w:t> </w:t>
      </w:r>
      <w:r>
        <w:rPr>
          <w:w w:val="107"/>
          <w:sz w:val="16"/>
        </w:rPr>
        <w:t>televisión.</w:t>
      </w:r>
      <w:r>
        <w:rPr>
          <w:spacing w:val="10"/>
          <w:sz w:val="16"/>
        </w:rPr>
        <w:t> </w:t>
      </w:r>
      <w:r>
        <w:rPr>
          <w:w w:val="238"/>
          <w:sz w:val="16"/>
        </w:rPr>
        <w:t>l</w:t>
      </w:r>
      <w:r>
        <w:rPr>
          <w:w w:val="109"/>
          <w:sz w:val="16"/>
        </w:rPr>
        <w:t>a</w:t>
      </w:r>
      <w:r>
        <w:rPr>
          <w:spacing w:val="10"/>
          <w:sz w:val="16"/>
        </w:rPr>
        <w:t> </w:t>
      </w:r>
      <w:r>
        <w:rPr>
          <w:w w:val="110"/>
          <w:sz w:val="16"/>
        </w:rPr>
        <w:t>campañaa</w:t>
      </w:r>
      <w:r>
        <w:rPr>
          <w:spacing w:val="10"/>
          <w:sz w:val="16"/>
        </w:rPr>
        <w:t> </w:t>
      </w:r>
      <w:r>
        <w:rPr>
          <w:w w:val="104"/>
          <w:sz w:val="16"/>
        </w:rPr>
        <w:t>de</w:t>
      </w:r>
      <w:r>
        <w:rPr>
          <w:spacing w:val="10"/>
          <w:sz w:val="16"/>
        </w:rPr>
        <w:t> </w:t>
      </w:r>
      <w:r>
        <w:rPr>
          <w:w w:val="110"/>
          <w:sz w:val="16"/>
        </w:rPr>
        <w:t>mobilización</w:t>
      </w:r>
      <w:r>
        <w:rPr>
          <w:spacing w:val="10"/>
          <w:sz w:val="16"/>
        </w:rPr>
        <w:t> </w:t>
      </w:r>
      <w:r>
        <w:rPr>
          <w:w w:val="105"/>
          <w:sz w:val="16"/>
        </w:rPr>
        <w:t>del</w:t>
      </w:r>
      <w:r>
        <w:rPr>
          <w:spacing w:val="10"/>
          <w:sz w:val="16"/>
        </w:rPr>
        <w:t> </w:t>
      </w:r>
      <w:r>
        <w:rPr>
          <w:w w:val="121"/>
          <w:sz w:val="16"/>
        </w:rPr>
        <w:t>C</w:t>
      </w:r>
      <w:r>
        <w:rPr>
          <w:w w:val="140"/>
          <w:sz w:val="16"/>
        </w:rPr>
        <w:t>i</w:t>
      </w:r>
      <w:r>
        <w:rPr>
          <w:w w:val="117"/>
          <w:sz w:val="16"/>
        </w:rPr>
        <w:t>PPEC</w:t>
      </w:r>
      <w:r>
        <w:rPr>
          <w:spacing w:val="10"/>
          <w:sz w:val="16"/>
        </w:rPr>
        <w:t> </w:t>
      </w:r>
      <w:r>
        <w:rPr>
          <w:w w:val="108"/>
          <w:sz w:val="16"/>
        </w:rPr>
        <w:t>fue</w:t>
      </w:r>
      <w:r>
        <w:rPr>
          <w:spacing w:val="10"/>
          <w:sz w:val="16"/>
        </w:rPr>
        <w:t> </w:t>
      </w:r>
      <w:r>
        <w:rPr>
          <w:w w:val="109"/>
          <w:sz w:val="16"/>
        </w:rPr>
        <w:t>mencio</w:t>
      </w:r>
      <w:r>
        <w:rPr>
          <w:w w:val="100"/>
          <w:sz w:val="16"/>
        </w:rPr>
        <w:t>- </w:t>
      </w:r>
      <w:r>
        <w:rPr>
          <w:w w:val="110"/>
          <w:sz w:val="16"/>
        </w:rPr>
        <w:t>nada</w:t>
      </w:r>
      <w:r>
        <w:rPr>
          <w:spacing w:val="-9"/>
          <w:w w:val="110"/>
          <w:sz w:val="16"/>
        </w:rPr>
        <w:t> </w:t>
      </w:r>
      <w:r>
        <w:rPr>
          <w:w w:val="110"/>
          <w:sz w:val="16"/>
        </w:rPr>
        <w:t>167</w:t>
      </w:r>
      <w:r>
        <w:rPr>
          <w:spacing w:val="-9"/>
          <w:w w:val="110"/>
          <w:sz w:val="16"/>
        </w:rPr>
        <w:t> </w:t>
      </w:r>
      <w:r>
        <w:rPr>
          <w:w w:val="110"/>
          <w:sz w:val="16"/>
        </w:rPr>
        <w:t>veces</w:t>
      </w:r>
      <w:r>
        <w:rPr>
          <w:spacing w:val="-9"/>
          <w:w w:val="110"/>
          <w:sz w:val="16"/>
        </w:rPr>
        <w:t> </w:t>
      </w:r>
      <w:r>
        <w:rPr>
          <w:w w:val="110"/>
          <w:sz w:val="16"/>
        </w:rPr>
        <w:t>en</w:t>
      </w:r>
      <w:r>
        <w:rPr>
          <w:spacing w:val="-9"/>
          <w:w w:val="110"/>
          <w:sz w:val="16"/>
        </w:rPr>
        <w:t> </w:t>
      </w:r>
      <w:r>
        <w:rPr>
          <w:w w:val="110"/>
          <w:sz w:val="16"/>
        </w:rPr>
        <w:t>los</w:t>
      </w:r>
      <w:r>
        <w:rPr>
          <w:spacing w:val="-9"/>
          <w:w w:val="110"/>
          <w:sz w:val="16"/>
        </w:rPr>
        <w:t> </w:t>
      </w:r>
      <w:r>
        <w:rPr>
          <w:w w:val="110"/>
          <w:sz w:val="16"/>
        </w:rPr>
        <w:t>medios</w:t>
      </w:r>
      <w:r>
        <w:rPr>
          <w:spacing w:val="-9"/>
          <w:w w:val="110"/>
          <w:sz w:val="16"/>
        </w:rPr>
        <w:t> </w:t>
      </w:r>
      <w:r>
        <w:rPr>
          <w:w w:val="110"/>
          <w:sz w:val="16"/>
        </w:rPr>
        <w:t>de</w:t>
      </w:r>
      <w:r>
        <w:rPr>
          <w:spacing w:val="-9"/>
          <w:w w:val="110"/>
          <w:sz w:val="16"/>
        </w:rPr>
        <w:t> </w:t>
      </w:r>
      <w:r>
        <w:rPr>
          <w:w w:val="110"/>
          <w:sz w:val="16"/>
        </w:rPr>
        <w:t>comunicación</w:t>
      </w:r>
      <w:r>
        <w:rPr>
          <w:spacing w:val="-9"/>
          <w:w w:val="110"/>
          <w:sz w:val="16"/>
        </w:rPr>
        <w:t> </w:t>
      </w:r>
      <w:r>
        <w:rPr>
          <w:w w:val="110"/>
          <w:sz w:val="16"/>
        </w:rPr>
        <w:t>a</w:t>
      </w:r>
      <w:r>
        <w:rPr>
          <w:spacing w:val="-9"/>
          <w:w w:val="110"/>
          <w:sz w:val="16"/>
        </w:rPr>
        <w:t> </w:t>
      </w:r>
      <w:r>
        <w:rPr>
          <w:w w:val="110"/>
          <w:sz w:val="16"/>
        </w:rPr>
        <w:t>lo</w:t>
      </w:r>
      <w:r>
        <w:rPr>
          <w:spacing w:val="-9"/>
          <w:w w:val="110"/>
          <w:sz w:val="16"/>
        </w:rPr>
        <w:t> </w:t>
      </w:r>
      <w:r>
        <w:rPr>
          <w:w w:val="110"/>
          <w:sz w:val="16"/>
        </w:rPr>
        <w:t>largo</w:t>
      </w:r>
      <w:r>
        <w:rPr>
          <w:spacing w:val="-9"/>
          <w:w w:val="110"/>
          <w:sz w:val="16"/>
        </w:rPr>
        <w:t> </w:t>
      </w:r>
      <w:r>
        <w:rPr>
          <w:w w:val="110"/>
          <w:sz w:val="16"/>
        </w:rPr>
        <w:t>del</w:t>
      </w:r>
      <w:r>
        <w:rPr>
          <w:spacing w:val="-9"/>
          <w:w w:val="110"/>
          <w:sz w:val="16"/>
        </w:rPr>
        <w:t> </w:t>
      </w:r>
      <w:r>
        <w:rPr>
          <w:w w:val="110"/>
          <w:sz w:val="16"/>
        </w:rPr>
        <w:t>proyecto”</w:t>
      </w:r>
      <w:r>
        <w:rPr>
          <w:spacing w:val="-9"/>
          <w:w w:val="110"/>
          <w:sz w:val="16"/>
        </w:rPr>
        <w:t> </w:t>
      </w:r>
      <w:r>
        <w:rPr>
          <w:w w:val="110"/>
          <w:sz w:val="16"/>
        </w:rPr>
        <w:t>(CiPE,</w:t>
      </w:r>
      <w:r>
        <w:rPr>
          <w:spacing w:val="-9"/>
          <w:w w:val="110"/>
          <w:sz w:val="16"/>
        </w:rPr>
        <w:t> </w:t>
      </w:r>
      <w:r>
        <w:rPr>
          <w:i/>
          <w:w w:val="110"/>
          <w:sz w:val="16"/>
        </w:rPr>
        <w:t>Annual </w:t>
      </w:r>
      <w:r>
        <w:rPr>
          <w:i/>
          <w:w w:val="110"/>
          <w:sz w:val="16"/>
        </w:rPr>
        <w:t>Report</w:t>
      </w:r>
      <w:r>
        <w:rPr>
          <w:w w:val="110"/>
          <w:sz w:val="16"/>
        </w:rPr>
        <w:t>,</w:t>
      </w:r>
      <w:r>
        <w:rPr>
          <w:spacing w:val="-13"/>
          <w:w w:val="110"/>
          <w:sz w:val="16"/>
        </w:rPr>
        <w:t> </w:t>
      </w:r>
      <w:r>
        <w:rPr>
          <w:w w:val="110"/>
          <w:sz w:val="16"/>
        </w:rPr>
        <w:t>2011:</w:t>
      </w:r>
      <w:r>
        <w:rPr>
          <w:spacing w:val="-13"/>
          <w:w w:val="110"/>
          <w:sz w:val="16"/>
        </w:rPr>
        <w:t> </w:t>
      </w:r>
      <w:r>
        <w:rPr>
          <w:w w:val="110"/>
          <w:sz w:val="16"/>
        </w:rPr>
        <w:t>26,</w:t>
      </w:r>
      <w:r>
        <w:rPr>
          <w:spacing w:val="-13"/>
          <w:w w:val="110"/>
          <w:sz w:val="16"/>
        </w:rPr>
        <w:t> </w:t>
      </w:r>
      <w:r>
        <w:rPr>
          <w:w w:val="110"/>
          <w:sz w:val="16"/>
        </w:rPr>
        <w:t>traducción</w:t>
      </w:r>
      <w:r>
        <w:rPr>
          <w:spacing w:val="-13"/>
          <w:w w:val="110"/>
          <w:sz w:val="16"/>
        </w:rPr>
        <w:t> </w:t>
      </w:r>
      <w:r>
        <w:rPr>
          <w:w w:val="110"/>
          <w:sz w:val="16"/>
        </w:rPr>
        <w:t>libre).</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8"/>
        <w:jc w:val="both"/>
      </w:pPr>
      <w:r>
        <w:rPr>
          <w:w w:val="110"/>
        </w:rPr>
        <w:t>(CiPE, </w:t>
      </w:r>
      <w:r>
        <w:rPr>
          <w:i/>
          <w:w w:val="110"/>
        </w:rPr>
        <w:t>Annual Report</w:t>
      </w:r>
      <w:r>
        <w:rPr>
          <w:w w:val="110"/>
        </w:rPr>
        <w:t>, 2011), en 2013 con las redes sociales y el com- promiso de la juventud</w:t>
      </w:r>
      <w:r>
        <w:rPr>
          <w:w w:val="110"/>
          <w:position w:val="6"/>
          <w:sz w:val="11"/>
        </w:rPr>
        <w:t>22</w:t>
      </w:r>
      <w:r>
        <w:rPr>
          <w:w w:val="110"/>
        </w:rPr>
        <w:t>.</w:t>
      </w:r>
    </w:p>
    <w:p>
      <w:pPr>
        <w:pStyle w:val="BodyText"/>
        <w:spacing w:before="5"/>
      </w:pPr>
    </w:p>
    <w:p>
      <w:pPr>
        <w:pStyle w:val="Heading6"/>
        <w:ind w:left="331"/>
      </w:pPr>
      <w:r>
        <w:rPr>
          <w:w w:val="135"/>
        </w:rPr>
        <w:t>el ciPe y la GoBernanza corPorativa</w:t>
      </w:r>
    </w:p>
    <w:p>
      <w:pPr>
        <w:pStyle w:val="BodyText"/>
        <w:spacing w:line="252" w:lineRule="auto" w:before="10"/>
        <w:ind w:left="330" w:right="117"/>
        <w:jc w:val="both"/>
      </w:pPr>
      <w:r>
        <w:rPr>
          <w:w w:val="142"/>
        </w:rPr>
        <w:t>i</w:t>
      </w:r>
      <w:r>
        <w:rPr>
          <w:w w:val="112"/>
        </w:rPr>
        <w:t>ncluida</w:t>
      </w:r>
      <w:r>
        <w:rPr>
          <w:spacing w:val="11"/>
        </w:rPr>
        <w:t> </w:t>
      </w:r>
      <w:r>
        <w:rPr>
          <w:w w:val="106"/>
        </w:rPr>
        <w:t>entre</w:t>
      </w:r>
      <w:r>
        <w:rPr>
          <w:spacing w:val="11"/>
        </w:rPr>
        <w:t> </w:t>
      </w:r>
      <w:r>
        <w:rPr>
          <w:w w:val="109"/>
        </w:rPr>
        <w:t>las</w:t>
      </w:r>
      <w:r>
        <w:rPr>
          <w:spacing w:val="11"/>
        </w:rPr>
        <w:t> </w:t>
      </w:r>
      <w:r>
        <w:rPr>
          <w:w w:val="108"/>
        </w:rPr>
        <w:t>prioridades</w:t>
      </w:r>
      <w:r>
        <w:rPr>
          <w:spacing w:val="11"/>
        </w:rPr>
        <w:t> </w:t>
      </w:r>
      <w:r>
        <w:rPr>
          <w:w w:val="109"/>
        </w:rPr>
        <w:t>para</w:t>
      </w:r>
      <w:r>
        <w:rPr>
          <w:spacing w:val="11"/>
        </w:rPr>
        <w:t> </w:t>
      </w:r>
      <w:r>
        <w:rPr>
          <w:w w:val="111"/>
        </w:rPr>
        <w:t>la</w:t>
      </w:r>
      <w:r>
        <w:rPr>
          <w:spacing w:val="11"/>
        </w:rPr>
        <w:t> </w:t>
      </w:r>
      <w:r>
        <w:rPr>
          <w:w w:val="112"/>
        </w:rPr>
        <w:t>actuación</w:t>
      </w:r>
      <w:r>
        <w:rPr>
          <w:spacing w:val="11"/>
        </w:rPr>
        <w:t> </w:t>
      </w:r>
      <w:r>
        <w:rPr>
          <w:w w:val="108"/>
        </w:rPr>
        <w:t>en</w:t>
      </w:r>
      <w:r>
        <w:rPr>
          <w:spacing w:val="11"/>
        </w:rPr>
        <w:t> </w:t>
      </w:r>
      <w:r>
        <w:rPr>
          <w:w w:val="139"/>
        </w:rPr>
        <w:t>a</w:t>
      </w:r>
      <w:r>
        <w:rPr>
          <w:w w:val="111"/>
        </w:rPr>
        <w:t>mérica</w:t>
      </w:r>
      <w:r>
        <w:rPr>
          <w:spacing w:val="11"/>
        </w:rPr>
        <w:t> </w:t>
      </w:r>
      <w:r>
        <w:rPr>
          <w:w w:val="243"/>
        </w:rPr>
        <w:t>l</w:t>
      </w:r>
      <w:r>
        <w:rPr>
          <w:w w:val="111"/>
        </w:rPr>
        <w:t>atina</w:t>
      </w:r>
      <w:r>
        <w:rPr>
          <w:spacing w:val="11"/>
        </w:rPr>
        <w:t> </w:t>
      </w:r>
      <w:r>
        <w:rPr>
          <w:w w:val="108"/>
        </w:rPr>
        <w:t>en </w:t>
      </w:r>
      <w:r>
        <w:rPr>
          <w:w w:val="110"/>
        </w:rPr>
        <w:t>el</w:t>
      </w:r>
      <w:r>
        <w:rPr>
          <w:spacing w:val="-13"/>
          <w:w w:val="110"/>
        </w:rPr>
        <w:t> </w:t>
      </w:r>
      <w:r>
        <w:rPr>
          <w:w w:val="110"/>
        </w:rPr>
        <w:t>período</w:t>
      </w:r>
      <w:r>
        <w:rPr>
          <w:spacing w:val="-13"/>
          <w:w w:val="110"/>
        </w:rPr>
        <w:t> </w:t>
      </w:r>
      <w:r>
        <w:rPr>
          <w:w w:val="110"/>
        </w:rPr>
        <w:t>2007-2012</w:t>
      </w:r>
      <w:r>
        <w:rPr>
          <w:spacing w:val="-13"/>
          <w:w w:val="110"/>
        </w:rPr>
        <w:t> </w:t>
      </w:r>
      <w:r>
        <w:rPr>
          <w:w w:val="110"/>
        </w:rPr>
        <w:t>–como</w:t>
      </w:r>
      <w:r>
        <w:rPr>
          <w:spacing w:val="-13"/>
          <w:w w:val="110"/>
        </w:rPr>
        <w:t> </w:t>
      </w:r>
      <w:r>
        <w:rPr>
          <w:w w:val="110"/>
        </w:rPr>
        <w:t>se</w:t>
      </w:r>
      <w:r>
        <w:rPr>
          <w:spacing w:val="-13"/>
          <w:w w:val="110"/>
        </w:rPr>
        <w:t> </w:t>
      </w:r>
      <w:r>
        <w:rPr>
          <w:w w:val="110"/>
        </w:rPr>
        <w:t>mencionó</w:t>
      </w:r>
      <w:r>
        <w:rPr>
          <w:spacing w:val="-13"/>
          <w:w w:val="110"/>
        </w:rPr>
        <w:t> </w:t>
      </w:r>
      <w:r>
        <w:rPr>
          <w:w w:val="110"/>
        </w:rPr>
        <w:t>previamente–</w:t>
      </w:r>
      <w:r>
        <w:rPr>
          <w:spacing w:val="-13"/>
          <w:w w:val="110"/>
        </w:rPr>
        <w:t> </w:t>
      </w:r>
      <w:r>
        <w:rPr>
          <w:w w:val="110"/>
        </w:rPr>
        <w:t>la</w:t>
      </w:r>
      <w:r>
        <w:rPr>
          <w:spacing w:val="-13"/>
          <w:w w:val="110"/>
        </w:rPr>
        <w:t> </w:t>
      </w:r>
      <w:r>
        <w:rPr>
          <w:w w:val="110"/>
        </w:rPr>
        <w:t>gobernanza </w:t>
      </w:r>
      <w:r>
        <w:rPr>
          <w:w w:val="120"/>
        </w:rPr>
        <w:t>corporativa</w:t>
      </w:r>
      <w:r>
        <w:rPr>
          <w:spacing w:val="-29"/>
          <w:w w:val="120"/>
        </w:rPr>
        <w:t> </w:t>
      </w:r>
      <w:r>
        <w:rPr>
          <w:w w:val="120"/>
        </w:rPr>
        <w:t>es</w:t>
      </w:r>
      <w:r>
        <w:rPr>
          <w:spacing w:val="-29"/>
          <w:w w:val="120"/>
        </w:rPr>
        <w:t> </w:t>
      </w:r>
      <w:r>
        <w:rPr>
          <w:w w:val="120"/>
        </w:rPr>
        <w:t>considerada</w:t>
      </w:r>
      <w:r>
        <w:rPr>
          <w:spacing w:val="-29"/>
          <w:w w:val="120"/>
        </w:rPr>
        <w:t> </w:t>
      </w:r>
      <w:r>
        <w:rPr>
          <w:w w:val="120"/>
        </w:rPr>
        <w:t>por</w:t>
      </w:r>
      <w:r>
        <w:rPr>
          <w:spacing w:val="-29"/>
          <w:w w:val="120"/>
        </w:rPr>
        <w:t> </w:t>
      </w:r>
      <w:r>
        <w:rPr>
          <w:w w:val="120"/>
        </w:rPr>
        <w:t>el</w:t>
      </w:r>
      <w:r>
        <w:rPr>
          <w:spacing w:val="-29"/>
          <w:w w:val="120"/>
        </w:rPr>
        <w:t> </w:t>
      </w:r>
      <w:r>
        <w:rPr>
          <w:w w:val="120"/>
        </w:rPr>
        <w:t>CiPE</w:t>
      </w:r>
      <w:r>
        <w:rPr>
          <w:spacing w:val="-29"/>
          <w:w w:val="120"/>
        </w:rPr>
        <w:t> </w:t>
      </w:r>
      <w:r>
        <w:rPr>
          <w:w w:val="120"/>
        </w:rPr>
        <w:t>como</w:t>
      </w:r>
      <w:r>
        <w:rPr>
          <w:spacing w:val="-29"/>
          <w:w w:val="120"/>
        </w:rPr>
        <w:t> </w:t>
      </w:r>
      <w:r>
        <w:rPr>
          <w:w w:val="120"/>
        </w:rPr>
        <w:t>una</w:t>
      </w:r>
      <w:r>
        <w:rPr>
          <w:spacing w:val="-29"/>
          <w:w w:val="120"/>
        </w:rPr>
        <w:t> </w:t>
      </w:r>
      <w:r>
        <w:rPr>
          <w:i/>
          <w:w w:val="120"/>
        </w:rPr>
        <w:t>solución</w:t>
      </w:r>
      <w:r>
        <w:rPr>
          <w:i/>
          <w:spacing w:val="-29"/>
          <w:w w:val="120"/>
        </w:rPr>
        <w:t> </w:t>
      </w:r>
      <w:r>
        <w:rPr>
          <w:w w:val="120"/>
        </w:rPr>
        <w:t>para</w:t>
      </w:r>
      <w:r>
        <w:rPr>
          <w:spacing w:val="-29"/>
          <w:w w:val="120"/>
        </w:rPr>
        <w:t> </w:t>
      </w:r>
      <w:r>
        <w:rPr>
          <w:w w:val="120"/>
        </w:rPr>
        <w:t>mu- </w:t>
      </w:r>
      <w:r>
        <w:rPr>
          <w:w w:val="115"/>
        </w:rPr>
        <w:t>chos</w:t>
      </w:r>
      <w:r>
        <w:rPr>
          <w:spacing w:val="-9"/>
          <w:w w:val="115"/>
        </w:rPr>
        <w:t> </w:t>
      </w:r>
      <w:r>
        <w:rPr>
          <w:w w:val="115"/>
        </w:rPr>
        <w:t>de</w:t>
      </w:r>
      <w:r>
        <w:rPr>
          <w:spacing w:val="-9"/>
          <w:w w:val="115"/>
        </w:rPr>
        <w:t> </w:t>
      </w:r>
      <w:r>
        <w:rPr>
          <w:w w:val="115"/>
        </w:rPr>
        <w:t>los</w:t>
      </w:r>
      <w:r>
        <w:rPr>
          <w:spacing w:val="-9"/>
          <w:w w:val="115"/>
        </w:rPr>
        <w:t> </w:t>
      </w:r>
      <w:r>
        <w:rPr>
          <w:w w:val="115"/>
        </w:rPr>
        <w:t>problemas</w:t>
      </w:r>
      <w:r>
        <w:rPr>
          <w:spacing w:val="-9"/>
          <w:w w:val="115"/>
        </w:rPr>
        <w:t> </w:t>
      </w:r>
      <w:r>
        <w:rPr>
          <w:w w:val="115"/>
        </w:rPr>
        <w:t>que</w:t>
      </w:r>
      <w:r>
        <w:rPr>
          <w:spacing w:val="-9"/>
          <w:w w:val="115"/>
        </w:rPr>
        <w:t> </w:t>
      </w:r>
      <w:r>
        <w:rPr>
          <w:w w:val="115"/>
        </w:rPr>
        <w:t>afectan</w:t>
      </w:r>
      <w:r>
        <w:rPr>
          <w:spacing w:val="-9"/>
          <w:w w:val="115"/>
        </w:rPr>
        <w:t> </w:t>
      </w:r>
      <w:r>
        <w:rPr>
          <w:w w:val="115"/>
        </w:rPr>
        <w:t>el</w:t>
      </w:r>
      <w:r>
        <w:rPr>
          <w:spacing w:val="-9"/>
          <w:w w:val="115"/>
        </w:rPr>
        <w:t> </w:t>
      </w:r>
      <w:r>
        <w:rPr>
          <w:w w:val="115"/>
        </w:rPr>
        <w:t>desarrollo</w:t>
      </w:r>
      <w:r>
        <w:rPr>
          <w:spacing w:val="-9"/>
          <w:w w:val="115"/>
        </w:rPr>
        <w:t> </w:t>
      </w:r>
      <w:r>
        <w:rPr>
          <w:w w:val="115"/>
        </w:rPr>
        <w:t>económico</w:t>
      </w:r>
      <w:r>
        <w:rPr>
          <w:spacing w:val="-9"/>
          <w:w w:val="115"/>
        </w:rPr>
        <w:t> </w:t>
      </w:r>
      <w:r>
        <w:rPr>
          <w:w w:val="115"/>
        </w:rPr>
        <w:t>y</w:t>
      </w:r>
      <w:r>
        <w:rPr>
          <w:spacing w:val="-9"/>
          <w:w w:val="115"/>
        </w:rPr>
        <w:t> </w:t>
      </w:r>
      <w:r>
        <w:rPr>
          <w:w w:val="115"/>
        </w:rPr>
        <w:t>las</w:t>
      </w:r>
      <w:r>
        <w:rPr>
          <w:spacing w:val="-9"/>
          <w:w w:val="115"/>
        </w:rPr>
        <w:t> </w:t>
      </w:r>
      <w:r>
        <w:rPr>
          <w:w w:val="115"/>
        </w:rPr>
        <w:t>ins- </w:t>
      </w:r>
      <w:r>
        <w:rPr>
          <w:w w:val="120"/>
        </w:rPr>
        <w:t>tituciones</w:t>
      </w:r>
      <w:r>
        <w:rPr>
          <w:spacing w:val="-20"/>
          <w:w w:val="120"/>
        </w:rPr>
        <w:t> </w:t>
      </w:r>
      <w:r>
        <w:rPr>
          <w:w w:val="120"/>
        </w:rPr>
        <w:t>políticas</w:t>
      </w:r>
      <w:r>
        <w:rPr>
          <w:spacing w:val="-20"/>
          <w:w w:val="120"/>
        </w:rPr>
        <w:t> </w:t>
      </w:r>
      <w:r>
        <w:rPr>
          <w:w w:val="120"/>
        </w:rPr>
        <w:t>en</w:t>
      </w:r>
      <w:r>
        <w:rPr>
          <w:spacing w:val="-20"/>
          <w:w w:val="120"/>
        </w:rPr>
        <w:t> </w:t>
      </w:r>
      <w:r>
        <w:rPr>
          <w:w w:val="120"/>
        </w:rPr>
        <w:t>el</w:t>
      </w:r>
      <w:r>
        <w:rPr>
          <w:spacing w:val="-20"/>
          <w:w w:val="120"/>
        </w:rPr>
        <w:t> </w:t>
      </w:r>
      <w:r>
        <w:rPr>
          <w:w w:val="120"/>
        </w:rPr>
        <w:t>capitalismo</w:t>
      </w:r>
      <w:r>
        <w:rPr>
          <w:spacing w:val="-20"/>
          <w:w w:val="120"/>
        </w:rPr>
        <w:t> </w:t>
      </w:r>
      <w:r>
        <w:rPr>
          <w:w w:val="120"/>
        </w:rPr>
        <w:t>contemporáneo</w:t>
      </w:r>
      <w:r>
        <w:rPr>
          <w:spacing w:val="-20"/>
          <w:w w:val="120"/>
        </w:rPr>
        <w:t> </w:t>
      </w:r>
      <w:r>
        <w:rPr>
          <w:w w:val="120"/>
        </w:rPr>
        <w:t>(CiPE,</w:t>
      </w:r>
      <w:r>
        <w:rPr>
          <w:spacing w:val="-20"/>
          <w:w w:val="120"/>
        </w:rPr>
        <w:t> </w:t>
      </w:r>
      <w:r>
        <w:rPr>
          <w:w w:val="120"/>
        </w:rPr>
        <w:t>usaid, </w:t>
      </w:r>
      <w:r>
        <w:rPr>
          <w:w w:val="115"/>
        </w:rPr>
        <w:t>2009).</w:t>
      </w:r>
      <w:r>
        <w:rPr>
          <w:spacing w:val="-21"/>
          <w:w w:val="115"/>
        </w:rPr>
        <w:t> </w:t>
      </w:r>
      <w:r>
        <w:rPr>
          <w:w w:val="115"/>
        </w:rPr>
        <w:t>según</w:t>
      </w:r>
      <w:r>
        <w:rPr>
          <w:spacing w:val="-21"/>
          <w:w w:val="115"/>
        </w:rPr>
        <w:t> </w:t>
      </w:r>
      <w:r>
        <w:rPr>
          <w:w w:val="115"/>
        </w:rPr>
        <w:t>Grün</w:t>
      </w:r>
      <w:r>
        <w:rPr>
          <w:spacing w:val="-21"/>
          <w:w w:val="115"/>
        </w:rPr>
        <w:t> </w:t>
      </w:r>
      <w:r>
        <w:rPr>
          <w:w w:val="115"/>
        </w:rPr>
        <w:t>(2005:</w:t>
      </w:r>
      <w:r>
        <w:rPr>
          <w:spacing w:val="-21"/>
          <w:w w:val="115"/>
        </w:rPr>
        <w:t> </w:t>
      </w:r>
      <w:r>
        <w:rPr>
          <w:w w:val="115"/>
        </w:rPr>
        <w:t>68)</w:t>
      </w:r>
      <w:r>
        <w:rPr>
          <w:spacing w:val="-21"/>
          <w:w w:val="115"/>
        </w:rPr>
        <w:t> </w:t>
      </w:r>
      <w:r>
        <w:rPr>
          <w:w w:val="115"/>
        </w:rPr>
        <w:t>la</w:t>
      </w:r>
      <w:r>
        <w:rPr>
          <w:spacing w:val="-21"/>
          <w:w w:val="115"/>
        </w:rPr>
        <w:t> </w:t>
      </w:r>
      <w:r>
        <w:rPr>
          <w:w w:val="115"/>
        </w:rPr>
        <w:t>gobernanza</w:t>
      </w:r>
      <w:r>
        <w:rPr>
          <w:spacing w:val="-21"/>
          <w:w w:val="115"/>
        </w:rPr>
        <w:t> </w:t>
      </w:r>
      <w:r>
        <w:rPr>
          <w:w w:val="115"/>
        </w:rPr>
        <w:t>corporativa</w:t>
      </w:r>
      <w:r>
        <w:rPr>
          <w:spacing w:val="-21"/>
          <w:w w:val="115"/>
        </w:rPr>
        <w:t> </w:t>
      </w:r>
      <w:r>
        <w:rPr>
          <w:w w:val="115"/>
        </w:rPr>
        <w:t>“[…]</w:t>
      </w:r>
      <w:r>
        <w:rPr>
          <w:spacing w:val="-21"/>
          <w:w w:val="115"/>
        </w:rPr>
        <w:t> </w:t>
      </w:r>
      <w:r>
        <w:rPr>
          <w:w w:val="115"/>
        </w:rPr>
        <w:t>involu- cra</w:t>
      </w:r>
      <w:r>
        <w:rPr>
          <w:spacing w:val="-18"/>
          <w:w w:val="115"/>
        </w:rPr>
        <w:t> </w:t>
      </w:r>
      <w:r>
        <w:rPr>
          <w:w w:val="115"/>
        </w:rPr>
        <w:t>un</w:t>
      </w:r>
      <w:r>
        <w:rPr>
          <w:spacing w:val="-18"/>
          <w:w w:val="115"/>
        </w:rPr>
        <w:t> </w:t>
      </w:r>
      <w:r>
        <w:rPr>
          <w:w w:val="115"/>
        </w:rPr>
        <w:t>conjunto</w:t>
      </w:r>
      <w:r>
        <w:rPr>
          <w:spacing w:val="-18"/>
          <w:w w:val="115"/>
        </w:rPr>
        <w:t> </w:t>
      </w:r>
      <w:r>
        <w:rPr>
          <w:w w:val="115"/>
        </w:rPr>
        <w:t>de</w:t>
      </w:r>
      <w:r>
        <w:rPr>
          <w:spacing w:val="-18"/>
          <w:w w:val="115"/>
        </w:rPr>
        <w:t> </w:t>
      </w:r>
      <w:r>
        <w:rPr>
          <w:w w:val="115"/>
        </w:rPr>
        <w:t>dispositivos,</w:t>
      </w:r>
      <w:r>
        <w:rPr>
          <w:spacing w:val="-18"/>
          <w:w w:val="115"/>
        </w:rPr>
        <w:t> </w:t>
      </w:r>
      <w:r>
        <w:rPr>
          <w:w w:val="115"/>
        </w:rPr>
        <w:t>cada</w:t>
      </w:r>
      <w:r>
        <w:rPr>
          <w:spacing w:val="-18"/>
          <w:w w:val="115"/>
        </w:rPr>
        <w:t> </w:t>
      </w:r>
      <w:r>
        <w:rPr>
          <w:w w:val="115"/>
        </w:rPr>
        <w:t>vez</w:t>
      </w:r>
      <w:r>
        <w:rPr>
          <w:spacing w:val="-18"/>
          <w:w w:val="115"/>
        </w:rPr>
        <w:t> </w:t>
      </w:r>
      <w:r>
        <w:rPr>
          <w:w w:val="115"/>
        </w:rPr>
        <w:t>más</w:t>
      </w:r>
      <w:r>
        <w:rPr>
          <w:spacing w:val="-18"/>
          <w:w w:val="115"/>
        </w:rPr>
        <w:t> </w:t>
      </w:r>
      <w:r>
        <w:rPr>
          <w:w w:val="115"/>
        </w:rPr>
        <w:t>dispares</w:t>
      </w:r>
      <w:r>
        <w:rPr>
          <w:spacing w:val="-18"/>
          <w:w w:val="115"/>
        </w:rPr>
        <w:t> </w:t>
      </w:r>
      <w:r>
        <w:rPr>
          <w:w w:val="115"/>
        </w:rPr>
        <w:t>en</w:t>
      </w:r>
      <w:r>
        <w:rPr>
          <w:spacing w:val="-18"/>
          <w:w w:val="115"/>
        </w:rPr>
        <w:t> </w:t>
      </w:r>
      <w:r>
        <w:rPr>
          <w:w w:val="115"/>
        </w:rPr>
        <w:t>cuanto</w:t>
      </w:r>
      <w:r>
        <w:rPr>
          <w:spacing w:val="-18"/>
          <w:w w:val="115"/>
        </w:rPr>
        <w:t> </w:t>
      </w:r>
      <w:r>
        <w:rPr>
          <w:w w:val="115"/>
        </w:rPr>
        <w:t>a</w:t>
      </w:r>
      <w:r>
        <w:rPr>
          <w:spacing w:val="-18"/>
          <w:w w:val="115"/>
        </w:rPr>
        <w:t> </w:t>
      </w:r>
      <w:r>
        <w:rPr>
          <w:w w:val="115"/>
        </w:rPr>
        <w:t>su alcance</w:t>
      </w:r>
      <w:r>
        <w:rPr>
          <w:spacing w:val="-9"/>
          <w:w w:val="115"/>
        </w:rPr>
        <w:t> </w:t>
      </w:r>
      <w:r>
        <w:rPr>
          <w:w w:val="115"/>
        </w:rPr>
        <w:t>y</w:t>
      </w:r>
      <w:r>
        <w:rPr>
          <w:spacing w:val="-9"/>
          <w:w w:val="115"/>
        </w:rPr>
        <w:t> </w:t>
      </w:r>
      <w:r>
        <w:rPr>
          <w:w w:val="115"/>
        </w:rPr>
        <w:t>lógica</w:t>
      </w:r>
      <w:r>
        <w:rPr>
          <w:spacing w:val="-9"/>
          <w:w w:val="115"/>
        </w:rPr>
        <w:t> </w:t>
      </w:r>
      <w:r>
        <w:rPr>
          <w:w w:val="115"/>
        </w:rPr>
        <w:t>interna,</w:t>
      </w:r>
      <w:r>
        <w:rPr>
          <w:spacing w:val="-9"/>
          <w:w w:val="115"/>
        </w:rPr>
        <w:t> </w:t>
      </w:r>
      <w:r>
        <w:rPr>
          <w:w w:val="115"/>
        </w:rPr>
        <w:t>pero</w:t>
      </w:r>
      <w:r>
        <w:rPr>
          <w:spacing w:val="-9"/>
          <w:w w:val="115"/>
        </w:rPr>
        <w:t> </w:t>
      </w:r>
      <w:r>
        <w:rPr>
          <w:w w:val="115"/>
        </w:rPr>
        <w:t>todos</w:t>
      </w:r>
      <w:r>
        <w:rPr>
          <w:spacing w:val="-9"/>
          <w:w w:val="115"/>
        </w:rPr>
        <w:t> </w:t>
      </w:r>
      <w:r>
        <w:rPr>
          <w:w w:val="115"/>
        </w:rPr>
        <w:t>permiten</w:t>
      </w:r>
      <w:r>
        <w:rPr>
          <w:spacing w:val="-9"/>
          <w:w w:val="115"/>
        </w:rPr>
        <w:t> </w:t>
      </w:r>
      <w:r>
        <w:rPr>
          <w:w w:val="115"/>
        </w:rPr>
        <w:t>establecer</w:t>
      </w:r>
      <w:r>
        <w:rPr>
          <w:spacing w:val="-9"/>
          <w:w w:val="115"/>
        </w:rPr>
        <w:t> </w:t>
      </w:r>
      <w:r>
        <w:rPr>
          <w:w w:val="115"/>
        </w:rPr>
        <w:t>o</w:t>
      </w:r>
      <w:r>
        <w:rPr>
          <w:spacing w:val="-9"/>
          <w:w w:val="115"/>
        </w:rPr>
        <w:t> </w:t>
      </w:r>
      <w:r>
        <w:rPr>
          <w:w w:val="115"/>
        </w:rPr>
        <w:t>mantener </w:t>
      </w:r>
      <w:r>
        <w:rPr>
          <w:w w:val="120"/>
        </w:rPr>
        <w:t>una</w:t>
      </w:r>
      <w:r>
        <w:rPr>
          <w:spacing w:val="-18"/>
          <w:w w:val="120"/>
        </w:rPr>
        <w:t> </w:t>
      </w:r>
      <w:r>
        <w:rPr>
          <w:w w:val="120"/>
        </w:rPr>
        <w:t>relación</w:t>
      </w:r>
      <w:r>
        <w:rPr>
          <w:spacing w:val="-18"/>
          <w:w w:val="120"/>
        </w:rPr>
        <w:t> </w:t>
      </w:r>
      <w:r>
        <w:rPr>
          <w:w w:val="120"/>
        </w:rPr>
        <w:t>entre</w:t>
      </w:r>
      <w:r>
        <w:rPr>
          <w:spacing w:val="-18"/>
          <w:w w:val="120"/>
        </w:rPr>
        <w:t> </w:t>
      </w:r>
      <w:r>
        <w:rPr>
          <w:w w:val="120"/>
        </w:rPr>
        <w:t>accionistas</w:t>
      </w:r>
      <w:r>
        <w:rPr>
          <w:spacing w:val="-18"/>
          <w:w w:val="120"/>
        </w:rPr>
        <w:t> </w:t>
      </w:r>
      <w:r>
        <w:rPr>
          <w:w w:val="120"/>
        </w:rPr>
        <w:t>y</w:t>
      </w:r>
      <w:r>
        <w:rPr>
          <w:spacing w:val="-18"/>
          <w:w w:val="120"/>
        </w:rPr>
        <w:t> </w:t>
      </w:r>
      <w:r>
        <w:rPr>
          <w:w w:val="120"/>
        </w:rPr>
        <w:t>directivos</w:t>
      </w:r>
      <w:r>
        <w:rPr>
          <w:spacing w:val="-18"/>
          <w:w w:val="120"/>
        </w:rPr>
        <w:t> </w:t>
      </w:r>
      <w:r>
        <w:rPr>
          <w:w w:val="120"/>
        </w:rPr>
        <w:t>de</w:t>
      </w:r>
      <w:r>
        <w:rPr>
          <w:spacing w:val="-18"/>
          <w:w w:val="120"/>
        </w:rPr>
        <w:t> </w:t>
      </w:r>
      <w:r>
        <w:rPr>
          <w:w w:val="120"/>
        </w:rPr>
        <w:t>las</w:t>
      </w:r>
      <w:r>
        <w:rPr>
          <w:spacing w:val="-18"/>
          <w:w w:val="120"/>
        </w:rPr>
        <w:t> </w:t>
      </w:r>
      <w:r>
        <w:rPr>
          <w:w w:val="120"/>
        </w:rPr>
        <w:t>empresas,</w:t>
      </w:r>
      <w:r>
        <w:rPr>
          <w:spacing w:val="-18"/>
          <w:w w:val="120"/>
        </w:rPr>
        <w:t> </w:t>
      </w:r>
      <w:r>
        <w:rPr>
          <w:w w:val="120"/>
        </w:rPr>
        <w:t>lo</w:t>
      </w:r>
      <w:r>
        <w:rPr>
          <w:spacing w:val="-18"/>
          <w:w w:val="120"/>
        </w:rPr>
        <w:t> </w:t>
      </w:r>
      <w:r>
        <w:rPr>
          <w:w w:val="120"/>
        </w:rPr>
        <w:t>cual </w:t>
      </w:r>
      <w:r>
        <w:rPr>
          <w:w w:val="115"/>
        </w:rPr>
        <w:t>resulta</w:t>
      </w:r>
      <w:r>
        <w:rPr>
          <w:spacing w:val="-23"/>
          <w:w w:val="115"/>
        </w:rPr>
        <w:t> </w:t>
      </w:r>
      <w:r>
        <w:rPr>
          <w:w w:val="115"/>
        </w:rPr>
        <w:t>satisfactorio</w:t>
      </w:r>
      <w:r>
        <w:rPr>
          <w:spacing w:val="-23"/>
          <w:w w:val="115"/>
        </w:rPr>
        <w:t> </w:t>
      </w:r>
      <w:r>
        <w:rPr>
          <w:w w:val="115"/>
        </w:rPr>
        <w:t>para</w:t>
      </w:r>
      <w:r>
        <w:rPr>
          <w:spacing w:val="-23"/>
          <w:w w:val="115"/>
        </w:rPr>
        <w:t> </w:t>
      </w:r>
      <w:r>
        <w:rPr>
          <w:w w:val="115"/>
        </w:rPr>
        <w:t>los</w:t>
      </w:r>
      <w:r>
        <w:rPr>
          <w:spacing w:val="-23"/>
          <w:w w:val="115"/>
        </w:rPr>
        <w:t> </w:t>
      </w:r>
      <w:r>
        <w:rPr>
          <w:w w:val="115"/>
        </w:rPr>
        <w:t>primeros”.</w:t>
      </w:r>
      <w:r>
        <w:rPr>
          <w:spacing w:val="-23"/>
          <w:w w:val="115"/>
        </w:rPr>
        <w:t> </w:t>
      </w:r>
      <w:r>
        <w:rPr>
          <w:w w:val="115"/>
        </w:rPr>
        <w:t>Es</w:t>
      </w:r>
      <w:r>
        <w:rPr>
          <w:spacing w:val="-23"/>
          <w:w w:val="115"/>
        </w:rPr>
        <w:t> </w:t>
      </w:r>
      <w:r>
        <w:rPr>
          <w:w w:val="115"/>
        </w:rPr>
        <w:t>importante</w:t>
      </w:r>
      <w:r>
        <w:rPr>
          <w:spacing w:val="-23"/>
          <w:w w:val="115"/>
        </w:rPr>
        <w:t> </w:t>
      </w:r>
      <w:r>
        <w:rPr>
          <w:w w:val="115"/>
        </w:rPr>
        <w:t>tener</w:t>
      </w:r>
      <w:r>
        <w:rPr>
          <w:spacing w:val="-23"/>
          <w:w w:val="115"/>
        </w:rPr>
        <w:t> </w:t>
      </w:r>
      <w:r>
        <w:rPr>
          <w:w w:val="115"/>
        </w:rPr>
        <w:t>en</w:t>
      </w:r>
      <w:r>
        <w:rPr>
          <w:spacing w:val="-23"/>
          <w:w w:val="115"/>
        </w:rPr>
        <w:t> </w:t>
      </w:r>
      <w:r>
        <w:rPr>
          <w:w w:val="115"/>
        </w:rPr>
        <w:t>cuen- ta</w:t>
      </w:r>
      <w:r>
        <w:rPr>
          <w:spacing w:val="-10"/>
          <w:w w:val="115"/>
        </w:rPr>
        <w:t> </w:t>
      </w:r>
      <w:r>
        <w:rPr>
          <w:w w:val="115"/>
        </w:rPr>
        <w:t>que</w:t>
      </w:r>
      <w:r>
        <w:rPr>
          <w:spacing w:val="-10"/>
          <w:w w:val="115"/>
        </w:rPr>
        <w:t> </w:t>
      </w:r>
      <w:r>
        <w:rPr>
          <w:w w:val="115"/>
        </w:rPr>
        <w:t>los</w:t>
      </w:r>
      <w:r>
        <w:rPr>
          <w:spacing w:val="-10"/>
          <w:w w:val="115"/>
        </w:rPr>
        <w:t> </w:t>
      </w:r>
      <w:r>
        <w:rPr>
          <w:w w:val="115"/>
        </w:rPr>
        <w:t>escándalos</w:t>
      </w:r>
      <w:r>
        <w:rPr>
          <w:spacing w:val="-10"/>
          <w:w w:val="115"/>
        </w:rPr>
        <w:t> </w:t>
      </w:r>
      <w:r>
        <w:rPr>
          <w:w w:val="115"/>
        </w:rPr>
        <w:t>de</w:t>
      </w:r>
      <w:r>
        <w:rPr>
          <w:spacing w:val="-10"/>
          <w:w w:val="115"/>
        </w:rPr>
        <w:t> </w:t>
      </w:r>
      <w:r>
        <w:rPr>
          <w:w w:val="115"/>
        </w:rPr>
        <w:t>empresas</w:t>
      </w:r>
      <w:r>
        <w:rPr>
          <w:spacing w:val="-10"/>
          <w:w w:val="115"/>
        </w:rPr>
        <w:t> </w:t>
      </w:r>
      <w:r>
        <w:rPr>
          <w:w w:val="115"/>
        </w:rPr>
        <w:t>como</w:t>
      </w:r>
      <w:r>
        <w:rPr>
          <w:spacing w:val="-10"/>
          <w:w w:val="115"/>
        </w:rPr>
        <w:t> </w:t>
      </w:r>
      <w:r>
        <w:rPr>
          <w:w w:val="115"/>
        </w:rPr>
        <w:t>Enron</w:t>
      </w:r>
      <w:r>
        <w:rPr>
          <w:spacing w:val="-10"/>
          <w:w w:val="115"/>
        </w:rPr>
        <w:t> </w:t>
      </w:r>
      <w:r>
        <w:rPr>
          <w:w w:val="115"/>
        </w:rPr>
        <w:t>y</w:t>
      </w:r>
      <w:r>
        <w:rPr>
          <w:spacing w:val="-10"/>
          <w:w w:val="115"/>
        </w:rPr>
        <w:t> </w:t>
      </w:r>
      <w:r>
        <w:rPr>
          <w:w w:val="115"/>
        </w:rPr>
        <w:t>Worldcomm</w:t>
      </w:r>
      <w:r>
        <w:rPr>
          <w:spacing w:val="-10"/>
          <w:w w:val="115"/>
        </w:rPr>
        <w:t> </w:t>
      </w:r>
      <w:r>
        <w:rPr>
          <w:w w:val="115"/>
        </w:rPr>
        <w:t>en</w:t>
      </w:r>
      <w:r>
        <w:rPr>
          <w:spacing w:val="-10"/>
          <w:w w:val="115"/>
        </w:rPr>
        <w:t> </w:t>
      </w:r>
      <w:r>
        <w:rPr>
          <w:w w:val="115"/>
        </w:rPr>
        <w:t>los Estados unidos </w:t>
      </w:r>
      <w:r>
        <w:rPr>
          <w:spacing w:val="-11"/>
          <w:w w:val="115"/>
        </w:rPr>
        <w:t>y, </w:t>
      </w:r>
      <w:r>
        <w:rPr>
          <w:w w:val="115"/>
        </w:rPr>
        <w:t>posteriormente, el papel protagonista de algunas instituciones</w:t>
      </w:r>
      <w:r>
        <w:rPr>
          <w:spacing w:val="-20"/>
          <w:w w:val="115"/>
        </w:rPr>
        <w:t> </w:t>
      </w:r>
      <w:r>
        <w:rPr>
          <w:w w:val="115"/>
        </w:rPr>
        <w:t>financieras</w:t>
      </w:r>
      <w:r>
        <w:rPr>
          <w:spacing w:val="-20"/>
          <w:w w:val="115"/>
        </w:rPr>
        <w:t> </w:t>
      </w:r>
      <w:r>
        <w:rPr>
          <w:w w:val="115"/>
        </w:rPr>
        <w:t>en</w:t>
      </w:r>
      <w:r>
        <w:rPr>
          <w:spacing w:val="-20"/>
          <w:w w:val="115"/>
        </w:rPr>
        <w:t> </w:t>
      </w:r>
      <w:r>
        <w:rPr>
          <w:w w:val="115"/>
        </w:rPr>
        <w:t>la</w:t>
      </w:r>
      <w:r>
        <w:rPr>
          <w:spacing w:val="-20"/>
          <w:w w:val="115"/>
        </w:rPr>
        <w:t> </w:t>
      </w:r>
      <w:r>
        <w:rPr>
          <w:w w:val="115"/>
        </w:rPr>
        <w:t>crisis</w:t>
      </w:r>
      <w:r>
        <w:rPr>
          <w:spacing w:val="-20"/>
          <w:w w:val="115"/>
        </w:rPr>
        <w:t> </w:t>
      </w:r>
      <w:r>
        <w:rPr>
          <w:w w:val="115"/>
        </w:rPr>
        <w:t>de</w:t>
      </w:r>
      <w:r>
        <w:rPr>
          <w:spacing w:val="-20"/>
          <w:w w:val="115"/>
        </w:rPr>
        <w:t> </w:t>
      </w:r>
      <w:r>
        <w:rPr>
          <w:w w:val="115"/>
        </w:rPr>
        <w:t>2008</w:t>
      </w:r>
      <w:r>
        <w:rPr>
          <w:spacing w:val="-20"/>
          <w:w w:val="115"/>
        </w:rPr>
        <w:t> </w:t>
      </w:r>
      <w:r>
        <w:rPr>
          <w:w w:val="115"/>
        </w:rPr>
        <w:t>reanudarán</w:t>
      </w:r>
      <w:r>
        <w:rPr>
          <w:spacing w:val="-20"/>
          <w:w w:val="115"/>
        </w:rPr>
        <w:t> </w:t>
      </w:r>
      <w:r>
        <w:rPr>
          <w:w w:val="115"/>
        </w:rPr>
        <w:t>la</w:t>
      </w:r>
      <w:r>
        <w:rPr>
          <w:spacing w:val="-20"/>
          <w:w w:val="115"/>
        </w:rPr>
        <w:t> </w:t>
      </w:r>
      <w:r>
        <w:rPr>
          <w:w w:val="115"/>
        </w:rPr>
        <w:t>discusión respecto</w:t>
      </w:r>
      <w:r>
        <w:rPr>
          <w:spacing w:val="-9"/>
          <w:w w:val="115"/>
        </w:rPr>
        <w:t> </w:t>
      </w:r>
      <w:r>
        <w:rPr>
          <w:w w:val="115"/>
        </w:rPr>
        <w:t>de</w:t>
      </w:r>
      <w:r>
        <w:rPr>
          <w:spacing w:val="-9"/>
          <w:w w:val="115"/>
        </w:rPr>
        <w:t> </w:t>
      </w:r>
      <w:r>
        <w:rPr>
          <w:w w:val="115"/>
        </w:rPr>
        <w:t>la</w:t>
      </w:r>
      <w:r>
        <w:rPr>
          <w:spacing w:val="-9"/>
          <w:w w:val="115"/>
        </w:rPr>
        <w:t> </w:t>
      </w:r>
      <w:r>
        <w:rPr>
          <w:w w:val="115"/>
        </w:rPr>
        <w:t>gobernanza</w:t>
      </w:r>
      <w:r>
        <w:rPr>
          <w:spacing w:val="-9"/>
          <w:w w:val="115"/>
        </w:rPr>
        <w:t> </w:t>
      </w:r>
      <w:r>
        <w:rPr>
          <w:w w:val="115"/>
        </w:rPr>
        <w:t>corporativa</w:t>
      </w:r>
      <w:r>
        <w:rPr>
          <w:spacing w:val="-9"/>
          <w:w w:val="115"/>
        </w:rPr>
        <w:t> </w:t>
      </w:r>
      <w:r>
        <w:rPr>
          <w:w w:val="115"/>
        </w:rPr>
        <w:t>en</w:t>
      </w:r>
      <w:r>
        <w:rPr>
          <w:spacing w:val="-9"/>
          <w:w w:val="115"/>
        </w:rPr>
        <w:t> </w:t>
      </w:r>
      <w:r>
        <w:rPr>
          <w:w w:val="115"/>
        </w:rPr>
        <w:t>cuanto</w:t>
      </w:r>
      <w:r>
        <w:rPr>
          <w:spacing w:val="-9"/>
          <w:w w:val="115"/>
        </w:rPr>
        <w:t> </w:t>
      </w:r>
      <w:r>
        <w:rPr>
          <w:w w:val="115"/>
        </w:rPr>
        <w:t>“principio</w:t>
      </w:r>
      <w:r>
        <w:rPr>
          <w:spacing w:val="-9"/>
          <w:w w:val="115"/>
        </w:rPr>
        <w:t> </w:t>
      </w:r>
      <w:r>
        <w:rPr>
          <w:w w:val="115"/>
        </w:rPr>
        <w:t>ordena- </w:t>
      </w:r>
      <w:r>
        <w:rPr>
          <w:w w:val="110"/>
        </w:rPr>
        <w:t>dor del capitalismo contemporáneo” (Grün, 2005:</w:t>
      </w:r>
      <w:r>
        <w:rPr>
          <w:spacing w:val="29"/>
          <w:w w:val="110"/>
        </w:rPr>
        <w:t> </w:t>
      </w:r>
      <w:r>
        <w:rPr>
          <w:w w:val="110"/>
        </w:rPr>
        <w:t>74)</w:t>
      </w:r>
      <w:r>
        <w:rPr>
          <w:w w:val="110"/>
          <w:position w:val="6"/>
          <w:sz w:val="11"/>
        </w:rPr>
        <w:t>23</w:t>
      </w:r>
      <w:r>
        <w:rPr>
          <w:w w:val="110"/>
        </w:rPr>
        <w:t>.</w:t>
      </w:r>
    </w:p>
    <w:p>
      <w:pPr>
        <w:pStyle w:val="BodyText"/>
        <w:spacing w:line="252" w:lineRule="auto"/>
        <w:ind w:left="330" w:right="117" w:firstLine="396"/>
        <w:jc w:val="both"/>
      </w:pPr>
      <w:r>
        <w:rPr>
          <w:w w:val="243"/>
        </w:rPr>
        <w:t>l</w:t>
      </w:r>
      <w:r>
        <w:rPr>
          <w:w w:val="112"/>
        </w:rPr>
        <w:t>a</w:t>
      </w:r>
      <w:r>
        <w:rPr/>
        <w:t> </w:t>
      </w:r>
      <w:r>
        <w:rPr>
          <w:spacing w:val="-17"/>
        </w:rPr>
        <w:t> </w:t>
      </w:r>
      <w:r>
        <w:rPr>
          <w:w w:val="111"/>
        </w:rPr>
        <w:t>participación</w:t>
      </w:r>
      <w:r>
        <w:rPr/>
        <w:t> </w:t>
      </w:r>
      <w:r>
        <w:rPr>
          <w:spacing w:val="-17"/>
        </w:rPr>
        <w:t> </w:t>
      </w:r>
      <w:r>
        <w:rPr>
          <w:w w:val="113"/>
        </w:rPr>
        <w:t>inicial</w:t>
      </w:r>
      <w:r>
        <w:rPr/>
        <w:t> </w:t>
      </w:r>
      <w:r>
        <w:rPr>
          <w:spacing w:val="-17"/>
        </w:rPr>
        <w:t> </w:t>
      </w:r>
      <w:r>
        <w:rPr>
          <w:w w:val="107"/>
        </w:rPr>
        <w:t>del</w:t>
      </w:r>
      <w:r>
        <w:rPr/>
        <w:t> </w:t>
      </w:r>
      <w:r>
        <w:rPr>
          <w:spacing w:val="-17"/>
        </w:rPr>
        <w:t> </w:t>
      </w:r>
      <w:r>
        <w:rPr>
          <w:w w:val="124"/>
        </w:rPr>
        <w:t>C</w:t>
      </w:r>
      <w:r>
        <w:rPr>
          <w:w w:val="142"/>
        </w:rPr>
        <w:t>i</w:t>
      </w:r>
      <w:r>
        <w:rPr>
          <w:w w:val="120"/>
        </w:rPr>
        <w:t>PE</w:t>
      </w:r>
      <w:r>
        <w:rPr/>
        <w:t> </w:t>
      </w:r>
      <w:r>
        <w:rPr>
          <w:spacing w:val="-17"/>
        </w:rPr>
        <w:t> </w:t>
      </w:r>
      <w:r>
        <w:rPr>
          <w:w w:val="112"/>
        </w:rPr>
        <w:t>con</w:t>
      </w:r>
      <w:r>
        <w:rPr/>
        <w:t> </w:t>
      </w:r>
      <w:r>
        <w:rPr>
          <w:spacing w:val="-17"/>
        </w:rPr>
        <w:t> </w:t>
      </w:r>
      <w:r>
        <w:rPr>
          <w:w w:val="111"/>
        </w:rPr>
        <w:t>la</w:t>
      </w:r>
      <w:r>
        <w:rPr/>
        <w:t> </w:t>
      </w:r>
      <w:r>
        <w:rPr>
          <w:spacing w:val="-17"/>
        </w:rPr>
        <w:t> </w:t>
      </w:r>
      <w:r>
        <w:rPr>
          <w:w w:val="110"/>
        </w:rPr>
        <w:t>gobernanza</w:t>
      </w:r>
      <w:r>
        <w:rPr/>
        <w:t> </w:t>
      </w:r>
      <w:r>
        <w:rPr>
          <w:spacing w:val="-17"/>
        </w:rPr>
        <w:t> </w:t>
      </w:r>
      <w:r>
        <w:rPr>
          <w:w w:val="109"/>
        </w:rPr>
        <w:t>corporativa </w:t>
      </w:r>
      <w:r>
        <w:rPr>
          <w:w w:val="115"/>
        </w:rPr>
        <w:t>forma</w:t>
      </w:r>
      <w:r>
        <w:rPr>
          <w:spacing w:val="-17"/>
          <w:w w:val="115"/>
        </w:rPr>
        <w:t> </w:t>
      </w:r>
      <w:r>
        <w:rPr>
          <w:w w:val="115"/>
        </w:rPr>
        <w:t>parte</w:t>
      </w:r>
      <w:r>
        <w:rPr>
          <w:spacing w:val="-17"/>
          <w:w w:val="115"/>
        </w:rPr>
        <w:t> </w:t>
      </w:r>
      <w:r>
        <w:rPr>
          <w:w w:val="115"/>
        </w:rPr>
        <w:t>de</w:t>
      </w:r>
      <w:r>
        <w:rPr>
          <w:spacing w:val="-17"/>
          <w:w w:val="115"/>
        </w:rPr>
        <w:t> </w:t>
      </w:r>
      <w:r>
        <w:rPr>
          <w:w w:val="115"/>
        </w:rPr>
        <w:t>la</w:t>
      </w:r>
      <w:r>
        <w:rPr>
          <w:spacing w:val="-17"/>
          <w:w w:val="115"/>
        </w:rPr>
        <w:t> </w:t>
      </w:r>
      <w:r>
        <w:rPr>
          <w:w w:val="115"/>
        </w:rPr>
        <w:t>estrategia</w:t>
      </w:r>
      <w:r>
        <w:rPr>
          <w:spacing w:val="-17"/>
          <w:w w:val="115"/>
        </w:rPr>
        <w:t> </w:t>
      </w:r>
      <w:r>
        <w:rPr>
          <w:w w:val="115"/>
        </w:rPr>
        <w:t>del</w:t>
      </w:r>
      <w:r>
        <w:rPr>
          <w:spacing w:val="-17"/>
          <w:w w:val="115"/>
        </w:rPr>
        <w:t> </w:t>
      </w:r>
      <w:r>
        <w:rPr>
          <w:w w:val="115"/>
        </w:rPr>
        <w:t>gobierno</w:t>
      </w:r>
      <w:r>
        <w:rPr>
          <w:spacing w:val="-17"/>
          <w:w w:val="115"/>
        </w:rPr>
        <w:t> </w:t>
      </w:r>
      <w:r>
        <w:rPr>
          <w:w w:val="115"/>
        </w:rPr>
        <w:t>y</w:t>
      </w:r>
      <w:r>
        <w:rPr>
          <w:spacing w:val="-17"/>
          <w:w w:val="115"/>
        </w:rPr>
        <w:t> </w:t>
      </w:r>
      <w:r>
        <w:rPr>
          <w:w w:val="115"/>
        </w:rPr>
        <w:t>de</w:t>
      </w:r>
      <w:r>
        <w:rPr>
          <w:spacing w:val="-17"/>
          <w:w w:val="115"/>
        </w:rPr>
        <w:t> </w:t>
      </w:r>
      <w:r>
        <w:rPr>
          <w:w w:val="115"/>
        </w:rPr>
        <w:t>las</w:t>
      </w:r>
      <w:r>
        <w:rPr>
          <w:spacing w:val="-17"/>
          <w:w w:val="115"/>
        </w:rPr>
        <w:t> </w:t>
      </w:r>
      <w:r>
        <w:rPr>
          <w:w w:val="115"/>
        </w:rPr>
        <w:t>corporaciones</w:t>
      </w:r>
      <w:r>
        <w:rPr>
          <w:spacing w:val="-17"/>
          <w:w w:val="115"/>
        </w:rPr>
        <w:t> </w:t>
      </w:r>
      <w:r>
        <w:rPr>
          <w:w w:val="115"/>
        </w:rPr>
        <w:t>esta- </w:t>
      </w:r>
      <w:r>
        <w:rPr>
          <w:w w:val="110"/>
        </w:rPr>
        <w:t>dounidenses relacionadas con las transformaciones políticas y econó- </w:t>
      </w:r>
      <w:r>
        <w:rPr>
          <w:w w:val="115"/>
        </w:rPr>
        <w:t>micas</w:t>
      </w:r>
      <w:r>
        <w:rPr>
          <w:spacing w:val="-9"/>
          <w:w w:val="115"/>
        </w:rPr>
        <w:t> </w:t>
      </w:r>
      <w:r>
        <w:rPr>
          <w:w w:val="115"/>
        </w:rPr>
        <w:t>en</w:t>
      </w:r>
      <w:r>
        <w:rPr>
          <w:spacing w:val="-9"/>
          <w:w w:val="115"/>
        </w:rPr>
        <w:t> </w:t>
      </w:r>
      <w:r>
        <w:rPr>
          <w:w w:val="115"/>
        </w:rPr>
        <w:t>los</w:t>
      </w:r>
      <w:r>
        <w:rPr>
          <w:spacing w:val="-9"/>
          <w:w w:val="115"/>
        </w:rPr>
        <w:t> </w:t>
      </w:r>
      <w:r>
        <w:rPr>
          <w:w w:val="115"/>
        </w:rPr>
        <w:t>países</w:t>
      </w:r>
      <w:r>
        <w:rPr>
          <w:spacing w:val="-9"/>
          <w:w w:val="115"/>
        </w:rPr>
        <w:t> </w:t>
      </w:r>
      <w:r>
        <w:rPr>
          <w:w w:val="115"/>
        </w:rPr>
        <w:t>del</w:t>
      </w:r>
      <w:r>
        <w:rPr>
          <w:spacing w:val="-9"/>
          <w:w w:val="115"/>
        </w:rPr>
        <w:t> </w:t>
      </w:r>
      <w:r>
        <w:rPr>
          <w:w w:val="115"/>
        </w:rPr>
        <w:t>centro</w:t>
      </w:r>
      <w:r>
        <w:rPr>
          <w:spacing w:val="-9"/>
          <w:w w:val="115"/>
        </w:rPr>
        <w:t> </w:t>
      </w:r>
      <w:r>
        <w:rPr>
          <w:w w:val="115"/>
        </w:rPr>
        <w:t>y</w:t>
      </w:r>
      <w:r>
        <w:rPr>
          <w:spacing w:val="-9"/>
          <w:w w:val="115"/>
        </w:rPr>
        <w:t> </w:t>
      </w:r>
      <w:r>
        <w:rPr>
          <w:w w:val="115"/>
        </w:rPr>
        <w:t>este</w:t>
      </w:r>
      <w:r>
        <w:rPr>
          <w:spacing w:val="-9"/>
          <w:w w:val="115"/>
        </w:rPr>
        <w:t> </w:t>
      </w:r>
      <w:r>
        <w:rPr>
          <w:w w:val="115"/>
        </w:rPr>
        <w:t>europeos</w:t>
      </w:r>
      <w:r>
        <w:rPr>
          <w:spacing w:val="-9"/>
          <w:w w:val="115"/>
        </w:rPr>
        <w:t> </w:t>
      </w:r>
      <w:r>
        <w:rPr>
          <w:w w:val="115"/>
        </w:rPr>
        <w:t>en</w:t>
      </w:r>
      <w:r>
        <w:rPr>
          <w:spacing w:val="-9"/>
          <w:w w:val="115"/>
        </w:rPr>
        <w:t> </w:t>
      </w:r>
      <w:r>
        <w:rPr>
          <w:w w:val="115"/>
        </w:rPr>
        <w:t>su</w:t>
      </w:r>
      <w:r>
        <w:rPr>
          <w:spacing w:val="-9"/>
          <w:w w:val="115"/>
        </w:rPr>
        <w:t> </w:t>
      </w:r>
      <w:r>
        <w:rPr>
          <w:w w:val="115"/>
        </w:rPr>
        <w:t>transición</w:t>
      </w:r>
      <w:r>
        <w:rPr>
          <w:spacing w:val="-9"/>
          <w:w w:val="115"/>
        </w:rPr>
        <w:t> </w:t>
      </w:r>
      <w:r>
        <w:rPr>
          <w:w w:val="115"/>
        </w:rPr>
        <w:t>hacia una</w:t>
      </w:r>
      <w:r>
        <w:rPr>
          <w:spacing w:val="-21"/>
          <w:w w:val="115"/>
        </w:rPr>
        <w:t> </w:t>
      </w:r>
      <w:r>
        <w:rPr>
          <w:w w:val="115"/>
        </w:rPr>
        <w:t>economía</w:t>
      </w:r>
      <w:r>
        <w:rPr>
          <w:spacing w:val="-21"/>
          <w:w w:val="115"/>
        </w:rPr>
        <w:t> </w:t>
      </w:r>
      <w:r>
        <w:rPr>
          <w:w w:val="115"/>
        </w:rPr>
        <w:t>capitalista.</w:t>
      </w:r>
      <w:r>
        <w:rPr>
          <w:spacing w:val="-21"/>
          <w:w w:val="115"/>
        </w:rPr>
        <w:t> </w:t>
      </w:r>
      <w:r>
        <w:rPr>
          <w:w w:val="115"/>
        </w:rPr>
        <w:t>a</w:t>
      </w:r>
      <w:r>
        <w:rPr>
          <w:spacing w:val="-21"/>
          <w:w w:val="115"/>
        </w:rPr>
        <w:t> </w:t>
      </w:r>
      <w:r>
        <w:rPr>
          <w:w w:val="115"/>
        </w:rPr>
        <w:t>partir</w:t>
      </w:r>
      <w:r>
        <w:rPr>
          <w:spacing w:val="-21"/>
          <w:w w:val="115"/>
        </w:rPr>
        <w:t> </w:t>
      </w:r>
      <w:r>
        <w:rPr>
          <w:w w:val="115"/>
        </w:rPr>
        <w:t>de</w:t>
      </w:r>
      <w:r>
        <w:rPr>
          <w:spacing w:val="-21"/>
          <w:w w:val="115"/>
        </w:rPr>
        <w:t> </w:t>
      </w:r>
      <w:r>
        <w:rPr>
          <w:w w:val="115"/>
        </w:rPr>
        <w:t>1992,</w:t>
      </w:r>
      <w:r>
        <w:rPr>
          <w:spacing w:val="-21"/>
          <w:w w:val="115"/>
        </w:rPr>
        <w:t> </w:t>
      </w:r>
      <w:r>
        <w:rPr>
          <w:w w:val="115"/>
        </w:rPr>
        <w:t>operando</w:t>
      </w:r>
      <w:r>
        <w:rPr>
          <w:spacing w:val="-21"/>
          <w:w w:val="115"/>
        </w:rPr>
        <w:t> </w:t>
      </w:r>
      <w:r>
        <w:rPr>
          <w:w w:val="115"/>
        </w:rPr>
        <w:t>con</w:t>
      </w:r>
      <w:r>
        <w:rPr>
          <w:spacing w:val="-21"/>
          <w:w w:val="115"/>
        </w:rPr>
        <w:t> </w:t>
      </w:r>
      <w:r>
        <w:rPr>
          <w:w w:val="115"/>
        </w:rPr>
        <w:t>fondos</w:t>
      </w:r>
      <w:r>
        <w:rPr>
          <w:spacing w:val="-21"/>
          <w:w w:val="115"/>
        </w:rPr>
        <w:t> </w:t>
      </w:r>
      <w:r>
        <w:rPr>
          <w:w w:val="115"/>
        </w:rPr>
        <w:t>de</w:t>
      </w:r>
      <w:r>
        <w:rPr>
          <w:spacing w:val="-21"/>
          <w:w w:val="115"/>
        </w:rPr>
        <w:t> </w:t>
      </w:r>
      <w:r>
        <w:rPr>
          <w:w w:val="115"/>
        </w:rPr>
        <w:t>la </w:t>
      </w:r>
      <w:r>
        <w:rPr>
          <w:w w:val="120"/>
        </w:rPr>
        <w:t>usaid</w:t>
      </w:r>
      <w:r>
        <w:rPr>
          <w:spacing w:val="-26"/>
          <w:w w:val="120"/>
        </w:rPr>
        <w:t> </w:t>
      </w:r>
      <w:r>
        <w:rPr>
          <w:w w:val="120"/>
        </w:rPr>
        <w:t>transferidos</w:t>
      </w:r>
      <w:r>
        <w:rPr>
          <w:spacing w:val="-26"/>
          <w:w w:val="120"/>
        </w:rPr>
        <w:t> </w:t>
      </w:r>
      <w:r>
        <w:rPr>
          <w:w w:val="120"/>
        </w:rPr>
        <w:t>por</w:t>
      </w:r>
      <w:r>
        <w:rPr>
          <w:spacing w:val="-26"/>
          <w:w w:val="120"/>
        </w:rPr>
        <w:t> </w:t>
      </w:r>
      <w:r>
        <w:rPr>
          <w:w w:val="120"/>
        </w:rPr>
        <w:t>medio</w:t>
      </w:r>
      <w:r>
        <w:rPr>
          <w:spacing w:val="-26"/>
          <w:w w:val="120"/>
        </w:rPr>
        <w:t> </w:t>
      </w:r>
      <w:r>
        <w:rPr>
          <w:w w:val="120"/>
        </w:rPr>
        <w:t>del</w:t>
      </w:r>
      <w:r>
        <w:rPr>
          <w:spacing w:val="-26"/>
          <w:w w:val="120"/>
        </w:rPr>
        <w:t> </w:t>
      </w:r>
      <w:r>
        <w:rPr>
          <w:w w:val="120"/>
        </w:rPr>
        <w:t>NEd,</w:t>
      </w:r>
      <w:r>
        <w:rPr>
          <w:spacing w:val="-26"/>
          <w:w w:val="120"/>
        </w:rPr>
        <w:t> </w:t>
      </w:r>
      <w:r>
        <w:rPr>
          <w:w w:val="120"/>
        </w:rPr>
        <w:t>el</w:t>
      </w:r>
      <w:r>
        <w:rPr>
          <w:spacing w:val="-26"/>
          <w:w w:val="120"/>
        </w:rPr>
        <w:t> </w:t>
      </w:r>
      <w:r>
        <w:rPr>
          <w:w w:val="120"/>
        </w:rPr>
        <w:t>CiPE</w:t>
      </w:r>
      <w:r>
        <w:rPr>
          <w:spacing w:val="-26"/>
          <w:w w:val="120"/>
        </w:rPr>
        <w:t> </w:t>
      </w:r>
      <w:r>
        <w:rPr>
          <w:w w:val="120"/>
        </w:rPr>
        <w:t>asoció</w:t>
      </w:r>
      <w:r>
        <w:rPr>
          <w:spacing w:val="-26"/>
          <w:w w:val="120"/>
        </w:rPr>
        <w:t> </w:t>
      </w:r>
      <w:r>
        <w:rPr>
          <w:w w:val="120"/>
        </w:rPr>
        <w:t>la</w:t>
      </w:r>
      <w:r>
        <w:rPr>
          <w:spacing w:val="-26"/>
          <w:w w:val="120"/>
        </w:rPr>
        <w:t> </w:t>
      </w:r>
      <w:r>
        <w:rPr>
          <w:w w:val="120"/>
        </w:rPr>
        <w:t>gobernanza </w:t>
      </w:r>
      <w:r>
        <w:rPr>
          <w:w w:val="115"/>
        </w:rPr>
        <w:t>corporativa</w:t>
      </w:r>
      <w:r>
        <w:rPr>
          <w:spacing w:val="-24"/>
          <w:w w:val="115"/>
        </w:rPr>
        <w:t> </w:t>
      </w:r>
      <w:r>
        <w:rPr>
          <w:w w:val="115"/>
        </w:rPr>
        <w:t>al</w:t>
      </w:r>
      <w:r>
        <w:rPr>
          <w:spacing w:val="-24"/>
          <w:w w:val="115"/>
        </w:rPr>
        <w:t> </w:t>
      </w:r>
      <w:r>
        <w:rPr>
          <w:w w:val="115"/>
        </w:rPr>
        <w:t>proceso</w:t>
      </w:r>
      <w:r>
        <w:rPr>
          <w:spacing w:val="-24"/>
          <w:w w:val="115"/>
        </w:rPr>
        <w:t> </w:t>
      </w:r>
      <w:r>
        <w:rPr>
          <w:w w:val="115"/>
        </w:rPr>
        <w:t>de</w:t>
      </w:r>
      <w:r>
        <w:rPr>
          <w:spacing w:val="-24"/>
          <w:w w:val="115"/>
        </w:rPr>
        <w:t> </w:t>
      </w:r>
      <w:r>
        <w:rPr>
          <w:w w:val="115"/>
        </w:rPr>
        <w:t>privatización</w:t>
      </w:r>
      <w:r>
        <w:rPr>
          <w:spacing w:val="-24"/>
          <w:w w:val="115"/>
        </w:rPr>
        <w:t> </w:t>
      </w:r>
      <w:r>
        <w:rPr>
          <w:w w:val="115"/>
        </w:rPr>
        <w:t>en</w:t>
      </w:r>
      <w:r>
        <w:rPr>
          <w:spacing w:val="-24"/>
          <w:w w:val="115"/>
        </w:rPr>
        <w:t> </w:t>
      </w:r>
      <w:r>
        <w:rPr>
          <w:w w:val="115"/>
        </w:rPr>
        <w:t>marcha</w:t>
      </w:r>
      <w:r>
        <w:rPr>
          <w:spacing w:val="-24"/>
          <w:w w:val="115"/>
        </w:rPr>
        <w:t> </w:t>
      </w:r>
      <w:r>
        <w:rPr>
          <w:w w:val="115"/>
        </w:rPr>
        <w:t>en</w:t>
      </w:r>
      <w:r>
        <w:rPr>
          <w:spacing w:val="-24"/>
          <w:w w:val="115"/>
        </w:rPr>
        <w:t> </w:t>
      </w:r>
      <w:r>
        <w:rPr>
          <w:w w:val="115"/>
        </w:rPr>
        <w:t>aquellos</w:t>
      </w:r>
      <w:r>
        <w:rPr>
          <w:spacing w:val="-24"/>
          <w:w w:val="115"/>
        </w:rPr>
        <w:t> </w:t>
      </w:r>
      <w:r>
        <w:rPr>
          <w:w w:val="115"/>
        </w:rPr>
        <w:t>países. </w:t>
      </w:r>
      <w:r>
        <w:rPr>
          <w:w w:val="120"/>
        </w:rPr>
        <w:t>El</w:t>
      </w:r>
      <w:r>
        <w:rPr>
          <w:spacing w:val="-27"/>
          <w:w w:val="120"/>
        </w:rPr>
        <w:t> </w:t>
      </w:r>
      <w:r>
        <w:rPr>
          <w:w w:val="120"/>
        </w:rPr>
        <w:t>éxito</w:t>
      </w:r>
      <w:r>
        <w:rPr>
          <w:spacing w:val="-27"/>
          <w:w w:val="120"/>
        </w:rPr>
        <w:t> </w:t>
      </w:r>
      <w:r>
        <w:rPr>
          <w:w w:val="120"/>
        </w:rPr>
        <w:t>alcanzado</w:t>
      </w:r>
      <w:r>
        <w:rPr>
          <w:spacing w:val="-27"/>
          <w:w w:val="120"/>
        </w:rPr>
        <w:t> </w:t>
      </w:r>
      <w:r>
        <w:rPr>
          <w:w w:val="120"/>
        </w:rPr>
        <w:t>en</w:t>
      </w:r>
      <w:r>
        <w:rPr>
          <w:spacing w:val="-27"/>
          <w:w w:val="120"/>
        </w:rPr>
        <w:t> </w:t>
      </w:r>
      <w:r>
        <w:rPr>
          <w:w w:val="120"/>
        </w:rPr>
        <w:t>tal</w:t>
      </w:r>
      <w:r>
        <w:rPr>
          <w:spacing w:val="-27"/>
          <w:w w:val="120"/>
        </w:rPr>
        <w:t> </w:t>
      </w:r>
      <w:r>
        <w:rPr>
          <w:w w:val="120"/>
        </w:rPr>
        <w:t>actividad</w:t>
      </w:r>
      <w:r>
        <w:rPr>
          <w:spacing w:val="-27"/>
          <w:w w:val="120"/>
        </w:rPr>
        <w:t> </w:t>
      </w:r>
      <w:r>
        <w:rPr>
          <w:w w:val="120"/>
        </w:rPr>
        <w:t>en</w:t>
      </w:r>
      <w:r>
        <w:rPr>
          <w:spacing w:val="-27"/>
          <w:w w:val="120"/>
        </w:rPr>
        <w:t> </w:t>
      </w:r>
      <w:r>
        <w:rPr>
          <w:w w:val="120"/>
        </w:rPr>
        <w:t>Europa</w:t>
      </w:r>
      <w:r>
        <w:rPr>
          <w:spacing w:val="-27"/>
          <w:w w:val="120"/>
        </w:rPr>
        <w:t> </w:t>
      </w:r>
      <w:r>
        <w:rPr>
          <w:w w:val="120"/>
        </w:rPr>
        <w:t>estimuló</w:t>
      </w:r>
      <w:r>
        <w:rPr>
          <w:spacing w:val="-27"/>
          <w:w w:val="120"/>
        </w:rPr>
        <w:t> </w:t>
      </w:r>
      <w:r>
        <w:rPr>
          <w:w w:val="120"/>
        </w:rPr>
        <w:t>a</w:t>
      </w:r>
      <w:r>
        <w:rPr>
          <w:spacing w:val="-27"/>
          <w:w w:val="120"/>
        </w:rPr>
        <w:t> </w:t>
      </w:r>
      <w:r>
        <w:rPr>
          <w:w w:val="120"/>
        </w:rPr>
        <w:t>la</w:t>
      </w:r>
      <w:r>
        <w:rPr>
          <w:spacing w:val="-27"/>
          <w:w w:val="120"/>
        </w:rPr>
        <w:t> </w:t>
      </w:r>
      <w:r>
        <w:rPr>
          <w:w w:val="120"/>
        </w:rPr>
        <w:t>usaid</w:t>
      </w:r>
      <w:r>
        <w:rPr>
          <w:spacing w:val="-27"/>
          <w:w w:val="120"/>
        </w:rPr>
        <w:t> </w:t>
      </w:r>
      <w:r>
        <w:rPr>
          <w:w w:val="120"/>
        </w:rPr>
        <w:t>y</w:t>
      </w:r>
      <w:r>
        <w:rPr>
          <w:spacing w:val="-27"/>
          <w:w w:val="120"/>
        </w:rPr>
        <w:t> </w:t>
      </w:r>
      <w:r>
        <w:rPr>
          <w:w w:val="120"/>
        </w:rPr>
        <w:t>el </w:t>
      </w:r>
      <w:r>
        <w:rPr>
          <w:w w:val="115"/>
        </w:rPr>
        <w:t>CiPE</w:t>
      </w:r>
      <w:r>
        <w:rPr>
          <w:spacing w:val="-7"/>
          <w:w w:val="115"/>
        </w:rPr>
        <w:t> </w:t>
      </w:r>
      <w:r>
        <w:rPr>
          <w:w w:val="115"/>
        </w:rPr>
        <w:t>a</w:t>
      </w:r>
      <w:r>
        <w:rPr>
          <w:spacing w:val="-7"/>
          <w:w w:val="115"/>
        </w:rPr>
        <w:t> </w:t>
      </w:r>
      <w:r>
        <w:rPr>
          <w:w w:val="115"/>
        </w:rPr>
        <w:t>apoyar</w:t>
      </w:r>
      <w:r>
        <w:rPr>
          <w:spacing w:val="-7"/>
          <w:w w:val="115"/>
        </w:rPr>
        <w:t> </w:t>
      </w:r>
      <w:r>
        <w:rPr>
          <w:w w:val="115"/>
        </w:rPr>
        <w:t>e</w:t>
      </w:r>
      <w:r>
        <w:rPr>
          <w:spacing w:val="-7"/>
          <w:w w:val="115"/>
        </w:rPr>
        <w:t> </w:t>
      </w:r>
      <w:r>
        <w:rPr>
          <w:w w:val="115"/>
        </w:rPr>
        <w:t>implementar</w:t>
      </w:r>
      <w:r>
        <w:rPr>
          <w:spacing w:val="-7"/>
          <w:w w:val="115"/>
        </w:rPr>
        <w:t> </w:t>
      </w:r>
      <w:r>
        <w:rPr>
          <w:w w:val="115"/>
        </w:rPr>
        <w:t>programas</w:t>
      </w:r>
      <w:r>
        <w:rPr>
          <w:spacing w:val="-7"/>
          <w:w w:val="115"/>
        </w:rPr>
        <w:t> </w:t>
      </w:r>
      <w:r>
        <w:rPr>
          <w:w w:val="115"/>
        </w:rPr>
        <w:t>y</w:t>
      </w:r>
      <w:r>
        <w:rPr>
          <w:spacing w:val="-7"/>
          <w:w w:val="115"/>
        </w:rPr>
        <w:t> </w:t>
      </w:r>
      <w:r>
        <w:rPr>
          <w:w w:val="115"/>
        </w:rPr>
        <w:t>organizaciones</w:t>
      </w:r>
      <w:r>
        <w:rPr>
          <w:spacing w:val="-7"/>
          <w:w w:val="115"/>
        </w:rPr>
        <w:t> </w:t>
      </w:r>
      <w:r>
        <w:rPr>
          <w:w w:val="115"/>
        </w:rPr>
        <w:t>de</w:t>
      </w:r>
      <w:r>
        <w:rPr>
          <w:spacing w:val="-7"/>
          <w:w w:val="115"/>
        </w:rPr>
        <w:t> </w:t>
      </w:r>
      <w:r>
        <w:rPr>
          <w:spacing w:val="-3"/>
          <w:w w:val="115"/>
        </w:rPr>
        <w:t>gober- </w:t>
      </w:r>
      <w:r>
        <w:rPr>
          <w:w w:val="112"/>
        </w:rPr>
        <w:t>nanza</w:t>
      </w:r>
      <w:r>
        <w:rPr>
          <w:spacing w:val="11"/>
        </w:rPr>
        <w:t> </w:t>
      </w:r>
      <w:r>
        <w:rPr>
          <w:w w:val="109"/>
        </w:rPr>
        <w:t>corporativa</w:t>
      </w:r>
      <w:r>
        <w:rPr>
          <w:spacing w:val="11"/>
        </w:rPr>
        <w:t> </w:t>
      </w:r>
      <w:r>
        <w:rPr>
          <w:w w:val="108"/>
        </w:rPr>
        <w:t>en</w:t>
      </w:r>
      <w:r>
        <w:rPr>
          <w:spacing w:val="11"/>
        </w:rPr>
        <w:t> </w:t>
      </w:r>
      <w:r>
        <w:rPr>
          <w:w w:val="111"/>
        </w:rPr>
        <w:t>la</w:t>
      </w:r>
      <w:r>
        <w:rPr>
          <w:spacing w:val="11"/>
        </w:rPr>
        <w:t> </w:t>
      </w:r>
      <w:r>
        <w:rPr>
          <w:w w:val="139"/>
        </w:rPr>
        <w:t>a</w:t>
      </w:r>
      <w:r>
        <w:rPr>
          <w:w w:val="111"/>
        </w:rPr>
        <w:t>mérica</w:t>
      </w:r>
      <w:r>
        <w:rPr>
          <w:spacing w:val="11"/>
        </w:rPr>
        <w:t> </w:t>
      </w:r>
      <w:r>
        <w:rPr>
          <w:w w:val="243"/>
        </w:rPr>
        <w:t>l</w:t>
      </w:r>
      <w:r>
        <w:rPr>
          <w:w w:val="111"/>
        </w:rPr>
        <w:t>atina</w:t>
      </w:r>
      <w:r>
        <w:rPr>
          <w:spacing w:val="11"/>
        </w:rPr>
        <w:t> </w:t>
      </w:r>
      <w:r>
        <w:rPr>
          <w:w w:val="112"/>
        </w:rPr>
        <w:t>a</w:t>
      </w:r>
      <w:r>
        <w:rPr>
          <w:spacing w:val="11"/>
        </w:rPr>
        <w:t> </w:t>
      </w:r>
      <w:r>
        <w:rPr>
          <w:w w:val="108"/>
        </w:rPr>
        <w:t>partir</w:t>
      </w:r>
      <w:r>
        <w:rPr>
          <w:spacing w:val="11"/>
        </w:rPr>
        <w:t> </w:t>
      </w:r>
      <w:r>
        <w:rPr>
          <w:w w:val="107"/>
        </w:rPr>
        <w:t>de</w:t>
      </w:r>
      <w:r>
        <w:rPr>
          <w:spacing w:val="11"/>
        </w:rPr>
        <w:t> </w:t>
      </w:r>
      <w:r>
        <w:rPr>
          <w:w w:val="112"/>
        </w:rPr>
        <w:t>inicios</w:t>
      </w:r>
      <w:r>
        <w:rPr>
          <w:spacing w:val="11"/>
        </w:rPr>
        <w:t> </w:t>
      </w:r>
      <w:r>
        <w:rPr>
          <w:w w:val="107"/>
        </w:rPr>
        <w:t>de</w:t>
      </w:r>
      <w:r>
        <w:rPr>
          <w:spacing w:val="11"/>
        </w:rPr>
        <w:t> </w:t>
      </w:r>
      <w:r>
        <w:rPr>
          <w:w w:val="108"/>
        </w:rPr>
        <w:t>los</w:t>
      </w:r>
      <w:r>
        <w:rPr>
          <w:spacing w:val="11"/>
        </w:rPr>
        <w:t> </w:t>
      </w:r>
      <w:r>
        <w:rPr>
          <w:w w:val="110"/>
        </w:rPr>
        <w:t>años </w:t>
      </w:r>
      <w:r>
        <w:rPr>
          <w:w w:val="115"/>
        </w:rPr>
        <w:t>2000</w:t>
      </w:r>
      <w:r>
        <w:rPr>
          <w:spacing w:val="-9"/>
          <w:w w:val="115"/>
        </w:rPr>
        <w:t> </w:t>
      </w:r>
      <w:r>
        <w:rPr>
          <w:w w:val="115"/>
        </w:rPr>
        <w:t>(CiPE,</w:t>
      </w:r>
      <w:r>
        <w:rPr>
          <w:spacing w:val="-9"/>
          <w:w w:val="115"/>
        </w:rPr>
        <w:t> </w:t>
      </w:r>
      <w:r>
        <w:rPr>
          <w:w w:val="115"/>
        </w:rPr>
        <w:t>2005).</w:t>
      </w:r>
      <w:r>
        <w:rPr>
          <w:spacing w:val="-9"/>
          <w:w w:val="115"/>
        </w:rPr>
        <w:t> </w:t>
      </w:r>
      <w:r>
        <w:rPr>
          <w:w w:val="115"/>
        </w:rPr>
        <w:t>En</w:t>
      </w:r>
      <w:r>
        <w:rPr>
          <w:spacing w:val="-9"/>
          <w:w w:val="115"/>
        </w:rPr>
        <w:t> </w:t>
      </w:r>
      <w:r>
        <w:rPr>
          <w:w w:val="115"/>
        </w:rPr>
        <w:t>este</w:t>
      </w:r>
      <w:r>
        <w:rPr>
          <w:spacing w:val="-9"/>
          <w:w w:val="115"/>
        </w:rPr>
        <w:t> </w:t>
      </w:r>
      <w:r>
        <w:rPr>
          <w:w w:val="115"/>
        </w:rPr>
        <w:t>período</w:t>
      </w:r>
      <w:r>
        <w:rPr>
          <w:spacing w:val="-9"/>
          <w:w w:val="115"/>
        </w:rPr>
        <w:t> </w:t>
      </w:r>
      <w:r>
        <w:rPr>
          <w:w w:val="115"/>
        </w:rPr>
        <w:t>el</w:t>
      </w:r>
      <w:r>
        <w:rPr>
          <w:spacing w:val="-9"/>
          <w:w w:val="115"/>
        </w:rPr>
        <w:t> </w:t>
      </w:r>
      <w:r>
        <w:rPr>
          <w:w w:val="115"/>
        </w:rPr>
        <w:t>CiPE</w:t>
      </w:r>
      <w:r>
        <w:rPr>
          <w:spacing w:val="-9"/>
          <w:w w:val="115"/>
        </w:rPr>
        <w:t> </w:t>
      </w:r>
      <w:r>
        <w:rPr>
          <w:w w:val="115"/>
        </w:rPr>
        <w:t>ya</w:t>
      </w:r>
      <w:r>
        <w:rPr>
          <w:spacing w:val="-9"/>
          <w:w w:val="115"/>
        </w:rPr>
        <w:t> </w:t>
      </w:r>
      <w:r>
        <w:rPr>
          <w:w w:val="115"/>
        </w:rPr>
        <w:t>estaba</w:t>
      </w:r>
      <w:r>
        <w:rPr>
          <w:spacing w:val="-9"/>
          <w:w w:val="115"/>
        </w:rPr>
        <w:t> </w:t>
      </w:r>
      <w:r>
        <w:rPr>
          <w:w w:val="115"/>
        </w:rPr>
        <w:t>financiando</w:t>
      </w:r>
      <w:r>
        <w:rPr>
          <w:spacing w:val="-9"/>
          <w:w w:val="115"/>
        </w:rPr>
        <w:t> </w:t>
      </w:r>
      <w:r>
        <w:rPr>
          <w:spacing w:val="-5"/>
          <w:w w:val="115"/>
        </w:rPr>
        <w:t>or- </w:t>
      </w:r>
      <w:r>
        <w:rPr>
          <w:w w:val="110"/>
        </w:rPr>
        <w:t>ganizaciones y programas de gobernanza corporativa en varios países del</w:t>
      </w:r>
      <w:r>
        <w:rPr>
          <w:spacing w:val="15"/>
          <w:w w:val="110"/>
        </w:rPr>
        <w:t> </w:t>
      </w:r>
      <w:r>
        <w:rPr>
          <w:w w:val="110"/>
        </w:rPr>
        <w:t>mundo</w:t>
      </w:r>
      <w:r>
        <w:rPr>
          <w:w w:val="110"/>
          <w:position w:val="6"/>
          <w:sz w:val="11"/>
        </w:rPr>
        <w:t>24</w:t>
      </w:r>
      <w:r>
        <w:rPr>
          <w:w w:val="110"/>
        </w:rPr>
        <w:t>.</w:t>
      </w:r>
    </w:p>
    <w:p>
      <w:pPr>
        <w:spacing w:line="252" w:lineRule="auto" w:before="0"/>
        <w:ind w:left="330" w:right="118" w:firstLine="396"/>
        <w:jc w:val="both"/>
        <w:rPr>
          <w:sz w:val="19"/>
        </w:rPr>
      </w:pPr>
      <w:r>
        <w:rPr>
          <w:w w:val="110"/>
          <w:sz w:val="19"/>
        </w:rPr>
        <w:t>En el interior del CiPE se organizó un grupo de trabajo (</w:t>
      </w:r>
      <w:r>
        <w:rPr>
          <w:i/>
          <w:w w:val="110"/>
          <w:sz w:val="19"/>
        </w:rPr>
        <w:t>Working </w:t>
      </w:r>
      <w:r>
        <w:rPr>
          <w:i/>
          <w:w w:val="110"/>
          <w:sz w:val="19"/>
        </w:rPr>
        <w:t>Group on Corporate Governance</w:t>
      </w:r>
      <w:r>
        <w:rPr>
          <w:w w:val="110"/>
          <w:sz w:val="19"/>
        </w:rPr>
        <w:t>) para evaluar la gobernanza corpo-</w:t>
      </w:r>
    </w:p>
    <w:p>
      <w:pPr>
        <w:pStyle w:val="BodyText"/>
        <w:rPr>
          <w:sz w:val="16"/>
        </w:rPr>
      </w:pPr>
      <w:r>
        <w:rPr/>
        <w:pict>
          <v:line style="position:absolute;mso-position-horizontal-relative:page;mso-position-vertical-relative:paragraph;z-index:5752;mso-wrap-distance-left:0;mso-wrap-distance-right:0" from="76.5355pt,11.592538pt" to="104.8815pt,11.592538pt" stroked="true" strokeweight=".5pt" strokecolor="#000000">
            <w10:wrap type="topAndBottom"/>
          </v:line>
        </w:pict>
      </w:r>
    </w:p>
    <w:p>
      <w:pPr>
        <w:pStyle w:val="ListParagraph"/>
        <w:numPr>
          <w:ilvl w:val="0"/>
          <w:numId w:val="28"/>
        </w:numPr>
        <w:tabs>
          <w:tab w:pos="586" w:val="left" w:leader="none"/>
        </w:tabs>
        <w:spacing w:line="242" w:lineRule="auto" w:before="89" w:after="0"/>
        <w:ind w:left="330" w:right="118" w:firstLine="0"/>
        <w:jc w:val="both"/>
        <w:rPr>
          <w:sz w:val="16"/>
        </w:rPr>
      </w:pPr>
      <w:r>
        <w:rPr>
          <w:w w:val="115"/>
          <w:sz w:val="16"/>
        </w:rPr>
        <w:t>Proyecto “a social Media approach to </w:t>
      </w:r>
      <w:r>
        <w:rPr>
          <w:spacing w:val="-3"/>
          <w:w w:val="115"/>
          <w:sz w:val="16"/>
        </w:rPr>
        <w:t>Youth </w:t>
      </w:r>
      <w:r>
        <w:rPr>
          <w:w w:val="115"/>
          <w:sz w:val="16"/>
        </w:rPr>
        <w:t>Engagement” (</w:t>
      </w:r>
      <w:r>
        <w:rPr>
          <w:i/>
          <w:w w:val="115"/>
          <w:sz w:val="16"/>
        </w:rPr>
        <w:t>Cf. </w:t>
      </w:r>
      <w:r>
        <w:rPr>
          <w:w w:val="115"/>
          <w:sz w:val="16"/>
        </w:rPr>
        <w:t>CiPE, </w:t>
      </w:r>
      <w:r>
        <w:rPr>
          <w:i/>
          <w:w w:val="115"/>
          <w:sz w:val="16"/>
        </w:rPr>
        <w:t>Annual </w:t>
      </w:r>
      <w:r>
        <w:rPr>
          <w:i/>
          <w:w w:val="105"/>
          <w:sz w:val="16"/>
        </w:rPr>
        <w:t>Report</w:t>
      </w:r>
      <w:r>
        <w:rPr>
          <w:w w:val="105"/>
          <w:sz w:val="16"/>
        </w:rPr>
        <w:t>, 2013:</w:t>
      </w:r>
      <w:r>
        <w:rPr>
          <w:spacing w:val="9"/>
          <w:w w:val="105"/>
          <w:sz w:val="16"/>
        </w:rPr>
        <w:t> </w:t>
      </w:r>
      <w:r>
        <w:rPr>
          <w:w w:val="105"/>
          <w:sz w:val="16"/>
        </w:rPr>
        <w:t>29).</w:t>
      </w:r>
    </w:p>
    <w:p>
      <w:pPr>
        <w:pStyle w:val="ListParagraph"/>
        <w:numPr>
          <w:ilvl w:val="0"/>
          <w:numId w:val="28"/>
        </w:numPr>
        <w:tabs>
          <w:tab w:pos="586" w:val="left" w:leader="none"/>
        </w:tabs>
        <w:spacing w:line="242" w:lineRule="auto" w:before="57" w:after="0"/>
        <w:ind w:left="330" w:right="118" w:firstLine="0"/>
        <w:jc w:val="both"/>
        <w:rPr>
          <w:sz w:val="16"/>
        </w:rPr>
      </w:pPr>
      <w:r>
        <w:rPr>
          <w:w w:val="105"/>
          <w:sz w:val="16"/>
        </w:rPr>
        <w:t>una discusión acerca de la crisis reciente y la gobernanza corporativa se presenta en Hilb</w:t>
      </w:r>
      <w:r>
        <w:rPr>
          <w:spacing w:val="26"/>
          <w:w w:val="105"/>
          <w:sz w:val="16"/>
        </w:rPr>
        <w:t> </w:t>
      </w:r>
      <w:r>
        <w:rPr>
          <w:w w:val="105"/>
          <w:sz w:val="16"/>
        </w:rPr>
        <w:t>(2009).</w:t>
      </w:r>
    </w:p>
    <w:p>
      <w:pPr>
        <w:pStyle w:val="ListParagraph"/>
        <w:numPr>
          <w:ilvl w:val="0"/>
          <w:numId w:val="28"/>
        </w:numPr>
        <w:tabs>
          <w:tab w:pos="586" w:val="left" w:leader="none"/>
        </w:tabs>
        <w:spacing w:line="242" w:lineRule="auto" w:before="57" w:after="0"/>
        <w:ind w:left="330" w:right="117" w:firstLine="0"/>
        <w:jc w:val="both"/>
        <w:rPr>
          <w:sz w:val="16"/>
        </w:rPr>
      </w:pPr>
      <w:r>
        <w:rPr>
          <w:w w:val="110"/>
          <w:sz w:val="16"/>
        </w:rPr>
        <w:t>En África (Kenia, Ghana, Nigeria, sudáfrica y Egipto), asia (Filipinas, indone-   sia, China), Europa Central y oriental (república Checa, Hungría, Polonia, ucrania, rusia, albania, bulgaria, Eslovaquia, rumania), Eurasia (rusia, Kazajistán), amé- </w:t>
      </w:r>
      <w:r>
        <w:rPr>
          <w:w w:val="109"/>
          <w:sz w:val="16"/>
        </w:rPr>
        <w:t>rica</w:t>
      </w:r>
      <w:r>
        <w:rPr>
          <w:sz w:val="16"/>
        </w:rPr>
        <w:t> </w:t>
      </w:r>
      <w:r>
        <w:rPr>
          <w:spacing w:val="-17"/>
          <w:sz w:val="16"/>
        </w:rPr>
        <w:t> </w:t>
      </w:r>
      <w:r>
        <w:rPr>
          <w:w w:val="238"/>
          <w:sz w:val="16"/>
        </w:rPr>
        <w:t>l</w:t>
      </w:r>
      <w:r>
        <w:rPr>
          <w:w w:val="109"/>
          <w:sz w:val="16"/>
        </w:rPr>
        <w:t>atina</w:t>
      </w:r>
      <w:r>
        <w:rPr>
          <w:sz w:val="16"/>
        </w:rPr>
        <w:t> </w:t>
      </w:r>
      <w:r>
        <w:rPr>
          <w:spacing w:val="-17"/>
          <w:sz w:val="16"/>
        </w:rPr>
        <w:t> </w:t>
      </w:r>
      <w:r>
        <w:rPr>
          <w:w w:val="102"/>
          <w:sz w:val="16"/>
        </w:rPr>
        <w:t>y</w:t>
      </w:r>
      <w:r>
        <w:rPr>
          <w:sz w:val="16"/>
        </w:rPr>
        <w:t> </w:t>
      </w:r>
      <w:r>
        <w:rPr>
          <w:spacing w:val="-17"/>
          <w:sz w:val="16"/>
        </w:rPr>
        <w:t> </w:t>
      </w:r>
      <w:r>
        <w:rPr>
          <w:w w:val="104"/>
          <w:sz w:val="16"/>
        </w:rPr>
        <w:t>el</w:t>
      </w:r>
      <w:r>
        <w:rPr>
          <w:sz w:val="16"/>
        </w:rPr>
        <w:t> </w:t>
      </w:r>
      <w:r>
        <w:rPr>
          <w:spacing w:val="-17"/>
          <w:sz w:val="16"/>
        </w:rPr>
        <w:t> </w:t>
      </w:r>
      <w:r>
        <w:rPr>
          <w:w w:val="110"/>
          <w:sz w:val="16"/>
        </w:rPr>
        <w:t>Caribe</w:t>
      </w:r>
      <w:r>
        <w:rPr>
          <w:sz w:val="16"/>
        </w:rPr>
        <w:t> </w:t>
      </w:r>
      <w:r>
        <w:rPr>
          <w:spacing w:val="-17"/>
          <w:sz w:val="16"/>
        </w:rPr>
        <w:t> </w:t>
      </w:r>
      <w:r>
        <w:rPr>
          <w:w w:val="111"/>
          <w:sz w:val="16"/>
        </w:rPr>
        <w:t>(Colombia,</w:t>
      </w:r>
      <w:r>
        <w:rPr>
          <w:sz w:val="16"/>
        </w:rPr>
        <w:t> </w:t>
      </w:r>
      <w:r>
        <w:rPr>
          <w:spacing w:val="-17"/>
          <w:sz w:val="16"/>
        </w:rPr>
        <w:t> </w:t>
      </w:r>
      <w:r>
        <w:rPr>
          <w:w w:val="112"/>
          <w:sz w:val="16"/>
        </w:rPr>
        <w:t>Guatemala,</w:t>
      </w:r>
      <w:r>
        <w:rPr>
          <w:sz w:val="16"/>
        </w:rPr>
        <w:t> </w:t>
      </w:r>
      <w:r>
        <w:rPr>
          <w:spacing w:val="-17"/>
          <w:sz w:val="16"/>
        </w:rPr>
        <w:t> </w:t>
      </w:r>
      <w:r>
        <w:rPr>
          <w:w w:val="120"/>
          <w:sz w:val="16"/>
        </w:rPr>
        <w:t>El</w:t>
      </w:r>
      <w:r>
        <w:rPr>
          <w:sz w:val="16"/>
        </w:rPr>
        <w:t> </w:t>
      </w:r>
      <w:r>
        <w:rPr>
          <w:spacing w:val="-17"/>
          <w:sz w:val="16"/>
        </w:rPr>
        <w:t> </w:t>
      </w:r>
      <w:r>
        <w:rPr>
          <w:w w:val="146"/>
          <w:sz w:val="16"/>
        </w:rPr>
        <w:t>s</w:t>
      </w:r>
      <w:r>
        <w:rPr>
          <w:w w:val="106"/>
          <w:sz w:val="16"/>
        </w:rPr>
        <w:t>alvado</w:t>
      </w:r>
      <w:r>
        <w:rPr>
          <w:spacing w:val="-18"/>
          <w:w w:val="106"/>
          <w:sz w:val="16"/>
        </w:rPr>
        <w:t>r</w:t>
      </w:r>
      <w:r>
        <w:rPr>
          <w:w w:val="135"/>
          <w:sz w:val="16"/>
        </w:rPr>
        <w:t>,</w:t>
      </w:r>
      <w:r>
        <w:rPr>
          <w:sz w:val="16"/>
        </w:rPr>
        <w:t> </w:t>
      </w:r>
      <w:r>
        <w:rPr>
          <w:spacing w:val="-17"/>
          <w:sz w:val="16"/>
        </w:rPr>
        <w:t> </w:t>
      </w:r>
      <w:r>
        <w:rPr>
          <w:w w:val="109"/>
          <w:sz w:val="16"/>
        </w:rPr>
        <w:t>Honduras</w:t>
      </w:r>
      <w:r>
        <w:rPr>
          <w:sz w:val="16"/>
        </w:rPr>
        <w:t> </w:t>
      </w:r>
      <w:r>
        <w:rPr>
          <w:spacing w:val="-17"/>
          <w:sz w:val="16"/>
        </w:rPr>
        <w:t> </w:t>
      </w:r>
      <w:r>
        <w:rPr>
          <w:w w:val="102"/>
          <w:sz w:val="16"/>
        </w:rPr>
        <w:t>y</w:t>
      </w:r>
      <w:r>
        <w:rPr>
          <w:sz w:val="16"/>
        </w:rPr>
        <w:t> </w:t>
      </w:r>
      <w:r>
        <w:rPr>
          <w:spacing w:val="-17"/>
          <w:sz w:val="16"/>
        </w:rPr>
        <w:t> </w:t>
      </w:r>
      <w:r>
        <w:rPr>
          <w:w w:val="109"/>
          <w:sz w:val="16"/>
        </w:rPr>
        <w:t>Nicaragua) </w:t>
      </w:r>
      <w:r>
        <w:rPr>
          <w:w w:val="110"/>
          <w:sz w:val="16"/>
        </w:rPr>
        <w:t>(CiPE, 2002a:</w:t>
      </w:r>
      <w:r>
        <w:rPr>
          <w:spacing w:val="-25"/>
          <w:w w:val="110"/>
          <w:sz w:val="16"/>
        </w:rPr>
        <w:t> </w:t>
      </w:r>
      <w:r>
        <w:rPr>
          <w:w w:val="110"/>
          <w:sz w:val="16"/>
        </w:rPr>
        <w:t>28-34).</w:t>
      </w:r>
    </w:p>
    <w:p>
      <w:pPr>
        <w:spacing w:after="0" w:line="242" w:lineRule="auto"/>
        <w:jc w:val="both"/>
        <w:rPr>
          <w:sz w:val="16"/>
        </w:rPr>
        <w:sectPr>
          <w:footerReference w:type="default" r:id="rId324"/>
          <w:footerReference w:type="even" r:id="rId325"/>
          <w:pgSz w:w="8790" w:h="12760"/>
          <w:pgMar w:footer="725" w:header="697" w:top="880" w:bottom="920" w:left="1200" w:right="900"/>
        </w:sectPr>
      </w:pPr>
    </w:p>
    <w:p>
      <w:pPr>
        <w:pStyle w:val="BodyText"/>
        <w:spacing w:before="9"/>
        <w:rPr>
          <w:sz w:val="28"/>
        </w:rPr>
      </w:pPr>
    </w:p>
    <w:p>
      <w:pPr>
        <w:pStyle w:val="BodyText"/>
        <w:spacing w:line="252" w:lineRule="auto" w:before="73"/>
        <w:ind w:left="120" w:right="328"/>
        <w:jc w:val="both"/>
      </w:pPr>
      <w:r>
        <w:rPr>
          <w:w w:val="110"/>
        </w:rPr>
        <w:t>rativa e “identificar los mecanismos necesarios” para su “efectiva im- plementación en todo el globo” que derivó en importante documen-  to publicado en 2002, </w:t>
      </w:r>
      <w:r>
        <w:rPr>
          <w:i/>
          <w:w w:val="110"/>
        </w:rPr>
        <w:t>Instituting corporate governance in developing, </w:t>
      </w:r>
      <w:r>
        <w:rPr>
          <w:i/>
          <w:w w:val="110"/>
        </w:rPr>
        <w:t>emerging and transitional economies</w:t>
      </w:r>
      <w:r>
        <w:rPr>
          <w:w w:val="110"/>
        </w:rPr>
        <w:t>. </w:t>
      </w:r>
      <w:r>
        <w:rPr>
          <w:i/>
          <w:w w:val="110"/>
        </w:rPr>
        <w:t>A Handbook </w:t>
      </w:r>
      <w:r>
        <w:rPr>
          <w:w w:val="110"/>
        </w:rPr>
        <w:t>(CiPE, 2002a). Este documento apunta los límites en la concepción y en la operacionali- zación vigentes sobre el tema, incluso en el marco de la organización para la Cooperación y el desarrollo Económico (oCdE). Entre otros aspectos, gana relevancia el foco en los países “en transición” del so- cialismo  al</w:t>
      </w:r>
      <w:r>
        <w:rPr>
          <w:spacing w:val="5"/>
          <w:w w:val="110"/>
        </w:rPr>
        <w:t> </w:t>
      </w:r>
      <w:r>
        <w:rPr>
          <w:w w:val="110"/>
        </w:rPr>
        <w:t>capitalismo</w:t>
      </w:r>
      <w:r>
        <w:rPr>
          <w:w w:val="110"/>
          <w:position w:val="6"/>
          <w:sz w:val="11"/>
        </w:rPr>
        <w:t>25</w:t>
      </w:r>
      <w:r>
        <w:rPr>
          <w:w w:val="110"/>
        </w:rPr>
        <w:t>.</w:t>
      </w:r>
    </w:p>
    <w:p>
      <w:pPr>
        <w:pStyle w:val="BodyText"/>
        <w:spacing w:line="252" w:lineRule="auto"/>
        <w:ind w:left="120" w:right="326" w:firstLine="396"/>
        <w:jc w:val="both"/>
      </w:pPr>
      <w:r>
        <w:rPr>
          <w:w w:val="110"/>
        </w:rPr>
        <w:t>a partir del examen de algunos casos de economías “en desarro- llo” y “en transición”, el documento evalúa que la resolución de los problemas de gobernanza corporativa en estos países es necesario    ir más allá de una visión limitada de cómo los accionistas y los ges- tores se relacionan y ampliar la concepción vigente de gobernanza corporativa.</w:t>
      </w:r>
    </w:p>
    <w:p>
      <w:pPr>
        <w:pStyle w:val="BodyText"/>
        <w:spacing w:before="11"/>
        <w:rPr>
          <w:sz w:val="18"/>
        </w:rPr>
      </w:pPr>
    </w:p>
    <w:p>
      <w:pPr>
        <w:spacing w:line="242" w:lineRule="auto" w:before="0"/>
        <w:ind w:left="517" w:right="327" w:firstLine="0"/>
        <w:jc w:val="both"/>
        <w:rPr>
          <w:sz w:val="18"/>
        </w:rPr>
      </w:pPr>
      <w:r>
        <w:rPr>
          <w:w w:val="238"/>
          <w:sz w:val="18"/>
        </w:rPr>
        <w:t>l</w:t>
      </w:r>
      <w:r>
        <w:rPr>
          <w:w w:val="105"/>
          <w:sz w:val="18"/>
        </w:rPr>
        <w:t>os</w:t>
      </w:r>
      <w:r>
        <w:rPr>
          <w:spacing w:val="18"/>
          <w:sz w:val="18"/>
        </w:rPr>
        <w:t> </w:t>
      </w:r>
      <w:r>
        <w:rPr>
          <w:w w:val="106"/>
          <w:sz w:val="18"/>
        </w:rPr>
        <w:t>sistemas</w:t>
      </w:r>
      <w:r>
        <w:rPr>
          <w:spacing w:val="18"/>
          <w:sz w:val="18"/>
        </w:rPr>
        <w:t> </w:t>
      </w:r>
      <w:r>
        <w:rPr>
          <w:w w:val="104"/>
          <w:sz w:val="18"/>
        </w:rPr>
        <w:t>de</w:t>
      </w:r>
      <w:r>
        <w:rPr>
          <w:spacing w:val="18"/>
          <w:sz w:val="18"/>
        </w:rPr>
        <w:t> </w:t>
      </w:r>
      <w:r>
        <w:rPr>
          <w:w w:val="108"/>
          <w:sz w:val="18"/>
        </w:rPr>
        <w:t>gobernanza</w:t>
      </w:r>
      <w:r>
        <w:rPr>
          <w:spacing w:val="18"/>
          <w:sz w:val="18"/>
        </w:rPr>
        <w:t> </w:t>
      </w:r>
      <w:r>
        <w:rPr>
          <w:w w:val="107"/>
          <w:sz w:val="18"/>
        </w:rPr>
        <w:t>corporativa</w:t>
      </w:r>
      <w:r>
        <w:rPr>
          <w:spacing w:val="18"/>
          <w:sz w:val="18"/>
        </w:rPr>
        <w:t> </w:t>
      </w:r>
      <w:r>
        <w:rPr>
          <w:w w:val="106"/>
          <w:sz w:val="18"/>
        </w:rPr>
        <w:t>dependen</w:t>
      </w:r>
      <w:r>
        <w:rPr>
          <w:spacing w:val="18"/>
          <w:sz w:val="18"/>
        </w:rPr>
        <w:t> </w:t>
      </w:r>
      <w:r>
        <w:rPr>
          <w:w w:val="104"/>
          <w:sz w:val="18"/>
        </w:rPr>
        <w:t>de</w:t>
      </w:r>
      <w:r>
        <w:rPr>
          <w:spacing w:val="18"/>
          <w:sz w:val="18"/>
        </w:rPr>
        <w:t> </w:t>
      </w:r>
      <w:r>
        <w:rPr>
          <w:w w:val="110"/>
          <w:sz w:val="18"/>
        </w:rPr>
        <w:t>un</w:t>
      </w:r>
      <w:r>
        <w:rPr>
          <w:spacing w:val="18"/>
          <w:sz w:val="18"/>
        </w:rPr>
        <w:t> </w:t>
      </w:r>
      <w:r>
        <w:rPr>
          <w:w w:val="109"/>
          <w:sz w:val="18"/>
        </w:rPr>
        <w:t>conjunto</w:t>
      </w:r>
      <w:r>
        <w:rPr>
          <w:spacing w:val="18"/>
          <w:sz w:val="18"/>
        </w:rPr>
        <w:t> </w:t>
      </w:r>
      <w:r>
        <w:rPr>
          <w:w w:val="104"/>
          <w:sz w:val="18"/>
        </w:rPr>
        <w:t>de </w:t>
      </w:r>
      <w:r>
        <w:rPr>
          <w:w w:val="110"/>
          <w:sz w:val="18"/>
        </w:rPr>
        <w:t>instituciones</w:t>
      </w:r>
      <w:r>
        <w:rPr>
          <w:spacing w:val="-6"/>
          <w:w w:val="110"/>
          <w:sz w:val="18"/>
        </w:rPr>
        <w:t> </w:t>
      </w:r>
      <w:r>
        <w:rPr>
          <w:w w:val="110"/>
          <w:sz w:val="18"/>
        </w:rPr>
        <w:t>(leyes,</w:t>
      </w:r>
      <w:r>
        <w:rPr>
          <w:spacing w:val="-6"/>
          <w:w w:val="110"/>
          <w:sz w:val="18"/>
        </w:rPr>
        <w:t> </w:t>
      </w:r>
      <w:r>
        <w:rPr>
          <w:w w:val="110"/>
          <w:sz w:val="18"/>
        </w:rPr>
        <w:t>reglamentos,</w:t>
      </w:r>
      <w:r>
        <w:rPr>
          <w:spacing w:val="-6"/>
          <w:w w:val="110"/>
          <w:sz w:val="18"/>
        </w:rPr>
        <w:t> </w:t>
      </w:r>
      <w:r>
        <w:rPr>
          <w:w w:val="110"/>
          <w:sz w:val="18"/>
        </w:rPr>
        <w:t>contratos</w:t>
      </w:r>
      <w:r>
        <w:rPr>
          <w:spacing w:val="-6"/>
          <w:w w:val="110"/>
          <w:sz w:val="18"/>
        </w:rPr>
        <w:t> </w:t>
      </w:r>
      <w:r>
        <w:rPr>
          <w:w w:val="110"/>
          <w:sz w:val="18"/>
        </w:rPr>
        <w:t>y</w:t>
      </w:r>
      <w:r>
        <w:rPr>
          <w:spacing w:val="-6"/>
          <w:w w:val="110"/>
          <w:sz w:val="18"/>
        </w:rPr>
        <w:t> </w:t>
      </w:r>
      <w:r>
        <w:rPr>
          <w:w w:val="110"/>
          <w:sz w:val="18"/>
        </w:rPr>
        <w:t>normas)</w:t>
      </w:r>
      <w:r>
        <w:rPr>
          <w:spacing w:val="-6"/>
          <w:w w:val="110"/>
          <w:sz w:val="18"/>
        </w:rPr>
        <w:t> </w:t>
      </w:r>
      <w:r>
        <w:rPr>
          <w:w w:val="110"/>
          <w:sz w:val="18"/>
        </w:rPr>
        <w:t>que</w:t>
      </w:r>
      <w:r>
        <w:rPr>
          <w:spacing w:val="-6"/>
          <w:w w:val="110"/>
          <w:sz w:val="18"/>
        </w:rPr>
        <w:t> </w:t>
      </w:r>
      <w:r>
        <w:rPr>
          <w:w w:val="110"/>
          <w:sz w:val="18"/>
        </w:rPr>
        <w:t>posibilitan empresas</w:t>
      </w:r>
      <w:r>
        <w:rPr>
          <w:spacing w:val="-5"/>
          <w:w w:val="110"/>
          <w:sz w:val="18"/>
        </w:rPr>
        <w:t> </w:t>
      </w:r>
      <w:r>
        <w:rPr>
          <w:w w:val="110"/>
          <w:sz w:val="18"/>
        </w:rPr>
        <w:t>auto-reguladas</w:t>
      </w:r>
      <w:r>
        <w:rPr>
          <w:spacing w:val="-5"/>
          <w:w w:val="110"/>
          <w:sz w:val="18"/>
        </w:rPr>
        <w:t> </w:t>
      </w:r>
      <w:r>
        <w:rPr>
          <w:w w:val="110"/>
          <w:sz w:val="18"/>
        </w:rPr>
        <w:t>a</w:t>
      </w:r>
      <w:r>
        <w:rPr>
          <w:spacing w:val="-5"/>
          <w:w w:val="110"/>
          <w:sz w:val="18"/>
        </w:rPr>
        <w:t> </w:t>
      </w:r>
      <w:r>
        <w:rPr>
          <w:w w:val="110"/>
          <w:sz w:val="18"/>
        </w:rPr>
        <w:t>operar</w:t>
      </w:r>
      <w:r>
        <w:rPr>
          <w:spacing w:val="-5"/>
          <w:w w:val="110"/>
          <w:sz w:val="18"/>
        </w:rPr>
        <w:t> </w:t>
      </w:r>
      <w:r>
        <w:rPr>
          <w:w w:val="110"/>
          <w:sz w:val="18"/>
        </w:rPr>
        <w:t>como</w:t>
      </w:r>
      <w:r>
        <w:rPr>
          <w:spacing w:val="-5"/>
          <w:w w:val="110"/>
          <w:sz w:val="18"/>
        </w:rPr>
        <w:t> </w:t>
      </w:r>
      <w:r>
        <w:rPr>
          <w:w w:val="110"/>
          <w:sz w:val="18"/>
        </w:rPr>
        <w:t>elemento</w:t>
      </w:r>
      <w:r>
        <w:rPr>
          <w:spacing w:val="-5"/>
          <w:w w:val="110"/>
          <w:sz w:val="18"/>
        </w:rPr>
        <w:t> </w:t>
      </w:r>
      <w:r>
        <w:rPr>
          <w:w w:val="110"/>
          <w:sz w:val="18"/>
        </w:rPr>
        <w:t>central</w:t>
      </w:r>
      <w:r>
        <w:rPr>
          <w:spacing w:val="-5"/>
          <w:w w:val="110"/>
          <w:sz w:val="18"/>
        </w:rPr>
        <w:t> </w:t>
      </w:r>
      <w:r>
        <w:rPr>
          <w:w w:val="110"/>
          <w:sz w:val="18"/>
        </w:rPr>
        <w:t>de</w:t>
      </w:r>
      <w:r>
        <w:rPr>
          <w:spacing w:val="-5"/>
          <w:w w:val="110"/>
          <w:sz w:val="18"/>
        </w:rPr>
        <w:t> </w:t>
      </w:r>
      <w:r>
        <w:rPr>
          <w:w w:val="110"/>
          <w:sz w:val="18"/>
        </w:rPr>
        <w:t>una</w:t>
      </w:r>
      <w:r>
        <w:rPr>
          <w:spacing w:val="-5"/>
          <w:w w:val="110"/>
          <w:sz w:val="18"/>
        </w:rPr>
        <w:t> </w:t>
      </w:r>
      <w:r>
        <w:rPr>
          <w:w w:val="110"/>
          <w:sz w:val="18"/>
        </w:rPr>
        <w:t>eco- nomía de mercado competitiva. </w:t>
      </w:r>
      <w:r>
        <w:rPr>
          <w:spacing w:val="-4"/>
          <w:w w:val="110"/>
          <w:sz w:val="18"/>
        </w:rPr>
        <w:t>tales </w:t>
      </w:r>
      <w:r>
        <w:rPr>
          <w:w w:val="110"/>
          <w:sz w:val="18"/>
        </w:rPr>
        <w:t>instituciones aseguran que los procedimientos</w:t>
      </w:r>
      <w:r>
        <w:rPr>
          <w:spacing w:val="-15"/>
          <w:w w:val="110"/>
          <w:sz w:val="18"/>
        </w:rPr>
        <w:t> </w:t>
      </w:r>
      <w:r>
        <w:rPr>
          <w:w w:val="110"/>
          <w:sz w:val="18"/>
        </w:rPr>
        <w:t>internos</w:t>
      </w:r>
      <w:r>
        <w:rPr>
          <w:spacing w:val="-15"/>
          <w:w w:val="110"/>
          <w:sz w:val="18"/>
        </w:rPr>
        <w:t> </w:t>
      </w:r>
      <w:r>
        <w:rPr>
          <w:w w:val="110"/>
          <w:sz w:val="18"/>
        </w:rPr>
        <w:t>de</w:t>
      </w:r>
      <w:r>
        <w:rPr>
          <w:spacing w:val="-15"/>
          <w:w w:val="110"/>
          <w:sz w:val="18"/>
        </w:rPr>
        <w:t> </w:t>
      </w:r>
      <w:r>
        <w:rPr>
          <w:w w:val="110"/>
          <w:sz w:val="18"/>
        </w:rPr>
        <w:t>gobernanza</w:t>
      </w:r>
      <w:r>
        <w:rPr>
          <w:spacing w:val="-15"/>
          <w:w w:val="110"/>
          <w:sz w:val="18"/>
        </w:rPr>
        <w:t> </w:t>
      </w:r>
      <w:r>
        <w:rPr>
          <w:w w:val="110"/>
          <w:sz w:val="18"/>
        </w:rPr>
        <w:t>corporativa</w:t>
      </w:r>
      <w:r>
        <w:rPr>
          <w:spacing w:val="-15"/>
          <w:w w:val="110"/>
          <w:sz w:val="18"/>
        </w:rPr>
        <w:t> </w:t>
      </w:r>
      <w:r>
        <w:rPr>
          <w:w w:val="110"/>
          <w:sz w:val="18"/>
        </w:rPr>
        <w:t>adoptadas</w:t>
      </w:r>
      <w:r>
        <w:rPr>
          <w:spacing w:val="-15"/>
          <w:w w:val="110"/>
          <w:sz w:val="18"/>
        </w:rPr>
        <w:t> </w:t>
      </w:r>
      <w:r>
        <w:rPr>
          <w:w w:val="110"/>
          <w:sz w:val="18"/>
        </w:rPr>
        <w:t>por</w:t>
      </w:r>
      <w:r>
        <w:rPr>
          <w:spacing w:val="-15"/>
          <w:w w:val="110"/>
          <w:sz w:val="18"/>
        </w:rPr>
        <w:t> </w:t>
      </w:r>
      <w:r>
        <w:rPr>
          <w:w w:val="110"/>
          <w:sz w:val="18"/>
        </w:rPr>
        <w:t>las empresas</w:t>
      </w:r>
      <w:r>
        <w:rPr>
          <w:spacing w:val="-6"/>
          <w:w w:val="110"/>
          <w:sz w:val="18"/>
        </w:rPr>
        <w:t> </w:t>
      </w:r>
      <w:r>
        <w:rPr>
          <w:w w:val="110"/>
          <w:sz w:val="18"/>
        </w:rPr>
        <w:t>sean</w:t>
      </w:r>
      <w:r>
        <w:rPr>
          <w:spacing w:val="-6"/>
          <w:w w:val="110"/>
          <w:sz w:val="18"/>
        </w:rPr>
        <w:t> </w:t>
      </w:r>
      <w:r>
        <w:rPr>
          <w:w w:val="110"/>
          <w:sz w:val="18"/>
        </w:rPr>
        <w:t>cumplidas</w:t>
      </w:r>
      <w:r>
        <w:rPr>
          <w:spacing w:val="-6"/>
          <w:w w:val="110"/>
          <w:sz w:val="18"/>
        </w:rPr>
        <w:t> </w:t>
      </w:r>
      <w:r>
        <w:rPr>
          <w:w w:val="110"/>
          <w:sz w:val="18"/>
        </w:rPr>
        <w:t>y</w:t>
      </w:r>
      <w:r>
        <w:rPr>
          <w:spacing w:val="-6"/>
          <w:w w:val="110"/>
          <w:sz w:val="18"/>
        </w:rPr>
        <w:t> </w:t>
      </w:r>
      <w:r>
        <w:rPr>
          <w:w w:val="110"/>
          <w:sz w:val="18"/>
        </w:rPr>
        <w:t>que</w:t>
      </w:r>
      <w:r>
        <w:rPr>
          <w:spacing w:val="-6"/>
          <w:w w:val="110"/>
          <w:sz w:val="18"/>
        </w:rPr>
        <w:t> </w:t>
      </w:r>
      <w:r>
        <w:rPr>
          <w:w w:val="110"/>
          <w:sz w:val="18"/>
        </w:rPr>
        <w:t>la</w:t>
      </w:r>
      <w:r>
        <w:rPr>
          <w:spacing w:val="-6"/>
          <w:w w:val="110"/>
          <w:sz w:val="18"/>
        </w:rPr>
        <w:t> </w:t>
      </w:r>
      <w:r>
        <w:rPr>
          <w:w w:val="110"/>
          <w:sz w:val="18"/>
        </w:rPr>
        <w:t>gestión</w:t>
      </w:r>
      <w:r>
        <w:rPr>
          <w:spacing w:val="-6"/>
          <w:w w:val="110"/>
          <w:sz w:val="18"/>
        </w:rPr>
        <w:t> </w:t>
      </w:r>
      <w:r>
        <w:rPr>
          <w:w w:val="110"/>
          <w:sz w:val="18"/>
        </w:rPr>
        <w:t>sea</w:t>
      </w:r>
      <w:r>
        <w:rPr>
          <w:spacing w:val="-6"/>
          <w:w w:val="110"/>
          <w:sz w:val="18"/>
        </w:rPr>
        <w:t> </w:t>
      </w:r>
      <w:r>
        <w:rPr>
          <w:w w:val="110"/>
          <w:sz w:val="18"/>
        </w:rPr>
        <w:t>responsable</w:t>
      </w:r>
      <w:r>
        <w:rPr>
          <w:spacing w:val="-6"/>
          <w:w w:val="110"/>
          <w:sz w:val="18"/>
        </w:rPr>
        <w:t> </w:t>
      </w:r>
      <w:r>
        <w:rPr>
          <w:w w:val="110"/>
          <w:sz w:val="18"/>
        </w:rPr>
        <w:t>frente</w:t>
      </w:r>
      <w:r>
        <w:rPr>
          <w:spacing w:val="-6"/>
          <w:w w:val="110"/>
          <w:sz w:val="18"/>
        </w:rPr>
        <w:t> </w:t>
      </w:r>
      <w:r>
        <w:rPr>
          <w:w w:val="110"/>
          <w:sz w:val="18"/>
        </w:rPr>
        <w:t>a</w:t>
      </w:r>
      <w:r>
        <w:rPr>
          <w:spacing w:val="-6"/>
          <w:w w:val="110"/>
          <w:sz w:val="18"/>
        </w:rPr>
        <w:t> </w:t>
      </w:r>
      <w:r>
        <w:rPr>
          <w:w w:val="110"/>
          <w:sz w:val="18"/>
        </w:rPr>
        <w:t>los accionistas</w:t>
      </w:r>
      <w:r>
        <w:rPr>
          <w:spacing w:val="-8"/>
          <w:w w:val="110"/>
          <w:sz w:val="18"/>
        </w:rPr>
        <w:t> </w:t>
      </w:r>
      <w:r>
        <w:rPr>
          <w:w w:val="110"/>
          <w:sz w:val="18"/>
        </w:rPr>
        <w:t>(</w:t>
      </w:r>
      <w:r>
        <w:rPr>
          <w:i/>
          <w:w w:val="110"/>
          <w:sz w:val="18"/>
        </w:rPr>
        <w:t>shareholders</w:t>
      </w:r>
      <w:r>
        <w:rPr>
          <w:w w:val="110"/>
          <w:sz w:val="18"/>
        </w:rPr>
        <w:t>)</w:t>
      </w:r>
      <w:r>
        <w:rPr>
          <w:spacing w:val="-8"/>
          <w:w w:val="110"/>
          <w:sz w:val="18"/>
        </w:rPr>
        <w:t> </w:t>
      </w:r>
      <w:r>
        <w:rPr>
          <w:w w:val="110"/>
          <w:sz w:val="18"/>
        </w:rPr>
        <w:t>y</w:t>
      </w:r>
      <w:r>
        <w:rPr>
          <w:spacing w:val="-8"/>
          <w:w w:val="110"/>
          <w:sz w:val="18"/>
        </w:rPr>
        <w:t> </w:t>
      </w:r>
      <w:r>
        <w:rPr>
          <w:w w:val="110"/>
          <w:sz w:val="18"/>
        </w:rPr>
        <w:t>otros</w:t>
      </w:r>
      <w:r>
        <w:rPr>
          <w:spacing w:val="-8"/>
          <w:w w:val="110"/>
          <w:sz w:val="18"/>
        </w:rPr>
        <w:t> </w:t>
      </w:r>
      <w:r>
        <w:rPr>
          <w:w w:val="110"/>
          <w:sz w:val="18"/>
        </w:rPr>
        <w:t>interesados</w:t>
      </w:r>
      <w:r>
        <w:rPr>
          <w:spacing w:val="-8"/>
          <w:w w:val="110"/>
          <w:sz w:val="18"/>
        </w:rPr>
        <w:t> </w:t>
      </w:r>
      <w:r>
        <w:rPr>
          <w:w w:val="110"/>
          <w:sz w:val="18"/>
        </w:rPr>
        <w:t>(</w:t>
      </w:r>
      <w:r>
        <w:rPr>
          <w:i/>
          <w:w w:val="110"/>
          <w:sz w:val="18"/>
        </w:rPr>
        <w:t>stakeholders</w:t>
      </w:r>
      <w:r>
        <w:rPr>
          <w:w w:val="110"/>
          <w:sz w:val="18"/>
        </w:rPr>
        <w:t>).</w:t>
      </w:r>
      <w:r>
        <w:rPr>
          <w:spacing w:val="-8"/>
          <w:w w:val="110"/>
          <w:sz w:val="18"/>
        </w:rPr>
        <w:t> </w:t>
      </w:r>
      <w:r>
        <w:rPr>
          <w:w w:val="110"/>
          <w:sz w:val="18"/>
        </w:rPr>
        <w:t>El</w:t>
      </w:r>
      <w:r>
        <w:rPr>
          <w:spacing w:val="-8"/>
          <w:w w:val="110"/>
          <w:sz w:val="18"/>
        </w:rPr>
        <w:t> </w:t>
      </w:r>
      <w:r>
        <w:rPr>
          <w:w w:val="110"/>
          <w:sz w:val="18"/>
        </w:rPr>
        <w:t>punto clave</w:t>
      </w:r>
      <w:r>
        <w:rPr>
          <w:spacing w:val="-17"/>
          <w:w w:val="110"/>
          <w:sz w:val="18"/>
        </w:rPr>
        <w:t> </w:t>
      </w:r>
      <w:r>
        <w:rPr>
          <w:w w:val="110"/>
          <w:sz w:val="18"/>
        </w:rPr>
        <w:t>en</w:t>
      </w:r>
      <w:r>
        <w:rPr>
          <w:spacing w:val="-17"/>
          <w:w w:val="110"/>
          <w:sz w:val="18"/>
        </w:rPr>
        <w:t> </w:t>
      </w:r>
      <w:r>
        <w:rPr>
          <w:w w:val="110"/>
          <w:sz w:val="18"/>
        </w:rPr>
        <w:t>esta</w:t>
      </w:r>
      <w:r>
        <w:rPr>
          <w:spacing w:val="-17"/>
          <w:w w:val="110"/>
          <w:sz w:val="18"/>
        </w:rPr>
        <w:t> </w:t>
      </w:r>
      <w:r>
        <w:rPr>
          <w:w w:val="110"/>
          <w:sz w:val="18"/>
        </w:rPr>
        <w:t>definición</w:t>
      </w:r>
      <w:r>
        <w:rPr>
          <w:spacing w:val="-17"/>
          <w:w w:val="110"/>
          <w:sz w:val="18"/>
        </w:rPr>
        <w:t> </w:t>
      </w:r>
      <w:r>
        <w:rPr>
          <w:w w:val="110"/>
          <w:sz w:val="18"/>
        </w:rPr>
        <w:t>es</w:t>
      </w:r>
      <w:r>
        <w:rPr>
          <w:spacing w:val="-17"/>
          <w:w w:val="110"/>
          <w:sz w:val="18"/>
        </w:rPr>
        <w:t> </w:t>
      </w:r>
      <w:r>
        <w:rPr>
          <w:w w:val="110"/>
          <w:sz w:val="18"/>
        </w:rPr>
        <w:t>que</w:t>
      </w:r>
      <w:r>
        <w:rPr>
          <w:spacing w:val="-17"/>
          <w:w w:val="110"/>
          <w:sz w:val="18"/>
        </w:rPr>
        <w:t> </w:t>
      </w:r>
      <w:r>
        <w:rPr>
          <w:w w:val="110"/>
          <w:sz w:val="18"/>
        </w:rPr>
        <w:t>los</w:t>
      </w:r>
      <w:r>
        <w:rPr>
          <w:spacing w:val="-17"/>
          <w:w w:val="110"/>
          <w:sz w:val="18"/>
        </w:rPr>
        <w:t> </w:t>
      </w:r>
      <w:r>
        <w:rPr>
          <w:w w:val="110"/>
          <w:sz w:val="18"/>
        </w:rPr>
        <w:t>sectores</w:t>
      </w:r>
      <w:r>
        <w:rPr>
          <w:spacing w:val="-17"/>
          <w:w w:val="110"/>
          <w:sz w:val="18"/>
        </w:rPr>
        <w:t> </w:t>
      </w:r>
      <w:r>
        <w:rPr>
          <w:w w:val="110"/>
          <w:sz w:val="18"/>
        </w:rPr>
        <w:t>público</w:t>
      </w:r>
      <w:r>
        <w:rPr>
          <w:spacing w:val="-17"/>
          <w:w w:val="110"/>
          <w:sz w:val="18"/>
        </w:rPr>
        <w:t> </w:t>
      </w:r>
      <w:r>
        <w:rPr>
          <w:w w:val="110"/>
          <w:sz w:val="18"/>
        </w:rPr>
        <w:t>y</w:t>
      </w:r>
      <w:r>
        <w:rPr>
          <w:spacing w:val="-17"/>
          <w:w w:val="110"/>
          <w:sz w:val="18"/>
        </w:rPr>
        <w:t> </w:t>
      </w:r>
      <w:r>
        <w:rPr>
          <w:w w:val="110"/>
          <w:sz w:val="18"/>
        </w:rPr>
        <w:t>privado</w:t>
      </w:r>
      <w:r>
        <w:rPr>
          <w:spacing w:val="-17"/>
          <w:w w:val="110"/>
          <w:sz w:val="18"/>
        </w:rPr>
        <w:t> </w:t>
      </w:r>
      <w:r>
        <w:rPr>
          <w:w w:val="110"/>
          <w:sz w:val="18"/>
        </w:rPr>
        <w:t>tienen</w:t>
      </w:r>
      <w:r>
        <w:rPr>
          <w:spacing w:val="-17"/>
          <w:w w:val="110"/>
          <w:sz w:val="18"/>
        </w:rPr>
        <w:t> </w:t>
      </w:r>
      <w:r>
        <w:rPr>
          <w:w w:val="110"/>
          <w:sz w:val="18"/>
        </w:rPr>
        <w:t>que trabajar juntos para desarrollar un conjunto de reglas que son</w:t>
      </w:r>
      <w:r>
        <w:rPr>
          <w:spacing w:val="-24"/>
          <w:w w:val="110"/>
          <w:sz w:val="18"/>
        </w:rPr>
        <w:t> </w:t>
      </w:r>
      <w:r>
        <w:rPr>
          <w:w w:val="110"/>
          <w:sz w:val="18"/>
        </w:rPr>
        <w:t>obliga- torias</w:t>
      </w:r>
      <w:r>
        <w:rPr>
          <w:spacing w:val="-4"/>
          <w:w w:val="110"/>
          <w:sz w:val="18"/>
        </w:rPr>
        <w:t> </w:t>
      </w:r>
      <w:r>
        <w:rPr>
          <w:w w:val="110"/>
          <w:sz w:val="18"/>
        </w:rPr>
        <w:t>para</w:t>
      </w:r>
      <w:r>
        <w:rPr>
          <w:spacing w:val="-4"/>
          <w:w w:val="110"/>
          <w:sz w:val="18"/>
        </w:rPr>
        <w:t> </w:t>
      </w:r>
      <w:r>
        <w:rPr>
          <w:w w:val="110"/>
          <w:sz w:val="18"/>
        </w:rPr>
        <w:t>todos</w:t>
      </w:r>
      <w:r>
        <w:rPr>
          <w:spacing w:val="-4"/>
          <w:w w:val="110"/>
          <w:sz w:val="18"/>
        </w:rPr>
        <w:t> </w:t>
      </w:r>
      <w:r>
        <w:rPr>
          <w:w w:val="110"/>
          <w:sz w:val="18"/>
        </w:rPr>
        <w:t>y</w:t>
      </w:r>
      <w:r>
        <w:rPr>
          <w:spacing w:val="-4"/>
          <w:w w:val="110"/>
          <w:sz w:val="18"/>
        </w:rPr>
        <w:t> </w:t>
      </w:r>
      <w:r>
        <w:rPr>
          <w:w w:val="110"/>
          <w:sz w:val="18"/>
        </w:rPr>
        <w:t>que</w:t>
      </w:r>
      <w:r>
        <w:rPr>
          <w:spacing w:val="-4"/>
          <w:w w:val="110"/>
          <w:sz w:val="18"/>
        </w:rPr>
        <w:t> </w:t>
      </w:r>
      <w:r>
        <w:rPr>
          <w:w w:val="110"/>
          <w:sz w:val="18"/>
        </w:rPr>
        <w:t>establezcan</w:t>
      </w:r>
      <w:r>
        <w:rPr>
          <w:spacing w:val="-4"/>
          <w:w w:val="110"/>
          <w:sz w:val="18"/>
        </w:rPr>
        <w:t> </w:t>
      </w:r>
      <w:r>
        <w:rPr>
          <w:w w:val="110"/>
          <w:sz w:val="18"/>
        </w:rPr>
        <w:t>las</w:t>
      </w:r>
      <w:r>
        <w:rPr>
          <w:spacing w:val="-4"/>
          <w:w w:val="110"/>
          <w:sz w:val="18"/>
        </w:rPr>
        <w:t> </w:t>
      </w:r>
      <w:r>
        <w:rPr>
          <w:w w:val="110"/>
          <w:sz w:val="18"/>
        </w:rPr>
        <w:t>formas</w:t>
      </w:r>
      <w:r>
        <w:rPr>
          <w:spacing w:val="-4"/>
          <w:w w:val="110"/>
          <w:sz w:val="18"/>
        </w:rPr>
        <w:t> </w:t>
      </w:r>
      <w:r>
        <w:rPr>
          <w:w w:val="110"/>
          <w:sz w:val="18"/>
        </w:rPr>
        <w:t>que</w:t>
      </w:r>
      <w:r>
        <w:rPr>
          <w:spacing w:val="-4"/>
          <w:w w:val="110"/>
          <w:sz w:val="18"/>
        </w:rPr>
        <w:t> </w:t>
      </w:r>
      <w:r>
        <w:rPr>
          <w:w w:val="110"/>
          <w:sz w:val="18"/>
        </w:rPr>
        <w:t>las</w:t>
      </w:r>
      <w:r>
        <w:rPr>
          <w:spacing w:val="-4"/>
          <w:w w:val="110"/>
          <w:sz w:val="18"/>
        </w:rPr>
        <w:t> </w:t>
      </w:r>
      <w:r>
        <w:rPr>
          <w:w w:val="110"/>
          <w:sz w:val="18"/>
        </w:rPr>
        <w:t>empresas</w:t>
      </w:r>
      <w:r>
        <w:rPr>
          <w:spacing w:val="-4"/>
          <w:w w:val="110"/>
          <w:sz w:val="18"/>
        </w:rPr>
        <w:t> </w:t>
      </w:r>
      <w:r>
        <w:rPr>
          <w:w w:val="110"/>
          <w:sz w:val="18"/>
        </w:rPr>
        <w:t>nece- sitan</w:t>
      </w:r>
      <w:r>
        <w:rPr>
          <w:spacing w:val="-4"/>
          <w:w w:val="110"/>
          <w:sz w:val="18"/>
        </w:rPr>
        <w:t> </w:t>
      </w:r>
      <w:r>
        <w:rPr>
          <w:w w:val="110"/>
          <w:sz w:val="18"/>
        </w:rPr>
        <w:t>para</w:t>
      </w:r>
      <w:r>
        <w:rPr>
          <w:spacing w:val="-4"/>
          <w:w w:val="110"/>
          <w:sz w:val="18"/>
        </w:rPr>
        <w:t> </w:t>
      </w:r>
      <w:r>
        <w:rPr>
          <w:w w:val="110"/>
          <w:sz w:val="18"/>
        </w:rPr>
        <w:t>gobernarse</w:t>
      </w:r>
      <w:r>
        <w:rPr>
          <w:spacing w:val="-4"/>
          <w:w w:val="110"/>
          <w:sz w:val="18"/>
        </w:rPr>
        <w:t> </w:t>
      </w:r>
      <w:r>
        <w:rPr>
          <w:w w:val="110"/>
          <w:sz w:val="18"/>
        </w:rPr>
        <w:t>a</w:t>
      </w:r>
      <w:r>
        <w:rPr>
          <w:spacing w:val="-4"/>
          <w:w w:val="110"/>
          <w:sz w:val="18"/>
        </w:rPr>
        <w:t> </w:t>
      </w:r>
      <w:r>
        <w:rPr>
          <w:w w:val="110"/>
          <w:sz w:val="18"/>
        </w:rPr>
        <w:t>sí</w:t>
      </w:r>
      <w:r>
        <w:rPr>
          <w:spacing w:val="-4"/>
          <w:w w:val="110"/>
          <w:sz w:val="18"/>
        </w:rPr>
        <w:t> </w:t>
      </w:r>
      <w:r>
        <w:rPr>
          <w:w w:val="110"/>
          <w:sz w:val="18"/>
        </w:rPr>
        <w:t>mismas</w:t>
      </w:r>
      <w:r>
        <w:rPr>
          <w:spacing w:val="-4"/>
          <w:w w:val="110"/>
          <w:sz w:val="18"/>
        </w:rPr>
        <w:t> </w:t>
      </w:r>
      <w:r>
        <w:rPr>
          <w:w w:val="110"/>
          <w:sz w:val="18"/>
        </w:rPr>
        <w:t>(CiPE,</w:t>
      </w:r>
      <w:r>
        <w:rPr>
          <w:spacing w:val="-4"/>
          <w:w w:val="110"/>
          <w:sz w:val="18"/>
        </w:rPr>
        <w:t> </w:t>
      </w:r>
      <w:r>
        <w:rPr>
          <w:w w:val="110"/>
          <w:sz w:val="18"/>
        </w:rPr>
        <w:t>2002a:</w:t>
      </w:r>
      <w:r>
        <w:rPr>
          <w:spacing w:val="-4"/>
          <w:w w:val="110"/>
          <w:sz w:val="18"/>
        </w:rPr>
        <w:t> </w:t>
      </w:r>
      <w:r>
        <w:rPr>
          <w:w w:val="110"/>
          <w:sz w:val="18"/>
        </w:rPr>
        <w:t>12)</w:t>
      </w:r>
      <w:r>
        <w:rPr>
          <w:w w:val="110"/>
          <w:position w:val="6"/>
          <w:sz w:val="10"/>
        </w:rPr>
        <w:t>26</w:t>
      </w:r>
      <w:r>
        <w:rPr>
          <w:w w:val="110"/>
          <w:sz w:val="18"/>
        </w:rPr>
        <w:t>.</w:t>
      </w:r>
    </w:p>
    <w:p>
      <w:pPr>
        <w:pStyle w:val="BodyText"/>
        <w:spacing w:before="10"/>
        <w:rPr>
          <w:sz w:val="20"/>
        </w:rPr>
      </w:pPr>
    </w:p>
    <w:p>
      <w:pPr>
        <w:pStyle w:val="BodyText"/>
        <w:spacing w:line="252" w:lineRule="auto" w:before="1"/>
        <w:ind w:left="120" w:right="328"/>
        <w:jc w:val="both"/>
      </w:pPr>
      <w:r>
        <w:rPr>
          <w:w w:val="110"/>
        </w:rPr>
        <w:t>Esta concepción fue reafirmada en otros documentos, que enfatizan la importancia de ampliar el concepto de gobernanza corporativa para mejorar la calidad de las empresas y de la  democracia:</w:t>
      </w:r>
    </w:p>
    <w:p>
      <w:pPr>
        <w:pStyle w:val="BodyText"/>
        <w:spacing w:before="4"/>
      </w:pPr>
      <w:r>
        <w:rPr/>
        <w:pict>
          <v:line style="position:absolute;mso-position-horizontal-relative:page;mso-position-vertical-relative:paragraph;z-index:5776;mso-wrap-distance-left:0;mso-wrap-distance-right:0" from="51.023602pt,13.577231pt" to="79.369602pt,13.577231pt" stroked="true" strokeweight=".5pt" strokecolor="#000000">
            <w10:wrap type="topAndBottom"/>
          </v:line>
        </w:pict>
      </w:r>
    </w:p>
    <w:p>
      <w:pPr>
        <w:pStyle w:val="ListParagraph"/>
        <w:numPr>
          <w:ilvl w:val="0"/>
          <w:numId w:val="28"/>
        </w:numPr>
        <w:tabs>
          <w:tab w:pos="376" w:val="left" w:leader="none"/>
        </w:tabs>
        <w:spacing w:line="242" w:lineRule="auto" w:before="89" w:after="0"/>
        <w:ind w:left="120" w:right="328" w:firstLine="0"/>
        <w:jc w:val="both"/>
        <w:rPr>
          <w:i/>
          <w:sz w:val="16"/>
        </w:rPr>
      </w:pPr>
      <w:r>
        <w:rPr>
          <w:w w:val="110"/>
          <w:sz w:val="16"/>
        </w:rPr>
        <w:t>Entre</w:t>
      </w:r>
      <w:r>
        <w:rPr>
          <w:spacing w:val="-5"/>
          <w:w w:val="110"/>
          <w:sz w:val="16"/>
        </w:rPr>
        <w:t> </w:t>
      </w:r>
      <w:r>
        <w:rPr>
          <w:w w:val="110"/>
          <w:sz w:val="16"/>
        </w:rPr>
        <w:t>las</w:t>
      </w:r>
      <w:r>
        <w:rPr>
          <w:spacing w:val="-5"/>
          <w:w w:val="110"/>
          <w:sz w:val="16"/>
        </w:rPr>
        <w:t> </w:t>
      </w:r>
      <w:r>
        <w:rPr>
          <w:w w:val="110"/>
          <w:sz w:val="16"/>
        </w:rPr>
        <w:t>publicaciones</w:t>
      </w:r>
      <w:r>
        <w:rPr>
          <w:spacing w:val="-5"/>
          <w:w w:val="110"/>
          <w:sz w:val="16"/>
        </w:rPr>
        <w:t> </w:t>
      </w:r>
      <w:r>
        <w:rPr>
          <w:w w:val="110"/>
          <w:sz w:val="16"/>
        </w:rPr>
        <w:t>del</w:t>
      </w:r>
      <w:r>
        <w:rPr>
          <w:spacing w:val="-5"/>
          <w:w w:val="110"/>
          <w:sz w:val="16"/>
        </w:rPr>
        <w:t> </w:t>
      </w:r>
      <w:r>
        <w:rPr>
          <w:w w:val="110"/>
          <w:sz w:val="16"/>
        </w:rPr>
        <w:t>CiPE</w:t>
      </w:r>
      <w:r>
        <w:rPr>
          <w:spacing w:val="-5"/>
          <w:w w:val="110"/>
          <w:sz w:val="16"/>
        </w:rPr>
        <w:t> </w:t>
      </w:r>
      <w:r>
        <w:rPr>
          <w:w w:val="110"/>
          <w:sz w:val="16"/>
        </w:rPr>
        <w:t>con</w:t>
      </w:r>
      <w:r>
        <w:rPr>
          <w:spacing w:val="-5"/>
          <w:w w:val="110"/>
          <w:sz w:val="16"/>
        </w:rPr>
        <w:t> </w:t>
      </w:r>
      <w:r>
        <w:rPr>
          <w:w w:val="110"/>
          <w:sz w:val="16"/>
        </w:rPr>
        <w:t>evaluación</w:t>
      </w:r>
      <w:r>
        <w:rPr>
          <w:spacing w:val="-5"/>
          <w:w w:val="110"/>
          <w:sz w:val="16"/>
        </w:rPr>
        <w:t> </w:t>
      </w:r>
      <w:r>
        <w:rPr>
          <w:w w:val="110"/>
          <w:sz w:val="16"/>
        </w:rPr>
        <w:t>de</w:t>
      </w:r>
      <w:r>
        <w:rPr>
          <w:spacing w:val="-5"/>
          <w:w w:val="110"/>
          <w:sz w:val="16"/>
        </w:rPr>
        <w:t> </w:t>
      </w:r>
      <w:r>
        <w:rPr>
          <w:w w:val="110"/>
          <w:sz w:val="16"/>
        </w:rPr>
        <w:t>más</w:t>
      </w:r>
      <w:r>
        <w:rPr>
          <w:spacing w:val="-5"/>
          <w:w w:val="110"/>
          <w:sz w:val="16"/>
        </w:rPr>
        <w:t> </w:t>
      </w:r>
      <w:r>
        <w:rPr>
          <w:w w:val="110"/>
          <w:sz w:val="16"/>
        </w:rPr>
        <w:t>de</w:t>
      </w:r>
      <w:r>
        <w:rPr>
          <w:spacing w:val="-5"/>
          <w:w w:val="110"/>
          <w:sz w:val="16"/>
        </w:rPr>
        <w:t> </w:t>
      </w:r>
      <w:r>
        <w:rPr>
          <w:w w:val="110"/>
          <w:sz w:val="16"/>
        </w:rPr>
        <w:t>una</w:t>
      </w:r>
      <w:r>
        <w:rPr>
          <w:spacing w:val="-5"/>
          <w:w w:val="110"/>
          <w:sz w:val="16"/>
        </w:rPr>
        <w:t> </w:t>
      </w:r>
      <w:r>
        <w:rPr>
          <w:w w:val="110"/>
          <w:sz w:val="16"/>
        </w:rPr>
        <w:t>década</w:t>
      </w:r>
      <w:r>
        <w:rPr>
          <w:spacing w:val="-5"/>
          <w:w w:val="110"/>
          <w:sz w:val="16"/>
        </w:rPr>
        <w:t> </w:t>
      </w:r>
      <w:r>
        <w:rPr>
          <w:w w:val="110"/>
          <w:sz w:val="16"/>
        </w:rPr>
        <w:t>de</w:t>
      </w:r>
      <w:r>
        <w:rPr>
          <w:spacing w:val="-5"/>
          <w:w w:val="110"/>
          <w:sz w:val="16"/>
        </w:rPr>
        <w:t> </w:t>
      </w:r>
      <w:r>
        <w:rPr>
          <w:w w:val="110"/>
          <w:sz w:val="16"/>
        </w:rPr>
        <w:t>partici- pación</w:t>
      </w:r>
      <w:r>
        <w:rPr>
          <w:spacing w:val="-8"/>
          <w:w w:val="110"/>
          <w:sz w:val="16"/>
        </w:rPr>
        <w:t> </w:t>
      </w:r>
      <w:r>
        <w:rPr>
          <w:w w:val="110"/>
          <w:sz w:val="16"/>
        </w:rPr>
        <w:t>en</w:t>
      </w:r>
      <w:r>
        <w:rPr>
          <w:spacing w:val="-8"/>
          <w:w w:val="110"/>
          <w:sz w:val="16"/>
        </w:rPr>
        <w:t> </w:t>
      </w:r>
      <w:r>
        <w:rPr>
          <w:w w:val="110"/>
          <w:sz w:val="16"/>
        </w:rPr>
        <w:t>el</w:t>
      </w:r>
      <w:r>
        <w:rPr>
          <w:spacing w:val="-8"/>
          <w:w w:val="110"/>
          <w:sz w:val="16"/>
        </w:rPr>
        <w:t> </w:t>
      </w:r>
      <w:r>
        <w:rPr>
          <w:w w:val="110"/>
          <w:sz w:val="16"/>
        </w:rPr>
        <w:t>marco</w:t>
      </w:r>
      <w:r>
        <w:rPr>
          <w:spacing w:val="-8"/>
          <w:w w:val="110"/>
          <w:sz w:val="16"/>
        </w:rPr>
        <w:t> </w:t>
      </w:r>
      <w:r>
        <w:rPr>
          <w:w w:val="110"/>
          <w:sz w:val="16"/>
        </w:rPr>
        <w:t>de</w:t>
      </w:r>
      <w:r>
        <w:rPr>
          <w:spacing w:val="-8"/>
          <w:w w:val="110"/>
          <w:sz w:val="16"/>
        </w:rPr>
        <w:t> </w:t>
      </w:r>
      <w:r>
        <w:rPr>
          <w:w w:val="110"/>
          <w:sz w:val="16"/>
        </w:rPr>
        <w:t>la</w:t>
      </w:r>
      <w:r>
        <w:rPr>
          <w:spacing w:val="-8"/>
          <w:w w:val="110"/>
          <w:sz w:val="16"/>
        </w:rPr>
        <w:t> </w:t>
      </w:r>
      <w:r>
        <w:rPr>
          <w:w w:val="110"/>
          <w:sz w:val="16"/>
        </w:rPr>
        <w:t>gobernanza</w:t>
      </w:r>
      <w:r>
        <w:rPr>
          <w:spacing w:val="-8"/>
          <w:w w:val="110"/>
          <w:sz w:val="16"/>
        </w:rPr>
        <w:t> </w:t>
      </w:r>
      <w:r>
        <w:rPr>
          <w:w w:val="110"/>
          <w:sz w:val="16"/>
        </w:rPr>
        <w:t>corporativa</w:t>
      </w:r>
      <w:r>
        <w:rPr>
          <w:spacing w:val="-8"/>
          <w:w w:val="110"/>
          <w:sz w:val="16"/>
        </w:rPr>
        <w:t> </w:t>
      </w:r>
      <w:r>
        <w:rPr>
          <w:w w:val="110"/>
          <w:sz w:val="16"/>
        </w:rPr>
        <w:t>y</w:t>
      </w:r>
      <w:r>
        <w:rPr>
          <w:spacing w:val="-8"/>
          <w:w w:val="110"/>
          <w:sz w:val="16"/>
        </w:rPr>
        <w:t> </w:t>
      </w:r>
      <w:r>
        <w:rPr>
          <w:w w:val="110"/>
          <w:sz w:val="16"/>
        </w:rPr>
        <w:t>de</w:t>
      </w:r>
      <w:r>
        <w:rPr>
          <w:spacing w:val="-8"/>
          <w:w w:val="110"/>
          <w:sz w:val="16"/>
        </w:rPr>
        <w:t> </w:t>
      </w:r>
      <w:r>
        <w:rPr>
          <w:w w:val="110"/>
          <w:sz w:val="16"/>
        </w:rPr>
        <w:t>planeación</w:t>
      </w:r>
      <w:r>
        <w:rPr>
          <w:spacing w:val="-8"/>
          <w:w w:val="110"/>
          <w:sz w:val="16"/>
        </w:rPr>
        <w:t> </w:t>
      </w:r>
      <w:r>
        <w:rPr>
          <w:w w:val="110"/>
          <w:sz w:val="16"/>
        </w:rPr>
        <w:t>de</w:t>
      </w:r>
      <w:r>
        <w:rPr>
          <w:spacing w:val="-8"/>
          <w:w w:val="110"/>
          <w:sz w:val="16"/>
        </w:rPr>
        <w:t> </w:t>
      </w:r>
      <w:r>
        <w:rPr>
          <w:w w:val="110"/>
          <w:sz w:val="16"/>
        </w:rPr>
        <w:t>acciones</w:t>
      </w:r>
      <w:r>
        <w:rPr>
          <w:spacing w:val="-8"/>
          <w:w w:val="110"/>
          <w:sz w:val="16"/>
        </w:rPr>
        <w:t> </w:t>
      </w:r>
      <w:r>
        <w:rPr>
          <w:w w:val="110"/>
          <w:sz w:val="16"/>
        </w:rPr>
        <w:t>futuras merece</w:t>
      </w:r>
      <w:r>
        <w:rPr>
          <w:spacing w:val="-5"/>
          <w:w w:val="110"/>
          <w:sz w:val="16"/>
        </w:rPr>
        <w:t> </w:t>
      </w:r>
      <w:r>
        <w:rPr>
          <w:w w:val="110"/>
          <w:sz w:val="16"/>
        </w:rPr>
        <w:t>destacarse</w:t>
      </w:r>
      <w:r>
        <w:rPr>
          <w:spacing w:val="-5"/>
          <w:w w:val="110"/>
          <w:sz w:val="16"/>
        </w:rPr>
        <w:t> </w:t>
      </w:r>
      <w:r>
        <w:rPr>
          <w:w w:val="110"/>
          <w:sz w:val="16"/>
        </w:rPr>
        <w:t>el</w:t>
      </w:r>
      <w:r>
        <w:rPr>
          <w:spacing w:val="-5"/>
          <w:w w:val="110"/>
          <w:sz w:val="16"/>
        </w:rPr>
        <w:t> </w:t>
      </w:r>
      <w:r>
        <w:rPr>
          <w:w w:val="110"/>
          <w:sz w:val="16"/>
        </w:rPr>
        <w:t>libro</w:t>
      </w:r>
      <w:r>
        <w:rPr>
          <w:spacing w:val="-5"/>
          <w:w w:val="110"/>
          <w:sz w:val="16"/>
        </w:rPr>
        <w:t> </w:t>
      </w:r>
      <w:r>
        <w:rPr>
          <w:w w:val="110"/>
          <w:sz w:val="16"/>
        </w:rPr>
        <w:t>editado</w:t>
      </w:r>
      <w:r>
        <w:rPr>
          <w:spacing w:val="-5"/>
          <w:w w:val="110"/>
          <w:sz w:val="16"/>
        </w:rPr>
        <w:t> </w:t>
      </w:r>
      <w:r>
        <w:rPr>
          <w:w w:val="110"/>
          <w:sz w:val="16"/>
        </w:rPr>
        <w:t>por</w:t>
      </w:r>
      <w:r>
        <w:rPr>
          <w:spacing w:val="-5"/>
          <w:w w:val="110"/>
          <w:sz w:val="16"/>
        </w:rPr>
        <w:t> </w:t>
      </w:r>
      <w:r>
        <w:rPr>
          <w:w w:val="110"/>
          <w:sz w:val="16"/>
        </w:rPr>
        <w:t>sullivan</w:t>
      </w:r>
      <w:r>
        <w:rPr>
          <w:spacing w:val="-5"/>
          <w:w w:val="110"/>
          <w:sz w:val="16"/>
        </w:rPr>
        <w:t> </w:t>
      </w:r>
      <w:r>
        <w:rPr>
          <w:w w:val="110"/>
          <w:sz w:val="16"/>
        </w:rPr>
        <w:t>(2003):</w:t>
      </w:r>
      <w:r>
        <w:rPr>
          <w:spacing w:val="-5"/>
          <w:w w:val="110"/>
          <w:sz w:val="16"/>
        </w:rPr>
        <w:t> </w:t>
      </w:r>
      <w:r>
        <w:rPr>
          <w:i/>
          <w:w w:val="110"/>
          <w:sz w:val="16"/>
        </w:rPr>
        <w:t>In</w:t>
      </w:r>
      <w:r>
        <w:rPr>
          <w:i/>
          <w:spacing w:val="-5"/>
          <w:w w:val="110"/>
          <w:sz w:val="16"/>
        </w:rPr>
        <w:t> </w:t>
      </w:r>
      <w:r>
        <w:rPr>
          <w:i/>
          <w:w w:val="110"/>
          <w:sz w:val="16"/>
        </w:rPr>
        <w:t>search</w:t>
      </w:r>
      <w:r>
        <w:rPr>
          <w:i/>
          <w:spacing w:val="-5"/>
          <w:w w:val="110"/>
          <w:sz w:val="16"/>
        </w:rPr>
        <w:t> </w:t>
      </w:r>
      <w:r>
        <w:rPr>
          <w:i/>
          <w:w w:val="110"/>
          <w:sz w:val="16"/>
        </w:rPr>
        <w:t>of</w:t>
      </w:r>
      <w:r>
        <w:rPr>
          <w:i/>
          <w:spacing w:val="-5"/>
          <w:w w:val="110"/>
          <w:sz w:val="16"/>
        </w:rPr>
        <w:t> </w:t>
      </w:r>
      <w:r>
        <w:rPr>
          <w:i/>
          <w:w w:val="110"/>
          <w:sz w:val="16"/>
        </w:rPr>
        <w:t>good</w:t>
      </w:r>
      <w:r>
        <w:rPr>
          <w:i/>
          <w:spacing w:val="-5"/>
          <w:w w:val="110"/>
          <w:sz w:val="16"/>
        </w:rPr>
        <w:t> </w:t>
      </w:r>
      <w:r>
        <w:rPr>
          <w:i/>
          <w:w w:val="110"/>
          <w:sz w:val="16"/>
        </w:rPr>
        <w:t>directors</w:t>
      </w:r>
      <w:r>
        <w:rPr>
          <w:w w:val="110"/>
          <w:sz w:val="16"/>
        </w:rPr>
        <w:t>:</w:t>
      </w:r>
      <w:r>
        <w:rPr>
          <w:spacing w:val="-5"/>
          <w:w w:val="110"/>
          <w:sz w:val="16"/>
        </w:rPr>
        <w:t> </w:t>
      </w:r>
      <w:r>
        <w:rPr>
          <w:i/>
          <w:w w:val="110"/>
          <w:sz w:val="16"/>
        </w:rPr>
        <w:t>A </w:t>
      </w:r>
      <w:r>
        <w:rPr>
          <w:i/>
          <w:w w:val="110"/>
          <w:sz w:val="16"/>
        </w:rPr>
        <w:t>guide</w:t>
      </w:r>
      <w:r>
        <w:rPr>
          <w:i/>
          <w:spacing w:val="-14"/>
          <w:w w:val="110"/>
          <w:sz w:val="16"/>
        </w:rPr>
        <w:t> </w:t>
      </w:r>
      <w:r>
        <w:rPr>
          <w:i/>
          <w:w w:val="110"/>
          <w:sz w:val="16"/>
        </w:rPr>
        <w:t>to</w:t>
      </w:r>
      <w:r>
        <w:rPr>
          <w:i/>
          <w:spacing w:val="-14"/>
          <w:w w:val="110"/>
          <w:sz w:val="16"/>
        </w:rPr>
        <w:t> </w:t>
      </w:r>
      <w:r>
        <w:rPr>
          <w:i/>
          <w:w w:val="110"/>
          <w:sz w:val="16"/>
        </w:rPr>
        <w:t>building</w:t>
      </w:r>
      <w:r>
        <w:rPr>
          <w:i/>
          <w:spacing w:val="-14"/>
          <w:w w:val="110"/>
          <w:sz w:val="16"/>
        </w:rPr>
        <w:t> </w:t>
      </w:r>
      <w:r>
        <w:rPr>
          <w:i/>
          <w:w w:val="110"/>
          <w:sz w:val="16"/>
        </w:rPr>
        <w:t>corporate</w:t>
      </w:r>
      <w:r>
        <w:rPr>
          <w:i/>
          <w:spacing w:val="-14"/>
          <w:w w:val="110"/>
          <w:sz w:val="16"/>
        </w:rPr>
        <w:t> </w:t>
      </w:r>
      <w:r>
        <w:rPr>
          <w:i/>
          <w:w w:val="110"/>
          <w:sz w:val="16"/>
        </w:rPr>
        <w:t>governance</w:t>
      </w:r>
      <w:r>
        <w:rPr>
          <w:i/>
          <w:spacing w:val="-14"/>
          <w:w w:val="110"/>
          <w:sz w:val="16"/>
        </w:rPr>
        <w:t> </w:t>
      </w:r>
      <w:r>
        <w:rPr>
          <w:i/>
          <w:w w:val="110"/>
          <w:sz w:val="16"/>
        </w:rPr>
        <w:t>in</w:t>
      </w:r>
      <w:r>
        <w:rPr>
          <w:i/>
          <w:spacing w:val="-14"/>
          <w:w w:val="110"/>
          <w:sz w:val="16"/>
        </w:rPr>
        <w:t> </w:t>
      </w:r>
      <w:r>
        <w:rPr>
          <w:i/>
          <w:w w:val="110"/>
          <w:sz w:val="16"/>
        </w:rPr>
        <w:t>the</w:t>
      </w:r>
      <w:r>
        <w:rPr>
          <w:i/>
          <w:spacing w:val="-14"/>
          <w:w w:val="110"/>
          <w:sz w:val="16"/>
        </w:rPr>
        <w:t> </w:t>
      </w:r>
      <w:r>
        <w:rPr>
          <w:i/>
          <w:w w:val="110"/>
          <w:sz w:val="16"/>
        </w:rPr>
        <w:t>21st</w:t>
      </w:r>
      <w:r>
        <w:rPr>
          <w:i/>
          <w:spacing w:val="-14"/>
          <w:w w:val="110"/>
          <w:sz w:val="16"/>
        </w:rPr>
        <w:t> </w:t>
      </w:r>
      <w:r>
        <w:rPr>
          <w:i/>
          <w:w w:val="110"/>
          <w:sz w:val="16"/>
        </w:rPr>
        <w:t>Century.</w:t>
      </w:r>
    </w:p>
    <w:p>
      <w:pPr>
        <w:pStyle w:val="ListParagraph"/>
        <w:numPr>
          <w:ilvl w:val="0"/>
          <w:numId w:val="28"/>
        </w:numPr>
        <w:tabs>
          <w:tab w:pos="376" w:val="left" w:leader="none"/>
        </w:tabs>
        <w:spacing w:line="242" w:lineRule="auto" w:before="57" w:after="0"/>
        <w:ind w:left="120" w:right="328" w:firstLine="0"/>
        <w:jc w:val="both"/>
        <w:rPr>
          <w:i/>
          <w:sz w:val="16"/>
        </w:rPr>
      </w:pPr>
      <w:r>
        <w:rPr>
          <w:w w:val="105"/>
          <w:sz w:val="16"/>
        </w:rPr>
        <w:t>En la literatura técnica acerca de la gobernanza corporativa, </w:t>
      </w:r>
      <w:r>
        <w:rPr>
          <w:i/>
          <w:w w:val="105"/>
          <w:sz w:val="16"/>
        </w:rPr>
        <w:t>stakeholders </w:t>
      </w:r>
      <w:r>
        <w:rPr>
          <w:w w:val="105"/>
          <w:sz w:val="16"/>
        </w:rPr>
        <w:t>incluye     a “personas, grupos o instituciones con intereses empresariales legítimos y que afec- tan o son afectados por las directrices definidas, acciones practicadas y resultados al- canzados” y pueden ser clasificados en cuatro grupos: los </w:t>
      </w:r>
      <w:r>
        <w:rPr>
          <w:i/>
          <w:w w:val="105"/>
          <w:sz w:val="16"/>
        </w:rPr>
        <w:t>shareholders </w:t>
      </w:r>
      <w:r>
        <w:rPr>
          <w:w w:val="105"/>
          <w:sz w:val="16"/>
        </w:rPr>
        <w:t>(propietarios, accionistas, inversionistas), los internos (órganos de gobernanza de la empresa y los trabajadores), externos, integrados a la cadena de negocios (acreedores, proveedores, clientes, consumidores) y el entorno (local donde la empresa actúa, la sociedad como un todo, gobiernos, oNG) (</w:t>
      </w:r>
      <w:r>
        <w:rPr>
          <w:i/>
          <w:w w:val="105"/>
          <w:sz w:val="16"/>
        </w:rPr>
        <w:t>Cf. </w:t>
      </w:r>
      <w:r>
        <w:rPr>
          <w:w w:val="105"/>
          <w:sz w:val="16"/>
        </w:rPr>
        <w:t>rossetti, andrade, 2011: 108-111). un gran diferencial entre las propuestas de gobernanza corporativa se encuentra en la forma y alcance   </w:t>
      </w:r>
      <w:r>
        <w:rPr>
          <w:spacing w:val="37"/>
          <w:w w:val="105"/>
          <w:sz w:val="16"/>
        </w:rPr>
        <w:t> </w:t>
      </w:r>
      <w:r>
        <w:rPr>
          <w:w w:val="105"/>
          <w:sz w:val="16"/>
        </w:rPr>
        <w:t>en que son considerados los intereses de los diferentes   </w:t>
      </w:r>
      <w:r>
        <w:rPr>
          <w:spacing w:val="7"/>
          <w:w w:val="105"/>
          <w:sz w:val="16"/>
        </w:rPr>
        <w:t> </w:t>
      </w:r>
      <w:r>
        <w:rPr>
          <w:i/>
          <w:w w:val="105"/>
          <w:sz w:val="16"/>
        </w:rPr>
        <w:t>stakeholders.</w:t>
      </w:r>
    </w:p>
    <w:p>
      <w:pPr>
        <w:spacing w:after="0" w:line="242" w:lineRule="auto"/>
        <w:jc w:val="both"/>
        <w:rPr>
          <w:sz w:val="16"/>
        </w:rPr>
        <w:sectPr>
          <w:pgSz w:w="8790" w:h="12760"/>
          <w:pgMar w:header="695" w:footer="723" w:top="880" w:bottom="920" w:left="900" w:right="1200"/>
        </w:sectPr>
      </w:pPr>
    </w:p>
    <w:p>
      <w:pPr>
        <w:pStyle w:val="BodyText"/>
        <w:spacing w:before="8"/>
        <w:rPr>
          <w:i/>
          <w:sz w:val="28"/>
        </w:rPr>
      </w:pPr>
    </w:p>
    <w:p>
      <w:pPr>
        <w:spacing w:before="71"/>
        <w:ind w:left="727" w:right="115" w:firstLine="0"/>
        <w:jc w:val="both"/>
        <w:rPr>
          <w:sz w:val="18"/>
        </w:rPr>
      </w:pPr>
      <w:r>
        <w:rPr>
          <w:spacing w:val="2"/>
          <w:w w:val="238"/>
          <w:sz w:val="18"/>
        </w:rPr>
        <w:t>l</w:t>
      </w:r>
      <w:r>
        <w:rPr>
          <w:w w:val="109"/>
          <w:sz w:val="18"/>
        </w:rPr>
        <w:t>a</w:t>
      </w:r>
      <w:r>
        <w:rPr>
          <w:sz w:val="18"/>
        </w:rPr>
        <w:t> </w:t>
      </w:r>
      <w:r>
        <w:rPr>
          <w:spacing w:val="3"/>
          <w:sz w:val="18"/>
        </w:rPr>
        <w:t> </w:t>
      </w:r>
      <w:r>
        <w:rPr>
          <w:spacing w:val="2"/>
          <w:w w:val="108"/>
          <w:sz w:val="18"/>
        </w:rPr>
        <w:t>gobernanz</w:t>
      </w:r>
      <w:r>
        <w:rPr>
          <w:w w:val="108"/>
          <w:sz w:val="18"/>
        </w:rPr>
        <w:t>a</w:t>
      </w:r>
      <w:r>
        <w:rPr>
          <w:sz w:val="18"/>
        </w:rPr>
        <w:t> </w:t>
      </w:r>
      <w:r>
        <w:rPr>
          <w:spacing w:val="3"/>
          <w:sz w:val="18"/>
        </w:rPr>
        <w:t> </w:t>
      </w:r>
      <w:r>
        <w:rPr>
          <w:spacing w:val="2"/>
          <w:w w:val="107"/>
          <w:sz w:val="18"/>
        </w:rPr>
        <w:t>corporativ</w:t>
      </w:r>
      <w:r>
        <w:rPr>
          <w:w w:val="107"/>
          <w:sz w:val="18"/>
        </w:rPr>
        <w:t>a</w:t>
      </w:r>
      <w:r>
        <w:rPr>
          <w:sz w:val="18"/>
        </w:rPr>
        <w:t> </w:t>
      </w:r>
      <w:r>
        <w:rPr>
          <w:spacing w:val="3"/>
          <w:sz w:val="18"/>
        </w:rPr>
        <w:t> </w:t>
      </w:r>
      <w:r>
        <w:rPr>
          <w:spacing w:val="2"/>
          <w:w w:val="106"/>
          <w:sz w:val="18"/>
        </w:rPr>
        <w:t>oper</w:t>
      </w:r>
      <w:r>
        <w:rPr>
          <w:w w:val="106"/>
          <w:sz w:val="18"/>
        </w:rPr>
        <w:t>a</w:t>
      </w:r>
      <w:r>
        <w:rPr>
          <w:sz w:val="18"/>
        </w:rPr>
        <w:t> </w:t>
      </w:r>
      <w:r>
        <w:rPr>
          <w:spacing w:val="3"/>
          <w:sz w:val="18"/>
        </w:rPr>
        <w:t> </w:t>
      </w:r>
      <w:r>
        <w:rPr>
          <w:spacing w:val="2"/>
          <w:w w:val="110"/>
          <w:sz w:val="18"/>
        </w:rPr>
        <w:t>com</w:t>
      </w:r>
      <w:r>
        <w:rPr>
          <w:w w:val="110"/>
          <w:sz w:val="18"/>
        </w:rPr>
        <w:t>o</w:t>
      </w:r>
      <w:r>
        <w:rPr>
          <w:sz w:val="18"/>
        </w:rPr>
        <w:t> </w:t>
      </w:r>
      <w:r>
        <w:rPr>
          <w:spacing w:val="3"/>
          <w:sz w:val="18"/>
        </w:rPr>
        <w:t> </w:t>
      </w:r>
      <w:r>
        <w:rPr>
          <w:spacing w:val="2"/>
          <w:w w:val="110"/>
          <w:sz w:val="18"/>
        </w:rPr>
        <w:t>u</w:t>
      </w:r>
      <w:r>
        <w:rPr>
          <w:w w:val="110"/>
          <w:sz w:val="18"/>
        </w:rPr>
        <w:t>n</w:t>
      </w:r>
      <w:r>
        <w:rPr>
          <w:sz w:val="18"/>
        </w:rPr>
        <w:t> </w:t>
      </w:r>
      <w:r>
        <w:rPr>
          <w:spacing w:val="3"/>
          <w:sz w:val="18"/>
        </w:rPr>
        <w:t> </w:t>
      </w:r>
      <w:r>
        <w:rPr>
          <w:spacing w:val="2"/>
          <w:w w:val="107"/>
          <w:sz w:val="18"/>
        </w:rPr>
        <w:t>sistem</w:t>
      </w:r>
      <w:r>
        <w:rPr>
          <w:w w:val="107"/>
          <w:sz w:val="18"/>
        </w:rPr>
        <w:t>a</w:t>
      </w:r>
      <w:r>
        <w:rPr>
          <w:sz w:val="18"/>
        </w:rPr>
        <w:t> </w:t>
      </w:r>
      <w:r>
        <w:rPr>
          <w:spacing w:val="3"/>
          <w:sz w:val="18"/>
        </w:rPr>
        <w:t> </w:t>
      </w:r>
      <w:r>
        <w:rPr>
          <w:spacing w:val="2"/>
          <w:w w:val="110"/>
          <w:sz w:val="18"/>
        </w:rPr>
        <w:t>complejo</w:t>
      </w:r>
      <w:r>
        <w:rPr>
          <w:w w:val="110"/>
          <w:sz w:val="18"/>
        </w:rPr>
        <w:t>,</w:t>
      </w:r>
      <w:r>
        <w:rPr>
          <w:sz w:val="18"/>
        </w:rPr>
        <w:t> </w:t>
      </w:r>
      <w:r>
        <w:rPr>
          <w:spacing w:val="3"/>
          <w:sz w:val="18"/>
        </w:rPr>
        <w:t> </w:t>
      </w:r>
      <w:r>
        <w:rPr>
          <w:spacing w:val="2"/>
          <w:w w:val="106"/>
          <w:sz w:val="18"/>
        </w:rPr>
        <w:t>que </w:t>
      </w:r>
      <w:r>
        <w:rPr>
          <w:w w:val="105"/>
          <w:sz w:val="18"/>
        </w:rPr>
        <w:t>necesita una base institucional (Estado de derecho, instituciones de mercado y derechos de  propiedad),  buenas  prácticas  al  interior  de</w:t>
      </w:r>
      <w:r>
        <w:rPr>
          <w:spacing w:val="41"/>
          <w:w w:val="105"/>
          <w:sz w:val="18"/>
        </w:rPr>
        <w:t> </w:t>
      </w:r>
      <w:r>
        <w:rPr>
          <w:w w:val="105"/>
          <w:sz w:val="18"/>
        </w:rPr>
        <w:t>las empresas, y elementos  externos,  tales  como  presión  del  merca-  do y supervisión  regulatoria  adecuada.  tanto  para  los  especialistas</w:t>
      </w:r>
      <w:r>
        <w:rPr>
          <w:spacing w:val="41"/>
          <w:w w:val="105"/>
          <w:sz w:val="18"/>
        </w:rPr>
        <w:t> </w:t>
      </w:r>
      <w:r>
        <w:rPr>
          <w:w w:val="105"/>
          <w:sz w:val="18"/>
        </w:rPr>
        <w:t>en gobernanza corporativa como para los profesionales del </w:t>
      </w:r>
      <w:r>
        <w:rPr>
          <w:spacing w:val="2"/>
          <w:w w:val="105"/>
          <w:sz w:val="18"/>
        </w:rPr>
        <w:t>sector </w:t>
      </w:r>
      <w:r>
        <w:rPr>
          <w:w w:val="105"/>
          <w:sz w:val="18"/>
        </w:rPr>
        <w:t>privado, estas reformas de gobernanza son esenciales para las es- trategias de mejora en la calidad de los negocios y de la democracia (CiPE,  2008: </w:t>
      </w:r>
      <w:r>
        <w:rPr>
          <w:spacing w:val="14"/>
          <w:w w:val="105"/>
          <w:sz w:val="18"/>
        </w:rPr>
        <w:t> </w:t>
      </w:r>
      <w:r>
        <w:rPr>
          <w:w w:val="105"/>
          <w:sz w:val="18"/>
        </w:rPr>
        <w:t>10).</w:t>
      </w:r>
    </w:p>
    <w:p>
      <w:pPr>
        <w:pStyle w:val="BodyText"/>
        <w:spacing w:before="1"/>
        <w:rPr>
          <w:sz w:val="21"/>
        </w:rPr>
      </w:pPr>
    </w:p>
    <w:p>
      <w:pPr>
        <w:pStyle w:val="BodyText"/>
        <w:ind w:left="330"/>
        <w:jc w:val="both"/>
      </w:pPr>
      <w:r>
        <w:rPr>
          <w:w w:val="110"/>
        </w:rPr>
        <w:t>Para los intelectuales del  CiPE:</w:t>
      </w:r>
    </w:p>
    <w:p>
      <w:pPr>
        <w:pStyle w:val="BodyText"/>
        <w:spacing w:before="11"/>
      </w:pPr>
    </w:p>
    <w:p>
      <w:pPr>
        <w:spacing w:line="242" w:lineRule="auto" w:before="0"/>
        <w:ind w:left="727" w:right="117" w:firstLine="0"/>
        <w:jc w:val="both"/>
        <w:rPr>
          <w:sz w:val="18"/>
        </w:rPr>
      </w:pPr>
      <w:r>
        <w:rPr>
          <w:w w:val="105"/>
          <w:sz w:val="18"/>
        </w:rPr>
        <w:t>En las economías en desarrollo la gobernanza corporativa ha sido vista como algo más cercano a las grandes empresas –algo de interés para </w:t>
      </w:r>
      <w:r>
        <w:rPr>
          <w:spacing w:val="41"/>
          <w:w w:val="105"/>
          <w:sz w:val="18"/>
        </w:rPr>
        <w:t> </w:t>
      </w:r>
      <w:r>
        <w:rPr>
          <w:w w:val="105"/>
          <w:sz w:val="18"/>
        </w:rPr>
        <w:t>los inversionistas y CEos. sin embargo, como las experiencias de las últimas décadas demuestran, la gobernanza corporativa va mucho más allá. Ésta ayuda a limpiar y ordenar el ámbito de gobernanza, estable- ciendo relaciones privilegiadas e inyectando valores de transparencia   </w:t>
      </w:r>
      <w:r>
        <w:rPr>
          <w:spacing w:val="41"/>
          <w:w w:val="105"/>
          <w:sz w:val="18"/>
        </w:rPr>
        <w:t> </w:t>
      </w:r>
      <w:r>
        <w:rPr>
          <w:w w:val="105"/>
          <w:sz w:val="18"/>
        </w:rPr>
        <w:t>y rendición de cuentas (</w:t>
      </w:r>
      <w:r>
        <w:rPr>
          <w:i/>
          <w:w w:val="105"/>
          <w:sz w:val="18"/>
        </w:rPr>
        <w:t>accountability</w:t>
      </w:r>
      <w:r>
        <w:rPr>
          <w:w w:val="105"/>
          <w:sz w:val="18"/>
        </w:rPr>
        <w:t>) en las transacciones privadas y </w:t>
      </w:r>
      <w:r>
        <w:rPr>
          <w:w w:val="110"/>
          <w:sz w:val="18"/>
        </w:rPr>
        <w:t>públicas.</w:t>
      </w:r>
      <w:r>
        <w:rPr>
          <w:spacing w:val="14"/>
          <w:sz w:val="18"/>
        </w:rPr>
        <w:t> </w:t>
      </w:r>
      <w:r>
        <w:rPr>
          <w:w w:val="238"/>
          <w:sz w:val="18"/>
        </w:rPr>
        <w:t>l</w:t>
      </w:r>
      <w:r>
        <w:rPr>
          <w:w w:val="109"/>
          <w:sz w:val="18"/>
        </w:rPr>
        <w:t>a</w:t>
      </w:r>
      <w:r>
        <w:rPr>
          <w:spacing w:val="14"/>
          <w:sz w:val="18"/>
        </w:rPr>
        <w:t> </w:t>
      </w:r>
      <w:r>
        <w:rPr>
          <w:w w:val="108"/>
          <w:sz w:val="18"/>
        </w:rPr>
        <w:t>gobernanza</w:t>
      </w:r>
      <w:r>
        <w:rPr>
          <w:spacing w:val="14"/>
          <w:sz w:val="18"/>
        </w:rPr>
        <w:t> </w:t>
      </w:r>
      <w:r>
        <w:rPr>
          <w:w w:val="107"/>
          <w:sz w:val="18"/>
        </w:rPr>
        <w:t>corporativa</w:t>
      </w:r>
      <w:r>
        <w:rPr>
          <w:spacing w:val="14"/>
          <w:sz w:val="18"/>
        </w:rPr>
        <w:t> </w:t>
      </w:r>
      <w:r>
        <w:rPr>
          <w:w w:val="108"/>
          <w:sz w:val="18"/>
        </w:rPr>
        <w:t>también</w:t>
      </w:r>
      <w:r>
        <w:rPr>
          <w:spacing w:val="14"/>
          <w:sz w:val="18"/>
        </w:rPr>
        <w:t> </w:t>
      </w:r>
      <w:r>
        <w:rPr>
          <w:w w:val="102"/>
          <w:sz w:val="18"/>
        </w:rPr>
        <w:t>es</w:t>
      </w:r>
      <w:r>
        <w:rPr>
          <w:spacing w:val="14"/>
          <w:sz w:val="18"/>
        </w:rPr>
        <w:t> </w:t>
      </w:r>
      <w:r>
        <w:rPr>
          <w:w w:val="110"/>
          <w:sz w:val="18"/>
        </w:rPr>
        <w:t>un</w:t>
      </w:r>
      <w:r>
        <w:rPr>
          <w:spacing w:val="14"/>
          <w:sz w:val="18"/>
        </w:rPr>
        <w:t> </w:t>
      </w:r>
      <w:r>
        <w:rPr>
          <w:w w:val="108"/>
          <w:sz w:val="18"/>
        </w:rPr>
        <w:t>medio</w:t>
      </w:r>
      <w:r>
        <w:rPr>
          <w:spacing w:val="14"/>
          <w:sz w:val="18"/>
        </w:rPr>
        <w:t> </w:t>
      </w:r>
      <w:r>
        <w:rPr>
          <w:w w:val="107"/>
          <w:sz w:val="18"/>
        </w:rPr>
        <w:t>eficaz</w:t>
      </w:r>
      <w:r>
        <w:rPr>
          <w:spacing w:val="14"/>
          <w:sz w:val="18"/>
        </w:rPr>
        <w:t> </w:t>
      </w:r>
      <w:r>
        <w:rPr>
          <w:w w:val="107"/>
          <w:sz w:val="18"/>
        </w:rPr>
        <w:t>para </w:t>
      </w:r>
      <w:r>
        <w:rPr>
          <w:w w:val="105"/>
          <w:sz w:val="18"/>
        </w:rPr>
        <w:t>desarrollar un sector funcional de empresas pequeñas y medianas que puede ser capaz de generar empleos y atraer inversiones –reconocida como solución sustentable para la pobreza. En resumen, como el buen gobierno en el sector privado es inseparable de la buena gobernanza en el sector público, la gobernanza corporativa puede ser vista como uno</w:t>
      </w:r>
      <w:r>
        <w:rPr>
          <w:spacing w:val="41"/>
          <w:w w:val="105"/>
          <w:sz w:val="18"/>
        </w:rPr>
        <w:t> </w:t>
      </w:r>
      <w:r>
        <w:rPr>
          <w:w w:val="105"/>
          <w:sz w:val="18"/>
        </w:rPr>
        <w:t>de los instrumentos fundamentales para garantizar que los Estados democráticos funcionen para el beneficio de todos los segmentos de la sociedad (shkolnikov, Wilson, 2008:  </w:t>
      </w:r>
      <w:r>
        <w:rPr>
          <w:spacing w:val="10"/>
          <w:w w:val="105"/>
          <w:sz w:val="18"/>
        </w:rPr>
        <w:t> </w:t>
      </w:r>
      <w:r>
        <w:rPr>
          <w:w w:val="105"/>
          <w:sz w:val="18"/>
        </w:rPr>
        <w:t>1)</w:t>
      </w:r>
      <w:r>
        <w:rPr>
          <w:w w:val="105"/>
          <w:position w:val="6"/>
          <w:sz w:val="10"/>
        </w:rPr>
        <w:t>27</w:t>
      </w:r>
      <w:r>
        <w:rPr>
          <w:w w:val="105"/>
          <w:sz w:val="18"/>
        </w:rPr>
        <w:t>.</w:t>
      </w:r>
    </w:p>
    <w:p>
      <w:pPr>
        <w:pStyle w:val="BodyText"/>
        <w:spacing w:before="10"/>
        <w:rPr>
          <w:sz w:val="20"/>
        </w:rPr>
      </w:pPr>
    </w:p>
    <w:p>
      <w:pPr>
        <w:pStyle w:val="BodyText"/>
        <w:spacing w:line="252" w:lineRule="auto" w:before="1"/>
        <w:ind w:left="330" w:right="117"/>
        <w:jc w:val="both"/>
      </w:pPr>
      <w:r>
        <w:rPr>
          <w:w w:val="110"/>
        </w:rPr>
        <w:t>Por lo tanto, la concepción de gobernanza del CiPE da cuenta de una naturaleza política más amplia y abarca la necesidad de articular pro- puestas y acciones que involucren a las empresas privadas y el sec- tor público en un conjunto de reformas institucionales, económicas     y políticas. En el período de 2007 a 2013, el CiPE apoyó programas </w:t>
      </w:r>
      <w:r>
        <w:rPr>
          <w:w w:val="107"/>
        </w:rPr>
        <w:t>de</w:t>
      </w:r>
      <w:r>
        <w:rPr/>
        <w:t> </w:t>
      </w:r>
      <w:r>
        <w:rPr>
          <w:spacing w:val="-12"/>
        </w:rPr>
        <w:t> </w:t>
      </w:r>
      <w:r>
        <w:rPr>
          <w:w w:val="110"/>
        </w:rPr>
        <w:t>gobernanza</w:t>
      </w:r>
      <w:r>
        <w:rPr/>
        <w:t> </w:t>
      </w:r>
      <w:r>
        <w:rPr>
          <w:spacing w:val="-12"/>
        </w:rPr>
        <w:t> </w:t>
      </w:r>
      <w:r>
        <w:rPr>
          <w:w w:val="109"/>
        </w:rPr>
        <w:t>corporativa</w:t>
      </w:r>
      <w:r>
        <w:rPr/>
        <w:t> </w:t>
      </w:r>
      <w:r>
        <w:rPr>
          <w:spacing w:val="-12"/>
        </w:rPr>
        <w:t> </w:t>
      </w:r>
      <w:r>
        <w:rPr>
          <w:w w:val="108"/>
        </w:rPr>
        <w:t>en</w:t>
      </w:r>
      <w:r>
        <w:rPr/>
        <w:t> </w:t>
      </w:r>
      <w:r>
        <w:rPr>
          <w:spacing w:val="-12"/>
        </w:rPr>
        <w:t> </w:t>
      </w:r>
      <w:r>
        <w:rPr>
          <w:w w:val="107"/>
        </w:rPr>
        <w:t>varios</w:t>
      </w:r>
      <w:r>
        <w:rPr/>
        <w:t> </w:t>
      </w:r>
      <w:r>
        <w:rPr>
          <w:spacing w:val="-12"/>
        </w:rPr>
        <w:t> </w:t>
      </w:r>
      <w:r>
        <w:rPr>
          <w:w w:val="108"/>
        </w:rPr>
        <w:t>países</w:t>
      </w:r>
      <w:r>
        <w:rPr/>
        <w:t> </w:t>
      </w:r>
      <w:r>
        <w:rPr>
          <w:spacing w:val="-12"/>
        </w:rPr>
        <w:t> </w:t>
      </w:r>
      <w:r>
        <w:rPr>
          <w:w w:val="107"/>
        </w:rPr>
        <w:t>de</w:t>
      </w:r>
      <w:r>
        <w:rPr/>
        <w:t> </w:t>
      </w:r>
      <w:r>
        <w:rPr>
          <w:spacing w:val="-12"/>
        </w:rPr>
        <w:t> </w:t>
      </w:r>
      <w:r>
        <w:rPr>
          <w:w w:val="114"/>
        </w:rPr>
        <w:t>África,</w:t>
      </w:r>
      <w:r>
        <w:rPr/>
        <w:t> </w:t>
      </w:r>
      <w:r>
        <w:rPr>
          <w:spacing w:val="-12"/>
        </w:rPr>
        <w:t> </w:t>
      </w:r>
      <w:r>
        <w:rPr>
          <w:w w:val="139"/>
        </w:rPr>
        <w:t>a</w:t>
      </w:r>
      <w:r>
        <w:rPr>
          <w:w w:val="111"/>
        </w:rPr>
        <w:t>mérica</w:t>
      </w:r>
      <w:r>
        <w:rPr/>
        <w:t> </w:t>
      </w:r>
      <w:r>
        <w:rPr>
          <w:spacing w:val="-12"/>
        </w:rPr>
        <w:t> </w:t>
      </w:r>
      <w:r>
        <w:rPr>
          <w:w w:val="243"/>
        </w:rPr>
        <w:t>l</w:t>
      </w:r>
      <w:r>
        <w:rPr>
          <w:w w:val="111"/>
        </w:rPr>
        <w:t>at</w:t>
      </w:r>
      <w:r>
        <w:rPr>
          <w:spacing w:val="-1"/>
          <w:w w:val="111"/>
        </w:rPr>
        <w:t>i</w:t>
      </w:r>
      <w:r>
        <w:rPr>
          <w:w w:val="102"/>
        </w:rPr>
        <w:t>- </w:t>
      </w:r>
      <w:r>
        <w:rPr>
          <w:w w:val="110"/>
        </w:rPr>
        <w:t>na, Europa, asia y Medio oriente</w:t>
      </w:r>
      <w:r>
        <w:rPr>
          <w:w w:val="110"/>
          <w:position w:val="6"/>
          <w:sz w:val="11"/>
        </w:rPr>
        <w:t>28 </w:t>
      </w:r>
      <w:r>
        <w:rPr>
          <w:w w:val="110"/>
        </w:rPr>
        <w:t>(CiPE, </w:t>
      </w:r>
      <w:r>
        <w:rPr>
          <w:i/>
          <w:w w:val="110"/>
        </w:rPr>
        <w:t>Annual Report</w:t>
      </w:r>
      <w:r>
        <w:rPr>
          <w:w w:val="110"/>
        </w:rPr>
        <w:t>, 2007-2013). Para la identificación de los programas, ver anexo, Cuadro  </w:t>
      </w:r>
      <w:r>
        <w:rPr>
          <w:spacing w:val="35"/>
          <w:w w:val="110"/>
        </w:rPr>
        <w:t> </w:t>
      </w:r>
      <w:r>
        <w:rPr>
          <w:w w:val="110"/>
        </w:rPr>
        <w:t>3.</w:t>
      </w:r>
    </w:p>
    <w:p>
      <w:pPr>
        <w:pStyle w:val="BodyText"/>
        <w:spacing w:line="252" w:lineRule="auto"/>
        <w:ind w:left="330" w:right="41" w:firstLine="396"/>
      </w:pPr>
      <w:r>
        <w:rPr>
          <w:w w:val="110"/>
        </w:rPr>
        <w:t>a continuación se presenta información más detallada sobre las organizaciones y los programas de gobernanza corporativa  apoyadas</w:t>
      </w:r>
    </w:p>
    <w:p>
      <w:pPr>
        <w:pStyle w:val="BodyText"/>
        <w:spacing w:before="9"/>
        <w:rPr>
          <w:sz w:val="29"/>
        </w:rPr>
      </w:pPr>
      <w:r>
        <w:rPr/>
        <w:pict>
          <v:line style="position:absolute;mso-position-horizontal-relative:page;mso-position-vertical-relative:paragraph;z-index:5800;mso-wrap-distance-left:0;mso-wrap-distance-right:0" from="76.5354pt,19.661034pt" to="104.8814pt,19.661034pt" stroked="true" strokeweight=".5pt" strokecolor="#000000">
            <w10:wrap type="topAndBottom"/>
          </v:line>
        </w:pict>
      </w:r>
    </w:p>
    <w:p>
      <w:pPr>
        <w:pStyle w:val="ListParagraph"/>
        <w:numPr>
          <w:ilvl w:val="0"/>
          <w:numId w:val="28"/>
        </w:numPr>
        <w:tabs>
          <w:tab w:pos="586" w:val="left" w:leader="none"/>
        </w:tabs>
        <w:spacing w:line="242" w:lineRule="auto" w:before="89" w:after="0"/>
        <w:ind w:left="330" w:right="118" w:firstLine="0"/>
        <w:jc w:val="both"/>
        <w:rPr>
          <w:i/>
          <w:sz w:val="16"/>
        </w:rPr>
      </w:pPr>
      <w:r>
        <w:rPr>
          <w:w w:val="238"/>
          <w:sz w:val="16"/>
        </w:rPr>
        <w:t>l</w:t>
      </w:r>
      <w:r>
        <w:rPr>
          <w:w w:val="105"/>
          <w:sz w:val="16"/>
        </w:rPr>
        <w:t>os</w:t>
      </w:r>
      <w:r>
        <w:rPr>
          <w:sz w:val="16"/>
        </w:rPr>
        <w:t> </w:t>
      </w:r>
      <w:r>
        <w:rPr>
          <w:spacing w:val="-11"/>
          <w:sz w:val="16"/>
        </w:rPr>
        <w:t> </w:t>
      </w:r>
      <w:r>
        <w:rPr>
          <w:w w:val="106"/>
          <w:sz w:val="16"/>
        </w:rPr>
        <w:t>autores</w:t>
      </w:r>
      <w:r>
        <w:rPr>
          <w:sz w:val="16"/>
        </w:rPr>
        <w:t> </w:t>
      </w:r>
      <w:r>
        <w:rPr>
          <w:spacing w:val="-11"/>
          <w:sz w:val="16"/>
        </w:rPr>
        <w:t> </w:t>
      </w:r>
      <w:r>
        <w:rPr>
          <w:w w:val="106"/>
          <w:sz w:val="16"/>
        </w:rPr>
        <w:t>están</w:t>
      </w:r>
      <w:r>
        <w:rPr>
          <w:sz w:val="16"/>
        </w:rPr>
        <w:t> </w:t>
      </w:r>
      <w:r>
        <w:rPr>
          <w:spacing w:val="-11"/>
          <w:sz w:val="16"/>
        </w:rPr>
        <w:t> </w:t>
      </w:r>
      <w:r>
        <w:rPr>
          <w:w w:val="108"/>
          <w:sz w:val="16"/>
        </w:rPr>
        <w:t>vinculados</w:t>
      </w:r>
      <w:r>
        <w:rPr>
          <w:sz w:val="16"/>
        </w:rPr>
        <w:t> </w:t>
      </w:r>
      <w:r>
        <w:rPr>
          <w:spacing w:val="-11"/>
          <w:sz w:val="16"/>
        </w:rPr>
        <w:t> </w:t>
      </w:r>
      <w:r>
        <w:rPr>
          <w:w w:val="109"/>
          <w:sz w:val="16"/>
        </w:rPr>
        <w:t>al</w:t>
      </w:r>
      <w:r>
        <w:rPr>
          <w:sz w:val="16"/>
        </w:rPr>
        <w:t> </w:t>
      </w:r>
      <w:r>
        <w:rPr>
          <w:spacing w:val="-11"/>
          <w:sz w:val="16"/>
        </w:rPr>
        <w:t> </w:t>
      </w:r>
      <w:r>
        <w:rPr>
          <w:w w:val="121"/>
          <w:sz w:val="16"/>
        </w:rPr>
        <w:t>C</w:t>
      </w:r>
      <w:r>
        <w:rPr>
          <w:w w:val="140"/>
          <w:sz w:val="16"/>
        </w:rPr>
        <w:t>i</w:t>
      </w:r>
      <w:r>
        <w:rPr>
          <w:w w:val="118"/>
          <w:sz w:val="16"/>
        </w:rPr>
        <w:t>PE</w:t>
      </w:r>
      <w:r>
        <w:rPr>
          <w:w w:val="105"/>
          <w:sz w:val="16"/>
        </w:rPr>
        <w:t>:</w:t>
      </w:r>
      <w:r>
        <w:rPr>
          <w:sz w:val="16"/>
        </w:rPr>
        <w:t> </w:t>
      </w:r>
      <w:r>
        <w:rPr>
          <w:spacing w:val="-11"/>
          <w:sz w:val="16"/>
        </w:rPr>
        <w:t> </w:t>
      </w:r>
      <w:r>
        <w:rPr>
          <w:w w:val="146"/>
          <w:sz w:val="16"/>
        </w:rPr>
        <w:t>s</w:t>
      </w:r>
      <w:r>
        <w:rPr>
          <w:w w:val="107"/>
          <w:sz w:val="16"/>
        </w:rPr>
        <w:t>hkolnikov</w:t>
      </w:r>
      <w:r>
        <w:rPr>
          <w:sz w:val="16"/>
        </w:rPr>
        <w:t> </w:t>
      </w:r>
      <w:r>
        <w:rPr>
          <w:spacing w:val="-11"/>
          <w:sz w:val="16"/>
        </w:rPr>
        <w:t> </w:t>
      </w:r>
      <w:r>
        <w:rPr>
          <w:w w:val="102"/>
          <w:sz w:val="16"/>
        </w:rPr>
        <w:t>es</w:t>
      </w:r>
      <w:r>
        <w:rPr>
          <w:sz w:val="16"/>
        </w:rPr>
        <w:t> </w:t>
      </w:r>
      <w:r>
        <w:rPr>
          <w:spacing w:val="-11"/>
          <w:sz w:val="16"/>
        </w:rPr>
        <w:t> </w:t>
      </w:r>
      <w:r>
        <w:rPr>
          <w:i/>
          <w:w w:val="110"/>
          <w:sz w:val="16"/>
        </w:rPr>
        <w:t>Senior</w:t>
      </w:r>
      <w:r>
        <w:rPr>
          <w:i/>
          <w:sz w:val="16"/>
        </w:rPr>
        <w:t> </w:t>
      </w:r>
      <w:r>
        <w:rPr>
          <w:i/>
          <w:spacing w:val="-11"/>
          <w:sz w:val="16"/>
        </w:rPr>
        <w:t> </w:t>
      </w:r>
      <w:r>
        <w:rPr>
          <w:i/>
          <w:w w:val="103"/>
          <w:sz w:val="16"/>
        </w:rPr>
        <w:t>Program</w:t>
      </w:r>
      <w:r>
        <w:rPr>
          <w:i/>
          <w:sz w:val="16"/>
        </w:rPr>
        <w:t> </w:t>
      </w:r>
      <w:r>
        <w:rPr>
          <w:i/>
          <w:spacing w:val="-11"/>
          <w:sz w:val="16"/>
        </w:rPr>
        <w:t> </w:t>
      </w:r>
      <w:r>
        <w:rPr>
          <w:i/>
          <w:w w:val="153"/>
          <w:sz w:val="16"/>
        </w:rPr>
        <w:t>o</w:t>
      </w:r>
      <w:r>
        <w:rPr>
          <w:i/>
          <w:spacing w:val="-3"/>
          <w:w w:val="107"/>
          <w:sz w:val="16"/>
        </w:rPr>
        <w:t>f</w:t>
      </w:r>
      <w:r>
        <w:rPr>
          <w:i/>
          <w:w w:val="102"/>
          <w:sz w:val="16"/>
        </w:rPr>
        <w:t>ficer</w:t>
      </w:r>
      <w:r>
        <w:rPr>
          <w:i/>
          <w:sz w:val="16"/>
        </w:rPr>
        <w:t> </w:t>
      </w:r>
      <w:r>
        <w:rPr>
          <w:i/>
          <w:spacing w:val="-11"/>
          <w:sz w:val="16"/>
        </w:rPr>
        <w:t> </w:t>
      </w:r>
      <w:r>
        <w:rPr>
          <w:i/>
          <w:w w:val="104"/>
          <w:sz w:val="16"/>
        </w:rPr>
        <w:t>for</w:t>
      </w:r>
      <w:r>
        <w:rPr>
          <w:i/>
          <w:w w:val="104"/>
          <w:sz w:val="16"/>
        </w:rPr>
        <w:t> </w:t>
      </w:r>
      <w:r>
        <w:rPr>
          <w:i/>
          <w:w w:val="110"/>
          <w:sz w:val="16"/>
        </w:rPr>
        <w:t>Global</w:t>
      </w:r>
      <w:r>
        <w:rPr>
          <w:i/>
          <w:spacing w:val="-3"/>
          <w:w w:val="110"/>
          <w:sz w:val="16"/>
        </w:rPr>
        <w:t> </w:t>
      </w:r>
      <w:r>
        <w:rPr>
          <w:i/>
          <w:w w:val="110"/>
          <w:sz w:val="16"/>
        </w:rPr>
        <w:t>Programs</w:t>
      </w:r>
      <w:r>
        <w:rPr>
          <w:i/>
          <w:spacing w:val="-3"/>
          <w:w w:val="110"/>
          <w:sz w:val="16"/>
        </w:rPr>
        <w:t> </w:t>
      </w:r>
      <w:r>
        <w:rPr>
          <w:w w:val="110"/>
          <w:sz w:val="16"/>
        </w:rPr>
        <w:t>y</w:t>
      </w:r>
      <w:r>
        <w:rPr>
          <w:spacing w:val="-3"/>
          <w:w w:val="110"/>
          <w:sz w:val="16"/>
        </w:rPr>
        <w:t> </w:t>
      </w:r>
      <w:r>
        <w:rPr>
          <w:w w:val="110"/>
          <w:sz w:val="16"/>
        </w:rPr>
        <w:t>Wilson</w:t>
      </w:r>
      <w:r>
        <w:rPr>
          <w:spacing w:val="-3"/>
          <w:w w:val="110"/>
          <w:sz w:val="16"/>
        </w:rPr>
        <w:t> </w:t>
      </w:r>
      <w:r>
        <w:rPr>
          <w:w w:val="110"/>
          <w:sz w:val="16"/>
        </w:rPr>
        <w:t>es</w:t>
      </w:r>
      <w:r>
        <w:rPr>
          <w:spacing w:val="-3"/>
          <w:w w:val="110"/>
          <w:sz w:val="16"/>
        </w:rPr>
        <w:t> </w:t>
      </w:r>
      <w:r>
        <w:rPr>
          <w:i/>
          <w:w w:val="110"/>
          <w:sz w:val="16"/>
        </w:rPr>
        <w:t>Regional</w:t>
      </w:r>
      <w:r>
        <w:rPr>
          <w:i/>
          <w:spacing w:val="-3"/>
          <w:w w:val="110"/>
          <w:sz w:val="16"/>
        </w:rPr>
        <w:t> </w:t>
      </w:r>
      <w:r>
        <w:rPr>
          <w:i/>
          <w:w w:val="110"/>
          <w:sz w:val="16"/>
        </w:rPr>
        <w:t>Director</w:t>
      </w:r>
      <w:r>
        <w:rPr>
          <w:i/>
          <w:spacing w:val="-3"/>
          <w:w w:val="110"/>
          <w:sz w:val="16"/>
        </w:rPr>
        <w:t> </w:t>
      </w:r>
      <w:r>
        <w:rPr>
          <w:i/>
          <w:w w:val="110"/>
          <w:sz w:val="16"/>
        </w:rPr>
        <w:t>for</w:t>
      </w:r>
      <w:r>
        <w:rPr>
          <w:i/>
          <w:spacing w:val="-3"/>
          <w:w w:val="110"/>
          <w:sz w:val="16"/>
        </w:rPr>
        <w:t> </w:t>
      </w:r>
      <w:r>
        <w:rPr>
          <w:i/>
          <w:w w:val="110"/>
          <w:sz w:val="16"/>
        </w:rPr>
        <w:t>Eurasia</w:t>
      </w:r>
      <w:r>
        <w:rPr>
          <w:i/>
          <w:spacing w:val="-3"/>
          <w:w w:val="110"/>
          <w:sz w:val="16"/>
        </w:rPr>
        <w:t> </w:t>
      </w:r>
      <w:r>
        <w:rPr>
          <w:i/>
          <w:w w:val="110"/>
          <w:sz w:val="16"/>
        </w:rPr>
        <w:t>and</w:t>
      </w:r>
      <w:r>
        <w:rPr>
          <w:i/>
          <w:spacing w:val="-3"/>
          <w:w w:val="110"/>
          <w:sz w:val="16"/>
        </w:rPr>
        <w:t> </w:t>
      </w:r>
      <w:r>
        <w:rPr>
          <w:i/>
          <w:w w:val="110"/>
          <w:sz w:val="16"/>
        </w:rPr>
        <w:t>South</w:t>
      </w:r>
      <w:r>
        <w:rPr>
          <w:i/>
          <w:spacing w:val="-3"/>
          <w:w w:val="110"/>
          <w:sz w:val="16"/>
        </w:rPr>
        <w:t> </w:t>
      </w:r>
      <w:r>
        <w:rPr>
          <w:i/>
          <w:w w:val="110"/>
          <w:sz w:val="16"/>
        </w:rPr>
        <w:t>Asia.</w:t>
      </w:r>
    </w:p>
    <w:p>
      <w:pPr>
        <w:pStyle w:val="ListParagraph"/>
        <w:numPr>
          <w:ilvl w:val="0"/>
          <w:numId w:val="28"/>
        </w:numPr>
        <w:tabs>
          <w:tab w:pos="586" w:val="left" w:leader="none"/>
        </w:tabs>
        <w:spacing w:line="242" w:lineRule="auto" w:before="57" w:after="0"/>
        <w:ind w:left="330" w:right="182" w:firstLine="0"/>
        <w:jc w:val="both"/>
        <w:rPr>
          <w:sz w:val="16"/>
        </w:rPr>
      </w:pPr>
      <w:r>
        <w:rPr>
          <w:w w:val="115"/>
          <w:sz w:val="16"/>
        </w:rPr>
        <w:t>Ghana,</w:t>
      </w:r>
      <w:r>
        <w:rPr>
          <w:spacing w:val="-11"/>
          <w:w w:val="115"/>
          <w:sz w:val="16"/>
        </w:rPr>
        <w:t> </w:t>
      </w:r>
      <w:r>
        <w:rPr>
          <w:w w:val="115"/>
          <w:sz w:val="16"/>
        </w:rPr>
        <w:t>Kenia,</w:t>
      </w:r>
      <w:r>
        <w:rPr>
          <w:spacing w:val="-11"/>
          <w:w w:val="115"/>
          <w:sz w:val="16"/>
        </w:rPr>
        <w:t> </w:t>
      </w:r>
      <w:r>
        <w:rPr>
          <w:w w:val="115"/>
          <w:sz w:val="16"/>
        </w:rPr>
        <w:t>uganda,</w:t>
      </w:r>
      <w:r>
        <w:rPr>
          <w:spacing w:val="-11"/>
          <w:w w:val="115"/>
          <w:sz w:val="16"/>
        </w:rPr>
        <w:t> </w:t>
      </w:r>
      <w:r>
        <w:rPr>
          <w:w w:val="115"/>
          <w:sz w:val="16"/>
        </w:rPr>
        <w:t>Zambia,</w:t>
      </w:r>
      <w:r>
        <w:rPr>
          <w:spacing w:val="-11"/>
          <w:w w:val="115"/>
          <w:sz w:val="16"/>
        </w:rPr>
        <w:t> </w:t>
      </w:r>
      <w:r>
        <w:rPr>
          <w:w w:val="115"/>
          <w:sz w:val="16"/>
        </w:rPr>
        <w:t>bangladesh,</w:t>
      </w:r>
      <w:r>
        <w:rPr>
          <w:spacing w:val="-11"/>
          <w:w w:val="115"/>
          <w:sz w:val="16"/>
        </w:rPr>
        <w:t> </w:t>
      </w:r>
      <w:r>
        <w:rPr>
          <w:w w:val="115"/>
          <w:sz w:val="16"/>
        </w:rPr>
        <w:t>China,</w:t>
      </w:r>
      <w:r>
        <w:rPr>
          <w:spacing w:val="-11"/>
          <w:w w:val="115"/>
          <w:sz w:val="16"/>
        </w:rPr>
        <w:t> </w:t>
      </w:r>
      <w:r>
        <w:rPr>
          <w:w w:val="115"/>
          <w:sz w:val="16"/>
        </w:rPr>
        <w:t>Filipinas,</w:t>
      </w:r>
      <w:r>
        <w:rPr>
          <w:spacing w:val="-11"/>
          <w:w w:val="115"/>
          <w:sz w:val="16"/>
        </w:rPr>
        <w:t> </w:t>
      </w:r>
      <w:r>
        <w:rPr>
          <w:w w:val="115"/>
          <w:sz w:val="16"/>
        </w:rPr>
        <w:t>indonesia,</w:t>
      </w:r>
      <w:r>
        <w:rPr>
          <w:spacing w:val="-11"/>
          <w:w w:val="115"/>
          <w:sz w:val="16"/>
        </w:rPr>
        <w:t> </w:t>
      </w:r>
      <w:r>
        <w:rPr>
          <w:w w:val="115"/>
          <w:sz w:val="16"/>
        </w:rPr>
        <w:t>Pakis- tán,</w:t>
      </w:r>
      <w:r>
        <w:rPr>
          <w:spacing w:val="-4"/>
          <w:w w:val="115"/>
          <w:sz w:val="16"/>
        </w:rPr>
        <w:t> </w:t>
      </w:r>
      <w:r>
        <w:rPr>
          <w:w w:val="115"/>
          <w:sz w:val="16"/>
        </w:rPr>
        <w:t>albania,</w:t>
      </w:r>
      <w:r>
        <w:rPr>
          <w:spacing w:val="-4"/>
          <w:w w:val="115"/>
          <w:sz w:val="16"/>
        </w:rPr>
        <w:t> </w:t>
      </w:r>
      <w:r>
        <w:rPr>
          <w:w w:val="115"/>
          <w:sz w:val="16"/>
        </w:rPr>
        <w:t>Kosovo,</w:t>
      </w:r>
      <w:r>
        <w:rPr>
          <w:spacing w:val="-4"/>
          <w:w w:val="115"/>
          <w:sz w:val="16"/>
        </w:rPr>
        <w:t> </w:t>
      </w:r>
      <w:r>
        <w:rPr>
          <w:w w:val="115"/>
          <w:sz w:val="16"/>
        </w:rPr>
        <w:t>serbia,</w:t>
      </w:r>
      <w:r>
        <w:rPr>
          <w:spacing w:val="-4"/>
          <w:w w:val="115"/>
          <w:sz w:val="16"/>
        </w:rPr>
        <w:t> </w:t>
      </w:r>
      <w:r>
        <w:rPr>
          <w:w w:val="115"/>
          <w:sz w:val="16"/>
        </w:rPr>
        <w:t>Kirguistán,</w:t>
      </w:r>
      <w:r>
        <w:rPr>
          <w:spacing w:val="-4"/>
          <w:w w:val="115"/>
          <w:sz w:val="16"/>
        </w:rPr>
        <w:t> </w:t>
      </w:r>
      <w:r>
        <w:rPr>
          <w:w w:val="115"/>
          <w:sz w:val="16"/>
        </w:rPr>
        <w:t>rusia,</w:t>
      </w:r>
      <w:r>
        <w:rPr>
          <w:spacing w:val="-4"/>
          <w:w w:val="115"/>
          <w:sz w:val="16"/>
        </w:rPr>
        <w:t> </w:t>
      </w:r>
      <w:r>
        <w:rPr>
          <w:w w:val="115"/>
          <w:sz w:val="16"/>
        </w:rPr>
        <w:t>argentina,</w:t>
      </w:r>
      <w:r>
        <w:rPr>
          <w:spacing w:val="-4"/>
          <w:w w:val="115"/>
          <w:sz w:val="16"/>
        </w:rPr>
        <w:t> </w:t>
      </w:r>
      <w:r>
        <w:rPr>
          <w:w w:val="115"/>
          <w:sz w:val="16"/>
        </w:rPr>
        <w:t>brasil,</w:t>
      </w:r>
      <w:r>
        <w:rPr>
          <w:spacing w:val="-4"/>
          <w:w w:val="115"/>
          <w:sz w:val="16"/>
        </w:rPr>
        <w:t> </w:t>
      </w:r>
      <w:r>
        <w:rPr>
          <w:w w:val="115"/>
          <w:sz w:val="16"/>
        </w:rPr>
        <w:t>Chile,</w:t>
      </w:r>
      <w:r>
        <w:rPr>
          <w:spacing w:val="-4"/>
          <w:w w:val="115"/>
          <w:sz w:val="16"/>
        </w:rPr>
        <w:t> </w:t>
      </w:r>
      <w:r>
        <w:rPr>
          <w:w w:val="115"/>
          <w:sz w:val="16"/>
        </w:rPr>
        <w:t>Colombia, </w:t>
      </w:r>
      <w:r>
        <w:rPr>
          <w:w w:val="112"/>
          <w:sz w:val="16"/>
        </w:rPr>
        <w:t>México,</w:t>
      </w:r>
      <w:r>
        <w:rPr>
          <w:spacing w:val="9"/>
          <w:sz w:val="16"/>
        </w:rPr>
        <w:t> </w:t>
      </w:r>
      <w:r>
        <w:rPr>
          <w:w w:val="109"/>
          <w:sz w:val="16"/>
        </w:rPr>
        <w:t>Perú,</w:t>
      </w:r>
      <w:r>
        <w:rPr>
          <w:spacing w:val="9"/>
          <w:sz w:val="16"/>
        </w:rPr>
        <w:t> </w:t>
      </w:r>
      <w:r>
        <w:rPr>
          <w:w w:val="238"/>
          <w:sz w:val="16"/>
        </w:rPr>
        <w:t>l</w:t>
      </w:r>
      <w:r>
        <w:rPr>
          <w:w w:val="111"/>
          <w:sz w:val="16"/>
        </w:rPr>
        <w:t>íbano,</w:t>
      </w:r>
      <w:r>
        <w:rPr>
          <w:spacing w:val="9"/>
          <w:sz w:val="16"/>
        </w:rPr>
        <w:t> </w:t>
      </w:r>
      <w:r>
        <w:rPr>
          <w:w w:val="110"/>
          <w:sz w:val="16"/>
        </w:rPr>
        <w:t>Marreucos,</w:t>
      </w:r>
      <w:r>
        <w:rPr>
          <w:spacing w:val="9"/>
          <w:sz w:val="16"/>
        </w:rPr>
        <w:t> </w:t>
      </w:r>
      <w:r>
        <w:rPr>
          <w:spacing w:val="-15"/>
          <w:w w:val="191"/>
          <w:sz w:val="16"/>
        </w:rPr>
        <w:t>t</w:t>
      </w:r>
      <w:r>
        <w:rPr>
          <w:w w:val="108"/>
          <w:sz w:val="16"/>
        </w:rPr>
        <w:t>urquía</w:t>
      </w:r>
      <w:r>
        <w:rPr>
          <w:spacing w:val="9"/>
          <w:sz w:val="16"/>
        </w:rPr>
        <w:t> </w:t>
      </w:r>
      <w:r>
        <w:rPr>
          <w:w w:val="102"/>
          <w:sz w:val="16"/>
        </w:rPr>
        <w:t>y</w:t>
      </w:r>
      <w:r>
        <w:rPr>
          <w:spacing w:val="9"/>
          <w:sz w:val="16"/>
        </w:rPr>
        <w:t> </w:t>
      </w:r>
      <w:r>
        <w:rPr>
          <w:w w:val="106"/>
          <w:sz w:val="16"/>
        </w:rPr>
        <w:t>los</w:t>
      </w:r>
      <w:r>
        <w:rPr>
          <w:spacing w:val="9"/>
          <w:sz w:val="16"/>
        </w:rPr>
        <w:t> </w:t>
      </w:r>
      <w:r>
        <w:rPr>
          <w:spacing w:val="-15"/>
          <w:w w:val="191"/>
          <w:sz w:val="16"/>
        </w:rPr>
        <w:t>t</w:t>
      </w:r>
      <w:r>
        <w:rPr>
          <w:w w:val="105"/>
          <w:sz w:val="16"/>
        </w:rPr>
        <w:t>erritorios</w:t>
      </w:r>
      <w:r>
        <w:rPr>
          <w:spacing w:val="9"/>
          <w:sz w:val="16"/>
        </w:rPr>
        <w:t> </w:t>
      </w:r>
      <w:r>
        <w:rPr>
          <w:w w:val="108"/>
          <w:sz w:val="16"/>
        </w:rPr>
        <w:t>Palestinos.</w:t>
      </w:r>
    </w:p>
    <w:p>
      <w:pPr>
        <w:spacing w:after="0" w:line="242" w:lineRule="auto"/>
        <w:jc w:val="both"/>
        <w:rPr>
          <w:sz w:val="16"/>
        </w:rPr>
        <w:sectPr>
          <w:footerReference w:type="even" r:id="rId326"/>
          <w:footerReference w:type="default" r:id="rId327"/>
          <w:pgSz w:w="8790" w:h="12760"/>
          <w:pgMar w:footer="725" w:header="695" w:top="880" w:bottom="920" w:left="1200" w:right="900"/>
          <w:pgNumType w:start="232"/>
        </w:sectPr>
      </w:pPr>
    </w:p>
    <w:p>
      <w:pPr>
        <w:pStyle w:val="BodyText"/>
        <w:spacing w:before="9"/>
        <w:rPr>
          <w:sz w:val="28"/>
        </w:rPr>
      </w:pPr>
    </w:p>
    <w:p>
      <w:pPr>
        <w:pStyle w:val="BodyText"/>
        <w:spacing w:line="252" w:lineRule="auto" w:before="73"/>
        <w:ind w:left="120" w:right="868"/>
        <w:jc w:val="both"/>
      </w:pPr>
      <w:r>
        <w:rPr>
          <w:w w:val="108"/>
        </w:rPr>
        <w:t>por</w:t>
      </w:r>
      <w:r>
        <w:rPr>
          <w:spacing w:val="13"/>
        </w:rPr>
        <w:t> </w:t>
      </w:r>
      <w:r>
        <w:rPr>
          <w:w w:val="107"/>
        </w:rPr>
        <w:t>el</w:t>
      </w:r>
      <w:r>
        <w:rPr>
          <w:spacing w:val="13"/>
        </w:rPr>
        <w:t> </w:t>
      </w:r>
      <w:r>
        <w:rPr>
          <w:w w:val="124"/>
        </w:rPr>
        <w:t>C</w:t>
      </w:r>
      <w:r>
        <w:rPr>
          <w:w w:val="142"/>
        </w:rPr>
        <w:t>i</w:t>
      </w:r>
      <w:r>
        <w:rPr>
          <w:w w:val="120"/>
        </w:rPr>
        <w:t>PE</w:t>
      </w:r>
      <w:r>
        <w:rPr>
          <w:spacing w:val="13"/>
        </w:rPr>
        <w:t> </w:t>
      </w:r>
      <w:r>
        <w:rPr>
          <w:w w:val="108"/>
        </w:rPr>
        <w:t>en</w:t>
      </w:r>
      <w:r>
        <w:rPr>
          <w:spacing w:val="13"/>
        </w:rPr>
        <w:t> </w:t>
      </w:r>
      <w:r>
        <w:rPr>
          <w:w w:val="139"/>
        </w:rPr>
        <w:t>a</w:t>
      </w:r>
      <w:r>
        <w:rPr>
          <w:w w:val="111"/>
        </w:rPr>
        <w:t>mérica</w:t>
      </w:r>
      <w:r>
        <w:rPr>
          <w:spacing w:val="13"/>
        </w:rPr>
        <w:t> </w:t>
      </w:r>
      <w:r>
        <w:rPr>
          <w:w w:val="243"/>
        </w:rPr>
        <w:t>l</w:t>
      </w:r>
      <w:r>
        <w:rPr>
          <w:w w:val="111"/>
        </w:rPr>
        <w:t>atina</w:t>
      </w:r>
      <w:r>
        <w:rPr>
          <w:spacing w:val="13"/>
        </w:rPr>
        <w:t> </w:t>
      </w:r>
      <w:r>
        <w:rPr>
          <w:w w:val="108"/>
        </w:rPr>
        <w:t>en</w:t>
      </w:r>
      <w:r>
        <w:rPr>
          <w:spacing w:val="13"/>
        </w:rPr>
        <w:t> </w:t>
      </w:r>
      <w:r>
        <w:rPr>
          <w:w w:val="108"/>
        </w:rPr>
        <w:t>período</w:t>
      </w:r>
      <w:r>
        <w:rPr>
          <w:spacing w:val="13"/>
        </w:rPr>
        <w:t> </w:t>
      </w:r>
      <w:r>
        <w:rPr>
          <w:w w:val="108"/>
        </w:rPr>
        <w:t>reciente:</w:t>
      </w:r>
      <w:r>
        <w:rPr>
          <w:spacing w:val="13"/>
        </w:rPr>
        <w:t> </w:t>
      </w:r>
      <w:r>
        <w:rPr>
          <w:w w:val="139"/>
        </w:rPr>
        <w:t>a</w:t>
      </w:r>
      <w:r>
        <w:rPr>
          <w:w w:val="111"/>
        </w:rPr>
        <w:t>rgentina,</w:t>
      </w:r>
      <w:r>
        <w:rPr>
          <w:spacing w:val="13"/>
        </w:rPr>
        <w:t> </w:t>
      </w:r>
      <w:r>
        <w:rPr>
          <w:w w:val="134"/>
        </w:rPr>
        <w:t>b</w:t>
      </w:r>
      <w:r>
        <w:rPr>
          <w:w w:val="112"/>
        </w:rPr>
        <w:t>rasil, </w:t>
      </w:r>
      <w:r>
        <w:rPr>
          <w:w w:val="115"/>
        </w:rPr>
        <w:t>Chile,</w:t>
      </w:r>
      <w:r>
        <w:rPr>
          <w:spacing w:val="-5"/>
          <w:w w:val="115"/>
        </w:rPr>
        <w:t> </w:t>
      </w:r>
      <w:r>
        <w:rPr>
          <w:w w:val="115"/>
        </w:rPr>
        <w:t>México,</w:t>
      </w:r>
      <w:r>
        <w:rPr>
          <w:spacing w:val="-5"/>
          <w:w w:val="115"/>
        </w:rPr>
        <w:t> </w:t>
      </w:r>
      <w:r>
        <w:rPr>
          <w:w w:val="115"/>
        </w:rPr>
        <w:t>Perú</w:t>
      </w:r>
      <w:r>
        <w:rPr>
          <w:spacing w:val="-5"/>
          <w:w w:val="115"/>
        </w:rPr>
        <w:t> </w:t>
      </w:r>
      <w:r>
        <w:rPr>
          <w:w w:val="115"/>
        </w:rPr>
        <w:t>y</w:t>
      </w:r>
      <w:r>
        <w:rPr>
          <w:spacing w:val="-5"/>
          <w:w w:val="115"/>
        </w:rPr>
        <w:t> </w:t>
      </w:r>
      <w:r>
        <w:rPr>
          <w:w w:val="115"/>
        </w:rPr>
        <w:t>un</w:t>
      </w:r>
      <w:r>
        <w:rPr>
          <w:spacing w:val="-5"/>
          <w:w w:val="115"/>
        </w:rPr>
        <w:t> </w:t>
      </w:r>
      <w:r>
        <w:rPr>
          <w:w w:val="115"/>
        </w:rPr>
        <w:t>programa</w:t>
      </w:r>
      <w:r>
        <w:rPr>
          <w:spacing w:val="-5"/>
          <w:w w:val="115"/>
        </w:rPr>
        <w:t> </w:t>
      </w:r>
      <w:r>
        <w:rPr>
          <w:w w:val="115"/>
        </w:rPr>
        <w:t>de</w:t>
      </w:r>
      <w:r>
        <w:rPr>
          <w:spacing w:val="-5"/>
          <w:w w:val="115"/>
        </w:rPr>
        <w:t> </w:t>
      </w:r>
      <w:r>
        <w:rPr>
          <w:w w:val="115"/>
        </w:rPr>
        <w:t>alcance</w:t>
      </w:r>
      <w:r>
        <w:rPr>
          <w:spacing w:val="-5"/>
          <w:w w:val="115"/>
        </w:rPr>
        <w:t> </w:t>
      </w:r>
      <w:r>
        <w:rPr>
          <w:w w:val="115"/>
        </w:rPr>
        <w:t>regional</w:t>
      </w:r>
      <w:r>
        <w:rPr>
          <w:spacing w:val="-5"/>
          <w:w w:val="115"/>
        </w:rPr>
        <w:t> </w:t>
      </w:r>
      <w:r>
        <w:rPr>
          <w:w w:val="115"/>
        </w:rPr>
        <w:t>que</w:t>
      </w:r>
      <w:r>
        <w:rPr>
          <w:spacing w:val="-5"/>
          <w:w w:val="115"/>
        </w:rPr>
        <w:t> </w:t>
      </w:r>
      <w:r>
        <w:rPr>
          <w:w w:val="115"/>
        </w:rPr>
        <w:t>incluye</w:t>
      </w:r>
      <w:r>
        <w:rPr>
          <w:spacing w:val="-5"/>
          <w:w w:val="115"/>
        </w:rPr>
        <w:t> </w:t>
      </w:r>
      <w:r>
        <w:rPr>
          <w:w w:val="115"/>
        </w:rPr>
        <w:t>a Colombia,</w:t>
      </w:r>
      <w:r>
        <w:rPr>
          <w:spacing w:val="-15"/>
          <w:w w:val="115"/>
        </w:rPr>
        <w:t> </w:t>
      </w:r>
      <w:r>
        <w:rPr>
          <w:w w:val="115"/>
        </w:rPr>
        <w:t>Ecuador</w:t>
      </w:r>
      <w:r>
        <w:rPr>
          <w:spacing w:val="-15"/>
          <w:w w:val="115"/>
        </w:rPr>
        <w:t> </w:t>
      </w:r>
      <w:r>
        <w:rPr>
          <w:w w:val="115"/>
        </w:rPr>
        <w:t>y</w:t>
      </w:r>
      <w:r>
        <w:rPr>
          <w:spacing w:val="-15"/>
          <w:w w:val="115"/>
        </w:rPr>
        <w:t> </w:t>
      </w:r>
      <w:r>
        <w:rPr>
          <w:w w:val="115"/>
        </w:rPr>
        <w:t>Venezuela</w:t>
      </w:r>
      <w:r>
        <w:rPr>
          <w:spacing w:val="-15"/>
          <w:w w:val="115"/>
        </w:rPr>
        <w:t> </w:t>
      </w:r>
      <w:r>
        <w:rPr>
          <w:w w:val="115"/>
        </w:rPr>
        <w:t>(de</w:t>
      </w:r>
      <w:r>
        <w:rPr>
          <w:spacing w:val="-15"/>
          <w:w w:val="115"/>
        </w:rPr>
        <w:t> </w:t>
      </w:r>
      <w:r>
        <w:rPr>
          <w:w w:val="115"/>
        </w:rPr>
        <w:t>acuerdo</w:t>
      </w:r>
      <w:r>
        <w:rPr>
          <w:spacing w:val="-15"/>
          <w:w w:val="115"/>
        </w:rPr>
        <w:t> </w:t>
      </w:r>
      <w:r>
        <w:rPr>
          <w:w w:val="115"/>
        </w:rPr>
        <w:t>al</w:t>
      </w:r>
      <w:r>
        <w:rPr>
          <w:spacing w:val="-15"/>
          <w:w w:val="115"/>
        </w:rPr>
        <w:t> </w:t>
      </w:r>
      <w:r>
        <w:rPr>
          <w:w w:val="115"/>
        </w:rPr>
        <w:t>Cuadro</w:t>
      </w:r>
      <w:r>
        <w:rPr>
          <w:spacing w:val="-15"/>
          <w:w w:val="115"/>
        </w:rPr>
        <w:t> </w:t>
      </w:r>
      <w:r>
        <w:rPr>
          <w:w w:val="115"/>
        </w:rPr>
        <w:t>1).</w:t>
      </w:r>
    </w:p>
    <w:p>
      <w:pPr>
        <w:pStyle w:val="BodyText"/>
        <w:spacing w:before="2"/>
      </w:pPr>
    </w:p>
    <w:p>
      <w:pPr>
        <w:spacing w:before="0"/>
        <w:ind w:left="972" w:right="1039" w:firstLine="0"/>
        <w:jc w:val="center"/>
        <w:rPr>
          <w:rFonts w:ascii="Arial"/>
          <w:b/>
          <w:sz w:val="17"/>
        </w:rPr>
      </w:pPr>
      <w:r>
        <w:rPr>
          <w:rFonts w:ascii="Arial"/>
          <w:b/>
          <w:w w:val="85"/>
          <w:sz w:val="17"/>
        </w:rPr>
        <w:t>Cuadro 1</w:t>
      </w:r>
    </w:p>
    <w:p>
      <w:pPr>
        <w:spacing w:line="249" w:lineRule="auto" w:before="8"/>
        <w:ind w:left="972" w:right="1040" w:firstLine="0"/>
        <w:jc w:val="center"/>
        <w:rPr>
          <w:rFonts w:ascii="Arial" w:hAnsi="Arial"/>
          <w:sz w:val="17"/>
        </w:rPr>
      </w:pPr>
      <w:r>
        <w:rPr>
          <w:rFonts w:ascii="Arial" w:hAnsi="Arial"/>
          <w:w w:val="85"/>
          <w:sz w:val="17"/>
        </w:rPr>
        <w:t>CIPE</w:t>
      </w:r>
      <w:r>
        <w:rPr>
          <w:rFonts w:ascii="Arial" w:hAnsi="Arial"/>
          <w:spacing w:val="-20"/>
          <w:w w:val="85"/>
          <w:sz w:val="17"/>
        </w:rPr>
        <w:t> </w:t>
      </w:r>
      <w:r>
        <w:rPr>
          <w:rFonts w:ascii="Arial" w:hAnsi="Arial"/>
          <w:w w:val="85"/>
          <w:sz w:val="17"/>
        </w:rPr>
        <w:t>y</w:t>
      </w:r>
      <w:r>
        <w:rPr>
          <w:rFonts w:ascii="Arial" w:hAnsi="Arial"/>
          <w:spacing w:val="-20"/>
          <w:w w:val="85"/>
          <w:sz w:val="17"/>
        </w:rPr>
        <w:t> </w:t>
      </w:r>
      <w:r>
        <w:rPr>
          <w:rFonts w:ascii="Arial" w:hAnsi="Arial"/>
          <w:w w:val="85"/>
          <w:sz w:val="17"/>
        </w:rPr>
        <w:t>la</w:t>
      </w:r>
      <w:r>
        <w:rPr>
          <w:rFonts w:ascii="Arial" w:hAnsi="Arial"/>
          <w:spacing w:val="-20"/>
          <w:w w:val="85"/>
          <w:sz w:val="17"/>
        </w:rPr>
        <w:t> </w:t>
      </w:r>
      <w:r>
        <w:rPr>
          <w:rFonts w:ascii="Arial" w:hAnsi="Arial"/>
          <w:w w:val="85"/>
          <w:sz w:val="17"/>
        </w:rPr>
        <w:t>gobernanza</w:t>
      </w:r>
      <w:r>
        <w:rPr>
          <w:rFonts w:ascii="Arial" w:hAnsi="Arial"/>
          <w:spacing w:val="-20"/>
          <w:w w:val="85"/>
          <w:sz w:val="17"/>
        </w:rPr>
        <w:t> </w:t>
      </w:r>
      <w:r>
        <w:rPr>
          <w:rFonts w:ascii="Arial" w:hAnsi="Arial"/>
          <w:w w:val="85"/>
          <w:sz w:val="17"/>
        </w:rPr>
        <w:t>corporativa</w:t>
      </w:r>
      <w:r>
        <w:rPr>
          <w:rFonts w:ascii="Arial" w:hAnsi="Arial"/>
          <w:spacing w:val="-20"/>
          <w:w w:val="85"/>
          <w:sz w:val="17"/>
        </w:rPr>
        <w:t> </w:t>
      </w:r>
      <w:r>
        <w:rPr>
          <w:rFonts w:ascii="Arial" w:hAnsi="Arial"/>
          <w:w w:val="85"/>
          <w:sz w:val="17"/>
        </w:rPr>
        <w:t>(GC)</w:t>
      </w:r>
      <w:r>
        <w:rPr>
          <w:rFonts w:ascii="Arial" w:hAnsi="Arial"/>
          <w:spacing w:val="-20"/>
          <w:w w:val="85"/>
          <w:sz w:val="17"/>
        </w:rPr>
        <w:t> </w:t>
      </w:r>
      <w:r>
        <w:rPr>
          <w:rFonts w:ascii="Arial" w:hAnsi="Arial"/>
          <w:w w:val="85"/>
          <w:sz w:val="17"/>
        </w:rPr>
        <w:t>-</w:t>
      </w:r>
      <w:r>
        <w:rPr>
          <w:rFonts w:ascii="Arial" w:hAnsi="Arial"/>
          <w:spacing w:val="-20"/>
          <w:w w:val="85"/>
          <w:sz w:val="17"/>
        </w:rPr>
        <w:t> </w:t>
      </w:r>
      <w:r>
        <w:rPr>
          <w:rFonts w:ascii="Arial" w:hAnsi="Arial"/>
          <w:w w:val="85"/>
          <w:sz w:val="17"/>
        </w:rPr>
        <w:t>Programas</w:t>
      </w:r>
      <w:r>
        <w:rPr>
          <w:rFonts w:ascii="Arial" w:hAnsi="Arial"/>
          <w:spacing w:val="-20"/>
          <w:w w:val="85"/>
          <w:sz w:val="17"/>
        </w:rPr>
        <w:t> </w:t>
      </w:r>
      <w:r>
        <w:rPr>
          <w:rFonts w:ascii="Arial" w:hAnsi="Arial"/>
          <w:w w:val="85"/>
          <w:sz w:val="17"/>
        </w:rPr>
        <w:t>y</w:t>
      </w:r>
      <w:r>
        <w:rPr>
          <w:rFonts w:ascii="Arial" w:hAnsi="Arial"/>
          <w:spacing w:val="-20"/>
          <w:w w:val="85"/>
          <w:sz w:val="17"/>
        </w:rPr>
        <w:t> </w:t>
      </w:r>
      <w:r>
        <w:rPr>
          <w:rFonts w:ascii="Arial" w:hAnsi="Arial"/>
          <w:w w:val="85"/>
          <w:sz w:val="17"/>
        </w:rPr>
        <w:t>organizaciones</w:t>
      </w:r>
      <w:r>
        <w:rPr>
          <w:rFonts w:ascii="Arial" w:hAnsi="Arial"/>
          <w:spacing w:val="-20"/>
          <w:w w:val="85"/>
          <w:sz w:val="17"/>
        </w:rPr>
        <w:t> </w:t>
      </w:r>
      <w:r>
        <w:rPr>
          <w:rFonts w:ascii="Arial" w:hAnsi="Arial"/>
          <w:w w:val="85"/>
          <w:sz w:val="17"/>
        </w:rPr>
        <w:t>asociadas</w:t>
      </w:r>
      <w:r>
        <w:rPr>
          <w:rFonts w:ascii="Arial" w:hAnsi="Arial"/>
          <w:spacing w:val="-20"/>
          <w:w w:val="85"/>
          <w:sz w:val="17"/>
        </w:rPr>
        <w:t> </w:t>
      </w:r>
      <w:r>
        <w:rPr>
          <w:rFonts w:ascii="Arial" w:hAnsi="Arial"/>
          <w:w w:val="85"/>
          <w:sz w:val="17"/>
        </w:rPr>
        <w:t>- América</w:t>
      </w:r>
      <w:r>
        <w:rPr>
          <w:rFonts w:ascii="Arial" w:hAnsi="Arial"/>
          <w:spacing w:val="-23"/>
          <w:w w:val="85"/>
          <w:sz w:val="17"/>
        </w:rPr>
        <w:t> </w:t>
      </w:r>
      <w:r>
        <w:rPr>
          <w:rFonts w:ascii="Arial" w:hAnsi="Arial"/>
          <w:w w:val="85"/>
          <w:sz w:val="17"/>
        </w:rPr>
        <w:t>Latina</w:t>
      </w:r>
    </w:p>
    <w:p>
      <w:pPr>
        <w:pStyle w:val="BodyText"/>
        <w:spacing w:after="1"/>
        <w:rPr>
          <w:rFonts w:ascii="Arial"/>
          <w:sz w:val="13"/>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737"/>
        <w:gridCol w:w="2494"/>
        <w:gridCol w:w="3742"/>
      </w:tblGrid>
      <w:tr>
        <w:trPr>
          <w:trHeight w:val="274" w:hRule="exact"/>
        </w:trPr>
        <w:tc>
          <w:tcPr>
            <w:tcW w:w="737" w:type="dxa"/>
            <w:tcBorders>
              <w:left w:val="nil"/>
              <w:bottom w:val="single" w:sz="4" w:space="0" w:color="000000"/>
              <w:right w:val="dotted" w:sz="4" w:space="0" w:color="000000"/>
            </w:tcBorders>
          </w:tcPr>
          <w:p>
            <w:pPr>
              <w:pStyle w:val="TableParagraph"/>
              <w:spacing w:before="34"/>
              <w:ind w:left="239"/>
              <w:rPr>
                <w:sz w:val="16"/>
              </w:rPr>
            </w:pPr>
            <w:r>
              <w:rPr>
                <w:w w:val="90"/>
                <w:sz w:val="16"/>
              </w:rPr>
              <w:t>País</w:t>
            </w:r>
          </w:p>
        </w:tc>
        <w:tc>
          <w:tcPr>
            <w:tcW w:w="2494" w:type="dxa"/>
            <w:tcBorders>
              <w:left w:val="dotted" w:sz="4" w:space="0" w:color="000000"/>
              <w:bottom w:val="single" w:sz="4" w:space="0" w:color="000000"/>
              <w:right w:val="dotted" w:sz="4" w:space="0" w:color="000000"/>
            </w:tcBorders>
          </w:tcPr>
          <w:p>
            <w:pPr>
              <w:pStyle w:val="TableParagraph"/>
              <w:spacing w:before="34"/>
              <w:ind w:left="169" w:right="54"/>
              <w:rPr>
                <w:sz w:val="16"/>
              </w:rPr>
            </w:pPr>
            <w:r>
              <w:rPr>
                <w:w w:val="85"/>
                <w:sz w:val="16"/>
              </w:rPr>
              <w:t>Organizaciones asociadas/ Período</w:t>
            </w:r>
          </w:p>
        </w:tc>
        <w:tc>
          <w:tcPr>
            <w:tcW w:w="3742" w:type="dxa"/>
            <w:tcBorders>
              <w:left w:val="dotted" w:sz="4" w:space="0" w:color="000000"/>
              <w:bottom w:val="single" w:sz="4" w:space="0" w:color="000000"/>
              <w:right w:val="nil"/>
            </w:tcBorders>
          </w:tcPr>
          <w:p>
            <w:pPr>
              <w:pStyle w:val="TableParagraph"/>
              <w:spacing w:before="34"/>
              <w:ind w:left="1226" w:right="1228"/>
              <w:jc w:val="center"/>
              <w:rPr>
                <w:sz w:val="16"/>
              </w:rPr>
            </w:pPr>
            <w:r>
              <w:rPr>
                <w:w w:val="95"/>
                <w:sz w:val="16"/>
              </w:rPr>
              <w:t>Programa/Período</w:t>
            </w:r>
          </w:p>
        </w:tc>
      </w:tr>
      <w:tr>
        <w:trPr>
          <w:trHeight w:val="658" w:hRule="exact"/>
        </w:trPr>
        <w:tc>
          <w:tcPr>
            <w:tcW w:w="737" w:type="dxa"/>
            <w:tcBorders>
              <w:top w:val="single" w:sz="4" w:space="0" w:color="000000"/>
              <w:left w:val="nil"/>
              <w:bottom w:val="dotted" w:sz="4" w:space="0" w:color="000000"/>
              <w:right w:val="dotted" w:sz="4" w:space="0" w:color="000000"/>
            </w:tcBorders>
          </w:tcPr>
          <w:p>
            <w:pPr>
              <w:pStyle w:val="TableParagraph"/>
              <w:spacing w:before="39"/>
              <w:ind w:left="80"/>
              <w:rPr>
                <w:sz w:val="16"/>
              </w:rPr>
            </w:pPr>
            <w:r>
              <w:rPr>
                <w:w w:val="90"/>
                <w:sz w:val="16"/>
              </w:rPr>
              <w:t>Argentina</w:t>
            </w:r>
          </w:p>
        </w:tc>
        <w:tc>
          <w:tcPr>
            <w:tcW w:w="2494" w:type="dxa"/>
            <w:tcBorders>
              <w:top w:val="single" w:sz="4" w:space="0" w:color="000000"/>
              <w:left w:val="dotted" w:sz="4" w:space="0" w:color="000000"/>
              <w:bottom w:val="dotted" w:sz="4" w:space="0" w:color="000000"/>
              <w:right w:val="dotted" w:sz="4" w:space="0" w:color="000000"/>
            </w:tcBorders>
          </w:tcPr>
          <w:p>
            <w:pPr>
              <w:pStyle w:val="TableParagraph"/>
              <w:spacing w:line="249" w:lineRule="auto" w:before="39"/>
              <w:ind w:left="75" w:right="151"/>
              <w:rPr>
                <w:sz w:val="16"/>
              </w:rPr>
            </w:pPr>
            <w:r>
              <w:rPr>
                <w:w w:val="85"/>
                <w:sz w:val="16"/>
              </w:rPr>
              <w:t>Fundación Centro para la Estabilidad </w:t>
            </w:r>
            <w:r>
              <w:rPr>
                <w:w w:val="80"/>
                <w:sz w:val="16"/>
              </w:rPr>
              <w:t>Financiera (CEF).</w:t>
            </w:r>
          </w:p>
        </w:tc>
        <w:tc>
          <w:tcPr>
            <w:tcW w:w="3742" w:type="dxa"/>
            <w:tcBorders>
              <w:top w:val="single" w:sz="4" w:space="0" w:color="000000"/>
              <w:left w:val="dotted" w:sz="4" w:space="0" w:color="000000"/>
              <w:bottom w:val="dotted" w:sz="4" w:space="0" w:color="000000"/>
              <w:right w:val="nil"/>
            </w:tcBorders>
          </w:tcPr>
          <w:p>
            <w:pPr>
              <w:pStyle w:val="TableParagraph"/>
              <w:spacing w:line="249" w:lineRule="auto" w:before="39"/>
              <w:ind w:left="75" w:right="559"/>
              <w:rPr>
                <w:sz w:val="16"/>
              </w:rPr>
            </w:pPr>
            <w:r>
              <w:rPr>
                <w:w w:val="85"/>
                <w:sz w:val="16"/>
              </w:rPr>
              <w:t>GC</w:t>
            </w:r>
            <w:r>
              <w:rPr>
                <w:spacing w:val="-13"/>
                <w:w w:val="85"/>
                <w:sz w:val="16"/>
              </w:rPr>
              <w:t> </w:t>
            </w:r>
            <w:r>
              <w:rPr>
                <w:w w:val="85"/>
                <w:sz w:val="16"/>
              </w:rPr>
              <w:t>en</w:t>
            </w:r>
            <w:r>
              <w:rPr>
                <w:spacing w:val="-13"/>
                <w:w w:val="85"/>
                <w:sz w:val="16"/>
              </w:rPr>
              <w:t> </w:t>
            </w:r>
            <w:r>
              <w:rPr>
                <w:w w:val="85"/>
                <w:sz w:val="16"/>
              </w:rPr>
              <w:t>instituciones</w:t>
            </w:r>
            <w:r>
              <w:rPr>
                <w:spacing w:val="-13"/>
                <w:w w:val="85"/>
                <w:sz w:val="16"/>
              </w:rPr>
              <w:t> </w:t>
            </w:r>
            <w:r>
              <w:rPr>
                <w:w w:val="85"/>
                <w:sz w:val="16"/>
              </w:rPr>
              <w:t>financieras</w:t>
            </w:r>
            <w:r>
              <w:rPr>
                <w:spacing w:val="-13"/>
                <w:w w:val="85"/>
                <w:sz w:val="16"/>
              </w:rPr>
              <w:t> </w:t>
            </w:r>
            <w:r>
              <w:rPr>
                <w:w w:val="85"/>
                <w:sz w:val="16"/>
              </w:rPr>
              <w:t>(2007);</w:t>
            </w:r>
            <w:r>
              <w:rPr>
                <w:spacing w:val="-17"/>
                <w:w w:val="85"/>
                <w:sz w:val="16"/>
              </w:rPr>
              <w:t> </w:t>
            </w:r>
            <w:r>
              <w:rPr>
                <w:w w:val="85"/>
                <w:sz w:val="16"/>
              </w:rPr>
              <w:t>Adopción</w:t>
            </w:r>
            <w:r>
              <w:rPr>
                <w:spacing w:val="-13"/>
                <w:w w:val="85"/>
                <w:sz w:val="16"/>
              </w:rPr>
              <w:t> </w:t>
            </w:r>
            <w:r>
              <w:rPr>
                <w:w w:val="85"/>
                <w:sz w:val="16"/>
              </w:rPr>
              <w:t>de padrones</w:t>
            </w:r>
            <w:r>
              <w:rPr>
                <w:spacing w:val="-18"/>
                <w:w w:val="85"/>
                <w:sz w:val="16"/>
              </w:rPr>
              <w:t> </w:t>
            </w:r>
            <w:r>
              <w:rPr>
                <w:w w:val="85"/>
                <w:sz w:val="16"/>
              </w:rPr>
              <w:t>de</w:t>
            </w:r>
            <w:r>
              <w:rPr>
                <w:spacing w:val="-18"/>
                <w:w w:val="85"/>
                <w:sz w:val="16"/>
              </w:rPr>
              <w:t> </w:t>
            </w:r>
            <w:r>
              <w:rPr>
                <w:w w:val="85"/>
                <w:sz w:val="16"/>
              </w:rPr>
              <w:t>GC</w:t>
            </w:r>
            <w:r>
              <w:rPr>
                <w:spacing w:val="-18"/>
                <w:w w:val="85"/>
                <w:sz w:val="16"/>
              </w:rPr>
              <w:t> </w:t>
            </w:r>
            <w:r>
              <w:rPr>
                <w:w w:val="85"/>
                <w:sz w:val="16"/>
              </w:rPr>
              <w:t>(2007-2008);</w:t>
            </w:r>
            <w:r>
              <w:rPr>
                <w:spacing w:val="-18"/>
                <w:w w:val="85"/>
                <w:sz w:val="16"/>
              </w:rPr>
              <w:t> </w:t>
            </w:r>
            <w:r>
              <w:rPr>
                <w:w w:val="85"/>
                <w:sz w:val="16"/>
              </w:rPr>
              <w:t>Promoción</w:t>
            </w:r>
            <w:r>
              <w:rPr>
                <w:spacing w:val="-18"/>
                <w:w w:val="85"/>
                <w:sz w:val="16"/>
              </w:rPr>
              <w:t> </w:t>
            </w:r>
            <w:r>
              <w:rPr>
                <w:w w:val="85"/>
                <w:sz w:val="16"/>
              </w:rPr>
              <w:t>de</w:t>
            </w:r>
            <w:r>
              <w:rPr>
                <w:spacing w:val="-18"/>
                <w:w w:val="85"/>
                <w:sz w:val="16"/>
              </w:rPr>
              <w:t> </w:t>
            </w:r>
            <w:r>
              <w:rPr>
                <w:w w:val="85"/>
                <w:sz w:val="16"/>
              </w:rPr>
              <w:t>Buenas Prácticas</w:t>
            </w:r>
            <w:r>
              <w:rPr>
                <w:spacing w:val="-18"/>
                <w:w w:val="85"/>
                <w:sz w:val="16"/>
              </w:rPr>
              <w:t> </w:t>
            </w:r>
            <w:r>
              <w:rPr>
                <w:w w:val="85"/>
                <w:sz w:val="16"/>
              </w:rPr>
              <w:t>de</w:t>
            </w:r>
            <w:r>
              <w:rPr>
                <w:spacing w:val="-18"/>
                <w:w w:val="85"/>
                <w:sz w:val="16"/>
              </w:rPr>
              <w:t> </w:t>
            </w:r>
            <w:r>
              <w:rPr>
                <w:w w:val="85"/>
                <w:sz w:val="16"/>
              </w:rPr>
              <w:t>GC</w:t>
            </w:r>
            <w:r>
              <w:rPr>
                <w:spacing w:val="-18"/>
                <w:w w:val="85"/>
                <w:sz w:val="16"/>
              </w:rPr>
              <w:t> </w:t>
            </w:r>
            <w:r>
              <w:rPr>
                <w:w w:val="85"/>
                <w:sz w:val="16"/>
              </w:rPr>
              <w:t>(2008-2010).</w:t>
            </w:r>
          </w:p>
        </w:tc>
      </w:tr>
      <w:tr>
        <w:trPr>
          <w:trHeight w:val="466" w:hRule="exact"/>
        </w:trPr>
        <w:tc>
          <w:tcPr>
            <w:tcW w:w="737" w:type="dxa"/>
            <w:tcBorders>
              <w:top w:val="dotted" w:sz="4" w:space="0" w:color="000000"/>
              <w:left w:val="nil"/>
              <w:bottom w:val="dotted" w:sz="4" w:space="0" w:color="000000"/>
              <w:right w:val="dotted" w:sz="4" w:space="0" w:color="000000"/>
            </w:tcBorders>
          </w:tcPr>
          <w:p>
            <w:pPr>
              <w:pStyle w:val="TableParagraph"/>
              <w:spacing w:before="39"/>
              <w:ind w:left="80"/>
              <w:rPr>
                <w:sz w:val="16"/>
              </w:rPr>
            </w:pPr>
            <w:r>
              <w:rPr>
                <w:w w:val="95"/>
                <w:sz w:val="16"/>
              </w:rPr>
              <w:t>Brasil</w:t>
            </w:r>
          </w:p>
        </w:tc>
        <w:tc>
          <w:tcPr>
            <w:tcW w:w="2494" w:type="dxa"/>
            <w:tcBorders>
              <w:top w:val="dotted" w:sz="4" w:space="0" w:color="000000"/>
              <w:left w:val="dotted" w:sz="4" w:space="0" w:color="000000"/>
              <w:bottom w:val="dotted" w:sz="4" w:space="0" w:color="000000"/>
              <w:right w:val="dotted" w:sz="4" w:space="0" w:color="000000"/>
            </w:tcBorders>
          </w:tcPr>
          <w:p>
            <w:pPr>
              <w:pStyle w:val="TableParagraph"/>
              <w:spacing w:line="249" w:lineRule="auto" w:before="39"/>
              <w:ind w:left="75" w:right="340"/>
              <w:rPr>
                <w:sz w:val="16"/>
              </w:rPr>
            </w:pPr>
            <w:r>
              <w:rPr>
                <w:w w:val="85"/>
                <w:sz w:val="16"/>
              </w:rPr>
              <w:t>Instituto Brasileiro de Governança </w:t>
            </w:r>
            <w:r>
              <w:rPr>
                <w:w w:val="80"/>
                <w:sz w:val="16"/>
              </w:rPr>
              <w:t>Corporativa (IBGC).</w:t>
            </w:r>
          </w:p>
        </w:tc>
        <w:tc>
          <w:tcPr>
            <w:tcW w:w="3742" w:type="dxa"/>
            <w:tcBorders>
              <w:top w:val="dotted" w:sz="4" w:space="0" w:color="000000"/>
              <w:left w:val="dotted" w:sz="4" w:space="0" w:color="000000"/>
              <w:bottom w:val="dotted" w:sz="4" w:space="0" w:color="000000"/>
              <w:right w:val="nil"/>
            </w:tcBorders>
          </w:tcPr>
          <w:p>
            <w:pPr>
              <w:pStyle w:val="TableParagraph"/>
              <w:spacing w:before="39"/>
              <w:ind w:left="75" w:right="559"/>
              <w:rPr>
                <w:sz w:val="16"/>
              </w:rPr>
            </w:pPr>
            <w:r>
              <w:rPr>
                <w:w w:val="85"/>
                <w:sz w:val="16"/>
              </w:rPr>
              <w:t>GC e empresas familiares (2005-2008).</w:t>
            </w:r>
          </w:p>
        </w:tc>
      </w:tr>
      <w:tr>
        <w:trPr>
          <w:trHeight w:val="850" w:hRule="exact"/>
        </w:trPr>
        <w:tc>
          <w:tcPr>
            <w:tcW w:w="737" w:type="dxa"/>
            <w:tcBorders>
              <w:top w:val="dotted" w:sz="4" w:space="0" w:color="000000"/>
              <w:left w:val="nil"/>
              <w:bottom w:val="dotted" w:sz="4" w:space="0" w:color="000000"/>
              <w:right w:val="dotted" w:sz="4" w:space="0" w:color="000000"/>
            </w:tcBorders>
          </w:tcPr>
          <w:p>
            <w:pPr>
              <w:pStyle w:val="TableParagraph"/>
              <w:spacing w:before="39"/>
              <w:ind w:left="80"/>
              <w:rPr>
                <w:sz w:val="16"/>
              </w:rPr>
            </w:pPr>
            <w:r>
              <w:rPr>
                <w:w w:val="90"/>
                <w:sz w:val="16"/>
              </w:rPr>
              <w:t>Chile</w:t>
            </w:r>
          </w:p>
        </w:tc>
        <w:tc>
          <w:tcPr>
            <w:tcW w:w="2494" w:type="dxa"/>
            <w:tcBorders>
              <w:top w:val="dotted" w:sz="4" w:space="0" w:color="000000"/>
              <w:left w:val="dotted" w:sz="4" w:space="0" w:color="000000"/>
              <w:bottom w:val="dotted" w:sz="4" w:space="0" w:color="000000"/>
              <w:right w:val="dotted" w:sz="4" w:space="0" w:color="000000"/>
            </w:tcBorders>
          </w:tcPr>
          <w:p>
            <w:pPr>
              <w:pStyle w:val="TableParagraph"/>
              <w:spacing w:before="39"/>
              <w:ind w:left="75"/>
              <w:jc w:val="both"/>
              <w:rPr>
                <w:sz w:val="16"/>
              </w:rPr>
            </w:pPr>
            <w:r>
              <w:rPr>
                <w:w w:val="85"/>
                <w:sz w:val="16"/>
              </w:rPr>
              <w:t>Centro para el Gobierno de la Empresa</w:t>
            </w:r>
          </w:p>
          <w:p>
            <w:pPr>
              <w:pStyle w:val="TableParagraph"/>
              <w:spacing w:line="249" w:lineRule="auto" w:before="8"/>
              <w:ind w:left="75" w:right="224"/>
              <w:jc w:val="both"/>
              <w:rPr>
                <w:sz w:val="16"/>
              </w:rPr>
            </w:pPr>
            <w:r>
              <w:rPr>
                <w:w w:val="85"/>
                <w:sz w:val="16"/>
              </w:rPr>
              <w:t>-</w:t>
            </w:r>
            <w:r>
              <w:rPr>
                <w:spacing w:val="-14"/>
                <w:w w:val="85"/>
                <w:sz w:val="16"/>
              </w:rPr>
              <w:t> </w:t>
            </w:r>
            <w:r>
              <w:rPr>
                <w:w w:val="85"/>
                <w:sz w:val="16"/>
              </w:rPr>
              <w:t>Facultad</w:t>
            </w:r>
            <w:r>
              <w:rPr>
                <w:spacing w:val="-14"/>
                <w:w w:val="85"/>
                <w:sz w:val="16"/>
              </w:rPr>
              <w:t> </w:t>
            </w:r>
            <w:r>
              <w:rPr>
                <w:w w:val="85"/>
                <w:sz w:val="16"/>
              </w:rPr>
              <w:t>de</w:t>
            </w:r>
            <w:r>
              <w:rPr>
                <w:spacing w:val="-14"/>
                <w:w w:val="85"/>
                <w:sz w:val="16"/>
              </w:rPr>
              <w:t> </w:t>
            </w:r>
            <w:r>
              <w:rPr>
                <w:w w:val="85"/>
                <w:sz w:val="16"/>
              </w:rPr>
              <w:t>Ciencias</w:t>
            </w:r>
            <w:r>
              <w:rPr>
                <w:spacing w:val="-14"/>
                <w:w w:val="85"/>
                <w:sz w:val="16"/>
              </w:rPr>
              <w:t> </w:t>
            </w:r>
            <w:r>
              <w:rPr>
                <w:w w:val="85"/>
                <w:sz w:val="16"/>
              </w:rPr>
              <w:t>Económicas</w:t>
            </w:r>
            <w:r>
              <w:rPr>
                <w:spacing w:val="-14"/>
                <w:w w:val="85"/>
                <w:sz w:val="16"/>
              </w:rPr>
              <w:t> </w:t>
            </w:r>
            <w:r>
              <w:rPr>
                <w:w w:val="85"/>
                <w:sz w:val="16"/>
              </w:rPr>
              <w:t>y </w:t>
            </w:r>
            <w:r>
              <w:rPr>
                <w:w w:val="80"/>
                <w:sz w:val="16"/>
              </w:rPr>
              <w:t>Administrativas, Universidad Católica de</w:t>
            </w:r>
            <w:r>
              <w:rPr>
                <w:spacing w:val="-20"/>
                <w:w w:val="80"/>
                <w:sz w:val="16"/>
              </w:rPr>
              <w:t> </w:t>
            </w:r>
            <w:r>
              <w:rPr>
                <w:w w:val="80"/>
                <w:sz w:val="16"/>
              </w:rPr>
              <w:t>Chile</w:t>
            </w:r>
            <w:r>
              <w:rPr>
                <w:spacing w:val="-20"/>
                <w:w w:val="80"/>
                <w:sz w:val="16"/>
              </w:rPr>
              <w:t> </w:t>
            </w:r>
            <w:r>
              <w:rPr>
                <w:w w:val="80"/>
                <w:sz w:val="16"/>
              </w:rPr>
              <w:t>(FEAUC).</w:t>
            </w:r>
          </w:p>
        </w:tc>
        <w:tc>
          <w:tcPr>
            <w:tcW w:w="3742" w:type="dxa"/>
            <w:tcBorders>
              <w:top w:val="dotted" w:sz="4" w:space="0" w:color="000000"/>
              <w:left w:val="dotted" w:sz="4" w:space="0" w:color="000000"/>
              <w:bottom w:val="dotted" w:sz="4" w:space="0" w:color="000000"/>
              <w:right w:val="nil"/>
            </w:tcBorders>
          </w:tcPr>
          <w:p>
            <w:pPr>
              <w:pStyle w:val="TableParagraph"/>
              <w:spacing w:before="39"/>
              <w:ind w:left="75" w:right="559"/>
              <w:rPr>
                <w:sz w:val="16"/>
              </w:rPr>
            </w:pPr>
            <w:r>
              <w:rPr>
                <w:w w:val="85"/>
                <w:sz w:val="16"/>
              </w:rPr>
              <w:t>Desenvolvimento de GC (2007-2008).</w:t>
            </w:r>
          </w:p>
        </w:tc>
      </w:tr>
      <w:tr>
        <w:trPr>
          <w:trHeight w:val="850" w:hRule="exact"/>
        </w:trPr>
        <w:tc>
          <w:tcPr>
            <w:tcW w:w="737" w:type="dxa"/>
            <w:tcBorders>
              <w:top w:val="dotted" w:sz="4" w:space="0" w:color="000000"/>
              <w:left w:val="nil"/>
              <w:bottom w:val="dotted" w:sz="4" w:space="0" w:color="000000"/>
              <w:right w:val="dotted" w:sz="4" w:space="0" w:color="000000"/>
            </w:tcBorders>
          </w:tcPr>
          <w:p>
            <w:pPr>
              <w:pStyle w:val="TableParagraph"/>
              <w:spacing w:before="39"/>
              <w:ind w:left="80"/>
              <w:rPr>
                <w:sz w:val="16"/>
              </w:rPr>
            </w:pPr>
            <w:r>
              <w:rPr>
                <w:w w:val="90"/>
                <w:sz w:val="16"/>
              </w:rPr>
              <w:t>Colombia</w:t>
            </w:r>
          </w:p>
        </w:tc>
        <w:tc>
          <w:tcPr>
            <w:tcW w:w="2494" w:type="dxa"/>
            <w:tcBorders>
              <w:top w:val="dotted" w:sz="4" w:space="0" w:color="000000"/>
              <w:left w:val="dotted" w:sz="4" w:space="0" w:color="000000"/>
              <w:bottom w:val="dotted" w:sz="4" w:space="0" w:color="000000"/>
              <w:right w:val="dotted" w:sz="4" w:space="0" w:color="000000"/>
            </w:tcBorders>
          </w:tcPr>
          <w:p>
            <w:pPr>
              <w:pStyle w:val="TableParagraph"/>
              <w:spacing w:line="249" w:lineRule="auto" w:before="39"/>
              <w:ind w:left="75" w:right="54"/>
              <w:rPr>
                <w:sz w:val="16"/>
              </w:rPr>
            </w:pPr>
            <w:r>
              <w:rPr>
                <w:w w:val="80"/>
                <w:sz w:val="16"/>
              </w:rPr>
              <w:t>Confederación Colombiana de Cámaras </w:t>
            </w:r>
            <w:r>
              <w:rPr>
                <w:w w:val="75"/>
                <w:sz w:val="16"/>
              </w:rPr>
              <w:t>de Comercio (CONFECÁMARAS).</w:t>
            </w:r>
          </w:p>
        </w:tc>
        <w:tc>
          <w:tcPr>
            <w:tcW w:w="3742" w:type="dxa"/>
            <w:tcBorders>
              <w:top w:val="dotted" w:sz="4" w:space="0" w:color="000000"/>
              <w:left w:val="dotted" w:sz="4" w:space="0" w:color="000000"/>
              <w:bottom w:val="dotted" w:sz="4" w:space="0" w:color="000000"/>
              <w:right w:val="nil"/>
            </w:tcBorders>
          </w:tcPr>
          <w:p>
            <w:pPr>
              <w:pStyle w:val="TableParagraph"/>
              <w:spacing w:line="249" w:lineRule="auto" w:before="39"/>
              <w:ind w:left="75" w:right="125"/>
              <w:rPr>
                <w:sz w:val="16"/>
              </w:rPr>
            </w:pPr>
            <w:r>
              <w:rPr>
                <w:w w:val="85"/>
                <w:sz w:val="16"/>
              </w:rPr>
              <w:t>GC</w:t>
            </w:r>
            <w:r>
              <w:rPr>
                <w:spacing w:val="-15"/>
                <w:w w:val="85"/>
                <w:sz w:val="16"/>
              </w:rPr>
              <w:t> </w:t>
            </w:r>
            <w:r>
              <w:rPr>
                <w:w w:val="85"/>
                <w:sz w:val="16"/>
              </w:rPr>
              <w:t>en</w:t>
            </w:r>
            <w:r>
              <w:rPr>
                <w:spacing w:val="-15"/>
                <w:w w:val="85"/>
                <w:sz w:val="16"/>
              </w:rPr>
              <w:t> </w:t>
            </w:r>
            <w:r>
              <w:rPr>
                <w:w w:val="85"/>
                <w:sz w:val="16"/>
              </w:rPr>
              <w:t>empresas</w:t>
            </w:r>
            <w:r>
              <w:rPr>
                <w:spacing w:val="-15"/>
                <w:w w:val="85"/>
                <w:sz w:val="16"/>
              </w:rPr>
              <w:t> </w:t>
            </w:r>
            <w:r>
              <w:rPr>
                <w:w w:val="85"/>
                <w:sz w:val="16"/>
              </w:rPr>
              <w:t>públicas</w:t>
            </w:r>
            <w:r>
              <w:rPr>
                <w:spacing w:val="-15"/>
                <w:w w:val="85"/>
                <w:sz w:val="16"/>
              </w:rPr>
              <w:t> </w:t>
            </w:r>
            <w:r>
              <w:rPr>
                <w:w w:val="85"/>
                <w:sz w:val="16"/>
              </w:rPr>
              <w:t>y</w:t>
            </w:r>
            <w:r>
              <w:rPr>
                <w:spacing w:val="-15"/>
                <w:w w:val="85"/>
                <w:sz w:val="16"/>
              </w:rPr>
              <w:t> </w:t>
            </w:r>
            <w:r>
              <w:rPr>
                <w:w w:val="85"/>
                <w:sz w:val="16"/>
              </w:rPr>
              <w:t>privadas</w:t>
            </w:r>
            <w:r>
              <w:rPr>
                <w:spacing w:val="-15"/>
                <w:w w:val="85"/>
                <w:sz w:val="16"/>
              </w:rPr>
              <w:t> </w:t>
            </w:r>
            <w:r>
              <w:rPr>
                <w:w w:val="85"/>
                <w:sz w:val="16"/>
              </w:rPr>
              <w:t>(2007-2008);</w:t>
            </w:r>
            <w:r>
              <w:rPr>
                <w:spacing w:val="-15"/>
                <w:w w:val="85"/>
                <w:sz w:val="16"/>
              </w:rPr>
              <w:t> </w:t>
            </w:r>
            <w:r>
              <w:rPr>
                <w:w w:val="85"/>
                <w:sz w:val="16"/>
              </w:rPr>
              <w:t>Creación de</w:t>
            </w:r>
            <w:r>
              <w:rPr>
                <w:spacing w:val="-12"/>
                <w:w w:val="85"/>
                <w:sz w:val="16"/>
              </w:rPr>
              <w:t> </w:t>
            </w:r>
            <w:r>
              <w:rPr>
                <w:w w:val="85"/>
                <w:sz w:val="16"/>
              </w:rPr>
              <w:t>incentivos</w:t>
            </w:r>
            <w:r>
              <w:rPr>
                <w:spacing w:val="-12"/>
                <w:w w:val="85"/>
                <w:sz w:val="16"/>
              </w:rPr>
              <w:t> </w:t>
            </w:r>
            <w:r>
              <w:rPr>
                <w:w w:val="85"/>
                <w:sz w:val="16"/>
              </w:rPr>
              <w:t>para</w:t>
            </w:r>
            <w:r>
              <w:rPr>
                <w:spacing w:val="-12"/>
                <w:w w:val="85"/>
                <w:sz w:val="16"/>
              </w:rPr>
              <w:t> </w:t>
            </w:r>
            <w:r>
              <w:rPr>
                <w:w w:val="85"/>
                <w:sz w:val="16"/>
              </w:rPr>
              <w:t>las</w:t>
            </w:r>
            <w:r>
              <w:rPr>
                <w:spacing w:val="-12"/>
                <w:w w:val="85"/>
                <w:sz w:val="16"/>
              </w:rPr>
              <w:t> </w:t>
            </w:r>
            <w:r>
              <w:rPr>
                <w:w w:val="85"/>
                <w:sz w:val="16"/>
              </w:rPr>
              <w:t>Normas</w:t>
            </w:r>
            <w:r>
              <w:rPr>
                <w:spacing w:val="-12"/>
                <w:w w:val="85"/>
                <w:sz w:val="16"/>
              </w:rPr>
              <w:t> </w:t>
            </w:r>
            <w:r>
              <w:rPr>
                <w:w w:val="85"/>
                <w:sz w:val="16"/>
              </w:rPr>
              <w:t>de</w:t>
            </w:r>
            <w:r>
              <w:rPr>
                <w:spacing w:val="-12"/>
                <w:w w:val="85"/>
                <w:sz w:val="16"/>
              </w:rPr>
              <w:t> </w:t>
            </w:r>
            <w:r>
              <w:rPr>
                <w:w w:val="85"/>
                <w:sz w:val="16"/>
              </w:rPr>
              <w:t>GC</w:t>
            </w:r>
            <w:r>
              <w:rPr>
                <w:spacing w:val="-12"/>
                <w:w w:val="85"/>
                <w:sz w:val="16"/>
              </w:rPr>
              <w:t> </w:t>
            </w:r>
            <w:r>
              <w:rPr>
                <w:w w:val="85"/>
                <w:sz w:val="16"/>
              </w:rPr>
              <w:t>(2009-2012).</w:t>
            </w:r>
          </w:p>
          <w:p>
            <w:pPr>
              <w:pStyle w:val="TableParagraph"/>
              <w:spacing w:line="249" w:lineRule="auto" w:before="1"/>
              <w:ind w:left="75" w:right="110"/>
              <w:rPr>
                <w:sz w:val="16"/>
              </w:rPr>
            </w:pPr>
            <w:r>
              <w:rPr>
                <w:w w:val="85"/>
                <w:sz w:val="16"/>
              </w:rPr>
              <w:t>Promoción</w:t>
            </w:r>
            <w:r>
              <w:rPr>
                <w:spacing w:val="-23"/>
                <w:w w:val="85"/>
                <w:sz w:val="16"/>
              </w:rPr>
              <w:t> </w:t>
            </w:r>
            <w:r>
              <w:rPr>
                <w:w w:val="85"/>
                <w:sz w:val="16"/>
              </w:rPr>
              <w:t>de</w:t>
            </w:r>
            <w:r>
              <w:rPr>
                <w:spacing w:val="-23"/>
                <w:w w:val="85"/>
                <w:sz w:val="16"/>
              </w:rPr>
              <w:t> </w:t>
            </w:r>
            <w:r>
              <w:rPr>
                <w:w w:val="85"/>
                <w:sz w:val="16"/>
              </w:rPr>
              <w:t>GC</w:t>
            </w:r>
            <w:r>
              <w:rPr>
                <w:spacing w:val="-23"/>
                <w:w w:val="85"/>
                <w:sz w:val="16"/>
              </w:rPr>
              <w:t> </w:t>
            </w:r>
            <w:r>
              <w:rPr>
                <w:w w:val="85"/>
                <w:sz w:val="16"/>
              </w:rPr>
              <w:t>en</w:t>
            </w:r>
            <w:r>
              <w:rPr>
                <w:spacing w:val="-23"/>
                <w:w w:val="85"/>
                <w:sz w:val="16"/>
              </w:rPr>
              <w:t> </w:t>
            </w:r>
            <w:r>
              <w:rPr>
                <w:w w:val="85"/>
                <w:sz w:val="16"/>
              </w:rPr>
              <w:t>Colombia,</w:t>
            </w:r>
            <w:r>
              <w:rPr>
                <w:spacing w:val="-25"/>
                <w:w w:val="85"/>
                <w:sz w:val="16"/>
              </w:rPr>
              <w:t> </w:t>
            </w:r>
            <w:r>
              <w:rPr>
                <w:w w:val="85"/>
                <w:sz w:val="16"/>
              </w:rPr>
              <w:t>Ecuador</w:t>
            </w:r>
            <w:r>
              <w:rPr>
                <w:spacing w:val="-23"/>
                <w:w w:val="85"/>
                <w:sz w:val="16"/>
              </w:rPr>
              <w:t> </w:t>
            </w:r>
            <w:r>
              <w:rPr>
                <w:w w:val="85"/>
                <w:sz w:val="16"/>
              </w:rPr>
              <w:t>y</w:t>
            </w:r>
            <w:r>
              <w:rPr>
                <w:spacing w:val="-25"/>
                <w:w w:val="85"/>
                <w:sz w:val="16"/>
              </w:rPr>
              <w:t> </w:t>
            </w:r>
            <w:r>
              <w:rPr>
                <w:w w:val="85"/>
                <w:sz w:val="16"/>
              </w:rPr>
              <w:t>Venezuela</w:t>
            </w:r>
            <w:r>
              <w:rPr>
                <w:spacing w:val="-23"/>
                <w:w w:val="85"/>
                <w:sz w:val="16"/>
              </w:rPr>
              <w:t> </w:t>
            </w:r>
            <w:r>
              <w:rPr>
                <w:w w:val="85"/>
                <w:sz w:val="16"/>
              </w:rPr>
              <w:t>(2009); Fortalecimiento</w:t>
            </w:r>
            <w:r>
              <w:rPr>
                <w:spacing w:val="-18"/>
                <w:w w:val="85"/>
                <w:sz w:val="16"/>
              </w:rPr>
              <w:t> </w:t>
            </w:r>
            <w:r>
              <w:rPr>
                <w:w w:val="85"/>
                <w:sz w:val="16"/>
              </w:rPr>
              <w:t>de</w:t>
            </w:r>
            <w:r>
              <w:rPr>
                <w:spacing w:val="-18"/>
                <w:w w:val="85"/>
                <w:sz w:val="16"/>
              </w:rPr>
              <w:t> </w:t>
            </w:r>
            <w:r>
              <w:rPr>
                <w:w w:val="85"/>
                <w:sz w:val="16"/>
              </w:rPr>
              <w:t>GC</w:t>
            </w:r>
            <w:r>
              <w:rPr>
                <w:spacing w:val="-18"/>
                <w:w w:val="85"/>
                <w:sz w:val="16"/>
              </w:rPr>
              <w:t> </w:t>
            </w:r>
            <w:r>
              <w:rPr>
                <w:w w:val="85"/>
                <w:sz w:val="16"/>
              </w:rPr>
              <w:t>en</w:t>
            </w:r>
            <w:r>
              <w:rPr>
                <w:spacing w:val="-20"/>
                <w:w w:val="85"/>
                <w:sz w:val="16"/>
              </w:rPr>
              <w:t> </w:t>
            </w:r>
            <w:r>
              <w:rPr>
                <w:w w:val="85"/>
                <w:sz w:val="16"/>
              </w:rPr>
              <w:t>América</w:t>
            </w:r>
            <w:r>
              <w:rPr>
                <w:spacing w:val="-18"/>
                <w:w w:val="85"/>
                <w:sz w:val="16"/>
              </w:rPr>
              <w:t> </w:t>
            </w:r>
            <w:r>
              <w:rPr>
                <w:w w:val="85"/>
                <w:sz w:val="16"/>
              </w:rPr>
              <w:t>Latina</w:t>
            </w:r>
            <w:r>
              <w:rPr>
                <w:spacing w:val="-18"/>
                <w:w w:val="85"/>
                <w:sz w:val="16"/>
              </w:rPr>
              <w:t> </w:t>
            </w:r>
            <w:r>
              <w:rPr>
                <w:w w:val="85"/>
                <w:sz w:val="16"/>
              </w:rPr>
              <w:t>(2010).</w:t>
            </w:r>
          </w:p>
        </w:tc>
      </w:tr>
      <w:tr>
        <w:trPr>
          <w:trHeight w:val="466" w:hRule="exact"/>
        </w:trPr>
        <w:tc>
          <w:tcPr>
            <w:tcW w:w="737" w:type="dxa"/>
            <w:tcBorders>
              <w:top w:val="dotted" w:sz="4" w:space="0" w:color="000000"/>
              <w:left w:val="nil"/>
              <w:bottom w:val="dotted" w:sz="4" w:space="0" w:color="000000"/>
              <w:right w:val="dotted" w:sz="4" w:space="0" w:color="000000"/>
            </w:tcBorders>
          </w:tcPr>
          <w:p>
            <w:pPr>
              <w:pStyle w:val="TableParagraph"/>
              <w:spacing w:before="39"/>
              <w:ind w:left="80"/>
              <w:rPr>
                <w:sz w:val="16"/>
              </w:rPr>
            </w:pPr>
            <w:r>
              <w:rPr>
                <w:w w:val="95"/>
                <w:sz w:val="16"/>
              </w:rPr>
              <w:t>México</w:t>
            </w:r>
          </w:p>
        </w:tc>
        <w:tc>
          <w:tcPr>
            <w:tcW w:w="2494" w:type="dxa"/>
            <w:tcBorders>
              <w:top w:val="dotted" w:sz="4" w:space="0" w:color="000000"/>
              <w:left w:val="dotted" w:sz="4" w:space="0" w:color="000000"/>
              <w:bottom w:val="dotted" w:sz="4" w:space="0" w:color="000000"/>
              <w:right w:val="dotted" w:sz="4" w:space="0" w:color="000000"/>
            </w:tcBorders>
          </w:tcPr>
          <w:p>
            <w:pPr>
              <w:pStyle w:val="TableParagraph"/>
              <w:spacing w:line="249" w:lineRule="auto" w:before="39"/>
              <w:ind w:left="75" w:right="402"/>
              <w:rPr>
                <w:sz w:val="16"/>
              </w:rPr>
            </w:pPr>
            <w:r>
              <w:rPr>
                <w:w w:val="85"/>
                <w:sz w:val="16"/>
              </w:rPr>
              <w:t>Centro</w:t>
            </w:r>
            <w:r>
              <w:rPr>
                <w:spacing w:val="-23"/>
                <w:w w:val="85"/>
                <w:sz w:val="16"/>
              </w:rPr>
              <w:t> </w:t>
            </w:r>
            <w:r>
              <w:rPr>
                <w:w w:val="85"/>
                <w:sz w:val="16"/>
              </w:rPr>
              <w:t>de</w:t>
            </w:r>
            <w:r>
              <w:rPr>
                <w:spacing w:val="-23"/>
                <w:w w:val="85"/>
                <w:sz w:val="16"/>
              </w:rPr>
              <w:t> </w:t>
            </w:r>
            <w:r>
              <w:rPr>
                <w:w w:val="85"/>
                <w:sz w:val="16"/>
              </w:rPr>
              <w:t>Excelencia</w:t>
            </w:r>
            <w:r>
              <w:rPr>
                <w:spacing w:val="-23"/>
                <w:w w:val="85"/>
                <w:sz w:val="16"/>
              </w:rPr>
              <w:t> </w:t>
            </w:r>
            <w:r>
              <w:rPr>
                <w:w w:val="85"/>
                <w:sz w:val="16"/>
              </w:rPr>
              <w:t>en</w:t>
            </w:r>
            <w:r>
              <w:rPr>
                <w:spacing w:val="-23"/>
                <w:w w:val="85"/>
                <w:sz w:val="16"/>
              </w:rPr>
              <w:t> </w:t>
            </w:r>
            <w:r>
              <w:rPr>
                <w:w w:val="85"/>
                <w:sz w:val="16"/>
              </w:rPr>
              <w:t>Gobierno </w:t>
            </w:r>
            <w:r>
              <w:rPr>
                <w:w w:val="75"/>
                <w:sz w:val="16"/>
              </w:rPr>
              <w:t>Corporativo </w:t>
            </w:r>
            <w:r>
              <w:rPr>
                <w:spacing w:val="8"/>
                <w:w w:val="75"/>
                <w:sz w:val="16"/>
              </w:rPr>
              <w:t> </w:t>
            </w:r>
            <w:r>
              <w:rPr>
                <w:w w:val="75"/>
                <w:sz w:val="16"/>
              </w:rPr>
              <w:t>(CEGC).</w:t>
            </w:r>
          </w:p>
        </w:tc>
        <w:tc>
          <w:tcPr>
            <w:tcW w:w="3742" w:type="dxa"/>
            <w:tcBorders>
              <w:top w:val="dotted" w:sz="4" w:space="0" w:color="000000"/>
              <w:left w:val="dotted" w:sz="4" w:space="0" w:color="000000"/>
              <w:bottom w:val="dotted" w:sz="4" w:space="0" w:color="000000"/>
              <w:right w:val="nil"/>
            </w:tcBorders>
          </w:tcPr>
          <w:p>
            <w:pPr>
              <w:pStyle w:val="TableParagraph"/>
              <w:spacing w:before="39"/>
              <w:ind w:left="75" w:right="559"/>
              <w:rPr>
                <w:sz w:val="16"/>
              </w:rPr>
            </w:pPr>
            <w:r>
              <w:rPr>
                <w:w w:val="85"/>
                <w:sz w:val="16"/>
              </w:rPr>
              <w:t>Fortalecimento de GC (2007-2010).</w:t>
            </w:r>
          </w:p>
        </w:tc>
      </w:tr>
      <w:tr>
        <w:trPr>
          <w:trHeight w:val="850" w:hRule="exact"/>
        </w:trPr>
        <w:tc>
          <w:tcPr>
            <w:tcW w:w="737" w:type="dxa"/>
            <w:tcBorders>
              <w:top w:val="dotted" w:sz="4" w:space="0" w:color="000000"/>
              <w:left w:val="nil"/>
              <w:right w:val="dotted" w:sz="4" w:space="0" w:color="000000"/>
            </w:tcBorders>
          </w:tcPr>
          <w:p>
            <w:pPr>
              <w:pStyle w:val="TableParagraph"/>
              <w:spacing w:before="39"/>
              <w:ind w:left="80"/>
              <w:rPr>
                <w:sz w:val="16"/>
              </w:rPr>
            </w:pPr>
            <w:r>
              <w:rPr>
                <w:w w:val="90"/>
                <w:sz w:val="16"/>
              </w:rPr>
              <w:t>Perú</w:t>
            </w:r>
          </w:p>
        </w:tc>
        <w:tc>
          <w:tcPr>
            <w:tcW w:w="2494" w:type="dxa"/>
            <w:tcBorders>
              <w:top w:val="dotted" w:sz="4" w:space="0" w:color="000000"/>
              <w:left w:val="dotted" w:sz="4" w:space="0" w:color="000000"/>
              <w:right w:val="dotted" w:sz="4" w:space="0" w:color="000000"/>
            </w:tcBorders>
          </w:tcPr>
          <w:p>
            <w:pPr>
              <w:pStyle w:val="TableParagraph"/>
              <w:spacing w:line="249" w:lineRule="auto" w:before="39"/>
              <w:ind w:left="75" w:right="54"/>
              <w:rPr>
                <w:sz w:val="16"/>
              </w:rPr>
            </w:pPr>
            <w:r>
              <w:rPr>
                <w:w w:val="85"/>
                <w:sz w:val="16"/>
              </w:rPr>
              <w:t>Asociación de Empresas Promotoras del</w:t>
            </w:r>
            <w:r>
              <w:rPr>
                <w:spacing w:val="-21"/>
                <w:w w:val="85"/>
                <w:sz w:val="16"/>
              </w:rPr>
              <w:t> </w:t>
            </w:r>
            <w:r>
              <w:rPr>
                <w:w w:val="85"/>
                <w:sz w:val="16"/>
              </w:rPr>
              <w:t>Mercado</w:t>
            </w:r>
            <w:r>
              <w:rPr>
                <w:spacing w:val="-21"/>
                <w:w w:val="85"/>
                <w:sz w:val="16"/>
              </w:rPr>
              <w:t> </w:t>
            </w:r>
            <w:r>
              <w:rPr>
                <w:w w:val="85"/>
                <w:sz w:val="16"/>
              </w:rPr>
              <w:t>de</w:t>
            </w:r>
            <w:r>
              <w:rPr>
                <w:spacing w:val="-21"/>
                <w:w w:val="85"/>
                <w:sz w:val="16"/>
              </w:rPr>
              <w:t> </w:t>
            </w:r>
            <w:r>
              <w:rPr>
                <w:w w:val="85"/>
                <w:sz w:val="16"/>
              </w:rPr>
              <w:t>Capitales</w:t>
            </w:r>
            <w:r>
              <w:rPr>
                <w:spacing w:val="-21"/>
                <w:w w:val="85"/>
                <w:sz w:val="16"/>
              </w:rPr>
              <w:t> </w:t>
            </w:r>
            <w:r>
              <w:rPr>
                <w:w w:val="85"/>
                <w:sz w:val="16"/>
              </w:rPr>
              <w:t>(Procapitales) </w:t>
            </w:r>
            <w:r>
              <w:rPr>
                <w:w w:val="90"/>
                <w:sz w:val="16"/>
              </w:rPr>
              <w:t>y Universidad Peruana de Ciencias </w:t>
            </w:r>
            <w:r>
              <w:rPr>
                <w:w w:val="80"/>
                <w:sz w:val="16"/>
              </w:rPr>
              <w:t>Aplicadas</w:t>
            </w:r>
            <w:r>
              <w:rPr>
                <w:spacing w:val="-16"/>
                <w:w w:val="80"/>
                <w:sz w:val="16"/>
              </w:rPr>
              <w:t> </w:t>
            </w:r>
            <w:r>
              <w:rPr>
                <w:w w:val="80"/>
                <w:sz w:val="16"/>
              </w:rPr>
              <w:t>(UPC).</w:t>
            </w:r>
          </w:p>
        </w:tc>
        <w:tc>
          <w:tcPr>
            <w:tcW w:w="3742" w:type="dxa"/>
            <w:tcBorders>
              <w:top w:val="dotted" w:sz="4" w:space="0" w:color="000000"/>
              <w:left w:val="dotted" w:sz="4" w:space="0" w:color="000000"/>
              <w:right w:val="nil"/>
            </w:tcBorders>
          </w:tcPr>
          <w:p>
            <w:pPr>
              <w:pStyle w:val="TableParagraph"/>
              <w:spacing w:before="39"/>
              <w:ind w:left="75" w:right="559"/>
              <w:rPr>
                <w:sz w:val="16"/>
              </w:rPr>
            </w:pPr>
            <w:r>
              <w:rPr>
                <w:w w:val="85"/>
                <w:sz w:val="16"/>
              </w:rPr>
              <w:t>Entrenamiento en GC (2005-2007).</w:t>
            </w:r>
          </w:p>
        </w:tc>
      </w:tr>
    </w:tbl>
    <w:p>
      <w:pPr>
        <w:spacing w:before="44"/>
        <w:ind w:left="120" w:right="0" w:firstLine="0"/>
        <w:jc w:val="both"/>
        <w:rPr>
          <w:rFonts w:ascii="Arial" w:hAnsi="Arial"/>
          <w:sz w:val="14"/>
        </w:rPr>
      </w:pPr>
      <w:r>
        <w:rPr>
          <w:rFonts w:ascii="Arial" w:hAnsi="Arial"/>
          <w:w w:val="85"/>
          <w:sz w:val="14"/>
        </w:rPr>
        <w:t>Fuente: Elaboración propia a partir de CIPE, </w:t>
      </w:r>
      <w:r>
        <w:rPr>
          <w:rFonts w:ascii="Arial" w:hAnsi="Arial"/>
          <w:i/>
          <w:w w:val="85"/>
          <w:sz w:val="14"/>
        </w:rPr>
        <w:t>Annual Report </w:t>
      </w:r>
      <w:r>
        <w:rPr>
          <w:rFonts w:ascii="Arial" w:hAnsi="Arial"/>
          <w:w w:val="85"/>
          <w:sz w:val="14"/>
        </w:rPr>
        <w:t>2007 a 2012. Datos de 2011 y 2012 colectados por Kopittke (2013).</w:t>
      </w:r>
    </w:p>
    <w:p>
      <w:pPr>
        <w:pStyle w:val="BodyText"/>
        <w:rPr>
          <w:rFonts w:ascii="Arial"/>
          <w:sz w:val="14"/>
        </w:rPr>
      </w:pPr>
    </w:p>
    <w:p>
      <w:pPr>
        <w:pStyle w:val="BodyText"/>
        <w:spacing w:line="252" w:lineRule="auto" w:before="97"/>
        <w:ind w:left="120" w:right="868"/>
        <w:jc w:val="both"/>
      </w:pPr>
      <w:r>
        <w:rPr>
          <w:w w:val="110"/>
        </w:rPr>
        <w:t>En el período de 2005 a 2007, el CiPE apoyó iniciativas para el desa- rrollo de la gobernanza corporativa en Perú a través de la asociación de Empresas Promotoras del Mercado de Capitales (Procapitales)</w:t>
      </w:r>
      <w:r>
        <w:rPr>
          <w:w w:val="110"/>
          <w:position w:val="6"/>
          <w:sz w:val="11"/>
        </w:rPr>
        <w:t>29 </w:t>
      </w:r>
      <w:r>
        <w:rPr>
          <w:w w:val="110"/>
        </w:rPr>
        <w:t>y la universidad Peruana de Ciencias aplicadas    (uPC)</w:t>
      </w:r>
      <w:r>
        <w:rPr>
          <w:w w:val="110"/>
          <w:position w:val="6"/>
          <w:sz w:val="11"/>
        </w:rPr>
        <w:t>30</w:t>
      </w:r>
      <w:r>
        <w:rPr>
          <w:w w:val="110"/>
        </w:rPr>
        <w:t>.</w:t>
      </w:r>
    </w:p>
    <w:p>
      <w:pPr>
        <w:pStyle w:val="BodyText"/>
        <w:spacing w:line="252" w:lineRule="auto"/>
        <w:ind w:left="120" w:right="868" w:firstLine="396"/>
        <w:jc w:val="both"/>
      </w:pPr>
      <w:r>
        <w:rPr>
          <w:w w:val="110"/>
        </w:rPr>
        <w:t>En argentina, como fue mencionado,  en  2006  el  CiPE  articuló su actuación con el Centro para la Estabilidad Financiera (CEF) con    el propósito de desarrollar un padrón de medición de calidad de las prácticas de gobernanza corporativa en las instituciones    </w:t>
      </w:r>
      <w:r>
        <w:rPr>
          <w:spacing w:val="3"/>
          <w:w w:val="110"/>
        </w:rPr>
        <w:t> </w:t>
      </w:r>
      <w:r>
        <w:rPr>
          <w:w w:val="110"/>
        </w:rPr>
        <w:t>financieras</w:t>
      </w:r>
    </w:p>
    <w:p>
      <w:pPr>
        <w:pStyle w:val="BodyText"/>
        <w:spacing w:before="6"/>
        <w:rPr>
          <w:sz w:val="26"/>
        </w:rPr>
      </w:pPr>
      <w:r>
        <w:rPr/>
        <w:pict>
          <v:line style="position:absolute;mso-position-horizontal-relative:page;mso-position-vertical-relative:paragraph;z-index:5824;mso-wrap-distance-left:0;mso-wrap-distance-right:0" from="51.023602pt,17.747429pt" to="79.369602pt,17.747429pt" stroked="true" strokeweight=".5pt" strokecolor="#000000">
            <w10:wrap type="topAndBottom"/>
          </v:line>
        </w:pict>
      </w:r>
    </w:p>
    <w:p>
      <w:pPr>
        <w:pStyle w:val="ListParagraph"/>
        <w:numPr>
          <w:ilvl w:val="0"/>
          <w:numId w:val="28"/>
        </w:numPr>
        <w:tabs>
          <w:tab w:pos="376" w:val="left" w:leader="none"/>
        </w:tabs>
        <w:spacing w:line="242" w:lineRule="auto" w:before="89" w:after="0"/>
        <w:ind w:left="120" w:right="868" w:firstLine="0"/>
        <w:jc w:val="both"/>
        <w:rPr>
          <w:sz w:val="16"/>
        </w:rPr>
      </w:pPr>
      <w:r>
        <w:rPr>
          <w:w w:val="105"/>
          <w:sz w:val="16"/>
        </w:rPr>
        <w:t>Procapitales fue constituida el 18 de julio de 2001, con siete asociados; en 2008  </w:t>
      </w:r>
      <w:r>
        <w:rPr>
          <w:spacing w:val="37"/>
          <w:w w:val="105"/>
          <w:sz w:val="16"/>
        </w:rPr>
        <w:t> </w:t>
      </w:r>
      <w:r>
        <w:rPr>
          <w:w w:val="105"/>
          <w:sz w:val="16"/>
        </w:rPr>
        <w:t>ya sumaba cincuenta empresas. su objetivo es desarrollar un mercado de capitales e implementar prácticas de gobernanza corporativa. disponible en &lt;http://www.inver- tir.org.pe&gt; según entrada hecha el día 4 de septiembre de   </w:t>
      </w:r>
      <w:r>
        <w:rPr>
          <w:spacing w:val="14"/>
          <w:w w:val="105"/>
          <w:sz w:val="16"/>
        </w:rPr>
        <w:t> </w:t>
      </w:r>
      <w:r>
        <w:rPr>
          <w:w w:val="105"/>
          <w:sz w:val="16"/>
        </w:rPr>
        <w:t>2008.</w:t>
      </w:r>
    </w:p>
    <w:p>
      <w:pPr>
        <w:pStyle w:val="ListParagraph"/>
        <w:numPr>
          <w:ilvl w:val="0"/>
          <w:numId w:val="28"/>
        </w:numPr>
        <w:tabs>
          <w:tab w:pos="376" w:val="left" w:leader="none"/>
        </w:tabs>
        <w:spacing w:line="242" w:lineRule="auto" w:before="57" w:after="0"/>
        <w:ind w:left="120" w:right="868" w:firstLine="0"/>
        <w:jc w:val="both"/>
        <w:rPr>
          <w:sz w:val="16"/>
        </w:rPr>
      </w:pPr>
      <w:r>
        <w:rPr>
          <w:w w:val="110"/>
          <w:sz w:val="16"/>
        </w:rPr>
        <w:t>En</w:t>
      </w:r>
      <w:r>
        <w:rPr>
          <w:spacing w:val="-8"/>
          <w:w w:val="110"/>
          <w:sz w:val="16"/>
        </w:rPr>
        <w:t> </w:t>
      </w:r>
      <w:r>
        <w:rPr>
          <w:w w:val="110"/>
          <w:sz w:val="16"/>
        </w:rPr>
        <w:t>2005</w:t>
      </w:r>
      <w:r>
        <w:rPr>
          <w:spacing w:val="-8"/>
          <w:w w:val="110"/>
          <w:sz w:val="16"/>
        </w:rPr>
        <w:t> </w:t>
      </w:r>
      <w:r>
        <w:rPr>
          <w:w w:val="110"/>
          <w:sz w:val="16"/>
        </w:rPr>
        <w:t>fue</w:t>
      </w:r>
      <w:r>
        <w:rPr>
          <w:spacing w:val="-8"/>
          <w:w w:val="110"/>
          <w:sz w:val="16"/>
        </w:rPr>
        <w:t> </w:t>
      </w:r>
      <w:r>
        <w:rPr>
          <w:w w:val="110"/>
          <w:sz w:val="16"/>
        </w:rPr>
        <w:t>realizada</w:t>
      </w:r>
      <w:r>
        <w:rPr>
          <w:spacing w:val="-8"/>
          <w:w w:val="110"/>
          <w:sz w:val="16"/>
        </w:rPr>
        <w:t> </w:t>
      </w:r>
      <w:r>
        <w:rPr>
          <w:w w:val="110"/>
          <w:sz w:val="16"/>
        </w:rPr>
        <w:t>una</w:t>
      </w:r>
      <w:r>
        <w:rPr>
          <w:spacing w:val="-8"/>
          <w:w w:val="110"/>
          <w:sz w:val="16"/>
        </w:rPr>
        <w:t> </w:t>
      </w:r>
      <w:r>
        <w:rPr>
          <w:w w:val="110"/>
          <w:sz w:val="16"/>
        </w:rPr>
        <w:t>investigación</w:t>
      </w:r>
      <w:r>
        <w:rPr>
          <w:spacing w:val="-8"/>
          <w:w w:val="110"/>
          <w:sz w:val="16"/>
        </w:rPr>
        <w:t> </w:t>
      </w:r>
      <w:r>
        <w:rPr>
          <w:w w:val="110"/>
          <w:sz w:val="16"/>
        </w:rPr>
        <w:t>sobre</w:t>
      </w:r>
      <w:r>
        <w:rPr>
          <w:spacing w:val="-8"/>
          <w:w w:val="110"/>
          <w:sz w:val="16"/>
        </w:rPr>
        <w:t> </w:t>
      </w:r>
      <w:r>
        <w:rPr>
          <w:w w:val="110"/>
          <w:sz w:val="16"/>
        </w:rPr>
        <w:t>gobernanza</w:t>
      </w:r>
      <w:r>
        <w:rPr>
          <w:spacing w:val="-8"/>
          <w:w w:val="110"/>
          <w:sz w:val="16"/>
        </w:rPr>
        <w:t> </w:t>
      </w:r>
      <w:r>
        <w:rPr>
          <w:w w:val="110"/>
          <w:sz w:val="16"/>
        </w:rPr>
        <w:t>corporativa</w:t>
      </w:r>
      <w:r>
        <w:rPr>
          <w:spacing w:val="-8"/>
          <w:w w:val="110"/>
          <w:sz w:val="16"/>
        </w:rPr>
        <w:t> </w:t>
      </w:r>
      <w:r>
        <w:rPr>
          <w:w w:val="110"/>
          <w:sz w:val="16"/>
        </w:rPr>
        <w:t>con</w:t>
      </w:r>
      <w:r>
        <w:rPr>
          <w:spacing w:val="-8"/>
          <w:w w:val="110"/>
          <w:sz w:val="16"/>
        </w:rPr>
        <w:t> </w:t>
      </w:r>
      <w:r>
        <w:rPr>
          <w:w w:val="110"/>
          <w:sz w:val="16"/>
        </w:rPr>
        <w:t>4.000 empresas peruanas (CiPE, </w:t>
      </w:r>
      <w:r>
        <w:rPr>
          <w:i/>
          <w:w w:val="110"/>
          <w:sz w:val="16"/>
        </w:rPr>
        <w:t>Annual Report</w:t>
      </w:r>
      <w:r>
        <w:rPr>
          <w:w w:val="110"/>
          <w:sz w:val="16"/>
        </w:rPr>
        <w:t>,</w:t>
      </w:r>
      <w:r>
        <w:rPr>
          <w:spacing w:val="-18"/>
          <w:w w:val="110"/>
          <w:sz w:val="16"/>
        </w:rPr>
        <w:t> </w:t>
      </w:r>
      <w:r>
        <w:rPr>
          <w:w w:val="110"/>
          <w:sz w:val="16"/>
        </w:rPr>
        <w:t>2005).</w:t>
      </w:r>
    </w:p>
    <w:p>
      <w:pPr>
        <w:spacing w:after="0" w:line="242" w:lineRule="auto"/>
        <w:jc w:val="both"/>
        <w:rPr>
          <w:sz w:val="16"/>
        </w:rPr>
        <w:sectPr>
          <w:pgSz w:w="8790" w:h="12760"/>
          <w:pgMar w:header="697" w:footer="723" w:top="880" w:bottom="920" w:left="900" w:right="660"/>
        </w:sectPr>
      </w:pPr>
    </w:p>
    <w:p>
      <w:pPr>
        <w:pStyle w:val="BodyText"/>
        <w:spacing w:before="7"/>
        <w:rPr>
          <w:sz w:val="28"/>
        </w:rPr>
      </w:pPr>
    </w:p>
    <w:p>
      <w:pPr>
        <w:pStyle w:val="BodyText"/>
        <w:spacing w:line="252" w:lineRule="auto" w:before="73"/>
        <w:ind w:left="330" w:right="118"/>
        <w:jc w:val="both"/>
      </w:pPr>
      <w:r>
        <w:rPr>
          <w:w w:val="110"/>
        </w:rPr>
        <w:t>del país (CiPE, </w:t>
      </w:r>
      <w:r>
        <w:rPr>
          <w:i/>
          <w:w w:val="110"/>
        </w:rPr>
        <w:t>Annual Report</w:t>
      </w:r>
      <w:r>
        <w:rPr>
          <w:w w:val="110"/>
        </w:rPr>
        <w:t>, 2006). El CEF fue organizado duran-     te la crisis argentina de 2001 y empezó a funcionar al año siguiente, realizando análisis y formulando propuestas de políticas públicas re- lacionadas con el sistema financiero, tarea en la cual recibió apoyo de instituciones financieras locales e</w:t>
      </w:r>
      <w:r>
        <w:rPr>
          <w:spacing w:val="31"/>
          <w:w w:val="110"/>
        </w:rPr>
        <w:t> </w:t>
      </w:r>
      <w:r>
        <w:rPr>
          <w:w w:val="110"/>
        </w:rPr>
        <w:t>internacionales</w:t>
      </w:r>
      <w:r>
        <w:rPr>
          <w:w w:val="110"/>
          <w:position w:val="6"/>
          <w:sz w:val="11"/>
        </w:rPr>
        <w:t>31</w:t>
      </w:r>
      <w:r>
        <w:rPr>
          <w:w w:val="110"/>
        </w:rPr>
        <w:t>.</w:t>
      </w:r>
    </w:p>
    <w:p>
      <w:pPr>
        <w:pStyle w:val="BodyText"/>
        <w:spacing w:line="252" w:lineRule="auto"/>
        <w:ind w:left="330" w:right="117" w:firstLine="396"/>
        <w:jc w:val="both"/>
      </w:pPr>
      <w:r>
        <w:rPr>
          <w:w w:val="110"/>
        </w:rPr>
        <w:t>En brasil, el instituto brasileño de Gobernanza Corporativa (ibGC), creado en 1995, recibió fondos del CiPE en 2004 y realizó en 2005 una investigación sobre gobernanza corporativa en empresas</w:t>
      </w:r>
      <w:r>
        <w:rPr>
          <w:spacing w:val="-5"/>
          <w:w w:val="110"/>
        </w:rPr>
        <w:t> </w:t>
      </w:r>
      <w:r>
        <w:rPr>
          <w:w w:val="110"/>
        </w:rPr>
        <w:t>de </w:t>
      </w:r>
      <w:r>
        <w:rPr>
          <w:w w:val="110"/>
        </w:rPr>
        <w:t>control</w:t>
      </w:r>
      <w:r>
        <w:rPr>
          <w:spacing w:val="19"/>
        </w:rPr>
        <w:t> </w:t>
      </w:r>
      <w:r>
        <w:rPr>
          <w:w w:val="112"/>
        </w:rPr>
        <w:t>familia</w:t>
      </w:r>
      <w:r>
        <w:rPr>
          <w:spacing w:val="-1"/>
          <w:w w:val="112"/>
        </w:rPr>
        <w:t>r</w:t>
      </w:r>
      <w:r>
        <w:rPr>
          <w:w w:val="103"/>
          <w:position w:val="6"/>
          <w:sz w:val="11"/>
        </w:rPr>
        <w:t>32</w:t>
      </w:r>
      <w:r>
        <w:rPr>
          <w:w w:val="138"/>
        </w:rPr>
        <w:t>.</w:t>
      </w:r>
      <w:r>
        <w:rPr>
          <w:spacing w:val="19"/>
        </w:rPr>
        <w:t> </w:t>
      </w:r>
      <w:r>
        <w:rPr>
          <w:w w:val="243"/>
        </w:rPr>
        <w:t>l</w:t>
      </w:r>
      <w:r>
        <w:rPr>
          <w:w w:val="108"/>
        </w:rPr>
        <w:t>os</w:t>
      </w:r>
      <w:r>
        <w:rPr>
          <w:spacing w:val="19"/>
        </w:rPr>
        <w:t> </w:t>
      </w:r>
      <w:r>
        <w:rPr>
          <w:w w:val="108"/>
        </w:rPr>
        <w:t>resultados</w:t>
      </w:r>
      <w:r>
        <w:rPr>
          <w:spacing w:val="19"/>
        </w:rPr>
        <w:t> </w:t>
      </w:r>
      <w:r>
        <w:rPr>
          <w:w w:val="107"/>
        </w:rPr>
        <w:t>de</w:t>
      </w:r>
      <w:r>
        <w:rPr>
          <w:spacing w:val="19"/>
        </w:rPr>
        <w:t> </w:t>
      </w:r>
      <w:r>
        <w:rPr>
          <w:w w:val="111"/>
        </w:rPr>
        <w:t>la</w:t>
      </w:r>
      <w:r>
        <w:rPr>
          <w:spacing w:val="19"/>
        </w:rPr>
        <w:t> </w:t>
      </w:r>
      <w:r>
        <w:rPr>
          <w:w w:val="110"/>
        </w:rPr>
        <w:t>investigación</w:t>
      </w:r>
      <w:r>
        <w:rPr>
          <w:spacing w:val="19"/>
        </w:rPr>
        <w:t> </w:t>
      </w:r>
      <w:r>
        <w:rPr>
          <w:w w:val="108"/>
        </w:rPr>
        <w:t>están</w:t>
      </w:r>
      <w:r>
        <w:rPr>
          <w:spacing w:val="19"/>
        </w:rPr>
        <w:t> </w:t>
      </w:r>
      <w:r>
        <w:rPr>
          <w:w w:val="108"/>
        </w:rPr>
        <w:t>en</w:t>
      </w:r>
      <w:r>
        <w:rPr>
          <w:spacing w:val="19"/>
        </w:rPr>
        <w:t> </w:t>
      </w:r>
      <w:r>
        <w:rPr>
          <w:w w:val="107"/>
        </w:rPr>
        <w:t>el</w:t>
      </w:r>
      <w:r>
        <w:rPr>
          <w:spacing w:val="19"/>
        </w:rPr>
        <w:t> </w:t>
      </w:r>
      <w:r>
        <w:rPr>
          <w:w w:val="110"/>
        </w:rPr>
        <w:t>libro </w:t>
      </w:r>
      <w:r>
        <w:rPr>
          <w:i/>
          <w:w w:val="110"/>
        </w:rPr>
        <w:t>Governança</w:t>
      </w:r>
      <w:r>
        <w:rPr>
          <w:i/>
          <w:spacing w:val="-4"/>
          <w:w w:val="110"/>
        </w:rPr>
        <w:t> </w:t>
      </w:r>
      <w:r>
        <w:rPr>
          <w:i/>
          <w:w w:val="110"/>
        </w:rPr>
        <w:t>Corporativa</w:t>
      </w:r>
      <w:r>
        <w:rPr>
          <w:i/>
          <w:spacing w:val="-4"/>
          <w:w w:val="110"/>
        </w:rPr>
        <w:t> </w:t>
      </w:r>
      <w:r>
        <w:rPr>
          <w:i/>
          <w:w w:val="110"/>
        </w:rPr>
        <w:t>en</w:t>
      </w:r>
      <w:r>
        <w:rPr>
          <w:i/>
          <w:spacing w:val="-4"/>
          <w:w w:val="110"/>
        </w:rPr>
        <w:t> </w:t>
      </w:r>
      <w:r>
        <w:rPr>
          <w:i/>
          <w:w w:val="110"/>
        </w:rPr>
        <w:t>empresas</w:t>
      </w:r>
      <w:r>
        <w:rPr>
          <w:i/>
          <w:spacing w:val="-4"/>
          <w:w w:val="110"/>
        </w:rPr>
        <w:t> </w:t>
      </w:r>
      <w:r>
        <w:rPr>
          <w:i/>
          <w:w w:val="110"/>
        </w:rPr>
        <w:t>de</w:t>
      </w:r>
      <w:r>
        <w:rPr>
          <w:i/>
          <w:spacing w:val="-4"/>
          <w:w w:val="110"/>
        </w:rPr>
        <w:t> </w:t>
      </w:r>
      <w:r>
        <w:rPr>
          <w:i/>
          <w:w w:val="110"/>
        </w:rPr>
        <w:t>controle</w:t>
      </w:r>
      <w:r>
        <w:rPr>
          <w:i/>
          <w:spacing w:val="-4"/>
          <w:w w:val="110"/>
        </w:rPr>
        <w:t> </w:t>
      </w:r>
      <w:r>
        <w:rPr>
          <w:i/>
          <w:w w:val="110"/>
        </w:rPr>
        <w:t>familiar</w:t>
      </w:r>
      <w:r>
        <w:rPr>
          <w:w w:val="110"/>
        </w:rPr>
        <w:t>:</w:t>
      </w:r>
      <w:r>
        <w:rPr>
          <w:spacing w:val="-4"/>
          <w:w w:val="110"/>
        </w:rPr>
        <w:t> </w:t>
      </w:r>
      <w:r>
        <w:rPr>
          <w:i/>
          <w:w w:val="110"/>
        </w:rPr>
        <w:t>Casos</w:t>
      </w:r>
      <w:r>
        <w:rPr>
          <w:i/>
          <w:spacing w:val="-4"/>
          <w:w w:val="110"/>
        </w:rPr>
        <w:t> </w:t>
      </w:r>
      <w:r>
        <w:rPr>
          <w:i/>
          <w:w w:val="110"/>
        </w:rPr>
        <w:t>de</w:t>
      </w:r>
      <w:r>
        <w:rPr>
          <w:i/>
          <w:spacing w:val="-4"/>
          <w:w w:val="110"/>
        </w:rPr>
        <w:t> </w:t>
      </w:r>
      <w:r>
        <w:rPr>
          <w:i/>
          <w:w w:val="110"/>
        </w:rPr>
        <w:t>des- </w:t>
      </w:r>
      <w:r>
        <w:rPr>
          <w:i/>
          <w:w w:val="110"/>
        </w:rPr>
        <w:t>taque no Brasil</w:t>
      </w:r>
      <w:r>
        <w:rPr>
          <w:w w:val="110"/>
        </w:rPr>
        <w:t>, publicado en 2006</w:t>
      </w:r>
      <w:r>
        <w:rPr>
          <w:i/>
          <w:w w:val="110"/>
        </w:rPr>
        <w:t>. </w:t>
      </w:r>
      <w:r>
        <w:rPr>
          <w:w w:val="110"/>
        </w:rPr>
        <w:t>una edición impresa en inglés fue editada “con patrocinio parcial” del CiPE en 2008</w:t>
      </w:r>
      <w:r>
        <w:rPr>
          <w:w w:val="110"/>
          <w:position w:val="6"/>
          <w:sz w:val="11"/>
        </w:rPr>
        <w:t>33 </w:t>
      </w:r>
      <w:r>
        <w:rPr>
          <w:w w:val="110"/>
        </w:rPr>
        <w:t>(para un análisis bibliométrico de la producción acerca de gobernanza corporativa en </w:t>
      </w:r>
      <w:r>
        <w:rPr>
          <w:w w:val="134"/>
        </w:rPr>
        <w:t>b</w:t>
      </w:r>
      <w:r>
        <w:rPr>
          <w:w w:val="109"/>
        </w:rPr>
        <w:t>rasil</w:t>
      </w:r>
      <w:r>
        <w:rPr>
          <w:spacing w:val="12"/>
        </w:rPr>
        <w:t> </w:t>
      </w:r>
      <w:r>
        <w:rPr>
          <w:w w:val="103"/>
        </w:rPr>
        <w:t>ver</w:t>
      </w:r>
      <w:r>
        <w:rPr>
          <w:spacing w:val="12"/>
        </w:rPr>
        <w:t> </w:t>
      </w:r>
      <w:r>
        <w:rPr>
          <w:w w:val="243"/>
        </w:rPr>
        <w:t>l</w:t>
      </w:r>
      <w:r>
        <w:rPr>
          <w:w w:val="113"/>
        </w:rPr>
        <w:t>ara,</w:t>
      </w:r>
      <w:r>
        <w:rPr>
          <w:spacing w:val="12"/>
        </w:rPr>
        <w:t> </w:t>
      </w:r>
      <w:r>
        <w:rPr>
          <w:w w:val="104"/>
        </w:rPr>
        <w:t>2015).</w:t>
      </w:r>
    </w:p>
    <w:p>
      <w:pPr>
        <w:pStyle w:val="BodyText"/>
        <w:spacing w:line="252" w:lineRule="auto"/>
        <w:ind w:left="330" w:right="118" w:firstLine="396"/>
        <w:jc w:val="both"/>
      </w:pPr>
      <w:r>
        <w:rPr>
          <w:w w:val="110"/>
        </w:rPr>
        <w:t>En Chile el </w:t>
      </w:r>
      <w:r>
        <w:rPr>
          <w:i/>
          <w:w w:val="110"/>
        </w:rPr>
        <w:t>Centro para el Gobierno de la Empresa </w:t>
      </w:r>
      <w:r>
        <w:rPr>
          <w:w w:val="110"/>
        </w:rPr>
        <w:t>resultó de una asociación de la Pontificia universidad Católica de Chile con organi- zaciones que representan intereses empresariales en el país: socie- dad de Fomento Fabril, asociación de administradoras de Fondos de Pensiones, bolsa de Comercio de santiago, Cámara de Comercio de santiago y la Cámara Chileno-Norteamericana de    Comercio.</w:t>
      </w:r>
    </w:p>
    <w:p>
      <w:pPr>
        <w:spacing w:line="252" w:lineRule="auto" w:before="0"/>
        <w:ind w:left="330" w:right="117" w:firstLine="396"/>
        <w:jc w:val="both"/>
        <w:rPr>
          <w:sz w:val="19"/>
        </w:rPr>
      </w:pPr>
      <w:r>
        <w:rPr>
          <w:w w:val="110"/>
          <w:sz w:val="19"/>
        </w:rPr>
        <w:t>En México, el </w:t>
      </w:r>
      <w:r>
        <w:rPr>
          <w:i/>
          <w:w w:val="110"/>
          <w:sz w:val="19"/>
        </w:rPr>
        <w:t>Centro de Excelencia en Gobierno Corporativo </w:t>
      </w:r>
      <w:r>
        <w:rPr>
          <w:w w:val="110"/>
          <w:sz w:val="19"/>
        </w:rPr>
        <w:t>(CEGC) fue organizado en 2004 por la u</w:t>
      </w:r>
      <w:r>
        <w:rPr>
          <w:i/>
          <w:w w:val="110"/>
          <w:sz w:val="19"/>
        </w:rPr>
        <w:t>niversidad Anáhuac del Sur </w:t>
      </w:r>
      <w:r>
        <w:rPr>
          <w:w w:val="110"/>
          <w:sz w:val="19"/>
        </w:rPr>
        <w:t>y por la empresa </w:t>
      </w:r>
      <w:r>
        <w:rPr>
          <w:i/>
          <w:w w:val="110"/>
          <w:sz w:val="19"/>
        </w:rPr>
        <w:t>Deloitte de México</w:t>
      </w:r>
      <w:r>
        <w:rPr>
          <w:w w:val="110"/>
          <w:sz w:val="19"/>
        </w:rPr>
        <w:t>, con el apoyo y asesoría de la uni- versidad de </w:t>
      </w:r>
      <w:r>
        <w:rPr>
          <w:spacing w:val="-4"/>
          <w:w w:val="110"/>
          <w:sz w:val="19"/>
        </w:rPr>
        <w:t>Yale, </w:t>
      </w:r>
      <w:r>
        <w:rPr>
          <w:w w:val="110"/>
          <w:sz w:val="19"/>
        </w:rPr>
        <w:t>el banco Mundial y la </w:t>
      </w:r>
      <w:r>
        <w:rPr>
          <w:i/>
          <w:w w:val="110"/>
          <w:sz w:val="19"/>
        </w:rPr>
        <w:t>National Association of </w:t>
      </w:r>
      <w:r>
        <w:rPr>
          <w:i/>
          <w:spacing w:val="-3"/>
          <w:w w:val="110"/>
          <w:sz w:val="19"/>
        </w:rPr>
        <w:t>Cor- </w:t>
      </w:r>
      <w:r>
        <w:rPr>
          <w:i/>
          <w:w w:val="110"/>
          <w:sz w:val="19"/>
        </w:rPr>
        <w:t>porate Directors </w:t>
      </w:r>
      <w:r>
        <w:rPr>
          <w:w w:val="110"/>
          <w:sz w:val="19"/>
        </w:rPr>
        <w:t>(NaCd), organización ubicada en Washington y que está compuesta por miembros de consejos de las </w:t>
      </w:r>
      <w:r>
        <w:rPr>
          <w:spacing w:val="6"/>
          <w:w w:val="110"/>
          <w:sz w:val="19"/>
        </w:rPr>
        <w:t> </w:t>
      </w:r>
      <w:r>
        <w:rPr>
          <w:w w:val="110"/>
          <w:sz w:val="19"/>
        </w:rPr>
        <w:t>corporaciones.</w:t>
      </w:r>
    </w:p>
    <w:p>
      <w:pPr>
        <w:pStyle w:val="BodyText"/>
        <w:spacing w:before="9"/>
        <w:rPr>
          <w:sz w:val="29"/>
        </w:rPr>
      </w:pPr>
      <w:r>
        <w:rPr/>
        <w:pict>
          <v:line style="position:absolute;mso-position-horizontal-relative:page;mso-position-vertical-relative:paragraph;z-index:5848;mso-wrap-distance-left:0;mso-wrap-distance-right:0" from="76.5355pt,19.690727pt" to="104.8815pt,19.690727pt" stroked="true" strokeweight=".5pt" strokecolor="#000000">
            <w10:wrap type="topAndBottom"/>
          </v:line>
        </w:pict>
      </w:r>
    </w:p>
    <w:p>
      <w:pPr>
        <w:pStyle w:val="ListParagraph"/>
        <w:numPr>
          <w:ilvl w:val="0"/>
          <w:numId w:val="28"/>
        </w:numPr>
        <w:tabs>
          <w:tab w:pos="586" w:val="left" w:leader="none"/>
        </w:tabs>
        <w:spacing w:line="242" w:lineRule="auto" w:before="89" w:after="0"/>
        <w:ind w:left="330" w:right="117" w:firstLine="0"/>
        <w:jc w:val="both"/>
        <w:rPr>
          <w:sz w:val="16"/>
        </w:rPr>
      </w:pPr>
      <w:r>
        <w:rPr>
          <w:w w:val="110"/>
          <w:sz w:val="16"/>
        </w:rPr>
        <w:t>Mercado a </w:t>
      </w:r>
      <w:r>
        <w:rPr>
          <w:spacing w:val="-3"/>
          <w:w w:val="110"/>
          <w:sz w:val="16"/>
        </w:rPr>
        <w:t>término  </w:t>
      </w:r>
      <w:r>
        <w:rPr>
          <w:w w:val="110"/>
          <w:sz w:val="16"/>
        </w:rPr>
        <w:t>de rosario (roFEx) y el instituto argentino de Ejecutivos     de Finanzas (iaEF) fueron los fundadores del CEF (ver </w:t>
      </w:r>
      <w:r>
        <w:rPr>
          <w:spacing w:val="-5"/>
          <w:w w:val="110"/>
          <w:sz w:val="16"/>
        </w:rPr>
        <w:t>CEF, </w:t>
      </w:r>
      <w:r>
        <w:rPr>
          <w:i/>
          <w:w w:val="110"/>
          <w:sz w:val="16"/>
        </w:rPr>
        <w:t>Memoria de Actividades</w:t>
      </w:r>
      <w:r>
        <w:rPr>
          <w:w w:val="110"/>
          <w:sz w:val="16"/>
        </w:rPr>
        <w:t>, 2006). a lo largo de los años, además del CiPE, el CEF recibió el apoyo de insti- tuciones como el banco Mundial y el banco interamericano de desarrollo (bid), asociaciones de clase de los banqueros (asociación de bancos de la argentina - aba, y asociación de bancos Privados de Capital argentino - adEba), empresas y bancos argentinos</w:t>
      </w:r>
      <w:r>
        <w:rPr>
          <w:spacing w:val="-7"/>
          <w:w w:val="110"/>
          <w:sz w:val="16"/>
        </w:rPr>
        <w:t> </w:t>
      </w:r>
      <w:r>
        <w:rPr>
          <w:w w:val="110"/>
          <w:sz w:val="16"/>
        </w:rPr>
        <w:t>y</w:t>
      </w:r>
      <w:r>
        <w:rPr>
          <w:spacing w:val="-7"/>
          <w:w w:val="110"/>
          <w:sz w:val="16"/>
        </w:rPr>
        <w:t> </w:t>
      </w:r>
      <w:r>
        <w:rPr>
          <w:w w:val="110"/>
          <w:sz w:val="16"/>
        </w:rPr>
        <w:t>multinacionales.</w:t>
      </w:r>
      <w:r>
        <w:rPr>
          <w:spacing w:val="-7"/>
          <w:w w:val="110"/>
          <w:sz w:val="16"/>
        </w:rPr>
        <w:t> </w:t>
      </w:r>
      <w:r>
        <w:rPr>
          <w:w w:val="110"/>
          <w:sz w:val="16"/>
        </w:rPr>
        <w:t>disponible</w:t>
      </w:r>
      <w:r>
        <w:rPr>
          <w:spacing w:val="-7"/>
          <w:w w:val="110"/>
          <w:sz w:val="16"/>
        </w:rPr>
        <w:t> </w:t>
      </w:r>
      <w:r>
        <w:rPr>
          <w:w w:val="110"/>
          <w:sz w:val="16"/>
        </w:rPr>
        <w:t>en</w:t>
      </w:r>
      <w:r>
        <w:rPr>
          <w:spacing w:val="-7"/>
          <w:w w:val="110"/>
          <w:sz w:val="16"/>
        </w:rPr>
        <w:t> </w:t>
      </w:r>
      <w:r>
        <w:rPr>
          <w:w w:val="110"/>
          <w:sz w:val="16"/>
        </w:rPr>
        <w:t>&lt;</w:t>
      </w:r>
      <w:hyperlink r:id="rId328">
        <w:r>
          <w:rPr>
            <w:w w:val="110"/>
            <w:sz w:val="16"/>
          </w:rPr>
          <w:t>http://www.cefargentina.org/apoyan.</w:t>
        </w:r>
      </w:hyperlink>
      <w:r>
        <w:rPr>
          <w:w w:val="110"/>
          <w:sz w:val="16"/>
        </w:rPr>
        <w:t> php?seccion=0108&amp;lang=es&gt;</w:t>
      </w:r>
      <w:r>
        <w:rPr>
          <w:spacing w:val="-11"/>
          <w:w w:val="110"/>
          <w:sz w:val="16"/>
        </w:rPr>
        <w:t> </w:t>
      </w:r>
      <w:r>
        <w:rPr>
          <w:w w:val="110"/>
          <w:sz w:val="16"/>
        </w:rPr>
        <w:t>según</w:t>
      </w:r>
      <w:r>
        <w:rPr>
          <w:spacing w:val="-11"/>
          <w:w w:val="110"/>
          <w:sz w:val="16"/>
        </w:rPr>
        <w:t> </w:t>
      </w:r>
      <w:r>
        <w:rPr>
          <w:w w:val="110"/>
          <w:sz w:val="16"/>
        </w:rPr>
        <w:t>entrada</w:t>
      </w:r>
      <w:r>
        <w:rPr>
          <w:spacing w:val="-11"/>
          <w:w w:val="110"/>
          <w:sz w:val="16"/>
        </w:rPr>
        <w:t> </w:t>
      </w:r>
      <w:r>
        <w:rPr>
          <w:w w:val="110"/>
          <w:sz w:val="16"/>
        </w:rPr>
        <w:t>hecha</w:t>
      </w:r>
      <w:r>
        <w:rPr>
          <w:spacing w:val="-11"/>
          <w:w w:val="110"/>
          <w:sz w:val="16"/>
        </w:rPr>
        <w:t> </w:t>
      </w:r>
      <w:r>
        <w:rPr>
          <w:w w:val="110"/>
          <w:sz w:val="16"/>
        </w:rPr>
        <w:t>el</w:t>
      </w:r>
      <w:r>
        <w:rPr>
          <w:spacing w:val="-11"/>
          <w:w w:val="110"/>
          <w:sz w:val="16"/>
        </w:rPr>
        <w:t> </w:t>
      </w:r>
      <w:r>
        <w:rPr>
          <w:w w:val="110"/>
          <w:sz w:val="16"/>
        </w:rPr>
        <w:t>día</w:t>
      </w:r>
      <w:r>
        <w:rPr>
          <w:spacing w:val="-11"/>
          <w:w w:val="110"/>
          <w:sz w:val="16"/>
        </w:rPr>
        <w:t> </w:t>
      </w:r>
      <w:r>
        <w:rPr>
          <w:w w:val="110"/>
          <w:sz w:val="16"/>
        </w:rPr>
        <w:t>16</w:t>
      </w:r>
      <w:r>
        <w:rPr>
          <w:spacing w:val="-11"/>
          <w:w w:val="110"/>
          <w:sz w:val="16"/>
        </w:rPr>
        <w:t> </w:t>
      </w:r>
      <w:r>
        <w:rPr>
          <w:w w:val="110"/>
          <w:sz w:val="16"/>
        </w:rPr>
        <w:t>de</w:t>
      </w:r>
      <w:r>
        <w:rPr>
          <w:spacing w:val="-11"/>
          <w:w w:val="110"/>
          <w:sz w:val="16"/>
        </w:rPr>
        <w:t> </w:t>
      </w:r>
      <w:r>
        <w:rPr>
          <w:w w:val="110"/>
          <w:sz w:val="16"/>
        </w:rPr>
        <w:t>agosto</w:t>
      </w:r>
      <w:r>
        <w:rPr>
          <w:spacing w:val="-11"/>
          <w:w w:val="110"/>
          <w:sz w:val="16"/>
        </w:rPr>
        <w:t> </w:t>
      </w:r>
      <w:r>
        <w:rPr>
          <w:w w:val="110"/>
          <w:sz w:val="16"/>
        </w:rPr>
        <w:t>de</w:t>
      </w:r>
      <w:r>
        <w:rPr>
          <w:spacing w:val="-11"/>
          <w:w w:val="110"/>
          <w:sz w:val="16"/>
        </w:rPr>
        <w:t> </w:t>
      </w:r>
      <w:r>
        <w:rPr>
          <w:w w:val="110"/>
          <w:sz w:val="16"/>
        </w:rPr>
        <w:t>2013.</w:t>
      </w:r>
    </w:p>
    <w:p>
      <w:pPr>
        <w:pStyle w:val="ListParagraph"/>
        <w:numPr>
          <w:ilvl w:val="0"/>
          <w:numId w:val="28"/>
        </w:numPr>
        <w:tabs>
          <w:tab w:pos="586" w:val="left" w:leader="none"/>
        </w:tabs>
        <w:spacing w:line="242" w:lineRule="auto" w:before="57" w:after="0"/>
        <w:ind w:left="330" w:right="117" w:firstLine="0"/>
        <w:jc w:val="both"/>
        <w:rPr>
          <w:sz w:val="16"/>
        </w:rPr>
      </w:pPr>
      <w:r>
        <w:rPr>
          <w:w w:val="238"/>
          <w:sz w:val="16"/>
        </w:rPr>
        <w:t>l</w:t>
      </w:r>
      <w:r>
        <w:rPr>
          <w:w w:val="106"/>
          <w:sz w:val="16"/>
        </w:rPr>
        <w:t>as</w:t>
      </w:r>
      <w:r>
        <w:rPr>
          <w:spacing w:val="12"/>
          <w:sz w:val="16"/>
        </w:rPr>
        <w:t> </w:t>
      </w:r>
      <w:r>
        <w:rPr>
          <w:w w:val="100"/>
          <w:sz w:val="16"/>
        </w:rPr>
        <w:t>15</w:t>
      </w:r>
      <w:r>
        <w:rPr>
          <w:spacing w:val="12"/>
          <w:sz w:val="16"/>
        </w:rPr>
        <w:t> </w:t>
      </w:r>
      <w:r>
        <w:rPr>
          <w:w w:val="107"/>
          <w:sz w:val="16"/>
        </w:rPr>
        <w:t>principales</w:t>
      </w:r>
      <w:r>
        <w:rPr>
          <w:spacing w:val="12"/>
          <w:sz w:val="16"/>
        </w:rPr>
        <w:t> </w:t>
      </w:r>
      <w:r>
        <w:rPr>
          <w:w w:val="105"/>
          <w:sz w:val="16"/>
        </w:rPr>
        <w:t>empresas</w:t>
      </w:r>
      <w:r>
        <w:rPr>
          <w:spacing w:val="12"/>
          <w:sz w:val="16"/>
        </w:rPr>
        <w:t> </w:t>
      </w:r>
      <w:r>
        <w:rPr>
          <w:w w:val="106"/>
          <w:sz w:val="16"/>
        </w:rPr>
        <w:t>abiertas</w:t>
      </w:r>
      <w:r>
        <w:rPr>
          <w:spacing w:val="12"/>
          <w:sz w:val="16"/>
        </w:rPr>
        <w:t> </w:t>
      </w:r>
      <w:r>
        <w:rPr>
          <w:w w:val="104"/>
          <w:sz w:val="16"/>
        </w:rPr>
        <w:t>de</w:t>
      </w:r>
      <w:r>
        <w:rPr>
          <w:spacing w:val="12"/>
          <w:sz w:val="16"/>
        </w:rPr>
        <w:t> </w:t>
      </w:r>
      <w:r>
        <w:rPr>
          <w:w w:val="108"/>
          <w:sz w:val="16"/>
        </w:rPr>
        <w:t>control</w:t>
      </w:r>
      <w:r>
        <w:rPr>
          <w:spacing w:val="12"/>
          <w:sz w:val="16"/>
        </w:rPr>
        <w:t> </w:t>
      </w:r>
      <w:r>
        <w:rPr>
          <w:w w:val="110"/>
          <w:sz w:val="16"/>
        </w:rPr>
        <w:t>familiar</w:t>
      </w:r>
      <w:r>
        <w:rPr>
          <w:spacing w:val="12"/>
          <w:sz w:val="16"/>
        </w:rPr>
        <w:t> </w:t>
      </w:r>
      <w:r>
        <w:rPr>
          <w:w w:val="105"/>
          <w:sz w:val="16"/>
        </w:rPr>
        <w:t>del</w:t>
      </w:r>
      <w:r>
        <w:rPr>
          <w:spacing w:val="12"/>
          <w:sz w:val="16"/>
        </w:rPr>
        <w:t> </w:t>
      </w:r>
      <w:r>
        <w:rPr>
          <w:w w:val="107"/>
          <w:sz w:val="16"/>
        </w:rPr>
        <w:t>país</w:t>
      </w:r>
      <w:r>
        <w:rPr>
          <w:spacing w:val="12"/>
          <w:sz w:val="16"/>
        </w:rPr>
        <w:t> </w:t>
      </w:r>
      <w:r>
        <w:rPr>
          <w:w w:val="108"/>
          <w:sz w:val="16"/>
        </w:rPr>
        <w:t>fueron</w:t>
      </w:r>
      <w:r>
        <w:rPr>
          <w:spacing w:val="12"/>
          <w:sz w:val="16"/>
        </w:rPr>
        <w:t> </w:t>
      </w:r>
      <w:r>
        <w:rPr>
          <w:w w:val="110"/>
          <w:sz w:val="16"/>
        </w:rPr>
        <w:t>analiza</w:t>
      </w:r>
      <w:r>
        <w:rPr>
          <w:w w:val="100"/>
          <w:sz w:val="16"/>
        </w:rPr>
        <w:t>- </w:t>
      </w:r>
      <w:r>
        <w:rPr>
          <w:w w:val="106"/>
          <w:sz w:val="16"/>
        </w:rPr>
        <w:t>das:</w:t>
      </w:r>
      <w:r>
        <w:rPr>
          <w:spacing w:val="7"/>
          <w:sz w:val="16"/>
        </w:rPr>
        <w:t> </w:t>
      </w:r>
      <w:r>
        <w:rPr>
          <w:w w:val="136"/>
          <w:sz w:val="16"/>
        </w:rPr>
        <w:t>a</w:t>
      </w:r>
      <w:r>
        <w:rPr>
          <w:w w:val="110"/>
          <w:sz w:val="16"/>
        </w:rPr>
        <w:t>racruz,</w:t>
      </w:r>
      <w:r>
        <w:rPr>
          <w:spacing w:val="7"/>
          <w:sz w:val="16"/>
        </w:rPr>
        <w:t> </w:t>
      </w:r>
      <w:r>
        <w:rPr>
          <w:w w:val="112"/>
          <w:sz w:val="16"/>
        </w:rPr>
        <w:t>Gerdau,</w:t>
      </w:r>
      <w:r>
        <w:rPr>
          <w:spacing w:val="7"/>
          <w:sz w:val="16"/>
        </w:rPr>
        <w:t> </w:t>
      </w:r>
      <w:r>
        <w:rPr>
          <w:w w:val="119"/>
          <w:sz w:val="16"/>
        </w:rPr>
        <w:t>Gol,</w:t>
      </w:r>
      <w:r>
        <w:rPr>
          <w:spacing w:val="7"/>
          <w:sz w:val="16"/>
        </w:rPr>
        <w:t> </w:t>
      </w:r>
      <w:r>
        <w:rPr>
          <w:w w:val="114"/>
          <w:sz w:val="16"/>
        </w:rPr>
        <w:t>Klabin,</w:t>
      </w:r>
      <w:r>
        <w:rPr>
          <w:spacing w:val="7"/>
          <w:sz w:val="16"/>
        </w:rPr>
        <w:t> </w:t>
      </w:r>
      <w:r>
        <w:rPr>
          <w:w w:val="238"/>
          <w:sz w:val="16"/>
        </w:rPr>
        <w:t>l</w:t>
      </w:r>
      <w:r>
        <w:rPr>
          <w:w w:val="112"/>
          <w:sz w:val="16"/>
        </w:rPr>
        <w:t>ocaliza,</w:t>
      </w:r>
      <w:r>
        <w:rPr>
          <w:spacing w:val="7"/>
          <w:sz w:val="16"/>
        </w:rPr>
        <w:t> </w:t>
      </w:r>
      <w:r>
        <w:rPr>
          <w:w w:val="111"/>
          <w:sz w:val="16"/>
        </w:rPr>
        <w:t>Marcopolo,</w:t>
      </w:r>
      <w:r>
        <w:rPr>
          <w:spacing w:val="7"/>
          <w:sz w:val="16"/>
        </w:rPr>
        <w:t> </w:t>
      </w:r>
      <w:r>
        <w:rPr>
          <w:w w:val="111"/>
          <w:sz w:val="16"/>
        </w:rPr>
        <w:t>Natura,</w:t>
      </w:r>
      <w:r>
        <w:rPr>
          <w:spacing w:val="7"/>
          <w:sz w:val="16"/>
        </w:rPr>
        <w:t> </w:t>
      </w:r>
      <w:r>
        <w:rPr>
          <w:w w:val="112"/>
          <w:sz w:val="16"/>
        </w:rPr>
        <w:t>Net,</w:t>
      </w:r>
      <w:r>
        <w:rPr>
          <w:spacing w:val="7"/>
          <w:sz w:val="16"/>
        </w:rPr>
        <w:t> </w:t>
      </w:r>
      <w:r>
        <w:rPr>
          <w:w w:val="109"/>
          <w:sz w:val="16"/>
        </w:rPr>
        <w:t>Pão</w:t>
      </w:r>
      <w:r>
        <w:rPr>
          <w:spacing w:val="7"/>
          <w:sz w:val="16"/>
        </w:rPr>
        <w:t> </w:t>
      </w:r>
      <w:r>
        <w:rPr>
          <w:w w:val="104"/>
          <w:sz w:val="16"/>
        </w:rPr>
        <w:t>de</w:t>
      </w:r>
      <w:r>
        <w:rPr>
          <w:spacing w:val="7"/>
          <w:sz w:val="16"/>
        </w:rPr>
        <w:t> </w:t>
      </w:r>
      <w:r>
        <w:rPr>
          <w:w w:val="136"/>
          <w:sz w:val="16"/>
        </w:rPr>
        <w:t>a</w:t>
      </w:r>
      <w:r>
        <w:rPr>
          <w:w w:val="110"/>
          <w:sz w:val="16"/>
        </w:rPr>
        <w:t>çúca</w:t>
      </w:r>
      <w:r>
        <w:rPr>
          <w:spacing w:val="-18"/>
          <w:w w:val="110"/>
          <w:sz w:val="16"/>
        </w:rPr>
        <w:t>r</w:t>
      </w:r>
      <w:r>
        <w:rPr>
          <w:w w:val="135"/>
          <w:sz w:val="16"/>
        </w:rPr>
        <w:t>, </w:t>
      </w:r>
      <w:r>
        <w:rPr>
          <w:w w:val="110"/>
          <w:sz w:val="16"/>
        </w:rPr>
        <w:t>sadia, saraiva, suzano Petroquímica, ultra e </w:t>
      </w:r>
      <w:r>
        <w:rPr>
          <w:spacing w:val="-3"/>
          <w:w w:val="110"/>
          <w:sz w:val="16"/>
        </w:rPr>
        <w:t>Weg </w:t>
      </w:r>
      <w:r>
        <w:rPr>
          <w:w w:val="110"/>
          <w:sz w:val="16"/>
        </w:rPr>
        <w:t>(ibGC. </w:t>
      </w:r>
      <w:r>
        <w:rPr>
          <w:i/>
          <w:w w:val="110"/>
          <w:sz w:val="16"/>
        </w:rPr>
        <w:t>Relatório Anual</w:t>
      </w:r>
      <w:r>
        <w:rPr>
          <w:w w:val="110"/>
          <w:sz w:val="16"/>
        </w:rPr>
        <w:t>, 2005: 8). </w:t>
      </w:r>
      <w:r>
        <w:rPr>
          <w:w w:val="105"/>
          <w:sz w:val="16"/>
        </w:rPr>
        <w:t>disponible en &lt;</w:t>
      </w:r>
      <w:hyperlink r:id="rId329">
        <w:r>
          <w:rPr>
            <w:w w:val="105"/>
            <w:sz w:val="16"/>
          </w:rPr>
          <w:t>http://www.ibgc.org.br/userfiles/files/relatorio_anual/ra_2005.pdf</w:t>
        </w:r>
      </w:hyperlink>
      <w:r>
        <w:rPr>
          <w:w w:val="105"/>
          <w:sz w:val="16"/>
        </w:rPr>
        <w:t>&gt; </w:t>
      </w:r>
      <w:r>
        <w:rPr>
          <w:w w:val="110"/>
          <w:sz w:val="16"/>
        </w:rPr>
        <w:t>según entrada hecha el día 5 de mayo de 2012. un estudio detallado sobre el ibGC fue</w:t>
      </w:r>
      <w:r>
        <w:rPr>
          <w:spacing w:val="-11"/>
          <w:w w:val="110"/>
          <w:sz w:val="16"/>
        </w:rPr>
        <w:t> </w:t>
      </w:r>
      <w:r>
        <w:rPr>
          <w:w w:val="110"/>
          <w:sz w:val="16"/>
        </w:rPr>
        <w:t>realizado</w:t>
      </w:r>
      <w:r>
        <w:rPr>
          <w:spacing w:val="-11"/>
          <w:w w:val="110"/>
          <w:sz w:val="16"/>
        </w:rPr>
        <w:t> </w:t>
      </w:r>
      <w:r>
        <w:rPr>
          <w:w w:val="110"/>
          <w:sz w:val="16"/>
        </w:rPr>
        <w:t>por</w:t>
      </w:r>
      <w:r>
        <w:rPr>
          <w:spacing w:val="-11"/>
          <w:w w:val="110"/>
          <w:sz w:val="16"/>
        </w:rPr>
        <w:t> </w:t>
      </w:r>
      <w:r>
        <w:rPr>
          <w:w w:val="110"/>
          <w:sz w:val="16"/>
        </w:rPr>
        <w:t>Marmitt</w:t>
      </w:r>
      <w:r>
        <w:rPr>
          <w:spacing w:val="-11"/>
          <w:w w:val="110"/>
          <w:sz w:val="16"/>
        </w:rPr>
        <w:t> </w:t>
      </w:r>
      <w:r>
        <w:rPr>
          <w:w w:val="110"/>
          <w:sz w:val="16"/>
        </w:rPr>
        <w:t>(2012).</w:t>
      </w:r>
    </w:p>
    <w:p>
      <w:pPr>
        <w:pStyle w:val="ListParagraph"/>
        <w:numPr>
          <w:ilvl w:val="0"/>
          <w:numId w:val="28"/>
        </w:numPr>
        <w:tabs>
          <w:tab w:pos="586" w:val="left" w:leader="none"/>
        </w:tabs>
        <w:spacing w:line="242" w:lineRule="auto" w:before="57" w:after="0"/>
        <w:ind w:left="330" w:right="118" w:firstLine="0"/>
        <w:jc w:val="both"/>
        <w:rPr>
          <w:sz w:val="16"/>
        </w:rPr>
      </w:pPr>
      <w:r>
        <w:rPr>
          <w:i/>
          <w:w w:val="110"/>
          <w:sz w:val="16"/>
        </w:rPr>
        <w:t>Cf.</w:t>
      </w:r>
      <w:r>
        <w:rPr>
          <w:i/>
          <w:spacing w:val="-5"/>
          <w:w w:val="110"/>
          <w:sz w:val="16"/>
        </w:rPr>
        <w:t> </w:t>
      </w:r>
      <w:r>
        <w:rPr>
          <w:w w:val="110"/>
          <w:sz w:val="16"/>
        </w:rPr>
        <w:t>ibGC.</w:t>
      </w:r>
      <w:r>
        <w:rPr>
          <w:spacing w:val="-5"/>
          <w:w w:val="110"/>
          <w:sz w:val="16"/>
        </w:rPr>
        <w:t> </w:t>
      </w:r>
      <w:r>
        <w:rPr>
          <w:i/>
          <w:w w:val="110"/>
          <w:sz w:val="16"/>
        </w:rPr>
        <w:t>Relatório</w:t>
      </w:r>
      <w:r>
        <w:rPr>
          <w:i/>
          <w:spacing w:val="-5"/>
          <w:w w:val="110"/>
          <w:sz w:val="16"/>
        </w:rPr>
        <w:t> </w:t>
      </w:r>
      <w:r>
        <w:rPr>
          <w:i/>
          <w:w w:val="110"/>
          <w:sz w:val="16"/>
        </w:rPr>
        <w:t>Anual</w:t>
      </w:r>
      <w:r>
        <w:rPr>
          <w:i/>
          <w:spacing w:val="-5"/>
          <w:w w:val="110"/>
          <w:sz w:val="16"/>
        </w:rPr>
        <w:t> </w:t>
      </w:r>
      <w:r>
        <w:rPr>
          <w:w w:val="110"/>
          <w:sz w:val="16"/>
        </w:rPr>
        <w:t>(2006:</w:t>
      </w:r>
      <w:r>
        <w:rPr>
          <w:spacing w:val="-5"/>
          <w:w w:val="110"/>
          <w:sz w:val="16"/>
        </w:rPr>
        <w:t> </w:t>
      </w:r>
      <w:r>
        <w:rPr>
          <w:w w:val="110"/>
          <w:sz w:val="16"/>
        </w:rPr>
        <w:t>12</w:t>
      </w:r>
      <w:r>
        <w:rPr>
          <w:spacing w:val="-5"/>
          <w:w w:val="110"/>
          <w:sz w:val="16"/>
        </w:rPr>
        <w:t> </w:t>
      </w:r>
      <w:r>
        <w:rPr>
          <w:w w:val="110"/>
          <w:sz w:val="16"/>
        </w:rPr>
        <w:t>y</w:t>
      </w:r>
      <w:r>
        <w:rPr>
          <w:spacing w:val="-5"/>
          <w:w w:val="110"/>
          <w:sz w:val="16"/>
        </w:rPr>
        <w:t> </w:t>
      </w:r>
      <w:r>
        <w:rPr>
          <w:w w:val="110"/>
          <w:sz w:val="16"/>
        </w:rPr>
        <w:t>2008:</w:t>
      </w:r>
      <w:r>
        <w:rPr>
          <w:spacing w:val="-5"/>
          <w:w w:val="110"/>
          <w:sz w:val="16"/>
        </w:rPr>
        <w:t> </w:t>
      </w:r>
      <w:r>
        <w:rPr>
          <w:w w:val="110"/>
          <w:sz w:val="16"/>
        </w:rPr>
        <w:t>44).</w:t>
      </w:r>
      <w:r>
        <w:rPr>
          <w:spacing w:val="-5"/>
          <w:w w:val="110"/>
          <w:sz w:val="16"/>
        </w:rPr>
        <w:t> </w:t>
      </w:r>
      <w:r>
        <w:rPr>
          <w:w w:val="110"/>
          <w:sz w:val="16"/>
        </w:rPr>
        <w:t>disponible</w:t>
      </w:r>
      <w:r>
        <w:rPr>
          <w:spacing w:val="-5"/>
          <w:w w:val="110"/>
          <w:sz w:val="16"/>
        </w:rPr>
        <w:t> </w:t>
      </w:r>
      <w:r>
        <w:rPr>
          <w:w w:val="110"/>
          <w:sz w:val="16"/>
        </w:rPr>
        <w:t>en</w:t>
      </w:r>
      <w:r>
        <w:rPr>
          <w:spacing w:val="-5"/>
          <w:w w:val="110"/>
          <w:sz w:val="16"/>
        </w:rPr>
        <w:t> </w:t>
      </w:r>
      <w:r>
        <w:rPr>
          <w:w w:val="110"/>
          <w:sz w:val="16"/>
        </w:rPr>
        <w:t>&lt;http://www.ibgc. </w:t>
      </w:r>
      <w:r>
        <w:rPr>
          <w:w w:val="100"/>
          <w:sz w:val="16"/>
        </w:rPr>
        <w:t>org.br/</w:t>
      </w:r>
      <w:r>
        <w:rPr>
          <w:w w:val="179"/>
          <w:sz w:val="16"/>
        </w:rPr>
        <w:t>r</w:t>
      </w:r>
      <w:r>
        <w:rPr>
          <w:w w:val="106"/>
          <w:sz w:val="16"/>
        </w:rPr>
        <w:t>elatorios</w:t>
      </w:r>
      <w:r>
        <w:rPr>
          <w:w w:val="136"/>
          <w:sz w:val="16"/>
        </w:rPr>
        <w:t>a</w:t>
      </w:r>
      <w:r>
        <w:rPr>
          <w:w w:val="109"/>
          <w:sz w:val="16"/>
        </w:rPr>
        <w:t>nuais.aspx</w:t>
      </w:r>
      <w:r>
        <w:rPr>
          <w:w w:val="108"/>
          <w:sz w:val="16"/>
        </w:rPr>
        <w:t>&gt;</w:t>
      </w:r>
      <w:r>
        <w:rPr>
          <w:spacing w:val="11"/>
          <w:sz w:val="16"/>
        </w:rPr>
        <w:t> </w:t>
      </w:r>
      <w:r>
        <w:rPr>
          <w:w w:val="107"/>
          <w:sz w:val="16"/>
        </w:rPr>
        <w:t>según</w:t>
      </w:r>
      <w:r>
        <w:rPr>
          <w:spacing w:val="11"/>
          <w:sz w:val="16"/>
        </w:rPr>
        <w:t> </w:t>
      </w:r>
      <w:r>
        <w:rPr>
          <w:w w:val="106"/>
          <w:sz w:val="16"/>
        </w:rPr>
        <w:t>entrada</w:t>
      </w:r>
      <w:r>
        <w:rPr>
          <w:spacing w:val="11"/>
          <w:sz w:val="16"/>
        </w:rPr>
        <w:t> </w:t>
      </w:r>
      <w:r>
        <w:rPr>
          <w:w w:val="109"/>
          <w:sz w:val="16"/>
        </w:rPr>
        <w:t>hecha</w:t>
      </w:r>
      <w:r>
        <w:rPr>
          <w:spacing w:val="11"/>
          <w:sz w:val="16"/>
        </w:rPr>
        <w:t> </w:t>
      </w:r>
      <w:r>
        <w:rPr>
          <w:w w:val="104"/>
          <w:sz w:val="16"/>
        </w:rPr>
        <w:t>el</w:t>
      </w:r>
      <w:r>
        <w:rPr>
          <w:spacing w:val="11"/>
          <w:sz w:val="16"/>
        </w:rPr>
        <w:t> </w:t>
      </w:r>
      <w:r>
        <w:rPr>
          <w:w w:val="109"/>
          <w:sz w:val="16"/>
        </w:rPr>
        <w:t>día</w:t>
      </w:r>
      <w:r>
        <w:rPr>
          <w:spacing w:val="11"/>
          <w:sz w:val="16"/>
        </w:rPr>
        <w:t> </w:t>
      </w:r>
      <w:r>
        <w:rPr>
          <w:w w:val="100"/>
          <w:sz w:val="16"/>
        </w:rPr>
        <w:t>13</w:t>
      </w:r>
      <w:r>
        <w:rPr>
          <w:spacing w:val="11"/>
          <w:sz w:val="16"/>
        </w:rPr>
        <w:t> </w:t>
      </w:r>
      <w:r>
        <w:rPr>
          <w:w w:val="104"/>
          <w:sz w:val="16"/>
        </w:rPr>
        <w:t>de</w:t>
      </w:r>
      <w:r>
        <w:rPr>
          <w:spacing w:val="11"/>
          <w:sz w:val="16"/>
        </w:rPr>
        <w:t> </w:t>
      </w:r>
      <w:r>
        <w:rPr>
          <w:w w:val="107"/>
          <w:sz w:val="16"/>
        </w:rPr>
        <w:t>agosto</w:t>
      </w:r>
      <w:r>
        <w:rPr>
          <w:spacing w:val="11"/>
          <w:sz w:val="16"/>
        </w:rPr>
        <w:t> </w:t>
      </w:r>
      <w:r>
        <w:rPr>
          <w:w w:val="104"/>
          <w:sz w:val="16"/>
        </w:rPr>
        <w:t>de</w:t>
      </w:r>
      <w:r>
        <w:rPr>
          <w:spacing w:val="11"/>
          <w:sz w:val="16"/>
        </w:rPr>
        <w:t> </w:t>
      </w:r>
      <w:r>
        <w:rPr>
          <w:w w:val="103"/>
          <w:sz w:val="16"/>
        </w:rPr>
        <w:t>2013.</w:t>
      </w:r>
      <w:r>
        <w:rPr>
          <w:spacing w:val="11"/>
          <w:sz w:val="16"/>
        </w:rPr>
        <w:t> </w:t>
      </w:r>
      <w:r>
        <w:rPr>
          <w:w w:val="238"/>
          <w:sz w:val="16"/>
        </w:rPr>
        <w:t>l</w:t>
      </w:r>
      <w:r>
        <w:rPr>
          <w:w w:val="105"/>
          <w:sz w:val="16"/>
        </w:rPr>
        <w:t>os </w:t>
      </w:r>
      <w:r>
        <w:rPr>
          <w:w w:val="110"/>
          <w:sz w:val="16"/>
        </w:rPr>
        <w:t>informes anuales del ibGC de 2005 a 2008 mencionan el CiPE entre las</w:t>
      </w:r>
      <w:r>
        <w:rPr>
          <w:spacing w:val="-18"/>
          <w:w w:val="110"/>
          <w:sz w:val="16"/>
        </w:rPr>
        <w:t> </w:t>
      </w:r>
      <w:r>
        <w:rPr>
          <w:w w:val="110"/>
          <w:sz w:val="16"/>
        </w:rPr>
        <w:t>organizacio- nes que apoyarán al</w:t>
      </w:r>
      <w:r>
        <w:rPr>
          <w:spacing w:val="-8"/>
          <w:w w:val="110"/>
          <w:sz w:val="16"/>
        </w:rPr>
        <w:t> </w:t>
      </w:r>
      <w:r>
        <w:rPr>
          <w:w w:val="110"/>
          <w:sz w:val="16"/>
        </w:rPr>
        <w:t>instituto.</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8" w:firstLine="396"/>
        <w:jc w:val="both"/>
      </w:pPr>
      <w:r>
        <w:rPr>
          <w:w w:val="115"/>
        </w:rPr>
        <w:t>a</w:t>
      </w:r>
      <w:r>
        <w:rPr>
          <w:spacing w:val="-15"/>
          <w:w w:val="115"/>
        </w:rPr>
        <w:t> </w:t>
      </w:r>
      <w:r>
        <w:rPr>
          <w:w w:val="115"/>
        </w:rPr>
        <w:t>partir</w:t>
      </w:r>
      <w:r>
        <w:rPr>
          <w:spacing w:val="-15"/>
          <w:w w:val="115"/>
        </w:rPr>
        <w:t> </w:t>
      </w:r>
      <w:r>
        <w:rPr>
          <w:w w:val="115"/>
        </w:rPr>
        <w:t>de</w:t>
      </w:r>
      <w:r>
        <w:rPr>
          <w:spacing w:val="-15"/>
          <w:w w:val="115"/>
        </w:rPr>
        <w:t> </w:t>
      </w:r>
      <w:r>
        <w:rPr>
          <w:w w:val="115"/>
        </w:rPr>
        <w:t>la</w:t>
      </w:r>
      <w:r>
        <w:rPr>
          <w:spacing w:val="-15"/>
          <w:w w:val="115"/>
        </w:rPr>
        <w:t> </w:t>
      </w:r>
      <w:r>
        <w:rPr>
          <w:i/>
          <w:w w:val="115"/>
        </w:rPr>
        <w:t>Confederación</w:t>
      </w:r>
      <w:r>
        <w:rPr>
          <w:i/>
          <w:spacing w:val="-15"/>
          <w:w w:val="115"/>
        </w:rPr>
        <w:t> </w:t>
      </w:r>
      <w:r>
        <w:rPr>
          <w:i/>
          <w:w w:val="115"/>
        </w:rPr>
        <w:t>Colombiana</w:t>
      </w:r>
      <w:r>
        <w:rPr>
          <w:i/>
          <w:spacing w:val="-15"/>
          <w:w w:val="115"/>
        </w:rPr>
        <w:t> </w:t>
      </w:r>
      <w:r>
        <w:rPr>
          <w:i/>
          <w:w w:val="115"/>
        </w:rPr>
        <w:t>de</w:t>
      </w:r>
      <w:r>
        <w:rPr>
          <w:i/>
          <w:spacing w:val="-15"/>
          <w:w w:val="115"/>
        </w:rPr>
        <w:t> </w:t>
      </w:r>
      <w:r>
        <w:rPr>
          <w:i/>
          <w:w w:val="115"/>
        </w:rPr>
        <w:t>Cámaras</w:t>
      </w:r>
      <w:r>
        <w:rPr>
          <w:i/>
          <w:spacing w:val="-15"/>
          <w:w w:val="115"/>
        </w:rPr>
        <w:t> </w:t>
      </w:r>
      <w:r>
        <w:rPr>
          <w:i/>
          <w:w w:val="115"/>
        </w:rPr>
        <w:t>de</w:t>
      </w:r>
      <w:r>
        <w:rPr>
          <w:i/>
          <w:spacing w:val="-15"/>
          <w:w w:val="115"/>
        </w:rPr>
        <w:t> </w:t>
      </w:r>
      <w:r>
        <w:rPr>
          <w:i/>
          <w:w w:val="115"/>
        </w:rPr>
        <w:t>Comercio </w:t>
      </w:r>
      <w:r>
        <w:rPr>
          <w:w w:val="115"/>
        </w:rPr>
        <w:t>(</w:t>
      </w:r>
      <w:r>
        <w:rPr>
          <w:i/>
          <w:w w:val="115"/>
        </w:rPr>
        <w:t>Confecámaras</w:t>
      </w:r>
      <w:r>
        <w:rPr>
          <w:w w:val="115"/>
        </w:rPr>
        <w:t>)</w:t>
      </w:r>
      <w:r>
        <w:rPr>
          <w:spacing w:val="-31"/>
          <w:w w:val="115"/>
        </w:rPr>
        <w:t> </w:t>
      </w:r>
      <w:r>
        <w:rPr>
          <w:w w:val="115"/>
        </w:rPr>
        <w:t>el</w:t>
      </w:r>
      <w:r>
        <w:rPr>
          <w:spacing w:val="-30"/>
          <w:w w:val="115"/>
        </w:rPr>
        <w:t> </w:t>
      </w:r>
      <w:r>
        <w:rPr>
          <w:w w:val="115"/>
        </w:rPr>
        <w:t>CiPE</w:t>
      </w:r>
      <w:r>
        <w:rPr>
          <w:spacing w:val="-31"/>
          <w:w w:val="115"/>
        </w:rPr>
        <w:t> </w:t>
      </w:r>
      <w:r>
        <w:rPr>
          <w:w w:val="115"/>
        </w:rPr>
        <w:t>financia</w:t>
      </w:r>
      <w:r>
        <w:rPr>
          <w:spacing w:val="-31"/>
          <w:w w:val="115"/>
        </w:rPr>
        <w:t> </w:t>
      </w:r>
      <w:r>
        <w:rPr>
          <w:w w:val="115"/>
        </w:rPr>
        <w:t>programas</w:t>
      </w:r>
      <w:r>
        <w:rPr>
          <w:spacing w:val="-30"/>
          <w:w w:val="115"/>
        </w:rPr>
        <w:t> </w:t>
      </w:r>
      <w:r>
        <w:rPr>
          <w:w w:val="115"/>
        </w:rPr>
        <w:t>regionales</w:t>
      </w:r>
      <w:r>
        <w:rPr>
          <w:spacing w:val="-30"/>
          <w:w w:val="115"/>
        </w:rPr>
        <w:t> </w:t>
      </w:r>
      <w:r>
        <w:rPr>
          <w:w w:val="115"/>
        </w:rPr>
        <w:t>de</w:t>
      </w:r>
      <w:r>
        <w:rPr>
          <w:spacing w:val="-31"/>
          <w:w w:val="115"/>
        </w:rPr>
        <w:t> </w:t>
      </w:r>
      <w:r>
        <w:rPr>
          <w:w w:val="115"/>
        </w:rPr>
        <w:t>gobernanza corporativa que incluyen, además de Colombia, a los países</w:t>
      </w:r>
      <w:r>
        <w:rPr>
          <w:spacing w:val="-13"/>
          <w:w w:val="115"/>
        </w:rPr>
        <w:t> </w:t>
      </w:r>
      <w:r>
        <w:rPr>
          <w:w w:val="115"/>
        </w:rPr>
        <w:t>vecinos (Venezuela</w:t>
      </w:r>
      <w:r>
        <w:rPr>
          <w:spacing w:val="-14"/>
          <w:w w:val="115"/>
        </w:rPr>
        <w:t> </w:t>
      </w:r>
      <w:r>
        <w:rPr>
          <w:w w:val="115"/>
        </w:rPr>
        <w:t>y</w:t>
      </w:r>
      <w:r>
        <w:rPr>
          <w:spacing w:val="-14"/>
          <w:w w:val="115"/>
        </w:rPr>
        <w:t> </w:t>
      </w:r>
      <w:r>
        <w:rPr>
          <w:w w:val="115"/>
        </w:rPr>
        <w:t>Ecuador).</w:t>
      </w:r>
      <w:r>
        <w:rPr>
          <w:spacing w:val="-14"/>
          <w:w w:val="115"/>
        </w:rPr>
        <w:t> </w:t>
      </w:r>
      <w:r>
        <w:rPr>
          <w:w w:val="115"/>
        </w:rPr>
        <w:t>actuando</w:t>
      </w:r>
      <w:r>
        <w:rPr>
          <w:spacing w:val="-14"/>
          <w:w w:val="115"/>
        </w:rPr>
        <w:t> </w:t>
      </w:r>
      <w:r>
        <w:rPr>
          <w:w w:val="115"/>
        </w:rPr>
        <w:t>desde</w:t>
      </w:r>
      <w:r>
        <w:rPr>
          <w:spacing w:val="-14"/>
          <w:w w:val="115"/>
        </w:rPr>
        <w:t> </w:t>
      </w:r>
      <w:r>
        <w:rPr>
          <w:w w:val="115"/>
        </w:rPr>
        <w:t>1969,</w:t>
      </w:r>
      <w:r>
        <w:rPr>
          <w:spacing w:val="-14"/>
          <w:w w:val="115"/>
        </w:rPr>
        <w:t> </w:t>
      </w:r>
      <w:r>
        <w:rPr>
          <w:w w:val="115"/>
        </w:rPr>
        <w:t>la</w:t>
      </w:r>
      <w:r>
        <w:rPr>
          <w:spacing w:val="-14"/>
          <w:w w:val="115"/>
        </w:rPr>
        <w:t> </w:t>
      </w:r>
      <w:r>
        <w:rPr>
          <w:w w:val="115"/>
        </w:rPr>
        <w:t>Confecámaras</w:t>
      </w:r>
      <w:r>
        <w:rPr>
          <w:spacing w:val="-14"/>
          <w:w w:val="115"/>
        </w:rPr>
        <w:t> </w:t>
      </w:r>
      <w:r>
        <w:rPr>
          <w:w w:val="115"/>
        </w:rPr>
        <w:t>es</w:t>
      </w:r>
      <w:r>
        <w:rPr>
          <w:spacing w:val="-14"/>
          <w:w w:val="115"/>
        </w:rPr>
        <w:t> </w:t>
      </w:r>
      <w:r>
        <w:rPr>
          <w:w w:val="115"/>
        </w:rPr>
        <w:t>un órgano</w:t>
      </w:r>
      <w:r>
        <w:rPr>
          <w:spacing w:val="-29"/>
          <w:w w:val="115"/>
        </w:rPr>
        <w:t> </w:t>
      </w:r>
      <w:r>
        <w:rPr>
          <w:w w:val="115"/>
        </w:rPr>
        <w:t>de</w:t>
      </w:r>
      <w:r>
        <w:rPr>
          <w:spacing w:val="-29"/>
          <w:w w:val="115"/>
        </w:rPr>
        <w:t> </w:t>
      </w:r>
      <w:r>
        <w:rPr>
          <w:w w:val="115"/>
        </w:rPr>
        <w:t>cúpula</w:t>
      </w:r>
      <w:r>
        <w:rPr>
          <w:spacing w:val="-29"/>
          <w:w w:val="115"/>
        </w:rPr>
        <w:t> </w:t>
      </w:r>
      <w:r>
        <w:rPr>
          <w:w w:val="115"/>
        </w:rPr>
        <w:t>del</w:t>
      </w:r>
      <w:r>
        <w:rPr>
          <w:spacing w:val="-29"/>
          <w:w w:val="115"/>
        </w:rPr>
        <w:t> </w:t>
      </w:r>
      <w:r>
        <w:rPr>
          <w:w w:val="115"/>
        </w:rPr>
        <w:t>empresariado</w:t>
      </w:r>
      <w:r>
        <w:rPr>
          <w:spacing w:val="-29"/>
          <w:w w:val="115"/>
        </w:rPr>
        <w:t> </w:t>
      </w:r>
      <w:r>
        <w:rPr>
          <w:w w:val="115"/>
        </w:rPr>
        <w:t>colombiano</w:t>
      </w:r>
      <w:r>
        <w:rPr>
          <w:w w:val="115"/>
          <w:position w:val="6"/>
          <w:sz w:val="11"/>
        </w:rPr>
        <w:t>34</w:t>
      </w:r>
      <w:r>
        <w:rPr>
          <w:w w:val="115"/>
        </w:rPr>
        <w:t>.</w:t>
      </w:r>
    </w:p>
    <w:p>
      <w:pPr>
        <w:pStyle w:val="BodyText"/>
        <w:spacing w:line="252" w:lineRule="auto"/>
        <w:ind w:left="120" w:right="328" w:firstLine="396"/>
        <w:jc w:val="both"/>
      </w:pPr>
      <w:r>
        <w:rPr>
          <w:w w:val="243"/>
        </w:rPr>
        <w:t>l</w:t>
      </w:r>
      <w:r>
        <w:rPr>
          <w:w w:val="112"/>
        </w:rPr>
        <w:t>a</w:t>
      </w:r>
      <w:r>
        <w:rPr>
          <w:spacing w:val="4"/>
        </w:rPr>
        <w:t> </w:t>
      </w:r>
      <w:r>
        <w:rPr>
          <w:w w:val="111"/>
        </w:rPr>
        <w:t>cantidad</w:t>
      </w:r>
      <w:r>
        <w:rPr>
          <w:spacing w:val="4"/>
        </w:rPr>
        <w:t> </w:t>
      </w:r>
      <w:r>
        <w:rPr>
          <w:w w:val="105"/>
        </w:rPr>
        <w:t>y</w:t>
      </w:r>
      <w:r>
        <w:rPr>
          <w:spacing w:val="4"/>
        </w:rPr>
        <w:t> </w:t>
      </w:r>
      <w:r>
        <w:rPr>
          <w:w w:val="111"/>
        </w:rPr>
        <w:t>la</w:t>
      </w:r>
      <w:r>
        <w:rPr>
          <w:spacing w:val="4"/>
        </w:rPr>
        <w:t> </w:t>
      </w:r>
      <w:r>
        <w:rPr>
          <w:w w:val="109"/>
        </w:rPr>
        <w:t>cobertura</w:t>
      </w:r>
      <w:r>
        <w:rPr>
          <w:spacing w:val="4"/>
        </w:rPr>
        <w:t> </w:t>
      </w:r>
      <w:r>
        <w:rPr>
          <w:w w:val="109"/>
        </w:rPr>
        <w:t>geográfica</w:t>
      </w:r>
      <w:r>
        <w:rPr>
          <w:spacing w:val="4"/>
        </w:rPr>
        <w:t> </w:t>
      </w:r>
      <w:r>
        <w:rPr>
          <w:w w:val="107"/>
        </w:rPr>
        <w:t>de</w:t>
      </w:r>
      <w:r>
        <w:rPr>
          <w:spacing w:val="4"/>
        </w:rPr>
        <w:t> </w:t>
      </w:r>
      <w:r>
        <w:rPr>
          <w:w w:val="108"/>
        </w:rPr>
        <w:t>los</w:t>
      </w:r>
      <w:r>
        <w:rPr>
          <w:spacing w:val="4"/>
        </w:rPr>
        <w:t> </w:t>
      </w:r>
      <w:r>
        <w:rPr>
          <w:w w:val="109"/>
        </w:rPr>
        <w:t>programas</w:t>
      </w:r>
      <w:r>
        <w:rPr>
          <w:spacing w:val="4"/>
        </w:rPr>
        <w:t> </w:t>
      </w:r>
      <w:r>
        <w:rPr>
          <w:w w:val="105"/>
        </w:rPr>
        <w:t>y</w:t>
      </w:r>
      <w:r>
        <w:rPr>
          <w:spacing w:val="4"/>
        </w:rPr>
        <w:t> </w:t>
      </w:r>
      <w:r>
        <w:rPr>
          <w:w w:val="109"/>
        </w:rPr>
        <w:t>las</w:t>
      </w:r>
      <w:r>
        <w:rPr>
          <w:spacing w:val="4"/>
        </w:rPr>
        <w:t> </w:t>
      </w:r>
      <w:r>
        <w:rPr>
          <w:w w:val="109"/>
        </w:rPr>
        <w:t>orga</w:t>
      </w:r>
      <w:r>
        <w:rPr>
          <w:w w:val="102"/>
        </w:rPr>
        <w:t>- </w:t>
      </w:r>
      <w:r>
        <w:rPr>
          <w:w w:val="115"/>
        </w:rPr>
        <w:t>nizaciones</w:t>
      </w:r>
      <w:r>
        <w:rPr>
          <w:spacing w:val="-27"/>
          <w:w w:val="115"/>
        </w:rPr>
        <w:t> </w:t>
      </w:r>
      <w:r>
        <w:rPr>
          <w:w w:val="115"/>
        </w:rPr>
        <w:t>locales</w:t>
      </w:r>
      <w:r>
        <w:rPr>
          <w:spacing w:val="-27"/>
          <w:w w:val="115"/>
        </w:rPr>
        <w:t> </w:t>
      </w:r>
      <w:r>
        <w:rPr>
          <w:w w:val="115"/>
        </w:rPr>
        <w:t>mencionadas</w:t>
      </w:r>
      <w:r>
        <w:rPr>
          <w:spacing w:val="-27"/>
          <w:w w:val="115"/>
        </w:rPr>
        <w:t> </w:t>
      </w:r>
      <w:r>
        <w:rPr>
          <w:w w:val="115"/>
        </w:rPr>
        <w:t>sugieren</w:t>
      </w:r>
      <w:r>
        <w:rPr>
          <w:spacing w:val="-27"/>
          <w:w w:val="115"/>
        </w:rPr>
        <w:t> </w:t>
      </w:r>
      <w:r>
        <w:rPr>
          <w:w w:val="115"/>
        </w:rPr>
        <w:t>una</w:t>
      </w:r>
      <w:r>
        <w:rPr>
          <w:spacing w:val="-27"/>
          <w:w w:val="115"/>
        </w:rPr>
        <w:t> </w:t>
      </w:r>
      <w:r>
        <w:rPr>
          <w:w w:val="115"/>
        </w:rPr>
        <w:t>activa</w:t>
      </w:r>
      <w:r>
        <w:rPr>
          <w:spacing w:val="-27"/>
          <w:w w:val="115"/>
        </w:rPr>
        <w:t> </w:t>
      </w:r>
      <w:r>
        <w:rPr>
          <w:w w:val="115"/>
        </w:rPr>
        <w:t>participación</w:t>
      </w:r>
      <w:r>
        <w:rPr>
          <w:spacing w:val="-27"/>
          <w:w w:val="115"/>
        </w:rPr>
        <w:t> </w:t>
      </w:r>
      <w:r>
        <w:rPr>
          <w:w w:val="115"/>
        </w:rPr>
        <w:t>del CiPE y permite proponer la hipótesis que el Centro se constituye</w:t>
      </w:r>
      <w:r>
        <w:rPr>
          <w:spacing w:val="-24"/>
          <w:w w:val="115"/>
        </w:rPr>
        <w:t> </w:t>
      </w:r>
      <w:r>
        <w:rPr>
          <w:w w:val="115"/>
        </w:rPr>
        <w:t>en un</w:t>
      </w:r>
      <w:r>
        <w:rPr>
          <w:spacing w:val="-8"/>
          <w:w w:val="115"/>
        </w:rPr>
        <w:t> </w:t>
      </w:r>
      <w:r>
        <w:rPr>
          <w:w w:val="115"/>
        </w:rPr>
        <w:t>importante,</w:t>
      </w:r>
      <w:r>
        <w:rPr>
          <w:spacing w:val="-8"/>
          <w:w w:val="115"/>
        </w:rPr>
        <w:t> </w:t>
      </w:r>
      <w:r>
        <w:rPr>
          <w:w w:val="115"/>
        </w:rPr>
        <w:t>quizás</w:t>
      </w:r>
      <w:r>
        <w:rPr>
          <w:spacing w:val="-8"/>
          <w:w w:val="115"/>
        </w:rPr>
        <w:t> </w:t>
      </w:r>
      <w:r>
        <w:rPr>
          <w:w w:val="115"/>
        </w:rPr>
        <w:t>uno</w:t>
      </w:r>
      <w:r>
        <w:rPr>
          <w:spacing w:val="-8"/>
          <w:w w:val="115"/>
        </w:rPr>
        <w:t> </w:t>
      </w:r>
      <w:r>
        <w:rPr>
          <w:w w:val="115"/>
        </w:rPr>
        <w:t>de</w:t>
      </w:r>
      <w:r>
        <w:rPr>
          <w:spacing w:val="-8"/>
          <w:w w:val="115"/>
        </w:rPr>
        <w:t> </w:t>
      </w:r>
      <w:r>
        <w:rPr>
          <w:w w:val="115"/>
        </w:rPr>
        <w:t>los</w:t>
      </w:r>
      <w:r>
        <w:rPr>
          <w:spacing w:val="-8"/>
          <w:w w:val="115"/>
        </w:rPr>
        <w:t> </w:t>
      </w:r>
      <w:r>
        <w:rPr>
          <w:w w:val="115"/>
        </w:rPr>
        <w:t>principales,</w:t>
      </w:r>
      <w:r>
        <w:rPr>
          <w:spacing w:val="-8"/>
          <w:w w:val="115"/>
        </w:rPr>
        <w:t> </w:t>
      </w:r>
      <w:r>
        <w:rPr>
          <w:w w:val="115"/>
        </w:rPr>
        <w:t>articuladores</w:t>
      </w:r>
      <w:r>
        <w:rPr>
          <w:spacing w:val="-8"/>
          <w:w w:val="115"/>
        </w:rPr>
        <w:t> </w:t>
      </w:r>
      <w:r>
        <w:rPr>
          <w:w w:val="115"/>
        </w:rPr>
        <w:t>de</w:t>
      </w:r>
      <w:r>
        <w:rPr>
          <w:spacing w:val="-8"/>
          <w:w w:val="115"/>
        </w:rPr>
        <w:t> </w:t>
      </w:r>
      <w:r>
        <w:rPr>
          <w:w w:val="115"/>
        </w:rPr>
        <w:t>la</w:t>
      </w:r>
      <w:r>
        <w:rPr>
          <w:spacing w:val="-8"/>
          <w:w w:val="115"/>
        </w:rPr>
        <w:t> </w:t>
      </w:r>
      <w:r>
        <w:rPr>
          <w:w w:val="115"/>
        </w:rPr>
        <w:t>im- plementación</w:t>
      </w:r>
      <w:r>
        <w:rPr>
          <w:spacing w:val="-6"/>
          <w:w w:val="115"/>
        </w:rPr>
        <w:t> </w:t>
      </w:r>
      <w:r>
        <w:rPr>
          <w:w w:val="115"/>
        </w:rPr>
        <w:t>y</w:t>
      </w:r>
      <w:r>
        <w:rPr>
          <w:spacing w:val="-6"/>
          <w:w w:val="115"/>
        </w:rPr>
        <w:t> </w:t>
      </w:r>
      <w:r>
        <w:rPr>
          <w:w w:val="115"/>
        </w:rPr>
        <w:t>expansión</w:t>
      </w:r>
      <w:r>
        <w:rPr>
          <w:spacing w:val="-6"/>
          <w:w w:val="115"/>
        </w:rPr>
        <w:t> </w:t>
      </w:r>
      <w:r>
        <w:rPr>
          <w:w w:val="115"/>
        </w:rPr>
        <w:t>de</w:t>
      </w:r>
      <w:r>
        <w:rPr>
          <w:spacing w:val="-6"/>
          <w:w w:val="115"/>
        </w:rPr>
        <w:t> </w:t>
      </w:r>
      <w:r>
        <w:rPr>
          <w:w w:val="115"/>
        </w:rPr>
        <w:t>la</w:t>
      </w:r>
      <w:r>
        <w:rPr>
          <w:spacing w:val="-6"/>
          <w:w w:val="115"/>
        </w:rPr>
        <w:t> </w:t>
      </w:r>
      <w:r>
        <w:rPr>
          <w:w w:val="115"/>
        </w:rPr>
        <w:t>gobernanza</w:t>
      </w:r>
      <w:r>
        <w:rPr>
          <w:spacing w:val="-6"/>
          <w:w w:val="115"/>
        </w:rPr>
        <w:t> </w:t>
      </w:r>
      <w:r>
        <w:rPr>
          <w:w w:val="115"/>
        </w:rPr>
        <w:t>corporativa</w:t>
      </w:r>
      <w:r>
        <w:rPr>
          <w:spacing w:val="-6"/>
          <w:w w:val="115"/>
        </w:rPr>
        <w:t> </w:t>
      </w:r>
      <w:r>
        <w:rPr>
          <w:w w:val="115"/>
        </w:rPr>
        <w:t>en</w:t>
      </w:r>
      <w:r>
        <w:rPr>
          <w:spacing w:val="-6"/>
          <w:w w:val="115"/>
        </w:rPr>
        <w:t> </w:t>
      </w:r>
      <w:r>
        <w:rPr>
          <w:w w:val="115"/>
        </w:rPr>
        <w:t>américa </w:t>
      </w:r>
      <w:r>
        <w:rPr>
          <w:w w:val="243"/>
        </w:rPr>
        <w:t>l</w:t>
      </w:r>
      <w:r>
        <w:rPr>
          <w:w w:val="113"/>
        </w:rPr>
        <w:t>atina.</w:t>
      </w:r>
      <w:r>
        <w:rPr>
          <w:spacing w:val="18"/>
        </w:rPr>
        <w:t> </w:t>
      </w:r>
      <w:r>
        <w:rPr>
          <w:w w:val="243"/>
        </w:rPr>
        <w:t>l</w:t>
      </w:r>
      <w:r>
        <w:rPr>
          <w:w w:val="108"/>
        </w:rPr>
        <w:t>os</w:t>
      </w:r>
      <w:r>
        <w:rPr>
          <w:spacing w:val="18"/>
        </w:rPr>
        <w:t> </w:t>
      </w:r>
      <w:r>
        <w:rPr>
          <w:w w:val="109"/>
        </w:rPr>
        <w:t>programas</w:t>
      </w:r>
      <w:r>
        <w:rPr>
          <w:spacing w:val="18"/>
        </w:rPr>
        <w:t> </w:t>
      </w:r>
      <w:r>
        <w:rPr>
          <w:w w:val="107"/>
        </w:rPr>
        <w:t>de</w:t>
      </w:r>
      <w:r>
        <w:rPr>
          <w:spacing w:val="18"/>
        </w:rPr>
        <w:t> </w:t>
      </w:r>
      <w:r>
        <w:rPr>
          <w:w w:val="110"/>
        </w:rPr>
        <w:t>gobernanza</w:t>
      </w:r>
      <w:r>
        <w:rPr>
          <w:spacing w:val="18"/>
        </w:rPr>
        <w:t> </w:t>
      </w:r>
      <w:r>
        <w:rPr>
          <w:w w:val="108"/>
        </w:rPr>
        <w:t>establecen</w:t>
      </w:r>
      <w:r>
        <w:rPr>
          <w:spacing w:val="18"/>
        </w:rPr>
        <w:t> </w:t>
      </w:r>
      <w:r>
        <w:rPr>
          <w:w w:val="112"/>
        </w:rPr>
        <w:t>una</w:t>
      </w:r>
      <w:r>
        <w:rPr>
          <w:spacing w:val="18"/>
        </w:rPr>
        <w:t> </w:t>
      </w:r>
      <w:r>
        <w:rPr>
          <w:w w:val="110"/>
        </w:rPr>
        <w:t>conexión</w:t>
      </w:r>
      <w:r>
        <w:rPr>
          <w:spacing w:val="18"/>
        </w:rPr>
        <w:t> </w:t>
      </w:r>
      <w:r>
        <w:rPr>
          <w:w w:val="106"/>
        </w:rPr>
        <w:t>entre </w:t>
      </w:r>
      <w:r>
        <w:rPr>
          <w:w w:val="115"/>
        </w:rPr>
        <w:t>el</w:t>
      </w:r>
      <w:r>
        <w:rPr>
          <w:spacing w:val="-7"/>
          <w:w w:val="115"/>
        </w:rPr>
        <w:t> </w:t>
      </w:r>
      <w:r>
        <w:rPr>
          <w:w w:val="115"/>
        </w:rPr>
        <w:t>CiPE</w:t>
      </w:r>
      <w:r>
        <w:rPr>
          <w:spacing w:val="-7"/>
          <w:w w:val="115"/>
        </w:rPr>
        <w:t> </w:t>
      </w:r>
      <w:r>
        <w:rPr>
          <w:w w:val="115"/>
        </w:rPr>
        <w:t>y</w:t>
      </w:r>
      <w:r>
        <w:rPr>
          <w:spacing w:val="-7"/>
          <w:w w:val="115"/>
        </w:rPr>
        <w:t> </w:t>
      </w:r>
      <w:r>
        <w:rPr>
          <w:w w:val="115"/>
        </w:rPr>
        <w:t>el</w:t>
      </w:r>
      <w:r>
        <w:rPr>
          <w:spacing w:val="-7"/>
          <w:w w:val="115"/>
        </w:rPr>
        <w:t> </w:t>
      </w:r>
      <w:r>
        <w:rPr>
          <w:w w:val="115"/>
        </w:rPr>
        <w:t>sistema</w:t>
      </w:r>
      <w:r>
        <w:rPr>
          <w:spacing w:val="-7"/>
          <w:w w:val="115"/>
        </w:rPr>
        <w:t> </w:t>
      </w:r>
      <w:r>
        <w:rPr>
          <w:w w:val="115"/>
        </w:rPr>
        <w:t>financiero.</w:t>
      </w:r>
    </w:p>
    <w:p>
      <w:pPr>
        <w:pStyle w:val="BodyText"/>
        <w:spacing w:line="252" w:lineRule="auto"/>
        <w:ind w:left="120" w:right="326" w:firstLine="396"/>
        <w:jc w:val="both"/>
      </w:pPr>
      <w:r>
        <w:rPr>
          <w:w w:val="110"/>
        </w:rPr>
        <w:t>un sentido más general de esa conexión se manifiesta por el conjunto de organizaciones que adoptan los intereses de las institu- ciones financieras privadas que actúan en cada país y por la impor- tancia que el CiPE atribuye a las asociaciones de empresarios como actores políticos fundamentales en el proceso de implementación de las reformas políticas y económicas con una orientación hacia el li- bre mercado. El vínculo más específico se refiere a la participación    de las instituciones financieras en programas o entidades de gober- </w:t>
      </w:r>
      <w:r>
        <w:rPr>
          <w:spacing w:val="1"/>
          <w:w w:val="112"/>
        </w:rPr>
        <w:t>nanz</w:t>
      </w:r>
      <w:r>
        <w:rPr>
          <w:w w:val="112"/>
        </w:rPr>
        <w:t>a</w:t>
      </w:r>
      <w:r>
        <w:rPr>
          <w:spacing w:val="9"/>
        </w:rPr>
        <w:t> </w:t>
      </w:r>
      <w:r>
        <w:rPr>
          <w:spacing w:val="1"/>
          <w:w w:val="109"/>
        </w:rPr>
        <w:t>corporativ</w:t>
      </w:r>
      <w:r>
        <w:rPr>
          <w:w w:val="109"/>
        </w:rPr>
        <w:t>a</w:t>
      </w:r>
      <w:r>
        <w:rPr>
          <w:spacing w:val="9"/>
        </w:rPr>
        <w:t> </w:t>
      </w:r>
      <w:r>
        <w:rPr>
          <w:spacing w:val="1"/>
          <w:w w:val="109"/>
        </w:rPr>
        <w:t>apoyada</w:t>
      </w:r>
      <w:r>
        <w:rPr>
          <w:w w:val="109"/>
        </w:rPr>
        <w:t>s</w:t>
      </w:r>
      <w:r>
        <w:rPr>
          <w:spacing w:val="9"/>
        </w:rPr>
        <w:t> </w:t>
      </w:r>
      <w:r>
        <w:rPr>
          <w:spacing w:val="1"/>
          <w:w w:val="108"/>
        </w:rPr>
        <w:t>po</w:t>
      </w:r>
      <w:r>
        <w:rPr>
          <w:w w:val="108"/>
        </w:rPr>
        <w:t>r</w:t>
      </w:r>
      <w:r>
        <w:rPr>
          <w:spacing w:val="9"/>
        </w:rPr>
        <w:t> </w:t>
      </w:r>
      <w:r>
        <w:rPr>
          <w:spacing w:val="1"/>
          <w:w w:val="107"/>
        </w:rPr>
        <w:t>e</w:t>
      </w:r>
      <w:r>
        <w:rPr>
          <w:w w:val="107"/>
        </w:rPr>
        <w:t>l</w:t>
      </w:r>
      <w:r>
        <w:rPr>
          <w:spacing w:val="9"/>
        </w:rPr>
        <w:t> </w:t>
      </w:r>
      <w:r>
        <w:rPr>
          <w:spacing w:val="1"/>
          <w:w w:val="124"/>
        </w:rPr>
        <w:t>C</w:t>
      </w:r>
      <w:r>
        <w:rPr>
          <w:spacing w:val="1"/>
          <w:w w:val="142"/>
        </w:rPr>
        <w:t>i</w:t>
      </w:r>
      <w:r>
        <w:rPr>
          <w:spacing w:val="1"/>
          <w:w w:val="120"/>
        </w:rPr>
        <w:t>P</w:t>
      </w:r>
      <w:r>
        <w:rPr>
          <w:w w:val="120"/>
        </w:rPr>
        <w:t>E</w:t>
      </w:r>
      <w:r>
        <w:rPr>
          <w:spacing w:val="9"/>
        </w:rPr>
        <w:t> </w:t>
      </w:r>
      <w:r>
        <w:rPr>
          <w:spacing w:val="1"/>
          <w:w w:val="108"/>
        </w:rPr>
        <w:t>e</w:t>
      </w:r>
      <w:r>
        <w:rPr>
          <w:w w:val="108"/>
        </w:rPr>
        <w:t>n</w:t>
      </w:r>
      <w:r>
        <w:rPr>
          <w:spacing w:val="9"/>
        </w:rPr>
        <w:t> </w:t>
      </w:r>
      <w:r>
        <w:rPr>
          <w:spacing w:val="1"/>
          <w:w w:val="139"/>
        </w:rPr>
        <w:t>a</w:t>
      </w:r>
      <w:r>
        <w:rPr>
          <w:spacing w:val="1"/>
          <w:w w:val="111"/>
        </w:rPr>
        <w:t>méric</w:t>
      </w:r>
      <w:r>
        <w:rPr>
          <w:w w:val="111"/>
        </w:rPr>
        <w:t>a</w:t>
      </w:r>
      <w:r>
        <w:rPr>
          <w:spacing w:val="9"/>
        </w:rPr>
        <w:t> </w:t>
      </w:r>
      <w:r>
        <w:rPr>
          <w:spacing w:val="1"/>
          <w:w w:val="243"/>
        </w:rPr>
        <w:t>l</w:t>
      </w:r>
      <w:r>
        <w:rPr>
          <w:spacing w:val="1"/>
          <w:w w:val="113"/>
        </w:rPr>
        <w:t>atina</w:t>
      </w:r>
      <w:r>
        <w:rPr>
          <w:w w:val="113"/>
        </w:rPr>
        <w:t>,</w:t>
      </w:r>
      <w:r>
        <w:rPr>
          <w:spacing w:val="9"/>
        </w:rPr>
        <w:t> </w:t>
      </w:r>
      <w:r>
        <w:rPr>
          <w:spacing w:val="1"/>
          <w:w w:val="112"/>
        </w:rPr>
        <w:t>com</w:t>
      </w:r>
      <w:r>
        <w:rPr>
          <w:w w:val="112"/>
        </w:rPr>
        <w:t>o</w:t>
      </w:r>
      <w:r>
        <w:rPr>
          <w:spacing w:val="9"/>
        </w:rPr>
        <w:t> </w:t>
      </w:r>
      <w:r>
        <w:rPr>
          <w:spacing w:val="1"/>
          <w:w w:val="105"/>
        </w:rPr>
        <w:t>se </w:t>
      </w:r>
      <w:r>
        <w:rPr>
          <w:w w:val="110"/>
        </w:rPr>
        <w:t>analiza  a  continuación.</w:t>
      </w:r>
    </w:p>
    <w:p>
      <w:pPr>
        <w:pStyle w:val="BodyText"/>
        <w:spacing w:line="252" w:lineRule="auto"/>
        <w:ind w:left="120" w:right="327" w:firstLine="396"/>
        <w:jc w:val="both"/>
      </w:pPr>
      <w:r>
        <w:rPr>
          <w:w w:val="110"/>
        </w:rPr>
        <w:t>En brasil, las instituciones financieras privadas y estatales</w:t>
      </w:r>
      <w:r>
        <w:rPr>
          <w:w w:val="110"/>
          <w:position w:val="6"/>
          <w:sz w:val="11"/>
        </w:rPr>
        <w:t>35 </w:t>
      </w:r>
      <w:r>
        <w:rPr>
          <w:w w:val="110"/>
        </w:rPr>
        <w:t>se encuentran entre las empresas “patrocinadoras asociadas” que</w:t>
      </w:r>
      <w:r>
        <w:rPr>
          <w:spacing w:val="-14"/>
          <w:w w:val="110"/>
        </w:rPr>
        <w:t> </w:t>
      </w:r>
      <w:r>
        <w:rPr>
          <w:w w:val="110"/>
        </w:rPr>
        <w:t>contri- buyen en la manutención del instituto brasileño de Gobernanza </w:t>
      </w:r>
      <w:r>
        <w:rPr>
          <w:spacing w:val="-4"/>
          <w:w w:val="110"/>
        </w:rPr>
        <w:t>Cor- </w:t>
      </w:r>
      <w:r>
        <w:rPr>
          <w:w w:val="110"/>
        </w:rPr>
        <w:t>porativa (ibGC). El banco itaú –actual itaú unibanco– actuó directa- mente en la ampliación de la cobertura periodística sobre gobernanza corporativa a través del Premio ibGC-itaú Periodismo, que tiene por objetivo estimular a los periodistas a escribir sobre el tema</w:t>
      </w:r>
      <w:r>
        <w:rPr>
          <w:w w:val="110"/>
          <w:position w:val="6"/>
          <w:sz w:val="11"/>
        </w:rPr>
        <w:t>36</w:t>
      </w:r>
      <w:r>
        <w:rPr>
          <w:w w:val="110"/>
        </w:rPr>
        <w:t>. En no- </w:t>
      </w:r>
      <w:r>
        <w:rPr>
          <w:w w:val="108"/>
        </w:rPr>
        <w:t>viembre</w:t>
      </w:r>
      <w:r>
        <w:rPr>
          <w:spacing w:val="19"/>
        </w:rPr>
        <w:t> </w:t>
      </w:r>
      <w:r>
        <w:rPr>
          <w:w w:val="107"/>
        </w:rPr>
        <w:t>de</w:t>
      </w:r>
      <w:r>
        <w:rPr>
          <w:spacing w:val="19"/>
        </w:rPr>
        <w:t> </w:t>
      </w:r>
      <w:r>
        <w:rPr>
          <w:w w:val="105"/>
        </w:rPr>
        <w:t>2008,</w:t>
      </w:r>
      <w:r>
        <w:rPr>
          <w:spacing w:val="19"/>
        </w:rPr>
        <w:t> </w:t>
      </w:r>
      <w:r>
        <w:rPr>
          <w:w w:val="111"/>
        </w:rPr>
        <w:t>cuando</w:t>
      </w:r>
      <w:r>
        <w:rPr>
          <w:spacing w:val="19"/>
        </w:rPr>
        <w:t> </w:t>
      </w:r>
      <w:r>
        <w:rPr>
          <w:w w:val="111"/>
        </w:rPr>
        <w:t>asumió</w:t>
      </w:r>
      <w:r>
        <w:rPr>
          <w:spacing w:val="19"/>
        </w:rPr>
        <w:t> </w:t>
      </w:r>
      <w:r>
        <w:rPr>
          <w:w w:val="111"/>
        </w:rPr>
        <w:t>la</w:t>
      </w:r>
      <w:r>
        <w:rPr>
          <w:spacing w:val="19"/>
        </w:rPr>
        <w:t> </w:t>
      </w:r>
      <w:r>
        <w:rPr>
          <w:w w:val="109"/>
        </w:rPr>
        <w:t>presidencia</w:t>
      </w:r>
      <w:r>
        <w:rPr>
          <w:spacing w:val="19"/>
        </w:rPr>
        <w:t> </w:t>
      </w:r>
      <w:r>
        <w:rPr>
          <w:w w:val="107"/>
        </w:rPr>
        <w:t>de</w:t>
      </w:r>
      <w:r>
        <w:rPr>
          <w:spacing w:val="19"/>
        </w:rPr>
        <w:t> </w:t>
      </w:r>
      <w:r>
        <w:rPr>
          <w:w w:val="111"/>
        </w:rPr>
        <w:t>la</w:t>
      </w:r>
      <w:r>
        <w:rPr>
          <w:spacing w:val="19"/>
        </w:rPr>
        <w:t> </w:t>
      </w:r>
      <w:r>
        <w:rPr>
          <w:w w:val="110"/>
        </w:rPr>
        <w:t>Federación</w:t>
      </w:r>
      <w:r>
        <w:rPr>
          <w:spacing w:val="19"/>
        </w:rPr>
        <w:t> </w:t>
      </w:r>
      <w:r>
        <w:rPr>
          <w:w w:val="243"/>
        </w:rPr>
        <w:t>l</w:t>
      </w:r>
      <w:r>
        <w:rPr>
          <w:w w:val="112"/>
        </w:rPr>
        <w:t>a</w:t>
      </w:r>
      <w:r>
        <w:rPr>
          <w:w w:val="102"/>
        </w:rPr>
        <w:t>- </w:t>
      </w:r>
      <w:r>
        <w:rPr>
          <w:w w:val="110"/>
        </w:rPr>
        <w:t>tinoamericana de bancos (Felaban), el brasileño ricardo Villela (del grupo itaú) anunció que la Federación promovería la adopción de la gobernanza corporativa en las instituciones </w:t>
      </w:r>
      <w:r>
        <w:rPr>
          <w:spacing w:val="1"/>
          <w:w w:val="110"/>
        </w:rPr>
        <w:t> </w:t>
      </w:r>
      <w:r>
        <w:rPr>
          <w:w w:val="110"/>
        </w:rPr>
        <w:t>bancarias</w:t>
      </w:r>
      <w:r>
        <w:rPr>
          <w:w w:val="110"/>
          <w:position w:val="6"/>
          <w:sz w:val="11"/>
        </w:rPr>
        <w:t>37</w:t>
      </w:r>
      <w:r>
        <w:rPr>
          <w:w w:val="110"/>
        </w:rPr>
        <w:t>.</w:t>
      </w:r>
    </w:p>
    <w:p>
      <w:pPr>
        <w:pStyle w:val="BodyText"/>
        <w:spacing w:before="11"/>
        <w:rPr>
          <w:sz w:val="14"/>
        </w:rPr>
      </w:pPr>
      <w:r>
        <w:rPr/>
        <w:pict>
          <v:line style="position:absolute;mso-position-horizontal-relative:page;mso-position-vertical-relative:paragraph;z-index:5872;mso-wrap-distance-left:0;mso-wrap-distance-right:0" from="51.023602pt,10.957834pt" to="79.369602pt,10.957834pt" stroked="true" strokeweight=".5pt" strokecolor="#000000">
            <w10:wrap type="topAndBottom"/>
          </v:line>
        </w:pict>
      </w:r>
    </w:p>
    <w:p>
      <w:pPr>
        <w:pStyle w:val="ListParagraph"/>
        <w:numPr>
          <w:ilvl w:val="0"/>
          <w:numId w:val="28"/>
        </w:numPr>
        <w:tabs>
          <w:tab w:pos="376" w:val="left" w:leader="none"/>
        </w:tabs>
        <w:spacing w:line="242" w:lineRule="auto" w:before="89" w:after="0"/>
        <w:ind w:left="120" w:right="328" w:firstLine="0"/>
        <w:jc w:val="both"/>
        <w:rPr>
          <w:sz w:val="16"/>
        </w:rPr>
      </w:pPr>
      <w:r>
        <w:rPr>
          <w:w w:val="110"/>
          <w:sz w:val="16"/>
        </w:rPr>
        <w:t>un análisis detallado sobre la actuación de la Confecámaras en este tema fue realizada</w:t>
      </w:r>
      <w:r>
        <w:rPr>
          <w:spacing w:val="-12"/>
          <w:w w:val="110"/>
          <w:sz w:val="16"/>
        </w:rPr>
        <w:t> </w:t>
      </w:r>
      <w:r>
        <w:rPr>
          <w:w w:val="110"/>
          <w:sz w:val="16"/>
        </w:rPr>
        <w:t>por</w:t>
      </w:r>
      <w:r>
        <w:rPr>
          <w:spacing w:val="-12"/>
          <w:w w:val="110"/>
          <w:sz w:val="16"/>
        </w:rPr>
        <w:t> </w:t>
      </w:r>
      <w:r>
        <w:rPr>
          <w:w w:val="110"/>
          <w:sz w:val="16"/>
        </w:rPr>
        <w:t>Gómez</w:t>
      </w:r>
      <w:r>
        <w:rPr>
          <w:spacing w:val="-12"/>
          <w:w w:val="110"/>
          <w:sz w:val="16"/>
        </w:rPr>
        <w:t> </w:t>
      </w:r>
      <w:r>
        <w:rPr>
          <w:w w:val="110"/>
          <w:sz w:val="16"/>
        </w:rPr>
        <w:t>(2012).</w:t>
      </w:r>
    </w:p>
    <w:p>
      <w:pPr>
        <w:pStyle w:val="ListParagraph"/>
        <w:numPr>
          <w:ilvl w:val="0"/>
          <w:numId w:val="28"/>
        </w:numPr>
        <w:tabs>
          <w:tab w:pos="376" w:val="left" w:leader="none"/>
        </w:tabs>
        <w:spacing w:line="242" w:lineRule="auto" w:before="57" w:after="0"/>
        <w:ind w:left="120" w:right="329" w:firstLine="0"/>
        <w:jc w:val="both"/>
        <w:rPr>
          <w:sz w:val="16"/>
        </w:rPr>
      </w:pPr>
      <w:r>
        <w:rPr>
          <w:w w:val="115"/>
          <w:sz w:val="16"/>
        </w:rPr>
        <w:t>bradesco, santander, itaú unibanco, banco do brasil, banco do Estado do rio Grande</w:t>
      </w:r>
      <w:r>
        <w:rPr>
          <w:spacing w:val="-8"/>
          <w:w w:val="115"/>
          <w:sz w:val="16"/>
        </w:rPr>
        <w:t> </w:t>
      </w:r>
      <w:r>
        <w:rPr>
          <w:w w:val="115"/>
          <w:sz w:val="16"/>
        </w:rPr>
        <w:t>do</w:t>
      </w:r>
      <w:r>
        <w:rPr>
          <w:spacing w:val="-8"/>
          <w:w w:val="115"/>
          <w:sz w:val="16"/>
        </w:rPr>
        <w:t> </w:t>
      </w:r>
      <w:r>
        <w:rPr>
          <w:w w:val="115"/>
          <w:sz w:val="16"/>
        </w:rPr>
        <w:t>sul</w:t>
      </w:r>
      <w:r>
        <w:rPr>
          <w:spacing w:val="-8"/>
          <w:w w:val="115"/>
          <w:sz w:val="16"/>
        </w:rPr>
        <w:t> </w:t>
      </w:r>
      <w:r>
        <w:rPr>
          <w:w w:val="115"/>
          <w:sz w:val="16"/>
        </w:rPr>
        <w:t>y</w:t>
      </w:r>
      <w:r>
        <w:rPr>
          <w:spacing w:val="-8"/>
          <w:w w:val="115"/>
          <w:sz w:val="16"/>
        </w:rPr>
        <w:t> </w:t>
      </w:r>
      <w:r>
        <w:rPr>
          <w:w w:val="115"/>
          <w:sz w:val="16"/>
        </w:rPr>
        <w:t>Nossa</w:t>
      </w:r>
      <w:r>
        <w:rPr>
          <w:spacing w:val="-8"/>
          <w:w w:val="115"/>
          <w:sz w:val="16"/>
        </w:rPr>
        <w:t> </w:t>
      </w:r>
      <w:r>
        <w:rPr>
          <w:w w:val="115"/>
          <w:sz w:val="16"/>
        </w:rPr>
        <w:t>Caixa.</w:t>
      </w:r>
    </w:p>
    <w:p>
      <w:pPr>
        <w:pStyle w:val="ListParagraph"/>
        <w:numPr>
          <w:ilvl w:val="0"/>
          <w:numId w:val="28"/>
        </w:numPr>
        <w:tabs>
          <w:tab w:pos="376" w:val="left" w:leader="none"/>
        </w:tabs>
        <w:spacing w:line="242" w:lineRule="auto" w:before="57" w:after="0"/>
        <w:ind w:left="120" w:right="328" w:firstLine="0"/>
        <w:jc w:val="both"/>
        <w:rPr>
          <w:sz w:val="16"/>
        </w:rPr>
      </w:pPr>
      <w:r>
        <w:rPr>
          <w:w w:val="105"/>
          <w:sz w:val="16"/>
        </w:rPr>
        <w:t>Es también una forma de sortear la restricción estatutaria del ibGC sobre la pu- blicación de artículos pagos. En 2009, el instituto unificó los Premios trabajos aca- démicos y de Periodismo en el Premio ibGC-itaú unibanco: academia y Prensa. dis- ponible en &lt;</w:t>
      </w:r>
      <w:hyperlink r:id="rId330">
        <w:r>
          <w:rPr>
            <w:w w:val="105"/>
            <w:sz w:val="16"/>
          </w:rPr>
          <w:t>http://www.ibgc.org.br</w:t>
        </w:r>
      </w:hyperlink>
      <w:r>
        <w:rPr>
          <w:w w:val="105"/>
          <w:sz w:val="16"/>
        </w:rPr>
        <w:t>&gt; según entrada hecha el día 2 de abril de   </w:t>
      </w:r>
      <w:r>
        <w:rPr>
          <w:spacing w:val="2"/>
          <w:w w:val="105"/>
          <w:sz w:val="16"/>
        </w:rPr>
        <w:t> </w:t>
      </w:r>
      <w:r>
        <w:rPr>
          <w:w w:val="105"/>
          <w:sz w:val="16"/>
        </w:rPr>
        <w:t>2010.</w:t>
      </w:r>
    </w:p>
    <w:p>
      <w:pPr>
        <w:pStyle w:val="ListParagraph"/>
        <w:numPr>
          <w:ilvl w:val="0"/>
          <w:numId w:val="28"/>
        </w:numPr>
        <w:tabs>
          <w:tab w:pos="376" w:val="left" w:leader="none"/>
        </w:tabs>
        <w:spacing w:line="242" w:lineRule="auto" w:before="57" w:after="0"/>
        <w:ind w:left="120" w:right="328" w:firstLine="0"/>
        <w:jc w:val="both"/>
        <w:rPr>
          <w:sz w:val="16"/>
        </w:rPr>
      </w:pPr>
      <w:r>
        <w:rPr>
          <w:w w:val="105"/>
          <w:sz w:val="16"/>
        </w:rPr>
        <w:t>“Felaban promoverá mejores prácticas de gobierno corporativo en sectores ban- carios”,</w:t>
      </w:r>
      <w:r>
        <w:rPr>
          <w:spacing w:val="20"/>
          <w:w w:val="105"/>
          <w:sz w:val="16"/>
        </w:rPr>
        <w:t> </w:t>
      </w:r>
      <w:r>
        <w:rPr>
          <w:w w:val="105"/>
          <w:sz w:val="16"/>
        </w:rPr>
        <w:t>en</w:t>
      </w:r>
      <w:r>
        <w:rPr>
          <w:spacing w:val="20"/>
          <w:w w:val="105"/>
          <w:sz w:val="16"/>
        </w:rPr>
        <w:t> </w:t>
      </w:r>
      <w:r>
        <w:rPr>
          <w:i/>
          <w:w w:val="105"/>
          <w:sz w:val="16"/>
        </w:rPr>
        <w:t>Business</w:t>
      </w:r>
      <w:r>
        <w:rPr>
          <w:i/>
          <w:spacing w:val="20"/>
          <w:w w:val="105"/>
          <w:sz w:val="16"/>
        </w:rPr>
        <w:t> </w:t>
      </w:r>
      <w:r>
        <w:rPr>
          <w:i/>
          <w:w w:val="105"/>
          <w:sz w:val="16"/>
        </w:rPr>
        <w:t>News</w:t>
      </w:r>
      <w:r>
        <w:rPr>
          <w:i/>
          <w:spacing w:val="20"/>
          <w:w w:val="105"/>
          <w:sz w:val="16"/>
        </w:rPr>
        <w:t> </w:t>
      </w:r>
      <w:r>
        <w:rPr>
          <w:i/>
          <w:w w:val="105"/>
          <w:sz w:val="16"/>
        </w:rPr>
        <w:t>Americas</w:t>
      </w:r>
      <w:r>
        <w:rPr>
          <w:w w:val="105"/>
          <w:sz w:val="16"/>
        </w:rPr>
        <w:t>,</w:t>
      </w:r>
      <w:r>
        <w:rPr>
          <w:spacing w:val="20"/>
          <w:w w:val="105"/>
          <w:sz w:val="16"/>
        </w:rPr>
        <w:t> </w:t>
      </w:r>
      <w:r>
        <w:rPr>
          <w:w w:val="105"/>
          <w:sz w:val="16"/>
        </w:rPr>
        <w:t>18</w:t>
      </w:r>
      <w:r>
        <w:rPr>
          <w:spacing w:val="20"/>
          <w:w w:val="105"/>
          <w:sz w:val="16"/>
        </w:rPr>
        <w:t> </w:t>
      </w:r>
      <w:r>
        <w:rPr>
          <w:w w:val="105"/>
          <w:sz w:val="16"/>
        </w:rPr>
        <w:t>de</w:t>
      </w:r>
      <w:r>
        <w:rPr>
          <w:spacing w:val="20"/>
          <w:w w:val="105"/>
          <w:sz w:val="16"/>
        </w:rPr>
        <w:t> </w:t>
      </w:r>
      <w:r>
        <w:rPr>
          <w:w w:val="105"/>
          <w:sz w:val="16"/>
        </w:rPr>
        <w:t>noviembre</w:t>
      </w:r>
      <w:r>
        <w:rPr>
          <w:spacing w:val="20"/>
          <w:w w:val="105"/>
          <w:sz w:val="16"/>
        </w:rPr>
        <w:t> </w:t>
      </w:r>
      <w:r>
        <w:rPr>
          <w:w w:val="105"/>
          <w:sz w:val="16"/>
        </w:rPr>
        <w:t>de</w:t>
      </w:r>
      <w:r>
        <w:rPr>
          <w:spacing w:val="20"/>
          <w:w w:val="105"/>
          <w:sz w:val="16"/>
        </w:rPr>
        <w:t> </w:t>
      </w:r>
      <w:r>
        <w:rPr>
          <w:w w:val="105"/>
          <w:sz w:val="16"/>
        </w:rPr>
        <w:t>2008.</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firstLine="396"/>
        <w:jc w:val="both"/>
      </w:pPr>
      <w:r>
        <w:rPr>
          <w:w w:val="115"/>
        </w:rPr>
        <w:t>una de las principales fuentes privadas de recursos del Centro para el Gobierno de la Empresa en Chile es el banco español banco </w:t>
      </w:r>
      <w:r>
        <w:rPr>
          <w:spacing w:val="-3"/>
          <w:w w:val="115"/>
        </w:rPr>
        <w:t>santander. </w:t>
      </w:r>
      <w:r>
        <w:rPr>
          <w:w w:val="115"/>
        </w:rPr>
        <w:t>En argentina, entre los nueve miembros del Consejo ad- ministrativo del Centro para la Estabilidad Financiera (CEF) está el vicepresidente</w:t>
      </w:r>
      <w:r>
        <w:rPr>
          <w:spacing w:val="-15"/>
          <w:w w:val="115"/>
        </w:rPr>
        <w:t> </w:t>
      </w:r>
      <w:r>
        <w:rPr>
          <w:w w:val="115"/>
        </w:rPr>
        <w:t>de</w:t>
      </w:r>
      <w:r>
        <w:rPr>
          <w:spacing w:val="-15"/>
          <w:w w:val="115"/>
        </w:rPr>
        <w:t> </w:t>
      </w:r>
      <w:r>
        <w:rPr>
          <w:w w:val="115"/>
        </w:rPr>
        <w:t>la</w:t>
      </w:r>
      <w:r>
        <w:rPr>
          <w:spacing w:val="-15"/>
          <w:w w:val="115"/>
        </w:rPr>
        <w:t> </w:t>
      </w:r>
      <w:r>
        <w:rPr>
          <w:w w:val="115"/>
        </w:rPr>
        <w:t>asociación</w:t>
      </w:r>
      <w:r>
        <w:rPr>
          <w:spacing w:val="-15"/>
          <w:w w:val="115"/>
        </w:rPr>
        <w:t> </w:t>
      </w:r>
      <w:r>
        <w:rPr>
          <w:w w:val="115"/>
        </w:rPr>
        <w:t>de</w:t>
      </w:r>
      <w:r>
        <w:rPr>
          <w:spacing w:val="-15"/>
          <w:w w:val="115"/>
        </w:rPr>
        <w:t> </w:t>
      </w:r>
      <w:r>
        <w:rPr>
          <w:w w:val="115"/>
        </w:rPr>
        <w:t>bancos</w:t>
      </w:r>
      <w:r>
        <w:rPr>
          <w:spacing w:val="-15"/>
          <w:w w:val="115"/>
        </w:rPr>
        <w:t> </w:t>
      </w:r>
      <w:r>
        <w:rPr>
          <w:w w:val="115"/>
        </w:rPr>
        <w:t>Privados</w:t>
      </w:r>
      <w:r>
        <w:rPr>
          <w:spacing w:val="-15"/>
          <w:w w:val="115"/>
        </w:rPr>
        <w:t> </w:t>
      </w:r>
      <w:r>
        <w:rPr>
          <w:w w:val="115"/>
        </w:rPr>
        <w:t>de</w:t>
      </w:r>
      <w:r>
        <w:rPr>
          <w:spacing w:val="-15"/>
          <w:w w:val="115"/>
        </w:rPr>
        <w:t> </w:t>
      </w:r>
      <w:r>
        <w:rPr>
          <w:w w:val="115"/>
        </w:rPr>
        <w:t>Capital</w:t>
      </w:r>
      <w:r>
        <w:rPr>
          <w:spacing w:val="-15"/>
          <w:w w:val="115"/>
        </w:rPr>
        <w:t> </w:t>
      </w:r>
      <w:r>
        <w:rPr>
          <w:w w:val="115"/>
        </w:rPr>
        <w:t>argen- tino (adEba)</w:t>
      </w:r>
      <w:r>
        <w:rPr>
          <w:w w:val="115"/>
          <w:position w:val="6"/>
          <w:sz w:val="11"/>
        </w:rPr>
        <w:t>38</w:t>
      </w:r>
      <w:r>
        <w:rPr>
          <w:w w:val="115"/>
        </w:rPr>
        <w:t>. situación semejante podemos encontrar en México, donde el Centro de Excelencia en Gobierno Corporativo (CEGC) in- cluye</w:t>
      </w:r>
      <w:r>
        <w:rPr>
          <w:spacing w:val="-4"/>
          <w:w w:val="115"/>
        </w:rPr>
        <w:t> </w:t>
      </w:r>
      <w:r>
        <w:rPr>
          <w:w w:val="115"/>
        </w:rPr>
        <w:t>la</w:t>
      </w:r>
      <w:r>
        <w:rPr>
          <w:spacing w:val="-4"/>
          <w:w w:val="115"/>
        </w:rPr>
        <w:t> </w:t>
      </w:r>
      <w:r>
        <w:rPr>
          <w:w w:val="115"/>
        </w:rPr>
        <w:t>asociación</w:t>
      </w:r>
      <w:r>
        <w:rPr>
          <w:spacing w:val="-4"/>
          <w:w w:val="115"/>
        </w:rPr>
        <w:t> </w:t>
      </w:r>
      <w:r>
        <w:rPr>
          <w:w w:val="115"/>
        </w:rPr>
        <w:t>Mexicana</w:t>
      </w:r>
      <w:r>
        <w:rPr>
          <w:spacing w:val="-4"/>
          <w:w w:val="115"/>
        </w:rPr>
        <w:t> </w:t>
      </w:r>
      <w:r>
        <w:rPr>
          <w:w w:val="115"/>
        </w:rPr>
        <w:t>de</w:t>
      </w:r>
      <w:r>
        <w:rPr>
          <w:spacing w:val="-4"/>
          <w:w w:val="115"/>
        </w:rPr>
        <w:t> </w:t>
      </w:r>
      <w:r>
        <w:rPr>
          <w:w w:val="115"/>
        </w:rPr>
        <w:t>bancos</w:t>
      </w:r>
      <w:r>
        <w:rPr>
          <w:spacing w:val="-4"/>
          <w:w w:val="115"/>
        </w:rPr>
        <w:t> </w:t>
      </w:r>
      <w:r>
        <w:rPr>
          <w:w w:val="115"/>
        </w:rPr>
        <w:t>entre</w:t>
      </w:r>
      <w:r>
        <w:rPr>
          <w:spacing w:val="-4"/>
          <w:w w:val="115"/>
        </w:rPr>
        <w:t> </w:t>
      </w:r>
      <w:r>
        <w:rPr>
          <w:w w:val="115"/>
        </w:rPr>
        <w:t>los</w:t>
      </w:r>
      <w:r>
        <w:rPr>
          <w:spacing w:val="-4"/>
          <w:w w:val="115"/>
        </w:rPr>
        <w:t> </w:t>
      </w:r>
      <w:r>
        <w:rPr>
          <w:w w:val="115"/>
        </w:rPr>
        <w:t>siete</w:t>
      </w:r>
      <w:r>
        <w:rPr>
          <w:spacing w:val="-4"/>
          <w:w w:val="115"/>
        </w:rPr>
        <w:t> </w:t>
      </w:r>
      <w:r>
        <w:rPr>
          <w:w w:val="115"/>
        </w:rPr>
        <w:t>miembros</w:t>
      </w:r>
      <w:r>
        <w:rPr>
          <w:spacing w:val="-4"/>
          <w:w w:val="115"/>
        </w:rPr>
        <w:t> </w:t>
      </w:r>
      <w:r>
        <w:rPr>
          <w:w w:val="115"/>
        </w:rPr>
        <w:t>de su</w:t>
      </w:r>
      <w:r>
        <w:rPr>
          <w:spacing w:val="-25"/>
          <w:w w:val="115"/>
        </w:rPr>
        <w:t> </w:t>
      </w:r>
      <w:r>
        <w:rPr>
          <w:w w:val="115"/>
        </w:rPr>
        <w:t>Consejo</w:t>
      </w:r>
      <w:r>
        <w:rPr>
          <w:spacing w:val="-25"/>
          <w:w w:val="115"/>
        </w:rPr>
        <w:t> </w:t>
      </w:r>
      <w:r>
        <w:rPr>
          <w:w w:val="115"/>
        </w:rPr>
        <w:t>Consultivo</w:t>
      </w:r>
      <w:r>
        <w:rPr>
          <w:spacing w:val="-25"/>
          <w:w w:val="115"/>
        </w:rPr>
        <w:t> </w:t>
      </w:r>
      <w:r>
        <w:rPr>
          <w:w w:val="115"/>
        </w:rPr>
        <w:t>institucional</w:t>
      </w:r>
      <w:r>
        <w:rPr>
          <w:w w:val="115"/>
          <w:position w:val="6"/>
          <w:sz w:val="11"/>
        </w:rPr>
        <w:t>39</w:t>
      </w:r>
      <w:r>
        <w:rPr>
          <w:w w:val="115"/>
        </w:rPr>
        <w:t>.</w:t>
      </w:r>
    </w:p>
    <w:p>
      <w:pPr>
        <w:pStyle w:val="BodyText"/>
        <w:spacing w:line="252" w:lineRule="auto"/>
        <w:ind w:left="330" w:right="118" w:firstLine="396"/>
        <w:jc w:val="both"/>
      </w:pPr>
      <w:r>
        <w:rPr>
          <w:w w:val="110"/>
        </w:rPr>
        <w:t>Esas informaciones preliminares evidencian la existencia de inte- reses</w:t>
      </w:r>
      <w:r>
        <w:rPr>
          <w:spacing w:val="-8"/>
          <w:w w:val="110"/>
        </w:rPr>
        <w:t> </w:t>
      </w:r>
      <w:r>
        <w:rPr>
          <w:w w:val="110"/>
        </w:rPr>
        <w:t>y</w:t>
      </w:r>
      <w:r>
        <w:rPr>
          <w:spacing w:val="-8"/>
          <w:w w:val="110"/>
        </w:rPr>
        <w:t> </w:t>
      </w:r>
      <w:r>
        <w:rPr>
          <w:w w:val="110"/>
        </w:rPr>
        <w:t>participación</w:t>
      </w:r>
      <w:r>
        <w:rPr>
          <w:spacing w:val="-8"/>
          <w:w w:val="110"/>
        </w:rPr>
        <w:t> </w:t>
      </w:r>
      <w:r>
        <w:rPr>
          <w:w w:val="110"/>
        </w:rPr>
        <w:t>directa</w:t>
      </w:r>
      <w:r>
        <w:rPr>
          <w:spacing w:val="-8"/>
          <w:w w:val="110"/>
        </w:rPr>
        <w:t> </w:t>
      </w:r>
      <w:r>
        <w:rPr>
          <w:w w:val="110"/>
        </w:rPr>
        <w:t>de</w:t>
      </w:r>
      <w:r>
        <w:rPr>
          <w:spacing w:val="-8"/>
          <w:w w:val="110"/>
        </w:rPr>
        <w:t> </w:t>
      </w:r>
      <w:r>
        <w:rPr>
          <w:w w:val="110"/>
        </w:rPr>
        <w:t>las</w:t>
      </w:r>
      <w:r>
        <w:rPr>
          <w:spacing w:val="-8"/>
          <w:w w:val="110"/>
        </w:rPr>
        <w:t> </w:t>
      </w:r>
      <w:r>
        <w:rPr>
          <w:w w:val="110"/>
        </w:rPr>
        <w:t>instituciones</w:t>
      </w:r>
      <w:r>
        <w:rPr>
          <w:spacing w:val="-8"/>
          <w:w w:val="110"/>
        </w:rPr>
        <w:t> </w:t>
      </w:r>
      <w:r>
        <w:rPr>
          <w:w w:val="110"/>
        </w:rPr>
        <w:t>financieras</w:t>
      </w:r>
      <w:r>
        <w:rPr>
          <w:spacing w:val="-8"/>
          <w:w w:val="110"/>
        </w:rPr>
        <w:t> </w:t>
      </w:r>
      <w:r>
        <w:rPr>
          <w:w w:val="110"/>
        </w:rPr>
        <w:t>en</w:t>
      </w:r>
      <w:r>
        <w:rPr>
          <w:spacing w:val="-8"/>
          <w:w w:val="110"/>
        </w:rPr>
        <w:t> </w:t>
      </w:r>
      <w:r>
        <w:rPr>
          <w:w w:val="110"/>
        </w:rPr>
        <w:t>los</w:t>
      </w:r>
      <w:r>
        <w:rPr>
          <w:spacing w:val="-8"/>
          <w:w w:val="110"/>
        </w:rPr>
        <w:t> </w:t>
      </w:r>
      <w:r>
        <w:rPr>
          <w:w w:val="110"/>
        </w:rPr>
        <w:t>pro- cesos relacionados con la gobernanza corporativa. según roe (1994) y apud Grün (2005: 69), la gobernanza corporativa “es un ideario típico del sistema financiero estadounidense, que se revela como un instru- mento</w:t>
      </w:r>
      <w:r>
        <w:rPr>
          <w:spacing w:val="-5"/>
          <w:w w:val="110"/>
        </w:rPr>
        <w:t> </w:t>
      </w:r>
      <w:r>
        <w:rPr>
          <w:w w:val="110"/>
        </w:rPr>
        <w:t>de</w:t>
      </w:r>
      <w:r>
        <w:rPr>
          <w:spacing w:val="-5"/>
          <w:w w:val="110"/>
        </w:rPr>
        <w:t> </w:t>
      </w:r>
      <w:r>
        <w:rPr>
          <w:w w:val="110"/>
        </w:rPr>
        <w:t>disputa</w:t>
      </w:r>
      <w:r>
        <w:rPr>
          <w:spacing w:val="-5"/>
          <w:w w:val="110"/>
        </w:rPr>
        <w:t> </w:t>
      </w:r>
      <w:r>
        <w:rPr>
          <w:w w:val="110"/>
        </w:rPr>
        <w:t>secular</w:t>
      </w:r>
      <w:r>
        <w:rPr>
          <w:spacing w:val="-5"/>
          <w:w w:val="110"/>
        </w:rPr>
        <w:t> </w:t>
      </w:r>
      <w:r>
        <w:rPr>
          <w:w w:val="110"/>
        </w:rPr>
        <w:t>en</w:t>
      </w:r>
      <w:r>
        <w:rPr>
          <w:spacing w:val="-5"/>
          <w:w w:val="110"/>
        </w:rPr>
        <w:t> </w:t>
      </w:r>
      <w:r>
        <w:rPr>
          <w:w w:val="110"/>
        </w:rPr>
        <w:t>contra</w:t>
      </w:r>
      <w:r>
        <w:rPr>
          <w:spacing w:val="-5"/>
          <w:w w:val="110"/>
        </w:rPr>
        <w:t> </w:t>
      </w:r>
      <w:r>
        <w:rPr>
          <w:w w:val="110"/>
        </w:rPr>
        <w:t>de</w:t>
      </w:r>
      <w:r>
        <w:rPr>
          <w:spacing w:val="-5"/>
          <w:w w:val="110"/>
        </w:rPr>
        <w:t> </w:t>
      </w:r>
      <w:r>
        <w:rPr>
          <w:w w:val="110"/>
        </w:rPr>
        <w:t>las</w:t>
      </w:r>
      <w:r>
        <w:rPr>
          <w:spacing w:val="-5"/>
          <w:w w:val="110"/>
        </w:rPr>
        <w:t> </w:t>
      </w:r>
      <w:r>
        <w:rPr>
          <w:w w:val="110"/>
        </w:rPr>
        <w:t>direcciones</w:t>
      </w:r>
      <w:r>
        <w:rPr>
          <w:spacing w:val="-5"/>
          <w:w w:val="110"/>
        </w:rPr>
        <w:t> </w:t>
      </w:r>
      <w:r>
        <w:rPr>
          <w:w w:val="110"/>
        </w:rPr>
        <w:t>profesionales</w:t>
      </w:r>
      <w:r>
        <w:rPr>
          <w:spacing w:val="-5"/>
          <w:w w:val="110"/>
        </w:rPr>
        <w:t> </w:t>
      </w:r>
      <w:r>
        <w:rPr>
          <w:w w:val="110"/>
        </w:rPr>
        <w:t>de las empresas en las cuales el capital, captado y redistribuido por los financieros, es</w:t>
      </w:r>
      <w:r>
        <w:rPr>
          <w:spacing w:val="40"/>
          <w:w w:val="110"/>
        </w:rPr>
        <w:t> </w:t>
      </w:r>
      <w:r>
        <w:rPr>
          <w:w w:val="110"/>
        </w:rPr>
        <w:t>aplicado”.</w:t>
      </w:r>
    </w:p>
    <w:p>
      <w:pPr>
        <w:pStyle w:val="BodyText"/>
        <w:spacing w:line="252" w:lineRule="auto"/>
        <w:ind w:left="330" w:right="117" w:firstLine="396"/>
        <w:jc w:val="both"/>
      </w:pPr>
      <w:r>
        <w:rPr>
          <w:w w:val="110"/>
        </w:rPr>
        <w:t>El análisis de la gobernanza corporativa en la literatura brasileña, especialmente en el área de administración, ha enfatizado aspectos como las diferentes prácticas de gobernanza corporativa y la relación con la estructura de capital de las empresas, los derechos y protección de los accionistas, los consejos administrativos, la política de dividen- dos, transparencia y niveles de información, conflictos de agencia, re- lación con la privatización (ver siffert Filho, 1998; Moreiras, 2010; silveira </w:t>
      </w:r>
      <w:r>
        <w:rPr>
          <w:i/>
          <w:w w:val="110"/>
        </w:rPr>
        <w:t>et al</w:t>
      </w:r>
      <w:r>
        <w:rPr>
          <w:w w:val="110"/>
        </w:rPr>
        <w:t>., 2008; Kitagawa y ribeiro,   2009).</w:t>
      </w:r>
    </w:p>
    <w:p>
      <w:pPr>
        <w:pStyle w:val="BodyText"/>
        <w:spacing w:line="252" w:lineRule="auto"/>
        <w:ind w:left="330" w:right="118" w:firstLine="396"/>
        <w:jc w:val="both"/>
      </w:pPr>
      <w:r>
        <w:rPr>
          <w:w w:val="110"/>
        </w:rPr>
        <w:t>una perspectiva sociológica y política se destaca en trabajos  como el de Grün</w:t>
      </w:r>
      <w:r>
        <w:rPr>
          <w:w w:val="110"/>
          <w:position w:val="6"/>
          <w:sz w:val="11"/>
        </w:rPr>
        <w:t>40</w:t>
      </w:r>
      <w:r>
        <w:rPr>
          <w:w w:val="110"/>
        </w:rPr>
        <w:t>, que enfatiza cómo la gobernanza corporativa es alterada “mediante las interacciones sociales de los diversos grupos de</w:t>
      </w:r>
      <w:r>
        <w:rPr>
          <w:spacing w:val="-4"/>
          <w:w w:val="110"/>
        </w:rPr>
        <w:t> </w:t>
      </w:r>
      <w:r>
        <w:rPr>
          <w:w w:val="110"/>
        </w:rPr>
        <w:t>actores</w:t>
      </w:r>
      <w:r>
        <w:rPr>
          <w:spacing w:val="-4"/>
          <w:w w:val="110"/>
        </w:rPr>
        <w:t> </w:t>
      </w:r>
      <w:r>
        <w:rPr>
          <w:w w:val="110"/>
        </w:rPr>
        <w:t>que</w:t>
      </w:r>
      <w:r>
        <w:rPr>
          <w:spacing w:val="-4"/>
          <w:w w:val="110"/>
        </w:rPr>
        <w:t> </w:t>
      </w:r>
      <w:r>
        <w:rPr>
          <w:w w:val="110"/>
        </w:rPr>
        <w:t>de</w:t>
      </w:r>
      <w:r>
        <w:rPr>
          <w:spacing w:val="-4"/>
          <w:w w:val="110"/>
        </w:rPr>
        <w:t> </w:t>
      </w:r>
      <w:r>
        <w:rPr>
          <w:w w:val="110"/>
        </w:rPr>
        <w:t>ella</w:t>
      </w:r>
      <w:r>
        <w:rPr>
          <w:spacing w:val="-4"/>
          <w:w w:val="110"/>
        </w:rPr>
        <w:t> </w:t>
      </w:r>
      <w:r>
        <w:rPr>
          <w:w w:val="110"/>
        </w:rPr>
        <w:t>se</w:t>
      </w:r>
      <w:r>
        <w:rPr>
          <w:spacing w:val="-4"/>
          <w:w w:val="110"/>
        </w:rPr>
        <w:t> </w:t>
      </w:r>
      <w:r>
        <w:rPr>
          <w:w w:val="110"/>
        </w:rPr>
        <w:t>apropian”</w:t>
      </w:r>
      <w:r>
        <w:rPr>
          <w:spacing w:val="-4"/>
          <w:w w:val="110"/>
        </w:rPr>
        <w:t> </w:t>
      </w:r>
      <w:r>
        <w:rPr>
          <w:w w:val="110"/>
        </w:rPr>
        <w:t>(2005:</w:t>
      </w:r>
      <w:r>
        <w:rPr>
          <w:spacing w:val="-4"/>
          <w:w w:val="110"/>
        </w:rPr>
        <w:t> </w:t>
      </w:r>
      <w:r>
        <w:rPr>
          <w:w w:val="110"/>
        </w:rPr>
        <w:t>68).</w:t>
      </w:r>
      <w:r>
        <w:rPr>
          <w:spacing w:val="-4"/>
          <w:w w:val="110"/>
        </w:rPr>
        <w:t> </w:t>
      </w:r>
      <w:r>
        <w:rPr>
          <w:w w:val="110"/>
        </w:rPr>
        <w:t>Para</w:t>
      </w:r>
      <w:r>
        <w:rPr>
          <w:spacing w:val="-4"/>
          <w:w w:val="110"/>
        </w:rPr>
        <w:t> </w:t>
      </w:r>
      <w:r>
        <w:rPr>
          <w:w w:val="110"/>
        </w:rPr>
        <w:t>este</w:t>
      </w:r>
      <w:r>
        <w:rPr>
          <w:spacing w:val="-4"/>
          <w:w w:val="110"/>
        </w:rPr>
        <w:t> autor, </w:t>
      </w:r>
      <w:r>
        <w:rPr>
          <w:w w:val="110"/>
        </w:rPr>
        <w:t>los</w:t>
      </w:r>
      <w:r>
        <w:rPr>
          <w:spacing w:val="-4"/>
          <w:w w:val="110"/>
        </w:rPr>
        <w:t> </w:t>
      </w:r>
      <w:r>
        <w:rPr>
          <w:w w:val="110"/>
        </w:rPr>
        <w:t>gru- pos que “imprimen su marca” y alteran el contenido de la gobernanza corporativa en brasil “pertenecen a las élites nacionales” que “utilizan la gobernanza corporativa en sus estrategias de composición y</w:t>
      </w:r>
      <w:r>
        <w:rPr>
          <w:spacing w:val="-12"/>
          <w:w w:val="110"/>
        </w:rPr>
        <w:t> </w:t>
      </w:r>
      <w:r>
        <w:rPr>
          <w:w w:val="110"/>
        </w:rPr>
        <w:t>recom- posición de fuerzas en el campo del </w:t>
      </w:r>
      <w:r>
        <w:rPr>
          <w:spacing w:val="15"/>
          <w:w w:val="110"/>
        </w:rPr>
        <w:t> </w:t>
      </w:r>
      <w:r>
        <w:rPr>
          <w:w w:val="110"/>
        </w:rPr>
        <w:t>poder”.</w:t>
      </w:r>
    </w:p>
    <w:p>
      <w:pPr>
        <w:pStyle w:val="BodyText"/>
        <w:spacing w:before="9"/>
      </w:pPr>
      <w:r>
        <w:rPr/>
        <w:pict>
          <v:line style="position:absolute;mso-position-horizontal-relative:page;mso-position-vertical-relative:paragraph;z-index:5896;mso-wrap-distance-left:0;mso-wrap-distance-right:0" from="76.5354pt,13.788934pt" to="104.8814pt,13.788934pt" stroked="true" strokeweight=".5pt" strokecolor="#000000">
            <w10:wrap type="topAndBottom"/>
          </v:line>
        </w:pict>
      </w:r>
    </w:p>
    <w:p>
      <w:pPr>
        <w:pStyle w:val="ListParagraph"/>
        <w:numPr>
          <w:ilvl w:val="0"/>
          <w:numId w:val="28"/>
        </w:numPr>
        <w:tabs>
          <w:tab w:pos="586" w:val="left" w:leader="none"/>
        </w:tabs>
        <w:spacing w:line="242" w:lineRule="auto" w:before="89" w:after="0"/>
        <w:ind w:left="330" w:right="118" w:firstLine="0"/>
        <w:jc w:val="both"/>
        <w:rPr>
          <w:sz w:val="16"/>
        </w:rPr>
      </w:pPr>
      <w:r>
        <w:rPr>
          <w:w w:val="105"/>
          <w:sz w:val="16"/>
        </w:rPr>
        <w:t>adEba fue creada en 1972, con la denominación de asociación de bancos argenti- nos, y reorganizada por iniciativa de bancos privados argentinos con la actual denomi- nación en abril de 2003 </w:t>
      </w:r>
      <w:r>
        <w:rPr>
          <w:spacing w:val="24"/>
          <w:w w:val="105"/>
          <w:sz w:val="16"/>
        </w:rPr>
        <w:t> </w:t>
      </w:r>
      <w:hyperlink r:id="rId331">
        <w:r>
          <w:rPr>
            <w:w w:val="105"/>
            <w:sz w:val="16"/>
          </w:rPr>
          <w:t>(&lt;http://www.adebaargentina.com.ar/?page=institucional&gt;).</w:t>
        </w:r>
      </w:hyperlink>
    </w:p>
    <w:p>
      <w:pPr>
        <w:pStyle w:val="ListParagraph"/>
        <w:numPr>
          <w:ilvl w:val="0"/>
          <w:numId w:val="28"/>
        </w:numPr>
        <w:tabs>
          <w:tab w:pos="586" w:val="left" w:leader="none"/>
        </w:tabs>
        <w:spacing w:line="242" w:lineRule="auto" w:before="57" w:after="0"/>
        <w:ind w:left="330" w:right="118" w:firstLine="0"/>
        <w:jc w:val="both"/>
        <w:rPr>
          <w:sz w:val="16"/>
        </w:rPr>
      </w:pPr>
      <w:r>
        <w:rPr>
          <w:w w:val="238"/>
          <w:sz w:val="16"/>
        </w:rPr>
        <w:t>l</w:t>
      </w:r>
      <w:r>
        <w:rPr>
          <w:w w:val="105"/>
          <w:sz w:val="16"/>
        </w:rPr>
        <w:t>os</w:t>
      </w:r>
      <w:r>
        <w:rPr>
          <w:sz w:val="16"/>
        </w:rPr>
        <w:t> </w:t>
      </w:r>
      <w:r>
        <w:rPr>
          <w:w w:val="107"/>
          <w:sz w:val="16"/>
        </w:rPr>
        <w:t>demás</w:t>
      </w:r>
      <w:r>
        <w:rPr>
          <w:sz w:val="16"/>
        </w:rPr>
        <w:t> </w:t>
      </w:r>
      <w:r>
        <w:rPr>
          <w:w w:val="108"/>
          <w:sz w:val="16"/>
        </w:rPr>
        <w:t>miembros</w:t>
      </w:r>
      <w:r>
        <w:rPr>
          <w:sz w:val="16"/>
        </w:rPr>
        <w:t> </w:t>
      </w:r>
      <w:r>
        <w:rPr>
          <w:w w:val="107"/>
          <w:sz w:val="16"/>
        </w:rPr>
        <w:t>son</w:t>
      </w:r>
      <w:r>
        <w:rPr>
          <w:sz w:val="16"/>
        </w:rPr>
        <w:t> </w:t>
      </w:r>
      <w:r>
        <w:rPr>
          <w:w w:val="140"/>
          <w:sz w:val="16"/>
        </w:rPr>
        <w:t>i</w:t>
      </w:r>
      <w:r>
        <w:rPr>
          <w:w w:val="107"/>
          <w:sz w:val="16"/>
        </w:rPr>
        <w:t>nstituto</w:t>
      </w:r>
      <w:r>
        <w:rPr>
          <w:sz w:val="16"/>
        </w:rPr>
        <w:t> </w:t>
      </w:r>
      <w:r>
        <w:rPr>
          <w:w w:val="110"/>
          <w:sz w:val="16"/>
        </w:rPr>
        <w:t>Mexicano</w:t>
      </w:r>
      <w:r>
        <w:rPr>
          <w:sz w:val="16"/>
        </w:rPr>
        <w:t> </w:t>
      </w:r>
      <w:r>
        <w:rPr>
          <w:w w:val="104"/>
          <w:sz w:val="16"/>
        </w:rPr>
        <w:t>de</w:t>
      </w:r>
      <w:r>
        <w:rPr>
          <w:sz w:val="16"/>
        </w:rPr>
        <w:t> </w:t>
      </w:r>
      <w:r>
        <w:rPr>
          <w:w w:val="109"/>
          <w:sz w:val="16"/>
        </w:rPr>
        <w:t>Ejecutivos</w:t>
      </w:r>
      <w:r>
        <w:rPr>
          <w:sz w:val="16"/>
        </w:rPr>
        <w:t> </w:t>
      </w:r>
      <w:r>
        <w:rPr>
          <w:w w:val="104"/>
          <w:sz w:val="16"/>
        </w:rPr>
        <w:t>de</w:t>
      </w:r>
      <w:r>
        <w:rPr>
          <w:sz w:val="16"/>
        </w:rPr>
        <w:t> </w:t>
      </w:r>
      <w:r>
        <w:rPr>
          <w:w w:val="111"/>
          <w:sz w:val="16"/>
        </w:rPr>
        <w:t>Finanzas,</w:t>
      </w:r>
      <w:r>
        <w:rPr>
          <w:sz w:val="16"/>
        </w:rPr>
        <w:t> </w:t>
      </w:r>
      <w:r>
        <w:rPr>
          <w:w w:val="111"/>
          <w:sz w:val="16"/>
        </w:rPr>
        <w:t>Nacional </w:t>
      </w:r>
      <w:r>
        <w:rPr>
          <w:w w:val="110"/>
          <w:sz w:val="16"/>
        </w:rPr>
        <w:t>Financiera, bolsa Mexicana de Valores, Confederación de Cámaras de la industria, asociación Mexicana de intermediarios bursátiles y el Club de Empresarios bos- ques.</w:t>
      </w:r>
    </w:p>
    <w:p>
      <w:pPr>
        <w:pStyle w:val="ListParagraph"/>
        <w:numPr>
          <w:ilvl w:val="0"/>
          <w:numId w:val="28"/>
        </w:numPr>
        <w:tabs>
          <w:tab w:pos="586" w:val="left" w:leader="none"/>
        </w:tabs>
        <w:spacing w:line="242" w:lineRule="auto" w:before="57" w:after="0"/>
        <w:ind w:left="330" w:right="118" w:firstLine="0"/>
        <w:jc w:val="both"/>
        <w:rPr>
          <w:sz w:val="16"/>
        </w:rPr>
      </w:pPr>
      <w:r>
        <w:rPr>
          <w:w w:val="105"/>
          <w:sz w:val="16"/>
        </w:rPr>
        <w:t>En esta perspectiva es posible ubicar autores como Coutinho, rabelo (2003); ago- sin, Pastén (2003) y Meisel (2004), además de otros trabajos del mismo Grün (2009, 2003a,</w:t>
      </w:r>
      <w:r>
        <w:rPr>
          <w:spacing w:val="-4"/>
          <w:w w:val="105"/>
          <w:sz w:val="16"/>
        </w:rPr>
        <w:t> </w:t>
      </w:r>
      <w:r>
        <w:rPr>
          <w:w w:val="105"/>
          <w:sz w:val="16"/>
        </w:rPr>
        <w:t>2003b).</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8" w:firstLine="396"/>
        <w:jc w:val="both"/>
      </w:pPr>
      <w:r>
        <w:rPr>
          <w:w w:val="110"/>
        </w:rPr>
        <w:t>En términos históricos es importante tener en cuenta las directri- ces de gobernanza corporativa elaboradas por la oCdE en 1999 y que servirán como modelo de referencia. Entre ellas se encuentran los de- rechos de los accionistas; el tratamiento equitativo de los accionistas; la relación con los accionistas (</w:t>
      </w:r>
      <w:r>
        <w:rPr>
          <w:i/>
          <w:w w:val="110"/>
        </w:rPr>
        <w:t>stakeholders</w:t>
      </w:r>
      <w:r>
        <w:rPr>
          <w:w w:val="110"/>
        </w:rPr>
        <w:t>); la divulgación y la trans- parencia; las responsabilidades de los Consejos de administración; las mejoras en el cumplimiento de leyes y su asequibilidad y cooperación regional (para un análisis detallado de la gobernanza corporativa y la oCdE  ver  Claumann, 2015).</w:t>
      </w:r>
    </w:p>
    <w:p>
      <w:pPr>
        <w:pStyle w:val="BodyText"/>
        <w:spacing w:line="252" w:lineRule="auto"/>
        <w:ind w:left="120" w:right="327" w:firstLine="396"/>
        <w:jc w:val="both"/>
      </w:pPr>
      <w:r>
        <w:rPr>
          <w:w w:val="110"/>
        </w:rPr>
        <w:t>según Kitagawa y ribeiro (2009: 62-63), con el apoyo del banco Mundial, tales directrices fueron debatidas en varios foros en asia, </w:t>
      </w:r>
      <w:r>
        <w:rPr>
          <w:w w:val="115"/>
        </w:rPr>
        <w:t>Eurasia,</w:t>
      </w:r>
      <w:r>
        <w:rPr>
          <w:spacing w:val="11"/>
        </w:rPr>
        <w:t> </w:t>
      </w:r>
      <w:r>
        <w:rPr>
          <w:w w:val="139"/>
        </w:rPr>
        <w:t>a</w:t>
      </w:r>
      <w:r>
        <w:rPr>
          <w:w w:val="111"/>
        </w:rPr>
        <w:t>mérica</w:t>
      </w:r>
      <w:r>
        <w:rPr>
          <w:spacing w:val="11"/>
        </w:rPr>
        <w:t> </w:t>
      </w:r>
      <w:r>
        <w:rPr>
          <w:w w:val="243"/>
        </w:rPr>
        <w:t>l</w:t>
      </w:r>
      <w:r>
        <w:rPr>
          <w:w w:val="113"/>
        </w:rPr>
        <w:t>atina,</w:t>
      </w:r>
      <w:r>
        <w:rPr>
          <w:spacing w:val="11"/>
        </w:rPr>
        <w:t> </w:t>
      </w:r>
      <w:r>
        <w:rPr>
          <w:w w:val="182"/>
        </w:rPr>
        <w:t>r</w:t>
      </w:r>
      <w:r>
        <w:rPr>
          <w:w w:val="111"/>
        </w:rPr>
        <w:t>usia</w:t>
      </w:r>
      <w:r>
        <w:rPr>
          <w:spacing w:val="11"/>
        </w:rPr>
        <w:t> </w:t>
      </w:r>
      <w:r>
        <w:rPr>
          <w:w w:val="105"/>
        </w:rPr>
        <w:t>y</w:t>
      </w:r>
      <w:r>
        <w:rPr>
          <w:spacing w:val="11"/>
        </w:rPr>
        <w:t> </w:t>
      </w:r>
      <w:r>
        <w:rPr>
          <w:w w:val="107"/>
        </w:rPr>
        <w:t>el</w:t>
      </w:r>
      <w:r>
        <w:rPr>
          <w:spacing w:val="11"/>
        </w:rPr>
        <w:t> </w:t>
      </w:r>
      <w:r>
        <w:rPr>
          <w:w w:val="149"/>
        </w:rPr>
        <w:t>s</w:t>
      </w:r>
      <w:r>
        <w:rPr>
          <w:w w:val="107"/>
        </w:rPr>
        <w:t>udeste</w:t>
      </w:r>
      <w:r>
        <w:rPr>
          <w:spacing w:val="11"/>
        </w:rPr>
        <w:t> </w:t>
      </w:r>
      <w:r>
        <w:rPr>
          <w:w w:val="110"/>
        </w:rPr>
        <w:t>europeo.</w:t>
      </w:r>
      <w:r>
        <w:rPr>
          <w:spacing w:val="11"/>
        </w:rPr>
        <w:t> </w:t>
      </w:r>
      <w:r>
        <w:rPr>
          <w:w w:val="120"/>
        </w:rPr>
        <w:t>En</w:t>
      </w:r>
      <w:r>
        <w:rPr>
          <w:spacing w:val="11"/>
        </w:rPr>
        <w:t> </w:t>
      </w:r>
      <w:r>
        <w:rPr>
          <w:w w:val="139"/>
        </w:rPr>
        <w:t>a</w:t>
      </w:r>
      <w:r>
        <w:rPr>
          <w:w w:val="111"/>
        </w:rPr>
        <w:t>mérica</w:t>
      </w:r>
      <w:r>
        <w:rPr>
          <w:spacing w:val="11"/>
        </w:rPr>
        <w:t> </w:t>
      </w:r>
      <w:r>
        <w:rPr>
          <w:w w:val="243"/>
        </w:rPr>
        <w:t>l</w:t>
      </w:r>
      <w:r>
        <w:rPr>
          <w:spacing w:val="-1"/>
          <w:w w:val="112"/>
        </w:rPr>
        <w:t>a</w:t>
      </w:r>
      <w:r>
        <w:rPr>
          <w:w w:val="102"/>
        </w:rPr>
        <w:t>- </w:t>
      </w:r>
      <w:r>
        <w:rPr>
          <w:w w:val="114"/>
        </w:rPr>
        <w:t>tina,</w:t>
      </w:r>
      <w:r>
        <w:rPr/>
        <w:t> </w:t>
      </w:r>
      <w:r>
        <w:rPr>
          <w:spacing w:val="-12"/>
        </w:rPr>
        <w:t> </w:t>
      </w:r>
      <w:r>
        <w:rPr>
          <w:w w:val="108"/>
        </w:rPr>
        <w:t>los</w:t>
      </w:r>
      <w:r>
        <w:rPr/>
        <w:t> </w:t>
      </w:r>
      <w:r>
        <w:rPr>
          <w:spacing w:val="-12"/>
        </w:rPr>
        <w:t> </w:t>
      </w:r>
      <w:r>
        <w:rPr>
          <w:w w:val="106"/>
        </w:rPr>
        <w:t>eventos</w:t>
      </w:r>
      <w:r>
        <w:rPr/>
        <w:t> </w:t>
      </w:r>
      <w:r>
        <w:rPr>
          <w:spacing w:val="-12"/>
        </w:rPr>
        <w:t> </w:t>
      </w:r>
      <w:r>
        <w:rPr>
          <w:w w:val="110"/>
        </w:rPr>
        <w:t>intitulados</w:t>
      </w:r>
      <w:r>
        <w:rPr/>
        <w:t> </w:t>
      </w:r>
      <w:r>
        <w:rPr>
          <w:spacing w:val="-12"/>
        </w:rPr>
        <w:t> </w:t>
      </w:r>
      <w:r>
        <w:rPr>
          <w:w w:val="112"/>
        </w:rPr>
        <w:t>Mesa</w:t>
      </w:r>
      <w:r>
        <w:rPr/>
        <w:t> </w:t>
      </w:r>
      <w:r>
        <w:rPr>
          <w:spacing w:val="-12"/>
        </w:rPr>
        <w:t> </w:t>
      </w:r>
      <w:r>
        <w:rPr>
          <w:w w:val="182"/>
        </w:rPr>
        <w:t>r</w:t>
      </w:r>
      <w:r>
        <w:rPr>
          <w:w w:val="109"/>
        </w:rPr>
        <w:t>edonda</w:t>
      </w:r>
      <w:r>
        <w:rPr/>
        <w:t> </w:t>
      </w:r>
      <w:r>
        <w:rPr>
          <w:spacing w:val="-12"/>
        </w:rPr>
        <w:t> </w:t>
      </w:r>
      <w:r>
        <w:rPr>
          <w:w w:val="243"/>
        </w:rPr>
        <w:t>l</w:t>
      </w:r>
      <w:r>
        <w:rPr>
          <w:w w:val="111"/>
        </w:rPr>
        <w:t>atinoamericana</w:t>
      </w:r>
      <w:r>
        <w:rPr/>
        <w:t> </w:t>
      </w:r>
      <w:r>
        <w:rPr>
          <w:spacing w:val="-12"/>
        </w:rPr>
        <w:t> </w:t>
      </w:r>
      <w:r>
        <w:rPr>
          <w:w w:val="107"/>
        </w:rPr>
        <w:t>de</w:t>
      </w:r>
      <w:r>
        <w:rPr/>
        <w:t> </w:t>
      </w:r>
      <w:r>
        <w:rPr>
          <w:spacing w:val="-12"/>
        </w:rPr>
        <w:t> </w:t>
      </w:r>
      <w:r>
        <w:rPr>
          <w:w w:val="120"/>
        </w:rPr>
        <w:t>Go</w:t>
      </w:r>
      <w:r>
        <w:rPr>
          <w:w w:val="102"/>
        </w:rPr>
        <w:t>- </w:t>
      </w:r>
      <w:r>
        <w:rPr>
          <w:w w:val="110"/>
        </w:rPr>
        <w:t>bierno Corporativo (</w:t>
      </w:r>
      <w:r>
        <w:rPr>
          <w:i/>
          <w:w w:val="110"/>
        </w:rPr>
        <w:t>Latin American Roundtable on Corporate Gover- </w:t>
      </w:r>
      <w:r>
        <w:rPr>
          <w:i/>
          <w:w w:val="110"/>
        </w:rPr>
        <w:t>nance</w:t>
      </w:r>
      <w:r>
        <w:rPr>
          <w:w w:val="110"/>
        </w:rPr>
        <w:t>) fueron realizados en brasil, argentina, México y Chile, en el período</w:t>
      </w:r>
      <w:r>
        <w:rPr>
          <w:spacing w:val="-8"/>
          <w:w w:val="110"/>
        </w:rPr>
        <w:t> </w:t>
      </w:r>
      <w:r>
        <w:rPr>
          <w:w w:val="110"/>
        </w:rPr>
        <w:t>de</w:t>
      </w:r>
      <w:r>
        <w:rPr>
          <w:spacing w:val="-8"/>
          <w:w w:val="110"/>
        </w:rPr>
        <w:t> </w:t>
      </w:r>
      <w:r>
        <w:rPr>
          <w:w w:val="110"/>
        </w:rPr>
        <w:t>2000</w:t>
      </w:r>
      <w:r>
        <w:rPr>
          <w:spacing w:val="-8"/>
          <w:w w:val="110"/>
        </w:rPr>
        <w:t> </w:t>
      </w:r>
      <w:r>
        <w:rPr>
          <w:w w:val="110"/>
        </w:rPr>
        <w:t>a</w:t>
      </w:r>
      <w:r>
        <w:rPr>
          <w:spacing w:val="-8"/>
          <w:w w:val="110"/>
        </w:rPr>
        <w:t> </w:t>
      </w:r>
      <w:r>
        <w:rPr>
          <w:w w:val="110"/>
        </w:rPr>
        <w:t>2003.</w:t>
      </w:r>
      <w:r>
        <w:rPr>
          <w:spacing w:val="-8"/>
          <w:w w:val="110"/>
        </w:rPr>
        <w:t> </w:t>
      </w:r>
      <w:r>
        <w:rPr>
          <w:w w:val="110"/>
        </w:rPr>
        <w:t>de</w:t>
      </w:r>
      <w:r>
        <w:rPr>
          <w:spacing w:val="-8"/>
          <w:w w:val="110"/>
        </w:rPr>
        <w:t> </w:t>
      </w:r>
      <w:r>
        <w:rPr>
          <w:w w:val="110"/>
        </w:rPr>
        <w:t>esos</w:t>
      </w:r>
      <w:r>
        <w:rPr>
          <w:spacing w:val="-8"/>
          <w:w w:val="110"/>
        </w:rPr>
        <w:t> </w:t>
      </w:r>
      <w:r>
        <w:rPr>
          <w:w w:val="110"/>
        </w:rPr>
        <w:t>encuentros</w:t>
      </w:r>
      <w:r>
        <w:rPr>
          <w:spacing w:val="-8"/>
          <w:w w:val="110"/>
        </w:rPr>
        <w:t> </w:t>
      </w:r>
      <w:r>
        <w:rPr>
          <w:w w:val="110"/>
        </w:rPr>
        <w:t>resultó</w:t>
      </w:r>
      <w:r>
        <w:rPr>
          <w:spacing w:val="-8"/>
          <w:w w:val="110"/>
        </w:rPr>
        <w:t> </w:t>
      </w:r>
      <w:r>
        <w:rPr>
          <w:w w:val="110"/>
        </w:rPr>
        <w:t>un</w:t>
      </w:r>
      <w:r>
        <w:rPr>
          <w:spacing w:val="-8"/>
          <w:w w:val="110"/>
        </w:rPr>
        <w:t> </w:t>
      </w:r>
      <w:r>
        <w:rPr>
          <w:w w:val="110"/>
        </w:rPr>
        <w:t>documento</w:t>
      </w:r>
      <w:r>
        <w:rPr>
          <w:spacing w:val="-8"/>
          <w:w w:val="110"/>
        </w:rPr>
        <w:t> </w:t>
      </w:r>
      <w:r>
        <w:rPr>
          <w:w w:val="110"/>
        </w:rPr>
        <w:t>que sintetizó los objetivos políticos comunes y las reformas prioritarias para</w:t>
      </w:r>
      <w:r>
        <w:rPr>
          <w:spacing w:val="-5"/>
          <w:w w:val="110"/>
        </w:rPr>
        <w:t> </w:t>
      </w:r>
      <w:r>
        <w:rPr>
          <w:w w:val="110"/>
        </w:rPr>
        <w:t>la</w:t>
      </w:r>
      <w:r>
        <w:rPr>
          <w:spacing w:val="-5"/>
          <w:w w:val="110"/>
        </w:rPr>
        <w:t> </w:t>
      </w:r>
      <w:r>
        <w:rPr>
          <w:w w:val="110"/>
        </w:rPr>
        <w:t>región.</w:t>
      </w:r>
      <w:r>
        <w:rPr>
          <w:spacing w:val="-5"/>
          <w:w w:val="110"/>
        </w:rPr>
        <w:t> </w:t>
      </w:r>
      <w:r>
        <w:rPr>
          <w:w w:val="110"/>
        </w:rPr>
        <w:t>Con</w:t>
      </w:r>
      <w:r>
        <w:rPr>
          <w:spacing w:val="-5"/>
          <w:w w:val="110"/>
        </w:rPr>
        <w:t> </w:t>
      </w:r>
      <w:r>
        <w:rPr>
          <w:w w:val="110"/>
        </w:rPr>
        <w:t>el</w:t>
      </w:r>
      <w:r>
        <w:rPr>
          <w:spacing w:val="-5"/>
          <w:w w:val="110"/>
        </w:rPr>
        <w:t> </w:t>
      </w:r>
      <w:r>
        <w:rPr>
          <w:w w:val="110"/>
        </w:rPr>
        <w:t>nombre</w:t>
      </w:r>
      <w:r>
        <w:rPr>
          <w:spacing w:val="-5"/>
          <w:w w:val="110"/>
        </w:rPr>
        <w:t> </w:t>
      </w:r>
      <w:r>
        <w:rPr>
          <w:w w:val="110"/>
        </w:rPr>
        <w:t>de</w:t>
      </w:r>
      <w:r>
        <w:rPr>
          <w:spacing w:val="-5"/>
          <w:w w:val="110"/>
        </w:rPr>
        <w:t> </w:t>
      </w:r>
      <w:r>
        <w:rPr>
          <w:i/>
          <w:w w:val="110"/>
        </w:rPr>
        <w:t>White</w:t>
      </w:r>
      <w:r>
        <w:rPr>
          <w:i/>
          <w:spacing w:val="-5"/>
          <w:w w:val="110"/>
        </w:rPr>
        <w:t> </w:t>
      </w:r>
      <w:r>
        <w:rPr>
          <w:i/>
          <w:w w:val="110"/>
        </w:rPr>
        <w:t>Paper</w:t>
      </w:r>
      <w:r>
        <w:rPr>
          <w:i/>
          <w:spacing w:val="-5"/>
          <w:w w:val="110"/>
        </w:rPr>
        <w:t> </w:t>
      </w:r>
      <w:r>
        <w:rPr>
          <w:i/>
          <w:w w:val="110"/>
        </w:rPr>
        <w:t>on</w:t>
      </w:r>
      <w:r>
        <w:rPr>
          <w:i/>
          <w:spacing w:val="-5"/>
          <w:w w:val="110"/>
        </w:rPr>
        <w:t> </w:t>
      </w:r>
      <w:r>
        <w:rPr>
          <w:i/>
          <w:w w:val="110"/>
        </w:rPr>
        <w:t>Corporate</w:t>
      </w:r>
      <w:r>
        <w:rPr>
          <w:i/>
          <w:spacing w:val="-5"/>
          <w:w w:val="110"/>
        </w:rPr>
        <w:t> </w:t>
      </w:r>
      <w:r>
        <w:rPr>
          <w:i/>
          <w:w w:val="110"/>
        </w:rPr>
        <w:t>Governance </w:t>
      </w:r>
      <w:r>
        <w:rPr>
          <w:i/>
          <w:w w:val="110"/>
        </w:rPr>
        <w:t>in Latin América </w:t>
      </w:r>
      <w:r>
        <w:rPr>
          <w:w w:val="110"/>
        </w:rPr>
        <w:t>(oCdE, 2003), este documento es una referencia im- portante para el análisis –incluso comparativo– con los documentos elaborados por el CiPE. Más encuentros fueron realizados posterior- mente y su décima edición se llevó a cabo en santiago de Chile en diciembre de 2009, del cual resultó un documento con recomendacio- </w:t>
      </w:r>
      <w:r>
        <w:rPr>
          <w:w w:val="107"/>
        </w:rPr>
        <w:t>nes</w:t>
      </w:r>
      <w:r>
        <w:rPr>
          <w:spacing w:val="10"/>
        </w:rPr>
        <w:t> </w:t>
      </w:r>
      <w:r>
        <w:rPr>
          <w:w w:val="110"/>
        </w:rPr>
        <w:t>pautadas</w:t>
      </w:r>
      <w:r>
        <w:rPr>
          <w:spacing w:val="10"/>
        </w:rPr>
        <w:t> </w:t>
      </w:r>
      <w:r>
        <w:rPr>
          <w:w w:val="108"/>
        </w:rPr>
        <w:t>por</w:t>
      </w:r>
      <w:r>
        <w:rPr>
          <w:spacing w:val="10"/>
        </w:rPr>
        <w:t> </w:t>
      </w:r>
      <w:r>
        <w:rPr>
          <w:w w:val="111"/>
        </w:rPr>
        <w:t>la</w:t>
      </w:r>
      <w:r>
        <w:rPr>
          <w:spacing w:val="10"/>
        </w:rPr>
        <w:t> </w:t>
      </w:r>
      <w:r>
        <w:rPr>
          <w:w w:val="109"/>
        </w:rPr>
        <w:t>crisis</w:t>
      </w:r>
      <w:r>
        <w:rPr>
          <w:spacing w:val="10"/>
        </w:rPr>
        <w:t> </w:t>
      </w:r>
      <w:r>
        <w:rPr>
          <w:w w:val="110"/>
        </w:rPr>
        <w:t>financiera</w:t>
      </w:r>
      <w:r>
        <w:rPr>
          <w:spacing w:val="10"/>
        </w:rPr>
        <w:t> </w:t>
      </w:r>
      <w:r>
        <w:rPr>
          <w:w w:val="107"/>
        </w:rPr>
        <w:t>de</w:t>
      </w:r>
      <w:r>
        <w:rPr>
          <w:spacing w:val="10"/>
        </w:rPr>
        <w:t> </w:t>
      </w:r>
      <w:r>
        <w:rPr>
          <w:w w:val="102"/>
        </w:rPr>
        <w:t>2008</w:t>
      </w:r>
      <w:r>
        <w:rPr>
          <w:w w:val="103"/>
          <w:position w:val="6"/>
          <w:sz w:val="11"/>
        </w:rPr>
        <w:t>41</w:t>
      </w:r>
      <w:r>
        <w:rPr>
          <w:w w:val="138"/>
        </w:rPr>
        <w:t>.</w:t>
      </w:r>
      <w:r>
        <w:rPr>
          <w:spacing w:val="10"/>
        </w:rPr>
        <w:t> </w:t>
      </w:r>
      <w:r>
        <w:rPr>
          <w:w w:val="243"/>
        </w:rPr>
        <w:t>l</w:t>
      </w:r>
      <w:r>
        <w:rPr>
          <w:w w:val="108"/>
        </w:rPr>
        <w:t>os</w:t>
      </w:r>
      <w:r>
        <w:rPr>
          <w:spacing w:val="10"/>
        </w:rPr>
        <w:t> </w:t>
      </w:r>
      <w:r>
        <w:rPr>
          <w:w w:val="109"/>
        </w:rPr>
        <w:t>siguientes</w:t>
      </w:r>
      <w:r>
        <w:rPr>
          <w:spacing w:val="10"/>
        </w:rPr>
        <w:t> </w:t>
      </w:r>
      <w:r>
        <w:rPr>
          <w:w w:val="110"/>
        </w:rPr>
        <w:t>encuen</w:t>
      </w:r>
      <w:r>
        <w:rPr>
          <w:w w:val="102"/>
        </w:rPr>
        <w:t>- </w:t>
      </w:r>
      <w:r>
        <w:rPr>
          <w:w w:val="107"/>
        </w:rPr>
        <w:t>tros</w:t>
      </w:r>
      <w:r>
        <w:rPr>
          <w:spacing w:val="12"/>
        </w:rPr>
        <w:t> </w:t>
      </w:r>
      <w:r>
        <w:rPr>
          <w:w w:val="109"/>
        </w:rPr>
        <w:t>ocurrieron</w:t>
      </w:r>
      <w:r>
        <w:rPr>
          <w:spacing w:val="12"/>
        </w:rPr>
        <w:t> </w:t>
      </w:r>
      <w:r>
        <w:rPr>
          <w:w w:val="108"/>
        </w:rPr>
        <w:t>en</w:t>
      </w:r>
      <w:r>
        <w:rPr>
          <w:spacing w:val="12"/>
        </w:rPr>
        <w:t> </w:t>
      </w:r>
      <w:r>
        <w:rPr>
          <w:w w:val="243"/>
        </w:rPr>
        <w:t>l</w:t>
      </w:r>
      <w:r>
        <w:rPr>
          <w:w w:val="113"/>
        </w:rPr>
        <w:t>ima</w:t>
      </w:r>
      <w:r>
        <w:rPr>
          <w:spacing w:val="12"/>
        </w:rPr>
        <w:t> </w:t>
      </w:r>
      <w:r>
        <w:rPr>
          <w:w w:val="103"/>
        </w:rPr>
        <w:t>(2011),</w:t>
      </w:r>
      <w:r>
        <w:rPr>
          <w:spacing w:val="12"/>
        </w:rPr>
        <w:t> </w:t>
      </w:r>
      <w:r>
        <w:rPr>
          <w:w w:val="114"/>
        </w:rPr>
        <w:t>Quito</w:t>
      </w:r>
      <w:r>
        <w:rPr>
          <w:spacing w:val="12"/>
        </w:rPr>
        <w:t> </w:t>
      </w:r>
      <w:r>
        <w:rPr>
          <w:w w:val="101"/>
        </w:rPr>
        <w:t>(2013)</w:t>
      </w:r>
      <w:r>
        <w:rPr>
          <w:spacing w:val="12"/>
        </w:rPr>
        <w:t> </w:t>
      </w:r>
      <w:r>
        <w:rPr>
          <w:w w:val="105"/>
        </w:rPr>
        <w:t>y</w:t>
      </w:r>
      <w:r>
        <w:rPr>
          <w:spacing w:val="12"/>
        </w:rPr>
        <w:t> </w:t>
      </w:r>
      <w:r>
        <w:rPr>
          <w:w w:val="134"/>
        </w:rPr>
        <w:t>b</w:t>
      </w:r>
      <w:r>
        <w:rPr>
          <w:w w:val="110"/>
        </w:rPr>
        <w:t>ogotá</w:t>
      </w:r>
      <w:r>
        <w:rPr>
          <w:spacing w:val="12"/>
        </w:rPr>
        <w:t> </w:t>
      </w:r>
      <w:r>
        <w:rPr>
          <w:w w:val="103"/>
        </w:rPr>
        <w:t>(2014).</w:t>
      </w:r>
    </w:p>
    <w:p>
      <w:pPr>
        <w:pStyle w:val="BodyText"/>
        <w:spacing w:before="5"/>
      </w:pPr>
    </w:p>
    <w:p>
      <w:pPr>
        <w:pStyle w:val="Heading6"/>
        <w:ind w:left="121"/>
      </w:pPr>
      <w:r>
        <w:rPr>
          <w:w w:val="140"/>
        </w:rPr>
        <w:t>consideraciones finales</w:t>
      </w:r>
    </w:p>
    <w:p>
      <w:pPr>
        <w:pStyle w:val="BodyText"/>
        <w:spacing w:line="252" w:lineRule="auto" w:before="10"/>
        <w:ind w:left="120" w:right="328"/>
        <w:jc w:val="both"/>
      </w:pPr>
      <w:r>
        <w:rPr>
          <w:w w:val="110"/>
        </w:rPr>
        <w:t>En este trabajo examiné aspectos particulares de un proceso más am- plio de relaciones que se establecen entre organizaciones estadouni- denses instituidas a comienzos de los años ochenta y su articulación </w:t>
      </w:r>
      <w:r>
        <w:rPr>
          <w:w w:val="112"/>
        </w:rPr>
        <w:t>con</w:t>
      </w:r>
      <w:r>
        <w:rPr/>
        <w:t> </w:t>
      </w:r>
      <w:r>
        <w:rPr>
          <w:spacing w:val="-21"/>
        </w:rPr>
        <w:t> </w:t>
      </w:r>
      <w:r>
        <w:rPr>
          <w:w w:val="110"/>
        </w:rPr>
        <w:t>organizaciones</w:t>
      </w:r>
      <w:r>
        <w:rPr/>
        <w:t> </w:t>
      </w:r>
      <w:r>
        <w:rPr>
          <w:spacing w:val="-21"/>
        </w:rPr>
        <w:t> </w:t>
      </w:r>
      <w:r>
        <w:rPr>
          <w:w w:val="108"/>
        </w:rPr>
        <w:t>en</w:t>
      </w:r>
      <w:r>
        <w:rPr/>
        <w:t> </w:t>
      </w:r>
      <w:r>
        <w:rPr>
          <w:spacing w:val="-21"/>
        </w:rPr>
        <w:t> </w:t>
      </w:r>
      <w:r>
        <w:rPr>
          <w:w w:val="139"/>
        </w:rPr>
        <w:t>a</w:t>
      </w:r>
      <w:r>
        <w:rPr>
          <w:w w:val="111"/>
        </w:rPr>
        <w:t>mérica</w:t>
      </w:r>
      <w:r>
        <w:rPr/>
        <w:t> </w:t>
      </w:r>
      <w:r>
        <w:rPr>
          <w:spacing w:val="-21"/>
        </w:rPr>
        <w:t> </w:t>
      </w:r>
      <w:r>
        <w:rPr>
          <w:w w:val="243"/>
        </w:rPr>
        <w:t>l</w:t>
      </w:r>
      <w:r>
        <w:rPr>
          <w:w w:val="113"/>
        </w:rPr>
        <w:t>atina,</w:t>
      </w:r>
      <w:r>
        <w:rPr/>
        <w:t> </w:t>
      </w:r>
      <w:r>
        <w:rPr>
          <w:spacing w:val="-21"/>
        </w:rPr>
        <w:t> </w:t>
      </w:r>
      <w:r>
        <w:rPr>
          <w:w w:val="112"/>
        </w:rPr>
        <w:t>con</w:t>
      </w:r>
      <w:r>
        <w:rPr/>
        <w:t> </w:t>
      </w:r>
      <w:r>
        <w:rPr>
          <w:spacing w:val="-21"/>
        </w:rPr>
        <w:t> </w:t>
      </w:r>
      <w:r>
        <w:rPr>
          <w:w w:val="107"/>
        </w:rPr>
        <w:t>el</w:t>
      </w:r>
      <w:r>
        <w:rPr/>
        <w:t> </w:t>
      </w:r>
      <w:r>
        <w:rPr>
          <w:spacing w:val="-21"/>
        </w:rPr>
        <w:t> </w:t>
      </w:r>
      <w:r>
        <w:rPr>
          <w:w w:val="108"/>
        </w:rPr>
        <w:t>objetivo</w:t>
      </w:r>
      <w:r>
        <w:rPr/>
        <w:t> </w:t>
      </w:r>
      <w:r>
        <w:rPr>
          <w:spacing w:val="-21"/>
        </w:rPr>
        <w:t> </w:t>
      </w:r>
      <w:r>
        <w:rPr>
          <w:w w:val="111"/>
        </w:rPr>
        <w:t>no</w:t>
      </w:r>
      <w:r>
        <w:rPr/>
        <w:t> </w:t>
      </w:r>
      <w:r>
        <w:rPr>
          <w:spacing w:val="-21"/>
        </w:rPr>
        <w:t> </w:t>
      </w:r>
      <w:r>
        <w:rPr>
          <w:w w:val="109"/>
        </w:rPr>
        <w:t>sólo</w:t>
      </w:r>
      <w:r>
        <w:rPr/>
        <w:t> </w:t>
      </w:r>
      <w:r>
        <w:rPr>
          <w:spacing w:val="-21"/>
        </w:rPr>
        <w:t> </w:t>
      </w:r>
      <w:r>
        <w:rPr>
          <w:w w:val="107"/>
        </w:rPr>
        <w:t>de</w:t>
      </w:r>
      <w:r>
        <w:rPr/>
        <w:t> </w:t>
      </w:r>
      <w:r>
        <w:rPr>
          <w:spacing w:val="-21"/>
        </w:rPr>
        <w:t> </w:t>
      </w:r>
      <w:r>
        <w:rPr>
          <w:w w:val="104"/>
        </w:rPr>
        <w:t>re</w:t>
      </w:r>
      <w:r>
        <w:rPr>
          <w:w w:val="102"/>
        </w:rPr>
        <w:t>- </w:t>
      </w:r>
      <w:r>
        <w:rPr>
          <w:w w:val="110"/>
        </w:rPr>
        <w:t>novar el orden capitalista en el continente, sino también desarrollarlo conforme a los intereses estratégicos del gobierno y de las</w:t>
      </w:r>
      <w:r>
        <w:rPr>
          <w:spacing w:val="-26"/>
          <w:w w:val="110"/>
        </w:rPr>
        <w:t> </w:t>
      </w:r>
      <w:r>
        <w:rPr>
          <w:w w:val="110"/>
        </w:rPr>
        <w:t>corporacio- nes de los Estados </w:t>
      </w:r>
      <w:r>
        <w:rPr>
          <w:spacing w:val="25"/>
          <w:w w:val="110"/>
        </w:rPr>
        <w:t> </w:t>
      </w:r>
      <w:r>
        <w:rPr>
          <w:w w:val="110"/>
        </w:rPr>
        <w:t>unidos.</w:t>
      </w:r>
    </w:p>
    <w:p>
      <w:pPr>
        <w:pStyle w:val="BodyText"/>
        <w:spacing w:line="252" w:lineRule="auto"/>
        <w:ind w:left="120" w:right="325" w:firstLine="396"/>
        <w:jc w:val="both"/>
      </w:pPr>
      <w:r>
        <w:rPr>
          <w:w w:val="110"/>
        </w:rPr>
        <w:t>En términos generales, las organizaciones estadounidenses, vinculadas a la NEd, tratan de crear y mantener  un  consenso  ge- neral en el continente en torno de un eje fundamental: la  demo- cracia</w:t>
      </w:r>
      <w:r>
        <w:rPr>
          <w:spacing w:val="30"/>
          <w:w w:val="110"/>
        </w:rPr>
        <w:t> </w:t>
      </w:r>
      <w:r>
        <w:rPr>
          <w:w w:val="110"/>
        </w:rPr>
        <w:t>y</w:t>
      </w:r>
      <w:r>
        <w:rPr>
          <w:spacing w:val="30"/>
          <w:w w:val="110"/>
        </w:rPr>
        <w:t> </w:t>
      </w:r>
      <w:r>
        <w:rPr>
          <w:w w:val="110"/>
        </w:rPr>
        <w:t>el</w:t>
      </w:r>
      <w:r>
        <w:rPr>
          <w:spacing w:val="30"/>
          <w:w w:val="110"/>
        </w:rPr>
        <w:t> </w:t>
      </w:r>
      <w:r>
        <w:rPr>
          <w:w w:val="110"/>
        </w:rPr>
        <w:t>libre</w:t>
      </w:r>
      <w:r>
        <w:rPr>
          <w:spacing w:val="30"/>
          <w:w w:val="110"/>
        </w:rPr>
        <w:t> </w:t>
      </w:r>
      <w:r>
        <w:rPr>
          <w:w w:val="110"/>
        </w:rPr>
        <w:t>mercado.</w:t>
      </w:r>
      <w:r>
        <w:rPr>
          <w:spacing w:val="30"/>
          <w:w w:val="110"/>
        </w:rPr>
        <w:t> </w:t>
      </w:r>
      <w:r>
        <w:rPr>
          <w:w w:val="110"/>
        </w:rPr>
        <w:t>Cuando</w:t>
      </w:r>
      <w:r>
        <w:rPr>
          <w:spacing w:val="30"/>
          <w:w w:val="110"/>
        </w:rPr>
        <w:t> </w:t>
      </w:r>
      <w:r>
        <w:rPr>
          <w:w w:val="110"/>
        </w:rPr>
        <w:t>a</w:t>
      </w:r>
      <w:r>
        <w:rPr>
          <w:spacing w:val="30"/>
          <w:w w:val="110"/>
        </w:rPr>
        <w:t> </w:t>
      </w:r>
      <w:r>
        <w:rPr>
          <w:w w:val="110"/>
        </w:rPr>
        <w:t>finales</w:t>
      </w:r>
      <w:r>
        <w:rPr>
          <w:spacing w:val="30"/>
          <w:w w:val="110"/>
        </w:rPr>
        <w:t> </w:t>
      </w:r>
      <w:r>
        <w:rPr>
          <w:w w:val="110"/>
        </w:rPr>
        <w:t>de</w:t>
      </w:r>
      <w:r>
        <w:rPr>
          <w:spacing w:val="30"/>
          <w:w w:val="110"/>
        </w:rPr>
        <w:t> </w:t>
      </w:r>
      <w:r>
        <w:rPr>
          <w:w w:val="110"/>
        </w:rPr>
        <w:t>los</w:t>
      </w:r>
      <w:r>
        <w:rPr>
          <w:spacing w:val="30"/>
          <w:w w:val="110"/>
        </w:rPr>
        <w:t> </w:t>
      </w:r>
      <w:r>
        <w:rPr>
          <w:w w:val="110"/>
        </w:rPr>
        <w:t>años</w:t>
      </w:r>
      <w:r>
        <w:rPr>
          <w:spacing w:val="30"/>
          <w:w w:val="110"/>
        </w:rPr>
        <w:t> </w:t>
      </w:r>
      <w:r>
        <w:rPr>
          <w:w w:val="110"/>
        </w:rPr>
        <w:t>ochenta</w:t>
      </w:r>
      <w:r>
        <w:rPr>
          <w:spacing w:val="30"/>
          <w:w w:val="110"/>
        </w:rPr>
        <w:t> </w:t>
      </w:r>
      <w:r>
        <w:rPr>
          <w:spacing w:val="2"/>
          <w:w w:val="110"/>
        </w:rPr>
        <w:t>las</w:t>
      </w:r>
    </w:p>
    <w:p>
      <w:pPr>
        <w:pStyle w:val="BodyText"/>
        <w:spacing w:before="10"/>
        <w:rPr>
          <w:sz w:val="26"/>
        </w:rPr>
      </w:pPr>
      <w:r>
        <w:rPr/>
        <w:pict>
          <v:line style="position:absolute;mso-position-horizontal-relative:page;mso-position-vertical-relative:paragraph;z-index:5920;mso-wrap-distance-left:0;mso-wrap-distance-right:0" from="51.023602pt,17.958233pt" to="79.369602pt,17.958233pt" stroked="true" strokeweight=".5pt" strokecolor="#000000">
            <w10:wrap type="topAndBottom"/>
          </v:line>
        </w:pict>
      </w:r>
    </w:p>
    <w:p>
      <w:pPr>
        <w:pStyle w:val="ListParagraph"/>
        <w:numPr>
          <w:ilvl w:val="0"/>
          <w:numId w:val="28"/>
        </w:numPr>
        <w:tabs>
          <w:tab w:pos="376" w:val="left" w:leader="none"/>
        </w:tabs>
        <w:spacing w:line="242" w:lineRule="auto" w:before="89" w:after="0"/>
        <w:ind w:left="120" w:right="328" w:firstLine="0"/>
        <w:jc w:val="both"/>
        <w:rPr>
          <w:sz w:val="16"/>
        </w:rPr>
      </w:pPr>
      <w:r>
        <w:rPr>
          <w:i/>
          <w:w w:val="122"/>
          <w:sz w:val="16"/>
        </w:rPr>
        <w:t>Cf.</w:t>
      </w:r>
      <w:r>
        <w:rPr>
          <w:i/>
          <w:sz w:val="16"/>
        </w:rPr>
        <w:t> </w:t>
      </w:r>
      <w:r>
        <w:rPr>
          <w:i/>
          <w:spacing w:val="-6"/>
          <w:sz w:val="16"/>
        </w:rPr>
        <w:t> </w:t>
      </w:r>
      <w:r>
        <w:rPr>
          <w:w w:val="146"/>
          <w:sz w:val="16"/>
        </w:rPr>
        <w:t>o</w:t>
      </w:r>
      <w:r>
        <w:rPr>
          <w:w w:val="121"/>
          <w:sz w:val="16"/>
        </w:rPr>
        <w:t>C</w:t>
      </w:r>
      <w:r>
        <w:rPr>
          <w:w w:val="136"/>
          <w:sz w:val="16"/>
        </w:rPr>
        <w:t>d</w:t>
      </w:r>
      <w:r>
        <w:rPr>
          <w:w w:val="125"/>
          <w:sz w:val="16"/>
        </w:rPr>
        <w:t>E</w:t>
      </w:r>
      <w:r>
        <w:rPr>
          <w:w w:val="135"/>
          <w:sz w:val="16"/>
        </w:rPr>
        <w:t>.</w:t>
      </w:r>
      <w:r>
        <w:rPr>
          <w:sz w:val="16"/>
        </w:rPr>
        <w:t> </w:t>
      </w:r>
      <w:r>
        <w:rPr>
          <w:spacing w:val="-6"/>
          <w:sz w:val="16"/>
        </w:rPr>
        <w:t> </w:t>
      </w:r>
      <w:r>
        <w:rPr>
          <w:w w:val="103"/>
          <w:sz w:val="16"/>
        </w:rPr>
        <w:t>10th</w:t>
      </w:r>
      <w:r>
        <w:rPr>
          <w:sz w:val="16"/>
        </w:rPr>
        <w:t> </w:t>
      </w:r>
      <w:r>
        <w:rPr>
          <w:spacing w:val="-6"/>
          <w:sz w:val="16"/>
        </w:rPr>
        <w:t> </w:t>
      </w:r>
      <w:r>
        <w:rPr>
          <w:w w:val="109"/>
          <w:sz w:val="16"/>
        </w:rPr>
        <w:t>Meeting</w:t>
      </w:r>
      <w:r>
        <w:rPr>
          <w:sz w:val="16"/>
        </w:rPr>
        <w:t> </w:t>
      </w:r>
      <w:r>
        <w:rPr>
          <w:spacing w:val="-6"/>
          <w:sz w:val="16"/>
        </w:rPr>
        <w:t> </w:t>
      </w:r>
      <w:r>
        <w:rPr>
          <w:w w:val="111"/>
          <w:sz w:val="16"/>
        </w:rPr>
        <w:t>of</w:t>
      </w:r>
      <w:r>
        <w:rPr>
          <w:sz w:val="16"/>
        </w:rPr>
        <w:t> </w:t>
      </w:r>
      <w:r>
        <w:rPr>
          <w:spacing w:val="-6"/>
          <w:sz w:val="16"/>
        </w:rPr>
        <w:t> </w:t>
      </w:r>
      <w:r>
        <w:rPr>
          <w:w w:val="106"/>
          <w:sz w:val="16"/>
        </w:rPr>
        <w:t>the</w:t>
      </w:r>
      <w:r>
        <w:rPr>
          <w:sz w:val="16"/>
        </w:rPr>
        <w:t> </w:t>
      </w:r>
      <w:r>
        <w:rPr>
          <w:spacing w:val="-6"/>
          <w:sz w:val="16"/>
        </w:rPr>
        <w:t> </w:t>
      </w:r>
      <w:r>
        <w:rPr>
          <w:w w:val="238"/>
          <w:sz w:val="16"/>
        </w:rPr>
        <w:t>l</w:t>
      </w:r>
      <w:r>
        <w:rPr>
          <w:w w:val="109"/>
          <w:sz w:val="16"/>
        </w:rPr>
        <w:t>atin</w:t>
      </w:r>
      <w:r>
        <w:rPr>
          <w:sz w:val="16"/>
        </w:rPr>
        <w:t> </w:t>
      </w:r>
      <w:r>
        <w:rPr>
          <w:spacing w:val="-6"/>
          <w:sz w:val="16"/>
        </w:rPr>
        <w:t> </w:t>
      </w:r>
      <w:r>
        <w:rPr>
          <w:w w:val="136"/>
          <w:sz w:val="16"/>
        </w:rPr>
        <w:t>a</w:t>
      </w:r>
      <w:r>
        <w:rPr>
          <w:w w:val="109"/>
          <w:sz w:val="16"/>
        </w:rPr>
        <w:t>merican</w:t>
      </w:r>
      <w:r>
        <w:rPr>
          <w:sz w:val="16"/>
        </w:rPr>
        <w:t> </w:t>
      </w:r>
      <w:r>
        <w:rPr>
          <w:spacing w:val="-6"/>
          <w:sz w:val="16"/>
        </w:rPr>
        <w:t> </w:t>
      </w:r>
      <w:r>
        <w:rPr>
          <w:w w:val="107"/>
          <w:sz w:val="16"/>
        </w:rPr>
        <w:t>Corporate</w:t>
      </w:r>
      <w:r>
        <w:rPr>
          <w:sz w:val="16"/>
        </w:rPr>
        <w:t> </w:t>
      </w:r>
      <w:r>
        <w:rPr>
          <w:spacing w:val="-6"/>
          <w:sz w:val="16"/>
        </w:rPr>
        <w:t> </w:t>
      </w:r>
      <w:r>
        <w:rPr>
          <w:w w:val="108"/>
          <w:sz w:val="16"/>
        </w:rPr>
        <w:t>Governance</w:t>
      </w:r>
      <w:r>
        <w:rPr>
          <w:sz w:val="16"/>
        </w:rPr>
        <w:t> </w:t>
      </w:r>
      <w:r>
        <w:rPr>
          <w:spacing w:val="-7"/>
          <w:sz w:val="16"/>
        </w:rPr>
        <w:t> </w:t>
      </w:r>
      <w:r>
        <w:rPr>
          <w:w w:val="179"/>
          <w:sz w:val="16"/>
        </w:rPr>
        <w:t>r</w:t>
      </w:r>
      <w:r>
        <w:rPr>
          <w:w w:val="108"/>
          <w:sz w:val="16"/>
        </w:rPr>
        <w:t>ound</w:t>
      </w:r>
      <w:r>
        <w:rPr>
          <w:w w:val="100"/>
          <w:sz w:val="16"/>
        </w:rPr>
        <w:t>- </w:t>
      </w:r>
      <w:r>
        <w:rPr>
          <w:w w:val="105"/>
          <w:sz w:val="16"/>
        </w:rPr>
        <w:t>table. disponible en </w:t>
      </w:r>
      <w:hyperlink r:id="rId332">
        <w:r>
          <w:rPr>
            <w:w w:val="105"/>
            <w:sz w:val="16"/>
          </w:rPr>
          <w:t>&lt;http://www.oecd.org/daf/ca/corporategovernanceprinciples/10</w:t>
        </w:r>
      </w:hyperlink>
      <w:r>
        <w:rPr>
          <w:w w:val="105"/>
          <w:sz w:val="16"/>
        </w:rPr>
        <w:t> </w:t>
      </w:r>
      <w:r>
        <w:rPr>
          <w:w w:val="110"/>
          <w:sz w:val="16"/>
        </w:rPr>
        <w:t>thmeetingofthelatinamericancorporategovernanceroundtable.htm&gt; según entrada hecha</w:t>
      </w:r>
      <w:r>
        <w:rPr>
          <w:spacing w:val="-8"/>
          <w:w w:val="110"/>
          <w:sz w:val="16"/>
        </w:rPr>
        <w:t> </w:t>
      </w:r>
      <w:r>
        <w:rPr>
          <w:w w:val="110"/>
          <w:sz w:val="16"/>
        </w:rPr>
        <w:t>el</w:t>
      </w:r>
      <w:r>
        <w:rPr>
          <w:spacing w:val="-8"/>
          <w:w w:val="110"/>
          <w:sz w:val="16"/>
        </w:rPr>
        <w:t> </w:t>
      </w:r>
      <w:r>
        <w:rPr>
          <w:w w:val="110"/>
          <w:sz w:val="16"/>
        </w:rPr>
        <w:t>día</w:t>
      </w:r>
      <w:r>
        <w:rPr>
          <w:spacing w:val="-8"/>
          <w:w w:val="110"/>
          <w:sz w:val="16"/>
        </w:rPr>
        <w:t> </w:t>
      </w:r>
      <w:r>
        <w:rPr>
          <w:w w:val="110"/>
          <w:sz w:val="16"/>
        </w:rPr>
        <w:t>5</w:t>
      </w:r>
      <w:r>
        <w:rPr>
          <w:spacing w:val="-8"/>
          <w:w w:val="110"/>
          <w:sz w:val="16"/>
        </w:rPr>
        <w:t> </w:t>
      </w:r>
      <w:r>
        <w:rPr>
          <w:w w:val="110"/>
          <w:sz w:val="16"/>
        </w:rPr>
        <w:t>de</w:t>
      </w:r>
      <w:r>
        <w:rPr>
          <w:spacing w:val="-8"/>
          <w:w w:val="110"/>
          <w:sz w:val="16"/>
        </w:rPr>
        <w:t> </w:t>
      </w:r>
      <w:r>
        <w:rPr>
          <w:w w:val="110"/>
          <w:sz w:val="16"/>
        </w:rPr>
        <w:t>septiembre</w:t>
      </w:r>
      <w:r>
        <w:rPr>
          <w:spacing w:val="-8"/>
          <w:w w:val="110"/>
          <w:sz w:val="16"/>
        </w:rPr>
        <w:t> </w:t>
      </w:r>
      <w:r>
        <w:rPr>
          <w:w w:val="110"/>
          <w:sz w:val="16"/>
        </w:rPr>
        <w:t>de</w:t>
      </w:r>
      <w:r>
        <w:rPr>
          <w:spacing w:val="-8"/>
          <w:w w:val="110"/>
          <w:sz w:val="16"/>
        </w:rPr>
        <w:t> </w:t>
      </w:r>
      <w:r>
        <w:rPr>
          <w:w w:val="110"/>
          <w:sz w:val="16"/>
        </w:rPr>
        <w:t>2010.</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6"/>
        <w:jc w:val="both"/>
      </w:pPr>
      <w:r>
        <w:rPr>
          <w:w w:val="110"/>
        </w:rPr>
        <w:t>principales propuestas económicas fueron definidas en torno del llamado Consenso de Washington, una red de entidades ya actuaba </w:t>
      </w:r>
      <w:r>
        <w:rPr>
          <w:w w:val="109"/>
        </w:rPr>
        <w:t>en</w:t>
      </w:r>
      <w:r>
        <w:rPr/>
        <w:t> </w:t>
      </w:r>
      <w:r>
        <w:rPr>
          <w:w w:val="140"/>
        </w:rPr>
        <w:t>a</w:t>
      </w:r>
      <w:r>
        <w:rPr>
          <w:w w:val="112"/>
        </w:rPr>
        <w:t>mérica</w:t>
      </w:r>
      <w:r>
        <w:rPr/>
        <w:t> </w:t>
      </w:r>
      <w:r>
        <w:rPr>
          <w:w w:val="246"/>
        </w:rPr>
        <w:t>l</w:t>
      </w:r>
      <w:r>
        <w:rPr>
          <w:w w:val="115"/>
        </w:rPr>
        <w:t>atina,</w:t>
      </w:r>
      <w:r>
        <w:rPr/>
        <w:t> </w:t>
      </w:r>
      <w:r>
        <w:rPr>
          <w:w w:val="113"/>
        </w:rPr>
        <w:t>con</w:t>
      </w:r>
      <w:r>
        <w:rPr/>
        <w:t> </w:t>
      </w:r>
      <w:r>
        <w:rPr>
          <w:w w:val="110"/>
        </w:rPr>
        <w:t>apoyo</w:t>
      </w:r>
      <w:r>
        <w:rPr/>
        <w:t> </w:t>
      </w:r>
      <w:r>
        <w:rPr>
          <w:w w:val="105"/>
        </w:rPr>
        <w:t>fi</w:t>
      </w:r>
      <w:r>
        <w:rPr>
          <w:w w:val="111"/>
        </w:rPr>
        <w:t>nanciero</w:t>
      </w:r>
      <w:r>
        <w:rPr/>
        <w:t> </w:t>
      </w:r>
      <w:r>
        <w:rPr>
          <w:w w:val="106"/>
        </w:rPr>
        <w:t>y</w:t>
      </w:r>
      <w:r>
        <w:rPr/>
        <w:t> </w:t>
      </w:r>
      <w:r>
        <w:rPr>
          <w:w w:val="112"/>
        </w:rPr>
        <w:t>organizativo,</w:t>
      </w:r>
      <w:r>
        <w:rPr/>
        <w:t> </w:t>
      </w:r>
      <w:r>
        <w:rPr>
          <w:w w:val="109"/>
        </w:rPr>
        <w:t>en</w:t>
      </w:r>
      <w:r>
        <w:rPr/>
        <w:t> </w:t>
      </w:r>
      <w:r>
        <w:rPr>
          <w:w w:val="108"/>
        </w:rPr>
        <w:t>el</w:t>
      </w:r>
      <w:r>
        <w:rPr/>
        <w:t> </w:t>
      </w:r>
      <w:r>
        <w:rPr>
          <w:w w:val="109"/>
        </w:rPr>
        <w:t>senti</w:t>
      </w:r>
      <w:r>
        <w:rPr>
          <w:w w:val="103"/>
        </w:rPr>
        <w:t>- </w:t>
      </w:r>
      <w:r>
        <w:rPr>
          <w:w w:val="110"/>
        </w:rPr>
        <w:t>do de formular e implementar políticas públicas convergentes con     el mencionado consenso. al CiPE le corresponde  operar  de  forma más directa con los intereses empresariales y las organizaciones a ellos vinculadas, estimulándolas a asumir un papel central en la definición de políticas públicas actuando junto a los poderes Eje- </w:t>
      </w:r>
      <w:r>
        <w:rPr>
          <w:w w:val="111"/>
        </w:rPr>
        <w:t>cutivo</w:t>
      </w:r>
      <w:r>
        <w:rPr/>
        <w:t> </w:t>
      </w:r>
      <w:r>
        <w:rPr>
          <w:w w:val="106"/>
        </w:rPr>
        <w:t>y</w:t>
      </w:r>
      <w:r>
        <w:rPr/>
        <w:t> </w:t>
      </w:r>
      <w:r>
        <w:rPr>
          <w:w w:val="246"/>
        </w:rPr>
        <w:t>l</w:t>
      </w:r>
      <w:r>
        <w:rPr>
          <w:w w:val="111"/>
        </w:rPr>
        <w:t>egislativo.</w:t>
      </w:r>
    </w:p>
    <w:p>
      <w:pPr>
        <w:pStyle w:val="BodyText"/>
        <w:spacing w:line="252" w:lineRule="auto"/>
        <w:ind w:left="330" w:right="118" w:firstLine="396"/>
        <w:jc w:val="both"/>
      </w:pPr>
      <w:r>
        <w:rPr>
          <w:w w:val="110"/>
        </w:rPr>
        <w:t>En su conjunto, identificamos un proceso de construcción de </w:t>
      </w:r>
      <w:r>
        <w:rPr>
          <w:w w:val="110"/>
        </w:rPr>
        <w:t>hegemonía</w:t>
      </w:r>
      <w:r>
        <w:rPr/>
        <w:t> </w:t>
      </w:r>
      <w:r>
        <w:rPr>
          <w:spacing w:val="-16"/>
        </w:rPr>
        <w:t> </w:t>
      </w:r>
      <w:r>
        <w:rPr>
          <w:w w:val="108"/>
        </w:rPr>
        <w:t>en</w:t>
      </w:r>
      <w:r>
        <w:rPr/>
        <w:t> </w:t>
      </w:r>
      <w:r>
        <w:rPr>
          <w:spacing w:val="-16"/>
        </w:rPr>
        <w:t> </w:t>
      </w:r>
      <w:r>
        <w:rPr>
          <w:w w:val="107"/>
        </w:rPr>
        <w:t>el</w:t>
      </w:r>
      <w:r>
        <w:rPr/>
        <w:t> </w:t>
      </w:r>
      <w:r>
        <w:rPr>
          <w:spacing w:val="-16"/>
        </w:rPr>
        <w:t> </w:t>
      </w:r>
      <w:r>
        <w:rPr>
          <w:w w:val="108"/>
        </w:rPr>
        <w:t>sentido</w:t>
      </w:r>
      <w:r>
        <w:rPr/>
        <w:t> </w:t>
      </w:r>
      <w:r>
        <w:rPr>
          <w:spacing w:val="-16"/>
        </w:rPr>
        <w:t> </w:t>
      </w:r>
      <w:r>
        <w:rPr>
          <w:w w:val="111"/>
        </w:rPr>
        <w:t>gramsciano</w:t>
      </w:r>
      <w:r>
        <w:rPr/>
        <w:t> </w:t>
      </w:r>
      <w:r>
        <w:rPr>
          <w:spacing w:val="-16"/>
        </w:rPr>
        <w:t> </w:t>
      </w:r>
      <w:r>
        <w:rPr>
          <w:w w:val="107"/>
        </w:rPr>
        <w:t>del</w:t>
      </w:r>
      <w:r>
        <w:rPr/>
        <w:t> </w:t>
      </w:r>
      <w:r>
        <w:rPr>
          <w:spacing w:val="-16"/>
        </w:rPr>
        <w:t> </w:t>
      </w:r>
      <w:r>
        <w:rPr>
          <w:w w:val="111"/>
        </w:rPr>
        <w:t>término.</w:t>
      </w:r>
      <w:r>
        <w:rPr/>
        <w:t> </w:t>
      </w:r>
      <w:r>
        <w:rPr>
          <w:spacing w:val="-16"/>
        </w:rPr>
        <w:t> </w:t>
      </w:r>
      <w:r>
        <w:rPr>
          <w:w w:val="243"/>
        </w:rPr>
        <w:t>l</w:t>
      </w:r>
      <w:r>
        <w:rPr>
          <w:w w:val="112"/>
        </w:rPr>
        <w:t>a</w:t>
      </w:r>
      <w:r>
        <w:rPr/>
        <w:t> </w:t>
      </w:r>
      <w:r>
        <w:rPr>
          <w:spacing w:val="-16"/>
        </w:rPr>
        <w:t> </w:t>
      </w:r>
      <w:r>
        <w:rPr>
          <w:w w:val="111"/>
        </w:rPr>
        <w:t>creación</w:t>
      </w:r>
      <w:r>
        <w:rPr/>
        <w:t> </w:t>
      </w:r>
      <w:r>
        <w:rPr>
          <w:spacing w:val="-16"/>
        </w:rPr>
        <w:t> </w:t>
      </w:r>
      <w:r>
        <w:rPr>
          <w:w w:val="107"/>
        </w:rPr>
        <w:t>de</w:t>
      </w:r>
      <w:r>
        <w:rPr/>
        <w:t> </w:t>
      </w:r>
      <w:r>
        <w:rPr>
          <w:spacing w:val="-16"/>
        </w:rPr>
        <w:t> </w:t>
      </w:r>
      <w:r>
        <w:rPr>
          <w:w w:val="112"/>
        </w:rPr>
        <w:t>un </w:t>
      </w:r>
      <w:r>
        <w:rPr>
          <w:w w:val="110"/>
        </w:rPr>
        <w:t>consenso en torno de las  reformas  económicas  y  políticas  alcanzó un relativo éxito, considerando las políticas públicas adoptadas por   la mayoría de los países del continente a lo largo de las décadas del ochenta y noventa y la influencia de los valores capitalistas. un pro- ceso que se establece, de todos modos, con resistencias y movimien- tos contrahegemónicos que ganan fuerza especialmente cuando las consecuencias sociales, políticas y económicas del modelo adoptado  se revelan de forma más clara y se percibe el alcance limitado de la democracia que estas organizaciones están dispuestas a aceptar: una democracia que no puede contrariar al mercado, ni cuestionar los in- tereses estratégicos de los Estados</w:t>
      </w:r>
      <w:r>
        <w:rPr>
          <w:spacing w:val="33"/>
          <w:w w:val="110"/>
        </w:rPr>
        <w:t> </w:t>
      </w:r>
      <w:r>
        <w:rPr>
          <w:w w:val="110"/>
        </w:rPr>
        <w:t>unidos</w:t>
      </w:r>
      <w:r>
        <w:rPr>
          <w:w w:val="110"/>
          <w:position w:val="6"/>
          <w:sz w:val="11"/>
        </w:rPr>
        <w:t>42</w:t>
      </w:r>
      <w:r>
        <w:rPr>
          <w:w w:val="110"/>
        </w:rPr>
        <w:t>.</w:t>
      </w:r>
    </w:p>
    <w:p>
      <w:pPr>
        <w:pStyle w:val="BodyText"/>
        <w:spacing w:line="252" w:lineRule="auto"/>
        <w:ind w:left="330" w:right="119" w:firstLine="396"/>
        <w:jc w:val="both"/>
      </w:pPr>
      <w:r>
        <w:rPr>
          <w:w w:val="110"/>
        </w:rPr>
        <w:t>El análisis del desempeño del CiPE debe hacerse tomando en cuenta el conjunto de acciones desarrolladas por la NEd y conside- rando ese conjunto en el contexto más amplio de la política exterior </w:t>
      </w:r>
      <w:r>
        <w:rPr>
          <w:w w:val="109"/>
        </w:rPr>
        <w:t>estadounidense.</w:t>
      </w:r>
      <w:r>
        <w:rPr/>
        <w:t> </w:t>
      </w:r>
      <w:r>
        <w:rPr>
          <w:w w:val="243"/>
        </w:rPr>
        <w:t>l</w:t>
      </w:r>
      <w:r>
        <w:rPr>
          <w:w w:val="112"/>
        </w:rPr>
        <w:t>a</w:t>
      </w:r>
      <w:r>
        <w:rPr/>
        <w:t> </w:t>
      </w:r>
      <w:r>
        <w:rPr>
          <w:w w:val="123"/>
        </w:rPr>
        <w:t>NE</w:t>
      </w:r>
      <w:r>
        <w:rPr>
          <w:w w:val="139"/>
        </w:rPr>
        <w:t>d</w:t>
      </w:r>
      <w:r>
        <w:rPr/>
        <w:t> </w:t>
      </w:r>
      <w:r>
        <w:rPr>
          <w:w w:val="105"/>
        </w:rPr>
        <w:t>y</w:t>
      </w:r>
      <w:r>
        <w:rPr/>
        <w:t> </w:t>
      </w:r>
      <w:r>
        <w:rPr>
          <w:w w:val="109"/>
        </w:rPr>
        <w:t>las</w:t>
      </w:r>
      <w:r>
        <w:rPr/>
        <w:t> </w:t>
      </w:r>
      <w:r>
        <w:rPr>
          <w:w w:val="110"/>
        </w:rPr>
        <w:t>cuatro</w:t>
      </w:r>
      <w:r>
        <w:rPr/>
        <w:t> </w:t>
      </w:r>
      <w:r>
        <w:rPr>
          <w:w w:val="110"/>
        </w:rPr>
        <w:t>organizaciones</w:t>
      </w:r>
      <w:r>
        <w:rPr/>
        <w:t> </w:t>
      </w:r>
      <w:r>
        <w:rPr>
          <w:w w:val="110"/>
        </w:rPr>
        <w:t>vinculadas</w:t>
      </w:r>
      <w:r>
        <w:rPr/>
        <w:t> </w:t>
      </w:r>
      <w:r>
        <w:rPr>
          <w:w w:val="112"/>
        </w:rPr>
        <w:t>a</w:t>
      </w:r>
      <w:r>
        <w:rPr/>
        <w:t> </w:t>
      </w:r>
      <w:r>
        <w:rPr>
          <w:w w:val="111"/>
        </w:rPr>
        <w:t>di</w:t>
      </w:r>
      <w:r>
        <w:rPr>
          <w:w w:val="102"/>
        </w:rPr>
        <w:t>- </w:t>
      </w:r>
      <w:r>
        <w:rPr>
          <w:w w:val="110"/>
        </w:rPr>
        <w:t>cha fundación dan cuenta de la articulación entre el Estado y las gran- des corporaciones de ese país, combinado además con un sector de la cúpula de la clase trabajadora y los dos partidos políticos dominantes (republicano  y  demócrata).</w:t>
      </w:r>
    </w:p>
    <w:p>
      <w:pPr>
        <w:pStyle w:val="BodyText"/>
        <w:spacing w:line="252" w:lineRule="auto"/>
        <w:ind w:left="330" w:right="118" w:firstLine="396"/>
        <w:jc w:val="both"/>
      </w:pPr>
      <w:r>
        <w:rPr>
          <w:w w:val="115"/>
        </w:rPr>
        <w:t>Con una numerosa producción documental y bibliográfica, ac- tuando en asociación con diversas organizaciones empresariales, </w:t>
      </w:r>
      <w:r>
        <w:rPr>
          <w:i/>
          <w:w w:val="115"/>
        </w:rPr>
        <w:t>think tanks</w:t>
      </w:r>
      <w:r>
        <w:rPr>
          <w:w w:val="115"/>
        </w:rPr>
        <w:t>, universidades y centros de gobernanza corporativa, en colaboración con la oCdE y el banco Mundial, con apoyo de la Cá- mara americana de Comercio, con recursos de corporaciones esta- dounidenses y especialmente del gobierno de aquel país, el CiPE se constituye</w:t>
      </w:r>
      <w:r>
        <w:rPr>
          <w:spacing w:val="-27"/>
          <w:w w:val="115"/>
        </w:rPr>
        <w:t> </w:t>
      </w:r>
      <w:r>
        <w:rPr>
          <w:w w:val="115"/>
        </w:rPr>
        <w:t>también</w:t>
      </w:r>
      <w:r>
        <w:rPr>
          <w:spacing w:val="-27"/>
          <w:w w:val="115"/>
        </w:rPr>
        <w:t> </w:t>
      </w:r>
      <w:r>
        <w:rPr>
          <w:w w:val="115"/>
        </w:rPr>
        <w:t>en</w:t>
      </w:r>
      <w:r>
        <w:rPr>
          <w:spacing w:val="-27"/>
          <w:w w:val="115"/>
        </w:rPr>
        <w:t> </w:t>
      </w:r>
      <w:r>
        <w:rPr>
          <w:w w:val="115"/>
        </w:rPr>
        <w:t>una</w:t>
      </w:r>
      <w:r>
        <w:rPr>
          <w:spacing w:val="-27"/>
          <w:w w:val="115"/>
        </w:rPr>
        <w:t> </w:t>
      </w:r>
      <w:r>
        <w:rPr>
          <w:w w:val="115"/>
        </w:rPr>
        <w:t>importante</w:t>
      </w:r>
      <w:r>
        <w:rPr>
          <w:spacing w:val="-27"/>
          <w:w w:val="115"/>
        </w:rPr>
        <w:t> </w:t>
      </w:r>
      <w:r>
        <w:rPr>
          <w:w w:val="115"/>
        </w:rPr>
        <w:t>organización</w:t>
      </w:r>
      <w:r>
        <w:rPr>
          <w:spacing w:val="-27"/>
          <w:w w:val="115"/>
        </w:rPr>
        <w:t> </w:t>
      </w:r>
      <w:r>
        <w:rPr>
          <w:w w:val="115"/>
        </w:rPr>
        <w:t>para</w:t>
      </w:r>
      <w:r>
        <w:rPr>
          <w:spacing w:val="-27"/>
          <w:w w:val="115"/>
        </w:rPr>
        <w:t> </w:t>
      </w:r>
      <w:r>
        <w:rPr>
          <w:w w:val="115"/>
        </w:rPr>
        <w:t>la</w:t>
      </w:r>
      <w:r>
        <w:rPr>
          <w:spacing w:val="-27"/>
          <w:w w:val="115"/>
        </w:rPr>
        <w:t> </w:t>
      </w:r>
      <w:r>
        <w:rPr>
          <w:w w:val="115"/>
        </w:rPr>
        <w:t>difusión</w:t>
      </w:r>
      <w:r>
        <w:rPr>
          <w:spacing w:val="-27"/>
          <w:w w:val="115"/>
        </w:rPr>
        <w:t> </w:t>
      </w:r>
      <w:r>
        <w:rPr>
          <w:w w:val="115"/>
        </w:rPr>
        <w:t>e </w:t>
      </w:r>
      <w:r>
        <w:rPr>
          <w:w w:val="110"/>
        </w:rPr>
        <w:t>implementación de la gobernanza </w:t>
      </w:r>
      <w:r>
        <w:rPr>
          <w:spacing w:val="5"/>
          <w:w w:val="110"/>
        </w:rPr>
        <w:t> </w:t>
      </w:r>
      <w:r>
        <w:rPr>
          <w:w w:val="110"/>
        </w:rPr>
        <w:t>corporativa.</w:t>
      </w:r>
    </w:p>
    <w:p>
      <w:pPr>
        <w:pStyle w:val="BodyText"/>
        <w:spacing w:line="252" w:lineRule="auto"/>
        <w:ind w:left="330" w:right="118" w:firstLine="396"/>
        <w:jc w:val="both"/>
      </w:pPr>
      <w:r>
        <w:rPr>
          <w:w w:val="110"/>
        </w:rPr>
        <w:t>El hecho de cooperar con el CiPE no significa necesariamente   que las organizaciones pasan a depender de la organización  </w:t>
      </w:r>
      <w:r>
        <w:rPr>
          <w:spacing w:val="7"/>
          <w:w w:val="110"/>
        </w:rPr>
        <w:t> </w:t>
      </w:r>
      <w:r>
        <w:rPr>
          <w:w w:val="110"/>
        </w:rPr>
        <w:t>estadou-</w:t>
      </w:r>
    </w:p>
    <w:p>
      <w:pPr>
        <w:pStyle w:val="BodyText"/>
        <w:spacing w:before="4"/>
      </w:pPr>
      <w:r>
        <w:rPr/>
        <w:pict>
          <v:line style="position:absolute;mso-position-horizontal-relative:page;mso-position-vertical-relative:paragraph;z-index:5944;mso-wrap-distance-left:0;mso-wrap-distance-right:0" from="76.5354pt,13.565434pt" to="104.8814pt,13.565434pt" stroked="true" strokeweight=".5pt" strokecolor="#000000">
            <w10:wrap type="topAndBottom"/>
          </v:line>
        </w:pict>
      </w:r>
    </w:p>
    <w:p>
      <w:pPr>
        <w:pStyle w:val="ListParagraph"/>
        <w:numPr>
          <w:ilvl w:val="0"/>
          <w:numId w:val="28"/>
        </w:numPr>
        <w:tabs>
          <w:tab w:pos="586" w:val="left" w:leader="none"/>
        </w:tabs>
        <w:spacing w:line="242" w:lineRule="auto" w:before="89" w:after="0"/>
        <w:ind w:left="330" w:right="118" w:firstLine="0"/>
        <w:jc w:val="left"/>
        <w:rPr>
          <w:sz w:val="16"/>
        </w:rPr>
      </w:pPr>
      <w:r>
        <w:rPr>
          <w:w w:val="110"/>
          <w:sz w:val="16"/>
        </w:rPr>
        <w:t>Para una discusión en profundidad de esa cuestión ver los trabajos de robinson (1996,</w:t>
      </w:r>
      <w:r>
        <w:rPr>
          <w:spacing w:val="-24"/>
          <w:w w:val="110"/>
          <w:sz w:val="16"/>
        </w:rPr>
        <w:t> </w:t>
      </w:r>
      <w:r>
        <w:rPr>
          <w:w w:val="110"/>
          <w:sz w:val="16"/>
        </w:rPr>
        <w:t>2006,</w:t>
      </w:r>
      <w:r>
        <w:rPr>
          <w:spacing w:val="-24"/>
          <w:w w:val="110"/>
          <w:sz w:val="16"/>
        </w:rPr>
        <w:t> </w:t>
      </w:r>
      <w:r>
        <w:rPr>
          <w:w w:val="110"/>
          <w:sz w:val="16"/>
        </w:rPr>
        <w:t>2013),</w:t>
      </w:r>
      <w:r>
        <w:rPr>
          <w:spacing w:val="-24"/>
          <w:w w:val="110"/>
          <w:sz w:val="16"/>
        </w:rPr>
        <w:t> </w:t>
      </w:r>
      <w:r>
        <w:rPr>
          <w:w w:val="110"/>
          <w:sz w:val="16"/>
        </w:rPr>
        <w:t>Carothers</w:t>
      </w:r>
      <w:r>
        <w:rPr>
          <w:spacing w:val="-24"/>
          <w:w w:val="110"/>
          <w:sz w:val="16"/>
        </w:rPr>
        <w:t> </w:t>
      </w:r>
      <w:r>
        <w:rPr>
          <w:w w:val="110"/>
          <w:sz w:val="16"/>
        </w:rPr>
        <w:t>(2000)</w:t>
      </w:r>
      <w:r>
        <w:rPr>
          <w:spacing w:val="-24"/>
          <w:w w:val="110"/>
          <w:sz w:val="16"/>
        </w:rPr>
        <w:t> </w:t>
      </w:r>
      <w:r>
        <w:rPr>
          <w:w w:val="110"/>
          <w:sz w:val="16"/>
        </w:rPr>
        <w:t>y</w:t>
      </w:r>
      <w:r>
        <w:rPr>
          <w:spacing w:val="-24"/>
          <w:w w:val="110"/>
          <w:sz w:val="16"/>
        </w:rPr>
        <w:t> </w:t>
      </w:r>
      <w:r>
        <w:rPr>
          <w:w w:val="110"/>
          <w:sz w:val="16"/>
        </w:rPr>
        <w:t>anderson</w:t>
      </w:r>
      <w:r>
        <w:rPr>
          <w:spacing w:val="-24"/>
          <w:w w:val="110"/>
          <w:sz w:val="16"/>
        </w:rPr>
        <w:t> </w:t>
      </w:r>
      <w:r>
        <w:rPr>
          <w:w w:val="110"/>
          <w:sz w:val="16"/>
        </w:rPr>
        <w:t>(2015).</w:t>
      </w:r>
    </w:p>
    <w:p>
      <w:pPr>
        <w:spacing w:after="0" w:line="242" w:lineRule="auto"/>
        <w:jc w:val="left"/>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8"/>
        <w:jc w:val="both"/>
      </w:pPr>
      <w:r>
        <w:rPr>
          <w:w w:val="110"/>
        </w:rPr>
        <w:t>nidense.</w:t>
      </w:r>
      <w:r>
        <w:rPr>
          <w:spacing w:val="16"/>
        </w:rPr>
        <w:t> </w:t>
      </w:r>
      <w:r>
        <w:rPr>
          <w:w w:val="243"/>
        </w:rPr>
        <w:t>l</w:t>
      </w:r>
      <w:r>
        <w:rPr>
          <w:w w:val="109"/>
        </w:rPr>
        <w:t>as</w:t>
      </w:r>
      <w:r>
        <w:rPr>
          <w:spacing w:val="16"/>
        </w:rPr>
        <w:t> </w:t>
      </w:r>
      <w:r>
        <w:rPr>
          <w:w w:val="111"/>
        </w:rPr>
        <w:t>alianzas</w:t>
      </w:r>
      <w:r>
        <w:rPr>
          <w:spacing w:val="16"/>
        </w:rPr>
        <w:t> </w:t>
      </w:r>
      <w:r>
        <w:rPr>
          <w:w w:val="105"/>
        </w:rPr>
        <w:t>se</w:t>
      </w:r>
      <w:r>
        <w:rPr>
          <w:spacing w:val="16"/>
        </w:rPr>
        <w:t> </w:t>
      </w:r>
      <w:r>
        <w:rPr>
          <w:w w:val="111"/>
        </w:rPr>
        <w:t>hacen</w:t>
      </w:r>
      <w:r>
        <w:rPr>
          <w:spacing w:val="16"/>
        </w:rPr>
        <w:t> </w:t>
      </w:r>
      <w:r>
        <w:rPr>
          <w:w w:val="108"/>
        </w:rPr>
        <w:t>en</w:t>
      </w:r>
      <w:r>
        <w:rPr>
          <w:spacing w:val="16"/>
        </w:rPr>
        <w:t> </w:t>
      </w:r>
      <w:r>
        <w:rPr>
          <w:w w:val="112"/>
        </w:rPr>
        <w:t>un</w:t>
      </w:r>
      <w:r>
        <w:rPr>
          <w:spacing w:val="16"/>
        </w:rPr>
        <w:t> </w:t>
      </w:r>
      <w:r>
        <w:rPr>
          <w:w w:val="109"/>
        </w:rPr>
        <w:t>contexto</w:t>
      </w:r>
      <w:r>
        <w:rPr>
          <w:spacing w:val="16"/>
        </w:rPr>
        <w:t> </w:t>
      </w:r>
      <w:r>
        <w:rPr>
          <w:w w:val="107"/>
        </w:rPr>
        <w:t>de</w:t>
      </w:r>
      <w:r>
        <w:rPr>
          <w:spacing w:val="16"/>
        </w:rPr>
        <w:t> </w:t>
      </w:r>
      <w:r>
        <w:rPr>
          <w:w w:val="109"/>
        </w:rPr>
        <w:t>convergencia</w:t>
      </w:r>
      <w:r>
        <w:rPr>
          <w:spacing w:val="16"/>
        </w:rPr>
        <w:t> </w:t>
      </w:r>
      <w:r>
        <w:rPr>
          <w:w w:val="107"/>
        </w:rPr>
        <w:t>de</w:t>
      </w:r>
      <w:r>
        <w:rPr>
          <w:spacing w:val="16"/>
        </w:rPr>
        <w:t> </w:t>
      </w:r>
      <w:r>
        <w:rPr>
          <w:w w:val="113"/>
        </w:rPr>
        <w:t>in</w:t>
      </w:r>
      <w:r>
        <w:rPr>
          <w:w w:val="102"/>
        </w:rPr>
        <w:t>- </w:t>
      </w:r>
      <w:r>
        <w:rPr>
          <w:w w:val="105"/>
        </w:rPr>
        <w:t>tereses desde el punto de vista del mantenimiento y renovación de un orden capitalista, pero el papel que las organizaciones locales pueden </w:t>
      </w:r>
      <w:r>
        <w:rPr>
          <w:w w:val="108"/>
        </w:rPr>
        <w:t>desempeñar</w:t>
      </w:r>
      <w:r>
        <w:rPr>
          <w:spacing w:val="15"/>
        </w:rPr>
        <w:t> </w:t>
      </w:r>
      <w:r>
        <w:rPr>
          <w:w w:val="108"/>
        </w:rPr>
        <w:t>en</w:t>
      </w:r>
      <w:r>
        <w:rPr>
          <w:spacing w:val="15"/>
        </w:rPr>
        <w:t> </w:t>
      </w:r>
      <w:r>
        <w:rPr>
          <w:w w:val="104"/>
        </w:rPr>
        <w:t>ese</w:t>
      </w:r>
      <w:r>
        <w:rPr>
          <w:spacing w:val="15"/>
        </w:rPr>
        <w:t> </w:t>
      </w:r>
      <w:r>
        <w:rPr>
          <w:w w:val="108"/>
        </w:rPr>
        <w:t>proceso</w:t>
      </w:r>
      <w:r>
        <w:rPr>
          <w:spacing w:val="15"/>
        </w:rPr>
        <w:t> </w:t>
      </w:r>
      <w:r>
        <w:rPr>
          <w:w w:val="108"/>
        </w:rPr>
        <w:t>puede</w:t>
      </w:r>
      <w:r>
        <w:rPr>
          <w:spacing w:val="15"/>
        </w:rPr>
        <w:t> </w:t>
      </w:r>
      <w:r>
        <w:rPr>
          <w:w w:val="106"/>
        </w:rPr>
        <w:t>tener</w:t>
      </w:r>
      <w:r>
        <w:rPr>
          <w:spacing w:val="15"/>
        </w:rPr>
        <w:t> </w:t>
      </w:r>
      <w:r>
        <w:rPr>
          <w:w w:val="109"/>
        </w:rPr>
        <w:t>variaciones</w:t>
      </w:r>
      <w:r>
        <w:rPr>
          <w:spacing w:val="15"/>
        </w:rPr>
        <w:t> </w:t>
      </w:r>
      <w:r>
        <w:rPr>
          <w:w w:val="110"/>
        </w:rPr>
        <w:t>importantes.</w:t>
      </w:r>
      <w:r>
        <w:rPr>
          <w:spacing w:val="15"/>
        </w:rPr>
        <w:t> </w:t>
      </w:r>
      <w:r>
        <w:rPr>
          <w:w w:val="243"/>
        </w:rPr>
        <w:t>l</w:t>
      </w:r>
      <w:r>
        <w:rPr>
          <w:w w:val="109"/>
        </w:rPr>
        <w:t>as </w:t>
      </w:r>
      <w:r>
        <w:rPr>
          <w:w w:val="105"/>
        </w:rPr>
        <w:t>organizaciones locales operan también con otras fuentes de financia- </w:t>
      </w:r>
      <w:r>
        <w:rPr>
          <w:w w:val="112"/>
        </w:rPr>
        <w:t>miento.</w:t>
      </w:r>
      <w:r>
        <w:rPr>
          <w:spacing w:val="4"/>
        </w:rPr>
        <w:t> </w:t>
      </w:r>
      <w:r>
        <w:rPr>
          <w:w w:val="243"/>
        </w:rPr>
        <w:t>l</w:t>
      </w:r>
      <w:r>
        <w:rPr>
          <w:w w:val="112"/>
        </w:rPr>
        <w:t>a</w:t>
      </w:r>
      <w:r>
        <w:rPr>
          <w:spacing w:val="4"/>
        </w:rPr>
        <w:t> </w:t>
      </w:r>
      <w:r>
        <w:rPr>
          <w:w w:val="108"/>
        </w:rPr>
        <w:t>estrategia</w:t>
      </w:r>
      <w:r>
        <w:rPr>
          <w:spacing w:val="4"/>
        </w:rPr>
        <w:t> </w:t>
      </w:r>
      <w:r>
        <w:rPr>
          <w:w w:val="107"/>
        </w:rPr>
        <w:t>del</w:t>
      </w:r>
      <w:r>
        <w:rPr>
          <w:spacing w:val="4"/>
        </w:rPr>
        <w:t> </w:t>
      </w:r>
      <w:r>
        <w:rPr>
          <w:w w:val="124"/>
        </w:rPr>
        <w:t>C</w:t>
      </w:r>
      <w:r>
        <w:rPr>
          <w:w w:val="142"/>
        </w:rPr>
        <w:t>i</w:t>
      </w:r>
      <w:r>
        <w:rPr>
          <w:w w:val="120"/>
        </w:rPr>
        <w:t>PE</w:t>
      </w:r>
      <w:r>
        <w:rPr>
          <w:spacing w:val="4"/>
        </w:rPr>
        <w:t> </w:t>
      </w:r>
      <w:r>
        <w:rPr>
          <w:w w:val="105"/>
        </w:rPr>
        <w:t>es</w:t>
      </w:r>
      <w:r>
        <w:rPr>
          <w:spacing w:val="4"/>
        </w:rPr>
        <w:t> </w:t>
      </w:r>
      <w:r>
        <w:rPr>
          <w:w w:val="107"/>
        </w:rPr>
        <w:t>de</w:t>
      </w:r>
      <w:r>
        <w:rPr>
          <w:spacing w:val="4"/>
        </w:rPr>
        <w:t> </w:t>
      </w:r>
      <w:r>
        <w:rPr>
          <w:w w:val="110"/>
        </w:rPr>
        <w:t>largo</w:t>
      </w:r>
      <w:r>
        <w:rPr>
          <w:spacing w:val="4"/>
        </w:rPr>
        <w:t> </w:t>
      </w:r>
      <w:r>
        <w:rPr>
          <w:w w:val="113"/>
        </w:rPr>
        <w:t>plazo,</w:t>
      </w:r>
      <w:r>
        <w:rPr>
          <w:spacing w:val="4"/>
        </w:rPr>
        <w:t> </w:t>
      </w:r>
      <w:r>
        <w:rPr>
          <w:w w:val="107"/>
        </w:rPr>
        <w:t>pero</w:t>
      </w:r>
      <w:r>
        <w:rPr>
          <w:spacing w:val="4"/>
        </w:rPr>
        <w:t> </w:t>
      </w:r>
      <w:r>
        <w:rPr>
          <w:w w:val="110"/>
        </w:rPr>
        <w:t>instrumenta</w:t>
      </w:r>
      <w:r>
        <w:rPr>
          <w:spacing w:val="4"/>
        </w:rPr>
        <w:t> </w:t>
      </w:r>
      <w:r>
        <w:rPr>
          <w:w w:val="108"/>
        </w:rPr>
        <w:t>sus </w:t>
      </w:r>
      <w:r>
        <w:rPr>
          <w:w w:val="105"/>
        </w:rPr>
        <w:t>acciones a través de proyectos específicos de apoyo organizacional, político y financiero, con objetivos y plazos definidos. Este modo de proceder le permite operar con gran flexibilidad para </w:t>
      </w:r>
      <w:r>
        <w:rPr>
          <w:spacing w:val="-3"/>
          <w:w w:val="105"/>
        </w:rPr>
        <w:t>mantener, </w:t>
      </w:r>
      <w:r>
        <w:rPr>
          <w:w w:val="105"/>
        </w:rPr>
        <w:t>re- definir o romper las asociaciones,  en  razón  de  sus  prioridades,  que  son definidas en términos de su actuación global. Como observa Cruz (2007: 41), para analizar la política  del  neoliberalismo  “es  necesario  ver cómo los grupos/tendencias políticas identificados con esa pers- pectiva actúan, qué problemas enfrentan, qué alianzas necesitan esta- blecer para ubicarse en condiciones de implementar sus proyectos”. Como fue observado, uno de los proyectos centrales está vinculado a       la gobernanza corporativa y lo que se buscó subrayar fue la dimensión política  de  esa</w:t>
      </w:r>
      <w:r>
        <w:rPr>
          <w:spacing w:val="36"/>
          <w:w w:val="105"/>
        </w:rPr>
        <w:t> </w:t>
      </w:r>
      <w:r>
        <w:rPr>
          <w:w w:val="105"/>
        </w:rPr>
        <w:t>propuesta.</w:t>
      </w:r>
    </w:p>
    <w:p>
      <w:pPr>
        <w:pStyle w:val="BodyText"/>
        <w:spacing w:line="252" w:lineRule="auto"/>
        <w:ind w:left="120" w:right="328" w:firstLine="396"/>
        <w:jc w:val="both"/>
      </w:pPr>
      <w:r>
        <w:rPr>
          <w:w w:val="110"/>
        </w:rPr>
        <w:t>El sistema financiero se vincula de diversas formas a la red de organizaciones mencionada. asociaciones de representación de cla-   se del sector financiero participan en asociaciones empresariales que también reciben recursos del CiPE. al mismo tiempo, no logra ocultar las contradicciones con prácticas internas y especialmente externas </w:t>
      </w:r>
      <w:r>
        <w:rPr>
          <w:w w:val="107"/>
        </w:rPr>
        <w:t>de</w:t>
      </w:r>
      <w:r>
        <w:rPr>
          <w:spacing w:val="5"/>
        </w:rPr>
        <w:t> </w:t>
      </w:r>
      <w:r>
        <w:rPr>
          <w:w w:val="113"/>
        </w:rPr>
        <w:t>actuación.</w:t>
      </w:r>
      <w:r>
        <w:rPr>
          <w:spacing w:val="5"/>
        </w:rPr>
        <w:t> </w:t>
      </w:r>
      <w:r>
        <w:rPr>
          <w:w w:val="243"/>
        </w:rPr>
        <w:t>l</w:t>
      </w:r>
      <w:r>
        <w:rPr>
          <w:w w:val="109"/>
        </w:rPr>
        <w:t>as</w:t>
      </w:r>
      <w:r>
        <w:rPr>
          <w:spacing w:val="5"/>
        </w:rPr>
        <w:t> </w:t>
      </w:r>
      <w:r>
        <w:rPr>
          <w:w w:val="109"/>
        </w:rPr>
        <w:t>debilidades</w:t>
      </w:r>
      <w:r>
        <w:rPr>
          <w:spacing w:val="5"/>
        </w:rPr>
        <w:t> </w:t>
      </w:r>
      <w:r>
        <w:rPr>
          <w:w w:val="110"/>
        </w:rPr>
        <w:t>también</w:t>
      </w:r>
      <w:r>
        <w:rPr>
          <w:spacing w:val="5"/>
        </w:rPr>
        <w:t> </w:t>
      </w:r>
      <w:r>
        <w:rPr>
          <w:w w:val="105"/>
        </w:rPr>
        <w:t>se</w:t>
      </w:r>
      <w:r>
        <w:rPr>
          <w:spacing w:val="5"/>
        </w:rPr>
        <w:t> </w:t>
      </w:r>
      <w:r>
        <w:rPr>
          <w:w w:val="107"/>
        </w:rPr>
        <w:t>revelan</w:t>
      </w:r>
      <w:r>
        <w:rPr>
          <w:spacing w:val="5"/>
        </w:rPr>
        <w:t> </w:t>
      </w:r>
      <w:r>
        <w:rPr>
          <w:w w:val="111"/>
        </w:rPr>
        <w:t>cuando</w:t>
      </w:r>
      <w:r>
        <w:rPr>
          <w:spacing w:val="5"/>
        </w:rPr>
        <w:t> </w:t>
      </w:r>
      <w:r>
        <w:rPr>
          <w:w w:val="105"/>
        </w:rPr>
        <w:t>se</w:t>
      </w:r>
      <w:r>
        <w:rPr>
          <w:spacing w:val="5"/>
        </w:rPr>
        <w:t> </w:t>
      </w:r>
      <w:r>
        <w:rPr>
          <w:w w:val="110"/>
        </w:rPr>
        <w:t>topan</w:t>
      </w:r>
      <w:r>
        <w:rPr>
          <w:spacing w:val="5"/>
        </w:rPr>
        <w:t> </w:t>
      </w:r>
      <w:r>
        <w:rPr>
          <w:w w:val="112"/>
        </w:rPr>
        <w:t>con </w:t>
      </w:r>
      <w:r>
        <w:rPr>
          <w:w w:val="110"/>
        </w:rPr>
        <w:t>procesos locales que cuestionan la economía de libre mercado y los intereses del gobierno de los Estados unidos o coinciden con la apa- rición de movimientos populares, como está ocurriendo actualmente </w:t>
      </w:r>
      <w:r>
        <w:rPr>
          <w:w w:val="108"/>
        </w:rPr>
        <w:t>en</w:t>
      </w:r>
      <w:r>
        <w:rPr>
          <w:spacing w:val="12"/>
        </w:rPr>
        <w:t> </w:t>
      </w:r>
      <w:r>
        <w:rPr>
          <w:w w:val="110"/>
        </w:rPr>
        <w:t>algunos</w:t>
      </w:r>
      <w:r>
        <w:rPr>
          <w:spacing w:val="12"/>
        </w:rPr>
        <w:t> </w:t>
      </w:r>
      <w:r>
        <w:rPr>
          <w:w w:val="108"/>
        </w:rPr>
        <w:t>países</w:t>
      </w:r>
      <w:r>
        <w:rPr>
          <w:spacing w:val="12"/>
        </w:rPr>
        <w:t> </w:t>
      </w:r>
      <w:r>
        <w:rPr>
          <w:w w:val="107"/>
        </w:rPr>
        <w:t>de</w:t>
      </w:r>
      <w:r>
        <w:rPr>
          <w:spacing w:val="12"/>
        </w:rPr>
        <w:t> </w:t>
      </w:r>
      <w:r>
        <w:rPr>
          <w:w w:val="139"/>
        </w:rPr>
        <w:t>a</w:t>
      </w:r>
      <w:r>
        <w:rPr>
          <w:w w:val="111"/>
        </w:rPr>
        <w:t>mérica</w:t>
      </w:r>
      <w:r>
        <w:rPr>
          <w:spacing w:val="12"/>
        </w:rPr>
        <w:t> </w:t>
      </w:r>
      <w:r>
        <w:rPr>
          <w:w w:val="243"/>
        </w:rPr>
        <w:t>l</w:t>
      </w:r>
      <w:r>
        <w:rPr>
          <w:w w:val="113"/>
        </w:rPr>
        <w:t>atina.</w:t>
      </w:r>
    </w:p>
    <w:p>
      <w:pPr>
        <w:pStyle w:val="BodyText"/>
        <w:spacing w:line="252" w:lineRule="auto"/>
        <w:ind w:left="120" w:right="328" w:firstLine="396"/>
        <w:jc w:val="both"/>
      </w:pPr>
      <w:r>
        <w:rPr>
          <w:w w:val="110"/>
        </w:rPr>
        <w:t>Que el modelo de democracia y libre mercado –incluyendo el proyecto de gobernanza corporativa a él asociado– y el esfuerzo del gobierno y de las corporaciones estadounidenses para implementarlo alrededor del mundo estén siendo fracturados por contradicciones no deja de poner sobre la mesa un significativo desafío teórico y político en torno a la cuestión de la democracia y del papel de los intelectuales en este proceso</w:t>
      </w:r>
      <w:r>
        <w:rPr>
          <w:w w:val="110"/>
          <w:position w:val="6"/>
          <w:sz w:val="11"/>
        </w:rPr>
        <w:t>43</w:t>
      </w:r>
      <w:r>
        <w:rPr>
          <w:w w:val="110"/>
        </w:rPr>
        <w:t>, además de traer nuevas cuestiones relacionadas</w:t>
      </w:r>
      <w:r>
        <w:rPr>
          <w:spacing w:val="-32"/>
          <w:w w:val="110"/>
        </w:rPr>
        <w:t> </w:t>
      </w:r>
      <w:r>
        <w:rPr>
          <w:w w:val="110"/>
        </w:rPr>
        <w:t>con el</w:t>
      </w:r>
      <w:r>
        <w:rPr>
          <w:spacing w:val="16"/>
          <w:w w:val="110"/>
        </w:rPr>
        <w:t> </w:t>
      </w:r>
      <w:r>
        <w:rPr>
          <w:w w:val="110"/>
        </w:rPr>
        <w:t>imperialismo</w:t>
      </w:r>
      <w:r>
        <w:rPr>
          <w:w w:val="110"/>
          <w:position w:val="6"/>
          <w:sz w:val="11"/>
        </w:rPr>
        <w:t>44</w:t>
      </w:r>
      <w:r>
        <w:rPr>
          <w:w w:val="110"/>
        </w:rPr>
        <w:t>.</w:t>
      </w:r>
    </w:p>
    <w:p>
      <w:pPr>
        <w:pStyle w:val="BodyText"/>
        <w:spacing w:line="252" w:lineRule="auto"/>
        <w:ind w:left="120" w:right="328" w:firstLine="396"/>
        <w:jc w:val="both"/>
      </w:pPr>
      <w:r>
        <w:rPr>
          <w:w w:val="110"/>
        </w:rPr>
        <w:t>a partir de la red de organizaciones que se introducen en la es- trategia del gobierno, de las corporaciones de los Estados unidos, de las prácticas que se derivan de ellas y las fuerzas sociales y políticas</w:t>
      </w:r>
    </w:p>
    <w:p>
      <w:pPr>
        <w:pStyle w:val="BodyText"/>
        <w:spacing w:before="3"/>
        <w:rPr>
          <w:sz w:val="18"/>
        </w:rPr>
      </w:pPr>
      <w:r>
        <w:rPr/>
        <w:pict>
          <v:line style="position:absolute;mso-position-horizontal-relative:page;mso-position-vertical-relative:paragraph;z-index:5968;mso-wrap-distance-left:0;mso-wrap-distance-right:0" from="51.023602pt,12.925429pt" to="79.369602pt,12.925429pt" stroked="true" strokeweight=".5pt" strokecolor="#000000">
            <w10:wrap type="topAndBottom"/>
          </v:line>
        </w:pict>
      </w:r>
    </w:p>
    <w:p>
      <w:pPr>
        <w:pStyle w:val="ListParagraph"/>
        <w:numPr>
          <w:ilvl w:val="0"/>
          <w:numId w:val="28"/>
        </w:numPr>
        <w:tabs>
          <w:tab w:pos="376" w:val="left" w:leader="none"/>
        </w:tabs>
        <w:spacing w:line="242" w:lineRule="auto" w:before="89" w:after="0"/>
        <w:ind w:left="120" w:right="329" w:firstLine="0"/>
        <w:jc w:val="left"/>
        <w:rPr>
          <w:sz w:val="16"/>
        </w:rPr>
      </w:pPr>
      <w:r>
        <w:rPr>
          <w:w w:val="105"/>
          <w:sz w:val="16"/>
        </w:rPr>
        <w:t>Para una discusión sobre el tema ver por ejemplo borón (2006), Chomsky (2007, especialmente  capítulo  4),  Guilhot</w:t>
      </w:r>
      <w:r>
        <w:rPr>
          <w:spacing w:val="-15"/>
          <w:w w:val="105"/>
          <w:sz w:val="16"/>
        </w:rPr>
        <w:t> </w:t>
      </w:r>
      <w:r>
        <w:rPr>
          <w:w w:val="105"/>
          <w:sz w:val="16"/>
        </w:rPr>
        <w:t>(2001).</w:t>
      </w:r>
    </w:p>
    <w:p>
      <w:pPr>
        <w:pStyle w:val="ListParagraph"/>
        <w:numPr>
          <w:ilvl w:val="0"/>
          <w:numId w:val="28"/>
        </w:numPr>
        <w:tabs>
          <w:tab w:pos="376" w:val="left" w:leader="none"/>
        </w:tabs>
        <w:spacing w:line="240" w:lineRule="auto" w:before="57" w:after="0"/>
        <w:ind w:left="375" w:right="0" w:hanging="255"/>
        <w:jc w:val="left"/>
        <w:rPr>
          <w:sz w:val="16"/>
        </w:rPr>
      </w:pPr>
      <w:r>
        <w:rPr>
          <w:spacing w:val="-12"/>
          <w:w w:val="116"/>
          <w:sz w:val="16"/>
        </w:rPr>
        <w:t>V</w:t>
      </w:r>
      <w:r>
        <w:rPr>
          <w:w w:val="102"/>
          <w:sz w:val="16"/>
        </w:rPr>
        <w:t>er</w:t>
      </w:r>
      <w:r>
        <w:rPr>
          <w:spacing w:val="9"/>
          <w:sz w:val="16"/>
        </w:rPr>
        <w:t> </w:t>
      </w:r>
      <w:r>
        <w:rPr>
          <w:w w:val="106"/>
          <w:sz w:val="16"/>
        </w:rPr>
        <w:t>por</w:t>
      </w:r>
      <w:r>
        <w:rPr>
          <w:spacing w:val="9"/>
          <w:sz w:val="16"/>
        </w:rPr>
        <w:t> </w:t>
      </w:r>
      <w:r>
        <w:rPr>
          <w:w w:val="107"/>
          <w:sz w:val="16"/>
        </w:rPr>
        <w:t>ejemplo</w:t>
      </w:r>
      <w:r>
        <w:rPr>
          <w:spacing w:val="9"/>
          <w:sz w:val="16"/>
        </w:rPr>
        <w:t> </w:t>
      </w:r>
      <w:r>
        <w:rPr>
          <w:w w:val="110"/>
          <w:sz w:val="16"/>
        </w:rPr>
        <w:t>Panitch</w:t>
      </w:r>
      <w:r>
        <w:rPr>
          <w:spacing w:val="9"/>
          <w:sz w:val="16"/>
        </w:rPr>
        <w:t> </w:t>
      </w:r>
      <w:r>
        <w:rPr>
          <w:w w:val="102"/>
          <w:sz w:val="16"/>
        </w:rPr>
        <w:t>y</w:t>
      </w:r>
      <w:r>
        <w:rPr>
          <w:spacing w:val="9"/>
          <w:sz w:val="16"/>
        </w:rPr>
        <w:t> </w:t>
      </w:r>
      <w:r>
        <w:rPr>
          <w:w w:val="238"/>
          <w:sz w:val="16"/>
        </w:rPr>
        <w:t>l</w:t>
      </w:r>
      <w:r>
        <w:rPr>
          <w:w w:val="102"/>
          <w:sz w:val="16"/>
        </w:rPr>
        <w:t>eys</w:t>
      </w:r>
      <w:r>
        <w:rPr>
          <w:spacing w:val="9"/>
          <w:sz w:val="16"/>
        </w:rPr>
        <w:t> </w:t>
      </w:r>
      <w:r>
        <w:rPr>
          <w:w w:val="102"/>
          <w:sz w:val="16"/>
        </w:rPr>
        <w:t>(2005,</w:t>
      </w:r>
      <w:r>
        <w:rPr>
          <w:spacing w:val="9"/>
          <w:sz w:val="16"/>
        </w:rPr>
        <w:t> </w:t>
      </w:r>
      <w:r>
        <w:rPr>
          <w:w w:val="102"/>
          <w:sz w:val="16"/>
        </w:rPr>
        <w:t>2006),</w:t>
      </w:r>
      <w:r>
        <w:rPr>
          <w:spacing w:val="9"/>
          <w:sz w:val="16"/>
        </w:rPr>
        <w:t> </w:t>
      </w:r>
      <w:r>
        <w:rPr>
          <w:w w:val="146"/>
          <w:sz w:val="16"/>
        </w:rPr>
        <w:t>s</w:t>
      </w:r>
      <w:r>
        <w:rPr>
          <w:w w:val="105"/>
          <w:sz w:val="16"/>
        </w:rPr>
        <w:t>later</w:t>
      </w:r>
      <w:r>
        <w:rPr>
          <w:spacing w:val="9"/>
          <w:sz w:val="16"/>
        </w:rPr>
        <w:t> </w:t>
      </w:r>
      <w:r>
        <w:rPr>
          <w:w w:val="101"/>
          <w:sz w:val="16"/>
        </w:rPr>
        <w:t>(2006),</w:t>
      </w:r>
      <w:r>
        <w:rPr>
          <w:spacing w:val="9"/>
          <w:sz w:val="16"/>
        </w:rPr>
        <w:t> </w:t>
      </w:r>
      <w:r>
        <w:rPr>
          <w:w w:val="105"/>
          <w:sz w:val="16"/>
        </w:rPr>
        <w:t>Petras</w:t>
      </w:r>
      <w:r>
        <w:rPr>
          <w:spacing w:val="9"/>
          <w:sz w:val="16"/>
        </w:rPr>
        <w:t> </w:t>
      </w:r>
      <w:r>
        <w:rPr>
          <w:w w:val="102"/>
          <w:sz w:val="16"/>
        </w:rPr>
        <w:t>(1997,</w:t>
      </w:r>
      <w:r>
        <w:rPr>
          <w:spacing w:val="9"/>
          <w:sz w:val="16"/>
        </w:rPr>
        <w:t> </w:t>
      </w:r>
      <w:r>
        <w:rPr>
          <w:w w:val="102"/>
          <w:sz w:val="16"/>
        </w:rPr>
        <w:t>1999).</w:t>
      </w:r>
    </w:p>
    <w:p>
      <w:pPr>
        <w:spacing w:after="0" w:line="240" w:lineRule="auto"/>
        <w:jc w:val="left"/>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que logran movilizar desde mediados de los años ochenta, es posible percibir una estructura de relaciones compleja y amplia. aunque no haya sido posible evitar las contradicciones generadas por la imple- mentación en mayor o menor medida de las políticas neoliberales, se definirán y darán forma a un patrón de acción y lucha de clases cuya mejor comprensión todavía debe ser alcanzada.</w:t>
      </w:r>
    </w:p>
    <w:p>
      <w:pPr>
        <w:pStyle w:val="BodyText"/>
        <w:spacing w:before="5"/>
      </w:pPr>
    </w:p>
    <w:p>
      <w:pPr>
        <w:pStyle w:val="Heading6"/>
        <w:ind w:left="331" w:right="321"/>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spacing w:line="252" w:lineRule="auto" w:before="10"/>
        <w:ind w:left="727" w:right="327" w:hanging="397"/>
        <w:jc w:val="left"/>
        <w:rPr>
          <w:sz w:val="19"/>
        </w:rPr>
      </w:pPr>
      <w:r>
        <w:rPr>
          <w:w w:val="115"/>
          <w:sz w:val="19"/>
        </w:rPr>
        <w:t>agosin,</w:t>
      </w:r>
      <w:r>
        <w:rPr>
          <w:spacing w:val="-10"/>
          <w:w w:val="115"/>
          <w:sz w:val="19"/>
        </w:rPr>
        <w:t> </w:t>
      </w:r>
      <w:r>
        <w:rPr>
          <w:w w:val="115"/>
          <w:sz w:val="19"/>
        </w:rPr>
        <w:t>Manuel</w:t>
      </w:r>
      <w:r>
        <w:rPr>
          <w:spacing w:val="-10"/>
          <w:w w:val="115"/>
          <w:sz w:val="19"/>
        </w:rPr>
        <w:t> </w:t>
      </w:r>
      <w:r>
        <w:rPr>
          <w:w w:val="115"/>
          <w:sz w:val="19"/>
        </w:rPr>
        <w:t>r.;</w:t>
      </w:r>
      <w:r>
        <w:rPr>
          <w:spacing w:val="-10"/>
          <w:w w:val="115"/>
          <w:sz w:val="19"/>
        </w:rPr>
        <w:t> </w:t>
      </w:r>
      <w:r>
        <w:rPr>
          <w:w w:val="115"/>
          <w:sz w:val="19"/>
        </w:rPr>
        <w:t>Pastén,</w:t>
      </w:r>
      <w:r>
        <w:rPr>
          <w:spacing w:val="-10"/>
          <w:w w:val="115"/>
          <w:sz w:val="19"/>
        </w:rPr>
        <w:t> </w:t>
      </w:r>
      <w:r>
        <w:rPr>
          <w:w w:val="115"/>
          <w:sz w:val="19"/>
        </w:rPr>
        <w:t>Ernesto</w:t>
      </w:r>
      <w:r>
        <w:rPr>
          <w:spacing w:val="-10"/>
          <w:w w:val="115"/>
          <w:sz w:val="19"/>
        </w:rPr>
        <w:t> </w:t>
      </w:r>
      <w:r>
        <w:rPr>
          <w:w w:val="115"/>
          <w:sz w:val="19"/>
        </w:rPr>
        <w:t>2003</w:t>
      </w:r>
      <w:r>
        <w:rPr>
          <w:spacing w:val="-10"/>
          <w:w w:val="115"/>
          <w:sz w:val="19"/>
        </w:rPr>
        <w:t> </w:t>
      </w:r>
      <w:r>
        <w:rPr>
          <w:w w:val="115"/>
          <w:sz w:val="19"/>
        </w:rPr>
        <w:t>“Chile:</w:t>
      </w:r>
      <w:r>
        <w:rPr>
          <w:spacing w:val="-10"/>
          <w:w w:val="115"/>
          <w:sz w:val="19"/>
        </w:rPr>
        <w:t> </w:t>
      </w:r>
      <w:r>
        <w:rPr>
          <w:w w:val="115"/>
          <w:sz w:val="19"/>
        </w:rPr>
        <w:t>enter</w:t>
      </w:r>
      <w:r>
        <w:rPr>
          <w:spacing w:val="-10"/>
          <w:w w:val="115"/>
          <w:sz w:val="19"/>
        </w:rPr>
        <w:t> </w:t>
      </w:r>
      <w:r>
        <w:rPr>
          <w:w w:val="115"/>
          <w:sz w:val="19"/>
        </w:rPr>
        <w:t>the</w:t>
      </w:r>
      <w:r>
        <w:rPr>
          <w:spacing w:val="-10"/>
          <w:w w:val="115"/>
          <w:sz w:val="19"/>
        </w:rPr>
        <w:t> </w:t>
      </w:r>
      <w:r>
        <w:rPr>
          <w:w w:val="115"/>
          <w:sz w:val="19"/>
        </w:rPr>
        <w:t>pensions </w:t>
      </w:r>
      <w:r>
        <w:rPr>
          <w:w w:val="120"/>
          <w:sz w:val="19"/>
        </w:rPr>
        <w:t>funds” en oman, Charles </w:t>
      </w:r>
      <w:r>
        <w:rPr>
          <w:spacing w:val="-13"/>
          <w:w w:val="120"/>
          <w:sz w:val="19"/>
        </w:rPr>
        <w:t>P. </w:t>
      </w:r>
      <w:r>
        <w:rPr>
          <w:w w:val="120"/>
          <w:sz w:val="19"/>
        </w:rPr>
        <w:t>(ed.) </w:t>
      </w:r>
      <w:r>
        <w:rPr>
          <w:i/>
          <w:w w:val="120"/>
          <w:sz w:val="19"/>
        </w:rPr>
        <w:t>Corporate Governance in </w:t>
      </w:r>
      <w:r>
        <w:rPr>
          <w:i/>
          <w:w w:val="115"/>
          <w:sz w:val="19"/>
        </w:rPr>
        <w:t>development. The experiences of Brazil, Chile, India and South </w:t>
      </w:r>
      <w:r>
        <w:rPr>
          <w:i/>
          <w:w w:val="120"/>
          <w:sz w:val="19"/>
        </w:rPr>
        <w:t>Africa. </w:t>
      </w:r>
      <w:r>
        <w:rPr>
          <w:w w:val="120"/>
          <w:sz w:val="19"/>
        </w:rPr>
        <w:t>Center for international Enterprise (CiPE); oECd </w:t>
      </w:r>
      <w:r>
        <w:rPr>
          <w:w w:val="110"/>
          <w:sz w:val="19"/>
        </w:rPr>
        <w:t>development Centre, pp.</w:t>
      </w:r>
      <w:r>
        <w:rPr>
          <w:spacing w:val="24"/>
          <w:w w:val="110"/>
          <w:sz w:val="19"/>
        </w:rPr>
        <w:t> </w:t>
      </w:r>
      <w:r>
        <w:rPr>
          <w:w w:val="110"/>
          <w:sz w:val="19"/>
        </w:rPr>
        <w:t>77-104.</w:t>
      </w:r>
    </w:p>
    <w:p>
      <w:pPr>
        <w:spacing w:line="252" w:lineRule="auto" w:before="28"/>
        <w:ind w:left="727" w:right="531" w:hanging="397"/>
        <w:jc w:val="left"/>
        <w:rPr>
          <w:sz w:val="19"/>
        </w:rPr>
      </w:pPr>
      <w:r>
        <w:rPr>
          <w:w w:val="110"/>
          <w:sz w:val="19"/>
        </w:rPr>
        <w:t>amorim, Wilson a. C. de s/f </w:t>
      </w:r>
      <w:r>
        <w:rPr>
          <w:i/>
          <w:w w:val="110"/>
          <w:sz w:val="19"/>
        </w:rPr>
        <w:t>A evolução das organizações de apoio </w:t>
      </w:r>
      <w:r>
        <w:rPr>
          <w:i/>
          <w:w w:val="110"/>
          <w:sz w:val="19"/>
        </w:rPr>
        <w:t>às entidades sindicais brasileiras: um estudo sob a lente da aprendizagem organizacional. </w:t>
      </w:r>
      <w:r>
        <w:rPr>
          <w:w w:val="110"/>
          <w:sz w:val="19"/>
        </w:rPr>
        <w:t>tesis de doctorado (san Pablo: universidade  de  são Paulo).</w:t>
      </w:r>
    </w:p>
    <w:p>
      <w:pPr>
        <w:spacing w:line="252" w:lineRule="auto" w:before="28"/>
        <w:ind w:left="727" w:right="321" w:hanging="397"/>
        <w:jc w:val="left"/>
        <w:rPr>
          <w:sz w:val="19"/>
        </w:rPr>
      </w:pPr>
      <w:r>
        <w:rPr>
          <w:w w:val="110"/>
          <w:sz w:val="19"/>
        </w:rPr>
        <w:t>anderson, Perry 2015 </w:t>
      </w:r>
      <w:r>
        <w:rPr>
          <w:i/>
          <w:w w:val="110"/>
          <w:sz w:val="19"/>
        </w:rPr>
        <w:t>A política externa norte-americana e seus </w:t>
      </w:r>
      <w:r>
        <w:rPr>
          <w:i/>
          <w:w w:val="110"/>
          <w:sz w:val="19"/>
        </w:rPr>
        <w:t>teóricos  </w:t>
      </w:r>
      <w:r>
        <w:rPr>
          <w:w w:val="110"/>
          <w:sz w:val="19"/>
        </w:rPr>
        <w:t>(são  Paulo: boitempo).</w:t>
      </w:r>
    </w:p>
    <w:p>
      <w:pPr>
        <w:pStyle w:val="BodyText"/>
        <w:spacing w:line="252" w:lineRule="auto" w:before="28"/>
        <w:ind w:left="727" w:right="321" w:hanging="397"/>
      </w:pPr>
      <w:r>
        <w:rPr>
          <w:w w:val="134"/>
        </w:rPr>
        <w:t>b</w:t>
      </w:r>
      <w:r>
        <w:rPr>
          <w:w w:val="111"/>
        </w:rPr>
        <w:t>ass,</w:t>
      </w:r>
      <w:r>
        <w:rPr/>
        <w:t> </w:t>
      </w:r>
      <w:r>
        <w:rPr>
          <w:w w:val="111"/>
        </w:rPr>
        <w:t>George</w:t>
      </w:r>
      <w:r>
        <w:rPr/>
        <w:t> </w:t>
      </w:r>
      <w:r>
        <w:rPr>
          <w:w w:val="111"/>
        </w:rPr>
        <w:t>Nelson</w:t>
      </w:r>
      <w:r>
        <w:rPr/>
        <w:t> </w:t>
      </w:r>
      <w:r>
        <w:rPr>
          <w:w w:val="142"/>
        </w:rPr>
        <w:t>iii</w:t>
      </w:r>
      <w:r>
        <w:rPr/>
        <w:t> </w:t>
      </w:r>
      <w:r>
        <w:rPr>
          <w:w w:val="102"/>
        </w:rPr>
        <w:t>2012</w:t>
      </w:r>
      <w:r>
        <w:rPr/>
        <w:t> </w:t>
      </w:r>
      <w:r>
        <w:rPr>
          <w:w w:val="115"/>
        </w:rPr>
        <w:t>“</w:t>
      </w:r>
      <w:r>
        <w:rPr>
          <w:w w:val="149"/>
        </w:rPr>
        <w:t>o</w:t>
      </w:r>
      <w:r>
        <w:rPr>
          <w:w w:val="110"/>
        </w:rPr>
        <w:t>rganized</w:t>
      </w:r>
      <w:r>
        <w:rPr/>
        <w:t> </w:t>
      </w:r>
      <w:r>
        <w:rPr>
          <w:w w:val="243"/>
        </w:rPr>
        <w:t>l</w:t>
      </w:r>
      <w:r>
        <w:rPr>
          <w:w w:val="109"/>
        </w:rPr>
        <w:t>abor</w:t>
      </w:r>
      <w:r>
        <w:rPr/>
        <w:t> </w:t>
      </w:r>
      <w:r>
        <w:rPr>
          <w:w w:val="111"/>
        </w:rPr>
        <w:t>and</w:t>
      </w:r>
      <w:r>
        <w:rPr/>
        <w:t> </w:t>
      </w:r>
      <w:r>
        <w:rPr>
          <w:w w:val="140"/>
        </w:rPr>
        <w:t>u</w:t>
      </w:r>
      <w:r>
        <w:rPr>
          <w:w w:val="138"/>
        </w:rPr>
        <w:t>.</w:t>
      </w:r>
      <w:r>
        <w:rPr>
          <w:w w:val="149"/>
        </w:rPr>
        <w:t>s</w:t>
      </w:r>
      <w:r>
        <w:rPr>
          <w:w w:val="138"/>
        </w:rPr>
        <w:t>.</w:t>
      </w:r>
      <w:r>
        <w:rPr/>
        <w:t> </w:t>
      </w:r>
      <w:r>
        <w:rPr>
          <w:w w:val="111"/>
        </w:rPr>
        <w:t>Foreign </w:t>
      </w:r>
      <w:r>
        <w:rPr>
          <w:w w:val="115"/>
        </w:rPr>
        <w:t>Policy: the solidarity Center in Historical Context”, en </w:t>
      </w:r>
      <w:r>
        <w:rPr>
          <w:i/>
          <w:w w:val="115"/>
        </w:rPr>
        <w:t>FIU. </w:t>
      </w:r>
      <w:r>
        <w:rPr>
          <w:i/>
          <w:w w:val="115"/>
        </w:rPr>
        <w:t>Electronic Theses and Dissertations. </w:t>
      </w:r>
      <w:r>
        <w:rPr>
          <w:w w:val="115"/>
        </w:rPr>
        <w:t>Paper 752, en &lt;http:// digitalcommons.fiu.edu/etd/752&gt;.</w:t>
      </w:r>
    </w:p>
    <w:p>
      <w:pPr>
        <w:spacing w:line="252" w:lineRule="auto" w:before="28"/>
        <w:ind w:left="727" w:right="177" w:hanging="397"/>
        <w:jc w:val="left"/>
        <w:rPr>
          <w:sz w:val="19"/>
        </w:rPr>
      </w:pPr>
      <w:r>
        <w:rPr>
          <w:w w:val="134"/>
          <w:sz w:val="19"/>
        </w:rPr>
        <w:t>b</w:t>
      </w:r>
      <w:r>
        <w:rPr>
          <w:w w:val="111"/>
          <w:sz w:val="19"/>
        </w:rPr>
        <w:t>ernal,</w:t>
      </w:r>
      <w:r>
        <w:rPr>
          <w:spacing w:val="12"/>
          <w:sz w:val="19"/>
        </w:rPr>
        <w:t> </w:t>
      </w:r>
      <w:r>
        <w:rPr>
          <w:w w:val="139"/>
          <w:sz w:val="19"/>
        </w:rPr>
        <w:t>a</w:t>
      </w:r>
      <w:r>
        <w:rPr>
          <w:w w:val="107"/>
          <w:sz w:val="19"/>
        </w:rPr>
        <w:t>ndrés</w:t>
      </w:r>
      <w:r>
        <w:rPr>
          <w:spacing w:val="12"/>
          <w:sz w:val="19"/>
        </w:rPr>
        <w:t> </w:t>
      </w:r>
      <w:r>
        <w:rPr>
          <w:w w:val="102"/>
          <w:sz w:val="19"/>
        </w:rPr>
        <w:t>2009</w:t>
      </w:r>
      <w:r>
        <w:rPr>
          <w:spacing w:val="12"/>
          <w:sz w:val="19"/>
        </w:rPr>
        <w:t> </w:t>
      </w:r>
      <w:r>
        <w:rPr>
          <w:w w:val="115"/>
          <w:sz w:val="19"/>
        </w:rPr>
        <w:t>“</w:t>
      </w:r>
      <w:r>
        <w:rPr>
          <w:w w:val="139"/>
          <w:sz w:val="19"/>
        </w:rPr>
        <w:t>a</w:t>
      </w:r>
      <w:r>
        <w:rPr>
          <w:w w:val="109"/>
          <w:sz w:val="19"/>
        </w:rPr>
        <w:t>pplying</w:t>
      </w:r>
      <w:r>
        <w:rPr>
          <w:spacing w:val="12"/>
          <w:sz w:val="19"/>
        </w:rPr>
        <w:t> </w:t>
      </w:r>
      <w:r>
        <w:rPr>
          <w:w w:val="111"/>
          <w:sz w:val="19"/>
        </w:rPr>
        <w:t>Modern</w:t>
      </w:r>
      <w:r>
        <w:rPr>
          <w:spacing w:val="12"/>
          <w:sz w:val="19"/>
        </w:rPr>
        <w:t> </w:t>
      </w:r>
      <w:r>
        <w:rPr>
          <w:w w:val="110"/>
          <w:sz w:val="19"/>
        </w:rPr>
        <w:t>Practices</w:t>
      </w:r>
      <w:r>
        <w:rPr>
          <w:spacing w:val="12"/>
          <w:sz w:val="19"/>
        </w:rPr>
        <w:t> </w:t>
      </w:r>
      <w:r>
        <w:rPr>
          <w:w w:val="113"/>
          <w:sz w:val="19"/>
        </w:rPr>
        <w:t>in</w:t>
      </w:r>
      <w:r>
        <w:rPr>
          <w:spacing w:val="12"/>
          <w:sz w:val="19"/>
        </w:rPr>
        <w:t> </w:t>
      </w:r>
      <w:r>
        <w:rPr>
          <w:w w:val="108"/>
          <w:sz w:val="19"/>
        </w:rPr>
        <w:t>the</w:t>
      </w:r>
      <w:r>
        <w:rPr>
          <w:spacing w:val="12"/>
          <w:sz w:val="19"/>
        </w:rPr>
        <w:t> </w:t>
      </w:r>
      <w:r>
        <w:rPr>
          <w:w w:val="243"/>
          <w:sz w:val="19"/>
        </w:rPr>
        <w:t>l</w:t>
      </w:r>
      <w:r>
        <w:rPr>
          <w:w w:val="111"/>
          <w:sz w:val="19"/>
        </w:rPr>
        <w:t>atin </w:t>
      </w:r>
      <w:r>
        <w:rPr>
          <w:w w:val="110"/>
          <w:sz w:val="19"/>
        </w:rPr>
        <w:t>american business Community”, en usaid, </w:t>
      </w:r>
      <w:r>
        <w:rPr>
          <w:i/>
          <w:w w:val="110"/>
          <w:sz w:val="19"/>
        </w:rPr>
        <w:t>Corporate   </w:t>
      </w:r>
      <w:r>
        <w:rPr>
          <w:i/>
          <w:w w:val="110"/>
          <w:sz w:val="19"/>
        </w:rPr>
        <w:t>Governance</w:t>
      </w:r>
      <w:r>
        <w:rPr>
          <w:w w:val="110"/>
          <w:sz w:val="19"/>
        </w:rPr>
        <w:t>. </w:t>
      </w:r>
      <w:r>
        <w:rPr>
          <w:i/>
          <w:w w:val="110"/>
          <w:sz w:val="19"/>
        </w:rPr>
        <w:t>The Intersection of Public and Private Reform</w:t>
      </w:r>
      <w:r>
        <w:rPr>
          <w:w w:val="110"/>
          <w:sz w:val="19"/>
        </w:rPr>
        <w:t>, CiPE, </w:t>
      </w:r>
      <w:r>
        <w:rPr>
          <w:w w:val="105"/>
          <w:sz w:val="19"/>
        </w:rPr>
        <w:t>pp.</w:t>
      </w:r>
      <w:r>
        <w:rPr>
          <w:spacing w:val="-13"/>
          <w:w w:val="105"/>
          <w:sz w:val="19"/>
        </w:rPr>
        <w:t> </w:t>
      </w:r>
      <w:r>
        <w:rPr>
          <w:w w:val="105"/>
          <w:sz w:val="19"/>
        </w:rPr>
        <w:t>50-56,</w:t>
      </w:r>
      <w:r>
        <w:rPr>
          <w:spacing w:val="-13"/>
          <w:w w:val="105"/>
          <w:sz w:val="19"/>
        </w:rPr>
        <w:t> </w:t>
      </w:r>
      <w:r>
        <w:rPr>
          <w:w w:val="105"/>
          <w:sz w:val="19"/>
        </w:rPr>
        <w:t>en</w:t>
      </w:r>
      <w:r>
        <w:rPr>
          <w:spacing w:val="-13"/>
          <w:w w:val="105"/>
          <w:sz w:val="19"/>
        </w:rPr>
        <w:t> </w:t>
      </w:r>
      <w:hyperlink r:id="rId335">
        <w:r>
          <w:rPr>
            <w:w w:val="105"/>
            <w:sz w:val="19"/>
          </w:rPr>
          <w:t>&lt;http://www.cipe.org/sites/default/files/publication-</w:t>
        </w:r>
      </w:hyperlink>
      <w:r>
        <w:rPr>
          <w:w w:val="105"/>
          <w:sz w:val="19"/>
        </w:rPr>
        <w:t> </w:t>
      </w:r>
      <w:r>
        <w:rPr>
          <w:w w:val="110"/>
          <w:sz w:val="19"/>
        </w:rPr>
        <w:t>docs/CG_usaid.pdf &gt; según entrada hecha el día 30 de agosto    de</w:t>
      </w:r>
      <w:r>
        <w:rPr>
          <w:spacing w:val="-19"/>
          <w:w w:val="110"/>
          <w:sz w:val="19"/>
        </w:rPr>
        <w:t> </w:t>
      </w:r>
      <w:r>
        <w:rPr>
          <w:w w:val="110"/>
          <w:sz w:val="19"/>
        </w:rPr>
        <w:t>2010.</w:t>
      </w:r>
    </w:p>
    <w:p>
      <w:pPr>
        <w:pStyle w:val="BodyText"/>
        <w:spacing w:line="252" w:lineRule="auto" w:before="28"/>
        <w:ind w:left="727" w:right="321" w:hanging="397"/>
      </w:pPr>
      <w:r>
        <w:rPr>
          <w:w w:val="110"/>
        </w:rPr>
        <w:t>borón, atilio a. 2006 “Crisis de las democracias y movimientos </w:t>
      </w:r>
      <w:r>
        <w:rPr>
          <w:w w:val="109"/>
        </w:rPr>
        <w:t>sociales</w:t>
      </w:r>
      <w:r>
        <w:rPr/>
        <w:t> </w:t>
      </w:r>
      <w:r>
        <w:rPr>
          <w:w w:val="108"/>
        </w:rPr>
        <w:t>en</w:t>
      </w:r>
      <w:r>
        <w:rPr/>
        <w:t> </w:t>
      </w:r>
      <w:r>
        <w:rPr>
          <w:w w:val="139"/>
        </w:rPr>
        <w:t>a</w:t>
      </w:r>
      <w:r>
        <w:rPr>
          <w:w w:val="111"/>
        </w:rPr>
        <w:t>mérica</w:t>
      </w:r>
      <w:r>
        <w:rPr/>
        <w:t> </w:t>
      </w:r>
      <w:r>
        <w:rPr>
          <w:w w:val="243"/>
        </w:rPr>
        <w:t>l</w:t>
      </w:r>
      <w:r>
        <w:rPr>
          <w:w w:val="111"/>
        </w:rPr>
        <w:t>atina:</w:t>
      </w:r>
      <w:r>
        <w:rPr/>
        <w:t> </w:t>
      </w:r>
      <w:r>
        <w:rPr>
          <w:w w:val="109"/>
        </w:rPr>
        <w:t>notas</w:t>
      </w:r>
      <w:r>
        <w:rPr/>
        <w:t> </w:t>
      </w:r>
      <w:r>
        <w:rPr>
          <w:w w:val="109"/>
        </w:rPr>
        <w:t>para</w:t>
      </w:r>
      <w:r>
        <w:rPr/>
        <w:t> </w:t>
      </w:r>
      <w:r>
        <w:rPr>
          <w:w w:val="112"/>
        </w:rPr>
        <w:t>una</w:t>
      </w:r>
      <w:r>
        <w:rPr/>
        <w:t> </w:t>
      </w:r>
      <w:r>
        <w:rPr>
          <w:w w:val="112"/>
        </w:rPr>
        <w:t>discusión”,</w:t>
      </w:r>
      <w:r>
        <w:rPr/>
        <w:t> </w:t>
      </w:r>
      <w:r>
        <w:rPr>
          <w:w w:val="108"/>
        </w:rPr>
        <w:t>en </w:t>
      </w:r>
      <w:r>
        <w:rPr>
          <w:i/>
          <w:w w:val="110"/>
        </w:rPr>
        <w:t>observatorio Social de América Latina</w:t>
      </w:r>
      <w:r>
        <w:rPr>
          <w:w w:val="110"/>
        </w:rPr>
        <w:t>, año 7, Nº 20, mayo- agosto.</w:t>
      </w:r>
    </w:p>
    <w:p>
      <w:pPr>
        <w:spacing w:line="252" w:lineRule="auto" w:before="28"/>
        <w:ind w:left="727" w:right="388" w:hanging="397"/>
        <w:jc w:val="left"/>
        <w:rPr>
          <w:sz w:val="19"/>
        </w:rPr>
      </w:pPr>
      <w:r>
        <w:rPr>
          <w:w w:val="115"/>
          <w:sz w:val="19"/>
        </w:rPr>
        <w:t>bohn, John 2001 “CiPE at 15 years: lessons learned”, en Geurts, Geoffrey; rogers, steven; sullivan, John d. (orgs.) </w:t>
      </w:r>
      <w:r>
        <w:rPr>
          <w:i/>
          <w:w w:val="115"/>
          <w:sz w:val="19"/>
        </w:rPr>
        <w:t>Impact and </w:t>
      </w:r>
      <w:r>
        <w:rPr>
          <w:i/>
          <w:w w:val="115"/>
          <w:sz w:val="19"/>
        </w:rPr>
        <w:t>results</w:t>
      </w:r>
      <w:r>
        <w:rPr>
          <w:i/>
          <w:spacing w:val="-23"/>
          <w:w w:val="115"/>
          <w:sz w:val="19"/>
        </w:rPr>
        <w:t> </w:t>
      </w:r>
      <w:r>
        <w:rPr>
          <w:i/>
          <w:w w:val="115"/>
          <w:sz w:val="19"/>
        </w:rPr>
        <w:t>of</w:t>
      </w:r>
      <w:r>
        <w:rPr>
          <w:i/>
          <w:spacing w:val="-23"/>
          <w:w w:val="115"/>
          <w:sz w:val="19"/>
        </w:rPr>
        <w:t> </w:t>
      </w:r>
      <w:r>
        <w:rPr>
          <w:i/>
          <w:spacing w:val="-3"/>
          <w:w w:val="115"/>
          <w:sz w:val="19"/>
        </w:rPr>
        <w:t>CIPE’s</w:t>
      </w:r>
      <w:r>
        <w:rPr>
          <w:i/>
          <w:spacing w:val="-23"/>
          <w:w w:val="115"/>
          <w:sz w:val="19"/>
        </w:rPr>
        <w:t> </w:t>
      </w:r>
      <w:r>
        <w:rPr>
          <w:i/>
          <w:w w:val="115"/>
          <w:sz w:val="19"/>
        </w:rPr>
        <w:t>global</w:t>
      </w:r>
      <w:r>
        <w:rPr>
          <w:i/>
          <w:spacing w:val="-23"/>
          <w:w w:val="115"/>
          <w:sz w:val="19"/>
        </w:rPr>
        <w:t> </w:t>
      </w:r>
      <w:r>
        <w:rPr>
          <w:i/>
          <w:w w:val="115"/>
          <w:sz w:val="19"/>
        </w:rPr>
        <w:t>programs,</w:t>
      </w:r>
      <w:r>
        <w:rPr>
          <w:i/>
          <w:spacing w:val="-23"/>
          <w:w w:val="115"/>
          <w:sz w:val="19"/>
        </w:rPr>
        <w:t> </w:t>
      </w:r>
      <w:r>
        <w:rPr>
          <w:i/>
          <w:w w:val="115"/>
          <w:sz w:val="19"/>
        </w:rPr>
        <w:t>1984-1999</w:t>
      </w:r>
      <w:r>
        <w:rPr>
          <w:i/>
          <w:spacing w:val="-23"/>
          <w:w w:val="115"/>
          <w:sz w:val="19"/>
        </w:rPr>
        <w:t> </w:t>
      </w:r>
      <w:r>
        <w:rPr>
          <w:w w:val="115"/>
          <w:sz w:val="19"/>
        </w:rPr>
        <w:t>(Washington,</w:t>
      </w:r>
      <w:r>
        <w:rPr>
          <w:spacing w:val="-23"/>
          <w:w w:val="115"/>
          <w:sz w:val="19"/>
        </w:rPr>
        <w:t> </w:t>
      </w:r>
      <w:r>
        <w:rPr>
          <w:w w:val="115"/>
          <w:sz w:val="19"/>
        </w:rPr>
        <w:t>dC: CiPE), pp.</w:t>
      </w:r>
      <w:r>
        <w:rPr>
          <w:spacing w:val="4"/>
          <w:w w:val="115"/>
          <w:sz w:val="19"/>
        </w:rPr>
        <w:t> </w:t>
      </w:r>
      <w:r>
        <w:rPr>
          <w:w w:val="115"/>
          <w:sz w:val="19"/>
        </w:rPr>
        <w:t>9-19.</w:t>
      </w:r>
    </w:p>
    <w:p>
      <w:pPr>
        <w:spacing w:line="252" w:lineRule="auto" w:before="28"/>
        <w:ind w:left="727" w:right="202" w:hanging="397"/>
        <w:jc w:val="left"/>
        <w:rPr>
          <w:sz w:val="19"/>
        </w:rPr>
      </w:pPr>
      <w:r>
        <w:rPr>
          <w:w w:val="110"/>
          <w:sz w:val="19"/>
        </w:rPr>
        <w:t>braun,  Miguel;  Cicioni,  antonio;  ducote,  Nicolas  </w:t>
      </w:r>
      <w:r>
        <w:rPr>
          <w:w w:val="120"/>
          <w:sz w:val="19"/>
        </w:rPr>
        <w:t>J.  </w:t>
      </w:r>
      <w:r>
        <w:rPr>
          <w:w w:val="110"/>
          <w:sz w:val="19"/>
        </w:rPr>
        <w:t>2004  “think tanks in developing countries: lessons from argentina”, en  stone, diane y deham, andrew (orgs.), </w:t>
      </w:r>
      <w:r>
        <w:rPr>
          <w:i/>
          <w:w w:val="110"/>
          <w:sz w:val="19"/>
        </w:rPr>
        <w:t>Think tank traditions</w:t>
      </w:r>
      <w:r>
        <w:rPr>
          <w:w w:val="110"/>
          <w:sz w:val="19"/>
        </w:rPr>
        <w:t>: </w:t>
      </w:r>
      <w:r>
        <w:rPr>
          <w:i/>
          <w:w w:val="110"/>
          <w:sz w:val="19"/>
        </w:rPr>
        <w:t>policy research and the politics of ideas </w:t>
      </w:r>
      <w:r>
        <w:rPr>
          <w:w w:val="110"/>
          <w:sz w:val="19"/>
        </w:rPr>
        <w:t>(Manchester: Manchester university</w:t>
      </w:r>
      <w:r>
        <w:rPr>
          <w:spacing w:val="10"/>
          <w:w w:val="110"/>
          <w:sz w:val="19"/>
        </w:rPr>
        <w:t> </w:t>
      </w:r>
      <w:r>
        <w:rPr>
          <w:w w:val="110"/>
          <w:sz w:val="19"/>
        </w:rPr>
        <w:t>Press).</w:t>
      </w:r>
    </w:p>
    <w:p>
      <w:pPr>
        <w:spacing w:after="0" w:line="252" w:lineRule="auto"/>
        <w:jc w:val="left"/>
        <w:rPr>
          <w:sz w:val="19"/>
        </w:rPr>
        <w:sectPr>
          <w:footerReference w:type="default" r:id="rId333"/>
          <w:footerReference w:type="even" r:id="rId334"/>
          <w:pgSz w:w="8790" w:h="12760"/>
          <w:pgMar w:footer="725" w:header="697" w:top="880" w:bottom="920" w:left="1200" w:right="900"/>
        </w:sectPr>
      </w:pPr>
    </w:p>
    <w:p>
      <w:pPr>
        <w:pStyle w:val="BodyText"/>
        <w:spacing w:before="9"/>
        <w:rPr>
          <w:sz w:val="28"/>
        </w:rPr>
      </w:pPr>
    </w:p>
    <w:p>
      <w:pPr>
        <w:pStyle w:val="BodyText"/>
        <w:spacing w:line="259" w:lineRule="auto" w:before="73"/>
        <w:ind w:left="497" w:right="380" w:hanging="397"/>
        <w:jc w:val="both"/>
      </w:pPr>
      <w:r>
        <w:rPr>
          <w:w w:val="115"/>
        </w:rPr>
        <w:t>Callari,</w:t>
      </w:r>
      <w:r>
        <w:rPr>
          <w:spacing w:val="-14"/>
          <w:w w:val="115"/>
        </w:rPr>
        <w:t> </w:t>
      </w:r>
      <w:r>
        <w:rPr>
          <w:w w:val="115"/>
        </w:rPr>
        <w:t>antonio</w:t>
      </w:r>
      <w:r>
        <w:rPr>
          <w:spacing w:val="-14"/>
          <w:w w:val="115"/>
        </w:rPr>
        <w:t> </w:t>
      </w:r>
      <w:r>
        <w:rPr>
          <w:w w:val="115"/>
        </w:rPr>
        <w:t>2008</w:t>
      </w:r>
      <w:r>
        <w:rPr>
          <w:spacing w:val="-14"/>
          <w:w w:val="115"/>
        </w:rPr>
        <w:t> </w:t>
      </w:r>
      <w:r>
        <w:rPr>
          <w:w w:val="115"/>
        </w:rPr>
        <w:t>“imperialism</w:t>
      </w:r>
      <w:r>
        <w:rPr>
          <w:spacing w:val="-14"/>
          <w:w w:val="115"/>
        </w:rPr>
        <w:t> </w:t>
      </w:r>
      <w:r>
        <w:rPr>
          <w:w w:val="115"/>
        </w:rPr>
        <w:t>and</w:t>
      </w:r>
      <w:r>
        <w:rPr>
          <w:spacing w:val="-14"/>
          <w:w w:val="115"/>
        </w:rPr>
        <w:t> </w:t>
      </w:r>
      <w:r>
        <w:rPr>
          <w:w w:val="115"/>
        </w:rPr>
        <w:t>the</w:t>
      </w:r>
      <w:r>
        <w:rPr>
          <w:spacing w:val="-14"/>
          <w:w w:val="115"/>
        </w:rPr>
        <w:t> </w:t>
      </w:r>
      <w:r>
        <w:rPr>
          <w:w w:val="115"/>
        </w:rPr>
        <w:t>rhetoric</w:t>
      </w:r>
      <w:r>
        <w:rPr>
          <w:spacing w:val="-14"/>
          <w:w w:val="115"/>
        </w:rPr>
        <w:t> </w:t>
      </w:r>
      <w:r>
        <w:rPr>
          <w:w w:val="115"/>
        </w:rPr>
        <w:t>of</w:t>
      </w:r>
      <w:r>
        <w:rPr>
          <w:spacing w:val="-14"/>
          <w:w w:val="115"/>
        </w:rPr>
        <w:t> </w:t>
      </w:r>
      <w:r>
        <w:rPr>
          <w:w w:val="115"/>
        </w:rPr>
        <w:t>democracy</w:t>
      </w:r>
      <w:r>
        <w:rPr>
          <w:spacing w:val="-14"/>
          <w:w w:val="115"/>
        </w:rPr>
        <w:t> </w:t>
      </w:r>
      <w:r>
        <w:rPr>
          <w:w w:val="115"/>
        </w:rPr>
        <w:t>in the</w:t>
      </w:r>
      <w:r>
        <w:rPr>
          <w:spacing w:val="-6"/>
          <w:w w:val="115"/>
        </w:rPr>
        <w:t> </w:t>
      </w:r>
      <w:r>
        <w:rPr>
          <w:w w:val="115"/>
        </w:rPr>
        <w:t>age</w:t>
      </w:r>
      <w:r>
        <w:rPr>
          <w:spacing w:val="-6"/>
          <w:w w:val="115"/>
        </w:rPr>
        <w:t> </w:t>
      </w:r>
      <w:r>
        <w:rPr>
          <w:w w:val="115"/>
        </w:rPr>
        <w:t>of</w:t>
      </w:r>
      <w:r>
        <w:rPr>
          <w:spacing w:val="-6"/>
          <w:w w:val="115"/>
        </w:rPr>
        <w:t> </w:t>
      </w:r>
      <w:r>
        <w:rPr>
          <w:spacing w:val="-3"/>
          <w:w w:val="115"/>
        </w:rPr>
        <w:t>Wall</w:t>
      </w:r>
      <w:r>
        <w:rPr>
          <w:spacing w:val="-6"/>
          <w:w w:val="115"/>
        </w:rPr>
        <w:t> </w:t>
      </w:r>
      <w:r>
        <w:rPr>
          <w:w w:val="115"/>
        </w:rPr>
        <w:t>street”,</w:t>
      </w:r>
      <w:r>
        <w:rPr>
          <w:spacing w:val="-6"/>
          <w:w w:val="115"/>
        </w:rPr>
        <w:t> </w:t>
      </w:r>
      <w:r>
        <w:rPr>
          <w:w w:val="115"/>
        </w:rPr>
        <w:t>en</w:t>
      </w:r>
      <w:r>
        <w:rPr>
          <w:spacing w:val="-6"/>
          <w:w w:val="115"/>
        </w:rPr>
        <w:t> </w:t>
      </w:r>
      <w:r>
        <w:rPr>
          <w:i/>
          <w:w w:val="115"/>
        </w:rPr>
        <w:t>Rethinking</w:t>
      </w:r>
      <w:r>
        <w:rPr>
          <w:i/>
          <w:spacing w:val="-6"/>
          <w:w w:val="115"/>
        </w:rPr>
        <w:t> </w:t>
      </w:r>
      <w:r>
        <w:rPr>
          <w:i/>
          <w:w w:val="115"/>
        </w:rPr>
        <w:t>Marxism</w:t>
      </w:r>
      <w:r>
        <w:rPr>
          <w:w w:val="115"/>
        </w:rPr>
        <w:t>,</w:t>
      </w:r>
      <w:r>
        <w:rPr>
          <w:spacing w:val="-6"/>
          <w:w w:val="115"/>
        </w:rPr>
        <w:t> </w:t>
      </w:r>
      <w:r>
        <w:rPr>
          <w:spacing w:val="-4"/>
          <w:w w:val="115"/>
        </w:rPr>
        <w:t>Vol.</w:t>
      </w:r>
      <w:r>
        <w:rPr>
          <w:spacing w:val="-6"/>
          <w:w w:val="115"/>
        </w:rPr>
        <w:t> </w:t>
      </w:r>
      <w:r>
        <w:rPr>
          <w:w w:val="115"/>
        </w:rPr>
        <w:t>20,</w:t>
      </w:r>
      <w:r>
        <w:rPr>
          <w:spacing w:val="-6"/>
          <w:w w:val="115"/>
        </w:rPr>
        <w:t> </w:t>
      </w:r>
      <w:r>
        <w:rPr>
          <w:w w:val="115"/>
        </w:rPr>
        <w:t>Nº</w:t>
      </w:r>
      <w:r>
        <w:rPr>
          <w:spacing w:val="-6"/>
          <w:w w:val="115"/>
        </w:rPr>
        <w:t> </w:t>
      </w:r>
      <w:r>
        <w:rPr>
          <w:w w:val="115"/>
        </w:rPr>
        <w:t>4,</w:t>
      </w:r>
      <w:r>
        <w:rPr>
          <w:spacing w:val="-6"/>
          <w:w w:val="115"/>
        </w:rPr>
        <w:t> </w:t>
      </w:r>
      <w:r>
        <w:rPr>
          <w:w w:val="115"/>
        </w:rPr>
        <w:t>pp. 700-709.</w:t>
      </w:r>
    </w:p>
    <w:p>
      <w:pPr>
        <w:pStyle w:val="BodyText"/>
        <w:spacing w:line="259" w:lineRule="auto" w:before="27"/>
        <w:ind w:left="497" w:right="194" w:hanging="397"/>
      </w:pPr>
      <w:r>
        <w:rPr>
          <w:w w:val="115"/>
        </w:rPr>
        <w:t>Carothers, thomas 2000 “taking stock at us democracy assistance”, en Cox, Michael; ikenbarry, G. John; inoguchi, takashi </w:t>
      </w:r>
      <w:r>
        <w:rPr>
          <w:i/>
          <w:w w:val="115"/>
        </w:rPr>
        <w:t>America </w:t>
      </w:r>
      <w:r>
        <w:rPr>
          <w:i/>
          <w:w w:val="115"/>
        </w:rPr>
        <w:t>Democracy Promotion </w:t>
      </w:r>
      <w:r>
        <w:rPr>
          <w:w w:val="115"/>
        </w:rPr>
        <w:t>(oxford: oxford university Press).</w:t>
      </w:r>
    </w:p>
    <w:p>
      <w:pPr>
        <w:spacing w:line="259" w:lineRule="auto" w:before="27"/>
        <w:ind w:left="497" w:right="352" w:hanging="397"/>
        <w:jc w:val="left"/>
        <w:rPr>
          <w:sz w:val="19"/>
        </w:rPr>
      </w:pPr>
      <w:r>
        <w:rPr>
          <w:w w:val="110"/>
          <w:sz w:val="19"/>
        </w:rPr>
        <w:t>Chomsky, Noam 2007 </w:t>
      </w:r>
      <w:r>
        <w:rPr>
          <w:i/>
          <w:w w:val="110"/>
          <w:sz w:val="19"/>
        </w:rPr>
        <w:t>Estados Fallidos: el abuso de poder y el ataque a </w:t>
      </w:r>
      <w:r>
        <w:rPr>
          <w:i/>
          <w:w w:val="110"/>
          <w:sz w:val="19"/>
        </w:rPr>
        <w:t>la democracia </w:t>
      </w:r>
      <w:r>
        <w:rPr>
          <w:w w:val="110"/>
          <w:sz w:val="19"/>
        </w:rPr>
        <w:t>(buenos aires:  Zeta).</w:t>
      </w:r>
    </w:p>
    <w:p>
      <w:pPr>
        <w:spacing w:line="259" w:lineRule="auto" w:before="27"/>
        <w:ind w:left="497" w:right="1264" w:hanging="397"/>
        <w:jc w:val="left"/>
        <w:rPr>
          <w:sz w:val="19"/>
        </w:rPr>
      </w:pPr>
      <w:r>
        <w:rPr>
          <w:i/>
          <w:w w:val="110"/>
          <w:sz w:val="19"/>
        </w:rPr>
        <w:t>CIPE Annual Report 2002 a 2013</w:t>
      </w:r>
      <w:r>
        <w:rPr>
          <w:w w:val="110"/>
          <w:sz w:val="19"/>
        </w:rPr>
        <w:t>, en </w:t>
      </w:r>
      <w:hyperlink r:id="rId336">
        <w:r>
          <w:rPr>
            <w:w w:val="110"/>
            <w:sz w:val="19"/>
          </w:rPr>
          <w:t>&lt;http://www.cipe.org/</w:t>
        </w:r>
      </w:hyperlink>
      <w:r>
        <w:rPr>
          <w:w w:val="110"/>
          <w:sz w:val="19"/>
        </w:rPr>
        <w:t> publications/overseas-reports&gt;.</w:t>
      </w:r>
    </w:p>
    <w:p>
      <w:pPr>
        <w:spacing w:line="259" w:lineRule="auto" w:before="27"/>
        <w:ind w:left="497" w:right="194" w:hanging="397"/>
        <w:jc w:val="left"/>
        <w:rPr>
          <w:sz w:val="19"/>
        </w:rPr>
      </w:pPr>
      <w:r>
        <w:rPr>
          <w:w w:val="110"/>
          <w:sz w:val="19"/>
        </w:rPr>
        <w:t>CiPE 2002a </w:t>
      </w:r>
      <w:r>
        <w:rPr>
          <w:i/>
          <w:w w:val="110"/>
          <w:sz w:val="19"/>
        </w:rPr>
        <w:t>Instituting corporate governance in developing, emerging </w:t>
      </w:r>
      <w:r>
        <w:rPr>
          <w:i/>
          <w:w w:val="115"/>
          <w:sz w:val="19"/>
        </w:rPr>
        <w:t>and transitional economies. A Handbook</w:t>
      </w:r>
      <w:r>
        <w:rPr>
          <w:w w:val="115"/>
          <w:sz w:val="19"/>
        </w:rPr>
        <w:t>, CiPE.</w:t>
      </w:r>
    </w:p>
    <w:p>
      <w:pPr>
        <w:spacing w:line="259" w:lineRule="auto" w:before="27"/>
        <w:ind w:left="497" w:right="485" w:hanging="397"/>
        <w:jc w:val="left"/>
        <w:rPr>
          <w:sz w:val="19"/>
        </w:rPr>
      </w:pPr>
      <w:r>
        <w:rPr>
          <w:w w:val="110"/>
          <w:sz w:val="19"/>
        </w:rPr>
        <w:t>CiPE 2005 </w:t>
      </w:r>
      <w:r>
        <w:rPr>
          <w:i/>
          <w:w w:val="110"/>
          <w:sz w:val="19"/>
        </w:rPr>
        <w:t>Corporate Governance in Latin América</w:t>
      </w:r>
      <w:r>
        <w:rPr>
          <w:w w:val="110"/>
          <w:sz w:val="19"/>
        </w:rPr>
        <w:t>, en </w:t>
      </w:r>
      <w:hyperlink r:id="rId139">
        <w:r>
          <w:rPr>
            <w:w w:val="110"/>
            <w:sz w:val="19"/>
          </w:rPr>
          <w:t>&lt;http://www</w:t>
        </w:r>
      </w:hyperlink>
      <w:r>
        <w:rPr>
          <w:w w:val="110"/>
          <w:sz w:val="19"/>
        </w:rPr>
        <w:t>. </w:t>
      </w:r>
      <w:r>
        <w:rPr>
          <w:w w:val="105"/>
          <w:sz w:val="19"/>
        </w:rPr>
        <w:t>cipe.org/sites/default/files/publication-docs/CGbrochure1.pdf&gt;.</w:t>
      </w:r>
    </w:p>
    <w:p>
      <w:pPr>
        <w:spacing w:line="259" w:lineRule="auto" w:before="27"/>
        <w:ind w:left="497" w:right="352" w:hanging="397"/>
        <w:jc w:val="left"/>
        <w:rPr>
          <w:sz w:val="19"/>
        </w:rPr>
      </w:pPr>
      <w:r>
        <w:rPr>
          <w:w w:val="105"/>
          <w:sz w:val="19"/>
        </w:rPr>
        <w:t>CiPE  </w:t>
      </w:r>
      <w:r>
        <w:rPr>
          <w:i/>
          <w:w w:val="105"/>
          <w:sz w:val="19"/>
        </w:rPr>
        <w:t>Guía  para  la  agenda  nacional  empresarial:  la  voz  de  las </w:t>
      </w:r>
      <w:r>
        <w:rPr>
          <w:i/>
          <w:w w:val="105"/>
          <w:sz w:val="19"/>
        </w:rPr>
        <w:t>empresas</w:t>
      </w:r>
      <w:r>
        <w:rPr>
          <w:w w:val="105"/>
          <w:sz w:val="19"/>
        </w:rPr>
        <w:t>, en </w:t>
      </w:r>
      <w:hyperlink r:id="rId335">
        <w:r>
          <w:rPr>
            <w:w w:val="105"/>
            <w:sz w:val="19"/>
          </w:rPr>
          <w:t>&lt;http://www.cipe.org/sites/default/files/publication-</w:t>
        </w:r>
      </w:hyperlink>
      <w:r>
        <w:rPr>
          <w:w w:val="105"/>
          <w:sz w:val="19"/>
        </w:rPr>
        <w:t> docs/spanishnba.pdf&gt;.</w:t>
      </w:r>
    </w:p>
    <w:p>
      <w:pPr>
        <w:spacing w:line="259" w:lineRule="auto" w:before="27"/>
        <w:ind w:left="497" w:right="946" w:hanging="397"/>
        <w:jc w:val="left"/>
        <w:rPr>
          <w:sz w:val="19"/>
        </w:rPr>
      </w:pPr>
      <w:r>
        <w:rPr>
          <w:w w:val="110"/>
          <w:sz w:val="19"/>
        </w:rPr>
        <w:t>CiPE 2006a </w:t>
      </w:r>
      <w:r>
        <w:rPr>
          <w:i/>
          <w:w w:val="110"/>
          <w:sz w:val="19"/>
        </w:rPr>
        <w:t>Promoting Institutional Reforms in Latin América</w:t>
      </w:r>
      <w:r>
        <w:rPr>
          <w:w w:val="110"/>
          <w:sz w:val="19"/>
        </w:rPr>
        <w:t>,  </w:t>
      </w:r>
      <w:r>
        <w:rPr>
          <w:sz w:val="19"/>
        </w:rPr>
        <w:t>en </w:t>
      </w:r>
      <w:hyperlink r:id="rId337">
        <w:r>
          <w:rPr>
            <w:sz w:val="19"/>
          </w:rPr>
          <w:t>&lt;http://www.cipe.org/sites/default/files/publication-docs/</w:t>
        </w:r>
      </w:hyperlink>
      <w:r>
        <w:rPr>
          <w:sz w:val="19"/>
        </w:rPr>
        <w:t> </w:t>
      </w:r>
      <w:r>
        <w:rPr>
          <w:w w:val="110"/>
          <w:sz w:val="19"/>
        </w:rPr>
        <w:t>laCpamphlet06r.pdf&gt;.</w:t>
      </w:r>
    </w:p>
    <w:p>
      <w:pPr>
        <w:spacing w:line="259" w:lineRule="auto" w:before="27"/>
        <w:ind w:left="497" w:right="528" w:hanging="397"/>
        <w:jc w:val="left"/>
        <w:rPr>
          <w:sz w:val="19"/>
        </w:rPr>
      </w:pPr>
      <w:r>
        <w:rPr>
          <w:w w:val="105"/>
          <w:sz w:val="19"/>
        </w:rPr>
        <w:t>CiPE 2007a </w:t>
      </w:r>
      <w:r>
        <w:rPr>
          <w:i/>
          <w:w w:val="105"/>
          <w:sz w:val="19"/>
        </w:rPr>
        <w:t>Five year strategy 2007-2012</w:t>
      </w:r>
      <w:r>
        <w:rPr>
          <w:w w:val="105"/>
          <w:sz w:val="19"/>
        </w:rPr>
        <w:t>, en </w:t>
      </w:r>
      <w:hyperlink r:id="rId338">
        <w:r>
          <w:rPr>
            <w:w w:val="105"/>
            <w:sz w:val="19"/>
          </w:rPr>
          <w:t>&lt;http://www.C</w:t>
        </w:r>
      </w:hyperlink>
      <w:r>
        <w:rPr>
          <w:w w:val="105"/>
          <w:sz w:val="19"/>
        </w:rPr>
        <w:t>i</w:t>
      </w:r>
      <w:hyperlink r:id="rId338">
        <w:r>
          <w:rPr>
            <w:w w:val="105"/>
            <w:sz w:val="19"/>
          </w:rPr>
          <w:t>PE.org/</w:t>
        </w:r>
      </w:hyperlink>
      <w:r>
        <w:rPr>
          <w:w w:val="105"/>
          <w:sz w:val="19"/>
        </w:rPr>
        <w:t> about/strategy5year.pdf&gt; según entrada hecha el día 25 de abril de</w:t>
      </w:r>
      <w:r>
        <w:rPr>
          <w:spacing w:val="16"/>
          <w:w w:val="105"/>
          <w:sz w:val="19"/>
        </w:rPr>
        <w:t> </w:t>
      </w:r>
      <w:r>
        <w:rPr>
          <w:w w:val="105"/>
          <w:sz w:val="19"/>
        </w:rPr>
        <w:t>2008.</w:t>
      </w:r>
    </w:p>
    <w:p>
      <w:pPr>
        <w:spacing w:line="259" w:lineRule="auto" w:before="27"/>
        <w:ind w:left="497" w:right="392" w:hanging="397"/>
        <w:jc w:val="left"/>
        <w:rPr>
          <w:sz w:val="19"/>
        </w:rPr>
      </w:pPr>
      <w:r>
        <w:rPr>
          <w:w w:val="110"/>
          <w:sz w:val="19"/>
        </w:rPr>
        <w:t>CiPE 2007b </w:t>
      </w:r>
      <w:r>
        <w:rPr>
          <w:i/>
          <w:w w:val="110"/>
          <w:sz w:val="19"/>
        </w:rPr>
        <w:t>Strategies for Policy Reform</w:t>
      </w:r>
      <w:r>
        <w:rPr>
          <w:w w:val="110"/>
          <w:sz w:val="19"/>
        </w:rPr>
        <w:t>: </w:t>
      </w:r>
      <w:r>
        <w:rPr>
          <w:i/>
          <w:w w:val="110"/>
          <w:sz w:val="19"/>
        </w:rPr>
        <w:t>Experiences from Around   </w:t>
      </w:r>
      <w:r>
        <w:rPr>
          <w:i/>
          <w:w w:val="105"/>
          <w:sz w:val="19"/>
        </w:rPr>
        <w:t>the</w:t>
      </w:r>
      <w:r>
        <w:rPr>
          <w:i/>
          <w:spacing w:val="-18"/>
          <w:w w:val="105"/>
          <w:sz w:val="19"/>
        </w:rPr>
        <w:t> </w:t>
      </w:r>
      <w:r>
        <w:rPr>
          <w:i/>
          <w:w w:val="105"/>
          <w:sz w:val="19"/>
        </w:rPr>
        <w:t>World</w:t>
      </w:r>
      <w:r>
        <w:rPr>
          <w:w w:val="105"/>
          <w:sz w:val="19"/>
        </w:rPr>
        <w:t>,</w:t>
      </w:r>
      <w:r>
        <w:rPr>
          <w:spacing w:val="-18"/>
          <w:w w:val="105"/>
          <w:sz w:val="19"/>
        </w:rPr>
        <w:t> </w:t>
      </w:r>
      <w:r>
        <w:rPr>
          <w:w w:val="105"/>
          <w:sz w:val="19"/>
        </w:rPr>
        <w:t>en</w:t>
      </w:r>
      <w:r>
        <w:rPr>
          <w:spacing w:val="-18"/>
          <w:w w:val="105"/>
          <w:sz w:val="19"/>
        </w:rPr>
        <w:t> </w:t>
      </w:r>
      <w:hyperlink r:id="rId335">
        <w:r>
          <w:rPr>
            <w:w w:val="105"/>
            <w:sz w:val="19"/>
          </w:rPr>
          <w:t>&lt;http://www.cipe.org/sites/default/files/publication-</w:t>
        </w:r>
      </w:hyperlink>
      <w:r>
        <w:rPr>
          <w:w w:val="105"/>
          <w:sz w:val="19"/>
        </w:rPr>
        <w:t> </w:t>
      </w:r>
      <w:r>
        <w:rPr>
          <w:w w:val="110"/>
          <w:sz w:val="19"/>
        </w:rPr>
        <w:t>docs/Policyreform_2007.pdf&gt;.</w:t>
      </w:r>
    </w:p>
    <w:p>
      <w:pPr>
        <w:spacing w:line="259" w:lineRule="auto" w:before="27"/>
        <w:ind w:left="497" w:right="819" w:hanging="397"/>
        <w:jc w:val="left"/>
        <w:rPr>
          <w:sz w:val="19"/>
        </w:rPr>
      </w:pPr>
      <w:r>
        <w:rPr>
          <w:w w:val="110"/>
          <w:sz w:val="19"/>
        </w:rPr>
        <w:t>CiPE 2008 </w:t>
      </w:r>
      <w:r>
        <w:rPr>
          <w:i/>
          <w:w w:val="110"/>
          <w:sz w:val="19"/>
        </w:rPr>
        <w:t>Reform Toolkit. Corporate Governance for Emerging </w:t>
      </w:r>
      <w:r>
        <w:rPr>
          <w:i/>
          <w:w w:val="110"/>
          <w:sz w:val="19"/>
        </w:rPr>
        <w:t>Markets</w:t>
      </w:r>
      <w:r>
        <w:rPr>
          <w:w w:val="110"/>
          <w:sz w:val="19"/>
        </w:rPr>
        <w:t>, agosto.</w:t>
      </w:r>
    </w:p>
    <w:p>
      <w:pPr>
        <w:spacing w:line="259" w:lineRule="auto" w:before="27"/>
        <w:ind w:left="497" w:right="450" w:hanging="397"/>
        <w:jc w:val="left"/>
        <w:rPr>
          <w:sz w:val="19"/>
        </w:rPr>
      </w:pPr>
      <w:r>
        <w:rPr>
          <w:w w:val="110"/>
          <w:sz w:val="19"/>
        </w:rPr>
        <w:t>CiPE 2009 </w:t>
      </w:r>
      <w:r>
        <w:rPr>
          <w:i/>
          <w:w w:val="110"/>
          <w:sz w:val="19"/>
        </w:rPr>
        <w:t>The CIPE Guide to Governance Reform. Strategic    </w:t>
      </w:r>
      <w:r>
        <w:rPr>
          <w:i/>
          <w:w w:val="110"/>
          <w:sz w:val="19"/>
        </w:rPr>
        <w:t>Planning for Emerging Markets</w:t>
      </w:r>
      <w:r>
        <w:rPr>
          <w:w w:val="110"/>
          <w:sz w:val="19"/>
        </w:rPr>
        <w:t>, en </w:t>
      </w:r>
      <w:hyperlink r:id="rId339">
        <w:r>
          <w:rPr>
            <w:w w:val="110"/>
            <w:sz w:val="19"/>
          </w:rPr>
          <w:t>&lt;http://www.cipe.org/sites/</w:t>
        </w:r>
      </w:hyperlink>
      <w:r>
        <w:rPr>
          <w:w w:val="110"/>
          <w:sz w:val="19"/>
        </w:rPr>
        <w:t> </w:t>
      </w:r>
      <w:r>
        <w:rPr>
          <w:w w:val="105"/>
          <w:sz w:val="19"/>
        </w:rPr>
        <w:t>default/files/publication-docs/Guide%20to%20Governance%20 </w:t>
      </w:r>
      <w:r>
        <w:rPr>
          <w:w w:val="110"/>
          <w:sz w:val="19"/>
        </w:rPr>
        <w:t>reform.pdf&gt;.</w:t>
      </w:r>
    </w:p>
    <w:p>
      <w:pPr>
        <w:spacing w:line="259" w:lineRule="auto" w:before="27"/>
        <w:ind w:left="497" w:right="413" w:hanging="397"/>
        <w:jc w:val="left"/>
        <w:rPr>
          <w:sz w:val="19"/>
        </w:rPr>
      </w:pPr>
      <w:r>
        <w:rPr>
          <w:w w:val="115"/>
          <w:sz w:val="19"/>
        </w:rPr>
        <w:t>CiPE </w:t>
      </w:r>
      <w:r>
        <w:rPr>
          <w:w w:val="110"/>
          <w:sz w:val="19"/>
        </w:rPr>
        <w:t>y </w:t>
      </w:r>
      <w:r>
        <w:rPr>
          <w:w w:val="115"/>
          <w:sz w:val="19"/>
        </w:rPr>
        <w:t>usaid </w:t>
      </w:r>
      <w:r>
        <w:rPr>
          <w:w w:val="110"/>
          <w:sz w:val="19"/>
        </w:rPr>
        <w:t>2009 </w:t>
      </w:r>
      <w:r>
        <w:rPr>
          <w:i/>
          <w:w w:val="110"/>
          <w:sz w:val="19"/>
        </w:rPr>
        <w:t>Corporate Governance</w:t>
      </w:r>
      <w:r>
        <w:rPr>
          <w:w w:val="110"/>
          <w:sz w:val="19"/>
        </w:rPr>
        <w:t>. </w:t>
      </w:r>
      <w:r>
        <w:rPr>
          <w:i/>
          <w:w w:val="110"/>
          <w:sz w:val="19"/>
        </w:rPr>
        <w:t>The Intersection of Public </w:t>
      </w:r>
      <w:r>
        <w:rPr>
          <w:i/>
          <w:w w:val="105"/>
          <w:sz w:val="19"/>
        </w:rPr>
        <w:t>and Private Reform</w:t>
      </w:r>
      <w:r>
        <w:rPr>
          <w:w w:val="105"/>
          <w:sz w:val="19"/>
        </w:rPr>
        <w:t>, en </w:t>
      </w:r>
      <w:hyperlink r:id="rId340">
        <w:r>
          <w:rPr>
            <w:w w:val="105"/>
            <w:sz w:val="19"/>
          </w:rPr>
          <w:t>&lt;http://www.cipe.org/sites/default/files/</w:t>
        </w:r>
      </w:hyperlink>
      <w:r>
        <w:rPr>
          <w:w w:val="105"/>
          <w:sz w:val="19"/>
        </w:rPr>
        <w:t> </w:t>
      </w:r>
      <w:r>
        <w:rPr>
          <w:w w:val="110"/>
          <w:sz w:val="19"/>
        </w:rPr>
        <w:t>publication-docs/CG_usaid.pdf&gt; según entrada hecha el día 30 de agosto de</w:t>
      </w:r>
      <w:r>
        <w:rPr>
          <w:spacing w:val="-11"/>
          <w:w w:val="110"/>
          <w:sz w:val="19"/>
        </w:rPr>
        <w:t> </w:t>
      </w:r>
      <w:r>
        <w:rPr>
          <w:w w:val="110"/>
          <w:sz w:val="19"/>
        </w:rPr>
        <w:t>2010.</w:t>
      </w:r>
    </w:p>
    <w:p>
      <w:pPr>
        <w:spacing w:line="259" w:lineRule="auto" w:before="27"/>
        <w:ind w:left="497" w:right="819" w:hanging="397"/>
        <w:jc w:val="left"/>
        <w:rPr>
          <w:sz w:val="19"/>
        </w:rPr>
      </w:pPr>
      <w:r>
        <w:rPr>
          <w:w w:val="110"/>
          <w:sz w:val="19"/>
        </w:rPr>
        <w:t>Clarke, alvaro 2003 “the politics of implementing corporate governance reform: some lessons from Chilean experience en oCdE”, en </w:t>
      </w:r>
      <w:r>
        <w:rPr>
          <w:i/>
          <w:w w:val="110"/>
          <w:sz w:val="19"/>
        </w:rPr>
        <w:t>White Paper on Corporate Governance in Latin </w:t>
      </w:r>
      <w:r>
        <w:rPr>
          <w:i/>
          <w:w w:val="110"/>
          <w:sz w:val="19"/>
        </w:rPr>
        <w:t>America</w:t>
      </w:r>
      <w:r>
        <w:rPr>
          <w:w w:val="110"/>
          <w:sz w:val="19"/>
        </w:rPr>
        <w:t>, pp. 40-45.</w:t>
      </w:r>
    </w:p>
    <w:p>
      <w:pPr>
        <w:spacing w:after="0" w:line="259" w:lineRule="auto"/>
        <w:jc w:val="left"/>
        <w:rPr>
          <w:sz w:val="19"/>
        </w:rPr>
        <w:sectPr>
          <w:pgSz w:w="8790" w:h="12760"/>
          <w:pgMar w:header="695" w:footer="723" w:top="880" w:bottom="920" w:left="920" w:right="1200"/>
        </w:sectPr>
      </w:pPr>
    </w:p>
    <w:p>
      <w:pPr>
        <w:pStyle w:val="BodyText"/>
        <w:spacing w:before="7"/>
        <w:rPr>
          <w:sz w:val="28"/>
        </w:rPr>
      </w:pPr>
    </w:p>
    <w:p>
      <w:pPr>
        <w:spacing w:line="252" w:lineRule="auto" w:before="73"/>
        <w:ind w:left="727" w:right="179" w:hanging="397"/>
        <w:jc w:val="left"/>
        <w:rPr>
          <w:sz w:val="19"/>
        </w:rPr>
      </w:pPr>
      <w:r>
        <w:rPr>
          <w:w w:val="110"/>
          <w:sz w:val="19"/>
        </w:rPr>
        <w:t>Claumann, ricardo bez 2015 </w:t>
      </w:r>
      <w:r>
        <w:rPr>
          <w:i/>
          <w:w w:val="110"/>
          <w:sz w:val="19"/>
        </w:rPr>
        <w:t>oCDE e a Governança Corporativa: </w:t>
      </w:r>
      <w:r>
        <w:rPr>
          <w:i/>
          <w:w w:val="110"/>
          <w:sz w:val="19"/>
        </w:rPr>
        <w:t>construção e legitimação de um modelo. </w:t>
      </w:r>
      <w:r>
        <w:rPr>
          <w:w w:val="110"/>
          <w:sz w:val="19"/>
        </w:rPr>
        <w:t>disertación de Maestría (Florianópolis: universidade Federal de santa   Catarina).</w:t>
      </w:r>
    </w:p>
    <w:p>
      <w:pPr>
        <w:spacing w:line="252" w:lineRule="auto" w:before="28"/>
        <w:ind w:left="727" w:right="179" w:hanging="397"/>
        <w:jc w:val="left"/>
        <w:rPr>
          <w:sz w:val="19"/>
        </w:rPr>
      </w:pPr>
      <w:r>
        <w:rPr>
          <w:w w:val="114"/>
          <w:sz w:val="19"/>
        </w:rPr>
        <w:t>Coutinho,</w:t>
      </w:r>
      <w:r>
        <w:rPr>
          <w:sz w:val="19"/>
        </w:rPr>
        <w:t> </w:t>
      </w:r>
      <w:r>
        <w:rPr>
          <w:w w:val="243"/>
          <w:sz w:val="19"/>
        </w:rPr>
        <w:t>l</w:t>
      </w:r>
      <w:r>
        <w:rPr>
          <w:w w:val="112"/>
          <w:sz w:val="19"/>
        </w:rPr>
        <w:t>uciano;</w:t>
      </w:r>
      <w:r>
        <w:rPr>
          <w:sz w:val="19"/>
        </w:rPr>
        <w:t> </w:t>
      </w:r>
      <w:r>
        <w:rPr>
          <w:w w:val="182"/>
          <w:sz w:val="19"/>
        </w:rPr>
        <w:t>r</w:t>
      </w:r>
      <w:r>
        <w:rPr>
          <w:w w:val="112"/>
          <w:sz w:val="19"/>
        </w:rPr>
        <w:t>abelo,</w:t>
      </w:r>
      <w:r>
        <w:rPr>
          <w:sz w:val="19"/>
        </w:rPr>
        <w:t> </w:t>
      </w:r>
      <w:r>
        <w:rPr>
          <w:w w:val="111"/>
          <w:sz w:val="19"/>
        </w:rPr>
        <w:t>Flávio</w:t>
      </w:r>
      <w:r>
        <w:rPr>
          <w:sz w:val="19"/>
        </w:rPr>
        <w:t> </w:t>
      </w:r>
      <w:r>
        <w:rPr>
          <w:w w:val="114"/>
          <w:sz w:val="19"/>
        </w:rPr>
        <w:t>Marcilio</w:t>
      </w:r>
      <w:r>
        <w:rPr>
          <w:sz w:val="19"/>
        </w:rPr>
        <w:t> </w:t>
      </w:r>
      <w:r>
        <w:rPr>
          <w:w w:val="102"/>
          <w:sz w:val="19"/>
        </w:rPr>
        <w:t>2003</w:t>
      </w:r>
      <w:r>
        <w:rPr>
          <w:sz w:val="19"/>
        </w:rPr>
        <w:t> </w:t>
      </w:r>
      <w:r>
        <w:rPr>
          <w:w w:val="115"/>
          <w:sz w:val="19"/>
        </w:rPr>
        <w:t>“</w:t>
      </w:r>
      <w:r>
        <w:rPr>
          <w:w w:val="134"/>
          <w:sz w:val="19"/>
        </w:rPr>
        <w:t>b</w:t>
      </w:r>
      <w:r>
        <w:rPr>
          <w:w w:val="110"/>
          <w:sz w:val="19"/>
        </w:rPr>
        <w:t>razil:</w:t>
      </w:r>
      <w:r>
        <w:rPr>
          <w:sz w:val="19"/>
        </w:rPr>
        <w:t> </w:t>
      </w:r>
      <w:r>
        <w:rPr>
          <w:w w:val="108"/>
          <w:sz w:val="19"/>
        </w:rPr>
        <w:t>keeping</w:t>
      </w:r>
      <w:r>
        <w:rPr>
          <w:sz w:val="19"/>
        </w:rPr>
        <w:t> </w:t>
      </w:r>
      <w:r>
        <w:rPr>
          <w:w w:val="110"/>
          <w:sz w:val="19"/>
        </w:rPr>
        <w:t>it </w:t>
      </w:r>
      <w:r>
        <w:rPr>
          <w:w w:val="115"/>
          <w:sz w:val="19"/>
        </w:rPr>
        <w:t>in the family”, en oman, Charles P. (ed.) </w:t>
      </w:r>
      <w:r>
        <w:rPr>
          <w:i/>
          <w:w w:val="115"/>
          <w:sz w:val="19"/>
        </w:rPr>
        <w:t>Corporate Governance </w:t>
      </w:r>
      <w:r>
        <w:rPr>
          <w:i/>
          <w:w w:val="115"/>
          <w:sz w:val="19"/>
        </w:rPr>
        <w:t>in development</w:t>
      </w:r>
      <w:r>
        <w:rPr>
          <w:w w:val="115"/>
          <w:sz w:val="19"/>
        </w:rPr>
        <w:t>. </w:t>
      </w:r>
      <w:r>
        <w:rPr>
          <w:i/>
          <w:w w:val="115"/>
          <w:sz w:val="19"/>
        </w:rPr>
        <w:t>The experiences of Brazil, Chile, India and </w:t>
      </w:r>
      <w:r>
        <w:rPr>
          <w:i/>
          <w:w w:val="115"/>
          <w:sz w:val="19"/>
        </w:rPr>
        <w:t>South Africa. </w:t>
      </w:r>
      <w:r>
        <w:rPr>
          <w:w w:val="115"/>
          <w:sz w:val="19"/>
        </w:rPr>
        <w:t>Center for international interprise (CiPE); oECd </w:t>
      </w:r>
      <w:r>
        <w:rPr>
          <w:w w:val="110"/>
          <w:sz w:val="19"/>
        </w:rPr>
        <w:t>development Centre, pp. 35-75.</w:t>
      </w:r>
    </w:p>
    <w:p>
      <w:pPr>
        <w:spacing w:line="252" w:lineRule="auto" w:before="28"/>
        <w:ind w:left="727" w:right="231" w:hanging="397"/>
        <w:jc w:val="left"/>
        <w:rPr>
          <w:sz w:val="19"/>
        </w:rPr>
      </w:pPr>
      <w:r>
        <w:rPr>
          <w:w w:val="110"/>
          <w:sz w:val="19"/>
        </w:rPr>
        <w:t>Cruz, sebastião Velasco 2007 </w:t>
      </w:r>
      <w:r>
        <w:rPr>
          <w:i/>
          <w:w w:val="110"/>
          <w:sz w:val="19"/>
        </w:rPr>
        <w:t>Trajetórias: capitalismo neoliberal e </w:t>
      </w:r>
      <w:r>
        <w:rPr>
          <w:i/>
          <w:w w:val="110"/>
          <w:sz w:val="19"/>
        </w:rPr>
        <w:t>reformas econômicas nos países da periferia </w:t>
      </w:r>
      <w:r>
        <w:rPr>
          <w:w w:val="110"/>
          <w:sz w:val="19"/>
        </w:rPr>
        <w:t>(são Paulo:   unesp).</w:t>
      </w:r>
    </w:p>
    <w:p>
      <w:pPr>
        <w:spacing w:line="252" w:lineRule="auto" w:before="28"/>
        <w:ind w:left="727" w:right="605" w:hanging="397"/>
        <w:jc w:val="left"/>
        <w:rPr>
          <w:sz w:val="19"/>
        </w:rPr>
      </w:pPr>
      <w:r>
        <w:rPr>
          <w:w w:val="115"/>
          <w:sz w:val="19"/>
        </w:rPr>
        <w:t>Geurts, Geoffrey; rogers, steven; sullivan, John d. (orgs.) 2001 </w:t>
      </w:r>
      <w:r>
        <w:rPr>
          <w:i/>
          <w:w w:val="115"/>
          <w:sz w:val="19"/>
        </w:rPr>
        <w:t>Impact and results of CIPE’s global programs, 1984-1999 </w:t>
      </w:r>
      <w:r>
        <w:rPr>
          <w:w w:val="115"/>
          <w:sz w:val="19"/>
        </w:rPr>
        <w:t>(Washington, dC: CiPE).</w:t>
      </w:r>
    </w:p>
    <w:p>
      <w:pPr>
        <w:spacing w:line="252" w:lineRule="auto" w:before="28"/>
        <w:ind w:left="727" w:right="231" w:hanging="397"/>
        <w:jc w:val="left"/>
        <w:rPr>
          <w:sz w:val="19"/>
        </w:rPr>
      </w:pPr>
      <w:r>
        <w:rPr>
          <w:w w:val="115"/>
          <w:sz w:val="19"/>
        </w:rPr>
        <w:t>Golinger, Eva 2005 </w:t>
      </w:r>
      <w:r>
        <w:rPr>
          <w:i/>
          <w:w w:val="115"/>
          <w:sz w:val="19"/>
        </w:rPr>
        <w:t>El Código Chávez. Descifrando la intervención </w:t>
      </w:r>
      <w:r>
        <w:rPr>
          <w:i/>
          <w:w w:val="104"/>
          <w:sz w:val="19"/>
        </w:rPr>
        <w:t>de</w:t>
      </w:r>
      <w:r>
        <w:rPr>
          <w:i/>
          <w:sz w:val="19"/>
        </w:rPr>
        <w:t> </w:t>
      </w:r>
      <w:r>
        <w:rPr>
          <w:i/>
          <w:w w:val="112"/>
          <w:sz w:val="19"/>
        </w:rPr>
        <w:t>los</w:t>
      </w:r>
      <w:r>
        <w:rPr>
          <w:i/>
          <w:sz w:val="19"/>
        </w:rPr>
        <w:t> </w:t>
      </w:r>
      <w:r>
        <w:rPr>
          <w:i/>
          <w:w w:val="112"/>
          <w:sz w:val="19"/>
        </w:rPr>
        <w:t>Estados</w:t>
      </w:r>
      <w:r>
        <w:rPr>
          <w:i/>
          <w:sz w:val="19"/>
        </w:rPr>
        <w:t> </w:t>
      </w:r>
      <w:r>
        <w:rPr>
          <w:i/>
          <w:w w:val="116"/>
          <w:sz w:val="19"/>
        </w:rPr>
        <w:t>Unidos</w:t>
      </w:r>
      <w:r>
        <w:rPr>
          <w:i/>
          <w:sz w:val="19"/>
        </w:rPr>
        <w:t> </w:t>
      </w:r>
      <w:r>
        <w:rPr>
          <w:i/>
          <w:w w:val="108"/>
          <w:sz w:val="19"/>
        </w:rPr>
        <w:t>en</w:t>
      </w:r>
      <w:r>
        <w:rPr>
          <w:i/>
          <w:sz w:val="19"/>
        </w:rPr>
        <w:t> </w:t>
      </w:r>
      <w:r>
        <w:rPr>
          <w:i/>
          <w:w w:val="118"/>
          <w:sz w:val="19"/>
        </w:rPr>
        <w:t>V</w:t>
      </w:r>
      <w:r>
        <w:rPr>
          <w:i/>
          <w:w w:val="106"/>
          <w:sz w:val="19"/>
        </w:rPr>
        <w:t>enezuela</w:t>
      </w:r>
      <w:r>
        <w:rPr>
          <w:i/>
          <w:sz w:val="19"/>
        </w:rPr>
        <w:t> </w:t>
      </w:r>
      <w:r>
        <w:rPr>
          <w:w w:val="98"/>
          <w:sz w:val="19"/>
        </w:rPr>
        <w:t>(</w:t>
      </w:r>
      <w:r>
        <w:rPr>
          <w:w w:val="243"/>
          <w:sz w:val="19"/>
        </w:rPr>
        <w:t>l</w:t>
      </w:r>
      <w:r>
        <w:rPr>
          <w:w w:val="112"/>
          <w:sz w:val="19"/>
        </w:rPr>
        <w:t>a</w:t>
      </w:r>
      <w:r>
        <w:rPr>
          <w:sz w:val="19"/>
        </w:rPr>
        <w:t> </w:t>
      </w:r>
      <w:r>
        <w:rPr>
          <w:w w:val="113"/>
          <w:sz w:val="19"/>
        </w:rPr>
        <w:t>Habana:</w:t>
      </w:r>
      <w:r>
        <w:rPr>
          <w:sz w:val="19"/>
        </w:rPr>
        <w:t> </w:t>
      </w:r>
      <w:r>
        <w:rPr>
          <w:w w:val="113"/>
          <w:sz w:val="19"/>
        </w:rPr>
        <w:t>Editorial</w:t>
      </w:r>
      <w:r>
        <w:rPr>
          <w:sz w:val="19"/>
        </w:rPr>
        <w:t> </w:t>
      </w:r>
      <w:r>
        <w:rPr>
          <w:w w:val="107"/>
          <w:sz w:val="19"/>
        </w:rPr>
        <w:t>de </w:t>
      </w:r>
      <w:r>
        <w:rPr>
          <w:w w:val="113"/>
          <w:sz w:val="19"/>
        </w:rPr>
        <w:t>Ciencias</w:t>
      </w:r>
      <w:r>
        <w:rPr>
          <w:sz w:val="19"/>
        </w:rPr>
        <w:t> </w:t>
      </w:r>
      <w:r>
        <w:rPr>
          <w:w w:val="149"/>
          <w:sz w:val="19"/>
        </w:rPr>
        <w:t>s</w:t>
      </w:r>
      <w:r>
        <w:rPr>
          <w:w w:val="102"/>
          <w:sz w:val="19"/>
        </w:rPr>
        <w:t>ociales/</w:t>
      </w:r>
      <w:r>
        <w:rPr>
          <w:w w:val="142"/>
          <w:sz w:val="19"/>
        </w:rPr>
        <w:t>i</w:t>
      </w:r>
      <w:r>
        <w:rPr>
          <w:w w:val="109"/>
          <w:sz w:val="19"/>
        </w:rPr>
        <w:t>nstituto</w:t>
      </w:r>
      <w:r>
        <w:rPr>
          <w:sz w:val="19"/>
        </w:rPr>
        <w:t> </w:t>
      </w:r>
      <w:r>
        <w:rPr>
          <w:w w:val="113"/>
          <w:sz w:val="19"/>
        </w:rPr>
        <w:t>Cubano</w:t>
      </w:r>
      <w:r>
        <w:rPr>
          <w:sz w:val="19"/>
        </w:rPr>
        <w:t> </w:t>
      </w:r>
      <w:r>
        <w:rPr>
          <w:w w:val="107"/>
          <w:sz w:val="19"/>
        </w:rPr>
        <w:t>del</w:t>
      </w:r>
      <w:r>
        <w:rPr>
          <w:sz w:val="19"/>
        </w:rPr>
        <w:t> </w:t>
      </w:r>
      <w:r>
        <w:rPr>
          <w:w w:val="243"/>
          <w:sz w:val="19"/>
        </w:rPr>
        <w:t>l</w:t>
      </w:r>
      <w:r>
        <w:rPr>
          <w:w w:val="110"/>
          <w:sz w:val="19"/>
        </w:rPr>
        <w:t>ibro).</w:t>
      </w:r>
      <w:r>
        <w:rPr>
          <w:sz w:val="19"/>
        </w:rPr>
        <w:t> </w:t>
      </w:r>
      <w:r>
        <w:rPr>
          <w:w w:val="195"/>
          <w:sz w:val="19"/>
        </w:rPr>
        <w:t>t</w:t>
      </w:r>
      <w:r>
        <w:rPr>
          <w:w w:val="111"/>
          <w:sz w:val="19"/>
        </w:rPr>
        <w:t>raducción</w:t>
      </w:r>
      <w:r>
        <w:rPr>
          <w:sz w:val="19"/>
        </w:rPr>
        <w:t> </w:t>
      </w:r>
      <w:r>
        <w:rPr>
          <w:w w:val="107"/>
          <w:sz w:val="19"/>
        </w:rPr>
        <w:t>del </w:t>
      </w:r>
      <w:r>
        <w:rPr>
          <w:w w:val="115"/>
          <w:sz w:val="19"/>
        </w:rPr>
        <w:t>Equipo de servicio de traductores e intérpretes (Esti).</w:t>
      </w:r>
    </w:p>
    <w:p>
      <w:pPr>
        <w:spacing w:line="252" w:lineRule="auto" w:before="28"/>
        <w:ind w:left="727" w:right="179" w:hanging="397"/>
        <w:jc w:val="left"/>
        <w:rPr>
          <w:sz w:val="19"/>
        </w:rPr>
      </w:pPr>
      <w:r>
        <w:rPr>
          <w:w w:val="110"/>
          <w:sz w:val="19"/>
        </w:rPr>
        <w:t>Golinger, Eva 2006 </w:t>
      </w:r>
      <w:r>
        <w:rPr>
          <w:i/>
          <w:w w:val="110"/>
          <w:sz w:val="19"/>
        </w:rPr>
        <w:t>Bush vs. Chávez. La guerra de Washington contra </w:t>
      </w:r>
      <w:r>
        <w:rPr>
          <w:i/>
          <w:w w:val="118"/>
          <w:sz w:val="19"/>
        </w:rPr>
        <w:t>V</w:t>
      </w:r>
      <w:r>
        <w:rPr>
          <w:i/>
          <w:w w:val="106"/>
          <w:sz w:val="19"/>
        </w:rPr>
        <w:t>enezuela</w:t>
      </w:r>
      <w:r>
        <w:rPr>
          <w:i/>
          <w:sz w:val="19"/>
        </w:rPr>
        <w:t> </w:t>
      </w:r>
      <w:r>
        <w:rPr>
          <w:w w:val="111"/>
          <w:sz w:val="19"/>
        </w:rPr>
        <w:t>(Caracas:</w:t>
      </w:r>
      <w:r>
        <w:rPr>
          <w:sz w:val="19"/>
        </w:rPr>
        <w:t> </w:t>
      </w:r>
      <w:r>
        <w:rPr>
          <w:w w:val="112"/>
          <w:sz w:val="19"/>
        </w:rPr>
        <w:t>Monte</w:t>
      </w:r>
      <w:r>
        <w:rPr>
          <w:sz w:val="19"/>
        </w:rPr>
        <w:t> </w:t>
      </w:r>
      <w:r>
        <w:rPr>
          <w:w w:val="109"/>
          <w:sz w:val="19"/>
        </w:rPr>
        <w:t>Á</w:t>
      </w:r>
      <w:r>
        <w:rPr>
          <w:w w:val="109"/>
          <w:sz w:val="19"/>
        </w:rPr>
        <w:t>vila</w:t>
      </w:r>
      <w:r>
        <w:rPr>
          <w:sz w:val="19"/>
        </w:rPr>
        <w:t> </w:t>
      </w:r>
      <w:r>
        <w:rPr>
          <w:w w:val="111"/>
          <w:sz w:val="19"/>
        </w:rPr>
        <w:t>Editores</w:t>
      </w:r>
      <w:r>
        <w:rPr>
          <w:sz w:val="19"/>
        </w:rPr>
        <w:t> </w:t>
      </w:r>
      <w:r>
        <w:rPr>
          <w:w w:val="243"/>
          <w:sz w:val="19"/>
        </w:rPr>
        <w:t>l</w:t>
      </w:r>
      <w:r>
        <w:rPr>
          <w:w w:val="111"/>
          <w:sz w:val="19"/>
        </w:rPr>
        <w:t>atinoamericana).</w:t>
      </w:r>
    </w:p>
    <w:p>
      <w:pPr>
        <w:pStyle w:val="BodyText"/>
        <w:spacing w:line="252" w:lineRule="auto" w:before="28"/>
        <w:ind w:left="727" w:right="55" w:hanging="397"/>
      </w:pPr>
      <w:r>
        <w:rPr>
          <w:w w:val="116"/>
        </w:rPr>
        <w:t>Gómez,</w:t>
      </w:r>
      <w:r>
        <w:rPr/>
        <w:t> </w:t>
      </w:r>
      <w:r>
        <w:rPr>
          <w:w w:val="114"/>
        </w:rPr>
        <w:t>Maria</w:t>
      </w:r>
      <w:r>
        <w:rPr/>
        <w:t> </w:t>
      </w:r>
      <w:r>
        <w:rPr>
          <w:w w:val="243"/>
        </w:rPr>
        <w:t>l</w:t>
      </w:r>
      <w:r>
        <w:rPr>
          <w:w w:val="110"/>
        </w:rPr>
        <w:t>aura</w:t>
      </w:r>
      <w:r>
        <w:rPr/>
        <w:t> </w:t>
      </w:r>
      <w:r>
        <w:rPr>
          <w:w w:val="102"/>
        </w:rPr>
        <w:t>2012</w:t>
      </w:r>
      <w:r>
        <w:rPr/>
        <w:t> </w:t>
      </w:r>
      <w:r>
        <w:rPr>
          <w:w w:val="112"/>
        </w:rPr>
        <w:t>Governança</w:t>
      </w:r>
      <w:r>
        <w:rPr/>
        <w:t> </w:t>
      </w:r>
      <w:r>
        <w:rPr>
          <w:w w:val="110"/>
        </w:rPr>
        <w:t>Corporativa</w:t>
      </w:r>
      <w:r>
        <w:rPr/>
        <w:t> </w:t>
      </w:r>
      <w:r>
        <w:rPr>
          <w:w w:val="112"/>
        </w:rPr>
        <w:t>na</w:t>
      </w:r>
      <w:r>
        <w:rPr/>
        <w:t> </w:t>
      </w:r>
      <w:r>
        <w:rPr>
          <w:w w:val="139"/>
        </w:rPr>
        <w:t>a</w:t>
      </w:r>
      <w:r>
        <w:rPr>
          <w:w w:val="111"/>
        </w:rPr>
        <w:t>mérica </w:t>
      </w:r>
      <w:r>
        <w:rPr>
          <w:w w:val="243"/>
        </w:rPr>
        <w:t>l</w:t>
      </w:r>
      <w:r>
        <w:rPr>
          <w:w w:val="111"/>
        </w:rPr>
        <w:t>atina:</w:t>
      </w:r>
      <w:r>
        <w:rPr/>
        <w:t> </w:t>
      </w:r>
      <w:r>
        <w:rPr>
          <w:w w:val="112"/>
        </w:rPr>
        <w:t>a</w:t>
      </w:r>
      <w:r>
        <w:rPr/>
        <w:t> </w:t>
      </w:r>
      <w:r>
        <w:rPr>
          <w:w w:val="111"/>
        </w:rPr>
        <w:t>atuação</w:t>
      </w:r>
      <w:r>
        <w:rPr/>
        <w:t> </w:t>
      </w:r>
      <w:r>
        <w:rPr>
          <w:w w:val="111"/>
        </w:rPr>
        <w:t>conjunta</w:t>
      </w:r>
      <w:r>
        <w:rPr/>
        <w:t> </w:t>
      </w:r>
      <w:r>
        <w:rPr>
          <w:w w:val="110"/>
        </w:rPr>
        <w:t>da</w:t>
      </w:r>
      <w:r>
        <w:rPr/>
        <w:t> </w:t>
      </w:r>
      <w:r>
        <w:rPr>
          <w:w w:val="112"/>
        </w:rPr>
        <w:t>Confecámaras</w:t>
      </w:r>
      <w:r>
        <w:rPr/>
        <w:t> </w:t>
      </w:r>
      <w:r>
        <w:rPr>
          <w:w w:val="110"/>
        </w:rPr>
        <w:t>(Confederación </w:t>
      </w:r>
      <w:r>
        <w:rPr>
          <w:w w:val="115"/>
        </w:rPr>
        <w:t>Colombiana de Cámaras de Comercio) e do CiPE (Center for international Private Enterprise). trabalho de Conclusão de Curso. Curso de Ciências sociais, universidade Federal de santa Catarina, Florianópolis.</w:t>
      </w:r>
    </w:p>
    <w:p>
      <w:pPr>
        <w:spacing w:line="252" w:lineRule="auto" w:before="28"/>
        <w:ind w:left="727" w:right="179" w:hanging="397"/>
        <w:jc w:val="left"/>
        <w:rPr>
          <w:sz w:val="19"/>
        </w:rPr>
      </w:pPr>
      <w:r>
        <w:rPr>
          <w:w w:val="110"/>
          <w:sz w:val="19"/>
        </w:rPr>
        <w:t>Grün, roberto 2003a “atores e ações na construção da governança corporativa brasileira”, en </w:t>
      </w:r>
      <w:r>
        <w:rPr>
          <w:i/>
          <w:w w:val="110"/>
          <w:sz w:val="19"/>
        </w:rPr>
        <w:t>Revista Brasileira de Ciências Sociais</w:t>
      </w:r>
      <w:r>
        <w:rPr>
          <w:w w:val="110"/>
          <w:sz w:val="19"/>
        </w:rPr>
        <w:t>, Vol. 18, Nº 52, pp. 121-143.</w:t>
      </w:r>
    </w:p>
    <w:p>
      <w:pPr>
        <w:pStyle w:val="BodyText"/>
        <w:spacing w:line="252" w:lineRule="auto" w:before="28"/>
        <w:ind w:left="727" w:right="135" w:hanging="397"/>
      </w:pPr>
      <w:r>
        <w:rPr>
          <w:w w:val="115"/>
        </w:rPr>
        <w:t>Grün,</w:t>
      </w:r>
      <w:r>
        <w:rPr>
          <w:spacing w:val="-10"/>
          <w:w w:val="115"/>
        </w:rPr>
        <w:t> </w:t>
      </w:r>
      <w:r>
        <w:rPr>
          <w:w w:val="115"/>
        </w:rPr>
        <w:t>roberto</w:t>
      </w:r>
      <w:r>
        <w:rPr>
          <w:spacing w:val="-10"/>
          <w:w w:val="115"/>
        </w:rPr>
        <w:t> </w:t>
      </w:r>
      <w:r>
        <w:rPr>
          <w:w w:val="115"/>
        </w:rPr>
        <w:t>2003b</w:t>
      </w:r>
      <w:r>
        <w:rPr>
          <w:spacing w:val="-10"/>
          <w:w w:val="115"/>
        </w:rPr>
        <w:t> </w:t>
      </w:r>
      <w:r>
        <w:rPr>
          <w:w w:val="115"/>
        </w:rPr>
        <w:t>“Fundos</w:t>
      </w:r>
      <w:r>
        <w:rPr>
          <w:spacing w:val="-10"/>
          <w:w w:val="115"/>
        </w:rPr>
        <w:t> </w:t>
      </w:r>
      <w:r>
        <w:rPr>
          <w:w w:val="115"/>
        </w:rPr>
        <w:t>de</w:t>
      </w:r>
      <w:r>
        <w:rPr>
          <w:spacing w:val="-10"/>
          <w:w w:val="115"/>
        </w:rPr>
        <w:t> </w:t>
      </w:r>
      <w:r>
        <w:rPr>
          <w:w w:val="115"/>
        </w:rPr>
        <w:t>pensão</w:t>
      </w:r>
      <w:r>
        <w:rPr>
          <w:spacing w:val="-10"/>
          <w:w w:val="115"/>
        </w:rPr>
        <w:t> </w:t>
      </w:r>
      <w:r>
        <w:rPr>
          <w:w w:val="115"/>
        </w:rPr>
        <w:t>no</w:t>
      </w:r>
      <w:r>
        <w:rPr>
          <w:spacing w:val="-10"/>
          <w:w w:val="115"/>
        </w:rPr>
        <w:t> </w:t>
      </w:r>
      <w:r>
        <w:rPr>
          <w:w w:val="115"/>
        </w:rPr>
        <w:t>brasil</w:t>
      </w:r>
      <w:r>
        <w:rPr>
          <w:spacing w:val="-10"/>
          <w:w w:val="115"/>
        </w:rPr>
        <w:t> </w:t>
      </w:r>
      <w:r>
        <w:rPr>
          <w:w w:val="115"/>
        </w:rPr>
        <w:t>do</w:t>
      </w:r>
      <w:r>
        <w:rPr>
          <w:spacing w:val="-10"/>
          <w:w w:val="115"/>
        </w:rPr>
        <w:t> </w:t>
      </w:r>
      <w:r>
        <w:rPr>
          <w:w w:val="115"/>
        </w:rPr>
        <w:t>final</w:t>
      </w:r>
      <w:r>
        <w:rPr>
          <w:spacing w:val="-10"/>
          <w:w w:val="115"/>
        </w:rPr>
        <w:t> </w:t>
      </w:r>
      <w:r>
        <w:rPr>
          <w:w w:val="115"/>
        </w:rPr>
        <w:t>do</w:t>
      </w:r>
      <w:r>
        <w:rPr>
          <w:spacing w:val="-10"/>
          <w:w w:val="115"/>
        </w:rPr>
        <w:t> </w:t>
      </w:r>
      <w:r>
        <w:rPr>
          <w:w w:val="115"/>
        </w:rPr>
        <w:t>século xx: guerra cultural, modelos de capitalismo e os destinos das classes</w:t>
      </w:r>
      <w:r>
        <w:rPr>
          <w:spacing w:val="-10"/>
          <w:w w:val="115"/>
        </w:rPr>
        <w:t> </w:t>
      </w:r>
      <w:r>
        <w:rPr>
          <w:w w:val="115"/>
        </w:rPr>
        <w:t>médias”,</w:t>
      </w:r>
      <w:r>
        <w:rPr>
          <w:spacing w:val="-10"/>
          <w:w w:val="115"/>
        </w:rPr>
        <w:t> </w:t>
      </w:r>
      <w:r>
        <w:rPr>
          <w:w w:val="115"/>
        </w:rPr>
        <w:t>en</w:t>
      </w:r>
      <w:r>
        <w:rPr>
          <w:spacing w:val="-10"/>
          <w:w w:val="115"/>
        </w:rPr>
        <w:t> </w:t>
      </w:r>
      <w:r>
        <w:rPr>
          <w:i/>
          <w:w w:val="115"/>
        </w:rPr>
        <w:t>Mana</w:t>
      </w:r>
      <w:r>
        <w:rPr>
          <w:w w:val="115"/>
        </w:rPr>
        <w:t>,</w:t>
      </w:r>
      <w:r>
        <w:rPr>
          <w:spacing w:val="-10"/>
          <w:w w:val="115"/>
        </w:rPr>
        <w:t> </w:t>
      </w:r>
      <w:r>
        <w:rPr>
          <w:spacing w:val="-4"/>
          <w:w w:val="115"/>
        </w:rPr>
        <w:t>Vol.</w:t>
      </w:r>
      <w:r>
        <w:rPr>
          <w:spacing w:val="-10"/>
          <w:w w:val="115"/>
        </w:rPr>
        <w:t> </w:t>
      </w:r>
      <w:r>
        <w:rPr>
          <w:w w:val="115"/>
        </w:rPr>
        <w:t>9,</w:t>
      </w:r>
      <w:r>
        <w:rPr>
          <w:spacing w:val="-10"/>
          <w:w w:val="115"/>
        </w:rPr>
        <w:t> </w:t>
      </w:r>
      <w:r>
        <w:rPr>
          <w:w w:val="115"/>
        </w:rPr>
        <w:t>Nº</w:t>
      </w:r>
      <w:r>
        <w:rPr>
          <w:spacing w:val="-10"/>
          <w:w w:val="115"/>
        </w:rPr>
        <w:t> </w:t>
      </w:r>
      <w:r>
        <w:rPr>
          <w:w w:val="115"/>
        </w:rPr>
        <w:t>2,</w:t>
      </w:r>
      <w:r>
        <w:rPr>
          <w:spacing w:val="-10"/>
          <w:w w:val="115"/>
        </w:rPr>
        <w:t> </w:t>
      </w:r>
      <w:r>
        <w:rPr>
          <w:w w:val="115"/>
        </w:rPr>
        <w:t>pp.</w:t>
      </w:r>
      <w:r>
        <w:rPr>
          <w:spacing w:val="-10"/>
          <w:w w:val="115"/>
        </w:rPr>
        <w:t> </w:t>
      </w:r>
      <w:r>
        <w:rPr>
          <w:w w:val="115"/>
        </w:rPr>
        <w:t>7-38.</w:t>
      </w:r>
    </w:p>
    <w:p>
      <w:pPr>
        <w:pStyle w:val="BodyText"/>
        <w:spacing w:line="252" w:lineRule="auto" w:before="28"/>
        <w:ind w:left="727" w:right="85" w:hanging="397"/>
      </w:pPr>
      <w:r>
        <w:rPr>
          <w:w w:val="115"/>
        </w:rPr>
        <w:t>Grün,</w:t>
      </w:r>
      <w:r>
        <w:rPr>
          <w:spacing w:val="-22"/>
          <w:w w:val="115"/>
        </w:rPr>
        <w:t> </w:t>
      </w:r>
      <w:r>
        <w:rPr>
          <w:w w:val="115"/>
        </w:rPr>
        <w:t>roberto</w:t>
      </w:r>
      <w:r>
        <w:rPr>
          <w:spacing w:val="-22"/>
          <w:w w:val="115"/>
        </w:rPr>
        <w:t> </w:t>
      </w:r>
      <w:r>
        <w:rPr>
          <w:w w:val="115"/>
        </w:rPr>
        <w:t>2005</w:t>
      </w:r>
      <w:r>
        <w:rPr>
          <w:spacing w:val="-22"/>
          <w:w w:val="115"/>
        </w:rPr>
        <w:t> </w:t>
      </w:r>
      <w:r>
        <w:rPr>
          <w:w w:val="115"/>
        </w:rPr>
        <w:t>“Convergência</w:t>
      </w:r>
      <w:r>
        <w:rPr>
          <w:spacing w:val="-22"/>
          <w:w w:val="115"/>
        </w:rPr>
        <w:t> </w:t>
      </w:r>
      <w:r>
        <w:rPr>
          <w:w w:val="115"/>
        </w:rPr>
        <w:t>das</w:t>
      </w:r>
      <w:r>
        <w:rPr>
          <w:spacing w:val="-22"/>
          <w:w w:val="115"/>
        </w:rPr>
        <w:t> </w:t>
      </w:r>
      <w:r>
        <w:rPr>
          <w:w w:val="115"/>
        </w:rPr>
        <w:t>elites</w:t>
      </w:r>
      <w:r>
        <w:rPr>
          <w:spacing w:val="-22"/>
          <w:w w:val="115"/>
        </w:rPr>
        <w:t> </w:t>
      </w:r>
      <w:r>
        <w:rPr>
          <w:w w:val="115"/>
        </w:rPr>
        <w:t>e</w:t>
      </w:r>
      <w:r>
        <w:rPr>
          <w:spacing w:val="-22"/>
          <w:w w:val="115"/>
        </w:rPr>
        <w:t> </w:t>
      </w:r>
      <w:r>
        <w:rPr>
          <w:w w:val="115"/>
        </w:rPr>
        <w:t>inovações</w:t>
      </w:r>
      <w:r>
        <w:rPr>
          <w:spacing w:val="-22"/>
          <w:w w:val="115"/>
        </w:rPr>
        <w:t> </w:t>
      </w:r>
      <w:r>
        <w:rPr>
          <w:w w:val="115"/>
        </w:rPr>
        <w:t>financeiras: a governança corporativa no brasil”, en </w:t>
      </w:r>
      <w:r>
        <w:rPr>
          <w:i/>
          <w:spacing w:val="-5"/>
          <w:w w:val="115"/>
        </w:rPr>
        <w:t>Rev. </w:t>
      </w:r>
      <w:r>
        <w:rPr>
          <w:i/>
          <w:w w:val="115"/>
        </w:rPr>
        <w:t>bras. Ci. Soc. </w:t>
      </w:r>
      <w:r>
        <w:rPr>
          <w:w w:val="115"/>
        </w:rPr>
        <w:t>[online],</w:t>
      </w:r>
      <w:r>
        <w:rPr>
          <w:spacing w:val="-16"/>
          <w:w w:val="115"/>
        </w:rPr>
        <w:t> </w:t>
      </w:r>
      <w:r>
        <w:rPr>
          <w:spacing w:val="-4"/>
          <w:w w:val="115"/>
        </w:rPr>
        <w:t>Vol.</w:t>
      </w:r>
      <w:r>
        <w:rPr>
          <w:spacing w:val="-16"/>
          <w:w w:val="115"/>
        </w:rPr>
        <w:t> </w:t>
      </w:r>
      <w:r>
        <w:rPr>
          <w:w w:val="115"/>
        </w:rPr>
        <w:t>20,</w:t>
      </w:r>
      <w:r>
        <w:rPr>
          <w:spacing w:val="-16"/>
          <w:w w:val="115"/>
        </w:rPr>
        <w:t> </w:t>
      </w:r>
      <w:r>
        <w:rPr>
          <w:w w:val="115"/>
        </w:rPr>
        <w:t>Nº</w:t>
      </w:r>
      <w:r>
        <w:rPr>
          <w:spacing w:val="-16"/>
          <w:w w:val="115"/>
        </w:rPr>
        <w:t> </w:t>
      </w:r>
      <w:r>
        <w:rPr>
          <w:w w:val="115"/>
        </w:rPr>
        <w:t>58,</w:t>
      </w:r>
      <w:r>
        <w:rPr>
          <w:spacing w:val="-16"/>
          <w:w w:val="115"/>
        </w:rPr>
        <w:t> </w:t>
      </w:r>
      <w:r>
        <w:rPr>
          <w:w w:val="115"/>
        </w:rPr>
        <w:t>pp.</w:t>
      </w:r>
      <w:r>
        <w:rPr>
          <w:spacing w:val="-16"/>
          <w:w w:val="115"/>
        </w:rPr>
        <w:t> </w:t>
      </w:r>
      <w:r>
        <w:rPr>
          <w:w w:val="115"/>
        </w:rPr>
        <w:t>67-90.</w:t>
      </w:r>
    </w:p>
    <w:p>
      <w:pPr>
        <w:pStyle w:val="BodyText"/>
        <w:spacing w:line="252" w:lineRule="auto" w:before="28"/>
        <w:ind w:left="727" w:right="179" w:hanging="397"/>
      </w:pPr>
      <w:r>
        <w:rPr>
          <w:w w:val="115"/>
        </w:rPr>
        <w:t>Grün, roberto 2009 “Financeirização de esquerda? Frutos inesperados no brasil do século xxi”, en </w:t>
      </w:r>
      <w:r>
        <w:rPr>
          <w:i/>
          <w:w w:val="115"/>
        </w:rPr>
        <w:t>Tempo Social</w:t>
      </w:r>
      <w:r>
        <w:rPr>
          <w:w w:val="115"/>
        </w:rPr>
        <w:t>, são Paulo, Vol. 21, Nº 2.</w:t>
      </w:r>
    </w:p>
    <w:p>
      <w:pPr>
        <w:pStyle w:val="BodyText"/>
        <w:spacing w:line="252" w:lineRule="auto" w:before="28"/>
        <w:ind w:left="727" w:right="179" w:hanging="397"/>
        <w:rPr>
          <w:i/>
        </w:rPr>
      </w:pPr>
      <w:r>
        <w:rPr>
          <w:w w:val="116"/>
        </w:rPr>
        <w:t>Guilhot,</w:t>
      </w:r>
      <w:r>
        <w:rPr/>
        <w:t> </w:t>
      </w:r>
      <w:r>
        <w:rPr>
          <w:w w:val="113"/>
        </w:rPr>
        <w:t>Nicolas</w:t>
      </w:r>
      <w:r>
        <w:rPr/>
        <w:t> </w:t>
      </w:r>
      <w:r>
        <w:rPr>
          <w:w w:val="98"/>
        </w:rPr>
        <w:t>2001/2003</w:t>
      </w:r>
      <w:r>
        <w:rPr/>
        <w:t> </w:t>
      </w:r>
      <w:r>
        <w:rPr>
          <w:w w:val="115"/>
        </w:rPr>
        <w:t>“</w:t>
      </w:r>
      <w:r>
        <w:rPr>
          <w:w w:val="243"/>
        </w:rPr>
        <w:t>l</w:t>
      </w:r>
      <w:r>
        <w:rPr>
          <w:w w:val="105"/>
        </w:rPr>
        <w:t>es</w:t>
      </w:r>
      <w:r>
        <w:rPr/>
        <w:t> </w:t>
      </w:r>
      <w:r>
        <w:rPr>
          <w:w w:val="108"/>
        </w:rPr>
        <w:t>professionnels</w:t>
      </w:r>
      <w:r>
        <w:rPr/>
        <w:t> </w:t>
      </w:r>
      <w:r>
        <w:rPr>
          <w:w w:val="107"/>
        </w:rPr>
        <w:t>de</w:t>
      </w:r>
      <w:r>
        <w:rPr/>
        <w:t> </w:t>
      </w:r>
      <w:r>
        <w:rPr>
          <w:w w:val="111"/>
        </w:rPr>
        <w:t>la</w:t>
      </w:r>
      <w:r>
        <w:rPr/>
        <w:t> </w:t>
      </w:r>
      <w:r>
        <w:rPr>
          <w:w w:val="109"/>
        </w:rPr>
        <w:t>démocratie: </w:t>
      </w:r>
      <w:r>
        <w:rPr>
          <w:w w:val="110"/>
        </w:rPr>
        <w:t>logiques militantes et logiques savantes dans le nouvel internationalisme américain”, en </w:t>
      </w:r>
      <w:r>
        <w:rPr>
          <w:i/>
          <w:w w:val="110"/>
        </w:rPr>
        <w:t>Actes de la  Recherche</w:t>
      </w:r>
    </w:p>
    <w:p>
      <w:pPr>
        <w:spacing w:line="252" w:lineRule="auto" w:before="0"/>
        <w:ind w:left="727" w:right="179" w:firstLine="0"/>
        <w:jc w:val="left"/>
        <w:rPr>
          <w:sz w:val="19"/>
        </w:rPr>
      </w:pPr>
      <w:r>
        <w:rPr>
          <w:i/>
          <w:w w:val="110"/>
          <w:sz w:val="19"/>
        </w:rPr>
        <w:t>en Sciences Sociales</w:t>
      </w:r>
      <w:r>
        <w:rPr>
          <w:w w:val="110"/>
          <w:sz w:val="19"/>
        </w:rPr>
        <w:t>, Nº 139, pp. 53-65, en &lt;http:// </w:t>
      </w:r>
      <w:hyperlink r:id="rId343">
        <w:r>
          <w:rPr>
            <w:w w:val="110"/>
            <w:sz w:val="19"/>
          </w:rPr>
          <w:t>www.cairn.info/article.php?id_rEVuE=arss&amp;id_</w:t>
        </w:r>
      </w:hyperlink>
    </w:p>
    <w:p>
      <w:pPr>
        <w:spacing w:after="0" w:line="252" w:lineRule="auto"/>
        <w:jc w:val="left"/>
        <w:rPr>
          <w:sz w:val="19"/>
        </w:rPr>
        <w:sectPr>
          <w:footerReference w:type="even" r:id="rId341"/>
          <w:footerReference w:type="default" r:id="rId342"/>
          <w:pgSz w:w="8790" w:h="12760"/>
          <w:pgMar w:footer="725" w:header="695" w:top="880" w:bottom="920" w:left="1200" w:right="940"/>
          <w:pgNumType w:start="242"/>
        </w:sectPr>
      </w:pPr>
    </w:p>
    <w:p>
      <w:pPr>
        <w:pStyle w:val="BodyText"/>
        <w:spacing w:before="9"/>
        <w:rPr>
          <w:sz w:val="28"/>
        </w:rPr>
      </w:pPr>
    </w:p>
    <w:p>
      <w:pPr>
        <w:pStyle w:val="BodyText"/>
        <w:spacing w:line="252" w:lineRule="auto" w:before="73"/>
        <w:ind w:left="497" w:right="528"/>
      </w:pPr>
      <w:r>
        <w:rPr>
          <w:w w:val="119"/>
        </w:rPr>
        <w:t>N</w:t>
      </w:r>
      <w:r>
        <w:rPr>
          <w:w w:val="140"/>
        </w:rPr>
        <w:t>u</w:t>
      </w:r>
      <w:r>
        <w:rPr>
          <w:w w:val="117"/>
        </w:rPr>
        <w:t>MP</w:t>
      </w:r>
      <w:r>
        <w:rPr>
          <w:w w:val="155"/>
        </w:rPr>
        <w:t>ubli</w:t>
      </w:r>
      <w:r>
        <w:rPr>
          <w:w w:val="119"/>
        </w:rPr>
        <w:t>E=</w:t>
      </w:r>
      <w:r>
        <w:rPr>
          <w:w w:val="154"/>
        </w:rPr>
        <w:t>arss</w:t>
      </w:r>
      <w:r>
        <w:rPr>
          <w:w w:val="112"/>
        </w:rPr>
        <w:t>_139&amp;</w:t>
      </w:r>
      <w:r>
        <w:rPr>
          <w:w w:val="140"/>
        </w:rPr>
        <w:t>id</w:t>
      </w:r>
      <w:r>
        <w:rPr>
          <w:w w:val="137"/>
        </w:rPr>
        <w:t>_</w:t>
      </w:r>
      <w:r>
        <w:rPr>
          <w:w w:val="159"/>
        </w:rPr>
        <w:t>ar</w:t>
      </w:r>
      <w:r>
        <w:rPr>
          <w:w w:val="171"/>
        </w:rPr>
        <w:t>ti</w:t>
      </w:r>
      <w:r>
        <w:rPr>
          <w:w w:val="124"/>
        </w:rPr>
        <w:t>C</w:t>
      </w:r>
      <w:r>
        <w:rPr>
          <w:w w:val="243"/>
        </w:rPr>
        <w:t>l</w:t>
      </w:r>
      <w:r>
        <w:rPr>
          <w:w w:val="119"/>
        </w:rPr>
        <w:t>E=</w:t>
      </w:r>
      <w:r>
        <w:rPr>
          <w:w w:val="154"/>
        </w:rPr>
        <w:t>arss</w:t>
      </w:r>
      <w:r>
        <w:rPr>
          <w:w w:val="108"/>
        </w:rPr>
        <w:t>_139_0053&gt; </w:t>
      </w:r>
      <w:r>
        <w:rPr>
          <w:w w:val="115"/>
        </w:rPr>
        <w:t>según entrada hecha el día 14 de agosto de 2008.</w:t>
      </w:r>
    </w:p>
    <w:p>
      <w:pPr>
        <w:spacing w:line="252" w:lineRule="auto" w:before="28"/>
        <w:ind w:left="497" w:right="793" w:hanging="397"/>
        <w:jc w:val="left"/>
        <w:rPr>
          <w:sz w:val="19"/>
        </w:rPr>
      </w:pPr>
      <w:r>
        <w:rPr>
          <w:spacing w:val="-4"/>
          <w:w w:val="115"/>
          <w:sz w:val="19"/>
        </w:rPr>
        <w:t>Harvey,</w:t>
      </w:r>
      <w:r>
        <w:rPr>
          <w:spacing w:val="-15"/>
          <w:w w:val="115"/>
          <w:sz w:val="19"/>
        </w:rPr>
        <w:t> </w:t>
      </w:r>
      <w:r>
        <w:rPr>
          <w:w w:val="115"/>
          <w:sz w:val="19"/>
        </w:rPr>
        <w:t>david</w:t>
      </w:r>
      <w:r>
        <w:rPr>
          <w:spacing w:val="-15"/>
          <w:w w:val="115"/>
          <w:sz w:val="19"/>
        </w:rPr>
        <w:t> </w:t>
      </w:r>
      <w:r>
        <w:rPr>
          <w:w w:val="115"/>
          <w:sz w:val="19"/>
        </w:rPr>
        <w:t>2008</w:t>
      </w:r>
      <w:r>
        <w:rPr>
          <w:spacing w:val="-15"/>
          <w:w w:val="115"/>
          <w:sz w:val="19"/>
        </w:rPr>
        <w:t> </w:t>
      </w:r>
      <w:r>
        <w:rPr>
          <w:i/>
          <w:w w:val="125"/>
          <w:sz w:val="19"/>
        </w:rPr>
        <w:t>o</w:t>
      </w:r>
      <w:r>
        <w:rPr>
          <w:i/>
          <w:spacing w:val="-20"/>
          <w:w w:val="125"/>
          <w:sz w:val="19"/>
        </w:rPr>
        <w:t> </w:t>
      </w:r>
      <w:r>
        <w:rPr>
          <w:i/>
          <w:w w:val="115"/>
          <w:sz w:val="19"/>
        </w:rPr>
        <w:t>neoliberalismo:</w:t>
      </w:r>
      <w:r>
        <w:rPr>
          <w:i/>
          <w:spacing w:val="-15"/>
          <w:w w:val="115"/>
          <w:sz w:val="19"/>
        </w:rPr>
        <w:t> </w:t>
      </w:r>
      <w:r>
        <w:rPr>
          <w:i/>
          <w:w w:val="115"/>
          <w:sz w:val="19"/>
        </w:rPr>
        <w:t>história</w:t>
      </w:r>
      <w:r>
        <w:rPr>
          <w:i/>
          <w:spacing w:val="-15"/>
          <w:w w:val="115"/>
          <w:sz w:val="19"/>
        </w:rPr>
        <w:t> </w:t>
      </w:r>
      <w:r>
        <w:rPr>
          <w:i/>
          <w:w w:val="115"/>
          <w:sz w:val="19"/>
        </w:rPr>
        <w:t>e</w:t>
      </w:r>
      <w:r>
        <w:rPr>
          <w:i/>
          <w:spacing w:val="-15"/>
          <w:w w:val="115"/>
          <w:sz w:val="19"/>
        </w:rPr>
        <w:t> </w:t>
      </w:r>
      <w:r>
        <w:rPr>
          <w:i/>
          <w:w w:val="115"/>
          <w:sz w:val="19"/>
        </w:rPr>
        <w:t>implicações</w:t>
      </w:r>
      <w:r>
        <w:rPr>
          <w:i/>
          <w:spacing w:val="-15"/>
          <w:w w:val="115"/>
          <w:sz w:val="19"/>
        </w:rPr>
        <w:t> </w:t>
      </w:r>
      <w:r>
        <w:rPr>
          <w:w w:val="115"/>
          <w:sz w:val="19"/>
        </w:rPr>
        <w:t>(são </w:t>
      </w:r>
      <w:r>
        <w:rPr>
          <w:w w:val="111"/>
          <w:sz w:val="19"/>
        </w:rPr>
        <w:t>Paulo:</w:t>
      </w:r>
      <w:r>
        <w:rPr>
          <w:spacing w:val="12"/>
          <w:sz w:val="19"/>
        </w:rPr>
        <w:t> </w:t>
      </w:r>
      <w:r>
        <w:rPr>
          <w:w w:val="243"/>
          <w:sz w:val="19"/>
        </w:rPr>
        <w:t>l</w:t>
      </w:r>
      <w:r>
        <w:rPr>
          <w:w w:val="110"/>
          <w:sz w:val="19"/>
        </w:rPr>
        <w:t>oyola).</w:t>
      </w:r>
    </w:p>
    <w:p>
      <w:pPr>
        <w:pStyle w:val="BodyText"/>
        <w:spacing w:line="252" w:lineRule="auto" w:before="28"/>
        <w:ind w:left="497" w:right="528" w:hanging="397"/>
      </w:pPr>
      <w:r>
        <w:rPr>
          <w:w w:val="115"/>
        </w:rPr>
        <w:t>Hilb, Martin 2009 “New Corporate Governance in the Post-Crisis World”,</w:t>
      </w:r>
      <w:r>
        <w:rPr>
          <w:spacing w:val="-19"/>
          <w:w w:val="115"/>
        </w:rPr>
        <w:t> </w:t>
      </w:r>
      <w:r>
        <w:rPr>
          <w:w w:val="115"/>
        </w:rPr>
        <w:t>en</w:t>
      </w:r>
      <w:r>
        <w:rPr>
          <w:spacing w:val="-19"/>
          <w:w w:val="115"/>
        </w:rPr>
        <w:t> </w:t>
      </w:r>
      <w:r>
        <w:rPr>
          <w:i/>
          <w:w w:val="115"/>
        </w:rPr>
        <w:t>Global</w:t>
      </w:r>
      <w:r>
        <w:rPr>
          <w:i/>
          <w:spacing w:val="-19"/>
          <w:w w:val="115"/>
        </w:rPr>
        <w:t> </w:t>
      </w:r>
      <w:r>
        <w:rPr>
          <w:i/>
          <w:w w:val="115"/>
        </w:rPr>
        <w:t>Corporate</w:t>
      </w:r>
      <w:r>
        <w:rPr>
          <w:i/>
          <w:spacing w:val="-19"/>
          <w:w w:val="115"/>
        </w:rPr>
        <w:t> </w:t>
      </w:r>
      <w:r>
        <w:rPr>
          <w:i/>
          <w:w w:val="115"/>
        </w:rPr>
        <w:t>Governance</w:t>
      </w:r>
      <w:r>
        <w:rPr>
          <w:i/>
          <w:spacing w:val="-19"/>
          <w:w w:val="115"/>
        </w:rPr>
        <w:t> </w:t>
      </w:r>
      <w:r>
        <w:rPr>
          <w:i/>
          <w:w w:val="115"/>
        </w:rPr>
        <w:t>Forum.</w:t>
      </w:r>
      <w:r>
        <w:rPr>
          <w:i/>
          <w:spacing w:val="-19"/>
          <w:w w:val="115"/>
        </w:rPr>
        <w:t> </w:t>
      </w:r>
      <w:r>
        <w:rPr>
          <w:w w:val="115"/>
        </w:rPr>
        <w:t>Private</w:t>
      </w:r>
      <w:r>
        <w:rPr>
          <w:spacing w:val="-19"/>
          <w:w w:val="115"/>
        </w:rPr>
        <w:t> </w:t>
      </w:r>
      <w:r>
        <w:rPr>
          <w:w w:val="115"/>
        </w:rPr>
        <w:t>sector opinion - issue 16, en </w:t>
      </w:r>
      <w:hyperlink r:id="rId344">
        <w:r>
          <w:rPr>
            <w:w w:val="115"/>
          </w:rPr>
          <w:t>&lt;http://www.gcgf.org/ifcext/cgf.nsf/</w:t>
        </w:r>
      </w:hyperlink>
      <w:r>
        <w:rPr>
          <w:w w:val="115"/>
        </w:rPr>
        <w:t> attachmentsbytitle/Pso16/$FilE/GCGF+Pso+issue+16+1-</w:t>
      </w:r>
    </w:p>
    <w:p>
      <w:pPr>
        <w:pStyle w:val="ListParagraph"/>
        <w:numPr>
          <w:ilvl w:val="1"/>
          <w:numId w:val="29"/>
        </w:numPr>
        <w:tabs>
          <w:tab w:pos="887" w:val="left" w:leader="none"/>
        </w:tabs>
        <w:spacing w:line="252" w:lineRule="auto" w:before="0" w:after="0"/>
        <w:ind w:left="497" w:right="1146" w:firstLine="0"/>
        <w:jc w:val="left"/>
        <w:rPr>
          <w:sz w:val="19"/>
        </w:rPr>
      </w:pPr>
      <w:r>
        <w:rPr>
          <w:w w:val="110"/>
          <w:sz w:val="19"/>
        </w:rPr>
        <w:t>screen_FiNal.pdf&gt; según entrada hecha el día 5 de septiembre de</w:t>
      </w:r>
      <w:r>
        <w:rPr>
          <w:spacing w:val="-28"/>
          <w:w w:val="110"/>
          <w:sz w:val="19"/>
        </w:rPr>
        <w:t> </w:t>
      </w:r>
      <w:r>
        <w:rPr>
          <w:w w:val="110"/>
          <w:sz w:val="19"/>
        </w:rPr>
        <w:t>2010.</w:t>
      </w:r>
    </w:p>
    <w:p>
      <w:pPr>
        <w:spacing w:before="28"/>
        <w:ind w:left="100" w:right="0" w:firstLine="0"/>
        <w:jc w:val="left"/>
        <w:rPr>
          <w:sz w:val="19"/>
        </w:rPr>
      </w:pPr>
      <w:r>
        <w:rPr>
          <w:w w:val="110"/>
          <w:sz w:val="19"/>
        </w:rPr>
        <w:t>ibGC </w:t>
      </w:r>
      <w:r>
        <w:rPr>
          <w:i/>
          <w:w w:val="110"/>
          <w:sz w:val="19"/>
        </w:rPr>
        <w:t>Relatório Anual </w:t>
      </w:r>
      <w:r>
        <w:rPr>
          <w:w w:val="110"/>
          <w:sz w:val="19"/>
        </w:rPr>
        <w:t>2005, 2006, 2007 y 2008.</w:t>
      </w:r>
    </w:p>
    <w:p>
      <w:pPr>
        <w:spacing w:line="252" w:lineRule="auto" w:before="39"/>
        <w:ind w:left="497" w:right="528" w:hanging="397"/>
        <w:jc w:val="left"/>
        <w:rPr>
          <w:sz w:val="19"/>
        </w:rPr>
      </w:pPr>
      <w:r>
        <w:rPr>
          <w:w w:val="110"/>
          <w:sz w:val="19"/>
        </w:rPr>
        <w:t>islam, Nafisul 2007 “Making the ‘extralegal’ legal”, en CiPE, </w:t>
      </w:r>
      <w:r>
        <w:rPr>
          <w:i/>
          <w:w w:val="110"/>
          <w:sz w:val="19"/>
        </w:rPr>
        <w:t>Strategies for policy reform: experiences from around the world </w:t>
      </w:r>
      <w:r>
        <w:rPr>
          <w:w w:val="110"/>
          <w:sz w:val="19"/>
        </w:rPr>
        <w:t>(Washington,  dC:  CiPE),  pp. 54-58.</w:t>
      </w:r>
    </w:p>
    <w:p>
      <w:pPr>
        <w:pStyle w:val="BodyText"/>
        <w:spacing w:line="252" w:lineRule="auto" w:before="28"/>
        <w:ind w:left="497" w:right="528" w:hanging="397"/>
      </w:pPr>
      <w:r>
        <w:rPr>
          <w:w w:val="110"/>
        </w:rPr>
        <w:t>Kopittke, Henrique Pedrazza 2013 </w:t>
      </w:r>
      <w:r>
        <w:rPr>
          <w:i/>
          <w:w w:val="110"/>
        </w:rPr>
        <w:t>Relatório de Prática de Pesquisa</w:t>
      </w:r>
      <w:r>
        <w:rPr>
          <w:w w:val="110"/>
        </w:rPr>
        <w:t>, Curso  de  Ciências  sociais/Núcleo  de  Estudos  sociopolíticos do sistema Financeiro (Nesfi), universidade Federal de santa Catarina,  julio.</w:t>
      </w:r>
    </w:p>
    <w:p>
      <w:pPr>
        <w:pStyle w:val="BodyText"/>
        <w:spacing w:line="252" w:lineRule="auto" w:before="28"/>
        <w:ind w:left="497" w:right="819" w:hanging="397"/>
      </w:pPr>
      <w:r>
        <w:rPr>
          <w:w w:val="110"/>
        </w:rPr>
        <w:t>Kopittke, Henrique Pedrazza 2015 “democracy that delivers: uma análise da atuação do Center for international   Private</w:t>
      </w:r>
    </w:p>
    <w:p>
      <w:pPr>
        <w:pStyle w:val="BodyText"/>
        <w:spacing w:line="252" w:lineRule="auto"/>
        <w:ind w:left="497"/>
      </w:pPr>
      <w:r>
        <w:rPr>
          <w:w w:val="110"/>
        </w:rPr>
        <w:t>Enterprise</w:t>
      </w:r>
      <w:r>
        <w:rPr/>
        <w:t> </w:t>
      </w:r>
      <w:r>
        <w:rPr>
          <w:w w:val="114"/>
        </w:rPr>
        <w:t>(C</w:t>
      </w:r>
      <w:r>
        <w:rPr>
          <w:w w:val="142"/>
        </w:rPr>
        <w:t>i</w:t>
      </w:r>
      <w:r>
        <w:rPr>
          <w:w w:val="115"/>
        </w:rPr>
        <w:t>PE)</w:t>
      </w:r>
      <w:r>
        <w:rPr/>
        <w:t> </w:t>
      </w:r>
      <w:r>
        <w:rPr>
          <w:w w:val="112"/>
        </w:rPr>
        <w:t>na</w:t>
      </w:r>
      <w:r>
        <w:rPr/>
        <w:t> </w:t>
      </w:r>
      <w:r>
        <w:rPr>
          <w:w w:val="139"/>
        </w:rPr>
        <w:t>a</w:t>
      </w:r>
      <w:r>
        <w:rPr>
          <w:w w:val="111"/>
        </w:rPr>
        <w:t>mérica</w:t>
      </w:r>
      <w:r>
        <w:rPr/>
        <w:t> </w:t>
      </w:r>
      <w:r>
        <w:rPr>
          <w:w w:val="243"/>
        </w:rPr>
        <w:t>l</w:t>
      </w:r>
      <w:r>
        <w:rPr>
          <w:w w:val="111"/>
        </w:rPr>
        <w:t>atina</w:t>
      </w:r>
      <w:r>
        <w:rPr/>
        <w:t> </w:t>
      </w:r>
      <w:r>
        <w:rPr>
          <w:w w:val="104"/>
        </w:rPr>
        <w:t>(2008-2012)”.</w:t>
      </w:r>
      <w:r>
        <w:rPr/>
        <w:t> </w:t>
      </w:r>
      <w:r>
        <w:rPr>
          <w:w w:val="195"/>
        </w:rPr>
        <w:t>t</w:t>
      </w:r>
      <w:r>
        <w:rPr>
          <w:w w:val="110"/>
        </w:rPr>
        <w:t>rabajo</w:t>
      </w:r>
      <w:r>
        <w:rPr/>
        <w:t> </w:t>
      </w:r>
      <w:r>
        <w:rPr>
          <w:w w:val="107"/>
        </w:rPr>
        <w:t>de </w:t>
      </w:r>
      <w:r>
        <w:rPr>
          <w:w w:val="110"/>
        </w:rPr>
        <w:t>Conclusión de Curso (Florianópolis: Curso de Ciencias sociales/ universidade Federal de santa   Catarina).</w:t>
      </w:r>
    </w:p>
    <w:p>
      <w:pPr>
        <w:pStyle w:val="BodyText"/>
        <w:spacing w:line="252" w:lineRule="auto" w:before="28"/>
        <w:ind w:left="497" w:right="352" w:hanging="397"/>
      </w:pPr>
      <w:r>
        <w:rPr>
          <w:w w:val="110"/>
        </w:rPr>
        <w:t>Kopittke, Henrique Pedrazza 2015 “o Fundo Nacional para a democracia (National Endowment for democracy - NEd): características, atuação e vínculos com o sistema financeiro”, en </w:t>
      </w:r>
      <w:r>
        <w:rPr>
          <w:i/>
          <w:w w:val="110"/>
        </w:rPr>
        <w:t>Relatório Bolsa CNPq-PIBIC-UFSC </w:t>
      </w:r>
      <w:r>
        <w:rPr>
          <w:w w:val="110"/>
        </w:rPr>
        <w:t>(Florianópolis: universidade Federal  de  santa Catarina).</w:t>
      </w:r>
    </w:p>
    <w:p>
      <w:pPr>
        <w:pStyle w:val="BodyText"/>
        <w:spacing w:line="252" w:lineRule="auto" w:before="28"/>
        <w:ind w:left="497" w:right="699" w:hanging="397"/>
      </w:pPr>
      <w:r>
        <w:rPr>
          <w:w w:val="115"/>
        </w:rPr>
        <w:t>Kitagawa, Carlos H.; ribeiro, Maísa de souza 2009 “Governança </w:t>
      </w:r>
      <w:r>
        <w:rPr>
          <w:w w:val="109"/>
        </w:rPr>
        <w:t>corporativa</w:t>
      </w:r>
      <w:r>
        <w:rPr/>
        <w:t> </w:t>
      </w:r>
      <w:r>
        <w:rPr>
          <w:w w:val="112"/>
        </w:rPr>
        <w:t>na</w:t>
      </w:r>
      <w:r>
        <w:rPr/>
        <w:t> </w:t>
      </w:r>
      <w:r>
        <w:rPr>
          <w:w w:val="139"/>
        </w:rPr>
        <w:t>a</w:t>
      </w:r>
      <w:r>
        <w:rPr>
          <w:w w:val="111"/>
        </w:rPr>
        <w:t>mérica</w:t>
      </w:r>
      <w:r>
        <w:rPr/>
        <w:t> </w:t>
      </w:r>
      <w:r>
        <w:rPr>
          <w:w w:val="243"/>
        </w:rPr>
        <w:t>l</w:t>
      </w:r>
      <w:r>
        <w:rPr>
          <w:w w:val="111"/>
        </w:rPr>
        <w:t>atina:</w:t>
      </w:r>
      <w:r>
        <w:rPr/>
        <w:t> </w:t>
      </w:r>
      <w:r>
        <w:rPr>
          <w:w w:val="112"/>
        </w:rPr>
        <w:t>a</w:t>
      </w:r>
      <w:r>
        <w:rPr/>
        <w:t> </w:t>
      </w:r>
      <w:r>
        <w:rPr>
          <w:w w:val="109"/>
        </w:rPr>
        <w:t>relevância</w:t>
      </w:r>
      <w:r>
        <w:rPr/>
        <w:t> </w:t>
      </w:r>
      <w:r>
        <w:rPr>
          <w:w w:val="108"/>
        </w:rPr>
        <w:t>dos</w:t>
      </w:r>
      <w:r>
        <w:rPr/>
        <w:t> </w:t>
      </w:r>
      <w:r>
        <w:rPr>
          <w:w w:val="110"/>
        </w:rPr>
        <w:t>princípios </w:t>
      </w:r>
      <w:r>
        <w:rPr>
          <w:w w:val="115"/>
        </w:rPr>
        <w:t>da oCdE na integridade dos conselhos e autonomia dos</w:t>
      </w:r>
    </w:p>
    <w:p>
      <w:pPr>
        <w:spacing w:line="252" w:lineRule="auto" w:before="0"/>
        <w:ind w:left="497" w:right="438" w:firstLine="0"/>
        <w:jc w:val="left"/>
        <w:rPr>
          <w:sz w:val="19"/>
        </w:rPr>
      </w:pPr>
      <w:r>
        <w:rPr>
          <w:w w:val="110"/>
          <w:sz w:val="19"/>
        </w:rPr>
        <w:t>conselheiros”, en </w:t>
      </w:r>
      <w:r>
        <w:rPr>
          <w:i/>
          <w:w w:val="110"/>
          <w:sz w:val="19"/>
        </w:rPr>
        <w:t>Rev. contab. finanç</w:t>
      </w:r>
      <w:r>
        <w:rPr>
          <w:w w:val="110"/>
          <w:sz w:val="19"/>
        </w:rPr>
        <w:t>. [online], Vol.20, Nº 51, pp. 61-76.</w:t>
      </w:r>
    </w:p>
    <w:p>
      <w:pPr>
        <w:pStyle w:val="BodyText"/>
        <w:spacing w:line="252" w:lineRule="auto" w:before="28"/>
        <w:ind w:left="497" w:right="619" w:hanging="397"/>
      </w:pPr>
      <w:r>
        <w:rPr>
          <w:w w:val="243"/>
        </w:rPr>
        <w:t>l</w:t>
      </w:r>
      <w:r>
        <w:rPr>
          <w:w w:val="113"/>
        </w:rPr>
        <w:t>ara,</w:t>
      </w:r>
      <w:r>
        <w:rPr>
          <w:spacing w:val="12"/>
        </w:rPr>
        <w:t> </w:t>
      </w:r>
      <w:r>
        <w:rPr>
          <w:w w:val="112"/>
        </w:rPr>
        <w:t>Eduardo</w:t>
      </w:r>
      <w:r>
        <w:rPr>
          <w:spacing w:val="12"/>
        </w:rPr>
        <w:t> </w:t>
      </w:r>
      <w:r>
        <w:rPr>
          <w:w w:val="149"/>
        </w:rPr>
        <w:t>s</w:t>
      </w:r>
      <w:r>
        <w:rPr>
          <w:w w:val="107"/>
        </w:rPr>
        <w:t>oares</w:t>
      </w:r>
      <w:r>
        <w:rPr>
          <w:spacing w:val="12"/>
        </w:rPr>
        <w:t> </w:t>
      </w:r>
      <w:r>
        <w:rPr>
          <w:w w:val="107"/>
        </w:rPr>
        <w:t>de</w:t>
      </w:r>
      <w:r>
        <w:rPr>
          <w:spacing w:val="12"/>
        </w:rPr>
        <w:t> </w:t>
      </w:r>
      <w:r>
        <w:rPr>
          <w:w w:val="102"/>
        </w:rPr>
        <w:t>2015</w:t>
      </w:r>
      <w:r>
        <w:rPr>
          <w:spacing w:val="12"/>
        </w:rPr>
        <w:t> </w:t>
      </w:r>
      <w:r>
        <w:rPr>
          <w:w w:val="115"/>
        </w:rPr>
        <w:t>“</w:t>
      </w:r>
      <w:r>
        <w:rPr>
          <w:w w:val="139"/>
        </w:rPr>
        <w:t>a</w:t>
      </w:r>
      <w:r>
        <w:rPr>
          <w:spacing w:val="12"/>
        </w:rPr>
        <w:t> </w:t>
      </w:r>
      <w:r>
        <w:rPr>
          <w:w w:val="112"/>
        </w:rPr>
        <w:t>Governança</w:t>
      </w:r>
      <w:r>
        <w:rPr>
          <w:spacing w:val="12"/>
        </w:rPr>
        <w:t> </w:t>
      </w:r>
      <w:r>
        <w:rPr>
          <w:w w:val="110"/>
        </w:rPr>
        <w:t>Corporativa</w:t>
      </w:r>
      <w:r>
        <w:rPr>
          <w:spacing w:val="12"/>
        </w:rPr>
        <w:t> </w:t>
      </w:r>
      <w:r>
        <w:rPr>
          <w:w w:val="111"/>
        </w:rPr>
        <w:t>no </w:t>
      </w:r>
      <w:r>
        <w:rPr>
          <w:w w:val="115"/>
        </w:rPr>
        <w:t>brasil:</w:t>
      </w:r>
      <w:r>
        <w:rPr>
          <w:spacing w:val="-23"/>
          <w:w w:val="115"/>
        </w:rPr>
        <w:t> </w:t>
      </w:r>
      <w:r>
        <w:rPr>
          <w:w w:val="115"/>
        </w:rPr>
        <w:t>estudo</w:t>
      </w:r>
      <w:r>
        <w:rPr>
          <w:spacing w:val="-23"/>
          <w:w w:val="115"/>
        </w:rPr>
        <w:t> </w:t>
      </w:r>
      <w:r>
        <w:rPr>
          <w:w w:val="115"/>
        </w:rPr>
        <w:t>e</w:t>
      </w:r>
      <w:r>
        <w:rPr>
          <w:spacing w:val="-23"/>
          <w:w w:val="115"/>
        </w:rPr>
        <w:t> </w:t>
      </w:r>
      <w:r>
        <w:rPr>
          <w:w w:val="115"/>
        </w:rPr>
        <w:t>difusão</w:t>
      </w:r>
      <w:r>
        <w:rPr>
          <w:spacing w:val="-23"/>
          <w:w w:val="115"/>
        </w:rPr>
        <w:t> </w:t>
      </w:r>
      <w:r>
        <w:rPr>
          <w:w w:val="115"/>
        </w:rPr>
        <w:t>a</w:t>
      </w:r>
      <w:r>
        <w:rPr>
          <w:spacing w:val="-23"/>
          <w:w w:val="115"/>
        </w:rPr>
        <w:t> </w:t>
      </w:r>
      <w:r>
        <w:rPr>
          <w:w w:val="115"/>
        </w:rPr>
        <w:t>partir</w:t>
      </w:r>
      <w:r>
        <w:rPr>
          <w:spacing w:val="-23"/>
          <w:w w:val="115"/>
        </w:rPr>
        <w:t> </w:t>
      </w:r>
      <w:r>
        <w:rPr>
          <w:w w:val="115"/>
        </w:rPr>
        <w:t>de</w:t>
      </w:r>
      <w:r>
        <w:rPr>
          <w:spacing w:val="-23"/>
          <w:w w:val="115"/>
        </w:rPr>
        <w:t> </w:t>
      </w:r>
      <w:r>
        <w:rPr>
          <w:w w:val="115"/>
        </w:rPr>
        <w:t>organizações</w:t>
      </w:r>
      <w:r>
        <w:rPr>
          <w:spacing w:val="-23"/>
          <w:w w:val="115"/>
        </w:rPr>
        <w:t> </w:t>
      </w:r>
      <w:r>
        <w:rPr>
          <w:w w:val="115"/>
        </w:rPr>
        <w:t>empresariais e</w:t>
      </w:r>
      <w:r>
        <w:rPr>
          <w:spacing w:val="-9"/>
          <w:w w:val="115"/>
        </w:rPr>
        <w:t> </w:t>
      </w:r>
      <w:r>
        <w:rPr>
          <w:w w:val="115"/>
        </w:rPr>
        <w:t>institutos</w:t>
      </w:r>
      <w:r>
        <w:rPr>
          <w:spacing w:val="-9"/>
          <w:w w:val="115"/>
        </w:rPr>
        <w:t> </w:t>
      </w:r>
      <w:r>
        <w:rPr>
          <w:w w:val="115"/>
        </w:rPr>
        <w:t>acadêmicas”.</w:t>
      </w:r>
      <w:r>
        <w:rPr>
          <w:spacing w:val="-9"/>
          <w:w w:val="115"/>
        </w:rPr>
        <w:t> </w:t>
      </w:r>
      <w:r>
        <w:rPr>
          <w:spacing w:val="-3"/>
          <w:w w:val="115"/>
        </w:rPr>
        <w:t>trabajo</w:t>
      </w:r>
      <w:r>
        <w:rPr>
          <w:spacing w:val="-9"/>
          <w:w w:val="115"/>
        </w:rPr>
        <w:t> </w:t>
      </w:r>
      <w:r>
        <w:rPr>
          <w:w w:val="115"/>
        </w:rPr>
        <w:t>de</w:t>
      </w:r>
      <w:r>
        <w:rPr>
          <w:spacing w:val="-9"/>
          <w:w w:val="115"/>
        </w:rPr>
        <w:t> </w:t>
      </w:r>
      <w:r>
        <w:rPr>
          <w:w w:val="115"/>
        </w:rPr>
        <w:t>Conclusión</w:t>
      </w:r>
      <w:r>
        <w:rPr>
          <w:spacing w:val="-9"/>
          <w:w w:val="115"/>
        </w:rPr>
        <w:t> </w:t>
      </w:r>
      <w:r>
        <w:rPr>
          <w:w w:val="115"/>
        </w:rPr>
        <w:t>de</w:t>
      </w:r>
      <w:r>
        <w:rPr>
          <w:spacing w:val="-9"/>
          <w:w w:val="115"/>
        </w:rPr>
        <w:t> </w:t>
      </w:r>
      <w:r>
        <w:rPr>
          <w:w w:val="115"/>
        </w:rPr>
        <w:t>Curso</w:t>
      </w:r>
    </w:p>
    <w:p>
      <w:pPr>
        <w:pStyle w:val="BodyText"/>
        <w:spacing w:line="252" w:lineRule="auto"/>
        <w:ind w:left="497" w:right="352"/>
      </w:pPr>
      <w:r>
        <w:rPr>
          <w:w w:val="110"/>
        </w:rPr>
        <w:t>(Florianópolis: Curso de Ciencias sociales/universidade Federal de  santa Catarina).</w:t>
      </w:r>
    </w:p>
    <w:p>
      <w:pPr>
        <w:spacing w:line="252" w:lineRule="auto" w:before="28"/>
        <w:ind w:left="497" w:right="640" w:hanging="397"/>
        <w:jc w:val="left"/>
        <w:rPr>
          <w:sz w:val="19"/>
        </w:rPr>
      </w:pPr>
      <w:r>
        <w:rPr>
          <w:w w:val="243"/>
          <w:sz w:val="19"/>
        </w:rPr>
        <w:t>l</w:t>
      </w:r>
      <w:r>
        <w:rPr>
          <w:w w:val="111"/>
          <w:sz w:val="19"/>
        </w:rPr>
        <w:t>efort,</w:t>
      </w:r>
      <w:r>
        <w:rPr>
          <w:spacing w:val="12"/>
          <w:sz w:val="19"/>
        </w:rPr>
        <w:t> </w:t>
      </w:r>
      <w:r>
        <w:rPr>
          <w:w w:val="110"/>
          <w:sz w:val="19"/>
        </w:rPr>
        <w:t>Fernando</w:t>
      </w:r>
      <w:r>
        <w:rPr>
          <w:spacing w:val="12"/>
          <w:sz w:val="19"/>
        </w:rPr>
        <w:t> </w:t>
      </w:r>
      <w:r>
        <w:rPr>
          <w:w w:val="102"/>
          <w:sz w:val="19"/>
        </w:rPr>
        <w:t>2003</w:t>
      </w:r>
      <w:r>
        <w:rPr>
          <w:spacing w:val="12"/>
          <w:sz w:val="19"/>
        </w:rPr>
        <w:t> </w:t>
      </w:r>
      <w:r>
        <w:rPr>
          <w:w w:val="115"/>
          <w:sz w:val="19"/>
        </w:rPr>
        <w:t>“</w:t>
      </w:r>
      <w:r>
        <w:rPr>
          <w:w w:val="149"/>
          <w:sz w:val="19"/>
        </w:rPr>
        <w:t>o</w:t>
      </w:r>
      <w:r>
        <w:rPr>
          <w:w w:val="108"/>
          <w:sz w:val="19"/>
        </w:rPr>
        <w:t>wnership</w:t>
      </w:r>
      <w:r>
        <w:rPr>
          <w:spacing w:val="12"/>
          <w:sz w:val="19"/>
        </w:rPr>
        <w:t> </w:t>
      </w:r>
      <w:r>
        <w:rPr>
          <w:w w:val="108"/>
          <w:sz w:val="19"/>
        </w:rPr>
        <w:t>structure</w:t>
      </w:r>
      <w:r>
        <w:rPr>
          <w:spacing w:val="12"/>
          <w:sz w:val="19"/>
        </w:rPr>
        <w:t> </w:t>
      </w:r>
      <w:r>
        <w:rPr>
          <w:w w:val="111"/>
          <w:sz w:val="19"/>
        </w:rPr>
        <w:t>and</w:t>
      </w:r>
      <w:r>
        <w:rPr>
          <w:spacing w:val="12"/>
          <w:sz w:val="19"/>
        </w:rPr>
        <w:t> </w:t>
      </w:r>
      <w:r>
        <w:rPr>
          <w:w w:val="108"/>
          <w:sz w:val="19"/>
        </w:rPr>
        <w:t>corporate governance</w:t>
      </w:r>
      <w:r>
        <w:rPr>
          <w:spacing w:val="12"/>
          <w:sz w:val="19"/>
        </w:rPr>
        <w:t> </w:t>
      </w:r>
      <w:r>
        <w:rPr>
          <w:w w:val="113"/>
          <w:sz w:val="19"/>
        </w:rPr>
        <w:t>in</w:t>
      </w:r>
      <w:r>
        <w:rPr>
          <w:spacing w:val="12"/>
          <w:sz w:val="19"/>
        </w:rPr>
        <w:t> </w:t>
      </w:r>
      <w:r>
        <w:rPr>
          <w:w w:val="243"/>
          <w:sz w:val="19"/>
        </w:rPr>
        <w:t>l</w:t>
      </w:r>
      <w:r>
        <w:rPr>
          <w:w w:val="111"/>
          <w:sz w:val="19"/>
        </w:rPr>
        <w:t>atin</w:t>
      </w:r>
      <w:r>
        <w:rPr>
          <w:spacing w:val="12"/>
          <w:sz w:val="19"/>
        </w:rPr>
        <w:t> </w:t>
      </w:r>
      <w:r>
        <w:rPr>
          <w:w w:val="139"/>
          <w:sz w:val="19"/>
        </w:rPr>
        <w:t>a</w:t>
      </w:r>
      <w:r>
        <w:rPr>
          <w:w w:val="111"/>
          <w:sz w:val="19"/>
        </w:rPr>
        <w:t>merican</w:t>
      </w:r>
      <w:r>
        <w:rPr>
          <w:spacing w:val="12"/>
          <w:sz w:val="19"/>
        </w:rPr>
        <w:t> </w:t>
      </w:r>
      <w:r>
        <w:rPr>
          <w:w w:val="109"/>
          <w:sz w:val="19"/>
        </w:rPr>
        <w:t>countries</w:t>
      </w:r>
      <w:r>
        <w:rPr>
          <w:spacing w:val="12"/>
          <w:sz w:val="19"/>
        </w:rPr>
        <w:t> </w:t>
      </w:r>
      <w:r>
        <w:rPr>
          <w:w w:val="102"/>
          <w:sz w:val="19"/>
        </w:rPr>
        <w:t>-</w:t>
      </w:r>
      <w:r>
        <w:rPr>
          <w:spacing w:val="12"/>
          <w:sz w:val="19"/>
        </w:rPr>
        <w:t> </w:t>
      </w:r>
      <w:r>
        <w:rPr>
          <w:w w:val="112"/>
          <w:sz w:val="19"/>
        </w:rPr>
        <w:t>an</w:t>
      </w:r>
      <w:r>
        <w:rPr>
          <w:spacing w:val="12"/>
          <w:sz w:val="19"/>
        </w:rPr>
        <w:t> </w:t>
      </w:r>
      <w:r>
        <w:rPr>
          <w:w w:val="111"/>
          <w:sz w:val="19"/>
        </w:rPr>
        <w:t>empirical </w:t>
      </w:r>
      <w:r>
        <w:rPr>
          <w:w w:val="115"/>
          <w:sz w:val="19"/>
        </w:rPr>
        <w:t>overview”,</w:t>
      </w:r>
      <w:r>
        <w:rPr>
          <w:spacing w:val="-14"/>
          <w:w w:val="115"/>
          <w:sz w:val="19"/>
        </w:rPr>
        <w:t> </w:t>
      </w:r>
      <w:r>
        <w:rPr>
          <w:w w:val="115"/>
          <w:sz w:val="19"/>
        </w:rPr>
        <w:t>en</w:t>
      </w:r>
      <w:r>
        <w:rPr>
          <w:spacing w:val="-14"/>
          <w:w w:val="115"/>
          <w:sz w:val="19"/>
        </w:rPr>
        <w:t> </w:t>
      </w:r>
      <w:r>
        <w:rPr>
          <w:w w:val="115"/>
          <w:sz w:val="19"/>
        </w:rPr>
        <w:t>oCdE,</w:t>
      </w:r>
      <w:r>
        <w:rPr>
          <w:spacing w:val="-14"/>
          <w:w w:val="115"/>
          <w:sz w:val="19"/>
        </w:rPr>
        <w:t> </w:t>
      </w:r>
      <w:r>
        <w:rPr>
          <w:i/>
          <w:w w:val="115"/>
          <w:sz w:val="19"/>
        </w:rPr>
        <w:t>White</w:t>
      </w:r>
      <w:r>
        <w:rPr>
          <w:i/>
          <w:spacing w:val="-14"/>
          <w:w w:val="115"/>
          <w:sz w:val="19"/>
        </w:rPr>
        <w:t> </w:t>
      </w:r>
      <w:r>
        <w:rPr>
          <w:i/>
          <w:w w:val="115"/>
          <w:sz w:val="19"/>
        </w:rPr>
        <w:t>Paper</w:t>
      </w:r>
      <w:r>
        <w:rPr>
          <w:i/>
          <w:spacing w:val="-14"/>
          <w:w w:val="115"/>
          <w:sz w:val="19"/>
        </w:rPr>
        <w:t> </w:t>
      </w:r>
      <w:r>
        <w:rPr>
          <w:i/>
          <w:w w:val="115"/>
          <w:sz w:val="19"/>
        </w:rPr>
        <w:t>on</w:t>
      </w:r>
      <w:r>
        <w:rPr>
          <w:i/>
          <w:spacing w:val="-14"/>
          <w:w w:val="115"/>
          <w:sz w:val="19"/>
        </w:rPr>
        <w:t> </w:t>
      </w:r>
      <w:r>
        <w:rPr>
          <w:i/>
          <w:w w:val="115"/>
          <w:sz w:val="19"/>
        </w:rPr>
        <w:t>Corporate</w:t>
      </w:r>
      <w:r>
        <w:rPr>
          <w:i/>
          <w:spacing w:val="-14"/>
          <w:w w:val="115"/>
          <w:sz w:val="19"/>
        </w:rPr>
        <w:t> </w:t>
      </w:r>
      <w:r>
        <w:rPr>
          <w:i/>
          <w:w w:val="115"/>
          <w:sz w:val="19"/>
        </w:rPr>
        <w:t>Governance</w:t>
      </w:r>
      <w:r>
        <w:rPr>
          <w:i/>
          <w:spacing w:val="-14"/>
          <w:w w:val="115"/>
          <w:sz w:val="19"/>
        </w:rPr>
        <w:t> </w:t>
      </w:r>
      <w:r>
        <w:rPr>
          <w:i/>
          <w:w w:val="115"/>
          <w:sz w:val="19"/>
        </w:rPr>
        <w:t>in </w:t>
      </w:r>
      <w:r>
        <w:rPr>
          <w:i/>
          <w:w w:val="115"/>
          <w:sz w:val="19"/>
        </w:rPr>
        <w:t>Latin</w:t>
      </w:r>
      <w:r>
        <w:rPr>
          <w:i/>
          <w:spacing w:val="-28"/>
          <w:w w:val="115"/>
          <w:sz w:val="19"/>
        </w:rPr>
        <w:t> </w:t>
      </w:r>
      <w:r>
        <w:rPr>
          <w:i/>
          <w:w w:val="115"/>
          <w:sz w:val="19"/>
        </w:rPr>
        <w:t>America</w:t>
      </w:r>
      <w:r>
        <w:rPr>
          <w:w w:val="115"/>
          <w:sz w:val="19"/>
        </w:rPr>
        <w:t>,</w:t>
      </w:r>
      <w:r>
        <w:rPr>
          <w:spacing w:val="-28"/>
          <w:w w:val="115"/>
          <w:sz w:val="19"/>
        </w:rPr>
        <w:t> </w:t>
      </w:r>
      <w:r>
        <w:rPr>
          <w:w w:val="115"/>
          <w:sz w:val="19"/>
        </w:rPr>
        <w:t>pp.</w:t>
      </w:r>
      <w:r>
        <w:rPr>
          <w:spacing w:val="-28"/>
          <w:w w:val="115"/>
          <w:sz w:val="19"/>
        </w:rPr>
        <w:t> </w:t>
      </w:r>
      <w:r>
        <w:rPr>
          <w:w w:val="115"/>
          <w:sz w:val="19"/>
        </w:rPr>
        <w:t>46-57.</w:t>
      </w:r>
    </w:p>
    <w:p>
      <w:pPr>
        <w:spacing w:after="0" w:line="252" w:lineRule="auto"/>
        <w:jc w:val="left"/>
        <w:rPr>
          <w:sz w:val="19"/>
        </w:rPr>
        <w:sectPr>
          <w:pgSz w:w="8790" w:h="12760"/>
          <w:pgMar w:header="697" w:footer="723" w:top="880" w:bottom="920" w:left="920" w:right="1200"/>
        </w:sectPr>
      </w:pPr>
    </w:p>
    <w:p>
      <w:pPr>
        <w:pStyle w:val="BodyText"/>
        <w:spacing w:before="7"/>
        <w:rPr>
          <w:sz w:val="28"/>
        </w:rPr>
      </w:pPr>
    </w:p>
    <w:p>
      <w:pPr>
        <w:spacing w:line="252" w:lineRule="auto" w:before="73"/>
        <w:ind w:left="727" w:right="0" w:hanging="397"/>
        <w:jc w:val="left"/>
        <w:rPr>
          <w:sz w:val="19"/>
        </w:rPr>
      </w:pPr>
      <w:r>
        <w:rPr>
          <w:w w:val="243"/>
          <w:sz w:val="19"/>
        </w:rPr>
        <w:t>l</w:t>
      </w:r>
      <w:r>
        <w:rPr>
          <w:w w:val="109"/>
          <w:sz w:val="19"/>
        </w:rPr>
        <w:t>owe,</w:t>
      </w:r>
      <w:r>
        <w:rPr>
          <w:sz w:val="19"/>
        </w:rPr>
        <w:t> </w:t>
      </w:r>
      <w:r>
        <w:rPr>
          <w:w w:val="139"/>
          <w:sz w:val="19"/>
        </w:rPr>
        <w:t>d</w:t>
      </w:r>
      <w:r>
        <w:rPr>
          <w:w w:val="108"/>
          <w:sz w:val="19"/>
        </w:rPr>
        <w:t>avid</w:t>
      </w:r>
      <w:r>
        <w:rPr>
          <w:sz w:val="19"/>
        </w:rPr>
        <w:t> </w:t>
      </w:r>
      <w:r>
        <w:rPr>
          <w:w w:val="102"/>
          <w:sz w:val="19"/>
        </w:rPr>
        <w:t>2008</w:t>
      </w:r>
      <w:r>
        <w:rPr>
          <w:sz w:val="19"/>
        </w:rPr>
        <w:t> </w:t>
      </w:r>
      <w:r>
        <w:rPr>
          <w:i/>
          <w:w w:val="108"/>
          <w:sz w:val="19"/>
        </w:rPr>
        <w:t>Idea</w:t>
      </w:r>
      <w:r>
        <w:rPr>
          <w:i/>
          <w:sz w:val="19"/>
        </w:rPr>
        <w:t> </w:t>
      </w:r>
      <w:r>
        <w:rPr>
          <w:i/>
          <w:w w:val="106"/>
          <w:sz w:val="19"/>
        </w:rPr>
        <w:t>to</w:t>
      </w:r>
      <w:r>
        <w:rPr>
          <w:i/>
          <w:sz w:val="19"/>
        </w:rPr>
        <w:t> </w:t>
      </w:r>
      <w:r>
        <w:rPr>
          <w:i/>
          <w:w w:val="104"/>
          <w:sz w:val="19"/>
        </w:rPr>
        <w:t>reality:</w:t>
      </w:r>
      <w:r>
        <w:rPr>
          <w:i/>
          <w:sz w:val="19"/>
        </w:rPr>
        <w:t> </w:t>
      </w:r>
      <w:r>
        <w:rPr>
          <w:i/>
          <w:w w:val="104"/>
          <w:sz w:val="19"/>
        </w:rPr>
        <w:t>a</w:t>
      </w:r>
      <w:r>
        <w:rPr>
          <w:i/>
          <w:sz w:val="19"/>
        </w:rPr>
        <w:t> </w:t>
      </w:r>
      <w:r>
        <w:rPr>
          <w:i/>
          <w:w w:val="105"/>
          <w:sz w:val="19"/>
        </w:rPr>
        <w:t>brief</w:t>
      </w:r>
      <w:r>
        <w:rPr>
          <w:i/>
          <w:sz w:val="19"/>
        </w:rPr>
        <w:t> </w:t>
      </w:r>
      <w:r>
        <w:rPr>
          <w:i/>
          <w:w w:val="109"/>
          <w:sz w:val="19"/>
        </w:rPr>
        <w:t>history</w:t>
      </w:r>
      <w:r>
        <w:rPr>
          <w:i/>
          <w:sz w:val="19"/>
        </w:rPr>
        <w:t> </w:t>
      </w:r>
      <w:r>
        <w:rPr>
          <w:i/>
          <w:w w:val="111"/>
          <w:sz w:val="19"/>
        </w:rPr>
        <w:t>of</w:t>
      </w:r>
      <w:r>
        <w:rPr>
          <w:i/>
          <w:sz w:val="19"/>
        </w:rPr>
        <w:t> </w:t>
      </w:r>
      <w:r>
        <w:rPr>
          <w:i/>
          <w:w w:val="104"/>
          <w:sz w:val="19"/>
        </w:rPr>
        <w:t>the</w:t>
      </w:r>
      <w:r>
        <w:rPr>
          <w:i/>
          <w:sz w:val="19"/>
        </w:rPr>
        <w:t> </w:t>
      </w:r>
      <w:r>
        <w:rPr>
          <w:i/>
          <w:w w:val="110"/>
          <w:sz w:val="19"/>
        </w:rPr>
        <w:t>National</w:t>
      </w:r>
      <w:r>
        <w:rPr>
          <w:i/>
          <w:w w:val="110"/>
          <w:sz w:val="19"/>
        </w:rPr>
        <w:t> </w:t>
      </w:r>
      <w:r>
        <w:rPr>
          <w:i/>
          <w:w w:val="105"/>
          <w:sz w:val="19"/>
        </w:rPr>
        <w:t>Endowment for Democracy</w:t>
      </w:r>
      <w:r>
        <w:rPr>
          <w:w w:val="105"/>
          <w:sz w:val="19"/>
        </w:rPr>
        <w:t>, en </w:t>
      </w:r>
      <w:hyperlink r:id="rId345">
        <w:r>
          <w:rPr>
            <w:w w:val="105"/>
            <w:sz w:val="19"/>
          </w:rPr>
          <w:t>&lt;http://www.ned.org/about/</w:t>
        </w:r>
      </w:hyperlink>
      <w:r>
        <w:rPr>
          <w:w w:val="105"/>
          <w:sz w:val="19"/>
        </w:rPr>
        <w:t> </w:t>
      </w:r>
      <w:r>
        <w:rPr>
          <w:w w:val="110"/>
          <w:sz w:val="19"/>
        </w:rPr>
        <w:t>nedhistory.html&gt; según entrada hecha el día 12 de mayo.</w:t>
      </w:r>
    </w:p>
    <w:p>
      <w:pPr>
        <w:pStyle w:val="BodyText"/>
        <w:spacing w:line="252" w:lineRule="auto" w:before="28"/>
        <w:ind w:left="727" w:hanging="397"/>
      </w:pPr>
      <w:r>
        <w:rPr>
          <w:w w:val="243"/>
        </w:rPr>
        <w:t>l</w:t>
      </w:r>
      <w:r>
        <w:rPr>
          <w:w w:val="109"/>
        </w:rPr>
        <w:t>owe,</w:t>
      </w:r>
      <w:r>
        <w:rPr/>
        <w:t> </w:t>
      </w:r>
      <w:r>
        <w:rPr>
          <w:w w:val="139"/>
        </w:rPr>
        <w:t>d</w:t>
      </w:r>
      <w:r>
        <w:rPr>
          <w:w w:val="108"/>
        </w:rPr>
        <w:t>avid</w:t>
      </w:r>
      <w:r>
        <w:rPr/>
        <w:t> </w:t>
      </w:r>
      <w:r>
        <w:rPr>
          <w:w w:val="102"/>
        </w:rPr>
        <w:t>2015</w:t>
      </w:r>
      <w:r>
        <w:rPr/>
        <w:t> </w:t>
      </w:r>
      <w:r>
        <w:rPr>
          <w:i/>
          <w:w w:val="108"/>
        </w:rPr>
        <w:t>Idea</w:t>
      </w:r>
      <w:r>
        <w:rPr>
          <w:i/>
        </w:rPr>
        <w:t> </w:t>
      </w:r>
      <w:r>
        <w:rPr>
          <w:i/>
          <w:w w:val="106"/>
        </w:rPr>
        <w:t>to</w:t>
      </w:r>
      <w:r>
        <w:rPr>
          <w:i/>
        </w:rPr>
        <w:t> </w:t>
      </w:r>
      <w:r>
        <w:rPr>
          <w:i/>
          <w:w w:val="108"/>
        </w:rPr>
        <w:t>Reality:</w:t>
      </w:r>
      <w:r>
        <w:rPr>
          <w:i/>
        </w:rPr>
        <w:t> </w:t>
      </w:r>
      <w:r>
        <w:rPr>
          <w:w w:val="123"/>
        </w:rPr>
        <w:t>NE</w:t>
      </w:r>
      <w:r>
        <w:rPr>
          <w:w w:val="139"/>
        </w:rPr>
        <w:t>d</w:t>
      </w:r>
      <w:r>
        <w:rPr/>
        <w:t> </w:t>
      </w:r>
      <w:r>
        <w:rPr>
          <w:i/>
          <w:w w:val="101"/>
        </w:rPr>
        <w:t>at</w:t>
      </w:r>
      <w:r>
        <w:rPr>
          <w:i/>
        </w:rPr>
        <w:t> </w:t>
      </w:r>
      <w:r>
        <w:rPr>
          <w:i/>
          <w:w w:val="107"/>
        </w:rPr>
        <w:t>30</w:t>
      </w:r>
      <w:r>
        <w:rPr>
          <w:w w:val="138"/>
        </w:rPr>
        <w:t>,</w:t>
      </w:r>
      <w:r>
        <w:rPr/>
        <w:t> </w:t>
      </w:r>
      <w:r>
        <w:rPr>
          <w:w w:val="108"/>
        </w:rPr>
        <w:t>en</w:t>
      </w:r>
      <w:r>
        <w:rPr/>
        <w:t> </w:t>
      </w:r>
      <w:hyperlink r:id="rId346">
        <w:r>
          <w:rPr>
            <w:w w:val="99"/>
          </w:rPr>
          <w:t>&lt;http://www</w:t>
        </w:r>
        <w:r>
          <w:rPr>
            <w:w w:val="105"/>
          </w:rPr>
          <w:t>.ned.org/</w:t>
        </w:r>
      </w:hyperlink>
      <w:r>
        <w:rPr>
          <w:w w:val="105"/>
        </w:rPr>
        <w:t> </w:t>
      </w:r>
      <w:r>
        <w:rPr>
          <w:w w:val="110"/>
        </w:rPr>
        <w:t>about/history&gt; según entrada hecha el día 14 de febrero.</w:t>
      </w:r>
    </w:p>
    <w:p>
      <w:pPr>
        <w:spacing w:line="252" w:lineRule="auto" w:before="28"/>
        <w:ind w:left="727" w:right="127" w:hanging="397"/>
        <w:jc w:val="left"/>
        <w:rPr>
          <w:sz w:val="19"/>
        </w:rPr>
      </w:pPr>
      <w:r>
        <w:rPr>
          <w:w w:val="114"/>
          <w:sz w:val="19"/>
        </w:rPr>
        <w:t>Marmitt,</w:t>
      </w:r>
      <w:r>
        <w:rPr>
          <w:sz w:val="19"/>
        </w:rPr>
        <w:t> </w:t>
      </w:r>
      <w:r>
        <w:rPr>
          <w:w w:val="182"/>
          <w:sz w:val="19"/>
        </w:rPr>
        <w:t>r</w:t>
      </w:r>
      <w:r>
        <w:rPr>
          <w:w w:val="110"/>
          <w:sz w:val="19"/>
        </w:rPr>
        <w:t>ogeli</w:t>
      </w:r>
      <w:r>
        <w:rPr>
          <w:sz w:val="19"/>
        </w:rPr>
        <w:t> </w:t>
      </w:r>
      <w:r>
        <w:rPr>
          <w:w w:val="243"/>
          <w:sz w:val="19"/>
        </w:rPr>
        <w:t>l</w:t>
      </w:r>
      <w:r>
        <w:rPr>
          <w:w w:val="113"/>
          <w:sz w:val="19"/>
        </w:rPr>
        <w:t>úcia</w:t>
      </w:r>
      <w:r>
        <w:rPr>
          <w:sz w:val="19"/>
        </w:rPr>
        <w:t> </w:t>
      </w:r>
      <w:r>
        <w:rPr>
          <w:w w:val="102"/>
          <w:sz w:val="19"/>
        </w:rPr>
        <w:t>2012</w:t>
      </w:r>
      <w:r>
        <w:rPr>
          <w:sz w:val="19"/>
        </w:rPr>
        <w:t> </w:t>
      </w:r>
      <w:r>
        <w:rPr>
          <w:i/>
          <w:w w:val="112"/>
          <w:sz w:val="19"/>
        </w:rPr>
        <w:t>Governança</w:t>
      </w:r>
      <w:r>
        <w:rPr>
          <w:i/>
          <w:sz w:val="19"/>
        </w:rPr>
        <w:t> </w:t>
      </w:r>
      <w:r>
        <w:rPr>
          <w:i/>
          <w:w w:val="108"/>
          <w:sz w:val="19"/>
        </w:rPr>
        <w:t>Corporativa</w:t>
      </w:r>
      <w:r>
        <w:rPr>
          <w:w w:val="107"/>
          <w:sz w:val="19"/>
        </w:rPr>
        <w:t>:</w:t>
      </w:r>
      <w:r>
        <w:rPr>
          <w:sz w:val="19"/>
        </w:rPr>
        <w:t> </w:t>
      </w:r>
      <w:r>
        <w:rPr>
          <w:i/>
          <w:w w:val="112"/>
          <w:sz w:val="19"/>
        </w:rPr>
        <w:t>o</w:t>
      </w:r>
      <w:r>
        <w:rPr>
          <w:i/>
          <w:sz w:val="19"/>
        </w:rPr>
        <w:t> </w:t>
      </w:r>
      <w:r>
        <w:rPr>
          <w:i/>
          <w:w w:val="112"/>
          <w:sz w:val="19"/>
        </w:rPr>
        <w:t>Instituto</w:t>
      </w:r>
      <w:r>
        <w:rPr>
          <w:i/>
          <w:w w:val="112"/>
          <w:sz w:val="19"/>
        </w:rPr>
        <w:t> </w:t>
      </w:r>
      <w:r>
        <w:rPr>
          <w:i/>
          <w:w w:val="115"/>
          <w:sz w:val="19"/>
        </w:rPr>
        <w:t>Brasileiro de Governança Corporativa (IBGC)</w:t>
      </w:r>
      <w:r>
        <w:rPr>
          <w:w w:val="115"/>
          <w:sz w:val="19"/>
        </w:rPr>
        <w:t>. relatório Final de atividades, PibiC/CNPq - biP/uFsC 2011/2012, Florianópolis, </w:t>
      </w:r>
      <w:r>
        <w:rPr>
          <w:w w:val="120"/>
          <w:sz w:val="19"/>
        </w:rPr>
        <w:t>agosto.</w:t>
      </w:r>
    </w:p>
    <w:p>
      <w:pPr>
        <w:spacing w:line="252" w:lineRule="auto" w:before="28"/>
        <w:ind w:left="727" w:right="194" w:hanging="397"/>
        <w:jc w:val="left"/>
        <w:rPr>
          <w:sz w:val="19"/>
        </w:rPr>
      </w:pPr>
      <w:r>
        <w:rPr>
          <w:w w:val="110"/>
          <w:sz w:val="19"/>
        </w:rPr>
        <w:t>Mashek, robert W. 1993 </w:t>
      </w:r>
      <w:r>
        <w:rPr>
          <w:i/>
          <w:w w:val="110"/>
          <w:sz w:val="19"/>
        </w:rPr>
        <w:t>Performance and prospects for Legislative </w:t>
      </w:r>
      <w:r>
        <w:rPr>
          <w:i/>
          <w:w w:val="110"/>
          <w:sz w:val="19"/>
        </w:rPr>
        <w:t>Advisory Programs in Latin América </w:t>
      </w:r>
      <w:r>
        <w:rPr>
          <w:w w:val="110"/>
          <w:sz w:val="19"/>
        </w:rPr>
        <w:t>(Washington, dC: CiPE), 15 de marzo.</w:t>
      </w:r>
    </w:p>
    <w:p>
      <w:pPr>
        <w:spacing w:line="252" w:lineRule="auto" w:before="28"/>
        <w:ind w:left="727" w:right="129" w:hanging="397"/>
        <w:jc w:val="left"/>
        <w:rPr>
          <w:sz w:val="19"/>
        </w:rPr>
      </w:pPr>
      <w:r>
        <w:rPr>
          <w:w w:val="110"/>
          <w:sz w:val="19"/>
        </w:rPr>
        <w:t>Mato, daniel 2007 “Cultura, comunicación y transformaciones sociales en tiempos de globalización”, en Mato, daniel y Fermín, alejandro M. (orgs.) </w:t>
      </w:r>
      <w:r>
        <w:rPr>
          <w:i/>
          <w:w w:val="110"/>
          <w:sz w:val="19"/>
        </w:rPr>
        <w:t>Cultura y transformaciones sociales en </w:t>
      </w:r>
      <w:r>
        <w:rPr>
          <w:i/>
          <w:w w:val="110"/>
          <w:sz w:val="19"/>
        </w:rPr>
        <w:t>tiempos de globalización: perspectivas latinoamericanas </w:t>
      </w:r>
      <w:r>
        <w:rPr>
          <w:w w:val="110"/>
          <w:sz w:val="19"/>
        </w:rPr>
        <w:t>(buenos aires: ClaCso), abril, en </w:t>
      </w:r>
      <w:hyperlink r:id="rId347">
        <w:r>
          <w:rPr>
            <w:w w:val="110"/>
            <w:sz w:val="19"/>
          </w:rPr>
          <w:t>&lt;http://bibliotecavirtual.clacso.org.ar/</w:t>
        </w:r>
      </w:hyperlink>
      <w:r>
        <w:rPr>
          <w:w w:val="110"/>
          <w:sz w:val="19"/>
        </w:rPr>
        <w:t> ar/libros/campus/mato/intro_Mato.pdf&gt; según entrada hecha el día 6 de octubre de</w:t>
      </w:r>
      <w:r>
        <w:rPr>
          <w:spacing w:val="1"/>
          <w:w w:val="110"/>
          <w:sz w:val="19"/>
        </w:rPr>
        <w:t> </w:t>
      </w:r>
      <w:r>
        <w:rPr>
          <w:w w:val="110"/>
          <w:sz w:val="19"/>
        </w:rPr>
        <w:t>2008.</w:t>
      </w:r>
    </w:p>
    <w:p>
      <w:pPr>
        <w:spacing w:line="268" w:lineRule="auto" w:before="28"/>
        <w:ind w:left="140" w:right="142" w:firstLine="0"/>
        <w:jc w:val="right"/>
        <w:rPr>
          <w:i/>
          <w:sz w:val="19"/>
        </w:rPr>
      </w:pPr>
      <w:r>
        <w:rPr>
          <w:w w:val="115"/>
          <w:sz w:val="19"/>
        </w:rPr>
        <w:t>Meisel,</w:t>
      </w:r>
      <w:r>
        <w:rPr>
          <w:spacing w:val="-30"/>
          <w:w w:val="115"/>
          <w:sz w:val="19"/>
        </w:rPr>
        <w:t> </w:t>
      </w:r>
      <w:r>
        <w:rPr>
          <w:w w:val="115"/>
          <w:sz w:val="19"/>
        </w:rPr>
        <w:t>Nicolas</w:t>
      </w:r>
      <w:r>
        <w:rPr>
          <w:spacing w:val="-30"/>
          <w:w w:val="115"/>
          <w:sz w:val="19"/>
        </w:rPr>
        <w:t> </w:t>
      </w:r>
      <w:r>
        <w:rPr>
          <w:w w:val="115"/>
          <w:sz w:val="19"/>
        </w:rPr>
        <w:t>2004</w:t>
      </w:r>
      <w:r>
        <w:rPr>
          <w:spacing w:val="-30"/>
          <w:w w:val="115"/>
          <w:sz w:val="19"/>
        </w:rPr>
        <w:t> </w:t>
      </w:r>
      <w:r>
        <w:rPr>
          <w:i/>
          <w:w w:val="115"/>
          <w:sz w:val="19"/>
        </w:rPr>
        <w:t>Governance</w:t>
      </w:r>
      <w:r>
        <w:rPr>
          <w:i/>
          <w:spacing w:val="-30"/>
          <w:w w:val="115"/>
          <w:sz w:val="19"/>
        </w:rPr>
        <w:t> </w:t>
      </w:r>
      <w:r>
        <w:rPr>
          <w:i/>
          <w:w w:val="115"/>
          <w:sz w:val="19"/>
        </w:rPr>
        <w:t>culture</w:t>
      </w:r>
      <w:r>
        <w:rPr>
          <w:i/>
          <w:spacing w:val="-30"/>
          <w:w w:val="115"/>
          <w:sz w:val="19"/>
        </w:rPr>
        <w:t> </w:t>
      </w:r>
      <w:r>
        <w:rPr>
          <w:i/>
          <w:w w:val="115"/>
          <w:sz w:val="19"/>
        </w:rPr>
        <w:t>and</w:t>
      </w:r>
      <w:r>
        <w:rPr>
          <w:i/>
          <w:spacing w:val="-30"/>
          <w:w w:val="115"/>
          <w:sz w:val="19"/>
        </w:rPr>
        <w:t> </w:t>
      </w:r>
      <w:r>
        <w:rPr>
          <w:i/>
          <w:w w:val="115"/>
          <w:sz w:val="19"/>
        </w:rPr>
        <w:t>development.</w:t>
      </w:r>
      <w:r>
        <w:rPr>
          <w:i/>
          <w:spacing w:val="-30"/>
          <w:w w:val="115"/>
          <w:sz w:val="19"/>
        </w:rPr>
        <w:t> </w:t>
      </w:r>
      <w:r>
        <w:rPr>
          <w:i/>
          <w:w w:val="115"/>
          <w:sz w:val="19"/>
        </w:rPr>
        <w:t>A</w:t>
      </w:r>
      <w:r>
        <w:rPr>
          <w:i/>
          <w:spacing w:val="-30"/>
          <w:w w:val="115"/>
          <w:sz w:val="19"/>
        </w:rPr>
        <w:t> </w:t>
      </w:r>
      <w:r>
        <w:rPr>
          <w:i/>
          <w:w w:val="115"/>
          <w:sz w:val="19"/>
        </w:rPr>
        <w:t>different</w:t>
      </w:r>
      <w:r>
        <w:rPr>
          <w:i/>
          <w:w w:val="103"/>
          <w:sz w:val="19"/>
        </w:rPr>
        <w:t> </w:t>
      </w:r>
      <w:r>
        <w:rPr>
          <w:i/>
          <w:w w:val="115"/>
          <w:sz w:val="19"/>
        </w:rPr>
        <w:t>perspective</w:t>
      </w:r>
      <w:r>
        <w:rPr>
          <w:i/>
          <w:spacing w:val="-26"/>
          <w:w w:val="115"/>
          <w:sz w:val="19"/>
        </w:rPr>
        <w:t> </w:t>
      </w:r>
      <w:r>
        <w:rPr>
          <w:i/>
          <w:w w:val="115"/>
          <w:sz w:val="19"/>
        </w:rPr>
        <w:t>on</w:t>
      </w:r>
      <w:r>
        <w:rPr>
          <w:i/>
          <w:spacing w:val="-26"/>
          <w:w w:val="115"/>
          <w:sz w:val="19"/>
        </w:rPr>
        <w:t> </w:t>
      </w:r>
      <w:r>
        <w:rPr>
          <w:i/>
          <w:w w:val="115"/>
          <w:sz w:val="19"/>
        </w:rPr>
        <w:t>corporate</w:t>
      </w:r>
      <w:r>
        <w:rPr>
          <w:i/>
          <w:spacing w:val="-26"/>
          <w:w w:val="115"/>
          <w:sz w:val="19"/>
        </w:rPr>
        <w:t> </w:t>
      </w:r>
      <w:r>
        <w:rPr>
          <w:i/>
          <w:w w:val="115"/>
          <w:sz w:val="19"/>
        </w:rPr>
        <w:t>governance</w:t>
      </w:r>
      <w:r>
        <w:rPr>
          <w:w w:val="115"/>
          <w:sz w:val="19"/>
        </w:rPr>
        <w:t>,</w:t>
      </w:r>
      <w:r>
        <w:rPr>
          <w:spacing w:val="-26"/>
          <w:w w:val="115"/>
          <w:sz w:val="19"/>
        </w:rPr>
        <w:t> </w:t>
      </w:r>
      <w:r>
        <w:rPr>
          <w:w w:val="115"/>
          <w:sz w:val="19"/>
        </w:rPr>
        <w:t>oECd</w:t>
      </w:r>
      <w:r>
        <w:rPr>
          <w:spacing w:val="-26"/>
          <w:w w:val="115"/>
          <w:sz w:val="19"/>
        </w:rPr>
        <w:t> </w:t>
      </w:r>
      <w:r>
        <w:rPr>
          <w:w w:val="115"/>
          <w:sz w:val="19"/>
        </w:rPr>
        <w:t>development</w:t>
      </w:r>
      <w:r>
        <w:rPr>
          <w:spacing w:val="-26"/>
          <w:w w:val="115"/>
          <w:sz w:val="19"/>
        </w:rPr>
        <w:t> </w:t>
      </w:r>
      <w:r>
        <w:rPr>
          <w:w w:val="115"/>
          <w:sz w:val="19"/>
        </w:rPr>
        <w:t>Centre.</w:t>
      </w:r>
      <w:r>
        <w:rPr>
          <w:w w:val="112"/>
          <w:sz w:val="19"/>
        </w:rPr>
        <w:t> </w:t>
      </w:r>
      <w:r>
        <w:rPr>
          <w:w w:val="113"/>
          <w:sz w:val="19"/>
        </w:rPr>
        <w:t>Milne</w:t>
      </w:r>
      <w:r>
        <w:rPr>
          <w:spacing w:val="-22"/>
          <w:w w:val="105"/>
          <w:sz w:val="19"/>
        </w:rPr>
        <w:t>r</w:t>
      </w:r>
      <w:r>
        <w:rPr>
          <w:w w:val="138"/>
          <w:sz w:val="19"/>
        </w:rPr>
        <w:t>,</w:t>
      </w:r>
      <w:r>
        <w:rPr>
          <w:spacing w:val="12"/>
          <w:sz w:val="19"/>
        </w:rPr>
        <w:t> </w:t>
      </w:r>
      <w:r>
        <w:rPr>
          <w:w w:val="243"/>
          <w:sz w:val="19"/>
        </w:rPr>
        <w:t>l</w:t>
      </w:r>
      <w:r>
        <w:rPr>
          <w:w w:val="107"/>
          <w:sz w:val="19"/>
        </w:rPr>
        <w:t>arry</w:t>
      </w:r>
      <w:r>
        <w:rPr>
          <w:spacing w:val="12"/>
          <w:sz w:val="19"/>
        </w:rPr>
        <w:t> </w:t>
      </w:r>
      <w:r>
        <w:rPr>
          <w:w w:val="149"/>
          <w:sz w:val="19"/>
        </w:rPr>
        <w:t>s</w:t>
      </w:r>
      <w:r>
        <w:rPr>
          <w:w w:val="138"/>
          <w:sz w:val="19"/>
        </w:rPr>
        <w:t>.</w:t>
      </w:r>
      <w:r>
        <w:rPr>
          <w:spacing w:val="12"/>
          <w:sz w:val="19"/>
        </w:rPr>
        <w:t> </w:t>
      </w:r>
      <w:r>
        <w:rPr>
          <w:w w:val="108"/>
          <w:sz w:val="19"/>
        </w:rPr>
        <w:t>(org.)</w:t>
      </w:r>
      <w:r>
        <w:rPr>
          <w:spacing w:val="12"/>
          <w:sz w:val="19"/>
        </w:rPr>
        <w:t> </w:t>
      </w:r>
      <w:r>
        <w:rPr>
          <w:w w:val="102"/>
          <w:sz w:val="19"/>
        </w:rPr>
        <w:t>1999</w:t>
      </w:r>
      <w:r>
        <w:rPr>
          <w:spacing w:val="12"/>
          <w:sz w:val="19"/>
        </w:rPr>
        <w:t> </w:t>
      </w:r>
      <w:r>
        <w:rPr>
          <w:i/>
          <w:w w:val="115"/>
          <w:sz w:val="19"/>
        </w:rPr>
        <w:t>Business</w:t>
      </w:r>
      <w:r>
        <w:rPr>
          <w:i/>
          <w:spacing w:val="12"/>
          <w:sz w:val="19"/>
        </w:rPr>
        <w:t> </w:t>
      </w:r>
      <w:r>
        <w:rPr>
          <w:i/>
          <w:w w:val="112"/>
          <w:sz w:val="19"/>
        </w:rPr>
        <w:t>associations</w:t>
      </w:r>
      <w:r>
        <w:rPr>
          <w:i/>
          <w:spacing w:val="12"/>
          <w:sz w:val="19"/>
        </w:rPr>
        <w:t> </w:t>
      </w:r>
      <w:r>
        <w:rPr>
          <w:i/>
          <w:w w:val="106"/>
          <w:sz w:val="19"/>
        </w:rPr>
        <w:t>for</w:t>
      </w:r>
      <w:r>
        <w:rPr>
          <w:i/>
          <w:spacing w:val="12"/>
          <w:sz w:val="19"/>
        </w:rPr>
        <w:t> </w:t>
      </w:r>
      <w:r>
        <w:rPr>
          <w:i/>
          <w:w w:val="104"/>
          <w:sz w:val="19"/>
        </w:rPr>
        <w:t>the</w:t>
      </w:r>
      <w:r>
        <w:rPr>
          <w:i/>
          <w:spacing w:val="12"/>
          <w:sz w:val="19"/>
        </w:rPr>
        <w:t> </w:t>
      </w:r>
      <w:r>
        <w:rPr>
          <w:i/>
          <w:w w:val="107"/>
          <w:sz w:val="19"/>
        </w:rPr>
        <w:t>2</w:t>
      </w:r>
      <w:r>
        <w:rPr>
          <w:i/>
          <w:spacing w:val="-1"/>
          <w:w w:val="107"/>
          <w:sz w:val="19"/>
        </w:rPr>
        <w:t>1</w:t>
      </w:r>
      <w:r>
        <w:rPr>
          <w:i/>
          <w:w w:val="109"/>
          <w:position w:val="6"/>
          <w:sz w:val="11"/>
        </w:rPr>
        <w:t>st</w:t>
      </w:r>
      <w:r>
        <w:rPr>
          <w:i/>
          <w:position w:val="6"/>
          <w:sz w:val="11"/>
        </w:rPr>
        <w:t> </w:t>
      </w:r>
      <w:r>
        <w:rPr>
          <w:i/>
          <w:spacing w:val="5"/>
          <w:position w:val="6"/>
          <w:sz w:val="11"/>
        </w:rPr>
        <w:t> </w:t>
      </w:r>
      <w:r>
        <w:rPr>
          <w:i/>
          <w:w w:val="110"/>
          <w:sz w:val="19"/>
        </w:rPr>
        <w:t>Century:</w:t>
      </w:r>
    </w:p>
    <w:p>
      <w:pPr>
        <w:spacing w:line="207" w:lineRule="exact" w:before="0"/>
        <w:ind w:left="727" w:right="0" w:firstLine="0"/>
        <w:jc w:val="left"/>
        <w:rPr>
          <w:sz w:val="19"/>
        </w:rPr>
      </w:pPr>
      <w:r>
        <w:rPr>
          <w:i/>
          <w:w w:val="115"/>
          <w:sz w:val="19"/>
        </w:rPr>
        <w:t>a blueprint for the future </w:t>
      </w:r>
      <w:r>
        <w:rPr>
          <w:w w:val="115"/>
          <w:sz w:val="19"/>
        </w:rPr>
        <w:t>(Washington, dC: CiPE).</w:t>
      </w:r>
    </w:p>
    <w:p>
      <w:pPr>
        <w:pStyle w:val="BodyText"/>
        <w:spacing w:line="252" w:lineRule="auto" w:before="39"/>
        <w:ind w:left="727" w:hanging="397"/>
      </w:pPr>
      <w:r>
        <w:rPr>
          <w:w w:val="110"/>
        </w:rPr>
        <w:t>Minella, ary C. 2009 “Construindo hegemonia: democracia e livre </w:t>
      </w:r>
      <w:r>
        <w:rPr>
          <w:w w:val="110"/>
        </w:rPr>
        <w:t>mercado</w:t>
      </w:r>
      <w:r>
        <w:rPr/>
        <w:t> </w:t>
      </w:r>
      <w:r>
        <w:rPr>
          <w:w w:val="110"/>
        </w:rPr>
        <w:t>(atuação</w:t>
      </w:r>
      <w:r>
        <w:rPr/>
        <w:t> </w:t>
      </w:r>
      <w:r>
        <w:rPr>
          <w:w w:val="109"/>
        </w:rPr>
        <w:t>do</w:t>
      </w:r>
      <w:r>
        <w:rPr/>
        <w:t> </w:t>
      </w:r>
      <w:r>
        <w:rPr>
          <w:w w:val="123"/>
        </w:rPr>
        <w:t>NE</w:t>
      </w:r>
      <w:r>
        <w:rPr>
          <w:w w:val="139"/>
        </w:rPr>
        <w:t>d</w:t>
      </w:r>
      <w:r>
        <w:rPr/>
        <w:t> </w:t>
      </w:r>
      <w:r>
        <w:rPr>
          <w:w w:val="104"/>
        </w:rPr>
        <w:t>e</w:t>
      </w:r>
      <w:r>
        <w:rPr/>
        <w:t> </w:t>
      </w:r>
      <w:r>
        <w:rPr>
          <w:w w:val="109"/>
        </w:rPr>
        <w:t>do</w:t>
      </w:r>
      <w:r>
        <w:rPr/>
        <w:t> </w:t>
      </w:r>
      <w:r>
        <w:rPr>
          <w:w w:val="124"/>
        </w:rPr>
        <w:t>C</w:t>
      </w:r>
      <w:r>
        <w:rPr>
          <w:w w:val="142"/>
        </w:rPr>
        <w:t>i</w:t>
      </w:r>
      <w:r>
        <w:rPr>
          <w:w w:val="113"/>
        </w:rPr>
        <w:t>P</w:t>
      </w:r>
      <w:r>
        <w:rPr/>
        <w:t> </w:t>
      </w:r>
      <w:r>
        <w:rPr>
          <w:w w:val="112"/>
        </w:rPr>
        <w:t>na</w:t>
      </w:r>
      <w:r>
        <w:rPr/>
        <w:t> </w:t>
      </w:r>
      <w:r>
        <w:rPr>
          <w:w w:val="139"/>
        </w:rPr>
        <w:t>a</w:t>
      </w:r>
      <w:r>
        <w:rPr>
          <w:w w:val="111"/>
        </w:rPr>
        <w:t>mérica</w:t>
      </w:r>
      <w:r>
        <w:rPr/>
        <w:t> </w:t>
      </w:r>
      <w:r>
        <w:rPr>
          <w:w w:val="243"/>
        </w:rPr>
        <w:t>l</w:t>
      </w:r>
      <w:r>
        <w:rPr>
          <w:w w:val="112"/>
        </w:rPr>
        <w:t>atina)”,</w:t>
      </w:r>
      <w:r>
        <w:rPr/>
        <w:t> </w:t>
      </w:r>
      <w:r>
        <w:rPr>
          <w:w w:val="108"/>
        </w:rPr>
        <w:t>en </w:t>
      </w:r>
      <w:r>
        <w:rPr>
          <w:i/>
          <w:w w:val="110"/>
        </w:rPr>
        <w:t>Caderno CRH</w:t>
      </w:r>
      <w:r>
        <w:rPr>
          <w:w w:val="110"/>
        </w:rPr>
        <w:t>, salvador, Vol.  22, Nº 55, pp. 13-40,   enero-abril.</w:t>
      </w:r>
    </w:p>
    <w:p>
      <w:pPr>
        <w:spacing w:line="252" w:lineRule="auto" w:before="28"/>
        <w:ind w:left="727" w:right="116" w:hanging="397"/>
        <w:jc w:val="left"/>
        <w:rPr>
          <w:sz w:val="19"/>
        </w:rPr>
      </w:pPr>
      <w:r>
        <w:rPr>
          <w:w w:val="120"/>
          <w:sz w:val="19"/>
        </w:rPr>
        <w:t>Minella, ary C. 2009a “Construyendo hegemonía en américa </w:t>
      </w:r>
      <w:r>
        <w:rPr>
          <w:w w:val="243"/>
          <w:sz w:val="19"/>
        </w:rPr>
        <w:t>l</w:t>
      </w:r>
      <w:r>
        <w:rPr>
          <w:w w:val="113"/>
          <w:sz w:val="19"/>
        </w:rPr>
        <w:t>atina.</w:t>
      </w:r>
      <w:r>
        <w:rPr>
          <w:sz w:val="19"/>
        </w:rPr>
        <w:t> </w:t>
      </w:r>
      <w:r>
        <w:rPr>
          <w:w w:val="139"/>
          <w:sz w:val="19"/>
        </w:rPr>
        <w:t>d</w:t>
      </w:r>
      <w:r>
        <w:rPr>
          <w:w w:val="111"/>
          <w:sz w:val="19"/>
        </w:rPr>
        <w:t>emocracia</w:t>
      </w:r>
      <w:r>
        <w:rPr>
          <w:sz w:val="19"/>
        </w:rPr>
        <w:t> </w:t>
      </w:r>
      <w:r>
        <w:rPr>
          <w:w w:val="105"/>
          <w:sz w:val="19"/>
        </w:rPr>
        <w:t>y</w:t>
      </w:r>
      <w:r>
        <w:rPr>
          <w:sz w:val="19"/>
        </w:rPr>
        <w:t> </w:t>
      </w:r>
      <w:r>
        <w:rPr>
          <w:w w:val="108"/>
          <w:sz w:val="19"/>
        </w:rPr>
        <w:t>libre</w:t>
      </w:r>
      <w:r>
        <w:rPr>
          <w:sz w:val="19"/>
        </w:rPr>
        <w:t> </w:t>
      </w:r>
      <w:r>
        <w:rPr>
          <w:w w:val="111"/>
          <w:sz w:val="19"/>
        </w:rPr>
        <w:t>mercado,</w:t>
      </w:r>
      <w:r>
        <w:rPr>
          <w:sz w:val="19"/>
        </w:rPr>
        <w:t> </w:t>
      </w:r>
      <w:r>
        <w:rPr>
          <w:w w:val="111"/>
          <w:sz w:val="19"/>
        </w:rPr>
        <w:t>asociaciones</w:t>
      </w:r>
      <w:r>
        <w:rPr>
          <w:sz w:val="19"/>
        </w:rPr>
        <w:t> </w:t>
      </w:r>
      <w:r>
        <w:rPr>
          <w:w w:val="108"/>
          <w:sz w:val="19"/>
        </w:rPr>
        <w:t>empresarias </w:t>
      </w:r>
      <w:r>
        <w:rPr>
          <w:w w:val="120"/>
          <w:sz w:val="19"/>
        </w:rPr>
        <w:t>y sistema financiero (NEd y CiPE: um estúdio preliminar)”, en arceo, Enrique y basualdo, Eduardo (comps.) </w:t>
      </w:r>
      <w:r>
        <w:rPr>
          <w:i/>
          <w:w w:val="120"/>
          <w:sz w:val="19"/>
        </w:rPr>
        <w:t>Los </w:t>
      </w:r>
      <w:r>
        <w:rPr>
          <w:i/>
          <w:w w:val="120"/>
          <w:sz w:val="19"/>
        </w:rPr>
        <w:t>condicionantes de la crisis en América Latina. Inserción Internacional y modalidades de acumulación </w:t>
      </w:r>
      <w:r>
        <w:rPr>
          <w:w w:val="120"/>
          <w:sz w:val="19"/>
        </w:rPr>
        <w:t>(buenos aires: ClaCso), pp. 139-183 [artículo traducido por santiago basso y andrés bracony].</w:t>
      </w:r>
    </w:p>
    <w:p>
      <w:pPr>
        <w:pStyle w:val="BodyText"/>
        <w:spacing w:line="252" w:lineRule="auto" w:before="28"/>
        <w:ind w:left="727" w:right="465" w:hanging="397"/>
      </w:pPr>
      <w:r>
        <w:rPr>
          <w:w w:val="112"/>
        </w:rPr>
        <w:t>Moreiras,</w:t>
      </w:r>
      <w:r>
        <w:rPr/>
        <w:t> </w:t>
      </w:r>
      <w:r>
        <w:rPr>
          <w:w w:val="243"/>
        </w:rPr>
        <w:t>l</w:t>
      </w:r>
      <w:r>
        <w:rPr>
          <w:w w:val="113"/>
        </w:rPr>
        <w:t>uiz</w:t>
      </w:r>
      <w:r>
        <w:rPr/>
        <w:t> </w:t>
      </w:r>
      <w:r>
        <w:rPr>
          <w:w w:val="124"/>
        </w:rPr>
        <w:t>M.</w:t>
      </w:r>
      <w:r>
        <w:rPr/>
        <w:t> </w:t>
      </w:r>
      <w:r>
        <w:rPr>
          <w:w w:val="119"/>
        </w:rPr>
        <w:t>F</w:t>
      </w:r>
      <w:r>
        <w:rPr>
          <w:w w:val="138"/>
        </w:rPr>
        <w:t>.</w:t>
      </w:r>
      <w:r>
        <w:rPr/>
        <w:t> </w:t>
      </w:r>
      <w:r>
        <w:rPr>
          <w:w w:val="102"/>
        </w:rPr>
        <w:t>2010</w:t>
      </w:r>
      <w:r>
        <w:rPr/>
        <w:t> </w:t>
      </w:r>
      <w:r>
        <w:rPr>
          <w:w w:val="115"/>
        </w:rPr>
        <w:t>“</w:t>
      </w:r>
      <w:r>
        <w:rPr>
          <w:w w:val="149"/>
        </w:rPr>
        <w:t>o</w:t>
      </w:r>
      <w:r>
        <w:rPr>
          <w:w w:val="105"/>
        </w:rPr>
        <w:t>s</w:t>
      </w:r>
      <w:r>
        <w:rPr/>
        <w:t> </w:t>
      </w:r>
      <w:r>
        <w:rPr>
          <w:w w:val="108"/>
        </w:rPr>
        <w:t>efeitos</w:t>
      </w:r>
      <w:r>
        <w:rPr/>
        <w:t> </w:t>
      </w:r>
      <w:r>
        <w:rPr>
          <w:w w:val="110"/>
        </w:rPr>
        <w:t>da</w:t>
      </w:r>
      <w:r>
        <w:rPr/>
        <w:t> </w:t>
      </w:r>
      <w:r>
        <w:rPr>
          <w:w w:val="109"/>
        </w:rPr>
        <w:t>governança</w:t>
      </w:r>
      <w:r>
        <w:rPr/>
        <w:t> </w:t>
      </w:r>
      <w:r>
        <w:rPr>
          <w:w w:val="109"/>
        </w:rPr>
        <w:t>corporativa </w:t>
      </w:r>
      <w:r>
        <w:rPr>
          <w:w w:val="115"/>
        </w:rPr>
        <w:t>sobre a informação assimétrica”. tesis de doctorado (san Pablo: Escola de administração de Empresas de são Paulo/ universidade de são Paulo).</w:t>
      </w:r>
    </w:p>
    <w:p>
      <w:pPr>
        <w:spacing w:line="252" w:lineRule="auto" w:before="28"/>
        <w:ind w:left="727" w:right="0" w:hanging="397"/>
        <w:jc w:val="left"/>
        <w:rPr>
          <w:sz w:val="19"/>
        </w:rPr>
      </w:pPr>
      <w:r>
        <w:rPr>
          <w:w w:val="110"/>
          <w:sz w:val="19"/>
        </w:rPr>
        <w:t>oCdE 2004 </w:t>
      </w:r>
      <w:r>
        <w:rPr>
          <w:i/>
          <w:w w:val="110"/>
          <w:sz w:val="19"/>
        </w:rPr>
        <w:t>oECD Principles of Corporate Governance</w:t>
      </w:r>
      <w:r>
        <w:rPr>
          <w:w w:val="110"/>
          <w:sz w:val="19"/>
        </w:rPr>
        <w:t>, en &lt;http:// </w:t>
      </w:r>
      <w:hyperlink r:id="rId348">
        <w:r>
          <w:rPr>
            <w:w w:val="110"/>
            <w:sz w:val="19"/>
          </w:rPr>
          <w:t>www.oecd.org/dataoecd/32/18/31557724.pdf&gt;.</w:t>
        </w:r>
      </w:hyperlink>
    </w:p>
    <w:p>
      <w:pPr>
        <w:spacing w:line="252" w:lineRule="auto" w:before="28"/>
        <w:ind w:left="727" w:right="352" w:hanging="397"/>
        <w:jc w:val="left"/>
        <w:rPr>
          <w:sz w:val="19"/>
        </w:rPr>
      </w:pPr>
      <w:r>
        <w:rPr>
          <w:w w:val="110"/>
          <w:sz w:val="19"/>
        </w:rPr>
        <w:t>oCdE 2003 </w:t>
      </w:r>
      <w:r>
        <w:rPr>
          <w:i/>
          <w:w w:val="110"/>
          <w:sz w:val="19"/>
        </w:rPr>
        <w:t>White paper on corporate governance in Latin America</w:t>
      </w:r>
      <w:r>
        <w:rPr>
          <w:w w:val="110"/>
          <w:sz w:val="19"/>
        </w:rPr>
        <w:t>, </w:t>
      </w:r>
      <w:r>
        <w:rPr>
          <w:sz w:val="19"/>
        </w:rPr>
        <w:t>en   </w:t>
      </w:r>
      <w:hyperlink r:id="rId349">
        <w:r>
          <w:rPr>
            <w:sz w:val="19"/>
          </w:rPr>
          <w:t>&lt;http://www.oecd.org/dataoecd/25/2/18976210.pdf&gt;</w:t>
        </w:r>
      </w:hyperlink>
      <w:r>
        <w:rPr>
          <w:sz w:val="19"/>
        </w:rPr>
        <w:t>  (hay</w:t>
      </w:r>
    </w:p>
    <w:p>
      <w:pPr>
        <w:spacing w:after="0" w:line="252" w:lineRule="auto"/>
        <w:jc w:val="left"/>
        <w:rPr>
          <w:sz w:val="19"/>
        </w:rPr>
        <w:sectPr>
          <w:pgSz w:w="8790" w:h="12760"/>
          <w:pgMar w:header="695" w:footer="725" w:top="880" w:bottom="920" w:left="1200" w:right="920"/>
        </w:sectPr>
      </w:pPr>
    </w:p>
    <w:p>
      <w:pPr>
        <w:pStyle w:val="BodyText"/>
        <w:spacing w:before="9"/>
        <w:rPr>
          <w:sz w:val="28"/>
        </w:rPr>
      </w:pPr>
    </w:p>
    <w:p>
      <w:pPr>
        <w:spacing w:line="252" w:lineRule="auto" w:before="73"/>
        <w:ind w:left="497" w:right="819" w:firstLine="0"/>
        <w:jc w:val="left"/>
        <w:rPr>
          <w:sz w:val="19"/>
        </w:rPr>
      </w:pPr>
      <w:r>
        <w:rPr>
          <w:w w:val="110"/>
          <w:sz w:val="19"/>
        </w:rPr>
        <w:t>versión en portugués: </w:t>
      </w:r>
      <w:r>
        <w:rPr>
          <w:i/>
          <w:w w:val="110"/>
          <w:sz w:val="19"/>
        </w:rPr>
        <w:t>Relatório oficial sobre Governança </w:t>
      </w:r>
      <w:r>
        <w:rPr>
          <w:i/>
          <w:w w:val="110"/>
          <w:sz w:val="19"/>
        </w:rPr>
        <w:t>Corporativa na América Latina</w:t>
      </w:r>
      <w:r>
        <w:rPr>
          <w:w w:val="110"/>
          <w:sz w:val="19"/>
        </w:rPr>
        <w:t>, traducción de Pinheiro Neto advogados).</w:t>
      </w:r>
    </w:p>
    <w:p>
      <w:pPr>
        <w:spacing w:line="252" w:lineRule="auto" w:before="28"/>
        <w:ind w:left="497" w:right="735" w:hanging="397"/>
        <w:jc w:val="left"/>
        <w:rPr>
          <w:sz w:val="19"/>
        </w:rPr>
      </w:pPr>
      <w:r>
        <w:rPr>
          <w:w w:val="115"/>
          <w:sz w:val="19"/>
        </w:rPr>
        <w:t>oliveira,</w:t>
      </w:r>
      <w:r>
        <w:rPr>
          <w:spacing w:val="-17"/>
          <w:w w:val="115"/>
          <w:sz w:val="19"/>
        </w:rPr>
        <w:t> </w:t>
      </w:r>
      <w:r>
        <w:rPr>
          <w:w w:val="115"/>
          <w:sz w:val="19"/>
        </w:rPr>
        <w:t>Francisco</w:t>
      </w:r>
      <w:r>
        <w:rPr>
          <w:spacing w:val="-17"/>
          <w:w w:val="115"/>
          <w:sz w:val="19"/>
        </w:rPr>
        <w:t> </w:t>
      </w:r>
      <w:r>
        <w:rPr>
          <w:w w:val="115"/>
          <w:sz w:val="19"/>
        </w:rPr>
        <w:t>de</w:t>
      </w:r>
      <w:r>
        <w:rPr>
          <w:spacing w:val="-17"/>
          <w:w w:val="115"/>
          <w:sz w:val="19"/>
        </w:rPr>
        <w:t> </w:t>
      </w:r>
      <w:r>
        <w:rPr>
          <w:w w:val="115"/>
          <w:sz w:val="19"/>
        </w:rPr>
        <w:t>2006</w:t>
      </w:r>
      <w:r>
        <w:rPr>
          <w:spacing w:val="-17"/>
          <w:w w:val="115"/>
          <w:sz w:val="19"/>
        </w:rPr>
        <w:t> </w:t>
      </w:r>
      <w:r>
        <w:rPr>
          <w:w w:val="115"/>
          <w:sz w:val="19"/>
        </w:rPr>
        <w:t>“a</w:t>
      </w:r>
      <w:r>
        <w:rPr>
          <w:spacing w:val="-17"/>
          <w:w w:val="115"/>
          <w:sz w:val="19"/>
        </w:rPr>
        <w:t> </w:t>
      </w:r>
      <w:r>
        <w:rPr>
          <w:w w:val="115"/>
          <w:sz w:val="19"/>
        </w:rPr>
        <w:t>dominação</w:t>
      </w:r>
      <w:r>
        <w:rPr>
          <w:spacing w:val="-17"/>
          <w:w w:val="115"/>
          <w:sz w:val="19"/>
        </w:rPr>
        <w:t> </w:t>
      </w:r>
      <w:r>
        <w:rPr>
          <w:w w:val="115"/>
          <w:sz w:val="19"/>
        </w:rPr>
        <w:t>globalizada:</w:t>
      </w:r>
      <w:r>
        <w:rPr>
          <w:spacing w:val="-17"/>
          <w:w w:val="115"/>
          <w:sz w:val="19"/>
        </w:rPr>
        <w:t> </w:t>
      </w:r>
      <w:r>
        <w:rPr>
          <w:w w:val="115"/>
          <w:sz w:val="19"/>
        </w:rPr>
        <w:t>estrutura e</w:t>
      </w:r>
      <w:r>
        <w:rPr>
          <w:spacing w:val="-8"/>
          <w:w w:val="115"/>
          <w:sz w:val="19"/>
        </w:rPr>
        <w:t> </w:t>
      </w:r>
      <w:r>
        <w:rPr>
          <w:w w:val="115"/>
          <w:sz w:val="19"/>
        </w:rPr>
        <w:t>dinâmica</w:t>
      </w:r>
      <w:r>
        <w:rPr>
          <w:spacing w:val="-8"/>
          <w:w w:val="115"/>
          <w:sz w:val="19"/>
        </w:rPr>
        <w:t> </w:t>
      </w:r>
      <w:r>
        <w:rPr>
          <w:w w:val="115"/>
          <w:sz w:val="19"/>
        </w:rPr>
        <w:t>da</w:t>
      </w:r>
      <w:r>
        <w:rPr>
          <w:spacing w:val="-8"/>
          <w:w w:val="115"/>
          <w:sz w:val="19"/>
        </w:rPr>
        <w:t> </w:t>
      </w:r>
      <w:r>
        <w:rPr>
          <w:w w:val="115"/>
          <w:sz w:val="19"/>
        </w:rPr>
        <w:t>dominação</w:t>
      </w:r>
      <w:r>
        <w:rPr>
          <w:spacing w:val="-8"/>
          <w:w w:val="115"/>
          <w:sz w:val="19"/>
        </w:rPr>
        <w:t> </w:t>
      </w:r>
      <w:r>
        <w:rPr>
          <w:w w:val="115"/>
          <w:sz w:val="19"/>
        </w:rPr>
        <w:t>burguesa</w:t>
      </w:r>
      <w:r>
        <w:rPr>
          <w:spacing w:val="-8"/>
          <w:w w:val="115"/>
          <w:sz w:val="19"/>
        </w:rPr>
        <w:t> </w:t>
      </w:r>
      <w:r>
        <w:rPr>
          <w:w w:val="115"/>
          <w:sz w:val="19"/>
        </w:rPr>
        <w:t>no</w:t>
      </w:r>
      <w:r>
        <w:rPr>
          <w:spacing w:val="-8"/>
          <w:w w:val="115"/>
          <w:sz w:val="19"/>
        </w:rPr>
        <w:t> </w:t>
      </w:r>
      <w:r>
        <w:rPr>
          <w:w w:val="115"/>
          <w:sz w:val="19"/>
        </w:rPr>
        <w:t>brasil”,</w:t>
      </w:r>
      <w:r>
        <w:rPr>
          <w:spacing w:val="-8"/>
          <w:w w:val="115"/>
          <w:sz w:val="19"/>
        </w:rPr>
        <w:t> </w:t>
      </w:r>
      <w:r>
        <w:rPr>
          <w:w w:val="115"/>
          <w:sz w:val="19"/>
        </w:rPr>
        <w:t>en</w:t>
      </w:r>
      <w:r>
        <w:rPr>
          <w:spacing w:val="-8"/>
          <w:w w:val="115"/>
          <w:sz w:val="19"/>
        </w:rPr>
        <w:t> </w:t>
      </w:r>
      <w:r>
        <w:rPr>
          <w:w w:val="115"/>
          <w:sz w:val="19"/>
        </w:rPr>
        <w:t>basualdo, Eduardo y arceo, Enrique (orgs.) </w:t>
      </w:r>
      <w:r>
        <w:rPr>
          <w:i/>
          <w:w w:val="115"/>
          <w:sz w:val="19"/>
        </w:rPr>
        <w:t>Neoliberalismo y sectores </w:t>
      </w:r>
      <w:r>
        <w:rPr>
          <w:i/>
          <w:w w:val="115"/>
          <w:sz w:val="19"/>
        </w:rPr>
        <w:t>dominantes: tendencias globales y experiencias nacionales </w:t>
      </w:r>
      <w:r>
        <w:rPr>
          <w:w w:val="120"/>
          <w:sz w:val="19"/>
        </w:rPr>
        <w:t>(buenos  aires:</w:t>
      </w:r>
      <w:r>
        <w:rPr>
          <w:spacing w:val="14"/>
          <w:w w:val="120"/>
          <w:sz w:val="19"/>
        </w:rPr>
        <w:t> </w:t>
      </w:r>
      <w:r>
        <w:rPr>
          <w:w w:val="120"/>
          <w:sz w:val="19"/>
        </w:rPr>
        <w:t>ClaCso).</w:t>
      </w:r>
    </w:p>
    <w:p>
      <w:pPr>
        <w:spacing w:line="252" w:lineRule="auto" w:before="28"/>
        <w:ind w:left="497" w:right="376" w:hanging="397"/>
        <w:jc w:val="left"/>
        <w:rPr>
          <w:sz w:val="19"/>
        </w:rPr>
      </w:pPr>
      <w:r>
        <w:rPr>
          <w:w w:val="115"/>
          <w:sz w:val="19"/>
        </w:rPr>
        <w:t>oman, Charles </w:t>
      </w:r>
      <w:r>
        <w:rPr>
          <w:spacing w:val="-13"/>
          <w:w w:val="115"/>
          <w:sz w:val="19"/>
        </w:rPr>
        <w:t>P. </w:t>
      </w:r>
      <w:r>
        <w:rPr>
          <w:w w:val="115"/>
          <w:sz w:val="19"/>
        </w:rPr>
        <w:t>2003 “Corporate Governance in development: the concept, the issues, the policy challenger”, en oman, Charles </w:t>
      </w:r>
      <w:r>
        <w:rPr>
          <w:spacing w:val="-13"/>
          <w:w w:val="115"/>
          <w:sz w:val="19"/>
        </w:rPr>
        <w:t>P. </w:t>
      </w:r>
      <w:r>
        <w:rPr>
          <w:w w:val="115"/>
          <w:sz w:val="19"/>
        </w:rPr>
        <w:t>(ed.) </w:t>
      </w:r>
      <w:r>
        <w:rPr>
          <w:i/>
          <w:w w:val="115"/>
          <w:sz w:val="19"/>
        </w:rPr>
        <w:t>Corporate Governance in development. The experiences of </w:t>
      </w:r>
      <w:r>
        <w:rPr>
          <w:i/>
          <w:w w:val="115"/>
          <w:sz w:val="19"/>
        </w:rPr>
        <w:t>Brazil, Chile, India and South Africa</w:t>
      </w:r>
      <w:r>
        <w:rPr>
          <w:w w:val="115"/>
          <w:sz w:val="19"/>
        </w:rPr>
        <w:t>. Center for international interprise (CiPE); oECd development Centre, pp. 1-34.</w:t>
      </w:r>
    </w:p>
    <w:p>
      <w:pPr>
        <w:spacing w:line="252" w:lineRule="auto" w:before="28"/>
        <w:ind w:left="497" w:right="0" w:hanging="397"/>
        <w:jc w:val="left"/>
        <w:rPr>
          <w:sz w:val="19"/>
        </w:rPr>
      </w:pPr>
      <w:r>
        <w:rPr>
          <w:w w:val="114"/>
          <w:sz w:val="19"/>
        </w:rPr>
        <w:t>Panitch,</w:t>
      </w:r>
      <w:r>
        <w:rPr>
          <w:sz w:val="19"/>
        </w:rPr>
        <w:t> </w:t>
      </w:r>
      <w:r>
        <w:rPr>
          <w:w w:val="243"/>
          <w:sz w:val="19"/>
        </w:rPr>
        <w:t>l</w:t>
      </w:r>
      <w:r>
        <w:rPr>
          <w:w w:val="107"/>
          <w:sz w:val="19"/>
        </w:rPr>
        <w:t>eo;</w:t>
      </w:r>
      <w:r>
        <w:rPr>
          <w:sz w:val="19"/>
        </w:rPr>
        <w:t> </w:t>
      </w:r>
      <w:r>
        <w:rPr>
          <w:w w:val="243"/>
          <w:sz w:val="19"/>
        </w:rPr>
        <w:t>l</w:t>
      </w:r>
      <w:r>
        <w:rPr>
          <w:w w:val="109"/>
          <w:sz w:val="19"/>
        </w:rPr>
        <w:t>eys,</w:t>
      </w:r>
      <w:r>
        <w:rPr>
          <w:sz w:val="19"/>
        </w:rPr>
        <w:t> </w:t>
      </w:r>
      <w:r>
        <w:rPr>
          <w:w w:val="115"/>
          <w:sz w:val="19"/>
        </w:rPr>
        <w:t>Colin</w:t>
      </w:r>
      <w:r>
        <w:rPr>
          <w:sz w:val="19"/>
        </w:rPr>
        <w:t> </w:t>
      </w:r>
      <w:r>
        <w:rPr>
          <w:w w:val="107"/>
          <w:sz w:val="19"/>
        </w:rPr>
        <w:t>(orgs.)</w:t>
      </w:r>
      <w:r>
        <w:rPr>
          <w:sz w:val="19"/>
        </w:rPr>
        <w:t> </w:t>
      </w:r>
      <w:r>
        <w:rPr>
          <w:w w:val="102"/>
          <w:sz w:val="19"/>
        </w:rPr>
        <w:t>2006</w:t>
      </w:r>
      <w:r>
        <w:rPr>
          <w:sz w:val="19"/>
        </w:rPr>
        <w:t> </w:t>
      </w:r>
      <w:r>
        <w:rPr>
          <w:i/>
          <w:w w:val="113"/>
          <w:sz w:val="19"/>
        </w:rPr>
        <w:t>Socialist</w:t>
      </w:r>
      <w:r>
        <w:rPr>
          <w:i/>
          <w:sz w:val="19"/>
        </w:rPr>
        <w:t> </w:t>
      </w:r>
      <w:r>
        <w:rPr>
          <w:i/>
          <w:w w:val="101"/>
          <w:sz w:val="19"/>
        </w:rPr>
        <w:t>register</w:t>
      </w:r>
      <w:r>
        <w:rPr>
          <w:i/>
          <w:sz w:val="19"/>
        </w:rPr>
        <w:t> </w:t>
      </w:r>
      <w:r>
        <w:rPr>
          <w:i/>
          <w:w w:val="107"/>
          <w:sz w:val="19"/>
        </w:rPr>
        <w:t>2004:</w:t>
      </w:r>
      <w:r>
        <w:rPr>
          <w:i/>
          <w:sz w:val="19"/>
        </w:rPr>
        <w:t> </w:t>
      </w:r>
      <w:r>
        <w:rPr>
          <w:i/>
          <w:w w:val="112"/>
          <w:sz w:val="19"/>
        </w:rPr>
        <w:t>o</w:t>
      </w:r>
      <w:r>
        <w:rPr>
          <w:i/>
          <w:sz w:val="19"/>
        </w:rPr>
        <w:t> </w:t>
      </w:r>
      <w:r>
        <w:rPr>
          <w:i/>
          <w:w w:val="113"/>
          <w:sz w:val="19"/>
        </w:rPr>
        <w:t>novo</w:t>
      </w:r>
      <w:r>
        <w:rPr>
          <w:i/>
          <w:w w:val="113"/>
          <w:sz w:val="19"/>
        </w:rPr>
        <w:t> </w:t>
      </w:r>
      <w:r>
        <w:rPr>
          <w:i/>
          <w:w w:val="120"/>
          <w:sz w:val="19"/>
        </w:rPr>
        <w:t>desafio imperial </w:t>
      </w:r>
      <w:r>
        <w:rPr>
          <w:w w:val="120"/>
          <w:sz w:val="19"/>
        </w:rPr>
        <w:t>(buenos aires: ClaCso).</w:t>
      </w:r>
    </w:p>
    <w:p>
      <w:pPr>
        <w:spacing w:line="252" w:lineRule="auto" w:before="28"/>
        <w:ind w:left="497" w:right="819" w:hanging="397"/>
        <w:jc w:val="left"/>
        <w:rPr>
          <w:sz w:val="19"/>
        </w:rPr>
      </w:pPr>
      <w:r>
        <w:rPr>
          <w:w w:val="114"/>
          <w:sz w:val="19"/>
        </w:rPr>
        <w:t>Panitch,</w:t>
      </w:r>
      <w:r>
        <w:rPr>
          <w:sz w:val="19"/>
        </w:rPr>
        <w:t> </w:t>
      </w:r>
      <w:r>
        <w:rPr>
          <w:w w:val="243"/>
          <w:sz w:val="19"/>
        </w:rPr>
        <w:t>l</w:t>
      </w:r>
      <w:r>
        <w:rPr>
          <w:w w:val="107"/>
          <w:sz w:val="19"/>
        </w:rPr>
        <w:t>eo;</w:t>
      </w:r>
      <w:r>
        <w:rPr>
          <w:sz w:val="19"/>
        </w:rPr>
        <w:t> </w:t>
      </w:r>
      <w:r>
        <w:rPr>
          <w:w w:val="243"/>
          <w:sz w:val="19"/>
        </w:rPr>
        <w:t>l</w:t>
      </w:r>
      <w:r>
        <w:rPr>
          <w:w w:val="109"/>
          <w:sz w:val="19"/>
        </w:rPr>
        <w:t>eys,</w:t>
      </w:r>
      <w:r>
        <w:rPr>
          <w:sz w:val="19"/>
        </w:rPr>
        <w:t> </w:t>
      </w:r>
      <w:r>
        <w:rPr>
          <w:w w:val="115"/>
          <w:sz w:val="19"/>
        </w:rPr>
        <w:t>Colin</w:t>
      </w:r>
      <w:r>
        <w:rPr>
          <w:sz w:val="19"/>
        </w:rPr>
        <w:t> </w:t>
      </w:r>
      <w:r>
        <w:rPr>
          <w:w w:val="107"/>
          <w:sz w:val="19"/>
        </w:rPr>
        <w:t>(orgs.)</w:t>
      </w:r>
      <w:r>
        <w:rPr>
          <w:sz w:val="19"/>
        </w:rPr>
        <w:t> </w:t>
      </w:r>
      <w:r>
        <w:rPr>
          <w:w w:val="102"/>
          <w:sz w:val="19"/>
        </w:rPr>
        <w:t>2006</w:t>
      </w:r>
      <w:r>
        <w:rPr>
          <w:sz w:val="19"/>
        </w:rPr>
        <w:t> </w:t>
      </w:r>
      <w:r>
        <w:rPr>
          <w:i/>
          <w:w w:val="113"/>
          <w:sz w:val="19"/>
        </w:rPr>
        <w:t>Socialist</w:t>
      </w:r>
      <w:r>
        <w:rPr>
          <w:i/>
          <w:sz w:val="19"/>
        </w:rPr>
        <w:t> </w:t>
      </w:r>
      <w:r>
        <w:rPr>
          <w:i/>
          <w:w w:val="106"/>
          <w:sz w:val="19"/>
        </w:rPr>
        <w:t>Register</w:t>
      </w:r>
      <w:r>
        <w:rPr>
          <w:i/>
          <w:sz w:val="19"/>
        </w:rPr>
        <w:t> </w:t>
      </w:r>
      <w:r>
        <w:rPr>
          <w:i/>
          <w:w w:val="107"/>
          <w:sz w:val="19"/>
        </w:rPr>
        <w:t>2005</w:t>
      </w:r>
      <w:r>
        <w:rPr>
          <w:w w:val="107"/>
          <w:sz w:val="19"/>
        </w:rPr>
        <w:t>:</w:t>
      </w:r>
      <w:r>
        <w:rPr>
          <w:sz w:val="19"/>
        </w:rPr>
        <w:t> </w:t>
      </w:r>
      <w:r>
        <w:rPr>
          <w:w w:val="110"/>
          <w:sz w:val="19"/>
        </w:rPr>
        <w:t>o </w:t>
      </w:r>
      <w:r>
        <w:rPr>
          <w:w w:val="120"/>
          <w:sz w:val="19"/>
        </w:rPr>
        <w:t>império reloaded (buenos aires: ClaCso).</w:t>
      </w:r>
    </w:p>
    <w:p>
      <w:pPr>
        <w:pStyle w:val="BodyText"/>
        <w:spacing w:before="28"/>
        <w:ind w:left="100"/>
      </w:pPr>
      <w:r>
        <w:rPr>
          <w:w w:val="110"/>
        </w:rPr>
        <w:t>Petras,</w:t>
      </w:r>
      <w:r>
        <w:rPr>
          <w:spacing w:val="12"/>
        </w:rPr>
        <w:t> </w:t>
      </w:r>
      <w:r>
        <w:rPr>
          <w:w w:val="115"/>
        </w:rPr>
        <w:t>James</w:t>
      </w:r>
      <w:r>
        <w:rPr>
          <w:spacing w:val="12"/>
        </w:rPr>
        <w:t> </w:t>
      </w:r>
      <w:r>
        <w:rPr>
          <w:w w:val="102"/>
        </w:rPr>
        <w:t>1997</w:t>
      </w:r>
      <w:r>
        <w:rPr>
          <w:spacing w:val="12"/>
        </w:rPr>
        <w:t> </w:t>
      </w:r>
      <w:r>
        <w:rPr>
          <w:w w:val="115"/>
        </w:rPr>
        <w:t>“</w:t>
      </w:r>
      <w:r>
        <w:rPr>
          <w:w w:val="142"/>
        </w:rPr>
        <w:t>i</w:t>
      </w:r>
      <w:r>
        <w:rPr>
          <w:w w:val="110"/>
        </w:rPr>
        <w:t>mperialism</w:t>
      </w:r>
      <w:r>
        <w:rPr>
          <w:spacing w:val="12"/>
        </w:rPr>
        <w:t> </w:t>
      </w:r>
      <w:r>
        <w:rPr>
          <w:w w:val="111"/>
        </w:rPr>
        <w:t>and</w:t>
      </w:r>
      <w:r>
        <w:rPr>
          <w:spacing w:val="12"/>
        </w:rPr>
        <w:t> </w:t>
      </w:r>
      <w:r>
        <w:rPr>
          <w:w w:val="124"/>
        </w:rPr>
        <w:t>NG</w:t>
      </w:r>
      <w:r>
        <w:rPr>
          <w:w w:val="149"/>
        </w:rPr>
        <w:t>o</w:t>
      </w:r>
      <w:r>
        <w:rPr>
          <w:w w:val="105"/>
        </w:rPr>
        <w:t>s</w:t>
      </w:r>
      <w:r>
        <w:rPr>
          <w:spacing w:val="12"/>
        </w:rPr>
        <w:t> </w:t>
      </w:r>
      <w:r>
        <w:rPr>
          <w:w w:val="113"/>
        </w:rPr>
        <w:t>in</w:t>
      </w:r>
      <w:r>
        <w:rPr>
          <w:spacing w:val="12"/>
        </w:rPr>
        <w:t> </w:t>
      </w:r>
      <w:r>
        <w:rPr>
          <w:w w:val="243"/>
        </w:rPr>
        <w:t>l</w:t>
      </w:r>
      <w:r>
        <w:rPr>
          <w:w w:val="111"/>
        </w:rPr>
        <w:t>atin</w:t>
      </w:r>
      <w:r>
        <w:rPr>
          <w:spacing w:val="12"/>
        </w:rPr>
        <w:t> </w:t>
      </w:r>
      <w:r>
        <w:rPr>
          <w:w w:val="139"/>
        </w:rPr>
        <w:t>a</w:t>
      </w:r>
      <w:r>
        <w:rPr>
          <w:w w:val="113"/>
        </w:rPr>
        <w:t>merica”,</w:t>
      </w:r>
      <w:r>
        <w:rPr>
          <w:spacing w:val="12"/>
        </w:rPr>
        <w:t> </w:t>
      </w:r>
      <w:r>
        <w:rPr>
          <w:w w:val="108"/>
        </w:rPr>
        <w:t>en</w:t>
      </w:r>
    </w:p>
    <w:p>
      <w:pPr>
        <w:spacing w:before="11"/>
        <w:ind w:left="497" w:right="0" w:firstLine="0"/>
        <w:jc w:val="left"/>
        <w:rPr>
          <w:sz w:val="19"/>
        </w:rPr>
      </w:pPr>
      <w:r>
        <w:rPr>
          <w:i/>
          <w:w w:val="110"/>
          <w:sz w:val="19"/>
        </w:rPr>
        <w:t>Monthly Review</w:t>
      </w:r>
      <w:r>
        <w:rPr>
          <w:w w:val="110"/>
          <w:sz w:val="19"/>
        </w:rPr>
        <w:t>, Vol.  49, Nº 7,  diciembre.</w:t>
      </w:r>
    </w:p>
    <w:p>
      <w:pPr>
        <w:spacing w:line="252" w:lineRule="auto" w:before="39"/>
        <w:ind w:left="497" w:right="500" w:hanging="397"/>
        <w:jc w:val="left"/>
        <w:rPr>
          <w:sz w:val="19"/>
        </w:rPr>
      </w:pPr>
      <w:r>
        <w:rPr>
          <w:w w:val="110"/>
          <w:sz w:val="19"/>
        </w:rPr>
        <w:t>Petras, James 1999 “NGos: in the service of imperialism”, en </w:t>
      </w:r>
      <w:r>
        <w:rPr>
          <w:i/>
          <w:w w:val="110"/>
          <w:sz w:val="19"/>
        </w:rPr>
        <w:t>Journal  </w:t>
      </w:r>
      <w:r>
        <w:rPr>
          <w:i/>
          <w:w w:val="110"/>
          <w:sz w:val="19"/>
        </w:rPr>
        <w:t>of Contemporary Asia</w:t>
      </w:r>
      <w:r>
        <w:rPr>
          <w:w w:val="110"/>
          <w:sz w:val="19"/>
        </w:rPr>
        <w:t>, </w:t>
      </w:r>
      <w:r>
        <w:rPr>
          <w:spacing w:val="-4"/>
          <w:w w:val="110"/>
          <w:sz w:val="19"/>
        </w:rPr>
        <w:t>Vol. </w:t>
      </w:r>
      <w:r>
        <w:rPr>
          <w:w w:val="110"/>
          <w:sz w:val="19"/>
        </w:rPr>
        <w:t>29, Nº 4, pp. </w:t>
      </w:r>
      <w:r>
        <w:rPr>
          <w:spacing w:val="9"/>
          <w:w w:val="110"/>
          <w:sz w:val="19"/>
        </w:rPr>
        <w:t> </w:t>
      </w:r>
      <w:r>
        <w:rPr>
          <w:w w:val="110"/>
          <w:sz w:val="19"/>
        </w:rPr>
        <w:t>429-440.</w:t>
      </w:r>
    </w:p>
    <w:p>
      <w:pPr>
        <w:spacing w:line="252" w:lineRule="auto" w:before="28"/>
        <w:ind w:left="497" w:right="498" w:hanging="397"/>
        <w:jc w:val="left"/>
        <w:rPr>
          <w:sz w:val="19"/>
        </w:rPr>
      </w:pPr>
      <w:r>
        <w:rPr>
          <w:w w:val="110"/>
          <w:sz w:val="19"/>
        </w:rPr>
        <w:t>ramírez, Hernán 2000 </w:t>
      </w:r>
      <w:r>
        <w:rPr>
          <w:i/>
          <w:w w:val="110"/>
          <w:sz w:val="19"/>
        </w:rPr>
        <w:t>La Fundación Mediterránea y de cómo </w:t>
      </w:r>
      <w:r>
        <w:rPr>
          <w:i/>
          <w:w w:val="110"/>
          <w:sz w:val="19"/>
        </w:rPr>
        <w:t>construir poder</w:t>
      </w:r>
      <w:r>
        <w:rPr>
          <w:w w:val="110"/>
          <w:sz w:val="19"/>
        </w:rPr>
        <w:t>: </w:t>
      </w:r>
      <w:r>
        <w:rPr>
          <w:i/>
          <w:w w:val="110"/>
          <w:sz w:val="19"/>
        </w:rPr>
        <w:t>la génesis de un proyecto hegemónico </w:t>
      </w:r>
      <w:r>
        <w:rPr>
          <w:w w:val="110"/>
          <w:sz w:val="19"/>
        </w:rPr>
        <w:t>(Córdoba: Ferreyra).</w:t>
      </w:r>
    </w:p>
    <w:p>
      <w:pPr>
        <w:pStyle w:val="BodyText"/>
        <w:spacing w:line="252" w:lineRule="auto" w:before="28"/>
        <w:ind w:left="497" w:right="352" w:hanging="397"/>
      </w:pPr>
      <w:r>
        <w:rPr>
          <w:w w:val="110"/>
        </w:rPr>
        <w:t>ramírez, Hernán 2006 “institutos de estudos econômicos de organizações empresariais e sua relação con o Estado en perspectiva comparada: argentina e brasil, 1961-1996”, en </w:t>
      </w:r>
      <w:r>
        <w:rPr>
          <w:i/>
          <w:w w:val="110"/>
        </w:rPr>
        <w:t>Anos </w:t>
      </w:r>
      <w:r>
        <w:rPr>
          <w:i/>
          <w:w w:val="110"/>
        </w:rPr>
        <w:t>90</w:t>
      </w:r>
      <w:r>
        <w:rPr>
          <w:w w:val="110"/>
        </w:rPr>
        <w:t>, Porto alegre, Vol. 13, pp.  179-214.</w:t>
      </w:r>
    </w:p>
    <w:p>
      <w:pPr>
        <w:spacing w:line="252" w:lineRule="auto" w:before="28"/>
        <w:ind w:left="497" w:right="649" w:hanging="397"/>
        <w:jc w:val="both"/>
        <w:rPr>
          <w:sz w:val="19"/>
        </w:rPr>
      </w:pPr>
      <w:r>
        <w:rPr>
          <w:w w:val="115"/>
          <w:sz w:val="19"/>
        </w:rPr>
        <w:t>robinson,</w:t>
      </w:r>
      <w:r>
        <w:rPr>
          <w:spacing w:val="-11"/>
          <w:w w:val="115"/>
          <w:sz w:val="19"/>
        </w:rPr>
        <w:t> </w:t>
      </w:r>
      <w:r>
        <w:rPr>
          <w:w w:val="115"/>
          <w:sz w:val="19"/>
        </w:rPr>
        <w:t>William</w:t>
      </w:r>
      <w:r>
        <w:rPr>
          <w:spacing w:val="-11"/>
          <w:w w:val="115"/>
          <w:sz w:val="19"/>
        </w:rPr>
        <w:t> </w:t>
      </w:r>
      <w:r>
        <w:rPr>
          <w:w w:val="115"/>
          <w:sz w:val="19"/>
        </w:rPr>
        <w:t>i.</w:t>
      </w:r>
      <w:r>
        <w:rPr>
          <w:spacing w:val="-11"/>
          <w:w w:val="115"/>
          <w:sz w:val="19"/>
        </w:rPr>
        <w:t> </w:t>
      </w:r>
      <w:r>
        <w:rPr>
          <w:w w:val="115"/>
          <w:sz w:val="19"/>
        </w:rPr>
        <w:t>1998</w:t>
      </w:r>
      <w:r>
        <w:rPr>
          <w:spacing w:val="-11"/>
          <w:w w:val="115"/>
          <w:sz w:val="19"/>
        </w:rPr>
        <w:t> </w:t>
      </w:r>
      <w:r>
        <w:rPr>
          <w:i/>
          <w:w w:val="115"/>
          <w:sz w:val="19"/>
        </w:rPr>
        <w:t>Promoting</w:t>
      </w:r>
      <w:r>
        <w:rPr>
          <w:i/>
          <w:spacing w:val="-11"/>
          <w:w w:val="115"/>
          <w:sz w:val="19"/>
        </w:rPr>
        <w:t> </w:t>
      </w:r>
      <w:r>
        <w:rPr>
          <w:i/>
          <w:w w:val="115"/>
          <w:sz w:val="19"/>
        </w:rPr>
        <w:t>Polyarchy:</w:t>
      </w:r>
      <w:r>
        <w:rPr>
          <w:i/>
          <w:spacing w:val="-11"/>
          <w:w w:val="115"/>
          <w:sz w:val="19"/>
        </w:rPr>
        <w:t> </w:t>
      </w:r>
      <w:r>
        <w:rPr>
          <w:i/>
          <w:w w:val="115"/>
          <w:sz w:val="19"/>
        </w:rPr>
        <w:t>Globalization,</w:t>
      </w:r>
      <w:r>
        <w:rPr>
          <w:i/>
          <w:spacing w:val="-11"/>
          <w:w w:val="115"/>
          <w:sz w:val="19"/>
        </w:rPr>
        <w:t> </w:t>
      </w:r>
      <w:r>
        <w:rPr>
          <w:i/>
          <w:w w:val="115"/>
          <w:sz w:val="19"/>
        </w:rPr>
        <w:t>US </w:t>
      </w:r>
      <w:r>
        <w:rPr>
          <w:i/>
          <w:w w:val="115"/>
          <w:sz w:val="19"/>
        </w:rPr>
        <w:t>Intervention</w:t>
      </w:r>
      <w:r>
        <w:rPr>
          <w:i/>
          <w:spacing w:val="-28"/>
          <w:w w:val="115"/>
          <w:sz w:val="19"/>
        </w:rPr>
        <w:t> </w:t>
      </w:r>
      <w:r>
        <w:rPr>
          <w:i/>
          <w:w w:val="115"/>
          <w:sz w:val="19"/>
        </w:rPr>
        <w:t>and</w:t>
      </w:r>
      <w:r>
        <w:rPr>
          <w:i/>
          <w:spacing w:val="-28"/>
          <w:w w:val="115"/>
          <w:sz w:val="19"/>
        </w:rPr>
        <w:t> </w:t>
      </w:r>
      <w:r>
        <w:rPr>
          <w:i/>
          <w:w w:val="115"/>
          <w:sz w:val="19"/>
        </w:rPr>
        <w:t>Hegemony</w:t>
      </w:r>
      <w:r>
        <w:rPr>
          <w:i/>
          <w:spacing w:val="-28"/>
          <w:w w:val="115"/>
          <w:sz w:val="19"/>
        </w:rPr>
        <w:t> </w:t>
      </w:r>
      <w:r>
        <w:rPr>
          <w:w w:val="115"/>
          <w:sz w:val="19"/>
        </w:rPr>
        <w:t>(New</w:t>
      </w:r>
      <w:r>
        <w:rPr>
          <w:spacing w:val="-28"/>
          <w:w w:val="115"/>
          <w:sz w:val="19"/>
        </w:rPr>
        <w:t> </w:t>
      </w:r>
      <w:r>
        <w:rPr>
          <w:spacing w:val="-4"/>
          <w:w w:val="115"/>
          <w:sz w:val="19"/>
        </w:rPr>
        <w:t>York:</w:t>
      </w:r>
      <w:r>
        <w:rPr>
          <w:spacing w:val="-28"/>
          <w:w w:val="115"/>
          <w:sz w:val="19"/>
        </w:rPr>
        <w:t> </w:t>
      </w:r>
      <w:r>
        <w:rPr>
          <w:w w:val="115"/>
          <w:sz w:val="19"/>
        </w:rPr>
        <w:t>Cambridge</w:t>
      </w:r>
      <w:r>
        <w:rPr>
          <w:spacing w:val="-28"/>
          <w:w w:val="115"/>
          <w:sz w:val="19"/>
        </w:rPr>
        <w:t> </w:t>
      </w:r>
      <w:r>
        <w:rPr>
          <w:w w:val="115"/>
          <w:sz w:val="19"/>
        </w:rPr>
        <w:t>university Press).</w:t>
      </w:r>
    </w:p>
    <w:p>
      <w:pPr>
        <w:pStyle w:val="BodyText"/>
        <w:spacing w:before="28"/>
        <w:ind w:left="100"/>
      </w:pPr>
      <w:r>
        <w:rPr>
          <w:w w:val="120"/>
        </w:rPr>
        <w:t>robinson, William i. 2006 “Promoting Polyarchy: the New u.s.</w:t>
      </w:r>
    </w:p>
    <w:p>
      <w:pPr>
        <w:spacing w:line="252" w:lineRule="auto" w:before="11"/>
        <w:ind w:left="497" w:right="0" w:firstLine="0"/>
        <w:jc w:val="left"/>
        <w:rPr>
          <w:sz w:val="19"/>
        </w:rPr>
      </w:pPr>
      <w:r>
        <w:rPr>
          <w:w w:val="112"/>
          <w:sz w:val="19"/>
        </w:rPr>
        <w:t>Political</w:t>
      </w:r>
      <w:r>
        <w:rPr>
          <w:sz w:val="19"/>
        </w:rPr>
        <w:t> </w:t>
      </w:r>
      <w:r>
        <w:rPr>
          <w:w w:val="142"/>
          <w:sz w:val="19"/>
        </w:rPr>
        <w:t>i</w:t>
      </w:r>
      <w:r>
        <w:rPr>
          <w:w w:val="108"/>
          <w:sz w:val="19"/>
        </w:rPr>
        <w:t>ntervention</w:t>
      </w:r>
      <w:r>
        <w:rPr>
          <w:sz w:val="19"/>
        </w:rPr>
        <w:t> </w:t>
      </w:r>
      <w:r>
        <w:rPr>
          <w:w w:val="113"/>
          <w:sz w:val="19"/>
        </w:rPr>
        <w:t>in</w:t>
      </w:r>
      <w:r>
        <w:rPr>
          <w:sz w:val="19"/>
        </w:rPr>
        <w:t> </w:t>
      </w:r>
      <w:r>
        <w:rPr>
          <w:w w:val="243"/>
          <w:sz w:val="19"/>
        </w:rPr>
        <w:t>l</w:t>
      </w:r>
      <w:r>
        <w:rPr>
          <w:w w:val="111"/>
          <w:sz w:val="19"/>
        </w:rPr>
        <w:t>atin</w:t>
      </w:r>
      <w:r>
        <w:rPr>
          <w:sz w:val="19"/>
        </w:rPr>
        <w:t> </w:t>
      </w:r>
      <w:r>
        <w:rPr>
          <w:w w:val="139"/>
          <w:sz w:val="19"/>
        </w:rPr>
        <w:t>a</w:t>
      </w:r>
      <w:r>
        <w:rPr>
          <w:w w:val="113"/>
          <w:sz w:val="19"/>
        </w:rPr>
        <w:t>merica”,</w:t>
      </w:r>
      <w:r>
        <w:rPr>
          <w:sz w:val="19"/>
        </w:rPr>
        <w:t> </w:t>
      </w:r>
      <w:r>
        <w:rPr>
          <w:w w:val="108"/>
          <w:sz w:val="19"/>
        </w:rPr>
        <w:t>en</w:t>
      </w:r>
      <w:r>
        <w:rPr>
          <w:sz w:val="19"/>
        </w:rPr>
        <w:t> </w:t>
      </w:r>
      <w:r>
        <w:rPr>
          <w:i/>
          <w:w w:val="109"/>
          <w:sz w:val="19"/>
        </w:rPr>
        <w:t>America</w:t>
      </w:r>
      <w:r>
        <w:rPr>
          <w:i/>
          <w:sz w:val="19"/>
        </w:rPr>
        <w:t> </w:t>
      </w:r>
      <w:r>
        <w:rPr>
          <w:i/>
          <w:w w:val="110"/>
          <w:sz w:val="19"/>
        </w:rPr>
        <w:t>Latina</w:t>
      </w:r>
      <w:r>
        <w:rPr>
          <w:i/>
          <w:sz w:val="19"/>
        </w:rPr>
        <w:t> </w:t>
      </w:r>
      <w:r>
        <w:rPr>
          <w:i/>
          <w:w w:val="108"/>
          <w:sz w:val="19"/>
        </w:rPr>
        <w:t>en</w:t>
      </w:r>
      <w:r>
        <w:rPr>
          <w:i/>
          <w:w w:val="108"/>
          <w:sz w:val="19"/>
        </w:rPr>
        <w:t> </w:t>
      </w:r>
      <w:r>
        <w:rPr>
          <w:i/>
          <w:w w:val="115"/>
          <w:sz w:val="19"/>
        </w:rPr>
        <w:t>Movimiento</w:t>
      </w:r>
      <w:r>
        <w:rPr>
          <w:w w:val="115"/>
          <w:sz w:val="19"/>
        </w:rPr>
        <w:t>, 17 de febrero.</w:t>
      </w:r>
    </w:p>
    <w:p>
      <w:pPr>
        <w:pStyle w:val="BodyText"/>
        <w:spacing w:before="28"/>
        <w:ind w:left="100"/>
      </w:pPr>
      <w:r>
        <w:rPr>
          <w:w w:val="115"/>
        </w:rPr>
        <w:t>robinson, William i. 2013 “Promoting polyarchy: 20 years later”, en</w:t>
      </w:r>
    </w:p>
    <w:p>
      <w:pPr>
        <w:spacing w:before="11"/>
        <w:ind w:left="497" w:right="0" w:firstLine="0"/>
        <w:jc w:val="left"/>
        <w:rPr>
          <w:sz w:val="19"/>
        </w:rPr>
      </w:pPr>
      <w:r>
        <w:rPr>
          <w:i/>
          <w:w w:val="110"/>
          <w:sz w:val="19"/>
        </w:rPr>
        <w:t>International Relations</w:t>
      </w:r>
      <w:r>
        <w:rPr>
          <w:w w:val="110"/>
          <w:sz w:val="19"/>
        </w:rPr>
        <w:t>, (27), pp. 228-234.</w:t>
      </w:r>
    </w:p>
    <w:p>
      <w:pPr>
        <w:spacing w:line="252" w:lineRule="auto" w:before="39"/>
        <w:ind w:left="497" w:right="378" w:hanging="397"/>
        <w:jc w:val="left"/>
        <w:rPr>
          <w:sz w:val="19"/>
        </w:rPr>
      </w:pPr>
      <w:r>
        <w:rPr>
          <w:w w:val="120"/>
          <w:sz w:val="19"/>
        </w:rPr>
        <w:t>roe, </w:t>
      </w:r>
      <w:r>
        <w:rPr>
          <w:w w:val="115"/>
          <w:sz w:val="19"/>
        </w:rPr>
        <w:t>M. </w:t>
      </w:r>
      <w:r>
        <w:rPr>
          <w:w w:val="120"/>
          <w:sz w:val="19"/>
        </w:rPr>
        <w:t>J. </w:t>
      </w:r>
      <w:r>
        <w:rPr>
          <w:w w:val="115"/>
          <w:sz w:val="19"/>
        </w:rPr>
        <w:t>1994 </w:t>
      </w:r>
      <w:r>
        <w:rPr>
          <w:i/>
          <w:w w:val="115"/>
          <w:sz w:val="19"/>
        </w:rPr>
        <w:t>Strong managers, weak owners: the political roots of </w:t>
      </w:r>
      <w:r>
        <w:rPr>
          <w:i/>
          <w:w w:val="110"/>
          <w:sz w:val="19"/>
        </w:rPr>
        <w:t>American corporate finance </w:t>
      </w:r>
      <w:r>
        <w:rPr>
          <w:w w:val="110"/>
          <w:sz w:val="19"/>
        </w:rPr>
        <w:t>(Princeton, NJ: Princeton university </w:t>
      </w:r>
      <w:r>
        <w:rPr>
          <w:w w:val="115"/>
          <w:sz w:val="19"/>
        </w:rPr>
        <w:t>Press), Vol. </w:t>
      </w:r>
      <w:r>
        <w:rPr>
          <w:w w:val="120"/>
          <w:sz w:val="19"/>
        </w:rPr>
        <w:t>xVi </w:t>
      </w:r>
      <w:r>
        <w:rPr>
          <w:w w:val="115"/>
          <w:sz w:val="19"/>
        </w:rPr>
        <w:t>(apud Grün, 2005).</w:t>
      </w:r>
    </w:p>
    <w:p>
      <w:pPr>
        <w:spacing w:line="252" w:lineRule="auto" w:before="28"/>
        <w:ind w:left="497" w:right="0" w:hanging="397"/>
        <w:jc w:val="left"/>
        <w:rPr>
          <w:sz w:val="19"/>
        </w:rPr>
      </w:pPr>
      <w:r>
        <w:rPr>
          <w:w w:val="110"/>
          <w:sz w:val="19"/>
        </w:rPr>
        <w:t>rossetti, José P.; andrade, adriana 2011 </w:t>
      </w:r>
      <w:r>
        <w:rPr>
          <w:i/>
          <w:w w:val="110"/>
          <w:sz w:val="19"/>
        </w:rPr>
        <w:t>Governança Corporativa</w:t>
      </w:r>
      <w:r>
        <w:rPr>
          <w:w w:val="110"/>
          <w:sz w:val="19"/>
        </w:rPr>
        <w:t>: </w:t>
      </w:r>
      <w:r>
        <w:rPr>
          <w:i/>
          <w:w w:val="110"/>
          <w:sz w:val="19"/>
        </w:rPr>
        <w:t>fundamentos, desenvolvimento e tendências </w:t>
      </w:r>
      <w:r>
        <w:rPr>
          <w:w w:val="110"/>
          <w:sz w:val="19"/>
        </w:rPr>
        <w:t>(são Paulo:   atlas).</w:t>
      </w:r>
    </w:p>
    <w:p>
      <w:pPr>
        <w:spacing w:after="0" w:line="252" w:lineRule="auto"/>
        <w:jc w:val="left"/>
        <w:rPr>
          <w:sz w:val="19"/>
        </w:rPr>
        <w:sectPr>
          <w:pgSz w:w="8790" w:h="12760"/>
          <w:pgMar w:header="697" w:footer="723" w:top="880" w:bottom="920" w:left="920" w:right="1200"/>
        </w:sectPr>
      </w:pPr>
    </w:p>
    <w:p>
      <w:pPr>
        <w:pStyle w:val="BodyText"/>
        <w:spacing w:before="7"/>
        <w:rPr>
          <w:sz w:val="28"/>
        </w:rPr>
      </w:pPr>
    </w:p>
    <w:p>
      <w:pPr>
        <w:pStyle w:val="BodyText"/>
        <w:spacing w:line="252" w:lineRule="auto" w:before="73"/>
        <w:ind w:left="727" w:right="7" w:hanging="397"/>
      </w:pPr>
      <w:r>
        <w:rPr>
          <w:w w:val="120"/>
        </w:rPr>
        <w:t>scott, James M. y Walters, Kelly </w:t>
      </w:r>
      <w:r>
        <w:rPr>
          <w:w w:val="125"/>
        </w:rPr>
        <w:t>J. </w:t>
      </w:r>
      <w:r>
        <w:rPr>
          <w:w w:val="120"/>
        </w:rPr>
        <w:t>2000 “supporting the wave: Western political foundations and the promotion of a global democratic society”, en </w:t>
      </w:r>
      <w:r>
        <w:rPr>
          <w:i/>
          <w:w w:val="120"/>
        </w:rPr>
        <w:t>Global Society</w:t>
      </w:r>
      <w:r>
        <w:rPr>
          <w:w w:val="120"/>
        </w:rPr>
        <w:t>, Vol. 14, Nº 2, pp.</w:t>
      </w:r>
    </w:p>
    <w:p>
      <w:pPr>
        <w:pStyle w:val="BodyText"/>
        <w:ind w:left="727" w:right="179"/>
      </w:pPr>
      <w:r>
        <w:rPr>
          <w:w w:val="110"/>
        </w:rPr>
        <w:t>237-257.</w:t>
      </w:r>
    </w:p>
    <w:p>
      <w:pPr>
        <w:pStyle w:val="BodyText"/>
        <w:spacing w:line="252" w:lineRule="auto" w:before="39"/>
        <w:ind w:left="727" w:right="49" w:hanging="397"/>
      </w:pPr>
      <w:r>
        <w:rPr>
          <w:w w:val="120"/>
        </w:rPr>
        <w:t>shkolnikov, aleksandr y Wilson, andrew 2009 “From sustainable Companies to sustainable Economies: Corporate Governance as a transformational development tool”, en CiPE, Economic reform, issue Paper Nº 0804, october</w:t>
      </w:r>
    </w:p>
    <w:p>
      <w:pPr>
        <w:spacing w:line="252" w:lineRule="auto" w:before="0"/>
        <w:ind w:left="727" w:right="101" w:firstLine="0"/>
        <w:jc w:val="left"/>
        <w:rPr>
          <w:sz w:val="19"/>
        </w:rPr>
      </w:pPr>
      <w:r>
        <w:rPr>
          <w:spacing w:val="3"/>
          <w:w w:val="104"/>
          <w:sz w:val="19"/>
        </w:rPr>
        <w:t>200</w:t>
      </w:r>
      <w:r>
        <w:rPr>
          <w:w w:val="104"/>
          <w:sz w:val="19"/>
        </w:rPr>
        <w:t>8</w:t>
      </w:r>
      <w:r>
        <w:rPr>
          <w:sz w:val="19"/>
        </w:rPr>
        <w:t> </w:t>
      </w:r>
      <w:r>
        <w:rPr>
          <w:spacing w:val="-21"/>
          <w:sz w:val="19"/>
        </w:rPr>
        <w:t> </w:t>
      </w:r>
      <w:r>
        <w:rPr>
          <w:spacing w:val="3"/>
          <w:w w:val="106"/>
          <w:sz w:val="19"/>
        </w:rPr>
        <w:t>(est</w:t>
      </w:r>
      <w:r>
        <w:rPr>
          <w:w w:val="106"/>
          <w:sz w:val="19"/>
        </w:rPr>
        <w:t>e</w:t>
      </w:r>
      <w:r>
        <w:rPr>
          <w:sz w:val="19"/>
        </w:rPr>
        <w:t> </w:t>
      </w:r>
      <w:r>
        <w:rPr>
          <w:spacing w:val="-21"/>
          <w:sz w:val="19"/>
        </w:rPr>
        <w:t> </w:t>
      </w:r>
      <w:r>
        <w:rPr>
          <w:spacing w:val="3"/>
          <w:w w:val="109"/>
          <w:sz w:val="19"/>
        </w:rPr>
        <w:t>text</w:t>
      </w:r>
      <w:r>
        <w:rPr>
          <w:w w:val="109"/>
          <w:sz w:val="19"/>
        </w:rPr>
        <w:t>o</w:t>
      </w:r>
      <w:r>
        <w:rPr>
          <w:sz w:val="19"/>
        </w:rPr>
        <w:t> </w:t>
      </w:r>
      <w:r>
        <w:rPr>
          <w:spacing w:val="-21"/>
          <w:sz w:val="19"/>
        </w:rPr>
        <w:t> </w:t>
      </w:r>
      <w:r>
        <w:rPr>
          <w:spacing w:val="3"/>
          <w:w w:val="113"/>
          <w:sz w:val="19"/>
        </w:rPr>
        <w:t>tambié</w:t>
      </w:r>
      <w:r>
        <w:rPr>
          <w:w w:val="113"/>
          <w:sz w:val="19"/>
        </w:rPr>
        <w:t>n</w:t>
      </w:r>
      <w:r>
        <w:rPr>
          <w:sz w:val="19"/>
        </w:rPr>
        <w:t> </w:t>
      </w:r>
      <w:r>
        <w:rPr>
          <w:spacing w:val="-21"/>
          <w:sz w:val="19"/>
        </w:rPr>
        <w:t> </w:t>
      </w:r>
      <w:r>
        <w:rPr>
          <w:spacing w:val="3"/>
          <w:w w:val="109"/>
          <w:sz w:val="19"/>
        </w:rPr>
        <w:t>est</w:t>
      </w:r>
      <w:r>
        <w:rPr>
          <w:w w:val="109"/>
          <w:sz w:val="19"/>
        </w:rPr>
        <w:t>á</w:t>
      </w:r>
      <w:r>
        <w:rPr>
          <w:sz w:val="19"/>
        </w:rPr>
        <w:t> </w:t>
      </w:r>
      <w:r>
        <w:rPr>
          <w:spacing w:val="-21"/>
          <w:sz w:val="19"/>
        </w:rPr>
        <w:t> </w:t>
      </w:r>
      <w:r>
        <w:rPr>
          <w:spacing w:val="3"/>
          <w:w w:val="113"/>
          <w:sz w:val="19"/>
        </w:rPr>
        <w:t>publicad</w:t>
      </w:r>
      <w:r>
        <w:rPr>
          <w:w w:val="113"/>
          <w:sz w:val="19"/>
        </w:rPr>
        <w:t>o</w:t>
      </w:r>
      <w:r>
        <w:rPr>
          <w:sz w:val="19"/>
        </w:rPr>
        <w:t> </w:t>
      </w:r>
      <w:r>
        <w:rPr>
          <w:spacing w:val="-21"/>
          <w:sz w:val="19"/>
        </w:rPr>
        <w:t> </w:t>
      </w:r>
      <w:r>
        <w:rPr>
          <w:spacing w:val="3"/>
          <w:w w:val="110"/>
          <w:sz w:val="19"/>
        </w:rPr>
        <w:t>e</w:t>
      </w:r>
      <w:r>
        <w:rPr>
          <w:w w:val="110"/>
          <w:sz w:val="19"/>
        </w:rPr>
        <w:t>n</w:t>
      </w:r>
      <w:r>
        <w:rPr>
          <w:sz w:val="19"/>
        </w:rPr>
        <w:t> </w:t>
      </w:r>
      <w:r>
        <w:rPr>
          <w:spacing w:val="-21"/>
          <w:sz w:val="19"/>
        </w:rPr>
        <w:t> </w:t>
      </w:r>
      <w:r>
        <w:rPr>
          <w:spacing w:val="3"/>
          <w:w w:val="126"/>
          <w:sz w:val="19"/>
        </w:rPr>
        <w:t>C</w:t>
      </w:r>
      <w:r>
        <w:rPr>
          <w:spacing w:val="3"/>
          <w:w w:val="145"/>
          <w:sz w:val="19"/>
        </w:rPr>
        <w:t>i</w:t>
      </w:r>
      <w:r>
        <w:rPr>
          <w:spacing w:val="3"/>
          <w:w w:val="123"/>
          <w:sz w:val="19"/>
        </w:rPr>
        <w:t>PE</w:t>
      </w:r>
      <w:r>
        <w:rPr>
          <w:spacing w:val="3"/>
          <w:w w:val="59"/>
          <w:sz w:val="19"/>
        </w:rPr>
        <w:t>/</w:t>
      </w:r>
      <w:r>
        <w:rPr>
          <w:spacing w:val="3"/>
          <w:w w:val="144"/>
          <w:sz w:val="19"/>
        </w:rPr>
        <w:t>usaid </w:t>
      </w:r>
      <w:r>
        <w:rPr>
          <w:spacing w:val="3"/>
          <w:w w:val="104"/>
          <w:sz w:val="19"/>
        </w:rPr>
        <w:t> </w:t>
      </w:r>
      <w:r>
        <w:rPr>
          <w:spacing w:val="2"/>
          <w:w w:val="110"/>
          <w:sz w:val="19"/>
        </w:rPr>
        <w:t>2009 </w:t>
      </w:r>
      <w:r>
        <w:rPr>
          <w:i/>
          <w:spacing w:val="2"/>
          <w:w w:val="110"/>
          <w:sz w:val="19"/>
        </w:rPr>
        <w:t>Corporate Governance. </w:t>
      </w:r>
      <w:r>
        <w:rPr>
          <w:i/>
          <w:w w:val="110"/>
          <w:sz w:val="19"/>
        </w:rPr>
        <w:t>The </w:t>
      </w:r>
      <w:r>
        <w:rPr>
          <w:i/>
          <w:spacing w:val="2"/>
          <w:w w:val="110"/>
          <w:sz w:val="19"/>
        </w:rPr>
        <w:t>Intersection </w:t>
      </w:r>
      <w:r>
        <w:rPr>
          <w:i/>
          <w:w w:val="110"/>
          <w:sz w:val="19"/>
        </w:rPr>
        <w:t>of </w:t>
      </w:r>
      <w:r>
        <w:rPr>
          <w:i/>
          <w:spacing w:val="2"/>
          <w:w w:val="110"/>
          <w:sz w:val="19"/>
        </w:rPr>
        <w:t>Public </w:t>
      </w:r>
      <w:r>
        <w:rPr>
          <w:i/>
          <w:spacing w:val="3"/>
          <w:w w:val="110"/>
          <w:sz w:val="19"/>
        </w:rPr>
        <w:t>and </w:t>
      </w:r>
      <w:r>
        <w:rPr>
          <w:i/>
          <w:spacing w:val="2"/>
          <w:w w:val="110"/>
          <w:sz w:val="19"/>
        </w:rPr>
        <w:t>Private Reform</w:t>
      </w:r>
      <w:r>
        <w:rPr>
          <w:spacing w:val="2"/>
          <w:w w:val="110"/>
          <w:sz w:val="19"/>
        </w:rPr>
        <w:t>, </w:t>
      </w:r>
      <w:r>
        <w:rPr>
          <w:w w:val="110"/>
          <w:sz w:val="19"/>
        </w:rPr>
        <w:t>en </w:t>
      </w:r>
      <w:hyperlink r:id="rId340">
        <w:r>
          <w:rPr>
            <w:spacing w:val="2"/>
            <w:w w:val="110"/>
            <w:sz w:val="19"/>
          </w:rPr>
          <w:t>&lt;http://www.cipe.org/sites/default/files/</w:t>
        </w:r>
      </w:hyperlink>
      <w:r>
        <w:rPr>
          <w:spacing w:val="2"/>
          <w:w w:val="110"/>
          <w:sz w:val="19"/>
        </w:rPr>
        <w:t> publication-docs/CG_usaid.pdf&gt; según  entrada  hecha  </w:t>
      </w:r>
      <w:r>
        <w:rPr>
          <w:w w:val="110"/>
          <w:sz w:val="19"/>
        </w:rPr>
        <w:t>el  </w:t>
      </w:r>
      <w:r>
        <w:rPr>
          <w:spacing w:val="3"/>
          <w:w w:val="110"/>
          <w:sz w:val="19"/>
        </w:rPr>
        <w:t>día  </w:t>
      </w:r>
      <w:r>
        <w:rPr>
          <w:w w:val="110"/>
          <w:sz w:val="19"/>
        </w:rPr>
        <w:t>30 de </w:t>
      </w:r>
      <w:r>
        <w:rPr>
          <w:spacing w:val="2"/>
          <w:w w:val="110"/>
          <w:sz w:val="19"/>
        </w:rPr>
        <w:t>agosto </w:t>
      </w:r>
      <w:r>
        <w:rPr>
          <w:w w:val="110"/>
          <w:sz w:val="19"/>
        </w:rPr>
        <w:t>de </w:t>
      </w:r>
      <w:r>
        <w:rPr>
          <w:spacing w:val="14"/>
          <w:w w:val="110"/>
          <w:sz w:val="19"/>
        </w:rPr>
        <w:t> </w:t>
      </w:r>
      <w:r>
        <w:rPr>
          <w:spacing w:val="3"/>
          <w:w w:val="110"/>
          <w:sz w:val="19"/>
        </w:rPr>
        <w:t>2010.</w:t>
      </w:r>
    </w:p>
    <w:p>
      <w:pPr>
        <w:pStyle w:val="BodyText"/>
        <w:spacing w:line="252" w:lineRule="auto" w:before="28"/>
        <w:ind w:left="727" w:right="179" w:hanging="397"/>
      </w:pPr>
      <w:r>
        <w:rPr>
          <w:w w:val="110"/>
        </w:rPr>
        <w:t>siffert Filho, Nelson 1998 “Governança Corporativa: Padrões internacionais e Evidências Empíricas no brasil nos anos 90”, </w:t>
      </w:r>
      <w:r>
        <w:rPr>
          <w:w w:val="108"/>
        </w:rPr>
        <w:t>en</w:t>
      </w:r>
      <w:r>
        <w:rPr/>
        <w:t> </w:t>
      </w:r>
      <w:r>
        <w:rPr>
          <w:i/>
          <w:w w:val="111"/>
        </w:rPr>
        <w:t>Revista</w:t>
      </w:r>
      <w:r>
        <w:rPr>
          <w:i/>
        </w:rPr>
        <w:t> </w:t>
      </w:r>
      <w:r>
        <w:rPr>
          <w:i/>
          <w:w w:val="110"/>
        </w:rPr>
        <w:t>do</w:t>
      </w:r>
      <w:r>
        <w:rPr>
          <w:i/>
        </w:rPr>
        <w:t> </w:t>
      </w:r>
      <w:r>
        <w:rPr>
          <w:i/>
          <w:w w:val="121"/>
        </w:rPr>
        <w:t>BNDES</w:t>
      </w:r>
      <w:r>
        <w:rPr>
          <w:w w:val="138"/>
        </w:rPr>
        <w:t>,</w:t>
      </w:r>
      <w:r>
        <w:rPr/>
        <w:t> </w:t>
      </w:r>
      <w:r>
        <w:rPr>
          <w:w w:val="108"/>
        </w:rPr>
        <w:t>en</w:t>
      </w:r>
      <w:r>
        <w:rPr/>
        <w:t> </w:t>
      </w:r>
      <w:hyperlink r:id="rId350">
        <w:r>
          <w:rPr>
            <w:w w:val="99"/>
          </w:rPr>
          <w:t>&lt;http://www</w:t>
        </w:r>
        <w:r>
          <w:rPr>
            <w:w w:val="112"/>
          </w:rPr>
          <w:t>.bndes.go</w:t>
        </w:r>
      </w:hyperlink>
      <w:r>
        <w:rPr>
          <w:w w:val="101"/>
        </w:rPr>
        <w:t>v</w:t>
      </w:r>
      <w:hyperlink r:id="rId350">
        <w:r>
          <w:rPr>
            <w:w w:val="97"/>
          </w:rPr>
          <w:t>.br/</w:t>
        </w:r>
        <w:r>
          <w:rPr>
            <w:w w:val="149"/>
          </w:rPr>
          <w:t>s</w:t>
        </w:r>
        <w:r>
          <w:rPr>
            <w:w w:val="107"/>
          </w:rPr>
          <w:t>ite</w:t>
        </w:r>
        <w:r>
          <w:rPr>
            <w:w w:val="134"/>
          </w:rPr>
          <w:t>b</w:t>
        </w:r>
        <w:r>
          <w:rPr>
            <w:w w:val="119"/>
          </w:rPr>
          <w:t>N</w:t>
        </w:r>
        <w:r>
          <w:rPr>
            <w:w w:val="139"/>
          </w:rPr>
          <w:t>d</w:t>
        </w:r>
        <w:r>
          <w:rPr>
            <w:w w:val="128"/>
          </w:rPr>
          <w:t>E</w:t>
        </w:r>
        <w:r>
          <w:rPr>
            <w:w w:val="149"/>
          </w:rPr>
          <w:t>s</w:t>
        </w:r>
        <w:r>
          <w:rPr>
            <w:w w:val="57"/>
          </w:rPr>
          <w:t>/</w:t>
        </w:r>
      </w:hyperlink>
      <w:r>
        <w:rPr>
          <w:w w:val="57"/>
        </w:rPr>
        <w:t> </w:t>
      </w:r>
      <w:r>
        <w:rPr>
          <w:w w:val="105"/>
        </w:rPr>
        <w:t>export/sites/default/bndes_pt/Galerias/arquivos/conhecimento/ </w:t>
      </w:r>
      <w:r>
        <w:rPr>
          <w:w w:val="110"/>
        </w:rPr>
        <w:t>revista/rev906.pdf&gt;.</w:t>
      </w:r>
    </w:p>
    <w:p>
      <w:pPr>
        <w:pStyle w:val="BodyText"/>
        <w:spacing w:before="28"/>
        <w:ind w:left="330" w:right="7"/>
      </w:pPr>
      <w:r>
        <w:rPr>
          <w:w w:val="149"/>
        </w:rPr>
        <w:t>s</w:t>
      </w:r>
      <w:r>
        <w:rPr>
          <w:w w:val="110"/>
        </w:rPr>
        <w:t>ilveira,</w:t>
      </w:r>
      <w:r>
        <w:rPr>
          <w:spacing w:val="12"/>
        </w:rPr>
        <w:t> </w:t>
      </w:r>
      <w:r>
        <w:rPr>
          <w:w w:val="139"/>
        </w:rPr>
        <w:t>a</w:t>
      </w:r>
      <w:r>
        <w:rPr>
          <w:w w:val="108"/>
        </w:rPr>
        <w:t>lexandre</w:t>
      </w:r>
      <w:r>
        <w:rPr>
          <w:spacing w:val="12"/>
        </w:rPr>
        <w:t> </w:t>
      </w:r>
      <w:r>
        <w:rPr>
          <w:w w:val="139"/>
        </w:rPr>
        <w:t>d</w:t>
      </w:r>
      <w:r>
        <w:rPr>
          <w:w w:val="138"/>
        </w:rPr>
        <w:t>.</w:t>
      </w:r>
      <w:r>
        <w:rPr>
          <w:spacing w:val="12"/>
        </w:rPr>
        <w:t> </w:t>
      </w:r>
      <w:r>
        <w:rPr>
          <w:w w:val="124"/>
        </w:rPr>
        <w:t>M.</w:t>
      </w:r>
      <w:r>
        <w:rPr>
          <w:spacing w:val="12"/>
        </w:rPr>
        <w:t> </w:t>
      </w:r>
      <w:r>
        <w:rPr>
          <w:w w:val="110"/>
        </w:rPr>
        <w:t>da;</w:t>
      </w:r>
      <w:r>
        <w:rPr>
          <w:spacing w:val="12"/>
        </w:rPr>
        <w:t> </w:t>
      </w:r>
      <w:r>
        <w:rPr>
          <w:w w:val="110"/>
        </w:rPr>
        <w:t>Perobelli,</w:t>
      </w:r>
      <w:r>
        <w:rPr>
          <w:spacing w:val="12"/>
        </w:rPr>
        <w:t> </w:t>
      </w:r>
      <w:r>
        <w:rPr>
          <w:w w:val="111"/>
        </w:rPr>
        <w:t>Fernanda</w:t>
      </w:r>
      <w:r>
        <w:rPr>
          <w:spacing w:val="12"/>
        </w:rPr>
        <w:t> </w:t>
      </w:r>
      <w:r>
        <w:rPr>
          <w:spacing w:val="-22"/>
          <w:w w:val="119"/>
        </w:rPr>
        <w:t>F</w:t>
      </w:r>
      <w:r>
        <w:rPr>
          <w:w w:val="138"/>
        </w:rPr>
        <w:t>.</w:t>
      </w:r>
      <w:r>
        <w:rPr>
          <w:spacing w:val="12"/>
        </w:rPr>
        <w:t> </w:t>
      </w:r>
      <w:r>
        <w:rPr>
          <w:w w:val="122"/>
        </w:rPr>
        <w:t>C.;</w:t>
      </w:r>
      <w:r>
        <w:rPr>
          <w:spacing w:val="12"/>
        </w:rPr>
        <w:t> </w:t>
      </w:r>
      <w:r>
        <w:rPr>
          <w:w w:val="134"/>
        </w:rPr>
        <w:t>b</w:t>
      </w:r>
      <w:r>
        <w:rPr>
          <w:w w:val="110"/>
        </w:rPr>
        <w:t>arros,</w:t>
      </w:r>
      <w:r>
        <w:rPr>
          <w:spacing w:val="12"/>
        </w:rPr>
        <w:t> </w:t>
      </w:r>
      <w:r>
        <w:rPr>
          <w:w w:val="243"/>
        </w:rPr>
        <w:t>l</w:t>
      </w:r>
      <w:r>
        <w:rPr>
          <w:w w:val="111"/>
        </w:rPr>
        <w:t>ucas</w:t>
      </w:r>
    </w:p>
    <w:p>
      <w:pPr>
        <w:pStyle w:val="ListParagraph"/>
        <w:numPr>
          <w:ilvl w:val="2"/>
          <w:numId w:val="29"/>
        </w:numPr>
        <w:tabs>
          <w:tab w:pos="965" w:val="left" w:leader="none"/>
        </w:tabs>
        <w:spacing w:line="252" w:lineRule="auto" w:before="11" w:after="0"/>
        <w:ind w:left="727" w:right="273" w:firstLine="0"/>
        <w:jc w:val="left"/>
        <w:rPr>
          <w:sz w:val="19"/>
        </w:rPr>
      </w:pPr>
      <w:r>
        <w:rPr>
          <w:w w:val="110"/>
          <w:sz w:val="19"/>
        </w:rPr>
        <w:t>b. de C. 2008 “Governança Corporativa e os determinantes da estrutura de capital: evidências empíricas no brasil” en </w:t>
      </w:r>
      <w:r>
        <w:rPr>
          <w:i/>
          <w:spacing w:val="-5"/>
          <w:w w:val="110"/>
          <w:sz w:val="19"/>
        </w:rPr>
        <w:t>Rev. </w:t>
      </w:r>
      <w:r>
        <w:rPr>
          <w:i/>
          <w:w w:val="110"/>
          <w:sz w:val="19"/>
        </w:rPr>
        <w:t>adm. contemp. </w:t>
      </w:r>
      <w:r>
        <w:rPr>
          <w:w w:val="110"/>
          <w:sz w:val="19"/>
        </w:rPr>
        <w:t>[online], </w:t>
      </w:r>
      <w:r>
        <w:rPr>
          <w:spacing w:val="-4"/>
          <w:w w:val="110"/>
          <w:sz w:val="19"/>
        </w:rPr>
        <w:t>Vol. </w:t>
      </w:r>
      <w:r>
        <w:rPr>
          <w:w w:val="110"/>
          <w:sz w:val="19"/>
        </w:rPr>
        <w:t>12, Nº 3, pp. </w:t>
      </w:r>
      <w:r>
        <w:rPr>
          <w:spacing w:val="38"/>
          <w:w w:val="110"/>
          <w:sz w:val="19"/>
        </w:rPr>
        <w:t> </w:t>
      </w:r>
      <w:r>
        <w:rPr>
          <w:w w:val="110"/>
          <w:sz w:val="19"/>
        </w:rPr>
        <w:t>763-788.</w:t>
      </w:r>
    </w:p>
    <w:p>
      <w:pPr>
        <w:pStyle w:val="BodyText"/>
        <w:spacing w:line="252" w:lineRule="auto" w:before="28"/>
        <w:ind w:left="727" w:right="332" w:hanging="397"/>
      </w:pPr>
      <w:r>
        <w:rPr>
          <w:w w:val="110"/>
        </w:rPr>
        <w:t>slater, david 2006 “imperial powers and democratic imagination”, en </w:t>
      </w:r>
      <w:r>
        <w:rPr>
          <w:i/>
          <w:w w:val="110"/>
        </w:rPr>
        <w:t>Third World Quarterly</w:t>
      </w:r>
      <w:r>
        <w:rPr>
          <w:w w:val="110"/>
        </w:rPr>
        <w:t>, Vol. 27, Nº 8, pp. 1369-1386.</w:t>
      </w:r>
    </w:p>
    <w:p>
      <w:pPr>
        <w:spacing w:line="252" w:lineRule="auto" w:before="28"/>
        <w:ind w:left="727" w:right="179" w:hanging="397"/>
        <w:jc w:val="left"/>
        <w:rPr>
          <w:sz w:val="19"/>
        </w:rPr>
      </w:pPr>
      <w:r>
        <w:rPr>
          <w:w w:val="115"/>
          <w:sz w:val="19"/>
        </w:rPr>
        <w:t>sullivan, John d</w:t>
      </w:r>
      <w:r>
        <w:rPr>
          <w:i/>
          <w:w w:val="115"/>
          <w:sz w:val="19"/>
        </w:rPr>
        <w:t>. </w:t>
      </w:r>
      <w:r>
        <w:rPr>
          <w:w w:val="115"/>
          <w:sz w:val="19"/>
        </w:rPr>
        <w:t>(ed.) 2003 </w:t>
      </w:r>
      <w:r>
        <w:rPr>
          <w:i/>
          <w:w w:val="115"/>
          <w:sz w:val="19"/>
        </w:rPr>
        <w:t>In search of good directors</w:t>
      </w:r>
      <w:r>
        <w:rPr>
          <w:w w:val="115"/>
          <w:sz w:val="19"/>
        </w:rPr>
        <w:t>: </w:t>
      </w:r>
      <w:r>
        <w:rPr>
          <w:i/>
          <w:w w:val="115"/>
          <w:sz w:val="19"/>
        </w:rPr>
        <w:t>A guide to </w:t>
      </w:r>
      <w:r>
        <w:rPr>
          <w:i/>
          <w:w w:val="110"/>
          <w:sz w:val="19"/>
        </w:rPr>
        <w:t>building corporate governance in the 21st Century </w:t>
      </w:r>
      <w:r>
        <w:rPr>
          <w:w w:val="110"/>
          <w:sz w:val="19"/>
        </w:rPr>
        <w:t>(Washington, </w:t>
      </w:r>
      <w:r>
        <w:rPr>
          <w:w w:val="115"/>
          <w:sz w:val="19"/>
        </w:rPr>
        <w:t>d.C.: Center for international Private interprise).</w:t>
      </w:r>
    </w:p>
    <w:p>
      <w:pPr>
        <w:pStyle w:val="BodyText"/>
        <w:spacing w:line="252" w:lineRule="auto" w:before="28"/>
        <w:ind w:left="727" w:right="179" w:hanging="397"/>
      </w:pPr>
      <w:r>
        <w:rPr>
          <w:w w:val="115"/>
        </w:rPr>
        <w:t>sullivan, John d.; shkolnikov, aleksander; Kuchta-Helbling, Catherine 2004 “democratic Governance: the Key to Political and Economic reform” en CiPE, </w:t>
      </w:r>
      <w:r>
        <w:rPr>
          <w:i/>
          <w:w w:val="115"/>
        </w:rPr>
        <w:t>Economic Reform Issue Paper</w:t>
      </w:r>
      <w:r>
        <w:rPr>
          <w:w w:val="115"/>
        </w:rPr>
        <w:t>, 22 de enero.</w:t>
      </w:r>
    </w:p>
    <w:p>
      <w:pPr>
        <w:spacing w:after="0" w:line="252" w:lineRule="auto"/>
        <w:sectPr>
          <w:pgSz w:w="8790" w:h="12760"/>
          <w:pgMar w:header="695" w:footer="725" w:top="880" w:bottom="920" w:left="1200" w:right="940"/>
        </w:sectPr>
      </w:pPr>
    </w:p>
    <w:p>
      <w:pPr>
        <w:pStyle w:val="BodyText"/>
        <w:spacing w:before="6"/>
        <w:rPr>
          <w:sz w:val="28"/>
        </w:rPr>
      </w:pPr>
    </w:p>
    <w:p>
      <w:pPr>
        <w:pStyle w:val="Heading6"/>
        <w:spacing w:before="68"/>
        <w:ind w:left="121" w:right="158"/>
        <w:jc w:val="left"/>
      </w:pPr>
      <w:r>
        <w:rPr>
          <w:w w:val="135"/>
        </w:rPr>
        <w:t>anexos</w:t>
      </w:r>
    </w:p>
    <w:p>
      <w:pPr>
        <w:pStyle w:val="BodyText"/>
        <w:spacing w:before="5"/>
        <w:rPr>
          <w:rFonts w:ascii="Times New Roman"/>
          <w:b/>
          <w:sz w:val="20"/>
        </w:rPr>
      </w:pPr>
    </w:p>
    <w:p>
      <w:pPr>
        <w:spacing w:before="0"/>
        <w:ind w:left="670" w:right="717" w:firstLine="0"/>
        <w:jc w:val="center"/>
        <w:rPr>
          <w:rFonts w:ascii="Arial"/>
          <w:b/>
          <w:sz w:val="17"/>
        </w:rPr>
      </w:pPr>
      <w:r>
        <w:rPr>
          <w:rFonts w:ascii="Arial"/>
          <w:b/>
          <w:w w:val="85"/>
          <w:sz w:val="17"/>
        </w:rPr>
        <w:t>Cuadro 2</w:t>
      </w:r>
    </w:p>
    <w:p>
      <w:pPr>
        <w:spacing w:line="249" w:lineRule="auto" w:before="8"/>
        <w:ind w:left="670" w:right="717" w:firstLine="0"/>
        <w:jc w:val="center"/>
        <w:rPr>
          <w:rFonts w:ascii="Arial" w:hAnsi="Arial"/>
          <w:sz w:val="17"/>
        </w:rPr>
      </w:pPr>
      <w:r>
        <w:rPr>
          <w:rFonts w:ascii="Arial" w:hAnsi="Arial"/>
          <w:w w:val="85"/>
          <w:sz w:val="17"/>
        </w:rPr>
        <w:t>Organizaciones</w:t>
      </w:r>
      <w:r>
        <w:rPr>
          <w:rFonts w:ascii="Arial" w:hAnsi="Arial"/>
          <w:spacing w:val="-14"/>
          <w:w w:val="85"/>
          <w:sz w:val="17"/>
        </w:rPr>
        <w:t> </w:t>
      </w:r>
      <w:r>
        <w:rPr>
          <w:rFonts w:ascii="Arial" w:hAnsi="Arial"/>
          <w:w w:val="85"/>
          <w:sz w:val="17"/>
        </w:rPr>
        <w:t>que</w:t>
      </w:r>
      <w:r>
        <w:rPr>
          <w:rFonts w:ascii="Arial" w:hAnsi="Arial"/>
          <w:spacing w:val="-14"/>
          <w:w w:val="85"/>
          <w:sz w:val="17"/>
        </w:rPr>
        <w:t> </w:t>
      </w:r>
      <w:r>
        <w:rPr>
          <w:rFonts w:ascii="Arial" w:hAnsi="Arial"/>
          <w:w w:val="85"/>
          <w:sz w:val="17"/>
        </w:rPr>
        <w:t>recibieron</w:t>
      </w:r>
      <w:r>
        <w:rPr>
          <w:rFonts w:ascii="Arial" w:hAnsi="Arial"/>
          <w:spacing w:val="-14"/>
          <w:w w:val="85"/>
          <w:sz w:val="17"/>
        </w:rPr>
        <w:t> </w:t>
      </w:r>
      <w:r>
        <w:rPr>
          <w:rFonts w:ascii="Arial" w:hAnsi="Arial"/>
          <w:w w:val="85"/>
          <w:sz w:val="17"/>
        </w:rPr>
        <w:t>fondos</w:t>
      </w:r>
      <w:r>
        <w:rPr>
          <w:rFonts w:ascii="Arial" w:hAnsi="Arial"/>
          <w:spacing w:val="-14"/>
          <w:w w:val="85"/>
          <w:sz w:val="17"/>
        </w:rPr>
        <w:t> </w:t>
      </w:r>
      <w:r>
        <w:rPr>
          <w:rFonts w:ascii="Arial" w:hAnsi="Arial"/>
          <w:w w:val="85"/>
          <w:sz w:val="17"/>
        </w:rPr>
        <w:t>del</w:t>
      </w:r>
      <w:r>
        <w:rPr>
          <w:rFonts w:ascii="Arial" w:hAnsi="Arial"/>
          <w:spacing w:val="-14"/>
          <w:w w:val="85"/>
          <w:sz w:val="17"/>
        </w:rPr>
        <w:t> </w:t>
      </w:r>
      <w:r>
        <w:rPr>
          <w:rFonts w:ascii="Arial" w:hAnsi="Arial"/>
          <w:w w:val="85"/>
          <w:sz w:val="17"/>
        </w:rPr>
        <w:t>CIPE</w:t>
      </w:r>
      <w:r>
        <w:rPr>
          <w:rFonts w:ascii="Arial" w:hAnsi="Arial"/>
          <w:spacing w:val="-14"/>
          <w:w w:val="85"/>
          <w:sz w:val="17"/>
        </w:rPr>
        <w:t> </w:t>
      </w:r>
      <w:r>
        <w:rPr>
          <w:rFonts w:ascii="Arial" w:hAnsi="Arial"/>
          <w:w w:val="85"/>
          <w:sz w:val="17"/>
        </w:rPr>
        <w:t>en</w:t>
      </w:r>
      <w:r>
        <w:rPr>
          <w:rFonts w:ascii="Arial" w:hAnsi="Arial"/>
          <w:spacing w:val="-14"/>
          <w:w w:val="85"/>
          <w:sz w:val="17"/>
        </w:rPr>
        <w:t> </w:t>
      </w:r>
      <w:r>
        <w:rPr>
          <w:rFonts w:ascii="Arial" w:hAnsi="Arial"/>
          <w:w w:val="85"/>
          <w:sz w:val="17"/>
        </w:rPr>
        <w:t>diferentes</w:t>
      </w:r>
      <w:r>
        <w:rPr>
          <w:rFonts w:ascii="Arial" w:hAnsi="Arial"/>
          <w:spacing w:val="-14"/>
          <w:w w:val="85"/>
          <w:sz w:val="17"/>
        </w:rPr>
        <w:t> </w:t>
      </w:r>
      <w:r>
        <w:rPr>
          <w:rFonts w:ascii="Arial" w:hAnsi="Arial"/>
          <w:w w:val="85"/>
          <w:sz w:val="17"/>
        </w:rPr>
        <w:t>momentos</w:t>
      </w:r>
      <w:r>
        <w:rPr>
          <w:rFonts w:ascii="Arial" w:hAnsi="Arial"/>
          <w:spacing w:val="-14"/>
          <w:w w:val="85"/>
          <w:sz w:val="17"/>
        </w:rPr>
        <w:t> </w:t>
      </w:r>
      <w:r>
        <w:rPr>
          <w:rFonts w:ascii="Arial" w:hAnsi="Arial"/>
          <w:w w:val="85"/>
          <w:sz w:val="17"/>
        </w:rPr>
        <w:t>(1984-2013)</w:t>
      </w:r>
      <w:r>
        <w:rPr>
          <w:rFonts w:ascii="Arial" w:hAnsi="Arial"/>
          <w:spacing w:val="-14"/>
          <w:w w:val="85"/>
          <w:sz w:val="17"/>
        </w:rPr>
        <w:t> </w:t>
      </w:r>
      <w:r>
        <w:rPr>
          <w:rFonts w:ascii="Arial" w:hAnsi="Arial"/>
          <w:w w:val="85"/>
          <w:sz w:val="17"/>
        </w:rPr>
        <w:t>- América</w:t>
      </w:r>
      <w:r>
        <w:rPr>
          <w:rFonts w:ascii="Arial" w:hAnsi="Arial"/>
          <w:spacing w:val="-13"/>
          <w:w w:val="85"/>
          <w:sz w:val="17"/>
        </w:rPr>
        <w:t> </w:t>
      </w:r>
      <w:r>
        <w:rPr>
          <w:rFonts w:ascii="Arial" w:hAnsi="Arial"/>
          <w:w w:val="85"/>
          <w:sz w:val="17"/>
        </w:rPr>
        <w:t>Latina</w:t>
      </w:r>
      <w:r>
        <w:rPr>
          <w:rFonts w:ascii="Arial" w:hAnsi="Arial"/>
          <w:spacing w:val="-13"/>
          <w:w w:val="85"/>
          <w:sz w:val="17"/>
        </w:rPr>
        <w:t> </w:t>
      </w:r>
      <w:r>
        <w:rPr>
          <w:rFonts w:ascii="Arial" w:hAnsi="Arial"/>
          <w:w w:val="85"/>
          <w:sz w:val="17"/>
        </w:rPr>
        <w:t>y</w:t>
      </w:r>
      <w:r>
        <w:rPr>
          <w:rFonts w:ascii="Arial" w:hAnsi="Arial"/>
          <w:spacing w:val="-13"/>
          <w:w w:val="85"/>
          <w:sz w:val="17"/>
        </w:rPr>
        <w:t> </w:t>
      </w:r>
      <w:r>
        <w:rPr>
          <w:rFonts w:ascii="Arial" w:hAnsi="Arial"/>
          <w:w w:val="85"/>
          <w:sz w:val="17"/>
        </w:rPr>
        <w:t>el</w:t>
      </w:r>
      <w:r>
        <w:rPr>
          <w:rFonts w:ascii="Arial" w:hAnsi="Arial"/>
          <w:spacing w:val="-13"/>
          <w:w w:val="85"/>
          <w:sz w:val="17"/>
        </w:rPr>
        <w:t> </w:t>
      </w:r>
      <w:r>
        <w:rPr>
          <w:rFonts w:ascii="Arial" w:hAnsi="Arial"/>
          <w:w w:val="85"/>
          <w:sz w:val="17"/>
        </w:rPr>
        <w:t>Caribe</w:t>
      </w:r>
    </w:p>
    <w:p>
      <w:pPr>
        <w:pStyle w:val="BodyText"/>
        <w:spacing w:before="6"/>
        <w:rPr>
          <w:rFonts w:ascii="Arial"/>
          <w:sz w:val="10"/>
        </w:rPr>
      </w:pPr>
      <w:r>
        <w:rPr/>
        <w:pict>
          <v:line style="position:absolute;mso-position-horizontal-relative:page;mso-position-vertical-relative:paragraph;z-index:5992;mso-wrap-distance-left:0;mso-wrap-distance-right:0" from="51.023602pt,8.518875pt" to="399.684602pt,8.518875pt" stroked="true" strokeweight="1pt" strokecolor="#000000">
            <w10:wrap type="topAndBottom"/>
          </v:line>
        </w:pict>
      </w:r>
    </w:p>
    <w:p>
      <w:pPr>
        <w:spacing w:line="249" w:lineRule="auto" w:before="0" w:after="22"/>
        <w:ind w:left="188" w:right="295" w:firstLine="0"/>
        <w:jc w:val="left"/>
        <w:rPr>
          <w:rFonts w:ascii="Arial" w:hAnsi="Arial"/>
          <w:sz w:val="16"/>
        </w:rPr>
      </w:pPr>
      <w:r>
        <w:rPr>
          <w:rFonts w:ascii="Arial" w:hAnsi="Arial"/>
          <w:w w:val="85"/>
          <w:sz w:val="16"/>
        </w:rPr>
        <w:t>Argentina:</w:t>
      </w:r>
      <w:r>
        <w:rPr>
          <w:rFonts w:ascii="Arial" w:hAnsi="Arial"/>
          <w:spacing w:val="-15"/>
          <w:w w:val="85"/>
          <w:sz w:val="16"/>
        </w:rPr>
        <w:t> </w:t>
      </w:r>
      <w:r>
        <w:rPr>
          <w:rFonts w:ascii="Arial" w:hAnsi="Arial"/>
          <w:w w:val="85"/>
          <w:sz w:val="16"/>
        </w:rPr>
        <w:t>Asociación</w:t>
      </w:r>
      <w:r>
        <w:rPr>
          <w:rFonts w:ascii="Arial" w:hAnsi="Arial"/>
          <w:spacing w:val="-15"/>
          <w:w w:val="85"/>
          <w:sz w:val="16"/>
        </w:rPr>
        <w:t> </w:t>
      </w:r>
      <w:r>
        <w:rPr>
          <w:rFonts w:ascii="Arial" w:hAnsi="Arial"/>
          <w:w w:val="85"/>
          <w:sz w:val="16"/>
        </w:rPr>
        <w:t>Argentina</w:t>
      </w:r>
      <w:r>
        <w:rPr>
          <w:rFonts w:ascii="Arial" w:hAnsi="Arial"/>
          <w:spacing w:val="-11"/>
          <w:w w:val="85"/>
          <w:sz w:val="16"/>
        </w:rPr>
        <w:t> </w:t>
      </w:r>
      <w:r>
        <w:rPr>
          <w:rFonts w:ascii="Arial" w:hAnsi="Arial"/>
          <w:w w:val="85"/>
          <w:sz w:val="16"/>
        </w:rPr>
        <w:t>de</w:t>
      </w:r>
      <w:r>
        <w:rPr>
          <w:rFonts w:ascii="Arial" w:hAnsi="Arial"/>
          <w:spacing w:val="-11"/>
          <w:w w:val="85"/>
          <w:sz w:val="16"/>
        </w:rPr>
        <w:t> </w:t>
      </w:r>
      <w:r>
        <w:rPr>
          <w:rFonts w:ascii="Arial" w:hAnsi="Arial"/>
          <w:w w:val="85"/>
          <w:sz w:val="16"/>
        </w:rPr>
        <w:t>Mujeres</w:t>
      </w:r>
      <w:r>
        <w:rPr>
          <w:rFonts w:ascii="Arial" w:hAnsi="Arial"/>
          <w:spacing w:val="-11"/>
          <w:w w:val="85"/>
          <w:sz w:val="16"/>
        </w:rPr>
        <w:t> </w:t>
      </w:r>
      <w:r>
        <w:rPr>
          <w:rFonts w:ascii="Arial" w:hAnsi="Arial"/>
          <w:w w:val="85"/>
          <w:sz w:val="16"/>
        </w:rPr>
        <w:t>Empresarias</w:t>
      </w:r>
      <w:r>
        <w:rPr>
          <w:rFonts w:ascii="Arial" w:hAnsi="Arial"/>
          <w:spacing w:val="-11"/>
          <w:w w:val="85"/>
          <w:sz w:val="16"/>
        </w:rPr>
        <w:t> </w:t>
      </w:r>
      <w:r>
        <w:rPr>
          <w:rFonts w:ascii="Arial" w:hAnsi="Arial"/>
          <w:w w:val="85"/>
          <w:sz w:val="16"/>
        </w:rPr>
        <w:t>y</w:t>
      </w:r>
      <w:r>
        <w:rPr>
          <w:rFonts w:ascii="Arial" w:hAnsi="Arial"/>
          <w:spacing w:val="-11"/>
          <w:w w:val="85"/>
          <w:sz w:val="16"/>
        </w:rPr>
        <w:t> </w:t>
      </w:r>
      <w:r>
        <w:rPr>
          <w:rFonts w:ascii="Arial" w:hAnsi="Arial"/>
          <w:w w:val="85"/>
          <w:sz w:val="16"/>
        </w:rPr>
        <w:t>Profesionales;</w:t>
      </w:r>
      <w:r>
        <w:rPr>
          <w:rFonts w:ascii="Arial" w:hAnsi="Arial"/>
          <w:spacing w:val="-11"/>
          <w:w w:val="85"/>
          <w:sz w:val="16"/>
        </w:rPr>
        <w:t> </w:t>
      </w:r>
      <w:r>
        <w:rPr>
          <w:rFonts w:ascii="Arial" w:hAnsi="Arial"/>
          <w:w w:val="85"/>
          <w:sz w:val="16"/>
        </w:rPr>
        <w:t>Centro</w:t>
      </w:r>
      <w:r>
        <w:rPr>
          <w:rFonts w:ascii="Arial" w:hAnsi="Arial"/>
          <w:spacing w:val="-11"/>
          <w:w w:val="85"/>
          <w:sz w:val="16"/>
        </w:rPr>
        <w:t> </w:t>
      </w:r>
      <w:r>
        <w:rPr>
          <w:rFonts w:ascii="Arial" w:hAnsi="Arial"/>
          <w:w w:val="85"/>
          <w:sz w:val="16"/>
        </w:rPr>
        <w:t>de</w:t>
      </w:r>
      <w:r>
        <w:rPr>
          <w:rFonts w:ascii="Arial" w:hAnsi="Arial"/>
          <w:spacing w:val="-11"/>
          <w:w w:val="85"/>
          <w:sz w:val="16"/>
        </w:rPr>
        <w:t> </w:t>
      </w:r>
      <w:r>
        <w:rPr>
          <w:rFonts w:ascii="Arial" w:hAnsi="Arial"/>
          <w:w w:val="85"/>
          <w:sz w:val="16"/>
        </w:rPr>
        <w:t>Estudios</w:t>
      </w:r>
      <w:r>
        <w:rPr>
          <w:rFonts w:ascii="Arial" w:hAnsi="Arial"/>
          <w:spacing w:val="-11"/>
          <w:w w:val="85"/>
          <w:sz w:val="16"/>
        </w:rPr>
        <w:t> </w:t>
      </w:r>
      <w:r>
        <w:rPr>
          <w:rFonts w:ascii="Arial" w:hAnsi="Arial"/>
          <w:w w:val="85"/>
          <w:sz w:val="16"/>
        </w:rPr>
        <w:t>sobre</w:t>
      </w:r>
      <w:r>
        <w:rPr>
          <w:rFonts w:ascii="Arial" w:hAnsi="Arial"/>
          <w:spacing w:val="-11"/>
          <w:w w:val="85"/>
          <w:sz w:val="16"/>
        </w:rPr>
        <w:t> </w:t>
      </w:r>
      <w:r>
        <w:rPr>
          <w:rFonts w:ascii="Arial" w:hAnsi="Arial"/>
          <w:w w:val="85"/>
          <w:sz w:val="16"/>
        </w:rPr>
        <w:t>la</w:t>
      </w:r>
      <w:r>
        <w:rPr>
          <w:rFonts w:ascii="Arial" w:hAnsi="Arial"/>
          <w:spacing w:val="-11"/>
          <w:w w:val="85"/>
          <w:sz w:val="16"/>
        </w:rPr>
        <w:t> </w:t>
      </w:r>
      <w:r>
        <w:rPr>
          <w:rFonts w:ascii="Arial" w:hAnsi="Arial"/>
          <w:w w:val="85"/>
          <w:sz w:val="16"/>
        </w:rPr>
        <w:t>Libertad; Centro</w:t>
      </w:r>
      <w:r>
        <w:rPr>
          <w:rFonts w:ascii="Arial" w:hAnsi="Arial"/>
          <w:spacing w:val="-14"/>
          <w:w w:val="85"/>
          <w:sz w:val="16"/>
        </w:rPr>
        <w:t> </w:t>
      </w:r>
      <w:r>
        <w:rPr>
          <w:rFonts w:ascii="Arial" w:hAnsi="Arial"/>
          <w:w w:val="85"/>
          <w:sz w:val="16"/>
        </w:rPr>
        <w:t>de</w:t>
      </w:r>
      <w:r>
        <w:rPr>
          <w:rFonts w:ascii="Arial" w:hAnsi="Arial"/>
          <w:spacing w:val="-14"/>
          <w:w w:val="85"/>
          <w:sz w:val="16"/>
        </w:rPr>
        <w:t> </w:t>
      </w:r>
      <w:r>
        <w:rPr>
          <w:rFonts w:ascii="Arial" w:hAnsi="Arial"/>
          <w:w w:val="85"/>
          <w:sz w:val="16"/>
        </w:rPr>
        <w:t>Implementación</w:t>
      </w:r>
      <w:r>
        <w:rPr>
          <w:rFonts w:ascii="Arial" w:hAnsi="Arial"/>
          <w:spacing w:val="-14"/>
          <w:w w:val="85"/>
          <w:sz w:val="16"/>
        </w:rPr>
        <w:t> </w:t>
      </w:r>
      <w:r>
        <w:rPr>
          <w:rFonts w:ascii="Arial" w:hAnsi="Arial"/>
          <w:w w:val="85"/>
          <w:sz w:val="16"/>
        </w:rPr>
        <w:t>de</w:t>
      </w:r>
      <w:r>
        <w:rPr>
          <w:rFonts w:ascii="Arial" w:hAnsi="Arial"/>
          <w:spacing w:val="-14"/>
          <w:w w:val="85"/>
          <w:sz w:val="16"/>
        </w:rPr>
        <w:t> </w:t>
      </w:r>
      <w:r>
        <w:rPr>
          <w:rFonts w:ascii="Arial" w:hAnsi="Arial"/>
          <w:w w:val="85"/>
          <w:sz w:val="16"/>
        </w:rPr>
        <w:t>Políticas</w:t>
      </w:r>
      <w:r>
        <w:rPr>
          <w:rFonts w:ascii="Arial" w:hAnsi="Arial"/>
          <w:spacing w:val="-14"/>
          <w:w w:val="85"/>
          <w:sz w:val="16"/>
        </w:rPr>
        <w:t> </w:t>
      </w:r>
      <w:r>
        <w:rPr>
          <w:rFonts w:ascii="Arial" w:hAnsi="Arial"/>
          <w:w w:val="85"/>
          <w:sz w:val="16"/>
        </w:rPr>
        <w:t>Públicas</w:t>
      </w:r>
      <w:r>
        <w:rPr>
          <w:rFonts w:ascii="Arial" w:hAnsi="Arial"/>
          <w:spacing w:val="-14"/>
          <w:w w:val="85"/>
          <w:sz w:val="16"/>
        </w:rPr>
        <w:t> </w:t>
      </w:r>
      <w:r>
        <w:rPr>
          <w:rFonts w:ascii="Arial" w:hAnsi="Arial"/>
          <w:w w:val="85"/>
          <w:sz w:val="16"/>
        </w:rPr>
        <w:t>para</w:t>
      </w:r>
      <w:r>
        <w:rPr>
          <w:rFonts w:ascii="Arial" w:hAnsi="Arial"/>
          <w:spacing w:val="-14"/>
          <w:w w:val="85"/>
          <w:sz w:val="16"/>
        </w:rPr>
        <w:t> </w:t>
      </w:r>
      <w:r>
        <w:rPr>
          <w:rFonts w:ascii="Arial" w:hAnsi="Arial"/>
          <w:w w:val="85"/>
          <w:sz w:val="16"/>
        </w:rPr>
        <w:t>la</w:t>
      </w:r>
      <w:r>
        <w:rPr>
          <w:rFonts w:ascii="Arial" w:hAnsi="Arial"/>
          <w:spacing w:val="-14"/>
          <w:w w:val="85"/>
          <w:sz w:val="16"/>
        </w:rPr>
        <w:t> </w:t>
      </w:r>
      <w:r>
        <w:rPr>
          <w:rFonts w:ascii="Arial" w:hAnsi="Arial"/>
          <w:w w:val="85"/>
          <w:sz w:val="16"/>
        </w:rPr>
        <w:t>Equidad</w:t>
      </w:r>
      <w:r>
        <w:rPr>
          <w:rFonts w:ascii="Arial" w:hAnsi="Arial"/>
          <w:spacing w:val="-14"/>
          <w:w w:val="85"/>
          <w:sz w:val="16"/>
        </w:rPr>
        <w:t> </w:t>
      </w:r>
      <w:r>
        <w:rPr>
          <w:rFonts w:ascii="Arial" w:hAnsi="Arial"/>
          <w:w w:val="85"/>
          <w:sz w:val="16"/>
        </w:rPr>
        <w:t>y</w:t>
      </w:r>
      <w:r>
        <w:rPr>
          <w:rFonts w:ascii="Arial" w:hAnsi="Arial"/>
          <w:spacing w:val="-14"/>
          <w:w w:val="85"/>
          <w:sz w:val="16"/>
        </w:rPr>
        <w:t> </w:t>
      </w:r>
      <w:r>
        <w:rPr>
          <w:rFonts w:ascii="Arial" w:hAnsi="Arial"/>
          <w:w w:val="85"/>
          <w:sz w:val="16"/>
        </w:rPr>
        <w:t>el</w:t>
      </w:r>
      <w:r>
        <w:rPr>
          <w:rFonts w:ascii="Arial" w:hAnsi="Arial"/>
          <w:spacing w:val="-14"/>
          <w:w w:val="85"/>
          <w:sz w:val="16"/>
        </w:rPr>
        <w:t> </w:t>
      </w:r>
      <w:r>
        <w:rPr>
          <w:rFonts w:ascii="Arial" w:hAnsi="Arial"/>
          <w:w w:val="85"/>
          <w:sz w:val="16"/>
        </w:rPr>
        <w:t>Crecimiento</w:t>
      </w:r>
      <w:r>
        <w:rPr>
          <w:rFonts w:ascii="Arial" w:hAnsi="Arial"/>
          <w:spacing w:val="-14"/>
          <w:w w:val="85"/>
          <w:sz w:val="16"/>
        </w:rPr>
        <w:t> </w:t>
      </w:r>
      <w:r>
        <w:rPr>
          <w:rFonts w:ascii="Arial" w:hAnsi="Arial"/>
          <w:w w:val="85"/>
          <w:sz w:val="16"/>
        </w:rPr>
        <w:t>(CIPPEC)</w:t>
      </w:r>
      <w:r>
        <w:rPr>
          <w:rFonts w:ascii="Arial" w:hAnsi="Arial"/>
          <w:spacing w:val="-14"/>
          <w:w w:val="85"/>
          <w:sz w:val="16"/>
        </w:rPr>
        <w:t> </w:t>
      </w:r>
      <w:r>
        <w:rPr>
          <w:rFonts w:ascii="Arial" w:hAnsi="Arial"/>
          <w:w w:val="85"/>
          <w:sz w:val="16"/>
        </w:rPr>
        <w:t>(2002-2013);</w:t>
      </w:r>
      <w:r>
        <w:rPr>
          <w:rFonts w:ascii="Arial" w:hAnsi="Arial"/>
          <w:spacing w:val="-14"/>
          <w:w w:val="85"/>
          <w:sz w:val="16"/>
        </w:rPr>
        <w:t> </w:t>
      </w:r>
      <w:r>
        <w:rPr>
          <w:rFonts w:ascii="Arial" w:hAnsi="Arial"/>
          <w:w w:val="85"/>
          <w:sz w:val="16"/>
        </w:rPr>
        <w:t>Centro </w:t>
      </w:r>
      <w:r>
        <w:rPr>
          <w:rFonts w:ascii="Arial" w:hAnsi="Arial"/>
          <w:w w:val="90"/>
          <w:sz w:val="16"/>
        </w:rPr>
        <w:t>para</w:t>
      </w:r>
      <w:r>
        <w:rPr>
          <w:rFonts w:ascii="Arial" w:hAnsi="Arial"/>
          <w:spacing w:val="-24"/>
          <w:w w:val="90"/>
          <w:sz w:val="16"/>
        </w:rPr>
        <w:t> </w:t>
      </w:r>
      <w:r>
        <w:rPr>
          <w:rFonts w:ascii="Arial" w:hAnsi="Arial"/>
          <w:w w:val="90"/>
          <w:sz w:val="16"/>
        </w:rPr>
        <w:t>la</w:t>
      </w:r>
      <w:r>
        <w:rPr>
          <w:rFonts w:ascii="Arial" w:hAnsi="Arial"/>
          <w:spacing w:val="-26"/>
          <w:w w:val="90"/>
          <w:sz w:val="16"/>
        </w:rPr>
        <w:t> </w:t>
      </w:r>
      <w:r>
        <w:rPr>
          <w:rFonts w:ascii="Arial" w:hAnsi="Arial"/>
          <w:w w:val="90"/>
          <w:sz w:val="16"/>
        </w:rPr>
        <w:t>Apertura</w:t>
      </w:r>
      <w:r>
        <w:rPr>
          <w:rFonts w:ascii="Arial" w:hAnsi="Arial"/>
          <w:spacing w:val="-24"/>
          <w:w w:val="90"/>
          <w:sz w:val="16"/>
        </w:rPr>
        <w:t> </w:t>
      </w:r>
      <w:r>
        <w:rPr>
          <w:rFonts w:ascii="Arial" w:hAnsi="Arial"/>
          <w:w w:val="90"/>
          <w:sz w:val="16"/>
        </w:rPr>
        <w:t>y</w:t>
      </w:r>
      <w:r>
        <w:rPr>
          <w:rFonts w:ascii="Arial" w:hAnsi="Arial"/>
          <w:spacing w:val="-24"/>
          <w:w w:val="90"/>
          <w:sz w:val="16"/>
        </w:rPr>
        <w:t> </w:t>
      </w:r>
      <w:r>
        <w:rPr>
          <w:rFonts w:ascii="Arial" w:hAnsi="Arial"/>
          <w:w w:val="90"/>
          <w:sz w:val="16"/>
        </w:rPr>
        <w:t>el</w:t>
      </w:r>
      <w:r>
        <w:rPr>
          <w:rFonts w:ascii="Arial" w:hAnsi="Arial"/>
          <w:spacing w:val="-24"/>
          <w:w w:val="90"/>
          <w:sz w:val="16"/>
        </w:rPr>
        <w:t> </w:t>
      </w:r>
      <w:r>
        <w:rPr>
          <w:rFonts w:ascii="Arial" w:hAnsi="Arial"/>
          <w:w w:val="90"/>
          <w:sz w:val="16"/>
        </w:rPr>
        <w:t>Desarrollo</w:t>
      </w:r>
      <w:r>
        <w:rPr>
          <w:rFonts w:ascii="Arial" w:hAnsi="Arial"/>
          <w:spacing w:val="-24"/>
          <w:w w:val="90"/>
          <w:sz w:val="16"/>
        </w:rPr>
        <w:t> </w:t>
      </w:r>
      <w:r>
        <w:rPr>
          <w:rFonts w:ascii="Arial" w:hAnsi="Arial"/>
          <w:w w:val="90"/>
          <w:sz w:val="16"/>
        </w:rPr>
        <w:t>de</w:t>
      </w:r>
      <w:r>
        <w:rPr>
          <w:rFonts w:ascii="Arial" w:hAnsi="Arial"/>
          <w:spacing w:val="-26"/>
          <w:w w:val="90"/>
          <w:sz w:val="16"/>
        </w:rPr>
        <w:t> </w:t>
      </w:r>
      <w:r>
        <w:rPr>
          <w:rFonts w:ascii="Arial" w:hAnsi="Arial"/>
          <w:w w:val="90"/>
          <w:sz w:val="16"/>
        </w:rPr>
        <w:t>América</w:t>
      </w:r>
      <w:r>
        <w:rPr>
          <w:rFonts w:ascii="Arial" w:hAnsi="Arial"/>
          <w:spacing w:val="-24"/>
          <w:w w:val="90"/>
          <w:sz w:val="16"/>
        </w:rPr>
        <w:t> </w:t>
      </w:r>
      <w:r>
        <w:rPr>
          <w:rFonts w:ascii="Arial" w:hAnsi="Arial"/>
          <w:w w:val="90"/>
          <w:sz w:val="16"/>
        </w:rPr>
        <w:t>Latina</w:t>
      </w:r>
      <w:r>
        <w:rPr>
          <w:rFonts w:ascii="Arial" w:hAnsi="Arial"/>
          <w:spacing w:val="-24"/>
          <w:w w:val="90"/>
          <w:sz w:val="16"/>
        </w:rPr>
        <w:t> </w:t>
      </w:r>
      <w:r>
        <w:rPr>
          <w:rFonts w:ascii="Arial" w:hAnsi="Arial"/>
          <w:w w:val="90"/>
          <w:sz w:val="16"/>
        </w:rPr>
        <w:t>(CADAL);</w:t>
      </w:r>
      <w:r>
        <w:rPr>
          <w:rFonts w:ascii="Arial" w:hAnsi="Arial"/>
          <w:spacing w:val="-24"/>
          <w:w w:val="90"/>
          <w:sz w:val="16"/>
        </w:rPr>
        <w:t> </w:t>
      </w:r>
      <w:r>
        <w:rPr>
          <w:rFonts w:ascii="Arial" w:hAnsi="Arial"/>
          <w:w w:val="90"/>
          <w:sz w:val="16"/>
        </w:rPr>
        <w:t>Centro</w:t>
      </w:r>
      <w:r>
        <w:rPr>
          <w:rFonts w:ascii="Arial" w:hAnsi="Arial"/>
          <w:spacing w:val="-24"/>
          <w:w w:val="90"/>
          <w:sz w:val="16"/>
        </w:rPr>
        <w:t> </w:t>
      </w:r>
      <w:r>
        <w:rPr>
          <w:rFonts w:ascii="Arial" w:hAnsi="Arial"/>
          <w:w w:val="90"/>
          <w:sz w:val="16"/>
        </w:rPr>
        <w:t>para</w:t>
      </w:r>
      <w:r>
        <w:rPr>
          <w:rFonts w:ascii="Arial" w:hAnsi="Arial"/>
          <w:spacing w:val="-24"/>
          <w:w w:val="90"/>
          <w:sz w:val="16"/>
        </w:rPr>
        <w:t> </w:t>
      </w:r>
      <w:r>
        <w:rPr>
          <w:rFonts w:ascii="Arial" w:hAnsi="Arial"/>
          <w:w w:val="90"/>
          <w:sz w:val="16"/>
        </w:rPr>
        <w:t>la</w:t>
      </w:r>
      <w:r>
        <w:rPr>
          <w:rFonts w:ascii="Arial" w:hAnsi="Arial"/>
          <w:spacing w:val="-27"/>
          <w:w w:val="90"/>
          <w:sz w:val="16"/>
        </w:rPr>
        <w:t> </w:t>
      </w:r>
      <w:r>
        <w:rPr>
          <w:rFonts w:ascii="Arial" w:hAnsi="Arial"/>
          <w:w w:val="90"/>
          <w:sz w:val="16"/>
        </w:rPr>
        <w:t>Aplicación</w:t>
      </w:r>
      <w:r>
        <w:rPr>
          <w:rFonts w:ascii="Arial" w:hAnsi="Arial"/>
          <w:spacing w:val="-24"/>
          <w:w w:val="90"/>
          <w:sz w:val="16"/>
        </w:rPr>
        <w:t> </w:t>
      </w:r>
      <w:r>
        <w:rPr>
          <w:rFonts w:ascii="Arial" w:hAnsi="Arial"/>
          <w:w w:val="90"/>
          <w:sz w:val="16"/>
        </w:rPr>
        <w:t>de</w:t>
      </w:r>
      <w:r>
        <w:rPr>
          <w:rFonts w:ascii="Arial" w:hAnsi="Arial"/>
          <w:spacing w:val="-24"/>
          <w:w w:val="90"/>
          <w:sz w:val="16"/>
        </w:rPr>
        <w:t> </w:t>
      </w:r>
      <w:r>
        <w:rPr>
          <w:rFonts w:ascii="Arial" w:hAnsi="Arial"/>
          <w:w w:val="90"/>
          <w:sz w:val="16"/>
        </w:rPr>
        <w:t>Políticas</w:t>
      </w:r>
      <w:r>
        <w:rPr>
          <w:rFonts w:ascii="Arial" w:hAnsi="Arial"/>
          <w:spacing w:val="-24"/>
          <w:w w:val="90"/>
          <w:sz w:val="16"/>
        </w:rPr>
        <w:t> </w:t>
      </w:r>
      <w:r>
        <w:rPr>
          <w:rFonts w:ascii="Arial" w:hAnsi="Arial"/>
          <w:w w:val="90"/>
          <w:sz w:val="16"/>
        </w:rPr>
        <w:t>Públicas; </w:t>
      </w:r>
      <w:r>
        <w:rPr>
          <w:rFonts w:ascii="Arial" w:hAnsi="Arial"/>
          <w:w w:val="85"/>
          <w:sz w:val="16"/>
        </w:rPr>
        <w:t>Fundación</w:t>
      </w:r>
      <w:r>
        <w:rPr>
          <w:rFonts w:ascii="Arial" w:hAnsi="Arial"/>
          <w:spacing w:val="-23"/>
          <w:w w:val="85"/>
          <w:sz w:val="16"/>
        </w:rPr>
        <w:t> </w:t>
      </w:r>
      <w:r>
        <w:rPr>
          <w:rFonts w:ascii="Arial" w:hAnsi="Arial"/>
          <w:w w:val="85"/>
          <w:sz w:val="16"/>
        </w:rPr>
        <w:t>Acción</w:t>
      </w:r>
      <w:r>
        <w:rPr>
          <w:rFonts w:ascii="Arial" w:hAnsi="Arial"/>
          <w:spacing w:val="-21"/>
          <w:w w:val="85"/>
          <w:sz w:val="16"/>
        </w:rPr>
        <w:t> </w:t>
      </w:r>
      <w:r>
        <w:rPr>
          <w:rFonts w:ascii="Arial" w:hAnsi="Arial"/>
          <w:w w:val="85"/>
          <w:sz w:val="16"/>
        </w:rPr>
        <w:t>para</w:t>
      </w:r>
      <w:r>
        <w:rPr>
          <w:rFonts w:ascii="Arial" w:hAnsi="Arial"/>
          <w:spacing w:val="-21"/>
          <w:w w:val="85"/>
          <w:sz w:val="16"/>
        </w:rPr>
        <w:t> </w:t>
      </w:r>
      <w:r>
        <w:rPr>
          <w:rFonts w:ascii="Arial" w:hAnsi="Arial"/>
          <w:w w:val="85"/>
          <w:sz w:val="16"/>
        </w:rPr>
        <w:t>la</w:t>
      </w:r>
      <w:r>
        <w:rPr>
          <w:rFonts w:ascii="Arial" w:hAnsi="Arial"/>
          <w:spacing w:val="-21"/>
          <w:w w:val="85"/>
          <w:sz w:val="16"/>
        </w:rPr>
        <w:t> </w:t>
      </w:r>
      <w:r>
        <w:rPr>
          <w:rFonts w:ascii="Arial" w:hAnsi="Arial"/>
          <w:w w:val="85"/>
          <w:sz w:val="16"/>
        </w:rPr>
        <w:t>Iniciativa</w:t>
      </w:r>
      <w:r>
        <w:rPr>
          <w:rFonts w:ascii="Arial" w:hAnsi="Arial"/>
          <w:spacing w:val="-21"/>
          <w:w w:val="85"/>
          <w:sz w:val="16"/>
        </w:rPr>
        <w:t> </w:t>
      </w:r>
      <w:r>
        <w:rPr>
          <w:rFonts w:ascii="Arial" w:hAnsi="Arial"/>
          <w:w w:val="85"/>
          <w:sz w:val="16"/>
        </w:rPr>
        <w:t>Privada</w:t>
      </w:r>
      <w:r>
        <w:rPr>
          <w:rFonts w:ascii="Arial" w:hAnsi="Arial"/>
          <w:spacing w:val="-21"/>
          <w:w w:val="85"/>
          <w:sz w:val="16"/>
        </w:rPr>
        <w:t> </w:t>
      </w:r>
      <w:r>
        <w:rPr>
          <w:rFonts w:ascii="Arial" w:hAnsi="Arial"/>
          <w:w w:val="85"/>
          <w:sz w:val="16"/>
        </w:rPr>
        <w:t>(AIP);</w:t>
      </w:r>
      <w:r>
        <w:rPr>
          <w:rFonts w:ascii="Arial" w:hAnsi="Arial"/>
          <w:spacing w:val="-21"/>
          <w:w w:val="85"/>
          <w:sz w:val="16"/>
        </w:rPr>
        <w:t> </w:t>
      </w:r>
      <w:r>
        <w:rPr>
          <w:rFonts w:ascii="Arial" w:hAnsi="Arial"/>
          <w:w w:val="85"/>
          <w:sz w:val="16"/>
        </w:rPr>
        <w:t>Fundación</w:t>
      </w:r>
      <w:r>
        <w:rPr>
          <w:rFonts w:ascii="Arial" w:hAnsi="Arial"/>
          <w:spacing w:val="-21"/>
          <w:w w:val="85"/>
          <w:sz w:val="16"/>
        </w:rPr>
        <w:t> </w:t>
      </w:r>
      <w:r>
        <w:rPr>
          <w:rFonts w:ascii="Arial" w:hAnsi="Arial"/>
          <w:w w:val="85"/>
          <w:sz w:val="16"/>
        </w:rPr>
        <w:t>Centro</w:t>
      </w:r>
      <w:r>
        <w:rPr>
          <w:rFonts w:ascii="Arial" w:hAnsi="Arial"/>
          <w:spacing w:val="-21"/>
          <w:w w:val="85"/>
          <w:sz w:val="16"/>
        </w:rPr>
        <w:t> </w:t>
      </w:r>
      <w:r>
        <w:rPr>
          <w:rFonts w:ascii="Arial" w:hAnsi="Arial"/>
          <w:w w:val="85"/>
          <w:sz w:val="16"/>
        </w:rPr>
        <w:t>de</w:t>
      </w:r>
      <w:r>
        <w:rPr>
          <w:rFonts w:ascii="Arial" w:hAnsi="Arial"/>
          <w:spacing w:val="-21"/>
          <w:w w:val="85"/>
          <w:sz w:val="16"/>
        </w:rPr>
        <w:t> </w:t>
      </w:r>
      <w:r>
        <w:rPr>
          <w:rFonts w:ascii="Arial" w:hAnsi="Arial"/>
          <w:w w:val="85"/>
          <w:sz w:val="16"/>
        </w:rPr>
        <w:t>Estabilidad</w:t>
      </w:r>
      <w:r>
        <w:rPr>
          <w:rFonts w:ascii="Arial" w:hAnsi="Arial"/>
          <w:spacing w:val="-21"/>
          <w:w w:val="85"/>
          <w:sz w:val="16"/>
        </w:rPr>
        <w:t> </w:t>
      </w:r>
      <w:r>
        <w:rPr>
          <w:rFonts w:ascii="Arial" w:hAnsi="Arial"/>
          <w:w w:val="85"/>
          <w:sz w:val="16"/>
        </w:rPr>
        <w:t>Financiera</w:t>
      </w:r>
      <w:r>
        <w:rPr>
          <w:rFonts w:ascii="Arial" w:hAnsi="Arial"/>
          <w:spacing w:val="-21"/>
          <w:w w:val="85"/>
          <w:sz w:val="16"/>
        </w:rPr>
        <w:t> </w:t>
      </w:r>
      <w:r>
        <w:rPr>
          <w:rFonts w:ascii="Arial" w:hAnsi="Arial"/>
          <w:w w:val="85"/>
          <w:sz w:val="16"/>
        </w:rPr>
        <w:t>(CEF)</w:t>
      </w:r>
      <w:r>
        <w:rPr>
          <w:rFonts w:ascii="Arial" w:hAnsi="Arial"/>
          <w:spacing w:val="-21"/>
          <w:w w:val="85"/>
          <w:sz w:val="16"/>
        </w:rPr>
        <w:t> </w:t>
      </w:r>
      <w:r>
        <w:rPr>
          <w:rFonts w:ascii="Arial" w:hAnsi="Arial"/>
          <w:w w:val="85"/>
          <w:sz w:val="16"/>
        </w:rPr>
        <w:t>(1);</w:t>
      </w:r>
      <w:r>
        <w:rPr>
          <w:rFonts w:ascii="Arial" w:hAnsi="Arial"/>
          <w:spacing w:val="-21"/>
          <w:w w:val="85"/>
          <w:sz w:val="16"/>
        </w:rPr>
        <w:t> </w:t>
      </w:r>
      <w:r>
        <w:rPr>
          <w:rFonts w:ascii="Arial" w:hAnsi="Arial"/>
          <w:w w:val="85"/>
          <w:sz w:val="16"/>
        </w:rPr>
        <w:t>Fundación de Investigaciones Económicas Latinoamericanas (FIEL); Fundación del Tucumán; Instituto Argentino para el Gobierno</w:t>
      </w:r>
      <w:r>
        <w:rPr>
          <w:rFonts w:ascii="Arial" w:hAnsi="Arial"/>
          <w:spacing w:val="-21"/>
          <w:w w:val="85"/>
          <w:sz w:val="16"/>
        </w:rPr>
        <w:t> </w:t>
      </w:r>
      <w:r>
        <w:rPr>
          <w:rFonts w:ascii="Arial" w:hAnsi="Arial"/>
          <w:w w:val="85"/>
          <w:sz w:val="16"/>
        </w:rPr>
        <w:t>de</w:t>
      </w:r>
      <w:r>
        <w:rPr>
          <w:rFonts w:ascii="Arial" w:hAnsi="Arial"/>
          <w:spacing w:val="-21"/>
          <w:w w:val="85"/>
          <w:sz w:val="16"/>
        </w:rPr>
        <w:t> </w:t>
      </w:r>
      <w:r>
        <w:rPr>
          <w:rFonts w:ascii="Arial" w:hAnsi="Arial"/>
          <w:w w:val="85"/>
          <w:sz w:val="16"/>
        </w:rPr>
        <w:t>las</w:t>
      </w:r>
      <w:r>
        <w:rPr>
          <w:rFonts w:ascii="Arial" w:hAnsi="Arial"/>
          <w:spacing w:val="-21"/>
          <w:w w:val="85"/>
          <w:sz w:val="16"/>
        </w:rPr>
        <w:t> </w:t>
      </w:r>
      <w:r>
        <w:rPr>
          <w:rFonts w:ascii="Arial" w:hAnsi="Arial"/>
          <w:w w:val="85"/>
          <w:sz w:val="16"/>
        </w:rPr>
        <w:t>Organizaciones</w:t>
      </w:r>
      <w:r>
        <w:rPr>
          <w:rFonts w:ascii="Arial" w:hAnsi="Arial"/>
          <w:spacing w:val="-21"/>
          <w:w w:val="85"/>
          <w:sz w:val="16"/>
        </w:rPr>
        <w:t> </w:t>
      </w:r>
      <w:r>
        <w:rPr>
          <w:rFonts w:ascii="Arial" w:hAnsi="Arial"/>
          <w:w w:val="85"/>
          <w:sz w:val="16"/>
        </w:rPr>
        <w:t>(IAGO);</w:t>
      </w:r>
      <w:r>
        <w:rPr>
          <w:rFonts w:ascii="Arial" w:hAnsi="Arial"/>
          <w:spacing w:val="-21"/>
          <w:w w:val="85"/>
          <w:sz w:val="16"/>
        </w:rPr>
        <w:t> </w:t>
      </w:r>
      <w:r>
        <w:rPr>
          <w:rFonts w:ascii="Arial" w:hAnsi="Arial"/>
          <w:w w:val="85"/>
          <w:sz w:val="16"/>
        </w:rPr>
        <w:t>Instituto</w:t>
      </w:r>
      <w:r>
        <w:rPr>
          <w:rFonts w:ascii="Arial" w:hAnsi="Arial"/>
          <w:spacing w:val="-21"/>
          <w:w w:val="85"/>
          <w:sz w:val="16"/>
        </w:rPr>
        <w:t> </w:t>
      </w:r>
      <w:r>
        <w:rPr>
          <w:rFonts w:ascii="Arial" w:hAnsi="Arial"/>
          <w:w w:val="85"/>
          <w:sz w:val="16"/>
        </w:rPr>
        <w:t>de</w:t>
      </w:r>
      <w:r>
        <w:rPr>
          <w:rFonts w:ascii="Arial" w:hAnsi="Arial"/>
          <w:spacing w:val="-21"/>
          <w:w w:val="85"/>
          <w:sz w:val="16"/>
        </w:rPr>
        <w:t> </w:t>
      </w:r>
      <w:r>
        <w:rPr>
          <w:rFonts w:ascii="Arial" w:hAnsi="Arial"/>
          <w:w w:val="85"/>
          <w:sz w:val="16"/>
        </w:rPr>
        <w:t>Estudios</w:t>
      </w:r>
      <w:r>
        <w:rPr>
          <w:rFonts w:ascii="Arial" w:hAnsi="Arial"/>
          <w:spacing w:val="-21"/>
          <w:w w:val="85"/>
          <w:sz w:val="16"/>
        </w:rPr>
        <w:t> </w:t>
      </w:r>
      <w:r>
        <w:rPr>
          <w:rFonts w:ascii="Arial" w:hAnsi="Arial"/>
          <w:w w:val="85"/>
          <w:sz w:val="16"/>
        </w:rPr>
        <w:t>Contemporáneos;</w:t>
      </w:r>
      <w:r>
        <w:rPr>
          <w:rFonts w:ascii="Arial" w:hAnsi="Arial"/>
          <w:spacing w:val="-21"/>
          <w:w w:val="85"/>
          <w:sz w:val="16"/>
        </w:rPr>
        <w:t> </w:t>
      </w:r>
      <w:r>
        <w:rPr>
          <w:rFonts w:ascii="Arial" w:hAnsi="Arial"/>
          <w:w w:val="85"/>
          <w:sz w:val="16"/>
        </w:rPr>
        <w:t>Instituto</w:t>
      </w:r>
      <w:r>
        <w:rPr>
          <w:rFonts w:ascii="Arial" w:hAnsi="Arial"/>
          <w:spacing w:val="-21"/>
          <w:w w:val="85"/>
          <w:sz w:val="16"/>
        </w:rPr>
        <w:t> </w:t>
      </w:r>
      <w:r>
        <w:rPr>
          <w:rFonts w:ascii="Arial" w:hAnsi="Arial"/>
          <w:w w:val="85"/>
          <w:sz w:val="16"/>
        </w:rPr>
        <w:t>de</w:t>
      </w:r>
      <w:r>
        <w:rPr>
          <w:rFonts w:ascii="Arial" w:hAnsi="Arial"/>
          <w:spacing w:val="-21"/>
          <w:w w:val="85"/>
          <w:sz w:val="16"/>
        </w:rPr>
        <w:t> </w:t>
      </w:r>
      <w:r>
        <w:rPr>
          <w:rFonts w:ascii="Arial" w:hAnsi="Arial"/>
          <w:w w:val="85"/>
          <w:sz w:val="16"/>
        </w:rPr>
        <w:t>Estudios</w:t>
      </w:r>
      <w:r>
        <w:rPr>
          <w:rFonts w:ascii="Arial" w:hAnsi="Arial"/>
          <w:spacing w:val="-21"/>
          <w:w w:val="85"/>
          <w:sz w:val="16"/>
        </w:rPr>
        <w:t> </w:t>
      </w:r>
      <w:r>
        <w:rPr>
          <w:rFonts w:ascii="Arial" w:hAnsi="Arial"/>
          <w:w w:val="85"/>
          <w:sz w:val="16"/>
        </w:rPr>
        <w:t>de</w:t>
      </w:r>
      <w:r>
        <w:rPr>
          <w:rFonts w:ascii="Arial" w:hAnsi="Arial"/>
          <w:spacing w:val="-21"/>
          <w:w w:val="85"/>
          <w:sz w:val="16"/>
        </w:rPr>
        <w:t> </w:t>
      </w:r>
      <w:r>
        <w:rPr>
          <w:rFonts w:ascii="Arial" w:hAnsi="Arial"/>
          <w:w w:val="85"/>
          <w:sz w:val="16"/>
        </w:rPr>
        <w:t>la</w:t>
      </w:r>
      <w:r>
        <w:rPr>
          <w:rFonts w:ascii="Arial" w:hAnsi="Arial"/>
          <w:spacing w:val="-21"/>
          <w:w w:val="85"/>
          <w:sz w:val="16"/>
        </w:rPr>
        <w:t> </w:t>
      </w:r>
      <w:r>
        <w:rPr>
          <w:rFonts w:ascii="Arial" w:hAnsi="Arial"/>
          <w:w w:val="85"/>
          <w:sz w:val="16"/>
        </w:rPr>
        <w:t>Realidad Argentina</w:t>
      </w:r>
      <w:r>
        <w:rPr>
          <w:rFonts w:ascii="Arial" w:hAnsi="Arial"/>
          <w:spacing w:val="-24"/>
          <w:w w:val="85"/>
          <w:sz w:val="16"/>
        </w:rPr>
        <w:t> </w:t>
      </w:r>
      <w:r>
        <w:rPr>
          <w:rFonts w:ascii="Arial" w:hAnsi="Arial"/>
          <w:w w:val="85"/>
          <w:sz w:val="16"/>
        </w:rPr>
        <w:t>y</w:t>
      </w:r>
      <w:r>
        <w:rPr>
          <w:rFonts w:ascii="Arial" w:hAnsi="Arial"/>
          <w:spacing w:val="-24"/>
          <w:w w:val="85"/>
          <w:sz w:val="16"/>
        </w:rPr>
        <w:t> </w:t>
      </w:r>
      <w:r>
        <w:rPr>
          <w:rFonts w:ascii="Arial" w:hAnsi="Arial"/>
          <w:w w:val="85"/>
          <w:sz w:val="16"/>
        </w:rPr>
        <w:t>Latinoamericana</w:t>
      </w:r>
      <w:r>
        <w:rPr>
          <w:rFonts w:ascii="Arial" w:hAnsi="Arial"/>
          <w:spacing w:val="-24"/>
          <w:w w:val="85"/>
          <w:sz w:val="16"/>
        </w:rPr>
        <w:t> </w:t>
      </w:r>
      <w:r>
        <w:rPr>
          <w:rFonts w:ascii="Arial" w:hAnsi="Arial"/>
          <w:w w:val="85"/>
          <w:sz w:val="16"/>
        </w:rPr>
        <w:t>(IERAL)</w:t>
      </w:r>
      <w:r>
        <w:rPr>
          <w:rFonts w:ascii="Arial" w:hAnsi="Arial"/>
          <w:spacing w:val="-24"/>
          <w:w w:val="85"/>
          <w:sz w:val="16"/>
        </w:rPr>
        <w:t> </w:t>
      </w:r>
      <w:r>
        <w:rPr>
          <w:rFonts w:ascii="Arial" w:hAnsi="Arial"/>
          <w:w w:val="85"/>
          <w:sz w:val="16"/>
        </w:rPr>
        <w:t>-</w:t>
      </w:r>
      <w:r>
        <w:rPr>
          <w:rFonts w:ascii="Arial" w:hAnsi="Arial"/>
          <w:spacing w:val="-24"/>
          <w:w w:val="85"/>
          <w:sz w:val="16"/>
        </w:rPr>
        <w:t> </w:t>
      </w:r>
      <w:r>
        <w:rPr>
          <w:rFonts w:ascii="Arial" w:hAnsi="Arial"/>
          <w:w w:val="85"/>
          <w:sz w:val="16"/>
        </w:rPr>
        <w:t>Fundación</w:t>
      </w:r>
      <w:r>
        <w:rPr>
          <w:rFonts w:ascii="Arial" w:hAnsi="Arial"/>
          <w:spacing w:val="-24"/>
          <w:w w:val="85"/>
          <w:sz w:val="16"/>
        </w:rPr>
        <w:t> </w:t>
      </w:r>
      <w:r>
        <w:rPr>
          <w:rFonts w:ascii="Arial" w:hAnsi="Arial"/>
          <w:w w:val="85"/>
          <w:sz w:val="16"/>
        </w:rPr>
        <w:t>Mediterránea.</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line="249" w:lineRule="auto" w:before="17" w:after="22"/>
        <w:ind w:left="188" w:right="213" w:firstLine="0"/>
        <w:jc w:val="left"/>
        <w:rPr>
          <w:rFonts w:ascii="Arial" w:hAnsi="Arial"/>
          <w:sz w:val="16"/>
        </w:rPr>
      </w:pPr>
      <w:r>
        <w:rPr>
          <w:rFonts w:ascii="Arial" w:hAnsi="Arial"/>
          <w:w w:val="85"/>
          <w:sz w:val="16"/>
        </w:rPr>
        <w:t>Bolivia:</w:t>
      </w:r>
      <w:r>
        <w:rPr>
          <w:rFonts w:ascii="Arial" w:hAnsi="Arial"/>
          <w:spacing w:val="-20"/>
          <w:w w:val="85"/>
          <w:sz w:val="16"/>
        </w:rPr>
        <w:t> </w:t>
      </w:r>
      <w:r>
        <w:rPr>
          <w:rFonts w:ascii="Arial" w:hAnsi="Arial"/>
          <w:w w:val="85"/>
          <w:sz w:val="16"/>
        </w:rPr>
        <w:t>Cámara</w:t>
      </w:r>
      <w:r>
        <w:rPr>
          <w:rFonts w:ascii="Arial" w:hAnsi="Arial"/>
          <w:spacing w:val="-17"/>
          <w:w w:val="85"/>
          <w:sz w:val="16"/>
        </w:rPr>
        <w:t> </w:t>
      </w:r>
      <w:r>
        <w:rPr>
          <w:rFonts w:ascii="Arial" w:hAnsi="Arial"/>
          <w:w w:val="85"/>
          <w:sz w:val="16"/>
        </w:rPr>
        <w:t>de</w:t>
      </w:r>
      <w:r>
        <w:rPr>
          <w:rFonts w:ascii="Arial" w:hAnsi="Arial"/>
          <w:spacing w:val="-17"/>
          <w:w w:val="85"/>
          <w:sz w:val="16"/>
        </w:rPr>
        <w:t> </w:t>
      </w:r>
      <w:r>
        <w:rPr>
          <w:rFonts w:ascii="Arial" w:hAnsi="Arial"/>
          <w:w w:val="85"/>
          <w:sz w:val="16"/>
        </w:rPr>
        <w:t>la</w:t>
      </w:r>
      <w:r>
        <w:rPr>
          <w:rFonts w:ascii="Arial" w:hAnsi="Arial"/>
          <w:spacing w:val="-17"/>
          <w:w w:val="85"/>
          <w:sz w:val="16"/>
        </w:rPr>
        <w:t> </w:t>
      </w:r>
      <w:r>
        <w:rPr>
          <w:rFonts w:ascii="Arial" w:hAnsi="Arial"/>
          <w:w w:val="85"/>
          <w:sz w:val="16"/>
        </w:rPr>
        <w:t>Industria</w:t>
      </w:r>
      <w:r>
        <w:rPr>
          <w:rFonts w:ascii="Arial" w:hAnsi="Arial"/>
          <w:spacing w:val="-17"/>
          <w:w w:val="85"/>
          <w:sz w:val="16"/>
        </w:rPr>
        <w:t> </w:t>
      </w:r>
      <w:r>
        <w:rPr>
          <w:rFonts w:ascii="Arial" w:hAnsi="Arial"/>
          <w:w w:val="85"/>
          <w:sz w:val="16"/>
        </w:rPr>
        <w:t>y</w:t>
      </w:r>
      <w:r>
        <w:rPr>
          <w:rFonts w:ascii="Arial" w:hAnsi="Arial"/>
          <w:spacing w:val="-17"/>
          <w:w w:val="85"/>
          <w:sz w:val="16"/>
        </w:rPr>
        <w:t> </w:t>
      </w:r>
      <w:r>
        <w:rPr>
          <w:rFonts w:ascii="Arial" w:hAnsi="Arial"/>
          <w:w w:val="85"/>
          <w:sz w:val="16"/>
        </w:rPr>
        <w:t>Comercio</w:t>
      </w:r>
      <w:r>
        <w:rPr>
          <w:rFonts w:ascii="Arial" w:hAnsi="Arial"/>
          <w:spacing w:val="-17"/>
          <w:w w:val="85"/>
          <w:sz w:val="16"/>
        </w:rPr>
        <w:t> </w:t>
      </w:r>
      <w:r>
        <w:rPr>
          <w:rFonts w:ascii="Arial" w:hAnsi="Arial"/>
          <w:w w:val="85"/>
          <w:sz w:val="16"/>
        </w:rPr>
        <w:t>de</w:t>
      </w:r>
      <w:r>
        <w:rPr>
          <w:rFonts w:ascii="Arial" w:hAnsi="Arial"/>
          <w:spacing w:val="-17"/>
          <w:w w:val="85"/>
          <w:sz w:val="16"/>
        </w:rPr>
        <w:t> </w:t>
      </w:r>
      <w:r>
        <w:rPr>
          <w:rFonts w:ascii="Arial" w:hAnsi="Arial"/>
          <w:w w:val="85"/>
          <w:sz w:val="16"/>
        </w:rPr>
        <w:t>Santa</w:t>
      </w:r>
      <w:r>
        <w:rPr>
          <w:rFonts w:ascii="Arial" w:hAnsi="Arial"/>
          <w:spacing w:val="-17"/>
          <w:w w:val="85"/>
          <w:sz w:val="16"/>
        </w:rPr>
        <w:t> </w:t>
      </w:r>
      <w:r>
        <w:rPr>
          <w:rFonts w:ascii="Arial" w:hAnsi="Arial"/>
          <w:w w:val="85"/>
          <w:sz w:val="16"/>
        </w:rPr>
        <w:t>Cruz</w:t>
      </w:r>
      <w:r>
        <w:rPr>
          <w:rFonts w:ascii="Arial" w:hAnsi="Arial"/>
          <w:spacing w:val="-17"/>
          <w:w w:val="85"/>
          <w:sz w:val="16"/>
        </w:rPr>
        <w:t> </w:t>
      </w:r>
      <w:r>
        <w:rPr>
          <w:rFonts w:ascii="Arial" w:hAnsi="Arial"/>
          <w:w w:val="85"/>
          <w:sz w:val="16"/>
        </w:rPr>
        <w:t>(CAINCO);</w:t>
      </w:r>
      <w:r>
        <w:rPr>
          <w:rFonts w:ascii="Arial" w:hAnsi="Arial"/>
          <w:spacing w:val="-17"/>
          <w:w w:val="85"/>
          <w:sz w:val="16"/>
        </w:rPr>
        <w:t> </w:t>
      </w:r>
      <w:r>
        <w:rPr>
          <w:rFonts w:ascii="Arial" w:hAnsi="Arial"/>
          <w:w w:val="85"/>
          <w:sz w:val="16"/>
        </w:rPr>
        <w:t>Centro</w:t>
      </w:r>
      <w:r>
        <w:rPr>
          <w:rFonts w:ascii="Arial" w:hAnsi="Arial"/>
          <w:spacing w:val="-17"/>
          <w:w w:val="85"/>
          <w:sz w:val="16"/>
        </w:rPr>
        <w:t> </w:t>
      </w:r>
      <w:r>
        <w:rPr>
          <w:rFonts w:ascii="Arial" w:hAnsi="Arial"/>
          <w:w w:val="85"/>
          <w:sz w:val="16"/>
        </w:rPr>
        <w:t>de</w:t>
      </w:r>
      <w:r>
        <w:rPr>
          <w:rFonts w:ascii="Arial" w:hAnsi="Arial"/>
          <w:spacing w:val="-17"/>
          <w:w w:val="85"/>
          <w:sz w:val="16"/>
        </w:rPr>
        <w:t> </w:t>
      </w:r>
      <w:r>
        <w:rPr>
          <w:rFonts w:ascii="Arial" w:hAnsi="Arial"/>
          <w:w w:val="85"/>
          <w:sz w:val="16"/>
        </w:rPr>
        <w:t>Estudios</w:t>
      </w:r>
      <w:r>
        <w:rPr>
          <w:rFonts w:ascii="Arial" w:hAnsi="Arial"/>
          <w:spacing w:val="-17"/>
          <w:w w:val="85"/>
          <w:sz w:val="16"/>
        </w:rPr>
        <w:t> </w:t>
      </w:r>
      <w:r>
        <w:rPr>
          <w:rFonts w:ascii="Arial" w:hAnsi="Arial"/>
          <w:w w:val="85"/>
          <w:sz w:val="16"/>
        </w:rPr>
        <w:t>de</w:t>
      </w:r>
      <w:r>
        <w:rPr>
          <w:rFonts w:ascii="Arial" w:hAnsi="Arial"/>
          <w:spacing w:val="-17"/>
          <w:w w:val="85"/>
          <w:sz w:val="16"/>
        </w:rPr>
        <w:t> </w:t>
      </w:r>
      <w:r>
        <w:rPr>
          <w:rFonts w:ascii="Arial" w:hAnsi="Arial"/>
          <w:w w:val="85"/>
          <w:sz w:val="16"/>
        </w:rPr>
        <w:t>la</w:t>
      </w:r>
      <w:r>
        <w:rPr>
          <w:rFonts w:ascii="Arial" w:hAnsi="Arial"/>
          <w:spacing w:val="-17"/>
          <w:w w:val="85"/>
          <w:sz w:val="16"/>
        </w:rPr>
        <w:t> </w:t>
      </w:r>
      <w:r>
        <w:rPr>
          <w:rFonts w:ascii="Arial" w:hAnsi="Arial"/>
          <w:w w:val="85"/>
          <w:sz w:val="16"/>
        </w:rPr>
        <w:t>Realidad</w:t>
      </w:r>
      <w:r>
        <w:rPr>
          <w:rFonts w:ascii="Arial" w:hAnsi="Arial"/>
          <w:spacing w:val="-17"/>
          <w:w w:val="85"/>
          <w:sz w:val="16"/>
        </w:rPr>
        <w:t> </w:t>
      </w:r>
      <w:r>
        <w:rPr>
          <w:rFonts w:ascii="Arial" w:hAnsi="Arial"/>
          <w:w w:val="85"/>
          <w:sz w:val="16"/>
        </w:rPr>
        <w:t>Económica</w:t>
      </w:r>
      <w:r>
        <w:rPr>
          <w:rFonts w:ascii="Arial" w:hAnsi="Arial"/>
          <w:spacing w:val="-17"/>
          <w:w w:val="85"/>
          <w:sz w:val="16"/>
        </w:rPr>
        <w:t> </w:t>
      </w:r>
      <w:r>
        <w:rPr>
          <w:rFonts w:ascii="Arial" w:hAnsi="Arial"/>
          <w:w w:val="85"/>
          <w:sz w:val="16"/>
        </w:rPr>
        <w:t>y Social</w:t>
      </w:r>
      <w:r>
        <w:rPr>
          <w:rFonts w:ascii="Arial" w:hAnsi="Arial"/>
          <w:spacing w:val="-20"/>
          <w:w w:val="85"/>
          <w:sz w:val="16"/>
        </w:rPr>
        <w:t> </w:t>
      </w:r>
      <w:r>
        <w:rPr>
          <w:rFonts w:ascii="Arial" w:hAnsi="Arial"/>
          <w:w w:val="85"/>
          <w:sz w:val="16"/>
        </w:rPr>
        <w:t>(CERES);</w:t>
      </w:r>
      <w:r>
        <w:rPr>
          <w:rFonts w:ascii="Arial" w:hAnsi="Arial"/>
          <w:spacing w:val="-20"/>
          <w:w w:val="85"/>
          <w:sz w:val="16"/>
        </w:rPr>
        <w:t> </w:t>
      </w:r>
      <w:r>
        <w:rPr>
          <w:rFonts w:ascii="Arial" w:hAnsi="Arial"/>
          <w:w w:val="85"/>
          <w:sz w:val="16"/>
        </w:rPr>
        <w:t>Confederación</w:t>
      </w:r>
      <w:r>
        <w:rPr>
          <w:rFonts w:ascii="Arial" w:hAnsi="Arial"/>
          <w:spacing w:val="-20"/>
          <w:w w:val="85"/>
          <w:sz w:val="16"/>
        </w:rPr>
        <w:t> </w:t>
      </w:r>
      <w:r>
        <w:rPr>
          <w:rFonts w:ascii="Arial" w:hAnsi="Arial"/>
          <w:w w:val="85"/>
          <w:sz w:val="16"/>
        </w:rPr>
        <w:t>de</w:t>
      </w:r>
      <w:r>
        <w:rPr>
          <w:rFonts w:ascii="Arial" w:hAnsi="Arial"/>
          <w:spacing w:val="-20"/>
          <w:w w:val="85"/>
          <w:sz w:val="16"/>
        </w:rPr>
        <w:t> </w:t>
      </w:r>
      <w:r>
        <w:rPr>
          <w:rFonts w:ascii="Arial" w:hAnsi="Arial"/>
          <w:w w:val="85"/>
          <w:sz w:val="16"/>
        </w:rPr>
        <w:t>Empresarios</w:t>
      </w:r>
      <w:r>
        <w:rPr>
          <w:rFonts w:ascii="Arial" w:hAnsi="Arial"/>
          <w:spacing w:val="-20"/>
          <w:w w:val="85"/>
          <w:sz w:val="16"/>
        </w:rPr>
        <w:t> </w:t>
      </w:r>
      <w:r>
        <w:rPr>
          <w:rFonts w:ascii="Arial" w:hAnsi="Arial"/>
          <w:w w:val="85"/>
          <w:sz w:val="16"/>
        </w:rPr>
        <w:t>Privados</w:t>
      </w:r>
      <w:r>
        <w:rPr>
          <w:rFonts w:ascii="Arial" w:hAnsi="Arial"/>
          <w:spacing w:val="-20"/>
          <w:w w:val="85"/>
          <w:sz w:val="16"/>
        </w:rPr>
        <w:t> </w:t>
      </w:r>
      <w:r>
        <w:rPr>
          <w:rFonts w:ascii="Arial" w:hAnsi="Arial"/>
          <w:w w:val="85"/>
          <w:sz w:val="16"/>
        </w:rPr>
        <w:t>de</w:t>
      </w:r>
      <w:r>
        <w:rPr>
          <w:rFonts w:ascii="Arial" w:hAnsi="Arial"/>
          <w:spacing w:val="-20"/>
          <w:w w:val="85"/>
          <w:sz w:val="16"/>
        </w:rPr>
        <w:t> </w:t>
      </w:r>
      <w:r>
        <w:rPr>
          <w:rFonts w:ascii="Arial" w:hAnsi="Arial"/>
          <w:w w:val="85"/>
          <w:sz w:val="16"/>
        </w:rPr>
        <w:t>Bolivia</w:t>
      </w:r>
      <w:r>
        <w:rPr>
          <w:rFonts w:ascii="Arial" w:hAnsi="Arial"/>
          <w:spacing w:val="-20"/>
          <w:w w:val="85"/>
          <w:sz w:val="16"/>
        </w:rPr>
        <w:t> </w:t>
      </w:r>
      <w:r>
        <w:rPr>
          <w:rFonts w:ascii="Arial" w:hAnsi="Arial"/>
          <w:w w:val="85"/>
          <w:sz w:val="16"/>
        </w:rPr>
        <w:t>(2011-2013);</w:t>
      </w:r>
      <w:r>
        <w:rPr>
          <w:rFonts w:ascii="Arial" w:hAnsi="Arial"/>
          <w:spacing w:val="-20"/>
          <w:w w:val="85"/>
          <w:sz w:val="16"/>
        </w:rPr>
        <w:t> </w:t>
      </w:r>
      <w:r>
        <w:rPr>
          <w:rFonts w:ascii="Arial" w:hAnsi="Arial"/>
          <w:w w:val="85"/>
          <w:sz w:val="16"/>
        </w:rPr>
        <w:t>Fundación</w:t>
      </w:r>
      <w:r>
        <w:rPr>
          <w:rFonts w:ascii="Arial" w:hAnsi="Arial"/>
          <w:spacing w:val="-20"/>
          <w:w w:val="85"/>
          <w:sz w:val="16"/>
        </w:rPr>
        <w:t> </w:t>
      </w:r>
      <w:r>
        <w:rPr>
          <w:rFonts w:ascii="Arial" w:hAnsi="Arial"/>
          <w:w w:val="85"/>
          <w:sz w:val="16"/>
        </w:rPr>
        <w:t>Milenio</w:t>
      </w:r>
      <w:r>
        <w:rPr>
          <w:rFonts w:ascii="Arial" w:hAnsi="Arial"/>
          <w:spacing w:val="-20"/>
          <w:w w:val="85"/>
          <w:sz w:val="16"/>
        </w:rPr>
        <w:t> </w:t>
      </w:r>
      <w:r>
        <w:rPr>
          <w:rFonts w:ascii="Arial" w:hAnsi="Arial"/>
          <w:w w:val="85"/>
          <w:sz w:val="16"/>
        </w:rPr>
        <w:t>(2);</w:t>
      </w:r>
      <w:r>
        <w:rPr>
          <w:rFonts w:ascii="Arial" w:hAnsi="Arial"/>
          <w:spacing w:val="-20"/>
          <w:w w:val="85"/>
          <w:sz w:val="16"/>
        </w:rPr>
        <w:t> </w:t>
      </w:r>
      <w:r>
        <w:rPr>
          <w:rFonts w:ascii="Arial" w:hAnsi="Arial"/>
          <w:w w:val="85"/>
          <w:sz w:val="16"/>
        </w:rPr>
        <w:t>Fundación </w:t>
      </w:r>
      <w:r>
        <w:rPr>
          <w:rFonts w:ascii="Arial" w:hAnsi="Arial"/>
          <w:w w:val="80"/>
          <w:sz w:val="16"/>
        </w:rPr>
        <w:t>POPULI</w:t>
      </w:r>
      <w:r>
        <w:rPr>
          <w:rFonts w:ascii="Arial" w:hAnsi="Arial"/>
          <w:spacing w:val="-21"/>
          <w:w w:val="80"/>
          <w:sz w:val="16"/>
        </w:rPr>
        <w:t> </w:t>
      </w:r>
      <w:r>
        <w:rPr>
          <w:rFonts w:ascii="Arial" w:hAnsi="Arial"/>
          <w:w w:val="80"/>
          <w:sz w:val="16"/>
        </w:rPr>
        <w:t>(2013).</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line="249" w:lineRule="auto" w:before="17" w:after="22"/>
        <w:ind w:left="188" w:right="179" w:firstLine="0"/>
        <w:jc w:val="left"/>
        <w:rPr>
          <w:rFonts w:ascii="Arial" w:hAnsi="Arial"/>
          <w:sz w:val="16"/>
        </w:rPr>
      </w:pPr>
      <w:r>
        <w:rPr>
          <w:rFonts w:ascii="Arial" w:hAnsi="Arial"/>
          <w:w w:val="85"/>
          <w:sz w:val="16"/>
        </w:rPr>
        <w:t>Brasil:</w:t>
      </w:r>
      <w:r>
        <w:rPr>
          <w:rFonts w:ascii="Arial" w:hAnsi="Arial"/>
          <w:spacing w:val="-17"/>
          <w:w w:val="85"/>
          <w:sz w:val="16"/>
        </w:rPr>
        <w:t> </w:t>
      </w:r>
      <w:r>
        <w:rPr>
          <w:rFonts w:ascii="Arial" w:hAnsi="Arial"/>
          <w:w w:val="85"/>
          <w:sz w:val="16"/>
        </w:rPr>
        <w:t>Confederação</w:t>
      </w:r>
      <w:r>
        <w:rPr>
          <w:rFonts w:ascii="Arial" w:hAnsi="Arial"/>
          <w:spacing w:val="-14"/>
          <w:w w:val="85"/>
          <w:sz w:val="16"/>
        </w:rPr>
        <w:t> </w:t>
      </w:r>
      <w:r>
        <w:rPr>
          <w:rFonts w:ascii="Arial" w:hAnsi="Arial"/>
          <w:w w:val="85"/>
          <w:sz w:val="16"/>
        </w:rPr>
        <w:t>das</w:t>
      </w:r>
      <w:r>
        <w:rPr>
          <w:rFonts w:ascii="Arial" w:hAnsi="Arial"/>
          <w:spacing w:val="-17"/>
          <w:w w:val="85"/>
          <w:sz w:val="16"/>
        </w:rPr>
        <w:t> </w:t>
      </w:r>
      <w:r>
        <w:rPr>
          <w:rFonts w:ascii="Arial" w:hAnsi="Arial"/>
          <w:w w:val="85"/>
          <w:sz w:val="16"/>
        </w:rPr>
        <w:t>Associações</w:t>
      </w:r>
      <w:r>
        <w:rPr>
          <w:rFonts w:ascii="Arial" w:hAnsi="Arial"/>
          <w:spacing w:val="-14"/>
          <w:w w:val="85"/>
          <w:sz w:val="16"/>
        </w:rPr>
        <w:t> </w:t>
      </w:r>
      <w:r>
        <w:rPr>
          <w:rFonts w:ascii="Arial" w:hAnsi="Arial"/>
          <w:w w:val="85"/>
          <w:sz w:val="16"/>
        </w:rPr>
        <w:t>Comerciais</w:t>
      </w:r>
      <w:r>
        <w:rPr>
          <w:rFonts w:ascii="Arial" w:hAnsi="Arial"/>
          <w:spacing w:val="-14"/>
          <w:w w:val="85"/>
          <w:sz w:val="16"/>
        </w:rPr>
        <w:t> </w:t>
      </w:r>
      <w:r>
        <w:rPr>
          <w:rFonts w:ascii="Arial" w:hAnsi="Arial"/>
          <w:w w:val="85"/>
          <w:sz w:val="16"/>
        </w:rPr>
        <w:t>e</w:t>
      </w:r>
      <w:r>
        <w:rPr>
          <w:rFonts w:ascii="Arial" w:hAnsi="Arial"/>
          <w:spacing w:val="-14"/>
          <w:w w:val="85"/>
          <w:sz w:val="16"/>
        </w:rPr>
        <w:t> </w:t>
      </w:r>
      <w:r>
        <w:rPr>
          <w:rFonts w:ascii="Arial" w:hAnsi="Arial"/>
          <w:w w:val="85"/>
          <w:sz w:val="16"/>
        </w:rPr>
        <w:t>Empresariais</w:t>
      </w:r>
      <w:r>
        <w:rPr>
          <w:rFonts w:ascii="Arial" w:hAnsi="Arial"/>
          <w:spacing w:val="-14"/>
          <w:w w:val="85"/>
          <w:sz w:val="16"/>
        </w:rPr>
        <w:t> </w:t>
      </w:r>
      <w:r>
        <w:rPr>
          <w:rFonts w:ascii="Arial" w:hAnsi="Arial"/>
          <w:w w:val="85"/>
          <w:sz w:val="16"/>
        </w:rPr>
        <w:t>do</w:t>
      </w:r>
      <w:r>
        <w:rPr>
          <w:rFonts w:ascii="Arial" w:hAnsi="Arial"/>
          <w:spacing w:val="-14"/>
          <w:w w:val="85"/>
          <w:sz w:val="16"/>
        </w:rPr>
        <w:t> </w:t>
      </w:r>
      <w:r>
        <w:rPr>
          <w:rFonts w:ascii="Arial" w:hAnsi="Arial"/>
          <w:w w:val="85"/>
          <w:sz w:val="16"/>
        </w:rPr>
        <w:t>Brasil;</w:t>
      </w:r>
      <w:r>
        <w:rPr>
          <w:rFonts w:ascii="Arial" w:hAnsi="Arial"/>
          <w:spacing w:val="-14"/>
          <w:w w:val="85"/>
          <w:sz w:val="16"/>
        </w:rPr>
        <w:t> </w:t>
      </w:r>
      <w:r>
        <w:rPr>
          <w:rFonts w:ascii="Arial" w:hAnsi="Arial"/>
          <w:w w:val="85"/>
          <w:sz w:val="16"/>
        </w:rPr>
        <w:t>Instituto</w:t>
      </w:r>
      <w:r>
        <w:rPr>
          <w:rFonts w:ascii="Arial" w:hAnsi="Arial"/>
          <w:spacing w:val="-18"/>
          <w:w w:val="85"/>
          <w:sz w:val="16"/>
        </w:rPr>
        <w:t> </w:t>
      </w:r>
      <w:r>
        <w:rPr>
          <w:rFonts w:ascii="Arial" w:hAnsi="Arial"/>
          <w:w w:val="85"/>
          <w:sz w:val="16"/>
        </w:rPr>
        <w:t>Atlântico;</w:t>
      </w:r>
      <w:r>
        <w:rPr>
          <w:rFonts w:ascii="Arial" w:hAnsi="Arial"/>
          <w:spacing w:val="-14"/>
          <w:w w:val="85"/>
          <w:sz w:val="16"/>
        </w:rPr>
        <w:t> </w:t>
      </w:r>
      <w:r>
        <w:rPr>
          <w:rFonts w:ascii="Arial" w:hAnsi="Arial"/>
          <w:w w:val="85"/>
          <w:sz w:val="16"/>
        </w:rPr>
        <w:t>Instituto</w:t>
      </w:r>
      <w:r>
        <w:rPr>
          <w:rFonts w:ascii="Arial" w:hAnsi="Arial"/>
          <w:spacing w:val="-14"/>
          <w:w w:val="85"/>
          <w:sz w:val="16"/>
        </w:rPr>
        <w:t> </w:t>
      </w:r>
      <w:r>
        <w:rPr>
          <w:rFonts w:ascii="Arial" w:hAnsi="Arial"/>
          <w:w w:val="85"/>
          <w:sz w:val="16"/>
        </w:rPr>
        <w:t>Brasileiro</w:t>
      </w:r>
      <w:r>
        <w:rPr>
          <w:rFonts w:ascii="Arial" w:hAnsi="Arial"/>
          <w:spacing w:val="-14"/>
          <w:w w:val="85"/>
          <w:sz w:val="16"/>
        </w:rPr>
        <w:t> </w:t>
      </w:r>
      <w:r>
        <w:rPr>
          <w:rFonts w:ascii="Arial" w:hAnsi="Arial"/>
          <w:w w:val="85"/>
          <w:sz w:val="16"/>
        </w:rPr>
        <w:t>de Governança</w:t>
      </w:r>
      <w:r>
        <w:rPr>
          <w:rFonts w:ascii="Arial" w:hAnsi="Arial"/>
          <w:spacing w:val="-22"/>
          <w:w w:val="85"/>
          <w:sz w:val="16"/>
        </w:rPr>
        <w:t> </w:t>
      </w:r>
      <w:r>
        <w:rPr>
          <w:rFonts w:ascii="Arial" w:hAnsi="Arial"/>
          <w:w w:val="85"/>
          <w:sz w:val="16"/>
        </w:rPr>
        <w:t>Corporativa</w:t>
      </w:r>
      <w:r>
        <w:rPr>
          <w:rFonts w:ascii="Arial" w:hAnsi="Arial"/>
          <w:spacing w:val="-22"/>
          <w:w w:val="85"/>
          <w:sz w:val="16"/>
        </w:rPr>
        <w:t> </w:t>
      </w:r>
      <w:r>
        <w:rPr>
          <w:rFonts w:ascii="Arial" w:hAnsi="Arial"/>
          <w:w w:val="85"/>
          <w:sz w:val="16"/>
        </w:rPr>
        <w:t>(IBGC)</w:t>
      </w:r>
      <w:r>
        <w:rPr>
          <w:rFonts w:ascii="Arial" w:hAnsi="Arial"/>
          <w:spacing w:val="-22"/>
          <w:w w:val="85"/>
          <w:sz w:val="16"/>
        </w:rPr>
        <w:t> </w:t>
      </w:r>
      <w:r>
        <w:rPr>
          <w:rFonts w:ascii="Arial" w:hAnsi="Arial"/>
          <w:w w:val="85"/>
          <w:sz w:val="16"/>
        </w:rPr>
        <w:t>(2005-2008);</w:t>
      </w:r>
      <w:r>
        <w:rPr>
          <w:rFonts w:ascii="Arial" w:hAnsi="Arial"/>
          <w:spacing w:val="-22"/>
          <w:w w:val="85"/>
          <w:sz w:val="16"/>
        </w:rPr>
        <w:t> </w:t>
      </w:r>
      <w:r>
        <w:rPr>
          <w:rFonts w:ascii="Arial" w:hAnsi="Arial"/>
          <w:w w:val="85"/>
          <w:sz w:val="16"/>
        </w:rPr>
        <w:t>Instituto</w:t>
      </w:r>
      <w:r>
        <w:rPr>
          <w:rFonts w:ascii="Arial" w:hAnsi="Arial"/>
          <w:spacing w:val="-22"/>
          <w:w w:val="85"/>
          <w:sz w:val="16"/>
        </w:rPr>
        <w:t> </w:t>
      </w:r>
      <w:r>
        <w:rPr>
          <w:rFonts w:ascii="Arial" w:hAnsi="Arial"/>
          <w:w w:val="85"/>
          <w:sz w:val="16"/>
        </w:rPr>
        <w:t>Liberal</w:t>
      </w:r>
      <w:r>
        <w:rPr>
          <w:rFonts w:ascii="Arial" w:hAnsi="Arial"/>
          <w:spacing w:val="-22"/>
          <w:w w:val="85"/>
          <w:sz w:val="16"/>
        </w:rPr>
        <w:t> </w:t>
      </w:r>
      <w:r>
        <w:rPr>
          <w:rFonts w:ascii="Arial" w:hAnsi="Arial"/>
          <w:w w:val="85"/>
          <w:sz w:val="16"/>
        </w:rPr>
        <w:t>do</w:t>
      </w:r>
      <w:r>
        <w:rPr>
          <w:rFonts w:ascii="Arial" w:hAnsi="Arial"/>
          <w:spacing w:val="-22"/>
          <w:w w:val="85"/>
          <w:sz w:val="16"/>
        </w:rPr>
        <w:t> </w:t>
      </w:r>
      <w:r>
        <w:rPr>
          <w:rFonts w:ascii="Arial" w:hAnsi="Arial"/>
          <w:w w:val="85"/>
          <w:sz w:val="16"/>
        </w:rPr>
        <w:t>Rio</w:t>
      </w:r>
      <w:r>
        <w:rPr>
          <w:rFonts w:ascii="Arial" w:hAnsi="Arial"/>
          <w:spacing w:val="-22"/>
          <w:w w:val="85"/>
          <w:sz w:val="16"/>
        </w:rPr>
        <w:t> </w:t>
      </w:r>
      <w:r>
        <w:rPr>
          <w:rFonts w:ascii="Arial" w:hAnsi="Arial"/>
          <w:w w:val="85"/>
          <w:sz w:val="16"/>
        </w:rPr>
        <w:t>de</w:t>
      </w:r>
      <w:r>
        <w:rPr>
          <w:rFonts w:ascii="Arial" w:hAnsi="Arial"/>
          <w:spacing w:val="-22"/>
          <w:w w:val="85"/>
          <w:sz w:val="16"/>
        </w:rPr>
        <w:t> </w:t>
      </w:r>
      <w:r>
        <w:rPr>
          <w:rFonts w:ascii="Arial" w:hAnsi="Arial"/>
          <w:w w:val="85"/>
          <w:sz w:val="16"/>
        </w:rPr>
        <w:t>Janeiro</w:t>
      </w:r>
      <w:r>
        <w:rPr>
          <w:rFonts w:ascii="Arial" w:hAnsi="Arial"/>
          <w:spacing w:val="-22"/>
          <w:w w:val="85"/>
          <w:sz w:val="16"/>
        </w:rPr>
        <w:t> </w:t>
      </w:r>
      <w:r>
        <w:rPr>
          <w:rFonts w:ascii="Arial" w:hAnsi="Arial"/>
          <w:w w:val="85"/>
          <w:sz w:val="16"/>
        </w:rPr>
        <w:t>(ILRJ).</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before="17"/>
        <w:ind w:left="188" w:right="158" w:firstLine="0"/>
        <w:jc w:val="left"/>
        <w:rPr>
          <w:rFonts w:ascii="Arial" w:hAnsi="Arial"/>
          <w:i/>
          <w:sz w:val="16"/>
        </w:rPr>
      </w:pPr>
      <w:r>
        <w:rPr/>
        <w:pict>
          <v:group style="position:absolute;margin-left:51.023602pt;margin-top:11.514713pt;width:348.7pt;height:.5pt;mso-position-horizontal-relative:page;mso-position-vertical-relative:paragraph;z-index:6088;mso-wrap-distance-left:0;mso-wrap-distance-right:0" coordorigin="1020,230" coordsize="6974,10">
            <v:line style="position:absolute" from="1055,235" to="7974,235" stroked="true" strokeweight=".5pt" strokecolor="#000000">
              <v:stroke dashstyle="dash"/>
            </v:line>
            <v:line style="position:absolute" from="1025,235" to="1025,235" stroked="true" strokeweight=".5pt" strokecolor="#000000"/>
            <v:line style="position:absolute" from="7989,235" to="7989,235" stroked="true" strokeweight=".5pt" strokecolor="#000000"/>
            <w10:wrap type="topAndBottom"/>
          </v:group>
        </w:pict>
      </w:r>
      <w:r>
        <w:rPr>
          <w:rFonts w:ascii="Arial" w:hAnsi="Arial"/>
          <w:w w:val="85"/>
          <w:sz w:val="16"/>
        </w:rPr>
        <w:t>Caribe (Región): </w:t>
      </w:r>
      <w:r>
        <w:rPr>
          <w:rFonts w:ascii="Arial" w:hAnsi="Arial"/>
          <w:i/>
          <w:w w:val="85"/>
          <w:sz w:val="16"/>
        </w:rPr>
        <w:t>Council of Eastern Caribbean Manufacturers.</w:t>
      </w:r>
    </w:p>
    <w:p>
      <w:pPr>
        <w:spacing w:line="249" w:lineRule="auto" w:before="0"/>
        <w:ind w:left="188" w:right="406" w:firstLine="0"/>
        <w:jc w:val="left"/>
        <w:rPr>
          <w:rFonts w:ascii="Arial" w:hAnsi="Arial"/>
          <w:sz w:val="16"/>
        </w:rPr>
      </w:pPr>
      <w:r>
        <w:rPr>
          <w:rFonts w:ascii="Arial" w:hAnsi="Arial"/>
          <w:w w:val="85"/>
          <w:sz w:val="16"/>
        </w:rPr>
        <w:t>Chile:</w:t>
      </w:r>
      <w:r>
        <w:rPr>
          <w:rFonts w:ascii="Arial" w:hAnsi="Arial"/>
          <w:spacing w:val="-21"/>
          <w:w w:val="85"/>
          <w:sz w:val="16"/>
        </w:rPr>
        <w:t> </w:t>
      </w:r>
      <w:r>
        <w:rPr>
          <w:rFonts w:ascii="Arial" w:hAnsi="Arial"/>
          <w:w w:val="85"/>
          <w:sz w:val="16"/>
        </w:rPr>
        <w:t>Cámara</w:t>
      </w:r>
      <w:r>
        <w:rPr>
          <w:rFonts w:ascii="Arial" w:hAnsi="Arial"/>
          <w:spacing w:val="-19"/>
          <w:w w:val="85"/>
          <w:sz w:val="16"/>
        </w:rPr>
        <w:t> </w:t>
      </w:r>
      <w:r>
        <w:rPr>
          <w:rFonts w:ascii="Arial" w:hAnsi="Arial"/>
          <w:w w:val="85"/>
          <w:sz w:val="16"/>
        </w:rPr>
        <w:t>de</w:t>
      </w:r>
      <w:r>
        <w:rPr>
          <w:rFonts w:ascii="Arial" w:hAnsi="Arial"/>
          <w:spacing w:val="-19"/>
          <w:w w:val="85"/>
          <w:sz w:val="16"/>
        </w:rPr>
        <w:t> </w:t>
      </w:r>
      <w:r>
        <w:rPr>
          <w:rFonts w:ascii="Arial" w:hAnsi="Arial"/>
          <w:w w:val="85"/>
          <w:sz w:val="16"/>
        </w:rPr>
        <w:t>la</w:t>
      </w:r>
      <w:r>
        <w:rPr>
          <w:rFonts w:ascii="Arial" w:hAnsi="Arial"/>
          <w:spacing w:val="-19"/>
          <w:w w:val="85"/>
          <w:sz w:val="16"/>
        </w:rPr>
        <w:t> </w:t>
      </w:r>
      <w:r>
        <w:rPr>
          <w:rFonts w:ascii="Arial" w:hAnsi="Arial"/>
          <w:w w:val="85"/>
          <w:sz w:val="16"/>
        </w:rPr>
        <w:t>Producción</w:t>
      </w:r>
      <w:r>
        <w:rPr>
          <w:rFonts w:ascii="Arial" w:hAnsi="Arial"/>
          <w:spacing w:val="-19"/>
          <w:w w:val="85"/>
          <w:sz w:val="16"/>
        </w:rPr>
        <w:t> </w:t>
      </w:r>
      <w:r>
        <w:rPr>
          <w:rFonts w:ascii="Arial" w:hAnsi="Arial"/>
          <w:w w:val="85"/>
          <w:sz w:val="16"/>
        </w:rPr>
        <w:t>y</w:t>
      </w:r>
      <w:r>
        <w:rPr>
          <w:rFonts w:ascii="Arial" w:hAnsi="Arial"/>
          <w:spacing w:val="-19"/>
          <w:w w:val="85"/>
          <w:sz w:val="16"/>
        </w:rPr>
        <w:t> </w:t>
      </w:r>
      <w:r>
        <w:rPr>
          <w:rFonts w:ascii="Arial" w:hAnsi="Arial"/>
          <w:w w:val="85"/>
          <w:sz w:val="16"/>
        </w:rPr>
        <w:t>del</w:t>
      </w:r>
      <w:r>
        <w:rPr>
          <w:rFonts w:ascii="Arial" w:hAnsi="Arial"/>
          <w:spacing w:val="-19"/>
          <w:w w:val="85"/>
          <w:sz w:val="16"/>
        </w:rPr>
        <w:t> </w:t>
      </w:r>
      <w:r>
        <w:rPr>
          <w:rFonts w:ascii="Arial" w:hAnsi="Arial"/>
          <w:w w:val="85"/>
          <w:sz w:val="16"/>
        </w:rPr>
        <w:t>Comercio</w:t>
      </w:r>
      <w:r>
        <w:rPr>
          <w:rFonts w:ascii="Arial" w:hAnsi="Arial"/>
          <w:spacing w:val="-19"/>
          <w:w w:val="85"/>
          <w:sz w:val="16"/>
        </w:rPr>
        <w:t> </w:t>
      </w:r>
      <w:r>
        <w:rPr>
          <w:rFonts w:ascii="Arial" w:hAnsi="Arial"/>
          <w:w w:val="85"/>
          <w:sz w:val="16"/>
        </w:rPr>
        <w:t>de</w:t>
      </w:r>
      <w:r>
        <w:rPr>
          <w:rFonts w:ascii="Arial" w:hAnsi="Arial"/>
          <w:spacing w:val="-19"/>
          <w:w w:val="85"/>
          <w:sz w:val="16"/>
        </w:rPr>
        <w:t> </w:t>
      </w:r>
      <w:r>
        <w:rPr>
          <w:rFonts w:ascii="Arial" w:hAnsi="Arial"/>
          <w:w w:val="85"/>
          <w:sz w:val="16"/>
        </w:rPr>
        <w:t>Concepción</w:t>
      </w:r>
      <w:r>
        <w:rPr>
          <w:rFonts w:ascii="Arial" w:hAnsi="Arial"/>
          <w:spacing w:val="-19"/>
          <w:w w:val="85"/>
          <w:sz w:val="16"/>
        </w:rPr>
        <w:t> </w:t>
      </w:r>
      <w:r>
        <w:rPr>
          <w:rFonts w:ascii="Arial" w:hAnsi="Arial"/>
          <w:w w:val="85"/>
          <w:sz w:val="16"/>
        </w:rPr>
        <w:t>(CPCC);</w:t>
      </w:r>
      <w:r>
        <w:rPr>
          <w:rFonts w:ascii="Arial" w:hAnsi="Arial"/>
          <w:spacing w:val="-19"/>
          <w:w w:val="85"/>
          <w:sz w:val="16"/>
        </w:rPr>
        <w:t> </w:t>
      </w:r>
      <w:r>
        <w:rPr>
          <w:rFonts w:ascii="Arial" w:hAnsi="Arial"/>
          <w:w w:val="85"/>
          <w:sz w:val="16"/>
        </w:rPr>
        <w:t>Centro</w:t>
      </w:r>
      <w:r>
        <w:rPr>
          <w:rFonts w:ascii="Arial" w:hAnsi="Arial"/>
          <w:spacing w:val="-19"/>
          <w:w w:val="85"/>
          <w:sz w:val="16"/>
        </w:rPr>
        <w:t> </w:t>
      </w:r>
      <w:r>
        <w:rPr>
          <w:rFonts w:ascii="Arial" w:hAnsi="Arial"/>
          <w:w w:val="85"/>
          <w:sz w:val="16"/>
        </w:rPr>
        <w:t>de</w:t>
      </w:r>
      <w:r>
        <w:rPr>
          <w:rFonts w:ascii="Arial" w:hAnsi="Arial"/>
          <w:spacing w:val="-19"/>
          <w:w w:val="85"/>
          <w:sz w:val="16"/>
        </w:rPr>
        <w:t> </w:t>
      </w:r>
      <w:r>
        <w:rPr>
          <w:rFonts w:ascii="Arial" w:hAnsi="Arial"/>
          <w:w w:val="85"/>
          <w:sz w:val="16"/>
        </w:rPr>
        <w:t>Estudios</w:t>
      </w:r>
      <w:r>
        <w:rPr>
          <w:rFonts w:ascii="Arial" w:hAnsi="Arial"/>
          <w:spacing w:val="-19"/>
          <w:w w:val="85"/>
          <w:sz w:val="16"/>
        </w:rPr>
        <w:t> </w:t>
      </w:r>
      <w:r>
        <w:rPr>
          <w:rFonts w:ascii="Arial" w:hAnsi="Arial"/>
          <w:w w:val="85"/>
          <w:sz w:val="16"/>
        </w:rPr>
        <w:t>Públicos;</w:t>
      </w:r>
      <w:r>
        <w:rPr>
          <w:rFonts w:ascii="Arial" w:hAnsi="Arial"/>
          <w:spacing w:val="-19"/>
          <w:w w:val="85"/>
          <w:sz w:val="16"/>
        </w:rPr>
        <w:t> </w:t>
      </w:r>
      <w:r>
        <w:rPr>
          <w:rFonts w:ascii="Arial" w:hAnsi="Arial"/>
          <w:w w:val="85"/>
          <w:sz w:val="16"/>
        </w:rPr>
        <w:t>Centro</w:t>
      </w:r>
      <w:r>
        <w:rPr>
          <w:rFonts w:ascii="Arial" w:hAnsi="Arial"/>
          <w:spacing w:val="-19"/>
          <w:w w:val="85"/>
          <w:sz w:val="16"/>
        </w:rPr>
        <w:t> </w:t>
      </w:r>
      <w:r>
        <w:rPr>
          <w:rFonts w:ascii="Arial" w:hAnsi="Arial"/>
          <w:w w:val="85"/>
          <w:sz w:val="16"/>
        </w:rPr>
        <w:t>para el</w:t>
      </w:r>
      <w:r>
        <w:rPr>
          <w:rFonts w:ascii="Arial" w:hAnsi="Arial"/>
          <w:spacing w:val="-16"/>
          <w:w w:val="85"/>
          <w:sz w:val="16"/>
        </w:rPr>
        <w:t> </w:t>
      </w:r>
      <w:r>
        <w:rPr>
          <w:rFonts w:ascii="Arial" w:hAnsi="Arial"/>
          <w:w w:val="85"/>
          <w:sz w:val="16"/>
        </w:rPr>
        <w:t>Gobierno</w:t>
      </w:r>
      <w:r>
        <w:rPr>
          <w:rFonts w:ascii="Arial" w:hAnsi="Arial"/>
          <w:spacing w:val="-16"/>
          <w:w w:val="85"/>
          <w:sz w:val="16"/>
        </w:rPr>
        <w:t> </w:t>
      </w:r>
      <w:r>
        <w:rPr>
          <w:rFonts w:ascii="Arial" w:hAnsi="Arial"/>
          <w:w w:val="85"/>
          <w:sz w:val="16"/>
        </w:rPr>
        <w:t>de</w:t>
      </w:r>
      <w:r>
        <w:rPr>
          <w:rFonts w:ascii="Arial" w:hAnsi="Arial"/>
          <w:spacing w:val="-16"/>
          <w:w w:val="85"/>
          <w:sz w:val="16"/>
        </w:rPr>
        <w:t> </w:t>
      </w:r>
      <w:r>
        <w:rPr>
          <w:rFonts w:ascii="Arial" w:hAnsi="Arial"/>
          <w:w w:val="85"/>
          <w:sz w:val="16"/>
        </w:rPr>
        <w:t>la</w:t>
      </w:r>
      <w:r>
        <w:rPr>
          <w:rFonts w:ascii="Arial" w:hAnsi="Arial"/>
          <w:spacing w:val="-16"/>
          <w:w w:val="85"/>
          <w:sz w:val="16"/>
        </w:rPr>
        <w:t> </w:t>
      </w:r>
      <w:r>
        <w:rPr>
          <w:rFonts w:ascii="Arial" w:hAnsi="Arial"/>
          <w:w w:val="85"/>
          <w:sz w:val="16"/>
        </w:rPr>
        <w:t>Empresa</w:t>
      </w:r>
      <w:r>
        <w:rPr>
          <w:rFonts w:ascii="Arial" w:hAnsi="Arial"/>
          <w:spacing w:val="-16"/>
          <w:w w:val="85"/>
          <w:sz w:val="16"/>
        </w:rPr>
        <w:t> </w:t>
      </w:r>
      <w:r>
        <w:rPr>
          <w:rFonts w:ascii="Arial" w:hAnsi="Arial"/>
          <w:w w:val="85"/>
          <w:sz w:val="16"/>
        </w:rPr>
        <w:t>-</w:t>
      </w:r>
      <w:r>
        <w:rPr>
          <w:rFonts w:ascii="Arial" w:hAnsi="Arial"/>
          <w:spacing w:val="-16"/>
          <w:w w:val="85"/>
          <w:sz w:val="16"/>
        </w:rPr>
        <w:t> </w:t>
      </w:r>
      <w:r>
        <w:rPr>
          <w:rFonts w:ascii="Arial" w:hAnsi="Arial"/>
          <w:w w:val="85"/>
          <w:sz w:val="16"/>
        </w:rPr>
        <w:t>Facultad</w:t>
      </w:r>
      <w:r>
        <w:rPr>
          <w:rFonts w:ascii="Arial" w:hAnsi="Arial"/>
          <w:spacing w:val="-16"/>
          <w:w w:val="85"/>
          <w:sz w:val="16"/>
        </w:rPr>
        <w:t> </w:t>
      </w:r>
      <w:r>
        <w:rPr>
          <w:rFonts w:ascii="Arial" w:hAnsi="Arial"/>
          <w:w w:val="85"/>
          <w:sz w:val="16"/>
        </w:rPr>
        <w:t>de</w:t>
      </w:r>
      <w:r>
        <w:rPr>
          <w:rFonts w:ascii="Arial" w:hAnsi="Arial"/>
          <w:spacing w:val="-16"/>
          <w:w w:val="85"/>
          <w:sz w:val="16"/>
        </w:rPr>
        <w:t> </w:t>
      </w:r>
      <w:r>
        <w:rPr>
          <w:rFonts w:ascii="Arial" w:hAnsi="Arial"/>
          <w:w w:val="85"/>
          <w:sz w:val="16"/>
        </w:rPr>
        <w:t>Ciencias</w:t>
      </w:r>
      <w:r>
        <w:rPr>
          <w:rFonts w:ascii="Arial" w:hAnsi="Arial"/>
          <w:spacing w:val="-16"/>
          <w:w w:val="85"/>
          <w:sz w:val="16"/>
        </w:rPr>
        <w:t> </w:t>
      </w:r>
      <w:r>
        <w:rPr>
          <w:rFonts w:ascii="Arial" w:hAnsi="Arial"/>
          <w:w w:val="85"/>
          <w:sz w:val="16"/>
        </w:rPr>
        <w:t>Económicas</w:t>
      </w:r>
      <w:r>
        <w:rPr>
          <w:rFonts w:ascii="Arial" w:hAnsi="Arial"/>
          <w:spacing w:val="-16"/>
          <w:w w:val="85"/>
          <w:sz w:val="16"/>
        </w:rPr>
        <w:t> </w:t>
      </w:r>
      <w:r>
        <w:rPr>
          <w:rFonts w:ascii="Arial" w:hAnsi="Arial"/>
          <w:w w:val="85"/>
          <w:sz w:val="16"/>
        </w:rPr>
        <w:t>y</w:t>
      </w:r>
      <w:r>
        <w:rPr>
          <w:rFonts w:ascii="Arial" w:hAnsi="Arial"/>
          <w:spacing w:val="-19"/>
          <w:w w:val="85"/>
          <w:sz w:val="16"/>
        </w:rPr>
        <w:t> </w:t>
      </w:r>
      <w:r>
        <w:rPr>
          <w:rFonts w:ascii="Arial" w:hAnsi="Arial"/>
          <w:w w:val="85"/>
          <w:sz w:val="16"/>
        </w:rPr>
        <w:t>Administrativas,</w:t>
      </w:r>
      <w:r>
        <w:rPr>
          <w:rFonts w:ascii="Arial" w:hAnsi="Arial"/>
          <w:spacing w:val="-19"/>
          <w:w w:val="85"/>
          <w:sz w:val="16"/>
        </w:rPr>
        <w:t> </w:t>
      </w:r>
      <w:r>
        <w:rPr>
          <w:rFonts w:ascii="Arial" w:hAnsi="Arial"/>
          <w:w w:val="85"/>
          <w:sz w:val="16"/>
        </w:rPr>
        <w:t>Universidad</w:t>
      </w:r>
      <w:r>
        <w:rPr>
          <w:rFonts w:ascii="Arial" w:hAnsi="Arial"/>
          <w:spacing w:val="-16"/>
          <w:w w:val="85"/>
          <w:sz w:val="16"/>
        </w:rPr>
        <w:t> </w:t>
      </w:r>
      <w:r>
        <w:rPr>
          <w:rFonts w:ascii="Arial" w:hAnsi="Arial"/>
          <w:w w:val="85"/>
          <w:sz w:val="16"/>
        </w:rPr>
        <w:t>Católica</w:t>
      </w:r>
      <w:r>
        <w:rPr>
          <w:rFonts w:ascii="Arial" w:hAnsi="Arial"/>
          <w:spacing w:val="-16"/>
          <w:w w:val="85"/>
          <w:sz w:val="16"/>
        </w:rPr>
        <w:t> </w:t>
      </w:r>
      <w:r>
        <w:rPr>
          <w:rFonts w:ascii="Arial" w:hAnsi="Arial"/>
          <w:w w:val="85"/>
          <w:sz w:val="16"/>
        </w:rPr>
        <w:t>de</w:t>
      </w:r>
      <w:r>
        <w:rPr>
          <w:rFonts w:ascii="Arial" w:hAnsi="Arial"/>
          <w:spacing w:val="-16"/>
          <w:w w:val="85"/>
          <w:sz w:val="16"/>
        </w:rPr>
        <w:t> </w:t>
      </w:r>
      <w:r>
        <w:rPr>
          <w:rFonts w:ascii="Arial" w:hAnsi="Arial"/>
          <w:w w:val="85"/>
          <w:sz w:val="16"/>
        </w:rPr>
        <w:t>Chile</w:t>
      </w:r>
    </w:p>
    <w:p>
      <w:pPr>
        <w:spacing w:line="249" w:lineRule="auto" w:before="1" w:after="22"/>
        <w:ind w:left="188" w:right="182" w:firstLine="0"/>
        <w:jc w:val="left"/>
        <w:rPr>
          <w:rFonts w:ascii="Arial" w:hAnsi="Arial"/>
          <w:sz w:val="16"/>
        </w:rPr>
      </w:pPr>
      <w:r>
        <w:rPr>
          <w:rFonts w:ascii="Arial" w:hAnsi="Arial"/>
          <w:w w:val="85"/>
          <w:sz w:val="16"/>
        </w:rPr>
        <w:t>(FEAUC);</w:t>
      </w:r>
      <w:r>
        <w:rPr>
          <w:rFonts w:ascii="Arial" w:hAnsi="Arial"/>
          <w:spacing w:val="-20"/>
          <w:w w:val="85"/>
          <w:sz w:val="16"/>
        </w:rPr>
        <w:t> </w:t>
      </w:r>
      <w:r>
        <w:rPr>
          <w:rFonts w:ascii="Arial" w:hAnsi="Arial"/>
          <w:w w:val="85"/>
          <w:sz w:val="16"/>
        </w:rPr>
        <w:t>Fundación</w:t>
      </w:r>
      <w:r>
        <w:rPr>
          <w:rFonts w:ascii="Arial" w:hAnsi="Arial"/>
          <w:spacing w:val="-20"/>
          <w:w w:val="85"/>
          <w:sz w:val="16"/>
        </w:rPr>
        <w:t> </w:t>
      </w:r>
      <w:r>
        <w:rPr>
          <w:rFonts w:ascii="Arial" w:hAnsi="Arial"/>
          <w:w w:val="85"/>
          <w:sz w:val="16"/>
        </w:rPr>
        <w:t>de</w:t>
      </w:r>
      <w:r>
        <w:rPr>
          <w:rFonts w:ascii="Arial" w:hAnsi="Arial"/>
          <w:spacing w:val="-20"/>
          <w:w w:val="85"/>
          <w:sz w:val="16"/>
        </w:rPr>
        <w:t> </w:t>
      </w:r>
      <w:r>
        <w:rPr>
          <w:rFonts w:ascii="Arial" w:hAnsi="Arial"/>
          <w:w w:val="85"/>
          <w:sz w:val="16"/>
        </w:rPr>
        <w:t>Economía</w:t>
      </w:r>
      <w:r>
        <w:rPr>
          <w:rFonts w:ascii="Arial" w:hAnsi="Arial"/>
          <w:spacing w:val="-20"/>
          <w:w w:val="85"/>
          <w:sz w:val="16"/>
        </w:rPr>
        <w:t> </w:t>
      </w:r>
      <w:r>
        <w:rPr>
          <w:rFonts w:ascii="Arial" w:hAnsi="Arial"/>
          <w:w w:val="85"/>
          <w:sz w:val="16"/>
        </w:rPr>
        <w:t>y</w:t>
      </w:r>
      <w:r>
        <w:rPr>
          <w:rFonts w:ascii="Arial" w:hAnsi="Arial"/>
          <w:spacing w:val="-23"/>
          <w:w w:val="85"/>
          <w:sz w:val="16"/>
        </w:rPr>
        <w:t> </w:t>
      </w:r>
      <w:r>
        <w:rPr>
          <w:rFonts w:ascii="Arial" w:hAnsi="Arial"/>
          <w:w w:val="85"/>
          <w:sz w:val="16"/>
        </w:rPr>
        <w:t>Administración</w:t>
      </w:r>
      <w:r>
        <w:rPr>
          <w:rFonts w:ascii="Arial" w:hAnsi="Arial"/>
          <w:spacing w:val="-20"/>
          <w:w w:val="85"/>
          <w:sz w:val="16"/>
        </w:rPr>
        <w:t> </w:t>
      </w:r>
      <w:r>
        <w:rPr>
          <w:rFonts w:ascii="Arial" w:hAnsi="Arial"/>
          <w:w w:val="85"/>
          <w:sz w:val="16"/>
        </w:rPr>
        <w:t>de</w:t>
      </w:r>
      <w:r>
        <w:rPr>
          <w:rFonts w:ascii="Arial" w:hAnsi="Arial"/>
          <w:spacing w:val="-20"/>
          <w:w w:val="85"/>
          <w:sz w:val="16"/>
        </w:rPr>
        <w:t> </w:t>
      </w:r>
      <w:r>
        <w:rPr>
          <w:rFonts w:ascii="Arial" w:hAnsi="Arial"/>
          <w:w w:val="85"/>
          <w:sz w:val="16"/>
        </w:rPr>
        <w:t>la</w:t>
      </w:r>
      <w:r>
        <w:rPr>
          <w:rFonts w:ascii="Arial" w:hAnsi="Arial"/>
          <w:spacing w:val="-20"/>
          <w:w w:val="85"/>
          <w:sz w:val="16"/>
        </w:rPr>
        <w:t> </w:t>
      </w:r>
      <w:r>
        <w:rPr>
          <w:rFonts w:ascii="Arial" w:hAnsi="Arial"/>
          <w:w w:val="85"/>
          <w:sz w:val="16"/>
        </w:rPr>
        <w:t>Universidad</w:t>
      </w:r>
      <w:r>
        <w:rPr>
          <w:rFonts w:ascii="Arial" w:hAnsi="Arial"/>
          <w:spacing w:val="-20"/>
          <w:w w:val="85"/>
          <w:sz w:val="16"/>
        </w:rPr>
        <w:t> </w:t>
      </w:r>
      <w:r>
        <w:rPr>
          <w:rFonts w:ascii="Arial" w:hAnsi="Arial"/>
          <w:w w:val="85"/>
          <w:sz w:val="16"/>
        </w:rPr>
        <w:t>Católica;</w:t>
      </w:r>
      <w:r>
        <w:rPr>
          <w:rFonts w:ascii="Arial" w:hAnsi="Arial"/>
          <w:spacing w:val="-20"/>
          <w:w w:val="85"/>
          <w:sz w:val="16"/>
        </w:rPr>
        <w:t> </w:t>
      </w:r>
      <w:r>
        <w:rPr>
          <w:rFonts w:ascii="Arial" w:hAnsi="Arial"/>
          <w:w w:val="85"/>
          <w:sz w:val="16"/>
        </w:rPr>
        <w:t>Instituto</w:t>
      </w:r>
      <w:r>
        <w:rPr>
          <w:rFonts w:ascii="Arial" w:hAnsi="Arial"/>
          <w:spacing w:val="-20"/>
          <w:w w:val="85"/>
          <w:sz w:val="16"/>
        </w:rPr>
        <w:t> </w:t>
      </w:r>
      <w:r>
        <w:rPr>
          <w:rFonts w:ascii="Arial" w:hAnsi="Arial"/>
          <w:w w:val="85"/>
          <w:sz w:val="16"/>
        </w:rPr>
        <w:t>Latinoamericano</w:t>
      </w:r>
      <w:r>
        <w:rPr>
          <w:rFonts w:ascii="Arial" w:hAnsi="Arial"/>
          <w:spacing w:val="-20"/>
          <w:w w:val="85"/>
          <w:sz w:val="16"/>
        </w:rPr>
        <w:t> </w:t>
      </w:r>
      <w:r>
        <w:rPr>
          <w:rFonts w:ascii="Arial" w:hAnsi="Arial"/>
          <w:w w:val="85"/>
          <w:sz w:val="16"/>
        </w:rPr>
        <w:t>de</w:t>
      </w:r>
      <w:r>
        <w:rPr>
          <w:rFonts w:ascii="Arial" w:hAnsi="Arial"/>
          <w:spacing w:val="-20"/>
          <w:w w:val="85"/>
          <w:sz w:val="16"/>
        </w:rPr>
        <w:t> </w:t>
      </w:r>
      <w:r>
        <w:rPr>
          <w:rFonts w:ascii="Arial" w:hAnsi="Arial"/>
          <w:w w:val="85"/>
          <w:sz w:val="16"/>
        </w:rPr>
        <w:t>Doctrina </w:t>
      </w:r>
      <w:r>
        <w:rPr>
          <w:rFonts w:ascii="Arial" w:hAnsi="Arial"/>
          <w:w w:val="80"/>
          <w:sz w:val="16"/>
        </w:rPr>
        <w:t>y Estudios Sociales (ILADES); Libertad y Desarrollo </w:t>
      </w:r>
      <w:r>
        <w:rPr>
          <w:rFonts w:ascii="Arial" w:hAnsi="Arial"/>
          <w:spacing w:val="-3"/>
          <w:w w:val="80"/>
          <w:sz w:val="16"/>
        </w:rPr>
        <w:t>(LYD); </w:t>
      </w:r>
      <w:r>
        <w:rPr>
          <w:rFonts w:ascii="Arial" w:hAnsi="Arial"/>
          <w:w w:val="80"/>
          <w:sz w:val="16"/>
        </w:rPr>
        <w:t>Unión Social de Empresarios Cristianos</w:t>
      </w:r>
      <w:r>
        <w:rPr>
          <w:rFonts w:ascii="Arial" w:hAnsi="Arial"/>
          <w:spacing w:val="27"/>
          <w:w w:val="80"/>
          <w:sz w:val="16"/>
        </w:rPr>
        <w:t> </w:t>
      </w:r>
      <w:r>
        <w:rPr>
          <w:rFonts w:ascii="Arial" w:hAnsi="Arial"/>
          <w:w w:val="80"/>
          <w:sz w:val="16"/>
        </w:rPr>
        <w:t>(USEC).</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line="249" w:lineRule="auto" w:before="17" w:after="22"/>
        <w:ind w:left="188" w:right="314" w:firstLine="0"/>
        <w:jc w:val="left"/>
        <w:rPr>
          <w:rFonts w:ascii="Arial" w:hAnsi="Arial"/>
          <w:sz w:val="16"/>
        </w:rPr>
      </w:pPr>
      <w:r>
        <w:rPr>
          <w:rFonts w:ascii="Arial" w:hAnsi="Arial"/>
          <w:w w:val="85"/>
          <w:sz w:val="16"/>
        </w:rPr>
        <w:t>Colombia:</w:t>
      </w:r>
      <w:r>
        <w:rPr>
          <w:rFonts w:ascii="Arial" w:hAnsi="Arial"/>
          <w:spacing w:val="-21"/>
          <w:w w:val="85"/>
          <w:sz w:val="16"/>
        </w:rPr>
        <w:t> </w:t>
      </w:r>
      <w:r>
        <w:rPr>
          <w:rFonts w:ascii="Arial" w:hAnsi="Arial"/>
          <w:w w:val="85"/>
          <w:sz w:val="16"/>
        </w:rPr>
        <w:t>Asociación</w:t>
      </w:r>
      <w:r>
        <w:rPr>
          <w:rFonts w:ascii="Arial" w:hAnsi="Arial"/>
          <w:spacing w:val="-18"/>
          <w:w w:val="85"/>
          <w:sz w:val="16"/>
        </w:rPr>
        <w:t> </w:t>
      </w:r>
      <w:r>
        <w:rPr>
          <w:rFonts w:ascii="Arial" w:hAnsi="Arial"/>
          <w:w w:val="85"/>
          <w:sz w:val="16"/>
        </w:rPr>
        <w:t>Colombiana</w:t>
      </w:r>
      <w:r>
        <w:rPr>
          <w:rFonts w:ascii="Arial" w:hAnsi="Arial"/>
          <w:spacing w:val="-18"/>
          <w:w w:val="85"/>
          <w:sz w:val="16"/>
        </w:rPr>
        <w:t> </w:t>
      </w:r>
      <w:r>
        <w:rPr>
          <w:rFonts w:ascii="Arial" w:hAnsi="Arial"/>
          <w:w w:val="85"/>
          <w:sz w:val="16"/>
        </w:rPr>
        <w:t>Popular</w:t>
      </w:r>
      <w:r>
        <w:rPr>
          <w:rFonts w:ascii="Arial" w:hAnsi="Arial"/>
          <w:spacing w:val="-18"/>
          <w:w w:val="85"/>
          <w:sz w:val="16"/>
        </w:rPr>
        <w:t> </w:t>
      </w:r>
      <w:r>
        <w:rPr>
          <w:rFonts w:ascii="Arial" w:hAnsi="Arial"/>
          <w:w w:val="85"/>
          <w:sz w:val="16"/>
        </w:rPr>
        <w:t>de</w:t>
      </w:r>
      <w:r>
        <w:rPr>
          <w:rFonts w:ascii="Arial" w:hAnsi="Arial"/>
          <w:spacing w:val="-18"/>
          <w:w w:val="85"/>
          <w:sz w:val="16"/>
        </w:rPr>
        <w:t> </w:t>
      </w:r>
      <w:r>
        <w:rPr>
          <w:rFonts w:ascii="Arial" w:hAnsi="Arial"/>
          <w:w w:val="85"/>
          <w:sz w:val="16"/>
        </w:rPr>
        <w:t>Industriales;</w:t>
      </w:r>
      <w:r>
        <w:rPr>
          <w:rFonts w:ascii="Arial" w:hAnsi="Arial"/>
          <w:spacing w:val="-18"/>
          <w:w w:val="85"/>
          <w:sz w:val="16"/>
        </w:rPr>
        <w:t> </w:t>
      </w:r>
      <w:r>
        <w:rPr>
          <w:rFonts w:ascii="Arial" w:hAnsi="Arial"/>
          <w:w w:val="85"/>
          <w:sz w:val="16"/>
        </w:rPr>
        <w:t>Confederación</w:t>
      </w:r>
      <w:r>
        <w:rPr>
          <w:rFonts w:ascii="Arial" w:hAnsi="Arial"/>
          <w:spacing w:val="-18"/>
          <w:w w:val="85"/>
          <w:sz w:val="16"/>
        </w:rPr>
        <w:t> </w:t>
      </w:r>
      <w:r>
        <w:rPr>
          <w:rFonts w:ascii="Arial" w:hAnsi="Arial"/>
          <w:w w:val="85"/>
          <w:sz w:val="16"/>
        </w:rPr>
        <w:t>Colombiana</w:t>
      </w:r>
      <w:r>
        <w:rPr>
          <w:rFonts w:ascii="Arial" w:hAnsi="Arial"/>
          <w:spacing w:val="-18"/>
          <w:w w:val="85"/>
          <w:sz w:val="16"/>
        </w:rPr>
        <w:t> </w:t>
      </w:r>
      <w:r>
        <w:rPr>
          <w:rFonts w:ascii="Arial" w:hAnsi="Arial"/>
          <w:w w:val="85"/>
          <w:sz w:val="16"/>
        </w:rPr>
        <w:t>de</w:t>
      </w:r>
      <w:r>
        <w:rPr>
          <w:rFonts w:ascii="Arial" w:hAnsi="Arial"/>
          <w:spacing w:val="-18"/>
          <w:w w:val="85"/>
          <w:sz w:val="16"/>
        </w:rPr>
        <w:t> </w:t>
      </w:r>
      <w:r>
        <w:rPr>
          <w:rFonts w:ascii="Arial" w:hAnsi="Arial"/>
          <w:w w:val="85"/>
          <w:sz w:val="16"/>
        </w:rPr>
        <w:t>Cámaras</w:t>
      </w:r>
      <w:r>
        <w:rPr>
          <w:rFonts w:ascii="Arial" w:hAnsi="Arial"/>
          <w:spacing w:val="-18"/>
          <w:w w:val="85"/>
          <w:sz w:val="16"/>
        </w:rPr>
        <w:t> </w:t>
      </w:r>
      <w:r>
        <w:rPr>
          <w:rFonts w:ascii="Arial" w:hAnsi="Arial"/>
          <w:w w:val="85"/>
          <w:sz w:val="16"/>
        </w:rPr>
        <w:t>de</w:t>
      </w:r>
      <w:r>
        <w:rPr>
          <w:rFonts w:ascii="Arial" w:hAnsi="Arial"/>
          <w:spacing w:val="-18"/>
          <w:w w:val="85"/>
          <w:sz w:val="16"/>
        </w:rPr>
        <w:t> </w:t>
      </w:r>
      <w:r>
        <w:rPr>
          <w:rFonts w:ascii="Arial" w:hAnsi="Arial"/>
          <w:w w:val="85"/>
          <w:sz w:val="16"/>
        </w:rPr>
        <w:t>Comercio (Confecámaras)</w:t>
      </w:r>
      <w:r>
        <w:rPr>
          <w:rFonts w:ascii="Arial" w:hAnsi="Arial"/>
          <w:spacing w:val="-20"/>
          <w:w w:val="85"/>
          <w:sz w:val="16"/>
        </w:rPr>
        <w:t> </w:t>
      </w:r>
      <w:r>
        <w:rPr>
          <w:rFonts w:ascii="Arial" w:hAnsi="Arial"/>
          <w:w w:val="85"/>
          <w:sz w:val="16"/>
        </w:rPr>
        <w:t>(2);</w:t>
      </w:r>
      <w:r>
        <w:rPr>
          <w:rFonts w:ascii="Arial" w:hAnsi="Arial"/>
          <w:spacing w:val="-20"/>
          <w:w w:val="85"/>
          <w:sz w:val="16"/>
        </w:rPr>
        <w:t> </w:t>
      </w:r>
      <w:r>
        <w:rPr>
          <w:rFonts w:ascii="Arial" w:hAnsi="Arial"/>
          <w:w w:val="85"/>
          <w:sz w:val="16"/>
        </w:rPr>
        <w:t>Fundación</w:t>
      </w:r>
      <w:r>
        <w:rPr>
          <w:rFonts w:ascii="Arial" w:hAnsi="Arial"/>
          <w:spacing w:val="-20"/>
          <w:w w:val="85"/>
          <w:sz w:val="16"/>
        </w:rPr>
        <w:t> </w:t>
      </w:r>
      <w:r>
        <w:rPr>
          <w:rFonts w:ascii="Arial" w:hAnsi="Arial"/>
          <w:w w:val="85"/>
          <w:sz w:val="16"/>
        </w:rPr>
        <w:t>Corona;</w:t>
      </w:r>
      <w:r>
        <w:rPr>
          <w:rFonts w:ascii="Arial" w:hAnsi="Arial"/>
          <w:spacing w:val="-20"/>
          <w:w w:val="85"/>
          <w:sz w:val="16"/>
        </w:rPr>
        <w:t> </w:t>
      </w:r>
      <w:r>
        <w:rPr>
          <w:rFonts w:ascii="Arial" w:hAnsi="Arial"/>
          <w:w w:val="85"/>
          <w:sz w:val="16"/>
        </w:rPr>
        <w:t>Fundación</w:t>
      </w:r>
      <w:r>
        <w:rPr>
          <w:rFonts w:ascii="Arial" w:hAnsi="Arial"/>
          <w:spacing w:val="-20"/>
          <w:w w:val="85"/>
          <w:sz w:val="16"/>
        </w:rPr>
        <w:t> </w:t>
      </w:r>
      <w:r>
        <w:rPr>
          <w:rFonts w:ascii="Arial" w:hAnsi="Arial"/>
          <w:w w:val="85"/>
          <w:sz w:val="16"/>
        </w:rPr>
        <w:t>para</w:t>
      </w:r>
      <w:r>
        <w:rPr>
          <w:rFonts w:ascii="Arial" w:hAnsi="Arial"/>
          <w:spacing w:val="-20"/>
          <w:w w:val="85"/>
          <w:sz w:val="16"/>
        </w:rPr>
        <w:t> </w:t>
      </w:r>
      <w:r>
        <w:rPr>
          <w:rFonts w:ascii="Arial" w:hAnsi="Arial"/>
          <w:w w:val="85"/>
          <w:sz w:val="16"/>
        </w:rPr>
        <w:t>el</w:t>
      </w:r>
      <w:r>
        <w:rPr>
          <w:rFonts w:ascii="Arial" w:hAnsi="Arial"/>
          <w:spacing w:val="-20"/>
          <w:w w:val="85"/>
          <w:sz w:val="16"/>
        </w:rPr>
        <w:t> </w:t>
      </w:r>
      <w:r>
        <w:rPr>
          <w:rFonts w:ascii="Arial" w:hAnsi="Arial"/>
          <w:w w:val="85"/>
          <w:sz w:val="16"/>
        </w:rPr>
        <w:t>Desarrollo</w:t>
      </w:r>
      <w:r>
        <w:rPr>
          <w:rFonts w:ascii="Arial" w:hAnsi="Arial"/>
          <w:spacing w:val="-20"/>
          <w:w w:val="85"/>
          <w:sz w:val="16"/>
        </w:rPr>
        <w:t> </w:t>
      </w:r>
      <w:r>
        <w:rPr>
          <w:rFonts w:ascii="Arial" w:hAnsi="Arial"/>
          <w:w w:val="85"/>
          <w:sz w:val="16"/>
        </w:rPr>
        <w:t>Integral</w:t>
      </w:r>
      <w:r>
        <w:rPr>
          <w:rFonts w:ascii="Arial" w:hAnsi="Arial"/>
          <w:spacing w:val="-20"/>
          <w:w w:val="85"/>
          <w:sz w:val="16"/>
        </w:rPr>
        <w:t> </w:t>
      </w:r>
      <w:r>
        <w:rPr>
          <w:rFonts w:ascii="Arial" w:hAnsi="Arial"/>
          <w:w w:val="85"/>
          <w:sz w:val="16"/>
        </w:rPr>
        <w:t>del</w:t>
      </w:r>
      <w:r>
        <w:rPr>
          <w:rFonts w:ascii="Arial" w:hAnsi="Arial"/>
          <w:spacing w:val="-23"/>
          <w:w w:val="85"/>
          <w:sz w:val="16"/>
        </w:rPr>
        <w:t> </w:t>
      </w:r>
      <w:r>
        <w:rPr>
          <w:rFonts w:ascii="Arial" w:hAnsi="Arial"/>
          <w:w w:val="85"/>
          <w:sz w:val="16"/>
        </w:rPr>
        <w:t>Valle</w:t>
      </w:r>
      <w:r>
        <w:rPr>
          <w:rFonts w:ascii="Arial" w:hAnsi="Arial"/>
          <w:spacing w:val="-20"/>
          <w:w w:val="85"/>
          <w:sz w:val="16"/>
        </w:rPr>
        <w:t> </w:t>
      </w:r>
      <w:r>
        <w:rPr>
          <w:rFonts w:ascii="Arial" w:hAnsi="Arial"/>
          <w:w w:val="85"/>
          <w:sz w:val="16"/>
        </w:rPr>
        <w:t>del</w:t>
      </w:r>
      <w:r>
        <w:rPr>
          <w:rFonts w:ascii="Arial" w:hAnsi="Arial"/>
          <w:spacing w:val="-20"/>
          <w:w w:val="85"/>
          <w:sz w:val="16"/>
        </w:rPr>
        <w:t> </w:t>
      </w:r>
      <w:r>
        <w:rPr>
          <w:rFonts w:ascii="Arial" w:hAnsi="Arial"/>
          <w:w w:val="85"/>
          <w:sz w:val="16"/>
        </w:rPr>
        <w:t>Cauca;</w:t>
      </w:r>
      <w:r>
        <w:rPr>
          <w:rFonts w:ascii="Arial" w:hAnsi="Arial"/>
          <w:spacing w:val="-20"/>
          <w:w w:val="85"/>
          <w:sz w:val="16"/>
        </w:rPr>
        <w:t> </w:t>
      </w:r>
      <w:r>
        <w:rPr>
          <w:rFonts w:ascii="Arial" w:hAnsi="Arial"/>
          <w:w w:val="85"/>
          <w:sz w:val="16"/>
        </w:rPr>
        <w:t>Fundación</w:t>
      </w:r>
      <w:r>
        <w:rPr>
          <w:rFonts w:ascii="Arial" w:hAnsi="Arial"/>
          <w:spacing w:val="-20"/>
          <w:w w:val="85"/>
          <w:sz w:val="16"/>
        </w:rPr>
        <w:t> </w:t>
      </w:r>
      <w:r>
        <w:rPr>
          <w:rFonts w:ascii="Arial" w:hAnsi="Arial"/>
          <w:w w:val="85"/>
          <w:sz w:val="16"/>
        </w:rPr>
        <w:t>para la</w:t>
      </w:r>
      <w:r>
        <w:rPr>
          <w:rFonts w:ascii="Arial" w:hAnsi="Arial"/>
          <w:spacing w:val="-16"/>
          <w:w w:val="85"/>
          <w:sz w:val="16"/>
        </w:rPr>
        <w:t> </w:t>
      </w:r>
      <w:r>
        <w:rPr>
          <w:rFonts w:ascii="Arial" w:hAnsi="Arial"/>
          <w:w w:val="85"/>
          <w:sz w:val="16"/>
        </w:rPr>
        <w:t>Educación</w:t>
      </w:r>
      <w:r>
        <w:rPr>
          <w:rFonts w:ascii="Arial" w:hAnsi="Arial"/>
          <w:spacing w:val="-16"/>
          <w:w w:val="85"/>
          <w:sz w:val="16"/>
        </w:rPr>
        <w:t> </w:t>
      </w:r>
      <w:r>
        <w:rPr>
          <w:rFonts w:ascii="Arial" w:hAnsi="Arial"/>
          <w:w w:val="85"/>
          <w:sz w:val="16"/>
        </w:rPr>
        <w:t>Superior</w:t>
      </w:r>
      <w:r>
        <w:rPr>
          <w:rFonts w:ascii="Arial" w:hAnsi="Arial"/>
          <w:spacing w:val="-16"/>
          <w:w w:val="85"/>
          <w:sz w:val="16"/>
        </w:rPr>
        <w:t> </w:t>
      </w:r>
      <w:r>
        <w:rPr>
          <w:rFonts w:ascii="Arial" w:hAnsi="Arial"/>
          <w:w w:val="85"/>
          <w:sz w:val="16"/>
        </w:rPr>
        <w:t>y</w:t>
      </w:r>
      <w:r>
        <w:rPr>
          <w:rFonts w:ascii="Arial" w:hAnsi="Arial"/>
          <w:spacing w:val="-16"/>
          <w:w w:val="85"/>
          <w:sz w:val="16"/>
        </w:rPr>
        <w:t> </w:t>
      </w:r>
      <w:r>
        <w:rPr>
          <w:rFonts w:ascii="Arial" w:hAnsi="Arial"/>
          <w:w w:val="85"/>
          <w:sz w:val="16"/>
        </w:rPr>
        <w:t>el</w:t>
      </w:r>
      <w:r>
        <w:rPr>
          <w:rFonts w:ascii="Arial" w:hAnsi="Arial"/>
          <w:spacing w:val="-16"/>
          <w:w w:val="85"/>
          <w:sz w:val="16"/>
        </w:rPr>
        <w:t> </w:t>
      </w:r>
      <w:r>
        <w:rPr>
          <w:rFonts w:ascii="Arial" w:hAnsi="Arial"/>
          <w:w w:val="85"/>
          <w:sz w:val="16"/>
        </w:rPr>
        <w:t>Desarrollo</w:t>
      </w:r>
      <w:r>
        <w:rPr>
          <w:rFonts w:ascii="Arial" w:hAnsi="Arial"/>
          <w:spacing w:val="-16"/>
          <w:w w:val="85"/>
          <w:sz w:val="16"/>
        </w:rPr>
        <w:t> </w:t>
      </w:r>
      <w:r>
        <w:rPr>
          <w:rFonts w:ascii="Arial" w:hAnsi="Arial"/>
          <w:w w:val="85"/>
          <w:sz w:val="16"/>
        </w:rPr>
        <w:t>(Fedesarrollo)</w:t>
      </w:r>
      <w:r>
        <w:rPr>
          <w:rFonts w:ascii="Arial" w:hAnsi="Arial"/>
          <w:spacing w:val="-16"/>
          <w:w w:val="85"/>
          <w:sz w:val="16"/>
        </w:rPr>
        <w:t> </w:t>
      </w:r>
      <w:r>
        <w:rPr>
          <w:rFonts w:ascii="Arial" w:hAnsi="Arial"/>
          <w:w w:val="85"/>
          <w:sz w:val="16"/>
        </w:rPr>
        <w:t>(1);</w:t>
      </w:r>
      <w:r>
        <w:rPr>
          <w:rFonts w:ascii="Arial" w:hAnsi="Arial"/>
          <w:spacing w:val="-16"/>
          <w:w w:val="85"/>
          <w:sz w:val="16"/>
        </w:rPr>
        <w:t> </w:t>
      </w:r>
      <w:r>
        <w:rPr>
          <w:rFonts w:ascii="Arial" w:hAnsi="Arial"/>
          <w:w w:val="85"/>
          <w:sz w:val="16"/>
        </w:rPr>
        <w:t>Fundación</w:t>
      </w:r>
      <w:r>
        <w:rPr>
          <w:rFonts w:ascii="Arial" w:hAnsi="Arial"/>
          <w:spacing w:val="-16"/>
          <w:w w:val="85"/>
          <w:sz w:val="16"/>
        </w:rPr>
        <w:t> </w:t>
      </w:r>
      <w:r>
        <w:rPr>
          <w:rFonts w:ascii="Arial" w:hAnsi="Arial"/>
          <w:w w:val="85"/>
          <w:sz w:val="16"/>
        </w:rPr>
        <w:t>Respuesta;</w:t>
      </w:r>
      <w:r>
        <w:rPr>
          <w:rFonts w:ascii="Arial" w:hAnsi="Arial"/>
          <w:spacing w:val="-16"/>
          <w:w w:val="85"/>
          <w:sz w:val="16"/>
        </w:rPr>
        <w:t> </w:t>
      </w:r>
      <w:r>
        <w:rPr>
          <w:rFonts w:ascii="Arial" w:hAnsi="Arial"/>
          <w:w w:val="85"/>
          <w:sz w:val="16"/>
        </w:rPr>
        <w:t>Instituto</w:t>
      </w:r>
      <w:r>
        <w:rPr>
          <w:rFonts w:ascii="Arial" w:hAnsi="Arial"/>
          <w:spacing w:val="-16"/>
          <w:w w:val="85"/>
          <w:sz w:val="16"/>
        </w:rPr>
        <w:t> </w:t>
      </w:r>
      <w:r>
        <w:rPr>
          <w:rFonts w:ascii="Arial" w:hAnsi="Arial"/>
          <w:w w:val="85"/>
          <w:sz w:val="16"/>
        </w:rPr>
        <w:t>Colombiano</w:t>
      </w:r>
      <w:r>
        <w:rPr>
          <w:rFonts w:ascii="Arial" w:hAnsi="Arial"/>
          <w:spacing w:val="-16"/>
          <w:w w:val="85"/>
          <w:sz w:val="16"/>
        </w:rPr>
        <w:t> </w:t>
      </w:r>
      <w:r>
        <w:rPr>
          <w:rFonts w:ascii="Arial" w:hAnsi="Arial"/>
          <w:w w:val="85"/>
          <w:sz w:val="16"/>
        </w:rPr>
        <w:t>de</w:t>
      </w:r>
      <w:r>
        <w:rPr>
          <w:rFonts w:ascii="Arial" w:hAnsi="Arial"/>
          <w:spacing w:val="-16"/>
          <w:w w:val="85"/>
          <w:sz w:val="16"/>
        </w:rPr>
        <w:t> </w:t>
      </w:r>
      <w:r>
        <w:rPr>
          <w:rFonts w:ascii="Arial" w:hAnsi="Arial"/>
          <w:w w:val="85"/>
          <w:sz w:val="16"/>
        </w:rPr>
        <w:t>Estudios Avanzados</w:t>
      </w:r>
      <w:r>
        <w:rPr>
          <w:rFonts w:ascii="Arial" w:hAnsi="Arial"/>
          <w:spacing w:val="-22"/>
          <w:w w:val="85"/>
          <w:sz w:val="16"/>
        </w:rPr>
        <w:t> </w:t>
      </w:r>
      <w:r>
        <w:rPr>
          <w:rFonts w:ascii="Arial" w:hAnsi="Arial"/>
          <w:w w:val="85"/>
          <w:sz w:val="16"/>
        </w:rPr>
        <w:t>en</w:t>
      </w:r>
      <w:r>
        <w:rPr>
          <w:rFonts w:ascii="Arial" w:hAnsi="Arial"/>
          <w:spacing w:val="-24"/>
          <w:w w:val="85"/>
          <w:sz w:val="16"/>
        </w:rPr>
        <w:t> </w:t>
      </w:r>
      <w:r>
        <w:rPr>
          <w:rFonts w:ascii="Arial" w:hAnsi="Arial"/>
          <w:w w:val="85"/>
          <w:sz w:val="16"/>
        </w:rPr>
        <w:t>Administración;</w:t>
      </w:r>
      <w:r>
        <w:rPr>
          <w:rFonts w:ascii="Arial" w:hAnsi="Arial"/>
          <w:spacing w:val="-22"/>
          <w:w w:val="85"/>
          <w:sz w:val="16"/>
        </w:rPr>
        <w:t> </w:t>
      </w:r>
      <w:r>
        <w:rPr>
          <w:rFonts w:ascii="Arial" w:hAnsi="Arial"/>
          <w:w w:val="85"/>
          <w:sz w:val="16"/>
        </w:rPr>
        <w:t>Instituto</w:t>
      </w:r>
      <w:r>
        <w:rPr>
          <w:rFonts w:ascii="Arial" w:hAnsi="Arial"/>
          <w:spacing w:val="-22"/>
          <w:w w:val="85"/>
          <w:sz w:val="16"/>
        </w:rPr>
        <w:t> </w:t>
      </w:r>
      <w:r>
        <w:rPr>
          <w:rFonts w:ascii="Arial" w:hAnsi="Arial"/>
          <w:w w:val="85"/>
          <w:sz w:val="16"/>
        </w:rPr>
        <w:t>de</w:t>
      </w:r>
      <w:r>
        <w:rPr>
          <w:rFonts w:ascii="Arial" w:hAnsi="Arial"/>
          <w:spacing w:val="-22"/>
          <w:w w:val="85"/>
          <w:sz w:val="16"/>
        </w:rPr>
        <w:t> </w:t>
      </w:r>
      <w:r>
        <w:rPr>
          <w:rFonts w:ascii="Arial" w:hAnsi="Arial"/>
          <w:w w:val="85"/>
          <w:sz w:val="16"/>
        </w:rPr>
        <w:t>Ciencia</w:t>
      </w:r>
      <w:r>
        <w:rPr>
          <w:rFonts w:ascii="Arial" w:hAnsi="Arial"/>
          <w:spacing w:val="-22"/>
          <w:w w:val="85"/>
          <w:sz w:val="16"/>
        </w:rPr>
        <w:t> </w:t>
      </w:r>
      <w:r>
        <w:rPr>
          <w:rFonts w:ascii="Arial" w:hAnsi="Arial"/>
          <w:w w:val="85"/>
          <w:sz w:val="16"/>
        </w:rPr>
        <w:t>Política</w:t>
      </w:r>
      <w:r>
        <w:rPr>
          <w:rFonts w:ascii="Arial" w:hAnsi="Arial"/>
          <w:spacing w:val="-22"/>
          <w:w w:val="85"/>
          <w:sz w:val="16"/>
        </w:rPr>
        <w:t> </w:t>
      </w:r>
      <w:r>
        <w:rPr>
          <w:rFonts w:ascii="Arial" w:hAnsi="Arial"/>
          <w:w w:val="85"/>
          <w:sz w:val="16"/>
        </w:rPr>
        <w:t>(IPC)</w:t>
      </w:r>
      <w:r>
        <w:rPr>
          <w:rFonts w:ascii="Arial" w:hAnsi="Arial"/>
          <w:spacing w:val="-22"/>
          <w:w w:val="85"/>
          <w:sz w:val="16"/>
        </w:rPr>
        <w:t> </w:t>
      </w:r>
      <w:r>
        <w:rPr>
          <w:rFonts w:ascii="Arial" w:hAnsi="Arial"/>
          <w:w w:val="85"/>
          <w:sz w:val="16"/>
        </w:rPr>
        <w:t>(2).</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line="249" w:lineRule="auto" w:before="17" w:after="22"/>
        <w:ind w:left="188" w:right="158" w:firstLine="0"/>
        <w:jc w:val="left"/>
        <w:rPr>
          <w:rFonts w:ascii="Arial" w:hAnsi="Arial"/>
          <w:sz w:val="16"/>
        </w:rPr>
      </w:pPr>
      <w:r>
        <w:rPr>
          <w:rFonts w:ascii="Arial" w:hAnsi="Arial"/>
          <w:w w:val="85"/>
          <w:sz w:val="16"/>
        </w:rPr>
        <w:t>Costa</w:t>
      </w:r>
      <w:r>
        <w:rPr>
          <w:rFonts w:ascii="Arial" w:hAnsi="Arial"/>
          <w:spacing w:val="-16"/>
          <w:w w:val="85"/>
          <w:sz w:val="16"/>
        </w:rPr>
        <w:t> </w:t>
      </w:r>
      <w:r>
        <w:rPr>
          <w:rFonts w:ascii="Arial" w:hAnsi="Arial"/>
          <w:w w:val="85"/>
          <w:sz w:val="16"/>
        </w:rPr>
        <w:t>Rica:</w:t>
      </w:r>
      <w:r>
        <w:rPr>
          <w:rFonts w:ascii="Arial" w:hAnsi="Arial"/>
          <w:spacing w:val="-16"/>
          <w:w w:val="85"/>
          <w:sz w:val="16"/>
        </w:rPr>
        <w:t> </w:t>
      </w:r>
      <w:r>
        <w:rPr>
          <w:rFonts w:ascii="Arial" w:hAnsi="Arial"/>
          <w:w w:val="85"/>
          <w:sz w:val="16"/>
        </w:rPr>
        <w:t>Federación</w:t>
      </w:r>
      <w:r>
        <w:rPr>
          <w:rFonts w:ascii="Arial" w:hAnsi="Arial"/>
          <w:spacing w:val="-16"/>
          <w:w w:val="85"/>
          <w:sz w:val="16"/>
        </w:rPr>
        <w:t> </w:t>
      </w:r>
      <w:r>
        <w:rPr>
          <w:rFonts w:ascii="Arial" w:hAnsi="Arial"/>
          <w:w w:val="85"/>
          <w:sz w:val="16"/>
        </w:rPr>
        <w:t>de</w:t>
      </w:r>
      <w:r>
        <w:rPr>
          <w:rFonts w:ascii="Arial" w:hAnsi="Arial"/>
          <w:spacing w:val="-16"/>
          <w:w w:val="85"/>
          <w:sz w:val="16"/>
        </w:rPr>
        <w:t> </w:t>
      </w:r>
      <w:r>
        <w:rPr>
          <w:rFonts w:ascii="Arial" w:hAnsi="Arial"/>
          <w:w w:val="85"/>
          <w:sz w:val="16"/>
        </w:rPr>
        <w:t>Entidades</w:t>
      </w:r>
      <w:r>
        <w:rPr>
          <w:rFonts w:ascii="Arial" w:hAnsi="Arial"/>
          <w:spacing w:val="-16"/>
          <w:w w:val="85"/>
          <w:sz w:val="16"/>
        </w:rPr>
        <w:t> </w:t>
      </w:r>
      <w:r>
        <w:rPr>
          <w:rFonts w:ascii="Arial" w:hAnsi="Arial"/>
          <w:w w:val="85"/>
          <w:sz w:val="16"/>
        </w:rPr>
        <w:t>del</w:t>
      </w:r>
      <w:r>
        <w:rPr>
          <w:rFonts w:ascii="Arial" w:hAnsi="Arial"/>
          <w:spacing w:val="-16"/>
          <w:w w:val="85"/>
          <w:sz w:val="16"/>
        </w:rPr>
        <w:t> </w:t>
      </w:r>
      <w:r>
        <w:rPr>
          <w:rFonts w:ascii="Arial" w:hAnsi="Arial"/>
          <w:w w:val="85"/>
          <w:sz w:val="16"/>
        </w:rPr>
        <w:t>Sector</w:t>
      </w:r>
      <w:r>
        <w:rPr>
          <w:rFonts w:ascii="Arial" w:hAnsi="Arial"/>
          <w:spacing w:val="-16"/>
          <w:w w:val="85"/>
          <w:sz w:val="16"/>
        </w:rPr>
        <w:t> </w:t>
      </w:r>
      <w:r>
        <w:rPr>
          <w:rFonts w:ascii="Arial" w:hAnsi="Arial"/>
          <w:w w:val="85"/>
          <w:sz w:val="16"/>
        </w:rPr>
        <w:t>Privado</w:t>
      </w:r>
      <w:r>
        <w:rPr>
          <w:rFonts w:ascii="Arial" w:hAnsi="Arial"/>
          <w:spacing w:val="-16"/>
          <w:w w:val="85"/>
          <w:sz w:val="16"/>
        </w:rPr>
        <w:t> </w:t>
      </w:r>
      <w:r>
        <w:rPr>
          <w:rFonts w:ascii="Arial" w:hAnsi="Arial"/>
          <w:w w:val="85"/>
          <w:sz w:val="16"/>
        </w:rPr>
        <w:t>de</w:t>
      </w:r>
      <w:r>
        <w:rPr>
          <w:rFonts w:ascii="Arial" w:hAnsi="Arial"/>
          <w:spacing w:val="-16"/>
          <w:w w:val="85"/>
          <w:sz w:val="16"/>
        </w:rPr>
        <w:t> </w:t>
      </w:r>
      <w:r>
        <w:rPr>
          <w:rFonts w:ascii="Arial" w:hAnsi="Arial"/>
          <w:w w:val="85"/>
          <w:sz w:val="16"/>
        </w:rPr>
        <w:t>Centroamérica</w:t>
      </w:r>
      <w:r>
        <w:rPr>
          <w:rFonts w:ascii="Arial" w:hAnsi="Arial"/>
          <w:spacing w:val="-16"/>
          <w:w w:val="85"/>
          <w:sz w:val="16"/>
        </w:rPr>
        <w:t> </w:t>
      </w:r>
      <w:r>
        <w:rPr>
          <w:rFonts w:ascii="Arial" w:hAnsi="Arial"/>
          <w:w w:val="85"/>
          <w:sz w:val="16"/>
        </w:rPr>
        <w:t>y</w:t>
      </w:r>
      <w:r>
        <w:rPr>
          <w:rFonts w:ascii="Arial" w:hAnsi="Arial"/>
          <w:spacing w:val="-16"/>
          <w:w w:val="85"/>
          <w:sz w:val="16"/>
        </w:rPr>
        <w:t> </w:t>
      </w:r>
      <w:r>
        <w:rPr>
          <w:rFonts w:ascii="Arial" w:hAnsi="Arial"/>
          <w:w w:val="85"/>
          <w:sz w:val="16"/>
        </w:rPr>
        <w:t>Panamá;</w:t>
      </w:r>
      <w:r>
        <w:rPr>
          <w:rFonts w:ascii="Arial" w:hAnsi="Arial"/>
          <w:spacing w:val="-16"/>
          <w:w w:val="85"/>
          <w:sz w:val="16"/>
        </w:rPr>
        <w:t> </w:t>
      </w:r>
      <w:r>
        <w:rPr>
          <w:rFonts w:ascii="Arial" w:hAnsi="Arial"/>
          <w:w w:val="85"/>
          <w:sz w:val="16"/>
        </w:rPr>
        <w:t>Instituto</w:t>
      </w:r>
      <w:r>
        <w:rPr>
          <w:rFonts w:ascii="Arial" w:hAnsi="Arial"/>
          <w:spacing w:val="-16"/>
          <w:w w:val="85"/>
          <w:sz w:val="16"/>
        </w:rPr>
        <w:t> </w:t>
      </w:r>
      <w:r>
        <w:rPr>
          <w:rFonts w:ascii="Arial" w:hAnsi="Arial"/>
          <w:w w:val="85"/>
          <w:sz w:val="16"/>
        </w:rPr>
        <w:t>Latinoamericano</w:t>
      </w:r>
      <w:r>
        <w:rPr>
          <w:rFonts w:ascii="Arial" w:hAnsi="Arial"/>
          <w:spacing w:val="-16"/>
          <w:w w:val="85"/>
          <w:sz w:val="16"/>
        </w:rPr>
        <w:t> </w:t>
      </w:r>
      <w:r>
        <w:rPr>
          <w:rFonts w:ascii="Arial" w:hAnsi="Arial"/>
          <w:w w:val="85"/>
          <w:sz w:val="16"/>
        </w:rPr>
        <w:t>de </w:t>
      </w:r>
      <w:r>
        <w:rPr>
          <w:rFonts w:ascii="Arial" w:hAnsi="Arial"/>
          <w:w w:val="80"/>
          <w:sz w:val="16"/>
        </w:rPr>
        <w:t>Gerencia de Organizaciones</w:t>
      </w:r>
      <w:r>
        <w:rPr>
          <w:rFonts w:ascii="Arial" w:hAnsi="Arial"/>
          <w:spacing w:val="-9"/>
          <w:w w:val="80"/>
          <w:sz w:val="16"/>
        </w:rPr>
        <w:t> </w:t>
      </w:r>
      <w:r>
        <w:rPr>
          <w:rFonts w:ascii="Arial" w:hAnsi="Arial"/>
          <w:w w:val="80"/>
          <w:sz w:val="16"/>
        </w:rPr>
        <w:t>(ILGO).</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before="16"/>
        <w:ind w:left="188" w:right="158" w:firstLine="0"/>
        <w:jc w:val="left"/>
        <w:rPr>
          <w:rFonts w:ascii="Arial" w:hAnsi="Arial"/>
          <w:sz w:val="16"/>
        </w:rPr>
      </w:pPr>
      <w:r>
        <w:rPr/>
        <w:pict>
          <v:group style="position:absolute;margin-left:51.023602pt;margin-top:11.476896pt;width:348.7pt;height:.5pt;mso-position-horizontal-relative:page;mso-position-vertical-relative:paragraph;z-index:6184;mso-wrap-distance-left:0;mso-wrap-distance-right:0" coordorigin="1020,230" coordsize="6974,10">
            <v:line style="position:absolute" from="1055,235" to="7974,235" stroked="true" strokeweight=".5pt" strokecolor="#000000">
              <v:stroke dashstyle="dash"/>
            </v:line>
            <v:line style="position:absolute" from="1025,235" to="1025,235" stroked="true" strokeweight=".5pt" strokecolor="#000000"/>
            <v:line style="position:absolute" from="7989,235" to="7989,235" stroked="true" strokeweight=".5pt" strokecolor="#000000"/>
            <w10:wrap type="topAndBottom"/>
          </v:group>
        </w:pict>
      </w:r>
      <w:r>
        <w:rPr>
          <w:rFonts w:ascii="Arial" w:hAnsi="Arial"/>
          <w:w w:val="85"/>
          <w:sz w:val="16"/>
        </w:rPr>
        <w:t>Cuba: Alianza Democrática Cubana; </w:t>
      </w:r>
      <w:r>
        <w:rPr>
          <w:rFonts w:ascii="Arial" w:hAnsi="Arial"/>
          <w:i/>
          <w:w w:val="85"/>
          <w:sz w:val="16"/>
        </w:rPr>
        <w:t>Promoting Reform in Cuba </w:t>
      </w:r>
      <w:r>
        <w:rPr>
          <w:rFonts w:ascii="Arial" w:hAnsi="Arial"/>
          <w:w w:val="85"/>
          <w:sz w:val="16"/>
        </w:rPr>
        <w:t>(Programa) (2009, 2010).</w:t>
      </w:r>
    </w:p>
    <w:p>
      <w:pPr>
        <w:spacing w:line="249" w:lineRule="auto" w:before="0" w:after="22"/>
        <w:ind w:left="188" w:right="314" w:firstLine="0"/>
        <w:jc w:val="left"/>
        <w:rPr>
          <w:rFonts w:ascii="Arial" w:hAnsi="Arial"/>
          <w:sz w:val="16"/>
        </w:rPr>
      </w:pPr>
      <w:r>
        <w:rPr>
          <w:rFonts w:ascii="Arial" w:hAnsi="Arial"/>
          <w:w w:val="85"/>
          <w:sz w:val="16"/>
        </w:rPr>
        <w:t>Ecuador:</w:t>
      </w:r>
      <w:r>
        <w:rPr>
          <w:rFonts w:ascii="Arial" w:hAnsi="Arial"/>
          <w:spacing w:val="-20"/>
          <w:w w:val="85"/>
          <w:sz w:val="16"/>
        </w:rPr>
        <w:t> </w:t>
      </w:r>
      <w:r>
        <w:rPr>
          <w:rFonts w:ascii="Arial" w:hAnsi="Arial"/>
          <w:w w:val="85"/>
          <w:sz w:val="16"/>
        </w:rPr>
        <w:t>Alianza</w:t>
      </w:r>
      <w:r>
        <w:rPr>
          <w:rFonts w:ascii="Arial" w:hAnsi="Arial"/>
          <w:spacing w:val="-17"/>
          <w:w w:val="85"/>
          <w:sz w:val="16"/>
        </w:rPr>
        <w:t> </w:t>
      </w:r>
      <w:r>
        <w:rPr>
          <w:rFonts w:ascii="Arial" w:hAnsi="Arial"/>
          <w:w w:val="85"/>
          <w:sz w:val="16"/>
        </w:rPr>
        <w:t>Equidad</w:t>
      </w:r>
      <w:r>
        <w:rPr>
          <w:rFonts w:ascii="Arial" w:hAnsi="Arial"/>
          <w:spacing w:val="-17"/>
          <w:w w:val="85"/>
          <w:sz w:val="16"/>
        </w:rPr>
        <w:t> </w:t>
      </w:r>
      <w:r>
        <w:rPr>
          <w:rFonts w:ascii="Arial" w:hAnsi="Arial"/>
          <w:w w:val="85"/>
          <w:sz w:val="16"/>
        </w:rPr>
        <w:t>(2008-2009);</w:t>
      </w:r>
      <w:r>
        <w:rPr>
          <w:rFonts w:ascii="Arial" w:hAnsi="Arial"/>
          <w:spacing w:val="-20"/>
          <w:w w:val="85"/>
          <w:sz w:val="16"/>
        </w:rPr>
        <w:t> </w:t>
      </w:r>
      <w:r>
        <w:rPr>
          <w:rFonts w:ascii="Arial" w:hAnsi="Arial"/>
          <w:w w:val="85"/>
          <w:sz w:val="16"/>
        </w:rPr>
        <w:t>Asociación</w:t>
      </w:r>
      <w:r>
        <w:rPr>
          <w:rFonts w:ascii="Arial" w:hAnsi="Arial"/>
          <w:spacing w:val="-17"/>
          <w:w w:val="85"/>
          <w:sz w:val="16"/>
        </w:rPr>
        <w:t> </w:t>
      </w:r>
      <w:r>
        <w:rPr>
          <w:rFonts w:ascii="Arial" w:hAnsi="Arial"/>
          <w:w w:val="85"/>
          <w:sz w:val="16"/>
        </w:rPr>
        <w:t>Nacional</w:t>
      </w:r>
      <w:r>
        <w:rPr>
          <w:rFonts w:ascii="Arial" w:hAnsi="Arial"/>
          <w:spacing w:val="-17"/>
          <w:w w:val="85"/>
          <w:sz w:val="16"/>
        </w:rPr>
        <w:t> </w:t>
      </w:r>
      <w:r>
        <w:rPr>
          <w:rFonts w:ascii="Arial" w:hAnsi="Arial"/>
          <w:w w:val="85"/>
          <w:sz w:val="16"/>
        </w:rPr>
        <w:t>de</w:t>
      </w:r>
      <w:r>
        <w:rPr>
          <w:rFonts w:ascii="Arial" w:hAnsi="Arial"/>
          <w:spacing w:val="-17"/>
          <w:w w:val="85"/>
          <w:sz w:val="16"/>
        </w:rPr>
        <w:t> </w:t>
      </w:r>
      <w:r>
        <w:rPr>
          <w:rFonts w:ascii="Arial" w:hAnsi="Arial"/>
          <w:w w:val="85"/>
          <w:sz w:val="16"/>
        </w:rPr>
        <w:t>Empresarios</w:t>
      </w:r>
      <w:r>
        <w:rPr>
          <w:rFonts w:ascii="Arial" w:hAnsi="Arial"/>
          <w:spacing w:val="-17"/>
          <w:w w:val="85"/>
          <w:sz w:val="16"/>
        </w:rPr>
        <w:t> </w:t>
      </w:r>
      <w:r>
        <w:rPr>
          <w:rFonts w:ascii="Arial" w:hAnsi="Arial"/>
          <w:w w:val="85"/>
          <w:sz w:val="16"/>
        </w:rPr>
        <w:t>(ANDE)</w:t>
      </w:r>
      <w:r>
        <w:rPr>
          <w:rFonts w:ascii="Arial" w:hAnsi="Arial"/>
          <w:spacing w:val="-17"/>
          <w:w w:val="85"/>
          <w:sz w:val="16"/>
        </w:rPr>
        <w:t> </w:t>
      </w:r>
      <w:r>
        <w:rPr>
          <w:rFonts w:ascii="Arial" w:hAnsi="Arial"/>
          <w:w w:val="85"/>
          <w:sz w:val="16"/>
        </w:rPr>
        <w:t>(2007);</w:t>
      </w:r>
      <w:r>
        <w:rPr>
          <w:rFonts w:ascii="Arial" w:hAnsi="Arial"/>
          <w:spacing w:val="-17"/>
          <w:w w:val="85"/>
          <w:sz w:val="16"/>
        </w:rPr>
        <w:t> </w:t>
      </w:r>
      <w:r>
        <w:rPr>
          <w:rFonts w:ascii="Arial" w:hAnsi="Arial"/>
          <w:w w:val="85"/>
          <w:sz w:val="16"/>
        </w:rPr>
        <w:t>Bolsa</w:t>
      </w:r>
      <w:r>
        <w:rPr>
          <w:rFonts w:ascii="Arial" w:hAnsi="Arial"/>
          <w:spacing w:val="-17"/>
          <w:w w:val="85"/>
          <w:sz w:val="16"/>
        </w:rPr>
        <w:t> </w:t>
      </w:r>
      <w:r>
        <w:rPr>
          <w:rFonts w:ascii="Arial" w:hAnsi="Arial"/>
          <w:w w:val="85"/>
          <w:sz w:val="16"/>
        </w:rPr>
        <w:t>de</w:t>
      </w:r>
      <w:r>
        <w:rPr>
          <w:rFonts w:ascii="Arial" w:hAnsi="Arial"/>
          <w:spacing w:val="-21"/>
          <w:w w:val="85"/>
          <w:sz w:val="16"/>
        </w:rPr>
        <w:t> </w:t>
      </w:r>
      <w:r>
        <w:rPr>
          <w:rFonts w:ascii="Arial" w:hAnsi="Arial"/>
          <w:w w:val="85"/>
          <w:sz w:val="16"/>
        </w:rPr>
        <w:t>Valores</w:t>
      </w:r>
      <w:r>
        <w:rPr>
          <w:rFonts w:ascii="Arial" w:hAnsi="Arial"/>
          <w:spacing w:val="-17"/>
          <w:w w:val="85"/>
          <w:sz w:val="16"/>
        </w:rPr>
        <w:t> </w:t>
      </w:r>
      <w:r>
        <w:rPr>
          <w:rFonts w:ascii="Arial" w:hAnsi="Arial"/>
          <w:w w:val="85"/>
          <w:sz w:val="16"/>
        </w:rPr>
        <w:t>de Quito</w:t>
      </w:r>
      <w:r>
        <w:rPr>
          <w:rFonts w:ascii="Arial" w:hAnsi="Arial"/>
          <w:spacing w:val="-20"/>
          <w:w w:val="85"/>
          <w:sz w:val="16"/>
        </w:rPr>
        <w:t> </w:t>
      </w:r>
      <w:r>
        <w:rPr>
          <w:rFonts w:ascii="Arial" w:hAnsi="Arial"/>
          <w:w w:val="85"/>
          <w:sz w:val="16"/>
        </w:rPr>
        <w:t>(BVQ);</w:t>
      </w:r>
      <w:r>
        <w:rPr>
          <w:rFonts w:ascii="Arial" w:hAnsi="Arial"/>
          <w:spacing w:val="-20"/>
          <w:w w:val="85"/>
          <w:sz w:val="16"/>
        </w:rPr>
        <w:t> </w:t>
      </w:r>
      <w:r>
        <w:rPr>
          <w:rFonts w:ascii="Arial" w:hAnsi="Arial"/>
          <w:w w:val="85"/>
          <w:sz w:val="16"/>
        </w:rPr>
        <w:t>Fundación</w:t>
      </w:r>
      <w:r>
        <w:rPr>
          <w:rFonts w:ascii="Arial" w:hAnsi="Arial"/>
          <w:spacing w:val="-23"/>
          <w:w w:val="85"/>
          <w:sz w:val="16"/>
        </w:rPr>
        <w:t> </w:t>
      </w:r>
      <w:r>
        <w:rPr>
          <w:rFonts w:ascii="Arial" w:hAnsi="Arial"/>
          <w:w w:val="85"/>
          <w:sz w:val="16"/>
        </w:rPr>
        <w:t>Alternativa</w:t>
      </w:r>
      <w:r>
        <w:rPr>
          <w:rFonts w:ascii="Arial" w:hAnsi="Arial"/>
          <w:spacing w:val="-20"/>
          <w:w w:val="85"/>
          <w:sz w:val="16"/>
        </w:rPr>
        <w:t> </w:t>
      </w:r>
      <w:r>
        <w:rPr>
          <w:rFonts w:ascii="Arial" w:hAnsi="Arial"/>
          <w:w w:val="85"/>
          <w:sz w:val="16"/>
        </w:rPr>
        <w:t>para</w:t>
      </w:r>
      <w:r>
        <w:rPr>
          <w:rFonts w:ascii="Arial" w:hAnsi="Arial"/>
          <w:spacing w:val="-20"/>
          <w:w w:val="85"/>
          <w:sz w:val="16"/>
        </w:rPr>
        <w:t> </w:t>
      </w:r>
      <w:r>
        <w:rPr>
          <w:rFonts w:ascii="Arial" w:hAnsi="Arial"/>
          <w:w w:val="85"/>
          <w:sz w:val="16"/>
        </w:rPr>
        <w:t>el</w:t>
      </w:r>
      <w:r>
        <w:rPr>
          <w:rFonts w:ascii="Arial" w:hAnsi="Arial"/>
          <w:spacing w:val="-20"/>
          <w:w w:val="85"/>
          <w:sz w:val="16"/>
        </w:rPr>
        <w:t> </w:t>
      </w:r>
      <w:r>
        <w:rPr>
          <w:rFonts w:ascii="Arial" w:hAnsi="Arial"/>
          <w:w w:val="85"/>
          <w:sz w:val="16"/>
        </w:rPr>
        <w:t>Desarrollo</w:t>
      </w:r>
      <w:r>
        <w:rPr>
          <w:rFonts w:ascii="Arial" w:hAnsi="Arial"/>
          <w:spacing w:val="-20"/>
          <w:w w:val="85"/>
          <w:sz w:val="16"/>
        </w:rPr>
        <w:t> </w:t>
      </w:r>
      <w:r>
        <w:rPr>
          <w:rFonts w:ascii="Arial" w:hAnsi="Arial"/>
          <w:spacing w:val="-3"/>
          <w:w w:val="85"/>
          <w:sz w:val="16"/>
        </w:rPr>
        <w:t>(FA)</w:t>
      </w:r>
      <w:r>
        <w:rPr>
          <w:rFonts w:ascii="Arial" w:hAnsi="Arial"/>
          <w:spacing w:val="-20"/>
          <w:w w:val="85"/>
          <w:sz w:val="16"/>
        </w:rPr>
        <w:t> </w:t>
      </w:r>
      <w:r>
        <w:rPr>
          <w:rFonts w:ascii="Arial" w:hAnsi="Arial"/>
          <w:w w:val="85"/>
          <w:sz w:val="16"/>
        </w:rPr>
        <w:t>(2007-2008);</w:t>
      </w:r>
      <w:r>
        <w:rPr>
          <w:rFonts w:ascii="Arial" w:hAnsi="Arial"/>
          <w:spacing w:val="-20"/>
          <w:w w:val="85"/>
          <w:sz w:val="16"/>
        </w:rPr>
        <w:t> </w:t>
      </w:r>
      <w:r>
        <w:rPr>
          <w:rFonts w:ascii="Arial" w:hAnsi="Arial"/>
          <w:w w:val="85"/>
          <w:sz w:val="16"/>
        </w:rPr>
        <w:t>Instituto</w:t>
      </w:r>
      <w:r>
        <w:rPr>
          <w:rFonts w:ascii="Arial" w:hAnsi="Arial"/>
          <w:spacing w:val="-20"/>
          <w:w w:val="85"/>
          <w:sz w:val="16"/>
        </w:rPr>
        <w:t> </w:t>
      </w:r>
      <w:r>
        <w:rPr>
          <w:rFonts w:ascii="Arial" w:hAnsi="Arial"/>
          <w:w w:val="85"/>
          <w:sz w:val="16"/>
        </w:rPr>
        <w:t>Ecuatoriano</w:t>
      </w:r>
      <w:r>
        <w:rPr>
          <w:rFonts w:ascii="Arial" w:hAnsi="Arial"/>
          <w:spacing w:val="-20"/>
          <w:w w:val="85"/>
          <w:sz w:val="16"/>
        </w:rPr>
        <w:t> </w:t>
      </w:r>
      <w:r>
        <w:rPr>
          <w:rFonts w:ascii="Arial" w:hAnsi="Arial"/>
          <w:w w:val="85"/>
          <w:sz w:val="16"/>
        </w:rPr>
        <w:t>de</w:t>
      </w:r>
      <w:r>
        <w:rPr>
          <w:rFonts w:ascii="Arial" w:hAnsi="Arial"/>
          <w:spacing w:val="-20"/>
          <w:w w:val="85"/>
          <w:sz w:val="16"/>
        </w:rPr>
        <w:t> </w:t>
      </w:r>
      <w:r>
        <w:rPr>
          <w:rFonts w:ascii="Arial" w:hAnsi="Arial"/>
          <w:w w:val="85"/>
          <w:sz w:val="16"/>
        </w:rPr>
        <w:t>Economía</w:t>
      </w:r>
      <w:r>
        <w:rPr>
          <w:rFonts w:ascii="Arial" w:hAnsi="Arial"/>
          <w:spacing w:val="-20"/>
          <w:w w:val="85"/>
          <w:sz w:val="16"/>
        </w:rPr>
        <w:t> </w:t>
      </w:r>
      <w:r>
        <w:rPr>
          <w:rFonts w:ascii="Arial" w:hAnsi="Arial"/>
          <w:w w:val="85"/>
          <w:sz w:val="16"/>
        </w:rPr>
        <w:t>Política </w:t>
      </w:r>
      <w:r>
        <w:rPr>
          <w:rFonts w:ascii="Arial" w:hAnsi="Arial"/>
          <w:w w:val="80"/>
          <w:sz w:val="16"/>
        </w:rPr>
        <w:t>(IEEP) (2007-2009, 2013); </w:t>
      </w:r>
      <w:r>
        <w:rPr>
          <w:rFonts w:ascii="Arial" w:hAnsi="Arial"/>
          <w:i/>
          <w:w w:val="80"/>
          <w:sz w:val="16"/>
        </w:rPr>
        <w:t>Corporation for Development Studies </w:t>
      </w:r>
      <w:r>
        <w:rPr>
          <w:rFonts w:ascii="Arial" w:hAnsi="Arial"/>
          <w:w w:val="80"/>
          <w:sz w:val="16"/>
        </w:rPr>
        <w:t>(CORDES)  </w:t>
      </w:r>
      <w:r>
        <w:rPr>
          <w:rFonts w:ascii="Arial" w:hAnsi="Arial"/>
          <w:spacing w:val="31"/>
          <w:w w:val="80"/>
          <w:sz w:val="16"/>
        </w:rPr>
        <w:t> </w:t>
      </w:r>
      <w:r>
        <w:rPr>
          <w:rFonts w:ascii="Arial" w:hAnsi="Arial"/>
          <w:w w:val="80"/>
          <w:sz w:val="16"/>
        </w:rPr>
        <w:t>(2011-2012).</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before="16"/>
        <w:ind w:left="188" w:right="158" w:firstLine="0"/>
        <w:jc w:val="left"/>
        <w:rPr>
          <w:rFonts w:ascii="Arial" w:hAnsi="Arial"/>
          <w:sz w:val="16"/>
        </w:rPr>
      </w:pPr>
      <w:r>
        <w:rPr/>
        <w:pict>
          <v:group style="position:absolute;margin-left:51.023602pt;margin-top:11.483013pt;width:348.7pt;height:.5pt;mso-position-horizontal-relative:page;mso-position-vertical-relative:paragraph;z-index:6232;mso-wrap-distance-left:0;mso-wrap-distance-right:0" coordorigin="1020,230" coordsize="6974,10">
            <v:line style="position:absolute" from="1055,235" to="7974,235" stroked="true" strokeweight=".5pt" strokecolor="#000000">
              <v:stroke dashstyle="dash"/>
            </v:line>
            <v:line style="position:absolute" from="1025,235" to="1025,235" stroked="true" strokeweight=".5pt" strokecolor="#000000"/>
            <v:line style="position:absolute" from="7989,235" to="7989,235" stroked="true" strokeweight=".5pt" strokecolor="#000000"/>
            <w10:wrap type="topAndBottom"/>
          </v:group>
        </w:pict>
      </w:r>
      <w:r>
        <w:rPr>
          <w:rFonts w:ascii="Arial" w:hAnsi="Arial"/>
          <w:w w:val="85"/>
          <w:sz w:val="16"/>
        </w:rPr>
        <w:t>El Salvador: Asociación Nacional de la Empresa Privada (ANEP).</w:t>
      </w:r>
    </w:p>
    <w:p>
      <w:pPr>
        <w:spacing w:before="0" w:after="30"/>
        <w:ind w:left="188" w:right="158" w:firstLine="0"/>
        <w:jc w:val="left"/>
        <w:rPr>
          <w:rFonts w:ascii="Arial" w:hAnsi="Arial"/>
          <w:sz w:val="16"/>
        </w:rPr>
      </w:pPr>
      <w:r>
        <w:rPr>
          <w:rFonts w:ascii="Arial" w:hAnsi="Arial"/>
          <w:w w:val="85"/>
          <w:sz w:val="16"/>
        </w:rPr>
        <w:t>Guatemala: Cámara de la Libre Empresa; Centro de Investigación Económica Nacional (CIEN) (2007-2013).</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line="249" w:lineRule="auto" w:before="16" w:after="23"/>
        <w:ind w:left="188" w:right="158" w:firstLine="0"/>
        <w:jc w:val="left"/>
        <w:rPr>
          <w:rFonts w:ascii="Arial" w:hAnsi="Arial"/>
          <w:sz w:val="16"/>
        </w:rPr>
      </w:pPr>
      <w:r>
        <w:rPr>
          <w:rFonts w:ascii="Arial" w:hAnsi="Arial"/>
          <w:w w:val="85"/>
          <w:sz w:val="16"/>
        </w:rPr>
        <w:t>Haití:</w:t>
      </w:r>
      <w:r>
        <w:rPr>
          <w:rFonts w:ascii="Arial" w:hAnsi="Arial"/>
          <w:spacing w:val="-20"/>
          <w:w w:val="85"/>
          <w:sz w:val="16"/>
        </w:rPr>
        <w:t> </w:t>
      </w:r>
      <w:r>
        <w:rPr>
          <w:rFonts w:ascii="Arial" w:hAnsi="Arial"/>
          <w:i/>
          <w:w w:val="85"/>
          <w:sz w:val="16"/>
        </w:rPr>
        <w:t>Center</w:t>
      </w:r>
      <w:r>
        <w:rPr>
          <w:rFonts w:ascii="Arial" w:hAnsi="Arial"/>
          <w:i/>
          <w:spacing w:val="-18"/>
          <w:w w:val="85"/>
          <w:sz w:val="16"/>
        </w:rPr>
        <w:t> </w:t>
      </w:r>
      <w:r>
        <w:rPr>
          <w:rFonts w:ascii="Arial" w:hAnsi="Arial"/>
          <w:i/>
          <w:w w:val="85"/>
          <w:sz w:val="16"/>
        </w:rPr>
        <w:t>for</w:t>
      </w:r>
      <w:r>
        <w:rPr>
          <w:rFonts w:ascii="Arial" w:hAnsi="Arial"/>
          <w:i/>
          <w:spacing w:val="-18"/>
          <w:w w:val="85"/>
          <w:sz w:val="16"/>
        </w:rPr>
        <w:t> </w:t>
      </w:r>
      <w:r>
        <w:rPr>
          <w:rFonts w:ascii="Arial" w:hAnsi="Arial"/>
          <w:i/>
          <w:w w:val="85"/>
          <w:sz w:val="16"/>
        </w:rPr>
        <w:t>Free</w:t>
      </w:r>
      <w:r>
        <w:rPr>
          <w:rFonts w:ascii="Arial" w:hAnsi="Arial"/>
          <w:i/>
          <w:spacing w:val="-18"/>
          <w:w w:val="85"/>
          <w:sz w:val="16"/>
        </w:rPr>
        <w:t> </w:t>
      </w:r>
      <w:r>
        <w:rPr>
          <w:rFonts w:ascii="Arial" w:hAnsi="Arial"/>
          <w:i/>
          <w:w w:val="85"/>
          <w:sz w:val="16"/>
        </w:rPr>
        <w:t>Enterprise</w:t>
      </w:r>
      <w:r>
        <w:rPr>
          <w:rFonts w:ascii="Arial" w:hAnsi="Arial"/>
          <w:i/>
          <w:spacing w:val="-18"/>
          <w:w w:val="85"/>
          <w:sz w:val="16"/>
        </w:rPr>
        <w:t> </w:t>
      </w:r>
      <w:r>
        <w:rPr>
          <w:rFonts w:ascii="Arial" w:hAnsi="Arial"/>
          <w:i/>
          <w:w w:val="85"/>
          <w:sz w:val="16"/>
        </w:rPr>
        <w:t>and</w:t>
      </w:r>
      <w:r>
        <w:rPr>
          <w:rFonts w:ascii="Arial" w:hAnsi="Arial"/>
          <w:i/>
          <w:spacing w:val="-18"/>
          <w:w w:val="85"/>
          <w:sz w:val="16"/>
        </w:rPr>
        <w:t> </w:t>
      </w:r>
      <w:r>
        <w:rPr>
          <w:rFonts w:ascii="Arial" w:hAnsi="Arial"/>
          <w:i/>
          <w:w w:val="85"/>
          <w:sz w:val="16"/>
        </w:rPr>
        <w:t>Democracy</w:t>
      </w:r>
      <w:r>
        <w:rPr>
          <w:rFonts w:ascii="Arial" w:hAnsi="Arial"/>
          <w:w w:val="85"/>
          <w:sz w:val="16"/>
        </w:rPr>
        <w:t>;</w:t>
      </w:r>
      <w:r>
        <w:rPr>
          <w:rFonts w:ascii="Arial" w:hAnsi="Arial"/>
          <w:spacing w:val="-18"/>
          <w:w w:val="85"/>
          <w:sz w:val="16"/>
        </w:rPr>
        <w:t> </w:t>
      </w:r>
      <w:r>
        <w:rPr>
          <w:rFonts w:ascii="Arial" w:hAnsi="Arial"/>
          <w:w w:val="85"/>
          <w:sz w:val="16"/>
        </w:rPr>
        <w:t>Cámara</w:t>
      </w:r>
      <w:r>
        <w:rPr>
          <w:rFonts w:ascii="Arial" w:hAnsi="Arial"/>
          <w:spacing w:val="-18"/>
          <w:w w:val="85"/>
          <w:sz w:val="16"/>
        </w:rPr>
        <w:t> </w:t>
      </w:r>
      <w:r>
        <w:rPr>
          <w:rFonts w:ascii="Arial" w:hAnsi="Arial"/>
          <w:w w:val="85"/>
          <w:sz w:val="16"/>
        </w:rPr>
        <w:t>de</w:t>
      </w:r>
      <w:r>
        <w:rPr>
          <w:rFonts w:ascii="Arial" w:hAnsi="Arial"/>
          <w:spacing w:val="-18"/>
          <w:w w:val="85"/>
          <w:sz w:val="16"/>
        </w:rPr>
        <w:t> </w:t>
      </w:r>
      <w:r>
        <w:rPr>
          <w:rFonts w:ascii="Arial" w:hAnsi="Arial"/>
          <w:w w:val="85"/>
          <w:sz w:val="16"/>
        </w:rPr>
        <w:t>Comercio</w:t>
      </w:r>
      <w:r>
        <w:rPr>
          <w:rFonts w:ascii="Arial" w:hAnsi="Arial"/>
          <w:spacing w:val="-18"/>
          <w:w w:val="85"/>
          <w:sz w:val="16"/>
        </w:rPr>
        <w:t> </w:t>
      </w:r>
      <w:r>
        <w:rPr>
          <w:rFonts w:ascii="Arial" w:hAnsi="Arial"/>
          <w:w w:val="85"/>
          <w:sz w:val="16"/>
        </w:rPr>
        <w:t>e</w:t>
      </w:r>
      <w:r>
        <w:rPr>
          <w:rFonts w:ascii="Arial" w:hAnsi="Arial"/>
          <w:spacing w:val="-18"/>
          <w:w w:val="85"/>
          <w:sz w:val="16"/>
        </w:rPr>
        <w:t> </w:t>
      </w:r>
      <w:r>
        <w:rPr>
          <w:rFonts w:ascii="Arial" w:hAnsi="Arial"/>
          <w:w w:val="85"/>
          <w:sz w:val="16"/>
        </w:rPr>
        <w:t>Industria</w:t>
      </w:r>
      <w:r>
        <w:rPr>
          <w:rFonts w:ascii="Arial" w:hAnsi="Arial"/>
          <w:spacing w:val="-18"/>
          <w:w w:val="85"/>
          <w:sz w:val="16"/>
        </w:rPr>
        <w:t> </w:t>
      </w:r>
      <w:r>
        <w:rPr>
          <w:rFonts w:ascii="Arial" w:hAnsi="Arial"/>
          <w:w w:val="85"/>
          <w:sz w:val="16"/>
        </w:rPr>
        <w:t>de</w:t>
      </w:r>
      <w:r>
        <w:rPr>
          <w:rFonts w:ascii="Arial" w:hAnsi="Arial"/>
          <w:spacing w:val="-18"/>
          <w:w w:val="85"/>
          <w:sz w:val="16"/>
        </w:rPr>
        <w:t> </w:t>
      </w:r>
      <w:r>
        <w:rPr>
          <w:rFonts w:ascii="Arial" w:hAnsi="Arial"/>
          <w:w w:val="85"/>
          <w:sz w:val="16"/>
        </w:rPr>
        <w:t>Haití</w:t>
      </w:r>
      <w:r>
        <w:rPr>
          <w:rFonts w:ascii="Arial" w:hAnsi="Arial"/>
          <w:spacing w:val="-18"/>
          <w:w w:val="85"/>
          <w:sz w:val="16"/>
        </w:rPr>
        <w:t> </w:t>
      </w:r>
      <w:r>
        <w:rPr>
          <w:rFonts w:ascii="Arial" w:hAnsi="Arial"/>
          <w:w w:val="85"/>
          <w:sz w:val="16"/>
        </w:rPr>
        <w:t>(CCIH);</w:t>
      </w:r>
      <w:r>
        <w:rPr>
          <w:rFonts w:ascii="Arial" w:hAnsi="Arial"/>
          <w:spacing w:val="-18"/>
          <w:w w:val="85"/>
          <w:sz w:val="16"/>
        </w:rPr>
        <w:t> </w:t>
      </w:r>
      <w:r>
        <w:rPr>
          <w:rFonts w:ascii="Arial" w:hAnsi="Arial"/>
          <w:i/>
          <w:w w:val="85"/>
          <w:sz w:val="16"/>
        </w:rPr>
        <w:t>Private</w:t>
      </w:r>
      <w:r>
        <w:rPr>
          <w:rFonts w:ascii="Arial" w:hAnsi="Arial"/>
          <w:i/>
          <w:spacing w:val="-18"/>
          <w:w w:val="85"/>
          <w:sz w:val="16"/>
        </w:rPr>
        <w:t> </w:t>
      </w:r>
      <w:r>
        <w:rPr>
          <w:rFonts w:ascii="Arial" w:hAnsi="Arial"/>
          <w:i/>
          <w:w w:val="85"/>
          <w:sz w:val="16"/>
        </w:rPr>
        <w:t>Sector </w:t>
      </w:r>
      <w:r>
        <w:rPr>
          <w:rFonts w:ascii="Arial" w:hAnsi="Arial"/>
          <w:i/>
          <w:w w:val="85"/>
          <w:sz w:val="16"/>
        </w:rPr>
        <w:t>Alliance</w:t>
      </w:r>
      <w:r>
        <w:rPr>
          <w:rFonts w:ascii="Arial" w:hAnsi="Arial"/>
          <w:i/>
          <w:spacing w:val="-20"/>
          <w:w w:val="85"/>
          <w:sz w:val="16"/>
        </w:rPr>
        <w:t> </w:t>
      </w:r>
      <w:r>
        <w:rPr>
          <w:rFonts w:ascii="Arial" w:hAnsi="Arial"/>
          <w:i/>
          <w:w w:val="85"/>
          <w:sz w:val="16"/>
        </w:rPr>
        <w:t>for</w:t>
      </w:r>
      <w:r>
        <w:rPr>
          <w:rFonts w:ascii="Arial" w:hAnsi="Arial"/>
          <w:i/>
          <w:spacing w:val="-20"/>
          <w:w w:val="85"/>
          <w:sz w:val="16"/>
        </w:rPr>
        <w:t> </w:t>
      </w:r>
      <w:r>
        <w:rPr>
          <w:rFonts w:ascii="Arial" w:hAnsi="Arial"/>
          <w:i/>
          <w:w w:val="85"/>
          <w:sz w:val="16"/>
        </w:rPr>
        <w:t>Development</w:t>
      </w:r>
      <w:r>
        <w:rPr>
          <w:rFonts w:ascii="Arial" w:hAnsi="Arial"/>
          <w:w w:val="85"/>
          <w:sz w:val="16"/>
        </w:rPr>
        <w:t>.</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before="16"/>
        <w:ind w:left="188" w:right="158" w:firstLine="0"/>
        <w:jc w:val="left"/>
        <w:rPr>
          <w:rFonts w:ascii="Arial"/>
          <w:sz w:val="16"/>
        </w:rPr>
      </w:pPr>
      <w:r>
        <w:rPr/>
        <w:pict>
          <v:group style="position:absolute;margin-left:51.023602pt;margin-top:11.492211pt;width:348.7pt;height:.5pt;mso-position-horizontal-relative:page;mso-position-vertical-relative:paragraph;z-index:6304;mso-wrap-distance-left:0;mso-wrap-distance-right:0" coordorigin="1020,230" coordsize="6974,10">
            <v:line style="position:absolute" from="1055,235" to="7974,235" stroked="true" strokeweight=".5pt" strokecolor="#000000">
              <v:stroke dashstyle="dash"/>
            </v:line>
            <v:line style="position:absolute" from="1025,235" to="1025,235" stroked="true" strokeweight=".5pt" strokecolor="#000000"/>
            <v:line style="position:absolute" from="7989,235" to="7989,235" stroked="true" strokeweight=".5pt" strokecolor="#000000"/>
            <w10:wrap type="topAndBottom"/>
          </v:group>
        </w:pict>
      </w:r>
      <w:r>
        <w:rPr>
          <w:rFonts w:ascii="Arial"/>
          <w:w w:val="85"/>
          <w:sz w:val="16"/>
        </w:rPr>
        <w:t>Jamaica: </w:t>
      </w:r>
      <w:r>
        <w:rPr>
          <w:rFonts w:ascii="Arial"/>
          <w:i/>
          <w:w w:val="85"/>
          <w:sz w:val="16"/>
        </w:rPr>
        <w:t>Fund for Multinational Management Education</w:t>
      </w:r>
      <w:r>
        <w:rPr>
          <w:rFonts w:ascii="Arial"/>
          <w:w w:val="85"/>
          <w:sz w:val="16"/>
        </w:rPr>
        <w:t>.</w:t>
      </w:r>
    </w:p>
    <w:p>
      <w:pPr>
        <w:spacing w:line="249" w:lineRule="auto" w:before="0" w:after="23"/>
        <w:ind w:left="188" w:right="268" w:firstLine="0"/>
        <w:jc w:val="left"/>
        <w:rPr>
          <w:rFonts w:ascii="Arial" w:hAnsi="Arial"/>
          <w:sz w:val="16"/>
        </w:rPr>
      </w:pPr>
      <w:r>
        <w:rPr>
          <w:rFonts w:ascii="Arial" w:hAnsi="Arial"/>
          <w:w w:val="85"/>
          <w:sz w:val="16"/>
        </w:rPr>
        <w:t>México:</w:t>
      </w:r>
      <w:r>
        <w:rPr>
          <w:rFonts w:ascii="Arial" w:hAnsi="Arial"/>
          <w:spacing w:val="-18"/>
          <w:w w:val="85"/>
          <w:sz w:val="16"/>
        </w:rPr>
        <w:t> </w:t>
      </w:r>
      <w:r>
        <w:rPr>
          <w:rFonts w:ascii="Arial" w:hAnsi="Arial"/>
          <w:w w:val="85"/>
          <w:sz w:val="16"/>
        </w:rPr>
        <w:t>Centro</w:t>
      </w:r>
      <w:r>
        <w:rPr>
          <w:rFonts w:ascii="Arial" w:hAnsi="Arial"/>
          <w:spacing w:val="-18"/>
          <w:w w:val="85"/>
          <w:sz w:val="16"/>
        </w:rPr>
        <w:t> </w:t>
      </w:r>
      <w:r>
        <w:rPr>
          <w:rFonts w:ascii="Arial" w:hAnsi="Arial"/>
          <w:w w:val="85"/>
          <w:sz w:val="16"/>
        </w:rPr>
        <w:t>de</w:t>
      </w:r>
      <w:r>
        <w:rPr>
          <w:rFonts w:ascii="Arial" w:hAnsi="Arial"/>
          <w:spacing w:val="-18"/>
          <w:w w:val="85"/>
          <w:sz w:val="16"/>
        </w:rPr>
        <w:t> </w:t>
      </w:r>
      <w:r>
        <w:rPr>
          <w:rFonts w:ascii="Arial" w:hAnsi="Arial"/>
          <w:w w:val="85"/>
          <w:sz w:val="16"/>
        </w:rPr>
        <w:t>Estudios</w:t>
      </w:r>
      <w:r>
        <w:rPr>
          <w:rFonts w:ascii="Arial" w:hAnsi="Arial"/>
          <w:spacing w:val="-18"/>
          <w:w w:val="85"/>
          <w:sz w:val="16"/>
        </w:rPr>
        <w:t> </w:t>
      </w:r>
      <w:r>
        <w:rPr>
          <w:rFonts w:ascii="Arial" w:hAnsi="Arial"/>
          <w:w w:val="85"/>
          <w:sz w:val="16"/>
        </w:rPr>
        <w:t>sobre</w:t>
      </w:r>
      <w:r>
        <w:rPr>
          <w:rFonts w:ascii="Arial" w:hAnsi="Arial"/>
          <w:spacing w:val="-18"/>
          <w:w w:val="85"/>
          <w:sz w:val="16"/>
        </w:rPr>
        <w:t> </w:t>
      </w:r>
      <w:r>
        <w:rPr>
          <w:rFonts w:ascii="Arial" w:hAnsi="Arial"/>
          <w:w w:val="85"/>
          <w:sz w:val="16"/>
        </w:rPr>
        <w:t>Economía</w:t>
      </w:r>
      <w:r>
        <w:rPr>
          <w:rFonts w:ascii="Arial" w:hAnsi="Arial"/>
          <w:spacing w:val="-18"/>
          <w:w w:val="85"/>
          <w:sz w:val="16"/>
        </w:rPr>
        <w:t> </w:t>
      </w:r>
      <w:r>
        <w:rPr>
          <w:rFonts w:ascii="Arial" w:hAnsi="Arial"/>
          <w:w w:val="85"/>
          <w:sz w:val="16"/>
        </w:rPr>
        <w:t>y</w:t>
      </w:r>
      <w:r>
        <w:rPr>
          <w:rFonts w:ascii="Arial" w:hAnsi="Arial"/>
          <w:spacing w:val="-18"/>
          <w:w w:val="85"/>
          <w:sz w:val="16"/>
        </w:rPr>
        <w:t> </w:t>
      </w:r>
      <w:r>
        <w:rPr>
          <w:rFonts w:ascii="Arial" w:hAnsi="Arial"/>
          <w:w w:val="85"/>
          <w:sz w:val="16"/>
        </w:rPr>
        <w:t>Educación;</w:t>
      </w:r>
      <w:r>
        <w:rPr>
          <w:rFonts w:ascii="Arial" w:hAnsi="Arial"/>
          <w:spacing w:val="-18"/>
          <w:w w:val="85"/>
          <w:sz w:val="16"/>
        </w:rPr>
        <w:t> </w:t>
      </w:r>
      <w:r>
        <w:rPr>
          <w:rFonts w:ascii="Arial" w:hAnsi="Arial"/>
          <w:w w:val="85"/>
          <w:sz w:val="16"/>
        </w:rPr>
        <w:t>Centro</w:t>
      </w:r>
      <w:r>
        <w:rPr>
          <w:rFonts w:ascii="Arial" w:hAnsi="Arial"/>
          <w:spacing w:val="-18"/>
          <w:w w:val="85"/>
          <w:sz w:val="16"/>
        </w:rPr>
        <w:t> </w:t>
      </w:r>
      <w:r>
        <w:rPr>
          <w:rFonts w:ascii="Arial" w:hAnsi="Arial"/>
          <w:w w:val="85"/>
          <w:sz w:val="16"/>
        </w:rPr>
        <w:t>de</w:t>
      </w:r>
      <w:r>
        <w:rPr>
          <w:rFonts w:ascii="Arial" w:hAnsi="Arial"/>
          <w:spacing w:val="-18"/>
          <w:w w:val="85"/>
          <w:sz w:val="16"/>
        </w:rPr>
        <w:t> </w:t>
      </w:r>
      <w:r>
        <w:rPr>
          <w:rFonts w:ascii="Arial" w:hAnsi="Arial"/>
          <w:w w:val="85"/>
          <w:sz w:val="16"/>
        </w:rPr>
        <w:t>Excelencia</w:t>
      </w:r>
      <w:r>
        <w:rPr>
          <w:rFonts w:ascii="Arial" w:hAnsi="Arial"/>
          <w:spacing w:val="-18"/>
          <w:w w:val="85"/>
          <w:sz w:val="16"/>
        </w:rPr>
        <w:t> </w:t>
      </w:r>
      <w:r>
        <w:rPr>
          <w:rFonts w:ascii="Arial" w:hAnsi="Arial"/>
          <w:w w:val="85"/>
          <w:sz w:val="16"/>
        </w:rPr>
        <w:t>en</w:t>
      </w:r>
      <w:r>
        <w:rPr>
          <w:rFonts w:ascii="Arial" w:hAnsi="Arial"/>
          <w:spacing w:val="-18"/>
          <w:w w:val="85"/>
          <w:sz w:val="16"/>
        </w:rPr>
        <w:t> </w:t>
      </w:r>
      <w:r>
        <w:rPr>
          <w:rFonts w:ascii="Arial" w:hAnsi="Arial"/>
          <w:w w:val="85"/>
          <w:sz w:val="16"/>
        </w:rPr>
        <w:t>Gobierno</w:t>
      </w:r>
      <w:r>
        <w:rPr>
          <w:rFonts w:ascii="Arial" w:hAnsi="Arial"/>
          <w:spacing w:val="-18"/>
          <w:w w:val="85"/>
          <w:sz w:val="16"/>
        </w:rPr>
        <w:t> </w:t>
      </w:r>
      <w:r>
        <w:rPr>
          <w:rFonts w:ascii="Arial" w:hAnsi="Arial"/>
          <w:w w:val="85"/>
          <w:sz w:val="16"/>
        </w:rPr>
        <w:t>Corporativo</w:t>
      </w:r>
      <w:r>
        <w:rPr>
          <w:rFonts w:ascii="Arial" w:hAnsi="Arial"/>
          <w:spacing w:val="-18"/>
          <w:w w:val="85"/>
          <w:sz w:val="16"/>
        </w:rPr>
        <w:t> </w:t>
      </w:r>
      <w:r>
        <w:rPr>
          <w:rFonts w:ascii="Arial" w:hAnsi="Arial"/>
          <w:w w:val="85"/>
          <w:sz w:val="16"/>
        </w:rPr>
        <w:t>(CECG) (2007-2010);</w:t>
      </w:r>
      <w:r>
        <w:rPr>
          <w:rFonts w:ascii="Arial" w:hAnsi="Arial"/>
          <w:spacing w:val="-18"/>
          <w:w w:val="85"/>
          <w:sz w:val="16"/>
        </w:rPr>
        <w:t> </w:t>
      </w:r>
      <w:r>
        <w:rPr>
          <w:rFonts w:ascii="Arial" w:hAnsi="Arial"/>
          <w:w w:val="85"/>
          <w:sz w:val="16"/>
        </w:rPr>
        <w:t>Confederación</w:t>
      </w:r>
      <w:r>
        <w:rPr>
          <w:rFonts w:ascii="Arial" w:hAnsi="Arial"/>
          <w:spacing w:val="-18"/>
          <w:w w:val="85"/>
          <w:sz w:val="16"/>
        </w:rPr>
        <w:t> </w:t>
      </w:r>
      <w:r>
        <w:rPr>
          <w:rFonts w:ascii="Arial" w:hAnsi="Arial"/>
          <w:w w:val="85"/>
          <w:sz w:val="16"/>
        </w:rPr>
        <w:t>Nacional</w:t>
      </w:r>
      <w:r>
        <w:rPr>
          <w:rFonts w:ascii="Arial" w:hAnsi="Arial"/>
          <w:spacing w:val="-18"/>
          <w:w w:val="85"/>
          <w:sz w:val="16"/>
        </w:rPr>
        <w:t> </w:t>
      </w:r>
      <w:r>
        <w:rPr>
          <w:rFonts w:ascii="Arial" w:hAnsi="Arial"/>
          <w:w w:val="85"/>
          <w:sz w:val="16"/>
        </w:rPr>
        <w:t>de</w:t>
      </w:r>
      <w:r>
        <w:rPr>
          <w:rFonts w:ascii="Arial" w:hAnsi="Arial"/>
          <w:spacing w:val="-18"/>
          <w:w w:val="85"/>
          <w:sz w:val="16"/>
        </w:rPr>
        <w:t> </w:t>
      </w:r>
      <w:r>
        <w:rPr>
          <w:rFonts w:ascii="Arial" w:hAnsi="Arial"/>
          <w:w w:val="85"/>
          <w:sz w:val="16"/>
        </w:rPr>
        <w:t>Cámaras</w:t>
      </w:r>
      <w:r>
        <w:rPr>
          <w:rFonts w:ascii="Arial" w:hAnsi="Arial"/>
          <w:spacing w:val="-18"/>
          <w:w w:val="85"/>
          <w:sz w:val="16"/>
        </w:rPr>
        <w:t> </w:t>
      </w:r>
      <w:r>
        <w:rPr>
          <w:rFonts w:ascii="Arial" w:hAnsi="Arial"/>
          <w:w w:val="85"/>
          <w:sz w:val="16"/>
        </w:rPr>
        <w:t>de</w:t>
      </w:r>
      <w:r>
        <w:rPr>
          <w:rFonts w:ascii="Arial" w:hAnsi="Arial"/>
          <w:spacing w:val="-18"/>
          <w:w w:val="85"/>
          <w:sz w:val="16"/>
        </w:rPr>
        <w:t> </w:t>
      </w:r>
      <w:r>
        <w:rPr>
          <w:rFonts w:ascii="Arial" w:hAnsi="Arial"/>
          <w:w w:val="85"/>
          <w:sz w:val="16"/>
        </w:rPr>
        <w:t>Comercio;</w:t>
      </w:r>
      <w:r>
        <w:rPr>
          <w:rFonts w:ascii="Arial" w:hAnsi="Arial"/>
          <w:spacing w:val="-18"/>
          <w:w w:val="85"/>
          <w:sz w:val="16"/>
        </w:rPr>
        <w:t> </w:t>
      </w:r>
      <w:r>
        <w:rPr>
          <w:rFonts w:ascii="Arial" w:hAnsi="Arial"/>
          <w:w w:val="85"/>
          <w:sz w:val="16"/>
        </w:rPr>
        <w:t>Confederación</w:t>
      </w:r>
      <w:r>
        <w:rPr>
          <w:rFonts w:ascii="Arial" w:hAnsi="Arial"/>
          <w:spacing w:val="-18"/>
          <w:w w:val="85"/>
          <w:sz w:val="16"/>
        </w:rPr>
        <w:t> </w:t>
      </w:r>
      <w:r>
        <w:rPr>
          <w:rFonts w:ascii="Arial" w:hAnsi="Arial"/>
          <w:w w:val="85"/>
          <w:sz w:val="16"/>
        </w:rPr>
        <w:t>Patronal</w:t>
      </w:r>
      <w:r>
        <w:rPr>
          <w:rFonts w:ascii="Arial" w:hAnsi="Arial"/>
          <w:spacing w:val="-18"/>
          <w:w w:val="85"/>
          <w:sz w:val="16"/>
        </w:rPr>
        <w:t> </w:t>
      </w:r>
      <w:r>
        <w:rPr>
          <w:rFonts w:ascii="Arial" w:hAnsi="Arial"/>
          <w:w w:val="85"/>
          <w:sz w:val="16"/>
        </w:rPr>
        <w:t>de</w:t>
      </w:r>
      <w:r>
        <w:rPr>
          <w:rFonts w:ascii="Arial" w:hAnsi="Arial"/>
          <w:spacing w:val="-18"/>
          <w:w w:val="85"/>
          <w:sz w:val="16"/>
        </w:rPr>
        <w:t> </w:t>
      </w:r>
      <w:r>
        <w:rPr>
          <w:rFonts w:ascii="Arial" w:hAnsi="Arial"/>
          <w:w w:val="85"/>
          <w:sz w:val="16"/>
        </w:rPr>
        <w:t>la</w:t>
      </w:r>
      <w:r>
        <w:rPr>
          <w:rFonts w:ascii="Arial" w:hAnsi="Arial"/>
          <w:spacing w:val="-18"/>
          <w:w w:val="85"/>
          <w:sz w:val="16"/>
        </w:rPr>
        <w:t> </w:t>
      </w:r>
      <w:r>
        <w:rPr>
          <w:rFonts w:ascii="Arial" w:hAnsi="Arial"/>
          <w:w w:val="85"/>
          <w:sz w:val="16"/>
        </w:rPr>
        <w:t>República</w:t>
      </w:r>
      <w:r>
        <w:rPr>
          <w:rFonts w:ascii="Arial" w:hAnsi="Arial"/>
          <w:spacing w:val="-18"/>
          <w:w w:val="85"/>
          <w:sz w:val="16"/>
        </w:rPr>
        <w:t> </w:t>
      </w:r>
      <w:r>
        <w:rPr>
          <w:rFonts w:ascii="Arial" w:hAnsi="Arial"/>
          <w:w w:val="85"/>
          <w:sz w:val="16"/>
        </w:rPr>
        <w:t>Mexicana </w:t>
      </w:r>
      <w:r>
        <w:rPr>
          <w:rFonts w:ascii="Arial" w:hAnsi="Arial"/>
          <w:w w:val="80"/>
          <w:sz w:val="16"/>
        </w:rPr>
        <w:t>(COPARMEX); Centro de Investigación para el Desarrollo (CIDAC)</w:t>
      </w:r>
      <w:r>
        <w:rPr>
          <w:rFonts w:ascii="Arial" w:hAnsi="Arial"/>
          <w:spacing w:val="-16"/>
          <w:w w:val="80"/>
          <w:sz w:val="16"/>
        </w:rPr>
        <w:t> </w:t>
      </w:r>
      <w:r>
        <w:rPr>
          <w:rFonts w:ascii="Arial" w:hAnsi="Arial"/>
          <w:w w:val="80"/>
          <w:sz w:val="16"/>
        </w:rPr>
        <w:t>(2013).</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line="249" w:lineRule="auto" w:before="16" w:after="23"/>
        <w:ind w:left="188" w:right="469" w:firstLine="0"/>
        <w:jc w:val="left"/>
        <w:rPr>
          <w:rFonts w:ascii="Arial" w:hAnsi="Arial"/>
          <w:sz w:val="16"/>
        </w:rPr>
      </w:pPr>
      <w:r>
        <w:rPr>
          <w:rFonts w:ascii="Arial" w:hAnsi="Arial"/>
          <w:w w:val="85"/>
          <w:sz w:val="16"/>
        </w:rPr>
        <w:t>Nicaragua:</w:t>
      </w:r>
      <w:r>
        <w:rPr>
          <w:rFonts w:ascii="Arial" w:hAnsi="Arial"/>
          <w:spacing w:val="-23"/>
          <w:w w:val="85"/>
          <w:sz w:val="16"/>
        </w:rPr>
        <w:t> </w:t>
      </w:r>
      <w:r>
        <w:rPr>
          <w:rFonts w:ascii="Arial" w:hAnsi="Arial"/>
          <w:w w:val="85"/>
          <w:sz w:val="16"/>
        </w:rPr>
        <w:t>Cámara</w:t>
      </w:r>
      <w:r>
        <w:rPr>
          <w:rFonts w:ascii="Arial" w:hAnsi="Arial"/>
          <w:spacing w:val="-20"/>
          <w:w w:val="85"/>
          <w:sz w:val="16"/>
        </w:rPr>
        <w:t> </w:t>
      </w:r>
      <w:r>
        <w:rPr>
          <w:rFonts w:ascii="Arial" w:hAnsi="Arial"/>
          <w:w w:val="85"/>
          <w:sz w:val="16"/>
        </w:rPr>
        <w:t>de</w:t>
      </w:r>
      <w:r>
        <w:rPr>
          <w:rFonts w:ascii="Arial" w:hAnsi="Arial"/>
          <w:spacing w:val="-20"/>
          <w:w w:val="85"/>
          <w:sz w:val="16"/>
        </w:rPr>
        <w:t> </w:t>
      </w:r>
      <w:r>
        <w:rPr>
          <w:rFonts w:ascii="Arial" w:hAnsi="Arial"/>
          <w:w w:val="85"/>
          <w:sz w:val="16"/>
        </w:rPr>
        <w:t>Comercio</w:t>
      </w:r>
      <w:r>
        <w:rPr>
          <w:rFonts w:ascii="Arial" w:hAnsi="Arial"/>
          <w:spacing w:val="-20"/>
          <w:w w:val="85"/>
          <w:sz w:val="16"/>
        </w:rPr>
        <w:t> </w:t>
      </w:r>
      <w:r>
        <w:rPr>
          <w:rFonts w:ascii="Arial" w:hAnsi="Arial"/>
          <w:w w:val="85"/>
          <w:sz w:val="16"/>
        </w:rPr>
        <w:t>de</w:t>
      </w:r>
      <w:r>
        <w:rPr>
          <w:rFonts w:ascii="Arial" w:hAnsi="Arial"/>
          <w:spacing w:val="-20"/>
          <w:w w:val="85"/>
          <w:sz w:val="16"/>
        </w:rPr>
        <w:t> </w:t>
      </w:r>
      <w:r>
        <w:rPr>
          <w:rFonts w:ascii="Arial" w:hAnsi="Arial"/>
          <w:w w:val="85"/>
          <w:sz w:val="16"/>
        </w:rPr>
        <w:t>Nicaragua;</w:t>
      </w:r>
      <w:r>
        <w:rPr>
          <w:rFonts w:ascii="Arial" w:hAnsi="Arial"/>
          <w:spacing w:val="-20"/>
          <w:w w:val="85"/>
          <w:sz w:val="16"/>
        </w:rPr>
        <w:t> </w:t>
      </w:r>
      <w:r>
        <w:rPr>
          <w:rFonts w:ascii="Arial" w:hAnsi="Arial"/>
          <w:w w:val="85"/>
          <w:sz w:val="16"/>
        </w:rPr>
        <w:t>Consejo</w:t>
      </w:r>
      <w:r>
        <w:rPr>
          <w:rFonts w:ascii="Arial" w:hAnsi="Arial"/>
          <w:spacing w:val="-20"/>
          <w:w w:val="85"/>
          <w:sz w:val="16"/>
        </w:rPr>
        <w:t> </w:t>
      </w:r>
      <w:r>
        <w:rPr>
          <w:rFonts w:ascii="Arial" w:hAnsi="Arial"/>
          <w:w w:val="85"/>
          <w:sz w:val="16"/>
        </w:rPr>
        <w:t>Superior</w:t>
      </w:r>
      <w:r>
        <w:rPr>
          <w:rFonts w:ascii="Arial" w:hAnsi="Arial"/>
          <w:spacing w:val="-20"/>
          <w:w w:val="85"/>
          <w:sz w:val="16"/>
        </w:rPr>
        <w:t> </w:t>
      </w:r>
      <w:r>
        <w:rPr>
          <w:rFonts w:ascii="Arial" w:hAnsi="Arial"/>
          <w:w w:val="85"/>
          <w:sz w:val="16"/>
        </w:rPr>
        <w:t>de</w:t>
      </w:r>
      <w:r>
        <w:rPr>
          <w:rFonts w:ascii="Arial" w:hAnsi="Arial"/>
          <w:spacing w:val="-20"/>
          <w:w w:val="85"/>
          <w:sz w:val="16"/>
        </w:rPr>
        <w:t> </w:t>
      </w:r>
      <w:r>
        <w:rPr>
          <w:rFonts w:ascii="Arial" w:hAnsi="Arial"/>
          <w:w w:val="85"/>
          <w:sz w:val="16"/>
        </w:rPr>
        <w:t>la</w:t>
      </w:r>
      <w:r>
        <w:rPr>
          <w:rFonts w:ascii="Arial" w:hAnsi="Arial"/>
          <w:spacing w:val="-20"/>
          <w:w w:val="85"/>
          <w:sz w:val="16"/>
        </w:rPr>
        <w:t> </w:t>
      </w:r>
      <w:r>
        <w:rPr>
          <w:rFonts w:ascii="Arial" w:hAnsi="Arial"/>
          <w:w w:val="85"/>
          <w:sz w:val="16"/>
        </w:rPr>
        <w:t>Empresa</w:t>
      </w:r>
      <w:r>
        <w:rPr>
          <w:rFonts w:ascii="Arial" w:hAnsi="Arial"/>
          <w:spacing w:val="-20"/>
          <w:w w:val="85"/>
          <w:sz w:val="16"/>
        </w:rPr>
        <w:t> </w:t>
      </w:r>
      <w:r>
        <w:rPr>
          <w:rFonts w:ascii="Arial" w:hAnsi="Arial"/>
          <w:w w:val="85"/>
          <w:sz w:val="16"/>
        </w:rPr>
        <w:t>Privada</w:t>
      </w:r>
      <w:r>
        <w:rPr>
          <w:rFonts w:ascii="Arial" w:hAnsi="Arial"/>
          <w:spacing w:val="-20"/>
          <w:w w:val="85"/>
          <w:sz w:val="16"/>
        </w:rPr>
        <w:t> </w:t>
      </w:r>
      <w:r>
        <w:rPr>
          <w:rFonts w:ascii="Arial" w:hAnsi="Arial"/>
          <w:w w:val="85"/>
          <w:sz w:val="16"/>
        </w:rPr>
        <w:t>(COSEP)</w:t>
      </w:r>
      <w:r>
        <w:rPr>
          <w:rFonts w:ascii="Arial" w:hAnsi="Arial"/>
          <w:spacing w:val="-20"/>
          <w:w w:val="85"/>
          <w:sz w:val="16"/>
        </w:rPr>
        <w:t> </w:t>
      </w:r>
      <w:r>
        <w:rPr>
          <w:rFonts w:ascii="Arial" w:hAnsi="Arial"/>
          <w:w w:val="85"/>
          <w:sz w:val="16"/>
        </w:rPr>
        <w:t>(2007-2010); </w:t>
      </w:r>
      <w:r>
        <w:rPr>
          <w:rFonts w:ascii="Arial" w:hAnsi="Arial"/>
          <w:w w:val="80"/>
          <w:sz w:val="16"/>
        </w:rPr>
        <w:t>Fundación Panamericana para el Desarrollo</w:t>
      </w:r>
      <w:r>
        <w:rPr>
          <w:rFonts w:ascii="Arial" w:hAnsi="Arial"/>
          <w:spacing w:val="18"/>
          <w:w w:val="80"/>
          <w:sz w:val="16"/>
        </w:rPr>
        <w:t> </w:t>
      </w:r>
      <w:r>
        <w:rPr>
          <w:rFonts w:ascii="Arial" w:hAnsi="Arial"/>
          <w:w w:val="80"/>
          <w:sz w:val="16"/>
        </w:rPr>
        <w:t>(FUPAD).</w:t>
      </w:r>
    </w:p>
    <w:p>
      <w:pPr>
        <w:pStyle w:val="BodyText"/>
        <w:spacing w:line="20" w:lineRule="exact"/>
        <w:ind w:left="120"/>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line="249" w:lineRule="auto" w:before="16" w:after="18"/>
        <w:ind w:left="188" w:right="369" w:firstLine="0"/>
        <w:jc w:val="left"/>
        <w:rPr>
          <w:rFonts w:ascii="Arial" w:hAnsi="Arial"/>
          <w:sz w:val="16"/>
        </w:rPr>
      </w:pPr>
      <w:r>
        <w:rPr>
          <w:rFonts w:ascii="Arial" w:hAnsi="Arial"/>
          <w:w w:val="85"/>
          <w:sz w:val="16"/>
        </w:rPr>
        <w:t>Panamá:</w:t>
      </w:r>
      <w:r>
        <w:rPr>
          <w:rFonts w:ascii="Arial" w:hAnsi="Arial"/>
          <w:spacing w:val="-24"/>
          <w:w w:val="85"/>
          <w:sz w:val="16"/>
        </w:rPr>
        <w:t> </w:t>
      </w:r>
      <w:r>
        <w:rPr>
          <w:rFonts w:ascii="Arial" w:hAnsi="Arial"/>
          <w:w w:val="85"/>
          <w:sz w:val="16"/>
        </w:rPr>
        <w:t>Consejo</w:t>
      </w:r>
      <w:r>
        <w:rPr>
          <w:rFonts w:ascii="Arial" w:hAnsi="Arial"/>
          <w:spacing w:val="-22"/>
          <w:w w:val="85"/>
          <w:sz w:val="16"/>
        </w:rPr>
        <w:t> </w:t>
      </w:r>
      <w:r>
        <w:rPr>
          <w:rFonts w:ascii="Arial" w:hAnsi="Arial"/>
          <w:w w:val="85"/>
          <w:sz w:val="16"/>
        </w:rPr>
        <w:t>Nacional</w:t>
      </w:r>
      <w:r>
        <w:rPr>
          <w:rFonts w:ascii="Arial" w:hAnsi="Arial"/>
          <w:spacing w:val="-22"/>
          <w:w w:val="85"/>
          <w:sz w:val="16"/>
        </w:rPr>
        <w:t> </w:t>
      </w:r>
      <w:r>
        <w:rPr>
          <w:rFonts w:ascii="Arial" w:hAnsi="Arial"/>
          <w:w w:val="85"/>
          <w:sz w:val="16"/>
        </w:rPr>
        <w:t>de</w:t>
      </w:r>
      <w:r>
        <w:rPr>
          <w:rFonts w:ascii="Arial" w:hAnsi="Arial"/>
          <w:spacing w:val="-22"/>
          <w:w w:val="85"/>
          <w:sz w:val="16"/>
        </w:rPr>
        <w:t> </w:t>
      </w:r>
      <w:r>
        <w:rPr>
          <w:rFonts w:ascii="Arial" w:hAnsi="Arial"/>
          <w:w w:val="85"/>
          <w:sz w:val="16"/>
        </w:rPr>
        <w:t>la</w:t>
      </w:r>
      <w:r>
        <w:rPr>
          <w:rFonts w:ascii="Arial" w:hAnsi="Arial"/>
          <w:spacing w:val="-22"/>
          <w:w w:val="85"/>
          <w:sz w:val="16"/>
        </w:rPr>
        <w:t> </w:t>
      </w:r>
      <w:r>
        <w:rPr>
          <w:rFonts w:ascii="Arial" w:hAnsi="Arial"/>
          <w:w w:val="85"/>
          <w:sz w:val="16"/>
        </w:rPr>
        <w:t>Empresa</w:t>
      </w:r>
      <w:r>
        <w:rPr>
          <w:rFonts w:ascii="Arial" w:hAnsi="Arial"/>
          <w:spacing w:val="-22"/>
          <w:w w:val="85"/>
          <w:sz w:val="16"/>
        </w:rPr>
        <w:t> </w:t>
      </w:r>
      <w:r>
        <w:rPr>
          <w:rFonts w:ascii="Arial" w:hAnsi="Arial"/>
          <w:w w:val="85"/>
          <w:sz w:val="16"/>
        </w:rPr>
        <w:t>Privada</w:t>
      </w:r>
      <w:r>
        <w:rPr>
          <w:rFonts w:ascii="Arial" w:hAnsi="Arial"/>
          <w:spacing w:val="-22"/>
          <w:w w:val="85"/>
          <w:sz w:val="16"/>
        </w:rPr>
        <w:t> </w:t>
      </w:r>
      <w:r>
        <w:rPr>
          <w:rFonts w:ascii="Arial" w:hAnsi="Arial"/>
          <w:w w:val="85"/>
          <w:sz w:val="16"/>
        </w:rPr>
        <w:t>(CONEP)</w:t>
      </w:r>
      <w:r>
        <w:rPr>
          <w:rFonts w:ascii="Arial" w:hAnsi="Arial"/>
          <w:spacing w:val="-22"/>
          <w:w w:val="85"/>
          <w:sz w:val="16"/>
        </w:rPr>
        <w:t> </w:t>
      </w:r>
      <w:r>
        <w:rPr>
          <w:rFonts w:ascii="Arial" w:hAnsi="Arial"/>
          <w:w w:val="85"/>
          <w:sz w:val="16"/>
        </w:rPr>
        <w:t>(2009,</w:t>
      </w:r>
      <w:r>
        <w:rPr>
          <w:rFonts w:ascii="Arial" w:hAnsi="Arial"/>
          <w:spacing w:val="-25"/>
          <w:w w:val="85"/>
          <w:sz w:val="16"/>
        </w:rPr>
        <w:t> </w:t>
      </w:r>
      <w:r>
        <w:rPr>
          <w:rFonts w:ascii="Arial" w:hAnsi="Arial"/>
          <w:w w:val="85"/>
          <w:sz w:val="16"/>
        </w:rPr>
        <w:t>2010);</w:t>
      </w:r>
      <w:r>
        <w:rPr>
          <w:rFonts w:ascii="Arial" w:hAnsi="Arial"/>
          <w:spacing w:val="-24"/>
          <w:w w:val="85"/>
          <w:sz w:val="16"/>
        </w:rPr>
        <w:t> </w:t>
      </w:r>
      <w:r>
        <w:rPr>
          <w:rFonts w:ascii="Arial" w:hAnsi="Arial"/>
          <w:w w:val="85"/>
          <w:sz w:val="16"/>
        </w:rPr>
        <w:t>Asociación</w:t>
      </w:r>
      <w:r>
        <w:rPr>
          <w:rFonts w:ascii="Arial" w:hAnsi="Arial"/>
          <w:spacing w:val="-22"/>
          <w:w w:val="85"/>
          <w:sz w:val="16"/>
        </w:rPr>
        <w:t> </w:t>
      </w:r>
      <w:r>
        <w:rPr>
          <w:rFonts w:ascii="Arial" w:hAnsi="Arial"/>
          <w:w w:val="85"/>
          <w:sz w:val="16"/>
        </w:rPr>
        <w:t>Panameña</w:t>
      </w:r>
      <w:r>
        <w:rPr>
          <w:rFonts w:ascii="Arial" w:hAnsi="Arial"/>
          <w:spacing w:val="-22"/>
          <w:w w:val="85"/>
          <w:sz w:val="16"/>
        </w:rPr>
        <w:t> </w:t>
      </w:r>
      <w:r>
        <w:rPr>
          <w:rFonts w:ascii="Arial" w:hAnsi="Arial"/>
          <w:w w:val="85"/>
          <w:sz w:val="16"/>
        </w:rPr>
        <w:t>de</w:t>
      </w:r>
      <w:r>
        <w:rPr>
          <w:rFonts w:ascii="Arial" w:hAnsi="Arial"/>
          <w:spacing w:val="-22"/>
          <w:w w:val="85"/>
          <w:sz w:val="16"/>
        </w:rPr>
        <w:t> </w:t>
      </w:r>
      <w:r>
        <w:rPr>
          <w:rFonts w:ascii="Arial" w:hAnsi="Arial"/>
          <w:w w:val="85"/>
          <w:sz w:val="16"/>
        </w:rPr>
        <w:t>Ejecutivos</w:t>
      </w:r>
      <w:r>
        <w:rPr>
          <w:rFonts w:ascii="Arial" w:hAnsi="Arial"/>
          <w:spacing w:val="-22"/>
          <w:w w:val="85"/>
          <w:sz w:val="16"/>
        </w:rPr>
        <w:t> </w:t>
      </w:r>
      <w:r>
        <w:rPr>
          <w:rFonts w:ascii="Arial" w:hAnsi="Arial"/>
          <w:w w:val="85"/>
          <w:sz w:val="16"/>
        </w:rPr>
        <w:t>de </w:t>
      </w:r>
      <w:r>
        <w:rPr>
          <w:rFonts w:ascii="Arial" w:hAnsi="Arial"/>
          <w:w w:val="90"/>
          <w:sz w:val="16"/>
        </w:rPr>
        <w:t>Empresa.</w:t>
      </w:r>
    </w:p>
    <w:p>
      <w:pPr>
        <w:pStyle w:val="BodyText"/>
        <w:spacing w:line="20" w:lineRule="exact"/>
        <w:ind w:left="110"/>
        <w:rPr>
          <w:rFonts w:ascii="Arial"/>
          <w:sz w:val="2"/>
        </w:rPr>
      </w:pPr>
      <w:r>
        <w:rPr>
          <w:rFonts w:ascii="Arial"/>
          <w:sz w:val="2"/>
        </w:rPr>
        <w:pict>
          <v:group style="width:349.7pt;height:1pt;mso-position-horizontal-relative:char;mso-position-vertical-relative:line" coordorigin="0,0" coordsize="6994,20">
            <v:line style="position:absolute" from="10,10" to="6983,10" stroked="true" strokeweight="1pt" strokecolor="#000000"/>
          </v:group>
        </w:pict>
      </w:r>
      <w:r>
        <w:rPr>
          <w:rFonts w:ascii="Arial"/>
          <w:sz w:val="2"/>
        </w:rPr>
      </w:r>
    </w:p>
    <w:p>
      <w:pPr>
        <w:spacing w:after="0" w:line="20" w:lineRule="exact"/>
        <w:rPr>
          <w:rFonts w:ascii="Arial"/>
          <w:sz w:val="2"/>
        </w:rPr>
        <w:sectPr>
          <w:pgSz w:w="8790" w:h="12760"/>
          <w:pgMar w:header="697" w:footer="723" w:top="880" w:bottom="920" w:left="900" w:right="680"/>
        </w:sectPr>
      </w:pPr>
    </w:p>
    <w:p>
      <w:pPr>
        <w:pStyle w:val="BodyText"/>
        <w:rPr>
          <w:rFonts w:ascii="Arial"/>
          <w:sz w:val="20"/>
        </w:rPr>
      </w:pPr>
    </w:p>
    <w:p>
      <w:pPr>
        <w:pStyle w:val="BodyText"/>
        <w:spacing w:before="4"/>
        <w:rPr>
          <w:rFonts w:ascii="Arial"/>
          <w:sz w:val="18"/>
        </w:rPr>
      </w:pPr>
    </w:p>
    <w:p>
      <w:pPr>
        <w:pStyle w:val="BodyText"/>
        <w:spacing w:line="20" w:lineRule="exact"/>
        <w:ind w:left="103"/>
        <w:rPr>
          <w:rFonts w:ascii="Arial"/>
          <w:sz w:val="2"/>
        </w:rPr>
      </w:pPr>
      <w:r>
        <w:rPr>
          <w:rFonts w:ascii="Arial"/>
          <w:sz w:val="2"/>
        </w:rPr>
        <w:pict>
          <v:group style="width:349.7pt;height:1pt;mso-position-horizontal-relative:char;mso-position-vertical-relative:line" coordorigin="0,0" coordsize="6994,20">
            <v:line style="position:absolute" from="10,10" to="6983,10" stroked="true" strokeweight="1pt" strokecolor="#000000"/>
          </v:group>
        </w:pict>
      </w:r>
      <w:r>
        <w:rPr>
          <w:rFonts w:ascii="Arial"/>
          <w:sz w:val="2"/>
        </w:rPr>
      </w:r>
    </w:p>
    <w:p>
      <w:pPr>
        <w:spacing w:line="249" w:lineRule="auto" w:before="22" w:after="22"/>
        <w:ind w:left="181" w:right="886" w:firstLine="0"/>
        <w:jc w:val="left"/>
        <w:rPr>
          <w:rFonts w:ascii="Arial" w:hAnsi="Arial"/>
          <w:sz w:val="16"/>
        </w:rPr>
      </w:pPr>
      <w:r>
        <w:rPr>
          <w:rFonts w:ascii="Arial" w:hAnsi="Arial"/>
          <w:w w:val="85"/>
          <w:sz w:val="16"/>
        </w:rPr>
        <w:t>Paraguay:</w:t>
      </w:r>
      <w:r>
        <w:rPr>
          <w:rFonts w:ascii="Arial" w:hAnsi="Arial"/>
          <w:spacing w:val="-25"/>
          <w:w w:val="85"/>
          <w:sz w:val="16"/>
        </w:rPr>
        <w:t> </w:t>
      </w:r>
      <w:r>
        <w:rPr>
          <w:rFonts w:ascii="Arial" w:hAnsi="Arial"/>
          <w:w w:val="85"/>
          <w:sz w:val="16"/>
        </w:rPr>
        <w:t>Federación</w:t>
      </w:r>
      <w:r>
        <w:rPr>
          <w:rFonts w:ascii="Arial" w:hAnsi="Arial"/>
          <w:spacing w:val="-23"/>
          <w:w w:val="85"/>
          <w:sz w:val="16"/>
        </w:rPr>
        <w:t> </w:t>
      </w:r>
      <w:r>
        <w:rPr>
          <w:rFonts w:ascii="Arial" w:hAnsi="Arial"/>
          <w:w w:val="85"/>
          <w:sz w:val="16"/>
        </w:rPr>
        <w:t>de</w:t>
      </w:r>
      <w:r>
        <w:rPr>
          <w:rFonts w:ascii="Arial" w:hAnsi="Arial"/>
          <w:spacing w:val="-23"/>
          <w:w w:val="85"/>
          <w:sz w:val="16"/>
        </w:rPr>
        <w:t> </w:t>
      </w:r>
      <w:r>
        <w:rPr>
          <w:rFonts w:ascii="Arial" w:hAnsi="Arial"/>
          <w:w w:val="85"/>
          <w:sz w:val="16"/>
        </w:rPr>
        <w:t>la</w:t>
      </w:r>
      <w:r>
        <w:rPr>
          <w:rFonts w:ascii="Arial" w:hAnsi="Arial"/>
          <w:spacing w:val="-23"/>
          <w:w w:val="85"/>
          <w:sz w:val="16"/>
        </w:rPr>
        <w:t> </w:t>
      </w:r>
      <w:r>
        <w:rPr>
          <w:rFonts w:ascii="Arial" w:hAnsi="Arial"/>
          <w:w w:val="85"/>
          <w:sz w:val="16"/>
        </w:rPr>
        <w:t>Producción,</w:t>
      </w:r>
      <w:r>
        <w:rPr>
          <w:rFonts w:ascii="Arial" w:hAnsi="Arial"/>
          <w:spacing w:val="-25"/>
          <w:w w:val="85"/>
          <w:sz w:val="16"/>
        </w:rPr>
        <w:t> </w:t>
      </w:r>
      <w:r>
        <w:rPr>
          <w:rFonts w:ascii="Arial" w:hAnsi="Arial"/>
          <w:w w:val="85"/>
          <w:sz w:val="16"/>
        </w:rPr>
        <w:t>la</w:t>
      </w:r>
      <w:r>
        <w:rPr>
          <w:rFonts w:ascii="Arial" w:hAnsi="Arial"/>
          <w:spacing w:val="-23"/>
          <w:w w:val="85"/>
          <w:sz w:val="16"/>
        </w:rPr>
        <w:t> </w:t>
      </w:r>
      <w:r>
        <w:rPr>
          <w:rFonts w:ascii="Arial" w:hAnsi="Arial"/>
          <w:w w:val="85"/>
          <w:sz w:val="16"/>
        </w:rPr>
        <w:t>Industria</w:t>
      </w:r>
      <w:r>
        <w:rPr>
          <w:rFonts w:ascii="Arial" w:hAnsi="Arial"/>
          <w:spacing w:val="-23"/>
          <w:w w:val="85"/>
          <w:sz w:val="16"/>
        </w:rPr>
        <w:t> </w:t>
      </w:r>
      <w:r>
        <w:rPr>
          <w:rFonts w:ascii="Arial" w:hAnsi="Arial"/>
          <w:w w:val="85"/>
          <w:sz w:val="16"/>
        </w:rPr>
        <w:t>y</w:t>
      </w:r>
      <w:r>
        <w:rPr>
          <w:rFonts w:ascii="Arial" w:hAnsi="Arial"/>
          <w:spacing w:val="-23"/>
          <w:w w:val="85"/>
          <w:sz w:val="16"/>
        </w:rPr>
        <w:t> </w:t>
      </w:r>
      <w:r>
        <w:rPr>
          <w:rFonts w:ascii="Arial" w:hAnsi="Arial"/>
          <w:w w:val="85"/>
          <w:sz w:val="16"/>
        </w:rPr>
        <w:t>el</w:t>
      </w:r>
      <w:r>
        <w:rPr>
          <w:rFonts w:ascii="Arial" w:hAnsi="Arial"/>
          <w:spacing w:val="-23"/>
          <w:w w:val="85"/>
          <w:sz w:val="16"/>
        </w:rPr>
        <w:t> </w:t>
      </w:r>
      <w:r>
        <w:rPr>
          <w:rFonts w:ascii="Arial" w:hAnsi="Arial"/>
          <w:w w:val="85"/>
          <w:sz w:val="16"/>
        </w:rPr>
        <w:t>Comercio</w:t>
      </w:r>
      <w:r>
        <w:rPr>
          <w:rFonts w:ascii="Arial" w:hAnsi="Arial"/>
          <w:spacing w:val="-23"/>
          <w:w w:val="85"/>
          <w:sz w:val="16"/>
        </w:rPr>
        <w:t> </w:t>
      </w:r>
      <w:r>
        <w:rPr>
          <w:rFonts w:ascii="Arial" w:hAnsi="Arial"/>
          <w:w w:val="85"/>
          <w:sz w:val="16"/>
        </w:rPr>
        <w:t>(FEPRINCO);</w:t>
      </w:r>
      <w:r>
        <w:rPr>
          <w:rFonts w:ascii="Arial" w:hAnsi="Arial"/>
          <w:spacing w:val="-23"/>
          <w:w w:val="85"/>
          <w:sz w:val="16"/>
        </w:rPr>
        <w:t> </w:t>
      </w:r>
      <w:r>
        <w:rPr>
          <w:rFonts w:ascii="Arial" w:hAnsi="Arial"/>
          <w:w w:val="85"/>
          <w:sz w:val="16"/>
        </w:rPr>
        <w:t>Fundación</w:t>
      </w:r>
      <w:r>
        <w:rPr>
          <w:rFonts w:ascii="Arial" w:hAnsi="Arial"/>
          <w:spacing w:val="-23"/>
          <w:w w:val="85"/>
          <w:sz w:val="16"/>
        </w:rPr>
        <w:t> </w:t>
      </w:r>
      <w:r>
        <w:rPr>
          <w:rFonts w:ascii="Arial" w:hAnsi="Arial"/>
          <w:w w:val="85"/>
          <w:sz w:val="16"/>
        </w:rPr>
        <w:t>Paraguaya</w:t>
      </w:r>
      <w:r>
        <w:rPr>
          <w:rFonts w:ascii="Arial" w:hAnsi="Arial"/>
          <w:spacing w:val="-23"/>
          <w:w w:val="85"/>
          <w:sz w:val="16"/>
        </w:rPr>
        <w:t> </w:t>
      </w:r>
      <w:r>
        <w:rPr>
          <w:rFonts w:ascii="Arial" w:hAnsi="Arial"/>
          <w:w w:val="85"/>
          <w:sz w:val="16"/>
        </w:rPr>
        <w:t>de Cooperación</w:t>
      </w:r>
      <w:r>
        <w:rPr>
          <w:rFonts w:ascii="Arial" w:hAnsi="Arial"/>
          <w:spacing w:val="-22"/>
          <w:w w:val="85"/>
          <w:sz w:val="16"/>
        </w:rPr>
        <w:t> </w:t>
      </w:r>
      <w:r>
        <w:rPr>
          <w:rFonts w:ascii="Arial" w:hAnsi="Arial"/>
          <w:w w:val="85"/>
          <w:sz w:val="16"/>
        </w:rPr>
        <w:t>y</w:t>
      </w:r>
      <w:r>
        <w:rPr>
          <w:rFonts w:ascii="Arial" w:hAnsi="Arial"/>
          <w:spacing w:val="-22"/>
          <w:w w:val="85"/>
          <w:sz w:val="16"/>
        </w:rPr>
        <w:t> </w:t>
      </w:r>
      <w:r>
        <w:rPr>
          <w:rFonts w:ascii="Arial" w:hAnsi="Arial"/>
          <w:w w:val="85"/>
          <w:sz w:val="16"/>
        </w:rPr>
        <w:t>Desarrollo</w:t>
      </w:r>
      <w:r>
        <w:rPr>
          <w:rFonts w:ascii="Arial" w:hAnsi="Arial"/>
          <w:spacing w:val="-22"/>
          <w:w w:val="85"/>
          <w:sz w:val="16"/>
        </w:rPr>
        <w:t> </w:t>
      </w:r>
      <w:r>
        <w:rPr>
          <w:rFonts w:ascii="Arial" w:hAnsi="Arial"/>
          <w:w w:val="85"/>
          <w:sz w:val="16"/>
        </w:rPr>
        <w:t>(2010-2012);</w:t>
      </w:r>
      <w:r>
        <w:rPr>
          <w:rFonts w:ascii="Arial" w:hAnsi="Arial"/>
          <w:spacing w:val="-22"/>
          <w:w w:val="85"/>
          <w:sz w:val="16"/>
        </w:rPr>
        <w:t> </w:t>
      </w:r>
      <w:r>
        <w:rPr>
          <w:rFonts w:ascii="Arial" w:hAnsi="Arial"/>
          <w:w w:val="85"/>
          <w:sz w:val="16"/>
        </w:rPr>
        <w:t>Fundación</w:t>
      </w:r>
      <w:r>
        <w:rPr>
          <w:rFonts w:ascii="Arial" w:hAnsi="Arial"/>
          <w:spacing w:val="-22"/>
          <w:w w:val="85"/>
          <w:sz w:val="16"/>
        </w:rPr>
        <w:t> </w:t>
      </w:r>
      <w:r>
        <w:rPr>
          <w:rFonts w:ascii="Arial" w:hAnsi="Arial"/>
          <w:w w:val="85"/>
          <w:sz w:val="16"/>
        </w:rPr>
        <w:t>Desarrollo</w:t>
      </w:r>
      <w:r>
        <w:rPr>
          <w:rFonts w:ascii="Arial" w:hAnsi="Arial"/>
          <w:spacing w:val="-22"/>
          <w:w w:val="85"/>
          <w:sz w:val="16"/>
        </w:rPr>
        <w:t> </w:t>
      </w:r>
      <w:r>
        <w:rPr>
          <w:rFonts w:ascii="Arial" w:hAnsi="Arial"/>
          <w:w w:val="85"/>
          <w:sz w:val="16"/>
        </w:rPr>
        <w:t>en</w:t>
      </w:r>
      <w:r>
        <w:rPr>
          <w:rFonts w:ascii="Arial" w:hAnsi="Arial"/>
          <w:spacing w:val="-22"/>
          <w:w w:val="85"/>
          <w:sz w:val="16"/>
        </w:rPr>
        <w:t> </w:t>
      </w:r>
      <w:r>
        <w:rPr>
          <w:rFonts w:ascii="Arial" w:hAnsi="Arial"/>
          <w:w w:val="85"/>
          <w:sz w:val="16"/>
        </w:rPr>
        <w:t>Democracia</w:t>
      </w:r>
      <w:r>
        <w:rPr>
          <w:rFonts w:ascii="Arial" w:hAnsi="Arial"/>
          <w:spacing w:val="-22"/>
          <w:w w:val="85"/>
          <w:sz w:val="16"/>
        </w:rPr>
        <w:t> </w:t>
      </w:r>
      <w:r>
        <w:rPr>
          <w:rFonts w:ascii="Arial" w:hAnsi="Arial"/>
          <w:w w:val="85"/>
          <w:sz w:val="16"/>
        </w:rPr>
        <w:t>(DENDE)</w:t>
      </w:r>
      <w:r>
        <w:rPr>
          <w:rFonts w:ascii="Arial" w:hAnsi="Arial"/>
          <w:spacing w:val="-22"/>
          <w:w w:val="85"/>
          <w:sz w:val="16"/>
        </w:rPr>
        <w:t> </w:t>
      </w:r>
      <w:r>
        <w:rPr>
          <w:rFonts w:ascii="Arial" w:hAnsi="Arial"/>
          <w:w w:val="85"/>
          <w:sz w:val="16"/>
        </w:rPr>
        <w:t>(2008-2013).</w:t>
      </w:r>
    </w:p>
    <w:p>
      <w:pPr>
        <w:pStyle w:val="BodyText"/>
        <w:spacing w:line="20" w:lineRule="exact"/>
        <w:ind w:left="113"/>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line="249" w:lineRule="auto" w:before="17" w:after="22"/>
        <w:ind w:left="181" w:right="536" w:firstLine="0"/>
        <w:jc w:val="both"/>
        <w:rPr>
          <w:rFonts w:ascii="Arial" w:hAnsi="Arial"/>
          <w:sz w:val="16"/>
        </w:rPr>
      </w:pPr>
      <w:r>
        <w:rPr>
          <w:rFonts w:ascii="Arial" w:hAnsi="Arial"/>
          <w:w w:val="80"/>
          <w:sz w:val="16"/>
        </w:rPr>
        <w:t>Perú: Confederación Nacional de Instituciones Empresariales Privadas (CONFIEP); Instituto APOYO; Instituto de </w:t>
      </w:r>
      <w:r>
        <w:rPr>
          <w:rFonts w:ascii="Arial" w:hAnsi="Arial"/>
          <w:w w:val="85"/>
          <w:sz w:val="16"/>
        </w:rPr>
        <w:t>Economía</w:t>
      </w:r>
      <w:r>
        <w:rPr>
          <w:rFonts w:ascii="Arial" w:hAnsi="Arial"/>
          <w:spacing w:val="-17"/>
          <w:w w:val="85"/>
          <w:sz w:val="16"/>
        </w:rPr>
        <w:t> </w:t>
      </w:r>
      <w:r>
        <w:rPr>
          <w:rFonts w:ascii="Arial" w:hAnsi="Arial"/>
          <w:w w:val="85"/>
          <w:sz w:val="16"/>
        </w:rPr>
        <w:t>de</w:t>
      </w:r>
      <w:r>
        <w:rPr>
          <w:rFonts w:ascii="Arial" w:hAnsi="Arial"/>
          <w:spacing w:val="-17"/>
          <w:w w:val="85"/>
          <w:sz w:val="16"/>
        </w:rPr>
        <w:t> </w:t>
      </w:r>
      <w:r>
        <w:rPr>
          <w:rFonts w:ascii="Arial" w:hAnsi="Arial"/>
          <w:w w:val="85"/>
          <w:sz w:val="16"/>
        </w:rPr>
        <w:t>Libre</w:t>
      </w:r>
      <w:r>
        <w:rPr>
          <w:rFonts w:ascii="Arial" w:hAnsi="Arial"/>
          <w:spacing w:val="-17"/>
          <w:w w:val="85"/>
          <w:sz w:val="16"/>
        </w:rPr>
        <w:t> </w:t>
      </w:r>
      <w:r>
        <w:rPr>
          <w:rFonts w:ascii="Arial" w:hAnsi="Arial"/>
          <w:w w:val="85"/>
          <w:sz w:val="16"/>
        </w:rPr>
        <w:t>mercado</w:t>
      </w:r>
      <w:r>
        <w:rPr>
          <w:rFonts w:ascii="Arial" w:hAnsi="Arial"/>
          <w:spacing w:val="-17"/>
          <w:w w:val="85"/>
          <w:sz w:val="16"/>
        </w:rPr>
        <w:t> </w:t>
      </w:r>
      <w:r>
        <w:rPr>
          <w:rFonts w:ascii="Arial" w:hAnsi="Arial"/>
          <w:w w:val="85"/>
          <w:sz w:val="16"/>
        </w:rPr>
        <w:t>(IELM);</w:t>
      </w:r>
      <w:r>
        <w:rPr>
          <w:rFonts w:ascii="Arial" w:hAnsi="Arial"/>
          <w:spacing w:val="-17"/>
          <w:w w:val="85"/>
          <w:sz w:val="16"/>
        </w:rPr>
        <w:t> </w:t>
      </w:r>
      <w:r>
        <w:rPr>
          <w:rFonts w:ascii="Arial" w:hAnsi="Arial"/>
          <w:w w:val="85"/>
          <w:sz w:val="16"/>
        </w:rPr>
        <w:t>Instituto</w:t>
      </w:r>
      <w:r>
        <w:rPr>
          <w:rFonts w:ascii="Arial" w:hAnsi="Arial"/>
          <w:spacing w:val="-17"/>
          <w:w w:val="85"/>
          <w:sz w:val="16"/>
        </w:rPr>
        <w:t> </w:t>
      </w:r>
      <w:r>
        <w:rPr>
          <w:rFonts w:ascii="Arial" w:hAnsi="Arial"/>
          <w:w w:val="85"/>
          <w:sz w:val="16"/>
        </w:rPr>
        <w:t>para</w:t>
      </w:r>
      <w:r>
        <w:rPr>
          <w:rFonts w:ascii="Arial" w:hAnsi="Arial"/>
          <w:spacing w:val="-17"/>
          <w:w w:val="85"/>
          <w:sz w:val="16"/>
        </w:rPr>
        <w:t> </w:t>
      </w:r>
      <w:r>
        <w:rPr>
          <w:rFonts w:ascii="Arial" w:hAnsi="Arial"/>
          <w:w w:val="85"/>
          <w:sz w:val="16"/>
        </w:rPr>
        <w:t>la</w:t>
      </w:r>
      <w:r>
        <w:rPr>
          <w:rFonts w:ascii="Arial" w:hAnsi="Arial"/>
          <w:spacing w:val="-17"/>
          <w:w w:val="85"/>
          <w:sz w:val="16"/>
        </w:rPr>
        <w:t> </w:t>
      </w:r>
      <w:r>
        <w:rPr>
          <w:rFonts w:ascii="Arial" w:hAnsi="Arial"/>
          <w:w w:val="85"/>
          <w:sz w:val="16"/>
        </w:rPr>
        <w:t>Libertad</w:t>
      </w:r>
      <w:r>
        <w:rPr>
          <w:rFonts w:ascii="Arial" w:hAnsi="Arial"/>
          <w:spacing w:val="-17"/>
          <w:w w:val="85"/>
          <w:sz w:val="16"/>
        </w:rPr>
        <w:t> </w:t>
      </w:r>
      <w:r>
        <w:rPr>
          <w:rFonts w:ascii="Arial" w:hAnsi="Arial"/>
          <w:w w:val="85"/>
          <w:sz w:val="16"/>
        </w:rPr>
        <w:t>y</w:t>
      </w:r>
      <w:r>
        <w:rPr>
          <w:rFonts w:ascii="Arial" w:hAnsi="Arial"/>
          <w:spacing w:val="-17"/>
          <w:w w:val="85"/>
          <w:sz w:val="16"/>
        </w:rPr>
        <w:t> </w:t>
      </w:r>
      <w:r>
        <w:rPr>
          <w:rFonts w:ascii="Arial" w:hAnsi="Arial"/>
          <w:w w:val="85"/>
          <w:sz w:val="16"/>
        </w:rPr>
        <w:t>la</w:t>
      </w:r>
      <w:r>
        <w:rPr>
          <w:rFonts w:ascii="Arial" w:hAnsi="Arial"/>
          <w:spacing w:val="-17"/>
          <w:w w:val="85"/>
          <w:sz w:val="16"/>
        </w:rPr>
        <w:t> </w:t>
      </w:r>
      <w:r>
        <w:rPr>
          <w:rFonts w:ascii="Arial" w:hAnsi="Arial"/>
          <w:w w:val="85"/>
          <w:sz w:val="16"/>
        </w:rPr>
        <w:t>Democracia</w:t>
      </w:r>
      <w:r>
        <w:rPr>
          <w:rFonts w:ascii="Arial" w:hAnsi="Arial"/>
          <w:spacing w:val="-17"/>
          <w:w w:val="85"/>
          <w:sz w:val="16"/>
        </w:rPr>
        <w:t> </w:t>
      </w:r>
      <w:r>
        <w:rPr>
          <w:rFonts w:ascii="Arial" w:hAnsi="Arial"/>
          <w:w w:val="85"/>
          <w:sz w:val="16"/>
        </w:rPr>
        <w:t>(1984-2013);</w:t>
      </w:r>
      <w:r>
        <w:rPr>
          <w:rFonts w:ascii="Arial" w:hAnsi="Arial"/>
          <w:spacing w:val="-17"/>
          <w:w w:val="85"/>
          <w:sz w:val="16"/>
        </w:rPr>
        <w:t> </w:t>
      </w:r>
      <w:r>
        <w:rPr>
          <w:rFonts w:ascii="Arial" w:hAnsi="Arial"/>
          <w:w w:val="85"/>
          <w:sz w:val="16"/>
        </w:rPr>
        <w:t>Instituto</w:t>
      </w:r>
      <w:r>
        <w:rPr>
          <w:rFonts w:ascii="Arial" w:hAnsi="Arial"/>
          <w:spacing w:val="-17"/>
          <w:w w:val="85"/>
          <w:sz w:val="16"/>
        </w:rPr>
        <w:t> </w:t>
      </w:r>
      <w:r>
        <w:rPr>
          <w:rFonts w:ascii="Arial" w:hAnsi="Arial"/>
          <w:w w:val="85"/>
          <w:sz w:val="16"/>
        </w:rPr>
        <w:t>INVERTIR </w:t>
      </w:r>
      <w:r>
        <w:rPr>
          <w:rFonts w:ascii="Arial" w:hAnsi="Arial"/>
          <w:w w:val="80"/>
          <w:sz w:val="16"/>
        </w:rPr>
        <w:t>(2008-2013); PROCAPITALES; Universidad Peruana de Ciencias Aplicadas</w:t>
      </w:r>
      <w:r>
        <w:rPr>
          <w:rFonts w:ascii="Arial" w:hAnsi="Arial"/>
          <w:spacing w:val="-21"/>
          <w:w w:val="80"/>
          <w:sz w:val="16"/>
        </w:rPr>
        <w:t> </w:t>
      </w:r>
      <w:r>
        <w:rPr>
          <w:rFonts w:ascii="Arial" w:hAnsi="Arial"/>
          <w:w w:val="80"/>
          <w:sz w:val="16"/>
        </w:rPr>
        <w:t>(UPC).</w:t>
      </w:r>
    </w:p>
    <w:p>
      <w:pPr>
        <w:pStyle w:val="BodyText"/>
        <w:spacing w:line="20" w:lineRule="exact"/>
        <w:ind w:left="113"/>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line="249" w:lineRule="auto" w:before="17" w:after="22"/>
        <w:ind w:left="181" w:right="326" w:firstLine="0"/>
        <w:jc w:val="left"/>
        <w:rPr>
          <w:rFonts w:ascii="Arial" w:hAnsi="Arial"/>
          <w:sz w:val="16"/>
        </w:rPr>
      </w:pPr>
      <w:r>
        <w:rPr>
          <w:rFonts w:ascii="Arial" w:hAnsi="Arial"/>
          <w:w w:val="85"/>
          <w:sz w:val="16"/>
        </w:rPr>
        <w:t>Rep.</w:t>
      </w:r>
      <w:r>
        <w:rPr>
          <w:rFonts w:ascii="Arial" w:hAnsi="Arial"/>
          <w:spacing w:val="-17"/>
          <w:w w:val="85"/>
          <w:sz w:val="16"/>
        </w:rPr>
        <w:t> </w:t>
      </w:r>
      <w:r>
        <w:rPr>
          <w:rFonts w:ascii="Arial" w:hAnsi="Arial"/>
          <w:w w:val="85"/>
          <w:sz w:val="16"/>
        </w:rPr>
        <w:t>Dominicana:</w:t>
      </w:r>
      <w:r>
        <w:rPr>
          <w:rFonts w:ascii="Arial" w:hAnsi="Arial"/>
          <w:spacing w:val="-20"/>
          <w:w w:val="85"/>
          <w:sz w:val="16"/>
        </w:rPr>
        <w:t> </w:t>
      </w:r>
      <w:r>
        <w:rPr>
          <w:rFonts w:ascii="Arial" w:hAnsi="Arial"/>
          <w:w w:val="85"/>
          <w:sz w:val="16"/>
        </w:rPr>
        <w:t>APEC</w:t>
      </w:r>
      <w:r>
        <w:rPr>
          <w:rFonts w:ascii="Arial" w:hAnsi="Arial"/>
          <w:spacing w:val="-17"/>
          <w:w w:val="85"/>
          <w:sz w:val="16"/>
        </w:rPr>
        <w:t> </w:t>
      </w:r>
      <w:r>
        <w:rPr>
          <w:rFonts w:ascii="Arial" w:hAnsi="Arial"/>
          <w:w w:val="85"/>
          <w:sz w:val="16"/>
        </w:rPr>
        <w:t>Centro</w:t>
      </w:r>
      <w:r>
        <w:rPr>
          <w:rFonts w:ascii="Arial" w:hAnsi="Arial"/>
          <w:spacing w:val="-17"/>
          <w:w w:val="85"/>
          <w:sz w:val="16"/>
        </w:rPr>
        <w:t> </w:t>
      </w:r>
      <w:r>
        <w:rPr>
          <w:rFonts w:ascii="Arial" w:hAnsi="Arial"/>
          <w:w w:val="85"/>
          <w:sz w:val="16"/>
        </w:rPr>
        <w:t>de</w:t>
      </w:r>
      <w:r>
        <w:rPr>
          <w:rFonts w:ascii="Arial" w:hAnsi="Arial"/>
          <w:spacing w:val="-17"/>
          <w:w w:val="85"/>
          <w:sz w:val="16"/>
        </w:rPr>
        <w:t> </w:t>
      </w:r>
      <w:r>
        <w:rPr>
          <w:rFonts w:ascii="Arial" w:hAnsi="Arial"/>
          <w:w w:val="85"/>
          <w:sz w:val="16"/>
        </w:rPr>
        <w:t>Educación</w:t>
      </w:r>
      <w:r>
        <w:rPr>
          <w:rFonts w:ascii="Arial" w:hAnsi="Arial"/>
          <w:spacing w:val="-17"/>
          <w:w w:val="85"/>
          <w:sz w:val="16"/>
        </w:rPr>
        <w:t> </w:t>
      </w:r>
      <w:r>
        <w:rPr>
          <w:rFonts w:ascii="Arial" w:hAnsi="Arial"/>
          <w:w w:val="85"/>
          <w:sz w:val="16"/>
        </w:rPr>
        <w:t>a</w:t>
      </w:r>
      <w:r>
        <w:rPr>
          <w:rFonts w:ascii="Arial" w:hAnsi="Arial"/>
          <w:spacing w:val="-17"/>
          <w:w w:val="85"/>
          <w:sz w:val="16"/>
        </w:rPr>
        <w:t> </w:t>
      </w:r>
      <w:r>
        <w:rPr>
          <w:rFonts w:ascii="Arial" w:hAnsi="Arial"/>
          <w:w w:val="85"/>
          <w:sz w:val="16"/>
        </w:rPr>
        <w:t>Distancia;</w:t>
      </w:r>
      <w:r>
        <w:rPr>
          <w:rFonts w:ascii="Arial" w:hAnsi="Arial"/>
          <w:spacing w:val="-17"/>
          <w:w w:val="85"/>
          <w:sz w:val="16"/>
        </w:rPr>
        <w:t> </w:t>
      </w:r>
      <w:r>
        <w:rPr>
          <w:rFonts w:ascii="Arial" w:hAnsi="Arial"/>
          <w:i/>
          <w:w w:val="85"/>
          <w:sz w:val="16"/>
        </w:rPr>
        <w:t>Committee</w:t>
      </w:r>
      <w:r>
        <w:rPr>
          <w:rFonts w:ascii="Arial" w:hAnsi="Arial"/>
          <w:i/>
          <w:spacing w:val="-17"/>
          <w:w w:val="85"/>
          <w:sz w:val="16"/>
        </w:rPr>
        <w:t> </w:t>
      </w:r>
      <w:r>
        <w:rPr>
          <w:rFonts w:ascii="Arial" w:hAnsi="Arial"/>
          <w:i/>
          <w:w w:val="85"/>
          <w:sz w:val="16"/>
        </w:rPr>
        <w:t>for</w:t>
      </w:r>
      <w:r>
        <w:rPr>
          <w:rFonts w:ascii="Arial" w:hAnsi="Arial"/>
          <w:i/>
          <w:spacing w:val="-17"/>
          <w:w w:val="85"/>
          <w:sz w:val="16"/>
        </w:rPr>
        <w:t> </w:t>
      </w:r>
      <w:r>
        <w:rPr>
          <w:rFonts w:ascii="Arial" w:hAnsi="Arial"/>
          <w:i/>
          <w:w w:val="85"/>
          <w:sz w:val="16"/>
        </w:rPr>
        <w:t>Progress</w:t>
      </w:r>
      <w:r>
        <w:rPr>
          <w:rFonts w:ascii="Arial" w:hAnsi="Arial"/>
          <w:i/>
          <w:spacing w:val="-17"/>
          <w:w w:val="85"/>
          <w:sz w:val="16"/>
        </w:rPr>
        <w:t> </w:t>
      </w:r>
      <w:r>
        <w:rPr>
          <w:rFonts w:ascii="Arial" w:hAnsi="Arial"/>
          <w:i/>
          <w:w w:val="85"/>
          <w:sz w:val="16"/>
        </w:rPr>
        <w:t>in</w:t>
      </w:r>
      <w:r>
        <w:rPr>
          <w:rFonts w:ascii="Arial" w:hAnsi="Arial"/>
          <w:i/>
          <w:spacing w:val="-17"/>
          <w:w w:val="85"/>
          <w:sz w:val="16"/>
        </w:rPr>
        <w:t> </w:t>
      </w:r>
      <w:r>
        <w:rPr>
          <w:rFonts w:ascii="Arial" w:hAnsi="Arial"/>
          <w:i/>
          <w:w w:val="85"/>
          <w:sz w:val="16"/>
        </w:rPr>
        <w:t>Democracy</w:t>
      </w:r>
      <w:r>
        <w:rPr>
          <w:rFonts w:ascii="Arial" w:hAnsi="Arial"/>
          <w:w w:val="85"/>
          <w:sz w:val="16"/>
        </w:rPr>
        <w:t>;</w:t>
      </w:r>
      <w:r>
        <w:rPr>
          <w:rFonts w:ascii="Arial" w:hAnsi="Arial"/>
          <w:spacing w:val="-17"/>
          <w:w w:val="85"/>
          <w:sz w:val="16"/>
        </w:rPr>
        <w:t> </w:t>
      </w:r>
      <w:r>
        <w:rPr>
          <w:rFonts w:ascii="Arial" w:hAnsi="Arial"/>
          <w:i/>
          <w:w w:val="85"/>
          <w:sz w:val="16"/>
        </w:rPr>
        <w:t>Greater</w:t>
      </w:r>
      <w:r>
        <w:rPr>
          <w:rFonts w:ascii="Arial" w:hAnsi="Arial"/>
          <w:i/>
          <w:spacing w:val="-17"/>
          <w:w w:val="85"/>
          <w:sz w:val="16"/>
        </w:rPr>
        <w:t> </w:t>
      </w:r>
      <w:r>
        <w:rPr>
          <w:rFonts w:ascii="Arial" w:hAnsi="Arial"/>
          <w:i/>
          <w:w w:val="85"/>
          <w:sz w:val="16"/>
        </w:rPr>
        <w:t>Newark </w:t>
      </w:r>
      <w:r>
        <w:rPr>
          <w:rFonts w:ascii="Arial" w:hAnsi="Arial"/>
          <w:i/>
          <w:w w:val="85"/>
          <w:sz w:val="16"/>
        </w:rPr>
        <w:t>Chamber</w:t>
      </w:r>
      <w:r>
        <w:rPr>
          <w:rFonts w:ascii="Arial" w:hAnsi="Arial"/>
          <w:i/>
          <w:spacing w:val="-21"/>
          <w:w w:val="85"/>
          <w:sz w:val="16"/>
        </w:rPr>
        <w:t> </w:t>
      </w:r>
      <w:r>
        <w:rPr>
          <w:rFonts w:ascii="Arial" w:hAnsi="Arial"/>
          <w:i/>
          <w:w w:val="85"/>
          <w:sz w:val="16"/>
        </w:rPr>
        <w:t>of</w:t>
      </w:r>
      <w:r>
        <w:rPr>
          <w:rFonts w:ascii="Arial" w:hAnsi="Arial"/>
          <w:i/>
          <w:spacing w:val="-21"/>
          <w:w w:val="85"/>
          <w:sz w:val="16"/>
        </w:rPr>
        <w:t> </w:t>
      </w:r>
      <w:r>
        <w:rPr>
          <w:rFonts w:ascii="Arial" w:hAnsi="Arial"/>
          <w:i/>
          <w:w w:val="85"/>
          <w:sz w:val="16"/>
        </w:rPr>
        <w:t>Commerce</w:t>
      </w:r>
      <w:r>
        <w:rPr>
          <w:rFonts w:ascii="Arial" w:hAnsi="Arial"/>
          <w:w w:val="85"/>
          <w:sz w:val="16"/>
        </w:rPr>
        <w:t>;</w:t>
      </w:r>
      <w:r>
        <w:rPr>
          <w:rFonts w:ascii="Arial" w:hAnsi="Arial"/>
          <w:spacing w:val="-21"/>
          <w:w w:val="85"/>
          <w:sz w:val="16"/>
        </w:rPr>
        <w:t> </w:t>
      </w:r>
      <w:r>
        <w:rPr>
          <w:rFonts w:ascii="Arial" w:hAnsi="Arial"/>
          <w:w w:val="85"/>
          <w:sz w:val="16"/>
        </w:rPr>
        <w:t>Centro</w:t>
      </w:r>
      <w:r>
        <w:rPr>
          <w:rFonts w:ascii="Arial" w:hAnsi="Arial"/>
          <w:spacing w:val="-21"/>
          <w:w w:val="85"/>
          <w:sz w:val="16"/>
        </w:rPr>
        <w:t> </w:t>
      </w:r>
      <w:r>
        <w:rPr>
          <w:rFonts w:ascii="Arial" w:hAnsi="Arial"/>
          <w:w w:val="85"/>
          <w:sz w:val="16"/>
        </w:rPr>
        <w:t>de</w:t>
      </w:r>
      <w:r>
        <w:rPr>
          <w:rFonts w:ascii="Arial" w:hAnsi="Arial"/>
          <w:spacing w:val="-21"/>
          <w:w w:val="85"/>
          <w:sz w:val="16"/>
        </w:rPr>
        <w:t> </w:t>
      </w:r>
      <w:r>
        <w:rPr>
          <w:rFonts w:ascii="Arial" w:hAnsi="Arial"/>
          <w:w w:val="85"/>
          <w:sz w:val="16"/>
        </w:rPr>
        <w:t>Orientación</w:t>
      </w:r>
      <w:r>
        <w:rPr>
          <w:rFonts w:ascii="Arial" w:hAnsi="Arial"/>
          <w:spacing w:val="-21"/>
          <w:w w:val="85"/>
          <w:sz w:val="16"/>
        </w:rPr>
        <w:t> </w:t>
      </w:r>
      <w:r>
        <w:rPr>
          <w:rFonts w:ascii="Arial" w:hAnsi="Arial"/>
          <w:w w:val="85"/>
          <w:sz w:val="16"/>
        </w:rPr>
        <w:t>Económica.</w:t>
      </w:r>
    </w:p>
    <w:p>
      <w:pPr>
        <w:pStyle w:val="BodyText"/>
        <w:spacing w:line="20" w:lineRule="exact"/>
        <w:ind w:left="113"/>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before="17"/>
        <w:ind w:left="181" w:right="0" w:firstLine="0"/>
        <w:jc w:val="both"/>
        <w:rPr>
          <w:rFonts w:ascii="Arial" w:hAnsi="Arial"/>
          <w:sz w:val="16"/>
        </w:rPr>
      </w:pPr>
      <w:r>
        <w:rPr/>
        <w:pict>
          <v:group style="position:absolute;margin-left:39.685001pt;margin-top:11.514711pt;width:348.7pt;height:.5pt;mso-position-horizontal-relative:page;mso-position-vertical-relative:paragraph;z-index:6496;mso-wrap-distance-left:0;mso-wrap-distance-right:0" coordorigin="794,230" coordsize="6974,10">
            <v:line style="position:absolute" from="829,235" to="7747,235" stroked="true" strokeweight=".5pt" strokecolor="#000000">
              <v:stroke dashstyle="dash"/>
            </v:line>
            <v:line style="position:absolute" from="799,235" to="799,235" stroked="true" strokeweight=".5pt" strokecolor="#000000"/>
            <v:line style="position:absolute" from="7762,235" to="7762,235" stroked="true" strokeweight=".5pt" strokecolor="#000000"/>
            <w10:wrap type="topAndBottom"/>
          </v:group>
        </w:pict>
      </w:r>
      <w:r>
        <w:rPr>
          <w:rFonts w:ascii="Arial" w:hAnsi="Arial"/>
          <w:w w:val="85"/>
          <w:sz w:val="16"/>
        </w:rPr>
        <w:t>Uruguay: Centro para el Estudio de Asuntos Económicos y Sociales (CERES).</w:t>
      </w:r>
    </w:p>
    <w:p>
      <w:pPr>
        <w:spacing w:line="249" w:lineRule="auto" w:before="0" w:after="22"/>
        <w:ind w:left="181" w:right="158" w:firstLine="0"/>
        <w:jc w:val="left"/>
        <w:rPr>
          <w:rFonts w:ascii="Arial" w:hAnsi="Arial"/>
          <w:sz w:val="16"/>
        </w:rPr>
      </w:pPr>
      <w:r>
        <w:rPr>
          <w:rFonts w:ascii="Arial" w:hAnsi="Arial"/>
          <w:w w:val="85"/>
          <w:sz w:val="16"/>
        </w:rPr>
        <w:t>Venezuela: Centro de Divulgación del Conocimiento Económico para la Libertad (CEDICE) (2009-2013); Centro </w:t>
      </w:r>
      <w:r>
        <w:rPr>
          <w:rFonts w:ascii="Arial" w:hAnsi="Arial"/>
          <w:w w:val="80"/>
          <w:sz w:val="16"/>
        </w:rPr>
        <w:t>Empresarial de Conciliación y Arbitraje (CEDCA); Confederación Venezolana de Industriales (CONINDUSTRIA) (2008, </w:t>
      </w:r>
      <w:r>
        <w:rPr>
          <w:rFonts w:ascii="Arial" w:hAnsi="Arial"/>
          <w:w w:val="90"/>
          <w:sz w:val="16"/>
        </w:rPr>
        <w:t>2010);</w:t>
      </w:r>
      <w:r>
        <w:rPr>
          <w:rFonts w:ascii="Arial" w:hAnsi="Arial"/>
          <w:spacing w:val="-28"/>
          <w:w w:val="90"/>
          <w:sz w:val="16"/>
        </w:rPr>
        <w:t> </w:t>
      </w:r>
      <w:r>
        <w:rPr>
          <w:rFonts w:ascii="Arial" w:hAnsi="Arial"/>
          <w:w w:val="90"/>
          <w:sz w:val="16"/>
        </w:rPr>
        <w:t>Consejo</w:t>
      </w:r>
      <w:r>
        <w:rPr>
          <w:rFonts w:ascii="Arial" w:hAnsi="Arial"/>
          <w:spacing w:val="-28"/>
          <w:w w:val="90"/>
          <w:sz w:val="16"/>
        </w:rPr>
        <w:t> </w:t>
      </w:r>
      <w:r>
        <w:rPr>
          <w:rFonts w:ascii="Arial" w:hAnsi="Arial"/>
          <w:w w:val="90"/>
          <w:sz w:val="16"/>
        </w:rPr>
        <w:t>Nacional</w:t>
      </w:r>
      <w:r>
        <w:rPr>
          <w:rFonts w:ascii="Arial" w:hAnsi="Arial"/>
          <w:spacing w:val="-28"/>
          <w:w w:val="90"/>
          <w:sz w:val="16"/>
        </w:rPr>
        <w:t> </w:t>
      </w:r>
      <w:r>
        <w:rPr>
          <w:rFonts w:ascii="Arial" w:hAnsi="Arial"/>
          <w:w w:val="90"/>
          <w:sz w:val="16"/>
        </w:rPr>
        <w:t>del</w:t>
      </w:r>
      <w:r>
        <w:rPr>
          <w:rFonts w:ascii="Arial" w:hAnsi="Arial"/>
          <w:spacing w:val="-28"/>
          <w:w w:val="90"/>
          <w:sz w:val="16"/>
        </w:rPr>
        <w:t> </w:t>
      </w:r>
      <w:r>
        <w:rPr>
          <w:rFonts w:ascii="Arial" w:hAnsi="Arial"/>
          <w:w w:val="90"/>
          <w:sz w:val="16"/>
        </w:rPr>
        <w:t>Comercio</w:t>
      </w:r>
      <w:r>
        <w:rPr>
          <w:rFonts w:ascii="Arial" w:hAnsi="Arial"/>
          <w:spacing w:val="-28"/>
          <w:w w:val="90"/>
          <w:sz w:val="16"/>
        </w:rPr>
        <w:t> </w:t>
      </w:r>
      <w:r>
        <w:rPr>
          <w:rFonts w:ascii="Arial" w:hAnsi="Arial"/>
          <w:w w:val="90"/>
          <w:sz w:val="16"/>
        </w:rPr>
        <w:t>y</w:t>
      </w:r>
      <w:r>
        <w:rPr>
          <w:rFonts w:ascii="Arial" w:hAnsi="Arial"/>
          <w:spacing w:val="-28"/>
          <w:w w:val="90"/>
          <w:sz w:val="16"/>
        </w:rPr>
        <w:t> </w:t>
      </w:r>
      <w:r>
        <w:rPr>
          <w:rFonts w:ascii="Arial" w:hAnsi="Arial"/>
          <w:w w:val="90"/>
          <w:sz w:val="16"/>
        </w:rPr>
        <w:t>de</w:t>
      </w:r>
      <w:r>
        <w:rPr>
          <w:rFonts w:ascii="Arial" w:hAnsi="Arial"/>
          <w:spacing w:val="-28"/>
          <w:w w:val="90"/>
          <w:sz w:val="16"/>
        </w:rPr>
        <w:t> </w:t>
      </w:r>
      <w:r>
        <w:rPr>
          <w:rFonts w:ascii="Arial" w:hAnsi="Arial"/>
          <w:w w:val="90"/>
          <w:sz w:val="16"/>
        </w:rPr>
        <w:t>los</w:t>
      </w:r>
      <w:r>
        <w:rPr>
          <w:rFonts w:ascii="Arial" w:hAnsi="Arial"/>
          <w:spacing w:val="-28"/>
          <w:w w:val="90"/>
          <w:sz w:val="16"/>
        </w:rPr>
        <w:t> </w:t>
      </w:r>
      <w:r>
        <w:rPr>
          <w:rFonts w:ascii="Arial" w:hAnsi="Arial"/>
          <w:w w:val="90"/>
          <w:sz w:val="16"/>
        </w:rPr>
        <w:t>Servicios;</w:t>
      </w:r>
      <w:r>
        <w:rPr>
          <w:rFonts w:ascii="Arial" w:hAnsi="Arial"/>
          <w:spacing w:val="-28"/>
          <w:w w:val="90"/>
          <w:sz w:val="16"/>
        </w:rPr>
        <w:t> </w:t>
      </w:r>
      <w:r>
        <w:rPr>
          <w:rFonts w:ascii="Arial" w:hAnsi="Arial"/>
          <w:w w:val="90"/>
          <w:sz w:val="16"/>
        </w:rPr>
        <w:t>Liderazgo</w:t>
      </w:r>
      <w:r>
        <w:rPr>
          <w:rFonts w:ascii="Arial" w:hAnsi="Arial"/>
          <w:spacing w:val="-28"/>
          <w:w w:val="90"/>
          <w:sz w:val="16"/>
        </w:rPr>
        <w:t> </w:t>
      </w:r>
      <w:r>
        <w:rPr>
          <w:rFonts w:ascii="Arial" w:hAnsi="Arial"/>
          <w:w w:val="90"/>
          <w:sz w:val="16"/>
        </w:rPr>
        <w:t>y</w:t>
      </w:r>
      <w:r>
        <w:rPr>
          <w:rFonts w:ascii="Arial" w:hAnsi="Arial"/>
          <w:spacing w:val="-30"/>
          <w:w w:val="90"/>
          <w:sz w:val="16"/>
        </w:rPr>
        <w:t> </w:t>
      </w:r>
      <w:r>
        <w:rPr>
          <w:rFonts w:ascii="Arial" w:hAnsi="Arial"/>
          <w:w w:val="90"/>
          <w:sz w:val="16"/>
        </w:rPr>
        <w:t>Visión</w:t>
      </w:r>
      <w:r>
        <w:rPr>
          <w:rFonts w:ascii="Arial" w:hAnsi="Arial"/>
          <w:spacing w:val="-28"/>
          <w:w w:val="90"/>
          <w:sz w:val="16"/>
        </w:rPr>
        <w:t> </w:t>
      </w:r>
      <w:r>
        <w:rPr>
          <w:rFonts w:ascii="Arial" w:hAnsi="Arial"/>
          <w:spacing w:val="-3"/>
          <w:w w:val="90"/>
          <w:sz w:val="16"/>
        </w:rPr>
        <w:t>(LYV);</w:t>
      </w:r>
      <w:r>
        <w:rPr>
          <w:rFonts w:ascii="Arial" w:hAnsi="Arial"/>
          <w:spacing w:val="-30"/>
          <w:w w:val="90"/>
          <w:sz w:val="16"/>
        </w:rPr>
        <w:t> </w:t>
      </w:r>
      <w:r>
        <w:rPr>
          <w:rFonts w:ascii="Arial" w:hAnsi="Arial"/>
          <w:w w:val="90"/>
          <w:sz w:val="16"/>
        </w:rPr>
        <w:t>Asociación</w:t>
      </w:r>
      <w:r>
        <w:rPr>
          <w:rFonts w:ascii="Arial" w:hAnsi="Arial"/>
          <w:spacing w:val="-30"/>
          <w:w w:val="90"/>
          <w:sz w:val="16"/>
        </w:rPr>
        <w:t> </w:t>
      </w:r>
      <w:r>
        <w:rPr>
          <w:rFonts w:ascii="Arial" w:hAnsi="Arial"/>
          <w:w w:val="90"/>
          <w:sz w:val="16"/>
        </w:rPr>
        <w:t>Venezolana</w:t>
      </w:r>
      <w:r>
        <w:rPr>
          <w:rFonts w:ascii="Arial" w:hAnsi="Arial"/>
          <w:spacing w:val="-28"/>
          <w:w w:val="90"/>
          <w:sz w:val="16"/>
        </w:rPr>
        <w:t> </w:t>
      </w:r>
      <w:r>
        <w:rPr>
          <w:rFonts w:ascii="Arial" w:hAnsi="Arial"/>
          <w:w w:val="90"/>
          <w:sz w:val="16"/>
        </w:rPr>
        <w:t>de </w:t>
      </w:r>
      <w:r>
        <w:rPr>
          <w:rFonts w:ascii="Arial" w:hAnsi="Arial"/>
          <w:w w:val="75"/>
          <w:sz w:val="16"/>
        </w:rPr>
        <w:t>Ejecutivos </w:t>
      </w:r>
      <w:r>
        <w:rPr>
          <w:rFonts w:ascii="Arial" w:hAnsi="Arial"/>
          <w:spacing w:val="5"/>
          <w:w w:val="75"/>
          <w:sz w:val="16"/>
        </w:rPr>
        <w:t> </w:t>
      </w:r>
      <w:r>
        <w:rPr>
          <w:rFonts w:ascii="Arial" w:hAnsi="Arial"/>
          <w:w w:val="75"/>
          <w:sz w:val="16"/>
        </w:rPr>
        <w:t>(AVE).</w:t>
      </w:r>
    </w:p>
    <w:p>
      <w:pPr>
        <w:pStyle w:val="BodyText"/>
        <w:spacing w:line="20" w:lineRule="exact"/>
        <w:ind w:left="113"/>
        <w:rPr>
          <w:rFonts w:ascii="Arial"/>
          <w:sz w:val="2"/>
        </w:rPr>
      </w:pPr>
      <w:r>
        <w:rPr>
          <w:rFonts w:ascii="Arial"/>
          <w:sz w:val="2"/>
        </w:rPr>
        <w:pict>
          <v:group style="width:348.7pt;height:.5pt;mso-position-horizontal-relative:char;mso-position-vertical-relative:line" coordorigin="0,0" coordsize="6974,10">
            <v:line style="position:absolute" from="35,5" to="6953,5" stroked="true" strokeweight=".5pt" strokecolor="#000000">
              <v:stroke dashstyle="dash"/>
            </v:line>
            <v:line style="position:absolute" from="5,5" to="5,5" stroked="true" strokeweight=".5pt" strokecolor="#000000"/>
            <v:line style="position:absolute" from="6968,5" to="6968,5" stroked="true" strokeweight=".5pt" strokecolor="#000000"/>
          </v:group>
        </w:pict>
      </w:r>
      <w:r>
        <w:rPr>
          <w:rFonts w:ascii="Arial"/>
          <w:sz w:val="2"/>
        </w:rPr>
      </w:r>
    </w:p>
    <w:p>
      <w:pPr>
        <w:spacing w:before="17"/>
        <w:ind w:left="181" w:right="0" w:firstLine="0"/>
        <w:jc w:val="both"/>
        <w:rPr>
          <w:rFonts w:ascii="Arial" w:hAnsi="Arial"/>
          <w:sz w:val="16"/>
        </w:rPr>
      </w:pPr>
      <w:r>
        <w:rPr/>
        <w:pict>
          <v:group style="position:absolute;margin-left:39.685001pt;margin-top:11.520806pt;width:348.7pt;height:.5pt;mso-position-horizontal-relative:page;mso-position-vertical-relative:paragraph;z-index:6544;mso-wrap-distance-left:0;mso-wrap-distance-right:0" coordorigin="794,230" coordsize="6974,10">
            <v:line style="position:absolute" from="829,235" to="7747,235" stroked="true" strokeweight=".5pt" strokecolor="#000000">
              <v:stroke dashstyle="dash"/>
            </v:line>
            <v:line style="position:absolute" from="799,235" to="799,235" stroked="true" strokeweight=".5pt" strokecolor="#000000"/>
            <v:line style="position:absolute" from="7762,235" to="7762,235" stroked="true" strokeweight=".5pt" strokecolor="#000000"/>
            <w10:wrap type="topAndBottom"/>
          </v:group>
        </w:pict>
      </w:r>
      <w:r>
        <w:rPr>
          <w:rFonts w:ascii="Arial" w:hAnsi="Arial"/>
          <w:w w:val="85"/>
          <w:sz w:val="16"/>
        </w:rPr>
        <w:t>Varios países (Argentina, Bolivia, México, Nicaragua y Perú): Pro Mujer.</w:t>
      </w:r>
    </w:p>
    <w:p>
      <w:pPr>
        <w:spacing w:before="0" w:after="24"/>
        <w:ind w:left="181" w:right="0" w:firstLine="0"/>
        <w:jc w:val="both"/>
        <w:rPr>
          <w:rFonts w:ascii="Arial" w:hAnsi="Arial"/>
          <w:sz w:val="16"/>
        </w:rPr>
      </w:pPr>
      <w:r>
        <w:rPr>
          <w:rFonts w:ascii="Arial" w:hAnsi="Arial"/>
          <w:w w:val="80"/>
          <w:sz w:val="16"/>
        </w:rPr>
        <w:t>América Central: Federación de Entidades Privadas de Centroamérica y Panamá  (FEDEPRICAP).</w:t>
      </w:r>
    </w:p>
    <w:p>
      <w:pPr>
        <w:pStyle w:val="BodyText"/>
        <w:spacing w:line="20" w:lineRule="exact"/>
        <w:ind w:left="103"/>
        <w:rPr>
          <w:rFonts w:ascii="Arial"/>
          <w:sz w:val="2"/>
        </w:rPr>
      </w:pPr>
      <w:r>
        <w:rPr>
          <w:rFonts w:ascii="Arial"/>
          <w:sz w:val="2"/>
        </w:rPr>
        <w:pict>
          <v:group style="width:349.7pt;height:1pt;mso-position-horizontal-relative:char;mso-position-vertical-relative:line" coordorigin="0,0" coordsize="6994,20">
            <v:line style="position:absolute" from="10,10" to="6983,10" stroked="true" strokeweight="1pt" strokecolor="#000000"/>
          </v:group>
        </w:pict>
      </w:r>
      <w:r>
        <w:rPr>
          <w:rFonts w:ascii="Arial"/>
          <w:sz w:val="2"/>
        </w:rPr>
      </w:r>
    </w:p>
    <w:p>
      <w:pPr>
        <w:spacing w:line="249" w:lineRule="auto" w:before="44"/>
        <w:ind w:left="113" w:right="188" w:firstLine="0"/>
        <w:jc w:val="both"/>
        <w:rPr>
          <w:rFonts w:ascii="Arial" w:hAnsi="Arial"/>
          <w:sz w:val="14"/>
        </w:rPr>
      </w:pPr>
      <w:r>
        <w:rPr>
          <w:rFonts w:ascii="Arial" w:hAnsi="Arial"/>
          <w:w w:val="85"/>
          <w:sz w:val="14"/>
        </w:rPr>
        <w:t>Fuente:</w:t>
      </w:r>
      <w:r>
        <w:rPr>
          <w:rFonts w:ascii="Arial" w:hAnsi="Arial"/>
          <w:spacing w:val="-12"/>
          <w:w w:val="85"/>
          <w:sz w:val="14"/>
        </w:rPr>
        <w:t> </w:t>
      </w:r>
      <w:r>
        <w:rPr>
          <w:rFonts w:ascii="Arial" w:hAnsi="Arial"/>
          <w:w w:val="85"/>
          <w:sz w:val="14"/>
        </w:rPr>
        <w:t>Elaboración</w:t>
      </w:r>
      <w:r>
        <w:rPr>
          <w:rFonts w:ascii="Arial" w:hAnsi="Arial"/>
          <w:spacing w:val="-9"/>
          <w:w w:val="85"/>
          <w:sz w:val="14"/>
        </w:rPr>
        <w:t> </w:t>
      </w:r>
      <w:r>
        <w:rPr>
          <w:rFonts w:ascii="Arial" w:hAnsi="Arial"/>
          <w:w w:val="85"/>
          <w:sz w:val="14"/>
        </w:rPr>
        <w:t>del</w:t>
      </w:r>
      <w:r>
        <w:rPr>
          <w:rFonts w:ascii="Arial" w:hAnsi="Arial"/>
          <w:spacing w:val="-9"/>
          <w:w w:val="85"/>
          <w:sz w:val="14"/>
        </w:rPr>
        <w:t> </w:t>
      </w:r>
      <w:r>
        <w:rPr>
          <w:rFonts w:ascii="Arial" w:hAnsi="Arial"/>
          <w:w w:val="85"/>
          <w:sz w:val="14"/>
        </w:rPr>
        <w:t>grupo</w:t>
      </w:r>
      <w:r>
        <w:rPr>
          <w:rFonts w:ascii="Arial" w:hAnsi="Arial"/>
          <w:spacing w:val="-9"/>
          <w:w w:val="85"/>
          <w:sz w:val="14"/>
        </w:rPr>
        <w:t> </w:t>
      </w:r>
      <w:r>
        <w:rPr>
          <w:rFonts w:ascii="Arial" w:hAnsi="Arial"/>
          <w:w w:val="85"/>
          <w:sz w:val="14"/>
        </w:rPr>
        <w:t>de</w:t>
      </w:r>
      <w:r>
        <w:rPr>
          <w:rFonts w:ascii="Arial" w:hAnsi="Arial"/>
          <w:spacing w:val="-9"/>
          <w:w w:val="85"/>
          <w:sz w:val="14"/>
        </w:rPr>
        <w:t> </w:t>
      </w:r>
      <w:r>
        <w:rPr>
          <w:rFonts w:ascii="Arial" w:hAnsi="Arial"/>
          <w:w w:val="85"/>
          <w:sz w:val="14"/>
        </w:rPr>
        <w:t>investigación</w:t>
      </w:r>
      <w:r>
        <w:rPr>
          <w:rFonts w:ascii="Arial" w:hAnsi="Arial"/>
          <w:spacing w:val="-9"/>
          <w:w w:val="85"/>
          <w:sz w:val="14"/>
        </w:rPr>
        <w:t> </w:t>
      </w:r>
      <w:r>
        <w:rPr>
          <w:rFonts w:ascii="Arial" w:hAnsi="Arial"/>
          <w:w w:val="85"/>
          <w:sz w:val="14"/>
        </w:rPr>
        <w:t>a</w:t>
      </w:r>
      <w:r>
        <w:rPr>
          <w:rFonts w:ascii="Arial" w:hAnsi="Arial"/>
          <w:spacing w:val="-9"/>
          <w:w w:val="85"/>
          <w:sz w:val="14"/>
        </w:rPr>
        <w:t> </w:t>
      </w:r>
      <w:r>
        <w:rPr>
          <w:rFonts w:ascii="Arial" w:hAnsi="Arial"/>
          <w:w w:val="85"/>
          <w:sz w:val="14"/>
        </w:rPr>
        <w:t>partir</w:t>
      </w:r>
      <w:r>
        <w:rPr>
          <w:rFonts w:ascii="Arial" w:hAnsi="Arial"/>
          <w:spacing w:val="-9"/>
          <w:w w:val="85"/>
          <w:sz w:val="14"/>
        </w:rPr>
        <w:t> </w:t>
      </w:r>
      <w:r>
        <w:rPr>
          <w:rFonts w:ascii="Arial" w:hAnsi="Arial"/>
          <w:w w:val="85"/>
          <w:sz w:val="14"/>
        </w:rPr>
        <w:t>de:</w:t>
      </w:r>
      <w:r>
        <w:rPr>
          <w:rFonts w:ascii="Arial" w:hAnsi="Arial"/>
          <w:spacing w:val="-12"/>
          <w:w w:val="85"/>
          <w:sz w:val="14"/>
        </w:rPr>
        <w:t> </w:t>
      </w:r>
      <w:r>
        <w:rPr>
          <w:rFonts w:ascii="Arial" w:hAnsi="Arial"/>
          <w:w w:val="85"/>
          <w:sz w:val="14"/>
        </w:rPr>
        <w:t>a)</w:t>
      </w:r>
      <w:r>
        <w:rPr>
          <w:rFonts w:ascii="Arial" w:hAnsi="Arial"/>
          <w:spacing w:val="-9"/>
          <w:w w:val="85"/>
          <w:sz w:val="14"/>
        </w:rPr>
        <w:t> </w:t>
      </w:r>
      <w:r>
        <w:rPr>
          <w:rFonts w:ascii="Arial" w:hAnsi="Arial"/>
          <w:w w:val="85"/>
          <w:sz w:val="14"/>
        </w:rPr>
        <w:t>CIPE.</w:t>
      </w:r>
      <w:r>
        <w:rPr>
          <w:rFonts w:ascii="Arial" w:hAnsi="Arial"/>
          <w:spacing w:val="-12"/>
          <w:w w:val="85"/>
          <w:sz w:val="14"/>
        </w:rPr>
        <w:t> </w:t>
      </w:r>
      <w:r>
        <w:rPr>
          <w:rFonts w:ascii="Arial" w:hAnsi="Arial"/>
          <w:i/>
          <w:w w:val="85"/>
          <w:sz w:val="14"/>
        </w:rPr>
        <w:t>Global</w:t>
      </w:r>
      <w:r>
        <w:rPr>
          <w:rFonts w:ascii="Arial" w:hAnsi="Arial"/>
          <w:i/>
          <w:spacing w:val="-9"/>
          <w:w w:val="85"/>
          <w:sz w:val="14"/>
        </w:rPr>
        <w:t> </w:t>
      </w:r>
      <w:r>
        <w:rPr>
          <w:rFonts w:ascii="Arial" w:hAnsi="Arial"/>
          <w:i/>
          <w:w w:val="85"/>
          <w:sz w:val="14"/>
        </w:rPr>
        <w:t>Partners</w:t>
      </w:r>
      <w:r>
        <w:rPr>
          <w:rFonts w:ascii="Arial" w:hAnsi="Arial"/>
          <w:i/>
          <w:spacing w:val="-9"/>
          <w:w w:val="85"/>
          <w:sz w:val="14"/>
        </w:rPr>
        <w:t> </w:t>
      </w:r>
      <w:r>
        <w:rPr>
          <w:rFonts w:ascii="Arial" w:hAnsi="Arial"/>
          <w:w w:val="85"/>
          <w:sz w:val="14"/>
        </w:rPr>
        <w:t>1984-2003,</w:t>
      </w:r>
      <w:r>
        <w:rPr>
          <w:rFonts w:ascii="Arial" w:hAnsi="Arial"/>
          <w:spacing w:val="-12"/>
          <w:w w:val="85"/>
          <w:sz w:val="14"/>
        </w:rPr>
        <w:t> </w:t>
      </w:r>
      <w:r>
        <w:rPr>
          <w:rFonts w:ascii="Arial" w:hAnsi="Arial"/>
          <w:w w:val="85"/>
          <w:sz w:val="14"/>
        </w:rPr>
        <w:t>en</w:t>
      </w:r>
      <w:r>
        <w:rPr>
          <w:rFonts w:ascii="Arial" w:hAnsi="Arial"/>
          <w:spacing w:val="-9"/>
          <w:w w:val="85"/>
          <w:sz w:val="14"/>
        </w:rPr>
        <w:t> </w:t>
      </w:r>
      <w:hyperlink r:id="rId351">
        <w:r>
          <w:rPr>
            <w:rFonts w:ascii="Arial" w:hAnsi="Arial"/>
            <w:w w:val="85"/>
            <w:sz w:val="14"/>
          </w:rPr>
          <w:t>&lt;http://www.cipe.org/publications/</w:t>
        </w:r>
      </w:hyperlink>
      <w:r>
        <w:rPr>
          <w:rFonts w:ascii="Arial" w:hAnsi="Arial"/>
          <w:w w:val="85"/>
          <w:sz w:val="14"/>
        </w:rPr>
        <w:t> report/archives/2003/Financials.pdf&gt;;</w:t>
      </w:r>
      <w:r>
        <w:rPr>
          <w:rFonts w:ascii="Arial" w:hAnsi="Arial"/>
          <w:spacing w:val="-5"/>
          <w:w w:val="85"/>
          <w:sz w:val="14"/>
        </w:rPr>
        <w:t> </w:t>
      </w:r>
      <w:r>
        <w:rPr>
          <w:rFonts w:ascii="Arial" w:hAnsi="Arial"/>
          <w:w w:val="85"/>
          <w:sz w:val="14"/>
        </w:rPr>
        <w:t>b)</w:t>
      </w:r>
      <w:r>
        <w:rPr>
          <w:rFonts w:ascii="Arial" w:hAnsi="Arial"/>
          <w:spacing w:val="-5"/>
          <w:w w:val="85"/>
          <w:sz w:val="14"/>
        </w:rPr>
        <w:t> </w:t>
      </w:r>
      <w:r>
        <w:rPr>
          <w:rFonts w:ascii="Arial" w:hAnsi="Arial"/>
          <w:w w:val="85"/>
          <w:sz w:val="14"/>
        </w:rPr>
        <w:t>CIPE.</w:t>
      </w:r>
      <w:r>
        <w:rPr>
          <w:rFonts w:ascii="Arial" w:hAnsi="Arial"/>
          <w:spacing w:val="-10"/>
          <w:w w:val="85"/>
          <w:sz w:val="14"/>
        </w:rPr>
        <w:t> </w:t>
      </w:r>
      <w:r>
        <w:rPr>
          <w:rFonts w:ascii="Arial" w:hAnsi="Arial"/>
          <w:i/>
          <w:w w:val="85"/>
          <w:sz w:val="14"/>
        </w:rPr>
        <w:t>Annual</w:t>
      </w:r>
      <w:r>
        <w:rPr>
          <w:rFonts w:ascii="Arial" w:hAnsi="Arial"/>
          <w:i/>
          <w:spacing w:val="-5"/>
          <w:w w:val="85"/>
          <w:sz w:val="14"/>
        </w:rPr>
        <w:t> </w:t>
      </w:r>
      <w:r>
        <w:rPr>
          <w:rFonts w:ascii="Arial" w:hAnsi="Arial"/>
          <w:i/>
          <w:w w:val="85"/>
          <w:sz w:val="14"/>
        </w:rPr>
        <w:t>Report</w:t>
      </w:r>
      <w:r>
        <w:rPr>
          <w:rFonts w:ascii="Arial" w:hAnsi="Arial"/>
          <w:i/>
          <w:spacing w:val="-5"/>
          <w:w w:val="85"/>
          <w:sz w:val="14"/>
        </w:rPr>
        <w:t> </w:t>
      </w:r>
      <w:r>
        <w:rPr>
          <w:rFonts w:ascii="Arial" w:hAnsi="Arial"/>
          <w:w w:val="85"/>
          <w:sz w:val="14"/>
        </w:rPr>
        <w:t>2004,</w:t>
      </w:r>
      <w:r>
        <w:rPr>
          <w:rFonts w:ascii="Arial" w:hAnsi="Arial"/>
          <w:spacing w:val="-10"/>
          <w:w w:val="85"/>
          <w:sz w:val="14"/>
        </w:rPr>
        <w:t> </w:t>
      </w:r>
      <w:r>
        <w:rPr>
          <w:rFonts w:ascii="Arial" w:hAnsi="Arial"/>
          <w:w w:val="85"/>
          <w:sz w:val="14"/>
        </w:rPr>
        <w:t>2005,</w:t>
      </w:r>
      <w:r>
        <w:rPr>
          <w:rFonts w:ascii="Arial" w:hAnsi="Arial"/>
          <w:spacing w:val="-10"/>
          <w:w w:val="85"/>
          <w:sz w:val="14"/>
        </w:rPr>
        <w:t> </w:t>
      </w:r>
      <w:r>
        <w:rPr>
          <w:rFonts w:ascii="Arial" w:hAnsi="Arial"/>
          <w:w w:val="85"/>
          <w:sz w:val="14"/>
        </w:rPr>
        <w:t>2006,</w:t>
      </w:r>
      <w:r>
        <w:rPr>
          <w:rFonts w:ascii="Arial" w:hAnsi="Arial"/>
          <w:spacing w:val="-10"/>
          <w:w w:val="85"/>
          <w:sz w:val="14"/>
        </w:rPr>
        <w:t> </w:t>
      </w:r>
      <w:r>
        <w:rPr>
          <w:rFonts w:ascii="Arial" w:hAnsi="Arial"/>
          <w:w w:val="85"/>
          <w:sz w:val="14"/>
        </w:rPr>
        <w:t>2007,</w:t>
      </w:r>
      <w:r>
        <w:rPr>
          <w:rFonts w:ascii="Arial" w:hAnsi="Arial"/>
          <w:spacing w:val="-10"/>
          <w:w w:val="85"/>
          <w:sz w:val="14"/>
        </w:rPr>
        <w:t> </w:t>
      </w:r>
      <w:r>
        <w:rPr>
          <w:rFonts w:ascii="Arial" w:hAnsi="Arial"/>
          <w:w w:val="85"/>
          <w:sz w:val="14"/>
        </w:rPr>
        <w:t>2009,</w:t>
      </w:r>
      <w:r>
        <w:rPr>
          <w:rFonts w:ascii="Arial" w:hAnsi="Arial"/>
          <w:spacing w:val="-10"/>
          <w:w w:val="85"/>
          <w:sz w:val="14"/>
        </w:rPr>
        <w:t> </w:t>
      </w:r>
      <w:r>
        <w:rPr>
          <w:rFonts w:ascii="Arial" w:hAnsi="Arial"/>
          <w:w w:val="85"/>
          <w:sz w:val="14"/>
        </w:rPr>
        <w:t>2010,</w:t>
      </w:r>
      <w:r>
        <w:rPr>
          <w:rFonts w:ascii="Arial" w:hAnsi="Arial"/>
          <w:spacing w:val="-10"/>
          <w:w w:val="85"/>
          <w:sz w:val="14"/>
        </w:rPr>
        <w:t> </w:t>
      </w:r>
      <w:r>
        <w:rPr>
          <w:rFonts w:ascii="Arial" w:hAnsi="Arial"/>
          <w:w w:val="85"/>
          <w:sz w:val="14"/>
        </w:rPr>
        <w:t>2011,</w:t>
      </w:r>
      <w:r>
        <w:rPr>
          <w:rFonts w:ascii="Arial" w:hAnsi="Arial"/>
          <w:spacing w:val="-10"/>
          <w:w w:val="85"/>
          <w:sz w:val="14"/>
        </w:rPr>
        <w:t> </w:t>
      </w:r>
      <w:r>
        <w:rPr>
          <w:rFonts w:ascii="Arial" w:hAnsi="Arial"/>
          <w:w w:val="85"/>
          <w:sz w:val="14"/>
        </w:rPr>
        <w:t>2012</w:t>
      </w:r>
      <w:r>
        <w:rPr>
          <w:rFonts w:ascii="Arial" w:hAnsi="Arial"/>
          <w:spacing w:val="-5"/>
          <w:w w:val="85"/>
          <w:sz w:val="14"/>
        </w:rPr>
        <w:t> </w:t>
      </w:r>
      <w:r>
        <w:rPr>
          <w:rFonts w:ascii="Arial" w:hAnsi="Arial"/>
          <w:w w:val="85"/>
          <w:sz w:val="14"/>
        </w:rPr>
        <w:t>y</w:t>
      </w:r>
      <w:r>
        <w:rPr>
          <w:rFonts w:ascii="Arial" w:hAnsi="Arial"/>
          <w:spacing w:val="-5"/>
          <w:w w:val="85"/>
          <w:sz w:val="14"/>
        </w:rPr>
        <w:t> </w:t>
      </w:r>
      <w:r>
        <w:rPr>
          <w:rFonts w:ascii="Arial" w:hAnsi="Arial"/>
          <w:w w:val="85"/>
          <w:sz w:val="14"/>
        </w:rPr>
        <w:t>2013;</w:t>
      </w:r>
      <w:r>
        <w:rPr>
          <w:rFonts w:ascii="Arial" w:hAnsi="Arial"/>
          <w:spacing w:val="-5"/>
          <w:w w:val="85"/>
          <w:sz w:val="14"/>
        </w:rPr>
        <w:t> </w:t>
      </w:r>
      <w:r>
        <w:rPr>
          <w:rFonts w:ascii="Arial" w:hAnsi="Arial"/>
          <w:w w:val="85"/>
          <w:sz w:val="14"/>
        </w:rPr>
        <w:t>(1)</w:t>
      </w:r>
      <w:r>
        <w:rPr>
          <w:rFonts w:ascii="Arial" w:hAnsi="Arial"/>
          <w:spacing w:val="-5"/>
          <w:w w:val="85"/>
          <w:sz w:val="14"/>
        </w:rPr>
        <w:t> </w:t>
      </w:r>
      <w:r>
        <w:rPr>
          <w:rFonts w:ascii="Arial" w:hAnsi="Arial"/>
          <w:w w:val="85"/>
          <w:sz w:val="14"/>
        </w:rPr>
        <w:t>Parcerias que</w:t>
      </w:r>
      <w:r>
        <w:rPr>
          <w:rFonts w:ascii="Arial" w:hAnsi="Arial"/>
          <w:spacing w:val="-8"/>
          <w:w w:val="85"/>
          <w:sz w:val="14"/>
        </w:rPr>
        <w:t> </w:t>
      </w:r>
      <w:r>
        <w:rPr>
          <w:rFonts w:ascii="Arial" w:hAnsi="Arial"/>
          <w:w w:val="85"/>
          <w:sz w:val="14"/>
        </w:rPr>
        <w:t>estaban</w:t>
      </w:r>
      <w:r>
        <w:rPr>
          <w:rFonts w:ascii="Arial" w:hAnsi="Arial"/>
          <w:spacing w:val="-8"/>
          <w:w w:val="85"/>
          <w:sz w:val="14"/>
        </w:rPr>
        <w:t> </w:t>
      </w:r>
      <w:r>
        <w:rPr>
          <w:rFonts w:ascii="Arial" w:hAnsi="Arial"/>
          <w:w w:val="85"/>
          <w:sz w:val="14"/>
        </w:rPr>
        <w:t>vigentes</w:t>
      </w:r>
      <w:r>
        <w:rPr>
          <w:rFonts w:ascii="Arial" w:hAnsi="Arial"/>
          <w:spacing w:val="-8"/>
          <w:w w:val="85"/>
          <w:sz w:val="14"/>
        </w:rPr>
        <w:t> </w:t>
      </w:r>
      <w:r>
        <w:rPr>
          <w:rFonts w:ascii="Arial" w:hAnsi="Arial"/>
          <w:w w:val="85"/>
          <w:sz w:val="14"/>
        </w:rPr>
        <w:t>en</w:t>
      </w:r>
      <w:r>
        <w:rPr>
          <w:rFonts w:ascii="Arial" w:hAnsi="Arial"/>
          <w:spacing w:val="-8"/>
          <w:w w:val="85"/>
          <w:sz w:val="14"/>
        </w:rPr>
        <w:t> </w:t>
      </w:r>
      <w:r>
        <w:rPr>
          <w:rFonts w:ascii="Arial" w:hAnsi="Arial"/>
          <w:w w:val="85"/>
          <w:sz w:val="14"/>
        </w:rPr>
        <w:t>el</w:t>
      </w:r>
      <w:r>
        <w:rPr>
          <w:rFonts w:ascii="Arial" w:hAnsi="Arial"/>
          <w:spacing w:val="-8"/>
          <w:w w:val="85"/>
          <w:sz w:val="14"/>
        </w:rPr>
        <w:t> </w:t>
      </w:r>
      <w:r>
        <w:rPr>
          <w:rFonts w:ascii="Arial" w:hAnsi="Arial"/>
          <w:w w:val="85"/>
          <w:sz w:val="14"/>
        </w:rPr>
        <w:t>período</w:t>
      </w:r>
      <w:r>
        <w:rPr>
          <w:rFonts w:ascii="Arial" w:hAnsi="Arial"/>
          <w:spacing w:val="-8"/>
          <w:w w:val="85"/>
          <w:sz w:val="14"/>
        </w:rPr>
        <w:t> </w:t>
      </w:r>
      <w:r>
        <w:rPr>
          <w:rFonts w:ascii="Arial" w:hAnsi="Arial"/>
          <w:w w:val="85"/>
          <w:sz w:val="14"/>
        </w:rPr>
        <w:t>2009-2011;</w:t>
      </w:r>
      <w:r>
        <w:rPr>
          <w:rFonts w:ascii="Arial" w:hAnsi="Arial"/>
          <w:spacing w:val="-8"/>
          <w:w w:val="85"/>
          <w:sz w:val="14"/>
        </w:rPr>
        <w:t> </w:t>
      </w:r>
      <w:r>
        <w:rPr>
          <w:rFonts w:ascii="Arial" w:hAnsi="Arial"/>
          <w:w w:val="85"/>
          <w:sz w:val="14"/>
        </w:rPr>
        <w:t>(2)</w:t>
      </w:r>
      <w:r>
        <w:rPr>
          <w:rFonts w:ascii="Arial" w:hAnsi="Arial"/>
          <w:spacing w:val="-8"/>
          <w:w w:val="85"/>
          <w:sz w:val="14"/>
        </w:rPr>
        <w:t> </w:t>
      </w:r>
      <w:r>
        <w:rPr>
          <w:rFonts w:ascii="Arial" w:hAnsi="Arial"/>
          <w:w w:val="85"/>
          <w:sz w:val="14"/>
        </w:rPr>
        <w:t>Parcerias</w:t>
      </w:r>
      <w:r>
        <w:rPr>
          <w:rFonts w:ascii="Arial" w:hAnsi="Arial"/>
          <w:spacing w:val="-8"/>
          <w:w w:val="85"/>
          <w:sz w:val="14"/>
        </w:rPr>
        <w:t> </w:t>
      </w:r>
      <w:r>
        <w:rPr>
          <w:rFonts w:ascii="Arial" w:hAnsi="Arial"/>
          <w:w w:val="85"/>
          <w:sz w:val="14"/>
        </w:rPr>
        <w:t>que</w:t>
      </w:r>
      <w:r>
        <w:rPr>
          <w:rFonts w:ascii="Arial" w:hAnsi="Arial"/>
          <w:spacing w:val="-8"/>
          <w:w w:val="85"/>
          <w:sz w:val="14"/>
        </w:rPr>
        <w:t> </w:t>
      </w:r>
      <w:r>
        <w:rPr>
          <w:rFonts w:ascii="Arial" w:hAnsi="Arial"/>
          <w:w w:val="85"/>
          <w:sz w:val="14"/>
        </w:rPr>
        <w:t>estaban</w:t>
      </w:r>
      <w:r>
        <w:rPr>
          <w:rFonts w:ascii="Arial" w:hAnsi="Arial"/>
          <w:spacing w:val="-8"/>
          <w:w w:val="85"/>
          <w:sz w:val="14"/>
        </w:rPr>
        <w:t> </w:t>
      </w:r>
      <w:r>
        <w:rPr>
          <w:rFonts w:ascii="Arial" w:hAnsi="Arial"/>
          <w:w w:val="85"/>
          <w:sz w:val="14"/>
        </w:rPr>
        <w:t>vigentes</w:t>
      </w:r>
      <w:r>
        <w:rPr>
          <w:rFonts w:ascii="Arial" w:hAnsi="Arial"/>
          <w:spacing w:val="-8"/>
          <w:w w:val="85"/>
          <w:sz w:val="14"/>
        </w:rPr>
        <w:t> </w:t>
      </w:r>
      <w:r>
        <w:rPr>
          <w:rFonts w:ascii="Arial" w:hAnsi="Arial"/>
          <w:w w:val="85"/>
          <w:sz w:val="14"/>
        </w:rPr>
        <w:t>en</w:t>
      </w:r>
      <w:r>
        <w:rPr>
          <w:rFonts w:ascii="Arial" w:hAnsi="Arial"/>
          <w:spacing w:val="-8"/>
          <w:w w:val="85"/>
          <w:sz w:val="14"/>
        </w:rPr>
        <w:t> </w:t>
      </w:r>
      <w:r>
        <w:rPr>
          <w:rFonts w:ascii="Arial" w:hAnsi="Arial"/>
          <w:w w:val="85"/>
          <w:sz w:val="14"/>
        </w:rPr>
        <w:t>el</w:t>
      </w:r>
      <w:r>
        <w:rPr>
          <w:rFonts w:ascii="Arial" w:hAnsi="Arial"/>
          <w:spacing w:val="-8"/>
          <w:w w:val="85"/>
          <w:sz w:val="14"/>
        </w:rPr>
        <w:t> </w:t>
      </w:r>
      <w:r>
        <w:rPr>
          <w:rFonts w:ascii="Arial" w:hAnsi="Arial"/>
          <w:w w:val="85"/>
          <w:sz w:val="14"/>
        </w:rPr>
        <w:t>período</w:t>
      </w:r>
      <w:r>
        <w:rPr>
          <w:rFonts w:ascii="Arial" w:hAnsi="Arial"/>
          <w:spacing w:val="-8"/>
          <w:w w:val="85"/>
          <w:sz w:val="14"/>
        </w:rPr>
        <w:t> </w:t>
      </w:r>
      <w:r>
        <w:rPr>
          <w:rFonts w:ascii="Arial" w:hAnsi="Arial"/>
          <w:w w:val="85"/>
          <w:sz w:val="14"/>
        </w:rPr>
        <w:t>2009-2013.</w:t>
      </w:r>
    </w:p>
    <w:p>
      <w:pPr>
        <w:spacing w:after="0" w:line="249" w:lineRule="auto"/>
        <w:jc w:val="both"/>
        <w:rPr>
          <w:rFonts w:ascii="Arial" w:hAnsi="Arial"/>
          <w:sz w:val="14"/>
        </w:rPr>
        <w:sectPr>
          <w:pgSz w:w="8790" w:h="12760"/>
          <w:pgMar w:header="695" w:footer="725" w:top="880" w:bottom="920" w:left="680" w:right="900"/>
        </w:sectPr>
      </w:pPr>
    </w:p>
    <w:p>
      <w:pPr>
        <w:pStyle w:val="BodyText"/>
        <w:rPr>
          <w:rFonts w:ascii="Arial"/>
          <w:sz w:val="20"/>
        </w:rPr>
      </w:pPr>
      <w:r>
        <w:rPr/>
        <w:pict>
          <v:line style="position:absolute;mso-position-horizontal-relative:page;mso-position-vertical-relative:page;z-index:-251992" from="485.858307pt,264.706793pt" to="485.858307pt,255.459793pt" stroked="true" strokeweight=".5pt" strokecolor="#000000">
            <v:stroke dashstyle="dash"/>
            <w10:wrap type="none"/>
          </v:line>
        </w:pict>
      </w:r>
      <w:r>
        <w:rPr/>
        <w:pict>
          <v:line style="position:absolute;mso-position-horizontal-relative:page;mso-position-vertical-relative:page;z-index:-251968" from="500.031494pt,264.706793pt" to="500.031494pt,255.459793pt" stroked="true" strokeweight=".5pt" strokecolor="#000000">
            <v:stroke dashstyle="dash"/>
            <w10:wrap type="none"/>
          </v:line>
        </w:pict>
      </w:r>
      <w:r>
        <w:rPr/>
        <w:pict>
          <v:line style="position:absolute;mso-position-horizontal-relative:page;mso-position-vertical-relative:page;z-index:-251944" from="514.204712pt,264.706793pt" to="514.204712pt,255.459793pt" stroked="true" strokeweight=".5pt" strokecolor="#000000">
            <v:stroke dashstyle="dash"/>
            <w10:wrap type="none"/>
          </v:line>
        </w:pict>
      </w:r>
      <w:r>
        <w:rPr/>
        <w:pict>
          <v:line style="position:absolute;mso-position-horizontal-relative:page;mso-position-vertical-relative:page;z-index:-251920" from="528.37793pt,264.706793pt" to="528.37793pt,255.459793pt" stroked="true" strokeweight=".5pt" strokecolor="#000000">
            <v:stroke dashstyle="dash"/>
            <w10:wrap type="none"/>
          </v:line>
        </w:pict>
      </w:r>
      <w:r>
        <w:rPr/>
        <w:pict>
          <v:line style="position:absolute;mso-position-horizontal-relative:page;mso-position-vertical-relative:page;z-index:-251896" from="542.551208pt,264.706793pt" to="542.551208pt,255.459793pt" stroked="true" strokeweight=".5pt" strokecolor="#000000">
            <v:stroke dashstyle="dash"/>
            <w10:wrap type="none"/>
          </v:line>
        </w:pict>
      </w:r>
      <w:r>
        <w:rPr/>
        <w:pict>
          <v:line style="position:absolute;mso-position-horizontal-relative:page;mso-position-vertical-relative:page;z-index:-251872" from="556.724426pt,264.706793pt" to="556.724426pt,255.459793pt" stroked="true" strokeweight=".5pt" strokecolor="#000000">
            <v:stroke dashstyle="dash"/>
            <w10:wrap type="none"/>
          </v:line>
        </w:pict>
      </w:r>
      <w:r>
        <w:rPr/>
        <w:pict>
          <v:group style="position:absolute;margin-left:473.454315pt;margin-top:376.840607pt;width:82.75pt;height:22.05pt;mso-position-horizontal-relative:page;mso-position-vertical-relative:page;z-index:-251848" coordorigin="9469,7537" coordsize="1655,441">
            <v:line style="position:absolute" from="9717,7727" to="9717,7542" stroked="true" strokeweight=".5pt" strokecolor="#000000">
              <v:stroke dashstyle="dash"/>
            </v:line>
            <v:line style="position:absolute" from="9717,7755" to="9717,7755" stroked="true" strokeweight=".5pt" strokecolor="#000000"/>
            <v:line style="position:absolute" from="9474,7755" to="9702,7755" stroked="true" strokeweight=".5pt" strokecolor="#000000">
              <v:stroke dashstyle="dash"/>
            </v:line>
            <v:line style="position:absolute" from="9717,7755" to="9717,7755" stroked="true" strokeweight=".5pt" strokecolor="#000000"/>
            <v:line style="position:absolute" from="10001,7727" to="10001,7542" stroked="true" strokeweight=".5pt" strokecolor="#000000">
              <v:stroke dashstyle="dash"/>
            </v:line>
            <v:line style="position:absolute" from="10001,7755" to="10001,7755" stroked="true" strokeweight=".5pt" strokecolor="#000000"/>
            <v:line style="position:absolute" from="9749,7755" to="9985,7755" stroked="true" strokeweight=".5pt" strokecolor="#000000">
              <v:stroke dashstyle="dash"/>
            </v:line>
            <v:shape style="position:absolute;left:0;top:8504;width:2;height:284" coordorigin="0,8504" coordsize="0,284" path="m9717,7755l9717,7755m10001,7755l10001,7755e" filled="false" stroked="true" strokeweight=".5pt" strokecolor="#000000">
              <v:path arrowok="t"/>
            </v:shape>
            <v:line style="position:absolute" from="9717,7942" to="9717,7771" stroked="true" strokeweight=".5pt" strokecolor="#000000">
              <v:stroke dashstyle="dash"/>
            </v:line>
            <v:shape style="position:absolute;left:-218;top:8787;width:218;height:2" coordorigin="-218,8787" coordsize="218,0" path="m9717,7973l9717,7973m9717,7755l9717,7755e" filled="false" stroked="true" strokeweight=".5pt" strokecolor="#000000">
              <v:path arrowok="t"/>
            </v:shape>
            <v:line style="position:absolute" from="10284,7727" to="10284,7542" stroked="true" strokeweight=".5pt" strokecolor="#000000">
              <v:stroke dashstyle="dash"/>
            </v:line>
            <v:line style="position:absolute" from="10284,7755" to="10284,7755" stroked="true" strokeweight=".5pt" strokecolor="#000000"/>
            <v:line style="position:absolute" from="10032,7755" to="10268,7755" stroked="true" strokeweight=".5pt" strokecolor="#000000">
              <v:stroke dashstyle="dash"/>
            </v:line>
            <v:shape style="position:absolute;left:0;top:8504;width:2;height:284" coordorigin="0,8504" coordsize="0,284" path="m10001,7755l10001,7755m10284,7755l10284,7755e" filled="false" stroked="true" strokeweight=".5pt" strokecolor="#000000">
              <v:path arrowok="t"/>
            </v:shape>
            <v:line style="position:absolute" from="10001,7942" to="10001,7771" stroked="true" strokeweight=".5pt" strokecolor="#000000">
              <v:stroke dashstyle="dash"/>
            </v:line>
            <v:shape style="position:absolute;left:-218;top:8787;width:218;height:2" coordorigin="-218,8787" coordsize="218,0" path="m10001,7973l10001,7973m10001,7755l10001,7755e" filled="false" stroked="true" strokeweight=".5pt" strokecolor="#000000">
              <v:path arrowok="t"/>
            </v:shape>
            <v:line style="position:absolute" from="10568,7727" to="10568,7542" stroked="true" strokeweight=".5pt" strokecolor="#000000">
              <v:stroke dashstyle="dash"/>
            </v:line>
            <v:line style="position:absolute" from="10568,7755" to="10568,7755" stroked="true" strokeweight=".5pt" strokecolor="#000000"/>
            <v:line style="position:absolute" from="10316,7755" to="10552,7755" stroked="true" strokeweight=".5pt" strokecolor="#000000">
              <v:stroke dashstyle="dash"/>
            </v:line>
            <v:shape style="position:absolute;left:0;top:8504;width:2;height:284" coordorigin="0,8504" coordsize="0,284" path="m10284,7755l10284,7755m10568,7755l10568,7755e" filled="false" stroked="true" strokeweight=".5pt" strokecolor="#000000">
              <v:path arrowok="t"/>
            </v:shape>
            <v:line style="position:absolute" from="10284,7942" to="10284,7771" stroked="true" strokeweight=".5pt" strokecolor="#000000">
              <v:stroke dashstyle="dash"/>
            </v:line>
            <v:shape style="position:absolute;left:-218;top:8787;width:218;height:2" coordorigin="-218,8787" coordsize="218,0" path="m10284,7973l10284,7973m10284,7755l10284,7755e" filled="false" stroked="true" strokeweight=".5pt" strokecolor="#000000">
              <v:path arrowok="t"/>
            </v:shape>
            <v:line style="position:absolute" from="10851,7727" to="10851,7542" stroked="true" strokeweight=".5pt" strokecolor="#000000">
              <v:stroke dashstyle="dash"/>
            </v:line>
            <v:line style="position:absolute" from="10851,7755" to="10851,7755" stroked="true" strokeweight=".5pt" strokecolor="#000000"/>
            <v:line style="position:absolute" from="10599,7755" to="10835,7755" stroked="true" strokeweight=".5pt" strokecolor="#000000">
              <v:stroke dashstyle="dash"/>
            </v:line>
            <v:shape style="position:absolute;left:0;top:8504;width:2;height:284" coordorigin="0,8504" coordsize="0,284" path="m10568,7755l10568,7755m10851,7755l10851,7755e" filled="false" stroked="true" strokeweight=".5pt" strokecolor="#000000">
              <v:path arrowok="t"/>
            </v:shape>
            <v:line style="position:absolute" from="10568,7942" to="10568,7771" stroked="true" strokeweight=".5pt" strokecolor="#000000">
              <v:stroke dashstyle="dash"/>
            </v:line>
            <v:shape style="position:absolute;left:-218;top:8787;width:218;height:2" coordorigin="-218,8787" coordsize="218,0" path="m10568,7973l10568,7973m10568,7755l10568,7755e" filled="false" stroked="true" strokeweight=".5pt" strokecolor="#000000">
              <v:path arrowok="t"/>
            </v:shape>
            <v:line style="position:absolute" from="10883,7755" to="11119,7755" stroked="true" strokeweight=".5pt" strokecolor="#000000">
              <v:stroke dashstyle="dash"/>
            </v:line>
            <v:line style="position:absolute" from="10851,7755" to="10851,7755" stroked="true" strokeweight=".5pt" strokecolor="#000000"/>
            <v:line style="position:absolute" from="10851,7942" to="10851,7771" stroked="true" strokeweight=".5pt" strokecolor="#000000">
              <v:stroke dashstyle="dash"/>
            </v:line>
            <v:shape style="position:absolute;left:-218;top:8787;width:218;height:2" coordorigin="-218,8787" coordsize="218,0" path="m10851,7973l10851,7973m10851,7755l10851,7755e" filled="false" stroked="true" strokeweight=".5pt" strokecolor="#000000">
              <v:path arrowok="t"/>
            </v:shape>
            <w10:wrap type="none"/>
          </v:group>
        </w:pict>
      </w:r>
      <w:r>
        <w:rPr/>
        <w:pict>
          <v:shape style="position:absolute;margin-left:592.067078pt;margin-top:304.918091pt;width:9.5pt;height:58.95pt;mso-position-horizontal-relative:page;mso-position-vertical-relative:page;z-index:6784" type="#_x0000_t202" filled="false" stroked="false">
            <v:textbox inset="0,0,0,0" style="layout-flow:vertical">
              <w:txbxContent>
                <w:p>
                  <w:pPr>
                    <w:spacing w:line="169" w:lineRule="exact" w:before="0"/>
                    <w:ind w:left="20" w:right="-338" w:firstLine="0"/>
                    <w:jc w:val="left"/>
                    <w:rPr>
                      <w:rFonts w:ascii="Georgia"/>
                      <w:sz w:val="15"/>
                    </w:rPr>
                  </w:pPr>
                  <w:r>
                    <w:rPr>
                      <w:rFonts w:ascii="Georgia"/>
                      <w:w w:val="92"/>
                      <w:sz w:val="15"/>
                    </w:rPr>
                    <w:t>A</w:t>
                  </w:r>
                  <w:r>
                    <w:rPr>
                      <w:rFonts w:ascii="Georgia"/>
                      <w:spacing w:val="3"/>
                      <w:w w:val="92"/>
                      <w:sz w:val="15"/>
                    </w:rPr>
                    <w:t>r</w:t>
                  </w:r>
                  <w:r>
                    <w:rPr>
                      <w:rFonts w:ascii="Georgia"/>
                      <w:w w:val="95"/>
                      <w:sz w:val="15"/>
                    </w:rPr>
                    <w:t>y</w:t>
                  </w:r>
                  <w:r>
                    <w:rPr>
                      <w:rFonts w:ascii="Georgia"/>
                      <w:spacing w:val="-6"/>
                      <w:sz w:val="15"/>
                    </w:rPr>
                    <w:t> </w:t>
                  </w:r>
                  <w:r>
                    <w:rPr>
                      <w:rFonts w:ascii="Georgia"/>
                      <w:spacing w:val="-1"/>
                      <w:w w:val="102"/>
                      <w:sz w:val="15"/>
                    </w:rPr>
                    <w:t>C</w:t>
                  </w:r>
                  <w:r>
                    <w:rPr>
                      <w:rFonts w:ascii="Georgia"/>
                      <w:w w:val="98"/>
                      <w:sz w:val="15"/>
                    </w:rPr>
                    <w:t>e</w:t>
                  </w:r>
                  <w:r>
                    <w:rPr>
                      <w:rFonts w:ascii="Georgia"/>
                      <w:spacing w:val="-1"/>
                      <w:w w:val="98"/>
                      <w:sz w:val="15"/>
                    </w:rPr>
                    <w:t>s</w:t>
                  </w:r>
                  <w:r>
                    <w:rPr>
                      <w:rFonts w:ascii="Georgia"/>
                      <w:w w:val="94"/>
                      <w:sz w:val="15"/>
                    </w:rPr>
                    <w:t>ar</w:t>
                  </w:r>
                  <w:r>
                    <w:rPr>
                      <w:rFonts w:ascii="Georgia"/>
                      <w:spacing w:val="-6"/>
                      <w:sz w:val="15"/>
                    </w:rPr>
                    <w:t> </w:t>
                  </w:r>
                  <w:r>
                    <w:rPr>
                      <w:rFonts w:ascii="Georgia"/>
                      <w:spacing w:val="-3"/>
                      <w:w w:val="96"/>
                      <w:sz w:val="15"/>
                    </w:rPr>
                    <w:t>M</w:t>
                  </w:r>
                  <w:r>
                    <w:rPr>
                      <w:rFonts w:ascii="Georgia"/>
                      <w:w w:val="97"/>
                      <w:sz w:val="15"/>
                    </w:rPr>
                    <w:t>inel</w:t>
                  </w:r>
                  <w:r>
                    <w:rPr>
                      <w:rFonts w:ascii="Georgia"/>
                      <w:spacing w:val="-1"/>
                      <w:w w:val="97"/>
                      <w:sz w:val="15"/>
                    </w:rPr>
                    <w:t>l</w:t>
                  </w:r>
                  <w:r>
                    <w:rPr>
                      <w:rFonts w:ascii="Georgia"/>
                      <w:w w:val="98"/>
                      <w:sz w:val="15"/>
                    </w:rPr>
                    <w:t>a</w:t>
                  </w:r>
                </w:p>
              </w:txbxContent>
            </v:textbox>
            <w10:wrap type="none"/>
          </v:shape>
        </w:pict>
      </w:r>
      <w:r>
        <w:rPr/>
        <w:pict>
          <v:shape style="position:absolute;margin-left:35.165634pt;margin-top:346.804901pt;width:12pt;height:17.05pt;mso-position-horizontal-relative:page;mso-position-vertical-relative:page;z-index:6808" type="#_x0000_t202" filled="false" stroked="false">
            <v:textbox inset="0,0,0,0" style="layout-flow:vertical">
              <w:txbxContent>
                <w:p>
                  <w:pPr>
                    <w:spacing w:line="219" w:lineRule="exact" w:before="0"/>
                    <w:ind w:left="20" w:right="-101" w:firstLine="0"/>
                    <w:jc w:val="left"/>
                    <w:rPr>
                      <w:sz w:val="20"/>
                    </w:rPr>
                  </w:pPr>
                  <w:r>
                    <w:rPr>
                      <w:w w:val="90"/>
                      <w:sz w:val="20"/>
                    </w:rPr>
                    <w:t>249</w:t>
                  </w:r>
                </w:p>
              </w:txbxContent>
            </v:textbox>
            <w10:wrap type="none"/>
          </v:shape>
        </w:pict>
      </w:r>
    </w:p>
    <w:p>
      <w:pPr>
        <w:pStyle w:val="BodyText"/>
        <w:rPr>
          <w:rFonts w:ascii="Arial"/>
          <w:sz w:val="20"/>
        </w:rPr>
      </w:pPr>
    </w:p>
    <w:p>
      <w:pPr>
        <w:pStyle w:val="BodyText"/>
        <w:rPr>
          <w:rFonts w:ascii="Arial"/>
          <w:sz w:val="20"/>
        </w:rPr>
      </w:pPr>
    </w:p>
    <w:p>
      <w:pPr>
        <w:pStyle w:val="BodyText"/>
        <w:spacing w:before="11"/>
        <w:rPr>
          <w:rFonts w:ascii="Arial"/>
          <w:sz w:val="17"/>
        </w:rPr>
      </w:pPr>
    </w:p>
    <w:p>
      <w:pPr>
        <w:spacing w:before="78"/>
        <w:ind w:left="1469" w:right="1489" w:firstLine="0"/>
        <w:jc w:val="center"/>
        <w:rPr>
          <w:rFonts w:ascii="Arial"/>
          <w:b/>
          <w:sz w:val="17"/>
        </w:rPr>
      </w:pPr>
      <w:r>
        <w:rPr>
          <w:rFonts w:ascii="Arial"/>
          <w:b/>
          <w:w w:val="85"/>
          <w:sz w:val="17"/>
        </w:rPr>
        <w:t>Cuadro 3</w:t>
      </w:r>
    </w:p>
    <w:p>
      <w:pPr>
        <w:spacing w:before="8"/>
        <w:ind w:left="1469" w:right="1489" w:firstLine="0"/>
        <w:jc w:val="center"/>
        <w:rPr>
          <w:rFonts w:ascii="Arial"/>
          <w:sz w:val="17"/>
        </w:rPr>
      </w:pPr>
      <w:r>
        <w:rPr>
          <w:rFonts w:ascii="Arial"/>
          <w:w w:val="85"/>
          <w:sz w:val="17"/>
        </w:rPr>
        <w:t>CIPE y Gobernanza Corporativa - Parcerias y Programas en el Mundo (2007-2013) (CG = </w:t>
      </w:r>
      <w:r>
        <w:rPr>
          <w:rFonts w:ascii="Arial"/>
          <w:i/>
          <w:w w:val="85"/>
          <w:sz w:val="17"/>
        </w:rPr>
        <w:t>Corporate Governance</w:t>
      </w:r>
      <w:r>
        <w:rPr>
          <w:rFonts w:ascii="Arial"/>
          <w:w w:val="85"/>
          <w:sz w:val="17"/>
        </w:rPr>
        <w:t>)</w:t>
      </w:r>
    </w:p>
    <w:p>
      <w:pPr>
        <w:pStyle w:val="BodyText"/>
        <w:spacing w:before="7"/>
        <w:rPr>
          <w:rFonts w:ascii="Arial"/>
          <w:sz w:val="14"/>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50"/>
        <w:gridCol w:w="3997"/>
        <w:gridCol w:w="3231"/>
        <w:gridCol w:w="283"/>
        <w:gridCol w:w="283"/>
        <w:gridCol w:w="283"/>
        <w:gridCol w:w="283"/>
        <w:gridCol w:w="283"/>
        <w:gridCol w:w="283"/>
        <w:gridCol w:w="283"/>
      </w:tblGrid>
      <w:tr>
        <w:trPr>
          <w:trHeight w:val="228" w:hRule="exact"/>
        </w:trPr>
        <w:tc>
          <w:tcPr>
            <w:tcW w:w="850" w:type="dxa"/>
            <w:tcBorders>
              <w:left w:val="nil"/>
              <w:bottom w:val="single" w:sz="4" w:space="0" w:color="000000"/>
              <w:right w:val="single" w:sz="4" w:space="0" w:color="000000"/>
            </w:tcBorders>
          </w:tcPr>
          <w:p>
            <w:pPr>
              <w:pStyle w:val="TableParagraph"/>
              <w:spacing w:before="11"/>
              <w:ind w:left="261" w:right="256"/>
              <w:jc w:val="center"/>
              <w:rPr>
                <w:sz w:val="16"/>
              </w:rPr>
            </w:pPr>
            <w:r>
              <w:rPr>
                <w:w w:val="90"/>
                <w:sz w:val="16"/>
              </w:rPr>
              <w:t>País</w:t>
            </w:r>
          </w:p>
        </w:tc>
        <w:tc>
          <w:tcPr>
            <w:tcW w:w="3997" w:type="dxa"/>
            <w:tcBorders>
              <w:left w:val="single" w:sz="4" w:space="0" w:color="000000"/>
              <w:bottom w:val="single" w:sz="4" w:space="0" w:color="000000"/>
              <w:right w:val="single" w:sz="4" w:space="0" w:color="000000"/>
            </w:tcBorders>
          </w:tcPr>
          <w:p>
            <w:pPr>
              <w:pStyle w:val="TableParagraph"/>
              <w:spacing w:before="11"/>
              <w:ind w:left="1414" w:right="1414"/>
              <w:jc w:val="center"/>
              <w:rPr>
                <w:sz w:val="16"/>
              </w:rPr>
            </w:pPr>
            <w:r>
              <w:rPr>
                <w:w w:val="85"/>
                <w:sz w:val="16"/>
              </w:rPr>
              <w:t>Organización local</w:t>
            </w:r>
          </w:p>
        </w:tc>
        <w:tc>
          <w:tcPr>
            <w:tcW w:w="3231" w:type="dxa"/>
            <w:tcBorders>
              <w:left w:val="single" w:sz="4" w:space="0" w:color="000000"/>
              <w:bottom w:val="single" w:sz="4" w:space="0" w:color="000000"/>
              <w:right w:val="single" w:sz="4" w:space="0" w:color="000000"/>
            </w:tcBorders>
          </w:tcPr>
          <w:p>
            <w:pPr>
              <w:pStyle w:val="TableParagraph"/>
              <w:spacing w:before="11"/>
              <w:ind w:left="1219" w:right="1219"/>
              <w:jc w:val="center"/>
              <w:rPr>
                <w:sz w:val="16"/>
              </w:rPr>
            </w:pPr>
            <w:r>
              <w:rPr>
                <w:w w:val="95"/>
                <w:sz w:val="16"/>
              </w:rPr>
              <w:t>Programas</w:t>
            </w:r>
          </w:p>
        </w:tc>
        <w:tc>
          <w:tcPr>
            <w:tcW w:w="283" w:type="dxa"/>
            <w:tcBorders>
              <w:left w:val="single" w:sz="4" w:space="0" w:color="000000"/>
              <w:bottom w:val="single" w:sz="4" w:space="0" w:color="000000"/>
              <w:right w:val="dotted" w:sz="4" w:space="0" w:color="000000"/>
            </w:tcBorders>
          </w:tcPr>
          <w:p>
            <w:pPr>
              <w:pStyle w:val="TableParagraph"/>
              <w:spacing w:before="11"/>
              <w:ind w:left="59"/>
              <w:rPr>
                <w:sz w:val="16"/>
              </w:rPr>
            </w:pPr>
            <w:r>
              <w:rPr>
                <w:w w:val="95"/>
                <w:sz w:val="16"/>
              </w:rPr>
              <w:t>07</w:t>
            </w:r>
          </w:p>
        </w:tc>
        <w:tc>
          <w:tcPr>
            <w:tcW w:w="283" w:type="dxa"/>
            <w:tcBorders>
              <w:left w:val="dotted" w:sz="4" w:space="0" w:color="000000"/>
              <w:bottom w:val="single" w:sz="4" w:space="0" w:color="000000"/>
              <w:right w:val="dotted" w:sz="4" w:space="0" w:color="000000"/>
            </w:tcBorders>
          </w:tcPr>
          <w:p>
            <w:pPr>
              <w:pStyle w:val="TableParagraph"/>
              <w:spacing w:before="11"/>
              <w:ind w:left="32" w:right="32"/>
              <w:jc w:val="center"/>
              <w:rPr>
                <w:sz w:val="16"/>
              </w:rPr>
            </w:pPr>
            <w:r>
              <w:rPr>
                <w:w w:val="95"/>
                <w:sz w:val="16"/>
              </w:rPr>
              <w:t>08</w:t>
            </w:r>
          </w:p>
        </w:tc>
        <w:tc>
          <w:tcPr>
            <w:tcW w:w="283" w:type="dxa"/>
            <w:tcBorders>
              <w:left w:val="dotted" w:sz="4" w:space="0" w:color="000000"/>
              <w:bottom w:val="single" w:sz="4" w:space="0" w:color="000000"/>
              <w:right w:val="dotted" w:sz="4" w:space="0" w:color="000000"/>
            </w:tcBorders>
          </w:tcPr>
          <w:p>
            <w:pPr>
              <w:pStyle w:val="TableParagraph"/>
              <w:spacing w:before="11"/>
              <w:ind w:left="32" w:right="32"/>
              <w:jc w:val="center"/>
              <w:rPr>
                <w:sz w:val="16"/>
              </w:rPr>
            </w:pPr>
            <w:r>
              <w:rPr>
                <w:w w:val="95"/>
                <w:sz w:val="16"/>
              </w:rPr>
              <w:t>09</w:t>
            </w:r>
          </w:p>
        </w:tc>
        <w:tc>
          <w:tcPr>
            <w:tcW w:w="283" w:type="dxa"/>
            <w:tcBorders>
              <w:left w:val="dotted" w:sz="4" w:space="0" w:color="000000"/>
              <w:bottom w:val="single" w:sz="4" w:space="0" w:color="000000"/>
              <w:right w:val="dotted" w:sz="4" w:space="0" w:color="000000"/>
            </w:tcBorders>
          </w:tcPr>
          <w:p>
            <w:pPr>
              <w:pStyle w:val="TableParagraph"/>
              <w:spacing w:before="11"/>
              <w:ind w:left="60"/>
              <w:rPr>
                <w:sz w:val="16"/>
              </w:rPr>
            </w:pPr>
            <w:r>
              <w:rPr>
                <w:w w:val="95"/>
                <w:sz w:val="16"/>
              </w:rPr>
              <w:t>10</w:t>
            </w:r>
          </w:p>
        </w:tc>
        <w:tc>
          <w:tcPr>
            <w:tcW w:w="283" w:type="dxa"/>
            <w:tcBorders>
              <w:left w:val="dotted" w:sz="4" w:space="0" w:color="000000"/>
              <w:bottom w:val="single" w:sz="4" w:space="0" w:color="000000"/>
              <w:right w:val="dotted" w:sz="4" w:space="0" w:color="000000"/>
            </w:tcBorders>
          </w:tcPr>
          <w:p>
            <w:pPr>
              <w:pStyle w:val="TableParagraph"/>
              <w:spacing w:before="11"/>
              <w:ind w:left="32" w:right="32"/>
              <w:jc w:val="center"/>
              <w:rPr>
                <w:sz w:val="16"/>
              </w:rPr>
            </w:pPr>
            <w:r>
              <w:rPr>
                <w:w w:val="95"/>
                <w:sz w:val="16"/>
              </w:rPr>
              <w:t>11</w:t>
            </w:r>
          </w:p>
        </w:tc>
        <w:tc>
          <w:tcPr>
            <w:tcW w:w="283" w:type="dxa"/>
            <w:tcBorders>
              <w:left w:val="dotted" w:sz="4" w:space="0" w:color="000000"/>
              <w:bottom w:val="single" w:sz="4" w:space="0" w:color="000000"/>
              <w:right w:val="dotted" w:sz="4" w:space="0" w:color="000000"/>
            </w:tcBorders>
          </w:tcPr>
          <w:p>
            <w:pPr>
              <w:pStyle w:val="TableParagraph"/>
              <w:spacing w:before="11"/>
              <w:ind w:left="60"/>
              <w:rPr>
                <w:sz w:val="16"/>
              </w:rPr>
            </w:pPr>
            <w:r>
              <w:rPr>
                <w:w w:val="95"/>
                <w:sz w:val="16"/>
              </w:rPr>
              <w:t>12</w:t>
            </w:r>
          </w:p>
        </w:tc>
        <w:tc>
          <w:tcPr>
            <w:tcW w:w="283" w:type="dxa"/>
            <w:tcBorders>
              <w:left w:val="dotted" w:sz="4" w:space="0" w:color="000000"/>
              <w:bottom w:val="single" w:sz="4" w:space="0" w:color="000000"/>
              <w:right w:val="nil"/>
            </w:tcBorders>
          </w:tcPr>
          <w:p>
            <w:pPr>
              <w:pStyle w:val="TableParagraph"/>
              <w:spacing w:before="11"/>
              <w:ind w:left="33" w:right="35"/>
              <w:jc w:val="center"/>
              <w:rPr>
                <w:sz w:val="16"/>
              </w:rPr>
            </w:pPr>
            <w:r>
              <w:rPr>
                <w:w w:val="95"/>
                <w:sz w:val="16"/>
              </w:rPr>
              <w:t>13</w:t>
            </w: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ind w:left="56"/>
              <w:rPr>
                <w:sz w:val="16"/>
              </w:rPr>
            </w:pPr>
            <w:r>
              <w:rPr>
                <w:w w:val="90"/>
                <w:sz w:val="16"/>
              </w:rPr>
              <w:t>Ghana</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ind w:left="51" w:right="83"/>
              <w:rPr>
                <w:sz w:val="16"/>
              </w:rPr>
            </w:pPr>
            <w:r>
              <w:rPr>
                <w:w w:val="80"/>
                <w:sz w:val="16"/>
              </w:rPr>
              <w:t>Private  Enterprise Foundation</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1" w:right="162"/>
              <w:rPr>
                <w:i/>
                <w:sz w:val="16"/>
              </w:rPr>
            </w:pPr>
            <w:r>
              <w:rPr>
                <w:i/>
                <w:w w:val="80"/>
                <w:sz w:val="16"/>
              </w:rPr>
              <w:t>Cultivating Good CG in Ghana</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1"/>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ind w:left="56"/>
              <w:rPr>
                <w:sz w:val="16"/>
              </w:rPr>
            </w:pPr>
            <w:r>
              <w:rPr>
                <w:w w:val="90"/>
                <w:sz w:val="16"/>
              </w:rPr>
              <w:t>Kenia</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ind w:left="51" w:right="83"/>
              <w:rPr>
                <w:sz w:val="16"/>
              </w:rPr>
            </w:pPr>
            <w:r>
              <w:rPr>
                <w:w w:val="80"/>
                <w:sz w:val="16"/>
              </w:rPr>
              <w:t>Center for Corporate Governance</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1" w:right="162"/>
              <w:rPr>
                <w:i/>
                <w:sz w:val="16"/>
              </w:rPr>
            </w:pPr>
            <w:r>
              <w:rPr>
                <w:i/>
                <w:w w:val="80"/>
                <w:sz w:val="16"/>
              </w:rPr>
              <w:t>Enhancing CG through Media</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1"/>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ind w:left="56"/>
              <w:rPr>
                <w:sz w:val="16"/>
              </w:rPr>
            </w:pPr>
            <w:r>
              <w:rPr>
                <w:w w:val="90"/>
                <w:sz w:val="16"/>
              </w:rPr>
              <w:t>Uganda</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ind w:left="51" w:right="83"/>
              <w:rPr>
                <w:sz w:val="16"/>
              </w:rPr>
            </w:pPr>
            <w:r>
              <w:rPr>
                <w:w w:val="85"/>
                <w:sz w:val="16"/>
              </w:rPr>
              <w:t>Institute of Corporate Governance of Uganda</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1" w:right="162"/>
              <w:rPr>
                <w:i/>
                <w:sz w:val="16"/>
              </w:rPr>
            </w:pPr>
            <w:r>
              <w:rPr>
                <w:i/>
                <w:w w:val="80"/>
                <w:sz w:val="16"/>
              </w:rPr>
              <w:t>CG Capacity Building Program</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1"/>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ind w:left="56"/>
              <w:rPr>
                <w:sz w:val="16"/>
              </w:rPr>
            </w:pPr>
            <w:r>
              <w:rPr>
                <w:w w:val="90"/>
                <w:sz w:val="16"/>
              </w:rPr>
              <w:t>Zambia</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ind w:left="51" w:right="83"/>
              <w:rPr>
                <w:sz w:val="16"/>
              </w:rPr>
            </w:pPr>
            <w:r>
              <w:rPr>
                <w:w w:val="85"/>
                <w:sz w:val="16"/>
              </w:rPr>
              <w:t>Institute of Directors of Zambia</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1" w:right="162"/>
              <w:rPr>
                <w:i/>
                <w:sz w:val="16"/>
              </w:rPr>
            </w:pPr>
            <w:r>
              <w:rPr>
                <w:i/>
                <w:w w:val="85"/>
                <w:sz w:val="16"/>
              </w:rPr>
              <w:t>Strengthening CG in Small Enterprises</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1"/>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ind w:left="57"/>
              <w:rPr>
                <w:sz w:val="16"/>
              </w:rPr>
            </w:pPr>
            <w:r>
              <w:rPr>
                <w:w w:val="85"/>
                <w:sz w:val="16"/>
              </w:rPr>
              <w:t>Bangladesh</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ind w:left="52" w:right="83"/>
              <w:rPr>
                <w:sz w:val="16"/>
              </w:rPr>
            </w:pPr>
            <w:r>
              <w:rPr>
                <w:w w:val="85"/>
                <w:sz w:val="16"/>
              </w:rPr>
              <w:t>Dhaka Chamber of Commerce and Industry</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2" w:right="162"/>
              <w:rPr>
                <w:i/>
                <w:sz w:val="16"/>
              </w:rPr>
            </w:pPr>
            <w:r>
              <w:rPr>
                <w:i/>
                <w:w w:val="80"/>
                <w:sz w:val="16"/>
              </w:rPr>
              <w:t>Policy Advocacy and CG</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ind w:left="57"/>
              <w:rPr>
                <w:sz w:val="16"/>
              </w:rPr>
            </w:pPr>
            <w:r>
              <w:rPr>
                <w:w w:val="90"/>
                <w:sz w:val="16"/>
              </w:rPr>
              <w:t>China</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ind w:left="52" w:right="83"/>
              <w:rPr>
                <w:sz w:val="16"/>
              </w:rPr>
            </w:pPr>
            <w:r>
              <w:rPr>
                <w:w w:val="80"/>
                <w:sz w:val="16"/>
              </w:rPr>
              <w:t>China Center for Corporate Governance</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2" w:right="162"/>
              <w:rPr>
                <w:i/>
                <w:sz w:val="16"/>
              </w:rPr>
            </w:pPr>
            <w:r>
              <w:rPr>
                <w:i/>
                <w:w w:val="80"/>
                <w:sz w:val="16"/>
              </w:rPr>
              <w:t>Promoting Good CG and Business Ethics</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vMerge w:val="restart"/>
            <w:tcBorders>
              <w:top w:val="single" w:sz="4" w:space="0" w:color="000000"/>
              <w:left w:val="nil"/>
              <w:right w:val="single" w:sz="4" w:space="0" w:color="000000"/>
            </w:tcBorders>
          </w:tcPr>
          <w:p>
            <w:pPr>
              <w:pStyle w:val="TableParagraph"/>
              <w:ind w:left="57"/>
              <w:rPr>
                <w:sz w:val="16"/>
              </w:rPr>
            </w:pPr>
            <w:r>
              <w:rPr>
                <w:w w:val="95"/>
                <w:sz w:val="16"/>
              </w:rPr>
              <w:t>Filipinas</w:t>
            </w:r>
          </w:p>
        </w:tc>
        <w:tc>
          <w:tcPr>
            <w:tcW w:w="3997" w:type="dxa"/>
            <w:tcBorders>
              <w:top w:val="single" w:sz="4" w:space="0" w:color="000000"/>
              <w:left w:val="single" w:sz="4" w:space="0" w:color="000000"/>
              <w:bottom w:val="dotted" w:sz="4" w:space="0" w:color="000000"/>
              <w:right w:val="single" w:sz="4" w:space="0" w:color="000000"/>
            </w:tcBorders>
          </w:tcPr>
          <w:p>
            <w:pPr>
              <w:pStyle w:val="TableParagraph"/>
              <w:ind w:left="52" w:right="83"/>
              <w:rPr>
                <w:sz w:val="16"/>
              </w:rPr>
            </w:pPr>
            <w:r>
              <w:rPr>
                <w:w w:val="85"/>
                <w:sz w:val="16"/>
              </w:rPr>
              <w:t>Institute for Corporate Directors</w:t>
            </w:r>
          </w:p>
        </w:tc>
        <w:tc>
          <w:tcPr>
            <w:tcW w:w="3231" w:type="dxa"/>
            <w:tcBorders>
              <w:top w:val="single" w:sz="4" w:space="0" w:color="000000"/>
              <w:left w:val="single" w:sz="4" w:space="0" w:color="000000"/>
              <w:bottom w:val="dotted" w:sz="4" w:space="0" w:color="000000"/>
              <w:right w:val="single" w:sz="4" w:space="0" w:color="000000"/>
            </w:tcBorders>
          </w:tcPr>
          <w:p>
            <w:pPr>
              <w:pStyle w:val="TableParagraph"/>
              <w:ind w:left="52" w:right="162"/>
              <w:rPr>
                <w:i/>
                <w:sz w:val="16"/>
              </w:rPr>
            </w:pPr>
            <w:r>
              <w:rPr>
                <w:i/>
                <w:w w:val="85"/>
                <w:sz w:val="16"/>
              </w:rPr>
              <w:t>Improving CG in Philippine Firms</w:t>
            </w:r>
          </w:p>
        </w:tc>
        <w:tc>
          <w:tcPr>
            <w:tcW w:w="283" w:type="dxa"/>
            <w:tcBorders>
              <w:top w:val="single" w:sz="4" w:space="0" w:color="000000"/>
              <w:left w:val="single"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dotted" w:sz="4" w:space="0" w:color="000000"/>
              <w:right w:val="nil"/>
            </w:tcBorders>
          </w:tcPr>
          <w:p>
            <w:pPr>
              <w:pStyle w:val="TableParagraph"/>
              <w:ind w:right="106"/>
              <w:jc w:val="center"/>
              <w:rPr>
                <w:sz w:val="16"/>
              </w:rPr>
            </w:pPr>
            <w:r>
              <w:rPr>
                <w:w w:val="81"/>
                <w:sz w:val="16"/>
              </w:rPr>
              <w:t>x</w:t>
            </w:r>
          </w:p>
        </w:tc>
      </w:tr>
      <w:tr>
        <w:trPr>
          <w:trHeight w:val="420" w:hRule="exact"/>
        </w:trPr>
        <w:tc>
          <w:tcPr>
            <w:tcW w:w="850" w:type="dxa"/>
            <w:vMerge/>
            <w:tcBorders>
              <w:left w:val="nil"/>
              <w:right w:val="single" w:sz="4" w:space="0" w:color="000000"/>
            </w:tcBorders>
          </w:tcPr>
          <w:p>
            <w:pPr/>
          </w:p>
        </w:tc>
        <w:tc>
          <w:tcPr>
            <w:tcW w:w="3997" w:type="dxa"/>
            <w:tcBorders>
              <w:top w:val="dotted" w:sz="4" w:space="0" w:color="000000"/>
              <w:left w:val="single" w:sz="4" w:space="0" w:color="000000"/>
              <w:bottom w:val="dotted" w:sz="4" w:space="0" w:color="000000"/>
              <w:right w:val="single" w:sz="4" w:space="0" w:color="000000"/>
            </w:tcBorders>
          </w:tcPr>
          <w:p>
            <w:pPr>
              <w:pStyle w:val="TableParagraph"/>
              <w:ind w:left="52" w:right="83"/>
              <w:rPr>
                <w:sz w:val="16"/>
              </w:rPr>
            </w:pPr>
            <w:r>
              <w:rPr>
                <w:w w:val="85"/>
                <w:sz w:val="16"/>
              </w:rPr>
              <w:t>Institute for Solidarity in Asia</w:t>
            </w:r>
          </w:p>
        </w:tc>
        <w:tc>
          <w:tcPr>
            <w:tcW w:w="3231" w:type="dxa"/>
            <w:tcBorders>
              <w:top w:val="dotted" w:sz="4" w:space="0" w:color="000000"/>
              <w:left w:val="single" w:sz="4" w:space="0" w:color="000000"/>
              <w:bottom w:val="dotted" w:sz="4" w:space="0" w:color="000000"/>
              <w:right w:val="single" w:sz="4" w:space="0" w:color="000000"/>
            </w:tcBorders>
          </w:tcPr>
          <w:p>
            <w:pPr>
              <w:pStyle w:val="TableParagraph"/>
              <w:spacing w:line="249" w:lineRule="auto"/>
              <w:ind w:left="52" w:right="162"/>
              <w:rPr>
                <w:i/>
                <w:sz w:val="16"/>
              </w:rPr>
            </w:pPr>
            <w:r>
              <w:rPr>
                <w:i/>
                <w:w w:val="80"/>
                <w:sz w:val="16"/>
              </w:rPr>
              <w:t>Expanding Good Public Governance across </w:t>
            </w:r>
            <w:r>
              <w:rPr>
                <w:i/>
                <w:w w:val="80"/>
                <w:sz w:val="16"/>
              </w:rPr>
              <w:t>Southeast Asia</w:t>
            </w:r>
          </w:p>
        </w:tc>
        <w:tc>
          <w:tcPr>
            <w:tcW w:w="283" w:type="dxa"/>
            <w:tcBorders>
              <w:top w:val="dotted" w:sz="4" w:space="0" w:color="000000"/>
              <w:left w:val="single"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dotted" w:sz="4" w:space="0" w:color="000000"/>
              <w:left w:val="dotted" w:sz="4" w:space="0" w:color="000000"/>
              <w:bottom w:val="dotted" w:sz="4" w:space="0" w:color="000000"/>
              <w:right w:val="dotted" w:sz="4" w:space="0" w:color="000000"/>
            </w:tcBorders>
          </w:tcPr>
          <w:p>
            <w:pPr/>
          </w:p>
        </w:tc>
        <w:tc>
          <w:tcPr>
            <w:tcW w:w="283" w:type="dxa"/>
            <w:tcBorders>
              <w:top w:val="dotted" w:sz="4" w:space="0" w:color="000000"/>
              <w:left w:val="dotted" w:sz="4" w:space="0" w:color="000000"/>
              <w:bottom w:val="dotted" w:sz="4" w:space="0" w:color="000000"/>
              <w:right w:val="dotted" w:sz="4" w:space="0" w:color="000000"/>
            </w:tcBorders>
          </w:tcPr>
          <w:p>
            <w:pPr/>
          </w:p>
        </w:tc>
        <w:tc>
          <w:tcPr>
            <w:tcW w:w="283" w:type="dxa"/>
            <w:tcBorders>
              <w:top w:val="dotted" w:sz="4" w:space="0" w:color="000000"/>
              <w:left w:val="dotted" w:sz="4" w:space="0" w:color="000000"/>
              <w:bottom w:val="dotted" w:sz="4" w:space="0" w:color="000000"/>
              <w:right w:val="dotted" w:sz="4" w:space="0" w:color="000000"/>
            </w:tcBorders>
          </w:tcPr>
          <w:p>
            <w:pPr/>
          </w:p>
        </w:tc>
        <w:tc>
          <w:tcPr>
            <w:tcW w:w="283" w:type="dxa"/>
            <w:tcBorders>
              <w:top w:val="dotted" w:sz="4" w:space="0" w:color="000000"/>
              <w:left w:val="dotted" w:sz="4" w:space="0" w:color="000000"/>
              <w:bottom w:val="dotted" w:sz="4" w:space="0" w:color="000000"/>
              <w:right w:val="dotted" w:sz="4" w:space="0" w:color="000000"/>
            </w:tcBorders>
          </w:tcPr>
          <w:p>
            <w:pPr/>
          </w:p>
        </w:tc>
        <w:tc>
          <w:tcPr>
            <w:tcW w:w="283" w:type="dxa"/>
            <w:tcBorders>
              <w:top w:val="dotted" w:sz="4" w:space="0" w:color="000000"/>
              <w:left w:val="dotted" w:sz="4" w:space="0" w:color="000000"/>
              <w:bottom w:val="dotted" w:sz="4" w:space="0" w:color="000000"/>
              <w:right w:val="dotted" w:sz="4" w:space="0" w:color="000000"/>
            </w:tcBorders>
          </w:tcPr>
          <w:p>
            <w:pPr/>
          </w:p>
        </w:tc>
        <w:tc>
          <w:tcPr>
            <w:tcW w:w="283" w:type="dxa"/>
            <w:tcBorders>
              <w:top w:val="dotted" w:sz="4" w:space="0" w:color="000000"/>
              <w:left w:val="dotted" w:sz="4" w:space="0" w:color="000000"/>
              <w:bottom w:val="dotted" w:sz="4" w:space="0" w:color="000000"/>
              <w:right w:val="nil"/>
            </w:tcBorders>
          </w:tcPr>
          <w:p>
            <w:pPr/>
          </w:p>
        </w:tc>
      </w:tr>
      <w:tr>
        <w:trPr>
          <w:trHeight w:val="420" w:hRule="exact"/>
        </w:trPr>
        <w:tc>
          <w:tcPr>
            <w:tcW w:w="850" w:type="dxa"/>
            <w:vMerge/>
            <w:tcBorders>
              <w:left w:val="nil"/>
              <w:bottom w:val="single" w:sz="4" w:space="0" w:color="000000"/>
              <w:right w:val="single" w:sz="4" w:space="0" w:color="000000"/>
            </w:tcBorders>
          </w:tcPr>
          <w:p>
            <w:pPr/>
          </w:p>
        </w:tc>
        <w:tc>
          <w:tcPr>
            <w:tcW w:w="3997" w:type="dxa"/>
            <w:tcBorders>
              <w:top w:val="dotted" w:sz="4" w:space="0" w:color="000000"/>
              <w:left w:val="single" w:sz="4" w:space="0" w:color="000000"/>
              <w:bottom w:val="single" w:sz="4" w:space="0" w:color="000000"/>
              <w:right w:val="single" w:sz="4" w:space="0" w:color="000000"/>
            </w:tcBorders>
          </w:tcPr>
          <w:p>
            <w:pPr>
              <w:pStyle w:val="TableParagraph"/>
              <w:spacing w:line="249" w:lineRule="auto"/>
              <w:ind w:left="52" w:right="83"/>
              <w:rPr>
                <w:sz w:val="16"/>
              </w:rPr>
            </w:pPr>
            <w:r>
              <w:rPr>
                <w:w w:val="85"/>
                <w:sz w:val="16"/>
              </w:rPr>
              <w:t>Association</w:t>
            </w:r>
            <w:r>
              <w:rPr>
                <w:spacing w:val="-13"/>
                <w:w w:val="85"/>
                <w:sz w:val="16"/>
              </w:rPr>
              <w:t> </w:t>
            </w:r>
            <w:r>
              <w:rPr>
                <w:w w:val="85"/>
                <w:sz w:val="16"/>
              </w:rPr>
              <w:t>of</w:t>
            </w:r>
            <w:r>
              <w:rPr>
                <w:spacing w:val="-13"/>
                <w:w w:val="85"/>
                <w:sz w:val="16"/>
              </w:rPr>
              <w:t> </w:t>
            </w:r>
            <w:r>
              <w:rPr>
                <w:w w:val="85"/>
                <w:sz w:val="16"/>
              </w:rPr>
              <w:t>Development</w:t>
            </w:r>
            <w:r>
              <w:rPr>
                <w:spacing w:val="-13"/>
                <w:w w:val="85"/>
                <w:sz w:val="16"/>
              </w:rPr>
              <w:t> </w:t>
            </w:r>
            <w:r>
              <w:rPr>
                <w:w w:val="85"/>
                <w:sz w:val="16"/>
              </w:rPr>
              <w:t>Financing</w:t>
            </w:r>
            <w:r>
              <w:rPr>
                <w:spacing w:val="-13"/>
                <w:w w:val="85"/>
                <w:sz w:val="16"/>
              </w:rPr>
              <w:t> </w:t>
            </w:r>
            <w:r>
              <w:rPr>
                <w:w w:val="85"/>
                <w:sz w:val="16"/>
              </w:rPr>
              <w:t>Institutions</w:t>
            </w:r>
            <w:r>
              <w:rPr>
                <w:spacing w:val="-13"/>
                <w:w w:val="85"/>
                <w:sz w:val="16"/>
              </w:rPr>
              <w:t> </w:t>
            </w:r>
            <w:r>
              <w:rPr>
                <w:w w:val="85"/>
                <w:sz w:val="16"/>
              </w:rPr>
              <w:t>in</w:t>
            </w:r>
            <w:r>
              <w:rPr>
                <w:spacing w:val="-16"/>
                <w:w w:val="85"/>
                <w:sz w:val="16"/>
              </w:rPr>
              <w:t> </w:t>
            </w:r>
            <w:r>
              <w:rPr>
                <w:w w:val="85"/>
                <w:sz w:val="16"/>
              </w:rPr>
              <w:t>Asia</w:t>
            </w:r>
            <w:r>
              <w:rPr>
                <w:spacing w:val="-13"/>
                <w:w w:val="85"/>
                <w:sz w:val="16"/>
              </w:rPr>
              <w:t> </w:t>
            </w:r>
            <w:r>
              <w:rPr>
                <w:w w:val="85"/>
                <w:sz w:val="16"/>
              </w:rPr>
              <w:t>and</w:t>
            </w:r>
            <w:r>
              <w:rPr>
                <w:spacing w:val="-13"/>
                <w:w w:val="85"/>
                <w:sz w:val="16"/>
              </w:rPr>
              <w:t> </w:t>
            </w:r>
            <w:r>
              <w:rPr>
                <w:w w:val="85"/>
                <w:sz w:val="16"/>
              </w:rPr>
              <w:t>the </w:t>
            </w:r>
            <w:r>
              <w:rPr>
                <w:w w:val="95"/>
                <w:sz w:val="16"/>
              </w:rPr>
              <w:t>Pacific</w:t>
            </w:r>
          </w:p>
        </w:tc>
        <w:tc>
          <w:tcPr>
            <w:tcW w:w="3231" w:type="dxa"/>
            <w:tcBorders>
              <w:top w:val="dotted" w:sz="4" w:space="0" w:color="000000"/>
              <w:left w:val="single" w:sz="4" w:space="0" w:color="000000"/>
              <w:bottom w:val="single" w:sz="4" w:space="0" w:color="000000"/>
              <w:right w:val="single" w:sz="4" w:space="0" w:color="000000"/>
            </w:tcBorders>
          </w:tcPr>
          <w:p>
            <w:pPr>
              <w:pStyle w:val="TableParagraph"/>
              <w:spacing w:line="249" w:lineRule="auto"/>
              <w:ind w:left="52" w:right="656"/>
              <w:rPr>
                <w:i/>
                <w:sz w:val="16"/>
              </w:rPr>
            </w:pPr>
            <w:r>
              <w:rPr>
                <w:i/>
                <w:w w:val="85"/>
                <w:sz w:val="16"/>
              </w:rPr>
              <w:t>Strengthening</w:t>
            </w:r>
            <w:r>
              <w:rPr>
                <w:i/>
                <w:spacing w:val="-25"/>
                <w:w w:val="85"/>
                <w:sz w:val="16"/>
              </w:rPr>
              <w:t> </w:t>
            </w:r>
            <w:r>
              <w:rPr>
                <w:i/>
                <w:w w:val="85"/>
                <w:sz w:val="16"/>
              </w:rPr>
              <w:t>CG</w:t>
            </w:r>
            <w:r>
              <w:rPr>
                <w:i/>
                <w:spacing w:val="-25"/>
                <w:w w:val="85"/>
                <w:sz w:val="16"/>
              </w:rPr>
              <w:t> </w:t>
            </w:r>
            <w:r>
              <w:rPr>
                <w:i/>
                <w:w w:val="85"/>
                <w:sz w:val="16"/>
              </w:rPr>
              <w:t>in</w:t>
            </w:r>
            <w:r>
              <w:rPr>
                <w:i/>
                <w:spacing w:val="-25"/>
                <w:w w:val="85"/>
                <w:sz w:val="16"/>
              </w:rPr>
              <w:t> </w:t>
            </w:r>
            <w:r>
              <w:rPr>
                <w:i/>
                <w:w w:val="85"/>
                <w:sz w:val="16"/>
              </w:rPr>
              <w:t>Development</w:t>
            </w:r>
            <w:r>
              <w:rPr>
                <w:i/>
                <w:spacing w:val="-25"/>
                <w:w w:val="85"/>
                <w:sz w:val="16"/>
              </w:rPr>
              <w:t> </w:t>
            </w:r>
            <w:r>
              <w:rPr>
                <w:i/>
                <w:w w:val="85"/>
                <w:sz w:val="16"/>
              </w:rPr>
              <w:t>Finance </w:t>
            </w:r>
            <w:r>
              <w:rPr>
                <w:i/>
                <w:w w:val="95"/>
                <w:sz w:val="16"/>
              </w:rPr>
              <w:t>Institutions</w:t>
            </w:r>
          </w:p>
        </w:tc>
        <w:tc>
          <w:tcPr>
            <w:tcW w:w="283" w:type="dxa"/>
            <w:tcBorders>
              <w:top w:val="dotted"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nil"/>
            </w:tcBorders>
          </w:tcPr>
          <w:p>
            <w:pPr/>
          </w:p>
        </w:tc>
      </w:tr>
      <w:tr>
        <w:trPr>
          <w:trHeight w:val="228" w:hRule="exact"/>
        </w:trPr>
        <w:tc>
          <w:tcPr>
            <w:tcW w:w="850" w:type="dxa"/>
            <w:vMerge w:val="restart"/>
            <w:tcBorders>
              <w:top w:val="single" w:sz="4" w:space="0" w:color="000000"/>
              <w:left w:val="nil"/>
              <w:right w:val="single" w:sz="4" w:space="0" w:color="000000"/>
            </w:tcBorders>
          </w:tcPr>
          <w:p>
            <w:pPr>
              <w:pStyle w:val="TableParagraph"/>
              <w:ind w:left="57"/>
              <w:rPr>
                <w:sz w:val="16"/>
              </w:rPr>
            </w:pPr>
            <w:r>
              <w:rPr>
                <w:w w:val="90"/>
                <w:sz w:val="16"/>
              </w:rPr>
              <w:t>Indonesia</w:t>
            </w:r>
          </w:p>
        </w:tc>
        <w:tc>
          <w:tcPr>
            <w:tcW w:w="3997" w:type="dxa"/>
            <w:tcBorders>
              <w:top w:val="single" w:sz="4" w:space="0" w:color="000000"/>
              <w:left w:val="single" w:sz="4" w:space="0" w:color="000000"/>
              <w:bottom w:val="dotted" w:sz="4" w:space="0" w:color="000000"/>
              <w:right w:val="single" w:sz="4" w:space="0" w:color="000000"/>
            </w:tcBorders>
          </w:tcPr>
          <w:p>
            <w:pPr>
              <w:pStyle w:val="TableParagraph"/>
              <w:ind w:left="52" w:right="83"/>
              <w:rPr>
                <w:sz w:val="16"/>
              </w:rPr>
            </w:pPr>
            <w:r>
              <w:rPr>
                <w:w w:val="85"/>
                <w:sz w:val="16"/>
              </w:rPr>
              <w:t>Indonesian Institute of Corporate Directors</w:t>
            </w:r>
          </w:p>
        </w:tc>
        <w:tc>
          <w:tcPr>
            <w:tcW w:w="3231" w:type="dxa"/>
            <w:tcBorders>
              <w:top w:val="single" w:sz="4" w:space="0" w:color="000000"/>
              <w:left w:val="single" w:sz="4" w:space="0" w:color="000000"/>
              <w:bottom w:val="dotted" w:sz="4" w:space="0" w:color="000000"/>
              <w:right w:val="single" w:sz="4" w:space="0" w:color="000000"/>
            </w:tcBorders>
          </w:tcPr>
          <w:p>
            <w:pPr>
              <w:pStyle w:val="TableParagraph"/>
              <w:ind w:left="52" w:right="162"/>
              <w:rPr>
                <w:i/>
                <w:sz w:val="16"/>
              </w:rPr>
            </w:pPr>
            <w:r>
              <w:rPr>
                <w:i/>
                <w:w w:val="85"/>
                <w:sz w:val="16"/>
              </w:rPr>
              <w:t>Improving CG in Publicly Listed Firms</w:t>
            </w:r>
          </w:p>
        </w:tc>
        <w:tc>
          <w:tcPr>
            <w:tcW w:w="283" w:type="dxa"/>
            <w:tcBorders>
              <w:top w:val="single" w:sz="4" w:space="0" w:color="000000"/>
              <w:left w:val="single"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nil"/>
            </w:tcBorders>
          </w:tcPr>
          <w:p>
            <w:pPr/>
          </w:p>
        </w:tc>
      </w:tr>
      <w:tr>
        <w:trPr>
          <w:trHeight w:val="228" w:hRule="exact"/>
        </w:trPr>
        <w:tc>
          <w:tcPr>
            <w:tcW w:w="850" w:type="dxa"/>
            <w:vMerge/>
            <w:tcBorders>
              <w:left w:val="nil"/>
              <w:bottom w:val="single" w:sz="4" w:space="0" w:color="000000"/>
              <w:right w:val="single" w:sz="4" w:space="0" w:color="000000"/>
            </w:tcBorders>
          </w:tcPr>
          <w:p>
            <w:pPr/>
          </w:p>
        </w:tc>
        <w:tc>
          <w:tcPr>
            <w:tcW w:w="3997" w:type="dxa"/>
            <w:tcBorders>
              <w:top w:val="dotted" w:sz="4" w:space="0" w:color="000000"/>
              <w:left w:val="single" w:sz="4" w:space="0" w:color="000000"/>
              <w:bottom w:val="single" w:sz="4" w:space="0" w:color="000000"/>
              <w:right w:val="single" w:sz="4" w:space="0" w:color="000000"/>
            </w:tcBorders>
          </w:tcPr>
          <w:p>
            <w:pPr>
              <w:pStyle w:val="TableParagraph"/>
              <w:ind w:left="52" w:right="83"/>
              <w:rPr>
                <w:sz w:val="16"/>
              </w:rPr>
            </w:pPr>
            <w:r>
              <w:rPr>
                <w:w w:val="85"/>
                <w:sz w:val="16"/>
              </w:rPr>
              <w:t>Lembaga Komisaris dan Direktur Indonesia</w:t>
            </w:r>
          </w:p>
        </w:tc>
        <w:tc>
          <w:tcPr>
            <w:tcW w:w="3231" w:type="dxa"/>
            <w:tcBorders>
              <w:top w:val="dotted" w:sz="4" w:space="0" w:color="000000"/>
              <w:left w:val="single" w:sz="4" w:space="0" w:color="000000"/>
              <w:bottom w:val="single" w:sz="4" w:space="0" w:color="000000"/>
              <w:right w:val="single" w:sz="4" w:space="0" w:color="000000"/>
            </w:tcBorders>
          </w:tcPr>
          <w:p>
            <w:pPr>
              <w:pStyle w:val="TableParagraph"/>
              <w:ind w:left="52" w:right="162"/>
              <w:rPr>
                <w:i/>
                <w:sz w:val="16"/>
              </w:rPr>
            </w:pPr>
            <w:r>
              <w:rPr>
                <w:i/>
                <w:w w:val="80"/>
                <w:sz w:val="16"/>
              </w:rPr>
              <w:t>Strengthening CG in Indonesia</w:t>
            </w:r>
          </w:p>
        </w:tc>
        <w:tc>
          <w:tcPr>
            <w:tcW w:w="283" w:type="dxa"/>
            <w:tcBorders>
              <w:top w:val="dotted"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Style w:val="TableParagraph"/>
              <w:ind w:right="101"/>
              <w:jc w:val="center"/>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nil"/>
            </w:tcBorders>
          </w:tcPr>
          <w:p>
            <w:pPr/>
          </w:p>
        </w:tc>
      </w:tr>
      <w:tr>
        <w:trPr>
          <w:trHeight w:val="420" w:hRule="exact"/>
        </w:trPr>
        <w:tc>
          <w:tcPr>
            <w:tcW w:w="850" w:type="dxa"/>
            <w:vMerge w:val="restart"/>
            <w:tcBorders>
              <w:top w:val="single" w:sz="4" w:space="0" w:color="000000"/>
              <w:left w:val="nil"/>
              <w:right w:val="single" w:sz="4" w:space="0" w:color="000000"/>
            </w:tcBorders>
          </w:tcPr>
          <w:p>
            <w:pPr>
              <w:pStyle w:val="TableParagraph"/>
              <w:ind w:left="57"/>
              <w:rPr>
                <w:sz w:val="16"/>
              </w:rPr>
            </w:pPr>
            <w:r>
              <w:rPr>
                <w:w w:val="95"/>
                <w:sz w:val="16"/>
              </w:rPr>
              <w:t>Pakistán</w:t>
            </w:r>
          </w:p>
        </w:tc>
        <w:tc>
          <w:tcPr>
            <w:tcW w:w="3997" w:type="dxa"/>
            <w:vMerge w:val="restart"/>
            <w:tcBorders>
              <w:top w:val="single" w:sz="4" w:space="0" w:color="000000"/>
              <w:left w:val="single" w:sz="4" w:space="0" w:color="000000"/>
              <w:right w:val="single" w:sz="4" w:space="0" w:color="000000"/>
            </w:tcBorders>
          </w:tcPr>
          <w:p>
            <w:pPr>
              <w:pStyle w:val="TableParagraph"/>
              <w:ind w:left="52" w:right="83"/>
              <w:rPr>
                <w:sz w:val="16"/>
              </w:rPr>
            </w:pPr>
            <w:r>
              <w:rPr>
                <w:w w:val="85"/>
                <w:sz w:val="16"/>
              </w:rPr>
              <w:t>Pakistan Institute of Corporate Governance</w:t>
            </w:r>
          </w:p>
        </w:tc>
        <w:tc>
          <w:tcPr>
            <w:tcW w:w="3231" w:type="dxa"/>
            <w:tcBorders>
              <w:top w:val="single" w:sz="4" w:space="0" w:color="000000"/>
              <w:left w:val="single" w:sz="4" w:space="0" w:color="000000"/>
              <w:bottom w:val="dotted" w:sz="4" w:space="0" w:color="000000"/>
              <w:right w:val="single" w:sz="4" w:space="0" w:color="000000"/>
            </w:tcBorders>
          </w:tcPr>
          <w:p>
            <w:pPr>
              <w:pStyle w:val="TableParagraph"/>
              <w:spacing w:line="249" w:lineRule="auto"/>
              <w:ind w:left="52" w:right="162"/>
              <w:rPr>
                <w:i/>
                <w:sz w:val="16"/>
              </w:rPr>
            </w:pPr>
            <w:r>
              <w:rPr>
                <w:i/>
                <w:w w:val="85"/>
                <w:sz w:val="16"/>
              </w:rPr>
              <w:t>Reducing</w:t>
            </w:r>
            <w:r>
              <w:rPr>
                <w:i/>
                <w:spacing w:val="-15"/>
                <w:w w:val="85"/>
                <w:sz w:val="16"/>
              </w:rPr>
              <w:t> </w:t>
            </w:r>
            <w:r>
              <w:rPr>
                <w:i/>
                <w:w w:val="85"/>
                <w:sz w:val="16"/>
              </w:rPr>
              <w:t>Corruption</w:t>
            </w:r>
            <w:r>
              <w:rPr>
                <w:i/>
                <w:spacing w:val="-15"/>
                <w:w w:val="85"/>
                <w:sz w:val="16"/>
              </w:rPr>
              <w:t> </w:t>
            </w:r>
            <w:r>
              <w:rPr>
                <w:i/>
                <w:w w:val="85"/>
                <w:sz w:val="16"/>
              </w:rPr>
              <w:t>by</w:t>
            </w:r>
            <w:r>
              <w:rPr>
                <w:i/>
                <w:spacing w:val="-15"/>
                <w:w w:val="85"/>
                <w:sz w:val="16"/>
              </w:rPr>
              <w:t> </w:t>
            </w:r>
            <w:r>
              <w:rPr>
                <w:i/>
                <w:w w:val="85"/>
                <w:sz w:val="16"/>
              </w:rPr>
              <w:t>strengthening</w:t>
            </w:r>
            <w:r>
              <w:rPr>
                <w:i/>
                <w:spacing w:val="-15"/>
                <w:w w:val="85"/>
                <w:sz w:val="16"/>
              </w:rPr>
              <w:t> </w:t>
            </w:r>
            <w:r>
              <w:rPr>
                <w:i/>
                <w:w w:val="85"/>
                <w:sz w:val="16"/>
              </w:rPr>
              <w:t>CG</w:t>
            </w:r>
            <w:r>
              <w:rPr>
                <w:i/>
                <w:spacing w:val="-15"/>
                <w:w w:val="85"/>
                <w:sz w:val="16"/>
              </w:rPr>
              <w:t> </w:t>
            </w:r>
            <w:r>
              <w:rPr>
                <w:i/>
                <w:w w:val="85"/>
                <w:sz w:val="16"/>
              </w:rPr>
              <w:t>in</w:t>
            </w:r>
            <w:r>
              <w:rPr>
                <w:i/>
                <w:spacing w:val="-15"/>
                <w:w w:val="85"/>
                <w:sz w:val="16"/>
              </w:rPr>
              <w:t> </w:t>
            </w:r>
            <w:r>
              <w:rPr>
                <w:i/>
                <w:w w:val="85"/>
                <w:sz w:val="16"/>
              </w:rPr>
              <w:t>State- </w:t>
            </w:r>
            <w:r>
              <w:rPr>
                <w:i/>
                <w:w w:val="80"/>
                <w:sz w:val="16"/>
              </w:rPr>
              <w:t>Owned</w:t>
            </w:r>
            <w:r>
              <w:rPr>
                <w:i/>
                <w:spacing w:val="24"/>
                <w:w w:val="80"/>
                <w:sz w:val="16"/>
              </w:rPr>
              <w:t> </w:t>
            </w:r>
            <w:r>
              <w:rPr>
                <w:i/>
                <w:w w:val="80"/>
                <w:sz w:val="16"/>
              </w:rPr>
              <w:t>Enterprises</w:t>
            </w:r>
          </w:p>
        </w:tc>
        <w:tc>
          <w:tcPr>
            <w:tcW w:w="283" w:type="dxa"/>
            <w:tcBorders>
              <w:top w:val="single" w:sz="4" w:space="0" w:color="000000"/>
              <w:left w:val="single"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nil"/>
              <w:right w:val="dotted" w:sz="4" w:space="0" w:color="000000"/>
            </w:tcBorders>
          </w:tcPr>
          <w:p>
            <w:pPr/>
          </w:p>
        </w:tc>
        <w:tc>
          <w:tcPr>
            <w:tcW w:w="283" w:type="dxa"/>
            <w:tcBorders>
              <w:top w:val="single" w:sz="4" w:space="0" w:color="000000"/>
              <w:left w:val="dotted" w:sz="4" w:space="0" w:color="000000"/>
              <w:bottom w:val="nil"/>
              <w:right w:val="dotted" w:sz="4" w:space="0" w:color="000000"/>
            </w:tcBorders>
          </w:tcPr>
          <w:p>
            <w:pPr/>
          </w:p>
        </w:tc>
        <w:tc>
          <w:tcPr>
            <w:tcW w:w="283" w:type="dxa"/>
            <w:tcBorders>
              <w:top w:val="single" w:sz="4" w:space="0" w:color="000000"/>
              <w:left w:val="dotted" w:sz="4" w:space="0" w:color="000000"/>
              <w:bottom w:val="nil"/>
              <w:right w:val="dotted" w:sz="4" w:space="0" w:color="000000"/>
            </w:tcBorders>
          </w:tcPr>
          <w:p>
            <w:pPr/>
          </w:p>
        </w:tc>
        <w:tc>
          <w:tcPr>
            <w:tcW w:w="283" w:type="dxa"/>
            <w:tcBorders>
              <w:top w:val="single" w:sz="4" w:space="0" w:color="000000"/>
              <w:left w:val="dotted" w:sz="4" w:space="0" w:color="000000"/>
              <w:bottom w:val="nil"/>
              <w:right w:val="dotted" w:sz="4" w:space="0" w:color="000000"/>
            </w:tcBorders>
          </w:tcPr>
          <w:p>
            <w:pPr/>
          </w:p>
        </w:tc>
        <w:tc>
          <w:tcPr>
            <w:tcW w:w="283" w:type="dxa"/>
            <w:tcBorders>
              <w:top w:val="single" w:sz="4" w:space="0" w:color="000000"/>
              <w:left w:val="dotted" w:sz="4" w:space="0" w:color="000000"/>
              <w:bottom w:val="nil"/>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nil"/>
              <w:right w:val="nil"/>
            </w:tcBorders>
          </w:tcPr>
          <w:p>
            <w:pPr/>
          </w:p>
        </w:tc>
      </w:tr>
      <w:tr>
        <w:trPr>
          <w:trHeight w:val="233" w:hRule="exact"/>
        </w:trPr>
        <w:tc>
          <w:tcPr>
            <w:tcW w:w="850" w:type="dxa"/>
            <w:vMerge/>
            <w:tcBorders>
              <w:left w:val="nil"/>
              <w:right w:val="single" w:sz="4" w:space="0" w:color="000000"/>
            </w:tcBorders>
          </w:tcPr>
          <w:p>
            <w:pPr/>
          </w:p>
        </w:tc>
        <w:tc>
          <w:tcPr>
            <w:tcW w:w="3997" w:type="dxa"/>
            <w:vMerge/>
            <w:tcBorders>
              <w:left w:val="single" w:sz="4" w:space="0" w:color="000000"/>
              <w:right w:val="single" w:sz="4" w:space="0" w:color="000000"/>
            </w:tcBorders>
          </w:tcPr>
          <w:p>
            <w:pPr/>
          </w:p>
        </w:tc>
        <w:tc>
          <w:tcPr>
            <w:tcW w:w="3231" w:type="dxa"/>
            <w:tcBorders>
              <w:top w:val="dotted" w:sz="4" w:space="0" w:color="000000"/>
              <w:left w:val="single" w:sz="4" w:space="0" w:color="000000"/>
              <w:bottom w:val="dotted" w:sz="4" w:space="0" w:color="000000"/>
              <w:right w:val="single" w:sz="4" w:space="0" w:color="000000"/>
            </w:tcBorders>
          </w:tcPr>
          <w:p>
            <w:pPr>
              <w:pStyle w:val="TableParagraph"/>
              <w:ind w:left="52" w:right="162"/>
              <w:rPr>
                <w:sz w:val="16"/>
              </w:rPr>
            </w:pPr>
            <w:r>
              <w:rPr>
                <w:w w:val="80"/>
                <w:sz w:val="16"/>
              </w:rPr>
              <w:t>Agreement for Holding CG Workshops</w:t>
            </w:r>
          </w:p>
        </w:tc>
        <w:tc>
          <w:tcPr>
            <w:tcW w:w="1984" w:type="dxa"/>
            <w:gridSpan w:val="7"/>
            <w:tcBorders>
              <w:top w:val="nil"/>
              <w:left w:val="single" w:sz="4" w:space="0" w:color="000000"/>
              <w:bottom w:val="nil"/>
              <w:right w:val="nil"/>
            </w:tcBorders>
          </w:tcPr>
          <w:p>
            <w:pPr>
              <w:pStyle w:val="TableParagraph"/>
              <w:spacing w:before="21"/>
              <w:ind w:left="619"/>
              <w:rPr>
                <w:sz w:val="16"/>
              </w:rPr>
            </w:pPr>
            <w:r>
              <w:rPr>
                <w:w w:val="81"/>
                <w:sz w:val="16"/>
              </w:rPr>
              <w:t>x</w:t>
            </w:r>
          </w:p>
        </w:tc>
      </w:tr>
      <w:tr>
        <w:trPr>
          <w:trHeight w:val="222" w:hRule="exact"/>
        </w:trPr>
        <w:tc>
          <w:tcPr>
            <w:tcW w:w="850" w:type="dxa"/>
            <w:vMerge/>
            <w:tcBorders>
              <w:left w:val="nil"/>
              <w:bottom w:val="single" w:sz="4" w:space="0" w:color="000000"/>
              <w:right w:val="single" w:sz="4" w:space="0" w:color="000000"/>
            </w:tcBorders>
          </w:tcPr>
          <w:p>
            <w:pPr/>
          </w:p>
        </w:tc>
        <w:tc>
          <w:tcPr>
            <w:tcW w:w="3997" w:type="dxa"/>
            <w:vMerge/>
            <w:tcBorders>
              <w:left w:val="single" w:sz="4" w:space="0" w:color="000000"/>
              <w:bottom w:val="single" w:sz="4" w:space="0" w:color="000000"/>
              <w:right w:val="single" w:sz="4" w:space="0" w:color="000000"/>
            </w:tcBorders>
          </w:tcPr>
          <w:p>
            <w:pPr/>
          </w:p>
        </w:tc>
        <w:tc>
          <w:tcPr>
            <w:tcW w:w="3231" w:type="dxa"/>
            <w:tcBorders>
              <w:top w:val="dotted" w:sz="4" w:space="0" w:color="000000"/>
              <w:left w:val="single" w:sz="4" w:space="0" w:color="000000"/>
              <w:bottom w:val="single" w:sz="4" w:space="0" w:color="000000"/>
              <w:right w:val="single" w:sz="4" w:space="0" w:color="000000"/>
            </w:tcBorders>
          </w:tcPr>
          <w:p>
            <w:pPr>
              <w:pStyle w:val="TableParagraph"/>
              <w:spacing w:before="11"/>
              <w:ind w:left="52" w:right="162"/>
              <w:rPr>
                <w:sz w:val="16"/>
              </w:rPr>
            </w:pPr>
            <w:r>
              <w:rPr>
                <w:w w:val="85"/>
                <w:sz w:val="16"/>
              </w:rPr>
              <w:t>Improving CG in Family-Owned Firms</w:t>
            </w:r>
          </w:p>
        </w:tc>
        <w:tc>
          <w:tcPr>
            <w:tcW w:w="283" w:type="dxa"/>
            <w:tcBorders>
              <w:top w:val="nil"/>
              <w:left w:val="single" w:sz="4" w:space="0" w:color="000000"/>
              <w:bottom w:val="single" w:sz="4" w:space="0" w:color="000000"/>
              <w:right w:val="dotted" w:sz="4" w:space="0" w:color="000000"/>
            </w:tcBorders>
          </w:tcPr>
          <w:p>
            <w:pPr/>
          </w:p>
        </w:tc>
        <w:tc>
          <w:tcPr>
            <w:tcW w:w="283" w:type="dxa"/>
            <w:tcBorders>
              <w:top w:val="nil"/>
              <w:left w:val="dotted" w:sz="4" w:space="0" w:color="000000"/>
              <w:bottom w:val="single" w:sz="4" w:space="0" w:color="000000"/>
              <w:right w:val="dotted" w:sz="4" w:space="0" w:color="000000"/>
            </w:tcBorders>
          </w:tcPr>
          <w:p>
            <w:pPr/>
          </w:p>
        </w:tc>
        <w:tc>
          <w:tcPr>
            <w:tcW w:w="283" w:type="dxa"/>
            <w:tcBorders>
              <w:top w:val="nil"/>
              <w:left w:val="dotted" w:sz="4" w:space="0" w:color="000000"/>
              <w:bottom w:val="single" w:sz="4" w:space="0" w:color="000000"/>
              <w:right w:val="dotted" w:sz="4" w:space="0" w:color="000000"/>
            </w:tcBorders>
          </w:tcPr>
          <w:p>
            <w:pPr>
              <w:pStyle w:val="TableParagraph"/>
              <w:ind w:right="101"/>
              <w:jc w:val="center"/>
              <w:rPr>
                <w:sz w:val="16"/>
              </w:rPr>
            </w:pPr>
            <w:r>
              <w:rPr>
                <w:w w:val="81"/>
                <w:sz w:val="16"/>
              </w:rPr>
              <w:t>x</w:t>
            </w:r>
          </w:p>
        </w:tc>
        <w:tc>
          <w:tcPr>
            <w:tcW w:w="283" w:type="dxa"/>
            <w:tcBorders>
              <w:top w:val="nil"/>
              <w:left w:val="dotted" w:sz="4" w:space="0" w:color="000000"/>
              <w:bottom w:val="single" w:sz="4" w:space="0" w:color="000000"/>
              <w:right w:val="dotted" w:sz="4" w:space="0" w:color="000000"/>
            </w:tcBorders>
          </w:tcPr>
          <w:p>
            <w:pPr/>
          </w:p>
        </w:tc>
        <w:tc>
          <w:tcPr>
            <w:tcW w:w="283" w:type="dxa"/>
            <w:tcBorders>
              <w:top w:val="nil"/>
              <w:left w:val="dotted" w:sz="4" w:space="0" w:color="000000"/>
              <w:bottom w:val="single" w:sz="4" w:space="0" w:color="000000"/>
              <w:right w:val="dotted" w:sz="4" w:space="0" w:color="000000"/>
            </w:tcBorders>
          </w:tcPr>
          <w:p>
            <w:pPr/>
          </w:p>
        </w:tc>
        <w:tc>
          <w:tcPr>
            <w:tcW w:w="283" w:type="dxa"/>
            <w:tcBorders>
              <w:top w:val="nil"/>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ind w:left="57"/>
              <w:rPr>
                <w:sz w:val="16"/>
              </w:rPr>
            </w:pPr>
            <w:r>
              <w:rPr>
                <w:w w:val="90"/>
                <w:sz w:val="16"/>
              </w:rPr>
              <w:t>Albania</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ind w:left="52" w:right="83"/>
              <w:rPr>
                <w:sz w:val="16"/>
              </w:rPr>
            </w:pPr>
            <w:r>
              <w:rPr>
                <w:w w:val="80"/>
                <w:sz w:val="16"/>
              </w:rPr>
              <w:t>Albanian-American  Trade  and  Development Association</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2" w:right="162"/>
              <w:rPr>
                <w:i/>
                <w:sz w:val="16"/>
              </w:rPr>
            </w:pPr>
            <w:r>
              <w:rPr>
                <w:i/>
                <w:w w:val="85"/>
                <w:sz w:val="16"/>
              </w:rPr>
              <w:t>Improving CG in Albania</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vMerge w:val="restart"/>
            <w:tcBorders>
              <w:top w:val="single" w:sz="4" w:space="0" w:color="000000"/>
              <w:left w:val="nil"/>
              <w:right w:val="single" w:sz="4" w:space="0" w:color="000000"/>
            </w:tcBorders>
          </w:tcPr>
          <w:p>
            <w:pPr>
              <w:pStyle w:val="TableParagraph"/>
              <w:ind w:left="57"/>
              <w:rPr>
                <w:sz w:val="16"/>
              </w:rPr>
            </w:pPr>
            <w:r>
              <w:rPr>
                <w:w w:val="90"/>
                <w:sz w:val="16"/>
              </w:rPr>
              <w:t>Kosovo</w:t>
            </w:r>
          </w:p>
        </w:tc>
        <w:tc>
          <w:tcPr>
            <w:tcW w:w="3997" w:type="dxa"/>
            <w:vMerge w:val="restart"/>
            <w:tcBorders>
              <w:top w:val="single" w:sz="4" w:space="0" w:color="000000"/>
              <w:left w:val="single" w:sz="4" w:space="0" w:color="000000"/>
              <w:right w:val="single" w:sz="4" w:space="0" w:color="000000"/>
            </w:tcBorders>
          </w:tcPr>
          <w:p>
            <w:pPr>
              <w:pStyle w:val="TableParagraph"/>
              <w:ind w:left="52" w:right="83"/>
              <w:rPr>
                <w:sz w:val="16"/>
              </w:rPr>
            </w:pPr>
            <w:r>
              <w:rPr>
                <w:w w:val="85"/>
                <w:sz w:val="16"/>
              </w:rPr>
              <w:t>Riinvest Institute for Development Research</w:t>
            </w:r>
          </w:p>
        </w:tc>
        <w:tc>
          <w:tcPr>
            <w:tcW w:w="3231" w:type="dxa"/>
            <w:tcBorders>
              <w:top w:val="single" w:sz="4" w:space="0" w:color="000000"/>
              <w:left w:val="single" w:sz="4" w:space="0" w:color="000000"/>
              <w:bottom w:val="dotted" w:sz="4" w:space="0" w:color="000000"/>
              <w:right w:val="single" w:sz="4" w:space="0" w:color="000000"/>
            </w:tcBorders>
          </w:tcPr>
          <w:p>
            <w:pPr>
              <w:pStyle w:val="TableParagraph"/>
              <w:ind w:left="52" w:right="162"/>
              <w:rPr>
                <w:i/>
                <w:sz w:val="16"/>
              </w:rPr>
            </w:pPr>
            <w:r>
              <w:rPr>
                <w:i/>
                <w:w w:val="80"/>
                <w:sz w:val="16"/>
              </w:rPr>
              <w:t>Improving CG and Transparency</w:t>
            </w:r>
          </w:p>
        </w:tc>
        <w:tc>
          <w:tcPr>
            <w:tcW w:w="283" w:type="dxa"/>
            <w:tcBorders>
              <w:top w:val="single" w:sz="4" w:space="0" w:color="000000"/>
              <w:left w:val="single"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nil"/>
            </w:tcBorders>
          </w:tcPr>
          <w:p>
            <w:pPr>
              <w:pStyle w:val="TableParagraph"/>
              <w:ind w:right="107"/>
              <w:jc w:val="center"/>
              <w:rPr>
                <w:sz w:val="16"/>
              </w:rPr>
            </w:pPr>
            <w:r>
              <w:rPr>
                <w:w w:val="81"/>
                <w:sz w:val="16"/>
              </w:rPr>
              <w:t>x</w:t>
            </w:r>
          </w:p>
        </w:tc>
      </w:tr>
      <w:tr>
        <w:trPr>
          <w:trHeight w:val="420" w:hRule="exact"/>
        </w:trPr>
        <w:tc>
          <w:tcPr>
            <w:tcW w:w="850" w:type="dxa"/>
            <w:vMerge/>
            <w:tcBorders>
              <w:left w:val="nil"/>
              <w:bottom w:val="single" w:sz="4" w:space="0" w:color="000000"/>
              <w:right w:val="single" w:sz="4" w:space="0" w:color="000000"/>
            </w:tcBorders>
          </w:tcPr>
          <w:p>
            <w:pPr/>
          </w:p>
        </w:tc>
        <w:tc>
          <w:tcPr>
            <w:tcW w:w="3997" w:type="dxa"/>
            <w:vMerge/>
            <w:tcBorders>
              <w:left w:val="single" w:sz="4" w:space="0" w:color="000000"/>
              <w:bottom w:val="single" w:sz="4" w:space="0" w:color="000000"/>
              <w:right w:val="single" w:sz="4" w:space="0" w:color="000000"/>
            </w:tcBorders>
          </w:tcPr>
          <w:p>
            <w:pPr/>
          </w:p>
        </w:tc>
        <w:tc>
          <w:tcPr>
            <w:tcW w:w="3231" w:type="dxa"/>
            <w:tcBorders>
              <w:top w:val="dotted" w:sz="4" w:space="0" w:color="000000"/>
              <w:left w:val="single" w:sz="4" w:space="0" w:color="000000"/>
              <w:bottom w:val="single" w:sz="4" w:space="0" w:color="000000"/>
              <w:right w:val="single" w:sz="4" w:space="0" w:color="000000"/>
            </w:tcBorders>
          </w:tcPr>
          <w:p>
            <w:pPr>
              <w:pStyle w:val="TableParagraph"/>
              <w:spacing w:line="249" w:lineRule="auto" w:before="17"/>
              <w:ind w:left="52" w:right="210"/>
              <w:rPr>
                <w:sz w:val="16"/>
              </w:rPr>
            </w:pPr>
            <w:r>
              <w:rPr>
                <w:w w:val="85"/>
                <w:sz w:val="16"/>
              </w:rPr>
              <w:t>Improving</w:t>
            </w:r>
            <w:r>
              <w:rPr>
                <w:spacing w:val="-20"/>
                <w:w w:val="85"/>
                <w:sz w:val="16"/>
              </w:rPr>
              <w:t> </w:t>
            </w:r>
            <w:r>
              <w:rPr>
                <w:w w:val="85"/>
                <w:sz w:val="16"/>
              </w:rPr>
              <w:t>the</w:t>
            </w:r>
            <w:r>
              <w:rPr>
                <w:spacing w:val="-20"/>
                <w:w w:val="85"/>
                <w:sz w:val="16"/>
              </w:rPr>
              <w:t> </w:t>
            </w:r>
            <w:r>
              <w:rPr>
                <w:w w:val="85"/>
                <w:sz w:val="16"/>
              </w:rPr>
              <w:t>CG</w:t>
            </w:r>
            <w:r>
              <w:rPr>
                <w:spacing w:val="-20"/>
                <w:w w:val="85"/>
                <w:sz w:val="16"/>
              </w:rPr>
              <w:t> </w:t>
            </w:r>
            <w:r>
              <w:rPr>
                <w:w w:val="85"/>
                <w:sz w:val="16"/>
              </w:rPr>
              <w:t>Framework</w:t>
            </w:r>
            <w:r>
              <w:rPr>
                <w:spacing w:val="-20"/>
                <w:w w:val="85"/>
                <w:sz w:val="16"/>
              </w:rPr>
              <w:t> </w:t>
            </w:r>
            <w:r>
              <w:rPr>
                <w:w w:val="85"/>
                <w:sz w:val="16"/>
              </w:rPr>
              <w:t>and</w:t>
            </w:r>
            <w:r>
              <w:rPr>
                <w:spacing w:val="-22"/>
                <w:w w:val="85"/>
                <w:sz w:val="16"/>
              </w:rPr>
              <w:t> </w:t>
            </w:r>
            <w:r>
              <w:rPr>
                <w:w w:val="85"/>
                <w:sz w:val="16"/>
              </w:rPr>
              <w:t>Transparency</w:t>
            </w:r>
            <w:r>
              <w:rPr>
                <w:spacing w:val="-20"/>
                <w:w w:val="85"/>
                <w:sz w:val="16"/>
              </w:rPr>
              <w:t> </w:t>
            </w:r>
            <w:r>
              <w:rPr>
                <w:w w:val="85"/>
                <w:sz w:val="16"/>
              </w:rPr>
              <w:t>in Publicly</w:t>
            </w:r>
            <w:r>
              <w:rPr>
                <w:spacing w:val="-24"/>
                <w:w w:val="85"/>
                <w:sz w:val="16"/>
              </w:rPr>
              <w:t> </w:t>
            </w:r>
            <w:r>
              <w:rPr>
                <w:w w:val="85"/>
                <w:sz w:val="16"/>
              </w:rPr>
              <w:t>owned</w:t>
            </w:r>
            <w:r>
              <w:rPr>
                <w:spacing w:val="-24"/>
                <w:w w:val="85"/>
                <w:sz w:val="16"/>
              </w:rPr>
              <w:t> </w:t>
            </w:r>
            <w:r>
              <w:rPr>
                <w:w w:val="85"/>
                <w:sz w:val="16"/>
              </w:rPr>
              <w:t>Enterprises</w:t>
            </w:r>
          </w:p>
        </w:tc>
        <w:tc>
          <w:tcPr>
            <w:tcW w:w="283" w:type="dxa"/>
            <w:tcBorders>
              <w:top w:val="dotted" w:sz="4" w:space="0" w:color="000000"/>
              <w:left w:val="single" w:sz="4" w:space="0" w:color="000000"/>
              <w:bottom w:val="single" w:sz="4" w:space="0" w:color="000000"/>
              <w:right w:val="dotted" w:sz="4" w:space="0" w:color="000000"/>
            </w:tcBorders>
          </w:tcPr>
          <w:p>
            <w:pPr>
              <w:pStyle w:val="TableParagraph"/>
              <w:spacing w:before="17"/>
              <w:ind w:left="52"/>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spacing w:before="17"/>
              <w:ind w:left="57"/>
              <w:rPr>
                <w:sz w:val="16"/>
              </w:rPr>
            </w:pPr>
            <w:r>
              <w:rPr>
                <w:w w:val="90"/>
                <w:sz w:val="16"/>
              </w:rPr>
              <w:t>Serbia</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ight="83"/>
              <w:rPr>
                <w:sz w:val="16"/>
              </w:rPr>
            </w:pPr>
            <w:r>
              <w:rPr>
                <w:w w:val="85"/>
                <w:sz w:val="16"/>
              </w:rPr>
              <w:t>Center for Liberal-Democratic Studies</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ight="162"/>
              <w:rPr>
                <w:sz w:val="16"/>
              </w:rPr>
            </w:pPr>
            <w:r>
              <w:rPr>
                <w:w w:val="80"/>
                <w:sz w:val="16"/>
              </w:rPr>
              <w:t>Improving CG: Five Years Later</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spacing w:before="17"/>
              <w:ind w:left="52"/>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spacing w:before="17"/>
              <w:ind w:right="100"/>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spacing w:before="17"/>
              <w:ind w:right="100"/>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spacing w:before="17"/>
              <w:ind w:left="57"/>
              <w:rPr>
                <w:sz w:val="16"/>
              </w:rPr>
            </w:pPr>
            <w:r>
              <w:rPr>
                <w:w w:val="95"/>
                <w:sz w:val="16"/>
              </w:rPr>
              <w:t>Kirguistán</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ight="83"/>
              <w:rPr>
                <w:sz w:val="16"/>
              </w:rPr>
            </w:pPr>
            <w:r>
              <w:rPr>
                <w:w w:val="80"/>
                <w:sz w:val="16"/>
              </w:rPr>
              <w:t>Corporate Governance School</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ight="162"/>
              <w:rPr>
                <w:i/>
                <w:sz w:val="16"/>
              </w:rPr>
            </w:pPr>
            <w:r>
              <w:rPr>
                <w:i/>
                <w:w w:val="80"/>
                <w:sz w:val="16"/>
              </w:rPr>
              <w:t>Strengthening CG in Kyrgyzstan</w:t>
            </w:r>
          </w:p>
        </w:tc>
        <w:tc>
          <w:tcPr>
            <w:tcW w:w="283" w:type="dxa"/>
            <w:tcBorders>
              <w:top w:val="single" w:sz="4" w:space="0" w:color="000000"/>
              <w:left w:val="single"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Style w:val="TableParagraph"/>
              <w:spacing w:before="17"/>
              <w:ind w:left="52"/>
              <w:rPr>
                <w:sz w:val="16"/>
              </w:rPr>
            </w:pPr>
            <w:r>
              <w:rPr>
                <w:w w:val="81"/>
                <w:sz w:val="16"/>
              </w:rPr>
              <w:t>x</w:t>
            </w:r>
          </w:p>
        </w:tc>
        <w:tc>
          <w:tcPr>
            <w:tcW w:w="283" w:type="dxa"/>
            <w:tcBorders>
              <w:top w:val="single" w:sz="4" w:space="0" w:color="000000"/>
              <w:left w:val="dotted" w:sz="4" w:space="0" w:color="000000"/>
              <w:bottom w:val="single" w:sz="4" w:space="0" w:color="000000"/>
              <w:right w:val="nil"/>
            </w:tcBorders>
          </w:tcPr>
          <w:p>
            <w:pPr>
              <w:pStyle w:val="TableParagraph"/>
              <w:spacing w:before="17"/>
              <w:ind w:right="105"/>
              <w:jc w:val="center"/>
              <w:rPr>
                <w:sz w:val="16"/>
              </w:rPr>
            </w:pPr>
            <w:r>
              <w:rPr>
                <w:w w:val="81"/>
                <w:sz w:val="16"/>
              </w:rPr>
              <w:t>x</w:t>
            </w:r>
          </w:p>
        </w:tc>
      </w:tr>
      <w:tr>
        <w:trPr>
          <w:trHeight w:val="420" w:hRule="exact"/>
        </w:trPr>
        <w:tc>
          <w:tcPr>
            <w:tcW w:w="850" w:type="dxa"/>
            <w:tcBorders>
              <w:top w:val="single" w:sz="4" w:space="0" w:color="000000"/>
              <w:left w:val="nil"/>
              <w:bottom w:val="single" w:sz="4" w:space="0" w:color="000000"/>
              <w:right w:val="single" w:sz="4" w:space="0" w:color="000000"/>
            </w:tcBorders>
          </w:tcPr>
          <w:p>
            <w:pPr>
              <w:pStyle w:val="TableParagraph"/>
              <w:spacing w:before="17"/>
              <w:ind w:left="57"/>
              <w:rPr>
                <w:sz w:val="16"/>
              </w:rPr>
            </w:pPr>
            <w:r>
              <w:rPr>
                <w:w w:val="95"/>
                <w:sz w:val="16"/>
              </w:rPr>
              <w:t>Rusia</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spacing w:before="17"/>
              <w:ind w:left="52" w:right="83"/>
              <w:rPr>
                <w:sz w:val="16"/>
              </w:rPr>
            </w:pPr>
            <w:r>
              <w:rPr>
                <w:w w:val="85"/>
                <w:sz w:val="16"/>
              </w:rPr>
              <w:t>Russian Institute of Directors</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spacing w:line="249" w:lineRule="auto" w:before="17"/>
              <w:ind w:left="52" w:right="162"/>
              <w:rPr>
                <w:i/>
                <w:sz w:val="16"/>
              </w:rPr>
            </w:pPr>
            <w:r>
              <w:rPr>
                <w:i/>
                <w:w w:val="85"/>
                <w:sz w:val="16"/>
              </w:rPr>
              <w:t>Improving</w:t>
            </w:r>
            <w:r>
              <w:rPr>
                <w:i/>
                <w:spacing w:val="-17"/>
                <w:w w:val="85"/>
                <w:sz w:val="16"/>
              </w:rPr>
              <w:t> </w:t>
            </w:r>
            <w:r>
              <w:rPr>
                <w:i/>
                <w:w w:val="85"/>
                <w:sz w:val="16"/>
              </w:rPr>
              <w:t>CG</w:t>
            </w:r>
            <w:r>
              <w:rPr>
                <w:i/>
                <w:spacing w:val="-17"/>
                <w:w w:val="85"/>
                <w:sz w:val="16"/>
              </w:rPr>
              <w:t> </w:t>
            </w:r>
            <w:r>
              <w:rPr>
                <w:i/>
                <w:w w:val="85"/>
                <w:sz w:val="16"/>
              </w:rPr>
              <w:t>and</w:t>
            </w:r>
            <w:r>
              <w:rPr>
                <w:i/>
                <w:spacing w:val="-17"/>
                <w:w w:val="85"/>
                <w:sz w:val="16"/>
              </w:rPr>
              <w:t> </w:t>
            </w:r>
            <w:r>
              <w:rPr>
                <w:i/>
                <w:w w:val="85"/>
                <w:sz w:val="16"/>
              </w:rPr>
              <w:t>Investment</w:t>
            </w:r>
            <w:r>
              <w:rPr>
                <w:i/>
                <w:spacing w:val="-20"/>
                <w:w w:val="85"/>
                <w:sz w:val="16"/>
              </w:rPr>
              <w:t> </w:t>
            </w:r>
            <w:r>
              <w:rPr>
                <w:i/>
                <w:w w:val="85"/>
                <w:sz w:val="16"/>
              </w:rPr>
              <w:t>Attraction</w:t>
            </w:r>
            <w:r>
              <w:rPr>
                <w:i/>
                <w:spacing w:val="-17"/>
                <w:w w:val="85"/>
                <w:sz w:val="16"/>
              </w:rPr>
              <w:t> </w:t>
            </w:r>
            <w:r>
              <w:rPr>
                <w:i/>
                <w:w w:val="85"/>
                <w:sz w:val="16"/>
              </w:rPr>
              <w:t>in</w:t>
            </w:r>
            <w:r>
              <w:rPr>
                <w:i/>
                <w:spacing w:val="-17"/>
                <w:w w:val="85"/>
                <w:sz w:val="16"/>
              </w:rPr>
              <w:t> </w:t>
            </w:r>
            <w:r>
              <w:rPr>
                <w:i/>
                <w:w w:val="85"/>
                <w:sz w:val="16"/>
              </w:rPr>
              <w:t>Russian </w:t>
            </w:r>
            <w:r>
              <w:rPr>
                <w:i/>
                <w:w w:val="80"/>
                <w:sz w:val="16"/>
              </w:rPr>
              <w:t>Medium  Sized</w:t>
            </w:r>
            <w:r>
              <w:rPr>
                <w:i/>
                <w:spacing w:val="2"/>
                <w:w w:val="80"/>
                <w:sz w:val="16"/>
              </w:rPr>
              <w:t> </w:t>
            </w:r>
            <w:r>
              <w:rPr>
                <w:i/>
                <w:w w:val="80"/>
                <w:sz w:val="16"/>
              </w:rPr>
              <w:t>Companies</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spacing w:before="17"/>
              <w:ind w:left="52"/>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vMerge w:val="restart"/>
            <w:tcBorders>
              <w:top w:val="single" w:sz="4" w:space="0" w:color="000000"/>
              <w:left w:val="nil"/>
              <w:right w:val="single" w:sz="4" w:space="0" w:color="000000"/>
            </w:tcBorders>
          </w:tcPr>
          <w:p>
            <w:pPr>
              <w:pStyle w:val="TableParagraph"/>
              <w:spacing w:before="17"/>
              <w:ind w:left="57"/>
              <w:rPr>
                <w:sz w:val="16"/>
              </w:rPr>
            </w:pPr>
            <w:r>
              <w:rPr>
                <w:w w:val="95"/>
                <w:sz w:val="16"/>
              </w:rPr>
              <w:t>Argentina</w:t>
            </w:r>
          </w:p>
        </w:tc>
        <w:tc>
          <w:tcPr>
            <w:tcW w:w="3997" w:type="dxa"/>
            <w:vMerge w:val="restart"/>
            <w:tcBorders>
              <w:top w:val="single" w:sz="4" w:space="0" w:color="000000"/>
              <w:left w:val="single" w:sz="4" w:space="0" w:color="000000"/>
              <w:right w:val="single" w:sz="4" w:space="0" w:color="000000"/>
            </w:tcBorders>
          </w:tcPr>
          <w:p>
            <w:pPr>
              <w:pStyle w:val="TableParagraph"/>
              <w:spacing w:before="17"/>
              <w:ind w:left="52" w:right="83"/>
              <w:rPr>
                <w:sz w:val="16"/>
              </w:rPr>
            </w:pPr>
            <w:r>
              <w:rPr>
                <w:i/>
                <w:w w:val="80"/>
                <w:sz w:val="16"/>
              </w:rPr>
              <w:t>Fundación Centro para la Estabilidad Financiera </w:t>
            </w:r>
            <w:r>
              <w:rPr>
                <w:w w:val="80"/>
                <w:sz w:val="16"/>
              </w:rPr>
              <w:t>(CEF)</w:t>
            </w:r>
          </w:p>
        </w:tc>
        <w:tc>
          <w:tcPr>
            <w:tcW w:w="3231" w:type="dxa"/>
            <w:tcBorders>
              <w:top w:val="single" w:sz="4" w:space="0" w:color="000000"/>
              <w:left w:val="single" w:sz="4" w:space="0" w:color="000000"/>
              <w:bottom w:val="dotted" w:sz="4" w:space="0" w:color="000000"/>
              <w:right w:val="single" w:sz="4" w:space="0" w:color="000000"/>
            </w:tcBorders>
          </w:tcPr>
          <w:p>
            <w:pPr>
              <w:pStyle w:val="TableParagraph"/>
              <w:spacing w:before="17"/>
              <w:ind w:left="52" w:right="162"/>
              <w:rPr>
                <w:i/>
                <w:sz w:val="16"/>
              </w:rPr>
            </w:pPr>
            <w:r>
              <w:rPr>
                <w:i/>
                <w:w w:val="85"/>
                <w:sz w:val="16"/>
              </w:rPr>
              <w:t>Improving CG Standards in Argentina</w:t>
            </w:r>
          </w:p>
        </w:tc>
        <w:tc>
          <w:tcPr>
            <w:tcW w:w="283" w:type="dxa"/>
            <w:tcBorders>
              <w:top w:val="single" w:sz="4" w:space="0" w:color="000000"/>
              <w:left w:val="single" w:sz="4" w:space="0" w:color="000000"/>
              <w:bottom w:val="dotted" w:sz="4" w:space="0" w:color="000000"/>
              <w:right w:val="dotted" w:sz="4" w:space="0" w:color="000000"/>
            </w:tcBorders>
          </w:tcPr>
          <w:p>
            <w:pPr>
              <w:pStyle w:val="TableParagraph"/>
              <w:spacing w:before="17"/>
              <w:ind w:left="52"/>
              <w:rPr>
                <w:sz w:val="16"/>
              </w:rPr>
            </w:pPr>
            <w:r>
              <w:rPr>
                <w:w w:val="81"/>
                <w:sz w:val="16"/>
              </w:rPr>
              <w:t>x</w:t>
            </w:r>
          </w:p>
        </w:tc>
        <w:tc>
          <w:tcPr>
            <w:tcW w:w="283" w:type="dxa"/>
            <w:tcBorders>
              <w:top w:val="single" w:sz="4" w:space="0" w:color="000000"/>
              <w:left w:val="dotted" w:sz="4" w:space="0" w:color="000000"/>
              <w:bottom w:val="nil"/>
              <w:right w:val="dotted" w:sz="4" w:space="0" w:color="000000"/>
            </w:tcBorders>
          </w:tcPr>
          <w:p>
            <w:pPr>
              <w:pStyle w:val="TableParagraph"/>
              <w:spacing w:before="17"/>
              <w:ind w:right="100"/>
              <w:jc w:val="center"/>
              <w:rPr>
                <w:sz w:val="16"/>
              </w:rPr>
            </w:pPr>
            <w:r>
              <w:rPr>
                <w:w w:val="81"/>
                <w:sz w:val="16"/>
              </w:rPr>
              <w:t>x</w:t>
            </w:r>
          </w:p>
        </w:tc>
        <w:tc>
          <w:tcPr>
            <w:tcW w:w="283" w:type="dxa"/>
            <w:tcBorders>
              <w:top w:val="single" w:sz="4" w:space="0" w:color="000000"/>
              <w:left w:val="dotted" w:sz="4" w:space="0" w:color="000000"/>
              <w:bottom w:val="nil"/>
              <w:right w:val="dotted" w:sz="4" w:space="0" w:color="000000"/>
            </w:tcBorders>
          </w:tcPr>
          <w:p>
            <w:pPr/>
          </w:p>
        </w:tc>
        <w:tc>
          <w:tcPr>
            <w:tcW w:w="283" w:type="dxa"/>
            <w:tcBorders>
              <w:top w:val="single" w:sz="4" w:space="0" w:color="000000"/>
              <w:left w:val="dotted" w:sz="4" w:space="0" w:color="000000"/>
              <w:bottom w:val="nil"/>
              <w:right w:val="dotted" w:sz="4" w:space="0" w:color="000000"/>
            </w:tcBorders>
          </w:tcPr>
          <w:p>
            <w:pPr/>
          </w:p>
        </w:tc>
        <w:tc>
          <w:tcPr>
            <w:tcW w:w="283" w:type="dxa"/>
            <w:tcBorders>
              <w:top w:val="single" w:sz="4" w:space="0" w:color="000000"/>
              <w:left w:val="dotted" w:sz="4" w:space="0" w:color="000000"/>
              <w:bottom w:val="nil"/>
              <w:right w:val="dotted" w:sz="4" w:space="0" w:color="000000"/>
            </w:tcBorders>
          </w:tcPr>
          <w:p>
            <w:pPr/>
          </w:p>
        </w:tc>
        <w:tc>
          <w:tcPr>
            <w:tcW w:w="283" w:type="dxa"/>
            <w:tcBorders>
              <w:top w:val="single" w:sz="4" w:space="0" w:color="000000"/>
              <w:left w:val="dotted" w:sz="4" w:space="0" w:color="000000"/>
              <w:bottom w:val="nil"/>
              <w:right w:val="dotted" w:sz="4" w:space="0" w:color="000000"/>
            </w:tcBorders>
          </w:tcPr>
          <w:p>
            <w:pPr/>
          </w:p>
        </w:tc>
        <w:tc>
          <w:tcPr>
            <w:tcW w:w="283" w:type="dxa"/>
            <w:vMerge w:val="restart"/>
            <w:tcBorders>
              <w:top w:val="single" w:sz="4" w:space="0" w:color="000000"/>
              <w:left w:val="nil"/>
              <w:right w:val="nil"/>
            </w:tcBorders>
          </w:tcPr>
          <w:p>
            <w:pPr>
              <w:pStyle w:val="TableParagraph"/>
              <w:spacing w:before="10"/>
              <w:rPr>
                <w:sz w:val="18"/>
              </w:rPr>
            </w:pPr>
          </w:p>
          <w:p>
            <w:pPr>
              <w:pStyle w:val="TableParagraph"/>
              <w:spacing w:line="20" w:lineRule="exact" w:before="0"/>
              <w:ind w:left="25" w:right="-63"/>
              <w:rPr>
                <w:sz w:val="2"/>
              </w:rPr>
            </w:pPr>
            <w:r>
              <w:rPr>
                <w:sz w:val="2"/>
              </w:rPr>
              <w:pict>
                <v:group style="width:12.9pt;height:.5pt;mso-position-horizontal-relative:char;mso-position-vertical-relative:line" coordorigin="0,0" coordsize="258,10">
                  <v:line style="position:absolute" from="5,5" to="237,5" stroked="true" strokeweight=".5pt" strokecolor="#000000">
                    <v:stroke dashstyle="dash"/>
                  </v:line>
                  <v:line style="position:absolute" from="253,5" to="253,5" stroked="true" strokeweight=".5pt" strokecolor="#000000"/>
                </v:group>
              </w:pict>
            </w:r>
            <w:r>
              <w:rPr>
                <w:sz w:val="2"/>
              </w:rPr>
            </w:r>
          </w:p>
          <w:p>
            <w:pPr>
              <w:pStyle w:val="TableParagraph"/>
              <w:spacing w:before="0"/>
              <w:rPr>
                <w:sz w:val="18"/>
              </w:rPr>
            </w:pPr>
          </w:p>
        </w:tc>
      </w:tr>
      <w:tr>
        <w:trPr>
          <w:trHeight w:val="228" w:hRule="exact"/>
        </w:trPr>
        <w:tc>
          <w:tcPr>
            <w:tcW w:w="850" w:type="dxa"/>
            <w:vMerge/>
            <w:tcBorders>
              <w:left w:val="nil"/>
              <w:right w:val="single" w:sz="4" w:space="0" w:color="000000"/>
            </w:tcBorders>
          </w:tcPr>
          <w:p>
            <w:pPr/>
          </w:p>
        </w:tc>
        <w:tc>
          <w:tcPr>
            <w:tcW w:w="3997" w:type="dxa"/>
            <w:vMerge/>
            <w:tcBorders>
              <w:left w:val="single" w:sz="4" w:space="0" w:color="000000"/>
              <w:right w:val="single" w:sz="4" w:space="0" w:color="000000"/>
            </w:tcBorders>
          </w:tcPr>
          <w:p>
            <w:pPr/>
          </w:p>
        </w:tc>
        <w:tc>
          <w:tcPr>
            <w:tcW w:w="3231" w:type="dxa"/>
            <w:tcBorders>
              <w:top w:val="dotted" w:sz="4" w:space="0" w:color="000000"/>
              <w:left w:val="single" w:sz="4" w:space="0" w:color="000000"/>
              <w:bottom w:val="dotted" w:sz="4" w:space="0" w:color="000000"/>
              <w:right w:val="single" w:sz="4" w:space="0" w:color="000000"/>
            </w:tcBorders>
          </w:tcPr>
          <w:p>
            <w:pPr>
              <w:pStyle w:val="TableParagraph"/>
              <w:spacing w:before="17"/>
              <w:ind w:left="52" w:right="162"/>
              <w:rPr>
                <w:sz w:val="16"/>
              </w:rPr>
            </w:pPr>
            <w:r>
              <w:rPr>
                <w:w w:val="85"/>
                <w:sz w:val="16"/>
              </w:rPr>
              <w:t>Promoting CG in Financial Institutions</w:t>
            </w:r>
          </w:p>
        </w:tc>
        <w:tc>
          <w:tcPr>
            <w:tcW w:w="1701" w:type="dxa"/>
            <w:gridSpan w:val="6"/>
            <w:vMerge w:val="restart"/>
            <w:tcBorders>
              <w:top w:val="nil"/>
              <w:left w:val="single" w:sz="4" w:space="0" w:color="000000"/>
              <w:right w:val="nil"/>
            </w:tcBorders>
          </w:tcPr>
          <w:p>
            <w:pPr>
              <w:pStyle w:val="TableParagraph"/>
              <w:spacing w:before="22"/>
              <w:ind w:left="52"/>
              <w:rPr>
                <w:sz w:val="16"/>
              </w:rPr>
            </w:pPr>
            <w:r>
              <w:rPr>
                <w:w w:val="81"/>
                <w:sz w:val="16"/>
              </w:rPr>
              <w:t>x</w:t>
            </w:r>
          </w:p>
          <w:p>
            <w:pPr>
              <w:pStyle w:val="TableParagraph"/>
              <w:spacing w:before="43"/>
              <w:ind w:left="336"/>
              <w:rPr>
                <w:sz w:val="16"/>
              </w:rPr>
            </w:pPr>
            <w:r>
              <w:rPr>
                <w:w w:val="81"/>
                <w:sz w:val="16"/>
              </w:rPr>
              <w:t>x</w:t>
            </w:r>
          </w:p>
        </w:tc>
        <w:tc>
          <w:tcPr>
            <w:tcW w:w="283" w:type="dxa"/>
            <w:vMerge/>
            <w:tcBorders>
              <w:left w:val="nil"/>
              <w:bottom w:val="dotted" w:sz="4" w:space="0" w:color="000000"/>
              <w:right w:val="nil"/>
            </w:tcBorders>
          </w:tcPr>
          <w:p>
            <w:pPr/>
          </w:p>
        </w:tc>
      </w:tr>
      <w:tr>
        <w:trPr>
          <w:trHeight w:val="228" w:hRule="exact"/>
        </w:trPr>
        <w:tc>
          <w:tcPr>
            <w:tcW w:w="850" w:type="dxa"/>
            <w:vMerge/>
            <w:tcBorders>
              <w:left w:val="nil"/>
              <w:bottom w:val="single" w:sz="4" w:space="0" w:color="000000"/>
              <w:right w:val="single" w:sz="4" w:space="0" w:color="000000"/>
            </w:tcBorders>
          </w:tcPr>
          <w:p>
            <w:pPr/>
          </w:p>
        </w:tc>
        <w:tc>
          <w:tcPr>
            <w:tcW w:w="3997" w:type="dxa"/>
            <w:vMerge/>
            <w:tcBorders>
              <w:left w:val="single" w:sz="4" w:space="0" w:color="000000"/>
              <w:bottom w:val="single" w:sz="4" w:space="0" w:color="000000"/>
              <w:right w:val="single" w:sz="4" w:space="0" w:color="000000"/>
            </w:tcBorders>
          </w:tcPr>
          <w:p>
            <w:pPr/>
          </w:p>
        </w:tc>
        <w:tc>
          <w:tcPr>
            <w:tcW w:w="3231" w:type="dxa"/>
            <w:tcBorders>
              <w:top w:val="dotted" w:sz="4" w:space="0" w:color="000000"/>
              <w:left w:val="single" w:sz="4" w:space="0" w:color="000000"/>
              <w:bottom w:val="single" w:sz="4" w:space="0" w:color="000000"/>
              <w:right w:val="single" w:sz="4" w:space="0" w:color="000000"/>
            </w:tcBorders>
          </w:tcPr>
          <w:p>
            <w:pPr>
              <w:pStyle w:val="TableParagraph"/>
              <w:spacing w:before="17"/>
              <w:ind w:left="52" w:right="162"/>
              <w:rPr>
                <w:sz w:val="16"/>
              </w:rPr>
            </w:pPr>
            <w:r>
              <w:rPr>
                <w:w w:val="80"/>
                <w:sz w:val="16"/>
              </w:rPr>
              <w:t>Furthering Good CG Practices</w:t>
            </w:r>
          </w:p>
        </w:tc>
        <w:tc>
          <w:tcPr>
            <w:tcW w:w="1701" w:type="dxa"/>
            <w:gridSpan w:val="6"/>
            <w:vMerge/>
            <w:tcBorders>
              <w:left w:val="single" w:sz="4" w:space="0" w:color="000000"/>
              <w:bottom w:val="single" w:sz="4" w:space="0" w:color="000000"/>
              <w:right w:val="nil"/>
            </w:tcBorders>
          </w:tcPr>
          <w:p>
            <w:pPr/>
          </w:p>
        </w:tc>
        <w:tc>
          <w:tcPr>
            <w:tcW w:w="283" w:type="dxa"/>
            <w:tcBorders>
              <w:top w:val="dotted" w:sz="4" w:space="0" w:color="000000"/>
              <w:left w:val="nil"/>
              <w:bottom w:val="single" w:sz="4" w:space="0" w:color="000000"/>
              <w:right w:val="nil"/>
            </w:tcBorders>
          </w:tcPr>
          <w:p>
            <w:pPr/>
          </w:p>
        </w:tc>
      </w:tr>
    </w:tbl>
    <w:p>
      <w:pPr>
        <w:spacing w:after="0"/>
        <w:sectPr>
          <w:headerReference w:type="even" r:id="rId352"/>
          <w:footerReference w:type="even" r:id="rId353"/>
          <w:pgSz w:w="12760" w:h="8790" w:orient="landscape"/>
          <w:pgMar w:header="0" w:footer="0" w:top="0" w:bottom="280" w:left="1240" w:right="1200"/>
        </w:sectPr>
      </w:pPr>
    </w:p>
    <w:p>
      <w:pPr>
        <w:pStyle w:val="BodyText"/>
        <w:rPr>
          <w:rFonts w:ascii="Arial"/>
          <w:sz w:val="20"/>
        </w:rPr>
      </w:pPr>
      <w:r>
        <w:rPr/>
        <w:pict>
          <v:shape style="position:absolute;margin-left:591.963135pt;margin-top:75.572502pt;width:9.5pt;height:255.7pt;mso-position-horizontal-relative:page;mso-position-vertical-relative:page;z-index:6832" type="#_x0000_t202" filled="false" stroked="false">
            <v:textbox inset="0,0,0,0" style="layout-flow:vertical">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r>
        <w:rPr/>
        <w:pict>
          <v:shape style="position:absolute;margin-left:35.273037pt;margin-top:75.5354pt;width:12pt;height:17.05pt;mso-position-horizontal-relative:page;mso-position-vertical-relative:page;z-index:6856" type="#_x0000_t202" filled="false" stroked="false">
            <v:textbox inset="0,0,0,0" style="layout-flow:vertical">
              <w:txbxContent>
                <w:p>
                  <w:pPr>
                    <w:spacing w:line="219" w:lineRule="exact" w:before="0"/>
                    <w:ind w:left="20" w:right="-101" w:firstLine="0"/>
                    <w:jc w:val="left"/>
                    <w:rPr>
                      <w:sz w:val="20"/>
                    </w:rPr>
                  </w:pPr>
                  <w:r>
                    <w:rPr>
                      <w:w w:val="90"/>
                      <w:sz w:val="20"/>
                    </w:rPr>
                    <w:t>250</w:t>
                  </w:r>
                </w:p>
              </w:txbxContent>
            </v:textbox>
            <w10:wrap type="none"/>
          </v:shap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12"/>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50"/>
        <w:gridCol w:w="3997"/>
        <w:gridCol w:w="3231"/>
        <w:gridCol w:w="283"/>
        <w:gridCol w:w="283"/>
        <w:gridCol w:w="283"/>
        <w:gridCol w:w="283"/>
        <w:gridCol w:w="283"/>
        <w:gridCol w:w="283"/>
        <w:gridCol w:w="283"/>
      </w:tblGrid>
      <w:tr>
        <w:trPr>
          <w:trHeight w:val="228" w:hRule="exact"/>
        </w:trPr>
        <w:tc>
          <w:tcPr>
            <w:tcW w:w="850" w:type="dxa"/>
            <w:tcBorders>
              <w:left w:val="nil"/>
              <w:bottom w:val="single" w:sz="4" w:space="0" w:color="000000"/>
              <w:right w:val="single" w:sz="4" w:space="0" w:color="000000"/>
            </w:tcBorders>
          </w:tcPr>
          <w:p>
            <w:pPr>
              <w:pStyle w:val="TableParagraph"/>
              <w:spacing w:before="11"/>
              <w:ind w:left="261" w:right="256"/>
              <w:jc w:val="center"/>
              <w:rPr>
                <w:sz w:val="16"/>
              </w:rPr>
            </w:pPr>
            <w:r>
              <w:rPr>
                <w:w w:val="90"/>
                <w:sz w:val="16"/>
              </w:rPr>
              <w:t>País</w:t>
            </w:r>
          </w:p>
        </w:tc>
        <w:tc>
          <w:tcPr>
            <w:tcW w:w="3997" w:type="dxa"/>
            <w:tcBorders>
              <w:left w:val="single" w:sz="4" w:space="0" w:color="000000"/>
              <w:bottom w:val="single" w:sz="4" w:space="0" w:color="000000"/>
              <w:right w:val="single" w:sz="4" w:space="0" w:color="000000"/>
            </w:tcBorders>
          </w:tcPr>
          <w:p>
            <w:pPr>
              <w:pStyle w:val="TableParagraph"/>
              <w:spacing w:before="11"/>
              <w:ind w:left="1414" w:right="1414"/>
              <w:jc w:val="center"/>
              <w:rPr>
                <w:sz w:val="16"/>
              </w:rPr>
            </w:pPr>
            <w:r>
              <w:rPr>
                <w:w w:val="85"/>
                <w:sz w:val="16"/>
              </w:rPr>
              <w:t>Organización local</w:t>
            </w:r>
          </w:p>
        </w:tc>
        <w:tc>
          <w:tcPr>
            <w:tcW w:w="3231" w:type="dxa"/>
            <w:tcBorders>
              <w:left w:val="single" w:sz="4" w:space="0" w:color="000000"/>
              <w:bottom w:val="single" w:sz="4" w:space="0" w:color="000000"/>
              <w:right w:val="single" w:sz="4" w:space="0" w:color="000000"/>
            </w:tcBorders>
          </w:tcPr>
          <w:p>
            <w:pPr>
              <w:pStyle w:val="TableParagraph"/>
              <w:spacing w:before="11"/>
              <w:ind w:left="1219" w:right="1219"/>
              <w:jc w:val="center"/>
              <w:rPr>
                <w:sz w:val="16"/>
              </w:rPr>
            </w:pPr>
            <w:r>
              <w:rPr>
                <w:w w:val="95"/>
                <w:sz w:val="16"/>
              </w:rPr>
              <w:t>Programas</w:t>
            </w:r>
          </w:p>
        </w:tc>
        <w:tc>
          <w:tcPr>
            <w:tcW w:w="283" w:type="dxa"/>
            <w:tcBorders>
              <w:left w:val="single" w:sz="4" w:space="0" w:color="000000"/>
              <w:bottom w:val="single" w:sz="4" w:space="0" w:color="000000"/>
              <w:right w:val="dotted" w:sz="4" w:space="0" w:color="000000"/>
            </w:tcBorders>
          </w:tcPr>
          <w:p>
            <w:pPr>
              <w:pStyle w:val="TableParagraph"/>
              <w:spacing w:before="11"/>
              <w:ind w:left="59"/>
              <w:rPr>
                <w:sz w:val="16"/>
              </w:rPr>
            </w:pPr>
            <w:r>
              <w:rPr>
                <w:w w:val="95"/>
                <w:sz w:val="16"/>
              </w:rPr>
              <w:t>07</w:t>
            </w:r>
          </w:p>
        </w:tc>
        <w:tc>
          <w:tcPr>
            <w:tcW w:w="283" w:type="dxa"/>
            <w:tcBorders>
              <w:left w:val="dotted" w:sz="4" w:space="0" w:color="000000"/>
              <w:bottom w:val="single" w:sz="4" w:space="0" w:color="000000"/>
              <w:right w:val="dotted" w:sz="4" w:space="0" w:color="000000"/>
            </w:tcBorders>
          </w:tcPr>
          <w:p>
            <w:pPr>
              <w:pStyle w:val="TableParagraph"/>
              <w:spacing w:before="11"/>
              <w:ind w:left="32" w:right="32"/>
              <w:jc w:val="center"/>
              <w:rPr>
                <w:sz w:val="16"/>
              </w:rPr>
            </w:pPr>
            <w:r>
              <w:rPr>
                <w:w w:val="95"/>
                <w:sz w:val="16"/>
              </w:rPr>
              <w:t>08</w:t>
            </w:r>
          </w:p>
        </w:tc>
        <w:tc>
          <w:tcPr>
            <w:tcW w:w="283" w:type="dxa"/>
            <w:tcBorders>
              <w:left w:val="dotted" w:sz="4" w:space="0" w:color="000000"/>
              <w:bottom w:val="single" w:sz="4" w:space="0" w:color="000000"/>
              <w:right w:val="dotted" w:sz="4" w:space="0" w:color="000000"/>
            </w:tcBorders>
          </w:tcPr>
          <w:p>
            <w:pPr>
              <w:pStyle w:val="TableParagraph"/>
              <w:spacing w:before="11"/>
              <w:ind w:left="32" w:right="32"/>
              <w:jc w:val="center"/>
              <w:rPr>
                <w:sz w:val="16"/>
              </w:rPr>
            </w:pPr>
            <w:r>
              <w:rPr>
                <w:w w:val="95"/>
                <w:sz w:val="16"/>
              </w:rPr>
              <w:t>09</w:t>
            </w:r>
          </w:p>
        </w:tc>
        <w:tc>
          <w:tcPr>
            <w:tcW w:w="283" w:type="dxa"/>
            <w:tcBorders>
              <w:left w:val="dotted" w:sz="4" w:space="0" w:color="000000"/>
              <w:bottom w:val="single" w:sz="4" w:space="0" w:color="000000"/>
              <w:right w:val="dotted" w:sz="4" w:space="0" w:color="000000"/>
            </w:tcBorders>
          </w:tcPr>
          <w:p>
            <w:pPr>
              <w:pStyle w:val="TableParagraph"/>
              <w:spacing w:before="11"/>
              <w:ind w:left="60"/>
              <w:rPr>
                <w:sz w:val="16"/>
              </w:rPr>
            </w:pPr>
            <w:r>
              <w:rPr>
                <w:w w:val="95"/>
                <w:sz w:val="16"/>
              </w:rPr>
              <w:t>10</w:t>
            </w:r>
          </w:p>
        </w:tc>
        <w:tc>
          <w:tcPr>
            <w:tcW w:w="283" w:type="dxa"/>
            <w:tcBorders>
              <w:left w:val="dotted" w:sz="4" w:space="0" w:color="000000"/>
              <w:bottom w:val="single" w:sz="4" w:space="0" w:color="000000"/>
              <w:right w:val="dotted" w:sz="4" w:space="0" w:color="000000"/>
            </w:tcBorders>
          </w:tcPr>
          <w:p>
            <w:pPr>
              <w:pStyle w:val="TableParagraph"/>
              <w:spacing w:before="11"/>
              <w:ind w:left="32" w:right="32"/>
              <w:jc w:val="center"/>
              <w:rPr>
                <w:sz w:val="16"/>
              </w:rPr>
            </w:pPr>
            <w:r>
              <w:rPr>
                <w:w w:val="95"/>
                <w:sz w:val="16"/>
              </w:rPr>
              <w:t>11</w:t>
            </w:r>
          </w:p>
        </w:tc>
        <w:tc>
          <w:tcPr>
            <w:tcW w:w="283" w:type="dxa"/>
            <w:tcBorders>
              <w:left w:val="dotted" w:sz="4" w:space="0" w:color="000000"/>
              <w:bottom w:val="single" w:sz="4" w:space="0" w:color="000000"/>
              <w:right w:val="dotted" w:sz="4" w:space="0" w:color="000000"/>
            </w:tcBorders>
          </w:tcPr>
          <w:p>
            <w:pPr>
              <w:pStyle w:val="TableParagraph"/>
              <w:spacing w:before="11"/>
              <w:ind w:left="60"/>
              <w:rPr>
                <w:sz w:val="16"/>
              </w:rPr>
            </w:pPr>
            <w:r>
              <w:rPr>
                <w:w w:val="95"/>
                <w:sz w:val="16"/>
              </w:rPr>
              <w:t>12</w:t>
            </w:r>
          </w:p>
        </w:tc>
        <w:tc>
          <w:tcPr>
            <w:tcW w:w="283" w:type="dxa"/>
            <w:tcBorders>
              <w:left w:val="dotted" w:sz="4" w:space="0" w:color="000000"/>
              <w:bottom w:val="single" w:sz="4" w:space="0" w:color="000000"/>
              <w:right w:val="nil"/>
            </w:tcBorders>
          </w:tcPr>
          <w:p>
            <w:pPr>
              <w:pStyle w:val="TableParagraph"/>
              <w:spacing w:before="11"/>
              <w:ind w:left="33" w:right="35"/>
              <w:jc w:val="center"/>
              <w:rPr>
                <w:sz w:val="16"/>
              </w:rPr>
            </w:pPr>
            <w:r>
              <w:rPr>
                <w:w w:val="95"/>
                <w:sz w:val="16"/>
              </w:rPr>
              <w:t>13</w:t>
            </w: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ind w:left="56"/>
              <w:rPr>
                <w:sz w:val="16"/>
              </w:rPr>
            </w:pPr>
            <w:r>
              <w:rPr>
                <w:w w:val="95"/>
                <w:sz w:val="16"/>
              </w:rPr>
              <w:t>Brasil</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ind w:left="51" w:right="83"/>
              <w:rPr>
                <w:sz w:val="16"/>
              </w:rPr>
            </w:pPr>
            <w:r>
              <w:rPr>
                <w:w w:val="85"/>
                <w:sz w:val="16"/>
              </w:rPr>
              <w:t>Instituto Brasileiro de Governança Corporativa</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1" w:right="162"/>
              <w:rPr>
                <w:i/>
                <w:sz w:val="16"/>
              </w:rPr>
            </w:pPr>
            <w:r>
              <w:rPr>
                <w:i/>
                <w:w w:val="85"/>
                <w:sz w:val="16"/>
              </w:rPr>
              <w:t>Improving CG in Brazilian Family Businesses</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1"/>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612" w:hRule="exact"/>
        </w:trPr>
        <w:tc>
          <w:tcPr>
            <w:tcW w:w="850" w:type="dxa"/>
            <w:tcBorders>
              <w:top w:val="single" w:sz="4" w:space="0" w:color="000000"/>
              <w:left w:val="nil"/>
              <w:bottom w:val="single" w:sz="4" w:space="0" w:color="000000"/>
              <w:right w:val="single" w:sz="4" w:space="0" w:color="000000"/>
            </w:tcBorders>
          </w:tcPr>
          <w:p>
            <w:pPr>
              <w:pStyle w:val="TableParagraph"/>
              <w:ind w:left="56"/>
              <w:rPr>
                <w:sz w:val="16"/>
              </w:rPr>
            </w:pPr>
            <w:r>
              <w:rPr>
                <w:w w:val="90"/>
                <w:sz w:val="16"/>
              </w:rPr>
              <w:t>Chile</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spacing w:line="249" w:lineRule="auto"/>
              <w:ind w:left="51" w:right="291"/>
              <w:rPr>
                <w:sz w:val="16"/>
              </w:rPr>
            </w:pPr>
            <w:r>
              <w:rPr>
                <w:i/>
                <w:w w:val="85"/>
                <w:sz w:val="16"/>
              </w:rPr>
              <w:t>Centro</w:t>
            </w:r>
            <w:r>
              <w:rPr>
                <w:i/>
                <w:spacing w:val="-14"/>
                <w:w w:val="85"/>
                <w:sz w:val="16"/>
              </w:rPr>
              <w:t> </w:t>
            </w:r>
            <w:r>
              <w:rPr>
                <w:i/>
                <w:w w:val="85"/>
                <w:sz w:val="16"/>
              </w:rPr>
              <w:t>para</w:t>
            </w:r>
            <w:r>
              <w:rPr>
                <w:i/>
                <w:spacing w:val="-14"/>
                <w:w w:val="85"/>
                <w:sz w:val="16"/>
              </w:rPr>
              <w:t> </w:t>
            </w:r>
            <w:r>
              <w:rPr>
                <w:i/>
                <w:w w:val="85"/>
                <w:sz w:val="16"/>
              </w:rPr>
              <w:t>el</w:t>
            </w:r>
            <w:r>
              <w:rPr>
                <w:i/>
                <w:spacing w:val="-14"/>
                <w:w w:val="85"/>
                <w:sz w:val="16"/>
              </w:rPr>
              <w:t> </w:t>
            </w:r>
            <w:r>
              <w:rPr>
                <w:i/>
                <w:w w:val="85"/>
                <w:sz w:val="16"/>
              </w:rPr>
              <w:t>Gobierno</w:t>
            </w:r>
            <w:r>
              <w:rPr>
                <w:i/>
                <w:spacing w:val="-14"/>
                <w:w w:val="85"/>
                <w:sz w:val="16"/>
              </w:rPr>
              <w:t> </w:t>
            </w:r>
            <w:r>
              <w:rPr>
                <w:i/>
                <w:w w:val="85"/>
                <w:sz w:val="16"/>
              </w:rPr>
              <w:t>de</w:t>
            </w:r>
            <w:r>
              <w:rPr>
                <w:i/>
                <w:spacing w:val="-14"/>
                <w:w w:val="85"/>
                <w:sz w:val="16"/>
              </w:rPr>
              <w:t> </w:t>
            </w:r>
            <w:r>
              <w:rPr>
                <w:i/>
                <w:w w:val="85"/>
                <w:sz w:val="16"/>
              </w:rPr>
              <w:t>la</w:t>
            </w:r>
            <w:r>
              <w:rPr>
                <w:i/>
                <w:spacing w:val="-14"/>
                <w:w w:val="85"/>
                <w:sz w:val="16"/>
              </w:rPr>
              <w:t> </w:t>
            </w:r>
            <w:r>
              <w:rPr>
                <w:i/>
                <w:w w:val="85"/>
                <w:sz w:val="16"/>
              </w:rPr>
              <w:t>Empresa</w:t>
            </w:r>
            <w:r>
              <w:rPr>
                <w:i/>
                <w:spacing w:val="-14"/>
                <w:w w:val="85"/>
                <w:sz w:val="16"/>
              </w:rPr>
              <w:t> </w:t>
            </w:r>
            <w:r>
              <w:rPr>
                <w:i/>
                <w:w w:val="85"/>
                <w:sz w:val="16"/>
              </w:rPr>
              <w:t>-</w:t>
            </w:r>
            <w:r>
              <w:rPr>
                <w:i/>
                <w:spacing w:val="-14"/>
                <w:w w:val="85"/>
                <w:sz w:val="16"/>
              </w:rPr>
              <w:t> </w:t>
            </w:r>
            <w:r>
              <w:rPr>
                <w:i/>
                <w:w w:val="85"/>
                <w:sz w:val="16"/>
              </w:rPr>
              <w:t>Facultad</w:t>
            </w:r>
            <w:r>
              <w:rPr>
                <w:i/>
                <w:spacing w:val="-14"/>
                <w:w w:val="85"/>
                <w:sz w:val="16"/>
              </w:rPr>
              <w:t> </w:t>
            </w:r>
            <w:r>
              <w:rPr>
                <w:i/>
                <w:w w:val="85"/>
                <w:sz w:val="16"/>
              </w:rPr>
              <w:t>de</w:t>
            </w:r>
            <w:r>
              <w:rPr>
                <w:i/>
                <w:spacing w:val="-14"/>
                <w:w w:val="85"/>
                <w:sz w:val="16"/>
              </w:rPr>
              <w:t> </w:t>
            </w:r>
            <w:r>
              <w:rPr>
                <w:i/>
                <w:w w:val="85"/>
                <w:sz w:val="16"/>
              </w:rPr>
              <w:t>Ciencias </w:t>
            </w:r>
            <w:r>
              <w:rPr>
                <w:i/>
                <w:w w:val="85"/>
                <w:sz w:val="16"/>
              </w:rPr>
              <w:t>Económicas</w:t>
            </w:r>
            <w:r>
              <w:rPr>
                <w:i/>
                <w:spacing w:val="-15"/>
                <w:w w:val="85"/>
                <w:sz w:val="16"/>
              </w:rPr>
              <w:t> </w:t>
            </w:r>
            <w:r>
              <w:rPr>
                <w:i/>
                <w:w w:val="85"/>
                <w:sz w:val="16"/>
              </w:rPr>
              <w:t>y</w:t>
            </w:r>
            <w:r>
              <w:rPr>
                <w:i/>
                <w:spacing w:val="-18"/>
                <w:w w:val="85"/>
                <w:sz w:val="16"/>
              </w:rPr>
              <w:t> </w:t>
            </w:r>
            <w:r>
              <w:rPr>
                <w:i/>
                <w:w w:val="85"/>
                <w:sz w:val="16"/>
              </w:rPr>
              <w:t>Administrativas,</w:t>
            </w:r>
            <w:r>
              <w:rPr>
                <w:i/>
                <w:spacing w:val="-18"/>
                <w:w w:val="85"/>
                <w:sz w:val="16"/>
              </w:rPr>
              <w:t> </w:t>
            </w:r>
            <w:r>
              <w:rPr>
                <w:i/>
                <w:w w:val="85"/>
                <w:sz w:val="16"/>
              </w:rPr>
              <w:t>Universidad</w:t>
            </w:r>
            <w:r>
              <w:rPr>
                <w:i/>
                <w:spacing w:val="-15"/>
                <w:w w:val="85"/>
                <w:sz w:val="16"/>
              </w:rPr>
              <w:t> </w:t>
            </w:r>
            <w:r>
              <w:rPr>
                <w:i/>
                <w:w w:val="85"/>
                <w:sz w:val="16"/>
              </w:rPr>
              <w:t>Católica</w:t>
            </w:r>
            <w:r>
              <w:rPr>
                <w:i/>
                <w:spacing w:val="-15"/>
                <w:w w:val="85"/>
                <w:sz w:val="16"/>
              </w:rPr>
              <w:t> </w:t>
            </w:r>
            <w:r>
              <w:rPr>
                <w:i/>
                <w:w w:val="85"/>
                <w:sz w:val="16"/>
              </w:rPr>
              <w:t>de</w:t>
            </w:r>
            <w:r>
              <w:rPr>
                <w:i/>
                <w:spacing w:val="-15"/>
                <w:w w:val="85"/>
                <w:sz w:val="16"/>
              </w:rPr>
              <w:t> </w:t>
            </w:r>
            <w:r>
              <w:rPr>
                <w:i/>
                <w:w w:val="85"/>
                <w:sz w:val="16"/>
              </w:rPr>
              <w:t>Chile </w:t>
            </w:r>
            <w:r>
              <w:rPr>
                <w:w w:val="95"/>
                <w:sz w:val="16"/>
              </w:rPr>
              <w:t>(FEAUC)</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1" w:right="162"/>
              <w:rPr>
                <w:i/>
                <w:sz w:val="16"/>
              </w:rPr>
            </w:pPr>
            <w:r>
              <w:rPr>
                <w:i/>
                <w:w w:val="85"/>
                <w:sz w:val="16"/>
              </w:rPr>
              <w:t>Building the Center for CG</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1"/>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vMerge w:val="restart"/>
            <w:tcBorders>
              <w:top w:val="single" w:sz="4" w:space="0" w:color="000000"/>
              <w:left w:val="nil"/>
              <w:right w:val="single" w:sz="4" w:space="0" w:color="000000"/>
            </w:tcBorders>
          </w:tcPr>
          <w:p>
            <w:pPr>
              <w:pStyle w:val="TableParagraph"/>
              <w:ind w:left="56"/>
              <w:rPr>
                <w:sz w:val="16"/>
              </w:rPr>
            </w:pPr>
            <w:r>
              <w:rPr>
                <w:w w:val="90"/>
                <w:sz w:val="16"/>
              </w:rPr>
              <w:t>Colombia</w:t>
            </w:r>
          </w:p>
        </w:tc>
        <w:tc>
          <w:tcPr>
            <w:tcW w:w="3997" w:type="dxa"/>
            <w:vMerge w:val="restart"/>
            <w:tcBorders>
              <w:top w:val="single" w:sz="4" w:space="0" w:color="000000"/>
              <w:left w:val="single" w:sz="4" w:space="0" w:color="000000"/>
              <w:right w:val="single" w:sz="4" w:space="0" w:color="000000"/>
            </w:tcBorders>
          </w:tcPr>
          <w:p>
            <w:pPr>
              <w:pStyle w:val="TableParagraph"/>
              <w:ind w:left="51" w:right="83"/>
              <w:rPr>
                <w:i/>
                <w:sz w:val="16"/>
              </w:rPr>
            </w:pPr>
            <w:r>
              <w:rPr>
                <w:i/>
                <w:w w:val="80"/>
                <w:sz w:val="16"/>
              </w:rPr>
              <w:t>Confederación Colombiana de Cámaras de  Comercio</w:t>
            </w:r>
          </w:p>
          <w:p>
            <w:pPr>
              <w:pStyle w:val="TableParagraph"/>
              <w:spacing w:before="8"/>
              <w:ind w:left="51" w:right="83"/>
              <w:rPr>
                <w:sz w:val="16"/>
              </w:rPr>
            </w:pPr>
            <w:r>
              <w:rPr>
                <w:w w:val="85"/>
                <w:sz w:val="16"/>
              </w:rPr>
              <w:t>(CONFECÁMARAS)</w:t>
            </w:r>
          </w:p>
        </w:tc>
        <w:tc>
          <w:tcPr>
            <w:tcW w:w="3231" w:type="dxa"/>
            <w:tcBorders>
              <w:top w:val="single" w:sz="4" w:space="0" w:color="000000"/>
              <w:left w:val="single" w:sz="4" w:space="0" w:color="000000"/>
              <w:bottom w:val="dotted" w:sz="4" w:space="0" w:color="000000"/>
              <w:right w:val="single" w:sz="4" w:space="0" w:color="000000"/>
            </w:tcBorders>
          </w:tcPr>
          <w:p>
            <w:pPr>
              <w:pStyle w:val="TableParagraph"/>
              <w:ind w:left="51" w:right="162"/>
              <w:rPr>
                <w:i/>
                <w:sz w:val="16"/>
              </w:rPr>
            </w:pPr>
            <w:r>
              <w:rPr>
                <w:i/>
                <w:w w:val="85"/>
                <w:sz w:val="16"/>
              </w:rPr>
              <w:t>Creating Incentives for CG Standards</w:t>
            </w:r>
          </w:p>
        </w:tc>
        <w:tc>
          <w:tcPr>
            <w:tcW w:w="283" w:type="dxa"/>
            <w:tcBorders>
              <w:top w:val="single" w:sz="4" w:space="0" w:color="000000"/>
              <w:left w:val="single"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left="51"/>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dotted" w:sz="4" w:space="0" w:color="000000"/>
              <w:right w:val="nil"/>
            </w:tcBorders>
          </w:tcPr>
          <w:p>
            <w:pPr/>
          </w:p>
        </w:tc>
      </w:tr>
      <w:tr>
        <w:trPr>
          <w:trHeight w:val="228" w:hRule="exact"/>
        </w:trPr>
        <w:tc>
          <w:tcPr>
            <w:tcW w:w="850" w:type="dxa"/>
            <w:vMerge/>
            <w:tcBorders>
              <w:left w:val="nil"/>
              <w:bottom w:val="single" w:sz="4" w:space="0" w:color="000000"/>
              <w:right w:val="single" w:sz="4" w:space="0" w:color="000000"/>
            </w:tcBorders>
          </w:tcPr>
          <w:p>
            <w:pPr/>
          </w:p>
        </w:tc>
        <w:tc>
          <w:tcPr>
            <w:tcW w:w="3997" w:type="dxa"/>
            <w:vMerge/>
            <w:tcBorders>
              <w:left w:val="single" w:sz="4" w:space="0" w:color="000000"/>
              <w:bottom w:val="single" w:sz="4" w:space="0" w:color="000000"/>
              <w:right w:val="single" w:sz="4" w:space="0" w:color="000000"/>
            </w:tcBorders>
          </w:tcPr>
          <w:p>
            <w:pPr/>
          </w:p>
        </w:tc>
        <w:tc>
          <w:tcPr>
            <w:tcW w:w="3231" w:type="dxa"/>
            <w:tcBorders>
              <w:top w:val="dotted" w:sz="4" w:space="0" w:color="000000"/>
              <w:left w:val="single" w:sz="4" w:space="0" w:color="000000"/>
              <w:bottom w:val="single" w:sz="4" w:space="0" w:color="000000"/>
              <w:right w:val="single" w:sz="4" w:space="0" w:color="000000"/>
            </w:tcBorders>
          </w:tcPr>
          <w:p>
            <w:pPr>
              <w:pStyle w:val="TableParagraph"/>
              <w:ind w:left="52"/>
              <w:rPr>
                <w:sz w:val="16"/>
              </w:rPr>
            </w:pPr>
            <w:r>
              <w:rPr>
                <w:w w:val="85"/>
                <w:sz w:val="16"/>
              </w:rPr>
              <w:t>Strengthening CG in Public and Private Companies</w:t>
            </w:r>
          </w:p>
        </w:tc>
        <w:tc>
          <w:tcPr>
            <w:tcW w:w="283" w:type="dxa"/>
            <w:tcBorders>
              <w:top w:val="dotted"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Style w:val="TableParagraph"/>
              <w:ind w:right="102"/>
              <w:jc w:val="center"/>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ind w:left="57"/>
              <w:rPr>
                <w:sz w:val="16"/>
              </w:rPr>
            </w:pPr>
            <w:r>
              <w:rPr>
                <w:w w:val="95"/>
                <w:sz w:val="16"/>
              </w:rPr>
              <w:t>México</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ind w:left="52" w:right="83"/>
              <w:rPr>
                <w:sz w:val="16"/>
              </w:rPr>
            </w:pPr>
            <w:r>
              <w:rPr>
                <w:i/>
                <w:w w:val="80"/>
                <w:sz w:val="16"/>
              </w:rPr>
              <w:t>Centro de Excelencia en Gobierno Corporativo </w:t>
            </w:r>
            <w:r>
              <w:rPr>
                <w:w w:val="80"/>
                <w:sz w:val="16"/>
              </w:rPr>
              <w:t>(CECG)</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2" w:right="162"/>
              <w:rPr>
                <w:i/>
                <w:sz w:val="16"/>
              </w:rPr>
            </w:pPr>
            <w:r>
              <w:rPr>
                <w:i/>
                <w:w w:val="85"/>
                <w:sz w:val="16"/>
              </w:rPr>
              <w:t>Strengthening CG in Mexico</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420" w:hRule="exact"/>
        </w:trPr>
        <w:tc>
          <w:tcPr>
            <w:tcW w:w="850" w:type="dxa"/>
            <w:tcBorders>
              <w:top w:val="single" w:sz="4" w:space="0" w:color="000000"/>
              <w:left w:val="nil"/>
              <w:bottom w:val="single" w:sz="4" w:space="0" w:color="000000"/>
              <w:right w:val="single" w:sz="4" w:space="0" w:color="000000"/>
            </w:tcBorders>
          </w:tcPr>
          <w:p>
            <w:pPr>
              <w:pStyle w:val="TableParagraph"/>
              <w:ind w:left="57"/>
              <w:rPr>
                <w:sz w:val="16"/>
              </w:rPr>
            </w:pPr>
            <w:r>
              <w:rPr>
                <w:w w:val="90"/>
                <w:sz w:val="16"/>
              </w:rPr>
              <w:t>Perú</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spacing w:line="249" w:lineRule="auto"/>
              <w:ind w:left="52" w:right="83"/>
              <w:rPr>
                <w:sz w:val="16"/>
              </w:rPr>
            </w:pPr>
            <w:r>
              <w:rPr>
                <w:i/>
                <w:w w:val="85"/>
                <w:sz w:val="16"/>
              </w:rPr>
              <w:t>Asociación de Empresas Promotoras del Mercado de Capitales </w:t>
            </w:r>
            <w:r>
              <w:rPr>
                <w:i/>
                <w:w w:val="80"/>
                <w:sz w:val="16"/>
              </w:rPr>
              <w:t>(</w:t>
            </w:r>
            <w:r>
              <w:rPr>
                <w:w w:val="80"/>
                <w:sz w:val="16"/>
              </w:rPr>
              <w:t>Procapitales</w:t>
            </w:r>
            <w:r>
              <w:rPr>
                <w:i/>
                <w:w w:val="80"/>
                <w:sz w:val="16"/>
              </w:rPr>
              <w:t>) y Universidad Peruana de Ciencias Aplicadas </w:t>
            </w:r>
            <w:r>
              <w:rPr>
                <w:w w:val="80"/>
                <w:sz w:val="16"/>
              </w:rPr>
              <w:t>(UPC)</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2" w:right="162"/>
              <w:rPr>
                <w:i/>
                <w:sz w:val="16"/>
              </w:rPr>
            </w:pPr>
            <w:r>
              <w:rPr>
                <w:i/>
                <w:w w:val="80"/>
                <w:sz w:val="16"/>
              </w:rPr>
              <w:t>CG Training in Peru</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vMerge w:val="restart"/>
            <w:tcBorders>
              <w:top w:val="single" w:sz="4" w:space="0" w:color="000000"/>
              <w:left w:val="nil"/>
              <w:right w:val="single" w:sz="4" w:space="0" w:color="000000"/>
            </w:tcBorders>
          </w:tcPr>
          <w:p>
            <w:pPr>
              <w:pStyle w:val="TableParagraph"/>
              <w:ind w:left="57"/>
              <w:rPr>
                <w:sz w:val="16"/>
              </w:rPr>
            </w:pPr>
            <w:r>
              <w:rPr>
                <w:w w:val="90"/>
                <w:sz w:val="16"/>
              </w:rPr>
              <w:t>Líbano</w:t>
            </w:r>
          </w:p>
        </w:tc>
        <w:tc>
          <w:tcPr>
            <w:tcW w:w="3997" w:type="dxa"/>
            <w:vMerge w:val="restart"/>
            <w:tcBorders>
              <w:top w:val="single" w:sz="4" w:space="0" w:color="000000"/>
              <w:left w:val="single" w:sz="4" w:space="0" w:color="000000"/>
              <w:right w:val="single" w:sz="4" w:space="0" w:color="000000"/>
            </w:tcBorders>
          </w:tcPr>
          <w:p>
            <w:pPr>
              <w:pStyle w:val="TableParagraph"/>
              <w:ind w:left="52" w:right="83"/>
              <w:rPr>
                <w:sz w:val="16"/>
              </w:rPr>
            </w:pPr>
            <w:r>
              <w:rPr>
                <w:w w:val="80"/>
                <w:sz w:val="16"/>
              </w:rPr>
              <w:t>Lebanese Transparency Association</w:t>
            </w:r>
          </w:p>
        </w:tc>
        <w:tc>
          <w:tcPr>
            <w:tcW w:w="3231" w:type="dxa"/>
            <w:tcBorders>
              <w:top w:val="single" w:sz="4" w:space="0" w:color="000000"/>
              <w:left w:val="single" w:sz="4" w:space="0" w:color="000000"/>
              <w:bottom w:val="dotted" w:sz="4" w:space="0" w:color="000000"/>
              <w:right w:val="single" w:sz="4" w:space="0" w:color="000000"/>
            </w:tcBorders>
          </w:tcPr>
          <w:p>
            <w:pPr>
              <w:pStyle w:val="TableParagraph"/>
              <w:ind w:left="52" w:right="162"/>
              <w:rPr>
                <w:i/>
                <w:sz w:val="16"/>
              </w:rPr>
            </w:pPr>
            <w:r>
              <w:rPr>
                <w:i/>
                <w:w w:val="85"/>
                <w:sz w:val="16"/>
              </w:rPr>
              <w:t>Building Capacity for CG Implementation</w:t>
            </w:r>
          </w:p>
        </w:tc>
        <w:tc>
          <w:tcPr>
            <w:tcW w:w="283" w:type="dxa"/>
            <w:tcBorders>
              <w:top w:val="single" w:sz="4" w:space="0" w:color="000000"/>
              <w:left w:val="single"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2"/>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nil"/>
            </w:tcBorders>
          </w:tcPr>
          <w:p>
            <w:pPr/>
          </w:p>
        </w:tc>
      </w:tr>
      <w:tr>
        <w:trPr>
          <w:trHeight w:val="228" w:hRule="exact"/>
        </w:trPr>
        <w:tc>
          <w:tcPr>
            <w:tcW w:w="850" w:type="dxa"/>
            <w:vMerge/>
            <w:tcBorders>
              <w:left w:val="nil"/>
              <w:bottom w:val="single" w:sz="4" w:space="0" w:color="000000"/>
              <w:right w:val="single" w:sz="4" w:space="0" w:color="000000"/>
            </w:tcBorders>
          </w:tcPr>
          <w:p>
            <w:pPr/>
          </w:p>
        </w:tc>
        <w:tc>
          <w:tcPr>
            <w:tcW w:w="3997" w:type="dxa"/>
            <w:vMerge/>
            <w:tcBorders>
              <w:left w:val="single" w:sz="4" w:space="0" w:color="000000"/>
              <w:bottom w:val="single" w:sz="4" w:space="0" w:color="000000"/>
              <w:right w:val="single" w:sz="4" w:space="0" w:color="000000"/>
            </w:tcBorders>
          </w:tcPr>
          <w:p>
            <w:pPr/>
          </w:p>
        </w:tc>
        <w:tc>
          <w:tcPr>
            <w:tcW w:w="3231" w:type="dxa"/>
            <w:tcBorders>
              <w:top w:val="dotted" w:sz="4" w:space="0" w:color="000000"/>
              <w:left w:val="single" w:sz="4" w:space="0" w:color="000000"/>
              <w:bottom w:val="single" w:sz="4" w:space="0" w:color="000000"/>
              <w:right w:val="single" w:sz="4" w:space="0" w:color="000000"/>
            </w:tcBorders>
          </w:tcPr>
          <w:p>
            <w:pPr>
              <w:pStyle w:val="TableParagraph"/>
              <w:ind w:left="52" w:right="162"/>
              <w:rPr>
                <w:sz w:val="16"/>
              </w:rPr>
            </w:pPr>
            <w:r>
              <w:rPr>
                <w:w w:val="85"/>
                <w:sz w:val="16"/>
              </w:rPr>
              <w:t>Furtherance of CG Codes in Lebanon</w:t>
            </w:r>
          </w:p>
        </w:tc>
        <w:tc>
          <w:tcPr>
            <w:tcW w:w="283" w:type="dxa"/>
            <w:tcBorders>
              <w:top w:val="dotted"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Style w:val="TableParagraph"/>
              <w:ind w:right="101"/>
              <w:jc w:val="center"/>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Style w:val="TableParagraph"/>
              <w:ind w:right="101"/>
              <w:jc w:val="center"/>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bottom w:val="single" w:sz="4" w:space="0" w:color="000000"/>
              <w:right w:val="single" w:sz="4" w:space="0" w:color="000000"/>
            </w:tcBorders>
          </w:tcPr>
          <w:p>
            <w:pPr>
              <w:pStyle w:val="TableParagraph"/>
              <w:ind w:left="57"/>
              <w:rPr>
                <w:sz w:val="16"/>
              </w:rPr>
            </w:pPr>
            <w:r>
              <w:rPr>
                <w:w w:val="95"/>
                <w:sz w:val="16"/>
              </w:rPr>
              <w:t>Marruecos</w:t>
            </w:r>
          </w:p>
        </w:tc>
        <w:tc>
          <w:tcPr>
            <w:tcW w:w="3997" w:type="dxa"/>
            <w:tcBorders>
              <w:top w:val="single" w:sz="4" w:space="0" w:color="000000"/>
              <w:left w:val="single" w:sz="4" w:space="0" w:color="000000"/>
              <w:bottom w:val="single" w:sz="4" w:space="0" w:color="000000"/>
              <w:right w:val="single" w:sz="4" w:space="0" w:color="000000"/>
            </w:tcBorders>
          </w:tcPr>
          <w:p>
            <w:pPr>
              <w:pStyle w:val="TableParagraph"/>
              <w:ind w:left="52" w:right="83"/>
              <w:rPr>
                <w:sz w:val="16"/>
              </w:rPr>
            </w:pPr>
            <w:r>
              <w:rPr>
                <w:w w:val="85"/>
                <w:sz w:val="16"/>
              </w:rPr>
              <w:t>Confédération Générale des Entreprises du Maroc</w:t>
            </w:r>
          </w:p>
        </w:tc>
        <w:tc>
          <w:tcPr>
            <w:tcW w:w="3231" w:type="dxa"/>
            <w:tcBorders>
              <w:top w:val="single" w:sz="4" w:space="0" w:color="000000"/>
              <w:left w:val="single" w:sz="4" w:space="0" w:color="000000"/>
              <w:bottom w:val="single" w:sz="4" w:space="0" w:color="000000"/>
              <w:right w:val="single" w:sz="4" w:space="0" w:color="000000"/>
            </w:tcBorders>
          </w:tcPr>
          <w:p>
            <w:pPr>
              <w:pStyle w:val="TableParagraph"/>
              <w:ind w:left="52" w:right="162"/>
              <w:rPr>
                <w:i/>
                <w:sz w:val="16"/>
              </w:rPr>
            </w:pPr>
            <w:r>
              <w:rPr>
                <w:i/>
                <w:w w:val="80"/>
                <w:sz w:val="16"/>
              </w:rPr>
              <w:t>Expanding CG Awareness</w:t>
            </w:r>
          </w:p>
        </w:tc>
        <w:tc>
          <w:tcPr>
            <w:tcW w:w="283" w:type="dxa"/>
            <w:tcBorders>
              <w:top w:val="single"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dotted" w:sz="4" w:space="0" w:color="000000"/>
            </w:tcBorders>
          </w:tcPr>
          <w:p>
            <w:pPr/>
          </w:p>
        </w:tc>
        <w:tc>
          <w:tcPr>
            <w:tcW w:w="283" w:type="dxa"/>
            <w:tcBorders>
              <w:top w:val="single" w:sz="4" w:space="0" w:color="000000"/>
              <w:left w:val="dotted" w:sz="4" w:space="0" w:color="000000"/>
              <w:bottom w:val="single" w:sz="4" w:space="0" w:color="000000"/>
              <w:right w:val="nil"/>
            </w:tcBorders>
          </w:tcPr>
          <w:p>
            <w:pPr/>
          </w:p>
        </w:tc>
      </w:tr>
      <w:tr>
        <w:trPr>
          <w:trHeight w:val="228" w:hRule="exact"/>
        </w:trPr>
        <w:tc>
          <w:tcPr>
            <w:tcW w:w="850" w:type="dxa"/>
            <w:vMerge w:val="restart"/>
            <w:tcBorders>
              <w:top w:val="single" w:sz="4" w:space="0" w:color="000000"/>
              <w:left w:val="nil"/>
              <w:right w:val="single" w:sz="4" w:space="0" w:color="000000"/>
            </w:tcBorders>
          </w:tcPr>
          <w:p>
            <w:pPr>
              <w:pStyle w:val="TableParagraph"/>
              <w:spacing w:line="249" w:lineRule="auto"/>
              <w:ind w:left="57" w:right="241"/>
              <w:rPr>
                <w:sz w:val="16"/>
              </w:rPr>
            </w:pPr>
            <w:r>
              <w:rPr>
                <w:w w:val="80"/>
                <w:sz w:val="16"/>
              </w:rPr>
              <w:t>Territorio Palestino</w:t>
            </w:r>
          </w:p>
        </w:tc>
        <w:tc>
          <w:tcPr>
            <w:tcW w:w="3997" w:type="dxa"/>
            <w:tcBorders>
              <w:top w:val="single" w:sz="4" w:space="0" w:color="000000"/>
              <w:left w:val="single" w:sz="4" w:space="0" w:color="000000"/>
              <w:bottom w:val="dotted" w:sz="4" w:space="0" w:color="000000"/>
              <w:right w:val="single" w:sz="4" w:space="0" w:color="000000"/>
            </w:tcBorders>
          </w:tcPr>
          <w:p>
            <w:pPr>
              <w:pStyle w:val="TableParagraph"/>
              <w:ind w:left="52" w:right="83"/>
              <w:rPr>
                <w:sz w:val="16"/>
              </w:rPr>
            </w:pPr>
            <w:r>
              <w:rPr>
                <w:w w:val="80"/>
                <w:sz w:val="16"/>
              </w:rPr>
              <w:t>Palestine  Governance Institute</w:t>
            </w:r>
          </w:p>
        </w:tc>
        <w:tc>
          <w:tcPr>
            <w:tcW w:w="3231" w:type="dxa"/>
            <w:vMerge w:val="restart"/>
            <w:tcBorders>
              <w:top w:val="single" w:sz="4" w:space="0" w:color="000000"/>
              <w:left w:val="single" w:sz="4" w:space="0" w:color="000000"/>
              <w:right w:val="single" w:sz="4" w:space="0" w:color="000000"/>
            </w:tcBorders>
          </w:tcPr>
          <w:p>
            <w:pPr>
              <w:pStyle w:val="TableParagraph"/>
              <w:spacing w:line="249" w:lineRule="auto"/>
              <w:ind w:left="52" w:right="285"/>
              <w:rPr>
                <w:i/>
                <w:sz w:val="16"/>
              </w:rPr>
            </w:pPr>
            <w:r>
              <w:rPr>
                <w:i/>
                <w:w w:val="85"/>
                <w:sz w:val="16"/>
              </w:rPr>
              <w:t>Expanding</w:t>
            </w:r>
            <w:r>
              <w:rPr>
                <w:i/>
                <w:spacing w:val="-23"/>
                <w:w w:val="85"/>
                <w:sz w:val="16"/>
              </w:rPr>
              <w:t> </w:t>
            </w:r>
            <w:r>
              <w:rPr>
                <w:i/>
                <w:w w:val="85"/>
                <w:sz w:val="16"/>
              </w:rPr>
              <w:t>CG</w:t>
            </w:r>
            <w:r>
              <w:rPr>
                <w:i/>
                <w:spacing w:val="-23"/>
                <w:w w:val="85"/>
                <w:sz w:val="16"/>
              </w:rPr>
              <w:t> </w:t>
            </w:r>
            <w:r>
              <w:rPr>
                <w:i/>
                <w:w w:val="85"/>
                <w:sz w:val="16"/>
              </w:rPr>
              <w:t>Culture</w:t>
            </w:r>
            <w:r>
              <w:rPr>
                <w:i/>
                <w:spacing w:val="-23"/>
                <w:w w:val="85"/>
                <w:sz w:val="16"/>
              </w:rPr>
              <w:t> </w:t>
            </w:r>
            <w:r>
              <w:rPr>
                <w:i/>
                <w:w w:val="85"/>
                <w:sz w:val="16"/>
              </w:rPr>
              <w:t>throughout</w:t>
            </w:r>
            <w:r>
              <w:rPr>
                <w:i/>
                <w:spacing w:val="-23"/>
                <w:w w:val="85"/>
                <w:sz w:val="16"/>
              </w:rPr>
              <w:t> </w:t>
            </w:r>
            <w:r>
              <w:rPr>
                <w:i/>
                <w:w w:val="85"/>
                <w:sz w:val="16"/>
              </w:rPr>
              <w:t>the</w:t>
            </w:r>
            <w:r>
              <w:rPr>
                <w:i/>
                <w:spacing w:val="-23"/>
                <w:w w:val="85"/>
                <w:sz w:val="16"/>
              </w:rPr>
              <w:t> </w:t>
            </w:r>
            <w:r>
              <w:rPr>
                <w:i/>
                <w:w w:val="85"/>
                <w:sz w:val="16"/>
              </w:rPr>
              <w:t>Palestinian </w:t>
            </w:r>
            <w:r>
              <w:rPr>
                <w:i/>
                <w:w w:val="80"/>
                <w:sz w:val="16"/>
              </w:rPr>
              <w:t>Private</w:t>
            </w:r>
            <w:r>
              <w:rPr>
                <w:i/>
                <w:spacing w:val="19"/>
                <w:w w:val="80"/>
                <w:sz w:val="16"/>
              </w:rPr>
              <w:t> </w:t>
            </w:r>
            <w:r>
              <w:rPr>
                <w:i/>
                <w:w w:val="80"/>
                <w:sz w:val="16"/>
              </w:rPr>
              <w:t>Sector</w:t>
            </w:r>
          </w:p>
        </w:tc>
        <w:tc>
          <w:tcPr>
            <w:tcW w:w="283" w:type="dxa"/>
            <w:tcBorders>
              <w:top w:val="single" w:sz="4" w:space="0" w:color="000000"/>
              <w:left w:val="single"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dotted" w:sz="4" w:space="0" w:color="000000"/>
              <w:right w:val="nil"/>
            </w:tcBorders>
          </w:tcPr>
          <w:p>
            <w:pPr>
              <w:pStyle w:val="TableParagraph"/>
              <w:ind w:right="106"/>
              <w:jc w:val="center"/>
              <w:rPr>
                <w:sz w:val="16"/>
              </w:rPr>
            </w:pPr>
            <w:r>
              <w:rPr>
                <w:w w:val="81"/>
                <w:sz w:val="16"/>
              </w:rPr>
              <w:t>x</w:t>
            </w:r>
          </w:p>
        </w:tc>
      </w:tr>
      <w:tr>
        <w:trPr>
          <w:trHeight w:val="228" w:hRule="exact"/>
        </w:trPr>
        <w:tc>
          <w:tcPr>
            <w:tcW w:w="850" w:type="dxa"/>
            <w:vMerge/>
            <w:tcBorders>
              <w:left w:val="nil"/>
              <w:bottom w:val="single" w:sz="4" w:space="0" w:color="000000"/>
              <w:right w:val="single" w:sz="4" w:space="0" w:color="000000"/>
            </w:tcBorders>
          </w:tcPr>
          <w:p>
            <w:pPr/>
          </w:p>
        </w:tc>
        <w:tc>
          <w:tcPr>
            <w:tcW w:w="3997" w:type="dxa"/>
            <w:tcBorders>
              <w:top w:val="dotted" w:sz="4" w:space="0" w:color="000000"/>
              <w:left w:val="single" w:sz="4" w:space="0" w:color="000000"/>
              <w:bottom w:val="single" w:sz="4" w:space="0" w:color="000000"/>
              <w:right w:val="single" w:sz="4" w:space="0" w:color="000000"/>
            </w:tcBorders>
          </w:tcPr>
          <w:p>
            <w:pPr>
              <w:pStyle w:val="TableParagraph"/>
              <w:ind w:left="52" w:right="83"/>
              <w:rPr>
                <w:sz w:val="16"/>
              </w:rPr>
            </w:pPr>
            <w:r>
              <w:rPr>
                <w:w w:val="85"/>
                <w:sz w:val="16"/>
              </w:rPr>
              <w:t>Center for Private Sector Development</w:t>
            </w:r>
          </w:p>
        </w:tc>
        <w:tc>
          <w:tcPr>
            <w:tcW w:w="3231" w:type="dxa"/>
            <w:vMerge/>
            <w:tcBorders>
              <w:left w:val="single" w:sz="4" w:space="0" w:color="000000"/>
              <w:bottom w:val="single" w:sz="4" w:space="0" w:color="000000"/>
              <w:right w:val="single" w:sz="4" w:space="0" w:color="000000"/>
            </w:tcBorders>
          </w:tcPr>
          <w:p>
            <w:pPr/>
          </w:p>
        </w:tc>
        <w:tc>
          <w:tcPr>
            <w:tcW w:w="283" w:type="dxa"/>
            <w:tcBorders>
              <w:top w:val="dotted" w:sz="4" w:space="0" w:color="000000"/>
              <w:left w:val="single"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Style w:val="TableParagraph"/>
              <w:ind w:right="101"/>
              <w:jc w:val="center"/>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Style w:val="TableParagraph"/>
              <w:ind w:right="101"/>
              <w:jc w:val="center"/>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nil"/>
            </w:tcBorders>
          </w:tcPr>
          <w:p>
            <w:pPr/>
          </w:p>
        </w:tc>
      </w:tr>
      <w:tr>
        <w:trPr>
          <w:trHeight w:val="228" w:hRule="exact"/>
        </w:trPr>
        <w:tc>
          <w:tcPr>
            <w:tcW w:w="850" w:type="dxa"/>
            <w:vMerge w:val="restart"/>
            <w:tcBorders>
              <w:top w:val="single" w:sz="4" w:space="0" w:color="000000"/>
              <w:left w:val="nil"/>
              <w:right w:val="single" w:sz="4" w:space="0" w:color="000000"/>
            </w:tcBorders>
          </w:tcPr>
          <w:p>
            <w:pPr>
              <w:pStyle w:val="TableParagraph"/>
              <w:ind w:left="57"/>
              <w:rPr>
                <w:sz w:val="16"/>
              </w:rPr>
            </w:pPr>
            <w:r>
              <w:rPr>
                <w:w w:val="90"/>
                <w:sz w:val="16"/>
              </w:rPr>
              <w:t>Turquía</w:t>
            </w:r>
          </w:p>
        </w:tc>
        <w:tc>
          <w:tcPr>
            <w:tcW w:w="3997" w:type="dxa"/>
            <w:vMerge w:val="restart"/>
            <w:tcBorders>
              <w:top w:val="single" w:sz="4" w:space="0" w:color="000000"/>
              <w:left w:val="single" w:sz="4" w:space="0" w:color="000000"/>
              <w:right w:val="single" w:sz="4" w:space="0" w:color="000000"/>
            </w:tcBorders>
          </w:tcPr>
          <w:p>
            <w:pPr>
              <w:pStyle w:val="TableParagraph"/>
              <w:ind w:left="52" w:right="83"/>
              <w:rPr>
                <w:sz w:val="16"/>
              </w:rPr>
            </w:pPr>
            <w:r>
              <w:rPr>
                <w:w w:val="80"/>
                <w:sz w:val="16"/>
              </w:rPr>
              <w:t>Corporate Governance Association of Turkey</w:t>
            </w:r>
          </w:p>
        </w:tc>
        <w:tc>
          <w:tcPr>
            <w:tcW w:w="3231" w:type="dxa"/>
            <w:tcBorders>
              <w:top w:val="single" w:sz="4" w:space="0" w:color="000000"/>
              <w:left w:val="single" w:sz="4" w:space="0" w:color="000000"/>
              <w:bottom w:val="dotted" w:sz="4" w:space="0" w:color="000000"/>
              <w:right w:val="single" w:sz="4" w:space="0" w:color="000000"/>
            </w:tcBorders>
          </w:tcPr>
          <w:p>
            <w:pPr>
              <w:pStyle w:val="TableParagraph"/>
              <w:ind w:left="52" w:right="162"/>
              <w:rPr>
                <w:i/>
                <w:sz w:val="16"/>
              </w:rPr>
            </w:pPr>
            <w:r>
              <w:rPr>
                <w:i/>
                <w:w w:val="80"/>
                <w:sz w:val="16"/>
              </w:rPr>
              <w:t>Expanding Awareness of CG</w:t>
            </w:r>
          </w:p>
        </w:tc>
        <w:tc>
          <w:tcPr>
            <w:tcW w:w="283" w:type="dxa"/>
            <w:tcBorders>
              <w:top w:val="single" w:sz="4" w:space="0" w:color="000000"/>
              <w:left w:val="single"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right="101"/>
              <w:jc w:val="center"/>
              <w:rPr>
                <w:sz w:val="16"/>
              </w:rPr>
            </w:pPr>
            <w:r>
              <w:rPr>
                <w:w w:val="81"/>
                <w:sz w:val="16"/>
              </w:rPr>
              <w:t>x</w:t>
            </w:r>
          </w:p>
        </w:tc>
        <w:tc>
          <w:tcPr>
            <w:tcW w:w="283" w:type="dxa"/>
            <w:tcBorders>
              <w:top w:val="single" w:sz="4" w:space="0" w:color="000000"/>
              <w:left w:val="dotted" w:sz="4" w:space="0" w:color="000000"/>
              <w:bottom w:val="dotted" w:sz="4" w:space="0" w:color="000000"/>
              <w:right w:val="dotted" w:sz="4" w:space="0" w:color="000000"/>
            </w:tcBorders>
          </w:tcPr>
          <w:p>
            <w:pPr>
              <w:pStyle w:val="TableParagraph"/>
              <w:ind w:left="52"/>
              <w:rPr>
                <w:sz w:val="16"/>
              </w:rPr>
            </w:pPr>
            <w:r>
              <w:rPr>
                <w:w w:val="81"/>
                <w:sz w:val="16"/>
              </w:rPr>
              <w:t>x</w:t>
            </w:r>
          </w:p>
        </w:tc>
        <w:tc>
          <w:tcPr>
            <w:tcW w:w="283" w:type="dxa"/>
            <w:tcBorders>
              <w:top w:val="single" w:sz="4" w:space="0" w:color="000000"/>
              <w:left w:val="dotted" w:sz="4" w:space="0" w:color="000000"/>
              <w:bottom w:val="dotted" w:sz="4" w:space="0" w:color="000000"/>
              <w:right w:val="nil"/>
            </w:tcBorders>
          </w:tcPr>
          <w:p>
            <w:pPr/>
          </w:p>
        </w:tc>
      </w:tr>
      <w:tr>
        <w:trPr>
          <w:trHeight w:val="228" w:hRule="exact"/>
        </w:trPr>
        <w:tc>
          <w:tcPr>
            <w:tcW w:w="850" w:type="dxa"/>
            <w:vMerge/>
            <w:tcBorders>
              <w:left w:val="nil"/>
              <w:bottom w:val="single" w:sz="4" w:space="0" w:color="000000"/>
              <w:right w:val="single" w:sz="4" w:space="0" w:color="000000"/>
            </w:tcBorders>
          </w:tcPr>
          <w:p>
            <w:pPr/>
          </w:p>
        </w:tc>
        <w:tc>
          <w:tcPr>
            <w:tcW w:w="3997" w:type="dxa"/>
            <w:vMerge/>
            <w:tcBorders>
              <w:left w:val="single" w:sz="4" w:space="0" w:color="000000"/>
              <w:bottom w:val="single" w:sz="4" w:space="0" w:color="000000"/>
              <w:right w:val="single" w:sz="4" w:space="0" w:color="000000"/>
            </w:tcBorders>
          </w:tcPr>
          <w:p>
            <w:pPr/>
          </w:p>
        </w:tc>
        <w:tc>
          <w:tcPr>
            <w:tcW w:w="3231" w:type="dxa"/>
            <w:tcBorders>
              <w:top w:val="dotted" w:sz="4" w:space="0" w:color="000000"/>
              <w:left w:val="single" w:sz="4" w:space="0" w:color="000000"/>
              <w:bottom w:val="single" w:sz="4" w:space="0" w:color="000000"/>
              <w:right w:val="single" w:sz="4" w:space="0" w:color="000000"/>
            </w:tcBorders>
          </w:tcPr>
          <w:p>
            <w:pPr>
              <w:pStyle w:val="TableParagraph"/>
              <w:ind w:left="52" w:right="162"/>
              <w:rPr>
                <w:sz w:val="16"/>
              </w:rPr>
            </w:pPr>
            <w:r>
              <w:rPr>
                <w:w w:val="85"/>
                <w:sz w:val="16"/>
              </w:rPr>
              <w:t>Supporting CG Practice in Turkey</w:t>
            </w:r>
          </w:p>
        </w:tc>
        <w:tc>
          <w:tcPr>
            <w:tcW w:w="283" w:type="dxa"/>
            <w:tcBorders>
              <w:top w:val="dotted" w:sz="4" w:space="0" w:color="000000"/>
              <w:left w:val="single" w:sz="4" w:space="0" w:color="000000"/>
              <w:bottom w:val="single" w:sz="4" w:space="0" w:color="000000"/>
              <w:right w:val="dotted" w:sz="4" w:space="0" w:color="000000"/>
            </w:tcBorders>
          </w:tcPr>
          <w:p>
            <w:pPr>
              <w:pStyle w:val="TableParagraph"/>
              <w:ind w:left="52"/>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Style w:val="TableParagraph"/>
              <w:ind w:right="100"/>
              <w:jc w:val="center"/>
              <w:rPr>
                <w:sz w:val="16"/>
              </w:rPr>
            </w:pPr>
            <w:r>
              <w:rPr>
                <w:w w:val="81"/>
                <w:sz w:val="16"/>
              </w:rPr>
              <w:t>x</w:t>
            </w: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dotted" w:sz="4" w:space="0" w:color="000000"/>
            </w:tcBorders>
          </w:tcPr>
          <w:p>
            <w:pPr/>
          </w:p>
        </w:tc>
        <w:tc>
          <w:tcPr>
            <w:tcW w:w="283" w:type="dxa"/>
            <w:tcBorders>
              <w:top w:val="dotted" w:sz="4" w:space="0" w:color="000000"/>
              <w:left w:val="dotted" w:sz="4" w:space="0" w:color="000000"/>
              <w:bottom w:val="single" w:sz="4" w:space="0" w:color="000000"/>
              <w:right w:val="nil"/>
            </w:tcBorders>
          </w:tcPr>
          <w:p>
            <w:pPr/>
          </w:p>
        </w:tc>
      </w:tr>
      <w:tr>
        <w:trPr>
          <w:trHeight w:val="228" w:hRule="exact"/>
        </w:trPr>
        <w:tc>
          <w:tcPr>
            <w:tcW w:w="850" w:type="dxa"/>
            <w:tcBorders>
              <w:top w:val="single" w:sz="4" w:space="0" w:color="000000"/>
              <w:left w:val="nil"/>
              <w:right w:val="single" w:sz="4" w:space="0" w:color="000000"/>
            </w:tcBorders>
          </w:tcPr>
          <w:p>
            <w:pPr>
              <w:pStyle w:val="TableParagraph"/>
              <w:ind w:left="57"/>
              <w:rPr>
                <w:sz w:val="16"/>
              </w:rPr>
            </w:pPr>
            <w:r>
              <w:rPr>
                <w:w w:val="90"/>
                <w:sz w:val="16"/>
              </w:rPr>
              <w:t>Egipto</w:t>
            </w:r>
          </w:p>
        </w:tc>
        <w:tc>
          <w:tcPr>
            <w:tcW w:w="3997" w:type="dxa"/>
            <w:tcBorders>
              <w:top w:val="single" w:sz="4" w:space="0" w:color="000000"/>
              <w:left w:val="single" w:sz="4" w:space="0" w:color="000000"/>
              <w:right w:val="single" w:sz="4" w:space="0" w:color="000000"/>
            </w:tcBorders>
          </w:tcPr>
          <w:p>
            <w:pPr>
              <w:pStyle w:val="TableParagraph"/>
              <w:ind w:left="52" w:right="83"/>
              <w:rPr>
                <w:sz w:val="16"/>
              </w:rPr>
            </w:pPr>
            <w:r>
              <w:rPr>
                <w:w w:val="80"/>
                <w:sz w:val="16"/>
              </w:rPr>
              <w:t>Federation of Economic Development Associations  (FEDA)</w:t>
            </w:r>
          </w:p>
        </w:tc>
        <w:tc>
          <w:tcPr>
            <w:tcW w:w="3231" w:type="dxa"/>
            <w:tcBorders>
              <w:top w:val="single" w:sz="4" w:space="0" w:color="000000"/>
              <w:left w:val="single" w:sz="4" w:space="0" w:color="000000"/>
              <w:right w:val="single" w:sz="4" w:space="0" w:color="000000"/>
            </w:tcBorders>
          </w:tcPr>
          <w:p>
            <w:pPr>
              <w:pStyle w:val="TableParagraph"/>
              <w:ind w:left="52" w:right="162"/>
              <w:rPr>
                <w:i/>
                <w:sz w:val="16"/>
              </w:rPr>
            </w:pPr>
            <w:r>
              <w:rPr>
                <w:i/>
                <w:w w:val="80"/>
                <w:sz w:val="16"/>
              </w:rPr>
              <w:t>CG</w:t>
            </w:r>
          </w:p>
        </w:tc>
        <w:tc>
          <w:tcPr>
            <w:tcW w:w="283" w:type="dxa"/>
            <w:tcBorders>
              <w:top w:val="single" w:sz="4" w:space="0" w:color="000000"/>
              <w:left w:val="single" w:sz="4" w:space="0" w:color="000000"/>
              <w:right w:val="dotted" w:sz="4" w:space="0" w:color="000000"/>
            </w:tcBorders>
          </w:tcPr>
          <w:p>
            <w:pPr/>
          </w:p>
        </w:tc>
        <w:tc>
          <w:tcPr>
            <w:tcW w:w="283" w:type="dxa"/>
            <w:tcBorders>
              <w:top w:val="single" w:sz="4" w:space="0" w:color="000000"/>
              <w:left w:val="dotted" w:sz="4" w:space="0" w:color="000000"/>
              <w:right w:val="dotted" w:sz="4" w:space="0" w:color="000000"/>
            </w:tcBorders>
          </w:tcPr>
          <w:p>
            <w:pPr/>
          </w:p>
        </w:tc>
        <w:tc>
          <w:tcPr>
            <w:tcW w:w="283" w:type="dxa"/>
            <w:tcBorders>
              <w:top w:val="single" w:sz="4" w:space="0" w:color="000000"/>
              <w:left w:val="dotted" w:sz="4" w:space="0" w:color="000000"/>
              <w:right w:val="dotted" w:sz="4" w:space="0" w:color="000000"/>
            </w:tcBorders>
          </w:tcPr>
          <w:p>
            <w:pPr/>
          </w:p>
        </w:tc>
        <w:tc>
          <w:tcPr>
            <w:tcW w:w="283" w:type="dxa"/>
            <w:tcBorders>
              <w:top w:val="single" w:sz="4" w:space="0" w:color="000000"/>
              <w:left w:val="dotted" w:sz="4" w:space="0" w:color="000000"/>
              <w:right w:val="dotted" w:sz="4" w:space="0" w:color="000000"/>
            </w:tcBorders>
          </w:tcPr>
          <w:p>
            <w:pPr/>
          </w:p>
        </w:tc>
        <w:tc>
          <w:tcPr>
            <w:tcW w:w="283" w:type="dxa"/>
            <w:tcBorders>
              <w:top w:val="single" w:sz="4" w:space="0" w:color="000000"/>
              <w:left w:val="dotted" w:sz="4" w:space="0" w:color="000000"/>
              <w:right w:val="dotted" w:sz="4" w:space="0" w:color="000000"/>
            </w:tcBorders>
          </w:tcPr>
          <w:p>
            <w:pPr/>
          </w:p>
        </w:tc>
        <w:tc>
          <w:tcPr>
            <w:tcW w:w="283" w:type="dxa"/>
            <w:tcBorders>
              <w:top w:val="single" w:sz="4" w:space="0" w:color="000000"/>
              <w:left w:val="dotted" w:sz="4" w:space="0" w:color="000000"/>
              <w:right w:val="dotted" w:sz="4" w:space="0" w:color="000000"/>
            </w:tcBorders>
          </w:tcPr>
          <w:p>
            <w:pPr/>
          </w:p>
        </w:tc>
        <w:tc>
          <w:tcPr>
            <w:tcW w:w="283" w:type="dxa"/>
            <w:tcBorders>
              <w:top w:val="single" w:sz="4" w:space="0" w:color="000000"/>
              <w:left w:val="dotted" w:sz="4" w:space="0" w:color="000000"/>
              <w:right w:val="nil"/>
            </w:tcBorders>
          </w:tcPr>
          <w:p>
            <w:pPr>
              <w:pStyle w:val="TableParagraph"/>
              <w:ind w:right="107"/>
              <w:jc w:val="center"/>
              <w:rPr>
                <w:sz w:val="16"/>
              </w:rPr>
            </w:pPr>
            <w:r>
              <w:rPr>
                <w:w w:val="81"/>
                <w:sz w:val="16"/>
              </w:rPr>
              <w:t>x</w:t>
            </w:r>
          </w:p>
        </w:tc>
      </w:tr>
    </w:tbl>
    <w:p>
      <w:pPr>
        <w:spacing w:before="44"/>
        <w:ind w:left="114" w:right="0" w:firstLine="0"/>
        <w:jc w:val="left"/>
        <w:rPr>
          <w:rFonts w:ascii="Arial" w:hAnsi="Arial"/>
          <w:sz w:val="14"/>
        </w:rPr>
      </w:pPr>
      <w:r>
        <w:rPr>
          <w:rFonts w:ascii="Arial" w:hAnsi="Arial"/>
          <w:w w:val="85"/>
          <w:sz w:val="14"/>
        </w:rPr>
        <w:t>Fuente: CIPE, </w:t>
      </w:r>
      <w:r>
        <w:rPr>
          <w:rFonts w:ascii="Arial" w:hAnsi="Arial"/>
          <w:i/>
          <w:w w:val="85"/>
          <w:sz w:val="14"/>
        </w:rPr>
        <w:t>Annual Report </w:t>
      </w:r>
      <w:r>
        <w:rPr>
          <w:rFonts w:ascii="Arial" w:hAnsi="Arial"/>
          <w:w w:val="85"/>
          <w:sz w:val="14"/>
        </w:rPr>
        <w:t>(2007 a 2012); elaboración: Kopittke (2013) y CIPE, </w:t>
      </w:r>
      <w:r>
        <w:rPr>
          <w:rFonts w:ascii="Arial" w:hAnsi="Arial"/>
          <w:i/>
          <w:w w:val="85"/>
          <w:sz w:val="14"/>
        </w:rPr>
        <w:t>Annual Report </w:t>
      </w:r>
      <w:r>
        <w:rPr>
          <w:rFonts w:ascii="Arial" w:hAnsi="Arial"/>
          <w:w w:val="85"/>
          <w:sz w:val="14"/>
        </w:rPr>
        <w:t>(2013).</w:t>
      </w:r>
    </w:p>
    <w:p>
      <w:pPr>
        <w:spacing w:after="0"/>
        <w:jc w:val="left"/>
        <w:rPr>
          <w:rFonts w:ascii="Arial" w:hAnsi="Arial"/>
          <w:sz w:val="14"/>
        </w:rPr>
        <w:sectPr>
          <w:headerReference w:type="default" r:id="rId354"/>
          <w:footerReference w:type="default" r:id="rId355"/>
          <w:pgSz w:w="12760" w:h="8790" w:orient="landscape"/>
          <w:pgMar w:header="0" w:footer="0" w:top="0" w:bottom="280" w:left="1240" w:right="1200"/>
        </w:sectPr>
      </w:pPr>
    </w:p>
    <w:p>
      <w:pPr>
        <w:pStyle w:val="BodyText"/>
        <w:rPr>
          <w:rFonts w:ascii="Arial"/>
          <w:sz w:val="20"/>
        </w:rPr>
      </w:pPr>
    </w:p>
    <w:p>
      <w:pPr>
        <w:pStyle w:val="BodyText"/>
        <w:rPr>
          <w:rFonts w:ascii="Arial"/>
          <w:sz w:val="20"/>
        </w:rPr>
      </w:pPr>
    </w:p>
    <w:p>
      <w:pPr>
        <w:pStyle w:val="BodyText"/>
        <w:spacing w:before="2"/>
        <w:rPr>
          <w:rFonts w:ascii="Arial"/>
          <w:sz w:val="29"/>
        </w:rPr>
      </w:pPr>
    </w:p>
    <w:p>
      <w:pPr>
        <w:pStyle w:val="Heading3"/>
        <w:ind w:left="1041" w:right="1249"/>
      </w:pPr>
      <w:r>
        <w:rPr/>
        <w:t>Silvina M. Romano*</w:t>
      </w:r>
    </w:p>
    <w:p>
      <w:pPr>
        <w:pStyle w:val="BodyText"/>
        <w:spacing w:before="9"/>
        <w:rPr>
          <w:sz w:val="20"/>
        </w:rPr>
      </w:pPr>
    </w:p>
    <w:p>
      <w:pPr>
        <w:spacing w:line="340" w:lineRule="exact" w:before="0"/>
        <w:ind w:left="1044" w:right="1249" w:firstLine="0"/>
        <w:jc w:val="center"/>
        <w:rPr>
          <w:rFonts w:ascii="Times New Roman" w:hAnsi="Times New Roman"/>
          <w:b/>
          <w:sz w:val="30"/>
        </w:rPr>
      </w:pPr>
      <w:r>
        <w:rPr>
          <w:rFonts w:ascii="Times New Roman" w:hAnsi="Times New Roman"/>
          <w:b/>
          <w:w w:val="135"/>
          <w:sz w:val="30"/>
        </w:rPr>
        <w:t>la conMeMoración</w:t>
      </w:r>
      <w:r>
        <w:rPr>
          <w:rFonts w:ascii="Times New Roman" w:hAnsi="Times New Roman"/>
          <w:b/>
          <w:spacing w:val="-51"/>
          <w:w w:val="135"/>
          <w:sz w:val="30"/>
        </w:rPr>
        <w:t> </w:t>
      </w:r>
      <w:r>
        <w:rPr>
          <w:rFonts w:ascii="Times New Roman" w:hAnsi="Times New Roman"/>
          <w:b/>
          <w:spacing w:val="1"/>
          <w:w w:val="135"/>
          <w:sz w:val="30"/>
        </w:rPr>
        <w:t>oficial </w:t>
      </w:r>
      <w:r>
        <w:rPr>
          <w:rFonts w:ascii="Times New Roman" w:hAnsi="Times New Roman"/>
          <w:b/>
          <w:spacing w:val="2"/>
          <w:w w:val="140"/>
          <w:sz w:val="30"/>
        </w:rPr>
        <w:t>del</w:t>
      </w:r>
      <w:r>
        <w:rPr>
          <w:rFonts w:ascii="Times New Roman" w:hAnsi="Times New Roman"/>
          <w:b/>
          <w:spacing w:val="-81"/>
          <w:w w:val="140"/>
          <w:sz w:val="30"/>
        </w:rPr>
        <w:t> </w:t>
      </w:r>
      <w:r>
        <w:rPr>
          <w:rFonts w:ascii="Times New Roman" w:hAnsi="Times New Roman"/>
          <w:b/>
          <w:w w:val="140"/>
          <w:sz w:val="30"/>
        </w:rPr>
        <w:t>olvido</w:t>
      </w:r>
      <w:r>
        <w:rPr>
          <w:rFonts w:ascii="Times New Roman" w:hAnsi="Times New Roman"/>
          <w:b/>
          <w:spacing w:val="-81"/>
          <w:w w:val="140"/>
          <w:sz w:val="30"/>
        </w:rPr>
        <w:t> </w:t>
      </w:r>
      <w:r>
        <w:rPr>
          <w:rFonts w:ascii="Times New Roman" w:hAnsi="Times New Roman"/>
          <w:b/>
          <w:w w:val="140"/>
          <w:sz w:val="30"/>
        </w:rPr>
        <w:t>de</w:t>
      </w:r>
      <w:r>
        <w:rPr>
          <w:rFonts w:ascii="Times New Roman" w:hAnsi="Times New Roman"/>
          <w:b/>
          <w:spacing w:val="-81"/>
          <w:w w:val="140"/>
          <w:sz w:val="30"/>
        </w:rPr>
        <w:t> </w:t>
      </w:r>
      <w:r>
        <w:rPr>
          <w:rFonts w:ascii="Times New Roman" w:hAnsi="Times New Roman"/>
          <w:b/>
          <w:w w:val="140"/>
          <w:sz w:val="30"/>
        </w:rPr>
        <w:t>vietnaM</w:t>
      </w:r>
    </w:p>
    <w:p>
      <w:pPr>
        <w:spacing w:line="337" w:lineRule="exact" w:before="0"/>
        <w:ind w:left="1041" w:right="1249" w:firstLine="0"/>
        <w:jc w:val="center"/>
        <w:rPr>
          <w:rFonts w:ascii="Times New Roman"/>
          <w:b/>
          <w:sz w:val="30"/>
        </w:rPr>
      </w:pPr>
      <w:r>
        <w:rPr>
          <w:rFonts w:ascii="Times New Roman"/>
          <w:b/>
          <w:w w:val="135"/>
          <w:sz w:val="30"/>
        </w:rPr>
        <w:t>en estados unidos</w:t>
      </w:r>
    </w:p>
    <w:p>
      <w:pPr>
        <w:pStyle w:val="Heading4"/>
        <w:spacing w:before="225"/>
        <w:ind w:left="1041" w:right="1249"/>
        <w:jc w:val="center"/>
        <w:rPr>
          <w:rFonts w:ascii="Times New Roman" w:hAnsi="Times New Roman"/>
        </w:rPr>
      </w:pPr>
      <w:r>
        <w:rPr>
          <w:rFonts w:ascii="Times New Roman" w:hAnsi="Times New Roman"/>
          <w:w w:val="130"/>
        </w:rPr>
        <w:t>aPuntes Básicos</w:t>
      </w:r>
    </w:p>
    <w:p>
      <w:pPr>
        <w:spacing w:before="4"/>
        <w:ind w:left="1044" w:right="1249" w:firstLine="0"/>
        <w:jc w:val="center"/>
        <w:rPr>
          <w:rFonts w:ascii="Times New Roman"/>
          <w:b/>
          <w:sz w:val="24"/>
        </w:rPr>
      </w:pPr>
      <w:r>
        <w:rPr>
          <w:rFonts w:ascii="Times New Roman"/>
          <w:b/>
          <w:spacing w:val="-3"/>
          <w:w w:val="130"/>
          <w:sz w:val="24"/>
        </w:rPr>
        <w:t>Para </w:t>
      </w:r>
      <w:r>
        <w:rPr>
          <w:rFonts w:ascii="Times New Roman"/>
          <w:b/>
          <w:spacing w:val="1"/>
          <w:w w:val="130"/>
          <w:sz w:val="24"/>
        </w:rPr>
        <w:t>recuPerar la </w:t>
      </w:r>
      <w:r>
        <w:rPr>
          <w:rFonts w:ascii="Times New Roman"/>
          <w:b/>
          <w:spacing w:val="2"/>
          <w:w w:val="130"/>
          <w:sz w:val="24"/>
        </w:rPr>
        <w:t>MeMoria</w:t>
      </w:r>
    </w:p>
    <w:p>
      <w:pPr>
        <w:pStyle w:val="BodyText"/>
        <w:rPr>
          <w:rFonts w:ascii="Times New Roman"/>
          <w:b/>
          <w:sz w:val="24"/>
        </w:rPr>
      </w:pPr>
    </w:p>
    <w:p>
      <w:pPr>
        <w:spacing w:line="252" w:lineRule="auto" w:before="193"/>
        <w:ind w:left="1915" w:right="328" w:firstLine="639"/>
        <w:jc w:val="right"/>
        <w:rPr>
          <w:sz w:val="11"/>
        </w:rPr>
      </w:pPr>
      <w:r>
        <w:rPr>
          <w:i/>
          <w:w w:val="110"/>
          <w:sz w:val="19"/>
        </w:rPr>
        <w:t>“… Silly Pentagon. We already had plenty of</w:t>
      </w:r>
      <w:r>
        <w:rPr>
          <w:i/>
          <w:w w:val="111"/>
          <w:sz w:val="19"/>
        </w:rPr>
        <w:t> </w:t>
      </w:r>
      <w:r>
        <w:rPr>
          <w:i/>
          <w:w w:val="110"/>
          <w:sz w:val="19"/>
        </w:rPr>
        <w:t>evasions and deceptions about the Vietnam War.</w:t>
      </w:r>
      <w:r>
        <w:rPr>
          <w:i/>
          <w:w w:val="142"/>
          <w:sz w:val="19"/>
        </w:rPr>
        <w:t> </w:t>
      </w:r>
      <w:r>
        <w:rPr>
          <w:i/>
          <w:w w:val="110"/>
          <w:sz w:val="19"/>
        </w:rPr>
        <w:t>We didn’t need a commemorative occasion to</w:t>
      </w:r>
      <w:r>
        <w:rPr>
          <w:i/>
          <w:w w:val="106"/>
          <w:sz w:val="19"/>
        </w:rPr>
        <w:t> </w:t>
      </w:r>
      <w:r>
        <w:rPr>
          <w:i/>
          <w:w w:val="110"/>
          <w:sz w:val="19"/>
        </w:rPr>
        <w:t>spread more […] We need to learn from our history</w:t>
      </w:r>
      <w:r>
        <w:rPr>
          <w:i/>
          <w:w w:val="109"/>
          <w:sz w:val="19"/>
        </w:rPr>
        <w:t> </w:t>
      </w:r>
      <w:r>
        <w:rPr>
          <w:i/>
          <w:w w:val="110"/>
          <w:sz w:val="19"/>
        </w:rPr>
        <w:t>in order to stop repeating it, facing the ugly truth</w:t>
      </w:r>
      <w:r>
        <w:rPr>
          <w:i/>
          <w:w w:val="107"/>
          <w:sz w:val="19"/>
        </w:rPr>
        <w:t> </w:t>
      </w:r>
      <w:r>
        <w:rPr>
          <w:i/>
          <w:w w:val="110"/>
          <w:sz w:val="19"/>
        </w:rPr>
        <w:t>with open eyes –not spending taxpayer money to</w:t>
      </w:r>
      <w:r>
        <w:rPr>
          <w:i/>
          <w:w w:val="106"/>
          <w:sz w:val="19"/>
        </w:rPr>
        <w:t> </w:t>
      </w:r>
      <w:r>
        <w:rPr>
          <w:i/>
          <w:w w:val="110"/>
          <w:sz w:val="19"/>
        </w:rPr>
        <w:t>blow snow in our faces” </w:t>
      </w:r>
      <w:r>
        <w:rPr>
          <w:w w:val="110"/>
          <w:sz w:val="19"/>
        </w:rPr>
        <w:t>(Kohn,  2015).</w:t>
      </w:r>
      <w:r>
        <w:rPr>
          <w:w w:val="110"/>
          <w:position w:val="6"/>
          <w:sz w:val="11"/>
        </w:rPr>
        <w:t>1</w:t>
      </w:r>
    </w:p>
    <w:p>
      <w:pPr>
        <w:pStyle w:val="BodyText"/>
        <w:rPr>
          <w:sz w:val="18"/>
        </w:rPr>
      </w:pPr>
    </w:p>
    <w:p>
      <w:pPr>
        <w:pStyle w:val="BodyText"/>
        <w:spacing w:before="4"/>
        <w:rPr>
          <w:sz w:val="21"/>
        </w:rPr>
      </w:pPr>
    </w:p>
    <w:p>
      <w:pPr>
        <w:pStyle w:val="Heading6"/>
        <w:spacing w:before="1"/>
        <w:ind w:left="121"/>
      </w:pPr>
      <w:r>
        <w:rPr>
          <w:w w:val="140"/>
        </w:rPr>
        <w:t>introducción</w:t>
      </w:r>
    </w:p>
    <w:p>
      <w:pPr>
        <w:pStyle w:val="BodyText"/>
        <w:spacing w:line="252" w:lineRule="auto" w:before="10"/>
        <w:ind w:left="120" w:right="328"/>
        <w:jc w:val="both"/>
      </w:pPr>
      <w:r>
        <w:rPr>
          <w:w w:val="110"/>
        </w:rPr>
        <w:t>En 2008 el Congreso autorizó una ley para que el departamento de defensa “coordine, apoye y facilite” programas federales, estatales y locales sobre el 50º aniversario de Vietnam. El día del Memorial de 2012, obama anunció un programa de 13 años de conmemoración, que costará 15 millones de dólares a los contribuyentes estadouni-</w:t>
      </w:r>
    </w:p>
    <w:p>
      <w:pPr>
        <w:pStyle w:val="BodyText"/>
        <w:spacing w:before="9"/>
        <w:rPr>
          <w:sz w:val="16"/>
        </w:rPr>
      </w:pPr>
    </w:p>
    <w:p>
      <w:pPr>
        <w:spacing w:line="242" w:lineRule="auto" w:before="74"/>
        <w:ind w:left="290" w:right="327" w:hanging="171"/>
        <w:jc w:val="both"/>
        <w:rPr>
          <w:sz w:val="16"/>
        </w:rPr>
      </w:pPr>
      <w:r>
        <w:rPr>
          <w:w w:val="110"/>
          <w:sz w:val="16"/>
        </w:rPr>
        <w:t>* investigadora asistente del Consejo Nacional de investigaciones Científicas y </w:t>
      </w:r>
      <w:r>
        <w:rPr>
          <w:spacing w:val="-4"/>
          <w:w w:val="110"/>
          <w:sz w:val="16"/>
        </w:rPr>
        <w:t>téc- </w:t>
      </w:r>
      <w:r>
        <w:rPr>
          <w:w w:val="109"/>
          <w:sz w:val="16"/>
        </w:rPr>
        <w:t>nicas</w:t>
      </w:r>
      <w:r>
        <w:rPr>
          <w:spacing w:val="17"/>
          <w:sz w:val="16"/>
        </w:rPr>
        <w:t> </w:t>
      </w:r>
      <w:r>
        <w:rPr>
          <w:w w:val="111"/>
          <w:sz w:val="16"/>
        </w:rPr>
        <w:t>(C</w:t>
      </w:r>
      <w:r>
        <w:rPr>
          <w:w w:val="146"/>
          <w:sz w:val="16"/>
        </w:rPr>
        <w:t>o</w:t>
      </w:r>
      <w:r>
        <w:rPr>
          <w:w w:val="116"/>
          <w:sz w:val="16"/>
        </w:rPr>
        <w:t>N</w:t>
      </w:r>
      <w:r>
        <w:rPr>
          <w:w w:val="140"/>
          <w:sz w:val="16"/>
        </w:rPr>
        <w:t>i</w:t>
      </w:r>
      <w:r>
        <w:rPr>
          <w:w w:val="123"/>
          <w:sz w:val="16"/>
        </w:rPr>
        <w:t>CE</w:t>
      </w:r>
      <w:r>
        <w:rPr>
          <w:w w:val="191"/>
          <w:sz w:val="16"/>
        </w:rPr>
        <w:t>t</w:t>
      </w:r>
      <w:r>
        <w:rPr>
          <w:w w:val="96"/>
          <w:sz w:val="16"/>
        </w:rPr>
        <w:t>)</w:t>
      </w:r>
      <w:r>
        <w:rPr>
          <w:spacing w:val="17"/>
          <w:sz w:val="16"/>
        </w:rPr>
        <w:t> </w:t>
      </w:r>
      <w:r>
        <w:rPr>
          <w:w w:val="106"/>
          <w:sz w:val="16"/>
        </w:rPr>
        <w:t>en</w:t>
      </w:r>
      <w:r>
        <w:rPr>
          <w:spacing w:val="17"/>
          <w:sz w:val="16"/>
        </w:rPr>
        <w:t> </w:t>
      </w:r>
      <w:r>
        <w:rPr>
          <w:w w:val="104"/>
          <w:sz w:val="16"/>
        </w:rPr>
        <w:t>el</w:t>
      </w:r>
      <w:r>
        <w:rPr>
          <w:spacing w:val="17"/>
          <w:sz w:val="16"/>
        </w:rPr>
        <w:t> </w:t>
      </w:r>
      <w:r>
        <w:rPr>
          <w:w w:val="140"/>
          <w:sz w:val="16"/>
        </w:rPr>
        <w:t>i</w:t>
      </w:r>
      <w:r>
        <w:rPr>
          <w:w w:val="107"/>
          <w:sz w:val="16"/>
        </w:rPr>
        <w:t>nstituto</w:t>
      </w:r>
      <w:r>
        <w:rPr>
          <w:spacing w:val="17"/>
          <w:sz w:val="16"/>
        </w:rPr>
        <w:t> </w:t>
      </w:r>
      <w:r>
        <w:rPr>
          <w:w w:val="104"/>
          <w:sz w:val="16"/>
        </w:rPr>
        <w:t>de</w:t>
      </w:r>
      <w:r>
        <w:rPr>
          <w:spacing w:val="17"/>
          <w:sz w:val="16"/>
        </w:rPr>
        <w:t> </w:t>
      </w:r>
      <w:r>
        <w:rPr>
          <w:w w:val="109"/>
          <w:sz w:val="16"/>
        </w:rPr>
        <w:t>Estudios</w:t>
      </w:r>
      <w:r>
        <w:rPr>
          <w:spacing w:val="17"/>
          <w:sz w:val="16"/>
        </w:rPr>
        <w:t> </w:t>
      </w:r>
      <w:r>
        <w:rPr>
          <w:w w:val="104"/>
          <w:sz w:val="16"/>
        </w:rPr>
        <w:t>de</w:t>
      </w:r>
      <w:r>
        <w:rPr>
          <w:spacing w:val="17"/>
          <w:sz w:val="16"/>
        </w:rPr>
        <w:t> </w:t>
      </w:r>
      <w:r>
        <w:rPr>
          <w:w w:val="136"/>
          <w:sz w:val="16"/>
        </w:rPr>
        <w:t>a</w:t>
      </w:r>
      <w:r>
        <w:rPr>
          <w:w w:val="108"/>
          <w:sz w:val="16"/>
        </w:rPr>
        <w:t>mérica</w:t>
      </w:r>
      <w:r>
        <w:rPr>
          <w:spacing w:val="17"/>
          <w:sz w:val="16"/>
        </w:rPr>
        <w:t> </w:t>
      </w:r>
      <w:r>
        <w:rPr>
          <w:w w:val="238"/>
          <w:sz w:val="16"/>
        </w:rPr>
        <w:t>l</w:t>
      </w:r>
      <w:r>
        <w:rPr>
          <w:w w:val="109"/>
          <w:sz w:val="16"/>
        </w:rPr>
        <w:t>atina</w:t>
      </w:r>
      <w:r>
        <w:rPr>
          <w:spacing w:val="17"/>
          <w:sz w:val="16"/>
        </w:rPr>
        <w:t> </w:t>
      </w:r>
      <w:r>
        <w:rPr>
          <w:w w:val="102"/>
          <w:sz w:val="16"/>
        </w:rPr>
        <w:t>y</w:t>
      </w:r>
      <w:r>
        <w:rPr>
          <w:spacing w:val="17"/>
          <w:sz w:val="16"/>
        </w:rPr>
        <w:t> </w:t>
      </w:r>
      <w:r>
        <w:rPr>
          <w:w w:val="104"/>
          <w:sz w:val="16"/>
        </w:rPr>
        <w:t>el</w:t>
      </w:r>
      <w:r>
        <w:rPr>
          <w:spacing w:val="17"/>
          <w:sz w:val="16"/>
        </w:rPr>
        <w:t> </w:t>
      </w:r>
      <w:r>
        <w:rPr>
          <w:w w:val="110"/>
          <w:sz w:val="16"/>
        </w:rPr>
        <w:t>Caribe</w:t>
      </w:r>
      <w:r>
        <w:rPr>
          <w:spacing w:val="17"/>
          <w:sz w:val="16"/>
        </w:rPr>
        <w:t> </w:t>
      </w:r>
      <w:r>
        <w:rPr>
          <w:w w:val="96"/>
          <w:sz w:val="16"/>
        </w:rPr>
        <w:t>(</w:t>
      </w:r>
      <w:r>
        <w:rPr>
          <w:w w:val="137"/>
          <w:sz w:val="16"/>
        </w:rPr>
        <w:t>u</w:t>
      </w:r>
      <w:r>
        <w:rPr>
          <w:w w:val="110"/>
          <w:sz w:val="16"/>
        </w:rPr>
        <w:t>ni</w:t>
      </w:r>
      <w:r>
        <w:rPr>
          <w:w w:val="100"/>
          <w:sz w:val="16"/>
        </w:rPr>
        <w:t>- </w:t>
      </w:r>
      <w:r>
        <w:rPr>
          <w:w w:val="110"/>
          <w:sz w:val="16"/>
        </w:rPr>
        <w:t>versidad</w:t>
      </w:r>
      <w:r>
        <w:rPr>
          <w:spacing w:val="-4"/>
          <w:w w:val="110"/>
          <w:sz w:val="16"/>
        </w:rPr>
        <w:t> </w:t>
      </w:r>
      <w:r>
        <w:rPr>
          <w:w w:val="110"/>
          <w:sz w:val="16"/>
        </w:rPr>
        <w:t>de</w:t>
      </w:r>
      <w:r>
        <w:rPr>
          <w:spacing w:val="-4"/>
          <w:w w:val="110"/>
          <w:sz w:val="16"/>
        </w:rPr>
        <w:t> </w:t>
      </w:r>
      <w:r>
        <w:rPr>
          <w:w w:val="110"/>
          <w:sz w:val="16"/>
        </w:rPr>
        <w:t>buenos</w:t>
      </w:r>
      <w:r>
        <w:rPr>
          <w:spacing w:val="-4"/>
          <w:w w:val="110"/>
          <w:sz w:val="16"/>
        </w:rPr>
        <w:t> </w:t>
      </w:r>
      <w:r>
        <w:rPr>
          <w:w w:val="110"/>
          <w:sz w:val="16"/>
        </w:rPr>
        <w:t>aires,</w:t>
      </w:r>
      <w:r>
        <w:rPr>
          <w:spacing w:val="-4"/>
          <w:w w:val="110"/>
          <w:sz w:val="16"/>
        </w:rPr>
        <w:t> </w:t>
      </w:r>
      <w:r>
        <w:rPr>
          <w:w w:val="110"/>
          <w:sz w:val="16"/>
        </w:rPr>
        <w:t>argentina).</w:t>
      </w:r>
      <w:r>
        <w:rPr>
          <w:spacing w:val="-4"/>
          <w:w w:val="110"/>
          <w:sz w:val="16"/>
        </w:rPr>
        <w:t> </w:t>
      </w:r>
      <w:r>
        <w:rPr>
          <w:w w:val="110"/>
          <w:sz w:val="16"/>
        </w:rPr>
        <w:t>Posdoctora</w:t>
      </w:r>
      <w:r>
        <w:rPr>
          <w:spacing w:val="-4"/>
          <w:w w:val="110"/>
          <w:sz w:val="16"/>
        </w:rPr>
        <w:t> </w:t>
      </w:r>
      <w:r>
        <w:rPr>
          <w:w w:val="110"/>
          <w:sz w:val="16"/>
        </w:rPr>
        <w:t>por</w:t>
      </w:r>
      <w:r>
        <w:rPr>
          <w:spacing w:val="-4"/>
          <w:w w:val="110"/>
          <w:sz w:val="16"/>
        </w:rPr>
        <w:t> </w:t>
      </w:r>
      <w:r>
        <w:rPr>
          <w:w w:val="110"/>
          <w:sz w:val="16"/>
        </w:rPr>
        <w:t>el</w:t>
      </w:r>
      <w:r>
        <w:rPr>
          <w:spacing w:val="-4"/>
          <w:w w:val="110"/>
          <w:sz w:val="16"/>
        </w:rPr>
        <w:t> </w:t>
      </w:r>
      <w:r>
        <w:rPr>
          <w:w w:val="110"/>
          <w:sz w:val="16"/>
        </w:rPr>
        <w:t>Centro</w:t>
      </w:r>
      <w:r>
        <w:rPr>
          <w:spacing w:val="-4"/>
          <w:w w:val="110"/>
          <w:sz w:val="16"/>
        </w:rPr>
        <w:t> </w:t>
      </w:r>
      <w:r>
        <w:rPr>
          <w:w w:val="110"/>
          <w:sz w:val="16"/>
        </w:rPr>
        <w:t>de</w:t>
      </w:r>
      <w:r>
        <w:rPr>
          <w:spacing w:val="-4"/>
          <w:w w:val="110"/>
          <w:sz w:val="16"/>
        </w:rPr>
        <w:t> </w:t>
      </w:r>
      <w:r>
        <w:rPr>
          <w:w w:val="110"/>
          <w:sz w:val="16"/>
        </w:rPr>
        <w:t>investigaciones </w:t>
      </w:r>
      <w:r>
        <w:rPr>
          <w:w w:val="105"/>
          <w:sz w:val="16"/>
        </w:rPr>
        <w:t>sobre</w:t>
      </w:r>
      <w:r>
        <w:rPr>
          <w:sz w:val="16"/>
        </w:rPr>
        <w:t> </w:t>
      </w:r>
      <w:r>
        <w:rPr>
          <w:spacing w:val="1"/>
          <w:sz w:val="16"/>
        </w:rPr>
        <w:t> </w:t>
      </w:r>
      <w:r>
        <w:rPr>
          <w:w w:val="136"/>
          <w:sz w:val="16"/>
        </w:rPr>
        <w:t>a</w:t>
      </w:r>
      <w:r>
        <w:rPr>
          <w:w w:val="108"/>
          <w:sz w:val="16"/>
        </w:rPr>
        <w:t>mérica</w:t>
      </w:r>
      <w:r>
        <w:rPr>
          <w:sz w:val="16"/>
        </w:rPr>
        <w:t> </w:t>
      </w:r>
      <w:r>
        <w:rPr>
          <w:spacing w:val="1"/>
          <w:sz w:val="16"/>
        </w:rPr>
        <w:t> </w:t>
      </w:r>
      <w:r>
        <w:rPr>
          <w:w w:val="238"/>
          <w:sz w:val="16"/>
        </w:rPr>
        <w:t>l</w:t>
      </w:r>
      <w:r>
        <w:rPr>
          <w:w w:val="109"/>
          <w:sz w:val="16"/>
        </w:rPr>
        <w:t>atina</w:t>
      </w:r>
      <w:r>
        <w:rPr>
          <w:sz w:val="16"/>
        </w:rPr>
        <w:t> </w:t>
      </w:r>
      <w:r>
        <w:rPr>
          <w:spacing w:val="1"/>
          <w:sz w:val="16"/>
        </w:rPr>
        <w:t> </w:t>
      </w:r>
      <w:r>
        <w:rPr>
          <w:w w:val="102"/>
          <w:sz w:val="16"/>
        </w:rPr>
        <w:t>y</w:t>
      </w:r>
      <w:r>
        <w:rPr>
          <w:sz w:val="16"/>
        </w:rPr>
        <w:t> </w:t>
      </w:r>
      <w:r>
        <w:rPr>
          <w:spacing w:val="1"/>
          <w:sz w:val="16"/>
        </w:rPr>
        <w:t> </w:t>
      </w:r>
      <w:r>
        <w:rPr>
          <w:w w:val="104"/>
          <w:sz w:val="16"/>
        </w:rPr>
        <w:t>el</w:t>
      </w:r>
      <w:r>
        <w:rPr>
          <w:sz w:val="16"/>
        </w:rPr>
        <w:t> </w:t>
      </w:r>
      <w:r>
        <w:rPr>
          <w:spacing w:val="1"/>
          <w:sz w:val="16"/>
        </w:rPr>
        <w:t> </w:t>
      </w:r>
      <w:r>
        <w:rPr>
          <w:w w:val="111"/>
          <w:sz w:val="16"/>
        </w:rPr>
        <w:t>Caribe,</w:t>
      </w:r>
      <w:r>
        <w:rPr>
          <w:sz w:val="16"/>
        </w:rPr>
        <w:t> </w:t>
      </w:r>
      <w:r>
        <w:rPr>
          <w:spacing w:val="1"/>
          <w:sz w:val="16"/>
        </w:rPr>
        <w:t> </w:t>
      </w:r>
      <w:r>
        <w:rPr>
          <w:w w:val="137"/>
          <w:sz w:val="16"/>
        </w:rPr>
        <w:t>u</w:t>
      </w:r>
      <w:r>
        <w:rPr>
          <w:w w:val="106"/>
          <w:sz w:val="16"/>
        </w:rPr>
        <w:t>niversidad</w:t>
      </w:r>
      <w:r>
        <w:rPr>
          <w:sz w:val="16"/>
        </w:rPr>
        <w:t> </w:t>
      </w:r>
      <w:r>
        <w:rPr>
          <w:spacing w:val="1"/>
          <w:sz w:val="16"/>
        </w:rPr>
        <w:t> </w:t>
      </w:r>
      <w:r>
        <w:rPr>
          <w:w w:val="111"/>
          <w:sz w:val="16"/>
        </w:rPr>
        <w:t>Nacional</w:t>
      </w:r>
      <w:r>
        <w:rPr>
          <w:sz w:val="16"/>
        </w:rPr>
        <w:t> </w:t>
      </w:r>
      <w:r>
        <w:rPr>
          <w:spacing w:val="1"/>
          <w:sz w:val="16"/>
        </w:rPr>
        <w:t> </w:t>
      </w:r>
      <w:r>
        <w:rPr>
          <w:w w:val="136"/>
          <w:sz w:val="16"/>
        </w:rPr>
        <w:t>a</w:t>
      </w:r>
      <w:r>
        <w:rPr>
          <w:w w:val="109"/>
          <w:sz w:val="16"/>
        </w:rPr>
        <w:t>utónoma</w:t>
      </w:r>
      <w:r>
        <w:rPr>
          <w:sz w:val="16"/>
        </w:rPr>
        <w:t> </w:t>
      </w:r>
      <w:r>
        <w:rPr>
          <w:spacing w:val="1"/>
          <w:sz w:val="16"/>
        </w:rPr>
        <w:t> </w:t>
      </w:r>
      <w:r>
        <w:rPr>
          <w:w w:val="104"/>
          <w:sz w:val="16"/>
        </w:rPr>
        <w:t>de</w:t>
      </w:r>
      <w:r>
        <w:rPr>
          <w:sz w:val="16"/>
        </w:rPr>
        <w:t> </w:t>
      </w:r>
      <w:r>
        <w:rPr>
          <w:spacing w:val="1"/>
          <w:sz w:val="16"/>
        </w:rPr>
        <w:t> </w:t>
      </w:r>
      <w:r>
        <w:rPr>
          <w:w w:val="112"/>
          <w:sz w:val="16"/>
        </w:rPr>
        <w:t>México. </w:t>
      </w:r>
      <w:r>
        <w:rPr>
          <w:w w:val="110"/>
          <w:sz w:val="16"/>
        </w:rPr>
        <w:t>Posdoctora por el Centro de investigaciones y Estudio sobre Cultura y sociedad, </w:t>
      </w:r>
      <w:r>
        <w:rPr>
          <w:w w:val="121"/>
          <w:sz w:val="16"/>
        </w:rPr>
        <w:t>C</w:t>
      </w:r>
      <w:r>
        <w:rPr>
          <w:w w:val="146"/>
          <w:sz w:val="16"/>
        </w:rPr>
        <w:t>o</w:t>
      </w:r>
      <w:r>
        <w:rPr>
          <w:w w:val="116"/>
          <w:sz w:val="16"/>
        </w:rPr>
        <w:t>N</w:t>
      </w:r>
      <w:r>
        <w:rPr>
          <w:w w:val="140"/>
          <w:sz w:val="16"/>
        </w:rPr>
        <w:t>i</w:t>
      </w:r>
      <w:r>
        <w:rPr>
          <w:w w:val="123"/>
          <w:sz w:val="16"/>
        </w:rPr>
        <w:t>CE</w:t>
      </w:r>
      <w:r>
        <w:rPr>
          <w:spacing w:val="-15"/>
          <w:w w:val="191"/>
          <w:sz w:val="16"/>
        </w:rPr>
        <w:t>t</w:t>
      </w:r>
      <w:r>
        <w:rPr>
          <w:w w:val="100"/>
          <w:sz w:val="16"/>
        </w:rPr>
        <w:t>-</w:t>
      </w:r>
      <w:r>
        <w:rPr>
          <w:w w:val="137"/>
          <w:sz w:val="16"/>
        </w:rPr>
        <w:t>u</w:t>
      </w:r>
      <w:r>
        <w:rPr>
          <w:w w:val="106"/>
          <w:sz w:val="16"/>
        </w:rPr>
        <w:t>niversidad</w:t>
      </w:r>
      <w:r>
        <w:rPr>
          <w:sz w:val="16"/>
        </w:rPr>
        <w:t> </w:t>
      </w:r>
      <w:r>
        <w:rPr>
          <w:spacing w:val="-14"/>
          <w:sz w:val="16"/>
        </w:rPr>
        <w:t> </w:t>
      </w:r>
      <w:r>
        <w:rPr>
          <w:w w:val="111"/>
          <w:sz w:val="16"/>
        </w:rPr>
        <w:t>Nacional</w:t>
      </w:r>
      <w:r>
        <w:rPr>
          <w:sz w:val="16"/>
        </w:rPr>
        <w:t> </w:t>
      </w:r>
      <w:r>
        <w:rPr>
          <w:spacing w:val="-14"/>
          <w:sz w:val="16"/>
        </w:rPr>
        <w:t> </w:t>
      </w:r>
      <w:r>
        <w:rPr>
          <w:w w:val="104"/>
          <w:sz w:val="16"/>
        </w:rPr>
        <w:t>de</w:t>
      </w:r>
      <w:r>
        <w:rPr>
          <w:sz w:val="16"/>
        </w:rPr>
        <w:t> </w:t>
      </w:r>
      <w:r>
        <w:rPr>
          <w:spacing w:val="-14"/>
          <w:sz w:val="16"/>
        </w:rPr>
        <w:t> </w:t>
      </w:r>
      <w:r>
        <w:rPr>
          <w:w w:val="111"/>
          <w:sz w:val="16"/>
        </w:rPr>
        <w:t>Córdoba.</w:t>
      </w:r>
      <w:r>
        <w:rPr>
          <w:sz w:val="16"/>
        </w:rPr>
        <w:t> </w:t>
      </w:r>
      <w:r>
        <w:rPr>
          <w:spacing w:val="-14"/>
          <w:sz w:val="16"/>
        </w:rPr>
        <w:t> </w:t>
      </w:r>
      <w:r>
        <w:rPr>
          <w:w w:val="136"/>
          <w:sz w:val="16"/>
        </w:rPr>
        <w:t>d</w:t>
      </w:r>
      <w:r>
        <w:rPr>
          <w:w w:val="108"/>
          <w:sz w:val="16"/>
        </w:rPr>
        <w:t>octora</w:t>
      </w:r>
      <w:r>
        <w:rPr>
          <w:sz w:val="16"/>
        </w:rPr>
        <w:t> </w:t>
      </w:r>
      <w:r>
        <w:rPr>
          <w:spacing w:val="-14"/>
          <w:sz w:val="16"/>
        </w:rPr>
        <w:t> </w:t>
      </w:r>
      <w:r>
        <w:rPr>
          <w:w w:val="106"/>
          <w:sz w:val="16"/>
        </w:rPr>
        <w:t>en</w:t>
      </w:r>
      <w:r>
        <w:rPr>
          <w:sz w:val="16"/>
        </w:rPr>
        <w:t> </w:t>
      </w:r>
      <w:r>
        <w:rPr>
          <w:spacing w:val="-14"/>
          <w:sz w:val="16"/>
        </w:rPr>
        <w:t> </w:t>
      </w:r>
      <w:r>
        <w:rPr>
          <w:w w:val="111"/>
          <w:sz w:val="16"/>
        </w:rPr>
        <w:t>Ciencia</w:t>
      </w:r>
      <w:r>
        <w:rPr>
          <w:sz w:val="16"/>
        </w:rPr>
        <w:t> </w:t>
      </w:r>
      <w:r>
        <w:rPr>
          <w:spacing w:val="-14"/>
          <w:sz w:val="16"/>
        </w:rPr>
        <w:t> </w:t>
      </w:r>
      <w:r>
        <w:rPr>
          <w:w w:val="111"/>
          <w:sz w:val="16"/>
        </w:rPr>
        <w:t>Política,</w:t>
      </w:r>
      <w:r>
        <w:rPr>
          <w:sz w:val="16"/>
        </w:rPr>
        <w:t> </w:t>
      </w:r>
      <w:r>
        <w:rPr>
          <w:spacing w:val="-14"/>
          <w:sz w:val="16"/>
        </w:rPr>
        <w:t> </w:t>
      </w:r>
      <w:r>
        <w:rPr>
          <w:w w:val="238"/>
          <w:sz w:val="16"/>
        </w:rPr>
        <w:t>l</w:t>
      </w:r>
      <w:r>
        <w:rPr>
          <w:w w:val="109"/>
          <w:sz w:val="16"/>
        </w:rPr>
        <w:t>icen</w:t>
      </w:r>
      <w:r>
        <w:rPr>
          <w:w w:val="100"/>
          <w:sz w:val="16"/>
        </w:rPr>
        <w:t>- </w:t>
      </w:r>
      <w:r>
        <w:rPr>
          <w:w w:val="110"/>
          <w:sz w:val="16"/>
        </w:rPr>
        <w:t>ciada</w:t>
      </w:r>
      <w:r>
        <w:rPr>
          <w:sz w:val="16"/>
        </w:rPr>
        <w:t> </w:t>
      </w:r>
      <w:r>
        <w:rPr>
          <w:spacing w:val="-16"/>
          <w:sz w:val="16"/>
        </w:rPr>
        <w:t> </w:t>
      </w:r>
      <w:r>
        <w:rPr>
          <w:w w:val="106"/>
          <w:sz w:val="16"/>
        </w:rPr>
        <w:t>en</w:t>
      </w:r>
      <w:r>
        <w:rPr>
          <w:sz w:val="16"/>
        </w:rPr>
        <w:t> </w:t>
      </w:r>
      <w:r>
        <w:rPr>
          <w:spacing w:val="-16"/>
          <w:sz w:val="16"/>
        </w:rPr>
        <w:t> </w:t>
      </w:r>
      <w:r>
        <w:rPr>
          <w:w w:val="110"/>
          <w:sz w:val="16"/>
        </w:rPr>
        <w:t>Historia</w:t>
      </w:r>
      <w:r>
        <w:rPr>
          <w:sz w:val="16"/>
        </w:rPr>
        <w:t> </w:t>
      </w:r>
      <w:r>
        <w:rPr>
          <w:spacing w:val="-16"/>
          <w:sz w:val="16"/>
        </w:rPr>
        <w:t> </w:t>
      </w:r>
      <w:r>
        <w:rPr>
          <w:w w:val="102"/>
          <w:sz w:val="16"/>
        </w:rPr>
        <w:t>y</w:t>
      </w:r>
      <w:r>
        <w:rPr>
          <w:sz w:val="16"/>
        </w:rPr>
        <w:t> </w:t>
      </w:r>
      <w:r>
        <w:rPr>
          <w:spacing w:val="-16"/>
          <w:sz w:val="16"/>
        </w:rPr>
        <w:t> </w:t>
      </w:r>
      <w:r>
        <w:rPr>
          <w:w w:val="238"/>
          <w:sz w:val="16"/>
        </w:rPr>
        <w:t>l</w:t>
      </w:r>
      <w:r>
        <w:rPr>
          <w:w w:val="109"/>
          <w:sz w:val="16"/>
        </w:rPr>
        <w:t>icenciada</w:t>
      </w:r>
      <w:r>
        <w:rPr>
          <w:sz w:val="16"/>
        </w:rPr>
        <w:t> </w:t>
      </w:r>
      <w:r>
        <w:rPr>
          <w:spacing w:val="-16"/>
          <w:sz w:val="16"/>
        </w:rPr>
        <w:t> </w:t>
      </w:r>
      <w:r>
        <w:rPr>
          <w:w w:val="106"/>
          <w:sz w:val="16"/>
        </w:rPr>
        <w:t>en</w:t>
      </w:r>
      <w:r>
        <w:rPr>
          <w:sz w:val="16"/>
        </w:rPr>
        <w:t> </w:t>
      </w:r>
      <w:r>
        <w:rPr>
          <w:spacing w:val="-16"/>
          <w:sz w:val="16"/>
        </w:rPr>
        <w:t> </w:t>
      </w:r>
      <w:r>
        <w:rPr>
          <w:w w:val="111"/>
          <w:sz w:val="16"/>
        </w:rPr>
        <w:t>Comunicación</w:t>
      </w:r>
      <w:r>
        <w:rPr>
          <w:sz w:val="16"/>
        </w:rPr>
        <w:t> </w:t>
      </w:r>
      <w:r>
        <w:rPr>
          <w:spacing w:val="-16"/>
          <w:sz w:val="16"/>
        </w:rPr>
        <w:t> </w:t>
      </w:r>
      <w:r>
        <w:rPr>
          <w:w w:val="106"/>
          <w:sz w:val="16"/>
        </w:rPr>
        <w:t>por</w:t>
      </w:r>
      <w:r>
        <w:rPr>
          <w:sz w:val="16"/>
        </w:rPr>
        <w:t> </w:t>
      </w:r>
      <w:r>
        <w:rPr>
          <w:spacing w:val="-16"/>
          <w:sz w:val="16"/>
        </w:rPr>
        <w:t> </w:t>
      </w:r>
      <w:r>
        <w:rPr>
          <w:w w:val="109"/>
          <w:sz w:val="16"/>
        </w:rPr>
        <w:t>la</w:t>
      </w:r>
      <w:r>
        <w:rPr>
          <w:sz w:val="16"/>
        </w:rPr>
        <w:t> </w:t>
      </w:r>
      <w:r>
        <w:rPr>
          <w:spacing w:val="-16"/>
          <w:sz w:val="16"/>
        </w:rPr>
        <w:t> </w:t>
      </w:r>
      <w:r>
        <w:rPr>
          <w:w w:val="137"/>
          <w:sz w:val="16"/>
        </w:rPr>
        <w:t>u</w:t>
      </w:r>
      <w:r>
        <w:rPr>
          <w:w w:val="106"/>
          <w:sz w:val="16"/>
        </w:rPr>
        <w:t>niversidad</w:t>
      </w:r>
      <w:r>
        <w:rPr>
          <w:sz w:val="16"/>
        </w:rPr>
        <w:t> </w:t>
      </w:r>
      <w:r>
        <w:rPr>
          <w:spacing w:val="-16"/>
          <w:sz w:val="16"/>
        </w:rPr>
        <w:t> </w:t>
      </w:r>
      <w:r>
        <w:rPr>
          <w:w w:val="111"/>
          <w:sz w:val="16"/>
        </w:rPr>
        <w:t>Nacional</w:t>
      </w:r>
      <w:r>
        <w:rPr>
          <w:sz w:val="16"/>
        </w:rPr>
        <w:t> </w:t>
      </w:r>
      <w:r>
        <w:rPr>
          <w:spacing w:val="-16"/>
          <w:sz w:val="16"/>
        </w:rPr>
        <w:t> </w:t>
      </w:r>
      <w:r>
        <w:rPr>
          <w:w w:val="104"/>
          <w:sz w:val="16"/>
        </w:rPr>
        <w:t>de </w:t>
      </w:r>
      <w:r>
        <w:rPr>
          <w:w w:val="110"/>
          <w:sz w:val="16"/>
        </w:rPr>
        <w:t>Córdoba,</w:t>
      </w:r>
      <w:r>
        <w:rPr>
          <w:spacing w:val="27"/>
          <w:w w:val="110"/>
          <w:sz w:val="16"/>
        </w:rPr>
        <w:t> </w:t>
      </w:r>
      <w:r>
        <w:rPr>
          <w:w w:val="110"/>
          <w:sz w:val="16"/>
        </w:rPr>
        <w:t>argentina.</w:t>
      </w:r>
    </w:p>
    <w:p>
      <w:pPr>
        <w:pStyle w:val="BodyText"/>
        <w:spacing w:before="7"/>
        <w:rPr>
          <w:sz w:val="13"/>
        </w:rPr>
      </w:pPr>
      <w:r>
        <w:rPr/>
        <w:pict>
          <v:line style="position:absolute;mso-position-horizontal-relative:page;mso-position-vertical-relative:paragraph;z-index:6880;mso-wrap-distance-left:0;mso-wrap-distance-right:0" from="51.023701pt,10.184867pt" to="79.369701pt,10.184867pt" stroked="true" strokeweight=".5pt" strokecolor="#000000">
            <w10:wrap type="topAndBottom"/>
          </v:line>
        </w:pict>
      </w:r>
    </w:p>
    <w:p>
      <w:pPr>
        <w:pStyle w:val="ListParagraph"/>
        <w:numPr>
          <w:ilvl w:val="0"/>
          <w:numId w:val="30"/>
        </w:numPr>
        <w:tabs>
          <w:tab w:pos="376" w:val="left" w:leader="none"/>
        </w:tabs>
        <w:spacing w:line="242" w:lineRule="auto" w:before="89" w:after="0"/>
        <w:ind w:left="120" w:right="328" w:firstLine="0"/>
        <w:jc w:val="both"/>
        <w:rPr>
          <w:sz w:val="16"/>
        </w:rPr>
      </w:pPr>
      <w:r>
        <w:rPr>
          <w:w w:val="105"/>
          <w:sz w:val="16"/>
        </w:rPr>
        <w:t>“[…] Pentágono tonto. </w:t>
      </w:r>
      <w:r>
        <w:rPr>
          <w:spacing w:val="-8"/>
          <w:w w:val="105"/>
          <w:sz w:val="16"/>
        </w:rPr>
        <w:t>Ya </w:t>
      </w:r>
      <w:r>
        <w:rPr>
          <w:w w:val="105"/>
          <w:sz w:val="16"/>
        </w:rPr>
        <w:t>hemos experimentado demasiadas evasiones y engaños con respecto a la guerra de Vietnam. No necesitábamos la conmemoración para se-</w:t>
      </w:r>
      <w:r>
        <w:rPr>
          <w:spacing w:val="37"/>
          <w:w w:val="105"/>
          <w:sz w:val="16"/>
        </w:rPr>
        <w:t> </w:t>
      </w:r>
      <w:r>
        <w:rPr>
          <w:w w:val="105"/>
          <w:sz w:val="16"/>
        </w:rPr>
        <w:t>guir expandiéndolas […] Necesitamos aprender de nuestra historia para no repetirla, enfrentar la horrenda verdad con los ojos abiertos –y no gastando el dinero de los contribuyentes para echar nieve en nuestras   </w:t>
      </w:r>
      <w:r>
        <w:rPr>
          <w:spacing w:val="5"/>
          <w:w w:val="105"/>
          <w:sz w:val="16"/>
        </w:rPr>
        <w:t> </w:t>
      </w:r>
      <w:r>
        <w:rPr>
          <w:w w:val="105"/>
          <w:sz w:val="16"/>
        </w:rPr>
        <w:t>caras”.</w:t>
      </w:r>
    </w:p>
    <w:p>
      <w:pPr>
        <w:pStyle w:val="BodyText"/>
        <w:spacing w:before="1"/>
        <w:rPr>
          <w:sz w:val="25"/>
        </w:rPr>
      </w:pPr>
    </w:p>
    <w:p>
      <w:pPr>
        <w:pStyle w:val="Heading7"/>
        <w:spacing w:line="240" w:lineRule="auto" w:before="65"/>
        <w:ind w:left="1041" w:right="1249"/>
        <w:jc w:val="center"/>
      </w:pPr>
      <w:r>
        <w:rPr/>
        <w:t>251</w:t>
      </w:r>
    </w:p>
    <w:p>
      <w:pPr>
        <w:spacing w:after="0" w:line="240" w:lineRule="auto"/>
        <w:jc w:val="center"/>
        <w:sectPr>
          <w:headerReference w:type="even" r:id="rId356"/>
          <w:footerReference w:type="even" r:id="rId357"/>
          <w:pgSz w:w="8790" w:h="12760"/>
          <w:pgMar w:header="0" w:footer="0" w:top="1180" w:bottom="280" w:left="900" w:right="1200"/>
        </w:sectPr>
      </w:pPr>
    </w:p>
    <w:p>
      <w:pPr>
        <w:pStyle w:val="BodyText"/>
        <w:spacing w:before="7"/>
        <w:rPr>
          <w:sz w:val="28"/>
        </w:rPr>
      </w:pPr>
    </w:p>
    <w:p>
      <w:pPr>
        <w:pStyle w:val="BodyText"/>
        <w:spacing w:line="252" w:lineRule="auto" w:before="73"/>
        <w:ind w:left="330" w:right="117"/>
        <w:jc w:val="right"/>
      </w:pPr>
      <w:r>
        <w:rPr>
          <w:w w:val="110"/>
        </w:rPr>
        <w:t>denses. El objetivo, tal como lo relata un artículo del </w:t>
      </w:r>
      <w:r>
        <w:rPr>
          <w:i/>
          <w:w w:val="110"/>
        </w:rPr>
        <w:t>New</w:t>
      </w:r>
      <w:r>
        <w:rPr>
          <w:i/>
          <w:spacing w:val="19"/>
          <w:w w:val="110"/>
        </w:rPr>
        <w:t> </w:t>
      </w:r>
      <w:r>
        <w:rPr>
          <w:i/>
          <w:spacing w:val="-5"/>
          <w:w w:val="110"/>
        </w:rPr>
        <w:t>York</w:t>
      </w:r>
      <w:r>
        <w:rPr>
          <w:i/>
          <w:spacing w:val="10"/>
          <w:w w:val="110"/>
        </w:rPr>
        <w:t> </w:t>
      </w:r>
      <w:r>
        <w:rPr>
          <w:i/>
          <w:w w:val="110"/>
        </w:rPr>
        <w:t>Times</w:t>
      </w:r>
      <w:r>
        <w:rPr>
          <w:w w:val="110"/>
        </w:rPr>
        <w:t>,</w:t>
      </w:r>
      <w:r>
        <w:rPr>
          <w:w w:val="138"/>
        </w:rPr>
        <w:t> </w:t>
      </w:r>
      <w:r>
        <w:rPr>
          <w:w w:val="110"/>
        </w:rPr>
        <w:t>además</w:t>
      </w:r>
      <w:r>
        <w:rPr>
          <w:spacing w:val="14"/>
          <w:w w:val="110"/>
        </w:rPr>
        <w:t> </w:t>
      </w:r>
      <w:r>
        <w:rPr>
          <w:w w:val="110"/>
        </w:rPr>
        <w:t>de</w:t>
      </w:r>
      <w:r>
        <w:rPr>
          <w:spacing w:val="14"/>
          <w:w w:val="110"/>
        </w:rPr>
        <w:t> </w:t>
      </w:r>
      <w:r>
        <w:rPr>
          <w:w w:val="110"/>
        </w:rPr>
        <w:t>ayudar</w:t>
      </w:r>
      <w:r>
        <w:rPr>
          <w:spacing w:val="14"/>
          <w:w w:val="110"/>
        </w:rPr>
        <w:t> </w:t>
      </w:r>
      <w:r>
        <w:rPr>
          <w:w w:val="110"/>
        </w:rPr>
        <w:t>a</w:t>
      </w:r>
      <w:r>
        <w:rPr>
          <w:spacing w:val="14"/>
          <w:w w:val="110"/>
        </w:rPr>
        <w:t> </w:t>
      </w:r>
      <w:r>
        <w:rPr>
          <w:w w:val="110"/>
        </w:rPr>
        <w:t>la</w:t>
      </w:r>
      <w:r>
        <w:rPr>
          <w:spacing w:val="14"/>
          <w:w w:val="110"/>
        </w:rPr>
        <w:t> </w:t>
      </w:r>
      <w:r>
        <w:rPr>
          <w:w w:val="110"/>
        </w:rPr>
        <w:t>nación</w:t>
      </w:r>
      <w:r>
        <w:rPr>
          <w:spacing w:val="14"/>
          <w:w w:val="110"/>
        </w:rPr>
        <w:t> </w:t>
      </w:r>
      <w:r>
        <w:rPr>
          <w:w w:val="110"/>
        </w:rPr>
        <w:t>a</w:t>
      </w:r>
      <w:r>
        <w:rPr>
          <w:spacing w:val="14"/>
          <w:w w:val="110"/>
        </w:rPr>
        <w:t> </w:t>
      </w:r>
      <w:r>
        <w:rPr>
          <w:w w:val="110"/>
        </w:rPr>
        <w:t>que</w:t>
      </w:r>
      <w:r>
        <w:rPr>
          <w:spacing w:val="14"/>
          <w:w w:val="110"/>
        </w:rPr>
        <w:t> </w:t>
      </w:r>
      <w:r>
        <w:rPr>
          <w:w w:val="110"/>
        </w:rPr>
        <w:t>“agradezca</w:t>
      </w:r>
      <w:r>
        <w:rPr>
          <w:spacing w:val="14"/>
          <w:w w:val="110"/>
        </w:rPr>
        <w:t> </w:t>
      </w:r>
      <w:r>
        <w:rPr>
          <w:w w:val="110"/>
        </w:rPr>
        <w:t>a</w:t>
      </w:r>
      <w:r>
        <w:rPr>
          <w:spacing w:val="14"/>
          <w:w w:val="110"/>
        </w:rPr>
        <w:t> </w:t>
      </w:r>
      <w:r>
        <w:rPr>
          <w:w w:val="110"/>
        </w:rPr>
        <w:t>los</w:t>
      </w:r>
      <w:r>
        <w:rPr>
          <w:spacing w:val="14"/>
          <w:w w:val="110"/>
        </w:rPr>
        <w:t> </w:t>
      </w:r>
      <w:r>
        <w:rPr>
          <w:w w:val="110"/>
        </w:rPr>
        <w:t>veteranos</w:t>
      </w:r>
      <w:r>
        <w:rPr>
          <w:spacing w:val="14"/>
          <w:w w:val="110"/>
        </w:rPr>
        <w:t> </w:t>
      </w:r>
      <w:r>
        <w:rPr>
          <w:w w:val="110"/>
        </w:rPr>
        <w:t>y</w:t>
      </w:r>
      <w:r>
        <w:rPr>
          <w:spacing w:val="14"/>
          <w:w w:val="110"/>
        </w:rPr>
        <w:t> </w:t>
      </w:r>
      <w:r>
        <w:rPr>
          <w:w w:val="110"/>
        </w:rPr>
        <w:t>sus</w:t>
      </w:r>
      <w:r>
        <w:rPr>
          <w:w w:val="108"/>
        </w:rPr>
        <w:t> </w:t>
      </w:r>
      <w:r>
        <w:rPr>
          <w:w w:val="110"/>
        </w:rPr>
        <w:t>familias”, es proveer a los estadounidenses de “datos y</w:t>
      </w:r>
      <w:r>
        <w:rPr>
          <w:spacing w:val="17"/>
          <w:w w:val="110"/>
        </w:rPr>
        <w:t> </w:t>
      </w:r>
      <w:r>
        <w:rPr>
          <w:w w:val="110"/>
        </w:rPr>
        <w:t>materiales</w:t>
      </w:r>
      <w:r>
        <w:rPr>
          <w:spacing w:val="1"/>
          <w:w w:val="110"/>
        </w:rPr>
        <w:t> </w:t>
      </w:r>
      <w:r>
        <w:rPr>
          <w:w w:val="110"/>
        </w:rPr>
        <w:t>his-</w:t>
      </w:r>
      <w:r>
        <w:rPr>
          <w:w w:val="102"/>
        </w:rPr>
        <w:t> </w:t>
      </w:r>
      <w:r>
        <w:rPr>
          <w:w w:val="110"/>
        </w:rPr>
        <w:t>tóricos</w:t>
      </w:r>
      <w:r>
        <w:rPr>
          <w:spacing w:val="-5"/>
          <w:w w:val="110"/>
        </w:rPr>
        <w:t> </w:t>
      </w:r>
      <w:r>
        <w:rPr>
          <w:w w:val="110"/>
        </w:rPr>
        <w:t>pertinentes”.</w:t>
      </w:r>
      <w:r>
        <w:rPr>
          <w:spacing w:val="-5"/>
          <w:w w:val="110"/>
        </w:rPr>
        <w:t> </w:t>
      </w:r>
      <w:r>
        <w:rPr>
          <w:w w:val="110"/>
        </w:rPr>
        <w:t>según</w:t>
      </w:r>
      <w:r>
        <w:rPr>
          <w:spacing w:val="-5"/>
          <w:w w:val="110"/>
        </w:rPr>
        <w:t> </w:t>
      </w:r>
      <w:r>
        <w:rPr>
          <w:w w:val="110"/>
        </w:rPr>
        <w:t>prensa</w:t>
      </w:r>
      <w:r>
        <w:rPr>
          <w:spacing w:val="-5"/>
          <w:w w:val="110"/>
        </w:rPr>
        <w:t> </w:t>
      </w:r>
      <w:r>
        <w:rPr>
          <w:w w:val="110"/>
        </w:rPr>
        <w:t>del</w:t>
      </w:r>
      <w:r>
        <w:rPr>
          <w:spacing w:val="-5"/>
          <w:w w:val="110"/>
        </w:rPr>
        <w:t> </w:t>
      </w:r>
      <w:r>
        <w:rPr>
          <w:w w:val="110"/>
        </w:rPr>
        <w:t>Pentágono,</w:t>
      </w:r>
      <w:r>
        <w:rPr>
          <w:spacing w:val="-5"/>
          <w:w w:val="110"/>
        </w:rPr>
        <w:t> </w:t>
      </w:r>
      <w:r>
        <w:rPr>
          <w:w w:val="110"/>
        </w:rPr>
        <w:t>en</w:t>
      </w:r>
      <w:r>
        <w:rPr>
          <w:spacing w:val="-5"/>
          <w:w w:val="110"/>
        </w:rPr>
        <w:t> </w:t>
      </w:r>
      <w:r>
        <w:rPr>
          <w:w w:val="110"/>
        </w:rPr>
        <w:t>caso</w:t>
      </w:r>
      <w:r>
        <w:rPr>
          <w:spacing w:val="-5"/>
          <w:w w:val="110"/>
        </w:rPr>
        <w:t> </w:t>
      </w:r>
      <w:r>
        <w:rPr>
          <w:w w:val="110"/>
        </w:rPr>
        <w:t>de</w:t>
      </w:r>
      <w:r>
        <w:rPr>
          <w:spacing w:val="-5"/>
          <w:w w:val="110"/>
        </w:rPr>
        <w:t> </w:t>
      </w:r>
      <w:r>
        <w:rPr>
          <w:w w:val="110"/>
        </w:rPr>
        <w:t>tener</w:t>
      </w:r>
      <w:r>
        <w:rPr>
          <w:spacing w:val="-5"/>
          <w:w w:val="110"/>
        </w:rPr>
        <w:t> </w:t>
      </w:r>
      <w:r>
        <w:rPr>
          <w:w w:val="110"/>
        </w:rPr>
        <w:t>que</w:t>
      </w:r>
      <w:r>
        <w:rPr>
          <w:w w:val="108"/>
        </w:rPr>
        <w:t> </w:t>
      </w:r>
      <w:r>
        <w:rPr>
          <w:w w:val="110"/>
        </w:rPr>
        <w:t>corregirse errores puntuales o malas caracterizaciones en</w:t>
      </w:r>
      <w:r>
        <w:rPr>
          <w:spacing w:val="27"/>
          <w:w w:val="110"/>
        </w:rPr>
        <w:t> </w:t>
      </w:r>
      <w:r>
        <w:rPr>
          <w:w w:val="110"/>
        </w:rPr>
        <w:t>el</w:t>
      </w:r>
      <w:r>
        <w:rPr>
          <w:spacing w:val="3"/>
          <w:w w:val="110"/>
        </w:rPr>
        <w:t> </w:t>
      </w:r>
      <w:r>
        <w:rPr>
          <w:w w:val="110"/>
        </w:rPr>
        <w:t>recuento</w:t>
      </w:r>
      <w:r>
        <w:rPr>
          <w:w w:val="109"/>
        </w:rPr>
        <w:t> </w:t>
      </w:r>
      <w:r>
        <w:rPr>
          <w:w w:val="110"/>
        </w:rPr>
        <w:t>de</w:t>
      </w:r>
      <w:r>
        <w:rPr>
          <w:spacing w:val="-3"/>
          <w:w w:val="110"/>
        </w:rPr>
        <w:t> </w:t>
      </w:r>
      <w:r>
        <w:rPr>
          <w:w w:val="110"/>
        </w:rPr>
        <w:t>los</w:t>
      </w:r>
      <w:r>
        <w:rPr>
          <w:spacing w:val="-3"/>
          <w:w w:val="110"/>
        </w:rPr>
        <w:t> </w:t>
      </w:r>
      <w:r>
        <w:rPr>
          <w:w w:val="110"/>
        </w:rPr>
        <w:t>hechos</w:t>
      </w:r>
      <w:r>
        <w:rPr>
          <w:spacing w:val="-3"/>
          <w:w w:val="110"/>
        </w:rPr>
        <w:t> </w:t>
      </w:r>
      <w:r>
        <w:rPr>
          <w:w w:val="110"/>
        </w:rPr>
        <w:t>de</w:t>
      </w:r>
      <w:r>
        <w:rPr>
          <w:spacing w:val="-3"/>
          <w:w w:val="110"/>
        </w:rPr>
        <w:t> </w:t>
      </w:r>
      <w:r>
        <w:rPr>
          <w:w w:val="110"/>
        </w:rPr>
        <w:t>la</w:t>
      </w:r>
      <w:r>
        <w:rPr>
          <w:spacing w:val="-3"/>
          <w:w w:val="110"/>
        </w:rPr>
        <w:t> </w:t>
      </w:r>
      <w:r>
        <w:rPr>
          <w:w w:val="110"/>
        </w:rPr>
        <w:t>guerra,</w:t>
      </w:r>
      <w:r>
        <w:rPr>
          <w:spacing w:val="-3"/>
          <w:w w:val="110"/>
        </w:rPr>
        <w:t> </w:t>
      </w:r>
      <w:r>
        <w:rPr>
          <w:w w:val="110"/>
        </w:rPr>
        <w:t>esto</w:t>
      </w:r>
      <w:r>
        <w:rPr>
          <w:spacing w:val="-3"/>
          <w:w w:val="110"/>
        </w:rPr>
        <w:t> </w:t>
      </w:r>
      <w:r>
        <w:rPr>
          <w:w w:val="110"/>
        </w:rPr>
        <w:t>se</w:t>
      </w:r>
      <w:r>
        <w:rPr>
          <w:spacing w:val="-3"/>
          <w:w w:val="110"/>
        </w:rPr>
        <w:t> </w:t>
      </w:r>
      <w:r>
        <w:rPr>
          <w:w w:val="110"/>
        </w:rPr>
        <w:t>llevará</w:t>
      </w:r>
      <w:r>
        <w:rPr>
          <w:spacing w:val="-3"/>
          <w:w w:val="110"/>
        </w:rPr>
        <w:t> </w:t>
      </w:r>
      <w:r>
        <w:rPr>
          <w:w w:val="110"/>
        </w:rPr>
        <w:t>a</w:t>
      </w:r>
      <w:r>
        <w:rPr>
          <w:spacing w:val="-3"/>
          <w:w w:val="110"/>
        </w:rPr>
        <w:t> </w:t>
      </w:r>
      <w:r>
        <w:rPr>
          <w:w w:val="110"/>
        </w:rPr>
        <w:t>cabo,</w:t>
      </w:r>
      <w:r>
        <w:rPr>
          <w:spacing w:val="-3"/>
          <w:w w:val="110"/>
        </w:rPr>
        <w:t> </w:t>
      </w:r>
      <w:r>
        <w:rPr>
          <w:w w:val="110"/>
        </w:rPr>
        <w:t>y</w:t>
      </w:r>
      <w:r>
        <w:rPr>
          <w:spacing w:val="-3"/>
          <w:w w:val="110"/>
        </w:rPr>
        <w:t> </w:t>
      </w:r>
      <w:r>
        <w:rPr>
          <w:w w:val="110"/>
        </w:rPr>
        <w:t>que</w:t>
      </w:r>
      <w:r>
        <w:rPr>
          <w:spacing w:val="-3"/>
          <w:w w:val="110"/>
        </w:rPr>
        <w:t> </w:t>
      </w:r>
      <w:r>
        <w:rPr>
          <w:w w:val="110"/>
        </w:rPr>
        <w:t>no</w:t>
      </w:r>
      <w:r>
        <w:rPr>
          <w:spacing w:val="-3"/>
          <w:w w:val="110"/>
        </w:rPr>
        <w:t> </w:t>
      </w:r>
      <w:r>
        <w:rPr>
          <w:w w:val="110"/>
        </w:rPr>
        <w:t>hay</w:t>
      </w:r>
      <w:r>
        <w:rPr>
          <w:spacing w:val="-3"/>
          <w:w w:val="110"/>
        </w:rPr>
        <w:t> </w:t>
      </w:r>
      <w:r>
        <w:rPr>
          <w:w w:val="110"/>
        </w:rPr>
        <w:t>ninguna</w:t>
      </w:r>
      <w:r>
        <w:rPr>
          <w:w w:val="112"/>
        </w:rPr>
        <w:t> </w:t>
      </w:r>
      <w:r>
        <w:rPr>
          <w:w w:val="110"/>
        </w:rPr>
        <w:t>intención de “blanquear” la historia de Vietnam (Gay</w:t>
      </w:r>
      <w:r>
        <w:rPr>
          <w:spacing w:val="38"/>
          <w:w w:val="110"/>
        </w:rPr>
        <w:t> </w:t>
      </w:r>
      <w:r>
        <w:rPr>
          <w:w w:val="110"/>
        </w:rPr>
        <w:t>stolberg,</w:t>
      </w:r>
      <w:r>
        <w:rPr>
          <w:spacing w:val="10"/>
          <w:w w:val="110"/>
        </w:rPr>
        <w:t> </w:t>
      </w:r>
      <w:r>
        <w:rPr>
          <w:w w:val="110"/>
        </w:rPr>
        <w:t>2014).</w:t>
      </w:r>
      <w:r>
        <w:rPr>
          <w:w w:val="104"/>
        </w:rPr>
        <w:t> </w:t>
      </w:r>
      <w:r>
        <w:rPr>
          <w:w w:val="110"/>
        </w:rPr>
        <w:t>En</w:t>
      </w:r>
      <w:r>
        <w:rPr>
          <w:spacing w:val="23"/>
          <w:w w:val="110"/>
        </w:rPr>
        <w:t> </w:t>
      </w:r>
      <w:r>
        <w:rPr>
          <w:w w:val="110"/>
        </w:rPr>
        <w:t>el</w:t>
      </w:r>
      <w:r>
        <w:rPr>
          <w:spacing w:val="23"/>
          <w:w w:val="110"/>
        </w:rPr>
        <w:t> </w:t>
      </w:r>
      <w:r>
        <w:rPr>
          <w:w w:val="110"/>
        </w:rPr>
        <w:t>contexto</w:t>
      </w:r>
      <w:r>
        <w:rPr>
          <w:spacing w:val="23"/>
          <w:w w:val="110"/>
        </w:rPr>
        <w:t> </w:t>
      </w:r>
      <w:r>
        <w:rPr>
          <w:w w:val="110"/>
        </w:rPr>
        <w:t>de</w:t>
      </w:r>
      <w:r>
        <w:rPr>
          <w:spacing w:val="23"/>
          <w:w w:val="110"/>
        </w:rPr>
        <w:t> </w:t>
      </w:r>
      <w:r>
        <w:rPr>
          <w:w w:val="110"/>
        </w:rPr>
        <w:t>esta</w:t>
      </w:r>
      <w:r>
        <w:rPr>
          <w:spacing w:val="23"/>
          <w:w w:val="110"/>
        </w:rPr>
        <w:t> </w:t>
      </w:r>
      <w:r>
        <w:rPr>
          <w:w w:val="110"/>
        </w:rPr>
        <w:t>celebración</w:t>
      </w:r>
      <w:r>
        <w:rPr>
          <w:spacing w:val="23"/>
          <w:w w:val="110"/>
        </w:rPr>
        <w:t> </w:t>
      </w:r>
      <w:r>
        <w:rPr>
          <w:w w:val="110"/>
        </w:rPr>
        <w:t>de</w:t>
      </w:r>
      <w:r>
        <w:rPr>
          <w:spacing w:val="23"/>
          <w:w w:val="110"/>
        </w:rPr>
        <w:t> </w:t>
      </w:r>
      <w:r>
        <w:rPr>
          <w:w w:val="110"/>
        </w:rPr>
        <w:t>la</w:t>
      </w:r>
      <w:r>
        <w:rPr>
          <w:spacing w:val="23"/>
          <w:w w:val="110"/>
        </w:rPr>
        <w:t> </w:t>
      </w:r>
      <w:r>
        <w:rPr>
          <w:w w:val="110"/>
        </w:rPr>
        <w:t>guerra,</w:t>
      </w:r>
      <w:r>
        <w:rPr>
          <w:spacing w:val="23"/>
          <w:w w:val="110"/>
        </w:rPr>
        <w:t> </w:t>
      </w:r>
      <w:r>
        <w:rPr>
          <w:w w:val="110"/>
        </w:rPr>
        <w:t>pues</w:t>
      </w:r>
      <w:r>
        <w:rPr>
          <w:spacing w:val="23"/>
          <w:w w:val="110"/>
        </w:rPr>
        <w:t> </w:t>
      </w:r>
      <w:r>
        <w:rPr>
          <w:w w:val="110"/>
        </w:rPr>
        <w:t>así</w:t>
      </w:r>
      <w:r>
        <w:rPr>
          <w:spacing w:val="23"/>
          <w:w w:val="110"/>
        </w:rPr>
        <w:t> </w:t>
      </w:r>
      <w:r>
        <w:rPr>
          <w:w w:val="110"/>
        </w:rPr>
        <w:t>parece</w:t>
      </w:r>
      <w:r>
        <w:rPr>
          <w:w w:val="108"/>
        </w:rPr>
        <w:t> </w:t>
      </w:r>
      <w:r>
        <w:rPr>
          <w:w w:val="110"/>
        </w:rPr>
        <w:t>para</w:t>
      </w:r>
      <w:r>
        <w:rPr>
          <w:spacing w:val="37"/>
          <w:w w:val="110"/>
        </w:rPr>
        <w:t> </w:t>
      </w:r>
      <w:r>
        <w:rPr>
          <w:w w:val="110"/>
        </w:rPr>
        <w:t>el</w:t>
      </w:r>
      <w:r>
        <w:rPr>
          <w:spacing w:val="37"/>
          <w:w w:val="110"/>
        </w:rPr>
        <w:t> </w:t>
      </w:r>
      <w:r>
        <w:rPr>
          <w:w w:val="110"/>
        </w:rPr>
        <w:t>gobierno</w:t>
      </w:r>
      <w:r>
        <w:rPr>
          <w:spacing w:val="37"/>
          <w:w w:val="110"/>
        </w:rPr>
        <w:t> </w:t>
      </w:r>
      <w:r>
        <w:rPr>
          <w:w w:val="110"/>
        </w:rPr>
        <w:t>de</w:t>
      </w:r>
      <w:r>
        <w:rPr>
          <w:spacing w:val="37"/>
          <w:w w:val="110"/>
        </w:rPr>
        <w:t> </w:t>
      </w:r>
      <w:r>
        <w:rPr>
          <w:w w:val="110"/>
        </w:rPr>
        <w:t>EE.uu.</w:t>
      </w:r>
      <w:r>
        <w:rPr>
          <w:spacing w:val="37"/>
          <w:w w:val="110"/>
        </w:rPr>
        <w:t> </w:t>
      </w:r>
      <w:r>
        <w:rPr>
          <w:w w:val="110"/>
        </w:rPr>
        <w:t>–más</w:t>
      </w:r>
      <w:r>
        <w:rPr>
          <w:spacing w:val="37"/>
          <w:w w:val="110"/>
        </w:rPr>
        <w:t> </w:t>
      </w:r>
      <w:r>
        <w:rPr>
          <w:w w:val="110"/>
        </w:rPr>
        <w:t>que</w:t>
      </w:r>
      <w:r>
        <w:rPr>
          <w:spacing w:val="37"/>
          <w:w w:val="110"/>
        </w:rPr>
        <w:t> </w:t>
      </w:r>
      <w:r>
        <w:rPr>
          <w:w w:val="110"/>
        </w:rPr>
        <w:t>el</w:t>
      </w:r>
      <w:r>
        <w:rPr>
          <w:spacing w:val="37"/>
          <w:w w:val="110"/>
        </w:rPr>
        <w:t> </w:t>
      </w:r>
      <w:r>
        <w:rPr>
          <w:w w:val="110"/>
        </w:rPr>
        <w:t>recuerdo</w:t>
      </w:r>
      <w:r>
        <w:rPr>
          <w:spacing w:val="37"/>
          <w:w w:val="110"/>
        </w:rPr>
        <w:t> </w:t>
      </w:r>
      <w:r>
        <w:rPr>
          <w:w w:val="110"/>
        </w:rPr>
        <w:t>de</w:t>
      </w:r>
      <w:r>
        <w:rPr>
          <w:spacing w:val="37"/>
          <w:w w:val="110"/>
        </w:rPr>
        <w:t> </w:t>
      </w:r>
      <w:r>
        <w:rPr>
          <w:w w:val="110"/>
        </w:rPr>
        <w:t>una</w:t>
      </w:r>
      <w:r>
        <w:rPr>
          <w:spacing w:val="37"/>
          <w:w w:val="110"/>
        </w:rPr>
        <w:t> </w:t>
      </w:r>
      <w:r>
        <w:rPr>
          <w:w w:val="110"/>
        </w:rPr>
        <w:t>tragedia–</w:t>
      </w:r>
      <w:r>
        <w:rPr>
          <w:w w:val="108"/>
        </w:rPr>
        <w:t> </w:t>
      </w:r>
      <w:r>
        <w:rPr>
          <w:w w:val="110"/>
        </w:rPr>
        <w:t>y a mediados de la segunda administración de</w:t>
      </w:r>
      <w:r>
        <w:rPr>
          <w:spacing w:val="2"/>
          <w:w w:val="110"/>
        </w:rPr>
        <w:t> </w:t>
      </w:r>
      <w:r>
        <w:rPr>
          <w:w w:val="110"/>
        </w:rPr>
        <w:t>obama</w:t>
      </w:r>
      <w:r>
        <w:rPr>
          <w:spacing w:val="40"/>
          <w:w w:val="110"/>
        </w:rPr>
        <w:t> </w:t>
      </w:r>
      <w:r>
        <w:rPr>
          <w:w w:val="110"/>
        </w:rPr>
        <w:t>(demócrata,</w:t>
      </w:r>
      <w:r>
        <w:rPr>
          <w:w w:val="110"/>
        </w:rPr>
        <w:t> </w:t>
      </w:r>
      <w:r>
        <w:rPr>
          <w:w w:val="110"/>
        </w:rPr>
        <w:t>alguna vez asociado al idealismo liberal</w:t>
      </w:r>
      <w:r>
        <w:rPr>
          <w:spacing w:val="3"/>
          <w:w w:val="110"/>
        </w:rPr>
        <w:t> </w:t>
      </w:r>
      <w:r>
        <w:rPr>
          <w:w w:val="110"/>
        </w:rPr>
        <w:t>antibelicista),</w:t>
      </w:r>
      <w:r>
        <w:rPr>
          <w:spacing w:val="23"/>
          <w:w w:val="110"/>
        </w:rPr>
        <w:t> </w:t>
      </w:r>
      <w:r>
        <w:rPr>
          <w:w w:val="110"/>
        </w:rPr>
        <w:t>consideramos</w:t>
      </w:r>
      <w:r>
        <w:rPr>
          <w:w w:val="110"/>
        </w:rPr>
        <w:t> </w:t>
      </w:r>
      <w:r>
        <w:rPr>
          <w:w w:val="110"/>
        </w:rPr>
        <w:t>que</w:t>
      </w:r>
      <w:r>
        <w:rPr>
          <w:spacing w:val="19"/>
          <w:w w:val="110"/>
        </w:rPr>
        <w:t> </w:t>
      </w:r>
      <w:r>
        <w:rPr>
          <w:w w:val="110"/>
        </w:rPr>
        <w:t>vale</w:t>
      </w:r>
      <w:r>
        <w:rPr>
          <w:spacing w:val="19"/>
          <w:w w:val="110"/>
        </w:rPr>
        <w:t> </w:t>
      </w:r>
      <w:r>
        <w:rPr>
          <w:w w:val="110"/>
        </w:rPr>
        <w:t>la</w:t>
      </w:r>
      <w:r>
        <w:rPr>
          <w:spacing w:val="19"/>
          <w:w w:val="110"/>
        </w:rPr>
        <w:t> </w:t>
      </w:r>
      <w:r>
        <w:rPr>
          <w:w w:val="110"/>
        </w:rPr>
        <w:t>pena</w:t>
      </w:r>
      <w:r>
        <w:rPr>
          <w:spacing w:val="19"/>
          <w:w w:val="110"/>
        </w:rPr>
        <w:t> </w:t>
      </w:r>
      <w:r>
        <w:rPr>
          <w:w w:val="110"/>
        </w:rPr>
        <w:t>retomar</w:t>
      </w:r>
      <w:r>
        <w:rPr>
          <w:spacing w:val="19"/>
          <w:w w:val="110"/>
        </w:rPr>
        <w:t> </w:t>
      </w:r>
      <w:r>
        <w:rPr>
          <w:w w:val="110"/>
        </w:rPr>
        <w:t>algunos</w:t>
      </w:r>
      <w:r>
        <w:rPr>
          <w:spacing w:val="19"/>
          <w:w w:val="110"/>
        </w:rPr>
        <w:t> </w:t>
      </w:r>
      <w:r>
        <w:rPr>
          <w:w w:val="110"/>
        </w:rPr>
        <w:t>hilos</w:t>
      </w:r>
      <w:r>
        <w:rPr>
          <w:spacing w:val="19"/>
          <w:w w:val="110"/>
        </w:rPr>
        <w:t> </w:t>
      </w:r>
      <w:r>
        <w:rPr>
          <w:w w:val="110"/>
        </w:rPr>
        <w:t>de</w:t>
      </w:r>
      <w:r>
        <w:rPr>
          <w:spacing w:val="19"/>
          <w:w w:val="110"/>
        </w:rPr>
        <w:t> </w:t>
      </w:r>
      <w:r>
        <w:rPr>
          <w:w w:val="110"/>
        </w:rPr>
        <w:t>continuidad</w:t>
      </w:r>
      <w:r>
        <w:rPr>
          <w:spacing w:val="19"/>
          <w:w w:val="110"/>
        </w:rPr>
        <w:t> </w:t>
      </w:r>
      <w:r>
        <w:rPr>
          <w:w w:val="110"/>
        </w:rPr>
        <w:t>de</w:t>
      </w:r>
      <w:r>
        <w:rPr>
          <w:spacing w:val="19"/>
          <w:w w:val="110"/>
        </w:rPr>
        <w:t> </w:t>
      </w:r>
      <w:r>
        <w:rPr>
          <w:w w:val="110"/>
        </w:rPr>
        <w:t>la</w:t>
      </w:r>
      <w:r>
        <w:rPr>
          <w:spacing w:val="19"/>
          <w:w w:val="110"/>
        </w:rPr>
        <w:t> </w:t>
      </w:r>
      <w:r>
        <w:rPr>
          <w:w w:val="110"/>
        </w:rPr>
        <w:t>historia</w:t>
      </w:r>
      <w:r>
        <w:rPr>
          <w:w w:val="110"/>
        </w:rPr>
        <w:t> </w:t>
      </w:r>
      <w:r>
        <w:rPr>
          <w:w w:val="110"/>
        </w:rPr>
        <w:t>estadounidense y “el modo de hacer las cosas” de este gobierno</w:t>
      </w:r>
      <w:r>
        <w:rPr>
          <w:spacing w:val="24"/>
          <w:w w:val="110"/>
        </w:rPr>
        <w:t> </w:t>
      </w:r>
      <w:r>
        <w:rPr>
          <w:w w:val="110"/>
        </w:rPr>
        <w:t>en</w:t>
      </w:r>
      <w:r>
        <w:rPr>
          <w:spacing w:val="6"/>
          <w:w w:val="110"/>
        </w:rPr>
        <w:t> </w:t>
      </w:r>
      <w:r>
        <w:rPr>
          <w:w w:val="110"/>
        </w:rPr>
        <w:t>su</w:t>
      </w:r>
      <w:r>
        <w:rPr>
          <w:w w:val="109"/>
        </w:rPr>
        <w:t> </w:t>
      </w:r>
      <w:r>
        <w:rPr>
          <w:w w:val="110"/>
        </w:rPr>
        <w:t>propio</w:t>
      </w:r>
      <w:r>
        <w:rPr>
          <w:spacing w:val="-4"/>
          <w:w w:val="110"/>
        </w:rPr>
        <w:t> </w:t>
      </w:r>
      <w:r>
        <w:rPr>
          <w:w w:val="110"/>
        </w:rPr>
        <w:t>territorio,</w:t>
      </w:r>
      <w:r>
        <w:rPr>
          <w:spacing w:val="-4"/>
          <w:w w:val="110"/>
        </w:rPr>
        <w:t> </w:t>
      </w:r>
      <w:r>
        <w:rPr>
          <w:w w:val="110"/>
        </w:rPr>
        <w:t>que</w:t>
      </w:r>
      <w:r>
        <w:rPr>
          <w:spacing w:val="-4"/>
          <w:w w:val="110"/>
        </w:rPr>
        <w:t> </w:t>
      </w:r>
      <w:r>
        <w:rPr>
          <w:w w:val="110"/>
        </w:rPr>
        <w:t>en</w:t>
      </w:r>
      <w:r>
        <w:rPr>
          <w:spacing w:val="-4"/>
          <w:w w:val="110"/>
        </w:rPr>
        <w:t> </w:t>
      </w:r>
      <w:r>
        <w:rPr>
          <w:w w:val="110"/>
        </w:rPr>
        <w:t>última</w:t>
      </w:r>
      <w:r>
        <w:rPr>
          <w:spacing w:val="-4"/>
          <w:w w:val="110"/>
        </w:rPr>
        <w:t> </w:t>
      </w:r>
      <w:r>
        <w:rPr>
          <w:w w:val="110"/>
        </w:rPr>
        <w:t>instancia</w:t>
      </w:r>
      <w:r>
        <w:rPr>
          <w:spacing w:val="-4"/>
          <w:w w:val="110"/>
        </w:rPr>
        <w:t> </w:t>
      </w:r>
      <w:r>
        <w:rPr>
          <w:w w:val="110"/>
        </w:rPr>
        <w:t>delinea</w:t>
      </w:r>
      <w:r>
        <w:rPr>
          <w:spacing w:val="-4"/>
          <w:w w:val="110"/>
        </w:rPr>
        <w:t> </w:t>
      </w:r>
      <w:r>
        <w:rPr>
          <w:w w:val="110"/>
        </w:rPr>
        <w:t>las</w:t>
      </w:r>
      <w:r>
        <w:rPr>
          <w:spacing w:val="-4"/>
          <w:w w:val="110"/>
        </w:rPr>
        <w:t> </w:t>
      </w:r>
      <w:r>
        <w:rPr>
          <w:w w:val="110"/>
        </w:rPr>
        <w:t>alternativas</w:t>
      </w:r>
      <w:r>
        <w:rPr>
          <w:spacing w:val="-4"/>
          <w:w w:val="110"/>
        </w:rPr>
        <w:t> </w:t>
      </w:r>
      <w:r>
        <w:rPr>
          <w:w w:val="110"/>
        </w:rPr>
        <w:t>de</w:t>
      </w:r>
      <w:r>
        <w:rPr>
          <w:spacing w:val="-4"/>
          <w:w w:val="110"/>
        </w:rPr>
        <w:t> </w:t>
      </w:r>
      <w:r>
        <w:rPr>
          <w:w w:val="110"/>
        </w:rPr>
        <w:t>su</w:t>
      </w:r>
    </w:p>
    <w:p>
      <w:pPr>
        <w:pStyle w:val="BodyText"/>
        <w:ind w:left="330" w:right="321"/>
      </w:pPr>
      <w:r>
        <w:rPr>
          <w:w w:val="110"/>
        </w:rPr>
        <w:t>política exterior, en particular hacia espacios  periféricos.</w:t>
      </w:r>
    </w:p>
    <w:p>
      <w:pPr>
        <w:pStyle w:val="BodyText"/>
        <w:spacing w:line="252" w:lineRule="auto" w:before="11"/>
        <w:ind w:left="330" w:right="117" w:firstLine="396"/>
        <w:jc w:val="both"/>
      </w:pPr>
      <w:r>
        <w:rPr>
          <w:w w:val="110"/>
        </w:rPr>
        <w:t>Como punto de partida de nuestro análisis retomaremos varios de los argumentos expuestos por Chomsky en la década del ’70, pues buena parte de las alertas afirmadas por el intelectual se han cumpli- do. advertía en 1975 que “el gobierno estadounidense ha sido derro- tado en indochina, pero en casa sólo ha sido lastimado. Ninguna otra potencia podrá obligarnos a sincerarnos o a otorgar resarcimientos. Por el contrario, se harán esfuerzos para oscurecer la historia de la guerra y la resistencia que los estadounidenses plantearon a la misma […] No se puede permitir que el pueblo recuerde que la acción directa efectiva de movimientos espontáneos –tanto en Estados unidos como en</w:t>
      </w:r>
      <w:r>
        <w:rPr>
          <w:spacing w:val="-5"/>
          <w:w w:val="110"/>
        </w:rPr>
        <w:t> </w:t>
      </w:r>
      <w:r>
        <w:rPr>
          <w:w w:val="110"/>
        </w:rPr>
        <w:t>el</w:t>
      </w:r>
      <w:r>
        <w:rPr>
          <w:spacing w:val="-5"/>
          <w:w w:val="110"/>
        </w:rPr>
        <w:t> </w:t>
      </w:r>
      <w:r>
        <w:rPr>
          <w:w w:val="110"/>
        </w:rPr>
        <w:t>campo</w:t>
      </w:r>
      <w:r>
        <w:rPr>
          <w:spacing w:val="-5"/>
          <w:w w:val="110"/>
        </w:rPr>
        <w:t> </w:t>
      </w:r>
      <w:r>
        <w:rPr>
          <w:w w:val="110"/>
        </w:rPr>
        <w:t>de</w:t>
      </w:r>
      <w:r>
        <w:rPr>
          <w:spacing w:val="-5"/>
          <w:w w:val="110"/>
        </w:rPr>
        <w:t> </w:t>
      </w:r>
      <w:r>
        <w:rPr>
          <w:w w:val="110"/>
        </w:rPr>
        <w:t>batalla–</w:t>
      </w:r>
      <w:r>
        <w:rPr>
          <w:spacing w:val="-5"/>
          <w:w w:val="110"/>
        </w:rPr>
        <w:t> </w:t>
      </w:r>
      <w:r>
        <w:rPr>
          <w:w w:val="110"/>
        </w:rPr>
        <w:t>que</w:t>
      </w:r>
      <w:r>
        <w:rPr>
          <w:spacing w:val="-5"/>
          <w:w w:val="110"/>
        </w:rPr>
        <w:t> </w:t>
      </w:r>
      <w:r>
        <w:rPr>
          <w:w w:val="110"/>
        </w:rPr>
        <w:t>estaba</w:t>
      </w:r>
      <w:r>
        <w:rPr>
          <w:spacing w:val="-5"/>
          <w:w w:val="110"/>
        </w:rPr>
        <w:t> </w:t>
      </w:r>
      <w:r>
        <w:rPr>
          <w:w w:val="110"/>
        </w:rPr>
        <w:t>por</w:t>
      </w:r>
      <w:r>
        <w:rPr>
          <w:spacing w:val="-5"/>
          <w:w w:val="110"/>
        </w:rPr>
        <w:t> </w:t>
      </w:r>
      <w:r>
        <w:rPr>
          <w:w w:val="110"/>
        </w:rPr>
        <w:t>fuera</w:t>
      </w:r>
      <w:r>
        <w:rPr>
          <w:spacing w:val="-5"/>
          <w:w w:val="110"/>
        </w:rPr>
        <w:t> </w:t>
      </w:r>
      <w:r>
        <w:rPr>
          <w:w w:val="110"/>
        </w:rPr>
        <w:t>del</w:t>
      </w:r>
      <w:r>
        <w:rPr>
          <w:spacing w:val="-5"/>
          <w:w w:val="110"/>
        </w:rPr>
        <w:t> </w:t>
      </w:r>
      <w:r>
        <w:rPr>
          <w:w w:val="110"/>
        </w:rPr>
        <w:t>control</w:t>
      </w:r>
      <w:r>
        <w:rPr>
          <w:spacing w:val="-5"/>
          <w:w w:val="110"/>
        </w:rPr>
        <w:t> </w:t>
      </w:r>
      <w:r>
        <w:rPr>
          <w:w w:val="110"/>
        </w:rPr>
        <w:t>de</w:t>
      </w:r>
      <w:r>
        <w:rPr>
          <w:spacing w:val="-5"/>
          <w:w w:val="110"/>
        </w:rPr>
        <w:t> </w:t>
      </w:r>
      <w:r>
        <w:rPr>
          <w:w w:val="110"/>
        </w:rPr>
        <w:t>sus</w:t>
      </w:r>
      <w:r>
        <w:rPr>
          <w:spacing w:val="-5"/>
          <w:w w:val="110"/>
        </w:rPr>
        <w:t> </w:t>
      </w:r>
      <w:r>
        <w:rPr>
          <w:w w:val="110"/>
        </w:rPr>
        <w:t>‘líderes naturales’, haya ocupado un rol protagónico en la decisión de termi- nar la guerra” (Chomsky en shannon, </w:t>
      </w:r>
      <w:r>
        <w:rPr>
          <w:spacing w:val="31"/>
          <w:w w:val="110"/>
        </w:rPr>
        <w:t> </w:t>
      </w:r>
      <w:r>
        <w:rPr>
          <w:w w:val="110"/>
        </w:rPr>
        <w:t>1982).</w:t>
      </w:r>
    </w:p>
    <w:p>
      <w:pPr>
        <w:pStyle w:val="BodyText"/>
        <w:spacing w:line="252" w:lineRule="auto"/>
        <w:ind w:left="330" w:right="117" w:firstLine="396"/>
        <w:jc w:val="both"/>
      </w:pPr>
      <w:r>
        <w:rPr>
          <w:w w:val="115"/>
        </w:rPr>
        <w:t>En</w:t>
      </w:r>
      <w:r>
        <w:rPr>
          <w:spacing w:val="-15"/>
          <w:w w:val="115"/>
        </w:rPr>
        <w:t> </w:t>
      </w:r>
      <w:r>
        <w:rPr>
          <w:w w:val="115"/>
        </w:rPr>
        <w:t>términos</w:t>
      </w:r>
      <w:r>
        <w:rPr>
          <w:spacing w:val="-15"/>
          <w:w w:val="115"/>
        </w:rPr>
        <w:t> </w:t>
      </w:r>
      <w:r>
        <w:rPr>
          <w:w w:val="115"/>
        </w:rPr>
        <w:t>académicos,</w:t>
      </w:r>
      <w:r>
        <w:rPr>
          <w:spacing w:val="-15"/>
          <w:w w:val="115"/>
        </w:rPr>
        <w:t> </w:t>
      </w:r>
      <w:r>
        <w:rPr>
          <w:w w:val="115"/>
        </w:rPr>
        <w:t>afirmaba</w:t>
      </w:r>
      <w:r>
        <w:rPr>
          <w:spacing w:val="-15"/>
          <w:w w:val="115"/>
        </w:rPr>
        <w:t> </w:t>
      </w:r>
      <w:r>
        <w:rPr>
          <w:w w:val="115"/>
        </w:rPr>
        <w:t>que</w:t>
      </w:r>
      <w:r>
        <w:rPr>
          <w:spacing w:val="-15"/>
          <w:w w:val="115"/>
        </w:rPr>
        <w:t> </w:t>
      </w:r>
      <w:r>
        <w:rPr>
          <w:w w:val="115"/>
        </w:rPr>
        <w:t>las</w:t>
      </w:r>
      <w:r>
        <w:rPr>
          <w:spacing w:val="-15"/>
          <w:w w:val="115"/>
        </w:rPr>
        <w:t> </w:t>
      </w:r>
      <w:r>
        <w:rPr>
          <w:w w:val="115"/>
        </w:rPr>
        <w:t>lecturas</w:t>
      </w:r>
      <w:r>
        <w:rPr>
          <w:spacing w:val="-15"/>
          <w:w w:val="115"/>
        </w:rPr>
        <w:t> </w:t>
      </w:r>
      <w:r>
        <w:rPr>
          <w:w w:val="115"/>
        </w:rPr>
        <w:t>sobre</w:t>
      </w:r>
      <w:r>
        <w:rPr>
          <w:spacing w:val="-15"/>
          <w:w w:val="115"/>
        </w:rPr>
        <w:t> </w:t>
      </w:r>
      <w:r>
        <w:rPr>
          <w:w w:val="115"/>
        </w:rPr>
        <w:t>la</w:t>
      </w:r>
      <w:r>
        <w:rPr>
          <w:spacing w:val="-15"/>
          <w:w w:val="115"/>
        </w:rPr>
        <w:t> </w:t>
      </w:r>
      <w:r>
        <w:rPr>
          <w:w w:val="115"/>
        </w:rPr>
        <w:t>polí- tica</w:t>
      </w:r>
      <w:r>
        <w:rPr>
          <w:spacing w:val="-22"/>
          <w:w w:val="115"/>
        </w:rPr>
        <w:t> </w:t>
      </w:r>
      <w:r>
        <w:rPr>
          <w:w w:val="115"/>
        </w:rPr>
        <w:t>exterior</w:t>
      </w:r>
      <w:r>
        <w:rPr>
          <w:spacing w:val="-22"/>
          <w:w w:val="115"/>
        </w:rPr>
        <w:t> </w:t>
      </w:r>
      <w:r>
        <w:rPr>
          <w:w w:val="115"/>
        </w:rPr>
        <w:t>estadounidense</w:t>
      </w:r>
      <w:r>
        <w:rPr>
          <w:spacing w:val="-22"/>
          <w:w w:val="115"/>
        </w:rPr>
        <w:t> </w:t>
      </w:r>
      <w:r>
        <w:rPr>
          <w:w w:val="115"/>
        </w:rPr>
        <w:t>suelen</w:t>
      </w:r>
      <w:r>
        <w:rPr>
          <w:spacing w:val="-22"/>
          <w:w w:val="115"/>
        </w:rPr>
        <w:t> </w:t>
      </w:r>
      <w:r>
        <w:rPr>
          <w:w w:val="115"/>
        </w:rPr>
        <w:t>abordar</w:t>
      </w:r>
      <w:r>
        <w:rPr>
          <w:spacing w:val="-22"/>
          <w:w w:val="115"/>
        </w:rPr>
        <w:t> </w:t>
      </w:r>
      <w:r>
        <w:rPr>
          <w:w w:val="115"/>
        </w:rPr>
        <w:t>el</w:t>
      </w:r>
      <w:r>
        <w:rPr>
          <w:spacing w:val="-22"/>
          <w:w w:val="115"/>
        </w:rPr>
        <w:t> </w:t>
      </w:r>
      <w:r>
        <w:rPr>
          <w:w w:val="115"/>
        </w:rPr>
        <w:t>tema</w:t>
      </w:r>
      <w:r>
        <w:rPr>
          <w:spacing w:val="-22"/>
          <w:w w:val="115"/>
        </w:rPr>
        <w:t> </w:t>
      </w:r>
      <w:r>
        <w:rPr>
          <w:w w:val="115"/>
        </w:rPr>
        <w:t>de</w:t>
      </w:r>
      <w:r>
        <w:rPr>
          <w:spacing w:val="-22"/>
          <w:w w:val="115"/>
        </w:rPr>
        <w:t> </w:t>
      </w:r>
      <w:r>
        <w:rPr>
          <w:w w:val="115"/>
        </w:rPr>
        <w:t>la</w:t>
      </w:r>
      <w:r>
        <w:rPr>
          <w:spacing w:val="-22"/>
          <w:w w:val="115"/>
        </w:rPr>
        <w:t> </w:t>
      </w:r>
      <w:r>
        <w:rPr>
          <w:w w:val="115"/>
        </w:rPr>
        <w:t>guerra</w:t>
      </w:r>
      <w:r>
        <w:rPr>
          <w:spacing w:val="-22"/>
          <w:w w:val="115"/>
        </w:rPr>
        <w:t> </w:t>
      </w:r>
      <w:r>
        <w:rPr>
          <w:w w:val="115"/>
        </w:rPr>
        <w:t>y</w:t>
      </w:r>
      <w:r>
        <w:rPr>
          <w:spacing w:val="-22"/>
          <w:w w:val="115"/>
        </w:rPr>
        <w:t> </w:t>
      </w:r>
      <w:r>
        <w:rPr>
          <w:w w:val="115"/>
        </w:rPr>
        <w:t>las relaciones exteriores de EE.uu. en general, desde las dicotomías</w:t>
      </w:r>
      <w:r>
        <w:rPr>
          <w:spacing w:val="-12"/>
          <w:w w:val="115"/>
        </w:rPr>
        <w:t> </w:t>
      </w:r>
      <w:r>
        <w:rPr>
          <w:w w:val="115"/>
        </w:rPr>
        <w:t>del tipo</w:t>
      </w:r>
      <w:r>
        <w:rPr>
          <w:spacing w:val="-8"/>
          <w:w w:val="115"/>
        </w:rPr>
        <w:t> </w:t>
      </w:r>
      <w:r>
        <w:rPr>
          <w:w w:val="115"/>
        </w:rPr>
        <w:t>realistas</w:t>
      </w:r>
      <w:r>
        <w:rPr>
          <w:spacing w:val="-8"/>
          <w:w w:val="115"/>
        </w:rPr>
        <w:t> </w:t>
      </w:r>
      <w:r>
        <w:rPr>
          <w:w w:val="115"/>
        </w:rPr>
        <w:t>o</w:t>
      </w:r>
      <w:r>
        <w:rPr>
          <w:spacing w:val="-8"/>
          <w:w w:val="115"/>
        </w:rPr>
        <w:t> </w:t>
      </w:r>
      <w:r>
        <w:rPr>
          <w:w w:val="115"/>
        </w:rPr>
        <w:t>liberales;</w:t>
      </w:r>
      <w:r>
        <w:rPr>
          <w:spacing w:val="-8"/>
          <w:w w:val="115"/>
        </w:rPr>
        <w:t> </w:t>
      </w:r>
      <w:r>
        <w:rPr>
          <w:w w:val="115"/>
        </w:rPr>
        <w:t>moralistas</w:t>
      </w:r>
      <w:r>
        <w:rPr>
          <w:spacing w:val="-8"/>
          <w:w w:val="115"/>
        </w:rPr>
        <w:t> </w:t>
      </w:r>
      <w:r>
        <w:rPr>
          <w:w w:val="115"/>
        </w:rPr>
        <w:t>o</w:t>
      </w:r>
      <w:r>
        <w:rPr>
          <w:spacing w:val="-8"/>
          <w:w w:val="115"/>
        </w:rPr>
        <w:t> </w:t>
      </w:r>
      <w:r>
        <w:rPr>
          <w:w w:val="115"/>
        </w:rPr>
        <w:t>pragmáticos;</w:t>
      </w:r>
      <w:r>
        <w:rPr>
          <w:spacing w:val="-8"/>
          <w:w w:val="115"/>
        </w:rPr>
        <w:t> </w:t>
      </w:r>
      <w:r>
        <w:rPr>
          <w:w w:val="115"/>
        </w:rPr>
        <w:t>halcones</w:t>
      </w:r>
      <w:r>
        <w:rPr>
          <w:spacing w:val="-8"/>
          <w:w w:val="115"/>
        </w:rPr>
        <w:t> </w:t>
      </w:r>
      <w:r>
        <w:rPr>
          <w:w w:val="115"/>
        </w:rPr>
        <w:t>o</w:t>
      </w:r>
      <w:r>
        <w:rPr>
          <w:spacing w:val="-8"/>
          <w:w w:val="115"/>
        </w:rPr>
        <w:t> </w:t>
      </w:r>
      <w:r>
        <w:rPr>
          <w:w w:val="115"/>
        </w:rPr>
        <w:t>palo- mas;</w:t>
      </w:r>
      <w:r>
        <w:rPr>
          <w:spacing w:val="-21"/>
          <w:w w:val="115"/>
        </w:rPr>
        <w:t> </w:t>
      </w:r>
      <w:r>
        <w:rPr>
          <w:w w:val="115"/>
        </w:rPr>
        <w:t>demócratas</w:t>
      </w:r>
      <w:r>
        <w:rPr>
          <w:spacing w:val="-21"/>
          <w:w w:val="115"/>
        </w:rPr>
        <w:t> </w:t>
      </w:r>
      <w:r>
        <w:rPr>
          <w:w w:val="115"/>
        </w:rPr>
        <w:t>o</w:t>
      </w:r>
      <w:r>
        <w:rPr>
          <w:spacing w:val="-21"/>
          <w:w w:val="115"/>
        </w:rPr>
        <w:t> </w:t>
      </w:r>
      <w:r>
        <w:rPr>
          <w:w w:val="115"/>
        </w:rPr>
        <w:t>republicanos,</w:t>
      </w:r>
      <w:r>
        <w:rPr>
          <w:spacing w:val="-21"/>
          <w:w w:val="115"/>
        </w:rPr>
        <w:t> </w:t>
      </w:r>
      <w:r>
        <w:rPr>
          <w:w w:val="115"/>
        </w:rPr>
        <w:t>etc.</w:t>
      </w:r>
      <w:r>
        <w:rPr>
          <w:spacing w:val="-21"/>
          <w:w w:val="115"/>
        </w:rPr>
        <w:t> </w:t>
      </w:r>
      <w:r>
        <w:rPr>
          <w:w w:val="115"/>
        </w:rPr>
        <w:t>Esta</w:t>
      </w:r>
      <w:r>
        <w:rPr>
          <w:spacing w:val="-21"/>
          <w:w w:val="115"/>
        </w:rPr>
        <w:t> </w:t>
      </w:r>
      <w:r>
        <w:rPr>
          <w:w w:val="115"/>
        </w:rPr>
        <w:t>simplificación</w:t>
      </w:r>
      <w:r>
        <w:rPr>
          <w:spacing w:val="-21"/>
          <w:w w:val="115"/>
        </w:rPr>
        <w:t> </w:t>
      </w:r>
      <w:r>
        <w:rPr>
          <w:w w:val="115"/>
        </w:rPr>
        <w:t>lleva</w:t>
      </w:r>
      <w:r>
        <w:rPr>
          <w:spacing w:val="-21"/>
          <w:w w:val="115"/>
        </w:rPr>
        <w:t> </w:t>
      </w:r>
      <w:r>
        <w:rPr>
          <w:w w:val="115"/>
        </w:rPr>
        <w:t>a</w:t>
      </w:r>
      <w:r>
        <w:rPr>
          <w:spacing w:val="-21"/>
          <w:w w:val="115"/>
        </w:rPr>
        <w:t> </w:t>
      </w:r>
      <w:r>
        <w:rPr>
          <w:w w:val="115"/>
        </w:rPr>
        <w:t>redu- cir</w:t>
      </w:r>
      <w:r>
        <w:rPr>
          <w:spacing w:val="-16"/>
          <w:w w:val="115"/>
        </w:rPr>
        <w:t> </w:t>
      </w:r>
      <w:r>
        <w:rPr>
          <w:w w:val="115"/>
        </w:rPr>
        <w:t>el</w:t>
      </w:r>
      <w:r>
        <w:rPr>
          <w:spacing w:val="-16"/>
          <w:w w:val="115"/>
        </w:rPr>
        <w:t> </w:t>
      </w:r>
      <w:r>
        <w:rPr>
          <w:w w:val="115"/>
        </w:rPr>
        <w:t>espectro</w:t>
      </w:r>
      <w:r>
        <w:rPr>
          <w:spacing w:val="-16"/>
          <w:w w:val="115"/>
        </w:rPr>
        <w:t> </w:t>
      </w:r>
      <w:r>
        <w:rPr>
          <w:w w:val="115"/>
        </w:rPr>
        <w:t>de</w:t>
      </w:r>
      <w:r>
        <w:rPr>
          <w:spacing w:val="-16"/>
          <w:w w:val="115"/>
        </w:rPr>
        <w:t> </w:t>
      </w:r>
      <w:r>
        <w:rPr>
          <w:w w:val="115"/>
        </w:rPr>
        <w:t>discusión</w:t>
      </w:r>
      <w:r>
        <w:rPr>
          <w:spacing w:val="-16"/>
          <w:w w:val="115"/>
        </w:rPr>
        <w:t> </w:t>
      </w:r>
      <w:r>
        <w:rPr>
          <w:w w:val="115"/>
        </w:rPr>
        <w:t>sobre</w:t>
      </w:r>
      <w:r>
        <w:rPr>
          <w:spacing w:val="-16"/>
          <w:w w:val="115"/>
        </w:rPr>
        <w:t> </w:t>
      </w:r>
      <w:r>
        <w:rPr>
          <w:w w:val="115"/>
        </w:rPr>
        <w:t>la</w:t>
      </w:r>
      <w:r>
        <w:rPr>
          <w:spacing w:val="-16"/>
          <w:w w:val="115"/>
        </w:rPr>
        <w:t> </w:t>
      </w:r>
      <w:r>
        <w:rPr>
          <w:w w:val="115"/>
        </w:rPr>
        <w:t>política</w:t>
      </w:r>
      <w:r>
        <w:rPr>
          <w:spacing w:val="-16"/>
          <w:w w:val="115"/>
        </w:rPr>
        <w:t> </w:t>
      </w:r>
      <w:r>
        <w:rPr>
          <w:w w:val="115"/>
        </w:rPr>
        <w:t>exterior</w:t>
      </w:r>
      <w:r>
        <w:rPr>
          <w:spacing w:val="-16"/>
          <w:w w:val="115"/>
        </w:rPr>
        <w:t> </w:t>
      </w:r>
      <w:r>
        <w:rPr>
          <w:w w:val="115"/>
        </w:rPr>
        <w:t>estadounidense en</w:t>
      </w:r>
      <w:r>
        <w:rPr>
          <w:spacing w:val="-9"/>
          <w:w w:val="115"/>
        </w:rPr>
        <w:t> </w:t>
      </w:r>
      <w:r>
        <w:rPr>
          <w:w w:val="115"/>
        </w:rPr>
        <w:t>sí</w:t>
      </w:r>
      <w:r>
        <w:rPr>
          <w:spacing w:val="-9"/>
          <w:w w:val="115"/>
        </w:rPr>
        <w:t> </w:t>
      </w:r>
      <w:r>
        <w:rPr>
          <w:w w:val="115"/>
        </w:rPr>
        <w:t>misma,</w:t>
      </w:r>
      <w:r>
        <w:rPr>
          <w:spacing w:val="-9"/>
          <w:w w:val="115"/>
        </w:rPr>
        <w:t> </w:t>
      </w:r>
      <w:r>
        <w:rPr>
          <w:w w:val="115"/>
        </w:rPr>
        <w:t>dejando</w:t>
      </w:r>
      <w:r>
        <w:rPr>
          <w:spacing w:val="-9"/>
          <w:w w:val="115"/>
        </w:rPr>
        <w:t> </w:t>
      </w:r>
      <w:r>
        <w:rPr>
          <w:w w:val="115"/>
        </w:rPr>
        <w:t>un</w:t>
      </w:r>
      <w:r>
        <w:rPr>
          <w:spacing w:val="-9"/>
          <w:w w:val="115"/>
        </w:rPr>
        <w:t> </w:t>
      </w:r>
      <w:r>
        <w:rPr>
          <w:w w:val="115"/>
        </w:rPr>
        <w:t>silencio</w:t>
      </w:r>
      <w:r>
        <w:rPr>
          <w:spacing w:val="-9"/>
          <w:w w:val="115"/>
        </w:rPr>
        <w:t> </w:t>
      </w:r>
      <w:r>
        <w:rPr>
          <w:w w:val="115"/>
        </w:rPr>
        <w:t>sobre</w:t>
      </w:r>
      <w:r>
        <w:rPr>
          <w:spacing w:val="-9"/>
          <w:w w:val="115"/>
        </w:rPr>
        <w:t> </w:t>
      </w:r>
      <w:r>
        <w:rPr>
          <w:w w:val="115"/>
        </w:rPr>
        <w:t>preguntas</w:t>
      </w:r>
      <w:r>
        <w:rPr>
          <w:spacing w:val="-9"/>
          <w:w w:val="115"/>
        </w:rPr>
        <w:t> </w:t>
      </w:r>
      <w:r>
        <w:rPr>
          <w:w w:val="115"/>
        </w:rPr>
        <w:t>como</w:t>
      </w:r>
      <w:r>
        <w:rPr>
          <w:spacing w:val="-9"/>
          <w:w w:val="115"/>
        </w:rPr>
        <w:t> </w:t>
      </w:r>
      <w:r>
        <w:rPr>
          <w:w w:val="115"/>
        </w:rPr>
        <w:t>¿el</w:t>
      </w:r>
      <w:r>
        <w:rPr>
          <w:spacing w:val="-9"/>
          <w:w w:val="115"/>
        </w:rPr>
        <w:t> </w:t>
      </w:r>
      <w:r>
        <w:rPr>
          <w:w w:val="115"/>
        </w:rPr>
        <w:t>gobierno estadounidense</w:t>
      </w:r>
      <w:r>
        <w:rPr>
          <w:spacing w:val="-24"/>
          <w:w w:val="115"/>
        </w:rPr>
        <w:t> </w:t>
      </w:r>
      <w:r>
        <w:rPr>
          <w:w w:val="115"/>
        </w:rPr>
        <w:t>tiene</w:t>
      </w:r>
      <w:r>
        <w:rPr>
          <w:spacing w:val="-24"/>
          <w:w w:val="115"/>
        </w:rPr>
        <w:t> </w:t>
      </w:r>
      <w:r>
        <w:rPr>
          <w:w w:val="115"/>
        </w:rPr>
        <w:t>(y</w:t>
      </w:r>
      <w:r>
        <w:rPr>
          <w:spacing w:val="-24"/>
          <w:w w:val="115"/>
        </w:rPr>
        <w:t> </w:t>
      </w:r>
      <w:r>
        <w:rPr>
          <w:w w:val="115"/>
        </w:rPr>
        <w:t>tuvo)</w:t>
      </w:r>
      <w:r>
        <w:rPr>
          <w:spacing w:val="-24"/>
          <w:w w:val="115"/>
        </w:rPr>
        <w:t> </w:t>
      </w:r>
      <w:r>
        <w:rPr>
          <w:w w:val="115"/>
        </w:rPr>
        <w:t>derecho</w:t>
      </w:r>
      <w:r>
        <w:rPr>
          <w:spacing w:val="-24"/>
          <w:w w:val="115"/>
        </w:rPr>
        <w:t> </w:t>
      </w:r>
      <w:r>
        <w:rPr>
          <w:w w:val="115"/>
        </w:rPr>
        <w:t>a</w:t>
      </w:r>
      <w:r>
        <w:rPr>
          <w:spacing w:val="-24"/>
          <w:w w:val="115"/>
        </w:rPr>
        <w:t> </w:t>
      </w:r>
      <w:r>
        <w:rPr>
          <w:w w:val="115"/>
        </w:rPr>
        <w:t>intervenir</w:t>
      </w:r>
      <w:r>
        <w:rPr>
          <w:spacing w:val="-24"/>
          <w:w w:val="115"/>
        </w:rPr>
        <w:t> </w:t>
      </w:r>
      <w:r>
        <w:rPr>
          <w:w w:val="115"/>
        </w:rPr>
        <w:t>en</w:t>
      </w:r>
      <w:r>
        <w:rPr>
          <w:spacing w:val="-24"/>
          <w:w w:val="115"/>
        </w:rPr>
        <w:t> </w:t>
      </w:r>
      <w:r>
        <w:rPr>
          <w:w w:val="115"/>
        </w:rPr>
        <w:t>la</w:t>
      </w:r>
      <w:r>
        <w:rPr>
          <w:spacing w:val="-24"/>
          <w:w w:val="115"/>
        </w:rPr>
        <w:t> </w:t>
      </w:r>
      <w:r>
        <w:rPr>
          <w:w w:val="115"/>
        </w:rPr>
        <w:t>soberanía</w:t>
      </w:r>
      <w:r>
        <w:rPr>
          <w:spacing w:val="-24"/>
          <w:w w:val="115"/>
        </w:rPr>
        <w:t> </w:t>
      </w:r>
      <w:r>
        <w:rPr>
          <w:w w:val="115"/>
        </w:rPr>
        <w:t>de otros</w:t>
      </w:r>
      <w:r>
        <w:rPr>
          <w:spacing w:val="-22"/>
          <w:w w:val="115"/>
        </w:rPr>
        <w:t> </w:t>
      </w:r>
      <w:r>
        <w:rPr>
          <w:w w:val="115"/>
        </w:rPr>
        <w:t>países?</w:t>
      </w:r>
      <w:r>
        <w:rPr>
          <w:spacing w:val="-22"/>
          <w:w w:val="115"/>
        </w:rPr>
        <w:t> </w:t>
      </w:r>
      <w:r>
        <w:rPr>
          <w:w w:val="115"/>
        </w:rPr>
        <w:t>¿qué</w:t>
      </w:r>
      <w:r>
        <w:rPr>
          <w:spacing w:val="-22"/>
          <w:w w:val="115"/>
        </w:rPr>
        <w:t> </w:t>
      </w:r>
      <w:r>
        <w:rPr>
          <w:w w:val="115"/>
        </w:rPr>
        <w:t>intereses</w:t>
      </w:r>
      <w:r>
        <w:rPr>
          <w:spacing w:val="-22"/>
          <w:w w:val="115"/>
        </w:rPr>
        <w:t> </w:t>
      </w:r>
      <w:r>
        <w:rPr>
          <w:w w:val="115"/>
        </w:rPr>
        <w:t>representa</w:t>
      </w:r>
      <w:r>
        <w:rPr>
          <w:spacing w:val="-22"/>
          <w:w w:val="115"/>
        </w:rPr>
        <w:t> </w:t>
      </w:r>
      <w:r>
        <w:rPr>
          <w:w w:val="115"/>
        </w:rPr>
        <w:t>esa</w:t>
      </w:r>
      <w:r>
        <w:rPr>
          <w:spacing w:val="-22"/>
          <w:w w:val="115"/>
        </w:rPr>
        <w:t> </w:t>
      </w:r>
      <w:r>
        <w:rPr>
          <w:w w:val="115"/>
        </w:rPr>
        <w:t>política</w:t>
      </w:r>
      <w:r>
        <w:rPr>
          <w:spacing w:val="-22"/>
          <w:w w:val="115"/>
        </w:rPr>
        <w:t> </w:t>
      </w:r>
      <w:r>
        <w:rPr>
          <w:w w:val="115"/>
        </w:rPr>
        <w:t>exterior?</w:t>
      </w:r>
      <w:r>
        <w:rPr>
          <w:spacing w:val="-22"/>
          <w:w w:val="115"/>
        </w:rPr>
        <w:t> </w:t>
      </w:r>
      <w:r>
        <w:rPr>
          <w:w w:val="115"/>
        </w:rPr>
        <w:t>¿a</w:t>
      </w:r>
      <w:r>
        <w:rPr>
          <w:spacing w:val="-22"/>
          <w:w w:val="115"/>
        </w:rPr>
        <w:t> </w:t>
      </w:r>
      <w:r>
        <w:rPr>
          <w:w w:val="115"/>
        </w:rPr>
        <w:t>quié- nes beneficia? </w:t>
      </w:r>
      <w:r>
        <w:rPr>
          <w:spacing w:val="-3"/>
          <w:w w:val="115"/>
        </w:rPr>
        <w:t>(Chomsky, </w:t>
      </w:r>
      <w:r>
        <w:rPr>
          <w:w w:val="115"/>
        </w:rPr>
        <w:t>2003: 96-98). Esto nos lleva a rescatar la ideología como eje de la naturalización de las intervenciones, como punto</w:t>
      </w:r>
      <w:r>
        <w:rPr>
          <w:spacing w:val="-26"/>
          <w:w w:val="115"/>
        </w:rPr>
        <w:t> </w:t>
      </w:r>
      <w:r>
        <w:rPr>
          <w:w w:val="115"/>
        </w:rPr>
        <w:t>clave</w:t>
      </w:r>
      <w:r>
        <w:rPr>
          <w:spacing w:val="-26"/>
          <w:w w:val="115"/>
        </w:rPr>
        <w:t> </w:t>
      </w:r>
      <w:r>
        <w:rPr>
          <w:w w:val="115"/>
        </w:rPr>
        <w:t>para</w:t>
      </w:r>
      <w:r>
        <w:rPr>
          <w:spacing w:val="-26"/>
          <w:w w:val="115"/>
        </w:rPr>
        <w:t> </w:t>
      </w:r>
      <w:r>
        <w:rPr>
          <w:w w:val="115"/>
        </w:rPr>
        <w:t>comprender</w:t>
      </w:r>
      <w:r>
        <w:rPr>
          <w:spacing w:val="-26"/>
          <w:w w:val="115"/>
        </w:rPr>
        <w:t> </w:t>
      </w:r>
      <w:r>
        <w:rPr>
          <w:w w:val="115"/>
        </w:rPr>
        <w:t>por</w:t>
      </w:r>
      <w:r>
        <w:rPr>
          <w:spacing w:val="-26"/>
          <w:w w:val="115"/>
        </w:rPr>
        <w:t> </w:t>
      </w:r>
      <w:r>
        <w:rPr>
          <w:w w:val="115"/>
        </w:rPr>
        <w:t>qué</w:t>
      </w:r>
      <w:r>
        <w:rPr>
          <w:spacing w:val="-26"/>
          <w:w w:val="115"/>
        </w:rPr>
        <w:t> </w:t>
      </w:r>
      <w:r>
        <w:rPr>
          <w:w w:val="115"/>
        </w:rPr>
        <w:t>pueden</w:t>
      </w:r>
      <w:r>
        <w:rPr>
          <w:spacing w:val="-26"/>
          <w:w w:val="115"/>
        </w:rPr>
        <w:t> </w:t>
      </w:r>
      <w:r>
        <w:rPr>
          <w:w w:val="115"/>
        </w:rPr>
        <w:t>repetirse</w:t>
      </w:r>
      <w:r>
        <w:rPr>
          <w:spacing w:val="-26"/>
          <w:w w:val="115"/>
        </w:rPr>
        <w:t> </w:t>
      </w:r>
      <w:r>
        <w:rPr>
          <w:w w:val="115"/>
        </w:rPr>
        <w:t>cíclicamente: “Para</w:t>
      </w:r>
      <w:r>
        <w:rPr>
          <w:spacing w:val="-14"/>
          <w:w w:val="115"/>
        </w:rPr>
        <w:t> </w:t>
      </w:r>
      <w:r>
        <w:rPr>
          <w:w w:val="115"/>
        </w:rPr>
        <w:t>ser</w:t>
      </w:r>
      <w:r>
        <w:rPr>
          <w:spacing w:val="-14"/>
          <w:w w:val="115"/>
        </w:rPr>
        <w:t> </w:t>
      </w:r>
      <w:r>
        <w:rPr>
          <w:w w:val="115"/>
        </w:rPr>
        <w:t>útil</w:t>
      </w:r>
      <w:r>
        <w:rPr>
          <w:spacing w:val="-14"/>
          <w:w w:val="115"/>
        </w:rPr>
        <w:t> </w:t>
      </w:r>
      <w:r>
        <w:rPr>
          <w:w w:val="115"/>
        </w:rPr>
        <w:t>a</w:t>
      </w:r>
      <w:r>
        <w:rPr>
          <w:spacing w:val="-14"/>
          <w:w w:val="115"/>
        </w:rPr>
        <w:t> </w:t>
      </w:r>
      <w:r>
        <w:rPr>
          <w:w w:val="115"/>
        </w:rPr>
        <w:t>la</w:t>
      </w:r>
      <w:r>
        <w:rPr>
          <w:spacing w:val="-14"/>
          <w:w w:val="115"/>
        </w:rPr>
        <w:t> </w:t>
      </w:r>
      <w:r>
        <w:rPr>
          <w:w w:val="115"/>
        </w:rPr>
        <w:t>clase</w:t>
      </w:r>
      <w:r>
        <w:rPr>
          <w:spacing w:val="-14"/>
          <w:w w:val="115"/>
        </w:rPr>
        <w:t> </w:t>
      </w:r>
      <w:r>
        <w:rPr>
          <w:w w:val="115"/>
        </w:rPr>
        <w:t>dirigente,</w:t>
      </w:r>
      <w:r>
        <w:rPr>
          <w:spacing w:val="-14"/>
          <w:w w:val="115"/>
        </w:rPr>
        <w:t> </w:t>
      </w:r>
      <w:r>
        <w:rPr>
          <w:w w:val="115"/>
        </w:rPr>
        <w:t>la</w:t>
      </w:r>
      <w:r>
        <w:rPr>
          <w:spacing w:val="-14"/>
          <w:w w:val="115"/>
        </w:rPr>
        <w:t> </w:t>
      </w:r>
      <w:r>
        <w:rPr>
          <w:w w:val="115"/>
        </w:rPr>
        <w:t>estructura</w:t>
      </w:r>
      <w:r>
        <w:rPr>
          <w:spacing w:val="-14"/>
          <w:w w:val="115"/>
        </w:rPr>
        <w:t> </w:t>
      </w:r>
      <w:r>
        <w:rPr>
          <w:w w:val="115"/>
        </w:rPr>
        <w:t>ideológica</w:t>
      </w:r>
      <w:r>
        <w:rPr>
          <w:spacing w:val="-14"/>
          <w:w w:val="115"/>
        </w:rPr>
        <w:t> </w:t>
      </w:r>
      <w:r>
        <w:rPr>
          <w:w w:val="115"/>
        </w:rPr>
        <w:t>debe</w:t>
      </w:r>
      <w:r>
        <w:rPr>
          <w:spacing w:val="-14"/>
          <w:w w:val="115"/>
        </w:rPr>
        <w:t> </w:t>
      </w:r>
      <w:r>
        <w:rPr>
          <w:w w:val="115"/>
        </w:rPr>
        <w:t>conci- liar</w:t>
      </w:r>
      <w:r>
        <w:rPr>
          <w:spacing w:val="-5"/>
          <w:w w:val="115"/>
        </w:rPr>
        <w:t> </w:t>
      </w:r>
      <w:r>
        <w:rPr>
          <w:w w:val="115"/>
        </w:rPr>
        <w:t>el</w:t>
      </w:r>
      <w:r>
        <w:rPr>
          <w:spacing w:val="-5"/>
          <w:w w:val="115"/>
        </w:rPr>
        <w:t> </w:t>
      </w:r>
      <w:r>
        <w:rPr>
          <w:w w:val="115"/>
        </w:rPr>
        <w:t>ejercicio</w:t>
      </w:r>
      <w:r>
        <w:rPr>
          <w:spacing w:val="-5"/>
          <w:w w:val="115"/>
        </w:rPr>
        <w:t> </w:t>
      </w:r>
      <w:r>
        <w:rPr>
          <w:w w:val="115"/>
        </w:rPr>
        <w:t>de</w:t>
      </w:r>
      <w:r>
        <w:rPr>
          <w:spacing w:val="-5"/>
          <w:w w:val="115"/>
        </w:rPr>
        <w:t> </w:t>
      </w:r>
      <w:r>
        <w:rPr>
          <w:w w:val="115"/>
        </w:rPr>
        <w:t>poder</w:t>
      </w:r>
      <w:r>
        <w:rPr>
          <w:spacing w:val="-5"/>
          <w:w w:val="115"/>
        </w:rPr>
        <w:t> </w:t>
      </w:r>
      <w:r>
        <w:rPr>
          <w:w w:val="115"/>
        </w:rPr>
        <w:t>negando</w:t>
      </w:r>
      <w:r>
        <w:rPr>
          <w:spacing w:val="-5"/>
          <w:w w:val="115"/>
        </w:rPr>
        <w:t> </w:t>
      </w:r>
      <w:r>
        <w:rPr>
          <w:w w:val="115"/>
        </w:rPr>
        <w:t>los</w:t>
      </w:r>
      <w:r>
        <w:rPr>
          <w:spacing w:val="-5"/>
          <w:w w:val="115"/>
        </w:rPr>
        <w:t> </w:t>
      </w:r>
      <w:r>
        <w:rPr>
          <w:w w:val="115"/>
        </w:rPr>
        <w:t>hechos,</w:t>
      </w:r>
      <w:r>
        <w:rPr>
          <w:spacing w:val="-5"/>
          <w:w w:val="115"/>
        </w:rPr>
        <w:t> </w:t>
      </w:r>
      <w:r>
        <w:rPr>
          <w:w w:val="115"/>
        </w:rPr>
        <w:t>simplemente</w:t>
      </w:r>
      <w:r>
        <w:rPr>
          <w:spacing w:val="-5"/>
          <w:w w:val="115"/>
        </w:rPr>
        <w:t> </w:t>
      </w:r>
      <w:r>
        <w:rPr>
          <w:w w:val="115"/>
        </w:rPr>
        <w:t>ignorán- </w:t>
      </w:r>
      <w:r>
        <w:rPr>
          <w:w w:val="110"/>
        </w:rPr>
        <w:t>dolos, o presentando como ‘interés universal’ aquellos intereses</w:t>
      </w:r>
      <w:r>
        <w:rPr>
          <w:spacing w:val="-8"/>
          <w:w w:val="110"/>
        </w:rPr>
        <w:t> </w:t>
      </w:r>
      <w:r>
        <w:rPr>
          <w:w w:val="110"/>
        </w:rPr>
        <w:t>parti-</w:t>
      </w:r>
    </w:p>
    <w:p>
      <w:pPr>
        <w:spacing w:after="0" w:line="252" w:lineRule="auto"/>
        <w:jc w:val="both"/>
        <w:sectPr>
          <w:headerReference w:type="default" r:id="rId358"/>
          <w:headerReference w:type="even" r:id="rId359"/>
          <w:footerReference w:type="default" r:id="rId360"/>
          <w:footerReference w:type="even" r:id="rId361"/>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w w:val="110"/>
        </w:rPr>
        <w:t>culares de esta clase, de modo que se vuelva natural el hecho de que sean estas personas las que tomen decisiones sobre política exterior” (</w:t>
      </w:r>
      <w:r>
        <w:rPr>
          <w:i/>
          <w:w w:val="110"/>
        </w:rPr>
        <w:t>Ibíd.</w:t>
      </w:r>
      <w:r>
        <w:rPr>
          <w:w w:val="110"/>
        </w:rPr>
        <w:t>: 113). desde esta perspectiva, con un mínimo paso del tiempo, parece relativamente simple plantear tragedias como la de Vietnam, que contradicen en forma y esencia los ideales de la Constitución es- tadounidense, desde una visión que encuentra las causas últimas en “errores o malos liderazgos, o [en] las complejidades e ironías de la historia” (</w:t>
      </w:r>
      <w:r>
        <w:rPr>
          <w:i/>
          <w:w w:val="110"/>
        </w:rPr>
        <w:t>Ibíd.</w:t>
      </w:r>
      <w:r>
        <w:rPr>
          <w:w w:val="110"/>
        </w:rPr>
        <w:t>: 93-94). un ejemplo de ello son las confesiones del ex secretario de defensa, robert McNamara, en sus memorias: “Estados unidos estuvo mal, muy mal… al continuar con el conflicto en Viet- nam” (shivkumar, 1996).</w:t>
      </w:r>
    </w:p>
    <w:p>
      <w:pPr>
        <w:pStyle w:val="BodyText"/>
        <w:spacing w:line="252" w:lineRule="auto"/>
        <w:ind w:left="120" w:right="328" w:firstLine="396"/>
        <w:jc w:val="both"/>
      </w:pPr>
      <w:r>
        <w:rPr>
          <w:w w:val="243"/>
        </w:rPr>
        <w:t>l</w:t>
      </w:r>
      <w:r>
        <w:rPr>
          <w:w w:val="112"/>
        </w:rPr>
        <w:t>a</w:t>
      </w:r>
      <w:r>
        <w:rPr/>
        <w:t> </w:t>
      </w:r>
      <w:r>
        <w:rPr>
          <w:w w:val="109"/>
        </w:rPr>
        <w:t>herida</w:t>
      </w:r>
      <w:r>
        <w:rPr/>
        <w:t> </w:t>
      </w:r>
      <w:r>
        <w:rPr>
          <w:w w:val="107"/>
        </w:rPr>
        <w:t>de</w:t>
      </w:r>
      <w:r>
        <w:rPr/>
        <w:t> </w:t>
      </w:r>
      <w:r>
        <w:rPr>
          <w:w w:val="119"/>
        </w:rPr>
        <w:t>V</w:t>
      </w:r>
      <w:r>
        <w:rPr>
          <w:w w:val="110"/>
        </w:rPr>
        <w:t>ietnam</w:t>
      </w:r>
      <w:r>
        <w:rPr/>
        <w:t> </w:t>
      </w:r>
      <w:r>
        <w:rPr>
          <w:w w:val="112"/>
        </w:rPr>
        <w:t>ha</w:t>
      </w:r>
      <w:r>
        <w:rPr/>
        <w:t> </w:t>
      </w:r>
      <w:r>
        <w:rPr>
          <w:w w:val="109"/>
        </w:rPr>
        <w:t>sido</w:t>
      </w:r>
      <w:r>
        <w:rPr/>
        <w:t> </w:t>
      </w:r>
      <w:r>
        <w:rPr>
          <w:w w:val="105"/>
        </w:rPr>
        <w:t>y</w:t>
      </w:r>
      <w:r>
        <w:rPr/>
        <w:t> </w:t>
      </w:r>
      <w:r>
        <w:rPr>
          <w:w w:val="105"/>
        </w:rPr>
        <w:t>es</w:t>
      </w:r>
      <w:r>
        <w:rPr/>
        <w:t> </w:t>
      </w:r>
      <w:r>
        <w:rPr>
          <w:w w:val="112"/>
        </w:rPr>
        <w:t>una</w:t>
      </w:r>
      <w:r>
        <w:rPr/>
        <w:t> </w:t>
      </w:r>
      <w:r>
        <w:rPr>
          <w:w w:val="107"/>
        </w:rPr>
        <w:t>de</w:t>
      </w:r>
      <w:r>
        <w:rPr/>
        <w:t> </w:t>
      </w:r>
      <w:r>
        <w:rPr>
          <w:w w:val="109"/>
        </w:rPr>
        <w:t>las</w:t>
      </w:r>
      <w:r>
        <w:rPr/>
        <w:t> </w:t>
      </w:r>
      <w:r>
        <w:rPr>
          <w:w w:val="111"/>
        </w:rPr>
        <w:t>más</w:t>
      </w:r>
      <w:r>
        <w:rPr/>
        <w:t> </w:t>
      </w:r>
      <w:r>
        <w:rPr>
          <w:w w:val="111"/>
        </w:rPr>
        <w:t>profundas.</w:t>
      </w:r>
      <w:r>
        <w:rPr/>
        <w:t> </w:t>
      </w:r>
      <w:r>
        <w:rPr>
          <w:w w:val="139"/>
        </w:rPr>
        <w:t>a</w:t>
      </w:r>
      <w:r>
        <w:rPr>
          <w:w w:val="109"/>
        </w:rPr>
        <w:t>sí </w:t>
      </w:r>
      <w:r>
        <w:rPr>
          <w:w w:val="110"/>
        </w:rPr>
        <w:t>es que para “reconstruir la fe” del pueblo estadounidense, ha sido ne- cesario expulsar de la memoria la brutalidad y las mentiras de la gue- rra, para lo cual también se ha ido transformando la documentación histórica, a los fines de oscurecer sus causas, minimizar el precio que implicó a sus víctimas, así como disminuir su importancia histórica (Chomsky y Herman, 1979: 299).</w:t>
      </w:r>
    </w:p>
    <w:p>
      <w:pPr>
        <w:pStyle w:val="BodyText"/>
        <w:spacing w:line="252" w:lineRule="auto"/>
        <w:ind w:left="120" w:right="328" w:firstLine="396"/>
        <w:jc w:val="both"/>
      </w:pPr>
      <w:r>
        <w:rPr>
          <w:w w:val="110"/>
        </w:rPr>
        <w:t>En este escrito haremos un recuento del modo en que se está tratando de relatar nuevamente Vietnam para reforzar una determi- nada opinión pública sobre la guerra.</w:t>
      </w:r>
      <w:r>
        <w:rPr>
          <w:w w:val="110"/>
          <w:position w:val="6"/>
          <w:sz w:val="11"/>
        </w:rPr>
        <w:t>2 </w:t>
      </w:r>
      <w:r>
        <w:rPr>
          <w:w w:val="110"/>
        </w:rPr>
        <w:t>Plantearemos algunas cues- tiones básicas sobre esta intervención estadounidense (a los fines de aportar al no olvido de aspectos fundamentales) y a partir de esa mí- nima plataforma, retomaremos el modo en que el </w:t>
      </w:r>
      <w:r>
        <w:rPr>
          <w:i/>
          <w:w w:val="110"/>
        </w:rPr>
        <w:t>mainstream </w:t>
      </w:r>
      <w:r>
        <w:rPr>
          <w:w w:val="110"/>
        </w:rPr>
        <w:t>de la prensa estadounidense, así como en la prensa alternativa, evalúan    la</w:t>
      </w:r>
    </w:p>
    <w:p>
      <w:pPr>
        <w:pStyle w:val="BodyText"/>
        <w:rPr>
          <w:sz w:val="20"/>
        </w:rPr>
      </w:pPr>
    </w:p>
    <w:p>
      <w:pPr>
        <w:pStyle w:val="BodyText"/>
        <w:spacing w:before="3"/>
        <w:rPr>
          <w:sz w:val="23"/>
        </w:rPr>
      </w:pPr>
      <w:r>
        <w:rPr/>
        <w:pict>
          <v:line style="position:absolute;mso-position-horizontal-relative:page;mso-position-vertical-relative:paragraph;z-index:6904;mso-wrap-distance-left:0;mso-wrap-distance-right:0" from="51.023602pt,15.836408pt" to="79.369602pt,15.836408pt" stroked="true" strokeweight=".5pt" strokecolor="#000000">
            <w10:wrap type="topAndBottom"/>
          </v:line>
        </w:pict>
      </w:r>
    </w:p>
    <w:p>
      <w:pPr>
        <w:pStyle w:val="ListParagraph"/>
        <w:numPr>
          <w:ilvl w:val="0"/>
          <w:numId w:val="30"/>
        </w:numPr>
        <w:tabs>
          <w:tab w:pos="376" w:val="left" w:leader="none"/>
        </w:tabs>
        <w:spacing w:line="242" w:lineRule="auto" w:before="89" w:after="0"/>
        <w:ind w:left="120" w:right="327" w:firstLine="0"/>
        <w:jc w:val="both"/>
        <w:rPr>
          <w:sz w:val="16"/>
        </w:rPr>
      </w:pPr>
      <w:r>
        <w:rPr>
          <w:w w:val="110"/>
          <w:sz w:val="16"/>
        </w:rPr>
        <w:t>según la definición de bernays, aunque data de finales de la década del ’20, es la que parece representar de manera más acabada la perspectiva de los políticos y to- </w:t>
      </w:r>
      <w:r>
        <w:rPr>
          <w:w w:val="107"/>
          <w:sz w:val="16"/>
        </w:rPr>
        <w:t>madores</w:t>
      </w:r>
      <w:r>
        <w:rPr>
          <w:spacing w:val="10"/>
          <w:sz w:val="16"/>
        </w:rPr>
        <w:t> </w:t>
      </w:r>
      <w:r>
        <w:rPr>
          <w:w w:val="104"/>
          <w:sz w:val="16"/>
        </w:rPr>
        <w:t>de</w:t>
      </w:r>
      <w:r>
        <w:rPr>
          <w:spacing w:val="10"/>
          <w:sz w:val="16"/>
        </w:rPr>
        <w:t> </w:t>
      </w:r>
      <w:r>
        <w:rPr>
          <w:w w:val="107"/>
          <w:sz w:val="16"/>
        </w:rPr>
        <w:t>decisiones</w:t>
      </w:r>
      <w:r>
        <w:rPr>
          <w:spacing w:val="10"/>
          <w:sz w:val="16"/>
        </w:rPr>
        <w:t> </w:t>
      </w:r>
      <w:r>
        <w:rPr>
          <w:w w:val="105"/>
          <w:sz w:val="16"/>
        </w:rPr>
        <w:t>del</w:t>
      </w:r>
      <w:r>
        <w:rPr>
          <w:spacing w:val="10"/>
          <w:sz w:val="16"/>
        </w:rPr>
        <w:t> </w:t>
      </w:r>
      <w:r>
        <w:rPr>
          <w:w w:val="107"/>
          <w:sz w:val="16"/>
        </w:rPr>
        <w:t>gobierno</w:t>
      </w:r>
      <w:r>
        <w:rPr>
          <w:spacing w:val="10"/>
          <w:sz w:val="16"/>
        </w:rPr>
        <w:t> </w:t>
      </w:r>
      <w:r>
        <w:rPr>
          <w:w w:val="106"/>
          <w:sz w:val="16"/>
        </w:rPr>
        <w:t>estadounidense:</w:t>
      </w:r>
      <w:r>
        <w:rPr>
          <w:spacing w:val="10"/>
          <w:sz w:val="16"/>
        </w:rPr>
        <w:t> </w:t>
      </w:r>
      <w:r>
        <w:rPr>
          <w:w w:val="113"/>
          <w:sz w:val="16"/>
        </w:rPr>
        <w:t>“</w:t>
      </w:r>
      <w:r>
        <w:rPr>
          <w:w w:val="238"/>
          <w:sz w:val="16"/>
        </w:rPr>
        <w:t>l</w:t>
      </w:r>
      <w:r>
        <w:rPr>
          <w:w w:val="109"/>
          <w:sz w:val="16"/>
        </w:rPr>
        <w:t>a</w:t>
      </w:r>
      <w:r>
        <w:rPr>
          <w:spacing w:val="10"/>
          <w:sz w:val="16"/>
        </w:rPr>
        <w:t> </w:t>
      </w:r>
      <w:r>
        <w:rPr>
          <w:w w:val="109"/>
          <w:sz w:val="16"/>
        </w:rPr>
        <w:t>opinión</w:t>
      </w:r>
      <w:r>
        <w:rPr>
          <w:spacing w:val="10"/>
          <w:sz w:val="16"/>
        </w:rPr>
        <w:t> </w:t>
      </w:r>
      <w:r>
        <w:rPr>
          <w:w w:val="109"/>
          <w:sz w:val="16"/>
        </w:rPr>
        <w:t>pública</w:t>
      </w:r>
      <w:r>
        <w:rPr>
          <w:spacing w:val="10"/>
          <w:sz w:val="16"/>
        </w:rPr>
        <w:t> </w:t>
      </w:r>
      <w:r>
        <w:rPr>
          <w:w w:val="104"/>
          <w:sz w:val="16"/>
        </w:rPr>
        <w:t>representa </w:t>
      </w:r>
      <w:r>
        <w:rPr>
          <w:w w:val="110"/>
          <w:sz w:val="16"/>
        </w:rPr>
        <w:t>el pensamiento de cualquier grupo en una sociedad en un momento determinado, sobre</w:t>
      </w:r>
      <w:r>
        <w:rPr>
          <w:spacing w:val="-9"/>
          <w:w w:val="110"/>
          <w:sz w:val="16"/>
        </w:rPr>
        <w:t> </w:t>
      </w:r>
      <w:r>
        <w:rPr>
          <w:w w:val="110"/>
          <w:sz w:val="16"/>
        </w:rPr>
        <w:t>un</w:t>
      </w:r>
      <w:r>
        <w:rPr>
          <w:spacing w:val="-9"/>
          <w:w w:val="110"/>
          <w:sz w:val="16"/>
        </w:rPr>
        <w:t> </w:t>
      </w:r>
      <w:r>
        <w:rPr>
          <w:w w:val="110"/>
          <w:sz w:val="16"/>
        </w:rPr>
        <w:t>determinado</w:t>
      </w:r>
      <w:r>
        <w:rPr>
          <w:spacing w:val="-9"/>
          <w:w w:val="110"/>
          <w:sz w:val="16"/>
        </w:rPr>
        <w:t> </w:t>
      </w:r>
      <w:r>
        <w:rPr>
          <w:w w:val="110"/>
          <w:sz w:val="16"/>
        </w:rPr>
        <w:t>objeto.</w:t>
      </w:r>
      <w:r>
        <w:rPr>
          <w:spacing w:val="-9"/>
          <w:w w:val="110"/>
          <w:sz w:val="16"/>
        </w:rPr>
        <w:t> </w:t>
      </w:r>
      <w:r>
        <w:rPr>
          <w:w w:val="110"/>
          <w:sz w:val="16"/>
        </w:rPr>
        <w:t>desde</w:t>
      </w:r>
      <w:r>
        <w:rPr>
          <w:spacing w:val="-9"/>
          <w:w w:val="110"/>
          <w:sz w:val="16"/>
        </w:rPr>
        <w:t> </w:t>
      </w:r>
      <w:r>
        <w:rPr>
          <w:w w:val="110"/>
          <w:sz w:val="16"/>
        </w:rPr>
        <w:t>un</w:t>
      </w:r>
      <w:r>
        <w:rPr>
          <w:spacing w:val="-9"/>
          <w:w w:val="110"/>
          <w:sz w:val="16"/>
        </w:rPr>
        <w:t> </w:t>
      </w:r>
      <w:r>
        <w:rPr>
          <w:w w:val="110"/>
          <w:sz w:val="16"/>
        </w:rPr>
        <w:t>punto</w:t>
      </w:r>
      <w:r>
        <w:rPr>
          <w:spacing w:val="-9"/>
          <w:w w:val="110"/>
          <w:sz w:val="16"/>
        </w:rPr>
        <w:t> </w:t>
      </w:r>
      <w:r>
        <w:rPr>
          <w:w w:val="110"/>
          <w:sz w:val="16"/>
        </w:rPr>
        <w:t>de</w:t>
      </w:r>
      <w:r>
        <w:rPr>
          <w:spacing w:val="-9"/>
          <w:w w:val="110"/>
          <w:sz w:val="16"/>
        </w:rPr>
        <w:t> </w:t>
      </w:r>
      <w:r>
        <w:rPr>
          <w:w w:val="110"/>
          <w:sz w:val="16"/>
        </w:rPr>
        <w:t>vista</w:t>
      </w:r>
      <w:r>
        <w:rPr>
          <w:spacing w:val="-9"/>
          <w:w w:val="110"/>
          <w:sz w:val="16"/>
        </w:rPr>
        <w:t> </w:t>
      </w:r>
      <w:r>
        <w:rPr>
          <w:w w:val="110"/>
          <w:sz w:val="16"/>
        </w:rPr>
        <w:t>amplio,</w:t>
      </w:r>
      <w:r>
        <w:rPr>
          <w:spacing w:val="-9"/>
          <w:w w:val="110"/>
          <w:sz w:val="16"/>
        </w:rPr>
        <w:t> </w:t>
      </w:r>
      <w:r>
        <w:rPr>
          <w:w w:val="110"/>
          <w:sz w:val="16"/>
        </w:rPr>
        <w:t>hay</w:t>
      </w:r>
      <w:r>
        <w:rPr>
          <w:spacing w:val="-9"/>
          <w:w w:val="110"/>
          <w:sz w:val="16"/>
        </w:rPr>
        <w:t> </w:t>
      </w:r>
      <w:r>
        <w:rPr>
          <w:w w:val="110"/>
          <w:sz w:val="16"/>
        </w:rPr>
        <w:t>grupos</w:t>
      </w:r>
      <w:r>
        <w:rPr>
          <w:spacing w:val="-9"/>
          <w:w w:val="110"/>
          <w:sz w:val="16"/>
        </w:rPr>
        <w:t> </w:t>
      </w:r>
      <w:r>
        <w:rPr>
          <w:w w:val="110"/>
          <w:sz w:val="16"/>
        </w:rPr>
        <w:t>que</w:t>
      </w:r>
      <w:r>
        <w:rPr>
          <w:spacing w:val="-9"/>
          <w:w w:val="110"/>
          <w:sz w:val="16"/>
        </w:rPr>
        <w:t> </w:t>
      </w:r>
      <w:r>
        <w:rPr>
          <w:w w:val="110"/>
          <w:sz w:val="16"/>
        </w:rPr>
        <w:t>tienen </w:t>
      </w:r>
      <w:r>
        <w:rPr>
          <w:w w:val="104"/>
          <w:sz w:val="16"/>
        </w:rPr>
        <w:t>el</w:t>
      </w:r>
      <w:r>
        <w:rPr>
          <w:sz w:val="16"/>
        </w:rPr>
        <w:t> </w:t>
      </w:r>
      <w:r>
        <w:rPr>
          <w:spacing w:val="-16"/>
          <w:sz w:val="16"/>
        </w:rPr>
        <w:t> </w:t>
      </w:r>
      <w:r>
        <w:rPr>
          <w:w w:val="105"/>
          <w:sz w:val="16"/>
        </w:rPr>
        <w:t>poder</w:t>
      </w:r>
      <w:r>
        <w:rPr>
          <w:sz w:val="16"/>
        </w:rPr>
        <w:t> </w:t>
      </w:r>
      <w:r>
        <w:rPr>
          <w:spacing w:val="-16"/>
          <w:sz w:val="16"/>
        </w:rPr>
        <w:t> </w:t>
      </w:r>
      <w:r>
        <w:rPr>
          <w:w w:val="104"/>
          <w:sz w:val="16"/>
        </w:rPr>
        <w:t>de</w:t>
      </w:r>
      <w:r>
        <w:rPr>
          <w:sz w:val="16"/>
        </w:rPr>
        <w:t> </w:t>
      </w:r>
      <w:r>
        <w:rPr>
          <w:spacing w:val="-16"/>
          <w:sz w:val="16"/>
        </w:rPr>
        <w:t> </w:t>
      </w:r>
      <w:r>
        <w:rPr>
          <w:w w:val="108"/>
          <w:sz w:val="16"/>
        </w:rPr>
        <w:t>influenciar</w:t>
      </w:r>
      <w:r>
        <w:rPr>
          <w:sz w:val="16"/>
        </w:rPr>
        <w:t> </w:t>
      </w:r>
      <w:r>
        <w:rPr>
          <w:spacing w:val="-16"/>
          <w:sz w:val="16"/>
        </w:rPr>
        <w:t> </w:t>
      </w:r>
      <w:r>
        <w:rPr>
          <w:w w:val="107"/>
          <w:sz w:val="16"/>
        </w:rPr>
        <w:t>las</w:t>
      </w:r>
      <w:r>
        <w:rPr>
          <w:sz w:val="16"/>
        </w:rPr>
        <w:t> </w:t>
      </w:r>
      <w:r>
        <w:rPr>
          <w:spacing w:val="-16"/>
          <w:sz w:val="16"/>
        </w:rPr>
        <w:t> </w:t>
      </w:r>
      <w:r>
        <w:rPr>
          <w:w w:val="107"/>
          <w:sz w:val="16"/>
        </w:rPr>
        <w:t>actitudes</w:t>
      </w:r>
      <w:r>
        <w:rPr>
          <w:sz w:val="16"/>
        </w:rPr>
        <w:t> </w:t>
      </w:r>
      <w:r>
        <w:rPr>
          <w:spacing w:val="-16"/>
          <w:sz w:val="16"/>
        </w:rPr>
        <w:t> </w:t>
      </w:r>
      <w:r>
        <w:rPr>
          <w:w w:val="102"/>
          <w:sz w:val="16"/>
        </w:rPr>
        <w:t>e</w:t>
      </w:r>
      <w:r>
        <w:rPr>
          <w:sz w:val="16"/>
        </w:rPr>
        <w:t> </w:t>
      </w:r>
      <w:r>
        <w:rPr>
          <w:spacing w:val="-16"/>
          <w:sz w:val="16"/>
        </w:rPr>
        <w:t> </w:t>
      </w:r>
      <w:r>
        <w:rPr>
          <w:w w:val="106"/>
          <w:sz w:val="16"/>
        </w:rPr>
        <w:t>ideas</w:t>
      </w:r>
      <w:r>
        <w:rPr>
          <w:sz w:val="16"/>
        </w:rPr>
        <w:t> </w:t>
      </w:r>
      <w:r>
        <w:rPr>
          <w:spacing w:val="-16"/>
          <w:sz w:val="16"/>
        </w:rPr>
        <w:t> </w:t>
      </w:r>
      <w:r>
        <w:rPr>
          <w:w w:val="104"/>
          <w:sz w:val="16"/>
        </w:rPr>
        <w:t>de</w:t>
      </w:r>
      <w:r>
        <w:rPr>
          <w:sz w:val="16"/>
        </w:rPr>
        <w:t> </w:t>
      </w:r>
      <w:r>
        <w:rPr>
          <w:spacing w:val="-16"/>
          <w:sz w:val="16"/>
        </w:rPr>
        <w:t> </w:t>
      </w:r>
      <w:r>
        <w:rPr>
          <w:w w:val="110"/>
          <w:sz w:val="16"/>
        </w:rPr>
        <w:t>un</w:t>
      </w:r>
      <w:r>
        <w:rPr>
          <w:sz w:val="16"/>
        </w:rPr>
        <w:t> </w:t>
      </w:r>
      <w:r>
        <w:rPr>
          <w:spacing w:val="-16"/>
          <w:sz w:val="16"/>
        </w:rPr>
        <w:t> </w:t>
      </w:r>
      <w:r>
        <w:rPr>
          <w:w w:val="109"/>
          <w:sz w:val="16"/>
        </w:rPr>
        <w:t>público</w:t>
      </w:r>
      <w:r>
        <w:rPr>
          <w:sz w:val="16"/>
        </w:rPr>
        <w:t> </w:t>
      </w:r>
      <w:r>
        <w:rPr>
          <w:spacing w:val="-16"/>
          <w:sz w:val="16"/>
        </w:rPr>
        <w:t> </w:t>
      </w:r>
      <w:r>
        <w:rPr>
          <w:w w:val="107"/>
          <w:sz w:val="16"/>
        </w:rPr>
        <w:t>mayo</w:t>
      </w:r>
      <w:r>
        <w:rPr>
          <w:spacing w:val="-18"/>
          <w:w w:val="107"/>
          <w:sz w:val="16"/>
        </w:rPr>
        <w:t>r</w:t>
      </w:r>
      <w:r>
        <w:rPr>
          <w:w w:val="135"/>
          <w:sz w:val="16"/>
        </w:rPr>
        <w:t>.</w:t>
      </w:r>
      <w:r>
        <w:rPr>
          <w:sz w:val="16"/>
        </w:rPr>
        <w:t> </w:t>
      </w:r>
      <w:r>
        <w:rPr>
          <w:spacing w:val="-16"/>
          <w:sz w:val="16"/>
        </w:rPr>
        <w:t> </w:t>
      </w:r>
      <w:r>
        <w:rPr>
          <w:w w:val="238"/>
          <w:sz w:val="16"/>
        </w:rPr>
        <w:t>l</w:t>
      </w:r>
      <w:r>
        <w:rPr>
          <w:w w:val="106"/>
          <w:sz w:val="16"/>
        </w:rPr>
        <w:t>as</w:t>
      </w:r>
      <w:r>
        <w:rPr>
          <w:sz w:val="16"/>
        </w:rPr>
        <w:t> </w:t>
      </w:r>
      <w:r>
        <w:rPr>
          <w:spacing w:val="-16"/>
          <w:sz w:val="16"/>
        </w:rPr>
        <w:t> </w:t>
      </w:r>
      <w:r>
        <w:rPr>
          <w:w w:val="106"/>
          <w:sz w:val="16"/>
        </w:rPr>
        <w:t>nuevas</w:t>
      </w:r>
      <w:r>
        <w:rPr>
          <w:sz w:val="16"/>
        </w:rPr>
        <w:t> </w:t>
      </w:r>
      <w:r>
        <w:rPr>
          <w:spacing w:val="-16"/>
          <w:sz w:val="16"/>
        </w:rPr>
        <w:t> </w:t>
      </w:r>
      <w:r>
        <w:rPr>
          <w:w w:val="106"/>
          <w:sz w:val="16"/>
        </w:rPr>
        <w:t>ideas </w:t>
      </w:r>
      <w:r>
        <w:rPr>
          <w:w w:val="110"/>
          <w:sz w:val="16"/>
        </w:rPr>
        <w:t>buscan constantemente un lugar para insertarse en un esquema de cosas [pero] la opinión pública es lenta, reaccionaria, no acepta fácilmente nuevas ideas. El</w:t>
      </w:r>
      <w:r>
        <w:rPr>
          <w:spacing w:val="-21"/>
          <w:w w:val="110"/>
          <w:sz w:val="16"/>
        </w:rPr>
        <w:t> </w:t>
      </w:r>
      <w:r>
        <w:rPr>
          <w:w w:val="110"/>
          <w:sz w:val="16"/>
        </w:rPr>
        <w:t>innova- </w:t>
      </w:r>
      <w:r>
        <w:rPr>
          <w:spacing w:val="-5"/>
          <w:w w:val="110"/>
          <w:sz w:val="16"/>
        </w:rPr>
        <w:t>dor, </w:t>
      </w:r>
      <w:r>
        <w:rPr>
          <w:w w:val="110"/>
          <w:sz w:val="16"/>
        </w:rPr>
        <w:t>el </w:t>
      </w:r>
      <w:r>
        <w:rPr>
          <w:spacing w:val="-3"/>
          <w:w w:val="110"/>
          <w:sz w:val="16"/>
        </w:rPr>
        <w:t>líder, </w:t>
      </w:r>
      <w:r>
        <w:rPr>
          <w:w w:val="110"/>
          <w:sz w:val="16"/>
        </w:rPr>
        <w:t>el forjador de nuevas ideas debe necesariamente desarrollar una nueva técnica, la psicología de la persuasión pública” (bernays, 1928: 959). Esta noción se reforzó con la institucionalización de la guerra psicológica durante la Guerra Fría (institucionalización en la que jugó un rol fundamental la academia, en particular las teorías de la comunicación, de la mano de hombres como bernays), y presenta especial</w:t>
      </w:r>
      <w:r>
        <w:rPr>
          <w:spacing w:val="-14"/>
          <w:w w:val="110"/>
          <w:sz w:val="16"/>
        </w:rPr>
        <w:t> </w:t>
      </w:r>
      <w:r>
        <w:rPr>
          <w:w w:val="110"/>
          <w:sz w:val="16"/>
        </w:rPr>
        <w:t>utilidad</w:t>
      </w:r>
      <w:r>
        <w:rPr>
          <w:spacing w:val="-14"/>
          <w:w w:val="110"/>
          <w:sz w:val="16"/>
        </w:rPr>
        <w:t> </w:t>
      </w:r>
      <w:r>
        <w:rPr>
          <w:w w:val="110"/>
          <w:sz w:val="16"/>
        </w:rPr>
        <w:t>sobre</w:t>
      </w:r>
      <w:r>
        <w:rPr>
          <w:spacing w:val="-14"/>
          <w:w w:val="110"/>
          <w:sz w:val="16"/>
        </w:rPr>
        <w:t> </w:t>
      </w:r>
      <w:r>
        <w:rPr>
          <w:w w:val="110"/>
          <w:sz w:val="16"/>
        </w:rPr>
        <w:t>todo</w:t>
      </w:r>
      <w:r>
        <w:rPr>
          <w:spacing w:val="-14"/>
          <w:w w:val="110"/>
          <w:sz w:val="16"/>
        </w:rPr>
        <w:t> </w:t>
      </w:r>
      <w:r>
        <w:rPr>
          <w:w w:val="110"/>
          <w:sz w:val="16"/>
        </w:rPr>
        <w:t>en</w:t>
      </w:r>
      <w:r>
        <w:rPr>
          <w:spacing w:val="-14"/>
          <w:w w:val="110"/>
          <w:sz w:val="16"/>
        </w:rPr>
        <w:t> </w:t>
      </w:r>
      <w:r>
        <w:rPr>
          <w:w w:val="110"/>
          <w:sz w:val="16"/>
        </w:rPr>
        <w:t>períodos</w:t>
      </w:r>
      <w:r>
        <w:rPr>
          <w:spacing w:val="-14"/>
          <w:w w:val="110"/>
          <w:sz w:val="16"/>
        </w:rPr>
        <w:t> </w:t>
      </w:r>
      <w:r>
        <w:rPr>
          <w:w w:val="110"/>
          <w:sz w:val="16"/>
        </w:rPr>
        <w:t>de</w:t>
      </w:r>
      <w:r>
        <w:rPr>
          <w:spacing w:val="-14"/>
          <w:w w:val="110"/>
          <w:sz w:val="16"/>
        </w:rPr>
        <w:t> </w:t>
      </w:r>
      <w:r>
        <w:rPr>
          <w:w w:val="110"/>
          <w:sz w:val="16"/>
        </w:rPr>
        <w:t>crisis</w:t>
      </w:r>
      <w:r>
        <w:rPr>
          <w:spacing w:val="-14"/>
          <w:w w:val="110"/>
          <w:sz w:val="16"/>
        </w:rPr>
        <w:t> </w:t>
      </w:r>
      <w:r>
        <w:rPr>
          <w:w w:val="110"/>
          <w:sz w:val="16"/>
        </w:rPr>
        <w:t>(como</w:t>
      </w:r>
      <w:r>
        <w:rPr>
          <w:spacing w:val="-14"/>
          <w:w w:val="110"/>
          <w:sz w:val="16"/>
        </w:rPr>
        <w:t> </w:t>
      </w:r>
      <w:r>
        <w:rPr>
          <w:w w:val="110"/>
          <w:sz w:val="16"/>
        </w:rPr>
        <w:t>lo</w:t>
      </w:r>
      <w:r>
        <w:rPr>
          <w:spacing w:val="-14"/>
          <w:w w:val="110"/>
          <w:sz w:val="16"/>
        </w:rPr>
        <w:t> </w:t>
      </w:r>
      <w:r>
        <w:rPr>
          <w:w w:val="110"/>
          <w:sz w:val="16"/>
        </w:rPr>
        <w:t>fue</w:t>
      </w:r>
      <w:r>
        <w:rPr>
          <w:spacing w:val="-14"/>
          <w:w w:val="110"/>
          <w:sz w:val="16"/>
        </w:rPr>
        <w:t> </w:t>
      </w:r>
      <w:r>
        <w:rPr>
          <w:w w:val="110"/>
          <w:sz w:val="16"/>
        </w:rPr>
        <w:t>la</w:t>
      </w:r>
      <w:r>
        <w:rPr>
          <w:spacing w:val="-14"/>
          <w:w w:val="110"/>
          <w:sz w:val="16"/>
        </w:rPr>
        <w:t> </w:t>
      </w:r>
      <w:r>
        <w:rPr>
          <w:w w:val="110"/>
          <w:sz w:val="16"/>
        </w:rPr>
        <w:t>intervención</w:t>
      </w:r>
      <w:r>
        <w:rPr>
          <w:spacing w:val="-14"/>
          <w:w w:val="110"/>
          <w:sz w:val="16"/>
        </w:rPr>
        <w:t> </w:t>
      </w:r>
      <w:r>
        <w:rPr>
          <w:w w:val="110"/>
          <w:sz w:val="16"/>
        </w:rPr>
        <w:t>en</w:t>
      </w:r>
      <w:r>
        <w:rPr>
          <w:spacing w:val="-14"/>
          <w:w w:val="110"/>
          <w:sz w:val="16"/>
        </w:rPr>
        <w:t> </w:t>
      </w:r>
      <w:r>
        <w:rPr>
          <w:w w:val="110"/>
          <w:sz w:val="16"/>
        </w:rPr>
        <w:t>Viet- </w:t>
      </w:r>
      <w:r>
        <w:rPr>
          <w:w w:val="112"/>
          <w:sz w:val="16"/>
        </w:rPr>
        <w:t>nam,</w:t>
      </w:r>
      <w:r>
        <w:rPr>
          <w:spacing w:val="6"/>
          <w:sz w:val="16"/>
        </w:rPr>
        <w:t> </w:t>
      </w:r>
      <w:r>
        <w:rPr>
          <w:w w:val="108"/>
          <w:sz w:val="16"/>
        </w:rPr>
        <w:t>o</w:t>
      </w:r>
      <w:r>
        <w:rPr>
          <w:spacing w:val="6"/>
          <w:sz w:val="16"/>
        </w:rPr>
        <w:t> </w:t>
      </w:r>
      <w:r>
        <w:rPr>
          <w:w w:val="109"/>
          <w:sz w:val="16"/>
        </w:rPr>
        <w:t>la</w:t>
      </w:r>
      <w:r>
        <w:rPr>
          <w:spacing w:val="6"/>
          <w:sz w:val="16"/>
        </w:rPr>
        <w:t> </w:t>
      </w:r>
      <w:r>
        <w:rPr>
          <w:w w:val="107"/>
          <w:sz w:val="16"/>
        </w:rPr>
        <w:t>debacle</w:t>
      </w:r>
      <w:r>
        <w:rPr>
          <w:spacing w:val="6"/>
          <w:sz w:val="16"/>
        </w:rPr>
        <w:t> </w:t>
      </w:r>
      <w:r>
        <w:rPr>
          <w:w w:val="109"/>
          <w:sz w:val="16"/>
        </w:rPr>
        <w:t>económica</w:t>
      </w:r>
      <w:r>
        <w:rPr>
          <w:spacing w:val="6"/>
          <w:sz w:val="16"/>
        </w:rPr>
        <w:t> </w:t>
      </w:r>
      <w:r>
        <w:rPr>
          <w:w w:val="104"/>
          <w:sz w:val="16"/>
        </w:rPr>
        <w:t>desde</w:t>
      </w:r>
      <w:r>
        <w:rPr>
          <w:spacing w:val="6"/>
          <w:sz w:val="16"/>
        </w:rPr>
        <w:t> </w:t>
      </w:r>
      <w:r>
        <w:rPr>
          <w:w w:val="102"/>
          <w:sz w:val="16"/>
        </w:rPr>
        <w:t>2008).</w:t>
      </w:r>
      <w:r>
        <w:rPr>
          <w:spacing w:val="6"/>
          <w:sz w:val="16"/>
        </w:rPr>
        <w:t> </w:t>
      </w:r>
      <w:r>
        <w:rPr>
          <w:w w:val="238"/>
          <w:sz w:val="16"/>
        </w:rPr>
        <w:t>l</w:t>
      </w:r>
      <w:r>
        <w:rPr>
          <w:w w:val="109"/>
          <w:sz w:val="16"/>
        </w:rPr>
        <w:t>a</w:t>
      </w:r>
      <w:r>
        <w:rPr>
          <w:spacing w:val="6"/>
          <w:sz w:val="16"/>
        </w:rPr>
        <w:t> </w:t>
      </w:r>
      <w:r>
        <w:rPr>
          <w:w w:val="109"/>
          <w:sz w:val="16"/>
        </w:rPr>
        <w:t>actitud</w:t>
      </w:r>
      <w:r>
        <w:rPr>
          <w:spacing w:val="6"/>
          <w:sz w:val="16"/>
        </w:rPr>
        <w:t> </w:t>
      </w:r>
      <w:r>
        <w:rPr>
          <w:w w:val="109"/>
          <w:sz w:val="16"/>
        </w:rPr>
        <w:t>crítica</w:t>
      </w:r>
      <w:r>
        <w:rPr>
          <w:spacing w:val="6"/>
          <w:sz w:val="16"/>
        </w:rPr>
        <w:t> </w:t>
      </w:r>
      <w:r>
        <w:rPr>
          <w:w w:val="105"/>
          <w:sz w:val="16"/>
        </w:rPr>
        <w:t>frente</w:t>
      </w:r>
      <w:r>
        <w:rPr>
          <w:spacing w:val="6"/>
          <w:sz w:val="16"/>
        </w:rPr>
        <w:t> </w:t>
      </w:r>
      <w:r>
        <w:rPr>
          <w:w w:val="109"/>
          <w:sz w:val="16"/>
        </w:rPr>
        <w:t>a</w:t>
      </w:r>
      <w:r>
        <w:rPr>
          <w:spacing w:val="6"/>
          <w:sz w:val="16"/>
        </w:rPr>
        <w:t> </w:t>
      </w:r>
      <w:r>
        <w:rPr>
          <w:w w:val="105"/>
          <w:sz w:val="16"/>
        </w:rPr>
        <w:t>esta</w:t>
      </w:r>
      <w:r>
        <w:rPr>
          <w:spacing w:val="6"/>
          <w:sz w:val="16"/>
        </w:rPr>
        <w:t> </w:t>
      </w:r>
      <w:r>
        <w:rPr>
          <w:w w:val="109"/>
          <w:sz w:val="16"/>
        </w:rPr>
        <w:t>concepción </w:t>
      </w:r>
      <w:r>
        <w:rPr>
          <w:w w:val="110"/>
          <w:sz w:val="16"/>
        </w:rPr>
        <w:t>de opinión pública, implica cuestionar la idea implícita de comunicación (que esta- ría</w:t>
      </w:r>
      <w:r>
        <w:rPr>
          <w:spacing w:val="-4"/>
          <w:w w:val="110"/>
          <w:sz w:val="16"/>
        </w:rPr>
        <w:t> </w:t>
      </w:r>
      <w:r>
        <w:rPr>
          <w:w w:val="110"/>
          <w:sz w:val="16"/>
        </w:rPr>
        <w:t>especialmente</w:t>
      </w:r>
      <w:r>
        <w:rPr>
          <w:spacing w:val="-4"/>
          <w:w w:val="110"/>
          <w:sz w:val="16"/>
        </w:rPr>
        <w:t> </w:t>
      </w:r>
      <w:r>
        <w:rPr>
          <w:w w:val="110"/>
          <w:sz w:val="16"/>
        </w:rPr>
        <w:t>orientada</w:t>
      </w:r>
      <w:r>
        <w:rPr>
          <w:spacing w:val="-4"/>
          <w:w w:val="110"/>
          <w:sz w:val="16"/>
        </w:rPr>
        <w:t> </w:t>
      </w:r>
      <w:r>
        <w:rPr>
          <w:w w:val="110"/>
          <w:sz w:val="16"/>
        </w:rPr>
        <w:t>a</w:t>
      </w:r>
      <w:r>
        <w:rPr>
          <w:spacing w:val="-4"/>
          <w:w w:val="110"/>
          <w:sz w:val="16"/>
        </w:rPr>
        <w:t> </w:t>
      </w:r>
      <w:r>
        <w:rPr>
          <w:w w:val="110"/>
          <w:sz w:val="16"/>
        </w:rPr>
        <w:t>la</w:t>
      </w:r>
      <w:r>
        <w:rPr>
          <w:spacing w:val="-4"/>
          <w:w w:val="110"/>
          <w:sz w:val="16"/>
        </w:rPr>
        <w:t> </w:t>
      </w:r>
      <w:r>
        <w:rPr>
          <w:w w:val="110"/>
          <w:sz w:val="16"/>
        </w:rPr>
        <w:t>persuasión),</w:t>
      </w:r>
      <w:r>
        <w:rPr>
          <w:spacing w:val="-4"/>
          <w:w w:val="110"/>
          <w:sz w:val="16"/>
        </w:rPr>
        <w:t> </w:t>
      </w:r>
      <w:r>
        <w:rPr>
          <w:w w:val="110"/>
          <w:sz w:val="16"/>
        </w:rPr>
        <w:t>que</w:t>
      </w:r>
      <w:r>
        <w:rPr>
          <w:spacing w:val="-4"/>
          <w:w w:val="110"/>
          <w:sz w:val="16"/>
        </w:rPr>
        <w:t> </w:t>
      </w:r>
      <w:r>
        <w:rPr>
          <w:w w:val="110"/>
          <w:sz w:val="16"/>
        </w:rPr>
        <w:t>desde</w:t>
      </w:r>
      <w:r>
        <w:rPr>
          <w:spacing w:val="-4"/>
          <w:w w:val="110"/>
          <w:sz w:val="16"/>
        </w:rPr>
        <w:t> </w:t>
      </w:r>
      <w:r>
        <w:rPr>
          <w:w w:val="110"/>
          <w:sz w:val="16"/>
        </w:rPr>
        <w:t>otro</w:t>
      </w:r>
      <w:r>
        <w:rPr>
          <w:spacing w:val="-4"/>
          <w:w w:val="110"/>
          <w:sz w:val="16"/>
        </w:rPr>
        <w:t> </w:t>
      </w:r>
      <w:r>
        <w:rPr>
          <w:w w:val="110"/>
          <w:sz w:val="16"/>
        </w:rPr>
        <w:t>lugar</w:t>
      </w:r>
      <w:r>
        <w:rPr>
          <w:spacing w:val="-4"/>
          <w:w w:val="110"/>
          <w:sz w:val="16"/>
        </w:rPr>
        <w:t> </w:t>
      </w:r>
      <w:r>
        <w:rPr>
          <w:w w:val="110"/>
          <w:sz w:val="16"/>
        </w:rPr>
        <w:t>puede</w:t>
      </w:r>
      <w:r>
        <w:rPr>
          <w:spacing w:val="-4"/>
          <w:w w:val="110"/>
          <w:sz w:val="16"/>
        </w:rPr>
        <w:t> </w:t>
      </w:r>
      <w:r>
        <w:rPr>
          <w:w w:val="110"/>
          <w:sz w:val="16"/>
        </w:rPr>
        <w:t>orientarse a desentrañar los intereses de fondo del discurso/prácticas hegemónicas que</w:t>
      </w:r>
      <w:r>
        <w:rPr>
          <w:spacing w:val="-14"/>
          <w:w w:val="110"/>
          <w:sz w:val="16"/>
        </w:rPr>
        <w:t> </w:t>
      </w:r>
      <w:r>
        <w:rPr>
          <w:w w:val="110"/>
          <w:sz w:val="16"/>
        </w:rPr>
        <w:t>busca legitimar</w:t>
      </w:r>
      <w:r>
        <w:rPr>
          <w:spacing w:val="-16"/>
          <w:w w:val="110"/>
          <w:sz w:val="16"/>
        </w:rPr>
        <w:t> </w:t>
      </w:r>
      <w:r>
        <w:rPr>
          <w:w w:val="110"/>
          <w:sz w:val="16"/>
        </w:rPr>
        <w:t>un</w:t>
      </w:r>
      <w:r>
        <w:rPr>
          <w:spacing w:val="-16"/>
          <w:w w:val="110"/>
          <w:sz w:val="16"/>
        </w:rPr>
        <w:t> </w:t>
      </w:r>
      <w:r>
        <w:rPr>
          <w:w w:val="110"/>
          <w:sz w:val="16"/>
        </w:rPr>
        <w:t>estado</w:t>
      </w:r>
      <w:r>
        <w:rPr>
          <w:spacing w:val="-16"/>
          <w:w w:val="110"/>
          <w:sz w:val="16"/>
        </w:rPr>
        <w:t> </w:t>
      </w:r>
      <w:r>
        <w:rPr>
          <w:w w:val="110"/>
          <w:sz w:val="16"/>
        </w:rPr>
        <w:t>de</w:t>
      </w:r>
      <w:r>
        <w:rPr>
          <w:spacing w:val="-16"/>
          <w:w w:val="110"/>
          <w:sz w:val="16"/>
        </w:rPr>
        <w:t> </w:t>
      </w:r>
      <w:r>
        <w:rPr>
          <w:w w:val="110"/>
          <w:sz w:val="16"/>
        </w:rPr>
        <w:t>cosas</w:t>
      </w:r>
      <w:r>
        <w:rPr>
          <w:spacing w:val="-16"/>
          <w:w w:val="110"/>
          <w:sz w:val="16"/>
        </w:rPr>
        <w:t> </w:t>
      </w:r>
      <w:r>
        <w:rPr>
          <w:w w:val="110"/>
          <w:sz w:val="16"/>
        </w:rPr>
        <w:t>favorable</w:t>
      </w:r>
      <w:r>
        <w:rPr>
          <w:spacing w:val="-16"/>
          <w:w w:val="110"/>
          <w:sz w:val="16"/>
        </w:rPr>
        <w:t> </w:t>
      </w:r>
      <w:r>
        <w:rPr>
          <w:w w:val="110"/>
          <w:sz w:val="16"/>
        </w:rPr>
        <w:t>a</w:t>
      </w:r>
      <w:r>
        <w:rPr>
          <w:spacing w:val="-16"/>
          <w:w w:val="110"/>
          <w:sz w:val="16"/>
        </w:rPr>
        <w:t> </w:t>
      </w:r>
      <w:r>
        <w:rPr>
          <w:w w:val="110"/>
          <w:sz w:val="16"/>
        </w:rPr>
        <w:t>la</w:t>
      </w:r>
      <w:r>
        <w:rPr>
          <w:spacing w:val="-16"/>
          <w:w w:val="110"/>
          <w:sz w:val="16"/>
        </w:rPr>
        <w:t> </w:t>
      </w:r>
      <w:r>
        <w:rPr>
          <w:w w:val="110"/>
          <w:sz w:val="16"/>
        </w:rPr>
        <w:t>reproducción</w:t>
      </w:r>
      <w:r>
        <w:rPr>
          <w:spacing w:val="-16"/>
          <w:w w:val="110"/>
          <w:sz w:val="16"/>
        </w:rPr>
        <w:t> </w:t>
      </w:r>
      <w:r>
        <w:rPr>
          <w:w w:val="110"/>
          <w:sz w:val="16"/>
        </w:rPr>
        <w:t>del</w:t>
      </w:r>
      <w:r>
        <w:rPr>
          <w:spacing w:val="-16"/>
          <w:w w:val="110"/>
          <w:sz w:val="16"/>
        </w:rPr>
        <w:t> </w:t>
      </w:r>
      <w:r>
        <w:rPr>
          <w:w w:val="110"/>
          <w:sz w:val="16"/>
        </w:rPr>
        <w:t>capital</w:t>
      </w:r>
      <w:r>
        <w:rPr>
          <w:spacing w:val="-16"/>
          <w:w w:val="110"/>
          <w:sz w:val="16"/>
        </w:rPr>
        <w:t> </w:t>
      </w:r>
      <w:r>
        <w:rPr>
          <w:w w:val="110"/>
          <w:sz w:val="16"/>
        </w:rPr>
        <w:t>(Mattelart,</w:t>
      </w:r>
      <w:r>
        <w:rPr>
          <w:spacing w:val="-16"/>
          <w:w w:val="110"/>
          <w:sz w:val="16"/>
        </w:rPr>
        <w:t> </w:t>
      </w:r>
      <w:r>
        <w:rPr>
          <w:w w:val="110"/>
          <w:sz w:val="16"/>
        </w:rPr>
        <w:t>2003).</w:t>
      </w:r>
    </w:p>
    <w:p>
      <w:pPr>
        <w:spacing w:after="0" w:line="242" w:lineRule="auto"/>
        <w:jc w:val="both"/>
        <w:rPr>
          <w:sz w:val="16"/>
        </w:rPr>
        <w:sectPr>
          <w:pgSz w:w="8790" w:h="12760"/>
          <w:pgMar w:header="695" w:footer="723" w:top="880" w:bottom="920" w:left="900" w:right="1200"/>
        </w:sectPr>
      </w:pPr>
    </w:p>
    <w:p>
      <w:pPr>
        <w:pStyle w:val="BodyText"/>
        <w:spacing w:before="6"/>
        <w:rPr>
          <w:sz w:val="28"/>
        </w:rPr>
      </w:pPr>
    </w:p>
    <w:p>
      <w:pPr>
        <w:pStyle w:val="BodyText"/>
        <w:spacing w:line="252" w:lineRule="auto" w:before="74"/>
        <w:ind w:left="330" w:right="117"/>
        <w:jc w:val="both"/>
        <w:rPr>
          <w:sz w:val="11"/>
        </w:rPr>
      </w:pPr>
      <w:r>
        <w:rPr>
          <w:w w:val="110"/>
        </w:rPr>
        <w:t>conmemoración oficial de la guerra.</w:t>
      </w:r>
      <w:r>
        <w:rPr>
          <w:w w:val="110"/>
          <w:position w:val="6"/>
          <w:sz w:val="11"/>
        </w:rPr>
        <w:t>3 </w:t>
      </w:r>
      <w:r>
        <w:rPr>
          <w:w w:val="110"/>
        </w:rPr>
        <w:t>Compartiremos asimismo algu- nas reflexiones puntuales sobre el modo en que la página web oficial de Conmemoración de Vietnam busca ocultar los aspectos más con- troversiales de la guerra, mientras destaca los logros militares. así, proponemos recordar qué sucedió en Vietnam y en Estados unidos durante dicha invasión; qué propone actualmente el gobierno que se recuerde de Vietnam, qué se dice, qué se calla. Entendemos que en particular la guerra de Vietnam y el modo en que el gobierno</w:t>
      </w:r>
      <w:r>
        <w:rPr>
          <w:spacing w:val="-28"/>
          <w:w w:val="110"/>
        </w:rPr>
        <w:t> </w:t>
      </w:r>
      <w:r>
        <w:rPr>
          <w:w w:val="110"/>
        </w:rPr>
        <w:t>pretende conmemorarla, representa el corolario de la militarización de la eco- </w:t>
      </w:r>
      <w:r>
        <w:rPr>
          <w:w w:val="114"/>
        </w:rPr>
        <w:t>nomía,</w:t>
      </w:r>
      <w:r>
        <w:rPr>
          <w:spacing w:val="7"/>
        </w:rPr>
        <w:t> </w:t>
      </w:r>
      <w:r>
        <w:rPr>
          <w:w w:val="111"/>
        </w:rPr>
        <w:t>la</w:t>
      </w:r>
      <w:r>
        <w:rPr>
          <w:spacing w:val="7"/>
        </w:rPr>
        <w:t> </w:t>
      </w:r>
      <w:r>
        <w:rPr>
          <w:w w:val="111"/>
        </w:rPr>
        <w:t>política</w:t>
      </w:r>
      <w:r>
        <w:rPr>
          <w:spacing w:val="7"/>
        </w:rPr>
        <w:t> </w:t>
      </w:r>
      <w:r>
        <w:rPr>
          <w:w w:val="105"/>
        </w:rPr>
        <w:t>y</w:t>
      </w:r>
      <w:r>
        <w:rPr>
          <w:spacing w:val="7"/>
        </w:rPr>
        <w:t> </w:t>
      </w:r>
      <w:r>
        <w:rPr>
          <w:w w:val="111"/>
        </w:rPr>
        <w:t>la</w:t>
      </w:r>
      <w:r>
        <w:rPr>
          <w:spacing w:val="7"/>
        </w:rPr>
        <w:t> </w:t>
      </w:r>
      <w:r>
        <w:rPr>
          <w:w w:val="110"/>
        </w:rPr>
        <w:t>sociedad</w:t>
      </w:r>
      <w:r>
        <w:rPr>
          <w:spacing w:val="7"/>
        </w:rPr>
        <w:t> </w:t>
      </w:r>
      <w:r>
        <w:rPr>
          <w:w w:val="108"/>
        </w:rPr>
        <w:t>estadounidense:</w:t>
      </w:r>
      <w:r>
        <w:rPr>
          <w:spacing w:val="7"/>
        </w:rPr>
        <w:t> </w:t>
      </w:r>
      <w:r>
        <w:rPr>
          <w:w w:val="115"/>
        </w:rPr>
        <w:t>“</w:t>
      </w:r>
      <w:r>
        <w:rPr>
          <w:w w:val="243"/>
        </w:rPr>
        <w:t>l</w:t>
      </w:r>
      <w:r>
        <w:rPr>
          <w:w w:val="112"/>
        </w:rPr>
        <w:t>a</w:t>
      </w:r>
      <w:r>
        <w:rPr>
          <w:spacing w:val="7"/>
        </w:rPr>
        <w:t> </w:t>
      </w:r>
      <w:r>
        <w:rPr>
          <w:w w:val="108"/>
        </w:rPr>
        <w:t>guerra</w:t>
      </w:r>
      <w:r>
        <w:rPr>
          <w:spacing w:val="7"/>
        </w:rPr>
        <w:t> </w:t>
      </w:r>
      <w:r>
        <w:rPr>
          <w:w w:val="105"/>
        </w:rPr>
        <w:t>es</w:t>
      </w:r>
      <w:r>
        <w:rPr>
          <w:spacing w:val="7"/>
        </w:rPr>
        <w:t> </w:t>
      </w:r>
      <w:r>
        <w:rPr>
          <w:w w:val="111"/>
        </w:rPr>
        <w:t>la</w:t>
      </w:r>
      <w:r>
        <w:rPr>
          <w:spacing w:val="7"/>
        </w:rPr>
        <w:t> </w:t>
      </w:r>
      <w:r>
        <w:rPr>
          <w:w w:val="110"/>
        </w:rPr>
        <w:t>salud </w:t>
      </w:r>
      <w:r>
        <w:rPr>
          <w:w w:val="110"/>
        </w:rPr>
        <w:t>del Estado”, tal como se percibió durante la Primera Guerra Mundial (Zinn, 2003:</w:t>
      </w:r>
      <w:r>
        <w:rPr>
          <w:spacing w:val="-11"/>
          <w:w w:val="110"/>
        </w:rPr>
        <w:t> </w:t>
      </w:r>
      <w:r>
        <w:rPr>
          <w:w w:val="110"/>
        </w:rPr>
        <w:t>77).</w:t>
      </w:r>
      <w:r>
        <w:rPr>
          <w:w w:val="110"/>
          <w:position w:val="6"/>
          <w:sz w:val="11"/>
        </w:rPr>
        <w:t>4</w:t>
      </w:r>
    </w:p>
    <w:p>
      <w:pPr>
        <w:pStyle w:val="BodyText"/>
        <w:spacing w:before="5"/>
      </w:pPr>
    </w:p>
    <w:p>
      <w:pPr>
        <w:pStyle w:val="Heading6"/>
        <w:ind w:left="331"/>
      </w:pPr>
      <w:r>
        <w:rPr>
          <w:w w:val="135"/>
        </w:rPr>
        <w:t>datos</w:t>
      </w:r>
      <w:r>
        <w:rPr>
          <w:spacing w:val="-54"/>
          <w:w w:val="135"/>
        </w:rPr>
        <w:t> </w:t>
      </w:r>
      <w:r>
        <w:rPr>
          <w:w w:val="135"/>
        </w:rPr>
        <w:t>MÍniMos</w:t>
      </w:r>
      <w:r>
        <w:rPr>
          <w:spacing w:val="-54"/>
          <w:w w:val="135"/>
        </w:rPr>
        <w:t> </w:t>
      </w:r>
      <w:r>
        <w:rPr>
          <w:w w:val="135"/>
        </w:rPr>
        <w:t>Para</w:t>
      </w:r>
      <w:r>
        <w:rPr>
          <w:spacing w:val="-54"/>
          <w:w w:val="135"/>
        </w:rPr>
        <w:t> </w:t>
      </w:r>
      <w:r>
        <w:rPr>
          <w:w w:val="135"/>
        </w:rPr>
        <w:t>no</w:t>
      </w:r>
      <w:r>
        <w:rPr>
          <w:spacing w:val="-54"/>
          <w:w w:val="135"/>
        </w:rPr>
        <w:t> </w:t>
      </w:r>
      <w:r>
        <w:rPr>
          <w:w w:val="135"/>
        </w:rPr>
        <w:t>olvidar</w:t>
      </w:r>
      <w:r>
        <w:rPr>
          <w:spacing w:val="-54"/>
          <w:w w:val="135"/>
        </w:rPr>
        <w:t> </w:t>
      </w:r>
      <w:r>
        <w:rPr>
          <w:spacing w:val="3"/>
          <w:w w:val="135"/>
        </w:rPr>
        <w:t>la</w:t>
      </w:r>
      <w:r>
        <w:rPr>
          <w:spacing w:val="-54"/>
          <w:w w:val="135"/>
        </w:rPr>
        <w:t> </w:t>
      </w:r>
      <w:r>
        <w:rPr>
          <w:w w:val="135"/>
        </w:rPr>
        <w:t>traGedia</w:t>
      </w:r>
    </w:p>
    <w:p>
      <w:pPr>
        <w:pStyle w:val="BodyText"/>
        <w:spacing w:line="252" w:lineRule="auto" w:before="10"/>
        <w:ind w:left="330" w:right="118"/>
        <w:jc w:val="both"/>
      </w:pPr>
      <w:r>
        <w:rPr>
          <w:w w:val="110"/>
        </w:rPr>
        <w:t>de acuerdo a una encuesta realizada recientemente por Gallup, un 51% de los estadounidenses de entre 18 y 29 años cree que la Gue- rra de Vietnam no fue un </w:t>
      </w:r>
      <w:r>
        <w:rPr>
          <w:spacing w:val="-4"/>
          <w:w w:val="110"/>
        </w:rPr>
        <w:t>error, </w:t>
      </w:r>
      <w:r>
        <w:rPr>
          <w:w w:val="110"/>
        </w:rPr>
        <w:t>que al contrario, valió la pena luchar (Kuznick, 2014: 124). Esta percepción no es algo </w:t>
      </w:r>
      <w:r>
        <w:rPr>
          <w:spacing w:val="-4"/>
          <w:w w:val="110"/>
        </w:rPr>
        <w:t>menor. </w:t>
      </w:r>
      <w:r>
        <w:rPr>
          <w:w w:val="110"/>
        </w:rPr>
        <w:t>Muestra, en- tre</w:t>
      </w:r>
      <w:r>
        <w:rPr>
          <w:spacing w:val="-4"/>
          <w:w w:val="110"/>
        </w:rPr>
        <w:t> </w:t>
      </w:r>
      <w:r>
        <w:rPr>
          <w:w w:val="110"/>
        </w:rPr>
        <w:t>otras</w:t>
      </w:r>
      <w:r>
        <w:rPr>
          <w:spacing w:val="-4"/>
          <w:w w:val="110"/>
        </w:rPr>
        <w:t> </w:t>
      </w:r>
      <w:r>
        <w:rPr>
          <w:w w:val="110"/>
        </w:rPr>
        <w:t>cuestiones,</w:t>
      </w:r>
      <w:r>
        <w:rPr>
          <w:spacing w:val="-4"/>
          <w:w w:val="110"/>
        </w:rPr>
        <w:t> </w:t>
      </w:r>
      <w:r>
        <w:rPr>
          <w:w w:val="110"/>
        </w:rPr>
        <w:t>la</w:t>
      </w:r>
      <w:r>
        <w:rPr>
          <w:spacing w:val="-4"/>
          <w:w w:val="110"/>
        </w:rPr>
        <w:t> </w:t>
      </w:r>
      <w:r>
        <w:rPr>
          <w:w w:val="110"/>
        </w:rPr>
        <w:t>desmemoria</w:t>
      </w:r>
      <w:r>
        <w:rPr>
          <w:spacing w:val="-4"/>
          <w:w w:val="110"/>
        </w:rPr>
        <w:t> </w:t>
      </w:r>
      <w:r>
        <w:rPr>
          <w:w w:val="110"/>
        </w:rPr>
        <w:t>sobre</w:t>
      </w:r>
      <w:r>
        <w:rPr>
          <w:spacing w:val="-4"/>
          <w:w w:val="110"/>
        </w:rPr>
        <w:t> </w:t>
      </w:r>
      <w:r>
        <w:rPr>
          <w:w w:val="110"/>
        </w:rPr>
        <w:t>un</w:t>
      </w:r>
      <w:r>
        <w:rPr>
          <w:spacing w:val="-4"/>
          <w:w w:val="110"/>
        </w:rPr>
        <w:t> </w:t>
      </w:r>
      <w:r>
        <w:rPr>
          <w:w w:val="110"/>
        </w:rPr>
        <w:t>hecho</w:t>
      </w:r>
      <w:r>
        <w:rPr>
          <w:spacing w:val="-4"/>
          <w:w w:val="110"/>
        </w:rPr>
        <w:t> </w:t>
      </w:r>
      <w:r>
        <w:rPr>
          <w:w w:val="110"/>
        </w:rPr>
        <w:t>crucial</w:t>
      </w:r>
      <w:r>
        <w:rPr>
          <w:spacing w:val="-4"/>
          <w:w w:val="110"/>
        </w:rPr>
        <w:t> </w:t>
      </w:r>
      <w:r>
        <w:rPr>
          <w:w w:val="110"/>
        </w:rPr>
        <w:t>para</w:t>
      </w:r>
      <w:r>
        <w:rPr>
          <w:spacing w:val="-4"/>
          <w:w w:val="110"/>
        </w:rPr>
        <w:t> </w:t>
      </w:r>
      <w:r>
        <w:rPr>
          <w:w w:val="110"/>
        </w:rPr>
        <w:t>varias generaciones de estadounidenses y vietnamitas. si bien son </w:t>
      </w:r>
      <w:r>
        <w:rPr>
          <w:spacing w:val="24"/>
          <w:w w:val="110"/>
        </w:rPr>
        <w:t> </w:t>
      </w:r>
      <w:r>
        <w:rPr>
          <w:w w:val="110"/>
        </w:rPr>
        <w:t>múltiples</w:t>
      </w:r>
    </w:p>
    <w:p>
      <w:pPr>
        <w:pStyle w:val="BodyText"/>
        <w:spacing w:before="9"/>
        <w:rPr>
          <w:sz w:val="24"/>
        </w:rPr>
      </w:pPr>
      <w:r>
        <w:rPr/>
        <w:pict>
          <v:line style="position:absolute;mso-position-horizontal-relative:page;mso-position-vertical-relative:paragraph;z-index:6928;mso-wrap-distance-left:0;mso-wrap-distance-right:0" from="76.5354pt,16.72534pt" to="104.8814pt,16.72534pt" stroked="true" strokeweight=".5pt" strokecolor="#000000">
            <w10:wrap type="topAndBottom"/>
          </v:line>
        </w:pict>
      </w:r>
    </w:p>
    <w:p>
      <w:pPr>
        <w:pStyle w:val="ListParagraph"/>
        <w:numPr>
          <w:ilvl w:val="0"/>
          <w:numId w:val="30"/>
        </w:numPr>
        <w:tabs>
          <w:tab w:pos="586" w:val="left" w:leader="none"/>
        </w:tabs>
        <w:spacing w:line="242" w:lineRule="auto" w:before="89" w:after="0"/>
        <w:ind w:left="330" w:right="117" w:firstLine="0"/>
        <w:jc w:val="both"/>
        <w:rPr>
          <w:sz w:val="16"/>
        </w:rPr>
      </w:pPr>
      <w:r>
        <w:rPr>
          <w:w w:val="105"/>
          <w:sz w:val="16"/>
        </w:rPr>
        <w:t>El </w:t>
      </w:r>
      <w:r>
        <w:rPr>
          <w:i/>
          <w:w w:val="105"/>
          <w:sz w:val="16"/>
        </w:rPr>
        <w:t>New </w:t>
      </w:r>
      <w:r>
        <w:rPr>
          <w:i/>
          <w:spacing w:val="-4"/>
          <w:w w:val="105"/>
          <w:sz w:val="16"/>
        </w:rPr>
        <w:t>York </w:t>
      </w:r>
      <w:r>
        <w:rPr>
          <w:i/>
          <w:w w:val="105"/>
          <w:sz w:val="16"/>
        </w:rPr>
        <w:t>Times </w:t>
      </w:r>
      <w:r>
        <w:rPr>
          <w:w w:val="105"/>
          <w:sz w:val="16"/>
        </w:rPr>
        <w:t>se muestra un poco más crítico que el </w:t>
      </w:r>
      <w:r>
        <w:rPr>
          <w:i/>
          <w:w w:val="105"/>
          <w:sz w:val="16"/>
        </w:rPr>
        <w:t>Washington Post </w:t>
      </w:r>
      <w:r>
        <w:rPr>
          <w:w w:val="105"/>
          <w:sz w:val="16"/>
        </w:rPr>
        <w:t>en lo referido a Vietnam y la mayor parte de los blogs y escritos “alternativos” toman al </w:t>
      </w:r>
      <w:r>
        <w:rPr>
          <w:spacing w:val="37"/>
          <w:w w:val="105"/>
          <w:sz w:val="16"/>
        </w:rPr>
        <w:t> </w:t>
      </w:r>
      <w:r>
        <w:rPr>
          <w:i/>
          <w:w w:val="105"/>
          <w:sz w:val="16"/>
        </w:rPr>
        <w:t>New </w:t>
      </w:r>
      <w:r>
        <w:rPr>
          <w:i/>
          <w:spacing w:val="-4"/>
          <w:w w:val="105"/>
          <w:sz w:val="16"/>
        </w:rPr>
        <w:t>York </w:t>
      </w:r>
      <w:r>
        <w:rPr>
          <w:i/>
          <w:w w:val="105"/>
          <w:sz w:val="16"/>
        </w:rPr>
        <w:t>Times </w:t>
      </w:r>
      <w:r>
        <w:rPr>
          <w:w w:val="105"/>
          <w:sz w:val="16"/>
        </w:rPr>
        <w:t>como fuente seria y  creíble.  si  bien  ambos  periódicos  buscan  dar voz a los críticos de Vietnam y el modo en que pretende conmemorar esta guerra el gobierno, contribuyen a legitimar la propuesta del gobierno al publicar cada una de  </w:t>
      </w:r>
      <w:r>
        <w:rPr>
          <w:spacing w:val="37"/>
          <w:w w:val="105"/>
          <w:sz w:val="16"/>
        </w:rPr>
        <w:t> </w:t>
      </w:r>
      <w:r>
        <w:rPr>
          <w:w w:val="105"/>
          <w:sz w:val="16"/>
        </w:rPr>
        <w:t>las entregas de medalla a veteranos de la  </w:t>
      </w:r>
      <w:r>
        <w:rPr>
          <w:spacing w:val="36"/>
          <w:w w:val="105"/>
          <w:sz w:val="16"/>
        </w:rPr>
        <w:t> </w:t>
      </w:r>
      <w:r>
        <w:rPr>
          <w:w w:val="105"/>
          <w:sz w:val="16"/>
        </w:rPr>
        <w:t>guerra.</w:t>
      </w:r>
    </w:p>
    <w:p>
      <w:pPr>
        <w:pStyle w:val="ListParagraph"/>
        <w:numPr>
          <w:ilvl w:val="0"/>
          <w:numId w:val="30"/>
        </w:numPr>
        <w:tabs>
          <w:tab w:pos="586" w:val="left" w:leader="none"/>
        </w:tabs>
        <w:spacing w:line="242" w:lineRule="auto" w:before="57" w:after="0"/>
        <w:ind w:left="330" w:right="117" w:firstLine="0"/>
        <w:jc w:val="both"/>
        <w:rPr>
          <w:sz w:val="16"/>
        </w:rPr>
      </w:pPr>
      <w:r>
        <w:rPr>
          <w:w w:val="136"/>
          <w:sz w:val="16"/>
        </w:rPr>
        <w:t>a</w:t>
      </w:r>
      <w:r>
        <w:rPr>
          <w:w w:val="108"/>
          <w:sz w:val="16"/>
        </w:rPr>
        <w:t>quí</w:t>
      </w:r>
      <w:r>
        <w:rPr>
          <w:sz w:val="16"/>
        </w:rPr>
        <w:t> </w:t>
      </w:r>
      <w:r>
        <w:rPr>
          <w:spacing w:val="-18"/>
          <w:sz w:val="16"/>
        </w:rPr>
        <w:t> </w:t>
      </w:r>
      <w:r>
        <w:rPr>
          <w:w w:val="107"/>
          <w:sz w:val="16"/>
        </w:rPr>
        <w:t>nos</w:t>
      </w:r>
      <w:r>
        <w:rPr>
          <w:sz w:val="16"/>
        </w:rPr>
        <w:t> </w:t>
      </w:r>
      <w:r>
        <w:rPr>
          <w:spacing w:val="-18"/>
          <w:sz w:val="16"/>
        </w:rPr>
        <w:t> </w:t>
      </w:r>
      <w:r>
        <w:rPr>
          <w:w w:val="105"/>
          <w:sz w:val="16"/>
        </w:rPr>
        <w:t>interesa</w:t>
      </w:r>
      <w:r>
        <w:rPr>
          <w:sz w:val="16"/>
        </w:rPr>
        <w:t> </w:t>
      </w:r>
      <w:r>
        <w:rPr>
          <w:spacing w:val="-18"/>
          <w:sz w:val="16"/>
        </w:rPr>
        <w:t> </w:t>
      </w:r>
      <w:r>
        <w:rPr>
          <w:w w:val="109"/>
          <w:sz w:val="16"/>
        </w:rPr>
        <w:t>la</w:t>
      </w:r>
      <w:r>
        <w:rPr>
          <w:sz w:val="16"/>
        </w:rPr>
        <w:t> </w:t>
      </w:r>
      <w:r>
        <w:rPr>
          <w:spacing w:val="-18"/>
          <w:sz w:val="16"/>
        </w:rPr>
        <w:t> </w:t>
      </w:r>
      <w:r>
        <w:rPr>
          <w:w w:val="109"/>
          <w:sz w:val="16"/>
        </w:rPr>
        <w:t>militarización</w:t>
      </w:r>
      <w:r>
        <w:rPr>
          <w:sz w:val="16"/>
        </w:rPr>
        <w:t> </w:t>
      </w:r>
      <w:r>
        <w:rPr>
          <w:spacing w:val="-18"/>
          <w:sz w:val="16"/>
        </w:rPr>
        <w:t> </w:t>
      </w:r>
      <w:r>
        <w:rPr>
          <w:w w:val="110"/>
          <w:sz w:val="16"/>
        </w:rPr>
        <w:t>como</w:t>
      </w:r>
      <w:r>
        <w:rPr>
          <w:sz w:val="16"/>
        </w:rPr>
        <w:t> </w:t>
      </w:r>
      <w:r>
        <w:rPr>
          <w:spacing w:val="-18"/>
          <w:sz w:val="16"/>
        </w:rPr>
        <w:t> </w:t>
      </w:r>
      <w:r>
        <w:rPr>
          <w:w w:val="107"/>
          <w:sz w:val="16"/>
        </w:rPr>
        <w:t>eslabón</w:t>
      </w:r>
      <w:r>
        <w:rPr>
          <w:sz w:val="16"/>
        </w:rPr>
        <w:t> </w:t>
      </w:r>
      <w:r>
        <w:rPr>
          <w:spacing w:val="-18"/>
          <w:sz w:val="16"/>
        </w:rPr>
        <w:t> </w:t>
      </w:r>
      <w:r>
        <w:rPr>
          <w:w w:val="107"/>
          <w:sz w:val="16"/>
        </w:rPr>
        <w:t>esencial</w:t>
      </w:r>
      <w:r>
        <w:rPr>
          <w:sz w:val="16"/>
        </w:rPr>
        <w:t> </w:t>
      </w:r>
      <w:r>
        <w:rPr>
          <w:spacing w:val="-18"/>
          <w:sz w:val="16"/>
        </w:rPr>
        <w:t> </w:t>
      </w:r>
      <w:r>
        <w:rPr>
          <w:w w:val="105"/>
          <w:sz w:val="16"/>
        </w:rPr>
        <w:t>del</w:t>
      </w:r>
      <w:r>
        <w:rPr>
          <w:sz w:val="16"/>
        </w:rPr>
        <w:t> </w:t>
      </w:r>
      <w:r>
        <w:rPr>
          <w:spacing w:val="-18"/>
          <w:sz w:val="16"/>
        </w:rPr>
        <w:t> </w:t>
      </w:r>
      <w:r>
        <w:rPr>
          <w:w w:val="108"/>
          <w:sz w:val="16"/>
        </w:rPr>
        <w:t>imperialismo</w:t>
      </w:r>
      <w:r>
        <w:rPr>
          <w:sz w:val="16"/>
        </w:rPr>
        <w:t> </w:t>
      </w:r>
      <w:r>
        <w:rPr>
          <w:spacing w:val="-18"/>
          <w:sz w:val="16"/>
        </w:rPr>
        <w:t> </w:t>
      </w:r>
      <w:r>
        <w:rPr>
          <w:w w:val="96"/>
          <w:sz w:val="16"/>
        </w:rPr>
        <w:t>(</w:t>
      </w:r>
      <w:r>
        <w:rPr>
          <w:w w:val="238"/>
          <w:sz w:val="16"/>
        </w:rPr>
        <w:t>l</w:t>
      </w:r>
      <w:r>
        <w:rPr>
          <w:w w:val="102"/>
          <w:sz w:val="16"/>
        </w:rPr>
        <w:t>e</w:t>
      </w:r>
      <w:r>
        <w:rPr>
          <w:w w:val="100"/>
          <w:sz w:val="16"/>
        </w:rPr>
        <w:t>- </w:t>
      </w:r>
      <w:r>
        <w:rPr>
          <w:w w:val="115"/>
          <w:sz w:val="16"/>
        </w:rPr>
        <w:t>nin,</w:t>
      </w:r>
      <w:r>
        <w:rPr>
          <w:spacing w:val="-18"/>
          <w:w w:val="115"/>
          <w:sz w:val="16"/>
        </w:rPr>
        <w:t> </w:t>
      </w:r>
      <w:r>
        <w:rPr>
          <w:w w:val="115"/>
          <w:sz w:val="16"/>
        </w:rPr>
        <w:t>1972)</w:t>
      </w:r>
      <w:r>
        <w:rPr>
          <w:spacing w:val="-18"/>
          <w:w w:val="115"/>
          <w:sz w:val="16"/>
        </w:rPr>
        <w:t> </w:t>
      </w:r>
      <w:r>
        <w:rPr>
          <w:w w:val="115"/>
          <w:sz w:val="16"/>
        </w:rPr>
        <w:t>y</w:t>
      </w:r>
      <w:r>
        <w:rPr>
          <w:spacing w:val="-18"/>
          <w:w w:val="115"/>
          <w:sz w:val="16"/>
        </w:rPr>
        <w:t> </w:t>
      </w:r>
      <w:r>
        <w:rPr>
          <w:w w:val="115"/>
          <w:sz w:val="16"/>
        </w:rPr>
        <w:t>como</w:t>
      </w:r>
      <w:r>
        <w:rPr>
          <w:spacing w:val="-18"/>
          <w:w w:val="115"/>
          <w:sz w:val="16"/>
        </w:rPr>
        <w:t> </w:t>
      </w:r>
      <w:r>
        <w:rPr>
          <w:w w:val="115"/>
          <w:sz w:val="16"/>
        </w:rPr>
        <w:t>eje</w:t>
      </w:r>
      <w:r>
        <w:rPr>
          <w:spacing w:val="-18"/>
          <w:w w:val="115"/>
          <w:sz w:val="16"/>
        </w:rPr>
        <w:t> </w:t>
      </w:r>
      <w:r>
        <w:rPr>
          <w:w w:val="115"/>
          <w:sz w:val="16"/>
        </w:rPr>
        <w:t>de</w:t>
      </w:r>
      <w:r>
        <w:rPr>
          <w:spacing w:val="-18"/>
          <w:w w:val="115"/>
          <w:sz w:val="16"/>
        </w:rPr>
        <w:t> </w:t>
      </w:r>
      <w:r>
        <w:rPr>
          <w:w w:val="115"/>
          <w:sz w:val="16"/>
        </w:rPr>
        <w:t>la</w:t>
      </w:r>
      <w:r>
        <w:rPr>
          <w:spacing w:val="-18"/>
          <w:w w:val="115"/>
          <w:sz w:val="16"/>
        </w:rPr>
        <w:t> </w:t>
      </w:r>
      <w:r>
        <w:rPr>
          <w:w w:val="115"/>
          <w:sz w:val="16"/>
        </w:rPr>
        <w:t>expansión</w:t>
      </w:r>
      <w:r>
        <w:rPr>
          <w:spacing w:val="-18"/>
          <w:w w:val="115"/>
          <w:sz w:val="16"/>
        </w:rPr>
        <w:t> </w:t>
      </w:r>
      <w:r>
        <w:rPr>
          <w:w w:val="115"/>
          <w:sz w:val="16"/>
        </w:rPr>
        <w:t>del</w:t>
      </w:r>
      <w:r>
        <w:rPr>
          <w:spacing w:val="-18"/>
          <w:w w:val="115"/>
          <w:sz w:val="16"/>
        </w:rPr>
        <w:t> </w:t>
      </w:r>
      <w:r>
        <w:rPr>
          <w:w w:val="115"/>
          <w:sz w:val="16"/>
        </w:rPr>
        <w:t>capitalismo</w:t>
      </w:r>
      <w:r>
        <w:rPr>
          <w:spacing w:val="-18"/>
          <w:w w:val="115"/>
          <w:sz w:val="16"/>
        </w:rPr>
        <w:t> </w:t>
      </w:r>
      <w:r>
        <w:rPr>
          <w:w w:val="115"/>
          <w:sz w:val="16"/>
        </w:rPr>
        <w:t>monopólico</w:t>
      </w:r>
      <w:r>
        <w:rPr>
          <w:spacing w:val="-18"/>
          <w:w w:val="115"/>
          <w:sz w:val="16"/>
        </w:rPr>
        <w:t> </w:t>
      </w:r>
      <w:r>
        <w:rPr>
          <w:w w:val="115"/>
          <w:sz w:val="16"/>
        </w:rPr>
        <w:t>a</w:t>
      </w:r>
      <w:r>
        <w:rPr>
          <w:spacing w:val="-18"/>
          <w:w w:val="115"/>
          <w:sz w:val="16"/>
        </w:rPr>
        <w:t> </w:t>
      </w:r>
      <w:r>
        <w:rPr>
          <w:w w:val="115"/>
          <w:sz w:val="16"/>
        </w:rPr>
        <w:t>la</w:t>
      </w:r>
      <w:r>
        <w:rPr>
          <w:spacing w:val="-18"/>
          <w:w w:val="115"/>
          <w:sz w:val="16"/>
        </w:rPr>
        <w:t> </w:t>
      </w:r>
      <w:r>
        <w:rPr>
          <w:w w:val="115"/>
          <w:sz w:val="16"/>
        </w:rPr>
        <w:t>periferia,</w:t>
      </w:r>
      <w:r>
        <w:rPr>
          <w:spacing w:val="-18"/>
          <w:w w:val="115"/>
          <w:sz w:val="16"/>
        </w:rPr>
        <w:t> </w:t>
      </w:r>
      <w:r>
        <w:rPr>
          <w:w w:val="115"/>
          <w:sz w:val="16"/>
        </w:rPr>
        <w:t>es- pecialmente</w:t>
      </w:r>
      <w:r>
        <w:rPr>
          <w:spacing w:val="-28"/>
          <w:w w:val="115"/>
          <w:sz w:val="16"/>
        </w:rPr>
        <w:t> </w:t>
      </w:r>
      <w:r>
        <w:rPr>
          <w:w w:val="115"/>
          <w:sz w:val="16"/>
        </w:rPr>
        <w:t>luego</w:t>
      </w:r>
      <w:r>
        <w:rPr>
          <w:spacing w:val="-28"/>
          <w:w w:val="115"/>
          <w:sz w:val="16"/>
        </w:rPr>
        <w:t> </w:t>
      </w:r>
      <w:r>
        <w:rPr>
          <w:w w:val="115"/>
          <w:sz w:val="16"/>
        </w:rPr>
        <w:t>de</w:t>
      </w:r>
      <w:r>
        <w:rPr>
          <w:spacing w:val="-28"/>
          <w:w w:val="115"/>
          <w:sz w:val="16"/>
        </w:rPr>
        <w:t> </w:t>
      </w:r>
      <w:r>
        <w:rPr>
          <w:w w:val="115"/>
          <w:sz w:val="16"/>
        </w:rPr>
        <w:t>la</w:t>
      </w:r>
      <w:r>
        <w:rPr>
          <w:spacing w:val="-28"/>
          <w:w w:val="115"/>
          <w:sz w:val="16"/>
        </w:rPr>
        <w:t> </w:t>
      </w:r>
      <w:r>
        <w:rPr>
          <w:w w:val="115"/>
          <w:sz w:val="16"/>
        </w:rPr>
        <w:t>segunda</w:t>
      </w:r>
      <w:r>
        <w:rPr>
          <w:spacing w:val="-28"/>
          <w:w w:val="115"/>
          <w:sz w:val="16"/>
        </w:rPr>
        <w:t> </w:t>
      </w:r>
      <w:r>
        <w:rPr>
          <w:w w:val="115"/>
          <w:sz w:val="16"/>
        </w:rPr>
        <w:t>Guerra</w:t>
      </w:r>
      <w:r>
        <w:rPr>
          <w:spacing w:val="-28"/>
          <w:w w:val="115"/>
          <w:sz w:val="16"/>
        </w:rPr>
        <w:t> </w:t>
      </w:r>
      <w:r>
        <w:rPr>
          <w:w w:val="115"/>
          <w:sz w:val="16"/>
        </w:rPr>
        <w:t>Mundial</w:t>
      </w:r>
      <w:r>
        <w:rPr>
          <w:spacing w:val="-28"/>
          <w:w w:val="115"/>
          <w:sz w:val="16"/>
        </w:rPr>
        <w:t> </w:t>
      </w:r>
      <w:r>
        <w:rPr>
          <w:w w:val="115"/>
          <w:sz w:val="16"/>
        </w:rPr>
        <w:t>(baran</w:t>
      </w:r>
      <w:r>
        <w:rPr>
          <w:spacing w:val="-28"/>
          <w:w w:val="115"/>
          <w:sz w:val="16"/>
        </w:rPr>
        <w:t> </w:t>
      </w:r>
      <w:r>
        <w:rPr>
          <w:w w:val="115"/>
          <w:sz w:val="16"/>
        </w:rPr>
        <w:t>y</w:t>
      </w:r>
      <w:r>
        <w:rPr>
          <w:spacing w:val="-28"/>
          <w:w w:val="115"/>
          <w:sz w:val="16"/>
        </w:rPr>
        <w:t> </w:t>
      </w:r>
      <w:r>
        <w:rPr>
          <w:spacing w:val="-3"/>
          <w:w w:val="115"/>
          <w:sz w:val="16"/>
        </w:rPr>
        <w:t>sweezy,</w:t>
      </w:r>
      <w:r>
        <w:rPr>
          <w:spacing w:val="-28"/>
          <w:w w:val="115"/>
          <w:sz w:val="16"/>
        </w:rPr>
        <w:t> </w:t>
      </w:r>
      <w:r>
        <w:rPr>
          <w:w w:val="115"/>
          <w:sz w:val="16"/>
        </w:rPr>
        <w:t>1974).</w:t>
      </w:r>
      <w:r>
        <w:rPr>
          <w:spacing w:val="-28"/>
          <w:w w:val="115"/>
          <w:sz w:val="16"/>
        </w:rPr>
        <w:t> </w:t>
      </w:r>
      <w:r>
        <w:rPr>
          <w:w w:val="115"/>
          <w:sz w:val="16"/>
        </w:rPr>
        <w:t>asimismo, comprendemos</w:t>
      </w:r>
      <w:r>
        <w:rPr>
          <w:spacing w:val="-17"/>
          <w:w w:val="115"/>
          <w:sz w:val="16"/>
        </w:rPr>
        <w:t> </w:t>
      </w:r>
      <w:r>
        <w:rPr>
          <w:w w:val="115"/>
          <w:sz w:val="16"/>
        </w:rPr>
        <w:t>este</w:t>
      </w:r>
      <w:r>
        <w:rPr>
          <w:spacing w:val="-17"/>
          <w:w w:val="115"/>
          <w:sz w:val="16"/>
        </w:rPr>
        <w:t> </w:t>
      </w:r>
      <w:r>
        <w:rPr>
          <w:w w:val="115"/>
          <w:sz w:val="16"/>
        </w:rPr>
        <w:t>proceso</w:t>
      </w:r>
      <w:r>
        <w:rPr>
          <w:spacing w:val="-17"/>
          <w:w w:val="115"/>
          <w:sz w:val="16"/>
        </w:rPr>
        <w:t> </w:t>
      </w:r>
      <w:r>
        <w:rPr>
          <w:w w:val="115"/>
          <w:sz w:val="16"/>
        </w:rPr>
        <w:t>como</w:t>
      </w:r>
      <w:r>
        <w:rPr>
          <w:spacing w:val="-17"/>
          <w:w w:val="115"/>
          <w:sz w:val="16"/>
        </w:rPr>
        <w:t> </w:t>
      </w:r>
      <w:r>
        <w:rPr>
          <w:w w:val="115"/>
          <w:sz w:val="16"/>
        </w:rPr>
        <w:t>un</w:t>
      </w:r>
      <w:r>
        <w:rPr>
          <w:spacing w:val="-17"/>
          <w:w w:val="115"/>
          <w:sz w:val="16"/>
        </w:rPr>
        <w:t> </w:t>
      </w:r>
      <w:r>
        <w:rPr>
          <w:w w:val="115"/>
          <w:sz w:val="16"/>
        </w:rPr>
        <w:t>“modo</w:t>
      </w:r>
      <w:r>
        <w:rPr>
          <w:spacing w:val="-17"/>
          <w:w w:val="115"/>
          <w:sz w:val="16"/>
        </w:rPr>
        <w:t> </w:t>
      </w:r>
      <w:r>
        <w:rPr>
          <w:w w:val="115"/>
          <w:sz w:val="16"/>
        </w:rPr>
        <w:t>de</w:t>
      </w:r>
      <w:r>
        <w:rPr>
          <w:spacing w:val="-17"/>
          <w:w w:val="115"/>
          <w:sz w:val="16"/>
        </w:rPr>
        <w:t> </w:t>
      </w:r>
      <w:r>
        <w:rPr>
          <w:w w:val="115"/>
          <w:sz w:val="16"/>
        </w:rPr>
        <w:t>hacer</w:t>
      </w:r>
      <w:r>
        <w:rPr>
          <w:spacing w:val="-17"/>
          <w:w w:val="115"/>
          <w:sz w:val="16"/>
        </w:rPr>
        <w:t> </w:t>
      </w:r>
      <w:r>
        <w:rPr>
          <w:w w:val="115"/>
          <w:sz w:val="16"/>
        </w:rPr>
        <w:t>y</w:t>
      </w:r>
      <w:r>
        <w:rPr>
          <w:spacing w:val="-17"/>
          <w:w w:val="115"/>
          <w:sz w:val="16"/>
        </w:rPr>
        <w:t> </w:t>
      </w:r>
      <w:r>
        <w:rPr>
          <w:w w:val="115"/>
          <w:sz w:val="16"/>
        </w:rPr>
        <w:t>pensar”</w:t>
      </w:r>
      <w:r>
        <w:rPr>
          <w:spacing w:val="-17"/>
          <w:w w:val="115"/>
          <w:sz w:val="16"/>
        </w:rPr>
        <w:t> </w:t>
      </w:r>
      <w:r>
        <w:rPr>
          <w:w w:val="115"/>
          <w:sz w:val="16"/>
        </w:rPr>
        <w:t>la</w:t>
      </w:r>
      <w:r>
        <w:rPr>
          <w:spacing w:val="-17"/>
          <w:w w:val="115"/>
          <w:sz w:val="16"/>
        </w:rPr>
        <w:t> </w:t>
      </w:r>
      <w:r>
        <w:rPr>
          <w:w w:val="115"/>
          <w:sz w:val="16"/>
        </w:rPr>
        <w:t>política</w:t>
      </w:r>
      <w:r>
        <w:rPr>
          <w:spacing w:val="-17"/>
          <w:w w:val="115"/>
          <w:sz w:val="16"/>
        </w:rPr>
        <w:t> </w:t>
      </w:r>
      <w:r>
        <w:rPr>
          <w:w w:val="115"/>
          <w:sz w:val="16"/>
        </w:rPr>
        <w:t>interna </w:t>
      </w:r>
      <w:r>
        <w:rPr>
          <w:w w:val="110"/>
          <w:sz w:val="16"/>
        </w:rPr>
        <w:t>y</w:t>
      </w:r>
      <w:r>
        <w:rPr>
          <w:spacing w:val="-5"/>
          <w:w w:val="110"/>
          <w:sz w:val="16"/>
        </w:rPr>
        <w:t> </w:t>
      </w:r>
      <w:r>
        <w:rPr>
          <w:w w:val="110"/>
          <w:sz w:val="16"/>
        </w:rPr>
        <w:t>externa</w:t>
      </w:r>
      <w:r>
        <w:rPr>
          <w:spacing w:val="-5"/>
          <w:w w:val="110"/>
          <w:sz w:val="16"/>
        </w:rPr>
        <w:t> </w:t>
      </w:r>
      <w:r>
        <w:rPr>
          <w:w w:val="110"/>
          <w:sz w:val="16"/>
        </w:rPr>
        <w:t>legitimado</w:t>
      </w:r>
      <w:r>
        <w:rPr>
          <w:spacing w:val="-5"/>
          <w:w w:val="110"/>
          <w:sz w:val="16"/>
        </w:rPr>
        <w:t> </w:t>
      </w:r>
      <w:r>
        <w:rPr>
          <w:w w:val="110"/>
          <w:sz w:val="16"/>
        </w:rPr>
        <w:t>por</w:t>
      </w:r>
      <w:r>
        <w:rPr>
          <w:spacing w:val="-5"/>
          <w:w w:val="110"/>
          <w:sz w:val="16"/>
        </w:rPr>
        <w:t> </w:t>
      </w:r>
      <w:r>
        <w:rPr>
          <w:w w:val="110"/>
          <w:sz w:val="16"/>
        </w:rPr>
        <w:t>prácticas</w:t>
      </w:r>
      <w:r>
        <w:rPr>
          <w:spacing w:val="-5"/>
          <w:w w:val="110"/>
          <w:sz w:val="16"/>
        </w:rPr>
        <w:t> </w:t>
      </w:r>
      <w:r>
        <w:rPr>
          <w:w w:val="110"/>
          <w:sz w:val="16"/>
        </w:rPr>
        <w:t>y</w:t>
      </w:r>
      <w:r>
        <w:rPr>
          <w:spacing w:val="-5"/>
          <w:w w:val="110"/>
          <w:sz w:val="16"/>
        </w:rPr>
        <w:t> </w:t>
      </w:r>
      <w:r>
        <w:rPr>
          <w:w w:val="110"/>
          <w:sz w:val="16"/>
        </w:rPr>
        <w:t>discursos</w:t>
      </w:r>
      <w:r>
        <w:rPr>
          <w:spacing w:val="-5"/>
          <w:w w:val="110"/>
          <w:sz w:val="16"/>
        </w:rPr>
        <w:t> </w:t>
      </w:r>
      <w:r>
        <w:rPr>
          <w:w w:val="110"/>
          <w:sz w:val="16"/>
        </w:rPr>
        <w:t>hegemónicos</w:t>
      </w:r>
      <w:r>
        <w:rPr>
          <w:spacing w:val="-5"/>
          <w:w w:val="110"/>
          <w:sz w:val="16"/>
        </w:rPr>
        <w:t> </w:t>
      </w:r>
      <w:r>
        <w:rPr>
          <w:w w:val="110"/>
          <w:sz w:val="16"/>
        </w:rPr>
        <w:t>urdidos</w:t>
      </w:r>
      <w:r>
        <w:rPr>
          <w:spacing w:val="-5"/>
          <w:w w:val="110"/>
          <w:sz w:val="16"/>
        </w:rPr>
        <w:t> </w:t>
      </w:r>
      <w:r>
        <w:rPr>
          <w:w w:val="110"/>
          <w:sz w:val="16"/>
        </w:rPr>
        <w:t>por</w:t>
      </w:r>
      <w:r>
        <w:rPr>
          <w:spacing w:val="-5"/>
          <w:w w:val="110"/>
          <w:sz w:val="16"/>
        </w:rPr>
        <w:t> </w:t>
      </w:r>
      <w:r>
        <w:rPr>
          <w:w w:val="110"/>
          <w:sz w:val="16"/>
        </w:rPr>
        <w:t>el</w:t>
      </w:r>
      <w:r>
        <w:rPr>
          <w:spacing w:val="-5"/>
          <w:w w:val="110"/>
          <w:sz w:val="16"/>
        </w:rPr>
        <w:t> </w:t>
      </w:r>
      <w:r>
        <w:rPr>
          <w:w w:val="110"/>
          <w:sz w:val="16"/>
        </w:rPr>
        <w:t>gobierno y el sector privado estadounidense (Mills, 1978; Melman, 1972; Wills, 2010;</w:t>
      </w:r>
      <w:r>
        <w:rPr>
          <w:spacing w:val="-22"/>
          <w:w w:val="110"/>
          <w:sz w:val="16"/>
        </w:rPr>
        <w:t> </w:t>
      </w:r>
      <w:r>
        <w:rPr>
          <w:w w:val="110"/>
          <w:sz w:val="16"/>
        </w:rPr>
        <w:t>barnet, 1974)</w:t>
      </w:r>
      <w:r>
        <w:rPr>
          <w:spacing w:val="-13"/>
          <w:w w:val="110"/>
          <w:sz w:val="16"/>
        </w:rPr>
        <w:t> </w:t>
      </w:r>
      <w:r>
        <w:rPr>
          <w:w w:val="110"/>
          <w:sz w:val="16"/>
        </w:rPr>
        <w:t>que</w:t>
      </w:r>
      <w:r>
        <w:rPr>
          <w:spacing w:val="-13"/>
          <w:w w:val="110"/>
          <w:sz w:val="16"/>
        </w:rPr>
        <w:t> </w:t>
      </w:r>
      <w:r>
        <w:rPr>
          <w:w w:val="110"/>
          <w:sz w:val="16"/>
        </w:rPr>
        <w:t>alcanzan</w:t>
      </w:r>
      <w:r>
        <w:rPr>
          <w:spacing w:val="-13"/>
          <w:w w:val="110"/>
          <w:sz w:val="16"/>
        </w:rPr>
        <w:t> </w:t>
      </w:r>
      <w:r>
        <w:rPr>
          <w:w w:val="110"/>
          <w:sz w:val="16"/>
        </w:rPr>
        <w:t>a</w:t>
      </w:r>
      <w:r>
        <w:rPr>
          <w:spacing w:val="-13"/>
          <w:w w:val="110"/>
          <w:sz w:val="16"/>
        </w:rPr>
        <w:t> </w:t>
      </w:r>
      <w:r>
        <w:rPr>
          <w:w w:val="110"/>
          <w:sz w:val="16"/>
        </w:rPr>
        <w:t>penetrar</w:t>
      </w:r>
      <w:r>
        <w:rPr>
          <w:spacing w:val="-13"/>
          <w:w w:val="110"/>
          <w:sz w:val="16"/>
        </w:rPr>
        <w:t> </w:t>
      </w:r>
      <w:r>
        <w:rPr>
          <w:w w:val="110"/>
          <w:sz w:val="16"/>
        </w:rPr>
        <w:t>en</w:t>
      </w:r>
      <w:r>
        <w:rPr>
          <w:spacing w:val="-13"/>
          <w:w w:val="110"/>
          <w:sz w:val="16"/>
        </w:rPr>
        <w:t> </w:t>
      </w:r>
      <w:r>
        <w:rPr>
          <w:w w:val="110"/>
          <w:sz w:val="16"/>
        </w:rPr>
        <w:t>el</w:t>
      </w:r>
      <w:r>
        <w:rPr>
          <w:spacing w:val="-13"/>
          <w:w w:val="110"/>
          <w:sz w:val="16"/>
        </w:rPr>
        <w:t> </w:t>
      </w:r>
      <w:r>
        <w:rPr>
          <w:w w:val="110"/>
          <w:sz w:val="16"/>
        </w:rPr>
        <w:t>sentido</w:t>
      </w:r>
      <w:r>
        <w:rPr>
          <w:spacing w:val="-13"/>
          <w:w w:val="110"/>
          <w:sz w:val="16"/>
        </w:rPr>
        <w:t> </w:t>
      </w:r>
      <w:r>
        <w:rPr>
          <w:w w:val="110"/>
          <w:sz w:val="16"/>
        </w:rPr>
        <w:t>común</w:t>
      </w:r>
      <w:r>
        <w:rPr>
          <w:spacing w:val="-13"/>
          <w:w w:val="110"/>
          <w:sz w:val="16"/>
        </w:rPr>
        <w:t> </w:t>
      </w:r>
      <w:r>
        <w:rPr>
          <w:w w:val="110"/>
          <w:sz w:val="16"/>
        </w:rPr>
        <w:t>y</w:t>
      </w:r>
      <w:r>
        <w:rPr>
          <w:spacing w:val="-13"/>
          <w:w w:val="110"/>
          <w:sz w:val="16"/>
        </w:rPr>
        <w:t> </w:t>
      </w:r>
      <w:r>
        <w:rPr>
          <w:w w:val="110"/>
          <w:sz w:val="16"/>
        </w:rPr>
        <w:t>las</w:t>
      </w:r>
      <w:r>
        <w:rPr>
          <w:spacing w:val="-13"/>
          <w:w w:val="110"/>
          <w:sz w:val="16"/>
        </w:rPr>
        <w:t> </w:t>
      </w:r>
      <w:r>
        <w:rPr>
          <w:w w:val="110"/>
          <w:sz w:val="16"/>
        </w:rPr>
        <w:t>prácticas</w:t>
      </w:r>
      <w:r>
        <w:rPr>
          <w:spacing w:val="-13"/>
          <w:w w:val="110"/>
          <w:sz w:val="16"/>
        </w:rPr>
        <w:t> </w:t>
      </w:r>
      <w:r>
        <w:rPr>
          <w:w w:val="110"/>
          <w:sz w:val="16"/>
        </w:rPr>
        <w:t>cotidianas</w:t>
      </w:r>
      <w:r>
        <w:rPr>
          <w:spacing w:val="-13"/>
          <w:w w:val="110"/>
          <w:sz w:val="16"/>
        </w:rPr>
        <w:t> </w:t>
      </w:r>
      <w:r>
        <w:rPr>
          <w:w w:val="110"/>
          <w:sz w:val="16"/>
        </w:rPr>
        <w:t>(atrave- </w:t>
      </w:r>
      <w:r>
        <w:rPr>
          <w:w w:val="115"/>
          <w:sz w:val="16"/>
        </w:rPr>
        <w:t>sando</w:t>
      </w:r>
      <w:r>
        <w:rPr>
          <w:spacing w:val="-16"/>
          <w:w w:val="115"/>
          <w:sz w:val="16"/>
        </w:rPr>
        <w:t> </w:t>
      </w:r>
      <w:r>
        <w:rPr>
          <w:w w:val="115"/>
          <w:sz w:val="16"/>
        </w:rPr>
        <w:t>relaciones</w:t>
      </w:r>
      <w:r>
        <w:rPr>
          <w:spacing w:val="-16"/>
          <w:w w:val="115"/>
          <w:sz w:val="16"/>
        </w:rPr>
        <w:t> </w:t>
      </w:r>
      <w:r>
        <w:rPr>
          <w:w w:val="115"/>
          <w:sz w:val="16"/>
        </w:rPr>
        <w:t>de</w:t>
      </w:r>
      <w:r>
        <w:rPr>
          <w:spacing w:val="-16"/>
          <w:w w:val="115"/>
          <w:sz w:val="16"/>
        </w:rPr>
        <w:t> </w:t>
      </w:r>
      <w:r>
        <w:rPr>
          <w:w w:val="115"/>
          <w:sz w:val="16"/>
        </w:rPr>
        <w:t>clase,</w:t>
      </w:r>
      <w:r>
        <w:rPr>
          <w:spacing w:val="-16"/>
          <w:w w:val="115"/>
          <w:sz w:val="16"/>
        </w:rPr>
        <w:t> </w:t>
      </w:r>
      <w:r>
        <w:rPr>
          <w:w w:val="115"/>
          <w:sz w:val="16"/>
        </w:rPr>
        <w:t>género,</w:t>
      </w:r>
      <w:r>
        <w:rPr>
          <w:spacing w:val="-16"/>
          <w:w w:val="115"/>
          <w:sz w:val="16"/>
        </w:rPr>
        <w:t> </w:t>
      </w:r>
      <w:r>
        <w:rPr>
          <w:w w:val="115"/>
          <w:sz w:val="16"/>
        </w:rPr>
        <w:t>raza,</w:t>
      </w:r>
      <w:r>
        <w:rPr>
          <w:spacing w:val="-16"/>
          <w:w w:val="115"/>
          <w:sz w:val="16"/>
        </w:rPr>
        <w:t> </w:t>
      </w:r>
      <w:r>
        <w:rPr>
          <w:w w:val="115"/>
          <w:sz w:val="16"/>
        </w:rPr>
        <w:t>etc.)</w:t>
      </w:r>
      <w:r>
        <w:rPr>
          <w:spacing w:val="-16"/>
          <w:w w:val="115"/>
          <w:sz w:val="16"/>
        </w:rPr>
        <w:t> </w:t>
      </w:r>
      <w:r>
        <w:rPr>
          <w:w w:val="115"/>
          <w:sz w:val="16"/>
        </w:rPr>
        <w:t>de</w:t>
      </w:r>
      <w:r>
        <w:rPr>
          <w:spacing w:val="-16"/>
          <w:w w:val="115"/>
          <w:sz w:val="16"/>
        </w:rPr>
        <w:t> </w:t>
      </w:r>
      <w:r>
        <w:rPr>
          <w:w w:val="115"/>
          <w:sz w:val="16"/>
        </w:rPr>
        <w:t>buena</w:t>
      </w:r>
      <w:r>
        <w:rPr>
          <w:spacing w:val="-16"/>
          <w:w w:val="115"/>
          <w:sz w:val="16"/>
        </w:rPr>
        <w:t> </w:t>
      </w:r>
      <w:r>
        <w:rPr>
          <w:w w:val="115"/>
          <w:sz w:val="16"/>
        </w:rPr>
        <w:t>parte</w:t>
      </w:r>
      <w:r>
        <w:rPr>
          <w:spacing w:val="-16"/>
          <w:w w:val="115"/>
          <w:sz w:val="16"/>
        </w:rPr>
        <w:t> </w:t>
      </w:r>
      <w:r>
        <w:rPr>
          <w:w w:val="115"/>
          <w:sz w:val="16"/>
        </w:rPr>
        <w:t>de</w:t>
      </w:r>
      <w:r>
        <w:rPr>
          <w:spacing w:val="-16"/>
          <w:w w:val="115"/>
          <w:sz w:val="16"/>
        </w:rPr>
        <w:t> </w:t>
      </w:r>
      <w:r>
        <w:rPr>
          <w:w w:val="115"/>
          <w:sz w:val="16"/>
        </w:rPr>
        <w:t>la</w:t>
      </w:r>
      <w:r>
        <w:rPr>
          <w:spacing w:val="-16"/>
          <w:w w:val="115"/>
          <w:sz w:val="16"/>
        </w:rPr>
        <w:t> </w:t>
      </w:r>
      <w:r>
        <w:rPr>
          <w:w w:val="115"/>
          <w:sz w:val="16"/>
        </w:rPr>
        <w:t>población.</w:t>
      </w:r>
      <w:r>
        <w:rPr>
          <w:spacing w:val="-16"/>
          <w:w w:val="115"/>
          <w:sz w:val="16"/>
        </w:rPr>
        <w:t> </w:t>
      </w:r>
      <w:r>
        <w:rPr>
          <w:w w:val="115"/>
          <w:sz w:val="16"/>
        </w:rPr>
        <w:t>soste- nemos</w:t>
      </w:r>
      <w:r>
        <w:rPr>
          <w:spacing w:val="-23"/>
          <w:w w:val="115"/>
          <w:sz w:val="16"/>
        </w:rPr>
        <w:t> </w:t>
      </w:r>
      <w:r>
        <w:rPr>
          <w:w w:val="115"/>
          <w:sz w:val="16"/>
        </w:rPr>
        <w:t>que</w:t>
      </w:r>
      <w:r>
        <w:rPr>
          <w:spacing w:val="-23"/>
          <w:w w:val="115"/>
          <w:sz w:val="16"/>
        </w:rPr>
        <w:t> </w:t>
      </w:r>
      <w:r>
        <w:rPr>
          <w:w w:val="115"/>
          <w:sz w:val="16"/>
        </w:rPr>
        <w:t>la</w:t>
      </w:r>
      <w:r>
        <w:rPr>
          <w:spacing w:val="-23"/>
          <w:w w:val="115"/>
          <w:sz w:val="16"/>
        </w:rPr>
        <w:t> </w:t>
      </w:r>
      <w:r>
        <w:rPr>
          <w:w w:val="115"/>
          <w:sz w:val="16"/>
        </w:rPr>
        <w:t>legalización</w:t>
      </w:r>
      <w:r>
        <w:rPr>
          <w:spacing w:val="-23"/>
          <w:w w:val="115"/>
          <w:sz w:val="16"/>
        </w:rPr>
        <w:t> </w:t>
      </w:r>
      <w:r>
        <w:rPr>
          <w:w w:val="115"/>
          <w:sz w:val="16"/>
        </w:rPr>
        <w:t>y</w:t>
      </w:r>
      <w:r>
        <w:rPr>
          <w:spacing w:val="-23"/>
          <w:w w:val="115"/>
          <w:sz w:val="16"/>
        </w:rPr>
        <w:t> </w:t>
      </w:r>
      <w:r>
        <w:rPr>
          <w:w w:val="115"/>
          <w:sz w:val="16"/>
        </w:rPr>
        <w:t>legitimación</w:t>
      </w:r>
      <w:r>
        <w:rPr>
          <w:spacing w:val="-23"/>
          <w:w w:val="115"/>
          <w:sz w:val="16"/>
        </w:rPr>
        <w:t> </w:t>
      </w:r>
      <w:r>
        <w:rPr>
          <w:w w:val="115"/>
          <w:sz w:val="16"/>
        </w:rPr>
        <w:t>de</w:t>
      </w:r>
      <w:r>
        <w:rPr>
          <w:spacing w:val="-23"/>
          <w:w w:val="115"/>
          <w:sz w:val="16"/>
        </w:rPr>
        <w:t> </w:t>
      </w:r>
      <w:r>
        <w:rPr>
          <w:w w:val="115"/>
          <w:sz w:val="16"/>
        </w:rPr>
        <w:t>la</w:t>
      </w:r>
      <w:r>
        <w:rPr>
          <w:spacing w:val="-23"/>
          <w:w w:val="115"/>
          <w:sz w:val="16"/>
        </w:rPr>
        <w:t> </w:t>
      </w:r>
      <w:r>
        <w:rPr>
          <w:w w:val="115"/>
          <w:sz w:val="16"/>
        </w:rPr>
        <w:t>militarización</w:t>
      </w:r>
      <w:r>
        <w:rPr>
          <w:spacing w:val="-23"/>
          <w:w w:val="115"/>
          <w:sz w:val="16"/>
        </w:rPr>
        <w:t> </w:t>
      </w:r>
      <w:r>
        <w:rPr>
          <w:w w:val="115"/>
          <w:sz w:val="16"/>
        </w:rPr>
        <w:t>y</w:t>
      </w:r>
      <w:r>
        <w:rPr>
          <w:spacing w:val="-23"/>
          <w:w w:val="115"/>
          <w:sz w:val="16"/>
        </w:rPr>
        <w:t> </w:t>
      </w:r>
      <w:r>
        <w:rPr>
          <w:w w:val="115"/>
          <w:sz w:val="16"/>
        </w:rPr>
        <w:t>la</w:t>
      </w:r>
      <w:r>
        <w:rPr>
          <w:spacing w:val="-23"/>
          <w:w w:val="115"/>
          <w:sz w:val="16"/>
        </w:rPr>
        <w:t> </w:t>
      </w:r>
      <w:r>
        <w:rPr>
          <w:w w:val="115"/>
          <w:sz w:val="16"/>
        </w:rPr>
        <w:t>guerra</w:t>
      </w:r>
      <w:r>
        <w:rPr>
          <w:spacing w:val="-23"/>
          <w:w w:val="115"/>
          <w:sz w:val="16"/>
        </w:rPr>
        <w:t> </w:t>
      </w:r>
      <w:r>
        <w:rPr>
          <w:w w:val="115"/>
          <w:sz w:val="16"/>
        </w:rPr>
        <w:t>como</w:t>
      </w:r>
      <w:r>
        <w:rPr>
          <w:spacing w:val="-23"/>
          <w:w w:val="115"/>
          <w:sz w:val="16"/>
        </w:rPr>
        <w:t> </w:t>
      </w:r>
      <w:r>
        <w:rPr>
          <w:w w:val="115"/>
          <w:sz w:val="16"/>
        </w:rPr>
        <w:t>modo de</w:t>
      </w:r>
      <w:r>
        <w:rPr>
          <w:spacing w:val="-23"/>
          <w:w w:val="115"/>
          <w:sz w:val="16"/>
        </w:rPr>
        <w:t> </w:t>
      </w:r>
      <w:r>
        <w:rPr>
          <w:w w:val="115"/>
          <w:sz w:val="16"/>
        </w:rPr>
        <w:t>vida</w:t>
      </w:r>
      <w:r>
        <w:rPr>
          <w:spacing w:val="-23"/>
          <w:w w:val="115"/>
          <w:sz w:val="16"/>
        </w:rPr>
        <w:t> </w:t>
      </w:r>
      <w:r>
        <w:rPr>
          <w:w w:val="115"/>
          <w:sz w:val="16"/>
        </w:rPr>
        <w:t>es</w:t>
      </w:r>
      <w:r>
        <w:rPr>
          <w:spacing w:val="-23"/>
          <w:w w:val="115"/>
          <w:sz w:val="16"/>
        </w:rPr>
        <w:t> </w:t>
      </w:r>
      <w:r>
        <w:rPr>
          <w:w w:val="115"/>
          <w:sz w:val="16"/>
        </w:rPr>
        <w:t>uno</w:t>
      </w:r>
      <w:r>
        <w:rPr>
          <w:spacing w:val="-23"/>
          <w:w w:val="115"/>
          <w:sz w:val="16"/>
        </w:rPr>
        <w:t> </w:t>
      </w:r>
      <w:r>
        <w:rPr>
          <w:w w:val="115"/>
          <w:sz w:val="16"/>
        </w:rPr>
        <w:t>de</w:t>
      </w:r>
      <w:r>
        <w:rPr>
          <w:spacing w:val="-23"/>
          <w:w w:val="115"/>
          <w:sz w:val="16"/>
        </w:rPr>
        <w:t> </w:t>
      </w:r>
      <w:r>
        <w:rPr>
          <w:w w:val="115"/>
          <w:sz w:val="16"/>
        </w:rPr>
        <w:t>los</w:t>
      </w:r>
      <w:r>
        <w:rPr>
          <w:spacing w:val="-23"/>
          <w:w w:val="115"/>
          <w:sz w:val="16"/>
        </w:rPr>
        <w:t> </w:t>
      </w:r>
      <w:r>
        <w:rPr>
          <w:w w:val="115"/>
          <w:sz w:val="16"/>
        </w:rPr>
        <w:t>objetivos</w:t>
      </w:r>
      <w:r>
        <w:rPr>
          <w:spacing w:val="-23"/>
          <w:w w:val="115"/>
          <w:sz w:val="16"/>
        </w:rPr>
        <w:t> </w:t>
      </w:r>
      <w:r>
        <w:rPr>
          <w:w w:val="115"/>
          <w:sz w:val="16"/>
        </w:rPr>
        <w:t>fundamentales</w:t>
      </w:r>
      <w:r>
        <w:rPr>
          <w:spacing w:val="-23"/>
          <w:w w:val="115"/>
          <w:sz w:val="16"/>
        </w:rPr>
        <w:t> </w:t>
      </w:r>
      <w:r>
        <w:rPr>
          <w:w w:val="115"/>
          <w:sz w:val="16"/>
        </w:rPr>
        <w:t>de</w:t>
      </w:r>
      <w:r>
        <w:rPr>
          <w:spacing w:val="-23"/>
          <w:w w:val="115"/>
          <w:sz w:val="16"/>
        </w:rPr>
        <w:t> </w:t>
      </w:r>
      <w:r>
        <w:rPr>
          <w:w w:val="115"/>
          <w:sz w:val="16"/>
        </w:rPr>
        <w:t>la</w:t>
      </w:r>
      <w:r>
        <w:rPr>
          <w:spacing w:val="-23"/>
          <w:w w:val="115"/>
          <w:sz w:val="16"/>
        </w:rPr>
        <w:t> </w:t>
      </w:r>
      <w:r>
        <w:rPr>
          <w:w w:val="115"/>
          <w:sz w:val="16"/>
        </w:rPr>
        <w:t>guerra</w:t>
      </w:r>
      <w:r>
        <w:rPr>
          <w:spacing w:val="-23"/>
          <w:w w:val="115"/>
          <w:sz w:val="16"/>
        </w:rPr>
        <w:t> </w:t>
      </w:r>
      <w:r>
        <w:rPr>
          <w:w w:val="115"/>
          <w:sz w:val="16"/>
        </w:rPr>
        <w:t>psicológica</w:t>
      </w:r>
      <w:r>
        <w:rPr>
          <w:spacing w:val="-23"/>
          <w:w w:val="115"/>
          <w:sz w:val="16"/>
        </w:rPr>
        <w:t> </w:t>
      </w:r>
      <w:r>
        <w:rPr>
          <w:w w:val="115"/>
          <w:sz w:val="16"/>
        </w:rPr>
        <w:t>permanente, </w:t>
      </w:r>
      <w:r>
        <w:rPr>
          <w:w w:val="110"/>
          <w:sz w:val="16"/>
        </w:rPr>
        <w:t>orientada</w:t>
      </w:r>
      <w:r>
        <w:rPr>
          <w:spacing w:val="-12"/>
          <w:w w:val="110"/>
          <w:sz w:val="16"/>
        </w:rPr>
        <w:t> </w:t>
      </w:r>
      <w:r>
        <w:rPr>
          <w:w w:val="110"/>
          <w:sz w:val="16"/>
        </w:rPr>
        <w:t>a</w:t>
      </w:r>
      <w:r>
        <w:rPr>
          <w:spacing w:val="-12"/>
          <w:w w:val="110"/>
          <w:sz w:val="16"/>
        </w:rPr>
        <w:t> </w:t>
      </w:r>
      <w:r>
        <w:rPr>
          <w:w w:val="110"/>
          <w:sz w:val="16"/>
        </w:rPr>
        <w:t>ganar</w:t>
      </w:r>
      <w:r>
        <w:rPr>
          <w:spacing w:val="-12"/>
          <w:w w:val="110"/>
          <w:sz w:val="16"/>
        </w:rPr>
        <w:t> </w:t>
      </w:r>
      <w:r>
        <w:rPr>
          <w:w w:val="110"/>
          <w:sz w:val="16"/>
        </w:rPr>
        <w:t>los</w:t>
      </w:r>
      <w:r>
        <w:rPr>
          <w:spacing w:val="-12"/>
          <w:w w:val="110"/>
          <w:sz w:val="16"/>
        </w:rPr>
        <w:t> </w:t>
      </w:r>
      <w:r>
        <w:rPr>
          <w:w w:val="110"/>
          <w:sz w:val="16"/>
        </w:rPr>
        <w:t>“corazones</w:t>
      </w:r>
      <w:r>
        <w:rPr>
          <w:spacing w:val="-12"/>
          <w:w w:val="110"/>
          <w:sz w:val="16"/>
        </w:rPr>
        <w:t> </w:t>
      </w:r>
      <w:r>
        <w:rPr>
          <w:w w:val="110"/>
          <w:sz w:val="16"/>
        </w:rPr>
        <w:t>y</w:t>
      </w:r>
      <w:r>
        <w:rPr>
          <w:spacing w:val="-12"/>
          <w:w w:val="110"/>
          <w:sz w:val="16"/>
        </w:rPr>
        <w:t> </w:t>
      </w:r>
      <w:r>
        <w:rPr>
          <w:w w:val="110"/>
          <w:sz w:val="16"/>
        </w:rPr>
        <w:t>las</w:t>
      </w:r>
      <w:r>
        <w:rPr>
          <w:spacing w:val="-12"/>
          <w:w w:val="110"/>
          <w:sz w:val="16"/>
        </w:rPr>
        <w:t> </w:t>
      </w:r>
      <w:r>
        <w:rPr>
          <w:w w:val="110"/>
          <w:sz w:val="16"/>
        </w:rPr>
        <w:t>mentes”</w:t>
      </w:r>
      <w:r>
        <w:rPr>
          <w:spacing w:val="-12"/>
          <w:w w:val="110"/>
          <w:sz w:val="16"/>
        </w:rPr>
        <w:t> </w:t>
      </w:r>
      <w:r>
        <w:rPr>
          <w:w w:val="110"/>
          <w:sz w:val="16"/>
        </w:rPr>
        <w:t>a</w:t>
      </w:r>
      <w:r>
        <w:rPr>
          <w:spacing w:val="-12"/>
          <w:w w:val="110"/>
          <w:sz w:val="16"/>
        </w:rPr>
        <w:t> </w:t>
      </w:r>
      <w:r>
        <w:rPr>
          <w:w w:val="110"/>
          <w:sz w:val="16"/>
        </w:rPr>
        <w:t>favor</w:t>
      </w:r>
      <w:r>
        <w:rPr>
          <w:spacing w:val="-12"/>
          <w:w w:val="110"/>
          <w:sz w:val="16"/>
        </w:rPr>
        <w:t> </w:t>
      </w:r>
      <w:r>
        <w:rPr>
          <w:w w:val="110"/>
          <w:sz w:val="16"/>
        </w:rPr>
        <w:t>del</w:t>
      </w:r>
      <w:r>
        <w:rPr>
          <w:spacing w:val="-12"/>
          <w:w w:val="110"/>
          <w:sz w:val="16"/>
        </w:rPr>
        <w:t> </w:t>
      </w:r>
      <w:r>
        <w:rPr>
          <w:w w:val="110"/>
          <w:sz w:val="16"/>
        </w:rPr>
        <w:t>complejo</w:t>
      </w:r>
      <w:r>
        <w:rPr>
          <w:spacing w:val="-12"/>
          <w:w w:val="110"/>
          <w:sz w:val="16"/>
        </w:rPr>
        <w:t> </w:t>
      </w:r>
      <w:r>
        <w:rPr>
          <w:w w:val="110"/>
          <w:sz w:val="16"/>
        </w:rPr>
        <w:t>industrial-militar </w:t>
      </w:r>
      <w:r>
        <w:rPr>
          <w:w w:val="96"/>
          <w:sz w:val="16"/>
        </w:rPr>
        <w:t>(</w:t>
      </w:r>
      <w:r>
        <w:rPr>
          <w:w w:val="136"/>
          <w:sz w:val="16"/>
        </w:rPr>
        <w:t>d</w:t>
      </w:r>
      <w:r>
        <w:rPr>
          <w:w w:val="113"/>
          <w:sz w:val="16"/>
        </w:rPr>
        <w:t>iMaggio,</w:t>
      </w:r>
      <w:r>
        <w:rPr>
          <w:spacing w:val="10"/>
          <w:sz w:val="16"/>
        </w:rPr>
        <w:t> </w:t>
      </w:r>
      <w:r>
        <w:rPr>
          <w:w w:val="100"/>
          <w:sz w:val="16"/>
        </w:rPr>
        <w:t>2009;</w:t>
      </w:r>
      <w:r>
        <w:rPr>
          <w:spacing w:val="10"/>
          <w:sz w:val="16"/>
        </w:rPr>
        <w:t> </w:t>
      </w:r>
      <w:r>
        <w:rPr>
          <w:w w:val="131"/>
          <w:sz w:val="16"/>
        </w:rPr>
        <w:t>b</w:t>
      </w:r>
      <w:r>
        <w:rPr>
          <w:w w:val="110"/>
          <w:sz w:val="16"/>
        </w:rPr>
        <w:t>arsamian,</w:t>
      </w:r>
      <w:r>
        <w:rPr>
          <w:spacing w:val="10"/>
          <w:sz w:val="16"/>
        </w:rPr>
        <w:t> </w:t>
      </w:r>
      <w:r>
        <w:rPr>
          <w:w w:val="100"/>
          <w:sz w:val="16"/>
        </w:rPr>
        <w:t>2001;</w:t>
      </w:r>
      <w:r>
        <w:rPr>
          <w:spacing w:val="10"/>
          <w:sz w:val="16"/>
        </w:rPr>
        <w:t> </w:t>
      </w:r>
      <w:r>
        <w:rPr>
          <w:w w:val="146"/>
          <w:sz w:val="16"/>
        </w:rPr>
        <w:t>s</w:t>
      </w:r>
      <w:r>
        <w:rPr>
          <w:w w:val="110"/>
          <w:sz w:val="16"/>
        </w:rPr>
        <w:t>impson,</w:t>
      </w:r>
      <w:r>
        <w:rPr>
          <w:spacing w:val="10"/>
          <w:sz w:val="16"/>
        </w:rPr>
        <w:t> </w:t>
      </w:r>
      <w:r>
        <w:rPr>
          <w:w w:val="102"/>
          <w:sz w:val="16"/>
        </w:rPr>
        <w:t>1994).</w:t>
      </w:r>
      <w:r>
        <w:rPr>
          <w:spacing w:val="10"/>
          <w:sz w:val="16"/>
        </w:rPr>
        <w:t> </w:t>
      </w:r>
      <w:r>
        <w:rPr>
          <w:w w:val="238"/>
          <w:sz w:val="16"/>
        </w:rPr>
        <w:t>l</w:t>
      </w:r>
      <w:r>
        <w:rPr>
          <w:w w:val="109"/>
          <w:sz w:val="16"/>
        </w:rPr>
        <w:t>a</w:t>
      </w:r>
      <w:r>
        <w:rPr>
          <w:spacing w:val="10"/>
          <w:sz w:val="16"/>
        </w:rPr>
        <w:t> </w:t>
      </w:r>
      <w:r>
        <w:rPr>
          <w:w w:val="107"/>
          <w:sz w:val="16"/>
        </w:rPr>
        <w:t>mayor</w:t>
      </w:r>
      <w:r>
        <w:rPr>
          <w:spacing w:val="10"/>
          <w:sz w:val="16"/>
        </w:rPr>
        <w:t> </w:t>
      </w:r>
      <w:r>
        <w:rPr>
          <w:w w:val="105"/>
          <w:sz w:val="16"/>
        </w:rPr>
        <w:t>parte</w:t>
      </w:r>
      <w:r>
        <w:rPr>
          <w:spacing w:val="10"/>
          <w:sz w:val="16"/>
        </w:rPr>
        <w:t> </w:t>
      </w:r>
      <w:r>
        <w:rPr>
          <w:w w:val="104"/>
          <w:sz w:val="16"/>
        </w:rPr>
        <w:t>de</w:t>
      </w:r>
      <w:r>
        <w:rPr>
          <w:spacing w:val="10"/>
          <w:sz w:val="16"/>
        </w:rPr>
        <w:t> </w:t>
      </w:r>
      <w:r>
        <w:rPr>
          <w:w w:val="107"/>
          <w:sz w:val="16"/>
        </w:rPr>
        <w:t>las</w:t>
      </w:r>
      <w:r>
        <w:rPr>
          <w:spacing w:val="10"/>
          <w:sz w:val="16"/>
        </w:rPr>
        <w:t> </w:t>
      </w:r>
      <w:r>
        <w:rPr>
          <w:w w:val="105"/>
          <w:sz w:val="16"/>
        </w:rPr>
        <w:t>interven</w:t>
      </w:r>
      <w:r>
        <w:rPr>
          <w:w w:val="100"/>
          <w:sz w:val="16"/>
        </w:rPr>
        <w:t>- </w:t>
      </w:r>
      <w:r>
        <w:rPr>
          <w:w w:val="110"/>
          <w:sz w:val="16"/>
        </w:rPr>
        <w:t>ciones</w:t>
      </w:r>
      <w:r>
        <w:rPr>
          <w:spacing w:val="-6"/>
          <w:w w:val="110"/>
          <w:sz w:val="16"/>
        </w:rPr>
        <w:t> </w:t>
      </w:r>
      <w:r>
        <w:rPr>
          <w:w w:val="110"/>
          <w:sz w:val="16"/>
        </w:rPr>
        <w:t>militares</w:t>
      </w:r>
      <w:r>
        <w:rPr>
          <w:spacing w:val="-6"/>
          <w:w w:val="110"/>
          <w:sz w:val="16"/>
        </w:rPr>
        <w:t> </w:t>
      </w:r>
      <w:r>
        <w:rPr>
          <w:w w:val="110"/>
          <w:sz w:val="16"/>
        </w:rPr>
        <w:t>son</w:t>
      </w:r>
      <w:r>
        <w:rPr>
          <w:spacing w:val="-6"/>
          <w:w w:val="110"/>
          <w:sz w:val="16"/>
        </w:rPr>
        <w:t> </w:t>
      </w:r>
      <w:r>
        <w:rPr>
          <w:w w:val="110"/>
          <w:sz w:val="16"/>
        </w:rPr>
        <w:t>realizadas</w:t>
      </w:r>
      <w:r>
        <w:rPr>
          <w:spacing w:val="-6"/>
          <w:w w:val="110"/>
          <w:sz w:val="16"/>
        </w:rPr>
        <w:t> </w:t>
      </w:r>
      <w:r>
        <w:rPr>
          <w:w w:val="110"/>
          <w:sz w:val="16"/>
        </w:rPr>
        <w:t>a</w:t>
      </w:r>
      <w:r>
        <w:rPr>
          <w:spacing w:val="-6"/>
          <w:w w:val="110"/>
          <w:sz w:val="16"/>
        </w:rPr>
        <w:t> </w:t>
      </w:r>
      <w:r>
        <w:rPr>
          <w:w w:val="110"/>
          <w:sz w:val="16"/>
        </w:rPr>
        <w:t>partir</w:t>
      </w:r>
      <w:r>
        <w:rPr>
          <w:spacing w:val="-6"/>
          <w:w w:val="110"/>
          <w:sz w:val="16"/>
        </w:rPr>
        <w:t> </w:t>
      </w:r>
      <w:r>
        <w:rPr>
          <w:w w:val="110"/>
          <w:sz w:val="16"/>
        </w:rPr>
        <w:t>de</w:t>
      </w:r>
      <w:r>
        <w:rPr>
          <w:spacing w:val="-6"/>
          <w:w w:val="110"/>
          <w:sz w:val="16"/>
        </w:rPr>
        <w:t> </w:t>
      </w:r>
      <w:r>
        <w:rPr>
          <w:w w:val="110"/>
          <w:sz w:val="16"/>
        </w:rPr>
        <w:t>órdenes</w:t>
      </w:r>
      <w:r>
        <w:rPr>
          <w:spacing w:val="-6"/>
          <w:w w:val="110"/>
          <w:sz w:val="16"/>
        </w:rPr>
        <w:t> </w:t>
      </w:r>
      <w:r>
        <w:rPr>
          <w:w w:val="110"/>
          <w:sz w:val="16"/>
        </w:rPr>
        <w:t>ejecutivas</w:t>
      </w:r>
      <w:r>
        <w:rPr>
          <w:spacing w:val="-6"/>
          <w:w w:val="110"/>
          <w:sz w:val="16"/>
        </w:rPr>
        <w:t> </w:t>
      </w:r>
      <w:r>
        <w:rPr>
          <w:w w:val="110"/>
          <w:sz w:val="16"/>
        </w:rPr>
        <w:t>(una</w:t>
      </w:r>
      <w:r>
        <w:rPr>
          <w:spacing w:val="-6"/>
          <w:w w:val="110"/>
          <w:sz w:val="16"/>
        </w:rPr>
        <w:t> </w:t>
      </w:r>
      <w:r>
        <w:rPr>
          <w:w w:val="110"/>
          <w:sz w:val="16"/>
        </w:rPr>
        <w:t>herramienta</w:t>
      </w:r>
      <w:r>
        <w:rPr>
          <w:spacing w:val="-6"/>
          <w:w w:val="110"/>
          <w:sz w:val="16"/>
        </w:rPr>
        <w:t> </w:t>
      </w:r>
      <w:r>
        <w:rPr>
          <w:w w:val="110"/>
          <w:sz w:val="16"/>
        </w:rPr>
        <w:t>muy </w:t>
      </w:r>
      <w:r>
        <w:rPr>
          <w:w w:val="115"/>
          <w:sz w:val="16"/>
        </w:rPr>
        <w:t>poco</w:t>
      </w:r>
      <w:r>
        <w:rPr>
          <w:spacing w:val="-6"/>
          <w:w w:val="115"/>
          <w:sz w:val="16"/>
        </w:rPr>
        <w:t> </w:t>
      </w:r>
      <w:r>
        <w:rPr>
          <w:w w:val="115"/>
          <w:sz w:val="16"/>
        </w:rPr>
        <w:t>democrática),</w:t>
      </w:r>
      <w:r>
        <w:rPr>
          <w:spacing w:val="-6"/>
          <w:w w:val="115"/>
          <w:sz w:val="16"/>
        </w:rPr>
        <w:t> </w:t>
      </w:r>
      <w:r>
        <w:rPr>
          <w:w w:val="115"/>
          <w:sz w:val="16"/>
        </w:rPr>
        <w:t>estrategia</w:t>
      </w:r>
      <w:r>
        <w:rPr>
          <w:spacing w:val="-6"/>
          <w:w w:val="115"/>
          <w:sz w:val="16"/>
        </w:rPr>
        <w:t> </w:t>
      </w:r>
      <w:r>
        <w:rPr>
          <w:w w:val="115"/>
          <w:sz w:val="16"/>
        </w:rPr>
        <w:t>legalizada</w:t>
      </w:r>
      <w:r>
        <w:rPr>
          <w:spacing w:val="-6"/>
          <w:w w:val="115"/>
          <w:sz w:val="16"/>
        </w:rPr>
        <w:t> </w:t>
      </w:r>
      <w:r>
        <w:rPr>
          <w:w w:val="115"/>
          <w:sz w:val="16"/>
        </w:rPr>
        <w:t>desde</w:t>
      </w:r>
      <w:r>
        <w:rPr>
          <w:spacing w:val="-6"/>
          <w:w w:val="115"/>
          <w:sz w:val="16"/>
        </w:rPr>
        <w:t> </w:t>
      </w:r>
      <w:r>
        <w:rPr>
          <w:w w:val="115"/>
          <w:sz w:val="16"/>
        </w:rPr>
        <w:t>1947</w:t>
      </w:r>
      <w:r>
        <w:rPr>
          <w:spacing w:val="-6"/>
          <w:w w:val="115"/>
          <w:sz w:val="16"/>
        </w:rPr>
        <w:t> </w:t>
      </w:r>
      <w:r>
        <w:rPr>
          <w:w w:val="115"/>
          <w:sz w:val="16"/>
        </w:rPr>
        <w:t>cuando</w:t>
      </w:r>
      <w:r>
        <w:rPr>
          <w:spacing w:val="-6"/>
          <w:w w:val="115"/>
          <w:sz w:val="16"/>
        </w:rPr>
        <w:t> </w:t>
      </w:r>
      <w:r>
        <w:rPr>
          <w:w w:val="115"/>
          <w:sz w:val="16"/>
        </w:rPr>
        <w:t>se</w:t>
      </w:r>
      <w:r>
        <w:rPr>
          <w:spacing w:val="-6"/>
          <w:w w:val="115"/>
          <w:sz w:val="16"/>
        </w:rPr>
        <w:t> </w:t>
      </w:r>
      <w:r>
        <w:rPr>
          <w:w w:val="115"/>
          <w:sz w:val="16"/>
        </w:rPr>
        <w:t>crea</w:t>
      </w:r>
      <w:r>
        <w:rPr>
          <w:spacing w:val="-6"/>
          <w:w w:val="115"/>
          <w:sz w:val="16"/>
        </w:rPr>
        <w:t> </w:t>
      </w:r>
      <w:r>
        <w:rPr>
          <w:w w:val="115"/>
          <w:sz w:val="16"/>
        </w:rPr>
        <w:t>el</w:t>
      </w:r>
      <w:r>
        <w:rPr>
          <w:spacing w:val="-6"/>
          <w:w w:val="115"/>
          <w:sz w:val="16"/>
        </w:rPr>
        <w:t> </w:t>
      </w:r>
      <w:r>
        <w:rPr>
          <w:w w:val="115"/>
          <w:sz w:val="16"/>
        </w:rPr>
        <w:t>Estado</w:t>
      </w:r>
      <w:r>
        <w:rPr>
          <w:spacing w:val="-6"/>
          <w:w w:val="115"/>
          <w:sz w:val="16"/>
        </w:rPr>
        <w:t> </w:t>
      </w:r>
      <w:r>
        <w:rPr>
          <w:w w:val="115"/>
          <w:sz w:val="16"/>
        </w:rPr>
        <w:t>de seguridad</w:t>
      </w:r>
      <w:r>
        <w:rPr>
          <w:spacing w:val="-11"/>
          <w:w w:val="115"/>
          <w:sz w:val="16"/>
        </w:rPr>
        <w:t> </w:t>
      </w:r>
      <w:r>
        <w:rPr>
          <w:w w:val="115"/>
          <w:sz w:val="16"/>
        </w:rPr>
        <w:t>Nacional</w:t>
      </w:r>
      <w:r>
        <w:rPr>
          <w:spacing w:val="-11"/>
          <w:w w:val="115"/>
          <w:sz w:val="16"/>
        </w:rPr>
        <w:t> </w:t>
      </w:r>
      <w:r>
        <w:rPr>
          <w:w w:val="115"/>
          <w:sz w:val="16"/>
        </w:rPr>
        <w:t>y</w:t>
      </w:r>
      <w:r>
        <w:rPr>
          <w:spacing w:val="-11"/>
          <w:w w:val="115"/>
          <w:sz w:val="16"/>
        </w:rPr>
        <w:t> </w:t>
      </w:r>
      <w:r>
        <w:rPr>
          <w:w w:val="115"/>
          <w:sz w:val="16"/>
        </w:rPr>
        <w:t>se</w:t>
      </w:r>
      <w:r>
        <w:rPr>
          <w:spacing w:val="-11"/>
          <w:w w:val="115"/>
          <w:sz w:val="16"/>
        </w:rPr>
        <w:t> </w:t>
      </w:r>
      <w:r>
        <w:rPr>
          <w:w w:val="115"/>
          <w:sz w:val="16"/>
        </w:rPr>
        <w:t>consolida</w:t>
      </w:r>
      <w:r>
        <w:rPr>
          <w:spacing w:val="-11"/>
          <w:w w:val="115"/>
          <w:sz w:val="16"/>
        </w:rPr>
        <w:t> </w:t>
      </w:r>
      <w:r>
        <w:rPr>
          <w:w w:val="115"/>
          <w:sz w:val="16"/>
        </w:rPr>
        <w:t>la</w:t>
      </w:r>
      <w:r>
        <w:rPr>
          <w:spacing w:val="-11"/>
          <w:w w:val="115"/>
          <w:sz w:val="16"/>
        </w:rPr>
        <w:t> </w:t>
      </w:r>
      <w:r>
        <w:rPr>
          <w:w w:val="115"/>
          <w:sz w:val="16"/>
        </w:rPr>
        <w:t>presidencia</w:t>
      </w:r>
      <w:r>
        <w:rPr>
          <w:spacing w:val="-11"/>
          <w:w w:val="115"/>
          <w:sz w:val="16"/>
        </w:rPr>
        <w:t> </w:t>
      </w:r>
      <w:r>
        <w:rPr>
          <w:w w:val="115"/>
          <w:sz w:val="16"/>
        </w:rPr>
        <w:t>imperial</w:t>
      </w:r>
      <w:r>
        <w:rPr>
          <w:spacing w:val="-11"/>
          <w:w w:val="115"/>
          <w:sz w:val="16"/>
        </w:rPr>
        <w:t> </w:t>
      </w:r>
      <w:r>
        <w:rPr>
          <w:w w:val="115"/>
          <w:sz w:val="16"/>
        </w:rPr>
        <w:t>(Horowitz,</w:t>
      </w:r>
      <w:r>
        <w:rPr>
          <w:spacing w:val="-11"/>
          <w:w w:val="115"/>
          <w:sz w:val="16"/>
        </w:rPr>
        <w:t> </w:t>
      </w:r>
      <w:r>
        <w:rPr>
          <w:w w:val="115"/>
          <w:sz w:val="16"/>
        </w:rPr>
        <w:t>1980;</w:t>
      </w:r>
      <w:r>
        <w:rPr>
          <w:spacing w:val="-11"/>
          <w:w w:val="115"/>
          <w:sz w:val="16"/>
        </w:rPr>
        <w:t> </w:t>
      </w:r>
      <w:r>
        <w:rPr>
          <w:w w:val="115"/>
          <w:sz w:val="16"/>
        </w:rPr>
        <w:t>Wills, </w:t>
      </w:r>
      <w:r>
        <w:rPr>
          <w:w w:val="110"/>
          <w:sz w:val="16"/>
        </w:rPr>
        <w:t>2010).</w:t>
      </w:r>
      <w:r>
        <w:rPr>
          <w:spacing w:val="-9"/>
          <w:w w:val="110"/>
          <w:sz w:val="16"/>
        </w:rPr>
        <w:t> </w:t>
      </w:r>
      <w:r>
        <w:rPr>
          <w:w w:val="110"/>
          <w:sz w:val="16"/>
        </w:rPr>
        <w:t>Estas</w:t>
      </w:r>
      <w:r>
        <w:rPr>
          <w:spacing w:val="-9"/>
          <w:w w:val="110"/>
          <w:sz w:val="16"/>
        </w:rPr>
        <w:t> </w:t>
      </w:r>
      <w:r>
        <w:rPr>
          <w:w w:val="110"/>
          <w:sz w:val="16"/>
        </w:rPr>
        <w:t>incursiones</w:t>
      </w:r>
      <w:r>
        <w:rPr>
          <w:spacing w:val="-9"/>
          <w:w w:val="110"/>
          <w:sz w:val="16"/>
        </w:rPr>
        <w:t> </w:t>
      </w:r>
      <w:r>
        <w:rPr>
          <w:w w:val="110"/>
          <w:sz w:val="16"/>
        </w:rPr>
        <w:t>son</w:t>
      </w:r>
      <w:r>
        <w:rPr>
          <w:spacing w:val="-9"/>
          <w:w w:val="110"/>
          <w:sz w:val="16"/>
        </w:rPr>
        <w:t> </w:t>
      </w:r>
      <w:r>
        <w:rPr>
          <w:w w:val="110"/>
          <w:sz w:val="16"/>
        </w:rPr>
        <w:t>“aceptadas”</w:t>
      </w:r>
      <w:r>
        <w:rPr>
          <w:spacing w:val="-9"/>
          <w:w w:val="110"/>
          <w:sz w:val="16"/>
        </w:rPr>
        <w:t> </w:t>
      </w:r>
      <w:r>
        <w:rPr>
          <w:w w:val="110"/>
          <w:sz w:val="16"/>
        </w:rPr>
        <w:t>por</w:t>
      </w:r>
      <w:r>
        <w:rPr>
          <w:spacing w:val="-9"/>
          <w:w w:val="110"/>
          <w:sz w:val="16"/>
        </w:rPr>
        <w:t> </w:t>
      </w:r>
      <w:r>
        <w:rPr>
          <w:w w:val="110"/>
          <w:sz w:val="16"/>
        </w:rPr>
        <w:t>el</w:t>
      </w:r>
      <w:r>
        <w:rPr>
          <w:spacing w:val="-9"/>
          <w:w w:val="110"/>
          <w:sz w:val="16"/>
        </w:rPr>
        <w:t> </w:t>
      </w:r>
      <w:r>
        <w:rPr>
          <w:w w:val="110"/>
          <w:sz w:val="16"/>
        </w:rPr>
        <w:t>pueblo</w:t>
      </w:r>
      <w:r>
        <w:rPr>
          <w:spacing w:val="-9"/>
          <w:w w:val="110"/>
          <w:sz w:val="16"/>
        </w:rPr>
        <w:t> </w:t>
      </w:r>
      <w:r>
        <w:rPr>
          <w:w w:val="110"/>
          <w:sz w:val="16"/>
        </w:rPr>
        <w:t>estadounidense</w:t>
      </w:r>
      <w:r>
        <w:rPr>
          <w:spacing w:val="-9"/>
          <w:w w:val="110"/>
          <w:sz w:val="16"/>
        </w:rPr>
        <w:t> </w:t>
      </w:r>
      <w:r>
        <w:rPr>
          <w:w w:val="110"/>
          <w:sz w:val="16"/>
        </w:rPr>
        <w:t>debido</w:t>
      </w:r>
      <w:r>
        <w:rPr>
          <w:spacing w:val="-9"/>
          <w:w w:val="110"/>
          <w:sz w:val="16"/>
        </w:rPr>
        <w:t> </w:t>
      </w:r>
      <w:r>
        <w:rPr>
          <w:w w:val="110"/>
          <w:sz w:val="16"/>
        </w:rPr>
        <w:t>a</w:t>
      </w:r>
      <w:r>
        <w:rPr>
          <w:spacing w:val="-9"/>
          <w:w w:val="110"/>
          <w:sz w:val="16"/>
        </w:rPr>
        <w:t> </w:t>
      </w:r>
      <w:r>
        <w:rPr>
          <w:w w:val="110"/>
          <w:sz w:val="16"/>
        </w:rPr>
        <w:t>que </w:t>
      </w:r>
      <w:r>
        <w:rPr>
          <w:w w:val="115"/>
          <w:sz w:val="16"/>
        </w:rPr>
        <w:t>la</w:t>
      </w:r>
      <w:r>
        <w:rPr>
          <w:spacing w:val="-6"/>
          <w:w w:val="115"/>
          <w:sz w:val="16"/>
        </w:rPr>
        <w:t> </w:t>
      </w:r>
      <w:r>
        <w:rPr>
          <w:w w:val="115"/>
          <w:sz w:val="16"/>
        </w:rPr>
        <w:t>mayoría</w:t>
      </w:r>
      <w:r>
        <w:rPr>
          <w:spacing w:val="-6"/>
          <w:w w:val="115"/>
          <w:sz w:val="16"/>
        </w:rPr>
        <w:t> </w:t>
      </w:r>
      <w:r>
        <w:rPr>
          <w:w w:val="115"/>
          <w:sz w:val="16"/>
        </w:rPr>
        <w:t>de</w:t>
      </w:r>
      <w:r>
        <w:rPr>
          <w:spacing w:val="-6"/>
          <w:w w:val="115"/>
          <w:sz w:val="16"/>
        </w:rPr>
        <w:t> </w:t>
      </w:r>
      <w:r>
        <w:rPr>
          <w:w w:val="115"/>
          <w:sz w:val="16"/>
        </w:rPr>
        <w:t>las</w:t>
      </w:r>
      <w:r>
        <w:rPr>
          <w:spacing w:val="-6"/>
          <w:w w:val="115"/>
          <w:sz w:val="16"/>
        </w:rPr>
        <w:t> </w:t>
      </w:r>
      <w:r>
        <w:rPr>
          <w:w w:val="115"/>
          <w:sz w:val="16"/>
        </w:rPr>
        <w:t>veces</w:t>
      </w:r>
      <w:r>
        <w:rPr>
          <w:spacing w:val="-6"/>
          <w:w w:val="115"/>
          <w:sz w:val="16"/>
        </w:rPr>
        <w:t> </w:t>
      </w:r>
      <w:r>
        <w:rPr>
          <w:w w:val="115"/>
          <w:sz w:val="16"/>
        </w:rPr>
        <w:t>se</w:t>
      </w:r>
      <w:r>
        <w:rPr>
          <w:spacing w:val="-6"/>
          <w:w w:val="115"/>
          <w:sz w:val="16"/>
        </w:rPr>
        <w:t> </w:t>
      </w:r>
      <w:r>
        <w:rPr>
          <w:w w:val="115"/>
          <w:sz w:val="16"/>
        </w:rPr>
        <w:t>oculta</w:t>
      </w:r>
      <w:r>
        <w:rPr>
          <w:spacing w:val="-6"/>
          <w:w w:val="115"/>
          <w:sz w:val="16"/>
        </w:rPr>
        <w:t> </w:t>
      </w:r>
      <w:r>
        <w:rPr>
          <w:w w:val="115"/>
          <w:sz w:val="16"/>
        </w:rPr>
        <w:t>la</w:t>
      </w:r>
      <w:r>
        <w:rPr>
          <w:spacing w:val="-6"/>
          <w:w w:val="115"/>
          <w:sz w:val="16"/>
        </w:rPr>
        <w:t> </w:t>
      </w:r>
      <w:r>
        <w:rPr>
          <w:w w:val="115"/>
          <w:sz w:val="16"/>
        </w:rPr>
        <w:t>información,</w:t>
      </w:r>
      <w:r>
        <w:rPr>
          <w:spacing w:val="-6"/>
          <w:w w:val="115"/>
          <w:sz w:val="16"/>
        </w:rPr>
        <w:t> </w:t>
      </w:r>
      <w:r>
        <w:rPr>
          <w:w w:val="115"/>
          <w:sz w:val="16"/>
        </w:rPr>
        <w:t>se</w:t>
      </w:r>
      <w:r>
        <w:rPr>
          <w:spacing w:val="-6"/>
          <w:w w:val="115"/>
          <w:sz w:val="16"/>
        </w:rPr>
        <w:t> </w:t>
      </w:r>
      <w:r>
        <w:rPr>
          <w:w w:val="115"/>
          <w:sz w:val="16"/>
        </w:rPr>
        <w:t>miente,</w:t>
      </w:r>
      <w:r>
        <w:rPr>
          <w:spacing w:val="-6"/>
          <w:w w:val="115"/>
          <w:sz w:val="16"/>
        </w:rPr>
        <w:t> </w:t>
      </w:r>
      <w:r>
        <w:rPr>
          <w:w w:val="115"/>
          <w:sz w:val="16"/>
        </w:rPr>
        <w:t>o</w:t>
      </w:r>
      <w:r>
        <w:rPr>
          <w:spacing w:val="-6"/>
          <w:w w:val="115"/>
          <w:sz w:val="16"/>
        </w:rPr>
        <w:t> </w:t>
      </w:r>
      <w:r>
        <w:rPr>
          <w:w w:val="115"/>
          <w:sz w:val="16"/>
        </w:rPr>
        <w:t>se</w:t>
      </w:r>
      <w:r>
        <w:rPr>
          <w:spacing w:val="-6"/>
          <w:w w:val="115"/>
          <w:sz w:val="16"/>
        </w:rPr>
        <w:t> </w:t>
      </w:r>
      <w:r>
        <w:rPr>
          <w:w w:val="115"/>
          <w:sz w:val="16"/>
        </w:rPr>
        <w:t>muestra</w:t>
      </w:r>
      <w:r>
        <w:rPr>
          <w:spacing w:val="-6"/>
          <w:w w:val="115"/>
          <w:sz w:val="16"/>
        </w:rPr>
        <w:t> </w:t>
      </w:r>
      <w:r>
        <w:rPr>
          <w:w w:val="115"/>
          <w:sz w:val="16"/>
        </w:rPr>
        <w:t>sólo</w:t>
      </w:r>
      <w:r>
        <w:rPr>
          <w:spacing w:val="-6"/>
          <w:w w:val="115"/>
          <w:sz w:val="16"/>
        </w:rPr>
        <w:t> </w:t>
      </w:r>
      <w:r>
        <w:rPr>
          <w:w w:val="115"/>
          <w:sz w:val="16"/>
        </w:rPr>
        <w:t>una parte</w:t>
      </w:r>
      <w:r>
        <w:rPr>
          <w:spacing w:val="-22"/>
          <w:w w:val="115"/>
          <w:sz w:val="16"/>
        </w:rPr>
        <w:t> </w:t>
      </w:r>
      <w:r>
        <w:rPr>
          <w:w w:val="115"/>
          <w:sz w:val="16"/>
        </w:rPr>
        <w:t>del</w:t>
      </w:r>
      <w:r>
        <w:rPr>
          <w:spacing w:val="-22"/>
          <w:w w:val="115"/>
          <w:sz w:val="16"/>
        </w:rPr>
        <w:t> </w:t>
      </w:r>
      <w:r>
        <w:rPr>
          <w:w w:val="115"/>
          <w:sz w:val="16"/>
        </w:rPr>
        <w:t>conflicto,</w:t>
      </w:r>
      <w:r>
        <w:rPr>
          <w:spacing w:val="-22"/>
          <w:w w:val="115"/>
          <w:sz w:val="16"/>
        </w:rPr>
        <w:t> </w:t>
      </w:r>
      <w:r>
        <w:rPr>
          <w:w w:val="115"/>
          <w:sz w:val="16"/>
        </w:rPr>
        <w:t>utilizando</w:t>
      </w:r>
      <w:r>
        <w:rPr>
          <w:spacing w:val="-22"/>
          <w:w w:val="115"/>
          <w:sz w:val="16"/>
        </w:rPr>
        <w:t> </w:t>
      </w:r>
      <w:r>
        <w:rPr>
          <w:w w:val="115"/>
          <w:sz w:val="16"/>
        </w:rPr>
        <w:t>para</w:t>
      </w:r>
      <w:r>
        <w:rPr>
          <w:spacing w:val="-22"/>
          <w:w w:val="115"/>
          <w:sz w:val="16"/>
        </w:rPr>
        <w:t> </w:t>
      </w:r>
      <w:r>
        <w:rPr>
          <w:w w:val="115"/>
          <w:sz w:val="16"/>
        </w:rPr>
        <w:t>esto</w:t>
      </w:r>
      <w:r>
        <w:rPr>
          <w:spacing w:val="-22"/>
          <w:w w:val="115"/>
          <w:sz w:val="16"/>
        </w:rPr>
        <w:t> </w:t>
      </w:r>
      <w:r>
        <w:rPr>
          <w:w w:val="115"/>
          <w:sz w:val="16"/>
        </w:rPr>
        <w:t>especialmente</w:t>
      </w:r>
      <w:r>
        <w:rPr>
          <w:spacing w:val="-22"/>
          <w:w w:val="115"/>
          <w:sz w:val="16"/>
        </w:rPr>
        <w:t> </w:t>
      </w:r>
      <w:r>
        <w:rPr>
          <w:w w:val="115"/>
          <w:sz w:val="16"/>
        </w:rPr>
        <w:t>a</w:t>
      </w:r>
      <w:r>
        <w:rPr>
          <w:spacing w:val="-22"/>
          <w:w w:val="115"/>
          <w:sz w:val="16"/>
        </w:rPr>
        <w:t> </w:t>
      </w:r>
      <w:r>
        <w:rPr>
          <w:w w:val="115"/>
          <w:sz w:val="16"/>
        </w:rPr>
        <w:t>la</w:t>
      </w:r>
      <w:r>
        <w:rPr>
          <w:spacing w:val="-22"/>
          <w:w w:val="115"/>
          <w:sz w:val="16"/>
        </w:rPr>
        <w:t> </w:t>
      </w:r>
      <w:r>
        <w:rPr>
          <w:w w:val="115"/>
          <w:sz w:val="16"/>
        </w:rPr>
        <w:t>prensa</w:t>
      </w:r>
      <w:r>
        <w:rPr>
          <w:spacing w:val="-22"/>
          <w:w w:val="115"/>
          <w:sz w:val="16"/>
        </w:rPr>
        <w:t> </w:t>
      </w:r>
      <w:r>
        <w:rPr>
          <w:spacing w:val="-6"/>
          <w:w w:val="115"/>
          <w:sz w:val="16"/>
        </w:rPr>
        <w:t>(tV,</w:t>
      </w:r>
      <w:r>
        <w:rPr>
          <w:spacing w:val="-22"/>
          <w:w w:val="115"/>
          <w:sz w:val="16"/>
        </w:rPr>
        <w:t> </w:t>
      </w:r>
      <w:r>
        <w:rPr>
          <w:w w:val="115"/>
          <w:sz w:val="16"/>
        </w:rPr>
        <w:t>radio,</w:t>
      </w:r>
      <w:r>
        <w:rPr>
          <w:spacing w:val="-22"/>
          <w:w w:val="115"/>
          <w:sz w:val="16"/>
        </w:rPr>
        <w:t> </w:t>
      </w:r>
      <w:r>
        <w:rPr>
          <w:w w:val="115"/>
          <w:sz w:val="16"/>
        </w:rPr>
        <w:t>prensa </w:t>
      </w:r>
      <w:r>
        <w:rPr>
          <w:w w:val="110"/>
          <w:sz w:val="16"/>
        </w:rPr>
        <w:t>escrita y Hollywood) (Herman y </w:t>
      </w:r>
      <w:r>
        <w:rPr>
          <w:spacing w:val="-3"/>
          <w:w w:val="110"/>
          <w:sz w:val="16"/>
        </w:rPr>
        <w:t>Chomsky, </w:t>
      </w:r>
      <w:r>
        <w:rPr>
          <w:w w:val="110"/>
          <w:sz w:val="16"/>
        </w:rPr>
        <w:t>1988). Esto parece aplicar</w:t>
      </w:r>
      <w:r>
        <w:rPr>
          <w:spacing w:val="-27"/>
          <w:w w:val="110"/>
          <w:sz w:val="16"/>
        </w:rPr>
        <w:t> </w:t>
      </w:r>
      <w:r>
        <w:rPr>
          <w:w w:val="110"/>
          <w:sz w:val="16"/>
        </w:rPr>
        <w:t>especialmente </w:t>
      </w:r>
      <w:r>
        <w:rPr>
          <w:w w:val="115"/>
          <w:sz w:val="16"/>
        </w:rPr>
        <w:t>al</w:t>
      </w:r>
      <w:r>
        <w:rPr>
          <w:spacing w:val="-21"/>
          <w:w w:val="115"/>
          <w:sz w:val="16"/>
        </w:rPr>
        <w:t> </w:t>
      </w:r>
      <w:r>
        <w:rPr>
          <w:w w:val="115"/>
          <w:sz w:val="16"/>
        </w:rPr>
        <w:t>caso</w:t>
      </w:r>
      <w:r>
        <w:rPr>
          <w:spacing w:val="-21"/>
          <w:w w:val="115"/>
          <w:sz w:val="16"/>
        </w:rPr>
        <w:t> </w:t>
      </w:r>
      <w:r>
        <w:rPr>
          <w:w w:val="115"/>
          <w:sz w:val="16"/>
        </w:rPr>
        <w:t>de</w:t>
      </w:r>
      <w:r>
        <w:rPr>
          <w:spacing w:val="-21"/>
          <w:w w:val="115"/>
          <w:sz w:val="16"/>
        </w:rPr>
        <w:t> </w:t>
      </w:r>
      <w:r>
        <w:rPr>
          <w:w w:val="115"/>
          <w:sz w:val="16"/>
        </w:rPr>
        <w:t>Vietnam.</w:t>
      </w:r>
    </w:p>
    <w:p>
      <w:pPr>
        <w:spacing w:after="0" w:line="242" w:lineRule="auto"/>
        <w:jc w:val="both"/>
        <w:rPr>
          <w:sz w:val="16"/>
        </w:rPr>
        <w:sectPr>
          <w:footerReference w:type="even" r:id="rId362"/>
          <w:footerReference w:type="default" r:id="rId363"/>
          <w:pgSz w:w="8790" w:h="12760"/>
          <w:pgMar w:footer="725" w:header="695" w:top="880" w:bottom="920" w:left="1200" w:right="900"/>
          <w:pgNumType w:start="254"/>
        </w:sectPr>
      </w:pPr>
    </w:p>
    <w:p>
      <w:pPr>
        <w:pStyle w:val="BodyText"/>
        <w:spacing w:before="9"/>
        <w:rPr>
          <w:sz w:val="28"/>
        </w:rPr>
      </w:pPr>
    </w:p>
    <w:p>
      <w:pPr>
        <w:pStyle w:val="BodyText"/>
        <w:spacing w:line="252" w:lineRule="auto" w:before="73"/>
        <w:ind w:left="120" w:right="328"/>
        <w:jc w:val="both"/>
      </w:pPr>
      <w:r>
        <w:rPr>
          <w:w w:val="110"/>
        </w:rPr>
        <w:t>los procesos que pueden señalarse vinculados a dicha guerra, para una mínima comprensión, hay que considerar al menos los costos hu- manos y monetarios, así como la devastación   ambiental.</w:t>
      </w:r>
    </w:p>
    <w:p>
      <w:pPr>
        <w:pStyle w:val="BodyText"/>
        <w:spacing w:line="252" w:lineRule="auto"/>
        <w:ind w:left="120" w:right="327" w:firstLine="396"/>
        <w:jc w:val="both"/>
      </w:pPr>
      <w:r>
        <w:rPr>
          <w:w w:val="115"/>
        </w:rPr>
        <w:t>En</w:t>
      </w:r>
      <w:r>
        <w:rPr>
          <w:spacing w:val="-7"/>
          <w:w w:val="115"/>
        </w:rPr>
        <w:t> </w:t>
      </w:r>
      <w:r>
        <w:rPr>
          <w:w w:val="115"/>
        </w:rPr>
        <w:t>uno</w:t>
      </w:r>
      <w:r>
        <w:rPr>
          <w:spacing w:val="-7"/>
          <w:w w:val="115"/>
        </w:rPr>
        <w:t> </w:t>
      </w:r>
      <w:r>
        <w:rPr>
          <w:w w:val="115"/>
        </w:rPr>
        <w:t>de</w:t>
      </w:r>
      <w:r>
        <w:rPr>
          <w:spacing w:val="-7"/>
          <w:w w:val="115"/>
        </w:rPr>
        <w:t> </w:t>
      </w:r>
      <w:r>
        <w:rPr>
          <w:w w:val="115"/>
        </w:rPr>
        <w:t>los</w:t>
      </w:r>
      <w:r>
        <w:rPr>
          <w:spacing w:val="-7"/>
          <w:w w:val="115"/>
        </w:rPr>
        <w:t> </w:t>
      </w:r>
      <w:r>
        <w:rPr>
          <w:w w:val="115"/>
        </w:rPr>
        <w:t>primeros</w:t>
      </w:r>
      <w:r>
        <w:rPr>
          <w:spacing w:val="-7"/>
          <w:w w:val="115"/>
        </w:rPr>
        <w:t> </w:t>
      </w:r>
      <w:r>
        <w:rPr>
          <w:w w:val="115"/>
        </w:rPr>
        <w:t>libros</w:t>
      </w:r>
      <w:r>
        <w:rPr>
          <w:spacing w:val="-7"/>
          <w:w w:val="115"/>
        </w:rPr>
        <w:t> </w:t>
      </w:r>
      <w:r>
        <w:rPr>
          <w:w w:val="115"/>
        </w:rPr>
        <w:t>en</w:t>
      </w:r>
      <w:r>
        <w:rPr>
          <w:spacing w:val="-7"/>
          <w:w w:val="115"/>
        </w:rPr>
        <w:t> </w:t>
      </w:r>
      <w:r>
        <w:rPr>
          <w:w w:val="115"/>
        </w:rPr>
        <w:t>los</w:t>
      </w:r>
      <w:r>
        <w:rPr>
          <w:spacing w:val="-7"/>
          <w:w w:val="115"/>
        </w:rPr>
        <w:t> </w:t>
      </w:r>
      <w:r>
        <w:rPr>
          <w:w w:val="115"/>
        </w:rPr>
        <w:t>que</w:t>
      </w:r>
      <w:r>
        <w:rPr>
          <w:spacing w:val="-7"/>
          <w:w w:val="115"/>
        </w:rPr>
        <w:t> </w:t>
      </w:r>
      <w:r>
        <w:rPr>
          <w:w w:val="115"/>
        </w:rPr>
        <w:t>se</w:t>
      </w:r>
      <w:r>
        <w:rPr>
          <w:spacing w:val="-7"/>
          <w:w w:val="115"/>
        </w:rPr>
        <w:t> </w:t>
      </w:r>
      <w:r>
        <w:rPr>
          <w:w w:val="115"/>
        </w:rPr>
        <w:t>planteaban</w:t>
      </w:r>
      <w:r>
        <w:rPr>
          <w:spacing w:val="-7"/>
          <w:w w:val="115"/>
        </w:rPr>
        <w:t> </w:t>
      </w:r>
      <w:r>
        <w:rPr>
          <w:w w:val="115"/>
        </w:rPr>
        <w:t>las</w:t>
      </w:r>
      <w:r>
        <w:rPr>
          <w:spacing w:val="-7"/>
          <w:w w:val="115"/>
        </w:rPr>
        <w:t> </w:t>
      </w:r>
      <w:r>
        <w:rPr>
          <w:w w:val="115"/>
        </w:rPr>
        <w:t>razo- nes por las cuales EE.uu. debía retirarse de Vietnam, Howard Zinn apuntaba</w:t>
      </w:r>
      <w:r>
        <w:rPr>
          <w:spacing w:val="-32"/>
          <w:w w:val="115"/>
        </w:rPr>
        <w:t> </w:t>
      </w:r>
      <w:r>
        <w:rPr>
          <w:w w:val="115"/>
        </w:rPr>
        <w:t>que</w:t>
      </w:r>
      <w:r>
        <w:rPr>
          <w:spacing w:val="-32"/>
          <w:w w:val="115"/>
        </w:rPr>
        <w:t> </w:t>
      </w:r>
      <w:r>
        <w:rPr>
          <w:w w:val="115"/>
        </w:rPr>
        <w:t>para</w:t>
      </w:r>
      <w:r>
        <w:rPr>
          <w:spacing w:val="-32"/>
          <w:w w:val="115"/>
        </w:rPr>
        <w:t> </w:t>
      </w:r>
      <w:r>
        <w:rPr>
          <w:w w:val="115"/>
        </w:rPr>
        <w:t>fines</w:t>
      </w:r>
      <w:r>
        <w:rPr>
          <w:spacing w:val="-32"/>
          <w:w w:val="115"/>
        </w:rPr>
        <w:t> </w:t>
      </w:r>
      <w:r>
        <w:rPr>
          <w:w w:val="115"/>
        </w:rPr>
        <w:t>de</w:t>
      </w:r>
      <w:r>
        <w:rPr>
          <w:spacing w:val="-32"/>
          <w:w w:val="115"/>
        </w:rPr>
        <w:t> </w:t>
      </w:r>
      <w:r>
        <w:rPr>
          <w:w w:val="115"/>
        </w:rPr>
        <w:t>1966,</w:t>
      </w:r>
      <w:r>
        <w:rPr>
          <w:spacing w:val="-32"/>
          <w:w w:val="115"/>
        </w:rPr>
        <w:t> </w:t>
      </w:r>
      <w:r>
        <w:rPr>
          <w:w w:val="115"/>
        </w:rPr>
        <w:t>el</w:t>
      </w:r>
      <w:r>
        <w:rPr>
          <w:spacing w:val="-32"/>
          <w:w w:val="115"/>
        </w:rPr>
        <w:t> </w:t>
      </w:r>
      <w:r>
        <w:rPr>
          <w:w w:val="115"/>
        </w:rPr>
        <w:t>gobierno</w:t>
      </w:r>
      <w:r>
        <w:rPr>
          <w:spacing w:val="-32"/>
          <w:w w:val="115"/>
        </w:rPr>
        <w:t> </w:t>
      </w:r>
      <w:r>
        <w:rPr>
          <w:w w:val="115"/>
        </w:rPr>
        <w:t>estaba</w:t>
      </w:r>
      <w:r>
        <w:rPr>
          <w:spacing w:val="-32"/>
          <w:w w:val="115"/>
        </w:rPr>
        <w:t> </w:t>
      </w:r>
      <w:r>
        <w:rPr>
          <w:w w:val="115"/>
        </w:rPr>
        <w:t>gastando</w:t>
      </w:r>
      <w:r>
        <w:rPr>
          <w:spacing w:val="-32"/>
          <w:w w:val="115"/>
        </w:rPr>
        <w:t> </w:t>
      </w:r>
      <w:r>
        <w:rPr>
          <w:w w:val="115"/>
        </w:rPr>
        <w:t>en</w:t>
      </w:r>
      <w:r>
        <w:rPr>
          <w:spacing w:val="-32"/>
          <w:w w:val="115"/>
        </w:rPr>
        <w:t> </w:t>
      </w:r>
      <w:r>
        <w:rPr>
          <w:w w:val="115"/>
        </w:rPr>
        <w:t>dicha guerra</w:t>
      </w:r>
      <w:r>
        <w:rPr>
          <w:spacing w:val="-19"/>
          <w:w w:val="115"/>
        </w:rPr>
        <w:t> </w:t>
      </w:r>
      <w:r>
        <w:rPr>
          <w:w w:val="115"/>
        </w:rPr>
        <w:t>un</w:t>
      </w:r>
      <w:r>
        <w:rPr>
          <w:spacing w:val="-19"/>
          <w:w w:val="115"/>
        </w:rPr>
        <w:t> </w:t>
      </w:r>
      <w:r>
        <w:rPr>
          <w:w w:val="115"/>
        </w:rPr>
        <w:t>promedio</w:t>
      </w:r>
      <w:r>
        <w:rPr>
          <w:spacing w:val="-19"/>
          <w:w w:val="115"/>
        </w:rPr>
        <w:t> </w:t>
      </w:r>
      <w:r>
        <w:rPr>
          <w:w w:val="115"/>
        </w:rPr>
        <w:t>anual</w:t>
      </w:r>
      <w:r>
        <w:rPr>
          <w:spacing w:val="-19"/>
          <w:w w:val="115"/>
        </w:rPr>
        <w:t> </w:t>
      </w:r>
      <w:r>
        <w:rPr>
          <w:w w:val="115"/>
        </w:rPr>
        <w:t>de</w:t>
      </w:r>
      <w:r>
        <w:rPr>
          <w:spacing w:val="-19"/>
          <w:w w:val="115"/>
        </w:rPr>
        <w:t> </w:t>
      </w:r>
      <w:r>
        <w:rPr>
          <w:w w:val="115"/>
        </w:rPr>
        <w:t>20</w:t>
      </w:r>
      <w:r>
        <w:rPr>
          <w:spacing w:val="-19"/>
          <w:w w:val="115"/>
        </w:rPr>
        <w:t> </w:t>
      </w:r>
      <w:r>
        <w:rPr>
          <w:w w:val="115"/>
        </w:rPr>
        <w:t>mil</w:t>
      </w:r>
      <w:r>
        <w:rPr>
          <w:spacing w:val="-19"/>
          <w:w w:val="115"/>
        </w:rPr>
        <w:t> </w:t>
      </w:r>
      <w:r>
        <w:rPr>
          <w:w w:val="115"/>
        </w:rPr>
        <w:t>millones</w:t>
      </w:r>
      <w:r>
        <w:rPr>
          <w:spacing w:val="-19"/>
          <w:w w:val="115"/>
        </w:rPr>
        <w:t> </w:t>
      </w:r>
      <w:r>
        <w:rPr>
          <w:w w:val="115"/>
        </w:rPr>
        <w:t>de</w:t>
      </w:r>
      <w:r>
        <w:rPr>
          <w:spacing w:val="-19"/>
          <w:w w:val="115"/>
        </w:rPr>
        <w:t> </w:t>
      </w:r>
      <w:r>
        <w:rPr>
          <w:w w:val="115"/>
        </w:rPr>
        <w:t>dólares,</w:t>
      </w:r>
      <w:r>
        <w:rPr>
          <w:spacing w:val="-19"/>
          <w:w w:val="115"/>
        </w:rPr>
        <w:t> </w:t>
      </w:r>
      <w:r>
        <w:rPr>
          <w:w w:val="115"/>
        </w:rPr>
        <w:t>lo</w:t>
      </w:r>
      <w:r>
        <w:rPr>
          <w:spacing w:val="-19"/>
          <w:w w:val="115"/>
        </w:rPr>
        <w:t> </w:t>
      </w:r>
      <w:r>
        <w:rPr>
          <w:w w:val="115"/>
        </w:rPr>
        <w:t>suficiente como</w:t>
      </w:r>
      <w:r>
        <w:rPr>
          <w:spacing w:val="-23"/>
          <w:w w:val="115"/>
        </w:rPr>
        <w:t> </w:t>
      </w:r>
      <w:r>
        <w:rPr>
          <w:w w:val="115"/>
        </w:rPr>
        <w:t>para</w:t>
      </w:r>
      <w:r>
        <w:rPr>
          <w:spacing w:val="-23"/>
          <w:w w:val="115"/>
        </w:rPr>
        <w:t> </w:t>
      </w:r>
      <w:r>
        <w:rPr>
          <w:w w:val="115"/>
        </w:rPr>
        <w:t>darle</w:t>
      </w:r>
      <w:r>
        <w:rPr>
          <w:spacing w:val="-23"/>
          <w:w w:val="115"/>
        </w:rPr>
        <w:t> </w:t>
      </w:r>
      <w:r>
        <w:rPr>
          <w:w w:val="115"/>
        </w:rPr>
        <w:t>a</w:t>
      </w:r>
      <w:r>
        <w:rPr>
          <w:spacing w:val="-23"/>
          <w:w w:val="115"/>
        </w:rPr>
        <w:t> </w:t>
      </w:r>
      <w:r>
        <w:rPr>
          <w:w w:val="115"/>
        </w:rPr>
        <w:t>cada</w:t>
      </w:r>
      <w:r>
        <w:rPr>
          <w:spacing w:val="-23"/>
          <w:w w:val="115"/>
        </w:rPr>
        <w:t> </w:t>
      </w:r>
      <w:r>
        <w:rPr>
          <w:w w:val="115"/>
        </w:rPr>
        <w:t>familia</w:t>
      </w:r>
      <w:r>
        <w:rPr>
          <w:spacing w:val="-23"/>
          <w:w w:val="115"/>
        </w:rPr>
        <w:t> </w:t>
      </w:r>
      <w:r>
        <w:rPr>
          <w:w w:val="115"/>
        </w:rPr>
        <w:t>vietnamita</w:t>
      </w:r>
      <w:r>
        <w:rPr>
          <w:spacing w:val="-23"/>
          <w:w w:val="115"/>
        </w:rPr>
        <w:t> </w:t>
      </w:r>
      <w:r>
        <w:rPr>
          <w:w w:val="115"/>
        </w:rPr>
        <w:t>5.000</w:t>
      </w:r>
      <w:r>
        <w:rPr>
          <w:spacing w:val="-23"/>
          <w:w w:val="115"/>
        </w:rPr>
        <w:t> </w:t>
      </w:r>
      <w:r>
        <w:rPr>
          <w:w w:val="115"/>
        </w:rPr>
        <w:t>dólares</w:t>
      </w:r>
      <w:r>
        <w:rPr>
          <w:spacing w:val="-23"/>
          <w:w w:val="115"/>
        </w:rPr>
        <w:t> </w:t>
      </w:r>
      <w:r>
        <w:rPr>
          <w:w w:val="115"/>
        </w:rPr>
        <w:t>al</w:t>
      </w:r>
      <w:r>
        <w:rPr>
          <w:spacing w:val="-23"/>
          <w:w w:val="115"/>
        </w:rPr>
        <w:t> </w:t>
      </w:r>
      <w:r>
        <w:rPr>
          <w:w w:val="115"/>
        </w:rPr>
        <w:t>año</w:t>
      </w:r>
      <w:r>
        <w:rPr>
          <w:spacing w:val="-23"/>
          <w:w w:val="115"/>
        </w:rPr>
        <w:t> </w:t>
      </w:r>
      <w:r>
        <w:rPr>
          <w:w w:val="115"/>
        </w:rPr>
        <w:t>(cuyos ingresos</w:t>
      </w:r>
      <w:r>
        <w:rPr>
          <w:spacing w:val="-26"/>
          <w:w w:val="115"/>
        </w:rPr>
        <w:t> </w:t>
      </w:r>
      <w:r>
        <w:rPr>
          <w:w w:val="115"/>
        </w:rPr>
        <w:t>anuales</w:t>
      </w:r>
      <w:r>
        <w:rPr>
          <w:spacing w:val="-26"/>
          <w:w w:val="115"/>
        </w:rPr>
        <w:t> </w:t>
      </w:r>
      <w:r>
        <w:rPr>
          <w:w w:val="115"/>
        </w:rPr>
        <w:t>eran</w:t>
      </w:r>
      <w:r>
        <w:rPr>
          <w:spacing w:val="-26"/>
          <w:w w:val="115"/>
        </w:rPr>
        <w:t> </w:t>
      </w:r>
      <w:r>
        <w:rPr>
          <w:w w:val="115"/>
        </w:rPr>
        <w:t>poco</w:t>
      </w:r>
      <w:r>
        <w:rPr>
          <w:spacing w:val="-26"/>
          <w:w w:val="115"/>
        </w:rPr>
        <w:t> </w:t>
      </w:r>
      <w:r>
        <w:rPr>
          <w:w w:val="115"/>
        </w:rPr>
        <w:t>más</w:t>
      </w:r>
      <w:r>
        <w:rPr>
          <w:spacing w:val="-26"/>
          <w:w w:val="115"/>
        </w:rPr>
        <w:t> </w:t>
      </w:r>
      <w:r>
        <w:rPr>
          <w:w w:val="115"/>
        </w:rPr>
        <w:t>que</w:t>
      </w:r>
      <w:r>
        <w:rPr>
          <w:spacing w:val="-26"/>
          <w:w w:val="115"/>
        </w:rPr>
        <w:t> </w:t>
      </w:r>
      <w:r>
        <w:rPr>
          <w:w w:val="115"/>
        </w:rPr>
        <w:t>unos</w:t>
      </w:r>
      <w:r>
        <w:rPr>
          <w:spacing w:val="-26"/>
          <w:w w:val="115"/>
        </w:rPr>
        <w:t> </w:t>
      </w:r>
      <w:r>
        <w:rPr>
          <w:w w:val="115"/>
        </w:rPr>
        <w:t>cuantos</w:t>
      </w:r>
      <w:r>
        <w:rPr>
          <w:spacing w:val="-26"/>
          <w:w w:val="115"/>
        </w:rPr>
        <w:t> </w:t>
      </w:r>
      <w:r>
        <w:rPr>
          <w:w w:val="115"/>
        </w:rPr>
        <w:t>cientos</w:t>
      </w:r>
      <w:r>
        <w:rPr>
          <w:spacing w:val="-26"/>
          <w:w w:val="115"/>
        </w:rPr>
        <w:t> </w:t>
      </w:r>
      <w:r>
        <w:rPr>
          <w:w w:val="115"/>
        </w:rPr>
        <w:t>de</w:t>
      </w:r>
      <w:r>
        <w:rPr>
          <w:spacing w:val="-26"/>
          <w:w w:val="115"/>
        </w:rPr>
        <w:t> </w:t>
      </w:r>
      <w:r>
        <w:rPr>
          <w:w w:val="115"/>
        </w:rPr>
        <w:t>dólares). asimismo, los gastos mensuales para la guerra excedían los gastos anuales en el “Programa Gran sociedad” para paliar la pobreza del gobierno</w:t>
      </w:r>
      <w:r>
        <w:rPr>
          <w:spacing w:val="-21"/>
          <w:w w:val="115"/>
        </w:rPr>
        <w:t> </w:t>
      </w:r>
      <w:r>
        <w:rPr>
          <w:w w:val="115"/>
        </w:rPr>
        <w:t>de</w:t>
      </w:r>
      <w:r>
        <w:rPr>
          <w:spacing w:val="-21"/>
          <w:w w:val="115"/>
        </w:rPr>
        <w:t> </w:t>
      </w:r>
      <w:r>
        <w:rPr>
          <w:w w:val="115"/>
        </w:rPr>
        <w:t>Johnson</w:t>
      </w:r>
      <w:r>
        <w:rPr>
          <w:spacing w:val="-21"/>
          <w:w w:val="115"/>
        </w:rPr>
        <w:t> </w:t>
      </w:r>
      <w:r>
        <w:rPr>
          <w:w w:val="115"/>
        </w:rPr>
        <w:t>(Zinn,</w:t>
      </w:r>
      <w:r>
        <w:rPr>
          <w:spacing w:val="-21"/>
          <w:w w:val="115"/>
        </w:rPr>
        <w:t> </w:t>
      </w:r>
      <w:r>
        <w:rPr>
          <w:w w:val="115"/>
        </w:rPr>
        <w:t>2002:</w:t>
      </w:r>
      <w:r>
        <w:rPr>
          <w:spacing w:val="-21"/>
          <w:w w:val="115"/>
        </w:rPr>
        <w:t> </w:t>
      </w:r>
      <w:r>
        <w:rPr>
          <w:w w:val="115"/>
        </w:rPr>
        <w:t>1).</w:t>
      </w:r>
    </w:p>
    <w:p>
      <w:pPr>
        <w:pStyle w:val="BodyText"/>
        <w:spacing w:line="252" w:lineRule="auto"/>
        <w:ind w:left="120" w:right="328" w:firstLine="396"/>
        <w:jc w:val="both"/>
      </w:pPr>
      <w:r>
        <w:rPr>
          <w:w w:val="110"/>
        </w:rPr>
        <w:t>Pero no se trataba solamente de una cuestión de presupuesto, sino del modo en que se fue tejiendo un discurso y prácticas legitima- doras de una invasión brutal, por fuera de todas las reglas del derecho internacional. un diario de Chicago, ante la pregunta de un lector so- bre si era cierto que por cada soldado enemigo que mataban los esta- dounidenses en Vietnam se mataban seis civiles, respondía “eso no es verdad, solo se matan cuatro civiles por soldado” (</w:t>
      </w:r>
      <w:r>
        <w:rPr>
          <w:i/>
          <w:w w:val="110"/>
        </w:rPr>
        <w:t>Ibíd.</w:t>
      </w:r>
      <w:r>
        <w:rPr>
          <w:w w:val="110"/>
        </w:rPr>
        <w:t>: 2). además, para 1968, ya habían muerto 40.000 soldados estadounidenses y se contaban al menos 250.000 heridos (Zinn, 2003: 231-232).</w:t>
      </w:r>
    </w:p>
    <w:p>
      <w:pPr>
        <w:pStyle w:val="BodyText"/>
        <w:spacing w:line="252" w:lineRule="auto"/>
        <w:ind w:left="120" w:right="326" w:firstLine="396"/>
        <w:jc w:val="both"/>
      </w:pPr>
      <w:r>
        <w:rPr>
          <w:w w:val="110"/>
        </w:rPr>
        <w:t>Con datos actualizados, se estima que la guerra costó de hecho 110 mil millones de dólares hace 50 años, y al dólar de 2011 su cos-  to puede calcularse en 738 mil millones de dólares. Con respecto a   los “costos humanos”, se cuentan 58.220 soldados estadounidenses     y 3.000.000 de civiles y soldados vietnamitas (Kohn: 2015). según estadísticas informativas de los archivos Nacionales de Estados unidos, el desagregado de las muertes indica que fueron caídos en combate 40.000 soldados estadounidenses.</w:t>
      </w:r>
      <w:r>
        <w:rPr>
          <w:w w:val="110"/>
          <w:position w:val="6"/>
          <w:sz w:val="11"/>
        </w:rPr>
        <w:t>5 </w:t>
      </w:r>
      <w:r>
        <w:rPr>
          <w:w w:val="110"/>
        </w:rPr>
        <w:t>En años recientes, un informe publicado por reuters (dunham, 2008), especifica que  el  total de vietnamitas muertos entre 1955 y 1984 asciende a 3.800.000 (comparado con los 2.000.000 que manejaban las cifras oficiales has- ta ese</w:t>
      </w:r>
      <w:r>
        <w:rPr>
          <w:spacing w:val="29"/>
          <w:w w:val="110"/>
        </w:rPr>
        <w:t> </w:t>
      </w:r>
      <w:r>
        <w:rPr>
          <w:w w:val="110"/>
        </w:rPr>
        <w:t>momento).</w:t>
      </w:r>
    </w:p>
    <w:p>
      <w:pPr>
        <w:pStyle w:val="BodyText"/>
        <w:spacing w:line="252" w:lineRule="auto"/>
        <w:ind w:left="120" w:right="328" w:firstLine="396"/>
        <w:jc w:val="both"/>
      </w:pPr>
      <w:r>
        <w:rPr>
          <w:w w:val="110"/>
        </w:rPr>
        <w:t>una de las características de esta guerra fueron los prolongados   y  tremendos  bombardeos.  El  gobierno  estadounidense  tiró  más</w:t>
      </w:r>
      <w:r>
        <w:rPr>
          <w:spacing w:val="10"/>
          <w:w w:val="110"/>
        </w:rPr>
        <w:t> </w:t>
      </w:r>
      <w:r>
        <w:rPr>
          <w:w w:val="110"/>
        </w:rPr>
        <w:t>de</w:t>
      </w:r>
    </w:p>
    <w:p>
      <w:pPr>
        <w:pStyle w:val="BodyText"/>
        <w:spacing w:line="252" w:lineRule="auto"/>
        <w:ind w:left="120" w:right="328"/>
        <w:jc w:val="both"/>
      </w:pPr>
      <w:r>
        <w:rPr>
          <w:w w:val="110"/>
        </w:rPr>
        <w:t>1.000.000 de toneladas de bombas en Vietnam del Norte. El sur de Vietnam, campo de batalla por excelencia, fue el blanco de un bom- bardeo que alcanzó los 4.000.000 de toneladas, esto es el doble de la cantidad de bombas utilizadas por Estados unidos durante la segun- da Guerra Mundial (allen,  2004).</w:t>
      </w:r>
    </w:p>
    <w:p>
      <w:pPr>
        <w:pStyle w:val="BodyText"/>
        <w:spacing w:before="4"/>
      </w:pPr>
      <w:r>
        <w:rPr/>
        <w:pict>
          <v:line style="position:absolute;mso-position-horizontal-relative:page;mso-position-vertical-relative:paragraph;z-index:6952;mso-wrap-distance-left:0;mso-wrap-distance-right:0" from="51.023602pt,13.558232pt" to="79.369602pt,13.558232pt" stroked="true" strokeweight=".5pt" strokecolor="#000000">
            <w10:wrap type="topAndBottom"/>
          </v:line>
        </w:pict>
      </w:r>
    </w:p>
    <w:p>
      <w:pPr>
        <w:pStyle w:val="ListParagraph"/>
        <w:numPr>
          <w:ilvl w:val="0"/>
          <w:numId w:val="30"/>
        </w:numPr>
        <w:tabs>
          <w:tab w:pos="376" w:val="left" w:leader="none"/>
        </w:tabs>
        <w:spacing w:line="242" w:lineRule="auto" w:before="89" w:after="0"/>
        <w:ind w:left="120" w:right="328" w:firstLine="0"/>
        <w:jc w:val="left"/>
        <w:rPr>
          <w:sz w:val="16"/>
        </w:rPr>
      </w:pPr>
      <w:r>
        <w:rPr>
          <w:w w:val="105"/>
          <w:sz w:val="16"/>
        </w:rPr>
        <w:t>Para acceder a las estadísticas, ver &lt;</w:t>
      </w:r>
      <w:hyperlink r:id="rId364">
        <w:r>
          <w:rPr>
            <w:w w:val="105"/>
            <w:sz w:val="16"/>
          </w:rPr>
          <w:t>http://www.archives.gov/research/military/</w:t>
        </w:r>
      </w:hyperlink>
      <w:r>
        <w:rPr>
          <w:w w:val="105"/>
          <w:sz w:val="16"/>
        </w:rPr>
        <w:t> vietnam-war/casualty-statistics.html&gt;.</w:t>
      </w:r>
    </w:p>
    <w:p>
      <w:pPr>
        <w:spacing w:after="0" w:line="242" w:lineRule="auto"/>
        <w:jc w:val="left"/>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6" w:firstLine="396"/>
        <w:jc w:val="both"/>
      </w:pPr>
      <w:r>
        <w:rPr>
          <w:w w:val="110"/>
        </w:rPr>
        <w:t>un artículo del </w:t>
      </w:r>
      <w:r>
        <w:rPr>
          <w:i/>
          <w:w w:val="110"/>
        </w:rPr>
        <w:t>Washington Post </w:t>
      </w:r>
      <w:r>
        <w:rPr>
          <w:w w:val="110"/>
        </w:rPr>
        <w:t>rescata las declaraciones con-   tra la guerra realizadas por Fred branfman,  uno  de  los  militantes más activos contra la intervención de </w:t>
      </w:r>
      <w:r>
        <w:rPr>
          <w:w w:val="125"/>
        </w:rPr>
        <w:t>EE.uu. </w:t>
      </w:r>
      <w:r>
        <w:rPr>
          <w:w w:val="110"/>
        </w:rPr>
        <w:t>en el sudeste asiático ante el senado, en abril de 1971: “Hay una cantidad importante de evidencia que sugiere que los Estados unidos han llevado a cabo el bombardeo contra civiles más largo de la historia” (schudel, 2014).</w:t>
      </w:r>
      <w:r>
        <w:rPr>
          <w:w w:val="110"/>
          <w:position w:val="6"/>
          <w:sz w:val="11"/>
        </w:rPr>
        <w:t>6 </w:t>
      </w:r>
      <w:r>
        <w:rPr>
          <w:w w:val="140"/>
        </w:rPr>
        <w:t>u</w:t>
      </w:r>
      <w:r>
        <w:rPr>
          <w:w w:val="111"/>
        </w:rPr>
        <w:t>n</w:t>
      </w:r>
      <w:r>
        <w:rPr/>
        <w:t> </w:t>
      </w:r>
      <w:r>
        <w:rPr>
          <w:spacing w:val="-15"/>
        </w:rPr>
        <w:t> </w:t>
      </w:r>
      <w:r>
        <w:rPr>
          <w:w w:val="111"/>
        </w:rPr>
        <w:t>año</w:t>
      </w:r>
      <w:r>
        <w:rPr/>
        <w:t> </w:t>
      </w:r>
      <w:r>
        <w:rPr>
          <w:spacing w:val="-15"/>
        </w:rPr>
        <w:t> </w:t>
      </w:r>
      <w:r>
        <w:rPr>
          <w:w w:val="110"/>
        </w:rPr>
        <w:t>antes,</w:t>
      </w:r>
      <w:r>
        <w:rPr/>
        <w:t> </w:t>
      </w:r>
      <w:r>
        <w:rPr>
          <w:spacing w:val="-15"/>
        </w:rPr>
        <w:t> </w:t>
      </w:r>
      <w:r>
        <w:rPr>
          <w:w w:val="105"/>
        </w:rPr>
        <w:t>se</w:t>
      </w:r>
      <w:r>
        <w:rPr/>
        <w:t> </w:t>
      </w:r>
      <w:r>
        <w:rPr>
          <w:spacing w:val="-15"/>
        </w:rPr>
        <w:t> </w:t>
      </w:r>
      <w:r>
        <w:rPr>
          <w:w w:val="112"/>
        </w:rPr>
        <w:t>había</w:t>
      </w:r>
      <w:r>
        <w:rPr/>
        <w:t> </w:t>
      </w:r>
      <w:r>
        <w:rPr>
          <w:spacing w:val="-15"/>
        </w:rPr>
        <w:t> </w:t>
      </w:r>
      <w:r>
        <w:rPr>
          <w:w w:val="111"/>
        </w:rPr>
        <w:t>lanzado</w:t>
      </w:r>
      <w:r>
        <w:rPr/>
        <w:t> </w:t>
      </w:r>
      <w:r>
        <w:rPr>
          <w:spacing w:val="-15"/>
        </w:rPr>
        <w:t> </w:t>
      </w:r>
      <w:r>
        <w:rPr>
          <w:w w:val="107"/>
        </w:rPr>
        <w:t>sobre</w:t>
      </w:r>
      <w:r>
        <w:rPr/>
        <w:t> </w:t>
      </w:r>
      <w:r>
        <w:rPr>
          <w:spacing w:val="-15"/>
        </w:rPr>
        <w:t> </w:t>
      </w:r>
      <w:r>
        <w:rPr>
          <w:w w:val="243"/>
        </w:rPr>
        <w:t>l</w:t>
      </w:r>
      <w:r>
        <w:rPr>
          <w:w w:val="113"/>
        </w:rPr>
        <w:t>aos,</w:t>
      </w:r>
      <w:r>
        <w:rPr/>
        <w:t> </w:t>
      </w:r>
      <w:r>
        <w:rPr>
          <w:spacing w:val="-15"/>
        </w:rPr>
        <w:t> </w:t>
      </w:r>
      <w:r>
        <w:rPr>
          <w:w w:val="112"/>
        </w:rPr>
        <w:t>Camboya</w:t>
      </w:r>
      <w:r>
        <w:rPr/>
        <w:t> </w:t>
      </w:r>
      <w:r>
        <w:rPr>
          <w:spacing w:val="-15"/>
        </w:rPr>
        <w:t> </w:t>
      </w:r>
      <w:r>
        <w:rPr>
          <w:w w:val="105"/>
        </w:rPr>
        <w:t>y</w:t>
      </w:r>
      <w:r>
        <w:rPr/>
        <w:t> </w:t>
      </w:r>
      <w:r>
        <w:rPr>
          <w:spacing w:val="-15"/>
        </w:rPr>
        <w:t> </w:t>
      </w:r>
      <w:r>
        <w:rPr>
          <w:spacing w:val="-10"/>
          <w:w w:val="119"/>
        </w:rPr>
        <w:t>V</w:t>
      </w:r>
      <w:r>
        <w:rPr>
          <w:w w:val="110"/>
        </w:rPr>
        <w:t>ietnam</w:t>
      </w:r>
      <w:r>
        <w:rPr/>
        <w:t> </w:t>
      </w:r>
      <w:r>
        <w:rPr>
          <w:spacing w:val="-15"/>
        </w:rPr>
        <w:t> </w:t>
      </w:r>
      <w:r>
        <w:rPr>
          <w:w w:val="112"/>
        </w:rPr>
        <w:t>un </w:t>
      </w:r>
      <w:r>
        <w:rPr>
          <w:w w:val="110"/>
        </w:rPr>
        <w:t>bombardeo</w:t>
      </w:r>
      <w:r>
        <w:rPr>
          <w:spacing w:val="11"/>
        </w:rPr>
        <w:t> </w:t>
      </w:r>
      <w:r>
        <w:rPr>
          <w:w w:val="107"/>
        </w:rPr>
        <w:t>de</w:t>
      </w:r>
      <w:r>
        <w:rPr>
          <w:spacing w:val="11"/>
        </w:rPr>
        <w:t> </w:t>
      </w:r>
      <w:r>
        <w:rPr>
          <w:w w:val="104"/>
        </w:rPr>
        <w:t>800.000</w:t>
      </w:r>
      <w:r>
        <w:rPr>
          <w:spacing w:val="11"/>
        </w:rPr>
        <w:t> </w:t>
      </w:r>
      <w:r>
        <w:rPr>
          <w:w w:val="109"/>
        </w:rPr>
        <w:t>toneladas</w:t>
      </w:r>
      <w:r>
        <w:rPr>
          <w:spacing w:val="11"/>
        </w:rPr>
        <w:t> </w:t>
      </w:r>
      <w:r>
        <w:rPr>
          <w:w w:val="114"/>
        </w:rPr>
        <w:t>(Zinn,</w:t>
      </w:r>
      <w:r>
        <w:rPr>
          <w:spacing w:val="11"/>
        </w:rPr>
        <w:t> </w:t>
      </w:r>
      <w:r>
        <w:rPr>
          <w:w w:val="103"/>
        </w:rPr>
        <w:t>2003:</w:t>
      </w:r>
      <w:r>
        <w:rPr>
          <w:spacing w:val="11"/>
        </w:rPr>
        <w:t> </w:t>
      </w:r>
      <w:r>
        <w:rPr>
          <w:w w:val="103"/>
        </w:rPr>
        <w:t>231-232).</w:t>
      </w:r>
      <w:r>
        <w:rPr>
          <w:spacing w:val="11"/>
        </w:rPr>
        <w:t> </w:t>
      </w:r>
      <w:r>
        <w:rPr>
          <w:w w:val="243"/>
        </w:rPr>
        <w:t>l</w:t>
      </w:r>
      <w:r>
        <w:rPr>
          <w:w w:val="108"/>
        </w:rPr>
        <w:t>os</w:t>
      </w:r>
      <w:r>
        <w:rPr>
          <w:spacing w:val="11"/>
        </w:rPr>
        <w:t> </w:t>
      </w:r>
      <w:r>
        <w:rPr>
          <w:w w:val="110"/>
        </w:rPr>
        <w:t>bomba</w:t>
      </w:r>
      <w:r>
        <w:rPr>
          <w:spacing w:val="-15"/>
          <w:w w:val="110"/>
        </w:rPr>
        <w:t>r</w:t>
      </w:r>
      <w:r>
        <w:rPr>
          <w:w w:val="102"/>
        </w:rPr>
        <w:t>- </w:t>
      </w:r>
      <w:r>
        <w:rPr>
          <w:w w:val="110"/>
        </w:rPr>
        <w:t>deos, además, conllevaron a un calamitoso daño ambiental, sumado    a la utilización de agroquímicos. Entre 1961 y 1971 los </w:t>
      </w:r>
      <w:r>
        <w:rPr>
          <w:w w:val="125"/>
        </w:rPr>
        <w:t>EE.uu. </w:t>
      </w:r>
      <w:r>
        <w:rPr>
          <w:w w:val="110"/>
        </w:rPr>
        <w:t>ti- raron 73.000.000 de litros de agentes químicos en Vietnam Central      y Vietnam del sur para defoliar la vegetación de las selvas y para </w:t>
      </w:r>
      <w:r>
        <w:rPr>
          <w:w w:val="111"/>
        </w:rPr>
        <w:t>limitar</w:t>
      </w:r>
      <w:r>
        <w:rPr>
          <w:spacing w:val="11"/>
        </w:rPr>
        <w:t> </w:t>
      </w:r>
      <w:r>
        <w:rPr>
          <w:w w:val="107"/>
        </w:rPr>
        <w:t>el</w:t>
      </w:r>
      <w:r>
        <w:rPr>
          <w:spacing w:val="11"/>
        </w:rPr>
        <w:t> </w:t>
      </w:r>
      <w:r>
        <w:rPr>
          <w:w w:val="110"/>
        </w:rPr>
        <w:t>acceso</w:t>
      </w:r>
      <w:r>
        <w:rPr>
          <w:spacing w:val="11"/>
        </w:rPr>
        <w:t> </w:t>
      </w:r>
      <w:r>
        <w:rPr>
          <w:w w:val="107"/>
        </w:rPr>
        <w:t>del</w:t>
      </w:r>
      <w:r>
        <w:rPr>
          <w:spacing w:val="11"/>
        </w:rPr>
        <w:t> </w:t>
      </w:r>
      <w:r>
        <w:rPr>
          <w:w w:val="109"/>
        </w:rPr>
        <w:t>Frente</w:t>
      </w:r>
      <w:r>
        <w:rPr>
          <w:spacing w:val="11"/>
        </w:rPr>
        <w:t> </w:t>
      </w:r>
      <w:r>
        <w:rPr>
          <w:w w:val="107"/>
        </w:rPr>
        <w:t>de</w:t>
      </w:r>
      <w:r>
        <w:rPr>
          <w:spacing w:val="11"/>
        </w:rPr>
        <w:t> </w:t>
      </w:r>
      <w:r>
        <w:rPr>
          <w:w w:val="243"/>
        </w:rPr>
        <w:t>l</w:t>
      </w:r>
      <w:r>
        <w:rPr>
          <w:w w:val="110"/>
        </w:rPr>
        <w:t>iberación</w:t>
      </w:r>
      <w:r>
        <w:rPr>
          <w:spacing w:val="11"/>
        </w:rPr>
        <w:t> </w:t>
      </w:r>
      <w:r>
        <w:rPr>
          <w:w w:val="113"/>
        </w:rPr>
        <w:t>Nacional</w:t>
      </w:r>
      <w:r>
        <w:rPr>
          <w:spacing w:val="11"/>
        </w:rPr>
        <w:t> </w:t>
      </w:r>
      <w:r>
        <w:rPr>
          <w:w w:val="112"/>
        </w:rPr>
        <w:t>a</w:t>
      </w:r>
      <w:r>
        <w:rPr>
          <w:spacing w:val="11"/>
        </w:rPr>
        <w:t> </w:t>
      </w:r>
      <w:r>
        <w:rPr>
          <w:w w:val="109"/>
        </w:rPr>
        <w:t>medios</w:t>
      </w:r>
      <w:r>
        <w:rPr>
          <w:spacing w:val="11"/>
        </w:rPr>
        <w:t> </w:t>
      </w:r>
      <w:r>
        <w:rPr>
          <w:w w:val="107"/>
        </w:rPr>
        <w:t>de</w:t>
      </w:r>
      <w:r>
        <w:rPr>
          <w:spacing w:val="11"/>
        </w:rPr>
        <w:t> </w:t>
      </w:r>
      <w:r>
        <w:rPr>
          <w:w w:val="111"/>
        </w:rPr>
        <w:t>vida. </w:t>
      </w:r>
      <w:r>
        <w:rPr>
          <w:w w:val="110"/>
        </w:rPr>
        <w:t>de ese total, más de 45.000.000 de litros fueron de agente Naranja, herbicida que –ya desde mediados de los sesenta– se hizo conocido por contener peligrosos niveles de dioxina, un veneno potencialmen- te mortal (Martini, 2013:</w:t>
      </w:r>
      <w:r>
        <w:rPr>
          <w:spacing w:val="12"/>
          <w:w w:val="110"/>
        </w:rPr>
        <w:t> </w:t>
      </w:r>
      <w:r>
        <w:rPr>
          <w:w w:val="110"/>
        </w:rPr>
        <w:t>58).</w:t>
      </w:r>
    </w:p>
    <w:p>
      <w:pPr>
        <w:pStyle w:val="BodyText"/>
        <w:spacing w:line="252" w:lineRule="auto"/>
        <w:ind w:left="330" w:right="116" w:firstLine="396"/>
        <w:jc w:val="right"/>
      </w:pPr>
      <w:r>
        <w:rPr>
          <w:w w:val="139"/>
        </w:rPr>
        <w:t>d</w:t>
      </w:r>
      <w:r>
        <w:rPr>
          <w:w w:val="104"/>
        </w:rPr>
        <w:t>e</w:t>
      </w:r>
      <w:r>
        <w:rPr/>
        <w:t> </w:t>
      </w:r>
      <w:r>
        <w:rPr>
          <w:spacing w:val="-13"/>
        </w:rPr>
        <w:t> </w:t>
      </w:r>
      <w:r>
        <w:rPr>
          <w:w w:val="113"/>
        </w:rPr>
        <w:t>hecho,</w:t>
      </w:r>
      <w:r>
        <w:rPr/>
        <w:t> </w:t>
      </w:r>
      <w:r>
        <w:rPr>
          <w:spacing w:val="-13"/>
        </w:rPr>
        <w:t> </w:t>
      </w:r>
      <w:r>
        <w:rPr>
          <w:w w:val="111"/>
        </w:rPr>
        <w:t>académicos</w:t>
      </w:r>
      <w:r>
        <w:rPr/>
        <w:t> </w:t>
      </w:r>
      <w:r>
        <w:rPr>
          <w:spacing w:val="-13"/>
        </w:rPr>
        <w:t> </w:t>
      </w:r>
      <w:r>
        <w:rPr>
          <w:w w:val="107"/>
        </w:rPr>
        <w:t>de</w:t>
      </w:r>
      <w:r>
        <w:rPr/>
        <w:t> </w:t>
      </w:r>
      <w:r>
        <w:rPr>
          <w:spacing w:val="-13"/>
        </w:rPr>
        <w:t> </w:t>
      </w:r>
      <w:r>
        <w:rPr>
          <w:w w:val="111"/>
        </w:rPr>
        <w:t>la</w:t>
      </w:r>
      <w:r>
        <w:rPr/>
        <w:t> </w:t>
      </w:r>
      <w:r>
        <w:rPr>
          <w:spacing w:val="-13"/>
        </w:rPr>
        <w:t> </w:t>
      </w:r>
      <w:r>
        <w:rPr>
          <w:w w:val="110"/>
        </w:rPr>
        <w:t>talla</w:t>
      </w:r>
      <w:r>
        <w:rPr/>
        <w:t> </w:t>
      </w:r>
      <w:r>
        <w:rPr>
          <w:spacing w:val="-13"/>
        </w:rPr>
        <w:t> </w:t>
      </w:r>
      <w:r>
        <w:rPr>
          <w:w w:val="107"/>
        </w:rPr>
        <w:t>del</w:t>
      </w:r>
      <w:r>
        <w:rPr/>
        <w:t> </w:t>
      </w:r>
      <w:r>
        <w:rPr>
          <w:spacing w:val="-13"/>
        </w:rPr>
        <w:t> </w:t>
      </w:r>
      <w:r>
        <w:rPr>
          <w:w w:val="110"/>
        </w:rPr>
        <w:t>geógrafo</w:t>
      </w:r>
      <w:r>
        <w:rPr/>
        <w:t> </w:t>
      </w:r>
      <w:r>
        <w:rPr>
          <w:spacing w:val="-13"/>
        </w:rPr>
        <w:t> </w:t>
      </w:r>
      <w:r>
        <w:rPr>
          <w:spacing w:val="-18"/>
          <w:w w:val="126"/>
        </w:rPr>
        <w:t>Y</w:t>
      </w:r>
      <w:r>
        <w:rPr>
          <w:w w:val="103"/>
        </w:rPr>
        <w:t>ves</w:t>
      </w:r>
      <w:r>
        <w:rPr/>
        <w:t> </w:t>
      </w:r>
      <w:r>
        <w:rPr>
          <w:spacing w:val="-13"/>
        </w:rPr>
        <w:t> </w:t>
      </w:r>
      <w:r>
        <w:rPr>
          <w:w w:val="243"/>
        </w:rPr>
        <w:t>l</w:t>
      </w:r>
      <w:r>
        <w:rPr>
          <w:w w:val="111"/>
        </w:rPr>
        <w:t>acoste,</w:t>
      </w:r>
      <w:r>
        <w:rPr/>
        <w:t> </w:t>
      </w:r>
      <w:r>
        <w:rPr>
          <w:spacing w:val="-13"/>
        </w:rPr>
        <w:t> </w:t>
      </w:r>
      <w:r>
        <w:rPr>
          <w:w w:val="107"/>
        </w:rPr>
        <w:t>d</w:t>
      </w:r>
      <w:r>
        <w:rPr>
          <w:spacing w:val="-1"/>
          <w:w w:val="107"/>
        </w:rPr>
        <w:t>e</w:t>
      </w:r>
      <w:r>
        <w:rPr>
          <w:w w:val="102"/>
        </w:rPr>
        <w:t>- </w:t>
      </w:r>
      <w:r>
        <w:rPr>
          <w:w w:val="110"/>
        </w:rPr>
        <w:t>nunciaron en su momento esta intervención</w:t>
      </w:r>
      <w:r>
        <w:rPr>
          <w:spacing w:val="43"/>
          <w:w w:val="110"/>
        </w:rPr>
        <w:t> </w:t>
      </w:r>
      <w:r>
        <w:rPr>
          <w:w w:val="110"/>
        </w:rPr>
        <w:t>estadounidense</w:t>
      </w:r>
      <w:r>
        <w:rPr>
          <w:spacing w:val="45"/>
          <w:w w:val="110"/>
        </w:rPr>
        <w:t> </w:t>
      </w:r>
      <w:r>
        <w:rPr>
          <w:w w:val="110"/>
        </w:rPr>
        <w:t>como</w:t>
      </w:r>
      <w:r>
        <w:rPr>
          <w:w w:val="112"/>
        </w:rPr>
        <w:t> </w:t>
      </w:r>
      <w:r>
        <w:rPr>
          <w:w w:val="110"/>
        </w:rPr>
        <w:t>“guerra ecológica”, guerra que podría ser</w:t>
      </w:r>
      <w:r>
        <w:rPr>
          <w:spacing w:val="23"/>
          <w:w w:val="110"/>
        </w:rPr>
        <w:t> </w:t>
      </w:r>
      <w:r>
        <w:rPr>
          <w:w w:val="110"/>
        </w:rPr>
        <w:t>interpretada</w:t>
      </w:r>
      <w:r>
        <w:rPr>
          <w:spacing w:val="11"/>
          <w:w w:val="110"/>
        </w:rPr>
        <w:t> </w:t>
      </w:r>
      <w:r>
        <w:rPr>
          <w:w w:val="110"/>
        </w:rPr>
        <w:t>especialmente</w:t>
      </w:r>
      <w:r>
        <w:rPr>
          <w:w w:val="109"/>
        </w:rPr>
        <w:t> </w:t>
      </w:r>
      <w:r>
        <w:rPr>
          <w:w w:val="110"/>
        </w:rPr>
        <w:t>desde una perspectiva geográfica, pues “para concretar objetivos</w:t>
      </w:r>
      <w:r>
        <w:rPr>
          <w:spacing w:val="13"/>
          <w:w w:val="110"/>
        </w:rPr>
        <w:t> </w:t>
      </w:r>
      <w:r>
        <w:rPr>
          <w:w w:val="110"/>
        </w:rPr>
        <w:t>mi-</w:t>
      </w:r>
      <w:r>
        <w:rPr>
          <w:w w:val="102"/>
        </w:rPr>
        <w:t> </w:t>
      </w:r>
      <w:r>
        <w:rPr>
          <w:w w:val="110"/>
        </w:rPr>
        <w:t>litares</w:t>
      </w:r>
      <w:r>
        <w:rPr>
          <w:spacing w:val="23"/>
          <w:w w:val="110"/>
        </w:rPr>
        <w:t> </w:t>
      </w:r>
      <w:r>
        <w:rPr>
          <w:w w:val="110"/>
        </w:rPr>
        <w:t>y</w:t>
      </w:r>
      <w:r>
        <w:rPr>
          <w:spacing w:val="23"/>
          <w:w w:val="110"/>
        </w:rPr>
        <w:t> </w:t>
      </w:r>
      <w:r>
        <w:rPr>
          <w:w w:val="110"/>
        </w:rPr>
        <w:t>políticos,</w:t>
      </w:r>
      <w:r>
        <w:rPr>
          <w:spacing w:val="23"/>
          <w:w w:val="110"/>
        </w:rPr>
        <w:t> </w:t>
      </w:r>
      <w:r>
        <w:rPr>
          <w:w w:val="110"/>
        </w:rPr>
        <w:t>se</w:t>
      </w:r>
      <w:r>
        <w:rPr>
          <w:spacing w:val="23"/>
          <w:w w:val="110"/>
        </w:rPr>
        <w:t> </w:t>
      </w:r>
      <w:r>
        <w:rPr>
          <w:w w:val="110"/>
        </w:rPr>
        <w:t>destruyó</w:t>
      </w:r>
      <w:r>
        <w:rPr>
          <w:spacing w:val="23"/>
          <w:w w:val="110"/>
        </w:rPr>
        <w:t> </w:t>
      </w:r>
      <w:r>
        <w:rPr>
          <w:w w:val="110"/>
        </w:rPr>
        <w:t>la</w:t>
      </w:r>
      <w:r>
        <w:rPr>
          <w:spacing w:val="23"/>
          <w:w w:val="110"/>
        </w:rPr>
        <w:t> </w:t>
      </w:r>
      <w:r>
        <w:rPr>
          <w:w w:val="110"/>
        </w:rPr>
        <w:t>vegetación,</w:t>
      </w:r>
      <w:r>
        <w:rPr>
          <w:spacing w:val="23"/>
          <w:w w:val="110"/>
        </w:rPr>
        <w:t> </w:t>
      </w:r>
      <w:r>
        <w:rPr>
          <w:w w:val="110"/>
        </w:rPr>
        <w:t>se</w:t>
      </w:r>
      <w:r>
        <w:rPr>
          <w:spacing w:val="23"/>
          <w:w w:val="110"/>
        </w:rPr>
        <w:t> </w:t>
      </w:r>
      <w:r>
        <w:rPr>
          <w:w w:val="110"/>
        </w:rPr>
        <w:t>provocaron</w:t>
      </w:r>
      <w:r>
        <w:rPr>
          <w:spacing w:val="23"/>
          <w:w w:val="110"/>
        </w:rPr>
        <w:t> </w:t>
      </w:r>
      <w:r>
        <w:rPr>
          <w:w w:val="110"/>
        </w:rPr>
        <w:t>cambios</w:t>
      </w:r>
      <w:r>
        <w:rPr>
          <w:w w:val="111"/>
        </w:rPr>
        <w:t> </w:t>
      </w:r>
      <w:r>
        <w:rPr>
          <w:w w:val="110"/>
        </w:rPr>
        <w:t>en las características físicas del suelo, se destruyeron los</w:t>
      </w:r>
      <w:r>
        <w:rPr>
          <w:spacing w:val="4"/>
          <w:w w:val="110"/>
        </w:rPr>
        <w:t> </w:t>
      </w:r>
      <w:r>
        <w:rPr>
          <w:w w:val="110"/>
        </w:rPr>
        <w:t>diques</w:t>
      </w:r>
      <w:r>
        <w:rPr>
          <w:spacing w:val="10"/>
          <w:w w:val="110"/>
        </w:rPr>
        <w:t> </w:t>
      </w:r>
      <w:r>
        <w:rPr>
          <w:w w:val="110"/>
        </w:rPr>
        <w:t>para</w:t>
      </w:r>
      <w:r>
        <w:rPr>
          <w:w w:val="109"/>
        </w:rPr>
        <w:t> </w:t>
      </w:r>
      <w:r>
        <w:rPr>
          <w:w w:val="110"/>
        </w:rPr>
        <w:t>generar un cambio en el nivel de las aguas, se generó un</w:t>
      </w:r>
      <w:r>
        <w:rPr>
          <w:spacing w:val="34"/>
          <w:w w:val="110"/>
        </w:rPr>
        <w:t> </w:t>
      </w:r>
      <w:r>
        <w:rPr>
          <w:w w:val="110"/>
        </w:rPr>
        <w:t>cambio</w:t>
      </w:r>
      <w:r>
        <w:rPr>
          <w:spacing w:val="10"/>
          <w:w w:val="110"/>
        </w:rPr>
        <w:t> </w:t>
      </w:r>
      <w:r>
        <w:rPr>
          <w:w w:val="110"/>
        </w:rPr>
        <w:t>pro-</w:t>
      </w:r>
      <w:r>
        <w:rPr>
          <w:w w:val="102"/>
        </w:rPr>
        <w:t> </w:t>
      </w:r>
      <w:r>
        <w:rPr>
          <w:w w:val="112"/>
        </w:rPr>
        <w:t>fundo</w:t>
      </w:r>
      <w:r>
        <w:rPr>
          <w:spacing w:val="12"/>
        </w:rPr>
        <w:t> </w:t>
      </w:r>
      <w:r>
        <w:rPr>
          <w:w w:val="108"/>
        </w:rPr>
        <w:t>en</w:t>
      </w:r>
      <w:r>
        <w:rPr>
          <w:spacing w:val="12"/>
        </w:rPr>
        <w:t> </w:t>
      </w:r>
      <w:r>
        <w:rPr>
          <w:w w:val="111"/>
        </w:rPr>
        <w:t>la</w:t>
      </w:r>
      <w:r>
        <w:rPr>
          <w:spacing w:val="12"/>
        </w:rPr>
        <w:t> </w:t>
      </w:r>
      <w:r>
        <w:rPr>
          <w:w w:val="110"/>
        </w:rPr>
        <w:t>distribución</w:t>
      </w:r>
      <w:r>
        <w:rPr>
          <w:spacing w:val="12"/>
        </w:rPr>
        <w:t> </w:t>
      </w:r>
      <w:r>
        <w:rPr>
          <w:w w:val="107"/>
        </w:rPr>
        <w:t>de</w:t>
      </w:r>
      <w:r>
        <w:rPr>
          <w:spacing w:val="12"/>
        </w:rPr>
        <w:t> </w:t>
      </w:r>
      <w:r>
        <w:rPr>
          <w:w w:val="111"/>
        </w:rPr>
        <w:t>la</w:t>
      </w:r>
      <w:r>
        <w:rPr>
          <w:spacing w:val="12"/>
        </w:rPr>
        <w:t> </w:t>
      </w:r>
      <w:r>
        <w:rPr>
          <w:w w:val="111"/>
        </w:rPr>
        <w:t>población”</w:t>
      </w:r>
      <w:r>
        <w:rPr>
          <w:spacing w:val="12"/>
        </w:rPr>
        <w:t> </w:t>
      </w:r>
      <w:r>
        <w:rPr>
          <w:w w:val="98"/>
        </w:rPr>
        <w:t>(</w:t>
      </w:r>
      <w:r>
        <w:rPr>
          <w:w w:val="243"/>
        </w:rPr>
        <w:t>l</w:t>
      </w:r>
      <w:r>
        <w:rPr>
          <w:w w:val="111"/>
        </w:rPr>
        <w:t>acoste,</w:t>
      </w:r>
      <w:r>
        <w:rPr>
          <w:spacing w:val="12"/>
        </w:rPr>
        <w:t> </w:t>
      </w:r>
      <w:r>
        <w:rPr>
          <w:w w:val="102"/>
        </w:rPr>
        <w:t>2014</w:t>
      </w:r>
      <w:r>
        <w:rPr>
          <w:spacing w:val="12"/>
        </w:rPr>
        <w:t> </w:t>
      </w:r>
      <w:r>
        <w:rPr>
          <w:w w:val="104"/>
        </w:rPr>
        <w:t>[1973]:</w:t>
      </w:r>
      <w:r>
        <w:rPr>
          <w:spacing w:val="12"/>
        </w:rPr>
        <w:t> </w:t>
      </w:r>
      <w:r>
        <w:rPr>
          <w:w w:val="105"/>
        </w:rPr>
        <w:t>123). </w:t>
      </w:r>
      <w:r>
        <w:rPr>
          <w:spacing w:val="1"/>
          <w:w w:val="243"/>
        </w:rPr>
        <w:t>l</w:t>
      </w:r>
      <w:r>
        <w:rPr>
          <w:w w:val="112"/>
        </w:rPr>
        <w:t>a</w:t>
      </w:r>
      <w:r>
        <w:rPr/>
        <w:t> </w:t>
      </w:r>
      <w:r>
        <w:rPr>
          <w:spacing w:val="4"/>
        </w:rPr>
        <w:t> </w:t>
      </w:r>
      <w:r>
        <w:rPr>
          <w:spacing w:val="1"/>
          <w:w w:val="110"/>
        </w:rPr>
        <w:t>invasió</w:t>
      </w:r>
      <w:r>
        <w:rPr>
          <w:w w:val="110"/>
        </w:rPr>
        <w:t>n</w:t>
      </w:r>
      <w:r>
        <w:rPr/>
        <w:t> </w:t>
      </w:r>
      <w:r>
        <w:rPr>
          <w:spacing w:val="4"/>
        </w:rPr>
        <w:t> </w:t>
      </w:r>
      <w:r>
        <w:rPr>
          <w:w w:val="112"/>
        </w:rPr>
        <w:t>a</w:t>
      </w:r>
      <w:r>
        <w:rPr/>
        <w:t> </w:t>
      </w:r>
      <w:r>
        <w:rPr>
          <w:spacing w:val="4"/>
        </w:rPr>
        <w:t> </w:t>
      </w:r>
      <w:r>
        <w:rPr>
          <w:spacing w:val="-9"/>
          <w:w w:val="119"/>
        </w:rPr>
        <w:t>V</w:t>
      </w:r>
      <w:r>
        <w:rPr>
          <w:spacing w:val="1"/>
          <w:w w:val="110"/>
        </w:rPr>
        <w:t>ietna</w:t>
      </w:r>
      <w:r>
        <w:rPr>
          <w:w w:val="110"/>
        </w:rPr>
        <w:t>m</w:t>
      </w:r>
      <w:r>
        <w:rPr/>
        <w:t> </w:t>
      </w:r>
      <w:r>
        <w:rPr>
          <w:spacing w:val="4"/>
        </w:rPr>
        <w:t> </w:t>
      </w:r>
      <w:r>
        <w:rPr>
          <w:spacing w:val="1"/>
          <w:w w:val="111"/>
        </w:rPr>
        <w:t>comenz</w:t>
      </w:r>
      <w:r>
        <w:rPr>
          <w:w w:val="111"/>
        </w:rPr>
        <w:t>ó</w:t>
      </w:r>
      <w:r>
        <w:rPr/>
        <w:t> </w:t>
      </w:r>
      <w:r>
        <w:rPr>
          <w:spacing w:val="4"/>
        </w:rPr>
        <w:t> </w:t>
      </w:r>
      <w:r>
        <w:rPr>
          <w:spacing w:val="1"/>
          <w:w w:val="112"/>
        </w:rPr>
        <w:t>com</w:t>
      </w:r>
      <w:r>
        <w:rPr>
          <w:w w:val="112"/>
        </w:rPr>
        <w:t>o</w:t>
      </w:r>
      <w:r>
        <w:rPr/>
        <w:t> </w:t>
      </w:r>
      <w:r>
        <w:rPr>
          <w:spacing w:val="4"/>
        </w:rPr>
        <w:t> </w:t>
      </w:r>
      <w:r>
        <w:rPr>
          <w:spacing w:val="1"/>
          <w:w w:val="112"/>
        </w:rPr>
        <w:t>un</w:t>
      </w:r>
      <w:r>
        <w:rPr>
          <w:w w:val="112"/>
        </w:rPr>
        <w:t>a</w:t>
      </w:r>
      <w:r>
        <w:rPr/>
        <w:t> </w:t>
      </w:r>
      <w:r>
        <w:rPr>
          <w:spacing w:val="4"/>
        </w:rPr>
        <w:t> </w:t>
      </w:r>
      <w:r>
        <w:rPr>
          <w:spacing w:val="1"/>
          <w:w w:val="109"/>
        </w:rPr>
        <w:t>“guerr</w:t>
      </w:r>
      <w:r>
        <w:rPr>
          <w:w w:val="109"/>
        </w:rPr>
        <w:t>a</w:t>
      </w:r>
      <w:r>
        <w:rPr/>
        <w:t> </w:t>
      </w:r>
      <w:r>
        <w:rPr>
          <w:spacing w:val="4"/>
        </w:rPr>
        <w:t> </w:t>
      </w:r>
      <w:r>
        <w:rPr>
          <w:spacing w:val="1"/>
          <w:w w:val="113"/>
        </w:rPr>
        <w:t>limitada”, </w:t>
      </w:r>
      <w:r>
        <w:rPr>
          <w:w w:val="110"/>
        </w:rPr>
        <w:t>como</w:t>
      </w:r>
      <w:r>
        <w:rPr>
          <w:spacing w:val="34"/>
          <w:w w:val="110"/>
        </w:rPr>
        <w:t> </w:t>
      </w:r>
      <w:r>
        <w:rPr>
          <w:w w:val="110"/>
        </w:rPr>
        <w:t>una</w:t>
      </w:r>
      <w:r>
        <w:rPr>
          <w:spacing w:val="34"/>
          <w:w w:val="110"/>
        </w:rPr>
        <w:t> </w:t>
      </w:r>
      <w:r>
        <w:rPr>
          <w:w w:val="110"/>
        </w:rPr>
        <w:t>“guerra</w:t>
      </w:r>
      <w:r>
        <w:rPr>
          <w:spacing w:val="34"/>
          <w:w w:val="110"/>
        </w:rPr>
        <w:t> </w:t>
      </w:r>
      <w:r>
        <w:rPr>
          <w:w w:val="110"/>
        </w:rPr>
        <w:t>flexible”,</w:t>
      </w:r>
      <w:r>
        <w:rPr>
          <w:spacing w:val="34"/>
          <w:w w:val="110"/>
        </w:rPr>
        <w:t> </w:t>
      </w:r>
      <w:r>
        <w:rPr>
          <w:w w:val="110"/>
        </w:rPr>
        <w:t>que</w:t>
      </w:r>
      <w:r>
        <w:rPr>
          <w:spacing w:val="34"/>
          <w:w w:val="110"/>
        </w:rPr>
        <w:t> </w:t>
      </w:r>
      <w:r>
        <w:rPr>
          <w:w w:val="110"/>
        </w:rPr>
        <w:t>debía</w:t>
      </w:r>
      <w:r>
        <w:rPr>
          <w:spacing w:val="34"/>
          <w:w w:val="110"/>
        </w:rPr>
        <w:t> </w:t>
      </w:r>
      <w:r>
        <w:rPr>
          <w:w w:val="110"/>
        </w:rPr>
        <w:t>ajustarse</w:t>
      </w:r>
      <w:r>
        <w:rPr>
          <w:spacing w:val="34"/>
          <w:w w:val="110"/>
        </w:rPr>
        <w:t> </w:t>
      </w:r>
      <w:r>
        <w:rPr>
          <w:w w:val="110"/>
        </w:rPr>
        <w:t>a</w:t>
      </w:r>
      <w:r>
        <w:rPr>
          <w:spacing w:val="34"/>
          <w:w w:val="110"/>
        </w:rPr>
        <w:t> </w:t>
      </w:r>
      <w:r>
        <w:rPr>
          <w:w w:val="110"/>
        </w:rPr>
        <w:t>los</w:t>
      </w:r>
      <w:r>
        <w:rPr>
          <w:spacing w:val="34"/>
          <w:w w:val="110"/>
        </w:rPr>
        <w:t> </w:t>
      </w:r>
      <w:r>
        <w:rPr>
          <w:w w:val="110"/>
        </w:rPr>
        <w:t>nuevos</w:t>
      </w:r>
      <w:r>
        <w:rPr>
          <w:spacing w:val="34"/>
          <w:w w:val="110"/>
        </w:rPr>
        <w:t> </w:t>
      </w:r>
      <w:r>
        <w:rPr>
          <w:w w:val="110"/>
        </w:rPr>
        <w:t>desa-</w:t>
      </w:r>
      <w:r>
        <w:rPr>
          <w:w w:val="102"/>
        </w:rPr>
        <w:t> </w:t>
      </w:r>
      <w:r>
        <w:rPr>
          <w:w w:val="110"/>
        </w:rPr>
        <w:t>fíos planteados por las guerrillas (más aun considerando el</w:t>
      </w:r>
      <w:r>
        <w:rPr>
          <w:spacing w:val="26"/>
          <w:w w:val="110"/>
        </w:rPr>
        <w:t> </w:t>
      </w:r>
      <w:r>
        <w:rPr>
          <w:w w:val="110"/>
        </w:rPr>
        <w:t>éxito</w:t>
      </w:r>
      <w:r>
        <w:rPr>
          <w:spacing w:val="18"/>
          <w:w w:val="110"/>
        </w:rPr>
        <w:t> </w:t>
      </w:r>
      <w:r>
        <w:rPr>
          <w:w w:val="110"/>
        </w:rPr>
        <w:t>de</w:t>
      </w:r>
      <w:r>
        <w:rPr>
          <w:spacing w:val="1"/>
          <w:w w:val="107"/>
        </w:rPr>
        <w:t> </w:t>
      </w:r>
      <w:r>
        <w:rPr>
          <w:w w:val="110"/>
        </w:rPr>
        <w:t>la revolución Cubana). En documentos desclasificados</w:t>
      </w:r>
      <w:r>
        <w:rPr>
          <w:spacing w:val="28"/>
          <w:w w:val="110"/>
        </w:rPr>
        <w:t> </w:t>
      </w:r>
      <w:r>
        <w:rPr>
          <w:w w:val="110"/>
        </w:rPr>
        <w:t>que</w:t>
      </w:r>
      <w:r>
        <w:rPr>
          <w:spacing w:val="12"/>
          <w:w w:val="110"/>
        </w:rPr>
        <w:t> </w:t>
      </w:r>
      <w:r>
        <w:rPr>
          <w:w w:val="110"/>
        </w:rPr>
        <w:t>mues-</w:t>
      </w:r>
      <w:r>
        <w:rPr>
          <w:w w:val="102"/>
        </w:rPr>
        <w:t> </w:t>
      </w:r>
      <w:r>
        <w:rPr>
          <w:w w:val="110"/>
        </w:rPr>
        <w:t>tran las percepciones de funcionarios y</w:t>
      </w:r>
      <w:r>
        <w:rPr>
          <w:spacing w:val="43"/>
          <w:w w:val="110"/>
        </w:rPr>
        <w:t> </w:t>
      </w:r>
      <w:r>
        <w:rPr>
          <w:w w:val="110"/>
        </w:rPr>
        <w:t>militares</w:t>
      </w:r>
      <w:r>
        <w:rPr>
          <w:spacing w:val="45"/>
          <w:w w:val="110"/>
        </w:rPr>
        <w:t> </w:t>
      </w:r>
      <w:r>
        <w:rPr>
          <w:w w:val="110"/>
        </w:rPr>
        <w:t>estadounidenses</w:t>
      </w:r>
      <w:r>
        <w:rPr>
          <w:spacing w:val="1"/>
          <w:w w:val="108"/>
        </w:rPr>
        <w:t> </w:t>
      </w:r>
      <w:r>
        <w:rPr>
          <w:w w:val="110"/>
        </w:rPr>
        <w:t>durante</w:t>
      </w:r>
      <w:r>
        <w:rPr>
          <w:spacing w:val="37"/>
          <w:w w:val="110"/>
        </w:rPr>
        <w:t> </w:t>
      </w:r>
      <w:r>
        <w:rPr>
          <w:w w:val="110"/>
        </w:rPr>
        <w:t>la</w:t>
      </w:r>
      <w:r>
        <w:rPr>
          <w:spacing w:val="37"/>
          <w:w w:val="110"/>
        </w:rPr>
        <w:t> </w:t>
      </w:r>
      <w:r>
        <w:rPr>
          <w:w w:val="110"/>
        </w:rPr>
        <w:t>gestión</w:t>
      </w:r>
      <w:r>
        <w:rPr>
          <w:spacing w:val="37"/>
          <w:w w:val="110"/>
        </w:rPr>
        <w:t> </w:t>
      </w:r>
      <w:r>
        <w:rPr>
          <w:w w:val="110"/>
        </w:rPr>
        <w:t>de</w:t>
      </w:r>
      <w:r>
        <w:rPr>
          <w:spacing w:val="37"/>
          <w:w w:val="110"/>
        </w:rPr>
        <w:t> </w:t>
      </w:r>
      <w:r>
        <w:rPr>
          <w:w w:val="110"/>
        </w:rPr>
        <w:t>Kennedy,</w:t>
      </w:r>
      <w:r>
        <w:rPr>
          <w:spacing w:val="37"/>
          <w:w w:val="110"/>
        </w:rPr>
        <w:t> </w:t>
      </w:r>
      <w:r>
        <w:rPr>
          <w:w w:val="110"/>
        </w:rPr>
        <w:t>puede</w:t>
      </w:r>
      <w:r>
        <w:rPr>
          <w:spacing w:val="37"/>
          <w:w w:val="110"/>
        </w:rPr>
        <w:t> </w:t>
      </w:r>
      <w:r>
        <w:rPr>
          <w:w w:val="110"/>
        </w:rPr>
        <w:t>leerse:</w:t>
      </w:r>
      <w:r>
        <w:rPr>
          <w:spacing w:val="37"/>
          <w:w w:val="110"/>
        </w:rPr>
        <w:t> </w:t>
      </w:r>
      <w:r>
        <w:rPr>
          <w:w w:val="110"/>
        </w:rPr>
        <w:t>“tenemos</w:t>
      </w:r>
      <w:r>
        <w:rPr>
          <w:spacing w:val="37"/>
          <w:w w:val="110"/>
        </w:rPr>
        <w:t> </w:t>
      </w:r>
      <w:r>
        <w:rPr>
          <w:w w:val="110"/>
        </w:rPr>
        <w:t>poca</w:t>
      </w:r>
      <w:r>
        <w:rPr>
          <w:spacing w:val="37"/>
          <w:w w:val="110"/>
        </w:rPr>
        <w:t> </w:t>
      </w:r>
      <w:r>
        <w:rPr>
          <w:w w:val="110"/>
        </w:rPr>
        <w:t>habi-</w:t>
      </w:r>
      <w:r>
        <w:rPr>
          <w:w w:val="102"/>
        </w:rPr>
        <w:t> </w:t>
      </w:r>
      <w:r>
        <w:rPr>
          <w:w w:val="110"/>
        </w:rPr>
        <w:t>lidad</w:t>
      </w:r>
      <w:r>
        <w:rPr>
          <w:spacing w:val="33"/>
          <w:w w:val="110"/>
        </w:rPr>
        <w:t> </w:t>
      </w:r>
      <w:r>
        <w:rPr>
          <w:w w:val="110"/>
        </w:rPr>
        <w:t>para</w:t>
      </w:r>
      <w:r>
        <w:rPr>
          <w:spacing w:val="33"/>
          <w:w w:val="110"/>
        </w:rPr>
        <w:t> </w:t>
      </w:r>
      <w:r>
        <w:rPr>
          <w:w w:val="110"/>
        </w:rPr>
        <w:t>tratar</w:t>
      </w:r>
      <w:r>
        <w:rPr>
          <w:spacing w:val="33"/>
          <w:w w:val="110"/>
        </w:rPr>
        <w:t> </w:t>
      </w:r>
      <w:r>
        <w:rPr>
          <w:w w:val="110"/>
        </w:rPr>
        <w:t>con</w:t>
      </w:r>
      <w:r>
        <w:rPr>
          <w:spacing w:val="33"/>
          <w:w w:val="110"/>
        </w:rPr>
        <w:t> </w:t>
      </w:r>
      <w:r>
        <w:rPr>
          <w:w w:val="110"/>
        </w:rPr>
        <w:t>las</w:t>
      </w:r>
      <w:r>
        <w:rPr>
          <w:spacing w:val="33"/>
          <w:w w:val="110"/>
        </w:rPr>
        <w:t> </w:t>
      </w:r>
      <w:r>
        <w:rPr>
          <w:w w:val="110"/>
        </w:rPr>
        <w:t>fuerzas</w:t>
      </w:r>
      <w:r>
        <w:rPr>
          <w:spacing w:val="33"/>
          <w:w w:val="110"/>
        </w:rPr>
        <w:t> </w:t>
      </w:r>
      <w:r>
        <w:rPr>
          <w:w w:val="110"/>
        </w:rPr>
        <w:t>guerrilleras,</w:t>
      </w:r>
      <w:r>
        <w:rPr>
          <w:spacing w:val="33"/>
          <w:w w:val="110"/>
        </w:rPr>
        <w:t> </w:t>
      </w:r>
      <w:r>
        <w:rPr>
          <w:w w:val="110"/>
        </w:rPr>
        <w:t>con</w:t>
      </w:r>
      <w:r>
        <w:rPr>
          <w:spacing w:val="33"/>
          <w:w w:val="110"/>
        </w:rPr>
        <w:t> </w:t>
      </w:r>
      <w:r>
        <w:rPr>
          <w:w w:val="110"/>
        </w:rPr>
        <w:t>la</w:t>
      </w:r>
      <w:r>
        <w:rPr>
          <w:spacing w:val="33"/>
          <w:w w:val="110"/>
        </w:rPr>
        <w:t> </w:t>
      </w:r>
      <w:r>
        <w:rPr>
          <w:w w:val="110"/>
        </w:rPr>
        <w:t>insurrección</w:t>
      </w:r>
      <w:r>
        <w:rPr>
          <w:spacing w:val="33"/>
          <w:w w:val="110"/>
        </w:rPr>
        <w:t> </w:t>
      </w:r>
      <w:r>
        <w:rPr>
          <w:w w:val="110"/>
        </w:rPr>
        <w:t>y</w:t>
      </w:r>
      <w:r>
        <w:rPr>
          <w:w w:val="105"/>
        </w:rPr>
        <w:t> </w:t>
      </w:r>
      <w:r>
        <w:rPr>
          <w:spacing w:val="1"/>
          <w:w w:val="111"/>
        </w:rPr>
        <w:t>l</w:t>
      </w:r>
      <w:r>
        <w:rPr>
          <w:w w:val="111"/>
        </w:rPr>
        <w:t>a</w:t>
      </w:r>
      <w:r>
        <w:rPr/>
        <w:t> </w:t>
      </w:r>
      <w:r>
        <w:rPr>
          <w:spacing w:val="-20"/>
        </w:rPr>
        <w:t> </w:t>
      </w:r>
      <w:r>
        <w:rPr>
          <w:spacing w:val="1"/>
          <w:w w:val="109"/>
        </w:rPr>
        <w:t>subversión</w:t>
      </w:r>
      <w:r>
        <w:rPr>
          <w:w w:val="109"/>
        </w:rPr>
        <w:t>.</w:t>
      </w:r>
      <w:r>
        <w:rPr/>
        <w:t> </w:t>
      </w:r>
      <w:r>
        <w:rPr>
          <w:spacing w:val="-20"/>
        </w:rPr>
        <w:t> </w:t>
      </w:r>
      <w:r>
        <w:rPr>
          <w:spacing w:val="1"/>
          <w:w w:val="243"/>
        </w:rPr>
        <w:t>l</w:t>
      </w:r>
      <w:r>
        <w:rPr>
          <w:w w:val="112"/>
        </w:rPr>
        <w:t>a</w:t>
      </w:r>
      <w:r>
        <w:rPr/>
        <w:t> </w:t>
      </w:r>
      <w:r>
        <w:rPr>
          <w:spacing w:val="-20"/>
        </w:rPr>
        <w:t> </w:t>
      </w:r>
      <w:r>
        <w:rPr>
          <w:spacing w:val="1"/>
          <w:w w:val="109"/>
        </w:rPr>
        <w:t>mayo</w:t>
      </w:r>
      <w:r>
        <w:rPr>
          <w:w w:val="109"/>
        </w:rPr>
        <w:t>r</w:t>
      </w:r>
      <w:r>
        <w:rPr/>
        <w:t> </w:t>
      </w:r>
      <w:r>
        <w:rPr>
          <w:spacing w:val="-20"/>
        </w:rPr>
        <w:t> </w:t>
      </w:r>
      <w:r>
        <w:rPr>
          <w:spacing w:val="1"/>
          <w:w w:val="107"/>
        </w:rPr>
        <w:t>part</w:t>
      </w:r>
      <w:r>
        <w:rPr>
          <w:w w:val="107"/>
        </w:rPr>
        <w:t>e</w:t>
      </w:r>
      <w:r>
        <w:rPr/>
        <w:t> </w:t>
      </w:r>
      <w:r>
        <w:rPr>
          <w:spacing w:val="-20"/>
        </w:rPr>
        <w:t> </w:t>
      </w:r>
      <w:r>
        <w:rPr>
          <w:spacing w:val="1"/>
          <w:w w:val="107"/>
        </w:rPr>
        <w:t>de</w:t>
      </w:r>
      <w:r>
        <w:rPr>
          <w:w w:val="107"/>
        </w:rPr>
        <w:t>l</w:t>
      </w:r>
      <w:r>
        <w:rPr/>
        <w:t> </w:t>
      </w:r>
      <w:r>
        <w:rPr>
          <w:spacing w:val="-20"/>
        </w:rPr>
        <w:t> </w:t>
      </w:r>
      <w:r>
        <w:rPr>
          <w:spacing w:val="1"/>
          <w:w w:val="109"/>
        </w:rPr>
        <w:t>esfuerz</w:t>
      </w:r>
      <w:r>
        <w:rPr>
          <w:w w:val="109"/>
        </w:rPr>
        <w:t>o</w:t>
      </w:r>
      <w:r>
        <w:rPr/>
        <w:t> </w:t>
      </w:r>
      <w:r>
        <w:rPr>
          <w:spacing w:val="-20"/>
        </w:rPr>
        <w:t> </w:t>
      </w:r>
      <w:r>
        <w:rPr>
          <w:spacing w:val="1"/>
          <w:w w:val="111"/>
        </w:rPr>
        <w:t>hech</w:t>
      </w:r>
      <w:r>
        <w:rPr>
          <w:w w:val="111"/>
        </w:rPr>
        <w:t>o</w:t>
      </w:r>
      <w:r>
        <w:rPr/>
        <w:t> </w:t>
      </w:r>
      <w:r>
        <w:rPr>
          <w:spacing w:val="-20"/>
        </w:rPr>
        <w:t> </w:t>
      </w:r>
      <w:r>
        <w:rPr>
          <w:spacing w:val="1"/>
          <w:w w:val="108"/>
        </w:rPr>
        <w:t>e</w:t>
      </w:r>
      <w:r>
        <w:rPr>
          <w:w w:val="108"/>
        </w:rPr>
        <w:t>n</w:t>
      </w:r>
      <w:r>
        <w:rPr/>
        <w:t> </w:t>
      </w:r>
      <w:r>
        <w:rPr>
          <w:spacing w:val="-20"/>
        </w:rPr>
        <w:t> </w:t>
      </w:r>
      <w:r>
        <w:rPr>
          <w:spacing w:val="1"/>
          <w:w w:val="107"/>
        </w:rPr>
        <w:t>e</w:t>
      </w:r>
      <w:r>
        <w:rPr>
          <w:w w:val="107"/>
        </w:rPr>
        <w:t>l</w:t>
      </w:r>
      <w:r>
        <w:rPr/>
        <w:t> </w:t>
      </w:r>
      <w:r>
        <w:rPr>
          <w:spacing w:val="-20"/>
        </w:rPr>
        <w:t> </w:t>
      </w:r>
      <w:r>
        <w:rPr>
          <w:spacing w:val="1"/>
          <w:w w:val="109"/>
        </w:rPr>
        <w:t>pasad</w:t>
      </w:r>
      <w:r>
        <w:rPr>
          <w:w w:val="109"/>
        </w:rPr>
        <w:t>o</w:t>
      </w:r>
      <w:r>
        <w:rPr/>
        <w:t> </w:t>
      </w:r>
      <w:r>
        <w:rPr>
          <w:spacing w:val="-20"/>
        </w:rPr>
        <w:t> </w:t>
      </w:r>
      <w:r>
        <w:rPr>
          <w:spacing w:val="1"/>
          <w:w w:val="109"/>
        </w:rPr>
        <w:t>para </w:t>
      </w:r>
      <w:r>
        <w:rPr>
          <w:w w:val="110"/>
        </w:rPr>
        <w:t>enfrentar la guerrilla ha sido provechoso pero fue orientado</w:t>
      </w:r>
      <w:r>
        <w:rPr>
          <w:spacing w:val="23"/>
          <w:w w:val="110"/>
        </w:rPr>
        <w:t> </w:t>
      </w:r>
      <w:r>
        <w:rPr>
          <w:w w:val="110"/>
        </w:rPr>
        <w:t>hacia</w:t>
      </w:r>
      <w:r>
        <w:rPr>
          <w:spacing w:val="12"/>
          <w:w w:val="110"/>
        </w:rPr>
        <w:t> </w:t>
      </w:r>
      <w:r>
        <w:rPr>
          <w:w w:val="110"/>
        </w:rPr>
        <w:t>la</w:t>
      </w:r>
      <w:r>
        <w:rPr>
          <w:spacing w:val="1"/>
          <w:w w:val="111"/>
        </w:rPr>
        <w:t> </w:t>
      </w:r>
      <w:r>
        <w:rPr>
          <w:w w:val="110"/>
        </w:rPr>
        <w:t>guerra general. se necesita un esfuerzo para crear capacidades</w:t>
      </w:r>
      <w:r>
        <w:rPr>
          <w:spacing w:val="40"/>
          <w:w w:val="110"/>
        </w:rPr>
        <w:t> </w:t>
      </w:r>
      <w:r>
        <w:rPr>
          <w:w w:val="110"/>
        </w:rPr>
        <w:t>de</w:t>
      </w:r>
      <w:r>
        <w:rPr>
          <w:spacing w:val="1"/>
          <w:w w:val="107"/>
        </w:rPr>
        <w:t> </w:t>
      </w:r>
      <w:r>
        <w:rPr>
          <w:w w:val="110"/>
        </w:rPr>
        <w:t>guerra</w:t>
      </w:r>
      <w:r>
        <w:rPr>
          <w:spacing w:val="33"/>
          <w:w w:val="110"/>
        </w:rPr>
        <w:t> </w:t>
      </w:r>
      <w:r>
        <w:rPr>
          <w:w w:val="110"/>
        </w:rPr>
        <w:t>limitada</w:t>
      </w:r>
      <w:r>
        <w:rPr>
          <w:spacing w:val="33"/>
          <w:w w:val="110"/>
        </w:rPr>
        <w:t> </w:t>
      </w:r>
      <w:r>
        <w:rPr>
          <w:w w:val="110"/>
        </w:rPr>
        <w:t>en</w:t>
      </w:r>
      <w:r>
        <w:rPr>
          <w:spacing w:val="33"/>
          <w:w w:val="110"/>
        </w:rPr>
        <w:t> </w:t>
      </w:r>
      <w:r>
        <w:rPr>
          <w:w w:val="110"/>
        </w:rPr>
        <w:t>el</w:t>
      </w:r>
      <w:r>
        <w:rPr>
          <w:spacing w:val="33"/>
          <w:w w:val="110"/>
        </w:rPr>
        <w:t> </w:t>
      </w:r>
      <w:r>
        <w:rPr>
          <w:w w:val="110"/>
        </w:rPr>
        <w:t>sudeste</w:t>
      </w:r>
      <w:r>
        <w:rPr>
          <w:spacing w:val="33"/>
          <w:w w:val="110"/>
        </w:rPr>
        <w:t> </w:t>
      </w:r>
      <w:r>
        <w:rPr>
          <w:w w:val="110"/>
        </w:rPr>
        <w:t>asiático,</w:t>
      </w:r>
      <w:r>
        <w:rPr>
          <w:spacing w:val="33"/>
          <w:w w:val="110"/>
        </w:rPr>
        <w:t> </w:t>
      </w:r>
      <w:r>
        <w:rPr>
          <w:w w:val="110"/>
        </w:rPr>
        <w:t>en</w:t>
      </w:r>
      <w:r>
        <w:rPr>
          <w:spacing w:val="33"/>
          <w:w w:val="110"/>
        </w:rPr>
        <w:t> </w:t>
      </w:r>
      <w:r>
        <w:rPr>
          <w:w w:val="110"/>
        </w:rPr>
        <w:t>Medio</w:t>
      </w:r>
      <w:r>
        <w:rPr>
          <w:spacing w:val="33"/>
          <w:w w:val="110"/>
        </w:rPr>
        <w:t> </w:t>
      </w:r>
      <w:r>
        <w:rPr>
          <w:w w:val="110"/>
        </w:rPr>
        <w:t>oriente</w:t>
      </w:r>
      <w:r>
        <w:rPr>
          <w:spacing w:val="33"/>
          <w:w w:val="110"/>
        </w:rPr>
        <w:t> </w:t>
      </w:r>
      <w:r>
        <w:rPr>
          <w:w w:val="110"/>
        </w:rPr>
        <w:t>y</w:t>
      </w:r>
      <w:r>
        <w:rPr>
          <w:spacing w:val="33"/>
          <w:w w:val="110"/>
        </w:rPr>
        <w:t> </w:t>
      </w:r>
      <w:r>
        <w:rPr>
          <w:w w:val="110"/>
        </w:rPr>
        <w:t>en</w:t>
      </w:r>
      <w:r>
        <w:rPr>
          <w:spacing w:val="33"/>
          <w:w w:val="110"/>
        </w:rPr>
        <w:t> </w:t>
      </w:r>
      <w:r>
        <w:rPr>
          <w:w w:val="110"/>
        </w:rPr>
        <w:t>amé-</w:t>
      </w:r>
      <w:r>
        <w:rPr>
          <w:w w:val="102"/>
        </w:rPr>
        <w:t> </w:t>
      </w:r>
      <w:r>
        <w:rPr>
          <w:spacing w:val="1"/>
          <w:w w:val="112"/>
        </w:rPr>
        <w:t>ric</w:t>
      </w:r>
      <w:r>
        <w:rPr>
          <w:w w:val="112"/>
        </w:rPr>
        <w:t>a</w:t>
      </w:r>
      <w:r>
        <w:rPr>
          <w:spacing w:val="14"/>
        </w:rPr>
        <w:t> </w:t>
      </w:r>
      <w:r>
        <w:rPr>
          <w:spacing w:val="1"/>
          <w:w w:val="243"/>
        </w:rPr>
        <w:t>l</w:t>
      </w:r>
      <w:r>
        <w:rPr>
          <w:spacing w:val="1"/>
          <w:w w:val="112"/>
        </w:rPr>
        <w:t>atina</w:t>
      </w:r>
      <w:r>
        <w:rPr>
          <w:w w:val="112"/>
        </w:rPr>
        <w:t>”</w:t>
      </w:r>
      <w:r>
        <w:rPr>
          <w:spacing w:val="14"/>
        </w:rPr>
        <w:t> </w:t>
      </w:r>
      <w:r>
        <w:rPr>
          <w:spacing w:val="1"/>
          <w:w w:val="111"/>
        </w:rPr>
        <w:t>(F</w:t>
      </w:r>
      <w:r>
        <w:rPr>
          <w:spacing w:val="1"/>
          <w:w w:val="155"/>
        </w:rPr>
        <w:t>rus</w:t>
      </w:r>
      <w:r>
        <w:rPr>
          <w:w w:val="138"/>
        </w:rPr>
        <w:t>,</w:t>
      </w:r>
      <w:r>
        <w:rPr>
          <w:spacing w:val="14"/>
        </w:rPr>
        <w:t> </w:t>
      </w:r>
      <w:r>
        <w:rPr>
          <w:spacing w:val="1"/>
          <w:w w:val="104"/>
        </w:rPr>
        <w:t>1961-1963</w:t>
      </w:r>
      <w:r>
        <w:rPr>
          <w:w w:val="104"/>
        </w:rPr>
        <w:t>,</w:t>
      </w:r>
      <w:r>
        <w:rPr>
          <w:spacing w:val="14"/>
        </w:rPr>
        <w:t> </w:t>
      </w:r>
      <w:r>
        <w:rPr>
          <w:spacing w:val="-13"/>
          <w:w w:val="119"/>
        </w:rPr>
        <w:t>V</w:t>
      </w:r>
      <w:r>
        <w:rPr>
          <w:spacing w:val="1"/>
          <w:w w:val="116"/>
        </w:rPr>
        <w:t>ol</w:t>
      </w:r>
      <w:r>
        <w:rPr>
          <w:w w:val="116"/>
        </w:rPr>
        <w:t>.</w:t>
      </w:r>
      <w:r>
        <w:rPr>
          <w:spacing w:val="14"/>
        </w:rPr>
        <w:t> </w:t>
      </w:r>
      <w:r>
        <w:rPr>
          <w:spacing w:val="1"/>
          <w:w w:val="119"/>
        </w:rPr>
        <w:t>V</w:t>
      </w:r>
      <w:r>
        <w:rPr>
          <w:spacing w:val="1"/>
          <w:w w:val="142"/>
        </w:rPr>
        <w:t>iii</w:t>
      </w:r>
      <w:r>
        <w:rPr>
          <w:w w:val="138"/>
        </w:rPr>
        <w:t>,</w:t>
      </w:r>
      <w:r>
        <w:rPr>
          <w:spacing w:val="14"/>
        </w:rPr>
        <w:t> </w:t>
      </w:r>
      <w:r>
        <w:rPr>
          <w:spacing w:val="1"/>
          <w:w w:val="139"/>
        </w:rPr>
        <w:t>d</w:t>
      </w:r>
      <w:r>
        <w:rPr>
          <w:spacing w:val="1"/>
          <w:w w:val="117"/>
        </w:rPr>
        <w:t>oc</w:t>
      </w:r>
      <w:r>
        <w:rPr>
          <w:w w:val="117"/>
        </w:rPr>
        <w:t>.</w:t>
      </w:r>
      <w:r>
        <w:rPr>
          <w:spacing w:val="14"/>
        </w:rPr>
        <w:t> </w:t>
      </w:r>
      <w:r>
        <w:rPr>
          <w:spacing w:val="1"/>
          <w:w w:val="106"/>
        </w:rPr>
        <w:t>17)</w:t>
      </w:r>
      <w:r>
        <w:rPr>
          <w:w w:val="106"/>
        </w:rPr>
        <w:t>.</w:t>
      </w:r>
      <w:r>
        <w:rPr>
          <w:spacing w:val="14"/>
        </w:rPr>
        <w:t> </w:t>
      </w:r>
      <w:r>
        <w:rPr>
          <w:spacing w:val="1"/>
          <w:w w:val="243"/>
        </w:rPr>
        <w:t>l</w:t>
      </w:r>
      <w:r>
        <w:rPr>
          <w:w w:val="110"/>
        </w:rPr>
        <w:t>o</w:t>
      </w:r>
      <w:r>
        <w:rPr>
          <w:spacing w:val="14"/>
        </w:rPr>
        <w:t> </w:t>
      </w:r>
      <w:r>
        <w:rPr>
          <w:spacing w:val="1"/>
          <w:w w:val="108"/>
        </w:rPr>
        <w:t>interesant</w:t>
      </w:r>
      <w:r>
        <w:rPr>
          <w:w w:val="108"/>
        </w:rPr>
        <w:t>e</w:t>
      </w:r>
      <w:r>
        <w:rPr>
          <w:spacing w:val="14"/>
        </w:rPr>
        <w:t> </w:t>
      </w:r>
      <w:r>
        <w:rPr>
          <w:spacing w:val="1"/>
          <w:w w:val="105"/>
        </w:rPr>
        <w:t>es </w:t>
      </w:r>
      <w:r>
        <w:rPr>
          <w:w w:val="110"/>
        </w:rPr>
        <w:t>que en varios de los espacios geográficos donde se buscó</w:t>
      </w:r>
      <w:r>
        <w:rPr>
          <w:spacing w:val="15"/>
          <w:w w:val="110"/>
        </w:rPr>
        <w:t> </w:t>
      </w:r>
      <w:r>
        <w:rPr>
          <w:w w:val="110"/>
        </w:rPr>
        <w:t>desplegar</w:t>
      </w:r>
      <w:r>
        <w:rPr>
          <w:spacing w:val="1"/>
          <w:w w:val="110"/>
        </w:rPr>
        <w:t> </w:t>
      </w:r>
      <w:r>
        <w:rPr>
          <w:w w:val="110"/>
        </w:rPr>
        <w:t>la</w:t>
      </w:r>
      <w:r>
        <w:rPr>
          <w:spacing w:val="1"/>
          <w:w w:val="111"/>
        </w:rPr>
        <w:t> </w:t>
      </w:r>
      <w:r>
        <w:rPr>
          <w:w w:val="110"/>
        </w:rPr>
        <w:t>guerra</w:t>
      </w:r>
      <w:r>
        <w:rPr>
          <w:spacing w:val="22"/>
          <w:w w:val="110"/>
        </w:rPr>
        <w:t> </w:t>
      </w:r>
      <w:r>
        <w:rPr>
          <w:w w:val="110"/>
        </w:rPr>
        <w:t>limitada,</w:t>
      </w:r>
      <w:r>
        <w:rPr>
          <w:spacing w:val="22"/>
          <w:w w:val="110"/>
        </w:rPr>
        <w:t> </w:t>
      </w:r>
      <w:r>
        <w:rPr>
          <w:w w:val="110"/>
        </w:rPr>
        <w:t>lo</w:t>
      </w:r>
      <w:r>
        <w:rPr>
          <w:spacing w:val="22"/>
          <w:w w:val="110"/>
        </w:rPr>
        <w:t> </w:t>
      </w:r>
      <w:r>
        <w:rPr>
          <w:w w:val="110"/>
        </w:rPr>
        <w:t>que</w:t>
      </w:r>
      <w:r>
        <w:rPr>
          <w:spacing w:val="22"/>
          <w:w w:val="110"/>
        </w:rPr>
        <w:t> </w:t>
      </w:r>
      <w:r>
        <w:rPr>
          <w:w w:val="110"/>
        </w:rPr>
        <w:t>se</w:t>
      </w:r>
      <w:r>
        <w:rPr>
          <w:spacing w:val="22"/>
          <w:w w:val="110"/>
        </w:rPr>
        <w:t> </w:t>
      </w:r>
      <w:r>
        <w:rPr>
          <w:w w:val="110"/>
        </w:rPr>
        <w:t>llevó</w:t>
      </w:r>
      <w:r>
        <w:rPr>
          <w:spacing w:val="22"/>
          <w:w w:val="110"/>
        </w:rPr>
        <w:t> </w:t>
      </w:r>
      <w:r>
        <w:rPr>
          <w:w w:val="110"/>
        </w:rPr>
        <w:t>a</w:t>
      </w:r>
      <w:r>
        <w:rPr>
          <w:spacing w:val="22"/>
          <w:w w:val="110"/>
        </w:rPr>
        <w:t> </w:t>
      </w:r>
      <w:r>
        <w:rPr>
          <w:w w:val="110"/>
        </w:rPr>
        <w:t>cabo</w:t>
      </w:r>
      <w:r>
        <w:rPr>
          <w:spacing w:val="22"/>
          <w:w w:val="110"/>
        </w:rPr>
        <w:t> </w:t>
      </w:r>
      <w:r>
        <w:rPr>
          <w:w w:val="110"/>
        </w:rPr>
        <w:t>fueron</w:t>
      </w:r>
      <w:r>
        <w:rPr>
          <w:spacing w:val="22"/>
          <w:w w:val="110"/>
        </w:rPr>
        <w:t> </w:t>
      </w:r>
      <w:r>
        <w:rPr>
          <w:w w:val="110"/>
        </w:rPr>
        <w:t>verdaderas</w:t>
      </w:r>
      <w:r>
        <w:rPr>
          <w:spacing w:val="22"/>
          <w:w w:val="110"/>
        </w:rPr>
        <w:t> </w:t>
      </w:r>
      <w:r>
        <w:rPr>
          <w:w w:val="110"/>
        </w:rPr>
        <w:t>masacres,</w:t>
      </w:r>
    </w:p>
    <w:p>
      <w:pPr>
        <w:pStyle w:val="BodyText"/>
        <w:spacing w:before="1"/>
        <w:rPr>
          <w:sz w:val="23"/>
        </w:rPr>
      </w:pPr>
      <w:r>
        <w:rPr/>
        <w:pict>
          <v:line style="position:absolute;mso-position-horizontal-relative:page;mso-position-vertical-relative:paragraph;z-index:6976;mso-wrap-distance-left:0;mso-wrap-distance-right:0" from="76.5354pt,15.76183pt" to="104.8814pt,15.76183pt" stroked="true" strokeweight=".5pt" strokecolor="#000000">
            <w10:wrap type="topAndBottom"/>
          </v:line>
        </w:pict>
      </w:r>
    </w:p>
    <w:p>
      <w:pPr>
        <w:pStyle w:val="ListParagraph"/>
        <w:numPr>
          <w:ilvl w:val="0"/>
          <w:numId w:val="30"/>
        </w:numPr>
        <w:tabs>
          <w:tab w:pos="586" w:val="left" w:leader="none"/>
        </w:tabs>
        <w:spacing w:line="242" w:lineRule="auto" w:before="89" w:after="0"/>
        <w:ind w:left="330" w:right="118" w:firstLine="0"/>
        <w:jc w:val="both"/>
        <w:rPr>
          <w:sz w:val="16"/>
        </w:rPr>
      </w:pPr>
      <w:r>
        <w:rPr>
          <w:w w:val="110"/>
          <w:sz w:val="16"/>
        </w:rPr>
        <w:t>Fue uno de los organizadores de la marcha frente al Capitolio en 1972, a la que asistieron personajes renombrados que fueron arrestados, como Noam </w:t>
      </w:r>
      <w:r>
        <w:rPr>
          <w:spacing w:val="-3"/>
          <w:w w:val="110"/>
          <w:sz w:val="16"/>
        </w:rPr>
        <w:t>Chomsky,</w:t>
      </w:r>
      <w:r>
        <w:rPr>
          <w:spacing w:val="-10"/>
          <w:w w:val="110"/>
          <w:sz w:val="16"/>
        </w:rPr>
        <w:t> </w:t>
      </w:r>
      <w:r>
        <w:rPr>
          <w:w w:val="110"/>
          <w:sz w:val="16"/>
        </w:rPr>
        <w:t>el </w:t>
      </w:r>
      <w:r>
        <w:rPr>
          <w:w w:val="107"/>
          <w:sz w:val="16"/>
        </w:rPr>
        <w:t>pintor</w:t>
      </w:r>
      <w:r>
        <w:rPr>
          <w:spacing w:val="2"/>
          <w:sz w:val="16"/>
        </w:rPr>
        <w:t> </w:t>
      </w:r>
      <w:r>
        <w:rPr>
          <w:w w:val="238"/>
          <w:sz w:val="16"/>
        </w:rPr>
        <w:t>l</w:t>
      </w:r>
      <w:r>
        <w:rPr>
          <w:w w:val="104"/>
          <w:sz w:val="16"/>
        </w:rPr>
        <w:t>arry</w:t>
      </w:r>
      <w:r>
        <w:rPr>
          <w:spacing w:val="2"/>
          <w:sz w:val="16"/>
        </w:rPr>
        <w:t> </w:t>
      </w:r>
      <w:r>
        <w:rPr>
          <w:w w:val="179"/>
          <w:sz w:val="16"/>
        </w:rPr>
        <w:t>r</w:t>
      </w:r>
      <w:r>
        <w:rPr>
          <w:w w:val="106"/>
          <w:sz w:val="16"/>
        </w:rPr>
        <w:t>uvers,</w:t>
      </w:r>
      <w:r>
        <w:rPr>
          <w:spacing w:val="2"/>
          <w:sz w:val="16"/>
        </w:rPr>
        <w:t> </w:t>
      </w:r>
      <w:r>
        <w:rPr>
          <w:w w:val="104"/>
          <w:sz w:val="16"/>
        </w:rPr>
        <w:t>el</w:t>
      </w:r>
      <w:r>
        <w:rPr>
          <w:spacing w:val="2"/>
          <w:sz w:val="16"/>
        </w:rPr>
        <w:t> </w:t>
      </w:r>
      <w:r>
        <w:rPr>
          <w:w w:val="108"/>
          <w:sz w:val="16"/>
        </w:rPr>
        <w:t>dramaturgo</w:t>
      </w:r>
      <w:r>
        <w:rPr>
          <w:spacing w:val="2"/>
          <w:sz w:val="16"/>
        </w:rPr>
        <w:t> </w:t>
      </w:r>
      <w:r>
        <w:rPr>
          <w:w w:val="111"/>
          <w:sz w:val="16"/>
        </w:rPr>
        <w:t>Joseph</w:t>
      </w:r>
      <w:r>
        <w:rPr>
          <w:spacing w:val="2"/>
          <w:sz w:val="16"/>
        </w:rPr>
        <w:t> </w:t>
      </w:r>
      <w:r>
        <w:rPr>
          <w:w w:val="108"/>
          <w:sz w:val="16"/>
        </w:rPr>
        <w:t>Papp</w:t>
      </w:r>
      <w:r>
        <w:rPr>
          <w:spacing w:val="2"/>
          <w:sz w:val="16"/>
        </w:rPr>
        <w:t> </w:t>
      </w:r>
      <w:r>
        <w:rPr>
          <w:w w:val="102"/>
          <w:sz w:val="16"/>
        </w:rPr>
        <w:t>y</w:t>
      </w:r>
      <w:r>
        <w:rPr>
          <w:spacing w:val="2"/>
          <w:sz w:val="16"/>
        </w:rPr>
        <w:t> </w:t>
      </w:r>
      <w:r>
        <w:rPr>
          <w:w w:val="104"/>
          <w:sz w:val="16"/>
        </w:rPr>
        <w:t>el</w:t>
      </w:r>
      <w:r>
        <w:rPr>
          <w:spacing w:val="2"/>
          <w:sz w:val="16"/>
        </w:rPr>
        <w:t> </w:t>
      </w:r>
      <w:r>
        <w:rPr>
          <w:w w:val="106"/>
          <w:sz w:val="16"/>
        </w:rPr>
        <w:t>escritor</w:t>
      </w:r>
      <w:r>
        <w:rPr>
          <w:spacing w:val="2"/>
          <w:sz w:val="16"/>
        </w:rPr>
        <w:t> </w:t>
      </w:r>
      <w:r>
        <w:rPr>
          <w:w w:val="110"/>
          <w:sz w:val="16"/>
        </w:rPr>
        <w:t>Garry</w:t>
      </w:r>
      <w:r>
        <w:rPr>
          <w:spacing w:val="2"/>
          <w:sz w:val="16"/>
        </w:rPr>
        <w:t> </w:t>
      </w:r>
      <w:r>
        <w:rPr>
          <w:spacing w:val="-6"/>
          <w:w w:val="108"/>
          <w:sz w:val="16"/>
        </w:rPr>
        <w:t>W</w:t>
      </w:r>
      <w:r>
        <w:rPr>
          <w:w w:val="111"/>
          <w:sz w:val="16"/>
        </w:rPr>
        <w:t>ills,</w:t>
      </w:r>
      <w:r>
        <w:rPr>
          <w:spacing w:val="2"/>
          <w:sz w:val="16"/>
        </w:rPr>
        <w:t> </w:t>
      </w:r>
      <w:r>
        <w:rPr>
          <w:w w:val="104"/>
          <w:sz w:val="16"/>
        </w:rPr>
        <w:t>entre</w:t>
      </w:r>
      <w:r>
        <w:rPr>
          <w:spacing w:val="2"/>
          <w:sz w:val="16"/>
        </w:rPr>
        <w:t> </w:t>
      </w:r>
      <w:r>
        <w:rPr>
          <w:w w:val="108"/>
          <w:sz w:val="16"/>
        </w:rPr>
        <w:t>otros.</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6"/>
        <w:jc w:val="both"/>
        <w:rPr>
          <w:sz w:val="11"/>
        </w:rPr>
      </w:pPr>
      <w:r>
        <w:rPr>
          <w:w w:val="110"/>
        </w:rPr>
        <w:t>la destrucción total del ambiente, la infraestructura y el tejido social, sea en Vietnam, Medio oriente o Centroamérica. Finalmente, esa devastación es la manera más efectiva de “quitarle el agua al pez”,</w:t>
      </w:r>
      <w:r>
        <w:rPr>
          <w:w w:val="110"/>
          <w:position w:val="6"/>
          <w:sz w:val="11"/>
        </w:rPr>
        <w:t>7          </w:t>
      </w:r>
      <w:r>
        <w:rPr>
          <w:w w:val="110"/>
        </w:rPr>
        <w:t>y generar las condiciones de  destrucción  suficientes  para  garanti- zar la “reconstrucción” de posguerra y con ella el despliegue de las condiciones necesarias para la “modernización y el desarrollo”, de acuerdo a las necesidades del </w:t>
      </w:r>
      <w:r>
        <w:rPr>
          <w:spacing w:val="37"/>
          <w:w w:val="110"/>
        </w:rPr>
        <w:t> </w:t>
      </w:r>
      <w:r>
        <w:rPr>
          <w:w w:val="110"/>
        </w:rPr>
        <w:t>capital.</w:t>
      </w:r>
      <w:r>
        <w:rPr>
          <w:w w:val="110"/>
          <w:position w:val="6"/>
          <w:sz w:val="11"/>
        </w:rPr>
        <w:t>8</w:t>
      </w:r>
    </w:p>
    <w:p>
      <w:pPr>
        <w:pStyle w:val="BodyText"/>
        <w:spacing w:before="5"/>
      </w:pPr>
    </w:p>
    <w:p>
      <w:pPr>
        <w:pStyle w:val="Heading6"/>
        <w:ind w:left="121"/>
      </w:pPr>
      <w:r>
        <w:rPr>
          <w:spacing w:val="1"/>
          <w:w w:val="201"/>
        </w:rPr>
        <w:t>l</w:t>
      </w:r>
      <w:r>
        <w:rPr>
          <w:w w:val="145"/>
        </w:rPr>
        <w:t>o</w:t>
      </w:r>
      <w:r>
        <w:rPr>
          <w:spacing w:val="-8"/>
        </w:rPr>
        <w:t> </w:t>
      </w:r>
      <w:r>
        <w:rPr>
          <w:spacing w:val="2"/>
          <w:w w:val="130"/>
        </w:rPr>
        <w:t>q</w:t>
      </w:r>
      <w:r>
        <w:rPr>
          <w:spacing w:val="2"/>
          <w:w w:val="132"/>
        </w:rPr>
        <w:t>u</w:t>
      </w:r>
      <w:r>
        <w:rPr>
          <w:w w:val="132"/>
        </w:rPr>
        <w:t>e</w:t>
      </w:r>
      <w:r>
        <w:rPr>
          <w:spacing w:val="-8"/>
        </w:rPr>
        <w:t> </w:t>
      </w:r>
      <w:r>
        <w:rPr>
          <w:spacing w:val="2"/>
          <w:w w:val="136"/>
        </w:rPr>
        <w:t>n</w:t>
      </w:r>
      <w:r>
        <w:rPr>
          <w:w w:val="136"/>
        </w:rPr>
        <w:t>o</w:t>
      </w:r>
      <w:r>
        <w:rPr>
          <w:spacing w:val="-8"/>
        </w:rPr>
        <w:t> </w:t>
      </w:r>
      <w:r>
        <w:rPr>
          <w:spacing w:val="2"/>
          <w:w w:val="97"/>
        </w:rPr>
        <w:t>H</w:t>
      </w:r>
      <w:r>
        <w:rPr>
          <w:spacing w:val="-9"/>
          <w:w w:val="129"/>
        </w:rPr>
        <w:t>a</w:t>
      </w:r>
      <w:r>
        <w:rPr>
          <w:w w:val="119"/>
        </w:rPr>
        <w:t>y</w:t>
      </w:r>
      <w:r>
        <w:rPr>
          <w:spacing w:val="-8"/>
        </w:rPr>
        <w:t> </w:t>
      </w:r>
      <w:r>
        <w:rPr>
          <w:spacing w:val="2"/>
          <w:w w:val="130"/>
        </w:rPr>
        <w:t>q</w:t>
      </w:r>
      <w:r>
        <w:rPr>
          <w:spacing w:val="2"/>
          <w:w w:val="132"/>
        </w:rPr>
        <w:t>u</w:t>
      </w:r>
      <w:r>
        <w:rPr>
          <w:w w:val="132"/>
        </w:rPr>
        <w:t>e</w:t>
      </w:r>
      <w:r>
        <w:rPr>
          <w:spacing w:val="-8"/>
        </w:rPr>
        <w:t> </w:t>
      </w:r>
      <w:r>
        <w:rPr>
          <w:spacing w:val="2"/>
          <w:w w:val="165"/>
        </w:rPr>
        <w:t>o</w:t>
      </w:r>
      <w:r>
        <w:rPr>
          <w:spacing w:val="-11"/>
          <w:w w:val="165"/>
        </w:rPr>
        <w:t>l</w:t>
      </w:r>
      <w:r>
        <w:rPr>
          <w:w w:val="129"/>
        </w:rPr>
        <w:t>v</w:t>
      </w:r>
      <w:r>
        <w:rPr>
          <w:spacing w:val="2"/>
          <w:w w:val="131"/>
        </w:rPr>
        <w:t>i</w:t>
      </w:r>
      <w:r>
        <w:rPr>
          <w:spacing w:val="1"/>
          <w:w w:val="131"/>
        </w:rPr>
        <w:t>d</w:t>
      </w:r>
      <w:r>
        <w:rPr>
          <w:spacing w:val="2"/>
          <w:w w:val="136"/>
        </w:rPr>
        <w:t>a</w:t>
      </w:r>
      <w:r>
        <w:rPr>
          <w:spacing w:val="8"/>
          <w:w w:val="136"/>
        </w:rPr>
        <w:t>r</w:t>
      </w:r>
      <w:r>
        <w:rPr>
          <w:w w:val="78"/>
        </w:rPr>
        <w:t>:</w:t>
      </w:r>
      <w:r>
        <w:rPr>
          <w:spacing w:val="-9"/>
        </w:rPr>
        <w:t> </w:t>
      </w:r>
      <w:r>
        <w:rPr>
          <w:spacing w:val="7"/>
          <w:w w:val="201"/>
        </w:rPr>
        <w:t>l</w:t>
      </w:r>
      <w:r>
        <w:rPr>
          <w:w w:val="129"/>
        </w:rPr>
        <w:t>a</w:t>
      </w:r>
      <w:r>
        <w:rPr>
          <w:spacing w:val="-8"/>
        </w:rPr>
        <w:t> </w:t>
      </w:r>
      <w:r>
        <w:rPr>
          <w:spacing w:val="2"/>
          <w:w w:val="145"/>
        </w:rPr>
        <w:t>o</w:t>
      </w:r>
      <w:r>
        <w:rPr>
          <w:spacing w:val="4"/>
          <w:w w:val="99"/>
        </w:rPr>
        <w:t>P</w:t>
      </w:r>
      <w:r>
        <w:rPr>
          <w:spacing w:val="3"/>
          <w:w w:val="145"/>
        </w:rPr>
        <w:t>o</w:t>
      </w:r>
      <w:r>
        <w:rPr>
          <w:spacing w:val="2"/>
          <w:w w:val="136"/>
        </w:rPr>
        <w:t>sició</w:t>
      </w:r>
      <w:r>
        <w:rPr>
          <w:w w:val="136"/>
        </w:rPr>
        <w:t>n</w:t>
      </w:r>
      <w:r>
        <w:rPr>
          <w:spacing w:val="-8"/>
        </w:rPr>
        <w:t> </w:t>
      </w:r>
      <w:r>
        <w:rPr>
          <w:w w:val="129"/>
        </w:rPr>
        <w:t>a</w:t>
      </w:r>
      <w:r>
        <w:rPr>
          <w:spacing w:val="-8"/>
        </w:rPr>
        <w:t> </w:t>
      </w:r>
      <w:r>
        <w:rPr>
          <w:spacing w:val="7"/>
          <w:w w:val="201"/>
        </w:rPr>
        <w:t>l</w:t>
      </w:r>
      <w:r>
        <w:rPr>
          <w:w w:val="129"/>
        </w:rPr>
        <w:t>a</w:t>
      </w:r>
      <w:r>
        <w:rPr>
          <w:spacing w:val="-8"/>
        </w:rPr>
        <w:t> </w:t>
      </w:r>
      <w:r>
        <w:rPr>
          <w:spacing w:val="2"/>
          <w:w w:val="89"/>
        </w:rPr>
        <w:t>G</w:t>
      </w:r>
      <w:r>
        <w:rPr>
          <w:spacing w:val="2"/>
          <w:w w:val="132"/>
        </w:rPr>
        <w:t>u</w:t>
      </w:r>
      <w:r>
        <w:rPr>
          <w:spacing w:val="3"/>
          <w:w w:val="132"/>
        </w:rPr>
        <w:t>e</w:t>
      </w:r>
      <w:r>
        <w:rPr>
          <w:spacing w:val="2"/>
          <w:w w:val="145"/>
        </w:rPr>
        <w:t>rr</w:t>
      </w:r>
      <w:r>
        <w:rPr>
          <w:w w:val="129"/>
        </w:rPr>
        <w:t>a</w:t>
      </w:r>
    </w:p>
    <w:p>
      <w:pPr>
        <w:pStyle w:val="BodyText"/>
        <w:spacing w:line="252" w:lineRule="auto" w:before="10"/>
        <w:ind w:left="120" w:right="325"/>
        <w:jc w:val="both"/>
      </w:pPr>
      <w:r>
        <w:rPr>
          <w:spacing w:val="1"/>
          <w:w w:val="243"/>
        </w:rPr>
        <w:t>l</w:t>
      </w:r>
      <w:r>
        <w:rPr>
          <w:w w:val="112"/>
        </w:rPr>
        <w:t>a</w:t>
      </w:r>
      <w:r>
        <w:rPr>
          <w:spacing w:val="4"/>
        </w:rPr>
        <w:t> </w:t>
      </w:r>
      <w:r>
        <w:rPr>
          <w:spacing w:val="1"/>
          <w:w w:val="108"/>
        </w:rPr>
        <w:t>guerr</w:t>
      </w:r>
      <w:r>
        <w:rPr>
          <w:w w:val="108"/>
        </w:rPr>
        <w:t>a</w:t>
      </w:r>
      <w:r>
        <w:rPr>
          <w:spacing w:val="4"/>
        </w:rPr>
        <w:t> </w:t>
      </w:r>
      <w:r>
        <w:rPr>
          <w:spacing w:val="1"/>
          <w:w w:val="107"/>
        </w:rPr>
        <w:t>d</w:t>
      </w:r>
      <w:r>
        <w:rPr>
          <w:w w:val="107"/>
        </w:rPr>
        <w:t>e</w:t>
      </w:r>
      <w:r>
        <w:rPr>
          <w:spacing w:val="4"/>
        </w:rPr>
        <w:t> </w:t>
      </w:r>
      <w:r>
        <w:rPr>
          <w:spacing w:val="-9"/>
          <w:w w:val="119"/>
        </w:rPr>
        <w:t>V</w:t>
      </w:r>
      <w:r>
        <w:rPr>
          <w:spacing w:val="1"/>
          <w:w w:val="110"/>
        </w:rPr>
        <w:t>ietna</w:t>
      </w:r>
      <w:r>
        <w:rPr>
          <w:w w:val="110"/>
        </w:rPr>
        <w:t>m</w:t>
      </w:r>
      <w:r>
        <w:rPr>
          <w:spacing w:val="4"/>
        </w:rPr>
        <w:t> </w:t>
      </w:r>
      <w:r>
        <w:rPr>
          <w:spacing w:val="1"/>
          <w:w w:val="112"/>
        </w:rPr>
        <w:t>h</w:t>
      </w:r>
      <w:r>
        <w:rPr>
          <w:w w:val="112"/>
        </w:rPr>
        <w:t>a</w:t>
      </w:r>
      <w:r>
        <w:rPr>
          <w:spacing w:val="4"/>
        </w:rPr>
        <w:t> </w:t>
      </w:r>
      <w:r>
        <w:rPr>
          <w:spacing w:val="1"/>
          <w:w w:val="109"/>
        </w:rPr>
        <w:t>sid</w:t>
      </w:r>
      <w:r>
        <w:rPr>
          <w:w w:val="109"/>
        </w:rPr>
        <w:t>o</w:t>
      </w:r>
      <w:r>
        <w:rPr>
          <w:spacing w:val="4"/>
        </w:rPr>
        <w:t> </w:t>
      </w:r>
      <w:r>
        <w:rPr>
          <w:spacing w:val="1"/>
          <w:w w:val="110"/>
        </w:rPr>
        <w:t>condenad</w:t>
      </w:r>
      <w:r>
        <w:rPr>
          <w:w w:val="110"/>
        </w:rPr>
        <w:t>a</w:t>
      </w:r>
      <w:r>
        <w:rPr>
          <w:spacing w:val="4"/>
        </w:rPr>
        <w:t> </w:t>
      </w:r>
      <w:r>
        <w:rPr>
          <w:spacing w:val="1"/>
          <w:w w:val="106"/>
        </w:rPr>
        <w:t>desd</w:t>
      </w:r>
      <w:r>
        <w:rPr>
          <w:w w:val="106"/>
        </w:rPr>
        <w:t>e</w:t>
      </w:r>
      <w:r>
        <w:rPr>
          <w:spacing w:val="4"/>
        </w:rPr>
        <w:t> </w:t>
      </w:r>
      <w:r>
        <w:rPr>
          <w:spacing w:val="1"/>
          <w:w w:val="111"/>
        </w:rPr>
        <w:t>l</w:t>
      </w:r>
      <w:r>
        <w:rPr>
          <w:w w:val="111"/>
        </w:rPr>
        <w:t>a</w:t>
      </w:r>
      <w:r>
        <w:rPr>
          <w:spacing w:val="4"/>
        </w:rPr>
        <w:t> </w:t>
      </w:r>
      <w:r>
        <w:rPr>
          <w:spacing w:val="1"/>
          <w:w w:val="107"/>
        </w:rPr>
        <w:t>perspectiv</w:t>
      </w:r>
      <w:r>
        <w:rPr>
          <w:w w:val="107"/>
        </w:rPr>
        <w:t>a</w:t>
      </w:r>
      <w:r>
        <w:rPr>
          <w:spacing w:val="4"/>
        </w:rPr>
        <w:t> </w:t>
      </w:r>
      <w:r>
        <w:rPr>
          <w:spacing w:val="1"/>
          <w:w w:val="114"/>
        </w:rPr>
        <w:t>crítica, </w:t>
      </w:r>
      <w:r>
        <w:rPr>
          <w:w w:val="110"/>
        </w:rPr>
        <w:t>tanto dentro como fuera de Estados unidos. Esto es lo que menos se desea destacar a nivel de la conmemoración oficial (léase: mancuer- na gobierno-sector privado interesada en promover la guerra como </w:t>
      </w:r>
      <w:r>
        <w:rPr>
          <w:spacing w:val="1"/>
          <w:w w:val="111"/>
        </w:rPr>
        <w:t>“mod</w:t>
      </w:r>
      <w:r>
        <w:rPr>
          <w:w w:val="111"/>
        </w:rPr>
        <w:t>o</w:t>
      </w:r>
      <w:r>
        <w:rPr>
          <w:spacing w:val="16"/>
        </w:rPr>
        <w:t> </w:t>
      </w:r>
      <w:r>
        <w:rPr>
          <w:spacing w:val="1"/>
          <w:w w:val="107"/>
        </w:rPr>
        <w:t>d</w:t>
      </w:r>
      <w:r>
        <w:rPr>
          <w:w w:val="107"/>
        </w:rPr>
        <w:t>e</w:t>
      </w:r>
      <w:r>
        <w:rPr>
          <w:spacing w:val="16"/>
        </w:rPr>
        <w:t> </w:t>
      </w:r>
      <w:r>
        <w:rPr>
          <w:spacing w:val="1"/>
          <w:w w:val="108"/>
        </w:rPr>
        <w:t>vid</w:t>
      </w:r>
      <w:r>
        <w:rPr>
          <w:w w:val="108"/>
        </w:rPr>
        <w:t>a</w:t>
      </w:r>
      <w:r>
        <w:rPr>
          <w:spacing w:val="16"/>
        </w:rPr>
        <w:t> </w:t>
      </w:r>
      <w:r>
        <w:rPr>
          <w:spacing w:val="1"/>
          <w:w w:val="111"/>
        </w:rPr>
        <w:t>americano”)</w:t>
      </w:r>
      <w:r>
        <w:rPr>
          <w:w w:val="111"/>
        </w:rPr>
        <w:t>.</w:t>
      </w:r>
      <w:r>
        <w:rPr>
          <w:spacing w:val="16"/>
        </w:rPr>
        <w:t> </w:t>
      </w:r>
      <w:r>
        <w:rPr>
          <w:spacing w:val="1"/>
          <w:w w:val="243"/>
        </w:rPr>
        <w:t>l</w:t>
      </w:r>
      <w:r>
        <w:rPr>
          <w:w w:val="110"/>
        </w:rPr>
        <w:t>o</w:t>
      </w:r>
      <w:r>
        <w:rPr>
          <w:spacing w:val="16"/>
        </w:rPr>
        <w:t> </w:t>
      </w:r>
      <w:r>
        <w:rPr>
          <w:spacing w:val="1"/>
          <w:w w:val="109"/>
        </w:rPr>
        <w:t>ciert</w:t>
      </w:r>
      <w:r>
        <w:rPr>
          <w:w w:val="109"/>
        </w:rPr>
        <w:t>o</w:t>
      </w:r>
      <w:r>
        <w:rPr>
          <w:spacing w:val="16"/>
        </w:rPr>
        <w:t> </w:t>
      </w:r>
      <w:r>
        <w:rPr>
          <w:spacing w:val="1"/>
          <w:w w:val="105"/>
        </w:rPr>
        <w:t>e</w:t>
      </w:r>
      <w:r>
        <w:rPr>
          <w:w w:val="105"/>
        </w:rPr>
        <w:t>s</w:t>
      </w:r>
      <w:r>
        <w:rPr>
          <w:spacing w:val="16"/>
        </w:rPr>
        <w:t> </w:t>
      </w:r>
      <w:r>
        <w:rPr>
          <w:spacing w:val="1"/>
          <w:w w:val="108"/>
        </w:rPr>
        <w:t>qu</w:t>
      </w:r>
      <w:r>
        <w:rPr>
          <w:w w:val="108"/>
        </w:rPr>
        <w:t>e</w:t>
      </w:r>
      <w:r>
        <w:rPr>
          <w:spacing w:val="16"/>
        </w:rPr>
        <w:t> </w:t>
      </w:r>
      <w:r>
        <w:rPr>
          <w:spacing w:val="1"/>
          <w:w w:val="108"/>
        </w:rPr>
        <w:t>lo</w:t>
      </w:r>
      <w:r>
        <w:rPr>
          <w:w w:val="108"/>
        </w:rPr>
        <w:t>s</w:t>
      </w:r>
      <w:r>
        <w:rPr>
          <w:spacing w:val="16"/>
        </w:rPr>
        <w:t> </w:t>
      </w:r>
      <w:r>
        <w:rPr>
          <w:spacing w:val="1"/>
          <w:w w:val="110"/>
        </w:rPr>
        <w:t>movimiento</w:t>
      </w:r>
      <w:r>
        <w:rPr>
          <w:w w:val="110"/>
        </w:rPr>
        <w:t>s</w:t>
      </w:r>
      <w:r>
        <w:rPr>
          <w:spacing w:val="16"/>
        </w:rPr>
        <w:t> </w:t>
      </w:r>
      <w:r>
        <w:rPr>
          <w:spacing w:val="1"/>
          <w:w w:val="111"/>
        </w:rPr>
        <w:t>soci</w:t>
      </w:r>
      <w:r>
        <w:rPr>
          <w:spacing w:val="2"/>
          <w:w w:val="111"/>
        </w:rPr>
        <w:t>a</w:t>
      </w:r>
      <w:r>
        <w:rPr>
          <w:w w:val="102"/>
        </w:rPr>
        <w:t>- </w:t>
      </w:r>
      <w:r>
        <w:rPr>
          <w:w w:val="110"/>
        </w:rPr>
        <w:t>les en contra de la guerra se multiplicaron en el segundo quinquenio de los ’60: el Comité para la Coordinación de Estudiantes no Violen- tos; los Estudiantes por una sociedad democrática; el Movimiento </w:t>
      </w:r>
      <w:r>
        <w:rPr>
          <w:spacing w:val="1"/>
          <w:w w:val="109"/>
        </w:rPr>
        <w:t>par</w:t>
      </w:r>
      <w:r>
        <w:rPr>
          <w:w w:val="109"/>
        </w:rPr>
        <w:t>a</w:t>
      </w:r>
      <w:r>
        <w:rPr/>
        <w:t> </w:t>
      </w:r>
      <w:r>
        <w:rPr>
          <w:spacing w:val="-14"/>
        </w:rPr>
        <w:t> </w:t>
      </w:r>
      <w:r>
        <w:rPr>
          <w:spacing w:val="1"/>
          <w:w w:val="111"/>
        </w:rPr>
        <w:t>l</w:t>
      </w:r>
      <w:r>
        <w:rPr>
          <w:w w:val="111"/>
        </w:rPr>
        <w:t>a</w:t>
      </w:r>
      <w:r>
        <w:rPr/>
        <w:t> </w:t>
      </w:r>
      <w:r>
        <w:rPr>
          <w:spacing w:val="-14"/>
        </w:rPr>
        <w:t> </w:t>
      </w:r>
      <w:r>
        <w:rPr>
          <w:spacing w:val="1"/>
          <w:w w:val="243"/>
        </w:rPr>
        <w:t>l</w:t>
      </w:r>
      <w:r>
        <w:rPr>
          <w:spacing w:val="1"/>
          <w:w w:val="108"/>
        </w:rPr>
        <w:t>iberta</w:t>
      </w:r>
      <w:r>
        <w:rPr>
          <w:w w:val="108"/>
        </w:rPr>
        <w:t>d</w:t>
      </w:r>
      <w:r>
        <w:rPr/>
        <w:t> </w:t>
      </w:r>
      <w:r>
        <w:rPr>
          <w:spacing w:val="-14"/>
        </w:rPr>
        <w:t> </w:t>
      </w:r>
      <w:r>
        <w:rPr>
          <w:spacing w:val="1"/>
          <w:w w:val="107"/>
        </w:rPr>
        <w:t>d</w:t>
      </w:r>
      <w:r>
        <w:rPr>
          <w:w w:val="107"/>
        </w:rPr>
        <w:t>e</w:t>
      </w:r>
      <w:r>
        <w:rPr/>
        <w:t> </w:t>
      </w:r>
      <w:r>
        <w:rPr>
          <w:spacing w:val="-14"/>
        </w:rPr>
        <w:t> </w:t>
      </w:r>
      <w:r>
        <w:rPr>
          <w:spacing w:val="1"/>
          <w:w w:val="112"/>
        </w:rPr>
        <w:t>Expresión</w:t>
      </w:r>
      <w:r>
        <w:rPr>
          <w:w w:val="112"/>
        </w:rPr>
        <w:t>,</w:t>
      </w:r>
      <w:r>
        <w:rPr/>
        <w:t> </w:t>
      </w:r>
      <w:r>
        <w:rPr>
          <w:spacing w:val="-14"/>
        </w:rPr>
        <w:t> </w:t>
      </w:r>
      <w:r>
        <w:rPr>
          <w:spacing w:val="1"/>
          <w:w w:val="111"/>
        </w:rPr>
        <w:t>l</w:t>
      </w:r>
      <w:r>
        <w:rPr>
          <w:w w:val="111"/>
        </w:rPr>
        <w:t>a</w:t>
      </w:r>
      <w:r>
        <w:rPr/>
        <w:t> </w:t>
      </w:r>
      <w:r>
        <w:rPr>
          <w:spacing w:val="-14"/>
        </w:rPr>
        <w:t> </w:t>
      </w:r>
      <w:r>
        <w:rPr>
          <w:spacing w:val="1"/>
          <w:w w:val="112"/>
        </w:rPr>
        <w:t>Conferenci</w:t>
      </w:r>
      <w:r>
        <w:rPr>
          <w:w w:val="112"/>
        </w:rPr>
        <w:t>a</w:t>
      </w:r>
      <w:r>
        <w:rPr/>
        <w:t> </w:t>
      </w:r>
      <w:r>
        <w:rPr>
          <w:spacing w:val="-14"/>
        </w:rPr>
        <w:t> </w:t>
      </w:r>
      <w:r>
        <w:rPr>
          <w:spacing w:val="1"/>
          <w:w w:val="149"/>
        </w:rPr>
        <w:t>s</w:t>
      </w:r>
      <w:r>
        <w:rPr>
          <w:spacing w:val="1"/>
          <w:w w:val="109"/>
        </w:rPr>
        <w:t>ureñ</w:t>
      </w:r>
      <w:r>
        <w:rPr>
          <w:w w:val="109"/>
        </w:rPr>
        <w:t>a</w:t>
      </w:r>
      <w:r>
        <w:rPr/>
        <w:t> </w:t>
      </w:r>
      <w:r>
        <w:rPr>
          <w:spacing w:val="-14"/>
        </w:rPr>
        <w:t> </w:t>
      </w:r>
      <w:r>
        <w:rPr>
          <w:spacing w:val="1"/>
          <w:w w:val="107"/>
        </w:rPr>
        <w:t>d</w:t>
      </w:r>
      <w:r>
        <w:rPr>
          <w:w w:val="107"/>
        </w:rPr>
        <w:t>e</w:t>
      </w:r>
      <w:r>
        <w:rPr/>
        <w:t> </w:t>
      </w:r>
      <w:r>
        <w:rPr>
          <w:spacing w:val="-14"/>
        </w:rPr>
        <w:t> </w:t>
      </w:r>
      <w:r>
        <w:rPr>
          <w:spacing w:val="1"/>
          <w:w w:val="243"/>
        </w:rPr>
        <w:t>l</w:t>
      </w:r>
      <w:r>
        <w:rPr>
          <w:spacing w:val="1"/>
          <w:w w:val="109"/>
        </w:rPr>
        <w:t>iderazgo </w:t>
      </w:r>
      <w:r>
        <w:rPr>
          <w:w w:val="110"/>
        </w:rPr>
        <w:t>Cristiano; la asociación de Veteranos de Vietnam en contra de la Guerra. a las  manifestaciones  impulsadas  por  estas  organizaciones se sumó de modo organizado o espontáneo especialmente el sector </w:t>
      </w:r>
      <w:r>
        <w:rPr>
          <w:spacing w:val="1"/>
          <w:w w:val="111"/>
        </w:rPr>
        <w:t>estudiantil</w:t>
      </w:r>
      <w:r>
        <w:rPr>
          <w:w w:val="111"/>
        </w:rPr>
        <w:t>.</w:t>
      </w:r>
      <w:r>
        <w:rPr/>
        <w:t> </w:t>
      </w:r>
      <w:r>
        <w:rPr>
          <w:spacing w:val="-7"/>
        </w:rPr>
        <w:t> </w:t>
      </w:r>
      <w:r>
        <w:rPr>
          <w:spacing w:val="1"/>
          <w:w w:val="243"/>
        </w:rPr>
        <w:t>l</w:t>
      </w:r>
      <w:r>
        <w:rPr>
          <w:w w:val="112"/>
        </w:rPr>
        <w:t>a</w:t>
      </w:r>
      <w:r>
        <w:rPr/>
        <w:t> </w:t>
      </w:r>
      <w:r>
        <w:rPr>
          <w:spacing w:val="-7"/>
        </w:rPr>
        <w:t> </w:t>
      </w:r>
      <w:r>
        <w:rPr>
          <w:spacing w:val="1"/>
          <w:w w:val="111"/>
        </w:rPr>
        <w:t>coordinació</w:t>
      </w:r>
      <w:r>
        <w:rPr>
          <w:w w:val="111"/>
        </w:rPr>
        <w:t>n</w:t>
      </w:r>
      <w:r>
        <w:rPr/>
        <w:t> </w:t>
      </w:r>
      <w:r>
        <w:rPr>
          <w:spacing w:val="-7"/>
        </w:rPr>
        <w:t> </w:t>
      </w:r>
      <w:r>
        <w:rPr>
          <w:spacing w:val="1"/>
          <w:w w:val="106"/>
        </w:rPr>
        <w:t>entr</w:t>
      </w:r>
      <w:r>
        <w:rPr>
          <w:w w:val="106"/>
        </w:rPr>
        <w:t>e</w:t>
      </w:r>
      <w:r>
        <w:rPr/>
        <w:t> </w:t>
      </w:r>
      <w:r>
        <w:rPr>
          <w:spacing w:val="-7"/>
        </w:rPr>
        <w:t> </w:t>
      </w:r>
      <w:r>
        <w:rPr>
          <w:spacing w:val="1"/>
          <w:w w:val="109"/>
        </w:rPr>
        <w:t>sectores</w:t>
      </w:r>
      <w:r>
        <w:rPr>
          <w:w w:val="109"/>
        </w:rPr>
        <w:t>,</w:t>
      </w:r>
      <w:r>
        <w:rPr/>
        <w:t> </w:t>
      </w:r>
      <w:r>
        <w:rPr>
          <w:spacing w:val="-7"/>
        </w:rPr>
        <w:t> </w:t>
      </w:r>
      <w:r>
        <w:rPr>
          <w:spacing w:val="1"/>
          <w:w w:val="111"/>
        </w:rPr>
        <w:t>l</w:t>
      </w:r>
      <w:r>
        <w:rPr>
          <w:w w:val="111"/>
        </w:rPr>
        <w:t>a</w:t>
      </w:r>
      <w:r>
        <w:rPr/>
        <w:t> </w:t>
      </w:r>
      <w:r>
        <w:rPr>
          <w:spacing w:val="-7"/>
        </w:rPr>
        <w:t> </w:t>
      </w:r>
      <w:r>
        <w:rPr>
          <w:spacing w:val="1"/>
          <w:w w:val="111"/>
        </w:rPr>
        <w:t>participació</w:t>
      </w:r>
      <w:r>
        <w:rPr>
          <w:w w:val="111"/>
        </w:rPr>
        <w:t>n</w:t>
      </w:r>
      <w:r>
        <w:rPr/>
        <w:t> </w:t>
      </w:r>
      <w:r>
        <w:rPr>
          <w:spacing w:val="-7"/>
        </w:rPr>
        <w:t> </w:t>
      </w:r>
      <w:r>
        <w:rPr>
          <w:w w:val="105"/>
        </w:rPr>
        <w:t>y</w:t>
      </w:r>
      <w:r>
        <w:rPr/>
        <w:t> </w:t>
      </w:r>
      <w:r>
        <w:rPr>
          <w:spacing w:val="-7"/>
        </w:rPr>
        <w:t> </w:t>
      </w:r>
      <w:r>
        <w:rPr>
          <w:spacing w:val="1"/>
          <w:w w:val="112"/>
        </w:rPr>
        <w:t>ocu</w:t>
      </w:r>
      <w:r>
        <w:rPr>
          <w:w w:val="102"/>
        </w:rPr>
        <w:t>- </w:t>
      </w:r>
      <w:r>
        <w:rPr>
          <w:w w:val="110"/>
        </w:rPr>
        <w:t>pación de espacios públicos, sobre todo por parte de jóvenes, llegó       a niveles nunca vistos. El llamado a la libertad de expresión y a la desobediencia civil se conjugó con el clamor de justicia económica, racial,  política,  cultural  y</w:t>
      </w:r>
      <w:r>
        <w:rPr>
          <w:spacing w:val="-3"/>
          <w:w w:val="110"/>
        </w:rPr>
        <w:t> </w:t>
      </w:r>
      <w:r>
        <w:rPr>
          <w:w w:val="110"/>
        </w:rPr>
        <w:t>social.</w:t>
      </w:r>
    </w:p>
    <w:p>
      <w:pPr>
        <w:pStyle w:val="BodyText"/>
        <w:spacing w:before="5"/>
        <w:rPr>
          <w:sz w:val="18"/>
        </w:rPr>
      </w:pPr>
      <w:r>
        <w:rPr/>
        <w:pict>
          <v:line style="position:absolute;mso-position-horizontal-relative:page;mso-position-vertical-relative:paragraph;z-index:7000;mso-wrap-distance-left:0;mso-wrap-distance-right:0" from="51.023602pt,13.029029pt" to="79.369602pt,13.029029pt" stroked="true" strokeweight=".5pt" strokecolor="#000000">
            <w10:wrap type="topAndBottom"/>
          </v:line>
        </w:pict>
      </w:r>
    </w:p>
    <w:p>
      <w:pPr>
        <w:pStyle w:val="ListParagraph"/>
        <w:numPr>
          <w:ilvl w:val="0"/>
          <w:numId w:val="30"/>
        </w:numPr>
        <w:tabs>
          <w:tab w:pos="376" w:val="left" w:leader="none"/>
        </w:tabs>
        <w:spacing w:line="242" w:lineRule="auto" w:before="89" w:after="0"/>
        <w:ind w:left="120" w:right="328" w:firstLine="0"/>
        <w:jc w:val="both"/>
        <w:rPr>
          <w:sz w:val="16"/>
        </w:rPr>
      </w:pPr>
      <w:r>
        <w:rPr>
          <w:w w:val="110"/>
          <w:sz w:val="16"/>
        </w:rPr>
        <w:t>Esta</w:t>
      </w:r>
      <w:r>
        <w:rPr>
          <w:spacing w:val="-13"/>
          <w:w w:val="110"/>
          <w:sz w:val="16"/>
        </w:rPr>
        <w:t> </w:t>
      </w:r>
      <w:r>
        <w:rPr>
          <w:w w:val="110"/>
          <w:sz w:val="16"/>
        </w:rPr>
        <w:t>expresión</w:t>
      </w:r>
      <w:r>
        <w:rPr>
          <w:spacing w:val="-13"/>
          <w:w w:val="110"/>
          <w:sz w:val="16"/>
        </w:rPr>
        <w:t> </w:t>
      </w:r>
      <w:r>
        <w:rPr>
          <w:w w:val="110"/>
          <w:sz w:val="16"/>
        </w:rPr>
        <w:t>se</w:t>
      </w:r>
      <w:r>
        <w:rPr>
          <w:spacing w:val="-13"/>
          <w:w w:val="110"/>
          <w:sz w:val="16"/>
        </w:rPr>
        <w:t> </w:t>
      </w:r>
      <w:r>
        <w:rPr>
          <w:w w:val="110"/>
          <w:sz w:val="16"/>
        </w:rPr>
        <w:t>refiere</w:t>
      </w:r>
      <w:r>
        <w:rPr>
          <w:spacing w:val="-13"/>
          <w:w w:val="110"/>
          <w:sz w:val="16"/>
        </w:rPr>
        <w:t> </w:t>
      </w:r>
      <w:r>
        <w:rPr>
          <w:w w:val="110"/>
          <w:sz w:val="16"/>
        </w:rPr>
        <w:t>al</w:t>
      </w:r>
      <w:r>
        <w:rPr>
          <w:spacing w:val="-13"/>
          <w:w w:val="110"/>
          <w:sz w:val="16"/>
        </w:rPr>
        <w:t> </w:t>
      </w:r>
      <w:r>
        <w:rPr>
          <w:w w:val="110"/>
          <w:sz w:val="16"/>
        </w:rPr>
        <w:t>concepto</w:t>
      </w:r>
      <w:r>
        <w:rPr>
          <w:spacing w:val="-13"/>
          <w:w w:val="110"/>
          <w:sz w:val="16"/>
        </w:rPr>
        <w:t> </w:t>
      </w:r>
      <w:r>
        <w:rPr>
          <w:w w:val="110"/>
          <w:sz w:val="16"/>
        </w:rPr>
        <w:t>maoísta:</w:t>
      </w:r>
      <w:r>
        <w:rPr>
          <w:spacing w:val="-13"/>
          <w:w w:val="110"/>
          <w:sz w:val="16"/>
        </w:rPr>
        <w:t> </w:t>
      </w:r>
      <w:r>
        <w:rPr>
          <w:w w:val="110"/>
          <w:sz w:val="16"/>
        </w:rPr>
        <w:t>“la</w:t>
      </w:r>
      <w:r>
        <w:rPr>
          <w:spacing w:val="-13"/>
          <w:w w:val="110"/>
          <w:sz w:val="16"/>
        </w:rPr>
        <w:t> </w:t>
      </w:r>
      <w:r>
        <w:rPr>
          <w:w w:val="110"/>
          <w:sz w:val="16"/>
        </w:rPr>
        <w:t>guerrilla,</w:t>
      </w:r>
      <w:r>
        <w:rPr>
          <w:spacing w:val="-13"/>
          <w:w w:val="110"/>
          <w:sz w:val="16"/>
        </w:rPr>
        <w:t> </w:t>
      </w:r>
      <w:r>
        <w:rPr>
          <w:w w:val="110"/>
          <w:sz w:val="16"/>
        </w:rPr>
        <w:t>apoyada</w:t>
      </w:r>
      <w:r>
        <w:rPr>
          <w:spacing w:val="-13"/>
          <w:w w:val="110"/>
          <w:sz w:val="16"/>
        </w:rPr>
        <w:t> </w:t>
      </w:r>
      <w:r>
        <w:rPr>
          <w:w w:val="110"/>
          <w:sz w:val="16"/>
        </w:rPr>
        <w:t>por</w:t>
      </w:r>
      <w:r>
        <w:rPr>
          <w:spacing w:val="-13"/>
          <w:w w:val="110"/>
          <w:sz w:val="16"/>
        </w:rPr>
        <w:t> </w:t>
      </w:r>
      <w:r>
        <w:rPr>
          <w:w w:val="110"/>
          <w:sz w:val="16"/>
        </w:rPr>
        <w:t>el</w:t>
      </w:r>
      <w:r>
        <w:rPr>
          <w:spacing w:val="-13"/>
          <w:w w:val="110"/>
          <w:sz w:val="16"/>
        </w:rPr>
        <w:t> </w:t>
      </w:r>
      <w:r>
        <w:rPr>
          <w:w w:val="110"/>
          <w:sz w:val="16"/>
        </w:rPr>
        <w:t>pueblo, </w:t>
      </w:r>
      <w:r>
        <w:rPr>
          <w:w w:val="102"/>
          <w:sz w:val="16"/>
        </w:rPr>
        <w:t>se</w:t>
      </w:r>
      <w:r>
        <w:rPr>
          <w:sz w:val="16"/>
        </w:rPr>
        <w:t> </w:t>
      </w:r>
      <w:r>
        <w:rPr>
          <w:spacing w:val="-5"/>
          <w:sz w:val="16"/>
        </w:rPr>
        <w:t> </w:t>
      </w:r>
      <w:r>
        <w:rPr>
          <w:w w:val="104"/>
          <w:sz w:val="16"/>
        </w:rPr>
        <w:t>desenvuelve</w:t>
      </w:r>
      <w:r>
        <w:rPr>
          <w:sz w:val="16"/>
        </w:rPr>
        <w:t> </w:t>
      </w:r>
      <w:r>
        <w:rPr>
          <w:spacing w:val="-5"/>
          <w:sz w:val="16"/>
        </w:rPr>
        <w:t> </w:t>
      </w:r>
      <w:r>
        <w:rPr>
          <w:w w:val="105"/>
          <w:sz w:val="16"/>
        </w:rPr>
        <w:t>dentro</w:t>
      </w:r>
      <w:r>
        <w:rPr>
          <w:sz w:val="16"/>
        </w:rPr>
        <w:t> </w:t>
      </w:r>
      <w:r>
        <w:rPr>
          <w:spacing w:val="-5"/>
          <w:sz w:val="16"/>
        </w:rPr>
        <w:t> </w:t>
      </w:r>
      <w:r>
        <w:rPr>
          <w:w w:val="104"/>
          <w:sz w:val="16"/>
        </w:rPr>
        <w:t>de</w:t>
      </w:r>
      <w:r>
        <w:rPr>
          <w:sz w:val="16"/>
        </w:rPr>
        <w:t> </w:t>
      </w:r>
      <w:r>
        <w:rPr>
          <w:spacing w:val="-5"/>
          <w:sz w:val="16"/>
        </w:rPr>
        <w:t> </w:t>
      </w:r>
      <w:r>
        <w:rPr>
          <w:w w:val="103"/>
          <w:sz w:val="16"/>
        </w:rPr>
        <w:t>éste</w:t>
      </w:r>
      <w:r>
        <w:rPr>
          <w:sz w:val="16"/>
        </w:rPr>
        <w:t> </w:t>
      </w:r>
      <w:r>
        <w:rPr>
          <w:spacing w:val="-5"/>
          <w:sz w:val="16"/>
        </w:rPr>
        <w:t> </w:t>
      </w:r>
      <w:r>
        <w:rPr>
          <w:w w:val="110"/>
          <w:sz w:val="16"/>
        </w:rPr>
        <w:t>como</w:t>
      </w:r>
      <w:r>
        <w:rPr>
          <w:sz w:val="16"/>
        </w:rPr>
        <w:t> </w:t>
      </w:r>
      <w:r>
        <w:rPr>
          <w:spacing w:val="-5"/>
          <w:sz w:val="16"/>
        </w:rPr>
        <w:t> </w:t>
      </w:r>
      <w:r>
        <w:rPr>
          <w:w w:val="106"/>
          <w:sz w:val="16"/>
        </w:rPr>
        <w:t>pez</w:t>
      </w:r>
      <w:r>
        <w:rPr>
          <w:sz w:val="16"/>
        </w:rPr>
        <w:t> </w:t>
      </w:r>
      <w:r>
        <w:rPr>
          <w:spacing w:val="-5"/>
          <w:sz w:val="16"/>
        </w:rPr>
        <w:t> </w:t>
      </w:r>
      <w:r>
        <w:rPr>
          <w:w w:val="106"/>
          <w:sz w:val="16"/>
        </w:rPr>
        <w:t>en</w:t>
      </w:r>
      <w:r>
        <w:rPr>
          <w:sz w:val="16"/>
        </w:rPr>
        <w:t> </w:t>
      </w:r>
      <w:r>
        <w:rPr>
          <w:spacing w:val="-5"/>
          <w:sz w:val="16"/>
        </w:rPr>
        <w:t> </w:t>
      </w:r>
      <w:r>
        <w:rPr>
          <w:w w:val="104"/>
          <w:sz w:val="16"/>
        </w:rPr>
        <w:t>el</w:t>
      </w:r>
      <w:r>
        <w:rPr>
          <w:sz w:val="16"/>
        </w:rPr>
        <w:t> </w:t>
      </w:r>
      <w:r>
        <w:rPr>
          <w:spacing w:val="-5"/>
          <w:sz w:val="16"/>
        </w:rPr>
        <w:t> </w:t>
      </w:r>
      <w:r>
        <w:rPr>
          <w:w w:val="112"/>
          <w:sz w:val="16"/>
        </w:rPr>
        <w:t>agua”.</w:t>
      </w:r>
      <w:r>
        <w:rPr>
          <w:sz w:val="16"/>
        </w:rPr>
        <w:t> </w:t>
      </w:r>
      <w:r>
        <w:rPr>
          <w:spacing w:val="-5"/>
          <w:sz w:val="16"/>
        </w:rPr>
        <w:t> </w:t>
      </w:r>
      <w:r>
        <w:rPr>
          <w:w w:val="117"/>
          <w:sz w:val="16"/>
        </w:rPr>
        <w:t>En</w:t>
      </w:r>
      <w:r>
        <w:rPr>
          <w:sz w:val="16"/>
        </w:rPr>
        <w:t> </w:t>
      </w:r>
      <w:r>
        <w:rPr>
          <w:spacing w:val="-5"/>
          <w:sz w:val="16"/>
        </w:rPr>
        <w:t> </w:t>
      </w:r>
      <w:r>
        <w:rPr>
          <w:w w:val="136"/>
          <w:sz w:val="16"/>
        </w:rPr>
        <w:t>a</w:t>
      </w:r>
      <w:r>
        <w:rPr>
          <w:w w:val="108"/>
          <w:sz w:val="16"/>
        </w:rPr>
        <w:t>mérica</w:t>
      </w:r>
      <w:r>
        <w:rPr>
          <w:sz w:val="16"/>
        </w:rPr>
        <w:t> </w:t>
      </w:r>
      <w:r>
        <w:rPr>
          <w:spacing w:val="-5"/>
          <w:sz w:val="16"/>
        </w:rPr>
        <w:t> </w:t>
      </w:r>
      <w:r>
        <w:rPr>
          <w:w w:val="238"/>
          <w:sz w:val="16"/>
        </w:rPr>
        <w:t>l</w:t>
      </w:r>
      <w:r>
        <w:rPr>
          <w:w w:val="111"/>
          <w:sz w:val="16"/>
        </w:rPr>
        <w:t>atina,</w:t>
      </w:r>
      <w:r>
        <w:rPr>
          <w:sz w:val="16"/>
        </w:rPr>
        <w:t> </w:t>
      </w:r>
      <w:r>
        <w:rPr>
          <w:spacing w:val="-5"/>
          <w:sz w:val="16"/>
        </w:rPr>
        <w:t> </w:t>
      </w:r>
      <w:r>
        <w:rPr>
          <w:w w:val="108"/>
          <w:sz w:val="16"/>
        </w:rPr>
        <w:t>particu</w:t>
      </w:r>
      <w:r>
        <w:rPr>
          <w:w w:val="100"/>
          <w:sz w:val="16"/>
        </w:rPr>
        <w:t>- </w:t>
      </w:r>
      <w:r>
        <w:rPr>
          <w:w w:val="110"/>
          <w:sz w:val="16"/>
        </w:rPr>
        <w:t>larmente en Guatemala, las Fuerzas armadas pusieron en práctica la estrategia de “quitar el agua al pez”, es </w:t>
      </w:r>
      <w:r>
        <w:rPr>
          <w:spacing w:val="-3"/>
          <w:w w:val="110"/>
          <w:sz w:val="16"/>
        </w:rPr>
        <w:t>decir, </w:t>
      </w:r>
      <w:r>
        <w:rPr>
          <w:w w:val="110"/>
          <w:sz w:val="16"/>
        </w:rPr>
        <w:t>destruir las comunidades que pudieran apoyar a la guerrilla para que ésta no pudiera sostenerse. No se trata de una mera coincidencia esta</w:t>
      </w:r>
      <w:r>
        <w:rPr>
          <w:spacing w:val="-13"/>
          <w:w w:val="110"/>
          <w:sz w:val="16"/>
        </w:rPr>
        <w:t> </w:t>
      </w:r>
      <w:r>
        <w:rPr>
          <w:w w:val="110"/>
          <w:sz w:val="16"/>
        </w:rPr>
        <w:t>estrategia</w:t>
      </w:r>
      <w:r>
        <w:rPr>
          <w:spacing w:val="-13"/>
          <w:w w:val="110"/>
          <w:sz w:val="16"/>
        </w:rPr>
        <w:t> </w:t>
      </w:r>
      <w:r>
        <w:rPr>
          <w:w w:val="110"/>
          <w:sz w:val="16"/>
        </w:rPr>
        <w:t>guatemalteca</w:t>
      </w:r>
      <w:r>
        <w:rPr>
          <w:spacing w:val="-13"/>
          <w:w w:val="110"/>
          <w:sz w:val="16"/>
        </w:rPr>
        <w:t> </w:t>
      </w:r>
      <w:r>
        <w:rPr>
          <w:w w:val="110"/>
          <w:sz w:val="16"/>
        </w:rPr>
        <w:t>con</w:t>
      </w:r>
      <w:r>
        <w:rPr>
          <w:spacing w:val="-13"/>
          <w:w w:val="110"/>
          <w:sz w:val="16"/>
        </w:rPr>
        <w:t> </w:t>
      </w:r>
      <w:r>
        <w:rPr>
          <w:w w:val="110"/>
          <w:sz w:val="16"/>
        </w:rPr>
        <w:t>lo</w:t>
      </w:r>
      <w:r>
        <w:rPr>
          <w:spacing w:val="-13"/>
          <w:w w:val="110"/>
          <w:sz w:val="16"/>
        </w:rPr>
        <w:t> </w:t>
      </w:r>
      <w:r>
        <w:rPr>
          <w:w w:val="110"/>
          <w:sz w:val="16"/>
        </w:rPr>
        <w:t>sucedido</w:t>
      </w:r>
      <w:r>
        <w:rPr>
          <w:spacing w:val="-13"/>
          <w:w w:val="110"/>
          <w:sz w:val="16"/>
        </w:rPr>
        <w:t> </w:t>
      </w:r>
      <w:r>
        <w:rPr>
          <w:w w:val="110"/>
          <w:sz w:val="16"/>
        </w:rPr>
        <w:t>en</w:t>
      </w:r>
      <w:r>
        <w:rPr>
          <w:spacing w:val="-13"/>
          <w:w w:val="110"/>
          <w:sz w:val="16"/>
        </w:rPr>
        <w:t> </w:t>
      </w:r>
      <w:r>
        <w:rPr>
          <w:w w:val="110"/>
          <w:sz w:val="16"/>
        </w:rPr>
        <w:t>Vietnam.</w:t>
      </w:r>
      <w:r>
        <w:rPr>
          <w:spacing w:val="-13"/>
          <w:w w:val="110"/>
          <w:sz w:val="16"/>
        </w:rPr>
        <w:t> </w:t>
      </w:r>
      <w:r>
        <w:rPr>
          <w:w w:val="110"/>
          <w:sz w:val="16"/>
        </w:rPr>
        <w:t>Puede</w:t>
      </w:r>
      <w:r>
        <w:rPr>
          <w:spacing w:val="-13"/>
          <w:w w:val="110"/>
          <w:sz w:val="16"/>
        </w:rPr>
        <w:t> </w:t>
      </w:r>
      <w:r>
        <w:rPr>
          <w:w w:val="110"/>
          <w:sz w:val="16"/>
        </w:rPr>
        <w:t>observarse</w:t>
      </w:r>
      <w:r>
        <w:rPr>
          <w:spacing w:val="-13"/>
          <w:w w:val="110"/>
          <w:sz w:val="16"/>
        </w:rPr>
        <w:t> </w:t>
      </w:r>
      <w:r>
        <w:rPr>
          <w:w w:val="110"/>
          <w:sz w:val="16"/>
        </w:rPr>
        <w:t>una</w:t>
      </w:r>
      <w:r>
        <w:rPr>
          <w:spacing w:val="-13"/>
          <w:w w:val="110"/>
          <w:sz w:val="16"/>
        </w:rPr>
        <w:t> </w:t>
      </w:r>
      <w:r>
        <w:rPr>
          <w:w w:val="110"/>
          <w:sz w:val="16"/>
        </w:rPr>
        <w:t>línea de continuidad fundamental entre las políticas de contrainsurgencia y las “guerras limitadas” implementadas por el gobierno estadounidense en el sudeste asiático y las tácticas aplicadas en américa Central para acabar con la “subversión”. algunos ejemplos</w:t>
      </w:r>
      <w:r>
        <w:rPr>
          <w:spacing w:val="-8"/>
          <w:w w:val="110"/>
          <w:sz w:val="16"/>
        </w:rPr>
        <w:t> </w:t>
      </w:r>
      <w:r>
        <w:rPr>
          <w:w w:val="110"/>
          <w:sz w:val="16"/>
        </w:rPr>
        <w:t>son</w:t>
      </w:r>
      <w:r>
        <w:rPr>
          <w:spacing w:val="-8"/>
          <w:w w:val="110"/>
          <w:sz w:val="16"/>
        </w:rPr>
        <w:t> </w:t>
      </w:r>
      <w:r>
        <w:rPr>
          <w:w w:val="110"/>
          <w:sz w:val="16"/>
        </w:rPr>
        <w:t>la</w:t>
      </w:r>
      <w:r>
        <w:rPr>
          <w:spacing w:val="-8"/>
          <w:w w:val="110"/>
          <w:sz w:val="16"/>
        </w:rPr>
        <w:t> </w:t>
      </w:r>
      <w:r>
        <w:rPr>
          <w:w w:val="110"/>
          <w:sz w:val="16"/>
        </w:rPr>
        <w:t>defoliación</w:t>
      </w:r>
      <w:r>
        <w:rPr>
          <w:spacing w:val="-8"/>
          <w:w w:val="110"/>
          <w:sz w:val="16"/>
        </w:rPr>
        <w:t> </w:t>
      </w:r>
      <w:r>
        <w:rPr>
          <w:w w:val="110"/>
          <w:sz w:val="16"/>
        </w:rPr>
        <w:t>con</w:t>
      </w:r>
      <w:r>
        <w:rPr>
          <w:spacing w:val="-8"/>
          <w:w w:val="110"/>
          <w:sz w:val="16"/>
        </w:rPr>
        <w:t> </w:t>
      </w:r>
      <w:r>
        <w:rPr>
          <w:w w:val="110"/>
          <w:sz w:val="16"/>
        </w:rPr>
        <w:t>agroquímicos,</w:t>
      </w:r>
      <w:r>
        <w:rPr>
          <w:spacing w:val="-8"/>
          <w:w w:val="110"/>
          <w:sz w:val="16"/>
        </w:rPr>
        <w:t> </w:t>
      </w:r>
      <w:r>
        <w:rPr>
          <w:w w:val="110"/>
          <w:sz w:val="16"/>
        </w:rPr>
        <w:t>las</w:t>
      </w:r>
      <w:r>
        <w:rPr>
          <w:spacing w:val="-8"/>
          <w:w w:val="110"/>
          <w:sz w:val="16"/>
        </w:rPr>
        <w:t> </w:t>
      </w:r>
      <w:r>
        <w:rPr>
          <w:w w:val="110"/>
          <w:sz w:val="16"/>
        </w:rPr>
        <w:t>aldeas</w:t>
      </w:r>
      <w:r>
        <w:rPr>
          <w:spacing w:val="-8"/>
          <w:w w:val="110"/>
          <w:sz w:val="16"/>
        </w:rPr>
        <w:t> </w:t>
      </w:r>
      <w:r>
        <w:rPr>
          <w:w w:val="110"/>
          <w:sz w:val="16"/>
        </w:rPr>
        <w:t>modelo</w:t>
      </w:r>
      <w:r>
        <w:rPr>
          <w:spacing w:val="-8"/>
          <w:w w:val="110"/>
          <w:sz w:val="16"/>
        </w:rPr>
        <w:t> </w:t>
      </w:r>
      <w:r>
        <w:rPr>
          <w:w w:val="110"/>
          <w:sz w:val="16"/>
        </w:rPr>
        <w:t>y</w:t>
      </w:r>
      <w:r>
        <w:rPr>
          <w:spacing w:val="-8"/>
          <w:w w:val="110"/>
          <w:sz w:val="16"/>
        </w:rPr>
        <w:t> </w:t>
      </w:r>
      <w:r>
        <w:rPr>
          <w:w w:val="110"/>
          <w:sz w:val="16"/>
        </w:rPr>
        <w:t>la</w:t>
      </w:r>
      <w:r>
        <w:rPr>
          <w:spacing w:val="-8"/>
          <w:w w:val="110"/>
          <w:sz w:val="16"/>
        </w:rPr>
        <w:t> </w:t>
      </w:r>
      <w:r>
        <w:rPr>
          <w:w w:val="110"/>
          <w:sz w:val="16"/>
        </w:rPr>
        <w:t>táctica</w:t>
      </w:r>
      <w:r>
        <w:rPr>
          <w:spacing w:val="-8"/>
          <w:w w:val="110"/>
          <w:sz w:val="16"/>
        </w:rPr>
        <w:t> </w:t>
      </w:r>
      <w:r>
        <w:rPr>
          <w:w w:val="110"/>
          <w:sz w:val="16"/>
        </w:rPr>
        <w:t>de</w:t>
      </w:r>
      <w:r>
        <w:rPr>
          <w:spacing w:val="-8"/>
          <w:w w:val="110"/>
          <w:sz w:val="16"/>
        </w:rPr>
        <w:t> </w:t>
      </w:r>
      <w:r>
        <w:rPr>
          <w:w w:val="110"/>
          <w:sz w:val="16"/>
        </w:rPr>
        <w:t>tierra arrasada</w:t>
      </w:r>
      <w:r>
        <w:rPr>
          <w:spacing w:val="-12"/>
          <w:w w:val="110"/>
          <w:sz w:val="16"/>
        </w:rPr>
        <w:t> </w:t>
      </w:r>
      <w:r>
        <w:rPr>
          <w:w w:val="110"/>
          <w:sz w:val="16"/>
        </w:rPr>
        <w:t>(ver</w:t>
      </w:r>
      <w:r>
        <w:rPr>
          <w:spacing w:val="-12"/>
          <w:w w:val="110"/>
          <w:sz w:val="16"/>
        </w:rPr>
        <w:t> </w:t>
      </w:r>
      <w:r>
        <w:rPr>
          <w:w w:val="110"/>
          <w:sz w:val="16"/>
        </w:rPr>
        <w:t>bermúdez,</w:t>
      </w:r>
      <w:r>
        <w:rPr>
          <w:spacing w:val="-12"/>
          <w:w w:val="110"/>
          <w:sz w:val="16"/>
        </w:rPr>
        <w:t> </w:t>
      </w:r>
      <w:r>
        <w:rPr>
          <w:w w:val="110"/>
          <w:sz w:val="16"/>
        </w:rPr>
        <w:t>1987;</w:t>
      </w:r>
      <w:r>
        <w:rPr>
          <w:spacing w:val="-12"/>
          <w:w w:val="110"/>
          <w:sz w:val="16"/>
        </w:rPr>
        <w:t> </w:t>
      </w:r>
      <w:r>
        <w:rPr>
          <w:w w:val="110"/>
          <w:sz w:val="16"/>
        </w:rPr>
        <w:t>Palencia,</w:t>
      </w:r>
      <w:r>
        <w:rPr>
          <w:spacing w:val="-12"/>
          <w:w w:val="110"/>
          <w:sz w:val="16"/>
        </w:rPr>
        <w:t> </w:t>
      </w:r>
      <w:r>
        <w:rPr>
          <w:w w:val="110"/>
          <w:sz w:val="16"/>
        </w:rPr>
        <w:t>2012;</w:t>
      </w:r>
      <w:r>
        <w:rPr>
          <w:spacing w:val="-12"/>
          <w:w w:val="110"/>
          <w:sz w:val="16"/>
        </w:rPr>
        <w:t> </w:t>
      </w:r>
      <w:r>
        <w:rPr>
          <w:w w:val="110"/>
          <w:sz w:val="16"/>
        </w:rPr>
        <w:t>schirmer,</w:t>
      </w:r>
      <w:r>
        <w:rPr>
          <w:spacing w:val="-12"/>
          <w:w w:val="110"/>
          <w:sz w:val="16"/>
        </w:rPr>
        <w:t> </w:t>
      </w:r>
      <w:r>
        <w:rPr>
          <w:w w:val="110"/>
          <w:sz w:val="16"/>
        </w:rPr>
        <w:t>1998).</w:t>
      </w:r>
      <w:r>
        <w:rPr>
          <w:spacing w:val="-12"/>
          <w:w w:val="110"/>
          <w:sz w:val="16"/>
        </w:rPr>
        <w:t> </w:t>
      </w:r>
      <w:r>
        <w:rPr>
          <w:w w:val="110"/>
          <w:sz w:val="16"/>
        </w:rPr>
        <w:t>Esto</w:t>
      </w:r>
      <w:r>
        <w:rPr>
          <w:spacing w:val="-12"/>
          <w:w w:val="110"/>
          <w:sz w:val="16"/>
        </w:rPr>
        <w:t> </w:t>
      </w:r>
      <w:r>
        <w:rPr>
          <w:w w:val="110"/>
          <w:sz w:val="16"/>
        </w:rPr>
        <w:t>no</w:t>
      </w:r>
      <w:r>
        <w:rPr>
          <w:spacing w:val="-12"/>
          <w:w w:val="110"/>
          <w:sz w:val="16"/>
        </w:rPr>
        <w:t> </w:t>
      </w:r>
      <w:r>
        <w:rPr>
          <w:w w:val="110"/>
          <w:sz w:val="16"/>
        </w:rPr>
        <w:t>requirió</w:t>
      </w:r>
      <w:r>
        <w:rPr>
          <w:spacing w:val="-12"/>
          <w:w w:val="110"/>
          <w:sz w:val="16"/>
        </w:rPr>
        <w:t> </w:t>
      </w:r>
      <w:r>
        <w:rPr>
          <w:w w:val="110"/>
          <w:sz w:val="16"/>
        </w:rPr>
        <w:t>una intervención directa de las </w:t>
      </w:r>
      <w:r>
        <w:rPr>
          <w:spacing w:val="-3"/>
          <w:w w:val="110"/>
          <w:sz w:val="16"/>
        </w:rPr>
        <w:t>FFaa </w:t>
      </w:r>
      <w:r>
        <w:rPr>
          <w:w w:val="110"/>
          <w:sz w:val="16"/>
        </w:rPr>
        <w:t>estadounidenses, ni niega el protagonismo y la pla- nificación de las </w:t>
      </w:r>
      <w:r>
        <w:rPr>
          <w:spacing w:val="-3"/>
          <w:w w:val="110"/>
          <w:sz w:val="16"/>
        </w:rPr>
        <w:t>FFaa </w:t>
      </w:r>
      <w:r>
        <w:rPr>
          <w:w w:val="110"/>
          <w:sz w:val="16"/>
        </w:rPr>
        <w:t>locales, así como tampoco la influencia de otras </w:t>
      </w:r>
      <w:r>
        <w:rPr>
          <w:spacing w:val="-3"/>
          <w:w w:val="110"/>
          <w:sz w:val="16"/>
        </w:rPr>
        <w:t>FFaa </w:t>
      </w:r>
      <w:r>
        <w:rPr>
          <w:w w:val="110"/>
          <w:sz w:val="16"/>
        </w:rPr>
        <w:t>como  las francesas, sino que apunta a señalar la importancia del plan de estandarización </w:t>
      </w:r>
      <w:r>
        <w:rPr>
          <w:w w:val="104"/>
          <w:sz w:val="16"/>
        </w:rPr>
        <w:t>de</w:t>
      </w:r>
      <w:r>
        <w:rPr>
          <w:spacing w:val="2"/>
          <w:sz w:val="16"/>
        </w:rPr>
        <w:t> </w:t>
      </w:r>
      <w:r>
        <w:rPr>
          <w:w w:val="107"/>
          <w:sz w:val="16"/>
        </w:rPr>
        <w:t>las</w:t>
      </w:r>
      <w:r>
        <w:rPr>
          <w:spacing w:val="2"/>
          <w:sz w:val="16"/>
        </w:rPr>
        <w:t> </w:t>
      </w:r>
      <w:r>
        <w:rPr>
          <w:w w:val="117"/>
          <w:sz w:val="16"/>
        </w:rPr>
        <w:t>F</w:t>
      </w:r>
      <w:r>
        <w:rPr>
          <w:spacing w:val="-9"/>
          <w:w w:val="117"/>
          <w:sz w:val="16"/>
        </w:rPr>
        <w:t>F</w:t>
      </w:r>
      <w:r>
        <w:rPr>
          <w:w w:val="136"/>
          <w:sz w:val="16"/>
        </w:rPr>
        <w:t>aa</w:t>
      </w:r>
      <w:r>
        <w:rPr>
          <w:spacing w:val="2"/>
          <w:sz w:val="16"/>
        </w:rPr>
        <w:t> </w:t>
      </w:r>
      <w:r>
        <w:rPr>
          <w:w w:val="106"/>
          <w:sz w:val="16"/>
        </w:rPr>
        <w:t>en</w:t>
      </w:r>
      <w:r>
        <w:rPr>
          <w:spacing w:val="2"/>
          <w:sz w:val="16"/>
        </w:rPr>
        <w:t> </w:t>
      </w:r>
      <w:r>
        <w:rPr>
          <w:w w:val="136"/>
          <w:sz w:val="16"/>
        </w:rPr>
        <w:t>a</w:t>
      </w:r>
      <w:r>
        <w:rPr>
          <w:w w:val="108"/>
          <w:sz w:val="16"/>
        </w:rPr>
        <w:t>mérica</w:t>
      </w:r>
      <w:r>
        <w:rPr>
          <w:spacing w:val="2"/>
          <w:sz w:val="16"/>
        </w:rPr>
        <w:t> </w:t>
      </w:r>
      <w:r>
        <w:rPr>
          <w:w w:val="238"/>
          <w:sz w:val="16"/>
        </w:rPr>
        <w:t>l</w:t>
      </w:r>
      <w:r>
        <w:rPr>
          <w:w w:val="111"/>
          <w:sz w:val="16"/>
        </w:rPr>
        <w:t>atina,</w:t>
      </w:r>
      <w:r>
        <w:rPr>
          <w:spacing w:val="2"/>
          <w:sz w:val="16"/>
        </w:rPr>
        <w:t> </w:t>
      </w:r>
      <w:r>
        <w:rPr>
          <w:w w:val="109"/>
          <w:sz w:val="16"/>
        </w:rPr>
        <w:t>a</w:t>
      </w:r>
      <w:r>
        <w:rPr>
          <w:spacing w:val="2"/>
          <w:sz w:val="16"/>
        </w:rPr>
        <w:t> </w:t>
      </w:r>
      <w:r>
        <w:rPr>
          <w:w w:val="106"/>
          <w:sz w:val="16"/>
        </w:rPr>
        <w:t>favor</w:t>
      </w:r>
      <w:r>
        <w:rPr>
          <w:spacing w:val="2"/>
          <w:sz w:val="16"/>
        </w:rPr>
        <w:t> </w:t>
      </w:r>
      <w:r>
        <w:rPr>
          <w:w w:val="104"/>
          <w:sz w:val="16"/>
        </w:rPr>
        <w:t>de</w:t>
      </w:r>
      <w:r>
        <w:rPr>
          <w:spacing w:val="2"/>
          <w:sz w:val="16"/>
        </w:rPr>
        <w:t> </w:t>
      </w:r>
      <w:r>
        <w:rPr>
          <w:w w:val="106"/>
          <w:sz w:val="16"/>
        </w:rPr>
        <w:t>los</w:t>
      </w:r>
      <w:r>
        <w:rPr>
          <w:spacing w:val="2"/>
          <w:sz w:val="16"/>
        </w:rPr>
        <w:t> </w:t>
      </w:r>
      <w:r>
        <w:rPr>
          <w:w w:val="106"/>
          <w:sz w:val="16"/>
        </w:rPr>
        <w:t>objetivos</w:t>
      </w:r>
      <w:r>
        <w:rPr>
          <w:spacing w:val="2"/>
          <w:sz w:val="16"/>
        </w:rPr>
        <w:t> </w:t>
      </w:r>
      <w:r>
        <w:rPr>
          <w:w w:val="104"/>
          <w:sz w:val="16"/>
        </w:rPr>
        <w:t>de</w:t>
      </w:r>
      <w:r>
        <w:rPr>
          <w:spacing w:val="2"/>
          <w:sz w:val="16"/>
        </w:rPr>
        <w:t> </w:t>
      </w:r>
      <w:r>
        <w:rPr>
          <w:w w:val="107"/>
          <w:sz w:val="16"/>
        </w:rPr>
        <w:t>seguridad</w:t>
      </w:r>
      <w:r>
        <w:rPr>
          <w:spacing w:val="2"/>
          <w:sz w:val="16"/>
        </w:rPr>
        <w:t> </w:t>
      </w:r>
      <w:r>
        <w:rPr>
          <w:w w:val="106"/>
          <w:sz w:val="16"/>
        </w:rPr>
        <w:t>estadounidenses </w:t>
      </w:r>
      <w:r>
        <w:rPr>
          <w:w w:val="110"/>
          <w:sz w:val="16"/>
        </w:rPr>
        <w:t>(entrenamiento y venta de armas, especialmente) planteados antes del</w:t>
      </w:r>
      <w:r>
        <w:rPr>
          <w:spacing w:val="-26"/>
          <w:w w:val="110"/>
          <w:sz w:val="16"/>
        </w:rPr>
        <w:t> </w:t>
      </w:r>
      <w:r>
        <w:rPr>
          <w:spacing w:val="-3"/>
          <w:w w:val="110"/>
          <w:sz w:val="16"/>
        </w:rPr>
        <w:t>tratado </w:t>
      </w:r>
      <w:r>
        <w:rPr>
          <w:w w:val="110"/>
          <w:sz w:val="16"/>
        </w:rPr>
        <w:t>inte- ramericano de asistencia recíproca (1947) (romano,</w:t>
      </w:r>
      <w:r>
        <w:rPr>
          <w:spacing w:val="17"/>
          <w:w w:val="110"/>
          <w:sz w:val="16"/>
        </w:rPr>
        <w:t> </w:t>
      </w:r>
      <w:r>
        <w:rPr>
          <w:w w:val="110"/>
          <w:sz w:val="16"/>
        </w:rPr>
        <w:t>2012).</w:t>
      </w:r>
    </w:p>
    <w:p>
      <w:pPr>
        <w:pStyle w:val="ListParagraph"/>
        <w:numPr>
          <w:ilvl w:val="0"/>
          <w:numId w:val="30"/>
        </w:numPr>
        <w:tabs>
          <w:tab w:pos="376" w:val="left" w:leader="none"/>
        </w:tabs>
        <w:spacing w:line="242" w:lineRule="auto" w:before="57" w:after="0"/>
        <w:ind w:left="120" w:right="329" w:firstLine="0"/>
        <w:jc w:val="both"/>
        <w:rPr>
          <w:sz w:val="16"/>
        </w:rPr>
      </w:pPr>
      <w:r>
        <w:rPr>
          <w:spacing w:val="-4"/>
          <w:w w:val="110"/>
          <w:sz w:val="16"/>
        </w:rPr>
        <w:t>Ver </w:t>
      </w:r>
      <w:r>
        <w:rPr>
          <w:w w:val="110"/>
          <w:sz w:val="16"/>
        </w:rPr>
        <w:t>Garret, banning (1971) “the strange economics of Vietnam”, </w:t>
      </w:r>
      <w:r>
        <w:rPr>
          <w:i/>
          <w:w w:val="110"/>
          <w:sz w:val="16"/>
        </w:rPr>
        <w:t>Ramparts</w:t>
      </w:r>
      <w:r>
        <w:rPr>
          <w:w w:val="110"/>
          <w:sz w:val="16"/>
        </w:rPr>
        <w:t>, No- </w:t>
      </w:r>
      <w:r>
        <w:rPr>
          <w:spacing w:val="-3"/>
          <w:w w:val="110"/>
          <w:sz w:val="16"/>
        </w:rPr>
        <w:t>vember, </w:t>
      </w:r>
      <w:r>
        <w:rPr>
          <w:w w:val="110"/>
          <w:sz w:val="16"/>
        </w:rPr>
        <w:t>pp.</w:t>
      </w:r>
      <w:r>
        <w:rPr>
          <w:spacing w:val="-28"/>
          <w:w w:val="110"/>
          <w:sz w:val="16"/>
        </w:rPr>
        <w:t> </w:t>
      </w:r>
      <w:r>
        <w:rPr>
          <w:w w:val="110"/>
          <w:sz w:val="16"/>
        </w:rPr>
        <w:t>34-39.</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firstLine="396"/>
        <w:jc w:val="both"/>
      </w:pPr>
      <w:r>
        <w:rPr>
          <w:w w:val="110"/>
        </w:rPr>
        <w:t>uno de los primeros sectores en oponerse a la guerra fue el de los negros involucrados en la lucha por los derechos civiles. Máximos re- presentantes</w:t>
      </w:r>
      <w:r>
        <w:rPr>
          <w:spacing w:val="-6"/>
          <w:w w:val="110"/>
        </w:rPr>
        <w:t> </w:t>
      </w:r>
      <w:r>
        <w:rPr>
          <w:w w:val="110"/>
        </w:rPr>
        <w:t>de</w:t>
      </w:r>
      <w:r>
        <w:rPr>
          <w:spacing w:val="-6"/>
          <w:w w:val="110"/>
        </w:rPr>
        <w:t> </w:t>
      </w:r>
      <w:r>
        <w:rPr>
          <w:w w:val="110"/>
        </w:rPr>
        <w:t>la</w:t>
      </w:r>
      <w:r>
        <w:rPr>
          <w:spacing w:val="-6"/>
          <w:w w:val="110"/>
        </w:rPr>
        <w:t> </w:t>
      </w:r>
      <w:r>
        <w:rPr>
          <w:w w:val="110"/>
        </w:rPr>
        <w:t>paz</w:t>
      </w:r>
      <w:r>
        <w:rPr>
          <w:spacing w:val="-6"/>
          <w:w w:val="110"/>
        </w:rPr>
        <w:t> </w:t>
      </w:r>
      <w:r>
        <w:rPr>
          <w:w w:val="110"/>
        </w:rPr>
        <w:t>y</w:t>
      </w:r>
      <w:r>
        <w:rPr>
          <w:spacing w:val="-6"/>
          <w:w w:val="110"/>
        </w:rPr>
        <w:t> </w:t>
      </w:r>
      <w:r>
        <w:rPr>
          <w:w w:val="110"/>
        </w:rPr>
        <w:t>del</w:t>
      </w:r>
      <w:r>
        <w:rPr>
          <w:spacing w:val="-6"/>
          <w:w w:val="110"/>
        </w:rPr>
        <w:t> </w:t>
      </w:r>
      <w:r>
        <w:rPr>
          <w:w w:val="110"/>
        </w:rPr>
        <w:t>movimiento</w:t>
      </w:r>
      <w:r>
        <w:rPr>
          <w:spacing w:val="-6"/>
          <w:w w:val="110"/>
        </w:rPr>
        <w:t> </w:t>
      </w:r>
      <w:r>
        <w:rPr>
          <w:w w:val="110"/>
        </w:rPr>
        <w:t>no</w:t>
      </w:r>
      <w:r>
        <w:rPr>
          <w:spacing w:val="-6"/>
          <w:w w:val="110"/>
        </w:rPr>
        <w:t> </w:t>
      </w:r>
      <w:r>
        <w:rPr>
          <w:w w:val="110"/>
        </w:rPr>
        <w:t>violento,</w:t>
      </w:r>
      <w:r>
        <w:rPr>
          <w:spacing w:val="-6"/>
          <w:w w:val="110"/>
        </w:rPr>
        <w:t> </w:t>
      </w:r>
      <w:r>
        <w:rPr>
          <w:w w:val="110"/>
        </w:rPr>
        <w:t>se</w:t>
      </w:r>
      <w:r>
        <w:rPr>
          <w:spacing w:val="-6"/>
          <w:w w:val="110"/>
        </w:rPr>
        <w:t> </w:t>
      </w:r>
      <w:r>
        <w:rPr>
          <w:w w:val="110"/>
        </w:rPr>
        <w:t>transformaron en una “amenaza para la seguridad nacional” en cuanto comenzaron   a señalar las vinculaciones entre la guerra, el racismo y la pobreza.    En 1966 el Comité para la Coordinación de Estudiantes no Violentos (que acuñó la idea del Poder Negro) declaró: “El asesinato de samuel </w:t>
      </w:r>
      <w:r>
        <w:rPr>
          <w:spacing w:val="-4"/>
          <w:w w:val="110"/>
        </w:rPr>
        <w:t>Young </w:t>
      </w:r>
      <w:r>
        <w:rPr>
          <w:w w:val="110"/>
        </w:rPr>
        <w:t>en tuskegee, alabama, no es diferente al asesinato de campesi- nos en Vietnam, porque tanto los jóvenes como los vietnamitas están buscando garantizar los derechos que les brinda la </w:t>
      </w:r>
      <w:r>
        <w:rPr>
          <w:spacing w:val="-6"/>
          <w:w w:val="110"/>
        </w:rPr>
        <w:t>ley. </w:t>
      </w:r>
      <w:r>
        <w:rPr>
          <w:w w:val="110"/>
        </w:rPr>
        <w:t>El gobierno de Estados unidos es responsable de estas muertes […] Cuestionamos entonces la capacidad e incluso el deseo del gobierno de Estados uni- dos de garantizar elecciones libres en el extranjero. sostenemos que</w:t>
      </w:r>
      <w:r>
        <w:rPr>
          <w:spacing w:val="-17"/>
          <w:w w:val="110"/>
        </w:rPr>
        <w:t> </w:t>
      </w:r>
      <w:r>
        <w:rPr>
          <w:w w:val="110"/>
        </w:rPr>
        <w:t>el supuesto deseo de nuestro país de ‘preservar la libertad en el mundo’ es una careta hipócrita, tras la cual se aplastan los movimientos que  se oponen a estar vinculados a la política exterior de Guerra Fría esta- dounidense” (sNCC, 6 de junio de </w:t>
      </w:r>
      <w:r>
        <w:rPr>
          <w:spacing w:val="40"/>
          <w:w w:val="110"/>
        </w:rPr>
        <w:t> </w:t>
      </w:r>
      <w:r>
        <w:rPr>
          <w:w w:val="110"/>
        </w:rPr>
        <w:t>1966).</w:t>
      </w:r>
    </w:p>
    <w:p>
      <w:pPr>
        <w:pStyle w:val="BodyText"/>
        <w:spacing w:line="252" w:lineRule="auto"/>
        <w:ind w:left="330" w:right="116" w:firstLine="396"/>
        <w:jc w:val="right"/>
      </w:pPr>
      <w:r>
        <w:rPr>
          <w:spacing w:val="-20"/>
          <w:w w:val="195"/>
        </w:rPr>
        <w:t>t</w:t>
      </w:r>
      <w:r>
        <w:rPr>
          <w:spacing w:val="-2"/>
          <w:w w:val="111"/>
        </w:rPr>
        <w:t>ampoc</w:t>
      </w:r>
      <w:r>
        <w:rPr>
          <w:w w:val="111"/>
        </w:rPr>
        <w:t>o</w:t>
      </w:r>
      <w:r>
        <w:rPr>
          <w:spacing w:val="7"/>
        </w:rPr>
        <w:t> </w:t>
      </w:r>
      <w:r>
        <w:rPr>
          <w:spacing w:val="-2"/>
          <w:w w:val="109"/>
        </w:rPr>
        <w:t>deberíamo</w:t>
      </w:r>
      <w:r>
        <w:rPr>
          <w:w w:val="109"/>
        </w:rPr>
        <w:t>s</w:t>
      </w:r>
      <w:r>
        <w:rPr>
          <w:spacing w:val="7"/>
        </w:rPr>
        <w:t> </w:t>
      </w:r>
      <w:r>
        <w:rPr>
          <w:spacing w:val="-2"/>
          <w:w w:val="108"/>
        </w:rPr>
        <w:t>olvida</w:t>
      </w:r>
      <w:r>
        <w:rPr>
          <w:w w:val="108"/>
        </w:rPr>
        <w:t>r</w:t>
      </w:r>
      <w:r>
        <w:rPr>
          <w:spacing w:val="7"/>
        </w:rPr>
        <w:t> </w:t>
      </w:r>
      <w:r>
        <w:rPr>
          <w:spacing w:val="-2"/>
          <w:w w:val="108"/>
        </w:rPr>
        <w:t>qu</w:t>
      </w:r>
      <w:r>
        <w:rPr>
          <w:w w:val="108"/>
        </w:rPr>
        <w:t>e</w:t>
      </w:r>
      <w:r>
        <w:rPr>
          <w:spacing w:val="7"/>
        </w:rPr>
        <w:t> </w:t>
      </w:r>
      <w:r>
        <w:rPr>
          <w:spacing w:val="-2"/>
          <w:w w:val="243"/>
        </w:rPr>
        <w:t>l</w:t>
      </w:r>
      <w:r>
        <w:rPr>
          <w:spacing w:val="-2"/>
          <w:w w:val="108"/>
        </w:rPr>
        <w:t>uthe</w:t>
      </w:r>
      <w:r>
        <w:rPr>
          <w:w w:val="108"/>
        </w:rPr>
        <w:t>r</w:t>
      </w:r>
      <w:r>
        <w:rPr>
          <w:spacing w:val="7"/>
        </w:rPr>
        <w:t> </w:t>
      </w:r>
      <w:r>
        <w:rPr>
          <w:spacing w:val="-2"/>
          <w:w w:val="116"/>
        </w:rPr>
        <w:t>Kin</w:t>
      </w:r>
      <w:r>
        <w:rPr>
          <w:w w:val="116"/>
        </w:rPr>
        <w:t>g</w:t>
      </w:r>
      <w:r>
        <w:rPr>
          <w:spacing w:val="7"/>
        </w:rPr>
        <w:t> </w:t>
      </w:r>
      <w:r>
        <w:rPr>
          <w:spacing w:val="-2"/>
          <w:w w:val="111"/>
        </w:rPr>
        <w:t>fu</w:t>
      </w:r>
      <w:r>
        <w:rPr>
          <w:w w:val="111"/>
        </w:rPr>
        <w:t>e</w:t>
      </w:r>
      <w:r>
        <w:rPr>
          <w:spacing w:val="7"/>
        </w:rPr>
        <w:t> </w:t>
      </w:r>
      <w:r>
        <w:rPr>
          <w:spacing w:val="-2"/>
          <w:w w:val="109"/>
        </w:rPr>
        <w:t>asesinad</w:t>
      </w:r>
      <w:r>
        <w:rPr>
          <w:w w:val="109"/>
        </w:rPr>
        <w:t>o</w:t>
      </w:r>
      <w:r>
        <w:rPr>
          <w:spacing w:val="7"/>
        </w:rPr>
        <w:t> </w:t>
      </w:r>
      <w:r>
        <w:rPr>
          <w:spacing w:val="-2"/>
          <w:w w:val="110"/>
        </w:rPr>
        <w:t>luego </w:t>
      </w:r>
      <w:r>
        <w:rPr>
          <w:w w:val="110"/>
        </w:rPr>
        <w:t>de</w:t>
      </w:r>
      <w:r>
        <w:rPr>
          <w:spacing w:val="-13"/>
          <w:w w:val="110"/>
        </w:rPr>
        <w:t> </w:t>
      </w:r>
      <w:r>
        <w:rPr>
          <w:w w:val="110"/>
        </w:rPr>
        <w:t>pronunciar</w:t>
      </w:r>
      <w:r>
        <w:rPr>
          <w:spacing w:val="-13"/>
          <w:w w:val="110"/>
        </w:rPr>
        <w:t> </w:t>
      </w:r>
      <w:r>
        <w:rPr>
          <w:w w:val="110"/>
        </w:rPr>
        <w:t>uno</w:t>
      </w:r>
      <w:r>
        <w:rPr>
          <w:spacing w:val="-13"/>
          <w:w w:val="110"/>
        </w:rPr>
        <w:t> </w:t>
      </w:r>
      <w:r>
        <w:rPr>
          <w:w w:val="110"/>
        </w:rPr>
        <w:t>de</w:t>
      </w:r>
      <w:r>
        <w:rPr>
          <w:spacing w:val="-13"/>
          <w:w w:val="110"/>
        </w:rPr>
        <w:t> </w:t>
      </w:r>
      <w:r>
        <w:rPr>
          <w:w w:val="110"/>
        </w:rPr>
        <w:t>los</w:t>
      </w:r>
      <w:r>
        <w:rPr>
          <w:spacing w:val="-13"/>
          <w:w w:val="110"/>
        </w:rPr>
        <w:t> </w:t>
      </w:r>
      <w:r>
        <w:rPr>
          <w:w w:val="110"/>
        </w:rPr>
        <w:t>discursos</w:t>
      </w:r>
      <w:r>
        <w:rPr>
          <w:spacing w:val="-13"/>
          <w:w w:val="110"/>
        </w:rPr>
        <w:t> </w:t>
      </w:r>
      <w:r>
        <w:rPr>
          <w:w w:val="110"/>
        </w:rPr>
        <w:t>en</w:t>
      </w:r>
      <w:r>
        <w:rPr>
          <w:spacing w:val="-13"/>
          <w:w w:val="110"/>
        </w:rPr>
        <w:t> </w:t>
      </w:r>
      <w:r>
        <w:rPr>
          <w:w w:val="110"/>
        </w:rPr>
        <w:t>que</w:t>
      </w:r>
      <w:r>
        <w:rPr>
          <w:spacing w:val="-13"/>
          <w:w w:val="110"/>
        </w:rPr>
        <w:t> </w:t>
      </w:r>
      <w:r>
        <w:rPr>
          <w:w w:val="110"/>
        </w:rPr>
        <w:t>planteó</w:t>
      </w:r>
      <w:r>
        <w:rPr>
          <w:spacing w:val="-13"/>
          <w:w w:val="110"/>
        </w:rPr>
        <w:t> </w:t>
      </w:r>
      <w:r>
        <w:rPr>
          <w:w w:val="110"/>
        </w:rPr>
        <w:t>con</w:t>
      </w:r>
      <w:r>
        <w:rPr>
          <w:spacing w:val="-13"/>
          <w:w w:val="110"/>
        </w:rPr>
        <w:t> </w:t>
      </w:r>
      <w:r>
        <w:rPr>
          <w:w w:val="110"/>
        </w:rPr>
        <w:t>enorme</w:t>
      </w:r>
      <w:r>
        <w:rPr>
          <w:spacing w:val="-13"/>
          <w:w w:val="110"/>
        </w:rPr>
        <w:t> </w:t>
      </w:r>
      <w:r>
        <w:rPr>
          <w:w w:val="110"/>
        </w:rPr>
        <w:t>claridad</w:t>
      </w:r>
      <w:r>
        <w:rPr>
          <w:spacing w:val="-2"/>
          <w:w w:val="111"/>
        </w:rPr>
        <w:t> </w:t>
      </w:r>
      <w:r>
        <w:rPr>
          <w:w w:val="115"/>
        </w:rPr>
        <w:t>la</w:t>
      </w:r>
      <w:r>
        <w:rPr>
          <w:spacing w:val="-34"/>
          <w:w w:val="115"/>
        </w:rPr>
        <w:t> </w:t>
      </w:r>
      <w:r>
        <w:rPr>
          <w:w w:val="115"/>
        </w:rPr>
        <w:t>relación</w:t>
      </w:r>
      <w:r>
        <w:rPr>
          <w:spacing w:val="-34"/>
          <w:w w:val="115"/>
        </w:rPr>
        <w:t> </w:t>
      </w:r>
      <w:r>
        <w:rPr>
          <w:w w:val="115"/>
        </w:rPr>
        <w:t>entre</w:t>
      </w:r>
      <w:r>
        <w:rPr>
          <w:spacing w:val="-34"/>
          <w:w w:val="115"/>
        </w:rPr>
        <w:t> </w:t>
      </w:r>
      <w:r>
        <w:rPr>
          <w:w w:val="115"/>
        </w:rPr>
        <w:t>la</w:t>
      </w:r>
      <w:r>
        <w:rPr>
          <w:spacing w:val="-34"/>
          <w:w w:val="115"/>
        </w:rPr>
        <w:t> </w:t>
      </w:r>
      <w:r>
        <w:rPr>
          <w:w w:val="115"/>
        </w:rPr>
        <w:t>guerra</w:t>
      </w:r>
      <w:r>
        <w:rPr>
          <w:spacing w:val="-34"/>
          <w:w w:val="115"/>
        </w:rPr>
        <w:t> </w:t>
      </w:r>
      <w:r>
        <w:rPr>
          <w:w w:val="115"/>
        </w:rPr>
        <w:t>de</w:t>
      </w:r>
      <w:r>
        <w:rPr>
          <w:spacing w:val="-34"/>
          <w:w w:val="115"/>
        </w:rPr>
        <w:t> </w:t>
      </w:r>
      <w:r>
        <w:rPr>
          <w:spacing w:val="-4"/>
          <w:w w:val="115"/>
        </w:rPr>
        <w:t>Vietnam,</w:t>
      </w:r>
      <w:r>
        <w:rPr>
          <w:spacing w:val="-34"/>
          <w:w w:val="115"/>
        </w:rPr>
        <w:t> </w:t>
      </w:r>
      <w:r>
        <w:rPr>
          <w:w w:val="115"/>
        </w:rPr>
        <w:t>el</w:t>
      </w:r>
      <w:r>
        <w:rPr>
          <w:spacing w:val="-34"/>
          <w:w w:val="115"/>
        </w:rPr>
        <w:t> </w:t>
      </w:r>
      <w:r>
        <w:rPr>
          <w:w w:val="115"/>
        </w:rPr>
        <w:t>racismo</w:t>
      </w:r>
      <w:r>
        <w:rPr>
          <w:spacing w:val="-34"/>
          <w:w w:val="115"/>
        </w:rPr>
        <w:t> </w:t>
      </w:r>
      <w:r>
        <w:rPr>
          <w:w w:val="115"/>
        </w:rPr>
        <w:t>y</w:t>
      </w:r>
      <w:r>
        <w:rPr>
          <w:spacing w:val="-34"/>
          <w:w w:val="115"/>
        </w:rPr>
        <w:t> </w:t>
      </w:r>
      <w:r>
        <w:rPr>
          <w:w w:val="115"/>
        </w:rPr>
        <w:t>el</w:t>
      </w:r>
      <w:r>
        <w:rPr>
          <w:spacing w:val="-34"/>
          <w:w w:val="115"/>
        </w:rPr>
        <w:t> </w:t>
      </w:r>
      <w:r>
        <w:rPr>
          <w:w w:val="115"/>
        </w:rPr>
        <w:t>capitalismo:</w:t>
      </w:r>
      <w:r>
        <w:rPr>
          <w:spacing w:val="-34"/>
          <w:w w:val="115"/>
        </w:rPr>
        <w:t> </w:t>
      </w:r>
      <w:r>
        <w:rPr>
          <w:w w:val="115"/>
        </w:rPr>
        <w:t>“Este</w:t>
      </w:r>
      <w:r>
        <w:rPr>
          <w:spacing w:val="-2"/>
          <w:w w:val="113"/>
        </w:rPr>
        <w:t> </w:t>
      </w:r>
      <w:r>
        <w:rPr>
          <w:w w:val="115"/>
        </w:rPr>
        <w:t>negocio</w:t>
      </w:r>
      <w:r>
        <w:rPr>
          <w:spacing w:val="-15"/>
          <w:w w:val="115"/>
        </w:rPr>
        <w:t> </w:t>
      </w:r>
      <w:r>
        <w:rPr>
          <w:w w:val="115"/>
        </w:rPr>
        <w:t>de</w:t>
      </w:r>
      <w:r>
        <w:rPr>
          <w:spacing w:val="-15"/>
          <w:w w:val="115"/>
        </w:rPr>
        <w:t> </w:t>
      </w:r>
      <w:r>
        <w:rPr>
          <w:w w:val="115"/>
        </w:rPr>
        <w:t>quemar</w:t>
      </w:r>
      <w:r>
        <w:rPr>
          <w:spacing w:val="-15"/>
          <w:w w:val="115"/>
        </w:rPr>
        <w:t> </w:t>
      </w:r>
      <w:r>
        <w:rPr>
          <w:w w:val="115"/>
        </w:rPr>
        <w:t>seres</w:t>
      </w:r>
      <w:r>
        <w:rPr>
          <w:spacing w:val="-15"/>
          <w:w w:val="115"/>
        </w:rPr>
        <w:t> </w:t>
      </w:r>
      <w:r>
        <w:rPr>
          <w:w w:val="115"/>
        </w:rPr>
        <w:t>humanos</w:t>
      </w:r>
      <w:r>
        <w:rPr>
          <w:spacing w:val="-15"/>
          <w:w w:val="115"/>
        </w:rPr>
        <w:t> </w:t>
      </w:r>
      <w:r>
        <w:rPr>
          <w:w w:val="115"/>
        </w:rPr>
        <w:t>con</w:t>
      </w:r>
      <w:r>
        <w:rPr>
          <w:spacing w:val="-15"/>
          <w:w w:val="115"/>
        </w:rPr>
        <w:t> </w:t>
      </w:r>
      <w:r>
        <w:rPr>
          <w:w w:val="115"/>
        </w:rPr>
        <w:t>napalm,</w:t>
      </w:r>
      <w:r>
        <w:rPr>
          <w:spacing w:val="-15"/>
          <w:w w:val="115"/>
        </w:rPr>
        <w:t> </w:t>
      </w:r>
      <w:r>
        <w:rPr>
          <w:w w:val="115"/>
        </w:rPr>
        <w:t>de</w:t>
      </w:r>
      <w:r>
        <w:rPr>
          <w:spacing w:val="-15"/>
          <w:w w:val="115"/>
        </w:rPr>
        <w:t> </w:t>
      </w:r>
      <w:r>
        <w:rPr>
          <w:w w:val="115"/>
        </w:rPr>
        <w:t>llenar</w:t>
      </w:r>
      <w:r>
        <w:rPr>
          <w:spacing w:val="-15"/>
          <w:w w:val="115"/>
        </w:rPr>
        <w:t> </w:t>
      </w:r>
      <w:r>
        <w:rPr>
          <w:w w:val="115"/>
        </w:rPr>
        <w:t>los</w:t>
      </w:r>
      <w:r>
        <w:rPr>
          <w:spacing w:val="-15"/>
          <w:w w:val="115"/>
        </w:rPr>
        <w:t> </w:t>
      </w:r>
      <w:r>
        <w:rPr>
          <w:w w:val="115"/>
        </w:rPr>
        <w:t>hogares</w:t>
      </w:r>
      <w:r>
        <w:rPr>
          <w:spacing w:val="-2"/>
          <w:w w:val="109"/>
        </w:rPr>
        <w:t> </w:t>
      </w:r>
      <w:r>
        <w:rPr>
          <w:w w:val="115"/>
        </w:rPr>
        <w:t>de</w:t>
      </w:r>
      <w:r>
        <w:rPr>
          <w:spacing w:val="-25"/>
          <w:w w:val="115"/>
        </w:rPr>
        <w:t> </w:t>
      </w:r>
      <w:r>
        <w:rPr>
          <w:w w:val="115"/>
        </w:rPr>
        <w:t>nuestro</w:t>
      </w:r>
      <w:r>
        <w:rPr>
          <w:spacing w:val="-25"/>
          <w:w w:val="115"/>
        </w:rPr>
        <w:t> </w:t>
      </w:r>
      <w:r>
        <w:rPr>
          <w:w w:val="115"/>
        </w:rPr>
        <w:t>país</w:t>
      </w:r>
      <w:r>
        <w:rPr>
          <w:spacing w:val="-25"/>
          <w:w w:val="115"/>
        </w:rPr>
        <w:t> </w:t>
      </w:r>
      <w:r>
        <w:rPr>
          <w:w w:val="115"/>
        </w:rPr>
        <w:t>con</w:t>
      </w:r>
      <w:r>
        <w:rPr>
          <w:spacing w:val="-25"/>
          <w:w w:val="115"/>
        </w:rPr>
        <w:t> </w:t>
      </w:r>
      <w:r>
        <w:rPr>
          <w:w w:val="115"/>
        </w:rPr>
        <w:t>huérfanos</w:t>
      </w:r>
      <w:r>
        <w:rPr>
          <w:spacing w:val="-25"/>
          <w:w w:val="115"/>
        </w:rPr>
        <w:t> </w:t>
      </w:r>
      <w:r>
        <w:rPr>
          <w:w w:val="115"/>
        </w:rPr>
        <w:t>y</w:t>
      </w:r>
      <w:r>
        <w:rPr>
          <w:spacing w:val="-25"/>
          <w:w w:val="115"/>
        </w:rPr>
        <w:t> </w:t>
      </w:r>
      <w:r>
        <w:rPr>
          <w:w w:val="115"/>
        </w:rPr>
        <w:t>viudas,</w:t>
      </w:r>
      <w:r>
        <w:rPr>
          <w:spacing w:val="-25"/>
          <w:w w:val="115"/>
        </w:rPr>
        <w:t> </w:t>
      </w:r>
      <w:r>
        <w:rPr>
          <w:w w:val="115"/>
        </w:rPr>
        <w:t>de</w:t>
      </w:r>
      <w:r>
        <w:rPr>
          <w:spacing w:val="-25"/>
          <w:w w:val="115"/>
        </w:rPr>
        <w:t> </w:t>
      </w:r>
      <w:r>
        <w:rPr>
          <w:w w:val="115"/>
        </w:rPr>
        <w:t>inyectar</w:t>
      </w:r>
      <w:r>
        <w:rPr>
          <w:spacing w:val="-25"/>
          <w:w w:val="115"/>
        </w:rPr>
        <w:t> </w:t>
      </w:r>
      <w:r>
        <w:rPr>
          <w:w w:val="115"/>
        </w:rPr>
        <w:t>drogas</w:t>
      </w:r>
      <w:r>
        <w:rPr>
          <w:spacing w:val="-25"/>
          <w:w w:val="115"/>
        </w:rPr>
        <w:t> </w:t>
      </w:r>
      <w:r>
        <w:rPr>
          <w:w w:val="115"/>
        </w:rPr>
        <w:t>venenosas</w:t>
      </w:r>
      <w:r>
        <w:rPr>
          <w:spacing w:val="-2"/>
          <w:w w:val="107"/>
        </w:rPr>
        <w:t> </w:t>
      </w:r>
      <w:r>
        <w:rPr>
          <w:w w:val="115"/>
        </w:rPr>
        <w:t>de</w:t>
      </w:r>
      <w:r>
        <w:rPr>
          <w:spacing w:val="-14"/>
          <w:w w:val="115"/>
        </w:rPr>
        <w:t> </w:t>
      </w:r>
      <w:r>
        <w:rPr>
          <w:w w:val="115"/>
        </w:rPr>
        <w:t>odio</w:t>
      </w:r>
      <w:r>
        <w:rPr>
          <w:spacing w:val="-14"/>
          <w:w w:val="115"/>
        </w:rPr>
        <w:t> </w:t>
      </w:r>
      <w:r>
        <w:rPr>
          <w:w w:val="115"/>
        </w:rPr>
        <w:t>en</w:t>
      </w:r>
      <w:r>
        <w:rPr>
          <w:spacing w:val="-14"/>
          <w:w w:val="115"/>
        </w:rPr>
        <w:t> </w:t>
      </w:r>
      <w:r>
        <w:rPr>
          <w:w w:val="115"/>
        </w:rPr>
        <w:t>las</w:t>
      </w:r>
      <w:r>
        <w:rPr>
          <w:spacing w:val="-14"/>
          <w:w w:val="115"/>
        </w:rPr>
        <w:t> </w:t>
      </w:r>
      <w:r>
        <w:rPr>
          <w:w w:val="115"/>
        </w:rPr>
        <w:t>venas</w:t>
      </w:r>
      <w:r>
        <w:rPr>
          <w:spacing w:val="-14"/>
          <w:w w:val="115"/>
        </w:rPr>
        <w:t> </w:t>
      </w:r>
      <w:r>
        <w:rPr>
          <w:w w:val="115"/>
        </w:rPr>
        <w:t>de</w:t>
      </w:r>
      <w:r>
        <w:rPr>
          <w:spacing w:val="-14"/>
          <w:w w:val="115"/>
        </w:rPr>
        <w:t> </w:t>
      </w:r>
      <w:r>
        <w:rPr>
          <w:w w:val="115"/>
        </w:rPr>
        <w:t>los</w:t>
      </w:r>
      <w:r>
        <w:rPr>
          <w:spacing w:val="-14"/>
          <w:w w:val="115"/>
        </w:rPr>
        <w:t> </w:t>
      </w:r>
      <w:r>
        <w:rPr>
          <w:w w:val="115"/>
        </w:rPr>
        <w:t>pueblos,</w:t>
      </w:r>
      <w:r>
        <w:rPr>
          <w:spacing w:val="-14"/>
          <w:w w:val="115"/>
        </w:rPr>
        <w:t> </w:t>
      </w:r>
      <w:r>
        <w:rPr>
          <w:w w:val="115"/>
        </w:rPr>
        <w:t>de</w:t>
      </w:r>
      <w:r>
        <w:rPr>
          <w:spacing w:val="-14"/>
          <w:w w:val="115"/>
        </w:rPr>
        <w:t> </w:t>
      </w:r>
      <w:r>
        <w:rPr>
          <w:w w:val="115"/>
        </w:rPr>
        <w:t>devolver</w:t>
      </w:r>
      <w:r>
        <w:rPr>
          <w:spacing w:val="-14"/>
          <w:w w:val="115"/>
        </w:rPr>
        <w:t> </w:t>
      </w:r>
      <w:r>
        <w:rPr>
          <w:w w:val="115"/>
        </w:rPr>
        <w:t>desde</w:t>
      </w:r>
      <w:r>
        <w:rPr>
          <w:spacing w:val="-14"/>
          <w:w w:val="115"/>
        </w:rPr>
        <w:t> </w:t>
      </w:r>
      <w:r>
        <w:rPr>
          <w:w w:val="115"/>
        </w:rPr>
        <w:t>oscuros</w:t>
      </w:r>
      <w:r>
        <w:rPr>
          <w:spacing w:val="-14"/>
          <w:w w:val="115"/>
        </w:rPr>
        <w:t> </w:t>
      </w:r>
      <w:r>
        <w:rPr>
          <w:w w:val="115"/>
        </w:rPr>
        <w:t>y</w:t>
      </w:r>
      <w:r>
        <w:rPr>
          <w:spacing w:val="-14"/>
          <w:w w:val="115"/>
        </w:rPr>
        <w:t> </w:t>
      </w:r>
      <w:r>
        <w:rPr>
          <w:w w:val="115"/>
        </w:rPr>
        <w:t>san-</w:t>
      </w:r>
      <w:r>
        <w:rPr>
          <w:w w:val="102"/>
        </w:rPr>
        <w:t> </w:t>
      </w:r>
      <w:r>
        <w:rPr>
          <w:w w:val="115"/>
        </w:rPr>
        <w:t>grientos</w:t>
      </w:r>
      <w:r>
        <w:rPr>
          <w:spacing w:val="-24"/>
          <w:w w:val="115"/>
        </w:rPr>
        <w:t> </w:t>
      </w:r>
      <w:r>
        <w:rPr>
          <w:w w:val="115"/>
        </w:rPr>
        <w:t>campos</w:t>
      </w:r>
      <w:r>
        <w:rPr>
          <w:spacing w:val="-24"/>
          <w:w w:val="115"/>
        </w:rPr>
        <w:t> </w:t>
      </w:r>
      <w:r>
        <w:rPr>
          <w:w w:val="115"/>
        </w:rPr>
        <w:t>de</w:t>
      </w:r>
      <w:r>
        <w:rPr>
          <w:spacing w:val="-24"/>
          <w:w w:val="115"/>
        </w:rPr>
        <w:t> </w:t>
      </w:r>
      <w:r>
        <w:rPr>
          <w:w w:val="115"/>
        </w:rPr>
        <w:t>batalla</w:t>
      </w:r>
      <w:r>
        <w:rPr>
          <w:spacing w:val="-24"/>
          <w:w w:val="115"/>
        </w:rPr>
        <w:t> </w:t>
      </w:r>
      <w:r>
        <w:rPr>
          <w:w w:val="115"/>
        </w:rPr>
        <w:t>de</w:t>
      </w:r>
      <w:r>
        <w:rPr>
          <w:spacing w:val="-24"/>
          <w:w w:val="115"/>
        </w:rPr>
        <w:t> </w:t>
      </w:r>
      <w:r>
        <w:rPr>
          <w:w w:val="115"/>
        </w:rPr>
        <w:t>vuelta</w:t>
      </w:r>
      <w:r>
        <w:rPr>
          <w:spacing w:val="-24"/>
          <w:w w:val="115"/>
        </w:rPr>
        <w:t> </w:t>
      </w:r>
      <w:r>
        <w:rPr>
          <w:w w:val="115"/>
        </w:rPr>
        <w:t>a</w:t>
      </w:r>
      <w:r>
        <w:rPr>
          <w:spacing w:val="-24"/>
          <w:w w:val="115"/>
        </w:rPr>
        <w:t> </w:t>
      </w:r>
      <w:r>
        <w:rPr>
          <w:w w:val="115"/>
        </w:rPr>
        <w:t>casa</w:t>
      </w:r>
      <w:r>
        <w:rPr>
          <w:spacing w:val="-24"/>
          <w:w w:val="115"/>
        </w:rPr>
        <w:t> </w:t>
      </w:r>
      <w:r>
        <w:rPr>
          <w:w w:val="115"/>
        </w:rPr>
        <w:t>a</w:t>
      </w:r>
      <w:r>
        <w:rPr>
          <w:spacing w:val="-24"/>
          <w:w w:val="115"/>
        </w:rPr>
        <w:t> </w:t>
      </w:r>
      <w:r>
        <w:rPr>
          <w:w w:val="115"/>
        </w:rPr>
        <w:t>hombres</w:t>
      </w:r>
      <w:r>
        <w:rPr>
          <w:spacing w:val="-24"/>
          <w:w w:val="115"/>
        </w:rPr>
        <w:t> </w:t>
      </w:r>
      <w:r>
        <w:rPr>
          <w:w w:val="115"/>
        </w:rPr>
        <w:t>minusválidos</w:t>
      </w:r>
      <w:r>
        <w:rPr>
          <w:spacing w:val="-24"/>
          <w:w w:val="115"/>
        </w:rPr>
        <w:t> </w:t>
      </w:r>
      <w:r>
        <w:rPr>
          <w:w w:val="115"/>
        </w:rPr>
        <w:t>y</w:t>
      </w:r>
      <w:r>
        <w:rPr>
          <w:w w:val="105"/>
        </w:rPr>
        <w:t> </w:t>
      </w:r>
      <w:r>
        <w:rPr>
          <w:w w:val="110"/>
        </w:rPr>
        <w:t>sicológicamente trastornados, no puede reconciliarse con</w:t>
      </w:r>
      <w:r>
        <w:rPr>
          <w:spacing w:val="-24"/>
          <w:w w:val="110"/>
        </w:rPr>
        <w:t> </w:t>
      </w:r>
      <w:r>
        <w:rPr>
          <w:w w:val="110"/>
        </w:rPr>
        <w:t>la</w:t>
      </w:r>
      <w:r>
        <w:rPr>
          <w:spacing w:val="-4"/>
          <w:w w:val="110"/>
        </w:rPr>
        <w:t> </w:t>
      </w:r>
      <w:r>
        <w:rPr>
          <w:w w:val="110"/>
        </w:rPr>
        <w:t>sabiduría,</w:t>
      </w:r>
      <w:r>
        <w:rPr>
          <w:spacing w:val="-2"/>
          <w:w w:val="112"/>
        </w:rPr>
        <w:t> </w:t>
      </w:r>
      <w:r>
        <w:rPr>
          <w:w w:val="115"/>
        </w:rPr>
        <w:t>la justicia y el </w:t>
      </w:r>
      <w:r>
        <w:rPr>
          <w:spacing w:val="-6"/>
          <w:w w:val="115"/>
        </w:rPr>
        <w:t>amor. </w:t>
      </w:r>
      <w:r>
        <w:rPr>
          <w:w w:val="115"/>
        </w:rPr>
        <w:t>una nación que continúa año tras</w:t>
      </w:r>
      <w:r>
        <w:rPr>
          <w:spacing w:val="-3"/>
          <w:w w:val="115"/>
        </w:rPr>
        <w:t> </w:t>
      </w:r>
      <w:r>
        <w:rPr>
          <w:w w:val="115"/>
        </w:rPr>
        <w:t>año</w:t>
      </w:r>
      <w:r>
        <w:rPr>
          <w:spacing w:val="-1"/>
          <w:w w:val="115"/>
        </w:rPr>
        <w:t> </w:t>
      </w:r>
      <w:r>
        <w:rPr>
          <w:w w:val="115"/>
        </w:rPr>
        <w:t>gastando</w:t>
      </w:r>
      <w:r>
        <w:rPr>
          <w:spacing w:val="-2"/>
          <w:w w:val="110"/>
        </w:rPr>
        <w:t> </w:t>
      </w:r>
      <w:r>
        <w:rPr>
          <w:w w:val="115"/>
        </w:rPr>
        <w:t>más</w:t>
      </w:r>
      <w:r>
        <w:rPr>
          <w:spacing w:val="-9"/>
          <w:w w:val="115"/>
        </w:rPr>
        <w:t> </w:t>
      </w:r>
      <w:r>
        <w:rPr>
          <w:w w:val="115"/>
        </w:rPr>
        <w:t>dinero</w:t>
      </w:r>
      <w:r>
        <w:rPr>
          <w:spacing w:val="-9"/>
          <w:w w:val="115"/>
        </w:rPr>
        <w:t> </w:t>
      </w:r>
      <w:r>
        <w:rPr>
          <w:w w:val="115"/>
        </w:rPr>
        <w:t>en</w:t>
      </w:r>
      <w:r>
        <w:rPr>
          <w:spacing w:val="-9"/>
          <w:w w:val="115"/>
        </w:rPr>
        <w:t> </w:t>
      </w:r>
      <w:r>
        <w:rPr>
          <w:w w:val="115"/>
        </w:rPr>
        <w:t>defensa</w:t>
      </w:r>
      <w:r>
        <w:rPr>
          <w:spacing w:val="-9"/>
          <w:w w:val="115"/>
        </w:rPr>
        <w:t> </w:t>
      </w:r>
      <w:r>
        <w:rPr>
          <w:w w:val="115"/>
        </w:rPr>
        <w:t>militar</w:t>
      </w:r>
      <w:r>
        <w:rPr>
          <w:spacing w:val="-9"/>
          <w:w w:val="115"/>
        </w:rPr>
        <w:t> </w:t>
      </w:r>
      <w:r>
        <w:rPr>
          <w:w w:val="115"/>
        </w:rPr>
        <w:t>que</w:t>
      </w:r>
      <w:r>
        <w:rPr>
          <w:spacing w:val="-9"/>
          <w:w w:val="115"/>
        </w:rPr>
        <w:t> </w:t>
      </w:r>
      <w:r>
        <w:rPr>
          <w:w w:val="115"/>
        </w:rPr>
        <w:t>en</w:t>
      </w:r>
      <w:r>
        <w:rPr>
          <w:spacing w:val="-9"/>
          <w:w w:val="115"/>
        </w:rPr>
        <w:t> </w:t>
      </w:r>
      <w:r>
        <w:rPr>
          <w:w w:val="115"/>
        </w:rPr>
        <w:t>programas</w:t>
      </w:r>
      <w:r>
        <w:rPr>
          <w:spacing w:val="-9"/>
          <w:w w:val="115"/>
        </w:rPr>
        <w:t> </w:t>
      </w:r>
      <w:r>
        <w:rPr>
          <w:w w:val="115"/>
        </w:rPr>
        <w:t>de</w:t>
      </w:r>
      <w:r>
        <w:rPr>
          <w:spacing w:val="-9"/>
          <w:w w:val="115"/>
        </w:rPr>
        <w:t> </w:t>
      </w:r>
      <w:r>
        <w:rPr>
          <w:w w:val="115"/>
        </w:rPr>
        <w:t>mejora</w:t>
      </w:r>
      <w:r>
        <w:rPr>
          <w:spacing w:val="-9"/>
          <w:w w:val="115"/>
        </w:rPr>
        <w:t> </w:t>
      </w:r>
      <w:r>
        <w:rPr>
          <w:w w:val="115"/>
        </w:rPr>
        <w:t>social</w:t>
      </w:r>
      <w:r>
        <w:rPr>
          <w:spacing w:val="-9"/>
          <w:w w:val="115"/>
        </w:rPr>
        <w:t> </w:t>
      </w:r>
      <w:r>
        <w:rPr>
          <w:w w:val="115"/>
        </w:rPr>
        <w:t>se</w:t>
      </w:r>
      <w:r>
        <w:rPr>
          <w:spacing w:val="-2"/>
          <w:w w:val="105"/>
        </w:rPr>
        <w:t> </w:t>
      </w:r>
      <w:r>
        <w:rPr>
          <w:spacing w:val="-2"/>
          <w:w w:val="107"/>
        </w:rPr>
        <w:t>est</w:t>
      </w:r>
      <w:r>
        <w:rPr>
          <w:w w:val="107"/>
        </w:rPr>
        <w:t>á</w:t>
      </w:r>
      <w:r>
        <w:rPr>
          <w:spacing w:val="1"/>
        </w:rPr>
        <w:t> </w:t>
      </w:r>
      <w:r>
        <w:rPr>
          <w:spacing w:val="-2"/>
          <w:w w:val="110"/>
        </w:rPr>
        <w:t>acercand</w:t>
      </w:r>
      <w:r>
        <w:rPr>
          <w:w w:val="110"/>
        </w:rPr>
        <w:t>o</w:t>
      </w:r>
      <w:r>
        <w:rPr>
          <w:spacing w:val="1"/>
        </w:rPr>
        <w:t> </w:t>
      </w:r>
      <w:r>
        <w:rPr>
          <w:w w:val="112"/>
        </w:rPr>
        <w:t>a</w:t>
      </w:r>
      <w:r>
        <w:rPr>
          <w:spacing w:val="1"/>
        </w:rPr>
        <w:t> </w:t>
      </w:r>
      <w:r>
        <w:rPr>
          <w:spacing w:val="-2"/>
          <w:w w:val="111"/>
        </w:rPr>
        <w:t>l</w:t>
      </w:r>
      <w:r>
        <w:rPr>
          <w:w w:val="111"/>
        </w:rPr>
        <w:t>a</w:t>
      </w:r>
      <w:r>
        <w:rPr>
          <w:spacing w:val="1"/>
        </w:rPr>
        <w:t> </w:t>
      </w:r>
      <w:r>
        <w:rPr>
          <w:spacing w:val="-2"/>
          <w:w w:val="108"/>
        </w:rPr>
        <w:t>muert</w:t>
      </w:r>
      <w:r>
        <w:rPr>
          <w:w w:val="108"/>
        </w:rPr>
        <w:t>e</w:t>
      </w:r>
      <w:r>
        <w:rPr>
          <w:spacing w:val="1"/>
        </w:rPr>
        <w:t> </w:t>
      </w:r>
      <w:r>
        <w:rPr>
          <w:spacing w:val="-2"/>
          <w:w w:val="110"/>
        </w:rPr>
        <w:t>espiritual</w:t>
      </w:r>
      <w:r>
        <w:rPr>
          <w:w w:val="110"/>
        </w:rPr>
        <w:t>”</w:t>
      </w:r>
      <w:r>
        <w:rPr>
          <w:spacing w:val="1"/>
        </w:rPr>
        <w:t> </w:t>
      </w:r>
      <w:r>
        <w:rPr>
          <w:spacing w:val="-2"/>
          <w:w w:val="98"/>
        </w:rPr>
        <w:t>(</w:t>
      </w:r>
      <w:r>
        <w:rPr>
          <w:spacing w:val="-2"/>
          <w:w w:val="243"/>
        </w:rPr>
        <w:t>l</w:t>
      </w:r>
      <w:r>
        <w:rPr>
          <w:spacing w:val="-2"/>
          <w:w w:val="108"/>
        </w:rPr>
        <w:t>uthe</w:t>
      </w:r>
      <w:r>
        <w:rPr>
          <w:w w:val="108"/>
        </w:rPr>
        <w:t>r</w:t>
      </w:r>
      <w:r>
        <w:rPr>
          <w:spacing w:val="1"/>
        </w:rPr>
        <w:t> </w:t>
      </w:r>
      <w:r>
        <w:rPr>
          <w:spacing w:val="-2"/>
          <w:w w:val="118"/>
        </w:rPr>
        <w:t>King</w:t>
      </w:r>
      <w:r>
        <w:rPr>
          <w:w w:val="118"/>
        </w:rPr>
        <w:t>,</w:t>
      </w:r>
      <w:r>
        <w:rPr>
          <w:spacing w:val="1"/>
        </w:rPr>
        <w:t> </w:t>
      </w:r>
      <w:r>
        <w:rPr>
          <w:w w:val="102"/>
        </w:rPr>
        <w:t>4</w:t>
      </w:r>
      <w:r>
        <w:rPr>
          <w:spacing w:val="1"/>
        </w:rPr>
        <w:t> </w:t>
      </w:r>
      <w:r>
        <w:rPr>
          <w:spacing w:val="-2"/>
          <w:w w:val="107"/>
        </w:rPr>
        <w:t>d</w:t>
      </w:r>
      <w:r>
        <w:rPr>
          <w:w w:val="107"/>
        </w:rPr>
        <w:t>e</w:t>
      </w:r>
      <w:r>
        <w:rPr>
          <w:spacing w:val="1"/>
        </w:rPr>
        <w:t> </w:t>
      </w:r>
      <w:r>
        <w:rPr>
          <w:spacing w:val="-2"/>
          <w:w w:val="110"/>
        </w:rPr>
        <w:t>abri</w:t>
      </w:r>
      <w:r>
        <w:rPr>
          <w:w w:val="110"/>
        </w:rPr>
        <w:t>l</w:t>
      </w:r>
      <w:r>
        <w:rPr>
          <w:spacing w:val="1"/>
        </w:rPr>
        <w:t> </w:t>
      </w:r>
      <w:r>
        <w:rPr>
          <w:spacing w:val="-2"/>
          <w:w w:val="107"/>
        </w:rPr>
        <w:t>d</w:t>
      </w:r>
      <w:r>
        <w:rPr>
          <w:w w:val="107"/>
        </w:rPr>
        <w:t>e</w:t>
      </w:r>
      <w:r>
        <w:rPr>
          <w:spacing w:val="1"/>
        </w:rPr>
        <w:t> </w:t>
      </w:r>
      <w:r>
        <w:rPr>
          <w:spacing w:val="-2"/>
          <w:w w:val="104"/>
        </w:rPr>
        <w:t>1967). </w:t>
      </w:r>
      <w:r>
        <w:rPr>
          <w:w w:val="243"/>
        </w:rPr>
        <w:t>l</w:t>
      </w:r>
      <w:r>
        <w:rPr>
          <w:w w:val="109"/>
        </w:rPr>
        <w:t>as</w:t>
      </w:r>
      <w:r>
        <w:rPr/>
        <w:t> </w:t>
      </w:r>
      <w:r>
        <w:rPr>
          <w:spacing w:val="-7"/>
        </w:rPr>
        <w:t> </w:t>
      </w:r>
      <w:r>
        <w:rPr>
          <w:w w:val="109"/>
        </w:rPr>
        <w:t>Panteras</w:t>
      </w:r>
      <w:r>
        <w:rPr/>
        <w:t> </w:t>
      </w:r>
      <w:r>
        <w:rPr>
          <w:spacing w:val="-7"/>
        </w:rPr>
        <w:t> </w:t>
      </w:r>
      <w:r>
        <w:rPr>
          <w:w w:val="110"/>
        </w:rPr>
        <w:t>Negras</w:t>
      </w:r>
      <w:r>
        <w:rPr/>
        <w:t> </w:t>
      </w:r>
      <w:r>
        <w:rPr>
          <w:spacing w:val="-7"/>
        </w:rPr>
        <w:t> </w:t>
      </w:r>
      <w:r>
        <w:rPr>
          <w:w w:val="108"/>
        </w:rPr>
        <w:t>en</w:t>
      </w:r>
      <w:r>
        <w:rPr/>
        <w:t> </w:t>
      </w:r>
      <w:r>
        <w:rPr>
          <w:spacing w:val="-7"/>
        </w:rPr>
        <w:t> </w:t>
      </w:r>
      <w:r>
        <w:rPr>
          <w:w w:val="109"/>
        </w:rPr>
        <w:t>su</w:t>
      </w:r>
      <w:r>
        <w:rPr/>
        <w:t> </w:t>
      </w:r>
      <w:r>
        <w:rPr>
          <w:spacing w:val="-7"/>
        </w:rPr>
        <w:t> </w:t>
      </w:r>
      <w:r>
        <w:rPr>
          <w:w w:val="110"/>
        </w:rPr>
        <w:t>semanario</w:t>
      </w:r>
      <w:r>
        <w:rPr/>
        <w:t> </w:t>
      </w:r>
      <w:r>
        <w:rPr>
          <w:spacing w:val="-7"/>
        </w:rPr>
        <w:t> </w:t>
      </w:r>
      <w:r>
        <w:rPr>
          <w:w w:val="107"/>
        </w:rPr>
        <w:t>del</w:t>
      </w:r>
      <w:r>
        <w:rPr/>
        <w:t> </w:t>
      </w:r>
      <w:r>
        <w:rPr>
          <w:spacing w:val="-7"/>
        </w:rPr>
        <w:t> </w:t>
      </w:r>
      <w:r>
        <w:rPr>
          <w:w w:val="102"/>
        </w:rPr>
        <w:t>24</w:t>
      </w:r>
      <w:r>
        <w:rPr/>
        <w:t> </w:t>
      </w:r>
      <w:r>
        <w:rPr>
          <w:spacing w:val="-7"/>
        </w:rPr>
        <w:t> </w:t>
      </w:r>
      <w:r>
        <w:rPr>
          <w:w w:val="107"/>
        </w:rPr>
        <w:t>de</w:t>
      </w:r>
      <w:r>
        <w:rPr/>
        <w:t> </w:t>
      </w:r>
      <w:r>
        <w:rPr>
          <w:spacing w:val="-7"/>
        </w:rPr>
        <w:t> </w:t>
      </w:r>
      <w:r>
        <w:rPr>
          <w:w w:val="112"/>
        </w:rPr>
        <w:t>junio</w:t>
      </w:r>
      <w:r>
        <w:rPr/>
        <w:t> </w:t>
      </w:r>
      <w:r>
        <w:rPr>
          <w:spacing w:val="-7"/>
        </w:rPr>
        <w:t> </w:t>
      </w:r>
      <w:r>
        <w:rPr>
          <w:w w:val="107"/>
        </w:rPr>
        <w:t>de</w:t>
      </w:r>
      <w:r>
        <w:rPr/>
        <w:t> </w:t>
      </w:r>
      <w:r>
        <w:rPr>
          <w:spacing w:val="-7"/>
        </w:rPr>
        <w:t> </w:t>
      </w:r>
      <w:r>
        <w:rPr>
          <w:w w:val="105"/>
        </w:rPr>
        <w:t>1972, </w:t>
      </w:r>
      <w:r>
        <w:rPr>
          <w:w w:val="115"/>
        </w:rPr>
        <w:t>declaraban</w:t>
      </w:r>
      <w:r>
        <w:rPr>
          <w:spacing w:val="-11"/>
          <w:w w:val="115"/>
        </w:rPr>
        <w:t> </w:t>
      </w:r>
      <w:r>
        <w:rPr>
          <w:w w:val="115"/>
        </w:rPr>
        <w:t>(p.</w:t>
      </w:r>
      <w:r>
        <w:rPr>
          <w:spacing w:val="-11"/>
          <w:w w:val="115"/>
        </w:rPr>
        <w:t> </w:t>
      </w:r>
      <w:r>
        <w:rPr>
          <w:w w:val="115"/>
        </w:rPr>
        <w:t>10):</w:t>
      </w:r>
      <w:r>
        <w:rPr>
          <w:spacing w:val="-11"/>
          <w:w w:val="115"/>
        </w:rPr>
        <w:t> </w:t>
      </w:r>
      <w:r>
        <w:rPr>
          <w:w w:val="115"/>
        </w:rPr>
        <w:t>“Millones</w:t>
      </w:r>
      <w:r>
        <w:rPr>
          <w:spacing w:val="-11"/>
          <w:w w:val="115"/>
        </w:rPr>
        <w:t> </w:t>
      </w:r>
      <w:r>
        <w:rPr>
          <w:w w:val="115"/>
        </w:rPr>
        <w:t>de</w:t>
      </w:r>
      <w:r>
        <w:rPr>
          <w:spacing w:val="-11"/>
          <w:w w:val="115"/>
        </w:rPr>
        <w:t> </w:t>
      </w:r>
      <w:r>
        <w:rPr>
          <w:w w:val="115"/>
        </w:rPr>
        <w:t>vietnamitas</w:t>
      </w:r>
      <w:r>
        <w:rPr>
          <w:spacing w:val="-11"/>
          <w:w w:val="115"/>
        </w:rPr>
        <w:t> </w:t>
      </w:r>
      <w:r>
        <w:rPr>
          <w:w w:val="115"/>
        </w:rPr>
        <w:t>y</w:t>
      </w:r>
      <w:r>
        <w:rPr>
          <w:spacing w:val="-11"/>
          <w:w w:val="115"/>
        </w:rPr>
        <w:t> </w:t>
      </w:r>
      <w:r>
        <w:rPr>
          <w:w w:val="115"/>
        </w:rPr>
        <w:t>de</w:t>
      </w:r>
      <w:r>
        <w:rPr>
          <w:spacing w:val="-11"/>
          <w:w w:val="115"/>
        </w:rPr>
        <w:t> </w:t>
      </w:r>
      <w:r>
        <w:rPr>
          <w:w w:val="115"/>
        </w:rPr>
        <w:t>soldados</w:t>
      </w:r>
      <w:r>
        <w:rPr>
          <w:spacing w:val="-11"/>
          <w:w w:val="115"/>
        </w:rPr>
        <w:t> </w:t>
      </w:r>
      <w:r>
        <w:rPr>
          <w:w w:val="115"/>
        </w:rPr>
        <w:t>estadou-</w:t>
      </w:r>
      <w:r>
        <w:rPr>
          <w:w w:val="102"/>
        </w:rPr>
        <w:t> </w:t>
      </w:r>
      <w:r>
        <w:rPr>
          <w:w w:val="115"/>
        </w:rPr>
        <w:t>nidenses</w:t>
      </w:r>
      <w:r>
        <w:rPr>
          <w:spacing w:val="-7"/>
          <w:w w:val="115"/>
        </w:rPr>
        <w:t> </w:t>
      </w:r>
      <w:r>
        <w:rPr>
          <w:w w:val="115"/>
        </w:rPr>
        <w:t>han</w:t>
      </w:r>
      <w:r>
        <w:rPr>
          <w:spacing w:val="-7"/>
          <w:w w:val="115"/>
        </w:rPr>
        <w:t> </w:t>
      </w:r>
      <w:r>
        <w:rPr>
          <w:w w:val="115"/>
        </w:rPr>
        <w:t>muerto</w:t>
      </w:r>
      <w:r>
        <w:rPr>
          <w:spacing w:val="-7"/>
          <w:w w:val="115"/>
        </w:rPr>
        <w:t> </w:t>
      </w:r>
      <w:r>
        <w:rPr>
          <w:w w:val="115"/>
        </w:rPr>
        <w:t>en</w:t>
      </w:r>
      <w:r>
        <w:rPr>
          <w:spacing w:val="-7"/>
          <w:w w:val="115"/>
        </w:rPr>
        <w:t> </w:t>
      </w:r>
      <w:r>
        <w:rPr>
          <w:w w:val="115"/>
        </w:rPr>
        <w:t>la</w:t>
      </w:r>
      <w:r>
        <w:rPr>
          <w:spacing w:val="-7"/>
          <w:w w:val="115"/>
        </w:rPr>
        <w:t> </w:t>
      </w:r>
      <w:r>
        <w:rPr>
          <w:w w:val="115"/>
        </w:rPr>
        <w:t>no</w:t>
      </w:r>
      <w:r>
        <w:rPr>
          <w:spacing w:val="-7"/>
          <w:w w:val="115"/>
        </w:rPr>
        <w:t> </w:t>
      </w:r>
      <w:r>
        <w:rPr>
          <w:w w:val="115"/>
        </w:rPr>
        <w:t>declarada</w:t>
      </w:r>
      <w:r>
        <w:rPr>
          <w:spacing w:val="-7"/>
          <w:w w:val="115"/>
        </w:rPr>
        <w:t> </w:t>
      </w:r>
      <w:r>
        <w:rPr>
          <w:w w:val="115"/>
        </w:rPr>
        <w:t>guerra</w:t>
      </w:r>
      <w:r>
        <w:rPr>
          <w:spacing w:val="-7"/>
          <w:w w:val="115"/>
        </w:rPr>
        <w:t> </w:t>
      </w:r>
      <w:r>
        <w:rPr>
          <w:w w:val="115"/>
        </w:rPr>
        <w:t>de</w:t>
      </w:r>
      <w:r>
        <w:rPr>
          <w:spacing w:val="-7"/>
          <w:w w:val="115"/>
        </w:rPr>
        <w:t> </w:t>
      </w:r>
      <w:r>
        <w:rPr>
          <w:w w:val="115"/>
        </w:rPr>
        <w:t>Vietnam.</w:t>
      </w:r>
      <w:r>
        <w:rPr>
          <w:spacing w:val="-7"/>
          <w:w w:val="115"/>
        </w:rPr>
        <w:t> </w:t>
      </w:r>
      <w:r>
        <w:rPr>
          <w:w w:val="115"/>
        </w:rPr>
        <w:t>¿Y</w:t>
      </w:r>
      <w:r>
        <w:rPr>
          <w:spacing w:val="-7"/>
          <w:w w:val="115"/>
        </w:rPr>
        <w:t> </w:t>
      </w:r>
      <w:r>
        <w:rPr>
          <w:w w:val="115"/>
        </w:rPr>
        <w:t>para</w:t>
      </w:r>
      <w:r>
        <w:rPr>
          <w:w w:val="109"/>
        </w:rPr>
        <w:t> </w:t>
      </w:r>
      <w:r>
        <w:rPr>
          <w:w w:val="115"/>
        </w:rPr>
        <w:t>qué?</w:t>
      </w:r>
      <w:r>
        <w:rPr>
          <w:spacing w:val="-12"/>
          <w:w w:val="115"/>
        </w:rPr>
        <w:t> </w:t>
      </w:r>
      <w:r>
        <w:rPr>
          <w:w w:val="115"/>
        </w:rPr>
        <w:t>al</w:t>
      </w:r>
      <w:r>
        <w:rPr>
          <w:spacing w:val="-12"/>
          <w:w w:val="115"/>
        </w:rPr>
        <w:t> </w:t>
      </w:r>
      <w:r>
        <w:rPr>
          <w:w w:val="115"/>
        </w:rPr>
        <w:t>principio,</w:t>
      </w:r>
      <w:r>
        <w:rPr>
          <w:spacing w:val="-12"/>
          <w:w w:val="115"/>
        </w:rPr>
        <w:t> </w:t>
      </w:r>
      <w:r>
        <w:rPr>
          <w:w w:val="115"/>
        </w:rPr>
        <w:t>Estados</w:t>
      </w:r>
      <w:r>
        <w:rPr>
          <w:spacing w:val="-12"/>
          <w:w w:val="115"/>
        </w:rPr>
        <w:t> </w:t>
      </w:r>
      <w:r>
        <w:rPr>
          <w:w w:val="115"/>
        </w:rPr>
        <w:t>unidos</w:t>
      </w:r>
      <w:r>
        <w:rPr>
          <w:spacing w:val="-12"/>
          <w:w w:val="115"/>
        </w:rPr>
        <w:t> </w:t>
      </w:r>
      <w:r>
        <w:rPr>
          <w:w w:val="115"/>
        </w:rPr>
        <w:t>argumentó</w:t>
      </w:r>
      <w:r>
        <w:rPr>
          <w:spacing w:val="-12"/>
          <w:w w:val="115"/>
        </w:rPr>
        <w:t> </w:t>
      </w:r>
      <w:r>
        <w:rPr>
          <w:w w:val="115"/>
        </w:rPr>
        <w:t>que</w:t>
      </w:r>
      <w:r>
        <w:rPr>
          <w:spacing w:val="-12"/>
          <w:w w:val="115"/>
        </w:rPr>
        <w:t> </w:t>
      </w:r>
      <w:r>
        <w:rPr>
          <w:w w:val="115"/>
        </w:rPr>
        <w:t>estaba</w:t>
      </w:r>
      <w:r>
        <w:rPr>
          <w:spacing w:val="-12"/>
          <w:w w:val="115"/>
        </w:rPr>
        <w:t> </w:t>
      </w:r>
      <w:r>
        <w:rPr>
          <w:w w:val="115"/>
        </w:rPr>
        <w:t>en</w:t>
      </w:r>
      <w:r>
        <w:rPr>
          <w:spacing w:val="-12"/>
          <w:w w:val="115"/>
        </w:rPr>
        <w:t> </w:t>
      </w:r>
      <w:r>
        <w:rPr>
          <w:w w:val="115"/>
        </w:rPr>
        <w:t>Vietnam</w:t>
      </w:r>
      <w:r>
        <w:rPr>
          <w:w w:val="110"/>
        </w:rPr>
        <w:t> </w:t>
      </w:r>
      <w:r>
        <w:rPr>
          <w:w w:val="109"/>
        </w:rPr>
        <w:t>para</w:t>
      </w:r>
      <w:r>
        <w:rPr/>
        <w:t> </w:t>
      </w:r>
      <w:r>
        <w:rPr>
          <w:spacing w:val="-15"/>
        </w:rPr>
        <w:t> </w:t>
      </w:r>
      <w:r>
        <w:rPr>
          <w:w w:val="110"/>
        </w:rPr>
        <w:t>garantizar</w:t>
      </w:r>
      <w:r>
        <w:rPr/>
        <w:t> </w:t>
      </w:r>
      <w:r>
        <w:rPr>
          <w:spacing w:val="-15"/>
        </w:rPr>
        <w:t> </w:t>
      </w:r>
      <w:r>
        <w:rPr>
          <w:w w:val="109"/>
        </w:rPr>
        <w:t>elecciones</w:t>
      </w:r>
      <w:r>
        <w:rPr/>
        <w:t> </w:t>
      </w:r>
      <w:r>
        <w:rPr>
          <w:spacing w:val="-15"/>
        </w:rPr>
        <w:t> </w:t>
      </w:r>
      <w:r>
        <w:rPr>
          <w:w w:val="110"/>
        </w:rPr>
        <w:t>democráticas</w:t>
      </w:r>
      <w:r>
        <w:rPr/>
        <w:t> </w:t>
      </w:r>
      <w:r>
        <w:rPr>
          <w:spacing w:val="-15"/>
        </w:rPr>
        <w:t> </w:t>
      </w:r>
      <w:r>
        <w:rPr>
          <w:w w:val="108"/>
        </w:rPr>
        <w:t>en</w:t>
      </w:r>
      <w:r>
        <w:rPr/>
        <w:t> </w:t>
      </w:r>
      <w:r>
        <w:rPr>
          <w:spacing w:val="-15"/>
        </w:rPr>
        <w:t> </w:t>
      </w:r>
      <w:r>
        <w:rPr>
          <w:w w:val="107"/>
        </w:rPr>
        <w:t>el</w:t>
      </w:r>
      <w:r>
        <w:rPr/>
        <w:t> </w:t>
      </w:r>
      <w:r>
        <w:rPr>
          <w:spacing w:val="-15"/>
        </w:rPr>
        <w:t> </w:t>
      </w:r>
      <w:r>
        <w:rPr>
          <w:w w:val="149"/>
        </w:rPr>
        <w:t>s</w:t>
      </w:r>
      <w:r>
        <w:rPr>
          <w:w w:val="112"/>
        </w:rPr>
        <w:t>u</w:t>
      </w:r>
      <w:r>
        <w:rPr>
          <w:spacing w:val="-21"/>
          <w:w w:val="105"/>
        </w:rPr>
        <w:t>r</w:t>
      </w:r>
      <w:r>
        <w:rPr>
          <w:w w:val="138"/>
        </w:rPr>
        <w:t>.</w:t>
      </w:r>
      <w:r>
        <w:rPr/>
        <w:t> </w:t>
      </w:r>
      <w:r>
        <w:rPr>
          <w:spacing w:val="-15"/>
        </w:rPr>
        <w:t> </w:t>
      </w:r>
      <w:r>
        <w:rPr>
          <w:w w:val="243"/>
        </w:rPr>
        <w:t>l</w:t>
      </w:r>
      <w:r>
        <w:rPr>
          <w:w w:val="112"/>
        </w:rPr>
        <w:t>uego,</w:t>
      </w:r>
      <w:r>
        <w:rPr/>
        <w:t> </w:t>
      </w:r>
      <w:r>
        <w:rPr>
          <w:spacing w:val="-15"/>
        </w:rPr>
        <w:t> </w:t>
      </w:r>
      <w:r>
        <w:rPr>
          <w:w w:val="107"/>
        </w:rPr>
        <w:t>el</w:t>
      </w:r>
      <w:r>
        <w:rPr/>
        <w:t> </w:t>
      </w:r>
      <w:r>
        <w:rPr>
          <w:spacing w:val="-15"/>
        </w:rPr>
        <w:t> </w:t>
      </w:r>
      <w:r>
        <w:rPr>
          <w:w w:val="109"/>
        </w:rPr>
        <w:t>gobie</w:t>
      </w:r>
      <w:r>
        <w:rPr>
          <w:spacing w:val="-14"/>
          <w:w w:val="109"/>
        </w:rPr>
        <w:t>r</w:t>
      </w:r>
      <w:r>
        <w:rPr>
          <w:w w:val="102"/>
        </w:rPr>
        <w:t>- </w:t>
      </w:r>
      <w:r>
        <w:rPr>
          <w:w w:val="110"/>
        </w:rPr>
        <w:t>no estadounidense mandó tropas para ‘defender’ los ‘derechos’</w:t>
      </w:r>
      <w:r>
        <w:rPr>
          <w:spacing w:val="-2"/>
          <w:w w:val="110"/>
        </w:rPr>
        <w:t> </w:t>
      </w:r>
      <w:r>
        <w:rPr>
          <w:w w:val="110"/>
        </w:rPr>
        <w:t>de</w:t>
      </w:r>
      <w:r>
        <w:rPr>
          <w:spacing w:val="-1"/>
          <w:w w:val="110"/>
        </w:rPr>
        <w:t> </w:t>
      </w:r>
      <w:r>
        <w:rPr>
          <w:w w:val="110"/>
        </w:rPr>
        <w:t>los</w:t>
      </w:r>
      <w:r>
        <w:rPr>
          <w:w w:val="108"/>
        </w:rPr>
        <w:t> </w:t>
      </w:r>
      <w:r>
        <w:rPr>
          <w:w w:val="115"/>
        </w:rPr>
        <w:t>vietnamitas en contra del comunismo. se dijo por ahí</w:t>
      </w:r>
      <w:r>
        <w:rPr>
          <w:spacing w:val="1"/>
          <w:w w:val="115"/>
        </w:rPr>
        <w:t> </w:t>
      </w:r>
      <w:r>
        <w:rPr>
          <w:w w:val="115"/>
        </w:rPr>
        <w:t>que</w:t>
      </w:r>
      <w:r>
        <w:rPr>
          <w:spacing w:val="10"/>
          <w:w w:val="115"/>
        </w:rPr>
        <w:t> </w:t>
      </w:r>
      <w:r>
        <w:rPr>
          <w:w w:val="115"/>
        </w:rPr>
        <w:t>Estados</w:t>
      </w:r>
      <w:r>
        <w:rPr>
          <w:w w:val="111"/>
        </w:rPr>
        <w:t> </w:t>
      </w:r>
      <w:r>
        <w:rPr>
          <w:w w:val="115"/>
        </w:rPr>
        <w:t>unidos quería los recursos de Vietnam. bueno, la tierra</w:t>
      </w:r>
      <w:r>
        <w:rPr>
          <w:spacing w:val="14"/>
          <w:w w:val="115"/>
        </w:rPr>
        <w:t> </w:t>
      </w:r>
      <w:r>
        <w:rPr>
          <w:w w:val="115"/>
        </w:rPr>
        <w:t>está</w:t>
      </w:r>
      <w:r>
        <w:rPr>
          <w:spacing w:val="1"/>
          <w:w w:val="115"/>
        </w:rPr>
        <w:t> </w:t>
      </w:r>
      <w:r>
        <w:rPr>
          <w:w w:val="115"/>
        </w:rPr>
        <w:t>devas-</w:t>
      </w:r>
      <w:r>
        <w:rPr>
          <w:w w:val="102"/>
        </w:rPr>
        <w:t> </w:t>
      </w:r>
      <w:r>
        <w:rPr>
          <w:w w:val="115"/>
        </w:rPr>
        <w:t>tada,</w:t>
      </w:r>
      <w:r>
        <w:rPr>
          <w:spacing w:val="-7"/>
          <w:w w:val="115"/>
        </w:rPr>
        <w:t> </w:t>
      </w:r>
      <w:r>
        <w:rPr>
          <w:w w:val="115"/>
        </w:rPr>
        <w:t>hay</w:t>
      </w:r>
      <w:r>
        <w:rPr>
          <w:spacing w:val="-7"/>
          <w:w w:val="115"/>
        </w:rPr>
        <w:t> </w:t>
      </w:r>
      <w:r>
        <w:rPr>
          <w:w w:val="115"/>
        </w:rPr>
        <w:t>desequilibrio</w:t>
      </w:r>
      <w:r>
        <w:rPr>
          <w:spacing w:val="-7"/>
          <w:w w:val="115"/>
        </w:rPr>
        <w:t> </w:t>
      </w:r>
      <w:r>
        <w:rPr>
          <w:w w:val="115"/>
        </w:rPr>
        <w:t>ecológico</w:t>
      </w:r>
      <w:r>
        <w:rPr>
          <w:spacing w:val="-7"/>
          <w:w w:val="115"/>
        </w:rPr>
        <w:t> </w:t>
      </w:r>
      <w:r>
        <w:rPr>
          <w:w w:val="115"/>
        </w:rPr>
        <w:t>y</w:t>
      </w:r>
      <w:r>
        <w:rPr>
          <w:spacing w:val="-7"/>
          <w:w w:val="115"/>
        </w:rPr>
        <w:t> </w:t>
      </w:r>
      <w:r>
        <w:rPr>
          <w:w w:val="115"/>
        </w:rPr>
        <w:t>los</w:t>
      </w:r>
      <w:r>
        <w:rPr>
          <w:spacing w:val="-7"/>
          <w:w w:val="115"/>
        </w:rPr>
        <w:t> </w:t>
      </w:r>
      <w:r>
        <w:rPr>
          <w:w w:val="115"/>
        </w:rPr>
        <w:t>vietnamitas</w:t>
      </w:r>
      <w:r>
        <w:rPr>
          <w:spacing w:val="-7"/>
          <w:w w:val="115"/>
        </w:rPr>
        <w:t> </w:t>
      </w:r>
      <w:r>
        <w:rPr>
          <w:w w:val="115"/>
        </w:rPr>
        <w:t>siguen</w:t>
      </w:r>
      <w:r>
        <w:rPr>
          <w:spacing w:val="-7"/>
          <w:w w:val="115"/>
        </w:rPr>
        <w:t> </w:t>
      </w:r>
      <w:r>
        <w:rPr>
          <w:w w:val="115"/>
        </w:rPr>
        <w:t>luchando</w:t>
      </w:r>
      <w:r>
        <w:rPr>
          <w:w w:val="112"/>
        </w:rPr>
        <w:t> </w:t>
      </w:r>
      <w:r>
        <w:rPr>
          <w:w w:val="115"/>
        </w:rPr>
        <w:t>de modo heroico. </w:t>
      </w:r>
      <w:r>
        <w:rPr>
          <w:spacing w:val="-5"/>
          <w:w w:val="115"/>
        </w:rPr>
        <w:t>todo </w:t>
      </w:r>
      <w:r>
        <w:rPr>
          <w:w w:val="115"/>
        </w:rPr>
        <w:t>aquello que deseaban Nixon y sus</w:t>
      </w:r>
      <w:r>
        <w:rPr>
          <w:spacing w:val="45"/>
          <w:w w:val="115"/>
        </w:rPr>
        <w:t> </w:t>
      </w:r>
      <w:r>
        <w:rPr>
          <w:w w:val="115"/>
        </w:rPr>
        <w:t>jefes,</w:t>
      </w:r>
      <w:r>
        <w:rPr>
          <w:spacing w:val="13"/>
          <w:w w:val="115"/>
        </w:rPr>
        <w:t> </w:t>
      </w:r>
      <w:r>
        <w:rPr>
          <w:w w:val="115"/>
        </w:rPr>
        <w:t>ha</w:t>
      </w:r>
      <w:r>
        <w:rPr>
          <w:w w:val="112"/>
        </w:rPr>
        <w:t> </w:t>
      </w:r>
      <w:r>
        <w:rPr>
          <w:w w:val="115"/>
        </w:rPr>
        <w:t>sido</w:t>
      </w:r>
      <w:r>
        <w:rPr>
          <w:spacing w:val="-6"/>
          <w:w w:val="115"/>
        </w:rPr>
        <w:t> </w:t>
      </w:r>
      <w:r>
        <w:rPr>
          <w:w w:val="115"/>
        </w:rPr>
        <w:t>eliminado.</w:t>
      </w:r>
      <w:r>
        <w:rPr>
          <w:spacing w:val="-6"/>
          <w:w w:val="115"/>
        </w:rPr>
        <w:t> </w:t>
      </w:r>
      <w:r>
        <w:rPr>
          <w:w w:val="115"/>
        </w:rPr>
        <w:t>Entonces</w:t>
      </w:r>
      <w:r>
        <w:rPr>
          <w:spacing w:val="-6"/>
          <w:w w:val="115"/>
        </w:rPr>
        <w:t> </w:t>
      </w:r>
      <w:r>
        <w:rPr>
          <w:w w:val="115"/>
        </w:rPr>
        <w:t>¿por</w:t>
      </w:r>
      <w:r>
        <w:rPr>
          <w:spacing w:val="-6"/>
          <w:w w:val="115"/>
        </w:rPr>
        <w:t> </w:t>
      </w:r>
      <w:r>
        <w:rPr>
          <w:w w:val="115"/>
        </w:rPr>
        <w:t>qué</w:t>
      </w:r>
      <w:r>
        <w:rPr>
          <w:spacing w:val="-6"/>
          <w:w w:val="115"/>
        </w:rPr>
        <w:t> </w:t>
      </w:r>
      <w:r>
        <w:rPr>
          <w:w w:val="115"/>
        </w:rPr>
        <w:t>luchan?</w:t>
      </w:r>
      <w:r>
        <w:rPr>
          <w:spacing w:val="-6"/>
          <w:w w:val="115"/>
        </w:rPr>
        <w:t> </w:t>
      </w:r>
      <w:r>
        <w:rPr>
          <w:w w:val="115"/>
        </w:rPr>
        <w:t>Estados</w:t>
      </w:r>
      <w:r>
        <w:rPr>
          <w:spacing w:val="-6"/>
          <w:w w:val="115"/>
        </w:rPr>
        <w:t> </w:t>
      </w:r>
      <w:r>
        <w:rPr>
          <w:w w:val="115"/>
        </w:rPr>
        <w:t>unidos</w:t>
      </w:r>
      <w:r>
        <w:rPr>
          <w:spacing w:val="-6"/>
          <w:w w:val="115"/>
        </w:rPr>
        <w:t> </w:t>
      </w:r>
      <w:r>
        <w:rPr>
          <w:w w:val="115"/>
        </w:rPr>
        <w:t>necesita</w:t>
      </w:r>
      <w:r>
        <w:rPr>
          <w:w w:val="109"/>
        </w:rPr>
        <w:t> </w:t>
      </w:r>
      <w:r>
        <w:rPr>
          <w:w w:val="115"/>
        </w:rPr>
        <w:t>poder</w:t>
      </w:r>
      <w:r>
        <w:rPr>
          <w:spacing w:val="-22"/>
          <w:w w:val="115"/>
        </w:rPr>
        <w:t> </w:t>
      </w:r>
      <w:r>
        <w:rPr>
          <w:w w:val="115"/>
        </w:rPr>
        <w:t>para</w:t>
      </w:r>
      <w:r>
        <w:rPr>
          <w:spacing w:val="-22"/>
          <w:w w:val="115"/>
        </w:rPr>
        <w:t> </w:t>
      </w:r>
      <w:r>
        <w:rPr>
          <w:w w:val="115"/>
        </w:rPr>
        <w:t>ejercer</w:t>
      </w:r>
      <w:r>
        <w:rPr>
          <w:spacing w:val="-22"/>
          <w:w w:val="115"/>
        </w:rPr>
        <w:t> </w:t>
      </w:r>
      <w:r>
        <w:rPr>
          <w:spacing w:val="-4"/>
          <w:w w:val="115"/>
        </w:rPr>
        <w:t>poder.</w:t>
      </w:r>
      <w:r>
        <w:rPr>
          <w:spacing w:val="-22"/>
          <w:w w:val="115"/>
        </w:rPr>
        <w:t> </w:t>
      </w:r>
      <w:r>
        <w:rPr>
          <w:w w:val="115"/>
        </w:rPr>
        <w:t>Que</w:t>
      </w:r>
      <w:r>
        <w:rPr>
          <w:spacing w:val="-22"/>
          <w:w w:val="115"/>
        </w:rPr>
        <w:t> </w:t>
      </w:r>
      <w:r>
        <w:rPr>
          <w:w w:val="115"/>
        </w:rPr>
        <w:t>un</w:t>
      </w:r>
      <w:r>
        <w:rPr>
          <w:spacing w:val="-22"/>
          <w:w w:val="115"/>
        </w:rPr>
        <w:t> </w:t>
      </w:r>
      <w:r>
        <w:rPr>
          <w:w w:val="115"/>
        </w:rPr>
        <w:t>pequeño</w:t>
      </w:r>
      <w:r>
        <w:rPr>
          <w:spacing w:val="-22"/>
          <w:w w:val="115"/>
        </w:rPr>
        <w:t> </w:t>
      </w:r>
      <w:r>
        <w:rPr>
          <w:w w:val="115"/>
        </w:rPr>
        <w:t>país</w:t>
      </w:r>
      <w:r>
        <w:rPr>
          <w:spacing w:val="-22"/>
          <w:w w:val="115"/>
        </w:rPr>
        <w:t> </w:t>
      </w:r>
      <w:r>
        <w:rPr>
          <w:w w:val="115"/>
        </w:rPr>
        <w:t>se</w:t>
      </w:r>
      <w:r>
        <w:rPr>
          <w:spacing w:val="-22"/>
          <w:w w:val="115"/>
        </w:rPr>
        <w:t> </w:t>
      </w:r>
      <w:r>
        <w:rPr>
          <w:w w:val="115"/>
        </w:rPr>
        <w:t>atreva</w:t>
      </w:r>
      <w:r>
        <w:rPr>
          <w:spacing w:val="-22"/>
          <w:w w:val="115"/>
        </w:rPr>
        <w:t> </w:t>
      </w:r>
      <w:r>
        <w:rPr>
          <w:w w:val="115"/>
        </w:rPr>
        <w:t>a</w:t>
      </w:r>
      <w:r>
        <w:rPr>
          <w:spacing w:val="-22"/>
          <w:w w:val="115"/>
        </w:rPr>
        <w:t> </w:t>
      </w:r>
      <w:r>
        <w:rPr>
          <w:w w:val="115"/>
        </w:rPr>
        <w:t>desafiarlo,</w:t>
      </w:r>
      <w:r>
        <w:rPr>
          <w:w w:val="109"/>
        </w:rPr>
        <w:t> </w:t>
      </w:r>
      <w:r>
        <w:rPr>
          <w:w w:val="105"/>
        </w:rPr>
        <w:t>es</w:t>
      </w:r>
      <w:r>
        <w:rPr/>
        <w:t> </w:t>
      </w:r>
      <w:r>
        <w:rPr>
          <w:spacing w:val="-21"/>
        </w:rPr>
        <w:t> </w:t>
      </w:r>
      <w:r>
        <w:rPr>
          <w:w w:val="109"/>
        </w:rPr>
        <w:t>imperdonable</w:t>
      </w:r>
      <w:r>
        <w:rPr/>
        <w:t> </w:t>
      </w:r>
      <w:r>
        <w:rPr>
          <w:spacing w:val="-21"/>
        </w:rPr>
        <w:t> </w:t>
      </w:r>
      <w:r>
        <w:rPr>
          <w:w w:val="109"/>
        </w:rPr>
        <w:t>para</w:t>
      </w:r>
      <w:r>
        <w:rPr/>
        <w:t> </w:t>
      </w:r>
      <w:r>
        <w:rPr>
          <w:spacing w:val="-21"/>
        </w:rPr>
        <w:t> </w:t>
      </w:r>
      <w:r>
        <w:rPr>
          <w:w w:val="108"/>
        </w:rPr>
        <w:t>los</w:t>
      </w:r>
      <w:r>
        <w:rPr/>
        <w:t> </w:t>
      </w:r>
      <w:r>
        <w:rPr>
          <w:spacing w:val="-21"/>
        </w:rPr>
        <w:t> </w:t>
      </w:r>
      <w:r>
        <w:rPr>
          <w:w w:val="108"/>
        </w:rPr>
        <w:t>dirigentes</w:t>
      </w:r>
      <w:r>
        <w:rPr/>
        <w:t> </w:t>
      </w:r>
      <w:r>
        <w:rPr>
          <w:spacing w:val="-21"/>
        </w:rPr>
        <w:t> </w:t>
      </w:r>
      <w:r>
        <w:rPr>
          <w:w w:val="108"/>
        </w:rPr>
        <w:t>estadounidenses</w:t>
      </w:r>
      <w:r>
        <w:rPr/>
        <w:t> </w:t>
      </w:r>
      <w:r>
        <w:rPr>
          <w:spacing w:val="-21"/>
        </w:rPr>
        <w:t> </w:t>
      </w:r>
      <w:r>
        <w:rPr>
          <w:w w:val="122"/>
        </w:rPr>
        <w:t>[…]</w:t>
      </w:r>
      <w:r>
        <w:rPr/>
        <w:t> </w:t>
      </w:r>
      <w:r>
        <w:rPr>
          <w:spacing w:val="-21"/>
        </w:rPr>
        <w:t> </w:t>
      </w:r>
      <w:r>
        <w:rPr>
          <w:w w:val="243"/>
        </w:rPr>
        <w:t>l</w:t>
      </w:r>
      <w:r>
        <w:rPr>
          <w:w w:val="109"/>
        </w:rPr>
        <w:t>as</w:t>
      </w:r>
      <w:r>
        <w:rPr/>
        <w:t> </w:t>
      </w:r>
      <w:r>
        <w:rPr>
          <w:spacing w:val="-21"/>
        </w:rPr>
        <w:t> </w:t>
      </w:r>
      <w:r>
        <w:rPr>
          <w:w w:val="110"/>
        </w:rPr>
        <w:t>masas </w:t>
      </w:r>
      <w:r>
        <w:rPr>
          <w:w w:val="115"/>
        </w:rPr>
        <w:t>estadounidenses</w:t>
      </w:r>
      <w:r>
        <w:rPr>
          <w:spacing w:val="-17"/>
          <w:w w:val="115"/>
        </w:rPr>
        <w:t> </w:t>
      </w:r>
      <w:r>
        <w:rPr>
          <w:w w:val="115"/>
        </w:rPr>
        <w:t>se</w:t>
      </w:r>
      <w:r>
        <w:rPr>
          <w:spacing w:val="-17"/>
          <w:w w:val="115"/>
        </w:rPr>
        <w:t> </w:t>
      </w:r>
      <w:r>
        <w:rPr>
          <w:w w:val="115"/>
        </w:rPr>
        <w:t>han</w:t>
      </w:r>
      <w:r>
        <w:rPr>
          <w:spacing w:val="-17"/>
          <w:w w:val="115"/>
        </w:rPr>
        <w:t> </w:t>
      </w:r>
      <w:r>
        <w:rPr>
          <w:w w:val="115"/>
        </w:rPr>
        <w:t>manifestado</w:t>
      </w:r>
      <w:r>
        <w:rPr>
          <w:spacing w:val="-17"/>
          <w:w w:val="115"/>
        </w:rPr>
        <w:t> </w:t>
      </w:r>
      <w:r>
        <w:rPr>
          <w:w w:val="115"/>
        </w:rPr>
        <w:t>en</w:t>
      </w:r>
      <w:r>
        <w:rPr>
          <w:spacing w:val="-17"/>
          <w:w w:val="115"/>
        </w:rPr>
        <w:t> </w:t>
      </w:r>
      <w:r>
        <w:rPr>
          <w:w w:val="115"/>
        </w:rPr>
        <w:t>contra</w:t>
      </w:r>
      <w:r>
        <w:rPr>
          <w:spacing w:val="-17"/>
          <w:w w:val="115"/>
        </w:rPr>
        <w:t> </w:t>
      </w:r>
      <w:r>
        <w:rPr>
          <w:w w:val="115"/>
        </w:rPr>
        <w:t>de</w:t>
      </w:r>
      <w:r>
        <w:rPr>
          <w:spacing w:val="-17"/>
          <w:w w:val="115"/>
        </w:rPr>
        <w:t> </w:t>
      </w:r>
      <w:r>
        <w:rPr>
          <w:w w:val="115"/>
        </w:rPr>
        <w:t>esta</w:t>
      </w:r>
      <w:r>
        <w:rPr>
          <w:spacing w:val="-17"/>
          <w:w w:val="115"/>
        </w:rPr>
        <w:t> </w:t>
      </w:r>
      <w:r>
        <w:rPr>
          <w:w w:val="115"/>
        </w:rPr>
        <w:t>agresiva</w:t>
      </w:r>
      <w:r>
        <w:rPr>
          <w:spacing w:val="-17"/>
          <w:w w:val="115"/>
        </w:rPr>
        <w:t> </w:t>
      </w:r>
      <w:r>
        <w:rPr>
          <w:w w:val="115"/>
        </w:rPr>
        <w:t>gue-</w:t>
      </w:r>
    </w:p>
    <w:p>
      <w:pPr>
        <w:pStyle w:val="BodyText"/>
        <w:ind w:left="330" w:right="321"/>
      </w:pPr>
      <w:r>
        <w:rPr>
          <w:w w:val="110"/>
        </w:rPr>
        <w:t>rra […]” (Hillard, 2007:  81).</w:t>
      </w:r>
    </w:p>
    <w:p>
      <w:pPr>
        <w:spacing w:after="0"/>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8" w:firstLine="396"/>
        <w:jc w:val="both"/>
      </w:pPr>
      <w:r>
        <w:rPr>
          <w:spacing w:val="-1"/>
          <w:w w:val="243"/>
        </w:rPr>
        <w:t>l</w:t>
      </w:r>
      <w:r>
        <w:rPr>
          <w:spacing w:val="-1"/>
          <w:w w:val="109"/>
        </w:rPr>
        <w:t>a</w:t>
      </w:r>
      <w:r>
        <w:rPr>
          <w:w w:val="109"/>
        </w:rPr>
        <w:t>s</w:t>
      </w:r>
      <w:r>
        <w:rPr>
          <w:spacing w:val="20"/>
        </w:rPr>
        <w:t> </w:t>
      </w:r>
      <w:r>
        <w:rPr>
          <w:spacing w:val="-1"/>
          <w:w w:val="107"/>
        </w:rPr>
        <w:t>protesta</w:t>
      </w:r>
      <w:r>
        <w:rPr>
          <w:w w:val="107"/>
        </w:rPr>
        <w:t>s</w:t>
      </w:r>
      <w:r>
        <w:rPr>
          <w:spacing w:val="20"/>
        </w:rPr>
        <w:t> </w:t>
      </w:r>
      <w:r>
        <w:rPr>
          <w:w w:val="105"/>
        </w:rPr>
        <w:t>y</w:t>
      </w:r>
      <w:r>
        <w:rPr>
          <w:spacing w:val="20"/>
        </w:rPr>
        <w:t> </w:t>
      </w:r>
      <w:r>
        <w:rPr>
          <w:spacing w:val="-1"/>
          <w:w w:val="110"/>
        </w:rPr>
        <w:t>manifestacione</w:t>
      </w:r>
      <w:r>
        <w:rPr>
          <w:w w:val="110"/>
        </w:rPr>
        <w:t>s</w:t>
      </w:r>
      <w:r>
        <w:rPr>
          <w:spacing w:val="20"/>
        </w:rPr>
        <w:t> </w:t>
      </w:r>
      <w:r>
        <w:rPr>
          <w:spacing w:val="-1"/>
          <w:w w:val="110"/>
        </w:rPr>
        <w:t>fuero</w:t>
      </w:r>
      <w:r>
        <w:rPr>
          <w:w w:val="110"/>
        </w:rPr>
        <w:t>n</w:t>
      </w:r>
      <w:r>
        <w:rPr>
          <w:spacing w:val="20"/>
        </w:rPr>
        <w:t> </w:t>
      </w:r>
      <w:r>
        <w:rPr>
          <w:spacing w:val="-1"/>
          <w:w w:val="110"/>
        </w:rPr>
        <w:t>incrementándose</w:t>
      </w:r>
      <w:r>
        <w:rPr>
          <w:w w:val="110"/>
        </w:rPr>
        <w:t>.</w:t>
      </w:r>
      <w:r>
        <w:rPr>
          <w:spacing w:val="20"/>
        </w:rPr>
        <w:t> </w:t>
      </w:r>
      <w:r>
        <w:rPr>
          <w:spacing w:val="-1"/>
          <w:w w:val="243"/>
        </w:rPr>
        <w:t>l</w:t>
      </w:r>
      <w:r>
        <w:rPr>
          <w:spacing w:val="-1"/>
          <w:w w:val="108"/>
        </w:rPr>
        <w:t>o</w:t>
      </w:r>
      <w:r>
        <w:rPr>
          <w:w w:val="108"/>
        </w:rPr>
        <w:t>s</w:t>
      </w:r>
      <w:r>
        <w:rPr>
          <w:spacing w:val="20"/>
        </w:rPr>
        <w:t> </w:t>
      </w:r>
      <w:r>
        <w:rPr>
          <w:spacing w:val="-1"/>
          <w:w w:val="111"/>
        </w:rPr>
        <w:t>j</w:t>
      </w:r>
      <w:r>
        <w:rPr>
          <w:spacing w:val="-2"/>
          <w:w w:val="111"/>
        </w:rPr>
        <w:t>ó</w:t>
      </w:r>
      <w:r>
        <w:rPr>
          <w:w w:val="102"/>
        </w:rPr>
        <w:t>- </w:t>
      </w:r>
      <w:r>
        <w:rPr>
          <w:w w:val="110"/>
        </w:rPr>
        <w:t>venes estadounidenses comenzaron a rechazar su incorporación a las </w:t>
      </w:r>
      <w:r>
        <w:rPr>
          <w:spacing w:val="-4"/>
          <w:w w:val="115"/>
        </w:rPr>
        <w:t>FF.aa.; </w:t>
      </w:r>
      <w:r>
        <w:rPr>
          <w:w w:val="115"/>
        </w:rPr>
        <w:t>en 1964 david o’brian fue el primero en quemar su libreta  de</w:t>
      </w:r>
      <w:r>
        <w:rPr>
          <w:spacing w:val="-15"/>
          <w:w w:val="115"/>
        </w:rPr>
        <w:t> </w:t>
      </w:r>
      <w:r>
        <w:rPr>
          <w:w w:val="115"/>
        </w:rPr>
        <w:t>enrolamiento,</w:t>
      </w:r>
      <w:r>
        <w:rPr>
          <w:spacing w:val="-15"/>
          <w:w w:val="115"/>
        </w:rPr>
        <w:t> </w:t>
      </w:r>
      <w:r>
        <w:rPr>
          <w:w w:val="115"/>
        </w:rPr>
        <w:t>seguido</w:t>
      </w:r>
      <w:r>
        <w:rPr>
          <w:spacing w:val="-15"/>
          <w:w w:val="115"/>
        </w:rPr>
        <w:t> </w:t>
      </w:r>
      <w:r>
        <w:rPr>
          <w:w w:val="115"/>
        </w:rPr>
        <w:t>por</w:t>
      </w:r>
      <w:r>
        <w:rPr>
          <w:spacing w:val="-15"/>
          <w:w w:val="115"/>
        </w:rPr>
        <w:t> </w:t>
      </w:r>
      <w:r>
        <w:rPr>
          <w:w w:val="115"/>
        </w:rPr>
        <w:t>cientos</w:t>
      </w:r>
      <w:r>
        <w:rPr>
          <w:spacing w:val="-15"/>
          <w:w w:val="115"/>
        </w:rPr>
        <w:t> </w:t>
      </w:r>
      <w:r>
        <w:rPr>
          <w:w w:val="115"/>
        </w:rPr>
        <w:t>de</w:t>
      </w:r>
      <w:r>
        <w:rPr>
          <w:spacing w:val="-15"/>
          <w:w w:val="115"/>
        </w:rPr>
        <w:t> </w:t>
      </w:r>
      <w:r>
        <w:rPr>
          <w:w w:val="115"/>
        </w:rPr>
        <w:t>jóvenes.</w:t>
      </w:r>
      <w:r>
        <w:rPr>
          <w:spacing w:val="-15"/>
          <w:w w:val="115"/>
        </w:rPr>
        <w:t> </w:t>
      </w:r>
      <w:r>
        <w:rPr>
          <w:w w:val="115"/>
        </w:rPr>
        <w:t>El</w:t>
      </w:r>
      <w:r>
        <w:rPr>
          <w:spacing w:val="-15"/>
          <w:w w:val="115"/>
        </w:rPr>
        <w:t> </w:t>
      </w:r>
      <w:r>
        <w:rPr>
          <w:w w:val="115"/>
        </w:rPr>
        <w:t>lema</w:t>
      </w:r>
      <w:r>
        <w:rPr>
          <w:spacing w:val="-15"/>
          <w:w w:val="115"/>
        </w:rPr>
        <w:t> </w:t>
      </w:r>
      <w:r>
        <w:rPr>
          <w:w w:val="115"/>
        </w:rPr>
        <w:t>era</w:t>
      </w:r>
      <w:r>
        <w:rPr>
          <w:spacing w:val="-15"/>
          <w:w w:val="115"/>
        </w:rPr>
        <w:t> </w:t>
      </w:r>
      <w:r>
        <w:rPr>
          <w:w w:val="115"/>
        </w:rPr>
        <w:t>“No</w:t>
      </w:r>
      <w:r>
        <w:rPr>
          <w:spacing w:val="-15"/>
          <w:w w:val="115"/>
        </w:rPr>
        <w:t> </w:t>
      </w:r>
      <w:r>
        <w:rPr>
          <w:w w:val="115"/>
        </w:rPr>
        <w:t>ire- mos”</w:t>
      </w:r>
      <w:r>
        <w:rPr>
          <w:spacing w:val="-31"/>
          <w:w w:val="115"/>
        </w:rPr>
        <w:t> </w:t>
      </w:r>
      <w:r>
        <w:rPr>
          <w:w w:val="115"/>
        </w:rPr>
        <w:t>(Zinn,</w:t>
      </w:r>
      <w:r>
        <w:rPr>
          <w:spacing w:val="-31"/>
          <w:w w:val="115"/>
        </w:rPr>
        <w:t> </w:t>
      </w:r>
      <w:r>
        <w:rPr>
          <w:w w:val="115"/>
        </w:rPr>
        <w:t>2003:</w:t>
      </w:r>
      <w:r>
        <w:rPr>
          <w:spacing w:val="-31"/>
          <w:w w:val="115"/>
        </w:rPr>
        <w:t> </w:t>
      </w:r>
      <w:r>
        <w:rPr>
          <w:w w:val="115"/>
        </w:rPr>
        <w:t>234).</w:t>
      </w:r>
      <w:r>
        <w:rPr>
          <w:spacing w:val="-31"/>
          <w:w w:val="115"/>
        </w:rPr>
        <w:t> </w:t>
      </w:r>
      <w:r>
        <w:rPr>
          <w:w w:val="115"/>
        </w:rPr>
        <w:t>a</w:t>
      </w:r>
      <w:r>
        <w:rPr>
          <w:spacing w:val="-31"/>
          <w:w w:val="115"/>
        </w:rPr>
        <w:t> </w:t>
      </w:r>
      <w:r>
        <w:rPr>
          <w:w w:val="115"/>
        </w:rPr>
        <w:t>principios</w:t>
      </w:r>
      <w:r>
        <w:rPr>
          <w:spacing w:val="-31"/>
          <w:w w:val="115"/>
        </w:rPr>
        <w:t> </w:t>
      </w:r>
      <w:r>
        <w:rPr>
          <w:w w:val="115"/>
        </w:rPr>
        <w:t>de</w:t>
      </w:r>
      <w:r>
        <w:rPr>
          <w:spacing w:val="-31"/>
          <w:w w:val="115"/>
        </w:rPr>
        <w:t> </w:t>
      </w:r>
      <w:r>
        <w:rPr>
          <w:w w:val="115"/>
        </w:rPr>
        <w:t>1965,</w:t>
      </w:r>
      <w:r>
        <w:rPr>
          <w:spacing w:val="-31"/>
          <w:w w:val="115"/>
        </w:rPr>
        <w:t> </w:t>
      </w:r>
      <w:r>
        <w:rPr>
          <w:w w:val="115"/>
        </w:rPr>
        <w:t>cuando</w:t>
      </w:r>
      <w:r>
        <w:rPr>
          <w:spacing w:val="-31"/>
          <w:w w:val="115"/>
        </w:rPr>
        <w:t> </w:t>
      </w:r>
      <w:r>
        <w:rPr>
          <w:w w:val="115"/>
        </w:rPr>
        <w:t>comenzó</w:t>
      </w:r>
      <w:r>
        <w:rPr>
          <w:spacing w:val="-31"/>
          <w:w w:val="115"/>
        </w:rPr>
        <w:t> </w:t>
      </w:r>
      <w:r>
        <w:rPr>
          <w:w w:val="115"/>
        </w:rPr>
        <w:t>el</w:t>
      </w:r>
      <w:r>
        <w:rPr>
          <w:spacing w:val="-31"/>
          <w:w w:val="115"/>
        </w:rPr>
        <w:t> </w:t>
      </w:r>
      <w:r>
        <w:rPr>
          <w:w w:val="115"/>
        </w:rPr>
        <w:t>bom- bardeo</w:t>
      </w:r>
      <w:r>
        <w:rPr>
          <w:spacing w:val="-6"/>
          <w:w w:val="115"/>
        </w:rPr>
        <w:t> </w:t>
      </w:r>
      <w:r>
        <w:rPr>
          <w:w w:val="115"/>
        </w:rPr>
        <w:t>a</w:t>
      </w:r>
      <w:r>
        <w:rPr>
          <w:spacing w:val="-6"/>
          <w:w w:val="115"/>
        </w:rPr>
        <w:t> </w:t>
      </w:r>
      <w:r>
        <w:rPr>
          <w:spacing w:val="-3"/>
          <w:w w:val="115"/>
        </w:rPr>
        <w:t>Vietnam</w:t>
      </w:r>
      <w:r>
        <w:rPr>
          <w:spacing w:val="-6"/>
          <w:w w:val="115"/>
        </w:rPr>
        <w:t> </w:t>
      </w:r>
      <w:r>
        <w:rPr>
          <w:w w:val="115"/>
        </w:rPr>
        <w:t>del</w:t>
      </w:r>
      <w:r>
        <w:rPr>
          <w:spacing w:val="-6"/>
          <w:w w:val="115"/>
        </w:rPr>
        <w:t> </w:t>
      </w:r>
      <w:r>
        <w:rPr>
          <w:w w:val="115"/>
        </w:rPr>
        <w:t>Norte,</w:t>
      </w:r>
      <w:r>
        <w:rPr>
          <w:spacing w:val="-6"/>
          <w:w w:val="115"/>
        </w:rPr>
        <w:t> </w:t>
      </w:r>
      <w:r>
        <w:rPr>
          <w:w w:val="115"/>
        </w:rPr>
        <w:t>100</w:t>
      </w:r>
      <w:r>
        <w:rPr>
          <w:spacing w:val="-6"/>
          <w:w w:val="115"/>
        </w:rPr>
        <w:t> </w:t>
      </w:r>
      <w:r>
        <w:rPr>
          <w:w w:val="115"/>
        </w:rPr>
        <w:t>personas</w:t>
      </w:r>
      <w:r>
        <w:rPr>
          <w:spacing w:val="-6"/>
          <w:w w:val="115"/>
        </w:rPr>
        <w:t> </w:t>
      </w:r>
      <w:r>
        <w:rPr>
          <w:w w:val="115"/>
        </w:rPr>
        <w:t>se</w:t>
      </w:r>
      <w:r>
        <w:rPr>
          <w:spacing w:val="-6"/>
          <w:w w:val="115"/>
        </w:rPr>
        <w:t> </w:t>
      </w:r>
      <w:r>
        <w:rPr>
          <w:w w:val="115"/>
        </w:rPr>
        <w:t>reunieron</w:t>
      </w:r>
      <w:r>
        <w:rPr>
          <w:spacing w:val="-6"/>
          <w:w w:val="115"/>
        </w:rPr>
        <w:t> </w:t>
      </w:r>
      <w:r>
        <w:rPr>
          <w:w w:val="115"/>
        </w:rPr>
        <w:t>en</w:t>
      </w:r>
      <w:r>
        <w:rPr>
          <w:spacing w:val="-6"/>
          <w:w w:val="115"/>
        </w:rPr>
        <w:t> </w:t>
      </w:r>
      <w:r>
        <w:rPr>
          <w:w w:val="115"/>
        </w:rPr>
        <w:t>el</w:t>
      </w:r>
      <w:r>
        <w:rPr>
          <w:spacing w:val="-6"/>
          <w:w w:val="115"/>
        </w:rPr>
        <w:t> </w:t>
      </w:r>
      <w:r>
        <w:rPr>
          <w:i/>
          <w:w w:val="115"/>
        </w:rPr>
        <w:t>Boston </w:t>
      </w:r>
      <w:r>
        <w:rPr>
          <w:i/>
          <w:w w:val="115"/>
        </w:rPr>
        <w:t>Common</w:t>
      </w:r>
      <w:r>
        <w:rPr>
          <w:i/>
          <w:spacing w:val="-14"/>
          <w:w w:val="115"/>
        </w:rPr>
        <w:t> </w:t>
      </w:r>
      <w:r>
        <w:rPr>
          <w:w w:val="115"/>
        </w:rPr>
        <w:t>para</w:t>
      </w:r>
      <w:r>
        <w:rPr>
          <w:spacing w:val="-14"/>
          <w:w w:val="115"/>
        </w:rPr>
        <w:t> </w:t>
      </w:r>
      <w:r>
        <w:rPr>
          <w:w w:val="115"/>
        </w:rPr>
        <w:t>oponerse.</w:t>
      </w:r>
      <w:r>
        <w:rPr>
          <w:spacing w:val="-14"/>
          <w:w w:val="115"/>
        </w:rPr>
        <w:t> </w:t>
      </w:r>
      <w:r>
        <w:rPr>
          <w:w w:val="115"/>
        </w:rPr>
        <w:t>El</w:t>
      </w:r>
      <w:r>
        <w:rPr>
          <w:spacing w:val="-14"/>
          <w:w w:val="115"/>
        </w:rPr>
        <w:t> </w:t>
      </w:r>
      <w:r>
        <w:rPr>
          <w:w w:val="115"/>
        </w:rPr>
        <w:t>15</w:t>
      </w:r>
      <w:r>
        <w:rPr>
          <w:spacing w:val="-14"/>
          <w:w w:val="115"/>
        </w:rPr>
        <w:t> </w:t>
      </w:r>
      <w:r>
        <w:rPr>
          <w:w w:val="115"/>
        </w:rPr>
        <w:t>de</w:t>
      </w:r>
      <w:r>
        <w:rPr>
          <w:spacing w:val="-14"/>
          <w:w w:val="115"/>
        </w:rPr>
        <w:t> </w:t>
      </w:r>
      <w:r>
        <w:rPr>
          <w:w w:val="115"/>
        </w:rPr>
        <w:t>octubre</w:t>
      </w:r>
      <w:r>
        <w:rPr>
          <w:spacing w:val="-14"/>
          <w:w w:val="115"/>
        </w:rPr>
        <w:t> </w:t>
      </w:r>
      <w:r>
        <w:rPr>
          <w:w w:val="115"/>
        </w:rPr>
        <w:t>de</w:t>
      </w:r>
      <w:r>
        <w:rPr>
          <w:spacing w:val="-14"/>
          <w:w w:val="115"/>
        </w:rPr>
        <w:t> </w:t>
      </w:r>
      <w:r>
        <w:rPr>
          <w:w w:val="115"/>
        </w:rPr>
        <w:t>1969,</w:t>
      </w:r>
      <w:r>
        <w:rPr>
          <w:spacing w:val="-14"/>
          <w:w w:val="115"/>
        </w:rPr>
        <w:t> </w:t>
      </w:r>
      <w:r>
        <w:rPr>
          <w:w w:val="115"/>
        </w:rPr>
        <w:t>se</w:t>
      </w:r>
      <w:r>
        <w:rPr>
          <w:spacing w:val="-14"/>
          <w:w w:val="115"/>
        </w:rPr>
        <w:t> </w:t>
      </w:r>
      <w:r>
        <w:rPr>
          <w:w w:val="115"/>
        </w:rPr>
        <w:t>reunieron</w:t>
      </w:r>
      <w:r>
        <w:rPr>
          <w:spacing w:val="-14"/>
          <w:w w:val="115"/>
        </w:rPr>
        <w:t> </w:t>
      </w:r>
      <w:r>
        <w:rPr>
          <w:w w:val="115"/>
        </w:rPr>
        <w:t>en</w:t>
      </w:r>
      <w:r>
        <w:rPr>
          <w:spacing w:val="-14"/>
          <w:w w:val="115"/>
        </w:rPr>
        <w:t> </w:t>
      </w:r>
      <w:r>
        <w:rPr>
          <w:w w:val="115"/>
        </w:rPr>
        <w:t>el </w:t>
      </w:r>
      <w:r>
        <w:rPr>
          <w:w w:val="110"/>
        </w:rPr>
        <w:t>mismo</w:t>
      </w:r>
      <w:r>
        <w:rPr>
          <w:spacing w:val="-8"/>
          <w:w w:val="110"/>
        </w:rPr>
        <w:t> </w:t>
      </w:r>
      <w:r>
        <w:rPr>
          <w:w w:val="110"/>
        </w:rPr>
        <w:t>lugar</w:t>
      </w:r>
      <w:r>
        <w:rPr>
          <w:spacing w:val="-8"/>
          <w:w w:val="110"/>
        </w:rPr>
        <w:t> </w:t>
      </w:r>
      <w:r>
        <w:rPr>
          <w:w w:val="110"/>
        </w:rPr>
        <w:t>100.000</w:t>
      </w:r>
      <w:r>
        <w:rPr>
          <w:spacing w:val="-8"/>
          <w:w w:val="110"/>
        </w:rPr>
        <w:t> </w:t>
      </w:r>
      <w:r>
        <w:rPr>
          <w:w w:val="110"/>
        </w:rPr>
        <w:t>personas.</w:t>
      </w:r>
      <w:r>
        <w:rPr>
          <w:spacing w:val="-8"/>
          <w:w w:val="110"/>
        </w:rPr>
        <w:t> </w:t>
      </w:r>
      <w:r>
        <w:rPr>
          <w:w w:val="110"/>
        </w:rPr>
        <w:t>Ese</w:t>
      </w:r>
      <w:r>
        <w:rPr>
          <w:spacing w:val="-8"/>
          <w:w w:val="110"/>
        </w:rPr>
        <w:t> </w:t>
      </w:r>
      <w:r>
        <w:rPr>
          <w:w w:val="110"/>
        </w:rPr>
        <w:t>mismo</w:t>
      </w:r>
      <w:r>
        <w:rPr>
          <w:spacing w:val="-8"/>
          <w:w w:val="110"/>
        </w:rPr>
        <w:t> </w:t>
      </w:r>
      <w:r>
        <w:rPr>
          <w:w w:val="110"/>
        </w:rPr>
        <w:t>día</w:t>
      </w:r>
      <w:r>
        <w:rPr>
          <w:spacing w:val="-8"/>
          <w:w w:val="110"/>
        </w:rPr>
        <w:t> </w:t>
      </w:r>
      <w:r>
        <w:rPr>
          <w:w w:val="110"/>
        </w:rPr>
        <w:t>se</w:t>
      </w:r>
      <w:r>
        <w:rPr>
          <w:spacing w:val="-8"/>
          <w:w w:val="110"/>
        </w:rPr>
        <w:t> </w:t>
      </w:r>
      <w:r>
        <w:rPr>
          <w:w w:val="110"/>
        </w:rPr>
        <w:t>manifestaron</w:t>
      </w:r>
      <w:r>
        <w:rPr>
          <w:spacing w:val="-8"/>
          <w:w w:val="110"/>
        </w:rPr>
        <w:t> </w:t>
      </w:r>
      <w:r>
        <w:rPr>
          <w:w w:val="110"/>
        </w:rPr>
        <w:t>en</w:t>
      </w:r>
      <w:r>
        <w:rPr>
          <w:spacing w:val="-8"/>
          <w:w w:val="110"/>
        </w:rPr>
        <w:t> </w:t>
      </w:r>
      <w:r>
        <w:rPr>
          <w:w w:val="110"/>
        </w:rPr>
        <w:t>con- tra</w:t>
      </w:r>
      <w:r>
        <w:rPr>
          <w:spacing w:val="-12"/>
          <w:w w:val="110"/>
        </w:rPr>
        <w:t> </w:t>
      </w:r>
      <w:r>
        <w:rPr>
          <w:w w:val="110"/>
        </w:rPr>
        <w:t>de</w:t>
      </w:r>
      <w:r>
        <w:rPr>
          <w:spacing w:val="-12"/>
          <w:w w:val="110"/>
        </w:rPr>
        <w:t> </w:t>
      </w:r>
      <w:r>
        <w:rPr>
          <w:w w:val="110"/>
        </w:rPr>
        <w:t>la</w:t>
      </w:r>
      <w:r>
        <w:rPr>
          <w:spacing w:val="-12"/>
          <w:w w:val="110"/>
        </w:rPr>
        <w:t> </w:t>
      </w:r>
      <w:r>
        <w:rPr>
          <w:w w:val="110"/>
        </w:rPr>
        <w:t>guerra</w:t>
      </w:r>
      <w:r>
        <w:rPr>
          <w:spacing w:val="-12"/>
          <w:w w:val="110"/>
        </w:rPr>
        <w:t> </w:t>
      </w:r>
      <w:r>
        <w:rPr>
          <w:w w:val="110"/>
        </w:rPr>
        <w:t>aproximadamente</w:t>
      </w:r>
      <w:r>
        <w:rPr>
          <w:spacing w:val="-12"/>
          <w:w w:val="110"/>
        </w:rPr>
        <w:t> </w:t>
      </w:r>
      <w:r>
        <w:rPr>
          <w:w w:val="110"/>
        </w:rPr>
        <w:t>2.000.000</w:t>
      </w:r>
      <w:r>
        <w:rPr>
          <w:spacing w:val="-12"/>
          <w:w w:val="110"/>
        </w:rPr>
        <w:t> </w:t>
      </w:r>
      <w:r>
        <w:rPr>
          <w:w w:val="110"/>
        </w:rPr>
        <w:t>de</w:t>
      </w:r>
      <w:r>
        <w:rPr>
          <w:spacing w:val="-12"/>
          <w:w w:val="110"/>
        </w:rPr>
        <w:t> </w:t>
      </w:r>
      <w:r>
        <w:rPr>
          <w:w w:val="110"/>
        </w:rPr>
        <w:t>personas</w:t>
      </w:r>
      <w:r>
        <w:rPr>
          <w:spacing w:val="-12"/>
          <w:w w:val="110"/>
        </w:rPr>
        <w:t> </w:t>
      </w:r>
      <w:r>
        <w:rPr>
          <w:w w:val="110"/>
        </w:rPr>
        <w:t>en</w:t>
      </w:r>
      <w:r>
        <w:rPr>
          <w:spacing w:val="-12"/>
          <w:w w:val="110"/>
        </w:rPr>
        <w:t> </w:t>
      </w:r>
      <w:r>
        <w:rPr>
          <w:w w:val="110"/>
        </w:rPr>
        <w:t>diferentes </w:t>
      </w:r>
      <w:r>
        <w:rPr>
          <w:w w:val="115"/>
        </w:rPr>
        <w:t>ciudades</w:t>
      </w:r>
      <w:r>
        <w:rPr>
          <w:spacing w:val="-33"/>
          <w:w w:val="115"/>
        </w:rPr>
        <w:t> </w:t>
      </w:r>
      <w:r>
        <w:rPr>
          <w:w w:val="115"/>
        </w:rPr>
        <w:t>estadounidenses</w:t>
      </w:r>
      <w:r>
        <w:rPr>
          <w:spacing w:val="-33"/>
          <w:w w:val="115"/>
        </w:rPr>
        <w:t> </w:t>
      </w:r>
      <w:r>
        <w:rPr>
          <w:w w:val="115"/>
        </w:rPr>
        <w:t>(</w:t>
      </w:r>
      <w:r>
        <w:rPr>
          <w:i/>
          <w:w w:val="115"/>
        </w:rPr>
        <w:t>Ibíd.</w:t>
      </w:r>
      <w:r>
        <w:rPr>
          <w:w w:val="115"/>
        </w:rPr>
        <w:t>:</w:t>
      </w:r>
      <w:r>
        <w:rPr>
          <w:spacing w:val="-33"/>
          <w:w w:val="115"/>
        </w:rPr>
        <w:t> </w:t>
      </w:r>
      <w:r>
        <w:rPr>
          <w:w w:val="115"/>
        </w:rPr>
        <w:t>235).</w:t>
      </w:r>
      <w:r>
        <w:rPr>
          <w:spacing w:val="-33"/>
          <w:w w:val="115"/>
        </w:rPr>
        <w:t> </w:t>
      </w:r>
      <w:r>
        <w:rPr>
          <w:w w:val="115"/>
        </w:rPr>
        <w:t>además,</w:t>
      </w:r>
      <w:r>
        <w:rPr>
          <w:spacing w:val="-33"/>
          <w:w w:val="115"/>
        </w:rPr>
        <w:t> </w:t>
      </w:r>
      <w:r>
        <w:rPr>
          <w:w w:val="115"/>
        </w:rPr>
        <w:t>si</w:t>
      </w:r>
      <w:r>
        <w:rPr>
          <w:spacing w:val="-33"/>
          <w:w w:val="115"/>
        </w:rPr>
        <w:t> </w:t>
      </w:r>
      <w:r>
        <w:rPr>
          <w:w w:val="115"/>
        </w:rPr>
        <w:t>bien</w:t>
      </w:r>
      <w:r>
        <w:rPr>
          <w:spacing w:val="-33"/>
          <w:w w:val="115"/>
        </w:rPr>
        <w:t> </w:t>
      </w:r>
      <w:r>
        <w:rPr>
          <w:w w:val="115"/>
        </w:rPr>
        <w:t>se</w:t>
      </w:r>
      <w:r>
        <w:rPr>
          <w:spacing w:val="-33"/>
          <w:w w:val="115"/>
        </w:rPr>
        <w:t> </w:t>
      </w:r>
      <w:r>
        <w:rPr>
          <w:w w:val="115"/>
        </w:rPr>
        <w:t>piensa</w:t>
      </w:r>
      <w:r>
        <w:rPr>
          <w:spacing w:val="-33"/>
          <w:w w:val="115"/>
        </w:rPr>
        <w:t> </w:t>
      </w:r>
      <w:r>
        <w:rPr>
          <w:w w:val="115"/>
        </w:rPr>
        <w:t>que</w:t>
      </w:r>
      <w:r>
        <w:rPr>
          <w:spacing w:val="-33"/>
          <w:w w:val="115"/>
        </w:rPr>
        <w:t> </w:t>
      </w:r>
      <w:r>
        <w:rPr>
          <w:w w:val="115"/>
        </w:rPr>
        <w:t>la aversión</w:t>
      </w:r>
      <w:r>
        <w:rPr>
          <w:spacing w:val="-23"/>
          <w:w w:val="115"/>
        </w:rPr>
        <w:t> </w:t>
      </w:r>
      <w:r>
        <w:rPr>
          <w:w w:val="115"/>
        </w:rPr>
        <w:t>a</w:t>
      </w:r>
      <w:r>
        <w:rPr>
          <w:spacing w:val="-23"/>
          <w:w w:val="115"/>
        </w:rPr>
        <w:t> </w:t>
      </w:r>
      <w:r>
        <w:rPr>
          <w:w w:val="115"/>
        </w:rPr>
        <w:t>la</w:t>
      </w:r>
      <w:r>
        <w:rPr>
          <w:spacing w:val="-23"/>
          <w:w w:val="115"/>
        </w:rPr>
        <w:t> </w:t>
      </w:r>
      <w:r>
        <w:rPr>
          <w:w w:val="115"/>
        </w:rPr>
        <w:t>guerra</w:t>
      </w:r>
      <w:r>
        <w:rPr>
          <w:spacing w:val="-23"/>
          <w:w w:val="115"/>
        </w:rPr>
        <w:t> </w:t>
      </w:r>
      <w:r>
        <w:rPr>
          <w:w w:val="115"/>
        </w:rPr>
        <w:t>fue</w:t>
      </w:r>
      <w:r>
        <w:rPr>
          <w:spacing w:val="-23"/>
          <w:w w:val="115"/>
        </w:rPr>
        <w:t> </w:t>
      </w:r>
      <w:r>
        <w:rPr>
          <w:w w:val="115"/>
        </w:rPr>
        <w:t>particularmente</w:t>
      </w:r>
      <w:r>
        <w:rPr>
          <w:spacing w:val="-23"/>
          <w:w w:val="115"/>
        </w:rPr>
        <w:t> </w:t>
      </w:r>
      <w:r>
        <w:rPr>
          <w:w w:val="115"/>
        </w:rPr>
        <w:t>de</w:t>
      </w:r>
      <w:r>
        <w:rPr>
          <w:spacing w:val="-23"/>
          <w:w w:val="115"/>
        </w:rPr>
        <w:t> </w:t>
      </w:r>
      <w:r>
        <w:rPr>
          <w:w w:val="115"/>
        </w:rPr>
        <w:t>las</w:t>
      </w:r>
      <w:r>
        <w:rPr>
          <w:spacing w:val="-23"/>
          <w:w w:val="115"/>
        </w:rPr>
        <w:t> </w:t>
      </w:r>
      <w:r>
        <w:rPr>
          <w:w w:val="115"/>
        </w:rPr>
        <w:t>clases</w:t>
      </w:r>
      <w:r>
        <w:rPr>
          <w:spacing w:val="-23"/>
          <w:w w:val="115"/>
        </w:rPr>
        <w:t> </w:t>
      </w:r>
      <w:r>
        <w:rPr>
          <w:w w:val="115"/>
        </w:rPr>
        <w:t>medias,</w:t>
      </w:r>
      <w:r>
        <w:rPr>
          <w:spacing w:val="-23"/>
          <w:w w:val="115"/>
        </w:rPr>
        <w:t> </w:t>
      </w:r>
      <w:r>
        <w:rPr>
          <w:w w:val="115"/>
        </w:rPr>
        <w:t>hay</w:t>
      </w:r>
      <w:r>
        <w:rPr>
          <w:spacing w:val="-23"/>
          <w:w w:val="115"/>
        </w:rPr>
        <w:t> </w:t>
      </w:r>
      <w:r>
        <w:rPr>
          <w:w w:val="115"/>
        </w:rPr>
        <w:t>que </w:t>
      </w:r>
      <w:r>
        <w:rPr>
          <w:w w:val="110"/>
        </w:rPr>
        <w:t>recordar</w:t>
      </w:r>
      <w:r>
        <w:rPr>
          <w:spacing w:val="-6"/>
          <w:w w:val="110"/>
        </w:rPr>
        <w:t> </w:t>
      </w:r>
      <w:r>
        <w:rPr>
          <w:w w:val="110"/>
        </w:rPr>
        <w:t>que</w:t>
      </w:r>
      <w:r>
        <w:rPr>
          <w:spacing w:val="-6"/>
          <w:w w:val="110"/>
        </w:rPr>
        <w:t> </w:t>
      </w:r>
      <w:r>
        <w:rPr>
          <w:w w:val="110"/>
        </w:rPr>
        <w:t>tuvo</w:t>
      </w:r>
      <w:r>
        <w:rPr>
          <w:spacing w:val="-6"/>
          <w:w w:val="110"/>
        </w:rPr>
        <w:t> </w:t>
      </w:r>
      <w:r>
        <w:rPr>
          <w:w w:val="110"/>
        </w:rPr>
        <w:t>especial</w:t>
      </w:r>
      <w:r>
        <w:rPr>
          <w:spacing w:val="-6"/>
          <w:w w:val="110"/>
        </w:rPr>
        <w:t> </w:t>
      </w:r>
      <w:r>
        <w:rPr>
          <w:w w:val="110"/>
        </w:rPr>
        <w:t>arraigo</w:t>
      </w:r>
      <w:r>
        <w:rPr>
          <w:spacing w:val="-6"/>
          <w:w w:val="110"/>
        </w:rPr>
        <w:t> </w:t>
      </w:r>
      <w:r>
        <w:rPr>
          <w:w w:val="110"/>
        </w:rPr>
        <w:t>en</w:t>
      </w:r>
      <w:r>
        <w:rPr>
          <w:spacing w:val="-6"/>
          <w:w w:val="110"/>
        </w:rPr>
        <w:t> </w:t>
      </w:r>
      <w:r>
        <w:rPr>
          <w:w w:val="110"/>
        </w:rPr>
        <w:t>la</w:t>
      </w:r>
      <w:r>
        <w:rPr>
          <w:spacing w:val="-6"/>
          <w:w w:val="110"/>
        </w:rPr>
        <w:t> </w:t>
      </w:r>
      <w:r>
        <w:rPr>
          <w:w w:val="110"/>
        </w:rPr>
        <w:t>clase</w:t>
      </w:r>
      <w:r>
        <w:rPr>
          <w:spacing w:val="-6"/>
          <w:w w:val="110"/>
        </w:rPr>
        <w:t> </w:t>
      </w:r>
      <w:r>
        <w:rPr>
          <w:w w:val="110"/>
        </w:rPr>
        <w:t>obrera</w:t>
      </w:r>
      <w:r>
        <w:rPr>
          <w:spacing w:val="-6"/>
          <w:w w:val="110"/>
        </w:rPr>
        <w:t> </w:t>
      </w:r>
      <w:r>
        <w:rPr>
          <w:w w:val="110"/>
        </w:rPr>
        <w:t>(</w:t>
      </w:r>
      <w:r>
        <w:rPr>
          <w:i/>
          <w:w w:val="110"/>
        </w:rPr>
        <w:t>Ibíd.</w:t>
      </w:r>
      <w:r>
        <w:rPr>
          <w:w w:val="110"/>
        </w:rPr>
        <w:t>:</w:t>
      </w:r>
      <w:r>
        <w:rPr>
          <w:spacing w:val="-6"/>
          <w:w w:val="110"/>
        </w:rPr>
        <w:t> </w:t>
      </w:r>
      <w:r>
        <w:rPr>
          <w:w w:val="110"/>
        </w:rPr>
        <w:t>236-237).</w:t>
      </w:r>
    </w:p>
    <w:p>
      <w:pPr>
        <w:pStyle w:val="BodyText"/>
        <w:spacing w:line="252" w:lineRule="auto"/>
        <w:ind w:left="120" w:right="328" w:firstLine="396"/>
        <w:jc w:val="right"/>
      </w:pPr>
      <w:r>
        <w:rPr>
          <w:w w:val="110"/>
        </w:rPr>
        <w:t>sin dudas, la manifestación en Kent (ohio) de mayo de 1970,</w:t>
      </w:r>
      <w:r>
        <w:rPr>
          <w:spacing w:val="37"/>
          <w:w w:val="110"/>
        </w:rPr>
        <w:t> </w:t>
      </w:r>
      <w:r>
        <w:rPr>
          <w:w w:val="110"/>
        </w:rPr>
        <w:t>es</w:t>
      </w:r>
      <w:r>
        <w:rPr>
          <w:spacing w:val="3"/>
          <w:w w:val="110"/>
        </w:rPr>
        <w:t> </w:t>
      </w:r>
      <w:r>
        <w:rPr>
          <w:w w:val="110"/>
        </w:rPr>
        <w:t>el</w:t>
      </w:r>
      <w:r>
        <w:rPr>
          <w:spacing w:val="-2"/>
          <w:w w:val="105"/>
        </w:rPr>
        <w:t> </w:t>
      </w:r>
      <w:r>
        <w:rPr>
          <w:w w:val="110"/>
        </w:rPr>
        <w:t>caso</w:t>
      </w:r>
      <w:r>
        <w:rPr>
          <w:spacing w:val="-5"/>
          <w:w w:val="110"/>
        </w:rPr>
        <w:t> </w:t>
      </w:r>
      <w:r>
        <w:rPr>
          <w:w w:val="110"/>
        </w:rPr>
        <w:t>paradigmático</w:t>
      </w:r>
      <w:r>
        <w:rPr>
          <w:spacing w:val="-5"/>
          <w:w w:val="110"/>
        </w:rPr>
        <w:t> </w:t>
      </w:r>
      <w:r>
        <w:rPr>
          <w:w w:val="110"/>
        </w:rPr>
        <w:t>de</w:t>
      </w:r>
      <w:r>
        <w:rPr>
          <w:spacing w:val="-5"/>
          <w:w w:val="110"/>
        </w:rPr>
        <w:t> </w:t>
      </w:r>
      <w:r>
        <w:rPr>
          <w:w w:val="110"/>
        </w:rPr>
        <w:t>represión</w:t>
      </w:r>
      <w:r>
        <w:rPr>
          <w:spacing w:val="-5"/>
          <w:w w:val="110"/>
        </w:rPr>
        <w:t> </w:t>
      </w:r>
      <w:r>
        <w:rPr>
          <w:w w:val="110"/>
        </w:rPr>
        <w:t>contra</w:t>
      </w:r>
      <w:r>
        <w:rPr>
          <w:spacing w:val="-5"/>
          <w:w w:val="110"/>
        </w:rPr>
        <w:t> </w:t>
      </w:r>
      <w:r>
        <w:rPr>
          <w:w w:val="110"/>
        </w:rPr>
        <w:t>el</w:t>
      </w:r>
      <w:r>
        <w:rPr>
          <w:spacing w:val="-5"/>
          <w:w w:val="110"/>
        </w:rPr>
        <w:t> </w:t>
      </w:r>
      <w:r>
        <w:rPr>
          <w:w w:val="110"/>
        </w:rPr>
        <w:t>movimiento</w:t>
      </w:r>
      <w:r>
        <w:rPr>
          <w:spacing w:val="-5"/>
          <w:w w:val="110"/>
        </w:rPr>
        <w:t> </w:t>
      </w:r>
      <w:r>
        <w:rPr>
          <w:w w:val="110"/>
        </w:rPr>
        <w:t>opositor</w:t>
      </w:r>
      <w:r>
        <w:rPr>
          <w:spacing w:val="-5"/>
          <w:w w:val="110"/>
        </w:rPr>
        <w:t> </w:t>
      </w:r>
      <w:r>
        <w:rPr>
          <w:w w:val="110"/>
        </w:rPr>
        <w:t>a</w:t>
      </w:r>
      <w:r>
        <w:rPr>
          <w:spacing w:val="-5"/>
          <w:w w:val="110"/>
        </w:rPr>
        <w:t> </w:t>
      </w:r>
      <w:r>
        <w:rPr>
          <w:spacing w:val="-4"/>
          <w:w w:val="110"/>
        </w:rPr>
        <w:t>Viet-</w:t>
      </w:r>
      <w:r>
        <w:rPr>
          <w:w w:val="101"/>
        </w:rPr>
        <w:t> </w:t>
      </w:r>
      <w:r>
        <w:rPr>
          <w:w w:val="110"/>
        </w:rPr>
        <w:t>nam, pues Guardias Nacionales dispararon contra la multitud</w:t>
      </w:r>
      <w:r>
        <w:rPr>
          <w:spacing w:val="10"/>
          <w:w w:val="110"/>
        </w:rPr>
        <w:t> </w:t>
      </w:r>
      <w:r>
        <w:rPr>
          <w:w w:val="110"/>
        </w:rPr>
        <w:t>y</w:t>
      </w:r>
      <w:r>
        <w:rPr>
          <w:spacing w:val="7"/>
          <w:w w:val="110"/>
        </w:rPr>
        <w:t> </w:t>
      </w:r>
      <w:r>
        <w:rPr>
          <w:w w:val="110"/>
        </w:rPr>
        <w:t>mata-</w:t>
      </w:r>
      <w:r>
        <w:rPr>
          <w:w w:val="101"/>
        </w:rPr>
        <w:t> </w:t>
      </w:r>
      <w:r>
        <w:rPr>
          <w:w w:val="110"/>
        </w:rPr>
        <w:t>ron a cuatro estudiantes. a partir de ese momento, entraron en</w:t>
      </w:r>
      <w:r>
        <w:rPr>
          <w:spacing w:val="34"/>
          <w:w w:val="110"/>
        </w:rPr>
        <w:t> </w:t>
      </w:r>
      <w:r>
        <w:rPr>
          <w:w w:val="110"/>
        </w:rPr>
        <w:t>paro</w:t>
      </w:r>
      <w:r>
        <w:rPr>
          <w:spacing w:val="3"/>
          <w:w w:val="110"/>
        </w:rPr>
        <w:t> </w:t>
      </w:r>
      <w:r>
        <w:rPr>
          <w:w w:val="110"/>
        </w:rPr>
        <w:t>y</w:t>
      </w:r>
      <w:r>
        <w:rPr>
          <w:w w:val="104"/>
        </w:rPr>
        <w:t> </w:t>
      </w:r>
      <w:r>
        <w:rPr>
          <w:w w:val="110"/>
        </w:rPr>
        <w:t>se</w:t>
      </w:r>
      <w:r>
        <w:rPr>
          <w:spacing w:val="-30"/>
          <w:w w:val="110"/>
        </w:rPr>
        <w:t> </w:t>
      </w:r>
      <w:r>
        <w:rPr>
          <w:w w:val="110"/>
        </w:rPr>
        <w:t>movilizaron</w:t>
      </w:r>
      <w:r>
        <w:rPr>
          <w:spacing w:val="-30"/>
          <w:w w:val="110"/>
        </w:rPr>
        <w:t> </w:t>
      </w:r>
      <w:r>
        <w:rPr>
          <w:w w:val="110"/>
        </w:rPr>
        <w:t>estudiantes</w:t>
      </w:r>
      <w:r>
        <w:rPr>
          <w:spacing w:val="-30"/>
          <w:w w:val="110"/>
        </w:rPr>
        <w:t> </w:t>
      </w:r>
      <w:r>
        <w:rPr>
          <w:w w:val="110"/>
        </w:rPr>
        <w:t>de</w:t>
      </w:r>
      <w:r>
        <w:rPr>
          <w:spacing w:val="-30"/>
          <w:w w:val="110"/>
        </w:rPr>
        <w:t> </w:t>
      </w:r>
      <w:r>
        <w:rPr>
          <w:w w:val="110"/>
        </w:rPr>
        <w:t>400</w:t>
      </w:r>
      <w:r>
        <w:rPr>
          <w:spacing w:val="-30"/>
          <w:w w:val="110"/>
        </w:rPr>
        <w:t> </w:t>
      </w:r>
      <w:r>
        <w:rPr>
          <w:w w:val="110"/>
        </w:rPr>
        <w:t>escuelas</w:t>
      </w:r>
      <w:r>
        <w:rPr>
          <w:spacing w:val="-30"/>
          <w:w w:val="110"/>
        </w:rPr>
        <w:t> </w:t>
      </w:r>
      <w:r>
        <w:rPr>
          <w:w w:val="110"/>
        </w:rPr>
        <w:t>secundarias</w:t>
      </w:r>
      <w:r>
        <w:rPr>
          <w:spacing w:val="-30"/>
          <w:w w:val="110"/>
        </w:rPr>
        <w:t> </w:t>
      </w:r>
      <w:r>
        <w:rPr>
          <w:w w:val="110"/>
        </w:rPr>
        <w:t>y</w:t>
      </w:r>
      <w:r>
        <w:rPr>
          <w:spacing w:val="-30"/>
          <w:w w:val="110"/>
        </w:rPr>
        <w:t> </w:t>
      </w:r>
      <w:r>
        <w:rPr>
          <w:w w:val="110"/>
        </w:rPr>
        <w:t>universidades.</w:t>
      </w:r>
      <w:r>
        <w:rPr>
          <w:spacing w:val="-2"/>
          <w:w w:val="108"/>
        </w:rPr>
        <w:t> </w:t>
      </w:r>
      <w:r>
        <w:rPr>
          <w:w w:val="110"/>
        </w:rPr>
        <w:t>Fue</w:t>
      </w:r>
      <w:r>
        <w:rPr>
          <w:spacing w:val="-23"/>
          <w:w w:val="110"/>
        </w:rPr>
        <w:t> </w:t>
      </w:r>
      <w:r>
        <w:rPr>
          <w:w w:val="110"/>
        </w:rPr>
        <w:t>el</w:t>
      </w:r>
      <w:r>
        <w:rPr>
          <w:spacing w:val="-23"/>
          <w:w w:val="110"/>
        </w:rPr>
        <w:t> </w:t>
      </w:r>
      <w:r>
        <w:rPr>
          <w:w w:val="110"/>
        </w:rPr>
        <w:t>primer</w:t>
      </w:r>
      <w:r>
        <w:rPr>
          <w:spacing w:val="-23"/>
          <w:w w:val="110"/>
        </w:rPr>
        <w:t> </w:t>
      </w:r>
      <w:r>
        <w:rPr>
          <w:w w:val="110"/>
        </w:rPr>
        <w:t>paro</w:t>
      </w:r>
      <w:r>
        <w:rPr>
          <w:spacing w:val="-23"/>
          <w:w w:val="110"/>
        </w:rPr>
        <w:t> </w:t>
      </w:r>
      <w:r>
        <w:rPr>
          <w:w w:val="110"/>
        </w:rPr>
        <w:t>general</w:t>
      </w:r>
      <w:r>
        <w:rPr>
          <w:spacing w:val="-23"/>
          <w:w w:val="110"/>
        </w:rPr>
        <w:t> </w:t>
      </w:r>
      <w:r>
        <w:rPr>
          <w:w w:val="110"/>
        </w:rPr>
        <w:t>de</w:t>
      </w:r>
      <w:r>
        <w:rPr>
          <w:spacing w:val="-23"/>
          <w:w w:val="110"/>
        </w:rPr>
        <w:t> </w:t>
      </w:r>
      <w:r>
        <w:rPr>
          <w:w w:val="110"/>
        </w:rPr>
        <w:t>estudiantes</w:t>
      </w:r>
      <w:r>
        <w:rPr>
          <w:spacing w:val="-23"/>
          <w:w w:val="110"/>
        </w:rPr>
        <w:t> </w:t>
      </w:r>
      <w:r>
        <w:rPr>
          <w:w w:val="110"/>
        </w:rPr>
        <w:t>en</w:t>
      </w:r>
      <w:r>
        <w:rPr>
          <w:spacing w:val="-23"/>
          <w:w w:val="110"/>
        </w:rPr>
        <w:t> </w:t>
      </w:r>
      <w:r>
        <w:rPr>
          <w:w w:val="110"/>
        </w:rPr>
        <w:t>Estados</w:t>
      </w:r>
      <w:r>
        <w:rPr>
          <w:spacing w:val="-23"/>
          <w:w w:val="110"/>
        </w:rPr>
        <w:t> </w:t>
      </w:r>
      <w:r>
        <w:rPr>
          <w:w w:val="110"/>
        </w:rPr>
        <w:t>unidos</w:t>
      </w:r>
      <w:r>
        <w:rPr>
          <w:spacing w:val="-23"/>
          <w:w w:val="110"/>
        </w:rPr>
        <w:t> </w:t>
      </w:r>
      <w:r>
        <w:rPr>
          <w:w w:val="110"/>
        </w:rPr>
        <w:t>(</w:t>
      </w:r>
      <w:r>
        <w:rPr>
          <w:i/>
          <w:w w:val="110"/>
        </w:rPr>
        <w:t>Ibíd.</w:t>
      </w:r>
      <w:r>
        <w:rPr>
          <w:w w:val="110"/>
        </w:rPr>
        <w:t>:</w:t>
      </w:r>
      <w:r>
        <w:rPr>
          <w:spacing w:val="-23"/>
          <w:w w:val="110"/>
        </w:rPr>
        <w:t> </w:t>
      </w:r>
      <w:r>
        <w:rPr>
          <w:w w:val="110"/>
        </w:rPr>
        <w:t>240).</w:t>
      </w:r>
      <w:r>
        <w:rPr>
          <w:spacing w:val="-2"/>
          <w:w w:val="104"/>
        </w:rPr>
        <w:t> </w:t>
      </w:r>
      <w:r>
        <w:rPr>
          <w:w w:val="110"/>
        </w:rPr>
        <w:t>otra</w:t>
      </w:r>
      <w:r>
        <w:rPr>
          <w:spacing w:val="-4"/>
          <w:w w:val="110"/>
        </w:rPr>
        <w:t> </w:t>
      </w:r>
      <w:r>
        <w:rPr>
          <w:w w:val="110"/>
        </w:rPr>
        <w:t>de</w:t>
      </w:r>
      <w:r>
        <w:rPr>
          <w:spacing w:val="-4"/>
          <w:w w:val="110"/>
        </w:rPr>
        <w:t> </w:t>
      </w:r>
      <w:r>
        <w:rPr>
          <w:w w:val="110"/>
        </w:rPr>
        <w:t>las</w:t>
      </w:r>
      <w:r>
        <w:rPr>
          <w:spacing w:val="-4"/>
          <w:w w:val="110"/>
        </w:rPr>
        <w:t> </w:t>
      </w:r>
      <w:r>
        <w:rPr>
          <w:w w:val="110"/>
        </w:rPr>
        <w:t>cuestiones</w:t>
      </w:r>
      <w:r>
        <w:rPr>
          <w:spacing w:val="-4"/>
          <w:w w:val="110"/>
        </w:rPr>
        <w:t> </w:t>
      </w:r>
      <w:r>
        <w:rPr>
          <w:w w:val="110"/>
        </w:rPr>
        <w:t>que</w:t>
      </w:r>
      <w:r>
        <w:rPr>
          <w:spacing w:val="-4"/>
          <w:w w:val="110"/>
        </w:rPr>
        <w:t> </w:t>
      </w:r>
      <w:r>
        <w:rPr>
          <w:w w:val="110"/>
        </w:rPr>
        <w:t>marcó</w:t>
      </w:r>
      <w:r>
        <w:rPr>
          <w:spacing w:val="-4"/>
          <w:w w:val="110"/>
        </w:rPr>
        <w:t> </w:t>
      </w:r>
      <w:r>
        <w:rPr>
          <w:w w:val="110"/>
        </w:rPr>
        <w:t>a</w:t>
      </w:r>
      <w:r>
        <w:rPr>
          <w:spacing w:val="-4"/>
          <w:w w:val="110"/>
        </w:rPr>
        <w:t> </w:t>
      </w:r>
      <w:r>
        <w:rPr>
          <w:w w:val="110"/>
        </w:rPr>
        <w:t>la</w:t>
      </w:r>
      <w:r>
        <w:rPr>
          <w:spacing w:val="-4"/>
          <w:w w:val="110"/>
        </w:rPr>
        <w:t> </w:t>
      </w:r>
      <w:r>
        <w:rPr>
          <w:w w:val="110"/>
        </w:rPr>
        <w:t>guerra</w:t>
      </w:r>
      <w:r>
        <w:rPr>
          <w:spacing w:val="-4"/>
          <w:w w:val="110"/>
        </w:rPr>
        <w:t> </w:t>
      </w:r>
      <w:r>
        <w:rPr>
          <w:w w:val="110"/>
        </w:rPr>
        <w:t>(y</w:t>
      </w:r>
      <w:r>
        <w:rPr>
          <w:spacing w:val="-4"/>
          <w:w w:val="110"/>
        </w:rPr>
        <w:t> </w:t>
      </w:r>
      <w:r>
        <w:rPr>
          <w:w w:val="110"/>
        </w:rPr>
        <w:t>la</w:t>
      </w:r>
      <w:r>
        <w:rPr>
          <w:spacing w:val="-4"/>
          <w:w w:val="110"/>
        </w:rPr>
        <w:t> </w:t>
      </w:r>
      <w:r>
        <w:rPr>
          <w:w w:val="110"/>
        </w:rPr>
        <w:t>oposición</w:t>
      </w:r>
      <w:r>
        <w:rPr>
          <w:spacing w:val="-4"/>
          <w:w w:val="110"/>
        </w:rPr>
        <w:t> </w:t>
      </w:r>
      <w:r>
        <w:rPr>
          <w:w w:val="110"/>
        </w:rPr>
        <w:t>a</w:t>
      </w:r>
      <w:r>
        <w:rPr>
          <w:spacing w:val="-4"/>
          <w:w w:val="110"/>
        </w:rPr>
        <w:t> </w:t>
      </w:r>
      <w:r>
        <w:rPr>
          <w:w w:val="110"/>
        </w:rPr>
        <w:t>ella),</w:t>
      </w:r>
    </w:p>
    <w:p>
      <w:pPr>
        <w:pStyle w:val="BodyText"/>
        <w:spacing w:line="252" w:lineRule="auto"/>
        <w:ind w:left="120" w:right="327"/>
        <w:jc w:val="both"/>
        <w:rPr>
          <w:sz w:val="11"/>
        </w:rPr>
      </w:pPr>
      <w:r>
        <w:rPr>
          <w:w w:val="110"/>
        </w:rPr>
        <w:t>fue</w:t>
      </w:r>
      <w:r>
        <w:rPr>
          <w:spacing w:val="-5"/>
          <w:w w:val="110"/>
        </w:rPr>
        <w:t> </w:t>
      </w:r>
      <w:r>
        <w:rPr>
          <w:w w:val="110"/>
        </w:rPr>
        <w:t>la</w:t>
      </w:r>
      <w:r>
        <w:rPr>
          <w:spacing w:val="-5"/>
          <w:w w:val="110"/>
        </w:rPr>
        <w:t> </w:t>
      </w:r>
      <w:r>
        <w:rPr>
          <w:w w:val="110"/>
        </w:rPr>
        <w:t>protesta</w:t>
      </w:r>
      <w:r>
        <w:rPr>
          <w:spacing w:val="-5"/>
          <w:w w:val="110"/>
        </w:rPr>
        <w:t> </w:t>
      </w:r>
      <w:r>
        <w:rPr>
          <w:w w:val="110"/>
        </w:rPr>
        <w:t>de</w:t>
      </w:r>
      <w:r>
        <w:rPr>
          <w:spacing w:val="-5"/>
          <w:w w:val="110"/>
        </w:rPr>
        <w:t> </w:t>
      </w:r>
      <w:r>
        <w:rPr>
          <w:w w:val="110"/>
        </w:rPr>
        <w:t>los</w:t>
      </w:r>
      <w:r>
        <w:rPr>
          <w:spacing w:val="-5"/>
          <w:w w:val="110"/>
        </w:rPr>
        <w:t> </w:t>
      </w:r>
      <w:r>
        <w:rPr>
          <w:w w:val="110"/>
        </w:rPr>
        <w:t>soldados</w:t>
      </w:r>
      <w:r>
        <w:rPr>
          <w:spacing w:val="-5"/>
          <w:w w:val="110"/>
        </w:rPr>
        <w:t> </w:t>
      </w:r>
      <w:r>
        <w:rPr>
          <w:w w:val="110"/>
        </w:rPr>
        <w:t>estadounidenses</w:t>
      </w:r>
      <w:r>
        <w:rPr>
          <w:spacing w:val="-5"/>
          <w:w w:val="110"/>
        </w:rPr>
        <w:t> </w:t>
      </w:r>
      <w:r>
        <w:rPr>
          <w:w w:val="110"/>
        </w:rPr>
        <w:t>a</w:t>
      </w:r>
      <w:r>
        <w:rPr>
          <w:spacing w:val="-5"/>
          <w:w w:val="110"/>
        </w:rPr>
        <w:t> </w:t>
      </w:r>
      <w:r>
        <w:rPr>
          <w:w w:val="110"/>
        </w:rPr>
        <w:t>nivel</w:t>
      </w:r>
      <w:r>
        <w:rPr>
          <w:spacing w:val="-5"/>
          <w:w w:val="110"/>
        </w:rPr>
        <w:t> </w:t>
      </w:r>
      <w:r>
        <w:rPr>
          <w:w w:val="110"/>
        </w:rPr>
        <w:t>nacional</w:t>
      </w:r>
      <w:r>
        <w:rPr>
          <w:spacing w:val="-5"/>
          <w:w w:val="110"/>
        </w:rPr>
        <w:t> </w:t>
      </w:r>
      <w:r>
        <w:rPr>
          <w:w w:val="110"/>
        </w:rPr>
        <w:t>y</w:t>
      </w:r>
      <w:r>
        <w:rPr>
          <w:spacing w:val="-5"/>
          <w:w w:val="110"/>
        </w:rPr>
        <w:t> </w:t>
      </w:r>
      <w:r>
        <w:rPr>
          <w:w w:val="110"/>
        </w:rPr>
        <w:t>en</w:t>
      </w:r>
      <w:r>
        <w:rPr>
          <w:spacing w:val="-5"/>
          <w:w w:val="110"/>
        </w:rPr>
        <w:t> </w:t>
      </w:r>
      <w:r>
        <w:rPr>
          <w:w w:val="110"/>
        </w:rPr>
        <w:t>el campo de batalla. En su declaración de principios, el movimiento de </w:t>
      </w:r>
      <w:r>
        <w:rPr>
          <w:spacing w:val="-4"/>
          <w:w w:val="110"/>
        </w:rPr>
        <w:t>Gi’s </w:t>
      </w:r>
      <w:r>
        <w:rPr>
          <w:w w:val="110"/>
        </w:rPr>
        <w:t>en contra de la guerra sentenciaba: “Nosotros, como Gis, somos forzados a sufrir más que nadie el fiasco de Vietnam. Muchos de noso- tros fuimos incorporados al ejército aún en contra de nuestra volun- tad –la mayoría fuimos apresados en sus garras en contra de nuestra voluntad– todo para llevar a cabo esta guerra ilegal, inmoral e injusta. Fuimos forzados a luchar y morir en una guerra que nosotros no crea- mos y en la que no creemos […] Esto es sin mencionar las decenas     de miles de vietnamitas inocentes que están muriendo en nuestras manos, muchos de ellos asesinados por el simple hecho de que ya no sabemos distinguir entre ellos y nuestros ‘enemigos’” (Counterpoint, </w:t>
      </w:r>
      <w:r>
        <w:rPr>
          <w:w w:val="104"/>
        </w:rPr>
        <w:t>1969).</w:t>
      </w:r>
      <w:r>
        <w:rPr/>
        <w:t> </w:t>
      </w:r>
      <w:r>
        <w:rPr>
          <w:spacing w:val="-15"/>
        </w:rPr>
        <w:t> </w:t>
      </w:r>
      <w:r>
        <w:rPr>
          <w:w w:val="243"/>
        </w:rPr>
        <w:t>l</w:t>
      </w:r>
      <w:r>
        <w:rPr>
          <w:w w:val="108"/>
        </w:rPr>
        <w:t>os</w:t>
      </w:r>
      <w:r>
        <w:rPr/>
        <w:t> </w:t>
      </w:r>
      <w:r>
        <w:rPr>
          <w:spacing w:val="-15"/>
        </w:rPr>
        <w:t> </w:t>
      </w:r>
      <w:r>
        <w:rPr>
          <w:w w:val="130"/>
        </w:rPr>
        <w:t>G</w:t>
      </w:r>
      <w:r>
        <w:rPr>
          <w:w w:val="142"/>
        </w:rPr>
        <w:t>i</w:t>
      </w:r>
      <w:r>
        <w:rPr/>
        <w:t> </w:t>
      </w:r>
      <w:r>
        <w:rPr>
          <w:spacing w:val="-15"/>
        </w:rPr>
        <w:t> </w:t>
      </w:r>
      <w:r>
        <w:rPr>
          <w:w w:val="111"/>
        </w:rPr>
        <w:t>no</w:t>
      </w:r>
      <w:r>
        <w:rPr/>
        <w:t> </w:t>
      </w:r>
      <w:r>
        <w:rPr>
          <w:spacing w:val="-15"/>
        </w:rPr>
        <w:t> </w:t>
      </w:r>
      <w:r>
        <w:rPr>
          <w:w w:val="109"/>
        </w:rPr>
        <w:t>sólo</w:t>
      </w:r>
      <w:r>
        <w:rPr/>
        <w:t> </w:t>
      </w:r>
      <w:r>
        <w:rPr>
          <w:spacing w:val="-15"/>
        </w:rPr>
        <w:t> </w:t>
      </w:r>
      <w:r>
        <w:rPr>
          <w:w w:val="105"/>
        </w:rPr>
        <w:t>se</w:t>
      </w:r>
      <w:r>
        <w:rPr/>
        <w:t> </w:t>
      </w:r>
      <w:r>
        <w:rPr>
          <w:spacing w:val="-15"/>
        </w:rPr>
        <w:t> </w:t>
      </w:r>
      <w:r>
        <w:rPr>
          <w:w w:val="110"/>
        </w:rPr>
        <w:t>manifestaron</w:t>
      </w:r>
      <w:r>
        <w:rPr/>
        <w:t> </w:t>
      </w:r>
      <w:r>
        <w:rPr>
          <w:spacing w:val="-15"/>
        </w:rPr>
        <w:t> </w:t>
      </w:r>
      <w:r>
        <w:rPr>
          <w:w w:val="111"/>
        </w:rPr>
        <w:t>públicamente,</w:t>
      </w:r>
      <w:r>
        <w:rPr/>
        <w:t> </w:t>
      </w:r>
      <w:r>
        <w:rPr>
          <w:spacing w:val="-15"/>
        </w:rPr>
        <w:t> </w:t>
      </w:r>
      <w:r>
        <w:rPr>
          <w:w w:val="110"/>
        </w:rPr>
        <w:t>sino</w:t>
      </w:r>
      <w:r>
        <w:rPr/>
        <w:t> </w:t>
      </w:r>
      <w:r>
        <w:rPr>
          <w:spacing w:val="-15"/>
        </w:rPr>
        <w:t> </w:t>
      </w:r>
      <w:r>
        <w:rPr>
          <w:w w:val="108"/>
        </w:rPr>
        <w:t>que</w:t>
      </w:r>
      <w:r>
        <w:rPr/>
        <w:t> </w:t>
      </w:r>
      <w:r>
        <w:rPr>
          <w:spacing w:val="-15"/>
        </w:rPr>
        <w:t> </w:t>
      </w:r>
      <w:r>
        <w:rPr>
          <w:w w:val="108"/>
        </w:rPr>
        <w:t>desa</w:t>
      </w:r>
      <w:r>
        <w:rPr>
          <w:w w:val="102"/>
        </w:rPr>
        <w:t>- </w:t>
      </w:r>
      <w:r>
        <w:rPr>
          <w:w w:val="110"/>
        </w:rPr>
        <w:t>rrollaron diversos proyectos de prensa opositora a la guerra, así como la impresión y distribución de panfletos, que llevó a la cárcel a varios de sus mentores. En abril de 1971 fueron cientos de ex combatientes  a Washington –al Capitolio–, y allí uno por uno tiraron sus medallas (Zinn, 2003: 246). además, en 1967 se había creado la organización</w:t>
      </w:r>
      <w:r>
        <w:rPr>
          <w:spacing w:val="-25"/>
          <w:w w:val="110"/>
        </w:rPr>
        <w:t> </w:t>
      </w:r>
      <w:r>
        <w:rPr>
          <w:w w:val="110"/>
        </w:rPr>
        <w:t>de Veteranos de Vietnam en Contra de la Guerra, que empezó con seis ex combatientes marchando en contra de la guerra, sumando posterior- mente más de 30.000</w:t>
      </w:r>
      <w:r>
        <w:rPr>
          <w:spacing w:val="5"/>
          <w:w w:val="110"/>
        </w:rPr>
        <w:t> </w:t>
      </w:r>
      <w:r>
        <w:rPr>
          <w:w w:val="110"/>
        </w:rPr>
        <w:t>miembros.</w:t>
      </w:r>
      <w:r>
        <w:rPr>
          <w:w w:val="110"/>
          <w:position w:val="6"/>
          <w:sz w:val="11"/>
        </w:rPr>
        <w:t>9</w:t>
      </w:r>
    </w:p>
    <w:p>
      <w:pPr>
        <w:pStyle w:val="BodyText"/>
        <w:spacing w:before="4"/>
      </w:pPr>
      <w:r>
        <w:rPr/>
        <w:pict>
          <v:line style="position:absolute;mso-position-horizontal-relative:page;mso-position-vertical-relative:paragraph;z-index:7024;mso-wrap-distance-left:0;mso-wrap-distance-right:0" from="51.023602pt,13.558232pt" to="79.369602pt,13.558232pt" stroked="true" strokeweight=".5pt" strokecolor="#000000">
            <w10:wrap type="topAndBottom"/>
          </v:line>
        </w:pict>
      </w:r>
    </w:p>
    <w:p>
      <w:pPr>
        <w:pStyle w:val="ListParagraph"/>
        <w:numPr>
          <w:ilvl w:val="0"/>
          <w:numId w:val="30"/>
        </w:numPr>
        <w:tabs>
          <w:tab w:pos="376" w:val="left" w:leader="none"/>
        </w:tabs>
        <w:spacing w:line="242" w:lineRule="auto" w:before="89" w:after="0"/>
        <w:ind w:left="120" w:right="328" w:firstLine="0"/>
        <w:jc w:val="left"/>
        <w:rPr>
          <w:sz w:val="16"/>
        </w:rPr>
      </w:pPr>
      <w:r>
        <w:rPr>
          <w:w w:val="110"/>
          <w:sz w:val="16"/>
        </w:rPr>
        <w:t>En la página web de este organismo puede leerse: </w:t>
      </w:r>
      <w:r>
        <w:rPr>
          <w:spacing w:val="-4"/>
          <w:w w:val="110"/>
          <w:sz w:val="16"/>
        </w:rPr>
        <w:t>“Hoy, </w:t>
      </w:r>
      <w:r>
        <w:rPr>
          <w:w w:val="110"/>
          <w:sz w:val="16"/>
        </w:rPr>
        <w:t>nuestro gobierno sigue financiando</w:t>
      </w:r>
      <w:r>
        <w:rPr>
          <w:spacing w:val="14"/>
          <w:w w:val="110"/>
          <w:sz w:val="16"/>
        </w:rPr>
        <w:t> </w:t>
      </w:r>
      <w:r>
        <w:rPr>
          <w:w w:val="110"/>
          <w:sz w:val="16"/>
        </w:rPr>
        <w:t>y</w:t>
      </w:r>
      <w:r>
        <w:rPr>
          <w:spacing w:val="14"/>
          <w:w w:val="110"/>
          <w:sz w:val="16"/>
        </w:rPr>
        <w:t> </w:t>
      </w:r>
      <w:r>
        <w:rPr>
          <w:w w:val="110"/>
          <w:sz w:val="16"/>
        </w:rPr>
        <w:t>brindando</w:t>
      </w:r>
      <w:r>
        <w:rPr>
          <w:spacing w:val="14"/>
          <w:w w:val="110"/>
          <w:sz w:val="16"/>
        </w:rPr>
        <w:t> </w:t>
      </w:r>
      <w:r>
        <w:rPr>
          <w:w w:val="110"/>
          <w:sz w:val="16"/>
        </w:rPr>
        <w:t>armas</w:t>
      </w:r>
      <w:r>
        <w:rPr>
          <w:spacing w:val="14"/>
          <w:w w:val="110"/>
          <w:sz w:val="16"/>
        </w:rPr>
        <w:t> </w:t>
      </w:r>
      <w:r>
        <w:rPr>
          <w:w w:val="110"/>
          <w:sz w:val="16"/>
        </w:rPr>
        <w:t>a</w:t>
      </w:r>
      <w:r>
        <w:rPr>
          <w:spacing w:val="14"/>
          <w:w w:val="110"/>
          <w:sz w:val="16"/>
        </w:rPr>
        <w:t> </w:t>
      </w:r>
      <w:r>
        <w:rPr>
          <w:w w:val="110"/>
          <w:sz w:val="16"/>
        </w:rPr>
        <w:t>regímenes</w:t>
      </w:r>
      <w:r>
        <w:rPr>
          <w:spacing w:val="14"/>
          <w:w w:val="110"/>
          <w:sz w:val="16"/>
        </w:rPr>
        <w:t> </w:t>
      </w:r>
      <w:r>
        <w:rPr>
          <w:w w:val="110"/>
          <w:sz w:val="16"/>
        </w:rPr>
        <w:t>no</w:t>
      </w:r>
      <w:r>
        <w:rPr>
          <w:spacing w:val="14"/>
          <w:w w:val="110"/>
          <w:sz w:val="16"/>
        </w:rPr>
        <w:t> </w:t>
      </w:r>
      <w:r>
        <w:rPr>
          <w:w w:val="110"/>
          <w:sz w:val="16"/>
        </w:rPr>
        <w:t>democráticos</w:t>
      </w:r>
      <w:r>
        <w:rPr>
          <w:spacing w:val="14"/>
          <w:w w:val="110"/>
          <w:sz w:val="16"/>
        </w:rPr>
        <w:t> </w:t>
      </w:r>
      <w:r>
        <w:rPr>
          <w:w w:val="110"/>
          <w:sz w:val="16"/>
        </w:rPr>
        <w:t>y</w:t>
      </w:r>
      <w:r>
        <w:rPr>
          <w:spacing w:val="14"/>
          <w:w w:val="110"/>
          <w:sz w:val="16"/>
        </w:rPr>
        <w:t> </w:t>
      </w:r>
      <w:r>
        <w:rPr>
          <w:w w:val="110"/>
          <w:sz w:val="16"/>
        </w:rPr>
        <w:t>represivos</w:t>
      </w:r>
      <w:r>
        <w:rPr>
          <w:spacing w:val="14"/>
          <w:w w:val="110"/>
          <w:sz w:val="16"/>
        </w:rPr>
        <w:t> </w:t>
      </w:r>
      <w:r>
        <w:rPr>
          <w:w w:val="110"/>
          <w:sz w:val="16"/>
        </w:rPr>
        <w:t>a</w:t>
      </w:r>
      <w:r>
        <w:rPr>
          <w:spacing w:val="14"/>
          <w:w w:val="110"/>
          <w:sz w:val="16"/>
        </w:rPr>
        <w:t> </w:t>
      </w:r>
      <w:r>
        <w:rPr>
          <w:w w:val="110"/>
          <w:sz w:val="16"/>
        </w:rPr>
        <w:t>nivel</w:t>
      </w:r>
    </w:p>
    <w:p>
      <w:pPr>
        <w:spacing w:after="0" w:line="242" w:lineRule="auto"/>
        <w:jc w:val="left"/>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5" w:firstLine="396"/>
        <w:jc w:val="both"/>
        <w:rPr>
          <w:sz w:val="11"/>
        </w:rPr>
      </w:pPr>
      <w:r>
        <w:rPr>
          <w:spacing w:val="1"/>
          <w:w w:val="243"/>
        </w:rPr>
        <w:t>l</w:t>
      </w:r>
      <w:r>
        <w:rPr>
          <w:w w:val="112"/>
        </w:rPr>
        <w:t>a</w:t>
      </w:r>
      <w:r>
        <w:rPr>
          <w:spacing w:val="7"/>
        </w:rPr>
        <w:t> </w:t>
      </w:r>
      <w:r>
        <w:rPr>
          <w:spacing w:val="1"/>
          <w:w w:val="112"/>
        </w:rPr>
        <w:t>crític</w:t>
      </w:r>
      <w:r>
        <w:rPr>
          <w:w w:val="112"/>
        </w:rPr>
        <w:t>a</w:t>
      </w:r>
      <w:r>
        <w:rPr>
          <w:spacing w:val="7"/>
        </w:rPr>
        <w:t> </w:t>
      </w:r>
      <w:r>
        <w:rPr>
          <w:spacing w:val="1"/>
          <w:w w:val="108"/>
        </w:rPr>
        <w:t>po</w:t>
      </w:r>
      <w:r>
        <w:rPr>
          <w:w w:val="108"/>
        </w:rPr>
        <w:t>r</w:t>
      </w:r>
      <w:r>
        <w:rPr>
          <w:spacing w:val="7"/>
        </w:rPr>
        <w:t> </w:t>
      </w:r>
      <w:r>
        <w:rPr>
          <w:spacing w:val="1"/>
          <w:w w:val="107"/>
        </w:rPr>
        <w:t>part</w:t>
      </w:r>
      <w:r>
        <w:rPr>
          <w:w w:val="107"/>
        </w:rPr>
        <w:t>e</w:t>
      </w:r>
      <w:r>
        <w:rPr>
          <w:spacing w:val="7"/>
        </w:rPr>
        <w:t> </w:t>
      </w:r>
      <w:r>
        <w:rPr>
          <w:spacing w:val="1"/>
          <w:w w:val="107"/>
        </w:rPr>
        <w:t>d</w:t>
      </w:r>
      <w:r>
        <w:rPr>
          <w:w w:val="107"/>
        </w:rPr>
        <w:t>e</w:t>
      </w:r>
      <w:r>
        <w:rPr>
          <w:spacing w:val="7"/>
        </w:rPr>
        <w:t> </w:t>
      </w:r>
      <w:r>
        <w:rPr>
          <w:spacing w:val="1"/>
          <w:w w:val="109"/>
        </w:rPr>
        <w:t>militare</w:t>
      </w:r>
      <w:r>
        <w:rPr>
          <w:w w:val="109"/>
        </w:rPr>
        <w:t>s</w:t>
      </w:r>
      <w:r>
        <w:rPr>
          <w:spacing w:val="7"/>
        </w:rPr>
        <w:t> </w:t>
      </w:r>
      <w:r>
        <w:rPr>
          <w:w w:val="112"/>
        </w:rPr>
        <w:t>a</w:t>
      </w:r>
      <w:r>
        <w:rPr>
          <w:spacing w:val="7"/>
        </w:rPr>
        <w:t> </w:t>
      </w:r>
      <w:r>
        <w:rPr>
          <w:spacing w:val="1"/>
          <w:w w:val="111"/>
        </w:rPr>
        <w:t>l</w:t>
      </w:r>
      <w:r>
        <w:rPr>
          <w:w w:val="111"/>
        </w:rPr>
        <w:t>a</w:t>
      </w:r>
      <w:r>
        <w:rPr>
          <w:spacing w:val="7"/>
        </w:rPr>
        <w:t> </w:t>
      </w:r>
      <w:r>
        <w:rPr>
          <w:spacing w:val="1"/>
          <w:w w:val="112"/>
        </w:rPr>
        <w:t>mism</w:t>
      </w:r>
      <w:r>
        <w:rPr>
          <w:w w:val="112"/>
        </w:rPr>
        <w:t>a</w:t>
      </w:r>
      <w:r>
        <w:rPr>
          <w:spacing w:val="7"/>
        </w:rPr>
        <w:t> </w:t>
      </w:r>
      <w:r>
        <w:rPr>
          <w:spacing w:val="1"/>
          <w:w w:val="108"/>
        </w:rPr>
        <w:t>guerr</w:t>
      </w:r>
      <w:r>
        <w:rPr>
          <w:w w:val="108"/>
        </w:rPr>
        <w:t>a</w:t>
      </w:r>
      <w:r>
        <w:rPr>
          <w:spacing w:val="7"/>
        </w:rPr>
        <w:t> </w:t>
      </w:r>
      <w:r>
        <w:rPr>
          <w:spacing w:val="1"/>
          <w:w w:val="109"/>
        </w:rPr>
        <w:t>sigu</w:t>
      </w:r>
      <w:r>
        <w:rPr>
          <w:w w:val="109"/>
        </w:rPr>
        <w:t>e</w:t>
      </w:r>
      <w:r>
        <w:rPr>
          <w:spacing w:val="7"/>
        </w:rPr>
        <w:t> </w:t>
      </w:r>
      <w:r>
        <w:rPr>
          <w:spacing w:val="1"/>
          <w:w w:val="109"/>
        </w:rPr>
        <w:t>vigente. </w:t>
      </w:r>
      <w:r>
        <w:rPr>
          <w:w w:val="110"/>
        </w:rPr>
        <w:t>En un comunicado que se opone al modo en que el gobierno está conmemorando actualmente la guerra, se afirma: “Ninguna conme- moración de Vietnam puede excluir a los miles de veteranos que se oponen a ella” (</w:t>
      </w:r>
      <w:r>
        <w:rPr>
          <w:i/>
          <w:w w:val="110"/>
        </w:rPr>
        <w:t>Vietnam Peace Commemoration Committee</w:t>
      </w:r>
      <w:r>
        <w:rPr>
          <w:w w:val="110"/>
        </w:rPr>
        <w:t>, october    3,</w:t>
      </w:r>
      <w:r>
        <w:rPr>
          <w:spacing w:val="-14"/>
          <w:w w:val="110"/>
        </w:rPr>
        <w:t> </w:t>
      </w:r>
      <w:r>
        <w:rPr>
          <w:w w:val="110"/>
        </w:rPr>
        <w:t>2014).</w:t>
      </w:r>
      <w:r>
        <w:rPr>
          <w:w w:val="110"/>
          <w:position w:val="6"/>
          <w:sz w:val="11"/>
        </w:rPr>
        <w:t>10</w:t>
      </w:r>
    </w:p>
    <w:p>
      <w:pPr>
        <w:pStyle w:val="BodyText"/>
        <w:spacing w:line="252" w:lineRule="auto"/>
        <w:ind w:left="330" w:right="117" w:firstLine="396"/>
        <w:jc w:val="both"/>
      </w:pPr>
      <w:r>
        <w:rPr>
          <w:w w:val="110"/>
        </w:rPr>
        <w:t>Claro que estas manifestaciones,  marchas,  declaraciones,  etc.,  no fueron aceptadas por el Estado de seguridad Nacional como parte natural de la democracia. a partir de los ’50 comenzó a operar Coin- telpro como brazo contrainsurgente del Fbi, que se dedicó a perse- </w:t>
      </w:r>
      <w:r>
        <w:rPr>
          <w:spacing w:val="-5"/>
          <w:w w:val="110"/>
        </w:rPr>
        <w:t>guir, </w:t>
      </w:r>
      <w:r>
        <w:rPr>
          <w:spacing w:val="-3"/>
          <w:w w:val="110"/>
        </w:rPr>
        <w:t>acosar, </w:t>
      </w:r>
      <w:r>
        <w:rPr>
          <w:w w:val="110"/>
        </w:rPr>
        <w:t>encarcelar e incluso a asesinar a dirigentes y activistas a través de operativos encubiertos. El Cointelpro basaba sus operativos en estrategias de guerra psicológica como historias falsas de los mi- litantes publicadas por la prensa para desprestigiarlos; publicación falsa de folletos y otros materiales; cartas falsificadas; cartas y lla- mados telefónicos anónimos; presión por medio de la patronal, los terratenientes y otros; desinformación para prevenir o interrumpir reuniones, marchas, etc. En el caso del movimiento contra la guerra, hay documentación que da cuenta que el Cointelpro utilizó asidua- mente la táctica de desinformación. El blanco de este organismo eran aquellas organizaciones y líderes que habían alcanzado importante presencia a nivel nacional, muchas de las cuales se oponían fervien- temente a la guerra en </w:t>
      </w:r>
      <w:r>
        <w:rPr>
          <w:spacing w:val="3"/>
          <w:w w:val="110"/>
        </w:rPr>
        <w:t> </w:t>
      </w:r>
      <w:r>
        <w:rPr>
          <w:w w:val="110"/>
        </w:rPr>
        <w:t>Vietnam.</w:t>
      </w:r>
    </w:p>
    <w:p>
      <w:pPr>
        <w:pStyle w:val="BodyText"/>
        <w:spacing w:line="252" w:lineRule="auto"/>
        <w:ind w:left="330" w:right="115" w:firstLine="396"/>
        <w:jc w:val="both"/>
      </w:pPr>
      <w:r>
        <w:rPr>
          <w:w w:val="115"/>
        </w:rPr>
        <w:t>un</w:t>
      </w:r>
      <w:r>
        <w:rPr>
          <w:spacing w:val="-9"/>
          <w:w w:val="115"/>
        </w:rPr>
        <w:t> </w:t>
      </w:r>
      <w:r>
        <w:rPr>
          <w:w w:val="115"/>
        </w:rPr>
        <w:t>documento</w:t>
      </w:r>
      <w:r>
        <w:rPr>
          <w:spacing w:val="-9"/>
          <w:w w:val="115"/>
        </w:rPr>
        <w:t> </w:t>
      </w:r>
      <w:r>
        <w:rPr>
          <w:w w:val="115"/>
        </w:rPr>
        <w:t>desclasificado</w:t>
      </w:r>
      <w:r>
        <w:rPr>
          <w:spacing w:val="-9"/>
          <w:w w:val="115"/>
        </w:rPr>
        <w:t> </w:t>
      </w:r>
      <w:r>
        <w:rPr>
          <w:w w:val="115"/>
        </w:rPr>
        <w:t>correspondiente</w:t>
      </w:r>
      <w:r>
        <w:rPr>
          <w:spacing w:val="-9"/>
          <w:w w:val="115"/>
        </w:rPr>
        <w:t> </w:t>
      </w:r>
      <w:r>
        <w:rPr>
          <w:w w:val="115"/>
        </w:rPr>
        <w:t>a</w:t>
      </w:r>
      <w:r>
        <w:rPr>
          <w:spacing w:val="-9"/>
          <w:w w:val="115"/>
        </w:rPr>
        <w:t> </w:t>
      </w:r>
      <w:r>
        <w:rPr>
          <w:w w:val="115"/>
        </w:rPr>
        <w:t>las</w:t>
      </w:r>
      <w:r>
        <w:rPr>
          <w:spacing w:val="-9"/>
          <w:w w:val="115"/>
        </w:rPr>
        <w:t> </w:t>
      </w:r>
      <w:r>
        <w:rPr>
          <w:w w:val="115"/>
        </w:rPr>
        <w:t>acciones</w:t>
      </w:r>
      <w:r>
        <w:rPr>
          <w:spacing w:val="-9"/>
          <w:w w:val="115"/>
        </w:rPr>
        <w:t> </w:t>
      </w:r>
      <w:r>
        <w:rPr>
          <w:w w:val="115"/>
        </w:rPr>
        <w:t>de Cointelpro (abril de 1968) titulado “Programa de contra-inteligen- cia,</w:t>
      </w:r>
      <w:r>
        <w:rPr>
          <w:spacing w:val="-19"/>
          <w:w w:val="115"/>
        </w:rPr>
        <w:t> </w:t>
      </w:r>
      <w:r>
        <w:rPr>
          <w:w w:val="115"/>
        </w:rPr>
        <w:t>Grupos</w:t>
      </w:r>
      <w:r>
        <w:rPr>
          <w:spacing w:val="-19"/>
          <w:w w:val="115"/>
        </w:rPr>
        <w:t> </w:t>
      </w:r>
      <w:r>
        <w:rPr>
          <w:w w:val="115"/>
        </w:rPr>
        <w:t>de</w:t>
      </w:r>
      <w:r>
        <w:rPr>
          <w:spacing w:val="-19"/>
          <w:w w:val="115"/>
        </w:rPr>
        <w:t> </w:t>
      </w:r>
      <w:r>
        <w:rPr>
          <w:w w:val="115"/>
        </w:rPr>
        <w:t>odio-nacionalistas</w:t>
      </w:r>
      <w:r>
        <w:rPr>
          <w:spacing w:val="-19"/>
          <w:w w:val="115"/>
        </w:rPr>
        <w:t> </w:t>
      </w:r>
      <w:r>
        <w:rPr>
          <w:w w:val="115"/>
        </w:rPr>
        <w:t>negros”,</w:t>
      </w:r>
      <w:r>
        <w:rPr>
          <w:spacing w:val="-19"/>
          <w:w w:val="115"/>
        </w:rPr>
        <w:t> </w:t>
      </w:r>
      <w:r>
        <w:rPr>
          <w:w w:val="115"/>
        </w:rPr>
        <w:t>explica</w:t>
      </w:r>
      <w:r>
        <w:rPr>
          <w:spacing w:val="-19"/>
          <w:w w:val="115"/>
        </w:rPr>
        <w:t> </w:t>
      </w:r>
      <w:r>
        <w:rPr>
          <w:w w:val="115"/>
        </w:rPr>
        <w:t>que</w:t>
      </w:r>
      <w:r>
        <w:rPr>
          <w:spacing w:val="-19"/>
          <w:w w:val="115"/>
        </w:rPr>
        <w:t> </w:t>
      </w:r>
      <w:r>
        <w:rPr>
          <w:w w:val="115"/>
        </w:rPr>
        <w:t>el</w:t>
      </w:r>
      <w:r>
        <w:rPr>
          <w:spacing w:val="-19"/>
          <w:w w:val="115"/>
        </w:rPr>
        <w:t> </w:t>
      </w:r>
      <w:r>
        <w:rPr>
          <w:i/>
          <w:w w:val="115"/>
        </w:rPr>
        <w:t>target</w:t>
      </w:r>
      <w:r>
        <w:rPr>
          <w:i/>
          <w:spacing w:val="-19"/>
          <w:w w:val="115"/>
        </w:rPr>
        <w:t> </w:t>
      </w:r>
      <w:r>
        <w:rPr>
          <w:w w:val="115"/>
        </w:rPr>
        <w:t>de</w:t>
      </w:r>
      <w:r>
        <w:rPr>
          <w:spacing w:val="-19"/>
          <w:w w:val="115"/>
        </w:rPr>
        <w:t> </w:t>
      </w:r>
      <w:r>
        <w:rPr>
          <w:w w:val="115"/>
        </w:rPr>
        <w:t>las operaciones debían ser los movimientos más violentos, los grupos radicales y sus líderes. “debemos ocuparnos de aquellas organiza- ciones y líderes que tienen alcance nacional y que tienen la capa- cidad de generar disturbios. Estos objetivos son los siguientes: El Comité</w:t>
      </w:r>
      <w:r>
        <w:rPr>
          <w:spacing w:val="-6"/>
          <w:w w:val="115"/>
        </w:rPr>
        <w:t> </w:t>
      </w:r>
      <w:r>
        <w:rPr>
          <w:w w:val="115"/>
        </w:rPr>
        <w:t>Coordinador</w:t>
      </w:r>
      <w:r>
        <w:rPr>
          <w:spacing w:val="-6"/>
          <w:w w:val="115"/>
        </w:rPr>
        <w:t> </w:t>
      </w:r>
      <w:r>
        <w:rPr>
          <w:w w:val="115"/>
        </w:rPr>
        <w:t>de</w:t>
      </w:r>
      <w:r>
        <w:rPr>
          <w:spacing w:val="-6"/>
          <w:w w:val="115"/>
        </w:rPr>
        <w:t> </w:t>
      </w:r>
      <w:r>
        <w:rPr>
          <w:w w:val="115"/>
        </w:rPr>
        <w:t>los</w:t>
      </w:r>
      <w:r>
        <w:rPr>
          <w:spacing w:val="-6"/>
          <w:w w:val="115"/>
        </w:rPr>
        <w:t> </w:t>
      </w:r>
      <w:r>
        <w:rPr>
          <w:w w:val="115"/>
        </w:rPr>
        <w:t>Estudiantes</w:t>
      </w:r>
      <w:r>
        <w:rPr>
          <w:spacing w:val="-6"/>
          <w:w w:val="115"/>
        </w:rPr>
        <w:t> </w:t>
      </w:r>
      <w:r>
        <w:rPr>
          <w:w w:val="115"/>
        </w:rPr>
        <w:t>para</w:t>
      </w:r>
      <w:r>
        <w:rPr>
          <w:spacing w:val="-6"/>
          <w:w w:val="115"/>
        </w:rPr>
        <w:t> </w:t>
      </w:r>
      <w:r>
        <w:rPr>
          <w:w w:val="115"/>
        </w:rPr>
        <w:t>la</w:t>
      </w:r>
      <w:r>
        <w:rPr>
          <w:spacing w:val="-6"/>
          <w:w w:val="115"/>
        </w:rPr>
        <w:t> </w:t>
      </w:r>
      <w:r>
        <w:rPr>
          <w:w w:val="115"/>
        </w:rPr>
        <w:t>no</w:t>
      </w:r>
      <w:r>
        <w:rPr>
          <w:spacing w:val="-6"/>
          <w:w w:val="115"/>
        </w:rPr>
        <w:t> </w:t>
      </w:r>
      <w:r>
        <w:rPr>
          <w:w w:val="115"/>
        </w:rPr>
        <w:t>violencia</w:t>
      </w:r>
      <w:r>
        <w:rPr>
          <w:spacing w:val="-6"/>
          <w:w w:val="115"/>
        </w:rPr>
        <w:t> </w:t>
      </w:r>
      <w:r>
        <w:rPr>
          <w:w w:val="115"/>
        </w:rPr>
        <w:t>(sNCC); </w:t>
      </w:r>
      <w:r>
        <w:rPr>
          <w:spacing w:val="1"/>
          <w:w w:val="111"/>
        </w:rPr>
        <w:t>l</w:t>
      </w:r>
      <w:r>
        <w:rPr>
          <w:w w:val="111"/>
        </w:rPr>
        <w:t>a</w:t>
      </w:r>
      <w:r>
        <w:rPr>
          <w:spacing w:val="16"/>
        </w:rPr>
        <w:t> </w:t>
      </w:r>
      <w:r>
        <w:rPr>
          <w:spacing w:val="1"/>
          <w:w w:val="112"/>
        </w:rPr>
        <w:t>Conferenci</w:t>
      </w:r>
      <w:r>
        <w:rPr>
          <w:w w:val="112"/>
        </w:rPr>
        <w:t>a</w:t>
      </w:r>
      <w:r>
        <w:rPr>
          <w:spacing w:val="16"/>
        </w:rPr>
        <w:t> </w:t>
      </w:r>
      <w:r>
        <w:rPr>
          <w:spacing w:val="1"/>
          <w:w w:val="149"/>
        </w:rPr>
        <w:t>s</w:t>
      </w:r>
      <w:r>
        <w:rPr>
          <w:spacing w:val="1"/>
          <w:w w:val="109"/>
        </w:rPr>
        <w:t>ureñ</w:t>
      </w:r>
      <w:r>
        <w:rPr>
          <w:w w:val="109"/>
        </w:rPr>
        <w:t>a</w:t>
      </w:r>
      <w:r>
        <w:rPr>
          <w:spacing w:val="16"/>
        </w:rPr>
        <w:t> </w:t>
      </w:r>
      <w:r>
        <w:rPr>
          <w:spacing w:val="1"/>
          <w:w w:val="107"/>
        </w:rPr>
        <w:t>d</w:t>
      </w:r>
      <w:r>
        <w:rPr>
          <w:w w:val="107"/>
        </w:rPr>
        <w:t>e</w:t>
      </w:r>
      <w:r>
        <w:rPr>
          <w:spacing w:val="16"/>
        </w:rPr>
        <w:t> </w:t>
      </w:r>
      <w:r>
        <w:rPr>
          <w:spacing w:val="1"/>
          <w:w w:val="243"/>
        </w:rPr>
        <w:t>l</w:t>
      </w:r>
      <w:r>
        <w:rPr>
          <w:spacing w:val="1"/>
          <w:w w:val="109"/>
        </w:rPr>
        <w:t>iderazg</w:t>
      </w:r>
      <w:r>
        <w:rPr>
          <w:w w:val="109"/>
        </w:rPr>
        <w:t>o</w:t>
      </w:r>
      <w:r>
        <w:rPr>
          <w:spacing w:val="16"/>
        </w:rPr>
        <w:t> </w:t>
      </w:r>
      <w:r>
        <w:rPr>
          <w:spacing w:val="1"/>
          <w:w w:val="112"/>
        </w:rPr>
        <w:t>Cristian</w:t>
      </w:r>
      <w:r>
        <w:rPr>
          <w:w w:val="112"/>
        </w:rPr>
        <w:t>o</w:t>
      </w:r>
      <w:r>
        <w:rPr>
          <w:spacing w:val="16"/>
        </w:rPr>
        <w:t> </w:t>
      </w:r>
      <w:r>
        <w:rPr>
          <w:spacing w:val="1"/>
          <w:w w:val="98"/>
        </w:rPr>
        <w:t>(</w:t>
      </w:r>
      <w:r>
        <w:rPr>
          <w:spacing w:val="1"/>
          <w:w w:val="149"/>
        </w:rPr>
        <w:t>s</w:t>
      </w:r>
      <w:r>
        <w:rPr>
          <w:spacing w:val="1"/>
          <w:w w:val="124"/>
        </w:rPr>
        <w:t>C</w:t>
      </w:r>
      <w:r>
        <w:rPr>
          <w:spacing w:val="1"/>
          <w:w w:val="243"/>
        </w:rPr>
        <w:t>l</w:t>
      </w:r>
      <w:r>
        <w:rPr>
          <w:spacing w:val="1"/>
          <w:w w:val="112"/>
        </w:rPr>
        <w:t>C)</w:t>
      </w:r>
      <w:r>
        <w:rPr>
          <w:w w:val="112"/>
        </w:rPr>
        <w:t>;</w:t>
      </w:r>
      <w:r>
        <w:rPr>
          <w:spacing w:val="16"/>
        </w:rPr>
        <w:t> </w:t>
      </w:r>
      <w:r>
        <w:rPr>
          <w:spacing w:val="1"/>
          <w:w w:val="107"/>
        </w:rPr>
        <w:t>e</w:t>
      </w:r>
      <w:r>
        <w:rPr>
          <w:w w:val="107"/>
        </w:rPr>
        <w:t>l</w:t>
      </w:r>
      <w:r>
        <w:rPr>
          <w:spacing w:val="16"/>
        </w:rPr>
        <w:t> </w:t>
      </w:r>
      <w:r>
        <w:rPr>
          <w:spacing w:val="1"/>
          <w:w w:val="112"/>
        </w:rPr>
        <w:t>Movimie</w:t>
      </w:r>
      <w:r>
        <w:rPr>
          <w:spacing w:val="2"/>
          <w:w w:val="112"/>
        </w:rPr>
        <w:t>n</w:t>
      </w:r>
      <w:r>
        <w:rPr>
          <w:w w:val="102"/>
        </w:rPr>
        <w:t>- </w:t>
      </w:r>
      <w:r>
        <w:rPr>
          <w:spacing w:val="1"/>
          <w:w w:val="108"/>
        </w:rPr>
        <w:t>t</w:t>
      </w:r>
      <w:r>
        <w:rPr>
          <w:w w:val="108"/>
        </w:rPr>
        <w:t>o</w:t>
      </w:r>
      <w:r>
        <w:rPr/>
        <w:t> </w:t>
      </w:r>
      <w:r>
        <w:rPr>
          <w:spacing w:val="-19"/>
        </w:rPr>
        <w:t> </w:t>
      </w:r>
      <w:r>
        <w:rPr>
          <w:spacing w:val="1"/>
          <w:w w:val="107"/>
        </w:rPr>
        <w:t>d</w:t>
      </w:r>
      <w:r>
        <w:rPr>
          <w:w w:val="107"/>
        </w:rPr>
        <w:t>e</w:t>
      </w:r>
      <w:r>
        <w:rPr/>
        <w:t> </w:t>
      </w:r>
      <w:r>
        <w:rPr>
          <w:spacing w:val="-19"/>
        </w:rPr>
        <w:t> </w:t>
      </w:r>
      <w:r>
        <w:rPr>
          <w:spacing w:val="1"/>
          <w:w w:val="139"/>
        </w:rPr>
        <w:t>a</w:t>
      </w:r>
      <w:r>
        <w:rPr>
          <w:spacing w:val="1"/>
          <w:w w:val="113"/>
        </w:rPr>
        <w:t>cció</w:t>
      </w:r>
      <w:r>
        <w:rPr>
          <w:w w:val="113"/>
        </w:rPr>
        <w:t>n</w:t>
      </w:r>
      <w:r>
        <w:rPr/>
        <w:t> </w:t>
      </w:r>
      <w:r>
        <w:rPr>
          <w:spacing w:val="-19"/>
        </w:rPr>
        <w:t> </w:t>
      </w:r>
      <w:r>
        <w:rPr>
          <w:spacing w:val="1"/>
          <w:w w:val="182"/>
        </w:rPr>
        <w:t>r</w:t>
      </w:r>
      <w:r>
        <w:rPr>
          <w:spacing w:val="1"/>
          <w:w w:val="110"/>
        </w:rPr>
        <w:t>evolucionari</w:t>
      </w:r>
      <w:r>
        <w:rPr>
          <w:w w:val="110"/>
        </w:rPr>
        <w:t>a</w:t>
      </w:r>
      <w:r>
        <w:rPr/>
        <w:t> </w:t>
      </w:r>
      <w:r>
        <w:rPr>
          <w:spacing w:val="-19"/>
        </w:rPr>
        <w:t> </w:t>
      </w:r>
      <w:r>
        <w:rPr>
          <w:spacing w:val="1"/>
          <w:w w:val="98"/>
        </w:rPr>
        <w:t>(</w:t>
      </w:r>
      <w:r>
        <w:rPr>
          <w:spacing w:val="1"/>
          <w:w w:val="159"/>
        </w:rPr>
        <w:t>ra</w:t>
      </w:r>
      <w:r>
        <w:rPr>
          <w:spacing w:val="1"/>
          <w:w w:val="112"/>
        </w:rPr>
        <w:t>M)</w:t>
      </w:r>
      <w:r>
        <w:rPr>
          <w:w w:val="112"/>
        </w:rPr>
        <w:t>;</w:t>
      </w:r>
      <w:r>
        <w:rPr/>
        <w:t> </w:t>
      </w:r>
      <w:r>
        <w:rPr>
          <w:spacing w:val="-19"/>
        </w:rPr>
        <w:t> </w:t>
      </w:r>
      <w:r>
        <w:rPr>
          <w:spacing w:val="1"/>
          <w:w w:val="111"/>
        </w:rPr>
        <w:t>l</w:t>
      </w:r>
      <w:r>
        <w:rPr>
          <w:w w:val="111"/>
        </w:rPr>
        <w:t>a</w:t>
      </w:r>
      <w:r>
        <w:rPr/>
        <w:t> </w:t>
      </w:r>
      <w:r>
        <w:rPr>
          <w:spacing w:val="-19"/>
        </w:rPr>
        <w:t> </w:t>
      </w:r>
      <w:r>
        <w:rPr>
          <w:spacing w:val="1"/>
          <w:w w:val="114"/>
        </w:rPr>
        <w:t>Nació</w:t>
      </w:r>
      <w:r>
        <w:rPr>
          <w:w w:val="114"/>
        </w:rPr>
        <w:t>n</w:t>
      </w:r>
      <w:r>
        <w:rPr/>
        <w:t> </w:t>
      </w:r>
      <w:r>
        <w:rPr>
          <w:spacing w:val="-19"/>
        </w:rPr>
        <w:t> </w:t>
      </w:r>
      <w:r>
        <w:rPr>
          <w:spacing w:val="1"/>
          <w:w w:val="107"/>
        </w:rPr>
        <w:t>de</w:t>
      </w:r>
      <w:r>
        <w:rPr>
          <w:w w:val="107"/>
        </w:rPr>
        <w:t>l</w:t>
      </w:r>
      <w:r>
        <w:rPr/>
        <w:t> </w:t>
      </w:r>
      <w:r>
        <w:rPr>
          <w:spacing w:val="-19"/>
        </w:rPr>
        <w:t> </w:t>
      </w:r>
      <w:r>
        <w:rPr>
          <w:spacing w:val="1"/>
          <w:w w:val="142"/>
        </w:rPr>
        <w:t>i</w:t>
      </w:r>
      <w:r>
        <w:rPr>
          <w:spacing w:val="1"/>
          <w:w w:val="111"/>
        </w:rPr>
        <w:t>sla</w:t>
      </w:r>
      <w:r>
        <w:rPr>
          <w:w w:val="111"/>
        </w:rPr>
        <w:t>m</w:t>
      </w:r>
      <w:r>
        <w:rPr/>
        <w:t> </w:t>
      </w:r>
      <w:r>
        <w:rPr>
          <w:spacing w:val="-19"/>
        </w:rPr>
        <w:t> </w:t>
      </w:r>
      <w:r>
        <w:rPr>
          <w:spacing w:val="1"/>
          <w:w w:val="112"/>
        </w:rPr>
        <w:t>(N</w:t>
      </w:r>
      <w:r>
        <w:rPr>
          <w:spacing w:val="1"/>
          <w:w w:val="147"/>
        </w:rPr>
        <w:t>oi</w:t>
      </w:r>
      <w:r>
        <w:rPr>
          <w:spacing w:val="1"/>
          <w:w w:val="112"/>
        </w:rPr>
        <w:t>)</w:t>
      </w:r>
      <w:r>
        <w:rPr>
          <w:w w:val="112"/>
        </w:rPr>
        <w:t>.</w:t>
      </w:r>
      <w:r>
        <w:rPr/>
        <w:t> </w:t>
      </w:r>
      <w:r>
        <w:rPr>
          <w:spacing w:val="-19"/>
        </w:rPr>
        <w:t> </w:t>
      </w:r>
      <w:r>
        <w:rPr>
          <w:spacing w:val="1"/>
          <w:w w:val="243"/>
        </w:rPr>
        <w:t>l</w:t>
      </w:r>
      <w:r>
        <w:rPr>
          <w:spacing w:val="1"/>
          <w:w w:val="109"/>
        </w:rPr>
        <w:t>as </w:t>
      </w:r>
      <w:r>
        <w:rPr>
          <w:w w:val="115"/>
        </w:rPr>
        <w:t>oficinas que se estén ocupando de estos casos y de los de stockely </w:t>
      </w:r>
      <w:r>
        <w:rPr>
          <w:spacing w:val="1"/>
          <w:w w:val="113"/>
        </w:rPr>
        <w:t>Carmichae</w:t>
      </w:r>
      <w:r>
        <w:rPr>
          <w:w w:val="113"/>
        </w:rPr>
        <w:t>l</w:t>
      </w:r>
      <w:r>
        <w:rPr>
          <w:spacing w:val="11"/>
        </w:rPr>
        <w:t> </w:t>
      </w:r>
      <w:r>
        <w:rPr>
          <w:spacing w:val="1"/>
          <w:w w:val="107"/>
        </w:rPr>
        <w:t>de</w:t>
      </w:r>
      <w:r>
        <w:rPr>
          <w:w w:val="107"/>
        </w:rPr>
        <w:t>l</w:t>
      </w:r>
      <w:r>
        <w:rPr>
          <w:spacing w:val="11"/>
        </w:rPr>
        <w:t> </w:t>
      </w:r>
      <w:r>
        <w:rPr>
          <w:spacing w:val="1"/>
          <w:w w:val="149"/>
        </w:rPr>
        <w:t>s</w:t>
      </w:r>
      <w:r>
        <w:rPr>
          <w:spacing w:val="1"/>
          <w:w w:val="124"/>
        </w:rPr>
        <w:t>NCC</w:t>
      </w:r>
      <w:r>
        <w:rPr>
          <w:w w:val="124"/>
        </w:rPr>
        <w:t>,</w:t>
      </w:r>
      <w:r>
        <w:rPr>
          <w:spacing w:val="11"/>
        </w:rPr>
        <w:t> </w:t>
      </w:r>
      <w:r>
        <w:rPr>
          <w:spacing w:val="1"/>
          <w:w w:val="127"/>
        </w:rPr>
        <w:t>H</w:t>
      </w:r>
      <w:r>
        <w:rPr>
          <w:w w:val="127"/>
        </w:rPr>
        <w:t>.</w:t>
      </w:r>
      <w:r>
        <w:rPr>
          <w:spacing w:val="11"/>
        </w:rPr>
        <w:t> </w:t>
      </w:r>
      <w:r>
        <w:rPr>
          <w:spacing w:val="1"/>
          <w:w w:val="182"/>
        </w:rPr>
        <w:t>r</w:t>
      </w:r>
      <w:r>
        <w:rPr>
          <w:spacing w:val="1"/>
          <w:w w:val="110"/>
        </w:rPr>
        <w:t>a</w:t>
      </w:r>
      <w:r>
        <w:rPr>
          <w:w w:val="110"/>
        </w:rPr>
        <w:t>p</w:t>
      </w:r>
      <w:r>
        <w:rPr>
          <w:spacing w:val="11"/>
        </w:rPr>
        <w:t> </w:t>
      </w:r>
      <w:r>
        <w:rPr>
          <w:spacing w:val="1"/>
          <w:w w:val="134"/>
        </w:rPr>
        <w:t>b</w:t>
      </w:r>
      <w:r>
        <w:rPr>
          <w:spacing w:val="1"/>
          <w:w w:val="107"/>
        </w:rPr>
        <w:t>row</w:t>
      </w:r>
      <w:r>
        <w:rPr>
          <w:w w:val="107"/>
        </w:rPr>
        <w:t>n</w:t>
      </w:r>
      <w:r>
        <w:rPr>
          <w:spacing w:val="11"/>
        </w:rPr>
        <w:t> </w:t>
      </w:r>
      <w:r>
        <w:rPr>
          <w:spacing w:val="1"/>
          <w:w w:val="107"/>
        </w:rPr>
        <w:t>de</w:t>
      </w:r>
      <w:r>
        <w:rPr>
          <w:w w:val="107"/>
        </w:rPr>
        <w:t>l</w:t>
      </w:r>
      <w:r>
        <w:rPr>
          <w:spacing w:val="11"/>
        </w:rPr>
        <w:t> </w:t>
      </w:r>
      <w:r>
        <w:rPr>
          <w:spacing w:val="1"/>
          <w:w w:val="149"/>
        </w:rPr>
        <w:t>s</w:t>
      </w:r>
      <w:r>
        <w:rPr>
          <w:spacing w:val="1"/>
          <w:w w:val="124"/>
        </w:rPr>
        <w:t>NCC</w:t>
      </w:r>
      <w:r>
        <w:rPr>
          <w:w w:val="124"/>
        </w:rPr>
        <w:t>,</w:t>
      </w:r>
      <w:r>
        <w:rPr>
          <w:spacing w:val="11"/>
        </w:rPr>
        <w:t> </w:t>
      </w:r>
      <w:r>
        <w:rPr>
          <w:spacing w:val="1"/>
          <w:w w:val="113"/>
        </w:rPr>
        <w:t>Marti</w:t>
      </w:r>
      <w:r>
        <w:rPr>
          <w:w w:val="113"/>
        </w:rPr>
        <w:t>n</w:t>
      </w:r>
      <w:r>
        <w:rPr>
          <w:spacing w:val="11"/>
        </w:rPr>
        <w:t> </w:t>
      </w:r>
      <w:r>
        <w:rPr>
          <w:spacing w:val="1"/>
          <w:w w:val="243"/>
        </w:rPr>
        <w:t>l</w:t>
      </w:r>
      <w:r>
        <w:rPr>
          <w:spacing w:val="1"/>
          <w:w w:val="108"/>
        </w:rPr>
        <w:t>uthe</w:t>
      </w:r>
      <w:r>
        <w:rPr>
          <w:w w:val="108"/>
        </w:rPr>
        <w:t>r</w:t>
      </w:r>
      <w:r>
        <w:rPr>
          <w:spacing w:val="11"/>
        </w:rPr>
        <w:t> </w:t>
      </w:r>
      <w:r>
        <w:rPr>
          <w:spacing w:val="1"/>
          <w:w w:val="116"/>
        </w:rPr>
        <w:t>King </w:t>
      </w:r>
      <w:r>
        <w:rPr>
          <w:w w:val="115"/>
        </w:rPr>
        <w:t>del</w:t>
      </w:r>
      <w:r>
        <w:rPr>
          <w:spacing w:val="22"/>
          <w:w w:val="115"/>
        </w:rPr>
        <w:t> </w:t>
      </w:r>
      <w:r>
        <w:rPr>
          <w:w w:val="125"/>
        </w:rPr>
        <w:t>sClC,</w:t>
      </w:r>
      <w:r>
        <w:rPr>
          <w:spacing w:val="18"/>
          <w:w w:val="125"/>
        </w:rPr>
        <w:t> </w:t>
      </w:r>
      <w:r>
        <w:rPr>
          <w:w w:val="115"/>
        </w:rPr>
        <w:t>Maxwell</w:t>
      </w:r>
      <w:r>
        <w:rPr>
          <w:spacing w:val="22"/>
          <w:w w:val="115"/>
        </w:rPr>
        <w:t> </w:t>
      </w:r>
      <w:r>
        <w:rPr>
          <w:w w:val="115"/>
        </w:rPr>
        <w:t>stanford</w:t>
      </w:r>
      <w:r>
        <w:rPr>
          <w:spacing w:val="22"/>
          <w:w w:val="115"/>
        </w:rPr>
        <w:t> </w:t>
      </w:r>
      <w:r>
        <w:rPr>
          <w:w w:val="115"/>
        </w:rPr>
        <w:t>del</w:t>
      </w:r>
      <w:r>
        <w:rPr>
          <w:spacing w:val="22"/>
          <w:w w:val="115"/>
        </w:rPr>
        <w:t> </w:t>
      </w:r>
      <w:r>
        <w:rPr>
          <w:w w:val="125"/>
        </w:rPr>
        <w:t>raM</w:t>
      </w:r>
      <w:r>
        <w:rPr>
          <w:spacing w:val="18"/>
          <w:w w:val="125"/>
        </w:rPr>
        <w:t> </w:t>
      </w:r>
      <w:r>
        <w:rPr>
          <w:w w:val="115"/>
        </w:rPr>
        <w:t>y</w:t>
      </w:r>
      <w:r>
        <w:rPr>
          <w:spacing w:val="22"/>
          <w:w w:val="115"/>
        </w:rPr>
        <w:t> </w:t>
      </w:r>
      <w:r>
        <w:rPr>
          <w:w w:val="115"/>
        </w:rPr>
        <w:t>Elijah</w:t>
      </w:r>
      <w:r>
        <w:rPr>
          <w:spacing w:val="22"/>
          <w:w w:val="115"/>
        </w:rPr>
        <w:t> </w:t>
      </w:r>
      <w:r>
        <w:rPr>
          <w:w w:val="115"/>
        </w:rPr>
        <w:t>Muhammed</w:t>
      </w:r>
      <w:r>
        <w:rPr>
          <w:spacing w:val="22"/>
          <w:w w:val="115"/>
        </w:rPr>
        <w:t> </w:t>
      </w:r>
      <w:r>
        <w:rPr>
          <w:w w:val="115"/>
        </w:rPr>
        <w:t>del</w:t>
      </w:r>
      <w:r>
        <w:rPr>
          <w:spacing w:val="22"/>
          <w:w w:val="115"/>
        </w:rPr>
        <w:t> </w:t>
      </w:r>
      <w:r>
        <w:rPr>
          <w:w w:val="125"/>
        </w:rPr>
        <w:t>Noi,</w:t>
      </w:r>
    </w:p>
    <w:p>
      <w:pPr>
        <w:pStyle w:val="BodyText"/>
        <w:spacing w:before="6"/>
        <w:rPr>
          <w:sz w:val="29"/>
        </w:rPr>
      </w:pPr>
      <w:r>
        <w:rPr/>
        <w:pict>
          <v:line style="position:absolute;mso-position-horizontal-relative:page;mso-position-vertical-relative:paragraph;z-index:7048;mso-wrap-distance-left:0;mso-wrap-distance-right:0" from="76.5354pt,19.529030pt" to="104.8814pt,19.529030pt" stroked="true" strokeweight=".5pt" strokecolor="#000000">
            <w10:wrap type="topAndBottom"/>
          </v:line>
        </w:pict>
      </w:r>
    </w:p>
    <w:p>
      <w:pPr>
        <w:spacing w:line="242" w:lineRule="auto" w:before="89"/>
        <w:ind w:left="330" w:right="117" w:firstLine="0"/>
        <w:jc w:val="both"/>
        <w:rPr>
          <w:sz w:val="16"/>
        </w:rPr>
      </w:pPr>
      <w:r>
        <w:rPr>
          <w:w w:val="105"/>
          <w:sz w:val="16"/>
        </w:rPr>
        <w:t>mundial. recientemente, tropas estadounidenses han sido enviadas a Medio oriente       y américa Central por las mismas razones equivocadas que fueron utilizadas para mandarnos al sudeste asiático. Mientras tanto, a muchos veteranos todavía se  les  niega justicia, enfrentados a desempleo,  discriminación,  vagabundaje,  desórdenes  por</w:t>
      </w:r>
      <w:r>
        <w:rPr>
          <w:spacing w:val="-6"/>
          <w:w w:val="105"/>
          <w:sz w:val="16"/>
        </w:rPr>
        <w:t> </w:t>
      </w:r>
      <w:r>
        <w:rPr>
          <w:w w:val="105"/>
          <w:sz w:val="16"/>
        </w:rPr>
        <w:t>estrés</w:t>
      </w:r>
      <w:r>
        <w:rPr>
          <w:spacing w:val="-6"/>
          <w:w w:val="105"/>
          <w:sz w:val="16"/>
        </w:rPr>
        <w:t> </w:t>
      </w:r>
      <w:r>
        <w:rPr>
          <w:w w:val="105"/>
          <w:sz w:val="16"/>
        </w:rPr>
        <w:t>post-trauma,</w:t>
      </w:r>
      <w:r>
        <w:rPr>
          <w:spacing w:val="-6"/>
          <w:w w:val="105"/>
          <w:sz w:val="16"/>
        </w:rPr>
        <w:t> </w:t>
      </w:r>
      <w:r>
        <w:rPr>
          <w:w w:val="105"/>
          <w:sz w:val="16"/>
        </w:rPr>
        <w:t>y</w:t>
      </w:r>
      <w:r>
        <w:rPr>
          <w:spacing w:val="-6"/>
          <w:w w:val="105"/>
          <w:sz w:val="16"/>
        </w:rPr>
        <w:t> </w:t>
      </w:r>
      <w:r>
        <w:rPr>
          <w:w w:val="105"/>
          <w:sz w:val="16"/>
        </w:rPr>
        <w:t>otras</w:t>
      </w:r>
      <w:r>
        <w:rPr>
          <w:spacing w:val="-6"/>
          <w:w w:val="105"/>
          <w:sz w:val="16"/>
        </w:rPr>
        <w:t> </w:t>
      </w:r>
      <w:r>
        <w:rPr>
          <w:w w:val="105"/>
          <w:sz w:val="16"/>
        </w:rPr>
        <w:t>enfermedades”,</w:t>
      </w:r>
      <w:r>
        <w:rPr>
          <w:spacing w:val="-6"/>
          <w:w w:val="105"/>
          <w:sz w:val="16"/>
        </w:rPr>
        <w:t> </w:t>
      </w:r>
      <w:r>
        <w:rPr>
          <w:w w:val="105"/>
          <w:sz w:val="16"/>
        </w:rPr>
        <w:t>ver</w:t>
      </w:r>
      <w:r>
        <w:rPr>
          <w:spacing w:val="-6"/>
          <w:w w:val="105"/>
          <w:sz w:val="16"/>
        </w:rPr>
        <w:t> </w:t>
      </w:r>
      <w:hyperlink r:id="rId367">
        <w:r>
          <w:rPr>
            <w:w w:val="105"/>
            <w:sz w:val="16"/>
          </w:rPr>
          <w:t>&lt;http://www.vvaw.org/about/&gt;.</w:t>
        </w:r>
      </w:hyperlink>
    </w:p>
    <w:p>
      <w:pPr>
        <w:pStyle w:val="ListParagraph"/>
        <w:numPr>
          <w:ilvl w:val="0"/>
          <w:numId w:val="30"/>
        </w:numPr>
        <w:tabs>
          <w:tab w:pos="586" w:val="left" w:leader="none"/>
        </w:tabs>
        <w:spacing w:line="240" w:lineRule="auto" w:before="57" w:after="0"/>
        <w:ind w:left="585" w:right="0" w:hanging="255"/>
        <w:jc w:val="both"/>
        <w:rPr>
          <w:sz w:val="16"/>
        </w:rPr>
      </w:pPr>
      <w:r>
        <w:rPr>
          <w:sz w:val="16"/>
        </w:rPr>
        <w:t>Para revisar la carta completa, ver  </w:t>
      </w:r>
      <w:r>
        <w:rPr>
          <w:spacing w:val="21"/>
          <w:sz w:val="16"/>
        </w:rPr>
        <w:t> </w:t>
      </w:r>
      <w:hyperlink r:id="rId368">
        <w:r>
          <w:rPr>
            <w:sz w:val="16"/>
          </w:rPr>
          <w:t>&lt;http://historynewsnetwork.org/article/157189&gt;.</w:t>
        </w:r>
      </w:hyperlink>
    </w:p>
    <w:p>
      <w:pPr>
        <w:spacing w:after="0" w:line="240" w:lineRule="auto"/>
        <w:jc w:val="both"/>
        <w:rPr>
          <w:sz w:val="16"/>
        </w:rPr>
        <w:sectPr>
          <w:footerReference w:type="default" r:id="rId365"/>
          <w:footerReference w:type="even" r:id="rId366"/>
          <w:pgSz w:w="8790" w:h="12760"/>
          <w:pgMar w:footer="725" w:header="697" w:top="880" w:bottom="920" w:left="1200" w:right="900"/>
        </w:sectPr>
      </w:pPr>
    </w:p>
    <w:p>
      <w:pPr>
        <w:pStyle w:val="BodyText"/>
        <w:spacing w:before="9"/>
        <w:rPr>
          <w:sz w:val="28"/>
        </w:rPr>
      </w:pPr>
    </w:p>
    <w:p>
      <w:pPr>
        <w:pStyle w:val="BodyText"/>
        <w:spacing w:line="252" w:lineRule="auto" w:before="73"/>
        <w:ind w:left="120" w:right="321"/>
        <w:rPr>
          <w:sz w:val="11"/>
        </w:rPr>
      </w:pPr>
      <w:r>
        <w:rPr>
          <w:w w:val="110"/>
        </w:rPr>
        <w:t>deben ser advertidos sobre probables sugerencias de contrainteli- gencia”  (Glick, 1989).</w:t>
      </w:r>
      <w:r>
        <w:rPr>
          <w:w w:val="110"/>
          <w:position w:val="6"/>
          <w:sz w:val="11"/>
        </w:rPr>
        <w:t>11</w:t>
      </w:r>
    </w:p>
    <w:p>
      <w:pPr>
        <w:pStyle w:val="BodyText"/>
        <w:spacing w:before="5"/>
      </w:pPr>
    </w:p>
    <w:p>
      <w:pPr>
        <w:pStyle w:val="Heading6"/>
        <w:ind w:left="121" w:right="321"/>
        <w:jc w:val="left"/>
      </w:pPr>
      <w:r>
        <w:rPr>
          <w:w w:val="130"/>
        </w:rPr>
        <w:t>el Modo en que se orGaniza la (des)MeMoria</w:t>
      </w:r>
    </w:p>
    <w:p>
      <w:pPr>
        <w:pStyle w:val="BodyText"/>
        <w:spacing w:line="252" w:lineRule="auto" w:before="10"/>
        <w:ind w:left="54" w:right="328"/>
        <w:jc w:val="right"/>
      </w:pPr>
      <w:r>
        <w:rPr>
          <w:w w:val="115"/>
        </w:rPr>
        <w:t>Fue</w:t>
      </w:r>
      <w:r>
        <w:rPr>
          <w:spacing w:val="-29"/>
          <w:w w:val="115"/>
        </w:rPr>
        <w:t> </w:t>
      </w:r>
      <w:r>
        <w:rPr>
          <w:w w:val="115"/>
        </w:rPr>
        <w:t>el</w:t>
      </w:r>
      <w:r>
        <w:rPr>
          <w:spacing w:val="-29"/>
          <w:w w:val="115"/>
        </w:rPr>
        <w:t> </w:t>
      </w:r>
      <w:r>
        <w:rPr>
          <w:w w:val="115"/>
        </w:rPr>
        <w:t>presidente</w:t>
      </w:r>
      <w:r>
        <w:rPr>
          <w:spacing w:val="-29"/>
          <w:w w:val="115"/>
        </w:rPr>
        <w:t> </w:t>
      </w:r>
      <w:r>
        <w:rPr>
          <w:w w:val="115"/>
        </w:rPr>
        <w:t>Johnson</w:t>
      </w:r>
      <w:r>
        <w:rPr>
          <w:spacing w:val="-29"/>
          <w:w w:val="115"/>
        </w:rPr>
        <w:t> </w:t>
      </w:r>
      <w:r>
        <w:rPr>
          <w:w w:val="115"/>
        </w:rPr>
        <w:t>(1965)</w:t>
      </w:r>
      <w:r>
        <w:rPr>
          <w:spacing w:val="-29"/>
          <w:w w:val="115"/>
        </w:rPr>
        <w:t> </w:t>
      </w:r>
      <w:r>
        <w:rPr>
          <w:w w:val="115"/>
        </w:rPr>
        <w:t>quien</w:t>
      </w:r>
      <w:r>
        <w:rPr>
          <w:spacing w:val="-29"/>
          <w:w w:val="115"/>
        </w:rPr>
        <w:t> </w:t>
      </w:r>
      <w:r>
        <w:rPr>
          <w:w w:val="115"/>
        </w:rPr>
        <w:t>advirtió</w:t>
      </w:r>
      <w:r>
        <w:rPr>
          <w:spacing w:val="-29"/>
          <w:w w:val="115"/>
        </w:rPr>
        <w:t> </w:t>
      </w:r>
      <w:r>
        <w:rPr>
          <w:w w:val="115"/>
        </w:rPr>
        <w:t>con</w:t>
      </w:r>
      <w:r>
        <w:rPr>
          <w:spacing w:val="-29"/>
          <w:w w:val="115"/>
        </w:rPr>
        <w:t> </w:t>
      </w:r>
      <w:r>
        <w:rPr>
          <w:w w:val="115"/>
        </w:rPr>
        <w:t>respecto</w:t>
      </w:r>
      <w:r>
        <w:rPr>
          <w:spacing w:val="-29"/>
          <w:w w:val="115"/>
        </w:rPr>
        <w:t> </w:t>
      </w:r>
      <w:r>
        <w:rPr>
          <w:w w:val="115"/>
        </w:rPr>
        <w:t>a</w:t>
      </w:r>
      <w:r>
        <w:rPr>
          <w:spacing w:val="-29"/>
          <w:w w:val="115"/>
        </w:rPr>
        <w:t> </w:t>
      </w:r>
      <w:r>
        <w:rPr>
          <w:w w:val="115"/>
        </w:rPr>
        <w:t>la</w:t>
      </w:r>
      <w:r>
        <w:rPr>
          <w:spacing w:val="-29"/>
          <w:w w:val="115"/>
        </w:rPr>
        <w:t> </w:t>
      </w:r>
      <w:r>
        <w:rPr>
          <w:w w:val="115"/>
        </w:rPr>
        <w:t>gue-</w:t>
      </w:r>
      <w:r>
        <w:rPr>
          <w:w w:val="102"/>
        </w:rPr>
        <w:t> </w:t>
      </w:r>
      <w:r>
        <w:rPr>
          <w:spacing w:val="-2"/>
          <w:w w:val="107"/>
        </w:rPr>
        <w:t>rra</w:t>
      </w:r>
      <w:r>
        <w:rPr>
          <w:w w:val="107"/>
        </w:rPr>
        <w:t>:</w:t>
      </w:r>
      <w:r>
        <w:rPr>
          <w:spacing w:val="6"/>
        </w:rPr>
        <w:t> </w:t>
      </w:r>
      <w:r>
        <w:rPr>
          <w:spacing w:val="-2"/>
          <w:w w:val="115"/>
        </w:rPr>
        <w:t>“</w:t>
      </w:r>
      <w:r>
        <w:rPr>
          <w:spacing w:val="-2"/>
          <w:w w:val="243"/>
        </w:rPr>
        <w:t>l</w:t>
      </w:r>
      <w:r>
        <w:rPr>
          <w:w w:val="112"/>
        </w:rPr>
        <w:t>a</w:t>
      </w:r>
      <w:r>
        <w:rPr>
          <w:spacing w:val="6"/>
        </w:rPr>
        <w:t> </w:t>
      </w:r>
      <w:r>
        <w:rPr>
          <w:spacing w:val="-2"/>
          <w:w w:val="109"/>
        </w:rPr>
        <w:t>victori</w:t>
      </w:r>
      <w:r>
        <w:rPr>
          <w:w w:val="109"/>
        </w:rPr>
        <w:t>a</w:t>
      </w:r>
      <w:r>
        <w:rPr>
          <w:spacing w:val="6"/>
        </w:rPr>
        <w:t> </w:t>
      </w:r>
      <w:r>
        <w:rPr>
          <w:spacing w:val="-2"/>
          <w:w w:val="112"/>
        </w:rPr>
        <w:t>últim</w:t>
      </w:r>
      <w:r>
        <w:rPr>
          <w:w w:val="112"/>
        </w:rPr>
        <w:t>a</w:t>
      </w:r>
      <w:r>
        <w:rPr>
          <w:spacing w:val="6"/>
        </w:rPr>
        <w:t> </w:t>
      </w:r>
      <w:r>
        <w:rPr>
          <w:spacing w:val="-2"/>
          <w:w w:val="107"/>
        </w:rPr>
        <w:t>depender</w:t>
      </w:r>
      <w:r>
        <w:rPr>
          <w:w w:val="107"/>
        </w:rPr>
        <w:t>á</w:t>
      </w:r>
      <w:r>
        <w:rPr>
          <w:spacing w:val="6"/>
        </w:rPr>
        <w:t> </w:t>
      </w:r>
      <w:r>
        <w:rPr>
          <w:spacing w:val="-2"/>
          <w:w w:val="107"/>
        </w:rPr>
        <w:t>d</w:t>
      </w:r>
      <w:r>
        <w:rPr>
          <w:w w:val="107"/>
        </w:rPr>
        <w:t>e</w:t>
      </w:r>
      <w:r>
        <w:rPr>
          <w:spacing w:val="6"/>
        </w:rPr>
        <w:t> </w:t>
      </w:r>
      <w:r>
        <w:rPr>
          <w:spacing w:val="-2"/>
          <w:w w:val="111"/>
        </w:rPr>
        <w:t>alcanza</w:t>
      </w:r>
      <w:r>
        <w:rPr>
          <w:w w:val="111"/>
        </w:rPr>
        <w:t>r</w:t>
      </w:r>
      <w:r>
        <w:rPr>
          <w:spacing w:val="6"/>
        </w:rPr>
        <w:t> </w:t>
      </w:r>
      <w:r>
        <w:rPr>
          <w:spacing w:val="-2"/>
          <w:w w:val="108"/>
        </w:rPr>
        <w:t>lo</w:t>
      </w:r>
      <w:r>
        <w:rPr>
          <w:w w:val="108"/>
        </w:rPr>
        <w:t>s</w:t>
      </w:r>
      <w:r>
        <w:rPr>
          <w:spacing w:val="6"/>
        </w:rPr>
        <w:t> </w:t>
      </w:r>
      <w:r>
        <w:rPr>
          <w:spacing w:val="-2"/>
          <w:w w:val="109"/>
        </w:rPr>
        <w:t>corazone</w:t>
      </w:r>
      <w:r>
        <w:rPr>
          <w:w w:val="109"/>
        </w:rPr>
        <w:t>s</w:t>
      </w:r>
      <w:r>
        <w:rPr>
          <w:spacing w:val="6"/>
        </w:rPr>
        <w:t> </w:t>
      </w:r>
      <w:r>
        <w:rPr>
          <w:w w:val="105"/>
        </w:rPr>
        <w:t>y</w:t>
      </w:r>
      <w:r>
        <w:rPr>
          <w:spacing w:val="6"/>
        </w:rPr>
        <w:t> </w:t>
      </w:r>
      <w:r>
        <w:rPr>
          <w:spacing w:val="-2"/>
          <w:w w:val="109"/>
        </w:rPr>
        <w:t>la</w:t>
      </w:r>
      <w:r>
        <w:rPr>
          <w:w w:val="109"/>
        </w:rPr>
        <w:t>s</w:t>
      </w:r>
      <w:r>
        <w:rPr>
          <w:spacing w:val="6"/>
        </w:rPr>
        <w:t> </w:t>
      </w:r>
      <w:r>
        <w:rPr>
          <w:spacing w:val="-2"/>
          <w:w w:val="110"/>
        </w:rPr>
        <w:t>me</w:t>
      </w:r>
      <w:r>
        <w:rPr>
          <w:spacing w:val="-3"/>
          <w:w w:val="110"/>
        </w:rPr>
        <w:t>n</w:t>
      </w:r>
      <w:r>
        <w:rPr>
          <w:w w:val="102"/>
        </w:rPr>
        <w:t>- </w:t>
      </w:r>
      <w:r>
        <w:rPr>
          <w:w w:val="115"/>
        </w:rPr>
        <w:t>tes</w:t>
      </w:r>
      <w:r>
        <w:rPr>
          <w:spacing w:val="-7"/>
          <w:w w:val="115"/>
        </w:rPr>
        <w:t> </w:t>
      </w:r>
      <w:r>
        <w:rPr>
          <w:w w:val="115"/>
        </w:rPr>
        <w:t>del</w:t>
      </w:r>
      <w:r>
        <w:rPr>
          <w:spacing w:val="-7"/>
          <w:w w:val="115"/>
        </w:rPr>
        <w:t> </w:t>
      </w:r>
      <w:r>
        <w:rPr>
          <w:w w:val="115"/>
        </w:rPr>
        <w:t>pueblo</w:t>
      </w:r>
      <w:r>
        <w:rPr>
          <w:spacing w:val="-7"/>
          <w:w w:val="115"/>
        </w:rPr>
        <w:t> </w:t>
      </w:r>
      <w:r>
        <w:rPr>
          <w:w w:val="115"/>
        </w:rPr>
        <w:t>que</w:t>
      </w:r>
      <w:r>
        <w:rPr>
          <w:spacing w:val="-7"/>
          <w:w w:val="115"/>
        </w:rPr>
        <w:t> </w:t>
      </w:r>
      <w:r>
        <w:rPr>
          <w:w w:val="115"/>
        </w:rPr>
        <w:t>vive</w:t>
      </w:r>
      <w:r>
        <w:rPr>
          <w:spacing w:val="-7"/>
          <w:w w:val="115"/>
        </w:rPr>
        <w:t> </w:t>
      </w:r>
      <w:r>
        <w:rPr>
          <w:w w:val="115"/>
        </w:rPr>
        <w:t>allí”.</w:t>
      </w:r>
      <w:r>
        <w:rPr>
          <w:spacing w:val="-7"/>
          <w:w w:val="115"/>
        </w:rPr>
        <w:t> </w:t>
      </w:r>
      <w:r>
        <w:rPr>
          <w:w w:val="115"/>
        </w:rPr>
        <w:t>Pero</w:t>
      </w:r>
      <w:r>
        <w:rPr>
          <w:spacing w:val="-7"/>
          <w:w w:val="115"/>
        </w:rPr>
        <w:t> </w:t>
      </w:r>
      <w:r>
        <w:rPr>
          <w:w w:val="115"/>
        </w:rPr>
        <w:t>la</w:t>
      </w:r>
      <w:r>
        <w:rPr>
          <w:spacing w:val="-7"/>
          <w:w w:val="115"/>
        </w:rPr>
        <w:t> </w:t>
      </w:r>
      <w:r>
        <w:rPr>
          <w:w w:val="115"/>
        </w:rPr>
        <w:t>conquista</w:t>
      </w:r>
      <w:r>
        <w:rPr>
          <w:spacing w:val="-7"/>
          <w:w w:val="115"/>
        </w:rPr>
        <w:t> </w:t>
      </w:r>
      <w:r>
        <w:rPr>
          <w:w w:val="115"/>
        </w:rPr>
        <w:t>de</w:t>
      </w:r>
      <w:r>
        <w:rPr>
          <w:spacing w:val="-7"/>
          <w:w w:val="115"/>
        </w:rPr>
        <w:t> </w:t>
      </w:r>
      <w:r>
        <w:rPr>
          <w:w w:val="115"/>
        </w:rPr>
        <w:t>los</w:t>
      </w:r>
      <w:r>
        <w:rPr>
          <w:spacing w:val="-7"/>
          <w:w w:val="115"/>
        </w:rPr>
        <w:t> </w:t>
      </w:r>
      <w:r>
        <w:rPr>
          <w:w w:val="115"/>
        </w:rPr>
        <w:t>corazones</w:t>
      </w:r>
      <w:r>
        <w:rPr>
          <w:spacing w:val="-7"/>
          <w:w w:val="115"/>
        </w:rPr>
        <w:t> </w:t>
      </w:r>
      <w:r>
        <w:rPr>
          <w:w w:val="115"/>
        </w:rPr>
        <w:t>y</w:t>
      </w:r>
      <w:r>
        <w:rPr>
          <w:spacing w:val="-7"/>
          <w:w w:val="115"/>
        </w:rPr>
        <w:t> </w:t>
      </w:r>
      <w:r>
        <w:rPr>
          <w:spacing w:val="-2"/>
          <w:w w:val="115"/>
        </w:rPr>
        <w:t>las</w:t>
      </w:r>
      <w:r>
        <w:rPr>
          <w:spacing w:val="-2"/>
          <w:w w:val="109"/>
        </w:rPr>
        <w:t> </w:t>
      </w:r>
      <w:r>
        <w:rPr>
          <w:w w:val="115"/>
        </w:rPr>
        <w:t>mentes</w:t>
      </w:r>
      <w:r>
        <w:rPr>
          <w:spacing w:val="-31"/>
          <w:w w:val="115"/>
        </w:rPr>
        <w:t> </w:t>
      </w:r>
      <w:r>
        <w:rPr>
          <w:w w:val="115"/>
        </w:rPr>
        <w:t>empieza</w:t>
      </w:r>
      <w:r>
        <w:rPr>
          <w:spacing w:val="-31"/>
          <w:w w:val="115"/>
        </w:rPr>
        <w:t> </w:t>
      </w:r>
      <w:r>
        <w:rPr>
          <w:w w:val="115"/>
        </w:rPr>
        <w:t>por</w:t>
      </w:r>
      <w:r>
        <w:rPr>
          <w:spacing w:val="-31"/>
          <w:w w:val="115"/>
        </w:rPr>
        <w:t> </w:t>
      </w:r>
      <w:r>
        <w:rPr>
          <w:w w:val="115"/>
        </w:rPr>
        <w:t>casa.</w:t>
      </w:r>
      <w:r>
        <w:rPr>
          <w:spacing w:val="-31"/>
          <w:w w:val="115"/>
        </w:rPr>
        <w:t> </w:t>
      </w:r>
      <w:r>
        <w:rPr>
          <w:w w:val="115"/>
        </w:rPr>
        <w:t>una</w:t>
      </w:r>
      <w:r>
        <w:rPr>
          <w:spacing w:val="-31"/>
          <w:w w:val="115"/>
        </w:rPr>
        <w:t> </w:t>
      </w:r>
      <w:r>
        <w:rPr>
          <w:w w:val="115"/>
        </w:rPr>
        <w:t>de</w:t>
      </w:r>
      <w:r>
        <w:rPr>
          <w:spacing w:val="-31"/>
          <w:w w:val="115"/>
        </w:rPr>
        <w:t> </w:t>
      </w:r>
      <w:r>
        <w:rPr>
          <w:w w:val="115"/>
        </w:rPr>
        <w:t>las</w:t>
      </w:r>
      <w:r>
        <w:rPr>
          <w:spacing w:val="-31"/>
          <w:w w:val="115"/>
        </w:rPr>
        <w:t> </w:t>
      </w:r>
      <w:r>
        <w:rPr>
          <w:w w:val="115"/>
        </w:rPr>
        <w:t>batallas</w:t>
      </w:r>
      <w:r>
        <w:rPr>
          <w:spacing w:val="-31"/>
          <w:w w:val="115"/>
        </w:rPr>
        <w:t> </w:t>
      </w:r>
      <w:r>
        <w:rPr>
          <w:w w:val="115"/>
        </w:rPr>
        <w:t>más</w:t>
      </w:r>
      <w:r>
        <w:rPr>
          <w:spacing w:val="-31"/>
          <w:w w:val="115"/>
        </w:rPr>
        <w:t> </w:t>
      </w:r>
      <w:r>
        <w:rPr>
          <w:w w:val="115"/>
        </w:rPr>
        <w:t>importantes</w:t>
      </w:r>
      <w:r>
        <w:rPr>
          <w:spacing w:val="-31"/>
          <w:w w:val="115"/>
        </w:rPr>
        <w:t> </w:t>
      </w:r>
      <w:r>
        <w:rPr>
          <w:w w:val="115"/>
        </w:rPr>
        <w:t>fue</w:t>
      </w:r>
      <w:r>
        <w:rPr>
          <w:spacing w:val="-31"/>
          <w:w w:val="115"/>
        </w:rPr>
        <w:t> </w:t>
      </w:r>
      <w:r>
        <w:rPr>
          <w:w w:val="115"/>
        </w:rPr>
        <w:t>la</w:t>
      </w:r>
      <w:r>
        <w:rPr>
          <w:spacing w:val="-31"/>
          <w:w w:val="115"/>
        </w:rPr>
        <w:t> </w:t>
      </w:r>
      <w:r>
        <w:rPr>
          <w:w w:val="115"/>
        </w:rPr>
        <w:t>de</w:t>
      </w:r>
      <w:r>
        <w:rPr>
          <w:spacing w:val="-2"/>
          <w:w w:val="107"/>
        </w:rPr>
        <w:t> </w:t>
      </w:r>
      <w:r>
        <w:rPr>
          <w:w w:val="110"/>
        </w:rPr>
        <w:t>persuadir</w:t>
      </w:r>
      <w:r>
        <w:rPr>
          <w:spacing w:val="-20"/>
          <w:w w:val="110"/>
        </w:rPr>
        <w:t> </w:t>
      </w:r>
      <w:r>
        <w:rPr>
          <w:w w:val="110"/>
        </w:rPr>
        <w:t>al</w:t>
      </w:r>
      <w:r>
        <w:rPr>
          <w:spacing w:val="-20"/>
          <w:w w:val="110"/>
        </w:rPr>
        <w:t> </w:t>
      </w:r>
      <w:r>
        <w:rPr>
          <w:w w:val="110"/>
        </w:rPr>
        <w:t>pueblo</w:t>
      </w:r>
      <w:r>
        <w:rPr>
          <w:spacing w:val="-20"/>
          <w:w w:val="110"/>
        </w:rPr>
        <w:t> </w:t>
      </w:r>
      <w:r>
        <w:rPr>
          <w:w w:val="110"/>
        </w:rPr>
        <w:t>estadounidense</w:t>
      </w:r>
      <w:r>
        <w:rPr>
          <w:spacing w:val="-20"/>
          <w:w w:val="110"/>
        </w:rPr>
        <w:t> </w:t>
      </w:r>
      <w:r>
        <w:rPr>
          <w:w w:val="110"/>
        </w:rPr>
        <w:t>para</w:t>
      </w:r>
      <w:r>
        <w:rPr>
          <w:spacing w:val="-20"/>
          <w:w w:val="110"/>
        </w:rPr>
        <w:t> </w:t>
      </w:r>
      <w:r>
        <w:rPr>
          <w:w w:val="110"/>
        </w:rPr>
        <w:t>que</w:t>
      </w:r>
      <w:r>
        <w:rPr>
          <w:spacing w:val="-20"/>
          <w:w w:val="110"/>
        </w:rPr>
        <w:t> </w:t>
      </w:r>
      <w:r>
        <w:rPr>
          <w:w w:val="110"/>
        </w:rPr>
        <w:t>creyera</w:t>
      </w:r>
      <w:r>
        <w:rPr>
          <w:spacing w:val="-20"/>
          <w:w w:val="110"/>
        </w:rPr>
        <w:t> </w:t>
      </w:r>
      <w:r>
        <w:rPr>
          <w:w w:val="110"/>
        </w:rPr>
        <w:t>que</w:t>
      </w:r>
      <w:r>
        <w:rPr>
          <w:spacing w:val="-20"/>
          <w:w w:val="110"/>
        </w:rPr>
        <w:t> </w:t>
      </w:r>
      <w:r>
        <w:rPr>
          <w:w w:val="110"/>
        </w:rPr>
        <w:t>la</w:t>
      </w:r>
      <w:r>
        <w:rPr>
          <w:spacing w:val="-20"/>
          <w:w w:val="110"/>
        </w:rPr>
        <w:t> </w:t>
      </w:r>
      <w:r>
        <w:rPr>
          <w:w w:val="110"/>
        </w:rPr>
        <w:t>guerra</w:t>
      </w:r>
      <w:r>
        <w:rPr>
          <w:spacing w:val="-20"/>
          <w:w w:val="110"/>
        </w:rPr>
        <w:t> </w:t>
      </w:r>
      <w:r>
        <w:rPr>
          <w:w w:val="110"/>
        </w:rPr>
        <w:t>fina-</w:t>
      </w:r>
      <w:r>
        <w:rPr>
          <w:w w:val="102"/>
        </w:rPr>
        <w:t> </w:t>
      </w:r>
      <w:r>
        <w:rPr>
          <w:w w:val="115"/>
        </w:rPr>
        <w:t>lizó</w:t>
      </w:r>
      <w:r>
        <w:rPr>
          <w:spacing w:val="-14"/>
          <w:w w:val="115"/>
        </w:rPr>
        <w:t> </w:t>
      </w:r>
      <w:r>
        <w:rPr>
          <w:w w:val="115"/>
        </w:rPr>
        <w:t>debido</w:t>
      </w:r>
      <w:r>
        <w:rPr>
          <w:spacing w:val="-14"/>
          <w:w w:val="115"/>
        </w:rPr>
        <w:t> </w:t>
      </w:r>
      <w:r>
        <w:rPr>
          <w:w w:val="115"/>
        </w:rPr>
        <w:t>a</w:t>
      </w:r>
      <w:r>
        <w:rPr>
          <w:spacing w:val="-14"/>
          <w:w w:val="115"/>
        </w:rPr>
        <w:t> </w:t>
      </w:r>
      <w:r>
        <w:rPr>
          <w:w w:val="115"/>
        </w:rPr>
        <w:t>la</w:t>
      </w:r>
      <w:r>
        <w:rPr>
          <w:spacing w:val="-14"/>
          <w:w w:val="115"/>
        </w:rPr>
        <w:t> </w:t>
      </w:r>
      <w:r>
        <w:rPr>
          <w:w w:val="115"/>
        </w:rPr>
        <w:t>decisión</w:t>
      </w:r>
      <w:r>
        <w:rPr>
          <w:spacing w:val="-14"/>
          <w:w w:val="115"/>
        </w:rPr>
        <w:t> </w:t>
      </w:r>
      <w:r>
        <w:rPr>
          <w:w w:val="115"/>
        </w:rPr>
        <w:t>del</w:t>
      </w:r>
      <w:r>
        <w:rPr>
          <w:spacing w:val="-14"/>
          <w:w w:val="115"/>
        </w:rPr>
        <w:t> </w:t>
      </w:r>
      <w:r>
        <w:rPr>
          <w:w w:val="115"/>
        </w:rPr>
        <w:t>gobierno</w:t>
      </w:r>
      <w:r>
        <w:rPr>
          <w:spacing w:val="-14"/>
          <w:w w:val="115"/>
        </w:rPr>
        <w:t> </w:t>
      </w:r>
      <w:r>
        <w:rPr>
          <w:w w:val="115"/>
        </w:rPr>
        <w:t>de</w:t>
      </w:r>
      <w:r>
        <w:rPr>
          <w:spacing w:val="-14"/>
          <w:w w:val="115"/>
        </w:rPr>
        <w:t> </w:t>
      </w:r>
      <w:r>
        <w:rPr>
          <w:w w:val="115"/>
        </w:rPr>
        <w:t>llegar</w:t>
      </w:r>
      <w:r>
        <w:rPr>
          <w:spacing w:val="-14"/>
          <w:w w:val="115"/>
        </w:rPr>
        <w:t> </w:t>
      </w:r>
      <w:r>
        <w:rPr>
          <w:w w:val="115"/>
        </w:rPr>
        <w:t>a</w:t>
      </w:r>
      <w:r>
        <w:rPr>
          <w:spacing w:val="-14"/>
          <w:w w:val="115"/>
        </w:rPr>
        <w:t> </w:t>
      </w:r>
      <w:r>
        <w:rPr>
          <w:w w:val="115"/>
        </w:rPr>
        <w:t>una</w:t>
      </w:r>
      <w:r>
        <w:rPr>
          <w:spacing w:val="-14"/>
          <w:w w:val="115"/>
        </w:rPr>
        <w:t> </w:t>
      </w:r>
      <w:r>
        <w:rPr>
          <w:w w:val="115"/>
        </w:rPr>
        <w:t>paz,</w:t>
      </w:r>
      <w:r>
        <w:rPr>
          <w:spacing w:val="-14"/>
          <w:w w:val="115"/>
        </w:rPr>
        <w:t> </w:t>
      </w:r>
      <w:r>
        <w:rPr>
          <w:w w:val="115"/>
        </w:rPr>
        <w:t>y</w:t>
      </w:r>
      <w:r>
        <w:rPr>
          <w:spacing w:val="-14"/>
          <w:w w:val="115"/>
        </w:rPr>
        <w:t> </w:t>
      </w:r>
      <w:r>
        <w:rPr>
          <w:w w:val="115"/>
        </w:rPr>
        <w:t>no</w:t>
      </w:r>
      <w:r>
        <w:rPr>
          <w:spacing w:val="-14"/>
          <w:w w:val="115"/>
        </w:rPr>
        <w:t> </w:t>
      </w:r>
      <w:r>
        <w:rPr>
          <w:spacing w:val="-2"/>
          <w:w w:val="115"/>
        </w:rPr>
        <w:t>porque</w:t>
      </w:r>
      <w:r>
        <w:rPr>
          <w:spacing w:val="-2"/>
          <w:w w:val="108"/>
        </w:rPr>
        <w:t> </w:t>
      </w:r>
      <w:r>
        <w:rPr>
          <w:w w:val="115"/>
        </w:rPr>
        <w:t>estaban</w:t>
      </w:r>
      <w:r>
        <w:rPr>
          <w:spacing w:val="-13"/>
          <w:w w:val="115"/>
        </w:rPr>
        <w:t> </w:t>
      </w:r>
      <w:r>
        <w:rPr>
          <w:w w:val="115"/>
        </w:rPr>
        <w:t>perdiendo</w:t>
      </w:r>
      <w:r>
        <w:rPr>
          <w:spacing w:val="-13"/>
          <w:w w:val="115"/>
        </w:rPr>
        <w:t> </w:t>
      </w:r>
      <w:r>
        <w:rPr>
          <w:w w:val="115"/>
        </w:rPr>
        <w:t>la</w:t>
      </w:r>
      <w:r>
        <w:rPr>
          <w:spacing w:val="-13"/>
          <w:w w:val="115"/>
        </w:rPr>
        <w:t> </w:t>
      </w:r>
      <w:r>
        <w:rPr>
          <w:w w:val="115"/>
        </w:rPr>
        <w:t>guerra,</w:t>
      </w:r>
      <w:r>
        <w:rPr>
          <w:spacing w:val="-13"/>
          <w:w w:val="115"/>
        </w:rPr>
        <w:t> </w:t>
      </w:r>
      <w:r>
        <w:rPr>
          <w:w w:val="115"/>
        </w:rPr>
        <w:t>o</w:t>
      </w:r>
      <w:r>
        <w:rPr>
          <w:spacing w:val="-13"/>
          <w:w w:val="115"/>
        </w:rPr>
        <w:t> </w:t>
      </w:r>
      <w:r>
        <w:rPr>
          <w:w w:val="115"/>
        </w:rPr>
        <w:t>por</w:t>
      </w:r>
      <w:r>
        <w:rPr>
          <w:spacing w:val="-13"/>
          <w:w w:val="115"/>
        </w:rPr>
        <w:t> </w:t>
      </w:r>
      <w:r>
        <w:rPr>
          <w:w w:val="115"/>
        </w:rPr>
        <w:t>la</w:t>
      </w:r>
      <w:r>
        <w:rPr>
          <w:spacing w:val="-13"/>
          <w:w w:val="115"/>
        </w:rPr>
        <w:t> </w:t>
      </w:r>
      <w:r>
        <w:rPr>
          <w:w w:val="115"/>
        </w:rPr>
        <w:t>fuerte</w:t>
      </w:r>
      <w:r>
        <w:rPr>
          <w:spacing w:val="-13"/>
          <w:w w:val="115"/>
        </w:rPr>
        <w:t> </w:t>
      </w:r>
      <w:r>
        <w:rPr>
          <w:w w:val="115"/>
        </w:rPr>
        <w:t>presión</w:t>
      </w:r>
      <w:r>
        <w:rPr>
          <w:spacing w:val="-13"/>
          <w:w w:val="115"/>
        </w:rPr>
        <w:t> </w:t>
      </w:r>
      <w:r>
        <w:rPr>
          <w:w w:val="115"/>
        </w:rPr>
        <w:t>en</w:t>
      </w:r>
      <w:r>
        <w:rPr>
          <w:spacing w:val="-13"/>
          <w:w w:val="115"/>
        </w:rPr>
        <w:t> </w:t>
      </w:r>
      <w:r>
        <w:rPr>
          <w:w w:val="115"/>
        </w:rPr>
        <w:t>contra</w:t>
      </w:r>
      <w:r>
        <w:rPr>
          <w:spacing w:val="-13"/>
          <w:w w:val="115"/>
        </w:rPr>
        <w:t> </w:t>
      </w:r>
      <w:r>
        <w:rPr>
          <w:w w:val="115"/>
        </w:rPr>
        <w:t>que</w:t>
      </w:r>
      <w:r>
        <w:rPr>
          <w:spacing w:val="-13"/>
          <w:w w:val="115"/>
        </w:rPr>
        <w:t> </w:t>
      </w:r>
      <w:r>
        <w:rPr>
          <w:w w:val="115"/>
        </w:rPr>
        <w:t>se</w:t>
      </w:r>
      <w:r>
        <w:rPr>
          <w:spacing w:val="-2"/>
          <w:w w:val="105"/>
        </w:rPr>
        <w:t> </w:t>
      </w:r>
      <w:r>
        <w:rPr>
          <w:spacing w:val="-2"/>
          <w:w w:val="112"/>
        </w:rPr>
        <w:t>habí</w:t>
      </w:r>
      <w:r>
        <w:rPr>
          <w:w w:val="112"/>
        </w:rPr>
        <w:t>a</w:t>
      </w:r>
      <w:r>
        <w:rPr>
          <w:spacing w:val="14"/>
        </w:rPr>
        <w:t> </w:t>
      </w:r>
      <w:r>
        <w:rPr>
          <w:spacing w:val="-2"/>
          <w:w w:val="108"/>
        </w:rPr>
        <w:t>desatad</w:t>
      </w:r>
      <w:r>
        <w:rPr>
          <w:w w:val="108"/>
        </w:rPr>
        <w:t>o</w:t>
      </w:r>
      <w:r>
        <w:rPr>
          <w:spacing w:val="14"/>
        </w:rPr>
        <w:t> </w:t>
      </w:r>
      <w:r>
        <w:rPr>
          <w:w w:val="112"/>
        </w:rPr>
        <w:t>a</w:t>
      </w:r>
      <w:r>
        <w:rPr>
          <w:spacing w:val="14"/>
        </w:rPr>
        <w:t> </w:t>
      </w:r>
      <w:r>
        <w:rPr>
          <w:spacing w:val="-2"/>
          <w:w w:val="108"/>
        </w:rPr>
        <w:t>nive</w:t>
      </w:r>
      <w:r>
        <w:rPr>
          <w:w w:val="108"/>
        </w:rPr>
        <w:t>l</w:t>
      </w:r>
      <w:r>
        <w:rPr>
          <w:spacing w:val="14"/>
        </w:rPr>
        <w:t> </w:t>
      </w:r>
      <w:r>
        <w:rPr>
          <w:spacing w:val="-2"/>
          <w:w w:val="112"/>
        </w:rPr>
        <w:t>naciona</w:t>
      </w:r>
      <w:r>
        <w:rPr>
          <w:w w:val="112"/>
        </w:rPr>
        <w:t>l</w:t>
      </w:r>
      <w:r>
        <w:rPr>
          <w:spacing w:val="14"/>
        </w:rPr>
        <w:t> </w:t>
      </w:r>
      <w:r>
        <w:rPr>
          <w:spacing w:val="-2"/>
          <w:w w:val="114"/>
        </w:rPr>
        <w:t>(Zinn</w:t>
      </w:r>
      <w:r>
        <w:rPr>
          <w:w w:val="114"/>
        </w:rPr>
        <w:t>,</w:t>
      </w:r>
      <w:r>
        <w:rPr>
          <w:spacing w:val="14"/>
        </w:rPr>
        <w:t> </w:t>
      </w:r>
      <w:r>
        <w:rPr>
          <w:spacing w:val="-2"/>
          <w:w w:val="103"/>
        </w:rPr>
        <w:t>2003</w:t>
      </w:r>
      <w:r>
        <w:rPr>
          <w:w w:val="103"/>
        </w:rPr>
        <w:t>:</w:t>
      </w:r>
      <w:r>
        <w:rPr>
          <w:spacing w:val="14"/>
        </w:rPr>
        <w:t> </w:t>
      </w:r>
      <w:r>
        <w:rPr>
          <w:spacing w:val="-2"/>
          <w:w w:val="105"/>
        </w:rPr>
        <w:t>250)</w:t>
      </w:r>
      <w:r>
        <w:rPr>
          <w:w w:val="105"/>
        </w:rPr>
        <w:t>.</w:t>
      </w:r>
      <w:r>
        <w:rPr>
          <w:spacing w:val="14"/>
        </w:rPr>
        <w:t> </w:t>
      </w:r>
      <w:r>
        <w:rPr>
          <w:spacing w:val="-2"/>
          <w:w w:val="243"/>
        </w:rPr>
        <w:t>l</w:t>
      </w:r>
      <w:r>
        <w:rPr>
          <w:w w:val="112"/>
        </w:rPr>
        <w:t>a</w:t>
      </w:r>
      <w:r>
        <w:rPr>
          <w:spacing w:val="14"/>
        </w:rPr>
        <w:t> </w:t>
      </w:r>
      <w:r>
        <w:rPr>
          <w:spacing w:val="-2"/>
          <w:w w:val="113"/>
        </w:rPr>
        <w:t>luch</w:t>
      </w:r>
      <w:r>
        <w:rPr>
          <w:w w:val="113"/>
        </w:rPr>
        <w:t>a</w:t>
      </w:r>
      <w:r>
        <w:rPr>
          <w:spacing w:val="14"/>
        </w:rPr>
        <w:t> </w:t>
      </w:r>
      <w:r>
        <w:rPr>
          <w:spacing w:val="-2"/>
          <w:w w:val="108"/>
        </w:rPr>
        <w:t>po</w:t>
      </w:r>
      <w:r>
        <w:rPr>
          <w:w w:val="108"/>
        </w:rPr>
        <w:t>r</w:t>
      </w:r>
      <w:r>
        <w:rPr>
          <w:spacing w:val="14"/>
        </w:rPr>
        <w:t> </w:t>
      </w:r>
      <w:r>
        <w:rPr>
          <w:spacing w:val="-2"/>
          <w:w w:val="108"/>
        </w:rPr>
        <w:t>borrar </w:t>
      </w:r>
      <w:r>
        <w:rPr>
          <w:w w:val="115"/>
        </w:rPr>
        <w:t>esta</w:t>
      </w:r>
      <w:r>
        <w:rPr>
          <w:spacing w:val="-14"/>
          <w:w w:val="115"/>
        </w:rPr>
        <w:t> </w:t>
      </w:r>
      <w:r>
        <w:rPr>
          <w:w w:val="115"/>
        </w:rPr>
        <w:t>memoria</w:t>
      </w:r>
      <w:r>
        <w:rPr>
          <w:spacing w:val="-15"/>
          <w:w w:val="115"/>
        </w:rPr>
        <w:t> </w:t>
      </w:r>
      <w:r>
        <w:rPr>
          <w:w w:val="115"/>
        </w:rPr>
        <w:t>ha</w:t>
      </w:r>
      <w:r>
        <w:rPr>
          <w:spacing w:val="-15"/>
          <w:w w:val="115"/>
        </w:rPr>
        <w:t> </w:t>
      </w:r>
      <w:r>
        <w:rPr>
          <w:w w:val="115"/>
        </w:rPr>
        <w:t>sido</w:t>
      </w:r>
      <w:r>
        <w:rPr>
          <w:spacing w:val="-14"/>
          <w:w w:val="115"/>
        </w:rPr>
        <w:t> </w:t>
      </w:r>
      <w:r>
        <w:rPr>
          <w:w w:val="115"/>
        </w:rPr>
        <w:t>y</w:t>
      </w:r>
      <w:r>
        <w:rPr>
          <w:spacing w:val="-15"/>
          <w:w w:val="115"/>
        </w:rPr>
        <w:t> </w:t>
      </w:r>
      <w:r>
        <w:rPr>
          <w:w w:val="115"/>
        </w:rPr>
        <w:t>es</w:t>
      </w:r>
      <w:r>
        <w:rPr>
          <w:spacing w:val="-15"/>
          <w:w w:val="115"/>
        </w:rPr>
        <w:t> </w:t>
      </w:r>
      <w:r>
        <w:rPr>
          <w:w w:val="115"/>
        </w:rPr>
        <w:t>uno</w:t>
      </w:r>
      <w:r>
        <w:rPr>
          <w:spacing w:val="-15"/>
          <w:w w:val="115"/>
        </w:rPr>
        <w:t> </w:t>
      </w:r>
      <w:r>
        <w:rPr>
          <w:w w:val="115"/>
        </w:rPr>
        <w:t>de</w:t>
      </w:r>
      <w:r>
        <w:rPr>
          <w:spacing w:val="-15"/>
          <w:w w:val="115"/>
        </w:rPr>
        <w:t> </w:t>
      </w:r>
      <w:r>
        <w:rPr>
          <w:w w:val="115"/>
        </w:rPr>
        <w:t>los</w:t>
      </w:r>
      <w:r>
        <w:rPr>
          <w:spacing w:val="-14"/>
          <w:w w:val="115"/>
        </w:rPr>
        <w:t> </w:t>
      </w:r>
      <w:r>
        <w:rPr>
          <w:w w:val="115"/>
        </w:rPr>
        <w:t>capítulos</w:t>
      </w:r>
      <w:r>
        <w:rPr>
          <w:spacing w:val="-14"/>
          <w:w w:val="115"/>
        </w:rPr>
        <w:t> </w:t>
      </w:r>
      <w:r>
        <w:rPr>
          <w:w w:val="115"/>
        </w:rPr>
        <w:t>más</w:t>
      </w:r>
      <w:r>
        <w:rPr>
          <w:spacing w:val="-14"/>
          <w:w w:val="115"/>
        </w:rPr>
        <w:t> </w:t>
      </w:r>
      <w:r>
        <w:rPr>
          <w:w w:val="115"/>
        </w:rPr>
        <w:t>importantes</w:t>
      </w:r>
      <w:r>
        <w:rPr>
          <w:spacing w:val="-15"/>
          <w:w w:val="115"/>
        </w:rPr>
        <w:t> </w:t>
      </w:r>
      <w:r>
        <w:rPr>
          <w:w w:val="115"/>
        </w:rPr>
        <w:t>en</w:t>
      </w:r>
      <w:r>
        <w:rPr>
          <w:spacing w:val="-15"/>
          <w:w w:val="115"/>
        </w:rPr>
        <w:t> </w:t>
      </w:r>
      <w:r>
        <w:rPr>
          <w:w w:val="115"/>
        </w:rPr>
        <w:t>la</w:t>
      </w:r>
      <w:r>
        <w:rPr>
          <w:spacing w:val="-2"/>
          <w:w w:val="111"/>
        </w:rPr>
        <w:t> </w:t>
      </w:r>
      <w:r>
        <w:rPr>
          <w:w w:val="110"/>
        </w:rPr>
        <w:t>guerra</w:t>
      </w:r>
      <w:r>
        <w:rPr>
          <w:spacing w:val="-18"/>
          <w:w w:val="110"/>
        </w:rPr>
        <w:t> </w:t>
      </w:r>
      <w:r>
        <w:rPr>
          <w:w w:val="110"/>
        </w:rPr>
        <w:t>por</w:t>
      </w:r>
      <w:r>
        <w:rPr>
          <w:spacing w:val="-18"/>
          <w:w w:val="110"/>
        </w:rPr>
        <w:t> </w:t>
      </w:r>
      <w:r>
        <w:rPr>
          <w:w w:val="110"/>
        </w:rPr>
        <w:t>ganar</w:t>
      </w:r>
      <w:r>
        <w:rPr>
          <w:spacing w:val="-18"/>
          <w:w w:val="110"/>
        </w:rPr>
        <w:t> </w:t>
      </w:r>
      <w:r>
        <w:rPr>
          <w:w w:val="110"/>
        </w:rPr>
        <w:t>los</w:t>
      </w:r>
      <w:r>
        <w:rPr>
          <w:spacing w:val="-18"/>
          <w:w w:val="110"/>
        </w:rPr>
        <w:t> </w:t>
      </w:r>
      <w:r>
        <w:rPr>
          <w:w w:val="110"/>
        </w:rPr>
        <w:t>corazones</w:t>
      </w:r>
      <w:r>
        <w:rPr>
          <w:spacing w:val="-18"/>
          <w:w w:val="110"/>
        </w:rPr>
        <w:t> </w:t>
      </w:r>
      <w:r>
        <w:rPr>
          <w:w w:val="110"/>
        </w:rPr>
        <w:t>y</w:t>
      </w:r>
      <w:r>
        <w:rPr>
          <w:spacing w:val="-18"/>
          <w:w w:val="110"/>
        </w:rPr>
        <w:t> </w:t>
      </w:r>
      <w:r>
        <w:rPr>
          <w:w w:val="110"/>
        </w:rPr>
        <w:t>las</w:t>
      </w:r>
      <w:r>
        <w:rPr>
          <w:spacing w:val="-18"/>
          <w:w w:val="110"/>
        </w:rPr>
        <w:t> </w:t>
      </w:r>
      <w:r>
        <w:rPr>
          <w:w w:val="110"/>
        </w:rPr>
        <w:t>mentes</w:t>
      </w:r>
      <w:r>
        <w:rPr>
          <w:spacing w:val="-18"/>
          <w:w w:val="110"/>
        </w:rPr>
        <w:t> </w:t>
      </w:r>
      <w:r>
        <w:rPr>
          <w:w w:val="110"/>
        </w:rPr>
        <w:t>(guerra</w:t>
      </w:r>
      <w:r>
        <w:rPr>
          <w:spacing w:val="-18"/>
          <w:w w:val="110"/>
        </w:rPr>
        <w:t> </w:t>
      </w:r>
      <w:r>
        <w:rPr>
          <w:w w:val="110"/>
        </w:rPr>
        <w:t>psicológica)</w:t>
      </w:r>
      <w:r>
        <w:rPr>
          <w:spacing w:val="-18"/>
          <w:w w:val="110"/>
        </w:rPr>
        <w:t> </w:t>
      </w:r>
      <w:r>
        <w:rPr>
          <w:w w:val="110"/>
        </w:rPr>
        <w:t>a</w:t>
      </w:r>
      <w:r>
        <w:rPr>
          <w:spacing w:val="-18"/>
          <w:w w:val="110"/>
        </w:rPr>
        <w:t> </w:t>
      </w:r>
      <w:r>
        <w:rPr>
          <w:w w:val="110"/>
        </w:rPr>
        <w:t>favor</w:t>
      </w:r>
      <w:r>
        <w:rPr>
          <w:spacing w:val="-2"/>
          <w:w w:val="108"/>
        </w:rPr>
        <w:t> </w:t>
      </w:r>
      <w:r>
        <w:rPr>
          <w:w w:val="115"/>
        </w:rPr>
        <w:t>de</w:t>
      </w:r>
      <w:r>
        <w:rPr>
          <w:spacing w:val="-20"/>
          <w:w w:val="115"/>
        </w:rPr>
        <w:t> </w:t>
      </w:r>
      <w:r>
        <w:rPr>
          <w:w w:val="115"/>
        </w:rPr>
        <w:t>la</w:t>
      </w:r>
      <w:r>
        <w:rPr>
          <w:spacing w:val="-20"/>
          <w:w w:val="115"/>
        </w:rPr>
        <w:t> </w:t>
      </w:r>
      <w:r>
        <w:rPr>
          <w:w w:val="115"/>
        </w:rPr>
        <w:t>militarización.</w:t>
      </w:r>
      <w:r>
        <w:rPr>
          <w:spacing w:val="-20"/>
          <w:w w:val="115"/>
        </w:rPr>
        <w:t> </w:t>
      </w:r>
      <w:r>
        <w:rPr>
          <w:w w:val="115"/>
        </w:rPr>
        <w:t>Es</w:t>
      </w:r>
      <w:r>
        <w:rPr>
          <w:spacing w:val="-20"/>
          <w:w w:val="115"/>
        </w:rPr>
        <w:t> </w:t>
      </w:r>
      <w:r>
        <w:rPr>
          <w:w w:val="115"/>
        </w:rPr>
        <w:t>por</w:t>
      </w:r>
      <w:r>
        <w:rPr>
          <w:spacing w:val="-20"/>
          <w:w w:val="115"/>
        </w:rPr>
        <w:t> </w:t>
      </w:r>
      <w:r>
        <w:rPr>
          <w:w w:val="115"/>
        </w:rPr>
        <w:t>ello</w:t>
      </w:r>
      <w:r>
        <w:rPr>
          <w:spacing w:val="-20"/>
          <w:w w:val="115"/>
        </w:rPr>
        <w:t> </w:t>
      </w:r>
      <w:r>
        <w:rPr>
          <w:w w:val="115"/>
        </w:rPr>
        <w:t>que</w:t>
      </w:r>
      <w:r>
        <w:rPr>
          <w:spacing w:val="-20"/>
          <w:w w:val="115"/>
        </w:rPr>
        <w:t> </w:t>
      </w:r>
      <w:r>
        <w:rPr>
          <w:w w:val="115"/>
        </w:rPr>
        <w:t>la</w:t>
      </w:r>
      <w:r>
        <w:rPr>
          <w:spacing w:val="-20"/>
          <w:w w:val="115"/>
        </w:rPr>
        <w:t> </w:t>
      </w:r>
      <w:r>
        <w:rPr>
          <w:w w:val="115"/>
        </w:rPr>
        <w:t>propaganda</w:t>
      </w:r>
      <w:r>
        <w:rPr>
          <w:spacing w:val="-20"/>
          <w:w w:val="115"/>
        </w:rPr>
        <w:t> </w:t>
      </w:r>
      <w:r>
        <w:rPr>
          <w:w w:val="115"/>
        </w:rPr>
        <w:t>a</w:t>
      </w:r>
      <w:r>
        <w:rPr>
          <w:spacing w:val="-20"/>
          <w:w w:val="115"/>
        </w:rPr>
        <w:t> </w:t>
      </w:r>
      <w:r>
        <w:rPr>
          <w:w w:val="115"/>
        </w:rPr>
        <w:t>favor</w:t>
      </w:r>
      <w:r>
        <w:rPr>
          <w:spacing w:val="-20"/>
          <w:w w:val="115"/>
        </w:rPr>
        <w:t> </w:t>
      </w:r>
      <w:r>
        <w:rPr>
          <w:w w:val="115"/>
        </w:rPr>
        <w:t>de</w:t>
      </w:r>
      <w:r>
        <w:rPr>
          <w:spacing w:val="-20"/>
          <w:w w:val="115"/>
        </w:rPr>
        <w:t> </w:t>
      </w:r>
      <w:r>
        <w:rPr>
          <w:w w:val="115"/>
        </w:rPr>
        <w:t>la</w:t>
      </w:r>
      <w:r>
        <w:rPr>
          <w:spacing w:val="-20"/>
          <w:w w:val="115"/>
        </w:rPr>
        <w:t> </w:t>
      </w:r>
      <w:r>
        <w:rPr>
          <w:spacing w:val="-2"/>
          <w:w w:val="115"/>
        </w:rPr>
        <w:t>guerra</w:t>
      </w:r>
      <w:r>
        <w:rPr>
          <w:spacing w:val="-2"/>
          <w:w w:val="108"/>
        </w:rPr>
        <w:t> </w:t>
      </w:r>
      <w:r>
        <w:rPr>
          <w:spacing w:val="-2"/>
          <w:w w:val="109"/>
        </w:rPr>
        <w:t>sigu</w:t>
      </w:r>
      <w:r>
        <w:rPr>
          <w:w w:val="109"/>
        </w:rPr>
        <w:t>e</w:t>
      </w:r>
      <w:r>
        <w:rPr>
          <w:spacing w:val="-2"/>
        </w:rPr>
        <w:t> </w:t>
      </w:r>
      <w:r>
        <w:rPr>
          <w:spacing w:val="-2"/>
          <w:w w:val="108"/>
        </w:rPr>
        <w:t>estand</w:t>
      </w:r>
      <w:r>
        <w:rPr>
          <w:w w:val="108"/>
        </w:rPr>
        <w:t>o</w:t>
      </w:r>
      <w:r>
        <w:rPr>
          <w:spacing w:val="-2"/>
        </w:rPr>
        <w:t> </w:t>
      </w:r>
      <w:r>
        <w:rPr>
          <w:w w:val="112"/>
        </w:rPr>
        <w:t>a</w:t>
      </w:r>
      <w:r>
        <w:rPr>
          <w:spacing w:val="-2"/>
        </w:rPr>
        <w:t> </w:t>
      </w:r>
      <w:r>
        <w:rPr>
          <w:spacing w:val="-2"/>
          <w:w w:val="111"/>
        </w:rPr>
        <w:t>l</w:t>
      </w:r>
      <w:r>
        <w:rPr>
          <w:w w:val="111"/>
        </w:rPr>
        <w:t>a</w:t>
      </w:r>
      <w:r>
        <w:rPr>
          <w:spacing w:val="-2"/>
        </w:rPr>
        <w:t> </w:t>
      </w:r>
      <w:r>
        <w:rPr>
          <w:spacing w:val="-2"/>
          <w:w w:val="108"/>
        </w:rPr>
        <w:t>orde</w:t>
      </w:r>
      <w:r>
        <w:rPr>
          <w:w w:val="108"/>
        </w:rPr>
        <w:t>n</w:t>
      </w:r>
      <w:r>
        <w:rPr>
          <w:spacing w:val="-2"/>
        </w:rPr>
        <w:t> </w:t>
      </w:r>
      <w:r>
        <w:rPr>
          <w:spacing w:val="-2"/>
          <w:w w:val="107"/>
        </w:rPr>
        <w:t>de</w:t>
      </w:r>
      <w:r>
        <w:rPr>
          <w:w w:val="107"/>
        </w:rPr>
        <w:t>l</w:t>
      </w:r>
      <w:r>
        <w:rPr>
          <w:spacing w:val="-2"/>
        </w:rPr>
        <w:t> </w:t>
      </w:r>
      <w:r>
        <w:rPr>
          <w:spacing w:val="-2"/>
          <w:w w:val="115"/>
        </w:rPr>
        <w:t>día</w:t>
      </w:r>
      <w:r>
        <w:rPr>
          <w:w w:val="115"/>
        </w:rPr>
        <w:t>.</w:t>
      </w:r>
      <w:r>
        <w:rPr>
          <w:spacing w:val="-2"/>
        </w:rPr>
        <w:t> </w:t>
      </w:r>
      <w:r>
        <w:rPr>
          <w:spacing w:val="-2"/>
          <w:w w:val="243"/>
        </w:rPr>
        <w:t>l</w:t>
      </w:r>
      <w:r>
        <w:rPr>
          <w:w w:val="112"/>
        </w:rPr>
        <w:t>a</w:t>
      </w:r>
      <w:r>
        <w:rPr>
          <w:spacing w:val="-2"/>
        </w:rPr>
        <w:t> </w:t>
      </w:r>
      <w:r>
        <w:rPr>
          <w:spacing w:val="-2"/>
          <w:w w:val="111"/>
        </w:rPr>
        <w:t>págin</w:t>
      </w:r>
      <w:r>
        <w:rPr>
          <w:w w:val="111"/>
        </w:rPr>
        <w:t>a</w:t>
      </w:r>
      <w:r>
        <w:rPr>
          <w:spacing w:val="-2"/>
        </w:rPr>
        <w:t> </w:t>
      </w:r>
      <w:r>
        <w:rPr>
          <w:spacing w:val="-2"/>
          <w:w w:val="110"/>
        </w:rPr>
        <w:t>o</w:t>
      </w:r>
      <w:r>
        <w:rPr>
          <w:spacing w:val="-1"/>
          <w:w w:val="104"/>
        </w:rPr>
        <w:t>fi</w:t>
      </w:r>
      <w:r>
        <w:rPr>
          <w:spacing w:val="-2"/>
          <w:w w:val="113"/>
        </w:rPr>
        <w:t>cia</w:t>
      </w:r>
      <w:r>
        <w:rPr>
          <w:w w:val="113"/>
        </w:rPr>
        <w:t>l</w:t>
      </w:r>
      <w:r>
        <w:rPr>
          <w:spacing w:val="-2"/>
        </w:rPr>
        <w:t> </w:t>
      </w:r>
      <w:r>
        <w:rPr>
          <w:spacing w:val="-2"/>
          <w:w w:val="107"/>
        </w:rPr>
        <w:t>d</w:t>
      </w:r>
      <w:r>
        <w:rPr>
          <w:w w:val="107"/>
        </w:rPr>
        <w:t>e</w:t>
      </w:r>
      <w:r>
        <w:rPr>
          <w:spacing w:val="-2"/>
        </w:rPr>
        <w:t> </w:t>
      </w:r>
      <w:r>
        <w:rPr>
          <w:spacing w:val="-2"/>
          <w:w w:val="111"/>
        </w:rPr>
        <w:t>conmemoració</w:t>
      </w:r>
      <w:r>
        <w:rPr>
          <w:w w:val="111"/>
        </w:rPr>
        <w:t>n</w:t>
      </w:r>
      <w:r>
        <w:rPr>
          <w:spacing w:val="-2"/>
        </w:rPr>
        <w:t> </w:t>
      </w:r>
      <w:r>
        <w:rPr>
          <w:spacing w:val="-2"/>
          <w:w w:val="107"/>
        </w:rPr>
        <w:t>de </w:t>
      </w:r>
      <w:r>
        <w:rPr>
          <w:spacing w:val="-4"/>
          <w:w w:val="110"/>
        </w:rPr>
        <w:t>Vietnam</w:t>
      </w:r>
      <w:r>
        <w:rPr>
          <w:spacing w:val="-5"/>
          <w:w w:val="110"/>
        </w:rPr>
        <w:t> </w:t>
      </w:r>
      <w:r>
        <w:rPr>
          <w:w w:val="110"/>
        </w:rPr>
        <w:t>confirma</w:t>
      </w:r>
      <w:r>
        <w:rPr>
          <w:spacing w:val="-5"/>
          <w:w w:val="110"/>
        </w:rPr>
        <w:t> </w:t>
      </w:r>
      <w:r>
        <w:rPr>
          <w:w w:val="110"/>
        </w:rPr>
        <w:t>la</w:t>
      </w:r>
      <w:r>
        <w:rPr>
          <w:spacing w:val="-5"/>
          <w:w w:val="110"/>
        </w:rPr>
        <w:t> </w:t>
      </w:r>
      <w:r>
        <w:rPr>
          <w:w w:val="110"/>
        </w:rPr>
        <w:t>tendencia</w:t>
      </w:r>
      <w:r>
        <w:rPr>
          <w:spacing w:val="-5"/>
          <w:w w:val="110"/>
        </w:rPr>
        <w:t> </w:t>
      </w:r>
      <w:r>
        <w:rPr>
          <w:w w:val="110"/>
        </w:rPr>
        <w:t>del</w:t>
      </w:r>
      <w:r>
        <w:rPr>
          <w:spacing w:val="-5"/>
          <w:w w:val="110"/>
        </w:rPr>
        <w:t> </w:t>
      </w:r>
      <w:r>
        <w:rPr>
          <w:w w:val="110"/>
        </w:rPr>
        <w:t>gobierno</w:t>
      </w:r>
      <w:r>
        <w:rPr>
          <w:spacing w:val="-5"/>
          <w:w w:val="110"/>
        </w:rPr>
        <w:t> </w:t>
      </w:r>
      <w:r>
        <w:rPr>
          <w:w w:val="110"/>
        </w:rPr>
        <w:t>a</w:t>
      </w:r>
      <w:r>
        <w:rPr>
          <w:spacing w:val="-5"/>
          <w:w w:val="110"/>
        </w:rPr>
        <w:t> </w:t>
      </w:r>
      <w:r>
        <w:rPr>
          <w:w w:val="110"/>
        </w:rPr>
        <w:t>evitar</w:t>
      </w:r>
      <w:r>
        <w:rPr>
          <w:spacing w:val="-5"/>
          <w:w w:val="110"/>
        </w:rPr>
        <w:t> </w:t>
      </w:r>
      <w:r>
        <w:rPr>
          <w:w w:val="110"/>
        </w:rPr>
        <w:t>una</w:t>
      </w:r>
      <w:r>
        <w:rPr>
          <w:spacing w:val="-5"/>
          <w:w w:val="110"/>
        </w:rPr>
        <w:t> </w:t>
      </w:r>
      <w:r>
        <w:rPr>
          <w:w w:val="110"/>
        </w:rPr>
        <w:t>autocrítica</w:t>
      </w:r>
      <w:r>
        <w:rPr>
          <w:spacing w:val="-5"/>
          <w:w w:val="110"/>
        </w:rPr>
        <w:t> </w:t>
      </w:r>
      <w:r>
        <w:rPr>
          <w:w w:val="110"/>
        </w:rPr>
        <w:t>se-</w:t>
      </w:r>
      <w:r>
        <w:rPr>
          <w:w w:val="102"/>
        </w:rPr>
        <w:t> </w:t>
      </w:r>
      <w:r>
        <w:rPr>
          <w:w w:val="115"/>
        </w:rPr>
        <w:t>ria</w:t>
      </w:r>
      <w:r>
        <w:rPr>
          <w:spacing w:val="-17"/>
          <w:w w:val="115"/>
        </w:rPr>
        <w:t> </w:t>
      </w:r>
      <w:r>
        <w:rPr>
          <w:w w:val="115"/>
        </w:rPr>
        <w:t>y</w:t>
      </w:r>
      <w:r>
        <w:rPr>
          <w:spacing w:val="-17"/>
          <w:w w:val="115"/>
        </w:rPr>
        <w:t> </w:t>
      </w:r>
      <w:r>
        <w:rPr>
          <w:w w:val="115"/>
        </w:rPr>
        <w:t>a</w:t>
      </w:r>
      <w:r>
        <w:rPr>
          <w:spacing w:val="-17"/>
          <w:w w:val="115"/>
        </w:rPr>
        <w:t> </w:t>
      </w:r>
      <w:r>
        <w:rPr>
          <w:w w:val="115"/>
        </w:rPr>
        <w:t>realzar</w:t>
      </w:r>
      <w:r>
        <w:rPr>
          <w:spacing w:val="-17"/>
          <w:w w:val="115"/>
        </w:rPr>
        <w:t> </w:t>
      </w:r>
      <w:r>
        <w:rPr>
          <w:w w:val="115"/>
        </w:rPr>
        <w:t>el</w:t>
      </w:r>
      <w:r>
        <w:rPr>
          <w:spacing w:val="-17"/>
          <w:w w:val="115"/>
        </w:rPr>
        <w:t> </w:t>
      </w:r>
      <w:r>
        <w:rPr>
          <w:w w:val="115"/>
        </w:rPr>
        <w:t>rol</w:t>
      </w:r>
      <w:r>
        <w:rPr>
          <w:spacing w:val="-17"/>
          <w:w w:val="115"/>
        </w:rPr>
        <w:t> </w:t>
      </w:r>
      <w:r>
        <w:rPr>
          <w:w w:val="115"/>
        </w:rPr>
        <w:t>y</w:t>
      </w:r>
      <w:r>
        <w:rPr>
          <w:spacing w:val="-17"/>
          <w:w w:val="115"/>
        </w:rPr>
        <w:t> </w:t>
      </w:r>
      <w:r>
        <w:rPr>
          <w:w w:val="115"/>
        </w:rPr>
        <w:t>los</w:t>
      </w:r>
      <w:r>
        <w:rPr>
          <w:spacing w:val="-17"/>
          <w:w w:val="115"/>
        </w:rPr>
        <w:t> </w:t>
      </w:r>
      <w:r>
        <w:rPr>
          <w:w w:val="115"/>
        </w:rPr>
        <w:t>valores</w:t>
      </w:r>
      <w:r>
        <w:rPr>
          <w:spacing w:val="-17"/>
          <w:w w:val="115"/>
        </w:rPr>
        <w:t> </w:t>
      </w:r>
      <w:r>
        <w:rPr>
          <w:w w:val="115"/>
        </w:rPr>
        <w:t>de</w:t>
      </w:r>
      <w:r>
        <w:rPr>
          <w:spacing w:val="-17"/>
          <w:w w:val="115"/>
        </w:rPr>
        <w:t> </w:t>
      </w:r>
      <w:r>
        <w:rPr>
          <w:w w:val="115"/>
        </w:rPr>
        <w:t>las</w:t>
      </w:r>
      <w:r>
        <w:rPr>
          <w:spacing w:val="-17"/>
          <w:w w:val="115"/>
        </w:rPr>
        <w:t> </w:t>
      </w:r>
      <w:r>
        <w:rPr>
          <w:spacing w:val="-6"/>
          <w:w w:val="115"/>
        </w:rPr>
        <w:t>FF.aa.</w:t>
      </w:r>
      <w:r>
        <w:rPr>
          <w:spacing w:val="-17"/>
          <w:w w:val="115"/>
        </w:rPr>
        <w:t> </w:t>
      </w:r>
      <w:r>
        <w:rPr>
          <w:w w:val="115"/>
        </w:rPr>
        <w:t>según</w:t>
      </w:r>
      <w:r>
        <w:rPr>
          <w:spacing w:val="-17"/>
          <w:w w:val="115"/>
        </w:rPr>
        <w:t> </w:t>
      </w:r>
      <w:r>
        <w:rPr>
          <w:w w:val="115"/>
        </w:rPr>
        <w:t>sus</w:t>
      </w:r>
      <w:r>
        <w:rPr>
          <w:spacing w:val="-17"/>
          <w:w w:val="115"/>
        </w:rPr>
        <w:t> </w:t>
      </w:r>
      <w:r>
        <w:rPr>
          <w:w w:val="115"/>
        </w:rPr>
        <w:t>objetivos,</w:t>
      </w:r>
      <w:r>
        <w:rPr>
          <w:spacing w:val="-17"/>
          <w:w w:val="115"/>
        </w:rPr>
        <w:t> </w:t>
      </w:r>
      <w:r>
        <w:rPr>
          <w:w w:val="115"/>
        </w:rPr>
        <w:t>está</w:t>
      </w:r>
      <w:r>
        <w:rPr>
          <w:spacing w:val="-2"/>
          <w:w w:val="107"/>
        </w:rPr>
        <w:t> </w:t>
      </w:r>
      <w:r>
        <w:rPr>
          <w:w w:val="110"/>
        </w:rPr>
        <w:t>dedicada</w:t>
      </w:r>
      <w:r>
        <w:rPr>
          <w:spacing w:val="-18"/>
          <w:w w:val="110"/>
        </w:rPr>
        <w:t> </w:t>
      </w:r>
      <w:r>
        <w:rPr>
          <w:w w:val="110"/>
        </w:rPr>
        <w:t>especialmente</w:t>
      </w:r>
      <w:r>
        <w:rPr>
          <w:spacing w:val="-18"/>
          <w:w w:val="110"/>
        </w:rPr>
        <w:t> </w:t>
      </w:r>
      <w:r>
        <w:rPr>
          <w:w w:val="110"/>
        </w:rPr>
        <w:t>a</w:t>
      </w:r>
      <w:r>
        <w:rPr>
          <w:spacing w:val="-18"/>
          <w:w w:val="110"/>
        </w:rPr>
        <w:t> </w:t>
      </w:r>
      <w:r>
        <w:rPr>
          <w:w w:val="110"/>
        </w:rPr>
        <w:t>alumnos</w:t>
      </w:r>
      <w:r>
        <w:rPr>
          <w:spacing w:val="-18"/>
          <w:w w:val="110"/>
        </w:rPr>
        <w:t> </w:t>
      </w:r>
      <w:r>
        <w:rPr>
          <w:w w:val="110"/>
        </w:rPr>
        <w:t>y</w:t>
      </w:r>
      <w:r>
        <w:rPr>
          <w:spacing w:val="-18"/>
          <w:w w:val="110"/>
        </w:rPr>
        <w:t> </w:t>
      </w:r>
      <w:r>
        <w:rPr>
          <w:w w:val="110"/>
        </w:rPr>
        <w:t>estudiantes</w:t>
      </w:r>
      <w:r>
        <w:rPr>
          <w:spacing w:val="-18"/>
          <w:w w:val="110"/>
        </w:rPr>
        <w:t> </w:t>
      </w:r>
      <w:r>
        <w:rPr>
          <w:w w:val="110"/>
        </w:rPr>
        <w:t>de</w:t>
      </w:r>
      <w:r>
        <w:rPr>
          <w:spacing w:val="-18"/>
          <w:w w:val="110"/>
        </w:rPr>
        <w:t> </w:t>
      </w:r>
      <w:r>
        <w:rPr>
          <w:w w:val="110"/>
        </w:rPr>
        <w:t>diferentes</w:t>
      </w:r>
      <w:r>
        <w:rPr>
          <w:spacing w:val="-18"/>
          <w:w w:val="110"/>
        </w:rPr>
        <w:t> </w:t>
      </w:r>
      <w:r>
        <w:rPr>
          <w:spacing w:val="-3"/>
          <w:w w:val="110"/>
        </w:rPr>
        <w:t>niveles.</w:t>
      </w:r>
      <w:r>
        <w:rPr>
          <w:spacing w:val="-3"/>
          <w:w w:val="110"/>
          <w:position w:val="6"/>
          <w:sz w:val="11"/>
        </w:rPr>
        <w:t>12</w:t>
      </w:r>
      <w:r>
        <w:rPr>
          <w:spacing w:val="-2"/>
          <w:w w:val="103"/>
          <w:position w:val="6"/>
          <w:sz w:val="11"/>
        </w:rPr>
        <w:t> </w:t>
      </w:r>
      <w:r>
        <w:rPr>
          <w:w w:val="115"/>
        </w:rPr>
        <w:t>En</w:t>
      </w:r>
      <w:r>
        <w:rPr>
          <w:spacing w:val="-24"/>
          <w:w w:val="115"/>
        </w:rPr>
        <w:t> </w:t>
      </w:r>
      <w:r>
        <w:rPr>
          <w:w w:val="115"/>
        </w:rPr>
        <w:t>términos</w:t>
      </w:r>
      <w:r>
        <w:rPr>
          <w:spacing w:val="-24"/>
          <w:w w:val="115"/>
        </w:rPr>
        <w:t> </w:t>
      </w:r>
      <w:r>
        <w:rPr>
          <w:w w:val="115"/>
        </w:rPr>
        <w:t>generales,</w:t>
      </w:r>
      <w:r>
        <w:rPr>
          <w:spacing w:val="-24"/>
          <w:w w:val="115"/>
        </w:rPr>
        <w:t> </w:t>
      </w:r>
      <w:r>
        <w:rPr>
          <w:w w:val="115"/>
        </w:rPr>
        <w:t>lo</w:t>
      </w:r>
      <w:r>
        <w:rPr>
          <w:spacing w:val="-24"/>
          <w:w w:val="115"/>
        </w:rPr>
        <w:t> </w:t>
      </w:r>
      <w:r>
        <w:rPr>
          <w:w w:val="115"/>
        </w:rPr>
        <w:t>primero</w:t>
      </w:r>
      <w:r>
        <w:rPr>
          <w:spacing w:val="-24"/>
          <w:w w:val="115"/>
        </w:rPr>
        <w:t> </w:t>
      </w:r>
      <w:r>
        <w:rPr>
          <w:w w:val="115"/>
        </w:rPr>
        <w:t>que</w:t>
      </w:r>
      <w:r>
        <w:rPr>
          <w:spacing w:val="-24"/>
          <w:w w:val="115"/>
        </w:rPr>
        <w:t> </w:t>
      </w:r>
      <w:r>
        <w:rPr>
          <w:w w:val="115"/>
        </w:rPr>
        <w:t>llama</w:t>
      </w:r>
      <w:r>
        <w:rPr>
          <w:spacing w:val="-24"/>
          <w:w w:val="115"/>
        </w:rPr>
        <w:t> </w:t>
      </w:r>
      <w:r>
        <w:rPr>
          <w:w w:val="115"/>
        </w:rPr>
        <w:t>la</w:t>
      </w:r>
      <w:r>
        <w:rPr>
          <w:spacing w:val="-24"/>
          <w:w w:val="115"/>
        </w:rPr>
        <w:t> </w:t>
      </w:r>
      <w:r>
        <w:rPr>
          <w:w w:val="115"/>
        </w:rPr>
        <w:t>atención</w:t>
      </w:r>
      <w:r>
        <w:rPr>
          <w:spacing w:val="-24"/>
          <w:w w:val="115"/>
        </w:rPr>
        <w:t> </w:t>
      </w:r>
      <w:r>
        <w:rPr>
          <w:w w:val="115"/>
        </w:rPr>
        <w:t>es</w:t>
      </w:r>
      <w:r>
        <w:rPr>
          <w:spacing w:val="-24"/>
          <w:w w:val="115"/>
        </w:rPr>
        <w:t> </w:t>
      </w:r>
      <w:r>
        <w:rPr>
          <w:w w:val="115"/>
        </w:rPr>
        <w:t>la</w:t>
      </w:r>
      <w:r>
        <w:rPr>
          <w:spacing w:val="-24"/>
          <w:w w:val="115"/>
        </w:rPr>
        <w:t> </w:t>
      </w:r>
      <w:r>
        <w:rPr>
          <w:w w:val="115"/>
        </w:rPr>
        <w:t>pre-</w:t>
      </w:r>
      <w:r>
        <w:rPr>
          <w:w w:val="102"/>
        </w:rPr>
        <w:t> </w:t>
      </w:r>
      <w:r>
        <w:rPr>
          <w:w w:val="115"/>
        </w:rPr>
        <w:t>sentación</w:t>
      </w:r>
      <w:r>
        <w:rPr>
          <w:spacing w:val="-17"/>
          <w:w w:val="115"/>
        </w:rPr>
        <w:t> </w:t>
      </w:r>
      <w:r>
        <w:rPr>
          <w:w w:val="115"/>
        </w:rPr>
        <w:t>gráfica</w:t>
      </w:r>
      <w:r>
        <w:rPr>
          <w:spacing w:val="-17"/>
          <w:w w:val="115"/>
        </w:rPr>
        <w:t> </w:t>
      </w:r>
      <w:r>
        <w:rPr>
          <w:w w:val="115"/>
        </w:rPr>
        <w:t>de</w:t>
      </w:r>
      <w:r>
        <w:rPr>
          <w:spacing w:val="-17"/>
          <w:w w:val="115"/>
        </w:rPr>
        <w:t> </w:t>
      </w:r>
      <w:r>
        <w:rPr>
          <w:w w:val="115"/>
        </w:rPr>
        <w:t>la</w:t>
      </w:r>
      <w:r>
        <w:rPr>
          <w:spacing w:val="-17"/>
          <w:w w:val="115"/>
        </w:rPr>
        <w:t> </w:t>
      </w:r>
      <w:r>
        <w:rPr>
          <w:w w:val="115"/>
        </w:rPr>
        <w:t>página</w:t>
      </w:r>
      <w:r>
        <w:rPr>
          <w:spacing w:val="-17"/>
          <w:w w:val="115"/>
        </w:rPr>
        <w:t> </w:t>
      </w:r>
      <w:r>
        <w:rPr>
          <w:w w:val="115"/>
        </w:rPr>
        <w:t>web,</w:t>
      </w:r>
      <w:r>
        <w:rPr>
          <w:spacing w:val="-17"/>
          <w:w w:val="115"/>
        </w:rPr>
        <w:t> </w:t>
      </w:r>
      <w:r>
        <w:rPr>
          <w:w w:val="115"/>
        </w:rPr>
        <w:t>en</w:t>
      </w:r>
      <w:r>
        <w:rPr>
          <w:spacing w:val="-17"/>
          <w:w w:val="115"/>
        </w:rPr>
        <w:t> </w:t>
      </w:r>
      <w:r>
        <w:rPr>
          <w:w w:val="115"/>
        </w:rPr>
        <w:t>particular</w:t>
      </w:r>
      <w:r>
        <w:rPr>
          <w:spacing w:val="-17"/>
          <w:w w:val="115"/>
        </w:rPr>
        <w:t> </w:t>
      </w:r>
      <w:r>
        <w:rPr>
          <w:w w:val="115"/>
        </w:rPr>
        <w:t>en</w:t>
      </w:r>
      <w:r>
        <w:rPr>
          <w:spacing w:val="-17"/>
          <w:w w:val="115"/>
        </w:rPr>
        <w:t> </w:t>
      </w:r>
      <w:r>
        <w:rPr>
          <w:w w:val="115"/>
        </w:rPr>
        <w:t>la</w:t>
      </w:r>
      <w:r>
        <w:rPr>
          <w:spacing w:val="-17"/>
          <w:w w:val="115"/>
        </w:rPr>
        <w:t> </w:t>
      </w:r>
      <w:r>
        <w:rPr>
          <w:w w:val="115"/>
        </w:rPr>
        <w:t>parte</w:t>
      </w:r>
      <w:r>
        <w:rPr>
          <w:spacing w:val="-17"/>
          <w:w w:val="115"/>
        </w:rPr>
        <w:t> </w:t>
      </w:r>
      <w:r>
        <w:rPr>
          <w:w w:val="115"/>
        </w:rPr>
        <w:t>dedicada</w:t>
      </w:r>
      <w:r>
        <w:rPr>
          <w:w w:val="110"/>
        </w:rPr>
        <w:t> </w:t>
      </w:r>
      <w:r>
        <w:rPr>
          <w:w w:val="115"/>
        </w:rPr>
        <w:t>a</w:t>
      </w:r>
      <w:r>
        <w:rPr>
          <w:spacing w:val="15"/>
          <w:w w:val="115"/>
        </w:rPr>
        <w:t> </w:t>
      </w:r>
      <w:r>
        <w:rPr>
          <w:w w:val="115"/>
        </w:rPr>
        <w:t>la</w:t>
      </w:r>
      <w:r>
        <w:rPr>
          <w:spacing w:val="15"/>
          <w:w w:val="115"/>
        </w:rPr>
        <w:t> </w:t>
      </w:r>
      <w:r>
        <w:rPr>
          <w:w w:val="115"/>
        </w:rPr>
        <w:t>línea</w:t>
      </w:r>
      <w:r>
        <w:rPr>
          <w:spacing w:val="15"/>
          <w:w w:val="115"/>
        </w:rPr>
        <w:t> </w:t>
      </w:r>
      <w:r>
        <w:rPr>
          <w:w w:val="115"/>
        </w:rPr>
        <w:t>de</w:t>
      </w:r>
      <w:r>
        <w:rPr>
          <w:spacing w:val="15"/>
          <w:w w:val="115"/>
        </w:rPr>
        <w:t> </w:t>
      </w:r>
      <w:r>
        <w:rPr>
          <w:w w:val="115"/>
        </w:rPr>
        <w:t>tiempo,</w:t>
      </w:r>
      <w:r>
        <w:rPr>
          <w:spacing w:val="15"/>
          <w:w w:val="115"/>
        </w:rPr>
        <w:t> </w:t>
      </w:r>
      <w:r>
        <w:rPr>
          <w:w w:val="115"/>
        </w:rPr>
        <w:t>pues</w:t>
      </w:r>
      <w:r>
        <w:rPr>
          <w:spacing w:val="15"/>
          <w:w w:val="115"/>
        </w:rPr>
        <w:t> </w:t>
      </w:r>
      <w:r>
        <w:rPr>
          <w:w w:val="115"/>
        </w:rPr>
        <w:t>en</w:t>
      </w:r>
      <w:r>
        <w:rPr>
          <w:spacing w:val="15"/>
          <w:w w:val="115"/>
        </w:rPr>
        <w:t> </w:t>
      </w:r>
      <w:r>
        <w:rPr>
          <w:w w:val="115"/>
        </w:rPr>
        <w:t>el</w:t>
      </w:r>
      <w:r>
        <w:rPr>
          <w:spacing w:val="15"/>
          <w:w w:val="115"/>
        </w:rPr>
        <w:t> </w:t>
      </w:r>
      <w:r>
        <w:rPr>
          <w:w w:val="115"/>
        </w:rPr>
        <w:t>espacio</w:t>
      </w:r>
      <w:r>
        <w:rPr>
          <w:spacing w:val="15"/>
          <w:w w:val="115"/>
        </w:rPr>
        <w:t> </w:t>
      </w:r>
      <w:r>
        <w:rPr>
          <w:w w:val="115"/>
        </w:rPr>
        <w:t>en</w:t>
      </w:r>
      <w:r>
        <w:rPr>
          <w:spacing w:val="15"/>
          <w:w w:val="115"/>
        </w:rPr>
        <w:t> </w:t>
      </w:r>
      <w:r>
        <w:rPr>
          <w:w w:val="115"/>
        </w:rPr>
        <w:t>el</w:t>
      </w:r>
      <w:r>
        <w:rPr>
          <w:spacing w:val="15"/>
          <w:w w:val="115"/>
        </w:rPr>
        <w:t> </w:t>
      </w:r>
      <w:r>
        <w:rPr>
          <w:w w:val="115"/>
        </w:rPr>
        <w:t>que</w:t>
      </w:r>
      <w:r>
        <w:rPr>
          <w:spacing w:val="15"/>
          <w:w w:val="115"/>
        </w:rPr>
        <w:t> </w:t>
      </w:r>
      <w:r>
        <w:rPr>
          <w:w w:val="115"/>
        </w:rPr>
        <w:t>se</w:t>
      </w:r>
      <w:r>
        <w:rPr>
          <w:spacing w:val="15"/>
          <w:w w:val="115"/>
        </w:rPr>
        <w:t> </w:t>
      </w:r>
      <w:r>
        <w:rPr>
          <w:w w:val="115"/>
        </w:rPr>
        <w:t>describen</w:t>
      </w:r>
      <w:r>
        <w:rPr>
          <w:spacing w:val="15"/>
          <w:w w:val="115"/>
        </w:rPr>
        <w:t> </w:t>
      </w:r>
      <w:r>
        <w:rPr>
          <w:w w:val="115"/>
        </w:rPr>
        <w:t>los</w:t>
      </w:r>
      <w:r>
        <w:rPr>
          <w:w w:val="108"/>
        </w:rPr>
        <w:t> </w:t>
      </w:r>
      <w:r>
        <w:rPr>
          <w:w w:val="115"/>
        </w:rPr>
        <w:t>acontecimientos, se busca imitar la estética de un</w:t>
      </w:r>
      <w:r>
        <w:rPr>
          <w:spacing w:val="28"/>
          <w:w w:val="115"/>
        </w:rPr>
        <w:t> </w:t>
      </w:r>
      <w:r>
        <w:rPr>
          <w:w w:val="115"/>
        </w:rPr>
        <w:t>pergamino.</w:t>
      </w:r>
      <w:r>
        <w:rPr>
          <w:spacing w:val="9"/>
          <w:w w:val="115"/>
        </w:rPr>
        <w:t> </w:t>
      </w:r>
      <w:r>
        <w:rPr>
          <w:w w:val="115"/>
        </w:rPr>
        <w:t>Esto</w:t>
      </w:r>
      <w:r>
        <w:rPr>
          <w:w w:val="113"/>
        </w:rPr>
        <w:t> </w:t>
      </w:r>
      <w:r>
        <w:rPr>
          <w:w w:val="115"/>
        </w:rPr>
        <w:t>puede</w:t>
      </w:r>
      <w:r>
        <w:rPr>
          <w:spacing w:val="-23"/>
          <w:w w:val="115"/>
        </w:rPr>
        <w:t> </w:t>
      </w:r>
      <w:r>
        <w:rPr>
          <w:w w:val="115"/>
        </w:rPr>
        <w:t>llevar</w:t>
      </w:r>
      <w:r>
        <w:rPr>
          <w:spacing w:val="-23"/>
          <w:w w:val="115"/>
        </w:rPr>
        <w:t> </w:t>
      </w:r>
      <w:r>
        <w:rPr>
          <w:w w:val="115"/>
        </w:rPr>
        <w:t>a</w:t>
      </w:r>
      <w:r>
        <w:rPr>
          <w:spacing w:val="-23"/>
          <w:w w:val="115"/>
        </w:rPr>
        <w:t> </w:t>
      </w:r>
      <w:r>
        <w:rPr>
          <w:w w:val="115"/>
        </w:rPr>
        <w:t>los</w:t>
      </w:r>
      <w:r>
        <w:rPr>
          <w:spacing w:val="-23"/>
          <w:w w:val="115"/>
        </w:rPr>
        <w:t> </w:t>
      </w:r>
      <w:r>
        <w:rPr>
          <w:w w:val="115"/>
        </w:rPr>
        <w:t>lectores</w:t>
      </w:r>
      <w:r>
        <w:rPr>
          <w:spacing w:val="-23"/>
          <w:w w:val="115"/>
        </w:rPr>
        <w:t> </w:t>
      </w:r>
      <w:r>
        <w:rPr>
          <w:w w:val="115"/>
        </w:rPr>
        <w:t>a</w:t>
      </w:r>
      <w:r>
        <w:rPr>
          <w:spacing w:val="-23"/>
          <w:w w:val="115"/>
        </w:rPr>
        <w:t> </w:t>
      </w:r>
      <w:r>
        <w:rPr>
          <w:w w:val="115"/>
        </w:rPr>
        <w:t>pensar</w:t>
      </w:r>
      <w:r>
        <w:rPr>
          <w:spacing w:val="-23"/>
          <w:w w:val="115"/>
        </w:rPr>
        <w:t> </w:t>
      </w:r>
      <w:r>
        <w:rPr>
          <w:w w:val="115"/>
        </w:rPr>
        <w:t>que</w:t>
      </w:r>
      <w:r>
        <w:rPr>
          <w:spacing w:val="-23"/>
          <w:w w:val="115"/>
        </w:rPr>
        <w:t> </w:t>
      </w:r>
      <w:r>
        <w:rPr>
          <w:w w:val="115"/>
        </w:rPr>
        <w:t>esta</w:t>
      </w:r>
      <w:r>
        <w:rPr>
          <w:spacing w:val="-23"/>
          <w:w w:val="115"/>
        </w:rPr>
        <w:t> </w:t>
      </w:r>
      <w:r>
        <w:rPr>
          <w:w w:val="115"/>
        </w:rPr>
        <w:t>guerra</w:t>
      </w:r>
      <w:r>
        <w:rPr>
          <w:spacing w:val="-23"/>
          <w:w w:val="115"/>
        </w:rPr>
        <w:t> </w:t>
      </w:r>
      <w:r>
        <w:rPr>
          <w:w w:val="115"/>
        </w:rPr>
        <w:t>es</w:t>
      </w:r>
      <w:r>
        <w:rPr>
          <w:spacing w:val="-23"/>
          <w:w w:val="115"/>
        </w:rPr>
        <w:t> </w:t>
      </w:r>
      <w:r>
        <w:rPr>
          <w:w w:val="115"/>
        </w:rPr>
        <w:t>algo</w:t>
      </w:r>
      <w:r>
        <w:rPr>
          <w:spacing w:val="-23"/>
          <w:w w:val="115"/>
        </w:rPr>
        <w:t> </w:t>
      </w:r>
      <w:r>
        <w:rPr>
          <w:w w:val="115"/>
        </w:rPr>
        <w:t>lejano</w:t>
      </w:r>
      <w:r>
        <w:rPr>
          <w:spacing w:val="-23"/>
          <w:w w:val="115"/>
        </w:rPr>
        <w:t> </w:t>
      </w:r>
      <w:r>
        <w:rPr>
          <w:w w:val="115"/>
        </w:rPr>
        <w:t>en</w:t>
      </w:r>
      <w:r>
        <w:rPr>
          <w:spacing w:val="-23"/>
          <w:w w:val="115"/>
        </w:rPr>
        <w:t> </w:t>
      </w:r>
      <w:r>
        <w:rPr>
          <w:w w:val="115"/>
        </w:rPr>
        <w:t>el</w:t>
      </w:r>
      <w:r>
        <w:rPr>
          <w:w w:val="107"/>
        </w:rPr>
        <w:t> </w:t>
      </w:r>
      <w:r>
        <w:rPr>
          <w:w w:val="115"/>
        </w:rPr>
        <w:t>tiempo,</w:t>
      </w:r>
      <w:r>
        <w:rPr>
          <w:spacing w:val="-12"/>
          <w:w w:val="115"/>
        </w:rPr>
        <w:t> </w:t>
      </w:r>
      <w:r>
        <w:rPr>
          <w:w w:val="115"/>
        </w:rPr>
        <w:t>tan</w:t>
      </w:r>
      <w:r>
        <w:rPr>
          <w:spacing w:val="-12"/>
          <w:w w:val="115"/>
        </w:rPr>
        <w:t> </w:t>
      </w:r>
      <w:r>
        <w:rPr>
          <w:w w:val="115"/>
        </w:rPr>
        <w:t>lejano</w:t>
      </w:r>
      <w:r>
        <w:rPr>
          <w:spacing w:val="-12"/>
          <w:w w:val="115"/>
        </w:rPr>
        <w:t> </w:t>
      </w:r>
      <w:r>
        <w:rPr>
          <w:w w:val="115"/>
        </w:rPr>
        <w:t>como</w:t>
      </w:r>
      <w:r>
        <w:rPr>
          <w:spacing w:val="-12"/>
          <w:w w:val="115"/>
        </w:rPr>
        <w:t> </w:t>
      </w:r>
      <w:r>
        <w:rPr>
          <w:w w:val="115"/>
        </w:rPr>
        <w:t>la</w:t>
      </w:r>
      <w:r>
        <w:rPr>
          <w:spacing w:val="-12"/>
          <w:w w:val="115"/>
        </w:rPr>
        <w:t> </w:t>
      </w:r>
      <w:r>
        <w:rPr>
          <w:w w:val="115"/>
        </w:rPr>
        <w:t>época</w:t>
      </w:r>
      <w:r>
        <w:rPr>
          <w:spacing w:val="-12"/>
          <w:w w:val="115"/>
        </w:rPr>
        <w:t> </w:t>
      </w:r>
      <w:r>
        <w:rPr>
          <w:w w:val="115"/>
        </w:rPr>
        <w:t>en</w:t>
      </w:r>
      <w:r>
        <w:rPr>
          <w:spacing w:val="-12"/>
          <w:w w:val="115"/>
        </w:rPr>
        <w:t> </w:t>
      </w:r>
      <w:r>
        <w:rPr>
          <w:w w:val="115"/>
        </w:rPr>
        <w:t>la</w:t>
      </w:r>
      <w:r>
        <w:rPr>
          <w:spacing w:val="-12"/>
          <w:w w:val="115"/>
        </w:rPr>
        <w:t> </w:t>
      </w:r>
      <w:r>
        <w:rPr>
          <w:w w:val="115"/>
        </w:rPr>
        <w:t>que</w:t>
      </w:r>
      <w:r>
        <w:rPr>
          <w:spacing w:val="-12"/>
          <w:w w:val="115"/>
        </w:rPr>
        <w:t> </w:t>
      </w:r>
      <w:r>
        <w:rPr>
          <w:w w:val="115"/>
        </w:rPr>
        <w:t>se</w:t>
      </w:r>
      <w:r>
        <w:rPr>
          <w:spacing w:val="-12"/>
          <w:w w:val="115"/>
        </w:rPr>
        <w:t> </w:t>
      </w:r>
      <w:r>
        <w:rPr>
          <w:w w:val="115"/>
        </w:rPr>
        <w:t>utilizaban</w:t>
      </w:r>
      <w:r>
        <w:rPr>
          <w:spacing w:val="-12"/>
          <w:w w:val="115"/>
        </w:rPr>
        <w:t> </w:t>
      </w:r>
      <w:r>
        <w:rPr>
          <w:w w:val="115"/>
        </w:rPr>
        <w:t>pergaminos,</w:t>
      </w:r>
      <w:r>
        <w:rPr>
          <w:w w:val="111"/>
        </w:rPr>
        <w:t> </w:t>
      </w:r>
      <w:r>
        <w:rPr>
          <w:w w:val="115"/>
        </w:rPr>
        <w:t>a pesar de que han pasado solo 50 años. a esto se suma el</w:t>
      </w:r>
      <w:r>
        <w:rPr>
          <w:spacing w:val="46"/>
          <w:w w:val="115"/>
        </w:rPr>
        <w:t> </w:t>
      </w:r>
      <w:r>
        <w:rPr>
          <w:w w:val="115"/>
        </w:rPr>
        <w:t>modo</w:t>
      </w:r>
      <w:r>
        <w:rPr>
          <w:spacing w:val="3"/>
          <w:w w:val="115"/>
        </w:rPr>
        <w:t> </w:t>
      </w:r>
      <w:r>
        <w:rPr>
          <w:w w:val="115"/>
        </w:rPr>
        <w:t>en</w:t>
      </w:r>
      <w:r>
        <w:rPr>
          <w:w w:val="108"/>
        </w:rPr>
        <w:t> </w:t>
      </w:r>
      <w:r>
        <w:rPr>
          <w:w w:val="115"/>
        </w:rPr>
        <w:t>que</w:t>
      </w:r>
      <w:r>
        <w:rPr>
          <w:spacing w:val="-10"/>
          <w:w w:val="115"/>
        </w:rPr>
        <w:t> </w:t>
      </w:r>
      <w:r>
        <w:rPr>
          <w:w w:val="115"/>
        </w:rPr>
        <w:t>se</w:t>
      </w:r>
      <w:r>
        <w:rPr>
          <w:spacing w:val="-10"/>
          <w:w w:val="115"/>
        </w:rPr>
        <w:t> </w:t>
      </w:r>
      <w:r>
        <w:rPr>
          <w:w w:val="115"/>
        </w:rPr>
        <w:t>relatan</w:t>
      </w:r>
      <w:r>
        <w:rPr>
          <w:spacing w:val="-10"/>
          <w:w w:val="115"/>
        </w:rPr>
        <w:t> </w:t>
      </w:r>
      <w:r>
        <w:rPr>
          <w:w w:val="115"/>
        </w:rPr>
        <w:t>los</w:t>
      </w:r>
      <w:r>
        <w:rPr>
          <w:spacing w:val="-10"/>
          <w:w w:val="115"/>
        </w:rPr>
        <w:t> </w:t>
      </w:r>
      <w:r>
        <w:rPr>
          <w:w w:val="115"/>
        </w:rPr>
        <w:t>hechos,</w:t>
      </w:r>
      <w:r>
        <w:rPr>
          <w:spacing w:val="-10"/>
          <w:w w:val="115"/>
        </w:rPr>
        <w:t> </w:t>
      </w:r>
      <w:r>
        <w:rPr>
          <w:w w:val="115"/>
        </w:rPr>
        <w:t>que</w:t>
      </w:r>
      <w:r>
        <w:rPr>
          <w:spacing w:val="-10"/>
          <w:w w:val="115"/>
        </w:rPr>
        <w:t> </w:t>
      </w:r>
      <w:r>
        <w:rPr>
          <w:w w:val="115"/>
        </w:rPr>
        <w:t>en</w:t>
      </w:r>
      <w:r>
        <w:rPr>
          <w:spacing w:val="-10"/>
          <w:w w:val="115"/>
        </w:rPr>
        <w:t> </w:t>
      </w:r>
      <w:r>
        <w:rPr>
          <w:w w:val="115"/>
        </w:rPr>
        <w:t>lugar</w:t>
      </w:r>
      <w:r>
        <w:rPr>
          <w:spacing w:val="-10"/>
          <w:w w:val="115"/>
        </w:rPr>
        <w:t> </w:t>
      </w:r>
      <w:r>
        <w:rPr>
          <w:w w:val="115"/>
        </w:rPr>
        <w:t>de</w:t>
      </w:r>
      <w:r>
        <w:rPr>
          <w:spacing w:val="-10"/>
          <w:w w:val="115"/>
        </w:rPr>
        <w:t> </w:t>
      </w:r>
      <w:r>
        <w:rPr>
          <w:w w:val="115"/>
        </w:rPr>
        <w:t>plantearse</w:t>
      </w:r>
      <w:r>
        <w:rPr>
          <w:spacing w:val="-10"/>
          <w:w w:val="115"/>
        </w:rPr>
        <w:t> </w:t>
      </w:r>
      <w:r>
        <w:rPr>
          <w:w w:val="115"/>
        </w:rPr>
        <w:t>como</w:t>
      </w:r>
      <w:r>
        <w:rPr>
          <w:spacing w:val="-10"/>
          <w:w w:val="115"/>
        </w:rPr>
        <w:t> </w:t>
      </w:r>
      <w:r>
        <w:rPr>
          <w:w w:val="115"/>
        </w:rPr>
        <w:t>procesos</w:t>
      </w:r>
      <w:r>
        <w:rPr>
          <w:w w:val="108"/>
        </w:rPr>
        <w:t> </w:t>
      </w:r>
      <w:r>
        <w:rPr>
          <w:w w:val="115"/>
        </w:rPr>
        <w:t>que incluyen diferentes tiempos y espacios, se cuentan</w:t>
      </w:r>
      <w:r>
        <w:rPr>
          <w:spacing w:val="29"/>
          <w:w w:val="115"/>
        </w:rPr>
        <w:t> </w:t>
      </w:r>
      <w:r>
        <w:rPr>
          <w:w w:val="115"/>
        </w:rPr>
        <w:t>como</w:t>
      </w:r>
      <w:r>
        <w:rPr>
          <w:spacing w:val="3"/>
          <w:w w:val="115"/>
        </w:rPr>
        <w:t> </w:t>
      </w:r>
      <w:r>
        <w:rPr>
          <w:w w:val="115"/>
        </w:rPr>
        <w:t>acon-</w:t>
      </w:r>
      <w:r>
        <w:rPr>
          <w:w w:val="102"/>
        </w:rPr>
        <w:t> </w:t>
      </w:r>
      <w:r>
        <w:rPr>
          <w:w w:val="115"/>
        </w:rPr>
        <w:t>tecimientos</w:t>
      </w:r>
      <w:r>
        <w:rPr>
          <w:spacing w:val="-6"/>
          <w:w w:val="115"/>
        </w:rPr>
        <w:t> </w:t>
      </w:r>
      <w:r>
        <w:rPr>
          <w:w w:val="115"/>
        </w:rPr>
        <w:t>aislados</w:t>
      </w:r>
      <w:r>
        <w:rPr>
          <w:spacing w:val="-6"/>
          <w:w w:val="115"/>
        </w:rPr>
        <w:t> </w:t>
      </w:r>
      <w:r>
        <w:rPr>
          <w:w w:val="115"/>
        </w:rPr>
        <w:t>(de</w:t>
      </w:r>
      <w:r>
        <w:rPr>
          <w:spacing w:val="-6"/>
          <w:w w:val="115"/>
        </w:rPr>
        <w:t> </w:t>
      </w:r>
      <w:r>
        <w:rPr>
          <w:w w:val="115"/>
        </w:rPr>
        <w:t>esta</w:t>
      </w:r>
      <w:r>
        <w:rPr>
          <w:spacing w:val="-6"/>
          <w:w w:val="115"/>
        </w:rPr>
        <w:t> </w:t>
      </w:r>
      <w:r>
        <w:rPr>
          <w:w w:val="115"/>
        </w:rPr>
        <w:t>manera,</w:t>
      </w:r>
      <w:r>
        <w:rPr>
          <w:spacing w:val="-6"/>
          <w:w w:val="115"/>
        </w:rPr>
        <w:t> </w:t>
      </w:r>
      <w:r>
        <w:rPr>
          <w:w w:val="115"/>
        </w:rPr>
        <w:t>se</w:t>
      </w:r>
      <w:r>
        <w:rPr>
          <w:spacing w:val="-6"/>
          <w:w w:val="115"/>
        </w:rPr>
        <w:t> </w:t>
      </w:r>
      <w:r>
        <w:rPr>
          <w:w w:val="115"/>
        </w:rPr>
        <w:t>evita</w:t>
      </w:r>
      <w:r>
        <w:rPr>
          <w:spacing w:val="-6"/>
          <w:w w:val="115"/>
        </w:rPr>
        <w:t> </w:t>
      </w:r>
      <w:r>
        <w:rPr>
          <w:w w:val="115"/>
        </w:rPr>
        <w:t>articular</w:t>
      </w:r>
      <w:r>
        <w:rPr>
          <w:spacing w:val="-6"/>
          <w:w w:val="115"/>
        </w:rPr>
        <w:t> </w:t>
      </w:r>
      <w:r>
        <w:rPr>
          <w:w w:val="115"/>
        </w:rPr>
        <w:t>los</w:t>
      </w:r>
      <w:r>
        <w:rPr>
          <w:spacing w:val="-6"/>
          <w:w w:val="115"/>
        </w:rPr>
        <w:t> </w:t>
      </w:r>
      <w:r>
        <w:rPr>
          <w:w w:val="115"/>
        </w:rPr>
        <w:t>aspectos</w:t>
      </w:r>
      <w:r>
        <w:rPr>
          <w:w w:val="108"/>
        </w:rPr>
        <w:t> </w:t>
      </w:r>
      <w:r>
        <w:rPr>
          <w:w w:val="115"/>
        </w:rPr>
        <w:t>militares de Vietnam con procesos políticos, económicos</w:t>
      </w:r>
      <w:r>
        <w:rPr>
          <w:spacing w:val="36"/>
          <w:w w:val="115"/>
        </w:rPr>
        <w:t> </w:t>
      </w:r>
      <w:r>
        <w:rPr>
          <w:w w:val="115"/>
        </w:rPr>
        <w:t>y</w:t>
      </w:r>
      <w:r>
        <w:rPr>
          <w:spacing w:val="5"/>
          <w:w w:val="115"/>
        </w:rPr>
        <w:t> </w:t>
      </w:r>
      <w:r>
        <w:rPr>
          <w:w w:val="115"/>
        </w:rPr>
        <w:t>sociales</w:t>
      </w:r>
      <w:r>
        <w:rPr>
          <w:w w:val="109"/>
        </w:rPr>
        <w:t> </w:t>
      </w:r>
      <w:r>
        <w:rPr>
          <w:w w:val="115"/>
        </w:rPr>
        <w:t>de</w:t>
      </w:r>
      <w:r>
        <w:rPr>
          <w:spacing w:val="-13"/>
          <w:w w:val="115"/>
        </w:rPr>
        <w:t> </w:t>
      </w:r>
      <w:r>
        <w:rPr>
          <w:w w:val="115"/>
        </w:rPr>
        <w:t>la</w:t>
      </w:r>
      <w:r>
        <w:rPr>
          <w:spacing w:val="-13"/>
          <w:w w:val="115"/>
        </w:rPr>
        <w:t> </w:t>
      </w:r>
      <w:r>
        <w:rPr>
          <w:w w:val="115"/>
        </w:rPr>
        <w:t>sociedad</w:t>
      </w:r>
      <w:r>
        <w:rPr>
          <w:spacing w:val="-13"/>
          <w:w w:val="115"/>
        </w:rPr>
        <w:t> </w:t>
      </w:r>
      <w:r>
        <w:rPr>
          <w:w w:val="115"/>
        </w:rPr>
        <w:t>estadounidense,</w:t>
      </w:r>
      <w:r>
        <w:rPr>
          <w:spacing w:val="-13"/>
          <w:w w:val="115"/>
        </w:rPr>
        <w:t> </w:t>
      </w:r>
      <w:r>
        <w:rPr>
          <w:w w:val="115"/>
        </w:rPr>
        <w:t>e</w:t>
      </w:r>
      <w:r>
        <w:rPr>
          <w:spacing w:val="-13"/>
          <w:w w:val="115"/>
        </w:rPr>
        <w:t> </w:t>
      </w:r>
      <w:r>
        <w:rPr>
          <w:w w:val="115"/>
        </w:rPr>
        <w:t>incluso</w:t>
      </w:r>
      <w:r>
        <w:rPr>
          <w:spacing w:val="-13"/>
          <w:w w:val="115"/>
        </w:rPr>
        <w:t> </w:t>
      </w:r>
      <w:r>
        <w:rPr>
          <w:w w:val="115"/>
        </w:rPr>
        <w:t>con</w:t>
      </w:r>
      <w:r>
        <w:rPr>
          <w:spacing w:val="-13"/>
          <w:w w:val="115"/>
        </w:rPr>
        <w:t> </w:t>
      </w:r>
      <w:r>
        <w:rPr>
          <w:w w:val="115"/>
        </w:rPr>
        <w:t>lo</w:t>
      </w:r>
      <w:r>
        <w:rPr>
          <w:spacing w:val="-13"/>
          <w:w w:val="115"/>
        </w:rPr>
        <w:t> </w:t>
      </w:r>
      <w:r>
        <w:rPr>
          <w:w w:val="115"/>
        </w:rPr>
        <w:t>sucedido</w:t>
      </w:r>
      <w:r>
        <w:rPr>
          <w:spacing w:val="-13"/>
          <w:w w:val="115"/>
        </w:rPr>
        <w:t> </w:t>
      </w:r>
      <w:r>
        <w:rPr>
          <w:w w:val="115"/>
        </w:rPr>
        <w:t>en</w:t>
      </w:r>
      <w:r>
        <w:rPr>
          <w:spacing w:val="-13"/>
          <w:w w:val="115"/>
        </w:rPr>
        <w:t> </w:t>
      </w:r>
      <w:r>
        <w:rPr>
          <w:w w:val="115"/>
        </w:rPr>
        <w:t>otros</w:t>
      </w:r>
      <w:r>
        <w:rPr>
          <w:spacing w:val="-13"/>
          <w:w w:val="115"/>
        </w:rPr>
        <w:t> </w:t>
      </w:r>
      <w:r>
        <w:rPr>
          <w:w w:val="115"/>
        </w:rPr>
        <w:t>es-</w:t>
      </w:r>
      <w:r>
        <w:rPr>
          <w:w w:val="102"/>
        </w:rPr>
        <w:t> </w:t>
      </w:r>
      <w:r>
        <w:rPr>
          <w:w w:val="115"/>
        </w:rPr>
        <w:t>pacios de la periferia donde EE.uu. también</w:t>
      </w:r>
      <w:r>
        <w:rPr>
          <w:spacing w:val="37"/>
          <w:w w:val="115"/>
        </w:rPr>
        <w:t> </w:t>
      </w:r>
      <w:r>
        <w:rPr>
          <w:w w:val="115"/>
        </w:rPr>
        <w:t>estaba</w:t>
      </w:r>
      <w:r>
        <w:rPr>
          <w:spacing w:val="12"/>
          <w:w w:val="115"/>
        </w:rPr>
        <w:t> </w:t>
      </w:r>
      <w:r>
        <w:rPr>
          <w:w w:val="115"/>
        </w:rPr>
        <w:t>interviniendo).</w:t>
      </w:r>
      <w:r>
        <w:rPr>
          <w:w w:val="109"/>
        </w:rPr>
        <w:t> </w:t>
      </w:r>
      <w:r>
        <w:rPr>
          <w:w w:val="115"/>
        </w:rPr>
        <w:t>No se proporcionan datos sobre Vietnam, su población,</w:t>
      </w:r>
      <w:r>
        <w:rPr>
          <w:spacing w:val="4"/>
          <w:w w:val="115"/>
        </w:rPr>
        <w:t> </w:t>
      </w:r>
      <w:r>
        <w:rPr>
          <w:w w:val="115"/>
        </w:rPr>
        <w:t>su</w:t>
      </w:r>
      <w:r>
        <w:rPr>
          <w:spacing w:val="6"/>
          <w:w w:val="115"/>
        </w:rPr>
        <w:t> </w:t>
      </w:r>
      <w:r>
        <w:rPr>
          <w:w w:val="115"/>
        </w:rPr>
        <w:t>proceso</w:t>
      </w:r>
      <w:r>
        <w:rPr>
          <w:w w:val="108"/>
        </w:rPr>
        <w:t> </w:t>
      </w:r>
      <w:r>
        <w:rPr>
          <w:w w:val="115"/>
        </w:rPr>
        <w:t>histórico</w:t>
      </w:r>
      <w:r>
        <w:rPr>
          <w:spacing w:val="-13"/>
          <w:w w:val="115"/>
        </w:rPr>
        <w:t> </w:t>
      </w:r>
      <w:r>
        <w:rPr>
          <w:w w:val="115"/>
        </w:rPr>
        <w:t>y</w:t>
      </w:r>
      <w:r>
        <w:rPr>
          <w:spacing w:val="-13"/>
          <w:w w:val="115"/>
        </w:rPr>
        <w:t> </w:t>
      </w:r>
      <w:r>
        <w:rPr>
          <w:w w:val="115"/>
        </w:rPr>
        <w:t>las</w:t>
      </w:r>
      <w:r>
        <w:rPr>
          <w:spacing w:val="-13"/>
          <w:w w:val="115"/>
        </w:rPr>
        <w:t> </w:t>
      </w:r>
      <w:r>
        <w:rPr>
          <w:w w:val="115"/>
        </w:rPr>
        <w:t>consecuencias</w:t>
      </w:r>
      <w:r>
        <w:rPr>
          <w:spacing w:val="-13"/>
          <w:w w:val="115"/>
        </w:rPr>
        <w:t> </w:t>
      </w:r>
      <w:r>
        <w:rPr>
          <w:w w:val="115"/>
        </w:rPr>
        <w:t>de</w:t>
      </w:r>
      <w:r>
        <w:rPr>
          <w:spacing w:val="-13"/>
          <w:w w:val="115"/>
        </w:rPr>
        <w:t> </w:t>
      </w:r>
      <w:r>
        <w:rPr>
          <w:w w:val="115"/>
        </w:rPr>
        <w:t>la</w:t>
      </w:r>
      <w:r>
        <w:rPr>
          <w:spacing w:val="-13"/>
          <w:w w:val="115"/>
        </w:rPr>
        <w:t> </w:t>
      </w:r>
      <w:r>
        <w:rPr>
          <w:w w:val="115"/>
        </w:rPr>
        <w:t>guerra.</w:t>
      </w:r>
      <w:r>
        <w:rPr>
          <w:spacing w:val="-13"/>
          <w:w w:val="115"/>
        </w:rPr>
        <w:t> </w:t>
      </w:r>
      <w:r>
        <w:rPr>
          <w:w w:val="115"/>
        </w:rPr>
        <w:t>En</w:t>
      </w:r>
      <w:r>
        <w:rPr>
          <w:spacing w:val="-13"/>
          <w:w w:val="115"/>
        </w:rPr>
        <w:t> </w:t>
      </w:r>
      <w:r>
        <w:rPr>
          <w:w w:val="115"/>
        </w:rPr>
        <w:t>este</w:t>
      </w:r>
      <w:r>
        <w:rPr>
          <w:spacing w:val="-13"/>
          <w:w w:val="115"/>
        </w:rPr>
        <w:t> </w:t>
      </w:r>
      <w:r>
        <w:rPr>
          <w:w w:val="115"/>
        </w:rPr>
        <w:t>sentido,</w:t>
      </w:r>
      <w:r>
        <w:rPr>
          <w:spacing w:val="-13"/>
          <w:w w:val="115"/>
        </w:rPr>
        <w:t> </w:t>
      </w:r>
      <w:r>
        <w:rPr>
          <w:w w:val="115"/>
        </w:rPr>
        <w:t>es</w:t>
      </w:r>
      <w:r>
        <w:rPr>
          <w:spacing w:val="-13"/>
          <w:w w:val="115"/>
        </w:rPr>
        <w:t> </w:t>
      </w:r>
      <w:r>
        <w:rPr>
          <w:w w:val="115"/>
        </w:rPr>
        <w:t>claro</w:t>
      </w:r>
      <w:r>
        <w:rPr>
          <w:spacing w:val="-13"/>
          <w:w w:val="115"/>
        </w:rPr>
        <w:t> </w:t>
      </w:r>
      <w:r>
        <w:rPr>
          <w:w w:val="115"/>
        </w:rPr>
        <w:t>el</w:t>
      </w:r>
      <w:r>
        <w:rPr>
          <w:w w:val="107"/>
        </w:rPr>
        <w:t> </w:t>
      </w:r>
      <w:r>
        <w:rPr>
          <w:w w:val="115"/>
        </w:rPr>
        <w:t>modo</w:t>
      </w:r>
      <w:r>
        <w:rPr>
          <w:spacing w:val="-25"/>
          <w:w w:val="115"/>
        </w:rPr>
        <w:t> </w:t>
      </w:r>
      <w:r>
        <w:rPr>
          <w:w w:val="115"/>
        </w:rPr>
        <w:t>en</w:t>
      </w:r>
      <w:r>
        <w:rPr>
          <w:spacing w:val="-25"/>
          <w:w w:val="115"/>
        </w:rPr>
        <w:t> </w:t>
      </w:r>
      <w:r>
        <w:rPr>
          <w:w w:val="115"/>
        </w:rPr>
        <w:t>que</w:t>
      </w:r>
      <w:r>
        <w:rPr>
          <w:spacing w:val="-25"/>
          <w:w w:val="115"/>
        </w:rPr>
        <w:t> </w:t>
      </w:r>
      <w:r>
        <w:rPr>
          <w:w w:val="115"/>
        </w:rPr>
        <w:t>la</w:t>
      </w:r>
      <w:r>
        <w:rPr>
          <w:spacing w:val="-25"/>
          <w:w w:val="115"/>
        </w:rPr>
        <w:t> </w:t>
      </w:r>
      <w:r>
        <w:rPr>
          <w:w w:val="115"/>
        </w:rPr>
        <w:t>reconstrucción</w:t>
      </w:r>
      <w:r>
        <w:rPr>
          <w:spacing w:val="-25"/>
          <w:w w:val="115"/>
        </w:rPr>
        <w:t> </w:t>
      </w:r>
      <w:r>
        <w:rPr>
          <w:w w:val="115"/>
        </w:rPr>
        <w:t>oficial</w:t>
      </w:r>
      <w:r>
        <w:rPr>
          <w:spacing w:val="-25"/>
          <w:w w:val="115"/>
        </w:rPr>
        <w:t> </w:t>
      </w:r>
      <w:r>
        <w:rPr>
          <w:w w:val="115"/>
        </w:rPr>
        <w:t>de</w:t>
      </w:r>
      <w:r>
        <w:rPr>
          <w:spacing w:val="-25"/>
          <w:w w:val="115"/>
        </w:rPr>
        <w:t> </w:t>
      </w:r>
      <w:r>
        <w:rPr>
          <w:w w:val="115"/>
        </w:rPr>
        <w:t>la</w:t>
      </w:r>
      <w:r>
        <w:rPr>
          <w:spacing w:val="-25"/>
          <w:w w:val="115"/>
        </w:rPr>
        <w:t> </w:t>
      </w:r>
      <w:r>
        <w:rPr>
          <w:w w:val="115"/>
        </w:rPr>
        <w:t>Guerra</w:t>
      </w:r>
      <w:r>
        <w:rPr>
          <w:spacing w:val="-25"/>
          <w:w w:val="115"/>
        </w:rPr>
        <w:t> </w:t>
      </w:r>
      <w:r>
        <w:rPr>
          <w:w w:val="115"/>
        </w:rPr>
        <w:t>de</w:t>
      </w:r>
      <w:r>
        <w:rPr>
          <w:spacing w:val="-25"/>
          <w:w w:val="115"/>
        </w:rPr>
        <w:t> </w:t>
      </w:r>
      <w:r>
        <w:rPr>
          <w:w w:val="115"/>
        </w:rPr>
        <w:t>Vietnam</w:t>
      </w:r>
      <w:r>
        <w:rPr>
          <w:spacing w:val="-25"/>
          <w:w w:val="115"/>
        </w:rPr>
        <w:t> </w:t>
      </w:r>
      <w:r>
        <w:rPr>
          <w:w w:val="115"/>
        </w:rPr>
        <w:t>incluye</w:t>
      </w:r>
      <w:r>
        <w:rPr>
          <w:w w:val="110"/>
        </w:rPr>
        <w:t> </w:t>
      </w:r>
      <w:r>
        <w:rPr>
          <w:w w:val="110"/>
        </w:rPr>
        <w:t>frecuentemente</w:t>
      </w:r>
      <w:r>
        <w:rPr>
          <w:spacing w:val="-6"/>
          <w:w w:val="110"/>
        </w:rPr>
        <w:t> </w:t>
      </w:r>
      <w:r>
        <w:rPr>
          <w:w w:val="110"/>
        </w:rPr>
        <w:t>una</w:t>
      </w:r>
      <w:r>
        <w:rPr>
          <w:spacing w:val="-6"/>
          <w:w w:val="110"/>
        </w:rPr>
        <w:t> </w:t>
      </w:r>
      <w:r>
        <w:rPr>
          <w:w w:val="110"/>
        </w:rPr>
        <w:t>serie</w:t>
      </w:r>
      <w:r>
        <w:rPr>
          <w:spacing w:val="-6"/>
          <w:w w:val="110"/>
        </w:rPr>
        <w:t> </w:t>
      </w:r>
      <w:r>
        <w:rPr>
          <w:w w:val="110"/>
        </w:rPr>
        <w:t>de</w:t>
      </w:r>
      <w:r>
        <w:rPr>
          <w:spacing w:val="-6"/>
          <w:w w:val="110"/>
        </w:rPr>
        <w:t> </w:t>
      </w:r>
      <w:r>
        <w:rPr>
          <w:w w:val="110"/>
        </w:rPr>
        <w:t>estrategias</w:t>
      </w:r>
      <w:r>
        <w:rPr>
          <w:spacing w:val="-6"/>
          <w:w w:val="110"/>
        </w:rPr>
        <w:t> </w:t>
      </w:r>
      <w:r>
        <w:rPr>
          <w:w w:val="110"/>
        </w:rPr>
        <w:t>para</w:t>
      </w:r>
      <w:r>
        <w:rPr>
          <w:spacing w:val="-6"/>
          <w:w w:val="110"/>
        </w:rPr>
        <w:t> </w:t>
      </w:r>
      <w:r>
        <w:rPr>
          <w:w w:val="110"/>
        </w:rPr>
        <w:t>organizar</w:t>
      </w:r>
      <w:r>
        <w:rPr>
          <w:spacing w:val="-6"/>
          <w:w w:val="110"/>
        </w:rPr>
        <w:t> </w:t>
      </w:r>
      <w:r>
        <w:rPr>
          <w:w w:val="110"/>
        </w:rPr>
        <w:t>el</w:t>
      </w:r>
      <w:r>
        <w:rPr>
          <w:spacing w:val="-6"/>
          <w:w w:val="110"/>
        </w:rPr>
        <w:t> </w:t>
      </w:r>
      <w:r>
        <w:rPr>
          <w:w w:val="110"/>
        </w:rPr>
        <w:t>olvido</w:t>
      </w:r>
      <w:r>
        <w:rPr>
          <w:spacing w:val="-6"/>
          <w:w w:val="110"/>
        </w:rPr>
        <w:t> </w:t>
      </w:r>
      <w:r>
        <w:rPr>
          <w:w w:val="110"/>
        </w:rPr>
        <w:t>sobre</w:t>
      </w:r>
    </w:p>
    <w:p>
      <w:pPr>
        <w:pStyle w:val="BodyText"/>
        <w:ind w:left="120" w:right="321"/>
      </w:pPr>
      <w:r>
        <w:rPr>
          <w:w w:val="108"/>
        </w:rPr>
        <w:t>los</w:t>
      </w:r>
      <w:r>
        <w:rPr>
          <w:spacing w:val="12"/>
        </w:rPr>
        <w:t> </w:t>
      </w:r>
      <w:r>
        <w:rPr>
          <w:w w:val="109"/>
        </w:rPr>
        <w:t>vietnamitas</w:t>
      </w:r>
      <w:r>
        <w:rPr>
          <w:spacing w:val="12"/>
        </w:rPr>
        <w:t> </w:t>
      </w:r>
      <w:r>
        <w:rPr>
          <w:w w:val="98"/>
        </w:rPr>
        <w:t>(</w:t>
      </w:r>
      <w:r>
        <w:rPr>
          <w:w w:val="243"/>
        </w:rPr>
        <w:t>l</w:t>
      </w:r>
      <w:r>
        <w:rPr>
          <w:w w:val="104"/>
        </w:rPr>
        <w:t>e</w:t>
      </w:r>
      <w:r>
        <w:rPr>
          <w:spacing w:val="12"/>
        </w:rPr>
        <w:t> </w:t>
      </w:r>
      <w:r>
        <w:rPr>
          <w:w w:val="114"/>
        </w:rPr>
        <w:t>Espiritu,</w:t>
      </w:r>
      <w:r>
        <w:rPr>
          <w:spacing w:val="12"/>
        </w:rPr>
        <w:t> </w:t>
      </w:r>
      <w:r>
        <w:rPr>
          <w:w w:val="103"/>
        </w:rPr>
        <w:t>2008:</w:t>
      </w:r>
      <w:r>
        <w:rPr>
          <w:spacing w:val="12"/>
        </w:rPr>
        <w:t> </w:t>
      </w:r>
      <w:r>
        <w:rPr>
          <w:w w:val="104"/>
        </w:rPr>
        <w:t>1701).</w:t>
      </w:r>
    </w:p>
    <w:p>
      <w:pPr>
        <w:pStyle w:val="BodyText"/>
        <w:spacing w:line="252" w:lineRule="auto" w:before="11"/>
        <w:ind w:left="120" w:right="328" w:firstLine="396"/>
        <w:jc w:val="right"/>
      </w:pPr>
      <w:r>
        <w:rPr>
          <w:w w:val="110"/>
        </w:rPr>
        <w:t>Por otra parte, se percibe la importancia que se le otorga a la ins-</w:t>
      </w:r>
      <w:r>
        <w:rPr>
          <w:w w:val="102"/>
        </w:rPr>
        <w:t> </w:t>
      </w:r>
      <w:r>
        <w:rPr>
          <w:w w:val="110"/>
        </w:rPr>
        <w:t>titucionalidad de las Fuerzas armadas, e incluso a la guerra,  mostran-</w:t>
      </w:r>
    </w:p>
    <w:p>
      <w:pPr>
        <w:pStyle w:val="BodyText"/>
        <w:spacing w:before="3"/>
        <w:rPr>
          <w:sz w:val="18"/>
        </w:rPr>
      </w:pPr>
      <w:r>
        <w:rPr/>
        <w:pict>
          <v:line style="position:absolute;mso-position-horizontal-relative:page;mso-position-vertical-relative:paragraph;z-index:7072;mso-wrap-distance-left:0;mso-wrap-distance-right:0" from="51.023602pt,12.923629pt" to="79.369602pt,12.923629pt" stroked="true" strokeweight=".5pt" strokecolor="#000000">
            <w10:wrap type="topAndBottom"/>
          </v:line>
        </w:pict>
      </w:r>
    </w:p>
    <w:p>
      <w:pPr>
        <w:pStyle w:val="ListParagraph"/>
        <w:numPr>
          <w:ilvl w:val="0"/>
          <w:numId w:val="30"/>
        </w:numPr>
        <w:tabs>
          <w:tab w:pos="376" w:val="left" w:leader="none"/>
        </w:tabs>
        <w:spacing w:line="242" w:lineRule="auto" w:before="89" w:after="0"/>
        <w:ind w:left="120" w:right="328" w:firstLine="0"/>
        <w:jc w:val="left"/>
        <w:rPr>
          <w:sz w:val="16"/>
        </w:rPr>
      </w:pPr>
      <w:r>
        <w:rPr>
          <w:spacing w:val="-5"/>
          <w:w w:val="110"/>
          <w:sz w:val="16"/>
        </w:rPr>
        <w:t>Ver</w:t>
      </w:r>
      <w:r>
        <w:rPr>
          <w:spacing w:val="-8"/>
          <w:w w:val="110"/>
          <w:sz w:val="16"/>
        </w:rPr>
        <w:t> </w:t>
      </w:r>
      <w:r>
        <w:rPr>
          <w:w w:val="110"/>
          <w:sz w:val="16"/>
        </w:rPr>
        <w:t>también</w:t>
      </w:r>
      <w:r>
        <w:rPr>
          <w:spacing w:val="-8"/>
          <w:w w:val="110"/>
          <w:sz w:val="16"/>
        </w:rPr>
        <w:t> </w:t>
      </w:r>
      <w:r>
        <w:rPr>
          <w:w w:val="110"/>
          <w:sz w:val="16"/>
        </w:rPr>
        <w:t>Churchill,</w:t>
      </w:r>
      <w:r>
        <w:rPr>
          <w:spacing w:val="-8"/>
          <w:w w:val="110"/>
          <w:sz w:val="16"/>
        </w:rPr>
        <w:t> </w:t>
      </w:r>
      <w:r>
        <w:rPr>
          <w:spacing w:val="-3"/>
          <w:w w:val="110"/>
          <w:sz w:val="16"/>
        </w:rPr>
        <w:t>Ward</w:t>
      </w:r>
      <w:r>
        <w:rPr>
          <w:spacing w:val="-8"/>
          <w:w w:val="110"/>
          <w:sz w:val="16"/>
        </w:rPr>
        <w:t> </w:t>
      </w:r>
      <w:r>
        <w:rPr>
          <w:w w:val="110"/>
          <w:sz w:val="16"/>
        </w:rPr>
        <w:t>y</w:t>
      </w:r>
      <w:r>
        <w:rPr>
          <w:spacing w:val="-8"/>
          <w:w w:val="110"/>
          <w:sz w:val="16"/>
        </w:rPr>
        <w:t> </w:t>
      </w:r>
      <w:r>
        <w:rPr>
          <w:spacing w:val="-3"/>
          <w:w w:val="110"/>
          <w:sz w:val="16"/>
        </w:rPr>
        <w:t>Vander</w:t>
      </w:r>
      <w:r>
        <w:rPr>
          <w:spacing w:val="-8"/>
          <w:w w:val="110"/>
          <w:sz w:val="16"/>
        </w:rPr>
        <w:t> </w:t>
      </w:r>
      <w:r>
        <w:rPr>
          <w:spacing w:val="-3"/>
          <w:w w:val="110"/>
          <w:sz w:val="16"/>
        </w:rPr>
        <w:t>Wall,</w:t>
      </w:r>
      <w:r>
        <w:rPr>
          <w:spacing w:val="-8"/>
          <w:w w:val="110"/>
          <w:sz w:val="16"/>
        </w:rPr>
        <w:t> </w:t>
      </w:r>
      <w:r>
        <w:rPr>
          <w:w w:val="110"/>
          <w:sz w:val="16"/>
        </w:rPr>
        <w:t>Jim</w:t>
      </w:r>
      <w:r>
        <w:rPr>
          <w:spacing w:val="-8"/>
          <w:w w:val="110"/>
          <w:sz w:val="16"/>
        </w:rPr>
        <w:t> </w:t>
      </w:r>
      <w:r>
        <w:rPr>
          <w:w w:val="110"/>
          <w:sz w:val="16"/>
        </w:rPr>
        <w:t>(1990)</w:t>
      </w:r>
      <w:r>
        <w:rPr>
          <w:spacing w:val="-8"/>
          <w:w w:val="110"/>
          <w:sz w:val="16"/>
        </w:rPr>
        <w:t> </w:t>
      </w:r>
      <w:r>
        <w:rPr>
          <w:i/>
          <w:w w:val="110"/>
          <w:sz w:val="16"/>
        </w:rPr>
        <w:t>The</w:t>
      </w:r>
      <w:r>
        <w:rPr>
          <w:i/>
          <w:spacing w:val="-8"/>
          <w:w w:val="110"/>
          <w:sz w:val="16"/>
        </w:rPr>
        <w:t> </w:t>
      </w:r>
      <w:r>
        <w:rPr>
          <w:i/>
          <w:w w:val="110"/>
          <w:sz w:val="16"/>
        </w:rPr>
        <w:t>Cointelpro</w:t>
      </w:r>
      <w:r>
        <w:rPr>
          <w:i/>
          <w:spacing w:val="-8"/>
          <w:w w:val="110"/>
          <w:sz w:val="16"/>
        </w:rPr>
        <w:t> </w:t>
      </w:r>
      <w:r>
        <w:rPr>
          <w:i/>
          <w:w w:val="110"/>
          <w:sz w:val="16"/>
        </w:rPr>
        <w:t>Papers.</w:t>
      </w:r>
      <w:r>
        <w:rPr>
          <w:i/>
          <w:spacing w:val="-8"/>
          <w:w w:val="110"/>
          <w:sz w:val="16"/>
        </w:rPr>
        <w:t> </w:t>
      </w:r>
      <w:r>
        <w:rPr>
          <w:i/>
          <w:w w:val="110"/>
          <w:sz w:val="16"/>
        </w:rPr>
        <w:t>Do- </w:t>
      </w:r>
      <w:r>
        <w:rPr>
          <w:i/>
          <w:w w:val="110"/>
          <w:sz w:val="16"/>
        </w:rPr>
        <w:t>cuments</w:t>
      </w:r>
      <w:r>
        <w:rPr>
          <w:i/>
          <w:spacing w:val="-5"/>
          <w:w w:val="110"/>
          <w:sz w:val="16"/>
        </w:rPr>
        <w:t> </w:t>
      </w:r>
      <w:r>
        <w:rPr>
          <w:i/>
          <w:w w:val="110"/>
          <w:sz w:val="16"/>
        </w:rPr>
        <w:t>from</w:t>
      </w:r>
      <w:r>
        <w:rPr>
          <w:i/>
          <w:spacing w:val="-5"/>
          <w:w w:val="110"/>
          <w:sz w:val="16"/>
        </w:rPr>
        <w:t> </w:t>
      </w:r>
      <w:r>
        <w:rPr>
          <w:i/>
          <w:w w:val="110"/>
          <w:sz w:val="16"/>
        </w:rPr>
        <w:t>the</w:t>
      </w:r>
      <w:r>
        <w:rPr>
          <w:i/>
          <w:spacing w:val="-5"/>
          <w:w w:val="110"/>
          <w:sz w:val="16"/>
        </w:rPr>
        <w:t> </w:t>
      </w:r>
      <w:r>
        <w:rPr>
          <w:i/>
          <w:spacing w:val="-4"/>
          <w:w w:val="110"/>
          <w:sz w:val="16"/>
        </w:rPr>
        <w:t>FBI’s</w:t>
      </w:r>
      <w:r>
        <w:rPr>
          <w:i/>
          <w:spacing w:val="-5"/>
          <w:w w:val="110"/>
          <w:sz w:val="16"/>
        </w:rPr>
        <w:t> </w:t>
      </w:r>
      <w:r>
        <w:rPr>
          <w:i/>
          <w:w w:val="110"/>
          <w:sz w:val="16"/>
        </w:rPr>
        <w:t>secret</w:t>
      </w:r>
      <w:r>
        <w:rPr>
          <w:i/>
          <w:spacing w:val="-5"/>
          <w:w w:val="110"/>
          <w:sz w:val="16"/>
        </w:rPr>
        <w:t> </w:t>
      </w:r>
      <w:r>
        <w:rPr>
          <w:i/>
          <w:w w:val="110"/>
          <w:sz w:val="16"/>
        </w:rPr>
        <w:t>wars</w:t>
      </w:r>
      <w:r>
        <w:rPr>
          <w:i/>
          <w:spacing w:val="-5"/>
          <w:w w:val="110"/>
          <w:sz w:val="16"/>
        </w:rPr>
        <w:t> </w:t>
      </w:r>
      <w:r>
        <w:rPr>
          <w:i/>
          <w:w w:val="110"/>
          <w:sz w:val="16"/>
        </w:rPr>
        <w:t>against</w:t>
      </w:r>
      <w:r>
        <w:rPr>
          <w:i/>
          <w:spacing w:val="-5"/>
          <w:w w:val="110"/>
          <w:sz w:val="16"/>
        </w:rPr>
        <w:t> </w:t>
      </w:r>
      <w:r>
        <w:rPr>
          <w:i/>
          <w:w w:val="110"/>
          <w:sz w:val="16"/>
        </w:rPr>
        <w:t>domestic</w:t>
      </w:r>
      <w:r>
        <w:rPr>
          <w:i/>
          <w:spacing w:val="-5"/>
          <w:w w:val="110"/>
          <w:sz w:val="16"/>
        </w:rPr>
        <w:t> </w:t>
      </w:r>
      <w:r>
        <w:rPr>
          <w:i/>
          <w:w w:val="110"/>
          <w:sz w:val="16"/>
        </w:rPr>
        <w:t>dissent</w:t>
      </w:r>
      <w:r>
        <w:rPr>
          <w:w w:val="110"/>
          <w:sz w:val="16"/>
        </w:rPr>
        <w:t>,</w:t>
      </w:r>
      <w:r>
        <w:rPr>
          <w:spacing w:val="-5"/>
          <w:w w:val="110"/>
          <w:sz w:val="16"/>
        </w:rPr>
        <w:t> </w:t>
      </w:r>
      <w:r>
        <w:rPr>
          <w:w w:val="110"/>
          <w:sz w:val="16"/>
        </w:rPr>
        <w:t>boston,</w:t>
      </w:r>
      <w:r>
        <w:rPr>
          <w:spacing w:val="-5"/>
          <w:w w:val="110"/>
          <w:sz w:val="16"/>
        </w:rPr>
        <w:t> </w:t>
      </w:r>
      <w:r>
        <w:rPr>
          <w:w w:val="110"/>
          <w:sz w:val="16"/>
        </w:rPr>
        <w:t>south</w:t>
      </w:r>
      <w:r>
        <w:rPr>
          <w:spacing w:val="-5"/>
          <w:w w:val="110"/>
          <w:sz w:val="16"/>
        </w:rPr>
        <w:t> </w:t>
      </w:r>
      <w:r>
        <w:rPr>
          <w:w w:val="110"/>
          <w:sz w:val="16"/>
        </w:rPr>
        <w:t>End</w:t>
      </w:r>
      <w:r>
        <w:rPr>
          <w:spacing w:val="-5"/>
          <w:w w:val="110"/>
          <w:sz w:val="16"/>
        </w:rPr>
        <w:t> </w:t>
      </w:r>
      <w:r>
        <w:rPr>
          <w:w w:val="110"/>
          <w:sz w:val="16"/>
        </w:rPr>
        <w:t>Press.</w:t>
      </w:r>
    </w:p>
    <w:p>
      <w:pPr>
        <w:pStyle w:val="ListParagraph"/>
        <w:numPr>
          <w:ilvl w:val="0"/>
          <w:numId w:val="30"/>
        </w:numPr>
        <w:tabs>
          <w:tab w:pos="376" w:val="left" w:leader="none"/>
        </w:tabs>
        <w:spacing w:line="240" w:lineRule="auto" w:before="57" w:after="0"/>
        <w:ind w:left="375" w:right="0" w:hanging="255"/>
        <w:jc w:val="left"/>
        <w:rPr>
          <w:sz w:val="16"/>
        </w:rPr>
      </w:pPr>
      <w:r>
        <w:rPr>
          <w:w w:val="105"/>
          <w:sz w:val="16"/>
        </w:rPr>
        <w:t>sitio oficial de Conmemoración de Vietnam: </w:t>
      </w:r>
      <w:r>
        <w:rPr>
          <w:spacing w:val="1"/>
          <w:w w:val="105"/>
          <w:sz w:val="16"/>
        </w:rPr>
        <w:t> </w:t>
      </w:r>
      <w:hyperlink r:id="rId369">
        <w:r>
          <w:rPr>
            <w:w w:val="105"/>
            <w:sz w:val="16"/>
          </w:rPr>
          <w:t>&lt;http://www.vietnamwar50th.com/&gt;.</w:t>
        </w:r>
      </w:hyperlink>
    </w:p>
    <w:p>
      <w:pPr>
        <w:spacing w:after="0" w:line="240" w:lineRule="auto"/>
        <w:jc w:val="left"/>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do “posters” con los escudos de cada grupo militar estadounidense que participó en la contienda, como si fuera una especie de álbum de figuritas coleccionables.</w:t>
      </w:r>
      <w:r>
        <w:rPr>
          <w:w w:val="110"/>
          <w:position w:val="6"/>
          <w:sz w:val="11"/>
        </w:rPr>
        <w:t>13 </w:t>
      </w:r>
      <w:r>
        <w:rPr>
          <w:w w:val="110"/>
        </w:rPr>
        <w:t>Es claro que se trata de la historia de una intervención militar contada (una vez más)</w:t>
      </w:r>
      <w:r>
        <w:rPr>
          <w:w w:val="110"/>
          <w:position w:val="6"/>
          <w:sz w:val="11"/>
        </w:rPr>
        <w:t>14 </w:t>
      </w:r>
      <w:r>
        <w:rPr>
          <w:w w:val="110"/>
        </w:rPr>
        <w:t>por militares o ex mili- tares, con lo cual es natural que busque legitimar el rol de las </w:t>
      </w:r>
      <w:r>
        <w:rPr>
          <w:spacing w:val="-4"/>
          <w:w w:val="110"/>
        </w:rPr>
        <w:t>FF.aa. </w:t>
      </w:r>
      <w:r>
        <w:rPr>
          <w:w w:val="110"/>
        </w:rPr>
        <w:t>Como plantea uno de los intelectuales que se oponen al proyecto de conmemoración de Vietnam organizado por el gobierno: “si has diri- gido una guerra, no deberías ser tú el que te encargues de narrarla</w:t>
      </w:r>
      <w:r>
        <w:rPr>
          <w:spacing w:val="-31"/>
          <w:w w:val="110"/>
        </w:rPr>
        <w:t> </w:t>
      </w:r>
      <w:r>
        <w:rPr>
          <w:w w:val="110"/>
        </w:rPr>
        <w:t>[…] una de nuestras grandes preocupaciones es que si no recordamos</w:t>
      </w:r>
      <w:r>
        <w:rPr>
          <w:spacing w:val="-15"/>
          <w:w w:val="110"/>
        </w:rPr>
        <w:t> </w:t>
      </w:r>
      <w:r>
        <w:rPr>
          <w:w w:val="110"/>
        </w:rPr>
        <w:t>esta guerra a través de una narración más completa, el gobierno utilizará estos relatos para continuar con la conducción de la guerra a lo largo  y a lo ancho del mundo –como una herramienta de propaganda […] tenemos que parar esto” (Gay stolberg,</w:t>
      </w:r>
      <w:r>
        <w:rPr>
          <w:spacing w:val="42"/>
          <w:w w:val="110"/>
        </w:rPr>
        <w:t> </w:t>
      </w:r>
      <w:r>
        <w:rPr>
          <w:w w:val="110"/>
        </w:rPr>
        <w:t>2014).</w:t>
      </w:r>
    </w:p>
    <w:p>
      <w:pPr>
        <w:pStyle w:val="BodyText"/>
        <w:spacing w:line="252" w:lineRule="auto"/>
        <w:ind w:left="330" w:right="117" w:firstLine="396"/>
        <w:jc w:val="both"/>
      </w:pPr>
      <w:r>
        <w:rPr>
          <w:w w:val="115"/>
        </w:rPr>
        <w:t>El núcleo de intelectuales y activistas que se han manifestado en contra de esta manera de conmemorar Vietnam, dejan en claro el peligro de seguir ocultando información sobre la guerra: “[…] No podemos</w:t>
      </w:r>
      <w:r>
        <w:rPr>
          <w:spacing w:val="-26"/>
          <w:w w:val="115"/>
        </w:rPr>
        <w:t> </w:t>
      </w:r>
      <w:r>
        <w:rPr>
          <w:w w:val="115"/>
        </w:rPr>
        <w:t>olvidar</w:t>
      </w:r>
      <w:r>
        <w:rPr>
          <w:spacing w:val="-26"/>
          <w:w w:val="115"/>
        </w:rPr>
        <w:t> </w:t>
      </w:r>
      <w:r>
        <w:rPr>
          <w:w w:val="115"/>
        </w:rPr>
        <w:t>a</w:t>
      </w:r>
      <w:r>
        <w:rPr>
          <w:spacing w:val="-26"/>
          <w:w w:val="115"/>
        </w:rPr>
        <w:t> </w:t>
      </w:r>
      <w:r>
        <w:rPr>
          <w:w w:val="115"/>
        </w:rPr>
        <w:t>los</w:t>
      </w:r>
      <w:r>
        <w:rPr>
          <w:spacing w:val="-26"/>
          <w:w w:val="115"/>
        </w:rPr>
        <w:t> </w:t>
      </w:r>
      <w:r>
        <w:rPr>
          <w:w w:val="115"/>
        </w:rPr>
        <w:t>millones</w:t>
      </w:r>
      <w:r>
        <w:rPr>
          <w:spacing w:val="-26"/>
          <w:w w:val="115"/>
        </w:rPr>
        <w:t> </w:t>
      </w:r>
      <w:r>
        <w:rPr>
          <w:w w:val="115"/>
        </w:rPr>
        <w:t>que</w:t>
      </w:r>
      <w:r>
        <w:rPr>
          <w:spacing w:val="-26"/>
          <w:w w:val="115"/>
        </w:rPr>
        <w:t> </w:t>
      </w:r>
      <w:r>
        <w:rPr>
          <w:w w:val="115"/>
        </w:rPr>
        <w:t>ejercieron</w:t>
      </w:r>
      <w:r>
        <w:rPr>
          <w:spacing w:val="-26"/>
          <w:w w:val="115"/>
        </w:rPr>
        <w:t> </w:t>
      </w:r>
      <w:r>
        <w:rPr>
          <w:w w:val="115"/>
        </w:rPr>
        <w:t>sus</w:t>
      </w:r>
      <w:r>
        <w:rPr>
          <w:spacing w:val="-26"/>
          <w:w w:val="115"/>
        </w:rPr>
        <w:t> </w:t>
      </w:r>
      <w:r>
        <w:rPr>
          <w:w w:val="115"/>
        </w:rPr>
        <w:t>derechos</w:t>
      </w:r>
      <w:r>
        <w:rPr>
          <w:spacing w:val="-26"/>
          <w:w w:val="115"/>
        </w:rPr>
        <w:t> </w:t>
      </w:r>
      <w:r>
        <w:rPr>
          <w:w w:val="115"/>
        </w:rPr>
        <w:t>como</w:t>
      </w:r>
      <w:r>
        <w:rPr>
          <w:spacing w:val="-26"/>
          <w:w w:val="115"/>
        </w:rPr>
        <w:t> </w:t>
      </w:r>
      <w:r>
        <w:rPr>
          <w:w w:val="115"/>
        </w:rPr>
        <w:t>ciu- dadanos</w:t>
      </w:r>
      <w:r>
        <w:rPr>
          <w:spacing w:val="-11"/>
          <w:w w:val="115"/>
        </w:rPr>
        <w:t> </w:t>
      </w:r>
      <w:r>
        <w:rPr>
          <w:w w:val="115"/>
        </w:rPr>
        <w:t>estadounidenses</w:t>
      </w:r>
      <w:r>
        <w:rPr>
          <w:spacing w:val="-11"/>
          <w:w w:val="115"/>
        </w:rPr>
        <w:t> </w:t>
      </w:r>
      <w:r>
        <w:rPr>
          <w:w w:val="115"/>
        </w:rPr>
        <w:t>al</w:t>
      </w:r>
      <w:r>
        <w:rPr>
          <w:spacing w:val="-11"/>
          <w:w w:val="115"/>
        </w:rPr>
        <w:t> </w:t>
      </w:r>
      <w:r>
        <w:rPr>
          <w:w w:val="115"/>
        </w:rPr>
        <w:t>haber</w:t>
      </w:r>
      <w:r>
        <w:rPr>
          <w:spacing w:val="-11"/>
          <w:w w:val="115"/>
        </w:rPr>
        <w:t> </w:t>
      </w:r>
      <w:r>
        <w:rPr>
          <w:w w:val="115"/>
        </w:rPr>
        <w:t>marchado,</w:t>
      </w:r>
      <w:r>
        <w:rPr>
          <w:spacing w:val="-11"/>
          <w:w w:val="115"/>
        </w:rPr>
        <w:t> </w:t>
      </w:r>
      <w:r>
        <w:rPr>
          <w:w w:val="115"/>
        </w:rPr>
        <w:t>rezado,</w:t>
      </w:r>
      <w:r>
        <w:rPr>
          <w:spacing w:val="-11"/>
          <w:w w:val="115"/>
        </w:rPr>
        <w:t> </w:t>
      </w:r>
      <w:r>
        <w:rPr>
          <w:w w:val="115"/>
        </w:rPr>
        <w:t>al</w:t>
      </w:r>
      <w:r>
        <w:rPr>
          <w:spacing w:val="-11"/>
          <w:w w:val="115"/>
        </w:rPr>
        <w:t> </w:t>
      </w:r>
      <w:r>
        <w:rPr>
          <w:w w:val="115"/>
        </w:rPr>
        <w:t>haber</w:t>
      </w:r>
      <w:r>
        <w:rPr>
          <w:spacing w:val="-11"/>
          <w:w w:val="115"/>
        </w:rPr>
        <w:t> </w:t>
      </w:r>
      <w:r>
        <w:rPr>
          <w:w w:val="115"/>
        </w:rPr>
        <w:t>orga- nizado moratorias y al haber enviado cartas al Congreso, así como aquellos</w:t>
      </w:r>
      <w:r>
        <w:rPr>
          <w:spacing w:val="-15"/>
          <w:w w:val="115"/>
        </w:rPr>
        <w:t> </w:t>
      </w:r>
      <w:r>
        <w:rPr>
          <w:w w:val="115"/>
        </w:rPr>
        <w:t>que</w:t>
      </w:r>
      <w:r>
        <w:rPr>
          <w:spacing w:val="-15"/>
          <w:w w:val="115"/>
        </w:rPr>
        <w:t> </w:t>
      </w:r>
      <w:r>
        <w:rPr>
          <w:w w:val="115"/>
        </w:rPr>
        <w:t>fueron</w:t>
      </w:r>
      <w:r>
        <w:rPr>
          <w:spacing w:val="-15"/>
          <w:w w:val="115"/>
        </w:rPr>
        <w:t> </w:t>
      </w:r>
      <w:r>
        <w:rPr>
          <w:w w:val="115"/>
        </w:rPr>
        <w:t>acusados</w:t>
      </w:r>
      <w:r>
        <w:rPr>
          <w:spacing w:val="-15"/>
          <w:w w:val="115"/>
        </w:rPr>
        <w:t> </w:t>
      </w:r>
      <w:r>
        <w:rPr>
          <w:w w:val="115"/>
        </w:rPr>
        <w:t>de</w:t>
      </w:r>
      <w:r>
        <w:rPr>
          <w:spacing w:val="-15"/>
          <w:w w:val="115"/>
        </w:rPr>
        <w:t> </w:t>
      </w:r>
      <w:r>
        <w:rPr>
          <w:w w:val="115"/>
        </w:rPr>
        <w:t>desobediencia</w:t>
      </w:r>
      <w:r>
        <w:rPr>
          <w:spacing w:val="-15"/>
          <w:w w:val="115"/>
        </w:rPr>
        <w:t> </w:t>
      </w:r>
      <w:r>
        <w:rPr>
          <w:w w:val="115"/>
        </w:rPr>
        <w:t>civil</w:t>
      </w:r>
      <w:r>
        <w:rPr>
          <w:spacing w:val="-15"/>
          <w:w w:val="115"/>
        </w:rPr>
        <w:t> </w:t>
      </w:r>
      <w:r>
        <w:rPr>
          <w:w w:val="115"/>
        </w:rPr>
        <w:t>por</w:t>
      </w:r>
      <w:r>
        <w:rPr>
          <w:spacing w:val="-15"/>
          <w:w w:val="115"/>
        </w:rPr>
        <w:t> </w:t>
      </w:r>
      <w:r>
        <w:rPr>
          <w:w w:val="115"/>
        </w:rPr>
        <w:t>el</w:t>
      </w:r>
      <w:r>
        <w:rPr>
          <w:spacing w:val="-15"/>
          <w:w w:val="115"/>
        </w:rPr>
        <w:t> </w:t>
      </w:r>
      <w:r>
        <w:rPr>
          <w:w w:val="115"/>
        </w:rPr>
        <w:t>gobierno, o que murieron en las protestas. Y lo más importante, no podemos olvidar a las millones de víctimas de la guerra, tanto militares</w:t>
      </w:r>
      <w:r>
        <w:rPr>
          <w:spacing w:val="-33"/>
          <w:w w:val="115"/>
        </w:rPr>
        <w:t> </w:t>
      </w:r>
      <w:r>
        <w:rPr>
          <w:w w:val="115"/>
        </w:rPr>
        <w:t>como </w:t>
      </w:r>
      <w:r>
        <w:rPr>
          <w:w w:val="108"/>
        </w:rPr>
        <w:t>civiles</w:t>
      </w:r>
      <w:r>
        <w:rPr/>
        <w:t> </w:t>
      </w:r>
      <w:r>
        <w:rPr>
          <w:spacing w:val="-21"/>
        </w:rPr>
        <w:t> </w:t>
      </w:r>
      <w:r>
        <w:rPr>
          <w:w w:val="108"/>
        </w:rPr>
        <w:t>que</w:t>
      </w:r>
      <w:r>
        <w:rPr/>
        <w:t> </w:t>
      </w:r>
      <w:r>
        <w:rPr>
          <w:spacing w:val="-21"/>
        </w:rPr>
        <w:t> </w:t>
      </w:r>
      <w:r>
        <w:rPr>
          <w:w w:val="110"/>
        </w:rPr>
        <w:t>murieron</w:t>
      </w:r>
      <w:r>
        <w:rPr/>
        <w:t> </w:t>
      </w:r>
      <w:r>
        <w:rPr>
          <w:spacing w:val="-21"/>
        </w:rPr>
        <w:t> </w:t>
      </w:r>
      <w:r>
        <w:rPr>
          <w:w w:val="108"/>
        </w:rPr>
        <w:t>en</w:t>
      </w:r>
      <w:r>
        <w:rPr/>
        <w:t> </w:t>
      </w:r>
      <w:r>
        <w:rPr>
          <w:spacing w:val="-21"/>
        </w:rPr>
        <w:t> </w:t>
      </w:r>
      <w:r>
        <w:rPr>
          <w:spacing w:val="-11"/>
          <w:w w:val="119"/>
        </w:rPr>
        <w:t>V</w:t>
      </w:r>
      <w:r>
        <w:rPr>
          <w:w w:val="112"/>
        </w:rPr>
        <w:t>ietnam,</w:t>
      </w:r>
      <w:r>
        <w:rPr/>
        <w:t> </w:t>
      </w:r>
      <w:r>
        <w:rPr>
          <w:spacing w:val="-21"/>
        </w:rPr>
        <w:t> </w:t>
      </w:r>
      <w:r>
        <w:rPr>
          <w:w w:val="243"/>
        </w:rPr>
        <w:t>l</w:t>
      </w:r>
      <w:r>
        <w:rPr>
          <w:w w:val="109"/>
        </w:rPr>
        <w:t>aos</w:t>
      </w:r>
      <w:r>
        <w:rPr/>
        <w:t> </w:t>
      </w:r>
      <w:r>
        <w:rPr>
          <w:spacing w:val="-21"/>
        </w:rPr>
        <w:t> </w:t>
      </w:r>
      <w:r>
        <w:rPr>
          <w:w w:val="105"/>
        </w:rPr>
        <w:t>y</w:t>
      </w:r>
      <w:r>
        <w:rPr/>
        <w:t> </w:t>
      </w:r>
      <w:r>
        <w:rPr>
          <w:spacing w:val="-21"/>
        </w:rPr>
        <w:t> </w:t>
      </w:r>
      <w:r>
        <w:rPr>
          <w:w w:val="114"/>
        </w:rPr>
        <w:t>Camboya,</w:t>
      </w:r>
      <w:r>
        <w:rPr/>
        <w:t> </w:t>
      </w:r>
      <w:r>
        <w:rPr>
          <w:spacing w:val="-21"/>
        </w:rPr>
        <w:t> </w:t>
      </w:r>
      <w:r>
        <w:rPr>
          <w:w w:val="113"/>
        </w:rPr>
        <w:t>ni</w:t>
      </w:r>
      <w:r>
        <w:rPr/>
        <w:t> </w:t>
      </w:r>
      <w:r>
        <w:rPr>
          <w:spacing w:val="-21"/>
        </w:rPr>
        <w:t> </w:t>
      </w:r>
      <w:r>
        <w:rPr>
          <w:w w:val="112"/>
        </w:rPr>
        <w:t>a</w:t>
      </w:r>
      <w:r>
        <w:rPr/>
        <w:t> </w:t>
      </w:r>
      <w:r>
        <w:rPr>
          <w:spacing w:val="-21"/>
        </w:rPr>
        <w:t> </w:t>
      </w:r>
      <w:r>
        <w:rPr>
          <w:w w:val="109"/>
        </w:rPr>
        <w:t>aquellos</w:t>
      </w:r>
      <w:r>
        <w:rPr/>
        <w:t> </w:t>
      </w:r>
      <w:r>
        <w:rPr>
          <w:spacing w:val="-21"/>
        </w:rPr>
        <w:t> </w:t>
      </w:r>
      <w:r>
        <w:rPr>
          <w:w w:val="108"/>
        </w:rPr>
        <w:t>que </w:t>
      </w:r>
      <w:r>
        <w:rPr>
          <w:w w:val="115"/>
        </w:rPr>
        <w:t>murieron</w:t>
      </w:r>
      <w:r>
        <w:rPr>
          <w:spacing w:val="-15"/>
          <w:w w:val="115"/>
        </w:rPr>
        <w:t> </w:t>
      </w:r>
      <w:r>
        <w:rPr>
          <w:w w:val="115"/>
        </w:rPr>
        <w:t>o</w:t>
      </w:r>
      <w:r>
        <w:rPr>
          <w:spacing w:val="-15"/>
          <w:w w:val="115"/>
        </w:rPr>
        <w:t> </w:t>
      </w:r>
      <w:r>
        <w:rPr>
          <w:w w:val="115"/>
        </w:rPr>
        <w:t>fueron</w:t>
      </w:r>
      <w:r>
        <w:rPr>
          <w:spacing w:val="-15"/>
          <w:w w:val="115"/>
        </w:rPr>
        <w:t> </w:t>
      </w:r>
      <w:r>
        <w:rPr>
          <w:w w:val="115"/>
        </w:rPr>
        <w:t>heridos</w:t>
      </w:r>
      <w:r>
        <w:rPr>
          <w:spacing w:val="-15"/>
          <w:w w:val="115"/>
        </w:rPr>
        <w:t> </w:t>
      </w:r>
      <w:r>
        <w:rPr>
          <w:w w:val="115"/>
        </w:rPr>
        <w:t>luego</w:t>
      </w:r>
      <w:r>
        <w:rPr>
          <w:spacing w:val="-15"/>
          <w:w w:val="115"/>
        </w:rPr>
        <w:t> </w:t>
      </w:r>
      <w:r>
        <w:rPr>
          <w:w w:val="115"/>
        </w:rPr>
        <w:t>de</w:t>
      </w:r>
      <w:r>
        <w:rPr>
          <w:spacing w:val="-15"/>
          <w:w w:val="115"/>
        </w:rPr>
        <w:t> </w:t>
      </w:r>
      <w:r>
        <w:rPr>
          <w:w w:val="115"/>
        </w:rPr>
        <w:t>la</w:t>
      </w:r>
      <w:r>
        <w:rPr>
          <w:spacing w:val="-15"/>
          <w:w w:val="115"/>
        </w:rPr>
        <w:t> </w:t>
      </w:r>
      <w:r>
        <w:rPr>
          <w:w w:val="115"/>
        </w:rPr>
        <w:t>guerra</w:t>
      </w:r>
      <w:r>
        <w:rPr>
          <w:spacing w:val="-15"/>
          <w:w w:val="115"/>
        </w:rPr>
        <w:t> </w:t>
      </w:r>
      <w:r>
        <w:rPr>
          <w:w w:val="115"/>
        </w:rPr>
        <w:t>debido</w:t>
      </w:r>
      <w:r>
        <w:rPr>
          <w:spacing w:val="-15"/>
          <w:w w:val="115"/>
        </w:rPr>
        <w:t> </w:t>
      </w:r>
      <w:r>
        <w:rPr>
          <w:w w:val="115"/>
        </w:rPr>
        <w:t>a</w:t>
      </w:r>
      <w:r>
        <w:rPr>
          <w:spacing w:val="-15"/>
          <w:w w:val="115"/>
        </w:rPr>
        <w:t> </w:t>
      </w:r>
      <w:r>
        <w:rPr>
          <w:w w:val="115"/>
        </w:rPr>
        <w:t>campos</w:t>
      </w:r>
      <w:r>
        <w:rPr>
          <w:spacing w:val="-15"/>
          <w:w w:val="115"/>
        </w:rPr>
        <w:t> </w:t>
      </w:r>
      <w:r>
        <w:rPr>
          <w:w w:val="115"/>
        </w:rPr>
        <w:t>mina- dos,</w:t>
      </w:r>
      <w:r>
        <w:rPr>
          <w:spacing w:val="-22"/>
          <w:w w:val="115"/>
        </w:rPr>
        <w:t> </w:t>
      </w:r>
      <w:r>
        <w:rPr>
          <w:w w:val="115"/>
        </w:rPr>
        <w:t>a</w:t>
      </w:r>
      <w:r>
        <w:rPr>
          <w:spacing w:val="-22"/>
          <w:w w:val="115"/>
        </w:rPr>
        <w:t> </w:t>
      </w:r>
      <w:r>
        <w:rPr>
          <w:w w:val="115"/>
        </w:rPr>
        <w:t>los</w:t>
      </w:r>
      <w:r>
        <w:rPr>
          <w:spacing w:val="-22"/>
          <w:w w:val="115"/>
        </w:rPr>
        <w:t> </w:t>
      </w:r>
      <w:r>
        <w:rPr>
          <w:w w:val="115"/>
        </w:rPr>
        <w:t>efectos</w:t>
      </w:r>
      <w:r>
        <w:rPr>
          <w:spacing w:val="-22"/>
          <w:w w:val="115"/>
        </w:rPr>
        <w:t> </w:t>
      </w:r>
      <w:r>
        <w:rPr>
          <w:w w:val="115"/>
        </w:rPr>
        <w:t>del</w:t>
      </w:r>
      <w:r>
        <w:rPr>
          <w:spacing w:val="-22"/>
          <w:w w:val="115"/>
        </w:rPr>
        <w:t> </w:t>
      </w:r>
      <w:r>
        <w:rPr>
          <w:w w:val="115"/>
        </w:rPr>
        <w:t>agente</w:t>
      </w:r>
      <w:r>
        <w:rPr>
          <w:spacing w:val="-22"/>
          <w:w w:val="115"/>
        </w:rPr>
        <w:t> </w:t>
      </w:r>
      <w:r>
        <w:rPr>
          <w:w w:val="115"/>
        </w:rPr>
        <w:t>naranja</w:t>
      </w:r>
      <w:r>
        <w:rPr>
          <w:spacing w:val="-22"/>
          <w:w w:val="115"/>
        </w:rPr>
        <w:t> </w:t>
      </w:r>
      <w:r>
        <w:rPr>
          <w:w w:val="115"/>
        </w:rPr>
        <w:t>o</w:t>
      </w:r>
      <w:r>
        <w:rPr>
          <w:spacing w:val="-22"/>
          <w:w w:val="115"/>
        </w:rPr>
        <w:t> </w:t>
      </w:r>
      <w:r>
        <w:rPr>
          <w:w w:val="115"/>
        </w:rPr>
        <w:t>a</w:t>
      </w:r>
      <w:r>
        <w:rPr>
          <w:spacing w:val="-22"/>
          <w:w w:val="115"/>
        </w:rPr>
        <w:t> </w:t>
      </w:r>
      <w:r>
        <w:rPr>
          <w:w w:val="115"/>
        </w:rPr>
        <w:t>los</w:t>
      </w:r>
      <w:r>
        <w:rPr>
          <w:spacing w:val="-22"/>
          <w:w w:val="115"/>
        </w:rPr>
        <w:t> </w:t>
      </w:r>
      <w:r>
        <w:rPr>
          <w:w w:val="115"/>
        </w:rPr>
        <w:t>vuelos</w:t>
      </w:r>
      <w:r>
        <w:rPr>
          <w:spacing w:val="-22"/>
          <w:w w:val="115"/>
        </w:rPr>
        <w:t> </w:t>
      </w:r>
      <w:r>
        <w:rPr>
          <w:w w:val="115"/>
        </w:rPr>
        <w:t>de</w:t>
      </w:r>
      <w:r>
        <w:rPr>
          <w:spacing w:val="-22"/>
          <w:w w:val="115"/>
        </w:rPr>
        <w:t> </w:t>
      </w:r>
      <w:r>
        <w:rPr>
          <w:w w:val="115"/>
        </w:rPr>
        <w:t>refugiados.</w:t>
      </w:r>
      <w:r>
        <w:rPr>
          <w:spacing w:val="-22"/>
          <w:w w:val="115"/>
        </w:rPr>
        <w:t> </w:t>
      </w:r>
      <w:r>
        <w:rPr>
          <w:w w:val="115"/>
        </w:rPr>
        <w:t>Estas son</w:t>
      </w:r>
      <w:r>
        <w:rPr>
          <w:spacing w:val="-21"/>
          <w:w w:val="115"/>
        </w:rPr>
        <w:t> </w:t>
      </w:r>
      <w:r>
        <w:rPr>
          <w:w w:val="115"/>
        </w:rPr>
        <w:t>omisiones</w:t>
      </w:r>
      <w:r>
        <w:rPr>
          <w:spacing w:val="-21"/>
          <w:w w:val="115"/>
        </w:rPr>
        <w:t> </w:t>
      </w:r>
      <w:r>
        <w:rPr>
          <w:w w:val="115"/>
        </w:rPr>
        <w:t>históricas</w:t>
      </w:r>
      <w:r>
        <w:rPr>
          <w:spacing w:val="-21"/>
          <w:w w:val="115"/>
        </w:rPr>
        <w:t> </w:t>
      </w:r>
      <w:r>
        <w:rPr>
          <w:w w:val="115"/>
        </w:rPr>
        <w:t>oficiales</w:t>
      </w:r>
      <w:r>
        <w:rPr>
          <w:spacing w:val="-21"/>
          <w:w w:val="115"/>
        </w:rPr>
        <w:t> </w:t>
      </w:r>
      <w:r>
        <w:rPr>
          <w:w w:val="115"/>
        </w:rPr>
        <w:t>muy</w:t>
      </w:r>
      <w:r>
        <w:rPr>
          <w:spacing w:val="-21"/>
          <w:w w:val="115"/>
        </w:rPr>
        <w:t> </w:t>
      </w:r>
      <w:r>
        <w:rPr>
          <w:w w:val="115"/>
        </w:rPr>
        <w:t>serias,</w:t>
      </w:r>
      <w:r>
        <w:rPr>
          <w:spacing w:val="-21"/>
          <w:w w:val="115"/>
        </w:rPr>
        <w:t> </w:t>
      </w:r>
      <w:r>
        <w:rPr>
          <w:w w:val="115"/>
        </w:rPr>
        <w:t>que</w:t>
      </w:r>
      <w:r>
        <w:rPr>
          <w:spacing w:val="-21"/>
          <w:w w:val="115"/>
        </w:rPr>
        <w:t> </w:t>
      </w:r>
      <w:r>
        <w:rPr>
          <w:w w:val="115"/>
        </w:rPr>
        <w:t>generan</w:t>
      </w:r>
      <w:r>
        <w:rPr>
          <w:spacing w:val="-21"/>
          <w:w w:val="115"/>
        </w:rPr>
        <w:t> </w:t>
      </w:r>
      <w:r>
        <w:rPr>
          <w:w w:val="115"/>
        </w:rPr>
        <w:t>una</w:t>
      </w:r>
      <w:r>
        <w:rPr>
          <w:spacing w:val="-21"/>
          <w:w w:val="115"/>
        </w:rPr>
        <w:t> </w:t>
      </w:r>
      <w:r>
        <w:rPr>
          <w:w w:val="115"/>
        </w:rPr>
        <w:t>visión defectuosa</w:t>
      </w:r>
      <w:r>
        <w:rPr>
          <w:spacing w:val="-10"/>
          <w:w w:val="115"/>
        </w:rPr>
        <w:t> </w:t>
      </w:r>
      <w:r>
        <w:rPr>
          <w:w w:val="115"/>
        </w:rPr>
        <w:t>de</w:t>
      </w:r>
      <w:r>
        <w:rPr>
          <w:spacing w:val="-10"/>
          <w:w w:val="115"/>
        </w:rPr>
        <w:t> </w:t>
      </w:r>
      <w:r>
        <w:rPr>
          <w:w w:val="115"/>
        </w:rPr>
        <w:t>las</w:t>
      </w:r>
      <w:r>
        <w:rPr>
          <w:spacing w:val="-10"/>
          <w:w w:val="115"/>
        </w:rPr>
        <w:t> </w:t>
      </w:r>
      <w:r>
        <w:rPr>
          <w:w w:val="115"/>
        </w:rPr>
        <w:t>lecciones</w:t>
      </w:r>
      <w:r>
        <w:rPr>
          <w:spacing w:val="-10"/>
          <w:w w:val="115"/>
        </w:rPr>
        <w:t> </w:t>
      </w:r>
      <w:r>
        <w:rPr>
          <w:w w:val="115"/>
        </w:rPr>
        <w:t>que</w:t>
      </w:r>
      <w:r>
        <w:rPr>
          <w:spacing w:val="-10"/>
          <w:w w:val="115"/>
        </w:rPr>
        <w:t> </w:t>
      </w:r>
      <w:r>
        <w:rPr>
          <w:w w:val="115"/>
        </w:rPr>
        <w:t>debemos</w:t>
      </w:r>
      <w:r>
        <w:rPr>
          <w:spacing w:val="-10"/>
          <w:w w:val="115"/>
        </w:rPr>
        <w:t> </w:t>
      </w:r>
      <w:r>
        <w:rPr>
          <w:w w:val="115"/>
        </w:rPr>
        <w:t>aprender</w:t>
      </w:r>
      <w:r>
        <w:rPr>
          <w:spacing w:val="-10"/>
          <w:w w:val="115"/>
        </w:rPr>
        <w:t> </w:t>
      </w:r>
      <w:r>
        <w:rPr>
          <w:w w:val="115"/>
        </w:rPr>
        <w:t>como</w:t>
      </w:r>
      <w:r>
        <w:rPr>
          <w:spacing w:val="-10"/>
          <w:w w:val="115"/>
        </w:rPr>
        <w:t> </w:t>
      </w:r>
      <w:r>
        <w:rPr>
          <w:w w:val="115"/>
        </w:rPr>
        <w:t>país”</w:t>
      </w:r>
      <w:r>
        <w:rPr>
          <w:spacing w:val="-10"/>
          <w:w w:val="115"/>
        </w:rPr>
        <w:t> </w:t>
      </w:r>
      <w:r>
        <w:rPr>
          <w:spacing w:val="-2"/>
          <w:w w:val="115"/>
        </w:rPr>
        <w:t>(</w:t>
      </w:r>
      <w:r>
        <w:rPr>
          <w:i/>
          <w:spacing w:val="-2"/>
          <w:w w:val="115"/>
        </w:rPr>
        <w:t>Viet- </w:t>
      </w:r>
      <w:r>
        <w:rPr>
          <w:i/>
          <w:w w:val="115"/>
        </w:rPr>
        <w:t>nam</w:t>
      </w:r>
      <w:r>
        <w:rPr>
          <w:i/>
          <w:spacing w:val="-23"/>
          <w:w w:val="115"/>
        </w:rPr>
        <w:t> </w:t>
      </w:r>
      <w:r>
        <w:rPr>
          <w:i/>
          <w:w w:val="115"/>
        </w:rPr>
        <w:t>Peace</w:t>
      </w:r>
      <w:r>
        <w:rPr>
          <w:i/>
          <w:spacing w:val="-23"/>
          <w:w w:val="115"/>
        </w:rPr>
        <w:t> </w:t>
      </w:r>
      <w:r>
        <w:rPr>
          <w:i/>
          <w:w w:val="115"/>
        </w:rPr>
        <w:t>Commemoration</w:t>
      </w:r>
      <w:r>
        <w:rPr>
          <w:i/>
          <w:spacing w:val="-23"/>
          <w:w w:val="115"/>
        </w:rPr>
        <w:t> </w:t>
      </w:r>
      <w:r>
        <w:rPr>
          <w:i/>
          <w:w w:val="115"/>
        </w:rPr>
        <w:t>Committee</w:t>
      </w:r>
      <w:r>
        <w:rPr>
          <w:w w:val="115"/>
        </w:rPr>
        <w:t>,</w:t>
      </w:r>
      <w:r>
        <w:rPr>
          <w:spacing w:val="-23"/>
          <w:w w:val="115"/>
        </w:rPr>
        <w:t> </w:t>
      </w:r>
      <w:r>
        <w:rPr>
          <w:w w:val="115"/>
        </w:rPr>
        <w:t>october</w:t>
      </w:r>
      <w:r>
        <w:rPr>
          <w:spacing w:val="-23"/>
          <w:w w:val="115"/>
        </w:rPr>
        <w:t> </w:t>
      </w:r>
      <w:r>
        <w:rPr>
          <w:w w:val="115"/>
        </w:rPr>
        <w:t>3,</w:t>
      </w:r>
      <w:r>
        <w:rPr>
          <w:spacing w:val="-23"/>
          <w:w w:val="115"/>
        </w:rPr>
        <w:t> </w:t>
      </w:r>
      <w:r>
        <w:rPr>
          <w:w w:val="115"/>
        </w:rPr>
        <w:t>2014).</w:t>
      </w:r>
    </w:p>
    <w:p>
      <w:pPr>
        <w:pStyle w:val="BodyText"/>
        <w:spacing w:line="252" w:lineRule="auto"/>
        <w:ind w:left="330" w:right="117" w:firstLine="396"/>
        <w:jc w:val="both"/>
      </w:pPr>
      <w:r>
        <w:rPr>
          <w:w w:val="110"/>
        </w:rPr>
        <w:t>Entendemos que en la línea de tiempo oficial sobre la interven- ción en Vietnam sobresalen al menos tres aspectos que han sido espe- cialmente útiles en la “lucha por los corazones y las mentes” para legi- </w:t>
      </w:r>
      <w:r>
        <w:rPr>
          <w:w w:val="111"/>
        </w:rPr>
        <w:t>timar</w:t>
      </w:r>
      <w:r>
        <w:rPr/>
        <w:t> </w:t>
      </w:r>
      <w:r>
        <w:rPr>
          <w:w w:val="111"/>
        </w:rPr>
        <w:t>la</w:t>
      </w:r>
      <w:r>
        <w:rPr/>
        <w:t> </w:t>
      </w:r>
      <w:r>
        <w:rPr>
          <w:w w:val="108"/>
        </w:rPr>
        <w:t>guerra</w:t>
      </w:r>
      <w:r>
        <w:rPr/>
        <w:t> </w:t>
      </w:r>
      <w:r>
        <w:rPr>
          <w:w w:val="112"/>
        </w:rPr>
        <w:t>como</w:t>
      </w:r>
      <w:r>
        <w:rPr/>
        <w:t> </w:t>
      </w:r>
      <w:r>
        <w:rPr>
          <w:w w:val="107"/>
        </w:rPr>
        <w:t>parte</w:t>
      </w:r>
      <w:r>
        <w:rPr/>
        <w:t> </w:t>
      </w:r>
      <w:r>
        <w:rPr>
          <w:w w:val="107"/>
        </w:rPr>
        <w:t>del</w:t>
      </w:r>
      <w:r>
        <w:rPr/>
        <w:t> </w:t>
      </w:r>
      <w:r>
        <w:rPr>
          <w:w w:val="111"/>
        </w:rPr>
        <w:t>modo</w:t>
      </w:r>
      <w:r>
        <w:rPr/>
        <w:t> </w:t>
      </w:r>
      <w:r>
        <w:rPr>
          <w:w w:val="107"/>
        </w:rPr>
        <w:t>de</w:t>
      </w:r>
      <w:r>
        <w:rPr/>
        <w:t> </w:t>
      </w:r>
      <w:r>
        <w:rPr>
          <w:w w:val="108"/>
        </w:rPr>
        <w:t>vida</w:t>
      </w:r>
      <w:r>
        <w:rPr/>
        <w:t> </w:t>
      </w:r>
      <w:r>
        <w:rPr>
          <w:w w:val="112"/>
        </w:rPr>
        <w:t>americano.</w:t>
      </w:r>
      <w:r>
        <w:rPr/>
        <w:t> </w:t>
      </w:r>
      <w:r>
        <w:rPr>
          <w:w w:val="243"/>
        </w:rPr>
        <w:t>l</w:t>
      </w:r>
      <w:r>
        <w:rPr>
          <w:w w:val="112"/>
        </w:rPr>
        <w:t>a</w:t>
      </w:r>
      <w:r>
        <w:rPr/>
        <w:t> </w:t>
      </w:r>
      <w:r>
        <w:rPr>
          <w:w w:val="111"/>
        </w:rPr>
        <w:t>primera,</w:t>
      </w:r>
    </w:p>
    <w:p>
      <w:pPr>
        <w:pStyle w:val="BodyText"/>
        <w:spacing w:before="4"/>
        <w:rPr>
          <w:sz w:val="28"/>
        </w:rPr>
      </w:pPr>
      <w:r>
        <w:rPr/>
        <w:pict>
          <v:line style="position:absolute;mso-position-horizontal-relative:page;mso-position-vertical-relative:paragraph;z-index:7096;mso-wrap-distance-left:0;mso-wrap-distance-right:0" from="76.5354pt,18.823631pt" to="104.8814pt,18.823631pt" stroked="true" strokeweight=".5pt" strokecolor="#000000">
            <w10:wrap type="topAndBottom"/>
          </v:line>
        </w:pict>
      </w:r>
    </w:p>
    <w:p>
      <w:pPr>
        <w:pStyle w:val="ListParagraph"/>
        <w:numPr>
          <w:ilvl w:val="0"/>
          <w:numId w:val="30"/>
        </w:numPr>
        <w:tabs>
          <w:tab w:pos="586" w:val="left" w:leader="none"/>
        </w:tabs>
        <w:spacing w:line="242" w:lineRule="auto" w:before="89" w:after="0"/>
        <w:ind w:left="330" w:right="118" w:firstLine="0"/>
        <w:jc w:val="both"/>
        <w:rPr>
          <w:sz w:val="16"/>
        </w:rPr>
      </w:pPr>
      <w:r>
        <w:rPr>
          <w:spacing w:val="-4"/>
          <w:w w:val="105"/>
          <w:sz w:val="16"/>
        </w:rPr>
        <w:t>Ver </w:t>
      </w:r>
      <w:r>
        <w:rPr>
          <w:w w:val="105"/>
          <w:sz w:val="16"/>
        </w:rPr>
        <w:t>estadísticas en </w:t>
      </w:r>
      <w:hyperlink r:id="rId372">
        <w:r>
          <w:rPr>
            <w:w w:val="105"/>
            <w:sz w:val="16"/>
          </w:rPr>
          <w:t>&lt;http://www.archives.gov/research/military/vietnam-war/ca</w:t>
        </w:r>
      </w:hyperlink>
      <w:r>
        <w:rPr>
          <w:w w:val="105"/>
          <w:sz w:val="16"/>
        </w:rPr>
        <w:t>- sualty-statistics.html&gt;.</w:t>
      </w:r>
    </w:p>
    <w:p>
      <w:pPr>
        <w:pStyle w:val="ListParagraph"/>
        <w:numPr>
          <w:ilvl w:val="0"/>
          <w:numId w:val="30"/>
        </w:numPr>
        <w:tabs>
          <w:tab w:pos="586" w:val="left" w:leader="none"/>
        </w:tabs>
        <w:spacing w:line="242" w:lineRule="auto" w:before="57" w:after="0"/>
        <w:ind w:left="330" w:right="117" w:firstLine="0"/>
        <w:jc w:val="both"/>
        <w:rPr>
          <w:sz w:val="16"/>
        </w:rPr>
      </w:pPr>
      <w:r>
        <w:rPr>
          <w:w w:val="111"/>
          <w:sz w:val="16"/>
        </w:rPr>
        <w:t>Esto</w:t>
      </w:r>
      <w:r>
        <w:rPr>
          <w:spacing w:val="8"/>
          <w:sz w:val="16"/>
        </w:rPr>
        <w:t> </w:t>
      </w:r>
      <w:r>
        <w:rPr>
          <w:w w:val="108"/>
          <w:sz w:val="16"/>
        </w:rPr>
        <w:t>fue</w:t>
      </w:r>
      <w:r>
        <w:rPr>
          <w:spacing w:val="8"/>
          <w:sz w:val="16"/>
        </w:rPr>
        <w:t> </w:t>
      </w:r>
      <w:r>
        <w:rPr>
          <w:w w:val="105"/>
          <w:sz w:val="16"/>
        </w:rPr>
        <w:t>advertido</w:t>
      </w:r>
      <w:r>
        <w:rPr>
          <w:spacing w:val="8"/>
          <w:sz w:val="16"/>
        </w:rPr>
        <w:t> </w:t>
      </w:r>
      <w:r>
        <w:rPr>
          <w:w w:val="109"/>
          <w:sz w:val="16"/>
        </w:rPr>
        <w:t>a</w:t>
      </w:r>
      <w:r>
        <w:rPr>
          <w:spacing w:val="8"/>
          <w:sz w:val="16"/>
        </w:rPr>
        <w:t> </w:t>
      </w:r>
      <w:r>
        <w:rPr>
          <w:w w:val="104"/>
          <w:sz w:val="16"/>
        </w:rPr>
        <w:t>fines</w:t>
      </w:r>
      <w:r>
        <w:rPr>
          <w:spacing w:val="8"/>
          <w:sz w:val="16"/>
        </w:rPr>
        <w:t> </w:t>
      </w:r>
      <w:r>
        <w:rPr>
          <w:w w:val="104"/>
          <w:sz w:val="16"/>
        </w:rPr>
        <w:t>de</w:t>
      </w:r>
      <w:r>
        <w:rPr>
          <w:spacing w:val="8"/>
          <w:sz w:val="16"/>
        </w:rPr>
        <w:t> </w:t>
      </w:r>
      <w:r>
        <w:rPr>
          <w:w w:val="106"/>
          <w:sz w:val="16"/>
        </w:rPr>
        <w:t>los</w:t>
      </w:r>
      <w:r>
        <w:rPr>
          <w:spacing w:val="8"/>
          <w:sz w:val="16"/>
        </w:rPr>
        <w:t> </w:t>
      </w:r>
      <w:r>
        <w:rPr>
          <w:w w:val="99"/>
          <w:sz w:val="16"/>
        </w:rPr>
        <w:t>’80</w:t>
      </w:r>
      <w:r>
        <w:rPr>
          <w:spacing w:val="8"/>
          <w:sz w:val="16"/>
        </w:rPr>
        <w:t> </w:t>
      </w:r>
      <w:r>
        <w:rPr>
          <w:w w:val="106"/>
          <w:sz w:val="16"/>
        </w:rPr>
        <w:t>por</w:t>
      </w:r>
      <w:r>
        <w:rPr>
          <w:spacing w:val="8"/>
          <w:sz w:val="16"/>
        </w:rPr>
        <w:t> </w:t>
      </w:r>
      <w:r>
        <w:rPr>
          <w:w w:val="104"/>
          <w:sz w:val="16"/>
        </w:rPr>
        <w:t>el</w:t>
      </w:r>
      <w:r>
        <w:rPr>
          <w:spacing w:val="8"/>
          <w:sz w:val="16"/>
        </w:rPr>
        <w:t> </w:t>
      </w:r>
      <w:r>
        <w:rPr>
          <w:w w:val="107"/>
          <w:sz w:val="16"/>
        </w:rPr>
        <w:t>historiador</w:t>
      </w:r>
      <w:r>
        <w:rPr>
          <w:spacing w:val="8"/>
          <w:sz w:val="16"/>
        </w:rPr>
        <w:t> </w:t>
      </w:r>
      <w:r>
        <w:rPr>
          <w:w w:val="109"/>
          <w:sz w:val="16"/>
        </w:rPr>
        <w:t>militar</w:t>
      </w:r>
      <w:r>
        <w:rPr>
          <w:spacing w:val="8"/>
          <w:sz w:val="16"/>
        </w:rPr>
        <w:t> </w:t>
      </w:r>
      <w:r>
        <w:rPr>
          <w:w w:val="108"/>
          <w:sz w:val="16"/>
        </w:rPr>
        <w:t>Christopher</w:t>
      </w:r>
      <w:r>
        <w:rPr>
          <w:spacing w:val="8"/>
          <w:sz w:val="16"/>
        </w:rPr>
        <w:t> </w:t>
      </w:r>
      <w:r>
        <w:rPr>
          <w:w w:val="238"/>
          <w:sz w:val="16"/>
        </w:rPr>
        <w:t>l</w:t>
      </w:r>
      <w:r>
        <w:rPr>
          <w:w w:val="106"/>
          <w:sz w:val="16"/>
        </w:rPr>
        <w:t>ovett, </w:t>
      </w:r>
      <w:r>
        <w:rPr>
          <w:w w:val="105"/>
          <w:sz w:val="16"/>
        </w:rPr>
        <w:t>quien al introducir un artículo que da cuenta de las diversas publicaciones sobre </w:t>
      </w:r>
      <w:r>
        <w:rPr>
          <w:spacing w:val="-9"/>
          <w:w w:val="116"/>
          <w:sz w:val="16"/>
        </w:rPr>
        <w:t>V</w:t>
      </w:r>
      <w:r>
        <w:rPr>
          <w:w w:val="108"/>
          <w:sz w:val="16"/>
        </w:rPr>
        <w:t>ietnam</w:t>
      </w:r>
      <w:r>
        <w:rPr>
          <w:spacing w:val="11"/>
          <w:sz w:val="16"/>
        </w:rPr>
        <w:t> </w:t>
      </w:r>
      <w:r>
        <w:rPr>
          <w:w w:val="108"/>
          <w:sz w:val="16"/>
        </w:rPr>
        <w:t>hasta</w:t>
      </w:r>
      <w:r>
        <w:rPr>
          <w:spacing w:val="11"/>
          <w:sz w:val="16"/>
        </w:rPr>
        <w:t> </w:t>
      </w:r>
      <w:r>
        <w:rPr>
          <w:w w:val="104"/>
          <w:sz w:val="16"/>
        </w:rPr>
        <w:t>el</w:t>
      </w:r>
      <w:r>
        <w:rPr>
          <w:spacing w:val="11"/>
          <w:sz w:val="16"/>
        </w:rPr>
        <w:t> </w:t>
      </w:r>
      <w:r>
        <w:rPr>
          <w:w w:val="109"/>
          <w:sz w:val="16"/>
        </w:rPr>
        <w:t>momento,</w:t>
      </w:r>
      <w:r>
        <w:rPr>
          <w:spacing w:val="11"/>
          <w:sz w:val="16"/>
        </w:rPr>
        <w:t> </w:t>
      </w:r>
      <w:r>
        <w:rPr>
          <w:w w:val="108"/>
          <w:sz w:val="16"/>
        </w:rPr>
        <w:t>aclara:</w:t>
      </w:r>
      <w:r>
        <w:rPr>
          <w:spacing w:val="11"/>
          <w:sz w:val="16"/>
        </w:rPr>
        <w:t> </w:t>
      </w:r>
      <w:r>
        <w:rPr>
          <w:w w:val="113"/>
          <w:sz w:val="16"/>
        </w:rPr>
        <w:t>“</w:t>
      </w:r>
      <w:r>
        <w:rPr>
          <w:w w:val="238"/>
          <w:sz w:val="16"/>
        </w:rPr>
        <w:t>l</w:t>
      </w:r>
      <w:r>
        <w:rPr>
          <w:w w:val="105"/>
          <w:sz w:val="16"/>
        </w:rPr>
        <w:t>os</w:t>
      </w:r>
      <w:r>
        <w:rPr>
          <w:spacing w:val="11"/>
          <w:sz w:val="16"/>
        </w:rPr>
        <w:t> </w:t>
      </w:r>
      <w:r>
        <w:rPr>
          <w:w w:val="105"/>
          <w:sz w:val="16"/>
        </w:rPr>
        <w:t>nuevos</w:t>
      </w:r>
      <w:r>
        <w:rPr>
          <w:spacing w:val="11"/>
          <w:sz w:val="16"/>
        </w:rPr>
        <w:t> </w:t>
      </w:r>
      <w:r>
        <w:rPr>
          <w:w w:val="106"/>
          <w:sz w:val="16"/>
        </w:rPr>
        <w:t>escritos</w:t>
      </w:r>
      <w:r>
        <w:rPr>
          <w:spacing w:val="11"/>
          <w:sz w:val="16"/>
        </w:rPr>
        <w:t> </w:t>
      </w:r>
      <w:r>
        <w:rPr>
          <w:w w:val="109"/>
          <w:sz w:val="16"/>
        </w:rPr>
        <w:t>académicos</w:t>
      </w:r>
      <w:r>
        <w:rPr>
          <w:spacing w:val="11"/>
          <w:sz w:val="16"/>
        </w:rPr>
        <w:t> </w:t>
      </w:r>
      <w:r>
        <w:rPr>
          <w:w w:val="105"/>
          <w:sz w:val="16"/>
        </w:rPr>
        <w:t>sobre</w:t>
      </w:r>
      <w:r>
        <w:rPr>
          <w:spacing w:val="11"/>
          <w:sz w:val="16"/>
        </w:rPr>
        <w:t> </w:t>
      </w:r>
      <w:r>
        <w:rPr>
          <w:w w:val="109"/>
          <w:sz w:val="16"/>
        </w:rPr>
        <w:t>la</w:t>
      </w:r>
      <w:r>
        <w:rPr>
          <w:spacing w:val="11"/>
          <w:sz w:val="16"/>
        </w:rPr>
        <w:t> </w:t>
      </w:r>
      <w:r>
        <w:rPr>
          <w:w w:val="106"/>
          <w:sz w:val="16"/>
        </w:rPr>
        <w:t>guerra </w:t>
      </w:r>
      <w:r>
        <w:rPr>
          <w:w w:val="105"/>
          <w:sz w:val="16"/>
        </w:rPr>
        <w:t>de Vietnam encuentran un estrecho paralelismo con el </w:t>
      </w:r>
      <w:r>
        <w:rPr>
          <w:i/>
          <w:w w:val="105"/>
          <w:sz w:val="16"/>
        </w:rPr>
        <w:t>revival </w:t>
      </w:r>
      <w:r>
        <w:rPr>
          <w:w w:val="105"/>
          <w:sz w:val="16"/>
        </w:rPr>
        <w:t>de una historia </w:t>
      </w:r>
      <w:r>
        <w:rPr>
          <w:spacing w:val="-3"/>
          <w:w w:val="105"/>
          <w:sz w:val="16"/>
        </w:rPr>
        <w:t>militar.</w:t>
      </w:r>
      <w:r>
        <w:rPr>
          <w:spacing w:val="31"/>
          <w:w w:val="105"/>
          <w:sz w:val="16"/>
        </w:rPr>
        <w:t> </w:t>
      </w:r>
      <w:r>
        <w:rPr>
          <w:w w:val="105"/>
          <w:sz w:val="16"/>
        </w:rPr>
        <w:t>El repentino resurgimiento de un ‘Nuevo Patriotismo’, combinado con las aventuras </w:t>
      </w:r>
      <w:r>
        <w:rPr>
          <w:spacing w:val="37"/>
          <w:w w:val="105"/>
          <w:sz w:val="16"/>
        </w:rPr>
        <w:t> </w:t>
      </w:r>
      <w:r>
        <w:rPr>
          <w:w w:val="105"/>
          <w:sz w:val="16"/>
        </w:rPr>
        <w:t>de política exterior del gobierno de reagan, ha llevado a los estadounidenses a re- </w:t>
      </w:r>
      <w:r>
        <w:rPr>
          <w:w w:val="107"/>
          <w:sz w:val="16"/>
        </w:rPr>
        <w:t>descubrir</w:t>
      </w:r>
      <w:r>
        <w:rPr>
          <w:spacing w:val="8"/>
          <w:sz w:val="16"/>
        </w:rPr>
        <w:t> </w:t>
      </w:r>
      <w:r>
        <w:rPr>
          <w:w w:val="104"/>
          <w:sz w:val="16"/>
        </w:rPr>
        <w:t>el</w:t>
      </w:r>
      <w:r>
        <w:rPr>
          <w:spacing w:val="8"/>
          <w:sz w:val="16"/>
        </w:rPr>
        <w:t> </w:t>
      </w:r>
      <w:r>
        <w:rPr>
          <w:w w:val="108"/>
          <w:sz w:val="16"/>
        </w:rPr>
        <w:t>conflicto</w:t>
      </w:r>
      <w:r>
        <w:rPr>
          <w:spacing w:val="8"/>
          <w:sz w:val="16"/>
        </w:rPr>
        <w:t> </w:t>
      </w:r>
      <w:r>
        <w:rPr>
          <w:w w:val="104"/>
          <w:sz w:val="16"/>
        </w:rPr>
        <w:t>de</w:t>
      </w:r>
      <w:r>
        <w:rPr>
          <w:spacing w:val="8"/>
          <w:sz w:val="16"/>
        </w:rPr>
        <w:t> </w:t>
      </w:r>
      <w:r>
        <w:rPr>
          <w:spacing w:val="-9"/>
          <w:w w:val="116"/>
          <w:sz w:val="16"/>
        </w:rPr>
        <w:t>V</w:t>
      </w:r>
      <w:r>
        <w:rPr>
          <w:w w:val="110"/>
          <w:sz w:val="16"/>
        </w:rPr>
        <w:t>ietnam.</w:t>
      </w:r>
      <w:r>
        <w:rPr>
          <w:spacing w:val="8"/>
          <w:sz w:val="16"/>
        </w:rPr>
        <w:t> </w:t>
      </w:r>
      <w:r>
        <w:rPr>
          <w:w w:val="238"/>
          <w:sz w:val="16"/>
        </w:rPr>
        <w:t>l</w:t>
      </w:r>
      <w:r>
        <w:rPr>
          <w:w w:val="106"/>
          <w:sz w:val="16"/>
        </w:rPr>
        <w:t>as</w:t>
      </w:r>
      <w:r>
        <w:rPr>
          <w:spacing w:val="8"/>
          <w:sz w:val="16"/>
        </w:rPr>
        <w:t> </w:t>
      </w:r>
      <w:r>
        <w:rPr>
          <w:w w:val="107"/>
          <w:sz w:val="16"/>
        </w:rPr>
        <w:t>editoriales,</w:t>
      </w:r>
      <w:r>
        <w:rPr>
          <w:spacing w:val="8"/>
          <w:sz w:val="16"/>
        </w:rPr>
        <w:t> </w:t>
      </w:r>
      <w:r>
        <w:rPr>
          <w:w w:val="106"/>
          <w:sz w:val="16"/>
        </w:rPr>
        <w:t>que</w:t>
      </w:r>
      <w:r>
        <w:rPr>
          <w:spacing w:val="8"/>
          <w:sz w:val="16"/>
        </w:rPr>
        <w:t> </w:t>
      </w:r>
      <w:r>
        <w:rPr>
          <w:w w:val="102"/>
          <w:sz w:val="16"/>
        </w:rPr>
        <w:t>se</w:t>
      </w:r>
      <w:r>
        <w:rPr>
          <w:spacing w:val="8"/>
          <w:sz w:val="16"/>
        </w:rPr>
        <w:t> </w:t>
      </w:r>
      <w:r>
        <w:rPr>
          <w:w w:val="106"/>
          <w:sz w:val="16"/>
        </w:rPr>
        <w:t>dieron</w:t>
      </w:r>
      <w:r>
        <w:rPr>
          <w:spacing w:val="8"/>
          <w:sz w:val="16"/>
        </w:rPr>
        <w:t> </w:t>
      </w:r>
      <w:r>
        <w:rPr>
          <w:w w:val="108"/>
          <w:sz w:val="16"/>
        </w:rPr>
        <w:t>cuenta</w:t>
      </w:r>
      <w:r>
        <w:rPr>
          <w:spacing w:val="8"/>
          <w:sz w:val="16"/>
        </w:rPr>
        <w:t> </w:t>
      </w:r>
      <w:r>
        <w:rPr>
          <w:w w:val="105"/>
          <w:sz w:val="16"/>
        </w:rPr>
        <w:t>del</w:t>
      </w:r>
      <w:r>
        <w:rPr>
          <w:spacing w:val="8"/>
          <w:sz w:val="16"/>
        </w:rPr>
        <w:t> </w:t>
      </w:r>
      <w:r>
        <w:rPr>
          <w:w w:val="108"/>
          <w:sz w:val="16"/>
        </w:rPr>
        <w:t>potencial </w:t>
      </w:r>
      <w:r>
        <w:rPr>
          <w:w w:val="105"/>
          <w:sz w:val="16"/>
        </w:rPr>
        <w:t>de este nuevo mercado, han procurado mantener a las librerías bien dotadas de este </w:t>
      </w:r>
      <w:r>
        <w:rPr>
          <w:w w:val="108"/>
          <w:sz w:val="16"/>
        </w:rPr>
        <w:t>material”</w:t>
      </w:r>
      <w:r>
        <w:rPr>
          <w:spacing w:val="9"/>
          <w:sz w:val="16"/>
        </w:rPr>
        <w:t> </w:t>
      </w:r>
      <w:r>
        <w:rPr>
          <w:w w:val="96"/>
          <w:sz w:val="16"/>
        </w:rPr>
        <w:t>(</w:t>
      </w:r>
      <w:r>
        <w:rPr>
          <w:w w:val="238"/>
          <w:sz w:val="16"/>
        </w:rPr>
        <w:t>l</w:t>
      </w:r>
      <w:r>
        <w:rPr>
          <w:w w:val="106"/>
          <w:sz w:val="16"/>
        </w:rPr>
        <w:t>ovett,</w:t>
      </w:r>
      <w:r>
        <w:rPr>
          <w:spacing w:val="9"/>
          <w:sz w:val="16"/>
        </w:rPr>
        <w:t> </w:t>
      </w:r>
      <w:r>
        <w:rPr>
          <w:w w:val="100"/>
          <w:sz w:val="16"/>
        </w:rPr>
        <w:t>1987:</w:t>
      </w:r>
      <w:r>
        <w:rPr>
          <w:spacing w:val="9"/>
          <w:sz w:val="16"/>
        </w:rPr>
        <w:t> </w:t>
      </w:r>
      <w:r>
        <w:rPr>
          <w:w w:val="103"/>
          <w:sz w:val="16"/>
        </w:rPr>
        <w:t>67).</w:t>
      </w:r>
    </w:p>
    <w:p>
      <w:pPr>
        <w:spacing w:after="0" w:line="242" w:lineRule="auto"/>
        <w:jc w:val="both"/>
        <w:rPr>
          <w:sz w:val="16"/>
        </w:rPr>
        <w:sectPr>
          <w:footerReference w:type="even" r:id="rId370"/>
          <w:footerReference w:type="default" r:id="rId371"/>
          <w:pgSz w:w="8790" w:h="12760"/>
          <w:pgMar w:footer="725" w:header="695" w:top="880" w:bottom="920" w:left="1200" w:right="900"/>
          <w:pgNumType w:start="262"/>
        </w:sectPr>
      </w:pPr>
    </w:p>
    <w:p>
      <w:pPr>
        <w:pStyle w:val="BodyText"/>
        <w:spacing w:before="9"/>
        <w:rPr>
          <w:sz w:val="28"/>
        </w:rPr>
      </w:pPr>
    </w:p>
    <w:p>
      <w:pPr>
        <w:pStyle w:val="BodyText"/>
        <w:spacing w:line="252" w:lineRule="auto" w:before="73"/>
        <w:ind w:left="120" w:right="327"/>
        <w:jc w:val="both"/>
      </w:pPr>
      <w:r>
        <w:rPr>
          <w:w w:val="110"/>
        </w:rPr>
        <w:t>es la ocultación de información o la mentira directa sobre los hechos; la segunda, y que se desprende de la primera, es la utilización de un léxico confuso; la tercera, es la reivindicación de lo militar, lo cual se visualiza en el predominio de referencias a la entrega de  medallas.</w:t>
      </w:r>
    </w:p>
    <w:p>
      <w:pPr>
        <w:pStyle w:val="BodyText"/>
        <w:spacing w:line="252" w:lineRule="auto"/>
        <w:ind w:left="120" w:right="327" w:firstLine="396"/>
        <w:jc w:val="both"/>
      </w:pPr>
      <w:r>
        <w:rPr>
          <w:w w:val="110"/>
        </w:rPr>
        <w:t>Con respecto a la mentira y la desinformación, hay dos ejemplos claros. El primero y más obvio es el del “incidente del golfo de </w:t>
      </w:r>
      <w:r>
        <w:rPr>
          <w:spacing w:val="-5"/>
          <w:w w:val="110"/>
        </w:rPr>
        <w:t>ton- </w:t>
      </w:r>
      <w:r>
        <w:rPr>
          <w:w w:val="114"/>
        </w:rPr>
        <w:t>kin”.</w:t>
      </w:r>
      <w:r>
        <w:rPr>
          <w:spacing w:val="18"/>
        </w:rPr>
        <w:t> </w:t>
      </w:r>
      <w:r>
        <w:rPr>
          <w:w w:val="243"/>
        </w:rPr>
        <w:t>l</w:t>
      </w:r>
      <w:r>
        <w:rPr>
          <w:w w:val="112"/>
        </w:rPr>
        <w:t>a</w:t>
      </w:r>
      <w:r>
        <w:rPr>
          <w:spacing w:val="18"/>
        </w:rPr>
        <w:t> </w:t>
      </w:r>
      <w:r>
        <w:rPr>
          <w:w w:val="110"/>
        </w:rPr>
        <w:t>línea</w:t>
      </w:r>
      <w:r>
        <w:rPr>
          <w:spacing w:val="18"/>
        </w:rPr>
        <w:t> </w:t>
      </w:r>
      <w:r>
        <w:rPr>
          <w:w w:val="107"/>
        </w:rPr>
        <w:t>de</w:t>
      </w:r>
      <w:r>
        <w:rPr>
          <w:spacing w:val="18"/>
        </w:rPr>
        <w:t> </w:t>
      </w:r>
      <w:r>
        <w:rPr>
          <w:w w:val="110"/>
        </w:rPr>
        <w:t>tiempo</w:t>
      </w:r>
      <w:r>
        <w:rPr>
          <w:spacing w:val="18"/>
        </w:rPr>
        <w:t> </w:t>
      </w:r>
      <w:r>
        <w:rPr>
          <w:w w:val="110"/>
        </w:rPr>
        <w:t>lo</w:t>
      </w:r>
      <w:r>
        <w:rPr>
          <w:spacing w:val="18"/>
        </w:rPr>
        <w:t> </w:t>
      </w:r>
      <w:r>
        <w:rPr>
          <w:w w:val="108"/>
        </w:rPr>
        <w:t>relata</w:t>
      </w:r>
      <w:r>
        <w:rPr>
          <w:spacing w:val="18"/>
        </w:rPr>
        <w:t> </w:t>
      </w:r>
      <w:r>
        <w:rPr>
          <w:w w:val="107"/>
        </w:rPr>
        <w:t>del</w:t>
      </w:r>
      <w:r>
        <w:rPr>
          <w:spacing w:val="18"/>
        </w:rPr>
        <w:t> </w:t>
      </w:r>
      <w:r>
        <w:rPr>
          <w:w w:val="109"/>
        </w:rPr>
        <w:t>siguiente</w:t>
      </w:r>
      <w:r>
        <w:rPr>
          <w:spacing w:val="18"/>
        </w:rPr>
        <w:t> </w:t>
      </w:r>
      <w:r>
        <w:rPr>
          <w:w w:val="110"/>
        </w:rPr>
        <w:t>modo:</w:t>
      </w:r>
      <w:r>
        <w:rPr>
          <w:spacing w:val="18"/>
        </w:rPr>
        <w:t> </w:t>
      </w:r>
      <w:r>
        <w:rPr>
          <w:w w:val="120"/>
        </w:rPr>
        <w:t>“El</w:t>
      </w:r>
      <w:r>
        <w:rPr>
          <w:spacing w:val="18"/>
        </w:rPr>
        <w:t> </w:t>
      </w:r>
      <w:r>
        <w:rPr>
          <w:w w:val="102"/>
        </w:rPr>
        <w:t>2</w:t>
      </w:r>
      <w:r>
        <w:rPr>
          <w:spacing w:val="18"/>
        </w:rPr>
        <w:t> </w:t>
      </w:r>
      <w:r>
        <w:rPr>
          <w:w w:val="107"/>
        </w:rPr>
        <w:t>de</w:t>
      </w:r>
      <w:r>
        <w:rPr>
          <w:spacing w:val="18"/>
        </w:rPr>
        <w:t> </w:t>
      </w:r>
      <w:r>
        <w:rPr>
          <w:w w:val="109"/>
        </w:rPr>
        <w:t>agosto </w:t>
      </w:r>
      <w:r>
        <w:rPr>
          <w:w w:val="110"/>
        </w:rPr>
        <w:t>de 1964, el buque destructor </w:t>
      </w:r>
      <w:r>
        <w:rPr>
          <w:w w:val="150"/>
        </w:rPr>
        <w:t>uss </w:t>
      </w:r>
      <w:r>
        <w:rPr>
          <w:w w:val="110"/>
        </w:rPr>
        <w:t>Maddox estaba ubicado en el Golfo de </w:t>
      </w:r>
      <w:r>
        <w:rPr>
          <w:spacing w:val="-3"/>
          <w:w w:val="110"/>
        </w:rPr>
        <w:t>tonkin, </w:t>
      </w:r>
      <w:r>
        <w:rPr>
          <w:w w:val="110"/>
        </w:rPr>
        <w:t>frente a las costas de Vietnam del Norte, apoyando opera- ciones de espionaje de Vietnam del </w:t>
      </w:r>
      <w:r>
        <w:rPr>
          <w:spacing w:val="-6"/>
          <w:w w:val="110"/>
        </w:rPr>
        <w:t>sur. </w:t>
      </w:r>
      <w:r>
        <w:rPr>
          <w:spacing w:val="-5"/>
          <w:w w:val="110"/>
        </w:rPr>
        <w:t>tres </w:t>
      </w:r>
      <w:r>
        <w:rPr>
          <w:w w:val="110"/>
        </w:rPr>
        <w:t>embarcaciones norviet- namitas lanzan torpedos al Maddox, pero no dan en el blanco […] la noche del 4 de agosto, </w:t>
      </w:r>
      <w:r>
        <w:rPr>
          <w:w w:val="150"/>
        </w:rPr>
        <w:t>uss </w:t>
      </w:r>
      <w:r>
        <w:rPr>
          <w:w w:val="110"/>
        </w:rPr>
        <w:t>Maddox y </w:t>
      </w:r>
      <w:r>
        <w:rPr>
          <w:w w:val="150"/>
        </w:rPr>
        <w:t>uss </w:t>
      </w:r>
      <w:r>
        <w:rPr>
          <w:spacing w:val="-4"/>
          <w:w w:val="110"/>
        </w:rPr>
        <w:t>turner </w:t>
      </w:r>
      <w:r>
        <w:rPr>
          <w:spacing w:val="-6"/>
          <w:w w:val="110"/>
        </w:rPr>
        <w:t>Joy, </w:t>
      </w:r>
      <w:r>
        <w:rPr>
          <w:w w:val="110"/>
        </w:rPr>
        <w:t>ambos en el Golfo de </w:t>
      </w:r>
      <w:r>
        <w:rPr>
          <w:spacing w:val="-3"/>
          <w:w w:val="110"/>
        </w:rPr>
        <w:t>tonkin, </w:t>
      </w:r>
      <w:r>
        <w:rPr>
          <w:w w:val="110"/>
        </w:rPr>
        <w:t>reportan haber sido atacados por varias embarcacio- nes pequeñas. No obstante, análisis posteriores de esos reportes</w:t>
      </w:r>
      <w:r>
        <w:rPr>
          <w:spacing w:val="-26"/>
          <w:w w:val="110"/>
        </w:rPr>
        <w:t> </w:t>
      </w:r>
      <w:r>
        <w:rPr>
          <w:w w:val="110"/>
        </w:rPr>
        <w:t>dejan claro que la fuerza naval norvietnamita no atacó ni al Maddox ni al </w:t>
      </w:r>
      <w:r>
        <w:rPr>
          <w:spacing w:val="-3"/>
          <w:w w:val="110"/>
        </w:rPr>
        <w:t>turner </w:t>
      </w:r>
      <w:r>
        <w:rPr>
          <w:w w:val="110"/>
        </w:rPr>
        <w:t>Joy esa noche […] En respuesta a los ataques norvietnamitas del 2 de agosto y del presunto ataque del 4 de agosto el presidente Jo- hnson lanza la operación […] y comienza a redactar un borrador de resolución para el Congreso a los fines de solicitar el apoyo para una intervención militar directa en </w:t>
      </w:r>
      <w:r>
        <w:rPr>
          <w:spacing w:val="1"/>
          <w:w w:val="110"/>
        </w:rPr>
        <w:t> </w:t>
      </w:r>
      <w:r>
        <w:rPr>
          <w:w w:val="110"/>
        </w:rPr>
        <w:t>Vietnam”.</w:t>
      </w:r>
    </w:p>
    <w:p>
      <w:pPr>
        <w:pStyle w:val="BodyText"/>
        <w:spacing w:line="252" w:lineRule="auto"/>
        <w:ind w:left="120" w:right="327" w:firstLine="396"/>
        <w:jc w:val="both"/>
      </w:pPr>
      <w:r>
        <w:rPr>
          <w:w w:val="243"/>
        </w:rPr>
        <w:t>l</w:t>
      </w:r>
      <w:r>
        <w:rPr>
          <w:w w:val="112"/>
        </w:rPr>
        <w:t>a</w:t>
      </w:r>
      <w:r>
        <w:rPr/>
        <w:t> </w:t>
      </w:r>
      <w:r>
        <w:rPr>
          <w:spacing w:val="7"/>
        </w:rPr>
        <w:t> </w:t>
      </w:r>
      <w:r>
        <w:rPr>
          <w:w w:val="111"/>
        </w:rPr>
        <w:t>forma</w:t>
      </w:r>
      <w:r>
        <w:rPr/>
        <w:t> </w:t>
      </w:r>
      <w:r>
        <w:rPr>
          <w:spacing w:val="7"/>
        </w:rPr>
        <w:t> </w:t>
      </w:r>
      <w:r>
        <w:rPr>
          <w:w w:val="107"/>
        </w:rPr>
        <w:t>de</w:t>
      </w:r>
      <w:r>
        <w:rPr/>
        <w:t> </w:t>
      </w:r>
      <w:r>
        <w:rPr>
          <w:spacing w:val="7"/>
        </w:rPr>
        <w:t> </w:t>
      </w:r>
      <w:r>
        <w:rPr>
          <w:w w:val="110"/>
        </w:rPr>
        <w:t>contar</w:t>
      </w:r>
      <w:r>
        <w:rPr/>
        <w:t> </w:t>
      </w:r>
      <w:r>
        <w:rPr>
          <w:spacing w:val="7"/>
        </w:rPr>
        <w:t> </w:t>
      </w:r>
      <w:r>
        <w:rPr>
          <w:w w:val="108"/>
        </w:rPr>
        <w:t>los</w:t>
      </w:r>
      <w:r>
        <w:rPr/>
        <w:t> </w:t>
      </w:r>
      <w:r>
        <w:rPr>
          <w:spacing w:val="7"/>
        </w:rPr>
        <w:t> </w:t>
      </w:r>
      <w:r>
        <w:rPr>
          <w:w w:val="108"/>
        </w:rPr>
        <w:t>sucesos</w:t>
      </w:r>
      <w:r>
        <w:rPr/>
        <w:t> </w:t>
      </w:r>
      <w:r>
        <w:rPr>
          <w:spacing w:val="7"/>
        </w:rPr>
        <w:t> </w:t>
      </w:r>
      <w:r>
        <w:rPr>
          <w:w w:val="107"/>
        </w:rPr>
        <w:t>evita</w:t>
      </w:r>
      <w:r>
        <w:rPr/>
        <w:t> </w:t>
      </w:r>
      <w:r>
        <w:rPr>
          <w:spacing w:val="7"/>
        </w:rPr>
        <w:t> </w:t>
      </w:r>
      <w:r>
        <w:rPr>
          <w:w w:val="109"/>
        </w:rPr>
        <w:t>afirmar</w:t>
      </w:r>
      <w:r>
        <w:rPr/>
        <w:t> </w:t>
      </w:r>
      <w:r>
        <w:rPr>
          <w:spacing w:val="7"/>
        </w:rPr>
        <w:t> </w:t>
      </w:r>
      <w:r>
        <w:rPr>
          <w:w w:val="108"/>
        </w:rPr>
        <w:t>que</w:t>
      </w:r>
      <w:r>
        <w:rPr/>
        <w:t> </w:t>
      </w:r>
      <w:r>
        <w:rPr>
          <w:spacing w:val="7"/>
        </w:rPr>
        <w:t> </w:t>
      </w:r>
      <w:r>
        <w:rPr>
          <w:w w:val="107"/>
        </w:rPr>
        <w:t>el</w:t>
      </w:r>
      <w:r>
        <w:rPr/>
        <w:t> </w:t>
      </w:r>
      <w:r>
        <w:rPr>
          <w:spacing w:val="7"/>
        </w:rPr>
        <w:t> </w:t>
      </w:r>
      <w:r>
        <w:rPr>
          <w:w w:val="112"/>
        </w:rPr>
        <w:t>Ejecutivo </w:t>
      </w:r>
      <w:r>
        <w:rPr>
          <w:w w:val="110"/>
        </w:rPr>
        <w:t>mintió al Congreso y al pueblo estadounidense sobre los motivos que llevan a una mayor escalada en el sudeste asiático, pues no se había perpetrado un ataque y la Marina estadounidense estaba en territorio de Vietnam del Norte en calidad de espía, tal como lo hicieron público los Papeles del Pentágono. En efecto, en la línea de tiempo oficial, la referencia a los Papeles del Pentágono son escuetas e incluso ocultan el real aporte de esta documentación: “El </w:t>
      </w:r>
      <w:r>
        <w:rPr>
          <w:w w:val="150"/>
        </w:rPr>
        <w:t>NYt </w:t>
      </w:r>
      <w:r>
        <w:rPr>
          <w:w w:val="110"/>
        </w:rPr>
        <w:t>publica los Papeles del Pentágono, la filtración de memorandos escritos por funcionarios del gobierno que cuentan la historia sobre la política estadounidense en Vietnam, incluso mientras todavía estaba siendo forjada”. así, se ocul- ta el hecho de que sí había una conciencia sobre las consecuencias</w:t>
      </w:r>
      <w:r>
        <w:rPr>
          <w:spacing w:val="-15"/>
          <w:w w:val="110"/>
        </w:rPr>
        <w:t> </w:t>
      </w:r>
      <w:r>
        <w:rPr>
          <w:w w:val="110"/>
        </w:rPr>
        <w:t>que tendría la guerra en Vietnam y en Estados unidos, los daños humanos y ambientales, los errores de cálculo, la falta de predisposición para negociar con el gobierno revolucionario de Vietnam, el apoyo indiscri- minado a regímenes dictatoriales del sur de Vietnam, el negocio de las armas.</w:t>
      </w:r>
      <w:r>
        <w:rPr>
          <w:w w:val="110"/>
          <w:position w:val="6"/>
          <w:sz w:val="11"/>
        </w:rPr>
        <w:t>15 </w:t>
      </w:r>
      <w:r>
        <w:rPr>
          <w:spacing w:val="-3"/>
          <w:w w:val="110"/>
        </w:rPr>
        <w:t>tampoco </w:t>
      </w:r>
      <w:r>
        <w:rPr>
          <w:w w:val="110"/>
        </w:rPr>
        <w:t>se relata el escándalo que esto implicó en Estados unidos, cuando gran parte de la población puso en duda las supuestas “bases democráticas” de la sociedad, así como las supuestas “buenas intenciones” de las intervenciones de su gobierno en el</w:t>
      </w:r>
      <w:r>
        <w:rPr>
          <w:spacing w:val="34"/>
          <w:w w:val="110"/>
        </w:rPr>
        <w:t> </w:t>
      </w:r>
      <w:r>
        <w:rPr>
          <w:w w:val="110"/>
        </w:rPr>
        <w:t>extranjero.</w:t>
      </w:r>
    </w:p>
    <w:p>
      <w:pPr>
        <w:pStyle w:val="BodyText"/>
        <w:spacing w:before="4"/>
      </w:pPr>
      <w:r>
        <w:rPr/>
        <w:pict>
          <v:line style="position:absolute;mso-position-horizontal-relative:page;mso-position-vertical-relative:paragraph;z-index:7120;mso-wrap-distance-left:0;mso-wrap-distance-right:0" from="51.023602pt,13.563634pt" to="79.369602pt,13.563634pt" stroked="true" strokeweight=".5pt" strokecolor="#000000">
            <w10:wrap type="topAndBottom"/>
          </v:line>
        </w:pict>
      </w:r>
    </w:p>
    <w:p>
      <w:pPr>
        <w:pStyle w:val="ListParagraph"/>
        <w:numPr>
          <w:ilvl w:val="0"/>
          <w:numId w:val="30"/>
        </w:numPr>
        <w:tabs>
          <w:tab w:pos="376" w:val="left" w:leader="none"/>
        </w:tabs>
        <w:spacing w:line="242" w:lineRule="auto" w:before="89" w:after="0"/>
        <w:ind w:left="120" w:right="328" w:firstLine="0"/>
        <w:jc w:val="left"/>
        <w:rPr>
          <w:sz w:val="16"/>
        </w:rPr>
      </w:pPr>
      <w:r>
        <w:rPr>
          <w:w w:val="105"/>
          <w:sz w:val="16"/>
        </w:rPr>
        <w:t>Para revisar los Papeles del Pentágono, ver </w:t>
      </w:r>
      <w:hyperlink r:id="rId373">
        <w:r>
          <w:rPr>
            <w:w w:val="105"/>
            <w:sz w:val="16"/>
          </w:rPr>
          <w:t>&lt;http://www.archives.gov/research/</w:t>
        </w:r>
      </w:hyperlink>
      <w:r>
        <w:rPr>
          <w:w w:val="105"/>
          <w:sz w:val="16"/>
        </w:rPr>
        <w:t> pentagon-papers/&gt;.</w:t>
      </w:r>
    </w:p>
    <w:p>
      <w:pPr>
        <w:spacing w:after="0" w:line="242" w:lineRule="auto"/>
        <w:jc w:val="left"/>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firstLine="396"/>
        <w:jc w:val="both"/>
      </w:pPr>
      <w:r>
        <w:rPr>
          <w:w w:val="110"/>
        </w:rPr>
        <w:t>Este</w:t>
      </w:r>
      <w:r>
        <w:rPr>
          <w:spacing w:val="-4"/>
          <w:w w:val="110"/>
        </w:rPr>
        <w:t> </w:t>
      </w:r>
      <w:r>
        <w:rPr>
          <w:w w:val="110"/>
        </w:rPr>
        <w:t>es</w:t>
      </w:r>
      <w:r>
        <w:rPr>
          <w:spacing w:val="-4"/>
          <w:w w:val="110"/>
        </w:rPr>
        <w:t> </w:t>
      </w:r>
      <w:r>
        <w:rPr>
          <w:w w:val="110"/>
        </w:rPr>
        <w:t>solo</w:t>
      </w:r>
      <w:r>
        <w:rPr>
          <w:spacing w:val="-4"/>
          <w:w w:val="110"/>
        </w:rPr>
        <w:t> </w:t>
      </w:r>
      <w:r>
        <w:rPr>
          <w:w w:val="110"/>
        </w:rPr>
        <w:t>un</w:t>
      </w:r>
      <w:r>
        <w:rPr>
          <w:spacing w:val="-4"/>
          <w:w w:val="110"/>
        </w:rPr>
        <w:t> </w:t>
      </w:r>
      <w:r>
        <w:rPr>
          <w:w w:val="110"/>
        </w:rPr>
        <w:t>ejemplo</w:t>
      </w:r>
      <w:r>
        <w:rPr>
          <w:spacing w:val="-4"/>
          <w:w w:val="110"/>
        </w:rPr>
        <w:t> </w:t>
      </w:r>
      <w:r>
        <w:rPr>
          <w:w w:val="110"/>
        </w:rPr>
        <w:t>del</w:t>
      </w:r>
      <w:r>
        <w:rPr>
          <w:spacing w:val="-4"/>
          <w:w w:val="110"/>
        </w:rPr>
        <w:t> </w:t>
      </w:r>
      <w:r>
        <w:rPr>
          <w:w w:val="110"/>
        </w:rPr>
        <w:t>modo</w:t>
      </w:r>
      <w:r>
        <w:rPr>
          <w:spacing w:val="-4"/>
          <w:w w:val="110"/>
        </w:rPr>
        <w:t> </w:t>
      </w:r>
      <w:r>
        <w:rPr>
          <w:w w:val="110"/>
        </w:rPr>
        <w:t>en</w:t>
      </w:r>
      <w:r>
        <w:rPr>
          <w:spacing w:val="-4"/>
          <w:w w:val="110"/>
        </w:rPr>
        <w:t> </w:t>
      </w:r>
      <w:r>
        <w:rPr>
          <w:w w:val="110"/>
        </w:rPr>
        <w:t>que</w:t>
      </w:r>
      <w:r>
        <w:rPr>
          <w:spacing w:val="-4"/>
          <w:w w:val="110"/>
        </w:rPr>
        <w:t> </w:t>
      </w:r>
      <w:r>
        <w:rPr>
          <w:w w:val="110"/>
        </w:rPr>
        <w:t>se</w:t>
      </w:r>
      <w:r>
        <w:rPr>
          <w:spacing w:val="-4"/>
          <w:w w:val="110"/>
        </w:rPr>
        <w:t> </w:t>
      </w:r>
      <w:r>
        <w:rPr>
          <w:w w:val="110"/>
        </w:rPr>
        <w:t>busca</w:t>
      </w:r>
      <w:r>
        <w:rPr>
          <w:spacing w:val="-4"/>
          <w:w w:val="110"/>
        </w:rPr>
        <w:t> </w:t>
      </w:r>
      <w:r>
        <w:rPr>
          <w:w w:val="110"/>
        </w:rPr>
        <w:t>encubrir</w:t>
      </w:r>
      <w:r>
        <w:rPr>
          <w:spacing w:val="-4"/>
          <w:w w:val="110"/>
        </w:rPr>
        <w:t> </w:t>
      </w:r>
      <w:r>
        <w:rPr>
          <w:w w:val="110"/>
        </w:rPr>
        <w:t>o</w:t>
      </w:r>
      <w:r>
        <w:rPr>
          <w:spacing w:val="-4"/>
          <w:w w:val="110"/>
        </w:rPr>
        <w:t> </w:t>
      </w:r>
      <w:r>
        <w:rPr>
          <w:w w:val="110"/>
        </w:rPr>
        <w:t>dejar fuera de la discusión el hecho de que la exageración de las amenazas por parte de “viles peligros” formó parte esencial de la manera en la que Washington pensó el mundo a partir de 1947, y el modo en que lo sigue haciendo aún después de la desaparición del bloque soviético. Esto permite que el Congreso apruebe fondos que, de otro modo, no estarían disponibles (Kolko y Kolko,</w:t>
      </w:r>
      <w:r>
        <w:rPr>
          <w:spacing w:val="37"/>
          <w:w w:val="110"/>
        </w:rPr>
        <w:t> </w:t>
      </w:r>
      <w:r>
        <w:rPr>
          <w:w w:val="110"/>
        </w:rPr>
        <w:t>1972).</w:t>
      </w:r>
    </w:p>
    <w:p>
      <w:pPr>
        <w:pStyle w:val="BodyText"/>
        <w:spacing w:line="252" w:lineRule="auto"/>
        <w:ind w:left="330" w:right="117" w:firstLine="396"/>
        <w:jc w:val="both"/>
        <w:rPr>
          <w:sz w:val="11"/>
        </w:rPr>
      </w:pPr>
      <w:r>
        <w:rPr>
          <w:w w:val="115"/>
        </w:rPr>
        <w:t>Precisamente haciendo referencia a los Papeles del Pentágono, Chomsky</w:t>
      </w:r>
      <w:r>
        <w:rPr>
          <w:spacing w:val="-17"/>
          <w:w w:val="115"/>
        </w:rPr>
        <w:t> </w:t>
      </w:r>
      <w:r>
        <w:rPr>
          <w:w w:val="115"/>
        </w:rPr>
        <w:t>advirtió</w:t>
      </w:r>
      <w:r>
        <w:rPr>
          <w:spacing w:val="-17"/>
          <w:w w:val="115"/>
        </w:rPr>
        <w:t> </w:t>
      </w:r>
      <w:r>
        <w:rPr>
          <w:w w:val="115"/>
        </w:rPr>
        <w:t>sobre</w:t>
      </w:r>
      <w:r>
        <w:rPr>
          <w:spacing w:val="-17"/>
          <w:w w:val="115"/>
        </w:rPr>
        <w:t> </w:t>
      </w:r>
      <w:r>
        <w:rPr>
          <w:w w:val="115"/>
        </w:rPr>
        <w:t>la</w:t>
      </w:r>
      <w:r>
        <w:rPr>
          <w:spacing w:val="-17"/>
          <w:w w:val="115"/>
        </w:rPr>
        <w:t> </w:t>
      </w:r>
      <w:r>
        <w:rPr>
          <w:w w:val="115"/>
        </w:rPr>
        <w:t>utilidad</w:t>
      </w:r>
      <w:r>
        <w:rPr>
          <w:spacing w:val="-17"/>
          <w:w w:val="115"/>
        </w:rPr>
        <w:t> </w:t>
      </w:r>
      <w:r>
        <w:rPr>
          <w:w w:val="115"/>
        </w:rPr>
        <w:t>(o</w:t>
      </w:r>
      <w:r>
        <w:rPr>
          <w:spacing w:val="-17"/>
          <w:w w:val="115"/>
        </w:rPr>
        <w:t> </w:t>
      </w:r>
      <w:r>
        <w:rPr>
          <w:w w:val="115"/>
        </w:rPr>
        <w:t>no)</w:t>
      </w:r>
      <w:r>
        <w:rPr>
          <w:spacing w:val="-17"/>
          <w:w w:val="115"/>
        </w:rPr>
        <w:t> </w:t>
      </w:r>
      <w:r>
        <w:rPr>
          <w:w w:val="115"/>
        </w:rPr>
        <w:t>de</w:t>
      </w:r>
      <w:r>
        <w:rPr>
          <w:spacing w:val="-17"/>
          <w:w w:val="115"/>
        </w:rPr>
        <w:t> </w:t>
      </w:r>
      <w:r>
        <w:rPr>
          <w:w w:val="115"/>
        </w:rPr>
        <w:t>los</w:t>
      </w:r>
      <w:r>
        <w:rPr>
          <w:spacing w:val="-17"/>
          <w:w w:val="115"/>
        </w:rPr>
        <w:t> </w:t>
      </w:r>
      <w:r>
        <w:rPr>
          <w:w w:val="115"/>
        </w:rPr>
        <w:t>documentos,</w:t>
      </w:r>
      <w:r>
        <w:rPr>
          <w:spacing w:val="-17"/>
          <w:w w:val="115"/>
        </w:rPr>
        <w:t> </w:t>
      </w:r>
      <w:r>
        <w:rPr>
          <w:w w:val="115"/>
        </w:rPr>
        <w:t>según</w:t>
      </w:r>
      <w:r>
        <w:rPr>
          <w:spacing w:val="-17"/>
          <w:w w:val="115"/>
        </w:rPr>
        <w:t> </w:t>
      </w:r>
      <w:r>
        <w:rPr>
          <w:w w:val="115"/>
        </w:rPr>
        <w:t>a quién</w:t>
      </w:r>
      <w:r>
        <w:rPr>
          <w:spacing w:val="-20"/>
          <w:w w:val="115"/>
        </w:rPr>
        <w:t> </w:t>
      </w:r>
      <w:r>
        <w:rPr>
          <w:w w:val="115"/>
        </w:rPr>
        <w:t>convenga</w:t>
      </w:r>
      <w:r>
        <w:rPr>
          <w:spacing w:val="-20"/>
          <w:w w:val="115"/>
        </w:rPr>
        <w:t> </w:t>
      </w:r>
      <w:r>
        <w:rPr>
          <w:w w:val="115"/>
        </w:rPr>
        <w:t>su</w:t>
      </w:r>
      <w:r>
        <w:rPr>
          <w:spacing w:val="-20"/>
          <w:w w:val="115"/>
        </w:rPr>
        <w:t> </w:t>
      </w:r>
      <w:r>
        <w:rPr>
          <w:w w:val="115"/>
        </w:rPr>
        <w:t>contenido.</w:t>
      </w:r>
      <w:r>
        <w:rPr>
          <w:spacing w:val="-20"/>
          <w:w w:val="115"/>
        </w:rPr>
        <w:t> </w:t>
      </w:r>
      <w:r>
        <w:rPr>
          <w:w w:val="115"/>
        </w:rPr>
        <w:t>así,</w:t>
      </w:r>
      <w:r>
        <w:rPr>
          <w:spacing w:val="-20"/>
          <w:w w:val="115"/>
        </w:rPr>
        <w:t> </w:t>
      </w:r>
      <w:r>
        <w:rPr>
          <w:w w:val="115"/>
        </w:rPr>
        <w:t>a</w:t>
      </w:r>
      <w:r>
        <w:rPr>
          <w:spacing w:val="-20"/>
          <w:w w:val="115"/>
        </w:rPr>
        <w:t> </w:t>
      </w:r>
      <w:r>
        <w:rPr>
          <w:w w:val="115"/>
        </w:rPr>
        <w:t>pesar</w:t>
      </w:r>
      <w:r>
        <w:rPr>
          <w:spacing w:val="-20"/>
          <w:w w:val="115"/>
        </w:rPr>
        <w:t> </w:t>
      </w:r>
      <w:r>
        <w:rPr>
          <w:w w:val="115"/>
        </w:rPr>
        <w:t>de</w:t>
      </w:r>
      <w:r>
        <w:rPr>
          <w:spacing w:val="-20"/>
          <w:w w:val="115"/>
        </w:rPr>
        <w:t> </w:t>
      </w:r>
      <w:r>
        <w:rPr>
          <w:w w:val="115"/>
        </w:rPr>
        <w:t>la</w:t>
      </w:r>
      <w:r>
        <w:rPr>
          <w:spacing w:val="-20"/>
          <w:w w:val="115"/>
        </w:rPr>
        <w:t> </w:t>
      </w:r>
      <w:r>
        <w:rPr>
          <w:w w:val="115"/>
        </w:rPr>
        <w:t>incontrastable</w:t>
      </w:r>
      <w:r>
        <w:rPr>
          <w:spacing w:val="-20"/>
          <w:w w:val="115"/>
        </w:rPr>
        <w:t> </w:t>
      </w:r>
      <w:r>
        <w:rPr>
          <w:w w:val="115"/>
        </w:rPr>
        <w:t>validez de dicha documentación, pocos académicos decidieron retomarlos para dar cuenta del modo en que la guerra en Vietnam muestra la relación entre el sistema económico-político y el modo en que este </w:t>
      </w:r>
      <w:r>
        <w:rPr>
          <w:w w:val="110"/>
        </w:rPr>
        <w:t>entramado de intereses domina las instituciones estadounidenses. de </w:t>
      </w:r>
      <w:r>
        <w:rPr>
          <w:w w:val="115"/>
        </w:rPr>
        <w:t>hecho,</w:t>
      </w:r>
      <w:r>
        <w:rPr>
          <w:spacing w:val="-14"/>
          <w:w w:val="115"/>
        </w:rPr>
        <w:t> </w:t>
      </w:r>
      <w:r>
        <w:rPr>
          <w:w w:val="115"/>
        </w:rPr>
        <w:t>aquellos</w:t>
      </w:r>
      <w:r>
        <w:rPr>
          <w:spacing w:val="-14"/>
          <w:w w:val="115"/>
        </w:rPr>
        <w:t> </w:t>
      </w:r>
      <w:r>
        <w:rPr>
          <w:w w:val="115"/>
        </w:rPr>
        <w:t>escritos</w:t>
      </w:r>
      <w:r>
        <w:rPr>
          <w:spacing w:val="-14"/>
          <w:w w:val="115"/>
        </w:rPr>
        <w:t> </w:t>
      </w:r>
      <w:r>
        <w:rPr>
          <w:w w:val="115"/>
        </w:rPr>
        <w:t>que</w:t>
      </w:r>
      <w:r>
        <w:rPr>
          <w:spacing w:val="-14"/>
          <w:w w:val="115"/>
        </w:rPr>
        <w:t> </w:t>
      </w:r>
      <w:r>
        <w:rPr>
          <w:w w:val="115"/>
        </w:rPr>
        <w:t>han</w:t>
      </w:r>
      <w:r>
        <w:rPr>
          <w:spacing w:val="-14"/>
          <w:w w:val="115"/>
        </w:rPr>
        <w:t> </w:t>
      </w:r>
      <w:r>
        <w:rPr>
          <w:w w:val="115"/>
        </w:rPr>
        <w:t>planteado</w:t>
      </w:r>
      <w:r>
        <w:rPr>
          <w:spacing w:val="-14"/>
          <w:w w:val="115"/>
        </w:rPr>
        <w:t> </w:t>
      </w:r>
      <w:r>
        <w:rPr>
          <w:w w:val="115"/>
        </w:rPr>
        <w:t>esta</w:t>
      </w:r>
      <w:r>
        <w:rPr>
          <w:spacing w:val="-14"/>
          <w:w w:val="115"/>
        </w:rPr>
        <w:t> </w:t>
      </w:r>
      <w:r>
        <w:rPr>
          <w:w w:val="115"/>
        </w:rPr>
        <w:t>visión</w:t>
      </w:r>
      <w:r>
        <w:rPr>
          <w:spacing w:val="-14"/>
          <w:w w:val="115"/>
        </w:rPr>
        <w:t> </w:t>
      </w:r>
      <w:r>
        <w:rPr>
          <w:w w:val="115"/>
        </w:rPr>
        <w:t>han</w:t>
      </w:r>
      <w:r>
        <w:rPr>
          <w:spacing w:val="-14"/>
          <w:w w:val="115"/>
        </w:rPr>
        <w:t> </w:t>
      </w:r>
      <w:r>
        <w:rPr>
          <w:w w:val="115"/>
        </w:rPr>
        <w:t>sido</w:t>
      </w:r>
      <w:r>
        <w:rPr>
          <w:spacing w:val="-14"/>
          <w:w w:val="115"/>
        </w:rPr>
        <w:t> </w:t>
      </w:r>
      <w:r>
        <w:rPr>
          <w:w w:val="115"/>
        </w:rPr>
        <w:t>cata- logados como análisis sesgados, y sus autores han sido acusados</w:t>
      </w:r>
      <w:r>
        <w:rPr>
          <w:spacing w:val="-19"/>
          <w:w w:val="115"/>
        </w:rPr>
        <w:t> </w:t>
      </w:r>
      <w:r>
        <w:rPr>
          <w:w w:val="115"/>
        </w:rPr>
        <w:t>de “radicales”,</w:t>
      </w:r>
      <w:r>
        <w:rPr>
          <w:spacing w:val="-18"/>
          <w:w w:val="115"/>
        </w:rPr>
        <w:t> </w:t>
      </w:r>
      <w:r>
        <w:rPr>
          <w:w w:val="115"/>
        </w:rPr>
        <w:t>“marxistas”,</w:t>
      </w:r>
      <w:r>
        <w:rPr>
          <w:spacing w:val="-18"/>
          <w:w w:val="115"/>
        </w:rPr>
        <w:t> </w:t>
      </w:r>
      <w:r>
        <w:rPr>
          <w:w w:val="115"/>
        </w:rPr>
        <w:t>“economicistas”</w:t>
      </w:r>
      <w:r>
        <w:rPr>
          <w:spacing w:val="-18"/>
          <w:w w:val="115"/>
        </w:rPr>
        <w:t> </w:t>
      </w:r>
      <w:r>
        <w:rPr>
          <w:w w:val="115"/>
        </w:rPr>
        <w:t>o</w:t>
      </w:r>
      <w:r>
        <w:rPr>
          <w:spacing w:val="-18"/>
          <w:w w:val="115"/>
        </w:rPr>
        <w:t> </w:t>
      </w:r>
      <w:r>
        <w:rPr>
          <w:w w:val="115"/>
        </w:rPr>
        <w:t>“conspiracionistas”,</w:t>
      </w:r>
      <w:r>
        <w:rPr>
          <w:spacing w:val="-18"/>
          <w:w w:val="115"/>
        </w:rPr>
        <w:t> </w:t>
      </w:r>
      <w:r>
        <w:rPr>
          <w:w w:val="115"/>
        </w:rPr>
        <w:t>no</w:t>
      </w:r>
      <w:r>
        <w:rPr>
          <w:spacing w:val="-18"/>
          <w:w w:val="115"/>
        </w:rPr>
        <w:t> </w:t>
      </w:r>
      <w:r>
        <w:rPr>
          <w:w w:val="115"/>
        </w:rPr>
        <w:t>se trata</w:t>
      </w:r>
      <w:r>
        <w:rPr>
          <w:spacing w:val="-16"/>
          <w:w w:val="115"/>
        </w:rPr>
        <w:t> </w:t>
      </w:r>
      <w:r>
        <w:rPr>
          <w:w w:val="115"/>
        </w:rPr>
        <w:t>de</w:t>
      </w:r>
      <w:r>
        <w:rPr>
          <w:spacing w:val="-16"/>
          <w:w w:val="115"/>
        </w:rPr>
        <w:t> </w:t>
      </w:r>
      <w:r>
        <w:rPr>
          <w:w w:val="115"/>
        </w:rPr>
        <w:t>analistas</w:t>
      </w:r>
      <w:r>
        <w:rPr>
          <w:spacing w:val="-16"/>
          <w:w w:val="115"/>
        </w:rPr>
        <w:t> </w:t>
      </w:r>
      <w:r>
        <w:rPr>
          <w:w w:val="115"/>
        </w:rPr>
        <w:t>serios</w:t>
      </w:r>
      <w:r>
        <w:rPr>
          <w:spacing w:val="-16"/>
          <w:w w:val="115"/>
        </w:rPr>
        <w:t> </w:t>
      </w:r>
      <w:r>
        <w:rPr>
          <w:spacing w:val="-3"/>
          <w:w w:val="115"/>
        </w:rPr>
        <w:t>(Chomsky,</w:t>
      </w:r>
      <w:r>
        <w:rPr>
          <w:spacing w:val="-16"/>
          <w:w w:val="115"/>
        </w:rPr>
        <w:t> </w:t>
      </w:r>
      <w:r>
        <w:rPr>
          <w:w w:val="115"/>
        </w:rPr>
        <w:t>2003:</w:t>
      </w:r>
      <w:r>
        <w:rPr>
          <w:spacing w:val="-16"/>
          <w:w w:val="115"/>
        </w:rPr>
        <w:t> </w:t>
      </w:r>
      <w:r>
        <w:rPr>
          <w:w w:val="115"/>
        </w:rPr>
        <w:t>146).</w:t>
      </w:r>
      <w:r>
        <w:rPr>
          <w:spacing w:val="-16"/>
          <w:w w:val="115"/>
        </w:rPr>
        <w:t> </w:t>
      </w:r>
      <w:r>
        <w:rPr>
          <w:w w:val="115"/>
        </w:rPr>
        <w:t>En</w:t>
      </w:r>
      <w:r>
        <w:rPr>
          <w:spacing w:val="-16"/>
          <w:w w:val="115"/>
        </w:rPr>
        <w:t> </w:t>
      </w:r>
      <w:r>
        <w:rPr>
          <w:w w:val="115"/>
        </w:rPr>
        <w:t>fecha</w:t>
      </w:r>
      <w:r>
        <w:rPr>
          <w:spacing w:val="-16"/>
          <w:w w:val="115"/>
        </w:rPr>
        <w:t> </w:t>
      </w:r>
      <w:r>
        <w:rPr>
          <w:w w:val="115"/>
        </w:rPr>
        <w:t>reciente</w:t>
      </w:r>
      <w:r>
        <w:rPr>
          <w:spacing w:val="-16"/>
          <w:w w:val="115"/>
        </w:rPr>
        <w:t> </w:t>
      </w:r>
      <w:r>
        <w:rPr>
          <w:w w:val="115"/>
        </w:rPr>
        <w:t>–no por</w:t>
      </w:r>
      <w:r>
        <w:rPr>
          <w:spacing w:val="-25"/>
          <w:w w:val="115"/>
        </w:rPr>
        <w:t> </w:t>
      </w:r>
      <w:r>
        <w:rPr>
          <w:w w:val="115"/>
        </w:rPr>
        <w:t>casualidad–</w:t>
      </w:r>
      <w:r>
        <w:rPr>
          <w:spacing w:val="-25"/>
          <w:w w:val="115"/>
        </w:rPr>
        <w:t> </w:t>
      </w:r>
      <w:r>
        <w:rPr>
          <w:w w:val="115"/>
        </w:rPr>
        <w:t>en</w:t>
      </w:r>
      <w:r>
        <w:rPr>
          <w:spacing w:val="-25"/>
          <w:w w:val="115"/>
        </w:rPr>
        <w:t> </w:t>
      </w:r>
      <w:r>
        <w:rPr>
          <w:w w:val="115"/>
        </w:rPr>
        <w:t>referencia</w:t>
      </w:r>
      <w:r>
        <w:rPr>
          <w:spacing w:val="-25"/>
          <w:w w:val="115"/>
        </w:rPr>
        <w:t> </w:t>
      </w:r>
      <w:r>
        <w:rPr>
          <w:w w:val="115"/>
        </w:rPr>
        <w:t>a</w:t>
      </w:r>
      <w:r>
        <w:rPr>
          <w:spacing w:val="-25"/>
          <w:w w:val="115"/>
        </w:rPr>
        <w:t> </w:t>
      </w:r>
      <w:r>
        <w:rPr>
          <w:w w:val="115"/>
        </w:rPr>
        <w:t>Vietnam,</w:t>
      </w:r>
      <w:r>
        <w:rPr>
          <w:spacing w:val="-25"/>
          <w:w w:val="115"/>
        </w:rPr>
        <w:t> </w:t>
      </w:r>
      <w:r>
        <w:rPr>
          <w:w w:val="115"/>
        </w:rPr>
        <w:t>un</w:t>
      </w:r>
      <w:r>
        <w:rPr>
          <w:spacing w:val="-25"/>
          <w:w w:val="115"/>
        </w:rPr>
        <w:t> </w:t>
      </w:r>
      <w:r>
        <w:rPr>
          <w:w w:val="115"/>
        </w:rPr>
        <w:t>académico</w:t>
      </w:r>
      <w:r>
        <w:rPr>
          <w:spacing w:val="-25"/>
          <w:w w:val="115"/>
        </w:rPr>
        <w:t> </w:t>
      </w:r>
      <w:r>
        <w:rPr>
          <w:w w:val="115"/>
        </w:rPr>
        <w:t>“serio”</w:t>
      </w:r>
      <w:r>
        <w:rPr>
          <w:spacing w:val="-25"/>
          <w:w w:val="115"/>
        </w:rPr>
        <w:t> </w:t>
      </w:r>
      <w:r>
        <w:rPr>
          <w:w w:val="115"/>
        </w:rPr>
        <w:t>aduce: “sabemos,</w:t>
      </w:r>
      <w:r>
        <w:rPr>
          <w:spacing w:val="-7"/>
          <w:w w:val="115"/>
        </w:rPr>
        <w:t> </w:t>
      </w:r>
      <w:r>
        <w:rPr>
          <w:w w:val="115"/>
        </w:rPr>
        <w:t>por</w:t>
      </w:r>
      <w:r>
        <w:rPr>
          <w:spacing w:val="-7"/>
          <w:w w:val="115"/>
        </w:rPr>
        <w:t> </w:t>
      </w:r>
      <w:r>
        <w:rPr>
          <w:w w:val="115"/>
        </w:rPr>
        <w:t>ejemplo,</w:t>
      </w:r>
      <w:r>
        <w:rPr>
          <w:spacing w:val="-7"/>
          <w:w w:val="115"/>
        </w:rPr>
        <w:t> </w:t>
      </w:r>
      <w:r>
        <w:rPr>
          <w:w w:val="115"/>
        </w:rPr>
        <w:t>que</w:t>
      </w:r>
      <w:r>
        <w:rPr>
          <w:spacing w:val="-7"/>
          <w:w w:val="115"/>
        </w:rPr>
        <w:t> </w:t>
      </w:r>
      <w:r>
        <w:rPr>
          <w:w w:val="115"/>
        </w:rPr>
        <w:t>Noam</w:t>
      </w:r>
      <w:r>
        <w:rPr>
          <w:spacing w:val="-7"/>
          <w:w w:val="115"/>
        </w:rPr>
        <w:t> </w:t>
      </w:r>
      <w:r>
        <w:rPr>
          <w:spacing w:val="-3"/>
          <w:w w:val="115"/>
        </w:rPr>
        <w:t>Chomsky,</w:t>
      </w:r>
      <w:r>
        <w:rPr>
          <w:spacing w:val="-7"/>
          <w:w w:val="115"/>
        </w:rPr>
        <w:t> </w:t>
      </w:r>
      <w:r>
        <w:rPr>
          <w:w w:val="115"/>
        </w:rPr>
        <w:t>que</w:t>
      </w:r>
      <w:r>
        <w:rPr>
          <w:spacing w:val="-7"/>
          <w:w w:val="115"/>
        </w:rPr>
        <w:t> </w:t>
      </w:r>
      <w:r>
        <w:rPr>
          <w:w w:val="115"/>
        </w:rPr>
        <w:t>afirma</w:t>
      </w:r>
      <w:r>
        <w:rPr>
          <w:spacing w:val="-7"/>
          <w:w w:val="115"/>
        </w:rPr>
        <w:t> </w:t>
      </w:r>
      <w:r>
        <w:rPr>
          <w:w w:val="115"/>
        </w:rPr>
        <w:t>los</w:t>
      </w:r>
      <w:r>
        <w:rPr>
          <w:spacing w:val="-7"/>
          <w:w w:val="115"/>
        </w:rPr>
        <w:t> </w:t>
      </w:r>
      <w:r>
        <w:rPr>
          <w:w w:val="115"/>
        </w:rPr>
        <w:t>vínculos entre el </w:t>
      </w:r>
      <w:r>
        <w:rPr>
          <w:w w:val="125"/>
        </w:rPr>
        <w:t>Mit </w:t>
      </w:r>
      <w:r>
        <w:rPr>
          <w:w w:val="115"/>
        </w:rPr>
        <w:t>y la Cia durante la guerra de Vietnam, se ha autopro- clamado anarquista, y hasta el día de hoy es un crítico de la política exterior</w:t>
      </w:r>
      <w:r>
        <w:rPr>
          <w:spacing w:val="-24"/>
          <w:w w:val="115"/>
        </w:rPr>
        <w:t> </w:t>
      </w:r>
      <w:r>
        <w:rPr>
          <w:w w:val="115"/>
        </w:rPr>
        <w:t>de</w:t>
      </w:r>
      <w:r>
        <w:rPr>
          <w:spacing w:val="-24"/>
          <w:w w:val="115"/>
        </w:rPr>
        <w:t> </w:t>
      </w:r>
      <w:r>
        <w:rPr>
          <w:w w:val="115"/>
        </w:rPr>
        <w:t>Estados</w:t>
      </w:r>
      <w:r>
        <w:rPr>
          <w:spacing w:val="-24"/>
          <w:w w:val="115"/>
        </w:rPr>
        <w:t> </w:t>
      </w:r>
      <w:r>
        <w:rPr>
          <w:w w:val="115"/>
        </w:rPr>
        <w:t>unidos.</w:t>
      </w:r>
      <w:r>
        <w:rPr>
          <w:spacing w:val="-24"/>
          <w:w w:val="115"/>
        </w:rPr>
        <w:t> </w:t>
      </w:r>
      <w:r>
        <w:rPr>
          <w:w w:val="115"/>
        </w:rPr>
        <w:t>Pero</w:t>
      </w:r>
      <w:r>
        <w:rPr>
          <w:spacing w:val="-24"/>
          <w:w w:val="115"/>
        </w:rPr>
        <w:t> </w:t>
      </w:r>
      <w:r>
        <w:rPr>
          <w:w w:val="115"/>
        </w:rPr>
        <w:t>no</w:t>
      </w:r>
      <w:r>
        <w:rPr>
          <w:spacing w:val="-24"/>
          <w:w w:val="115"/>
        </w:rPr>
        <w:t> </w:t>
      </w:r>
      <w:r>
        <w:rPr>
          <w:w w:val="115"/>
        </w:rPr>
        <w:t>podemos</w:t>
      </w:r>
      <w:r>
        <w:rPr>
          <w:spacing w:val="-24"/>
          <w:w w:val="115"/>
        </w:rPr>
        <w:t> </w:t>
      </w:r>
      <w:r>
        <w:rPr>
          <w:w w:val="115"/>
        </w:rPr>
        <w:t>aceptar</w:t>
      </w:r>
      <w:r>
        <w:rPr>
          <w:spacing w:val="-24"/>
          <w:w w:val="115"/>
        </w:rPr>
        <w:t> </w:t>
      </w:r>
      <w:r>
        <w:rPr>
          <w:w w:val="115"/>
        </w:rPr>
        <w:t>estos</w:t>
      </w:r>
      <w:r>
        <w:rPr>
          <w:spacing w:val="-24"/>
          <w:w w:val="115"/>
        </w:rPr>
        <w:t> </w:t>
      </w:r>
      <w:r>
        <w:rPr>
          <w:w w:val="115"/>
        </w:rPr>
        <w:t>argumen- tos confiando simplemente en su buena fe. Hay que documentar el </w:t>
      </w:r>
      <w:r>
        <w:rPr>
          <w:w w:val="110"/>
        </w:rPr>
        <w:t>vínculo inter-agencia” (bah, 2008:</w:t>
      </w:r>
      <w:r>
        <w:rPr>
          <w:spacing w:val="-4"/>
          <w:w w:val="110"/>
        </w:rPr>
        <w:t> </w:t>
      </w:r>
      <w:r>
        <w:rPr>
          <w:w w:val="110"/>
        </w:rPr>
        <w:t>186).</w:t>
      </w:r>
      <w:r>
        <w:rPr>
          <w:w w:val="110"/>
          <w:position w:val="6"/>
          <w:sz w:val="11"/>
        </w:rPr>
        <w:t>16</w:t>
      </w:r>
    </w:p>
    <w:p>
      <w:pPr>
        <w:pStyle w:val="BodyText"/>
        <w:spacing w:line="252" w:lineRule="auto"/>
        <w:ind w:left="330" w:right="117" w:firstLine="396"/>
        <w:jc w:val="both"/>
      </w:pPr>
      <w:r>
        <w:rPr>
          <w:w w:val="243"/>
        </w:rPr>
        <w:t>l</w:t>
      </w:r>
      <w:r>
        <w:rPr>
          <w:w w:val="112"/>
        </w:rPr>
        <w:t>a</w:t>
      </w:r>
      <w:r>
        <w:rPr>
          <w:spacing w:val="20"/>
        </w:rPr>
        <w:t> </w:t>
      </w:r>
      <w:r>
        <w:rPr>
          <w:w w:val="109"/>
        </w:rPr>
        <w:t>segunda</w:t>
      </w:r>
      <w:r>
        <w:rPr>
          <w:spacing w:val="20"/>
        </w:rPr>
        <w:t> </w:t>
      </w:r>
      <w:r>
        <w:rPr>
          <w:w w:val="112"/>
        </w:rPr>
        <w:t>“omisión”</w:t>
      </w:r>
      <w:r>
        <w:rPr>
          <w:spacing w:val="20"/>
        </w:rPr>
        <w:t> </w:t>
      </w:r>
      <w:r>
        <w:rPr>
          <w:w w:val="105"/>
        </w:rPr>
        <w:t>es</w:t>
      </w:r>
      <w:r>
        <w:rPr>
          <w:spacing w:val="20"/>
        </w:rPr>
        <w:t> </w:t>
      </w:r>
      <w:r>
        <w:rPr>
          <w:w w:val="111"/>
        </w:rPr>
        <w:t>la</w:t>
      </w:r>
      <w:r>
        <w:rPr>
          <w:spacing w:val="20"/>
        </w:rPr>
        <w:t> </w:t>
      </w:r>
      <w:r>
        <w:rPr>
          <w:w w:val="107"/>
        </w:rPr>
        <w:t>de</w:t>
      </w:r>
      <w:r>
        <w:rPr>
          <w:spacing w:val="20"/>
        </w:rPr>
        <w:t> </w:t>
      </w:r>
      <w:r>
        <w:rPr>
          <w:w w:val="111"/>
        </w:rPr>
        <w:t>la</w:t>
      </w:r>
      <w:r>
        <w:rPr>
          <w:spacing w:val="20"/>
        </w:rPr>
        <w:t> </w:t>
      </w:r>
      <w:r>
        <w:rPr>
          <w:w w:val="108"/>
        </w:rPr>
        <w:t>guerra</w:t>
      </w:r>
      <w:r>
        <w:rPr>
          <w:spacing w:val="20"/>
        </w:rPr>
        <w:t> </w:t>
      </w:r>
      <w:r>
        <w:rPr>
          <w:w w:val="112"/>
        </w:rPr>
        <w:t>química</w:t>
      </w:r>
      <w:r>
        <w:rPr>
          <w:spacing w:val="20"/>
        </w:rPr>
        <w:t> </w:t>
      </w:r>
      <w:r>
        <w:rPr>
          <w:w w:val="109"/>
        </w:rPr>
        <w:t>para</w:t>
      </w:r>
      <w:r>
        <w:rPr>
          <w:spacing w:val="20"/>
        </w:rPr>
        <w:t> </w:t>
      </w:r>
      <w:r>
        <w:rPr>
          <w:w w:val="111"/>
        </w:rPr>
        <w:t>la</w:t>
      </w:r>
      <w:r>
        <w:rPr>
          <w:spacing w:val="20"/>
        </w:rPr>
        <w:t> </w:t>
      </w:r>
      <w:r>
        <w:rPr>
          <w:w w:val="110"/>
        </w:rPr>
        <w:t>defoli</w:t>
      </w:r>
      <w:r>
        <w:rPr>
          <w:spacing w:val="-1"/>
          <w:w w:val="110"/>
        </w:rPr>
        <w:t>a</w:t>
      </w:r>
      <w:r>
        <w:rPr>
          <w:w w:val="102"/>
        </w:rPr>
        <w:t>- </w:t>
      </w:r>
      <w:r>
        <w:rPr>
          <w:w w:val="110"/>
        </w:rPr>
        <w:t>ción de la selva. En la línea de tiempo se hace referencia a la</w:t>
      </w:r>
      <w:r>
        <w:rPr>
          <w:spacing w:val="-24"/>
          <w:w w:val="110"/>
        </w:rPr>
        <w:t> </w:t>
      </w:r>
      <w:r>
        <w:rPr>
          <w:w w:val="110"/>
        </w:rPr>
        <w:t>operación </w:t>
      </w:r>
      <w:r>
        <w:rPr>
          <w:i/>
          <w:w w:val="110"/>
        </w:rPr>
        <w:t>Ranch Hand</w:t>
      </w:r>
      <w:r>
        <w:rPr>
          <w:w w:val="110"/>
        </w:rPr>
        <w:t>, de enero de 1962 “[que] utilizó C-47s y C-123s especial- mente equipados para esparcir herbicidas. Cuando termina la opera- ción, en 1971, se habían rociado 18 millones de galones de químicos sobre el 20% de la selva y el 36% de los manglares”. Esta descripción evita</w:t>
      </w:r>
      <w:r>
        <w:rPr>
          <w:spacing w:val="-5"/>
          <w:w w:val="110"/>
        </w:rPr>
        <w:t> </w:t>
      </w:r>
      <w:r>
        <w:rPr>
          <w:w w:val="110"/>
        </w:rPr>
        <w:t>abordar</w:t>
      </w:r>
      <w:r>
        <w:rPr>
          <w:spacing w:val="-5"/>
          <w:w w:val="110"/>
        </w:rPr>
        <w:t> </w:t>
      </w:r>
      <w:r>
        <w:rPr>
          <w:w w:val="110"/>
        </w:rPr>
        <w:t>las</w:t>
      </w:r>
      <w:r>
        <w:rPr>
          <w:spacing w:val="-5"/>
          <w:w w:val="110"/>
        </w:rPr>
        <w:t> </w:t>
      </w:r>
      <w:r>
        <w:rPr>
          <w:w w:val="110"/>
        </w:rPr>
        <w:t>nefastas</w:t>
      </w:r>
      <w:r>
        <w:rPr>
          <w:spacing w:val="-5"/>
          <w:w w:val="110"/>
        </w:rPr>
        <w:t> </w:t>
      </w:r>
      <w:r>
        <w:rPr>
          <w:w w:val="110"/>
        </w:rPr>
        <w:t>consecuencias</w:t>
      </w:r>
      <w:r>
        <w:rPr>
          <w:spacing w:val="-5"/>
          <w:w w:val="110"/>
        </w:rPr>
        <w:t> </w:t>
      </w:r>
      <w:r>
        <w:rPr>
          <w:w w:val="110"/>
        </w:rPr>
        <w:t>en</w:t>
      </w:r>
      <w:r>
        <w:rPr>
          <w:spacing w:val="-5"/>
          <w:w w:val="110"/>
        </w:rPr>
        <w:t> </w:t>
      </w:r>
      <w:r>
        <w:rPr>
          <w:w w:val="110"/>
        </w:rPr>
        <w:t>términos</w:t>
      </w:r>
      <w:r>
        <w:rPr>
          <w:spacing w:val="-5"/>
          <w:w w:val="110"/>
        </w:rPr>
        <w:t> </w:t>
      </w:r>
      <w:r>
        <w:rPr>
          <w:w w:val="110"/>
        </w:rPr>
        <w:t>ambientales</w:t>
      </w:r>
      <w:r>
        <w:rPr>
          <w:spacing w:val="-5"/>
          <w:w w:val="110"/>
        </w:rPr>
        <w:t> </w:t>
      </w:r>
      <w:r>
        <w:rPr>
          <w:w w:val="110"/>
        </w:rPr>
        <w:t>y</w:t>
      </w:r>
      <w:r>
        <w:rPr>
          <w:spacing w:val="-5"/>
          <w:w w:val="110"/>
        </w:rPr>
        <w:t> </w:t>
      </w:r>
      <w:r>
        <w:rPr>
          <w:w w:val="110"/>
        </w:rPr>
        <w:t>de salud humana. se sabe que las personas expuestas a estos químicos sufrieron y sufren hasta el día de hoy de </w:t>
      </w:r>
      <w:r>
        <w:rPr>
          <w:spacing w:val="-4"/>
          <w:w w:val="110"/>
        </w:rPr>
        <w:t>cáncer, </w:t>
      </w:r>
      <w:r>
        <w:rPr>
          <w:w w:val="110"/>
        </w:rPr>
        <w:t>problemas de riñones, enfermedades pulmonares y cardíacas, efectos en la capacidad </w:t>
      </w:r>
      <w:r>
        <w:rPr>
          <w:spacing w:val="10"/>
          <w:w w:val="110"/>
        </w:rPr>
        <w:t> </w:t>
      </w:r>
      <w:r>
        <w:rPr>
          <w:w w:val="110"/>
        </w:rPr>
        <w:t>repro-</w:t>
      </w:r>
    </w:p>
    <w:p>
      <w:pPr>
        <w:pStyle w:val="BodyText"/>
        <w:spacing w:before="11"/>
        <w:rPr>
          <w:sz w:val="21"/>
        </w:rPr>
      </w:pPr>
      <w:r>
        <w:rPr/>
        <w:pict>
          <v:line style="position:absolute;mso-position-horizontal-relative:page;mso-position-vertical-relative:paragraph;z-index:7144;mso-wrap-distance-left:0;mso-wrap-distance-right:0" from="76.5354pt,15.067227pt" to="104.8814pt,15.067227pt" stroked="true" strokeweight=".5pt" strokecolor="#000000">
            <w10:wrap type="topAndBottom"/>
          </v:line>
        </w:pict>
      </w:r>
    </w:p>
    <w:p>
      <w:pPr>
        <w:pStyle w:val="ListParagraph"/>
        <w:numPr>
          <w:ilvl w:val="0"/>
          <w:numId w:val="30"/>
        </w:numPr>
        <w:tabs>
          <w:tab w:pos="586" w:val="left" w:leader="none"/>
        </w:tabs>
        <w:spacing w:line="242" w:lineRule="auto" w:before="89" w:after="0"/>
        <w:ind w:left="330" w:right="117" w:firstLine="0"/>
        <w:jc w:val="both"/>
        <w:rPr>
          <w:sz w:val="16"/>
        </w:rPr>
      </w:pPr>
      <w:r>
        <w:rPr>
          <w:w w:val="238"/>
          <w:sz w:val="16"/>
        </w:rPr>
        <w:t>l</w:t>
      </w:r>
      <w:r>
        <w:rPr>
          <w:w w:val="109"/>
          <w:sz w:val="16"/>
        </w:rPr>
        <w:t>a</w:t>
      </w:r>
      <w:r>
        <w:rPr>
          <w:spacing w:val="16"/>
          <w:sz w:val="16"/>
        </w:rPr>
        <w:t> </w:t>
      </w:r>
      <w:r>
        <w:rPr>
          <w:w w:val="106"/>
          <w:sz w:val="16"/>
        </w:rPr>
        <w:t>postura</w:t>
      </w:r>
      <w:r>
        <w:rPr>
          <w:spacing w:val="16"/>
          <w:sz w:val="16"/>
        </w:rPr>
        <w:t> </w:t>
      </w:r>
      <w:r>
        <w:rPr>
          <w:w w:val="105"/>
          <w:sz w:val="16"/>
        </w:rPr>
        <w:t>del</w:t>
      </w:r>
      <w:r>
        <w:rPr>
          <w:spacing w:val="16"/>
          <w:sz w:val="16"/>
        </w:rPr>
        <w:t> </w:t>
      </w:r>
      <w:r>
        <w:rPr>
          <w:w w:val="107"/>
          <w:sz w:val="16"/>
        </w:rPr>
        <w:t>autor</w:t>
      </w:r>
      <w:r>
        <w:rPr>
          <w:spacing w:val="16"/>
          <w:sz w:val="16"/>
        </w:rPr>
        <w:t> </w:t>
      </w:r>
      <w:r>
        <w:rPr>
          <w:w w:val="108"/>
          <w:sz w:val="16"/>
        </w:rPr>
        <w:t>no</w:t>
      </w:r>
      <w:r>
        <w:rPr>
          <w:spacing w:val="16"/>
          <w:sz w:val="16"/>
        </w:rPr>
        <w:t> </w:t>
      </w:r>
      <w:r>
        <w:rPr>
          <w:w w:val="106"/>
          <w:sz w:val="16"/>
        </w:rPr>
        <w:t>sorprende,</w:t>
      </w:r>
      <w:r>
        <w:rPr>
          <w:spacing w:val="16"/>
          <w:sz w:val="16"/>
        </w:rPr>
        <w:t> </w:t>
      </w:r>
      <w:r>
        <w:rPr>
          <w:w w:val="106"/>
          <w:sz w:val="16"/>
        </w:rPr>
        <w:t>pues</w:t>
      </w:r>
      <w:r>
        <w:rPr>
          <w:spacing w:val="16"/>
          <w:sz w:val="16"/>
        </w:rPr>
        <w:t> </w:t>
      </w:r>
      <w:r>
        <w:rPr>
          <w:w w:val="106"/>
          <w:sz w:val="16"/>
        </w:rPr>
        <w:t>en</w:t>
      </w:r>
      <w:r>
        <w:rPr>
          <w:spacing w:val="16"/>
          <w:sz w:val="16"/>
        </w:rPr>
        <w:t> </w:t>
      </w:r>
      <w:r>
        <w:rPr>
          <w:w w:val="107"/>
          <w:sz w:val="16"/>
        </w:rPr>
        <w:t>su</w:t>
      </w:r>
      <w:r>
        <w:rPr>
          <w:spacing w:val="16"/>
          <w:sz w:val="16"/>
        </w:rPr>
        <w:t> </w:t>
      </w:r>
      <w:r>
        <w:rPr>
          <w:w w:val="107"/>
          <w:sz w:val="16"/>
        </w:rPr>
        <w:t>propio</w:t>
      </w:r>
      <w:r>
        <w:rPr>
          <w:spacing w:val="16"/>
          <w:sz w:val="16"/>
        </w:rPr>
        <w:t> </w:t>
      </w:r>
      <w:r>
        <w:rPr>
          <w:w w:val="110"/>
          <w:sz w:val="16"/>
        </w:rPr>
        <w:t>artículo,</w:t>
      </w:r>
      <w:r>
        <w:rPr>
          <w:spacing w:val="16"/>
          <w:sz w:val="16"/>
        </w:rPr>
        <w:t> </w:t>
      </w:r>
      <w:r>
        <w:rPr>
          <w:w w:val="107"/>
          <w:sz w:val="16"/>
        </w:rPr>
        <w:t>si</w:t>
      </w:r>
      <w:r>
        <w:rPr>
          <w:spacing w:val="16"/>
          <w:sz w:val="16"/>
        </w:rPr>
        <w:t> </w:t>
      </w:r>
      <w:r>
        <w:rPr>
          <w:w w:val="107"/>
          <w:sz w:val="16"/>
        </w:rPr>
        <w:t>bien</w:t>
      </w:r>
      <w:r>
        <w:rPr>
          <w:spacing w:val="16"/>
          <w:sz w:val="16"/>
        </w:rPr>
        <w:t> </w:t>
      </w:r>
      <w:r>
        <w:rPr>
          <w:w w:val="107"/>
          <w:sz w:val="16"/>
        </w:rPr>
        <w:t>aborda</w:t>
      </w:r>
      <w:r>
        <w:rPr>
          <w:spacing w:val="16"/>
          <w:sz w:val="16"/>
        </w:rPr>
        <w:t> </w:t>
      </w:r>
      <w:r>
        <w:rPr>
          <w:w w:val="104"/>
          <w:sz w:val="16"/>
        </w:rPr>
        <w:t>el </w:t>
      </w:r>
      <w:r>
        <w:rPr>
          <w:w w:val="105"/>
          <w:sz w:val="16"/>
        </w:rPr>
        <w:t>modo en que la propaganda fue objetivo primordial de la Guerra Fría en particular         y de la política exterior estadounidense en general, centrándose en las líneas de in- vestigación e instituciones financiadas por el gobierno con este fin, dice poco sobre     </w:t>
      </w:r>
      <w:r>
        <w:rPr>
          <w:spacing w:val="37"/>
          <w:w w:val="105"/>
          <w:sz w:val="16"/>
        </w:rPr>
        <w:t> </w:t>
      </w:r>
      <w:r>
        <w:rPr>
          <w:w w:val="105"/>
          <w:sz w:val="16"/>
        </w:rPr>
        <w:t>la relación que esto tenía con la expansión del capitalismo hacia la periferia y los di- versos discursos/prácticas que se utilizaron para ello. En este sentido, el autor abona las visiones criticadas por </w:t>
      </w:r>
      <w:r>
        <w:rPr>
          <w:spacing w:val="-3"/>
          <w:w w:val="105"/>
          <w:sz w:val="16"/>
        </w:rPr>
        <w:t>Chomsky, </w:t>
      </w:r>
      <w:r>
        <w:rPr>
          <w:w w:val="105"/>
          <w:sz w:val="16"/>
        </w:rPr>
        <w:t>en tanto de un modo u otro colabora para que la gente</w:t>
      </w:r>
      <w:r>
        <w:rPr>
          <w:spacing w:val="15"/>
          <w:w w:val="105"/>
          <w:sz w:val="16"/>
        </w:rPr>
        <w:t> </w:t>
      </w:r>
      <w:r>
        <w:rPr>
          <w:w w:val="105"/>
          <w:sz w:val="16"/>
        </w:rPr>
        <w:t>vea</w:t>
      </w:r>
      <w:r>
        <w:rPr>
          <w:spacing w:val="15"/>
          <w:w w:val="105"/>
          <w:sz w:val="16"/>
        </w:rPr>
        <w:t> </w:t>
      </w:r>
      <w:r>
        <w:rPr>
          <w:w w:val="105"/>
          <w:sz w:val="16"/>
        </w:rPr>
        <w:t>“sólo</w:t>
      </w:r>
      <w:r>
        <w:rPr>
          <w:spacing w:val="15"/>
          <w:w w:val="105"/>
          <w:sz w:val="16"/>
        </w:rPr>
        <w:t> </w:t>
      </w:r>
      <w:r>
        <w:rPr>
          <w:w w:val="105"/>
          <w:sz w:val="16"/>
        </w:rPr>
        <w:t>una</w:t>
      </w:r>
      <w:r>
        <w:rPr>
          <w:spacing w:val="15"/>
          <w:w w:val="105"/>
          <w:sz w:val="16"/>
        </w:rPr>
        <w:t> </w:t>
      </w:r>
      <w:r>
        <w:rPr>
          <w:w w:val="105"/>
          <w:sz w:val="16"/>
        </w:rPr>
        <w:t>parte</w:t>
      </w:r>
      <w:r>
        <w:rPr>
          <w:spacing w:val="15"/>
          <w:w w:val="105"/>
          <w:sz w:val="16"/>
        </w:rPr>
        <w:t> </w:t>
      </w:r>
      <w:r>
        <w:rPr>
          <w:w w:val="105"/>
          <w:sz w:val="16"/>
        </w:rPr>
        <w:t>de</w:t>
      </w:r>
      <w:r>
        <w:rPr>
          <w:spacing w:val="15"/>
          <w:w w:val="105"/>
          <w:sz w:val="16"/>
        </w:rPr>
        <w:t> </w:t>
      </w:r>
      <w:r>
        <w:rPr>
          <w:w w:val="105"/>
          <w:sz w:val="16"/>
        </w:rPr>
        <w:t>la</w:t>
      </w:r>
      <w:r>
        <w:rPr>
          <w:spacing w:val="15"/>
          <w:w w:val="105"/>
          <w:sz w:val="16"/>
        </w:rPr>
        <w:t> </w:t>
      </w:r>
      <w:r>
        <w:rPr>
          <w:w w:val="105"/>
          <w:sz w:val="16"/>
        </w:rPr>
        <w:t>realidad”</w:t>
      </w:r>
      <w:r>
        <w:rPr>
          <w:spacing w:val="15"/>
          <w:w w:val="105"/>
          <w:sz w:val="16"/>
        </w:rPr>
        <w:t> </w:t>
      </w:r>
      <w:r>
        <w:rPr>
          <w:w w:val="105"/>
          <w:sz w:val="16"/>
        </w:rPr>
        <w:t>(Chomsky</w:t>
      </w:r>
      <w:r>
        <w:rPr>
          <w:spacing w:val="15"/>
          <w:w w:val="105"/>
          <w:sz w:val="16"/>
        </w:rPr>
        <w:t> </w:t>
      </w:r>
      <w:r>
        <w:rPr>
          <w:w w:val="105"/>
          <w:sz w:val="16"/>
        </w:rPr>
        <w:t>en</w:t>
      </w:r>
      <w:r>
        <w:rPr>
          <w:spacing w:val="15"/>
          <w:w w:val="105"/>
          <w:sz w:val="16"/>
        </w:rPr>
        <w:t> </w:t>
      </w:r>
      <w:r>
        <w:rPr>
          <w:w w:val="105"/>
          <w:sz w:val="16"/>
        </w:rPr>
        <w:t>barsamian,</w:t>
      </w:r>
      <w:r>
        <w:rPr>
          <w:spacing w:val="15"/>
          <w:w w:val="105"/>
          <w:sz w:val="16"/>
        </w:rPr>
        <w:t> </w:t>
      </w:r>
      <w:r>
        <w:rPr>
          <w:w w:val="105"/>
          <w:sz w:val="16"/>
        </w:rPr>
        <w:t>2001:</w:t>
      </w:r>
      <w:r>
        <w:rPr>
          <w:spacing w:val="15"/>
          <w:w w:val="105"/>
          <w:sz w:val="16"/>
        </w:rPr>
        <w:t> </w:t>
      </w:r>
      <w:r>
        <w:rPr>
          <w:w w:val="105"/>
          <w:sz w:val="16"/>
        </w:rPr>
        <w:t>25-30).</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8"/>
        <w:jc w:val="both"/>
        <w:rPr>
          <w:sz w:val="11"/>
        </w:rPr>
      </w:pPr>
      <w:r>
        <w:rPr>
          <w:w w:val="110"/>
        </w:rPr>
        <w:t>ductiva</w:t>
      </w:r>
      <w:r>
        <w:rPr/>
        <w:t> </w:t>
      </w:r>
      <w:r>
        <w:rPr>
          <w:w w:val="105"/>
        </w:rPr>
        <w:t>y</w:t>
      </w:r>
      <w:r>
        <w:rPr/>
        <w:t> </w:t>
      </w:r>
      <w:r>
        <w:rPr>
          <w:w w:val="111"/>
        </w:rPr>
        <w:t>anomalías</w:t>
      </w:r>
      <w:r>
        <w:rPr/>
        <w:t> </w:t>
      </w:r>
      <w:r>
        <w:rPr>
          <w:w w:val="108"/>
        </w:rPr>
        <w:t>en</w:t>
      </w:r>
      <w:r>
        <w:rPr/>
        <w:t> </w:t>
      </w:r>
      <w:r>
        <w:rPr>
          <w:w w:val="111"/>
        </w:rPr>
        <w:t>la</w:t>
      </w:r>
      <w:r>
        <w:rPr/>
        <w:t> </w:t>
      </w:r>
      <w:r>
        <w:rPr>
          <w:w w:val="112"/>
        </w:rPr>
        <w:t>piel,</w:t>
      </w:r>
      <w:r>
        <w:rPr/>
        <w:t> </w:t>
      </w:r>
      <w:r>
        <w:rPr>
          <w:w w:val="110"/>
        </w:rPr>
        <w:t>así</w:t>
      </w:r>
      <w:r>
        <w:rPr/>
        <w:t> </w:t>
      </w:r>
      <w:r>
        <w:rPr>
          <w:w w:val="112"/>
        </w:rPr>
        <w:t>como</w:t>
      </w:r>
      <w:r>
        <w:rPr/>
        <w:t> </w:t>
      </w:r>
      <w:r>
        <w:rPr>
          <w:w w:val="112"/>
        </w:rPr>
        <w:t>a</w:t>
      </w:r>
      <w:r>
        <w:rPr/>
        <w:t> </w:t>
      </w:r>
      <w:r>
        <w:rPr>
          <w:w w:val="108"/>
        </w:rPr>
        <w:t>nivel</w:t>
      </w:r>
      <w:r>
        <w:rPr/>
        <w:t> </w:t>
      </w:r>
      <w:r>
        <w:rPr>
          <w:w w:val="111"/>
        </w:rPr>
        <w:t>neurológico.</w:t>
      </w:r>
      <w:r>
        <w:rPr/>
        <w:t> </w:t>
      </w:r>
      <w:r>
        <w:rPr>
          <w:w w:val="243"/>
        </w:rPr>
        <w:t>l</w:t>
      </w:r>
      <w:r>
        <w:rPr>
          <w:w w:val="108"/>
        </w:rPr>
        <w:t>os</w:t>
      </w:r>
      <w:r>
        <w:rPr/>
        <w:t> </w:t>
      </w:r>
      <w:r>
        <w:rPr>
          <w:w w:val="111"/>
        </w:rPr>
        <w:t>hijos </w:t>
      </w:r>
      <w:r>
        <w:rPr>
          <w:w w:val="110"/>
        </w:rPr>
        <w:t>y nietos de las personas expuestas sufren de malformaciones físicas, así como discapacidades mentales y físicas. Gran parte de la fauna y flora de selvas y manglares ha desaparecido, afectando la cadena ali- menticia, situación que empeora por la contaminación de los ríos y las napas de agua, así como el efecto de la creciente desertificación para las especies en extinción (Mirer y Cohn, 2012).</w:t>
      </w:r>
      <w:r>
        <w:rPr>
          <w:w w:val="110"/>
          <w:position w:val="6"/>
          <w:sz w:val="11"/>
        </w:rPr>
        <w:t>17</w:t>
      </w:r>
    </w:p>
    <w:p>
      <w:pPr>
        <w:pStyle w:val="BodyText"/>
        <w:spacing w:line="252" w:lineRule="auto"/>
        <w:ind w:left="120" w:right="328" w:firstLine="396"/>
        <w:jc w:val="both"/>
      </w:pPr>
      <w:r>
        <w:rPr>
          <w:w w:val="120"/>
        </w:rPr>
        <w:t>Por</w:t>
      </w:r>
      <w:r>
        <w:rPr>
          <w:spacing w:val="-17"/>
          <w:w w:val="120"/>
        </w:rPr>
        <w:t> </w:t>
      </w:r>
      <w:r>
        <w:rPr>
          <w:w w:val="120"/>
        </w:rPr>
        <w:t>otra</w:t>
      </w:r>
      <w:r>
        <w:rPr>
          <w:spacing w:val="-17"/>
          <w:w w:val="120"/>
        </w:rPr>
        <w:t> </w:t>
      </w:r>
      <w:r>
        <w:rPr>
          <w:w w:val="120"/>
        </w:rPr>
        <w:t>parte,</w:t>
      </w:r>
      <w:r>
        <w:rPr>
          <w:spacing w:val="-17"/>
          <w:w w:val="120"/>
        </w:rPr>
        <w:t> </w:t>
      </w:r>
      <w:r>
        <w:rPr>
          <w:w w:val="120"/>
        </w:rPr>
        <w:t>se</w:t>
      </w:r>
      <w:r>
        <w:rPr>
          <w:spacing w:val="-17"/>
          <w:w w:val="120"/>
        </w:rPr>
        <w:t> </w:t>
      </w:r>
      <w:r>
        <w:rPr>
          <w:w w:val="120"/>
        </w:rPr>
        <w:t>evita</w:t>
      </w:r>
      <w:r>
        <w:rPr>
          <w:spacing w:val="-17"/>
          <w:w w:val="120"/>
        </w:rPr>
        <w:t> </w:t>
      </w:r>
      <w:r>
        <w:rPr>
          <w:w w:val="120"/>
        </w:rPr>
        <w:t>la</w:t>
      </w:r>
      <w:r>
        <w:rPr>
          <w:spacing w:val="-17"/>
          <w:w w:val="120"/>
        </w:rPr>
        <w:t> </w:t>
      </w:r>
      <w:r>
        <w:rPr>
          <w:w w:val="120"/>
        </w:rPr>
        <w:t>información</w:t>
      </w:r>
      <w:r>
        <w:rPr>
          <w:spacing w:val="-17"/>
          <w:w w:val="120"/>
        </w:rPr>
        <w:t> </w:t>
      </w:r>
      <w:r>
        <w:rPr>
          <w:w w:val="120"/>
        </w:rPr>
        <w:t>que</w:t>
      </w:r>
      <w:r>
        <w:rPr>
          <w:spacing w:val="-17"/>
          <w:w w:val="120"/>
        </w:rPr>
        <w:t> </w:t>
      </w:r>
      <w:r>
        <w:rPr>
          <w:w w:val="120"/>
        </w:rPr>
        <w:t>da</w:t>
      </w:r>
      <w:r>
        <w:rPr>
          <w:spacing w:val="-17"/>
          <w:w w:val="120"/>
        </w:rPr>
        <w:t> </w:t>
      </w:r>
      <w:r>
        <w:rPr>
          <w:w w:val="120"/>
        </w:rPr>
        <w:t>cuenta</w:t>
      </w:r>
      <w:r>
        <w:rPr>
          <w:spacing w:val="-17"/>
          <w:w w:val="120"/>
        </w:rPr>
        <w:t> </w:t>
      </w:r>
      <w:r>
        <w:rPr>
          <w:w w:val="120"/>
        </w:rPr>
        <w:t>del</w:t>
      </w:r>
      <w:r>
        <w:rPr>
          <w:spacing w:val="-17"/>
          <w:w w:val="120"/>
        </w:rPr>
        <w:t> </w:t>
      </w:r>
      <w:r>
        <w:rPr>
          <w:w w:val="120"/>
        </w:rPr>
        <w:t>modo </w:t>
      </w:r>
      <w:r>
        <w:rPr>
          <w:w w:val="115"/>
        </w:rPr>
        <w:t>en que el gobierno estadounidense buscó convencer a los campesi- nos</w:t>
      </w:r>
      <w:r>
        <w:rPr>
          <w:spacing w:val="-14"/>
          <w:w w:val="115"/>
        </w:rPr>
        <w:t> </w:t>
      </w:r>
      <w:r>
        <w:rPr>
          <w:w w:val="115"/>
        </w:rPr>
        <w:t>vietnamitas</w:t>
      </w:r>
      <w:r>
        <w:rPr>
          <w:spacing w:val="-14"/>
          <w:w w:val="115"/>
        </w:rPr>
        <w:t> </w:t>
      </w:r>
      <w:r>
        <w:rPr>
          <w:w w:val="115"/>
        </w:rPr>
        <w:t>de</w:t>
      </w:r>
      <w:r>
        <w:rPr>
          <w:spacing w:val="-14"/>
          <w:w w:val="115"/>
        </w:rPr>
        <w:t> </w:t>
      </w:r>
      <w:r>
        <w:rPr>
          <w:w w:val="115"/>
        </w:rPr>
        <w:t>las</w:t>
      </w:r>
      <w:r>
        <w:rPr>
          <w:spacing w:val="-14"/>
          <w:w w:val="115"/>
        </w:rPr>
        <w:t> </w:t>
      </w:r>
      <w:r>
        <w:rPr>
          <w:w w:val="115"/>
        </w:rPr>
        <w:t>“bondades”</w:t>
      </w:r>
      <w:r>
        <w:rPr>
          <w:spacing w:val="-14"/>
          <w:w w:val="115"/>
        </w:rPr>
        <w:t> </w:t>
      </w:r>
      <w:r>
        <w:rPr>
          <w:w w:val="115"/>
        </w:rPr>
        <w:t>del</w:t>
      </w:r>
      <w:r>
        <w:rPr>
          <w:spacing w:val="-14"/>
          <w:w w:val="115"/>
        </w:rPr>
        <w:t> </w:t>
      </w:r>
      <w:r>
        <w:rPr>
          <w:w w:val="115"/>
        </w:rPr>
        <w:t>agente</w:t>
      </w:r>
      <w:r>
        <w:rPr>
          <w:spacing w:val="-14"/>
          <w:w w:val="115"/>
        </w:rPr>
        <w:t> </w:t>
      </w:r>
      <w:r>
        <w:rPr>
          <w:w w:val="115"/>
        </w:rPr>
        <w:t>naranja,</w:t>
      </w:r>
      <w:r>
        <w:rPr>
          <w:spacing w:val="-14"/>
          <w:w w:val="115"/>
        </w:rPr>
        <w:t> </w:t>
      </w:r>
      <w:r>
        <w:rPr>
          <w:w w:val="115"/>
        </w:rPr>
        <w:t>como</w:t>
      </w:r>
      <w:r>
        <w:rPr>
          <w:spacing w:val="-14"/>
          <w:w w:val="115"/>
        </w:rPr>
        <w:t> </w:t>
      </w:r>
      <w:r>
        <w:rPr>
          <w:w w:val="115"/>
        </w:rPr>
        <w:t>parte</w:t>
      </w:r>
      <w:r>
        <w:rPr>
          <w:spacing w:val="-14"/>
          <w:w w:val="115"/>
        </w:rPr>
        <w:t> </w:t>
      </w:r>
      <w:r>
        <w:rPr>
          <w:w w:val="115"/>
        </w:rPr>
        <w:t>de operaciones psicológicas. </w:t>
      </w:r>
      <w:r>
        <w:rPr>
          <w:spacing w:val="-6"/>
          <w:w w:val="115"/>
        </w:rPr>
        <w:t>tal </w:t>
      </w:r>
      <w:r>
        <w:rPr>
          <w:w w:val="115"/>
        </w:rPr>
        <w:t>como lo describe un panfleto de 1964: </w:t>
      </w:r>
      <w:r>
        <w:rPr>
          <w:w w:val="120"/>
        </w:rPr>
        <w:t>“Querido</w:t>
      </w:r>
      <w:r>
        <w:rPr>
          <w:spacing w:val="-21"/>
          <w:w w:val="120"/>
        </w:rPr>
        <w:t> </w:t>
      </w:r>
      <w:r>
        <w:rPr>
          <w:w w:val="120"/>
        </w:rPr>
        <w:t>amigo:</w:t>
      </w:r>
      <w:r>
        <w:rPr>
          <w:spacing w:val="-21"/>
          <w:w w:val="120"/>
        </w:rPr>
        <w:t> </w:t>
      </w:r>
      <w:r>
        <w:rPr>
          <w:w w:val="120"/>
        </w:rPr>
        <w:t>en</w:t>
      </w:r>
      <w:r>
        <w:rPr>
          <w:spacing w:val="-21"/>
          <w:w w:val="120"/>
        </w:rPr>
        <w:t> </w:t>
      </w:r>
      <w:r>
        <w:rPr>
          <w:w w:val="120"/>
        </w:rPr>
        <w:t>los</w:t>
      </w:r>
      <w:r>
        <w:rPr>
          <w:spacing w:val="-21"/>
          <w:w w:val="120"/>
        </w:rPr>
        <w:t> </w:t>
      </w:r>
      <w:r>
        <w:rPr>
          <w:w w:val="120"/>
        </w:rPr>
        <w:t>países</w:t>
      </w:r>
      <w:r>
        <w:rPr>
          <w:spacing w:val="-21"/>
          <w:w w:val="120"/>
        </w:rPr>
        <w:t> </w:t>
      </w:r>
      <w:r>
        <w:rPr>
          <w:w w:val="120"/>
        </w:rPr>
        <w:t>civilizados,</w:t>
      </w:r>
      <w:r>
        <w:rPr>
          <w:spacing w:val="-21"/>
          <w:w w:val="120"/>
        </w:rPr>
        <w:t> </w:t>
      </w:r>
      <w:r>
        <w:rPr>
          <w:w w:val="120"/>
        </w:rPr>
        <w:t>la</w:t>
      </w:r>
      <w:r>
        <w:rPr>
          <w:spacing w:val="-21"/>
          <w:w w:val="120"/>
        </w:rPr>
        <w:t> </w:t>
      </w:r>
      <w:r>
        <w:rPr>
          <w:w w:val="120"/>
        </w:rPr>
        <w:t>defoliación</w:t>
      </w:r>
      <w:r>
        <w:rPr>
          <w:spacing w:val="-21"/>
          <w:w w:val="120"/>
        </w:rPr>
        <w:t> </w:t>
      </w:r>
      <w:r>
        <w:rPr>
          <w:w w:val="120"/>
        </w:rPr>
        <w:t>química</w:t>
      </w:r>
      <w:r>
        <w:rPr>
          <w:spacing w:val="-21"/>
          <w:w w:val="120"/>
        </w:rPr>
        <w:t> </w:t>
      </w:r>
      <w:r>
        <w:rPr>
          <w:w w:val="120"/>
        </w:rPr>
        <w:t>es </w:t>
      </w:r>
      <w:r>
        <w:rPr>
          <w:w w:val="115"/>
        </w:rPr>
        <w:t>utilizada</w:t>
      </w:r>
      <w:r>
        <w:rPr>
          <w:spacing w:val="-23"/>
          <w:w w:val="115"/>
        </w:rPr>
        <w:t> </w:t>
      </w:r>
      <w:r>
        <w:rPr>
          <w:w w:val="115"/>
        </w:rPr>
        <w:t>para</w:t>
      </w:r>
      <w:r>
        <w:rPr>
          <w:spacing w:val="-23"/>
          <w:w w:val="115"/>
        </w:rPr>
        <w:t> </w:t>
      </w:r>
      <w:r>
        <w:rPr>
          <w:w w:val="115"/>
        </w:rPr>
        <w:t>limpiar</w:t>
      </w:r>
      <w:r>
        <w:rPr>
          <w:spacing w:val="-23"/>
          <w:w w:val="115"/>
        </w:rPr>
        <w:t> </w:t>
      </w:r>
      <w:r>
        <w:rPr>
          <w:w w:val="115"/>
        </w:rPr>
        <w:t>bosques</w:t>
      </w:r>
      <w:r>
        <w:rPr>
          <w:spacing w:val="-23"/>
          <w:w w:val="115"/>
        </w:rPr>
        <w:t> </w:t>
      </w:r>
      <w:r>
        <w:rPr>
          <w:w w:val="115"/>
        </w:rPr>
        <w:t>a</w:t>
      </w:r>
      <w:r>
        <w:rPr>
          <w:spacing w:val="-23"/>
          <w:w w:val="115"/>
        </w:rPr>
        <w:t> </w:t>
      </w:r>
      <w:r>
        <w:rPr>
          <w:w w:val="115"/>
        </w:rPr>
        <w:t>los</w:t>
      </w:r>
      <w:r>
        <w:rPr>
          <w:spacing w:val="-23"/>
          <w:w w:val="115"/>
        </w:rPr>
        <w:t> </w:t>
      </w:r>
      <w:r>
        <w:rPr>
          <w:w w:val="115"/>
        </w:rPr>
        <w:t>fines</w:t>
      </w:r>
      <w:r>
        <w:rPr>
          <w:spacing w:val="-23"/>
          <w:w w:val="115"/>
        </w:rPr>
        <w:t> </w:t>
      </w:r>
      <w:r>
        <w:rPr>
          <w:w w:val="115"/>
        </w:rPr>
        <w:t>de</w:t>
      </w:r>
      <w:r>
        <w:rPr>
          <w:spacing w:val="-23"/>
          <w:w w:val="115"/>
        </w:rPr>
        <w:t> </w:t>
      </w:r>
      <w:r>
        <w:rPr>
          <w:w w:val="115"/>
        </w:rPr>
        <w:t>desarrollar</w:t>
      </w:r>
      <w:r>
        <w:rPr>
          <w:spacing w:val="-23"/>
          <w:w w:val="115"/>
        </w:rPr>
        <w:t> </w:t>
      </w:r>
      <w:r>
        <w:rPr>
          <w:w w:val="115"/>
        </w:rPr>
        <w:t>la</w:t>
      </w:r>
      <w:r>
        <w:rPr>
          <w:spacing w:val="-23"/>
          <w:w w:val="115"/>
        </w:rPr>
        <w:t> </w:t>
      </w:r>
      <w:r>
        <w:rPr>
          <w:w w:val="115"/>
        </w:rPr>
        <w:t>agricultura </w:t>
      </w:r>
      <w:r>
        <w:rPr>
          <w:w w:val="122"/>
        </w:rPr>
        <w:t>[…]</w:t>
      </w:r>
      <w:r>
        <w:rPr/>
        <w:t> </w:t>
      </w:r>
      <w:r>
        <w:rPr>
          <w:spacing w:val="-20"/>
        </w:rPr>
        <w:t> </w:t>
      </w:r>
      <w:r>
        <w:rPr>
          <w:w w:val="243"/>
        </w:rPr>
        <w:t>l</w:t>
      </w:r>
      <w:r>
        <w:rPr>
          <w:w w:val="112"/>
        </w:rPr>
        <w:t>a</w:t>
      </w:r>
      <w:r>
        <w:rPr/>
        <w:t> </w:t>
      </w:r>
      <w:r>
        <w:rPr>
          <w:spacing w:val="-20"/>
        </w:rPr>
        <w:t> </w:t>
      </w:r>
      <w:r>
        <w:rPr>
          <w:w w:val="111"/>
        </w:rPr>
        <w:t>defoliación</w:t>
      </w:r>
      <w:r>
        <w:rPr/>
        <w:t> </w:t>
      </w:r>
      <w:r>
        <w:rPr>
          <w:spacing w:val="-20"/>
        </w:rPr>
        <w:t> </w:t>
      </w:r>
      <w:r>
        <w:rPr>
          <w:w w:val="112"/>
        </w:rPr>
        <w:t>química</w:t>
      </w:r>
      <w:r>
        <w:rPr/>
        <w:t> </w:t>
      </w:r>
      <w:r>
        <w:rPr>
          <w:spacing w:val="-20"/>
        </w:rPr>
        <w:t> </w:t>
      </w:r>
      <w:r>
        <w:rPr>
          <w:w w:val="109"/>
        </w:rPr>
        <w:t>solo</w:t>
      </w:r>
      <w:r>
        <w:rPr/>
        <w:t> </w:t>
      </w:r>
      <w:r>
        <w:rPr>
          <w:spacing w:val="-20"/>
        </w:rPr>
        <w:t> </w:t>
      </w:r>
      <w:r>
        <w:rPr>
          <w:w w:val="111"/>
        </w:rPr>
        <w:t>mata</w:t>
      </w:r>
      <w:r>
        <w:rPr/>
        <w:t> </w:t>
      </w:r>
      <w:r>
        <w:rPr>
          <w:spacing w:val="-20"/>
        </w:rPr>
        <w:t> </w:t>
      </w:r>
      <w:r>
        <w:rPr>
          <w:w w:val="112"/>
        </w:rPr>
        <w:t>a</w:t>
      </w:r>
      <w:r>
        <w:rPr/>
        <w:t> </w:t>
      </w:r>
      <w:r>
        <w:rPr>
          <w:spacing w:val="-20"/>
        </w:rPr>
        <w:t> </w:t>
      </w:r>
      <w:r>
        <w:rPr>
          <w:w w:val="108"/>
        </w:rPr>
        <w:t>los</w:t>
      </w:r>
      <w:r>
        <w:rPr/>
        <w:t> </w:t>
      </w:r>
      <w:r>
        <w:rPr>
          <w:spacing w:val="-20"/>
        </w:rPr>
        <w:t> </w:t>
      </w:r>
      <w:r>
        <w:rPr>
          <w:w w:val="106"/>
        </w:rPr>
        <w:t>vegetales</w:t>
      </w:r>
      <w:r>
        <w:rPr/>
        <w:t> </w:t>
      </w:r>
      <w:r>
        <w:rPr>
          <w:spacing w:val="-20"/>
        </w:rPr>
        <w:t> </w:t>
      </w:r>
      <w:r>
        <w:rPr>
          <w:w w:val="108"/>
        </w:rPr>
        <w:t>que</w:t>
      </w:r>
      <w:r>
        <w:rPr/>
        <w:t> </w:t>
      </w:r>
      <w:r>
        <w:rPr>
          <w:spacing w:val="-20"/>
        </w:rPr>
        <w:t> </w:t>
      </w:r>
      <w:r>
        <w:rPr>
          <w:w w:val="108"/>
        </w:rPr>
        <w:t>están</w:t>
      </w:r>
      <w:r>
        <w:rPr/>
        <w:t> </w:t>
      </w:r>
      <w:r>
        <w:rPr>
          <w:spacing w:val="-20"/>
        </w:rPr>
        <w:t> </w:t>
      </w:r>
      <w:r>
        <w:rPr>
          <w:w w:val="108"/>
        </w:rPr>
        <w:t>en</w:t>
      </w:r>
      <w:r>
        <w:rPr/>
        <w:t> </w:t>
      </w:r>
      <w:r>
        <w:rPr>
          <w:spacing w:val="-20"/>
        </w:rPr>
        <w:t> </w:t>
      </w:r>
      <w:r>
        <w:rPr>
          <w:w w:val="107"/>
        </w:rPr>
        <w:t>el </w:t>
      </w:r>
      <w:r>
        <w:rPr>
          <w:w w:val="115"/>
        </w:rPr>
        <w:t>área</w:t>
      </w:r>
      <w:r>
        <w:rPr>
          <w:spacing w:val="-12"/>
          <w:w w:val="115"/>
        </w:rPr>
        <w:t> </w:t>
      </w:r>
      <w:r>
        <w:rPr>
          <w:w w:val="115"/>
        </w:rPr>
        <w:t>en</w:t>
      </w:r>
      <w:r>
        <w:rPr>
          <w:spacing w:val="-12"/>
          <w:w w:val="115"/>
        </w:rPr>
        <w:t> </w:t>
      </w:r>
      <w:r>
        <w:rPr>
          <w:w w:val="115"/>
        </w:rPr>
        <w:t>la</w:t>
      </w:r>
      <w:r>
        <w:rPr>
          <w:spacing w:val="-12"/>
          <w:w w:val="115"/>
        </w:rPr>
        <w:t> </w:t>
      </w:r>
      <w:r>
        <w:rPr>
          <w:w w:val="115"/>
        </w:rPr>
        <w:t>que</w:t>
      </w:r>
      <w:r>
        <w:rPr>
          <w:spacing w:val="-12"/>
          <w:w w:val="115"/>
        </w:rPr>
        <w:t> </w:t>
      </w:r>
      <w:r>
        <w:rPr>
          <w:w w:val="115"/>
        </w:rPr>
        <w:t>se</w:t>
      </w:r>
      <w:r>
        <w:rPr>
          <w:spacing w:val="-12"/>
          <w:w w:val="115"/>
        </w:rPr>
        <w:t> </w:t>
      </w:r>
      <w:r>
        <w:rPr>
          <w:w w:val="115"/>
        </w:rPr>
        <w:t>expanden</w:t>
      </w:r>
      <w:r>
        <w:rPr>
          <w:spacing w:val="-12"/>
          <w:w w:val="115"/>
        </w:rPr>
        <w:t> </w:t>
      </w:r>
      <w:r>
        <w:rPr>
          <w:w w:val="115"/>
        </w:rPr>
        <w:t>los</w:t>
      </w:r>
      <w:r>
        <w:rPr>
          <w:spacing w:val="-12"/>
          <w:w w:val="115"/>
        </w:rPr>
        <w:t> </w:t>
      </w:r>
      <w:r>
        <w:rPr>
          <w:w w:val="115"/>
        </w:rPr>
        <w:t>químicos.</w:t>
      </w:r>
      <w:r>
        <w:rPr>
          <w:spacing w:val="-12"/>
          <w:w w:val="115"/>
        </w:rPr>
        <w:t> </w:t>
      </w:r>
      <w:r>
        <w:rPr>
          <w:w w:val="115"/>
        </w:rPr>
        <w:t>No</w:t>
      </w:r>
      <w:r>
        <w:rPr>
          <w:spacing w:val="-12"/>
          <w:w w:val="115"/>
        </w:rPr>
        <w:t> </w:t>
      </w:r>
      <w:r>
        <w:rPr>
          <w:w w:val="115"/>
        </w:rPr>
        <w:t>genera</w:t>
      </w:r>
      <w:r>
        <w:rPr>
          <w:spacing w:val="-12"/>
          <w:w w:val="115"/>
        </w:rPr>
        <w:t> </w:t>
      </w:r>
      <w:r>
        <w:rPr>
          <w:w w:val="115"/>
        </w:rPr>
        <w:t>daños</w:t>
      </w:r>
      <w:r>
        <w:rPr>
          <w:spacing w:val="-12"/>
          <w:w w:val="115"/>
        </w:rPr>
        <w:t> </w:t>
      </w:r>
      <w:r>
        <w:rPr>
          <w:w w:val="115"/>
        </w:rPr>
        <w:t>a</w:t>
      </w:r>
      <w:r>
        <w:rPr>
          <w:spacing w:val="-12"/>
          <w:w w:val="115"/>
        </w:rPr>
        <w:t> </w:t>
      </w:r>
      <w:r>
        <w:rPr>
          <w:w w:val="115"/>
        </w:rPr>
        <w:t>las</w:t>
      </w:r>
      <w:r>
        <w:rPr>
          <w:spacing w:val="-12"/>
          <w:w w:val="115"/>
        </w:rPr>
        <w:t> </w:t>
      </w:r>
      <w:r>
        <w:rPr>
          <w:w w:val="115"/>
        </w:rPr>
        <w:t>áreas </w:t>
      </w:r>
      <w:r>
        <w:rPr>
          <w:w w:val="120"/>
        </w:rPr>
        <w:t>adyacentes</w:t>
      </w:r>
      <w:r>
        <w:rPr>
          <w:spacing w:val="-15"/>
          <w:w w:val="120"/>
        </w:rPr>
        <w:t> </w:t>
      </w:r>
      <w:r>
        <w:rPr>
          <w:w w:val="120"/>
        </w:rPr>
        <w:t>[…]</w:t>
      </w:r>
      <w:r>
        <w:rPr>
          <w:spacing w:val="-15"/>
          <w:w w:val="120"/>
        </w:rPr>
        <w:t> </w:t>
      </w:r>
      <w:r>
        <w:rPr>
          <w:w w:val="120"/>
        </w:rPr>
        <w:t>El</w:t>
      </w:r>
      <w:r>
        <w:rPr>
          <w:spacing w:val="-15"/>
          <w:w w:val="120"/>
        </w:rPr>
        <w:t> </w:t>
      </w:r>
      <w:r>
        <w:rPr>
          <w:w w:val="120"/>
        </w:rPr>
        <w:t>VC</w:t>
      </w:r>
      <w:r>
        <w:rPr>
          <w:spacing w:val="-15"/>
          <w:w w:val="120"/>
        </w:rPr>
        <w:t> </w:t>
      </w:r>
      <w:r>
        <w:rPr>
          <w:spacing w:val="-3"/>
          <w:w w:val="120"/>
        </w:rPr>
        <w:t>[Viet</w:t>
      </w:r>
      <w:r>
        <w:rPr>
          <w:spacing w:val="-15"/>
          <w:w w:val="120"/>
        </w:rPr>
        <w:t> </w:t>
      </w:r>
      <w:r>
        <w:rPr>
          <w:w w:val="120"/>
        </w:rPr>
        <w:t>Cong]</w:t>
      </w:r>
      <w:r>
        <w:rPr>
          <w:spacing w:val="-15"/>
          <w:w w:val="120"/>
        </w:rPr>
        <w:t> </w:t>
      </w:r>
      <w:r>
        <w:rPr>
          <w:w w:val="120"/>
        </w:rPr>
        <w:t>teme</w:t>
      </w:r>
      <w:r>
        <w:rPr>
          <w:spacing w:val="-15"/>
          <w:w w:val="120"/>
        </w:rPr>
        <w:t> </w:t>
      </w:r>
      <w:r>
        <w:rPr>
          <w:w w:val="120"/>
        </w:rPr>
        <w:t>a</w:t>
      </w:r>
      <w:r>
        <w:rPr>
          <w:spacing w:val="-15"/>
          <w:w w:val="120"/>
        </w:rPr>
        <w:t> </w:t>
      </w:r>
      <w:r>
        <w:rPr>
          <w:w w:val="120"/>
        </w:rPr>
        <w:t>la</w:t>
      </w:r>
      <w:r>
        <w:rPr>
          <w:spacing w:val="-15"/>
          <w:w w:val="120"/>
        </w:rPr>
        <w:t> </w:t>
      </w:r>
      <w:r>
        <w:rPr>
          <w:w w:val="120"/>
        </w:rPr>
        <w:t>defoliación</w:t>
      </w:r>
      <w:r>
        <w:rPr>
          <w:spacing w:val="-15"/>
          <w:w w:val="120"/>
        </w:rPr>
        <w:t> </w:t>
      </w:r>
      <w:r>
        <w:rPr>
          <w:w w:val="120"/>
        </w:rPr>
        <w:t>porque</w:t>
      </w:r>
      <w:r>
        <w:rPr>
          <w:spacing w:val="-15"/>
          <w:w w:val="120"/>
        </w:rPr>
        <w:t> </w:t>
      </w:r>
      <w:r>
        <w:rPr>
          <w:spacing w:val="-4"/>
          <w:w w:val="120"/>
        </w:rPr>
        <w:t>per- </w:t>
      </w:r>
      <w:r>
        <w:rPr>
          <w:w w:val="115"/>
        </w:rPr>
        <w:t>derán</w:t>
      </w:r>
      <w:r>
        <w:rPr>
          <w:spacing w:val="-20"/>
          <w:w w:val="115"/>
        </w:rPr>
        <w:t> </w:t>
      </w:r>
      <w:r>
        <w:rPr>
          <w:w w:val="115"/>
        </w:rPr>
        <w:t>los</w:t>
      </w:r>
      <w:r>
        <w:rPr>
          <w:spacing w:val="-20"/>
          <w:w w:val="115"/>
        </w:rPr>
        <w:t> </w:t>
      </w:r>
      <w:r>
        <w:rPr>
          <w:w w:val="115"/>
        </w:rPr>
        <w:t>lugares</w:t>
      </w:r>
      <w:r>
        <w:rPr>
          <w:spacing w:val="-20"/>
          <w:w w:val="115"/>
        </w:rPr>
        <w:t> </w:t>
      </w:r>
      <w:r>
        <w:rPr>
          <w:w w:val="115"/>
        </w:rPr>
        <w:t>donde</w:t>
      </w:r>
      <w:r>
        <w:rPr>
          <w:spacing w:val="-20"/>
          <w:w w:val="115"/>
        </w:rPr>
        <w:t> </w:t>
      </w:r>
      <w:r>
        <w:rPr>
          <w:w w:val="115"/>
        </w:rPr>
        <w:t>se</w:t>
      </w:r>
      <w:r>
        <w:rPr>
          <w:spacing w:val="-20"/>
          <w:w w:val="115"/>
        </w:rPr>
        <w:t> </w:t>
      </w:r>
      <w:r>
        <w:rPr>
          <w:w w:val="115"/>
        </w:rPr>
        <w:t>esconden</w:t>
      </w:r>
      <w:r>
        <w:rPr>
          <w:spacing w:val="-20"/>
          <w:w w:val="115"/>
        </w:rPr>
        <w:t> </w:t>
      </w:r>
      <w:r>
        <w:rPr>
          <w:w w:val="115"/>
        </w:rPr>
        <w:t>y</w:t>
      </w:r>
      <w:r>
        <w:rPr>
          <w:spacing w:val="-20"/>
          <w:w w:val="115"/>
        </w:rPr>
        <w:t> </w:t>
      </w:r>
      <w:r>
        <w:rPr>
          <w:w w:val="115"/>
        </w:rPr>
        <w:t>desde</w:t>
      </w:r>
      <w:r>
        <w:rPr>
          <w:spacing w:val="-20"/>
          <w:w w:val="115"/>
        </w:rPr>
        <w:t> </w:t>
      </w:r>
      <w:r>
        <w:rPr>
          <w:w w:val="115"/>
        </w:rPr>
        <w:t>los</w:t>
      </w:r>
      <w:r>
        <w:rPr>
          <w:spacing w:val="-20"/>
          <w:w w:val="115"/>
        </w:rPr>
        <w:t> </w:t>
      </w:r>
      <w:r>
        <w:rPr>
          <w:w w:val="115"/>
        </w:rPr>
        <w:t>cuales</w:t>
      </w:r>
      <w:r>
        <w:rPr>
          <w:spacing w:val="-20"/>
          <w:w w:val="115"/>
        </w:rPr>
        <w:t> </w:t>
      </w:r>
      <w:r>
        <w:rPr>
          <w:w w:val="115"/>
        </w:rPr>
        <w:t>aterrorizan</w:t>
      </w:r>
      <w:r>
        <w:rPr>
          <w:spacing w:val="-20"/>
          <w:w w:val="115"/>
        </w:rPr>
        <w:t> </w:t>
      </w:r>
      <w:r>
        <w:rPr>
          <w:w w:val="115"/>
        </w:rPr>
        <w:t>al pueblo</w:t>
      </w:r>
      <w:r>
        <w:rPr>
          <w:spacing w:val="-19"/>
          <w:w w:val="115"/>
        </w:rPr>
        <w:t> </w:t>
      </w:r>
      <w:r>
        <w:rPr>
          <w:w w:val="115"/>
        </w:rPr>
        <w:t>de</w:t>
      </w:r>
      <w:r>
        <w:rPr>
          <w:spacing w:val="-19"/>
          <w:w w:val="115"/>
        </w:rPr>
        <w:t> </w:t>
      </w:r>
      <w:r>
        <w:rPr>
          <w:w w:val="115"/>
        </w:rPr>
        <w:t>ud.</w:t>
      </w:r>
      <w:r>
        <w:rPr>
          <w:spacing w:val="-19"/>
          <w:w w:val="115"/>
        </w:rPr>
        <w:t> </w:t>
      </w:r>
      <w:r>
        <w:rPr>
          <w:w w:val="115"/>
        </w:rPr>
        <w:t>con</w:t>
      </w:r>
      <w:r>
        <w:rPr>
          <w:spacing w:val="-19"/>
          <w:w w:val="115"/>
        </w:rPr>
        <w:t> </w:t>
      </w:r>
      <w:r>
        <w:rPr>
          <w:w w:val="115"/>
        </w:rPr>
        <w:t>facilidad”</w:t>
      </w:r>
      <w:r>
        <w:rPr>
          <w:spacing w:val="-19"/>
          <w:w w:val="115"/>
        </w:rPr>
        <w:t> </w:t>
      </w:r>
      <w:r>
        <w:rPr>
          <w:w w:val="115"/>
        </w:rPr>
        <w:t>(Martini,</w:t>
      </w:r>
      <w:r>
        <w:rPr>
          <w:spacing w:val="-19"/>
          <w:w w:val="115"/>
        </w:rPr>
        <w:t> </w:t>
      </w:r>
      <w:r>
        <w:rPr>
          <w:w w:val="115"/>
        </w:rPr>
        <w:t>2013:</w:t>
      </w:r>
      <w:r>
        <w:rPr>
          <w:spacing w:val="-19"/>
          <w:w w:val="115"/>
        </w:rPr>
        <w:t> </w:t>
      </w:r>
      <w:r>
        <w:rPr>
          <w:w w:val="115"/>
        </w:rPr>
        <w:t>66-67).</w:t>
      </w:r>
    </w:p>
    <w:p>
      <w:pPr>
        <w:pStyle w:val="BodyText"/>
        <w:spacing w:line="252" w:lineRule="auto"/>
        <w:ind w:left="120" w:right="327" w:firstLine="396"/>
        <w:jc w:val="both"/>
      </w:pPr>
      <w:r>
        <w:rPr>
          <w:w w:val="115"/>
        </w:rPr>
        <w:t>Con</w:t>
      </w:r>
      <w:r>
        <w:rPr>
          <w:spacing w:val="-14"/>
          <w:w w:val="115"/>
        </w:rPr>
        <w:t> </w:t>
      </w:r>
      <w:r>
        <w:rPr>
          <w:w w:val="115"/>
        </w:rPr>
        <w:t>respecto</w:t>
      </w:r>
      <w:r>
        <w:rPr>
          <w:spacing w:val="-14"/>
          <w:w w:val="115"/>
        </w:rPr>
        <w:t> </w:t>
      </w:r>
      <w:r>
        <w:rPr>
          <w:w w:val="115"/>
        </w:rPr>
        <w:t>al</w:t>
      </w:r>
      <w:r>
        <w:rPr>
          <w:spacing w:val="-14"/>
          <w:w w:val="115"/>
        </w:rPr>
        <w:t> </w:t>
      </w:r>
      <w:r>
        <w:rPr>
          <w:w w:val="115"/>
        </w:rPr>
        <w:t>“juego</w:t>
      </w:r>
      <w:r>
        <w:rPr>
          <w:spacing w:val="-14"/>
          <w:w w:val="115"/>
        </w:rPr>
        <w:t> </w:t>
      </w:r>
      <w:r>
        <w:rPr>
          <w:w w:val="115"/>
        </w:rPr>
        <w:t>de</w:t>
      </w:r>
      <w:r>
        <w:rPr>
          <w:spacing w:val="-14"/>
          <w:w w:val="115"/>
        </w:rPr>
        <w:t> </w:t>
      </w:r>
      <w:r>
        <w:rPr>
          <w:w w:val="115"/>
        </w:rPr>
        <w:t>palabras”,</w:t>
      </w:r>
      <w:r>
        <w:rPr>
          <w:spacing w:val="-14"/>
          <w:w w:val="115"/>
        </w:rPr>
        <w:t> </w:t>
      </w:r>
      <w:r>
        <w:rPr>
          <w:w w:val="115"/>
        </w:rPr>
        <w:t>la</w:t>
      </w:r>
      <w:r>
        <w:rPr>
          <w:spacing w:val="-14"/>
          <w:w w:val="115"/>
        </w:rPr>
        <w:t> </w:t>
      </w:r>
      <w:r>
        <w:rPr>
          <w:w w:val="115"/>
        </w:rPr>
        <w:t>tercera</w:t>
      </w:r>
      <w:r>
        <w:rPr>
          <w:spacing w:val="-14"/>
          <w:w w:val="115"/>
        </w:rPr>
        <w:t> </w:t>
      </w:r>
      <w:r>
        <w:rPr>
          <w:w w:val="115"/>
        </w:rPr>
        <w:t>característica</w:t>
      </w:r>
      <w:r>
        <w:rPr>
          <w:spacing w:val="-14"/>
          <w:w w:val="115"/>
        </w:rPr>
        <w:t> </w:t>
      </w:r>
      <w:r>
        <w:rPr>
          <w:w w:val="115"/>
        </w:rPr>
        <w:t>que sobresale</w:t>
      </w:r>
      <w:r>
        <w:rPr>
          <w:spacing w:val="-10"/>
          <w:w w:val="115"/>
        </w:rPr>
        <w:t> </w:t>
      </w:r>
      <w:r>
        <w:rPr>
          <w:w w:val="115"/>
        </w:rPr>
        <w:t>de</w:t>
      </w:r>
      <w:r>
        <w:rPr>
          <w:spacing w:val="-10"/>
          <w:w w:val="115"/>
        </w:rPr>
        <w:t> </w:t>
      </w:r>
      <w:r>
        <w:rPr>
          <w:w w:val="115"/>
        </w:rPr>
        <w:t>la</w:t>
      </w:r>
      <w:r>
        <w:rPr>
          <w:spacing w:val="-10"/>
          <w:w w:val="115"/>
        </w:rPr>
        <w:t> </w:t>
      </w:r>
      <w:r>
        <w:rPr>
          <w:w w:val="115"/>
        </w:rPr>
        <w:t>línea</w:t>
      </w:r>
      <w:r>
        <w:rPr>
          <w:spacing w:val="-10"/>
          <w:w w:val="115"/>
        </w:rPr>
        <w:t> </w:t>
      </w:r>
      <w:r>
        <w:rPr>
          <w:w w:val="115"/>
        </w:rPr>
        <w:t>del</w:t>
      </w:r>
      <w:r>
        <w:rPr>
          <w:spacing w:val="-10"/>
          <w:w w:val="115"/>
        </w:rPr>
        <w:t> </w:t>
      </w:r>
      <w:r>
        <w:rPr>
          <w:w w:val="115"/>
        </w:rPr>
        <w:t>tiempo,</w:t>
      </w:r>
      <w:r>
        <w:rPr>
          <w:spacing w:val="-10"/>
          <w:w w:val="115"/>
        </w:rPr>
        <w:t> </w:t>
      </w:r>
      <w:r>
        <w:rPr>
          <w:w w:val="115"/>
        </w:rPr>
        <w:t>puede</w:t>
      </w:r>
      <w:r>
        <w:rPr>
          <w:spacing w:val="-10"/>
          <w:w w:val="115"/>
        </w:rPr>
        <w:t> </w:t>
      </w:r>
      <w:r>
        <w:rPr>
          <w:w w:val="115"/>
        </w:rPr>
        <w:t>notarse</w:t>
      </w:r>
      <w:r>
        <w:rPr>
          <w:spacing w:val="-10"/>
          <w:w w:val="115"/>
        </w:rPr>
        <w:t> </w:t>
      </w:r>
      <w:r>
        <w:rPr>
          <w:w w:val="115"/>
        </w:rPr>
        <w:t>que</w:t>
      </w:r>
      <w:r>
        <w:rPr>
          <w:spacing w:val="-10"/>
          <w:w w:val="115"/>
        </w:rPr>
        <w:t> </w:t>
      </w:r>
      <w:r>
        <w:rPr>
          <w:w w:val="115"/>
        </w:rPr>
        <w:t>invita</w:t>
      </w:r>
      <w:r>
        <w:rPr>
          <w:spacing w:val="-10"/>
          <w:w w:val="115"/>
        </w:rPr>
        <w:t> </w:t>
      </w:r>
      <w:r>
        <w:rPr>
          <w:w w:val="115"/>
        </w:rPr>
        <w:t>a</w:t>
      </w:r>
      <w:r>
        <w:rPr>
          <w:spacing w:val="-10"/>
          <w:w w:val="115"/>
        </w:rPr>
        <w:t> </w:t>
      </w:r>
      <w:r>
        <w:rPr>
          <w:w w:val="115"/>
        </w:rPr>
        <w:t>la</w:t>
      </w:r>
      <w:r>
        <w:rPr>
          <w:spacing w:val="-10"/>
          <w:w w:val="115"/>
        </w:rPr>
        <w:t> </w:t>
      </w:r>
      <w:r>
        <w:rPr>
          <w:w w:val="115"/>
        </w:rPr>
        <w:t>confu- sión, como lo es con lo referido a la “intervención militar” de EE.uu. desde fines de la década de los ’40 en el sudeste asiático. algunos ejemplos</w:t>
      </w:r>
      <w:r>
        <w:rPr>
          <w:spacing w:val="-7"/>
          <w:w w:val="115"/>
        </w:rPr>
        <w:t> </w:t>
      </w:r>
      <w:r>
        <w:rPr>
          <w:w w:val="115"/>
        </w:rPr>
        <w:t>son</w:t>
      </w:r>
      <w:r>
        <w:rPr>
          <w:spacing w:val="-7"/>
          <w:w w:val="115"/>
        </w:rPr>
        <w:t> </w:t>
      </w:r>
      <w:r>
        <w:rPr>
          <w:w w:val="115"/>
        </w:rPr>
        <w:t>las</w:t>
      </w:r>
      <w:r>
        <w:rPr>
          <w:spacing w:val="-7"/>
          <w:w w:val="115"/>
        </w:rPr>
        <w:t> </w:t>
      </w:r>
      <w:r>
        <w:rPr>
          <w:w w:val="115"/>
        </w:rPr>
        <w:t>siguientes</w:t>
      </w:r>
      <w:r>
        <w:rPr>
          <w:spacing w:val="-7"/>
          <w:w w:val="115"/>
        </w:rPr>
        <w:t> </w:t>
      </w:r>
      <w:r>
        <w:rPr>
          <w:w w:val="115"/>
        </w:rPr>
        <w:t>entradas:</w:t>
      </w:r>
      <w:r>
        <w:rPr>
          <w:spacing w:val="-7"/>
          <w:w w:val="115"/>
        </w:rPr>
        <w:t> </w:t>
      </w:r>
      <w:r>
        <w:rPr>
          <w:w w:val="115"/>
        </w:rPr>
        <w:t>agosto</w:t>
      </w:r>
      <w:r>
        <w:rPr>
          <w:spacing w:val="-7"/>
          <w:w w:val="115"/>
        </w:rPr>
        <w:t> </w:t>
      </w:r>
      <w:r>
        <w:rPr>
          <w:w w:val="115"/>
        </w:rPr>
        <w:t>3,</w:t>
      </w:r>
      <w:r>
        <w:rPr>
          <w:spacing w:val="-7"/>
          <w:w w:val="115"/>
        </w:rPr>
        <w:t> </w:t>
      </w:r>
      <w:r>
        <w:rPr>
          <w:w w:val="115"/>
        </w:rPr>
        <w:t>1950:</w:t>
      </w:r>
      <w:r>
        <w:rPr>
          <w:spacing w:val="-7"/>
          <w:w w:val="115"/>
        </w:rPr>
        <w:t> </w:t>
      </w:r>
      <w:r>
        <w:rPr>
          <w:w w:val="115"/>
        </w:rPr>
        <w:t>se</w:t>
      </w:r>
      <w:r>
        <w:rPr>
          <w:spacing w:val="-7"/>
          <w:w w:val="115"/>
        </w:rPr>
        <w:t> </w:t>
      </w:r>
      <w:r>
        <w:rPr>
          <w:w w:val="115"/>
        </w:rPr>
        <w:t>establece</w:t>
      </w:r>
      <w:r>
        <w:rPr>
          <w:spacing w:val="-7"/>
          <w:w w:val="115"/>
        </w:rPr>
        <w:t> </w:t>
      </w:r>
      <w:r>
        <w:rPr>
          <w:w w:val="115"/>
        </w:rPr>
        <w:t>el Grupo</w:t>
      </w:r>
      <w:r>
        <w:rPr>
          <w:spacing w:val="-8"/>
          <w:w w:val="115"/>
        </w:rPr>
        <w:t> </w:t>
      </w:r>
      <w:r>
        <w:rPr>
          <w:w w:val="115"/>
        </w:rPr>
        <w:t>Estadounidense</w:t>
      </w:r>
      <w:r>
        <w:rPr>
          <w:spacing w:val="-8"/>
          <w:w w:val="115"/>
        </w:rPr>
        <w:t> </w:t>
      </w:r>
      <w:r>
        <w:rPr>
          <w:w w:val="115"/>
        </w:rPr>
        <w:t>de</w:t>
      </w:r>
      <w:r>
        <w:rPr>
          <w:spacing w:val="-8"/>
          <w:w w:val="115"/>
        </w:rPr>
        <w:t> </w:t>
      </w:r>
      <w:r>
        <w:rPr>
          <w:w w:val="115"/>
        </w:rPr>
        <w:t>asistencia</w:t>
      </w:r>
      <w:r>
        <w:rPr>
          <w:spacing w:val="-8"/>
          <w:w w:val="115"/>
        </w:rPr>
        <w:t> </w:t>
      </w:r>
      <w:r>
        <w:rPr>
          <w:w w:val="115"/>
        </w:rPr>
        <w:t>y</w:t>
      </w:r>
      <w:r>
        <w:rPr>
          <w:spacing w:val="-8"/>
          <w:w w:val="115"/>
        </w:rPr>
        <w:t> </w:t>
      </w:r>
      <w:r>
        <w:rPr>
          <w:w w:val="115"/>
        </w:rPr>
        <w:t>asesoría</w:t>
      </w:r>
      <w:r>
        <w:rPr>
          <w:spacing w:val="-8"/>
          <w:w w:val="115"/>
        </w:rPr>
        <w:t> </w:t>
      </w:r>
      <w:r>
        <w:rPr>
          <w:w w:val="115"/>
        </w:rPr>
        <w:t>Militar</w:t>
      </w:r>
      <w:r>
        <w:rPr>
          <w:spacing w:val="-8"/>
          <w:w w:val="115"/>
        </w:rPr>
        <w:t> </w:t>
      </w:r>
      <w:r>
        <w:rPr>
          <w:w w:val="115"/>
        </w:rPr>
        <w:t>(MaaG,</w:t>
      </w:r>
      <w:r>
        <w:rPr>
          <w:spacing w:val="-8"/>
          <w:w w:val="115"/>
        </w:rPr>
        <w:t> </w:t>
      </w:r>
      <w:r>
        <w:rPr>
          <w:w w:val="115"/>
        </w:rPr>
        <w:t>siglas en inglés); Junio 1, 1954: se inaugura la Misión Militar en saigón al </w:t>
      </w:r>
      <w:r>
        <w:rPr>
          <w:w w:val="111"/>
        </w:rPr>
        <w:t>mando</w:t>
      </w:r>
      <w:r>
        <w:rPr>
          <w:spacing w:val="1"/>
        </w:rPr>
        <w:t> </w:t>
      </w:r>
      <w:r>
        <w:rPr>
          <w:w w:val="107"/>
        </w:rPr>
        <w:t>de</w:t>
      </w:r>
      <w:r>
        <w:rPr>
          <w:spacing w:val="1"/>
        </w:rPr>
        <w:t> </w:t>
      </w:r>
      <w:r>
        <w:rPr>
          <w:w w:val="111"/>
        </w:rPr>
        <w:t>Edward</w:t>
      </w:r>
      <w:r>
        <w:rPr>
          <w:spacing w:val="1"/>
        </w:rPr>
        <w:t> </w:t>
      </w:r>
      <w:r>
        <w:rPr>
          <w:w w:val="132"/>
        </w:rPr>
        <w:t>G.</w:t>
      </w:r>
      <w:r>
        <w:rPr>
          <w:spacing w:val="1"/>
        </w:rPr>
        <w:t> </w:t>
      </w:r>
      <w:r>
        <w:rPr>
          <w:w w:val="243"/>
        </w:rPr>
        <w:t>l</w:t>
      </w:r>
      <w:r>
        <w:rPr>
          <w:w w:val="109"/>
        </w:rPr>
        <w:t>ansdale;</w:t>
      </w:r>
      <w:r>
        <w:rPr>
          <w:spacing w:val="1"/>
        </w:rPr>
        <w:t> </w:t>
      </w:r>
      <w:r>
        <w:rPr>
          <w:w w:val="139"/>
        </w:rPr>
        <w:t>a</w:t>
      </w:r>
      <w:r>
        <w:rPr>
          <w:w w:val="110"/>
        </w:rPr>
        <w:t>bril</w:t>
      </w:r>
      <w:r>
        <w:rPr>
          <w:spacing w:val="1"/>
        </w:rPr>
        <w:t> </w:t>
      </w:r>
      <w:r>
        <w:rPr>
          <w:w w:val="108"/>
        </w:rPr>
        <w:t>28,</w:t>
      </w:r>
      <w:r>
        <w:rPr>
          <w:spacing w:val="1"/>
        </w:rPr>
        <w:t> </w:t>
      </w:r>
      <w:r>
        <w:rPr>
          <w:w w:val="103"/>
        </w:rPr>
        <w:t>1956:</w:t>
      </w:r>
      <w:r>
        <w:rPr>
          <w:spacing w:val="1"/>
        </w:rPr>
        <w:t> </w:t>
      </w:r>
      <w:r>
        <w:rPr>
          <w:w w:val="120"/>
        </w:rPr>
        <w:t>M</w:t>
      </w:r>
      <w:r>
        <w:rPr>
          <w:w w:val="139"/>
        </w:rPr>
        <w:t>aa</w:t>
      </w:r>
      <w:r>
        <w:rPr>
          <w:w w:val="120"/>
        </w:rPr>
        <w:t>G-</w:t>
      </w:r>
      <w:r>
        <w:rPr>
          <w:w w:val="142"/>
        </w:rPr>
        <w:t>i</w:t>
      </w:r>
      <w:r>
        <w:rPr>
          <w:spacing w:val="1"/>
        </w:rPr>
        <w:t> </w:t>
      </w:r>
      <w:r>
        <w:rPr>
          <w:w w:val="109"/>
        </w:rPr>
        <w:t>dirige</w:t>
      </w:r>
      <w:r>
        <w:rPr>
          <w:spacing w:val="1"/>
        </w:rPr>
        <w:t> </w:t>
      </w:r>
      <w:r>
        <w:rPr>
          <w:w w:val="107"/>
        </w:rPr>
        <w:t>el</w:t>
      </w:r>
      <w:r>
        <w:rPr>
          <w:spacing w:val="1"/>
        </w:rPr>
        <w:t> </w:t>
      </w:r>
      <w:r>
        <w:rPr>
          <w:w w:val="106"/>
        </w:rPr>
        <w:t>entre</w:t>
      </w:r>
      <w:r>
        <w:rPr>
          <w:w w:val="102"/>
        </w:rPr>
        <w:t>- </w:t>
      </w:r>
      <w:r>
        <w:rPr>
          <w:w w:val="115"/>
        </w:rPr>
        <w:t>namiento a vietnamitas del sur; diciembre 5, 1959: la Cia comienza operaciones</w:t>
      </w:r>
      <w:r>
        <w:rPr>
          <w:spacing w:val="-17"/>
          <w:w w:val="115"/>
        </w:rPr>
        <w:t> </w:t>
      </w:r>
      <w:r>
        <w:rPr>
          <w:w w:val="115"/>
        </w:rPr>
        <w:t>de</w:t>
      </w:r>
      <w:r>
        <w:rPr>
          <w:spacing w:val="-17"/>
          <w:w w:val="115"/>
        </w:rPr>
        <w:t> </w:t>
      </w:r>
      <w:r>
        <w:rPr>
          <w:w w:val="115"/>
        </w:rPr>
        <w:t>inserción</w:t>
      </w:r>
      <w:r>
        <w:rPr>
          <w:spacing w:val="-17"/>
          <w:w w:val="115"/>
        </w:rPr>
        <w:t> </w:t>
      </w:r>
      <w:r>
        <w:rPr>
          <w:w w:val="115"/>
        </w:rPr>
        <w:t>de</w:t>
      </w:r>
      <w:r>
        <w:rPr>
          <w:spacing w:val="-17"/>
          <w:w w:val="115"/>
        </w:rPr>
        <w:t> </w:t>
      </w:r>
      <w:r>
        <w:rPr>
          <w:w w:val="115"/>
        </w:rPr>
        <w:t>agentes</w:t>
      </w:r>
      <w:r>
        <w:rPr>
          <w:spacing w:val="-17"/>
          <w:w w:val="115"/>
        </w:rPr>
        <w:t> </w:t>
      </w:r>
      <w:r>
        <w:rPr>
          <w:w w:val="115"/>
        </w:rPr>
        <w:t>en</w:t>
      </w:r>
      <w:r>
        <w:rPr>
          <w:spacing w:val="-17"/>
          <w:w w:val="115"/>
        </w:rPr>
        <w:t> </w:t>
      </w:r>
      <w:r>
        <w:rPr>
          <w:w w:val="115"/>
        </w:rPr>
        <w:t>Vietnam</w:t>
      </w:r>
      <w:r>
        <w:rPr>
          <w:spacing w:val="-17"/>
          <w:w w:val="115"/>
        </w:rPr>
        <w:t> </w:t>
      </w:r>
      <w:r>
        <w:rPr>
          <w:w w:val="115"/>
        </w:rPr>
        <w:t>del</w:t>
      </w:r>
      <w:r>
        <w:rPr>
          <w:spacing w:val="-17"/>
          <w:w w:val="115"/>
        </w:rPr>
        <w:t> </w:t>
      </w:r>
      <w:r>
        <w:rPr>
          <w:w w:val="115"/>
        </w:rPr>
        <w:t>Norte;</w:t>
      </w:r>
      <w:r>
        <w:rPr>
          <w:spacing w:val="-17"/>
          <w:w w:val="115"/>
        </w:rPr>
        <w:t> </w:t>
      </w:r>
      <w:r>
        <w:rPr>
          <w:w w:val="115"/>
        </w:rPr>
        <w:t>Enero</w:t>
      </w:r>
      <w:r>
        <w:rPr>
          <w:spacing w:val="-17"/>
          <w:w w:val="115"/>
        </w:rPr>
        <w:t> </w:t>
      </w:r>
      <w:r>
        <w:rPr>
          <w:w w:val="115"/>
        </w:rPr>
        <w:t>31, 1961:</w:t>
      </w:r>
      <w:r>
        <w:rPr>
          <w:spacing w:val="-14"/>
          <w:w w:val="115"/>
        </w:rPr>
        <w:t> </w:t>
      </w:r>
      <w:r>
        <w:rPr>
          <w:w w:val="115"/>
        </w:rPr>
        <w:t>se</w:t>
      </w:r>
      <w:r>
        <w:rPr>
          <w:spacing w:val="-14"/>
          <w:w w:val="115"/>
        </w:rPr>
        <w:t> </w:t>
      </w:r>
      <w:r>
        <w:rPr>
          <w:w w:val="115"/>
        </w:rPr>
        <w:t>autoriza</w:t>
      </w:r>
      <w:r>
        <w:rPr>
          <w:spacing w:val="-14"/>
          <w:w w:val="115"/>
        </w:rPr>
        <w:t> </w:t>
      </w:r>
      <w:r>
        <w:rPr>
          <w:w w:val="115"/>
        </w:rPr>
        <w:t>ampliar</w:t>
      </w:r>
      <w:r>
        <w:rPr>
          <w:spacing w:val="-14"/>
          <w:w w:val="115"/>
        </w:rPr>
        <w:t> </w:t>
      </w:r>
      <w:r>
        <w:rPr>
          <w:w w:val="115"/>
        </w:rPr>
        <w:t>las</w:t>
      </w:r>
      <w:r>
        <w:rPr>
          <w:spacing w:val="-14"/>
          <w:w w:val="115"/>
        </w:rPr>
        <w:t> </w:t>
      </w:r>
      <w:r>
        <w:rPr>
          <w:w w:val="115"/>
        </w:rPr>
        <w:t>acciones</w:t>
      </w:r>
      <w:r>
        <w:rPr>
          <w:spacing w:val="-14"/>
          <w:w w:val="115"/>
        </w:rPr>
        <w:t> </w:t>
      </w:r>
      <w:r>
        <w:rPr>
          <w:w w:val="115"/>
        </w:rPr>
        <w:t>del</w:t>
      </w:r>
      <w:r>
        <w:rPr>
          <w:spacing w:val="-14"/>
          <w:w w:val="115"/>
        </w:rPr>
        <w:t> </w:t>
      </w:r>
      <w:r>
        <w:rPr>
          <w:w w:val="115"/>
        </w:rPr>
        <w:t>MaaG-Vietnam.</w:t>
      </w:r>
    </w:p>
    <w:p>
      <w:pPr>
        <w:pStyle w:val="BodyText"/>
        <w:spacing w:line="252" w:lineRule="auto"/>
        <w:ind w:left="120" w:right="328" w:firstLine="396"/>
        <w:jc w:val="both"/>
      </w:pPr>
      <w:r>
        <w:rPr>
          <w:w w:val="110"/>
        </w:rPr>
        <w:t>sin embargo, al describir la resolución del Golfo de tonkin, se afirma: “En 1964 el presidente Johnson redactó un borrador de reso- lución para el Congreso que permitiría la intervención militar   directa</w:t>
      </w:r>
    </w:p>
    <w:p>
      <w:pPr>
        <w:pStyle w:val="BodyText"/>
        <w:rPr>
          <w:sz w:val="20"/>
        </w:rPr>
      </w:pPr>
    </w:p>
    <w:p>
      <w:pPr>
        <w:pStyle w:val="BodyText"/>
        <w:spacing w:before="2"/>
        <w:rPr>
          <w:sz w:val="13"/>
        </w:rPr>
      </w:pPr>
      <w:r>
        <w:rPr/>
        <w:pict>
          <v:line style="position:absolute;mso-position-horizontal-relative:page;mso-position-vertical-relative:paragraph;z-index:7168;mso-wrap-distance-left:0;mso-wrap-distance-right:0" from="51.023602pt,9.934598pt" to="79.369602pt,9.934598pt" stroked="true" strokeweight=".5pt" strokecolor="#000000">
            <w10:wrap type="topAndBottom"/>
          </v:line>
        </w:pict>
      </w:r>
    </w:p>
    <w:p>
      <w:pPr>
        <w:pStyle w:val="ListParagraph"/>
        <w:numPr>
          <w:ilvl w:val="0"/>
          <w:numId w:val="30"/>
        </w:numPr>
        <w:tabs>
          <w:tab w:pos="376" w:val="left" w:leader="none"/>
        </w:tabs>
        <w:spacing w:line="242" w:lineRule="auto" w:before="89" w:after="0"/>
        <w:ind w:left="120" w:right="328" w:firstLine="0"/>
        <w:jc w:val="both"/>
        <w:rPr>
          <w:sz w:val="16"/>
        </w:rPr>
      </w:pPr>
      <w:r>
        <w:rPr>
          <w:w w:val="110"/>
          <w:sz w:val="16"/>
        </w:rPr>
        <w:t>a fines de los ’90, una investigación impulsada por canadienses en Vietnam, se ocupó</w:t>
      </w:r>
      <w:r>
        <w:rPr>
          <w:spacing w:val="-4"/>
          <w:w w:val="110"/>
          <w:sz w:val="16"/>
        </w:rPr>
        <w:t> </w:t>
      </w:r>
      <w:r>
        <w:rPr>
          <w:w w:val="110"/>
          <w:sz w:val="16"/>
        </w:rPr>
        <w:t>de</w:t>
      </w:r>
      <w:r>
        <w:rPr>
          <w:spacing w:val="-4"/>
          <w:w w:val="110"/>
          <w:sz w:val="16"/>
        </w:rPr>
        <w:t> </w:t>
      </w:r>
      <w:r>
        <w:rPr>
          <w:w w:val="110"/>
          <w:sz w:val="16"/>
        </w:rPr>
        <w:t>tomar</w:t>
      </w:r>
      <w:r>
        <w:rPr>
          <w:spacing w:val="-4"/>
          <w:w w:val="110"/>
          <w:sz w:val="16"/>
        </w:rPr>
        <w:t> </w:t>
      </w:r>
      <w:r>
        <w:rPr>
          <w:w w:val="110"/>
          <w:sz w:val="16"/>
        </w:rPr>
        <w:t>muestras</w:t>
      </w:r>
      <w:r>
        <w:rPr>
          <w:spacing w:val="-4"/>
          <w:w w:val="110"/>
          <w:sz w:val="16"/>
        </w:rPr>
        <w:t> </w:t>
      </w:r>
      <w:r>
        <w:rPr>
          <w:w w:val="110"/>
          <w:sz w:val="16"/>
        </w:rPr>
        <w:t>de</w:t>
      </w:r>
      <w:r>
        <w:rPr>
          <w:spacing w:val="-4"/>
          <w:w w:val="110"/>
          <w:sz w:val="16"/>
        </w:rPr>
        <w:t> </w:t>
      </w:r>
      <w:r>
        <w:rPr>
          <w:w w:val="110"/>
          <w:sz w:val="16"/>
        </w:rPr>
        <w:t>suelo,</w:t>
      </w:r>
      <w:r>
        <w:rPr>
          <w:spacing w:val="-4"/>
          <w:w w:val="110"/>
          <w:sz w:val="16"/>
        </w:rPr>
        <w:t> </w:t>
      </w:r>
      <w:r>
        <w:rPr>
          <w:w w:val="110"/>
          <w:sz w:val="16"/>
        </w:rPr>
        <w:t>de</w:t>
      </w:r>
      <w:r>
        <w:rPr>
          <w:spacing w:val="-4"/>
          <w:w w:val="110"/>
          <w:sz w:val="16"/>
        </w:rPr>
        <w:t> </w:t>
      </w:r>
      <w:r>
        <w:rPr>
          <w:w w:val="110"/>
          <w:sz w:val="16"/>
        </w:rPr>
        <w:t>agua,</w:t>
      </w:r>
      <w:r>
        <w:rPr>
          <w:spacing w:val="-4"/>
          <w:w w:val="110"/>
          <w:sz w:val="16"/>
        </w:rPr>
        <w:t> </w:t>
      </w:r>
      <w:r>
        <w:rPr>
          <w:w w:val="110"/>
          <w:sz w:val="16"/>
        </w:rPr>
        <w:t>peces</w:t>
      </w:r>
      <w:r>
        <w:rPr>
          <w:spacing w:val="-4"/>
          <w:w w:val="110"/>
          <w:sz w:val="16"/>
        </w:rPr>
        <w:t> </w:t>
      </w:r>
      <w:r>
        <w:rPr>
          <w:w w:val="110"/>
          <w:sz w:val="16"/>
        </w:rPr>
        <w:t>y</w:t>
      </w:r>
      <w:r>
        <w:rPr>
          <w:spacing w:val="-4"/>
          <w:w w:val="110"/>
          <w:sz w:val="16"/>
        </w:rPr>
        <w:t> </w:t>
      </w:r>
      <w:r>
        <w:rPr>
          <w:w w:val="110"/>
          <w:sz w:val="16"/>
        </w:rPr>
        <w:t>aves,</w:t>
      </w:r>
      <w:r>
        <w:rPr>
          <w:spacing w:val="-4"/>
          <w:w w:val="110"/>
          <w:sz w:val="16"/>
        </w:rPr>
        <w:t> </w:t>
      </w:r>
      <w:r>
        <w:rPr>
          <w:w w:val="110"/>
          <w:sz w:val="16"/>
        </w:rPr>
        <w:t>así</w:t>
      </w:r>
      <w:r>
        <w:rPr>
          <w:spacing w:val="-4"/>
          <w:w w:val="110"/>
          <w:sz w:val="16"/>
        </w:rPr>
        <w:t> </w:t>
      </w:r>
      <w:r>
        <w:rPr>
          <w:w w:val="110"/>
          <w:sz w:val="16"/>
        </w:rPr>
        <w:t>como</w:t>
      </w:r>
      <w:r>
        <w:rPr>
          <w:spacing w:val="-4"/>
          <w:w w:val="110"/>
          <w:sz w:val="16"/>
        </w:rPr>
        <w:t> </w:t>
      </w:r>
      <w:r>
        <w:rPr>
          <w:w w:val="110"/>
          <w:sz w:val="16"/>
        </w:rPr>
        <w:t>muestras</w:t>
      </w:r>
      <w:r>
        <w:rPr>
          <w:spacing w:val="-4"/>
          <w:w w:val="110"/>
          <w:sz w:val="16"/>
        </w:rPr>
        <w:t> </w:t>
      </w:r>
      <w:r>
        <w:rPr>
          <w:w w:val="110"/>
          <w:sz w:val="16"/>
        </w:rPr>
        <w:t>de</w:t>
      </w:r>
      <w:r>
        <w:rPr>
          <w:spacing w:val="-4"/>
          <w:w w:val="110"/>
          <w:sz w:val="16"/>
        </w:rPr>
        <w:t> </w:t>
      </w:r>
      <w:r>
        <w:rPr>
          <w:w w:val="110"/>
          <w:sz w:val="16"/>
        </w:rPr>
        <w:t>san- gre</w:t>
      </w:r>
      <w:r>
        <w:rPr>
          <w:spacing w:val="-6"/>
          <w:w w:val="110"/>
          <w:sz w:val="16"/>
        </w:rPr>
        <w:t> </w:t>
      </w:r>
      <w:r>
        <w:rPr>
          <w:w w:val="110"/>
          <w:sz w:val="16"/>
        </w:rPr>
        <w:t>humana,</w:t>
      </w:r>
      <w:r>
        <w:rPr>
          <w:spacing w:val="-6"/>
          <w:w w:val="110"/>
          <w:sz w:val="16"/>
        </w:rPr>
        <w:t> </w:t>
      </w:r>
      <w:r>
        <w:rPr>
          <w:w w:val="110"/>
          <w:sz w:val="16"/>
        </w:rPr>
        <w:t>encontrando</w:t>
      </w:r>
      <w:r>
        <w:rPr>
          <w:spacing w:val="-6"/>
          <w:w w:val="110"/>
          <w:sz w:val="16"/>
        </w:rPr>
        <w:t> </w:t>
      </w:r>
      <w:r>
        <w:rPr>
          <w:w w:val="110"/>
          <w:sz w:val="16"/>
        </w:rPr>
        <w:t>niveles</w:t>
      </w:r>
      <w:r>
        <w:rPr>
          <w:spacing w:val="-6"/>
          <w:w w:val="110"/>
          <w:sz w:val="16"/>
        </w:rPr>
        <w:t> </w:t>
      </w:r>
      <w:r>
        <w:rPr>
          <w:w w:val="110"/>
          <w:sz w:val="16"/>
        </w:rPr>
        <w:t>sumamente</w:t>
      </w:r>
      <w:r>
        <w:rPr>
          <w:spacing w:val="-6"/>
          <w:w w:val="110"/>
          <w:sz w:val="16"/>
        </w:rPr>
        <w:t> </w:t>
      </w:r>
      <w:r>
        <w:rPr>
          <w:w w:val="110"/>
          <w:sz w:val="16"/>
        </w:rPr>
        <w:t>peligrosos</w:t>
      </w:r>
      <w:r>
        <w:rPr>
          <w:spacing w:val="-6"/>
          <w:w w:val="110"/>
          <w:sz w:val="16"/>
        </w:rPr>
        <w:t> </w:t>
      </w:r>
      <w:r>
        <w:rPr>
          <w:w w:val="110"/>
          <w:sz w:val="16"/>
        </w:rPr>
        <w:t>de</w:t>
      </w:r>
      <w:r>
        <w:rPr>
          <w:spacing w:val="-6"/>
          <w:w w:val="110"/>
          <w:sz w:val="16"/>
        </w:rPr>
        <w:t> </w:t>
      </w:r>
      <w:r>
        <w:rPr>
          <w:w w:val="110"/>
          <w:sz w:val="16"/>
        </w:rPr>
        <w:t>dioxina</w:t>
      </w:r>
      <w:r>
        <w:rPr>
          <w:spacing w:val="-6"/>
          <w:w w:val="110"/>
          <w:sz w:val="16"/>
        </w:rPr>
        <w:t> </w:t>
      </w:r>
      <w:r>
        <w:rPr>
          <w:w w:val="110"/>
          <w:sz w:val="16"/>
        </w:rPr>
        <w:t>en</w:t>
      </w:r>
      <w:r>
        <w:rPr>
          <w:spacing w:val="-6"/>
          <w:w w:val="110"/>
          <w:sz w:val="16"/>
        </w:rPr>
        <w:t> </w:t>
      </w:r>
      <w:r>
        <w:rPr>
          <w:w w:val="110"/>
          <w:sz w:val="16"/>
        </w:rPr>
        <w:t>la</w:t>
      </w:r>
      <w:r>
        <w:rPr>
          <w:spacing w:val="-6"/>
          <w:w w:val="110"/>
          <w:sz w:val="16"/>
        </w:rPr>
        <w:t> </w:t>
      </w:r>
      <w:r>
        <w:rPr>
          <w:w w:val="110"/>
          <w:sz w:val="16"/>
        </w:rPr>
        <w:t>cadena</w:t>
      </w:r>
      <w:r>
        <w:rPr>
          <w:spacing w:val="-6"/>
          <w:w w:val="110"/>
          <w:sz w:val="16"/>
        </w:rPr>
        <w:t> </w:t>
      </w:r>
      <w:r>
        <w:rPr>
          <w:w w:val="110"/>
          <w:sz w:val="16"/>
        </w:rPr>
        <w:t>ali- </w:t>
      </w:r>
      <w:r>
        <w:rPr>
          <w:w w:val="109"/>
          <w:sz w:val="16"/>
        </w:rPr>
        <w:t>mentaria.</w:t>
      </w:r>
      <w:r>
        <w:rPr>
          <w:spacing w:val="8"/>
          <w:sz w:val="16"/>
        </w:rPr>
        <w:t> </w:t>
      </w:r>
      <w:r>
        <w:rPr>
          <w:w w:val="238"/>
          <w:sz w:val="16"/>
        </w:rPr>
        <w:t>l</w:t>
      </w:r>
      <w:r>
        <w:rPr>
          <w:w w:val="109"/>
          <w:sz w:val="16"/>
        </w:rPr>
        <w:t>a</w:t>
      </w:r>
      <w:r>
        <w:rPr>
          <w:spacing w:val="8"/>
          <w:sz w:val="16"/>
        </w:rPr>
        <w:t> </w:t>
      </w:r>
      <w:r>
        <w:rPr>
          <w:w w:val="109"/>
          <w:sz w:val="16"/>
        </w:rPr>
        <w:t>concentración</w:t>
      </w:r>
      <w:r>
        <w:rPr>
          <w:spacing w:val="8"/>
          <w:sz w:val="16"/>
        </w:rPr>
        <w:t> </w:t>
      </w:r>
      <w:r>
        <w:rPr>
          <w:w w:val="104"/>
          <w:sz w:val="16"/>
        </w:rPr>
        <w:t>de</w:t>
      </w:r>
      <w:r>
        <w:rPr>
          <w:spacing w:val="8"/>
          <w:sz w:val="16"/>
        </w:rPr>
        <w:t> </w:t>
      </w:r>
      <w:r>
        <w:rPr>
          <w:w w:val="109"/>
          <w:sz w:val="16"/>
        </w:rPr>
        <w:t>dioxina</w:t>
      </w:r>
      <w:r>
        <w:rPr>
          <w:spacing w:val="8"/>
          <w:sz w:val="16"/>
        </w:rPr>
        <w:t> </w:t>
      </w:r>
      <w:r>
        <w:rPr>
          <w:w w:val="106"/>
          <w:sz w:val="16"/>
        </w:rPr>
        <w:t>en</w:t>
      </w:r>
      <w:r>
        <w:rPr>
          <w:spacing w:val="8"/>
          <w:sz w:val="16"/>
        </w:rPr>
        <w:t> </w:t>
      </w:r>
      <w:r>
        <w:rPr>
          <w:w w:val="104"/>
          <w:sz w:val="16"/>
        </w:rPr>
        <w:t>el</w:t>
      </w:r>
      <w:r>
        <w:rPr>
          <w:spacing w:val="8"/>
          <w:sz w:val="16"/>
        </w:rPr>
        <w:t> </w:t>
      </w:r>
      <w:r>
        <w:rPr>
          <w:w w:val="106"/>
          <w:sz w:val="16"/>
        </w:rPr>
        <w:t>suelo</w:t>
      </w:r>
      <w:r>
        <w:rPr>
          <w:spacing w:val="8"/>
          <w:sz w:val="16"/>
        </w:rPr>
        <w:t> </w:t>
      </w:r>
      <w:r>
        <w:rPr>
          <w:w w:val="102"/>
          <w:sz w:val="16"/>
        </w:rPr>
        <w:t>es</w:t>
      </w:r>
      <w:r>
        <w:rPr>
          <w:spacing w:val="8"/>
          <w:sz w:val="16"/>
        </w:rPr>
        <w:t> </w:t>
      </w:r>
      <w:r>
        <w:rPr>
          <w:w w:val="100"/>
          <w:sz w:val="16"/>
        </w:rPr>
        <w:t>13</w:t>
      </w:r>
      <w:r>
        <w:rPr>
          <w:spacing w:val="8"/>
          <w:sz w:val="16"/>
        </w:rPr>
        <w:t> </w:t>
      </w:r>
      <w:r>
        <w:rPr>
          <w:w w:val="103"/>
          <w:sz w:val="16"/>
        </w:rPr>
        <w:t>veces</w:t>
      </w:r>
      <w:r>
        <w:rPr>
          <w:spacing w:val="8"/>
          <w:sz w:val="16"/>
        </w:rPr>
        <w:t> </w:t>
      </w:r>
      <w:r>
        <w:rPr>
          <w:w w:val="108"/>
          <w:sz w:val="16"/>
        </w:rPr>
        <w:t>más</w:t>
      </w:r>
      <w:r>
        <w:rPr>
          <w:spacing w:val="8"/>
          <w:sz w:val="16"/>
        </w:rPr>
        <w:t> </w:t>
      </w:r>
      <w:r>
        <w:rPr>
          <w:w w:val="108"/>
          <w:sz w:val="16"/>
        </w:rPr>
        <w:t>alta</w:t>
      </w:r>
      <w:r>
        <w:rPr>
          <w:spacing w:val="8"/>
          <w:sz w:val="16"/>
        </w:rPr>
        <w:t> </w:t>
      </w:r>
      <w:r>
        <w:rPr>
          <w:w w:val="104"/>
          <w:sz w:val="16"/>
        </w:rPr>
        <w:t>de</w:t>
      </w:r>
      <w:r>
        <w:rPr>
          <w:spacing w:val="8"/>
          <w:sz w:val="16"/>
        </w:rPr>
        <w:t> </w:t>
      </w:r>
      <w:r>
        <w:rPr>
          <w:w w:val="108"/>
          <w:sz w:val="16"/>
        </w:rPr>
        <w:t>lo</w:t>
      </w:r>
      <w:r>
        <w:rPr>
          <w:spacing w:val="8"/>
          <w:sz w:val="16"/>
        </w:rPr>
        <w:t> </w:t>
      </w:r>
      <w:r>
        <w:rPr>
          <w:w w:val="110"/>
          <w:sz w:val="16"/>
        </w:rPr>
        <w:t>normal, </w:t>
      </w:r>
      <w:r>
        <w:rPr>
          <w:w w:val="110"/>
          <w:sz w:val="16"/>
        </w:rPr>
        <w:t>y 20 veces en el tejido graso humano. otro estudio llevado a cabo por japoneses</w:t>
      </w:r>
      <w:r>
        <w:rPr>
          <w:spacing w:val="-17"/>
          <w:w w:val="110"/>
          <w:sz w:val="16"/>
        </w:rPr>
        <w:t> </w:t>
      </w:r>
      <w:r>
        <w:rPr>
          <w:w w:val="110"/>
          <w:sz w:val="16"/>
        </w:rPr>
        <w:t>que compara</w:t>
      </w:r>
      <w:r>
        <w:rPr>
          <w:spacing w:val="-4"/>
          <w:w w:val="110"/>
          <w:sz w:val="16"/>
        </w:rPr>
        <w:t> </w:t>
      </w:r>
      <w:r>
        <w:rPr>
          <w:w w:val="110"/>
          <w:sz w:val="16"/>
        </w:rPr>
        <w:t>las</w:t>
      </w:r>
      <w:r>
        <w:rPr>
          <w:spacing w:val="-4"/>
          <w:w w:val="110"/>
          <w:sz w:val="16"/>
        </w:rPr>
        <w:t> </w:t>
      </w:r>
      <w:r>
        <w:rPr>
          <w:w w:val="110"/>
          <w:sz w:val="16"/>
        </w:rPr>
        <w:t>áreas</w:t>
      </w:r>
      <w:r>
        <w:rPr>
          <w:spacing w:val="-4"/>
          <w:w w:val="110"/>
          <w:sz w:val="16"/>
        </w:rPr>
        <w:t> </w:t>
      </w:r>
      <w:r>
        <w:rPr>
          <w:w w:val="110"/>
          <w:sz w:val="16"/>
        </w:rPr>
        <w:t>afectadas</w:t>
      </w:r>
      <w:r>
        <w:rPr>
          <w:spacing w:val="-4"/>
          <w:w w:val="110"/>
          <w:sz w:val="16"/>
        </w:rPr>
        <w:t> </w:t>
      </w:r>
      <w:r>
        <w:rPr>
          <w:w w:val="110"/>
          <w:sz w:val="16"/>
        </w:rPr>
        <w:t>por</w:t>
      </w:r>
      <w:r>
        <w:rPr>
          <w:spacing w:val="-4"/>
          <w:w w:val="110"/>
          <w:sz w:val="16"/>
        </w:rPr>
        <w:t> </w:t>
      </w:r>
      <w:r>
        <w:rPr>
          <w:w w:val="110"/>
          <w:sz w:val="16"/>
        </w:rPr>
        <w:t>el</w:t>
      </w:r>
      <w:r>
        <w:rPr>
          <w:spacing w:val="-4"/>
          <w:w w:val="110"/>
          <w:sz w:val="16"/>
        </w:rPr>
        <w:t> </w:t>
      </w:r>
      <w:r>
        <w:rPr>
          <w:w w:val="110"/>
          <w:sz w:val="16"/>
        </w:rPr>
        <w:t>agente</w:t>
      </w:r>
      <w:r>
        <w:rPr>
          <w:spacing w:val="-4"/>
          <w:w w:val="110"/>
          <w:sz w:val="16"/>
        </w:rPr>
        <w:t> </w:t>
      </w:r>
      <w:r>
        <w:rPr>
          <w:w w:val="110"/>
          <w:sz w:val="16"/>
        </w:rPr>
        <w:t>naranja</w:t>
      </w:r>
      <w:r>
        <w:rPr>
          <w:spacing w:val="-4"/>
          <w:w w:val="110"/>
          <w:sz w:val="16"/>
        </w:rPr>
        <w:t> </w:t>
      </w:r>
      <w:r>
        <w:rPr>
          <w:w w:val="110"/>
          <w:sz w:val="16"/>
        </w:rPr>
        <w:t>y</w:t>
      </w:r>
      <w:r>
        <w:rPr>
          <w:spacing w:val="-4"/>
          <w:w w:val="110"/>
          <w:sz w:val="16"/>
        </w:rPr>
        <w:t> </w:t>
      </w:r>
      <w:r>
        <w:rPr>
          <w:w w:val="110"/>
          <w:sz w:val="16"/>
        </w:rPr>
        <w:t>las</w:t>
      </w:r>
      <w:r>
        <w:rPr>
          <w:spacing w:val="-4"/>
          <w:w w:val="110"/>
          <w:sz w:val="16"/>
        </w:rPr>
        <w:t> </w:t>
      </w:r>
      <w:r>
        <w:rPr>
          <w:w w:val="110"/>
          <w:sz w:val="16"/>
        </w:rPr>
        <w:t>que</w:t>
      </w:r>
      <w:r>
        <w:rPr>
          <w:spacing w:val="-4"/>
          <w:w w:val="110"/>
          <w:sz w:val="16"/>
        </w:rPr>
        <w:t> </w:t>
      </w:r>
      <w:r>
        <w:rPr>
          <w:w w:val="110"/>
          <w:sz w:val="16"/>
        </w:rPr>
        <w:t>no</w:t>
      </w:r>
      <w:r>
        <w:rPr>
          <w:spacing w:val="-4"/>
          <w:w w:val="110"/>
          <w:sz w:val="16"/>
        </w:rPr>
        <w:t> </w:t>
      </w:r>
      <w:r>
        <w:rPr>
          <w:w w:val="110"/>
          <w:sz w:val="16"/>
        </w:rPr>
        <w:t>lo</w:t>
      </w:r>
      <w:r>
        <w:rPr>
          <w:spacing w:val="-4"/>
          <w:w w:val="110"/>
          <w:sz w:val="16"/>
        </w:rPr>
        <w:t> </w:t>
      </w:r>
      <w:r>
        <w:rPr>
          <w:w w:val="110"/>
          <w:sz w:val="16"/>
        </w:rPr>
        <w:t>son,</w:t>
      </w:r>
      <w:r>
        <w:rPr>
          <w:spacing w:val="-4"/>
          <w:w w:val="110"/>
          <w:sz w:val="16"/>
        </w:rPr>
        <w:t> </w:t>
      </w:r>
      <w:r>
        <w:rPr>
          <w:w w:val="110"/>
          <w:sz w:val="16"/>
        </w:rPr>
        <w:t>afirma</w:t>
      </w:r>
      <w:r>
        <w:rPr>
          <w:spacing w:val="-4"/>
          <w:w w:val="110"/>
          <w:sz w:val="16"/>
        </w:rPr>
        <w:t> </w:t>
      </w:r>
      <w:r>
        <w:rPr>
          <w:w w:val="110"/>
          <w:sz w:val="16"/>
        </w:rPr>
        <w:t>que</w:t>
      </w:r>
      <w:r>
        <w:rPr>
          <w:spacing w:val="-4"/>
          <w:w w:val="110"/>
          <w:sz w:val="16"/>
        </w:rPr>
        <w:t> </w:t>
      </w:r>
      <w:r>
        <w:rPr>
          <w:w w:val="110"/>
          <w:sz w:val="16"/>
        </w:rPr>
        <w:t>los niños</w:t>
      </w:r>
      <w:r>
        <w:rPr>
          <w:spacing w:val="-15"/>
          <w:w w:val="110"/>
          <w:sz w:val="16"/>
        </w:rPr>
        <w:t> </w:t>
      </w:r>
      <w:r>
        <w:rPr>
          <w:w w:val="110"/>
          <w:sz w:val="16"/>
        </w:rPr>
        <w:t>de</w:t>
      </w:r>
      <w:r>
        <w:rPr>
          <w:spacing w:val="-15"/>
          <w:w w:val="110"/>
          <w:sz w:val="16"/>
        </w:rPr>
        <w:t> </w:t>
      </w:r>
      <w:r>
        <w:rPr>
          <w:w w:val="110"/>
          <w:sz w:val="16"/>
        </w:rPr>
        <w:t>los</w:t>
      </w:r>
      <w:r>
        <w:rPr>
          <w:spacing w:val="-15"/>
          <w:w w:val="110"/>
          <w:sz w:val="16"/>
        </w:rPr>
        <w:t> </w:t>
      </w:r>
      <w:r>
        <w:rPr>
          <w:w w:val="110"/>
          <w:sz w:val="16"/>
        </w:rPr>
        <w:t>espacios</w:t>
      </w:r>
      <w:r>
        <w:rPr>
          <w:spacing w:val="-15"/>
          <w:w w:val="110"/>
          <w:sz w:val="16"/>
        </w:rPr>
        <w:t> </w:t>
      </w:r>
      <w:r>
        <w:rPr>
          <w:w w:val="110"/>
          <w:sz w:val="16"/>
        </w:rPr>
        <w:t>afectados</w:t>
      </w:r>
      <w:r>
        <w:rPr>
          <w:spacing w:val="-15"/>
          <w:w w:val="110"/>
          <w:sz w:val="16"/>
        </w:rPr>
        <w:t> </w:t>
      </w:r>
      <w:r>
        <w:rPr>
          <w:w w:val="110"/>
          <w:sz w:val="16"/>
        </w:rPr>
        <w:t>tienen</w:t>
      </w:r>
      <w:r>
        <w:rPr>
          <w:spacing w:val="-15"/>
          <w:w w:val="110"/>
          <w:sz w:val="16"/>
        </w:rPr>
        <w:t> </w:t>
      </w:r>
      <w:r>
        <w:rPr>
          <w:w w:val="110"/>
          <w:sz w:val="16"/>
        </w:rPr>
        <w:t>la</w:t>
      </w:r>
      <w:r>
        <w:rPr>
          <w:spacing w:val="-15"/>
          <w:w w:val="110"/>
          <w:sz w:val="16"/>
        </w:rPr>
        <w:t> </w:t>
      </w:r>
      <w:r>
        <w:rPr>
          <w:w w:val="110"/>
          <w:sz w:val="16"/>
        </w:rPr>
        <w:t>tendencia</w:t>
      </w:r>
      <w:r>
        <w:rPr>
          <w:spacing w:val="-15"/>
          <w:w w:val="110"/>
          <w:sz w:val="16"/>
        </w:rPr>
        <w:t> </w:t>
      </w:r>
      <w:r>
        <w:rPr>
          <w:w w:val="110"/>
          <w:sz w:val="16"/>
        </w:rPr>
        <w:t>(tres</w:t>
      </w:r>
      <w:r>
        <w:rPr>
          <w:spacing w:val="-15"/>
          <w:w w:val="110"/>
          <w:sz w:val="16"/>
        </w:rPr>
        <w:t> </w:t>
      </w:r>
      <w:r>
        <w:rPr>
          <w:w w:val="110"/>
          <w:sz w:val="16"/>
        </w:rPr>
        <w:t>veces</w:t>
      </w:r>
      <w:r>
        <w:rPr>
          <w:spacing w:val="-15"/>
          <w:w w:val="110"/>
          <w:sz w:val="16"/>
        </w:rPr>
        <w:t> </w:t>
      </w:r>
      <w:r>
        <w:rPr>
          <w:w w:val="110"/>
          <w:sz w:val="16"/>
        </w:rPr>
        <w:t>más)</w:t>
      </w:r>
      <w:r>
        <w:rPr>
          <w:spacing w:val="-15"/>
          <w:w w:val="110"/>
          <w:sz w:val="16"/>
        </w:rPr>
        <w:t> </w:t>
      </w:r>
      <w:r>
        <w:rPr>
          <w:w w:val="110"/>
          <w:sz w:val="16"/>
        </w:rPr>
        <w:t>a</w:t>
      </w:r>
      <w:r>
        <w:rPr>
          <w:spacing w:val="-15"/>
          <w:w w:val="110"/>
          <w:sz w:val="16"/>
        </w:rPr>
        <w:t> </w:t>
      </w:r>
      <w:r>
        <w:rPr>
          <w:w w:val="110"/>
          <w:sz w:val="16"/>
        </w:rPr>
        <w:t>nacer</w:t>
      </w:r>
      <w:r>
        <w:rPr>
          <w:spacing w:val="-15"/>
          <w:w w:val="110"/>
          <w:sz w:val="16"/>
        </w:rPr>
        <w:t> </w:t>
      </w:r>
      <w:r>
        <w:rPr>
          <w:w w:val="110"/>
          <w:sz w:val="16"/>
        </w:rPr>
        <w:t>con</w:t>
      </w:r>
      <w:r>
        <w:rPr>
          <w:spacing w:val="-15"/>
          <w:w w:val="110"/>
          <w:sz w:val="16"/>
        </w:rPr>
        <w:t> </w:t>
      </w:r>
      <w:r>
        <w:rPr>
          <w:w w:val="110"/>
          <w:sz w:val="16"/>
        </w:rPr>
        <w:t>dedos de</w:t>
      </w:r>
      <w:r>
        <w:rPr>
          <w:spacing w:val="-6"/>
          <w:w w:val="110"/>
          <w:sz w:val="16"/>
        </w:rPr>
        <w:t> </w:t>
      </w:r>
      <w:r>
        <w:rPr>
          <w:w w:val="110"/>
          <w:sz w:val="16"/>
        </w:rPr>
        <w:t>más</w:t>
      </w:r>
      <w:r>
        <w:rPr>
          <w:spacing w:val="-6"/>
          <w:w w:val="110"/>
          <w:sz w:val="16"/>
        </w:rPr>
        <w:t> </w:t>
      </w:r>
      <w:r>
        <w:rPr>
          <w:w w:val="110"/>
          <w:sz w:val="16"/>
        </w:rPr>
        <w:t>o</w:t>
      </w:r>
      <w:r>
        <w:rPr>
          <w:spacing w:val="-6"/>
          <w:w w:val="110"/>
          <w:sz w:val="16"/>
        </w:rPr>
        <w:t> </w:t>
      </w:r>
      <w:r>
        <w:rPr>
          <w:w w:val="110"/>
          <w:sz w:val="16"/>
        </w:rPr>
        <w:t>con</w:t>
      </w:r>
      <w:r>
        <w:rPr>
          <w:spacing w:val="-6"/>
          <w:w w:val="110"/>
          <w:sz w:val="16"/>
        </w:rPr>
        <w:t> </w:t>
      </w:r>
      <w:r>
        <w:rPr>
          <w:w w:val="110"/>
          <w:sz w:val="16"/>
        </w:rPr>
        <w:t>el</w:t>
      </w:r>
      <w:r>
        <w:rPr>
          <w:spacing w:val="-6"/>
          <w:w w:val="110"/>
          <w:sz w:val="16"/>
        </w:rPr>
        <w:t> </w:t>
      </w:r>
      <w:r>
        <w:rPr>
          <w:w w:val="110"/>
          <w:sz w:val="16"/>
        </w:rPr>
        <w:t>paladar</w:t>
      </w:r>
      <w:r>
        <w:rPr>
          <w:spacing w:val="-6"/>
          <w:w w:val="110"/>
          <w:sz w:val="16"/>
        </w:rPr>
        <w:t> </w:t>
      </w:r>
      <w:r>
        <w:rPr>
          <w:w w:val="110"/>
          <w:sz w:val="16"/>
        </w:rPr>
        <w:t>deforme;</w:t>
      </w:r>
      <w:r>
        <w:rPr>
          <w:spacing w:val="-6"/>
          <w:w w:val="110"/>
          <w:sz w:val="16"/>
        </w:rPr>
        <w:t> </w:t>
      </w:r>
      <w:r>
        <w:rPr>
          <w:w w:val="110"/>
          <w:sz w:val="16"/>
        </w:rPr>
        <w:t>sufren</w:t>
      </w:r>
      <w:r>
        <w:rPr>
          <w:spacing w:val="-6"/>
          <w:w w:val="110"/>
          <w:sz w:val="16"/>
        </w:rPr>
        <w:t> </w:t>
      </w:r>
      <w:r>
        <w:rPr>
          <w:w w:val="110"/>
          <w:sz w:val="16"/>
        </w:rPr>
        <w:t>ocho</w:t>
      </w:r>
      <w:r>
        <w:rPr>
          <w:spacing w:val="-6"/>
          <w:w w:val="110"/>
          <w:sz w:val="16"/>
        </w:rPr>
        <w:t> </w:t>
      </w:r>
      <w:r>
        <w:rPr>
          <w:w w:val="110"/>
          <w:sz w:val="16"/>
        </w:rPr>
        <w:t>veces</w:t>
      </w:r>
      <w:r>
        <w:rPr>
          <w:spacing w:val="-6"/>
          <w:w w:val="110"/>
          <w:sz w:val="16"/>
        </w:rPr>
        <w:t> </w:t>
      </w:r>
      <w:r>
        <w:rPr>
          <w:w w:val="110"/>
          <w:sz w:val="16"/>
        </w:rPr>
        <w:t>más</w:t>
      </w:r>
      <w:r>
        <w:rPr>
          <w:spacing w:val="-6"/>
          <w:w w:val="110"/>
          <w:sz w:val="16"/>
        </w:rPr>
        <w:t> </w:t>
      </w:r>
      <w:r>
        <w:rPr>
          <w:w w:val="110"/>
          <w:sz w:val="16"/>
        </w:rPr>
        <w:t>de</w:t>
      </w:r>
      <w:r>
        <w:rPr>
          <w:spacing w:val="-6"/>
          <w:w w:val="110"/>
          <w:sz w:val="16"/>
        </w:rPr>
        <w:t> </w:t>
      </w:r>
      <w:r>
        <w:rPr>
          <w:w w:val="110"/>
          <w:sz w:val="16"/>
        </w:rPr>
        <w:t>hernias,</w:t>
      </w:r>
      <w:r>
        <w:rPr>
          <w:spacing w:val="-6"/>
          <w:w w:val="110"/>
          <w:sz w:val="16"/>
        </w:rPr>
        <w:t> </w:t>
      </w:r>
      <w:r>
        <w:rPr>
          <w:w w:val="110"/>
          <w:sz w:val="16"/>
        </w:rPr>
        <w:t>y</w:t>
      </w:r>
      <w:r>
        <w:rPr>
          <w:spacing w:val="-6"/>
          <w:w w:val="110"/>
          <w:sz w:val="16"/>
        </w:rPr>
        <w:t> </w:t>
      </w:r>
      <w:r>
        <w:rPr>
          <w:w w:val="110"/>
          <w:sz w:val="16"/>
        </w:rPr>
        <w:t>son</w:t>
      </w:r>
      <w:r>
        <w:rPr>
          <w:spacing w:val="-6"/>
          <w:w w:val="110"/>
          <w:sz w:val="16"/>
        </w:rPr>
        <w:t> </w:t>
      </w:r>
      <w:r>
        <w:rPr>
          <w:w w:val="110"/>
          <w:sz w:val="16"/>
        </w:rPr>
        <w:t>propensos a nacer con discapacidades mentales. de hecho, la asociación de Víctimas de agente Naranja de Vietnam afirma que la utilización de este químico debe ser catalogada como “crimen de guerra” (bbC News,</w:t>
      </w:r>
      <w:r>
        <w:rPr>
          <w:spacing w:val="12"/>
          <w:w w:val="110"/>
          <w:sz w:val="16"/>
        </w:rPr>
        <w:t> </w:t>
      </w:r>
      <w:r>
        <w:rPr>
          <w:w w:val="110"/>
          <w:sz w:val="16"/>
        </w:rPr>
        <w:t>2005).</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en Vietnam”. ante esta manera de presentar la situación, el lector</w:t>
      </w:r>
      <w:r>
        <w:rPr>
          <w:spacing w:val="-23"/>
          <w:w w:val="110"/>
        </w:rPr>
        <w:t> </w:t>
      </w:r>
      <w:r>
        <w:rPr>
          <w:w w:val="110"/>
        </w:rPr>
        <w:t>debe suponer que lo anterior no era intervención </w:t>
      </w:r>
      <w:r>
        <w:rPr>
          <w:spacing w:val="-3"/>
          <w:w w:val="110"/>
        </w:rPr>
        <w:t>militar, </w:t>
      </w:r>
      <w:r>
        <w:rPr>
          <w:w w:val="110"/>
        </w:rPr>
        <w:t>y entonces se nie- ga la soberanía del pueblo vietnamita, suponiendo que lo anterior no atentaba contra los atributos de Estado de </w:t>
      </w:r>
      <w:r>
        <w:rPr>
          <w:spacing w:val="24"/>
          <w:w w:val="110"/>
        </w:rPr>
        <w:t> </w:t>
      </w:r>
      <w:r>
        <w:rPr>
          <w:w w:val="110"/>
        </w:rPr>
        <w:t>Vietnam.</w:t>
      </w:r>
    </w:p>
    <w:p>
      <w:pPr>
        <w:pStyle w:val="BodyText"/>
        <w:spacing w:line="252" w:lineRule="auto"/>
        <w:ind w:left="330" w:right="117" w:firstLine="396"/>
        <w:jc w:val="right"/>
      </w:pPr>
      <w:r>
        <w:rPr>
          <w:w w:val="110"/>
        </w:rPr>
        <w:t>una</w:t>
      </w:r>
      <w:r>
        <w:rPr>
          <w:spacing w:val="26"/>
          <w:w w:val="110"/>
        </w:rPr>
        <w:t> </w:t>
      </w:r>
      <w:r>
        <w:rPr>
          <w:w w:val="110"/>
        </w:rPr>
        <w:t>última</w:t>
      </w:r>
      <w:r>
        <w:rPr>
          <w:spacing w:val="26"/>
          <w:w w:val="110"/>
        </w:rPr>
        <w:t> </w:t>
      </w:r>
      <w:r>
        <w:rPr>
          <w:w w:val="110"/>
        </w:rPr>
        <w:t>característica</w:t>
      </w:r>
      <w:r>
        <w:rPr>
          <w:spacing w:val="26"/>
          <w:w w:val="110"/>
        </w:rPr>
        <w:t> </w:t>
      </w:r>
      <w:r>
        <w:rPr>
          <w:w w:val="110"/>
        </w:rPr>
        <w:t>que</w:t>
      </w:r>
      <w:r>
        <w:rPr>
          <w:spacing w:val="26"/>
          <w:w w:val="110"/>
        </w:rPr>
        <w:t> </w:t>
      </w:r>
      <w:r>
        <w:rPr>
          <w:w w:val="110"/>
        </w:rPr>
        <w:t>llama</w:t>
      </w:r>
      <w:r>
        <w:rPr>
          <w:spacing w:val="26"/>
          <w:w w:val="110"/>
        </w:rPr>
        <w:t> </w:t>
      </w:r>
      <w:r>
        <w:rPr>
          <w:w w:val="110"/>
        </w:rPr>
        <w:t>la</w:t>
      </w:r>
      <w:r>
        <w:rPr>
          <w:spacing w:val="26"/>
          <w:w w:val="110"/>
        </w:rPr>
        <w:t> </w:t>
      </w:r>
      <w:r>
        <w:rPr>
          <w:w w:val="110"/>
        </w:rPr>
        <w:t>atención</w:t>
      </w:r>
      <w:r>
        <w:rPr>
          <w:spacing w:val="26"/>
          <w:w w:val="110"/>
        </w:rPr>
        <w:t> </w:t>
      </w:r>
      <w:r>
        <w:rPr>
          <w:w w:val="110"/>
        </w:rPr>
        <w:t>de</w:t>
      </w:r>
      <w:r>
        <w:rPr>
          <w:spacing w:val="26"/>
          <w:w w:val="110"/>
        </w:rPr>
        <w:t> </w:t>
      </w:r>
      <w:r>
        <w:rPr>
          <w:w w:val="110"/>
        </w:rPr>
        <w:t>esta</w:t>
      </w:r>
      <w:r>
        <w:rPr>
          <w:spacing w:val="26"/>
          <w:w w:val="110"/>
        </w:rPr>
        <w:t> </w:t>
      </w:r>
      <w:r>
        <w:rPr>
          <w:w w:val="110"/>
        </w:rPr>
        <w:t>línea</w:t>
      </w:r>
      <w:r>
        <w:rPr>
          <w:spacing w:val="26"/>
          <w:w w:val="110"/>
        </w:rPr>
        <w:t> </w:t>
      </w:r>
      <w:r>
        <w:rPr>
          <w:w w:val="110"/>
        </w:rPr>
        <w:t>de</w:t>
      </w:r>
      <w:r>
        <w:rPr>
          <w:w w:val="107"/>
        </w:rPr>
        <w:t> </w:t>
      </w:r>
      <w:r>
        <w:rPr>
          <w:w w:val="110"/>
        </w:rPr>
        <w:t>tiempo</w:t>
      </w:r>
      <w:r>
        <w:rPr>
          <w:spacing w:val="30"/>
          <w:w w:val="110"/>
        </w:rPr>
        <w:t> </w:t>
      </w:r>
      <w:r>
        <w:rPr>
          <w:w w:val="110"/>
        </w:rPr>
        <w:t>es</w:t>
      </w:r>
      <w:r>
        <w:rPr>
          <w:spacing w:val="30"/>
          <w:w w:val="110"/>
        </w:rPr>
        <w:t> </w:t>
      </w:r>
      <w:r>
        <w:rPr>
          <w:w w:val="110"/>
        </w:rPr>
        <w:t>que</w:t>
      </w:r>
      <w:r>
        <w:rPr>
          <w:spacing w:val="30"/>
          <w:w w:val="110"/>
        </w:rPr>
        <w:t> </w:t>
      </w:r>
      <w:r>
        <w:rPr>
          <w:w w:val="110"/>
        </w:rPr>
        <w:t>a</w:t>
      </w:r>
      <w:r>
        <w:rPr>
          <w:spacing w:val="30"/>
          <w:w w:val="110"/>
        </w:rPr>
        <w:t> </w:t>
      </w:r>
      <w:r>
        <w:rPr>
          <w:w w:val="110"/>
        </w:rPr>
        <w:t>partir</w:t>
      </w:r>
      <w:r>
        <w:rPr>
          <w:spacing w:val="30"/>
          <w:w w:val="110"/>
        </w:rPr>
        <w:t> </w:t>
      </w:r>
      <w:r>
        <w:rPr>
          <w:w w:val="110"/>
        </w:rPr>
        <w:t>de</w:t>
      </w:r>
      <w:r>
        <w:rPr>
          <w:spacing w:val="30"/>
          <w:w w:val="110"/>
        </w:rPr>
        <w:t> </w:t>
      </w:r>
      <w:r>
        <w:rPr>
          <w:w w:val="110"/>
        </w:rPr>
        <w:t>1965,</w:t>
      </w:r>
      <w:r>
        <w:rPr>
          <w:spacing w:val="30"/>
          <w:w w:val="110"/>
        </w:rPr>
        <w:t> </w:t>
      </w:r>
      <w:r>
        <w:rPr>
          <w:w w:val="110"/>
        </w:rPr>
        <w:t>más</w:t>
      </w:r>
      <w:r>
        <w:rPr>
          <w:spacing w:val="30"/>
          <w:w w:val="110"/>
        </w:rPr>
        <w:t> </w:t>
      </w:r>
      <w:r>
        <w:rPr>
          <w:w w:val="110"/>
        </w:rPr>
        <w:t>que</w:t>
      </w:r>
      <w:r>
        <w:rPr>
          <w:spacing w:val="30"/>
          <w:w w:val="110"/>
        </w:rPr>
        <w:t> </w:t>
      </w:r>
      <w:r>
        <w:rPr>
          <w:w w:val="110"/>
        </w:rPr>
        <w:t>una</w:t>
      </w:r>
      <w:r>
        <w:rPr>
          <w:spacing w:val="30"/>
          <w:w w:val="110"/>
        </w:rPr>
        <w:t> </w:t>
      </w:r>
      <w:r>
        <w:rPr>
          <w:w w:val="110"/>
        </w:rPr>
        <w:t>cronología</w:t>
      </w:r>
      <w:r>
        <w:rPr>
          <w:spacing w:val="30"/>
          <w:w w:val="110"/>
        </w:rPr>
        <w:t> </w:t>
      </w:r>
      <w:r>
        <w:rPr>
          <w:w w:val="110"/>
        </w:rPr>
        <w:t>sobre</w:t>
      </w:r>
      <w:r>
        <w:rPr>
          <w:spacing w:val="30"/>
          <w:w w:val="110"/>
        </w:rPr>
        <w:t> </w:t>
      </w:r>
      <w:r>
        <w:rPr>
          <w:w w:val="110"/>
        </w:rPr>
        <w:t>una</w:t>
      </w:r>
      <w:r>
        <w:rPr>
          <w:w w:val="112"/>
        </w:rPr>
        <w:t> </w:t>
      </w:r>
      <w:r>
        <w:rPr>
          <w:w w:val="110"/>
        </w:rPr>
        <w:t>intervención trágica, se trata de un recuento de </w:t>
      </w:r>
      <w:r>
        <w:rPr>
          <w:i/>
          <w:w w:val="110"/>
        </w:rPr>
        <w:t>celebrities</w:t>
      </w:r>
      <w:r>
        <w:rPr>
          <w:w w:val="110"/>
        </w:rPr>
        <w:t>, pues</w:t>
      </w:r>
      <w:r>
        <w:rPr>
          <w:spacing w:val="-13"/>
          <w:w w:val="110"/>
        </w:rPr>
        <w:t> </w:t>
      </w:r>
      <w:r>
        <w:rPr>
          <w:w w:val="110"/>
        </w:rPr>
        <w:t>lo</w:t>
      </w:r>
      <w:r>
        <w:rPr>
          <w:spacing w:val="-2"/>
          <w:w w:val="110"/>
        </w:rPr>
        <w:t> </w:t>
      </w:r>
      <w:r>
        <w:rPr>
          <w:w w:val="110"/>
        </w:rPr>
        <w:t>que</w:t>
      </w:r>
      <w:r>
        <w:rPr>
          <w:w w:val="108"/>
        </w:rPr>
        <w:t> </w:t>
      </w:r>
      <w:r>
        <w:rPr>
          <w:w w:val="105"/>
        </w:rPr>
        <w:t>se</w:t>
      </w:r>
      <w:r>
        <w:rPr>
          <w:spacing w:val="4"/>
        </w:rPr>
        <w:t> </w:t>
      </w:r>
      <w:r>
        <w:rPr>
          <w:w w:val="109"/>
        </w:rPr>
        <w:t>destaca</w:t>
      </w:r>
      <w:r>
        <w:rPr>
          <w:spacing w:val="4"/>
        </w:rPr>
        <w:t> </w:t>
      </w:r>
      <w:r>
        <w:rPr>
          <w:w w:val="109"/>
        </w:rPr>
        <w:t>son</w:t>
      </w:r>
      <w:r>
        <w:rPr>
          <w:spacing w:val="4"/>
        </w:rPr>
        <w:t> </w:t>
      </w:r>
      <w:r>
        <w:rPr>
          <w:w w:val="109"/>
        </w:rPr>
        <w:t>las</w:t>
      </w:r>
      <w:r>
        <w:rPr>
          <w:spacing w:val="4"/>
        </w:rPr>
        <w:t> </w:t>
      </w:r>
      <w:r>
        <w:rPr>
          <w:w w:val="107"/>
        </w:rPr>
        <w:t>entregas</w:t>
      </w:r>
      <w:r>
        <w:rPr>
          <w:spacing w:val="4"/>
        </w:rPr>
        <w:t> </w:t>
      </w:r>
      <w:r>
        <w:rPr>
          <w:w w:val="107"/>
        </w:rPr>
        <w:t>de</w:t>
      </w:r>
      <w:r>
        <w:rPr>
          <w:spacing w:val="4"/>
        </w:rPr>
        <w:t> </w:t>
      </w:r>
      <w:r>
        <w:rPr>
          <w:w w:val="110"/>
        </w:rPr>
        <w:t>“medallas</w:t>
      </w:r>
      <w:r>
        <w:rPr>
          <w:spacing w:val="4"/>
        </w:rPr>
        <w:t> </w:t>
      </w:r>
      <w:r>
        <w:rPr>
          <w:w w:val="107"/>
        </w:rPr>
        <w:t>de</w:t>
      </w:r>
      <w:r>
        <w:rPr>
          <w:spacing w:val="4"/>
        </w:rPr>
        <w:t> </w:t>
      </w:r>
      <w:r>
        <w:rPr>
          <w:w w:val="112"/>
        </w:rPr>
        <w:t>honor”.</w:t>
      </w:r>
      <w:r>
        <w:rPr>
          <w:spacing w:val="4"/>
        </w:rPr>
        <w:t> </w:t>
      </w:r>
      <w:r>
        <w:rPr>
          <w:w w:val="243"/>
        </w:rPr>
        <w:t>l</w:t>
      </w:r>
      <w:r>
        <w:rPr>
          <w:w w:val="112"/>
        </w:rPr>
        <w:t>a</w:t>
      </w:r>
      <w:r>
        <w:rPr>
          <w:spacing w:val="4"/>
        </w:rPr>
        <w:t> </w:t>
      </w:r>
      <w:r>
        <w:rPr>
          <w:w w:val="110"/>
        </w:rPr>
        <w:t>línea</w:t>
      </w:r>
      <w:r>
        <w:rPr>
          <w:spacing w:val="4"/>
        </w:rPr>
        <w:t> </w:t>
      </w:r>
      <w:r>
        <w:rPr>
          <w:w w:val="107"/>
        </w:rPr>
        <w:t>de</w:t>
      </w:r>
      <w:r>
        <w:rPr>
          <w:spacing w:val="4"/>
        </w:rPr>
        <w:t> </w:t>
      </w:r>
      <w:r>
        <w:rPr>
          <w:w w:val="110"/>
        </w:rPr>
        <w:t>tiempo </w:t>
      </w:r>
      <w:r>
        <w:rPr>
          <w:w w:val="110"/>
        </w:rPr>
        <w:t>está</w:t>
      </w:r>
      <w:r>
        <w:rPr>
          <w:spacing w:val="23"/>
          <w:w w:val="110"/>
        </w:rPr>
        <w:t> </w:t>
      </w:r>
      <w:r>
        <w:rPr>
          <w:w w:val="110"/>
        </w:rPr>
        <w:t>organizada</w:t>
      </w:r>
      <w:r>
        <w:rPr>
          <w:spacing w:val="23"/>
          <w:w w:val="110"/>
        </w:rPr>
        <w:t> </w:t>
      </w:r>
      <w:r>
        <w:rPr>
          <w:w w:val="110"/>
        </w:rPr>
        <w:t>de</w:t>
      </w:r>
      <w:r>
        <w:rPr>
          <w:spacing w:val="23"/>
          <w:w w:val="110"/>
        </w:rPr>
        <w:t> </w:t>
      </w:r>
      <w:r>
        <w:rPr>
          <w:w w:val="110"/>
        </w:rPr>
        <w:t>modo</w:t>
      </w:r>
      <w:r>
        <w:rPr>
          <w:spacing w:val="23"/>
          <w:w w:val="110"/>
        </w:rPr>
        <w:t> </w:t>
      </w:r>
      <w:r>
        <w:rPr>
          <w:w w:val="110"/>
        </w:rPr>
        <w:t>que</w:t>
      </w:r>
      <w:r>
        <w:rPr>
          <w:spacing w:val="23"/>
          <w:w w:val="110"/>
        </w:rPr>
        <w:t> </w:t>
      </w:r>
      <w:r>
        <w:rPr>
          <w:w w:val="110"/>
        </w:rPr>
        <w:t>se</w:t>
      </w:r>
      <w:r>
        <w:rPr>
          <w:spacing w:val="23"/>
          <w:w w:val="110"/>
        </w:rPr>
        <w:t> </w:t>
      </w:r>
      <w:r>
        <w:rPr>
          <w:w w:val="110"/>
        </w:rPr>
        <w:t>presentan</w:t>
      </w:r>
      <w:r>
        <w:rPr>
          <w:spacing w:val="23"/>
          <w:w w:val="110"/>
        </w:rPr>
        <w:t> </w:t>
      </w:r>
      <w:r>
        <w:rPr>
          <w:w w:val="110"/>
        </w:rPr>
        <w:t>12</w:t>
      </w:r>
      <w:r>
        <w:rPr>
          <w:spacing w:val="23"/>
          <w:w w:val="110"/>
        </w:rPr>
        <w:t> </w:t>
      </w:r>
      <w:r>
        <w:rPr>
          <w:w w:val="110"/>
        </w:rPr>
        <w:t>acontecimientos</w:t>
      </w:r>
      <w:r>
        <w:rPr>
          <w:spacing w:val="23"/>
          <w:w w:val="110"/>
        </w:rPr>
        <w:t> </w:t>
      </w:r>
      <w:r>
        <w:rPr>
          <w:w w:val="110"/>
        </w:rPr>
        <w:t>“por</w:t>
      </w:r>
      <w:r>
        <w:rPr>
          <w:w w:val="109"/>
        </w:rPr>
        <w:t> </w:t>
      </w:r>
      <w:r>
        <w:rPr>
          <w:w w:val="110"/>
        </w:rPr>
        <w:t>página”.</w:t>
      </w:r>
      <w:r>
        <w:rPr>
          <w:spacing w:val="28"/>
          <w:w w:val="110"/>
        </w:rPr>
        <w:t> </w:t>
      </w:r>
      <w:r>
        <w:rPr>
          <w:w w:val="110"/>
        </w:rPr>
        <w:t>No</w:t>
      </w:r>
      <w:r>
        <w:rPr>
          <w:spacing w:val="28"/>
          <w:w w:val="110"/>
        </w:rPr>
        <w:t> </w:t>
      </w:r>
      <w:r>
        <w:rPr>
          <w:w w:val="110"/>
        </w:rPr>
        <w:t>es</w:t>
      </w:r>
      <w:r>
        <w:rPr>
          <w:spacing w:val="28"/>
          <w:w w:val="110"/>
        </w:rPr>
        <w:t> </w:t>
      </w:r>
      <w:r>
        <w:rPr>
          <w:w w:val="110"/>
        </w:rPr>
        <w:t>casual</w:t>
      </w:r>
      <w:r>
        <w:rPr>
          <w:spacing w:val="28"/>
          <w:w w:val="110"/>
        </w:rPr>
        <w:t> </w:t>
      </w:r>
      <w:r>
        <w:rPr>
          <w:w w:val="110"/>
        </w:rPr>
        <w:t>que</w:t>
      </w:r>
      <w:r>
        <w:rPr>
          <w:spacing w:val="27"/>
          <w:w w:val="110"/>
        </w:rPr>
        <w:t> </w:t>
      </w:r>
      <w:r>
        <w:rPr>
          <w:w w:val="110"/>
        </w:rPr>
        <w:t>entre</w:t>
      </w:r>
      <w:r>
        <w:rPr>
          <w:spacing w:val="28"/>
          <w:w w:val="110"/>
        </w:rPr>
        <w:t> </w:t>
      </w:r>
      <w:r>
        <w:rPr>
          <w:w w:val="110"/>
        </w:rPr>
        <w:t>1967</w:t>
      </w:r>
      <w:r>
        <w:rPr>
          <w:spacing w:val="28"/>
          <w:w w:val="110"/>
        </w:rPr>
        <w:t> </w:t>
      </w:r>
      <w:r>
        <w:rPr>
          <w:w w:val="110"/>
        </w:rPr>
        <w:t>y</w:t>
      </w:r>
      <w:r>
        <w:rPr>
          <w:spacing w:val="28"/>
          <w:w w:val="110"/>
        </w:rPr>
        <w:t> </w:t>
      </w:r>
      <w:r>
        <w:rPr>
          <w:w w:val="110"/>
        </w:rPr>
        <w:t>1969</w:t>
      </w:r>
      <w:r>
        <w:rPr>
          <w:spacing w:val="28"/>
          <w:w w:val="110"/>
        </w:rPr>
        <w:t> </w:t>
      </w:r>
      <w:r>
        <w:rPr>
          <w:w w:val="110"/>
        </w:rPr>
        <w:t>aumente</w:t>
      </w:r>
      <w:r>
        <w:rPr>
          <w:spacing w:val="28"/>
          <w:w w:val="110"/>
        </w:rPr>
        <w:t> </w:t>
      </w:r>
      <w:r>
        <w:rPr>
          <w:w w:val="110"/>
        </w:rPr>
        <w:t>exponencial-</w:t>
      </w:r>
      <w:r>
        <w:rPr>
          <w:w w:val="102"/>
        </w:rPr>
        <w:t> </w:t>
      </w:r>
      <w:r>
        <w:rPr>
          <w:w w:val="110"/>
        </w:rPr>
        <w:t>mente</w:t>
      </w:r>
      <w:r>
        <w:rPr>
          <w:spacing w:val="22"/>
          <w:w w:val="110"/>
        </w:rPr>
        <w:t> </w:t>
      </w:r>
      <w:r>
        <w:rPr>
          <w:w w:val="110"/>
        </w:rPr>
        <w:t>la</w:t>
      </w:r>
      <w:r>
        <w:rPr>
          <w:spacing w:val="22"/>
          <w:w w:val="110"/>
        </w:rPr>
        <w:t> </w:t>
      </w:r>
      <w:r>
        <w:rPr>
          <w:w w:val="110"/>
        </w:rPr>
        <w:t>cantidad</w:t>
      </w:r>
      <w:r>
        <w:rPr>
          <w:spacing w:val="22"/>
          <w:w w:val="110"/>
        </w:rPr>
        <w:t> </w:t>
      </w:r>
      <w:r>
        <w:rPr>
          <w:w w:val="110"/>
        </w:rPr>
        <w:t>de</w:t>
      </w:r>
      <w:r>
        <w:rPr>
          <w:spacing w:val="22"/>
          <w:w w:val="110"/>
        </w:rPr>
        <w:t> </w:t>
      </w:r>
      <w:r>
        <w:rPr>
          <w:w w:val="110"/>
        </w:rPr>
        <w:t>menciones</w:t>
      </w:r>
      <w:r>
        <w:rPr>
          <w:spacing w:val="22"/>
          <w:w w:val="110"/>
        </w:rPr>
        <w:t> </w:t>
      </w:r>
      <w:r>
        <w:rPr>
          <w:w w:val="110"/>
        </w:rPr>
        <w:t>a</w:t>
      </w:r>
      <w:r>
        <w:rPr>
          <w:spacing w:val="22"/>
          <w:w w:val="110"/>
        </w:rPr>
        <w:t> </w:t>
      </w:r>
      <w:r>
        <w:rPr>
          <w:w w:val="110"/>
        </w:rPr>
        <w:t>las</w:t>
      </w:r>
      <w:r>
        <w:rPr>
          <w:spacing w:val="22"/>
          <w:w w:val="110"/>
        </w:rPr>
        <w:t> </w:t>
      </w:r>
      <w:r>
        <w:rPr>
          <w:w w:val="110"/>
        </w:rPr>
        <w:t>medallas,</w:t>
      </w:r>
      <w:r>
        <w:rPr>
          <w:spacing w:val="22"/>
          <w:w w:val="110"/>
        </w:rPr>
        <w:t> </w:t>
      </w:r>
      <w:r>
        <w:rPr>
          <w:w w:val="110"/>
        </w:rPr>
        <w:t>pues</w:t>
      </w:r>
      <w:r>
        <w:rPr>
          <w:spacing w:val="22"/>
          <w:w w:val="110"/>
        </w:rPr>
        <w:t> </w:t>
      </w:r>
      <w:r>
        <w:rPr>
          <w:w w:val="110"/>
        </w:rPr>
        <w:t>obedece</w:t>
      </w:r>
      <w:r>
        <w:rPr>
          <w:spacing w:val="22"/>
          <w:w w:val="110"/>
        </w:rPr>
        <w:t> </w:t>
      </w:r>
      <w:r>
        <w:rPr>
          <w:w w:val="110"/>
        </w:rPr>
        <w:t>al</w:t>
      </w:r>
      <w:r>
        <w:rPr>
          <w:spacing w:val="22"/>
          <w:w w:val="110"/>
        </w:rPr>
        <w:t> </w:t>
      </w:r>
      <w:r>
        <w:rPr>
          <w:w w:val="110"/>
        </w:rPr>
        <w:t>pe-</w:t>
      </w:r>
      <w:r>
        <w:rPr>
          <w:w w:val="102"/>
        </w:rPr>
        <w:t> </w:t>
      </w:r>
      <w:r>
        <w:rPr>
          <w:w w:val="110"/>
        </w:rPr>
        <w:t>ríodo en que recrudeció la crítica interna e internacional a</w:t>
      </w:r>
      <w:r>
        <w:rPr>
          <w:spacing w:val="15"/>
          <w:w w:val="110"/>
        </w:rPr>
        <w:t> </w:t>
      </w:r>
      <w:r>
        <w:rPr>
          <w:w w:val="110"/>
        </w:rPr>
        <w:t>la</w:t>
      </w:r>
      <w:r>
        <w:rPr>
          <w:spacing w:val="15"/>
          <w:w w:val="110"/>
        </w:rPr>
        <w:t> </w:t>
      </w:r>
      <w:r>
        <w:rPr>
          <w:w w:val="110"/>
        </w:rPr>
        <w:t>guerra.</w:t>
      </w:r>
      <w:r>
        <w:rPr>
          <w:w w:val="110"/>
        </w:rPr>
        <w:t> </w:t>
      </w:r>
      <w:r>
        <w:rPr>
          <w:w w:val="110"/>
        </w:rPr>
        <w:t>No</w:t>
      </w:r>
      <w:r>
        <w:rPr>
          <w:spacing w:val="-3"/>
          <w:w w:val="110"/>
        </w:rPr>
        <w:t> </w:t>
      </w:r>
      <w:r>
        <w:rPr>
          <w:w w:val="110"/>
        </w:rPr>
        <w:t>se</w:t>
      </w:r>
      <w:r>
        <w:rPr>
          <w:spacing w:val="-3"/>
          <w:w w:val="110"/>
        </w:rPr>
        <w:t> </w:t>
      </w:r>
      <w:r>
        <w:rPr>
          <w:w w:val="110"/>
        </w:rPr>
        <w:t>menciona</w:t>
      </w:r>
      <w:r>
        <w:rPr>
          <w:spacing w:val="-3"/>
          <w:w w:val="110"/>
        </w:rPr>
        <w:t> </w:t>
      </w:r>
      <w:r>
        <w:rPr>
          <w:w w:val="110"/>
        </w:rPr>
        <w:t>ni</w:t>
      </w:r>
      <w:r>
        <w:rPr>
          <w:spacing w:val="-3"/>
          <w:w w:val="110"/>
        </w:rPr>
        <w:t> </w:t>
      </w:r>
      <w:r>
        <w:rPr>
          <w:w w:val="110"/>
        </w:rPr>
        <w:t>uno</w:t>
      </w:r>
      <w:r>
        <w:rPr>
          <w:spacing w:val="-3"/>
          <w:w w:val="110"/>
        </w:rPr>
        <w:t> </w:t>
      </w:r>
      <w:r>
        <w:rPr>
          <w:w w:val="110"/>
        </w:rPr>
        <w:t>de</w:t>
      </w:r>
      <w:r>
        <w:rPr>
          <w:spacing w:val="-3"/>
          <w:w w:val="110"/>
        </w:rPr>
        <w:t> </w:t>
      </w:r>
      <w:r>
        <w:rPr>
          <w:w w:val="110"/>
        </w:rPr>
        <w:t>los</w:t>
      </w:r>
      <w:r>
        <w:rPr>
          <w:spacing w:val="-3"/>
          <w:w w:val="110"/>
        </w:rPr>
        <w:t> </w:t>
      </w:r>
      <w:r>
        <w:rPr>
          <w:w w:val="110"/>
        </w:rPr>
        <w:t>al</w:t>
      </w:r>
      <w:r>
        <w:rPr>
          <w:spacing w:val="-3"/>
          <w:w w:val="110"/>
        </w:rPr>
        <w:t> </w:t>
      </w:r>
      <w:r>
        <w:rPr>
          <w:w w:val="110"/>
        </w:rPr>
        <w:t>menos</w:t>
      </w:r>
      <w:r>
        <w:rPr>
          <w:spacing w:val="-3"/>
          <w:w w:val="110"/>
        </w:rPr>
        <w:t> </w:t>
      </w:r>
      <w:r>
        <w:rPr>
          <w:w w:val="110"/>
        </w:rPr>
        <w:t>24</w:t>
      </w:r>
      <w:r>
        <w:rPr>
          <w:spacing w:val="-3"/>
          <w:w w:val="110"/>
        </w:rPr>
        <w:t> </w:t>
      </w:r>
      <w:r>
        <w:rPr>
          <w:w w:val="110"/>
        </w:rPr>
        <w:t>eventos</w:t>
      </w:r>
      <w:r>
        <w:rPr>
          <w:spacing w:val="-3"/>
          <w:w w:val="110"/>
        </w:rPr>
        <w:t> </w:t>
      </w:r>
      <w:r>
        <w:rPr>
          <w:w w:val="110"/>
        </w:rPr>
        <w:t>realizados</w:t>
      </w:r>
      <w:r>
        <w:rPr>
          <w:spacing w:val="-3"/>
          <w:w w:val="110"/>
        </w:rPr>
        <w:t> </w:t>
      </w:r>
      <w:r>
        <w:rPr>
          <w:w w:val="110"/>
        </w:rPr>
        <w:t>en</w:t>
      </w:r>
      <w:r>
        <w:rPr>
          <w:spacing w:val="-3"/>
          <w:w w:val="110"/>
        </w:rPr>
        <w:t> </w:t>
      </w:r>
      <w:r>
        <w:rPr>
          <w:w w:val="110"/>
        </w:rPr>
        <w:t>nueve</w:t>
      </w:r>
      <w:r>
        <w:rPr>
          <w:w w:val="107"/>
        </w:rPr>
        <w:t> </w:t>
      </w:r>
      <w:r>
        <w:rPr>
          <w:w w:val="110"/>
        </w:rPr>
        <w:t>años</w:t>
      </w:r>
      <w:r>
        <w:rPr>
          <w:spacing w:val="22"/>
          <w:w w:val="110"/>
        </w:rPr>
        <w:t> </w:t>
      </w:r>
      <w:r>
        <w:rPr>
          <w:w w:val="110"/>
        </w:rPr>
        <w:t>en</w:t>
      </w:r>
      <w:r>
        <w:rPr>
          <w:spacing w:val="22"/>
          <w:w w:val="110"/>
        </w:rPr>
        <w:t> </w:t>
      </w:r>
      <w:r>
        <w:rPr>
          <w:w w:val="110"/>
        </w:rPr>
        <w:t>contra</w:t>
      </w:r>
      <w:r>
        <w:rPr>
          <w:spacing w:val="22"/>
          <w:w w:val="110"/>
        </w:rPr>
        <w:t> </w:t>
      </w:r>
      <w:r>
        <w:rPr>
          <w:w w:val="110"/>
        </w:rPr>
        <w:t>de</w:t>
      </w:r>
      <w:r>
        <w:rPr>
          <w:spacing w:val="22"/>
          <w:w w:val="110"/>
        </w:rPr>
        <w:t> </w:t>
      </w:r>
      <w:r>
        <w:rPr>
          <w:w w:val="110"/>
        </w:rPr>
        <w:t>la</w:t>
      </w:r>
      <w:r>
        <w:rPr>
          <w:spacing w:val="22"/>
          <w:w w:val="110"/>
        </w:rPr>
        <w:t> </w:t>
      </w:r>
      <w:r>
        <w:rPr>
          <w:w w:val="110"/>
        </w:rPr>
        <w:t>Guerra</w:t>
      </w:r>
      <w:r>
        <w:rPr>
          <w:spacing w:val="22"/>
          <w:w w:val="110"/>
        </w:rPr>
        <w:t> </w:t>
      </w:r>
      <w:r>
        <w:rPr>
          <w:w w:val="110"/>
        </w:rPr>
        <w:t>en</w:t>
      </w:r>
      <w:r>
        <w:rPr>
          <w:spacing w:val="22"/>
          <w:w w:val="110"/>
        </w:rPr>
        <w:t> </w:t>
      </w:r>
      <w:r>
        <w:rPr>
          <w:w w:val="110"/>
        </w:rPr>
        <w:t>Vietnam</w:t>
      </w:r>
      <w:r>
        <w:rPr>
          <w:spacing w:val="22"/>
          <w:w w:val="110"/>
        </w:rPr>
        <w:t> </w:t>
      </w:r>
      <w:r>
        <w:rPr>
          <w:w w:val="110"/>
        </w:rPr>
        <w:t>y</w:t>
      </w:r>
      <w:r>
        <w:rPr>
          <w:spacing w:val="22"/>
          <w:w w:val="110"/>
        </w:rPr>
        <w:t> </w:t>
      </w:r>
      <w:r>
        <w:rPr>
          <w:w w:val="110"/>
        </w:rPr>
        <w:t>los</w:t>
      </w:r>
      <w:r>
        <w:rPr>
          <w:spacing w:val="22"/>
          <w:w w:val="110"/>
        </w:rPr>
        <w:t> </w:t>
      </w:r>
      <w:r>
        <w:rPr>
          <w:w w:val="110"/>
        </w:rPr>
        <w:t>procesos</w:t>
      </w:r>
      <w:r>
        <w:rPr>
          <w:spacing w:val="22"/>
          <w:w w:val="110"/>
        </w:rPr>
        <w:t> </w:t>
      </w:r>
      <w:r>
        <w:rPr>
          <w:w w:val="110"/>
        </w:rPr>
        <w:t>vinculados</w:t>
      </w:r>
      <w:r>
        <w:rPr>
          <w:spacing w:val="22"/>
          <w:w w:val="110"/>
        </w:rPr>
        <w:t> </w:t>
      </w:r>
      <w:r>
        <w:rPr>
          <w:w w:val="110"/>
        </w:rPr>
        <w:t>a</w:t>
      </w:r>
      <w:r>
        <w:rPr>
          <w:w w:val="112"/>
        </w:rPr>
        <w:t> </w:t>
      </w:r>
      <w:r>
        <w:rPr>
          <w:w w:val="110"/>
        </w:rPr>
        <w:t>aquella: ni el asesinato de Malcom </w:t>
      </w:r>
      <w:r>
        <w:rPr>
          <w:w w:val="150"/>
        </w:rPr>
        <w:t>x </w:t>
      </w:r>
      <w:r>
        <w:rPr>
          <w:w w:val="110"/>
        </w:rPr>
        <w:t>en 1965; ni</w:t>
      </w:r>
      <w:r>
        <w:rPr>
          <w:spacing w:val="38"/>
          <w:w w:val="110"/>
        </w:rPr>
        <w:t> </w:t>
      </w:r>
      <w:r>
        <w:rPr>
          <w:w w:val="110"/>
        </w:rPr>
        <w:t>el</w:t>
      </w:r>
      <w:r>
        <w:rPr>
          <w:spacing w:val="14"/>
          <w:w w:val="110"/>
        </w:rPr>
        <w:t> </w:t>
      </w:r>
      <w:r>
        <w:rPr>
          <w:w w:val="110"/>
        </w:rPr>
        <w:t>pronunciamiento</w:t>
      </w:r>
      <w:r>
        <w:rPr>
          <w:w w:val="111"/>
        </w:rPr>
        <w:t> </w:t>
      </w:r>
      <w:r>
        <w:rPr>
          <w:w w:val="110"/>
        </w:rPr>
        <w:t>de</w:t>
      </w:r>
      <w:r>
        <w:rPr>
          <w:spacing w:val="37"/>
          <w:w w:val="110"/>
        </w:rPr>
        <w:t> </w:t>
      </w:r>
      <w:r>
        <w:rPr>
          <w:w w:val="110"/>
        </w:rPr>
        <w:t>stockely</w:t>
      </w:r>
      <w:r>
        <w:rPr>
          <w:spacing w:val="37"/>
          <w:w w:val="110"/>
        </w:rPr>
        <w:t> </w:t>
      </w:r>
      <w:r>
        <w:rPr>
          <w:w w:val="110"/>
        </w:rPr>
        <w:t>Carmichael</w:t>
      </w:r>
      <w:r>
        <w:rPr>
          <w:spacing w:val="37"/>
          <w:w w:val="110"/>
        </w:rPr>
        <w:t> </w:t>
      </w:r>
      <w:r>
        <w:rPr>
          <w:w w:val="110"/>
        </w:rPr>
        <w:t>del</w:t>
      </w:r>
      <w:r>
        <w:rPr>
          <w:spacing w:val="37"/>
          <w:w w:val="110"/>
        </w:rPr>
        <w:t> </w:t>
      </w:r>
      <w:r>
        <w:rPr>
          <w:w w:val="110"/>
        </w:rPr>
        <w:t>sNCC</w:t>
      </w:r>
      <w:r>
        <w:rPr>
          <w:spacing w:val="37"/>
          <w:w w:val="110"/>
        </w:rPr>
        <w:t> </w:t>
      </w:r>
      <w:r>
        <w:rPr>
          <w:w w:val="110"/>
        </w:rPr>
        <w:t>sobre</w:t>
      </w:r>
      <w:r>
        <w:rPr>
          <w:spacing w:val="37"/>
          <w:w w:val="110"/>
        </w:rPr>
        <w:t> </w:t>
      </w:r>
      <w:r>
        <w:rPr>
          <w:w w:val="110"/>
        </w:rPr>
        <w:t>el</w:t>
      </w:r>
      <w:r>
        <w:rPr>
          <w:spacing w:val="37"/>
          <w:w w:val="110"/>
        </w:rPr>
        <w:t> </w:t>
      </w:r>
      <w:r>
        <w:rPr>
          <w:w w:val="110"/>
        </w:rPr>
        <w:t>Poder</w:t>
      </w:r>
      <w:r>
        <w:rPr>
          <w:spacing w:val="37"/>
          <w:w w:val="110"/>
        </w:rPr>
        <w:t> </w:t>
      </w:r>
      <w:r>
        <w:rPr>
          <w:w w:val="110"/>
        </w:rPr>
        <w:t>Negro;</w:t>
      </w:r>
      <w:r>
        <w:rPr>
          <w:spacing w:val="37"/>
          <w:w w:val="110"/>
        </w:rPr>
        <w:t> </w:t>
      </w:r>
      <w:r>
        <w:rPr>
          <w:w w:val="110"/>
        </w:rPr>
        <w:t>ni</w:t>
      </w:r>
      <w:r>
        <w:rPr>
          <w:spacing w:val="37"/>
          <w:w w:val="110"/>
        </w:rPr>
        <w:t> </w:t>
      </w:r>
      <w:r>
        <w:rPr>
          <w:w w:val="110"/>
        </w:rPr>
        <w:t>la</w:t>
      </w:r>
      <w:r>
        <w:rPr>
          <w:spacing w:val="37"/>
          <w:w w:val="110"/>
        </w:rPr>
        <w:t> </w:t>
      </w:r>
      <w:r>
        <w:rPr>
          <w:w w:val="110"/>
        </w:rPr>
        <w:t>orga-</w:t>
      </w:r>
      <w:r>
        <w:rPr>
          <w:w w:val="102"/>
        </w:rPr>
        <w:t> </w:t>
      </w:r>
      <w:r>
        <w:rPr>
          <w:w w:val="110"/>
        </w:rPr>
        <w:t>nización</w:t>
      </w:r>
      <w:r>
        <w:rPr>
          <w:spacing w:val="31"/>
          <w:w w:val="110"/>
        </w:rPr>
        <w:t> </w:t>
      </w:r>
      <w:r>
        <w:rPr>
          <w:w w:val="110"/>
        </w:rPr>
        <w:t>de</w:t>
      </w:r>
      <w:r>
        <w:rPr>
          <w:spacing w:val="31"/>
          <w:w w:val="110"/>
        </w:rPr>
        <w:t> </w:t>
      </w:r>
      <w:r>
        <w:rPr>
          <w:w w:val="110"/>
        </w:rPr>
        <w:t>las</w:t>
      </w:r>
      <w:r>
        <w:rPr>
          <w:spacing w:val="31"/>
          <w:w w:val="110"/>
        </w:rPr>
        <w:t> </w:t>
      </w:r>
      <w:r>
        <w:rPr>
          <w:w w:val="110"/>
        </w:rPr>
        <w:t>Panteras</w:t>
      </w:r>
      <w:r>
        <w:rPr>
          <w:spacing w:val="31"/>
          <w:w w:val="110"/>
        </w:rPr>
        <w:t> </w:t>
      </w:r>
      <w:r>
        <w:rPr>
          <w:w w:val="110"/>
        </w:rPr>
        <w:t>Negras</w:t>
      </w:r>
      <w:r>
        <w:rPr>
          <w:spacing w:val="31"/>
          <w:w w:val="110"/>
        </w:rPr>
        <w:t> </w:t>
      </w:r>
      <w:r>
        <w:rPr>
          <w:w w:val="110"/>
        </w:rPr>
        <w:t>en</w:t>
      </w:r>
      <w:r>
        <w:rPr>
          <w:spacing w:val="31"/>
          <w:w w:val="110"/>
        </w:rPr>
        <w:t> </w:t>
      </w:r>
      <w:r>
        <w:rPr>
          <w:w w:val="110"/>
        </w:rPr>
        <w:t>contra</w:t>
      </w:r>
      <w:r>
        <w:rPr>
          <w:spacing w:val="31"/>
          <w:w w:val="110"/>
        </w:rPr>
        <w:t> </w:t>
      </w:r>
      <w:r>
        <w:rPr>
          <w:w w:val="110"/>
        </w:rPr>
        <w:t>de</w:t>
      </w:r>
      <w:r>
        <w:rPr>
          <w:spacing w:val="31"/>
          <w:w w:val="110"/>
        </w:rPr>
        <w:t> </w:t>
      </w:r>
      <w:r>
        <w:rPr>
          <w:w w:val="110"/>
        </w:rPr>
        <w:t>la</w:t>
      </w:r>
      <w:r>
        <w:rPr>
          <w:spacing w:val="31"/>
          <w:w w:val="110"/>
        </w:rPr>
        <w:t> </w:t>
      </w:r>
      <w:r>
        <w:rPr>
          <w:w w:val="110"/>
        </w:rPr>
        <w:t>guerra;</w:t>
      </w:r>
      <w:r>
        <w:rPr>
          <w:spacing w:val="31"/>
          <w:w w:val="110"/>
        </w:rPr>
        <w:t> </w:t>
      </w:r>
      <w:r>
        <w:rPr>
          <w:w w:val="110"/>
        </w:rPr>
        <w:t>ni</w:t>
      </w:r>
      <w:r>
        <w:rPr>
          <w:spacing w:val="31"/>
          <w:w w:val="110"/>
        </w:rPr>
        <w:t> </w:t>
      </w:r>
      <w:r>
        <w:rPr>
          <w:w w:val="110"/>
        </w:rPr>
        <w:t>el</w:t>
      </w:r>
      <w:r>
        <w:rPr>
          <w:spacing w:val="31"/>
          <w:w w:val="110"/>
        </w:rPr>
        <w:t> </w:t>
      </w:r>
      <w:r>
        <w:rPr>
          <w:w w:val="110"/>
        </w:rPr>
        <w:t>asesi-</w:t>
      </w:r>
      <w:r>
        <w:rPr>
          <w:w w:val="102"/>
        </w:rPr>
        <w:t> </w:t>
      </w:r>
      <w:r>
        <w:rPr>
          <w:w w:val="110"/>
        </w:rPr>
        <w:t>nato</w:t>
      </w:r>
      <w:r>
        <w:rPr/>
        <w:t> </w:t>
      </w:r>
      <w:r>
        <w:rPr>
          <w:spacing w:val="-17"/>
        </w:rPr>
        <w:t> </w:t>
      </w:r>
      <w:r>
        <w:rPr>
          <w:w w:val="107"/>
        </w:rPr>
        <w:t>de</w:t>
      </w:r>
      <w:r>
        <w:rPr/>
        <w:t> </w:t>
      </w:r>
      <w:r>
        <w:rPr>
          <w:spacing w:val="-17"/>
        </w:rPr>
        <w:t> </w:t>
      </w:r>
      <w:r>
        <w:rPr>
          <w:w w:val="243"/>
        </w:rPr>
        <w:t>l</w:t>
      </w:r>
      <w:r>
        <w:rPr>
          <w:w w:val="108"/>
        </w:rPr>
        <w:t>uther</w:t>
      </w:r>
      <w:r>
        <w:rPr/>
        <w:t> </w:t>
      </w:r>
      <w:r>
        <w:rPr>
          <w:spacing w:val="-17"/>
        </w:rPr>
        <w:t> </w:t>
      </w:r>
      <w:r>
        <w:rPr>
          <w:w w:val="116"/>
        </w:rPr>
        <w:t>King</w:t>
      </w:r>
      <w:r>
        <w:rPr/>
        <w:t> </w:t>
      </w:r>
      <w:r>
        <w:rPr>
          <w:spacing w:val="-17"/>
        </w:rPr>
        <w:t> </w:t>
      </w:r>
      <w:r>
        <w:rPr>
          <w:w w:val="108"/>
        </w:rPr>
        <w:t>en</w:t>
      </w:r>
      <w:r>
        <w:rPr/>
        <w:t> </w:t>
      </w:r>
      <w:r>
        <w:rPr>
          <w:spacing w:val="-17"/>
        </w:rPr>
        <w:t> </w:t>
      </w:r>
      <w:r>
        <w:rPr>
          <w:w w:val="103"/>
        </w:rPr>
        <w:t>1976;</w:t>
      </w:r>
      <w:r>
        <w:rPr/>
        <w:t> </w:t>
      </w:r>
      <w:r>
        <w:rPr>
          <w:spacing w:val="-17"/>
        </w:rPr>
        <w:t> </w:t>
      </w:r>
      <w:r>
        <w:rPr>
          <w:w w:val="113"/>
        </w:rPr>
        <w:t>ni</w:t>
      </w:r>
      <w:r>
        <w:rPr/>
        <w:t> </w:t>
      </w:r>
      <w:r>
        <w:rPr>
          <w:spacing w:val="-17"/>
        </w:rPr>
        <w:t> </w:t>
      </w:r>
      <w:r>
        <w:rPr>
          <w:w w:val="109"/>
        </w:rPr>
        <w:t>las</w:t>
      </w:r>
      <w:r>
        <w:rPr/>
        <w:t> </w:t>
      </w:r>
      <w:r>
        <w:rPr>
          <w:spacing w:val="-17"/>
        </w:rPr>
        <w:t> </w:t>
      </w:r>
      <w:r>
        <w:rPr>
          <w:w w:val="111"/>
        </w:rPr>
        <w:t>marchas</w:t>
      </w:r>
      <w:r>
        <w:rPr/>
        <w:t> </w:t>
      </w:r>
      <w:r>
        <w:rPr>
          <w:spacing w:val="-17"/>
        </w:rPr>
        <w:t> </w:t>
      </w:r>
      <w:r>
        <w:rPr>
          <w:w w:val="111"/>
        </w:rPr>
        <w:t>multitudinarias</w:t>
      </w:r>
      <w:r>
        <w:rPr/>
        <w:t> </w:t>
      </w:r>
      <w:r>
        <w:rPr>
          <w:spacing w:val="-17"/>
        </w:rPr>
        <w:t> </w:t>
      </w:r>
      <w:r>
        <w:rPr>
          <w:w w:val="112"/>
        </w:rPr>
        <w:t>a</w:t>
      </w:r>
      <w:r>
        <w:rPr/>
        <w:t> </w:t>
      </w:r>
      <w:r>
        <w:rPr>
          <w:spacing w:val="-17"/>
        </w:rPr>
        <w:t> </w:t>
      </w:r>
      <w:r>
        <w:rPr>
          <w:w w:val="108"/>
        </w:rPr>
        <w:t>nivel </w:t>
      </w:r>
      <w:r>
        <w:rPr>
          <w:w w:val="110"/>
        </w:rPr>
        <w:t>nacional</w:t>
      </w:r>
      <w:r>
        <w:rPr>
          <w:spacing w:val="27"/>
          <w:w w:val="110"/>
        </w:rPr>
        <w:t> </w:t>
      </w:r>
      <w:r>
        <w:rPr>
          <w:w w:val="110"/>
        </w:rPr>
        <w:t>e</w:t>
      </w:r>
      <w:r>
        <w:rPr>
          <w:spacing w:val="27"/>
          <w:w w:val="110"/>
        </w:rPr>
        <w:t> </w:t>
      </w:r>
      <w:r>
        <w:rPr>
          <w:w w:val="110"/>
        </w:rPr>
        <w:t>internacional</w:t>
      </w:r>
      <w:r>
        <w:rPr>
          <w:spacing w:val="27"/>
          <w:w w:val="110"/>
        </w:rPr>
        <w:t> </w:t>
      </w:r>
      <w:r>
        <w:rPr>
          <w:w w:val="110"/>
        </w:rPr>
        <w:t>a</w:t>
      </w:r>
      <w:r>
        <w:rPr>
          <w:spacing w:val="27"/>
          <w:w w:val="110"/>
        </w:rPr>
        <w:t> </w:t>
      </w:r>
      <w:r>
        <w:rPr>
          <w:w w:val="110"/>
        </w:rPr>
        <w:t>partir</w:t>
      </w:r>
      <w:r>
        <w:rPr>
          <w:spacing w:val="27"/>
          <w:w w:val="110"/>
        </w:rPr>
        <w:t> </w:t>
      </w:r>
      <w:r>
        <w:rPr>
          <w:w w:val="110"/>
        </w:rPr>
        <w:t>de</w:t>
      </w:r>
      <w:r>
        <w:rPr>
          <w:spacing w:val="27"/>
          <w:w w:val="110"/>
        </w:rPr>
        <w:t> </w:t>
      </w:r>
      <w:r>
        <w:rPr>
          <w:w w:val="110"/>
        </w:rPr>
        <w:t>1966;</w:t>
      </w:r>
      <w:r>
        <w:rPr>
          <w:spacing w:val="27"/>
          <w:w w:val="110"/>
        </w:rPr>
        <w:t> </w:t>
      </w:r>
      <w:r>
        <w:rPr>
          <w:w w:val="110"/>
        </w:rPr>
        <w:t>ni</w:t>
      </w:r>
      <w:r>
        <w:rPr>
          <w:spacing w:val="27"/>
          <w:w w:val="110"/>
        </w:rPr>
        <w:t> </w:t>
      </w:r>
      <w:r>
        <w:rPr>
          <w:w w:val="110"/>
        </w:rPr>
        <w:t>el</w:t>
      </w:r>
      <w:r>
        <w:rPr>
          <w:spacing w:val="27"/>
          <w:w w:val="110"/>
        </w:rPr>
        <w:t> </w:t>
      </w:r>
      <w:r>
        <w:rPr>
          <w:w w:val="110"/>
        </w:rPr>
        <w:t>boicot</w:t>
      </w:r>
      <w:r>
        <w:rPr>
          <w:spacing w:val="27"/>
          <w:w w:val="110"/>
        </w:rPr>
        <w:t> </w:t>
      </w:r>
      <w:r>
        <w:rPr>
          <w:w w:val="110"/>
        </w:rPr>
        <w:t>al</w:t>
      </w:r>
      <w:r>
        <w:rPr>
          <w:spacing w:val="27"/>
          <w:w w:val="110"/>
        </w:rPr>
        <w:t> </w:t>
      </w:r>
      <w:r>
        <w:rPr>
          <w:w w:val="110"/>
        </w:rPr>
        <w:t>dictado</w:t>
      </w:r>
      <w:r>
        <w:rPr>
          <w:spacing w:val="27"/>
          <w:w w:val="110"/>
        </w:rPr>
        <w:t> </w:t>
      </w:r>
      <w:r>
        <w:rPr>
          <w:w w:val="110"/>
        </w:rPr>
        <w:t>de</w:t>
      </w:r>
      <w:r>
        <w:rPr>
          <w:w w:val="107"/>
        </w:rPr>
        <w:t> </w:t>
      </w:r>
      <w:r>
        <w:rPr>
          <w:w w:val="110"/>
        </w:rPr>
        <w:t>clases en mayo de 1968 protagonizado por un millón</w:t>
      </w:r>
      <w:r>
        <w:rPr>
          <w:spacing w:val="19"/>
          <w:w w:val="110"/>
        </w:rPr>
        <w:t> </w:t>
      </w:r>
      <w:r>
        <w:rPr>
          <w:w w:val="110"/>
        </w:rPr>
        <w:t>de</w:t>
      </w:r>
      <w:r>
        <w:rPr>
          <w:spacing w:val="17"/>
          <w:w w:val="110"/>
        </w:rPr>
        <w:t> </w:t>
      </w:r>
      <w:r>
        <w:rPr>
          <w:w w:val="110"/>
        </w:rPr>
        <w:t>estudiantes</w:t>
      </w:r>
      <w:r>
        <w:rPr>
          <w:w w:val="108"/>
        </w:rPr>
        <w:t> </w:t>
      </w:r>
      <w:r>
        <w:rPr>
          <w:w w:val="110"/>
        </w:rPr>
        <w:t>de secundaria y preparatoria; ni el asesinato del líder de</w:t>
      </w:r>
      <w:r>
        <w:rPr>
          <w:spacing w:val="3"/>
          <w:w w:val="110"/>
        </w:rPr>
        <w:t> </w:t>
      </w:r>
      <w:r>
        <w:rPr>
          <w:w w:val="110"/>
        </w:rPr>
        <w:t>las</w:t>
      </w:r>
      <w:r>
        <w:rPr>
          <w:spacing w:val="9"/>
          <w:w w:val="110"/>
        </w:rPr>
        <w:t> </w:t>
      </w:r>
      <w:r>
        <w:rPr>
          <w:w w:val="110"/>
        </w:rPr>
        <w:t>Panteras</w:t>
      </w:r>
      <w:r>
        <w:rPr>
          <w:w w:val="109"/>
        </w:rPr>
        <w:t> </w:t>
      </w:r>
      <w:r>
        <w:rPr>
          <w:w w:val="110"/>
        </w:rPr>
        <w:t>Negras</w:t>
      </w:r>
      <w:r>
        <w:rPr>
          <w:spacing w:val="14"/>
          <w:w w:val="110"/>
        </w:rPr>
        <w:t> </w:t>
      </w:r>
      <w:r>
        <w:rPr>
          <w:w w:val="110"/>
        </w:rPr>
        <w:t>–Fred</w:t>
      </w:r>
      <w:r>
        <w:rPr>
          <w:spacing w:val="14"/>
          <w:w w:val="110"/>
        </w:rPr>
        <w:t> </w:t>
      </w:r>
      <w:r>
        <w:rPr>
          <w:w w:val="110"/>
        </w:rPr>
        <w:t>Hampton–</w:t>
      </w:r>
      <w:r>
        <w:rPr>
          <w:spacing w:val="14"/>
          <w:w w:val="110"/>
        </w:rPr>
        <w:t> </w:t>
      </w:r>
      <w:r>
        <w:rPr>
          <w:w w:val="110"/>
        </w:rPr>
        <w:t>a</w:t>
      </w:r>
      <w:r>
        <w:rPr>
          <w:spacing w:val="14"/>
          <w:w w:val="110"/>
        </w:rPr>
        <w:t> </w:t>
      </w:r>
      <w:r>
        <w:rPr>
          <w:w w:val="110"/>
        </w:rPr>
        <w:t>manos</w:t>
      </w:r>
      <w:r>
        <w:rPr>
          <w:spacing w:val="14"/>
          <w:w w:val="110"/>
        </w:rPr>
        <w:t> </w:t>
      </w:r>
      <w:r>
        <w:rPr>
          <w:w w:val="110"/>
        </w:rPr>
        <w:t>de</w:t>
      </w:r>
      <w:r>
        <w:rPr>
          <w:spacing w:val="14"/>
          <w:w w:val="110"/>
        </w:rPr>
        <w:t> </w:t>
      </w:r>
      <w:r>
        <w:rPr>
          <w:w w:val="110"/>
        </w:rPr>
        <w:t>la</w:t>
      </w:r>
      <w:r>
        <w:rPr>
          <w:spacing w:val="14"/>
          <w:w w:val="110"/>
        </w:rPr>
        <w:t> </w:t>
      </w:r>
      <w:r>
        <w:rPr>
          <w:w w:val="110"/>
        </w:rPr>
        <w:t>policía</w:t>
      </w:r>
      <w:r>
        <w:rPr>
          <w:spacing w:val="14"/>
          <w:w w:val="110"/>
        </w:rPr>
        <w:t> </w:t>
      </w:r>
      <w:r>
        <w:rPr>
          <w:w w:val="110"/>
        </w:rPr>
        <w:t>y</w:t>
      </w:r>
      <w:r>
        <w:rPr>
          <w:spacing w:val="14"/>
          <w:w w:val="110"/>
        </w:rPr>
        <w:t> </w:t>
      </w:r>
      <w:r>
        <w:rPr>
          <w:w w:val="110"/>
        </w:rPr>
        <w:t>el</w:t>
      </w:r>
      <w:r>
        <w:rPr>
          <w:spacing w:val="14"/>
          <w:w w:val="110"/>
        </w:rPr>
        <w:t> </w:t>
      </w:r>
      <w:r>
        <w:rPr>
          <w:w w:val="110"/>
        </w:rPr>
        <w:t>Fbi;</w:t>
      </w:r>
      <w:r>
        <w:rPr>
          <w:spacing w:val="14"/>
          <w:w w:val="110"/>
        </w:rPr>
        <w:t> </w:t>
      </w:r>
      <w:r>
        <w:rPr>
          <w:w w:val="110"/>
        </w:rPr>
        <w:t>ni</w:t>
      </w:r>
      <w:r>
        <w:rPr>
          <w:spacing w:val="14"/>
          <w:w w:val="110"/>
        </w:rPr>
        <w:t> </w:t>
      </w:r>
      <w:r>
        <w:rPr>
          <w:w w:val="110"/>
        </w:rPr>
        <w:t>la</w:t>
      </w:r>
      <w:r>
        <w:rPr>
          <w:spacing w:val="14"/>
          <w:w w:val="110"/>
        </w:rPr>
        <w:t> </w:t>
      </w:r>
      <w:r>
        <w:rPr>
          <w:w w:val="110"/>
        </w:rPr>
        <w:t>matanza</w:t>
      </w:r>
      <w:r>
        <w:rPr>
          <w:w w:val="111"/>
        </w:rPr>
        <w:t> </w:t>
      </w:r>
      <w:r>
        <w:rPr>
          <w:w w:val="110"/>
        </w:rPr>
        <w:t>a sangre fría de cuatro estudiantes durante las</w:t>
      </w:r>
      <w:r>
        <w:rPr>
          <w:spacing w:val="-7"/>
          <w:w w:val="110"/>
        </w:rPr>
        <w:t> </w:t>
      </w:r>
      <w:r>
        <w:rPr>
          <w:w w:val="110"/>
        </w:rPr>
        <w:t>manifestaciones</w:t>
      </w:r>
      <w:r>
        <w:rPr>
          <w:spacing w:val="-1"/>
          <w:w w:val="110"/>
        </w:rPr>
        <w:t> </w:t>
      </w:r>
      <w:r>
        <w:rPr>
          <w:w w:val="110"/>
        </w:rPr>
        <w:t>contra</w:t>
      </w:r>
      <w:r>
        <w:rPr>
          <w:w w:val="110"/>
        </w:rPr>
        <w:t> </w:t>
      </w:r>
      <w:r>
        <w:rPr>
          <w:w w:val="110"/>
        </w:rPr>
        <w:t>la guerra llevadas a cabo en la universidad de Kent en mayo</w:t>
      </w:r>
      <w:r>
        <w:rPr>
          <w:spacing w:val="-27"/>
          <w:w w:val="110"/>
        </w:rPr>
        <w:t> </w:t>
      </w:r>
      <w:r>
        <w:rPr>
          <w:w w:val="110"/>
        </w:rPr>
        <w:t>de</w:t>
      </w:r>
      <w:r>
        <w:rPr>
          <w:spacing w:val="-3"/>
          <w:w w:val="110"/>
        </w:rPr>
        <w:t> </w:t>
      </w:r>
      <w:r>
        <w:rPr>
          <w:w w:val="110"/>
        </w:rPr>
        <w:t>1970.</w:t>
      </w:r>
      <w:r>
        <w:rPr>
          <w:w w:val="110"/>
          <w:position w:val="6"/>
          <w:sz w:val="11"/>
        </w:rPr>
        <w:t>18</w:t>
      </w:r>
      <w:r>
        <w:rPr>
          <w:w w:val="103"/>
          <w:position w:val="6"/>
          <w:sz w:val="11"/>
        </w:rPr>
        <w:t> </w:t>
      </w:r>
      <w:r>
        <w:rPr>
          <w:w w:val="110"/>
        </w:rPr>
        <w:t>En cambio, se mencionan datos directamente vinculados</w:t>
      </w:r>
      <w:r>
        <w:rPr>
          <w:spacing w:val="19"/>
          <w:w w:val="110"/>
        </w:rPr>
        <w:t> </w:t>
      </w:r>
      <w:r>
        <w:rPr>
          <w:w w:val="110"/>
        </w:rPr>
        <w:t>al</w:t>
      </w:r>
      <w:r>
        <w:rPr>
          <w:spacing w:val="16"/>
          <w:w w:val="110"/>
        </w:rPr>
        <w:t> </w:t>
      </w:r>
      <w:r>
        <w:rPr>
          <w:i/>
          <w:w w:val="110"/>
        </w:rPr>
        <w:t>esta-</w:t>
      </w:r>
      <w:r>
        <w:rPr>
          <w:i/>
          <w:w w:val="106"/>
        </w:rPr>
        <w:t> </w:t>
      </w:r>
      <w:r>
        <w:rPr>
          <w:i/>
          <w:w w:val="111"/>
        </w:rPr>
        <w:t>blishment</w:t>
      </w:r>
      <w:r>
        <w:rPr>
          <w:i/>
        </w:rPr>
        <w:t> </w:t>
      </w:r>
      <w:r>
        <w:rPr>
          <w:i/>
          <w:spacing w:val="-21"/>
        </w:rPr>
        <w:t> </w:t>
      </w:r>
      <w:r>
        <w:rPr>
          <w:w w:val="112"/>
        </w:rPr>
        <w:t>milita</w:t>
      </w:r>
      <w:r>
        <w:rPr>
          <w:spacing w:val="-22"/>
          <w:w w:val="105"/>
        </w:rPr>
        <w:t>r</w:t>
      </w:r>
      <w:r>
        <w:rPr>
          <w:w w:val="138"/>
        </w:rPr>
        <w:t>,</w:t>
      </w:r>
      <w:r>
        <w:rPr/>
        <w:t> </w:t>
      </w:r>
      <w:r>
        <w:rPr>
          <w:spacing w:val="-21"/>
        </w:rPr>
        <w:t> </w:t>
      </w:r>
      <w:r>
        <w:rPr>
          <w:w w:val="112"/>
        </w:rPr>
        <w:t>como</w:t>
      </w:r>
      <w:r>
        <w:rPr/>
        <w:t> </w:t>
      </w:r>
      <w:r>
        <w:rPr>
          <w:spacing w:val="-21"/>
        </w:rPr>
        <w:t> </w:t>
      </w:r>
      <w:r>
        <w:rPr>
          <w:w w:val="107"/>
        </w:rPr>
        <w:t>el</w:t>
      </w:r>
      <w:r>
        <w:rPr/>
        <w:t> </w:t>
      </w:r>
      <w:r>
        <w:rPr>
          <w:spacing w:val="-21"/>
        </w:rPr>
        <w:t> </w:t>
      </w:r>
      <w:r>
        <w:rPr>
          <w:w w:val="111"/>
        </w:rPr>
        <w:t>hecho</w:t>
      </w:r>
      <w:r>
        <w:rPr/>
        <w:t> </w:t>
      </w:r>
      <w:r>
        <w:rPr>
          <w:spacing w:val="-21"/>
        </w:rPr>
        <w:t> </w:t>
      </w:r>
      <w:r>
        <w:rPr>
          <w:w w:val="107"/>
        </w:rPr>
        <w:t>de</w:t>
      </w:r>
      <w:r>
        <w:rPr/>
        <w:t> </w:t>
      </w:r>
      <w:r>
        <w:rPr>
          <w:spacing w:val="-21"/>
        </w:rPr>
        <w:t> </w:t>
      </w:r>
      <w:r>
        <w:rPr>
          <w:w w:val="108"/>
        </w:rPr>
        <w:t>que</w:t>
      </w:r>
      <w:r>
        <w:rPr/>
        <w:t> </w:t>
      </w:r>
      <w:r>
        <w:rPr>
          <w:spacing w:val="-21"/>
        </w:rPr>
        <w:t> </w:t>
      </w:r>
      <w:r>
        <w:rPr>
          <w:w w:val="108"/>
        </w:rPr>
        <w:t>en</w:t>
      </w:r>
      <w:r>
        <w:rPr/>
        <w:t> </w:t>
      </w:r>
      <w:r>
        <w:rPr>
          <w:spacing w:val="-21"/>
        </w:rPr>
        <w:t> </w:t>
      </w:r>
      <w:r>
        <w:rPr>
          <w:w w:val="102"/>
        </w:rPr>
        <w:t>1969</w:t>
      </w:r>
      <w:r>
        <w:rPr/>
        <w:t> </w:t>
      </w:r>
      <w:r>
        <w:rPr>
          <w:spacing w:val="-21"/>
        </w:rPr>
        <w:t> </w:t>
      </w:r>
      <w:r>
        <w:rPr>
          <w:w w:val="111"/>
        </w:rPr>
        <w:t>la</w:t>
      </w:r>
      <w:r>
        <w:rPr/>
        <w:t> </w:t>
      </w:r>
      <w:r>
        <w:rPr>
          <w:spacing w:val="-21"/>
        </w:rPr>
        <w:t> </w:t>
      </w:r>
      <w:r>
        <w:rPr>
          <w:w w:val="243"/>
        </w:rPr>
        <w:t>l</w:t>
      </w:r>
      <w:r>
        <w:rPr>
          <w:w w:val="112"/>
        </w:rPr>
        <w:t>iga</w:t>
      </w:r>
      <w:r>
        <w:rPr/>
        <w:t> </w:t>
      </w:r>
      <w:r>
        <w:rPr>
          <w:spacing w:val="-21"/>
        </w:rPr>
        <w:t> </w:t>
      </w:r>
      <w:r>
        <w:rPr>
          <w:w w:val="113"/>
        </w:rPr>
        <w:t>Nacional</w:t>
      </w:r>
      <w:r>
        <w:rPr/>
        <w:t> </w:t>
      </w:r>
      <w:r>
        <w:rPr>
          <w:spacing w:val="-21"/>
        </w:rPr>
        <w:t> </w:t>
      </w:r>
      <w:r>
        <w:rPr>
          <w:w w:val="107"/>
        </w:rPr>
        <w:t>de </w:t>
      </w:r>
      <w:r>
        <w:rPr>
          <w:w w:val="110"/>
        </w:rPr>
        <w:t>Familias</w:t>
      </w:r>
      <w:r>
        <w:rPr>
          <w:spacing w:val="22"/>
          <w:w w:val="110"/>
        </w:rPr>
        <w:t> </w:t>
      </w:r>
      <w:r>
        <w:rPr>
          <w:w w:val="110"/>
        </w:rPr>
        <w:t>comenzó</w:t>
      </w:r>
      <w:r>
        <w:rPr>
          <w:spacing w:val="22"/>
          <w:w w:val="110"/>
        </w:rPr>
        <w:t> </w:t>
      </w:r>
      <w:r>
        <w:rPr>
          <w:w w:val="110"/>
        </w:rPr>
        <w:t>a</w:t>
      </w:r>
      <w:r>
        <w:rPr>
          <w:spacing w:val="22"/>
          <w:w w:val="110"/>
        </w:rPr>
        <w:t> </w:t>
      </w:r>
      <w:r>
        <w:rPr>
          <w:w w:val="110"/>
        </w:rPr>
        <w:t>atender</w:t>
      </w:r>
      <w:r>
        <w:rPr>
          <w:spacing w:val="22"/>
          <w:w w:val="110"/>
        </w:rPr>
        <w:t> </w:t>
      </w:r>
      <w:r>
        <w:rPr>
          <w:w w:val="110"/>
        </w:rPr>
        <w:t>a</w:t>
      </w:r>
      <w:r>
        <w:rPr>
          <w:spacing w:val="22"/>
          <w:w w:val="110"/>
        </w:rPr>
        <w:t> </w:t>
      </w:r>
      <w:r>
        <w:rPr>
          <w:w w:val="110"/>
        </w:rPr>
        <w:t>los</w:t>
      </w:r>
      <w:r>
        <w:rPr>
          <w:spacing w:val="22"/>
          <w:w w:val="110"/>
        </w:rPr>
        <w:t> </w:t>
      </w:r>
      <w:r>
        <w:rPr>
          <w:w w:val="110"/>
        </w:rPr>
        <w:t>ex</w:t>
      </w:r>
      <w:r>
        <w:rPr>
          <w:spacing w:val="22"/>
          <w:w w:val="110"/>
        </w:rPr>
        <w:t> </w:t>
      </w:r>
      <w:r>
        <w:rPr>
          <w:w w:val="110"/>
        </w:rPr>
        <w:t>prisioneros</w:t>
      </w:r>
      <w:r>
        <w:rPr>
          <w:spacing w:val="22"/>
          <w:w w:val="110"/>
        </w:rPr>
        <w:t> </w:t>
      </w:r>
      <w:r>
        <w:rPr>
          <w:w w:val="110"/>
        </w:rPr>
        <w:t>de</w:t>
      </w:r>
      <w:r>
        <w:rPr>
          <w:spacing w:val="22"/>
          <w:w w:val="110"/>
        </w:rPr>
        <w:t> </w:t>
      </w:r>
      <w:r>
        <w:rPr>
          <w:w w:val="110"/>
        </w:rPr>
        <w:t>guerra;</w:t>
      </w:r>
      <w:r>
        <w:rPr>
          <w:spacing w:val="22"/>
          <w:w w:val="110"/>
        </w:rPr>
        <w:t> </w:t>
      </w:r>
      <w:r>
        <w:rPr>
          <w:w w:val="110"/>
        </w:rPr>
        <w:t>o</w:t>
      </w:r>
      <w:r>
        <w:rPr>
          <w:spacing w:val="22"/>
          <w:w w:val="110"/>
        </w:rPr>
        <w:t> </w:t>
      </w:r>
      <w:r>
        <w:rPr>
          <w:w w:val="110"/>
        </w:rPr>
        <w:t>el</w:t>
      </w:r>
      <w:r>
        <w:rPr>
          <w:spacing w:val="22"/>
          <w:w w:val="110"/>
        </w:rPr>
        <w:t> </w:t>
      </w:r>
      <w:r>
        <w:rPr>
          <w:w w:val="110"/>
        </w:rPr>
        <w:t>dis-</w:t>
      </w:r>
      <w:r>
        <w:rPr>
          <w:w w:val="102"/>
        </w:rPr>
        <w:t> </w:t>
      </w:r>
      <w:r>
        <w:rPr>
          <w:w w:val="110"/>
        </w:rPr>
        <w:t>curso de Nixon sobre la “Mayoría silenciosa”. </w:t>
      </w:r>
      <w:r>
        <w:rPr>
          <w:spacing w:val="23"/>
          <w:w w:val="110"/>
        </w:rPr>
        <w:t> </w:t>
      </w:r>
      <w:r>
        <w:rPr>
          <w:spacing w:val="-3"/>
          <w:w w:val="110"/>
        </w:rPr>
        <w:t>tampoco  </w:t>
      </w:r>
      <w:r>
        <w:rPr>
          <w:w w:val="110"/>
        </w:rPr>
        <w:t>se</w:t>
      </w:r>
      <w:r>
        <w:rPr>
          <w:spacing w:val="30"/>
          <w:w w:val="110"/>
        </w:rPr>
        <w:t> </w:t>
      </w:r>
      <w:r>
        <w:rPr>
          <w:w w:val="110"/>
        </w:rPr>
        <w:t>menciona</w:t>
      </w:r>
      <w:r>
        <w:rPr>
          <w:w w:val="111"/>
        </w:rPr>
        <w:t> </w:t>
      </w:r>
      <w:r>
        <w:rPr>
          <w:w w:val="110"/>
        </w:rPr>
        <w:t>el rechazo de los ex combatientes a las mismas medallas,</w:t>
      </w:r>
      <w:r>
        <w:rPr>
          <w:spacing w:val="6"/>
          <w:w w:val="110"/>
        </w:rPr>
        <w:t> </w:t>
      </w:r>
      <w:r>
        <w:rPr>
          <w:w w:val="110"/>
        </w:rPr>
        <w:t>cuando cien-</w:t>
      </w:r>
      <w:r>
        <w:rPr>
          <w:w w:val="102"/>
        </w:rPr>
        <w:t> </w:t>
      </w:r>
      <w:r>
        <w:rPr>
          <w:w w:val="110"/>
        </w:rPr>
        <w:t>tos</w:t>
      </w:r>
      <w:r>
        <w:rPr>
          <w:spacing w:val="24"/>
          <w:w w:val="110"/>
        </w:rPr>
        <w:t> </w:t>
      </w:r>
      <w:r>
        <w:rPr>
          <w:w w:val="110"/>
        </w:rPr>
        <w:t>de</w:t>
      </w:r>
      <w:r>
        <w:rPr>
          <w:spacing w:val="24"/>
          <w:w w:val="110"/>
        </w:rPr>
        <w:t> </w:t>
      </w:r>
      <w:r>
        <w:rPr>
          <w:w w:val="110"/>
        </w:rPr>
        <w:t>ellos</w:t>
      </w:r>
      <w:r>
        <w:rPr>
          <w:spacing w:val="24"/>
          <w:w w:val="110"/>
        </w:rPr>
        <w:t> </w:t>
      </w:r>
      <w:r>
        <w:rPr>
          <w:w w:val="110"/>
        </w:rPr>
        <w:t>marcharon</w:t>
      </w:r>
      <w:r>
        <w:rPr>
          <w:spacing w:val="24"/>
          <w:w w:val="110"/>
        </w:rPr>
        <w:t> </w:t>
      </w:r>
      <w:r>
        <w:rPr>
          <w:w w:val="110"/>
        </w:rPr>
        <w:t>al</w:t>
      </w:r>
      <w:r>
        <w:rPr>
          <w:spacing w:val="24"/>
          <w:w w:val="110"/>
        </w:rPr>
        <w:t> </w:t>
      </w:r>
      <w:r>
        <w:rPr>
          <w:w w:val="110"/>
        </w:rPr>
        <w:t>Capitolio</w:t>
      </w:r>
      <w:r>
        <w:rPr>
          <w:spacing w:val="24"/>
          <w:w w:val="110"/>
        </w:rPr>
        <w:t> </w:t>
      </w:r>
      <w:r>
        <w:rPr>
          <w:w w:val="110"/>
        </w:rPr>
        <w:t>para</w:t>
      </w:r>
      <w:r>
        <w:rPr>
          <w:spacing w:val="24"/>
          <w:w w:val="110"/>
        </w:rPr>
        <w:t> </w:t>
      </w:r>
      <w:r>
        <w:rPr>
          <w:w w:val="110"/>
        </w:rPr>
        <w:t>tirar</w:t>
      </w:r>
      <w:r>
        <w:rPr>
          <w:spacing w:val="24"/>
          <w:w w:val="110"/>
        </w:rPr>
        <w:t> </w:t>
      </w:r>
      <w:r>
        <w:rPr>
          <w:w w:val="110"/>
        </w:rPr>
        <w:t>sus</w:t>
      </w:r>
      <w:r>
        <w:rPr>
          <w:spacing w:val="24"/>
          <w:w w:val="110"/>
        </w:rPr>
        <w:t> </w:t>
      </w:r>
      <w:r>
        <w:rPr>
          <w:w w:val="110"/>
        </w:rPr>
        <w:t>medallas</w:t>
      </w:r>
      <w:r>
        <w:rPr>
          <w:spacing w:val="24"/>
          <w:w w:val="110"/>
        </w:rPr>
        <w:t> </w:t>
      </w:r>
      <w:r>
        <w:rPr>
          <w:w w:val="110"/>
        </w:rPr>
        <w:t>en</w:t>
      </w:r>
      <w:r>
        <w:rPr>
          <w:spacing w:val="24"/>
          <w:w w:val="110"/>
        </w:rPr>
        <w:t> </w:t>
      </w:r>
      <w:r>
        <w:rPr>
          <w:w w:val="110"/>
        </w:rPr>
        <w:t>signo</w:t>
      </w:r>
      <w:r>
        <w:rPr>
          <w:w w:val="110"/>
        </w:rPr>
        <w:t> </w:t>
      </w:r>
      <w:r>
        <w:rPr>
          <w:w w:val="110"/>
        </w:rPr>
        <w:t>de desaprobación de la guerra (</w:t>
      </w:r>
      <w:r>
        <w:rPr>
          <w:i/>
          <w:w w:val="110"/>
        </w:rPr>
        <w:t>No More Medals</w:t>
      </w:r>
      <w:r>
        <w:rPr>
          <w:w w:val="110"/>
        </w:rPr>
        <w:t>).</w:t>
      </w:r>
      <w:r>
        <w:rPr>
          <w:w w:val="110"/>
          <w:position w:val="6"/>
          <w:sz w:val="11"/>
        </w:rPr>
        <w:t>19 </w:t>
      </w:r>
      <w:r>
        <w:rPr>
          <w:spacing w:val="-6"/>
          <w:w w:val="150"/>
        </w:rPr>
        <w:t>tal</w:t>
      </w:r>
      <w:r>
        <w:rPr>
          <w:spacing w:val="-5"/>
          <w:w w:val="150"/>
        </w:rPr>
        <w:t> </w:t>
      </w:r>
      <w:r>
        <w:rPr>
          <w:w w:val="110"/>
        </w:rPr>
        <w:t>como</w:t>
      </w:r>
      <w:r>
        <w:rPr>
          <w:spacing w:val="8"/>
          <w:w w:val="110"/>
        </w:rPr>
        <w:t> </w:t>
      </w:r>
      <w:r>
        <w:rPr>
          <w:w w:val="110"/>
        </w:rPr>
        <w:t>advertía</w:t>
      </w:r>
      <w:r>
        <w:rPr>
          <w:w w:val="108"/>
        </w:rPr>
        <w:t> </w:t>
      </w:r>
      <w:r>
        <w:rPr>
          <w:w w:val="110"/>
        </w:rPr>
        <w:t>Habermas (1989), siempre hay algo no dicho u oculto en beneficio </w:t>
      </w:r>
      <w:r>
        <w:rPr>
          <w:spacing w:val="23"/>
          <w:w w:val="110"/>
        </w:rPr>
        <w:t> </w:t>
      </w:r>
      <w:r>
        <w:rPr>
          <w:w w:val="110"/>
        </w:rPr>
        <w:t>de</w:t>
      </w:r>
    </w:p>
    <w:p>
      <w:pPr>
        <w:pStyle w:val="BodyText"/>
        <w:ind w:left="330"/>
        <w:jc w:val="both"/>
      </w:pPr>
      <w:r>
        <w:rPr>
          <w:w w:val="110"/>
        </w:rPr>
        <w:t>lo que sí se decide contar.</w:t>
      </w:r>
    </w:p>
    <w:p>
      <w:pPr>
        <w:pStyle w:val="BodyText"/>
        <w:spacing w:line="252" w:lineRule="auto" w:before="11"/>
        <w:ind w:left="330" w:right="118" w:firstLine="396"/>
        <w:jc w:val="both"/>
      </w:pPr>
      <w:r>
        <w:rPr>
          <w:w w:val="110"/>
        </w:rPr>
        <w:t>debido a estas características y a otros señalamientos, la página oficial de conmemoración de la guerra generó un debate en el que, sin embargo, parece prevalecer una visión que prefiere la “objetividad”  a</w:t>
      </w:r>
    </w:p>
    <w:p>
      <w:pPr>
        <w:pStyle w:val="BodyText"/>
        <w:spacing w:before="6"/>
        <w:rPr>
          <w:sz w:val="29"/>
        </w:rPr>
      </w:pPr>
      <w:r>
        <w:rPr/>
        <w:pict>
          <v:line style="position:absolute;mso-position-horizontal-relative:page;mso-position-vertical-relative:paragraph;z-index:7192;mso-wrap-distance-left:0;mso-wrap-distance-right:0" from="76.5354pt,19.532631pt" to="104.8814pt,19.532631pt" stroked="true" strokeweight=".5pt" strokecolor="#000000">
            <w10:wrap type="topAndBottom"/>
          </v:line>
        </w:pict>
      </w:r>
    </w:p>
    <w:p>
      <w:pPr>
        <w:pStyle w:val="ListParagraph"/>
        <w:numPr>
          <w:ilvl w:val="0"/>
          <w:numId w:val="30"/>
        </w:numPr>
        <w:tabs>
          <w:tab w:pos="586" w:val="left" w:leader="none"/>
        </w:tabs>
        <w:spacing w:line="242" w:lineRule="auto" w:before="89" w:after="0"/>
        <w:ind w:left="330" w:right="119" w:firstLine="0"/>
        <w:jc w:val="left"/>
        <w:rPr>
          <w:sz w:val="16"/>
        </w:rPr>
      </w:pPr>
      <w:r>
        <w:rPr>
          <w:w w:val="105"/>
          <w:sz w:val="16"/>
        </w:rPr>
        <w:t>Para</w:t>
      </w:r>
      <w:r>
        <w:rPr>
          <w:spacing w:val="-6"/>
          <w:w w:val="105"/>
          <w:sz w:val="16"/>
        </w:rPr>
        <w:t> </w:t>
      </w:r>
      <w:r>
        <w:rPr>
          <w:w w:val="105"/>
          <w:sz w:val="16"/>
        </w:rPr>
        <w:t>obtener</w:t>
      </w:r>
      <w:r>
        <w:rPr>
          <w:spacing w:val="-6"/>
          <w:w w:val="105"/>
          <w:sz w:val="16"/>
        </w:rPr>
        <w:t> </w:t>
      </w:r>
      <w:r>
        <w:rPr>
          <w:w w:val="105"/>
          <w:sz w:val="16"/>
        </w:rPr>
        <w:t>información</w:t>
      </w:r>
      <w:r>
        <w:rPr>
          <w:spacing w:val="-6"/>
          <w:w w:val="105"/>
          <w:sz w:val="16"/>
        </w:rPr>
        <w:t> </w:t>
      </w:r>
      <w:r>
        <w:rPr>
          <w:w w:val="105"/>
          <w:sz w:val="16"/>
        </w:rPr>
        <w:t>sobre</w:t>
      </w:r>
      <w:r>
        <w:rPr>
          <w:spacing w:val="-6"/>
          <w:w w:val="105"/>
          <w:sz w:val="16"/>
        </w:rPr>
        <w:t> </w:t>
      </w:r>
      <w:r>
        <w:rPr>
          <w:w w:val="105"/>
          <w:sz w:val="16"/>
        </w:rPr>
        <w:t>estos</w:t>
      </w:r>
      <w:r>
        <w:rPr>
          <w:spacing w:val="-6"/>
          <w:w w:val="105"/>
          <w:sz w:val="16"/>
        </w:rPr>
        <w:t> </w:t>
      </w:r>
      <w:r>
        <w:rPr>
          <w:w w:val="105"/>
          <w:sz w:val="16"/>
        </w:rPr>
        <w:t>procesos</w:t>
      </w:r>
      <w:r>
        <w:rPr>
          <w:spacing w:val="-6"/>
          <w:w w:val="105"/>
          <w:sz w:val="16"/>
        </w:rPr>
        <w:t> </w:t>
      </w:r>
      <w:r>
        <w:rPr>
          <w:w w:val="105"/>
          <w:sz w:val="16"/>
        </w:rPr>
        <w:t>que</w:t>
      </w:r>
      <w:r>
        <w:rPr>
          <w:spacing w:val="-6"/>
          <w:w w:val="105"/>
          <w:sz w:val="16"/>
        </w:rPr>
        <w:t> </w:t>
      </w:r>
      <w:r>
        <w:rPr>
          <w:w w:val="105"/>
          <w:sz w:val="16"/>
        </w:rPr>
        <w:t>calaron</w:t>
      </w:r>
      <w:r>
        <w:rPr>
          <w:spacing w:val="-6"/>
          <w:w w:val="105"/>
          <w:sz w:val="16"/>
        </w:rPr>
        <w:t> </w:t>
      </w:r>
      <w:r>
        <w:rPr>
          <w:w w:val="105"/>
          <w:sz w:val="16"/>
        </w:rPr>
        <w:t>profundo</w:t>
      </w:r>
      <w:r>
        <w:rPr>
          <w:spacing w:val="-6"/>
          <w:w w:val="105"/>
          <w:sz w:val="16"/>
        </w:rPr>
        <w:t> </w:t>
      </w:r>
      <w:r>
        <w:rPr>
          <w:w w:val="105"/>
          <w:sz w:val="16"/>
        </w:rPr>
        <w:t>en</w:t>
      </w:r>
      <w:r>
        <w:rPr>
          <w:spacing w:val="-6"/>
          <w:w w:val="105"/>
          <w:sz w:val="16"/>
        </w:rPr>
        <w:t> </w:t>
      </w:r>
      <w:r>
        <w:rPr>
          <w:w w:val="105"/>
          <w:sz w:val="16"/>
        </w:rPr>
        <w:t>la</w:t>
      </w:r>
      <w:r>
        <w:rPr>
          <w:spacing w:val="-6"/>
          <w:w w:val="105"/>
          <w:sz w:val="16"/>
        </w:rPr>
        <w:t> </w:t>
      </w:r>
      <w:r>
        <w:rPr>
          <w:w w:val="105"/>
          <w:sz w:val="16"/>
        </w:rPr>
        <w:t>sociedad </w:t>
      </w:r>
      <w:r>
        <w:rPr>
          <w:sz w:val="16"/>
        </w:rPr>
        <w:t>estadounidense,     ver   </w:t>
      </w:r>
      <w:r>
        <w:rPr>
          <w:spacing w:val="1"/>
          <w:sz w:val="16"/>
        </w:rPr>
        <w:t> </w:t>
      </w:r>
      <w:hyperlink r:id="rId374">
        <w:r>
          <w:rPr>
            <w:spacing w:val="-3"/>
            <w:sz w:val="16"/>
          </w:rPr>
          <w:t>&lt;https://www.marxists.org/history/usa/workers/black-panthers/&gt;,</w:t>
        </w:r>
      </w:hyperlink>
    </w:p>
    <w:p>
      <w:pPr>
        <w:spacing w:before="0"/>
        <w:ind w:left="330" w:right="41" w:firstLine="0"/>
        <w:jc w:val="left"/>
        <w:rPr>
          <w:sz w:val="16"/>
        </w:rPr>
      </w:pPr>
      <w:hyperlink r:id="rId375">
        <w:r>
          <w:rPr>
            <w:w w:val="105"/>
            <w:sz w:val="16"/>
          </w:rPr>
          <w:t>&lt;http://zinnedproject.org/materials/rethinking-the-teaching-of-the-vietnam-war/&gt;,</w:t>
        </w:r>
      </w:hyperlink>
    </w:p>
    <w:p>
      <w:pPr>
        <w:spacing w:before="2"/>
        <w:ind w:left="330" w:right="321" w:firstLine="0"/>
        <w:jc w:val="left"/>
        <w:rPr>
          <w:sz w:val="16"/>
        </w:rPr>
      </w:pPr>
      <w:hyperlink r:id="rId376">
        <w:r>
          <w:rPr>
            <w:w w:val="105"/>
            <w:sz w:val="16"/>
          </w:rPr>
          <w:t>&lt;http://www.investigatingpower.org/timelines/vietnam/&gt;.</w:t>
        </w:r>
      </w:hyperlink>
    </w:p>
    <w:p>
      <w:pPr>
        <w:pStyle w:val="ListParagraph"/>
        <w:numPr>
          <w:ilvl w:val="0"/>
          <w:numId w:val="30"/>
        </w:numPr>
        <w:tabs>
          <w:tab w:pos="586" w:val="left" w:leader="none"/>
        </w:tabs>
        <w:spacing w:line="242" w:lineRule="auto" w:before="59" w:after="0"/>
        <w:ind w:left="330" w:right="117" w:firstLine="0"/>
        <w:jc w:val="left"/>
        <w:rPr>
          <w:sz w:val="16"/>
        </w:rPr>
      </w:pPr>
      <w:r>
        <w:rPr>
          <w:w w:val="105"/>
          <w:sz w:val="16"/>
        </w:rPr>
        <w:t>El 23 de abril de 1971, veteranos de Vietnam tiran más de 700 medallas en el Capitolio.</w:t>
      </w:r>
    </w:p>
    <w:p>
      <w:pPr>
        <w:spacing w:after="0" w:line="242" w:lineRule="auto"/>
        <w:jc w:val="left"/>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7"/>
        <w:jc w:val="both"/>
      </w:pPr>
      <w:r>
        <w:rPr>
          <w:w w:val="108"/>
        </w:rPr>
        <w:t>generar</w:t>
      </w:r>
      <w:r>
        <w:rPr/>
        <w:t> </w:t>
      </w:r>
      <w:r>
        <w:rPr>
          <w:spacing w:val="-10"/>
        </w:rPr>
        <w:t> </w:t>
      </w:r>
      <w:r>
        <w:rPr>
          <w:w w:val="112"/>
        </w:rPr>
        <w:t>una</w:t>
      </w:r>
      <w:r>
        <w:rPr/>
        <w:t> </w:t>
      </w:r>
      <w:r>
        <w:rPr>
          <w:spacing w:val="-10"/>
        </w:rPr>
        <w:t> </w:t>
      </w:r>
      <w:r>
        <w:rPr>
          <w:w w:val="111"/>
        </w:rPr>
        <w:t>opinión</w:t>
      </w:r>
      <w:r>
        <w:rPr/>
        <w:t> </w:t>
      </w:r>
      <w:r>
        <w:rPr>
          <w:spacing w:val="-10"/>
        </w:rPr>
        <w:t> </w:t>
      </w:r>
      <w:r>
        <w:rPr>
          <w:w w:val="112"/>
        </w:rPr>
        <w:t>pública</w:t>
      </w:r>
      <w:r>
        <w:rPr/>
        <w:t> </w:t>
      </w:r>
      <w:r>
        <w:rPr>
          <w:spacing w:val="-10"/>
        </w:rPr>
        <w:t> </w:t>
      </w:r>
      <w:r>
        <w:rPr>
          <w:w w:val="110"/>
        </w:rPr>
        <w:t>consciente</w:t>
      </w:r>
      <w:r>
        <w:rPr/>
        <w:t> </w:t>
      </w:r>
      <w:r>
        <w:rPr>
          <w:spacing w:val="-10"/>
        </w:rPr>
        <w:t> </w:t>
      </w:r>
      <w:r>
        <w:rPr>
          <w:w w:val="105"/>
        </w:rPr>
        <w:t>y</w:t>
      </w:r>
      <w:r>
        <w:rPr/>
        <w:t> </w:t>
      </w:r>
      <w:r>
        <w:rPr>
          <w:spacing w:val="-10"/>
        </w:rPr>
        <w:t> </w:t>
      </w:r>
      <w:r>
        <w:rPr>
          <w:w w:val="114"/>
        </w:rPr>
        <w:t>crítica.</w:t>
      </w:r>
      <w:r>
        <w:rPr/>
        <w:t> </w:t>
      </w:r>
      <w:r>
        <w:rPr>
          <w:spacing w:val="-10"/>
        </w:rPr>
        <w:t> </w:t>
      </w:r>
      <w:r>
        <w:rPr>
          <w:w w:val="243"/>
        </w:rPr>
        <w:t>l</w:t>
      </w:r>
      <w:r>
        <w:rPr>
          <w:w w:val="112"/>
        </w:rPr>
        <w:t>a</w:t>
      </w:r>
      <w:r>
        <w:rPr/>
        <w:t> </w:t>
      </w:r>
      <w:r>
        <w:rPr>
          <w:spacing w:val="-10"/>
        </w:rPr>
        <w:t> </w:t>
      </w:r>
      <w:r>
        <w:rPr>
          <w:w w:val="139"/>
        </w:rPr>
        <w:t>a</w:t>
      </w:r>
      <w:r>
        <w:rPr>
          <w:w w:val="112"/>
        </w:rPr>
        <w:t>sociación</w:t>
      </w:r>
      <w:r>
        <w:rPr/>
        <w:t> </w:t>
      </w:r>
      <w:r>
        <w:rPr>
          <w:spacing w:val="-10"/>
        </w:rPr>
        <w:t> </w:t>
      </w:r>
      <w:r>
        <w:rPr>
          <w:w w:val="118"/>
        </w:rPr>
        <w:t>Es</w:t>
      </w:r>
      <w:r>
        <w:rPr>
          <w:w w:val="102"/>
        </w:rPr>
        <w:t>- </w:t>
      </w:r>
      <w:r>
        <w:rPr>
          <w:w w:val="110"/>
        </w:rPr>
        <w:t>tadounidense de Historia, al comentar sobre la tensión que creó esta conmemoración entre la postura oficial y la visión de historiadores, </w:t>
      </w:r>
      <w:r>
        <w:rPr>
          <w:w w:val="109"/>
        </w:rPr>
        <w:t>activistas</w:t>
      </w:r>
      <w:r>
        <w:rPr>
          <w:spacing w:val="16"/>
        </w:rPr>
        <w:t> </w:t>
      </w:r>
      <w:r>
        <w:rPr>
          <w:w w:val="105"/>
        </w:rPr>
        <w:t>y</w:t>
      </w:r>
      <w:r>
        <w:rPr>
          <w:spacing w:val="16"/>
        </w:rPr>
        <w:t> </w:t>
      </w:r>
      <w:r>
        <w:rPr>
          <w:w w:val="107"/>
        </w:rPr>
        <w:t>ex</w:t>
      </w:r>
      <w:r>
        <w:rPr>
          <w:spacing w:val="16"/>
        </w:rPr>
        <w:t> </w:t>
      </w:r>
      <w:r>
        <w:rPr>
          <w:w w:val="111"/>
        </w:rPr>
        <w:t>combatientes,</w:t>
      </w:r>
      <w:r>
        <w:rPr>
          <w:spacing w:val="16"/>
        </w:rPr>
        <w:t> </w:t>
      </w:r>
      <w:r>
        <w:rPr>
          <w:w w:val="110"/>
        </w:rPr>
        <w:t>aduce</w:t>
      </w:r>
      <w:r>
        <w:rPr>
          <w:spacing w:val="16"/>
        </w:rPr>
        <w:t> </w:t>
      </w:r>
      <w:r>
        <w:rPr>
          <w:w w:val="108"/>
        </w:rPr>
        <w:t>que:</w:t>
      </w:r>
      <w:r>
        <w:rPr>
          <w:spacing w:val="16"/>
        </w:rPr>
        <w:t> </w:t>
      </w:r>
      <w:r>
        <w:rPr>
          <w:w w:val="115"/>
        </w:rPr>
        <w:t>“</w:t>
      </w:r>
      <w:r>
        <w:rPr>
          <w:w w:val="243"/>
        </w:rPr>
        <w:t>l</w:t>
      </w:r>
      <w:r>
        <w:rPr>
          <w:w w:val="112"/>
        </w:rPr>
        <w:t>a</w:t>
      </w:r>
      <w:r>
        <w:rPr>
          <w:spacing w:val="16"/>
        </w:rPr>
        <w:t> </w:t>
      </w:r>
      <w:r>
        <w:rPr>
          <w:w w:val="111"/>
        </w:rPr>
        <w:t>página</w:t>
      </w:r>
      <w:r>
        <w:rPr>
          <w:spacing w:val="16"/>
        </w:rPr>
        <w:t> </w:t>
      </w:r>
      <w:r>
        <w:rPr>
          <w:w w:val="110"/>
        </w:rPr>
        <w:t>oficial</w:t>
      </w:r>
      <w:r>
        <w:rPr>
          <w:spacing w:val="16"/>
        </w:rPr>
        <w:t> </w:t>
      </w:r>
      <w:r>
        <w:rPr>
          <w:w w:val="107"/>
        </w:rPr>
        <w:t>de</w:t>
      </w:r>
      <w:r>
        <w:rPr>
          <w:spacing w:val="16"/>
        </w:rPr>
        <w:t> </w:t>
      </w:r>
      <w:r>
        <w:rPr>
          <w:w w:val="111"/>
        </w:rPr>
        <w:t>conme</w:t>
      </w:r>
      <w:r>
        <w:rPr>
          <w:w w:val="102"/>
        </w:rPr>
        <w:t>- </w:t>
      </w:r>
      <w:r>
        <w:rPr>
          <w:w w:val="110"/>
        </w:rPr>
        <w:t>moración de la guerra de Vietnam parece mostrar un punto de</w:t>
      </w:r>
      <w:r>
        <w:rPr>
          <w:spacing w:val="-21"/>
          <w:w w:val="110"/>
        </w:rPr>
        <w:t> </w:t>
      </w:r>
      <w:r>
        <w:rPr>
          <w:w w:val="110"/>
        </w:rPr>
        <w:t>enfren- tamiento sin solución entre aquellos que creen en una historia militar del conflicto de modo aislado, y aquellos que insisten en la necesidad de ubicarla en un contexto más amplio” (swafford, 2014).</w:t>
      </w:r>
      <w:r>
        <w:rPr>
          <w:w w:val="110"/>
          <w:position w:val="6"/>
          <w:sz w:val="11"/>
        </w:rPr>
        <w:t>20 </w:t>
      </w:r>
      <w:r>
        <w:rPr>
          <w:w w:val="110"/>
        </w:rPr>
        <w:t>una vez más, presenciamos estas dicotomías anunciadas por </w:t>
      </w:r>
      <w:r>
        <w:rPr>
          <w:spacing w:val="-3"/>
          <w:w w:val="110"/>
        </w:rPr>
        <w:t>Chomsky, </w:t>
      </w:r>
      <w:r>
        <w:rPr>
          <w:w w:val="110"/>
        </w:rPr>
        <w:t>pues si deseamos realizar un análisis más profundo, no se trata de una mera </w:t>
      </w:r>
      <w:r>
        <w:rPr>
          <w:i/>
          <w:w w:val="110"/>
        </w:rPr>
        <w:t>perspectiva</w:t>
      </w:r>
      <w:r>
        <w:rPr>
          <w:w w:val="110"/>
        </w:rPr>
        <w:t>, sino de la </w:t>
      </w:r>
      <w:r>
        <w:rPr>
          <w:i/>
          <w:w w:val="110"/>
        </w:rPr>
        <w:t>cosmovisión </w:t>
      </w:r>
      <w:r>
        <w:rPr>
          <w:w w:val="110"/>
        </w:rPr>
        <w:t>sobre la guerra y su vínculo con     el capitalismo, la manera en que es justificada por una ideología y se materializa en prácticas políticas, culturales, de género,  </w:t>
      </w:r>
      <w:r>
        <w:rPr>
          <w:spacing w:val="7"/>
          <w:w w:val="110"/>
        </w:rPr>
        <w:t> </w:t>
      </w:r>
      <w:r>
        <w:rPr>
          <w:w w:val="110"/>
        </w:rPr>
        <w:t>etc.</w:t>
      </w:r>
    </w:p>
    <w:p>
      <w:pPr>
        <w:pStyle w:val="BodyText"/>
        <w:spacing w:before="5"/>
      </w:pPr>
    </w:p>
    <w:p>
      <w:pPr>
        <w:pStyle w:val="Heading6"/>
        <w:spacing w:line="244" w:lineRule="auto"/>
        <w:ind w:left="121" w:right="1710"/>
        <w:jc w:val="left"/>
      </w:pPr>
      <w:r>
        <w:rPr>
          <w:spacing w:val="2"/>
          <w:w w:val="140"/>
        </w:rPr>
        <w:t>reflexiones</w:t>
      </w:r>
      <w:r>
        <w:rPr>
          <w:spacing w:val="-53"/>
          <w:w w:val="140"/>
        </w:rPr>
        <w:t> </w:t>
      </w:r>
      <w:r>
        <w:rPr>
          <w:w w:val="140"/>
        </w:rPr>
        <w:t>finales:</w:t>
      </w:r>
      <w:r>
        <w:rPr>
          <w:spacing w:val="-53"/>
          <w:w w:val="140"/>
        </w:rPr>
        <w:t> </w:t>
      </w:r>
      <w:r>
        <w:rPr>
          <w:spacing w:val="3"/>
          <w:w w:val="140"/>
        </w:rPr>
        <w:t>la</w:t>
      </w:r>
      <w:r>
        <w:rPr>
          <w:spacing w:val="-53"/>
          <w:w w:val="140"/>
        </w:rPr>
        <w:t> </w:t>
      </w:r>
      <w:r>
        <w:rPr>
          <w:w w:val="140"/>
        </w:rPr>
        <w:t>Militarización</w:t>
      </w:r>
      <w:r>
        <w:rPr>
          <w:spacing w:val="-53"/>
          <w:w w:val="140"/>
        </w:rPr>
        <w:t> </w:t>
      </w:r>
      <w:r>
        <w:rPr>
          <w:w w:val="140"/>
        </w:rPr>
        <w:t>coMo </w:t>
      </w:r>
      <w:r>
        <w:rPr>
          <w:spacing w:val="2"/>
          <w:w w:val="130"/>
        </w:rPr>
        <w:t>Modo </w:t>
      </w:r>
      <w:r>
        <w:rPr>
          <w:w w:val="130"/>
        </w:rPr>
        <w:t>de vida</w:t>
      </w:r>
    </w:p>
    <w:p>
      <w:pPr>
        <w:pStyle w:val="BodyText"/>
        <w:spacing w:line="252" w:lineRule="auto" w:before="5"/>
        <w:ind w:left="120" w:right="328"/>
        <w:jc w:val="both"/>
      </w:pPr>
      <w:r>
        <w:rPr>
          <w:w w:val="243"/>
        </w:rPr>
        <w:t>l</w:t>
      </w:r>
      <w:r>
        <w:rPr>
          <w:w w:val="110"/>
        </w:rPr>
        <w:t>o</w:t>
      </w:r>
      <w:r>
        <w:rPr>
          <w:spacing w:val="10"/>
        </w:rPr>
        <w:t> </w:t>
      </w:r>
      <w:r>
        <w:rPr>
          <w:w w:val="106"/>
        </w:rPr>
        <w:t>grave</w:t>
      </w:r>
      <w:r>
        <w:rPr>
          <w:spacing w:val="10"/>
        </w:rPr>
        <w:t> </w:t>
      </w:r>
      <w:r>
        <w:rPr>
          <w:w w:val="107"/>
        </w:rPr>
        <w:t>del</w:t>
      </w:r>
      <w:r>
        <w:rPr>
          <w:spacing w:val="10"/>
        </w:rPr>
        <w:t> </w:t>
      </w:r>
      <w:r>
        <w:rPr>
          <w:w w:val="111"/>
        </w:rPr>
        <w:t>modo</w:t>
      </w:r>
      <w:r>
        <w:rPr>
          <w:spacing w:val="10"/>
        </w:rPr>
        <w:t> </w:t>
      </w:r>
      <w:r>
        <w:rPr>
          <w:w w:val="108"/>
        </w:rPr>
        <w:t>en</w:t>
      </w:r>
      <w:r>
        <w:rPr>
          <w:spacing w:val="10"/>
        </w:rPr>
        <w:t> </w:t>
      </w:r>
      <w:r>
        <w:rPr>
          <w:w w:val="108"/>
        </w:rPr>
        <w:t>que</w:t>
      </w:r>
      <w:r>
        <w:rPr>
          <w:spacing w:val="10"/>
        </w:rPr>
        <w:t> </w:t>
      </w:r>
      <w:r>
        <w:rPr>
          <w:w w:val="105"/>
        </w:rPr>
        <w:t>se</w:t>
      </w:r>
      <w:r>
        <w:rPr>
          <w:spacing w:val="10"/>
        </w:rPr>
        <w:t> </w:t>
      </w:r>
      <w:r>
        <w:rPr>
          <w:w w:val="108"/>
        </w:rPr>
        <w:t>recuerda</w:t>
      </w:r>
      <w:r>
        <w:rPr>
          <w:spacing w:val="10"/>
        </w:rPr>
        <w:t> </w:t>
      </w:r>
      <w:r>
        <w:rPr>
          <w:w w:val="105"/>
        </w:rPr>
        <w:t>y</w:t>
      </w:r>
      <w:r>
        <w:rPr>
          <w:spacing w:val="10"/>
        </w:rPr>
        <w:t> </w:t>
      </w:r>
      <w:r>
        <w:rPr>
          <w:w w:val="108"/>
        </w:rPr>
        <w:t>reescriben</w:t>
      </w:r>
      <w:r>
        <w:rPr>
          <w:spacing w:val="10"/>
        </w:rPr>
        <w:t> </w:t>
      </w:r>
      <w:r>
        <w:rPr>
          <w:w w:val="111"/>
        </w:rPr>
        <w:t>la</w:t>
      </w:r>
      <w:r>
        <w:rPr>
          <w:spacing w:val="10"/>
        </w:rPr>
        <w:t> </w:t>
      </w:r>
      <w:r>
        <w:rPr>
          <w:w w:val="111"/>
        </w:rPr>
        <w:t>historia,</w:t>
      </w:r>
      <w:r>
        <w:rPr>
          <w:spacing w:val="10"/>
        </w:rPr>
        <w:t> </w:t>
      </w:r>
      <w:r>
        <w:rPr>
          <w:w w:val="109"/>
        </w:rPr>
        <w:t>las</w:t>
      </w:r>
      <w:r>
        <w:rPr>
          <w:spacing w:val="10"/>
        </w:rPr>
        <w:t> </w:t>
      </w:r>
      <w:r>
        <w:rPr>
          <w:w w:val="110"/>
        </w:rPr>
        <w:t>m</w:t>
      </w:r>
      <w:r>
        <w:rPr>
          <w:spacing w:val="-1"/>
          <w:w w:val="110"/>
        </w:rPr>
        <w:t>e</w:t>
      </w:r>
      <w:r>
        <w:rPr>
          <w:w w:val="102"/>
        </w:rPr>
        <w:t>- </w:t>
      </w:r>
      <w:r>
        <w:rPr>
          <w:w w:val="110"/>
        </w:rPr>
        <w:t>morias, lo que se dice y lo que se calla, reside en que es una manera  de legitimar los procesos y tendencias actuales. En este sentido, el presidente obama sintetizó la postura de la elite del poder estadou- nidense en su discurso del </w:t>
      </w:r>
      <w:r>
        <w:rPr>
          <w:i/>
          <w:w w:val="110"/>
        </w:rPr>
        <w:t>Memorial Day </w:t>
      </w:r>
      <w:r>
        <w:rPr>
          <w:w w:val="110"/>
        </w:rPr>
        <w:t>de 2012, cuando aseguró a los veteranos: “ustedes hicieron su trabajo. sirvieron con </w:t>
      </w:r>
      <w:r>
        <w:rPr>
          <w:spacing w:val="-4"/>
          <w:w w:val="110"/>
        </w:rPr>
        <w:t>honor. </w:t>
      </w:r>
      <w:r>
        <w:rPr>
          <w:w w:val="110"/>
        </w:rPr>
        <w:t>Nos hicieron sentir orgullosos. Volvieron a casa y ayudaron a construir el país que queremos y cuidamos”. además, se ocupó de desestimar las posturas críticas sobre la guerra: “algunos han dicho que esta guerra es una cicatriz para nuestro país. Pero esto es lo que opino: mientras las</w:t>
      </w:r>
      <w:r>
        <w:rPr>
          <w:spacing w:val="-3"/>
          <w:w w:val="110"/>
        </w:rPr>
        <w:t> </w:t>
      </w:r>
      <w:r>
        <w:rPr>
          <w:w w:val="110"/>
        </w:rPr>
        <w:t>heridas</w:t>
      </w:r>
      <w:r>
        <w:rPr>
          <w:spacing w:val="-3"/>
          <w:w w:val="110"/>
        </w:rPr>
        <w:t> </w:t>
      </w:r>
      <w:r>
        <w:rPr>
          <w:w w:val="110"/>
        </w:rPr>
        <w:t>se</w:t>
      </w:r>
      <w:r>
        <w:rPr>
          <w:spacing w:val="-3"/>
          <w:w w:val="110"/>
        </w:rPr>
        <w:t> </w:t>
      </w:r>
      <w:r>
        <w:rPr>
          <w:w w:val="110"/>
        </w:rPr>
        <w:t>curan,</w:t>
      </w:r>
      <w:r>
        <w:rPr>
          <w:spacing w:val="-3"/>
          <w:w w:val="110"/>
        </w:rPr>
        <w:t> </w:t>
      </w:r>
      <w:r>
        <w:rPr>
          <w:w w:val="110"/>
        </w:rPr>
        <w:t>el</w:t>
      </w:r>
      <w:r>
        <w:rPr>
          <w:spacing w:val="-3"/>
          <w:w w:val="110"/>
        </w:rPr>
        <w:t> </w:t>
      </w:r>
      <w:r>
        <w:rPr>
          <w:w w:val="110"/>
        </w:rPr>
        <w:t>tejido</w:t>
      </w:r>
      <w:r>
        <w:rPr>
          <w:spacing w:val="-3"/>
          <w:w w:val="110"/>
        </w:rPr>
        <w:t> </w:t>
      </w:r>
      <w:r>
        <w:rPr>
          <w:w w:val="110"/>
        </w:rPr>
        <w:t>junto</w:t>
      </w:r>
      <w:r>
        <w:rPr>
          <w:spacing w:val="-3"/>
          <w:w w:val="110"/>
        </w:rPr>
        <w:t> </w:t>
      </w:r>
      <w:r>
        <w:rPr>
          <w:w w:val="110"/>
        </w:rPr>
        <w:t>a</w:t>
      </w:r>
      <w:r>
        <w:rPr>
          <w:spacing w:val="-3"/>
          <w:w w:val="110"/>
        </w:rPr>
        <w:t> </w:t>
      </w:r>
      <w:r>
        <w:rPr>
          <w:w w:val="110"/>
        </w:rPr>
        <w:t>ella</w:t>
      </w:r>
      <w:r>
        <w:rPr>
          <w:spacing w:val="-3"/>
          <w:w w:val="110"/>
        </w:rPr>
        <w:t> </w:t>
      </w:r>
      <w:r>
        <w:rPr>
          <w:w w:val="110"/>
        </w:rPr>
        <w:t>se</w:t>
      </w:r>
      <w:r>
        <w:rPr>
          <w:spacing w:val="-3"/>
          <w:w w:val="110"/>
        </w:rPr>
        <w:t> </w:t>
      </w:r>
      <w:r>
        <w:rPr>
          <w:w w:val="110"/>
        </w:rPr>
        <w:t>vuelve</w:t>
      </w:r>
      <w:r>
        <w:rPr>
          <w:spacing w:val="-3"/>
          <w:w w:val="110"/>
        </w:rPr>
        <w:t> </w:t>
      </w:r>
      <w:r>
        <w:rPr>
          <w:w w:val="110"/>
        </w:rPr>
        <w:t>más</w:t>
      </w:r>
      <w:r>
        <w:rPr>
          <w:spacing w:val="-3"/>
          <w:w w:val="110"/>
        </w:rPr>
        <w:t> </w:t>
      </w:r>
      <w:r>
        <w:rPr>
          <w:w w:val="110"/>
        </w:rPr>
        <w:t>grueso</w:t>
      </w:r>
      <w:r>
        <w:rPr>
          <w:spacing w:val="-3"/>
          <w:w w:val="110"/>
        </w:rPr>
        <w:t> </w:t>
      </w:r>
      <w:r>
        <w:rPr>
          <w:w w:val="110"/>
        </w:rPr>
        <w:t>y</w:t>
      </w:r>
      <w:r>
        <w:rPr>
          <w:spacing w:val="-3"/>
          <w:w w:val="110"/>
        </w:rPr>
        <w:t> </w:t>
      </w:r>
      <w:r>
        <w:rPr>
          <w:w w:val="110"/>
        </w:rPr>
        <w:t>fuerte que antes. Y es en este sentido que debemos comenzar a visualizar el verdadero legado de Vietnam. Es gracias a Vietnam y nuestros vetera- nos que sabemos utilizar de modo más inteligente nuestro </w:t>
      </w:r>
      <w:r>
        <w:rPr>
          <w:spacing w:val="-4"/>
          <w:w w:val="110"/>
        </w:rPr>
        <w:t>poder, </w:t>
      </w:r>
      <w:r>
        <w:rPr>
          <w:w w:val="110"/>
        </w:rPr>
        <w:t>que honramos más a nuestros militares y cuidamos mejor a nuestros vete- ranos. Esto es gracias a las duras lecciones de Vietnam, gracias a uds. Estados unidos es más fuerte que antes (</w:t>
      </w:r>
      <w:r>
        <w:rPr>
          <w:i/>
          <w:w w:val="110"/>
        </w:rPr>
        <w:t>aplausos</w:t>
      </w:r>
      <w:r>
        <w:rPr>
          <w:w w:val="110"/>
        </w:rPr>
        <w:t>)” (obama,  </w:t>
      </w:r>
      <w:r>
        <w:rPr>
          <w:spacing w:val="21"/>
          <w:w w:val="110"/>
        </w:rPr>
        <w:t> </w:t>
      </w:r>
      <w:r>
        <w:rPr>
          <w:w w:val="110"/>
        </w:rPr>
        <w:t>2012).</w:t>
      </w:r>
    </w:p>
    <w:p>
      <w:pPr>
        <w:pStyle w:val="BodyText"/>
        <w:spacing w:line="252" w:lineRule="auto"/>
        <w:ind w:left="120" w:right="328" w:firstLine="396"/>
        <w:jc w:val="both"/>
      </w:pPr>
      <w:r>
        <w:rPr>
          <w:w w:val="110"/>
        </w:rPr>
        <w:t>¿Por qué y para qué el presidente obama puede decir esto –y ser aplaudido– en el marco de la actual devastación de Medio oriente, los conflictos en ucrania y la intervención en  Venezuela?</w:t>
      </w:r>
    </w:p>
    <w:p>
      <w:pPr>
        <w:pStyle w:val="BodyText"/>
        <w:spacing w:line="252" w:lineRule="auto"/>
        <w:ind w:left="120" w:right="330" w:firstLine="396"/>
        <w:jc w:val="both"/>
      </w:pPr>
      <w:r>
        <w:rPr>
          <w:spacing w:val="-2"/>
          <w:w w:val="238"/>
        </w:rPr>
        <w:t>l</w:t>
      </w:r>
      <w:r>
        <w:rPr>
          <w:w w:val="110"/>
        </w:rPr>
        <w:t>a</w:t>
      </w:r>
      <w:r>
        <w:rPr>
          <w:spacing w:val="11"/>
        </w:rPr>
        <w:t> </w:t>
      </w:r>
      <w:r>
        <w:rPr>
          <w:spacing w:val="-2"/>
          <w:w w:val="107"/>
        </w:rPr>
        <w:t>antropólog</w:t>
      </w:r>
      <w:r>
        <w:rPr>
          <w:w w:val="107"/>
        </w:rPr>
        <w:t>a</w:t>
      </w:r>
      <w:r>
        <w:rPr>
          <w:spacing w:val="11"/>
        </w:rPr>
        <w:t> </w:t>
      </w:r>
      <w:r>
        <w:rPr>
          <w:spacing w:val="-2"/>
          <w:w w:val="106"/>
        </w:rPr>
        <w:t>estadounidens</w:t>
      </w:r>
      <w:r>
        <w:rPr>
          <w:w w:val="106"/>
        </w:rPr>
        <w:t>e</w:t>
      </w:r>
      <w:r>
        <w:rPr>
          <w:spacing w:val="11"/>
        </w:rPr>
        <w:t> </w:t>
      </w:r>
      <w:r>
        <w:rPr>
          <w:spacing w:val="-2"/>
          <w:w w:val="108"/>
        </w:rPr>
        <w:t>Catherin</w:t>
      </w:r>
      <w:r>
        <w:rPr>
          <w:w w:val="108"/>
        </w:rPr>
        <w:t>e</w:t>
      </w:r>
      <w:r>
        <w:rPr>
          <w:spacing w:val="11"/>
        </w:rPr>
        <w:t> </w:t>
      </w:r>
      <w:r>
        <w:rPr>
          <w:spacing w:val="-2"/>
          <w:w w:val="238"/>
        </w:rPr>
        <w:t>l</w:t>
      </w:r>
      <w:r>
        <w:rPr>
          <w:spacing w:val="-2"/>
          <w:w w:val="112"/>
        </w:rPr>
        <w:t>utz</w:t>
      </w:r>
      <w:r>
        <w:rPr>
          <w:w w:val="112"/>
        </w:rPr>
        <w:t>,</w:t>
      </w:r>
      <w:r>
        <w:rPr>
          <w:spacing w:val="11"/>
        </w:rPr>
        <w:t> </w:t>
      </w:r>
      <w:r>
        <w:rPr>
          <w:spacing w:val="-2"/>
          <w:w w:val="110"/>
        </w:rPr>
        <w:t>u</w:t>
      </w:r>
      <w:r>
        <w:rPr>
          <w:w w:val="110"/>
        </w:rPr>
        <w:t>n</w:t>
      </w:r>
      <w:r>
        <w:rPr>
          <w:spacing w:val="11"/>
        </w:rPr>
        <w:t> </w:t>
      </w:r>
      <w:r>
        <w:rPr>
          <w:spacing w:val="-2"/>
          <w:w w:val="109"/>
        </w:rPr>
        <w:t>añ</w:t>
      </w:r>
      <w:r>
        <w:rPr>
          <w:w w:val="109"/>
        </w:rPr>
        <w:t>o</w:t>
      </w:r>
      <w:r>
        <w:rPr>
          <w:spacing w:val="11"/>
        </w:rPr>
        <w:t> </w:t>
      </w:r>
      <w:r>
        <w:rPr>
          <w:spacing w:val="-2"/>
          <w:w w:val="105"/>
        </w:rPr>
        <w:t>despué</w:t>
      </w:r>
      <w:r>
        <w:rPr>
          <w:w w:val="105"/>
        </w:rPr>
        <w:t>s</w:t>
      </w:r>
      <w:r>
        <w:rPr>
          <w:spacing w:val="11"/>
        </w:rPr>
        <w:t> </w:t>
      </w:r>
      <w:r>
        <w:rPr>
          <w:spacing w:val="-2"/>
          <w:w w:val="105"/>
        </w:rPr>
        <w:t>del </w:t>
      </w:r>
      <w:r>
        <w:rPr>
          <w:w w:val="115"/>
        </w:rPr>
        <w:t>atentado</w:t>
      </w:r>
      <w:r>
        <w:rPr>
          <w:spacing w:val="-13"/>
          <w:w w:val="115"/>
        </w:rPr>
        <w:t> </w:t>
      </w:r>
      <w:r>
        <w:rPr>
          <w:w w:val="115"/>
        </w:rPr>
        <w:t>a</w:t>
      </w:r>
      <w:r>
        <w:rPr>
          <w:spacing w:val="-13"/>
          <w:w w:val="115"/>
        </w:rPr>
        <w:t> </w:t>
      </w:r>
      <w:r>
        <w:rPr>
          <w:w w:val="115"/>
        </w:rPr>
        <w:t>las</w:t>
      </w:r>
      <w:r>
        <w:rPr>
          <w:spacing w:val="-13"/>
          <w:w w:val="115"/>
        </w:rPr>
        <w:t> </w:t>
      </w:r>
      <w:r>
        <w:rPr>
          <w:spacing w:val="-5"/>
          <w:w w:val="115"/>
        </w:rPr>
        <w:t>torres</w:t>
      </w:r>
      <w:r>
        <w:rPr>
          <w:spacing w:val="-13"/>
          <w:w w:val="115"/>
        </w:rPr>
        <w:t> </w:t>
      </w:r>
      <w:r>
        <w:rPr>
          <w:w w:val="115"/>
        </w:rPr>
        <w:t>Gemelas,</w:t>
      </w:r>
      <w:r>
        <w:rPr>
          <w:spacing w:val="-13"/>
          <w:w w:val="115"/>
        </w:rPr>
        <w:t> </w:t>
      </w:r>
      <w:r>
        <w:rPr>
          <w:w w:val="115"/>
        </w:rPr>
        <w:t>advertía</w:t>
      </w:r>
      <w:r>
        <w:rPr>
          <w:spacing w:val="-13"/>
          <w:w w:val="115"/>
        </w:rPr>
        <w:t> </w:t>
      </w:r>
      <w:r>
        <w:rPr>
          <w:w w:val="115"/>
        </w:rPr>
        <w:t>sobre</w:t>
      </w:r>
      <w:r>
        <w:rPr>
          <w:spacing w:val="-13"/>
          <w:w w:val="115"/>
        </w:rPr>
        <w:t> </w:t>
      </w:r>
      <w:r>
        <w:rPr>
          <w:w w:val="115"/>
        </w:rPr>
        <w:t>la</w:t>
      </w:r>
      <w:r>
        <w:rPr>
          <w:spacing w:val="-13"/>
          <w:w w:val="115"/>
        </w:rPr>
        <w:t> </w:t>
      </w:r>
      <w:r>
        <w:rPr>
          <w:w w:val="115"/>
        </w:rPr>
        <w:t>creciente</w:t>
      </w:r>
      <w:r>
        <w:rPr>
          <w:spacing w:val="-13"/>
          <w:w w:val="115"/>
        </w:rPr>
        <w:t> </w:t>
      </w:r>
      <w:r>
        <w:rPr>
          <w:w w:val="115"/>
        </w:rPr>
        <w:t>y</w:t>
      </w:r>
      <w:r>
        <w:rPr>
          <w:spacing w:val="-13"/>
          <w:w w:val="115"/>
        </w:rPr>
        <w:t> </w:t>
      </w:r>
      <w:r>
        <w:rPr>
          <w:w w:val="115"/>
        </w:rPr>
        <w:t>profunda </w:t>
      </w:r>
      <w:r>
        <w:rPr>
          <w:w w:val="110"/>
        </w:rPr>
        <w:t>militarización</w:t>
      </w:r>
      <w:r>
        <w:rPr>
          <w:spacing w:val="-9"/>
          <w:w w:val="110"/>
        </w:rPr>
        <w:t> </w:t>
      </w:r>
      <w:r>
        <w:rPr>
          <w:w w:val="110"/>
        </w:rPr>
        <w:t>de</w:t>
      </w:r>
      <w:r>
        <w:rPr>
          <w:spacing w:val="-9"/>
          <w:w w:val="110"/>
        </w:rPr>
        <w:t> </w:t>
      </w:r>
      <w:r>
        <w:rPr>
          <w:w w:val="110"/>
        </w:rPr>
        <w:t>la</w:t>
      </w:r>
      <w:r>
        <w:rPr>
          <w:spacing w:val="-9"/>
          <w:w w:val="110"/>
        </w:rPr>
        <w:t> </w:t>
      </w:r>
      <w:r>
        <w:rPr>
          <w:w w:val="110"/>
        </w:rPr>
        <w:t>sociedad</w:t>
      </w:r>
      <w:r>
        <w:rPr>
          <w:spacing w:val="-9"/>
          <w:w w:val="110"/>
        </w:rPr>
        <w:t> </w:t>
      </w:r>
      <w:r>
        <w:rPr>
          <w:w w:val="110"/>
        </w:rPr>
        <w:t>estadounidense,</w:t>
      </w:r>
      <w:r>
        <w:rPr>
          <w:spacing w:val="-9"/>
          <w:w w:val="110"/>
        </w:rPr>
        <w:t> </w:t>
      </w:r>
      <w:r>
        <w:rPr>
          <w:w w:val="110"/>
        </w:rPr>
        <w:t>dejando</w:t>
      </w:r>
      <w:r>
        <w:rPr>
          <w:spacing w:val="-9"/>
          <w:w w:val="110"/>
        </w:rPr>
        <w:t> </w:t>
      </w:r>
      <w:r>
        <w:rPr>
          <w:w w:val="110"/>
        </w:rPr>
        <w:t>claro</w:t>
      </w:r>
      <w:r>
        <w:rPr>
          <w:spacing w:val="-9"/>
          <w:w w:val="110"/>
        </w:rPr>
        <w:t> </w:t>
      </w:r>
      <w:r>
        <w:rPr>
          <w:w w:val="110"/>
        </w:rPr>
        <w:t>que</w:t>
      </w:r>
      <w:r>
        <w:rPr>
          <w:spacing w:val="-9"/>
          <w:w w:val="110"/>
        </w:rPr>
        <w:t> </w:t>
      </w:r>
      <w:r>
        <w:rPr>
          <w:w w:val="110"/>
        </w:rPr>
        <w:t>eso</w:t>
      </w:r>
      <w:r>
        <w:rPr>
          <w:spacing w:val="-9"/>
          <w:w w:val="110"/>
        </w:rPr>
        <w:t> </w:t>
      </w:r>
      <w:r>
        <w:rPr>
          <w:w w:val="110"/>
        </w:rPr>
        <w:t>no</w:t>
      </w:r>
    </w:p>
    <w:p>
      <w:pPr>
        <w:pStyle w:val="BodyText"/>
        <w:spacing w:before="1"/>
        <w:rPr>
          <w:sz w:val="23"/>
        </w:rPr>
      </w:pPr>
      <w:r>
        <w:rPr/>
        <w:pict>
          <v:line style="position:absolute;mso-position-horizontal-relative:page;mso-position-vertical-relative:paragraph;z-index:7216;mso-wrap-distance-left:0;mso-wrap-distance-right:0" from="51.023602pt,15.76183pt" to="79.369602pt,15.76183pt" stroked="true" strokeweight=".5pt" strokecolor="#000000">
            <w10:wrap type="topAndBottom"/>
          </v:line>
        </w:pict>
      </w:r>
    </w:p>
    <w:p>
      <w:pPr>
        <w:pStyle w:val="ListParagraph"/>
        <w:numPr>
          <w:ilvl w:val="0"/>
          <w:numId w:val="30"/>
        </w:numPr>
        <w:tabs>
          <w:tab w:pos="376" w:val="left" w:leader="none"/>
        </w:tabs>
        <w:spacing w:line="242" w:lineRule="auto" w:before="89" w:after="0"/>
        <w:ind w:left="120" w:right="328" w:firstLine="0"/>
        <w:jc w:val="both"/>
        <w:rPr>
          <w:sz w:val="16"/>
        </w:rPr>
      </w:pPr>
      <w:r>
        <w:rPr>
          <w:spacing w:val="3"/>
          <w:w w:val="108"/>
          <w:sz w:val="16"/>
        </w:rPr>
        <w:t>&lt;</w:t>
      </w:r>
      <w:r>
        <w:rPr>
          <w:spacing w:val="3"/>
          <w:w w:val="110"/>
          <w:sz w:val="16"/>
        </w:rPr>
        <w:t>h</w:t>
      </w:r>
      <w:r>
        <w:rPr>
          <w:spacing w:val="3"/>
          <w:w w:val="104"/>
          <w:sz w:val="16"/>
        </w:rPr>
        <w:t>tt</w:t>
      </w:r>
      <w:r>
        <w:rPr>
          <w:spacing w:val="3"/>
          <w:w w:val="106"/>
          <w:sz w:val="16"/>
        </w:rPr>
        <w:t>p</w:t>
      </w:r>
      <w:r>
        <w:rPr>
          <w:spacing w:val="3"/>
          <w:w w:val="103"/>
          <w:sz w:val="16"/>
        </w:rPr>
        <w:t>s</w:t>
      </w:r>
      <w:r>
        <w:rPr>
          <w:spacing w:val="3"/>
          <w:w w:val="105"/>
          <w:sz w:val="16"/>
        </w:rPr>
        <w:t>:</w:t>
      </w:r>
      <w:r>
        <w:rPr>
          <w:spacing w:val="3"/>
          <w:w w:val="56"/>
          <w:sz w:val="16"/>
        </w:rPr>
        <w:t>//</w:t>
      </w:r>
      <w:hyperlink r:id="rId377">
        <w:r>
          <w:rPr>
            <w:spacing w:val="3"/>
            <w:w w:val="102"/>
            <w:sz w:val="16"/>
          </w:rPr>
          <w:t>ww</w:t>
        </w:r>
        <w:r>
          <w:rPr>
            <w:spacing w:val="-12"/>
            <w:w w:val="102"/>
            <w:sz w:val="16"/>
          </w:rPr>
          <w:t>w</w:t>
        </w:r>
        <w:r>
          <w:rPr>
            <w:spacing w:val="3"/>
            <w:w w:val="135"/>
            <w:sz w:val="16"/>
          </w:rPr>
          <w:t>.</w:t>
        </w:r>
        <w:r>
          <w:rPr>
            <w:spacing w:val="3"/>
            <w:w w:val="110"/>
            <w:sz w:val="16"/>
          </w:rPr>
          <w:t>h</w:t>
        </w:r>
        <w:r>
          <w:rPr>
            <w:spacing w:val="3"/>
            <w:w w:val="113"/>
            <w:sz w:val="16"/>
          </w:rPr>
          <w:t>i</w:t>
        </w:r>
        <w:r>
          <w:rPr>
            <w:spacing w:val="3"/>
            <w:w w:val="103"/>
            <w:sz w:val="16"/>
          </w:rPr>
          <w:t>s</w:t>
        </w:r>
        <w:r>
          <w:rPr>
            <w:spacing w:val="3"/>
            <w:w w:val="104"/>
            <w:sz w:val="16"/>
          </w:rPr>
          <w:t>t</w:t>
        </w:r>
        <w:r>
          <w:rPr>
            <w:spacing w:val="3"/>
            <w:w w:val="108"/>
            <w:sz w:val="16"/>
          </w:rPr>
          <w:t>o</w:t>
        </w:r>
        <w:r>
          <w:rPr>
            <w:spacing w:val="3"/>
            <w:w w:val="103"/>
            <w:sz w:val="16"/>
          </w:rPr>
          <w:t>r</w:t>
        </w:r>
        <w:r>
          <w:rPr>
            <w:spacing w:val="3"/>
            <w:w w:val="113"/>
            <w:sz w:val="16"/>
          </w:rPr>
          <w:t>i</w:t>
        </w:r>
        <w:r>
          <w:rPr>
            <w:spacing w:val="3"/>
            <w:w w:val="109"/>
            <w:sz w:val="16"/>
          </w:rPr>
          <w:t>a</w:t>
        </w:r>
        <w:r>
          <w:rPr>
            <w:spacing w:val="3"/>
            <w:w w:val="109"/>
            <w:sz w:val="16"/>
          </w:rPr>
          <w:t>n</w:t>
        </w:r>
        <w:r>
          <w:rPr>
            <w:spacing w:val="3"/>
            <w:w w:val="103"/>
            <w:sz w:val="16"/>
          </w:rPr>
          <w:t>s</w:t>
        </w:r>
        <w:r>
          <w:rPr>
            <w:spacing w:val="3"/>
            <w:w w:val="135"/>
            <w:sz w:val="16"/>
          </w:rPr>
          <w:t>.</w:t>
        </w:r>
        <w:r>
          <w:rPr>
            <w:spacing w:val="3"/>
            <w:w w:val="108"/>
            <w:sz w:val="16"/>
          </w:rPr>
          <w:t>o</w:t>
        </w:r>
        <w:r>
          <w:rPr>
            <w:spacing w:val="3"/>
            <w:w w:val="103"/>
            <w:sz w:val="16"/>
          </w:rPr>
          <w:t>r</w:t>
        </w:r>
        <w:r>
          <w:rPr>
            <w:spacing w:val="3"/>
            <w:w w:val="108"/>
            <w:sz w:val="16"/>
          </w:rPr>
          <w:t>g</w:t>
        </w:r>
        <w:r>
          <w:rPr>
            <w:spacing w:val="3"/>
            <w:w w:val="56"/>
            <w:sz w:val="16"/>
          </w:rPr>
          <w:t>/</w:t>
        </w:r>
        <w:r>
          <w:rPr>
            <w:spacing w:val="3"/>
            <w:w w:val="106"/>
            <w:sz w:val="16"/>
          </w:rPr>
          <w:t>p</w:t>
        </w:r>
        <w:r>
          <w:rPr>
            <w:spacing w:val="3"/>
            <w:w w:val="110"/>
            <w:sz w:val="16"/>
          </w:rPr>
          <w:t>u</w:t>
        </w:r>
        <w:r>
          <w:rPr>
            <w:spacing w:val="3"/>
            <w:w w:val="108"/>
            <w:sz w:val="16"/>
          </w:rPr>
          <w:t>b</w:t>
        </w:r>
        <w:r>
          <w:rPr>
            <w:spacing w:val="3"/>
            <w:w w:val="109"/>
            <w:sz w:val="16"/>
          </w:rPr>
          <w:t>l</w:t>
        </w:r>
        <w:r>
          <w:rPr>
            <w:spacing w:val="3"/>
            <w:w w:val="113"/>
            <w:sz w:val="16"/>
          </w:rPr>
          <w:t>i</w:t>
        </w:r>
        <w:r>
          <w:rPr>
            <w:spacing w:val="3"/>
            <w:w w:val="113"/>
            <w:sz w:val="16"/>
          </w:rPr>
          <w:t>c</w:t>
        </w:r>
        <w:r>
          <w:rPr>
            <w:spacing w:val="3"/>
            <w:w w:val="109"/>
            <w:sz w:val="16"/>
          </w:rPr>
          <w:t>a</w:t>
        </w:r>
        <w:r>
          <w:rPr>
            <w:spacing w:val="3"/>
            <w:w w:val="104"/>
            <w:sz w:val="16"/>
          </w:rPr>
          <w:t>t</w:t>
        </w:r>
        <w:r>
          <w:rPr>
            <w:spacing w:val="3"/>
            <w:w w:val="113"/>
            <w:sz w:val="16"/>
          </w:rPr>
          <w:t>i</w:t>
        </w:r>
        <w:r>
          <w:rPr>
            <w:spacing w:val="3"/>
            <w:w w:val="108"/>
            <w:sz w:val="16"/>
          </w:rPr>
          <w:t>o</w:t>
        </w:r>
        <w:r>
          <w:rPr>
            <w:spacing w:val="3"/>
            <w:w w:val="109"/>
            <w:sz w:val="16"/>
          </w:rPr>
          <w:t>n</w:t>
        </w:r>
        <w:r>
          <w:rPr>
            <w:spacing w:val="3"/>
            <w:w w:val="103"/>
            <w:sz w:val="16"/>
          </w:rPr>
          <w:t>s</w:t>
        </w:r>
        <w:r>
          <w:rPr>
            <w:spacing w:val="3"/>
            <w:w w:val="100"/>
            <w:sz w:val="16"/>
          </w:rPr>
          <w:t>-</w:t>
        </w:r>
        <w:r>
          <w:rPr>
            <w:spacing w:val="3"/>
            <w:w w:val="109"/>
            <w:sz w:val="16"/>
          </w:rPr>
          <w:t>a</w:t>
        </w:r>
        <w:r>
          <w:rPr>
            <w:spacing w:val="3"/>
            <w:w w:val="109"/>
            <w:sz w:val="16"/>
          </w:rPr>
          <w:t>n</w:t>
        </w:r>
        <w:r>
          <w:rPr>
            <w:spacing w:val="3"/>
            <w:w w:val="106"/>
            <w:sz w:val="16"/>
          </w:rPr>
          <w:t>d</w:t>
        </w:r>
        <w:r>
          <w:rPr>
            <w:spacing w:val="3"/>
            <w:w w:val="100"/>
            <w:sz w:val="16"/>
          </w:rPr>
          <w:t>-</w:t>
        </w:r>
        <w:r>
          <w:rPr>
            <w:spacing w:val="3"/>
            <w:w w:val="106"/>
            <w:sz w:val="16"/>
          </w:rPr>
          <w:t>d</w:t>
        </w:r>
        <w:r>
          <w:rPr>
            <w:spacing w:val="3"/>
            <w:w w:val="113"/>
            <w:sz w:val="16"/>
          </w:rPr>
          <w:t>i</w:t>
        </w:r>
        <w:r>
          <w:rPr>
            <w:spacing w:val="3"/>
            <w:w w:val="103"/>
            <w:sz w:val="16"/>
          </w:rPr>
          <w:t>r</w:t>
        </w:r>
        <w:r>
          <w:rPr>
            <w:spacing w:val="3"/>
            <w:w w:val="102"/>
            <w:sz w:val="16"/>
          </w:rPr>
          <w:t>e</w:t>
        </w:r>
        <w:r>
          <w:rPr>
            <w:spacing w:val="3"/>
            <w:w w:val="113"/>
            <w:sz w:val="16"/>
          </w:rPr>
          <w:t>c</w:t>
        </w:r>
        <w:r>
          <w:rPr>
            <w:spacing w:val="3"/>
            <w:w w:val="104"/>
            <w:sz w:val="16"/>
          </w:rPr>
          <w:t>t</w:t>
        </w:r>
        <w:r>
          <w:rPr>
            <w:spacing w:val="3"/>
            <w:w w:val="108"/>
            <w:sz w:val="16"/>
          </w:rPr>
          <w:t>o</w:t>
        </w:r>
        <w:r>
          <w:rPr>
            <w:spacing w:val="3"/>
            <w:w w:val="103"/>
            <w:sz w:val="16"/>
          </w:rPr>
          <w:t>r</w:t>
        </w:r>
        <w:r>
          <w:rPr>
            <w:spacing w:val="3"/>
            <w:w w:val="113"/>
            <w:sz w:val="16"/>
          </w:rPr>
          <w:t>i</w:t>
        </w:r>
        <w:r>
          <w:rPr>
            <w:spacing w:val="3"/>
            <w:w w:val="102"/>
            <w:sz w:val="16"/>
          </w:rPr>
          <w:t>e</w:t>
        </w:r>
        <w:r>
          <w:rPr>
            <w:spacing w:val="3"/>
            <w:w w:val="103"/>
            <w:sz w:val="16"/>
          </w:rPr>
          <w:t>s</w:t>
        </w:r>
        <w:r>
          <w:rPr>
            <w:spacing w:val="3"/>
            <w:w w:val="56"/>
            <w:sz w:val="16"/>
          </w:rPr>
          <w:t>/</w:t>
        </w:r>
        <w:r>
          <w:rPr>
            <w:spacing w:val="3"/>
            <w:w w:val="106"/>
            <w:sz w:val="16"/>
          </w:rPr>
          <w:t>p</w:t>
        </w:r>
        <w:r>
          <w:rPr>
            <w:spacing w:val="3"/>
            <w:w w:val="102"/>
            <w:sz w:val="16"/>
          </w:rPr>
          <w:t>e</w:t>
        </w:r>
        <w:r>
          <w:rPr>
            <w:spacing w:val="3"/>
            <w:w w:val="103"/>
            <w:sz w:val="16"/>
          </w:rPr>
          <w:t>r</w:t>
        </w:r>
        <w:r>
          <w:rPr>
            <w:spacing w:val="3"/>
            <w:w w:val="103"/>
            <w:sz w:val="16"/>
          </w:rPr>
          <w:t>s</w:t>
        </w:r>
        <w:r>
          <w:rPr>
            <w:spacing w:val="3"/>
            <w:w w:val="106"/>
            <w:sz w:val="16"/>
          </w:rPr>
          <w:t>p</w:t>
        </w:r>
        <w:r>
          <w:rPr>
            <w:spacing w:val="3"/>
            <w:w w:val="102"/>
            <w:sz w:val="16"/>
          </w:rPr>
          <w:t>e</w:t>
        </w:r>
        <w:r>
          <w:rPr>
            <w:spacing w:val="3"/>
            <w:w w:val="113"/>
            <w:sz w:val="16"/>
          </w:rPr>
          <w:t>c</w:t>
        </w:r>
        <w:r>
          <w:rPr>
            <w:spacing w:val="3"/>
            <w:w w:val="104"/>
            <w:sz w:val="16"/>
          </w:rPr>
          <w:t>t</w:t>
        </w:r>
        <w:r>
          <w:rPr>
            <w:spacing w:val="3"/>
            <w:w w:val="113"/>
            <w:sz w:val="16"/>
          </w:rPr>
          <w:t>i</w:t>
        </w:r>
        <w:r>
          <w:rPr>
            <w:spacing w:val="3"/>
            <w:w w:val="99"/>
            <w:sz w:val="16"/>
          </w:rPr>
          <w:t>v</w:t>
        </w:r>
        <w:r>
          <w:rPr>
            <w:spacing w:val="3"/>
            <w:w w:val="102"/>
            <w:sz w:val="16"/>
          </w:rPr>
          <w:t>e</w:t>
        </w:r>
        <w:r>
          <w:rPr>
            <w:spacing w:val="3"/>
            <w:w w:val="103"/>
            <w:sz w:val="16"/>
          </w:rPr>
          <w:t>s</w:t>
        </w:r>
        <w:r>
          <w:rPr>
            <w:spacing w:val="3"/>
            <w:w w:val="100"/>
            <w:sz w:val="16"/>
          </w:rPr>
          <w:t>-</w:t>
        </w:r>
        <w:r>
          <w:rPr>
            <w:spacing w:val="3"/>
            <w:w w:val="108"/>
            <w:sz w:val="16"/>
          </w:rPr>
          <w:t>o</w:t>
        </w:r>
        <w:r>
          <w:rPr>
            <w:spacing w:val="3"/>
            <w:w w:val="109"/>
            <w:sz w:val="16"/>
          </w:rPr>
          <w:t>n</w:t>
        </w:r>
        <w:r>
          <w:rPr>
            <w:spacing w:val="3"/>
            <w:w w:val="100"/>
            <w:sz w:val="16"/>
          </w:rPr>
          <w:t>-</w:t>
        </w:r>
        <w:r>
          <w:rPr>
            <w:spacing w:val="3"/>
            <w:w w:val="110"/>
            <w:sz w:val="16"/>
          </w:rPr>
          <w:t>h</w:t>
        </w:r>
        <w:r>
          <w:rPr>
            <w:spacing w:val="3"/>
            <w:w w:val="113"/>
            <w:sz w:val="16"/>
          </w:rPr>
          <w:t>i</w:t>
        </w:r>
        <w:r>
          <w:rPr>
            <w:spacing w:val="3"/>
            <w:w w:val="103"/>
            <w:sz w:val="16"/>
          </w:rPr>
          <w:t>s</w:t>
        </w:r>
        <w:r>
          <w:rPr>
            <w:w w:val="100"/>
            <w:sz w:val="16"/>
          </w:rPr>
          <w:t>-</w:t>
        </w:r>
      </w:hyperlink>
      <w:r>
        <w:rPr>
          <w:w w:val="100"/>
          <w:sz w:val="16"/>
        </w:rPr>
        <w:t> </w:t>
      </w:r>
      <w:r>
        <w:rPr>
          <w:w w:val="105"/>
          <w:sz w:val="16"/>
        </w:rPr>
        <w:t>tory/december-2014/controversy-surrounds-department-of-defense-commemorati- ve-website&gt;.</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8"/>
        <w:jc w:val="both"/>
      </w:pPr>
      <w:r>
        <w:rPr>
          <w:w w:val="110"/>
        </w:rPr>
        <w:t>empieza</w:t>
      </w:r>
      <w:r>
        <w:rPr>
          <w:spacing w:val="-12"/>
          <w:w w:val="110"/>
        </w:rPr>
        <w:t> </w:t>
      </w:r>
      <w:r>
        <w:rPr>
          <w:w w:val="110"/>
        </w:rPr>
        <w:t>y</w:t>
      </w:r>
      <w:r>
        <w:rPr>
          <w:spacing w:val="-12"/>
          <w:w w:val="110"/>
        </w:rPr>
        <w:t> </w:t>
      </w:r>
      <w:r>
        <w:rPr>
          <w:w w:val="110"/>
        </w:rPr>
        <w:t>termina</w:t>
      </w:r>
      <w:r>
        <w:rPr>
          <w:spacing w:val="-12"/>
          <w:w w:val="110"/>
        </w:rPr>
        <w:t> </w:t>
      </w:r>
      <w:r>
        <w:rPr>
          <w:w w:val="110"/>
        </w:rPr>
        <w:t>en</w:t>
      </w:r>
      <w:r>
        <w:rPr>
          <w:spacing w:val="-12"/>
          <w:w w:val="110"/>
        </w:rPr>
        <w:t> </w:t>
      </w:r>
      <w:r>
        <w:rPr>
          <w:w w:val="110"/>
        </w:rPr>
        <w:t>la</w:t>
      </w:r>
      <w:r>
        <w:rPr>
          <w:spacing w:val="-12"/>
          <w:w w:val="110"/>
        </w:rPr>
        <w:t> </w:t>
      </w:r>
      <w:r>
        <w:rPr>
          <w:w w:val="110"/>
        </w:rPr>
        <w:t>construcción</w:t>
      </w:r>
      <w:r>
        <w:rPr>
          <w:spacing w:val="-12"/>
          <w:w w:val="110"/>
        </w:rPr>
        <w:t> </w:t>
      </w:r>
      <w:r>
        <w:rPr>
          <w:w w:val="110"/>
        </w:rPr>
        <w:t>y</w:t>
      </w:r>
      <w:r>
        <w:rPr>
          <w:spacing w:val="-12"/>
          <w:w w:val="110"/>
        </w:rPr>
        <w:t> </w:t>
      </w:r>
      <w:r>
        <w:rPr>
          <w:w w:val="110"/>
        </w:rPr>
        <w:t>venta</w:t>
      </w:r>
      <w:r>
        <w:rPr>
          <w:spacing w:val="-12"/>
          <w:w w:val="110"/>
        </w:rPr>
        <w:t> </w:t>
      </w:r>
      <w:r>
        <w:rPr>
          <w:w w:val="110"/>
        </w:rPr>
        <w:t>de</w:t>
      </w:r>
      <w:r>
        <w:rPr>
          <w:spacing w:val="-12"/>
          <w:w w:val="110"/>
        </w:rPr>
        <w:t> </w:t>
      </w:r>
      <w:r>
        <w:rPr>
          <w:w w:val="110"/>
        </w:rPr>
        <w:t>armas</w:t>
      </w:r>
      <w:r>
        <w:rPr>
          <w:spacing w:val="-12"/>
          <w:w w:val="110"/>
        </w:rPr>
        <w:t> </w:t>
      </w:r>
      <w:r>
        <w:rPr>
          <w:w w:val="110"/>
        </w:rPr>
        <w:t>o</w:t>
      </w:r>
      <w:r>
        <w:rPr>
          <w:spacing w:val="-12"/>
          <w:w w:val="110"/>
        </w:rPr>
        <w:t> </w:t>
      </w:r>
      <w:r>
        <w:rPr>
          <w:w w:val="110"/>
        </w:rPr>
        <w:t>en</w:t>
      </w:r>
      <w:r>
        <w:rPr>
          <w:spacing w:val="-12"/>
          <w:w w:val="110"/>
        </w:rPr>
        <w:t> </w:t>
      </w:r>
      <w:r>
        <w:rPr>
          <w:w w:val="110"/>
        </w:rPr>
        <w:t>el</w:t>
      </w:r>
      <w:r>
        <w:rPr>
          <w:spacing w:val="-12"/>
          <w:w w:val="110"/>
        </w:rPr>
        <w:t> </w:t>
      </w:r>
      <w:r>
        <w:rPr>
          <w:w w:val="110"/>
        </w:rPr>
        <w:t>enfrenta- miento</w:t>
      </w:r>
      <w:r>
        <w:rPr>
          <w:spacing w:val="-11"/>
          <w:w w:val="110"/>
        </w:rPr>
        <w:t> </w:t>
      </w:r>
      <w:r>
        <w:rPr>
          <w:w w:val="110"/>
        </w:rPr>
        <w:t>armado</w:t>
      </w:r>
      <w:r>
        <w:rPr>
          <w:spacing w:val="-11"/>
          <w:w w:val="110"/>
        </w:rPr>
        <w:t> </w:t>
      </w:r>
      <w:r>
        <w:rPr>
          <w:w w:val="110"/>
        </w:rPr>
        <w:t>en</w:t>
      </w:r>
      <w:r>
        <w:rPr>
          <w:spacing w:val="-11"/>
          <w:w w:val="110"/>
        </w:rPr>
        <w:t> </w:t>
      </w:r>
      <w:r>
        <w:rPr>
          <w:w w:val="110"/>
        </w:rPr>
        <w:t>el</w:t>
      </w:r>
      <w:r>
        <w:rPr>
          <w:spacing w:val="-11"/>
          <w:w w:val="110"/>
        </w:rPr>
        <w:t> </w:t>
      </w:r>
      <w:r>
        <w:rPr>
          <w:w w:val="110"/>
        </w:rPr>
        <w:t>campo</w:t>
      </w:r>
      <w:r>
        <w:rPr>
          <w:spacing w:val="-11"/>
          <w:w w:val="110"/>
        </w:rPr>
        <w:t> </w:t>
      </w:r>
      <w:r>
        <w:rPr>
          <w:w w:val="110"/>
        </w:rPr>
        <w:t>de</w:t>
      </w:r>
      <w:r>
        <w:rPr>
          <w:spacing w:val="-11"/>
          <w:w w:val="110"/>
        </w:rPr>
        <w:t> </w:t>
      </w:r>
      <w:r>
        <w:rPr>
          <w:w w:val="110"/>
        </w:rPr>
        <w:t>batalla,</w:t>
      </w:r>
      <w:r>
        <w:rPr>
          <w:spacing w:val="-11"/>
          <w:w w:val="110"/>
        </w:rPr>
        <w:t> </w:t>
      </w:r>
      <w:r>
        <w:rPr>
          <w:w w:val="110"/>
        </w:rPr>
        <w:t>sino</w:t>
      </w:r>
      <w:r>
        <w:rPr>
          <w:spacing w:val="-11"/>
          <w:w w:val="110"/>
        </w:rPr>
        <w:t> </w:t>
      </w:r>
      <w:r>
        <w:rPr>
          <w:w w:val="110"/>
        </w:rPr>
        <w:t>que</w:t>
      </w:r>
      <w:r>
        <w:rPr>
          <w:spacing w:val="-11"/>
          <w:w w:val="110"/>
        </w:rPr>
        <w:t> </w:t>
      </w:r>
      <w:r>
        <w:rPr>
          <w:w w:val="110"/>
        </w:rPr>
        <w:t>penetra</w:t>
      </w:r>
      <w:r>
        <w:rPr>
          <w:spacing w:val="-11"/>
          <w:w w:val="110"/>
        </w:rPr>
        <w:t> </w:t>
      </w:r>
      <w:r>
        <w:rPr>
          <w:w w:val="110"/>
        </w:rPr>
        <w:t>en</w:t>
      </w:r>
      <w:r>
        <w:rPr>
          <w:spacing w:val="-11"/>
          <w:w w:val="110"/>
        </w:rPr>
        <w:t> </w:t>
      </w:r>
      <w:r>
        <w:rPr>
          <w:w w:val="110"/>
        </w:rPr>
        <w:t>las</w:t>
      </w:r>
      <w:r>
        <w:rPr>
          <w:spacing w:val="-11"/>
          <w:w w:val="110"/>
        </w:rPr>
        <w:t> </w:t>
      </w:r>
      <w:r>
        <w:rPr>
          <w:w w:val="110"/>
        </w:rPr>
        <w:t>vidas</w:t>
      </w:r>
      <w:r>
        <w:rPr>
          <w:spacing w:val="-11"/>
          <w:w w:val="110"/>
        </w:rPr>
        <w:t> </w:t>
      </w:r>
      <w:r>
        <w:rPr>
          <w:w w:val="110"/>
        </w:rPr>
        <w:t>co- </w:t>
      </w:r>
      <w:r>
        <w:rPr>
          <w:spacing w:val="-2"/>
          <w:w w:val="110"/>
        </w:rPr>
        <w:t>tidianas</w:t>
      </w:r>
      <w:r>
        <w:rPr>
          <w:w w:val="110"/>
        </w:rPr>
        <w:t>,</w:t>
      </w:r>
      <w:r>
        <w:rPr/>
        <w:t> </w:t>
      </w:r>
      <w:r>
        <w:rPr>
          <w:spacing w:val="-2"/>
          <w:w w:val="108"/>
        </w:rPr>
        <w:t>l</w:t>
      </w:r>
      <w:r>
        <w:rPr>
          <w:w w:val="108"/>
        </w:rPr>
        <w:t>o</w:t>
      </w:r>
      <w:r>
        <w:rPr/>
        <w:t> </w:t>
      </w:r>
      <w:r>
        <w:rPr>
          <w:spacing w:val="-2"/>
          <w:w w:val="109"/>
        </w:rPr>
        <w:t>milita</w:t>
      </w:r>
      <w:r>
        <w:rPr>
          <w:w w:val="109"/>
        </w:rPr>
        <w:t>r</w:t>
      </w:r>
      <w:r>
        <w:rPr/>
        <w:t> </w:t>
      </w:r>
      <w:r>
        <w:rPr>
          <w:spacing w:val="-2"/>
          <w:w w:val="102"/>
        </w:rPr>
        <w:t>s</w:t>
      </w:r>
      <w:r>
        <w:rPr>
          <w:w w:val="102"/>
        </w:rPr>
        <w:t>e</w:t>
      </w:r>
      <w:r>
        <w:rPr/>
        <w:t> </w:t>
      </w:r>
      <w:r>
        <w:rPr>
          <w:spacing w:val="-2"/>
          <w:w w:val="107"/>
        </w:rPr>
        <w:t>torn</w:t>
      </w:r>
      <w:r>
        <w:rPr>
          <w:w w:val="107"/>
        </w:rPr>
        <w:t>a</w:t>
      </w:r>
      <w:r>
        <w:rPr/>
        <w:t> </w:t>
      </w:r>
      <w:r>
        <w:rPr>
          <w:spacing w:val="-2"/>
          <w:w w:val="106"/>
        </w:rPr>
        <w:t>e</w:t>
      </w:r>
      <w:r>
        <w:rPr>
          <w:w w:val="106"/>
        </w:rPr>
        <w:t>n</w:t>
      </w:r>
      <w:r>
        <w:rPr/>
        <w:t> </w:t>
      </w:r>
      <w:r>
        <w:rPr>
          <w:spacing w:val="-2"/>
          <w:w w:val="106"/>
        </w:rPr>
        <w:t>sentid</w:t>
      </w:r>
      <w:r>
        <w:rPr>
          <w:w w:val="106"/>
        </w:rPr>
        <w:t>o</w:t>
      </w:r>
      <w:r>
        <w:rPr/>
        <w:t> </w:t>
      </w:r>
      <w:r>
        <w:rPr>
          <w:spacing w:val="-2"/>
          <w:w w:val="110"/>
        </w:rPr>
        <w:t>comú</w:t>
      </w:r>
      <w:r>
        <w:rPr>
          <w:w w:val="110"/>
        </w:rPr>
        <w:t>n</w:t>
      </w:r>
      <w:r>
        <w:rPr/>
        <w:t> </w:t>
      </w:r>
      <w:r>
        <w:rPr>
          <w:spacing w:val="-2"/>
          <w:w w:val="96"/>
        </w:rPr>
        <w:t>(</w:t>
      </w:r>
      <w:r>
        <w:rPr>
          <w:spacing w:val="-2"/>
          <w:w w:val="238"/>
        </w:rPr>
        <w:t>l</w:t>
      </w:r>
      <w:r>
        <w:rPr>
          <w:spacing w:val="-2"/>
          <w:w w:val="112"/>
        </w:rPr>
        <w:t>utz</w:t>
      </w:r>
      <w:r>
        <w:rPr>
          <w:w w:val="112"/>
        </w:rPr>
        <w:t>,</w:t>
      </w:r>
      <w:r>
        <w:rPr/>
        <w:t> </w:t>
      </w:r>
      <w:r>
        <w:rPr>
          <w:spacing w:val="-2"/>
          <w:w w:val="101"/>
        </w:rPr>
        <w:t>2002</w:t>
      </w:r>
      <w:r>
        <w:rPr>
          <w:w w:val="101"/>
        </w:rPr>
        <w:t>:</w:t>
      </w:r>
      <w:r>
        <w:rPr/>
        <w:t> </w:t>
      </w:r>
      <w:r>
        <w:rPr>
          <w:spacing w:val="-2"/>
          <w:w w:val="101"/>
        </w:rPr>
        <w:t>725-726)</w:t>
      </w:r>
      <w:r>
        <w:rPr>
          <w:w w:val="101"/>
        </w:rPr>
        <w:t>.</w:t>
      </w:r>
      <w:r>
        <w:rPr/>
        <w:t> </w:t>
      </w:r>
      <w:r>
        <w:rPr>
          <w:spacing w:val="-2"/>
          <w:w w:val="111"/>
        </w:rPr>
        <w:t>Esto </w:t>
      </w:r>
      <w:r>
        <w:rPr>
          <w:w w:val="110"/>
        </w:rPr>
        <w:t>ya era evidente en las operaciones Cívicas impulsadas a principios de los</w:t>
      </w:r>
      <w:r>
        <w:rPr>
          <w:spacing w:val="-14"/>
          <w:w w:val="110"/>
        </w:rPr>
        <w:t> </w:t>
      </w:r>
      <w:r>
        <w:rPr>
          <w:w w:val="110"/>
        </w:rPr>
        <w:t>’60</w:t>
      </w:r>
      <w:r>
        <w:rPr>
          <w:spacing w:val="-14"/>
          <w:w w:val="110"/>
        </w:rPr>
        <w:t> </w:t>
      </w:r>
      <w:r>
        <w:rPr>
          <w:w w:val="110"/>
        </w:rPr>
        <w:t>en</w:t>
      </w:r>
      <w:r>
        <w:rPr>
          <w:spacing w:val="-14"/>
          <w:w w:val="110"/>
        </w:rPr>
        <w:t> </w:t>
      </w:r>
      <w:r>
        <w:rPr>
          <w:w w:val="110"/>
        </w:rPr>
        <w:t>los</w:t>
      </w:r>
      <w:r>
        <w:rPr>
          <w:spacing w:val="-14"/>
          <w:w w:val="110"/>
        </w:rPr>
        <w:t> </w:t>
      </w:r>
      <w:r>
        <w:rPr>
          <w:w w:val="110"/>
        </w:rPr>
        <w:t>manuales</w:t>
      </w:r>
      <w:r>
        <w:rPr>
          <w:spacing w:val="-14"/>
          <w:w w:val="110"/>
        </w:rPr>
        <w:t> </w:t>
      </w:r>
      <w:r>
        <w:rPr>
          <w:w w:val="110"/>
        </w:rPr>
        <w:t>de</w:t>
      </w:r>
      <w:r>
        <w:rPr>
          <w:spacing w:val="-14"/>
          <w:w w:val="110"/>
        </w:rPr>
        <w:t> </w:t>
      </w:r>
      <w:r>
        <w:rPr>
          <w:w w:val="110"/>
        </w:rPr>
        <w:t>entrenamiento</w:t>
      </w:r>
      <w:r>
        <w:rPr>
          <w:spacing w:val="-14"/>
          <w:w w:val="110"/>
        </w:rPr>
        <w:t> </w:t>
      </w:r>
      <w:r>
        <w:rPr>
          <w:w w:val="110"/>
        </w:rPr>
        <w:t>de</w:t>
      </w:r>
      <w:r>
        <w:rPr>
          <w:spacing w:val="-14"/>
          <w:w w:val="110"/>
        </w:rPr>
        <w:t> </w:t>
      </w:r>
      <w:r>
        <w:rPr>
          <w:w w:val="110"/>
        </w:rPr>
        <w:t>las</w:t>
      </w:r>
      <w:r>
        <w:rPr>
          <w:spacing w:val="-14"/>
          <w:w w:val="110"/>
        </w:rPr>
        <w:t> </w:t>
      </w:r>
      <w:r>
        <w:rPr>
          <w:spacing w:val="-6"/>
          <w:w w:val="110"/>
        </w:rPr>
        <w:t>FF.aa.</w:t>
      </w:r>
      <w:r>
        <w:rPr>
          <w:spacing w:val="-14"/>
          <w:w w:val="110"/>
        </w:rPr>
        <w:t> </w:t>
      </w:r>
      <w:r>
        <w:rPr>
          <w:w w:val="110"/>
        </w:rPr>
        <w:t>estadounidenses, donde</w:t>
      </w:r>
      <w:r>
        <w:rPr>
          <w:spacing w:val="-22"/>
          <w:w w:val="110"/>
        </w:rPr>
        <w:t> </w:t>
      </w:r>
      <w:r>
        <w:rPr>
          <w:w w:val="110"/>
        </w:rPr>
        <w:t>el</w:t>
      </w:r>
      <w:r>
        <w:rPr>
          <w:spacing w:val="-22"/>
          <w:w w:val="110"/>
        </w:rPr>
        <w:t> </w:t>
      </w:r>
      <w:r>
        <w:rPr>
          <w:w w:val="110"/>
        </w:rPr>
        <w:t>soldado</w:t>
      </w:r>
      <w:r>
        <w:rPr>
          <w:spacing w:val="-22"/>
          <w:w w:val="110"/>
        </w:rPr>
        <w:t> </w:t>
      </w:r>
      <w:r>
        <w:rPr>
          <w:w w:val="110"/>
        </w:rPr>
        <w:t>debía</w:t>
      </w:r>
      <w:r>
        <w:rPr>
          <w:spacing w:val="-22"/>
          <w:w w:val="110"/>
        </w:rPr>
        <w:t> </w:t>
      </w:r>
      <w:r>
        <w:rPr>
          <w:w w:val="110"/>
        </w:rPr>
        <w:t>desarrollar</w:t>
      </w:r>
      <w:r>
        <w:rPr>
          <w:spacing w:val="-22"/>
          <w:w w:val="110"/>
        </w:rPr>
        <w:t> </w:t>
      </w:r>
      <w:r>
        <w:rPr>
          <w:w w:val="110"/>
        </w:rPr>
        <w:t>una</w:t>
      </w:r>
      <w:r>
        <w:rPr>
          <w:spacing w:val="-22"/>
          <w:w w:val="110"/>
        </w:rPr>
        <w:t> </w:t>
      </w:r>
      <w:r>
        <w:rPr>
          <w:w w:val="110"/>
        </w:rPr>
        <w:t>serie</w:t>
      </w:r>
      <w:r>
        <w:rPr>
          <w:spacing w:val="-22"/>
          <w:w w:val="110"/>
        </w:rPr>
        <w:t> </w:t>
      </w:r>
      <w:r>
        <w:rPr>
          <w:w w:val="110"/>
        </w:rPr>
        <w:t>de</w:t>
      </w:r>
      <w:r>
        <w:rPr>
          <w:spacing w:val="-22"/>
          <w:w w:val="110"/>
        </w:rPr>
        <w:t> </w:t>
      </w:r>
      <w:r>
        <w:rPr>
          <w:w w:val="110"/>
        </w:rPr>
        <w:t>actividades</w:t>
      </w:r>
      <w:r>
        <w:rPr>
          <w:spacing w:val="-22"/>
          <w:w w:val="110"/>
        </w:rPr>
        <w:t> </w:t>
      </w:r>
      <w:r>
        <w:rPr>
          <w:w w:val="110"/>
        </w:rPr>
        <w:t>que</w:t>
      </w:r>
      <w:r>
        <w:rPr>
          <w:spacing w:val="-22"/>
          <w:w w:val="110"/>
        </w:rPr>
        <w:t> </w:t>
      </w:r>
      <w:r>
        <w:rPr>
          <w:w w:val="110"/>
        </w:rPr>
        <w:t>lo</w:t>
      </w:r>
      <w:r>
        <w:rPr>
          <w:spacing w:val="-22"/>
          <w:w w:val="110"/>
        </w:rPr>
        <w:t> </w:t>
      </w:r>
      <w:r>
        <w:rPr>
          <w:w w:val="110"/>
        </w:rPr>
        <w:t>vincu- laran</w:t>
      </w:r>
      <w:r>
        <w:rPr>
          <w:spacing w:val="-9"/>
          <w:w w:val="110"/>
        </w:rPr>
        <w:t> </w:t>
      </w:r>
      <w:r>
        <w:rPr>
          <w:w w:val="110"/>
        </w:rPr>
        <w:t>a</w:t>
      </w:r>
      <w:r>
        <w:rPr>
          <w:spacing w:val="-9"/>
          <w:w w:val="110"/>
        </w:rPr>
        <w:t> </w:t>
      </w:r>
      <w:r>
        <w:rPr>
          <w:w w:val="110"/>
        </w:rPr>
        <w:t>la</w:t>
      </w:r>
      <w:r>
        <w:rPr>
          <w:spacing w:val="-9"/>
          <w:w w:val="110"/>
        </w:rPr>
        <w:t> </w:t>
      </w:r>
      <w:r>
        <w:rPr>
          <w:w w:val="110"/>
        </w:rPr>
        <w:t>comunidad</w:t>
      </w:r>
      <w:r>
        <w:rPr>
          <w:spacing w:val="-9"/>
          <w:w w:val="110"/>
        </w:rPr>
        <w:t> </w:t>
      </w:r>
      <w:r>
        <w:rPr>
          <w:w w:val="110"/>
        </w:rPr>
        <w:t>y</w:t>
      </w:r>
      <w:r>
        <w:rPr>
          <w:spacing w:val="-9"/>
          <w:w w:val="110"/>
        </w:rPr>
        <w:t> </w:t>
      </w:r>
      <w:r>
        <w:rPr>
          <w:w w:val="110"/>
        </w:rPr>
        <w:t>legitimaran</w:t>
      </w:r>
      <w:r>
        <w:rPr>
          <w:spacing w:val="-9"/>
          <w:w w:val="110"/>
        </w:rPr>
        <w:t> </w:t>
      </w:r>
      <w:r>
        <w:rPr>
          <w:w w:val="110"/>
        </w:rPr>
        <w:t>su</w:t>
      </w:r>
      <w:r>
        <w:rPr>
          <w:spacing w:val="-9"/>
          <w:w w:val="110"/>
        </w:rPr>
        <w:t> </w:t>
      </w:r>
      <w:r>
        <w:rPr>
          <w:w w:val="110"/>
        </w:rPr>
        <w:t>existencia</w:t>
      </w:r>
      <w:r>
        <w:rPr>
          <w:spacing w:val="-9"/>
          <w:w w:val="110"/>
        </w:rPr>
        <w:t> </w:t>
      </w:r>
      <w:r>
        <w:rPr>
          <w:spacing w:val="-5"/>
          <w:w w:val="110"/>
        </w:rPr>
        <w:t>(tapia</w:t>
      </w:r>
      <w:r>
        <w:rPr>
          <w:spacing w:val="-9"/>
          <w:w w:val="110"/>
        </w:rPr>
        <w:t> </w:t>
      </w:r>
      <w:r>
        <w:rPr>
          <w:spacing w:val="-4"/>
          <w:w w:val="110"/>
        </w:rPr>
        <w:t>Valdés,</w:t>
      </w:r>
      <w:r>
        <w:rPr>
          <w:spacing w:val="-9"/>
          <w:w w:val="110"/>
        </w:rPr>
        <w:t> </w:t>
      </w:r>
      <w:r>
        <w:rPr>
          <w:spacing w:val="-2"/>
          <w:w w:val="110"/>
        </w:rPr>
        <w:t>1980).</w:t>
      </w:r>
    </w:p>
    <w:p>
      <w:pPr>
        <w:pStyle w:val="BodyText"/>
        <w:spacing w:line="252" w:lineRule="auto"/>
        <w:ind w:left="330" w:right="117" w:firstLine="396"/>
        <w:jc w:val="right"/>
      </w:pPr>
      <w:r>
        <w:rPr>
          <w:w w:val="110"/>
        </w:rPr>
        <w:t>El discurso hegemónico legitima las prácticas y</w:t>
      </w:r>
      <w:r>
        <w:rPr>
          <w:spacing w:val="45"/>
          <w:w w:val="110"/>
        </w:rPr>
        <w:t> </w:t>
      </w:r>
      <w:r>
        <w:rPr>
          <w:w w:val="110"/>
        </w:rPr>
        <w:t>las</w:t>
      </w:r>
      <w:r>
        <w:rPr>
          <w:spacing w:val="45"/>
          <w:w w:val="110"/>
        </w:rPr>
        <w:t> </w:t>
      </w:r>
      <w:r>
        <w:rPr>
          <w:w w:val="110"/>
        </w:rPr>
        <w:t>soluciones</w:t>
      </w:r>
      <w:r>
        <w:rPr>
          <w:spacing w:val="-1"/>
          <w:w w:val="110"/>
        </w:rPr>
        <w:t> </w:t>
      </w:r>
      <w:r>
        <w:rPr>
          <w:w w:val="110"/>
        </w:rPr>
        <w:t>militares</w:t>
      </w:r>
      <w:r>
        <w:rPr>
          <w:spacing w:val="20"/>
          <w:w w:val="110"/>
        </w:rPr>
        <w:t> </w:t>
      </w:r>
      <w:r>
        <w:rPr>
          <w:w w:val="110"/>
        </w:rPr>
        <w:t>como</w:t>
      </w:r>
      <w:r>
        <w:rPr>
          <w:spacing w:val="20"/>
          <w:w w:val="110"/>
        </w:rPr>
        <w:t> </w:t>
      </w:r>
      <w:r>
        <w:rPr>
          <w:w w:val="110"/>
        </w:rPr>
        <w:t>modo</w:t>
      </w:r>
      <w:r>
        <w:rPr>
          <w:spacing w:val="20"/>
          <w:w w:val="110"/>
        </w:rPr>
        <w:t> </w:t>
      </w:r>
      <w:r>
        <w:rPr>
          <w:w w:val="110"/>
        </w:rPr>
        <w:t>de</w:t>
      </w:r>
      <w:r>
        <w:rPr>
          <w:spacing w:val="20"/>
          <w:w w:val="110"/>
        </w:rPr>
        <w:t> </w:t>
      </w:r>
      <w:r>
        <w:rPr>
          <w:w w:val="110"/>
        </w:rPr>
        <w:t>vida,</w:t>
      </w:r>
      <w:r>
        <w:rPr>
          <w:spacing w:val="20"/>
          <w:w w:val="110"/>
        </w:rPr>
        <w:t> </w:t>
      </w:r>
      <w:r>
        <w:rPr>
          <w:w w:val="110"/>
        </w:rPr>
        <w:t>hace</w:t>
      </w:r>
      <w:r>
        <w:rPr>
          <w:spacing w:val="20"/>
          <w:w w:val="110"/>
        </w:rPr>
        <w:t> </w:t>
      </w:r>
      <w:r>
        <w:rPr>
          <w:w w:val="110"/>
        </w:rPr>
        <w:t>parecer</w:t>
      </w:r>
      <w:r>
        <w:rPr>
          <w:spacing w:val="20"/>
          <w:w w:val="110"/>
        </w:rPr>
        <w:t> </w:t>
      </w:r>
      <w:r>
        <w:rPr>
          <w:w w:val="110"/>
        </w:rPr>
        <w:t>que</w:t>
      </w:r>
      <w:r>
        <w:rPr>
          <w:spacing w:val="20"/>
          <w:w w:val="110"/>
        </w:rPr>
        <w:t> </w:t>
      </w:r>
      <w:r>
        <w:rPr>
          <w:w w:val="110"/>
        </w:rPr>
        <w:t>la</w:t>
      </w:r>
      <w:r>
        <w:rPr>
          <w:spacing w:val="20"/>
          <w:w w:val="110"/>
        </w:rPr>
        <w:t> </w:t>
      </w:r>
      <w:r>
        <w:rPr>
          <w:w w:val="110"/>
        </w:rPr>
        <w:t>“opinión</w:t>
      </w:r>
      <w:r>
        <w:rPr>
          <w:spacing w:val="20"/>
          <w:w w:val="110"/>
        </w:rPr>
        <w:t> </w:t>
      </w:r>
      <w:r>
        <w:rPr>
          <w:w w:val="110"/>
        </w:rPr>
        <w:t>pública”,</w:t>
      </w:r>
      <w:r>
        <w:rPr>
          <w:spacing w:val="-1"/>
          <w:w w:val="114"/>
        </w:rPr>
        <w:t> </w:t>
      </w:r>
      <w:r>
        <w:rPr>
          <w:w w:val="110"/>
        </w:rPr>
        <w:t>si</w:t>
      </w:r>
      <w:r>
        <w:rPr>
          <w:spacing w:val="17"/>
          <w:w w:val="110"/>
        </w:rPr>
        <w:t> </w:t>
      </w:r>
      <w:r>
        <w:rPr>
          <w:w w:val="110"/>
        </w:rPr>
        <w:t>no</w:t>
      </w:r>
      <w:r>
        <w:rPr>
          <w:spacing w:val="17"/>
          <w:w w:val="110"/>
        </w:rPr>
        <w:t> </w:t>
      </w:r>
      <w:r>
        <w:rPr>
          <w:w w:val="110"/>
        </w:rPr>
        <w:t>está</w:t>
      </w:r>
      <w:r>
        <w:rPr>
          <w:spacing w:val="17"/>
          <w:w w:val="110"/>
        </w:rPr>
        <w:t> </w:t>
      </w:r>
      <w:r>
        <w:rPr>
          <w:w w:val="110"/>
        </w:rPr>
        <w:t>de</w:t>
      </w:r>
      <w:r>
        <w:rPr>
          <w:spacing w:val="17"/>
          <w:w w:val="110"/>
        </w:rPr>
        <w:t> </w:t>
      </w:r>
      <w:r>
        <w:rPr>
          <w:w w:val="110"/>
        </w:rPr>
        <w:t>acuerdo,</w:t>
      </w:r>
      <w:r>
        <w:rPr>
          <w:spacing w:val="17"/>
          <w:w w:val="110"/>
        </w:rPr>
        <w:t> </w:t>
      </w:r>
      <w:r>
        <w:rPr>
          <w:w w:val="110"/>
        </w:rPr>
        <w:t>al</w:t>
      </w:r>
      <w:r>
        <w:rPr>
          <w:spacing w:val="17"/>
          <w:w w:val="110"/>
        </w:rPr>
        <w:t> </w:t>
      </w:r>
      <w:r>
        <w:rPr>
          <w:w w:val="110"/>
        </w:rPr>
        <w:t>menos</w:t>
      </w:r>
      <w:r>
        <w:rPr>
          <w:spacing w:val="17"/>
          <w:w w:val="110"/>
        </w:rPr>
        <w:t> </w:t>
      </w:r>
      <w:r>
        <w:rPr>
          <w:w w:val="110"/>
        </w:rPr>
        <w:t>no</w:t>
      </w:r>
      <w:r>
        <w:rPr>
          <w:spacing w:val="17"/>
          <w:w w:val="110"/>
        </w:rPr>
        <w:t> </w:t>
      </w:r>
      <w:r>
        <w:rPr>
          <w:w w:val="110"/>
        </w:rPr>
        <w:t>se</w:t>
      </w:r>
      <w:r>
        <w:rPr>
          <w:spacing w:val="17"/>
          <w:w w:val="110"/>
        </w:rPr>
        <w:t> </w:t>
      </w:r>
      <w:r>
        <w:rPr>
          <w:w w:val="110"/>
        </w:rPr>
        <w:t>opone</w:t>
      </w:r>
      <w:r>
        <w:rPr>
          <w:spacing w:val="17"/>
          <w:w w:val="110"/>
        </w:rPr>
        <w:t> </w:t>
      </w:r>
      <w:r>
        <w:rPr>
          <w:w w:val="110"/>
        </w:rPr>
        <w:t>abiertamente</w:t>
      </w:r>
      <w:r>
        <w:rPr>
          <w:spacing w:val="17"/>
          <w:w w:val="110"/>
        </w:rPr>
        <w:t> </w:t>
      </w:r>
      <w:r>
        <w:rPr>
          <w:w w:val="110"/>
        </w:rPr>
        <w:t>a</w:t>
      </w:r>
      <w:r>
        <w:rPr>
          <w:spacing w:val="17"/>
          <w:w w:val="110"/>
        </w:rPr>
        <w:t> </w:t>
      </w:r>
      <w:r>
        <w:rPr>
          <w:w w:val="110"/>
        </w:rPr>
        <w:t>este</w:t>
      </w:r>
      <w:r>
        <w:rPr>
          <w:spacing w:val="17"/>
          <w:w w:val="110"/>
        </w:rPr>
        <w:t> </w:t>
      </w:r>
      <w:r>
        <w:rPr>
          <w:w w:val="110"/>
        </w:rPr>
        <w:t>de-</w:t>
      </w:r>
      <w:r>
        <w:rPr>
          <w:w w:val="102"/>
        </w:rPr>
        <w:t> </w:t>
      </w:r>
      <w:r>
        <w:rPr>
          <w:w w:val="110"/>
        </w:rPr>
        <w:t>rrotero. Habrá que estar atentos entonces a las próximas</w:t>
      </w:r>
      <w:r>
        <w:rPr>
          <w:spacing w:val="26"/>
          <w:w w:val="110"/>
        </w:rPr>
        <w:t> </w:t>
      </w:r>
      <w:r>
        <w:rPr>
          <w:w w:val="110"/>
        </w:rPr>
        <w:t>películas</w:t>
      </w:r>
      <w:r>
        <w:rPr>
          <w:spacing w:val="8"/>
          <w:w w:val="110"/>
        </w:rPr>
        <w:t> </w:t>
      </w:r>
      <w:r>
        <w:rPr>
          <w:w w:val="110"/>
        </w:rPr>
        <w:t>de</w:t>
      </w:r>
      <w:r>
        <w:rPr>
          <w:spacing w:val="-1"/>
          <w:w w:val="107"/>
        </w:rPr>
        <w:t> </w:t>
      </w:r>
      <w:r>
        <w:rPr>
          <w:w w:val="110"/>
        </w:rPr>
        <w:t>Hollywood</w:t>
      </w:r>
      <w:r>
        <w:rPr>
          <w:spacing w:val="-6"/>
          <w:w w:val="110"/>
        </w:rPr>
        <w:t> </w:t>
      </w:r>
      <w:r>
        <w:rPr>
          <w:w w:val="110"/>
        </w:rPr>
        <w:t>que</w:t>
      </w:r>
      <w:r>
        <w:rPr>
          <w:spacing w:val="-6"/>
          <w:w w:val="110"/>
        </w:rPr>
        <w:t> </w:t>
      </w:r>
      <w:r>
        <w:rPr>
          <w:w w:val="110"/>
        </w:rPr>
        <w:t>aborden</w:t>
      </w:r>
      <w:r>
        <w:rPr>
          <w:spacing w:val="-6"/>
          <w:w w:val="110"/>
        </w:rPr>
        <w:t> </w:t>
      </w:r>
      <w:r>
        <w:rPr>
          <w:w w:val="110"/>
        </w:rPr>
        <w:t>la</w:t>
      </w:r>
      <w:r>
        <w:rPr>
          <w:spacing w:val="-6"/>
          <w:w w:val="110"/>
        </w:rPr>
        <w:t> </w:t>
      </w:r>
      <w:r>
        <w:rPr>
          <w:w w:val="110"/>
        </w:rPr>
        <w:t>guerra</w:t>
      </w:r>
      <w:r>
        <w:rPr>
          <w:spacing w:val="-6"/>
          <w:w w:val="110"/>
        </w:rPr>
        <w:t> </w:t>
      </w:r>
      <w:r>
        <w:rPr>
          <w:w w:val="110"/>
        </w:rPr>
        <w:t>en</w:t>
      </w:r>
      <w:r>
        <w:rPr>
          <w:spacing w:val="-6"/>
          <w:w w:val="110"/>
        </w:rPr>
        <w:t> </w:t>
      </w:r>
      <w:r>
        <w:rPr>
          <w:w w:val="110"/>
        </w:rPr>
        <w:t>general</w:t>
      </w:r>
      <w:r>
        <w:rPr>
          <w:spacing w:val="-6"/>
          <w:w w:val="110"/>
        </w:rPr>
        <w:t> </w:t>
      </w:r>
      <w:r>
        <w:rPr>
          <w:w w:val="110"/>
        </w:rPr>
        <w:t>o</w:t>
      </w:r>
      <w:r>
        <w:rPr>
          <w:spacing w:val="-6"/>
          <w:w w:val="110"/>
        </w:rPr>
        <w:t> </w:t>
      </w:r>
      <w:r>
        <w:rPr>
          <w:w w:val="110"/>
        </w:rPr>
        <w:t>las</w:t>
      </w:r>
      <w:r>
        <w:rPr>
          <w:spacing w:val="-6"/>
          <w:w w:val="110"/>
        </w:rPr>
        <w:t> </w:t>
      </w:r>
      <w:r>
        <w:rPr>
          <w:w w:val="110"/>
        </w:rPr>
        <w:t>incursiones</w:t>
      </w:r>
      <w:r>
        <w:rPr>
          <w:spacing w:val="-6"/>
          <w:w w:val="110"/>
        </w:rPr>
        <w:t> </w:t>
      </w:r>
      <w:r>
        <w:rPr>
          <w:w w:val="110"/>
        </w:rPr>
        <w:t>en</w:t>
      </w:r>
      <w:r>
        <w:rPr>
          <w:spacing w:val="-6"/>
          <w:w w:val="110"/>
        </w:rPr>
        <w:t> </w:t>
      </w:r>
      <w:r>
        <w:rPr>
          <w:w w:val="110"/>
        </w:rPr>
        <w:t>el</w:t>
      </w:r>
      <w:r>
        <w:rPr>
          <w:spacing w:val="-6"/>
          <w:w w:val="110"/>
        </w:rPr>
        <w:t> </w:t>
      </w:r>
      <w:r>
        <w:rPr>
          <w:w w:val="110"/>
        </w:rPr>
        <w:t>su-</w:t>
      </w:r>
      <w:r>
        <w:rPr>
          <w:w w:val="102"/>
        </w:rPr>
        <w:t> </w:t>
      </w:r>
      <w:r>
        <w:rPr>
          <w:w w:val="110"/>
        </w:rPr>
        <w:t>deste asiático. Y no se trata de conspiración de una elite</w:t>
      </w:r>
      <w:r>
        <w:rPr>
          <w:spacing w:val="3"/>
          <w:w w:val="110"/>
        </w:rPr>
        <w:t> </w:t>
      </w:r>
      <w:r>
        <w:rPr>
          <w:w w:val="110"/>
        </w:rPr>
        <w:t>“maligna”</w:t>
      </w:r>
      <w:r>
        <w:rPr>
          <w:spacing w:val="8"/>
          <w:w w:val="110"/>
        </w:rPr>
        <w:t> </w:t>
      </w:r>
      <w:r>
        <w:rPr>
          <w:w w:val="110"/>
        </w:rPr>
        <w:t>en</w:t>
      </w:r>
      <w:r>
        <w:rPr>
          <w:spacing w:val="-1"/>
          <w:w w:val="108"/>
        </w:rPr>
        <w:t> </w:t>
      </w:r>
      <w:r>
        <w:rPr>
          <w:w w:val="110"/>
        </w:rPr>
        <w:t>contra</w:t>
      </w:r>
      <w:r>
        <w:rPr>
          <w:spacing w:val="-9"/>
          <w:w w:val="110"/>
        </w:rPr>
        <w:t> </w:t>
      </w:r>
      <w:r>
        <w:rPr>
          <w:w w:val="110"/>
        </w:rPr>
        <w:t>de</w:t>
      </w:r>
      <w:r>
        <w:rPr>
          <w:spacing w:val="-9"/>
          <w:w w:val="110"/>
        </w:rPr>
        <w:t> </w:t>
      </w:r>
      <w:r>
        <w:rPr>
          <w:w w:val="110"/>
        </w:rPr>
        <w:t>su</w:t>
      </w:r>
      <w:r>
        <w:rPr>
          <w:spacing w:val="-9"/>
          <w:w w:val="110"/>
        </w:rPr>
        <w:t> </w:t>
      </w:r>
      <w:r>
        <w:rPr>
          <w:w w:val="110"/>
        </w:rPr>
        <w:t>pueblo,</w:t>
      </w:r>
      <w:r>
        <w:rPr>
          <w:spacing w:val="-9"/>
          <w:w w:val="110"/>
        </w:rPr>
        <w:t> </w:t>
      </w:r>
      <w:r>
        <w:rPr>
          <w:w w:val="110"/>
        </w:rPr>
        <w:t>sino</w:t>
      </w:r>
      <w:r>
        <w:rPr>
          <w:spacing w:val="-9"/>
          <w:w w:val="110"/>
        </w:rPr>
        <w:t> </w:t>
      </w:r>
      <w:r>
        <w:rPr>
          <w:w w:val="110"/>
        </w:rPr>
        <w:t>de</w:t>
      </w:r>
      <w:r>
        <w:rPr>
          <w:spacing w:val="-9"/>
          <w:w w:val="110"/>
        </w:rPr>
        <w:t> </w:t>
      </w:r>
      <w:r>
        <w:rPr>
          <w:w w:val="110"/>
        </w:rPr>
        <w:t>las</w:t>
      </w:r>
      <w:r>
        <w:rPr>
          <w:spacing w:val="-9"/>
          <w:w w:val="110"/>
        </w:rPr>
        <w:t> </w:t>
      </w:r>
      <w:r>
        <w:rPr>
          <w:w w:val="110"/>
        </w:rPr>
        <w:t>estrategias</w:t>
      </w:r>
      <w:r>
        <w:rPr>
          <w:spacing w:val="-9"/>
          <w:w w:val="110"/>
        </w:rPr>
        <w:t> </w:t>
      </w:r>
      <w:r>
        <w:rPr>
          <w:w w:val="110"/>
        </w:rPr>
        <w:t>de</w:t>
      </w:r>
      <w:r>
        <w:rPr>
          <w:spacing w:val="-9"/>
          <w:w w:val="110"/>
        </w:rPr>
        <w:t> </w:t>
      </w:r>
      <w:r>
        <w:rPr>
          <w:w w:val="110"/>
        </w:rPr>
        <w:t>reproducción</w:t>
      </w:r>
      <w:r>
        <w:rPr>
          <w:spacing w:val="-9"/>
          <w:w w:val="110"/>
        </w:rPr>
        <w:t> </w:t>
      </w:r>
      <w:r>
        <w:rPr>
          <w:w w:val="110"/>
        </w:rPr>
        <w:t>del</w:t>
      </w:r>
      <w:r>
        <w:rPr>
          <w:spacing w:val="-9"/>
          <w:w w:val="110"/>
        </w:rPr>
        <w:t> </w:t>
      </w:r>
      <w:r>
        <w:rPr>
          <w:w w:val="110"/>
        </w:rPr>
        <w:t>capital.</w:t>
      </w:r>
      <w:r>
        <w:rPr>
          <w:spacing w:val="-1"/>
          <w:w w:val="113"/>
        </w:rPr>
        <w:t> </w:t>
      </w:r>
      <w:r>
        <w:rPr>
          <w:w w:val="243"/>
        </w:rPr>
        <w:t>l</w:t>
      </w:r>
      <w:r>
        <w:rPr>
          <w:w w:val="112"/>
        </w:rPr>
        <w:t>a</w:t>
      </w:r>
      <w:r>
        <w:rPr>
          <w:spacing w:val="17"/>
        </w:rPr>
        <w:t> </w:t>
      </w:r>
      <w:r>
        <w:rPr>
          <w:w w:val="110"/>
        </w:rPr>
        <w:t>historia</w:t>
      </w:r>
      <w:r>
        <w:rPr>
          <w:spacing w:val="17"/>
        </w:rPr>
        <w:t> </w:t>
      </w:r>
      <w:r>
        <w:rPr>
          <w:w w:val="105"/>
        </w:rPr>
        <w:t>es</w:t>
      </w:r>
      <w:r>
        <w:rPr>
          <w:spacing w:val="17"/>
        </w:rPr>
        <w:t> </w:t>
      </w:r>
      <w:r>
        <w:rPr>
          <w:w w:val="107"/>
        </w:rPr>
        <w:t>el</w:t>
      </w:r>
      <w:r>
        <w:rPr>
          <w:spacing w:val="17"/>
        </w:rPr>
        <w:t> </w:t>
      </w:r>
      <w:r>
        <w:rPr>
          <w:w w:val="111"/>
        </w:rPr>
        <w:t>modo</w:t>
      </w:r>
      <w:r>
        <w:rPr>
          <w:spacing w:val="17"/>
        </w:rPr>
        <w:t> </w:t>
      </w:r>
      <w:r>
        <w:rPr>
          <w:w w:val="108"/>
        </w:rPr>
        <w:t>en</w:t>
      </w:r>
      <w:r>
        <w:rPr>
          <w:spacing w:val="17"/>
        </w:rPr>
        <w:t> </w:t>
      </w:r>
      <w:r>
        <w:rPr>
          <w:w w:val="108"/>
        </w:rPr>
        <w:t>que</w:t>
      </w:r>
      <w:r>
        <w:rPr>
          <w:spacing w:val="17"/>
        </w:rPr>
        <w:t> </w:t>
      </w:r>
      <w:r>
        <w:rPr>
          <w:w w:val="108"/>
        </w:rPr>
        <w:t>deseamos</w:t>
      </w:r>
      <w:r>
        <w:rPr>
          <w:spacing w:val="17"/>
        </w:rPr>
        <w:t> </w:t>
      </w:r>
      <w:r>
        <w:rPr>
          <w:w w:val="109"/>
        </w:rPr>
        <w:t>construir</w:t>
      </w:r>
      <w:r>
        <w:rPr>
          <w:spacing w:val="17"/>
        </w:rPr>
        <w:t> </w:t>
      </w:r>
      <w:r>
        <w:rPr>
          <w:w w:val="107"/>
        </w:rPr>
        <w:t>el</w:t>
      </w:r>
      <w:r>
        <w:rPr>
          <w:spacing w:val="17"/>
        </w:rPr>
        <w:t> </w:t>
      </w:r>
      <w:r>
        <w:rPr>
          <w:w w:val="108"/>
        </w:rPr>
        <w:t>presente.</w:t>
      </w:r>
      <w:r>
        <w:rPr>
          <w:spacing w:val="17"/>
        </w:rPr>
        <w:t> </w:t>
      </w:r>
      <w:r>
        <w:rPr>
          <w:w w:val="122"/>
        </w:rPr>
        <w:t>El </w:t>
      </w:r>
      <w:r>
        <w:rPr>
          <w:w w:val="110"/>
        </w:rPr>
        <w:t>olvido de las atrocidades de Vietnam es un ingrediente más para</w:t>
      </w:r>
      <w:r>
        <w:rPr>
          <w:spacing w:val="21"/>
          <w:w w:val="110"/>
        </w:rPr>
        <w:t> </w:t>
      </w:r>
      <w:r>
        <w:rPr>
          <w:w w:val="110"/>
        </w:rPr>
        <w:t>la</w:t>
      </w:r>
      <w:r>
        <w:rPr>
          <w:spacing w:val="1"/>
          <w:w w:val="110"/>
        </w:rPr>
        <w:t> </w:t>
      </w:r>
      <w:r>
        <w:rPr>
          <w:w w:val="110"/>
        </w:rPr>
        <w:t>le-</w:t>
      </w:r>
      <w:r>
        <w:rPr>
          <w:w w:val="102"/>
        </w:rPr>
        <w:t> </w:t>
      </w:r>
      <w:r>
        <w:rPr>
          <w:w w:val="110"/>
        </w:rPr>
        <w:t>gitimación del complejo industrial-militar al servicio de</w:t>
      </w:r>
      <w:r>
        <w:rPr>
          <w:spacing w:val="23"/>
          <w:w w:val="110"/>
        </w:rPr>
        <w:t> </w:t>
      </w:r>
      <w:r>
        <w:rPr>
          <w:w w:val="110"/>
        </w:rPr>
        <w:t>la</w:t>
      </w:r>
      <w:r>
        <w:rPr>
          <w:spacing w:val="16"/>
          <w:w w:val="110"/>
        </w:rPr>
        <w:t> </w:t>
      </w:r>
      <w:r>
        <w:rPr>
          <w:w w:val="110"/>
        </w:rPr>
        <w:t>expansión</w:t>
      </w:r>
      <w:r>
        <w:rPr>
          <w:w w:val="109"/>
        </w:rPr>
        <w:t> </w:t>
      </w:r>
      <w:r>
        <w:rPr>
          <w:w w:val="110"/>
        </w:rPr>
        <w:t>del</w:t>
      </w:r>
      <w:r>
        <w:rPr>
          <w:spacing w:val="29"/>
          <w:w w:val="110"/>
        </w:rPr>
        <w:t> </w:t>
      </w:r>
      <w:r>
        <w:rPr>
          <w:w w:val="110"/>
        </w:rPr>
        <w:t>capitalismo,</w:t>
      </w:r>
      <w:r>
        <w:rPr>
          <w:spacing w:val="29"/>
          <w:w w:val="110"/>
        </w:rPr>
        <w:t> </w:t>
      </w:r>
      <w:r>
        <w:rPr>
          <w:w w:val="110"/>
        </w:rPr>
        <w:t>que</w:t>
      </w:r>
      <w:r>
        <w:rPr>
          <w:spacing w:val="29"/>
          <w:w w:val="110"/>
        </w:rPr>
        <w:t> </w:t>
      </w:r>
      <w:r>
        <w:rPr>
          <w:w w:val="110"/>
        </w:rPr>
        <w:t>amenaza</w:t>
      </w:r>
      <w:r>
        <w:rPr>
          <w:spacing w:val="29"/>
          <w:w w:val="110"/>
        </w:rPr>
        <w:t> </w:t>
      </w:r>
      <w:r>
        <w:rPr>
          <w:w w:val="110"/>
        </w:rPr>
        <w:t>con</w:t>
      </w:r>
      <w:r>
        <w:rPr>
          <w:spacing w:val="29"/>
          <w:w w:val="110"/>
        </w:rPr>
        <w:t> </w:t>
      </w:r>
      <w:r>
        <w:rPr>
          <w:w w:val="110"/>
        </w:rPr>
        <w:t>destruir</w:t>
      </w:r>
      <w:r>
        <w:rPr>
          <w:spacing w:val="29"/>
          <w:w w:val="110"/>
        </w:rPr>
        <w:t> </w:t>
      </w:r>
      <w:r>
        <w:rPr>
          <w:w w:val="110"/>
        </w:rPr>
        <w:t>no</w:t>
      </w:r>
      <w:r>
        <w:rPr>
          <w:spacing w:val="29"/>
          <w:w w:val="110"/>
        </w:rPr>
        <w:t> </w:t>
      </w:r>
      <w:r>
        <w:rPr>
          <w:w w:val="110"/>
        </w:rPr>
        <w:t>sólo</w:t>
      </w:r>
      <w:r>
        <w:rPr>
          <w:spacing w:val="29"/>
          <w:w w:val="110"/>
        </w:rPr>
        <w:t> </w:t>
      </w:r>
      <w:r>
        <w:rPr>
          <w:w w:val="110"/>
        </w:rPr>
        <w:t>las</w:t>
      </w:r>
      <w:r>
        <w:rPr>
          <w:spacing w:val="29"/>
          <w:w w:val="110"/>
        </w:rPr>
        <w:t> </w:t>
      </w:r>
      <w:r>
        <w:rPr>
          <w:w w:val="110"/>
        </w:rPr>
        <w:t>comunidades</w:t>
      </w:r>
      <w:r>
        <w:rPr>
          <w:w w:val="110"/>
        </w:rPr>
        <w:t> </w:t>
      </w:r>
      <w:r>
        <w:rPr>
          <w:w w:val="110"/>
        </w:rPr>
        <w:t>sino</w:t>
      </w:r>
      <w:r>
        <w:rPr>
          <w:spacing w:val="15"/>
          <w:w w:val="110"/>
        </w:rPr>
        <w:t> </w:t>
      </w:r>
      <w:r>
        <w:rPr>
          <w:w w:val="110"/>
        </w:rPr>
        <w:t>el</w:t>
      </w:r>
      <w:r>
        <w:rPr>
          <w:spacing w:val="15"/>
          <w:w w:val="110"/>
        </w:rPr>
        <w:t> </w:t>
      </w:r>
      <w:r>
        <w:rPr>
          <w:w w:val="110"/>
        </w:rPr>
        <w:t>entorno</w:t>
      </w:r>
      <w:r>
        <w:rPr>
          <w:spacing w:val="15"/>
          <w:w w:val="110"/>
        </w:rPr>
        <w:t> </w:t>
      </w:r>
      <w:r>
        <w:rPr>
          <w:w w:val="110"/>
        </w:rPr>
        <w:t>natural</w:t>
      </w:r>
      <w:r>
        <w:rPr>
          <w:spacing w:val="15"/>
          <w:w w:val="110"/>
        </w:rPr>
        <w:t> </w:t>
      </w:r>
      <w:r>
        <w:rPr>
          <w:w w:val="110"/>
        </w:rPr>
        <w:t>en</w:t>
      </w:r>
      <w:r>
        <w:rPr>
          <w:spacing w:val="15"/>
          <w:w w:val="110"/>
        </w:rPr>
        <w:t> </w:t>
      </w:r>
      <w:r>
        <w:rPr>
          <w:w w:val="110"/>
        </w:rPr>
        <w:t>que</w:t>
      </w:r>
      <w:r>
        <w:rPr>
          <w:spacing w:val="15"/>
          <w:w w:val="110"/>
        </w:rPr>
        <w:t> </w:t>
      </w:r>
      <w:r>
        <w:rPr>
          <w:w w:val="110"/>
        </w:rPr>
        <w:t>se</w:t>
      </w:r>
      <w:r>
        <w:rPr>
          <w:spacing w:val="15"/>
          <w:w w:val="110"/>
        </w:rPr>
        <w:t> </w:t>
      </w:r>
      <w:r>
        <w:rPr>
          <w:w w:val="110"/>
        </w:rPr>
        <w:t>encuentran.</w:t>
      </w:r>
      <w:r>
        <w:rPr>
          <w:spacing w:val="15"/>
          <w:w w:val="110"/>
        </w:rPr>
        <w:t> </w:t>
      </w:r>
      <w:r>
        <w:rPr>
          <w:w w:val="110"/>
        </w:rPr>
        <w:t>Hoy</w:t>
      </w:r>
      <w:r>
        <w:rPr>
          <w:spacing w:val="15"/>
          <w:w w:val="110"/>
        </w:rPr>
        <w:t> </w:t>
      </w:r>
      <w:r>
        <w:rPr>
          <w:w w:val="110"/>
        </w:rPr>
        <w:t>más</w:t>
      </w:r>
      <w:r>
        <w:rPr>
          <w:spacing w:val="15"/>
          <w:w w:val="110"/>
        </w:rPr>
        <w:t> </w:t>
      </w:r>
      <w:r>
        <w:rPr>
          <w:w w:val="110"/>
        </w:rPr>
        <w:t>que</w:t>
      </w:r>
      <w:r>
        <w:rPr>
          <w:spacing w:val="15"/>
          <w:w w:val="110"/>
        </w:rPr>
        <w:t> </w:t>
      </w:r>
      <w:r>
        <w:rPr>
          <w:w w:val="110"/>
        </w:rPr>
        <w:t>nunca</w:t>
      </w:r>
      <w:r>
        <w:rPr>
          <w:spacing w:val="15"/>
          <w:w w:val="110"/>
        </w:rPr>
        <w:t> </w:t>
      </w:r>
      <w:r>
        <w:rPr>
          <w:w w:val="110"/>
        </w:rPr>
        <w:t>es</w:t>
      </w:r>
      <w:r>
        <w:rPr>
          <w:w w:val="105"/>
        </w:rPr>
        <w:t> </w:t>
      </w:r>
      <w:r>
        <w:rPr>
          <w:w w:val="110"/>
        </w:rPr>
        <w:t>fundamental recordar a los millones de jóvenes que</w:t>
      </w:r>
      <w:r>
        <w:rPr>
          <w:spacing w:val="18"/>
          <w:w w:val="110"/>
        </w:rPr>
        <w:t> </w:t>
      </w:r>
      <w:r>
        <w:rPr>
          <w:w w:val="110"/>
        </w:rPr>
        <w:t>se</w:t>
      </w:r>
      <w:r>
        <w:rPr>
          <w:spacing w:val="13"/>
          <w:w w:val="110"/>
        </w:rPr>
        <w:t> </w:t>
      </w:r>
      <w:r>
        <w:rPr>
          <w:w w:val="110"/>
        </w:rPr>
        <w:t>pronunciaron</w:t>
      </w:r>
      <w:r>
        <w:rPr>
          <w:w w:val="110"/>
        </w:rPr>
        <w:t> </w:t>
      </w:r>
      <w:r>
        <w:rPr>
          <w:w w:val="110"/>
        </w:rPr>
        <w:t>a</w:t>
      </w:r>
      <w:r>
        <w:rPr>
          <w:spacing w:val="36"/>
          <w:w w:val="110"/>
        </w:rPr>
        <w:t> </w:t>
      </w:r>
      <w:r>
        <w:rPr>
          <w:w w:val="110"/>
        </w:rPr>
        <w:t>nivel</w:t>
      </w:r>
      <w:r>
        <w:rPr>
          <w:spacing w:val="36"/>
          <w:w w:val="110"/>
        </w:rPr>
        <w:t> </w:t>
      </w:r>
      <w:r>
        <w:rPr>
          <w:w w:val="110"/>
        </w:rPr>
        <w:t>mundial</w:t>
      </w:r>
      <w:r>
        <w:rPr>
          <w:spacing w:val="36"/>
          <w:w w:val="110"/>
        </w:rPr>
        <w:t> </w:t>
      </w:r>
      <w:r>
        <w:rPr>
          <w:w w:val="110"/>
        </w:rPr>
        <w:t>en</w:t>
      </w:r>
      <w:r>
        <w:rPr>
          <w:spacing w:val="36"/>
          <w:w w:val="110"/>
        </w:rPr>
        <w:t> </w:t>
      </w:r>
      <w:r>
        <w:rPr>
          <w:w w:val="110"/>
        </w:rPr>
        <w:t>contra</w:t>
      </w:r>
      <w:r>
        <w:rPr>
          <w:spacing w:val="36"/>
          <w:w w:val="110"/>
        </w:rPr>
        <w:t> </w:t>
      </w:r>
      <w:r>
        <w:rPr>
          <w:w w:val="110"/>
        </w:rPr>
        <w:t>de</w:t>
      </w:r>
      <w:r>
        <w:rPr>
          <w:spacing w:val="36"/>
          <w:w w:val="110"/>
        </w:rPr>
        <w:t> </w:t>
      </w:r>
      <w:r>
        <w:rPr>
          <w:w w:val="110"/>
        </w:rPr>
        <w:t>la</w:t>
      </w:r>
      <w:r>
        <w:rPr>
          <w:spacing w:val="36"/>
          <w:w w:val="110"/>
        </w:rPr>
        <w:t> </w:t>
      </w:r>
      <w:r>
        <w:rPr>
          <w:w w:val="110"/>
        </w:rPr>
        <w:t>guerra.</w:t>
      </w:r>
      <w:r>
        <w:rPr>
          <w:spacing w:val="36"/>
          <w:w w:val="110"/>
        </w:rPr>
        <w:t> </w:t>
      </w:r>
      <w:r>
        <w:rPr>
          <w:w w:val="110"/>
        </w:rPr>
        <w:t>Es</w:t>
      </w:r>
      <w:r>
        <w:rPr>
          <w:spacing w:val="36"/>
          <w:w w:val="110"/>
        </w:rPr>
        <w:t> </w:t>
      </w:r>
      <w:r>
        <w:rPr>
          <w:w w:val="110"/>
        </w:rPr>
        <w:t>fundamental</w:t>
      </w:r>
      <w:r>
        <w:rPr>
          <w:spacing w:val="36"/>
          <w:w w:val="110"/>
        </w:rPr>
        <w:t> </w:t>
      </w:r>
      <w:r>
        <w:rPr>
          <w:w w:val="110"/>
        </w:rPr>
        <w:t>recobrar</w:t>
      </w:r>
      <w:r>
        <w:rPr>
          <w:spacing w:val="36"/>
          <w:w w:val="110"/>
        </w:rPr>
        <w:t> </w:t>
      </w:r>
      <w:r>
        <w:rPr>
          <w:w w:val="110"/>
        </w:rPr>
        <w:t>y</w:t>
      </w:r>
      <w:r>
        <w:rPr>
          <w:w w:val="105"/>
        </w:rPr>
        <w:t> </w:t>
      </w:r>
      <w:r>
        <w:rPr>
          <w:w w:val="110"/>
        </w:rPr>
        <w:t>fortalecer la convicción de que la paz no solo es posible</w:t>
      </w:r>
      <w:r>
        <w:rPr>
          <w:spacing w:val="10"/>
          <w:w w:val="110"/>
        </w:rPr>
        <w:t> </w:t>
      </w:r>
      <w:r>
        <w:rPr>
          <w:w w:val="110"/>
        </w:rPr>
        <w:t>sino indispen-</w:t>
      </w:r>
      <w:r>
        <w:rPr>
          <w:w w:val="102"/>
        </w:rPr>
        <w:t> </w:t>
      </w:r>
      <w:r>
        <w:rPr>
          <w:w w:val="110"/>
        </w:rPr>
        <w:t>sable;</w:t>
      </w:r>
      <w:r>
        <w:rPr>
          <w:spacing w:val="22"/>
          <w:w w:val="110"/>
        </w:rPr>
        <w:t> </w:t>
      </w:r>
      <w:r>
        <w:rPr>
          <w:w w:val="110"/>
        </w:rPr>
        <w:t>que</w:t>
      </w:r>
      <w:r>
        <w:rPr>
          <w:spacing w:val="22"/>
          <w:w w:val="110"/>
        </w:rPr>
        <w:t> </w:t>
      </w:r>
      <w:r>
        <w:rPr>
          <w:w w:val="110"/>
        </w:rPr>
        <w:t>el</w:t>
      </w:r>
      <w:r>
        <w:rPr>
          <w:spacing w:val="22"/>
          <w:w w:val="110"/>
        </w:rPr>
        <w:t> </w:t>
      </w:r>
      <w:r>
        <w:rPr>
          <w:w w:val="110"/>
        </w:rPr>
        <w:t>negocio</w:t>
      </w:r>
      <w:r>
        <w:rPr>
          <w:spacing w:val="22"/>
          <w:w w:val="110"/>
        </w:rPr>
        <w:t> </w:t>
      </w:r>
      <w:r>
        <w:rPr>
          <w:w w:val="110"/>
        </w:rPr>
        <w:t>de</w:t>
      </w:r>
      <w:r>
        <w:rPr>
          <w:spacing w:val="22"/>
          <w:w w:val="110"/>
        </w:rPr>
        <w:t> </w:t>
      </w:r>
      <w:r>
        <w:rPr>
          <w:w w:val="110"/>
        </w:rPr>
        <w:t>la</w:t>
      </w:r>
      <w:r>
        <w:rPr>
          <w:spacing w:val="22"/>
          <w:w w:val="110"/>
        </w:rPr>
        <w:t> </w:t>
      </w:r>
      <w:r>
        <w:rPr>
          <w:w w:val="110"/>
        </w:rPr>
        <w:t>guerra</w:t>
      </w:r>
      <w:r>
        <w:rPr>
          <w:spacing w:val="22"/>
          <w:w w:val="110"/>
        </w:rPr>
        <w:t> </w:t>
      </w:r>
      <w:r>
        <w:rPr>
          <w:w w:val="110"/>
        </w:rPr>
        <w:t>solo</w:t>
      </w:r>
      <w:r>
        <w:rPr>
          <w:spacing w:val="22"/>
          <w:w w:val="110"/>
        </w:rPr>
        <w:t> </w:t>
      </w:r>
      <w:r>
        <w:rPr>
          <w:w w:val="110"/>
        </w:rPr>
        <w:t>beneficia</w:t>
      </w:r>
      <w:r>
        <w:rPr>
          <w:spacing w:val="22"/>
          <w:w w:val="110"/>
        </w:rPr>
        <w:t> </w:t>
      </w:r>
      <w:r>
        <w:rPr>
          <w:w w:val="110"/>
        </w:rPr>
        <w:t>a</w:t>
      </w:r>
      <w:r>
        <w:rPr>
          <w:spacing w:val="22"/>
          <w:w w:val="110"/>
        </w:rPr>
        <w:t> </w:t>
      </w:r>
      <w:r>
        <w:rPr>
          <w:w w:val="110"/>
        </w:rPr>
        <w:t>una</w:t>
      </w:r>
      <w:r>
        <w:rPr>
          <w:spacing w:val="22"/>
          <w:w w:val="110"/>
        </w:rPr>
        <w:t> </w:t>
      </w:r>
      <w:r>
        <w:rPr>
          <w:w w:val="110"/>
        </w:rPr>
        <w:t>elite</w:t>
      </w:r>
      <w:r>
        <w:rPr>
          <w:spacing w:val="22"/>
          <w:w w:val="110"/>
        </w:rPr>
        <w:t> </w:t>
      </w:r>
      <w:r>
        <w:rPr>
          <w:w w:val="110"/>
        </w:rPr>
        <w:t>mundial</w:t>
      </w:r>
      <w:r>
        <w:rPr>
          <w:w w:val="112"/>
        </w:rPr>
        <w:t> </w:t>
      </w:r>
      <w:r>
        <w:rPr>
          <w:w w:val="110"/>
        </w:rPr>
        <w:t>empresarial subsumida a una racionalidad instrumental</w:t>
      </w:r>
      <w:r>
        <w:rPr>
          <w:spacing w:val="36"/>
          <w:w w:val="110"/>
        </w:rPr>
        <w:t> </w:t>
      </w:r>
      <w:r>
        <w:rPr>
          <w:w w:val="110"/>
        </w:rPr>
        <w:t>tan</w:t>
      </w:r>
      <w:r>
        <w:rPr>
          <w:spacing w:val="6"/>
          <w:w w:val="110"/>
        </w:rPr>
        <w:t> </w:t>
      </w:r>
      <w:r>
        <w:rPr>
          <w:w w:val="110"/>
        </w:rPr>
        <w:t>cortopla-</w:t>
      </w:r>
      <w:r>
        <w:rPr>
          <w:w w:val="102"/>
        </w:rPr>
        <w:t> </w:t>
      </w:r>
      <w:r>
        <w:rPr>
          <w:w w:val="110"/>
        </w:rPr>
        <w:t>cista</w:t>
      </w:r>
      <w:r>
        <w:rPr>
          <w:spacing w:val="13"/>
          <w:w w:val="110"/>
        </w:rPr>
        <w:t> </w:t>
      </w:r>
      <w:r>
        <w:rPr>
          <w:w w:val="110"/>
        </w:rPr>
        <w:t>como</w:t>
      </w:r>
      <w:r>
        <w:rPr>
          <w:spacing w:val="13"/>
          <w:w w:val="110"/>
        </w:rPr>
        <w:t> </w:t>
      </w:r>
      <w:r>
        <w:rPr>
          <w:w w:val="110"/>
        </w:rPr>
        <w:t>suicida,</w:t>
      </w:r>
      <w:r>
        <w:rPr>
          <w:spacing w:val="13"/>
          <w:w w:val="110"/>
        </w:rPr>
        <w:t> </w:t>
      </w:r>
      <w:r>
        <w:rPr>
          <w:w w:val="110"/>
        </w:rPr>
        <w:t>en</w:t>
      </w:r>
      <w:r>
        <w:rPr>
          <w:spacing w:val="13"/>
          <w:w w:val="110"/>
        </w:rPr>
        <w:t> </w:t>
      </w:r>
      <w:r>
        <w:rPr>
          <w:w w:val="110"/>
        </w:rPr>
        <w:t>la</w:t>
      </w:r>
      <w:r>
        <w:rPr>
          <w:spacing w:val="13"/>
          <w:w w:val="110"/>
        </w:rPr>
        <w:t> </w:t>
      </w:r>
      <w:r>
        <w:rPr>
          <w:w w:val="110"/>
        </w:rPr>
        <w:t>medida</w:t>
      </w:r>
      <w:r>
        <w:rPr>
          <w:spacing w:val="13"/>
          <w:w w:val="110"/>
        </w:rPr>
        <w:t> </w:t>
      </w:r>
      <w:r>
        <w:rPr>
          <w:w w:val="110"/>
        </w:rPr>
        <w:t>en</w:t>
      </w:r>
      <w:r>
        <w:rPr>
          <w:spacing w:val="13"/>
          <w:w w:val="110"/>
        </w:rPr>
        <w:t> </w:t>
      </w:r>
      <w:r>
        <w:rPr>
          <w:w w:val="110"/>
        </w:rPr>
        <w:t>que</w:t>
      </w:r>
      <w:r>
        <w:rPr>
          <w:spacing w:val="13"/>
          <w:w w:val="110"/>
        </w:rPr>
        <w:t> </w:t>
      </w:r>
      <w:r>
        <w:rPr>
          <w:w w:val="110"/>
        </w:rPr>
        <w:t>no</w:t>
      </w:r>
      <w:r>
        <w:rPr>
          <w:spacing w:val="13"/>
          <w:w w:val="110"/>
        </w:rPr>
        <w:t> </w:t>
      </w:r>
      <w:r>
        <w:rPr>
          <w:w w:val="110"/>
        </w:rPr>
        <w:t>repara</w:t>
      </w:r>
      <w:r>
        <w:rPr>
          <w:spacing w:val="13"/>
          <w:w w:val="110"/>
        </w:rPr>
        <w:t> </w:t>
      </w:r>
      <w:r>
        <w:rPr>
          <w:w w:val="110"/>
        </w:rPr>
        <w:t>en</w:t>
      </w:r>
      <w:r>
        <w:rPr>
          <w:spacing w:val="13"/>
          <w:w w:val="110"/>
        </w:rPr>
        <w:t> </w:t>
      </w:r>
      <w:r>
        <w:rPr>
          <w:w w:val="110"/>
        </w:rPr>
        <w:t>el</w:t>
      </w:r>
      <w:r>
        <w:rPr>
          <w:spacing w:val="13"/>
          <w:w w:val="110"/>
        </w:rPr>
        <w:t> </w:t>
      </w:r>
      <w:r>
        <w:rPr>
          <w:w w:val="110"/>
        </w:rPr>
        <w:t>horizonte</w:t>
      </w:r>
      <w:r>
        <w:rPr>
          <w:spacing w:val="13"/>
          <w:w w:val="110"/>
        </w:rPr>
        <w:t> </w:t>
      </w:r>
      <w:r>
        <w:rPr>
          <w:w w:val="110"/>
        </w:rPr>
        <w:t>de</w:t>
      </w:r>
    </w:p>
    <w:p>
      <w:pPr>
        <w:pStyle w:val="BodyText"/>
        <w:ind w:left="330" w:right="321"/>
      </w:pPr>
      <w:r>
        <w:rPr>
          <w:w w:val="110"/>
        </w:rPr>
        <w:t>destrucción que garantiza al perpetuar la guerra.</w:t>
      </w:r>
    </w:p>
    <w:p>
      <w:pPr>
        <w:pStyle w:val="BodyText"/>
        <w:spacing w:before="11"/>
        <w:rPr>
          <w:sz w:val="16"/>
        </w:rPr>
      </w:pPr>
    </w:p>
    <w:p>
      <w:pPr>
        <w:pStyle w:val="Heading6"/>
        <w:ind w:left="331" w:right="321"/>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pStyle w:val="BodyText"/>
        <w:spacing w:line="249" w:lineRule="auto" w:before="8"/>
        <w:ind w:left="727" w:right="408" w:hanging="397"/>
        <w:jc w:val="both"/>
      </w:pPr>
      <w:r>
        <w:rPr>
          <w:w w:val="139"/>
        </w:rPr>
        <w:t>a</w:t>
      </w:r>
      <w:r>
        <w:rPr>
          <w:w w:val="112"/>
        </w:rPr>
        <w:t>llen,</w:t>
      </w:r>
      <w:r>
        <w:rPr>
          <w:spacing w:val="12"/>
        </w:rPr>
        <w:t> </w:t>
      </w:r>
      <w:r>
        <w:rPr>
          <w:w w:val="118"/>
        </w:rPr>
        <w:t>Joe</w:t>
      </w:r>
      <w:r>
        <w:rPr>
          <w:spacing w:val="12"/>
        </w:rPr>
        <w:t> </w:t>
      </w:r>
      <w:r>
        <w:rPr>
          <w:w w:val="102"/>
        </w:rPr>
        <w:t>2004</w:t>
      </w:r>
      <w:r>
        <w:rPr>
          <w:spacing w:val="12"/>
        </w:rPr>
        <w:t> </w:t>
      </w:r>
      <w:r>
        <w:rPr>
          <w:w w:val="117"/>
        </w:rPr>
        <w:t>“</w:t>
      </w:r>
      <w:r>
        <w:rPr>
          <w:spacing w:val="-11"/>
          <w:w w:val="117"/>
        </w:rPr>
        <w:t>V</w:t>
      </w:r>
      <w:r>
        <w:rPr>
          <w:w w:val="110"/>
        </w:rPr>
        <w:t>ietnam:</w:t>
      </w:r>
      <w:r>
        <w:rPr>
          <w:spacing w:val="12"/>
        </w:rPr>
        <w:t> </w:t>
      </w:r>
      <w:r>
        <w:rPr>
          <w:w w:val="195"/>
        </w:rPr>
        <w:t>t</w:t>
      </w:r>
      <w:r>
        <w:rPr>
          <w:w w:val="109"/>
        </w:rPr>
        <w:t>he</w:t>
      </w:r>
      <w:r>
        <w:rPr>
          <w:spacing w:val="12"/>
        </w:rPr>
        <w:t> </w:t>
      </w:r>
      <w:r>
        <w:rPr>
          <w:spacing w:val="-11"/>
          <w:w w:val="110"/>
        </w:rPr>
        <w:t>W</w:t>
      </w:r>
      <w:r>
        <w:rPr>
          <w:w w:val="109"/>
        </w:rPr>
        <w:t>ar</w:t>
      </w:r>
      <w:r>
        <w:rPr>
          <w:spacing w:val="12"/>
        </w:rPr>
        <w:t> </w:t>
      </w:r>
      <w:r>
        <w:rPr>
          <w:w w:val="108"/>
        </w:rPr>
        <w:t>the</w:t>
      </w:r>
      <w:r>
        <w:rPr>
          <w:spacing w:val="12"/>
        </w:rPr>
        <w:t> </w:t>
      </w:r>
      <w:r>
        <w:rPr>
          <w:w w:val="140"/>
        </w:rPr>
        <w:t>u</w:t>
      </w:r>
      <w:r>
        <w:rPr>
          <w:w w:val="138"/>
        </w:rPr>
        <w:t>.</w:t>
      </w:r>
      <w:r>
        <w:rPr>
          <w:w w:val="149"/>
        </w:rPr>
        <w:t>s</w:t>
      </w:r>
      <w:r>
        <w:rPr>
          <w:w w:val="138"/>
        </w:rPr>
        <w:t>.</w:t>
      </w:r>
      <w:r>
        <w:rPr>
          <w:spacing w:val="12"/>
        </w:rPr>
        <w:t> </w:t>
      </w:r>
      <w:r>
        <w:rPr>
          <w:w w:val="243"/>
        </w:rPr>
        <w:t>l</w:t>
      </w:r>
      <w:r>
        <w:rPr>
          <w:w w:val="112"/>
        </w:rPr>
        <w:t>ost”,</w:t>
      </w:r>
      <w:r>
        <w:rPr>
          <w:spacing w:val="12"/>
        </w:rPr>
        <w:t> </w:t>
      </w:r>
      <w:r>
        <w:rPr>
          <w:w w:val="108"/>
        </w:rPr>
        <w:t>en</w:t>
      </w:r>
      <w:r>
        <w:rPr>
          <w:spacing w:val="12"/>
        </w:rPr>
        <w:t> </w:t>
      </w:r>
      <w:r>
        <w:rPr>
          <w:i/>
          <w:w w:val="109"/>
        </w:rPr>
        <w:t>International</w:t>
      </w:r>
      <w:r>
        <w:rPr>
          <w:i/>
          <w:w w:val="109"/>
        </w:rPr>
        <w:t> </w:t>
      </w:r>
      <w:r>
        <w:rPr>
          <w:i/>
          <w:w w:val="110"/>
        </w:rPr>
        <w:t>Socialist</w:t>
      </w:r>
      <w:r>
        <w:rPr>
          <w:i/>
          <w:spacing w:val="-28"/>
          <w:w w:val="110"/>
        </w:rPr>
        <w:t> </w:t>
      </w:r>
      <w:r>
        <w:rPr>
          <w:i/>
          <w:w w:val="110"/>
        </w:rPr>
        <w:t>Review</w:t>
      </w:r>
      <w:r>
        <w:rPr>
          <w:i/>
          <w:spacing w:val="-28"/>
          <w:w w:val="110"/>
        </w:rPr>
        <w:t> </w:t>
      </w:r>
      <w:r>
        <w:rPr>
          <w:w w:val="110"/>
        </w:rPr>
        <w:t>(January/February),</w:t>
      </w:r>
      <w:r>
        <w:rPr>
          <w:spacing w:val="-28"/>
          <w:w w:val="110"/>
        </w:rPr>
        <w:t> </w:t>
      </w:r>
      <w:r>
        <w:rPr>
          <w:w w:val="110"/>
        </w:rPr>
        <w:t>en</w:t>
      </w:r>
      <w:r>
        <w:rPr>
          <w:spacing w:val="-28"/>
          <w:w w:val="110"/>
        </w:rPr>
        <w:t> </w:t>
      </w:r>
      <w:r>
        <w:rPr>
          <w:w w:val="110"/>
        </w:rPr>
        <w:t>&lt;http://www.isreview. </w:t>
      </w:r>
      <w:r>
        <w:rPr>
          <w:w w:val="115"/>
        </w:rPr>
        <w:t>org/issues/40/vietnamiii.shtml&gt;.</w:t>
      </w:r>
    </w:p>
    <w:p>
      <w:pPr>
        <w:pStyle w:val="BodyText"/>
        <w:spacing w:line="249" w:lineRule="auto" w:before="28"/>
        <w:ind w:left="727" w:right="221" w:hanging="397"/>
      </w:pPr>
      <w:r>
        <w:rPr>
          <w:w w:val="134"/>
        </w:rPr>
        <w:t>b</w:t>
      </w:r>
      <w:r>
        <w:rPr>
          <w:w w:val="116"/>
        </w:rPr>
        <w:t>ah,</w:t>
      </w:r>
      <w:r>
        <w:rPr>
          <w:spacing w:val="12"/>
        </w:rPr>
        <w:t> </w:t>
      </w:r>
      <w:r>
        <w:rPr>
          <w:w w:val="140"/>
        </w:rPr>
        <w:t>u</w:t>
      </w:r>
      <w:r>
        <w:rPr>
          <w:w w:val="138"/>
        </w:rPr>
        <w:t>.</w:t>
      </w:r>
      <w:r>
        <w:rPr>
          <w:spacing w:val="12"/>
        </w:rPr>
        <w:t> </w:t>
      </w:r>
      <w:r>
        <w:rPr>
          <w:w w:val="102"/>
        </w:rPr>
        <w:t>2008</w:t>
      </w:r>
      <w:r>
        <w:rPr>
          <w:spacing w:val="12"/>
        </w:rPr>
        <w:t> </w:t>
      </w:r>
      <w:r>
        <w:rPr>
          <w:w w:val="115"/>
        </w:rPr>
        <w:t>“</w:t>
      </w:r>
      <w:r>
        <w:rPr>
          <w:w w:val="139"/>
        </w:rPr>
        <w:t>d</w:t>
      </w:r>
      <w:r>
        <w:rPr>
          <w:w w:val="110"/>
        </w:rPr>
        <w:t>aniel</w:t>
      </w:r>
      <w:r>
        <w:rPr>
          <w:spacing w:val="12"/>
        </w:rPr>
        <w:t> </w:t>
      </w:r>
      <w:r>
        <w:rPr>
          <w:w w:val="243"/>
        </w:rPr>
        <w:t>l</w:t>
      </w:r>
      <w:r>
        <w:rPr>
          <w:w w:val="106"/>
        </w:rPr>
        <w:t>erne</w:t>
      </w:r>
      <w:r>
        <w:rPr>
          <w:spacing w:val="-22"/>
          <w:w w:val="105"/>
        </w:rPr>
        <w:t>r</w:t>
      </w:r>
      <w:r>
        <w:rPr>
          <w:w w:val="138"/>
        </w:rPr>
        <w:t>,</w:t>
      </w:r>
      <w:r>
        <w:rPr>
          <w:spacing w:val="12"/>
        </w:rPr>
        <w:t> </w:t>
      </w:r>
      <w:r>
        <w:rPr>
          <w:w w:val="111"/>
        </w:rPr>
        <w:t>cold</w:t>
      </w:r>
      <w:r>
        <w:rPr>
          <w:spacing w:val="12"/>
        </w:rPr>
        <w:t> </w:t>
      </w:r>
      <w:r>
        <w:rPr>
          <w:w w:val="107"/>
        </w:rPr>
        <w:t>war</w:t>
      </w:r>
      <w:r>
        <w:rPr>
          <w:spacing w:val="12"/>
        </w:rPr>
        <w:t> </w:t>
      </w:r>
      <w:r>
        <w:rPr>
          <w:w w:val="110"/>
        </w:rPr>
        <w:t>propaganda</w:t>
      </w:r>
      <w:r>
        <w:rPr>
          <w:spacing w:val="12"/>
        </w:rPr>
        <w:t> </w:t>
      </w:r>
      <w:r>
        <w:rPr>
          <w:w w:val="111"/>
        </w:rPr>
        <w:t>and</w:t>
      </w:r>
      <w:r>
        <w:rPr>
          <w:spacing w:val="12"/>
        </w:rPr>
        <w:t> </w:t>
      </w:r>
      <w:r>
        <w:rPr>
          <w:w w:val="144"/>
        </w:rPr>
        <w:t>us </w:t>
      </w:r>
      <w:r>
        <w:rPr>
          <w:w w:val="115"/>
        </w:rPr>
        <w:t>development</w:t>
      </w:r>
      <w:r>
        <w:rPr>
          <w:spacing w:val="-31"/>
          <w:w w:val="115"/>
        </w:rPr>
        <w:t> </w:t>
      </w:r>
      <w:r>
        <w:rPr>
          <w:w w:val="115"/>
        </w:rPr>
        <w:t>communication</w:t>
      </w:r>
      <w:r>
        <w:rPr>
          <w:spacing w:val="-31"/>
          <w:w w:val="115"/>
        </w:rPr>
        <w:t> </w:t>
      </w:r>
      <w:r>
        <w:rPr>
          <w:w w:val="115"/>
        </w:rPr>
        <w:t>research:</w:t>
      </w:r>
      <w:r>
        <w:rPr>
          <w:spacing w:val="-31"/>
          <w:w w:val="115"/>
        </w:rPr>
        <w:t> </w:t>
      </w:r>
      <w:r>
        <w:rPr>
          <w:w w:val="115"/>
        </w:rPr>
        <w:t>a</w:t>
      </w:r>
      <w:r>
        <w:rPr>
          <w:spacing w:val="-31"/>
          <w:w w:val="115"/>
        </w:rPr>
        <w:t> </w:t>
      </w:r>
      <w:r>
        <w:rPr>
          <w:w w:val="115"/>
        </w:rPr>
        <w:t>historical</w:t>
      </w:r>
      <w:r>
        <w:rPr>
          <w:spacing w:val="-31"/>
          <w:w w:val="115"/>
        </w:rPr>
        <w:t> </w:t>
      </w:r>
      <w:r>
        <w:rPr>
          <w:w w:val="115"/>
        </w:rPr>
        <w:t>critique”,</w:t>
      </w:r>
      <w:r>
        <w:rPr>
          <w:spacing w:val="-31"/>
          <w:w w:val="115"/>
        </w:rPr>
        <w:t> </w:t>
      </w:r>
      <w:r>
        <w:rPr>
          <w:w w:val="115"/>
        </w:rPr>
        <w:t>en </w:t>
      </w:r>
      <w:r>
        <w:rPr>
          <w:i/>
          <w:w w:val="115"/>
        </w:rPr>
        <w:t>Journal</w:t>
      </w:r>
      <w:r>
        <w:rPr>
          <w:i/>
          <w:spacing w:val="-10"/>
          <w:w w:val="115"/>
        </w:rPr>
        <w:t> </w:t>
      </w:r>
      <w:r>
        <w:rPr>
          <w:i/>
          <w:w w:val="115"/>
        </w:rPr>
        <w:t>of</w:t>
      </w:r>
      <w:r>
        <w:rPr>
          <w:i/>
          <w:spacing w:val="-10"/>
          <w:w w:val="115"/>
        </w:rPr>
        <w:t> </w:t>
      </w:r>
      <w:r>
        <w:rPr>
          <w:i/>
          <w:w w:val="115"/>
        </w:rPr>
        <w:t>Third</w:t>
      </w:r>
      <w:r>
        <w:rPr>
          <w:i/>
          <w:spacing w:val="-10"/>
          <w:w w:val="115"/>
        </w:rPr>
        <w:t> </w:t>
      </w:r>
      <w:r>
        <w:rPr>
          <w:i/>
          <w:spacing w:val="-3"/>
          <w:w w:val="115"/>
        </w:rPr>
        <w:t>World</w:t>
      </w:r>
      <w:r>
        <w:rPr>
          <w:i/>
          <w:spacing w:val="-10"/>
          <w:w w:val="115"/>
        </w:rPr>
        <w:t> </w:t>
      </w:r>
      <w:r>
        <w:rPr>
          <w:i/>
          <w:w w:val="115"/>
        </w:rPr>
        <w:t>Studies</w:t>
      </w:r>
      <w:r>
        <w:rPr>
          <w:w w:val="115"/>
        </w:rPr>
        <w:t>,</w:t>
      </w:r>
      <w:r>
        <w:rPr>
          <w:spacing w:val="-10"/>
          <w:w w:val="115"/>
        </w:rPr>
        <w:t> </w:t>
      </w:r>
      <w:r>
        <w:rPr>
          <w:spacing w:val="-4"/>
          <w:w w:val="115"/>
        </w:rPr>
        <w:t>Vol.</w:t>
      </w:r>
      <w:r>
        <w:rPr>
          <w:spacing w:val="-10"/>
          <w:w w:val="115"/>
        </w:rPr>
        <w:t> </w:t>
      </w:r>
      <w:r>
        <w:rPr>
          <w:w w:val="115"/>
        </w:rPr>
        <w:t>25,</w:t>
      </w:r>
      <w:r>
        <w:rPr>
          <w:spacing w:val="-10"/>
          <w:w w:val="115"/>
        </w:rPr>
        <w:t> </w:t>
      </w:r>
      <w:r>
        <w:rPr>
          <w:w w:val="115"/>
        </w:rPr>
        <w:t>issue</w:t>
      </w:r>
      <w:r>
        <w:rPr>
          <w:spacing w:val="-10"/>
          <w:w w:val="115"/>
        </w:rPr>
        <w:t> </w:t>
      </w:r>
      <w:r>
        <w:rPr>
          <w:w w:val="115"/>
        </w:rPr>
        <w:t>1,</w:t>
      </w:r>
      <w:r>
        <w:rPr>
          <w:spacing w:val="-10"/>
          <w:w w:val="115"/>
        </w:rPr>
        <w:t> </w:t>
      </w:r>
      <w:r>
        <w:rPr>
          <w:spacing w:val="-3"/>
          <w:w w:val="115"/>
        </w:rPr>
        <w:t>september.</w:t>
      </w:r>
    </w:p>
    <w:p>
      <w:pPr>
        <w:spacing w:line="249" w:lineRule="auto" w:before="28"/>
        <w:ind w:left="727" w:right="124" w:hanging="397"/>
        <w:jc w:val="left"/>
        <w:rPr>
          <w:sz w:val="19"/>
        </w:rPr>
      </w:pPr>
      <w:r>
        <w:rPr>
          <w:w w:val="115"/>
          <w:sz w:val="19"/>
        </w:rPr>
        <w:t>baran,</w:t>
      </w:r>
      <w:r>
        <w:rPr>
          <w:spacing w:val="-11"/>
          <w:w w:val="115"/>
          <w:sz w:val="19"/>
        </w:rPr>
        <w:t> </w:t>
      </w:r>
      <w:r>
        <w:rPr>
          <w:w w:val="115"/>
          <w:sz w:val="19"/>
        </w:rPr>
        <w:t>Paul</w:t>
      </w:r>
      <w:r>
        <w:rPr>
          <w:spacing w:val="-11"/>
          <w:w w:val="115"/>
          <w:sz w:val="19"/>
        </w:rPr>
        <w:t> </w:t>
      </w:r>
      <w:r>
        <w:rPr>
          <w:w w:val="115"/>
          <w:sz w:val="19"/>
        </w:rPr>
        <w:t>y</w:t>
      </w:r>
      <w:r>
        <w:rPr>
          <w:spacing w:val="-11"/>
          <w:w w:val="115"/>
          <w:sz w:val="19"/>
        </w:rPr>
        <w:t> </w:t>
      </w:r>
      <w:r>
        <w:rPr>
          <w:spacing w:val="-4"/>
          <w:w w:val="115"/>
          <w:sz w:val="19"/>
        </w:rPr>
        <w:t>sweezy,</w:t>
      </w:r>
      <w:r>
        <w:rPr>
          <w:spacing w:val="-11"/>
          <w:w w:val="115"/>
          <w:sz w:val="19"/>
        </w:rPr>
        <w:t> </w:t>
      </w:r>
      <w:r>
        <w:rPr>
          <w:w w:val="115"/>
          <w:sz w:val="19"/>
        </w:rPr>
        <w:t>Paul</w:t>
      </w:r>
      <w:r>
        <w:rPr>
          <w:spacing w:val="-11"/>
          <w:w w:val="115"/>
          <w:sz w:val="19"/>
        </w:rPr>
        <w:t> </w:t>
      </w:r>
      <w:r>
        <w:rPr>
          <w:w w:val="115"/>
          <w:sz w:val="19"/>
        </w:rPr>
        <w:t>1974</w:t>
      </w:r>
      <w:r>
        <w:rPr>
          <w:spacing w:val="-11"/>
          <w:w w:val="115"/>
          <w:sz w:val="19"/>
        </w:rPr>
        <w:t> </w:t>
      </w:r>
      <w:r>
        <w:rPr>
          <w:i/>
          <w:w w:val="115"/>
          <w:sz w:val="19"/>
        </w:rPr>
        <w:t>El</w:t>
      </w:r>
      <w:r>
        <w:rPr>
          <w:i/>
          <w:spacing w:val="-11"/>
          <w:w w:val="115"/>
          <w:sz w:val="19"/>
        </w:rPr>
        <w:t> </w:t>
      </w:r>
      <w:r>
        <w:rPr>
          <w:i/>
          <w:w w:val="115"/>
          <w:sz w:val="19"/>
        </w:rPr>
        <w:t>capital</w:t>
      </w:r>
      <w:r>
        <w:rPr>
          <w:i/>
          <w:spacing w:val="-11"/>
          <w:w w:val="115"/>
          <w:sz w:val="19"/>
        </w:rPr>
        <w:t> </w:t>
      </w:r>
      <w:r>
        <w:rPr>
          <w:i/>
          <w:w w:val="115"/>
          <w:sz w:val="19"/>
        </w:rPr>
        <w:t>monopolista.</w:t>
      </w:r>
      <w:r>
        <w:rPr>
          <w:i/>
          <w:spacing w:val="-11"/>
          <w:w w:val="115"/>
          <w:sz w:val="19"/>
        </w:rPr>
        <w:t> </w:t>
      </w:r>
      <w:r>
        <w:rPr>
          <w:i/>
          <w:w w:val="115"/>
          <w:sz w:val="19"/>
        </w:rPr>
        <w:t>Ensayo</w:t>
      </w:r>
      <w:r>
        <w:rPr>
          <w:i/>
          <w:spacing w:val="-11"/>
          <w:w w:val="115"/>
          <w:sz w:val="19"/>
        </w:rPr>
        <w:t> </w:t>
      </w:r>
      <w:r>
        <w:rPr>
          <w:i/>
          <w:w w:val="115"/>
          <w:sz w:val="19"/>
        </w:rPr>
        <w:t>sobre </w:t>
      </w:r>
      <w:r>
        <w:rPr>
          <w:i/>
          <w:w w:val="115"/>
          <w:sz w:val="19"/>
        </w:rPr>
        <w:t>el</w:t>
      </w:r>
      <w:r>
        <w:rPr>
          <w:i/>
          <w:spacing w:val="-8"/>
          <w:w w:val="115"/>
          <w:sz w:val="19"/>
        </w:rPr>
        <w:t> </w:t>
      </w:r>
      <w:r>
        <w:rPr>
          <w:i/>
          <w:w w:val="115"/>
          <w:sz w:val="19"/>
        </w:rPr>
        <w:t>orden</w:t>
      </w:r>
      <w:r>
        <w:rPr>
          <w:i/>
          <w:spacing w:val="-8"/>
          <w:w w:val="115"/>
          <w:sz w:val="19"/>
        </w:rPr>
        <w:t> </w:t>
      </w:r>
      <w:r>
        <w:rPr>
          <w:i/>
          <w:w w:val="115"/>
          <w:sz w:val="19"/>
        </w:rPr>
        <w:t>económico</w:t>
      </w:r>
      <w:r>
        <w:rPr>
          <w:i/>
          <w:spacing w:val="-8"/>
          <w:w w:val="115"/>
          <w:sz w:val="19"/>
        </w:rPr>
        <w:t> </w:t>
      </w:r>
      <w:r>
        <w:rPr>
          <w:i/>
          <w:w w:val="115"/>
          <w:sz w:val="19"/>
        </w:rPr>
        <w:t>y</w:t>
      </w:r>
      <w:r>
        <w:rPr>
          <w:i/>
          <w:spacing w:val="-8"/>
          <w:w w:val="115"/>
          <w:sz w:val="19"/>
        </w:rPr>
        <w:t> </w:t>
      </w:r>
      <w:r>
        <w:rPr>
          <w:i/>
          <w:w w:val="115"/>
          <w:sz w:val="19"/>
        </w:rPr>
        <w:t>social</w:t>
      </w:r>
      <w:r>
        <w:rPr>
          <w:i/>
          <w:spacing w:val="-8"/>
          <w:w w:val="115"/>
          <w:sz w:val="19"/>
        </w:rPr>
        <w:t> </w:t>
      </w:r>
      <w:r>
        <w:rPr>
          <w:i/>
          <w:w w:val="115"/>
          <w:sz w:val="19"/>
        </w:rPr>
        <w:t>de</w:t>
      </w:r>
      <w:r>
        <w:rPr>
          <w:i/>
          <w:spacing w:val="-8"/>
          <w:w w:val="115"/>
          <w:sz w:val="19"/>
        </w:rPr>
        <w:t> </w:t>
      </w:r>
      <w:r>
        <w:rPr>
          <w:i/>
          <w:w w:val="115"/>
          <w:sz w:val="19"/>
        </w:rPr>
        <w:t>los</w:t>
      </w:r>
      <w:r>
        <w:rPr>
          <w:i/>
          <w:spacing w:val="-8"/>
          <w:w w:val="115"/>
          <w:sz w:val="19"/>
        </w:rPr>
        <w:t> </w:t>
      </w:r>
      <w:r>
        <w:rPr>
          <w:i/>
          <w:w w:val="115"/>
          <w:sz w:val="19"/>
        </w:rPr>
        <w:t>Estados</w:t>
      </w:r>
      <w:r>
        <w:rPr>
          <w:i/>
          <w:spacing w:val="-8"/>
          <w:w w:val="115"/>
          <w:sz w:val="19"/>
        </w:rPr>
        <w:t> </w:t>
      </w:r>
      <w:r>
        <w:rPr>
          <w:i/>
          <w:w w:val="115"/>
          <w:sz w:val="19"/>
        </w:rPr>
        <w:t>Unidos</w:t>
      </w:r>
      <w:r>
        <w:rPr>
          <w:i/>
          <w:spacing w:val="-8"/>
          <w:w w:val="115"/>
          <w:sz w:val="19"/>
        </w:rPr>
        <w:t> </w:t>
      </w:r>
      <w:r>
        <w:rPr>
          <w:w w:val="115"/>
          <w:sz w:val="19"/>
        </w:rPr>
        <w:t>(buenos</w:t>
      </w:r>
      <w:r>
        <w:rPr>
          <w:spacing w:val="-8"/>
          <w:w w:val="115"/>
          <w:sz w:val="19"/>
        </w:rPr>
        <w:t> </w:t>
      </w:r>
      <w:r>
        <w:rPr>
          <w:w w:val="115"/>
          <w:sz w:val="19"/>
        </w:rPr>
        <w:t>aires: siglo  </w:t>
      </w:r>
      <w:r>
        <w:rPr>
          <w:spacing w:val="23"/>
          <w:w w:val="115"/>
          <w:sz w:val="19"/>
        </w:rPr>
        <w:t> </w:t>
      </w:r>
      <w:r>
        <w:rPr>
          <w:w w:val="115"/>
          <w:sz w:val="19"/>
        </w:rPr>
        <w:t>xxi).</w:t>
      </w:r>
    </w:p>
    <w:p>
      <w:pPr>
        <w:spacing w:line="249" w:lineRule="auto" w:before="28"/>
        <w:ind w:left="727" w:right="41" w:hanging="397"/>
        <w:jc w:val="left"/>
        <w:rPr>
          <w:sz w:val="19"/>
        </w:rPr>
      </w:pPr>
      <w:r>
        <w:rPr>
          <w:w w:val="110"/>
          <w:sz w:val="19"/>
        </w:rPr>
        <w:t>barnet, richard 1974 </w:t>
      </w:r>
      <w:r>
        <w:rPr>
          <w:i/>
          <w:w w:val="110"/>
          <w:sz w:val="19"/>
        </w:rPr>
        <w:t>Guerra perpetua. Los hombres y las instituciones </w:t>
      </w:r>
      <w:r>
        <w:rPr>
          <w:i/>
          <w:w w:val="110"/>
          <w:sz w:val="19"/>
        </w:rPr>
        <w:t>detrás de la política exterior estadounidense </w:t>
      </w:r>
      <w:r>
        <w:rPr>
          <w:w w:val="110"/>
          <w:sz w:val="19"/>
        </w:rPr>
        <w:t>(México: FCE).</w:t>
      </w:r>
    </w:p>
    <w:p>
      <w:pPr>
        <w:spacing w:line="249" w:lineRule="auto" w:before="28"/>
        <w:ind w:left="727" w:right="41" w:hanging="397"/>
        <w:jc w:val="left"/>
        <w:rPr>
          <w:sz w:val="19"/>
        </w:rPr>
      </w:pPr>
      <w:r>
        <w:rPr>
          <w:w w:val="110"/>
          <w:sz w:val="19"/>
        </w:rPr>
        <w:t>barsamian, david 2001 </w:t>
      </w:r>
      <w:r>
        <w:rPr>
          <w:i/>
          <w:w w:val="110"/>
          <w:sz w:val="19"/>
        </w:rPr>
        <w:t>Propaganda and the public mind. Conversations </w:t>
      </w:r>
      <w:r>
        <w:rPr>
          <w:i/>
          <w:w w:val="110"/>
          <w:sz w:val="19"/>
        </w:rPr>
        <w:t>with Noam Chomsky </w:t>
      </w:r>
      <w:r>
        <w:rPr>
          <w:w w:val="110"/>
          <w:sz w:val="19"/>
        </w:rPr>
        <w:t>(Cambridge: south End  Press).</w:t>
      </w:r>
    </w:p>
    <w:p>
      <w:pPr>
        <w:pStyle w:val="BodyText"/>
        <w:spacing w:line="249" w:lineRule="auto" w:before="28"/>
        <w:ind w:left="727" w:right="194" w:hanging="397"/>
      </w:pPr>
      <w:r>
        <w:rPr>
          <w:w w:val="110"/>
        </w:rPr>
        <w:t>bbC News 2005 “the legacy of agent orange”, 29 de abril, en &lt;http:// news.bbc.co.uk/2/hi/asia-pacific/4494347.stm&gt;.</w:t>
      </w:r>
    </w:p>
    <w:p>
      <w:pPr>
        <w:spacing w:after="0" w:line="249" w:lineRule="auto"/>
        <w:sectPr>
          <w:pgSz w:w="8790" w:h="12760"/>
          <w:pgMar w:header="695" w:footer="725" w:top="880" w:bottom="920" w:left="1200" w:right="900"/>
        </w:sectPr>
      </w:pPr>
    </w:p>
    <w:p>
      <w:pPr>
        <w:pStyle w:val="BodyText"/>
        <w:spacing w:before="9"/>
        <w:rPr>
          <w:sz w:val="28"/>
        </w:rPr>
      </w:pPr>
    </w:p>
    <w:p>
      <w:pPr>
        <w:pStyle w:val="BodyText"/>
        <w:spacing w:line="283" w:lineRule="auto" w:before="73"/>
        <w:ind w:left="100" w:right="422"/>
      </w:pPr>
      <w:r>
        <w:rPr>
          <w:w w:val="134"/>
        </w:rPr>
        <w:t>b</w:t>
      </w:r>
      <w:r>
        <w:rPr>
          <w:w w:val="110"/>
        </w:rPr>
        <w:t>ermúdez,</w:t>
      </w:r>
      <w:r>
        <w:rPr/>
        <w:t> </w:t>
      </w:r>
      <w:r>
        <w:rPr>
          <w:w w:val="243"/>
        </w:rPr>
        <w:t>l</w:t>
      </w:r>
      <w:r>
        <w:rPr>
          <w:w w:val="113"/>
        </w:rPr>
        <w:t>ilia</w:t>
      </w:r>
      <w:r>
        <w:rPr/>
        <w:t> </w:t>
      </w:r>
      <w:r>
        <w:rPr>
          <w:w w:val="102"/>
        </w:rPr>
        <w:t>1987</w:t>
      </w:r>
      <w:r>
        <w:rPr/>
        <w:t> </w:t>
      </w:r>
      <w:r>
        <w:rPr>
          <w:i/>
          <w:w w:val="110"/>
        </w:rPr>
        <w:t>Guerra</w:t>
      </w:r>
      <w:r>
        <w:rPr>
          <w:i/>
        </w:rPr>
        <w:t> </w:t>
      </w:r>
      <w:r>
        <w:rPr>
          <w:i/>
          <w:w w:val="104"/>
        </w:rPr>
        <w:t>de</w:t>
      </w:r>
      <w:r>
        <w:rPr>
          <w:i/>
        </w:rPr>
        <w:t> </w:t>
      </w:r>
      <w:r>
        <w:rPr>
          <w:i/>
          <w:w w:val="105"/>
        </w:rPr>
        <w:t>baja</w:t>
      </w:r>
      <w:r>
        <w:rPr>
          <w:i/>
        </w:rPr>
        <w:t> </w:t>
      </w:r>
      <w:r>
        <w:rPr>
          <w:i/>
          <w:w w:val="110"/>
        </w:rPr>
        <w:t>intensidad</w:t>
      </w:r>
      <w:r>
        <w:rPr>
          <w:i/>
        </w:rPr>
        <w:t> </w:t>
      </w:r>
      <w:r>
        <w:rPr>
          <w:w w:val="111"/>
        </w:rPr>
        <w:t>(México:</w:t>
      </w:r>
      <w:r>
        <w:rPr/>
        <w:t> </w:t>
      </w:r>
      <w:r>
        <w:rPr>
          <w:w w:val="149"/>
        </w:rPr>
        <w:t>s</w:t>
      </w:r>
      <w:r>
        <w:rPr>
          <w:w w:val="111"/>
        </w:rPr>
        <w:t>iglo</w:t>
      </w:r>
      <w:r>
        <w:rPr/>
        <w:t> </w:t>
      </w:r>
      <w:r>
        <w:rPr>
          <w:w w:val="156"/>
        </w:rPr>
        <w:t>xxi</w:t>
      </w:r>
      <w:r>
        <w:rPr>
          <w:w w:val="112"/>
        </w:rPr>
        <w:t>). </w:t>
      </w:r>
      <w:r>
        <w:rPr>
          <w:w w:val="115"/>
        </w:rPr>
        <w:t>bernays, Edward 1928 “Manipulating Public opinion: the why and</w:t>
      </w:r>
    </w:p>
    <w:p>
      <w:pPr>
        <w:spacing w:line="194" w:lineRule="exact" w:before="0"/>
        <w:ind w:left="100" w:right="0" w:firstLine="396"/>
        <w:jc w:val="left"/>
        <w:rPr>
          <w:sz w:val="19"/>
        </w:rPr>
      </w:pPr>
      <w:r>
        <w:rPr>
          <w:w w:val="110"/>
          <w:sz w:val="19"/>
        </w:rPr>
        <w:t>how”, en </w:t>
      </w:r>
      <w:r>
        <w:rPr>
          <w:i/>
          <w:w w:val="110"/>
          <w:sz w:val="19"/>
        </w:rPr>
        <w:t>American Journal of Sociology</w:t>
      </w:r>
      <w:r>
        <w:rPr>
          <w:w w:val="110"/>
          <w:sz w:val="19"/>
        </w:rPr>
        <w:t>, Vol. 33, Nº 6, pp. 958-971.</w:t>
      </w:r>
    </w:p>
    <w:p>
      <w:pPr>
        <w:spacing w:line="266" w:lineRule="auto" w:before="39"/>
        <w:ind w:left="100" w:right="343" w:firstLine="0"/>
        <w:jc w:val="right"/>
        <w:rPr>
          <w:sz w:val="19"/>
        </w:rPr>
      </w:pPr>
      <w:r>
        <w:rPr>
          <w:spacing w:val="-7"/>
          <w:w w:val="110"/>
          <w:sz w:val="19"/>
        </w:rPr>
        <w:t>Chomsky,</w:t>
      </w:r>
      <w:r>
        <w:rPr>
          <w:spacing w:val="-18"/>
          <w:w w:val="110"/>
          <w:sz w:val="19"/>
        </w:rPr>
        <w:t> </w:t>
      </w:r>
      <w:r>
        <w:rPr>
          <w:spacing w:val="-3"/>
          <w:w w:val="110"/>
          <w:sz w:val="19"/>
        </w:rPr>
        <w:t>Noam</w:t>
      </w:r>
      <w:r>
        <w:rPr>
          <w:spacing w:val="-18"/>
          <w:w w:val="110"/>
          <w:sz w:val="19"/>
        </w:rPr>
        <w:t> </w:t>
      </w:r>
      <w:r>
        <w:rPr>
          <w:spacing w:val="-3"/>
          <w:w w:val="110"/>
          <w:sz w:val="19"/>
        </w:rPr>
        <w:t>2003</w:t>
      </w:r>
      <w:r>
        <w:rPr>
          <w:spacing w:val="-18"/>
          <w:w w:val="110"/>
          <w:sz w:val="19"/>
        </w:rPr>
        <w:t> </w:t>
      </w:r>
      <w:r>
        <w:rPr>
          <w:i/>
          <w:spacing w:val="-7"/>
          <w:w w:val="110"/>
          <w:sz w:val="19"/>
        </w:rPr>
        <w:t>Towards</w:t>
      </w:r>
      <w:r>
        <w:rPr>
          <w:i/>
          <w:spacing w:val="-18"/>
          <w:w w:val="110"/>
          <w:sz w:val="19"/>
        </w:rPr>
        <w:t> </w:t>
      </w:r>
      <w:r>
        <w:rPr>
          <w:i/>
          <w:w w:val="110"/>
          <w:sz w:val="19"/>
        </w:rPr>
        <w:t>a</w:t>
      </w:r>
      <w:r>
        <w:rPr>
          <w:i/>
          <w:spacing w:val="-18"/>
          <w:w w:val="110"/>
          <w:sz w:val="19"/>
        </w:rPr>
        <w:t> </w:t>
      </w:r>
      <w:r>
        <w:rPr>
          <w:i/>
          <w:spacing w:val="-3"/>
          <w:w w:val="110"/>
          <w:sz w:val="19"/>
        </w:rPr>
        <w:t>new</w:t>
      </w:r>
      <w:r>
        <w:rPr>
          <w:i/>
          <w:spacing w:val="-18"/>
          <w:w w:val="110"/>
          <w:sz w:val="19"/>
        </w:rPr>
        <w:t> </w:t>
      </w:r>
      <w:r>
        <w:rPr>
          <w:i/>
          <w:spacing w:val="-3"/>
          <w:w w:val="110"/>
          <w:sz w:val="19"/>
        </w:rPr>
        <w:t>Cold</w:t>
      </w:r>
      <w:r>
        <w:rPr>
          <w:i/>
          <w:spacing w:val="-18"/>
          <w:w w:val="110"/>
          <w:sz w:val="19"/>
        </w:rPr>
        <w:t> </w:t>
      </w:r>
      <w:r>
        <w:rPr>
          <w:i/>
          <w:spacing w:val="-6"/>
          <w:w w:val="110"/>
          <w:sz w:val="19"/>
        </w:rPr>
        <w:t>War</w:t>
      </w:r>
      <w:r>
        <w:rPr>
          <w:i/>
          <w:spacing w:val="-18"/>
          <w:w w:val="110"/>
          <w:sz w:val="19"/>
        </w:rPr>
        <w:t> </w:t>
      </w:r>
      <w:r>
        <w:rPr>
          <w:spacing w:val="-3"/>
          <w:w w:val="110"/>
          <w:sz w:val="19"/>
        </w:rPr>
        <w:t>(New</w:t>
      </w:r>
      <w:r>
        <w:rPr>
          <w:spacing w:val="-18"/>
          <w:w w:val="110"/>
          <w:sz w:val="19"/>
        </w:rPr>
        <w:t> </w:t>
      </w:r>
      <w:r>
        <w:rPr>
          <w:spacing w:val="-7"/>
          <w:w w:val="110"/>
          <w:sz w:val="19"/>
        </w:rPr>
        <w:t>York:</w:t>
      </w:r>
      <w:r>
        <w:rPr>
          <w:spacing w:val="-18"/>
          <w:w w:val="110"/>
          <w:sz w:val="19"/>
        </w:rPr>
        <w:t> </w:t>
      </w:r>
      <w:r>
        <w:rPr>
          <w:spacing w:val="-3"/>
          <w:w w:val="110"/>
          <w:sz w:val="19"/>
        </w:rPr>
        <w:t>the</w:t>
      </w:r>
      <w:r>
        <w:rPr>
          <w:spacing w:val="-18"/>
          <w:w w:val="110"/>
          <w:sz w:val="19"/>
        </w:rPr>
        <w:t> </w:t>
      </w:r>
      <w:r>
        <w:rPr>
          <w:spacing w:val="-3"/>
          <w:w w:val="110"/>
          <w:sz w:val="19"/>
        </w:rPr>
        <w:t>New</w:t>
      </w:r>
      <w:r>
        <w:rPr>
          <w:spacing w:val="-18"/>
          <w:w w:val="110"/>
          <w:sz w:val="19"/>
        </w:rPr>
        <w:t> </w:t>
      </w:r>
      <w:r>
        <w:rPr>
          <w:spacing w:val="-4"/>
          <w:w w:val="110"/>
          <w:sz w:val="19"/>
        </w:rPr>
        <w:t>Press).</w:t>
      </w:r>
      <w:r>
        <w:rPr>
          <w:spacing w:val="-4"/>
          <w:w w:val="103"/>
          <w:sz w:val="19"/>
        </w:rPr>
        <w:t> </w:t>
      </w:r>
      <w:r>
        <w:rPr>
          <w:spacing w:val="-3"/>
          <w:w w:val="110"/>
          <w:sz w:val="19"/>
        </w:rPr>
        <w:t>Chomsky, </w:t>
      </w:r>
      <w:r>
        <w:rPr>
          <w:w w:val="110"/>
          <w:sz w:val="19"/>
        </w:rPr>
        <w:t>Noam y Herman, Edward 1979 </w:t>
      </w:r>
      <w:r>
        <w:rPr>
          <w:i/>
          <w:w w:val="110"/>
          <w:sz w:val="19"/>
        </w:rPr>
        <w:t>The</w:t>
      </w:r>
      <w:r>
        <w:rPr>
          <w:i/>
          <w:spacing w:val="7"/>
          <w:w w:val="110"/>
          <w:sz w:val="19"/>
        </w:rPr>
        <w:t> </w:t>
      </w:r>
      <w:r>
        <w:rPr>
          <w:i/>
          <w:w w:val="110"/>
          <w:sz w:val="19"/>
        </w:rPr>
        <w:t>Washington</w:t>
      </w:r>
      <w:r>
        <w:rPr>
          <w:i/>
          <w:spacing w:val="13"/>
          <w:w w:val="110"/>
          <w:sz w:val="19"/>
        </w:rPr>
        <w:t> </w:t>
      </w:r>
      <w:r>
        <w:rPr>
          <w:i/>
          <w:w w:val="110"/>
          <w:sz w:val="19"/>
        </w:rPr>
        <w:t>connection</w:t>
      </w:r>
      <w:r>
        <w:rPr>
          <w:i/>
          <w:w w:val="111"/>
          <w:sz w:val="19"/>
        </w:rPr>
        <w:t> </w:t>
      </w:r>
      <w:r>
        <w:rPr>
          <w:i/>
          <w:w w:val="110"/>
          <w:sz w:val="19"/>
        </w:rPr>
        <w:t>and Third </w:t>
      </w:r>
      <w:r>
        <w:rPr>
          <w:i/>
          <w:spacing w:val="-3"/>
          <w:w w:val="110"/>
          <w:sz w:val="19"/>
        </w:rPr>
        <w:t>World </w:t>
      </w:r>
      <w:r>
        <w:rPr>
          <w:i/>
          <w:w w:val="110"/>
          <w:sz w:val="19"/>
        </w:rPr>
        <w:t>fascism. The political economy of Human   </w:t>
      </w:r>
      <w:r>
        <w:rPr>
          <w:i/>
          <w:spacing w:val="12"/>
          <w:w w:val="110"/>
          <w:sz w:val="19"/>
        </w:rPr>
        <w:t> </w:t>
      </w:r>
      <w:r>
        <w:rPr>
          <w:i/>
          <w:w w:val="110"/>
          <w:sz w:val="19"/>
        </w:rPr>
        <w:t>Rights</w:t>
      </w:r>
      <w:r>
        <w:rPr>
          <w:w w:val="110"/>
          <w:sz w:val="19"/>
        </w:rPr>
        <w:t>,</w:t>
      </w:r>
    </w:p>
    <w:p>
      <w:pPr>
        <w:pStyle w:val="BodyText"/>
        <w:spacing w:line="209" w:lineRule="exact"/>
        <w:ind w:left="497"/>
      </w:pPr>
      <w:r>
        <w:rPr>
          <w:w w:val="115"/>
        </w:rPr>
        <w:t>Vol. 1 (boston: south End Press).</w:t>
      </w:r>
    </w:p>
    <w:p>
      <w:pPr>
        <w:pStyle w:val="BodyText"/>
        <w:spacing w:line="252" w:lineRule="auto" w:before="39"/>
        <w:ind w:left="497" w:right="437" w:hanging="397"/>
      </w:pPr>
      <w:r>
        <w:rPr>
          <w:w w:val="110"/>
        </w:rPr>
        <w:t>Counterpoint 1969 “Gis against de </w:t>
      </w:r>
      <w:r>
        <w:rPr>
          <w:spacing w:val="-3"/>
          <w:w w:val="110"/>
        </w:rPr>
        <w:t>War”, </w:t>
      </w:r>
      <w:r>
        <w:rPr>
          <w:spacing w:val="-4"/>
          <w:w w:val="110"/>
        </w:rPr>
        <w:t>Vol. </w:t>
      </w:r>
      <w:r>
        <w:rPr>
          <w:w w:val="110"/>
        </w:rPr>
        <w:t>2, Nº 15 (september,  </w:t>
      </w:r>
      <w:r>
        <w:rPr/>
        <w:t>26), en </w:t>
      </w:r>
      <w:hyperlink r:id="rId378">
        <w:r>
          <w:rPr/>
          <w:t>&lt;http://depts.washington.edu/labpics/repository/d/5855-3/</w:t>
        </w:r>
      </w:hyperlink>
      <w:r>
        <w:rPr/>
        <w:t> </w:t>
      </w:r>
      <w:r>
        <w:rPr>
          <w:w w:val="110"/>
        </w:rPr>
        <w:t>cpoint_1969_09_20_ocr_op.pdf&gt;.</w:t>
      </w:r>
    </w:p>
    <w:p>
      <w:pPr>
        <w:spacing w:line="252" w:lineRule="auto" w:before="28"/>
        <w:ind w:left="497" w:right="528" w:hanging="397"/>
        <w:jc w:val="left"/>
        <w:rPr>
          <w:sz w:val="19"/>
        </w:rPr>
      </w:pPr>
      <w:r>
        <w:rPr>
          <w:w w:val="110"/>
          <w:sz w:val="19"/>
        </w:rPr>
        <w:t>diMaggio, anthony 2009 </w:t>
      </w:r>
      <w:r>
        <w:rPr>
          <w:i/>
          <w:w w:val="110"/>
          <w:sz w:val="19"/>
        </w:rPr>
        <w:t>When media goes to war. Hegemonic </w:t>
      </w:r>
      <w:r>
        <w:rPr>
          <w:i/>
          <w:w w:val="110"/>
          <w:sz w:val="19"/>
        </w:rPr>
        <w:t>discourse, public opinion, and the limits of dissent</w:t>
      </w:r>
      <w:r>
        <w:rPr>
          <w:w w:val="110"/>
          <w:sz w:val="19"/>
        </w:rPr>
        <w:t>, en </w:t>
      </w:r>
      <w:r>
        <w:rPr>
          <w:i/>
          <w:w w:val="110"/>
          <w:sz w:val="19"/>
        </w:rPr>
        <w:t>Monthly </w:t>
      </w:r>
      <w:r>
        <w:rPr>
          <w:i/>
          <w:w w:val="110"/>
          <w:sz w:val="19"/>
        </w:rPr>
        <w:t>Review Press </w:t>
      </w:r>
      <w:r>
        <w:rPr>
          <w:w w:val="110"/>
          <w:sz w:val="19"/>
        </w:rPr>
        <w:t>(New York).</w:t>
      </w:r>
    </w:p>
    <w:p>
      <w:pPr>
        <w:pStyle w:val="BodyText"/>
        <w:spacing w:line="252" w:lineRule="auto" w:before="28"/>
        <w:ind w:left="497" w:right="589" w:hanging="397"/>
      </w:pPr>
      <w:r>
        <w:rPr>
          <w:w w:val="105"/>
        </w:rPr>
        <w:t>dunham, Will 2008 “deaths in Vietnam, other wars undercounted: study”, en </w:t>
      </w:r>
      <w:r>
        <w:rPr>
          <w:i/>
          <w:w w:val="105"/>
        </w:rPr>
        <w:t>Reuters</w:t>
      </w:r>
      <w:r>
        <w:rPr>
          <w:w w:val="105"/>
        </w:rPr>
        <w:t>, en </w:t>
      </w:r>
      <w:hyperlink r:id="rId379">
        <w:r>
          <w:rPr>
            <w:w w:val="105"/>
          </w:rPr>
          <w:t>&lt;http://www.reuters.com/</w:t>
        </w:r>
      </w:hyperlink>
      <w:r>
        <w:rPr>
          <w:w w:val="105"/>
        </w:rPr>
        <w:t> article/2008/06/19/us-war-deaths-idusN1928547620080619&gt;.</w:t>
      </w:r>
    </w:p>
    <w:p>
      <w:pPr>
        <w:pStyle w:val="BodyText"/>
        <w:spacing w:before="28"/>
        <w:ind w:left="100"/>
      </w:pPr>
      <w:r>
        <w:rPr>
          <w:w w:val="125"/>
        </w:rPr>
        <w:t>Frus </w:t>
      </w:r>
      <w:r>
        <w:rPr>
          <w:w w:val="115"/>
        </w:rPr>
        <w:t>1971 “united states department of state. Foreign  relations.</w:t>
      </w:r>
    </w:p>
    <w:p>
      <w:pPr>
        <w:pStyle w:val="BodyText"/>
        <w:spacing w:line="252" w:lineRule="auto" w:before="11"/>
        <w:ind w:left="497" w:right="819"/>
      </w:pPr>
      <w:r>
        <w:rPr>
          <w:w w:val="103"/>
        </w:rPr>
        <w:t>1961-1963”</w:t>
      </w:r>
      <w:r>
        <w:rPr/>
        <w:t> </w:t>
      </w:r>
      <w:r>
        <w:rPr>
          <w:w w:val="119"/>
        </w:rPr>
        <w:t>V</w:t>
      </w:r>
      <w:r>
        <w:rPr>
          <w:w w:val="116"/>
        </w:rPr>
        <w:t>ol.</w:t>
      </w:r>
      <w:r>
        <w:rPr/>
        <w:t> </w:t>
      </w:r>
      <w:r>
        <w:rPr>
          <w:w w:val="119"/>
        </w:rPr>
        <w:t>V</w:t>
      </w:r>
      <w:r>
        <w:rPr>
          <w:w w:val="142"/>
        </w:rPr>
        <w:t>iii</w:t>
      </w:r>
      <w:r>
        <w:rPr>
          <w:w w:val="138"/>
        </w:rPr>
        <w:t>,</w:t>
      </w:r>
      <w:r>
        <w:rPr/>
        <w:t> </w:t>
      </w:r>
      <w:r>
        <w:rPr>
          <w:w w:val="139"/>
        </w:rPr>
        <w:t>d</w:t>
      </w:r>
      <w:r>
        <w:rPr>
          <w:w w:val="112"/>
        </w:rPr>
        <w:t>oc</w:t>
      </w:r>
      <w:r>
        <w:rPr/>
        <w:t> </w:t>
      </w:r>
      <w:r>
        <w:rPr>
          <w:w w:val="108"/>
        </w:rPr>
        <w:t>17.</w:t>
      </w:r>
      <w:r>
        <w:rPr/>
        <w:t> </w:t>
      </w:r>
      <w:r>
        <w:rPr>
          <w:w w:val="243"/>
        </w:rPr>
        <w:t>l</w:t>
      </w:r>
      <w:r>
        <w:rPr>
          <w:w w:val="105"/>
        </w:rPr>
        <w:t>etter</w:t>
      </w:r>
      <w:r>
        <w:rPr/>
        <w:t> </w:t>
      </w:r>
      <w:r>
        <w:rPr>
          <w:w w:val="111"/>
        </w:rPr>
        <w:t>from</w:t>
      </w:r>
      <w:r>
        <w:rPr/>
        <w:t> </w:t>
      </w:r>
      <w:r>
        <w:rPr>
          <w:w w:val="108"/>
        </w:rPr>
        <w:t>the</w:t>
      </w:r>
      <w:r>
        <w:rPr/>
        <w:t> </w:t>
      </w:r>
      <w:r>
        <w:rPr>
          <w:w w:val="149"/>
        </w:rPr>
        <w:t>s</w:t>
      </w:r>
      <w:r>
        <w:rPr>
          <w:w w:val="107"/>
        </w:rPr>
        <w:t>ecretary</w:t>
      </w:r>
      <w:r>
        <w:rPr/>
        <w:t> </w:t>
      </w:r>
      <w:r>
        <w:rPr>
          <w:w w:val="113"/>
        </w:rPr>
        <w:t>of </w:t>
      </w:r>
      <w:r>
        <w:rPr>
          <w:w w:val="115"/>
        </w:rPr>
        <w:t>defense Mc Namara to President Kennedy.</w:t>
      </w:r>
    </w:p>
    <w:p>
      <w:pPr>
        <w:pStyle w:val="BodyText"/>
        <w:spacing w:before="28"/>
        <w:ind w:left="100"/>
      </w:pPr>
      <w:r>
        <w:rPr>
          <w:w w:val="115"/>
        </w:rPr>
        <w:t>Garret, banning 1971 “the strange economics of Vietnam”, en</w:t>
      </w:r>
    </w:p>
    <w:p>
      <w:pPr>
        <w:spacing w:before="11"/>
        <w:ind w:left="497" w:right="0" w:firstLine="0"/>
        <w:jc w:val="left"/>
        <w:rPr>
          <w:sz w:val="19"/>
        </w:rPr>
      </w:pPr>
      <w:r>
        <w:rPr>
          <w:i/>
          <w:w w:val="110"/>
          <w:sz w:val="19"/>
        </w:rPr>
        <w:t>Ramparts </w:t>
      </w:r>
      <w:r>
        <w:rPr>
          <w:w w:val="110"/>
          <w:sz w:val="19"/>
        </w:rPr>
        <w:t>(November), pp. 34-39.</w:t>
      </w:r>
    </w:p>
    <w:p>
      <w:pPr>
        <w:pStyle w:val="BodyText"/>
        <w:spacing w:line="252" w:lineRule="auto" w:before="39"/>
        <w:ind w:left="497" w:right="865" w:hanging="397"/>
      </w:pPr>
      <w:r>
        <w:rPr>
          <w:w w:val="115"/>
        </w:rPr>
        <w:t>Gay stolberg, sheryl 2014 “Paying respects, Pentagon revives Vietnam, and War”, en </w:t>
      </w:r>
      <w:r>
        <w:rPr>
          <w:i/>
          <w:w w:val="115"/>
        </w:rPr>
        <w:t>The New York Times</w:t>
      </w:r>
      <w:r>
        <w:rPr>
          <w:w w:val="115"/>
        </w:rPr>
        <w:t>, october 9, en</w:t>
      </w:r>
    </w:p>
    <w:p>
      <w:pPr>
        <w:pStyle w:val="BodyText"/>
        <w:spacing w:line="252" w:lineRule="auto" w:before="28"/>
        <w:ind w:left="497" w:right="703" w:hanging="397"/>
      </w:pPr>
      <w:hyperlink r:id="rId380">
        <w:r>
          <w:rPr/>
          <w:t>&lt;http://www.nytimes.com/2014/10/10/us/pentagons-web-timeline-</w:t>
        </w:r>
      </w:hyperlink>
      <w:r>
        <w:rPr/>
        <w:t> </w:t>
      </w:r>
      <w:r>
        <w:rPr>
          <w:w w:val="105"/>
        </w:rPr>
        <w:t>brings-back-vietnam-and-protesters-.html?_r=0&gt;.</w:t>
      </w:r>
    </w:p>
    <w:p>
      <w:pPr>
        <w:spacing w:line="252" w:lineRule="auto" w:before="28"/>
        <w:ind w:left="497" w:right="352" w:hanging="397"/>
        <w:jc w:val="left"/>
        <w:rPr>
          <w:sz w:val="19"/>
        </w:rPr>
      </w:pPr>
      <w:r>
        <w:rPr>
          <w:w w:val="110"/>
          <w:sz w:val="19"/>
        </w:rPr>
        <w:t>Glick, bryan 1989 </w:t>
      </w:r>
      <w:r>
        <w:rPr>
          <w:i/>
          <w:w w:val="110"/>
          <w:sz w:val="19"/>
        </w:rPr>
        <w:t>The war at home: covert action against. US activist </w:t>
      </w:r>
      <w:r>
        <w:rPr>
          <w:i/>
          <w:w w:val="110"/>
          <w:sz w:val="19"/>
        </w:rPr>
        <w:t>and what we can do about it </w:t>
      </w:r>
      <w:r>
        <w:rPr>
          <w:w w:val="110"/>
          <w:sz w:val="19"/>
        </w:rPr>
        <w:t>(boston: south End   Press).</w:t>
      </w:r>
    </w:p>
    <w:p>
      <w:pPr>
        <w:spacing w:line="252" w:lineRule="auto" w:before="28"/>
        <w:ind w:left="497" w:right="114" w:hanging="397"/>
        <w:jc w:val="left"/>
        <w:rPr>
          <w:sz w:val="19"/>
        </w:rPr>
      </w:pPr>
      <w:r>
        <w:rPr>
          <w:w w:val="110"/>
          <w:sz w:val="19"/>
        </w:rPr>
        <w:t>Habermas, Jürgen 1986 </w:t>
      </w:r>
      <w:r>
        <w:rPr>
          <w:i/>
          <w:w w:val="110"/>
          <w:sz w:val="19"/>
        </w:rPr>
        <w:t>Ciencia y técnica como ideología </w:t>
      </w:r>
      <w:r>
        <w:rPr>
          <w:w w:val="110"/>
          <w:sz w:val="19"/>
        </w:rPr>
        <w:t>(Madrid: tecnos).</w:t>
      </w:r>
    </w:p>
    <w:p>
      <w:pPr>
        <w:spacing w:before="28"/>
        <w:ind w:left="100" w:right="0" w:firstLine="0"/>
        <w:jc w:val="left"/>
        <w:rPr>
          <w:i/>
          <w:sz w:val="19"/>
        </w:rPr>
      </w:pPr>
      <w:r>
        <w:rPr>
          <w:w w:val="110"/>
          <w:sz w:val="19"/>
        </w:rPr>
        <w:t>Herman, Edward y Chomsky,  Noam 1988 </w:t>
      </w:r>
      <w:r>
        <w:rPr>
          <w:i/>
          <w:w w:val="110"/>
          <w:sz w:val="19"/>
        </w:rPr>
        <w:t>Manufacturing   Consent</w:t>
      </w:r>
    </w:p>
    <w:p>
      <w:pPr>
        <w:pStyle w:val="BodyText"/>
        <w:spacing w:before="11"/>
        <w:ind w:left="497"/>
      </w:pPr>
      <w:r>
        <w:rPr>
          <w:w w:val="110"/>
        </w:rPr>
        <w:t>(Pantheon books).</w:t>
      </w:r>
    </w:p>
    <w:p>
      <w:pPr>
        <w:spacing w:line="252" w:lineRule="auto" w:before="39"/>
        <w:ind w:left="497" w:right="540" w:hanging="397"/>
        <w:jc w:val="left"/>
        <w:rPr>
          <w:sz w:val="19"/>
        </w:rPr>
      </w:pPr>
      <w:r>
        <w:rPr>
          <w:w w:val="110"/>
          <w:sz w:val="19"/>
        </w:rPr>
        <w:t>Hilliard, david 2007 </w:t>
      </w:r>
      <w:r>
        <w:rPr>
          <w:i/>
          <w:w w:val="110"/>
          <w:sz w:val="19"/>
        </w:rPr>
        <w:t>The Black Panther intercommunal news service </w:t>
      </w:r>
      <w:r>
        <w:rPr>
          <w:i/>
          <w:w w:val="110"/>
          <w:sz w:val="19"/>
        </w:rPr>
        <w:t>1967-1980 </w:t>
      </w:r>
      <w:r>
        <w:rPr>
          <w:w w:val="110"/>
          <w:sz w:val="19"/>
        </w:rPr>
        <w:t>(New York: atria  books).</w:t>
      </w:r>
    </w:p>
    <w:p>
      <w:pPr>
        <w:spacing w:line="252" w:lineRule="auto" w:before="28"/>
        <w:ind w:left="497" w:right="0" w:hanging="397"/>
        <w:jc w:val="left"/>
        <w:rPr>
          <w:sz w:val="19"/>
        </w:rPr>
      </w:pPr>
      <w:r>
        <w:rPr>
          <w:w w:val="110"/>
          <w:sz w:val="19"/>
        </w:rPr>
        <w:t>Horowitz, irving 2015 </w:t>
      </w:r>
      <w:r>
        <w:rPr>
          <w:i/>
          <w:w w:val="110"/>
          <w:sz w:val="19"/>
        </w:rPr>
        <w:t>Ideología y utopía en los Estados Unidos (1956- </w:t>
      </w:r>
      <w:r>
        <w:rPr>
          <w:i/>
          <w:w w:val="110"/>
          <w:sz w:val="19"/>
        </w:rPr>
        <w:t>1976)  </w:t>
      </w:r>
      <w:r>
        <w:rPr>
          <w:w w:val="110"/>
          <w:sz w:val="19"/>
        </w:rPr>
        <w:t>(México: FCE).</w:t>
      </w:r>
    </w:p>
    <w:p>
      <w:pPr>
        <w:pStyle w:val="BodyText"/>
        <w:spacing w:line="252" w:lineRule="auto" w:before="28"/>
        <w:ind w:left="497" w:right="794" w:hanging="397"/>
      </w:pPr>
      <w:r>
        <w:rPr>
          <w:w w:val="110"/>
        </w:rPr>
        <w:t>Kohn, sally 2015 “the Pentagon pathetic Vietnam whitewash”, January 28 2015, en </w:t>
      </w:r>
      <w:hyperlink r:id="rId381">
        <w:r>
          <w:rPr>
            <w:w w:val="110"/>
          </w:rPr>
          <w:t>&lt;http://www.thedailybeast.com/</w:t>
        </w:r>
      </w:hyperlink>
      <w:r>
        <w:rPr>
          <w:w w:val="110"/>
        </w:rPr>
        <w:t> articles/2015/01/28/the-pentagon-s-pathetic-vietnam- whitewash.html&gt;.</w:t>
      </w:r>
    </w:p>
    <w:p>
      <w:pPr>
        <w:spacing w:line="252" w:lineRule="auto" w:before="30"/>
        <w:ind w:left="497" w:right="308" w:hanging="397"/>
        <w:jc w:val="left"/>
        <w:rPr>
          <w:sz w:val="19"/>
        </w:rPr>
      </w:pPr>
      <w:r>
        <w:rPr>
          <w:w w:val="105"/>
          <w:sz w:val="19"/>
        </w:rPr>
        <w:t>Kolko, Gabriel y Kolko, Joyce 1972 </w:t>
      </w:r>
      <w:r>
        <w:rPr>
          <w:i/>
          <w:w w:val="105"/>
          <w:sz w:val="19"/>
        </w:rPr>
        <w:t>The Limits of Power: The World and </w:t>
      </w:r>
      <w:r>
        <w:rPr>
          <w:i/>
          <w:w w:val="105"/>
          <w:sz w:val="19"/>
        </w:rPr>
        <w:t>United States Foreign Policy,  1945-1954 </w:t>
      </w:r>
      <w:r>
        <w:rPr>
          <w:w w:val="105"/>
          <w:sz w:val="19"/>
        </w:rPr>
        <w:t>(New York:  Harper &amp;   row).</w:t>
      </w:r>
    </w:p>
    <w:p>
      <w:pPr>
        <w:spacing w:after="0" w:line="252" w:lineRule="auto"/>
        <w:jc w:val="left"/>
        <w:rPr>
          <w:sz w:val="19"/>
        </w:rPr>
        <w:sectPr>
          <w:pgSz w:w="8790" w:h="12760"/>
          <w:pgMar w:header="697" w:footer="723" w:top="880" w:bottom="920" w:left="920" w:right="1200"/>
        </w:sectPr>
      </w:pPr>
    </w:p>
    <w:p>
      <w:pPr>
        <w:pStyle w:val="BodyText"/>
        <w:spacing w:before="7"/>
        <w:rPr>
          <w:sz w:val="28"/>
        </w:rPr>
      </w:pPr>
    </w:p>
    <w:p>
      <w:pPr>
        <w:pStyle w:val="BodyText"/>
        <w:spacing w:line="252" w:lineRule="auto" w:before="73"/>
        <w:ind w:left="727" w:right="477" w:hanging="397"/>
        <w:jc w:val="both"/>
      </w:pPr>
      <w:r>
        <w:rPr>
          <w:w w:val="115"/>
        </w:rPr>
        <w:t>Kuznick, Peter 2014 </w:t>
      </w:r>
      <w:r>
        <w:rPr>
          <w:w w:val="120"/>
        </w:rPr>
        <w:t>“the </w:t>
      </w:r>
      <w:r>
        <w:rPr>
          <w:w w:val="115"/>
        </w:rPr>
        <w:t>united states of amnesia: </w:t>
      </w:r>
      <w:r>
        <w:rPr>
          <w:w w:val="120"/>
        </w:rPr>
        <w:t>the </w:t>
      </w:r>
      <w:r>
        <w:rPr>
          <w:w w:val="115"/>
        </w:rPr>
        <w:t>dangers of Forgetting or sanitizing the </w:t>
      </w:r>
      <w:r>
        <w:rPr>
          <w:w w:val="120"/>
        </w:rPr>
        <w:t>u.s. </w:t>
      </w:r>
      <w:r>
        <w:rPr>
          <w:w w:val="115"/>
        </w:rPr>
        <w:t>invasion of Vietnam”, en </w:t>
      </w:r>
      <w:r>
        <w:rPr>
          <w:i/>
          <w:w w:val="115"/>
        </w:rPr>
        <w:t>Nanzan Review of American studies</w:t>
      </w:r>
      <w:r>
        <w:rPr>
          <w:w w:val="115"/>
        </w:rPr>
        <w:t>, Vol. 36, pp. 123-128.</w:t>
      </w:r>
    </w:p>
    <w:p>
      <w:pPr>
        <w:pStyle w:val="BodyText"/>
        <w:spacing w:line="252" w:lineRule="auto" w:before="28"/>
        <w:ind w:left="727" w:hanging="397"/>
      </w:pPr>
      <w:r>
        <w:rPr>
          <w:w w:val="243"/>
        </w:rPr>
        <w:t>l</w:t>
      </w:r>
      <w:r>
        <w:rPr>
          <w:w w:val="111"/>
        </w:rPr>
        <w:t>acoste,</w:t>
      </w:r>
      <w:r>
        <w:rPr/>
        <w:t> </w:t>
      </w:r>
      <w:r>
        <w:rPr>
          <w:w w:val="126"/>
        </w:rPr>
        <w:t>Y</w:t>
      </w:r>
      <w:r>
        <w:rPr>
          <w:w w:val="103"/>
        </w:rPr>
        <w:t>ves</w:t>
      </w:r>
      <w:r>
        <w:rPr/>
        <w:t> </w:t>
      </w:r>
      <w:r>
        <w:rPr>
          <w:w w:val="102"/>
        </w:rPr>
        <w:t>2014</w:t>
      </w:r>
      <w:r>
        <w:rPr/>
        <w:t> </w:t>
      </w:r>
      <w:r>
        <w:rPr>
          <w:w w:val="103"/>
        </w:rPr>
        <w:t>[1973]</w:t>
      </w:r>
      <w:r>
        <w:rPr/>
        <w:t> </w:t>
      </w:r>
      <w:r>
        <w:rPr>
          <w:w w:val="115"/>
        </w:rPr>
        <w:t>“</w:t>
      </w:r>
      <w:r>
        <w:rPr>
          <w:w w:val="139"/>
        </w:rPr>
        <w:t>a</w:t>
      </w:r>
      <w:r>
        <w:rPr>
          <w:w w:val="111"/>
        </w:rPr>
        <w:t>n</w:t>
      </w:r>
      <w:r>
        <w:rPr/>
        <w:t> </w:t>
      </w:r>
      <w:r>
        <w:rPr>
          <w:w w:val="110"/>
        </w:rPr>
        <w:t>illustration</w:t>
      </w:r>
      <w:r>
        <w:rPr/>
        <w:t> </w:t>
      </w:r>
      <w:r>
        <w:rPr>
          <w:w w:val="113"/>
        </w:rPr>
        <w:t>of</w:t>
      </w:r>
      <w:r>
        <w:rPr/>
        <w:t> </w:t>
      </w:r>
      <w:r>
        <w:rPr>
          <w:w w:val="110"/>
        </w:rPr>
        <w:t>geographical</w:t>
      </w:r>
      <w:r>
        <w:rPr/>
        <w:t> </w:t>
      </w:r>
      <w:r>
        <w:rPr>
          <w:w w:val="108"/>
        </w:rPr>
        <w:t>warfare: </w:t>
      </w:r>
      <w:r>
        <w:rPr>
          <w:w w:val="110"/>
        </w:rPr>
        <w:t>bombing the dikes on the red river, North Vietnam” en dittmer, Jason y sharp, Joanne </w:t>
      </w:r>
      <w:r>
        <w:rPr>
          <w:i/>
          <w:w w:val="110"/>
        </w:rPr>
        <w:t>Geopolitics. An introductory reader </w:t>
      </w:r>
      <w:r>
        <w:rPr>
          <w:w w:val="98"/>
        </w:rPr>
        <w:t>(</w:t>
      </w:r>
      <w:r>
        <w:rPr>
          <w:w w:val="243"/>
        </w:rPr>
        <w:t>l</w:t>
      </w:r>
      <w:r>
        <w:rPr>
          <w:w w:val="105"/>
        </w:rPr>
        <w:t>ondon/New</w:t>
      </w:r>
      <w:r>
        <w:rPr/>
        <w:t> </w:t>
      </w:r>
      <w:r>
        <w:rPr>
          <w:w w:val="126"/>
        </w:rPr>
        <w:t>Y</w:t>
      </w:r>
      <w:r>
        <w:rPr>
          <w:w w:val="108"/>
        </w:rPr>
        <w:t>ork:</w:t>
      </w:r>
      <w:r>
        <w:rPr/>
        <w:t> </w:t>
      </w:r>
      <w:r>
        <w:rPr>
          <w:w w:val="182"/>
        </w:rPr>
        <w:t>r</w:t>
      </w:r>
      <w:r>
        <w:rPr>
          <w:w w:val="109"/>
        </w:rPr>
        <w:t>outledge),</w:t>
      </w:r>
      <w:r>
        <w:rPr/>
        <w:t> </w:t>
      </w:r>
      <w:r>
        <w:rPr>
          <w:w w:val="113"/>
        </w:rPr>
        <w:t>pp.</w:t>
      </w:r>
      <w:r>
        <w:rPr/>
        <w:t> </w:t>
      </w:r>
      <w:r>
        <w:rPr>
          <w:w w:val="104"/>
        </w:rPr>
        <w:t>122-128.</w:t>
      </w:r>
    </w:p>
    <w:p>
      <w:pPr>
        <w:spacing w:line="252" w:lineRule="auto" w:before="28"/>
        <w:ind w:left="727" w:right="373" w:hanging="397"/>
        <w:jc w:val="both"/>
        <w:rPr>
          <w:sz w:val="19"/>
        </w:rPr>
      </w:pPr>
      <w:r>
        <w:rPr>
          <w:w w:val="243"/>
          <w:sz w:val="19"/>
        </w:rPr>
        <w:t>l</w:t>
      </w:r>
      <w:r>
        <w:rPr>
          <w:w w:val="104"/>
          <w:sz w:val="19"/>
        </w:rPr>
        <w:t>e</w:t>
      </w:r>
      <w:r>
        <w:rPr>
          <w:spacing w:val="12"/>
          <w:sz w:val="19"/>
        </w:rPr>
        <w:t> </w:t>
      </w:r>
      <w:r>
        <w:rPr>
          <w:w w:val="114"/>
          <w:sz w:val="19"/>
        </w:rPr>
        <w:t>Espiritu,</w:t>
      </w:r>
      <w:r>
        <w:rPr>
          <w:spacing w:val="12"/>
          <w:sz w:val="19"/>
        </w:rPr>
        <w:t> </w:t>
      </w:r>
      <w:r>
        <w:rPr>
          <w:spacing w:val="-18"/>
          <w:w w:val="126"/>
          <w:sz w:val="19"/>
        </w:rPr>
        <w:t>Y</w:t>
      </w:r>
      <w:r>
        <w:rPr>
          <w:w w:val="108"/>
          <w:sz w:val="19"/>
        </w:rPr>
        <w:t>en</w:t>
      </w:r>
      <w:r>
        <w:rPr>
          <w:spacing w:val="12"/>
          <w:sz w:val="19"/>
        </w:rPr>
        <w:t> </w:t>
      </w:r>
      <w:r>
        <w:rPr>
          <w:w w:val="102"/>
          <w:sz w:val="19"/>
        </w:rPr>
        <w:t>2008</w:t>
      </w:r>
      <w:r>
        <w:rPr>
          <w:spacing w:val="12"/>
          <w:sz w:val="19"/>
        </w:rPr>
        <w:t> </w:t>
      </w:r>
      <w:r>
        <w:rPr>
          <w:w w:val="115"/>
          <w:sz w:val="19"/>
        </w:rPr>
        <w:t>“</w:t>
      </w:r>
      <w:r>
        <w:rPr>
          <w:w w:val="139"/>
          <w:sz w:val="19"/>
        </w:rPr>
        <w:t>a</w:t>
      </w:r>
      <w:r>
        <w:rPr>
          <w:w w:val="110"/>
          <w:sz w:val="19"/>
        </w:rPr>
        <w:t>bout</w:t>
      </w:r>
      <w:r>
        <w:rPr>
          <w:spacing w:val="12"/>
          <w:sz w:val="19"/>
        </w:rPr>
        <w:t> </w:t>
      </w:r>
      <w:r>
        <w:rPr>
          <w:w w:val="114"/>
          <w:sz w:val="19"/>
        </w:rPr>
        <w:t>Ghost</w:t>
      </w:r>
      <w:r>
        <w:rPr>
          <w:spacing w:val="12"/>
          <w:sz w:val="19"/>
        </w:rPr>
        <w:t> </w:t>
      </w:r>
      <w:r>
        <w:rPr>
          <w:w w:val="149"/>
          <w:sz w:val="19"/>
        </w:rPr>
        <w:t>s</w:t>
      </w:r>
      <w:r>
        <w:rPr>
          <w:w w:val="107"/>
          <w:sz w:val="19"/>
        </w:rPr>
        <w:t>tories:</w:t>
      </w:r>
      <w:r>
        <w:rPr>
          <w:spacing w:val="12"/>
          <w:sz w:val="19"/>
        </w:rPr>
        <w:t> </w:t>
      </w:r>
      <w:r>
        <w:rPr>
          <w:w w:val="195"/>
          <w:sz w:val="19"/>
        </w:rPr>
        <w:t>t</w:t>
      </w:r>
      <w:r>
        <w:rPr>
          <w:w w:val="109"/>
          <w:sz w:val="19"/>
        </w:rPr>
        <w:t>he</w:t>
      </w:r>
      <w:r>
        <w:rPr>
          <w:spacing w:val="12"/>
          <w:sz w:val="19"/>
        </w:rPr>
        <w:t> </w:t>
      </w:r>
      <w:r>
        <w:rPr>
          <w:spacing w:val="-11"/>
          <w:w w:val="119"/>
          <w:sz w:val="19"/>
        </w:rPr>
        <w:t>V</w:t>
      </w:r>
      <w:r>
        <w:rPr>
          <w:w w:val="110"/>
          <w:sz w:val="19"/>
        </w:rPr>
        <w:t>ietnam</w:t>
      </w:r>
      <w:r>
        <w:rPr>
          <w:spacing w:val="12"/>
          <w:sz w:val="19"/>
        </w:rPr>
        <w:t> </w:t>
      </w:r>
      <w:r>
        <w:rPr>
          <w:spacing w:val="-11"/>
          <w:w w:val="110"/>
          <w:sz w:val="19"/>
        </w:rPr>
        <w:t>W</w:t>
      </w:r>
      <w:r>
        <w:rPr>
          <w:w w:val="109"/>
          <w:sz w:val="19"/>
        </w:rPr>
        <w:t>ar</w:t>
      </w:r>
      <w:r>
        <w:rPr>
          <w:spacing w:val="12"/>
          <w:sz w:val="19"/>
        </w:rPr>
        <w:t> </w:t>
      </w:r>
      <w:r>
        <w:rPr>
          <w:w w:val="111"/>
          <w:sz w:val="19"/>
        </w:rPr>
        <w:t>and </w:t>
      </w:r>
      <w:r>
        <w:rPr>
          <w:w w:val="115"/>
          <w:sz w:val="19"/>
        </w:rPr>
        <w:t>rememoration”,</w:t>
      </w:r>
      <w:r>
        <w:rPr>
          <w:spacing w:val="-8"/>
          <w:w w:val="115"/>
          <w:sz w:val="19"/>
        </w:rPr>
        <w:t> </w:t>
      </w:r>
      <w:r>
        <w:rPr>
          <w:w w:val="115"/>
          <w:sz w:val="19"/>
        </w:rPr>
        <w:t>en</w:t>
      </w:r>
      <w:r>
        <w:rPr>
          <w:spacing w:val="-8"/>
          <w:w w:val="115"/>
          <w:sz w:val="19"/>
        </w:rPr>
        <w:t> </w:t>
      </w:r>
      <w:r>
        <w:rPr>
          <w:i/>
          <w:w w:val="115"/>
          <w:sz w:val="19"/>
        </w:rPr>
        <w:t>Modern</w:t>
      </w:r>
      <w:r>
        <w:rPr>
          <w:i/>
          <w:spacing w:val="-8"/>
          <w:w w:val="115"/>
          <w:sz w:val="19"/>
        </w:rPr>
        <w:t> </w:t>
      </w:r>
      <w:r>
        <w:rPr>
          <w:i/>
          <w:w w:val="115"/>
          <w:sz w:val="19"/>
        </w:rPr>
        <w:t>Language</w:t>
      </w:r>
      <w:r>
        <w:rPr>
          <w:i/>
          <w:spacing w:val="-8"/>
          <w:w w:val="115"/>
          <w:sz w:val="19"/>
        </w:rPr>
        <w:t> </w:t>
      </w:r>
      <w:r>
        <w:rPr>
          <w:i/>
          <w:w w:val="115"/>
          <w:sz w:val="19"/>
        </w:rPr>
        <w:t>Association,</w:t>
      </w:r>
      <w:r>
        <w:rPr>
          <w:i/>
          <w:spacing w:val="-8"/>
          <w:w w:val="115"/>
          <w:sz w:val="19"/>
        </w:rPr>
        <w:t> </w:t>
      </w:r>
      <w:r>
        <w:rPr>
          <w:i/>
          <w:w w:val="115"/>
          <w:sz w:val="19"/>
        </w:rPr>
        <w:t>PMLA</w:t>
      </w:r>
      <w:r>
        <w:rPr>
          <w:w w:val="115"/>
          <w:sz w:val="19"/>
        </w:rPr>
        <w:t>,</w:t>
      </w:r>
      <w:r>
        <w:rPr>
          <w:spacing w:val="-8"/>
          <w:w w:val="115"/>
          <w:sz w:val="19"/>
        </w:rPr>
        <w:t> </w:t>
      </w:r>
      <w:r>
        <w:rPr>
          <w:spacing w:val="-4"/>
          <w:w w:val="115"/>
          <w:sz w:val="19"/>
        </w:rPr>
        <w:t>Vol. </w:t>
      </w:r>
      <w:r>
        <w:rPr>
          <w:w w:val="115"/>
          <w:sz w:val="19"/>
        </w:rPr>
        <w:t>123,</w:t>
      </w:r>
      <w:r>
        <w:rPr>
          <w:spacing w:val="-29"/>
          <w:w w:val="115"/>
          <w:sz w:val="19"/>
        </w:rPr>
        <w:t> </w:t>
      </w:r>
      <w:r>
        <w:rPr>
          <w:w w:val="115"/>
          <w:sz w:val="19"/>
        </w:rPr>
        <w:t>Nº</w:t>
      </w:r>
      <w:r>
        <w:rPr>
          <w:spacing w:val="-29"/>
          <w:w w:val="115"/>
          <w:sz w:val="19"/>
        </w:rPr>
        <w:t> </w:t>
      </w:r>
      <w:r>
        <w:rPr>
          <w:w w:val="115"/>
          <w:sz w:val="19"/>
        </w:rPr>
        <w:t>5,</w:t>
      </w:r>
      <w:r>
        <w:rPr>
          <w:spacing w:val="-29"/>
          <w:w w:val="115"/>
          <w:sz w:val="19"/>
        </w:rPr>
        <w:t> </w:t>
      </w:r>
      <w:r>
        <w:rPr>
          <w:w w:val="115"/>
          <w:sz w:val="19"/>
        </w:rPr>
        <w:t>(october),</w:t>
      </w:r>
      <w:r>
        <w:rPr>
          <w:spacing w:val="-29"/>
          <w:w w:val="115"/>
          <w:sz w:val="19"/>
        </w:rPr>
        <w:t> </w:t>
      </w:r>
      <w:r>
        <w:rPr>
          <w:w w:val="115"/>
          <w:sz w:val="19"/>
        </w:rPr>
        <w:t>pp.</w:t>
      </w:r>
      <w:r>
        <w:rPr>
          <w:spacing w:val="-29"/>
          <w:w w:val="115"/>
          <w:sz w:val="19"/>
        </w:rPr>
        <w:t> </w:t>
      </w:r>
      <w:r>
        <w:rPr>
          <w:w w:val="115"/>
          <w:sz w:val="19"/>
        </w:rPr>
        <w:t>1700-1702.</w:t>
      </w:r>
    </w:p>
    <w:p>
      <w:pPr>
        <w:spacing w:before="28"/>
        <w:ind w:left="330" w:right="0" w:firstLine="0"/>
        <w:jc w:val="left"/>
        <w:rPr>
          <w:i/>
          <w:sz w:val="19"/>
        </w:rPr>
      </w:pPr>
      <w:r>
        <w:rPr>
          <w:w w:val="243"/>
          <w:sz w:val="19"/>
        </w:rPr>
        <w:t>l</w:t>
      </w:r>
      <w:r>
        <w:rPr>
          <w:w w:val="113"/>
          <w:sz w:val="19"/>
        </w:rPr>
        <w:t>enin,</w:t>
      </w:r>
      <w:r>
        <w:rPr>
          <w:spacing w:val="12"/>
          <w:sz w:val="19"/>
        </w:rPr>
        <w:t> </w:t>
      </w:r>
      <w:r>
        <w:rPr>
          <w:w w:val="112"/>
          <w:sz w:val="19"/>
        </w:rPr>
        <w:t>Vladimir</w:t>
      </w:r>
      <w:r>
        <w:rPr>
          <w:spacing w:val="12"/>
          <w:sz w:val="19"/>
        </w:rPr>
        <w:t> </w:t>
      </w:r>
      <w:r>
        <w:rPr>
          <w:w w:val="102"/>
          <w:sz w:val="19"/>
        </w:rPr>
        <w:t>1972</w:t>
      </w:r>
      <w:r>
        <w:rPr>
          <w:spacing w:val="12"/>
          <w:sz w:val="19"/>
        </w:rPr>
        <w:t> </w:t>
      </w:r>
      <w:r>
        <w:rPr>
          <w:i/>
          <w:w w:val="120"/>
          <w:sz w:val="19"/>
        </w:rPr>
        <w:t>El</w:t>
      </w:r>
      <w:r>
        <w:rPr>
          <w:i/>
          <w:spacing w:val="12"/>
          <w:sz w:val="19"/>
        </w:rPr>
        <w:t> </w:t>
      </w:r>
      <w:r>
        <w:rPr>
          <w:i/>
          <w:w w:val="112"/>
          <w:sz w:val="19"/>
        </w:rPr>
        <w:t>imperialismo,</w:t>
      </w:r>
      <w:r>
        <w:rPr>
          <w:i/>
          <w:spacing w:val="12"/>
          <w:sz w:val="19"/>
        </w:rPr>
        <w:t> </w:t>
      </w:r>
      <w:r>
        <w:rPr>
          <w:i/>
          <w:w w:val="103"/>
          <w:sz w:val="19"/>
        </w:rPr>
        <w:t>etapa</w:t>
      </w:r>
      <w:r>
        <w:rPr>
          <w:i/>
          <w:spacing w:val="12"/>
          <w:sz w:val="19"/>
        </w:rPr>
        <w:t> </w:t>
      </w:r>
      <w:r>
        <w:rPr>
          <w:i/>
          <w:w w:val="108"/>
          <w:sz w:val="19"/>
        </w:rPr>
        <w:t>superior</w:t>
      </w:r>
      <w:r>
        <w:rPr>
          <w:i/>
          <w:spacing w:val="12"/>
          <w:sz w:val="19"/>
        </w:rPr>
        <w:t> </w:t>
      </w:r>
      <w:r>
        <w:rPr>
          <w:i/>
          <w:w w:val="104"/>
          <w:sz w:val="19"/>
        </w:rPr>
        <w:t>del</w:t>
      </w:r>
      <w:r>
        <w:rPr>
          <w:i/>
          <w:spacing w:val="12"/>
          <w:sz w:val="19"/>
        </w:rPr>
        <w:t> </w:t>
      </w:r>
      <w:r>
        <w:rPr>
          <w:i/>
          <w:w w:val="110"/>
          <w:sz w:val="19"/>
        </w:rPr>
        <w:t>capitalismo</w:t>
      </w:r>
    </w:p>
    <w:p>
      <w:pPr>
        <w:pStyle w:val="BodyText"/>
        <w:spacing w:before="11"/>
        <w:ind w:left="727"/>
      </w:pPr>
      <w:r>
        <w:rPr>
          <w:w w:val="110"/>
        </w:rPr>
        <w:t>(buenos  aires:  Editorial Polémica).</w:t>
      </w:r>
    </w:p>
    <w:p>
      <w:pPr>
        <w:pStyle w:val="BodyText"/>
        <w:spacing w:line="252" w:lineRule="auto" w:before="39"/>
        <w:ind w:left="727" w:right="283" w:hanging="397"/>
      </w:pPr>
      <w:r>
        <w:rPr>
          <w:w w:val="243"/>
        </w:rPr>
        <w:t>l</w:t>
      </w:r>
      <w:r>
        <w:rPr>
          <w:w w:val="108"/>
        </w:rPr>
        <w:t>ovett,</w:t>
      </w:r>
      <w:r>
        <w:rPr/>
        <w:t> </w:t>
      </w:r>
      <w:r>
        <w:rPr>
          <w:w w:val="110"/>
        </w:rPr>
        <w:t>Christopher</w:t>
      </w:r>
      <w:r>
        <w:rPr/>
        <w:t> </w:t>
      </w:r>
      <w:r>
        <w:rPr>
          <w:w w:val="102"/>
        </w:rPr>
        <w:t>1987</w:t>
      </w:r>
      <w:r>
        <w:rPr/>
        <w:t> </w:t>
      </w:r>
      <w:r>
        <w:rPr>
          <w:w w:val="112"/>
        </w:rPr>
        <w:t>“W</w:t>
      </w:r>
      <w:r>
        <w:rPr>
          <w:w w:val="104"/>
        </w:rPr>
        <w:t>e</w:t>
      </w:r>
      <w:r>
        <w:rPr/>
        <w:t> </w:t>
      </w:r>
      <w:r>
        <w:rPr>
          <w:w w:val="113"/>
        </w:rPr>
        <w:t>Held</w:t>
      </w:r>
      <w:r>
        <w:rPr/>
        <w:t> </w:t>
      </w:r>
      <w:r>
        <w:rPr>
          <w:w w:val="108"/>
        </w:rPr>
        <w:t>the</w:t>
      </w:r>
      <w:r>
        <w:rPr/>
        <w:t> </w:t>
      </w:r>
      <w:r>
        <w:rPr>
          <w:w w:val="139"/>
        </w:rPr>
        <w:t>d</w:t>
      </w:r>
      <w:r>
        <w:rPr>
          <w:w w:val="108"/>
        </w:rPr>
        <w:t>ay</w:t>
      </w:r>
      <w:r>
        <w:rPr/>
        <w:t> </w:t>
      </w:r>
      <w:r>
        <w:rPr>
          <w:w w:val="113"/>
        </w:rPr>
        <w:t>in</w:t>
      </w:r>
      <w:r>
        <w:rPr/>
        <w:t> </w:t>
      </w:r>
      <w:r>
        <w:rPr>
          <w:w w:val="108"/>
        </w:rPr>
        <w:t>the</w:t>
      </w:r>
      <w:r>
        <w:rPr/>
        <w:t> </w:t>
      </w:r>
      <w:r>
        <w:rPr>
          <w:w w:val="112"/>
        </w:rPr>
        <w:t>Palm</w:t>
      </w:r>
      <w:r>
        <w:rPr/>
        <w:t> </w:t>
      </w:r>
      <w:r>
        <w:rPr>
          <w:w w:val="113"/>
        </w:rPr>
        <w:t>of</w:t>
      </w:r>
      <w:r>
        <w:rPr/>
        <w:t> </w:t>
      </w:r>
      <w:r>
        <w:rPr>
          <w:w w:val="149"/>
        </w:rPr>
        <w:t>o</w:t>
      </w:r>
      <w:r>
        <w:rPr>
          <w:w w:val="109"/>
        </w:rPr>
        <w:t>ur </w:t>
      </w:r>
      <w:r>
        <w:rPr>
          <w:w w:val="115"/>
        </w:rPr>
        <w:t>Hand’: a review of recent sources on the War in Vietnam”, en </w:t>
      </w:r>
      <w:r>
        <w:rPr>
          <w:i/>
          <w:w w:val="115"/>
        </w:rPr>
        <w:t>Military Affairs</w:t>
      </w:r>
      <w:r>
        <w:rPr>
          <w:w w:val="115"/>
        </w:rPr>
        <w:t>, Vol. 51, Nº 2, april, pp. 67-72.</w:t>
      </w:r>
    </w:p>
    <w:p>
      <w:pPr>
        <w:pStyle w:val="BodyText"/>
        <w:spacing w:line="252" w:lineRule="auto" w:before="28"/>
        <w:ind w:left="727" w:hanging="397"/>
      </w:pPr>
      <w:r>
        <w:rPr>
          <w:w w:val="243"/>
        </w:rPr>
        <w:t>l</w:t>
      </w:r>
      <w:r>
        <w:rPr>
          <w:w w:val="108"/>
        </w:rPr>
        <w:t>uther</w:t>
      </w:r>
      <w:r>
        <w:rPr/>
        <w:t> </w:t>
      </w:r>
      <w:r>
        <w:rPr>
          <w:w w:val="118"/>
        </w:rPr>
        <w:t>King,</w:t>
      </w:r>
      <w:r>
        <w:rPr/>
        <w:t> </w:t>
      </w:r>
      <w:r>
        <w:rPr>
          <w:w w:val="113"/>
        </w:rPr>
        <w:t>Martin</w:t>
      </w:r>
      <w:r>
        <w:rPr/>
        <w:t> </w:t>
      </w:r>
      <w:r>
        <w:rPr>
          <w:w w:val="102"/>
        </w:rPr>
        <w:t>1967</w:t>
      </w:r>
      <w:r>
        <w:rPr/>
        <w:t> </w:t>
      </w:r>
      <w:r>
        <w:rPr>
          <w:w w:val="115"/>
        </w:rPr>
        <w:t>“</w:t>
      </w:r>
      <w:r>
        <w:rPr>
          <w:w w:val="134"/>
        </w:rPr>
        <w:t>b</w:t>
      </w:r>
      <w:r>
        <w:rPr>
          <w:w w:val="108"/>
        </w:rPr>
        <w:t>eyond</w:t>
      </w:r>
      <w:r>
        <w:rPr/>
        <w:t> </w:t>
      </w:r>
      <w:r>
        <w:rPr>
          <w:w w:val="119"/>
        </w:rPr>
        <w:t>V</w:t>
      </w:r>
      <w:r>
        <w:rPr>
          <w:w w:val="113"/>
        </w:rPr>
        <w:t>ietnam”,</w:t>
      </w:r>
      <w:r>
        <w:rPr/>
        <w:t> </w:t>
      </w:r>
      <w:r>
        <w:rPr>
          <w:w w:val="108"/>
        </w:rPr>
        <w:t>en</w:t>
      </w:r>
      <w:r>
        <w:rPr/>
        <w:t> </w:t>
      </w:r>
      <w:hyperlink r:id="rId384">
        <w:r>
          <w:rPr>
            <w:w w:val="103"/>
          </w:rPr>
          <w:t>&lt;http://mlkkpp01.</w:t>
        </w:r>
      </w:hyperlink>
      <w:r>
        <w:rPr>
          <w:w w:val="103"/>
        </w:rPr>
        <w:t> </w:t>
      </w:r>
      <w:r>
        <w:rPr>
          <w:w w:val="110"/>
        </w:rPr>
        <w:t>stanford.edu/index.php/encyclopedia/documentsentry/doc_ beyond_vietnam/&gt;.</w:t>
      </w:r>
    </w:p>
    <w:p>
      <w:pPr>
        <w:pStyle w:val="BodyText"/>
        <w:spacing w:line="252" w:lineRule="auto" w:before="28"/>
        <w:ind w:left="727" w:right="682" w:hanging="397"/>
      </w:pPr>
      <w:r>
        <w:rPr>
          <w:w w:val="243"/>
        </w:rPr>
        <w:t>l</w:t>
      </w:r>
      <w:r>
        <w:rPr>
          <w:w w:val="114"/>
        </w:rPr>
        <w:t>utz,</w:t>
      </w:r>
      <w:r>
        <w:rPr>
          <w:spacing w:val="12"/>
        </w:rPr>
        <w:t> </w:t>
      </w:r>
      <w:r>
        <w:rPr>
          <w:w w:val="111"/>
        </w:rPr>
        <w:t>Catherine</w:t>
      </w:r>
      <w:r>
        <w:rPr>
          <w:spacing w:val="12"/>
        </w:rPr>
        <w:t> </w:t>
      </w:r>
      <w:r>
        <w:rPr>
          <w:w w:val="102"/>
        </w:rPr>
        <w:t>2002</w:t>
      </w:r>
      <w:r>
        <w:rPr>
          <w:spacing w:val="12"/>
        </w:rPr>
        <w:t> </w:t>
      </w:r>
      <w:r>
        <w:rPr>
          <w:w w:val="113"/>
        </w:rPr>
        <w:t>“Making</w:t>
      </w:r>
      <w:r>
        <w:rPr>
          <w:spacing w:val="12"/>
        </w:rPr>
        <w:t> </w:t>
      </w:r>
      <w:r>
        <w:rPr>
          <w:spacing w:val="-11"/>
          <w:w w:val="110"/>
        </w:rPr>
        <w:t>W</w:t>
      </w:r>
      <w:r>
        <w:rPr>
          <w:w w:val="109"/>
        </w:rPr>
        <w:t>ar</w:t>
      </w:r>
      <w:r>
        <w:rPr>
          <w:spacing w:val="12"/>
        </w:rPr>
        <w:t> </w:t>
      </w:r>
      <w:r>
        <w:rPr>
          <w:w w:val="109"/>
        </w:rPr>
        <w:t>at</w:t>
      </w:r>
      <w:r>
        <w:rPr>
          <w:spacing w:val="12"/>
        </w:rPr>
        <w:t> </w:t>
      </w:r>
      <w:r>
        <w:rPr>
          <w:w w:val="114"/>
        </w:rPr>
        <w:t>Home</w:t>
      </w:r>
      <w:r>
        <w:rPr>
          <w:spacing w:val="12"/>
        </w:rPr>
        <w:t> </w:t>
      </w:r>
      <w:r>
        <w:rPr>
          <w:w w:val="113"/>
        </w:rPr>
        <w:t>in</w:t>
      </w:r>
      <w:r>
        <w:rPr>
          <w:spacing w:val="12"/>
        </w:rPr>
        <w:t> </w:t>
      </w:r>
      <w:r>
        <w:rPr>
          <w:w w:val="108"/>
        </w:rPr>
        <w:t>the</w:t>
      </w:r>
      <w:r>
        <w:rPr>
          <w:spacing w:val="12"/>
        </w:rPr>
        <w:t> </w:t>
      </w:r>
      <w:r>
        <w:rPr>
          <w:w w:val="140"/>
        </w:rPr>
        <w:t>u</w:t>
      </w:r>
      <w:r>
        <w:rPr>
          <w:w w:val="109"/>
        </w:rPr>
        <w:t>nited </w:t>
      </w:r>
      <w:r>
        <w:rPr>
          <w:w w:val="115"/>
        </w:rPr>
        <w:t>states:</w:t>
      </w:r>
      <w:r>
        <w:rPr>
          <w:spacing w:val="-15"/>
          <w:w w:val="115"/>
        </w:rPr>
        <w:t> </w:t>
      </w:r>
      <w:r>
        <w:rPr>
          <w:w w:val="115"/>
        </w:rPr>
        <w:t>Militarization</w:t>
      </w:r>
      <w:r>
        <w:rPr>
          <w:spacing w:val="-15"/>
          <w:w w:val="115"/>
        </w:rPr>
        <w:t> </w:t>
      </w:r>
      <w:r>
        <w:rPr>
          <w:w w:val="115"/>
        </w:rPr>
        <w:t>and</w:t>
      </w:r>
      <w:r>
        <w:rPr>
          <w:spacing w:val="-15"/>
          <w:w w:val="115"/>
        </w:rPr>
        <w:t> </w:t>
      </w:r>
      <w:r>
        <w:rPr>
          <w:w w:val="115"/>
        </w:rPr>
        <w:t>the</w:t>
      </w:r>
      <w:r>
        <w:rPr>
          <w:spacing w:val="-15"/>
          <w:w w:val="115"/>
        </w:rPr>
        <w:t> </w:t>
      </w:r>
      <w:r>
        <w:rPr>
          <w:w w:val="115"/>
        </w:rPr>
        <w:t>Current</w:t>
      </w:r>
      <w:r>
        <w:rPr>
          <w:spacing w:val="-15"/>
          <w:w w:val="115"/>
        </w:rPr>
        <w:t> </w:t>
      </w:r>
      <w:r>
        <w:rPr>
          <w:w w:val="115"/>
        </w:rPr>
        <w:t>Crisis”,</w:t>
      </w:r>
      <w:r>
        <w:rPr>
          <w:spacing w:val="-15"/>
          <w:w w:val="115"/>
        </w:rPr>
        <w:t> </w:t>
      </w:r>
      <w:r>
        <w:rPr>
          <w:w w:val="115"/>
        </w:rPr>
        <w:t>en</w:t>
      </w:r>
      <w:r>
        <w:rPr>
          <w:spacing w:val="-15"/>
          <w:w w:val="115"/>
        </w:rPr>
        <w:t> </w:t>
      </w:r>
      <w:r>
        <w:rPr>
          <w:i/>
          <w:w w:val="115"/>
        </w:rPr>
        <w:t>American </w:t>
      </w:r>
      <w:r>
        <w:rPr>
          <w:i/>
          <w:w w:val="115"/>
        </w:rPr>
        <w:t>Anthropologist</w:t>
      </w:r>
      <w:r>
        <w:rPr>
          <w:w w:val="115"/>
        </w:rPr>
        <w:t>,</w:t>
      </w:r>
      <w:r>
        <w:rPr>
          <w:spacing w:val="-30"/>
          <w:w w:val="115"/>
        </w:rPr>
        <w:t> </w:t>
      </w:r>
      <w:r>
        <w:rPr>
          <w:spacing w:val="-4"/>
          <w:w w:val="115"/>
        </w:rPr>
        <w:t>Vol.</w:t>
      </w:r>
      <w:r>
        <w:rPr>
          <w:spacing w:val="-30"/>
          <w:w w:val="115"/>
        </w:rPr>
        <w:t> </w:t>
      </w:r>
      <w:r>
        <w:rPr>
          <w:w w:val="115"/>
        </w:rPr>
        <w:t>104,</w:t>
      </w:r>
      <w:r>
        <w:rPr>
          <w:spacing w:val="-30"/>
          <w:w w:val="115"/>
        </w:rPr>
        <w:t> </w:t>
      </w:r>
      <w:r>
        <w:rPr>
          <w:w w:val="115"/>
        </w:rPr>
        <w:t>Nº</w:t>
      </w:r>
      <w:r>
        <w:rPr>
          <w:spacing w:val="-30"/>
          <w:w w:val="115"/>
        </w:rPr>
        <w:t> </w:t>
      </w:r>
      <w:r>
        <w:rPr>
          <w:w w:val="115"/>
        </w:rPr>
        <w:t>3</w:t>
      </w:r>
      <w:r>
        <w:rPr>
          <w:spacing w:val="-30"/>
          <w:w w:val="115"/>
        </w:rPr>
        <w:t> </w:t>
      </w:r>
      <w:r>
        <w:rPr>
          <w:w w:val="115"/>
        </w:rPr>
        <w:t>(september),</w:t>
      </w:r>
      <w:r>
        <w:rPr>
          <w:spacing w:val="-30"/>
          <w:w w:val="115"/>
        </w:rPr>
        <w:t> </w:t>
      </w:r>
      <w:r>
        <w:rPr>
          <w:w w:val="115"/>
        </w:rPr>
        <w:t>pp.</w:t>
      </w:r>
      <w:r>
        <w:rPr>
          <w:spacing w:val="-30"/>
          <w:w w:val="115"/>
        </w:rPr>
        <w:t> </w:t>
      </w:r>
      <w:r>
        <w:rPr>
          <w:w w:val="115"/>
        </w:rPr>
        <w:t>723-735.</w:t>
      </w:r>
    </w:p>
    <w:p>
      <w:pPr>
        <w:pStyle w:val="BodyText"/>
        <w:spacing w:line="252" w:lineRule="auto" w:before="28"/>
        <w:ind w:left="727" w:right="283" w:hanging="397"/>
        <w:jc w:val="both"/>
      </w:pPr>
      <w:r>
        <w:rPr>
          <w:w w:val="110"/>
        </w:rPr>
        <w:t>Martini, Edwin 2013 “Hearts, minds, and herbicides: the politics of chemical war in Vietnam”, en </w:t>
      </w:r>
      <w:r>
        <w:rPr>
          <w:i/>
          <w:w w:val="110"/>
        </w:rPr>
        <w:t>Diplomatic History</w:t>
      </w:r>
      <w:r>
        <w:rPr>
          <w:w w:val="110"/>
        </w:rPr>
        <w:t>, Vol. 37, Nº 1, pp. 58-84.</w:t>
      </w:r>
    </w:p>
    <w:p>
      <w:pPr>
        <w:spacing w:line="283" w:lineRule="auto" w:before="29"/>
        <w:ind w:left="330" w:right="0" w:firstLine="0"/>
        <w:jc w:val="left"/>
        <w:rPr>
          <w:sz w:val="19"/>
        </w:rPr>
      </w:pPr>
      <w:r>
        <w:rPr>
          <w:spacing w:val="-3"/>
          <w:w w:val="110"/>
          <w:sz w:val="19"/>
        </w:rPr>
        <w:t>Mattelart, armand 2003 </w:t>
      </w:r>
      <w:r>
        <w:rPr>
          <w:i/>
          <w:spacing w:val="-3"/>
          <w:w w:val="110"/>
          <w:sz w:val="19"/>
        </w:rPr>
        <w:t>Geopolítica </w:t>
      </w:r>
      <w:r>
        <w:rPr>
          <w:i/>
          <w:w w:val="110"/>
          <w:sz w:val="19"/>
        </w:rPr>
        <w:t>de la </w:t>
      </w:r>
      <w:r>
        <w:rPr>
          <w:i/>
          <w:spacing w:val="-3"/>
          <w:w w:val="110"/>
          <w:sz w:val="19"/>
        </w:rPr>
        <w:t>cultura </w:t>
      </w:r>
      <w:r>
        <w:rPr>
          <w:spacing w:val="-3"/>
          <w:w w:val="110"/>
          <w:sz w:val="19"/>
        </w:rPr>
        <w:t>(bogotá: desde abajo). </w:t>
      </w:r>
      <w:r>
        <w:rPr>
          <w:w w:val="110"/>
          <w:sz w:val="19"/>
        </w:rPr>
        <w:t>Melman, seymour 1972 </w:t>
      </w:r>
      <w:r>
        <w:rPr>
          <w:i/>
          <w:w w:val="110"/>
          <w:sz w:val="19"/>
        </w:rPr>
        <w:t>El capitalismo del Pentágono </w:t>
      </w:r>
      <w:r>
        <w:rPr>
          <w:w w:val="110"/>
          <w:sz w:val="19"/>
        </w:rPr>
        <w:t>(México:</w:t>
      </w:r>
    </w:p>
    <w:p>
      <w:pPr>
        <w:pStyle w:val="BodyText"/>
        <w:spacing w:line="194" w:lineRule="exact"/>
        <w:ind w:left="727"/>
      </w:pPr>
      <w:r>
        <w:rPr>
          <w:w w:val="130"/>
        </w:rPr>
        <w:t>siglo xxi).</w:t>
      </w:r>
    </w:p>
    <w:p>
      <w:pPr>
        <w:pStyle w:val="BodyText"/>
        <w:spacing w:line="252" w:lineRule="auto" w:before="39"/>
        <w:ind w:left="727" w:right="169" w:hanging="397"/>
      </w:pPr>
      <w:r>
        <w:rPr>
          <w:spacing w:val="-4"/>
          <w:w w:val="110"/>
        </w:rPr>
        <w:t>Mirer, </w:t>
      </w:r>
      <w:r>
        <w:rPr>
          <w:w w:val="110"/>
        </w:rPr>
        <w:t>Jeanne y Cohn, Marjorie 2012 “the </w:t>
      </w:r>
      <w:r>
        <w:rPr>
          <w:spacing w:val="-4"/>
          <w:w w:val="110"/>
        </w:rPr>
        <w:t>toxic </w:t>
      </w:r>
      <w:r>
        <w:rPr>
          <w:w w:val="110"/>
        </w:rPr>
        <w:t>Effects of agent  orange Persist 51 </w:t>
      </w:r>
      <w:r>
        <w:rPr>
          <w:spacing w:val="-4"/>
          <w:w w:val="110"/>
        </w:rPr>
        <w:t>Years </w:t>
      </w:r>
      <w:r>
        <w:rPr>
          <w:w w:val="110"/>
        </w:rPr>
        <w:t>after the Vietnam </w:t>
      </w:r>
      <w:r>
        <w:rPr>
          <w:spacing w:val="-3"/>
          <w:w w:val="110"/>
        </w:rPr>
        <w:t>War”, </w:t>
      </w:r>
      <w:r>
        <w:rPr>
          <w:w w:val="110"/>
        </w:rPr>
        <w:t>en </w:t>
      </w:r>
      <w:r>
        <w:rPr>
          <w:i/>
          <w:spacing w:val="-3"/>
          <w:w w:val="110"/>
        </w:rPr>
        <w:t>Truthout</w:t>
      </w:r>
      <w:r>
        <w:rPr>
          <w:spacing w:val="-3"/>
          <w:w w:val="110"/>
        </w:rPr>
        <w:t>, </w:t>
      </w:r>
      <w:r>
        <w:rPr>
          <w:w w:val="110"/>
        </w:rPr>
        <w:t>7   </w:t>
      </w:r>
      <w:r>
        <w:rPr>
          <w:w w:val="105"/>
        </w:rPr>
        <w:t>de agosto, en </w:t>
      </w:r>
      <w:hyperlink r:id="rId385">
        <w:r>
          <w:rPr>
            <w:w w:val="105"/>
          </w:rPr>
          <w:t>&lt;http://truth-out.org/opinion/item/10729-the-toxic-</w:t>
        </w:r>
      </w:hyperlink>
      <w:r>
        <w:rPr>
          <w:w w:val="105"/>
        </w:rPr>
        <w:t> effects-of-agent-orange-persist-51-years-after-the-vietnam-war&gt;.</w:t>
      </w:r>
    </w:p>
    <w:p>
      <w:pPr>
        <w:spacing w:line="252" w:lineRule="auto" w:before="28"/>
        <w:ind w:left="727" w:right="385" w:hanging="397"/>
        <w:jc w:val="left"/>
        <w:rPr>
          <w:sz w:val="19"/>
        </w:rPr>
      </w:pPr>
      <w:r>
        <w:rPr>
          <w:w w:val="110"/>
          <w:sz w:val="19"/>
        </w:rPr>
        <w:t>obama, barack 2012 “President </w:t>
      </w:r>
      <w:r>
        <w:rPr>
          <w:spacing w:val="-3"/>
          <w:w w:val="110"/>
          <w:sz w:val="19"/>
        </w:rPr>
        <w:t>obama’s </w:t>
      </w:r>
      <w:r>
        <w:rPr>
          <w:w w:val="110"/>
          <w:sz w:val="19"/>
        </w:rPr>
        <w:t>speech at the Vietnam   </w:t>
      </w:r>
      <w:r>
        <w:rPr>
          <w:spacing w:val="-4"/>
          <w:w w:val="110"/>
          <w:sz w:val="19"/>
        </w:rPr>
        <w:t>War </w:t>
      </w:r>
      <w:r>
        <w:rPr>
          <w:w w:val="110"/>
          <w:sz w:val="19"/>
        </w:rPr>
        <w:t>Memorial”, en </w:t>
      </w:r>
      <w:r>
        <w:rPr>
          <w:i/>
          <w:w w:val="110"/>
          <w:sz w:val="19"/>
        </w:rPr>
        <w:t>The United States of America Vietnam </w:t>
      </w:r>
      <w:r>
        <w:rPr>
          <w:i/>
          <w:spacing w:val="-4"/>
          <w:w w:val="110"/>
          <w:sz w:val="19"/>
        </w:rPr>
        <w:t>War </w:t>
      </w:r>
      <w:r>
        <w:rPr>
          <w:i/>
          <w:w w:val="105"/>
          <w:sz w:val="19"/>
        </w:rPr>
        <w:t>Commemoration</w:t>
      </w:r>
      <w:r>
        <w:rPr>
          <w:w w:val="105"/>
          <w:sz w:val="19"/>
        </w:rPr>
        <w:t>, en </w:t>
      </w:r>
      <w:hyperlink r:id="rId386">
        <w:r>
          <w:rPr>
            <w:w w:val="105"/>
            <w:sz w:val="19"/>
          </w:rPr>
          <w:t>&lt;http://www.vietnamwar50th.com/videos/</w:t>
        </w:r>
      </w:hyperlink>
      <w:r>
        <w:rPr>
          <w:w w:val="105"/>
          <w:sz w:val="19"/>
        </w:rPr>
        <w:t> </w:t>
      </w:r>
      <w:r>
        <w:rPr>
          <w:w w:val="110"/>
          <w:sz w:val="19"/>
        </w:rPr>
        <w:t>president_obama_speech_memorial_day_at_the_wall/&gt;.</w:t>
      </w:r>
    </w:p>
    <w:p>
      <w:pPr>
        <w:spacing w:line="252" w:lineRule="auto" w:before="28"/>
        <w:ind w:left="727" w:right="100" w:hanging="397"/>
        <w:jc w:val="left"/>
        <w:rPr>
          <w:sz w:val="19"/>
        </w:rPr>
      </w:pPr>
      <w:r>
        <w:rPr>
          <w:w w:val="110"/>
          <w:sz w:val="19"/>
        </w:rPr>
        <w:t>Palencia, sergio 2012 “Compañeros, yo me voy al campo. reflexiones desde el exterminio de la rebelión indígena en Guatemala (1980- 1982)”, en </w:t>
      </w:r>
      <w:r>
        <w:rPr>
          <w:i/>
          <w:w w:val="110"/>
          <w:sz w:val="19"/>
        </w:rPr>
        <w:t>Revista de la Universidad de San Carlos de Guatemala</w:t>
      </w:r>
      <w:r>
        <w:rPr>
          <w:w w:val="110"/>
          <w:sz w:val="19"/>
        </w:rPr>
        <w:t>, enero-marzo, Nº 23, Guatemala, pp.  29-48.</w:t>
      </w:r>
    </w:p>
    <w:p>
      <w:pPr>
        <w:pStyle w:val="BodyText"/>
        <w:spacing w:line="252" w:lineRule="auto" w:before="28"/>
        <w:ind w:left="727" w:hanging="397"/>
        <w:rPr>
          <w:i/>
        </w:rPr>
      </w:pPr>
      <w:r>
        <w:rPr>
          <w:w w:val="110"/>
        </w:rPr>
        <w:t>romano, silvina M. 2012 “seguridad hemisférica, asistencia y democracia a inicios de la Guerra Fría”, en </w:t>
      </w:r>
      <w:r>
        <w:rPr>
          <w:i/>
          <w:w w:val="110"/>
        </w:rPr>
        <w:t>Revista de    Relaciones</w:t>
      </w:r>
    </w:p>
    <w:p>
      <w:pPr>
        <w:spacing w:after="0" w:line="252" w:lineRule="auto"/>
        <w:sectPr>
          <w:footerReference w:type="default" r:id="rId382"/>
          <w:footerReference w:type="even" r:id="rId383"/>
          <w:pgSz w:w="8790" w:h="12760"/>
          <w:pgMar w:footer="725" w:header="697" w:top="880" w:bottom="920" w:left="1200" w:right="920"/>
        </w:sectPr>
      </w:pPr>
    </w:p>
    <w:p>
      <w:pPr>
        <w:pStyle w:val="BodyText"/>
        <w:spacing w:before="9"/>
        <w:rPr>
          <w:i/>
          <w:sz w:val="28"/>
        </w:rPr>
      </w:pPr>
    </w:p>
    <w:p>
      <w:pPr>
        <w:spacing w:line="252" w:lineRule="auto" w:before="73"/>
        <w:ind w:left="497" w:right="0" w:firstLine="0"/>
        <w:jc w:val="left"/>
        <w:rPr>
          <w:sz w:val="19"/>
        </w:rPr>
      </w:pPr>
      <w:r>
        <w:rPr>
          <w:i/>
          <w:w w:val="110"/>
          <w:sz w:val="19"/>
        </w:rPr>
        <w:t>Internacionales, Estrategia y Seguridad</w:t>
      </w:r>
      <w:r>
        <w:rPr>
          <w:w w:val="110"/>
          <w:sz w:val="19"/>
        </w:rPr>
        <w:t>, Vol. 7, Nº 1, enero-junio, bogotá, pp. 211-240.</w:t>
      </w:r>
    </w:p>
    <w:p>
      <w:pPr>
        <w:pStyle w:val="BodyText"/>
        <w:spacing w:line="252" w:lineRule="auto" w:before="28"/>
        <w:ind w:left="497" w:right="615" w:hanging="397"/>
      </w:pPr>
      <w:r>
        <w:rPr>
          <w:w w:val="110"/>
        </w:rPr>
        <w:t>schudel, Matt 2014 “Fred branfman, who exposed secret u.s. </w:t>
      </w:r>
      <w:r>
        <w:rPr>
          <w:w w:val="111"/>
        </w:rPr>
        <w:t>bombing</w:t>
      </w:r>
      <w:r>
        <w:rPr/>
        <w:t> </w:t>
      </w:r>
      <w:r>
        <w:rPr>
          <w:w w:val="113"/>
        </w:rPr>
        <w:t>of</w:t>
      </w:r>
      <w:r>
        <w:rPr/>
        <w:t> </w:t>
      </w:r>
      <w:r>
        <w:rPr>
          <w:w w:val="243"/>
        </w:rPr>
        <w:t>l</w:t>
      </w:r>
      <w:r>
        <w:rPr>
          <w:w w:val="113"/>
        </w:rPr>
        <w:t>aos,</w:t>
      </w:r>
      <w:r>
        <w:rPr/>
        <w:t> </w:t>
      </w:r>
      <w:r>
        <w:rPr>
          <w:w w:val="108"/>
        </w:rPr>
        <w:t>dies</w:t>
      </w:r>
      <w:r>
        <w:rPr/>
        <w:t> </w:t>
      </w:r>
      <w:r>
        <w:rPr>
          <w:w w:val="109"/>
        </w:rPr>
        <w:t>at</w:t>
      </w:r>
      <w:r>
        <w:rPr/>
        <w:t> </w:t>
      </w:r>
      <w:r>
        <w:rPr>
          <w:w w:val="109"/>
        </w:rPr>
        <w:t>72”,</w:t>
      </w:r>
      <w:r>
        <w:rPr/>
        <w:t> </w:t>
      </w:r>
      <w:r>
        <w:rPr>
          <w:w w:val="108"/>
        </w:rPr>
        <w:t>en</w:t>
      </w:r>
      <w:r>
        <w:rPr/>
        <w:t> </w:t>
      </w:r>
      <w:r>
        <w:rPr>
          <w:i/>
          <w:w w:val="107"/>
        </w:rPr>
        <w:t>The</w:t>
      </w:r>
      <w:r>
        <w:rPr>
          <w:i/>
        </w:rPr>
        <w:t> </w:t>
      </w:r>
      <w:r>
        <w:rPr>
          <w:i/>
          <w:w w:val="107"/>
        </w:rPr>
        <w:t>W</w:t>
      </w:r>
      <w:r>
        <w:rPr>
          <w:i/>
          <w:w w:val="110"/>
        </w:rPr>
        <w:t>ashington</w:t>
      </w:r>
      <w:r>
        <w:rPr>
          <w:i/>
        </w:rPr>
        <w:t> </w:t>
      </w:r>
      <w:r>
        <w:rPr>
          <w:i/>
          <w:w w:val="110"/>
        </w:rPr>
        <w:t>Post</w:t>
      </w:r>
      <w:r>
        <w:rPr>
          <w:w w:val="138"/>
        </w:rPr>
        <w:t>, </w:t>
      </w:r>
      <w:r>
        <w:rPr>
          <w:w w:val="110"/>
        </w:rPr>
        <w:t>october 4, en </w:t>
      </w:r>
      <w:hyperlink r:id="rId387">
        <w:r>
          <w:rPr>
            <w:w w:val="110"/>
          </w:rPr>
          <w:t>&lt;http://www.washingtonpost.com/national/</w:t>
        </w:r>
      </w:hyperlink>
      <w:r>
        <w:rPr>
          <w:w w:val="110"/>
        </w:rPr>
        <w:t> fred-branfman-who-exposed-secret-us-bombing-of-laos-dies- </w:t>
      </w:r>
      <w:r>
        <w:rPr>
          <w:w w:val="105"/>
        </w:rPr>
        <w:t>at-72/2014/10/04/083d90e4-4be6-11e4-b72e-d60a9229cc10_ </w:t>
      </w:r>
      <w:r>
        <w:rPr>
          <w:w w:val="110"/>
        </w:rPr>
        <w:t>story.html&gt;.</w:t>
      </w:r>
    </w:p>
    <w:p>
      <w:pPr>
        <w:spacing w:line="252" w:lineRule="auto" w:before="28"/>
        <w:ind w:left="497" w:right="517" w:hanging="397"/>
        <w:jc w:val="left"/>
        <w:rPr>
          <w:sz w:val="19"/>
        </w:rPr>
      </w:pPr>
      <w:r>
        <w:rPr>
          <w:w w:val="110"/>
          <w:sz w:val="19"/>
        </w:rPr>
        <w:t>simpson, Cristopher 1994 </w:t>
      </w:r>
      <w:r>
        <w:rPr>
          <w:i/>
          <w:w w:val="110"/>
          <w:sz w:val="19"/>
        </w:rPr>
        <w:t>Science of coercion. Communication </w:t>
      </w:r>
      <w:r>
        <w:rPr>
          <w:i/>
          <w:w w:val="110"/>
          <w:sz w:val="19"/>
        </w:rPr>
        <w:t>research &amp; psychological warfare, 1945-1960 </w:t>
      </w:r>
      <w:r>
        <w:rPr>
          <w:w w:val="110"/>
          <w:sz w:val="19"/>
        </w:rPr>
        <w:t>(New York: oxford university Press).</w:t>
      </w:r>
    </w:p>
    <w:p>
      <w:pPr>
        <w:spacing w:line="252" w:lineRule="auto" w:before="28"/>
        <w:ind w:left="497" w:right="528" w:hanging="397"/>
        <w:jc w:val="left"/>
        <w:rPr>
          <w:sz w:val="19"/>
        </w:rPr>
      </w:pPr>
      <w:r>
        <w:rPr>
          <w:w w:val="110"/>
          <w:sz w:val="19"/>
        </w:rPr>
        <w:t>schirmer, Jennifer 1998 </w:t>
      </w:r>
      <w:r>
        <w:rPr>
          <w:i/>
          <w:w w:val="110"/>
          <w:sz w:val="19"/>
        </w:rPr>
        <w:t>Las intimidades del proyecto político militar </w:t>
      </w:r>
      <w:r>
        <w:rPr>
          <w:i/>
          <w:w w:val="110"/>
          <w:sz w:val="19"/>
        </w:rPr>
        <w:t>en  Guatemala  </w:t>
      </w:r>
      <w:r>
        <w:rPr>
          <w:w w:val="110"/>
          <w:sz w:val="19"/>
        </w:rPr>
        <w:t>(Guatemala:   </w:t>
      </w:r>
      <w:r>
        <w:rPr>
          <w:w w:val="120"/>
          <w:sz w:val="19"/>
        </w:rPr>
        <w:t>FlaCso).</w:t>
      </w:r>
    </w:p>
    <w:p>
      <w:pPr>
        <w:pStyle w:val="BodyText"/>
        <w:spacing w:line="252" w:lineRule="auto" w:before="28"/>
        <w:ind w:left="497" w:right="528" w:hanging="397"/>
      </w:pPr>
      <w:r>
        <w:rPr>
          <w:w w:val="149"/>
        </w:rPr>
        <w:t>s</w:t>
      </w:r>
      <w:r>
        <w:rPr>
          <w:w w:val="113"/>
        </w:rPr>
        <w:t>hannon,</w:t>
      </w:r>
      <w:r>
        <w:rPr/>
        <w:t> </w:t>
      </w:r>
      <w:r>
        <w:rPr>
          <w:w w:val="112"/>
        </w:rPr>
        <w:t>Paul</w:t>
      </w:r>
      <w:r>
        <w:rPr/>
        <w:t> </w:t>
      </w:r>
      <w:r>
        <w:rPr>
          <w:w w:val="102"/>
        </w:rPr>
        <w:t>1982</w:t>
      </w:r>
      <w:r>
        <w:rPr/>
        <w:t> </w:t>
      </w:r>
      <w:r>
        <w:rPr>
          <w:w w:val="115"/>
        </w:rPr>
        <w:t>“</w:t>
      </w:r>
      <w:r>
        <w:rPr>
          <w:w w:val="195"/>
        </w:rPr>
        <w:t>t</w:t>
      </w:r>
      <w:r>
        <w:rPr>
          <w:w w:val="109"/>
        </w:rPr>
        <w:t>he</w:t>
      </w:r>
      <w:r>
        <w:rPr/>
        <w:t> </w:t>
      </w:r>
      <w:r>
        <w:rPr>
          <w:w w:val="243"/>
        </w:rPr>
        <w:t>l</w:t>
      </w:r>
      <w:r>
        <w:rPr>
          <w:w w:val="109"/>
        </w:rPr>
        <w:t>egacy</w:t>
      </w:r>
      <w:r>
        <w:rPr/>
        <w:t> </w:t>
      </w:r>
      <w:r>
        <w:rPr>
          <w:w w:val="113"/>
        </w:rPr>
        <w:t>of</w:t>
      </w:r>
      <w:r>
        <w:rPr/>
        <w:t> </w:t>
      </w:r>
      <w:r>
        <w:rPr>
          <w:w w:val="108"/>
        </w:rPr>
        <w:t>the</w:t>
      </w:r>
      <w:r>
        <w:rPr/>
        <w:t> </w:t>
      </w:r>
      <w:r>
        <w:rPr>
          <w:w w:val="119"/>
        </w:rPr>
        <w:t>V</w:t>
      </w:r>
      <w:r>
        <w:rPr>
          <w:w w:val="110"/>
        </w:rPr>
        <w:t>ietnam</w:t>
      </w:r>
      <w:r>
        <w:rPr/>
        <w:t> </w:t>
      </w:r>
      <w:r>
        <w:rPr>
          <w:w w:val="110"/>
        </w:rPr>
        <w:t>W</w:t>
      </w:r>
      <w:r>
        <w:rPr>
          <w:w w:val="111"/>
        </w:rPr>
        <w:t>ar”</w:t>
      </w:r>
      <w:r>
        <w:rPr/>
        <w:t> </w:t>
      </w:r>
      <w:r>
        <w:rPr>
          <w:w w:val="114"/>
        </w:rPr>
        <w:t>Noam </w:t>
      </w:r>
      <w:r>
        <w:rPr>
          <w:w w:val="110"/>
        </w:rPr>
        <w:t>Chomsky interview. </w:t>
      </w:r>
      <w:r>
        <w:rPr>
          <w:i/>
          <w:w w:val="110"/>
        </w:rPr>
        <w:t>Indochina Newsletter</w:t>
      </w:r>
      <w:r>
        <w:rPr>
          <w:w w:val="110"/>
        </w:rPr>
        <w:t>, issue 18, November- </w:t>
      </w:r>
      <w:r>
        <w:rPr>
          <w:w w:val="115"/>
        </w:rPr>
        <w:t>december, pp. 1-5.</w:t>
      </w:r>
    </w:p>
    <w:p>
      <w:pPr>
        <w:pStyle w:val="BodyText"/>
        <w:spacing w:before="28"/>
        <w:ind w:left="100"/>
      </w:pPr>
      <w:r>
        <w:rPr>
          <w:w w:val="115"/>
        </w:rPr>
        <w:t>shivkumar, M. 1996 “reconstructing Vietnam War History”, en</w:t>
      </w:r>
    </w:p>
    <w:p>
      <w:pPr>
        <w:spacing w:line="283" w:lineRule="auto" w:before="11"/>
        <w:ind w:left="100" w:right="0" w:firstLine="396"/>
        <w:jc w:val="left"/>
        <w:rPr>
          <w:sz w:val="19"/>
        </w:rPr>
      </w:pPr>
      <w:r>
        <w:rPr>
          <w:i/>
          <w:w w:val="110"/>
          <w:sz w:val="19"/>
        </w:rPr>
        <w:t>Economic and Political Weekly</w:t>
      </w:r>
      <w:r>
        <w:rPr>
          <w:w w:val="110"/>
          <w:sz w:val="19"/>
        </w:rPr>
        <w:t>, Vol. 31, Nº 1 (January), pp. 21-22. sNCC 1966 “student Nonviolent Coordinating Committee.    Position</w:t>
      </w:r>
    </w:p>
    <w:p>
      <w:pPr>
        <w:pStyle w:val="BodyText"/>
        <w:spacing w:line="194" w:lineRule="exact"/>
        <w:ind w:left="497"/>
      </w:pPr>
      <w:r>
        <w:rPr>
          <w:w w:val="115"/>
        </w:rPr>
        <w:t>Paper: on Vietnam”, 6 de junio, the sixties Project, sponsored</w:t>
      </w:r>
    </w:p>
    <w:p>
      <w:pPr>
        <w:pStyle w:val="BodyText"/>
        <w:spacing w:line="252" w:lineRule="auto" w:before="11"/>
        <w:ind w:left="497" w:right="503"/>
      </w:pPr>
      <w:r>
        <w:rPr>
          <w:w w:val="115"/>
        </w:rPr>
        <w:t>by Viet Nam Generation inc. and the institute of advanced technology in the Humanities at the university of Virginia, en</w:t>
      </w:r>
    </w:p>
    <w:p>
      <w:pPr>
        <w:pStyle w:val="BodyText"/>
        <w:spacing w:line="252" w:lineRule="auto"/>
        <w:ind w:left="497" w:right="597"/>
      </w:pPr>
      <w:hyperlink r:id="rId388">
        <w:r>
          <w:rPr>
            <w:w w:val="104"/>
          </w:rPr>
          <w:t>&lt;http://www2.iath.virginia.edu/sixties/H</w:t>
        </w:r>
      </w:hyperlink>
      <w:r>
        <w:rPr>
          <w:w w:val="195"/>
        </w:rPr>
        <w:t>t</w:t>
      </w:r>
      <w:hyperlink r:id="rId388">
        <w:r>
          <w:rPr>
            <w:w w:val="120"/>
          </w:rPr>
          <w:t>M</w:t>
        </w:r>
        <w:r>
          <w:rPr>
            <w:w w:val="243"/>
          </w:rPr>
          <w:t>l</w:t>
        </w:r>
        <w:r>
          <w:rPr>
            <w:w w:val="104"/>
          </w:rPr>
          <w:t>_docs/</w:t>
        </w:r>
        <w:r>
          <w:rPr>
            <w:w w:val="182"/>
          </w:rPr>
          <w:t>r</w:t>
        </w:r>
        <w:r>
          <w:rPr>
            <w:w w:val="102"/>
          </w:rPr>
          <w:t>esources/</w:t>
        </w:r>
      </w:hyperlink>
      <w:r>
        <w:rPr>
          <w:w w:val="102"/>
        </w:rPr>
        <w:t> </w:t>
      </w:r>
      <w:r>
        <w:rPr>
          <w:w w:val="110"/>
        </w:rPr>
        <w:t>Primary/Manifestos/sNCC_VN.html&gt;.</w:t>
      </w:r>
    </w:p>
    <w:p>
      <w:pPr>
        <w:pStyle w:val="BodyText"/>
        <w:spacing w:line="252" w:lineRule="auto" w:before="28"/>
        <w:ind w:left="497" w:right="457" w:hanging="397"/>
      </w:pPr>
      <w:r>
        <w:rPr>
          <w:w w:val="110"/>
        </w:rPr>
        <w:t>swafford, Emily 2014 “Controversy surrounds department of defense Commemorative Website”, en </w:t>
      </w:r>
      <w:r>
        <w:rPr>
          <w:i/>
          <w:w w:val="110"/>
        </w:rPr>
        <w:t>American Historical </w:t>
      </w:r>
      <w:r>
        <w:rPr>
          <w:i/>
          <w:w w:val="110"/>
        </w:rPr>
        <w:t>Association</w:t>
      </w:r>
      <w:r>
        <w:rPr>
          <w:w w:val="110"/>
        </w:rPr>
        <w:t>, en </w:t>
      </w:r>
      <w:hyperlink r:id="rId389">
        <w:r>
          <w:rPr>
            <w:w w:val="110"/>
          </w:rPr>
          <w:t>&lt;https://www.historians.org/publications-and-</w:t>
        </w:r>
      </w:hyperlink>
      <w:r>
        <w:rPr>
          <w:w w:val="110"/>
        </w:rPr>
        <w:t> </w:t>
      </w:r>
      <w:r>
        <w:rPr>
          <w:w w:val="105"/>
        </w:rPr>
        <w:t>directories/perspectives-on-history/december-2014/controversy- </w:t>
      </w:r>
      <w:r>
        <w:rPr>
          <w:w w:val="110"/>
        </w:rPr>
        <w:t>surrounds-department-of-defense-commemorative-website&gt;.</w:t>
      </w:r>
    </w:p>
    <w:p>
      <w:pPr>
        <w:spacing w:line="252" w:lineRule="auto" w:before="28"/>
        <w:ind w:left="497" w:right="0" w:hanging="397"/>
        <w:jc w:val="left"/>
        <w:rPr>
          <w:sz w:val="19"/>
        </w:rPr>
      </w:pPr>
      <w:r>
        <w:rPr>
          <w:w w:val="110"/>
          <w:sz w:val="19"/>
        </w:rPr>
        <w:t>tapia Valdés, Jorge 1980 </w:t>
      </w:r>
      <w:r>
        <w:rPr>
          <w:i/>
          <w:w w:val="110"/>
          <w:sz w:val="19"/>
        </w:rPr>
        <w:t>El terrorismo de Estado. La doctrina de la </w:t>
      </w:r>
      <w:r>
        <w:rPr>
          <w:i/>
          <w:w w:val="110"/>
          <w:sz w:val="19"/>
        </w:rPr>
        <w:t>seguridad nacional en el Cono Sur </w:t>
      </w:r>
      <w:r>
        <w:rPr>
          <w:w w:val="110"/>
          <w:sz w:val="19"/>
        </w:rPr>
        <w:t>(México: Nueva   imagen).</w:t>
      </w:r>
    </w:p>
    <w:p>
      <w:pPr>
        <w:pStyle w:val="BodyText"/>
        <w:spacing w:before="28"/>
        <w:ind w:left="100"/>
      </w:pPr>
      <w:r>
        <w:rPr>
          <w:w w:val="110"/>
        </w:rPr>
        <w:t>Vietnam Peace Commemoration Committee 2014 october, 3,   en</w:t>
      </w:r>
    </w:p>
    <w:p>
      <w:pPr>
        <w:pStyle w:val="BodyText"/>
        <w:spacing w:before="11"/>
        <w:ind w:left="497"/>
      </w:pPr>
      <w:hyperlink r:id="rId390">
        <w:r>
          <w:rPr>
            <w:w w:val="105"/>
          </w:rPr>
          <w:t>&lt;http://www.ipetitions.com/petition/vpcc&gt;.</w:t>
        </w:r>
      </w:hyperlink>
    </w:p>
    <w:p>
      <w:pPr>
        <w:spacing w:line="252" w:lineRule="auto" w:before="39"/>
        <w:ind w:left="497" w:right="819" w:hanging="397"/>
        <w:jc w:val="left"/>
        <w:rPr>
          <w:sz w:val="19"/>
        </w:rPr>
      </w:pPr>
      <w:r>
        <w:rPr>
          <w:w w:val="110"/>
          <w:sz w:val="19"/>
        </w:rPr>
        <w:t>Wills, Garry 2010 </w:t>
      </w:r>
      <w:r>
        <w:rPr>
          <w:i/>
          <w:w w:val="110"/>
          <w:sz w:val="19"/>
        </w:rPr>
        <w:t>Bomb power. The modern presidency and the </w:t>
      </w:r>
      <w:r>
        <w:rPr>
          <w:i/>
          <w:w w:val="110"/>
          <w:sz w:val="19"/>
        </w:rPr>
        <w:t>national security state </w:t>
      </w:r>
      <w:r>
        <w:rPr>
          <w:w w:val="110"/>
          <w:sz w:val="19"/>
        </w:rPr>
        <w:t>(New York: Penguin  books).</w:t>
      </w:r>
    </w:p>
    <w:p>
      <w:pPr>
        <w:spacing w:line="252" w:lineRule="auto" w:before="28"/>
        <w:ind w:left="497" w:right="0" w:hanging="397"/>
        <w:jc w:val="left"/>
        <w:rPr>
          <w:sz w:val="19"/>
        </w:rPr>
      </w:pPr>
      <w:r>
        <w:rPr>
          <w:w w:val="110"/>
          <w:sz w:val="19"/>
        </w:rPr>
        <w:t>Zinn, Howard 2002 [1967] </w:t>
      </w:r>
      <w:r>
        <w:rPr>
          <w:i/>
          <w:w w:val="110"/>
          <w:sz w:val="19"/>
        </w:rPr>
        <w:t>Vietnam. The Logic of withdrawal </w:t>
      </w:r>
      <w:r>
        <w:rPr>
          <w:w w:val="110"/>
          <w:sz w:val="19"/>
        </w:rPr>
        <w:t>(boston: south  End Press).</w:t>
      </w:r>
    </w:p>
    <w:p>
      <w:pPr>
        <w:spacing w:before="28"/>
        <w:ind w:left="100" w:right="0" w:firstLine="0"/>
        <w:jc w:val="left"/>
        <w:rPr>
          <w:sz w:val="19"/>
        </w:rPr>
      </w:pPr>
      <w:r>
        <w:rPr>
          <w:w w:val="110"/>
          <w:sz w:val="19"/>
        </w:rPr>
        <w:t>Zinn, Howard 2003 </w:t>
      </w:r>
      <w:r>
        <w:rPr>
          <w:i/>
          <w:w w:val="110"/>
          <w:sz w:val="19"/>
        </w:rPr>
        <w:t>The twentieth century </w:t>
      </w:r>
      <w:r>
        <w:rPr>
          <w:w w:val="110"/>
          <w:sz w:val="19"/>
        </w:rPr>
        <w:t>(New York:  Harper).</w:t>
      </w:r>
    </w:p>
    <w:p>
      <w:pPr>
        <w:spacing w:after="0"/>
        <w:jc w:val="left"/>
        <w:rPr>
          <w:sz w:val="19"/>
        </w:rPr>
        <w:sectPr>
          <w:pgSz w:w="8790" w:h="12760"/>
          <w:pgMar w:header="695" w:footer="723" w:top="880" w:bottom="920" w:left="920" w:right="1200"/>
        </w:sectPr>
      </w:pPr>
    </w:p>
    <w:p>
      <w:pPr>
        <w:pStyle w:val="BodyText"/>
        <w:spacing w:before="4"/>
        <w:rPr>
          <w:rFonts w:ascii="Times New Roman"/>
          <w:sz w:val="17"/>
        </w:rPr>
      </w:pPr>
    </w:p>
    <w:p>
      <w:pPr>
        <w:spacing w:after="0"/>
        <w:rPr>
          <w:rFonts w:ascii="Times New Roman"/>
          <w:sz w:val="17"/>
        </w:rPr>
        <w:sectPr>
          <w:headerReference w:type="default" r:id="rId391"/>
          <w:footerReference w:type="default" r:id="rId392"/>
          <w:pgSz w:w="8790" w:h="12760"/>
          <w:pgMar w:header="0" w:footer="0" w:top="1180" w:bottom="280" w:left="1200" w:right="12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pStyle w:val="Heading3"/>
        <w:ind w:left="1041" w:right="1249"/>
      </w:pPr>
      <w:r>
        <w:rPr/>
        <w:t>Jorge Hernández Martínez*</w:t>
      </w:r>
    </w:p>
    <w:p>
      <w:pPr>
        <w:pStyle w:val="BodyText"/>
        <w:spacing w:before="1"/>
        <w:rPr>
          <w:sz w:val="20"/>
        </w:rPr>
      </w:pPr>
    </w:p>
    <w:p>
      <w:pPr>
        <w:spacing w:line="342" w:lineRule="exact" w:before="0"/>
        <w:ind w:left="1041" w:right="1249" w:firstLine="0"/>
        <w:jc w:val="center"/>
        <w:rPr>
          <w:rFonts w:ascii="Times New Roman"/>
          <w:b/>
          <w:sz w:val="30"/>
        </w:rPr>
      </w:pPr>
      <w:r>
        <w:rPr>
          <w:rFonts w:ascii="Times New Roman"/>
          <w:b/>
          <w:w w:val="135"/>
          <w:sz w:val="30"/>
        </w:rPr>
        <w:t>estados unidos</w:t>
      </w:r>
    </w:p>
    <w:p>
      <w:pPr>
        <w:spacing w:line="342" w:lineRule="exact" w:before="0"/>
        <w:ind w:left="348" w:right="556" w:firstLine="0"/>
        <w:jc w:val="center"/>
        <w:rPr>
          <w:rFonts w:ascii="Times New Roman"/>
          <w:b/>
          <w:sz w:val="30"/>
        </w:rPr>
      </w:pPr>
      <w:r>
        <w:rPr>
          <w:rFonts w:ascii="Times New Roman"/>
          <w:b/>
          <w:spacing w:val="-1"/>
          <w:w w:val="135"/>
          <w:sz w:val="30"/>
        </w:rPr>
        <w:t>y</w:t>
      </w:r>
      <w:r>
        <w:rPr>
          <w:rFonts w:ascii="Times New Roman"/>
          <w:b/>
          <w:spacing w:val="-60"/>
          <w:w w:val="135"/>
          <w:sz w:val="30"/>
        </w:rPr>
        <w:t> </w:t>
      </w:r>
      <w:r>
        <w:rPr>
          <w:rFonts w:ascii="Times New Roman"/>
          <w:b/>
          <w:spacing w:val="-1"/>
          <w:w w:val="135"/>
          <w:sz w:val="30"/>
        </w:rPr>
        <w:t>el</w:t>
      </w:r>
      <w:r>
        <w:rPr>
          <w:rFonts w:ascii="Times New Roman"/>
          <w:b/>
          <w:spacing w:val="-60"/>
          <w:w w:val="135"/>
          <w:sz w:val="30"/>
        </w:rPr>
        <w:t> </w:t>
      </w:r>
      <w:r>
        <w:rPr>
          <w:rFonts w:ascii="Times New Roman"/>
          <w:b/>
          <w:w w:val="135"/>
          <w:sz w:val="30"/>
        </w:rPr>
        <w:t>antinorteaMericanisMo</w:t>
      </w:r>
    </w:p>
    <w:p>
      <w:pPr>
        <w:spacing w:before="234"/>
        <w:ind w:left="650" w:right="321" w:firstLine="0"/>
        <w:jc w:val="left"/>
        <w:rPr>
          <w:rFonts w:ascii="Times New Roman"/>
          <w:b/>
          <w:sz w:val="23"/>
        </w:rPr>
      </w:pPr>
      <w:r>
        <w:rPr>
          <w:rFonts w:ascii="Times New Roman"/>
          <w:b/>
          <w:w w:val="135"/>
          <w:sz w:val="23"/>
        </w:rPr>
        <w:t>identidad cultural y seGuridad nacional</w:t>
      </w: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22"/>
        </w:rPr>
      </w:pPr>
    </w:p>
    <w:p>
      <w:pPr>
        <w:pStyle w:val="BodyText"/>
        <w:rPr>
          <w:rFonts w:ascii="Times New Roman"/>
          <w:b/>
          <w:sz w:val="32"/>
        </w:rPr>
      </w:pPr>
    </w:p>
    <w:p>
      <w:pPr>
        <w:pStyle w:val="Heading6"/>
        <w:ind w:left="121"/>
      </w:pPr>
      <w:r>
        <w:rPr>
          <w:w w:val="140"/>
        </w:rPr>
        <w:t>introducción</w:t>
      </w:r>
    </w:p>
    <w:p>
      <w:pPr>
        <w:pStyle w:val="BodyText"/>
        <w:spacing w:line="252" w:lineRule="auto" w:before="10"/>
        <w:ind w:left="120" w:right="328"/>
        <w:jc w:val="both"/>
      </w:pPr>
      <w:r>
        <w:rPr>
          <w:w w:val="243"/>
        </w:rPr>
        <w:t>l</w:t>
      </w:r>
      <w:r>
        <w:rPr>
          <w:w w:val="112"/>
        </w:rPr>
        <w:t>a</w:t>
      </w:r>
      <w:r>
        <w:rPr/>
        <w:t> </w:t>
      </w:r>
      <w:r>
        <w:rPr>
          <w:w w:val="108"/>
        </w:rPr>
        <w:t>reflexión</w:t>
      </w:r>
      <w:r>
        <w:rPr/>
        <w:t> </w:t>
      </w:r>
      <w:r>
        <w:rPr>
          <w:w w:val="107"/>
        </w:rPr>
        <w:t>sobre</w:t>
      </w:r>
      <w:r>
        <w:rPr/>
        <w:t> </w:t>
      </w:r>
      <w:r>
        <w:rPr>
          <w:w w:val="107"/>
        </w:rPr>
        <w:t>el</w:t>
      </w:r>
      <w:r>
        <w:rPr/>
        <w:t> </w:t>
      </w:r>
      <w:r>
        <w:rPr>
          <w:w w:val="110"/>
        </w:rPr>
        <w:t>antinorteamericanismo</w:t>
      </w:r>
      <w:r>
        <w:rPr/>
        <w:t> </w:t>
      </w:r>
      <w:r>
        <w:rPr>
          <w:w w:val="112"/>
        </w:rPr>
        <w:t>ha</w:t>
      </w:r>
      <w:r>
        <w:rPr/>
        <w:t> </w:t>
      </w:r>
      <w:r>
        <w:rPr>
          <w:w w:val="110"/>
        </w:rPr>
        <w:t>ido</w:t>
      </w:r>
      <w:r>
        <w:rPr/>
        <w:t> </w:t>
      </w:r>
      <w:r>
        <w:rPr>
          <w:w w:val="111"/>
        </w:rPr>
        <w:t>ganando</w:t>
      </w:r>
      <w:r>
        <w:rPr/>
        <w:t> </w:t>
      </w:r>
      <w:r>
        <w:rPr>
          <w:w w:val="112"/>
        </w:rPr>
        <w:t>una</w:t>
      </w:r>
      <w:r>
        <w:rPr/>
        <w:t> </w:t>
      </w:r>
      <w:r>
        <w:rPr>
          <w:w w:val="111"/>
        </w:rPr>
        <w:t>lógi</w:t>
      </w:r>
      <w:r>
        <w:rPr>
          <w:w w:val="102"/>
        </w:rPr>
        <w:t>- </w:t>
      </w:r>
      <w:r>
        <w:rPr>
          <w:w w:val="110"/>
        </w:rPr>
        <w:t>ca y creciente presencia en la literatura política, periodística y acadé- mica con posterioridad a los atentados terroristas del 11 de septiem- bre de 2001, aunque algunos trabajos pioneros ya habían llamado la </w:t>
      </w:r>
      <w:r>
        <w:rPr>
          <w:w w:val="110"/>
        </w:rPr>
        <w:t>atención</w:t>
      </w:r>
      <w:r>
        <w:rPr/>
        <w:t> </w:t>
      </w:r>
      <w:r>
        <w:rPr>
          <w:w w:val="107"/>
        </w:rPr>
        <w:t>sobre</w:t>
      </w:r>
      <w:r>
        <w:rPr/>
        <w:t> </w:t>
      </w:r>
      <w:r>
        <w:rPr>
          <w:w w:val="107"/>
        </w:rPr>
        <w:t>el</w:t>
      </w:r>
      <w:r>
        <w:rPr/>
        <w:t> </w:t>
      </w:r>
      <w:r>
        <w:rPr>
          <w:w w:val="110"/>
        </w:rPr>
        <w:t>tema</w:t>
      </w:r>
      <w:r>
        <w:rPr>
          <w:w w:val="103"/>
          <w:position w:val="6"/>
          <w:sz w:val="11"/>
        </w:rPr>
        <w:t>1</w:t>
      </w:r>
      <w:r>
        <w:rPr>
          <w:w w:val="138"/>
        </w:rPr>
        <w:t>.</w:t>
      </w:r>
      <w:r>
        <w:rPr/>
        <w:t> </w:t>
      </w:r>
      <w:r>
        <w:rPr>
          <w:w w:val="243"/>
        </w:rPr>
        <w:t>l</w:t>
      </w:r>
      <w:r>
        <w:rPr>
          <w:w w:val="112"/>
        </w:rPr>
        <w:t>a</w:t>
      </w:r>
      <w:r>
        <w:rPr/>
        <w:t> </w:t>
      </w:r>
      <w:r>
        <w:rPr>
          <w:w w:val="108"/>
        </w:rPr>
        <w:t>expresión</w:t>
      </w:r>
      <w:r>
        <w:rPr/>
        <w:t> </w:t>
      </w:r>
      <w:r>
        <w:rPr>
          <w:w w:val="112"/>
        </w:rPr>
        <w:t>ha</w:t>
      </w:r>
      <w:r>
        <w:rPr/>
        <w:t> </w:t>
      </w:r>
      <w:r>
        <w:rPr>
          <w:w w:val="109"/>
        </w:rPr>
        <w:t>sido</w:t>
      </w:r>
      <w:r>
        <w:rPr/>
        <w:t> </w:t>
      </w:r>
      <w:r>
        <w:rPr>
          <w:w w:val="111"/>
        </w:rPr>
        <w:t>asumida</w:t>
      </w:r>
      <w:r>
        <w:rPr/>
        <w:t> </w:t>
      </w:r>
      <w:r>
        <w:rPr>
          <w:w w:val="112"/>
        </w:rPr>
        <w:t>con</w:t>
      </w:r>
      <w:r>
        <w:rPr/>
        <w:t> </w:t>
      </w:r>
      <w:r>
        <w:rPr>
          <w:w w:val="112"/>
        </w:rPr>
        <w:t>un</w:t>
      </w:r>
      <w:r>
        <w:rPr/>
        <w:t> </w:t>
      </w:r>
      <w:r>
        <w:rPr>
          <w:w w:val="108"/>
        </w:rPr>
        <w:t>sentido </w:t>
      </w:r>
      <w:r>
        <w:rPr>
          <w:w w:val="110"/>
        </w:rPr>
        <w:t>más terminológico que conceptual, utilizándose para designar de for- ma indiscriminada reacciones de crítica, antipatía, desprecio, hosti- lidad, agresividad, así como reclamos de justicia, ajuste de cuentas e incluso sentimientos de venganza ante lo que se ha considerado como excesos o abusos en el uso de la fuerza por la política de Estados uni- dos. Esas manifestaciones se han dirigido también hacia ese país (no sólo a sus gobiernos), identificado a través de sus propios mitos, lle- vando consigo acciones extremas contra los principios que   sostienen</w:t>
      </w:r>
    </w:p>
    <w:p>
      <w:pPr>
        <w:pStyle w:val="BodyText"/>
        <w:spacing w:before="3"/>
        <w:rPr>
          <w:sz w:val="12"/>
        </w:rPr>
      </w:pPr>
    </w:p>
    <w:p>
      <w:pPr>
        <w:spacing w:line="242" w:lineRule="auto" w:before="1"/>
        <w:ind w:left="290" w:right="41" w:hanging="171"/>
        <w:jc w:val="left"/>
        <w:rPr>
          <w:sz w:val="16"/>
        </w:rPr>
      </w:pPr>
      <w:r>
        <w:rPr/>
        <w:pict>
          <v:line style="position:absolute;mso-position-horizontal-relative:page;mso-position-vertical-relative:paragraph;z-index:7240;mso-wrap-distance-left:0;mso-wrap-distance-right:0" from="51.023602pt,26.179562pt" to="79.369602pt,26.179562pt" stroked="true" strokeweight=".5pt" strokecolor="#000000">
            <w10:wrap type="topAndBottom"/>
          </v:line>
        </w:pict>
      </w:r>
      <w:r>
        <w:rPr>
          <w:w w:val="110"/>
          <w:sz w:val="16"/>
        </w:rPr>
        <w:t>* Profesor investigador y director del Centro de Estudios sobre Estados unidos de la </w:t>
      </w:r>
      <w:r>
        <w:rPr>
          <w:w w:val="137"/>
          <w:sz w:val="16"/>
        </w:rPr>
        <w:t>u</w:t>
      </w:r>
      <w:r>
        <w:rPr>
          <w:w w:val="106"/>
          <w:sz w:val="16"/>
        </w:rPr>
        <w:t>niversidad</w:t>
      </w:r>
      <w:r>
        <w:rPr>
          <w:sz w:val="16"/>
        </w:rPr>
        <w:t> </w:t>
      </w:r>
      <w:r>
        <w:rPr>
          <w:w w:val="104"/>
          <w:sz w:val="16"/>
        </w:rPr>
        <w:t>de</w:t>
      </w:r>
      <w:r>
        <w:rPr>
          <w:sz w:val="16"/>
        </w:rPr>
        <w:t> </w:t>
      </w:r>
      <w:r>
        <w:rPr>
          <w:w w:val="238"/>
          <w:sz w:val="16"/>
        </w:rPr>
        <w:t>l</w:t>
      </w:r>
      <w:r>
        <w:rPr>
          <w:w w:val="109"/>
          <w:sz w:val="16"/>
        </w:rPr>
        <w:t>a</w:t>
      </w:r>
      <w:r>
        <w:rPr>
          <w:sz w:val="16"/>
        </w:rPr>
        <w:t> </w:t>
      </w:r>
      <w:r>
        <w:rPr>
          <w:w w:val="113"/>
          <w:sz w:val="16"/>
        </w:rPr>
        <w:t>Habana.</w:t>
      </w:r>
    </w:p>
    <w:p>
      <w:pPr>
        <w:spacing w:line="242" w:lineRule="auto" w:before="89"/>
        <w:ind w:left="120" w:right="327" w:firstLine="0"/>
        <w:jc w:val="both"/>
        <w:rPr>
          <w:sz w:val="16"/>
        </w:rPr>
      </w:pPr>
      <w:r>
        <w:rPr>
          <w:w w:val="105"/>
          <w:sz w:val="16"/>
        </w:rPr>
        <w:t>1 Es el caso de Paul Hollander y de John Higham –sólo por mencionar un par de ejemplos– quienes desde sus obras respectivas, en 1978 y 1994, se refieren al tema de manera explícita. otros, como richard Hofstadter en 1965 y Cedric belfrage, desde 1972, tipifican conductas que a la luz de hoy encajarían en el concepto, pero no utili-   za el mismo como  </w:t>
      </w:r>
      <w:r>
        <w:rPr>
          <w:spacing w:val="19"/>
          <w:w w:val="105"/>
          <w:sz w:val="16"/>
        </w:rPr>
        <w:t> </w:t>
      </w:r>
      <w:r>
        <w:rPr>
          <w:w w:val="105"/>
          <w:sz w:val="16"/>
        </w:rPr>
        <w:t>tal.</w:t>
      </w:r>
    </w:p>
    <w:p>
      <w:pPr>
        <w:pStyle w:val="BodyText"/>
        <w:spacing w:before="1"/>
        <w:rPr>
          <w:sz w:val="25"/>
        </w:rPr>
      </w:pPr>
    </w:p>
    <w:p>
      <w:pPr>
        <w:pStyle w:val="Heading7"/>
        <w:spacing w:line="240" w:lineRule="auto" w:before="65"/>
        <w:ind w:left="1041" w:right="1249"/>
        <w:jc w:val="center"/>
      </w:pPr>
      <w:r>
        <w:rPr/>
        <w:t>273</w:t>
      </w:r>
    </w:p>
    <w:p>
      <w:pPr>
        <w:spacing w:after="0" w:line="240" w:lineRule="auto"/>
        <w:jc w:val="center"/>
        <w:sectPr>
          <w:headerReference w:type="even" r:id="rId393"/>
          <w:footerReference w:type="even" r:id="rId394"/>
          <w:pgSz w:w="8790" w:h="12760"/>
          <w:pgMar w:header="0" w:footer="0" w:top="1180" w:bottom="280" w:left="900" w:right="1200"/>
        </w:sectPr>
      </w:pPr>
    </w:p>
    <w:p>
      <w:pPr>
        <w:pStyle w:val="BodyText"/>
        <w:spacing w:before="7"/>
        <w:rPr>
          <w:sz w:val="28"/>
        </w:rPr>
      </w:pPr>
    </w:p>
    <w:p>
      <w:pPr>
        <w:pStyle w:val="BodyText"/>
        <w:spacing w:line="252" w:lineRule="auto" w:before="73"/>
        <w:ind w:left="330" w:right="118"/>
        <w:jc w:val="both"/>
      </w:pPr>
      <w:r>
        <w:rPr>
          <w:w w:val="110"/>
        </w:rPr>
        <w:t>las representaciones con las que se considera a sí mismo como nación necesaria, indispensable, superior y predestinada al ejercicio de un ineludible rol mesiánico, sustentado en razones histórico-culturales y político-religiosas.</w:t>
      </w:r>
    </w:p>
    <w:p>
      <w:pPr>
        <w:pStyle w:val="BodyText"/>
        <w:spacing w:line="252" w:lineRule="auto"/>
        <w:ind w:left="330" w:right="117" w:firstLine="396"/>
        <w:jc w:val="both"/>
      </w:pPr>
      <w:r>
        <w:rPr>
          <w:w w:val="110"/>
        </w:rPr>
        <w:t>Con frecuencia se le ha comprendido como un fenómeno nove- doso, o al menos relativamente nuevo. algunos lo conciben como una ideología, otros como expresión práctica de un comportamiento reac- tivo. En ocasiones se le ubica a raíz de los citados actos de terroris- mo. En otros casos, se remite su origen a los años cincuenta o a los escenarios inmediatos que siguen a las dos guerras mundiales, como un resultado de la Guerra Fría. En los últimos años se le percibe más en el terreno que concierne a la política exterior de Estados unidos que a su ámbito interno. intelectuales prominentes como roger Ga- raudy (2002) y Gore Vidal (2002), por ejemplo, abordaron el asunto desde comienzos del presente siglo en sendos trabajos ensayísticos que desde la filosofía, el ensayo literario y el periodismo intentaron conceptualizar y explicar el antinorteamericanismo, respondiendo a las causas que conducían a que dicho país (sobre todo, su gobierno) “fuese tan odiado”</w:t>
      </w:r>
      <w:r>
        <w:rPr>
          <w:w w:val="110"/>
          <w:position w:val="6"/>
          <w:sz w:val="11"/>
        </w:rPr>
        <w:t>2</w:t>
      </w:r>
      <w:r>
        <w:rPr>
          <w:w w:val="110"/>
        </w:rPr>
        <w:t>.</w:t>
      </w:r>
    </w:p>
    <w:p>
      <w:pPr>
        <w:pStyle w:val="BodyText"/>
        <w:spacing w:line="252" w:lineRule="auto"/>
        <w:ind w:left="330" w:right="117" w:firstLine="397"/>
        <w:jc w:val="both"/>
      </w:pPr>
      <w:r>
        <w:rPr>
          <w:w w:val="110"/>
        </w:rPr>
        <w:t>En el marco del estudio sobre la política exterior estadounidense en el siglo </w:t>
      </w:r>
      <w:r>
        <w:rPr>
          <w:w w:val="125"/>
        </w:rPr>
        <w:t>xxi </w:t>
      </w:r>
      <w:r>
        <w:rPr>
          <w:w w:val="110"/>
        </w:rPr>
        <w:t>a partir de las definiciones sobre temas como el terro- rismo y la inmigración, contenidas en diversos documentos y </w:t>
      </w:r>
      <w:r>
        <w:rPr>
          <w:spacing w:val="-3"/>
          <w:w w:val="110"/>
        </w:rPr>
        <w:t>discur- </w:t>
      </w:r>
      <w:r>
        <w:rPr>
          <w:w w:val="107"/>
        </w:rPr>
        <w:t>sos</w:t>
      </w:r>
      <w:r>
        <w:rPr/>
        <w:t> </w:t>
      </w:r>
      <w:r>
        <w:rPr>
          <w:spacing w:val="-18"/>
        </w:rPr>
        <w:t> </w:t>
      </w:r>
      <w:r>
        <w:rPr>
          <w:w w:val="110"/>
        </w:rPr>
        <w:t>relacionados</w:t>
      </w:r>
      <w:r>
        <w:rPr/>
        <w:t> </w:t>
      </w:r>
      <w:r>
        <w:rPr>
          <w:spacing w:val="-18"/>
        </w:rPr>
        <w:t> </w:t>
      </w:r>
      <w:r>
        <w:rPr>
          <w:w w:val="112"/>
        </w:rPr>
        <w:t>con</w:t>
      </w:r>
      <w:r>
        <w:rPr/>
        <w:t> </w:t>
      </w:r>
      <w:r>
        <w:rPr>
          <w:spacing w:val="-18"/>
        </w:rPr>
        <w:t> </w:t>
      </w:r>
      <w:r>
        <w:rPr>
          <w:w w:val="111"/>
        </w:rPr>
        <w:t>la</w:t>
      </w:r>
      <w:r>
        <w:rPr/>
        <w:t> </w:t>
      </w:r>
      <w:r>
        <w:rPr>
          <w:spacing w:val="-18"/>
        </w:rPr>
        <w:t> </w:t>
      </w:r>
      <w:r>
        <w:rPr>
          <w:w w:val="111"/>
        </w:rPr>
        <w:t>llamada</w:t>
      </w:r>
      <w:r>
        <w:rPr/>
        <w:t> </w:t>
      </w:r>
      <w:r>
        <w:rPr>
          <w:spacing w:val="-18"/>
        </w:rPr>
        <w:t> </w:t>
      </w:r>
      <w:r>
        <w:rPr>
          <w:w w:val="243"/>
        </w:rPr>
        <w:t>l</w:t>
      </w:r>
      <w:r>
        <w:rPr>
          <w:w w:val="104"/>
        </w:rPr>
        <w:t>ey</w:t>
      </w:r>
      <w:r>
        <w:rPr/>
        <w:t> </w:t>
      </w:r>
      <w:r>
        <w:rPr>
          <w:spacing w:val="-18"/>
        </w:rPr>
        <w:t> </w:t>
      </w:r>
      <w:r>
        <w:rPr>
          <w:w w:val="111"/>
        </w:rPr>
        <w:t>Patriótica</w:t>
      </w:r>
      <w:r>
        <w:rPr/>
        <w:t> </w:t>
      </w:r>
      <w:r>
        <w:rPr>
          <w:spacing w:val="-18"/>
        </w:rPr>
        <w:t> </w:t>
      </w:r>
      <w:r>
        <w:rPr>
          <w:w w:val="105"/>
        </w:rPr>
        <w:t>y</w:t>
      </w:r>
      <w:r>
        <w:rPr/>
        <w:t> </w:t>
      </w:r>
      <w:r>
        <w:rPr>
          <w:spacing w:val="-18"/>
        </w:rPr>
        <w:t> </w:t>
      </w:r>
      <w:r>
        <w:rPr>
          <w:w w:val="109"/>
        </w:rPr>
        <w:t>las</w:t>
      </w:r>
      <w:r>
        <w:rPr/>
        <w:t> </w:t>
      </w:r>
      <w:r>
        <w:rPr>
          <w:spacing w:val="-18"/>
        </w:rPr>
        <w:t> </w:t>
      </w:r>
      <w:r>
        <w:rPr>
          <w:w w:val="109"/>
        </w:rPr>
        <w:t>proyecciones</w:t>
      </w:r>
      <w:r>
        <w:rPr/>
        <w:t> </w:t>
      </w:r>
      <w:r>
        <w:rPr>
          <w:spacing w:val="-18"/>
        </w:rPr>
        <w:t> </w:t>
      </w:r>
      <w:r>
        <w:rPr>
          <w:w w:val="107"/>
        </w:rPr>
        <w:t>de </w:t>
      </w:r>
      <w:r>
        <w:rPr>
          <w:w w:val="110"/>
        </w:rPr>
        <w:t>seguridad nacional –durante las administraciones de George </w:t>
      </w:r>
      <w:r>
        <w:rPr>
          <w:spacing w:val="-11"/>
          <w:w w:val="110"/>
        </w:rPr>
        <w:t>W. </w:t>
      </w:r>
      <w:r>
        <w:rPr>
          <w:w w:val="110"/>
        </w:rPr>
        <w:t>bush  y obama– diversas contribuciones intentan precisar los componentes del antinorteamericanismo, desde ángulos diversos</w:t>
      </w:r>
      <w:r>
        <w:rPr>
          <w:w w:val="110"/>
          <w:position w:val="6"/>
          <w:sz w:val="11"/>
        </w:rPr>
        <w:t>3</w:t>
      </w:r>
      <w:r>
        <w:rPr>
          <w:w w:val="110"/>
        </w:rPr>
        <w:t>. En fecha mucho más reciente, Max Paul Friedman (2012) ha aportado una profunda y rigurosa aproximación al respecto, sometiendo a escrutinio la evolu- ción y contenido del concepto, colocándolo en los contextos en los que nace y se desarrolla el fenómeno, atendiendo tanto a su significación para la cultura política y el plano doméstico como para la proyección exterior de Estados unidos, mostrándolo en toda su connotación ob- jetiva y subjetiva, desmitificándolo y revelando su funcionalidad. Con razón se ha señalado que ese autor “reconstruye desde una   </w:t>
      </w:r>
      <w:r>
        <w:rPr>
          <w:spacing w:val="14"/>
          <w:w w:val="110"/>
        </w:rPr>
        <w:t> </w:t>
      </w:r>
      <w:r>
        <w:rPr>
          <w:w w:val="110"/>
        </w:rPr>
        <w:t>perspec-</w:t>
      </w:r>
    </w:p>
    <w:p>
      <w:pPr>
        <w:pStyle w:val="BodyText"/>
        <w:spacing w:before="10"/>
        <w:rPr>
          <w:sz w:val="20"/>
        </w:rPr>
      </w:pPr>
      <w:r>
        <w:rPr/>
        <w:pict>
          <v:line style="position:absolute;mso-position-horizontal-relative:page;mso-position-vertical-relative:paragraph;z-index:7264;mso-wrap-distance-left:0;mso-wrap-distance-right:0" from="76.5354pt,14.425437pt" to="104.8814pt,14.425437pt" stroked="true" strokeweight=".5pt" strokecolor="#000000">
            <w10:wrap type="topAndBottom"/>
          </v:line>
        </w:pict>
      </w:r>
    </w:p>
    <w:p>
      <w:pPr>
        <w:pStyle w:val="ListParagraph"/>
        <w:numPr>
          <w:ilvl w:val="0"/>
          <w:numId w:val="31"/>
        </w:numPr>
        <w:tabs>
          <w:tab w:pos="586" w:val="left" w:leader="none"/>
        </w:tabs>
        <w:spacing w:line="242" w:lineRule="auto" w:before="89" w:after="0"/>
        <w:ind w:left="330" w:right="117" w:firstLine="0"/>
        <w:jc w:val="both"/>
        <w:rPr>
          <w:sz w:val="16"/>
        </w:rPr>
      </w:pPr>
      <w:r>
        <w:rPr>
          <w:w w:val="110"/>
          <w:sz w:val="16"/>
        </w:rPr>
        <w:t>además de los textos de ambos autores, véase la entrevista que Marc Cooper le realiza a Vidal, publicada en </w:t>
      </w:r>
      <w:r>
        <w:rPr>
          <w:i/>
          <w:w w:val="110"/>
          <w:sz w:val="16"/>
        </w:rPr>
        <w:t>La Jornada</w:t>
      </w:r>
      <w:r>
        <w:rPr>
          <w:w w:val="110"/>
          <w:sz w:val="16"/>
        </w:rPr>
        <w:t>, que también se reseña en la bibliografía consultada.</w:t>
      </w:r>
    </w:p>
    <w:p>
      <w:pPr>
        <w:pStyle w:val="ListParagraph"/>
        <w:numPr>
          <w:ilvl w:val="0"/>
          <w:numId w:val="31"/>
        </w:numPr>
        <w:tabs>
          <w:tab w:pos="586" w:val="left" w:leader="none"/>
        </w:tabs>
        <w:spacing w:line="242" w:lineRule="auto" w:before="57" w:after="0"/>
        <w:ind w:left="330" w:right="118" w:firstLine="0"/>
        <w:jc w:val="both"/>
        <w:rPr>
          <w:sz w:val="16"/>
        </w:rPr>
      </w:pPr>
      <w:r>
        <w:rPr>
          <w:w w:val="105"/>
          <w:sz w:val="16"/>
        </w:rPr>
        <w:t>Consúltese el panorama que presenta </w:t>
      </w:r>
      <w:r>
        <w:rPr>
          <w:spacing w:val="-3"/>
          <w:w w:val="105"/>
          <w:sz w:val="16"/>
        </w:rPr>
        <w:t>Vexen  </w:t>
      </w:r>
      <w:r>
        <w:rPr>
          <w:w w:val="105"/>
          <w:sz w:val="16"/>
        </w:rPr>
        <w:t>Crabtree </w:t>
      </w:r>
      <w:r>
        <w:rPr>
          <w:i/>
          <w:w w:val="105"/>
          <w:sz w:val="16"/>
        </w:rPr>
        <w:t>Why People Hate America.   </w:t>
      </w:r>
      <w:r>
        <w:rPr>
          <w:i/>
          <w:spacing w:val="37"/>
          <w:w w:val="105"/>
          <w:sz w:val="16"/>
        </w:rPr>
        <w:t> </w:t>
      </w:r>
      <w:r>
        <w:rPr>
          <w:i/>
          <w:w w:val="105"/>
          <w:sz w:val="16"/>
        </w:rPr>
        <w:t>A Summary of Anti-Americanism</w:t>
      </w:r>
      <w:r>
        <w:rPr>
          <w:w w:val="105"/>
          <w:sz w:val="16"/>
        </w:rPr>
        <w:t>, september 24, 2001, en &lt;</w:t>
      </w:r>
      <w:hyperlink r:id="rId399">
        <w:r>
          <w:rPr>
            <w:w w:val="105"/>
            <w:sz w:val="16"/>
          </w:rPr>
          <w:t>http://goo.gl/8WMmGc&gt;.</w:t>
        </w:r>
      </w:hyperlink>
      <w:r>
        <w:rPr>
          <w:w w:val="105"/>
          <w:sz w:val="16"/>
        </w:rPr>
        <w:t> desde</w:t>
      </w:r>
      <w:r>
        <w:rPr>
          <w:spacing w:val="29"/>
          <w:w w:val="105"/>
          <w:sz w:val="16"/>
        </w:rPr>
        <w:t> </w:t>
      </w:r>
      <w:r>
        <w:rPr>
          <w:w w:val="105"/>
          <w:sz w:val="16"/>
        </w:rPr>
        <w:t>el</w:t>
      </w:r>
      <w:r>
        <w:rPr>
          <w:spacing w:val="29"/>
          <w:w w:val="105"/>
          <w:sz w:val="16"/>
        </w:rPr>
        <w:t> </w:t>
      </w:r>
      <w:r>
        <w:rPr>
          <w:w w:val="105"/>
          <w:sz w:val="16"/>
        </w:rPr>
        <w:t>punto</w:t>
      </w:r>
      <w:r>
        <w:rPr>
          <w:spacing w:val="29"/>
          <w:w w:val="105"/>
          <w:sz w:val="16"/>
        </w:rPr>
        <w:t> </w:t>
      </w:r>
      <w:r>
        <w:rPr>
          <w:w w:val="105"/>
          <w:sz w:val="16"/>
        </w:rPr>
        <w:t>de</w:t>
      </w:r>
      <w:r>
        <w:rPr>
          <w:spacing w:val="29"/>
          <w:w w:val="105"/>
          <w:sz w:val="16"/>
        </w:rPr>
        <w:t> </w:t>
      </w:r>
      <w:r>
        <w:rPr>
          <w:w w:val="105"/>
          <w:sz w:val="16"/>
        </w:rPr>
        <w:t>vista</w:t>
      </w:r>
      <w:r>
        <w:rPr>
          <w:spacing w:val="29"/>
          <w:w w:val="105"/>
          <w:sz w:val="16"/>
        </w:rPr>
        <w:t> </w:t>
      </w:r>
      <w:r>
        <w:rPr>
          <w:w w:val="105"/>
          <w:sz w:val="16"/>
        </w:rPr>
        <w:t>de</w:t>
      </w:r>
      <w:r>
        <w:rPr>
          <w:spacing w:val="29"/>
          <w:w w:val="105"/>
          <w:sz w:val="16"/>
        </w:rPr>
        <w:t> </w:t>
      </w:r>
      <w:r>
        <w:rPr>
          <w:w w:val="105"/>
          <w:sz w:val="16"/>
        </w:rPr>
        <w:t>la</w:t>
      </w:r>
      <w:r>
        <w:rPr>
          <w:spacing w:val="29"/>
          <w:w w:val="105"/>
          <w:sz w:val="16"/>
        </w:rPr>
        <w:t> </w:t>
      </w:r>
      <w:r>
        <w:rPr>
          <w:w w:val="105"/>
          <w:sz w:val="16"/>
        </w:rPr>
        <w:t>ponderación</w:t>
      </w:r>
      <w:r>
        <w:rPr>
          <w:spacing w:val="29"/>
          <w:w w:val="105"/>
          <w:sz w:val="16"/>
        </w:rPr>
        <w:t> </w:t>
      </w:r>
      <w:r>
        <w:rPr>
          <w:w w:val="105"/>
          <w:sz w:val="16"/>
        </w:rPr>
        <w:t>sistemática</w:t>
      </w:r>
      <w:r>
        <w:rPr>
          <w:spacing w:val="29"/>
          <w:w w:val="105"/>
          <w:sz w:val="16"/>
        </w:rPr>
        <w:t> </w:t>
      </w:r>
      <w:r>
        <w:rPr>
          <w:w w:val="105"/>
          <w:sz w:val="16"/>
        </w:rPr>
        <w:t>a</w:t>
      </w:r>
      <w:r>
        <w:rPr>
          <w:spacing w:val="29"/>
          <w:w w:val="105"/>
          <w:sz w:val="16"/>
        </w:rPr>
        <w:t> </w:t>
      </w:r>
      <w:r>
        <w:rPr>
          <w:w w:val="105"/>
          <w:sz w:val="16"/>
        </w:rPr>
        <w:t>través</w:t>
      </w:r>
      <w:r>
        <w:rPr>
          <w:spacing w:val="29"/>
          <w:w w:val="105"/>
          <w:sz w:val="16"/>
        </w:rPr>
        <w:t> </w:t>
      </w:r>
      <w:r>
        <w:rPr>
          <w:w w:val="105"/>
          <w:sz w:val="16"/>
        </w:rPr>
        <w:t>de</w:t>
      </w:r>
      <w:r>
        <w:rPr>
          <w:spacing w:val="29"/>
          <w:w w:val="105"/>
          <w:sz w:val="16"/>
        </w:rPr>
        <w:t> </w:t>
      </w:r>
      <w:r>
        <w:rPr>
          <w:w w:val="105"/>
          <w:sz w:val="16"/>
        </w:rPr>
        <w:t>encuestas,</w:t>
      </w:r>
      <w:r>
        <w:rPr>
          <w:spacing w:val="29"/>
          <w:w w:val="105"/>
          <w:sz w:val="16"/>
        </w:rPr>
        <w:t> </w:t>
      </w:r>
      <w:r>
        <w:rPr>
          <w:w w:val="105"/>
          <w:sz w:val="16"/>
        </w:rPr>
        <w:t>véase</w:t>
      </w:r>
    </w:p>
    <w:p>
      <w:pPr>
        <w:spacing w:line="242" w:lineRule="auto" w:before="0"/>
        <w:ind w:left="330" w:right="118" w:firstLine="0"/>
        <w:jc w:val="both"/>
        <w:rPr>
          <w:sz w:val="16"/>
        </w:rPr>
      </w:pPr>
      <w:r>
        <w:rPr>
          <w:i/>
          <w:w w:val="110"/>
          <w:sz w:val="16"/>
        </w:rPr>
        <w:t>U.S. Global Image and Anti-Americanism </w:t>
      </w:r>
      <w:r>
        <w:rPr>
          <w:w w:val="110"/>
          <w:sz w:val="16"/>
        </w:rPr>
        <w:t>en el sitio que el </w:t>
      </w:r>
      <w:r>
        <w:rPr>
          <w:i/>
          <w:w w:val="110"/>
          <w:sz w:val="16"/>
        </w:rPr>
        <w:t>Pew Research Center</w:t>
      </w:r>
      <w:r>
        <w:rPr>
          <w:w w:val="110"/>
          <w:sz w:val="16"/>
        </w:rPr>
        <w:t>,</w:t>
      </w:r>
      <w:r>
        <w:rPr>
          <w:spacing w:val="-22"/>
          <w:w w:val="110"/>
          <w:sz w:val="16"/>
        </w:rPr>
        <w:t> </w:t>
      </w:r>
      <w:r>
        <w:rPr>
          <w:w w:val="110"/>
          <w:sz w:val="16"/>
        </w:rPr>
        <w:t>espe- cíficamente las contribuciones realizadas en la sección de </w:t>
      </w:r>
      <w:r>
        <w:rPr>
          <w:i/>
          <w:w w:val="110"/>
          <w:sz w:val="16"/>
        </w:rPr>
        <w:t>Global Attitudes &amp; </w:t>
      </w:r>
      <w:r>
        <w:rPr>
          <w:i/>
          <w:spacing w:val="-3"/>
          <w:w w:val="110"/>
          <w:sz w:val="16"/>
        </w:rPr>
        <w:t>Trends</w:t>
      </w:r>
      <w:r>
        <w:rPr>
          <w:spacing w:val="-3"/>
          <w:w w:val="110"/>
          <w:sz w:val="16"/>
        </w:rPr>
        <w:t>, </w:t>
      </w:r>
      <w:r>
        <w:rPr>
          <w:w w:val="101"/>
          <w:sz w:val="16"/>
        </w:rPr>
        <w:t>ver</w:t>
      </w:r>
      <w:r>
        <w:rPr>
          <w:spacing w:val="9"/>
          <w:sz w:val="16"/>
        </w:rPr>
        <w:t> </w:t>
      </w:r>
      <w:r>
        <w:rPr>
          <w:w w:val="108"/>
          <w:sz w:val="16"/>
        </w:rPr>
        <w:t>&lt;</w:t>
      </w:r>
      <w:hyperlink r:id="rId400">
        <w:r>
          <w:rPr>
            <w:w w:val="96"/>
            <w:sz w:val="16"/>
          </w:rPr>
          <w:t>http://goo.gl/</w:t>
        </w:r>
        <w:r>
          <w:rPr>
            <w:spacing w:val="-15"/>
            <w:w w:val="238"/>
            <w:sz w:val="16"/>
          </w:rPr>
          <w:t>l</w:t>
        </w:r>
        <w:r>
          <w:rPr>
            <w:w w:val="108"/>
            <w:sz w:val="16"/>
          </w:rPr>
          <w:t>yG8d3</w:t>
        </w:r>
      </w:hyperlink>
      <w:r>
        <w:rPr>
          <w:w w:val="108"/>
          <w:sz w:val="16"/>
        </w:rPr>
        <w:t>&gt;</w:t>
      </w:r>
      <w:r>
        <w:rPr>
          <w:w w:val="135"/>
          <w:sz w:val="16"/>
        </w:rPr>
        <w:t>.</w:t>
      </w:r>
    </w:p>
    <w:p>
      <w:pPr>
        <w:spacing w:after="0" w:line="242" w:lineRule="auto"/>
        <w:jc w:val="both"/>
        <w:rPr>
          <w:sz w:val="16"/>
        </w:rPr>
        <w:sectPr>
          <w:headerReference w:type="even" r:id="rId395"/>
          <w:headerReference w:type="default" r:id="rId396"/>
          <w:footerReference w:type="even" r:id="rId397"/>
          <w:footerReference w:type="default" r:id="rId398"/>
          <w:pgSz w:w="8790" w:h="12760"/>
          <w:pgMar w:header="697" w:footer="725" w:top="880" w:bottom="920" w:left="1200" w:right="900"/>
          <w:pgNumType w:start="274"/>
        </w:sectPr>
      </w:pPr>
    </w:p>
    <w:p>
      <w:pPr>
        <w:pStyle w:val="BodyText"/>
        <w:spacing w:before="9"/>
        <w:rPr>
          <w:sz w:val="28"/>
        </w:rPr>
      </w:pPr>
    </w:p>
    <w:p>
      <w:pPr>
        <w:pStyle w:val="BodyText"/>
        <w:spacing w:line="252" w:lineRule="auto" w:before="73"/>
        <w:ind w:left="120" w:right="327"/>
        <w:jc w:val="both"/>
      </w:pPr>
      <w:r>
        <w:rPr>
          <w:w w:val="110"/>
        </w:rPr>
        <w:t>tiva crítica la historia de un concepto central a la hora de recrear la ideología del destino manifiesto: la idea de que Estados unidos es un pueblo elegido por dios para civilizar al resto del planeta, exportando democracia, libertad y capitalismo” y que “el valor de la obra no se limita a su enorme interés histórico y sociológico, sino que tiene una gran relevancia política” (Morgenfeld, 2013: 15).</w:t>
      </w:r>
    </w:p>
    <w:p>
      <w:pPr>
        <w:pStyle w:val="BodyText"/>
        <w:spacing w:line="252" w:lineRule="auto"/>
        <w:ind w:left="120" w:right="328" w:firstLine="396"/>
        <w:jc w:val="both"/>
      </w:pPr>
      <w:r>
        <w:rPr>
          <w:w w:val="110"/>
        </w:rPr>
        <w:t>así, “Friedman demuestra cabalmente cómo dentro de Estados unidos la idea del anti-americanismo fue y es utilizada para bloquear reformas progresistas, tildándolas de contrarias a los supuestos valo- res estadounidenses. El concepto es utilizado asimismo para estigma- tizar cualquier crítica externa a las políticas de Washington. así, quie- nes critican el accionar imperialista de la Casa blanca o del Pentágono (pero no al pueblo estadounidense), por ejemplo, son calificados de opositores a la libertad y la democracia. Friedman, en cambio, sostie- ne que la supuesta existencia de un sentimiento antiyanqui en el</w:t>
      </w:r>
      <w:r>
        <w:rPr>
          <w:spacing w:val="-15"/>
          <w:w w:val="110"/>
        </w:rPr>
        <w:t> </w:t>
      </w:r>
      <w:r>
        <w:rPr>
          <w:w w:val="110"/>
        </w:rPr>
        <w:t>mun- do no es una real amenaza para la sociedad estadounidense, sino sólo un argumento de los sectores más conservadores de Washington para justificar su agresiva política </w:t>
      </w:r>
      <w:r>
        <w:rPr>
          <w:spacing w:val="-3"/>
          <w:w w:val="110"/>
        </w:rPr>
        <w:t>exterior. </w:t>
      </w:r>
      <w:r>
        <w:rPr>
          <w:w w:val="110"/>
        </w:rPr>
        <w:t>a contramano de la mayoría de los estudios sobre la problemática, que dan por supuesta la existencia de un generalizado sentimiento antiamericano en el mundo entero y proponen distintas explicaciones (envidia, ignorancia, autoritarismo), Friedman se focaliza en iluminar las falacias de esos argumentos y en explicar cómo ese concepto opera envenenando la política estadouni- dense (legitimando violaciones a los derechos humanos, conculcan-  do libertades, manteniendo un impresionante aparato securitario)” (Morgenfeld, 2013:</w:t>
      </w:r>
      <w:r>
        <w:rPr>
          <w:spacing w:val="-16"/>
          <w:w w:val="110"/>
        </w:rPr>
        <w:t> </w:t>
      </w:r>
      <w:r>
        <w:rPr>
          <w:w w:val="110"/>
        </w:rPr>
        <w:t>15).</w:t>
      </w:r>
    </w:p>
    <w:p>
      <w:pPr>
        <w:pStyle w:val="BodyText"/>
        <w:spacing w:line="252" w:lineRule="auto"/>
        <w:ind w:left="120" w:right="328" w:firstLine="720"/>
        <w:jc w:val="both"/>
      </w:pPr>
      <w:r>
        <w:rPr>
          <w:w w:val="110"/>
        </w:rPr>
        <w:t>Esta interpretación complementa y amplía con evidencias empíricas, argumentación histórica y método comparativo la pers- pectiva teórica de análisis que, como advertirá el </w:t>
      </w:r>
      <w:r>
        <w:rPr>
          <w:spacing w:val="-4"/>
          <w:w w:val="110"/>
        </w:rPr>
        <w:t>lector, </w:t>
      </w:r>
      <w:r>
        <w:rPr>
          <w:w w:val="110"/>
        </w:rPr>
        <w:t>se ha venido exponiendo a lo largo de los tres trabajos anteriores que hemos</w:t>
      </w:r>
      <w:r>
        <w:rPr>
          <w:spacing w:val="-12"/>
          <w:w w:val="110"/>
        </w:rPr>
        <w:t> </w:t>
      </w:r>
      <w:r>
        <w:rPr>
          <w:w w:val="110"/>
        </w:rPr>
        <w:t>elabo- rado desde 2006 en el marco del grupo de trabajo de </w:t>
      </w:r>
      <w:r>
        <w:rPr>
          <w:w w:val="130"/>
        </w:rPr>
        <w:t>ClaCso </w:t>
      </w:r>
      <w:r>
        <w:rPr>
          <w:w w:val="110"/>
        </w:rPr>
        <w:t>dedi- cado al estudio de Estados unidos. de aquí que, en buena medida, en esta oportunidad regresemos a puntos de vista, problematizaciones y planteamientos –con una pretensión de síntesis–, retomando premi- sas e hipótesis que ahora se exponen en forma de tesis, considerando que el transcurso del tiempo ha aportado elementos de verificación desde el punto de vista epistemológico y</w:t>
      </w:r>
      <w:r>
        <w:rPr>
          <w:spacing w:val="34"/>
          <w:w w:val="110"/>
        </w:rPr>
        <w:t> </w:t>
      </w:r>
      <w:r>
        <w:rPr>
          <w:w w:val="110"/>
        </w:rPr>
        <w:t>metodológico</w:t>
      </w:r>
      <w:r>
        <w:rPr>
          <w:w w:val="110"/>
          <w:position w:val="6"/>
          <w:sz w:val="11"/>
        </w:rPr>
        <w:t>4</w:t>
      </w:r>
      <w:r>
        <w:rPr>
          <w:w w:val="110"/>
        </w:rPr>
        <w:t>.</w:t>
      </w:r>
    </w:p>
    <w:p>
      <w:pPr>
        <w:pStyle w:val="BodyText"/>
        <w:spacing w:before="5"/>
        <w:rPr>
          <w:sz w:val="14"/>
        </w:rPr>
      </w:pPr>
      <w:r>
        <w:rPr/>
        <w:pict>
          <v:line style="position:absolute;mso-position-horizontal-relative:page;mso-position-vertical-relative:paragraph;z-index:7288;mso-wrap-distance-left:0;mso-wrap-distance-right:0" from="51.023602pt,10.661832pt" to="79.369602pt,10.661832pt" stroked="true" strokeweight=".5pt" strokecolor="#000000">
            <w10:wrap type="topAndBottom"/>
          </v:line>
        </w:pict>
      </w:r>
    </w:p>
    <w:p>
      <w:pPr>
        <w:pStyle w:val="ListParagraph"/>
        <w:numPr>
          <w:ilvl w:val="0"/>
          <w:numId w:val="31"/>
        </w:numPr>
        <w:tabs>
          <w:tab w:pos="376" w:val="left" w:leader="none"/>
        </w:tabs>
        <w:spacing w:line="242" w:lineRule="auto" w:before="89" w:after="0"/>
        <w:ind w:left="120" w:right="328" w:firstLine="0"/>
        <w:jc w:val="both"/>
        <w:rPr>
          <w:sz w:val="16"/>
        </w:rPr>
      </w:pPr>
      <w:r>
        <w:rPr>
          <w:w w:val="110"/>
          <w:sz w:val="16"/>
        </w:rPr>
        <w:t>En este sentido, el ensayo resume en cierto modo, amplía en otro y a la vez pro- fundiza</w:t>
      </w:r>
      <w:r>
        <w:rPr>
          <w:spacing w:val="-11"/>
          <w:w w:val="110"/>
          <w:sz w:val="16"/>
        </w:rPr>
        <w:t> </w:t>
      </w:r>
      <w:r>
        <w:rPr>
          <w:w w:val="110"/>
          <w:sz w:val="16"/>
        </w:rPr>
        <w:t>en</w:t>
      </w:r>
      <w:r>
        <w:rPr>
          <w:spacing w:val="-11"/>
          <w:w w:val="110"/>
          <w:sz w:val="16"/>
        </w:rPr>
        <w:t> </w:t>
      </w:r>
      <w:r>
        <w:rPr>
          <w:w w:val="110"/>
          <w:sz w:val="16"/>
        </w:rPr>
        <w:t>aspectos</w:t>
      </w:r>
      <w:r>
        <w:rPr>
          <w:spacing w:val="-11"/>
          <w:w w:val="110"/>
          <w:sz w:val="16"/>
        </w:rPr>
        <w:t> </w:t>
      </w:r>
      <w:r>
        <w:rPr>
          <w:w w:val="110"/>
          <w:sz w:val="16"/>
        </w:rPr>
        <w:t>tratados</w:t>
      </w:r>
      <w:r>
        <w:rPr>
          <w:spacing w:val="-11"/>
          <w:w w:val="110"/>
          <w:sz w:val="16"/>
        </w:rPr>
        <w:t> </w:t>
      </w:r>
      <w:r>
        <w:rPr>
          <w:w w:val="110"/>
          <w:sz w:val="16"/>
        </w:rPr>
        <w:t>en</w:t>
      </w:r>
      <w:r>
        <w:rPr>
          <w:spacing w:val="-11"/>
          <w:w w:val="110"/>
          <w:sz w:val="16"/>
        </w:rPr>
        <w:t> </w:t>
      </w:r>
      <w:r>
        <w:rPr>
          <w:w w:val="110"/>
          <w:sz w:val="16"/>
        </w:rPr>
        <w:t>los</w:t>
      </w:r>
      <w:r>
        <w:rPr>
          <w:spacing w:val="-11"/>
          <w:w w:val="110"/>
          <w:sz w:val="16"/>
        </w:rPr>
        <w:t> </w:t>
      </w:r>
      <w:r>
        <w:rPr>
          <w:w w:val="110"/>
          <w:sz w:val="16"/>
        </w:rPr>
        <w:t>trabajos</w:t>
      </w:r>
      <w:r>
        <w:rPr>
          <w:spacing w:val="-11"/>
          <w:w w:val="110"/>
          <w:sz w:val="16"/>
        </w:rPr>
        <w:t> </w:t>
      </w:r>
      <w:r>
        <w:rPr>
          <w:w w:val="110"/>
          <w:sz w:val="16"/>
        </w:rPr>
        <w:t>referidos,</w:t>
      </w:r>
      <w:r>
        <w:rPr>
          <w:spacing w:val="-11"/>
          <w:w w:val="110"/>
          <w:sz w:val="16"/>
        </w:rPr>
        <w:t> </w:t>
      </w:r>
      <w:r>
        <w:rPr>
          <w:w w:val="110"/>
          <w:sz w:val="16"/>
        </w:rPr>
        <w:t>utilizándose</w:t>
      </w:r>
      <w:r>
        <w:rPr>
          <w:spacing w:val="-11"/>
          <w:w w:val="110"/>
          <w:sz w:val="16"/>
        </w:rPr>
        <w:t> </w:t>
      </w:r>
      <w:r>
        <w:rPr>
          <w:w w:val="110"/>
          <w:sz w:val="16"/>
        </w:rPr>
        <w:t>no</w:t>
      </w:r>
      <w:r>
        <w:rPr>
          <w:spacing w:val="-11"/>
          <w:w w:val="110"/>
          <w:sz w:val="16"/>
        </w:rPr>
        <w:t> </w:t>
      </w:r>
      <w:r>
        <w:rPr>
          <w:w w:val="110"/>
          <w:sz w:val="16"/>
        </w:rPr>
        <w:t>sólo</w:t>
      </w:r>
      <w:r>
        <w:rPr>
          <w:spacing w:val="-11"/>
          <w:w w:val="110"/>
          <w:sz w:val="16"/>
        </w:rPr>
        <w:t> </w:t>
      </w:r>
      <w:r>
        <w:rPr>
          <w:w w:val="110"/>
          <w:sz w:val="16"/>
        </w:rPr>
        <w:t>puntos</w:t>
      </w:r>
      <w:r>
        <w:rPr>
          <w:spacing w:val="-11"/>
          <w:w w:val="110"/>
          <w:sz w:val="16"/>
        </w:rPr>
        <w:t> </w:t>
      </w:r>
      <w:r>
        <w:rPr>
          <w:w w:val="110"/>
          <w:sz w:val="16"/>
        </w:rPr>
        <w:t>de vista</w:t>
      </w:r>
      <w:r>
        <w:rPr>
          <w:spacing w:val="-6"/>
          <w:w w:val="110"/>
          <w:sz w:val="16"/>
        </w:rPr>
        <w:t> </w:t>
      </w:r>
      <w:r>
        <w:rPr>
          <w:w w:val="110"/>
          <w:sz w:val="16"/>
        </w:rPr>
        <w:t>y</w:t>
      </w:r>
      <w:r>
        <w:rPr>
          <w:spacing w:val="-6"/>
          <w:w w:val="110"/>
          <w:sz w:val="16"/>
        </w:rPr>
        <w:t> </w:t>
      </w:r>
      <w:r>
        <w:rPr>
          <w:w w:val="110"/>
          <w:sz w:val="16"/>
        </w:rPr>
        <w:t>argumentos</w:t>
      </w:r>
      <w:r>
        <w:rPr>
          <w:spacing w:val="-6"/>
          <w:w w:val="110"/>
          <w:sz w:val="16"/>
        </w:rPr>
        <w:t> </w:t>
      </w:r>
      <w:r>
        <w:rPr>
          <w:w w:val="110"/>
          <w:sz w:val="16"/>
        </w:rPr>
        <w:t>de</w:t>
      </w:r>
      <w:r>
        <w:rPr>
          <w:spacing w:val="-6"/>
          <w:w w:val="110"/>
          <w:sz w:val="16"/>
        </w:rPr>
        <w:t> </w:t>
      </w:r>
      <w:r>
        <w:rPr>
          <w:w w:val="110"/>
          <w:sz w:val="16"/>
        </w:rPr>
        <w:t>los</w:t>
      </w:r>
      <w:r>
        <w:rPr>
          <w:spacing w:val="-6"/>
          <w:w w:val="110"/>
          <w:sz w:val="16"/>
        </w:rPr>
        <w:t> </w:t>
      </w:r>
      <w:r>
        <w:rPr>
          <w:w w:val="110"/>
          <w:sz w:val="16"/>
        </w:rPr>
        <w:t>mismos,</w:t>
      </w:r>
      <w:r>
        <w:rPr>
          <w:spacing w:val="-6"/>
          <w:w w:val="110"/>
          <w:sz w:val="16"/>
        </w:rPr>
        <w:t> </w:t>
      </w:r>
      <w:r>
        <w:rPr>
          <w:w w:val="110"/>
          <w:sz w:val="16"/>
        </w:rPr>
        <w:t>sino</w:t>
      </w:r>
      <w:r>
        <w:rPr>
          <w:spacing w:val="-6"/>
          <w:w w:val="110"/>
          <w:sz w:val="16"/>
        </w:rPr>
        <w:t> </w:t>
      </w:r>
      <w:r>
        <w:rPr>
          <w:w w:val="110"/>
          <w:sz w:val="16"/>
        </w:rPr>
        <w:t>expresiones</w:t>
      </w:r>
      <w:r>
        <w:rPr>
          <w:spacing w:val="-6"/>
          <w:w w:val="110"/>
          <w:sz w:val="16"/>
        </w:rPr>
        <w:t> </w:t>
      </w:r>
      <w:r>
        <w:rPr>
          <w:w w:val="110"/>
          <w:sz w:val="16"/>
        </w:rPr>
        <w:t>que</w:t>
      </w:r>
      <w:r>
        <w:rPr>
          <w:spacing w:val="-6"/>
          <w:w w:val="110"/>
          <w:sz w:val="16"/>
        </w:rPr>
        <w:t> </w:t>
      </w:r>
      <w:r>
        <w:rPr>
          <w:w w:val="110"/>
          <w:sz w:val="16"/>
        </w:rPr>
        <w:t>se</w:t>
      </w:r>
      <w:r>
        <w:rPr>
          <w:spacing w:val="-6"/>
          <w:w w:val="110"/>
          <w:sz w:val="16"/>
        </w:rPr>
        <w:t> </w:t>
      </w:r>
      <w:r>
        <w:rPr>
          <w:w w:val="110"/>
          <w:sz w:val="16"/>
        </w:rPr>
        <w:t>reproducen</w:t>
      </w:r>
      <w:r>
        <w:rPr>
          <w:spacing w:val="-6"/>
          <w:w w:val="110"/>
          <w:sz w:val="16"/>
        </w:rPr>
        <w:t> </w:t>
      </w:r>
      <w:r>
        <w:rPr>
          <w:w w:val="110"/>
          <w:sz w:val="16"/>
        </w:rPr>
        <w:t>en</w:t>
      </w:r>
      <w:r>
        <w:rPr>
          <w:spacing w:val="-6"/>
          <w:w w:val="110"/>
          <w:sz w:val="16"/>
        </w:rPr>
        <w:t> </w:t>
      </w:r>
      <w:r>
        <w:rPr>
          <w:w w:val="110"/>
          <w:sz w:val="16"/>
        </w:rPr>
        <w:t>ocasiones apenas con ligeras modificaciones. Ellos forman parte de una investigación más ex- tensa</w:t>
      </w:r>
      <w:r>
        <w:rPr>
          <w:spacing w:val="-8"/>
          <w:w w:val="110"/>
          <w:sz w:val="16"/>
        </w:rPr>
        <w:t> </w:t>
      </w:r>
      <w:r>
        <w:rPr>
          <w:w w:val="110"/>
          <w:sz w:val="16"/>
        </w:rPr>
        <w:t>que</w:t>
      </w:r>
      <w:r>
        <w:rPr>
          <w:spacing w:val="-8"/>
          <w:w w:val="110"/>
          <w:sz w:val="16"/>
        </w:rPr>
        <w:t> </w:t>
      </w:r>
      <w:r>
        <w:rPr>
          <w:w w:val="110"/>
          <w:sz w:val="16"/>
        </w:rPr>
        <w:t>lleva</w:t>
      </w:r>
      <w:r>
        <w:rPr>
          <w:spacing w:val="-8"/>
          <w:w w:val="110"/>
          <w:sz w:val="16"/>
        </w:rPr>
        <w:t> </w:t>
      </w:r>
      <w:r>
        <w:rPr>
          <w:w w:val="110"/>
          <w:sz w:val="16"/>
        </w:rPr>
        <w:t>a</w:t>
      </w:r>
      <w:r>
        <w:rPr>
          <w:spacing w:val="-8"/>
          <w:w w:val="110"/>
          <w:sz w:val="16"/>
        </w:rPr>
        <w:t> </w:t>
      </w:r>
      <w:r>
        <w:rPr>
          <w:w w:val="110"/>
          <w:sz w:val="16"/>
        </w:rPr>
        <w:t>cabo</w:t>
      </w:r>
      <w:r>
        <w:rPr>
          <w:spacing w:val="-8"/>
          <w:w w:val="110"/>
          <w:sz w:val="16"/>
        </w:rPr>
        <w:t> </w:t>
      </w:r>
      <w:r>
        <w:rPr>
          <w:w w:val="110"/>
          <w:sz w:val="16"/>
        </w:rPr>
        <w:t>el</w:t>
      </w:r>
      <w:r>
        <w:rPr>
          <w:spacing w:val="-8"/>
          <w:w w:val="110"/>
          <w:sz w:val="16"/>
        </w:rPr>
        <w:t> </w:t>
      </w:r>
      <w:r>
        <w:rPr>
          <w:w w:val="110"/>
          <w:sz w:val="16"/>
        </w:rPr>
        <w:t>autor</w:t>
      </w:r>
      <w:r>
        <w:rPr>
          <w:spacing w:val="-8"/>
          <w:w w:val="110"/>
          <w:sz w:val="16"/>
        </w:rPr>
        <w:t> </w:t>
      </w:r>
      <w:r>
        <w:rPr>
          <w:w w:val="110"/>
          <w:sz w:val="16"/>
        </w:rPr>
        <w:t>sobre</w:t>
      </w:r>
      <w:r>
        <w:rPr>
          <w:spacing w:val="-8"/>
          <w:w w:val="110"/>
          <w:sz w:val="16"/>
        </w:rPr>
        <w:t> </w:t>
      </w:r>
      <w:r>
        <w:rPr>
          <w:w w:val="110"/>
          <w:sz w:val="16"/>
        </w:rPr>
        <w:t>la</w:t>
      </w:r>
      <w:r>
        <w:rPr>
          <w:spacing w:val="-8"/>
          <w:w w:val="110"/>
          <w:sz w:val="16"/>
        </w:rPr>
        <w:t> </w:t>
      </w:r>
      <w:r>
        <w:rPr>
          <w:w w:val="110"/>
          <w:sz w:val="16"/>
        </w:rPr>
        <w:t>cultura</w:t>
      </w:r>
      <w:r>
        <w:rPr>
          <w:spacing w:val="-8"/>
          <w:w w:val="110"/>
          <w:sz w:val="16"/>
        </w:rPr>
        <w:t> </w:t>
      </w:r>
      <w:r>
        <w:rPr>
          <w:w w:val="110"/>
          <w:sz w:val="16"/>
        </w:rPr>
        <w:t>política</w:t>
      </w:r>
      <w:r>
        <w:rPr>
          <w:spacing w:val="-8"/>
          <w:w w:val="110"/>
          <w:sz w:val="16"/>
        </w:rPr>
        <w:t> </w:t>
      </w:r>
      <w:r>
        <w:rPr>
          <w:w w:val="110"/>
          <w:sz w:val="16"/>
        </w:rPr>
        <w:t>y</w:t>
      </w:r>
      <w:r>
        <w:rPr>
          <w:spacing w:val="-8"/>
          <w:w w:val="110"/>
          <w:sz w:val="16"/>
        </w:rPr>
        <w:t> </w:t>
      </w:r>
      <w:r>
        <w:rPr>
          <w:w w:val="110"/>
          <w:sz w:val="16"/>
        </w:rPr>
        <w:t>los</w:t>
      </w:r>
      <w:r>
        <w:rPr>
          <w:spacing w:val="-8"/>
          <w:w w:val="110"/>
          <w:sz w:val="16"/>
        </w:rPr>
        <w:t> </w:t>
      </w:r>
      <w:r>
        <w:rPr>
          <w:w w:val="110"/>
          <w:sz w:val="16"/>
        </w:rPr>
        <w:t>procesos</w:t>
      </w:r>
      <w:r>
        <w:rPr>
          <w:spacing w:val="-8"/>
          <w:w w:val="110"/>
          <w:sz w:val="16"/>
        </w:rPr>
        <w:t> </w:t>
      </w:r>
      <w:r>
        <w:rPr>
          <w:w w:val="110"/>
          <w:sz w:val="16"/>
        </w:rPr>
        <w:t>de</w:t>
      </w:r>
      <w:r>
        <w:rPr>
          <w:spacing w:val="-8"/>
          <w:w w:val="110"/>
          <w:sz w:val="16"/>
        </w:rPr>
        <w:t> </w:t>
      </w:r>
      <w:r>
        <w:rPr>
          <w:w w:val="110"/>
          <w:sz w:val="16"/>
        </w:rPr>
        <w:t>legitimación ideológica en la sociedad norteamericana, algunos de cuyos resultados parciales</w:t>
      </w:r>
      <w:r>
        <w:rPr>
          <w:spacing w:val="29"/>
          <w:w w:val="110"/>
          <w:sz w:val="16"/>
        </w:rPr>
        <w:t> </w:t>
      </w:r>
      <w:r>
        <w:rPr>
          <w:w w:val="110"/>
          <w:sz w:val="16"/>
        </w:rPr>
        <w:t>se</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7" w:firstLine="396"/>
        <w:jc w:val="both"/>
      </w:pPr>
      <w:r>
        <w:rPr>
          <w:w w:val="130"/>
        </w:rPr>
        <w:t>a </w:t>
      </w:r>
      <w:r>
        <w:rPr>
          <w:w w:val="110"/>
        </w:rPr>
        <w:t>partir de ese enfoque, el antinorteamericanismo se comprende como</w:t>
      </w:r>
      <w:r>
        <w:rPr>
          <w:spacing w:val="-4"/>
          <w:w w:val="110"/>
        </w:rPr>
        <w:t> </w:t>
      </w:r>
      <w:r>
        <w:rPr>
          <w:w w:val="110"/>
        </w:rPr>
        <w:t>una</w:t>
      </w:r>
      <w:r>
        <w:rPr>
          <w:spacing w:val="-4"/>
          <w:w w:val="110"/>
        </w:rPr>
        <w:t> </w:t>
      </w:r>
      <w:r>
        <w:rPr>
          <w:w w:val="110"/>
        </w:rPr>
        <w:t>construcción</w:t>
      </w:r>
      <w:r>
        <w:rPr>
          <w:spacing w:val="-4"/>
          <w:w w:val="110"/>
        </w:rPr>
        <w:t> </w:t>
      </w:r>
      <w:r>
        <w:rPr>
          <w:w w:val="110"/>
        </w:rPr>
        <w:t>ideológica</w:t>
      </w:r>
      <w:r>
        <w:rPr>
          <w:spacing w:val="-4"/>
          <w:w w:val="110"/>
        </w:rPr>
        <w:t> </w:t>
      </w:r>
      <w:r>
        <w:rPr>
          <w:w w:val="110"/>
        </w:rPr>
        <w:t>que</w:t>
      </w:r>
      <w:r>
        <w:rPr>
          <w:spacing w:val="-4"/>
          <w:w w:val="110"/>
        </w:rPr>
        <w:t> </w:t>
      </w:r>
      <w:r>
        <w:rPr>
          <w:w w:val="110"/>
        </w:rPr>
        <w:t>–sin</w:t>
      </w:r>
      <w:r>
        <w:rPr>
          <w:spacing w:val="-4"/>
          <w:w w:val="110"/>
        </w:rPr>
        <w:t> </w:t>
      </w:r>
      <w:r>
        <w:rPr>
          <w:w w:val="110"/>
        </w:rPr>
        <w:t>desconocer</w:t>
      </w:r>
      <w:r>
        <w:rPr>
          <w:spacing w:val="-4"/>
          <w:w w:val="110"/>
        </w:rPr>
        <w:t> </w:t>
      </w:r>
      <w:r>
        <w:rPr>
          <w:w w:val="110"/>
        </w:rPr>
        <w:t>sus</w:t>
      </w:r>
      <w:r>
        <w:rPr>
          <w:spacing w:val="-4"/>
          <w:w w:val="110"/>
        </w:rPr>
        <w:t> </w:t>
      </w:r>
      <w:r>
        <w:rPr>
          <w:w w:val="110"/>
        </w:rPr>
        <w:t>raíces</w:t>
      </w:r>
      <w:r>
        <w:rPr>
          <w:spacing w:val="-4"/>
          <w:w w:val="110"/>
        </w:rPr>
        <w:t> </w:t>
      </w:r>
      <w:r>
        <w:rPr>
          <w:w w:val="110"/>
        </w:rPr>
        <w:t>y</w:t>
      </w:r>
      <w:r>
        <w:rPr>
          <w:spacing w:val="-4"/>
          <w:w w:val="110"/>
        </w:rPr>
        <w:t> </w:t>
      </w:r>
      <w:r>
        <w:rPr>
          <w:w w:val="110"/>
        </w:rPr>
        <w:t>ex- presiones anteriores– adquiere una acentuada y manipulada presen- cia en el discurso político gubernamental y las formulaciones estraté- gicas estadounidenses a partir de los atentados terroristas del 11 de septiembre</w:t>
      </w:r>
      <w:r>
        <w:rPr>
          <w:spacing w:val="-6"/>
          <w:w w:val="110"/>
        </w:rPr>
        <w:t> </w:t>
      </w:r>
      <w:r>
        <w:rPr>
          <w:w w:val="110"/>
        </w:rPr>
        <w:t>de</w:t>
      </w:r>
      <w:r>
        <w:rPr>
          <w:spacing w:val="-6"/>
          <w:w w:val="110"/>
        </w:rPr>
        <w:t> </w:t>
      </w:r>
      <w:r>
        <w:rPr>
          <w:w w:val="110"/>
        </w:rPr>
        <w:t>2001,</w:t>
      </w:r>
      <w:r>
        <w:rPr>
          <w:spacing w:val="-6"/>
          <w:w w:val="110"/>
        </w:rPr>
        <w:t> </w:t>
      </w:r>
      <w:r>
        <w:rPr>
          <w:w w:val="110"/>
        </w:rPr>
        <w:t>al</w:t>
      </w:r>
      <w:r>
        <w:rPr>
          <w:spacing w:val="-6"/>
          <w:w w:val="110"/>
        </w:rPr>
        <w:t> </w:t>
      </w:r>
      <w:r>
        <w:rPr>
          <w:w w:val="110"/>
        </w:rPr>
        <w:t>justificarse</w:t>
      </w:r>
      <w:r>
        <w:rPr>
          <w:spacing w:val="-6"/>
          <w:w w:val="110"/>
        </w:rPr>
        <w:t> </w:t>
      </w:r>
      <w:r>
        <w:rPr>
          <w:w w:val="110"/>
        </w:rPr>
        <w:t>la</w:t>
      </w:r>
      <w:r>
        <w:rPr>
          <w:spacing w:val="-6"/>
          <w:w w:val="110"/>
        </w:rPr>
        <w:t> </w:t>
      </w:r>
      <w:r>
        <w:rPr>
          <w:w w:val="110"/>
        </w:rPr>
        <w:t>denominada</w:t>
      </w:r>
      <w:r>
        <w:rPr>
          <w:spacing w:val="-6"/>
          <w:w w:val="110"/>
        </w:rPr>
        <w:t> </w:t>
      </w:r>
      <w:r>
        <w:rPr>
          <w:w w:val="110"/>
        </w:rPr>
        <w:t>guerra</w:t>
      </w:r>
      <w:r>
        <w:rPr>
          <w:spacing w:val="-6"/>
          <w:w w:val="110"/>
        </w:rPr>
        <w:t> </w:t>
      </w:r>
      <w:r>
        <w:rPr>
          <w:w w:val="110"/>
        </w:rPr>
        <w:t>global</w:t>
      </w:r>
      <w:r>
        <w:rPr>
          <w:spacing w:val="-6"/>
          <w:w w:val="110"/>
        </w:rPr>
        <w:t> </w:t>
      </w:r>
      <w:r>
        <w:rPr>
          <w:w w:val="110"/>
        </w:rPr>
        <w:t>contra el terrorismo en términos del enfrentamiento a acciones antinortea- mericanas. se aprecia su funcionalidad desde la administración de George </w:t>
      </w:r>
      <w:r>
        <w:rPr>
          <w:spacing w:val="-11"/>
          <w:w w:val="110"/>
        </w:rPr>
        <w:t>W. </w:t>
      </w:r>
      <w:r>
        <w:rPr>
          <w:w w:val="110"/>
        </w:rPr>
        <w:t>bush hasta la de barack obama, como parte del esfuerzo retórico</w:t>
      </w:r>
      <w:r>
        <w:rPr>
          <w:spacing w:val="-5"/>
          <w:w w:val="110"/>
        </w:rPr>
        <w:t> </w:t>
      </w:r>
      <w:r>
        <w:rPr>
          <w:w w:val="110"/>
        </w:rPr>
        <w:t>y</w:t>
      </w:r>
      <w:r>
        <w:rPr>
          <w:spacing w:val="-5"/>
          <w:w w:val="110"/>
        </w:rPr>
        <w:t> </w:t>
      </w:r>
      <w:r>
        <w:rPr>
          <w:w w:val="110"/>
        </w:rPr>
        <w:t>mediático</w:t>
      </w:r>
      <w:r>
        <w:rPr>
          <w:spacing w:val="-5"/>
          <w:w w:val="110"/>
        </w:rPr>
        <w:t> </w:t>
      </w:r>
      <w:r>
        <w:rPr>
          <w:w w:val="110"/>
        </w:rPr>
        <w:t>reciente</w:t>
      </w:r>
      <w:r>
        <w:rPr>
          <w:spacing w:val="-5"/>
          <w:w w:val="110"/>
        </w:rPr>
        <w:t> </w:t>
      </w:r>
      <w:r>
        <w:rPr>
          <w:w w:val="110"/>
        </w:rPr>
        <w:t>que</w:t>
      </w:r>
      <w:r>
        <w:rPr>
          <w:spacing w:val="-5"/>
          <w:w w:val="110"/>
        </w:rPr>
        <w:t> </w:t>
      </w:r>
      <w:r>
        <w:rPr>
          <w:w w:val="110"/>
        </w:rPr>
        <w:t>concibe</w:t>
      </w:r>
      <w:r>
        <w:rPr>
          <w:spacing w:val="-5"/>
          <w:w w:val="110"/>
        </w:rPr>
        <w:t> </w:t>
      </w:r>
      <w:r>
        <w:rPr>
          <w:w w:val="110"/>
        </w:rPr>
        <w:t>y</w:t>
      </w:r>
      <w:r>
        <w:rPr>
          <w:spacing w:val="-5"/>
          <w:w w:val="110"/>
        </w:rPr>
        <w:t> </w:t>
      </w:r>
      <w:r>
        <w:rPr>
          <w:w w:val="110"/>
        </w:rPr>
        <w:t>presenta</w:t>
      </w:r>
      <w:r>
        <w:rPr>
          <w:spacing w:val="-5"/>
          <w:w w:val="110"/>
        </w:rPr>
        <w:t> </w:t>
      </w:r>
      <w:r>
        <w:rPr>
          <w:w w:val="110"/>
        </w:rPr>
        <w:t>la</w:t>
      </w:r>
      <w:r>
        <w:rPr>
          <w:spacing w:val="-5"/>
          <w:w w:val="110"/>
        </w:rPr>
        <w:t> </w:t>
      </w:r>
      <w:r>
        <w:rPr>
          <w:w w:val="110"/>
        </w:rPr>
        <w:t>seguridad</w:t>
      </w:r>
      <w:r>
        <w:rPr>
          <w:spacing w:val="-5"/>
          <w:w w:val="110"/>
        </w:rPr>
        <w:t> </w:t>
      </w:r>
      <w:r>
        <w:rPr>
          <w:w w:val="110"/>
        </w:rPr>
        <w:t>de</w:t>
      </w:r>
      <w:r>
        <w:rPr>
          <w:spacing w:val="-5"/>
          <w:w w:val="110"/>
        </w:rPr>
        <w:t> </w:t>
      </w:r>
      <w:r>
        <w:rPr>
          <w:w w:val="110"/>
        </w:rPr>
        <w:t>la nación como una función de la hegemonía (puesto que no se utiliza en documentos o discursos gubernamentales este último concepto). En </w:t>
      </w:r>
      <w:r>
        <w:rPr>
          <w:spacing w:val="-4"/>
          <w:w w:val="110"/>
        </w:rPr>
        <w:t>rigor, </w:t>
      </w:r>
      <w:r>
        <w:rPr>
          <w:w w:val="110"/>
        </w:rPr>
        <w:t>se trata de una perspectiva con antecedentes históricos que da- tan del siglo </w:t>
      </w:r>
      <w:r>
        <w:rPr>
          <w:w w:val="130"/>
        </w:rPr>
        <w:t>xix, </w:t>
      </w:r>
      <w:r>
        <w:rPr>
          <w:w w:val="110"/>
        </w:rPr>
        <w:t>que se formalizan en el contexto de la segunda Gue- rra Mundial y con posterioridad a ésta, al calor de la Guerra Fría y del macarthismo. según hemos explicado con anterioridad y reiteración (Hernández, 2007, 2010, 2012), ello se expresa en el siglo </w:t>
      </w:r>
      <w:r>
        <w:rPr>
          <w:w w:val="130"/>
        </w:rPr>
        <w:t>xx </w:t>
      </w:r>
      <w:r>
        <w:rPr>
          <w:w w:val="110"/>
        </w:rPr>
        <w:t>tanto en el plano doméstico (legitimando consenso interno), como internacio- nal (en tanto plataforma de política exterior). sus raíces ideológicas se hallan en la cultura política y el proceso histórico de desarrollo capi- talista en Estados unidos. su contenido se plasma de diversos modos, sobre todo en las percepciones de amenaza que conlleva, propiciando la conflictividad internacional, como sucede con notoriedad en el pre- sente, bajo la segunda etapa de gobierno de  </w:t>
      </w:r>
      <w:r>
        <w:rPr>
          <w:spacing w:val="18"/>
          <w:w w:val="110"/>
        </w:rPr>
        <w:t> </w:t>
      </w:r>
      <w:r>
        <w:rPr>
          <w:w w:val="110"/>
        </w:rPr>
        <w:t>obama.</w:t>
      </w:r>
    </w:p>
    <w:p>
      <w:pPr>
        <w:pStyle w:val="BodyText"/>
        <w:spacing w:line="252" w:lineRule="auto"/>
        <w:ind w:left="330" w:right="117" w:firstLine="396"/>
        <w:jc w:val="both"/>
      </w:pPr>
      <w:r>
        <w:rPr>
          <w:w w:val="110"/>
        </w:rPr>
        <w:t>Expresado con palabras que no son nuestras, “lo que prevalece</w:t>
      </w:r>
      <w:r>
        <w:rPr>
          <w:spacing w:val="-8"/>
          <w:w w:val="110"/>
        </w:rPr>
        <w:t> </w:t>
      </w:r>
      <w:r>
        <w:rPr>
          <w:w w:val="110"/>
        </w:rPr>
        <w:t>de manera contundente sobre los escombros de la Guerra Fría es la</w:t>
      </w:r>
      <w:r>
        <w:rPr>
          <w:spacing w:val="-23"/>
          <w:w w:val="110"/>
        </w:rPr>
        <w:t> </w:t>
      </w:r>
      <w:r>
        <w:rPr>
          <w:w w:val="110"/>
        </w:rPr>
        <w:t>hege- monía estadounidense, la estrategia para reproducir las condiciones de su liderazgo mundial y la supremacía militar que le sirve de </w:t>
      </w:r>
      <w:r>
        <w:rPr>
          <w:spacing w:val="-3"/>
          <w:w w:val="110"/>
        </w:rPr>
        <w:t>sopor- </w:t>
      </w:r>
      <w:r>
        <w:rPr>
          <w:w w:val="110"/>
        </w:rPr>
        <w:t>te. desde la teoría del poder esto remite a la clásica representación del </w:t>
      </w:r>
      <w:r>
        <w:rPr>
          <w:w w:val="109"/>
        </w:rPr>
        <w:t>consenso</w:t>
      </w:r>
      <w:r>
        <w:rPr/>
        <w:t> </w:t>
      </w:r>
      <w:r>
        <w:rPr>
          <w:spacing w:val="-3"/>
        </w:rPr>
        <w:t> </w:t>
      </w:r>
      <w:r>
        <w:rPr>
          <w:w w:val="110"/>
        </w:rPr>
        <w:t>ideológico</w:t>
      </w:r>
      <w:r>
        <w:rPr/>
        <w:t> </w:t>
      </w:r>
      <w:r>
        <w:rPr>
          <w:spacing w:val="-3"/>
        </w:rPr>
        <w:t> </w:t>
      </w:r>
      <w:r>
        <w:rPr>
          <w:w w:val="106"/>
        </w:rPr>
        <w:t>revestido</w:t>
      </w:r>
      <w:r>
        <w:rPr/>
        <w:t> </w:t>
      </w:r>
      <w:r>
        <w:rPr>
          <w:spacing w:val="-3"/>
        </w:rPr>
        <w:t> </w:t>
      </w:r>
      <w:r>
        <w:rPr>
          <w:w w:val="107"/>
        </w:rPr>
        <w:t>de</w:t>
      </w:r>
      <w:r>
        <w:rPr/>
        <w:t> </w:t>
      </w:r>
      <w:r>
        <w:rPr>
          <w:spacing w:val="-3"/>
        </w:rPr>
        <w:t> </w:t>
      </w:r>
      <w:r>
        <w:rPr>
          <w:w w:val="112"/>
        </w:rPr>
        <w:t>coerción.</w:t>
      </w:r>
      <w:r>
        <w:rPr/>
        <w:t> </w:t>
      </w:r>
      <w:r>
        <w:rPr>
          <w:spacing w:val="-3"/>
        </w:rPr>
        <w:t> </w:t>
      </w:r>
      <w:r>
        <w:rPr>
          <w:w w:val="243"/>
        </w:rPr>
        <w:t>l</w:t>
      </w:r>
      <w:r>
        <w:rPr>
          <w:w w:val="112"/>
        </w:rPr>
        <w:t>a</w:t>
      </w:r>
      <w:r>
        <w:rPr/>
        <w:t> </w:t>
      </w:r>
      <w:r>
        <w:rPr>
          <w:spacing w:val="-3"/>
        </w:rPr>
        <w:t> </w:t>
      </w:r>
      <w:r>
        <w:rPr>
          <w:w w:val="110"/>
        </w:rPr>
        <w:t>recuperación</w:t>
      </w:r>
      <w:r>
        <w:rPr/>
        <w:t> </w:t>
      </w:r>
      <w:r>
        <w:rPr>
          <w:spacing w:val="-3"/>
        </w:rPr>
        <w:t> </w:t>
      </w:r>
      <w:r>
        <w:rPr>
          <w:w w:val="107"/>
        </w:rPr>
        <w:t>de</w:t>
      </w:r>
      <w:r>
        <w:rPr/>
        <w:t> </w:t>
      </w:r>
      <w:r>
        <w:rPr>
          <w:spacing w:val="-3"/>
        </w:rPr>
        <w:t> </w:t>
      </w:r>
      <w:r>
        <w:rPr>
          <w:w w:val="107"/>
        </w:rPr>
        <w:t>esta </w:t>
      </w:r>
      <w:r>
        <w:rPr>
          <w:w w:val="110"/>
        </w:rPr>
        <w:t>articulación conceptual, de filiación gramsciana, ayuda a ordenar la comprensión acerca de cómo se ejerce el poder en la actual mundia- lización […]. de cualquier modo, esa capacidad hegemónica no cons- tituye un atributo inmutable del poderío estadounidense, empezando por esa capacidad para producir y reproducir ideológicamente una visión de seguridad” (salinas, 2012:</w:t>
      </w:r>
      <w:r>
        <w:rPr>
          <w:spacing w:val="17"/>
          <w:w w:val="110"/>
        </w:rPr>
        <w:t> </w:t>
      </w:r>
      <w:r>
        <w:rPr>
          <w:w w:val="110"/>
        </w:rPr>
        <w:t>366).</w:t>
      </w:r>
    </w:p>
    <w:p>
      <w:pPr>
        <w:pStyle w:val="BodyText"/>
        <w:spacing w:line="252" w:lineRule="auto"/>
        <w:ind w:left="330" w:right="117" w:firstLine="720"/>
        <w:jc w:val="both"/>
      </w:pPr>
      <w:r>
        <w:rPr>
          <w:w w:val="110"/>
        </w:rPr>
        <w:t>reflexionar en torno a la lógica que explica la estructuración    y funcionalidad del antinorteamericanismo –fundamentalmente en su expresión hacia el interior de Estados unidos– es el propósito  </w:t>
      </w:r>
      <w:r>
        <w:rPr>
          <w:spacing w:val="5"/>
          <w:w w:val="110"/>
        </w:rPr>
        <w:t> </w:t>
      </w:r>
      <w:r>
        <w:rPr>
          <w:w w:val="110"/>
        </w:rPr>
        <w:t>central</w:t>
      </w:r>
    </w:p>
    <w:p>
      <w:pPr>
        <w:pStyle w:val="BodyText"/>
        <w:spacing w:before="1"/>
        <w:rPr>
          <w:sz w:val="23"/>
        </w:rPr>
      </w:pPr>
      <w:r>
        <w:rPr/>
        <w:pict>
          <v:line style="position:absolute;mso-position-horizontal-relative:page;mso-position-vertical-relative:paragraph;z-index:7312;mso-wrap-distance-left:0;mso-wrap-distance-right:0" from="76.5354pt,15.767232pt" to="104.8814pt,15.767232pt" stroked="true" strokeweight=".5pt" strokecolor="#000000">
            <w10:wrap type="topAndBottom"/>
          </v:line>
        </w:pict>
      </w:r>
    </w:p>
    <w:p>
      <w:pPr>
        <w:spacing w:line="242" w:lineRule="auto" w:before="89"/>
        <w:ind w:left="330" w:right="118" w:firstLine="0"/>
        <w:jc w:val="both"/>
        <w:rPr>
          <w:sz w:val="16"/>
        </w:rPr>
      </w:pPr>
      <w:r>
        <w:rPr>
          <w:w w:val="110"/>
          <w:sz w:val="16"/>
        </w:rPr>
        <w:t>han presentado al Grupo de </w:t>
      </w:r>
      <w:r>
        <w:rPr>
          <w:spacing w:val="-3"/>
          <w:w w:val="110"/>
          <w:sz w:val="16"/>
        </w:rPr>
        <w:t>trabajo </w:t>
      </w:r>
      <w:r>
        <w:rPr>
          <w:w w:val="110"/>
          <w:sz w:val="16"/>
        </w:rPr>
        <w:t>de </w:t>
      </w:r>
      <w:r>
        <w:rPr>
          <w:w w:val="125"/>
          <w:sz w:val="16"/>
        </w:rPr>
        <w:t>ClaCso </w:t>
      </w:r>
      <w:r>
        <w:rPr>
          <w:w w:val="110"/>
          <w:sz w:val="16"/>
        </w:rPr>
        <w:t>“Estudios sobre Estados unidos” y dado</w:t>
      </w:r>
      <w:r>
        <w:rPr>
          <w:spacing w:val="-9"/>
          <w:w w:val="110"/>
          <w:sz w:val="16"/>
        </w:rPr>
        <w:t> </w:t>
      </w:r>
      <w:r>
        <w:rPr>
          <w:w w:val="110"/>
          <w:sz w:val="16"/>
        </w:rPr>
        <w:t>lugar</w:t>
      </w:r>
      <w:r>
        <w:rPr>
          <w:spacing w:val="-9"/>
          <w:w w:val="110"/>
          <w:sz w:val="16"/>
        </w:rPr>
        <w:t> </w:t>
      </w:r>
      <w:r>
        <w:rPr>
          <w:w w:val="110"/>
          <w:sz w:val="16"/>
        </w:rPr>
        <w:t>a</w:t>
      </w:r>
      <w:r>
        <w:rPr>
          <w:spacing w:val="-9"/>
          <w:w w:val="110"/>
          <w:sz w:val="16"/>
        </w:rPr>
        <w:t> </w:t>
      </w:r>
      <w:r>
        <w:rPr>
          <w:w w:val="110"/>
          <w:sz w:val="16"/>
        </w:rPr>
        <w:t>las</w:t>
      </w:r>
      <w:r>
        <w:rPr>
          <w:spacing w:val="-9"/>
          <w:w w:val="110"/>
          <w:sz w:val="16"/>
        </w:rPr>
        <w:t> </w:t>
      </w:r>
      <w:r>
        <w:rPr>
          <w:w w:val="110"/>
          <w:sz w:val="16"/>
        </w:rPr>
        <w:t>citadas</w:t>
      </w:r>
      <w:r>
        <w:rPr>
          <w:spacing w:val="-9"/>
          <w:w w:val="110"/>
          <w:sz w:val="16"/>
        </w:rPr>
        <w:t> </w:t>
      </w:r>
      <w:r>
        <w:rPr>
          <w:w w:val="110"/>
          <w:sz w:val="16"/>
        </w:rPr>
        <w:t>publicaciones,</w:t>
      </w:r>
      <w:r>
        <w:rPr>
          <w:spacing w:val="-9"/>
          <w:w w:val="110"/>
          <w:sz w:val="16"/>
        </w:rPr>
        <w:t> </w:t>
      </w:r>
      <w:r>
        <w:rPr>
          <w:w w:val="110"/>
          <w:sz w:val="16"/>
        </w:rPr>
        <w:t>que</w:t>
      </w:r>
      <w:r>
        <w:rPr>
          <w:spacing w:val="-9"/>
          <w:w w:val="110"/>
          <w:sz w:val="16"/>
        </w:rPr>
        <w:t> </w:t>
      </w:r>
      <w:r>
        <w:rPr>
          <w:w w:val="110"/>
          <w:sz w:val="16"/>
        </w:rPr>
        <w:t>aparecen</w:t>
      </w:r>
      <w:r>
        <w:rPr>
          <w:spacing w:val="-9"/>
          <w:w w:val="110"/>
          <w:sz w:val="16"/>
        </w:rPr>
        <w:t> </w:t>
      </w:r>
      <w:r>
        <w:rPr>
          <w:w w:val="110"/>
          <w:sz w:val="16"/>
        </w:rPr>
        <w:t>adecuadamente</w:t>
      </w:r>
      <w:r>
        <w:rPr>
          <w:spacing w:val="-9"/>
          <w:w w:val="110"/>
          <w:sz w:val="16"/>
        </w:rPr>
        <w:t> </w:t>
      </w:r>
      <w:r>
        <w:rPr>
          <w:w w:val="110"/>
          <w:sz w:val="16"/>
        </w:rPr>
        <w:t>reseñadas</w:t>
      </w:r>
      <w:r>
        <w:rPr>
          <w:spacing w:val="-9"/>
          <w:w w:val="110"/>
          <w:sz w:val="16"/>
        </w:rPr>
        <w:t> </w:t>
      </w:r>
      <w:r>
        <w:rPr>
          <w:w w:val="110"/>
          <w:sz w:val="16"/>
        </w:rPr>
        <w:t>en</w:t>
      </w:r>
      <w:r>
        <w:rPr>
          <w:spacing w:val="-9"/>
          <w:w w:val="110"/>
          <w:sz w:val="16"/>
        </w:rPr>
        <w:t> </w:t>
      </w:r>
      <w:r>
        <w:rPr>
          <w:w w:val="110"/>
          <w:sz w:val="16"/>
        </w:rPr>
        <w:t>la bibliografía consultada.</w:t>
      </w:r>
    </w:p>
    <w:p>
      <w:pPr>
        <w:spacing w:after="0" w:line="242" w:lineRule="auto"/>
        <w:jc w:val="both"/>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de este escrito. Con ello se pretende exponer una lectura del mismo  no en términos anecdóticos más cercanos al ejercicio periodístico o   al análisis coyuntural, también útiles, sino en términos histórico-es- tructurales. El trabajo examina los principales ejes que estructuran el fenómeno (seguridad nacional, identidad cultural, xenofobia, nativis- mo), atendiendo a las argumentaciones con las que se legitiman las cuestiones a defender o </w:t>
      </w:r>
      <w:r>
        <w:rPr>
          <w:spacing w:val="-3"/>
          <w:w w:val="110"/>
        </w:rPr>
        <w:t>proteger, </w:t>
      </w:r>
      <w:r>
        <w:rPr>
          <w:w w:val="110"/>
        </w:rPr>
        <w:t>y las acciones que las amenazan o ponen en peligro, dando lugar con ello a prácticas como las antiterro- ristas y antiinmigrantes, bajo sello gubernamental y respaldo ideoló- gico a nivel</w:t>
      </w:r>
      <w:r>
        <w:rPr>
          <w:spacing w:val="45"/>
          <w:w w:val="110"/>
        </w:rPr>
        <w:t> </w:t>
      </w:r>
      <w:r>
        <w:rPr>
          <w:w w:val="110"/>
        </w:rPr>
        <w:t>social.</w:t>
      </w:r>
    </w:p>
    <w:p>
      <w:pPr>
        <w:pStyle w:val="BodyText"/>
        <w:spacing w:line="252" w:lineRule="auto"/>
        <w:ind w:left="100" w:right="328" w:firstLine="396"/>
        <w:jc w:val="both"/>
      </w:pPr>
      <w:r>
        <w:rPr>
          <w:w w:val="110"/>
        </w:rPr>
        <w:t>El</w:t>
      </w:r>
      <w:r>
        <w:rPr>
          <w:spacing w:val="-15"/>
          <w:w w:val="110"/>
        </w:rPr>
        <w:t> </w:t>
      </w:r>
      <w:r>
        <w:rPr>
          <w:w w:val="110"/>
        </w:rPr>
        <w:t>análisis,</w:t>
      </w:r>
      <w:r>
        <w:rPr>
          <w:spacing w:val="-15"/>
          <w:w w:val="110"/>
        </w:rPr>
        <w:t> </w:t>
      </w:r>
      <w:r>
        <w:rPr>
          <w:w w:val="110"/>
        </w:rPr>
        <w:t>desde</w:t>
      </w:r>
      <w:r>
        <w:rPr>
          <w:spacing w:val="-15"/>
          <w:w w:val="110"/>
        </w:rPr>
        <w:t> </w:t>
      </w:r>
      <w:r>
        <w:rPr>
          <w:w w:val="110"/>
        </w:rPr>
        <w:t>luego,</w:t>
      </w:r>
      <w:r>
        <w:rPr>
          <w:spacing w:val="-15"/>
          <w:w w:val="110"/>
        </w:rPr>
        <w:t> </w:t>
      </w:r>
      <w:r>
        <w:rPr>
          <w:w w:val="110"/>
        </w:rPr>
        <w:t>no</w:t>
      </w:r>
      <w:r>
        <w:rPr>
          <w:spacing w:val="-15"/>
          <w:w w:val="110"/>
        </w:rPr>
        <w:t> </w:t>
      </w:r>
      <w:r>
        <w:rPr>
          <w:w w:val="110"/>
        </w:rPr>
        <w:t>es</w:t>
      </w:r>
      <w:r>
        <w:rPr>
          <w:spacing w:val="-15"/>
          <w:w w:val="110"/>
        </w:rPr>
        <w:t> </w:t>
      </w:r>
      <w:r>
        <w:rPr>
          <w:w w:val="110"/>
        </w:rPr>
        <w:t>exhaustivo</w:t>
      </w:r>
      <w:r>
        <w:rPr>
          <w:spacing w:val="-15"/>
          <w:w w:val="110"/>
        </w:rPr>
        <w:t> </w:t>
      </w:r>
      <w:r>
        <w:rPr>
          <w:w w:val="110"/>
        </w:rPr>
        <w:t>ni</w:t>
      </w:r>
      <w:r>
        <w:rPr>
          <w:spacing w:val="-15"/>
          <w:w w:val="110"/>
        </w:rPr>
        <w:t> </w:t>
      </w:r>
      <w:r>
        <w:rPr>
          <w:w w:val="110"/>
        </w:rPr>
        <w:t>conclusivo.</w:t>
      </w:r>
      <w:r>
        <w:rPr>
          <w:spacing w:val="-15"/>
          <w:w w:val="110"/>
        </w:rPr>
        <w:t> </w:t>
      </w:r>
      <w:r>
        <w:rPr>
          <w:w w:val="110"/>
        </w:rPr>
        <w:t>apenas</w:t>
      </w:r>
      <w:r>
        <w:rPr>
          <w:spacing w:val="-15"/>
          <w:w w:val="110"/>
        </w:rPr>
        <w:t> </w:t>
      </w:r>
      <w:r>
        <w:rPr>
          <w:w w:val="110"/>
        </w:rPr>
        <w:t>pro- pone</w:t>
      </w:r>
      <w:r>
        <w:rPr>
          <w:spacing w:val="-30"/>
          <w:w w:val="110"/>
        </w:rPr>
        <w:t> </w:t>
      </w:r>
      <w:r>
        <w:rPr>
          <w:w w:val="110"/>
        </w:rPr>
        <w:t>una</w:t>
      </w:r>
      <w:r>
        <w:rPr>
          <w:spacing w:val="-30"/>
          <w:w w:val="110"/>
        </w:rPr>
        <w:t> </w:t>
      </w:r>
      <w:r>
        <w:rPr>
          <w:w w:val="110"/>
        </w:rPr>
        <w:t>lectura</w:t>
      </w:r>
      <w:r>
        <w:rPr>
          <w:spacing w:val="-30"/>
          <w:w w:val="110"/>
        </w:rPr>
        <w:t> </w:t>
      </w:r>
      <w:r>
        <w:rPr>
          <w:w w:val="110"/>
        </w:rPr>
        <w:t>que</w:t>
      </w:r>
      <w:r>
        <w:rPr>
          <w:spacing w:val="-30"/>
          <w:w w:val="110"/>
        </w:rPr>
        <w:t> </w:t>
      </w:r>
      <w:r>
        <w:rPr>
          <w:w w:val="110"/>
        </w:rPr>
        <w:t>interpreta</w:t>
      </w:r>
      <w:r>
        <w:rPr>
          <w:spacing w:val="-30"/>
          <w:w w:val="110"/>
        </w:rPr>
        <w:t> </w:t>
      </w:r>
      <w:r>
        <w:rPr>
          <w:w w:val="110"/>
        </w:rPr>
        <w:t>el</w:t>
      </w:r>
      <w:r>
        <w:rPr>
          <w:spacing w:val="-30"/>
          <w:w w:val="110"/>
        </w:rPr>
        <w:t> </w:t>
      </w:r>
      <w:r>
        <w:rPr>
          <w:w w:val="110"/>
        </w:rPr>
        <w:t>antinorteamericanismo</w:t>
      </w:r>
      <w:r>
        <w:rPr>
          <w:spacing w:val="-30"/>
          <w:w w:val="110"/>
        </w:rPr>
        <w:t> </w:t>
      </w:r>
      <w:r>
        <w:rPr>
          <w:w w:val="110"/>
        </w:rPr>
        <w:t>como</w:t>
      </w:r>
      <w:r>
        <w:rPr>
          <w:spacing w:val="-30"/>
          <w:w w:val="110"/>
        </w:rPr>
        <w:t> </w:t>
      </w:r>
      <w:r>
        <w:rPr>
          <w:w w:val="110"/>
        </w:rPr>
        <w:t>produc- to</w:t>
      </w:r>
      <w:r>
        <w:rPr>
          <w:spacing w:val="-7"/>
          <w:w w:val="110"/>
        </w:rPr>
        <w:t> </w:t>
      </w:r>
      <w:r>
        <w:rPr>
          <w:w w:val="110"/>
        </w:rPr>
        <w:t>de</w:t>
      </w:r>
      <w:r>
        <w:rPr>
          <w:spacing w:val="-7"/>
          <w:w w:val="110"/>
        </w:rPr>
        <w:t> </w:t>
      </w:r>
      <w:r>
        <w:rPr>
          <w:w w:val="110"/>
        </w:rPr>
        <w:t>las</w:t>
      </w:r>
      <w:r>
        <w:rPr>
          <w:spacing w:val="-7"/>
          <w:w w:val="110"/>
        </w:rPr>
        <w:t> </w:t>
      </w:r>
      <w:r>
        <w:rPr>
          <w:w w:val="110"/>
        </w:rPr>
        <w:t>contradicciones</w:t>
      </w:r>
      <w:r>
        <w:rPr>
          <w:spacing w:val="-7"/>
          <w:w w:val="110"/>
        </w:rPr>
        <w:t> </w:t>
      </w:r>
      <w:r>
        <w:rPr>
          <w:w w:val="110"/>
        </w:rPr>
        <w:t>enraizadas</w:t>
      </w:r>
      <w:r>
        <w:rPr>
          <w:spacing w:val="-7"/>
          <w:w w:val="110"/>
        </w:rPr>
        <w:t> </w:t>
      </w:r>
      <w:r>
        <w:rPr>
          <w:w w:val="110"/>
        </w:rPr>
        <w:t>en</w:t>
      </w:r>
      <w:r>
        <w:rPr>
          <w:spacing w:val="-7"/>
          <w:w w:val="110"/>
        </w:rPr>
        <w:t> </w:t>
      </w:r>
      <w:r>
        <w:rPr>
          <w:w w:val="110"/>
        </w:rPr>
        <w:t>el</w:t>
      </w:r>
      <w:r>
        <w:rPr>
          <w:spacing w:val="-7"/>
          <w:w w:val="110"/>
        </w:rPr>
        <w:t> </w:t>
      </w:r>
      <w:r>
        <w:rPr>
          <w:w w:val="110"/>
        </w:rPr>
        <w:t>núcleo</w:t>
      </w:r>
      <w:r>
        <w:rPr>
          <w:spacing w:val="-7"/>
          <w:w w:val="110"/>
        </w:rPr>
        <w:t> </w:t>
      </w:r>
      <w:r>
        <w:rPr>
          <w:w w:val="110"/>
        </w:rPr>
        <w:t>más</w:t>
      </w:r>
      <w:r>
        <w:rPr>
          <w:spacing w:val="-7"/>
          <w:w w:val="110"/>
        </w:rPr>
        <w:t> </w:t>
      </w:r>
      <w:r>
        <w:rPr>
          <w:w w:val="110"/>
        </w:rPr>
        <w:t>íntimo</w:t>
      </w:r>
      <w:r>
        <w:rPr>
          <w:spacing w:val="-7"/>
          <w:w w:val="110"/>
        </w:rPr>
        <w:t> </w:t>
      </w:r>
      <w:r>
        <w:rPr>
          <w:w w:val="110"/>
        </w:rPr>
        <w:t>y</w:t>
      </w:r>
      <w:r>
        <w:rPr>
          <w:spacing w:val="-7"/>
          <w:w w:val="110"/>
        </w:rPr>
        <w:t> </w:t>
      </w:r>
      <w:r>
        <w:rPr>
          <w:w w:val="110"/>
        </w:rPr>
        <w:t>sensible de la cultura y el sistema político de Estados unidos, lo cual vincula </w:t>
      </w:r>
      <w:r>
        <w:rPr>
          <w:spacing w:val="-2"/>
          <w:w w:val="110"/>
        </w:rPr>
        <w:t>los </w:t>
      </w:r>
      <w:r>
        <w:rPr>
          <w:w w:val="110"/>
        </w:rPr>
        <w:t>ejes</w:t>
      </w:r>
      <w:r>
        <w:rPr>
          <w:spacing w:val="-13"/>
          <w:w w:val="110"/>
        </w:rPr>
        <w:t> </w:t>
      </w:r>
      <w:r>
        <w:rPr>
          <w:w w:val="110"/>
        </w:rPr>
        <w:t>o</w:t>
      </w:r>
      <w:r>
        <w:rPr>
          <w:spacing w:val="-13"/>
          <w:w w:val="110"/>
        </w:rPr>
        <w:t> </w:t>
      </w:r>
      <w:r>
        <w:rPr>
          <w:w w:val="110"/>
        </w:rPr>
        <w:t>dimensiones</w:t>
      </w:r>
      <w:r>
        <w:rPr>
          <w:spacing w:val="-13"/>
          <w:w w:val="110"/>
        </w:rPr>
        <w:t> </w:t>
      </w:r>
      <w:r>
        <w:rPr>
          <w:w w:val="110"/>
        </w:rPr>
        <w:t>aludidas</w:t>
      </w:r>
      <w:r>
        <w:rPr>
          <w:spacing w:val="-13"/>
          <w:w w:val="110"/>
        </w:rPr>
        <w:t> </w:t>
      </w:r>
      <w:r>
        <w:rPr>
          <w:w w:val="110"/>
        </w:rPr>
        <w:t>–xenofobia,</w:t>
      </w:r>
      <w:r>
        <w:rPr>
          <w:spacing w:val="-13"/>
          <w:w w:val="110"/>
        </w:rPr>
        <w:t> </w:t>
      </w:r>
      <w:r>
        <w:rPr>
          <w:w w:val="110"/>
        </w:rPr>
        <w:t>nativismo,</w:t>
      </w:r>
      <w:r>
        <w:rPr>
          <w:spacing w:val="-13"/>
          <w:w w:val="110"/>
        </w:rPr>
        <w:t> </w:t>
      </w:r>
      <w:r>
        <w:rPr>
          <w:w w:val="110"/>
        </w:rPr>
        <w:t>seguridad</w:t>
      </w:r>
      <w:r>
        <w:rPr>
          <w:spacing w:val="-13"/>
          <w:w w:val="110"/>
        </w:rPr>
        <w:t> </w:t>
      </w:r>
      <w:r>
        <w:rPr>
          <w:w w:val="110"/>
        </w:rPr>
        <w:t>nacional, identidad</w:t>
      </w:r>
      <w:r>
        <w:rPr>
          <w:spacing w:val="-12"/>
          <w:w w:val="110"/>
        </w:rPr>
        <w:t> </w:t>
      </w:r>
      <w:r>
        <w:rPr>
          <w:w w:val="110"/>
        </w:rPr>
        <w:t>cultural–</w:t>
      </w:r>
      <w:r>
        <w:rPr>
          <w:spacing w:val="-12"/>
          <w:w w:val="110"/>
        </w:rPr>
        <w:t> </w:t>
      </w:r>
      <w:r>
        <w:rPr>
          <w:w w:val="110"/>
        </w:rPr>
        <w:t>con</w:t>
      </w:r>
      <w:r>
        <w:rPr>
          <w:spacing w:val="-12"/>
          <w:w w:val="110"/>
        </w:rPr>
        <w:t> </w:t>
      </w:r>
      <w:r>
        <w:rPr>
          <w:w w:val="110"/>
        </w:rPr>
        <w:t>la</w:t>
      </w:r>
      <w:r>
        <w:rPr>
          <w:spacing w:val="-12"/>
          <w:w w:val="110"/>
        </w:rPr>
        <w:t> </w:t>
      </w:r>
      <w:r>
        <w:rPr>
          <w:w w:val="110"/>
        </w:rPr>
        <w:t>preocupación</w:t>
      </w:r>
      <w:r>
        <w:rPr>
          <w:spacing w:val="-12"/>
          <w:w w:val="110"/>
        </w:rPr>
        <w:t> </w:t>
      </w:r>
      <w:r>
        <w:rPr>
          <w:w w:val="110"/>
        </w:rPr>
        <w:t>por</w:t>
      </w:r>
      <w:r>
        <w:rPr>
          <w:spacing w:val="-12"/>
          <w:w w:val="110"/>
        </w:rPr>
        <w:t> </w:t>
      </w:r>
      <w:r>
        <w:rPr>
          <w:w w:val="110"/>
        </w:rPr>
        <w:t>la</w:t>
      </w:r>
      <w:r>
        <w:rPr>
          <w:spacing w:val="-12"/>
          <w:w w:val="110"/>
        </w:rPr>
        <w:t> </w:t>
      </w:r>
      <w:r>
        <w:rPr>
          <w:w w:val="110"/>
        </w:rPr>
        <w:t>hegemonía.</w:t>
      </w:r>
    </w:p>
    <w:p>
      <w:pPr>
        <w:pStyle w:val="BodyText"/>
        <w:spacing w:before="5"/>
      </w:pPr>
    </w:p>
    <w:p>
      <w:pPr>
        <w:pStyle w:val="Heading6"/>
      </w:pPr>
      <w:r>
        <w:rPr>
          <w:w w:val="125"/>
        </w:rPr>
        <w:t>PreMisas</w:t>
      </w:r>
    </w:p>
    <w:p>
      <w:pPr>
        <w:pStyle w:val="BodyText"/>
        <w:spacing w:line="252" w:lineRule="auto" w:before="10"/>
        <w:ind w:left="100" w:right="328"/>
        <w:jc w:val="both"/>
      </w:pPr>
      <w:r>
        <w:rPr>
          <w:w w:val="243"/>
        </w:rPr>
        <w:t>l</w:t>
      </w:r>
      <w:r>
        <w:rPr>
          <w:w w:val="108"/>
        </w:rPr>
        <w:t>os</w:t>
      </w:r>
      <w:r>
        <w:rPr/>
        <w:t> </w:t>
      </w:r>
      <w:r>
        <w:rPr>
          <w:spacing w:val="5"/>
        </w:rPr>
        <w:t> </w:t>
      </w:r>
      <w:r>
        <w:rPr>
          <w:w w:val="110"/>
        </w:rPr>
        <w:t>acontecimientos</w:t>
      </w:r>
      <w:r>
        <w:rPr/>
        <w:t> </w:t>
      </w:r>
      <w:r>
        <w:rPr>
          <w:spacing w:val="5"/>
        </w:rPr>
        <w:t> </w:t>
      </w:r>
      <w:r>
        <w:rPr>
          <w:w w:val="107"/>
        </w:rPr>
        <w:t>del</w:t>
      </w:r>
      <w:r>
        <w:rPr/>
        <w:t> </w:t>
      </w:r>
      <w:r>
        <w:rPr>
          <w:spacing w:val="5"/>
        </w:rPr>
        <w:t> </w:t>
      </w:r>
      <w:r>
        <w:rPr>
          <w:w w:val="102"/>
        </w:rPr>
        <w:t>11</w:t>
      </w:r>
      <w:r>
        <w:rPr/>
        <w:t> </w:t>
      </w:r>
      <w:r>
        <w:rPr>
          <w:spacing w:val="5"/>
        </w:rPr>
        <w:t> </w:t>
      </w:r>
      <w:r>
        <w:rPr>
          <w:w w:val="107"/>
        </w:rPr>
        <w:t>de</w:t>
      </w:r>
      <w:r>
        <w:rPr/>
        <w:t> </w:t>
      </w:r>
      <w:r>
        <w:rPr>
          <w:spacing w:val="5"/>
        </w:rPr>
        <w:t> </w:t>
      </w:r>
      <w:r>
        <w:rPr>
          <w:w w:val="108"/>
        </w:rPr>
        <w:t>septiembre</w:t>
      </w:r>
      <w:r>
        <w:rPr/>
        <w:t> </w:t>
      </w:r>
      <w:r>
        <w:rPr>
          <w:spacing w:val="5"/>
        </w:rPr>
        <w:t> </w:t>
      </w:r>
      <w:r>
        <w:rPr>
          <w:w w:val="111"/>
        </w:rPr>
        <w:t>propician</w:t>
      </w:r>
      <w:r>
        <w:rPr/>
        <w:t> </w:t>
      </w:r>
      <w:r>
        <w:rPr>
          <w:spacing w:val="5"/>
        </w:rPr>
        <w:t> </w:t>
      </w:r>
      <w:r>
        <w:rPr>
          <w:w w:val="107"/>
        </w:rPr>
        <w:t>el</w:t>
      </w:r>
      <w:r>
        <w:rPr/>
        <w:t> </w:t>
      </w:r>
      <w:r>
        <w:rPr>
          <w:spacing w:val="5"/>
        </w:rPr>
        <w:t> </w:t>
      </w:r>
      <w:r>
        <w:rPr>
          <w:w w:val="109"/>
        </w:rPr>
        <w:t>despliegue, </w:t>
      </w:r>
      <w:r>
        <w:rPr>
          <w:w w:val="110"/>
        </w:rPr>
        <w:t>ampliación y consolidación de una plataforma ideológica que si bien focaliza un “nuevo” enemigo que viene a ocupar el lugar del eje </w:t>
      </w:r>
      <w:r>
        <w:rPr>
          <w:spacing w:val="-5"/>
          <w:w w:val="110"/>
        </w:rPr>
        <w:t>ar- </w:t>
      </w:r>
      <w:r>
        <w:rPr>
          <w:w w:val="110"/>
        </w:rPr>
        <w:t>ticulador de la política exterior que durante la Guerra Fría estaba constituido por el comunismo internacional –el terrorismo– retoma elementos de continuidad que están en la base de la cultura política norteamericana, y que al mismo tiempo brindan legitimidad a la polí- tica interna. Cuando el gobierno de </w:t>
      </w:r>
      <w:r>
        <w:rPr>
          <w:spacing w:val="-11"/>
          <w:w w:val="110"/>
        </w:rPr>
        <w:t>W. </w:t>
      </w:r>
      <w:r>
        <w:rPr>
          <w:w w:val="110"/>
        </w:rPr>
        <w:t>bush conjura su lucha aberran- te contra el terrorismo, promovido por autores externos, pasa por</w:t>
      </w:r>
      <w:r>
        <w:rPr>
          <w:spacing w:val="-21"/>
          <w:w w:val="110"/>
        </w:rPr>
        <w:t> </w:t>
      </w:r>
      <w:r>
        <w:rPr>
          <w:w w:val="110"/>
        </w:rPr>
        <w:t>alto o desconoce las raíces de violencia e intolerancia interna, que marcan la cultura política de la sociedad norteamericana. El decurso de la his- toria de Estados unidos confirma que dichas raíces no tienen que ver con inmigrantes, ni con grupos o gobiernos hostiles del llamado </w:t>
      </w:r>
      <w:r>
        <w:rPr>
          <w:spacing w:val="-9"/>
          <w:w w:val="110"/>
        </w:rPr>
        <w:t>ter- </w:t>
      </w:r>
      <w:r>
        <w:rPr>
          <w:w w:val="110"/>
        </w:rPr>
        <w:t>cer Mundo. En realidad, las mismas conforman una cierta tradición,   la cual ha propiciado circunstancialmente expresiones de terrorismo interno, estimuladas por ideologías y prácticas de extrema derecha, insertadas orgánicamente en el espectro político estadounidense y </w:t>
      </w:r>
      <w:r>
        <w:rPr>
          <w:spacing w:val="-5"/>
          <w:w w:val="110"/>
        </w:rPr>
        <w:t>ar- </w:t>
      </w:r>
      <w:r>
        <w:rPr>
          <w:w w:val="110"/>
        </w:rPr>
        <w:t>gumentadas como legítimas, en la medida que afectaban o retaban los principios de la cultura o la seguridad nacional (Hernández, </w:t>
      </w:r>
      <w:r>
        <w:rPr>
          <w:spacing w:val="36"/>
          <w:w w:val="110"/>
        </w:rPr>
        <w:t> </w:t>
      </w:r>
      <w:r>
        <w:rPr>
          <w:w w:val="110"/>
        </w:rPr>
        <w:t>2007).</w:t>
      </w:r>
    </w:p>
    <w:p>
      <w:pPr>
        <w:pStyle w:val="BodyText"/>
        <w:spacing w:line="252" w:lineRule="auto"/>
        <w:ind w:left="100" w:right="327" w:firstLine="396"/>
        <w:jc w:val="both"/>
      </w:pPr>
      <w:r>
        <w:rPr>
          <w:w w:val="243"/>
        </w:rPr>
        <w:t>l</w:t>
      </w:r>
      <w:r>
        <w:rPr>
          <w:w w:val="109"/>
        </w:rPr>
        <w:t>as</w:t>
      </w:r>
      <w:r>
        <w:rPr/>
        <w:t>  </w:t>
      </w:r>
      <w:r>
        <w:rPr>
          <w:spacing w:val="-21"/>
        </w:rPr>
        <w:t> </w:t>
      </w:r>
      <w:r>
        <w:rPr>
          <w:w w:val="110"/>
        </w:rPr>
        <w:t>manifestaciones</w:t>
      </w:r>
      <w:r>
        <w:rPr/>
        <w:t>  </w:t>
      </w:r>
      <w:r>
        <w:rPr>
          <w:spacing w:val="-21"/>
        </w:rPr>
        <w:t> </w:t>
      </w:r>
      <w:r>
        <w:rPr>
          <w:w w:val="107"/>
        </w:rPr>
        <w:t>de</w:t>
      </w:r>
      <w:r>
        <w:rPr/>
        <w:t>  </w:t>
      </w:r>
      <w:r>
        <w:rPr>
          <w:spacing w:val="-21"/>
        </w:rPr>
        <w:t> </w:t>
      </w:r>
      <w:r>
        <w:rPr>
          <w:w w:val="111"/>
        </w:rPr>
        <w:t>intransigencia,</w:t>
      </w:r>
      <w:r>
        <w:rPr/>
        <w:t>  </w:t>
      </w:r>
      <w:r>
        <w:rPr>
          <w:spacing w:val="-21"/>
        </w:rPr>
        <w:t> </w:t>
      </w:r>
      <w:r>
        <w:rPr>
          <w:w w:val="109"/>
        </w:rPr>
        <w:t>sentimientos</w:t>
      </w:r>
      <w:r>
        <w:rPr/>
        <w:t>  </w:t>
      </w:r>
      <w:r>
        <w:rPr>
          <w:spacing w:val="-21"/>
        </w:rPr>
        <w:t> </w:t>
      </w:r>
      <w:r>
        <w:rPr>
          <w:w w:val="112"/>
        </w:rPr>
        <w:t>antiinm</w:t>
      </w:r>
      <w:r>
        <w:rPr>
          <w:spacing w:val="-1"/>
          <w:w w:val="112"/>
        </w:rPr>
        <w:t>i</w:t>
      </w:r>
      <w:r>
        <w:rPr>
          <w:w w:val="102"/>
        </w:rPr>
        <w:t>- </w:t>
      </w:r>
      <w:r>
        <w:rPr>
          <w:w w:val="110"/>
        </w:rPr>
        <w:t>grantes, racismo, represión, que afloran desde entonces como política estatal, articulando un ambiente conspiratorio, que presenta al país como una “fortaleza sitiada” que debe protegerse del antinorteameri- canismo no son novedosas. Mucho más allá del contexto que se crea, </w:t>
      </w:r>
      <w:r>
        <w:rPr>
          <w:w w:val="108"/>
        </w:rPr>
        <w:t>por</w:t>
      </w:r>
      <w:r>
        <w:rPr>
          <w:spacing w:val="17"/>
        </w:rPr>
        <w:t> </w:t>
      </w:r>
      <w:r>
        <w:rPr>
          <w:w w:val="111"/>
        </w:rPr>
        <w:t>ejemplo,</w:t>
      </w:r>
      <w:r>
        <w:rPr>
          <w:spacing w:val="17"/>
        </w:rPr>
        <w:t> </w:t>
      </w:r>
      <w:r>
        <w:rPr>
          <w:w w:val="112"/>
        </w:rPr>
        <w:t>con</w:t>
      </w:r>
      <w:r>
        <w:rPr>
          <w:spacing w:val="17"/>
        </w:rPr>
        <w:t> </w:t>
      </w:r>
      <w:r>
        <w:rPr>
          <w:w w:val="111"/>
        </w:rPr>
        <w:t>la</w:t>
      </w:r>
      <w:r>
        <w:rPr>
          <w:spacing w:val="17"/>
        </w:rPr>
        <w:t> </w:t>
      </w:r>
      <w:r>
        <w:rPr>
          <w:w w:val="111"/>
        </w:rPr>
        <w:t>aprobación</w:t>
      </w:r>
      <w:r>
        <w:rPr>
          <w:spacing w:val="17"/>
        </w:rPr>
        <w:t> </w:t>
      </w:r>
      <w:r>
        <w:rPr>
          <w:w w:val="107"/>
        </w:rPr>
        <w:t>de</w:t>
      </w:r>
      <w:r>
        <w:rPr>
          <w:spacing w:val="17"/>
        </w:rPr>
        <w:t> </w:t>
      </w:r>
      <w:r>
        <w:rPr>
          <w:w w:val="111"/>
        </w:rPr>
        <w:t>la</w:t>
      </w:r>
      <w:r>
        <w:rPr>
          <w:spacing w:val="17"/>
        </w:rPr>
        <w:t> </w:t>
      </w:r>
      <w:r>
        <w:rPr>
          <w:w w:val="111"/>
        </w:rPr>
        <w:t>llamada</w:t>
      </w:r>
      <w:r>
        <w:rPr>
          <w:spacing w:val="17"/>
        </w:rPr>
        <w:t> </w:t>
      </w:r>
      <w:r>
        <w:rPr>
          <w:w w:val="243"/>
        </w:rPr>
        <w:t>l</w:t>
      </w:r>
      <w:r>
        <w:rPr>
          <w:w w:val="104"/>
        </w:rPr>
        <w:t>ey</w:t>
      </w:r>
      <w:r>
        <w:rPr>
          <w:spacing w:val="17"/>
        </w:rPr>
        <w:t> </w:t>
      </w:r>
      <w:r>
        <w:rPr>
          <w:w w:val="112"/>
        </w:rPr>
        <w:t>Patriótica,</w:t>
      </w:r>
      <w:r>
        <w:rPr>
          <w:spacing w:val="17"/>
        </w:rPr>
        <w:t> </w:t>
      </w:r>
      <w:r>
        <w:rPr>
          <w:w w:val="107"/>
        </w:rPr>
        <w:t>el</w:t>
      </w:r>
      <w:r>
        <w:rPr>
          <w:spacing w:val="17"/>
        </w:rPr>
        <w:t> </w:t>
      </w:r>
      <w:r>
        <w:rPr>
          <w:w w:val="102"/>
        </w:rPr>
        <w:t>26</w:t>
      </w:r>
      <w:r>
        <w:rPr>
          <w:spacing w:val="17"/>
        </w:rPr>
        <w:t> </w:t>
      </w:r>
      <w:r>
        <w:rPr>
          <w:w w:val="107"/>
        </w:rPr>
        <w:t>de</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octubre de 2001, que otorga nuevos poderes a las agencias federales para combatir el terrorismo interno, del discurso del presidente </w:t>
      </w:r>
      <w:r>
        <w:rPr>
          <w:spacing w:val="-11"/>
          <w:w w:val="110"/>
        </w:rPr>
        <w:t>W. </w:t>
      </w:r>
      <w:r>
        <w:rPr>
          <w:w w:val="110"/>
        </w:rPr>
        <w:t>bush en </w:t>
      </w:r>
      <w:r>
        <w:rPr>
          <w:spacing w:val="-3"/>
          <w:w w:val="110"/>
        </w:rPr>
        <w:t>West  </w:t>
      </w:r>
      <w:r>
        <w:rPr>
          <w:w w:val="110"/>
        </w:rPr>
        <w:t>Point, el primero de junio de 2002, donde se refiere        a la denominada guerra preventiva contra los países que integran el presunto “Eje del Mal”, o de las ulteriores proyecciones externas in- tervencionistas patentes en el documento titulado Estrategia de segu- ridad Nacional, la historia de Estados unidos contiene las claves que explican el lugar y papel de la intolerancia en las definiciones de la cultura política de ese país, en la que el uso y abuso de la violencia so- bresale como instrumento recurrente, supuestamente legítimo, bajo las condiciones singulares que caracterizan la evolución del colonia- lismo, el capitalismo y muy especialmente, del imperialismo nortea- mericano. Por ejemplo, el tristemente célebre Comité de actividades antinorteamericanas que utilizó como caballo de batalla Joseph Mc- Carthy en su “cacería de brujas” en los años cincuenta, había surgido en 1938, o sea, incluso con anterioridad a la Guerra Fría. Esa enti-   dad es una muestra gráfica del antinorteamericanismo, plasmado en términos institucionales en un comité investigador de la Cámara de representantes del Congreso de Estados unidos, activo desde 1938 y hasta 1975. En 1969, la Cámara cambió su nombre por el de Comité de seguridad interna. Cuando la Cámara abolió el mismo en 1975,   sus funciones se transfirieron al Comité de asuntos Judiciales de esa misma instancia</w:t>
      </w:r>
      <w:r>
        <w:rPr>
          <w:spacing w:val="45"/>
          <w:w w:val="110"/>
        </w:rPr>
        <w:t> </w:t>
      </w:r>
      <w:r>
        <w:rPr>
          <w:w w:val="110"/>
        </w:rPr>
        <w:t>legislativa.</w:t>
      </w:r>
    </w:p>
    <w:p>
      <w:pPr>
        <w:pStyle w:val="BodyText"/>
        <w:spacing w:line="252" w:lineRule="auto"/>
        <w:ind w:left="330" w:right="117" w:firstLine="396"/>
        <w:jc w:val="both"/>
      </w:pPr>
      <w:r>
        <w:rPr>
          <w:w w:val="110"/>
        </w:rPr>
        <w:t>Como función de la hegemonía, la seguridad nacional de Estados unidos opera ideológicamente en un doble plano: en uno, de legitima- ción interna, y en otro, de apuntalamiento doctrinal de la política ex- </w:t>
      </w:r>
      <w:r>
        <w:rPr>
          <w:spacing w:val="-4"/>
          <w:w w:val="110"/>
        </w:rPr>
        <w:t>terior. </w:t>
      </w:r>
      <w:r>
        <w:rPr>
          <w:w w:val="110"/>
        </w:rPr>
        <w:t>En realidad, se trata de una noción resbaladiza, de una etiqueta de usos múltiples y universales, para connotar cualquier situación, in- terna o externa, que requiera la acción inmediata, priorizada, </w:t>
      </w:r>
      <w:r>
        <w:rPr>
          <w:spacing w:val="-3"/>
          <w:w w:val="110"/>
        </w:rPr>
        <w:t>militar, </w:t>
      </w:r>
      <w:r>
        <w:rPr>
          <w:w w:val="110"/>
        </w:rPr>
        <w:t>costosa en términos humanos, económicos o políticos, por parte del gobierno norteamericano. desde el punto de vista externo, el</w:t>
      </w:r>
      <w:r>
        <w:rPr>
          <w:spacing w:val="-21"/>
          <w:w w:val="110"/>
        </w:rPr>
        <w:t> </w:t>
      </w:r>
      <w:r>
        <w:rPr>
          <w:w w:val="110"/>
        </w:rPr>
        <w:t>concepto en realidad posee una connotación transnacional, en el sentido de que se insertan en ella escenarios del llamado </w:t>
      </w:r>
      <w:r>
        <w:rPr>
          <w:spacing w:val="-3"/>
          <w:w w:val="110"/>
        </w:rPr>
        <w:t>tercer </w:t>
      </w:r>
      <w:r>
        <w:rPr>
          <w:w w:val="110"/>
        </w:rPr>
        <w:t>Mundo, en los que Estados unidos lo que defiende, en </w:t>
      </w:r>
      <w:r>
        <w:rPr>
          <w:spacing w:val="-4"/>
          <w:w w:val="110"/>
        </w:rPr>
        <w:t>rigor, </w:t>
      </w:r>
      <w:r>
        <w:rPr>
          <w:w w:val="110"/>
        </w:rPr>
        <w:t>no es su seguridad nacional, sino su hegemonía. desde el ángulo interno, el concepto también se utiliza con gran diversidad y movilidad, para justificar cualquier at- mósfera</w:t>
      </w:r>
      <w:r>
        <w:rPr>
          <w:spacing w:val="-6"/>
          <w:w w:val="110"/>
        </w:rPr>
        <w:t> </w:t>
      </w:r>
      <w:r>
        <w:rPr>
          <w:w w:val="110"/>
        </w:rPr>
        <w:t>represiva.</w:t>
      </w:r>
    </w:p>
    <w:p>
      <w:pPr>
        <w:pStyle w:val="BodyText"/>
        <w:spacing w:line="252" w:lineRule="auto"/>
        <w:ind w:left="330" w:right="118" w:firstLine="396"/>
        <w:jc w:val="both"/>
      </w:pPr>
      <w:r>
        <w:rPr>
          <w:w w:val="243"/>
        </w:rPr>
        <w:t>l</w:t>
      </w:r>
      <w:r>
        <w:rPr>
          <w:w w:val="110"/>
        </w:rPr>
        <w:t>o</w:t>
      </w:r>
      <w:r>
        <w:rPr/>
        <w:t>  </w:t>
      </w:r>
      <w:r>
        <w:rPr>
          <w:w w:val="111"/>
        </w:rPr>
        <w:t>más</w:t>
      </w:r>
      <w:r>
        <w:rPr/>
        <w:t>  </w:t>
      </w:r>
      <w:r>
        <w:rPr>
          <w:w w:val="111"/>
        </w:rPr>
        <w:t>complejo</w:t>
      </w:r>
      <w:r>
        <w:rPr/>
        <w:t>  </w:t>
      </w:r>
      <w:r>
        <w:rPr>
          <w:w w:val="105"/>
        </w:rPr>
        <w:t>y</w:t>
      </w:r>
      <w:r>
        <w:rPr/>
        <w:t>  </w:t>
      </w:r>
      <w:r>
        <w:rPr>
          <w:w w:val="108"/>
        </w:rPr>
        <w:t>peligroso</w:t>
      </w:r>
      <w:r>
        <w:rPr/>
        <w:t>  </w:t>
      </w:r>
      <w:r>
        <w:rPr>
          <w:w w:val="107"/>
        </w:rPr>
        <w:t>de</w:t>
      </w:r>
      <w:r>
        <w:rPr/>
        <w:t>  </w:t>
      </w:r>
      <w:r>
        <w:rPr>
          <w:w w:val="110"/>
        </w:rPr>
        <w:t>concepciones</w:t>
      </w:r>
      <w:r>
        <w:rPr/>
        <w:t>  </w:t>
      </w:r>
      <w:r>
        <w:rPr>
          <w:w w:val="109"/>
        </w:rPr>
        <w:t>semejantes,</w:t>
      </w:r>
      <w:r>
        <w:rPr/>
        <w:t>  </w:t>
      </w:r>
      <w:r>
        <w:rPr>
          <w:w w:val="108"/>
        </w:rPr>
        <w:t>que </w:t>
      </w:r>
      <w:r>
        <w:rPr>
          <w:w w:val="110"/>
        </w:rPr>
        <w:t>se retoman con más fuerza que nunca luego de la crisis de septiem- bre de 2001, no radica tanto en su novedad como en el hecho de que ellas desbordan el marco estrecho de la ideología política imperialis- ta (entendida como representación teórica clasista de intereses de la oligarquía financiera y grupos de poder hegemónicos) y su  expresión</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consciente al nivel de la conciencia de clase (impregnada notablemen- te por la intransigencia extremista de los wasps). Ellas se extienden o ramifican como parte de la cultura política en ese país como resultado de un mecanismo psico-sociológico, expresándose con frecuencia, de manera inconsciente, en amplios sectores de la sociedad norteame- ricana de la mayor diversidad clasista. Esto es lógico, toda vez que     la burguesía monopolista ejerce su poder más allá de las relaciones económicas, estableciendo su hegemonía a través de la efectiva ma- quinaria de los medios de difusión masiva, expandiendo el núcleo de su ideología política hasta los más diversos e intrincados rincones de la cultura, reproduciendo el imaginario de los blancos, anglosajones, protestantes y de clase media, aunque la característica racial, proce- dencia étnica, afiliación religiosa y pertenencia clasista sean otras. </w:t>
      </w:r>
      <w:r>
        <w:rPr>
          <w:w w:val="243"/>
        </w:rPr>
        <w:t>l</w:t>
      </w:r>
      <w:r>
        <w:rPr>
          <w:w w:val="112"/>
        </w:rPr>
        <w:t>a</w:t>
      </w:r>
      <w:r>
        <w:rPr>
          <w:spacing w:val="14"/>
        </w:rPr>
        <w:t> </w:t>
      </w:r>
      <w:r>
        <w:rPr>
          <w:w w:val="110"/>
        </w:rPr>
        <w:t>paradoja</w:t>
      </w:r>
      <w:r>
        <w:rPr>
          <w:spacing w:val="14"/>
        </w:rPr>
        <w:t> </w:t>
      </w:r>
      <w:r>
        <w:rPr>
          <w:w w:val="105"/>
        </w:rPr>
        <w:t>es</w:t>
      </w:r>
      <w:r>
        <w:rPr>
          <w:spacing w:val="14"/>
        </w:rPr>
        <w:t> </w:t>
      </w:r>
      <w:r>
        <w:rPr>
          <w:w w:val="108"/>
        </w:rPr>
        <w:t>que</w:t>
      </w:r>
      <w:r>
        <w:rPr>
          <w:spacing w:val="14"/>
        </w:rPr>
        <w:t> </w:t>
      </w:r>
      <w:r>
        <w:rPr>
          <w:w w:val="110"/>
        </w:rPr>
        <w:t>lo</w:t>
      </w:r>
      <w:r>
        <w:rPr>
          <w:spacing w:val="14"/>
        </w:rPr>
        <w:t> </w:t>
      </w:r>
      <w:r>
        <w:rPr>
          <w:w w:val="108"/>
        </w:rPr>
        <w:t>que</w:t>
      </w:r>
      <w:r>
        <w:rPr>
          <w:spacing w:val="14"/>
        </w:rPr>
        <w:t> </w:t>
      </w:r>
      <w:r>
        <w:rPr>
          <w:w w:val="105"/>
        </w:rPr>
        <w:t>se</w:t>
      </w:r>
      <w:r>
        <w:rPr>
          <w:spacing w:val="14"/>
        </w:rPr>
        <w:t> </w:t>
      </w:r>
      <w:r>
        <w:rPr>
          <w:w w:val="107"/>
        </w:rPr>
        <w:t>presenta</w:t>
      </w:r>
      <w:r>
        <w:rPr>
          <w:spacing w:val="14"/>
        </w:rPr>
        <w:t> </w:t>
      </w:r>
      <w:r>
        <w:rPr>
          <w:w w:val="110"/>
        </w:rPr>
        <w:t>habitualmente</w:t>
      </w:r>
      <w:r>
        <w:rPr>
          <w:spacing w:val="14"/>
        </w:rPr>
        <w:t> </w:t>
      </w:r>
      <w:r>
        <w:rPr>
          <w:w w:val="112"/>
        </w:rPr>
        <w:t>como</w:t>
      </w:r>
      <w:r>
        <w:rPr>
          <w:spacing w:val="14"/>
        </w:rPr>
        <w:t> </w:t>
      </w:r>
      <w:r>
        <w:rPr>
          <w:w w:val="109"/>
        </w:rPr>
        <w:t>seguridad </w:t>
      </w:r>
      <w:r>
        <w:rPr>
          <w:w w:val="110"/>
        </w:rPr>
        <w:t>nacional no lo es tanto, sino más bien de lo que se trata es de la segu- ridad de la clase dominante (o de sectores de ella), manipulada como interés común de toda la </w:t>
      </w:r>
      <w:r>
        <w:rPr>
          <w:spacing w:val="15"/>
          <w:w w:val="110"/>
        </w:rPr>
        <w:t> </w:t>
      </w:r>
      <w:r>
        <w:rPr>
          <w:w w:val="110"/>
        </w:rPr>
        <w:t>nación.</w:t>
      </w:r>
    </w:p>
    <w:p>
      <w:pPr>
        <w:pStyle w:val="BodyText"/>
        <w:spacing w:before="5"/>
      </w:pPr>
    </w:p>
    <w:p>
      <w:pPr>
        <w:pStyle w:val="Heading6"/>
      </w:pPr>
      <w:r>
        <w:rPr>
          <w:spacing w:val="3"/>
          <w:w w:val="134"/>
        </w:rPr>
        <w:t>e</w:t>
      </w:r>
      <w:r>
        <w:rPr>
          <w:w w:val="201"/>
        </w:rPr>
        <w:t>l</w:t>
      </w:r>
      <w:r>
        <w:rPr>
          <w:spacing w:val="-8"/>
        </w:rPr>
        <w:t> </w:t>
      </w:r>
      <w:r>
        <w:rPr>
          <w:spacing w:val="2"/>
          <w:w w:val="139"/>
        </w:rPr>
        <w:t>co</w:t>
      </w:r>
      <w:r>
        <w:rPr>
          <w:spacing w:val="3"/>
          <w:w w:val="139"/>
        </w:rPr>
        <w:t>n</w:t>
      </w:r>
      <w:r>
        <w:rPr>
          <w:spacing w:val="2"/>
          <w:w w:val="153"/>
        </w:rPr>
        <w:t>t</w:t>
      </w:r>
      <w:r>
        <w:rPr>
          <w:spacing w:val="5"/>
          <w:w w:val="153"/>
        </w:rPr>
        <w:t>e</w:t>
      </w:r>
      <w:r>
        <w:rPr>
          <w:spacing w:val="2"/>
          <w:w w:val="124"/>
        </w:rPr>
        <w:t>x</w:t>
      </w:r>
      <w:r>
        <w:rPr>
          <w:spacing w:val="2"/>
          <w:w w:val="180"/>
        </w:rPr>
        <w:t>t</w:t>
      </w:r>
      <w:r>
        <w:rPr>
          <w:w w:val="145"/>
        </w:rPr>
        <w:t>o</w:t>
      </w:r>
      <w:r>
        <w:rPr>
          <w:spacing w:val="-8"/>
        </w:rPr>
        <w:t> </w:t>
      </w:r>
      <w:r>
        <w:rPr>
          <w:spacing w:val="3"/>
          <w:w w:val="134"/>
        </w:rPr>
        <w:t>e</w:t>
      </w:r>
      <w:r>
        <w:rPr>
          <w:w w:val="128"/>
        </w:rPr>
        <w:t>n</w:t>
      </w:r>
      <w:r>
        <w:rPr>
          <w:spacing w:val="-8"/>
        </w:rPr>
        <w:t> </w:t>
      </w:r>
      <w:r>
        <w:rPr>
          <w:spacing w:val="3"/>
          <w:w w:val="134"/>
        </w:rPr>
        <w:t>e</w:t>
      </w:r>
      <w:r>
        <w:rPr>
          <w:w w:val="201"/>
        </w:rPr>
        <w:t>l</w:t>
      </w:r>
      <w:r>
        <w:rPr>
          <w:spacing w:val="-8"/>
        </w:rPr>
        <w:t> </w:t>
      </w:r>
      <w:r>
        <w:rPr>
          <w:spacing w:val="2"/>
          <w:w w:val="133"/>
        </w:rPr>
        <w:t>si</w:t>
      </w:r>
      <w:r>
        <w:rPr>
          <w:spacing w:val="2"/>
          <w:w w:val="89"/>
        </w:rPr>
        <w:t>G</w:t>
      </w:r>
      <w:r>
        <w:rPr>
          <w:spacing w:val="1"/>
          <w:w w:val="201"/>
        </w:rPr>
        <w:t>l</w:t>
      </w:r>
      <w:r>
        <w:rPr>
          <w:w w:val="145"/>
        </w:rPr>
        <w:t>o</w:t>
      </w:r>
      <w:r>
        <w:rPr>
          <w:spacing w:val="-8"/>
        </w:rPr>
        <w:t> </w:t>
      </w:r>
      <w:r>
        <w:rPr>
          <w:spacing w:val="3"/>
          <w:w w:val="124"/>
        </w:rPr>
        <w:t>xx</w:t>
      </w:r>
      <w:r>
        <w:rPr>
          <w:w w:val="129"/>
        </w:rPr>
        <w:t>i</w:t>
      </w:r>
      <w:r>
        <w:rPr>
          <w:spacing w:val="-8"/>
        </w:rPr>
        <w:t> </w:t>
      </w:r>
      <w:r>
        <w:rPr>
          <w:w w:val="119"/>
        </w:rPr>
        <w:t>y</w:t>
      </w:r>
      <w:r>
        <w:rPr>
          <w:spacing w:val="-8"/>
        </w:rPr>
        <w:t> </w:t>
      </w:r>
      <w:r>
        <w:rPr>
          <w:spacing w:val="2"/>
          <w:w w:val="155"/>
        </w:rPr>
        <w:t>a</w:t>
      </w:r>
      <w:r>
        <w:rPr>
          <w:spacing w:val="1"/>
          <w:w w:val="155"/>
        </w:rPr>
        <w:t>l</w:t>
      </w:r>
      <w:r>
        <w:rPr>
          <w:spacing w:val="2"/>
          <w:w w:val="89"/>
        </w:rPr>
        <w:t>G</w:t>
      </w:r>
      <w:r>
        <w:rPr>
          <w:spacing w:val="2"/>
          <w:w w:val="134"/>
        </w:rPr>
        <w:t>un</w:t>
      </w:r>
      <w:r>
        <w:rPr>
          <w:spacing w:val="3"/>
          <w:w w:val="134"/>
        </w:rPr>
        <w:t>o</w:t>
      </w:r>
      <w:r>
        <w:rPr>
          <w:w w:val="136"/>
        </w:rPr>
        <w:t>s</w:t>
      </w:r>
      <w:r>
        <w:rPr>
          <w:spacing w:val="-8"/>
        </w:rPr>
        <w:t> </w:t>
      </w:r>
      <w:r>
        <w:rPr>
          <w:spacing w:val="2"/>
          <w:w w:val="128"/>
        </w:rPr>
        <w:t>a</w:t>
      </w:r>
      <w:r>
        <w:rPr>
          <w:spacing w:val="3"/>
          <w:w w:val="128"/>
        </w:rPr>
        <w:t>n</w:t>
      </w:r>
      <w:r>
        <w:rPr>
          <w:spacing w:val="2"/>
          <w:w w:val="153"/>
        </w:rPr>
        <w:t>t</w:t>
      </w:r>
      <w:r>
        <w:rPr>
          <w:spacing w:val="3"/>
          <w:w w:val="153"/>
        </w:rPr>
        <w:t>e</w:t>
      </w:r>
      <w:r>
        <w:rPr>
          <w:spacing w:val="2"/>
          <w:w w:val="140"/>
        </w:rPr>
        <w:t>c</w:t>
      </w:r>
      <w:r>
        <w:rPr>
          <w:spacing w:val="3"/>
          <w:w w:val="140"/>
        </w:rPr>
        <w:t>e</w:t>
      </w:r>
      <w:r>
        <w:rPr>
          <w:spacing w:val="2"/>
          <w:w w:val="132"/>
        </w:rPr>
        <w:t>d</w:t>
      </w:r>
      <w:r>
        <w:rPr>
          <w:spacing w:val="3"/>
          <w:w w:val="132"/>
        </w:rPr>
        <w:t>e</w:t>
      </w:r>
      <w:r>
        <w:rPr>
          <w:spacing w:val="3"/>
          <w:w w:val="128"/>
        </w:rPr>
        <w:t>n</w:t>
      </w:r>
      <w:r>
        <w:rPr>
          <w:spacing w:val="2"/>
          <w:w w:val="153"/>
        </w:rPr>
        <w:t>t</w:t>
      </w:r>
      <w:r>
        <w:rPr>
          <w:spacing w:val="3"/>
          <w:w w:val="153"/>
        </w:rPr>
        <w:t>e</w:t>
      </w:r>
      <w:r>
        <w:rPr>
          <w:w w:val="136"/>
        </w:rPr>
        <w:t>s</w:t>
      </w:r>
    </w:p>
    <w:p>
      <w:pPr>
        <w:pStyle w:val="BodyText"/>
        <w:spacing w:line="252" w:lineRule="auto" w:before="10"/>
        <w:ind w:left="100" w:right="328"/>
        <w:jc w:val="both"/>
      </w:pPr>
      <w:r>
        <w:rPr>
          <w:w w:val="110"/>
        </w:rPr>
        <w:t>sobre una racionalidad análoga es que tienen lugar los reajustes in- ternos posteriores al ataque a las </w:t>
      </w:r>
      <w:r>
        <w:rPr>
          <w:spacing w:val="-4"/>
          <w:w w:val="110"/>
        </w:rPr>
        <w:t>torres </w:t>
      </w:r>
      <w:r>
        <w:rPr>
          <w:w w:val="110"/>
        </w:rPr>
        <w:t>Gemelas, que refuerzan la centralidad del presidente </w:t>
      </w:r>
      <w:r>
        <w:rPr>
          <w:spacing w:val="-11"/>
          <w:w w:val="110"/>
        </w:rPr>
        <w:t>W. </w:t>
      </w:r>
      <w:r>
        <w:rPr>
          <w:w w:val="110"/>
        </w:rPr>
        <w:t>bush y de la rama ejecutiva, con pleno respaldo legislativo. En ese marco, se amplían por ejemplo las prerro- gativas</w:t>
      </w:r>
      <w:r>
        <w:rPr>
          <w:spacing w:val="-5"/>
          <w:w w:val="110"/>
        </w:rPr>
        <w:t> </w:t>
      </w:r>
      <w:r>
        <w:rPr>
          <w:w w:val="110"/>
        </w:rPr>
        <w:t>federales</w:t>
      </w:r>
      <w:r>
        <w:rPr>
          <w:spacing w:val="-5"/>
          <w:w w:val="110"/>
        </w:rPr>
        <w:t> </w:t>
      </w:r>
      <w:r>
        <w:rPr>
          <w:w w:val="110"/>
        </w:rPr>
        <w:t>para</w:t>
      </w:r>
      <w:r>
        <w:rPr>
          <w:spacing w:val="-5"/>
          <w:w w:val="110"/>
        </w:rPr>
        <w:t> </w:t>
      </w:r>
      <w:r>
        <w:rPr>
          <w:w w:val="110"/>
        </w:rPr>
        <w:t>combatir</w:t>
      </w:r>
      <w:r>
        <w:rPr>
          <w:spacing w:val="-5"/>
          <w:w w:val="110"/>
        </w:rPr>
        <w:t> </w:t>
      </w:r>
      <w:r>
        <w:rPr>
          <w:w w:val="110"/>
        </w:rPr>
        <w:t>el</w:t>
      </w:r>
      <w:r>
        <w:rPr>
          <w:spacing w:val="-5"/>
          <w:w w:val="110"/>
        </w:rPr>
        <w:t> </w:t>
      </w:r>
      <w:r>
        <w:rPr>
          <w:w w:val="110"/>
        </w:rPr>
        <w:t>terrorismo,</w:t>
      </w:r>
      <w:r>
        <w:rPr>
          <w:spacing w:val="-5"/>
          <w:w w:val="110"/>
        </w:rPr>
        <w:t> </w:t>
      </w:r>
      <w:r>
        <w:rPr>
          <w:w w:val="110"/>
        </w:rPr>
        <w:t>incluyendo</w:t>
      </w:r>
      <w:r>
        <w:rPr>
          <w:spacing w:val="-5"/>
          <w:w w:val="110"/>
        </w:rPr>
        <w:t> </w:t>
      </w:r>
      <w:r>
        <w:rPr>
          <w:w w:val="110"/>
        </w:rPr>
        <w:t>el</w:t>
      </w:r>
      <w:r>
        <w:rPr>
          <w:spacing w:val="-5"/>
          <w:w w:val="110"/>
        </w:rPr>
        <w:t> </w:t>
      </w:r>
      <w:r>
        <w:rPr>
          <w:w w:val="110"/>
        </w:rPr>
        <w:t>control</w:t>
      </w:r>
      <w:r>
        <w:rPr>
          <w:spacing w:val="-5"/>
          <w:w w:val="110"/>
        </w:rPr>
        <w:t> </w:t>
      </w:r>
      <w:r>
        <w:rPr>
          <w:w w:val="110"/>
        </w:rPr>
        <w:t>de las comunicaciones individuales, con la consiguiente violación de de- rechos civiles y judiciales de los ciudadanos. se rescatan viejas prác- ticas, paradójicamente, como las de autorizar el asesinato de líderes extranjeros, contratar asesinos e incluso a terroristas para la</w:t>
      </w:r>
      <w:r>
        <w:rPr>
          <w:spacing w:val="-11"/>
          <w:w w:val="110"/>
        </w:rPr>
        <w:t> </w:t>
      </w:r>
      <w:r>
        <w:rPr>
          <w:w w:val="110"/>
        </w:rPr>
        <w:t>supuesta “lucha</w:t>
      </w:r>
      <w:r>
        <w:rPr>
          <w:spacing w:val="26"/>
          <w:w w:val="110"/>
        </w:rPr>
        <w:t> </w:t>
      </w:r>
      <w:r>
        <w:rPr>
          <w:w w:val="110"/>
        </w:rPr>
        <w:t>antiterrorista”.</w:t>
      </w:r>
    </w:p>
    <w:p>
      <w:pPr>
        <w:pStyle w:val="BodyText"/>
        <w:spacing w:line="252" w:lineRule="auto"/>
        <w:ind w:left="100" w:right="327" w:firstLine="396"/>
        <w:jc w:val="both"/>
      </w:pPr>
      <w:r>
        <w:rPr>
          <w:w w:val="243"/>
        </w:rPr>
        <w:t>l</w:t>
      </w:r>
      <w:r>
        <w:rPr>
          <w:w w:val="112"/>
        </w:rPr>
        <w:t>a</w:t>
      </w:r>
      <w:r>
        <w:rPr/>
        <w:t> </w:t>
      </w:r>
      <w:r>
        <w:rPr>
          <w:spacing w:val="-9"/>
        </w:rPr>
        <w:t> </w:t>
      </w:r>
      <w:r>
        <w:rPr>
          <w:w w:val="110"/>
        </w:rPr>
        <w:t>“nueva”</w:t>
      </w:r>
      <w:r>
        <w:rPr/>
        <w:t> </w:t>
      </w:r>
      <w:r>
        <w:rPr>
          <w:spacing w:val="-9"/>
        </w:rPr>
        <w:t> </w:t>
      </w:r>
      <w:r>
        <w:rPr>
          <w:w w:val="110"/>
        </w:rPr>
        <w:t>dimensión</w:t>
      </w:r>
      <w:r>
        <w:rPr/>
        <w:t> </w:t>
      </w:r>
      <w:r>
        <w:rPr>
          <w:spacing w:val="-9"/>
        </w:rPr>
        <w:t> </w:t>
      </w:r>
      <w:r>
        <w:rPr>
          <w:w w:val="110"/>
        </w:rPr>
        <w:t>atribuida</w:t>
      </w:r>
      <w:r>
        <w:rPr/>
        <w:t> </w:t>
      </w:r>
      <w:r>
        <w:rPr>
          <w:spacing w:val="-9"/>
        </w:rPr>
        <w:t> </w:t>
      </w:r>
      <w:r>
        <w:rPr>
          <w:w w:val="112"/>
        </w:rPr>
        <w:t>a</w:t>
      </w:r>
      <w:r>
        <w:rPr/>
        <w:t> </w:t>
      </w:r>
      <w:r>
        <w:rPr>
          <w:spacing w:val="-9"/>
        </w:rPr>
        <w:t> </w:t>
      </w:r>
      <w:r>
        <w:rPr>
          <w:w w:val="111"/>
        </w:rPr>
        <w:t>la</w:t>
      </w:r>
      <w:r>
        <w:rPr/>
        <w:t> </w:t>
      </w:r>
      <w:r>
        <w:rPr>
          <w:spacing w:val="-9"/>
        </w:rPr>
        <w:t> </w:t>
      </w:r>
      <w:r>
        <w:rPr>
          <w:w w:val="109"/>
        </w:rPr>
        <w:t>seguridad</w:t>
      </w:r>
      <w:r>
        <w:rPr/>
        <w:t> </w:t>
      </w:r>
      <w:r>
        <w:rPr>
          <w:spacing w:val="-9"/>
        </w:rPr>
        <w:t> </w:t>
      </w:r>
      <w:r>
        <w:rPr>
          <w:w w:val="105"/>
        </w:rPr>
        <w:t>reviste</w:t>
      </w:r>
      <w:r>
        <w:rPr/>
        <w:t> </w:t>
      </w:r>
      <w:r>
        <w:rPr>
          <w:spacing w:val="-9"/>
        </w:rPr>
        <w:t> </w:t>
      </w:r>
      <w:r>
        <w:rPr>
          <w:w w:val="110"/>
        </w:rPr>
        <w:t>gran</w:t>
      </w:r>
      <w:r>
        <w:rPr/>
        <w:t> </w:t>
      </w:r>
      <w:r>
        <w:rPr>
          <w:spacing w:val="-9"/>
        </w:rPr>
        <w:t> </w:t>
      </w:r>
      <w:r>
        <w:rPr>
          <w:w w:val="114"/>
        </w:rPr>
        <w:t>i</w:t>
      </w:r>
      <w:r>
        <w:rPr>
          <w:spacing w:val="-1"/>
          <w:w w:val="114"/>
        </w:rPr>
        <w:t>m</w:t>
      </w:r>
      <w:r>
        <w:rPr>
          <w:w w:val="102"/>
        </w:rPr>
        <w:t>- </w:t>
      </w:r>
      <w:r>
        <w:rPr>
          <w:w w:val="110"/>
        </w:rPr>
        <w:t>portancia a la luz del legado del 11 de septiembre, toda vez que la situación creada desde entonces posibilita fortalecer el consenso in- terno en la sociedad norteamericana para justificar las medidas que  el gobierno de </w:t>
      </w:r>
      <w:r>
        <w:rPr>
          <w:spacing w:val="-11"/>
          <w:w w:val="110"/>
        </w:rPr>
        <w:t>W. </w:t>
      </w:r>
      <w:r>
        <w:rPr>
          <w:w w:val="110"/>
        </w:rPr>
        <w:t>bush aplica tanto a escala doméstica como interna- cional, reforzando un ambiente sórdido, marcado por la represión y  el</w:t>
      </w:r>
      <w:r>
        <w:rPr>
          <w:spacing w:val="24"/>
          <w:w w:val="110"/>
        </w:rPr>
        <w:t> </w:t>
      </w:r>
      <w:r>
        <w:rPr>
          <w:w w:val="110"/>
        </w:rPr>
        <w:t>belicismo.</w:t>
      </w:r>
    </w:p>
    <w:p>
      <w:pPr>
        <w:pStyle w:val="BodyText"/>
        <w:spacing w:line="252" w:lineRule="auto"/>
        <w:ind w:left="100" w:right="328" w:firstLine="396"/>
        <w:jc w:val="both"/>
      </w:pPr>
      <w:r>
        <w:rPr>
          <w:w w:val="110"/>
        </w:rPr>
        <w:t>Como se sabe, la crisis de septiembre de 2001 estremeció a la sociedad norteamericana, conmovió a la opinión pública mundial y marcó la historia contemporánea con un acontecimiento, en su es- cala, sin precedentes, a partir de lo cual cobra fuerza el antinortea- mericanismo como calificativo que designaba acciones contrarias y hostiles contra los intereses nacionales de Estados unidos,</w:t>
      </w:r>
      <w:r>
        <w:rPr>
          <w:spacing w:val="-15"/>
          <w:w w:val="110"/>
        </w:rPr>
        <w:t> </w:t>
      </w:r>
      <w:r>
        <w:rPr>
          <w:w w:val="110"/>
        </w:rPr>
        <w:t>regresando al lenguaje imperante en los tiempos del </w:t>
      </w:r>
      <w:r>
        <w:rPr>
          <w:spacing w:val="22"/>
          <w:w w:val="110"/>
        </w:rPr>
        <w:t> </w:t>
      </w:r>
      <w:r>
        <w:rPr>
          <w:w w:val="110"/>
        </w:rPr>
        <w:t>macarthismo.</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firstLine="396"/>
        <w:jc w:val="both"/>
      </w:pPr>
      <w:r>
        <w:rPr>
          <w:w w:val="110"/>
        </w:rPr>
        <w:t>al pasar revista a dicha crisis, como hemos examinado en ante- riores trabajos, quizás lo primero que deba subrayarse es que, entre sus diversas significaciones, su marcado simbolismo es lo que desde</w:t>
      </w:r>
      <w:r>
        <w:rPr>
          <w:spacing w:val="-27"/>
          <w:w w:val="110"/>
        </w:rPr>
        <w:t> </w:t>
      </w:r>
      <w:r>
        <w:rPr>
          <w:w w:val="110"/>
        </w:rPr>
        <w:t>el punto de vista subjetivo convierte a los acontecimientos terroristas</w:t>
      </w:r>
      <w:r>
        <w:rPr>
          <w:spacing w:val="-22"/>
          <w:w w:val="110"/>
        </w:rPr>
        <w:t> </w:t>
      </w:r>
      <w:r>
        <w:rPr>
          <w:w w:val="110"/>
        </w:rPr>
        <w:t>de entonces en un hito trascendente para el sistema internacional. Fue- ron ataques a símbolos del poderío mundial –económico y militar– de Estados unidos </w:t>
      </w:r>
      <w:r>
        <w:rPr>
          <w:spacing w:val="-11"/>
          <w:w w:val="110"/>
        </w:rPr>
        <w:t>y,  </w:t>
      </w:r>
      <w:r>
        <w:rPr>
          <w:w w:val="110"/>
        </w:rPr>
        <w:t>hasta cierto punto, de la cultura norteamericana.    se cometieron contra centros simbólicos, ante la mirada atónita y es- pantada de millones de otros seres humanos y en un momento en que Estados unidos, país de origen y residencia de la mayoría de las vícti- mas, parecía constituir una fortaleza inexpugnable y su gobierno –de dudosa legitimidad dado el contexto de las prolongadas, irregulares y fraudulentas elecciones de 2000– proyectaba su política internacional con singular arrogancia y unilateralismo. En esa medida han tenido  un profundo y perdurable impacto para la vida cotidiana la psicolo- gía nacional y la cultura política en la sociedad estadounidense, que perdura</w:t>
      </w:r>
      <w:r>
        <w:rPr>
          <w:spacing w:val="16"/>
          <w:w w:val="110"/>
        </w:rPr>
        <w:t> </w:t>
      </w:r>
      <w:r>
        <w:rPr>
          <w:w w:val="110"/>
        </w:rPr>
        <w:t>aún.</w:t>
      </w:r>
    </w:p>
    <w:p>
      <w:pPr>
        <w:pStyle w:val="BodyText"/>
        <w:spacing w:line="252" w:lineRule="auto"/>
        <w:ind w:left="330" w:right="117" w:firstLine="396"/>
        <w:jc w:val="both"/>
      </w:pPr>
      <w:r>
        <w:rPr>
          <w:w w:val="110"/>
        </w:rPr>
        <w:t>Es conveniente </w:t>
      </w:r>
      <w:r>
        <w:rPr>
          <w:spacing w:val="-3"/>
          <w:w w:val="110"/>
        </w:rPr>
        <w:t>recordar, </w:t>
      </w:r>
      <w:r>
        <w:rPr>
          <w:w w:val="110"/>
        </w:rPr>
        <w:t>en este ejercicio retrospectivo, un inci- dente a menudo olvidado a pesar del traumatismo que conllevó y de</w:t>
      </w:r>
      <w:r>
        <w:rPr>
          <w:spacing w:val="-31"/>
          <w:w w:val="110"/>
        </w:rPr>
        <w:t> </w:t>
      </w:r>
      <w:r>
        <w:rPr>
          <w:w w:val="110"/>
        </w:rPr>
        <w:t>la connotación como acto de antinorteamericanismo con que se asumió. El 19 de abril de 1995, un camión-bomba cargado con aproximada- mente media tonelada de explosivos destruyó una instalación estatal en oklahoma. El edificio alfred Murrah contenía numerosas oficinas federales, además de una guardería, y en condiciones normales, se concentraban en él diariamente unos 500 empleados, sin contar los visitantes. El atentado ocasionó la muerte a 168 personas, entre ellas niños. Ese mismo día, otros 17 edificios del gobierno norteamericano, en diferentes ciudades y estados, recibieron amenazas </w:t>
      </w:r>
      <w:r>
        <w:rPr>
          <w:spacing w:val="3"/>
          <w:w w:val="110"/>
        </w:rPr>
        <w:t> </w:t>
      </w:r>
      <w:r>
        <w:rPr>
          <w:w w:val="110"/>
        </w:rPr>
        <w:t>dinamiteras.</w:t>
      </w:r>
    </w:p>
    <w:p>
      <w:pPr>
        <w:pStyle w:val="BodyText"/>
        <w:spacing w:line="252" w:lineRule="auto"/>
        <w:ind w:left="330" w:right="117" w:firstLine="396"/>
        <w:jc w:val="both"/>
      </w:pPr>
      <w:r>
        <w:rPr>
          <w:w w:val="110"/>
        </w:rPr>
        <w:t>si se retrocede un poco más en el tiempo, aparece otro hecho    que también encaja en la tendencia descrita. dos años antes, el 29 de febrero de 1993, otra acción terrorista deterioraba, con explosivos, nada menos que 5 pisos de las torres del </w:t>
      </w:r>
      <w:r>
        <w:rPr>
          <w:spacing w:val="-3"/>
          <w:w w:val="110"/>
        </w:rPr>
        <w:t>World </w:t>
      </w:r>
      <w:r>
        <w:rPr>
          <w:spacing w:val="-4"/>
          <w:w w:val="110"/>
        </w:rPr>
        <w:t>trade Center, </w:t>
      </w:r>
      <w:r>
        <w:rPr>
          <w:w w:val="110"/>
        </w:rPr>
        <w:t>instala- ción que, desde luego, desde esa fecha y aún mucho antes ya poseía el mismo simbolismo que ocho años después, cuando serían destruidas: representaban el corazón del capital financiero estadounidense. aquel atentado, además de provocar numerosos heridos, le costó la vida a cinco</w:t>
      </w:r>
      <w:r>
        <w:rPr>
          <w:spacing w:val="21"/>
          <w:w w:val="110"/>
        </w:rPr>
        <w:t> </w:t>
      </w:r>
      <w:r>
        <w:rPr>
          <w:w w:val="110"/>
        </w:rPr>
        <w:t>personas.</w:t>
      </w:r>
    </w:p>
    <w:p>
      <w:pPr>
        <w:pStyle w:val="BodyText"/>
        <w:spacing w:line="252" w:lineRule="auto"/>
        <w:ind w:left="330" w:right="117" w:firstLine="396"/>
        <w:jc w:val="both"/>
      </w:pPr>
      <w:r>
        <w:rPr>
          <w:w w:val="110"/>
        </w:rPr>
        <w:t>ambos acontecimientos, desde luego, no eran comparables a los del 11 de septiembre de 2001. Pero lo sucedido hacía visible una vieja pauta o regularidad en esa sociedad. al menos en el caso de oklaho- ma, los autores eran ciudadanos estadounidenses, reconocieron su intención antigubernamental y estaban ligados a tendencias de extre- ma derecha, cuya presencia tiene antigua data en la historia nacio-</w:t>
      </w:r>
    </w:p>
    <w:p>
      <w:pPr>
        <w:spacing w:after="0" w:line="252" w:lineRule="auto"/>
        <w:jc w:val="both"/>
        <w:sectPr>
          <w:footerReference w:type="default" r:id="rId401"/>
          <w:footerReference w:type="even" r:id="rId402"/>
          <w:pgSz w:w="8790" w:h="12760"/>
          <w:pgMar w:footer="725" w:header="695" w:top="880" w:bottom="920" w:left="1200" w:right="900"/>
        </w:sectPr>
      </w:pPr>
    </w:p>
    <w:p>
      <w:pPr>
        <w:pStyle w:val="BodyText"/>
        <w:spacing w:before="9"/>
        <w:rPr>
          <w:sz w:val="28"/>
        </w:rPr>
      </w:pPr>
    </w:p>
    <w:p>
      <w:pPr>
        <w:pStyle w:val="BodyText"/>
        <w:spacing w:line="252" w:lineRule="auto" w:before="73"/>
        <w:ind w:left="120" w:right="328"/>
        <w:jc w:val="both"/>
      </w:pPr>
      <w:r>
        <w:rPr>
          <w:w w:val="110"/>
        </w:rPr>
        <w:t>nal. </w:t>
      </w:r>
      <w:r>
        <w:rPr>
          <w:spacing w:val="-4"/>
          <w:w w:val="110"/>
        </w:rPr>
        <w:t>tales  </w:t>
      </w:r>
      <w:r>
        <w:rPr>
          <w:w w:val="110"/>
        </w:rPr>
        <w:t>sucesos dejaban claro, a escala doméstica e internacional,    la existencia de grupos e individuos identificados con el terrorismo interno, así como su capacidad de ejecución de acciones violentas de destrucción masiva, como expresiones de un antinorteamericanismo enfocado contra el</w:t>
      </w:r>
      <w:r>
        <w:rPr>
          <w:spacing w:val="40"/>
          <w:w w:val="110"/>
        </w:rPr>
        <w:t> </w:t>
      </w:r>
      <w:r>
        <w:rPr>
          <w:w w:val="110"/>
        </w:rPr>
        <w:t>gobierno.</w:t>
      </w:r>
    </w:p>
    <w:p>
      <w:pPr>
        <w:pStyle w:val="BodyText"/>
        <w:spacing w:line="252" w:lineRule="auto"/>
        <w:ind w:left="120" w:right="328" w:firstLine="396"/>
        <w:jc w:val="both"/>
      </w:pPr>
      <w:r>
        <w:rPr>
          <w:w w:val="110"/>
        </w:rPr>
        <w:t>Conviene recordar que en el crisol norteamericano, desde la </w:t>
      </w:r>
      <w:r>
        <w:rPr>
          <w:spacing w:val="-4"/>
          <w:w w:val="110"/>
        </w:rPr>
        <w:t>for- </w:t>
      </w:r>
      <w:r>
        <w:rPr>
          <w:w w:val="110"/>
        </w:rPr>
        <w:t>mación de la nación, tanto por acción como por reacción, se van insta- lando los componentes centrales del mosaico ideológico y cultural de lo que sería posteriormente la sociedad estadounidense: liberalismo, individualismo, idealismo, exaltación de la propiedad privada, sentido mesiánico, sentimiento antiestatal, apego a la tradición. de esa sínte- sis emergería lo que algunos autores han denominado como “el credo norteamericano”, es </w:t>
      </w:r>
      <w:r>
        <w:rPr>
          <w:spacing w:val="-4"/>
          <w:w w:val="110"/>
        </w:rPr>
        <w:t>decir, </w:t>
      </w:r>
      <w:r>
        <w:rPr>
          <w:w w:val="110"/>
        </w:rPr>
        <w:t>una suerte de consenso básico (o alto nivel de acuerdo) en relación con las formas de organizar política y econó- micamente la vida de la nación. Ese “credo” ha servido a lo largo de    la historia como fuente de identidad de los estadounidenses, toda vez que en él se mezclan y coinciden, pongamos por caso, elementos de liberalismo y conservadurismo, que en las experiencias europeas eran tendencias</w:t>
      </w:r>
      <w:r>
        <w:rPr>
          <w:spacing w:val="4"/>
          <w:w w:val="110"/>
        </w:rPr>
        <w:t> </w:t>
      </w:r>
      <w:r>
        <w:rPr>
          <w:w w:val="110"/>
        </w:rPr>
        <w:t>contrapuestas</w:t>
      </w:r>
      <w:r>
        <w:rPr>
          <w:b/>
          <w:i/>
          <w:w w:val="110"/>
          <w:position w:val="6"/>
          <w:sz w:val="11"/>
        </w:rPr>
        <w:t>5</w:t>
      </w:r>
      <w:r>
        <w:rPr>
          <w:w w:val="110"/>
        </w:rPr>
        <w:t>.</w:t>
      </w:r>
    </w:p>
    <w:p>
      <w:pPr>
        <w:pStyle w:val="BodyText"/>
        <w:spacing w:line="252" w:lineRule="auto"/>
        <w:ind w:left="120" w:right="328" w:firstLine="396"/>
        <w:jc w:val="both"/>
      </w:pPr>
      <w:r>
        <w:rPr>
          <w:w w:val="110"/>
        </w:rPr>
        <w:t>Con independencia de las manipulaciones recurrentes, casi cons- tantes, de que han sido objeto, esos componentes retroalimentan,</w:t>
      </w:r>
      <w:r>
        <w:rPr>
          <w:spacing w:val="-11"/>
          <w:w w:val="110"/>
        </w:rPr>
        <w:t> </w:t>
      </w:r>
      <w:r>
        <w:rPr>
          <w:w w:val="110"/>
        </w:rPr>
        <w:t>des- de</w:t>
      </w:r>
      <w:r>
        <w:rPr>
          <w:spacing w:val="-3"/>
          <w:w w:val="110"/>
        </w:rPr>
        <w:t> </w:t>
      </w:r>
      <w:r>
        <w:rPr>
          <w:w w:val="110"/>
        </w:rPr>
        <w:t>el</w:t>
      </w:r>
      <w:r>
        <w:rPr>
          <w:spacing w:val="-3"/>
          <w:w w:val="110"/>
        </w:rPr>
        <w:t> </w:t>
      </w:r>
      <w:r>
        <w:rPr>
          <w:w w:val="110"/>
        </w:rPr>
        <w:t>punto</w:t>
      </w:r>
      <w:r>
        <w:rPr>
          <w:spacing w:val="-3"/>
          <w:w w:val="110"/>
        </w:rPr>
        <w:t> </w:t>
      </w:r>
      <w:r>
        <w:rPr>
          <w:w w:val="110"/>
        </w:rPr>
        <w:t>de</w:t>
      </w:r>
      <w:r>
        <w:rPr>
          <w:spacing w:val="-3"/>
          <w:w w:val="110"/>
        </w:rPr>
        <w:t> </w:t>
      </w:r>
      <w:r>
        <w:rPr>
          <w:w w:val="110"/>
        </w:rPr>
        <w:t>vista</w:t>
      </w:r>
      <w:r>
        <w:rPr>
          <w:spacing w:val="-3"/>
          <w:w w:val="110"/>
        </w:rPr>
        <w:t> </w:t>
      </w:r>
      <w:r>
        <w:rPr>
          <w:w w:val="110"/>
        </w:rPr>
        <w:t>ideológico</w:t>
      </w:r>
      <w:r>
        <w:rPr>
          <w:spacing w:val="-3"/>
          <w:w w:val="110"/>
        </w:rPr>
        <w:t> </w:t>
      </w:r>
      <w:r>
        <w:rPr>
          <w:w w:val="110"/>
        </w:rPr>
        <w:t>y</w:t>
      </w:r>
      <w:r>
        <w:rPr>
          <w:spacing w:val="-3"/>
          <w:w w:val="110"/>
        </w:rPr>
        <w:t> </w:t>
      </w:r>
      <w:r>
        <w:rPr>
          <w:w w:val="110"/>
        </w:rPr>
        <w:t>cultural,</w:t>
      </w:r>
      <w:r>
        <w:rPr>
          <w:spacing w:val="-3"/>
          <w:w w:val="110"/>
        </w:rPr>
        <w:t> </w:t>
      </w:r>
      <w:r>
        <w:rPr>
          <w:w w:val="110"/>
        </w:rPr>
        <w:t>al</w:t>
      </w:r>
      <w:r>
        <w:rPr>
          <w:spacing w:val="-3"/>
          <w:w w:val="110"/>
        </w:rPr>
        <w:t> </w:t>
      </w:r>
      <w:r>
        <w:rPr>
          <w:w w:val="110"/>
        </w:rPr>
        <w:t>único</w:t>
      </w:r>
      <w:r>
        <w:rPr>
          <w:spacing w:val="-3"/>
          <w:w w:val="110"/>
        </w:rPr>
        <w:t> </w:t>
      </w:r>
      <w:r>
        <w:rPr>
          <w:w w:val="110"/>
        </w:rPr>
        <w:t>modo</w:t>
      </w:r>
      <w:r>
        <w:rPr>
          <w:spacing w:val="-3"/>
          <w:w w:val="110"/>
        </w:rPr>
        <w:t> </w:t>
      </w:r>
      <w:r>
        <w:rPr>
          <w:w w:val="110"/>
        </w:rPr>
        <w:t>de</w:t>
      </w:r>
      <w:r>
        <w:rPr>
          <w:spacing w:val="-3"/>
          <w:w w:val="110"/>
        </w:rPr>
        <w:t> </w:t>
      </w:r>
      <w:r>
        <w:rPr>
          <w:w w:val="110"/>
        </w:rPr>
        <w:t>producción que ha conocido, durante toda su historia, la sociedad norteamerica- na: el capitalismo, estimulando autopercepciones de superioridad, po- siciones individualistas, nacionalismo chauvinista, visiones intoleran- tes, atravesado todo ello por una determinada predisposición al uso de la violencia, bajo condiciones supuestamente “legítimas”, avalada por la apelación necesaria que de ella hicieron los colonos, enfren- tando tribus hostiles, en sus primeros tiempos, y a los soldados de la Corona, después, en el marco de la revolución de  </w:t>
      </w:r>
      <w:r>
        <w:rPr>
          <w:spacing w:val="3"/>
          <w:w w:val="110"/>
        </w:rPr>
        <w:t> </w:t>
      </w:r>
      <w:r>
        <w:rPr>
          <w:w w:val="110"/>
        </w:rPr>
        <w:t>independencia.</w:t>
      </w:r>
    </w:p>
    <w:p>
      <w:pPr>
        <w:pStyle w:val="BodyText"/>
        <w:spacing w:line="252" w:lineRule="auto"/>
        <w:ind w:left="120" w:right="328" w:firstLine="396"/>
        <w:jc w:val="both"/>
      </w:pPr>
      <w:r>
        <w:rPr>
          <w:w w:val="110"/>
        </w:rPr>
        <w:t>Con acierto se ha señalado que “desde sus orígenes, Estados uni- dos</w:t>
      </w:r>
      <w:r>
        <w:rPr>
          <w:spacing w:val="-3"/>
          <w:w w:val="110"/>
        </w:rPr>
        <w:t> </w:t>
      </w:r>
      <w:r>
        <w:rPr>
          <w:w w:val="110"/>
        </w:rPr>
        <w:t>se</w:t>
      </w:r>
      <w:r>
        <w:rPr>
          <w:spacing w:val="-3"/>
          <w:w w:val="110"/>
        </w:rPr>
        <w:t> </w:t>
      </w:r>
      <w:r>
        <w:rPr>
          <w:w w:val="110"/>
        </w:rPr>
        <w:t>ha</w:t>
      </w:r>
      <w:r>
        <w:rPr>
          <w:spacing w:val="-3"/>
          <w:w w:val="110"/>
        </w:rPr>
        <w:t> </w:t>
      </w:r>
      <w:r>
        <w:rPr>
          <w:w w:val="110"/>
        </w:rPr>
        <w:t>percibido</w:t>
      </w:r>
      <w:r>
        <w:rPr>
          <w:spacing w:val="-3"/>
          <w:w w:val="110"/>
        </w:rPr>
        <w:t> </w:t>
      </w:r>
      <w:r>
        <w:rPr>
          <w:w w:val="110"/>
        </w:rPr>
        <w:t>a</w:t>
      </w:r>
      <w:r>
        <w:rPr>
          <w:spacing w:val="-3"/>
          <w:w w:val="110"/>
        </w:rPr>
        <w:t> </w:t>
      </w:r>
      <w:r>
        <w:rPr>
          <w:w w:val="110"/>
        </w:rPr>
        <w:t>sí</w:t>
      </w:r>
      <w:r>
        <w:rPr>
          <w:spacing w:val="-3"/>
          <w:w w:val="110"/>
        </w:rPr>
        <w:t> </w:t>
      </w:r>
      <w:r>
        <w:rPr>
          <w:w w:val="110"/>
        </w:rPr>
        <w:t>mismo</w:t>
      </w:r>
      <w:r>
        <w:rPr>
          <w:spacing w:val="-3"/>
          <w:w w:val="110"/>
        </w:rPr>
        <w:t> </w:t>
      </w:r>
      <w:r>
        <w:rPr>
          <w:w w:val="110"/>
        </w:rPr>
        <w:t>como</w:t>
      </w:r>
      <w:r>
        <w:rPr>
          <w:spacing w:val="-3"/>
          <w:w w:val="110"/>
        </w:rPr>
        <w:t> </w:t>
      </w:r>
      <w:r>
        <w:rPr>
          <w:w w:val="110"/>
        </w:rPr>
        <w:t>el</w:t>
      </w:r>
      <w:r>
        <w:rPr>
          <w:spacing w:val="-3"/>
          <w:w w:val="110"/>
        </w:rPr>
        <w:t> </w:t>
      </w:r>
      <w:r>
        <w:rPr>
          <w:w w:val="110"/>
        </w:rPr>
        <w:t>gestor</w:t>
      </w:r>
      <w:r>
        <w:rPr>
          <w:spacing w:val="-3"/>
          <w:w w:val="110"/>
        </w:rPr>
        <w:t> </w:t>
      </w:r>
      <w:r>
        <w:rPr>
          <w:w w:val="110"/>
        </w:rPr>
        <w:t>de</w:t>
      </w:r>
      <w:r>
        <w:rPr>
          <w:spacing w:val="-3"/>
          <w:w w:val="110"/>
        </w:rPr>
        <w:t> </w:t>
      </w:r>
      <w:r>
        <w:rPr>
          <w:w w:val="110"/>
        </w:rPr>
        <w:t>la</w:t>
      </w:r>
      <w:r>
        <w:rPr>
          <w:spacing w:val="-3"/>
          <w:w w:val="110"/>
        </w:rPr>
        <w:t> </w:t>
      </w:r>
      <w:r>
        <w:rPr>
          <w:w w:val="110"/>
        </w:rPr>
        <w:t>libertad</w:t>
      </w:r>
      <w:r>
        <w:rPr>
          <w:spacing w:val="-3"/>
          <w:w w:val="110"/>
        </w:rPr>
        <w:t> </w:t>
      </w:r>
      <w:r>
        <w:rPr>
          <w:w w:val="110"/>
        </w:rPr>
        <w:t>y</w:t>
      </w:r>
      <w:r>
        <w:rPr>
          <w:spacing w:val="-3"/>
          <w:w w:val="110"/>
        </w:rPr>
        <w:t> </w:t>
      </w:r>
      <w:r>
        <w:rPr>
          <w:w w:val="110"/>
        </w:rPr>
        <w:t>la</w:t>
      </w:r>
      <w:r>
        <w:rPr>
          <w:spacing w:val="-3"/>
          <w:w w:val="110"/>
        </w:rPr>
        <w:t> </w:t>
      </w:r>
      <w:r>
        <w:rPr>
          <w:w w:val="110"/>
        </w:rPr>
        <w:t>demo- cracia, no solamente de su propia población, sino de toda la humani- dad y a lo largo de su historia” (Zuluaga Nieto, 2010: </w:t>
      </w:r>
      <w:r>
        <w:rPr>
          <w:spacing w:val="22"/>
          <w:w w:val="110"/>
        </w:rPr>
        <w:t> </w:t>
      </w:r>
      <w:r>
        <w:rPr>
          <w:w w:val="110"/>
        </w:rPr>
        <w:t>157).</w:t>
      </w:r>
    </w:p>
    <w:p>
      <w:pPr>
        <w:pStyle w:val="BodyText"/>
        <w:spacing w:line="252" w:lineRule="auto"/>
        <w:ind w:left="120" w:right="328" w:firstLine="396"/>
        <w:jc w:val="both"/>
      </w:pPr>
      <w:r>
        <w:rPr>
          <w:w w:val="110"/>
        </w:rPr>
        <w:t>Es ese el contexto en el que en la sociedad norteamericana flore- ce el conservadurismo dentro de una matriz liberal, que afirma una concepción puritana, tradicionalista, intransigente, elitista, que   nutre</w:t>
      </w:r>
    </w:p>
    <w:p>
      <w:pPr>
        <w:pStyle w:val="BodyText"/>
        <w:spacing w:before="5"/>
        <w:rPr>
          <w:sz w:val="14"/>
        </w:rPr>
      </w:pPr>
      <w:r>
        <w:rPr/>
        <w:pict>
          <v:line style="position:absolute;mso-position-horizontal-relative:page;mso-position-vertical-relative:paragraph;z-index:7336;mso-wrap-distance-left:0;mso-wrap-distance-right:0" from="51.023602pt,10.660031pt" to="79.369602pt,10.660031pt" stroked="true" strokeweight=".5pt" strokecolor="#000000">
            <w10:wrap type="topAndBottom"/>
          </v:line>
        </w:pict>
      </w:r>
    </w:p>
    <w:p>
      <w:pPr>
        <w:pStyle w:val="ListParagraph"/>
        <w:numPr>
          <w:ilvl w:val="0"/>
          <w:numId w:val="31"/>
        </w:numPr>
        <w:tabs>
          <w:tab w:pos="376" w:val="left" w:leader="none"/>
        </w:tabs>
        <w:spacing w:line="242" w:lineRule="auto" w:before="89" w:after="0"/>
        <w:ind w:left="120" w:right="328" w:firstLine="0"/>
        <w:jc w:val="both"/>
        <w:rPr>
          <w:sz w:val="16"/>
        </w:rPr>
      </w:pPr>
      <w:r>
        <w:rPr>
          <w:w w:val="110"/>
          <w:sz w:val="16"/>
        </w:rPr>
        <w:t>Entre</w:t>
      </w:r>
      <w:r>
        <w:rPr>
          <w:spacing w:val="-3"/>
          <w:w w:val="110"/>
          <w:sz w:val="16"/>
        </w:rPr>
        <w:t> </w:t>
      </w:r>
      <w:r>
        <w:rPr>
          <w:w w:val="110"/>
          <w:sz w:val="16"/>
        </w:rPr>
        <w:t>los</w:t>
      </w:r>
      <w:r>
        <w:rPr>
          <w:spacing w:val="-3"/>
          <w:w w:val="110"/>
          <w:sz w:val="16"/>
        </w:rPr>
        <w:t> </w:t>
      </w:r>
      <w:r>
        <w:rPr>
          <w:w w:val="110"/>
          <w:sz w:val="16"/>
        </w:rPr>
        <w:t>autores</w:t>
      </w:r>
      <w:r>
        <w:rPr>
          <w:spacing w:val="-3"/>
          <w:w w:val="110"/>
          <w:sz w:val="16"/>
        </w:rPr>
        <w:t> </w:t>
      </w:r>
      <w:r>
        <w:rPr>
          <w:w w:val="110"/>
          <w:sz w:val="16"/>
        </w:rPr>
        <w:t>y</w:t>
      </w:r>
      <w:r>
        <w:rPr>
          <w:spacing w:val="-3"/>
          <w:w w:val="110"/>
          <w:sz w:val="16"/>
        </w:rPr>
        <w:t> </w:t>
      </w:r>
      <w:r>
        <w:rPr>
          <w:w w:val="110"/>
          <w:sz w:val="16"/>
        </w:rPr>
        <w:t>obras</w:t>
      </w:r>
      <w:r>
        <w:rPr>
          <w:spacing w:val="-3"/>
          <w:w w:val="110"/>
          <w:sz w:val="16"/>
        </w:rPr>
        <w:t> </w:t>
      </w:r>
      <w:r>
        <w:rPr>
          <w:w w:val="110"/>
          <w:sz w:val="16"/>
        </w:rPr>
        <w:t>que</w:t>
      </w:r>
      <w:r>
        <w:rPr>
          <w:spacing w:val="-3"/>
          <w:w w:val="110"/>
          <w:sz w:val="16"/>
        </w:rPr>
        <w:t> </w:t>
      </w:r>
      <w:r>
        <w:rPr>
          <w:w w:val="110"/>
          <w:sz w:val="16"/>
        </w:rPr>
        <w:t>aportan</w:t>
      </w:r>
      <w:r>
        <w:rPr>
          <w:spacing w:val="-3"/>
          <w:w w:val="110"/>
          <w:sz w:val="16"/>
        </w:rPr>
        <w:t> </w:t>
      </w:r>
      <w:r>
        <w:rPr>
          <w:w w:val="110"/>
          <w:sz w:val="16"/>
        </w:rPr>
        <w:t>a</w:t>
      </w:r>
      <w:r>
        <w:rPr>
          <w:spacing w:val="-3"/>
          <w:w w:val="110"/>
          <w:sz w:val="16"/>
        </w:rPr>
        <w:t> </w:t>
      </w:r>
      <w:r>
        <w:rPr>
          <w:w w:val="110"/>
          <w:sz w:val="16"/>
        </w:rPr>
        <w:t>la</w:t>
      </w:r>
      <w:r>
        <w:rPr>
          <w:spacing w:val="-3"/>
          <w:w w:val="110"/>
          <w:sz w:val="16"/>
        </w:rPr>
        <w:t> </w:t>
      </w:r>
      <w:r>
        <w:rPr>
          <w:w w:val="110"/>
          <w:sz w:val="16"/>
        </w:rPr>
        <w:t>comprensión</w:t>
      </w:r>
      <w:r>
        <w:rPr>
          <w:spacing w:val="-3"/>
          <w:w w:val="110"/>
          <w:sz w:val="16"/>
        </w:rPr>
        <w:t> </w:t>
      </w:r>
      <w:r>
        <w:rPr>
          <w:w w:val="110"/>
          <w:sz w:val="16"/>
        </w:rPr>
        <w:t>del</w:t>
      </w:r>
      <w:r>
        <w:rPr>
          <w:spacing w:val="-3"/>
          <w:w w:val="110"/>
          <w:sz w:val="16"/>
        </w:rPr>
        <w:t> </w:t>
      </w:r>
      <w:r>
        <w:rPr>
          <w:w w:val="110"/>
          <w:sz w:val="16"/>
        </w:rPr>
        <w:t>llamado</w:t>
      </w:r>
      <w:r>
        <w:rPr>
          <w:spacing w:val="-3"/>
          <w:w w:val="110"/>
          <w:sz w:val="16"/>
        </w:rPr>
        <w:t> </w:t>
      </w:r>
      <w:r>
        <w:rPr>
          <w:w w:val="110"/>
          <w:sz w:val="16"/>
        </w:rPr>
        <w:t>“credo”</w:t>
      </w:r>
      <w:r>
        <w:rPr>
          <w:spacing w:val="-3"/>
          <w:w w:val="110"/>
          <w:sz w:val="16"/>
        </w:rPr>
        <w:t> nor- </w:t>
      </w:r>
      <w:r>
        <w:rPr>
          <w:w w:val="110"/>
          <w:sz w:val="16"/>
        </w:rPr>
        <w:t>teamericano, se encuentran los que se mencionan a continuación: Gunnar Myrdal, </w:t>
      </w:r>
      <w:r>
        <w:rPr>
          <w:i/>
          <w:w w:val="110"/>
          <w:sz w:val="16"/>
        </w:rPr>
        <w:t>An American Dilema</w:t>
      </w:r>
      <w:r>
        <w:rPr>
          <w:w w:val="110"/>
          <w:sz w:val="16"/>
        </w:rPr>
        <w:t>, Panteón books, </w:t>
      </w:r>
      <w:r>
        <w:rPr>
          <w:spacing w:val="-5"/>
          <w:w w:val="110"/>
          <w:sz w:val="16"/>
        </w:rPr>
        <w:t>N.Y., </w:t>
      </w:r>
      <w:r>
        <w:rPr>
          <w:w w:val="110"/>
          <w:sz w:val="16"/>
        </w:rPr>
        <w:t>1972; Godfrey Hodgson, </w:t>
      </w:r>
      <w:r>
        <w:rPr>
          <w:i/>
          <w:w w:val="110"/>
          <w:sz w:val="16"/>
        </w:rPr>
        <w:t>American in our </w:t>
      </w:r>
      <w:r>
        <w:rPr>
          <w:i/>
          <w:w w:val="110"/>
          <w:sz w:val="16"/>
        </w:rPr>
        <w:t>Time: From World </w:t>
      </w:r>
      <w:r>
        <w:rPr>
          <w:i/>
          <w:spacing w:val="-3"/>
          <w:w w:val="110"/>
          <w:sz w:val="16"/>
        </w:rPr>
        <w:t>War </w:t>
      </w:r>
      <w:r>
        <w:rPr>
          <w:i/>
          <w:w w:val="110"/>
          <w:sz w:val="16"/>
        </w:rPr>
        <w:t>II to Nixon, What Happened and Why</w:t>
      </w:r>
      <w:r>
        <w:rPr>
          <w:w w:val="110"/>
          <w:sz w:val="16"/>
        </w:rPr>
        <w:t>, Vintage books, </w:t>
      </w:r>
      <w:r>
        <w:rPr>
          <w:spacing w:val="-5"/>
          <w:w w:val="110"/>
          <w:sz w:val="16"/>
        </w:rPr>
        <w:t>N.Y., </w:t>
      </w:r>
      <w:r>
        <w:rPr>
          <w:w w:val="110"/>
          <w:sz w:val="16"/>
        </w:rPr>
        <w:t>1976; samuel </w:t>
      </w:r>
      <w:r>
        <w:rPr>
          <w:spacing w:val="-11"/>
          <w:w w:val="110"/>
          <w:sz w:val="16"/>
        </w:rPr>
        <w:t>P. </w:t>
      </w:r>
      <w:r>
        <w:rPr>
          <w:w w:val="110"/>
          <w:sz w:val="16"/>
        </w:rPr>
        <w:t>Huntington, </w:t>
      </w:r>
      <w:r>
        <w:rPr>
          <w:i/>
          <w:w w:val="110"/>
          <w:sz w:val="16"/>
        </w:rPr>
        <w:t>American Politics: The Promise of Disaharmony</w:t>
      </w:r>
      <w:r>
        <w:rPr>
          <w:w w:val="110"/>
          <w:sz w:val="16"/>
        </w:rPr>
        <w:t>, the belknep Press of Harvard university, Cambridge,</w:t>
      </w:r>
      <w:r>
        <w:rPr>
          <w:spacing w:val="-28"/>
          <w:w w:val="110"/>
          <w:sz w:val="16"/>
        </w:rPr>
        <w:t> </w:t>
      </w:r>
      <w:r>
        <w:rPr>
          <w:w w:val="110"/>
          <w:sz w:val="16"/>
        </w:rPr>
        <w:t>1981.</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desde bien temprano la cultura nacional y se proyecta, entre otras maneras, con una orientación reaccionaria, contra toda tendencia que promueva cambios y de modo especial, contra todo lo que se consi- dere como amenaza a la identidad, la cultura, la seguridad    nacional.</w:t>
      </w:r>
    </w:p>
    <w:p>
      <w:pPr>
        <w:pStyle w:val="BodyText"/>
        <w:spacing w:line="252" w:lineRule="auto"/>
        <w:ind w:left="330" w:right="117" w:firstLine="396"/>
        <w:jc w:val="both"/>
      </w:pPr>
      <w:r>
        <w:rPr>
          <w:w w:val="110"/>
        </w:rPr>
        <w:t>Con semejante amalgama, se entiende la complejidad de los valo- res fundamentales, que articulan las bases de la cultura política en la </w:t>
      </w:r>
      <w:r>
        <w:rPr>
          <w:w w:val="110"/>
        </w:rPr>
        <w:t>sociedad</w:t>
      </w:r>
      <w:r>
        <w:rPr>
          <w:spacing w:val="18"/>
        </w:rPr>
        <w:t> </w:t>
      </w:r>
      <w:r>
        <w:rPr>
          <w:w w:val="111"/>
        </w:rPr>
        <w:t>norteamericana.</w:t>
      </w:r>
      <w:r>
        <w:rPr>
          <w:spacing w:val="18"/>
        </w:rPr>
        <w:t> </w:t>
      </w:r>
      <w:r>
        <w:rPr>
          <w:w w:val="243"/>
        </w:rPr>
        <w:t>l</w:t>
      </w:r>
      <w:r>
        <w:rPr>
          <w:w w:val="112"/>
        </w:rPr>
        <w:t>a</w:t>
      </w:r>
      <w:r>
        <w:rPr>
          <w:spacing w:val="18"/>
        </w:rPr>
        <w:t> </w:t>
      </w:r>
      <w:r>
        <w:rPr>
          <w:w w:val="110"/>
        </w:rPr>
        <w:t>ideología</w:t>
      </w:r>
      <w:r>
        <w:rPr>
          <w:spacing w:val="18"/>
        </w:rPr>
        <w:t> </w:t>
      </w:r>
      <w:r>
        <w:rPr>
          <w:w w:val="107"/>
        </w:rPr>
        <w:t>de</w:t>
      </w:r>
      <w:r>
        <w:rPr>
          <w:spacing w:val="18"/>
        </w:rPr>
        <w:t> </w:t>
      </w:r>
      <w:r>
        <w:rPr>
          <w:w w:val="109"/>
        </w:rPr>
        <w:t>clase</w:t>
      </w:r>
      <w:r>
        <w:rPr>
          <w:spacing w:val="18"/>
        </w:rPr>
        <w:t> </w:t>
      </w:r>
      <w:r>
        <w:rPr>
          <w:w w:val="112"/>
        </w:rPr>
        <w:t>media,</w:t>
      </w:r>
      <w:r>
        <w:rPr>
          <w:spacing w:val="18"/>
        </w:rPr>
        <w:t> </w:t>
      </w:r>
      <w:r>
        <w:rPr>
          <w:w w:val="111"/>
        </w:rPr>
        <w:t>consustancial </w:t>
      </w:r>
      <w:r>
        <w:rPr>
          <w:w w:val="110"/>
        </w:rPr>
        <w:t>desde el punto de vista histórico a los mencionados wasps, como se le suele </w:t>
      </w:r>
      <w:r>
        <w:rPr>
          <w:spacing w:val="-3"/>
          <w:w w:val="110"/>
        </w:rPr>
        <w:t>denominar, </w:t>
      </w:r>
      <w:r>
        <w:rPr>
          <w:w w:val="110"/>
        </w:rPr>
        <w:t>trasciende su propia concepción del mundo y se ex- tiende incluso por el resto de las clase dominantes y otros sectores de la pirámide socioclasista en Estados unidos, que reproducen el mis- mo sistema de valores reaccionarios y un patrón de comportamiento político muy parecido. Este mecanismo opera apelando a tradiciones  y mitos instalados en la psicología nacional, que pueden ser comparti- dos tanto por la oligarquía financiera como por la población de zonas rurales</w:t>
      </w:r>
      <w:r>
        <w:rPr>
          <w:spacing w:val="-5"/>
          <w:w w:val="110"/>
        </w:rPr>
        <w:t> </w:t>
      </w:r>
      <w:r>
        <w:rPr>
          <w:w w:val="110"/>
        </w:rPr>
        <w:t>o</w:t>
      </w:r>
      <w:r>
        <w:rPr>
          <w:spacing w:val="-5"/>
          <w:w w:val="110"/>
        </w:rPr>
        <w:t> </w:t>
      </w:r>
      <w:r>
        <w:rPr>
          <w:w w:val="110"/>
        </w:rPr>
        <w:t>trabajadores</w:t>
      </w:r>
      <w:r>
        <w:rPr>
          <w:spacing w:val="-5"/>
          <w:w w:val="110"/>
        </w:rPr>
        <w:t> </w:t>
      </w:r>
      <w:r>
        <w:rPr>
          <w:w w:val="110"/>
        </w:rPr>
        <w:t>de</w:t>
      </w:r>
      <w:r>
        <w:rPr>
          <w:spacing w:val="-5"/>
          <w:w w:val="110"/>
        </w:rPr>
        <w:t> </w:t>
      </w:r>
      <w:r>
        <w:rPr>
          <w:w w:val="110"/>
        </w:rPr>
        <w:t>servicios</w:t>
      </w:r>
      <w:r>
        <w:rPr>
          <w:spacing w:val="-5"/>
          <w:w w:val="110"/>
        </w:rPr>
        <w:t> </w:t>
      </w:r>
      <w:r>
        <w:rPr>
          <w:w w:val="110"/>
        </w:rPr>
        <w:t>en</w:t>
      </w:r>
      <w:r>
        <w:rPr>
          <w:spacing w:val="-5"/>
          <w:w w:val="110"/>
        </w:rPr>
        <w:t> </w:t>
      </w:r>
      <w:r>
        <w:rPr>
          <w:w w:val="110"/>
        </w:rPr>
        <w:t>áreas</w:t>
      </w:r>
      <w:r>
        <w:rPr>
          <w:spacing w:val="-5"/>
          <w:w w:val="110"/>
        </w:rPr>
        <w:t> </w:t>
      </w:r>
      <w:r>
        <w:rPr>
          <w:w w:val="110"/>
        </w:rPr>
        <w:t>urbanas.</w:t>
      </w:r>
      <w:r>
        <w:rPr>
          <w:spacing w:val="-5"/>
          <w:w w:val="110"/>
        </w:rPr>
        <w:t> </w:t>
      </w:r>
      <w:r>
        <w:rPr>
          <w:w w:val="110"/>
        </w:rPr>
        <w:t>sobre</w:t>
      </w:r>
      <w:r>
        <w:rPr>
          <w:spacing w:val="-5"/>
          <w:w w:val="110"/>
        </w:rPr>
        <w:t> </w:t>
      </w:r>
      <w:r>
        <w:rPr>
          <w:w w:val="110"/>
        </w:rPr>
        <w:t>esa</w:t>
      </w:r>
      <w:r>
        <w:rPr>
          <w:spacing w:val="-5"/>
          <w:w w:val="110"/>
        </w:rPr>
        <w:t> </w:t>
      </w:r>
      <w:r>
        <w:rPr>
          <w:w w:val="110"/>
        </w:rPr>
        <w:t>base</w:t>
      </w:r>
      <w:r>
        <w:rPr>
          <w:spacing w:val="-5"/>
          <w:w w:val="110"/>
        </w:rPr>
        <w:t> </w:t>
      </w:r>
      <w:r>
        <w:rPr>
          <w:w w:val="110"/>
        </w:rPr>
        <w:t>es que operan precisamente las manifestaciones que confrontan lo que se considera como </w:t>
      </w:r>
      <w:r>
        <w:rPr>
          <w:spacing w:val="2"/>
          <w:w w:val="110"/>
        </w:rPr>
        <w:t> </w:t>
      </w:r>
      <w:r>
        <w:rPr>
          <w:w w:val="110"/>
        </w:rPr>
        <w:t>antinorteamericanismo.</w:t>
      </w:r>
    </w:p>
    <w:p>
      <w:pPr>
        <w:pStyle w:val="BodyText"/>
        <w:spacing w:line="252" w:lineRule="auto"/>
        <w:ind w:left="330" w:right="117" w:firstLine="396"/>
        <w:jc w:val="both"/>
      </w:pPr>
      <w:r>
        <w:rPr>
          <w:w w:val="110"/>
        </w:rPr>
        <w:t>En buena medida, podría afirmarse que orientaciones ideológicas como las descritas son las que han definido prácticas como las que han dado vida a grupos de extrema derecha, como el Ku Klux Klan,     la sociedad John birch, la asociación Nacional  del  rifle,  la  Funda-  ción Nacional Cubano-americana, a movimientos fanáticos como los denominados “nuevo nativismo” y “derecha religiosa”, o a gobiernos como los de ronald reagan y George </w:t>
      </w:r>
      <w:r>
        <w:rPr>
          <w:spacing w:val="-11"/>
          <w:w w:val="110"/>
        </w:rPr>
        <w:t>W.  </w:t>
      </w:r>
      <w:r>
        <w:rPr>
          <w:w w:val="110"/>
        </w:rPr>
        <w:t>bush. En esos casos, el co-  mún denominador radica en su intolerancia y en la manifestación de la cultura política de la violencia, expresadas a través de manifesta- ciones aberradas de racismo, antirradicalismo, xenofobia y belicismo. </w:t>
      </w:r>
      <w:r>
        <w:rPr>
          <w:spacing w:val="-4"/>
          <w:w w:val="110"/>
        </w:rPr>
        <w:t>todas </w:t>
      </w:r>
      <w:r>
        <w:rPr>
          <w:w w:val="110"/>
        </w:rPr>
        <w:t>ellas pretenden defender la integridad de lo que asumen como definitorio de “lo norteamericano”, de la pureza identitaria y cultural de la nación y sus intereses más </w:t>
      </w:r>
      <w:r>
        <w:rPr>
          <w:spacing w:val="5"/>
          <w:w w:val="110"/>
        </w:rPr>
        <w:t> </w:t>
      </w:r>
      <w:r>
        <w:rPr>
          <w:w w:val="110"/>
        </w:rPr>
        <w:t>genuinos.</w:t>
      </w:r>
    </w:p>
    <w:p>
      <w:pPr>
        <w:pStyle w:val="BodyText"/>
        <w:spacing w:before="5"/>
      </w:pPr>
    </w:p>
    <w:p>
      <w:pPr>
        <w:pStyle w:val="Heading6"/>
        <w:ind w:left="331"/>
      </w:pPr>
      <w:r>
        <w:rPr>
          <w:w w:val="135"/>
        </w:rPr>
        <w:t>la seGuridad nacional</w:t>
      </w:r>
    </w:p>
    <w:p>
      <w:pPr>
        <w:pStyle w:val="BodyText"/>
        <w:spacing w:line="252" w:lineRule="auto" w:before="10"/>
        <w:ind w:left="330" w:right="118"/>
        <w:jc w:val="both"/>
      </w:pPr>
      <w:r>
        <w:rPr>
          <w:spacing w:val="-1"/>
          <w:w w:val="243"/>
        </w:rPr>
        <w:t>l</w:t>
      </w:r>
      <w:r>
        <w:rPr>
          <w:spacing w:val="-1"/>
          <w:w w:val="109"/>
        </w:rPr>
        <w:t>a</w:t>
      </w:r>
      <w:r>
        <w:rPr>
          <w:w w:val="109"/>
        </w:rPr>
        <w:t>s</w:t>
      </w:r>
      <w:r>
        <w:rPr>
          <w:spacing w:val="10"/>
        </w:rPr>
        <w:t> </w:t>
      </w:r>
      <w:r>
        <w:rPr>
          <w:spacing w:val="-1"/>
          <w:w w:val="109"/>
        </w:rPr>
        <w:t>definicione</w:t>
      </w:r>
      <w:r>
        <w:rPr>
          <w:w w:val="109"/>
        </w:rPr>
        <w:t>s</w:t>
      </w:r>
      <w:r>
        <w:rPr>
          <w:spacing w:val="10"/>
        </w:rPr>
        <w:t> </w:t>
      </w:r>
      <w:r>
        <w:rPr>
          <w:spacing w:val="-1"/>
          <w:w w:val="107"/>
        </w:rPr>
        <w:t>d</w:t>
      </w:r>
      <w:r>
        <w:rPr>
          <w:w w:val="107"/>
        </w:rPr>
        <w:t>e</w:t>
      </w:r>
      <w:r>
        <w:rPr>
          <w:spacing w:val="10"/>
        </w:rPr>
        <w:t> </w:t>
      </w:r>
      <w:r>
        <w:rPr>
          <w:spacing w:val="-1"/>
          <w:w w:val="111"/>
        </w:rPr>
        <w:t>l</w:t>
      </w:r>
      <w:r>
        <w:rPr>
          <w:w w:val="111"/>
        </w:rPr>
        <w:t>a</w:t>
      </w:r>
      <w:r>
        <w:rPr>
          <w:spacing w:val="10"/>
        </w:rPr>
        <w:t> </w:t>
      </w:r>
      <w:r>
        <w:rPr>
          <w:spacing w:val="-1"/>
          <w:w w:val="111"/>
        </w:rPr>
        <w:t>llamad</w:t>
      </w:r>
      <w:r>
        <w:rPr>
          <w:w w:val="111"/>
        </w:rPr>
        <w:t>a</w:t>
      </w:r>
      <w:r>
        <w:rPr>
          <w:spacing w:val="10"/>
        </w:rPr>
        <w:t> </w:t>
      </w:r>
      <w:r>
        <w:rPr>
          <w:spacing w:val="-1"/>
          <w:w w:val="109"/>
        </w:rPr>
        <w:t>“segurida</w:t>
      </w:r>
      <w:r>
        <w:rPr>
          <w:w w:val="109"/>
        </w:rPr>
        <w:t>d</w:t>
      </w:r>
      <w:r>
        <w:rPr>
          <w:spacing w:val="10"/>
        </w:rPr>
        <w:t> </w:t>
      </w:r>
      <w:r>
        <w:rPr>
          <w:spacing w:val="-1"/>
          <w:w w:val="112"/>
        </w:rPr>
        <w:t>nacional</w:t>
      </w:r>
      <w:r>
        <w:rPr>
          <w:w w:val="112"/>
        </w:rPr>
        <w:t>”</w:t>
      </w:r>
      <w:r>
        <w:rPr>
          <w:spacing w:val="10"/>
        </w:rPr>
        <w:t> </w:t>
      </w:r>
      <w:r>
        <w:rPr>
          <w:spacing w:val="-1"/>
          <w:w w:val="111"/>
        </w:rPr>
        <w:t>ocupa</w:t>
      </w:r>
      <w:r>
        <w:rPr>
          <w:w w:val="111"/>
        </w:rPr>
        <w:t>n</w:t>
      </w:r>
      <w:r>
        <w:rPr>
          <w:spacing w:val="10"/>
        </w:rPr>
        <w:t> </w:t>
      </w:r>
      <w:r>
        <w:rPr>
          <w:spacing w:val="-1"/>
          <w:w w:val="112"/>
        </w:rPr>
        <w:t>u</w:t>
      </w:r>
      <w:r>
        <w:rPr>
          <w:w w:val="112"/>
        </w:rPr>
        <w:t>n</w:t>
      </w:r>
      <w:r>
        <w:rPr>
          <w:spacing w:val="10"/>
        </w:rPr>
        <w:t> </w:t>
      </w:r>
      <w:r>
        <w:rPr>
          <w:spacing w:val="-1"/>
          <w:w w:val="110"/>
        </w:rPr>
        <w:t>impo</w:t>
      </w:r>
      <w:r>
        <w:rPr>
          <w:spacing w:val="-16"/>
          <w:w w:val="110"/>
        </w:rPr>
        <w:t>r</w:t>
      </w:r>
      <w:r>
        <w:rPr>
          <w:w w:val="102"/>
        </w:rPr>
        <w:t>- </w:t>
      </w:r>
      <w:r>
        <w:rPr>
          <w:w w:val="110"/>
        </w:rPr>
        <w:t>tantísimo lugar y papel en la cultura política norteamericana, y en</w:t>
      </w:r>
      <w:r>
        <w:rPr>
          <w:spacing w:val="-15"/>
          <w:w w:val="110"/>
        </w:rPr>
        <w:t> </w:t>
      </w:r>
      <w:r>
        <w:rPr>
          <w:spacing w:val="-5"/>
          <w:w w:val="110"/>
        </w:rPr>
        <w:t>par- </w:t>
      </w:r>
      <w:r>
        <w:rPr>
          <w:w w:val="110"/>
        </w:rPr>
        <w:t>ticular en la articulación de los perfiles de intolerancia, afincados en el anticomunismo y en una actitud de aparente defensa de los intereses nacionales,</w:t>
      </w:r>
      <w:r>
        <w:rPr>
          <w:spacing w:val="-6"/>
          <w:w w:val="110"/>
        </w:rPr>
        <w:t> </w:t>
      </w:r>
      <w:r>
        <w:rPr>
          <w:w w:val="110"/>
        </w:rPr>
        <w:t>presentados</w:t>
      </w:r>
      <w:r>
        <w:rPr>
          <w:spacing w:val="-6"/>
          <w:w w:val="110"/>
        </w:rPr>
        <w:t> </w:t>
      </w:r>
      <w:r>
        <w:rPr>
          <w:w w:val="110"/>
        </w:rPr>
        <w:t>a</w:t>
      </w:r>
      <w:r>
        <w:rPr>
          <w:spacing w:val="-6"/>
          <w:w w:val="110"/>
        </w:rPr>
        <w:t> </w:t>
      </w:r>
      <w:r>
        <w:rPr>
          <w:w w:val="110"/>
        </w:rPr>
        <w:t>la</w:t>
      </w:r>
      <w:r>
        <w:rPr>
          <w:spacing w:val="-6"/>
          <w:w w:val="110"/>
        </w:rPr>
        <w:t> </w:t>
      </w:r>
      <w:r>
        <w:rPr>
          <w:w w:val="110"/>
        </w:rPr>
        <w:t>opinión</w:t>
      </w:r>
      <w:r>
        <w:rPr>
          <w:spacing w:val="-6"/>
          <w:w w:val="110"/>
        </w:rPr>
        <w:t> </w:t>
      </w:r>
      <w:r>
        <w:rPr>
          <w:w w:val="110"/>
        </w:rPr>
        <w:t>pública</w:t>
      </w:r>
      <w:r>
        <w:rPr>
          <w:spacing w:val="-6"/>
          <w:w w:val="110"/>
        </w:rPr>
        <w:t> </w:t>
      </w:r>
      <w:r>
        <w:rPr>
          <w:w w:val="110"/>
        </w:rPr>
        <w:t>norteamericana</w:t>
      </w:r>
      <w:r>
        <w:rPr>
          <w:spacing w:val="-6"/>
          <w:w w:val="110"/>
        </w:rPr>
        <w:t> </w:t>
      </w:r>
      <w:r>
        <w:rPr>
          <w:w w:val="110"/>
        </w:rPr>
        <w:t>como</w:t>
      </w:r>
      <w:r>
        <w:rPr>
          <w:spacing w:val="-6"/>
          <w:w w:val="110"/>
        </w:rPr>
        <w:t> </w:t>
      </w:r>
      <w:r>
        <w:rPr>
          <w:w w:val="110"/>
        </w:rPr>
        <w:t>“en peligro”, a causa de una amenaza externa, aunque también se</w:t>
      </w:r>
      <w:r>
        <w:rPr>
          <w:spacing w:val="-22"/>
          <w:w w:val="110"/>
        </w:rPr>
        <w:t> </w:t>
      </w:r>
      <w:r>
        <w:rPr>
          <w:w w:val="110"/>
        </w:rPr>
        <w:t>incluyen los fenómenos internos que atentan contra “lo</w:t>
      </w:r>
      <w:r>
        <w:rPr>
          <w:spacing w:val="4"/>
          <w:w w:val="110"/>
        </w:rPr>
        <w:t> </w:t>
      </w:r>
      <w:r>
        <w:rPr>
          <w:w w:val="110"/>
        </w:rPr>
        <w:t>norteamericano”.</w:t>
      </w:r>
    </w:p>
    <w:p>
      <w:pPr>
        <w:pStyle w:val="BodyText"/>
        <w:spacing w:line="252" w:lineRule="auto"/>
        <w:ind w:left="330" w:right="118" w:firstLine="396"/>
        <w:jc w:val="both"/>
      </w:pPr>
      <w:r>
        <w:rPr>
          <w:w w:val="110"/>
        </w:rPr>
        <w:t>En el proceso de formación de las concepciones contemporáneas sobre la “seguridad nacional” de Estados unidos –identificable, apro- ximadamente, en los primeros cinco años de la segunda posguerra–  y</w:t>
      </w:r>
    </w:p>
    <w:p>
      <w:pPr>
        <w:spacing w:after="0" w:line="252" w:lineRule="auto"/>
        <w:jc w:val="both"/>
        <w:sectPr>
          <w:footerReference w:type="even" r:id="rId403"/>
          <w:footerReference w:type="default" r:id="rId404"/>
          <w:pgSz w:w="8790" w:h="12760"/>
          <w:pgMar w:footer="725" w:header="697" w:top="880" w:bottom="920" w:left="1200" w:right="900"/>
          <w:pgNumType w:start="282"/>
        </w:sectPr>
      </w:pPr>
    </w:p>
    <w:p>
      <w:pPr>
        <w:pStyle w:val="BodyText"/>
        <w:spacing w:before="9"/>
        <w:rPr>
          <w:sz w:val="28"/>
        </w:rPr>
      </w:pPr>
    </w:p>
    <w:p>
      <w:pPr>
        <w:pStyle w:val="BodyText"/>
        <w:spacing w:line="252" w:lineRule="auto" w:before="73"/>
        <w:ind w:left="100" w:right="328"/>
        <w:jc w:val="both"/>
      </w:pPr>
      <w:r>
        <w:rPr>
          <w:w w:val="110"/>
        </w:rPr>
        <w:t>en su ulterior desarrollo en los años cincuenta, desempeñan un rol sustancial un conjunto de tendencias y tradiciones ideológicas inhe- rentes, como se ha indicado, a la evolución del capitalismo norteame- ricano y a las particularidades históricas que configuraron el sistema político y la cultura nacional en ese  país.</w:t>
      </w:r>
    </w:p>
    <w:p>
      <w:pPr>
        <w:pStyle w:val="BodyText"/>
        <w:spacing w:line="252" w:lineRule="auto"/>
        <w:ind w:left="100" w:right="328" w:firstLine="396"/>
        <w:jc w:val="both"/>
      </w:pPr>
      <w:r>
        <w:rPr>
          <w:w w:val="243"/>
        </w:rPr>
        <w:t>l</w:t>
      </w:r>
      <w:r>
        <w:rPr>
          <w:w w:val="109"/>
        </w:rPr>
        <w:t>as</w:t>
      </w:r>
      <w:r>
        <w:rPr/>
        <w:t> </w:t>
      </w:r>
      <w:r>
        <w:rPr>
          <w:spacing w:val="-13"/>
        </w:rPr>
        <w:t> </w:t>
      </w:r>
      <w:r>
        <w:rPr>
          <w:w w:val="111"/>
        </w:rPr>
        <w:t>condiciones</w:t>
      </w:r>
      <w:r>
        <w:rPr/>
        <w:t> </w:t>
      </w:r>
      <w:r>
        <w:rPr>
          <w:spacing w:val="-13"/>
        </w:rPr>
        <w:t> </w:t>
      </w:r>
      <w:r>
        <w:rPr>
          <w:w w:val="108"/>
        </w:rPr>
        <w:t>en</w:t>
      </w:r>
      <w:r>
        <w:rPr/>
        <w:t> </w:t>
      </w:r>
      <w:r>
        <w:rPr>
          <w:spacing w:val="-13"/>
        </w:rPr>
        <w:t> </w:t>
      </w:r>
      <w:r>
        <w:rPr>
          <w:w w:val="108"/>
        </w:rPr>
        <w:t>que</w:t>
      </w:r>
      <w:r>
        <w:rPr/>
        <w:t> </w:t>
      </w:r>
      <w:r>
        <w:rPr>
          <w:spacing w:val="-13"/>
        </w:rPr>
        <w:t> </w:t>
      </w:r>
      <w:r>
        <w:rPr>
          <w:w w:val="105"/>
        </w:rPr>
        <w:t>se</w:t>
      </w:r>
      <w:r>
        <w:rPr/>
        <w:t> </w:t>
      </w:r>
      <w:r>
        <w:rPr>
          <w:spacing w:val="-13"/>
        </w:rPr>
        <w:t> </w:t>
      </w:r>
      <w:r>
        <w:rPr>
          <w:w w:val="108"/>
        </w:rPr>
        <w:t>gesta</w:t>
      </w:r>
      <w:r>
        <w:rPr/>
        <w:t> </w:t>
      </w:r>
      <w:r>
        <w:rPr>
          <w:spacing w:val="-13"/>
        </w:rPr>
        <w:t> </w:t>
      </w:r>
      <w:r>
        <w:rPr>
          <w:w w:val="111"/>
        </w:rPr>
        <w:t>la</w:t>
      </w:r>
      <w:r>
        <w:rPr/>
        <w:t> </w:t>
      </w:r>
      <w:r>
        <w:rPr>
          <w:spacing w:val="-13"/>
        </w:rPr>
        <w:t> </w:t>
      </w:r>
      <w:r>
        <w:rPr>
          <w:w w:val="108"/>
        </w:rPr>
        <w:t>guerra</w:t>
      </w:r>
      <w:r>
        <w:rPr/>
        <w:t> </w:t>
      </w:r>
      <w:r>
        <w:rPr>
          <w:spacing w:val="-13"/>
        </w:rPr>
        <w:t> </w:t>
      </w:r>
      <w:r>
        <w:rPr>
          <w:w w:val="107"/>
        </w:rPr>
        <w:t>de</w:t>
      </w:r>
      <w:r>
        <w:rPr/>
        <w:t> </w:t>
      </w:r>
      <w:r>
        <w:rPr>
          <w:spacing w:val="-13"/>
        </w:rPr>
        <w:t> </w:t>
      </w:r>
      <w:r>
        <w:rPr>
          <w:w w:val="110"/>
        </w:rPr>
        <w:t>independencia,</w:t>
      </w:r>
      <w:r>
        <w:rPr/>
        <w:t> </w:t>
      </w:r>
      <w:r>
        <w:rPr>
          <w:spacing w:val="-13"/>
        </w:rPr>
        <w:t> </w:t>
      </w:r>
      <w:r>
        <w:rPr>
          <w:w w:val="108"/>
        </w:rPr>
        <w:t>en </w:t>
      </w:r>
      <w:r>
        <w:rPr>
          <w:w w:val="110"/>
        </w:rPr>
        <w:t>las cuales emerge la nación norteamericana con su fisonomía pecu- liar y se consolida el país con un Estado centralizado único, junto        al cuadro histórico que completan la guerra de secesión, al concluir tareas pendientes de la revolución burguesa inconclusa y la posterior reconstrucción, que propician la transición al imperialismo, configu- ran el marco de referencia que explica la orientación que asumen</w:t>
      </w:r>
      <w:r>
        <w:rPr>
          <w:spacing w:val="-30"/>
          <w:w w:val="110"/>
        </w:rPr>
        <w:t> </w:t>
      </w:r>
      <w:r>
        <w:rPr>
          <w:w w:val="110"/>
        </w:rPr>
        <w:t>tales tendencias y tradiciones, implantadas en la historia política y cultural de  Estados</w:t>
      </w:r>
      <w:r>
        <w:rPr>
          <w:spacing w:val="19"/>
          <w:w w:val="110"/>
        </w:rPr>
        <w:t> </w:t>
      </w:r>
      <w:r>
        <w:rPr>
          <w:w w:val="110"/>
        </w:rPr>
        <w:t>unidos.</w:t>
      </w:r>
    </w:p>
    <w:p>
      <w:pPr>
        <w:pStyle w:val="BodyText"/>
        <w:spacing w:line="252" w:lineRule="auto"/>
        <w:ind w:left="100" w:right="328" w:firstLine="396"/>
        <w:jc w:val="both"/>
      </w:pPr>
      <w:r>
        <w:rPr>
          <w:w w:val="110"/>
        </w:rPr>
        <w:t>al acudir a la historia, se advierte que las principales fuentes teó- ricas que nutren las concepciones de “seguridad nacional” en Estados unidos</w:t>
      </w:r>
      <w:r>
        <w:rPr>
          <w:spacing w:val="-5"/>
          <w:w w:val="110"/>
        </w:rPr>
        <w:t> </w:t>
      </w:r>
      <w:r>
        <w:rPr>
          <w:w w:val="110"/>
        </w:rPr>
        <w:t>no</w:t>
      </w:r>
      <w:r>
        <w:rPr>
          <w:spacing w:val="-5"/>
          <w:w w:val="110"/>
        </w:rPr>
        <w:t> </w:t>
      </w:r>
      <w:r>
        <w:rPr>
          <w:w w:val="110"/>
        </w:rPr>
        <w:t>se</w:t>
      </w:r>
      <w:r>
        <w:rPr>
          <w:spacing w:val="-5"/>
          <w:w w:val="110"/>
        </w:rPr>
        <w:t> </w:t>
      </w:r>
      <w:r>
        <w:rPr>
          <w:w w:val="110"/>
        </w:rPr>
        <w:t>hallan</w:t>
      </w:r>
      <w:r>
        <w:rPr>
          <w:spacing w:val="-5"/>
          <w:w w:val="110"/>
        </w:rPr>
        <w:t> </w:t>
      </w:r>
      <w:r>
        <w:rPr>
          <w:w w:val="110"/>
        </w:rPr>
        <w:t>–si</w:t>
      </w:r>
      <w:r>
        <w:rPr>
          <w:spacing w:val="-5"/>
          <w:w w:val="110"/>
        </w:rPr>
        <w:t> </w:t>
      </w:r>
      <w:r>
        <w:rPr>
          <w:w w:val="110"/>
        </w:rPr>
        <w:t>se</w:t>
      </w:r>
      <w:r>
        <w:rPr>
          <w:spacing w:val="-5"/>
          <w:w w:val="110"/>
        </w:rPr>
        <w:t> </w:t>
      </w:r>
      <w:r>
        <w:rPr>
          <w:w w:val="110"/>
        </w:rPr>
        <w:t>asume</w:t>
      </w:r>
      <w:r>
        <w:rPr>
          <w:spacing w:val="-5"/>
          <w:w w:val="110"/>
        </w:rPr>
        <w:t> </w:t>
      </w:r>
      <w:r>
        <w:rPr>
          <w:w w:val="110"/>
        </w:rPr>
        <w:t>en</w:t>
      </w:r>
      <w:r>
        <w:rPr>
          <w:spacing w:val="-5"/>
          <w:w w:val="110"/>
        </w:rPr>
        <w:t> </w:t>
      </w:r>
      <w:r>
        <w:rPr>
          <w:w w:val="110"/>
        </w:rPr>
        <w:t>visión</w:t>
      </w:r>
      <w:r>
        <w:rPr>
          <w:spacing w:val="-5"/>
          <w:w w:val="110"/>
        </w:rPr>
        <w:t> </w:t>
      </w:r>
      <w:r>
        <w:rPr>
          <w:w w:val="110"/>
        </w:rPr>
        <w:t>retrospectiva–</w:t>
      </w:r>
      <w:r>
        <w:rPr>
          <w:spacing w:val="-5"/>
          <w:w w:val="110"/>
        </w:rPr>
        <w:t> </w:t>
      </w:r>
      <w:r>
        <w:rPr>
          <w:w w:val="110"/>
        </w:rPr>
        <w:t>en</w:t>
      </w:r>
      <w:r>
        <w:rPr>
          <w:spacing w:val="-5"/>
          <w:w w:val="110"/>
        </w:rPr>
        <w:t> </w:t>
      </w:r>
      <w:r>
        <w:rPr>
          <w:w w:val="110"/>
        </w:rPr>
        <w:t>el</w:t>
      </w:r>
      <w:r>
        <w:rPr>
          <w:spacing w:val="-5"/>
          <w:w w:val="110"/>
        </w:rPr>
        <w:t> </w:t>
      </w:r>
      <w:r>
        <w:rPr>
          <w:w w:val="110"/>
        </w:rPr>
        <w:t>período de la segunda posguerra, en los años cincuenta, ni en la Gran depre- sión de 1929-33, sino en la historia misma de la formación de la na- ción y de su </w:t>
      </w:r>
      <w:r>
        <w:rPr>
          <w:spacing w:val="-3"/>
          <w:w w:val="110"/>
        </w:rPr>
        <w:t>devenir, </w:t>
      </w:r>
      <w:r>
        <w:rPr>
          <w:w w:val="110"/>
        </w:rPr>
        <w:t>en una trayectoria que llega a la actualidad, y que inclusive anticipa rasgos que corresponderían a la etapa imperialista, dadas las particularidades del desarrollo capitalista en ese país. En este sentido, el pragmatismo, el positivismo evolucionista, el social- darwinismo y el pensamiento geopolítico aportan sustentos teóricos decisivos, sobre todo en la segunda mitad del siglo   </w:t>
      </w:r>
      <w:r>
        <w:rPr>
          <w:spacing w:val="1"/>
          <w:w w:val="110"/>
        </w:rPr>
        <w:t> </w:t>
      </w:r>
      <w:r>
        <w:rPr>
          <w:w w:val="125"/>
        </w:rPr>
        <w:t>xix.</w:t>
      </w:r>
    </w:p>
    <w:p>
      <w:pPr>
        <w:pStyle w:val="BodyText"/>
        <w:spacing w:line="252" w:lineRule="auto"/>
        <w:ind w:left="100" w:right="327" w:firstLine="396"/>
        <w:jc w:val="both"/>
      </w:pPr>
      <w:r>
        <w:rPr>
          <w:w w:val="110"/>
        </w:rPr>
        <w:t>dichas fuentes se conectan, orgánicamente, en calidad de nu- trientes intelectuales, con las raíces sociales ya mencionadas, con- sustanciales a la evolución del único modo de producción que ha conocido Estados unidos –el capitalista– en su interacción con las especificidades del medio geográfico, de la población, economía, es- tructura social y cultura de esa nación. ambos tipos de fuentes </w:t>
      </w:r>
      <w:r>
        <w:rPr>
          <w:spacing w:val="-4"/>
          <w:w w:val="110"/>
        </w:rPr>
        <w:t>ver- </w:t>
      </w:r>
      <w:r>
        <w:rPr>
          <w:w w:val="110"/>
        </w:rPr>
        <w:t>tebran la historia de la cultura política norteamericana y permiten esclarecer el impacto de ciertas tradiciones, por un lado, que aportan bases ideológicas a la doctrina de la “seguridad nacional” y a la legiti- midad del empleo de la violencia, bajo determinadas circunstancias;   y por otro, la influencia de las corrientes teóricas que contribuyen a denotar el contenido, estructura y funciones de la mencionada doc- trina. He ahí pilares determinantes en la temprana articulación his- tórica del enfrentamiento al antinorteamericanismo (aunque no se le denomine entonces</w:t>
      </w:r>
      <w:r>
        <w:rPr>
          <w:spacing w:val="19"/>
          <w:w w:val="110"/>
        </w:rPr>
        <w:t> </w:t>
      </w:r>
      <w:r>
        <w:rPr>
          <w:w w:val="110"/>
        </w:rPr>
        <w:t>así).</w:t>
      </w:r>
    </w:p>
    <w:p>
      <w:pPr>
        <w:pStyle w:val="BodyText"/>
        <w:spacing w:line="252" w:lineRule="auto"/>
        <w:ind w:left="100" w:right="328" w:firstLine="396"/>
        <w:jc w:val="both"/>
      </w:pPr>
      <w:r>
        <w:rPr>
          <w:w w:val="110"/>
        </w:rPr>
        <w:t>dentro del cuadro ideológico y cultural esbozado, no resulta raro encontrar</w:t>
      </w:r>
      <w:r>
        <w:rPr>
          <w:spacing w:val="-6"/>
          <w:w w:val="110"/>
        </w:rPr>
        <w:t> </w:t>
      </w:r>
      <w:r>
        <w:rPr>
          <w:w w:val="110"/>
        </w:rPr>
        <w:t>expresiones,</w:t>
      </w:r>
      <w:r>
        <w:rPr>
          <w:spacing w:val="-6"/>
          <w:w w:val="110"/>
        </w:rPr>
        <w:t> </w:t>
      </w:r>
      <w:r>
        <w:rPr>
          <w:w w:val="110"/>
        </w:rPr>
        <w:t>prácticamente</w:t>
      </w:r>
      <w:r>
        <w:rPr>
          <w:spacing w:val="-6"/>
          <w:w w:val="110"/>
        </w:rPr>
        <w:t> </w:t>
      </w:r>
      <w:r>
        <w:rPr>
          <w:w w:val="110"/>
        </w:rPr>
        <w:t>desde</w:t>
      </w:r>
      <w:r>
        <w:rPr>
          <w:spacing w:val="-6"/>
          <w:w w:val="110"/>
        </w:rPr>
        <w:t> </w:t>
      </w:r>
      <w:r>
        <w:rPr>
          <w:w w:val="110"/>
        </w:rPr>
        <w:t>la</w:t>
      </w:r>
      <w:r>
        <w:rPr>
          <w:spacing w:val="-6"/>
          <w:w w:val="110"/>
        </w:rPr>
        <w:t> </w:t>
      </w:r>
      <w:r>
        <w:rPr>
          <w:w w:val="110"/>
        </w:rPr>
        <w:t>etapa</w:t>
      </w:r>
      <w:r>
        <w:rPr>
          <w:spacing w:val="-6"/>
          <w:w w:val="110"/>
        </w:rPr>
        <w:t> </w:t>
      </w:r>
      <w:r>
        <w:rPr>
          <w:w w:val="110"/>
        </w:rPr>
        <w:t>inmediata</w:t>
      </w:r>
      <w:r>
        <w:rPr>
          <w:spacing w:val="-6"/>
          <w:w w:val="110"/>
        </w:rPr>
        <w:t> </w:t>
      </w:r>
      <w:r>
        <w:rPr>
          <w:w w:val="110"/>
        </w:rPr>
        <w:t>que</w:t>
      </w:r>
      <w:r>
        <w:rPr>
          <w:spacing w:val="-6"/>
          <w:w w:val="110"/>
        </w:rPr>
        <w:t> </w:t>
      </w:r>
      <w:r>
        <w:rPr>
          <w:w w:val="110"/>
        </w:rPr>
        <w:t>si- gue a la guerra civil, que se afirman con mayor visibilidad en</w:t>
      </w:r>
      <w:r>
        <w:rPr>
          <w:spacing w:val="17"/>
          <w:w w:val="110"/>
        </w:rPr>
        <w:t> </w:t>
      </w:r>
      <w:r>
        <w:rPr>
          <w:w w:val="110"/>
        </w:rPr>
        <w:t>periodos</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posteriores a la dos guerras mundiales (es decir, los decenios de 1920 y 1950), de violencia desmedida, que no respetan normas morales o sociales, y que en ocasiones chocan además con las leyes. se trata, principalmente, de acciones de movimientos organizados de extrema derecha, que como regla se materializa en una tendencia que aparece como respuesta ante lo que sus miembros consideran como una ame- naza a la identidad o intereses nacionales, una posible pérdida de sus derechos, o afectación de su posición como grupo ante el resto de la sociedad. En su movilización confluyen factores como los analizados: el puritanismo dogmático, la intolerancia, los prejuicios religiosos, ra- cistas, étnicos, muy vinculados al sentimiento antiinmigrante, junto a las corrientes de pensamiento aludidas.</w:t>
      </w:r>
    </w:p>
    <w:p>
      <w:pPr>
        <w:pStyle w:val="BodyText"/>
        <w:spacing w:line="252" w:lineRule="auto"/>
        <w:ind w:left="330" w:right="117" w:firstLine="396"/>
        <w:jc w:val="both"/>
      </w:pPr>
      <w:r>
        <w:rPr>
          <w:w w:val="110"/>
        </w:rPr>
        <w:t>Entre las manifestaciones más conocidas que responden a la de- finición anterior se encuentran, desde luego, las que emanan de con- cepciones y prácticas de extrema derecha, como las que afirman la supremacía blanca o religiosa, el rechazo a todo lo que atente contra la esencia de la cultura nacional (como los inmigrantes) y contra lo que se consideran excesos del gobierno federal, que obstaculizan la libertad individual y exigen tomarse la justicia por sus propias manos. Entre ellas pueden mencionarse el ya nombrado Ku Klux Klan, el Mo- vimiento de identidad Cristiana, las organizaciones neonazis, como  las de cabezas rapadas (</w:t>
      </w:r>
      <w:r>
        <w:rPr>
          <w:i/>
          <w:w w:val="110"/>
        </w:rPr>
        <w:t>skinheads</w:t>
      </w:r>
      <w:r>
        <w:rPr>
          <w:w w:val="110"/>
        </w:rPr>
        <w:t>), las llamadas Milicias y otras que integran lo que se conoce como el Movimiento Vigilante. En todos estos casos, se estimula, por ejemplo, la xenofobia, la legitimidad de portar armas y de realizar acciones criminales, como las de lincha- mientos de negros en estados</w:t>
      </w:r>
      <w:r>
        <w:rPr>
          <w:spacing w:val="8"/>
          <w:w w:val="110"/>
        </w:rPr>
        <w:t> </w:t>
      </w:r>
      <w:r>
        <w:rPr>
          <w:w w:val="110"/>
        </w:rPr>
        <w:t>sureños.</w:t>
      </w:r>
    </w:p>
    <w:p>
      <w:pPr>
        <w:pStyle w:val="BodyText"/>
        <w:spacing w:line="252" w:lineRule="auto"/>
        <w:ind w:left="330" w:right="117" w:firstLine="396"/>
        <w:jc w:val="both"/>
      </w:pPr>
      <w:r>
        <w:rPr>
          <w:w w:val="110"/>
        </w:rPr>
        <w:t>Como puede apreciarse, lo anotado conlleva definiciones que pueden inscribirse en el patrón del terrorismo doméstico y afectan el sentido convencional de la “seguridad nacional” norteamericana, toda vez que afectan el orden interior, la estabilidad social, la tranquilidad ciudadana y la gobernabilidad estatal. Esta situación no responde a connotaciones políticas, al menos en lo esencial, y en la mayor parte de los casos, ni siquiera las contiene. son expresiones de una cultura de la violencia inseparable de la historia de Estados unidos contra todo aquello que se codifique como antinorteamericano. sin embargo, casi nunca se le ha categorizado, de manera explícita y consecuente, como un problema de “seguridad nacional”, ni se les ha encuadrado, pongamos por caso, en una prioridad antiterrorista ni de alcance na- cional, como las diseñadas a partir de septiembre de  2001.</w:t>
      </w:r>
    </w:p>
    <w:p>
      <w:pPr>
        <w:pStyle w:val="BodyText"/>
        <w:spacing w:line="252" w:lineRule="auto"/>
        <w:ind w:left="330" w:right="117" w:firstLine="396"/>
        <w:jc w:val="both"/>
      </w:pPr>
      <w:r>
        <w:rPr>
          <w:w w:val="110"/>
        </w:rPr>
        <w:t>Esa atmósfera represiva, intolerante, violenta, reaparece en el si- glo </w:t>
      </w:r>
      <w:r>
        <w:rPr>
          <w:w w:val="130"/>
        </w:rPr>
        <w:t>xxi </w:t>
      </w:r>
      <w:r>
        <w:rPr>
          <w:w w:val="110"/>
        </w:rPr>
        <w:t>también en el plano exterior –a pesar de que ya no exista el sistema socialista mundial ni la unión soviética, y de que no pueda hablarse de una “amenaza” comunista– pero proyectada hacia    diver-</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right"/>
      </w:pPr>
      <w:r>
        <w:rPr>
          <w:w w:val="110"/>
        </w:rPr>
        <w:t>sos temas, de los cuales el principal es la lucha contra el</w:t>
      </w:r>
      <w:r>
        <w:rPr>
          <w:spacing w:val="-2"/>
          <w:w w:val="110"/>
        </w:rPr>
        <w:t> </w:t>
      </w:r>
      <w:r>
        <w:rPr>
          <w:w w:val="110"/>
        </w:rPr>
        <w:t>terrorismo</w:t>
      </w:r>
      <w:r>
        <w:rPr>
          <w:spacing w:val="-1"/>
          <w:w w:val="110"/>
        </w:rPr>
        <w:t> </w:t>
      </w:r>
      <w:r>
        <w:rPr>
          <w:w w:val="110"/>
        </w:rPr>
        <w:t>de</w:t>
      </w:r>
      <w:r>
        <w:rPr>
          <w:w w:val="107"/>
        </w:rPr>
        <w:t> </w:t>
      </w:r>
      <w:r>
        <w:rPr>
          <w:w w:val="110"/>
        </w:rPr>
        <w:t>los que odian y ponen en peligro a Estados unidos</w:t>
      </w:r>
      <w:r>
        <w:rPr>
          <w:spacing w:val="13"/>
          <w:w w:val="110"/>
        </w:rPr>
        <w:t> </w:t>
      </w:r>
      <w:r>
        <w:rPr>
          <w:w w:val="110"/>
        </w:rPr>
        <w:t>(Hernández,</w:t>
      </w:r>
      <w:r>
        <w:rPr>
          <w:spacing w:val="1"/>
          <w:w w:val="110"/>
        </w:rPr>
        <w:t> </w:t>
      </w:r>
      <w:r>
        <w:rPr>
          <w:w w:val="110"/>
        </w:rPr>
        <w:t>2007).</w:t>
      </w:r>
      <w:r>
        <w:rPr>
          <w:w w:val="104"/>
        </w:rPr>
        <w:t> </w:t>
      </w:r>
      <w:r>
        <w:rPr>
          <w:w w:val="243"/>
        </w:rPr>
        <w:t>l</w:t>
      </w:r>
      <w:r>
        <w:rPr>
          <w:w w:val="112"/>
        </w:rPr>
        <w:t>a</w:t>
      </w:r>
      <w:r>
        <w:rPr>
          <w:spacing w:val="7"/>
        </w:rPr>
        <w:t> </w:t>
      </w:r>
      <w:r>
        <w:rPr>
          <w:w w:val="111"/>
        </w:rPr>
        <w:t>cultura</w:t>
      </w:r>
      <w:r>
        <w:rPr>
          <w:spacing w:val="7"/>
        </w:rPr>
        <w:t> </w:t>
      </w:r>
      <w:r>
        <w:rPr>
          <w:w w:val="111"/>
        </w:rPr>
        <w:t>política</w:t>
      </w:r>
      <w:r>
        <w:rPr>
          <w:spacing w:val="7"/>
        </w:rPr>
        <w:t> </w:t>
      </w:r>
      <w:r>
        <w:rPr>
          <w:w w:val="112"/>
        </w:rPr>
        <w:t>ha</w:t>
      </w:r>
      <w:r>
        <w:rPr>
          <w:spacing w:val="7"/>
        </w:rPr>
        <w:t> </w:t>
      </w:r>
      <w:r>
        <w:rPr>
          <w:w w:val="109"/>
        </w:rPr>
        <w:t>desempeñado</w:t>
      </w:r>
      <w:r>
        <w:rPr>
          <w:spacing w:val="7"/>
        </w:rPr>
        <w:t> </w:t>
      </w:r>
      <w:r>
        <w:rPr>
          <w:w w:val="106"/>
        </w:rPr>
        <w:t>desde</w:t>
      </w:r>
      <w:r>
        <w:rPr>
          <w:spacing w:val="7"/>
        </w:rPr>
        <w:t> </w:t>
      </w:r>
      <w:r>
        <w:rPr>
          <w:w w:val="107"/>
        </w:rPr>
        <w:t>el</w:t>
      </w:r>
      <w:r>
        <w:rPr>
          <w:spacing w:val="7"/>
        </w:rPr>
        <w:t> </w:t>
      </w:r>
      <w:r>
        <w:rPr>
          <w:w w:val="110"/>
        </w:rPr>
        <w:t>punto</w:t>
      </w:r>
      <w:r>
        <w:rPr>
          <w:spacing w:val="7"/>
        </w:rPr>
        <w:t> </w:t>
      </w:r>
      <w:r>
        <w:rPr>
          <w:w w:val="107"/>
        </w:rPr>
        <w:t>de</w:t>
      </w:r>
      <w:r>
        <w:rPr>
          <w:spacing w:val="7"/>
        </w:rPr>
        <w:t> </w:t>
      </w:r>
      <w:r>
        <w:rPr>
          <w:w w:val="107"/>
        </w:rPr>
        <w:t>vista</w:t>
      </w:r>
      <w:r>
        <w:rPr>
          <w:spacing w:val="7"/>
        </w:rPr>
        <w:t> </w:t>
      </w:r>
      <w:r>
        <w:rPr>
          <w:w w:val="110"/>
        </w:rPr>
        <w:t>histó</w:t>
      </w:r>
      <w:r>
        <w:rPr>
          <w:w w:val="102"/>
        </w:rPr>
        <w:t>- </w:t>
      </w:r>
      <w:r>
        <w:rPr>
          <w:w w:val="111"/>
        </w:rPr>
        <w:t> </w:t>
      </w:r>
      <w:r>
        <w:rPr>
          <w:w w:val="110"/>
        </w:rPr>
        <w:t>rico como legitimación de la hegemonía norteamericana, en</w:t>
      </w:r>
      <w:r>
        <w:rPr>
          <w:spacing w:val="10"/>
          <w:w w:val="110"/>
        </w:rPr>
        <w:t> </w:t>
      </w:r>
      <w:r>
        <w:rPr>
          <w:w w:val="110"/>
        </w:rPr>
        <w:t>la</w:t>
      </w:r>
      <w:r>
        <w:rPr>
          <w:spacing w:val="1"/>
          <w:w w:val="110"/>
        </w:rPr>
        <w:t> </w:t>
      </w:r>
      <w:r>
        <w:rPr>
          <w:w w:val="110"/>
        </w:rPr>
        <w:t>medida</w:t>
      </w:r>
      <w:r>
        <w:rPr>
          <w:w w:val="110"/>
        </w:rPr>
        <w:t> </w:t>
      </w:r>
      <w:r>
        <w:rPr>
          <w:w w:val="110"/>
        </w:rPr>
        <w:t>que</w:t>
      </w:r>
      <w:r>
        <w:rPr>
          <w:spacing w:val="-5"/>
          <w:w w:val="110"/>
        </w:rPr>
        <w:t> </w:t>
      </w:r>
      <w:r>
        <w:rPr>
          <w:w w:val="110"/>
        </w:rPr>
        <w:t>ha</w:t>
      </w:r>
      <w:r>
        <w:rPr>
          <w:spacing w:val="-5"/>
          <w:w w:val="110"/>
        </w:rPr>
        <w:t> </w:t>
      </w:r>
      <w:r>
        <w:rPr>
          <w:w w:val="110"/>
        </w:rPr>
        <w:t>suministrado</w:t>
      </w:r>
      <w:r>
        <w:rPr>
          <w:spacing w:val="-5"/>
          <w:w w:val="110"/>
        </w:rPr>
        <w:t> </w:t>
      </w:r>
      <w:r>
        <w:rPr>
          <w:w w:val="110"/>
        </w:rPr>
        <w:t>las</w:t>
      </w:r>
      <w:r>
        <w:rPr>
          <w:spacing w:val="-5"/>
          <w:w w:val="110"/>
        </w:rPr>
        <w:t> </w:t>
      </w:r>
      <w:r>
        <w:rPr>
          <w:w w:val="110"/>
        </w:rPr>
        <w:t>bases</w:t>
      </w:r>
      <w:r>
        <w:rPr>
          <w:spacing w:val="-5"/>
          <w:w w:val="110"/>
        </w:rPr>
        <w:t> </w:t>
      </w:r>
      <w:r>
        <w:rPr>
          <w:w w:val="110"/>
        </w:rPr>
        <w:t>ideológicas</w:t>
      </w:r>
      <w:r>
        <w:rPr>
          <w:spacing w:val="-5"/>
          <w:w w:val="110"/>
        </w:rPr>
        <w:t> </w:t>
      </w:r>
      <w:r>
        <w:rPr>
          <w:w w:val="110"/>
        </w:rPr>
        <w:t>y</w:t>
      </w:r>
      <w:r>
        <w:rPr>
          <w:spacing w:val="-5"/>
          <w:w w:val="110"/>
        </w:rPr>
        <w:t> </w:t>
      </w:r>
      <w:r>
        <w:rPr>
          <w:w w:val="110"/>
        </w:rPr>
        <w:t>psicológicas</w:t>
      </w:r>
      <w:r>
        <w:rPr>
          <w:spacing w:val="-5"/>
          <w:w w:val="110"/>
        </w:rPr>
        <w:t> </w:t>
      </w:r>
      <w:r>
        <w:rPr>
          <w:w w:val="110"/>
        </w:rPr>
        <w:t>para</w:t>
      </w:r>
      <w:r>
        <w:rPr>
          <w:spacing w:val="-5"/>
          <w:w w:val="110"/>
        </w:rPr>
        <w:t> </w:t>
      </w:r>
      <w:r>
        <w:rPr>
          <w:w w:val="110"/>
        </w:rPr>
        <w:t>su</w:t>
      </w:r>
      <w:r>
        <w:rPr>
          <w:spacing w:val="-5"/>
          <w:w w:val="110"/>
        </w:rPr>
        <w:t> </w:t>
      </w:r>
      <w:r>
        <w:rPr>
          <w:w w:val="110"/>
        </w:rPr>
        <w:t>soste-</w:t>
      </w:r>
      <w:r>
        <w:rPr>
          <w:w w:val="102"/>
        </w:rPr>
        <w:t> </w:t>
      </w:r>
      <w:r>
        <w:rPr>
          <w:w w:val="110"/>
        </w:rPr>
        <w:t>nimiento, justificación y adecuación doctrinal o</w:t>
      </w:r>
      <w:r>
        <w:rPr>
          <w:spacing w:val="27"/>
          <w:w w:val="110"/>
        </w:rPr>
        <w:t> </w:t>
      </w:r>
      <w:r>
        <w:rPr>
          <w:w w:val="110"/>
        </w:rPr>
        <w:t>teórica,</w:t>
      </w:r>
      <w:r>
        <w:rPr>
          <w:spacing w:val="27"/>
          <w:w w:val="110"/>
        </w:rPr>
        <w:t> </w:t>
      </w:r>
      <w:r>
        <w:rPr>
          <w:w w:val="110"/>
        </w:rPr>
        <w:t>propiciando</w:t>
      </w:r>
      <w:r>
        <w:rPr>
          <w:w w:val="110"/>
        </w:rPr>
        <w:t> </w:t>
      </w:r>
      <w:r>
        <w:rPr>
          <w:w w:val="110"/>
        </w:rPr>
        <w:t>el consenso a nivel doméstico y argumentando la</w:t>
      </w:r>
      <w:r>
        <w:rPr>
          <w:spacing w:val="26"/>
          <w:w w:val="110"/>
        </w:rPr>
        <w:t> </w:t>
      </w:r>
      <w:r>
        <w:rPr>
          <w:w w:val="110"/>
        </w:rPr>
        <w:t>necesaria</w:t>
      </w:r>
      <w:r>
        <w:rPr>
          <w:spacing w:val="9"/>
          <w:w w:val="110"/>
        </w:rPr>
        <w:t> </w:t>
      </w:r>
      <w:r>
        <w:rPr>
          <w:w w:val="110"/>
        </w:rPr>
        <w:t>“defensa”</w:t>
      </w:r>
      <w:r>
        <w:rPr>
          <w:w w:val="110"/>
        </w:rPr>
        <w:t> </w:t>
      </w:r>
      <w:r>
        <w:rPr>
          <w:w w:val="110"/>
        </w:rPr>
        <w:t>de la seguridad en  el  plano  externo.  En  muchos  casos,</w:t>
      </w:r>
      <w:r>
        <w:rPr>
          <w:spacing w:val="3"/>
          <w:w w:val="110"/>
        </w:rPr>
        <w:t> </w:t>
      </w:r>
      <w:r>
        <w:rPr>
          <w:w w:val="110"/>
        </w:rPr>
        <w:t>apelando</w:t>
      </w:r>
      <w:r>
        <w:rPr>
          <w:spacing w:val="41"/>
          <w:w w:val="110"/>
        </w:rPr>
        <w:t> </w:t>
      </w:r>
      <w:r>
        <w:rPr>
          <w:w w:val="110"/>
        </w:rPr>
        <w:t>a</w:t>
      </w:r>
      <w:r>
        <w:rPr>
          <w:w w:val="112"/>
        </w:rPr>
        <w:t> </w:t>
      </w:r>
      <w:r>
        <w:rPr>
          <w:w w:val="110"/>
        </w:rPr>
        <w:t>la</w:t>
      </w:r>
      <w:r>
        <w:rPr>
          <w:spacing w:val="29"/>
          <w:w w:val="110"/>
        </w:rPr>
        <w:t> </w:t>
      </w:r>
      <w:r>
        <w:rPr>
          <w:w w:val="110"/>
        </w:rPr>
        <w:t>coerción,</w:t>
      </w:r>
      <w:r>
        <w:rPr>
          <w:spacing w:val="29"/>
          <w:w w:val="110"/>
        </w:rPr>
        <w:t> </w:t>
      </w:r>
      <w:r>
        <w:rPr>
          <w:w w:val="110"/>
        </w:rPr>
        <w:t>a</w:t>
      </w:r>
      <w:r>
        <w:rPr>
          <w:spacing w:val="29"/>
          <w:w w:val="110"/>
        </w:rPr>
        <w:t> </w:t>
      </w:r>
      <w:r>
        <w:rPr>
          <w:w w:val="110"/>
        </w:rPr>
        <w:t>un</w:t>
      </w:r>
      <w:r>
        <w:rPr>
          <w:spacing w:val="29"/>
          <w:w w:val="110"/>
        </w:rPr>
        <w:t> </w:t>
      </w:r>
      <w:r>
        <w:rPr>
          <w:w w:val="110"/>
        </w:rPr>
        <w:t>componente</w:t>
      </w:r>
      <w:r>
        <w:rPr>
          <w:spacing w:val="29"/>
          <w:w w:val="110"/>
        </w:rPr>
        <w:t> </w:t>
      </w:r>
      <w:r>
        <w:rPr>
          <w:w w:val="110"/>
        </w:rPr>
        <w:t>de</w:t>
      </w:r>
      <w:r>
        <w:rPr>
          <w:spacing w:val="29"/>
          <w:w w:val="110"/>
        </w:rPr>
        <w:t> </w:t>
      </w:r>
      <w:r>
        <w:rPr>
          <w:w w:val="110"/>
        </w:rPr>
        <w:t>violencia</w:t>
      </w:r>
      <w:r>
        <w:rPr>
          <w:spacing w:val="29"/>
          <w:w w:val="110"/>
        </w:rPr>
        <w:t> </w:t>
      </w:r>
      <w:r>
        <w:rPr>
          <w:w w:val="110"/>
        </w:rPr>
        <w:t>institucionalizada</w:t>
      </w:r>
      <w:r>
        <w:rPr>
          <w:spacing w:val="29"/>
          <w:w w:val="110"/>
        </w:rPr>
        <w:t> </w:t>
      </w:r>
      <w:r>
        <w:rPr>
          <w:w w:val="110"/>
        </w:rPr>
        <w:t>que</w:t>
      </w:r>
      <w:r>
        <w:rPr>
          <w:spacing w:val="29"/>
          <w:w w:val="110"/>
        </w:rPr>
        <w:t> </w:t>
      </w:r>
      <w:r>
        <w:rPr>
          <w:w w:val="110"/>
        </w:rPr>
        <w:t>se</w:t>
      </w:r>
      <w:r>
        <w:rPr>
          <w:w w:val="105"/>
        </w:rPr>
        <w:t> </w:t>
      </w:r>
      <w:r>
        <w:rPr>
          <w:w w:val="110"/>
        </w:rPr>
        <w:t>expresa de manera recurrente durante el período de la Guerra</w:t>
      </w:r>
      <w:r>
        <w:rPr>
          <w:spacing w:val="34"/>
          <w:w w:val="110"/>
        </w:rPr>
        <w:t> </w:t>
      </w:r>
      <w:r>
        <w:rPr>
          <w:w w:val="110"/>
        </w:rPr>
        <w:t>Fría</w:t>
      </w:r>
      <w:r>
        <w:rPr>
          <w:spacing w:val="12"/>
          <w:w w:val="110"/>
        </w:rPr>
        <w:t> </w:t>
      </w:r>
      <w:r>
        <w:rPr>
          <w:w w:val="110"/>
        </w:rPr>
        <w:t>y</w:t>
      </w:r>
      <w:r>
        <w:rPr>
          <w:w w:val="105"/>
        </w:rPr>
        <w:t> </w:t>
      </w:r>
      <w:r>
        <w:rPr>
          <w:w w:val="110"/>
        </w:rPr>
        <w:t>aún con posterioridad a éste, extendiéndose hasta el actual</w:t>
      </w:r>
      <w:r>
        <w:rPr>
          <w:spacing w:val="20"/>
          <w:w w:val="110"/>
        </w:rPr>
        <w:t> </w:t>
      </w:r>
      <w:r>
        <w:rPr>
          <w:w w:val="110"/>
        </w:rPr>
        <w:t>siglo.</w:t>
      </w:r>
      <w:r>
        <w:rPr>
          <w:spacing w:val="12"/>
          <w:w w:val="110"/>
        </w:rPr>
        <w:t> </w:t>
      </w:r>
      <w:r>
        <w:rPr>
          <w:w w:val="110"/>
        </w:rPr>
        <w:t>Esa</w:t>
      </w:r>
      <w:r>
        <w:rPr>
          <w:w w:val="116"/>
        </w:rPr>
        <w:t> </w:t>
      </w:r>
      <w:r>
        <w:rPr>
          <w:w w:val="110"/>
        </w:rPr>
        <w:t>argumentación, si bien consiste en una construcción que</w:t>
      </w:r>
      <w:r>
        <w:rPr>
          <w:spacing w:val="19"/>
          <w:w w:val="110"/>
        </w:rPr>
        <w:t> </w:t>
      </w:r>
      <w:r>
        <w:rPr>
          <w:w w:val="110"/>
        </w:rPr>
        <w:t>toma</w:t>
      </w:r>
      <w:r>
        <w:rPr>
          <w:spacing w:val="19"/>
          <w:w w:val="110"/>
        </w:rPr>
        <w:t> </w:t>
      </w:r>
      <w:r>
        <w:rPr>
          <w:w w:val="110"/>
        </w:rPr>
        <w:t>como</w:t>
      </w:r>
      <w:r>
        <w:rPr>
          <w:w w:val="112"/>
        </w:rPr>
        <w:t> </w:t>
      </w:r>
      <w:r>
        <w:rPr>
          <w:w w:val="110"/>
        </w:rPr>
        <w:t>referente</w:t>
      </w:r>
      <w:r>
        <w:rPr>
          <w:spacing w:val="28"/>
          <w:w w:val="110"/>
        </w:rPr>
        <w:t> </w:t>
      </w:r>
      <w:r>
        <w:rPr>
          <w:w w:val="110"/>
        </w:rPr>
        <w:t>el</w:t>
      </w:r>
      <w:r>
        <w:rPr>
          <w:spacing w:val="28"/>
          <w:w w:val="110"/>
        </w:rPr>
        <w:t> </w:t>
      </w:r>
      <w:r>
        <w:rPr>
          <w:w w:val="110"/>
        </w:rPr>
        <w:t>entorno</w:t>
      </w:r>
      <w:r>
        <w:rPr>
          <w:spacing w:val="28"/>
          <w:w w:val="110"/>
        </w:rPr>
        <w:t> </w:t>
      </w:r>
      <w:r>
        <w:rPr>
          <w:w w:val="110"/>
        </w:rPr>
        <w:t>mundial,</w:t>
      </w:r>
      <w:r>
        <w:rPr>
          <w:spacing w:val="28"/>
          <w:w w:val="110"/>
        </w:rPr>
        <w:t> </w:t>
      </w:r>
      <w:r>
        <w:rPr>
          <w:w w:val="110"/>
        </w:rPr>
        <w:t>no</w:t>
      </w:r>
      <w:r>
        <w:rPr>
          <w:spacing w:val="28"/>
          <w:w w:val="110"/>
        </w:rPr>
        <w:t> </w:t>
      </w:r>
      <w:r>
        <w:rPr>
          <w:w w:val="110"/>
        </w:rPr>
        <w:t>hace</w:t>
      </w:r>
      <w:r>
        <w:rPr>
          <w:spacing w:val="28"/>
          <w:w w:val="110"/>
        </w:rPr>
        <w:t> </w:t>
      </w:r>
      <w:r>
        <w:rPr>
          <w:w w:val="110"/>
        </w:rPr>
        <w:t>sino</w:t>
      </w:r>
      <w:r>
        <w:rPr>
          <w:spacing w:val="28"/>
          <w:w w:val="110"/>
        </w:rPr>
        <w:t> </w:t>
      </w:r>
      <w:r>
        <w:rPr>
          <w:w w:val="110"/>
        </w:rPr>
        <w:t>complementar</w:t>
      </w:r>
      <w:r>
        <w:rPr>
          <w:spacing w:val="28"/>
          <w:w w:val="110"/>
        </w:rPr>
        <w:t> </w:t>
      </w:r>
      <w:r>
        <w:rPr>
          <w:w w:val="110"/>
        </w:rPr>
        <w:t>la</w:t>
      </w:r>
      <w:r>
        <w:rPr>
          <w:spacing w:val="28"/>
          <w:w w:val="110"/>
        </w:rPr>
        <w:t> </w:t>
      </w:r>
      <w:r>
        <w:rPr>
          <w:w w:val="110"/>
        </w:rPr>
        <w:t>misma</w:t>
      </w:r>
      <w:r>
        <w:rPr>
          <w:w w:val="112"/>
        </w:rPr>
        <w:t> </w:t>
      </w:r>
      <w:r>
        <w:rPr>
          <w:w w:val="110"/>
        </w:rPr>
        <w:t>racionalidad que apuntala ideológica y  psicológicamente</w:t>
      </w:r>
      <w:r>
        <w:rPr>
          <w:spacing w:val="-13"/>
          <w:w w:val="110"/>
        </w:rPr>
        <w:t> </w:t>
      </w:r>
      <w:r>
        <w:rPr>
          <w:w w:val="110"/>
        </w:rPr>
        <w:t>el</w:t>
      </w:r>
      <w:r>
        <w:rPr>
          <w:spacing w:val="36"/>
          <w:w w:val="110"/>
        </w:rPr>
        <w:t> </w:t>
      </w:r>
      <w:r>
        <w:rPr>
          <w:w w:val="110"/>
        </w:rPr>
        <w:t>consen-</w:t>
      </w:r>
      <w:r>
        <w:rPr>
          <w:w w:val="102"/>
        </w:rPr>
        <w:t> </w:t>
      </w:r>
      <w:r>
        <w:rPr>
          <w:w w:val="110"/>
        </w:rPr>
        <w:t>so dentro de la sociedad norteamericana. autores como</w:t>
      </w:r>
      <w:r>
        <w:rPr>
          <w:spacing w:val="42"/>
          <w:w w:val="110"/>
        </w:rPr>
        <w:t> </w:t>
      </w:r>
      <w:r>
        <w:rPr>
          <w:w w:val="110"/>
        </w:rPr>
        <w:t>Edward</w:t>
      </w:r>
      <w:r>
        <w:rPr>
          <w:spacing w:val="16"/>
          <w:w w:val="110"/>
        </w:rPr>
        <w:t> </w:t>
      </w:r>
      <w:r>
        <w:rPr>
          <w:w w:val="110"/>
        </w:rPr>
        <w:t>said</w:t>
      </w:r>
      <w:r>
        <w:rPr>
          <w:w w:val="111"/>
        </w:rPr>
        <w:t> </w:t>
      </w:r>
      <w:r>
        <w:rPr>
          <w:w w:val="110"/>
        </w:rPr>
        <w:t>habían llamado la atención sobre la significación que poseen</w:t>
      </w:r>
      <w:r>
        <w:rPr>
          <w:spacing w:val="31"/>
          <w:w w:val="110"/>
        </w:rPr>
        <w:t> </w:t>
      </w:r>
      <w:r>
        <w:rPr>
          <w:w w:val="110"/>
        </w:rPr>
        <w:t>tales</w:t>
      </w:r>
      <w:r>
        <w:rPr>
          <w:spacing w:val="8"/>
          <w:w w:val="110"/>
        </w:rPr>
        <w:t> </w:t>
      </w:r>
      <w:r>
        <w:rPr>
          <w:w w:val="110"/>
        </w:rPr>
        <w:t>as-</w:t>
      </w:r>
      <w:r>
        <w:rPr>
          <w:w w:val="102"/>
        </w:rPr>
        <w:t> </w:t>
      </w:r>
      <w:r>
        <w:rPr>
          <w:w w:val="110"/>
        </w:rPr>
        <w:t>pectos, relaciones y procesos, como reveladores de una</w:t>
      </w:r>
      <w:r>
        <w:rPr>
          <w:spacing w:val="25"/>
          <w:w w:val="110"/>
        </w:rPr>
        <w:t> </w:t>
      </w:r>
      <w:r>
        <w:rPr>
          <w:w w:val="110"/>
        </w:rPr>
        <w:t>intimidad</w:t>
      </w:r>
      <w:r>
        <w:rPr>
          <w:spacing w:val="3"/>
          <w:w w:val="110"/>
        </w:rPr>
        <w:t> </w:t>
      </w:r>
      <w:r>
        <w:rPr>
          <w:w w:val="110"/>
        </w:rPr>
        <w:t>que</w:t>
      </w:r>
      <w:r>
        <w:rPr>
          <w:w w:val="108"/>
        </w:rPr>
        <w:t> </w:t>
      </w:r>
      <w:r>
        <w:rPr>
          <w:w w:val="110"/>
        </w:rPr>
        <w:t>entrelaza a la cultura y al sistema político</w:t>
      </w:r>
      <w:r>
        <w:rPr>
          <w:spacing w:val="13"/>
          <w:w w:val="110"/>
        </w:rPr>
        <w:t> </w:t>
      </w:r>
      <w:r>
        <w:rPr>
          <w:w w:val="110"/>
        </w:rPr>
        <w:t>norteamericanos,</w:t>
      </w:r>
      <w:r>
        <w:rPr>
          <w:spacing w:val="13"/>
          <w:w w:val="110"/>
        </w:rPr>
        <w:t> </w:t>
      </w:r>
      <w:r>
        <w:rPr>
          <w:w w:val="110"/>
        </w:rPr>
        <w:t>desmon-</w:t>
      </w:r>
      <w:r>
        <w:rPr>
          <w:w w:val="102"/>
        </w:rPr>
        <w:t> </w:t>
      </w:r>
      <w:r>
        <w:rPr>
          <w:w w:val="110"/>
        </w:rPr>
        <w:t>tando analíticamente los vínculos entre las decisiones</w:t>
      </w:r>
      <w:r>
        <w:rPr>
          <w:spacing w:val="-12"/>
          <w:w w:val="110"/>
        </w:rPr>
        <w:t> </w:t>
      </w:r>
      <w:r>
        <w:rPr>
          <w:w w:val="110"/>
        </w:rPr>
        <w:t>políticas,</w:t>
      </w:r>
      <w:r>
        <w:rPr>
          <w:spacing w:val="37"/>
          <w:w w:val="110"/>
        </w:rPr>
        <w:t> </w:t>
      </w:r>
      <w:r>
        <w:rPr>
          <w:w w:val="110"/>
        </w:rPr>
        <w:t>los</w:t>
      </w:r>
      <w:r>
        <w:rPr>
          <w:w w:val="108"/>
        </w:rPr>
        <w:t> </w:t>
      </w:r>
      <w:r>
        <w:rPr>
          <w:w w:val="110"/>
        </w:rPr>
        <w:t>intereses</w:t>
      </w:r>
      <w:r>
        <w:rPr>
          <w:spacing w:val="21"/>
          <w:w w:val="110"/>
        </w:rPr>
        <w:t> </w:t>
      </w:r>
      <w:r>
        <w:rPr>
          <w:w w:val="110"/>
        </w:rPr>
        <w:t>económicos</w:t>
      </w:r>
      <w:r>
        <w:rPr>
          <w:spacing w:val="21"/>
          <w:w w:val="110"/>
        </w:rPr>
        <w:t> </w:t>
      </w:r>
      <w:r>
        <w:rPr>
          <w:w w:val="110"/>
        </w:rPr>
        <w:t>y</w:t>
      </w:r>
      <w:r>
        <w:rPr>
          <w:spacing w:val="21"/>
          <w:w w:val="110"/>
        </w:rPr>
        <w:t> </w:t>
      </w:r>
      <w:r>
        <w:rPr>
          <w:w w:val="110"/>
        </w:rPr>
        <w:t>la</w:t>
      </w:r>
      <w:r>
        <w:rPr>
          <w:spacing w:val="21"/>
          <w:w w:val="110"/>
        </w:rPr>
        <w:t> </w:t>
      </w:r>
      <w:r>
        <w:rPr>
          <w:w w:val="110"/>
        </w:rPr>
        <w:t>actividad</w:t>
      </w:r>
      <w:r>
        <w:rPr>
          <w:spacing w:val="21"/>
          <w:w w:val="110"/>
        </w:rPr>
        <w:t> </w:t>
      </w:r>
      <w:r>
        <w:rPr>
          <w:w w:val="110"/>
        </w:rPr>
        <w:t>de</w:t>
      </w:r>
      <w:r>
        <w:rPr>
          <w:spacing w:val="21"/>
          <w:w w:val="110"/>
        </w:rPr>
        <w:t> </w:t>
      </w:r>
      <w:r>
        <w:rPr>
          <w:w w:val="110"/>
        </w:rPr>
        <w:t>los</w:t>
      </w:r>
      <w:r>
        <w:rPr>
          <w:spacing w:val="21"/>
          <w:w w:val="110"/>
        </w:rPr>
        <w:t> </w:t>
      </w:r>
      <w:r>
        <w:rPr>
          <w:w w:val="110"/>
        </w:rPr>
        <w:t>círculos</w:t>
      </w:r>
      <w:r>
        <w:rPr>
          <w:spacing w:val="21"/>
          <w:w w:val="110"/>
        </w:rPr>
        <w:t> </w:t>
      </w:r>
      <w:r>
        <w:rPr>
          <w:w w:val="110"/>
        </w:rPr>
        <w:t>académicos</w:t>
      </w:r>
      <w:r>
        <w:rPr>
          <w:spacing w:val="21"/>
          <w:w w:val="110"/>
        </w:rPr>
        <w:t> </w:t>
      </w:r>
      <w:r>
        <w:rPr>
          <w:w w:val="110"/>
        </w:rPr>
        <w:t>de</w:t>
      </w:r>
      <w:r>
        <w:rPr>
          <w:spacing w:val="21"/>
          <w:w w:val="110"/>
        </w:rPr>
        <w:t> </w:t>
      </w:r>
      <w:r>
        <w:rPr>
          <w:w w:val="110"/>
        </w:rPr>
        <w:t>la</w:t>
      </w:r>
      <w:r>
        <w:rPr>
          <w:w w:val="111"/>
        </w:rPr>
        <w:t> </w:t>
      </w:r>
      <w:r>
        <w:rPr>
          <w:w w:val="110"/>
        </w:rPr>
        <w:t>extrema derecha norteamericana, en el contexto posterior a los   aten-</w:t>
      </w:r>
    </w:p>
    <w:p>
      <w:pPr>
        <w:pStyle w:val="BodyText"/>
        <w:ind w:left="100"/>
        <w:jc w:val="both"/>
      </w:pPr>
      <w:r>
        <w:rPr>
          <w:w w:val="105"/>
        </w:rPr>
        <w:t>tados del 11 de septiembre de   2001.</w:t>
      </w:r>
    </w:p>
    <w:p>
      <w:pPr>
        <w:pStyle w:val="BodyText"/>
        <w:spacing w:line="252" w:lineRule="auto" w:before="11"/>
        <w:ind w:left="100" w:right="328" w:firstLine="396"/>
        <w:jc w:val="both"/>
      </w:pPr>
      <w:r>
        <w:rPr>
          <w:w w:val="110"/>
        </w:rPr>
        <w:t>así, han contribuido a decodificar la lógica oculta tras la retóri-    ca que llamaba a enfrentar el llamado “antinorteamericanismo” –esa nueva construcción del “enemigo”– que como novedosa percepción</w:t>
      </w:r>
      <w:r>
        <w:rPr>
          <w:spacing w:val="-16"/>
          <w:w w:val="110"/>
        </w:rPr>
        <w:t> </w:t>
      </w:r>
      <w:r>
        <w:rPr>
          <w:w w:val="110"/>
        </w:rPr>
        <w:t>de la “amenaza” en el siglo </w:t>
      </w:r>
      <w:r>
        <w:rPr>
          <w:w w:val="125"/>
        </w:rPr>
        <w:t>xxi </w:t>
      </w:r>
      <w:r>
        <w:rPr>
          <w:w w:val="110"/>
        </w:rPr>
        <w:t>evoca las manipulaciones con que bajo    el macarthismo se diseñó al “peligro comunista” cual eje de lo que se calificó entonces como “actividades antinorteamericanas”, y que hoy se traduce en el “peligro terrorista”. said concluye con lo imperioso de una reacción intelectual y política ante esa tergiversadora operación de legitimidad cultural –que justifica la “ley patriótica” y la “guerra preventiva”– concebida como (o desde) la visión del otro: o sea, la ne- cesaria</w:t>
      </w:r>
      <w:r>
        <w:rPr>
          <w:spacing w:val="29"/>
          <w:w w:val="110"/>
        </w:rPr>
        <w:t> </w:t>
      </w:r>
      <w:r>
        <w:rPr>
          <w:w w:val="110"/>
        </w:rPr>
        <w:t>y</w:t>
      </w:r>
      <w:r>
        <w:rPr>
          <w:spacing w:val="29"/>
          <w:w w:val="110"/>
        </w:rPr>
        <w:t> </w:t>
      </w:r>
      <w:r>
        <w:rPr>
          <w:w w:val="110"/>
        </w:rPr>
        <w:t>urgente</w:t>
      </w:r>
      <w:r>
        <w:rPr>
          <w:spacing w:val="29"/>
          <w:w w:val="110"/>
        </w:rPr>
        <w:t> </w:t>
      </w:r>
      <w:r>
        <w:rPr>
          <w:w w:val="110"/>
        </w:rPr>
        <w:t>articulación</w:t>
      </w:r>
      <w:r>
        <w:rPr>
          <w:spacing w:val="29"/>
          <w:w w:val="110"/>
        </w:rPr>
        <w:t> </w:t>
      </w:r>
      <w:r>
        <w:rPr>
          <w:w w:val="110"/>
        </w:rPr>
        <w:t>de</w:t>
      </w:r>
      <w:r>
        <w:rPr>
          <w:spacing w:val="29"/>
          <w:w w:val="110"/>
        </w:rPr>
        <w:t> </w:t>
      </w:r>
      <w:r>
        <w:rPr>
          <w:w w:val="110"/>
        </w:rPr>
        <w:t>la</w:t>
      </w:r>
      <w:r>
        <w:rPr>
          <w:spacing w:val="29"/>
          <w:w w:val="110"/>
        </w:rPr>
        <w:t> </w:t>
      </w:r>
      <w:r>
        <w:rPr>
          <w:w w:val="110"/>
        </w:rPr>
        <w:t>visión</w:t>
      </w:r>
      <w:r>
        <w:rPr>
          <w:spacing w:val="29"/>
          <w:w w:val="110"/>
        </w:rPr>
        <w:t> </w:t>
      </w:r>
      <w:r>
        <w:rPr>
          <w:w w:val="110"/>
        </w:rPr>
        <w:t>ilustrada</w:t>
      </w:r>
      <w:r>
        <w:rPr>
          <w:spacing w:val="29"/>
          <w:w w:val="110"/>
        </w:rPr>
        <w:t> </w:t>
      </w:r>
      <w:r>
        <w:rPr>
          <w:w w:val="110"/>
        </w:rPr>
        <w:t>de</w:t>
      </w:r>
      <w:r>
        <w:rPr>
          <w:spacing w:val="29"/>
          <w:w w:val="110"/>
        </w:rPr>
        <w:t> </w:t>
      </w:r>
      <w:r>
        <w:rPr>
          <w:w w:val="110"/>
        </w:rPr>
        <w:t>los</w:t>
      </w:r>
      <w:r>
        <w:rPr>
          <w:spacing w:val="29"/>
          <w:w w:val="110"/>
        </w:rPr>
        <w:t> </w:t>
      </w:r>
      <w:r>
        <w:rPr>
          <w:w w:val="110"/>
        </w:rPr>
        <w:t>vencidos</w:t>
      </w:r>
    </w:p>
    <w:p>
      <w:pPr>
        <w:pStyle w:val="BodyText"/>
        <w:spacing w:line="252" w:lineRule="auto"/>
        <w:ind w:left="100" w:right="328"/>
        <w:jc w:val="both"/>
      </w:pPr>
      <w:r>
        <w:rPr>
          <w:w w:val="110"/>
        </w:rPr>
        <w:t>–entendiendo por tal la respuesta de intelectuales africanos, asiáticos, latinoamericanos y europeos (particularmente irlandeses)– ante las construcciones ideológicas que impone con eficacia la dominación oc- cidental</w:t>
      </w:r>
      <w:r>
        <w:rPr>
          <w:spacing w:val="-8"/>
          <w:w w:val="110"/>
        </w:rPr>
        <w:t> </w:t>
      </w:r>
      <w:r>
        <w:rPr>
          <w:spacing w:val="-12"/>
          <w:w w:val="110"/>
        </w:rPr>
        <w:t>y,</w:t>
      </w:r>
      <w:r>
        <w:rPr>
          <w:spacing w:val="-8"/>
          <w:w w:val="110"/>
        </w:rPr>
        <w:t> </w:t>
      </w:r>
      <w:r>
        <w:rPr>
          <w:w w:val="110"/>
        </w:rPr>
        <w:t>específicamente,</w:t>
      </w:r>
      <w:r>
        <w:rPr>
          <w:spacing w:val="-8"/>
          <w:w w:val="110"/>
        </w:rPr>
        <w:t> </w:t>
      </w:r>
      <w:r>
        <w:rPr>
          <w:w w:val="110"/>
        </w:rPr>
        <w:t>la</w:t>
      </w:r>
      <w:r>
        <w:rPr>
          <w:spacing w:val="-8"/>
          <w:w w:val="110"/>
        </w:rPr>
        <w:t> </w:t>
      </w:r>
      <w:r>
        <w:rPr>
          <w:w w:val="110"/>
        </w:rPr>
        <w:t>hegemonía</w:t>
      </w:r>
      <w:r>
        <w:rPr>
          <w:spacing w:val="-8"/>
          <w:w w:val="110"/>
        </w:rPr>
        <w:t> </w:t>
      </w:r>
      <w:r>
        <w:rPr>
          <w:w w:val="110"/>
        </w:rPr>
        <w:t>norteamericana</w:t>
      </w:r>
      <w:r>
        <w:rPr>
          <w:spacing w:val="-8"/>
          <w:w w:val="110"/>
        </w:rPr>
        <w:t> </w:t>
      </w:r>
      <w:r>
        <w:rPr>
          <w:w w:val="110"/>
        </w:rPr>
        <w:t>(said,</w:t>
      </w:r>
      <w:r>
        <w:rPr>
          <w:spacing w:val="-8"/>
          <w:w w:val="110"/>
        </w:rPr>
        <w:t> </w:t>
      </w:r>
      <w:r>
        <w:rPr>
          <w:w w:val="110"/>
        </w:rPr>
        <w:t>2002). En esencia, la lectura contrapuntística propuesta por said exige la aplicación de un enfoque comprometido y consecuente –como la que Gramsci</w:t>
      </w:r>
      <w:r>
        <w:rPr>
          <w:spacing w:val="-9"/>
          <w:w w:val="110"/>
        </w:rPr>
        <w:t> </w:t>
      </w:r>
      <w:r>
        <w:rPr>
          <w:w w:val="110"/>
        </w:rPr>
        <w:t>esperaría</w:t>
      </w:r>
      <w:r>
        <w:rPr>
          <w:spacing w:val="-9"/>
          <w:w w:val="110"/>
        </w:rPr>
        <w:t> </w:t>
      </w:r>
      <w:r>
        <w:rPr>
          <w:w w:val="110"/>
        </w:rPr>
        <w:t>de</w:t>
      </w:r>
      <w:r>
        <w:rPr>
          <w:spacing w:val="-9"/>
          <w:w w:val="110"/>
        </w:rPr>
        <w:t> </w:t>
      </w:r>
      <w:r>
        <w:rPr>
          <w:w w:val="110"/>
        </w:rPr>
        <w:t>la</w:t>
      </w:r>
      <w:r>
        <w:rPr>
          <w:spacing w:val="-9"/>
          <w:w w:val="110"/>
        </w:rPr>
        <w:t> </w:t>
      </w:r>
      <w:r>
        <w:rPr>
          <w:w w:val="110"/>
        </w:rPr>
        <w:t>intelectualidad</w:t>
      </w:r>
      <w:r>
        <w:rPr>
          <w:spacing w:val="-9"/>
          <w:w w:val="110"/>
        </w:rPr>
        <w:t> </w:t>
      </w:r>
      <w:r>
        <w:rPr>
          <w:w w:val="110"/>
        </w:rPr>
        <w:t>orgánica–</w:t>
      </w:r>
      <w:r>
        <w:rPr>
          <w:spacing w:val="-9"/>
          <w:w w:val="110"/>
        </w:rPr>
        <w:t> </w:t>
      </w:r>
      <w:r>
        <w:rPr>
          <w:w w:val="110"/>
        </w:rPr>
        <w:t>que</w:t>
      </w:r>
      <w:r>
        <w:rPr>
          <w:spacing w:val="-9"/>
          <w:w w:val="110"/>
        </w:rPr>
        <w:t> </w:t>
      </w:r>
      <w:r>
        <w:rPr>
          <w:w w:val="110"/>
        </w:rPr>
        <w:t>registre</w:t>
      </w:r>
      <w:r>
        <w:rPr>
          <w:spacing w:val="-9"/>
          <w:w w:val="110"/>
        </w:rPr>
        <w:t> </w:t>
      </w:r>
      <w:r>
        <w:rPr>
          <w:w w:val="110"/>
        </w:rPr>
        <w:t>simultá- neamente ese contrapunto entre el proceso de legitimación ideológica del imperialismo (que procura afianzar y reproducir su hegemonía), y el de la resistencia cultural, que desde luego trasciende el ámbito de</w:t>
      </w:r>
      <w:r>
        <w:rPr>
          <w:spacing w:val="-15"/>
          <w:w w:val="110"/>
        </w:rPr>
        <w:t> </w:t>
      </w:r>
      <w:r>
        <w:rPr>
          <w:w w:val="110"/>
        </w:rPr>
        <w:t>la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crítica</w:t>
      </w:r>
      <w:r>
        <w:rPr>
          <w:spacing w:val="-4"/>
          <w:w w:val="110"/>
        </w:rPr>
        <w:t> </w:t>
      </w:r>
      <w:r>
        <w:rPr>
          <w:w w:val="110"/>
        </w:rPr>
        <w:t>teórica</w:t>
      </w:r>
      <w:r>
        <w:rPr>
          <w:spacing w:val="-4"/>
          <w:w w:val="110"/>
        </w:rPr>
        <w:t> </w:t>
      </w:r>
      <w:r>
        <w:rPr>
          <w:w w:val="110"/>
        </w:rPr>
        <w:t>y</w:t>
      </w:r>
      <w:r>
        <w:rPr>
          <w:spacing w:val="-4"/>
          <w:w w:val="110"/>
        </w:rPr>
        <w:t> </w:t>
      </w:r>
      <w:r>
        <w:rPr>
          <w:w w:val="110"/>
        </w:rPr>
        <w:t>se</w:t>
      </w:r>
      <w:r>
        <w:rPr>
          <w:spacing w:val="-4"/>
          <w:w w:val="110"/>
        </w:rPr>
        <w:t> </w:t>
      </w:r>
      <w:r>
        <w:rPr>
          <w:w w:val="110"/>
        </w:rPr>
        <w:t>expresa</w:t>
      </w:r>
      <w:r>
        <w:rPr>
          <w:spacing w:val="-4"/>
          <w:w w:val="110"/>
        </w:rPr>
        <w:t> </w:t>
      </w:r>
      <w:r>
        <w:rPr>
          <w:w w:val="110"/>
        </w:rPr>
        <w:t>en</w:t>
      </w:r>
      <w:r>
        <w:rPr>
          <w:spacing w:val="-4"/>
          <w:w w:val="110"/>
        </w:rPr>
        <w:t> </w:t>
      </w:r>
      <w:r>
        <w:rPr>
          <w:w w:val="110"/>
        </w:rPr>
        <w:t>la</w:t>
      </w:r>
      <w:r>
        <w:rPr>
          <w:spacing w:val="-4"/>
          <w:w w:val="110"/>
        </w:rPr>
        <w:t> </w:t>
      </w:r>
      <w:r>
        <w:rPr>
          <w:w w:val="110"/>
        </w:rPr>
        <w:t>acción</w:t>
      </w:r>
      <w:r>
        <w:rPr>
          <w:spacing w:val="-4"/>
          <w:w w:val="110"/>
        </w:rPr>
        <w:t> </w:t>
      </w:r>
      <w:r>
        <w:rPr>
          <w:w w:val="110"/>
        </w:rPr>
        <w:t>práctica</w:t>
      </w:r>
      <w:r>
        <w:rPr>
          <w:spacing w:val="-4"/>
          <w:w w:val="110"/>
        </w:rPr>
        <w:t> </w:t>
      </w:r>
      <w:r>
        <w:rPr>
          <w:w w:val="110"/>
        </w:rPr>
        <w:t>de</w:t>
      </w:r>
      <w:r>
        <w:rPr>
          <w:spacing w:val="-4"/>
          <w:w w:val="110"/>
        </w:rPr>
        <w:t> </w:t>
      </w:r>
      <w:r>
        <w:rPr>
          <w:w w:val="110"/>
        </w:rPr>
        <w:t>determinados</w:t>
      </w:r>
      <w:r>
        <w:rPr>
          <w:spacing w:val="-4"/>
          <w:w w:val="110"/>
        </w:rPr>
        <w:t> </w:t>
      </w:r>
      <w:r>
        <w:rPr>
          <w:w w:val="110"/>
        </w:rPr>
        <w:t>acto- res de la sociedad civil y del sistema político (said,</w:t>
      </w:r>
      <w:r>
        <w:rPr>
          <w:spacing w:val="11"/>
          <w:w w:val="110"/>
        </w:rPr>
        <w:t> </w:t>
      </w:r>
      <w:r>
        <w:rPr>
          <w:w w:val="110"/>
        </w:rPr>
        <w:t>1996).</w:t>
      </w:r>
    </w:p>
    <w:p>
      <w:pPr>
        <w:pStyle w:val="BodyText"/>
        <w:spacing w:before="5"/>
      </w:pPr>
    </w:p>
    <w:p>
      <w:pPr>
        <w:pStyle w:val="Heading6"/>
        <w:ind w:left="331"/>
      </w:pPr>
      <w:r>
        <w:rPr>
          <w:w w:val="125"/>
        </w:rPr>
        <w:t>cultura y HeGeMonÍa</w:t>
      </w:r>
    </w:p>
    <w:p>
      <w:pPr>
        <w:pStyle w:val="BodyText"/>
        <w:spacing w:line="252" w:lineRule="auto" w:before="10"/>
        <w:ind w:left="330" w:right="117"/>
        <w:jc w:val="both"/>
      </w:pPr>
      <w:r>
        <w:rPr>
          <w:w w:val="243"/>
        </w:rPr>
        <w:t>l</w:t>
      </w:r>
      <w:r>
        <w:rPr>
          <w:w w:val="112"/>
        </w:rPr>
        <w:t>a</w:t>
      </w:r>
      <w:r>
        <w:rPr>
          <w:spacing w:val="1"/>
        </w:rPr>
        <w:t> </w:t>
      </w:r>
      <w:r>
        <w:rPr>
          <w:w w:val="112"/>
        </w:rPr>
        <w:t>funcionalidad</w:t>
      </w:r>
      <w:r>
        <w:rPr>
          <w:spacing w:val="1"/>
        </w:rPr>
        <w:t> </w:t>
      </w:r>
      <w:r>
        <w:rPr>
          <w:w w:val="108"/>
        </w:rPr>
        <w:t>que</w:t>
      </w:r>
      <w:r>
        <w:rPr>
          <w:spacing w:val="1"/>
        </w:rPr>
        <w:t> </w:t>
      </w:r>
      <w:r>
        <w:rPr>
          <w:w w:val="109"/>
        </w:rPr>
        <w:t>aporta</w:t>
      </w:r>
      <w:r>
        <w:rPr>
          <w:spacing w:val="1"/>
        </w:rPr>
        <w:t> </w:t>
      </w:r>
      <w:r>
        <w:rPr>
          <w:w w:val="107"/>
        </w:rPr>
        <w:t>el</w:t>
      </w:r>
      <w:r>
        <w:rPr>
          <w:spacing w:val="1"/>
        </w:rPr>
        <w:t> </w:t>
      </w:r>
      <w:r>
        <w:rPr>
          <w:w w:val="108"/>
        </w:rPr>
        <w:t>proceso</w:t>
      </w:r>
      <w:r>
        <w:rPr>
          <w:spacing w:val="1"/>
        </w:rPr>
        <w:t> </w:t>
      </w:r>
      <w:r>
        <w:rPr>
          <w:w w:val="107"/>
        </w:rPr>
        <w:t>de</w:t>
      </w:r>
      <w:r>
        <w:rPr>
          <w:spacing w:val="1"/>
        </w:rPr>
        <w:t> </w:t>
      </w:r>
      <w:r>
        <w:rPr>
          <w:w w:val="111"/>
        </w:rPr>
        <w:t>legitimación</w:t>
      </w:r>
      <w:r>
        <w:rPr>
          <w:spacing w:val="1"/>
        </w:rPr>
        <w:t> </w:t>
      </w:r>
      <w:r>
        <w:rPr>
          <w:w w:val="111"/>
        </w:rPr>
        <w:t>ideológica</w:t>
      </w:r>
      <w:r>
        <w:rPr>
          <w:spacing w:val="1"/>
        </w:rPr>
        <w:t> </w:t>
      </w:r>
      <w:r>
        <w:rPr>
          <w:w w:val="112"/>
        </w:rPr>
        <w:t>al</w:t>
      </w:r>
      <w:r>
        <w:rPr>
          <w:spacing w:val="-1"/>
          <w:w w:val="112"/>
        </w:rPr>
        <w:t>u</w:t>
      </w:r>
      <w:r>
        <w:rPr>
          <w:w w:val="102"/>
        </w:rPr>
        <w:t>- </w:t>
      </w:r>
      <w:r>
        <w:rPr>
          <w:w w:val="110"/>
        </w:rPr>
        <w:t>dido se expresa en dos niveles, dimensiones o ámbitos, que se </w:t>
      </w:r>
      <w:r>
        <w:rPr>
          <w:spacing w:val="-3"/>
          <w:w w:val="110"/>
        </w:rPr>
        <w:t>refuer- </w:t>
      </w:r>
      <w:r>
        <w:rPr>
          <w:w w:val="110"/>
        </w:rPr>
        <w:t>zan mutuamente, y favorecen al sistema de dominación: el del</w:t>
      </w:r>
      <w:r>
        <w:rPr>
          <w:spacing w:val="-21"/>
          <w:w w:val="110"/>
        </w:rPr>
        <w:t> </w:t>
      </w:r>
      <w:r>
        <w:rPr>
          <w:w w:val="110"/>
        </w:rPr>
        <w:t>consen- so interno y el de la posición externa en torno a la seguridad nacional. ambos definen los argumentos, las nociones visibles, los valores que configuran el eje de una hegemonía que casi nunca aparece (nomi- nalizada como tal) de modo explícito, en las definiciones estratégicas del gobierno ni en las propuestas elaboradas por los tanques pensan- tes que nutren las proyecciones externas –políticas, económicas, mi- litares– de Estados unidos. algunos ejemplos ilustran con claridad lo expuesto y hacen tangible la interrelación aludida. una ágil ojeada a momentos descollantes en la historia norteamericana posterior a la segunda Guerra Mundial así lo  </w:t>
      </w:r>
      <w:r>
        <w:rPr>
          <w:spacing w:val="42"/>
          <w:w w:val="110"/>
        </w:rPr>
        <w:t> </w:t>
      </w:r>
      <w:r>
        <w:rPr>
          <w:w w:val="110"/>
        </w:rPr>
        <w:t>confirma.</w:t>
      </w:r>
    </w:p>
    <w:p>
      <w:pPr>
        <w:pStyle w:val="BodyText"/>
        <w:spacing w:line="252" w:lineRule="auto"/>
        <w:ind w:left="330" w:right="117" w:firstLine="396"/>
        <w:jc w:val="both"/>
      </w:pPr>
      <w:r>
        <w:rPr>
          <w:w w:val="115"/>
        </w:rPr>
        <w:t>Como</w:t>
      </w:r>
      <w:r>
        <w:rPr>
          <w:spacing w:val="-12"/>
          <w:w w:val="115"/>
        </w:rPr>
        <w:t> </w:t>
      </w:r>
      <w:r>
        <w:rPr>
          <w:w w:val="115"/>
        </w:rPr>
        <w:t>se</w:t>
      </w:r>
      <w:r>
        <w:rPr>
          <w:spacing w:val="-12"/>
          <w:w w:val="115"/>
        </w:rPr>
        <w:t> </w:t>
      </w:r>
      <w:r>
        <w:rPr>
          <w:w w:val="115"/>
        </w:rPr>
        <w:t>conoce,</w:t>
      </w:r>
      <w:r>
        <w:rPr>
          <w:spacing w:val="-12"/>
          <w:w w:val="115"/>
        </w:rPr>
        <w:t> </w:t>
      </w:r>
      <w:r>
        <w:rPr>
          <w:w w:val="115"/>
        </w:rPr>
        <w:t>cuando</w:t>
      </w:r>
      <w:r>
        <w:rPr>
          <w:spacing w:val="-12"/>
          <w:w w:val="115"/>
        </w:rPr>
        <w:t> </w:t>
      </w:r>
      <w:r>
        <w:rPr>
          <w:w w:val="115"/>
        </w:rPr>
        <w:t>a</w:t>
      </w:r>
      <w:r>
        <w:rPr>
          <w:spacing w:val="-12"/>
          <w:w w:val="115"/>
        </w:rPr>
        <w:t> </w:t>
      </w:r>
      <w:r>
        <w:rPr>
          <w:w w:val="115"/>
        </w:rPr>
        <w:t>partir</w:t>
      </w:r>
      <w:r>
        <w:rPr>
          <w:spacing w:val="-12"/>
          <w:w w:val="115"/>
        </w:rPr>
        <w:t> </w:t>
      </w:r>
      <w:r>
        <w:rPr>
          <w:w w:val="115"/>
        </w:rPr>
        <w:t>del</w:t>
      </w:r>
      <w:r>
        <w:rPr>
          <w:spacing w:val="-12"/>
          <w:w w:val="115"/>
        </w:rPr>
        <w:t> </w:t>
      </w:r>
      <w:r>
        <w:rPr>
          <w:w w:val="115"/>
        </w:rPr>
        <w:t>inicio</w:t>
      </w:r>
      <w:r>
        <w:rPr>
          <w:spacing w:val="-12"/>
          <w:w w:val="115"/>
        </w:rPr>
        <w:t> </w:t>
      </w:r>
      <w:r>
        <w:rPr>
          <w:w w:val="115"/>
        </w:rPr>
        <w:t>de</w:t>
      </w:r>
      <w:r>
        <w:rPr>
          <w:spacing w:val="-12"/>
          <w:w w:val="115"/>
        </w:rPr>
        <w:t> </w:t>
      </w:r>
      <w:r>
        <w:rPr>
          <w:w w:val="115"/>
        </w:rPr>
        <w:t>la</w:t>
      </w:r>
      <w:r>
        <w:rPr>
          <w:spacing w:val="-12"/>
          <w:w w:val="115"/>
        </w:rPr>
        <w:t> </w:t>
      </w:r>
      <w:r>
        <w:rPr>
          <w:w w:val="115"/>
        </w:rPr>
        <w:t>Guerra</w:t>
      </w:r>
      <w:r>
        <w:rPr>
          <w:spacing w:val="-12"/>
          <w:w w:val="115"/>
        </w:rPr>
        <w:t> </w:t>
      </w:r>
      <w:r>
        <w:rPr>
          <w:w w:val="115"/>
        </w:rPr>
        <w:t>Fría</w:t>
      </w:r>
      <w:r>
        <w:rPr>
          <w:spacing w:val="-12"/>
          <w:w w:val="115"/>
        </w:rPr>
        <w:t> </w:t>
      </w:r>
      <w:r>
        <w:rPr>
          <w:w w:val="115"/>
        </w:rPr>
        <w:t>–en- tre</w:t>
      </w:r>
      <w:r>
        <w:rPr>
          <w:spacing w:val="-22"/>
          <w:w w:val="115"/>
        </w:rPr>
        <w:t> </w:t>
      </w:r>
      <w:r>
        <w:rPr>
          <w:w w:val="115"/>
        </w:rPr>
        <w:t>fines</w:t>
      </w:r>
      <w:r>
        <w:rPr>
          <w:spacing w:val="-22"/>
          <w:w w:val="115"/>
        </w:rPr>
        <w:t> </w:t>
      </w:r>
      <w:r>
        <w:rPr>
          <w:w w:val="115"/>
        </w:rPr>
        <w:t>de</w:t>
      </w:r>
      <w:r>
        <w:rPr>
          <w:spacing w:val="-22"/>
          <w:w w:val="115"/>
        </w:rPr>
        <w:t> </w:t>
      </w:r>
      <w:r>
        <w:rPr>
          <w:w w:val="115"/>
        </w:rPr>
        <w:t>la</w:t>
      </w:r>
      <w:r>
        <w:rPr>
          <w:spacing w:val="-22"/>
          <w:w w:val="115"/>
        </w:rPr>
        <w:t> </w:t>
      </w:r>
      <w:r>
        <w:rPr>
          <w:w w:val="115"/>
        </w:rPr>
        <w:t>década</w:t>
      </w:r>
      <w:r>
        <w:rPr>
          <w:spacing w:val="-22"/>
          <w:w w:val="115"/>
        </w:rPr>
        <w:t> </w:t>
      </w:r>
      <w:r>
        <w:rPr>
          <w:w w:val="115"/>
        </w:rPr>
        <w:t>de</w:t>
      </w:r>
      <w:r>
        <w:rPr>
          <w:spacing w:val="-22"/>
          <w:w w:val="115"/>
        </w:rPr>
        <w:t> </w:t>
      </w:r>
      <w:r>
        <w:rPr>
          <w:w w:val="115"/>
        </w:rPr>
        <w:t>1940</w:t>
      </w:r>
      <w:r>
        <w:rPr>
          <w:spacing w:val="-22"/>
          <w:w w:val="115"/>
        </w:rPr>
        <w:t> </w:t>
      </w:r>
      <w:r>
        <w:rPr>
          <w:w w:val="115"/>
        </w:rPr>
        <w:t>y</w:t>
      </w:r>
      <w:r>
        <w:rPr>
          <w:spacing w:val="-22"/>
          <w:w w:val="115"/>
        </w:rPr>
        <w:t> </w:t>
      </w:r>
      <w:r>
        <w:rPr>
          <w:w w:val="115"/>
        </w:rPr>
        <w:t>comienzos</w:t>
      </w:r>
      <w:r>
        <w:rPr>
          <w:spacing w:val="-22"/>
          <w:w w:val="115"/>
        </w:rPr>
        <w:t> </w:t>
      </w:r>
      <w:r>
        <w:rPr>
          <w:w w:val="115"/>
        </w:rPr>
        <w:t>de</w:t>
      </w:r>
      <w:r>
        <w:rPr>
          <w:spacing w:val="-22"/>
          <w:w w:val="115"/>
        </w:rPr>
        <w:t> </w:t>
      </w:r>
      <w:r>
        <w:rPr>
          <w:w w:val="115"/>
        </w:rPr>
        <w:t>la</w:t>
      </w:r>
      <w:r>
        <w:rPr>
          <w:spacing w:val="-22"/>
          <w:w w:val="115"/>
        </w:rPr>
        <w:t> </w:t>
      </w:r>
      <w:r>
        <w:rPr>
          <w:w w:val="115"/>
        </w:rPr>
        <w:t>siguiente–</w:t>
      </w:r>
      <w:r>
        <w:rPr>
          <w:spacing w:val="-22"/>
          <w:w w:val="115"/>
        </w:rPr>
        <w:t> </w:t>
      </w:r>
      <w:r>
        <w:rPr>
          <w:w w:val="115"/>
        </w:rPr>
        <w:t>se</w:t>
      </w:r>
      <w:r>
        <w:rPr>
          <w:spacing w:val="-22"/>
          <w:w w:val="115"/>
        </w:rPr>
        <w:t> </w:t>
      </w:r>
      <w:r>
        <w:rPr>
          <w:w w:val="115"/>
        </w:rPr>
        <w:t>desplie- ga</w:t>
      </w:r>
      <w:r>
        <w:rPr>
          <w:spacing w:val="-10"/>
          <w:w w:val="115"/>
        </w:rPr>
        <w:t> </w:t>
      </w:r>
      <w:r>
        <w:rPr>
          <w:w w:val="115"/>
        </w:rPr>
        <w:t>a</w:t>
      </w:r>
      <w:r>
        <w:rPr>
          <w:spacing w:val="-10"/>
          <w:w w:val="115"/>
        </w:rPr>
        <w:t> </w:t>
      </w:r>
      <w:r>
        <w:rPr>
          <w:w w:val="115"/>
        </w:rPr>
        <w:t>nivel</w:t>
      </w:r>
      <w:r>
        <w:rPr>
          <w:spacing w:val="-10"/>
          <w:w w:val="115"/>
        </w:rPr>
        <w:t> </w:t>
      </w:r>
      <w:r>
        <w:rPr>
          <w:w w:val="115"/>
        </w:rPr>
        <w:t>doctrinal,</w:t>
      </w:r>
      <w:r>
        <w:rPr>
          <w:spacing w:val="-10"/>
          <w:w w:val="115"/>
        </w:rPr>
        <w:t> </w:t>
      </w:r>
      <w:r>
        <w:rPr>
          <w:w w:val="115"/>
        </w:rPr>
        <w:t>político</w:t>
      </w:r>
      <w:r>
        <w:rPr>
          <w:spacing w:val="-10"/>
          <w:w w:val="115"/>
        </w:rPr>
        <w:t> </w:t>
      </w:r>
      <w:r>
        <w:rPr>
          <w:w w:val="115"/>
        </w:rPr>
        <w:t>y</w:t>
      </w:r>
      <w:r>
        <w:rPr>
          <w:spacing w:val="-10"/>
          <w:w w:val="115"/>
        </w:rPr>
        <w:t> </w:t>
      </w:r>
      <w:r>
        <w:rPr>
          <w:w w:val="115"/>
        </w:rPr>
        <w:t>legal</w:t>
      </w:r>
      <w:r>
        <w:rPr>
          <w:spacing w:val="-10"/>
          <w:w w:val="115"/>
        </w:rPr>
        <w:t> </w:t>
      </w:r>
      <w:r>
        <w:rPr>
          <w:w w:val="115"/>
        </w:rPr>
        <w:t>la</w:t>
      </w:r>
      <w:r>
        <w:rPr>
          <w:spacing w:val="-10"/>
          <w:w w:val="115"/>
        </w:rPr>
        <w:t> </w:t>
      </w:r>
      <w:r>
        <w:rPr>
          <w:w w:val="115"/>
        </w:rPr>
        <w:t>concepción</w:t>
      </w:r>
      <w:r>
        <w:rPr>
          <w:spacing w:val="-10"/>
          <w:w w:val="115"/>
        </w:rPr>
        <w:t> </w:t>
      </w:r>
      <w:r>
        <w:rPr>
          <w:w w:val="115"/>
        </w:rPr>
        <w:t>de</w:t>
      </w:r>
      <w:r>
        <w:rPr>
          <w:spacing w:val="-10"/>
          <w:w w:val="115"/>
        </w:rPr>
        <w:t> </w:t>
      </w:r>
      <w:r>
        <w:rPr>
          <w:w w:val="115"/>
        </w:rPr>
        <w:t>la</w:t>
      </w:r>
      <w:r>
        <w:rPr>
          <w:spacing w:val="-10"/>
          <w:w w:val="115"/>
        </w:rPr>
        <w:t> </w:t>
      </w:r>
      <w:r>
        <w:rPr>
          <w:w w:val="115"/>
        </w:rPr>
        <w:t>seguridad</w:t>
      </w:r>
      <w:r>
        <w:rPr>
          <w:spacing w:val="-10"/>
          <w:w w:val="115"/>
        </w:rPr>
        <w:t> </w:t>
      </w:r>
      <w:r>
        <w:rPr>
          <w:w w:val="115"/>
        </w:rPr>
        <w:t>na- cional,</w:t>
      </w:r>
      <w:r>
        <w:rPr>
          <w:spacing w:val="-16"/>
          <w:w w:val="115"/>
        </w:rPr>
        <w:t> </w:t>
      </w:r>
      <w:r>
        <w:rPr>
          <w:w w:val="115"/>
        </w:rPr>
        <w:t>surgen</w:t>
      </w:r>
      <w:r>
        <w:rPr>
          <w:spacing w:val="-16"/>
          <w:w w:val="115"/>
        </w:rPr>
        <w:t> </w:t>
      </w:r>
      <w:r>
        <w:rPr>
          <w:w w:val="115"/>
        </w:rPr>
        <w:t>estructuras</w:t>
      </w:r>
      <w:r>
        <w:rPr>
          <w:spacing w:val="-16"/>
          <w:w w:val="115"/>
        </w:rPr>
        <w:t> </w:t>
      </w:r>
      <w:r>
        <w:rPr>
          <w:w w:val="115"/>
        </w:rPr>
        <w:t>institucionales</w:t>
      </w:r>
      <w:r>
        <w:rPr>
          <w:spacing w:val="-16"/>
          <w:w w:val="115"/>
        </w:rPr>
        <w:t> </w:t>
      </w:r>
      <w:r>
        <w:rPr>
          <w:w w:val="115"/>
        </w:rPr>
        <w:t>como</w:t>
      </w:r>
      <w:r>
        <w:rPr>
          <w:spacing w:val="-16"/>
          <w:w w:val="115"/>
        </w:rPr>
        <w:t> </w:t>
      </w:r>
      <w:r>
        <w:rPr>
          <w:w w:val="115"/>
        </w:rPr>
        <w:t>la</w:t>
      </w:r>
      <w:r>
        <w:rPr>
          <w:spacing w:val="-16"/>
          <w:w w:val="115"/>
        </w:rPr>
        <w:t> </w:t>
      </w:r>
      <w:r>
        <w:rPr>
          <w:w w:val="115"/>
        </w:rPr>
        <w:t>agencia</w:t>
      </w:r>
      <w:r>
        <w:rPr>
          <w:spacing w:val="-16"/>
          <w:w w:val="115"/>
        </w:rPr>
        <w:t> </w:t>
      </w:r>
      <w:r>
        <w:rPr>
          <w:w w:val="115"/>
        </w:rPr>
        <w:t>Central</w:t>
      </w:r>
      <w:r>
        <w:rPr>
          <w:spacing w:val="-16"/>
          <w:w w:val="115"/>
        </w:rPr>
        <w:t> </w:t>
      </w:r>
      <w:r>
        <w:rPr>
          <w:w w:val="115"/>
        </w:rPr>
        <w:t>de inteligencia</w:t>
      </w:r>
      <w:r>
        <w:rPr>
          <w:spacing w:val="-14"/>
          <w:w w:val="115"/>
        </w:rPr>
        <w:t> </w:t>
      </w:r>
      <w:r>
        <w:rPr>
          <w:w w:val="115"/>
        </w:rPr>
        <w:t>y</w:t>
      </w:r>
      <w:r>
        <w:rPr>
          <w:spacing w:val="-14"/>
          <w:w w:val="115"/>
        </w:rPr>
        <w:t> </w:t>
      </w:r>
      <w:r>
        <w:rPr>
          <w:w w:val="115"/>
        </w:rPr>
        <w:t>el</w:t>
      </w:r>
      <w:r>
        <w:rPr>
          <w:spacing w:val="-14"/>
          <w:w w:val="115"/>
        </w:rPr>
        <w:t> </w:t>
      </w:r>
      <w:r>
        <w:rPr>
          <w:w w:val="115"/>
        </w:rPr>
        <w:t>Consejo</w:t>
      </w:r>
      <w:r>
        <w:rPr>
          <w:spacing w:val="-14"/>
          <w:w w:val="115"/>
        </w:rPr>
        <w:t> </w:t>
      </w:r>
      <w:r>
        <w:rPr>
          <w:w w:val="115"/>
        </w:rPr>
        <w:t>de</w:t>
      </w:r>
      <w:r>
        <w:rPr>
          <w:spacing w:val="-14"/>
          <w:w w:val="115"/>
        </w:rPr>
        <w:t> </w:t>
      </w:r>
      <w:r>
        <w:rPr>
          <w:w w:val="115"/>
        </w:rPr>
        <w:t>seguridad</w:t>
      </w:r>
      <w:r>
        <w:rPr>
          <w:spacing w:val="-14"/>
          <w:w w:val="115"/>
        </w:rPr>
        <w:t> </w:t>
      </w:r>
      <w:r>
        <w:rPr>
          <w:w w:val="115"/>
        </w:rPr>
        <w:t>Nacional,</w:t>
      </w:r>
      <w:r>
        <w:rPr>
          <w:spacing w:val="-14"/>
          <w:w w:val="115"/>
        </w:rPr>
        <w:t> </w:t>
      </w:r>
      <w:r>
        <w:rPr>
          <w:w w:val="115"/>
        </w:rPr>
        <w:t>aparecen</w:t>
      </w:r>
      <w:r>
        <w:rPr>
          <w:spacing w:val="-14"/>
          <w:w w:val="115"/>
        </w:rPr>
        <w:t> </w:t>
      </w:r>
      <w:r>
        <w:rPr>
          <w:w w:val="115"/>
        </w:rPr>
        <w:t>la</w:t>
      </w:r>
      <w:r>
        <w:rPr>
          <w:spacing w:val="-14"/>
          <w:w w:val="115"/>
        </w:rPr>
        <w:t> </w:t>
      </w:r>
      <w:r>
        <w:rPr>
          <w:w w:val="115"/>
        </w:rPr>
        <w:t>doctrina </w:t>
      </w:r>
      <w:r>
        <w:rPr>
          <w:spacing w:val="-3"/>
          <w:w w:val="115"/>
        </w:rPr>
        <w:t>truman</w:t>
      </w:r>
      <w:r>
        <w:rPr>
          <w:spacing w:val="-16"/>
          <w:w w:val="115"/>
        </w:rPr>
        <w:t> </w:t>
      </w:r>
      <w:r>
        <w:rPr>
          <w:w w:val="115"/>
        </w:rPr>
        <w:t>junto</w:t>
      </w:r>
      <w:r>
        <w:rPr>
          <w:spacing w:val="-16"/>
          <w:w w:val="115"/>
        </w:rPr>
        <w:t> </w:t>
      </w:r>
      <w:r>
        <w:rPr>
          <w:w w:val="115"/>
        </w:rPr>
        <w:t>al</w:t>
      </w:r>
      <w:r>
        <w:rPr>
          <w:spacing w:val="-16"/>
          <w:w w:val="115"/>
        </w:rPr>
        <w:t> </w:t>
      </w:r>
      <w:r>
        <w:rPr>
          <w:w w:val="115"/>
        </w:rPr>
        <w:t>principio</w:t>
      </w:r>
      <w:r>
        <w:rPr>
          <w:spacing w:val="-16"/>
          <w:w w:val="115"/>
        </w:rPr>
        <w:t> </w:t>
      </w:r>
      <w:r>
        <w:rPr>
          <w:w w:val="115"/>
        </w:rPr>
        <w:t>estratégico</w:t>
      </w:r>
      <w:r>
        <w:rPr>
          <w:spacing w:val="-16"/>
          <w:w w:val="115"/>
        </w:rPr>
        <w:t> </w:t>
      </w:r>
      <w:r>
        <w:rPr>
          <w:w w:val="115"/>
        </w:rPr>
        <w:t>de</w:t>
      </w:r>
      <w:r>
        <w:rPr>
          <w:spacing w:val="-16"/>
          <w:w w:val="115"/>
        </w:rPr>
        <w:t> </w:t>
      </w:r>
      <w:r>
        <w:rPr>
          <w:w w:val="115"/>
        </w:rPr>
        <w:t>la</w:t>
      </w:r>
      <w:r>
        <w:rPr>
          <w:spacing w:val="-16"/>
          <w:w w:val="115"/>
        </w:rPr>
        <w:t> </w:t>
      </w:r>
      <w:r>
        <w:rPr>
          <w:w w:val="115"/>
        </w:rPr>
        <w:t>contención</w:t>
      </w:r>
      <w:r>
        <w:rPr>
          <w:spacing w:val="-16"/>
          <w:w w:val="115"/>
        </w:rPr>
        <w:t> </w:t>
      </w:r>
      <w:r>
        <w:rPr>
          <w:w w:val="115"/>
        </w:rPr>
        <w:t>al</w:t>
      </w:r>
      <w:r>
        <w:rPr>
          <w:spacing w:val="-16"/>
          <w:w w:val="115"/>
        </w:rPr>
        <w:t> </w:t>
      </w:r>
      <w:r>
        <w:rPr>
          <w:w w:val="115"/>
        </w:rPr>
        <w:t>comunismo, y</w:t>
      </w:r>
      <w:r>
        <w:rPr>
          <w:spacing w:val="-14"/>
          <w:w w:val="115"/>
        </w:rPr>
        <w:t> </w:t>
      </w:r>
      <w:r>
        <w:rPr>
          <w:w w:val="115"/>
        </w:rPr>
        <w:t>se</w:t>
      </w:r>
      <w:r>
        <w:rPr>
          <w:spacing w:val="-14"/>
          <w:w w:val="115"/>
        </w:rPr>
        <w:t> </w:t>
      </w:r>
      <w:r>
        <w:rPr>
          <w:w w:val="115"/>
        </w:rPr>
        <w:t>establece</w:t>
      </w:r>
      <w:r>
        <w:rPr>
          <w:spacing w:val="-14"/>
          <w:w w:val="115"/>
        </w:rPr>
        <w:t> </w:t>
      </w:r>
      <w:r>
        <w:rPr>
          <w:w w:val="115"/>
        </w:rPr>
        <w:t>la</w:t>
      </w:r>
      <w:r>
        <w:rPr>
          <w:spacing w:val="-14"/>
          <w:w w:val="115"/>
        </w:rPr>
        <w:t> </w:t>
      </w:r>
      <w:r>
        <w:rPr>
          <w:w w:val="115"/>
        </w:rPr>
        <w:t>paranoica</w:t>
      </w:r>
      <w:r>
        <w:rPr>
          <w:spacing w:val="-14"/>
          <w:w w:val="115"/>
        </w:rPr>
        <w:t> </w:t>
      </w:r>
      <w:r>
        <w:rPr>
          <w:w w:val="115"/>
        </w:rPr>
        <w:t>e</w:t>
      </w:r>
      <w:r>
        <w:rPr>
          <w:spacing w:val="-14"/>
          <w:w w:val="115"/>
        </w:rPr>
        <w:t> </w:t>
      </w:r>
      <w:r>
        <w:rPr>
          <w:w w:val="115"/>
        </w:rPr>
        <w:t>histérica</w:t>
      </w:r>
      <w:r>
        <w:rPr>
          <w:spacing w:val="-14"/>
          <w:w w:val="115"/>
        </w:rPr>
        <w:t> </w:t>
      </w:r>
      <w:r>
        <w:rPr>
          <w:w w:val="115"/>
        </w:rPr>
        <w:t>atmósfera</w:t>
      </w:r>
      <w:r>
        <w:rPr>
          <w:spacing w:val="-14"/>
          <w:w w:val="115"/>
        </w:rPr>
        <w:t> </w:t>
      </w:r>
      <w:r>
        <w:rPr>
          <w:w w:val="115"/>
        </w:rPr>
        <w:t>del</w:t>
      </w:r>
      <w:r>
        <w:rPr>
          <w:spacing w:val="-14"/>
          <w:w w:val="115"/>
        </w:rPr>
        <w:t> </w:t>
      </w:r>
      <w:r>
        <w:rPr>
          <w:w w:val="115"/>
        </w:rPr>
        <w:t>macarthismo,</w:t>
      </w:r>
      <w:r>
        <w:rPr>
          <w:spacing w:val="-14"/>
          <w:w w:val="115"/>
        </w:rPr>
        <w:t> </w:t>
      </w:r>
      <w:r>
        <w:rPr>
          <w:w w:val="115"/>
        </w:rPr>
        <w:t>se afianza</w:t>
      </w:r>
      <w:r>
        <w:rPr>
          <w:spacing w:val="-13"/>
          <w:w w:val="115"/>
        </w:rPr>
        <w:t> </w:t>
      </w:r>
      <w:r>
        <w:rPr>
          <w:w w:val="115"/>
        </w:rPr>
        <w:t>una</w:t>
      </w:r>
      <w:r>
        <w:rPr>
          <w:spacing w:val="-13"/>
          <w:w w:val="115"/>
        </w:rPr>
        <w:t> </w:t>
      </w:r>
      <w:r>
        <w:rPr>
          <w:w w:val="115"/>
        </w:rPr>
        <w:t>tendencia</w:t>
      </w:r>
      <w:r>
        <w:rPr>
          <w:spacing w:val="-13"/>
          <w:w w:val="115"/>
        </w:rPr>
        <w:t> </w:t>
      </w:r>
      <w:r>
        <w:rPr>
          <w:w w:val="115"/>
        </w:rPr>
        <w:t>histórica</w:t>
      </w:r>
      <w:r>
        <w:rPr>
          <w:spacing w:val="-13"/>
          <w:w w:val="115"/>
        </w:rPr>
        <w:t> </w:t>
      </w:r>
      <w:r>
        <w:rPr>
          <w:w w:val="115"/>
        </w:rPr>
        <w:t>encaminada</w:t>
      </w:r>
      <w:r>
        <w:rPr>
          <w:spacing w:val="-13"/>
          <w:w w:val="115"/>
        </w:rPr>
        <w:t> </w:t>
      </w:r>
      <w:r>
        <w:rPr>
          <w:w w:val="115"/>
        </w:rPr>
        <w:t>a</w:t>
      </w:r>
      <w:r>
        <w:rPr>
          <w:spacing w:val="-13"/>
          <w:w w:val="115"/>
        </w:rPr>
        <w:t> </w:t>
      </w:r>
      <w:r>
        <w:rPr>
          <w:w w:val="115"/>
        </w:rPr>
        <w:t>justificar,</w:t>
      </w:r>
      <w:r>
        <w:rPr>
          <w:spacing w:val="-13"/>
          <w:w w:val="115"/>
        </w:rPr>
        <w:t> </w:t>
      </w:r>
      <w:r>
        <w:rPr>
          <w:w w:val="115"/>
        </w:rPr>
        <w:t>consolidar</w:t>
      </w:r>
      <w:r>
        <w:rPr>
          <w:spacing w:val="-13"/>
          <w:w w:val="115"/>
        </w:rPr>
        <w:t> </w:t>
      </w:r>
      <w:r>
        <w:rPr>
          <w:w w:val="115"/>
        </w:rPr>
        <w:t>y extender la hegemonía de los Estados unidos a escala mundial</w:t>
      </w:r>
      <w:r>
        <w:rPr>
          <w:spacing w:val="-12"/>
          <w:w w:val="115"/>
        </w:rPr>
        <w:t> </w:t>
      </w:r>
      <w:r>
        <w:rPr>
          <w:w w:val="115"/>
        </w:rPr>
        <w:t>(que </w:t>
      </w:r>
      <w:r>
        <w:rPr>
          <w:w w:val="108"/>
        </w:rPr>
        <w:t>en</w:t>
      </w:r>
      <w:r>
        <w:rPr/>
        <w:t> </w:t>
      </w:r>
      <w:r>
        <w:rPr>
          <w:spacing w:val="1"/>
        </w:rPr>
        <w:t> </w:t>
      </w:r>
      <w:r>
        <w:rPr>
          <w:w w:val="139"/>
        </w:rPr>
        <w:t>a</w:t>
      </w:r>
      <w:r>
        <w:rPr>
          <w:w w:val="111"/>
        </w:rPr>
        <w:t>mérica</w:t>
      </w:r>
      <w:r>
        <w:rPr/>
        <w:t> </w:t>
      </w:r>
      <w:r>
        <w:rPr>
          <w:spacing w:val="1"/>
        </w:rPr>
        <w:t> </w:t>
      </w:r>
      <w:r>
        <w:rPr>
          <w:w w:val="243"/>
        </w:rPr>
        <w:t>l</w:t>
      </w:r>
      <w:r>
        <w:rPr>
          <w:w w:val="111"/>
        </w:rPr>
        <w:t>atina</w:t>
      </w:r>
      <w:r>
        <w:rPr/>
        <w:t> </w:t>
      </w:r>
      <w:r>
        <w:rPr>
          <w:spacing w:val="1"/>
        </w:rPr>
        <w:t> </w:t>
      </w:r>
      <w:r>
        <w:rPr>
          <w:w w:val="105"/>
        </w:rPr>
        <w:t>se</w:t>
      </w:r>
      <w:r>
        <w:rPr/>
        <w:t> </w:t>
      </w:r>
      <w:r>
        <w:rPr>
          <w:spacing w:val="1"/>
        </w:rPr>
        <w:t> </w:t>
      </w:r>
      <w:r>
        <w:rPr>
          <w:w w:val="109"/>
        </w:rPr>
        <w:t>manifiesta</w:t>
      </w:r>
      <w:r>
        <w:rPr/>
        <w:t> </w:t>
      </w:r>
      <w:r>
        <w:rPr>
          <w:spacing w:val="1"/>
        </w:rPr>
        <w:t> </w:t>
      </w:r>
      <w:r>
        <w:rPr>
          <w:w w:val="112"/>
        </w:rPr>
        <w:t>con</w:t>
      </w:r>
      <w:r>
        <w:rPr/>
        <w:t> </w:t>
      </w:r>
      <w:r>
        <w:rPr>
          <w:spacing w:val="1"/>
        </w:rPr>
        <w:t> </w:t>
      </w:r>
      <w:r>
        <w:rPr>
          <w:w w:val="107"/>
        </w:rPr>
        <w:t>el</w:t>
      </w:r>
      <w:r>
        <w:rPr/>
        <w:t> </w:t>
      </w:r>
      <w:r>
        <w:rPr>
          <w:spacing w:val="1"/>
        </w:rPr>
        <w:t> </w:t>
      </w:r>
      <w:r>
        <w:rPr>
          <w:w w:val="111"/>
        </w:rPr>
        <w:t>nacimiento</w:t>
      </w:r>
      <w:r>
        <w:rPr/>
        <w:t> </w:t>
      </w:r>
      <w:r>
        <w:rPr>
          <w:spacing w:val="1"/>
        </w:rPr>
        <w:t> </w:t>
      </w:r>
      <w:r>
        <w:rPr>
          <w:w w:val="107"/>
        </w:rPr>
        <w:t>de</w:t>
      </w:r>
      <w:r>
        <w:rPr/>
        <w:t> </w:t>
      </w:r>
      <w:r>
        <w:rPr>
          <w:spacing w:val="1"/>
        </w:rPr>
        <w:t> </w:t>
      </w:r>
      <w:r>
        <w:rPr>
          <w:w w:val="111"/>
        </w:rPr>
        <w:t>la</w:t>
      </w:r>
      <w:r>
        <w:rPr/>
        <w:t> </w:t>
      </w:r>
      <w:r>
        <w:rPr>
          <w:spacing w:val="1"/>
        </w:rPr>
        <w:t> </w:t>
      </w:r>
      <w:r>
        <w:rPr>
          <w:w w:val="149"/>
        </w:rPr>
        <w:t>o</w:t>
      </w:r>
      <w:r>
        <w:rPr>
          <w:w w:val="128"/>
        </w:rPr>
        <w:t>E</w:t>
      </w:r>
      <w:r>
        <w:rPr>
          <w:w w:val="139"/>
        </w:rPr>
        <w:t>a</w:t>
      </w:r>
      <w:r>
        <w:rPr/>
        <w:t> </w:t>
      </w:r>
      <w:r>
        <w:rPr>
          <w:spacing w:val="1"/>
        </w:rPr>
        <w:t> </w:t>
      </w:r>
      <w:r>
        <w:rPr>
          <w:w w:val="105"/>
        </w:rPr>
        <w:t>y</w:t>
      </w:r>
      <w:r>
        <w:rPr/>
        <w:t> </w:t>
      </w:r>
      <w:r>
        <w:rPr>
          <w:spacing w:val="1"/>
        </w:rPr>
        <w:t> </w:t>
      </w:r>
      <w:r>
        <w:rPr>
          <w:w w:val="107"/>
        </w:rPr>
        <w:t>el </w:t>
      </w:r>
      <w:r>
        <w:rPr>
          <w:w w:val="164"/>
        </w:rPr>
        <w:t>tiar</w:t>
      </w:r>
      <w:r>
        <w:rPr>
          <w:w w:val="112"/>
        </w:rPr>
        <w:t>).</w:t>
      </w:r>
      <w:r>
        <w:rPr>
          <w:spacing w:val="8"/>
        </w:rPr>
        <w:t> </w:t>
      </w:r>
      <w:r>
        <w:rPr>
          <w:w w:val="243"/>
        </w:rPr>
        <w:t>l</w:t>
      </w:r>
      <w:r>
        <w:rPr>
          <w:w w:val="112"/>
        </w:rPr>
        <w:t>a</w:t>
      </w:r>
      <w:r>
        <w:rPr>
          <w:spacing w:val="8"/>
        </w:rPr>
        <w:t> </w:t>
      </w:r>
      <w:r>
        <w:rPr>
          <w:w w:val="112"/>
        </w:rPr>
        <w:t>misma</w:t>
      </w:r>
      <w:r>
        <w:rPr>
          <w:spacing w:val="8"/>
        </w:rPr>
        <w:t> </w:t>
      </w:r>
      <w:r>
        <w:rPr>
          <w:w w:val="105"/>
        </w:rPr>
        <w:t>se</w:t>
      </w:r>
      <w:r>
        <w:rPr>
          <w:spacing w:val="8"/>
        </w:rPr>
        <w:t> </w:t>
      </w:r>
      <w:r>
        <w:rPr>
          <w:w w:val="107"/>
        </w:rPr>
        <w:t>expresa</w:t>
      </w:r>
      <w:r>
        <w:rPr>
          <w:spacing w:val="8"/>
        </w:rPr>
        <w:t> </w:t>
      </w:r>
      <w:r>
        <w:rPr>
          <w:w w:val="112"/>
        </w:rPr>
        <w:t>a</w:t>
      </w:r>
      <w:r>
        <w:rPr>
          <w:spacing w:val="8"/>
        </w:rPr>
        <w:t> </w:t>
      </w:r>
      <w:r>
        <w:rPr>
          <w:w w:val="105"/>
        </w:rPr>
        <w:t>través</w:t>
      </w:r>
      <w:r>
        <w:rPr>
          <w:spacing w:val="8"/>
        </w:rPr>
        <w:t> </w:t>
      </w:r>
      <w:r>
        <w:rPr>
          <w:w w:val="107"/>
        </w:rPr>
        <w:t>del</w:t>
      </w:r>
      <w:r>
        <w:rPr>
          <w:spacing w:val="8"/>
        </w:rPr>
        <w:t> </w:t>
      </w:r>
      <w:r>
        <w:rPr>
          <w:w w:val="109"/>
        </w:rPr>
        <w:t>sistema</w:t>
      </w:r>
      <w:r>
        <w:rPr>
          <w:spacing w:val="8"/>
        </w:rPr>
        <w:t> </w:t>
      </w:r>
      <w:r>
        <w:rPr>
          <w:w w:val="111"/>
        </w:rPr>
        <w:t>político</w:t>
      </w:r>
      <w:r>
        <w:rPr>
          <w:spacing w:val="8"/>
        </w:rPr>
        <w:t> </w:t>
      </w:r>
      <w:r>
        <w:rPr>
          <w:w w:val="105"/>
        </w:rPr>
        <w:t>y</w:t>
      </w:r>
      <w:r>
        <w:rPr>
          <w:spacing w:val="8"/>
        </w:rPr>
        <w:t> </w:t>
      </w:r>
      <w:r>
        <w:rPr>
          <w:w w:val="107"/>
        </w:rPr>
        <w:t>de</w:t>
      </w:r>
      <w:r>
        <w:rPr>
          <w:spacing w:val="8"/>
        </w:rPr>
        <w:t> </w:t>
      </w:r>
      <w:r>
        <w:rPr>
          <w:w w:val="111"/>
        </w:rPr>
        <w:t>la</w:t>
      </w:r>
      <w:r>
        <w:rPr>
          <w:spacing w:val="8"/>
        </w:rPr>
        <w:t> </w:t>
      </w:r>
      <w:r>
        <w:rPr>
          <w:w w:val="112"/>
        </w:rPr>
        <w:t>cult</w:t>
      </w:r>
      <w:r>
        <w:rPr>
          <w:spacing w:val="-1"/>
          <w:w w:val="112"/>
        </w:rPr>
        <w:t>u</w:t>
      </w:r>
      <w:r>
        <w:rPr>
          <w:w w:val="102"/>
        </w:rPr>
        <w:t>- </w:t>
      </w:r>
      <w:r>
        <w:rPr>
          <w:w w:val="115"/>
        </w:rPr>
        <w:t>ra</w:t>
      </w:r>
      <w:r>
        <w:rPr>
          <w:spacing w:val="-20"/>
          <w:w w:val="115"/>
        </w:rPr>
        <w:t> </w:t>
      </w:r>
      <w:r>
        <w:rPr>
          <w:w w:val="115"/>
        </w:rPr>
        <w:t>política</w:t>
      </w:r>
      <w:r>
        <w:rPr>
          <w:spacing w:val="-20"/>
          <w:w w:val="115"/>
        </w:rPr>
        <w:t> </w:t>
      </w:r>
      <w:r>
        <w:rPr>
          <w:w w:val="115"/>
        </w:rPr>
        <w:t>dentro</w:t>
      </w:r>
      <w:r>
        <w:rPr>
          <w:spacing w:val="-20"/>
          <w:w w:val="115"/>
        </w:rPr>
        <w:t> </w:t>
      </w:r>
      <w:r>
        <w:rPr>
          <w:w w:val="115"/>
        </w:rPr>
        <w:t>de</w:t>
      </w:r>
      <w:r>
        <w:rPr>
          <w:spacing w:val="-20"/>
          <w:w w:val="115"/>
        </w:rPr>
        <w:t> </w:t>
      </w:r>
      <w:r>
        <w:rPr>
          <w:w w:val="115"/>
        </w:rPr>
        <w:t>la</w:t>
      </w:r>
      <w:r>
        <w:rPr>
          <w:spacing w:val="-20"/>
          <w:w w:val="115"/>
        </w:rPr>
        <w:t> </w:t>
      </w:r>
      <w:r>
        <w:rPr>
          <w:w w:val="115"/>
        </w:rPr>
        <w:t>formación</w:t>
      </w:r>
      <w:r>
        <w:rPr>
          <w:spacing w:val="-20"/>
          <w:w w:val="115"/>
        </w:rPr>
        <w:t> </w:t>
      </w:r>
      <w:r>
        <w:rPr>
          <w:w w:val="115"/>
        </w:rPr>
        <w:t>social</w:t>
      </w:r>
      <w:r>
        <w:rPr>
          <w:spacing w:val="-20"/>
          <w:w w:val="115"/>
        </w:rPr>
        <w:t> </w:t>
      </w:r>
      <w:r>
        <w:rPr>
          <w:w w:val="115"/>
        </w:rPr>
        <w:t>norteamericana.</w:t>
      </w:r>
    </w:p>
    <w:p>
      <w:pPr>
        <w:pStyle w:val="BodyText"/>
        <w:spacing w:line="252" w:lineRule="auto"/>
        <w:ind w:left="330" w:right="117" w:firstLine="396"/>
        <w:jc w:val="both"/>
      </w:pPr>
      <w:r>
        <w:rPr>
          <w:w w:val="243"/>
        </w:rPr>
        <w:t>l</w:t>
      </w:r>
      <w:r>
        <w:rPr>
          <w:w w:val="110"/>
        </w:rPr>
        <w:t>o</w:t>
      </w:r>
      <w:r>
        <w:rPr>
          <w:spacing w:val="16"/>
        </w:rPr>
        <w:t> </w:t>
      </w:r>
      <w:r>
        <w:rPr>
          <w:w w:val="108"/>
        </w:rPr>
        <w:t>que</w:t>
      </w:r>
      <w:r>
        <w:rPr>
          <w:spacing w:val="16"/>
        </w:rPr>
        <w:t> </w:t>
      </w:r>
      <w:r>
        <w:rPr>
          <w:w w:val="108"/>
        </w:rPr>
        <w:t>tiene</w:t>
      </w:r>
      <w:r>
        <w:rPr>
          <w:spacing w:val="16"/>
        </w:rPr>
        <w:t> </w:t>
      </w:r>
      <w:r>
        <w:rPr>
          <w:w w:val="110"/>
        </w:rPr>
        <w:t>lugar</w:t>
      </w:r>
      <w:r>
        <w:rPr>
          <w:spacing w:val="16"/>
        </w:rPr>
        <w:t> </w:t>
      </w:r>
      <w:r>
        <w:rPr>
          <w:w w:val="106"/>
        </w:rPr>
        <w:t>desde</w:t>
      </w:r>
      <w:r>
        <w:rPr>
          <w:spacing w:val="16"/>
        </w:rPr>
        <w:t> </w:t>
      </w:r>
      <w:r>
        <w:rPr>
          <w:w w:val="109"/>
        </w:rPr>
        <w:t>entonces</w:t>
      </w:r>
      <w:r>
        <w:rPr>
          <w:spacing w:val="16"/>
        </w:rPr>
        <w:t> </w:t>
      </w:r>
      <w:r>
        <w:rPr>
          <w:w w:val="105"/>
        </w:rPr>
        <w:t>es</w:t>
      </w:r>
      <w:r>
        <w:rPr>
          <w:spacing w:val="16"/>
        </w:rPr>
        <w:t> </w:t>
      </w:r>
      <w:r>
        <w:rPr>
          <w:w w:val="112"/>
        </w:rPr>
        <w:t>un</w:t>
      </w:r>
      <w:r>
        <w:rPr>
          <w:spacing w:val="16"/>
        </w:rPr>
        <w:t> </w:t>
      </w:r>
      <w:r>
        <w:rPr>
          <w:w w:val="109"/>
        </w:rPr>
        <w:t>doble</w:t>
      </w:r>
      <w:r>
        <w:rPr>
          <w:spacing w:val="16"/>
        </w:rPr>
        <w:t> </w:t>
      </w:r>
      <w:r>
        <w:rPr>
          <w:w w:val="110"/>
        </w:rPr>
        <w:t>proceso,</w:t>
      </w:r>
      <w:r>
        <w:rPr>
          <w:spacing w:val="16"/>
        </w:rPr>
        <w:t> </w:t>
      </w:r>
      <w:r>
        <w:rPr>
          <w:w w:val="110"/>
        </w:rPr>
        <w:t>cuyas</w:t>
      </w:r>
      <w:r>
        <w:rPr>
          <w:spacing w:val="16"/>
        </w:rPr>
        <w:t> </w:t>
      </w:r>
      <w:r>
        <w:rPr>
          <w:w w:val="111"/>
        </w:rPr>
        <w:t>di</w:t>
      </w:r>
      <w:r>
        <w:rPr>
          <w:w w:val="102"/>
        </w:rPr>
        <w:t>- </w:t>
      </w:r>
      <w:r>
        <w:rPr>
          <w:w w:val="110"/>
        </w:rPr>
        <w:t>mensiones se complementan y refuerzan mutuamente. Por una </w:t>
      </w:r>
      <w:r>
        <w:rPr>
          <w:spacing w:val="-4"/>
          <w:w w:val="110"/>
        </w:rPr>
        <w:t>par-  </w:t>
      </w:r>
      <w:r>
        <w:rPr>
          <w:w w:val="110"/>
        </w:rPr>
        <w:t>te, se profundiza un clima de legitimación doméstica, al interior de Estados unidos, palpable en el clima de cruzada anticomunista, de “cacería de brujas”, que reaviva el ideario conservador arraigado en  la vida de la nación, que por etapas permaneció latente, forjando un “consenso interno” basado en la promoción del interés nacional, con- cebido a la luz de los mitos fundacionales que sostienen la identidad norteamericana. Por otra, se formula una plataforma de política ex- </w:t>
      </w:r>
      <w:r>
        <w:rPr>
          <w:spacing w:val="-4"/>
          <w:w w:val="110"/>
        </w:rPr>
        <w:t>terior,  </w:t>
      </w:r>
      <w:r>
        <w:rPr>
          <w:w w:val="110"/>
        </w:rPr>
        <w:t>que se plasma en diversos escenarios internacionales –sobre  la base de la misma mitología– y que en el traspatio latinoamericano se traduce de inmediato en el discurso y el decurso de la defensa de   la “seguridad nacional” y de “lo norteamericano”. de esta manera se convence</w:t>
      </w:r>
      <w:r>
        <w:rPr>
          <w:spacing w:val="39"/>
          <w:w w:val="110"/>
        </w:rPr>
        <w:t> </w:t>
      </w:r>
      <w:r>
        <w:rPr>
          <w:w w:val="110"/>
        </w:rPr>
        <w:t>al</w:t>
      </w:r>
      <w:r>
        <w:rPr>
          <w:spacing w:val="39"/>
          <w:w w:val="110"/>
        </w:rPr>
        <w:t> </w:t>
      </w:r>
      <w:r>
        <w:rPr>
          <w:w w:val="110"/>
        </w:rPr>
        <w:t>ciudadano</w:t>
      </w:r>
      <w:r>
        <w:rPr>
          <w:spacing w:val="39"/>
          <w:w w:val="110"/>
        </w:rPr>
        <w:t> </w:t>
      </w:r>
      <w:r>
        <w:rPr>
          <w:w w:val="110"/>
        </w:rPr>
        <w:t>medio,</w:t>
      </w:r>
      <w:r>
        <w:rPr>
          <w:spacing w:val="39"/>
          <w:w w:val="110"/>
        </w:rPr>
        <w:t> </w:t>
      </w:r>
      <w:r>
        <w:rPr>
          <w:w w:val="110"/>
        </w:rPr>
        <w:t>a</w:t>
      </w:r>
      <w:r>
        <w:rPr>
          <w:spacing w:val="39"/>
          <w:w w:val="110"/>
        </w:rPr>
        <w:t> </w:t>
      </w:r>
      <w:r>
        <w:rPr>
          <w:w w:val="110"/>
        </w:rPr>
        <w:t>la</w:t>
      </w:r>
      <w:r>
        <w:rPr>
          <w:spacing w:val="39"/>
          <w:w w:val="110"/>
        </w:rPr>
        <w:t> </w:t>
      </w:r>
      <w:r>
        <w:rPr>
          <w:w w:val="110"/>
        </w:rPr>
        <w:t>opinión</w:t>
      </w:r>
      <w:r>
        <w:rPr>
          <w:spacing w:val="39"/>
          <w:w w:val="110"/>
        </w:rPr>
        <w:t> </w:t>
      </w:r>
      <w:r>
        <w:rPr>
          <w:w w:val="110"/>
        </w:rPr>
        <w:t>pública,</w:t>
      </w:r>
      <w:r>
        <w:rPr>
          <w:spacing w:val="39"/>
          <w:w w:val="110"/>
        </w:rPr>
        <w:t> </w:t>
      </w:r>
      <w:r>
        <w:rPr>
          <w:w w:val="110"/>
        </w:rPr>
        <w:t>a</w:t>
      </w:r>
      <w:r>
        <w:rPr>
          <w:spacing w:val="39"/>
          <w:w w:val="110"/>
        </w:rPr>
        <w:t> </w:t>
      </w:r>
      <w:r>
        <w:rPr>
          <w:w w:val="110"/>
        </w:rPr>
        <w:t>la</w:t>
      </w:r>
      <w:r>
        <w:rPr>
          <w:spacing w:val="39"/>
          <w:w w:val="110"/>
        </w:rPr>
        <w:t> </w:t>
      </w:r>
      <w:r>
        <w:rPr>
          <w:w w:val="110"/>
        </w:rPr>
        <w:t>conciencia</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nacional estadounidense, acerca de la necesidad de purificar todo el tejido social, ideológico, étnico y cultural dentro de la nación. Y se </w:t>
      </w:r>
      <w:r>
        <w:rPr>
          <w:w w:val="108"/>
        </w:rPr>
        <w:t>persuade</w:t>
      </w:r>
      <w:r>
        <w:rPr/>
        <w:t> </w:t>
      </w:r>
      <w:r>
        <w:rPr>
          <w:spacing w:val="-3"/>
        </w:rPr>
        <w:t> </w:t>
      </w:r>
      <w:r>
        <w:rPr>
          <w:w w:val="112"/>
        </w:rPr>
        <w:t>a</w:t>
      </w:r>
      <w:r>
        <w:rPr/>
        <w:t> </w:t>
      </w:r>
      <w:r>
        <w:rPr>
          <w:spacing w:val="-3"/>
        </w:rPr>
        <w:t> </w:t>
      </w:r>
      <w:r>
        <w:rPr>
          <w:w w:val="108"/>
        </w:rPr>
        <w:t>los</w:t>
      </w:r>
      <w:r>
        <w:rPr/>
        <w:t> </w:t>
      </w:r>
      <w:r>
        <w:rPr>
          <w:spacing w:val="-3"/>
        </w:rPr>
        <w:t> </w:t>
      </w:r>
      <w:r>
        <w:rPr>
          <w:w w:val="108"/>
        </w:rPr>
        <w:t>países</w:t>
      </w:r>
      <w:r>
        <w:rPr/>
        <w:t> </w:t>
      </w:r>
      <w:r>
        <w:rPr>
          <w:spacing w:val="-3"/>
        </w:rPr>
        <w:t> </w:t>
      </w:r>
      <w:r>
        <w:rPr>
          <w:w w:val="107"/>
        </w:rPr>
        <w:t>de</w:t>
      </w:r>
      <w:r>
        <w:rPr/>
        <w:t> </w:t>
      </w:r>
      <w:r>
        <w:rPr>
          <w:spacing w:val="-3"/>
        </w:rPr>
        <w:t> </w:t>
      </w:r>
      <w:r>
        <w:rPr>
          <w:w w:val="139"/>
        </w:rPr>
        <w:t>a</w:t>
      </w:r>
      <w:r>
        <w:rPr>
          <w:w w:val="111"/>
        </w:rPr>
        <w:t>mérica</w:t>
      </w:r>
      <w:r>
        <w:rPr/>
        <w:t> </w:t>
      </w:r>
      <w:r>
        <w:rPr>
          <w:spacing w:val="-3"/>
        </w:rPr>
        <w:t> </w:t>
      </w:r>
      <w:r>
        <w:rPr>
          <w:w w:val="243"/>
        </w:rPr>
        <w:t>l</w:t>
      </w:r>
      <w:r>
        <w:rPr>
          <w:w w:val="111"/>
        </w:rPr>
        <w:t>atina</w:t>
      </w:r>
      <w:r>
        <w:rPr/>
        <w:t> </w:t>
      </w:r>
      <w:r>
        <w:rPr>
          <w:spacing w:val="-3"/>
        </w:rPr>
        <w:t> </w:t>
      </w:r>
      <w:r>
        <w:rPr>
          <w:w w:val="103"/>
        </w:rPr>
        <w:t>–y</w:t>
      </w:r>
      <w:r>
        <w:rPr/>
        <w:t> </w:t>
      </w:r>
      <w:r>
        <w:rPr>
          <w:spacing w:val="-3"/>
        </w:rPr>
        <w:t> </w:t>
      </w:r>
      <w:r>
        <w:rPr>
          <w:w w:val="112"/>
        </w:rPr>
        <w:t>aún</w:t>
      </w:r>
      <w:r>
        <w:rPr/>
        <w:t> </w:t>
      </w:r>
      <w:r>
        <w:rPr>
          <w:spacing w:val="-3"/>
        </w:rPr>
        <w:t> </w:t>
      </w:r>
      <w:r>
        <w:rPr>
          <w:w w:val="108"/>
        </w:rPr>
        <w:t>en</w:t>
      </w:r>
      <w:r>
        <w:rPr/>
        <w:t> </w:t>
      </w:r>
      <w:r>
        <w:rPr>
          <w:spacing w:val="-3"/>
        </w:rPr>
        <w:t> </w:t>
      </w:r>
      <w:r>
        <w:rPr>
          <w:w w:val="108"/>
        </w:rPr>
        <w:t>otras</w:t>
      </w:r>
      <w:r>
        <w:rPr/>
        <w:t> </w:t>
      </w:r>
      <w:r>
        <w:rPr>
          <w:spacing w:val="-3"/>
        </w:rPr>
        <w:t> </w:t>
      </w:r>
      <w:r>
        <w:rPr>
          <w:w w:val="108"/>
        </w:rPr>
        <w:t>latitudes– </w:t>
      </w:r>
      <w:r>
        <w:rPr>
          <w:w w:val="110"/>
        </w:rPr>
        <w:t>de que deben preocuparse y apoyar la iniciativa norteamericana, de defender su seguridad más allá de sus propias fronteras. En ningún caso de habla de la promoción de la hegemonía como meta, soporte    o propósito de la política interna y exterior de Estados unidos. Pero, en </w:t>
      </w:r>
      <w:r>
        <w:rPr>
          <w:spacing w:val="-4"/>
          <w:w w:val="110"/>
        </w:rPr>
        <w:t>rigor, </w:t>
      </w:r>
      <w:r>
        <w:rPr>
          <w:w w:val="110"/>
        </w:rPr>
        <w:t>de lo que se trata, justamente, es de eso. de ahí que tanto la creación del “consenso interno” como la defensa de la identidad y la “seguridad nacional” –en primera instancia, en la inmediatez geográfi- </w:t>
      </w:r>
      <w:r>
        <w:rPr>
          <w:w w:val="113"/>
        </w:rPr>
        <w:t>ca</w:t>
      </w:r>
      <w:r>
        <w:rPr>
          <w:spacing w:val="5"/>
        </w:rPr>
        <w:t> </w:t>
      </w:r>
      <w:r>
        <w:rPr>
          <w:w w:val="107"/>
        </w:rPr>
        <w:t>de</w:t>
      </w:r>
      <w:r>
        <w:rPr>
          <w:spacing w:val="5"/>
        </w:rPr>
        <w:t> </w:t>
      </w:r>
      <w:r>
        <w:rPr>
          <w:w w:val="139"/>
        </w:rPr>
        <w:t>a</w:t>
      </w:r>
      <w:r>
        <w:rPr>
          <w:w w:val="111"/>
        </w:rPr>
        <w:t>mérica</w:t>
      </w:r>
      <w:r>
        <w:rPr>
          <w:spacing w:val="5"/>
        </w:rPr>
        <w:t> </w:t>
      </w:r>
      <w:r>
        <w:rPr>
          <w:w w:val="243"/>
        </w:rPr>
        <w:t>l</w:t>
      </w:r>
      <w:r>
        <w:rPr>
          <w:w w:val="113"/>
        </w:rPr>
        <w:t>atina,</w:t>
      </w:r>
      <w:r>
        <w:rPr>
          <w:spacing w:val="5"/>
        </w:rPr>
        <w:t> </w:t>
      </w:r>
      <w:r>
        <w:rPr>
          <w:w w:val="107"/>
        </w:rPr>
        <w:t>pero</w:t>
      </w:r>
      <w:r>
        <w:rPr>
          <w:spacing w:val="5"/>
        </w:rPr>
        <w:t> </w:t>
      </w:r>
      <w:r>
        <w:rPr>
          <w:w w:val="112"/>
        </w:rPr>
        <w:t>con</w:t>
      </w:r>
      <w:r>
        <w:rPr>
          <w:spacing w:val="5"/>
        </w:rPr>
        <w:t> </w:t>
      </w:r>
      <w:r>
        <w:rPr>
          <w:w w:val="112"/>
        </w:rPr>
        <w:t>una</w:t>
      </w:r>
      <w:r>
        <w:rPr>
          <w:spacing w:val="5"/>
        </w:rPr>
        <w:t> </w:t>
      </w:r>
      <w:r>
        <w:rPr>
          <w:w w:val="109"/>
        </w:rPr>
        <w:t>fluidez</w:t>
      </w:r>
      <w:r>
        <w:rPr>
          <w:spacing w:val="5"/>
        </w:rPr>
        <w:t> </w:t>
      </w:r>
      <w:r>
        <w:rPr>
          <w:w w:val="108"/>
        </w:rPr>
        <w:t>que</w:t>
      </w:r>
      <w:r>
        <w:rPr>
          <w:spacing w:val="5"/>
        </w:rPr>
        <w:t> </w:t>
      </w:r>
      <w:r>
        <w:rPr>
          <w:w w:val="105"/>
        </w:rPr>
        <w:t>se</w:t>
      </w:r>
      <w:r>
        <w:rPr>
          <w:spacing w:val="5"/>
        </w:rPr>
        <w:t> </w:t>
      </w:r>
      <w:r>
        <w:rPr>
          <w:w w:val="108"/>
        </w:rPr>
        <w:t>extiende</w:t>
      </w:r>
      <w:r>
        <w:rPr>
          <w:spacing w:val="5"/>
        </w:rPr>
        <w:t> </w:t>
      </w:r>
      <w:r>
        <w:rPr>
          <w:w w:val="111"/>
        </w:rPr>
        <w:t>al</w:t>
      </w:r>
      <w:r>
        <w:rPr>
          <w:spacing w:val="5"/>
        </w:rPr>
        <w:t> </w:t>
      </w:r>
      <w:r>
        <w:rPr>
          <w:w w:val="106"/>
        </w:rPr>
        <w:t>resto</w:t>
      </w:r>
      <w:r>
        <w:rPr>
          <w:spacing w:val="5"/>
        </w:rPr>
        <w:t> </w:t>
      </w:r>
      <w:r>
        <w:rPr>
          <w:w w:val="107"/>
        </w:rPr>
        <w:t>del </w:t>
      </w:r>
      <w:r>
        <w:rPr>
          <w:w w:val="110"/>
        </w:rPr>
        <w:t>orbe– no fueran más que (y sigan siendo) funciones de la hegemonía. Como las dos caras de una misma  </w:t>
      </w:r>
      <w:r>
        <w:rPr>
          <w:spacing w:val="10"/>
          <w:w w:val="110"/>
        </w:rPr>
        <w:t> </w:t>
      </w:r>
      <w:r>
        <w:rPr>
          <w:w w:val="110"/>
        </w:rPr>
        <w:t>moneda.</w:t>
      </w:r>
    </w:p>
    <w:p>
      <w:pPr>
        <w:pStyle w:val="BodyText"/>
        <w:spacing w:line="252" w:lineRule="auto"/>
        <w:ind w:left="100" w:right="328" w:firstLine="396"/>
        <w:jc w:val="both"/>
      </w:pPr>
      <w:r>
        <w:rPr>
          <w:w w:val="110"/>
        </w:rPr>
        <w:t>Cuando se mira a la sociedad y a la historia política norteameri- canas durante los últimos setenta años, se corrobora tal afirmación. </w:t>
      </w:r>
      <w:r>
        <w:rPr>
          <w:w w:val="243"/>
        </w:rPr>
        <w:t>l</w:t>
      </w:r>
      <w:r>
        <w:rPr>
          <w:w w:val="112"/>
        </w:rPr>
        <w:t>a</w:t>
      </w:r>
      <w:r>
        <w:rPr/>
        <w:t> </w:t>
      </w:r>
      <w:r>
        <w:rPr>
          <w:spacing w:val="-5"/>
        </w:rPr>
        <w:t> </w:t>
      </w:r>
      <w:r>
        <w:rPr>
          <w:w w:val="110"/>
        </w:rPr>
        <w:t>hegemonía</w:t>
      </w:r>
      <w:r>
        <w:rPr/>
        <w:t> </w:t>
      </w:r>
      <w:r>
        <w:rPr>
          <w:spacing w:val="-5"/>
        </w:rPr>
        <w:t> </w:t>
      </w:r>
      <w:r>
        <w:rPr>
          <w:w w:val="110"/>
        </w:rPr>
        <w:t>–cual</w:t>
      </w:r>
      <w:r>
        <w:rPr/>
        <w:t> </w:t>
      </w:r>
      <w:r>
        <w:rPr>
          <w:spacing w:val="-5"/>
        </w:rPr>
        <w:t> </w:t>
      </w:r>
      <w:r>
        <w:rPr>
          <w:w w:val="112"/>
        </w:rPr>
        <w:t>vocación,</w:t>
      </w:r>
      <w:r>
        <w:rPr/>
        <w:t> </w:t>
      </w:r>
      <w:r>
        <w:rPr>
          <w:spacing w:val="-5"/>
        </w:rPr>
        <w:t> </w:t>
      </w:r>
      <w:r>
        <w:rPr>
          <w:w w:val="112"/>
        </w:rPr>
        <w:t>aspiración,</w:t>
      </w:r>
      <w:r>
        <w:rPr/>
        <w:t> </w:t>
      </w:r>
      <w:r>
        <w:rPr>
          <w:spacing w:val="-5"/>
        </w:rPr>
        <w:t> </w:t>
      </w:r>
      <w:r>
        <w:rPr>
          <w:w w:val="109"/>
        </w:rPr>
        <w:t>pretensión,</w:t>
      </w:r>
      <w:r>
        <w:rPr/>
        <w:t> </w:t>
      </w:r>
      <w:r>
        <w:rPr>
          <w:spacing w:val="-5"/>
        </w:rPr>
        <w:t> </w:t>
      </w:r>
      <w:r>
        <w:rPr>
          <w:w w:val="110"/>
        </w:rPr>
        <w:t>intención–</w:t>
      </w:r>
      <w:r>
        <w:rPr/>
        <w:t> </w:t>
      </w:r>
      <w:r>
        <w:rPr>
          <w:spacing w:val="-5"/>
        </w:rPr>
        <w:t> </w:t>
      </w:r>
      <w:r>
        <w:rPr>
          <w:w w:val="113"/>
        </w:rPr>
        <w:t>ni </w:t>
      </w:r>
      <w:r>
        <w:rPr>
          <w:w w:val="105"/>
        </w:rPr>
        <w:t>se</w:t>
      </w:r>
      <w:r>
        <w:rPr/>
        <w:t> </w:t>
      </w:r>
      <w:r>
        <w:rPr>
          <w:spacing w:val="-20"/>
        </w:rPr>
        <w:t> </w:t>
      </w:r>
      <w:r>
        <w:rPr>
          <w:w w:val="113"/>
        </w:rPr>
        <w:t>menciona.</w:t>
      </w:r>
      <w:r>
        <w:rPr/>
        <w:t> </w:t>
      </w:r>
      <w:r>
        <w:rPr>
          <w:spacing w:val="-20"/>
        </w:rPr>
        <w:t> </w:t>
      </w:r>
      <w:r>
        <w:rPr>
          <w:w w:val="114"/>
        </w:rPr>
        <w:t>Está</w:t>
      </w:r>
      <w:r>
        <w:rPr/>
        <w:t> </w:t>
      </w:r>
      <w:r>
        <w:rPr>
          <w:spacing w:val="-20"/>
        </w:rPr>
        <w:t> </w:t>
      </w:r>
      <w:r>
        <w:rPr>
          <w:w w:val="111"/>
        </w:rPr>
        <w:t>bajo</w:t>
      </w:r>
      <w:r>
        <w:rPr/>
        <w:t> </w:t>
      </w:r>
      <w:r>
        <w:rPr>
          <w:spacing w:val="-20"/>
        </w:rPr>
        <w:t> </w:t>
      </w:r>
      <w:r>
        <w:rPr>
          <w:w w:val="107"/>
        </w:rPr>
        <w:t>el</w:t>
      </w:r>
      <w:r>
        <w:rPr/>
        <w:t> </w:t>
      </w:r>
      <w:r>
        <w:rPr>
          <w:spacing w:val="-20"/>
        </w:rPr>
        <w:t> </w:t>
      </w:r>
      <w:r>
        <w:rPr>
          <w:w w:val="109"/>
        </w:rPr>
        <w:t>tapete.</w:t>
      </w:r>
      <w:r>
        <w:rPr/>
        <w:t> </w:t>
      </w:r>
      <w:r>
        <w:rPr>
          <w:spacing w:val="-21"/>
        </w:rPr>
        <w:t> </w:t>
      </w:r>
      <w:r>
        <w:rPr>
          <w:w w:val="243"/>
        </w:rPr>
        <w:t>l</w:t>
      </w:r>
      <w:r>
        <w:rPr>
          <w:w w:val="110"/>
        </w:rPr>
        <w:t>o</w:t>
      </w:r>
      <w:r>
        <w:rPr/>
        <w:t> </w:t>
      </w:r>
      <w:r>
        <w:rPr>
          <w:spacing w:val="-20"/>
        </w:rPr>
        <w:t> </w:t>
      </w:r>
      <w:r>
        <w:rPr>
          <w:w w:val="108"/>
        </w:rPr>
        <w:t>que</w:t>
      </w:r>
      <w:r>
        <w:rPr/>
        <w:t> </w:t>
      </w:r>
      <w:r>
        <w:rPr>
          <w:spacing w:val="-20"/>
        </w:rPr>
        <w:t> </w:t>
      </w:r>
      <w:r>
        <w:rPr>
          <w:w w:val="105"/>
        </w:rPr>
        <w:t>se</w:t>
      </w:r>
      <w:r>
        <w:rPr/>
        <w:t> </w:t>
      </w:r>
      <w:r>
        <w:rPr>
          <w:spacing w:val="-20"/>
        </w:rPr>
        <w:t> </w:t>
      </w:r>
      <w:r>
        <w:rPr>
          <w:w w:val="114"/>
        </w:rPr>
        <w:t>anuncia,</w:t>
      </w:r>
      <w:r>
        <w:rPr/>
        <w:t> </w:t>
      </w:r>
      <w:r>
        <w:rPr>
          <w:spacing w:val="-20"/>
        </w:rPr>
        <w:t> </w:t>
      </w:r>
      <w:r>
        <w:rPr>
          <w:w w:val="108"/>
        </w:rPr>
        <w:t>promueve</w:t>
      </w:r>
      <w:r>
        <w:rPr/>
        <w:t> </w:t>
      </w:r>
      <w:r>
        <w:rPr>
          <w:spacing w:val="-20"/>
        </w:rPr>
        <w:t> </w:t>
      </w:r>
      <w:r>
        <w:rPr>
          <w:w w:val="105"/>
        </w:rPr>
        <w:t>y</w:t>
      </w:r>
      <w:r>
        <w:rPr/>
        <w:t> </w:t>
      </w:r>
      <w:r>
        <w:rPr>
          <w:spacing w:val="-20"/>
        </w:rPr>
        <w:t> </w:t>
      </w:r>
      <w:r>
        <w:rPr>
          <w:w w:val="108"/>
        </w:rPr>
        <w:t>n</w:t>
      </w:r>
      <w:r>
        <w:rPr>
          <w:spacing w:val="-1"/>
          <w:w w:val="108"/>
        </w:rPr>
        <w:t>e</w:t>
      </w:r>
      <w:r>
        <w:rPr>
          <w:w w:val="102"/>
        </w:rPr>
        <w:t>- </w:t>
      </w:r>
      <w:r>
        <w:rPr>
          <w:w w:val="110"/>
        </w:rPr>
        <w:t>cesita es “el consenso” dentro de Estados unidos, y en el extranjero,   la protección de la “seguridad”. ambos requerimientos necesitan del empleo de la violencia con el fin de defender la identidad y los in- </w:t>
      </w:r>
      <w:r>
        <w:rPr>
          <w:w w:val="105"/>
        </w:rPr>
        <w:t>tereses</w:t>
      </w:r>
      <w:r>
        <w:rPr/>
        <w:t> </w:t>
      </w:r>
      <w:r>
        <w:rPr>
          <w:spacing w:val="-9"/>
        </w:rPr>
        <w:t> </w:t>
      </w:r>
      <w:r>
        <w:rPr>
          <w:w w:val="112"/>
        </w:rPr>
        <w:t>nacionales.</w:t>
      </w:r>
      <w:r>
        <w:rPr/>
        <w:t> </w:t>
      </w:r>
      <w:r>
        <w:rPr>
          <w:spacing w:val="-9"/>
        </w:rPr>
        <w:t> </w:t>
      </w:r>
      <w:r>
        <w:rPr>
          <w:w w:val="243"/>
        </w:rPr>
        <w:t>l</w:t>
      </w:r>
      <w:r>
        <w:rPr>
          <w:w w:val="112"/>
        </w:rPr>
        <w:t>a</w:t>
      </w:r>
      <w:r>
        <w:rPr/>
        <w:t> </w:t>
      </w:r>
      <w:r>
        <w:rPr>
          <w:spacing w:val="-9"/>
        </w:rPr>
        <w:t> </w:t>
      </w:r>
      <w:r>
        <w:rPr>
          <w:w w:val="110"/>
        </w:rPr>
        <w:t>credibilidad</w:t>
      </w:r>
      <w:r>
        <w:rPr/>
        <w:t> </w:t>
      </w:r>
      <w:r>
        <w:rPr>
          <w:spacing w:val="-9"/>
        </w:rPr>
        <w:t> </w:t>
      </w:r>
      <w:r>
        <w:rPr>
          <w:w w:val="107"/>
        </w:rPr>
        <w:t>de</w:t>
      </w:r>
      <w:r>
        <w:rPr/>
        <w:t> </w:t>
      </w:r>
      <w:r>
        <w:rPr>
          <w:spacing w:val="-9"/>
        </w:rPr>
        <w:t> </w:t>
      </w:r>
      <w:r>
        <w:rPr>
          <w:w w:val="111"/>
        </w:rPr>
        <w:t>ambas</w:t>
      </w:r>
      <w:r>
        <w:rPr/>
        <w:t> </w:t>
      </w:r>
      <w:r>
        <w:rPr>
          <w:spacing w:val="-9"/>
        </w:rPr>
        <w:t> </w:t>
      </w:r>
      <w:r>
        <w:rPr>
          <w:w w:val="111"/>
        </w:rPr>
        <w:t>acciones</w:t>
      </w:r>
      <w:r>
        <w:rPr/>
        <w:t> </w:t>
      </w:r>
      <w:r>
        <w:rPr>
          <w:spacing w:val="-9"/>
        </w:rPr>
        <w:t> </w:t>
      </w:r>
      <w:r>
        <w:rPr>
          <w:w w:val="111"/>
        </w:rPr>
        <w:t>la</w:t>
      </w:r>
      <w:r>
        <w:rPr/>
        <w:t> </w:t>
      </w:r>
      <w:r>
        <w:rPr>
          <w:spacing w:val="-9"/>
        </w:rPr>
        <w:t> </w:t>
      </w:r>
      <w:r>
        <w:rPr>
          <w:w w:val="107"/>
        </w:rPr>
        <w:t>sostiene</w:t>
      </w:r>
      <w:r>
        <w:rPr/>
        <w:t> </w:t>
      </w:r>
      <w:r>
        <w:rPr>
          <w:spacing w:val="-9"/>
        </w:rPr>
        <w:t> </w:t>
      </w:r>
      <w:r>
        <w:rPr>
          <w:w w:val="111"/>
        </w:rPr>
        <w:t>la </w:t>
      </w:r>
      <w:r>
        <w:rPr>
          <w:w w:val="110"/>
        </w:rPr>
        <w:t>cultura del </w:t>
      </w:r>
      <w:r>
        <w:rPr>
          <w:spacing w:val="-4"/>
          <w:w w:val="110"/>
        </w:rPr>
        <w:t>temor, </w:t>
      </w:r>
      <w:r>
        <w:rPr>
          <w:w w:val="110"/>
        </w:rPr>
        <w:t>de la incertidumbre, ante percepciones sobre una amenaza que se cierne sobre el país y sus ciudadanos. así, se pro- mueven métodos de control represivo (incluido el del pensamiento, como impuso el macarthismo); se codifican como peligrosos a los ex- tranjeros, los inmigrantes, los negros, los comunistas, los anarquistas, </w:t>
      </w:r>
      <w:r>
        <w:rPr>
          <w:w w:val="108"/>
        </w:rPr>
        <w:t>los</w:t>
      </w:r>
      <w:r>
        <w:rPr>
          <w:spacing w:val="4"/>
        </w:rPr>
        <w:t> </w:t>
      </w:r>
      <w:r>
        <w:rPr>
          <w:w w:val="108"/>
        </w:rPr>
        <w:t>terroristas.</w:t>
      </w:r>
      <w:r>
        <w:rPr>
          <w:spacing w:val="4"/>
        </w:rPr>
        <w:t> </w:t>
      </w:r>
      <w:r>
        <w:rPr>
          <w:w w:val="243"/>
        </w:rPr>
        <w:t>l</w:t>
      </w:r>
      <w:r>
        <w:rPr>
          <w:w w:val="108"/>
        </w:rPr>
        <w:t>os</w:t>
      </w:r>
      <w:r>
        <w:rPr>
          <w:spacing w:val="4"/>
        </w:rPr>
        <w:t> </w:t>
      </w:r>
      <w:r>
        <w:rPr>
          <w:w w:val="111"/>
        </w:rPr>
        <w:t>radicales,</w:t>
      </w:r>
      <w:r>
        <w:rPr>
          <w:spacing w:val="4"/>
        </w:rPr>
        <w:t> </w:t>
      </w:r>
      <w:r>
        <w:rPr>
          <w:w w:val="108"/>
        </w:rPr>
        <w:t>los</w:t>
      </w:r>
      <w:r>
        <w:rPr>
          <w:spacing w:val="4"/>
        </w:rPr>
        <w:t> </w:t>
      </w:r>
      <w:r>
        <w:rPr>
          <w:w w:val="110"/>
        </w:rPr>
        <w:t>revolucionarios,</w:t>
      </w:r>
      <w:r>
        <w:rPr>
          <w:spacing w:val="4"/>
        </w:rPr>
        <w:t> </w:t>
      </w:r>
      <w:r>
        <w:rPr>
          <w:w w:val="108"/>
        </w:rPr>
        <w:t>los</w:t>
      </w:r>
      <w:r>
        <w:rPr>
          <w:spacing w:val="4"/>
        </w:rPr>
        <w:t> </w:t>
      </w:r>
      <w:r>
        <w:rPr>
          <w:w w:val="112"/>
        </w:rPr>
        <w:t>nacionalistas,</w:t>
      </w:r>
      <w:r>
        <w:rPr>
          <w:spacing w:val="4"/>
        </w:rPr>
        <w:t> </w:t>
      </w:r>
      <w:r>
        <w:rPr>
          <w:w w:val="108"/>
        </w:rPr>
        <w:t>los </w:t>
      </w:r>
      <w:r>
        <w:rPr>
          <w:w w:val="110"/>
        </w:rPr>
        <w:t>independentistas se codifican como enemigos. McCarthy enjuiciaba como herejes a quienes tenían pensamiento propio, como parte de    su paranoica y fanática cacería anticomunista, fuesen destacados y conocidos creadores o sencillos y laboriosos ciudadanos anónimos,  en la década de 1950. reagan bautizó como luchadores por la </w:t>
      </w:r>
      <w:r>
        <w:rPr>
          <w:spacing w:val="-3"/>
          <w:w w:val="110"/>
        </w:rPr>
        <w:t>liber- </w:t>
      </w:r>
      <w:r>
        <w:rPr>
          <w:w w:val="110"/>
        </w:rPr>
        <w:t>tad (</w:t>
      </w:r>
      <w:r>
        <w:rPr>
          <w:i/>
          <w:w w:val="110"/>
        </w:rPr>
        <w:t>freedom fighters</w:t>
      </w:r>
      <w:r>
        <w:rPr>
          <w:w w:val="110"/>
        </w:rPr>
        <w:t>) a la contrarrevolución nicaragüense, en los</w:t>
      </w:r>
      <w:r>
        <w:rPr>
          <w:spacing w:val="-26"/>
          <w:w w:val="110"/>
        </w:rPr>
        <w:t> </w:t>
      </w:r>
      <w:r>
        <w:rPr>
          <w:w w:val="110"/>
        </w:rPr>
        <w:t>años ochenta. George </w:t>
      </w:r>
      <w:r>
        <w:rPr>
          <w:spacing w:val="-11"/>
          <w:w w:val="110"/>
        </w:rPr>
        <w:t>W. </w:t>
      </w:r>
      <w:r>
        <w:rPr>
          <w:w w:val="110"/>
        </w:rPr>
        <w:t>bush calificaría como antiterrorista su política de terrorismo de Estado, como parte de la visión apocalíptica neoconser- vadora que se estableció en el primer decenio del siglo  </w:t>
      </w:r>
      <w:r>
        <w:rPr>
          <w:w w:val="150"/>
        </w:rPr>
        <w:t>xxi.</w:t>
      </w:r>
    </w:p>
    <w:p>
      <w:pPr>
        <w:pStyle w:val="BodyText"/>
        <w:spacing w:line="252" w:lineRule="auto"/>
        <w:ind w:left="100" w:right="327" w:firstLine="396"/>
        <w:jc w:val="both"/>
      </w:pPr>
      <w:r>
        <w:rPr>
          <w:w w:val="110"/>
        </w:rPr>
        <w:t>En la medida en que la clase dominante estadounidense no cons- tituye un todo homogéneo, monolítico, y coexisten en ella fracciones que compiten y rivalizan, y generan visiones coincidentes, alternati- vas y hasta contrastantes (sin ser antagónicas), esto se refleja en el terreno de la ideología y de la cultura política, que son reflejos de los intereses y comportamientos en juego. aspectos como el uso de la fuerza militar,  la xenofobia, el racismo, el nacionalismo    chauvinista,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están presentes, con matices específicos, en expresiones históricas y en tendencias ideológicas diversas, como el liberalismo, el conserva- durismo tradicional, el neoconservadurismo, la extrema derecha, el populismo y el  fascismo.</w:t>
      </w:r>
    </w:p>
    <w:p>
      <w:pPr>
        <w:pStyle w:val="BodyText"/>
        <w:spacing w:line="252" w:lineRule="auto"/>
        <w:ind w:left="330" w:right="117" w:firstLine="396"/>
        <w:jc w:val="both"/>
      </w:pPr>
      <w:r>
        <w:rPr>
          <w:w w:val="110"/>
        </w:rPr>
        <w:t>Estudios tan sugerentes como el de theodor adorno (1950), des- pués de concluida la segunda Guerra Mundial, demostraron la exis- tencia de rasgos psicosociales en la ciudadanía norteamericana que reflejaban cierta proclividad al coqueteo con la mentalidad fascista; o el de Cedric belfrage (1972), que desmitificaba las supuestas dimen- siones pluralistas de la cultura política norteamericana, identificando lo que calificó como métodos de control del pensamiento, articulado- res de una atmósfera de verdadera represión en la sociedad estadou- nidense. así, belfrage revela cómo los actores políticos de la época del macarthismo, son ejemplares “protagonistas de una inquisición”, es decir, “personas en el poder con intención de retenerlo, que identifi- can los mejores intereses de la nación con los suyos”, que manipulan  el estado de ánimo y el clima sociopolítico interno (belfrage,  1972).</w:t>
      </w:r>
    </w:p>
    <w:p>
      <w:pPr>
        <w:pStyle w:val="BodyText"/>
        <w:spacing w:line="252" w:lineRule="auto"/>
        <w:ind w:left="330" w:right="117" w:firstLine="396"/>
        <w:jc w:val="both"/>
      </w:pPr>
      <w:r>
        <w:rPr>
          <w:w w:val="110"/>
        </w:rPr>
        <w:t>Esa situación se reproduce a raíz del 11 de septiembre de 2001. El sentimiento de inseguridad de la población ante las acciones te- rroristas, que además del impacto del los hechos de ese día incluye, como ya se ha mencionado, los atentados ulteriores con ántrax, sería manipulado para alimentar un nacionalismo patriotero y chauvinista en la población, lo cual allanó el camino para la aprobación de la lla- </w:t>
      </w:r>
      <w:r>
        <w:rPr>
          <w:w w:val="112"/>
        </w:rPr>
        <w:t>mada</w:t>
      </w:r>
      <w:r>
        <w:rPr>
          <w:spacing w:val="10"/>
        </w:rPr>
        <w:t> </w:t>
      </w:r>
      <w:r>
        <w:rPr>
          <w:w w:val="243"/>
        </w:rPr>
        <w:t>l</w:t>
      </w:r>
      <w:r>
        <w:rPr>
          <w:w w:val="104"/>
        </w:rPr>
        <w:t>ey</w:t>
      </w:r>
      <w:r>
        <w:rPr>
          <w:spacing w:val="10"/>
        </w:rPr>
        <w:t> </w:t>
      </w:r>
      <w:r>
        <w:rPr>
          <w:w w:val="139"/>
        </w:rPr>
        <w:t>a</w:t>
      </w:r>
      <w:r>
        <w:rPr>
          <w:w w:val="109"/>
        </w:rPr>
        <w:t>ntiterrorista,</w:t>
      </w:r>
      <w:r>
        <w:rPr>
          <w:spacing w:val="10"/>
        </w:rPr>
        <w:t> </w:t>
      </w:r>
      <w:r>
        <w:rPr>
          <w:w w:val="112"/>
        </w:rPr>
        <w:t>con</w:t>
      </w:r>
      <w:r>
        <w:rPr>
          <w:spacing w:val="10"/>
        </w:rPr>
        <w:t> </w:t>
      </w:r>
      <w:r>
        <w:rPr>
          <w:w w:val="112"/>
        </w:rPr>
        <w:t>un</w:t>
      </w:r>
      <w:r>
        <w:rPr>
          <w:spacing w:val="10"/>
        </w:rPr>
        <w:t> </w:t>
      </w:r>
      <w:r>
        <w:rPr>
          <w:w w:val="108"/>
        </w:rPr>
        <w:t>respaldo</w:t>
      </w:r>
      <w:r>
        <w:rPr>
          <w:spacing w:val="10"/>
        </w:rPr>
        <w:t> </w:t>
      </w:r>
      <w:r>
        <w:rPr>
          <w:w w:val="112"/>
        </w:rPr>
        <w:t>casi</w:t>
      </w:r>
      <w:r>
        <w:rPr>
          <w:spacing w:val="10"/>
        </w:rPr>
        <w:t> </w:t>
      </w:r>
      <w:r>
        <w:rPr>
          <w:w w:val="111"/>
        </w:rPr>
        <w:t>absoluto,</w:t>
      </w:r>
      <w:r>
        <w:rPr>
          <w:spacing w:val="10"/>
        </w:rPr>
        <w:t> </w:t>
      </w:r>
      <w:r>
        <w:rPr>
          <w:w w:val="112"/>
        </w:rPr>
        <w:t>a</w:t>
      </w:r>
      <w:r>
        <w:rPr>
          <w:spacing w:val="10"/>
        </w:rPr>
        <w:t> </w:t>
      </w:r>
      <w:r>
        <w:rPr>
          <w:w w:val="107"/>
        </w:rPr>
        <w:t>pesar</w:t>
      </w:r>
      <w:r>
        <w:rPr>
          <w:spacing w:val="10"/>
        </w:rPr>
        <w:t> </w:t>
      </w:r>
      <w:r>
        <w:rPr>
          <w:w w:val="107"/>
        </w:rPr>
        <w:t>de</w:t>
      </w:r>
      <w:r>
        <w:rPr>
          <w:spacing w:val="10"/>
        </w:rPr>
        <w:t> </w:t>
      </w:r>
      <w:r>
        <w:rPr>
          <w:w w:val="109"/>
        </w:rPr>
        <w:t>las </w:t>
      </w:r>
      <w:r>
        <w:rPr>
          <w:w w:val="110"/>
        </w:rPr>
        <w:t>restricciones a los derechos de los ciudadanos y las prerrogativas a</w:t>
      </w:r>
      <w:r>
        <w:rPr>
          <w:spacing w:val="-23"/>
          <w:w w:val="110"/>
        </w:rPr>
        <w:t> </w:t>
      </w:r>
      <w:r>
        <w:rPr>
          <w:w w:val="110"/>
        </w:rPr>
        <w:t>las instituciones vinculadas a la seguridad del país para sus nuevas fun- ciones dentro y fuera de las fronteras de Estados unidos. Ello también daría pie a la aceptación y legitimidad de la agresiva política exterior</w:t>
      </w:r>
      <w:r>
        <w:rPr>
          <w:spacing w:val="-21"/>
          <w:w w:val="110"/>
        </w:rPr>
        <w:t> </w:t>
      </w:r>
      <w:r>
        <w:rPr>
          <w:w w:val="110"/>
        </w:rPr>
        <w:t>y de la doctrina de seguridad nacional que, desde entonces, reorientan </w:t>
      </w:r>
      <w:r>
        <w:rPr>
          <w:w w:val="107"/>
        </w:rPr>
        <w:t>el</w:t>
      </w:r>
      <w:r>
        <w:rPr>
          <w:spacing w:val="12"/>
        </w:rPr>
        <w:t> </w:t>
      </w:r>
      <w:r>
        <w:rPr>
          <w:w w:val="108"/>
        </w:rPr>
        <w:t>papel</w:t>
      </w:r>
      <w:r>
        <w:rPr>
          <w:spacing w:val="12"/>
        </w:rPr>
        <w:t> </w:t>
      </w:r>
      <w:r>
        <w:rPr>
          <w:w w:val="112"/>
        </w:rPr>
        <w:t>mesiánico,</w:t>
      </w:r>
      <w:r>
        <w:rPr>
          <w:spacing w:val="12"/>
        </w:rPr>
        <w:t> </w:t>
      </w:r>
      <w:r>
        <w:rPr>
          <w:w w:val="107"/>
        </w:rPr>
        <w:t>de</w:t>
      </w:r>
      <w:r>
        <w:rPr>
          <w:spacing w:val="12"/>
        </w:rPr>
        <w:t> </w:t>
      </w:r>
      <w:r>
        <w:rPr>
          <w:w w:val="109"/>
        </w:rPr>
        <w:t>gendarme</w:t>
      </w:r>
      <w:r>
        <w:rPr>
          <w:spacing w:val="12"/>
        </w:rPr>
        <w:t> </w:t>
      </w:r>
      <w:r>
        <w:rPr>
          <w:w w:val="111"/>
        </w:rPr>
        <w:t>internacional,</w:t>
      </w:r>
      <w:r>
        <w:rPr>
          <w:spacing w:val="12"/>
        </w:rPr>
        <w:t> </w:t>
      </w:r>
      <w:r>
        <w:rPr>
          <w:w w:val="107"/>
        </w:rPr>
        <w:t>de</w:t>
      </w:r>
      <w:r>
        <w:rPr>
          <w:spacing w:val="12"/>
        </w:rPr>
        <w:t> </w:t>
      </w:r>
      <w:r>
        <w:rPr>
          <w:w w:val="104"/>
        </w:rPr>
        <w:t>ese</w:t>
      </w:r>
      <w:r>
        <w:rPr>
          <w:spacing w:val="12"/>
        </w:rPr>
        <w:t> </w:t>
      </w:r>
      <w:r>
        <w:rPr>
          <w:w w:val="113"/>
        </w:rPr>
        <w:t>país.</w:t>
      </w:r>
      <w:r>
        <w:rPr>
          <w:spacing w:val="12"/>
        </w:rPr>
        <w:t> </w:t>
      </w:r>
      <w:r>
        <w:rPr>
          <w:w w:val="243"/>
        </w:rPr>
        <w:t>l</w:t>
      </w:r>
      <w:r>
        <w:rPr>
          <w:w w:val="112"/>
        </w:rPr>
        <w:t>a</w:t>
      </w:r>
      <w:r>
        <w:rPr>
          <w:spacing w:val="12"/>
        </w:rPr>
        <w:t> </w:t>
      </w:r>
      <w:r>
        <w:rPr>
          <w:w w:val="109"/>
        </w:rPr>
        <w:t>justifi</w:t>
      </w:r>
      <w:r>
        <w:rPr>
          <w:w w:val="102"/>
        </w:rPr>
        <w:t>- </w:t>
      </w:r>
      <w:r>
        <w:rPr>
          <w:w w:val="110"/>
        </w:rPr>
        <w:t>cación de este nuevo expediente de intolerancia: el enfrentamiento a actitudes y conductas</w:t>
      </w:r>
      <w:r>
        <w:rPr>
          <w:spacing w:val="44"/>
          <w:w w:val="110"/>
        </w:rPr>
        <w:t> </w:t>
      </w:r>
      <w:r>
        <w:rPr>
          <w:w w:val="110"/>
        </w:rPr>
        <w:t>antinorteamericanas.</w:t>
      </w:r>
    </w:p>
    <w:p>
      <w:pPr>
        <w:pStyle w:val="BodyText"/>
        <w:spacing w:before="5"/>
      </w:pPr>
    </w:p>
    <w:p>
      <w:pPr>
        <w:pStyle w:val="Heading6"/>
        <w:ind w:left="331"/>
      </w:pPr>
      <w:r>
        <w:rPr>
          <w:w w:val="135"/>
        </w:rPr>
        <w:t>la xenofoBia</w:t>
      </w:r>
    </w:p>
    <w:p>
      <w:pPr>
        <w:pStyle w:val="BodyText"/>
        <w:spacing w:line="252" w:lineRule="auto" w:before="10"/>
        <w:ind w:left="330" w:right="117"/>
        <w:jc w:val="both"/>
      </w:pPr>
      <w:r>
        <w:rPr>
          <w:w w:val="110"/>
        </w:rPr>
        <w:t>Como su nombre lo indica, expresa una fobia hacia los extranjeros, a la “otredad”, a lo “extraño” y diferente. ahora bien, la xenofobia surge cuando un grupo de personas de origen extranjero, crecientemente visible, que habita en un lugar determinado, es rechazado porque los nacionales desean distanciarse y diferenciarse de</w:t>
      </w:r>
      <w:r>
        <w:rPr>
          <w:spacing w:val="29"/>
          <w:w w:val="110"/>
        </w:rPr>
        <w:t> </w:t>
      </w:r>
      <w:r>
        <w:rPr>
          <w:w w:val="110"/>
        </w:rPr>
        <w:t>ellos.</w:t>
      </w:r>
    </w:p>
    <w:p>
      <w:pPr>
        <w:pStyle w:val="BodyText"/>
        <w:spacing w:line="252" w:lineRule="auto"/>
        <w:ind w:left="330" w:right="117" w:firstLine="396"/>
        <w:jc w:val="both"/>
      </w:pPr>
      <w:r>
        <w:rPr>
          <w:w w:val="110"/>
        </w:rPr>
        <w:t>a través de los años han surgido movimientos xenofóbicos como una respuesta de rechazo al continuo flujo de migrantes en un deter- minado lugar. Por lo general, los inmigrantes arriban a los sitios que son demandados por diferentes razones, lugares que constituyen    los</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47" w:right="327"/>
        <w:jc w:val="right"/>
      </w:pPr>
      <w:r>
        <w:rPr>
          <w:w w:val="110"/>
        </w:rPr>
        <w:t>enclaves en los cuales, de forma simultánea o como consecuencia,</w:t>
      </w:r>
      <w:r>
        <w:rPr>
          <w:w w:val="112"/>
        </w:rPr>
        <w:t> </w:t>
      </w:r>
      <w:r>
        <w:rPr>
          <w:w w:val="110"/>
        </w:rPr>
        <w:t>surgen y florecen los movimientos xenofóbicos. aun más, la situación</w:t>
      </w:r>
      <w:r>
        <w:rPr>
          <w:w w:val="111"/>
        </w:rPr>
        <w:t> </w:t>
      </w:r>
      <w:r>
        <w:rPr>
          <w:w w:val="110"/>
        </w:rPr>
        <w:t>se agrava cuando flujos migratorios no esperados arriban en canti-</w:t>
      </w:r>
      <w:r>
        <w:rPr>
          <w:w w:val="102"/>
        </w:rPr>
        <w:t> </w:t>
      </w:r>
      <w:r>
        <w:rPr>
          <w:w w:val="110"/>
        </w:rPr>
        <w:t>dades mayores a las que normalmente se aceptan y los sentimientos</w:t>
      </w:r>
      <w:r>
        <w:rPr>
          <w:w w:val="109"/>
        </w:rPr>
        <w:t> </w:t>
      </w:r>
      <w:r>
        <w:rPr>
          <w:w w:val="110"/>
        </w:rPr>
        <w:t>tienden a exaltarse, llegando inclusive a adoptar actitudes violentas,</w:t>
      </w:r>
      <w:r>
        <w:rPr>
          <w:w w:val="109"/>
        </w:rPr>
        <w:t> </w:t>
      </w:r>
      <w:r>
        <w:rPr>
          <w:w w:val="110"/>
        </w:rPr>
        <w:t>como ha ocurrido en diversas etapas de la historia de Estados unidos.</w:t>
      </w:r>
      <w:r>
        <w:rPr>
          <w:w w:val="112"/>
        </w:rPr>
        <w:t> </w:t>
      </w:r>
      <w:r>
        <w:rPr>
          <w:w w:val="110"/>
        </w:rPr>
        <w:t>desde las últimas décadas del siglo </w:t>
      </w:r>
      <w:r>
        <w:rPr>
          <w:w w:val="130"/>
        </w:rPr>
        <w:t>xx </w:t>
      </w:r>
      <w:r>
        <w:rPr>
          <w:w w:val="110"/>
        </w:rPr>
        <w:t>existen situaciones con-</w:t>
      </w:r>
      <w:r>
        <w:rPr>
          <w:w w:val="102"/>
        </w:rPr>
        <w:t> </w:t>
      </w:r>
      <w:r>
        <w:rPr>
          <w:w w:val="110"/>
        </w:rPr>
        <w:t>tradictorias que invitan a reflexionar sobre el surgimiento de actitu-</w:t>
      </w:r>
      <w:r>
        <w:rPr>
          <w:w w:val="102"/>
        </w:rPr>
        <w:t> </w:t>
      </w:r>
      <w:r>
        <w:rPr>
          <w:w w:val="110"/>
        </w:rPr>
        <w:t>des xenofóbicas. Por un lado, los procesos de integración regional en</w:t>
      </w:r>
      <w:r>
        <w:rPr>
          <w:w w:val="108"/>
        </w:rPr>
        <w:t> </w:t>
      </w:r>
      <w:r>
        <w:rPr>
          <w:w w:val="110"/>
        </w:rPr>
        <w:t>américa del Norte, por ejemplo, han generado un sistema avanzado</w:t>
      </w:r>
      <w:r>
        <w:rPr>
          <w:w w:val="110"/>
        </w:rPr>
        <w:t> </w:t>
      </w:r>
      <w:r>
        <w:rPr>
          <w:w w:val="110"/>
        </w:rPr>
        <w:t>de comunicaciones y tecnologías de transporte que han facilitado una</w:t>
      </w:r>
      <w:r>
        <w:rPr>
          <w:w w:val="112"/>
        </w:rPr>
        <w:t> </w:t>
      </w:r>
      <w:r>
        <w:rPr>
          <w:w w:val="110"/>
        </w:rPr>
        <w:t>mayor comunicación entre las sociedades, registrándose aumentos</w:t>
      </w:r>
      <w:r>
        <w:rPr>
          <w:w w:val="110"/>
        </w:rPr>
        <w:t> </w:t>
      </w:r>
      <w:r>
        <w:rPr>
          <w:w w:val="110"/>
        </w:rPr>
        <w:t>sustantivos en el intercambio de bienes y servicios entre las nacio-</w:t>
      </w:r>
      <w:r>
        <w:rPr>
          <w:w w:val="102"/>
        </w:rPr>
        <w:t> </w:t>
      </w:r>
      <w:r>
        <w:rPr>
          <w:w w:val="110"/>
        </w:rPr>
        <w:t>nes integrantes de esa región. En teoría, los procesos de integración</w:t>
      </w:r>
      <w:r>
        <w:rPr>
          <w:w w:val="110"/>
        </w:rPr>
        <w:t> </w:t>
      </w:r>
      <w:r>
        <w:rPr>
          <w:w w:val="110"/>
        </w:rPr>
        <w:t>han permitido una creciente homogeneización y/o aceptación de las</w:t>
      </w:r>
      <w:r>
        <w:rPr>
          <w:w w:val="109"/>
        </w:rPr>
        <w:t> </w:t>
      </w:r>
      <w:r>
        <w:rPr>
          <w:w w:val="110"/>
        </w:rPr>
        <w:t>culturas, conformándose un ambiente multicultural y, por ende, el te-</w:t>
      </w:r>
      <w:r>
        <w:rPr>
          <w:w w:val="102"/>
        </w:rPr>
        <w:t> </w:t>
      </w:r>
      <w:r>
        <w:rPr>
          <w:w w:val="110"/>
        </w:rPr>
        <w:t>mor de la “otredad” se debería diluir, lo que nos llevaría a concluir</w:t>
      </w:r>
      <w:r>
        <w:rPr>
          <w:w w:val="112"/>
        </w:rPr>
        <w:t> </w:t>
      </w:r>
      <w:r>
        <w:rPr>
          <w:w w:val="110"/>
        </w:rPr>
        <w:t>que deberían disminuir las actitudes xenofóbicas. No obstante, en la</w:t>
      </w:r>
      <w:r>
        <w:rPr>
          <w:w w:val="111"/>
        </w:rPr>
        <w:t> </w:t>
      </w:r>
      <w:r>
        <w:rPr>
          <w:w w:val="110"/>
        </w:rPr>
        <w:t>realidad, las crisis económicas recurrentes, el desempleo y la vulnera-</w:t>
      </w:r>
      <w:r>
        <w:rPr>
          <w:w w:val="102"/>
        </w:rPr>
        <w:t> </w:t>
      </w:r>
      <w:r>
        <w:rPr>
          <w:w w:val="110"/>
        </w:rPr>
        <w:t>bilidad económica, así como las características y valores inherentes</w:t>
      </w:r>
      <w:r>
        <w:rPr>
          <w:w w:val="108"/>
        </w:rPr>
        <w:t> </w:t>
      </w:r>
      <w:r>
        <w:rPr>
          <w:w w:val="110"/>
        </w:rPr>
        <w:t>de ciertas etnias –lenguaje, comportamiento, apariencia física, entre</w:t>
      </w:r>
      <w:r>
        <w:rPr>
          <w:w w:val="106"/>
        </w:rPr>
        <w:t> </w:t>
      </w:r>
      <w:r>
        <w:rPr>
          <w:w w:val="110"/>
        </w:rPr>
        <w:t>otras– enclavadas en un lugar específico de un país como Estados uni-</w:t>
      </w:r>
      <w:r>
        <w:rPr>
          <w:w w:val="102"/>
        </w:rPr>
        <w:t> </w:t>
      </w:r>
      <w:r>
        <w:rPr>
          <w:w w:val="110"/>
        </w:rPr>
        <w:t>dos, importador de inmigrantes, esporádicamente se convierten en los</w:t>
      </w:r>
      <w:r>
        <w:rPr>
          <w:w w:val="108"/>
        </w:rPr>
        <w:t> </w:t>
      </w:r>
      <w:r>
        <w:rPr>
          <w:w w:val="110"/>
        </w:rPr>
        <w:t>factores que provocan actitudes y movimientos antiinmigrantes o  xe-</w:t>
      </w:r>
    </w:p>
    <w:p>
      <w:pPr>
        <w:pStyle w:val="BodyText"/>
        <w:ind w:left="100"/>
        <w:jc w:val="both"/>
      </w:pPr>
      <w:r>
        <w:rPr>
          <w:w w:val="110"/>
        </w:rPr>
        <w:t>nofóbicos (Verea, 2003).</w:t>
      </w:r>
    </w:p>
    <w:p>
      <w:pPr>
        <w:pStyle w:val="BodyText"/>
        <w:spacing w:before="4"/>
        <w:rPr>
          <w:sz w:val="20"/>
        </w:rPr>
      </w:pPr>
    </w:p>
    <w:p>
      <w:pPr>
        <w:pStyle w:val="Heading6"/>
      </w:pPr>
      <w:r>
        <w:rPr>
          <w:w w:val="135"/>
        </w:rPr>
        <w:t>el nativisMo</w:t>
      </w:r>
    </w:p>
    <w:p>
      <w:pPr>
        <w:pStyle w:val="BodyText"/>
        <w:spacing w:line="252" w:lineRule="auto" w:before="10"/>
        <w:ind w:left="100" w:right="328"/>
        <w:jc w:val="both"/>
      </w:pPr>
      <w:r>
        <w:rPr>
          <w:w w:val="110"/>
        </w:rPr>
        <w:t>Es un lugar común la comprensión del nativismo como una corriente de pensamiento que pretende conservar la nación predominantemen- te blanca, de origen europeo y de preferencia protestante. bajo esta perspectiva, se percibe a los inmigrantes como un grupo potencial- mente problemático, social y culturalmente diferente. representa la oposición más radical a las minorías internas, sobre la base de sus </w:t>
      </w:r>
      <w:r>
        <w:rPr>
          <w:w w:val="110"/>
        </w:rPr>
        <w:t>lazos</w:t>
      </w:r>
      <w:r>
        <w:rPr>
          <w:spacing w:val="10"/>
        </w:rPr>
        <w:t> </w:t>
      </w:r>
      <w:r>
        <w:rPr>
          <w:w w:val="110"/>
        </w:rPr>
        <w:t>o</w:t>
      </w:r>
      <w:r>
        <w:rPr>
          <w:spacing w:val="10"/>
        </w:rPr>
        <w:t> </w:t>
      </w:r>
      <w:r>
        <w:rPr>
          <w:w w:val="109"/>
        </w:rPr>
        <w:t>relaciones</w:t>
      </w:r>
      <w:r>
        <w:rPr>
          <w:spacing w:val="10"/>
        </w:rPr>
        <w:t> </w:t>
      </w:r>
      <w:r>
        <w:rPr>
          <w:w w:val="109"/>
        </w:rPr>
        <w:t>extranjeras.</w:t>
      </w:r>
      <w:r>
        <w:rPr>
          <w:spacing w:val="10"/>
        </w:rPr>
        <w:t> </w:t>
      </w:r>
      <w:r>
        <w:rPr>
          <w:w w:val="243"/>
        </w:rPr>
        <w:t>l</w:t>
      </w:r>
      <w:r>
        <w:rPr>
          <w:w w:val="112"/>
        </w:rPr>
        <w:t>a</w:t>
      </w:r>
      <w:r>
        <w:rPr>
          <w:spacing w:val="10"/>
        </w:rPr>
        <w:t> </w:t>
      </w:r>
      <w:r>
        <w:rPr>
          <w:w w:val="111"/>
        </w:rPr>
        <w:t>oposición</w:t>
      </w:r>
      <w:r>
        <w:rPr>
          <w:spacing w:val="10"/>
        </w:rPr>
        <w:t> </w:t>
      </w:r>
      <w:r>
        <w:rPr>
          <w:w w:val="112"/>
        </w:rPr>
        <w:t>a</w:t>
      </w:r>
      <w:r>
        <w:rPr>
          <w:spacing w:val="10"/>
        </w:rPr>
        <w:t> </w:t>
      </w:r>
      <w:r>
        <w:rPr>
          <w:w w:val="108"/>
        </w:rPr>
        <w:t>los</w:t>
      </w:r>
      <w:r>
        <w:rPr>
          <w:spacing w:val="10"/>
        </w:rPr>
        <w:t> </w:t>
      </w:r>
      <w:r>
        <w:rPr>
          <w:w w:val="108"/>
        </w:rPr>
        <w:t>extranjeros</w:t>
      </w:r>
      <w:r>
        <w:rPr>
          <w:spacing w:val="10"/>
        </w:rPr>
        <w:t> </w:t>
      </w:r>
      <w:r>
        <w:rPr>
          <w:w w:val="105"/>
        </w:rPr>
        <w:t>se</w:t>
      </w:r>
      <w:r>
        <w:rPr>
          <w:spacing w:val="10"/>
        </w:rPr>
        <w:t> </w:t>
      </w:r>
      <w:r>
        <w:rPr>
          <w:w w:val="112"/>
        </w:rPr>
        <w:t>funda </w:t>
      </w:r>
      <w:r>
        <w:rPr>
          <w:w w:val="110"/>
        </w:rPr>
        <w:t>en un ferviente nacionalismo, es </w:t>
      </w:r>
      <w:r>
        <w:rPr>
          <w:spacing w:val="-4"/>
          <w:w w:val="110"/>
        </w:rPr>
        <w:t>decir, </w:t>
      </w:r>
      <w:r>
        <w:rPr>
          <w:w w:val="110"/>
        </w:rPr>
        <w:t>se trata de una visión que les</w:t>
      </w:r>
      <w:r>
        <w:rPr>
          <w:spacing w:val="-21"/>
          <w:w w:val="110"/>
        </w:rPr>
        <w:t> </w:t>
      </w:r>
      <w:r>
        <w:rPr>
          <w:w w:val="110"/>
        </w:rPr>
        <w:t>ve como una amenaza para la  </w:t>
      </w:r>
      <w:r>
        <w:rPr>
          <w:spacing w:val="4"/>
          <w:w w:val="110"/>
        </w:rPr>
        <w:t> </w:t>
      </w:r>
      <w:r>
        <w:rPr>
          <w:w w:val="110"/>
        </w:rPr>
        <w:t>nación.</w:t>
      </w:r>
    </w:p>
    <w:p>
      <w:pPr>
        <w:pStyle w:val="BodyText"/>
        <w:spacing w:line="252" w:lineRule="auto"/>
        <w:ind w:left="100" w:right="327" w:firstLine="396"/>
        <w:jc w:val="both"/>
      </w:pPr>
      <w:r>
        <w:rPr>
          <w:w w:val="110"/>
        </w:rPr>
        <w:t>diversos estudiosos han tratado de definir el nativismo en Esta- dos unidos. En sus apreciaciones destacan el rechazo de un sector de la población a la llegada de extranjeros a territorio estadounidense. </w:t>
      </w:r>
      <w:r>
        <w:rPr>
          <w:w w:val="139"/>
        </w:rPr>
        <w:t>a</w:t>
      </w:r>
      <w:r>
        <w:rPr>
          <w:w w:val="107"/>
        </w:rPr>
        <w:t>utores</w:t>
      </w:r>
      <w:r>
        <w:rPr/>
        <w:t> </w:t>
      </w:r>
      <w:r>
        <w:rPr>
          <w:spacing w:val="-16"/>
        </w:rPr>
        <w:t> </w:t>
      </w:r>
      <w:r>
        <w:rPr>
          <w:w w:val="112"/>
        </w:rPr>
        <w:t>como</w:t>
      </w:r>
      <w:r>
        <w:rPr/>
        <w:t> </w:t>
      </w:r>
      <w:r>
        <w:rPr>
          <w:spacing w:val="-16"/>
        </w:rPr>
        <w:t> </w:t>
      </w:r>
      <w:r>
        <w:rPr>
          <w:w w:val="149"/>
        </w:rPr>
        <w:t>s</w:t>
      </w:r>
      <w:r>
        <w:rPr>
          <w:w w:val="109"/>
        </w:rPr>
        <w:t>eymour</w:t>
      </w:r>
      <w:r>
        <w:rPr/>
        <w:t> </w:t>
      </w:r>
      <w:r>
        <w:rPr>
          <w:spacing w:val="-16"/>
        </w:rPr>
        <w:t> </w:t>
      </w:r>
      <w:r>
        <w:rPr>
          <w:w w:val="113"/>
        </w:rPr>
        <w:t>Martin</w:t>
      </w:r>
      <w:r>
        <w:rPr/>
        <w:t> </w:t>
      </w:r>
      <w:r>
        <w:rPr>
          <w:spacing w:val="-16"/>
        </w:rPr>
        <w:t> </w:t>
      </w:r>
      <w:r>
        <w:rPr>
          <w:w w:val="243"/>
        </w:rPr>
        <w:t>l</w:t>
      </w:r>
      <w:r>
        <w:rPr>
          <w:w w:val="107"/>
        </w:rPr>
        <w:t>ipset</w:t>
      </w:r>
      <w:r>
        <w:rPr/>
        <w:t> </w:t>
      </w:r>
      <w:r>
        <w:rPr>
          <w:spacing w:val="-16"/>
        </w:rPr>
        <w:t> </w:t>
      </w:r>
      <w:r>
        <w:rPr>
          <w:w w:val="105"/>
        </w:rPr>
        <w:t>y</w:t>
      </w:r>
      <w:r>
        <w:rPr/>
        <w:t> </w:t>
      </w:r>
      <w:r>
        <w:rPr>
          <w:spacing w:val="-16"/>
        </w:rPr>
        <w:t> </w:t>
      </w:r>
      <w:r>
        <w:rPr>
          <w:w w:val="115"/>
        </w:rPr>
        <w:t>Earl</w:t>
      </w:r>
      <w:r>
        <w:rPr/>
        <w:t> </w:t>
      </w:r>
      <w:r>
        <w:rPr>
          <w:spacing w:val="-16"/>
        </w:rPr>
        <w:t> </w:t>
      </w:r>
      <w:r>
        <w:rPr>
          <w:w w:val="182"/>
        </w:rPr>
        <w:t>r</w:t>
      </w:r>
      <w:r>
        <w:rPr>
          <w:w w:val="111"/>
        </w:rPr>
        <w:t>aab</w:t>
      </w:r>
      <w:r>
        <w:rPr/>
        <w:t> </w:t>
      </w:r>
      <w:r>
        <w:rPr>
          <w:spacing w:val="-16"/>
        </w:rPr>
        <w:t> </w:t>
      </w:r>
      <w:r>
        <w:rPr>
          <w:w w:val="101"/>
        </w:rPr>
        <w:t>(1970)</w:t>
      </w:r>
      <w:r>
        <w:rPr/>
        <w:t> </w:t>
      </w:r>
      <w:r>
        <w:rPr>
          <w:spacing w:val="-16"/>
        </w:rPr>
        <w:t> </w:t>
      </w:r>
      <w:r>
        <w:rPr>
          <w:w w:val="112"/>
        </w:rPr>
        <w:t>han</w:t>
      </w:r>
      <w:r>
        <w:rPr/>
        <w:t> </w:t>
      </w:r>
      <w:r>
        <w:rPr>
          <w:spacing w:val="-16"/>
        </w:rPr>
        <w:t> </w:t>
      </w:r>
      <w:r>
        <w:rPr>
          <w:w w:val="110"/>
        </w:rPr>
        <w:t>adop</w:t>
      </w:r>
      <w:r>
        <w:rPr>
          <w:w w:val="102"/>
        </w:rPr>
        <w:t>- </w:t>
      </w:r>
      <w:r>
        <w:rPr>
          <w:w w:val="110"/>
        </w:rPr>
        <w:t>tado posiciones flexibles para inscribir en este concepto varias expre- siones de derecha radical. En </w:t>
      </w:r>
      <w:r>
        <w:rPr>
          <w:i/>
          <w:w w:val="110"/>
        </w:rPr>
        <w:t>The Politics of Unreason </w:t>
      </w:r>
      <w:r>
        <w:rPr>
          <w:w w:val="110"/>
        </w:rPr>
        <w:t>consideran que el</w:t>
      </w:r>
      <w:r>
        <w:rPr>
          <w:spacing w:val="31"/>
          <w:w w:val="110"/>
        </w:rPr>
        <w:t> </w:t>
      </w:r>
      <w:r>
        <w:rPr>
          <w:w w:val="110"/>
        </w:rPr>
        <w:t>nativismo</w:t>
      </w:r>
      <w:r>
        <w:rPr>
          <w:spacing w:val="31"/>
          <w:w w:val="110"/>
        </w:rPr>
        <w:t> </w:t>
      </w:r>
      <w:r>
        <w:rPr>
          <w:w w:val="110"/>
        </w:rPr>
        <w:t>“denota</w:t>
      </w:r>
      <w:r>
        <w:rPr>
          <w:spacing w:val="31"/>
          <w:w w:val="110"/>
        </w:rPr>
        <w:t> </w:t>
      </w:r>
      <w:r>
        <w:rPr>
          <w:w w:val="110"/>
        </w:rPr>
        <w:t>un</w:t>
      </w:r>
      <w:r>
        <w:rPr>
          <w:spacing w:val="31"/>
          <w:w w:val="110"/>
        </w:rPr>
        <w:t> </w:t>
      </w:r>
      <w:r>
        <w:rPr>
          <w:w w:val="110"/>
        </w:rPr>
        <w:t>fuerte</w:t>
      </w:r>
      <w:r>
        <w:rPr>
          <w:spacing w:val="31"/>
          <w:w w:val="110"/>
        </w:rPr>
        <w:t> </w:t>
      </w:r>
      <w:r>
        <w:rPr>
          <w:w w:val="110"/>
        </w:rPr>
        <w:t>vínculo</w:t>
      </w:r>
      <w:r>
        <w:rPr>
          <w:spacing w:val="31"/>
          <w:w w:val="110"/>
        </w:rPr>
        <w:t> </w:t>
      </w:r>
      <w:r>
        <w:rPr>
          <w:w w:val="110"/>
        </w:rPr>
        <w:t>a</w:t>
      </w:r>
      <w:r>
        <w:rPr>
          <w:spacing w:val="31"/>
          <w:w w:val="110"/>
        </w:rPr>
        <w:t> </w:t>
      </w:r>
      <w:r>
        <w:rPr>
          <w:w w:val="110"/>
        </w:rPr>
        <w:t>un</w:t>
      </w:r>
      <w:r>
        <w:rPr>
          <w:spacing w:val="31"/>
          <w:w w:val="110"/>
        </w:rPr>
        <w:t> </w:t>
      </w:r>
      <w:r>
        <w:rPr>
          <w:w w:val="110"/>
        </w:rPr>
        <w:t>cierto</w:t>
      </w:r>
      <w:r>
        <w:rPr>
          <w:spacing w:val="31"/>
          <w:w w:val="110"/>
        </w:rPr>
        <w:t> </w:t>
      </w:r>
      <w:r>
        <w:rPr>
          <w:w w:val="110"/>
        </w:rPr>
        <w:t>grupo</w:t>
      </w:r>
      <w:r>
        <w:rPr>
          <w:spacing w:val="31"/>
          <w:w w:val="110"/>
        </w:rPr>
        <w:t> </w:t>
      </w:r>
      <w:r>
        <w:rPr>
          <w:w w:val="110"/>
        </w:rPr>
        <w:t>en</w:t>
      </w:r>
      <w:r>
        <w:rPr>
          <w:spacing w:val="31"/>
          <w:w w:val="110"/>
        </w:rPr>
        <w:t> </w:t>
      </w:r>
      <w:r>
        <w:rPr>
          <w:w w:val="110"/>
        </w:rPr>
        <w:t>el</w:t>
      </w:r>
      <w:r>
        <w:rPr>
          <w:spacing w:val="31"/>
          <w:w w:val="110"/>
        </w:rPr>
        <w:t> </w:t>
      </w:r>
      <w:r>
        <w:rPr>
          <w:w w:val="110"/>
        </w:rPr>
        <w:t>cual</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uno ha nacido”. Esta amplia denominación les permite englobar casi cualquier tipo de organizaciones de extrema derecha –desde los</w:t>
      </w:r>
      <w:r>
        <w:rPr>
          <w:spacing w:val="-22"/>
          <w:w w:val="110"/>
        </w:rPr>
        <w:t> </w:t>
      </w:r>
      <w:r>
        <w:rPr>
          <w:w w:val="110"/>
        </w:rPr>
        <w:t>Know Nothing de mediados del siglo </w:t>
      </w:r>
      <w:r>
        <w:rPr>
          <w:w w:val="125"/>
        </w:rPr>
        <w:t>xix, </w:t>
      </w:r>
      <w:r>
        <w:rPr>
          <w:w w:val="110"/>
        </w:rPr>
        <w:t>el Ku Klux Klan, o la John birch society– aunque no necesariamente sean anti-inmigrantes. Por su parte, en </w:t>
      </w:r>
      <w:r>
        <w:rPr>
          <w:i/>
          <w:w w:val="110"/>
        </w:rPr>
        <w:t>Strangers in the Land</w:t>
      </w:r>
      <w:r>
        <w:rPr>
          <w:w w:val="110"/>
        </w:rPr>
        <w:t>, John Higham (1978) considera nati- vismo a cada tipo y nivel de antipatía contra los extranjeros, sus insti- </w:t>
      </w:r>
      <w:r>
        <w:rPr>
          <w:w w:val="110"/>
        </w:rPr>
        <w:t>tuciones</w:t>
      </w:r>
      <w:r>
        <w:rPr>
          <w:spacing w:val="9"/>
        </w:rPr>
        <w:t> </w:t>
      </w:r>
      <w:r>
        <w:rPr>
          <w:w w:val="105"/>
        </w:rPr>
        <w:t>y</w:t>
      </w:r>
      <w:r>
        <w:rPr>
          <w:spacing w:val="9"/>
        </w:rPr>
        <w:t> </w:t>
      </w:r>
      <w:r>
        <w:rPr>
          <w:w w:val="108"/>
        </w:rPr>
        <w:t>sus</w:t>
      </w:r>
      <w:r>
        <w:rPr>
          <w:spacing w:val="9"/>
        </w:rPr>
        <w:t> </w:t>
      </w:r>
      <w:r>
        <w:rPr>
          <w:w w:val="111"/>
        </w:rPr>
        <w:t>ideas.</w:t>
      </w:r>
      <w:r>
        <w:rPr>
          <w:spacing w:val="9"/>
        </w:rPr>
        <w:t> </w:t>
      </w:r>
      <w:r>
        <w:rPr>
          <w:w w:val="243"/>
        </w:rPr>
        <w:t>l</w:t>
      </w:r>
      <w:r>
        <w:rPr>
          <w:w w:val="108"/>
        </w:rPr>
        <w:t>os</w:t>
      </w:r>
      <w:r>
        <w:rPr>
          <w:spacing w:val="9"/>
        </w:rPr>
        <w:t> </w:t>
      </w:r>
      <w:r>
        <w:rPr>
          <w:w w:val="108"/>
        </w:rPr>
        <w:t>nativistas</w:t>
      </w:r>
      <w:r>
        <w:rPr>
          <w:spacing w:val="9"/>
        </w:rPr>
        <w:t> </w:t>
      </w:r>
      <w:r>
        <w:rPr>
          <w:w w:val="108"/>
        </w:rPr>
        <w:t>creen</w:t>
      </w:r>
      <w:r>
        <w:rPr>
          <w:spacing w:val="9"/>
        </w:rPr>
        <w:t> </w:t>
      </w:r>
      <w:r>
        <w:rPr>
          <w:w w:val="108"/>
        </w:rPr>
        <w:t>que</w:t>
      </w:r>
      <w:r>
        <w:rPr>
          <w:spacing w:val="9"/>
        </w:rPr>
        <w:t> </w:t>
      </w:r>
      <w:r>
        <w:rPr>
          <w:w w:val="109"/>
        </w:rPr>
        <w:t>ciertas</w:t>
      </w:r>
      <w:r>
        <w:rPr>
          <w:spacing w:val="9"/>
        </w:rPr>
        <w:t> </w:t>
      </w:r>
      <w:r>
        <w:rPr>
          <w:w w:val="110"/>
        </w:rPr>
        <w:t>influencias</w:t>
      </w:r>
      <w:r>
        <w:rPr>
          <w:spacing w:val="9"/>
        </w:rPr>
        <w:t> </w:t>
      </w:r>
      <w:r>
        <w:rPr>
          <w:w w:val="110"/>
        </w:rPr>
        <w:t>orig</w:t>
      </w:r>
      <w:r>
        <w:rPr>
          <w:spacing w:val="-1"/>
          <w:w w:val="110"/>
        </w:rPr>
        <w:t>i</w:t>
      </w:r>
      <w:r>
        <w:rPr>
          <w:w w:val="102"/>
        </w:rPr>
        <w:t>- </w:t>
      </w:r>
      <w:r>
        <w:rPr>
          <w:w w:val="110"/>
        </w:rPr>
        <w:t>nadas en el exterior amenazan la vida interna de la nación. Este tipo de postulados definirían al nativismo como “una intensa oposición a una minoría interna con base en sus conexiones anti-estadounidenses externas”. de modo específico, los antagonismos nativistas pueden va- riar debido al carácter cambiante de la minoría sujeto de su irritación, y a las condiciones de cada día. En todos los casos, el patriotismo es  un elemento básico y</w:t>
      </w:r>
      <w:r>
        <w:rPr>
          <w:spacing w:val="17"/>
          <w:w w:val="110"/>
        </w:rPr>
        <w:t> </w:t>
      </w:r>
      <w:r>
        <w:rPr>
          <w:w w:val="110"/>
        </w:rPr>
        <w:t>presente.</w:t>
      </w:r>
    </w:p>
    <w:p>
      <w:pPr>
        <w:pStyle w:val="BodyText"/>
        <w:spacing w:line="252" w:lineRule="auto"/>
        <w:ind w:left="330" w:right="117" w:firstLine="396"/>
        <w:jc w:val="both"/>
      </w:pPr>
      <w:r>
        <w:rPr>
          <w:w w:val="110"/>
        </w:rPr>
        <w:t>sobre la base de lo expuesto, la palabra nativismo denota clara idealización y preferencia por ciertos rasgos supuestamente distinti- vos de las raíces de la nación estadounidense –anglosajona, protes- tante, republicana (no en el sentido del actual partido político). de acuerdo con los nativistas, cualquier influencia externa tendría el po- tencial de contaminar la esencia nacional del país y restarle esplendor y autenticidad.</w:t>
      </w:r>
    </w:p>
    <w:p>
      <w:pPr>
        <w:pStyle w:val="BodyText"/>
        <w:spacing w:line="252" w:lineRule="auto"/>
        <w:ind w:left="330" w:right="117" w:firstLine="396"/>
        <w:jc w:val="both"/>
      </w:pPr>
      <w:r>
        <w:rPr>
          <w:w w:val="110"/>
        </w:rPr>
        <w:t>El sujeto de los ataques nativistas es, en general, una minoría.    No obstante, en lo particular, la etiqueta de dicho grupo minoritario varía según la época. así, en la etapa colonial fue el anticatolicismo; a mediados del siglo </w:t>
      </w:r>
      <w:r>
        <w:rPr>
          <w:w w:val="130"/>
        </w:rPr>
        <w:t>xix </w:t>
      </w:r>
      <w:r>
        <w:rPr>
          <w:w w:val="110"/>
        </w:rPr>
        <w:t>era el rechazo a los inmigrantes irlandeses y alemanes; en la década de 1880, los trabajadores chinos (coolíes) ex- perimentaron el repudio de ciertos sectores en Estados unidos; poco después, el antijudaísmo llegó como un reflejo del caso dreyfus fran- cés en las postrimerías decimonónicas. En el siglo </w:t>
      </w:r>
      <w:r>
        <w:rPr>
          <w:w w:val="130"/>
        </w:rPr>
        <w:t>xx, </w:t>
      </w:r>
      <w:r>
        <w:rPr>
          <w:w w:val="110"/>
        </w:rPr>
        <w:t>en especial a partir de finales del decenio de 1980, mexicanos, centroamericanos </w:t>
      </w:r>
      <w:r>
        <w:rPr>
          <w:spacing w:val="-11"/>
          <w:w w:val="110"/>
        </w:rPr>
        <w:t>y, </w:t>
      </w:r>
      <w:r>
        <w:rPr>
          <w:w w:val="110"/>
        </w:rPr>
        <w:t>en menor magnitud, asiáticos están en la constante mira de los nati- vistas (Velasco,</w:t>
      </w:r>
      <w:r>
        <w:rPr>
          <w:spacing w:val="-28"/>
          <w:w w:val="110"/>
        </w:rPr>
        <w:t> </w:t>
      </w:r>
      <w:r>
        <w:rPr>
          <w:w w:val="110"/>
        </w:rPr>
        <w:t>2007).</w:t>
      </w:r>
    </w:p>
    <w:p>
      <w:pPr>
        <w:pStyle w:val="BodyText"/>
        <w:spacing w:line="252" w:lineRule="auto"/>
        <w:ind w:left="330" w:right="117" w:firstLine="396"/>
        <w:jc w:val="both"/>
      </w:pPr>
      <w:r>
        <w:rPr>
          <w:w w:val="110"/>
        </w:rPr>
        <w:t>El nativismo es un fenómeno cuya intensidad depende del grupo que lo practica. Por ejemplo, en su segunda expresión histórica, el Ku Klux Klan resurgido en los años de 1920 –el primero apareció como una organización racista de veteranos de guerra de los Estados Confe- derados de américa tras la guerra civil– favorecía la supremacía de la raza blanca y ya no sólo centraba su animadversión en los afroameri- canos, sino también en los inmigrantes en general, en los judíos y en los católicos. sin embargo, su rechazo continuó manifestándose de forma más virulenta contra las minorías no   blancas.</w:t>
      </w:r>
    </w:p>
    <w:p>
      <w:pPr>
        <w:pStyle w:val="BodyText"/>
        <w:spacing w:line="252" w:lineRule="auto"/>
        <w:ind w:left="330" w:right="117" w:firstLine="396"/>
        <w:jc w:val="both"/>
      </w:pPr>
      <w:r>
        <w:rPr>
          <w:w w:val="110"/>
        </w:rPr>
        <w:t>En toda expresión nativista hay una exaltación del patriotismo estadounidense. El interés de la patria está por encima de cualquier</w:t>
      </w:r>
    </w:p>
    <w:p>
      <w:pPr>
        <w:spacing w:after="0" w:line="252" w:lineRule="auto"/>
        <w:jc w:val="both"/>
        <w:sectPr>
          <w:footerReference w:type="default" r:id="rId405"/>
          <w:footerReference w:type="even" r:id="rId406"/>
          <w:pgSz w:w="8790" w:h="12760"/>
          <w:pgMar w:footer="725" w:header="695" w:top="880" w:bottom="920" w:left="1200" w:right="900"/>
        </w:sectPr>
      </w:pPr>
    </w:p>
    <w:p>
      <w:pPr>
        <w:pStyle w:val="BodyText"/>
        <w:spacing w:before="9"/>
        <w:rPr>
          <w:sz w:val="28"/>
        </w:rPr>
      </w:pPr>
    </w:p>
    <w:p>
      <w:pPr>
        <w:pStyle w:val="BodyText"/>
        <w:spacing w:line="252" w:lineRule="auto" w:before="73"/>
        <w:ind w:left="100" w:right="328"/>
        <w:jc w:val="both"/>
      </w:pPr>
      <w:r>
        <w:rPr>
          <w:w w:val="110"/>
        </w:rPr>
        <w:t>otra consideración discriminatoria, incluso la de clase. Entonces, es  un “acto heroico por el bien de la patria” </w:t>
      </w:r>
      <w:r>
        <w:rPr>
          <w:spacing w:val="-3"/>
          <w:w w:val="110"/>
        </w:rPr>
        <w:t>repudiar, </w:t>
      </w:r>
      <w:r>
        <w:rPr>
          <w:w w:val="110"/>
        </w:rPr>
        <w:t>o al menos despre- </w:t>
      </w:r>
      <w:r>
        <w:rPr>
          <w:spacing w:val="-5"/>
          <w:w w:val="110"/>
        </w:rPr>
        <w:t>ciar, </w:t>
      </w:r>
      <w:r>
        <w:rPr>
          <w:w w:val="110"/>
        </w:rPr>
        <w:t>todo gesto no</w:t>
      </w:r>
      <w:r>
        <w:rPr>
          <w:spacing w:val="43"/>
          <w:w w:val="110"/>
        </w:rPr>
        <w:t> </w:t>
      </w:r>
      <w:r>
        <w:rPr>
          <w:w w:val="110"/>
        </w:rPr>
        <w:t>estadounidense.</w:t>
      </w:r>
    </w:p>
    <w:p>
      <w:pPr>
        <w:pStyle w:val="BodyText"/>
        <w:spacing w:line="252" w:lineRule="auto"/>
        <w:ind w:left="100" w:right="328" w:firstLine="396"/>
        <w:jc w:val="both"/>
      </w:pPr>
      <w:r>
        <w:rPr>
          <w:w w:val="110"/>
        </w:rPr>
        <w:t>Estas expresiones de repulsa nativista tienen un componente</w:t>
      </w:r>
      <w:r>
        <w:rPr>
          <w:spacing w:val="-24"/>
          <w:w w:val="110"/>
        </w:rPr>
        <w:t> </w:t>
      </w:r>
      <w:r>
        <w:rPr>
          <w:w w:val="110"/>
        </w:rPr>
        <w:t>eco- nómico, político, social, racial, cultural o ambiental. No es raro en- contrar postulados nativistas culpando a los extranjeros de los males económicos y/o sociales y/o políticos de Estados unidos. si el extran- jero no tuviera relación alguna con dichos males, un buen nativista   no claudicará hasta hallar o, en su defecto, construir ese anhelado y desafortunado</w:t>
      </w:r>
      <w:r>
        <w:rPr>
          <w:spacing w:val="23"/>
          <w:w w:val="110"/>
        </w:rPr>
        <w:t> </w:t>
      </w:r>
      <w:r>
        <w:rPr>
          <w:w w:val="110"/>
        </w:rPr>
        <w:t>vínculo.</w:t>
      </w:r>
    </w:p>
    <w:p>
      <w:pPr>
        <w:pStyle w:val="BodyText"/>
        <w:spacing w:line="252" w:lineRule="auto"/>
        <w:ind w:left="100" w:right="328" w:firstLine="396"/>
        <w:jc w:val="both"/>
      </w:pPr>
      <w:r>
        <w:rPr>
          <w:w w:val="110"/>
        </w:rPr>
        <w:t>Por último, los nativistas escogen toda una gama de temas con el objetivo de “explicar” sus acciones. algunos ejemplos: en el caso del Ku Klux Klan es el racismo, en el movimiento </w:t>
      </w:r>
      <w:r>
        <w:rPr>
          <w:i/>
          <w:w w:val="110"/>
        </w:rPr>
        <w:t>English only </w:t>
      </w:r>
      <w:r>
        <w:rPr>
          <w:w w:val="110"/>
        </w:rPr>
        <w:t>–opuesto   al reconocimiento del uso de otros idiomas distintos al inglés en Es- tados unidos– es la “defensa” de la cultura, y en la </w:t>
      </w:r>
      <w:r>
        <w:rPr>
          <w:i/>
          <w:w w:val="110"/>
        </w:rPr>
        <w:t>American Border </w:t>
      </w:r>
      <w:r>
        <w:rPr>
          <w:i/>
          <w:w w:val="110"/>
        </w:rPr>
        <w:t>Patrol </w:t>
      </w:r>
      <w:r>
        <w:rPr>
          <w:w w:val="110"/>
        </w:rPr>
        <w:t>es el respeto a las leyes</w:t>
      </w:r>
      <w:r>
        <w:rPr>
          <w:spacing w:val="-22"/>
          <w:w w:val="110"/>
        </w:rPr>
        <w:t> </w:t>
      </w:r>
      <w:r>
        <w:rPr>
          <w:w w:val="110"/>
        </w:rPr>
        <w:t>estadounidenses.</w:t>
      </w:r>
    </w:p>
    <w:p>
      <w:pPr>
        <w:pStyle w:val="BodyText"/>
        <w:spacing w:line="252" w:lineRule="auto"/>
        <w:ind w:left="100" w:right="328" w:firstLine="396"/>
        <w:jc w:val="both"/>
      </w:pPr>
      <w:r>
        <w:rPr>
          <w:w w:val="149"/>
        </w:rPr>
        <w:t>s</w:t>
      </w:r>
      <w:r>
        <w:rPr>
          <w:w w:val="110"/>
        </w:rPr>
        <w:t>egún</w:t>
      </w:r>
      <w:r>
        <w:rPr>
          <w:spacing w:val="15"/>
        </w:rPr>
        <w:t> </w:t>
      </w:r>
      <w:r>
        <w:rPr>
          <w:w w:val="243"/>
        </w:rPr>
        <w:t>l</w:t>
      </w:r>
      <w:r>
        <w:rPr>
          <w:w w:val="111"/>
        </w:rPr>
        <w:t>inda</w:t>
      </w:r>
      <w:r>
        <w:rPr>
          <w:spacing w:val="15"/>
        </w:rPr>
        <w:t> </w:t>
      </w:r>
      <w:r>
        <w:rPr>
          <w:w w:val="149"/>
        </w:rPr>
        <w:t>s</w:t>
      </w:r>
      <w:r>
        <w:rPr>
          <w:w w:val="138"/>
        </w:rPr>
        <w:t>.</w:t>
      </w:r>
      <w:r>
        <w:rPr>
          <w:spacing w:val="15"/>
        </w:rPr>
        <w:t> </w:t>
      </w:r>
      <w:r>
        <w:rPr>
          <w:w w:val="134"/>
        </w:rPr>
        <w:t>b</w:t>
      </w:r>
      <w:r>
        <w:rPr>
          <w:w w:val="110"/>
        </w:rPr>
        <w:t>osniak</w:t>
      </w:r>
      <w:r>
        <w:rPr>
          <w:spacing w:val="15"/>
        </w:rPr>
        <w:t> </w:t>
      </w:r>
      <w:r>
        <w:rPr>
          <w:w w:val="103"/>
        </w:rPr>
        <w:t>(1997),</w:t>
      </w:r>
      <w:r>
        <w:rPr>
          <w:spacing w:val="15"/>
        </w:rPr>
        <w:t> </w:t>
      </w:r>
      <w:r>
        <w:rPr>
          <w:w w:val="107"/>
        </w:rPr>
        <w:t>el</w:t>
      </w:r>
      <w:r>
        <w:rPr>
          <w:spacing w:val="15"/>
        </w:rPr>
        <w:t> </w:t>
      </w:r>
      <w:r>
        <w:rPr>
          <w:w w:val="109"/>
        </w:rPr>
        <w:t>término</w:t>
      </w:r>
      <w:r>
        <w:rPr>
          <w:spacing w:val="15"/>
        </w:rPr>
        <w:t> </w:t>
      </w:r>
      <w:r>
        <w:rPr>
          <w:w w:val="110"/>
        </w:rPr>
        <w:t>nativismo</w:t>
      </w:r>
      <w:r>
        <w:rPr>
          <w:spacing w:val="15"/>
        </w:rPr>
        <w:t> </w:t>
      </w:r>
      <w:r>
        <w:rPr>
          <w:w w:val="105"/>
        </w:rPr>
        <w:t>es</w:t>
      </w:r>
      <w:r>
        <w:rPr>
          <w:spacing w:val="15"/>
        </w:rPr>
        <w:t> </w:t>
      </w:r>
      <w:r>
        <w:rPr>
          <w:w w:val="111"/>
        </w:rPr>
        <w:t>imprec</w:t>
      </w:r>
      <w:r>
        <w:rPr>
          <w:spacing w:val="-1"/>
          <w:w w:val="111"/>
        </w:rPr>
        <w:t>i</w:t>
      </w:r>
      <w:r>
        <w:rPr>
          <w:w w:val="102"/>
        </w:rPr>
        <w:t>- </w:t>
      </w:r>
      <w:r>
        <w:rPr>
          <w:w w:val="120"/>
        </w:rPr>
        <w:t>so</w:t>
      </w:r>
      <w:r>
        <w:rPr>
          <w:spacing w:val="-30"/>
          <w:w w:val="120"/>
        </w:rPr>
        <w:t> </w:t>
      </w:r>
      <w:r>
        <w:rPr>
          <w:w w:val="120"/>
        </w:rPr>
        <w:t>y</w:t>
      </w:r>
      <w:r>
        <w:rPr>
          <w:spacing w:val="-30"/>
          <w:w w:val="120"/>
        </w:rPr>
        <w:t> </w:t>
      </w:r>
      <w:r>
        <w:rPr>
          <w:w w:val="120"/>
        </w:rPr>
        <w:t>tiene</w:t>
      </w:r>
      <w:r>
        <w:rPr>
          <w:spacing w:val="-30"/>
          <w:w w:val="120"/>
        </w:rPr>
        <w:t> </w:t>
      </w:r>
      <w:r>
        <w:rPr>
          <w:w w:val="120"/>
        </w:rPr>
        <w:t>un</w:t>
      </w:r>
      <w:r>
        <w:rPr>
          <w:spacing w:val="-30"/>
          <w:w w:val="120"/>
        </w:rPr>
        <w:t> </w:t>
      </w:r>
      <w:r>
        <w:rPr>
          <w:w w:val="120"/>
        </w:rPr>
        <w:t>fuerte</w:t>
      </w:r>
      <w:r>
        <w:rPr>
          <w:spacing w:val="-30"/>
          <w:w w:val="120"/>
        </w:rPr>
        <w:t> </w:t>
      </w:r>
      <w:r>
        <w:rPr>
          <w:w w:val="120"/>
        </w:rPr>
        <w:t>carácter</w:t>
      </w:r>
      <w:r>
        <w:rPr>
          <w:spacing w:val="-30"/>
          <w:w w:val="120"/>
        </w:rPr>
        <w:t> </w:t>
      </w:r>
      <w:r>
        <w:rPr>
          <w:w w:val="120"/>
        </w:rPr>
        <w:t>de</w:t>
      </w:r>
      <w:r>
        <w:rPr>
          <w:spacing w:val="-30"/>
          <w:w w:val="120"/>
        </w:rPr>
        <w:t> </w:t>
      </w:r>
      <w:r>
        <w:rPr>
          <w:w w:val="120"/>
        </w:rPr>
        <w:t>deslegitimación.</w:t>
      </w:r>
      <w:r>
        <w:rPr>
          <w:spacing w:val="-30"/>
          <w:w w:val="120"/>
        </w:rPr>
        <w:t> </w:t>
      </w:r>
      <w:r>
        <w:rPr>
          <w:w w:val="120"/>
        </w:rPr>
        <w:t>En</w:t>
      </w:r>
      <w:r>
        <w:rPr>
          <w:spacing w:val="-30"/>
          <w:w w:val="120"/>
        </w:rPr>
        <w:t> </w:t>
      </w:r>
      <w:r>
        <w:rPr>
          <w:w w:val="120"/>
        </w:rPr>
        <w:t>opinión</w:t>
      </w:r>
      <w:r>
        <w:rPr>
          <w:spacing w:val="-30"/>
          <w:w w:val="120"/>
        </w:rPr>
        <w:t> </w:t>
      </w:r>
      <w:r>
        <w:rPr>
          <w:w w:val="120"/>
        </w:rPr>
        <w:t>de</w:t>
      </w:r>
      <w:r>
        <w:rPr>
          <w:spacing w:val="-30"/>
          <w:w w:val="120"/>
        </w:rPr>
        <w:t> </w:t>
      </w:r>
      <w:r>
        <w:rPr>
          <w:w w:val="120"/>
        </w:rPr>
        <w:t>Joe</w:t>
      </w:r>
      <w:r>
        <w:rPr>
          <w:spacing w:val="-30"/>
          <w:w w:val="120"/>
        </w:rPr>
        <w:t> </w:t>
      </w:r>
      <w:r>
        <w:rPr>
          <w:w w:val="130"/>
        </w:rPr>
        <w:t>r. </w:t>
      </w:r>
      <w:r>
        <w:rPr>
          <w:w w:val="115"/>
        </w:rPr>
        <w:t>Feagin</w:t>
      </w:r>
      <w:r>
        <w:rPr>
          <w:spacing w:val="-27"/>
          <w:w w:val="115"/>
        </w:rPr>
        <w:t> </w:t>
      </w:r>
      <w:r>
        <w:rPr>
          <w:w w:val="115"/>
        </w:rPr>
        <w:t>(1997),</w:t>
      </w:r>
      <w:r>
        <w:rPr>
          <w:spacing w:val="-27"/>
          <w:w w:val="115"/>
        </w:rPr>
        <w:t> </w:t>
      </w:r>
      <w:r>
        <w:rPr>
          <w:w w:val="115"/>
        </w:rPr>
        <w:t>el</w:t>
      </w:r>
      <w:r>
        <w:rPr>
          <w:spacing w:val="-27"/>
          <w:w w:val="115"/>
        </w:rPr>
        <w:t> </w:t>
      </w:r>
      <w:r>
        <w:rPr>
          <w:w w:val="115"/>
        </w:rPr>
        <w:t>nativismo</w:t>
      </w:r>
      <w:r>
        <w:rPr>
          <w:spacing w:val="-27"/>
          <w:w w:val="115"/>
        </w:rPr>
        <w:t> </w:t>
      </w:r>
      <w:r>
        <w:rPr>
          <w:w w:val="115"/>
        </w:rPr>
        <w:t>ha</w:t>
      </w:r>
      <w:r>
        <w:rPr>
          <w:spacing w:val="-27"/>
          <w:w w:val="115"/>
        </w:rPr>
        <w:t> </w:t>
      </w:r>
      <w:r>
        <w:rPr>
          <w:w w:val="115"/>
        </w:rPr>
        <w:t>recurrido</w:t>
      </w:r>
      <w:r>
        <w:rPr>
          <w:spacing w:val="-27"/>
          <w:w w:val="115"/>
        </w:rPr>
        <w:t> </w:t>
      </w:r>
      <w:r>
        <w:rPr>
          <w:w w:val="115"/>
        </w:rPr>
        <w:t>en</w:t>
      </w:r>
      <w:r>
        <w:rPr>
          <w:spacing w:val="-27"/>
          <w:w w:val="115"/>
        </w:rPr>
        <w:t> </w:t>
      </w:r>
      <w:r>
        <w:rPr>
          <w:w w:val="115"/>
        </w:rPr>
        <w:t>general</w:t>
      </w:r>
      <w:r>
        <w:rPr>
          <w:spacing w:val="-27"/>
          <w:w w:val="115"/>
        </w:rPr>
        <w:t> </w:t>
      </w:r>
      <w:r>
        <w:rPr>
          <w:w w:val="115"/>
        </w:rPr>
        <w:t>a</w:t>
      </w:r>
      <w:r>
        <w:rPr>
          <w:spacing w:val="-27"/>
          <w:w w:val="115"/>
        </w:rPr>
        <w:t> </w:t>
      </w:r>
      <w:r>
        <w:rPr>
          <w:w w:val="115"/>
        </w:rPr>
        <w:t>cuatro</w:t>
      </w:r>
      <w:r>
        <w:rPr>
          <w:spacing w:val="-27"/>
          <w:w w:val="115"/>
        </w:rPr>
        <w:t> </w:t>
      </w:r>
      <w:r>
        <w:rPr>
          <w:w w:val="115"/>
        </w:rPr>
        <w:t>premisas fundamentales,</w:t>
      </w:r>
      <w:r>
        <w:rPr>
          <w:spacing w:val="-17"/>
          <w:w w:val="115"/>
        </w:rPr>
        <w:t> </w:t>
      </w:r>
      <w:r>
        <w:rPr>
          <w:w w:val="115"/>
        </w:rPr>
        <w:t>que</w:t>
      </w:r>
      <w:r>
        <w:rPr>
          <w:spacing w:val="-17"/>
          <w:w w:val="115"/>
        </w:rPr>
        <w:t> </w:t>
      </w:r>
      <w:r>
        <w:rPr>
          <w:w w:val="115"/>
        </w:rPr>
        <w:t>se</w:t>
      </w:r>
      <w:r>
        <w:rPr>
          <w:spacing w:val="-17"/>
          <w:w w:val="115"/>
        </w:rPr>
        <w:t> </w:t>
      </w:r>
      <w:r>
        <w:rPr>
          <w:w w:val="115"/>
        </w:rPr>
        <w:t>enlazan</w:t>
      </w:r>
      <w:r>
        <w:rPr>
          <w:spacing w:val="-17"/>
          <w:w w:val="115"/>
        </w:rPr>
        <w:t> </w:t>
      </w:r>
      <w:r>
        <w:rPr>
          <w:w w:val="115"/>
        </w:rPr>
        <w:t>con</w:t>
      </w:r>
      <w:r>
        <w:rPr>
          <w:spacing w:val="-17"/>
          <w:w w:val="115"/>
        </w:rPr>
        <w:t> </w:t>
      </w:r>
      <w:r>
        <w:rPr>
          <w:w w:val="115"/>
        </w:rPr>
        <w:t>rasgos</w:t>
      </w:r>
      <w:r>
        <w:rPr>
          <w:spacing w:val="-17"/>
          <w:w w:val="115"/>
        </w:rPr>
        <w:t> </w:t>
      </w:r>
      <w:r>
        <w:rPr>
          <w:w w:val="115"/>
        </w:rPr>
        <w:t>de</w:t>
      </w:r>
      <w:r>
        <w:rPr>
          <w:spacing w:val="-17"/>
          <w:w w:val="115"/>
        </w:rPr>
        <w:t> </w:t>
      </w:r>
      <w:r>
        <w:rPr>
          <w:w w:val="115"/>
        </w:rPr>
        <w:t>la</w:t>
      </w:r>
      <w:r>
        <w:rPr>
          <w:spacing w:val="-17"/>
          <w:w w:val="115"/>
        </w:rPr>
        <w:t> </w:t>
      </w:r>
      <w:r>
        <w:rPr>
          <w:w w:val="115"/>
        </w:rPr>
        <w:t>xenofobia:</w:t>
      </w:r>
      <w:r>
        <w:rPr>
          <w:spacing w:val="-17"/>
          <w:w w:val="115"/>
        </w:rPr>
        <w:t> </w:t>
      </w:r>
      <w:r>
        <w:rPr>
          <w:w w:val="115"/>
        </w:rPr>
        <w:t>ciertas</w:t>
      </w:r>
      <w:r>
        <w:rPr>
          <w:spacing w:val="-17"/>
          <w:w w:val="115"/>
        </w:rPr>
        <w:t> </w:t>
      </w:r>
      <w:r>
        <w:rPr>
          <w:w w:val="115"/>
        </w:rPr>
        <w:t>ra- zas</w:t>
      </w:r>
      <w:r>
        <w:rPr>
          <w:spacing w:val="-28"/>
          <w:w w:val="115"/>
        </w:rPr>
        <w:t> </w:t>
      </w:r>
      <w:r>
        <w:rPr>
          <w:w w:val="115"/>
        </w:rPr>
        <w:t>son</w:t>
      </w:r>
      <w:r>
        <w:rPr>
          <w:spacing w:val="-28"/>
          <w:w w:val="115"/>
        </w:rPr>
        <w:t> </w:t>
      </w:r>
      <w:r>
        <w:rPr>
          <w:w w:val="115"/>
        </w:rPr>
        <w:t>intelectual</w:t>
      </w:r>
      <w:r>
        <w:rPr>
          <w:spacing w:val="-28"/>
          <w:w w:val="115"/>
        </w:rPr>
        <w:t> </w:t>
      </w:r>
      <w:r>
        <w:rPr>
          <w:w w:val="115"/>
        </w:rPr>
        <w:t>y</w:t>
      </w:r>
      <w:r>
        <w:rPr>
          <w:spacing w:val="-28"/>
          <w:w w:val="115"/>
        </w:rPr>
        <w:t> </w:t>
      </w:r>
      <w:r>
        <w:rPr>
          <w:w w:val="115"/>
        </w:rPr>
        <w:t>culturalmente</w:t>
      </w:r>
      <w:r>
        <w:rPr>
          <w:spacing w:val="-28"/>
          <w:w w:val="115"/>
        </w:rPr>
        <w:t> </w:t>
      </w:r>
      <w:r>
        <w:rPr>
          <w:w w:val="115"/>
        </w:rPr>
        <w:t>inferiores</w:t>
      </w:r>
      <w:r>
        <w:rPr>
          <w:spacing w:val="-28"/>
          <w:w w:val="115"/>
        </w:rPr>
        <w:t> </w:t>
      </w:r>
      <w:r>
        <w:rPr>
          <w:w w:val="115"/>
        </w:rPr>
        <w:t>y</w:t>
      </w:r>
      <w:r>
        <w:rPr>
          <w:spacing w:val="-28"/>
          <w:w w:val="115"/>
        </w:rPr>
        <w:t> </w:t>
      </w:r>
      <w:r>
        <w:rPr>
          <w:w w:val="115"/>
        </w:rPr>
        <w:t>no</w:t>
      </w:r>
      <w:r>
        <w:rPr>
          <w:spacing w:val="-28"/>
          <w:w w:val="115"/>
        </w:rPr>
        <w:t> </w:t>
      </w:r>
      <w:r>
        <w:rPr>
          <w:w w:val="115"/>
        </w:rPr>
        <w:t>se</w:t>
      </w:r>
      <w:r>
        <w:rPr>
          <w:spacing w:val="-28"/>
          <w:w w:val="115"/>
        </w:rPr>
        <w:t> </w:t>
      </w:r>
      <w:r>
        <w:rPr>
          <w:w w:val="115"/>
        </w:rPr>
        <w:t>les</w:t>
      </w:r>
      <w:r>
        <w:rPr>
          <w:spacing w:val="-28"/>
          <w:w w:val="115"/>
        </w:rPr>
        <w:t> </w:t>
      </w:r>
      <w:r>
        <w:rPr>
          <w:w w:val="115"/>
        </w:rPr>
        <w:t>debe</w:t>
      </w:r>
      <w:r>
        <w:rPr>
          <w:spacing w:val="-28"/>
          <w:w w:val="115"/>
        </w:rPr>
        <w:t> </w:t>
      </w:r>
      <w:r>
        <w:rPr>
          <w:w w:val="115"/>
        </w:rPr>
        <w:t>permitir </w:t>
      </w:r>
      <w:r>
        <w:rPr>
          <w:w w:val="120"/>
        </w:rPr>
        <w:t>entrar</w:t>
      </w:r>
      <w:r>
        <w:rPr>
          <w:spacing w:val="-24"/>
          <w:w w:val="120"/>
        </w:rPr>
        <w:t> </w:t>
      </w:r>
      <w:r>
        <w:rPr>
          <w:w w:val="120"/>
        </w:rPr>
        <w:t>a</w:t>
      </w:r>
      <w:r>
        <w:rPr>
          <w:spacing w:val="-24"/>
          <w:w w:val="120"/>
        </w:rPr>
        <w:t> </w:t>
      </w:r>
      <w:r>
        <w:rPr>
          <w:w w:val="120"/>
        </w:rPr>
        <w:t>Estados</w:t>
      </w:r>
      <w:r>
        <w:rPr>
          <w:spacing w:val="-24"/>
          <w:w w:val="120"/>
        </w:rPr>
        <w:t> </w:t>
      </w:r>
      <w:r>
        <w:rPr>
          <w:w w:val="120"/>
        </w:rPr>
        <w:t>unidos,</w:t>
      </w:r>
      <w:r>
        <w:rPr>
          <w:spacing w:val="-24"/>
          <w:w w:val="120"/>
        </w:rPr>
        <w:t> </w:t>
      </w:r>
      <w:r>
        <w:rPr>
          <w:w w:val="120"/>
        </w:rPr>
        <w:t>al</w:t>
      </w:r>
      <w:r>
        <w:rPr>
          <w:spacing w:val="-24"/>
          <w:w w:val="120"/>
        </w:rPr>
        <w:t> </w:t>
      </w:r>
      <w:r>
        <w:rPr>
          <w:w w:val="120"/>
        </w:rPr>
        <w:t>menos</w:t>
      </w:r>
      <w:r>
        <w:rPr>
          <w:spacing w:val="-24"/>
          <w:w w:val="120"/>
        </w:rPr>
        <w:t> </w:t>
      </w:r>
      <w:r>
        <w:rPr>
          <w:w w:val="120"/>
        </w:rPr>
        <w:t>en</w:t>
      </w:r>
      <w:r>
        <w:rPr>
          <w:spacing w:val="-24"/>
          <w:w w:val="120"/>
        </w:rPr>
        <w:t> </w:t>
      </w:r>
      <w:r>
        <w:rPr>
          <w:w w:val="120"/>
        </w:rPr>
        <w:t>números</w:t>
      </w:r>
      <w:r>
        <w:rPr>
          <w:spacing w:val="-24"/>
          <w:w w:val="120"/>
        </w:rPr>
        <w:t> </w:t>
      </w:r>
      <w:r>
        <w:rPr>
          <w:w w:val="120"/>
        </w:rPr>
        <w:t>sustanciales;</w:t>
      </w:r>
      <w:r>
        <w:rPr>
          <w:spacing w:val="-24"/>
          <w:w w:val="120"/>
        </w:rPr>
        <w:t> </w:t>
      </w:r>
      <w:r>
        <w:rPr>
          <w:w w:val="120"/>
        </w:rPr>
        <w:t>se</w:t>
      </w:r>
      <w:r>
        <w:rPr>
          <w:spacing w:val="-24"/>
          <w:w w:val="120"/>
        </w:rPr>
        <w:t> </w:t>
      </w:r>
      <w:r>
        <w:rPr>
          <w:spacing w:val="-4"/>
          <w:w w:val="120"/>
        </w:rPr>
        <w:t>per- </w:t>
      </w:r>
      <w:r>
        <w:rPr>
          <w:w w:val="115"/>
        </w:rPr>
        <w:t>cibe</w:t>
      </w:r>
      <w:r>
        <w:rPr>
          <w:spacing w:val="-6"/>
          <w:w w:val="115"/>
        </w:rPr>
        <w:t> </w:t>
      </w:r>
      <w:r>
        <w:rPr>
          <w:w w:val="115"/>
        </w:rPr>
        <w:t>a</w:t>
      </w:r>
      <w:r>
        <w:rPr>
          <w:spacing w:val="-6"/>
          <w:w w:val="115"/>
        </w:rPr>
        <w:t> </w:t>
      </w:r>
      <w:r>
        <w:rPr>
          <w:w w:val="115"/>
        </w:rPr>
        <w:t>los</w:t>
      </w:r>
      <w:r>
        <w:rPr>
          <w:spacing w:val="-6"/>
          <w:w w:val="115"/>
        </w:rPr>
        <w:t> </w:t>
      </w:r>
      <w:r>
        <w:rPr>
          <w:w w:val="115"/>
        </w:rPr>
        <w:t>emigrados</w:t>
      </w:r>
      <w:r>
        <w:rPr>
          <w:spacing w:val="-6"/>
          <w:w w:val="115"/>
        </w:rPr>
        <w:t> </w:t>
      </w:r>
      <w:r>
        <w:rPr>
          <w:w w:val="115"/>
        </w:rPr>
        <w:t>como</w:t>
      </w:r>
      <w:r>
        <w:rPr>
          <w:spacing w:val="-6"/>
          <w:w w:val="115"/>
        </w:rPr>
        <w:t> </w:t>
      </w:r>
      <w:r>
        <w:rPr>
          <w:w w:val="115"/>
        </w:rPr>
        <w:t>un</w:t>
      </w:r>
      <w:r>
        <w:rPr>
          <w:spacing w:val="-6"/>
          <w:w w:val="115"/>
        </w:rPr>
        <w:t> </w:t>
      </w:r>
      <w:r>
        <w:rPr>
          <w:w w:val="115"/>
        </w:rPr>
        <w:t>problema</w:t>
      </w:r>
      <w:r>
        <w:rPr>
          <w:spacing w:val="-6"/>
          <w:w w:val="115"/>
        </w:rPr>
        <w:t> </w:t>
      </w:r>
      <w:r>
        <w:rPr>
          <w:w w:val="115"/>
        </w:rPr>
        <w:t>serio,</w:t>
      </w:r>
      <w:r>
        <w:rPr>
          <w:spacing w:val="-6"/>
          <w:w w:val="115"/>
        </w:rPr>
        <w:t> </w:t>
      </w:r>
      <w:r>
        <w:rPr>
          <w:w w:val="115"/>
        </w:rPr>
        <w:t>debido</w:t>
      </w:r>
      <w:r>
        <w:rPr>
          <w:spacing w:val="-6"/>
          <w:w w:val="115"/>
        </w:rPr>
        <w:t> </w:t>
      </w:r>
      <w:r>
        <w:rPr>
          <w:w w:val="115"/>
        </w:rPr>
        <w:t>a</w:t>
      </w:r>
      <w:r>
        <w:rPr>
          <w:spacing w:val="-6"/>
          <w:w w:val="115"/>
        </w:rPr>
        <w:t> </w:t>
      </w:r>
      <w:r>
        <w:rPr>
          <w:w w:val="115"/>
        </w:rPr>
        <w:t>su</w:t>
      </w:r>
      <w:r>
        <w:rPr>
          <w:spacing w:val="-6"/>
          <w:w w:val="115"/>
        </w:rPr>
        <w:t> </w:t>
      </w:r>
      <w:r>
        <w:rPr>
          <w:w w:val="115"/>
        </w:rPr>
        <w:t>dificultad para</w:t>
      </w:r>
      <w:r>
        <w:rPr>
          <w:spacing w:val="-12"/>
          <w:w w:val="115"/>
        </w:rPr>
        <w:t> </w:t>
      </w:r>
      <w:r>
        <w:rPr>
          <w:w w:val="115"/>
        </w:rPr>
        <w:t>asimilarse</w:t>
      </w:r>
      <w:r>
        <w:rPr>
          <w:spacing w:val="-12"/>
          <w:w w:val="115"/>
        </w:rPr>
        <w:t> </w:t>
      </w:r>
      <w:r>
        <w:rPr>
          <w:w w:val="115"/>
        </w:rPr>
        <w:t>por</w:t>
      </w:r>
      <w:r>
        <w:rPr>
          <w:spacing w:val="-12"/>
          <w:w w:val="115"/>
        </w:rPr>
        <w:t> </w:t>
      </w:r>
      <w:r>
        <w:rPr>
          <w:w w:val="115"/>
        </w:rPr>
        <w:t>completo</w:t>
      </w:r>
      <w:r>
        <w:rPr>
          <w:spacing w:val="-12"/>
          <w:w w:val="115"/>
        </w:rPr>
        <w:t> </w:t>
      </w:r>
      <w:r>
        <w:rPr>
          <w:w w:val="115"/>
        </w:rPr>
        <w:t>“a</w:t>
      </w:r>
      <w:r>
        <w:rPr>
          <w:spacing w:val="-12"/>
          <w:w w:val="115"/>
        </w:rPr>
        <w:t> </w:t>
      </w:r>
      <w:r>
        <w:rPr>
          <w:w w:val="115"/>
        </w:rPr>
        <w:t>la</w:t>
      </w:r>
      <w:r>
        <w:rPr>
          <w:spacing w:val="-12"/>
          <w:w w:val="115"/>
        </w:rPr>
        <w:t> </w:t>
      </w:r>
      <w:r>
        <w:rPr>
          <w:w w:val="115"/>
        </w:rPr>
        <w:t>dominante</w:t>
      </w:r>
      <w:r>
        <w:rPr>
          <w:spacing w:val="-12"/>
          <w:w w:val="115"/>
        </w:rPr>
        <w:t> </w:t>
      </w:r>
      <w:r>
        <w:rPr>
          <w:w w:val="115"/>
        </w:rPr>
        <w:t>cultura</w:t>
      </w:r>
      <w:r>
        <w:rPr>
          <w:spacing w:val="-12"/>
          <w:w w:val="115"/>
        </w:rPr>
        <w:t> </w:t>
      </w:r>
      <w:r>
        <w:rPr>
          <w:i/>
          <w:w w:val="115"/>
        </w:rPr>
        <w:t>anglo</w:t>
      </w:r>
      <w:r>
        <w:rPr>
          <w:w w:val="115"/>
        </w:rPr>
        <w:t>”;</w:t>
      </w:r>
      <w:r>
        <w:rPr>
          <w:spacing w:val="-12"/>
          <w:w w:val="115"/>
        </w:rPr>
        <w:t> </w:t>
      </w:r>
      <w:r>
        <w:rPr>
          <w:w w:val="115"/>
        </w:rPr>
        <w:t>en</w:t>
      </w:r>
      <w:r>
        <w:rPr>
          <w:spacing w:val="-12"/>
          <w:w w:val="115"/>
        </w:rPr>
        <w:t> </w:t>
      </w:r>
      <w:r>
        <w:rPr>
          <w:w w:val="115"/>
        </w:rPr>
        <w:t>mo- </w:t>
      </w:r>
      <w:r>
        <w:rPr>
          <w:w w:val="110"/>
        </w:rPr>
        <w:t>mentos de dificultades económicas los inmigrantes ‘inferiores’ toman </w:t>
      </w:r>
      <w:r>
        <w:rPr>
          <w:w w:val="115"/>
        </w:rPr>
        <w:t>los</w:t>
      </w:r>
      <w:r>
        <w:rPr>
          <w:spacing w:val="-28"/>
          <w:w w:val="115"/>
        </w:rPr>
        <w:t> </w:t>
      </w:r>
      <w:r>
        <w:rPr>
          <w:w w:val="115"/>
        </w:rPr>
        <w:t>trabajos</w:t>
      </w:r>
      <w:r>
        <w:rPr>
          <w:spacing w:val="-28"/>
          <w:w w:val="115"/>
        </w:rPr>
        <w:t> </w:t>
      </w:r>
      <w:r>
        <w:rPr>
          <w:w w:val="115"/>
        </w:rPr>
        <w:t>de</w:t>
      </w:r>
      <w:r>
        <w:rPr>
          <w:spacing w:val="-28"/>
          <w:w w:val="115"/>
        </w:rPr>
        <w:t> </w:t>
      </w:r>
      <w:r>
        <w:rPr>
          <w:w w:val="115"/>
        </w:rPr>
        <w:t>los</w:t>
      </w:r>
      <w:r>
        <w:rPr>
          <w:spacing w:val="-28"/>
          <w:w w:val="115"/>
        </w:rPr>
        <w:t> </w:t>
      </w:r>
      <w:r>
        <w:rPr>
          <w:w w:val="115"/>
        </w:rPr>
        <w:t>estadounidenses</w:t>
      </w:r>
      <w:r>
        <w:rPr>
          <w:spacing w:val="-28"/>
          <w:w w:val="115"/>
        </w:rPr>
        <w:t> </w:t>
      </w:r>
      <w:r>
        <w:rPr>
          <w:w w:val="115"/>
        </w:rPr>
        <w:t>afectando,</w:t>
      </w:r>
      <w:r>
        <w:rPr>
          <w:spacing w:val="-28"/>
          <w:w w:val="115"/>
        </w:rPr>
        <w:t> </w:t>
      </w:r>
      <w:r>
        <w:rPr>
          <w:w w:val="115"/>
        </w:rPr>
        <w:t>por</w:t>
      </w:r>
      <w:r>
        <w:rPr>
          <w:spacing w:val="-28"/>
          <w:w w:val="115"/>
        </w:rPr>
        <w:t> </w:t>
      </w:r>
      <w:r>
        <w:rPr>
          <w:w w:val="115"/>
        </w:rPr>
        <w:t>ende,</w:t>
      </w:r>
      <w:r>
        <w:rPr>
          <w:spacing w:val="-28"/>
          <w:w w:val="115"/>
        </w:rPr>
        <w:t> </w:t>
      </w:r>
      <w:r>
        <w:rPr>
          <w:w w:val="115"/>
        </w:rPr>
        <w:t>sus</w:t>
      </w:r>
      <w:r>
        <w:rPr>
          <w:spacing w:val="-28"/>
          <w:w w:val="115"/>
        </w:rPr>
        <w:t> </w:t>
      </w:r>
      <w:r>
        <w:rPr>
          <w:w w:val="115"/>
        </w:rPr>
        <w:t>condicio- nes</w:t>
      </w:r>
      <w:r>
        <w:rPr>
          <w:spacing w:val="-24"/>
          <w:w w:val="115"/>
        </w:rPr>
        <w:t> </w:t>
      </w:r>
      <w:r>
        <w:rPr>
          <w:w w:val="115"/>
        </w:rPr>
        <w:t>económicas;</w:t>
      </w:r>
      <w:r>
        <w:rPr>
          <w:spacing w:val="-24"/>
          <w:w w:val="115"/>
        </w:rPr>
        <w:t> </w:t>
      </w:r>
      <w:r>
        <w:rPr>
          <w:w w:val="115"/>
        </w:rPr>
        <w:t>los</w:t>
      </w:r>
      <w:r>
        <w:rPr>
          <w:spacing w:val="-24"/>
          <w:w w:val="115"/>
        </w:rPr>
        <w:t> </w:t>
      </w:r>
      <w:r>
        <w:rPr>
          <w:w w:val="115"/>
        </w:rPr>
        <w:t>inmigrantes</w:t>
      </w:r>
      <w:r>
        <w:rPr>
          <w:spacing w:val="-24"/>
          <w:w w:val="115"/>
        </w:rPr>
        <w:t> </w:t>
      </w:r>
      <w:r>
        <w:rPr>
          <w:w w:val="115"/>
        </w:rPr>
        <w:t>crean</w:t>
      </w:r>
      <w:r>
        <w:rPr>
          <w:spacing w:val="-24"/>
          <w:w w:val="115"/>
        </w:rPr>
        <w:t> </w:t>
      </w:r>
      <w:r>
        <w:rPr>
          <w:w w:val="115"/>
        </w:rPr>
        <w:t>serias</w:t>
      </w:r>
      <w:r>
        <w:rPr>
          <w:spacing w:val="-24"/>
          <w:w w:val="115"/>
        </w:rPr>
        <w:t> </w:t>
      </w:r>
      <w:r>
        <w:rPr>
          <w:w w:val="115"/>
        </w:rPr>
        <w:t>crisis</w:t>
      </w:r>
      <w:r>
        <w:rPr>
          <w:spacing w:val="-24"/>
          <w:w w:val="115"/>
        </w:rPr>
        <w:t> </w:t>
      </w:r>
      <w:r>
        <w:rPr>
          <w:w w:val="115"/>
        </w:rPr>
        <w:t>gubernamentales al</w:t>
      </w:r>
      <w:r>
        <w:rPr>
          <w:spacing w:val="-14"/>
          <w:w w:val="115"/>
        </w:rPr>
        <w:t> </w:t>
      </w:r>
      <w:r>
        <w:rPr>
          <w:w w:val="115"/>
        </w:rPr>
        <w:t>corromper</w:t>
      </w:r>
      <w:r>
        <w:rPr>
          <w:spacing w:val="-14"/>
          <w:w w:val="115"/>
        </w:rPr>
        <w:t> </w:t>
      </w:r>
      <w:r>
        <w:rPr>
          <w:w w:val="115"/>
        </w:rPr>
        <w:t>el</w:t>
      </w:r>
      <w:r>
        <w:rPr>
          <w:spacing w:val="-14"/>
          <w:w w:val="115"/>
        </w:rPr>
        <w:t> </w:t>
      </w:r>
      <w:r>
        <w:rPr>
          <w:w w:val="115"/>
        </w:rPr>
        <w:t>sistema</w:t>
      </w:r>
      <w:r>
        <w:rPr>
          <w:spacing w:val="-14"/>
          <w:w w:val="115"/>
        </w:rPr>
        <w:t> </w:t>
      </w:r>
      <w:r>
        <w:rPr>
          <w:w w:val="115"/>
        </w:rPr>
        <w:t>de</w:t>
      </w:r>
      <w:r>
        <w:rPr>
          <w:spacing w:val="-14"/>
          <w:w w:val="115"/>
        </w:rPr>
        <w:t> </w:t>
      </w:r>
      <w:r>
        <w:rPr>
          <w:w w:val="115"/>
        </w:rPr>
        <w:t>votación</w:t>
      </w:r>
      <w:r>
        <w:rPr>
          <w:spacing w:val="-14"/>
          <w:w w:val="115"/>
        </w:rPr>
        <w:t> </w:t>
      </w:r>
      <w:r>
        <w:rPr>
          <w:w w:val="115"/>
        </w:rPr>
        <w:t>y</w:t>
      </w:r>
      <w:r>
        <w:rPr>
          <w:spacing w:val="-14"/>
          <w:w w:val="115"/>
        </w:rPr>
        <w:t> </w:t>
      </w:r>
      <w:r>
        <w:rPr>
          <w:w w:val="115"/>
        </w:rPr>
        <w:t>sobrecargando</w:t>
      </w:r>
      <w:r>
        <w:rPr>
          <w:spacing w:val="-14"/>
          <w:w w:val="115"/>
        </w:rPr>
        <w:t> </w:t>
      </w:r>
      <w:r>
        <w:rPr>
          <w:w w:val="115"/>
        </w:rPr>
        <w:t>a</w:t>
      </w:r>
      <w:r>
        <w:rPr>
          <w:spacing w:val="-14"/>
          <w:w w:val="115"/>
        </w:rPr>
        <w:t> </w:t>
      </w:r>
      <w:r>
        <w:rPr>
          <w:w w:val="115"/>
        </w:rPr>
        <w:t>las</w:t>
      </w:r>
      <w:r>
        <w:rPr>
          <w:spacing w:val="-14"/>
          <w:w w:val="115"/>
        </w:rPr>
        <w:t> </w:t>
      </w:r>
      <w:r>
        <w:rPr>
          <w:w w:val="115"/>
        </w:rPr>
        <w:t>escuelas</w:t>
      </w:r>
      <w:r>
        <w:rPr>
          <w:spacing w:val="-14"/>
          <w:w w:val="115"/>
        </w:rPr>
        <w:t> </w:t>
      </w:r>
      <w:r>
        <w:rPr>
          <w:w w:val="115"/>
        </w:rPr>
        <w:t>y el</w:t>
      </w:r>
      <w:r>
        <w:rPr>
          <w:spacing w:val="-19"/>
          <w:w w:val="115"/>
        </w:rPr>
        <w:t> </w:t>
      </w:r>
      <w:r>
        <w:rPr>
          <w:w w:val="115"/>
        </w:rPr>
        <w:t>Estado</w:t>
      </w:r>
      <w:r>
        <w:rPr>
          <w:spacing w:val="-19"/>
          <w:w w:val="115"/>
        </w:rPr>
        <w:t> </w:t>
      </w:r>
      <w:r>
        <w:rPr>
          <w:w w:val="115"/>
        </w:rPr>
        <w:t>de</w:t>
      </w:r>
      <w:r>
        <w:rPr>
          <w:spacing w:val="-19"/>
          <w:w w:val="115"/>
        </w:rPr>
        <w:t> </w:t>
      </w:r>
      <w:r>
        <w:rPr>
          <w:w w:val="115"/>
        </w:rPr>
        <w:t>bienestar</w:t>
      </w:r>
      <w:r>
        <w:rPr>
          <w:spacing w:val="-19"/>
          <w:w w:val="115"/>
        </w:rPr>
        <w:t> </w:t>
      </w:r>
      <w:r>
        <w:rPr>
          <w:w w:val="115"/>
        </w:rPr>
        <w:t>social.</w:t>
      </w:r>
    </w:p>
    <w:p>
      <w:pPr>
        <w:pStyle w:val="BodyText"/>
        <w:spacing w:line="252" w:lineRule="auto"/>
        <w:ind w:left="100" w:right="328" w:firstLine="396"/>
        <w:jc w:val="both"/>
      </w:pPr>
      <w:r>
        <w:rPr>
          <w:w w:val="110"/>
        </w:rPr>
        <w:t>adicionalmente a las categorías de Feagin, Jesús Velasco (2007) incluye otras tres consideraciones respecto a los inmigrantes en Es- tados unidos: el inmigrante es portador de enfermedades que afec- tan no sólo la salud de los ciudadanos estadounidenses sino también deprimen el gasto destinado a la seguridad social; el inmigrante es vinculado con la generación de problemas ambientales; el inmigrante afecta el esquema de seguridad estadounidense, estando asociado con el terrorismo o, al menos, como facilitador del ingreso de potenciales terroristas a territorio estadounidense.</w:t>
      </w:r>
    </w:p>
    <w:p>
      <w:pPr>
        <w:pStyle w:val="BodyText"/>
        <w:spacing w:before="5"/>
      </w:pPr>
    </w:p>
    <w:p>
      <w:pPr>
        <w:pStyle w:val="Heading6"/>
      </w:pPr>
      <w:r>
        <w:rPr>
          <w:w w:val="140"/>
        </w:rPr>
        <w:t>la identidad</w:t>
      </w:r>
    </w:p>
    <w:p>
      <w:pPr>
        <w:pStyle w:val="BodyText"/>
        <w:spacing w:line="252" w:lineRule="auto" w:before="10"/>
        <w:ind w:left="100" w:right="328"/>
        <w:jc w:val="both"/>
      </w:pPr>
      <w:r>
        <w:rPr>
          <w:w w:val="110"/>
        </w:rPr>
        <w:t>En los debates contemporáneos sobre identidad, el término se ha</w:t>
      </w:r>
      <w:r>
        <w:rPr>
          <w:spacing w:val="-30"/>
          <w:w w:val="110"/>
        </w:rPr>
        <w:t> </w:t>
      </w:r>
      <w:r>
        <w:rPr>
          <w:w w:val="110"/>
        </w:rPr>
        <w:t>rela- cionado con el hecho de “pertenecer” o, por el contrario, ser excluido </w:t>
      </w:r>
      <w:r>
        <w:rPr>
          <w:w w:val="107"/>
        </w:rPr>
        <w:t>de</w:t>
      </w:r>
      <w:r>
        <w:rPr/>
        <w:t> </w:t>
      </w:r>
      <w:r>
        <w:rPr>
          <w:w w:val="112"/>
        </w:rPr>
        <w:t>una</w:t>
      </w:r>
      <w:r>
        <w:rPr/>
        <w:t> </w:t>
      </w:r>
      <w:r>
        <w:rPr>
          <w:w w:val="110"/>
        </w:rPr>
        <w:t>colectividad</w:t>
      </w:r>
      <w:r>
        <w:rPr/>
        <w:t> </w:t>
      </w:r>
      <w:r>
        <w:rPr>
          <w:w w:val="108"/>
        </w:rPr>
        <w:t>en</w:t>
      </w:r>
      <w:r>
        <w:rPr/>
        <w:t> </w:t>
      </w:r>
      <w:r>
        <w:rPr>
          <w:w w:val="111"/>
        </w:rPr>
        <w:t>particula</w:t>
      </w:r>
      <w:r>
        <w:rPr>
          <w:spacing w:val="-22"/>
          <w:w w:val="105"/>
        </w:rPr>
        <w:t>r</w:t>
      </w:r>
      <w:r>
        <w:rPr>
          <w:w w:val="138"/>
        </w:rPr>
        <w:t>.</w:t>
      </w:r>
      <w:r>
        <w:rPr/>
        <w:t> </w:t>
      </w:r>
      <w:r>
        <w:rPr>
          <w:w w:val="243"/>
        </w:rPr>
        <w:t>l</w:t>
      </w:r>
      <w:r>
        <w:rPr>
          <w:w w:val="112"/>
        </w:rPr>
        <w:t>a</w:t>
      </w:r>
      <w:r>
        <w:rPr/>
        <w:t> </w:t>
      </w:r>
      <w:r>
        <w:rPr>
          <w:w w:val="110"/>
        </w:rPr>
        <w:t>identidad</w:t>
      </w:r>
      <w:r>
        <w:rPr/>
        <w:t> </w:t>
      </w:r>
      <w:r>
        <w:rPr>
          <w:w w:val="111"/>
        </w:rPr>
        <w:t>contiene,</w:t>
      </w:r>
      <w:r>
        <w:rPr/>
        <w:t> </w:t>
      </w:r>
      <w:r>
        <w:rPr>
          <w:w w:val="111"/>
        </w:rPr>
        <w:t>pues,</w:t>
      </w:r>
      <w:r>
        <w:rPr/>
        <w:t> </w:t>
      </w:r>
      <w:r>
        <w:rPr>
          <w:w w:val="111"/>
        </w:rPr>
        <w:t>conce</w:t>
      </w:r>
      <w:r>
        <w:rPr>
          <w:spacing w:val="-1"/>
          <w:w w:val="111"/>
        </w:rPr>
        <w:t>p</w:t>
      </w:r>
      <w:r>
        <w:rPr>
          <w:w w:val="102"/>
        </w:rPr>
        <w:t>-</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tos de inclusión y exclusión: para ser “nosotros” se necesita de unos </w:t>
      </w:r>
      <w:r>
        <w:rPr>
          <w:w w:val="111"/>
        </w:rPr>
        <w:t>“otros”.</w:t>
      </w:r>
      <w:r>
        <w:rPr/>
        <w:t> </w:t>
      </w:r>
      <w:r>
        <w:rPr>
          <w:w w:val="243"/>
        </w:rPr>
        <w:t>l</w:t>
      </w:r>
      <w:r>
        <w:rPr>
          <w:w w:val="109"/>
        </w:rPr>
        <w:t>as</w:t>
      </w:r>
      <w:r>
        <w:rPr/>
        <w:t> </w:t>
      </w:r>
      <w:r>
        <w:rPr>
          <w:w w:val="109"/>
        </w:rPr>
        <w:t>identidades</w:t>
      </w:r>
      <w:r>
        <w:rPr/>
        <w:t> </w:t>
      </w:r>
      <w:r>
        <w:rPr>
          <w:w w:val="109"/>
        </w:rPr>
        <w:t>colectivas</w:t>
      </w:r>
      <w:r>
        <w:rPr/>
        <w:t> </w:t>
      </w:r>
      <w:r>
        <w:rPr>
          <w:w w:val="108"/>
        </w:rPr>
        <w:t>están</w:t>
      </w:r>
      <w:r>
        <w:rPr/>
        <w:t> </w:t>
      </w:r>
      <w:r>
        <w:rPr>
          <w:w w:val="110"/>
        </w:rPr>
        <w:t>formadas</w:t>
      </w:r>
      <w:r>
        <w:rPr/>
        <w:t> </w:t>
      </w:r>
      <w:r>
        <w:rPr>
          <w:w w:val="108"/>
        </w:rPr>
        <w:t>por</w:t>
      </w:r>
      <w:r>
        <w:rPr/>
        <w:t> </w:t>
      </w:r>
      <w:r>
        <w:rPr>
          <w:w w:val="112"/>
        </w:rPr>
        <w:t>un</w:t>
      </w:r>
      <w:r>
        <w:rPr/>
        <w:t> </w:t>
      </w:r>
      <w:r>
        <w:rPr>
          <w:w w:val="109"/>
        </w:rPr>
        <w:t>determina</w:t>
      </w:r>
      <w:r>
        <w:rPr>
          <w:w w:val="102"/>
        </w:rPr>
        <w:t>- </w:t>
      </w:r>
      <w:r>
        <w:rPr>
          <w:w w:val="110"/>
        </w:rPr>
        <w:t>do grupo que se reconoce a sí mismo con un pasado común, es decir, una memoria colectiva. Esta memoria colectiva va acompañada de nociones, ideas y recuerdos sobre las identidades de otras naciones, por lo que los debates sobre las diferencias culturales caen fácilmente en el nacionalismo y la tramposa afirmación de la superioridad de un grupo sobre otro. Por su parte, la cultura puede ser definida desde diferentes perspectivas, una de las cuales es muy simple: es aquello que es comparable con un “kit de herramientas” en el que distintos símbolos, historias, rituales y formas de ver el mundo ayudan a los individuos a resolver problemas concretos (Joppke, 2000: 145-158).</w:t>
      </w:r>
    </w:p>
    <w:p>
      <w:pPr>
        <w:pStyle w:val="BodyText"/>
        <w:spacing w:line="252" w:lineRule="auto"/>
        <w:ind w:left="330" w:right="117" w:firstLine="396"/>
        <w:jc w:val="right"/>
      </w:pPr>
      <w:r>
        <w:rPr>
          <w:w w:val="110"/>
        </w:rPr>
        <w:t>En</w:t>
      </w:r>
      <w:r>
        <w:rPr>
          <w:spacing w:val="28"/>
          <w:w w:val="110"/>
        </w:rPr>
        <w:t> </w:t>
      </w:r>
      <w:r>
        <w:rPr>
          <w:w w:val="110"/>
        </w:rPr>
        <w:t>una</w:t>
      </w:r>
      <w:r>
        <w:rPr>
          <w:spacing w:val="28"/>
          <w:w w:val="110"/>
        </w:rPr>
        <w:t> </w:t>
      </w:r>
      <w:r>
        <w:rPr>
          <w:w w:val="110"/>
        </w:rPr>
        <w:t>sociedad</w:t>
      </w:r>
      <w:r>
        <w:rPr>
          <w:spacing w:val="28"/>
          <w:w w:val="110"/>
        </w:rPr>
        <w:t> </w:t>
      </w:r>
      <w:r>
        <w:rPr>
          <w:w w:val="110"/>
        </w:rPr>
        <w:t>en</w:t>
      </w:r>
      <w:r>
        <w:rPr>
          <w:spacing w:val="28"/>
          <w:w w:val="110"/>
        </w:rPr>
        <w:t> </w:t>
      </w:r>
      <w:r>
        <w:rPr>
          <w:w w:val="110"/>
        </w:rPr>
        <w:t>donde</w:t>
      </w:r>
      <w:r>
        <w:rPr>
          <w:spacing w:val="28"/>
          <w:w w:val="110"/>
        </w:rPr>
        <w:t> </w:t>
      </w:r>
      <w:r>
        <w:rPr>
          <w:w w:val="110"/>
        </w:rPr>
        <w:t>existe</w:t>
      </w:r>
      <w:r>
        <w:rPr>
          <w:spacing w:val="28"/>
          <w:w w:val="110"/>
        </w:rPr>
        <w:t> </w:t>
      </w:r>
      <w:r>
        <w:rPr>
          <w:w w:val="110"/>
        </w:rPr>
        <w:t>una</w:t>
      </w:r>
      <w:r>
        <w:rPr>
          <w:spacing w:val="28"/>
          <w:w w:val="110"/>
        </w:rPr>
        <w:t> </w:t>
      </w:r>
      <w:r>
        <w:rPr>
          <w:w w:val="110"/>
        </w:rPr>
        <w:t>gran</w:t>
      </w:r>
      <w:r>
        <w:rPr>
          <w:spacing w:val="28"/>
          <w:w w:val="110"/>
        </w:rPr>
        <w:t> </w:t>
      </w:r>
      <w:r>
        <w:rPr>
          <w:w w:val="110"/>
        </w:rPr>
        <w:t>diversidad</w:t>
      </w:r>
      <w:r>
        <w:rPr>
          <w:spacing w:val="28"/>
          <w:w w:val="110"/>
        </w:rPr>
        <w:t> </w:t>
      </w:r>
      <w:r>
        <w:rPr>
          <w:w w:val="110"/>
        </w:rPr>
        <w:t>de</w:t>
      </w:r>
      <w:r>
        <w:rPr>
          <w:spacing w:val="28"/>
          <w:w w:val="110"/>
        </w:rPr>
        <w:t> </w:t>
      </w:r>
      <w:r>
        <w:rPr>
          <w:w w:val="110"/>
        </w:rPr>
        <w:t>razas,</w:t>
      </w:r>
      <w:r>
        <w:rPr>
          <w:w w:val="112"/>
        </w:rPr>
        <w:t> </w:t>
      </w:r>
      <w:r>
        <w:rPr>
          <w:w w:val="110"/>
        </w:rPr>
        <w:t>etnias,</w:t>
      </w:r>
      <w:r>
        <w:rPr>
          <w:spacing w:val="34"/>
          <w:w w:val="110"/>
        </w:rPr>
        <w:t> </w:t>
      </w:r>
      <w:r>
        <w:rPr>
          <w:w w:val="110"/>
        </w:rPr>
        <w:t>culturas</w:t>
      </w:r>
      <w:r>
        <w:rPr>
          <w:spacing w:val="34"/>
          <w:w w:val="110"/>
        </w:rPr>
        <w:t> </w:t>
      </w:r>
      <w:r>
        <w:rPr>
          <w:w w:val="110"/>
        </w:rPr>
        <w:t>procedentes</w:t>
      </w:r>
      <w:r>
        <w:rPr>
          <w:spacing w:val="34"/>
          <w:w w:val="110"/>
        </w:rPr>
        <w:t> </w:t>
      </w:r>
      <w:r>
        <w:rPr>
          <w:w w:val="110"/>
        </w:rPr>
        <w:t>de</w:t>
      </w:r>
      <w:r>
        <w:rPr>
          <w:spacing w:val="34"/>
          <w:w w:val="110"/>
        </w:rPr>
        <w:t> </w:t>
      </w:r>
      <w:r>
        <w:rPr>
          <w:w w:val="110"/>
        </w:rPr>
        <w:t>diversas</w:t>
      </w:r>
      <w:r>
        <w:rPr>
          <w:spacing w:val="34"/>
          <w:w w:val="110"/>
        </w:rPr>
        <w:t> </w:t>
      </w:r>
      <w:r>
        <w:rPr>
          <w:w w:val="110"/>
        </w:rPr>
        <w:t>regiones</w:t>
      </w:r>
      <w:r>
        <w:rPr>
          <w:spacing w:val="34"/>
          <w:w w:val="110"/>
        </w:rPr>
        <w:t> </w:t>
      </w:r>
      <w:r>
        <w:rPr>
          <w:w w:val="110"/>
        </w:rPr>
        <w:t>del</w:t>
      </w:r>
      <w:r>
        <w:rPr>
          <w:spacing w:val="34"/>
          <w:w w:val="110"/>
        </w:rPr>
        <w:t> </w:t>
      </w:r>
      <w:r>
        <w:rPr>
          <w:w w:val="110"/>
        </w:rPr>
        <w:t>mundo,</w:t>
      </w:r>
      <w:r>
        <w:rPr>
          <w:spacing w:val="34"/>
          <w:w w:val="110"/>
        </w:rPr>
        <w:t> </w:t>
      </w:r>
      <w:r>
        <w:rPr>
          <w:w w:val="110"/>
        </w:rPr>
        <w:t>como</w:t>
      </w:r>
      <w:r>
        <w:rPr>
          <w:w w:val="112"/>
        </w:rPr>
        <w:t> </w:t>
      </w:r>
      <w:r>
        <w:rPr>
          <w:w w:val="110"/>
        </w:rPr>
        <w:t>la</w:t>
      </w:r>
      <w:r>
        <w:rPr>
          <w:spacing w:val="26"/>
          <w:w w:val="110"/>
        </w:rPr>
        <w:t> </w:t>
      </w:r>
      <w:r>
        <w:rPr>
          <w:w w:val="110"/>
        </w:rPr>
        <w:t>norteamericana,</w:t>
      </w:r>
      <w:r>
        <w:rPr>
          <w:spacing w:val="26"/>
          <w:w w:val="110"/>
        </w:rPr>
        <w:t> </w:t>
      </w:r>
      <w:r>
        <w:rPr>
          <w:w w:val="110"/>
        </w:rPr>
        <w:t>resulta</w:t>
      </w:r>
      <w:r>
        <w:rPr>
          <w:spacing w:val="26"/>
          <w:w w:val="110"/>
        </w:rPr>
        <w:t> </w:t>
      </w:r>
      <w:r>
        <w:rPr>
          <w:w w:val="110"/>
        </w:rPr>
        <w:t>inevitable</w:t>
      </w:r>
      <w:r>
        <w:rPr>
          <w:spacing w:val="26"/>
          <w:w w:val="110"/>
        </w:rPr>
        <w:t> </w:t>
      </w:r>
      <w:r>
        <w:rPr>
          <w:w w:val="110"/>
        </w:rPr>
        <w:t>la</w:t>
      </w:r>
      <w:r>
        <w:rPr>
          <w:spacing w:val="26"/>
          <w:w w:val="110"/>
        </w:rPr>
        <w:t> </w:t>
      </w:r>
      <w:r>
        <w:rPr>
          <w:w w:val="110"/>
        </w:rPr>
        <w:t>interacción</w:t>
      </w:r>
      <w:r>
        <w:rPr>
          <w:spacing w:val="26"/>
          <w:w w:val="110"/>
        </w:rPr>
        <w:t> </w:t>
      </w:r>
      <w:r>
        <w:rPr>
          <w:w w:val="110"/>
        </w:rPr>
        <w:t>entre</w:t>
      </w:r>
      <w:r>
        <w:rPr>
          <w:spacing w:val="26"/>
          <w:w w:val="110"/>
        </w:rPr>
        <w:t> </w:t>
      </w:r>
      <w:r>
        <w:rPr>
          <w:w w:val="110"/>
        </w:rPr>
        <w:t>éstas.</w:t>
      </w:r>
      <w:r>
        <w:rPr>
          <w:spacing w:val="26"/>
          <w:w w:val="110"/>
        </w:rPr>
        <w:t> </w:t>
      </w:r>
      <w:r>
        <w:rPr>
          <w:w w:val="110"/>
        </w:rPr>
        <w:t>Y</w:t>
      </w:r>
      <w:r>
        <w:rPr>
          <w:spacing w:val="26"/>
          <w:w w:val="110"/>
        </w:rPr>
        <w:t> </w:t>
      </w:r>
      <w:r>
        <w:rPr>
          <w:w w:val="110"/>
        </w:rPr>
        <w:t>es</w:t>
      </w:r>
      <w:r>
        <w:rPr>
          <w:w w:val="105"/>
        </w:rPr>
        <w:t> </w:t>
      </w:r>
      <w:r>
        <w:rPr>
          <w:w w:val="110"/>
        </w:rPr>
        <w:t>precisamente</w:t>
      </w:r>
      <w:r>
        <w:rPr>
          <w:spacing w:val="26"/>
          <w:w w:val="110"/>
        </w:rPr>
        <w:t> </w:t>
      </w:r>
      <w:r>
        <w:rPr>
          <w:w w:val="110"/>
        </w:rPr>
        <w:t>a</w:t>
      </w:r>
      <w:r>
        <w:rPr>
          <w:spacing w:val="26"/>
          <w:w w:val="110"/>
        </w:rPr>
        <w:t> </w:t>
      </w:r>
      <w:r>
        <w:rPr>
          <w:w w:val="110"/>
        </w:rPr>
        <w:t>través</w:t>
      </w:r>
      <w:r>
        <w:rPr>
          <w:spacing w:val="26"/>
          <w:w w:val="110"/>
        </w:rPr>
        <w:t> </w:t>
      </w:r>
      <w:r>
        <w:rPr>
          <w:w w:val="110"/>
        </w:rPr>
        <w:t>de</w:t>
      </w:r>
      <w:r>
        <w:rPr>
          <w:spacing w:val="26"/>
          <w:w w:val="110"/>
        </w:rPr>
        <w:t> </w:t>
      </w:r>
      <w:r>
        <w:rPr>
          <w:w w:val="110"/>
        </w:rPr>
        <w:t>este</w:t>
      </w:r>
      <w:r>
        <w:rPr>
          <w:spacing w:val="26"/>
          <w:w w:val="110"/>
        </w:rPr>
        <w:t> </w:t>
      </w:r>
      <w:r>
        <w:rPr>
          <w:w w:val="110"/>
        </w:rPr>
        <w:t>intercambio</w:t>
      </w:r>
      <w:r>
        <w:rPr>
          <w:spacing w:val="26"/>
          <w:w w:val="110"/>
        </w:rPr>
        <w:t> </w:t>
      </w:r>
      <w:r>
        <w:rPr>
          <w:w w:val="110"/>
        </w:rPr>
        <w:t>que</w:t>
      </w:r>
      <w:r>
        <w:rPr>
          <w:spacing w:val="26"/>
          <w:w w:val="110"/>
        </w:rPr>
        <w:t> </w:t>
      </w:r>
      <w:r>
        <w:rPr>
          <w:w w:val="110"/>
        </w:rPr>
        <w:t>se</w:t>
      </w:r>
      <w:r>
        <w:rPr>
          <w:spacing w:val="26"/>
          <w:w w:val="110"/>
        </w:rPr>
        <w:t> </w:t>
      </w:r>
      <w:r>
        <w:rPr>
          <w:w w:val="110"/>
        </w:rPr>
        <w:t>establecen</w:t>
      </w:r>
      <w:r>
        <w:rPr>
          <w:spacing w:val="26"/>
          <w:w w:val="110"/>
        </w:rPr>
        <w:t> </w:t>
      </w:r>
      <w:r>
        <w:rPr>
          <w:w w:val="110"/>
        </w:rPr>
        <w:t>las</w:t>
      </w:r>
      <w:r>
        <w:rPr>
          <w:spacing w:val="26"/>
          <w:w w:val="110"/>
        </w:rPr>
        <w:t> </w:t>
      </w:r>
      <w:r>
        <w:rPr>
          <w:w w:val="110"/>
        </w:rPr>
        <w:t>di-</w:t>
      </w:r>
      <w:r>
        <w:rPr>
          <w:w w:val="102"/>
        </w:rPr>
        <w:t> </w:t>
      </w:r>
      <w:r>
        <w:rPr>
          <w:w w:val="110"/>
        </w:rPr>
        <w:t>ferenciaciones entre los que interactúan, y surge la concepción</w:t>
      </w:r>
      <w:r>
        <w:rPr>
          <w:spacing w:val="21"/>
          <w:w w:val="110"/>
        </w:rPr>
        <w:t> </w:t>
      </w:r>
      <w:r>
        <w:rPr>
          <w:w w:val="110"/>
        </w:rPr>
        <w:t>de</w:t>
      </w:r>
      <w:r>
        <w:rPr>
          <w:spacing w:val="17"/>
          <w:w w:val="110"/>
        </w:rPr>
        <w:t> </w:t>
      </w:r>
      <w:r>
        <w:rPr>
          <w:w w:val="110"/>
        </w:rPr>
        <w:t>lo</w:t>
      </w:r>
      <w:r>
        <w:rPr>
          <w:w w:val="110"/>
        </w:rPr>
        <w:t> </w:t>
      </w:r>
      <w:r>
        <w:rPr>
          <w:w w:val="110"/>
        </w:rPr>
        <w:t>otro, lo diferente, es decir las razas y las etnias (Zuluaga</w:t>
      </w:r>
      <w:r>
        <w:rPr>
          <w:spacing w:val="10"/>
          <w:w w:val="110"/>
        </w:rPr>
        <w:t> </w:t>
      </w:r>
      <w:r>
        <w:rPr>
          <w:w w:val="110"/>
        </w:rPr>
        <w:t>Nieto,</w:t>
      </w:r>
      <w:r>
        <w:rPr>
          <w:spacing w:val="5"/>
          <w:w w:val="110"/>
        </w:rPr>
        <w:t> </w:t>
      </w:r>
      <w:r>
        <w:rPr>
          <w:w w:val="110"/>
        </w:rPr>
        <w:t>2010).</w:t>
      </w:r>
      <w:r>
        <w:rPr>
          <w:w w:val="104"/>
        </w:rPr>
        <w:t> </w:t>
      </w:r>
      <w:r>
        <w:rPr>
          <w:w w:val="110"/>
        </w:rPr>
        <w:t>Es difícil llegar a un consenso acerca del significado</w:t>
      </w:r>
      <w:r>
        <w:rPr>
          <w:spacing w:val="-4"/>
          <w:w w:val="110"/>
        </w:rPr>
        <w:t> </w:t>
      </w:r>
      <w:r>
        <w:rPr>
          <w:w w:val="110"/>
        </w:rPr>
        <w:t>de</w:t>
      </w:r>
      <w:r>
        <w:rPr>
          <w:spacing w:val="40"/>
          <w:w w:val="110"/>
        </w:rPr>
        <w:t> </w:t>
      </w:r>
      <w:r>
        <w:rPr>
          <w:w w:val="110"/>
        </w:rPr>
        <w:t>multi-</w:t>
      </w:r>
      <w:r>
        <w:rPr>
          <w:w w:val="102"/>
        </w:rPr>
        <w:t> </w:t>
      </w:r>
      <w:r>
        <w:rPr>
          <w:w w:val="110"/>
        </w:rPr>
        <w:t>culturalismo. En general es un concepto flexible incluso</w:t>
      </w:r>
      <w:r>
        <w:rPr>
          <w:spacing w:val="23"/>
          <w:w w:val="110"/>
        </w:rPr>
        <w:t> </w:t>
      </w:r>
      <w:r>
        <w:rPr>
          <w:w w:val="110"/>
        </w:rPr>
        <w:t>dentro</w:t>
      </w:r>
      <w:r>
        <w:rPr>
          <w:spacing w:val="43"/>
          <w:w w:val="110"/>
        </w:rPr>
        <w:t> </w:t>
      </w:r>
      <w:r>
        <w:rPr>
          <w:w w:val="110"/>
        </w:rPr>
        <w:t>de</w:t>
      </w:r>
      <w:r>
        <w:rPr>
          <w:w w:val="107"/>
        </w:rPr>
        <w:t> </w:t>
      </w:r>
      <w:r>
        <w:rPr>
          <w:w w:val="110"/>
        </w:rPr>
        <w:t>una</w:t>
      </w:r>
      <w:r>
        <w:rPr>
          <w:spacing w:val="30"/>
          <w:w w:val="110"/>
        </w:rPr>
        <w:t> </w:t>
      </w:r>
      <w:r>
        <w:rPr>
          <w:w w:val="110"/>
        </w:rPr>
        <w:t>sociedad</w:t>
      </w:r>
      <w:r>
        <w:rPr>
          <w:spacing w:val="30"/>
          <w:w w:val="110"/>
        </w:rPr>
        <w:t> </w:t>
      </w:r>
      <w:r>
        <w:rPr>
          <w:w w:val="110"/>
        </w:rPr>
        <w:t>específica.</w:t>
      </w:r>
      <w:r>
        <w:rPr>
          <w:spacing w:val="30"/>
          <w:w w:val="110"/>
        </w:rPr>
        <w:t> </w:t>
      </w:r>
      <w:r>
        <w:rPr>
          <w:w w:val="110"/>
        </w:rPr>
        <w:t>Pero,</w:t>
      </w:r>
      <w:r>
        <w:rPr>
          <w:spacing w:val="30"/>
          <w:w w:val="110"/>
        </w:rPr>
        <w:t> </w:t>
      </w:r>
      <w:r>
        <w:rPr>
          <w:i/>
          <w:w w:val="110"/>
        </w:rPr>
        <w:t>grosso</w:t>
      </w:r>
      <w:r>
        <w:rPr>
          <w:i/>
          <w:spacing w:val="30"/>
          <w:w w:val="110"/>
        </w:rPr>
        <w:t> </w:t>
      </w:r>
      <w:r>
        <w:rPr>
          <w:i/>
          <w:w w:val="110"/>
        </w:rPr>
        <w:t>modo</w:t>
      </w:r>
      <w:r>
        <w:rPr>
          <w:w w:val="110"/>
        </w:rPr>
        <w:t>,</w:t>
      </w:r>
      <w:r>
        <w:rPr>
          <w:spacing w:val="30"/>
          <w:w w:val="110"/>
        </w:rPr>
        <w:t> </w:t>
      </w:r>
      <w:r>
        <w:rPr>
          <w:w w:val="110"/>
        </w:rPr>
        <w:t>esta</w:t>
      </w:r>
      <w:r>
        <w:rPr>
          <w:spacing w:val="30"/>
          <w:w w:val="110"/>
        </w:rPr>
        <w:t> </w:t>
      </w:r>
      <w:r>
        <w:rPr>
          <w:w w:val="110"/>
        </w:rPr>
        <w:t>noción</w:t>
      </w:r>
      <w:r>
        <w:rPr>
          <w:spacing w:val="30"/>
          <w:w w:val="110"/>
        </w:rPr>
        <w:t> </w:t>
      </w:r>
      <w:r>
        <w:rPr>
          <w:w w:val="110"/>
        </w:rPr>
        <w:t>se</w:t>
      </w:r>
      <w:r>
        <w:rPr>
          <w:spacing w:val="30"/>
          <w:w w:val="110"/>
        </w:rPr>
        <w:t> </w:t>
      </w:r>
      <w:r>
        <w:rPr>
          <w:w w:val="110"/>
        </w:rPr>
        <w:t>refiere</w:t>
      </w:r>
      <w:r>
        <w:rPr>
          <w:spacing w:val="30"/>
          <w:w w:val="110"/>
        </w:rPr>
        <w:t> </w:t>
      </w:r>
      <w:r>
        <w:rPr>
          <w:w w:val="110"/>
        </w:rPr>
        <w:t>a</w:t>
      </w:r>
      <w:r>
        <w:rPr>
          <w:w w:val="112"/>
        </w:rPr>
        <w:t> </w:t>
      </w:r>
      <w:r>
        <w:rPr>
          <w:w w:val="110"/>
        </w:rPr>
        <w:t>un amplio rango de formas de interacción en sociedades</w:t>
      </w:r>
      <w:r>
        <w:rPr>
          <w:spacing w:val="24"/>
          <w:w w:val="110"/>
        </w:rPr>
        <w:t> </w:t>
      </w:r>
      <w:r>
        <w:rPr>
          <w:w w:val="110"/>
        </w:rPr>
        <w:t>que</w:t>
      </w:r>
      <w:r>
        <w:rPr>
          <w:spacing w:val="18"/>
          <w:w w:val="110"/>
        </w:rPr>
        <w:t> </w:t>
      </w:r>
      <w:r>
        <w:rPr>
          <w:w w:val="110"/>
        </w:rPr>
        <w:t>contie-</w:t>
      </w:r>
      <w:r>
        <w:rPr>
          <w:w w:val="102"/>
        </w:rPr>
        <w:t> </w:t>
      </w:r>
      <w:r>
        <w:rPr>
          <w:w w:val="110"/>
        </w:rPr>
        <w:t>nen</w:t>
      </w:r>
      <w:r>
        <w:rPr>
          <w:spacing w:val="35"/>
          <w:w w:val="110"/>
        </w:rPr>
        <w:t> </w:t>
      </w:r>
      <w:r>
        <w:rPr>
          <w:w w:val="110"/>
        </w:rPr>
        <w:t>una</w:t>
      </w:r>
      <w:r>
        <w:rPr>
          <w:spacing w:val="35"/>
          <w:w w:val="110"/>
        </w:rPr>
        <w:t> </w:t>
      </w:r>
      <w:r>
        <w:rPr>
          <w:w w:val="110"/>
        </w:rPr>
        <w:t>variedad</w:t>
      </w:r>
      <w:r>
        <w:rPr>
          <w:spacing w:val="35"/>
          <w:w w:val="110"/>
        </w:rPr>
        <w:t> </w:t>
      </w:r>
      <w:r>
        <w:rPr>
          <w:w w:val="110"/>
        </w:rPr>
        <w:t>de</w:t>
      </w:r>
      <w:r>
        <w:rPr>
          <w:spacing w:val="35"/>
          <w:w w:val="110"/>
        </w:rPr>
        <w:t> </w:t>
      </w:r>
      <w:r>
        <w:rPr>
          <w:w w:val="110"/>
        </w:rPr>
        <w:t>culturas.</w:t>
      </w:r>
      <w:r>
        <w:rPr>
          <w:spacing w:val="35"/>
          <w:w w:val="110"/>
        </w:rPr>
        <w:t> </w:t>
      </w:r>
      <w:r>
        <w:rPr>
          <w:w w:val="110"/>
        </w:rPr>
        <w:t>Habitualmente,</w:t>
      </w:r>
      <w:r>
        <w:rPr>
          <w:spacing w:val="35"/>
          <w:w w:val="110"/>
        </w:rPr>
        <w:t> </w:t>
      </w:r>
      <w:r>
        <w:rPr>
          <w:w w:val="110"/>
        </w:rPr>
        <w:t>el</w:t>
      </w:r>
      <w:r>
        <w:rPr>
          <w:spacing w:val="35"/>
          <w:w w:val="110"/>
        </w:rPr>
        <w:t> </w:t>
      </w:r>
      <w:r>
        <w:rPr>
          <w:w w:val="110"/>
        </w:rPr>
        <w:t>término</w:t>
      </w:r>
      <w:r>
        <w:rPr>
          <w:spacing w:val="35"/>
          <w:w w:val="110"/>
        </w:rPr>
        <w:t> </w:t>
      </w:r>
      <w:r>
        <w:rPr>
          <w:w w:val="110"/>
        </w:rPr>
        <w:t>se</w:t>
      </w:r>
      <w:r>
        <w:rPr>
          <w:spacing w:val="35"/>
          <w:w w:val="110"/>
        </w:rPr>
        <w:t> </w:t>
      </w:r>
      <w:r>
        <w:rPr>
          <w:w w:val="110"/>
        </w:rPr>
        <w:t>usa</w:t>
      </w:r>
      <w:r>
        <w:rPr>
          <w:spacing w:val="35"/>
          <w:w w:val="110"/>
        </w:rPr>
        <w:t> </w:t>
      </w:r>
      <w:r>
        <w:rPr>
          <w:w w:val="110"/>
        </w:rPr>
        <w:t>en</w:t>
      </w:r>
      <w:r>
        <w:rPr>
          <w:w w:val="108"/>
        </w:rPr>
        <w:t> </w:t>
      </w:r>
      <w:r>
        <w:rPr>
          <w:w w:val="110"/>
        </w:rPr>
        <w:t>contextos de movilizaciones que utilizan símbolos raciales y</w:t>
      </w:r>
      <w:r>
        <w:rPr>
          <w:spacing w:val="26"/>
          <w:w w:val="110"/>
        </w:rPr>
        <w:t> </w:t>
      </w:r>
      <w:r>
        <w:rPr>
          <w:w w:val="110"/>
        </w:rPr>
        <w:t>étnicos</w:t>
      </w:r>
      <w:r>
        <w:rPr>
          <w:w w:val="109"/>
        </w:rPr>
        <w:t> </w:t>
      </w:r>
      <w:r>
        <w:rPr>
          <w:w w:val="110"/>
        </w:rPr>
        <w:t>para demandar derechos culturales y sociales, así como el</w:t>
      </w:r>
      <w:r>
        <w:rPr>
          <w:spacing w:val="21"/>
          <w:w w:val="110"/>
        </w:rPr>
        <w:t> </w:t>
      </w:r>
      <w:r>
        <w:rPr>
          <w:w w:val="110"/>
        </w:rPr>
        <w:t>derecho</w:t>
      </w:r>
      <w:r>
        <w:rPr>
          <w:spacing w:val="17"/>
          <w:w w:val="110"/>
        </w:rPr>
        <w:t> </w:t>
      </w:r>
      <w:r>
        <w:rPr>
          <w:w w:val="110"/>
        </w:rPr>
        <w:t>a</w:t>
      </w:r>
      <w:r>
        <w:rPr>
          <w:w w:val="112"/>
        </w:rPr>
        <w:t> </w:t>
      </w:r>
      <w:r>
        <w:rPr>
          <w:w w:val="110"/>
        </w:rPr>
        <w:t>la representación política. El multiculturalismo debe ser</w:t>
      </w:r>
      <w:r>
        <w:rPr>
          <w:spacing w:val="16"/>
          <w:w w:val="110"/>
        </w:rPr>
        <w:t> </w:t>
      </w:r>
      <w:r>
        <w:rPr>
          <w:w w:val="110"/>
        </w:rPr>
        <w:t>visto</w:t>
      </w:r>
      <w:r>
        <w:rPr>
          <w:spacing w:val="28"/>
          <w:w w:val="110"/>
        </w:rPr>
        <w:t> </w:t>
      </w:r>
      <w:r>
        <w:rPr>
          <w:w w:val="110"/>
        </w:rPr>
        <w:t>como</w:t>
      </w:r>
      <w:r>
        <w:rPr>
          <w:w w:val="112"/>
        </w:rPr>
        <w:t> </w:t>
      </w:r>
      <w:r>
        <w:rPr>
          <w:w w:val="110"/>
        </w:rPr>
        <w:t>parte de la lucha de las minorías que gozan de una</w:t>
      </w:r>
      <w:r>
        <w:rPr>
          <w:spacing w:val="40"/>
          <w:w w:val="110"/>
        </w:rPr>
        <w:t> </w:t>
      </w:r>
      <w:r>
        <w:rPr>
          <w:w w:val="110"/>
        </w:rPr>
        <w:t>“inclusión</w:t>
      </w:r>
      <w:r>
        <w:rPr>
          <w:spacing w:val="3"/>
          <w:w w:val="110"/>
        </w:rPr>
        <w:t> </w:t>
      </w:r>
      <w:r>
        <w:rPr>
          <w:w w:val="110"/>
        </w:rPr>
        <w:t>igualita-</w:t>
      </w:r>
      <w:r>
        <w:rPr>
          <w:w w:val="102"/>
        </w:rPr>
        <w:t> </w:t>
      </w:r>
      <w:r>
        <w:rPr>
          <w:w w:val="110"/>
        </w:rPr>
        <w:t>ria”, y es al mismo tiempo la afirmación de las diferencias</w:t>
      </w:r>
      <w:r>
        <w:rPr>
          <w:spacing w:val="45"/>
          <w:w w:val="110"/>
        </w:rPr>
        <w:t> </w:t>
      </w:r>
      <w:r>
        <w:rPr>
          <w:w w:val="110"/>
        </w:rPr>
        <w:t>culturales</w:t>
      </w:r>
      <w:r>
        <w:rPr>
          <w:spacing w:val="4"/>
          <w:w w:val="110"/>
        </w:rPr>
        <w:t> </w:t>
      </w:r>
      <w:r>
        <w:rPr>
          <w:w w:val="110"/>
        </w:rPr>
        <w:t>a</w:t>
      </w:r>
      <w:r>
        <w:rPr>
          <w:w w:val="112"/>
        </w:rPr>
        <w:t> </w:t>
      </w:r>
      <w:r>
        <w:rPr>
          <w:w w:val="110"/>
        </w:rPr>
        <w:t>partir</w:t>
      </w:r>
      <w:r>
        <w:rPr>
          <w:spacing w:val="16"/>
          <w:w w:val="110"/>
        </w:rPr>
        <w:t> </w:t>
      </w:r>
      <w:r>
        <w:rPr>
          <w:w w:val="110"/>
        </w:rPr>
        <w:t>de</w:t>
      </w:r>
      <w:r>
        <w:rPr>
          <w:spacing w:val="16"/>
          <w:w w:val="110"/>
        </w:rPr>
        <w:t> </w:t>
      </w:r>
      <w:r>
        <w:rPr>
          <w:w w:val="110"/>
        </w:rPr>
        <w:t>las</w:t>
      </w:r>
      <w:r>
        <w:rPr>
          <w:spacing w:val="16"/>
          <w:w w:val="110"/>
        </w:rPr>
        <w:t> </w:t>
      </w:r>
      <w:r>
        <w:rPr>
          <w:w w:val="110"/>
        </w:rPr>
        <w:t>demandas</w:t>
      </w:r>
      <w:r>
        <w:rPr>
          <w:spacing w:val="16"/>
          <w:w w:val="110"/>
        </w:rPr>
        <w:t> </w:t>
      </w:r>
      <w:r>
        <w:rPr>
          <w:w w:val="110"/>
        </w:rPr>
        <w:t>de</w:t>
      </w:r>
      <w:r>
        <w:rPr>
          <w:spacing w:val="16"/>
          <w:w w:val="110"/>
        </w:rPr>
        <w:t> </w:t>
      </w:r>
      <w:r>
        <w:rPr>
          <w:w w:val="110"/>
        </w:rPr>
        <w:t>autenticidad</w:t>
      </w:r>
      <w:r>
        <w:rPr>
          <w:spacing w:val="16"/>
          <w:w w:val="110"/>
        </w:rPr>
        <w:t> </w:t>
      </w:r>
      <w:r>
        <w:rPr>
          <w:w w:val="110"/>
        </w:rPr>
        <w:t>étnica</w:t>
      </w:r>
      <w:r>
        <w:rPr>
          <w:spacing w:val="16"/>
          <w:w w:val="110"/>
        </w:rPr>
        <w:t> </w:t>
      </w:r>
      <w:r>
        <w:rPr>
          <w:w w:val="110"/>
        </w:rPr>
        <w:t>o</w:t>
      </w:r>
      <w:r>
        <w:rPr>
          <w:spacing w:val="16"/>
          <w:w w:val="110"/>
        </w:rPr>
        <w:t> </w:t>
      </w:r>
      <w:r>
        <w:rPr>
          <w:w w:val="110"/>
        </w:rPr>
        <w:t>racial.</w:t>
      </w:r>
      <w:r>
        <w:rPr>
          <w:spacing w:val="16"/>
          <w:w w:val="110"/>
        </w:rPr>
        <w:t> </w:t>
      </w:r>
      <w:r>
        <w:rPr>
          <w:w w:val="110"/>
        </w:rPr>
        <w:t>En</w:t>
      </w:r>
      <w:r>
        <w:rPr>
          <w:spacing w:val="16"/>
          <w:w w:val="110"/>
        </w:rPr>
        <w:t> </w:t>
      </w:r>
      <w:r>
        <w:rPr>
          <w:w w:val="110"/>
        </w:rPr>
        <w:t>este</w:t>
      </w:r>
      <w:r>
        <w:rPr>
          <w:spacing w:val="16"/>
          <w:w w:val="110"/>
        </w:rPr>
        <w:t> </w:t>
      </w:r>
      <w:r>
        <w:rPr>
          <w:w w:val="110"/>
        </w:rPr>
        <w:t>senti-</w:t>
      </w:r>
      <w:r>
        <w:rPr>
          <w:w w:val="102"/>
        </w:rPr>
        <w:t> </w:t>
      </w:r>
      <w:r>
        <w:rPr>
          <w:w w:val="110"/>
        </w:rPr>
        <w:t>do, para Joppke el multiculturalismo estadounidense es</w:t>
      </w:r>
      <w:r>
        <w:rPr>
          <w:spacing w:val="-5"/>
          <w:w w:val="110"/>
        </w:rPr>
        <w:t> </w:t>
      </w:r>
      <w:r>
        <w:rPr>
          <w:w w:val="110"/>
        </w:rPr>
        <w:t>una</w:t>
      </w:r>
      <w:r>
        <w:rPr>
          <w:spacing w:val="-1"/>
          <w:w w:val="110"/>
        </w:rPr>
        <w:t> </w:t>
      </w:r>
      <w:r>
        <w:rPr>
          <w:w w:val="110"/>
        </w:rPr>
        <w:t>respuesta</w:t>
      </w:r>
      <w:r>
        <w:rPr>
          <w:w w:val="107"/>
        </w:rPr>
        <w:t> </w:t>
      </w:r>
      <w:r>
        <w:rPr>
          <w:w w:val="110"/>
        </w:rPr>
        <w:t>a</w:t>
      </w:r>
      <w:r>
        <w:rPr>
          <w:spacing w:val="27"/>
          <w:w w:val="110"/>
        </w:rPr>
        <w:t> </w:t>
      </w:r>
      <w:r>
        <w:rPr>
          <w:w w:val="110"/>
        </w:rPr>
        <w:t>la</w:t>
      </w:r>
      <w:r>
        <w:rPr>
          <w:spacing w:val="27"/>
          <w:w w:val="110"/>
        </w:rPr>
        <w:t> </w:t>
      </w:r>
      <w:r>
        <w:rPr>
          <w:w w:val="110"/>
        </w:rPr>
        <w:t>opresión</w:t>
      </w:r>
      <w:r>
        <w:rPr>
          <w:spacing w:val="27"/>
          <w:w w:val="110"/>
        </w:rPr>
        <w:t> </w:t>
      </w:r>
      <w:r>
        <w:rPr>
          <w:w w:val="110"/>
        </w:rPr>
        <w:t>de</w:t>
      </w:r>
      <w:r>
        <w:rPr>
          <w:spacing w:val="27"/>
          <w:w w:val="110"/>
        </w:rPr>
        <w:t> </w:t>
      </w:r>
      <w:r>
        <w:rPr>
          <w:w w:val="110"/>
        </w:rPr>
        <w:t>los</w:t>
      </w:r>
      <w:r>
        <w:rPr>
          <w:spacing w:val="27"/>
          <w:w w:val="110"/>
        </w:rPr>
        <w:t> </w:t>
      </w:r>
      <w:r>
        <w:rPr>
          <w:w w:val="110"/>
        </w:rPr>
        <w:t>afroamericanos,</w:t>
      </w:r>
      <w:r>
        <w:rPr>
          <w:spacing w:val="27"/>
          <w:w w:val="110"/>
        </w:rPr>
        <w:t> </w:t>
      </w:r>
      <w:r>
        <w:rPr>
          <w:w w:val="110"/>
        </w:rPr>
        <w:t>indígenas</w:t>
      </w:r>
      <w:r>
        <w:rPr>
          <w:spacing w:val="27"/>
          <w:w w:val="110"/>
        </w:rPr>
        <w:t> </w:t>
      </w:r>
      <w:r>
        <w:rPr>
          <w:w w:val="110"/>
        </w:rPr>
        <w:t>e</w:t>
      </w:r>
      <w:r>
        <w:rPr>
          <w:spacing w:val="27"/>
          <w:w w:val="110"/>
        </w:rPr>
        <w:t> </w:t>
      </w:r>
      <w:r>
        <w:rPr>
          <w:w w:val="110"/>
        </w:rPr>
        <w:t>hispanos,</w:t>
      </w:r>
      <w:r>
        <w:rPr>
          <w:spacing w:val="27"/>
          <w:w w:val="110"/>
        </w:rPr>
        <w:t> </w:t>
      </w:r>
      <w:r>
        <w:rPr>
          <w:w w:val="110"/>
        </w:rPr>
        <w:t>mientras</w:t>
      </w:r>
      <w:r>
        <w:rPr>
          <w:w w:val="109"/>
        </w:rPr>
        <w:t> </w:t>
      </w:r>
      <w:r>
        <w:rPr>
          <w:w w:val="110"/>
        </w:rPr>
        <w:t>que el multiculturalismo inglés o alemán es una simple respuesta</w:t>
      </w:r>
      <w:r>
        <w:rPr>
          <w:spacing w:val="26"/>
          <w:w w:val="110"/>
        </w:rPr>
        <w:t> </w:t>
      </w:r>
      <w:r>
        <w:rPr>
          <w:w w:val="110"/>
        </w:rPr>
        <w:t>a</w:t>
      </w:r>
      <w:r>
        <w:rPr>
          <w:spacing w:val="7"/>
          <w:w w:val="110"/>
        </w:rPr>
        <w:t> </w:t>
      </w:r>
      <w:r>
        <w:rPr>
          <w:w w:val="110"/>
        </w:rPr>
        <w:t>la</w:t>
      </w:r>
      <w:r>
        <w:rPr>
          <w:w w:val="111"/>
        </w:rPr>
        <w:t> </w:t>
      </w:r>
      <w:r>
        <w:rPr>
          <w:w w:val="110"/>
        </w:rPr>
        <w:t>inmigración.</w:t>
      </w:r>
      <w:r>
        <w:rPr>
          <w:spacing w:val="29"/>
          <w:w w:val="110"/>
        </w:rPr>
        <w:t> </w:t>
      </w:r>
      <w:r>
        <w:rPr>
          <w:w w:val="110"/>
        </w:rPr>
        <w:t>En</w:t>
      </w:r>
      <w:r>
        <w:rPr>
          <w:spacing w:val="29"/>
          <w:w w:val="110"/>
        </w:rPr>
        <w:t> </w:t>
      </w:r>
      <w:r>
        <w:rPr>
          <w:w w:val="110"/>
        </w:rPr>
        <w:t>virtud</w:t>
      </w:r>
      <w:r>
        <w:rPr>
          <w:spacing w:val="29"/>
          <w:w w:val="110"/>
        </w:rPr>
        <w:t> </w:t>
      </w:r>
      <w:r>
        <w:rPr>
          <w:w w:val="110"/>
        </w:rPr>
        <w:t>de</w:t>
      </w:r>
      <w:r>
        <w:rPr>
          <w:spacing w:val="29"/>
          <w:w w:val="110"/>
        </w:rPr>
        <w:t> </w:t>
      </w:r>
      <w:r>
        <w:rPr>
          <w:w w:val="110"/>
        </w:rPr>
        <w:t>que</w:t>
      </w:r>
      <w:r>
        <w:rPr>
          <w:spacing w:val="29"/>
          <w:w w:val="110"/>
        </w:rPr>
        <w:t> </w:t>
      </w:r>
      <w:r>
        <w:rPr>
          <w:w w:val="110"/>
        </w:rPr>
        <w:t>los</w:t>
      </w:r>
      <w:r>
        <w:rPr>
          <w:spacing w:val="29"/>
          <w:w w:val="110"/>
        </w:rPr>
        <w:t> </w:t>
      </w:r>
      <w:r>
        <w:rPr>
          <w:w w:val="110"/>
        </w:rPr>
        <w:t>inmigrantes</w:t>
      </w:r>
      <w:r>
        <w:rPr>
          <w:spacing w:val="29"/>
          <w:w w:val="110"/>
        </w:rPr>
        <w:t> </w:t>
      </w:r>
      <w:r>
        <w:rPr>
          <w:w w:val="110"/>
        </w:rPr>
        <w:t>forman</w:t>
      </w:r>
      <w:r>
        <w:rPr>
          <w:spacing w:val="29"/>
          <w:w w:val="110"/>
        </w:rPr>
        <w:t> </w:t>
      </w:r>
      <w:r>
        <w:rPr>
          <w:w w:val="110"/>
        </w:rPr>
        <w:t>parte</w:t>
      </w:r>
      <w:r>
        <w:rPr>
          <w:spacing w:val="29"/>
          <w:w w:val="110"/>
        </w:rPr>
        <w:t> </w:t>
      </w:r>
      <w:r>
        <w:rPr>
          <w:w w:val="110"/>
        </w:rPr>
        <w:t>de</w:t>
      </w:r>
      <w:r>
        <w:rPr>
          <w:spacing w:val="29"/>
          <w:w w:val="110"/>
        </w:rPr>
        <w:t> </w:t>
      </w:r>
      <w:r>
        <w:rPr>
          <w:w w:val="110"/>
        </w:rPr>
        <w:t>una</w:t>
      </w:r>
      <w:r>
        <w:rPr>
          <w:w w:val="112"/>
        </w:rPr>
        <w:t> </w:t>
      </w:r>
      <w:r>
        <w:rPr>
          <w:w w:val="110"/>
        </w:rPr>
        <w:t>clase</w:t>
      </w:r>
      <w:r>
        <w:rPr>
          <w:spacing w:val="29"/>
          <w:w w:val="110"/>
        </w:rPr>
        <w:t> </w:t>
      </w:r>
      <w:r>
        <w:rPr>
          <w:w w:val="110"/>
        </w:rPr>
        <w:t>socioeconómica</w:t>
      </w:r>
      <w:r>
        <w:rPr>
          <w:spacing w:val="29"/>
          <w:w w:val="110"/>
        </w:rPr>
        <w:t> </w:t>
      </w:r>
      <w:r>
        <w:rPr>
          <w:w w:val="110"/>
        </w:rPr>
        <w:t>y</w:t>
      </w:r>
      <w:r>
        <w:rPr>
          <w:spacing w:val="29"/>
          <w:w w:val="110"/>
        </w:rPr>
        <w:t> </w:t>
      </w:r>
      <w:r>
        <w:rPr>
          <w:w w:val="110"/>
        </w:rPr>
        <w:t>de</w:t>
      </w:r>
      <w:r>
        <w:rPr>
          <w:spacing w:val="29"/>
          <w:w w:val="110"/>
        </w:rPr>
        <w:t> </w:t>
      </w:r>
      <w:r>
        <w:rPr>
          <w:w w:val="110"/>
        </w:rPr>
        <w:t>una</w:t>
      </w:r>
      <w:r>
        <w:rPr>
          <w:spacing w:val="29"/>
          <w:w w:val="110"/>
        </w:rPr>
        <w:t> </w:t>
      </w:r>
      <w:r>
        <w:rPr>
          <w:w w:val="110"/>
        </w:rPr>
        <w:t>comunidad</w:t>
      </w:r>
      <w:r>
        <w:rPr>
          <w:spacing w:val="29"/>
          <w:w w:val="110"/>
        </w:rPr>
        <w:t> </w:t>
      </w:r>
      <w:r>
        <w:rPr>
          <w:w w:val="110"/>
        </w:rPr>
        <w:t>cultural</w:t>
      </w:r>
      <w:r>
        <w:rPr>
          <w:spacing w:val="29"/>
          <w:w w:val="110"/>
        </w:rPr>
        <w:t> </w:t>
      </w:r>
      <w:r>
        <w:rPr>
          <w:w w:val="110"/>
        </w:rPr>
        <w:t>en</w:t>
      </w:r>
      <w:r>
        <w:rPr>
          <w:spacing w:val="29"/>
          <w:w w:val="110"/>
        </w:rPr>
        <w:t> </w:t>
      </w:r>
      <w:r>
        <w:rPr>
          <w:w w:val="110"/>
        </w:rPr>
        <w:t>una</w:t>
      </w:r>
      <w:r>
        <w:rPr>
          <w:spacing w:val="29"/>
          <w:w w:val="110"/>
        </w:rPr>
        <w:t> </w:t>
      </w:r>
      <w:r>
        <w:rPr>
          <w:w w:val="110"/>
        </w:rPr>
        <w:t>determi-</w:t>
      </w:r>
      <w:r>
        <w:rPr>
          <w:w w:val="102"/>
        </w:rPr>
        <w:t> </w:t>
      </w:r>
      <w:r>
        <w:rPr>
          <w:w w:val="110"/>
        </w:rPr>
        <w:t>nada comunidad o sociedad, por lo general no son</w:t>
      </w:r>
      <w:r>
        <w:rPr>
          <w:spacing w:val="23"/>
          <w:w w:val="110"/>
        </w:rPr>
        <w:t> </w:t>
      </w:r>
      <w:r>
        <w:rPr>
          <w:w w:val="110"/>
        </w:rPr>
        <w:t>incorporados</w:t>
      </w:r>
      <w:r>
        <w:rPr>
          <w:spacing w:val="17"/>
          <w:w w:val="110"/>
        </w:rPr>
        <w:t> </w:t>
      </w:r>
      <w:r>
        <w:rPr>
          <w:w w:val="110"/>
        </w:rPr>
        <w:t>y/o</w:t>
      </w:r>
      <w:r>
        <w:rPr>
          <w:w w:val="91"/>
        </w:rPr>
        <w:t> </w:t>
      </w:r>
      <w:r>
        <w:rPr>
          <w:w w:val="110"/>
        </w:rPr>
        <w:t>aceptados</w:t>
      </w:r>
      <w:r>
        <w:rPr>
          <w:spacing w:val="16"/>
          <w:w w:val="110"/>
        </w:rPr>
        <w:t> </w:t>
      </w:r>
      <w:r>
        <w:rPr>
          <w:w w:val="110"/>
        </w:rPr>
        <w:t>totalmente,</w:t>
      </w:r>
      <w:r>
        <w:rPr>
          <w:spacing w:val="16"/>
          <w:w w:val="110"/>
        </w:rPr>
        <w:t> </w:t>
      </w:r>
      <w:r>
        <w:rPr>
          <w:w w:val="110"/>
        </w:rPr>
        <w:t>a</w:t>
      </w:r>
      <w:r>
        <w:rPr>
          <w:spacing w:val="16"/>
          <w:w w:val="110"/>
        </w:rPr>
        <w:t> </w:t>
      </w:r>
      <w:r>
        <w:rPr>
          <w:w w:val="110"/>
        </w:rPr>
        <w:t>menos</w:t>
      </w:r>
      <w:r>
        <w:rPr>
          <w:spacing w:val="16"/>
          <w:w w:val="110"/>
        </w:rPr>
        <w:t> </w:t>
      </w:r>
      <w:r>
        <w:rPr>
          <w:w w:val="110"/>
        </w:rPr>
        <w:t>que</w:t>
      </w:r>
      <w:r>
        <w:rPr>
          <w:spacing w:val="16"/>
          <w:w w:val="110"/>
        </w:rPr>
        <w:t> </w:t>
      </w:r>
      <w:r>
        <w:rPr>
          <w:w w:val="110"/>
        </w:rPr>
        <w:t>el</w:t>
      </w:r>
      <w:r>
        <w:rPr>
          <w:spacing w:val="16"/>
          <w:w w:val="110"/>
        </w:rPr>
        <w:t> </w:t>
      </w:r>
      <w:r>
        <w:rPr>
          <w:w w:val="110"/>
        </w:rPr>
        <w:t>Estado</w:t>
      </w:r>
      <w:r>
        <w:rPr>
          <w:spacing w:val="16"/>
          <w:w w:val="110"/>
        </w:rPr>
        <w:t> </w:t>
      </w:r>
      <w:r>
        <w:rPr>
          <w:w w:val="110"/>
        </w:rPr>
        <w:t>receptor</w:t>
      </w:r>
      <w:r>
        <w:rPr>
          <w:spacing w:val="16"/>
          <w:w w:val="110"/>
        </w:rPr>
        <w:t> </w:t>
      </w:r>
      <w:r>
        <w:rPr>
          <w:w w:val="110"/>
        </w:rPr>
        <w:t>acepte</w:t>
      </w:r>
      <w:r>
        <w:rPr>
          <w:spacing w:val="16"/>
          <w:w w:val="110"/>
        </w:rPr>
        <w:t> </w:t>
      </w:r>
      <w:r>
        <w:rPr>
          <w:w w:val="110"/>
        </w:rPr>
        <w:t>sus</w:t>
      </w:r>
      <w:r>
        <w:rPr>
          <w:spacing w:val="16"/>
          <w:w w:val="110"/>
        </w:rPr>
        <w:t> </w:t>
      </w:r>
      <w:r>
        <w:rPr>
          <w:w w:val="110"/>
        </w:rPr>
        <w:t>di-</w:t>
      </w:r>
    </w:p>
    <w:p>
      <w:pPr>
        <w:pStyle w:val="BodyText"/>
        <w:ind w:left="330"/>
        <w:jc w:val="both"/>
      </w:pPr>
      <w:r>
        <w:rPr>
          <w:w w:val="110"/>
        </w:rPr>
        <w:t>ferencias culturales.</w:t>
      </w:r>
    </w:p>
    <w:p>
      <w:pPr>
        <w:pStyle w:val="BodyText"/>
        <w:spacing w:line="252" w:lineRule="auto" w:before="11"/>
        <w:ind w:left="330" w:right="115" w:firstLine="396"/>
        <w:jc w:val="both"/>
      </w:pPr>
      <w:r>
        <w:rPr>
          <w:w w:val="110"/>
        </w:rPr>
        <w:t>independientemente del concepto o categoría  de  que  se  trate, los representantes del nativismo anglosajón casi siempre han consi- derado que su cultura debe predominar sobre cualquier otra. Para ellos, las cuestiones étnicas siempre han sido percibidas como un problema de asimilación. En el caso de la cultura estadounidense se pensaba que el continuo flujo de inmigrantes con diversas culturas</w:t>
      </w:r>
    </w:p>
    <w:p>
      <w:pPr>
        <w:spacing w:after="0" w:line="252" w:lineRule="auto"/>
        <w:jc w:val="both"/>
        <w:sectPr>
          <w:footerReference w:type="even" r:id="rId407"/>
          <w:footerReference w:type="default" r:id="rId408"/>
          <w:pgSz w:w="8790" w:h="12760"/>
          <w:pgMar w:footer="725" w:header="697" w:top="880" w:bottom="920" w:left="1200" w:right="900"/>
          <w:pgNumType w:start="292"/>
        </w:sectPr>
      </w:pPr>
    </w:p>
    <w:p>
      <w:pPr>
        <w:pStyle w:val="BodyText"/>
        <w:spacing w:before="9"/>
        <w:rPr>
          <w:sz w:val="28"/>
        </w:rPr>
      </w:pPr>
    </w:p>
    <w:p>
      <w:pPr>
        <w:pStyle w:val="BodyText"/>
        <w:spacing w:line="252" w:lineRule="auto" w:before="73"/>
        <w:ind w:left="100" w:right="326"/>
        <w:jc w:val="both"/>
      </w:pPr>
      <w:r>
        <w:rPr>
          <w:w w:val="110"/>
        </w:rPr>
        <w:t>propiciaría relaciones entre los diferentes grupos interétnicos y, al interactuar, poco a poco irían conformando una sociedad cada vez más homogénea, proceso al que, como se conoce, se le ha denomina- do </w:t>
      </w:r>
      <w:r>
        <w:rPr>
          <w:i/>
          <w:w w:val="110"/>
        </w:rPr>
        <w:t>melting pot </w:t>
      </w:r>
      <w:r>
        <w:rPr>
          <w:w w:val="110"/>
        </w:rPr>
        <w:t>(Perea, 1997).</w:t>
      </w:r>
    </w:p>
    <w:p>
      <w:pPr>
        <w:pStyle w:val="BodyText"/>
        <w:spacing w:line="252" w:lineRule="auto"/>
        <w:ind w:left="100" w:right="328" w:firstLine="396"/>
        <w:jc w:val="both"/>
      </w:pPr>
      <w:r>
        <w:rPr>
          <w:w w:val="110"/>
        </w:rPr>
        <w:t>Por ende, los inmigrantes debían paulatinamente “asimilarse” a  la sociedad receptora, lo que equivale a una imposición de los valores de la cultura predominante sobre cualquier otra. Cabe destacar que la asimilación se lleva a cabo a través de la integración residencial con sus</w:t>
      </w:r>
      <w:r>
        <w:rPr>
          <w:spacing w:val="-5"/>
          <w:w w:val="110"/>
        </w:rPr>
        <w:t> </w:t>
      </w:r>
      <w:r>
        <w:rPr>
          <w:w w:val="110"/>
        </w:rPr>
        <w:t>familiares</w:t>
      </w:r>
      <w:r>
        <w:rPr>
          <w:spacing w:val="-5"/>
          <w:w w:val="110"/>
        </w:rPr>
        <w:t> </w:t>
      </w:r>
      <w:r>
        <w:rPr>
          <w:w w:val="110"/>
        </w:rPr>
        <w:t>y</w:t>
      </w:r>
      <w:r>
        <w:rPr>
          <w:spacing w:val="-5"/>
          <w:w w:val="110"/>
        </w:rPr>
        <w:t> </w:t>
      </w:r>
      <w:r>
        <w:rPr>
          <w:w w:val="110"/>
        </w:rPr>
        <w:t>las</w:t>
      </w:r>
      <w:r>
        <w:rPr>
          <w:spacing w:val="-5"/>
          <w:w w:val="110"/>
        </w:rPr>
        <w:t> </w:t>
      </w:r>
      <w:r>
        <w:rPr>
          <w:w w:val="110"/>
        </w:rPr>
        <w:t>relaciones</w:t>
      </w:r>
      <w:r>
        <w:rPr>
          <w:spacing w:val="-5"/>
          <w:w w:val="110"/>
        </w:rPr>
        <w:t> </w:t>
      </w:r>
      <w:r>
        <w:rPr>
          <w:w w:val="110"/>
        </w:rPr>
        <w:t>intermatrimoniales,</w:t>
      </w:r>
      <w:r>
        <w:rPr>
          <w:spacing w:val="-5"/>
          <w:w w:val="110"/>
        </w:rPr>
        <w:t> </w:t>
      </w:r>
      <w:r>
        <w:rPr>
          <w:w w:val="110"/>
        </w:rPr>
        <w:t>entre</w:t>
      </w:r>
      <w:r>
        <w:rPr>
          <w:spacing w:val="-5"/>
          <w:w w:val="110"/>
        </w:rPr>
        <w:t> </w:t>
      </w:r>
      <w:r>
        <w:rPr>
          <w:w w:val="110"/>
        </w:rPr>
        <w:t>otros</w:t>
      </w:r>
      <w:r>
        <w:rPr>
          <w:spacing w:val="-5"/>
          <w:w w:val="110"/>
        </w:rPr>
        <w:t> </w:t>
      </w:r>
      <w:r>
        <w:rPr>
          <w:w w:val="110"/>
        </w:rPr>
        <w:t>factores </w:t>
      </w:r>
      <w:r>
        <w:rPr>
          <w:spacing w:val="-3"/>
          <w:w w:val="110"/>
        </w:rPr>
        <w:t>(Verea, </w:t>
      </w:r>
      <w:r>
        <w:rPr>
          <w:w w:val="110"/>
        </w:rPr>
        <w:t>2003). Pero, para Nathan </w:t>
      </w:r>
      <w:r>
        <w:rPr>
          <w:spacing w:val="-4"/>
          <w:w w:val="110"/>
        </w:rPr>
        <w:t>Glazer, </w:t>
      </w:r>
      <w:r>
        <w:rPr>
          <w:w w:val="110"/>
        </w:rPr>
        <w:t>el continuo flujo de inmi- grantes, de alguna forma, ha impedido la cohesión de una comunidad, pues ésta no les ha permitido insertarse plenamente en una sociedad determinada</w:t>
      </w:r>
      <w:r>
        <w:rPr>
          <w:spacing w:val="-25"/>
          <w:w w:val="110"/>
        </w:rPr>
        <w:t> </w:t>
      </w:r>
      <w:r>
        <w:rPr>
          <w:w w:val="110"/>
        </w:rPr>
        <w:t>(1988:</w:t>
      </w:r>
      <w:r>
        <w:rPr>
          <w:spacing w:val="-25"/>
          <w:w w:val="110"/>
        </w:rPr>
        <w:t> </w:t>
      </w:r>
      <w:r>
        <w:rPr>
          <w:w w:val="110"/>
        </w:rPr>
        <w:t>216).</w:t>
      </w:r>
    </w:p>
    <w:p>
      <w:pPr>
        <w:pStyle w:val="BodyText"/>
        <w:spacing w:line="252" w:lineRule="auto"/>
        <w:ind w:left="100" w:right="327" w:firstLine="396"/>
        <w:jc w:val="both"/>
      </w:pPr>
      <w:r>
        <w:rPr>
          <w:w w:val="110"/>
        </w:rPr>
        <w:t>Entre los argumentos más sobresalientes que los nativistas han esgrimido en contra de los inmigrantes, en diferentes épocas de su historia,</w:t>
      </w:r>
      <w:r>
        <w:rPr>
          <w:spacing w:val="-6"/>
          <w:w w:val="110"/>
        </w:rPr>
        <w:t> </w:t>
      </w:r>
      <w:r>
        <w:rPr>
          <w:w w:val="110"/>
        </w:rPr>
        <w:t>encontramos</w:t>
      </w:r>
      <w:r>
        <w:rPr>
          <w:spacing w:val="-6"/>
          <w:w w:val="110"/>
        </w:rPr>
        <w:t> </w:t>
      </w:r>
      <w:r>
        <w:rPr>
          <w:w w:val="110"/>
        </w:rPr>
        <w:t>los</w:t>
      </w:r>
      <w:r>
        <w:rPr>
          <w:spacing w:val="-6"/>
          <w:w w:val="110"/>
        </w:rPr>
        <w:t> </w:t>
      </w:r>
      <w:r>
        <w:rPr>
          <w:w w:val="110"/>
        </w:rPr>
        <w:t>siguientes:</w:t>
      </w:r>
      <w:r>
        <w:rPr>
          <w:spacing w:val="-6"/>
          <w:w w:val="110"/>
        </w:rPr>
        <w:t> </w:t>
      </w:r>
      <w:r>
        <w:rPr>
          <w:w w:val="110"/>
        </w:rPr>
        <w:t>se</w:t>
      </w:r>
      <w:r>
        <w:rPr>
          <w:spacing w:val="-6"/>
          <w:w w:val="110"/>
        </w:rPr>
        <w:t> </w:t>
      </w:r>
      <w:r>
        <w:rPr>
          <w:w w:val="110"/>
        </w:rPr>
        <w:t>ha</w:t>
      </w:r>
      <w:r>
        <w:rPr>
          <w:spacing w:val="-6"/>
          <w:w w:val="110"/>
        </w:rPr>
        <w:t> </w:t>
      </w:r>
      <w:r>
        <w:rPr>
          <w:w w:val="110"/>
        </w:rPr>
        <w:t>expresado</w:t>
      </w:r>
      <w:r>
        <w:rPr>
          <w:spacing w:val="-6"/>
          <w:w w:val="110"/>
        </w:rPr>
        <w:t> </w:t>
      </w:r>
      <w:r>
        <w:rPr>
          <w:w w:val="110"/>
        </w:rPr>
        <w:t>que</w:t>
      </w:r>
      <w:r>
        <w:rPr>
          <w:spacing w:val="-6"/>
          <w:w w:val="110"/>
        </w:rPr>
        <w:t> </w:t>
      </w:r>
      <w:r>
        <w:rPr>
          <w:w w:val="110"/>
        </w:rPr>
        <w:t>ciertas</w:t>
      </w:r>
      <w:r>
        <w:rPr>
          <w:spacing w:val="-6"/>
          <w:w w:val="110"/>
        </w:rPr>
        <w:t> </w:t>
      </w:r>
      <w:r>
        <w:rPr>
          <w:w w:val="110"/>
        </w:rPr>
        <w:t>razas son intelectual y culturalmente inferiores a la de la mayoría blanca; que presentan dificultades para asimilarse; que quitan oportunidades de empleo a los nativos </w:t>
      </w:r>
      <w:r>
        <w:rPr>
          <w:spacing w:val="-11"/>
          <w:w w:val="110"/>
        </w:rPr>
        <w:t>y, </w:t>
      </w:r>
      <w:r>
        <w:rPr>
          <w:w w:val="110"/>
        </w:rPr>
        <w:t>más recientemente, que abusan de los servi- cios públicos que los gobiernos</w:t>
      </w:r>
      <w:r>
        <w:rPr>
          <w:spacing w:val="29"/>
          <w:w w:val="110"/>
        </w:rPr>
        <w:t> </w:t>
      </w:r>
      <w:r>
        <w:rPr>
          <w:w w:val="110"/>
        </w:rPr>
        <w:t>proveen.</w:t>
      </w:r>
    </w:p>
    <w:p>
      <w:pPr>
        <w:pStyle w:val="BodyText"/>
        <w:spacing w:line="252" w:lineRule="auto"/>
        <w:ind w:left="100" w:right="327" w:firstLine="396"/>
        <w:jc w:val="both"/>
      </w:pPr>
      <w:r>
        <w:rPr>
          <w:w w:val="110"/>
        </w:rPr>
        <w:t>Feagin (1997: 13-43) señala un planteamiento extremo, el del darwinismo social, el cual plantea que la supervivencia del más apto es un indicador de que la cultura e instituciones, en este caso anglosa- jonas, son las dominantes por ser las mejores. En efecto, el nativismo de principios del siglo </w:t>
      </w:r>
      <w:r>
        <w:rPr>
          <w:w w:val="130"/>
        </w:rPr>
        <w:t>xx </w:t>
      </w:r>
      <w:r>
        <w:rPr>
          <w:w w:val="110"/>
        </w:rPr>
        <w:t>utilizó la biología, la antropología y la psi- cología para demostrar que las otras razas y/o etnias –en ese enton- ces claramente tendencioso en contra de los judíos, los europeos del Este y los asiáticos– contaminarían y terminarían por acabar con la genuina y “casi perfecta” raza blanca. Posteriormente, la corriente na- tivista de la segunda mitad del siglo </w:t>
      </w:r>
      <w:r>
        <w:rPr>
          <w:w w:val="130"/>
        </w:rPr>
        <w:t>xx </w:t>
      </w:r>
      <w:r>
        <w:rPr>
          <w:w w:val="110"/>
        </w:rPr>
        <w:t>puso énfasis en las fronteras. Percibidas desde entonces como altas y rígidas murallas, las fronteras tenían</w:t>
      </w:r>
      <w:r>
        <w:rPr>
          <w:spacing w:val="-3"/>
          <w:w w:val="110"/>
        </w:rPr>
        <w:t> </w:t>
      </w:r>
      <w:r>
        <w:rPr>
          <w:w w:val="110"/>
        </w:rPr>
        <w:t>la</w:t>
      </w:r>
      <w:r>
        <w:rPr>
          <w:spacing w:val="-3"/>
          <w:w w:val="110"/>
        </w:rPr>
        <w:t> </w:t>
      </w:r>
      <w:r>
        <w:rPr>
          <w:w w:val="110"/>
        </w:rPr>
        <w:t>función</w:t>
      </w:r>
      <w:r>
        <w:rPr>
          <w:spacing w:val="-3"/>
          <w:w w:val="110"/>
        </w:rPr>
        <w:t> </w:t>
      </w:r>
      <w:r>
        <w:rPr>
          <w:w w:val="110"/>
        </w:rPr>
        <w:t>de</w:t>
      </w:r>
      <w:r>
        <w:rPr>
          <w:spacing w:val="-3"/>
          <w:w w:val="110"/>
        </w:rPr>
        <w:t> </w:t>
      </w:r>
      <w:r>
        <w:rPr>
          <w:w w:val="110"/>
        </w:rPr>
        <w:t>dividir</w:t>
      </w:r>
      <w:r>
        <w:rPr>
          <w:spacing w:val="-3"/>
          <w:w w:val="110"/>
        </w:rPr>
        <w:t> </w:t>
      </w:r>
      <w:r>
        <w:rPr>
          <w:w w:val="110"/>
        </w:rPr>
        <w:t>y</w:t>
      </w:r>
      <w:r>
        <w:rPr>
          <w:spacing w:val="-3"/>
          <w:w w:val="110"/>
        </w:rPr>
        <w:t> </w:t>
      </w:r>
      <w:r>
        <w:rPr>
          <w:w w:val="110"/>
        </w:rPr>
        <w:t>detener</w:t>
      </w:r>
      <w:r>
        <w:rPr>
          <w:spacing w:val="-3"/>
          <w:w w:val="110"/>
        </w:rPr>
        <w:t> </w:t>
      </w:r>
      <w:r>
        <w:rPr>
          <w:w w:val="110"/>
        </w:rPr>
        <w:t>la</w:t>
      </w:r>
      <w:r>
        <w:rPr>
          <w:spacing w:val="-3"/>
          <w:w w:val="110"/>
        </w:rPr>
        <w:t> </w:t>
      </w:r>
      <w:r>
        <w:rPr>
          <w:w w:val="110"/>
        </w:rPr>
        <w:t>entrada</w:t>
      </w:r>
      <w:r>
        <w:rPr>
          <w:spacing w:val="-3"/>
          <w:w w:val="110"/>
        </w:rPr>
        <w:t> </w:t>
      </w:r>
      <w:r>
        <w:rPr>
          <w:w w:val="110"/>
        </w:rPr>
        <w:t>no</w:t>
      </w:r>
      <w:r>
        <w:rPr>
          <w:spacing w:val="-3"/>
          <w:w w:val="110"/>
        </w:rPr>
        <w:t> </w:t>
      </w:r>
      <w:r>
        <w:rPr>
          <w:w w:val="110"/>
        </w:rPr>
        <w:t>sólo</w:t>
      </w:r>
      <w:r>
        <w:rPr>
          <w:spacing w:val="-3"/>
          <w:w w:val="110"/>
        </w:rPr>
        <w:t> </w:t>
      </w:r>
      <w:r>
        <w:rPr>
          <w:w w:val="110"/>
        </w:rPr>
        <w:t>de</w:t>
      </w:r>
      <w:r>
        <w:rPr>
          <w:spacing w:val="-3"/>
          <w:w w:val="110"/>
        </w:rPr>
        <w:t> </w:t>
      </w:r>
      <w:r>
        <w:rPr>
          <w:w w:val="110"/>
        </w:rPr>
        <w:t>la</w:t>
      </w:r>
      <w:r>
        <w:rPr>
          <w:spacing w:val="-3"/>
          <w:w w:val="110"/>
        </w:rPr>
        <w:t> </w:t>
      </w:r>
      <w:r>
        <w:rPr>
          <w:w w:val="110"/>
        </w:rPr>
        <w:t>fuerza</w:t>
      </w:r>
      <w:r>
        <w:rPr>
          <w:spacing w:val="-3"/>
          <w:w w:val="110"/>
        </w:rPr>
        <w:t> </w:t>
      </w:r>
      <w:r>
        <w:rPr>
          <w:w w:val="110"/>
        </w:rPr>
        <w:t>de trabajo, sino de un inmenso flujo de vagos y semicriminales, personas “no deseables” que, según ellos, decoloraban, afeaban, contaminaban, agredían su primacía blanca. Esta corriente de pensamiento ha apo- yado políticas tendientes a reforzar fronteras como la de México, para detener flujos de inmigrantes no</w:t>
      </w:r>
      <w:r>
        <w:rPr>
          <w:spacing w:val="10"/>
          <w:w w:val="110"/>
        </w:rPr>
        <w:t> </w:t>
      </w:r>
      <w:r>
        <w:rPr>
          <w:w w:val="110"/>
        </w:rPr>
        <w:t>deseados.</w:t>
      </w:r>
    </w:p>
    <w:p>
      <w:pPr>
        <w:pStyle w:val="BodyText"/>
        <w:spacing w:line="252" w:lineRule="auto"/>
        <w:ind w:left="100" w:right="328" w:firstLine="396"/>
        <w:jc w:val="both"/>
      </w:pPr>
      <w:r>
        <w:rPr>
          <w:w w:val="110"/>
        </w:rPr>
        <w:t>En el siglo </w:t>
      </w:r>
      <w:r>
        <w:rPr>
          <w:w w:val="120"/>
        </w:rPr>
        <w:t>xxi, </w:t>
      </w:r>
      <w:r>
        <w:rPr>
          <w:w w:val="110"/>
        </w:rPr>
        <w:t>la mejor expresión de los llamados de alerta </w:t>
      </w:r>
      <w:r>
        <w:rPr>
          <w:spacing w:val="-2"/>
          <w:w w:val="110"/>
        </w:rPr>
        <w:t>con </w:t>
      </w:r>
      <w:r>
        <w:rPr>
          <w:w w:val="110"/>
        </w:rPr>
        <w:t>respecto a la necesidad de enfrentar fenómenos y comportamientos antinorteamericanos, se halla en la racionalidad que aporta samuel </w:t>
      </w:r>
      <w:r>
        <w:rPr>
          <w:spacing w:val="-14"/>
          <w:w w:val="110"/>
        </w:rPr>
        <w:t>P. </w:t>
      </w:r>
      <w:r>
        <w:rPr>
          <w:w w:val="110"/>
        </w:rPr>
        <w:t>Huntington</w:t>
      </w:r>
      <w:r>
        <w:rPr>
          <w:spacing w:val="-14"/>
          <w:w w:val="110"/>
        </w:rPr>
        <w:t> </w:t>
      </w:r>
      <w:r>
        <w:rPr>
          <w:w w:val="110"/>
        </w:rPr>
        <w:t>en</w:t>
      </w:r>
      <w:r>
        <w:rPr>
          <w:spacing w:val="-14"/>
          <w:w w:val="110"/>
        </w:rPr>
        <w:t> </w:t>
      </w:r>
      <w:r>
        <w:rPr>
          <w:w w:val="110"/>
        </w:rPr>
        <w:t>su</w:t>
      </w:r>
      <w:r>
        <w:rPr>
          <w:spacing w:val="-14"/>
          <w:w w:val="110"/>
        </w:rPr>
        <w:t> </w:t>
      </w:r>
      <w:r>
        <w:rPr>
          <w:w w:val="110"/>
        </w:rPr>
        <w:t>libro</w:t>
      </w:r>
      <w:r>
        <w:rPr>
          <w:spacing w:val="-14"/>
          <w:w w:val="110"/>
        </w:rPr>
        <w:t> </w:t>
      </w:r>
      <w:r>
        <w:rPr>
          <w:i/>
          <w:w w:val="110"/>
        </w:rPr>
        <w:t>Who</w:t>
      </w:r>
      <w:r>
        <w:rPr>
          <w:i/>
          <w:spacing w:val="-14"/>
          <w:w w:val="110"/>
        </w:rPr>
        <w:t> </w:t>
      </w:r>
      <w:r>
        <w:rPr>
          <w:i/>
          <w:w w:val="110"/>
        </w:rPr>
        <w:t>are</w:t>
      </w:r>
      <w:r>
        <w:rPr>
          <w:i/>
          <w:spacing w:val="-14"/>
          <w:w w:val="110"/>
        </w:rPr>
        <w:t> </w:t>
      </w:r>
      <w:r>
        <w:rPr>
          <w:i/>
          <w:spacing w:val="-5"/>
          <w:w w:val="110"/>
        </w:rPr>
        <w:t>We</w:t>
      </w:r>
      <w:r>
        <w:rPr>
          <w:spacing w:val="-5"/>
          <w:w w:val="110"/>
        </w:rPr>
        <w:t>,</w:t>
      </w:r>
      <w:r>
        <w:rPr>
          <w:spacing w:val="-14"/>
          <w:w w:val="110"/>
        </w:rPr>
        <w:t> </w:t>
      </w:r>
      <w:r>
        <w:rPr>
          <w:w w:val="110"/>
        </w:rPr>
        <w:t>donde</w:t>
      </w:r>
      <w:r>
        <w:rPr>
          <w:spacing w:val="-14"/>
          <w:w w:val="110"/>
        </w:rPr>
        <w:t> </w:t>
      </w:r>
      <w:r>
        <w:rPr>
          <w:w w:val="110"/>
        </w:rPr>
        <w:t>argumenta</w:t>
      </w:r>
      <w:r>
        <w:rPr>
          <w:spacing w:val="-14"/>
          <w:w w:val="110"/>
        </w:rPr>
        <w:t> </w:t>
      </w:r>
      <w:r>
        <w:rPr>
          <w:w w:val="110"/>
        </w:rPr>
        <w:t>las</w:t>
      </w:r>
      <w:r>
        <w:rPr>
          <w:spacing w:val="-14"/>
          <w:w w:val="110"/>
        </w:rPr>
        <w:t> </w:t>
      </w:r>
      <w:r>
        <w:rPr>
          <w:w w:val="110"/>
        </w:rPr>
        <w:t>amenazas</w:t>
      </w:r>
      <w:r>
        <w:rPr>
          <w:spacing w:val="-14"/>
          <w:w w:val="110"/>
        </w:rPr>
        <w:t> </w:t>
      </w:r>
      <w:r>
        <w:rPr>
          <w:spacing w:val="-2"/>
          <w:w w:val="110"/>
        </w:rPr>
        <w:t>que </w:t>
      </w:r>
      <w:r>
        <w:rPr>
          <w:spacing w:val="-2"/>
          <w:w w:val="110"/>
        </w:rPr>
        <w:t>l</w:t>
      </w:r>
      <w:r>
        <w:rPr>
          <w:w w:val="110"/>
        </w:rPr>
        <w:t>a</w:t>
      </w:r>
      <w:r>
        <w:rPr>
          <w:spacing w:val="-2"/>
        </w:rPr>
        <w:t> </w:t>
      </w:r>
      <w:r>
        <w:rPr>
          <w:spacing w:val="-2"/>
          <w:w w:val="111"/>
        </w:rPr>
        <w:t>migració</w:t>
      </w:r>
      <w:r>
        <w:rPr>
          <w:w w:val="111"/>
        </w:rPr>
        <w:t>n</w:t>
      </w:r>
      <w:r>
        <w:rPr>
          <w:spacing w:val="-2"/>
        </w:rPr>
        <w:t> </w:t>
      </w:r>
      <w:r>
        <w:rPr>
          <w:spacing w:val="-2"/>
          <w:w w:val="105"/>
        </w:rPr>
        <w:t>desd</w:t>
      </w:r>
      <w:r>
        <w:rPr>
          <w:w w:val="105"/>
        </w:rPr>
        <w:t>e</w:t>
      </w:r>
      <w:r>
        <w:rPr>
          <w:spacing w:val="-2"/>
        </w:rPr>
        <w:t> </w:t>
      </w:r>
      <w:r>
        <w:rPr>
          <w:spacing w:val="-2"/>
          <w:w w:val="138"/>
        </w:rPr>
        <w:t>a</w:t>
      </w:r>
      <w:r>
        <w:rPr>
          <w:spacing w:val="-2"/>
          <w:w w:val="110"/>
        </w:rPr>
        <w:t>méric</w:t>
      </w:r>
      <w:r>
        <w:rPr>
          <w:w w:val="110"/>
        </w:rPr>
        <w:t>a</w:t>
      </w:r>
      <w:r>
        <w:rPr>
          <w:spacing w:val="-2"/>
        </w:rPr>
        <w:t> </w:t>
      </w:r>
      <w:r>
        <w:rPr>
          <w:spacing w:val="-2"/>
          <w:w w:val="241"/>
        </w:rPr>
        <w:t>l</w:t>
      </w:r>
      <w:r>
        <w:rPr>
          <w:spacing w:val="-2"/>
          <w:w w:val="110"/>
        </w:rPr>
        <w:t>atin</w:t>
      </w:r>
      <w:r>
        <w:rPr>
          <w:w w:val="110"/>
        </w:rPr>
        <w:t>a</w:t>
      </w:r>
      <w:r>
        <w:rPr>
          <w:spacing w:val="-2"/>
        </w:rPr>
        <w:t> </w:t>
      </w:r>
      <w:r>
        <w:rPr>
          <w:spacing w:val="-2"/>
          <w:w w:val="102"/>
        </w:rPr>
        <w:t>–</w:t>
      </w:r>
      <w:r>
        <w:rPr>
          <w:w w:val="102"/>
        </w:rPr>
        <w:t>y</w:t>
      </w:r>
      <w:r>
        <w:rPr>
          <w:spacing w:val="-2"/>
        </w:rPr>
        <w:t> </w:t>
      </w:r>
      <w:r>
        <w:rPr>
          <w:spacing w:val="-2"/>
          <w:w w:val="106"/>
        </w:rPr>
        <w:t>sobr</w:t>
      </w:r>
      <w:r>
        <w:rPr>
          <w:w w:val="106"/>
        </w:rPr>
        <w:t>e</w:t>
      </w:r>
      <w:r>
        <w:rPr>
          <w:spacing w:val="-2"/>
        </w:rPr>
        <w:t> </w:t>
      </w:r>
      <w:r>
        <w:rPr>
          <w:spacing w:val="-2"/>
          <w:w w:val="110"/>
        </w:rPr>
        <w:t>todo</w:t>
      </w:r>
      <w:r>
        <w:rPr>
          <w:w w:val="110"/>
        </w:rPr>
        <w:t>,</w:t>
      </w:r>
      <w:r>
        <w:rPr>
          <w:spacing w:val="-2"/>
        </w:rPr>
        <w:t> </w:t>
      </w:r>
      <w:r>
        <w:rPr>
          <w:spacing w:val="-2"/>
          <w:w w:val="110"/>
        </w:rPr>
        <w:t>l</w:t>
      </w:r>
      <w:r>
        <w:rPr>
          <w:w w:val="110"/>
        </w:rPr>
        <w:t>a</w:t>
      </w:r>
      <w:r>
        <w:rPr>
          <w:spacing w:val="-2"/>
        </w:rPr>
        <w:t> </w:t>
      </w:r>
      <w:r>
        <w:rPr>
          <w:spacing w:val="-2"/>
          <w:w w:val="109"/>
        </w:rPr>
        <w:t>mejicana</w:t>
      </w:r>
      <w:r>
        <w:rPr>
          <w:w w:val="109"/>
        </w:rPr>
        <w:t>–</w:t>
      </w:r>
      <w:r>
        <w:rPr>
          <w:spacing w:val="-2"/>
        </w:rPr>
        <w:t> </w:t>
      </w:r>
      <w:r>
        <w:rPr>
          <w:spacing w:val="-2"/>
          <w:w w:val="105"/>
        </w:rPr>
        <w:t>represen</w:t>
      </w:r>
      <w:r>
        <w:rPr>
          <w:w w:val="101"/>
        </w:rPr>
        <w:t>- </w:t>
      </w:r>
      <w:r>
        <w:rPr>
          <w:w w:val="110"/>
        </w:rPr>
        <w:t>ta</w:t>
      </w:r>
      <w:r>
        <w:rPr>
          <w:spacing w:val="-6"/>
          <w:w w:val="110"/>
        </w:rPr>
        <w:t> </w:t>
      </w:r>
      <w:r>
        <w:rPr>
          <w:w w:val="110"/>
        </w:rPr>
        <w:t>para</w:t>
      </w:r>
      <w:r>
        <w:rPr>
          <w:spacing w:val="-6"/>
          <w:w w:val="110"/>
        </w:rPr>
        <w:t> </w:t>
      </w:r>
      <w:r>
        <w:rPr>
          <w:w w:val="110"/>
        </w:rPr>
        <w:t>la</w:t>
      </w:r>
      <w:r>
        <w:rPr>
          <w:spacing w:val="-6"/>
          <w:w w:val="110"/>
        </w:rPr>
        <w:t> </w:t>
      </w:r>
      <w:r>
        <w:rPr>
          <w:w w:val="110"/>
        </w:rPr>
        <w:t>identidad</w:t>
      </w:r>
      <w:r>
        <w:rPr>
          <w:spacing w:val="-6"/>
          <w:w w:val="110"/>
        </w:rPr>
        <w:t> </w:t>
      </w:r>
      <w:r>
        <w:rPr>
          <w:w w:val="110"/>
        </w:rPr>
        <w:t>cultural</w:t>
      </w:r>
      <w:r>
        <w:rPr>
          <w:spacing w:val="-6"/>
          <w:w w:val="110"/>
        </w:rPr>
        <w:t> </w:t>
      </w:r>
      <w:r>
        <w:rPr>
          <w:w w:val="110"/>
        </w:rPr>
        <w:t>y</w:t>
      </w:r>
      <w:r>
        <w:rPr>
          <w:spacing w:val="-6"/>
          <w:w w:val="110"/>
        </w:rPr>
        <w:t> </w:t>
      </w:r>
      <w:r>
        <w:rPr>
          <w:w w:val="110"/>
        </w:rPr>
        <w:t>la</w:t>
      </w:r>
      <w:r>
        <w:rPr>
          <w:spacing w:val="-6"/>
          <w:w w:val="110"/>
        </w:rPr>
        <w:t> </w:t>
      </w:r>
      <w:r>
        <w:rPr>
          <w:w w:val="110"/>
        </w:rPr>
        <w:t>seguridad</w:t>
      </w:r>
      <w:r>
        <w:rPr>
          <w:spacing w:val="-6"/>
          <w:w w:val="110"/>
        </w:rPr>
        <w:t> </w:t>
      </w:r>
      <w:r>
        <w:rPr>
          <w:w w:val="110"/>
        </w:rPr>
        <w:t>nacional</w:t>
      </w:r>
      <w:r>
        <w:rPr>
          <w:spacing w:val="-6"/>
          <w:w w:val="110"/>
        </w:rPr>
        <w:t> </w:t>
      </w:r>
      <w:r>
        <w:rPr>
          <w:w w:val="110"/>
        </w:rPr>
        <w:t>de</w:t>
      </w:r>
      <w:r>
        <w:rPr>
          <w:spacing w:val="-6"/>
          <w:w w:val="110"/>
        </w:rPr>
        <w:t> </w:t>
      </w:r>
      <w:r>
        <w:rPr>
          <w:w w:val="110"/>
        </w:rPr>
        <w:t>Estados</w:t>
      </w:r>
      <w:r>
        <w:rPr>
          <w:spacing w:val="-6"/>
          <w:w w:val="110"/>
        </w:rPr>
        <w:t> </w:t>
      </w:r>
      <w:r>
        <w:rPr>
          <w:w w:val="110"/>
        </w:rPr>
        <w:t>unidos.</w:t>
      </w:r>
    </w:p>
    <w:p>
      <w:pPr>
        <w:spacing w:after="0" w:line="252" w:lineRule="auto"/>
        <w:jc w:val="both"/>
        <w:sectPr>
          <w:pgSz w:w="8790" w:h="12760"/>
          <w:pgMar w:header="695" w:footer="723" w:top="880" w:bottom="920" w:left="920" w:right="1200"/>
        </w:sectPr>
      </w:pPr>
    </w:p>
    <w:p>
      <w:pPr>
        <w:pStyle w:val="BodyText"/>
        <w:spacing w:before="4"/>
        <w:rPr>
          <w:sz w:val="28"/>
        </w:rPr>
      </w:pPr>
    </w:p>
    <w:p>
      <w:pPr>
        <w:pStyle w:val="Heading6"/>
        <w:spacing w:line="244" w:lineRule="auto" w:before="68"/>
        <w:ind w:left="331" w:right="1391"/>
        <w:jc w:val="left"/>
      </w:pPr>
      <w:r>
        <w:rPr>
          <w:w w:val="135"/>
        </w:rPr>
        <w:t>el</w:t>
      </w:r>
      <w:r>
        <w:rPr>
          <w:spacing w:val="-38"/>
          <w:w w:val="135"/>
        </w:rPr>
        <w:t> </w:t>
      </w:r>
      <w:r>
        <w:rPr>
          <w:w w:val="135"/>
        </w:rPr>
        <w:t>“norteaMericanisMo”:</w:t>
      </w:r>
      <w:r>
        <w:rPr>
          <w:spacing w:val="-38"/>
          <w:w w:val="135"/>
        </w:rPr>
        <w:t> </w:t>
      </w:r>
      <w:r>
        <w:rPr>
          <w:w w:val="135"/>
        </w:rPr>
        <w:t>identidad</w:t>
      </w:r>
      <w:r>
        <w:rPr>
          <w:spacing w:val="-38"/>
          <w:w w:val="135"/>
        </w:rPr>
        <w:t> </w:t>
      </w:r>
      <w:r>
        <w:rPr>
          <w:w w:val="135"/>
        </w:rPr>
        <w:t>cultural </w:t>
      </w:r>
      <w:r>
        <w:rPr>
          <w:w w:val="119"/>
        </w:rPr>
        <w:t>y</w:t>
      </w:r>
      <w:r>
        <w:rPr>
          <w:spacing w:val="-8"/>
        </w:rPr>
        <w:t> </w:t>
      </w:r>
      <w:r>
        <w:rPr>
          <w:spacing w:val="2"/>
          <w:w w:val="201"/>
        </w:rPr>
        <w:t>l</w:t>
      </w:r>
      <w:r>
        <w:rPr>
          <w:spacing w:val="3"/>
          <w:w w:val="134"/>
        </w:rPr>
        <w:t>e</w:t>
      </w:r>
      <w:r>
        <w:rPr>
          <w:spacing w:val="2"/>
          <w:w w:val="89"/>
        </w:rPr>
        <w:t>G</w:t>
      </w:r>
      <w:r>
        <w:rPr>
          <w:spacing w:val="2"/>
          <w:w w:val="129"/>
        </w:rPr>
        <w:t>i</w:t>
      </w:r>
      <w:r>
        <w:rPr>
          <w:spacing w:val="2"/>
          <w:w w:val="156"/>
        </w:rPr>
        <w:t>ti</w:t>
      </w:r>
      <w:r>
        <w:rPr>
          <w:spacing w:val="2"/>
          <w:w w:val="92"/>
        </w:rPr>
        <w:t>M</w:t>
      </w:r>
      <w:r>
        <w:rPr>
          <w:spacing w:val="2"/>
          <w:w w:val="131"/>
        </w:rPr>
        <w:t>i</w:t>
      </w:r>
      <w:r>
        <w:rPr>
          <w:spacing w:val="1"/>
          <w:w w:val="131"/>
        </w:rPr>
        <w:t>d</w:t>
      </w:r>
      <w:r>
        <w:rPr>
          <w:spacing w:val="2"/>
          <w:w w:val="130"/>
        </w:rPr>
        <w:t>a</w:t>
      </w:r>
      <w:r>
        <w:rPr>
          <w:w w:val="130"/>
        </w:rPr>
        <w:t>d</w:t>
      </w:r>
      <w:r>
        <w:rPr>
          <w:spacing w:val="-8"/>
        </w:rPr>
        <w:t> </w:t>
      </w:r>
      <w:r>
        <w:rPr>
          <w:spacing w:val="2"/>
          <w:w w:val="128"/>
        </w:rPr>
        <w:t>i</w:t>
      </w:r>
      <w:r>
        <w:rPr>
          <w:spacing w:val="3"/>
          <w:w w:val="128"/>
        </w:rPr>
        <w:t>n</w:t>
      </w:r>
      <w:r>
        <w:rPr>
          <w:spacing w:val="2"/>
          <w:w w:val="153"/>
        </w:rPr>
        <w:t>t</w:t>
      </w:r>
      <w:r>
        <w:rPr>
          <w:spacing w:val="3"/>
          <w:w w:val="153"/>
        </w:rPr>
        <w:t>e</w:t>
      </w:r>
      <w:r>
        <w:rPr>
          <w:spacing w:val="2"/>
          <w:w w:val="135"/>
        </w:rPr>
        <w:t>r</w:t>
      </w:r>
      <w:r>
        <w:rPr>
          <w:spacing w:val="-1"/>
          <w:w w:val="135"/>
        </w:rPr>
        <w:t>n</w:t>
      </w:r>
      <w:r>
        <w:rPr>
          <w:w w:val="129"/>
        </w:rPr>
        <w:t>a</w:t>
      </w:r>
    </w:p>
    <w:p>
      <w:pPr>
        <w:pStyle w:val="BodyText"/>
        <w:spacing w:line="252" w:lineRule="auto" w:before="6"/>
        <w:ind w:left="330" w:right="117"/>
        <w:jc w:val="both"/>
      </w:pPr>
      <w:r>
        <w:rPr>
          <w:w w:val="243"/>
        </w:rPr>
        <w:t>l</w:t>
      </w:r>
      <w:r>
        <w:rPr>
          <w:w w:val="109"/>
        </w:rPr>
        <w:t>as</w:t>
      </w:r>
      <w:r>
        <w:rPr>
          <w:spacing w:val="14"/>
        </w:rPr>
        <w:t> </w:t>
      </w:r>
      <w:r>
        <w:rPr>
          <w:w w:val="110"/>
        </w:rPr>
        <w:t>conclusiones</w:t>
      </w:r>
      <w:r>
        <w:rPr>
          <w:spacing w:val="14"/>
        </w:rPr>
        <w:t> </w:t>
      </w:r>
      <w:r>
        <w:rPr>
          <w:w w:val="110"/>
        </w:rPr>
        <w:t>acerca</w:t>
      </w:r>
      <w:r>
        <w:rPr>
          <w:spacing w:val="14"/>
        </w:rPr>
        <w:t> </w:t>
      </w:r>
      <w:r>
        <w:rPr>
          <w:w w:val="107"/>
        </w:rPr>
        <w:t>del</w:t>
      </w:r>
      <w:r>
        <w:rPr>
          <w:spacing w:val="14"/>
        </w:rPr>
        <w:t> </w:t>
      </w:r>
      <w:r>
        <w:rPr>
          <w:w w:val="111"/>
        </w:rPr>
        <w:t>rumbo</w:t>
      </w:r>
      <w:r>
        <w:rPr>
          <w:spacing w:val="14"/>
        </w:rPr>
        <w:t> </w:t>
      </w:r>
      <w:r>
        <w:rPr>
          <w:w w:val="108"/>
        </w:rPr>
        <w:t>ulterior</w:t>
      </w:r>
      <w:r>
        <w:rPr>
          <w:spacing w:val="14"/>
        </w:rPr>
        <w:t> </w:t>
      </w:r>
      <w:r>
        <w:rPr>
          <w:w w:val="107"/>
        </w:rPr>
        <w:t>de</w:t>
      </w:r>
      <w:r>
        <w:rPr>
          <w:spacing w:val="14"/>
        </w:rPr>
        <w:t> </w:t>
      </w:r>
      <w:r>
        <w:rPr>
          <w:w w:val="111"/>
        </w:rPr>
        <w:t>la</w:t>
      </w:r>
      <w:r>
        <w:rPr>
          <w:spacing w:val="14"/>
        </w:rPr>
        <w:t> </w:t>
      </w:r>
      <w:r>
        <w:rPr>
          <w:w w:val="111"/>
        </w:rPr>
        <w:t>cultura</w:t>
      </w:r>
      <w:r>
        <w:rPr>
          <w:spacing w:val="14"/>
        </w:rPr>
        <w:t> </w:t>
      </w:r>
      <w:r>
        <w:rPr>
          <w:w w:val="111"/>
        </w:rPr>
        <w:t>política</w:t>
      </w:r>
      <w:r>
        <w:rPr>
          <w:spacing w:val="14"/>
        </w:rPr>
        <w:t> </w:t>
      </w:r>
      <w:r>
        <w:rPr>
          <w:w w:val="109"/>
        </w:rPr>
        <w:t>no</w:t>
      </w:r>
      <w:r>
        <w:rPr>
          <w:spacing w:val="-16"/>
          <w:w w:val="109"/>
        </w:rPr>
        <w:t>r</w:t>
      </w:r>
      <w:r>
        <w:rPr>
          <w:w w:val="102"/>
        </w:rPr>
        <w:t>- </w:t>
      </w:r>
      <w:r>
        <w:rPr>
          <w:w w:val="110"/>
        </w:rPr>
        <w:t>teamericana no pueden formularse, sin embargo, de modo simplista   o automático, sobre la base de lo planteado. En este sentido, no pue- de perderse de vista la especificidad de Estados unidos, cuando se       le compara con otros países. </w:t>
      </w:r>
      <w:r>
        <w:rPr>
          <w:w w:val="125"/>
        </w:rPr>
        <w:t>a </w:t>
      </w:r>
      <w:r>
        <w:rPr>
          <w:w w:val="110"/>
        </w:rPr>
        <w:t>diferencia de lo que ocurre en otras sociedades en las que en la configuración de la nueva formación social se suelen enfrentar paradigmas y proyectos diferentes, alternativos, en Estados unidos los norteamericanos vuelven sus ojos al referen-   te obligado de lo que se suele entender en ese país como el “credo” político. En esencia, éste se concibe como un conjunto de ideas que conforman una cultura política cuyo eje o espina dorsal consiste en  un consenso básico, que si bien no constituye ni una ideología ni una visión sistemática del mundo, sí representa el contenido esencial de la identidad nacional del pueblo estadounidense. Mientras otras nacio- nes construyeron su identidad a partir de una comunidad lingüística, étnica, histórica o cultural, Estados  unidos  encuentra  su  identidad en la adhesión de sus ciudadanos a un mismo credo político. ser </w:t>
      </w:r>
      <w:r>
        <w:rPr>
          <w:spacing w:val="-4"/>
          <w:w w:val="110"/>
        </w:rPr>
        <w:t>nor- </w:t>
      </w:r>
      <w:r>
        <w:rPr>
          <w:w w:val="110"/>
        </w:rPr>
        <w:t>teamericano, en consecuencia, equivale a pertenecer a una unidad de creencia en los ideales de libertad, igualdad, individualismo, demo- cracia e imperio de la </w:t>
      </w:r>
      <w:r>
        <w:rPr>
          <w:spacing w:val="-6"/>
          <w:w w:val="110"/>
        </w:rPr>
        <w:t>ley. </w:t>
      </w:r>
      <w:r>
        <w:rPr>
          <w:w w:val="110"/>
        </w:rPr>
        <w:t>Esa es la base sobre la cual se construye la definición de la identidad nacional norteamericana, o lo que podría también denominarse como el “americanismo” (o “norteamericanis- mo”). Y su negación, contraposición, cuestionamiento, rechazo, es lo que se consideraría, entonces, como “antinorteamericanismo” –con- cepto que adquirió carta de ciudadanía en el contexto de la segunda Guerra Mundial, pero sobre todo luego de concluir la misma, bajo la atmósfera impuesta por el </w:t>
      </w:r>
      <w:r>
        <w:rPr>
          <w:spacing w:val="7"/>
          <w:w w:val="110"/>
        </w:rPr>
        <w:t> </w:t>
      </w:r>
      <w:r>
        <w:rPr>
          <w:w w:val="110"/>
        </w:rPr>
        <w:t>macarthismo.</w:t>
      </w:r>
    </w:p>
    <w:p>
      <w:pPr>
        <w:pStyle w:val="BodyText"/>
        <w:spacing w:line="252" w:lineRule="auto"/>
        <w:ind w:left="330" w:right="118" w:firstLine="396"/>
        <w:jc w:val="both"/>
      </w:pPr>
      <w:r>
        <w:rPr>
          <w:w w:val="110"/>
        </w:rPr>
        <w:t>El concepto de “norteamericanismo” ha resurgido o, por lo me- nos, adquirido un nuevo brío en el presente siglo. Como credo polí- tico, se ha convertido, muy inconvenientemente, en un componente esencial de la cultura política norteamericana (y quizás, hasta </w:t>
      </w:r>
      <w:r>
        <w:rPr>
          <w:spacing w:val="-3"/>
          <w:w w:val="110"/>
        </w:rPr>
        <w:t>cier-     </w:t>
      </w:r>
      <w:r>
        <w:rPr>
          <w:w w:val="110"/>
        </w:rPr>
        <w:t>to punto, de la cultura nacional). Coincidiendo con seymour Martin </w:t>
      </w:r>
      <w:r>
        <w:rPr>
          <w:w w:val="243"/>
        </w:rPr>
        <w:t>l</w:t>
      </w:r>
      <w:r>
        <w:rPr>
          <w:w w:val="110"/>
        </w:rPr>
        <w:t>ipset,</w:t>
      </w:r>
      <w:r>
        <w:rPr/>
        <w:t> </w:t>
      </w:r>
      <w:r>
        <w:rPr>
          <w:spacing w:val="-5"/>
        </w:rPr>
        <w:t> </w:t>
      </w:r>
      <w:r>
        <w:rPr>
          <w:w w:val="108"/>
        </w:rPr>
        <w:t>en</w:t>
      </w:r>
      <w:r>
        <w:rPr/>
        <w:t> </w:t>
      </w:r>
      <w:r>
        <w:rPr>
          <w:spacing w:val="-5"/>
        </w:rPr>
        <w:t> </w:t>
      </w:r>
      <w:r>
        <w:rPr>
          <w:w w:val="105"/>
        </w:rPr>
        <w:t>este</w:t>
      </w:r>
      <w:r>
        <w:rPr/>
        <w:t> </w:t>
      </w:r>
      <w:r>
        <w:rPr>
          <w:spacing w:val="-5"/>
        </w:rPr>
        <w:t> </w:t>
      </w:r>
      <w:r>
        <w:rPr>
          <w:w w:val="110"/>
        </w:rPr>
        <w:t>sentido,</w:t>
      </w:r>
      <w:r>
        <w:rPr/>
        <w:t> </w:t>
      </w:r>
      <w:r>
        <w:rPr>
          <w:spacing w:val="-5"/>
        </w:rPr>
        <w:t> </w:t>
      </w:r>
      <w:r>
        <w:rPr>
          <w:w w:val="107"/>
        </w:rPr>
        <w:t>el</w:t>
      </w:r>
      <w:r>
        <w:rPr/>
        <w:t> </w:t>
      </w:r>
      <w:r>
        <w:rPr>
          <w:spacing w:val="-5"/>
        </w:rPr>
        <w:t> </w:t>
      </w:r>
      <w:r>
        <w:rPr>
          <w:w w:val="111"/>
        </w:rPr>
        <w:t>“americanismo”</w:t>
      </w:r>
      <w:r>
        <w:rPr/>
        <w:t> </w:t>
      </w:r>
      <w:r>
        <w:rPr>
          <w:spacing w:val="-5"/>
        </w:rPr>
        <w:t> </w:t>
      </w:r>
      <w:r>
        <w:rPr>
          <w:w w:val="108"/>
        </w:rPr>
        <w:t>resulta</w:t>
      </w:r>
      <w:r>
        <w:rPr/>
        <w:t> </w:t>
      </w:r>
      <w:r>
        <w:rPr>
          <w:spacing w:val="-5"/>
        </w:rPr>
        <w:t> </w:t>
      </w:r>
      <w:r>
        <w:rPr>
          <w:w w:val="111"/>
        </w:rPr>
        <w:t>“muy</w:t>
      </w:r>
      <w:r>
        <w:rPr/>
        <w:t> </w:t>
      </w:r>
      <w:r>
        <w:rPr>
          <w:spacing w:val="-5"/>
        </w:rPr>
        <w:t> </w:t>
      </w:r>
      <w:r>
        <w:rPr>
          <w:w w:val="109"/>
        </w:rPr>
        <w:t>parecido</w:t>
      </w:r>
      <w:r>
        <w:rPr/>
        <w:t> </w:t>
      </w:r>
      <w:r>
        <w:rPr>
          <w:spacing w:val="-5"/>
        </w:rPr>
        <w:t> </w:t>
      </w:r>
      <w:r>
        <w:rPr>
          <w:w w:val="111"/>
        </w:rPr>
        <w:t>al </w:t>
      </w:r>
      <w:r>
        <w:rPr>
          <w:w w:val="110"/>
        </w:rPr>
        <w:t>socialismo, el comunismo o el fascismo […]. El americanismo se ha convertido en una ideología compulsiva, en lugar de ser un término simplemente nacionalista. El americanismo es un credo, de un modo </w:t>
      </w:r>
      <w:r>
        <w:rPr>
          <w:w w:val="108"/>
        </w:rPr>
        <w:t>que</w:t>
      </w:r>
      <w:r>
        <w:rPr>
          <w:spacing w:val="12"/>
        </w:rPr>
        <w:t> </w:t>
      </w:r>
      <w:r>
        <w:rPr>
          <w:w w:val="107"/>
        </w:rPr>
        <w:t>el</w:t>
      </w:r>
      <w:r>
        <w:rPr>
          <w:spacing w:val="12"/>
        </w:rPr>
        <w:t> </w:t>
      </w:r>
      <w:r>
        <w:rPr>
          <w:w w:val="110"/>
        </w:rPr>
        <w:t>britanismo</w:t>
      </w:r>
      <w:r>
        <w:rPr>
          <w:spacing w:val="12"/>
        </w:rPr>
        <w:t> </w:t>
      </w:r>
      <w:r>
        <w:rPr>
          <w:w w:val="111"/>
        </w:rPr>
        <w:t>no</w:t>
      </w:r>
      <w:r>
        <w:rPr>
          <w:spacing w:val="12"/>
        </w:rPr>
        <w:t> </w:t>
      </w:r>
      <w:r>
        <w:rPr>
          <w:w w:val="108"/>
        </w:rPr>
        <w:t>es”</w:t>
      </w:r>
      <w:r>
        <w:rPr>
          <w:spacing w:val="12"/>
        </w:rPr>
        <w:t> </w:t>
      </w:r>
      <w:r>
        <w:rPr>
          <w:w w:val="98"/>
        </w:rPr>
        <w:t>(</w:t>
      </w:r>
      <w:r>
        <w:rPr>
          <w:w w:val="243"/>
        </w:rPr>
        <w:t>l</w:t>
      </w:r>
      <w:r>
        <w:rPr>
          <w:w w:val="110"/>
        </w:rPr>
        <w:t>ipset,</w:t>
      </w:r>
      <w:r>
        <w:rPr>
          <w:spacing w:val="12"/>
        </w:rPr>
        <w:t> </w:t>
      </w:r>
      <w:r>
        <w:rPr>
          <w:w w:val="103"/>
        </w:rPr>
        <w:t>1964:</w:t>
      </w:r>
      <w:r>
        <w:rPr>
          <w:spacing w:val="12"/>
        </w:rPr>
        <w:t> </w:t>
      </w:r>
      <w:r>
        <w:rPr>
          <w:w w:val="103"/>
        </w:rPr>
        <w:t>316-317).</w:t>
      </w:r>
    </w:p>
    <w:p>
      <w:pPr>
        <w:pStyle w:val="BodyText"/>
        <w:spacing w:line="252" w:lineRule="auto"/>
        <w:ind w:left="330" w:right="118" w:firstLine="396"/>
        <w:jc w:val="both"/>
      </w:pPr>
      <w:r>
        <w:rPr>
          <w:w w:val="110"/>
        </w:rPr>
        <w:t>No obstante, coincidimos en que “se debe subrayar que, para bien o para mal del marco discursivo de política exterior de esta nación,    el americanismo ha sido la columna vertebral en la que se sostiene    el</w:t>
      </w:r>
      <w:r>
        <w:rPr>
          <w:spacing w:val="25"/>
          <w:w w:val="110"/>
        </w:rPr>
        <w:t> </w:t>
      </w:r>
      <w:r>
        <w:rPr>
          <w:w w:val="110"/>
        </w:rPr>
        <w:t>proyecto</w:t>
      </w:r>
      <w:r>
        <w:rPr>
          <w:spacing w:val="25"/>
          <w:w w:val="110"/>
        </w:rPr>
        <w:t> </w:t>
      </w:r>
      <w:r>
        <w:rPr>
          <w:w w:val="110"/>
        </w:rPr>
        <w:t>de</w:t>
      </w:r>
      <w:r>
        <w:rPr>
          <w:spacing w:val="25"/>
          <w:w w:val="110"/>
        </w:rPr>
        <w:t> </w:t>
      </w:r>
      <w:r>
        <w:rPr>
          <w:w w:val="110"/>
        </w:rPr>
        <w:t>política</w:t>
      </w:r>
      <w:r>
        <w:rPr>
          <w:spacing w:val="25"/>
          <w:w w:val="110"/>
        </w:rPr>
        <w:t> </w:t>
      </w:r>
      <w:r>
        <w:rPr>
          <w:w w:val="110"/>
        </w:rPr>
        <w:t>exterior</w:t>
      </w:r>
      <w:r>
        <w:rPr>
          <w:spacing w:val="25"/>
          <w:w w:val="110"/>
        </w:rPr>
        <w:t> </w:t>
      </w:r>
      <w:r>
        <w:rPr>
          <w:w w:val="110"/>
        </w:rPr>
        <w:t>de</w:t>
      </w:r>
      <w:r>
        <w:rPr>
          <w:spacing w:val="25"/>
          <w:w w:val="110"/>
        </w:rPr>
        <w:t> </w:t>
      </w:r>
      <w:r>
        <w:rPr>
          <w:w w:val="110"/>
        </w:rPr>
        <w:t>Estados</w:t>
      </w:r>
      <w:r>
        <w:rPr>
          <w:spacing w:val="25"/>
          <w:w w:val="110"/>
        </w:rPr>
        <w:t> </w:t>
      </w:r>
      <w:r>
        <w:rPr>
          <w:w w:val="110"/>
        </w:rPr>
        <w:t>unidos.</w:t>
      </w:r>
      <w:r>
        <w:rPr>
          <w:spacing w:val="25"/>
          <w:w w:val="110"/>
        </w:rPr>
        <w:t> </w:t>
      </w:r>
      <w:r>
        <w:rPr>
          <w:w w:val="110"/>
        </w:rPr>
        <w:t>En</w:t>
      </w:r>
      <w:r>
        <w:rPr>
          <w:spacing w:val="25"/>
          <w:w w:val="110"/>
        </w:rPr>
        <w:t> </w:t>
      </w:r>
      <w:r>
        <w:rPr>
          <w:w w:val="110"/>
        </w:rPr>
        <w:t>consecuencia,</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representa, junto a la intolerancia, un rasgo esencial de la definición    y defensa del interés nacional estadounidense en su conjunto, cuya máxima expresión se encuentra en el sistema internacional, más </w:t>
      </w:r>
      <w:r>
        <w:rPr>
          <w:spacing w:val="-4"/>
          <w:w w:val="110"/>
        </w:rPr>
        <w:t>par- </w:t>
      </w:r>
      <w:r>
        <w:rPr>
          <w:w w:val="110"/>
        </w:rPr>
        <w:t>ticularmente en el sistema interamericano” </w:t>
      </w:r>
      <w:r>
        <w:rPr>
          <w:spacing w:val="-3"/>
          <w:w w:val="110"/>
        </w:rPr>
        <w:t>(Valdés </w:t>
      </w:r>
      <w:r>
        <w:rPr>
          <w:w w:val="110"/>
        </w:rPr>
        <w:t>ugalde, 2007: 152-153). Justamente, cuando en el ejercicio de su política interna y exterior los ideólogos, los tanques pensantes, los funcionarios y docu- mentos oficiales de los gobiernos norteamericanos han echado mano, en una u otra etapa histórica, a la necesidad de enfrentar cualquier expresión de “antinorteamericanismo”, han concientizado que las </w:t>
      </w:r>
      <w:r>
        <w:rPr>
          <w:spacing w:val="-4"/>
          <w:w w:val="110"/>
        </w:rPr>
        <w:t>cir- </w:t>
      </w:r>
      <w:r>
        <w:rPr>
          <w:w w:val="110"/>
        </w:rPr>
        <w:t>cunstancias exigen la exaltación de los valores fundamentales de la cultura política, de la identidad nacional, como recurso para superar la real o aparente pérdida de legitimidad  interna.</w:t>
      </w:r>
    </w:p>
    <w:p>
      <w:pPr>
        <w:pStyle w:val="BodyText"/>
        <w:spacing w:line="252" w:lineRule="auto"/>
        <w:ind w:left="100" w:right="328" w:firstLine="396"/>
        <w:jc w:val="both"/>
      </w:pPr>
      <w:r>
        <w:rPr>
          <w:spacing w:val="-1"/>
          <w:w w:val="243"/>
        </w:rPr>
        <w:t>l</w:t>
      </w:r>
      <w:r>
        <w:rPr>
          <w:spacing w:val="-1"/>
          <w:w w:val="108"/>
        </w:rPr>
        <w:t>o</w:t>
      </w:r>
      <w:r>
        <w:rPr>
          <w:w w:val="108"/>
        </w:rPr>
        <w:t>s</w:t>
      </w:r>
      <w:r>
        <w:rPr/>
        <w:t> </w:t>
      </w:r>
      <w:r>
        <w:rPr>
          <w:spacing w:val="20"/>
        </w:rPr>
        <w:t> </w:t>
      </w:r>
      <w:r>
        <w:rPr>
          <w:spacing w:val="-1"/>
          <w:w w:val="109"/>
        </w:rPr>
        <w:t>componente</w:t>
      </w:r>
      <w:r>
        <w:rPr>
          <w:w w:val="109"/>
        </w:rPr>
        <w:t>s</w:t>
      </w:r>
      <w:r>
        <w:rPr/>
        <w:t> </w:t>
      </w:r>
      <w:r>
        <w:rPr>
          <w:spacing w:val="20"/>
        </w:rPr>
        <w:t> </w:t>
      </w:r>
      <w:r>
        <w:rPr>
          <w:spacing w:val="-1"/>
          <w:w w:val="108"/>
        </w:rPr>
        <w:t>qu</w:t>
      </w:r>
      <w:r>
        <w:rPr>
          <w:w w:val="108"/>
        </w:rPr>
        <w:t>e</w:t>
      </w:r>
      <w:r>
        <w:rPr/>
        <w:t> </w:t>
      </w:r>
      <w:r>
        <w:rPr>
          <w:spacing w:val="20"/>
        </w:rPr>
        <w:t> </w:t>
      </w:r>
      <w:r>
        <w:rPr>
          <w:spacing w:val="-1"/>
          <w:w w:val="105"/>
        </w:rPr>
        <w:t>s</w:t>
      </w:r>
      <w:r>
        <w:rPr>
          <w:w w:val="105"/>
        </w:rPr>
        <w:t>e</w:t>
      </w:r>
      <w:r>
        <w:rPr/>
        <w:t> </w:t>
      </w:r>
      <w:r>
        <w:rPr>
          <w:spacing w:val="20"/>
        </w:rPr>
        <w:t> </w:t>
      </w:r>
      <w:r>
        <w:rPr>
          <w:spacing w:val="-1"/>
          <w:w w:val="110"/>
        </w:rPr>
        <w:t>ensambla</w:t>
      </w:r>
      <w:r>
        <w:rPr>
          <w:w w:val="110"/>
        </w:rPr>
        <w:t>n</w:t>
      </w:r>
      <w:r>
        <w:rPr/>
        <w:t> </w:t>
      </w:r>
      <w:r>
        <w:rPr>
          <w:spacing w:val="20"/>
        </w:rPr>
        <w:t> </w:t>
      </w:r>
      <w:r>
        <w:rPr>
          <w:spacing w:val="-1"/>
          <w:w w:val="112"/>
        </w:rPr>
        <w:t>com</w:t>
      </w:r>
      <w:r>
        <w:rPr>
          <w:w w:val="112"/>
        </w:rPr>
        <w:t>o</w:t>
      </w:r>
      <w:r>
        <w:rPr/>
        <w:t> </w:t>
      </w:r>
      <w:r>
        <w:rPr>
          <w:spacing w:val="20"/>
        </w:rPr>
        <w:t> </w:t>
      </w:r>
      <w:r>
        <w:rPr>
          <w:spacing w:val="-1"/>
          <w:w w:val="108"/>
        </w:rPr>
        <w:t>piedr</w:t>
      </w:r>
      <w:r>
        <w:rPr>
          <w:w w:val="108"/>
        </w:rPr>
        <w:t>a</w:t>
      </w:r>
      <w:r>
        <w:rPr/>
        <w:t> </w:t>
      </w:r>
      <w:r>
        <w:rPr>
          <w:spacing w:val="20"/>
        </w:rPr>
        <w:t> </w:t>
      </w:r>
      <w:r>
        <w:rPr>
          <w:spacing w:val="-1"/>
          <w:w w:val="111"/>
        </w:rPr>
        <w:t>angula</w:t>
      </w:r>
      <w:r>
        <w:rPr>
          <w:w w:val="111"/>
        </w:rPr>
        <w:t>r</w:t>
      </w:r>
      <w:r>
        <w:rPr/>
        <w:t> </w:t>
      </w:r>
      <w:r>
        <w:rPr>
          <w:spacing w:val="20"/>
        </w:rPr>
        <w:t> </w:t>
      </w:r>
      <w:r>
        <w:rPr>
          <w:spacing w:val="-1"/>
          <w:w w:val="107"/>
        </w:rPr>
        <w:t>del </w:t>
      </w:r>
      <w:r>
        <w:rPr>
          <w:w w:val="110"/>
        </w:rPr>
        <w:t>“americanismo” incluyen principios, valores, definiciones, que desde el</w:t>
      </w:r>
      <w:r>
        <w:rPr>
          <w:spacing w:val="-5"/>
          <w:w w:val="110"/>
        </w:rPr>
        <w:t> </w:t>
      </w:r>
      <w:r>
        <w:rPr>
          <w:w w:val="110"/>
        </w:rPr>
        <w:t>proceso</w:t>
      </w:r>
      <w:r>
        <w:rPr>
          <w:spacing w:val="-5"/>
          <w:w w:val="110"/>
        </w:rPr>
        <w:t> </w:t>
      </w:r>
      <w:r>
        <w:rPr>
          <w:w w:val="110"/>
        </w:rPr>
        <w:t>de</w:t>
      </w:r>
      <w:r>
        <w:rPr>
          <w:spacing w:val="-5"/>
          <w:w w:val="110"/>
        </w:rPr>
        <w:t> </w:t>
      </w:r>
      <w:r>
        <w:rPr>
          <w:w w:val="110"/>
        </w:rPr>
        <w:t>formación</w:t>
      </w:r>
      <w:r>
        <w:rPr>
          <w:spacing w:val="-5"/>
          <w:w w:val="110"/>
        </w:rPr>
        <w:t> </w:t>
      </w:r>
      <w:r>
        <w:rPr>
          <w:w w:val="110"/>
        </w:rPr>
        <w:t>de</w:t>
      </w:r>
      <w:r>
        <w:rPr>
          <w:spacing w:val="-5"/>
          <w:w w:val="110"/>
        </w:rPr>
        <w:t> </w:t>
      </w:r>
      <w:r>
        <w:rPr>
          <w:w w:val="110"/>
        </w:rPr>
        <w:t>la</w:t>
      </w:r>
      <w:r>
        <w:rPr>
          <w:spacing w:val="-5"/>
          <w:w w:val="110"/>
        </w:rPr>
        <w:t> </w:t>
      </w:r>
      <w:r>
        <w:rPr>
          <w:w w:val="110"/>
        </w:rPr>
        <w:t>nación</w:t>
      </w:r>
      <w:r>
        <w:rPr>
          <w:spacing w:val="-5"/>
          <w:w w:val="110"/>
        </w:rPr>
        <w:t> </w:t>
      </w:r>
      <w:r>
        <w:rPr>
          <w:w w:val="110"/>
        </w:rPr>
        <w:t>se</w:t>
      </w:r>
      <w:r>
        <w:rPr>
          <w:spacing w:val="-5"/>
          <w:w w:val="110"/>
        </w:rPr>
        <w:t> </w:t>
      </w:r>
      <w:r>
        <w:rPr>
          <w:w w:val="110"/>
        </w:rPr>
        <w:t>expresan</w:t>
      </w:r>
      <w:r>
        <w:rPr>
          <w:spacing w:val="-5"/>
          <w:w w:val="110"/>
        </w:rPr>
        <w:t> </w:t>
      </w:r>
      <w:r>
        <w:rPr>
          <w:w w:val="110"/>
        </w:rPr>
        <w:t>en</w:t>
      </w:r>
      <w:r>
        <w:rPr>
          <w:spacing w:val="-5"/>
          <w:w w:val="110"/>
        </w:rPr>
        <w:t> </w:t>
      </w:r>
      <w:r>
        <w:rPr>
          <w:w w:val="110"/>
        </w:rPr>
        <w:t>el</w:t>
      </w:r>
      <w:r>
        <w:rPr>
          <w:spacing w:val="-5"/>
          <w:w w:val="110"/>
        </w:rPr>
        <w:t> </w:t>
      </w:r>
      <w:r>
        <w:rPr>
          <w:w w:val="110"/>
        </w:rPr>
        <w:t>pensamiento</w:t>
      </w:r>
      <w:r>
        <w:rPr>
          <w:spacing w:val="-5"/>
          <w:w w:val="110"/>
        </w:rPr>
        <w:t> </w:t>
      </w:r>
      <w:r>
        <w:rPr>
          <w:w w:val="110"/>
        </w:rPr>
        <w:t>de los padres fundadores y en los documentos históricos que simbolizan la independencia y el surgimiento de Estados unidos: el rol mesiánico, la vocación expansionista, la convicción de ser un pueblo elegido, el fundamentalismo puritano, la ética protestante, el destino manifies- to, la consagración de la propiedad privada, la armonización entre los intereses individuales y el interés general, el mito sobre la igualdad</w:t>
      </w:r>
      <w:r>
        <w:rPr>
          <w:spacing w:val="-11"/>
          <w:w w:val="110"/>
        </w:rPr>
        <w:t> </w:t>
      </w:r>
      <w:r>
        <w:rPr>
          <w:w w:val="110"/>
        </w:rPr>
        <w:t>de oportunidades, la certeza en el papel del mercado y la competencia como</w:t>
      </w:r>
      <w:r>
        <w:rPr>
          <w:spacing w:val="-9"/>
          <w:w w:val="110"/>
        </w:rPr>
        <w:t> </w:t>
      </w:r>
      <w:r>
        <w:rPr>
          <w:w w:val="110"/>
        </w:rPr>
        <w:t>reguladores</w:t>
      </w:r>
      <w:r>
        <w:rPr>
          <w:spacing w:val="-9"/>
          <w:w w:val="110"/>
        </w:rPr>
        <w:t> </w:t>
      </w:r>
      <w:r>
        <w:rPr>
          <w:w w:val="110"/>
        </w:rPr>
        <w:t>de</w:t>
      </w:r>
      <w:r>
        <w:rPr>
          <w:spacing w:val="-9"/>
          <w:w w:val="110"/>
        </w:rPr>
        <w:t> </w:t>
      </w:r>
      <w:r>
        <w:rPr>
          <w:w w:val="110"/>
        </w:rPr>
        <w:t>todas</w:t>
      </w:r>
      <w:r>
        <w:rPr>
          <w:spacing w:val="-9"/>
          <w:w w:val="110"/>
        </w:rPr>
        <w:t> </w:t>
      </w:r>
      <w:r>
        <w:rPr>
          <w:w w:val="110"/>
        </w:rPr>
        <w:t>las</w:t>
      </w:r>
      <w:r>
        <w:rPr>
          <w:spacing w:val="-9"/>
          <w:w w:val="110"/>
        </w:rPr>
        <w:t> </w:t>
      </w:r>
      <w:r>
        <w:rPr>
          <w:w w:val="110"/>
        </w:rPr>
        <w:t>relaciones</w:t>
      </w:r>
      <w:r>
        <w:rPr>
          <w:spacing w:val="-9"/>
          <w:w w:val="110"/>
        </w:rPr>
        <w:t> </w:t>
      </w:r>
      <w:r>
        <w:rPr>
          <w:w w:val="110"/>
        </w:rPr>
        <w:t>sociales,</w:t>
      </w:r>
      <w:r>
        <w:rPr>
          <w:spacing w:val="-9"/>
          <w:w w:val="110"/>
        </w:rPr>
        <w:t> </w:t>
      </w:r>
      <w:r>
        <w:rPr>
          <w:w w:val="110"/>
        </w:rPr>
        <w:t>la</w:t>
      </w:r>
      <w:r>
        <w:rPr>
          <w:spacing w:val="-9"/>
          <w:w w:val="110"/>
        </w:rPr>
        <w:t> </w:t>
      </w:r>
      <w:r>
        <w:rPr>
          <w:w w:val="110"/>
        </w:rPr>
        <w:t>complementación entre liberalismo y conservadurismo, el etnocentrismo y la convicción de que el Estado requería ciertos límites en su actuación</w:t>
      </w:r>
      <w:r>
        <w:rPr>
          <w:spacing w:val="31"/>
          <w:w w:val="110"/>
        </w:rPr>
        <w:t> </w:t>
      </w:r>
      <w:r>
        <w:rPr>
          <w:w w:val="110"/>
        </w:rPr>
        <w:t>social.</w:t>
      </w:r>
    </w:p>
    <w:p>
      <w:pPr>
        <w:pStyle w:val="BodyText"/>
        <w:spacing w:line="252" w:lineRule="auto"/>
        <w:ind w:left="100" w:right="327" w:firstLine="396"/>
        <w:jc w:val="both"/>
      </w:pPr>
      <w:r>
        <w:rPr>
          <w:w w:val="110"/>
        </w:rPr>
        <w:t>Ese consenso básico, no obstante, dista de ser una estructura rígi- da, incapaz de experimentar transformaciones. Ese credo ha cambia- do históricamente. El sentido de libertad o el de igualdad, por ejem- plo, siempre han mantenido su lugar y vigencia, pero su significado     y definición han sido distintos para el puritanismo o para los movi- mientos de los derechos civiles, para el llamado </w:t>
      </w:r>
      <w:r>
        <w:rPr>
          <w:i/>
          <w:w w:val="110"/>
        </w:rPr>
        <w:t>New Deal</w:t>
      </w:r>
      <w:r>
        <w:rPr>
          <w:w w:val="110"/>
        </w:rPr>
        <w:t>, en los años treinta, o para la denominada revolución conservadora, en el decenio de 1980. de ahí que los conflictos no surjan a propósito de valores diferentes. Por el contrario, lo que está sujeto a debate y a discusiones es la manera concreta en que los valores se actualizan en un determi- nado ordenamiento de lo social. Es por ello que en Estados unidos,   las crisis adoptan la modalidad de ruptura de las formas históricas y estructurales en que se concreta el</w:t>
      </w:r>
      <w:r>
        <w:rPr>
          <w:spacing w:val="21"/>
          <w:w w:val="110"/>
        </w:rPr>
        <w:t> </w:t>
      </w:r>
      <w:r>
        <w:rPr>
          <w:w w:val="110"/>
        </w:rPr>
        <w:t>consenso.</w:t>
      </w:r>
    </w:p>
    <w:p>
      <w:pPr>
        <w:pStyle w:val="BodyText"/>
        <w:spacing w:before="5"/>
      </w:pPr>
    </w:p>
    <w:p>
      <w:pPr>
        <w:pStyle w:val="Heading6"/>
      </w:pPr>
      <w:r>
        <w:rPr>
          <w:spacing w:val="3"/>
          <w:w w:val="134"/>
        </w:rPr>
        <w:t>e</w:t>
      </w:r>
      <w:r>
        <w:rPr>
          <w:w w:val="128"/>
        </w:rPr>
        <w:t>n</w:t>
      </w:r>
      <w:r>
        <w:rPr>
          <w:spacing w:val="-8"/>
        </w:rPr>
        <w:t> </w:t>
      </w:r>
      <w:r>
        <w:rPr>
          <w:spacing w:val="-3"/>
          <w:w w:val="201"/>
        </w:rPr>
        <w:t>l</w:t>
      </w:r>
      <w:r>
        <w:rPr>
          <w:spacing w:val="3"/>
          <w:w w:val="131"/>
        </w:rPr>
        <w:t>u</w:t>
      </w:r>
      <w:r>
        <w:rPr>
          <w:spacing w:val="2"/>
          <w:w w:val="89"/>
        </w:rPr>
        <w:t>G</w:t>
      </w:r>
      <w:r>
        <w:rPr>
          <w:spacing w:val="2"/>
          <w:w w:val="136"/>
        </w:rPr>
        <w:t>a</w:t>
      </w:r>
      <w:r>
        <w:rPr>
          <w:w w:val="136"/>
        </w:rPr>
        <w:t>r</w:t>
      </w:r>
      <w:r>
        <w:rPr>
          <w:spacing w:val="-8"/>
        </w:rPr>
        <w:t> </w:t>
      </w:r>
      <w:r>
        <w:rPr>
          <w:spacing w:val="2"/>
          <w:w w:val="132"/>
        </w:rPr>
        <w:t>d</w:t>
      </w:r>
      <w:r>
        <w:rPr>
          <w:w w:val="132"/>
        </w:rPr>
        <w:t>e</w:t>
      </w:r>
      <w:r>
        <w:rPr>
          <w:spacing w:val="-8"/>
        </w:rPr>
        <w:t> </w:t>
      </w:r>
      <w:r>
        <w:rPr>
          <w:spacing w:val="2"/>
          <w:w w:val="148"/>
        </w:rPr>
        <w:t>conc</w:t>
      </w:r>
      <w:r>
        <w:rPr>
          <w:spacing w:val="-3"/>
          <w:w w:val="148"/>
        </w:rPr>
        <w:t>l</w:t>
      </w:r>
      <w:r>
        <w:rPr>
          <w:spacing w:val="2"/>
          <w:w w:val="131"/>
        </w:rPr>
        <w:t>u</w:t>
      </w:r>
      <w:r>
        <w:rPr>
          <w:spacing w:val="2"/>
          <w:w w:val="134"/>
        </w:rPr>
        <w:t>sion</w:t>
      </w:r>
      <w:r>
        <w:rPr>
          <w:spacing w:val="3"/>
          <w:w w:val="134"/>
        </w:rPr>
        <w:t>e</w:t>
      </w:r>
      <w:r>
        <w:rPr>
          <w:w w:val="136"/>
        </w:rPr>
        <w:t>s</w:t>
      </w:r>
    </w:p>
    <w:p>
      <w:pPr>
        <w:pStyle w:val="BodyText"/>
        <w:spacing w:line="252" w:lineRule="auto" w:before="10"/>
        <w:ind w:left="100" w:right="328"/>
        <w:jc w:val="both"/>
      </w:pPr>
      <w:r>
        <w:rPr>
          <w:spacing w:val="-1"/>
          <w:w w:val="243"/>
        </w:rPr>
        <w:t>l</w:t>
      </w:r>
      <w:r>
        <w:rPr>
          <w:w w:val="112"/>
        </w:rPr>
        <w:t>a</w:t>
      </w:r>
      <w:r>
        <w:rPr/>
        <w:t> </w:t>
      </w:r>
      <w:r>
        <w:rPr>
          <w:spacing w:val="-13"/>
        </w:rPr>
        <w:t> </w:t>
      </w:r>
      <w:r>
        <w:rPr>
          <w:spacing w:val="-1"/>
          <w:w w:val="111"/>
        </w:rPr>
        <w:t>situació</w:t>
      </w:r>
      <w:r>
        <w:rPr>
          <w:w w:val="111"/>
        </w:rPr>
        <w:t>n</w:t>
      </w:r>
      <w:r>
        <w:rPr/>
        <w:t> </w:t>
      </w:r>
      <w:r>
        <w:rPr>
          <w:spacing w:val="-13"/>
        </w:rPr>
        <w:t> </w:t>
      </w:r>
      <w:r>
        <w:rPr>
          <w:spacing w:val="-1"/>
          <w:w w:val="108"/>
        </w:rPr>
        <w:t>qu</w:t>
      </w:r>
      <w:r>
        <w:rPr>
          <w:w w:val="108"/>
        </w:rPr>
        <w:t>e</w:t>
      </w:r>
      <w:r>
        <w:rPr/>
        <w:t> </w:t>
      </w:r>
      <w:r>
        <w:rPr>
          <w:spacing w:val="-13"/>
        </w:rPr>
        <w:t> </w:t>
      </w:r>
      <w:r>
        <w:rPr>
          <w:spacing w:val="-1"/>
          <w:w w:val="105"/>
        </w:rPr>
        <w:t>s</w:t>
      </w:r>
      <w:r>
        <w:rPr>
          <w:w w:val="105"/>
        </w:rPr>
        <w:t>e</w:t>
      </w:r>
      <w:r>
        <w:rPr/>
        <w:t> </w:t>
      </w:r>
      <w:r>
        <w:rPr>
          <w:spacing w:val="-13"/>
        </w:rPr>
        <w:t> </w:t>
      </w:r>
      <w:r>
        <w:rPr>
          <w:spacing w:val="-1"/>
          <w:w w:val="110"/>
        </w:rPr>
        <w:t>impon</w:t>
      </w:r>
      <w:r>
        <w:rPr>
          <w:w w:val="110"/>
        </w:rPr>
        <w:t>e</w:t>
      </w:r>
      <w:r>
        <w:rPr/>
        <w:t> </w:t>
      </w:r>
      <w:r>
        <w:rPr>
          <w:spacing w:val="-13"/>
        </w:rPr>
        <w:t> </w:t>
      </w:r>
      <w:r>
        <w:rPr>
          <w:spacing w:val="-1"/>
          <w:w w:val="110"/>
        </w:rPr>
        <w:t>lueg</w:t>
      </w:r>
      <w:r>
        <w:rPr>
          <w:w w:val="110"/>
        </w:rPr>
        <w:t>o</w:t>
      </w:r>
      <w:r>
        <w:rPr/>
        <w:t> </w:t>
      </w:r>
      <w:r>
        <w:rPr>
          <w:spacing w:val="-13"/>
        </w:rPr>
        <w:t> </w:t>
      </w:r>
      <w:r>
        <w:rPr>
          <w:spacing w:val="-1"/>
          <w:w w:val="107"/>
        </w:rPr>
        <w:t>d</w:t>
      </w:r>
      <w:r>
        <w:rPr>
          <w:w w:val="107"/>
        </w:rPr>
        <w:t>e</w:t>
      </w:r>
      <w:r>
        <w:rPr/>
        <w:t> </w:t>
      </w:r>
      <w:r>
        <w:rPr>
          <w:spacing w:val="-13"/>
        </w:rPr>
        <w:t> </w:t>
      </w:r>
      <w:r>
        <w:rPr>
          <w:spacing w:val="-1"/>
          <w:w w:val="108"/>
        </w:rPr>
        <w:t>lo</w:t>
      </w:r>
      <w:r>
        <w:rPr>
          <w:w w:val="108"/>
        </w:rPr>
        <w:t>s</w:t>
      </w:r>
      <w:r>
        <w:rPr/>
        <w:t> </w:t>
      </w:r>
      <w:r>
        <w:rPr>
          <w:spacing w:val="-13"/>
        </w:rPr>
        <w:t> </w:t>
      </w:r>
      <w:r>
        <w:rPr>
          <w:spacing w:val="-1"/>
          <w:w w:val="109"/>
        </w:rPr>
        <w:t>atentado</w:t>
      </w:r>
      <w:r>
        <w:rPr>
          <w:w w:val="109"/>
        </w:rPr>
        <w:t>s</w:t>
      </w:r>
      <w:r>
        <w:rPr/>
        <w:t> </w:t>
      </w:r>
      <w:r>
        <w:rPr>
          <w:spacing w:val="-13"/>
        </w:rPr>
        <w:t> </w:t>
      </w:r>
      <w:r>
        <w:rPr>
          <w:spacing w:val="-1"/>
          <w:w w:val="107"/>
        </w:rPr>
        <w:t>terrorista</w:t>
      </w:r>
      <w:r>
        <w:rPr>
          <w:w w:val="107"/>
        </w:rPr>
        <w:t>s</w:t>
      </w:r>
      <w:r>
        <w:rPr/>
        <w:t> </w:t>
      </w:r>
      <w:r>
        <w:rPr>
          <w:spacing w:val="-13"/>
        </w:rPr>
        <w:t> </w:t>
      </w:r>
      <w:r>
        <w:rPr>
          <w:spacing w:val="-1"/>
          <w:w w:val="107"/>
        </w:rPr>
        <w:t>de</w:t>
      </w:r>
      <w:r>
        <w:rPr>
          <w:w w:val="107"/>
        </w:rPr>
        <w:t>l</w:t>
      </w:r>
      <w:r>
        <w:rPr/>
        <w:t> </w:t>
      </w:r>
      <w:r>
        <w:rPr>
          <w:spacing w:val="-13"/>
        </w:rPr>
        <w:t> </w:t>
      </w:r>
      <w:r>
        <w:rPr>
          <w:spacing w:val="-1"/>
          <w:w w:val="102"/>
        </w:rPr>
        <w:t>11 </w:t>
      </w:r>
      <w:r>
        <w:rPr>
          <w:w w:val="110"/>
        </w:rPr>
        <w:t>de septiembre de 2001 establece un terreno sumamente fértil para la continuidad,</w:t>
      </w:r>
      <w:r>
        <w:rPr>
          <w:spacing w:val="-11"/>
          <w:w w:val="110"/>
        </w:rPr>
        <w:t> </w:t>
      </w:r>
      <w:r>
        <w:rPr>
          <w:w w:val="110"/>
        </w:rPr>
        <w:t>florecimiento</w:t>
      </w:r>
      <w:r>
        <w:rPr>
          <w:spacing w:val="-11"/>
          <w:w w:val="110"/>
        </w:rPr>
        <w:t> </w:t>
      </w:r>
      <w:r>
        <w:rPr>
          <w:w w:val="110"/>
        </w:rPr>
        <w:t>y</w:t>
      </w:r>
      <w:r>
        <w:rPr>
          <w:spacing w:val="-11"/>
          <w:w w:val="110"/>
        </w:rPr>
        <w:t> </w:t>
      </w:r>
      <w:r>
        <w:rPr>
          <w:w w:val="110"/>
        </w:rPr>
        <w:t>renovación</w:t>
      </w:r>
      <w:r>
        <w:rPr>
          <w:spacing w:val="-11"/>
          <w:w w:val="110"/>
        </w:rPr>
        <w:t> </w:t>
      </w:r>
      <w:r>
        <w:rPr>
          <w:w w:val="110"/>
        </w:rPr>
        <w:t>del</w:t>
      </w:r>
      <w:r>
        <w:rPr>
          <w:spacing w:val="-11"/>
          <w:w w:val="110"/>
        </w:rPr>
        <w:t> </w:t>
      </w:r>
      <w:r>
        <w:rPr>
          <w:w w:val="110"/>
        </w:rPr>
        <w:t>consenso</w:t>
      </w:r>
      <w:r>
        <w:rPr>
          <w:spacing w:val="-11"/>
          <w:w w:val="110"/>
        </w:rPr>
        <w:t> </w:t>
      </w:r>
      <w:r>
        <w:rPr>
          <w:w w:val="110"/>
        </w:rPr>
        <w:t>–que</w:t>
      </w:r>
      <w:r>
        <w:rPr>
          <w:spacing w:val="-11"/>
          <w:w w:val="110"/>
        </w:rPr>
        <w:t> </w:t>
      </w:r>
      <w:r>
        <w:rPr>
          <w:w w:val="110"/>
        </w:rPr>
        <w:t>es</w:t>
      </w:r>
      <w:r>
        <w:rPr>
          <w:spacing w:val="-11"/>
          <w:w w:val="110"/>
        </w:rPr>
        <w:t> </w:t>
      </w:r>
      <w:r>
        <w:rPr>
          <w:w w:val="110"/>
        </w:rPr>
        <w:t>esencial-</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98"/>
        <w:jc w:val="both"/>
      </w:pPr>
      <w:r>
        <w:rPr>
          <w:w w:val="110"/>
        </w:rPr>
        <w:t>mente</w:t>
      </w:r>
      <w:r>
        <w:rPr>
          <w:spacing w:val="-14"/>
          <w:w w:val="110"/>
        </w:rPr>
        <w:t> </w:t>
      </w:r>
      <w:r>
        <w:rPr>
          <w:w w:val="110"/>
        </w:rPr>
        <w:t>conservador–</w:t>
      </w:r>
      <w:r>
        <w:rPr>
          <w:spacing w:val="-14"/>
          <w:w w:val="110"/>
        </w:rPr>
        <w:t> </w:t>
      </w:r>
      <w:r>
        <w:rPr>
          <w:w w:val="110"/>
        </w:rPr>
        <w:t>a</w:t>
      </w:r>
      <w:r>
        <w:rPr>
          <w:spacing w:val="-14"/>
          <w:w w:val="110"/>
        </w:rPr>
        <w:t> </w:t>
      </w:r>
      <w:r>
        <w:rPr>
          <w:w w:val="110"/>
        </w:rPr>
        <w:t>la</w:t>
      </w:r>
      <w:r>
        <w:rPr>
          <w:spacing w:val="-14"/>
          <w:w w:val="110"/>
        </w:rPr>
        <w:t> </w:t>
      </w:r>
      <w:r>
        <w:rPr>
          <w:w w:val="110"/>
        </w:rPr>
        <w:t>luz</w:t>
      </w:r>
      <w:r>
        <w:rPr>
          <w:spacing w:val="-14"/>
          <w:w w:val="110"/>
        </w:rPr>
        <w:t> </w:t>
      </w:r>
      <w:r>
        <w:rPr>
          <w:w w:val="110"/>
        </w:rPr>
        <w:t>del</w:t>
      </w:r>
      <w:r>
        <w:rPr>
          <w:spacing w:val="-14"/>
          <w:w w:val="110"/>
        </w:rPr>
        <w:t> </w:t>
      </w:r>
      <w:r>
        <w:rPr>
          <w:w w:val="110"/>
        </w:rPr>
        <w:t>nuevo</w:t>
      </w:r>
      <w:r>
        <w:rPr>
          <w:spacing w:val="-14"/>
          <w:w w:val="110"/>
        </w:rPr>
        <w:t> </w:t>
      </w:r>
      <w:r>
        <w:rPr>
          <w:w w:val="110"/>
        </w:rPr>
        <w:t>contexto</w:t>
      </w:r>
      <w:r>
        <w:rPr>
          <w:spacing w:val="-14"/>
          <w:w w:val="110"/>
        </w:rPr>
        <w:t> </w:t>
      </w:r>
      <w:r>
        <w:rPr>
          <w:w w:val="110"/>
        </w:rPr>
        <w:t>interno</w:t>
      </w:r>
      <w:r>
        <w:rPr>
          <w:spacing w:val="-14"/>
          <w:w w:val="110"/>
        </w:rPr>
        <w:t> </w:t>
      </w:r>
      <w:r>
        <w:rPr>
          <w:w w:val="110"/>
        </w:rPr>
        <w:t>e</w:t>
      </w:r>
      <w:r>
        <w:rPr>
          <w:spacing w:val="-14"/>
          <w:w w:val="110"/>
        </w:rPr>
        <w:t> </w:t>
      </w:r>
      <w:r>
        <w:rPr>
          <w:w w:val="110"/>
        </w:rPr>
        <w:t>internacional. desde entonces se argumenta la lucha contra el “antinorteamericanis- mo”, lo cual ha sido subrayado por autores como Howard Zinn, Noam Chomsky o Gore </w:t>
      </w:r>
      <w:r>
        <w:rPr>
          <w:spacing w:val="-3"/>
          <w:w w:val="110"/>
        </w:rPr>
        <w:t>Vidal, </w:t>
      </w:r>
      <w:r>
        <w:rPr>
          <w:w w:val="110"/>
        </w:rPr>
        <w:t>entre otros. de ese modo, el “americanismo” (los valores que lo integran, que conforman la identidad norteameri- cana), como credo político-ideológico, se ha convertido en el siglo </w:t>
      </w:r>
      <w:r>
        <w:rPr>
          <w:w w:val="125"/>
        </w:rPr>
        <w:t>xxi </w:t>
      </w:r>
      <w:r>
        <w:rPr>
          <w:w w:val="110"/>
        </w:rPr>
        <w:t>en un componente esencial de la cultura política estadounidense. así, retomando una línea de razonamiento ya anticipada en este trabajo,</w:t>
      </w:r>
      <w:r>
        <w:rPr>
          <w:spacing w:val="-18"/>
          <w:w w:val="110"/>
        </w:rPr>
        <w:t> </w:t>
      </w:r>
      <w:r>
        <w:rPr>
          <w:w w:val="110"/>
        </w:rPr>
        <w:t>el “antinorteamericanismo” se emparenta con el “anticomunismo” o el “antifascismo”. Y como sucedió bajo otras circunstancias, el saldo es sumamente funcional a la hora de justificar una tarea cultural impos- tergable, en la que la (re)creación de símbolos es indispensable para superar la aparente o real pérdida de legitimidad interna. “El</w:t>
      </w:r>
      <w:r>
        <w:rPr>
          <w:spacing w:val="-16"/>
          <w:w w:val="110"/>
        </w:rPr>
        <w:t> </w:t>
      </w:r>
      <w:r>
        <w:rPr>
          <w:w w:val="110"/>
        </w:rPr>
        <w:t>conjunto de políticas y leyes adoptadas por Estados unidos a raíz de los</w:t>
      </w:r>
      <w:r>
        <w:rPr>
          <w:spacing w:val="-18"/>
          <w:w w:val="110"/>
        </w:rPr>
        <w:t> </w:t>
      </w:r>
      <w:r>
        <w:rPr>
          <w:w w:val="110"/>
        </w:rPr>
        <w:t>ataques del</w:t>
      </w:r>
      <w:r>
        <w:rPr>
          <w:spacing w:val="-4"/>
          <w:w w:val="110"/>
        </w:rPr>
        <w:t> </w:t>
      </w:r>
      <w:r>
        <w:rPr>
          <w:w w:val="110"/>
        </w:rPr>
        <w:t>11</w:t>
      </w:r>
      <w:r>
        <w:rPr>
          <w:spacing w:val="-4"/>
          <w:w w:val="110"/>
        </w:rPr>
        <w:t> </w:t>
      </w:r>
      <w:r>
        <w:rPr>
          <w:w w:val="110"/>
        </w:rPr>
        <w:t>de</w:t>
      </w:r>
      <w:r>
        <w:rPr>
          <w:spacing w:val="-4"/>
          <w:w w:val="110"/>
        </w:rPr>
        <w:t> </w:t>
      </w:r>
      <w:r>
        <w:rPr>
          <w:w w:val="110"/>
        </w:rPr>
        <w:t>septiembre</w:t>
      </w:r>
      <w:r>
        <w:rPr>
          <w:spacing w:val="-4"/>
          <w:w w:val="110"/>
        </w:rPr>
        <w:t> </w:t>
      </w:r>
      <w:r>
        <w:rPr>
          <w:w w:val="110"/>
        </w:rPr>
        <w:t>de</w:t>
      </w:r>
      <w:r>
        <w:rPr>
          <w:spacing w:val="-4"/>
          <w:w w:val="110"/>
        </w:rPr>
        <w:t> </w:t>
      </w:r>
      <w:r>
        <w:rPr>
          <w:w w:val="110"/>
        </w:rPr>
        <w:t>2001</w:t>
      </w:r>
      <w:r>
        <w:rPr>
          <w:spacing w:val="-4"/>
          <w:w w:val="110"/>
        </w:rPr>
        <w:t> </w:t>
      </w:r>
      <w:r>
        <w:rPr>
          <w:w w:val="110"/>
        </w:rPr>
        <w:t>–se</w:t>
      </w:r>
      <w:r>
        <w:rPr>
          <w:spacing w:val="-4"/>
          <w:w w:val="110"/>
        </w:rPr>
        <w:t> </w:t>
      </w:r>
      <w:r>
        <w:rPr>
          <w:w w:val="110"/>
        </w:rPr>
        <w:t>enfatiza</w:t>
      </w:r>
      <w:r>
        <w:rPr>
          <w:spacing w:val="-4"/>
          <w:w w:val="110"/>
        </w:rPr>
        <w:t> </w:t>
      </w:r>
      <w:r>
        <w:rPr>
          <w:w w:val="110"/>
        </w:rPr>
        <w:t>con</w:t>
      </w:r>
      <w:r>
        <w:rPr>
          <w:spacing w:val="-4"/>
          <w:w w:val="110"/>
        </w:rPr>
        <w:t> </w:t>
      </w:r>
      <w:r>
        <w:rPr>
          <w:w w:val="110"/>
        </w:rPr>
        <w:t>razón–</w:t>
      </w:r>
      <w:r>
        <w:rPr>
          <w:spacing w:val="-4"/>
          <w:w w:val="110"/>
        </w:rPr>
        <w:t> </w:t>
      </w:r>
      <w:r>
        <w:rPr>
          <w:w w:val="110"/>
        </w:rPr>
        <w:t>sacrifica</w:t>
      </w:r>
      <w:r>
        <w:rPr>
          <w:spacing w:val="-4"/>
          <w:w w:val="110"/>
        </w:rPr>
        <w:t> </w:t>
      </w:r>
      <w:r>
        <w:rPr>
          <w:w w:val="110"/>
        </w:rPr>
        <w:t>liberta- des y derechos fundamentales con el pretexto de la defensa de la</w:t>
      </w:r>
      <w:r>
        <w:rPr>
          <w:spacing w:val="-21"/>
          <w:w w:val="110"/>
        </w:rPr>
        <w:t> </w:t>
      </w:r>
      <w:r>
        <w:rPr>
          <w:spacing w:val="-4"/>
          <w:w w:val="110"/>
        </w:rPr>
        <w:t>liber- </w:t>
      </w:r>
      <w:r>
        <w:rPr>
          <w:w w:val="110"/>
        </w:rPr>
        <w:t>tad,</w:t>
      </w:r>
      <w:r>
        <w:rPr>
          <w:spacing w:val="-7"/>
          <w:w w:val="110"/>
        </w:rPr>
        <w:t> </w:t>
      </w:r>
      <w:r>
        <w:rPr>
          <w:w w:val="110"/>
        </w:rPr>
        <w:t>la</w:t>
      </w:r>
      <w:r>
        <w:rPr>
          <w:spacing w:val="-7"/>
          <w:w w:val="110"/>
        </w:rPr>
        <w:t> </w:t>
      </w:r>
      <w:r>
        <w:rPr>
          <w:w w:val="110"/>
        </w:rPr>
        <w:t>democracia</w:t>
      </w:r>
      <w:r>
        <w:rPr>
          <w:spacing w:val="-7"/>
          <w:w w:val="110"/>
        </w:rPr>
        <w:t> </w:t>
      </w:r>
      <w:r>
        <w:rPr>
          <w:w w:val="110"/>
        </w:rPr>
        <w:t>y</w:t>
      </w:r>
      <w:r>
        <w:rPr>
          <w:spacing w:val="-7"/>
          <w:w w:val="110"/>
        </w:rPr>
        <w:t> </w:t>
      </w:r>
      <w:r>
        <w:rPr>
          <w:w w:val="110"/>
        </w:rPr>
        <w:t>el</w:t>
      </w:r>
      <w:r>
        <w:rPr>
          <w:spacing w:val="-7"/>
          <w:w w:val="110"/>
        </w:rPr>
        <w:t> </w:t>
      </w:r>
      <w:r>
        <w:rPr>
          <w:w w:val="110"/>
        </w:rPr>
        <w:t>orden.</w:t>
      </w:r>
      <w:r>
        <w:rPr>
          <w:spacing w:val="-7"/>
          <w:w w:val="110"/>
        </w:rPr>
        <w:t> </w:t>
      </w:r>
      <w:r>
        <w:rPr>
          <w:w w:val="110"/>
        </w:rPr>
        <w:t>se</w:t>
      </w:r>
      <w:r>
        <w:rPr>
          <w:spacing w:val="-7"/>
          <w:w w:val="110"/>
        </w:rPr>
        <w:t> </w:t>
      </w:r>
      <w:r>
        <w:rPr>
          <w:w w:val="110"/>
        </w:rPr>
        <w:t>impuso</w:t>
      </w:r>
      <w:r>
        <w:rPr>
          <w:spacing w:val="-7"/>
          <w:w w:val="110"/>
        </w:rPr>
        <w:t> </w:t>
      </w:r>
      <w:r>
        <w:rPr>
          <w:w w:val="110"/>
        </w:rPr>
        <w:t>la</w:t>
      </w:r>
      <w:r>
        <w:rPr>
          <w:spacing w:val="-7"/>
          <w:w w:val="110"/>
        </w:rPr>
        <w:t> </w:t>
      </w:r>
      <w:r>
        <w:rPr>
          <w:w w:val="110"/>
        </w:rPr>
        <w:t>prevalencia</w:t>
      </w:r>
      <w:r>
        <w:rPr>
          <w:spacing w:val="-7"/>
          <w:w w:val="110"/>
        </w:rPr>
        <w:t> </w:t>
      </w:r>
      <w:r>
        <w:rPr>
          <w:w w:val="110"/>
        </w:rPr>
        <w:t>del</w:t>
      </w:r>
      <w:r>
        <w:rPr>
          <w:spacing w:val="-7"/>
          <w:w w:val="110"/>
        </w:rPr>
        <w:t> </w:t>
      </w:r>
      <w:r>
        <w:rPr>
          <w:w w:val="110"/>
        </w:rPr>
        <w:t>interés</w:t>
      </w:r>
      <w:r>
        <w:rPr>
          <w:spacing w:val="-7"/>
          <w:w w:val="110"/>
        </w:rPr>
        <w:t> </w:t>
      </w:r>
      <w:r>
        <w:rPr>
          <w:w w:val="110"/>
        </w:rPr>
        <w:t>esta- dounidense sobre el interés de todo el mundo. En síntesis, los ataques del 11 de septiembre legitimaron el derecho a la venganza de Estados unidos y sus agresiones a otros Estados” (Zuluaga Nieto, 2010: 171). En otras palabras, se formulaba así la mejor legitimación a la hora     de enfrentar el antinorteamericanismo, dentro y fuera del país, como legítima</w:t>
      </w:r>
      <w:r>
        <w:rPr>
          <w:spacing w:val="-6"/>
          <w:w w:val="110"/>
        </w:rPr>
        <w:t> </w:t>
      </w:r>
      <w:r>
        <w:rPr>
          <w:w w:val="110"/>
        </w:rPr>
        <w:t>defensa,</w:t>
      </w:r>
      <w:r>
        <w:rPr>
          <w:spacing w:val="-6"/>
          <w:w w:val="110"/>
        </w:rPr>
        <w:t> </w:t>
      </w:r>
      <w:r>
        <w:rPr>
          <w:w w:val="110"/>
        </w:rPr>
        <w:t>escudándose</w:t>
      </w:r>
      <w:r>
        <w:rPr>
          <w:spacing w:val="-6"/>
          <w:w w:val="110"/>
        </w:rPr>
        <w:t> </w:t>
      </w:r>
      <w:r>
        <w:rPr>
          <w:w w:val="110"/>
        </w:rPr>
        <w:t>en</w:t>
      </w:r>
      <w:r>
        <w:rPr>
          <w:spacing w:val="-6"/>
          <w:w w:val="110"/>
        </w:rPr>
        <w:t> </w:t>
      </w:r>
      <w:r>
        <w:rPr>
          <w:w w:val="110"/>
        </w:rPr>
        <w:t>ello</w:t>
      </w:r>
      <w:r>
        <w:rPr>
          <w:spacing w:val="-6"/>
          <w:w w:val="110"/>
        </w:rPr>
        <w:t> </w:t>
      </w:r>
      <w:r>
        <w:rPr>
          <w:w w:val="110"/>
        </w:rPr>
        <w:t>todo</w:t>
      </w:r>
      <w:r>
        <w:rPr>
          <w:spacing w:val="-6"/>
          <w:w w:val="110"/>
        </w:rPr>
        <w:t> </w:t>
      </w:r>
      <w:r>
        <w:rPr>
          <w:w w:val="110"/>
        </w:rPr>
        <w:t>tipo</w:t>
      </w:r>
      <w:r>
        <w:rPr>
          <w:spacing w:val="-6"/>
          <w:w w:val="110"/>
        </w:rPr>
        <w:t> </w:t>
      </w:r>
      <w:r>
        <w:rPr>
          <w:w w:val="110"/>
        </w:rPr>
        <w:t>de</w:t>
      </w:r>
      <w:r>
        <w:rPr>
          <w:spacing w:val="-6"/>
          <w:w w:val="110"/>
        </w:rPr>
        <w:t> </w:t>
      </w:r>
      <w:r>
        <w:rPr>
          <w:w w:val="110"/>
        </w:rPr>
        <w:t>agresión</w:t>
      </w:r>
      <w:r>
        <w:rPr>
          <w:spacing w:val="-6"/>
          <w:w w:val="110"/>
        </w:rPr>
        <w:t> </w:t>
      </w:r>
      <w:r>
        <w:rPr>
          <w:w w:val="110"/>
        </w:rPr>
        <w:t>y</w:t>
      </w:r>
      <w:r>
        <w:rPr>
          <w:spacing w:val="-6"/>
          <w:w w:val="110"/>
        </w:rPr>
        <w:t> </w:t>
      </w:r>
      <w:r>
        <w:rPr>
          <w:w w:val="110"/>
        </w:rPr>
        <w:t>violación de derechos humanos, incluyendo cárceles secretas, detenciones sin pruebas –apenas basadas en sospechas– y el uso de la</w:t>
      </w:r>
      <w:r>
        <w:rPr>
          <w:spacing w:val="-28"/>
          <w:w w:val="110"/>
        </w:rPr>
        <w:t> </w:t>
      </w:r>
      <w:r>
        <w:rPr>
          <w:w w:val="110"/>
        </w:rPr>
        <w:t>tortura.</w:t>
      </w:r>
    </w:p>
    <w:p>
      <w:pPr>
        <w:pStyle w:val="BodyText"/>
        <w:spacing w:line="252" w:lineRule="auto"/>
        <w:ind w:left="330" w:right="98" w:firstLine="396"/>
        <w:jc w:val="both"/>
      </w:pPr>
      <w:r>
        <w:rPr>
          <w:w w:val="110"/>
        </w:rPr>
        <w:t>así, las codificaciones acerca del supuesto peligro que encarnan figuras</w:t>
      </w:r>
      <w:r>
        <w:rPr>
          <w:spacing w:val="-6"/>
          <w:w w:val="110"/>
        </w:rPr>
        <w:t> </w:t>
      </w:r>
      <w:r>
        <w:rPr>
          <w:w w:val="110"/>
        </w:rPr>
        <w:t>diversas</w:t>
      </w:r>
      <w:r>
        <w:rPr>
          <w:spacing w:val="-6"/>
          <w:w w:val="110"/>
        </w:rPr>
        <w:t> </w:t>
      </w:r>
      <w:r>
        <w:rPr>
          <w:w w:val="110"/>
        </w:rPr>
        <w:t>como</w:t>
      </w:r>
      <w:r>
        <w:rPr>
          <w:spacing w:val="-6"/>
          <w:w w:val="110"/>
        </w:rPr>
        <w:t> </w:t>
      </w:r>
      <w:r>
        <w:rPr>
          <w:w w:val="110"/>
        </w:rPr>
        <w:t>los</w:t>
      </w:r>
      <w:r>
        <w:rPr>
          <w:spacing w:val="-6"/>
          <w:w w:val="110"/>
        </w:rPr>
        <w:t> </w:t>
      </w:r>
      <w:r>
        <w:rPr>
          <w:w w:val="110"/>
        </w:rPr>
        <w:t>extranjeros</w:t>
      </w:r>
      <w:r>
        <w:rPr>
          <w:spacing w:val="-6"/>
          <w:w w:val="110"/>
        </w:rPr>
        <w:t> </w:t>
      </w:r>
      <w:r>
        <w:rPr>
          <w:w w:val="110"/>
        </w:rPr>
        <w:t>o</w:t>
      </w:r>
      <w:r>
        <w:rPr>
          <w:spacing w:val="-6"/>
          <w:w w:val="110"/>
        </w:rPr>
        <w:t> </w:t>
      </w:r>
      <w:r>
        <w:rPr>
          <w:w w:val="110"/>
        </w:rPr>
        <w:t>quienes</w:t>
      </w:r>
      <w:r>
        <w:rPr>
          <w:spacing w:val="-6"/>
          <w:w w:val="110"/>
        </w:rPr>
        <w:t> </w:t>
      </w:r>
      <w:r>
        <w:rPr>
          <w:w w:val="110"/>
        </w:rPr>
        <w:t>no</w:t>
      </w:r>
      <w:r>
        <w:rPr>
          <w:spacing w:val="-6"/>
          <w:w w:val="110"/>
        </w:rPr>
        <w:t> </w:t>
      </w:r>
      <w:r>
        <w:rPr>
          <w:w w:val="110"/>
        </w:rPr>
        <w:t>nacieron</w:t>
      </w:r>
      <w:r>
        <w:rPr>
          <w:spacing w:val="-6"/>
          <w:w w:val="110"/>
        </w:rPr>
        <w:t> </w:t>
      </w:r>
      <w:r>
        <w:rPr>
          <w:w w:val="110"/>
        </w:rPr>
        <w:t>en</w:t>
      </w:r>
      <w:r>
        <w:rPr>
          <w:spacing w:val="-6"/>
          <w:w w:val="110"/>
        </w:rPr>
        <w:t> </w:t>
      </w:r>
      <w:r>
        <w:rPr>
          <w:w w:val="110"/>
        </w:rPr>
        <w:t>territo- rio estadounidense, los inmigrantes, los individuos que en general no encajan en el patrón del </w:t>
      </w:r>
      <w:r>
        <w:rPr>
          <w:i/>
          <w:w w:val="110"/>
        </w:rPr>
        <w:t>wasp </w:t>
      </w:r>
      <w:r>
        <w:rPr>
          <w:w w:val="110"/>
        </w:rPr>
        <w:t>(blanco, protestante, anglosajón), que portan ideas políticas consideradas como radicales o contestatarias), toman una fuerza capaz de redefinir el consenso interno a partir de la convicción de que atentan contra la identidad cultural y la seguridad de la nación. sobre esa base se redefine la plataforma geopolítica que orienta, a la vez, la proyección exterior que extiende la lógica amigo/ enemigo a través de un esquema bipolar que recrea la cultura de la Guerra Fría (borón, </w:t>
      </w:r>
      <w:r>
        <w:rPr>
          <w:spacing w:val="4"/>
          <w:w w:val="110"/>
        </w:rPr>
        <w:t> </w:t>
      </w:r>
      <w:r>
        <w:rPr>
          <w:w w:val="110"/>
        </w:rPr>
        <w:t>2014).</w:t>
      </w:r>
    </w:p>
    <w:p>
      <w:pPr>
        <w:pStyle w:val="BodyText"/>
        <w:spacing w:before="5"/>
      </w:pPr>
    </w:p>
    <w:p>
      <w:pPr>
        <w:pStyle w:val="Heading6"/>
        <w:ind w:left="331"/>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spacing w:line="252" w:lineRule="auto" w:before="10"/>
        <w:ind w:left="727" w:right="133" w:hanging="397"/>
        <w:jc w:val="left"/>
        <w:rPr>
          <w:sz w:val="19"/>
        </w:rPr>
      </w:pPr>
      <w:r>
        <w:rPr>
          <w:w w:val="110"/>
          <w:sz w:val="19"/>
        </w:rPr>
        <w:t>brogi, alejandro 2011 </w:t>
      </w:r>
      <w:r>
        <w:rPr>
          <w:i/>
          <w:w w:val="110"/>
          <w:sz w:val="19"/>
        </w:rPr>
        <w:t>Confronting America: The Cold </w:t>
      </w:r>
      <w:r>
        <w:rPr>
          <w:i/>
          <w:spacing w:val="-5"/>
          <w:w w:val="110"/>
          <w:sz w:val="19"/>
        </w:rPr>
        <w:t>War </w:t>
      </w:r>
      <w:r>
        <w:rPr>
          <w:i/>
          <w:w w:val="110"/>
          <w:sz w:val="19"/>
        </w:rPr>
        <w:t>between </w:t>
      </w:r>
      <w:r>
        <w:rPr>
          <w:i/>
          <w:spacing w:val="-2"/>
          <w:w w:val="110"/>
          <w:sz w:val="19"/>
        </w:rPr>
        <w:t>the </w:t>
      </w:r>
      <w:r>
        <w:rPr>
          <w:i/>
          <w:w w:val="110"/>
          <w:sz w:val="19"/>
        </w:rPr>
        <w:t>United States and the Communists in France and Italy (The </w:t>
      </w:r>
      <w:r>
        <w:rPr>
          <w:i/>
          <w:spacing w:val="-2"/>
          <w:w w:val="110"/>
          <w:sz w:val="19"/>
        </w:rPr>
        <w:t>New </w:t>
      </w:r>
      <w:r>
        <w:rPr>
          <w:i/>
          <w:w w:val="110"/>
          <w:sz w:val="19"/>
        </w:rPr>
        <w:t>Cold</w:t>
      </w:r>
      <w:r>
        <w:rPr>
          <w:i/>
          <w:spacing w:val="-13"/>
          <w:w w:val="110"/>
          <w:sz w:val="19"/>
        </w:rPr>
        <w:t> </w:t>
      </w:r>
      <w:r>
        <w:rPr>
          <w:i/>
          <w:spacing w:val="-5"/>
          <w:w w:val="110"/>
          <w:sz w:val="19"/>
        </w:rPr>
        <w:t>War</w:t>
      </w:r>
      <w:r>
        <w:rPr>
          <w:i/>
          <w:spacing w:val="-13"/>
          <w:w w:val="110"/>
          <w:sz w:val="19"/>
        </w:rPr>
        <w:t> </w:t>
      </w:r>
      <w:r>
        <w:rPr>
          <w:i/>
          <w:w w:val="110"/>
          <w:sz w:val="19"/>
        </w:rPr>
        <w:t>History)</w:t>
      </w:r>
      <w:r>
        <w:rPr>
          <w:i/>
          <w:spacing w:val="-13"/>
          <w:w w:val="110"/>
          <w:sz w:val="19"/>
        </w:rPr>
        <w:t> </w:t>
      </w:r>
      <w:r>
        <w:rPr>
          <w:w w:val="110"/>
          <w:sz w:val="19"/>
        </w:rPr>
        <w:t>(Chapel</w:t>
      </w:r>
      <w:r>
        <w:rPr>
          <w:spacing w:val="-13"/>
          <w:w w:val="110"/>
          <w:sz w:val="19"/>
        </w:rPr>
        <w:t> </w:t>
      </w:r>
      <w:r>
        <w:rPr>
          <w:w w:val="110"/>
          <w:sz w:val="19"/>
        </w:rPr>
        <w:t>Hill:</w:t>
      </w:r>
      <w:r>
        <w:rPr>
          <w:spacing w:val="-13"/>
          <w:w w:val="110"/>
          <w:sz w:val="19"/>
        </w:rPr>
        <w:t> </w:t>
      </w:r>
      <w:r>
        <w:rPr>
          <w:w w:val="110"/>
          <w:sz w:val="19"/>
        </w:rPr>
        <w:t>university</w:t>
      </w:r>
      <w:r>
        <w:rPr>
          <w:spacing w:val="-13"/>
          <w:w w:val="110"/>
          <w:sz w:val="19"/>
        </w:rPr>
        <w:t> </w:t>
      </w:r>
      <w:r>
        <w:rPr>
          <w:w w:val="110"/>
          <w:sz w:val="19"/>
        </w:rPr>
        <w:t>of</w:t>
      </w:r>
      <w:r>
        <w:rPr>
          <w:spacing w:val="-13"/>
          <w:w w:val="110"/>
          <w:sz w:val="19"/>
        </w:rPr>
        <w:t> </w:t>
      </w:r>
      <w:r>
        <w:rPr>
          <w:w w:val="110"/>
          <w:sz w:val="19"/>
        </w:rPr>
        <w:t>North</w:t>
      </w:r>
      <w:r>
        <w:rPr>
          <w:spacing w:val="-13"/>
          <w:w w:val="110"/>
          <w:sz w:val="19"/>
        </w:rPr>
        <w:t> </w:t>
      </w:r>
      <w:r>
        <w:rPr>
          <w:w w:val="110"/>
          <w:sz w:val="19"/>
        </w:rPr>
        <w:t>Carolina</w:t>
      </w:r>
      <w:r>
        <w:rPr>
          <w:spacing w:val="-13"/>
          <w:w w:val="110"/>
          <w:sz w:val="19"/>
        </w:rPr>
        <w:t> </w:t>
      </w:r>
      <w:r>
        <w:rPr>
          <w:w w:val="110"/>
          <w:sz w:val="19"/>
        </w:rPr>
        <w:t>Press).</w:t>
      </w:r>
    </w:p>
    <w:p>
      <w:pPr>
        <w:spacing w:line="252" w:lineRule="auto" w:before="28"/>
        <w:ind w:left="727" w:right="488" w:hanging="397"/>
        <w:jc w:val="left"/>
        <w:rPr>
          <w:sz w:val="19"/>
        </w:rPr>
      </w:pPr>
      <w:r>
        <w:rPr>
          <w:spacing w:val="-4"/>
          <w:w w:val="120"/>
          <w:sz w:val="19"/>
        </w:rPr>
        <w:t>bender,</w:t>
      </w:r>
      <w:r>
        <w:rPr>
          <w:spacing w:val="-31"/>
          <w:w w:val="120"/>
          <w:sz w:val="19"/>
        </w:rPr>
        <w:t> </w:t>
      </w:r>
      <w:r>
        <w:rPr>
          <w:w w:val="120"/>
          <w:sz w:val="19"/>
        </w:rPr>
        <w:t>thomas</w:t>
      </w:r>
      <w:r>
        <w:rPr>
          <w:spacing w:val="-31"/>
          <w:w w:val="120"/>
          <w:sz w:val="19"/>
        </w:rPr>
        <w:t> </w:t>
      </w:r>
      <w:r>
        <w:rPr>
          <w:w w:val="120"/>
          <w:sz w:val="19"/>
        </w:rPr>
        <w:t>2011</w:t>
      </w:r>
      <w:r>
        <w:rPr>
          <w:spacing w:val="-31"/>
          <w:w w:val="120"/>
          <w:sz w:val="19"/>
        </w:rPr>
        <w:t> </w:t>
      </w:r>
      <w:r>
        <w:rPr>
          <w:i/>
          <w:w w:val="120"/>
          <w:sz w:val="19"/>
        </w:rPr>
        <w:t>Historia</w:t>
      </w:r>
      <w:r>
        <w:rPr>
          <w:i/>
          <w:spacing w:val="-31"/>
          <w:w w:val="120"/>
          <w:sz w:val="19"/>
        </w:rPr>
        <w:t> </w:t>
      </w:r>
      <w:r>
        <w:rPr>
          <w:i/>
          <w:w w:val="120"/>
          <w:sz w:val="19"/>
        </w:rPr>
        <w:t>de</w:t>
      </w:r>
      <w:r>
        <w:rPr>
          <w:i/>
          <w:spacing w:val="-31"/>
          <w:w w:val="120"/>
          <w:sz w:val="19"/>
        </w:rPr>
        <w:t> </w:t>
      </w:r>
      <w:r>
        <w:rPr>
          <w:i/>
          <w:w w:val="120"/>
          <w:sz w:val="19"/>
        </w:rPr>
        <w:t>los</w:t>
      </w:r>
      <w:r>
        <w:rPr>
          <w:i/>
          <w:spacing w:val="-31"/>
          <w:w w:val="120"/>
          <w:sz w:val="19"/>
        </w:rPr>
        <w:t> </w:t>
      </w:r>
      <w:r>
        <w:rPr>
          <w:i/>
          <w:w w:val="120"/>
          <w:sz w:val="19"/>
        </w:rPr>
        <w:t>Estados</w:t>
      </w:r>
      <w:r>
        <w:rPr>
          <w:i/>
          <w:spacing w:val="-31"/>
          <w:w w:val="120"/>
          <w:sz w:val="19"/>
        </w:rPr>
        <w:t> </w:t>
      </w:r>
      <w:r>
        <w:rPr>
          <w:i/>
          <w:w w:val="120"/>
          <w:sz w:val="19"/>
        </w:rPr>
        <w:t>Unidos.</w:t>
      </w:r>
      <w:r>
        <w:rPr>
          <w:i/>
          <w:spacing w:val="-31"/>
          <w:w w:val="120"/>
          <w:sz w:val="19"/>
        </w:rPr>
        <w:t> </w:t>
      </w:r>
      <w:r>
        <w:rPr>
          <w:i/>
          <w:w w:val="120"/>
          <w:sz w:val="19"/>
        </w:rPr>
        <w:t>Una</w:t>
      </w:r>
      <w:r>
        <w:rPr>
          <w:i/>
          <w:spacing w:val="-31"/>
          <w:w w:val="120"/>
          <w:sz w:val="19"/>
        </w:rPr>
        <w:t> </w:t>
      </w:r>
      <w:r>
        <w:rPr>
          <w:i/>
          <w:w w:val="120"/>
          <w:sz w:val="19"/>
        </w:rPr>
        <w:t>nación </w:t>
      </w:r>
      <w:r>
        <w:rPr>
          <w:i/>
          <w:w w:val="120"/>
          <w:sz w:val="19"/>
        </w:rPr>
        <w:t>entre</w:t>
      </w:r>
      <w:r>
        <w:rPr>
          <w:i/>
          <w:spacing w:val="-23"/>
          <w:w w:val="120"/>
          <w:sz w:val="19"/>
        </w:rPr>
        <w:t> </w:t>
      </w:r>
      <w:r>
        <w:rPr>
          <w:i/>
          <w:w w:val="120"/>
          <w:sz w:val="19"/>
        </w:rPr>
        <w:t>naciones</w:t>
      </w:r>
      <w:r>
        <w:rPr>
          <w:i/>
          <w:spacing w:val="-23"/>
          <w:w w:val="120"/>
          <w:sz w:val="19"/>
        </w:rPr>
        <w:t> </w:t>
      </w:r>
      <w:r>
        <w:rPr>
          <w:w w:val="120"/>
          <w:sz w:val="19"/>
        </w:rPr>
        <w:t>(buenos</w:t>
      </w:r>
      <w:r>
        <w:rPr>
          <w:spacing w:val="-23"/>
          <w:w w:val="120"/>
          <w:sz w:val="19"/>
        </w:rPr>
        <w:t> </w:t>
      </w:r>
      <w:r>
        <w:rPr>
          <w:w w:val="120"/>
          <w:sz w:val="19"/>
        </w:rPr>
        <w:t>aires:</w:t>
      </w:r>
      <w:r>
        <w:rPr>
          <w:spacing w:val="-23"/>
          <w:w w:val="120"/>
          <w:sz w:val="19"/>
        </w:rPr>
        <w:t> </w:t>
      </w:r>
      <w:r>
        <w:rPr>
          <w:w w:val="120"/>
          <w:sz w:val="19"/>
        </w:rPr>
        <w:t>siglo</w:t>
      </w:r>
      <w:r>
        <w:rPr>
          <w:spacing w:val="-23"/>
          <w:w w:val="120"/>
          <w:sz w:val="19"/>
        </w:rPr>
        <w:t> </w:t>
      </w:r>
      <w:r>
        <w:rPr>
          <w:w w:val="120"/>
          <w:sz w:val="19"/>
        </w:rPr>
        <w:t>xxi).</w:t>
      </w:r>
    </w:p>
    <w:p>
      <w:pPr>
        <w:spacing w:after="0" w:line="252" w:lineRule="auto"/>
        <w:jc w:val="left"/>
        <w:rPr>
          <w:sz w:val="19"/>
        </w:rPr>
        <w:sectPr>
          <w:pgSz w:w="8790" w:h="12760"/>
          <w:pgMar w:header="697" w:footer="725" w:top="880" w:bottom="920" w:left="1200" w:right="920"/>
        </w:sectPr>
      </w:pPr>
    </w:p>
    <w:p>
      <w:pPr>
        <w:pStyle w:val="BodyText"/>
        <w:spacing w:before="9"/>
        <w:rPr>
          <w:sz w:val="28"/>
        </w:rPr>
      </w:pPr>
    </w:p>
    <w:p>
      <w:pPr>
        <w:spacing w:line="252" w:lineRule="auto" w:before="73"/>
        <w:ind w:left="497" w:right="769" w:hanging="397"/>
        <w:jc w:val="both"/>
        <w:rPr>
          <w:sz w:val="19"/>
        </w:rPr>
      </w:pPr>
      <w:r>
        <w:rPr>
          <w:w w:val="115"/>
          <w:sz w:val="19"/>
        </w:rPr>
        <w:t>bonilla-silva,</w:t>
      </w:r>
      <w:r>
        <w:rPr>
          <w:spacing w:val="-12"/>
          <w:w w:val="115"/>
          <w:sz w:val="19"/>
        </w:rPr>
        <w:t> </w:t>
      </w:r>
      <w:r>
        <w:rPr>
          <w:w w:val="115"/>
          <w:sz w:val="19"/>
        </w:rPr>
        <w:t>Eduardo</w:t>
      </w:r>
      <w:r>
        <w:rPr>
          <w:spacing w:val="-12"/>
          <w:w w:val="115"/>
          <w:sz w:val="19"/>
        </w:rPr>
        <w:t> </w:t>
      </w:r>
      <w:r>
        <w:rPr>
          <w:w w:val="115"/>
          <w:sz w:val="19"/>
        </w:rPr>
        <w:t>2003</w:t>
      </w:r>
      <w:r>
        <w:rPr>
          <w:spacing w:val="-12"/>
          <w:w w:val="115"/>
          <w:sz w:val="19"/>
        </w:rPr>
        <w:t> </w:t>
      </w:r>
      <w:r>
        <w:rPr>
          <w:i/>
          <w:w w:val="115"/>
          <w:sz w:val="19"/>
        </w:rPr>
        <w:t>Racism</w:t>
      </w:r>
      <w:r>
        <w:rPr>
          <w:i/>
          <w:spacing w:val="-12"/>
          <w:w w:val="115"/>
          <w:sz w:val="19"/>
        </w:rPr>
        <w:t> </w:t>
      </w:r>
      <w:r>
        <w:rPr>
          <w:i/>
          <w:w w:val="115"/>
          <w:sz w:val="19"/>
        </w:rPr>
        <w:t>without</w:t>
      </w:r>
      <w:r>
        <w:rPr>
          <w:i/>
          <w:spacing w:val="-12"/>
          <w:w w:val="115"/>
          <w:sz w:val="19"/>
        </w:rPr>
        <w:t> </w:t>
      </w:r>
      <w:r>
        <w:rPr>
          <w:i/>
          <w:w w:val="115"/>
          <w:sz w:val="19"/>
        </w:rPr>
        <w:t>Racists:</w:t>
      </w:r>
      <w:r>
        <w:rPr>
          <w:i/>
          <w:spacing w:val="-12"/>
          <w:w w:val="115"/>
          <w:sz w:val="19"/>
        </w:rPr>
        <w:t> </w:t>
      </w:r>
      <w:r>
        <w:rPr>
          <w:i/>
          <w:w w:val="115"/>
          <w:sz w:val="19"/>
        </w:rPr>
        <w:t>Color-Blind </w:t>
      </w:r>
      <w:r>
        <w:rPr>
          <w:i/>
          <w:w w:val="115"/>
          <w:sz w:val="19"/>
        </w:rPr>
        <w:t>Racism</w:t>
      </w:r>
      <w:r>
        <w:rPr>
          <w:i/>
          <w:spacing w:val="-14"/>
          <w:w w:val="115"/>
          <w:sz w:val="19"/>
        </w:rPr>
        <w:t> </w:t>
      </w:r>
      <w:r>
        <w:rPr>
          <w:i/>
          <w:w w:val="115"/>
          <w:sz w:val="19"/>
        </w:rPr>
        <w:t>and</w:t>
      </w:r>
      <w:r>
        <w:rPr>
          <w:i/>
          <w:spacing w:val="-14"/>
          <w:w w:val="115"/>
          <w:sz w:val="19"/>
        </w:rPr>
        <w:t> </w:t>
      </w:r>
      <w:r>
        <w:rPr>
          <w:i/>
          <w:w w:val="115"/>
          <w:sz w:val="19"/>
        </w:rPr>
        <w:t>the</w:t>
      </w:r>
      <w:r>
        <w:rPr>
          <w:i/>
          <w:spacing w:val="-14"/>
          <w:w w:val="115"/>
          <w:sz w:val="19"/>
        </w:rPr>
        <w:t> </w:t>
      </w:r>
      <w:r>
        <w:rPr>
          <w:i/>
          <w:w w:val="115"/>
          <w:sz w:val="19"/>
        </w:rPr>
        <w:t>Persistence</w:t>
      </w:r>
      <w:r>
        <w:rPr>
          <w:i/>
          <w:spacing w:val="-14"/>
          <w:w w:val="115"/>
          <w:sz w:val="19"/>
        </w:rPr>
        <w:t> </w:t>
      </w:r>
      <w:r>
        <w:rPr>
          <w:i/>
          <w:w w:val="115"/>
          <w:sz w:val="19"/>
        </w:rPr>
        <w:t>of</w:t>
      </w:r>
      <w:r>
        <w:rPr>
          <w:i/>
          <w:spacing w:val="-14"/>
          <w:w w:val="115"/>
          <w:sz w:val="19"/>
        </w:rPr>
        <w:t> </w:t>
      </w:r>
      <w:r>
        <w:rPr>
          <w:i/>
          <w:w w:val="115"/>
          <w:sz w:val="19"/>
        </w:rPr>
        <w:t>Racial</w:t>
      </w:r>
      <w:r>
        <w:rPr>
          <w:i/>
          <w:spacing w:val="-14"/>
          <w:w w:val="115"/>
          <w:sz w:val="19"/>
        </w:rPr>
        <w:t> </w:t>
      </w:r>
      <w:r>
        <w:rPr>
          <w:i/>
          <w:w w:val="115"/>
          <w:sz w:val="19"/>
        </w:rPr>
        <w:t>Inequality</w:t>
      </w:r>
      <w:r>
        <w:rPr>
          <w:i/>
          <w:spacing w:val="-14"/>
          <w:w w:val="115"/>
          <w:sz w:val="19"/>
        </w:rPr>
        <w:t> </w:t>
      </w:r>
      <w:r>
        <w:rPr>
          <w:i/>
          <w:w w:val="115"/>
          <w:sz w:val="19"/>
        </w:rPr>
        <w:t>in</w:t>
      </w:r>
      <w:r>
        <w:rPr>
          <w:i/>
          <w:spacing w:val="-14"/>
          <w:w w:val="115"/>
          <w:sz w:val="19"/>
        </w:rPr>
        <w:t> </w:t>
      </w:r>
      <w:r>
        <w:rPr>
          <w:i/>
          <w:w w:val="115"/>
          <w:sz w:val="19"/>
        </w:rPr>
        <w:t>the</w:t>
      </w:r>
      <w:r>
        <w:rPr>
          <w:i/>
          <w:spacing w:val="-14"/>
          <w:w w:val="115"/>
          <w:sz w:val="19"/>
        </w:rPr>
        <w:t> </w:t>
      </w:r>
      <w:r>
        <w:rPr>
          <w:i/>
          <w:w w:val="115"/>
          <w:sz w:val="19"/>
        </w:rPr>
        <w:t>United </w:t>
      </w:r>
      <w:r>
        <w:rPr>
          <w:i/>
          <w:w w:val="108"/>
          <w:sz w:val="19"/>
        </w:rPr>
        <w:t>States</w:t>
      </w:r>
      <w:r>
        <w:rPr>
          <w:i/>
          <w:spacing w:val="12"/>
          <w:sz w:val="19"/>
        </w:rPr>
        <w:t> </w:t>
      </w:r>
      <w:r>
        <w:rPr>
          <w:w w:val="98"/>
          <w:sz w:val="19"/>
        </w:rPr>
        <w:t>(</w:t>
      </w:r>
      <w:r>
        <w:rPr>
          <w:w w:val="243"/>
          <w:sz w:val="19"/>
        </w:rPr>
        <w:t>l</w:t>
      </w:r>
      <w:r>
        <w:rPr>
          <w:w w:val="114"/>
          <w:sz w:val="19"/>
        </w:rPr>
        <w:t>anham,</w:t>
      </w:r>
      <w:r>
        <w:rPr>
          <w:spacing w:val="12"/>
          <w:sz w:val="19"/>
        </w:rPr>
        <w:t> </w:t>
      </w:r>
      <w:r>
        <w:rPr>
          <w:w w:val="117"/>
          <w:sz w:val="19"/>
        </w:rPr>
        <w:t>Md.:</w:t>
      </w:r>
      <w:r>
        <w:rPr>
          <w:spacing w:val="12"/>
          <w:sz w:val="19"/>
        </w:rPr>
        <w:t> </w:t>
      </w:r>
      <w:r>
        <w:rPr>
          <w:w w:val="182"/>
          <w:sz w:val="19"/>
        </w:rPr>
        <w:t>r</w:t>
      </w:r>
      <w:r>
        <w:rPr>
          <w:w w:val="110"/>
          <w:sz w:val="19"/>
        </w:rPr>
        <w:t>owman</w:t>
      </w:r>
      <w:r>
        <w:rPr>
          <w:spacing w:val="12"/>
          <w:sz w:val="19"/>
        </w:rPr>
        <w:t> </w:t>
      </w:r>
      <w:r>
        <w:rPr>
          <w:w w:val="121"/>
          <w:sz w:val="19"/>
        </w:rPr>
        <w:t>&amp;</w:t>
      </w:r>
      <w:r>
        <w:rPr>
          <w:spacing w:val="12"/>
          <w:sz w:val="19"/>
        </w:rPr>
        <w:t> </w:t>
      </w:r>
      <w:r>
        <w:rPr>
          <w:w w:val="243"/>
          <w:sz w:val="19"/>
        </w:rPr>
        <w:t>l</w:t>
      </w:r>
      <w:r>
        <w:rPr>
          <w:w w:val="108"/>
          <w:sz w:val="19"/>
        </w:rPr>
        <w:t>ittlefield).</w:t>
      </w:r>
    </w:p>
    <w:p>
      <w:pPr>
        <w:spacing w:line="252" w:lineRule="auto" w:before="28"/>
        <w:ind w:left="497" w:right="114" w:hanging="397"/>
        <w:jc w:val="left"/>
        <w:rPr>
          <w:sz w:val="19"/>
        </w:rPr>
      </w:pPr>
      <w:r>
        <w:rPr>
          <w:w w:val="115"/>
          <w:sz w:val="19"/>
        </w:rPr>
        <w:t>bonnett, a. 2006 “the americanisation of anti-racism: Global Power and Hegemony in Ethnic Equity”, en </w:t>
      </w:r>
      <w:r>
        <w:rPr>
          <w:i/>
          <w:w w:val="115"/>
          <w:sz w:val="19"/>
        </w:rPr>
        <w:t>Journal of Ethnic and </w:t>
      </w:r>
      <w:r>
        <w:rPr>
          <w:i/>
          <w:w w:val="115"/>
          <w:sz w:val="19"/>
        </w:rPr>
        <w:t>Migration Studies</w:t>
      </w:r>
      <w:r>
        <w:rPr>
          <w:w w:val="115"/>
          <w:sz w:val="19"/>
        </w:rPr>
        <w:t>, Vol. 32, Nº 7.</w:t>
      </w:r>
    </w:p>
    <w:p>
      <w:pPr>
        <w:spacing w:before="28"/>
        <w:ind w:left="100" w:right="0" w:firstLine="0"/>
        <w:jc w:val="left"/>
        <w:rPr>
          <w:i/>
          <w:sz w:val="19"/>
        </w:rPr>
      </w:pPr>
      <w:r>
        <w:rPr>
          <w:w w:val="110"/>
          <w:sz w:val="19"/>
        </w:rPr>
        <w:t>borón, atilio 2014 </w:t>
      </w:r>
      <w:r>
        <w:rPr>
          <w:i/>
          <w:w w:val="110"/>
          <w:sz w:val="19"/>
        </w:rPr>
        <w:t>América Latina en la geopolítica del  imperialismo</w:t>
      </w:r>
    </w:p>
    <w:p>
      <w:pPr>
        <w:pStyle w:val="BodyText"/>
        <w:spacing w:before="11"/>
        <w:ind w:left="497"/>
      </w:pPr>
      <w:r>
        <w:rPr>
          <w:w w:val="98"/>
        </w:rPr>
        <w:t>(</w:t>
      </w:r>
      <w:r>
        <w:rPr>
          <w:w w:val="243"/>
        </w:rPr>
        <w:t>l</w:t>
      </w:r>
      <w:r>
        <w:rPr>
          <w:w w:val="112"/>
        </w:rPr>
        <w:t>a</w:t>
      </w:r>
      <w:r>
        <w:rPr>
          <w:spacing w:val="12"/>
        </w:rPr>
        <w:t> </w:t>
      </w:r>
      <w:r>
        <w:rPr>
          <w:w w:val="113"/>
        </w:rPr>
        <w:t>Habana:</w:t>
      </w:r>
      <w:r>
        <w:rPr>
          <w:spacing w:val="12"/>
        </w:rPr>
        <w:t> </w:t>
      </w:r>
      <w:r>
        <w:rPr>
          <w:w w:val="113"/>
        </w:rPr>
        <w:t>Editorial</w:t>
      </w:r>
      <w:r>
        <w:rPr>
          <w:spacing w:val="12"/>
        </w:rPr>
        <w:t> </w:t>
      </w:r>
      <w:r>
        <w:rPr>
          <w:w w:val="107"/>
        </w:rPr>
        <w:t>de</w:t>
      </w:r>
      <w:r>
        <w:rPr>
          <w:spacing w:val="12"/>
        </w:rPr>
        <w:t> </w:t>
      </w:r>
      <w:r>
        <w:rPr>
          <w:w w:val="113"/>
        </w:rPr>
        <w:t>Ciencias</w:t>
      </w:r>
      <w:r>
        <w:rPr>
          <w:spacing w:val="12"/>
        </w:rPr>
        <w:t> </w:t>
      </w:r>
      <w:r>
        <w:rPr>
          <w:w w:val="149"/>
        </w:rPr>
        <w:t>s</w:t>
      </w:r>
      <w:r>
        <w:rPr>
          <w:w w:val="110"/>
        </w:rPr>
        <w:t>ociales).</w:t>
      </w:r>
    </w:p>
    <w:p>
      <w:pPr>
        <w:pStyle w:val="BodyText"/>
        <w:spacing w:before="40"/>
        <w:ind w:left="100"/>
      </w:pPr>
      <w:r>
        <w:rPr>
          <w:spacing w:val="-5"/>
          <w:w w:val="133"/>
        </w:rPr>
        <w:t>b</w:t>
      </w:r>
      <w:r>
        <w:rPr>
          <w:spacing w:val="-5"/>
          <w:w w:val="111"/>
        </w:rPr>
        <w:t>osniak</w:t>
      </w:r>
      <w:r>
        <w:rPr>
          <w:w w:val="111"/>
        </w:rPr>
        <w:t>,</w:t>
      </w:r>
      <w:r>
        <w:rPr>
          <w:spacing w:val="1"/>
        </w:rPr>
        <w:t> </w:t>
      </w:r>
      <w:r>
        <w:rPr>
          <w:spacing w:val="-5"/>
          <w:w w:val="241"/>
        </w:rPr>
        <w:t>l</w:t>
      </w:r>
      <w:r>
        <w:rPr>
          <w:spacing w:val="-5"/>
          <w:w w:val="110"/>
        </w:rPr>
        <w:t>ind</w:t>
      </w:r>
      <w:r>
        <w:rPr>
          <w:w w:val="110"/>
        </w:rPr>
        <w:t>a</w:t>
      </w:r>
      <w:r>
        <w:rPr>
          <w:spacing w:val="1"/>
        </w:rPr>
        <w:t> </w:t>
      </w:r>
      <w:r>
        <w:rPr>
          <w:spacing w:val="-27"/>
          <w:w w:val="118"/>
        </w:rPr>
        <w:t>F</w:t>
      </w:r>
      <w:r>
        <w:rPr>
          <w:w w:val="137"/>
        </w:rPr>
        <w:t>.</w:t>
      </w:r>
      <w:r>
        <w:rPr>
          <w:spacing w:val="1"/>
        </w:rPr>
        <w:t> </w:t>
      </w:r>
      <w:r>
        <w:rPr>
          <w:spacing w:val="-5"/>
          <w:w w:val="101"/>
        </w:rPr>
        <w:t>199</w:t>
      </w:r>
      <w:r>
        <w:rPr>
          <w:w w:val="101"/>
        </w:rPr>
        <w:t>7</w:t>
      </w:r>
      <w:r>
        <w:rPr>
          <w:spacing w:val="1"/>
        </w:rPr>
        <w:t> </w:t>
      </w:r>
      <w:r>
        <w:rPr>
          <w:spacing w:val="-5"/>
          <w:w w:val="112"/>
        </w:rPr>
        <w:t>“Nativism</w:t>
      </w:r>
      <w:r>
        <w:rPr>
          <w:w w:val="112"/>
        </w:rPr>
        <w:t>,</w:t>
      </w:r>
      <w:r>
        <w:rPr>
          <w:spacing w:val="1"/>
        </w:rPr>
        <w:t> </w:t>
      </w:r>
      <w:r>
        <w:rPr>
          <w:spacing w:val="-5"/>
          <w:w w:val="107"/>
        </w:rPr>
        <w:t>th</w:t>
      </w:r>
      <w:r>
        <w:rPr>
          <w:w w:val="107"/>
        </w:rPr>
        <w:t>e</w:t>
      </w:r>
      <w:r>
        <w:rPr>
          <w:spacing w:val="1"/>
        </w:rPr>
        <w:t> </w:t>
      </w:r>
      <w:r>
        <w:rPr>
          <w:spacing w:val="-5"/>
          <w:w w:val="109"/>
        </w:rPr>
        <w:t>concept</w:t>
      </w:r>
      <w:r>
        <w:rPr>
          <w:w w:val="109"/>
        </w:rPr>
        <w:t>:</w:t>
      </w:r>
      <w:r>
        <w:rPr>
          <w:spacing w:val="1"/>
        </w:rPr>
        <w:t> </w:t>
      </w:r>
      <w:r>
        <w:rPr>
          <w:spacing w:val="-5"/>
          <w:w w:val="108"/>
        </w:rPr>
        <w:t>som</w:t>
      </w:r>
      <w:r>
        <w:rPr>
          <w:w w:val="108"/>
        </w:rPr>
        <w:t>e</w:t>
      </w:r>
      <w:r>
        <w:rPr>
          <w:spacing w:val="1"/>
        </w:rPr>
        <w:t> </w:t>
      </w:r>
      <w:r>
        <w:rPr>
          <w:spacing w:val="-5"/>
          <w:w w:val="103"/>
        </w:rPr>
        <w:t>re</w:t>
      </w:r>
      <w:r>
        <w:rPr>
          <w:spacing w:val="-3"/>
          <w:w w:val="104"/>
        </w:rPr>
        <w:t>fl</w:t>
      </w:r>
      <w:r>
        <w:rPr>
          <w:spacing w:val="-5"/>
          <w:w w:val="110"/>
        </w:rPr>
        <w:t>ections”</w:t>
      </w:r>
      <w:r>
        <w:rPr>
          <w:w w:val="110"/>
        </w:rPr>
        <w:t>,</w:t>
      </w:r>
      <w:r>
        <w:rPr>
          <w:spacing w:val="1"/>
        </w:rPr>
        <w:t> </w:t>
      </w:r>
      <w:r>
        <w:rPr>
          <w:spacing w:val="-5"/>
          <w:w w:val="107"/>
        </w:rPr>
        <w:t>e</w:t>
      </w:r>
      <w:r>
        <w:rPr>
          <w:w w:val="107"/>
        </w:rPr>
        <w:t>n</w:t>
      </w:r>
      <w:r>
        <w:rPr>
          <w:spacing w:val="1"/>
        </w:rPr>
        <w:t> </w:t>
      </w:r>
      <w:r>
        <w:rPr>
          <w:spacing w:val="-5"/>
          <w:w w:val="117"/>
        </w:rPr>
        <w:t>Juan</w:t>
      </w:r>
    </w:p>
    <w:p>
      <w:pPr>
        <w:spacing w:line="252" w:lineRule="auto" w:before="11"/>
        <w:ind w:left="497" w:right="0" w:firstLine="0"/>
        <w:jc w:val="left"/>
        <w:rPr>
          <w:sz w:val="19"/>
        </w:rPr>
      </w:pPr>
      <w:r>
        <w:rPr>
          <w:spacing w:val="-14"/>
          <w:w w:val="110"/>
          <w:sz w:val="19"/>
        </w:rPr>
        <w:t>F. </w:t>
      </w:r>
      <w:r>
        <w:rPr>
          <w:spacing w:val="-5"/>
          <w:w w:val="110"/>
          <w:sz w:val="19"/>
        </w:rPr>
        <w:t>Perea, </w:t>
      </w:r>
      <w:r>
        <w:rPr>
          <w:i/>
          <w:spacing w:val="-5"/>
          <w:w w:val="110"/>
          <w:sz w:val="19"/>
        </w:rPr>
        <w:t>Immigrants </w:t>
      </w:r>
      <w:r>
        <w:rPr>
          <w:i/>
          <w:spacing w:val="-4"/>
          <w:w w:val="110"/>
          <w:sz w:val="19"/>
        </w:rPr>
        <w:t>out!: the new </w:t>
      </w:r>
      <w:r>
        <w:rPr>
          <w:i/>
          <w:spacing w:val="-5"/>
          <w:w w:val="110"/>
          <w:sz w:val="19"/>
        </w:rPr>
        <w:t>nativism </w:t>
      </w:r>
      <w:r>
        <w:rPr>
          <w:i/>
          <w:spacing w:val="-4"/>
          <w:w w:val="110"/>
          <w:sz w:val="19"/>
        </w:rPr>
        <w:t>and the </w:t>
      </w:r>
      <w:r>
        <w:rPr>
          <w:i/>
          <w:spacing w:val="-5"/>
          <w:w w:val="110"/>
          <w:sz w:val="19"/>
        </w:rPr>
        <w:t>anti-immigrant </w:t>
      </w:r>
      <w:r>
        <w:rPr>
          <w:i/>
          <w:spacing w:val="-5"/>
          <w:w w:val="110"/>
          <w:sz w:val="19"/>
        </w:rPr>
        <w:t>impulse </w:t>
      </w:r>
      <w:r>
        <w:rPr>
          <w:i/>
          <w:spacing w:val="-3"/>
          <w:w w:val="110"/>
          <w:sz w:val="19"/>
        </w:rPr>
        <w:t>in </w:t>
      </w:r>
      <w:r>
        <w:rPr>
          <w:i/>
          <w:spacing w:val="-4"/>
          <w:w w:val="110"/>
          <w:sz w:val="19"/>
        </w:rPr>
        <w:t>the </w:t>
      </w:r>
      <w:r>
        <w:rPr>
          <w:i/>
          <w:spacing w:val="-5"/>
          <w:w w:val="110"/>
          <w:sz w:val="19"/>
        </w:rPr>
        <w:t>United States </w:t>
      </w:r>
      <w:r>
        <w:rPr>
          <w:spacing w:val="-4"/>
          <w:w w:val="110"/>
          <w:sz w:val="19"/>
        </w:rPr>
        <w:t>(New </w:t>
      </w:r>
      <w:r>
        <w:rPr>
          <w:spacing w:val="-8"/>
          <w:w w:val="110"/>
          <w:sz w:val="19"/>
        </w:rPr>
        <w:t>York: </w:t>
      </w:r>
      <w:r>
        <w:rPr>
          <w:spacing w:val="-4"/>
          <w:w w:val="110"/>
          <w:sz w:val="19"/>
        </w:rPr>
        <w:t>New </w:t>
      </w:r>
      <w:r>
        <w:rPr>
          <w:spacing w:val="-9"/>
          <w:w w:val="110"/>
          <w:sz w:val="19"/>
        </w:rPr>
        <w:t>York </w:t>
      </w:r>
      <w:r>
        <w:rPr>
          <w:spacing w:val="-5"/>
          <w:w w:val="110"/>
          <w:sz w:val="19"/>
        </w:rPr>
        <w:t>university Press).</w:t>
      </w:r>
    </w:p>
    <w:p>
      <w:pPr>
        <w:spacing w:line="252" w:lineRule="auto" w:before="28"/>
        <w:ind w:left="497" w:right="194" w:hanging="397"/>
        <w:jc w:val="left"/>
        <w:rPr>
          <w:sz w:val="19"/>
        </w:rPr>
      </w:pPr>
      <w:r>
        <w:rPr>
          <w:w w:val="115"/>
          <w:sz w:val="19"/>
        </w:rPr>
        <w:t>Castillo Fernández, dídimo y Marco a. Gandásegui, hijo (coords.) 2012 </w:t>
      </w:r>
      <w:r>
        <w:rPr>
          <w:i/>
          <w:w w:val="115"/>
          <w:sz w:val="19"/>
        </w:rPr>
        <w:t>Estados Unidos más allá de la crisis </w:t>
      </w:r>
      <w:r>
        <w:rPr>
          <w:w w:val="115"/>
          <w:sz w:val="19"/>
        </w:rPr>
        <w:t>(México: siglo </w:t>
      </w:r>
      <w:r>
        <w:rPr>
          <w:w w:val="130"/>
          <w:sz w:val="19"/>
        </w:rPr>
        <w:t>xxi </w:t>
      </w:r>
      <w:r>
        <w:rPr>
          <w:w w:val="115"/>
          <w:sz w:val="19"/>
        </w:rPr>
        <w:t>Editores/ClaCso).</w:t>
      </w:r>
    </w:p>
    <w:p>
      <w:pPr>
        <w:spacing w:line="252" w:lineRule="auto" w:before="28"/>
        <w:ind w:left="497" w:right="0" w:hanging="397"/>
        <w:jc w:val="left"/>
        <w:rPr>
          <w:sz w:val="19"/>
        </w:rPr>
      </w:pPr>
      <w:r>
        <w:rPr>
          <w:w w:val="110"/>
          <w:sz w:val="19"/>
        </w:rPr>
        <w:t>Chomsky, Noam 2002 </w:t>
      </w:r>
      <w:r>
        <w:rPr>
          <w:i/>
          <w:w w:val="110"/>
          <w:sz w:val="19"/>
        </w:rPr>
        <w:t>La cultura del terrorismo </w:t>
      </w:r>
      <w:r>
        <w:rPr>
          <w:w w:val="110"/>
          <w:sz w:val="19"/>
        </w:rPr>
        <w:t>(Madrid: Editorial Popular).</w:t>
      </w:r>
    </w:p>
    <w:p>
      <w:pPr>
        <w:pStyle w:val="BodyText"/>
        <w:spacing w:line="252" w:lineRule="auto" w:before="28"/>
        <w:ind w:left="497" w:right="669" w:hanging="397"/>
      </w:pPr>
      <w:r>
        <w:rPr>
          <w:spacing w:val="-4"/>
          <w:w w:val="110"/>
        </w:rPr>
        <w:t>Cooper, </w:t>
      </w:r>
      <w:r>
        <w:rPr>
          <w:w w:val="110"/>
        </w:rPr>
        <w:t>Marc 2002 “de cómo lo estadounidenses llegamos a ser   tan odiados”, entrevista con Gore </w:t>
      </w:r>
      <w:r>
        <w:rPr>
          <w:spacing w:val="-3"/>
          <w:w w:val="110"/>
        </w:rPr>
        <w:t>Vidal </w:t>
      </w:r>
      <w:r>
        <w:rPr>
          <w:w w:val="110"/>
        </w:rPr>
        <w:t>en </w:t>
      </w:r>
      <w:r>
        <w:rPr>
          <w:i/>
          <w:w w:val="110"/>
        </w:rPr>
        <w:t>La Jornada</w:t>
      </w:r>
      <w:r>
        <w:rPr>
          <w:w w:val="110"/>
        </w:rPr>
        <w:t>, Nº 242, domingo 11 de agosto, </w:t>
      </w:r>
      <w:r>
        <w:rPr>
          <w:spacing w:val="14"/>
          <w:w w:val="110"/>
        </w:rPr>
        <w:t> </w:t>
      </w:r>
      <w:r>
        <w:rPr>
          <w:w w:val="110"/>
        </w:rPr>
        <w:t>México.</w:t>
      </w:r>
    </w:p>
    <w:p>
      <w:pPr>
        <w:spacing w:line="252" w:lineRule="auto" w:before="28"/>
        <w:ind w:left="497" w:right="476" w:hanging="397"/>
        <w:jc w:val="left"/>
        <w:rPr>
          <w:sz w:val="19"/>
        </w:rPr>
      </w:pPr>
      <w:r>
        <w:rPr>
          <w:w w:val="115"/>
          <w:sz w:val="19"/>
        </w:rPr>
        <w:t>Feagin. Joe </w:t>
      </w:r>
      <w:r>
        <w:rPr>
          <w:w w:val="130"/>
          <w:sz w:val="19"/>
        </w:rPr>
        <w:t>r. </w:t>
      </w:r>
      <w:r>
        <w:rPr>
          <w:w w:val="115"/>
          <w:sz w:val="19"/>
        </w:rPr>
        <w:t>1997 “old Poison in New bottles: the deep roots of Modern Nativism”, en Juan F. Perea, </w:t>
      </w:r>
      <w:r>
        <w:rPr>
          <w:i/>
          <w:w w:val="115"/>
          <w:sz w:val="19"/>
        </w:rPr>
        <w:t>Immigrants out!: the new </w:t>
      </w:r>
      <w:r>
        <w:rPr>
          <w:i/>
          <w:w w:val="115"/>
          <w:sz w:val="19"/>
        </w:rPr>
        <w:t>nativism and the anti-immigrant impulse in the United States </w:t>
      </w:r>
      <w:r>
        <w:rPr>
          <w:w w:val="115"/>
          <w:sz w:val="19"/>
        </w:rPr>
        <w:t>(New York: New York university Press).</w:t>
      </w:r>
    </w:p>
    <w:p>
      <w:pPr>
        <w:spacing w:line="252" w:lineRule="auto" w:before="28"/>
        <w:ind w:left="497" w:right="528" w:hanging="397"/>
        <w:jc w:val="left"/>
        <w:rPr>
          <w:sz w:val="19"/>
        </w:rPr>
      </w:pPr>
      <w:r>
        <w:rPr>
          <w:w w:val="110"/>
          <w:sz w:val="19"/>
        </w:rPr>
        <w:t>Friedman, Max Paul 2012 </w:t>
      </w:r>
      <w:r>
        <w:rPr>
          <w:i/>
          <w:w w:val="110"/>
          <w:sz w:val="19"/>
        </w:rPr>
        <w:t>Rethinking Anti-Americanism. The History </w:t>
      </w:r>
      <w:r>
        <w:rPr>
          <w:i/>
          <w:w w:val="110"/>
          <w:sz w:val="19"/>
        </w:rPr>
        <w:t>of an Exceptional Concept in American Foreign Relations </w:t>
      </w:r>
      <w:r>
        <w:rPr>
          <w:w w:val="110"/>
          <w:sz w:val="19"/>
        </w:rPr>
        <w:t>(New York:  Cambridge university Press).</w:t>
      </w:r>
    </w:p>
    <w:p>
      <w:pPr>
        <w:spacing w:line="252" w:lineRule="auto" w:before="28"/>
        <w:ind w:left="497" w:right="807" w:hanging="397"/>
        <w:jc w:val="left"/>
        <w:rPr>
          <w:sz w:val="19"/>
        </w:rPr>
      </w:pPr>
      <w:r>
        <w:rPr>
          <w:w w:val="115"/>
          <w:sz w:val="19"/>
        </w:rPr>
        <w:t>Gandásegui,</w:t>
      </w:r>
      <w:r>
        <w:rPr>
          <w:spacing w:val="-13"/>
          <w:w w:val="115"/>
          <w:sz w:val="19"/>
        </w:rPr>
        <w:t> </w:t>
      </w:r>
      <w:r>
        <w:rPr>
          <w:w w:val="115"/>
          <w:sz w:val="19"/>
        </w:rPr>
        <w:t>Marco</w:t>
      </w:r>
      <w:r>
        <w:rPr>
          <w:spacing w:val="-13"/>
          <w:w w:val="115"/>
          <w:sz w:val="19"/>
        </w:rPr>
        <w:t> </w:t>
      </w:r>
      <w:r>
        <w:rPr>
          <w:w w:val="115"/>
          <w:sz w:val="19"/>
        </w:rPr>
        <w:t>a.,</w:t>
      </w:r>
      <w:r>
        <w:rPr>
          <w:spacing w:val="-13"/>
          <w:w w:val="115"/>
          <w:sz w:val="19"/>
        </w:rPr>
        <w:t> </w:t>
      </w:r>
      <w:r>
        <w:rPr>
          <w:w w:val="115"/>
          <w:sz w:val="19"/>
        </w:rPr>
        <w:t>hijo</w:t>
      </w:r>
      <w:r>
        <w:rPr>
          <w:spacing w:val="-13"/>
          <w:w w:val="115"/>
          <w:sz w:val="19"/>
        </w:rPr>
        <w:t> </w:t>
      </w:r>
      <w:r>
        <w:rPr>
          <w:w w:val="115"/>
          <w:sz w:val="19"/>
        </w:rPr>
        <w:t>(coord.)</w:t>
      </w:r>
      <w:r>
        <w:rPr>
          <w:spacing w:val="-13"/>
          <w:w w:val="115"/>
          <w:sz w:val="19"/>
        </w:rPr>
        <w:t> </w:t>
      </w:r>
      <w:r>
        <w:rPr>
          <w:w w:val="115"/>
          <w:sz w:val="19"/>
        </w:rPr>
        <w:t>2007</w:t>
      </w:r>
      <w:r>
        <w:rPr>
          <w:spacing w:val="-13"/>
          <w:w w:val="115"/>
          <w:sz w:val="19"/>
        </w:rPr>
        <w:t> </w:t>
      </w:r>
      <w:r>
        <w:rPr>
          <w:i/>
          <w:w w:val="115"/>
          <w:sz w:val="19"/>
        </w:rPr>
        <w:t>Crisis</w:t>
      </w:r>
      <w:r>
        <w:rPr>
          <w:i/>
          <w:spacing w:val="-13"/>
          <w:w w:val="115"/>
          <w:sz w:val="19"/>
        </w:rPr>
        <w:t> </w:t>
      </w:r>
      <w:r>
        <w:rPr>
          <w:i/>
          <w:w w:val="115"/>
          <w:sz w:val="19"/>
        </w:rPr>
        <w:t>de</w:t>
      </w:r>
      <w:r>
        <w:rPr>
          <w:i/>
          <w:spacing w:val="-13"/>
          <w:w w:val="115"/>
          <w:sz w:val="19"/>
        </w:rPr>
        <w:t> </w:t>
      </w:r>
      <w:r>
        <w:rPr>
          <w:i/>
          <w:w w:val="115"/>
          <w:sz w:val="19"/>
        </w:rPr>
        <w:t>hegemonía</w:t>
      </w:r>
      <w:r>
        <w:rPr>
          <w:i/>
          <w:spacing w:val="-13"/>
          <w:w w:val="115"/>
          <w:sz w:val="19"/>
        </w:rPr>
        <w:t> </w:t>
      </w:r>
      <w:r>
        <w:rPr>
          <w:i/>
          <w:w w:val="115"/>
          <w:sz w:val="19"/>
        </w:rPr>
        <w:t>de </w:t>
      </w:r>
      <w:r>
        <w:rPr>
          <w:i/>
          <w:w w:val="115"/>
          <w:sz w:val="19"/>
        </w:rPr>
        <w:t>Estados Unidos </w:t>
      </w:r>
      <w:r>
        <w:rPr>
          <w:w w:val="115"/>
          <w:sz w:val="19"/>
        </w:rPr>
        <w:t>(México: siglo </w:t>
      </w:r>
      <w:r>
        <w:rPr>
          <w:w w:val="130"/>
          <w:sz w:val="19"/>
        </w:rPr>
        <w:t>xxi  </w:t>
      </w:r>
      <w:r>
        <w:rPr>
          <w:spacing w:val="52"/>
          <w:w w:val="130"/>
          <w:sz w:val="19"/>
        </w:rPr>
        <w:t> </w:t>
      </w:r>
      <w:r>
        <w:rPr>
          <w:w w:val="115"/>
          <w:sz w:val="19"/>
        </w:rPr>
        <w:t>Editores/ClaCso).</w:t>
      </w:r>
    </w:p>
    <w:p>
      <w:pPr>
        <w:spacing w:line="252" w:lineRule="auto" w:before="28"/>
        <w:ind w:left="497" w:right="359" w:hanging="397"/>
        <w:jc w:val="left"/>
        <w:rPr>
          <w:sz w:val="19"/>
        </w:rPr>
      </w:pPr>
      <w:r>
        <w:rPr>
          <w:w w:val="115"/>
          <w:sz w:val="19"/>
        </w:rPr>
        <w:t>Gandásegui, Marco a., hijo y dídimo Castillo Fernández (coords.) 2010</w:t>
      </w:r>
      <w:r>
        <w:rPr>
          <w:spacing w:val="-10"/>
          <w:w w:val="115"/>
          <w:sz w:val="19"/>
        </w:rPr>
        <w:t> </w:t>
      </w:r>
      <w:r>
        <w:rPr>
          <w:i/>
          <w:w w:val="115"/>
          <w:sz w:val="19"/>
        </w:rPr>
        <w:t>Estados</w:t>
      </w:r>
      <w:r>
        <w:rPr>
          <w:i/>
          <w:spacing w:val="-10"/>
          <w:w w:val="115"/>
          <w:sz w:val="19"/>
        </w:rPr>
        <w:t> </w:t>
      </w:r>
      <w:r>
        <w:rPr>
          <w:i/>
          <w:w w:val="115"/>
          <w:sz w:val="19"/>
        </w:rPr>
        <w:t>Unidos.</w:t>
      </w:r>
      <w:r>
        <w:rPr>
          <w:i/>
          <w:spacing w:val="-10"/>
          <w:w w:val="115"/>
          <w:sz w:val="19"/>
        </w:rPr>
        <w:t> </w:t>
      </w:r>
      <w:r>
        <w:rPr>
          <w:i/>
          <w:w w:val="115"/>
          <w:sz w:val="19"/>
        </w:rPr>
        <w:t>La</w:t>
      </w:r>
      <w:r>
        <w:rPr>
          <w:i/>
          <w:spacing w:val="-10"/>
          <w:w w:val="115"/>
          <w:sz w:val="19"/>
        </w:rPr>
        <w:t> </w:t>
      </w:r>
      <w:r>
        <w:rPr>
          <w:i/>
          <w:w w:val="115"/>
          <w:sz w:val="19"/>
        </w:rPr>
        <w:t>crisis</w:t>
      </w:r>
      <w:r>
        <w:rPr>
          <w:i/>
          <w:spacing w:val="-10"/>
          <w:w w:val="115"/>
          <w:sz w:val="19"/>
        </w:rPr>
        <w:t> </w:t>
      </w:r>
      <w:r>
        <w:rPr>
          <w:i/>
          <w:w w:val="115"/>
          <w:sz w:val="19"/>
        </w:rPr>
        <w:t>sistémica</w:t>
      </w:r>
      <w:r>
        <w:rPr>
          <w:i/>
          <w:spacing w:val="-10"/>
          <w:w w:val="115"/>
          <w:sz w:val="19"/>
        </w:rPr>
        <w:t> </w:t>
      </w:r>
      <w:r>
        <w:rPr>
          <w:i/>
          <w:w w:val="115"/>
          <w:sz w:val="19"/>
        </w:rPr>
        <w:t>y</w:t>
      </w:r>
      <w:r>
        <w:rPr>
          <w:i/>
          <w:spacing w:val="-10"/>
          <w:w w:val="115"/>
          <w:sz w:val="19"/>
        </w:rPr>
        <w:t> </w:t>
      </w:r>
      <w:r>
        <w:rPr>
          <w:i/>
          <w:w w:val="115"/>
          <w:sz w:val="19"/>
        </w:rPr>
        <w:t>las</w:t>
      </w:r>
      <w:r>
        <w:rPr>
          <w:i/>
          <w:spacing w:val="-10"/>
          <w:w w:val="115"/>
          <w:sz w:val="19"/>
        </w:rPr>
        <w:t> </w:t>
      </w:r>
      <w:r>
        <w:rPr>
          <w:i/>
          <w:w w:val="115"/>
          <w:sz w:val="19"/>
        </w:rPr>
        <w:t>nuevas</w:t>
      </w:r>
      <w:r>
        <w:rPr>
          <w:i/>
          <w:spacing w:val="-10"/>
          <w:w w:val="115"/>
          <w:sz w:val="19"/>
        </w:rPr>
        <w:t> </w:t>
      </w:r>
      <w:r>
        <w:rPr>
          <w:i/>
          <w:w w:val="115"/>
          <w:sz w:val="19"/>
        </w:rPr>
        <w:t>condiciones </w:t>
      </w:r>
      <w:r>
        <w:rPr>
          <w:i/>
          <w:w w:val="115"/>
          <w:sz w:val="19"/>
        </w:rPr>
        <w:t>de legitimación </w:t>
      </w:r>
      <w:r>
        <w:rPr>
          <w:w w:val="115"/>
          <w:sz w:val="19"/>
        </w:rPr>
        <w:t>(México: siglo </w:t>
      </w:r>
      <w:r>
        <w:rPr>
          <w:w w:val="130"/>
          <w:sz w:val="19"/>
        </w:rPr>
        <w:t>xxi </w:t>
      </w:r>
      <w:r>
        <w:rPr>
          <w:spacing w:val="37"/>
          <w:w w:val="130"/>
          <w:sz w:val="19"/>
        </w:rPr>
        <w:t> </w:t>
      </w:r>
      <w:r>
        <w:rPr>
          <w:w w:val="115"/>
          <w:sz w:val="19"/>
        </w:rPr>
        <w:t>Editores/ClaCso).</w:t>
      </w:r>
    </w:p>
    <w:p>
      <w:pPr>
        <w:spacing w:line="252" w:lineRule="auto" w:before="28"/>
        <w:ind w:left="497" w:right="458" w:hanging="397"/>
        <w:jc w:val="left"/>
        <w:rPr>
          <w:sz w:val="19"/>
        </w:rPr>
      </w:pPr>
      <w:r>
        <w:rPr>
          <w:w w:val="110"/>
          <w:sz w:val="19"/>
        </w:rPr>
        <w:t>Garaudy, roger 2002 </w:t>
      </w:r>
      <w:r>
        <w:rPr>
          <w:i/>
          <w:w w:val="110"/>
          <w:sz w:val="19"/>
        </w:rPr>
        <w:t>Les Mythes Fondateurs de la Politique </w:t>
      </w:r>
      <w:r>
        <w:rPr>
          <w:i/>
          <w:w w:val="110"/>
          <w:sz w:val="19"/>
        </w:rPr>
        <w:t>Americaine</w:t>
      </w:r>
      <w:r>
        <w:rPr>
          <w:w w:val="110"/>
          <w:sz w:val="19"/>
        </w:rPr>
        <w:t>,  en  </w:t>
      </w:r>
      <w:hyperlink r:id="rId409">
        <w:r>
          <w:rPr>
            <w:w w:val="110"/>
            <w:sz w:val="19"/>
          </w:rPr>
          <w:t>&lt;www.philosophie.org/garaudy1&gt;</w:t>
        </w:r>
      </w:hyperlink>
      <w:r>
        <w:rPr>
          <w:w w:val="110"/>
          <w:sz w:val="19"/>
        </w:rPr>
        <w:t> (MsaNEWs).</w:t>
      </w:r>
    </w:p>
    <w:p>
      <w:pPr>
        <w:spacing w:line="252" w:lineRule="auto" w:before="28"/>
        <w:ind w:left="497" w:right="819" w:hanging="397"/>
        <w:jc w:val="left"/>
        <w:rPr>
          <w:sz w:val="19"/>
        </w:rPr>
      </w:pPr>
      <w:r>
        <w:rPr>
          <w:w w:val="110"/>
          <w:sz w:val="19"/>
        </w:rPr>
        <w:t>Glazer, Nathan 1988 </w:t>
      </w:r>
      <w:r>
        <w:rPr>
          <w:i/>
          <w:w w:val="110"/>
          <w:sz w:val="19"/>
        </w:rPr>
        <w:t>The New Immigration </w:t>
      </w:r>
      <w:r>
        <w:rPr>
          <w:w w:val="110"/>
          <w:sz w:val="19"/>
        </w:rPr>
        <w:t>(san diego: san diego state university Press).</w:t>
      </w:r>
    </w:p>
    <w:p>
      <w:pPr>
        <w:pStyle w:val="BodyText"/>
        <w:spacing w:line="252" w:lineRule="auto" w:before="28"/>
        <w:ind w:left="497" w:right="645" w:hanging="397"/>
      </w:pPr>
      <w:r>
        <w:rPr>
          <w:w w:val="110"/>
        </w:rPr>
        <w:t>Hernández Martínez, Jorge 2007 “Gato por liebre: hegemonía y seguridad nacional en las relaciones entre los Estados unidos </w:t>
      </w:r>
      <w:r>
        <w:rPr>
          <w:w w:val="105"/>
        </w:rPr>
        <w:t>y</w:t>
      </w:r>
      <w:r>
        <w:rPr/>
        <w:t> </w:t>
      </w:r>
      <w:r>
        <w:rPr>
          <w:w w:val="139"/>
        </w:rPr>
        <w:t>a</w:t>
      </w:r>
      <w:r>
        <w:rPr>
          <w:w w:val="111"/>
        </w:rPr>
        <w:t>mérica</w:t>
      </w:r>
      <w:r>
        <w:rPr/>
        <w:t> </w:t>
      </w:r>
      <w:r>
        <w:rPr>
          <w:w w:val="243"/>
        </w:rPr>
        <w:t>l</w:t>
      </w:r>
      <w:r>
        <w:rPr>
          <w:w w:val="114"/>
        </w:rPr>
        <w:t>atina”,</w:t>
      </w:r>
      <w:r>
        <w:rPr/>
        <w:t> </w:t>
      </w:r>
      <w:r>
        <w:rPr>
          <w:w w:val="108"/>
        </w:rPr>
        <w:t>en</w:t>
      </w:r>
      <w:r>
        <w:rPr/>
        <w:t> </w:t>
      </w:r>
      <w:r>
        <w:rPr>
          <w:i/>
          <w:w w:val="111"/>
        </w:rPr>
        <w:t>Contexto</w:t>
      </w:r>
      <w:r>
        <w:rPr>
          <w:i/>
        </w:rPr>
        <w:t> </w:t>
      </w:r>
      <w:r>
        <w:rPr>
          <w:i/>
          <w:w w:val="110"/>
        </w:rPr>
        <w:t>Latinoamericano</w:t>
      </w:r>
      <w:r>
        <w:rPr>
          <w:w w:val="138"/>
        </w:rPr>
        <w:t>,</w:t>
      </w:r>
      <w:r>
        <w:rPr/>
        <w:t> </w:t>
      </w:r>
      <w:r>
        <w:rPr>
          <w:w w:val="105"/>
        </w:rPr>
        <w:t>Nº</w:t>
      </w:r>
      <w:r>
        <w:rPr/>
        <w:t> </w:t>
      </w:r>
      <w:r>
        <w:rPr>
          <w:w w:val="112"/>
        </w:rPr>
        <w:t>3,</w:t>
      </w:r>
      <w:r>
        <w:rPr/>
        <w:t> </w:t>
      </w:r>
      <w:r>
        <w:rPr>
          <w:w w:val="109"/>
        </w:rPr>
        <w:t>mayo- </w:t>
      </w:r>
      <w:r>
        <w:rPr>
          <w:w w:val="110"/>
        </w:rPr>
        <w:t>agosto  (bogotá:  ocena sur).</w:t>
      </w:r>
    </w:p>
    <w:p>
      <w:pPr>
        <w:pStyle w:val="BodyText"/>
        <w:spacing w:line="252" w:lineRule="auto" w:before="28"/>
        <w:ind w:left="497" w:right="595" w:hanging="397"/>
      </w:pPr>
      <w:r>
        <w:rPr>
          <w:w w:val="115"/>
        </w:rPr>
        <w:t>Hernández Martínez, Jorge 2007 “Estados unidos: hegemonía y cultura política”, en Marco a. Gandásegui, hijo (coord.) 2007</w:t>
      </w:r>
    </w:p>
    <w:p>
      <w:pPr>
        <w:spacing w:after="0" w:line="252" w:lineRule="auto"/>
        <w:sectPr>
          <w:pgSz w:w="8790" w:h="12760"/>
          <w:pgMar w:header="695" w:footer="723" w:top="880" w:bottom="920" w:left="920" w:right="1200"/>
        </w:sectPr>
      </w:pPr>
    </w:p>
    <w:p>
      <w:pPr>
        <w:pStyle w:val="BodyText"/>
        <w:spacing w:before="7"/>
        <w:rPr>
          <w:sz w:val="28"/>
        </w:rPr>
      </w:pPr>
    </w:p>
    <w:p>
      <w:pPr>
        <w:spacing w:line="252" w:lineRule="auto" w:before="73"/>
        <w:ind w:left="727" w:right="731" w:firstLine="0"/>
        <w:jc w:val="left"/>
        <w:rPr>
          <w:sz w:val="19"/>
        </w:rPr>
      </w:pPr>
      <w:r>
        <w:rPr>
          <w:i/>
          <w:w w:val="115"/>
          <w:sz w:val="19"/>
        </w:rPr>
        <w:t>Crisis de hegemonía de Estados Unidos </w:t>
      </w:r>
      <w:r>
        <w:rPr>
          <w:w w:val="115"/>
          <w:sz w:val="19"/>
        </w:rPr>
        <w:t>(México: siglo </w:t>
      </w:r>
      <w:r>
        <w:rPr>
          <w:w w:val="130"/>
          <w:sz w:val="19"/>
        </w:rPr>
        <w:t>xxi </w:t>
      </w:r>
      <w:r>
        <w:rPr>
          <w:w w:val="115"/>
          <w:sz w:val="19"/>
        </w:rPr>
        <w:t>Editores/ClaCso).</w:t>
      </w:r>
    </w:p>
    <w:p>
      <w:pPr>
        <w:spacing w:line="252" w:lineRule="auto" w:before="28"/>
        <w:ind w:left="727" w:right="0" w:hanging="397"/>
        <w:jc w:val="left"/>
        <w:rPr>
          <w:sz w:val="19"/>
        </w:rPr>
      </w:pPr>
      <w:r>
        <w:rPr>
          <w:w w:val="115"/>
          <w:sz w:val="19"/>
        </w:rPr>
        <w:t>Hernández Martínez, Jorge 2010 </w:t>
      </w:r>
      <w:r>
        <w:rPr>
          <w:i/>
          <w:w w:val="115"/>
          <w:sz w:val="19"/>
        </w:rPr>
        <w:t>Estados Unidos. Hegemonía, </w:t>
      </w:r>
      <w:r>
        <w:rPr>
          <w:i/>
          <w:w w:val="107"/>
          <w:sz w:val="19"/>
        </w:rPr>
        <w:t>seguridad</w:t>
      </w:r>
      <w:r>
        <w:rPr>
          <w:i/>
          <w:sz w:val="19"/>
        </w:rPr>
        <w:t> </w:t>
      </w:r>
      <w:r>
        <w:rPr>
          <w:i/>
          <w:w w:val="111"/>
          <w:sz w:val="19"/>
        </w:rPr>
        <w:t>nacional</w:t>
      </w:r>
      <w:r>
        <w:rPr>
          <w:i/>
          <w:sz w:val="19"/>
        </w:rPr>
        <w:t> </w:t>
      </w:r>
      <w:r>
        <w:rPr>
          <w:i/>
          <w:w w:val="106"/>
          <w:sz w:val="19"/>
        </w:rPr>
        <w:t>y</w:t>
      </w:r>
      <w:r>
        <w:rPr>
          <w:i/>
          <w:sz w:val="19"/>
        </w:rPr>
        <w:t> </w:t>
      </w:r>
      <w:r>
        <w:rPr>
          <w:i/>
          <w:w w:val="109"/>
          <w:sz w:val="19"/>
        </w:rPr>
        <w:t>cultura</w:t>
      </w:r>
      <w:r>
        <w:rPr>
          <w:i/>
          <w:sz w:val="19"/>
        </w:rPr>
        <w:t> </w:t>
      </w:r>
      <w:r>
        <w:rPr>
          <w:i/>
          <w:w w:val="109"/>
          <w:sz w:val="19"/>
        </w:rPr>
        <w:t>política</w:t>
      </w:r>
      <w:r>
        <w:rPr>
          <w:i/>
          <w:sz w:val="19"/>
        </w:rPr>
        <w:t> </w:t>
      </w:r>
      <w:r>
        <w:rPr>
          <w:w w:val="98"/>
          <w:sz w:val="19"/>
        </w:rPr>
        <w:t>(</w:t>
      </w:r>
      <w:r>
        <w:rPr>
          <w:w w:val="243"/>
          <w:sz w:val="19"/>
        </w:rPr>
        <w:t>l</w:t>
      </w:r>
      <w:r>
        <w:rPr>
          <w:w w:val="112"/>
          <w:sz w:val="19"/>
        </w:rPr>
        <w:t>a</w:t>
      </w:r>
      <w:r>
        <w:rPr>
          <w:sz w:val="19"/>
        </w:rPr>
        <w:t> </w:t>
      </w:r>
      <w:r>
        <w:rPr>
          <w:w w:val="113"/>
          <w:sz w:val="19"/>
        </w:rPr>
        <w:t>Habana:</w:t>
      </w:r>
      <w:r>
        <w:rPr>
          <w:sz w:val="19"/>
        </w:rPr>
        <w:t> </w:t>
      </w:r>
      <w:r>
        <w:rPr>
          <w:w w:val="113"/>
          <w:sz w:val="19"/>
        </w:rPr>
        <w:t>Editorial</w:t>
      </w:r>
      <w:r>
        <w:rPr>
          <w:sz w:val="19"/>
        </w:rPr>
        <w:t> </w:t>
      </w:r>
      <w:r>
        <w:rPr>
          <w:w w:val="107"/>
          <w:sz w:val="19"/>
        </w:rPr>
        <w:t>de </w:t>
      </w:r>
      <w:r>
        <w:rPr>
          <w:w w:val="115"/>
          <w:sz w:val="19"/>
        </w:rPr>
        <w:t>Ciencias sociales).</w:t>
      </w:r>
    </w:p>
    <w:p>
      <w:pPr>
        <w:spacing w:line="252" w:lineRule="auto" w:before="28"/>
        <w:ind w:left="727" w:right="65" w:hanging="397"/>
        <w:jc w:val="left"/>
        <w:rPr>
          <w:sz w:val="19"/>
        </w:rPr>
      </w:pPr>
      <w:r>
        <w:rPr>
          <w:w w:val="115"/>
          <w:sz w:val="19"/>
        </w:rPr>
        <w:t>Hernández Martínez, Jorge 2010 “Estados unidos: hegemonía y legitimación ideológica”, en Marco a. Gandásegui, hijo y dídimo Castillo Fernández (coords.), </w:t>
      </w:r>
      <w:r>
        <w:rPr>
          <w:i/>
          <w:w w:val="115"/>
          <w:sz w:val="19"/>
        </w:rPr>
        <w:t>Estados Unidos. La crisis sistémica </w:t>
      </w:r>
      <w:r>
        <w:rPr>
          <w:i/>
          <w:w w:val="115"/>
          <w:sz w:val="19"/>
        </w:rPr>
        <w:t>y las nuevas condiciones de legitimación </w:t>
      </w:r>
      <w:r>
        <w:rPr>
          <w:w w:val="115"/>
          <w:sz w:val="19"/>
        </w:rPr>
        <w:t>(México: siglo </w:t>
      </w:r>
      <w:r>
        <w:rPr>
          <w:w w:val="130"/>
          <w:sz w:val="19"/>
        </w:rPr>
        <w:t>xxi </w:t>
      </w:r>
      <w:r>
        <w:rPr>
          <w:w w:val="115"/>
          <w:sz w:val="19"/>
        </w:rPr>
        <w:t>Editores/ClaCso).</w:t>
      </w:r>
    </w:p>
    <w:p>
      <w:pPr>
        <w:pStyle w:val="BodyText"/>
        <w:spacing w:line="252" w:lineRule="auto" w:before="28"/>
        <w:ind w:left="727" w:right="207" w:hanging="397"/>
      </w:pPr>
      <w:r>
        <w:rPr>
          <w:w w:val="115"/>
        </w:rPr>
        <w:t>Hernández Martínez, Jorge 2012 “Estados unidos: redefiniciones ideológicas y geopolítica mundial bajo la administración obama”, en dídimo Castillo Fernández y Marco a. Gandásegui, hijo</w:t>
      </w:r>
      <w:r>
        <w:rPr>
          <w:spacing w:val="-16"/>
          <w:w w:val="115"/>
        </w:rPr>
        <w:t> </w:t>
      </w:r>
      <w:r>
        <w:rPr>
          <w:w w:val="115"/>
        </w:rPr>
        <w:t>(coords.)</w:t>
      </w:r>
      <w:r>
        <w:rPr>
          <w:spacing w:val="-16"/>
          <w:w w:val="115"/>
        </w:rPr>
        <w:t> </w:t>
      </w:r>
      <w:r>
        <w:rPr>
          <w:w w:val="115"/>
        </w:rPr>
        <w:t>2012</w:t>
      </w:r>
      <w:r>
        <w:rPr>
          <w:spacing w:val="-16"/>
          <w:w w:val="115"/>
        </w:rPr>
        <w:t> </w:t>
      </w:r>
      <w:r>
        <w:rPr>
          <w:i/>
          <w:w w:val="115"/>
        </w:rPr>
        <w:t>Estados</w:t>
      </w:r>
      <w:r>
        <w:rPr>
          <w:i/>
          <w:spacing w:val="-16"/>
          <w:w w:val="115"/>
        </w:rPr>
        <w:t> </w:t>
      </w:r>
      <w:r>
        <w:rPr>
          <w:i/>
          <w:w w:val="115"/>
        </w:rPr>
        <w:t>Unidos</w:t>
      </w:r>
      <w:r>
        <w:rPr>
          <w:i/>
          <w:spacing w:val="-16"/>
          <w:w w:val="115"/>
        </w:rPr>
        <w:t> </w:t>
      </w:r>
      <w:r>
        <w:rPr>
          <w:i/>
          <w:w w:val="115"/>
        </w:rPr>
        <w:t>más</w:t>
      </w:r>
      <w:r>
        <w:rPr>
          <w:i/>
          <w:spacing w:val="-16"/>
          <w:w w:val="115"/>
        </w:rPr>
        <w:t> </w:t>
      </w:r>
      <w:r>
        <w:rPr>
          <w:i/>
          <w:w w:val="115"/>
        </w:rPr>
        <w:t>allá</w:t>
      </w:r>
      <w:r>
        <w:rPr>
          <w:i/>
          <w:spacing w:val="-16"/>
          <w:w w:val="115"/>
        </w:rPr>
        <w:t> </w:t>
      </w:r>
      <w:r>
        <w:rPr>
          <w:i/>
          <w:w w:val="115"/>
        </w:rPr>
        <w:t>de</w:t>
      </w:r>
      <w:r>
        <w:rPr>
          <w:i/>
          <w:spacing w:val="-16"/>
          <w:w w:val="115"/>
        </w:rPr>
        <w:t> </w:t>
      </w:r>
      <w:r>
        <w:rPr>
          <w:i/>
          <w:w w:val="115"/>
        </w:rPr>
        <w:t>la</w:t>
      </w:r>
      <w:r>
        <w:rPr>
          <w:i/>
          <w:spacing w:val="-16"/>
          <w:w w:val="115"/>
        </w:rPr>
        <w:t> </w:t>
      </w:r>
      <w:r>
        <w:rPr>
          <w:i/>
          <w:w w:val="115"/>
        </w:rPr>
        <w:t>crisis</w:t>
      </w:r>
      <w:r>
        <w:rPr>
          <w:i/>
          <w:spacing w:val="-16"/>
          <w:w w:val="115"/>
        </w:rPr>
        <w:t> </w:t>
      </w:r>
      <w:r>
        <w:rPr>
          <w:w w:val="115"/>
        </w:rPr>
        <w:t>(México: siglo   </w:t>
      </w:r>
      <w:r>
        <w:rPr>
          <w:w w:val="130"/>
        </w:rPr>
        <w:t>xxi </w:t>
      </w:r>
      <w:r>
        <w:rPr>
          <w:spacing w:val="25"/>
          <w:w w:val="130"/>
        </w:rPr>
        <w:t> </w:t>
      </w:r>
      <w:r>
        <w:rPr>
          <w:w w:val="115"/>
        </w:rPr>
        <w:t>Editores/ClaCso).</w:t>
      </w:r>
    </w:p>
    <w:p>
      <w:pPr>
        <w:spacing w:line="252" w:lineRule="auto" w:before="28"/>
        <w:ind w:left="727" w:right="771" w:hanging="397"/>
        <w:jc w:val="left"/>
        <w:rPr>
          <w:sz w:val="19"/>
        </w:rPr>
      </w:pPr>
      <w:r>
        <w:rPr>
          <w:w w:val="115"/>
          <w:sz w:val="19"/>
        </w:rPr>
        <w:t>Higham,</w:t>
      </w:r>
      <w:r>
        <w:rPr>
          <w:spacing w:val="-19"/>
          <w:w w:val="115"/>
          <w:sz w:val="19"/>
        </w:rPr>
        <w:t> </w:t>
      </w:r>
      <w:r>
        <w:rPr>
          <w:w w:val="115"/>
          <w:sz w:val="19"/>
        </w:rPr>
        <w:t>John</w:t>
      </w:r>
      <w:r>
        <w:rPr>
          <w:spacing w:val="-19"/>
          <w:w w:val="115"/>
          <w:sz w:val="19"/>
        </w:rPr>
        <w:t> </w:t>
      </w:r>
      <w:r>
        <w:rPr>
          <w:w w:val="115"/>
          <w:sz w:val="19"/>
        </w:rPr>
        <w:t>1978</w:t>
      </w:r>
      <w:r>
        <w:rPr>
          <w:spacing w:val="-19"/>
          <w:w w:val="115"/>
          <w:sz w:val="19"/>
        </w:rPr>
        <w:t> </w:t>
      </w:r>
      <w:r>
        <w:rPr>
          <w:i/>
          <w:w w:val="115"/>
          <w:sz w:val="19"/>
        </w:rPr>
        <w:t>Stranger</w:t>
      </w:r>
      <w:r>
        <w:rPr>
          <w:i/>
          <w:spacing w:val="-19"/>
          <w:w w:val="115"/>
          <w:sz w:val="19"/>
        </w:rPr>
        <w:t> </w:t>
      </w:r>
      <w:r>
        <w:rPr>
          <w:i/>
          <w:w w:val="115"/>
          <w:sz w:val="19"/>
        </w:rPr>
        <w:t>in</w:t>
      </w:r>
      <w:r>
        <w:rPr>
          <w:i/>
          <w:spacing w:val="-19"/>
          <w:w w:val="115"/>
          <w:sz w:val="19"/>
        </w:rPr>
        <w:t> </w:t>
      </w:r>
      <w:r>
        <w:rPr>
          <w:i/>
          <w:w w:val="115"/>
          <w:sz w:val="19"/>
        </w:rPr>
        <w:t>the</w:t>
      </w:r>
      <w:r>
        <w:rPr>
          <w:i/>
          <w:spacing w:val="-19"/>
          <w:w w:val="115"/>
          <w:sz w:val="19"/>
        </w:rPr>
        <w:t> </w:t>
      </w:r>
      <w:r>
        <w:rPr>
          <w:i/>
          <w:w w:val="115"/>
          <w:sz w:val="19"/>
        </w:rPr>
        <w:t>Land.</w:t>
      </w:r>
      <w:r>
        <w:rPr>
          <w:i/>
          <w:spacing w:val="-19"/>
          <w:w w:val="115"/>
          <w:sz w:val="19"/>
        </w:rPr>
        <w:t> </w:t>
      </w:r>
      <w:r>
        <w:rPr>
          <w:i/>
          <w:w w:val="115"/>
          <w:sz w:val="19"/>
        </w:rPr>
        <w:t>Patterns</w:t>
      </w:r>
      <w:r>
        <w:rPr>
          <w:i/>
          <w:spacing w:val="-19"/>
          <w:w w:val="115"/>
          <w:sz w:val="19"/>
        </w:rPr>
        <w:t> </w:t>
      </w:r>
      <w:r>
        <w:rPr>
          <w:i/>
          <w:w w:val="115"/>
          <w:sz w:val="19"/>
        </w:rPr>
        <w:t>of</w:t>
      </w:r>
      <w:r>
        <w:rPr>
          <w:i/>
          <w:spacing w:val="-19"/>
          <w:w w:val="115"/>
          <w:sz w:val="19"/>
        </w:rPr>
        <w:t> </w:t>
      </w:r>
      <w:r>
        <w:rPr>
          <w:i/>
          <w:w w:val="115"/>
          <w:sz w:val="19"/>
        </w:rPr>
        <w:t>American </w:t>
      </w:r>
      <w:r>
        <w:rPr>
          <w:i/>
          <w:w w:val="115"/>
          <w:sz w:val="19"/>
        </w:rPr>
        <w:t>Nativism,</w:t>
      </w:r>
      <w:r>
        <w:rPr>
          <w:i/>
          <w:spacing w:val="-24"/>
          <w:w w:val="115"/>
          <w:sz w:val="19"/>
        </w:rPr>
        <w:t> </w:t>
      </w:r>
      <w:r>
        <w:rPr>
          <w:i/>
          <w:w w:val="115"/>
          <w:sz w:val="19"/>
        </w:rPr>
        <w:t>1860-1925</w:t>
      </w:r>
      <w:r>
        <w:rPr>
          <w:i/>
          <w:spacing w:val="-24"/>
          <w:w w:val="115"/>
          <w:sz w:val="19"/>
        </w:rPr>
        <w:t> </w:t>
      </w:r>
      <w:r>
        <w:rPr>
          <w:w w:val="115"/>
          <w:sz w:val="19"/>
        </w:rPr>
        <w:t>(New</w:t>
      </w:r>
      <w:r>
        <w:rPr>
          <w:spacing w:val="-24"/>
          <w:w w:val="115"/>
          <w:sz w:val="19"/>
        </w:rPr>
        <w:t> </w:t>
      </w:r>
      <w:r>
        <w:rPr>
          <w:spacing w:val="-4"/>
          <w:w w:val="115"/>
          <w:sz w:val="19"/>
        </w:rPr>
        <w:t>York:</w:t>
      </w:r>
      <w:r>
        <w:rPr>
          <w:spacing w:val="-24"/>
          <w:w w:val="115"/>
          <w:sz w:val="19"/>
        </w:rPr>
        <w:t> </w:t>
      </w:r>
      <w:r>
        <w:rPr>
          <w:w w:val="115"/>
          <w:sz w:val="19"/>
        </w:rPr>
        <w:t>atheneum).</w:t>
      </w:r>
    </w:p>
    <w:p>
      <w:pPr>
        <w:spacing w:line="252" w:lineRule="auto" w:before="28"/>
        <w:ind w:left="727" w:right="194" w:hanging="397"/>
        <w:jc w:val="left"/>
        <w:rPr>
          <w:sz w:val="19"/>
        </w:rPr>
      </w:pPr>
      <w:r>
        <w:rPr>
          <w:w w:val="110"/>
          <w:sz w:val="19"/>
        </w:rPr>
        <w:t>Hollander, Paul 1992 </w:t>
      </w:r>
      <w:r>
        <w:rPr>
          <w:i/>
          <w:w w:val="110"/>
          <w:sz w:val="19"/>
        </w:rPr>
        <w:t>Anti-Americanism: Critiques at Home and </w:t>
      </w:r>
      <w:r>
        <w:rPr>
          <w:i/>
          <w:w w:val="110"/>
          <w:sz w:val="19"/>
        </w:rPr>
        <w:t>Abroad, 1965-1990 </w:t>
      </w:r>
      <w:r>
        <w:rPr>
          <w:w w:val="110"/>
          <w:sz w:val="19"/>
        </w:rPr>
        <w:t>(New York: oxford university  Press).</w:t>
      </w:r>
    </w:p>
    <w:p>
      <w:pPr>
        <w:spacing w:line="252" w:lineRule="auto" w:before="28"/>
        <w:ind w:left="727" w:right="160" w:hanging="397"/>
        <w:jc w:val="left"/>
        <w:rPr>
          <w:sz w:val="19"/>
        </w:rPr>
      </w:pPr>
      <w:r>
        <w:rPr>
          <w:w w:val="115"/>
          <w:sz w:val="19"/>
        </w:rPr>
        <w:t>Hofstadter,</w:t>
      </w:r>
      <w:r>
        <w:rPr>
          <w:spacing w:val="-19"/>
          <w:w w:val="115"/>
          <w:sz w:val="19"/>
        </w:rPr>
        <w:t> </w:t>
      </w:r>
      <w:r>
        <w:rPr>
          <w:w w:val="115"/>
          <w:sz w:val="19"/>
        </w:rPr>
        <w:t>richard</w:t>
      </w:r>
      <w:r>
        <w:rPr>
          <w:spacing w:val="-19"/>
          <w:w w:val="115"/>
          <w:sz w:val="19"/>
        </w:rPr>
        <w:t> </w:t>
      </w:r>
      <w:r>
        <w:rPr>
          <w:w w:val="115"/>
          <w:sz w:val="19"/>
        </w:rPr>
        <w:t>1965</w:t>
      </w:r>
      <w:r>
        <w:rPr>
          <w:spacing w:val="-19"/>
          <w:w w:val="115"/>
          <w:sz w:val="19"/>
        </w:rPr>
        <w:t> </w:t>
      </w:r>
      <w:r>
        <w:rPr>
          <w:i/>
          <w:w w:val="115"/>
          <w:sz w:val="19"/>
        </w:rPr>
        <w:t>The</w:t>
      </w:r>
      <w:r>
        <w:rPr>
          <w:i/>
          <w:spacing w:val="-19"/>
          <w:w w:val="115"/>
          <w:sz w:val="19"/>
        </w:rPr>
        <w:t> </w:t>
      </w:r>
      <w:r>
        <w:rPr>
          <w:i/>
          <w:w w:val="115"/>
          <w:sz w:val="19"/>
        </w:rPr>
        <w:t>Paranoid</w:t>
      </w:r>
      <w:r>
        <w:rPr>
          <w:i/>
          <w:spacing w:val="-19"/>
          <w:w w:val="115"/>
          <w:sz w:val="19"/>
        </w:rPr>
        <w:t> </w:t>
      </w:r>
      <w:r>
        <w:rPr>
          <w:i/>
          <w:w w:val="115"/>
          <w:sz w:val="19"/>
        </w:rPr>
        <w:t>Style</w:t>
      </w:r>
      <w:r>
        <w:rPr>
          <w:i/>
          <w:spacing w:val="-19"/>
          <w:w w:val="115"/>
          <w:sz w:val="19"/>
        </w:rPr>
        <w:t> </w:t>
      </w:r>
      <w:r>
        <w:rPr>
          <w:i/>
          <w:w w:val="115"/>
          <w:sz w:val="19"/>
        </w:rPr>
        <w:t>in</w:t>
      </w:r>
      <w:r>
        <w:rPr>
          <w:i/>
          <w:spacing w:val="-19"/>
          <w:w w:val="115"/>
          <w:sz w:val="19"/>
        </w:rPr>
        <w:t> </w:t>
      </w:r>
      <w:r>
        <w:rPr>
          <w:i/>
          <w:w w:val="115"/>
          <w:sz w:val="19"/>
        </w:rPr>
        <w:t>American</w:t>
      </w:r>
      <w:r>
        <w:rPr>
          <w:i/>
          <w:spacing w:val="-19"/>
          <w:w w:val="115"/>
          <w:sz w:val="19"/>
        </w:rPr>
        <w:t> </w:t>
      </w:r>
      <w:r>
        <w:rPr>
          <w:i/>
          <w:w w:val="115"/>
          <w:sz w:val="19"/>
        </w:rPr>
        <w:t>Politics</w:t>
      </w:r>
      <w:r>
        <w:rPr>
          <w:i/>
          <w:spacing w:val="-19"/>
          <w:w w:val="115"/>
          <w:sz w:val="19"/>
        </w:rPr>
        <w:t> </w:t>
      </w:r>
      <w:r>
        <w:rPr>
          <w:i/>
          <w:w w:val="115"/>
          <w:sz w:val="19"/>
        </w:rPr>
        <w:t>and </w:t>
      </w:r>
      <w:r>
        <w:rPr>
          <w:i/>
          <w:w w:val="115"/>
          <w:sz w:val="19"/>
        </w:rPr>
        <w:t>other Essays </w:t>
      </w:r>
      <w:r>
        <w:rPr>
          <w:w w:val="115"/>
          <w:sz w:val="19"/>
        </w:rPr>
        <w:t>(New </w:t>
      </w:r>
      <w:r>
        <w:rPr>
          <w:spacing w:val="-4"/>
          <w:w w:val="115"/>
          <w:sz w:val="19"/>
        </w:rPr>
        <w:t>York: </w:t>
      </w:r>
      <w:r>
        <w:rPr>
          <w:w w:val="115"/>
          <w:sz w:val="19"/>
        </w:rPr>
        <w:t>alfred a. Knopf</w:t>
      </w:r>
      <w:r>
        <w:rPr>
          <w:spacing w:val="21"/>
          <w:w w:val="115"/>
          <w:sz w:val="19"/>
        </w:rPr>
        <w:t> </w:t>
      </w:r>
      <w:r>
        <w:rPr>
          <w:w w:val="115"/>
          <w:sz w:val="19"/>
        </w:rPr>
        <w:t>Editors).</w:t>
      </w:r>
    </w:p>
    <w:p>
      <w:pPr>
        <w:spacing w:line="252" w:lineRule="auto" w:before="28"/>
        <w:ind w:left="727" w:right="132" w:hanging="397"/>
        <w:jc w:val="left"/>
        <w:rPr>
          <w:sz w:val="19"/>
        </w:rPr>
      </w:pPr>
      <w:r>
        <w:rPr>
          <w:w w:val="115"/>
          <w:sz w:val="19"/>
        </w:rPr>
        <w:t>Huntington,</w:t>
      </w:r>
      <w:r>
        <w:rPr>
          <w:spacing w:val="-20"/>
          <w:w w:val="115"/>
          <w:sz w:val="19"/>
        </w:rPr>
        <w:t> </w:t>
      </w:r>
      <w:r>
        <w:rPr>
          <w:w w:val="115"/>
          <w:sz w:val="19"/>
        </w:rPr>
        <w:t>samuel</w:t>
      </w:r>
      <w:r>
        <w:rPr>
          <w:spacing w:val="-20"/>
          <w:w w:val="115"/>
          <w:sz w:val="19"/>
        </w:rPr>
        <w:t> </w:t>
      </w:r>
      <w:r>
        <w:rPr>
          <w:spacing w:val="-13"/>
          <w:w w:val="115"/>
          <w:sz w:val="19"/>
        </w:rPr>
        <w:t>P.</w:t>
      </w:r>
      <w:r>
        <w:rPr>
          <w:spacing w:val="-20"/>
          <w:w w:val="115"/>
          <w:sz w:val="19"/>
        </w:rPr>
        <w:t> </w:t>
      </w:r>
      <w:r>
        <w:rPr>
          <w:w w:val="115"/>
          <w:sz w:val="19"/>
        </w:rPr>
        <w:t>2004</w:t>
      </w:r>
      <w:r>
        <w:rPr>
          <w:spacing w:val="-20"/>
          <w:w w:val="115"/>
          <w:sz w:val="19"/>
        </w:rPr>
        <w:t> </w:t>
      </w:r>
      <w:r>
        <w:rPr>
          <w:i/>
          <w:w w:val="115"/>
          <w:sz w:val="19"/>
        </w:rPr>
        <w:t>Who</w:t>
      </w:r>
      <w:r>
        <w:rPr>
          <w:i/>
          <w:spacing w:val="-20"/>
          <w:w w:val="115"/>
          <w:sz w:val="19"/>
        </w:rPr>
        <w:t> </w:t>
      </w:r>
      <w:r>
        <w:rPr>
          <w:i/>
          <w:w w:val="115"/>
          <w:sz w:val="19"/>
        </w:rPr>
        <w:t>are</w:t>
      </w:r>
      <w:r>
        <w:rPr>
          <w:i/>
          <w:spacing w:val="-20"/>
          <w:w w:val="115"/>
          <w:sz w:val="19"/>
        </w:rPr>
        <w:t> </w:t>
      </w:r>
      <w:r>
        <w:rPr>
          <w:i/>
          <w:spacing w:val="-4"/>
          <w:w w:val="115"/>
          <w:sz w:val="19"/>
        </w:rPr>
        <w:t>We?</w:t>
      </w:r>
      <w:r>
        <w:rPr>
          <w:i/>
          <w:spacing w:val="-20"/>
          <w:w w:val="115"/>
          <w:sz w:val="19"/>
        </w:rPr>
        <w:t> </w:t>
      </w:r>
      <w:r>
        <w:rPr>
          <w:i/>
          <w:w w:val="115"/>
          <w:sz w:val="19"/>
        </w:rPr>
        <w:t>The</w:t>
      </w:r>
      <w:r>
        <w:rPr>
          <w:i/>
          <w:spacing w:val="-20"/>
          <w:w w:val="115"/>
          <w:sz w:val="19"/>
        </w:rPr>
        <w:t> </w:t>
      </w:r>
      <w:r>
        <w:rPr>
          <w:i/>
          <w:w w:val="115"/>
          <w:sz w:val="19"/>
        </w:rPr>
        <w:t>Challenges</w:t>
      </w:r>
      <w:r>
        <w:rPr>
          <w:i/>
          <w:spacing w:val="-20"/>
          <w:w w:val="115"/>
          <w:sz w:val="19"/>
        </w:rPr>
        <w:t> </w:t>
      </w:r>
      <w:r>
        <w:rPr>
          <w:i/>
          <w:w w:val="115"/>
          <w:sz w:val="19"/>
        </w:rPr>
        <w:t>to</w:t>
      </w:r>
      <w:r>
        <w:rPr>
          <w:i/>
          <w:spacing w:val="-20"/>
          <w:w w:val="115"/>
          <w:sz w:val="19"/>
        </w:rPr>
        <w:t> </w:t>
      </w:r>
      <w:r>
        <w:rPr>
          <w:i/>
          <w:w w:val="115"/>
          <w:sz w:val="19"/>
        </w:rPr>
        <w:t>America’s </w:t>
      </w:r>
      <w:r>
        <w:rPr>
          <w:i/>
          <w:w w:val="115"/>
          <w:sz w:val="19"/>
        </w:rPr>
        <w:t>National</w:t>
      </w:r>
      <w:r>
        <w:rPr>
          <w:i/>
          <w:spacing w:val="-10"/>
          <w:w w:val="115"/>
          <w:sz w:val="19"/>
        </w:rPr>
        <w:t> </w:t>
      </w:r>
      <w:r>
        <w:rPr>
          <w:i/>
          <w:w w:val="115"/>
          <w:sz w:val="19"/>
        </w:rPr>
        <w:t>Identity</w:t>
      </w:r>
      <w:r>
        <w:rPr>
          <w:i/>
          <w:spacing w:val="-10"/>
          <w:w w:val="115"/>
          <w:sz w:val="19"/>
        </w:rPr>
        <w:t> </w:t>
      </w:r>
      <w:r>
        <w:rPr>
          <w:w w:val="115"/>
          <w:sz w:val="19"/>
        </w:rPr>
        <w:t>(New</w:t>
      </w:r>
      <w:r>
        <w:rPr>
          <w:spacing w:val="-10"/>
          <w:w w:val="115"/>
          <w:sz w:val="19"/>
        </w:rPr>
        <w:t> </w:t>
      </w:r>
      <w:r>
        <w:rPr>
          <w:spacing w:val="-4"/>
          <w:w w:val="115"/>
          <w:sz w:val="19"/>
        </w:rPr>
        <w:t>York:</w:t>
      </w:r>
      <w:r>
        <w:rPr>
          <w:spacing w:val="-10"/>
          <w:w w:val="115"/>
          <w:sz w:val="19"/>
        </w:rPr>
        <w:t> </w:t>
      </w:r>
      <w:r>
        <w:rPr>
          <w:w w:val="115"/>
          <w:sz w:val="19"/>
        </w:rPr>
        <w:t>simon</w:t>
      </w:r>
      <w:r>
        <w:rPr>
          <w:spacing w:val="-10"/>
          <w:w w:val="115"/>
          <w:sz w:val="19"/>
        </w:rPr>
        <w:t> </w:t>
      </w:r>
      <w:r>
        <w:rPr>
          <w:w w:val="115"/>
          <w:sz w:val="19"/>
        </w:rPr>
        <w:t>&amp;</w:t>
      </w:r>
      <w:r>
        <w:rPr>
          <w:spacing w:val="-10"/>
          <w:w w:val="115"/>
          <w:sz w:val="19"/>
        </w:rPr>
        <w:t> </w:t>
      </w:r>
      <w:r>
        <w:rPr>
          <w:w w:val="115"/>
          <w:sz w:val="19"/>
        </w:rPr>
        <w:t>schuster).</w:t>
      </w:r>
    </w:p>
    <w:p>
      <w:pPr>
        <w:spacing w:line="252" w:lineRule="auto" w:before="28"/>
        <w:ind w:left="727" w:right="1016" w:hanging="397"/>
        <w:jc w:val="both"/>
        <w:rPr>
          <w:sz w:val="19"/>
        </w:rPr>
      </w:pPr>
      <w:r>
        <w:rPr>
          <w:w w:val="110"/>
          <w:sz w:val="19"/>
        </w:rPr>
        <w:t>Joppke, Christian 2000 </w:t>
      </w:r>
      <w:r>
        <w:rPr>
          <w:i/>
          <w:w w:val="110"/>
          <w:sz w:val="19"/>
        </w:rPr>
        <w:t>Inmmigration and the Nation-State. </w:t>
      </w:r>
      <w:r>
        <w:rPr>
          <w:i/>
          <w:w w:val="107"/>
          <w:sz w:val="19"/>
        </w:rPr>
        <w:t>The</w:t>
      </w:r>
      <w:r>
        <w:rPr>
          <w:i/>
          <w:sz w:val="19"/>
        </w:rPr>
        <w:t> </w:t>
      </w:r>
      <w:r>
        <w:rPr>
          <w:i/>
          <w:w w:val="111"/>
          <w:sz w:val="19"/>
        </w:rPr>
        <w:t>United</w:t>
      </w:r>
      <w:r>
        <w:rPr>
          <w:i/>
          <w:sz w:val="19"/>
        </w:rPr>
        <w:t> </w:t>
      </w:r>
      <w:r>
        <w:rPr>
          <w:i/>
          <w:w w:val="111"/>
          <w:sz w:val="19"/>
        </w:rPr>
        <w:t>States,</w:t>
      </w:r>
      <w:r>
        <w:rPr>
          <w:i/>
          <w:sz w:val="19"/>
        </w:rPr>
        <w:t> </w:t>
      </w:r>
      <w:r>
        <w:rPr>
          <w:i/>
          <w:w w:val="112"/>
          <w:sz w:val="19"/>
        </w:rPr>
        <w:t>Germany</w:t>
      </w:r>
      <w:r>
        <w:rPr>
          <w:i/>
          <w:sz w:val="19"/>
        </w:rPr>
        <w:t> </w:t>
      </w:r>
      <w:r>
        <w:rPr>
          <w:i/>
          <w:w w:val="109"/>
          <w:sz w:val="19"/>
        </w:rPr>
        <w:t>and</w:t>
      </w:r>
      <w:r>
        <w:rPr>
          <w:i/>
          <w:sz w:val="19"/>
        </w:rPr>
        <w:t> </w:t>
      </w:r>
      <w:r>
        <w:rPr>
          <w:i/>
          <w:w w:val="109"/>
          <w:sz w:val="19"/>
        </w:rPr>
        <w:t>Great</w:t>
      </w:r>
      <w:r>
        <w:rPr>
          <w:i/>
          <w:sz w:val="19"/>
        </w:rPr>
        <w:t> </w:t>
      </w:r>
      <w:r>
        <w:rPr>
          <w:i/>
          <w:w w:val="110"/>
          <w:sz w:val="19"/>
        </w:rPr>
        <w:t>Britain</w:t>
      </w:r>
      <w:r>
        <w:rPr>
          <w:i/>
          <w:sz w:val="19"/>
        </w:rPr>
        <w:t> </w:t>
      </w:r>
      <w:r>
        <w:rPr>
          <w:w w:val="98"/>
          <w:sz w:val="19"/>
        </w:rPr>
        <w:t>(</w:t>
      </w:r>
      <w:r>
        <w:rPr>
          <w:w w:val="243"/>
          <w:sz w:val="19"/>
        </w:rPr>
        <w:t>l</w:t>
      </w:r>
      <w:r>
        <w:rPr>
          <w:w w:val="110"/>
          <w:sz w:val="19"/>
        </w:rPr>
        <w:t>ondon: </w:t>
      </w:r>
      <w:r>
        <w:rPr>
          <w:w w:val="110"/>
          <w:sz w:val="19"/>
        </w:rPr>
        <w:t>Clarendon Press).</w:t>
      </w:r>
    </w:p>
    <w:p>
      <w:pPr>
        <w:spacing w:line="252" w:lineRule="auto" w:before="28"/>
        <w:ind w:left="727" w:right="321" w:hanging="397"/>
        <w:jc w:val="left"/>
        <w:rPr>
          <w:sz w:val="19"/>
        </w:rPr>
      </w:pPr>
      <w:r>
        <w:rPr>
          <w:w w:val="115"/>
          <w:sz w:val="19"/>
        </w:rPr>
        <w:t>Knoebel, dale </w:t>
      </w:r>
      <w:r>
        <w:rPr>
          <w:spacing w:val="-11"/>
          <w:w w:val="140"/>
          <w:sz w:val="19"/>
        </w:rPr>
        <w:t>t. </w:t>
      </w:r>
      <w:r>
        <w:rPr>
          <w:w w:val="115"/>
          <w:sz w:val="19"/>
        </w:rPr>
        <w:t>1996 </w:t>
      </w:r>
      <w:r>
        <w:rPr>
          <w:i/>
          <w:w w:val="115"/>
          <w:sz w:val="19"/>
        </w:rPr>
        <w:t>America for the Americans: The Nativist </w:t>
      </w:r>
      <w:r>
        <w:rPr>
          <w:i/>
          <w:w w:val="115"/>
          <w:sz w:val="19"/>
        </w:rPr>
        <w:t>Movement</w:t>
      </w:r>
      <w:r>
        <w:rPr>
          <w:i/>
          <w:spacing w:val="-16"/>
          <w:w w:val="115"/>
          <w:sz w:val="19"/>
        </w:rPr>
        <w:t> </w:t>
      </w:r>
      <w:r>
        <w:rPr>
          <w:i/>
          <w:w w:val="115"/>
          <w:sz w:val="19"/>
        </w:rPr>
        <w:t>in</w:t>
      </w:r>
      <w:r>
        <w:rPr>
          <w:i/>
          <w:spacing w:val="-16"/>
          <w:w w:val="115"/>
          <w:sz w:val="19"/>
        </w:rPr>
        <w:t> </w:t>
      </w:r>
      <w:r>
        <w:rPr>
          <w:i/>
          <w:w w:val="115"/>
          <w:sz w:val="19"/>
        </w:rPr>
        <w:t>the</w:t>
      </w:r>
      <w:r>
        <w:rPr>
          <w:i/>
          <w:spacing w:val="-16"/>
          <w:w w:val="115"/>
          <w:sz w:val="19"/>
        </w:rPr>
        <w:t> </w:t>
      </w:r>
      <w:r>
        <w:rPr>
          <w:i/>
          <w:w w:val="115"/>
          <w:sz w:val="19"/>
        </w:rPr>
        <w:t>United</w:t>
      </w:r>
      <w:r>
        <w:rPr>
          <w:i/>
          <w:spacing w:val="-16"/>
          <w:w w:val="115"/>
          <w:sz w:val="19"/>
        </w:rPr>
        <w:t> </w:t>
      </w:r>
      <w:r>
        <w:rPr>
          <w:i/>
          <w:w w:val="115"/>
          <w:sz w:val="19"/>
        </w:rPr>
        <w:t>States</w:t>
      </w:r>
      <w:r>
        <w:rPr>
          <w:i/>
          <w:spacing w:val="-16"/>
          <w:w w:val="115"/>
          <w:sz w:val="19"/>
        </w:rPr>
        <w:t> </w:t>
      </w:r>
      <w:r>
        <w:rPr>
          <w:w w:val="115"/>
          <w:sz w:val="19"/>
        </w:rPr>
        <w:t>(New</w:t>
      </w:r>
      <w:r>
        <w:rPr>
          <w:spacing w:val="-16"/>
          <w:w w:val="115"/>
          <w:sz w:val="19"/>
        </w:rPr>
        <w:t> </w:t>
      </w:r>
      <w:r>
        <w:rPr>
          <w:spacing w:val="-4"/>
          <w:w w:val="115"/>
          <w:sz w:val="19"/>
        </w:rPr>
        <w:t>York:</w:t>
      </w:r>
      <w:r>
        <w:rPr>
          <w:spacing w:val="-16"/>
          <w:w w:val="115"/>
          <w:sz w:val="19"/>
        </w:rPr>
        <w:t> </w:t>
      </w:r>
      <w:r>
        <w:rPr>
          <w:spacing w:val="-5"/>
          <w:w w:val="115"/>
          <w:sz w:val="19"/>
        </w:rPr>
        <w:t>twayne</w:t>
      </w:r>
      <w:r>
        <w:rPr>
          <w:spacing w:val="-16"/>
          <w:w w:val="115"/>
          <w:sz w:val="19"/>
        </w:rPr>
        <w:t> </w:t>
      </w:r>
      <w:r>
        <w:rPr>
          <w:w w:val="115"/>
          <w:sz w:val="19"/>
        </w:rPr>
        <w:t>Publishers).</w:t>
      </w:r>
    </w:p>
    <w:p>
      <w:pPr>
        <w:pStyle w:val="BodyText"/>
        <w:spacing w:line="252" w:lineRule="auto" w:before="28"/>
        <w:ind w:left="727" w:right="114" w:hanging="397"/>
      </w:pPr>
      <w:r>
        <w:rPr>
          <w:w w:val="243"/>
        </w:rPr>
        <w:t>l</w:t>
      </w:r>
      <w:r>
        <w:rPr>
          <w:w w:val="110"/>
        </w:rPr>
        <w:t>ef</w:t>
      </w:r>
      <w:r>
        <w:rPr>
          <w:w w:val="105"/>
        </w:rPr>
        <w:t>fle</w:t>
      </w:r>
      <w:r>
        <w:rPr>
          <w:w w:val="105"/>
        </w:rPr>
        <w:t>r</w:t>
      </w:r>
      <w:r>
        <w:rPr>
          <w:w w:val="138"/>
        </w:rPr>
        <w:t>,</w:t>
      </w:r>
      <w:r>
        <w:rPr/>
        <w:t> </w:t>
      </w:r>
      <w:r>
        <w:rPr>
          <w:w w:val="110"/>
        </w:rPr>
        <w:t>Melvyn</w:t>
      </w:r>
      <w:r>
        <w:rPr/>
        <w:t> </w:t>
      </w:r>
      <w:r>
        <w:rPr>
          <w:w w:val="113"/>
        </w:rPr>
        <w:t>P</w:t>
      </w:r>
      <w:r>
        <w:rPr>
          <w:w w:val="138"/>
        </w:rPr>
        <w:t>.</w:t>
      </w:r>
      <w:r>
        <w:rPr/>
        <w:t> </w:t>
      </w:r>
      <w:r>
        <w:rPr>
          <w:w w:val="102"/>
        </w:rPr>
        <w:t>2011</w:t>
      </w:r>
      <w:r>
        <w:rPr/>
        <w:t> </w:t>
      </w:r>
      <w:r>
        <w:rPr>
          <w:w w:val="95"/>
        </w:rPr>
        <w:t>“9/11</w:t>
      </w:r>
      <w:r>
        <w:rPr/>
        <w:t> </w:t>
      </w:r>
      <w:r>
        <w:rPr>
          <w:w w:val="113"/>
        </w:rPr>
        <w:t>in</w:t>
      </w:r>
      <w:r>
        <w:rPr/>
        <w:t> </w:t>
      </w:r>
      <w:r>
        <w:rPr>
          <w:w w:val="182"/>
        </w:rPr>
        <w:t>r</w:t>
      </w:r>
      <w:r>
        <w:rPr>
          <w:w w:val="109"/>
        </w:rPr>
        <w:t>etrospect”,</w:t>
      </w:r>
      <w:r>
        <w:rPr/>
        <w:t> </w:t>
      </w:r>
      <w:r>
        <w:rPr>
          <w:w w:val="108"/>
        </w:rPr>
        <w:t>en</w:t>
      </w:r>
      <w:r>
        <w:rPr/>
        <w:t> </w:t>
      </w:r>
      <w:r>
        <w:rPr>
          <w:w w:val="111"/>
        </w:rPr>
        <w:t>Foreign</w:t>
      </w:r>
      <w:r>
        <w:rPr/>
        <w:t> </w:t>
      </w:r>
      <w:r>
        <w:rPr>
          <w:w w:val="139"/>
        </w:rPr>
        <w:t>a</w:t>
      </w:r>
      <w:r>
        <w:rPr>
          <w:w w:val="118"/>
        </w:rPr>
        <w:t>f</w:t>
      </w:r>
      <w:r>
        <w:rPr>
          <w:w w:val="113"/>
        </w:rPr>
        <w:t>fairs, </w:t>
      </w:r>
      <w:r>
        <w:rPr>
          <w:w w:val="115"/>
        </w:rPr>
        <w:t>october, Nº 9, Vol. 90.</w:t>
      </w:r>
    </w:p>
    <w:p>
      <w:pPr>
        <w:pStyle w:val="BodyText"/>
        <w:spacing w:line="252" w:lineRule="auto" w:before="28"/>
        <w:ind w:left="727" w:hanging="397"/>
      </w:pPr>
      <w:r>
        <w:rPr>
          <w:w w:val="243"/>
        </w:rPr>
        <w:t>l</w:t>
      </w:r>
      <w:r>
        <w:rPr>
          <w:w w:val="110"/>
        </w:rPr>
        <w:t>ipset,</w:t>
      </w:r>
      <w:r>
        <w:rPr/>
        <w:t> </w:t>
      </w:r>
      <w:r>
        <w:rPr>
          <w:w w:val="149"/>
        </w:rPr>
        <w:t>s</w:t>
      </w:r>
      <w:r>
        <w:rPr>
          <w:w w:val="109"/>
        </w:rPr>
        <w:t>eymour</w:t>
      </w:r>
      <w:r>
        <w:rPr/>
        <w:t> </w:t>
      </w:r>
      <w:r>
        <w:rPr>
          <w:w w:val="113"/>
        </w:rPr>
        <w:t>Martin</w:t>
      </w:r>
      <w:r>
        <w:rPr/>
        <w:t> </w:t>
      </w:r>
      <w:r>
        <w:rPr>
          <w:w w:val="102"/>
        </w:rPr>
        <w:t>1964</w:t>
      </w:r>
      <w:r>
        <w:rPr/>
        <w:t> </w:t>
      </w:r>
      <w:r>
        <w:rPr>
          <w:w w:val="115"/>
        </w:rPr>
        <w:t>“</w:t>
      </w:r>
      <w:r>
        <w:rPr>
          <w:w w:val="195"/>
        </w:rPr>
        <w:t>t</w:t>
      </w:r>
      <w:r>
        <w:rPr>
          <w:w w:val="109"/>
        </w:rPr>
        <w:t>he</w:t>
      </w:r>
      <w:r>
        <w:rPr/>
        <w:t> </w:t>
      </w:r>
      <w:r>
        <w:rPr>
          <w:w w:val="149"/>
        </w:rPr>
        <w:t>s</w:t>
      </w:r>
      <w:r>
        <w:rPr>
          <w:w w:val="109"/>
        </w:rPr>
        <w:t>ources</w:t>
      </w:r>
      <w:r>
        <w:rPr/>
        <w:t> </w:t>
      </w:r>
      <w:r>
        <w:rPr>
          <w:w w:val="113"/>
        </w:rPr>
        <w:t>of</w:t>
      </w:r>
      <w:r>
        <w:rPr/>
        <w:t> </w:t>
      </w:r>
      <w:r>
        <w:rPr>
          <w:w w:val="108"/>
        </w:rPr>
        <w:t>the</w:t>
      </w:r>
      <w:r>
        <w:rPr/>
        <w:t> </w:t>
      </w:r>
      <w:r>
        <w:rPr>
          <w:w w:val="182"/>
        </w:rPr>
        <w:t>r</w:t>
      </w:r>
      <w:r>
        <w:rPr>
          <w:w w:val="112"/>
        </w:rPr>
        <w:t>adical</w:t>
      </w:r>
      <w:r>
        <w:rPr/>
        <w:t> </w:t>
      </w:r>
      <w:r>
        <w:rPr>
          <w:w w:val="182"/>
        </w:rPr>
        <w:t>r</w:t>
      </w:r>
      <w:r>
        <w:rPr>
          <w:w w:val="114"/>
        </w:rPr>
        <w:t>ight”,</w:t>
      </w:r>
      <w:r>
        <w:rPr/>
        <w:t> </w:t>
      </w:r>
      <w:r>
        <w:rPr>
          <w:w w:val="108"/>
        </w:rPr>
        <w:t>en </w:t>
      </w:r>
      <w:r>
        <w:rPr>
          <w:w w:val="115"/>
        </w:rPr>
        <w:t>daniel bell, </w:t>
      </w:r>
      <w:r>
        <w:rPr>
          <w:i/>
          <w:w w:val="115"/>
        </w:rPr>
        <w:t>The Radical Right </w:t>
      </w:r>
      <w:r>
        <w:rPr>
          <w:w w:val="115"/>
        </w:rPr>
        <w:t>(New York: anchor books).</w:t>
      </w:r>
    </w:p>
    <w:p>
      <w:pPr>
        <w:spacing w:line="252" w:lineRule="auto" w:before="28"/>
        <w:ind w:left="727" w:right="274" w:hanging="397"/>
        <w:jc w:val="left"/>
        <w:rPr>
          <w:sz w:val="19"/>
        </w:rPr>
      </w:pPr>
      <w:r>
        <w:rPr>
          <w:w w:val="243"/>
          <w:sz w:val="19"/>
        </w:rPr>
        <w:t>l</w:t>
      </w:r>
      <w:r>
        <w:rPr>
          <w:w w:val="110"/>
          <w:sz w:val="19"/>
        </w:rPr>
        <w:t>ipset,</w:t>
      </w:r>
      <w:r>
        <w:rPr>
          <w:sz w:val="19"/>
        </w:rPr>
        <w:t> </w:t>
      </w:r>
      <w:r>
        <w:rPr>
          <w:w w:val="149"/>
          <w:sz w:val="19"/>
        </w:rPr>
        <w:t>s</w:t>
      </w:r>
      <w:r>
        <w:rPr>
          <w:w w:val="109"/>
          <w:sz w:val="19"/>
        </w:rPr>
        <w:t>eymour</w:t>
      </w:r>
      <w:r>
        <w:rPr>
          <w:sz w:val="19"/>
        </w:rPr>
        <w:t> </w:t>
      </w:r>
      <w:r>
        <w:rPr>
          <w:w w:val="113"/>
          <w:sz w:val="19"/>
        </w:rPr>
        <w:t>Martin</w:t>
      </w:r>
      <w:r>
        <w:rPr>
          <w:sz w:val="19"/>
        </w:rPr>
        <w:t> </w:t>
      </w:r>
      <w:r>
        <w:rPr>
          <w:w w:val="105"/>
          <w:sz w:val="19"/>
        </w:rPr>
        <w:t>y</w:t>
      </w:r>
      <w:r>
        <w:rPr>
          <w:sz w:val="19"/>
        </w:rPr>
        <w:t> </w:t>
      </w:r>
      <w:r>
        <w:rPr>
          <w:w w:val="115"/>
          <w:sz w:val="19"/>
        </w:rPr>
        <w:t>Earl</w:t>
      </w:r>
      <w:r>
        <w:rPr>
          <w:sz w:val="19"/>
        </w:rPr>
        <w:t> </w:t>
      </w:r>
      <w:r>
        <w:rPr>
          <w:w w:val="182"/>
          <w:sz w:val="19"/>
        </w:rPr>
        <w:t>r</w:t>
      </w:r>
      <w:r>
        <w:rPr>
          <w:w w:val="111"/>
          <w:sz w:val="19"/>
        </w:rPr>
        <w:t>aab</w:t>
      </w:r>
      <w:r>
        <w:rPr>
          <w:sz w:val="19"/>
        </w:rPr>
        <w:t> </w:t>
      </w:r>
      <w:r>
        <w:rPr>
          <w:w w:val="102"/>
          <w:sz w:val="19"/>
        </w:rPr>
        <w:t>1970</w:t>
      </w:r>
      <w:r>
        <w:rPr>
          <w:sz w:val="19"/>
        </w:rPr>
        <w:t> </w:t>
      </w:r>
      <w:r>
        <w:rPr>
          <w:i/>
          <w:w w:val="107"/>
          <w:sz w:val="19"/>
        </w:rPr>
        <w:t>The</w:t>
      </w:r>
      <w:r>
        <w:rPr>
          <w:i/>
          <w:sz w:val="19"/>
        </w:rPr>
        <w:t> </w:t>
      </w:r>
      <w:r>
        <w:rPr>
          <w:i/>
          <w:w w:val="112"/>
          <w:sz w:val="19"/>
        </w:rPr>
        <w:t>Politics</w:t>
      </w:r>
      <w:r>
        <w:rPr>
          <w:i/>
          <w:sz w:val="19"/>
        </w:rPr>
        <w:t> </w:t>
      </w:r>
      <w:r>
        <w:rPr>
          <w:i/>
          <w:w w:val="111"/>
          <w:sz w:val="19"/>
        </w:rPr>
        <w:t>of</w:t>
      </w:r>
      <w:r>
        <w:rPr>
          <w:i/>
          <w:sz w:val="19"/>
        </w:rPr>
        <w:t> </w:t>
      </w:r>
      <w:r>
        <w:rPr>
          <w:i/>
          <w:w w:val="111"/>
          <w:sz w:val="19"/>
        </w:rPr>
        <w:t>Unreason:</w:t>
      </w:r>
      <w:r>
        <w:rPr>
          <w:i/>
          <w:w w:val="111"/>
          <w:sz w:val="19"/>
        </w:rPr>
        <w:t> </w:t>
      </w:r>
      <w:r>
        <w:rPr>
          <w:i/>
          <w:w w:val="115"/>
          <w:sz w:val="19"/>
        </w:rPr>
        <w:t>Right-Wing Extremism in America, 1790-1970 </w:t>
      </w:r>
      <w:r>
        <w:rPr>
          <w:w w:val="115"/>
          <w:sz w:val="19"/>
        </w:rPr>
        <w:t>(New York: Harper and row).</w:t>
      </w:r>
    </w:p>
    <w:p>
      <w:pPr>
        <w:pStyle w:val="BodyText"/>
        <w:spacing w:line="252" w:lineRule="auto" w:before="28"/>
        <w:ind w:left="727" w:right="194" w:hanging="397"/>
      </w:pPr>
      <w:r>
        <w:rPr>
          <w:w w:val="112"/>
        </w:rPr>
        <w:t>Morgenfeld,</w:t>
      </w:r>
      <w:r>
        <w:rPr/>
        <w:t> </w:t>
      </w:r>
      <w:r>
        <w:rPr>
          <w:w w:val="243"/>
        </w:rPr>
        <w:t>l</w:t>
      </w:r>
      <w:r>
        <w:rPr>
          <w:w w:val="109"/>
        </w:rPr>
        <w:t>eandro</w:t>
      </w:r>
      <w:r>
        <w:rPr/>
        <w:t> </w:t>
      </w:r>
      <w:r>
        <w:rPr>
          <w:w w:val="102"/>
        </w:rPr>
        <w:t>2013</w:t>
      </w:r>
      <w:r>
        <w:rPr/>
        <w:t> </w:t>
      </w:r>
      <w:r>
        <w:rPr>
          <w:w w:val="115"/>
        </w:rPr>
        <w:t>“</w:t>
      </w:r>
      <w:r>
        <w:rPr>
          <w:w w:val="182"/>
        </w:rPr>
        <w:t>r</w:t>
      </w:r>
      <w:r>
        <w:rPr>
          <w:w w:val="108"/>
        </w:rPr>
        <w:t>epensando</w:t>
      </w:r>
      <w:r>
        <w:rPr/>
        <w:t> </w:t>
      </w:r>
      <w:r>
        <w:rPr>
          <w:w w:val="107"/>
        </w:rPr>
        <w:t>el</w:t>
      </w:r>
      <w:r>
        <w:rPr/>
        <w:t> </w:t>
      </w:r>
      <w:r>
        <w:rPr>
          <w:w w:val="111"/>
        </w:rPr>
        <w:t>antinorteamericanismo. </w:t>
      </w:r>
      <w:r>
        <w:rPr>
          <w:w w:val="243"/>
        </w:rPr>
        <w:t>l</w:t>
      </w:r>
      <w:r>
        <w:rPr>
          <w:w w:val="108"/>
        </w:rPr>
        <w:t>os</w:t>
      </w:r>
      <w:r>
        <w:rPr/>
        <w:t> </w:t>
      </w:r>
      <w:r>
        <w:rPr>
          <w:w w:val="109"/>
        </w:rPr>
        <w:t>enemigos</w:t>
      </w:r>
      <w:r>
        <w:rPr/>
        <w:t> </w:t>
      </w:r>
      <w:r>
        <w:rPr>
          <w:w w:val="107"/>
        </w:rPr>
        <w:t>del</w:t>
      </w:r>
      <w:r>
        <w:rPr/>
        <w:t> </w:t>
      </w:r>
      <w:r>
        <w:rPr>
          <w:w w:val="108"/>
        </w:rPr>
        <w:t>destino</w:t>
      </w:r>
      <w:r>
        <w:rPr/>
        <w:t> </w:t>
      </w:r>
      <w:r>
        <w:rPr>
          <w:w w:val="111"/>
        </w:rPr>
        <w:t>manifiesto”,</w:t>
      </w:r>
      <w:r>
        <w:rPr/>
        <w:t> </w:t>
      </w:r>
      <w:r>
        <w:rPr>
          <w:w w:val="108"/>
        </w:rPr>
        <w:t>en</w:t>
      </w:r>
      <w:r>
        <w:rPr/>
        <w:t> </w:t>
      </w:r>
      <w:r>
        <w:rPr>
          <w:i/>
          <w:w w:val="109"/>
        </w:rPr>
        <w:t>Le</w:t>
      </w:r>
      <w:r>
        <w:rPr>
          <w:i/>
        </w:rPr>
        <w:t> </w:t>
      </w:r>
      <w:r>
        <w:rPr>
          <w:i/>
          <w:w w:val="112"/>
        </w:rPr>
        <w:t>Monde</w:t>
      </w:r>
      <w:r>
        <w:rPr>
          <w:i/>
          <w:w w:val="112"/>
        </w:rPr>
        <w:t> </w:t>
      </w:r>
      <w:r>
        <w:rPr>
          <w:i/>
          <w:w w:val="115"/>
        </w:rPr>
        <w:t>Diplomatique</w:t>
      </w:r>
      <w:r>
        <w:rPr>
          <w:w w:val="115"/>
        </w:rPr>
        <w:t>, Edición Cono sur, Nº 168, junio.</w:t>
      </w:r>
    </w:p>
    <w:p>
      <w:pPr>
        <w:spacing w:line="252" w:lineRule="auto" w:before="28"/>
        <w:ind w:left="727" w:right="114" w:hanging="397"/>
        <w:jc w:val="left"/>
        <w:rPr>
          <w:sz w:val="19"/>
        </w:rPr>
      </w:pPr>
      <w:r>
        <w:rPr>
          <w:w w:val="110"/>
          <w:sz w:val="19"/>
        </w:rPr>
        <w:t>Mudde, Cas 2012 </w:t>
      </w:r>
      <w:r>
        <w:rPr>
          <w:i/>
          <w:w w:val="110"/>
          <w:sz w:val="19"/>
        </w:rPr>
        <w:t>The relationship between immigration and nativism </w:t>
      </w:r>
      <w:r>
        <w:rPr>
          <w:i/>
          <w:w w:val="110"/>
          <w:sz w:val="19"/>
        </w:rPr>
        <w:t>in Europe and North America </w:t>
      </w:r>
      <w:r>
        <w:rPr>
          <w:w w:val="110"/>
          <w:sz w:val="19"/>
        </w:rPr>
        <w:t>(Washington: Migration Policy institute).</w:t>
      </w:r>
    </w:p>
    <w:p>
      <w:pPr>
        <w:spacing w:after="0" w:line="252" w:lineRule="auto"/>
        <w:jc w:val="left"/>
        <w:rPr>
          <w:sz w:val="19"/>
        </w:rPr>
        <w:sectPr>
          <w:pgSz w:w="8790" w:h="12760"/>
          <w:pgMar w:header="697" w:footer="725" w:top="880" w:bottom="920" w:left="1200" w:right="920"/>
        </w:sectPr>
      </w:pPr>
    </w:p>
    <w:p>
      <w:pPr>
        <w:pStyle w:val="BodyText"/>
        <w:spacing w:before="9"/>
        <w:rPr>
          <w:sz w:val="28"/>
        </w:rPr>
      </w:pPr>
    </w:p>
    <w:p>
      <w:pPr>
        <w:spacing w:line="252" w:lineRule="auto" w:before="73"/>
        <w:ind w:left="497" w:right="0" w:hanging="397"/>
        <w:jc w:val="left"/>
        <w:rPr>
          <w:sz w:val="19"/>
        </w:rPr>
      </w:pPr>
      <w:r>
        <w:rPr>
          <w:w w:val="114"/>
          <w:sz w:val="19"/>
        </w:rPr>
        <w:t>Noël,</w:t>
      </w:r>
      <w:r>
        <w:rPr>
          <w:sz w:val="19"/>
        </w:rPr>
        <w:t> </w:t>
      </w:r>
      <w:r>
        <w:rPr>
          <w:w w:val="243"/>
          <w:sz w:val="19"/>
        </w:rPr>
        <w:t>l</w:t>
      </w:r>
      <w:r>
        <w:rPr>
          <w:w w:val="107"/>
          <w:sz w:val="19"/>
        </w:rPr>
        <w:t>ise</w:t>
      </w:r>
      <w:r>
        <w:rPr>
          <w:sz w:val="19"/>
        </w:rPr>
        <w:t> </w:t>
      </w:r>
      <w:r>
        <w:rPr>
          <w:w w:val="102"/>
          <w:sz w:val="19"/>
        </w:rPr>
        <w:t>1994</w:t>
      </w:r>
      <w:r>
        <w:rPr>
          <w:sz w:val="19"/>
        </w:rPr>
        <w:t> </w:t>
      </w:r>
      <w:r>
        <w:rPr>
          <w:i/>
          <w:w w:val="108"/>
          <w:sz w:val="19"/>
        </w:rPr>
        <w:t>Intolerance:</w:t>
      </w:r>
      <w:r>
        <w:rPr>
          <w:i/>
          <w:sz w:val="19"/>
        </w:rPr>
        <w:t> </w:t>
      </w:r>
      <w:r>
        <w:rPr>
          <w:i/>
          <w:w w:val="112"/>
          <w:sz w:val="19"/>
        </w:rPr>
        <w:t>A</w:t>
      </w:r>
      <w:r>
        <w:rPr>
          <w:i/>
          <w:sz w:val="19"/>
        </w:rPr>
        <w:t> </w:t>
      </w:r>
      <w:r>
        <w:rPr>
          <w:i/>
          <w:w w:val="109"/>
          <w:sz w:val="19"/>
        </w:rPr>
        <w:t>General</w:t>
      </w:r>
      <w:r>
        <w:rPr>
          <w:i/>
          <w:sz w:val="19"/>
        </w:rPr>
        <w:t> </w:t>
      </w:r>
      <w:r>
        <w:rPr>
          <w:i/>
          <w:w w:val="112"/>
          <w:sz w:val="19"/>
        </w:rPr>
        <w:t>Survey</w:t>
      </w:r>
      <w:r>
        <w:rPr>
          <w:w w:val="138"/>
          <w:sz w:val="19"/>
        </w:rPr>
        <w:t>.</w:t>
      </w:r>
      <w:r>
        <w:rPr>
          <w:sz w:val="19"/>
        </w:rPr>
        <w:t> </w:t>
      </w:r>
      <w:r>
        <w:rPr>
          <w:w w:val="195"/>
          <w:sz w:val="19"/>
        </w:rPr>
        <w:t>t</w:t>
      </w:r>
      <w:r>
        <w:rPr>
          <w:w w:val="108"/>
          <w:sz w:val="19"/>
        </w:rPr>
        <w:t>ranslated</w:t>
      </w:r>
      <w:r>
        <w:rPr>
          <w:sz w:val="19"/>
        </w:rPr>
        <w:t> </w:t>
      </w:r>
      <w:r>
        <w:rPr>
          <w:w w:val="108"/>
          <w:sz w:val="19"/>
        </w:rPr>
        <w:t>by</w:t>
      </w:r>
      <w:r>
        <w:rPr>
          <w:sz w:val="19"/>
        </w:rPr>
        <w:t> </w:t>
      </w:r>
      <w:r>
        <w:rPr>
          <w:w w:val="139"/>
          <w:sz w:val="19"/>
        </w:rPr>
        <w:t>a</w:t>
      </w:r>
      <w:r>
        <w:rPr>
          <w:w w:val="109"/>
          <w:sz w:val="19"/>
        </w:rPr>
        <w:t>rnold </w:t>
      </w:r>
      <w:r>
        <w:rPr>
          <w:w w:val="110"/>
          <w:sz w:val="19"/>
        </w:rPr>
        <w:t>bennett (Montreal: McGill-Queen’s university  Press).</w:t>
      </w:r>
    </w:p>
    <w:p>
      <w:pPr>
        <w:spacing w:line="252" w:lineRule="auto" w:before="28"/>
        <w:ind w:left="497" w:right="0" w:hanging="397"/>
        <w:jc w:val="left"/>
        <w:rPr>
          <w:sz w:val="19"/>
        </w:rPr>
      </w:pPr>
      <w:r>
        <w:rPr>
          <w:w w:val="110"/>
          <w:sz w:val="19"/>
        </w:rPr>
        <w:t>Perea, Juan F. 1997 </w:t>
      </w:r>
      <w:r>
        <w:rPr>
          <w:i/>
          <w:w w:val="110"/>
          <w:sz w:val="19"/>
        </w:rPr>
        <w:t>Immigrants out!: the new nativism and the anti- </w:t>
      </w:r>
      <w:r>
        <w:rPr>
          <w:i/>
          <w:w w:val="110"/>
          <w:sz w:val="19"/>
        </w:rPr>
        <w:t>immigrant impulse in the United States </w:t>
      </w:r>
      <w:r>
        <w:rPr>
          <w:w w:val="110"/>
          <w:sz w:val="19"/>
        </w:rPr>
        <w:t>(New York: New York university Press).</w:t>
      </w:r>
    </w:p>
    <w:p>
      <w:pPr>
        <w:spacing w:before="28"/>
        <w:ind w:left="100" w:right="0" w:firstLine="0"/>
        <w:jc w:val="left"/>
        <w:rPr>
          <w:i/>
          <w:sz w:val="19"/>
        </w:rPr>
      </w:pPr>
      <w:r>
        <w:rPr>
          <w:w w:val="115"/>
          <w:sz w:val="19"/>
        </w:rPr>
        <w:t>rubin, barry y Judith Colp rubin 2004 </w:t>
      </w:r>
      <w:r>
        <w:rPr>
          <w:i/>
          <w:w w:val="115"/>
          <w:sz w:val="19"/>
        </w:rPr>
        <w:t>Hating America: A History</w:t>
      </w:r>
    </w:p>
    <w:p>
      <w:pPr>
        <w:pStyle w:val="BodyText"/>
        <w:spacing w:before="11"/>
        <w:ind w:left="497"/>
      </w:pPr>
      <w:r>
        <w:rPr>
          <w:w w:val="110"/>
        </w:rPr>
        <w:t>(oxford  university Press).</w:t>
      </w:r>
    </w:p>
    <w:p>
      <w:pPr>
        <w:spacing w:line="283" w:lineRule="auto" w:before="39"/>
        <w:ind w:left="100" w:right="528" w:firstLine="0"/>
        <w:jc w:val="left"/>
        <w:rPr>
          <w:sz w:val="19"/>
        </w:rPr>
      </w:pPr>
      <w:r>
        <w:rPr>
          <w:w w:val="110"/>
          <w:sz w:val="19"/>
        </w:rPr>
        <w:t>said, Edward 1996 </w:t>
      </w:r>
      <w:r>
        <w:rPr>
          <w:i/>
          <w:w w:val="110"/>
          <w:sz w:val="19"/>
        </w:rPr>
        <w:t>Cultura e imperialismo </w:t>
      </w:r>
      <w:r>
        <w:rPr>
          <w:w w:val="110"/>
          <w:sz w:val="19"/>
        </w:rPr>
        <w:t>(barcelona: anagrama). said, Edward 2002 </w:t>
      </w:r>
      <w:r>
        <w:rPr>
          <w:i/>
          <w:w w:val="110"/>
          <w:sz w:val="19"/>
        </w:rPr>
        <w:t>orientalismo </w:t>
      </w:r>
      <w:r>
        <w:rPr>
          <w:w w:val="110"/>
          <w:sz w:val="19"/>
        </w:rPr>
        <w:t>(barcelona:    debate).</w:t>
      </w:r>
    </w:p>
    <w:p>
      <w:pPr>
        <w:pStyle w:val="BodyText"/>
        <w:spacing w:line="252" w:lineRule="auto"/>
        <w:ind w:left="497" w:right="411" w:hanging="397"/>
      </w:pPr>
      <w:r>
        <w:rPr>
          <w:w w:val="115"/>
        </w:rPr>
        <w:t>salinas</w:t>
      </w:r>
      <w:r>
        <w:rPr>
          <w:spacing w:val="-16"/>
          <w:w w:val="115"/>
        </w:rPr>
        <w:t> </w:t>
      </w:r>
      <w:r>
        <w:rPr>
          <w:w w:val="115"/>
        </w:rPr>
        <w:t>Figueredo,</w:t>
      </w:r>
      <w:r>
        <w:rPr>
          <w:spacing w:val="-16"/>
          <w:w w:val="115"/>
        </w:rPr>
        <w:t> </w:t>
      </w:r>
      <w:r>
        <w:rPr>
          <w:w w:val="115"/>
        </w:rPr>
        <w:t>darío</w:t>
      </w:r>
      <w:r>
        <w:rPr>
          <w:spacing w:val="-16"/>
          <w:w w:val="115"/>
        </w:rPr>
        <w:t> </w:t>
      </w:r>
      <w:r>
        <w:rPr>
          <w:w w:val="115"/>
        </w:rPr>
        <w:t>2012</w:t>
      </w:r>
      <w:r>
        <w:rPr>
          <w:spacing w:val="-16"/>
          <w:w w:val="115"/>
        </w:rPr>
        <w:t> </w:t>
      </w:r>
      <w:r>
        <w:rPr>
          <w:w w:val="115"/>
        </w:rPr>
        <w:t>“Estados</w:t>
      </w:r>
      <w:r>
        <w:rPr>
          <w:spacing w:val="-16"/>
          <w:w w:val="115"/>
        </w:rPr>
        <w:t> </w:t>
      </w:r>
      <w:r>
        <w:rPr>
          <w:w w:val="115"/>
        </w:rPr>
        <w:t>unidos:</w:t>
      </w:r>
      <w:r>
        <w:rPr>
          <w:spacing w:val="-16"/>
          <w:w w:val="115"/>
        </w:rPr>
        <w:t> </w:t>
      </w:r>
      <w:r>
        <w:rPr>
          <w:w w:val="115"/>
        </w:rPr>
        <w:t>seguridad</w:t>
      </w:r>
      <w:r>
        <w:rPr>
          <w:spacing w:val="-16"/>
          <w:w w:val="115"/>
        </w:rPr>
        <w:t> </w:t>
      </w:r>
      <w:r>
        <w:rPr>
          <w:w w:val="115"/>
        </w:rPr>
        <w:t>y</w:t>
      </w:r>
      <w:r>
        <w:rPr>
          <w:spacing w:val="-16"/>
          <w:w w:val="115"/>
        </w:rPr>
        <w:t> </w:t>
      </w:r>
      <w:r>
        <w:rPr>
          <w:w w:val="115"/>
        </w:rPr>
        <w:t>defensa en las nuevas relaciones hemisféricas”, en dídimo Castillo Fernández y Marco a. Gandásegui, hijo (coords.) 2012 </w:t>
      </w:r>
      <w:r>
        <w:rPr>
          <w:i/>
          <w:w w:val="115"/>
        </w:rPr>
        <w:t>Estados </w:t>
      </w:r>
      <w:r>
        <w:rPr>
          <w:i/>
          <w:w w:val="115"/>
        </w:rPr>
        <w:t>Unidos más allá de la crisis </w:t>
      </w:r>
      <w:r>
        <w:rPr>
          <w:w w:val="115"/>
        </w:rPr>
        <w:t>(México: siglo </w:t>
      </w:r>
      <w:r>
        <w:rPr>
          <w:w w:val="130"/>
        </w:rPr>
        <w:t>xxi </w:t>
      </w:r>
      <w:r>
        <w:rPr>
          <w:w w:val="115"/>
        </w:rPr>
        <w:t>Editores/ </w:t>
      </w:r>
      <w:r>
        <w:rPr>
          <w:w w:val="130"/>
        </w:rPr>
        <w:t>ClaCso).</w:t>
      </w:r>
    </w:p>
    <w:p>
      <w:pPr>
        <w:pStyle w:val="BodyText"/>
        <w:spacing w:line="252" w:lineRule="auto" w:before="28"/>
        <w:ind w:left="497" w:right="819" w:hanging="397"/>
      </w:pPr>
      <w:r>
        <w:rPr>
          <w:w w:val="119"/>
        </w:rPr>
        <w:t>V</w:t>
      </w:r>
      <w:r>
        <w:rPr>
          <w:w w:val="108"/>
        </w:rPr>
        <w:t>aldés</w:t>
      </w:r>
      <w:r>
        <w:rPr/>
        <w:t> </w:t>
      </w:r>
      <w:r>
        <w:rPr>
          <w:w w:val="140"/>
        </w:rPr>
        <w:t>u</w:t>
      </w:r>
      <w:r>
        <w:rPr>
          <w:w w:val="111"/>
        </w:rPr>
        <w:t>galde,</w:t>
      </w:r>
      <w:r>
        <w:rPr/>
        <w:t> </w:t>
      </w:r>
      <w:r>
        <w:rPr>
          <w:w w:val="115"/>
        </w:rPr>
        <w:t>José</w:t>
      </w:r>
      <w:r>
        <w:rPr/>
        <w:t> </w:t>
      </w:r>
      <w:r>
        <w:rPr>
          <w:w w:val="243"/>
        </w:rPr>
        <w:t>l</w:t>
      </w:r>
      <w:r>
        <w:rPr>
          <w:w w:val="111"/>
        </w:rPr>
        <w:t>uis</w:t>
      </w:r>
      <w:r>
        <w:rPr/>
        <w:t> </w:t>
      </w:r>
      <w:r>
        <w:rPr>
          <w:w w:val="102"/>
        </w:rPr>
        <w:t>2007</w:t>
      </w:r>
      <w:r>
        <w:rPr/>
        <w:t> </w:t>
      </w:r>
      <w:r>
        <w:rPr>
          <w:w w:val="115"/>
        </w:rPr>
        <w:t>“</w:t>
      </w:r>
      <w:r>
        <w:rPr>
          <w:w w:val="195"/>
        </w:rPr>
        <w:t>t</w:t>
      </w:r>
      <w:r>
        <w:rPr>
          <w:w w:val="112"/>
        </w:rPr>
        <w:t>an</w:t>
      </w:r>
      <w:r>
        <w:rPr/>
        <w:t> </w:t>
      </w:r>
      <w:r>
        <w:rPr>
          <w:w w:val="108"/>
        </w:rPr>
        <w:t>lejos</w:t>
      </w:r>
      <w:r>
        <w:rPr/>
        <w:t> </w:t>
      </w:r>
      <w:r>
        <w:rPr>
          <w:w w:val="107"/>
        </w:rPr>
        <w:t>de</w:t>
      </w:r>
      <w:r>
        <w:rPr/>
        <w:t> </w:t>
      </w:r>
      <w:r>
        <w:rPr>
          <w:w w:val="139"/>
        </w:rPr>
        <w:t>d</w:t>
      </w:r>
      <w:r>
        <w:rPr>
          <w:w w:val="109"/>
        </w:rPr>
        <w:t>ios:</w:t>
      </w:r>
      <w:r>
        <w:rPr/>
        <w:t> </w:t>
      </w:r>
      <w:r>
        <w:rPr>
          <w:w w:val="182"/>
        </w:rPr>
        <w:t>r</w:t>
      </w:r>
      <w:r>
        <w:rPr>
          <w:w w:val="110"/>
        </w:rPr>
        <w:t>ol</w:t>
      </w:r>
      <w:r>
        <w:rPr/>
        <w:t> </w:t>
      </w:r>
      <w:r>
        <w:rPr>
          <w:w w:val="107"/>
        </w:rPr>
        <w:t>de</w:t>
      </w:r>
      <w:r>
        <w:rPr/>
        <w:t> </w:t>
      </w:r>
      <w:r>
        <w:rPr>
          <w:w w:val="111"/>
        </w:rPr>
        <w:t>Estados </w:t>
      </w:r>
      <w:r>
        <w:rPr>
          <w:w w:val="140"/>
        </w:rPr>
        <w:t>u</w:t>
      </w:r>
      <w:r>
        <w:rPr>
          <w:w w:val="110"/>
        </w:rPr>
        <w:t>nidos</w:t>
      </w:r>
      <w:r>
        <w:rPr/>
        <w:t> </w:t>
      </w:r>
      <w:r>
        <w:rPr>
          <w:w w:val="108"/>
        </w:rPr>
        <w:t>en</w:t>
      </w:r>
      <w:r>
        <w:rPr/>
        <w:t> </w:t>
      </w:r>
      <w:r>
        <w:rPr>
          <w:w w:val="139"/>
        </w:rPr>
        <w:t>a</w:t>
      </w:r>
      <w:r>
        <w:rPr>
          <w:w w:val="111"/>
        </w:rPr>
        <w:t>mérica</w:t>
      </w:r>
      <w:r>
        <w:rPr/>
        <w:t> </w:t>
      </w:r>
      <w:r>
        <w:rPr>
          <w:w w:val="243"/>
        </w:rPr>
        <w:t>l</w:t>
      </w:r>
      <w:r>
        <w:rPr>
          <w:w w:val="111"/>
        </w:rPr>
        <w:t>atina</w:t>
      </w:r>
      <w:r>
        <w:rPr/>
        <w:t> </w:t>
      </w:r>
      <w:r>
        <w:rPr>
          <w:w w:val="107"/>
        </w:rPr>
        <w:t>visto</w:t>
      </w:r>
      <w:r>
        <w:rPr/>
        <w:t> </w:t>
      </w:r>
      <w:r>
        <w:rPr>
          <w:w w:val="106"/>
        </w:rPr>
        <w:t>desde</w:t>
      </w:r>
      <w:r>
        <w:rPr/>
        <w:t> </w:t>
      </w:r>
      <w:r>
        <w:rPr>
          <w:w w:val="115"/>
        </w:rPr>
        <w:t>México”,</w:t>
      </w:r>
      <w:r>
        <w:rPr/>
        <w:t> </w:t>
      </w:r>
      <w:r>
        <w:rPr>
          <w:w w:val="108"/>
        </w:rPr>
        <w:t>en</w:t>
      </w:r>
      <w:r>
        <w:rPr/>
        <w:t> </w:t>
      </w:r>
      <w:r>
        <w:rPr>
          <w:i/>
          <w:w w:val="111"/>
        </w:rPr>
        <w:t>Anuario</w:t>
      </w:r>
      <w:r>
        <w:rPr>
          <w:i/>
          <w:w w:val="111"/>
        </w:rPr>
        <w:t> </w:t>
      </w:r>
      <w:r>
        <w:rPr>
          <w:i/>
          <w:w w:val="120"/>
        </w:rPr>
        <w:t>de Integración en el Gran Caribe</w:t>
      </w:r>
      <w:r>
        <w:rPr>
          <w:w w:val="120"/>
        </w:rPr>
        <w:t>, observatorio de </w:t>
      </w:r>
      <w:r>
        <w:rPr>
          <w:w w:val="125"/>
        </w:rPr>
        <w:t>CriEs </w:t>
      </w:r>
      <w:r>
        <w:rPr>
          <w:w w:val="115"/>
        </w:rPr>
        <w:t>(Coordinadora regional de investigaciones Económicas y sociales, buenos aires).</w:t>
      </w:r>
    </w:p>
    <w:p>
      <w:pPr>
        <w:spacing w:line="252" w:lineRule="auto" w:before="28"/>
        <w:ind w:left="497" w:right="0" w:hanging="397"/>
        <w:jc w:val="left"/>
        <w:rPr>
          <w:sz w:val="19"/>
        </w:rPr>
      </w:pPr>
      <w:r>
        <w:rPr>
          <w:w w:val="110"/>
          <w:sz w:val="19"/>
        </w:rPr>
        <w:t>Velasco, Jesús 2007 “En defensa de la patria: derecha radical y conservadores contrarios a la imaginación”, en </w:t>
      </w:r>
      <w:r>
        <w:rPr>
          <w:i/>
          <w:w w:val="110"/>
          <w:sz w:val="19"/>
        </w:rPr>
        <w:t>Istor, revista de </w:t>
      </w:r>
      <w:r>
        <w:rPr>
          <w:i/>
          <w:w w:val="110"/>
          <w:sz w:val="19"/>
        </w:rPr>
        <w:t>historia internacional</w:t>
      </w:r>
      <w:r>
        <w:rPr>
          <w:w w:val="110"/>
          <w:sz w:val="19"/>
        </w:rPr>
        <w:t>, CidE, año 7, Nº 28,     México.</w:t>
      </w:r>
    </w:p>
    <w:p>
      <w:pPr>
        <w:spacing w:line="252" w:lineRule="auto" w:before="28"/>
        <w:ind w:left="497" w:right="590" w:hanging="397"/>
        <w:jc w:val="left"/>
        <w:rPr>
          <w:sz w:val="19"/>
        </w:rPr>
      </w:pPr>
      <w:r>
        <w:rPr>
          <w:spacing w:val="-3"/>
          <w:w w:val="125"/>
          <w:sz w:val="19"/>
        </w:rPr>
        <w:t>Verea, </w:t>
      </w:r>
      <w:r>
        <w:rPr>
          <w:w w:val="125"/>
          <w:sz w:val="19"/>
        </w:rPr>
        <w:t>Mónica 2003 “El nativismo en la política migratoria </w:t>
      </w:r>
      <w:r>
        <w:rPr>
          <w:w w:val="110"/>
          <w:sz w:val="19"/>
        </w:rPr>
        <w:t>estadounidense </w:t>
      </w:r>
      <w:r>
        <w:rPr>
          <w:w w:val="125"/>
          <w:sz w:val="19"/>
        </w:rPr>
        <w:t>del siglo xx”, en </w:t>
      </w:r>
      <w:r>
        <w:rPr>
          <w:i/>
          <w:w w:val="125"/>
          <w:sz w:val="19"/>
        </w:rPr>
        <w:t>Desde el Sur: visiones de </w:t>
      </w:r>
      <w:r>
        <w:rPr>
          <w:i/>
          <w:w w:val="115"/>
          <w:sz w:val="19"/>
        </w:rPr>
        <w:t>Estados</w:t>
      </w:r>
      <w:r>
        <w:rPr>
          <w:i/>
          <w:spacing w:val="-17"/>
          <w:w w:val="115"/>
          <w:sz w:val="19"/>
        </w:rPr>
        <w:t> </w:t>
      </w:r>
      <w:r>
        <w:rPr>
          <w:i/>
          <w:w w:val="115"/>
          <w:sz w:val="19"/>
        </w:rPr>
        <w:t>Unidos</w:t>
      </w:r>
      <w:r>
        <w:rPr>
          <w:i/>
          <w:spacing w:val="-17"/>
          <w:w w:val="115"/>
          <w:sz w:val="19"/>
        </w:rPr>
        <w:t> </w:t>
      </w:r>
      <w:r>
        <w:rPr>
          <w:i/>
          <w:w w:val="115"/>
          <w:sz w:val="19"/>
        </w:rPr>
        <w:t>y</w:t>
      </w:r>
      <w:r>
        <w:rPr>
          <w:i/>
          <w:spacing w:val="-17"/>
          <w:w w:val="115"/>
          <w:sz w:val="19"/>
        </w:rPr>
        <w:t> </w:t>
      </w:r>
      <w:r>
        <w:rPr>
          <w:i/>
          <w:w w:val="115"/>
          <w:sz w:val="19"/>
        </w:rPr>
        <w:t>Canadá</w:t>
      </w:r>
      <w:r>
        <w:rPr>
          <w:i/>
          <w:spacing w:val="-17"/>
          <w:w w:val="115"/>
          <w:sz w:val="19"/>
        </w:rPr>
        <w:t> </w:t>
      </w:r>
      <w:r>
        <w:rPr>
          <w:i/>
          <w:w w:val="115"/>
          <w:sz w:val="19"/>
        </w:rPr>
        <w:t>desde</w:t>
      </w:r>
      <w:r>
        <w:rPr>
          <w:i/>
          <w:spacing w:val="-17"/>
          <w:w w:val="115"/>
          <w:sz w:val="19"/>
        </w:rPr>
        <w:t> </w:t>
      </w:r>
      <w:r>
        <w:rPr>
          <w:i/>
          <w:w w:val="115"/>
          <w:sz w:val="19"/>
        </w:rPr>
        <w:t>América</w:t>
      </w:r>
      <w:r>
        <w:rPr>
          <w:i/>
          <w:spacing w:val="-17"/>
          <w:w w:val="115"/>
          <w:sz w:val="19"/>
        </w:rPr>
        <w:t> </w:t>
      </w:r>
      <w:r>
        <w:rPr>
          <w:i/>
          <w:w w:val="115"/>
          <w:sz w:val="19"/>
        </w:rPr>
        <w:t>Latina</w:t>
      </w:r>
      <w:r>
        <w:rPr>
          <w:i/>
          <w:spacing w:val="-17"/>
          <w:w w:val="115"/>
          <w:sz w:val="19"/>
        </w:rPr>
        <w:t> </w:t>
      </w:r>
      <w:r>
        <w:rPr>
          <w:i/>
          <w:w w:val="115"/>
          <w:sz w:val="19"/>
        </w:rPr>
        <w:t>a</w:t>
      </w:r>
      <w:r>
        <w:rPr>
          <w:i/>
          <w:spacing w:val="-17"/>
          <w:w w:val="115"/>
          <w:sz w:val="19"/>
        </w:rPr>
        <w:t> </w:t>
      </w:r>
      <w:r>
        <w:rPr>
          <w:i/>
          <w:w w:val="115"/>
          <w:sz w:val="19"/>
        </w:rPr>
        <w:t>principios</w:t>
      </w:r>
      <w:r>
        <w:rPr>
          <w:i/>
          <w:spacing w:val="-17"/>
          <w:w w:val="115"/>
          <w:sz w:val="19"/>
        </w:rPr>
        <w:t> </w:t>
      </w:r>
      <w:r>
        <w:rPr>
          <w:i/>
          <w:w w:val="115"/>
          <w:sz w:val="19"/>
        </w:rPr>
        <w:t>del </w:t>
      </w:r>
      <w:r>
        <w:rPr>
          <w:i/>
          <w:w w:val="125"/>
          <w:sz w:val="19"/>
        </w:rPr>
        <w:t>siglo</w:t>
      </w:r>
      <w:r>
        <w:rPr>
          <w:i/>
          <w:spacing w:val="-23"/>
          <w:w w:val="125"/>
          <w:sz w:val="19"/>
        </w:rPr>
        <w:t> </w:t>
      </w:r>
      <w:r>
        <w:rPr>
          <w:i/>
          <w:w w:val="125"/>
          <w:sz w:val="19"/>
        </w:rPr>
        <w:t>XXI</w:t>
      </w:r>
      <w:r>
        <w:rPr>
          <w:w w:val="125"/>
          <w:sz w:val="19"/>
        </w:rPr>
        <w:t>,</w:t>
      </w:r>
      <w:r>
        <w:rPr>
          <w:spacing w:val="-23"/>
          <w:w w:val="125"/>
          <w:sz w:val="19"/>
        </w:rPr>
        <w:t> </w:t>
      </w:r>
      <w:r>
        <w:rPr>
          <w:spacing w:val="-4"/>
          <w:w w:val="125"/>
          <w:sz w:val="19"/>
        </w:rPr>
        <w:t>Vol.</w:t>
      </w:r>
      <w:r>
        <w:rPr>
          <w:spacing w:val="-23"/>
          <w:w w:val="125"/>
          <w:sz w:val="19"/>
        </w:rPr>
        <w:t> </w:t>
      </w:r>
      <w:r>
        <w:rPr>
          <w:w w:val="125"/>
          <w:sz w:val="19"/>
        </w:rPr>
        <w:t>2</w:t>
      </w:r>
      <w:r>
        <w:rPr>
          <w:spacing w:val="-23"/>
          <w:w w:val="125"/>
          <w:sz w:val="19"/>
        </w:rPr>
        <w:t> </w:t>
      </w:r>
      <w:r>
        <w:rPr>
          <w:w w:val="125"/>
          <w:sz w:val="19"/>
        </w:rPr>
        <w:t>(México:</w:t>
      </w:r>
      <w:r>
        <w:rPr>
          <w:spacing w:val="-23"/>
          <w:w w:val="125"/>
          <w:sz w:val="19"/>
        </w:rPr>
        <w:t> </w:t>
      </w:r>
      <w:r>
        <w:rPr>
          <w:w w:val="125"/>
          <w:sz w:val="19"/>
        </w:rPr>
        <w:t>CisaN/uNaM-FlaCso).</w:t>
      </w:r>
    </w:p>
    <w:p>
      <w:pPr>
        <w:spacing w:line="252" w:lineRule="auto" w:before="28"/>
        <w:ind w:left="497" w:right="386" w:hanging="397"/>
        <w:jc w:val="left"/>
        <w:rPr>
          <w:sz w:val="19"/>
        </w:rPr>
      </w:pPr>
      <w:r>
        <w:rPr>
          <w:w w:val="110"/>
          <w:sz w:val="19"/>
        </w:rPr>
        <w:t>Vidal, Gore 2002 </w:t>
      </w:r>
      <w:r>
        <w:rPr>
          <w:i/>
          <w:w w:val="110"/>
          <w:sz w:val="19"/>
        </w:rPr>
        <w:t>Perpetual war for perpetual peace. How We Got to Be </w:t>
      </w:r>
      <w:r>
        <w:rPr>
          <w:i/>
          <w:w w:val="110"/>
          <w:sz w:val="19"/>
        </w:rPr>
        <w:t>So Hated  </w:t>
      </w:r>
      <w:r>
        <w:rPr>
          <w:w w:val="110"/>
          <w:sz w:val="19"/>
        </w:rPr>
        <w:t>(East sussex: Clairview  books).</w:t>
      </w:r>
    </w:p>
    <w:p>
      <w:pPr>
        <w:spacing w:before="28"/>
        <w:ind w:left="100" w:right="0" w:firstLine="0"/>
        <w:jc w:val="left"/>
        <w:rPr>
          <w:i/>
          <w:sz w:val="19"/>
        </w:rPr>
      </w:pPr>
      <w:r>
        <w:rPr>
          <w:w w:val="110"/>
          <w:sz w:val="19"/>
        </w:rPr>
        <w:t>Young-bruehl, Elizabeth 1996 </w:t>
      </w:r>
      <w:r>
        <w:rPr>
          <w:i/>
          <w:w w:val="110"/>
          <w:sz w:val="19"/>
        </w:rPr>
        <w:t>The Anatomy of  Prejudices</w:t>
      </w:r>
    </w:p>
    <w:p>
      <w:pPr>
        <w:pStyle w:val="BodyText"/>
        <w:spacing w:before="11"/>
        <w:ind w:left="497"/>
      </w:pPr>
      <w:r>
        <w:rPr>
          <w:w w:val="110"/>
        </w:rPr>
        <w:t>(Cambridge, Mass.: Harvard university  Press).</w:t>
      </w:r>
    </w:p>
    <w:p>
      <w:pPr>
        <w:spacing w:line="252" w:lineRule="auto" w:before="39"/>
        <w:ind w:left="497" w:right="0" w:hanging="397"/>
        <w:jc w:val="left"/>
        <w:rPr>
          <w:sz w:val="19"/>
        </w:rPr>
      </w:pPr>
      <w:r>
        <w:rPr>
          <w:w w:val="117"/>
          <w:sz w:val="19"/>
        </w:rPr>
        <w:t>Zinn,</w:t>
      </w:r>
      <w:r>
        <w:rPr>
          <w:sz w:val="19"/>
        </w:rPr>
        <w:t> </w:t>
      </w:r>
      <w:r>
        <w:rPr>
          <w:w w:val="111"/>
          <w:sz w:val="19"/>
        </w:rPr>
        <w:t>Howard</w:t>
      </w:r>
      <w:r>
        <w:rPr>
          <w:sz w:val="19"/>
        </w:rPr>
        <w:t> </w:t>
      </w:r>
      <w:r>
        <w:rPr>
          <w:w w:val="102"/>
          <w:sz w:val="19"/>
        </w:rPr>
        <w:t>2004</w:t>
      </w:r>
      <w:r>
        <w:rPr>
          <w:sz w:val="19"/>
        </w:rPr>
        <w:t> </w:t>
      </w:r>
      <w:r>
        <w:rPr>
          <w:i/>
          <w:w w:val="111"/>
          <w:sz w:val="19"/>
        </w:rPr>
        <w:t>La</w:t>
      </w:r>
      <w:r>
        <w:rPr>
          <w:i/>
          <w:sz w:val="19"/>
        </w:rPr>
        <w:t> </w:t>
      </w:r>
      <w:r>
        <w:rPr>
          <w:i/>
          <w:w w:val="103"/>
          <w:sz w:val="19"/>
        </w:rPr>
        <w:t>otra</w:t>
      </w:r>
      <w:r>
        <w:rPr>
          <w:i/>
          <w:sz w:val="19"/>
        </w:rPr>
        <w:t> </w:t>
      </w:r>
      <w:r>
        <w:rPr>
          <w:i/>
          <w:w w:val="109"/>
          <w:sz w:val="19"/>
        </w:rPr>
        <w:t>historia</w:t>
      </w:r>
      <w:r>
        <w:rPr>
          <w:i/>
          <w:sz w:val="19"/>
        </w:rPr>
        <w:t> </w:t>
      </w:r>
      <w:r>
        <w:rPr>
          <w:i/>
          <w:w w:val="104"/>
          <w:sz w:val="19"/>
        </w:rPr>
        <w:t>de</w:t>
      </w:r>
      <w:r>
        <w:rPr>
          <w:i/>
          <w:sz w:val="19"/>
        </w:rPr>
        <w:t> </w:t>
      </w:r>
      <w:r>
        <w:rPr>
          <w:i/>
          <w:w w:val="112"/>
          <w:sz w:val="19"/>
        </w:rPr>
        <w:t>Estados</w:t>
      </w:r>
      <w:r>
        <w:rPr>
          <w:i/>
          <w:sz w:val="19"/>
        </w:rPr>
        <w:t> </w:t>
      </w:r>
      <w:r>
        <w:rPr>
          <w:i/>
          <w:w w:val="116"/>
          <w:sz w:val="19"/>
        </w:rPr>
        <w:t>Unidos</w:t>
      </w:r>
      <w:r>
        <w:rPr>
          <w:i/>
          <w:sz w:val="19"/>
        </w:rPr>
        <w:t> </w:t>
      </w:r>
      <w:r>
        <w:rPr>
          <w:w w:val="98"/>
          <w:sz w:val="19"/>
        </w:rPr>
        <w:t>(</w:t>
      </w:r>
      <w:r>
        <w:rPr>
          <w:w w:val="243"/>
          <w:sz w:val="19"/>
        </w:rPr>
        <w:t>l</w:t>
      </w:r>
      <w:r>
        <w:rPr>
          <w:w w:val="112"/>
          <w:sz w:val="19"/>
        </w:rPr>
        <w:t>a</w:t>
      </w:r>
      <w:r>
        <w:rPr>
          <w:sz w:val="19"/>
        </w:rPr>
        <w:t> </w:t>
      </w:r>
      <w:r>
        <w:rPr>
          <w:w w:val="113"/>
          <w:sz w:val="19"/>
        </w:rPr>
        <w:t>Habana: </w:t>
      </w:r>
      <w:r>
        <w:rPr>
          <w:w w:val="115"/>
          <w:sz w:val="19"/>
        </w:rPr>
        <w:t>Editorial de Ciencias sociales).</w:t>
      </w:r>
    </w:p>
    <w:p>
      <w:pPr>
        <w:spacing w:line="252" w:lineRule="auto" w:before="28"/>
        <w:ind w:left="497" w:right="279" w:hanging="397"/>
        <w:jc w:val="left"/>
        <w:rPr>
          <w:sz w:val="19"/>
        </w:rPr>
      </w:pPr>
      <w:r>
        <w:rPr>
          <w:w w:val="113"/>
          <w:sz w:val="19"/>
        </w:rPr>
        <w:t>Zuluaga</w:t>
      </w:r>
      <w:r>
        <w:rPr>
          <w:sz w:val="19"/>
        </w:rPr>
        <w:t> </w:t>
      </w:r>
      <w:r>
        <w:rPr>
          <w:w w:val="114"/>
          <w:sz w:val="19"/>
        </w:rPr>
        <w:t>Nieto,</w:t>
      </w:r>
      <w:r>
        <w:rPr>
          <w:sz w:val="19"/>
        </w:rPr>
        <w:t> </w:t>
      </w:r>
      <w:r>
        <w:rPr>
          <w:w w:val="116"/>
          <w:sz w:val="19"/>
        </w:rPr>
        <w:t>Jaime</w:t>
      </w:r>
      <w:r>
        <w:rPr>
          <w:sz w:val="19"/>
        </w:rPr>
        <w:t> </w:t>
      </w:r>
      <w:r>
        <w:rPr>
          <w:w w:val="102"/>
          <w:sz w:val="19"/>
        </w:rPr>
        <w:t>2010</w:t>
      </w:r>
      <w:r>
        <w:rPr>
          <w:sz w:val="19"/>
        </w:rPr>
        <w:t> </w:t>
      </w:r>
      <w:r>
        <w:rPr>
          <w:w w:val="115"/>
          <w:sz w:val="19"/>
        </w:rPr>
        <w:t>“</w:t>
      </w:r>
      <w:r>
        <w:rPr>
          <w:w w:val="243"/>
          <w:sz w:val="19"/>
        </w:rPr>
        <w:t>l</w:t>
      </w:r>
      <w:r>
        <w:rPr>
          <w:w w:val="112"/>
          <w:sz w:val="19"/>
        </w:rPr>
        <w:t>a</w:t>
      </w:r>
      <w:r>
        <w:rPr>
          <w:sz w:val="19"/>
        </w:rPr>
        <w:t> </w:t>
      </w:r>
      <w:r>
        <w:rPr>
          <w:w w:val="111"/>
          <w:sz w:val="19"/>
        </w:rPr>
        <w:t>construcción</w:t>
      </w:r>
      <w:r>
        <w:rPr>
          <w:sz w:val="19"/>
        </w:rPr>
        <w:t> </w:t>
      </w:r>
      <w:r>
        <w:rPr>
          <w:w w:val="107"/>
          <w:sz w:val="19"/>
        </w:rPr>
        <w:t>de</w:t>
      </w:r>
      <w:r>
        <w:rPr>
          <w:sz w:val="19"/>
        </w:rPr>
        <w:t> </w:t>
      </w:r>
      <w:r>
        <w:rPr>
          <w:w w:val="111"/>
          <w:sz w:val="19"/>
        </w:rPr>
        <w:t>la</w:t>
      </w:r>
      <w:r>
        <w:rPr>
          <w:sz w:val="19"/>
        </w:rPr>
        <w:t> </w:t>
      </w:r>
      <w:r>
        <w:rPr>
          <w:w w:val="110"/>
          <w:sz w:val="19"/>
        </w:rPr>
        <w:t>identidad</w:t>
      </w:r>
      <w:r>
        <w:rPr>
          <w:sz w:val="19"/>
        </w:rPr>
        <w:t> </w:t>
      </w:r>
      <w:r>
        <w:rPr>
          <w:w w:val="112"/>
          <w:sz w:val="19"/>
        </w:rPr>
        <w:t>nacional </w:t>
      </w:r>
      <w:r>
        <w:rPr>
          <w:w w:val="115"/>
          <w:sz w:val="19"/>
        </w:rPr>
        <w:t>de Estados unidos”, en Marco a. Gandásegui, hijo y dídimo Castillo Fernández (coords.) 2010 </w:t>
      </w:r>
      <w:r>
        <w:rPr>
          <w:i/>
          <w:w w:val="115"/>
          <w:sz w:val="19"/>
        </w:rPr>
        <w:t>Estados Unidos. La crisis </w:t>
      </w:r>
      <w:r>
        <w:rPr>
          <w:i/>
          <w:w w:val="115"/>
          <w:sz w:val="19"/>
        </w:rPr>
        <w:t>sistémica y las nuevas condiciones de legitimación </w:t>
      </w:r>
      <w:r>
        <w:rPr>
          <w:w w:val="115"/>
          <w:sz w:val="19"/>
        </w:rPr>
        <w:t>(México: siglo </w:t>
      </w:r>
      <w:r>
        <w:rPr>
          <w:w w:val="130"/>
          <w:sz w:val="19"/>
        </w:rPr>
        <w:t>xxi   </w:t>
      </w:r>
      <w:r>
        <w:rPr>
          <w:w w:val="115"/>
          <w:sz w:val="19"/>
        </w:rPr>
        <w:t>Editores/ClaCso).</w:t>
      </w:r>
    </w:p>
    <w:p>
      <w:pPr>
        <w:spacing w:after="0" w:line="252" w:lineRule="auto"/>
        <w:jc w:val="left"/>
        <w:rPr>
          <w:sz w:val="19"/>
        </w:rPr>
        <w:sectPr>
          <w:pgSz w:w="8790" w:h="12760"/>
          <w:pgMar w:header="695" w:footer="723" w:top="880" w:bottom="920" w:left="920" w:right="1200"/>
        </w:sectPr>
      </w:pPr>
    </w:p>
    <w:p>
      <w:pPr>
        <w:pStyle w:val="BodyText"/>
        <w:spacing w:before="4"/>
        <w:rPr>
          <w:rFonts w:ascii="Times New Roman"/>
          <w:sz w:val="17"/>
        </w:rPr>
      </w:pPr>
    </w:p>
    <w:p>
      <w:pPr>
        <w:spacing w:after="0"/>
        <w:rPr>
          <w:rFonts w:ascii="Times New Roman"/>
          <w:sz w:val="17"/>
        </w:rPr>
        <w:sectPr>
          <w:headerReference w:type="default" r:id="rId410"/>
          <w:footerReference w:type="default" r:id="rId411"/>
          <w:pgSz w:w="8790" w:h="12760"/>
          <w:pgMar w:header="0" w:footer="0" w:top="1180" w:bottom="280" w:left="120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9"/>
        </w:rPr>
      </w:pPr>
    </w:p>
    <w:p>
      <w:pPr>
        <w:pStyle w:val="Heading1"/>
        <w:ind w:left="1269" w:right="1768" w:firstLine="183"/>
      </w:pPr>
      <w:r>
        <w:rPr>
          <w:spacing w:val="3"/>
          <w:w w:val="135"/>
        </w:rPr>
        <w:t>aMérica </w:t>
      </w:r>
      <w:r>
        <w:rPr>
          <w:w w:val="135"/>
        </w:rPr>
        <w:t>latina y estados</w:t>
      </w:r>
      <w:r>
        <w:rPr>
          <w:spacing w:val="-68"/>
          <w:w w:val="135"/>
        </w:rPr>
        <w:t> </w:t>
      </w:r>
      <w:r>
        <w:rPr>
          <w:spacing w:val="4"/>
          <w:w w:val="135"/>
        </w:rPr>
        <w:t>unidos</w:t>
      </w:r>
    </w:p>
    <w:p>
      <w:pPr>
        <w:spacing w:after="0"/>
        <w:sectPr>
          <w:headerReference w:type="even" r:id="rId412"/>
          <w:footerReference w:type="even" r:id="rId413"/>
          <w:pgSz w:w="8790" w:h="12760"/>
          <w:pgMar w:header="0" w:footer="0" w:top="1180" w:bottom="280" w:left="1200" w:right="1200"/>
        </w:sectPr>
      </w:pPr>
    </w:p>
    <w:p>
      <w:pPr>
        <w:pStyle w:val="BodyText"/>
        <w:spacing w:before="4"/>
        <w:rPr>
          <w:rFonts w:ascii="Times New Roman"/>
          <w:sz w:val="17"/>
        </w:rPr>
      </w:pPr>
    </w:p>
    <w:p>
      <w:pPr>
        <w:spacing w:after="0"/>
        <w:rPr>
          <w:rFonts w:ascii="Times New Roman"/>
          <w:sz w:val="17"/>
        </w:rPr>
        <w:sectPr>
          <w:headerReference w:type="default" r:id="rId414"/>
          <w:footerReference w:type="default" r:id="rId415"/>
          <w:pgSz w:w="8790" w:h="12760"/>
          <w:pgMar w:header="0" w:footer="0" w:top="1180" w:bottom="280" w:left="1200" w:right="12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pStyle w:val="Heading3"/>
        <w:ind w:left="2047" w:right="0"/>
        <w:jc w:val="left"/>
      </w:pPr>
      <w:r>
        <w:rPr/>
        <w:t>Jaime Zuluaga Nieto*</w:t>
      </w:r>
    </w:p>
    <w:p>
      <w:pPr>
        <w:pStyle w:val="BodyText"/>
        <w:spacing w:before="1"/>
        <w:rPr>
          <w:sz w:val="20"/>
        </w:rPr>
      </w:pPr>
    </w:p>
    <w:p>
      <w:pPr>
        <w:spacing w:before="0"/>
        <w:ind w:left="1948" w:right="0" w:firstLine="0"/>
        <w:jc w:val="left"/>
        <w:rPr>
          <w:rFonts w:ascii="Times New Roman"/>
          <w:b/>
          <w:sz w:val="30"/>
        </w:rPr>
      </w:pPr>
      <w:r>
        <w:rPr>
          <w:rFonts w:ascii="Times New Roman"/>
          <w:b/>
          <w:w w:val="135"/>
          <w:sz w:val="30"/>
        </w:rPr>
        <w:t>estados unidos</w:t>
      </w:r>
    </w:p>
    <w:p>
      <w:pPr>
        <w:pStyle w:val="Heading4"/>
        <w:spacing w:line="242" w:lineRule="auto" w:before="225"/>
        <w:ind w:left="1608" w:right="1756" w:firstLine="247"/>
        <w:rPr>
          <w:rFonts w:ascii="Times New Roman" w:hAnsi="Times New Roman"/>
        </w:rPr>
      </w:pPr>
      <w:r>
        <w:rPr>
          <w:rFonts w:ascii="Times New Roman" w:hAnsi="Times New Roman"/>
          <w:w w:val="140"/>
        </w:rPr>
        <w:t>PolÍticas de defensa </w:t>
      </w:r>
      <w:r>
        <w:rPr>
          <w:rFonts w:ascii="Times New Roman" w:hAnsi="Times New Roman"/>
          <w:w w:val="135"/>
        </w:rPr>
        <w:t>en un contexto Mundial</w:t>
      </w:r>
    </w:p>
    <w:p>
      <w:pPr>
        <w:spacing w:before="1"/>
        <w:ind w:left="1143" w:right="0" w:firstLine="0"/>
        <w:jc w:val="left"/>
        <w:rPr>
          <w:rFonts w:ascii="Times New Roman" w:hAnsi="Times New Roman"/>
          <w:b/>
          <w:sz w:val="24"/>
        </w:rPr>
      </w:pPr>
      <w:r>
        <w:rPr>
          <w:rFonts w:ascii="Times New Roman" w:hAnsi="Times New Roman"/>
          <w:b/>
          <w:spacing w:val="3"/>
          <w:w w:val="134"/>
          <w:sz w:val="24"/>
        </w:rPr>
        <w:t>e</w:t>
      </w:r>
      <w:r>
        <w:rPr>
          <w:rFonts w:ascii="Times New Roman" w:hAnsi="Times New Roman"/>
          <w:b/>
          <w:spacing w:val="2"/>
          <w:w w:val="140"/>
          <w:sz w:val="24"/>
        </w:rPr>
        <w:t>conó</w:t>
      </w:r>
      <w:r>
        <w:rPr>
          <w:rFonts w:ascii="Times New Roman" w:hAnsi="Times New Roman"/>
          <w:b/>
          <w:spacing w:val="2"/>
          <w:w w:val="92"/>
          <w:sz w:val="24"/>
        </w:rPr>
        <w:t>M</w:t>
      </w:r>
      <w:r>
        <w:rPr>
          <w:rFonts w:ascii="Times New Roman" w:hAnsi="Times New Roman"/>
          <w:b/>
          <w:spacing w:val="2"/>
          <w:w w:val="142"/>
          <w:sz w:val="24"/>
        </w:rPr>
        <w:t>ic</w:t>
      </w:r>
      <w:r>
        <w:rPr>
          <w:rFonts w:ascii="Times New Roman" w:hAnsi="Times New Roman"/>
          <w:b/>
          <w:w w:val="142"/>
          <w:sz w:val="24"/>
        </w:rPr>
        <w:t>o</w:t>
      </w:r>
      <w:r>
        <w:rPr>
          <w:rFonts w:ascii="Times New Roman" w:hAnsi="Times New Roman"/>
          <w:b/>
          <w:spacing w:val="-10"/>
          <w:sz w:val="24"/>
        </w:rPr>
        <w:t> </w:t>
      </w:r>
      <w:r>
        <w:rPr>
          <w:rFonts w:ascii="Times New Roman" w:hAnsi="Times New Roman"/>
          <w:b/>
          <w:w w:val="119"/>
          <w:sz w:val="24"/>
        </w:rPr>
        <w:t>y</w:t>
      </w:r>
      <w:r>
        <w:rPr>
          <w:rFonts w:ascii="Times New Roman" w:hAnsi="Times New Roman"/>
          <w:b/>
          <w:spacing w:val="-10"/>
          <w:sz w:val="24"/>
        </w:rPr>
        <w:t> </w:t>
      </w:r>
      <w:r>
        <w:rPr>
          <w:rFonts w:ascii="Times New Roman" w:hAnsi="Times New Roman"/>
          <w:b/>
          <w:spacing w:val="5"/>
          <w:w w:val="99"/>
          <w:sz w:val="24"/>
        </w:rPr>
        <w:t>P</w:t>
      </w:r>
      <w:r>
        <w:rPr>
          <w:rFonts w:ascii="Times New Roman" w:hAnsi="Times New Roman"/>
          <w:b/>
          <w:spacing w:val="2"/>
          <w:w w:val="165"/>
          <w:sz w:val="24"/>
        </w:rPr>
        <w:t>o</w:t>
      </w:r>
      <w:r>
        <w:rPr>
          <w:rFonts w:ascii="Times New Roman" w:hAnsi="Times New Roman"/>
          <w:b/>
          <w:spacing w:val="3"/>
          <w:w w:val="165"/>
          <w:sz w:val="24"/>
        </w:rPr>
        <w:t>l</w:t>
      </w:r>
      <w:r>
        <w:rPr>
          <w:rFonts w:ascii="Times New Roman" w:hAnsi="Times New Roman"/>
          <w:b/>
          <w:spacing w:val="2"/>
          <w:w w:val="92"/>
          <w:sz w:val="24"/>
        </w:rPr>
        <w:t>Í</w:t>
      </w:r>
      <w:r>
        <w:rPr>
          <w:rFonts w:ascii="Times New Roman" w:hAnsi="Times New Roman"/>
          <w:b/>
          <w:spacing w:val="2"/>
          <w:w w:val="150"/>
          <w:sz w:val="24"/>
        </w:rPr>
        <w:t>tic</w:t>
      </w:r>
      <w:r>
        <w:rPr>
          <w:rFonts w:ascii="Times New Roman" w:hAnsi="Times New Roman"/>
          <w:b/>
          <w:w w:val="150"/>
          <w:sz w:val="24"/>
        </w:rPr>
        <w:t>o</w:t>
      </w:r>
      <w:r>
        <w:rPr>
          <w:rFonts w:ascii="Times New Roman" w:hAnsi="Times New Roman"/>
          <w:b/>
          <w:spacing w:val="-10"/>
          <w:sz w:val="24"/>
        </w:rPr>
        <w:t> </w:t>
      </w:r>
      <w:r>
        <w:rPr>
          <w:rFonts w:ascii="Times New Roman" w:hAnsi="Times New Roman"/>
          <w:b/>
          <w:spacing w:val="2"/>
          <w:w w:val="130"/>
          <w:sz w:val="24"/>
        </w:rPr>
        <w:t>in</w:t>
      </w:r>
      <w:r>
        <w:rPr>
          <w:rFonts w:ascii="Times New Roman" w:hAnsi="Times New Roman"/>
          <w:b/>
          <w:spacing w:val="4"/>
          <w:w w:val="130"/>
          <w:sz w:val="24"/>
        </w:rPr>
        <w:t>e</w:t>
      </w:r>
      <w:r>
        <w:rPr>
          <w:rFonts w:ascii="Times New Roman" w:hAnsi="Times New Roman"/>
          <w:b/>
          <w:spacing w:val="1"/>
          <w:w w:val="136"/>
          <w:sz w:val="24"/>
        </w:rPr>
        <w:t>s</w:t>
      </w:r>
      <w:r>
        <w:rPr>
          <w:rFonts w:ascii="Times New Roman" w:hAnsi="Times New Roman"/>
          <w:b/>
          <w:spacing w:val="-12"/>
          <w:w w:val="180"/>
          <w:sz w:val="24"/>
        </w:rPr>
        <w:t>t</w:t>
      </w:r>
      <w:r>
        <w:rPr>
          <w:rFonts w:ascii="Times New Roman" w:hAnsi="Times New Roman"/>
          <w:b/>
          <w:spacing w:val="2"/>
          <w:w w:val="129"/>
          <w:sz w:val="24"/>
        </w:rPr>
        <w:t>a</w:t>
      </w:r>
      <w:r>
        <w:rPr>
          <w:rFonts w:ascii="Times New Roman" w:hAnsi="Times New Roman"/>
          <w:b/>
          <w:spacing w:val="1"/>
          <w:w w:val="96"/>
          <w:sz w:val="24"/>
        </w:rPr>
        <w:t>B</w:t>
      </w:r>
      <w:r>
        <w:rPr>
          <w:rFonts w:ascii="Times New Roman" w:hAnsi="Times New Roman"/>
          <w:b/>
          <w:spacing w:val="3"/>
          <w:w w:val="201"/>
          <w:sz w:val="24"/>
        </w:rPr>
        <w:t>l</w:t>
      </w:r>
      <w:r>
        <w:rPr>
          <w:rFonts w:ascii="Times New Roman" w:hAnsi="Times New Roman"/>
          <w:b/>
          <w:w w:val="134"/>
          <w:sz w:val="24"/>
        </w:rPr>
        <w:t>e</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spacing w:before="2"/>
        <w:rPr>
          <w:rFonts w:ascii="Times New Roman"/>
          <w:b/>
          <w:sz w:val="26"/>
        </w:rPr>
      </w:pPr>
    </w:p>
    <w:p>
      <w:pPr>
        <w:pStyle w:val="Heading6"/>
      </w:pPr>
      <w:r>
        <w:rPr>
          <w:w w:val="140"/>
        </w:rPr>
        <w:t>introducción</w:t>
      </w:r>
    </w:p>
    <w:p>
      <w:pPr>
        <w:pStyle w:val="BodyText"/>
        <w:spacing w:line="252" w:lineRule="auto" w:before="10"/>
        <w:ind w:left="100" w:right="326"/>
        <w:jc w:val="both"/>
      </w:pPr>
      <w:r>
        <w:rPr>
          <w:w w:val="110"/>
        </w:rPr>
        <w:t>Cuando obama asumió la presidencia en enero de 2009, le corres- pondió administrar dos “herencias” de la administración bush </w:t>
      </w:r>
      <w:r>
        <w:rPr>
          <w:spacing w:val="-6"/>
          <w:w w:val="110"/>
        </w:rPr>
        <w:t>Jr.: </w:t>
      </w:r>
      <w:r>
        <w:rPr>
          <w:w w:val="110"/>
        </w:rPr>
        <w:t>la crisis financiera mundial que se desencadenó al reventarse la “burbu- ja inmobiliaria” en los Estados unidos, y las guerras asociadas a la “cruzada mundial contra el terrorismo” desatadas a raíz de los aten- tados terroristas del 11 de septiembre de 2001. Frente a la primera   la decisión fue poner la casa en orden y tratar de sanear la situación económica; frente a la segunda se comprometió al retiro gradual de los escenarios de guerra. se trataba de volver sobre una relación fun- damental planteada desde los orígenes de su nación: el poder de los Estados unidos reside en última instancia en la fortaleza de su eco- nomía. sobre ella se ha edificado su poderío militar y la influencia cultural al extender por el planeta el </w:t>
      </w:r>
      <w:r>
        <w:rPr>
          <w:i/>
          <w:w w:val="110"/>
        </w:rPr>
        <w:t>american way of life </w:t>
      </w:r>
      <w:r>
        <w:rPr>
          <w:w w:val="110"/>
        </w:rPr>
        <w:t>en el que se articulan la libertad y la riqueza material, elementos esenciales de su hegemonía: combinación de capacidad persuasiva y poder coercitivo. </w:t>
      </w:r>
      <w:r>
        <w:rPr>
          <w:w w:val="243"/>
        </w:rPr>
        <w:t>l</w:t>
      </w:r>
      <w:r>
        <w:rPr>
          <w:w w:val="110"/>
        </w:rPr>
        <w:t>o</w:t>
      </w:r>
      <w:r>
        <w:rPr>
          <w:spacing w:val="15"/>
        </w:rPr>
        <w:t> </w:t>
      </w:r>
      <w:r>
        <w:rPr>
          <w:w w:val="108"/>
        </w:rPr>
        <w:t>que</w:t>
      </w:r>
      <w:r>
        <w:rPr>
          <w:spacing w:val="15"/>
        </w:rPr>
        <w:t> </w:t>
      </w:r>
      <w:r>
        <w:rPr>
          <w:w w:val="111"/>
        </w:rPr>
        <w:t>la</w:t>
      </w:r>
      <w:r>
        <w:rPr>
          <w:spacing w:val="15"/>
        </w:rPr>
        <w:t> </w:t>
      </w:r>
      <w:r>
        <w:rPr>
          <w:w w:val="109"/>
        </w:rPr>
        <w:t>crisis</w:t>
      </w:r>
      <w:r>
        <w:rPr>
          <w:spacing w:val="15"/>
        </w:rPr>
        <w:t> </w:t>
      </w:r>
      <w:r>
        <w:rPr>
          <w:w w:val="107"/>
        </w:rPr>
        <w:t>de</w:t>
      </w:r>
      <w:r>
        <w:rPr>
          <w:spacing w:val="15"/>
        </w:rPr>
        <w:t> </w:t>
      </w:r>
      <w:r>
        <w:rPr>
          <w:w w:val="102"/>
        </w:rPr>
        <w:t>2008</w:t>
      </w:r>
      <w:r>
        <w:rPr>
          <w:spacing w:val="15"/>
        </w:rPr>
        <w:t> </w:t>
      </w:r>
      <w:r>
        <w:rPr>
          <w:w w:val="110"/>
        </w:rPr>
        <w:t>exigía</w:t>
      </w:r>
      <w:r>
        <w:rPr>
          <w:spacing w:val="15"/>
        </w:rPr>
        <w:t> </w:t>
      </w:r>
      <w:r>
        <w:rPr>
          <w:w w:val="107"/>
        </w:rPr>
        <w:t>era</w:t>
      </w:r>
      <w:r>
        <w:rPr>
          <w:spacing w:val="15"/>
        </w:rPr>
        <w:t> </w:t>
      </w:r>
      <w:r>
        <w:rPr>
          <w:w w:val="111"/>
        </w:rPr>
        <w:t>la</w:t>
      </w:r>
      <w:r>
        <w:rPr>
          <w:spacing w:val="15"/>
        </w:rPr>
        <w:t> </w:t>
      </w:r>
      <w:r>
        <w:rPr>
          <w:w w:val="111"/>
        </w:rPr>
        <w:t>urgencia</w:t>
      </w:r>
      <w:r>
        <w:rPr>
          <w:spacing w:val="15"/>
        </w:rPr>
        <w:t> </w:t>
      </w:r>
      <w:r>
        <w:rPr>
          <w:w w:val="107"/>
        </w:rPr>
        <w:t>de</w:t>
      </w:r>
      <w:r>
        <w:rPr>
          <w:spacing w:val="15"/>
        </w:rPr>
        <w:t> </w:t>
      </w:r>
      <w:r>
        <w:rPr>
          <w:w w:val="108"/>
        </w:rPr>
        <w:t>recuperar</w:t>
      </w:r>
      <w:r>
        <w:rPr>
          <w:spacing w:val="15"/>
        </w:rPr>
        <w:t> </w:t>
      </w:r>
      <w:r>
        <w:rPr>
          <w:w w:val="111"/>
        </w:rPr>
        <w:t>la</w:t>
      </w:r>
      <w:r>
        <w:rPr>
          <w:spacing w:val="15"/>
        </w:rPr>
        <w:t> </w:t>
      </w:r>
      <w:r>
        <w:rPr>
          <w:w w:val="110"/>
        </w:rPr>
        <w:t>econ</w:t>
      </w:r>
      <w:r>
        <w:rPr>
          <w:spacing w:val="1"/>
          <w:w w:val="110"/>
        </w:rPr>
        <w:t>o</w:t>
      </w:r>
      <w:r>
        <w:rPr>
          <w:w w:val="102"/>
        </w:rPr>
        <w:t>- </w:t>
      </w:r>
      <w:r>
        <w:rPr>
          <w:w w:val="110"/>
        </w:rPr>
        <w:t>mía</w:t>
      </w:r>
      <w:r>
        <w:rPr>
          <w:spacing w:val="36"/>
          <w:w w:val="110"/>
        </w:rPr>
        <w:t> </w:t>
      </w:r>
      <w:r>
        <w:rPr>
          <w:w w:val="110"/>
        </w:rPr>
        <w:t>como</w:t>
      </w:r>
      <w:r>
        <w:rPr>
          <w:spacing w:val="36"/>
          <w:w w:val="110"/>
        </w:rPr>
        <w:t> </w:t>
      </w:r>
      <w:r>
        <w:rPr>
          <w:w w:val="110"/>
        </w:rPr>
        <w:t>elemento</w:t>
      </w:r>
      <w:r>
        <w:rPr>
          <w:spacing w:val="36"/>
          <w:w w:val="110"/>
        </w:rPr>
        <w:t> </w:t>
      </w:r>
      <w:r>
        <w:rPr>
          <w:w w:val="110"/>
        </w:rPr>
        <w:t>fundamental</w:t>
      </w:r>
      <w:r>
        <w:rPr>
          <w:spacing w:val="36"/>
          <w:w w:val="110"/>
        </w:rPr>
        <w:t> </w:t>
      </w:r>
      <w:r>
        <w:rPr>
          <w:w w:val="110"/>
        </w:rPr>
        <w:t>para</w:t>
      </w:r>
      <w:r>
        <w:rPr>
          <w:spacing w:val="36"/>
          <w:w w:val="110"/>
        </w:rPr>
        <w:t> </w:t>
      </w:r>
      <w:r>
        <w:rPr>
          <w:w w:val="110"/>
        </w:rPr>
        <w:t>detener</w:t>
      </w:r>
      <w:r>
        <w:rPr>
          <w:spacing w:val="36"/>
          <w:w w:val="110"/>
        </w:rPr>
        <w:t> </w:t>
      </w:r>
      <w:r>
        <w:rPr>
          <w:w w:val="110"/>
        </w:rPr>
        <w:t>la</w:t>
      </w:r>
      <w:r>
        <w:rPr>
          <w:spacing w:val="36"/>
          <w:w w:val="110"/>
        </w:rPr>
        <w:t> </w:t>
      </w:r>
      <w:r>
        <w:rPr>
          <w:w w:val="110"/>
        </w:rPr>
        <w:t>declinación</w:t>
      </w:r>
      <w:r>
        <w:rPr>
          <w:spacing w:val="36"/>
          <w:w w:val="110"/>
        </w:rPr>
        <w:t> </w:t>
      </w:r>
      <w:r>
        <w:rPr>
          <w:w w:val="110"/>
        </w:rPr>
        <w:t>de</w:t>
      </w:r>
      <w:r>
        <w:rPr>
          <w:spacing w:val="36"/>
          <w:w w:val="110"/>
        </w:rPr>
        <w:t> </w:t>
      </w:r>
      <w:r>
        <w:rPr>
          <w:w w:val="110"/>
        </w:rPr>
        <w:t>la</w:t>
      </w:r>
    </w:p>
    <w:p>
      <w:pPr>
        <w:pStyle w:val="BodyText"/>
        <w:spacing w:before="8"/>
        <w:rPr>
          <w:sz w:val="23"/>
        </w:rPr>
      </w:pPr>
    </w:p>
    <w:p>
      <w:pPr>
        <w:spacing w:line="242" w:lineRule="auto" w:before="0"/>
        <w:ind w:left="270" w:right="271" w:hanging="171"/>
        <w:jc w:val="left"/>
        <w:rPr>
          <w:sz w:val="16"/>
        </w:rPr>
      </w:pPr>
      <w:r>
        <w:rPr>
          <w:w w:val="110"/>
          <w:sz w:val="16"/>
        </w:rPr>
        <w:t>* docente e investigador de la universidad Externado de Colombia, Profesor Eméri- to de la universidad Nacional de Colombia y Externado de  Colombia.</w:t>
      </w:r>
    </w:p>
    <w:p>
      <w:pPr>
        <w:pStyle w:val="BodyText"/>
        <w:rPr>
          <w:sz w:val="20"/>
        </w:rPr>
      </w:pPr>
    </w:p>
    <w:p>
      <w:pPr>
        <w:pStyle w:val="BodyText"/>
        <w:spacing w:before="8"/>
        <w:rPr>
          <w:sz w:val="15"/>
        </w:rPr>
      </w:pPr>
    </w:p>
    <w:p>
      <w:pPr>
        <w:pStyle w:val="Heading7"/>
        <w:spacing w:line="240" w:lineRule="auto"/>
        <w:ind w:left="789" w:right="1017"/>
        <w:jc w:val="center"/>
      </w:pPr>
      <w:r>
        <w:rPr/>
        <w:t>303</w:t>
      </w:r>
    </w:p>
    <w:p>
      <w:pPr>
        <w:spacing w:after="0" w:line="240" w:lineRule="auto"/>
        <w:jc w:val="center"/>
        <w:sectPr>
          <w:headerReference w:type="even" r:id="rId416"/>
          <w:footerReference w:type="even" r:id="rId417"/>
          <w:pgSz w:w="8790" w:h="12760"/>
          <w:pgMar w:header="0" w:footer="0" w:top="1180" w:bottom="280" w:left="920" w:right="1200"/>
        </w:sectPr>
      </w:pPr>
    </w:p>
    <w:p>
      <w:pPr>
        <w:pStyle w:val="BodyText"/>
        <w:spacing w:before="7"/>
        <w:rPr>
          <w:sz w:val="28"/>
        </w:rPr>
      </w:pPr>
    </w:p>
    <w:p>
      <w:pPr>
        <w:pStyle w:val="BodyText"/>
        <w:spacing w:line="252" w:lineRule="auto" w:before="73"/>
        <w:ind w:left="330" w:right="321"/>
      </w:pPr>
      <w:r>
        <w:rPr>
          <w:w w:val="110"/>
        </w:rPr>
        <w:t>hegemonía y superar las limitaciones que imponía a las políticas de seguridad y defensa.</w:t>
      </w:r>
    </w:p>
    <w:p>
      <w:pPr>
        <w:pStyle w:val="BodyText"/>
        <w:spacing w:line="252" w:lineRule="auto"/>
        <w:ind w:left="330" w:right="117" w:firstLine="396"/>
        <w:jc w:val="both"/>
      </w:pPr>
      <w:r>
        <w:rPr>
          <w:w w:val="110"/>
        </w:rPr>
        <w:t>En 2009 el contexto mundial era inestable económica y política- </w:t>
      </w:r>
      <w:r>
        <w:rPr>
          <w:w w:val="111"/>
        </w:rPr>
        <w:t>mente,</w:t>
      </w:r>
      <w:r>
        <w:rPr>
          <w:spacing w:val="16"/>
        </w:rPr>
        <w:t> </w:t>
      </w:r>
      <w:r>
        <w:rPr>
          <w:w w:val="105"/>
        </w:rPr>
        <w:t>y</w:t>
      </w:r>
      <w:r>
        <w:rPr>
          <w:spacing w:val="16"/>
        </w:rPr>
        <w:t> </w:t>
      </w:r>
      <w:r>
        <w:rPr>
          <w:w w:val="112"/>
        </w:rPr>
        <w:t>continúa</w:t>
      </w:r>
      <w:r>
        <w:rPr>
          <w:spacing w:val="16"/>
        </w:rPr>
        <w:t> </w:t>
      </w:r>
      <w:r>
        <w:rPr>
          <w:w w:val="109"/>
        </w:rPr>
        <w:t>siendo</w:t>
      </w:r>
      <w:r>
        <w:rPr>
          <w:spacing w:val="16"/>
        </w:rPr>
        <w:t> </w:t>
      </w:r>
      <w:r>
        <w:rPr>
          <w:w w:val="114"/>
        </w:rPr>
        <w:t>así.</w:t>
      </w:r>
      <w:r>
        <w:rPr>
          <w:spacing w:val="16"/>
        </w:rPr>
        <w:t> </w:t>
      </w:r>
      <w:r>
        <w:rPr>
          <w:w w:val="243"/>
        </w:rPr>
        <w:t>l</w:t>
      </w:r>
      <w:r>
        <w:rPr>
          <w:w w:val="112"/>
        </w:rPr>
        <w:t>a</w:t>
      </w:r>
      <w:r>
        <w:rPr>
          <w:spacing w:val="16"/>
        </w:rPr>
        <w:t> </w:t>
      </w:r>
      <w:r>
        <w:rPr>
          <w:w w:val="109"/>
        </w:rPr>
        <w:t>ortodoxia</w:t>
      </w:r>
      <w:r>
        <w:rPr>
          <w:spacing w:val="16"/>
        </w:rPr>
        <w:t> </w:t>
      </w:r>
      <w:r>
        <w:rPr>
          <w:w w:val="109"/>
        </w:rPr>
        <w:t>liberal</w:t>
      </w:r>
      <w:r>
        <w:rPr>
          <w:spacing w:val="16"/>
        </w:rPr>
        <w:t> </w:t>
      </w:r>
      <w:r>
        <w:rPr>
          <w:w w:val="111"/>
        </w:rPr>
        <w:t>no</w:t>
      </w:r>
      <w:r>
        <w:rPr>
          <w:spacing w:val="16"/>
        </w:rPr>
        <w:t> </w:t>
      </w:r>
      <w:r>
        <w:rPr>
          <w:w w:val="109"/>
        </w:rPr>
        <w:t>logró</w:t>
      </w:r>
      <w:r>
        <w:rPr>
          <w:spacing w:val="16"/>
        </w:rPr>
        <w:t> </w:t>
      </w:r>
      <w:r>
        <w:rPr>
          <w:w w:val="109"/>
        </w:rPr>
        <w:t>encontrar </w:t>
      </w:r>
      <w:r>
        <w:rPr>
          <w:w w:val="110"/>
        </w:rPr>
        <w:t>respuestas a los desafíos que plantea el desenvolvimiento de la</w:t>
      </w:r>
      <w:r>
        <w:rPr>
          <w:spacing w:val="-15"/>
          <w:w w:val="110"/>
        </w:rPr>
        <w:t> </w:t>
      </w:r>
      <w:r>
        <w:rPr>
          <w:w w:val="110"/>
        </w:rPr>
        <w:t>econo- </w:t>
      </w:r>
      <w:r>
        <w:rPr>
          <w:w w:val="116"/>
        </w:rPr>
        <w:t>mía.</w:t>
      </w:r>
      <w:r>
        <w:rPr>
          <w:spacing w:val="9"/>
        </w:rPr>
        <w:t> </w:t>
      </w:r>
      <w:r>
        <w:rPr>
          <w:w w:val="243"/>
        </w:rPr>
        <w:t>l</w:t>
      </w:r>
      <w:r>
        <w:rPr>
          <w:w w:val="112"/>
        </w:rPr>
        <w:t>a</w:t>
      </w:r>
      <w:r>
        <w:rPr>
          <w:spacing w:val="9"/>
        </w:rPr>
        <w:t> </w:t>
      </w:r>
      <w:r>
        <w:rPr>
          <w:w w:val="111"/>
        </w:rPr>
        <w:t>institucionalidad</w:t>
      </w:r>
      <w:r>
        <w:rPr>
          <w:spacing w:val="9"/>
        </w:rPr>
        <w:t> </w:t>
      </w:r>
      <w:r>
        <w:rPr>
          <w:w w:val="110"/>
        </w:rPr>
        <w:t>multilateral</w:t>
      </w:r>
      <w:r>
        <w:rPr>
          <w:spacing w:val="9"/>
        </w:rPr>
        <w:t> </w:t>
      </w:r>
      <w:r>
        <w:rPr>
          <w:w w:val="110"/>
        </w:rPr>
        <w:t>construida</w:t>
      </w:r>
      <w:r>
        <w:rPr>
          <w:spacing w:val="9"/>
        </w:rPr>
        <w:t> </w:t>
      </w:r>
      <w:r>
        <w:rPr>
          <w:w w:val="108"/>
        </w:rPr>
        <w:t>en</w:t>
      </w:r>
      <w:r>
        <w:rPr>
          <w:spacing w:val="9"/>
        </w:rPr>
        <w:t> </w:t>
      </w:r>
      <w:r>
        <w:rPr>
          <w:w w:val="111"/>
        </w:rPr>
        <w:t>la</w:t>
      </w:r>
      <w:r>
        <w:rPr>
          <w:spacing w:val="9"/>
        </w:rPr>
        <w:t> </w:t>
      </w:r>
      <w:r>
        <w:rPr>
          <w:w w:val="109"/>
        </w:rPr>
        <w:t>segunda</w:t>
      </w:r>
      <w:r>
        <w:rPr>
          <w:spacing w:val="9"/>
        </w:rPr>
        <w:t> </w:t>
      </w:r>
      <w:r>
        <w:rPr>
          <w:w w:val="111"/>
        </w:rPr>
        <w:t>mitad </w:t>
      </w:r>
      <w:r>
        <w:rPr>
          <w:w w:val="110"/>
        </w:rPr>
        <w:t>del siglo </w:t>
      </w:r>
      <w:r>
        <w:rPr>
          <w:w w:val="150"/>
        </w:rPr>
        <w:t>xx </w:t>
      </w:r>
      <w:r>
        <w:rPr>
          <w:w w:val="110"/>
        </w:rPr>
        <w:t>no garantiza la gobernanza global y los Estados unidos han perdido capacidad para el ejercicio del liderazgo político, aunque siga siendo el gran poder </w:t>
      </w:r>
      <w:r>
        <w:rPr>
          <w:spacing w:val="-3"/>
          <w:w w:val="110"/>
        </w:rPr>
        <w:t>militar. </w:t>
      </w:r>
      <w:r>
        <w:rPr>
          <w:w w:val="110"/>
        </w:rPr>
        <w:t>Entretanto, potencias emergentes reconfiguran la economía-mundo y China se proyecta como la segura primera economía del mundo a la vuelta de pocas décadas, lejos de las confrontaciones ideológicas del pasado. Con su política de “una na- ción, dos sistemas” proclama su compromiso con la paz, la estabilidad y la prosperidad compartida... en los marcos del  </w:t>
      </w:r>
      <w:r>
        <w:rPr>
          <w:spacing w:val="17"/>
          <w:w w:val="110"/>
        </w:rPr>
        <w:t> </w:t>
      </w:r>
      <w:r>
        <w:rPr>
          <w:w w:val="110"/>
        </w:rPr>
        <w:t>capitalismo.</w:t>
      </w:r>
    </w:p>
    <w:p>
      <w:pPr>
        <w:pStyle w:val="BodyText"/>
        <w:spacing w:line="252" w:lineRule="auto"/>
        <w:ind w:left="330" w:right="117" w:firstLine="396"/>
        <w:jc w:val="both"/>
      </w:pPr>
      <w:r>
        <w:rPr>
          <w:w w:val="110"/>
        </w:rPr>
        <w:t>tal el contexto en el que se han dado cambios en la política ex- terior y de seguridad y defensa de los Estados unidos, el análisis de algunos de éstos son el objeto de este trabajo.</w:t>
      </w:r>
    </w:p>
    <w:p>
      <w:pPr>
        <w:pStyle w:val="BodyText"/>
        <w:spacing w:before="5"/>
      </w:pPr>
    </w:p>
    <w:p>
      <w:pPr>
        <w:pStyle w:val="BodyText"/>
        <w:spacing w:line="252" w:lineRule="auto"/>
        <w:ind w:left="330" w:right="103" w:firstLine="1"/>
      </w:pPr>
      <w:r>
        <w:rPr>
          <w:rFonts w:ascii="Times New Roman" w:hAnsi="Times New Roman"/>
          <w:b/>
          <w:w w:val="120"/>
          <w:sz w:val="20"/>
        </w:rPr>
        <w:t>crisis </w:t>
      </w:r>
      <w:r>
        <w:rPr>
          <w:rFonts w:ascii="Times New Roman" w:hAnsi="Times New Roman"/>
          <w:b/>
          <w:spacing w:val="2"/>
          <w:w w:val="135"/>
          <w:sz w:val="20"/>
        </w:rPr>
        <w:t>econóMica </w:t>
      </w:r>
      <w:r>
        <w:rPr>
          <w:rFonts w:ascii="Times New Roman" w:hAnsi="Times New Roman"/>
          <w:b/>
          <w:w w:val="120"/>
          <w:sz w:val="20"/>
        </w:rPr>
        <w:t>y </w:t>
      </w:r>
      <w:r>
        <w:rPr>
          <w:rFonts w:ascii="Times New Roman" w:hAnsi="Times New Roman"/>
          <w:b/>
          <w:w w:val="135"/>
          <w:sz w:val="20"/>
        </w:rPr>
        <w:t>retorno </w:t>
      </w:r>
      <w:r>
        <w:rPr>
          <w:rFonts w:ascii="Times New Roman" w:hAnsi="Times New Roman"/>
          <w:b/>
          <w:w w:val="120"/>
          <w:sz w:val="20"/>
        </w:rPr>
        <w:t>de </w:t>
      </w:r>
      <w:r>
        <w:rPr>
          <w:rFonts w:ascii="Times New Roman" w:hAnsi="Times New Roman"/>
          <w:b/>
          <w:w w:val="135"/>
          <w:sz w:val="20"/>
        </w:rPr>
        <w:t>los neoconservadores </w:t>
      </w:r>
      <w:r>
        <w:rPr>
          <w:w w:val="115"/>
        </w:rPr>
        <w:t>Hacia finales del siglo xx la economía estadounidense experimentó </w:t>
      </w:r>
      <w:r>
        <w:rPr>
          <w:w w:val="120"/>
        </w:rPr>
        <w:t>una</w:t>
      </w:r>
      <w:r>
        <w:rPr>
          <w:spacing w:val="-16"/>
          <w:w w:val="120"/>
        </w:rPr>
        <w:t> </w:t>
      </w:r>
      <w:r>
        <w:rPr>
          <w:w w:val="120"/>
        </w:rPr>
        <w:t>acentuada</w:t>
      </w:r>
      <w:r>
        <w:rPr>
          <w:spacing w:val="-16"/>
          <w:w w:val="120"/>
        </w:rPr>
        <w:t> </w:t>
      </w:r>
      <w:r>
        <w:rPr>
          <w:w w:val="120"/>
        </w:rPr>
        <w:t>desaceleración</w:t>
      </w:r>
      <w:r>
        <w:rPr>
          <w:spacing w:val="-16"/>
          <w:w w:val="120"/>
        </w:rPr>
        <w:t> </w:t>
      </w:r>
      <w:r>
        <w:rPr>
          <w:w w:val="120"/>
        </w:rPr>
        <w:t>que</w:t>
      </w:r>
      <w:r>
        <w:rPr>
          <w:spacing w:val="-16"/>
          <w:w w:val="120"/>
        </w:rPr>
        <w:t> </w:t>
      </w:r>
      <w:r>
        <w:rPr>
          <w:w w:val="120"/>
        </w:rPr>
        <w:t>afectó</w:t>
      </w:r>
      <w:r>
        <w:rPr>
          <w:spacing w:val="-16"/>
          <w:w w:val="120"/>
        </w:rPr>
        <w:t> </w:t>
      </w:r>
      <w:r>
        <w:rPr>
          <w:w w:val="120"/>
        </w:rPr>
        <w:t>a</w:t>
      </w:r>
      <w:r>
        <w:rPr>
          <w:spacing w:val="-16"/>
          <w:w w:val="120"/>
        </w:rPr>
        <w:t> </w:t>
      </w:r>
      <w:r>
        <w:rPr>
          <w:w w:val="120"/>
        </w:rPr>
        <w:t>su</w:t>
      </w:r>
      <w:r>
        <w:rPr>
          <w:spacing w:val="-16"/>
          <w:w w:val="120"/>
        </w:rPr>
        <w:t> </w:t>
      </w:r>
      <w:r>
        <w:rPr>
          <w:w w:val="120"/>
        </w:rPr>
        <w:t>población</w:t>
      </w:r>
      <w:r>
        <w:rPr>
          <w:spacing w:val="-16"/>
          <w:w w:val="120"/>
        </w:rPr>
        <w:t> </w:t>
      </w:r>
      <w:r>
        <w:rPr>
          <w:w w:val="120"/>
        </w:rPr>
        <w:t>y</w:t>
      </w:r>
      <w:r>
        <w:rPr>
          <w:spacing w:val="-16"/>
          <w:w w:val="120"/>
        </w:rPr>
        <w:t> </w:t>
      </w:r>
      <w:r>
        <w:rPr>
          <w:w w:val="120"/>
        </w:rPr>
        <w:t>puso</w:t>
      </w:r>
      <w:r>
        <w:rPr>
          <w:spacing w:val="-16"/>
          <w:w w:val="120"/>
        </w:rPr>
        <w:t> </w:t>
      </w:r>
      <w:r>
        <w:rPr>
          <w:w w:val="120"/>
        </w:rPr>
        <w:t>en </w:t>
      </w:r>
      <w:r>
        <w:rPr>
          <w:w w:val="115"/>
        </w:rPr>
        <w:t>cuestión</w:t>
      </w:r>
      <w:r>
        <w:rPr>
          <w:spacing w:val="-16"/>
          <w:w w:val="115"/>
        </w:rPr>
        <w:t> </w:t>
      </w:r>
      <w:r>
        <w:rPr>
          <w:w w:val="115"/>
        </w:rPr>
        <w:t>los</w:t>
      </w:r>
      <w:r>
        <w:rPr>
          <w:spacing w:val="-16"/>
          <w:w w:val="115"/>
        </w:rPr>
        <w:t> </w:t>
      </w:r>
      <w:r>
        <w:rPr>
          <w:w w:val="115"/>
        </w:rPr>
        <w:t>atractivos</w:t>
      </w:r>
      <w:r>
        <w:rPr>
          <w:spacing w:val="-16"/>
          <w:w w:val="115"/>
        </w:rPr>
        <w:t> </w:t>
      </w:r>
      <w:r>
        <w:rPr>
          <w:w w:val="115"/>
        </w:rPr>
        <w:t>de</w:t>
      </w:r>
      <w:r>
        <w:rPr>
          <w:spacing w:val="-16"/>
          <w:w w:val="115"/>
        </w:rPr>
        <w:t> </w:t>
      </w:r>
      <w:r>
        <w:rPr>
          <w:w w:val="115"/>
        </w:rPr>
        <w:t>su</w:t>
      </w:r>
      <w:r>
        <w:rPr>
          <w:spacing w:val="-16"/>
          <w:w w:val="115"/>
        </w:rPr>
        <w:t> </w:t>
      </w:r>
      <w:r>
        <w:rPr>
          <w:i/>
          <w:w w:val="115"/>
        </w:rPr>
        <w:t>american</w:t>
      </w:r>
      <w:r>
        <w:rPr>
          <w:i/>
          <w:spacing w:val="-16"/>
          <w:w w:val="115"/>
        </w:rPr>
        <w:t> </w:t>
      </w:r>
      <w:r>
        <w:rPr>
          <w:i/>
          <w:w w:val="115"/>
        </w:rPr>
        <w:t>way</w:t>
      </w:r>
      <w:r>
        <w:rPr>
          <w:i/>
          <w:spacing w:val="-16"/>
          <w:w w:val="115"/>
        </w:rPr>
        <w:t> </w:t>
      </w:r>
      <w:r>
        <w:rPr>
          <w:i/>
          <w:w w:val="115"/>
        </w:rPr>
        <w:t>of</w:t>
      </w:r>
      <w:r>
        <w:rPr>
          <w:i/>
          <w:spacing w:val="-16"/>
          <w:w w:val="115"/>
        </w:rPr>
        <w:t> </w:t>
      </w:r>
      <w:r>
        <w:rPr>
          <w:i/>
          <w:w w:val="115"/>
        </w:rPr>
        <w:t>life</w:t>
      </w:r>
      <w:r>
        <w:rPr>
          <w:w w:val="115"/>
        </w:rPr>
        <w:t>:</w:t>
      </w:r>
      <w:r>
        <w:rPr>
          <w:spacing w:val="-16"/>
          <w:w w:val="115"/>
        </w:rPr>
        <w:t> </w:t>
      </w:r>
      <w:r>
        <w:rPr>
          <w:w w:val="115"/>
        </w:rPr>
        <w:t>las</w:t>
      </w:r>
      <w:r>
        <w:rPr>
          <w:spacing w:val="-16"/>
          <w:w w:val="115"/>
        </w:rPr>
        <w:t> </w:t>
      </w:r>
      <w:r>
        <w:rPr>
          <w:w w:val="115"/>
        </w:rPr>
        <w:t>capas</w:t>
      </w:r>
      <w:r>
        <w:rPr>
          <w:spacing w:val="-16"/>
          <w:w w:val="115"/>
        </w:rPr>
        <w:t> </w:t>
      </w:r>
      <w:r>
        <w:rPr>
          <w:w w:val="115"/>
        </w:rPr>
        <w:t>medias</w:t>
      </w:r>
      <w:r>
        <w:rPr>
          <w:spacing w:val="-16"/>
          <w:w w:val="115"/>
        </w:rPr>
        <w:t> </w:t>
      </w:r>
      <w:r>
        <w:rPr>
          <w:w w:val="115"/>
        </w:rPr>
        <w:t>se </w:t>
      </w:r>
      <w:r>
        <w:rPr>
          <w:w w:val="120"/>
        </w:rPr>
        <w:t>empobrecieron</w:t>
      </w:r>
      <w:r>
        <w:rPr>
          <w:spacing w:val="-26"/>
          <w:w w:val="120"/>
        </w:rPr>
        <w:t> </w:t>
      </w:r>
      <w:r>
        <w:rPr>
          <w:w w:val="120"/>
        </w:rPr>
        <w:t>y</w:t>
      </w:r>
      <w:r>
        <w:rPr>
          <w:spacing w:val="-26"/>
          <w:w w:val="120"/>
        </w:rPr>
        <w:t> </w:t>
      </w:r>
      <w:r>
        <w:rPr>
          <w:w w:val="120"/>
        </w:rPr>
        <w:t>sus</w:t>
      </w:r>
      <w:r>
        <w:rPr>
          <w:spacing w:val="-26"/>
          <w:w w:val="120"/>
        </w:rPr>
        <w:t> </w:t>
      </w:r>
      <w:r>
        <w:rPr>
          <w:w w:val="120"/>
        </w:rPr>
        <w:t>ahorros</w:t>
      </w:r>
      <w:r>
        <w:rPr>
          <w:spacing w:val="-26"/>
          <w:w w:val="120"/>
        </w:rPr>
        <w:t> </w:t>
      </w:r>
      <w:r>
        <w:rPr>
          <w:w w:val="120"/>
        </w:rPr>
        <w:t>se</w:t>
      </w:r>
      <w:r>
        <w:rPr>
          <w:spacing w:val="-26"/>
          <w:w w:val="120"/>
        </w:rPr>
        <w:t> </w:t>
      </w:r>
      <w:r>
        <w:rPr>
          <w:w w:val="120"/>
        </w:rPr>
        <w:t>esfumaron</w:t>
      </w:r>
      <w:r>
        <w:rPr>
          <w:spacing w:val="-26"/>
          <w:w w:val="120"/>
        </w:rPr>
        <w:t> </w:t>
      </w:r>
      <w:r>
        <w:rPr>
          <w:w w:val="120"/>
        </w:rPr>
        <w:t>en</w:t>
      </w:r>
      <w:r>
        <w:rPr>
          <w:spacing w:val="-26"/>
          <w:w w:val="120"/>
        </w:rPr>
        <w:t> </w:t>
      </w:r>
      <w:r>
        <w:rPr>
          <w:w w:val="120"/>
        </w:rPr>
        <w:t>medio</w:t>
      </w:r>
      <w:r>
        <w:rPr>
          <w:spacing w:val="-26"/>
          <w:w w:val="120"/>
        </w:rPr>
        <w:t> </w:t>
      </w:r>
      <w:r>
        <w:rPr>
          <w:w w:val="120"/>
        </w:rPr>
        <w:t>de</w:t>
      </w:r>
      <w:r>
        <w:rPr>
          <w:spacing w:val="-26"/>
          <w:w w:val="120"/>
        </w:rPr>
        <w:t> </w:t>
      </w:r>
      <w:r>
        <w:rPr>
          <w:w w:val="120"/>
        </w:rPr>
        <w:t>la</w:t>
      </w:r>
      <w:r>
        <w:rPr>
          <w:spacing w:val="-26"/>
          <w:w w:val="120"/>
        </w:rPr>
        <w:t> </w:t>
      </w:r>
      <w:r>
        <w:rPr>
          <w:w w:val="120"/>
        </w:rPr>
        <w:t>caída</w:t>
      </w:r>
      <w:r>
        <w:rPr>
          <w:spacing w:val="-26"/>
          <w:w w:val="120"/>
        </w:rPr>
        <w:t> </w:t>
      </w:r>
      <w:r>
        <w:rPr>
          <w:w w:val="120"/>
        </w:rPr>
        <w:t>de </w:t>
      </w:r>
      <w:r>
        <w:rPr>
          <w:w w:val="109"/>
        </w:rPr>
        <w:t>las</w:t>
      </w:r>
      <w:r>
        <w:rPr>
          <w:spacing w:val="15"/>
        </w:rPr>
        <w:t> </w:t>
      </w:r>
      <w:r>
        <w:rPr>
          <w:w w:val="109"/>
        </w:rPr>
        <w:t>bolsas</w:t>
      </w:r>
      <w:r>
        <w:rPr>
          <w:spacing w:val="15"/>
        </w:rPr>
        <w:t> </w:t>
      </w:r>
      <w:r>
        <w:rPr>
          <w:w w:val="105"/>
        </w:rPr>
        <w:t>y</w:t>
      </w:r>
      <w:r>
        <w:rPr>
          <w:spacing w:val="15"/>
        </w:rPr>
        <w:t> </w:t>
      </w:r>
      <w:r>
        <w:rPr>
          <w:w w:val="107"/>
        </w:rPr>
        <w:t>el</w:t>
      </w:r>
      <w:r>
        <w:rPr>
          <w:spacing w:val="15"/>
        </w:rPr>
        <w:t> </w:t>
      </w:r>
      <w:r>
        <w:rPr>
          <w:w w:val="110"/>
        </w:rPr>
        <w:t>aumento</w:t>
      </w:r>
      <w:r>
        <w:rPr>
          <w:spacing w:val="15"/>
        </w:rPr>
        <w:t> </w:t>
      </w:r>
      <w:r>
        <w:rPr>
          <w:w w:val="107"/>
        </w:rPr>
        <w:t>del</w:t>
      </w:r>
      <w:r>
        <w:rPr>
          <w:spacing w:val="15"/>
        </w:rPr>
        <w:t> </w:t>
      </w:r>
      <w:r>
        <w:rPr>
          <w:w w:val="109"/>
        </w:rPr>
        <w:t>desempleo.</w:t>
      </w:r>
      <w:r>
        <w:rPr>
          <w:spacing w:val="15"/>
        </w:rPr>
        <w:t> </w:t>
      </w:r>
      <w:r>
        <w:rPr>
          <w:w w:val="243"/>
        </w:rPr>
        <w:t>l</w:t>
      </w:r>
      <w:r>
        <w:rPr>
          <w:w w:val="112"/>
        </w:rPr>
        <w:t>a</w:t>
      </w:r>
      <w:r>
        <w:rPr>
          <w:spacing w:val="15"/>
        </w:rPr>
        <w:t> </w:t>
      </w:r>
      <w:r>
        <w:rPr>
          <w:w w:val="110"/>
        </w:rPr>
        <w:t>atención</w:t>
      </w:r>
      <w:r>
        <w:rPr>
          <w:spacing w:val="15"/>
        </w:rPr>
        <w:t> </w:t>
      </w:r>
      <w:r>
        <w:rPr>
          <w:w w:val="110"/>
        </w:rPr>
        <w:t>dada</w:t>
      </w:r>
      <w:r>
        <w:rPr>
          <w:spacing w:val="15"/>
        </w:rPr>
        <w:t> </w:t>
      </w:r>
      <w:r>
        <w:rPr>
          <w:w w:val="112"/>
        </w:rPr>
        <w:t>a</w:t>
      </w:r>
      <w:r>
        <w:rPr>
          <w:spacing w:val="15"/>
        </w:rPr>
        <w:t> </w:t>
      </w:r>
      <w:r>
        <w:rPr>
          <w:w w:val="107"/>
        </w:rPr>
        <w:t>esta</w:t>
      </w:r>
      <w:r>
        <w:rPr>
          <w:spacing w:val="15"/>
        </w:rPr>
        <w:t> </w:t>
      </w:r>
      <w:r>
        <w:rPr>
          <w:w w:val="110"/>
        </w:rPr>
        <w:t>situa</w:t>
      </w:r>
      <w:r>
        <w:rPr>
          <w:w w:val="102"/>
        </w:rPr>
        <w:t>- </w:t>
      </w:r>
      <w:r>
        <w:rPr>
          <w:w w:val="115"/>
        </w:rPr>
        <w:t>ción</w:t>
      </w:r>
      <w:r>
        <w:rPr>
          <w:spacing w:val="-19"/>
          <w:w w:val="115"/>
        </w:rPr>
        <w:t> </w:t>
      </w:r>
      <w:r>
        <w:rPr>
          <w:w w:val="115"/>
        </w:rPr>
        <w:t>por</w:t>
      </w:r>
      <w:r>
        <w:rPr>
          <w:spacing w:val="-19"/>
          <w:w w:val="115"/>
        </w:rPr>
        <w:t> </w:t>
      </w:r>
      <w:r>
        <w:rPr>
          <w:w w:val="115"/>
        </w:rPr>
        <w:t>la</w:t>
      </w:r>
      <w:r>
        <w:rPr>
          <w:spacing w:val="-19"/>
          <w:w w:val="115"/>
        </w:rPr>
        <w:t> </w:t>
      </w:r>
      <w:r>
        <w:rPr>
          <w:w w:val="115"/>
        </w:rPr>
        <w:t>administración</w:t>
      </w:r>
      <w:r>
        <w:rPr>
          <w:spacing w:val="-19"/>
          <w:w w:val="115"/>
        </w:rPr>
        <w:t> </w:t>
      </w:r>
      <w:r>
        <w:rPr>
          <w:w w:val="115"/>
        </w:rPr>
        <w:t>demócrata</w:t>
      </w:r>
      <w:r>
        <w:rPr>
          <w:spacing w:val="-19"/>
          <w:w w:val="115"/>
        </w:rPr>
        <w:t> </w:t>
      </w:r>
      <w:r>
        <w:rPr>
          <w:w w:val="115"/>
        </w:rPr>
        <w:t>–presidida</w:t>
      </w:r>
      <w:r>
        <w:rPr>
          <w:spacing w:val="-19"/>
          <w:w w:val="115"/>
        </w:rPr>
        <w:t> </w:t>
      </w:r>
      <w:r>
        <w:rPr>
          <w:w w:val="115"/>
        </w:rPr>
        <w:t>por</w:t>
      </w:r>
      <w:r>
        <w:rPr>
          <w:spacing w:val="-19"/>
          <w:w w:val="115"/>
        </w:rPr>
        <w:t> </w:t>
      </w:r>
      <w:r>
        <w:rPr>
          <w:w w:val="115"/>
        </w:rPr>
        <w:t>Clinton–</w:t>
      </w:r>
      <w:r>
        <w:rPr>
          <w:spacing w:val="-19"/>
          <w:w w:val="115"/>
        </w:rPr>
        <w:t> </w:t>
      </w:r>
      <w:r>
        <w:rPr>
          <w:w w:val="115"/>
        </w:rPr>
        <w:t>la</w:t>
      </w:r>
      <w:r>
        <w:rPr>
          <w:spacing w:val="-19"/>
          <w:w w:val="115"/>
        </w:rPr>
        <w:t> </w:t>
      </w:r>
      <w:r>
        <w:rPr>
          <w:w w:val="115"/>
        </w:rPr>
        <w:t>asu- mieron</w:t>
      </w:r>
      <w:r>
        <w:rPr>
          <w:spacing w:val="-17"/>
          <w:w w:val="115"/>
        </w:rPr>
        <w:t> </w:t>
      </w:r>
      <w:r>
        <w:rPr>
          <w:w w:val="115"/>
        </w:rPr>
        <w:t>los</w:t>
      </w:r>
      <w:r>
        <w:rPr>
          <w:spacing w:val="-17"/>
          <w:w w:val="115"/>
        </w:rPr>
        <w:t> </w:t>
      </w:r>
      <w:r>
        <w:rPr>
          <w:w w:val="115"/>
        </w:rPr>
        <w:t>neoconservadores</w:t>
      </w:r>
      <w:r>
        <w:rPr>
          <w:spacing w:val="-17"/>
          <w:w w:val="115"/>
        </w:rPr>
        <w:t> </w:t>
      </w:r>
      <w:r>
        <w:rPr>
          <w:w w:val="115"/>
        </w:rPr>
        <w:t>como</w:t>
      </w:r>
      <w:r>
        <w:rPr>
          <w:spacing w:val="-17"/>
          <w:w w:val="115"/>
        </w:rPr>
        <w:t> </w:t>
      </w:r>
      <w:r>
        <w:rPr>
          <w:w w:val="115"/>
        </w:rPr>
        <w:t>un</w:t>
      </w:r>
      <w:r>
        <w:rPr>
          <w:spacing w:val="-17"/>
          <w:w w:val="115"/>
        </w:rPr>
        <w:t> </w:t>
      </w:r>
      <w:r>
        <w:rPr>
          <w:w w:val="115"/>
        </w:rPr>
        <w:t>desastre</w:t>
      </w:r>
      <w:r>
        <w:rPr>
          <w:spacing w:val="-17"/>
          <w:w w:val="115"/>
        </w:rPr>
        <w:t> </w:t>
      </w:r>
      <w:r>
        <w:rPr>
          <w:w w:val="115"/>
        </w:rPr>
        <w:t>por</w:t>
      </w:r>
      <w:r>
        <w:rPr>
          <w:spacing w:val="-17"/>
          <w:w w:val="115"/>
        </w:rPr>
        <w:t> </w:t>
      </w:r>
      <w:r>
        <w:rPr>
          <w:w w:val="115"/>
        </w:rPr>
        <w:t>lo</w:t>
      </w:r>
      <w:r>
        <w:rPr>
          <w:spacing w:val="-17"/>
          <w:w w:val="115"/>
        </w:rPr>
        <w:t> </w:t>
      </w:r>
      <w:r>
        <w:rPr>
          <w:w w:val="115"/>
        </w:rPr>
        <w:t>que</w:t>
      </w:r>
      <w:r>
        <w:rPr>
          <w:spacing w:val="-17"/>
          <w:w w:val="115"/>
        </w:rPr>
        <w:t> </w:t>
      </w:r>
      <w:r>
        <w:rPr>
          <w:w w:val="115"/>
        </w:rPr>
        <w:t>a</w:t>
      </w:r>
      <w:r>
        <w:rPr>
          <w:spacing w:val="-17"/>
          <w:w w:val="115"/>
        </w:rPr>
        <w:t> </w:t>
      </w:r>
      <w:r>
        <w:rPr>
          <w:w w:val="115"/>
        </w:rPr>
        <w:t>su</w:t>
      </w:r>
      <w:r>
        <w:rPr>
          <w:spacing w:val="-17"/>
          <w:w w:val="115"/>
        </w:rPr>
        <w:t> </w:t>
      </w:r>
      <w:r>
        <w:rPr>
          <w:w w:val="115"/>
        </w:rPr>
        <w:t>juicio constituía</w:t>
      </w:r>
      <w:r>
        <w:rPr>
          <w:spacing w:val="-8"/>
          <w:w w:val="115"/>
        </w:rPr>
        <w:t> </w:t>
      </w:r>
      <w:r>
        <w:rPr>
          <w:w w:val="115"/>
        </w:rPr>
        <w:t>una</w:t>
      </w:r>
      <w:r>
        <w:rPr>
          <w:spacing w:val="-8"/>
          <w:w w:val="115"/>
        </w:rPr>
        <w:t> </w:t>
      </w:r>
      <w:r>
        <w:rPr>
          <w:w w:val="115"/>
        </w:rPr>
        <w:t>pérdida</w:t>
      </w:r>
      <w:r>
        <w:rPr>
          <w:spacing w:val="-8"/>
          <w:w w:val="115"/>
        </w:rPr>
        <w:t> </w:t>
      </w:r>
      <w:r>
        <w:rPr>
          <w:w w:val="115"/>
        </w:rPr>
        <w:t>de</w:t>
      </w:r>
      <w:r>
        <w:rPr>
          <w:spacing w:val="-8"/>
          <w:w w:val="115"/>
        </w:rPr>
        <w:t> </w:t>
      </w:r>
      <w:r>
        <w:rPr>
          <w:w w:val="115"/>
        </w:rPr>
        <w:t>liderazgo</w:t>
      </w:r>
      <w:r>
        <w:rPr>
          <w:spacing w:val="-8"/>
          <w:w w:val="115"/>
        </w:rPr>
        <w:t> </w:t>
      </w:r>
      <w:r>
        <w:rPr>
          <w:w w:val="115"/>
        </w:rPr>
        <w:t>en</w:t>
      </w:r>
      <w:r>
        <w:rPr>
          <w:spacing w:val="-8"/>
          <w:w w:val="115"/>
        </w:rPr>
        <w:t> </w:t>
      </w:r>
      <w:r>
        <w:rPr>
          <w:w w:val="115"/>
        </w:rPr>
        <w:t>el</w:t>
      </w:r>
      <w:r>
        <w:rPr>
          <w:spacing w:val="-8"/>
          <w:w w:val="115"/>
        </w:rPr>
        <w:t> </w:t>
      </w:r>
      <w:r>
        <w:rPr>
          <w:w w:val="115"/>
        </w:rPr>
        <w:t>ámbito</w:t>
      </w:r>
      <w:r>
        <w:rPr>
          <w:spacing w:val="-8"/>
          <w:w w:val="115"/>
        </w:rPr>
        <w:t> </w:t>
      </w:r>
      <w:r>
        <w:rPr>
          <w:w w:val="115"/>
        </w:rPr>
        <w:t>internacional.</w:t>
      </w:r>
      <w:r>
        <w:rPr>
          <w:spacing w:val="-8"/>
          <w:w w:val="115"/>
        </w:rPr>
        <w:t> </w:t>
      </w:r>
      <w:r>
        <w:rPr>
          <w:w w:val="115"/>
        </w:rPr>
        <w:t>Con- formaron</w:t>
      </w:r>
      <w:r>
        <w:rPr>
          <w:spacing w:val="-25"/>
          <w:w w:val="115"/>
        </w:rPr>
        <w:t> </w:t>
      </w:r>
      <w:r>
        <w:rPr>
          <w:w w:val="115"/>
        </w:rPr>
        <w:t>en</w:t>
      </w:r>
      <w:r>
        <w:rPr>
          <w:spacing w:val="-25"/>
          <w:w w:val="115"/>
        </w:rPr>
        <w:t> </w:t>
      </w:r>
      <w:r>
        <w:rPr>
          <w:w w:val="115"/>
        </w:rPr>
        <w:t>ese</w:t>
      </w:r>
      <w:r>
        <w:rPr>
          <w:spacing w:val="-25"/>
          <w:w w:val="115"/>
        </w:rPr>
        <w:t> </w:t>
      </w:r>
      <w:r>
        <w:rPr>
          <w:w w:val="115"/>
        </w:rPr>
        <w:t>entonces</w:t>
      </w:r>
      <w:r>
        <w:rPr>
          <w:spacing w:val="-25"/>
          <w:w w:val="115"/>
        </w:rPr>
        <w:t> </w:t>
      </w:r>
      <w:r>
        <w:rPr>
          <w:w w:val="115"/>
        </w:rPr>
        <w:t>un</w:t>
      </w:r>
      <w:r>
        <w:rPr>
          <w:spacing w:val="-25"/>
          <w:w w:val="115"/>
        </w:rPr>
        <w:t> </w:t>
      </w:r>
      <w:r>
        <w:rPr>
          <w:w w:val="115"/>
        </w:rPr>
        <w:t>grupo</w:t>
      </w:r>
      <w:r>
        <w:rPr>
          <w:spacing w:val="-25"/>
          <w:w w:val="115"/>
        </w:rPr>
        <w:t> </w:t>
      </w:r>
      <w:r>
        <w:rPr>
          <w:w w:val="115"/>
        </w:rPr>
        <w:t>identificado</w:t>
      </w:r>
      <w:r>
        <w:rPr>
          <w:spacing w:val="-25"/>
          <w:w w:val="115"/>
        </w:rPr>
        <w:t> </w:t>
      </w:r>
      <w:r>
        <w:rPr>
          <w:w w:val="115"/>
        </w:rPr>
        <w:t>como</w:t>
      </w:r>
      <w:r>
        <w:rPr>
          <w:spacing w:val="-25"/>
          <w:w w:val="115"/>
        </w:rPr>
        <w:t> </w:t>
      </w:r>
      <w:r>
        <w:rPr>
          <w:w w:val="115"/>
        </w:rPr>
        <w:t>“Proyecto</w:t>
      </w:r>
      <w:r>
        <w:rPr>
          <w:spacing w:val="-25"/>
          <w:w w:val="115"/>
        </w:rPr>
        <w:t> </w:t>
      </w:r>
      <w:r>
        <w:rPr>
          <w:w w:val="115"/>
        </w:rPr>
        <w:t>para un</w:t>
      </w:r>
      <w:r>
        <w:rPr>
          <w:spacing w:val="-27"/>
          <w:w w:val="115"/>
        </w:rPr>
        <w:t> </w:t>
      </w:r>
      <w:r>
        <w:rPr>
          <w:w w:val="115"/>
        </w:rPr>
        <w:t>nuevo</w:t>
      </w:r>
      <w:r>
        <w:rPr>
          <w:spacing w:val="-27"/>
          <w:w w:val="115"/>
        </w:rPr>
        <w:t> </w:t>
      </w:r>
      <w:r>
        <w:rPr>
          <w:w w:val="115"/>
        </w:rPr>
        <w:t>siglo</w:t>
      </w:r>
      <w:r>
        <w:rPr>
          <w:spacing w:val="-27"/>
          <w:w w:val="115"/>
        </w:rPr>
        <w:t> </w:t>
      </w:r>
      <w:r>
        <w:rPr>
          <w:w w:val="115"/>
        </w:rPr>
        <w:t>estadounidense”</w:t>
      </w:r>
      <w:r>
        <w:rPr>
          <w:spacing w:val="-27"/>
          <w:w w:val="115"/>
        </w:rPr>
        <w:t> </w:t>
      </w:r>
      <w:r>
        <w:rPr>
          <w:w w:val="115"/>
        </w:rPr>
        <w:t>(PNaC),</w:t>
      </w:r>
      <w:r>
        <w:rPr>
          <w:spacing w:val="-27"/>
          <w:w w:val="115"/>
        </w:rPr>
        <w:t> </w:t>
      </w:r>
      <w:r>
        <w:rPr>
          <w:w w:val="115"/>
        </w:rPr>
        <w:t>del</w:t>
      </w:r>
      <w:r>
        <w:rPr>
          <w:spacing w:val="-27"/>
          <w:w w:val="115"/>
        </w:rPr>
        <w:t> </w:t>
      </w:r>
      <w:r>
        <w:rPr>
          <w:w w:val="115"/>
        </w:rPr>
        <w:t>que</w:t>
      </w:r>
      <w:r>
        <w:rPr>
          <w:spacing w:val="-27"/>
          <w:w w:val="115"/>
        </w:rPr>
        <w:t> </w:t>
      </w:r>
      <w:r>
        <w:rPr>
          <w:w w:val="115"/>
        </w:rPr>
        <w:t>formaron</w:t>
      </w:r>
      <w:r>
        <w:rPr>
          <w:spacing w:val="-27"/>
          <w:w w:val="115"/>
        </w:rPr>
        <w:t> </w:t>
      </w:r>
      <w:r>
        <w:rPr>
          <w:w w:val="115"/>
        </w:rPr>
        <w:t>parte</w:t>
      </w:r>
      <w:r>
        <w:rPr>
          <w:spacing w:val="-27"/>
          <w:w w:val="115"/>
        </w:rPr>
        <w:t> </w:t>
      </w:r>
      <w:r>
        <w:rPr>
          <w:w w:val="115"/>
        </w:rPr>
        <w:t>entre otros</w:t>
      </w:r>
      <w:r>
        <w:rPr>
          <w:spacing w:val="-17"/>
          <w:w w:val="115"/>
        </w:rPr>
        <w:t> </w:t>
      </w:r>
      <w:r>
        <w:rPr>
          <w:w w:val="115"/>
        </w:rPr>
        <w:t>dick</w:t>
      </w:r>
      <w:r>
        <w:rPr>
          <w:spacing w:val="-17"/>
          <w:w w:val="115"/>
        </w:rPr>
        <w:t> </w:t>
      </w:r>
      <w:r>
        <w:rPr>
          <w:w w:val="115"/>
        </w:rPr>
        <w:t>Cheney</w:t>
      </w:r>
      <w:r>
        <w:rPr>
          <w:spacing w:val="-17"/>
          <w:w w:val="115"/>
        </w:rPr>
        <w:t> </w:t>
      </w:r>
      <w:r>
        <w:rPr>
          <w:w w:val="115"/>
        </w:rPr>
        <w:t>y</w:t>
      </w:r>
      <w:r>
        <w:rPr>
          <w:spacing w:val="-17"/>
          <w:w w:val="115"/>
        </w:rPr>
        <w:t> </w:t>
      </w:r>
      <w:r>
        <w:rPr>
          <w:w w:val="115"/>
        </w:rPr>
        <w:t>donald</w:t>
      </w:r>
      <w:r>
        <w:rPr>
          <w:spacing w:val="-17"/>
          <w:w w:val="115"/>
        </w:rPr>
        <w:t> </w:t>
      </w:r>
      <w:r>
        <w:rPr>
          <w:w w:val="115"/>
        </w:rPr>
        <w:t>rumsfeld</w:t>
      </w:r>
      <w:r>
        <w:rPr>
          <w:spacing w:val="-17"/>
          <w:w w:val="115"/>
        </w:rPr>
        <w:t> </w:t>
      </w:r>
      <w:r>
        <w:rPr>
          <w:w w:val="115"/>
        </w:rPr>
        <w:t>–quienes</w:t>
      </w:r>
      <w:r>
        <w:rPr>
          <w:spacing w:val="-17"/>
          <w:w w:val="115"/>
        </w:rPr>
        <w:t> </w:t>
      </w:r>
      <w:r>
        <w:rPr>
          <w:w w:val="115"/>
        </w:rPr>
        <w:t>serían</w:t>
      </w:r>
      <w:r>
        <w:rPr>
          <w:spacing w:val="-17"/>
          <w:w w:val="115"/>
        </w:rPr>
        <w:t> </w:t>
      </w:r>
      <w:r>
        <w:rPr>
          <w:w w:val="115"/>
        </w:rPr>
        <w:t>Vicepresidente y</w:t>
      </w:r>
      <w:r>
        <w:rPr>
          <w:spacing w:val="-6"/>
          <w:w w:val="115"/>
        </w:rPr>
        <w:t> </w:t>
      </w:r>
      <w:r>
        <w:rPr>
          <w:w w:val="115"/>
        </w:rPr>
        <w:t>secretario</w:t>
      </w:r>
      <w:r>
        <w:rPr>
          <w:spacing w:val="-6"/>
          <w:w w:val="115"/>
        </w:rPr>
        <w:t> </w:t>
      </w:r>
      <w:r>
        <w:rPr>
          <w:w w:val="115"/>
        </w:rPr>
        <w:t>de</w:t>
      </w:r>
      <w:r>
        <w:rPr>
          <w:spacing w:val="-6"/>
          <w:w w:val="115"/>
        </w:rPr>
        <w:t> </w:t>
      </w:r>
      <w:r>
        <w:rPr>
          <w:w w:val="115"/>
        </w:rPr>
        <w:t>Estado</w:t>
      </w:r>
      <w:r>
        <w:rPr>
          <w:spacing w:val="-6"/>
          <w:w w:val="115"/>
        </w:rPr>
        <w:t> </w:t>
      </w:r>
      <w:r>
        <w:rPr>
          <w:w w:val="115"/>
        </w:rPr>
        <w:t>respectivamente–,</w:t>
      </w:r>
      <w:r>
        <w:rPr>
          <w:spacing w:val="-6"/>
          <w:w w:val="115"/>
        </w:rPr>
        <w:t> </w:t>
      </w:r>
      <w:r>
        <w:rPr>
          <w:w w:val="115"/>
        </w:rPr>
        <w:t>así</w:t>
      </w:r>
      <w:r>
        <w:rPr>
          <w:spacing w:val="-6"/>
          <w:w w:val="115"/>
        </w:rPr>
        <w:t> </w:t>
      </w:r>
      <w:r>
        <w:rPr>
          <w:w w:val="115"/>
        </w:rPr>
        <w:t>como</w:t>
      </w:r>
      <w:r>
        <w:rPr>
          <w:spacing w:val="-6"/>
          <w:w w:val="115"/>
        </w:rPr>
        <w:t> </w:t>
      </w:r>
      <w:r>
        <w:rPr>
          <w:w w:val="115"/>
        </w:rPr>
        <w:t>samuel</w:t>
      </w:r>
      <w:r>
        <w:rPr>
          <w:spacing w:val="-6"/>
          <w:w w:val="115"/>
        </w:rPr>
        <w:t> </w:t>
      </w:r>
      <w:r>
        <w:rPr>
          <w:w w:val="115"/>
        </w:rPr>
        <w:t>Hunting- ton.</w:t>
      </w:r>
      <w:r>
        <w:rPr>
          <w:spacing w:val="-12"/>
          <w:w w:val="115"/>
        </w:rPr>
        <w:t> </w:t>
      </w:r>
      <w:r>
        <w:rPr>
          <w:w w:val="115"/>
        </w:rPr>
        <w:t>El</w:t>
      </w:r>
      <w:r>
        <w:rPr>
          <w:spacing w:val="-12"/>
          <w:w w:val="115"/>
        </w:rPr>
        <w:t> </w:t>
      </w:r>
      <w:r>
        <w:rPr>
          <w:w w:val="115"/>
        </w:rPr>
        <w:t>grupo</w:t>
      </w:r>
      <w:r>
        <w:rPr>
          <w:spacing w:val="-12"/>
          <w:w w:val="115"/>
        </w:rPr>
        <w:t> </w:t>
      </w:r>
      <w:r>
        <w:rPr>
          <w:w w:val="115"/>
        </w:rPr>
        <w:t>condensó</w:t>
      </w:r>
      <w:r>
        <w:rPr>
          <w:spacing w:val="-12"/>
          <w:w w:val="115"/>
        </w:rPr>
        <w:t> </w:t>
      </w:r>
      <w:r>
        <w:rPr>
          <w:w w:val="115"/>
        </w:rPr>
        <w:t>su</w:t>
      </w:r>
      <w:r>
        <w:rPr>
          <w:spacing w:val="-12"/>
          <w:w w:val="115"/>
        </w:rPr>
        <w:t> </w:t>
      </w:r>
      <w:r>
        <w:rPr>
          <w:w w:val="115"/>
        </w:rPr>
        <w:t>posición</w:t>
      </w:r>
      <w:r>
        <w:rPr>
          <w:spacing w:val="-12"/>
          <w:w w:val="115"/>
        </w:rPr>
        <w:t> </w:t>
      </w:r>
      <w:r>
        <w:rPr>
          <w:w w:val="115"/>
        </w:rPr>
        <w:t>en</w:t>
      </w:r>
      <w:r>
        <w:rPr>
          <w:spacing w:val="-12"/>
          <w:w w:val="115"/>
        </w:rPr>
        <w:t> </w:t>
      </w:r>
      <w:r>
        <w:rPr>
          <w:w w:val="115"/>
        </w:rPr>
        <w:t>un</w:t>
      </w:r>
      <w:r>
        <w:rPr>
          <w:spacing w:val="-12"/>
          <w:w w:val="115"/>
        </w:rPr>
        <w:t> </w:t>
      </w:r>
      <w:r>
        <w:rPr>
          <w:w w:val="115"/>
        </w:rPr>
        <w:t>documento</w:t>
      </w:r>
      <w:r>
        <w:rPr>
          <w:spacing w:val="-12"/>
          <w:w w:val="115"/>
        </w:rPr>
        <w:t> </w:t>
      </w:r>
      <w:r>
        <w:rPr>
          <w:w w:val="115"/>
        </w:rPr>
        <w:t>conocido</w:t>
      </w:r>
      <w:r>
        <w:rPr>
          <w:spacing w:val="-12"/>
          <w:w w:val="115"/>
        </w:rPr>
        <w:t> </w:t>
      </w:r>
      <w:r>
        <w:rPr>
          <w:w w:val="115"/>
        </w:rPr>
        <w:t>como </w:t>
      </w:r>
      <w:r>
        <w:rPr>
          <w:w w:val="115"/>
        </w:rPr>
        <w:t>“</w:t>
      </w:r>
      <w:r>
        <w:rPr>
          <w:w w:val="243"/>
        </w:rPr>
        <w:t>l</w:t>
      </w:r>
      <w:r>
        <w:rPr>
          <w:w w:val="112"/>
        </w:rPr>
        <w:t>a</w:t>
      </w:r>
      <w:r>
        <w:rPr/>
        <w:t> </w:t>
      </w:r>
      <w:r>
        <w:rPr>
          <w:spacing w:val="5"/>
        </w:rPr>
        <w:t> </w:t>
      </w:r>
      <w:r>
        <w:rPr>
          <w:w w:val="110"/>
        </w:rPr>
        <w:t>reconstrucción</w:t>
      </w:r>
      <w:r>
        <w:rPr/>
        <w:t> </w:t>
      </w:r>
      <w:r>
        <w:rPr>
          <w:spacing w:val="5"/>
        </w:rPr>
        <w:t> </w:t>
      </w:r>
      <w:r>
        <w:rPr>
          <w:w w:val="107"/>
        </w:rPr>
        <w:t>de</w:t>
      </w:r>
      <w:r>
        <w:rPr/>
        <w:t> </w:t>
      </w:r>
      <w:r>
        <w:rPr>
          <w:spacing w:val="5"/>
        </w:rPr>
        <w:t> </w:t>
      </w:r>
      <w:r>
        <w:rPr>
          <w:w w:val="109"/>
        </w:rPr>
        <w:t>las</w:t>
      </w:r>
      <w:r>
        <w:rPr/>
        <w:t> </w:t>
      </w:r>
      <w:r>
        <w:rPr>
          <w:spacing w:val="5"/>
        </w:rPr>
        <w:t> </w:t>
      </w:r>
      <w:r>
        <w:rPr>
          <w:w w:val="108"/>
        </w:rPr>
        <w:t>defensas</w:t>
      </w:r>
      <w:r>
        <w:rPr/>
        <w:t> </w:t>
      </w:r>
      <w:r>
        <w:rPr>
          <w:spacing w:val="5"/>
        </w:rPr>
        <w:t> </w:t>
      </w:r>
      <w:r>
        <w:rPr>
          <w:w w:val="107"/>
        </w:rPr>
        <w:t>de</w:t>
      </w:r>
      <w:r>
        <w:rPr/>
        <w:t> </w:t>
      </w:r>
      <w:r>
        <w:rPr>
          <w:spacing w:val="5"/>
        </w:rPr>
        <w:t> </w:t>
      </w:r>
      <w:r>
        <w:rPr>
          <w:w w:val="111"/>
        </w:rPr>
        <w:t>Estados</w:t>
      </w:r>
      <w:r>
        <w:rPr/>
        <w:t> </w:t>
      </w:r>
      <w:r>
        <w:rPr>
          <w:spacing w:val="5"/>
        </w:rPr>
        <w:t> </w:t>
      </w:r>
      <w:r>
        <w:rPr>
          <w:w w:val="140"/>
        </w:rPr>
        <w:t>u</w:t>
      </w:r>
      <w:r>
        <w:rPr>
          <w:w w:val="109"/>
        </w:rPr>
        <w:t>nidos:</w:t>
      </w:r>
      <w:r>
        <w:rPr/>
        <w:t> </w:t>
      </w:r>
      <w:r>
        <w:rPr>
          <w:spacing w:val="5"/>
        </w:rPr>
        <w:t> </w:t>
      </w:r>
      <w:r>
        <w:rPr>
          <w:w w:val="109"/>
        </w:rPr>
        <w:t>estrategias, </w:t>
      </w:r>
      <w:r>
        <w:rPr>
          <w:w w:val="115"/>
        </w:rPr>
        <w:t>fuerzas y recursos para el nuevo siglo” (</w:t>
      </w:r>
      <w:r>
        <w:rPr>
          <w:i/>
          <w:w w:val="115"/>
        </w:rPr>
        <w:t>Rebuilding America’s</w:t>
      </w:r>
      <w:r>
        <w:rPr>
          <w:i/>
          <w:spacing w:val="-32"/>
          <w:w w:val="115"/>
        </w:rPr>
        <w:t> </w:t>
      </w:r>
      <w:r>
        <w:rPr>
          <w:i/>
          <w:w w:val="115"/>
        </w:rPr>
        <w:t>Defen- </w:t>
      </w:r>
      <w:r>
        <w:rPr>
          <w:i/>
          <w:w w:val="120"/>
        </w:rPr>
        <w:t>ses:</w:t>
      </w:r>
      <w:r>
        <w:rPr>
          <w:i/>
          <w:spacing w:val="-24"/>
          <w:w w:val="120"/>
        </w:rPr>
        <w:t> </w:t>
      </w:r>
      <w:r>
        <w:rPr>
          <w:i/>
          <w:w w:val="120"/>
        </w:rPr>
        <w:t>Strategy,</w:t>
      </w:r>
      <w:r>
        <w:rPr>
          <w:i/>
          <w:spacing w:val="-24"/>
          <w:w w:val="120"/>
        </w:rPr>
        <w:t> </w:t>
      </w:r>
      <w:r>
        <w:rPr>
          <w:i/>
          <w:w w:val="120"/>
        </w:rPr>
        <w:t>Forces</w:t>
      </w:r>
      <w:r>
        <w:rPr>
          <w:i/>
          <w:spacing w:val="-24"/>
          <w:w w:val="120"/>
        </w:rPr>
        <w:t> </w:t>
      </w:r>
      <w:r>
        <w:rPr>
          <w:i/>
          <w:w w:val="120"/>
        </w:rPr>
        <w:t>and</w:t>
      </w:r>
      <w:r>
        <w:rPr>
          <w:i/>
          <w:spacing w:val="-24"/>
          <w:w w:val="120"/>
        </w:rPr>
        <w:t> </w:t>
      </w:r>
      <w:r>
        <w:rPr>
          <w:i/>
          <w:w w:val="120"/>
        </w:rPr>
        <w:t>Resources</w:t>
      </w:r>
      <w:r>
        <w:rPr>
          <w:i/>
          <w:spacing w:val="-24"/>
          <w:w w:val="120"/>
        </w:rPr>
        <w:t> </w:t>
      </w:r>
      <w:r>
        <w:rPr>
          <w:i/>
          <w:w w:val="120"/>
        </w:rPr>
        <w:t>for</w:t>
      </w:r>
      <w:r>
        <w:rPr>
          <w:i/>
          <w:spacing w:val="-24"/>
          <w:w w:val="120"/>
        </w:rPr>
        <w:t> </w:t>
      </w:r>
      <w:r>
        <w:rPr>
          <w:i/>
          <w:w w:val="120"/>
        </w:rPr>
        <w:t>a</w:t>
      </w:r>
      <w:r>
        <w:rPr>
          <w:i/>
          <w:spacing w:val="-24"/>
          <w:w w:val="120"/>
        </w:rPr>
        <w:t> </w:t>
      </w:r>
      <w:r>
        <w:rPr>
          <w:i/>
          <w:w w:val="120"/>
        </w:rPr>
        <w:t>New</w:t>
      </w:r>
      <w:r>
        <w:rPr>
          <w:i/>
          <w:spacing w:val="-24"/>
          <w:w w:val="120"/>
        </w:rPr>
        <w:t> </w:t>
      </w:r>
      <w:r>
        <w:rPr>
          <w:i/>
          <w:w w:val="120"/>
        </w:rPr>
        <w:t>Century</w:t>
      </w:r>
      <w:r>
        <w:rPr>
          <w:w w:val="120"/>
        </w:rPr>
        <w:t>).</w:t>
      </w:r>
      <w:r>
        <w:rPr>
          <w:spacing w:val="-24"/>
          <w:w w:val="120"/>
        </w:rPr>
        <w:t> </w:t>
      </w:r>
      <w:r>
        <w:rPr>
          <w:w w:val="120"/>
        </w:rPr>
        <w:t>allí</w:t>
      </w:r>
      <w:r>
        <w:rPr>
          <w:spacing w:val="-24"/>
          <w:w w:val="120"/>
        </w:rPr>
        <w:t> </w:t>
      </w:r>
      <w:r>
        <w:rPr>
          <w:w w:val="120"/>
        </w:rPr>
        <w:t>plantean </w:t>
      </w:r>
      <w:r>
        <w:rPr>
          <w:w w:val="115"/>
        </w:rPr>
        <w:t>la necesidad de preservar la </w:t>
      </w:r>
      <w:r>
        <w:rPr>
          <w:i/>
          <w:w w:val="115"/>
        </w:rPr>
        <w:t>Pax Americana </w:t>
      </w:r>
      <w:r>
        <w:rPr>
          <w:w w:val="115"/>
        </w:rPr>
        <w:t>recurriendo a misiones militares</w:t>
      </w:r>
      <w:r>
        <w:rPr>
          <w:spacing w:val="-20"/>
          <w:w w:val="115"/>
        </w:rPr>
        <w:t> </w:t>
      </w:r>
      <w:r>
        <w:rPr>
          <w:w w:val="115"/>
        </w:rPr>
        <w:t>que</w:t>
      </w:r>
      <w:r>
        <w:rPr>
          <w:spacing w:val="-20"/>
          <w:w w:val="115"/>
        </w:rPr>
        <w:t> </w:t>
      </w:r>
      <w:r>
        <w:rPr>
          <w:w w:val="115"/>
        </w:rPr>
        <w:t>garanticen</w:t>
      </w:r>
      <w:r>
        <w:rPr>
          <w:spacing w:val="-20"/>
          <w:w w:val="115"/>
        </w:rPr>
        <w:t> </w:t>
      </w:r>
      <w:r>
        <w:rPr>
          <w:w w:val="115"/>
        </w:rPr>
        <w:t>“asegurar</w:t>
      </w:r>
      <w:r>
        <w:rPr>
          <w:spacing w:val="-20"/>
          <w:w w:val="115"/>
        </w:rPr>
        <w:t> </w:t>
      </w:r>
      <w:r>
        <w:rPr>
          <w:w w:val="115"/>
        </w:rPr>
        <w:t>y</w:t>
      </w:r>
      <w:r>
        <w:rPr>
          <w:spacing w:val="-20"/>
          <w:w w:val="115"/>
        </w:rPr>
        <w:t> </w:t>
      </w:r>
      <w:r>
        <w:rPr>
          <w:w w:val="115"/>
        </w:rPr>
        <w:t>ampliar</w:t>
      </w:r>
      <w:r>
        <w:rPr>
          <w:spacing w:val="-20"/>
          <w:w w:val="115"/>
        </w:rPr>
        <w:t> </w:t>
      </w:r>
      <w:r>
        <w:rPr>
          <w:w w:val="115"/>
        </w:rPr>
        <w:t>las</w:t>
      </w:r>
      <w:r>
        <w:rPr>
          <w:spacing w:val="-20"/>
          <w:w w:val="115"/>
        </w:rPr>
        <w:t> </w:t>
      </w:r>
      <w:r>
        <w:rPr>
          <w:w w:val="115"/>
        </w:rPr>
        <w:t>regiones</w:t>
      </w:r>
      <w:r>
        <w:rPr>
          <w:spacing w:val="-20"/>
          <w:w w:val="115"/>
        </w:rPr>
        <w:t> </w:t>
      </w:r>
      <w:r>
        <w:rPr>
          <w:w w:val="115"/>
        </w:rPr>
        <w:t>democráti- cas</w:t>
      </w:r>
      <w:r>
        <w:rPr>
          <w:spacing w:val="-26"/>
          <w:w w:val="115"/>
        </w:rPr>
        <w:t> </w:t>
      </w:r>
      <w:r>
        <w:rPr>
          <w:w w:val="115"/>
        </w:rPr>
        <w:t>y</w:t>
      </w:r>
      <w:r>
        <w:rPr>
          <w:spacing w:val="-26"/>
          <w:w w:val="115"/>
        </w:rPr>
        <w:t> </w:t>
      </w:r>
      <w:r>
        <w:rPr>
          <w:w w:val="115"/>
        </w:rPr>
        <w:t>pacíficas;</w:t>
      </w:r>
      <w:r>
        <w:rPr>
          <w:spacing w:val="-26"/>
          <w:w w:val="115"/>
        </w:rPr>
        <w:t> </w:t>
      </w:r>
      <w:r>
        <w:rPr>
          <w:w w:val="115"/>
        </w:rPr>
        <w:t>desalentar</w:t>
      </w:r>
      <w:r>
        <w:rPr>
          <w:spacing w:val="-26"/>
          <w:w w:val="115"/>
        </w:rPr>
        <w:t> </w:t>
      </w:r>
      <w:r>
        <w:rPr>
          <w:w w:val="115"/>
        </w:rPr>
        <w:t>el</w:t>
      </w:r>
      <w:r>
        <w:rPr>
          <w:spacing w:val="-26"/>
          <w:w w:val="115"/>
        </w:rPr>
        <w:t> </w:t>
      </w:r>
      <w:r>
        <w:rPr>
          <w:w w:val="115"/>
        </w:rPr>
        <w:t>surgimiento</w:t>
      </w:r>
      <w:r>
        <w:rPr>
          <w:spacing w:val="-26"/>
          <w:w w:val="115"/>
        </w:rPr>
        <w:t> </w:t>
      </w:r>
      <w:r>
        <w:rPr>
          <w:w w:val="115"/>
        </w:rPr>
        <w:t>de</w:t>
      </w:r>
      <w:r>
        <w:rPr>
          <w:spacing w:val="-26"/>
          <w:w w:val="115"/>
        </w:rPr>
        <w:t> </w:t>
      </w:r>
      <w:r>
        <w:rPr>
          <w:w w:val="115"/>
        </w:rPr>
        <w:t>nuevas</w:t>
      </w:r>
      <w:r>
        <w:rPr>
          <w:spacing w:val="-26"/>
          <w:w w:val="115"/>
        </w:rPr>
        <w:t> </w:t>
      </w:r>
      <w:r>
        <w:rPr>
          <w:w w:val="115"/>
        </w:rPr>
        <w:t>potencias</w:t>
      </w:r>
      <w:r>
        <w:rPr>
          <w:spacing w:val="-26"/>
          <w:w w:val="115"/>
        </w:rPr>
        <w:t> </w:t>
      </w:r>
      <w:r>
        <w:rPr>
          <w:w w:val="115"/>
        </w:rPr>
        <w:t>rivales; defender</w:t>
      </w:r>
      <w:r>
        <w:rPr>
          <w:spacing w:val="-33"/>
          <w:w w:val="115"/>
        </w:rPr>
        <w:t> </w:t>
      </w:r>
      <w:r>
        <w:rPr>
          <w:w w:val="115"/>
        </w:rPr>
        <w:t>regiones</w:t>
      </w:r>
      <w:r>
        <w:rPr>
          <w:spacing w:val="-33"/>
          <w:w w:val="115"/>
        </w:rPr>
        <w:t> </w:t>
      </w:r>
      <w:r>
        <w:rPr>
          <w:w w:val="115"/>
        </w:rPr>
        <w:t>clave;</w:t>
      </w:r>
      <w:r>
        <w:rPr>
          <w:spacing w:val="-33"/>
          <w:w w:val="115"/>
        </w:rPr>
        <w:t> </w:t>
      </w:r>
      <w:r>
        <w:rPr>
          <w:w w:val="115"/>
        </w:rPr>
        <w:t>explotar</w:t>
      </w:r>
      <w:r>
        <w:rPr>
          <w:spacing w:val="-33"/>
          <w:w w:val="115"/>
        </w:rPr>
        <w:t> </w:t>
      </w:r>
      <w:r>
        <w:rPr>
          <w:w w:val="115"/>
        </w:rPr>
        <w:t>la</w:t>
      </w:r>
      <w:r>
        <w:rPr>
          <w:spacing w:val="-33"/>
          <w:w w:val="115"/>
        </w:rPr>
        <w:t> </w:t>
      </w:r>
      <w:r>
        <w:rPr>
          <w:w w:val="115"/>
        </w:rPr>
        <w:t>transformación</w:t>
      </w:r>
      <w:r>
        <w:rPr>
          <w:spacing w:val="-33"/>
          <w:w w:val="115"/>
        </w:rPr>
        <w:t> </w:t>
      </w:r>
      <w:r>
        <w:rPr>
          <w:w w:val="115"/>
        </w:rPr>
        <w:t>de</w:t>
      </w:r>
      <w:r>
        <w:rPr>
          <w:spacing w:val="-33"/>
          <w:w w:val="115"/>
        </w:rPr>
        <w:t> </w:t>
      </w:r>
      <w:r>
        <w:rPr>
          <w:w w:val="115"/>
        </w:rPr>
        <w:t>la</w:t>
      </w:r>
      <w:r>
        <w:rPr>
          <w:spacing w:val="-33"/>
          <w:w w:val="115"/>
        </w:rPr>
        <w:t> </w:t>
      </w:r>
      <w:r>
        <w:rPr>
          <w:w w:val="115"/>
        </w:rPr>
        <w:t>guerra”</w:t>
      </w:r>
      <w:r>
        <w:rPr>
          <w:spacing w:val="-33"/>
          <w:w w:val="115"/>
        </w:rPr>
        <w:t> </w:t>
      </w:r>
      <w:r>
        <w:rPr>
          <w:w w:val="115"/>
        </w:rPr>
        <w:t>y</w:t>
      </w:r>
      <w:r>
        <w:rPr>
          <w:spacing w:val="-33"/>
          <w:w w:val="115"/>
        </w:rPr>
        <w:t> </w:t>
      </w:r>
      <w:r>
        <w:rPr>
          <w:w w:val="115"/>
        </w:rPr>
        <w:t>de- limitaron</w:t>
      </w:r>
      <w:r>
        <w:rPr>
          <w:spacing w:val="-10"/>
          <w:w w:val="115"/>
        </w:rPr>
        <w:t> </w:t>
      </w:r>
      <w:r>
        <w:rPr>
          <w:w w:val="115"/>
        </w:rPr>
        <w:t>la</w:t>
      </w:r>
      <w:r>
        <w:rPr>
          <w:spacing w:val="-10"/>
          <w:w w:val="115"/>
        </w:rPr>
        <w:t> </w:t>
      </w:r>
      <w:r>
        <w:rPr>
          <w:w w:val="115"/>
        </w:rPr>
        <w:t>“meta</w:t>
      </w:r>
      <w:r>
        <w:rPr>
          <w:spacing w:val="-10"/>
          <w:w w:val="115"/>
        </w:rPr>
        <w:t> </w:t>
      </w:r>
      <w:r>
        <w:rPr>
          <w:w w:val="115"/>
        </w:rPr>
        <w:t>de</w:t>
      </w:r>
      <w:r>
        <w:rPr>
          <w:spacing w:val="-10"/>
          <w:w w:val="115"/>
        </w:rPr>
        <w:t> </w:t>
      </w:r>
      <w:r>
        <w:rPr>
          <w:w w:val="115"/>
        </w:rPr>
        <w:t>la</w:t>
      </w:r>
      <w:r>
        <w:rPr>
          <w:spacing w:val="-10"/>
          <w:w w:val="115"/>
        </w:rPr>
        <w:t> </w:t>
      </w:r>
      <w:r>
        <w:rPr>
          <w:w w:val="115"/>
        </w:rPr>
        <w:t>competencia</w:t>
      </w:r>
      <w:r>
        <w:rPr>
          <w:spacing w:val="-10"/>
          <w:w w:val="115"/>
        </w:rPr>
        <w:t> </w:t>
      </w:r>
      <w:r>
        <w:rPr>
          <w:w w:val="115"/>
        </w:rPr>
        <w:t>estratégica”</w:t>
      </w:r>
      <w:r>
        <w:rPr>
          <w:spacing w:val="-10"/>
          <w:w w:val="115"/>
        </w:rPr>
        <w:t> </w:t>
      </w:r>
      <w:r>
        <w:rPr>
          <w:w w:val="115"/>
        </w:rPr>
        <w:t>en</w:t>
      </w:r>
      <w:r>
        <w:rPr>
          <w:spacing w:val="-10"/>
          <w:w w:val="115"/>
        </w:rPr>
        <w:t> </w:t>
      </w:r>
      <w:r>
        <w:rPr>
          <w:w w:val="115"/>
        </w:rPr>
        <w:t>el</w:t>
      </w:r>
      <w:r>
        <w:rPr>
          <w:spacing w:val="-10"/>
          <w:w w:val="115"/>
        </w:rPr>
        <w:t> </w:t>
      </w:r>
      <w:r>
        <w:rPr>
          <w:w w:val="115"/>
        </w:rPr>
        <w:t>“este</w:t>
      </w:r>
      <w:r>
        <w:rPr>
          <w:spacing w:val="-10"/>
          <w:w w:val="115"/>
        </w:rPr>
        <w:t> </w:t>
      </w:r>
      <w:r>
        <w:rPr>
          <w:w w:val="115"/>
        </w:rPr>
        <w:t>de</w:t>
      </w:r>
      <w:r>
        <w:rPr>
          <w:spacing w:val="-10"/>
          <w:w w:val="115"/>
        </w:rPr>
        <w:t> </w:t>
      </w:r>
      <w:r>
        <w:rPr>
          <w:w w:val="115"/>
        </w:rPr>
        <w:t>asia” </w:t>
      </w:r>
      <w:r>
        <w:rPr>
          <w:spacing w:val="-3"/>
          <w:w w:val="115"/>
        </w:rPr>
        <w:t>(Weiberger,</w:t>
      </w:r>
      <w:r>
        <w:rPr>
          <w:spacing w:val="-25"/>
          <w:w w:val="115"/>
        </w:rPr>
        <w:t> </w:t>
      </w:r>
      <w:r>
        <w:rPr>
          <w:w w:val="115"/>
        </w:rPr>
        <w:t>2003:</w:t>
      </w:r>
      <w:r>
        <w:rPr>
          <w:spacing w:val="-25"/>
          <w:w w:val="115"/>
        </w:rPr>
        <w:t> </w:t>
      </w:r>
      <w:r>
        <w:rPr>
          <w:w w:val="115"/>
        </w:rPr>
        <w:t>79).</w:t>
      </w:r>
      <w:r>
        <w:rPr>
          <w:spacing w:val="-25"/>
          <w:w w:val="115"/>
        </w:rPr>
        <w:t> </w:t>
      </w:r>
      <w:r>
        <w:rPr>
          <w:w w:val="115"/>
        </w:rPr>
        <w:t>Para</w:t>
      </w:r>
      <w:r>
        <w:rPr>
          <w:spacing w:val="-25"/>
          <w:w w:val="115"/>
        </w:rPr>
        <w:t> </w:t>
      </w:r>
      <w:r>
        <w:rPr>
          <w:w w:val="115"/>
        </w:rPr>
        <w:t>ello</w:t>
      </w:r>
      <w:r>
        <w:rPr>
          <w:spacing w:val="-25"/>
          <w:w w:val="115"/>
        </w:rPr>
        <w:t> </w:t>
      </w:r>
      <w:r>
        <w:rPr>
          <w:w w:val="115"/>
        </w:rPr>
        <w:t>estimaron</w:t>
      </w:r>
      <w:r>
        <w:rPr>
          <w:spacing w:val="-25"/>
          <w:w w:val="115"/>
        </w:rPr>
        <w:t> </w:t>
      </w:r>
      <w:r>
        <w:rPr>
          <w:w w:val="115"/>
        </w:rPr>
        <w:t>que</w:t>
      </w:r>
      <w:r>
        <w:rPr>
          <w:spacing w:val="-25"/>
          <w:w w:val="115"/>
        </w:rPr>
        <w:t> </w:t>
      </w:r>
      <w:r>
        <w:rPr>
          <w:w w:val="115"/>
        </w:rPr>
        <w:t>había</w:t>
      </w:r>
      <w:r>
        <w:rPr>
          <w:spacing w:val="-25"/>
          <w:w w:val="115"/>
        </w:rPr>
        <w:t> </w:t>
      </w:r>
      <w:r>
        <w:rPr>
          <w:w w:val="115"/>
        </w:rPr>
        <w:t>que</w:t>
      </w:r>
      <w:r>
        <w:rPr>
          <w:spacing w:val="-25"/>
          <w:w w:val="115"/>
        </w:rPr>
        <w:t> </w:t>
      </w:r>
      <w:r>
        <w:rPr>
          <w:w w:val="115"/>
        </w:rPr>
        <w:t>fortalecer</w:t>
      </w:r>
      <w:r>
        <w:rPr>
          <w:spacing w:val="-25"/>
          <w:w w:val="115"/>
        </w:rPr>
        <w:t> </w:t>
      </w:r>
      <w:r>
        <w:rPr>
          <w:w w:val="115"/>
        </w:rPr>
        <w:t>la </w:t>
      </w:r>
      <w:r>
        <w:rPr>
          <w:w w:val="106"/>
        </w:rPr>
        <w:t>red</w:t>
      </w:r>
      <w:r>
        <w:rPr/>
        <w:t> </w:t>
      </w:r>
      <w:r>
        <w:rPr>
          <w:spacing w:val="-15"/>
        </w:rPr>
        <w:t> </w:t>
      </w:r>
      <w:r>
        <w:rPr>
          <w:w w:val="107"/>
        </w:rPr>
        <w:t>de</w:t>
      </w:r>
      <w:r>
        <w:rPr/>
        <w:t> </w:t>
      </w:r>
      <w:r>
        <w:rPr>
          <w:spacing w:val="-15"/>
        </w:rPr>
        <w:t> </w:t>
      </w:r>
      <w:r>
        <w:rPr>
          <w:w w:val="107"/>
        </w:rPr>
        <w:t>bases</w:t>
      </w:r>
      <w:r>
        <w:rPr/>
        <w:t> </w:t>
      </w:r>
      <w:r>
        <w:rPr>
          <w:spacing w:val="-15"/>
        </w:rPr>
        <w:t> </w:t>
      </w:r>
      <w:r>
        <w:rPr>
          <w:w w:val="109"/>
        </w:rPr>
        <w:t>militares</w:t>
      </w:r>
      <w:r>
        <w:rPr/>
        <w:t> </w:t>
      </w:r>
      <w:r>
        <w:rPr>
          <w:spacing w:val="-15"/>
        </w:rPr>
        <w:t> </w:t>
      </w:r>
      <w:r>
        <w:rPr>
          <w:w w:val="108"/>
        </w:rPr>
        <w:t>en</w:t>
      </w:r>
      <w:r>
        <w:rPr/>
        <w:t> </w:t>
      </w:r>
      <w:r>
        <w:rPr>
          <w:spacing w:val="-15"/>
        </w:rPr>
        <w:t> </w:t>
      </w:r>
      <w:r>
        <w:rPr>
          <w:w w:val="139"/>
        </w:rPr>
        <w:t>a</w:t>
      </w:r>
      <w:r>
        <w:rPr>
          <w:w w:val="111"/>
        </w:rPr>
        <w:t>mérica</w:t>
      </w:r>
      <w:r>
        <w:rPr/>
        <w:t> </w:t>
      </w:r>
      <w:r>
        <w:rPr>
          <w:spacing w:val="-15"/>
        </w:rPr>
        <w:t> </w:t>
      </w:r>
      <w:r>
        <w:rPr>
          <w:w w:val="243"/>
        </w:rPr>
        <w:t>l</w:t>
      </w:r>
      <w:r>
        <w:rPr>
          <w:w w:val="113"/>
        </w:rPr>
        <w:t>atina,</w:t>
      </w:r>
      <w:r>
        <w:rPr/>
        <w:t> </w:t>
      </w:r>
      <w:r>
        <w:rPr>
          <w:spacing w:val="-15"/>
        </w:rPr>
        <w:t> </w:t>
      </w:r>
      <w:r>
        <w:rPr>
          <w:w w:val="106"/>
        </w:rPr>
        <w:t>sureste</w:t>
      </w:r>
      <w:r>
        <w:rPr/>
        <w:t> </w:t>
      </w:r>
      <w:r>
        <w:rPr>
          <w:spacing w:val="-15"/>
        </w:rPr>
        <w:t> </w:t>
      </w:r>
      <w:r>
        <w:rPr>
          <w:w w:val="107"/>
        </w:rPr>
        <w:t>de</w:t>
      </w:r>
      <w:r>
        <w:rPr/>
        <w:t> </w:t>
      </w:r>
      <w:r>
        <w:rPr>
          <w:spacing w:val="-15"/>
        </w:rPr>
        <w:t> </w:t>
      </w:r>
      <w:r>
        <w:rPr>
          <w:w w:val="115"/>
        </w:rPr>
        <w:t>Europa,</w:t>
      </w:r>
      <w:r>
        <w:rPr/>
        <w:t> </w:t>
      </w:r>
      <w:r>
        <w:rPr>
          <w:spacing w:val="-15"/>
        </w:rPr>
        <w:t> </w:t>
      </w:r>
      <w:r>
        <w:rPr>
          <w:w w:val="112"/>
        </w:rPr>
        <w:t>Medio </w:t>
      </w:r>
      <w:r>
        <w:rPr>
          <w:w w:val="115"/>
        </w:rPr>
        <w:t>oriente, sudeste asiático y estar dispuestos a ataques preventivos</w:t>
      </w:r>
      <w:r>
        <w:rPr>
          <w:spacing w:val="9"/>
          <w:w w:val="115"/>
        </w:rPr>
        <w:t> </w:t>
      </w:r>
      <w:r>
        <w:rPr>
          <w:w w:val="115"/>
        </w:rPr>
        <w:t>e</w:t>
      </w:r>
    </w:p>
    <w:p>
      <w:pPr>
        <w:spacing w:after="0" w:line="252" w:lineRule="auto"/>
        <w:sectPr>
          <w:headerReference w:type="even" r:id="rId418"/>
          <w:headerReference w:type="default" r:id="rId419"/>
          <w:footerReference w:type="even" r:id="rId420"/>
          <w:footerReference w:type="default" r:id="rId421"/>
          <w:pgSz w:w="8790" w:h="12760"/>
          <w:pgMar w:header="697" w:footer="725" w:top="880" w:bottom="920" w:left="1200" w:right="900"/>
          <w:pgNumType w:start="304"/>
        </w:sectPr>
      </w:pPr>
    </w:p>
    <w:p>
      <w:pPr>
        <w:pStyle w:val="BodyText"/>
        <w:spacing w:before="9"/>
        <w:rPr>
          <w:sz w:val="28"/>
        </w:rPr>
      </w:pPr>
    </w:p>
    <w:p>
      <w:pPr>
        <w:pStyle w:val="BodyText"/>
        <w:spacing w:line="252" w:lineRule="auto" w:before="73"/>
        <w:ind w:left="100" w:right="328"/>
        <w:jc w:val="both"/>
      </w:pPr>
      <w:r>
        <w:rPr>
          <w:w w:val="110"/>
        </w:rPr>
        <w:t>identificaron como posibles objetivos de éstos a irak, irán y Corea    del Norte. un programa de esa naturaleza exigía elevar el gasto en defensa al 3.8% del Pib. sostuvieron además que un acontecimiento catastrófico, como “un Pearl Harbor”, catalizaría la implantación de   la</w:t>
      </w:r>
      <w:r>
        <w:rPr>
          <w:spacing w:val="-7"/>
          <w:w w:val="110"/>
        </w:rPr>
        <w:t> </w:t>
      </w:r>
      <w:r>
        <w:rPr>
          <w:i/>
          <w:w w:val="110"/>
        </w:rPr>
        <w:t>Pax</w:t>
      </w:r>
      <w:r>
        <w:rPr>
          <w:i/>
          <w:spacing w:val="-7"/>
          <w:w w:val="110"/>
        </w:rPr>
        <w:t> </w:t>
      </w:r>
      <w:r>
        <w:rPr>
          <w:i/>
          <w:w w:val="110"/>
        </w:rPr>
        <w:t>Americana</w:t>
      </w:r>
      <w:r>
        <w:rPr>
          <w:i/>
          <w:spacing w:val="-7"/>
          <w:w w:val="110"/>
        </w:rPr>
        <w:t> </w:t>
      </w:r>
      <w:r>
        <w:rPr>
          <w:w w:val="110"/>
        </w:rPr>
        <w:t>(ver</w:t>
      </w:r>
      <w:r>
        <w:rPr>
          <w:spacing w:val="-7"/>
          <w:w w:val="110"/>
        </w:rPr>
        <w:t> </w:t>
      </w:r>
      <w:r>
        <w:rPr>
          <w:spacing w:val="-4"/>
          <w:w w:val="110"/>
        </w:rPr>
        <w:t>Weiberger,</w:t>
      </w:r>
      <w:r>
        <w:rPr>
          <w:spacing w:val="-7"/>
          <w:w w:val="110"/>
        </w:rPr>
        <w:t> </w:t>
      </w:r>
      <w:r>
        <w:rPr>
          <w:w w:val="110"/>
        </w:rPr>
        <w:t>2003:</w:t>
      </w:r>
      <w:r>
        <w:rPr>
          <w:spacing w:val="-7"/>
          <w:w w:val="110"/>
        </w:rPr>
        <w:t> </w:t>
      </w:r>
      <w:r>
        <w:rPr>
          <w:w w:val="110"/>
        </w:rPr>
        <w:t>78-80).</w:t>
      </w:r>
    </w:p>
    <w:p>
      <w:pPr>
        <w:pStyle w:val="BodyText"/>
        <w:spacing w:line="252" w:lineRule="auto"/>
        <w:ind w:left="100" w:right="327" w:firstLine="396"/>
        <w:jc w:val="both"/>
      </w:pPr>
      <w:r>
        <w:rPr>
          <w:w w:val="115"/>
        </w:rPr>
        <w:t>a</w:t>
      </w:r>
      <w:r>
        <w:rPr>
          <w:spacing w:val="-9"/>
          <w:w w:val="115"/>
        </w:rPr>
        <w:t> </w:t>
      </w:r>
      <w:r>
        <w:rPr>
          <w:w w:val="115"/>
        </w:rPr>
        <w:t>su</w:t>
      </w:r>
      <w:r>
        <w:rPr>
          <w:spacing w:val="-9"/>
          <w:w w:val="115"/>
        </w:rPr>
        <w:t> </w:t>
      </w:r>
      <w:r>
        <w:rPr>
          <w:w w:val="115"/>
        </w:rPr>
        <w:t>juicio</w:t>
      </w:r>
      <w:r>
        <w:rPr>
          <w:spacing w:val="-9"/>
          <w:w w:val="115"/>
        </w:rPr>
        <w:t> </w:t>
      </w:r>
      <w:r>
        <w:rPr>
          <w:w w:val="115"/>
        </w:rPr>
        <w:t>el</w:t>
      </w:r>
      <w:r>
        <w:rPr>
          <w:spacing w:val="-9"/>
          <w:w w:val="115"/>
        </w:rPr>
        <w:t> </w:t>
      </w:r>
      <w:r>
        <w:rPr>
          <w:w w:val="115"/>
        </w:rPr>
        <w:t>debilitamiento</w:t>
      </w:r>
      <w:r>
        <w:rPr>
          <w:spacing w:val="-9"/>
          <w:w w:val="115"/>
        </w:rPr>
        <w:t> </w:t>
      </w:r>
      <w:r>
        <w:rPr>
          <w:w w:val="115"/>
        </w:rPr>
        <w:t>de</w:t>
      </w:r>
      <w:r>
        <w:rPr>
          <w:spacing w:val="-9"/>
          <w:w w:val="115"/>
        </w:rPr>
        <w:t> </w:t>
      </w:r>
      <w:r>
        <w:rPr>
          <w:w w:val="115"/>
        </w:rPr>
        <w:t>la</w:t>
      </w:r>
      <w:r>
        <w:rPr>
          <w:spacing w:val="-9"/>
          <w:w w:val="115"/>
        </w:rPr>
        <w:t> </w:t>
      </w:r>
      <w:r>
        <w:rPr>
          <w:w w:val="115"/>
        </w:rPr>
        <w:t>defensa</w:t>
      </w:r>
      <w:r>
        <w:rPr>
          <w:spacing w:val="-9"/>
          <w:w w:val="115"/>
        </w:rPr>
        <w:t> </w:t>
      </w:r>
      <w:r>
        <w:rPr>
          <w:w w:val="115"/>
        </w:rPr>
        <w:t>ponía</w:t>
      </w:r>
      <w:r>
        <w:rPr>
          <w:spacing w:val="-9"/>
          <w:w w:val="115"/>
        </w:rPr>
        <w:t> </w:t>
      </w:r>
      <w:r>
        <w:rPr>
          <w:w w:val="115"/>
        </w:rPr>
        <w:t>en</w:t>
      </w:r>
      <w:r>
        <w:rPr>
          <w:spacing w:val="-9"/>
          <w:w w:val="115"/>
        </w:rPr>
        <w:t> </w:t>
      </w:r>
      <w:r>
        <w:rPr>
          <w:w w:val="115"/>
        </w:rPr>
        <w:t>peligro</w:t>
      </w:r>
      <w:r>
        <w:rPr>
          <w:spacing w:val="-9"/>
          <w:w w:val="115"/>
        </w:rPr>
        <w:t> </w:t>
      </w:r>
      <w:r>
        <w:rPr>
          <w:w w:val="115"/>
        </w:rPr>
        <w:t>la</w:t>
      </w:r>
      <w:r>
        <w:rPr>
          <w:spacing w:val="-9"/>
          <w:w w:val="115"/>
        </w:rPr>
        <w:t> </w:t>
      </w:r>
      <w:r>
        <w:rPr>
          <w:w w:val="115"/>
        </w:rPr>
        <w:t>he- gemonía y liderazgo americano en un momento en el que otros Es- tados</w:t>
      </w:r>
      <w:r>
        <w:rPr>
          <w:spacing w:val="-13"/>
          <w:w w:val="115"/>
        </w:rPr>
        <w:t> </w:t>
      </w:r>
      <w:r>
        <w:rPr>
          <w:w w:val="115"/>
        </w:rPr>
        <w:t>daban</w:t>
      </w:r>
      <w:r>
        <w:rPr>
          <w:spacing w:val="-13"/>
          <w:w w:val="115"/>
        </w:rPr>
        <w:t> </w:t>
      </w:r>
      <w:r>
        <w:rPr>
          <w:w w:val="115"/>
        </w:rPr>
        <w:t>pasos</w:t>
      </w:r>
      <w:r>
        <w:rPr>
          <w:spacing w:val="-13"/>
          <w:w w:val="115"/>
        </w:rPr>
        <w:t> </w:t>
      </w:r>
      <w:r>
        <w:rPr>
          <w:w w:val="115"/>
        </w:rPr>
        <w:t>para</w:t>
      </w:r>
      <w:r>
        <w:rPr>
          <w:spacing w:val="-13"/>
          <w:w w:val="115"/>
        </w:rPr>
        <w:t> </w:t>
      </w:r>
      <w:r>
        <w:rPr>
          <w:w w:val="115"/>
        </w:rPr>
        <w:t>rivalizar</w:t>
      </w:r>
      <w:r>
        <w:rPr>
          <w:spacing w:val="-13"/>
          <w:w w:val="115"/>
        </w:rPr>
        <w:t> </w:t>
      </w:r>
      <w:r>
        <w:rPr>
          <w:w w:val="115"/>
        </w:rPr>
        <w:t>con</w:t>
      </w:r>
      <w:r>
        <w:rPr>
          <w:spacing w:val="-13"/>
          <w:w w:val="115"/>
        </w:rPr>
        <w:t> </w:t>
      </w:r>
      <w:r>
        <w:rPr>
          <w:w w:val="115"/>
        </w:rPr>
        <w:t>ellos</w:t>
      </w:r>
      <w:r>
        <w:rPr>
          <w:spacing w:val="-13"/>
          <w:w w:val="115"/>
        </w:rPr>
        <w:t> </w:t>
      </w:r>
      <w:r>
        <w:rPr>
          <w:w w:val="115"/>
        </w:rPr>
        <w:t>y</w:t>
      </w:r>
      <w:r>
        <w:rPr>
          <w:spacing w:val="-13"/>
          <w:w w:val="115"/>
        </w:rPr>
        <w:t> </w:t>
      </w:r>
      <w:r>
        <w:rPr>
          <w:w w:val="115"/>
        </w:rPr>
        <w:t>amenazar</w:t>
      </w:r>
      <w:r>
        <w:rPr>
          <w:spacing w:val="-13"/>
          <w:w w:val="115"/>
        </w:rPr>
        <w:t> </w:t>
      </w:r>
      <w:r>
        <w:rPr>
          <w:w w:val="115"/>
        </w:rPr>
        <w:t>la</w:t>
      </w:r>
      <w:r>
        <w:rPr>
          <w:spacing w:val="-13"/>
          <w:w w:val="115"/>
        </w:rPr>
        <w:t> </w:t>
      </w:r>
      <w:r>
        <w:rPr>
          <w:w w:val="115"/>
        </w:rPr>
        <w:t>democracia y la paz. Por eso sostienen que “al final del siglo </w:t>
      </w:r>
      <w:r>
        <w:rPr>
          <w:w w:val="125"/>
        </w:rPr>
        <w:t>xx, </w:t>
      </w:r>
      <w:r>
        <w:rPr>
          <w:w w:val="115"/>
        </w:rPr>
        <w:t>Estados unidos se</w:t>
      </w:r>
      <w:r>
        <w:rPr>
          <w:spacing w:val="-13"/>
          <w:w w:val="115"/>
        </w:rPr>
        <w:t> </w:t>
      </w:r>
      <w:r>
        <w:rPr>
          <w:w w:val="115"/>
        </w:rPr>
        <w:t>instituye</w:t>
      </w:r>
      <w:r>
        <w:rPr>
          <w:spacing w:val="-13"/>
          <w:w w:val="115"/>
        </w:rPr>
        <w:t> </w:t>
      </w:r>
      <w:r>
        <w:rPr>
          <w:w w:val="115"/>
        </w:rPr>
        <w:t>como</w:t>
      </w:r>
      <w:r>
        <w:rPr>
          <w:spacing w:val="-13"/>
          <w:w w:val="115"/>
        </w:rPr>
        <w:t> </w:t>
      </w:r>
      <w:r>
        <w:rPr>
          <w:w w:val="115"/>
        </w:rPr>
        <w:t>el</w:t>
      </w:r>
      <w:r>
        <w:rPr>
          <w:spacing w:val="-13"/>
          <w:w w:val="115"/>
        </w:rPr>
        <w:t> </w:t>
      </w:r>
      <w:r>
        <w:rPr>
          <w:w w:val="115"/>
        </w:rPr>
        <w:t>poder</w:t>
      </w:r>
      <w:r>
        <w:rPr>
          <w:spacing w:val="-13"/>
          <w:w w:val="115"/>
        </w:rPr>
        <w:t> </w:t>
      </w:r>
      <w:r>
        <w:rPr>
          <w:w w:val="115"/>
        </w:rPr>
        <w:t>mundial</w:t>
      </w:r>
      <w:r>
        <w:rPr>
          <w:spacing w:val="-13"/>
          <w:w w:val="115"/>
        </w:rPr>
        <w:t> </w:t>
      </w:r>
      <w:r>
        <w:rPr>
          <w:w w:val="115"/>
        </w:rPr>
        <w:t>más</w:t>
      </w:r>
      <w:r>
        <w:rPr>
          <w:spacing w:val="-13"/>
          <w:w w:val="115"/>
        </w:rPr>
        <w:t> </w:t>
      </w:r>
      <w:r>
        <w:rPr>
          <w:w w:val="115"/>
        </w:rPr>
        <w:t>preeminente.</w:t>
      </w:r>
      <w:r>
        <w:rPr>
          <w:spacing w:val="-13"/>
          <w:w w:val="115"/>
        </w:rPr>
        <w:t> </w:t>
      </w:r>
      <w:r>
        <w:rPr>
          <w:spacing w:val="-5"/>
          <w:w w:val="115"/>
        </w:rPr>
        <w:t>tras</w:t>
      </w:r>
      <w:r>
        <w:rPr>
          <w:spacing w:val="-13"/>
          <w:w w:val="115"/>
        </w:rPr>
        <w:t> </w:t>
      </w:r>
      <w:r>
        <w:rPr>
          <w:w w:val="115"/>
        </w:rPr>
        <w:t>la</w:t>
      </w:r>
      <w:r>
        <w:rPr>
          <w:spacing w:val="-13"/>
          <w:w w:val="115"/>
        </w:rPr>
        <w:t> </w:t>
      </w:r>
      <w:r>
        <w:rPr>
          <w:w w:val="115"/>
        </w:rPr>
        <w:t>victoria de</w:t>
      </w:r>
      <w:r>
        <w:rPr>
          <w:spacing w:val="-7"/>
          <w:w w:val="115"/>
        </w:rPr>
        <w:t> </w:t>
      </w:r>
      <w:r>
        <w:rPr>
          <w:w w:val="115"/>
        </w:rPr>
        <w:t>la</w:t>
      </w:r>
      <w:r>
        <w:rPr>
          <w:spacing w:val="-7"/>
          <w:w w:val="115"/>
        </w:rPr>
        <w:t> </w:t>
      </w:r>
      <w:r>
        <w:rPr>
          <w:w w:val="115"/>
        </w:rPr>
        <w:t>Guerra</w:t>
      </w:r>
      <w:r>
        <w:rPr>
          <w:spacing w:val="-7"/>
          <w:w w:val="115"/>
        </w:rPr>
        <w:t> </w:t>
      </w:r>
      <w:r>
        <w:rPr>
          <w:w w:val="115"/>
        </w:rPr>
        <w:t>Fría,</w:t>
      </w:r>
      <w:r>
        <w:rPr>
          <w:spacing w:val="-7"/>
          <w:w w:val="115"/>
        </w:rPr>
        <w:t> </w:t>
      </w:r>
      <w:r>
        <w:rPr>
          <w:w w:val="115"/>
        </w:rPr>
        <w:t>américa</w:t>
      </w:r>
      <w:r>
        <w:rPr>
          <w:spacing w:val="-7"/>
          <w:w w:val="115"/>
        </w:rPr>
        <w:t> </w:t>
      </w:r>
      <w:r>
        <w:rPr>
          <w:w w:val="115"/>
        </w:rPr>
        <w:t>afronta</w:t>
      </w:r>
      <w:r>
        <w:rPr>
          <w:spacing w:val="-7"/>
          <w:w w:val="115"/>
        </w:rPr>
        <w:t> </w:t>
      </w:r>
      <w:r>
        <w:rPr>
          <w:w w:val="115"/>
        </w:rPr>
        <w:t>una</w:t>
      </w:r>
      <w:r>
        <w:rPr>
          <w:spacing w:val="-7"/>
          <w:w w:val="115"/>
        </w:rPr>
        <w:t> </w:t>
      </w:r>
      <w:r>
        <w:rPr>
          <w:w w:val="115"/>
        </w:rPr>
        <w:t>oportunidad</w:t>
      </w:r>
      <w:r>
        <w:rPr>
          <w:spacing w:val="-7"/>
          <w:w w:val="115"/>
        </w:rPr>
        <w:t> </w:t>
      </w:r>
      <w:r>
        <w:rPr>
          <w:w w:val="115"/>
        </w:rPr>
        <w:t>y</w:t>
      </w:r>
      <w:r>
        <w:rPr>
          <w:spacing w:val="-7"/>
          <w:w w:val="115"/>
        </w:rPr>
        <w:t> </w:t>
      </w:r>
      <w:r>
        <w:rPr>
          <w:w w:val="115"/>
        </w:rPr>
        <w:t>un</w:t>
      </w:r>
      <w:r>
        <w:rPr>
          <w:spacing w:val="-7"/>
          <w:w w:val="115"/>
        </w:rPr>
        <w:t> </w:t>
      </w:r>
      <w:r>
        <w:rPr>
          <w:w w:val="115"/>
        </w:rPr>
        <w:t>reto:</w:t>
      </w:r>
      <w:r>
        <w:rPr>
          <w:spacing w:val="-7"/>
          <w:w w:val="115"/>
        </w:rPr>
        <w:t> </w:t>
      </w:r>
      <w:r>
        <w:rPr>
          <w:w w:val="115"/>
        </w:rPr>
        <w:t>¿tiene Estados</w:t>
      </w:r>
      <w:r>
        <w:rPr>
          <w:spacing w:val="-14"/>
          <w:w w:val="115"/>
        </w:rPr>
        <w:t> </w:t>
      </w:r>
      <w:r>
        <w:rPr>
          <w:w w:val="115"/>
        </w:rPr>
        <w:t>unidos</w:t>
      </w:r>
      <w:r>
        <w:rPr>
          <w:spacing w:val="-14"/>
          <w:w w:val="115"/>
        </w:rPr>
        <w:t> </w:t>
      </w:r>
      <w:r>
        <w:rPr>
          <w:w w:val="115"/>
        </w:rPr>
        <w:t>un</w:t>
      </w:r>
      <w:r>
        <w:rPr>
          <w:spacing w:val="-14"/>
          <w:w w:val="115"/>
        </w:rPr>
        <w:t> </w:t>
      </w:r>
      <w:r>
        <w:rPr>
          <w:w w:val="115"/>
        </w:rPr>
        <w:t>enfoque</w:t>
      </w:r>
      <w:r>
        <w:rPr>
          <w:spacing w:val="-14"/>
          <w:w w:val="115"/>
        </w:rPr>
        <w:t> </w:t>
      </w:r>
      <w:r>
        <w:rPr>
          <w:w w:val="115"/>
        </w:rPr>
        <w:t>claro</w:t>
      </w:r>
      <w:r>
        <w:rPr>
          <w:spacing w:val="-14"/>
          <w:w w:val="115"/>
        </w:rPr>
        <w:t> </w:t>
      </w:r>
      <w:r>
        <w:rPr>
          <w:w w:val="115"/>
        </w:rPr>
        <w:t>para</w:t>
      </w:r>
      <w:r>
        <w:rPr>
          <w:spacing w:val="-14"/>
          <w:w w:val="115"/>
        </w:rPr>
        <w:t> </w:t>
      </w:r>
      <w:r>
        <w:rPr>
          <w:w w:val="115"/>
        </w:rPr>
        <w:t>seguir</w:t>
      </w:r>
      <w:r>
        <w:rPr>
          <w:spacing w:val="-14"/>
          <w:w w:val="115"/>
        </w:rPr>
        <w:t> </w:t>
      </w:r>
      <w:r>
        <w:rPr>
          <w:w w:val="115"/>
        </w:rPr>
        <w:t>construyendo</w:t>
      </w:r>
      <w:r>
        <w:rPr>
          <w:spacing w:val="-14"/>
          <w:w w:val="115"/>
        </w:rPr>
        <w:t> </w:t>
      </w:r>
      <w:r>
        <w:rPr>
          <w:w w:val="115"/>
        </w:rPr>
        <w:t>sobre</w:t>
      </w:r>
      <w:r>
        <w:rPr>
          <w:spacing w:val="-14"/>
          <w:w w:val="115"/>
        </w:rPr>
        <w:t> </w:t>
      </w:r>
      <w:r>
        <w:rPr>
          <w:w w:val="115"/>
        </w:rPr>
        <w:t>los logros</w:t>
      </w:r>
      <w:r>
        <w:rPr>
          <w:spacing w:val="-19"/>
          <w:w w:val="115"/>
        </w:rPr>
        <w:t> </w:t>
      </w:r>
      <w:r>
        <w:rPr>
          <w:w w:val="115"/>
        </w:rPr>
        <w:t>alcanzados</w:t>
      </w:r>
      <w:r>
        <w:rPr>
          <w:spacing w:val="-19"/>
          <w:w w:val="115"/>
        </w:rPr>
        <w:t> </w:t>
      </w:r>
      <w:r>
        <w:rPr>
          <w:w w:val="115"/>
        </w:rPr>
        <w:t>en</w:t>
      </w:r>
      <w:r>
        <w:rPr>
          <w:spacing w:val="-19"/>
          <w:w w:val="115"/>
        </w:rPr>
        <w:t> </w:t>
      </w:r>
      <w:r>
        <w:rPr>
          <w:w w:val="115"/>
        </w:rPr>
        <w:t>las</w:t>
      </w:r>
      <w:r>
        <w:rPr>
          <w:spacing w:val="-19"/>
          <w:w w:val="115"/>
        </w:rPr>
        <w:t> </w:t>
      </w:r>
      <w:r>
        <w:rPr>
          <w:w w:val="115"/>
        </w:rPr>
        <w:t>décadas</w:t>
      </w:r>
      <w:r>
        <w:rPr>
          <w:spacing w:val="-19"/>
          <w:w w:val="115"/>
        </w:rPr>
        <w:t> </w:t>
      </w:r>
      <w:r>
        <w:rPr>
          <w:w w:val="115"/>
        </w:rPr>
        <w:t>pasadas,</w:t>
      </w:r>
      <w:r>
        <w:rPr>
          <w:spacing w:val="-19"/>
          <w:w w:val="115"/>
        </w:rPr>
        <w:t> </w:t>
      </w:r>
      <w:r>
        <w:rPr>
          <w:w w:val="115"/>
        </w:rPr>
        <w:t>tiene</w:t>
      </w:r>
      <w:r>
        <w:rPr>
          <w:spacing w:val="-19"/>
          <w:w w:val="115"/>
        </w:rPr>
        <w:t> </w:t>
      </w:r>
      <w:r>
        <w:rPr>
          <w:w w:val="115"/>
        </w:rPr>
        <w:t>Estados</w:t>
      </w:r>
      <w:r>
        <w:rPr>
          <w:spacing w:val="-19"/>
          <w:w w:val="115"/>
        </w:rPr>
        <w:t> </w:t>
      </w:r>
      <w:r>
        <w:rPr>
          <w:w w:val="115"/>
        </w:rPr>
        <w:t>unidos</w:t>
      </w:r>
      <w:r>
        <w:rPr>
          <w:spacing w:val="-19"/>
          <w:w w:val="115"/>
        </w:rPr>
        <w:t> </w:t>
      </w:r>
      <w:r>
        <w:rPr>
          <w:w w:val="115"/>
        </w:rPr>
        <w:t>el</w:t>
      </w:r>
      <w:r>
        <w:rPr>
          <w:spacing w:val="-19"/>
          <w:w w:val="115"/>
        </w:rPr>
        <w:t> </w:t>
      </w:r>
      <w:r>
        <w:rPr>
          <w:w w:val="115"/>
        </w:rPr>
        <w:t>va- lor</w:t>
      </w:r>
      <w:r>
        <w:rPr>
          <w:spacing w:val="-27"/>
          <w:w w:val="115"/>
        </w:rPr>
        <w:t> </w:t>
      </w:r>
      <w:r>
        <w:rPr>
          <w:w w:val="115"/>
        </w:rPr>
        <w:t>para</w:t>
      </w:r>
      <w:r>
        <w:rPr>
          <w:spacing w:val="-27"/>
          <w:w w:val="115"/>
        </w:rPr>
        <w:t> </w:t>
      </w:r>
      <w:r>
        <w:rPr>
          <w:w w:val="115"/>
        </w:rPr>
        <w:t>establecer</w:t>
      </w:r>
      <w:r>
        <w:rPr>
          <w:spacing w:val="-27"/>
          <w:w w:val="115"/>
        </w:rPr>
        <w:t> </w:t>
      </w:r>
      <w:r>
        <w:rPr>
          <w:w w:val="115"/>
        </w:rPr>
        <w:t>y</w:t>
      </w:r>
      <w:r>
        <w:rPr>
          <w:spacing w:val="-27"/>
          <w:w w:val="115"/>
        </w:rPr>
        <w:t> </w:t>
      </w:r>
      <w:r>
        <w:rPr>
          <w:w w:val="115"/>
        </w:rPr>
        <w:t>defender</w:t>
      </w:r>
      <w:r>
        <w:rPr>
          <w:spacing w:val="-27"/>
          <w:w w:val="115"/>
        </w:rPr>
        <w:t> </w:t>
      </w:r>
      <w:r>
        <w:rPr>
          <w:w w:val="115"/>
        </w:rPr>
        <w:t>los</w:t>
      </w:r>
      <w:r>
        <w:rPr>
          <w:spacing w:val="-27"/>
          <w:w w:val="115"/>
        </w:rPr>
        <w:t> </w:t>
      </w:r>
      <w:r>
        <w:rPr>
          <w:w w:val="115"/>
        </w:rPr>
        <w:t>principios</w:t>
      </w:r>
      <w:r>
        <w:rPr>
          <w:spacing w:val="-27"/>
          <w:w w:val="115"/>
        </w:rPr>
        <w:t> </w:t>
      </w:r>
      <w:r>
        <w:rPr>
          <w:w w:val="115"/>
        </w:rPr>
        <w:t>favorables</w:t>
      </w:r>
      <w:r>
        <w:rPr>
          <w:spacing w:val="-27"/>
          <w:w w:val="115"/>
        </w:rPr>
        <w:t> </w:t>
      </w:r>
      <w:r>
        <w:rPr>
          <w:w w:val="115"/>
        </w:rPr>
        <w:t>a</w:t>
      </w:r>
      <w:r>
        <w:rPr>
          <w:spacing w:val="-27"/>
          <w:w w:val="115"/>
        </w:rPr>
        <w:t> </w:t>
      </w:r>
      <w:r>
        <w:rPr>
          <w:w w:val="115"/>
        </w:rPr>
        <w:t>los</w:t>
      </w:r>
      <w:r>
        <w:rPr>
          <w:spacing w:val="-27"/>
          <w:w w:val="115"/>
        </w:rPr>
        <w:t> </w:t>
      </w:r>
      <w:r>
        <w:rPr>
          <w:w w:val="115"/>
        </w:rPr>
        <w:t>intereses americanos? solicitamos una fuerza militar fuerte y preparada</w:t>
      </w:r>
      <w:r>
        <w:rPr>
          <w:spacing w:val="-24"/>
          <w:w w:val="115"/>
        </w:rPr>
        <w:t> </w:t>
      </w:r>
      <w:r>
        <w:rPr>
          <w:w w:val="115"/>
        </w:rPr>
        <w:t>para afrontar los desafíos presentes y futuros; una política exterior que promueva</w:t>
      </w:r>
      <w:r>
        <w:rPr>
          <w:spacing w:val="-10"/>
          <w:w w:val="115"/>
        </w:rPr>
        <w:t> </w:t>
      </w:r>
      <w:r>
        <w:rPr>
          <w:w w:val="115"/>
        </w:rPr>
        <w:t>los</w:t>
      </w:r>
      <w:r>
        <w:rPr>
          <w:spacing w:val="-10"/>
          <w:w w:val="115"/>
        </w:rPr>
        <w:t> </w:t>
      </w:r>
      <w:r>
        <w:rPr>
          <w:w w:val="115"/>
        </w:rPr>
        <w:t>principios</w:t>
      </w:r>
      <w:r>
        <w:rPr>
          <w:spacing w:val="-10"/>
          <w:w w:val="115"/>
        </w:rPr>
        <w:t> </w:t>
      </w:r>
      <w:r>
        <w:rPr>
          <w:w w:val="115"/>
        </w:rPr>
        <w:t>americanos</w:t>
      </w:r>
      <w:r>
        <w:rPr>
          <w:spacing w:val="-10"/>
          <w:w w:val="115"/>
        </w:rPr>
        <w:t> </w:t>
      </w:r>
      <w:r>
        <w:rPr>
          <w:w w:val="115"/>
        </w:rPr>
        <w:t>de</w:t>
      </w:r>
      <w:r>
        <w:rPr>
          <w:spacing w:val="-10"/>
          <w:w w:val="115"/>
        </w:rPr>
        <w:t> </w:t>
      </w:r>
      <w:r>
        <w:rPr>
          <w:w w:val="115"/>
        </w:rPr>
        <w:t>manera</w:t>
      </w:r>
      <w:r>
        <w:rPr>
          <w:spacing w:val="-10"/>
          <w:w w:val="115"/>
        </w:rPr>
        <w:t> </w:t>
      </w:r>
      <w:r>
        <w:rPr>
          <w:w w:val="115"/>
        </w:rPr>
        <w:t>atrevida</w:t>
      </w:r>
      <w:r>
        <w:rPr>
          <w:spacing w:val="-10"/>
          <w:w w:val="115"/>
        </w:rPr>
        <w:t> </w:t>
      </w:r>
      <w:r>
        <w:rPr>
          <w:w w:val="115"/>
        </w:rPr>
        <w:t>y</w:t>
      </w:r>
      <w:r>
        <w:rPr>
          <w:spacing w:val="-10"/>
          <w:w w:val="115"/>
        </w:rPr>
        <w:t> </w:t>
      </w:r>
      <w:r>
        <w:rPr>
          <w:w w:val="115"/>
        </w:rPr>
        <w:t>decidida; y</w:t>
      </w:r>
      <w:r>
        <w:rPr>
          <w:spacing w:val="-14"/>
          <w:w w:val="115"/>
        </w:rPr>
        <w:t> </w:t>
      </w:r>
      <w:r>
        <w:rPr>
          <w:w w:val="115"/>
        </w:rPr>
        <w:t>un</w:t>
      </w:r>
      <w:r>
        <w:rPr>
          <w:spacing w:val="-14"/>
          <w:w w:val="115"/>
        </w:rPr>
        <w:t> </w:t>
      </w:r>
      <w:r>
        <w:rPr>
          <w:w w:val="115"/>
        </w:rPr>
        <w:t>liderazgo</w:t>
      </w:r>
      <w:r>
        <w:rPr>
          <w:spacing w:val="-14"/>
          <w:w w:val="115"/>
        </w:rPr>
        <w:t> </w:t>
      </w:r>
      <w:r>
        <w:rPr>
          <w:w w:val="115"/>
        </w:rPr>
        <w:t>nacional</w:t>
      </w:r>
      <w:r>
        <w:rPr>
          <w:spacing w:val="-14"/>
          <w:w w:val="115"/>
        </w:rPr>
        <w:t> </w:t>
      </w:r>
      <w:r>
        <w:rPr>
          <w:w w:val="115"/>
        </w:rPr>
        <w:t>que</w:t>
      </w:r>
      <w:r>
        <w:rPr>
          <w:spacing w:val="-14"/>
          <w:w w:val="115"/>
        </w:rPr>
        <w:t> </w:t>
      </w:r>
      <w:r>
        <w:rPr>
          <w:w w:val="115"/>
        </w:rPr>
        <w:t>acepte</w:t>
      </w:r>
      <w:r>
        <w:rPr>
          <w:spacing w:val="-14"/>
          <w:w w:val="115"/>
        </w:rPr>
        <w:t> </w:t>
      </w:r>
      <w:r>
        <w:rPr>
          <w:w w:val="115"/>
        </w:rPr>
        <w:t>las</w:t>
      </w:r>
      <w:r>
        <w:rPr>
          <w:spacing w:val="-14"/>
          <w:w w:val="115"/>
        </w:rPr>
        <w:t> </w:t>
      </w:r>
      <w:r>
        <w:rPr>
          <w:w w:val="115"/>
        </w:rPr>
        <w:t>responsabilidades</w:t>
      </w:r>
      <w:r>
        <w:rPr>
          <w:spacing w:val="-14"/>
          <w:w w:val="115"/>
        </w:rPr>
        <w:t> </w:t>
      </w:r>
      <w:r>
        <w:rPr>
          <w:w w:val="115"/>
        </w:rPr>
        <w:t>globales</w:t>
      </w:r>
      <w:r>
        <w:rPr>
          <w:spacing w:val="-14"/>
          <w:w w:val="115"/>
        </w:rPr>
        <w:t> </w:t>
      </w:r>
      <w:r>
        <w:rPr>
          <w:w w:val="115"/>
        </w:rPr>
        <w:t>de Estados</w:t>
      </w:r>
      <w:r>
        <w:rPr>
          <w:spacing w:val="-20"/>
          <w:w w:val="115"/>
        </w:rPr>
        <w:t> </w:t>
      </w:r>
      <w:r>
        <w:rPr>
          <w:w w:val="115"/>
        </w:rPr>
        <w:t>unidos.</w:t>
      </w:r>
      <w:r>
        <w:rPr>
          <w:spacing w:val="-20"/>
          <w:w w:val="115"/>
        </w:rPr>
        <w:t> </w:t>
      </w:r>
      <w:r>
        <w:rPr>
          <w:w w:val="115"/>
        </w:rPr>
        <w:t>[…]</w:t>
      </w:r>
      <w:r>
        <w:rPr>
          <w:spacing w:val="-20"/>
          <w:w w:val="115"/>
        </w:rPr>
        <w:t> </w:t>
      </w:r>
      <w:r>
        <w:rPr>
          <w:w w:val="115"/>
        </w:rPr>
        <w:t>américa</w:t>
      </w:r>
      <w:r>
        <w:rPr>
          <w:spacing w:val="-20"/>
          <w:w w:val="115"/>
        </w:rPr>
        <w:t> </w:t>
      </w:r>
      <w:r>
        <w:rPr>
          <w:w w:val="115"/>
        </w:rPr>
        <w:t>tiene</w:t>
      </w:r>
      <w:r>
        <w:rPr>
          <w:spacing w:val="-20"/>
          <w:w w:val="115"/>
        </w:rPr>
        <w:t> </w:t>
      </w:r>
      <w:r>
        <w:rPr>
          <w:w w:val="115"/>
        </w:rPr>
        <w:t>un</w:t>
      </w:r>
      <w:r>
        <w:rPr>
          <w:spacing w:val="-20"/>
          <w:w w:val="115"/>
        </w:rPr>
        <w:t> </w:t>
      </w:r>
      <w:r>
        <w:rPr>
          <w:w w:val="115"/>
        </w:rPr>
        <w:t>papel</w:t>
      </w:r>
      <w:r>
        <w:rPr>
          <w:spacing w:val="-20"/>
          <w:w w:val="115"/>
        </w:rPr>
        <w:t> </w:t>
      </w:r>
      <w:r>
        <w:rPr>
          <w:w w:val="115"/>
        </w:rPr>
        <w:t>vital</w:t>
      </w:r>
      <w:r>
        <w:rPr>
          <w:spacing w:val="-20"/>
          <w:w w:val="115"/>
        </w:rPr>
        <w:t> </w:t>
      </w:r>
      <w:r>
        <w:rPr>
          <w:w w:val="115"/>
        </w:rPr>
        <w:t>en</w:t>
      </w:r>
      <w:r>
        <w:rPr>
          <w:spacing w:val="-20"/>
          <w:w w:val="115"/>
        </w:rPr>
        <w:t> </w:t>
      </w:r>
      <w:r>
        <w:rPr>
          <w:w w:val="115"/>
        </w:rPr>
        <w:t>el</w:t>
      </w:r>
      <w:r>
        <w:rPr>
          <w:spacing w:val="-20"/>
          <w:w w:val="115"/>
        </w:rPr>
        <w:t> </w:t>
      </w:r>
      <w:r>
        <w:rPr>
          <w:w w:val="115"/>
        </w:rPr>
        <w:t>mantenimiento de</w:t>
      </w:r>
      <w:r>
        <w:rPr>
          <w:spacing w:val="-6"/>
          <w:w w:val="115"/>
        </w:rPr>
        <w:t> </w:t>
      </w:r>
      <w:r>
        <w:rPr>
          <w:w w:val="115"/>
        </w:rPr>
        <w:t>la</w:t>
      </w:r>
      <w:r>
        <w:rPr>
          <w:spacing w:val="-6"/>
          <w:w w:val="115"/>
        </w:rPr>
        <w:t> </w:t>
      </w:r>
      <w:r>
        <w:rPr>
          <w:w w:val="115"/>
        </w:rPr>
        <w:t>paz</w:t>
      </w:r>
      <w:r>
        <w:rPr>
          <w:spacing w:val="-6"/>
          <w:w w:val="115"/>
        </w:rPr>
        <w:t> </w:t>
      </w:r>
      <w:r>
        <w:rPr>
          <w:w w:val="115"/>
        </w:rPr>
        <w:t>y</w:t>
      </w:r>
      <w:r>
        <w:rPr>
          <w:spacing w:val="-6"/>
          <w:w w:val="115"/>
        </w:rPr>
        <w:t> </w:t>
      </w:r>
      <w:r>
        <w:rPr>
          <w:w w:val="115"/>
        </w:rPr>
        <w:t>la</w:t>
      </w:r>
      <w:r>
        <w:rPr>
          <w:spacing w:val="-6"/>
          <w:w w:val="115"/>
        </w:rPr>
        <w:t> </w:t>
      </w:r>
      <w:r>
        <w:rPr>
          <w:w w:val="115"/>
        </w:rPr>
        <w:t>seguridad</w:t>
      </w:r>
      <w:r>
        <w:rPr>
          <w:spacing w:val="-6"/>
          <w:w w:val="115"/>
        </w:rPr>
        <w:t> </w:t>
      </w:r>
      <w:r>
        <w:rPr>
          <w:w w:val="115"/>
        </w:rPr>
        <w:t>en</w:t>
      </w:r>
      <w:r>
        <w:rPr>
          <w:spacing w:val="-6"/>
          <w:w w:val="115"/>
        </w:rPr>
        <w:t> </w:t>
      </w:r>
      <w:r>
        <w:rPr>
          <w:w w:val="115"/>
        </w:rPr>
        <w:t>Europa,</w:t>
      </w:r>
      <w:r>
        <w:rPr>
          <w:spacing w:val="-6"/>
          <w:w w:val="115"/>
        </w:rPr>
        <w:t> </w:t>
      </w:r>
      <w:r>
        <w:rPr>
          <w:w w:val="115"/>
        </w:rPr>
        <w:t>asia</w:t>
      </w:r>
      <w:r>
        <w:rPr>
          <w:spacing w:val="-6"/>
          <w:w w:val="115"/>
        </w:rPr>
        <w:t> </w:t>
      </w:r>
      <w:r>
        <w:rPr>
          <w:w w:val="115"/>
        </w:rPr>
        <w:t>y</w:t>
      </w:r>
      <w:r>
        <w:rPr>
          <w:spacing w:val="-6"/>
          <w:w w:val="115"/>
        </w:rPr>
        <w:t> </w:t>
      </w:r>
      <w:r>
        <w:rPr>
          <w:w w:val="115"/>
        </w:rPr>
        <w:t>oriente</w:t>
      </w:r>
      <w:r>
        <w:rPr>
          <w:spacing w:val="-6"/>
          <w:w w:val="115"/>
        </w:rPr>
        <w:t> </w:t>
      </w:r>
      <w:r>
        <w:rPr>
          <w:w w:val="115"/>
        </w:rPr>
        <w:t>Medio.</w:t>
      </w:r>
      <w:r>
        <w:rPr>
          <w:spacing w:val="-6"/>
          <w:w w:val="115"/>
        </w:rPr>
        <w:t> </w:t>
      </w:r>
      <w:r>
        <w:rPr>
          <w:w w:val="115"/>
        </w:rPr>
        <w:t>si</w:t>
      </w:r>
      <w:r>
        <w:rPr>
          <w:spacing w:val="-6"/>
          <w:w w:val="115"/>
        </w:rPr>
        <w:t> </w:t>
      </w:r>
      <w:r>
        <w:rPr>
          <w:w w:val="115"/>
        </w:rPr>
        <w:t>eludimos </w:t>
      </w:r>
      <w:r>
        <w:rPr>
          <w:w w:val="110"/>
        </w:rPr>
        <w:t>nuestras</w:t>
      </w:r>
      <w:r>
        <w:rPr>
          <w:spacing w:val="-6"/>
          <w:w w:val="110"/>
        </w:rPr>
        <w:t> </w:t>
      </w:r>
      <w:r>
        <w:rPr>
          <w:w w:val="110"/>
        </w:rPr>
        <w:t>responsabilidades</w:t>
      </w:r>
      <w:r>
        <w:rPr>
          <w:spacing w:val="-6"/>
          <w:w w:val="110"/>
        </w:rPr>
        <w:t> </w:t>
      </w:r>
      <w:r>
        <w:rPr>
          <w:w w:val="110"/>
        </w:rPr>
        <w:t>podríamos</w:t>
      </w:r>
      <w:r>
        <w:rPr>
          <w:spacing w:val="-6"/>
          <w:w w:val="110"/>
        </w:rPr>
        <w:t> </w:t>
      </w:r>
      <w:r>
        <w:rPr>
          <w:w w:val="110"/>
        </w:rPr>
        <w:t>poner</w:t>
      </w:r>
      <w:r>
        <w:rPr>
          <w:spacing w:val="-6"/>
          <w:w w:val="110"/>
        </w:rPr>
        <w:t> </w:t>
      </w:r>
      <w:r>
        <w:rPr>
          <w:w w:val="110"/>
        </w:rPr>
        <w:t>en</w:t>
      </w:r>
      <w:r>
        <w:rPr>
          <w:spacing w:val="-6"/>
          <w:w w:val="110"/>
        </w:rPr>
        <w:t> </w:t>
      </w:r>
      <w:r>
        <w:rPr>
          <w:w w:val="110"/>
        </w:rPr>
        <w:t>peligro</w:t>
      </w:r>
      <w:r>
        <w:rPr>
          <w:spacing w:val="-6"/>
          <w:w w:val="110"/>
        </w:rPr>
        <w:t> </w:t>
      </w:r>
      <w:r>
        <w:rPr>
          <w:w w:val="110"/>
        </w:rPr>
        <w:t>nuestros</w:t>
      </w:r>
      <w:r>
        <w:rPr>
          <w:spacing w:val="-6"/>
          <w:w w:val="110"/>
        </w:rPr>
        <w:t> </w:t>
      </w:r>
      <w:r>
        <w:rPr>
          <w:w w:val="110"/>
        </w:rPr>
        <w:t>inte- </w:t>
      </w:r>
      <w:r>
        <w:rPr>
          <w:w w:val="115"/>
        </w:rPr>
        <w:t>reses</w:t>
      </w:r>
      <w:r>
        <w:rPr>
          <w:spacing w:val="-23"/>
          <w:w w:val="115"/>
        </w:rPr>
        <w:t> </w:t>
      </w:r>
      <w:r>
        <w:rPr>
          <w:w w:val="115"/>
        </w:rPr>
        <w:t>fundamentales”</w:t>
      </w:r>
      <w:r>
        <w:rPr>
          <w:spacing w:val="-23"/>
          <w:w w:val="115"/>
        </w:rPr>
        <w:t> </w:t>
      </w:r>
      <w:r>
        <w:rPr>
          <w:w w:val="115"/>
        </w:rPr>
        <w:t>(citado</w:t>
      </w:r>
      <w:r>
        <w:rPr>
          <w:spacing w:val="-23"/>
          <w:w w:val="115"/>
        </w:rPr>
        <w:t> </w:t>
      </w:r>
      <w:r>
        <w:rPr>
          <w:w w:val="115"/>
        </w:rPr>
        <w:t>en</w:t>
      </w:r>
      <w:r>
        <w:rPr>
          <w:spacing w:val="-23"/>
          <w:w w:val="115"/>
        </w:rPr>
        <w:t> </w:t>
      </w:r>
      <w:r>
        <w:rPr>
          <w:w w:val="115"/>
        </w:rPr>
        <w:t>alarcón</w:t>
      </w:r>
      <w:r>
        <w:rPr>
          <w:spacing w:val="-23"/>
          <w:w w:val="115"/>
        </w:rPr>
        <w:t> </w:t>
      </w:r>
      <w:r>
        <w:rPr>
          <w:w w:val="115"/>
        </w:rPr>
        <w:t>y</w:t>
      </w:r>
      <w:r>
        <w:rPr>
          <w:spacing w:val="-23"/>
          <w:w w:val="115"/>
        </w:rPr>
        <w:t> </w:t>
      </w:r>
      <w:r>
        <w:rPr>
          <w:w w:val="115"/>
        </w:rPr>
        <w:t>soriano,</w:t>
      </w:r>
      <w:r>
        <w:rPr>
          <w:spacing w:val="-23"/>
          <w:w w:val="115"/>
        </w:rPr>
        <w:t> </w:t>
      </w:r>
      <w:r>
        <w:rPr>
          <w:w w:val="115"/>
        </w:rPr>
        <w:t>2004:</w:t>
      </w:r>
      <w:r>
        <w:rPr>
          <w:spacing w:val="-23"/>
          <w:w w:val="115"/>
        </w:rPr>
        <w:t> </w:t>
      </w:r>
      <w:r>
        <w:rPr>
          <w:w w:val="115"/>
        </w:rPr>
        <w:t>121).</w:t>
      </w:r>
    </w:p>
    <w:p>
      <w:pPr>
        <w:pStyle w:val="BodyText"/>
        <w:spacing w:line="252" w:lineRule="auto"/>
        <w:ind w:left="100" w:right="327" w:firstLine="396"/>
        <w:jc w:val="both"/>
      </w:pPr>
      <w:r>
        <w:rPr>
          <w:w w:val="110"/>
        </w:rPr>
        <w:t>desde entonces los neoconservadores entienden que los</w:t>
      </w:r>
      <w:r>
        <w:rPr>
          <w:spacing w:val="-18"/>
          <w:w w:val="110"/>
        </w:rPr>
        <w:t> </w:t>
      </w:r>
      <w:r>
        <w:rPr>
          <w:w w:val="110"/>
        </w:rPr>
        <w:t>intereses estratégicos de los Estados unidos se encuentran en Eurasia y en el Medio oriente y que la posibilidad de poder cumplir con sus “res- ponsabilidades globales”, léase preservar su hegemonía, tiene que ver con la capacidad de disponer de una “fuerza militar fuerte”. Era una manera de volver sobre postulados iniciales materializados durante</w:t>
      </w:r>
      <w:r>
        <w:rPr>
          <w:spacing w:val="-7"/>
          <w:w w:val="110"/>
        </w:rPr>
        <w:t> </w:t>
      </w:r>
      <w:r>
        <w:rPr>
          <w:w w:val="110"/>
        </w:rPr>
        <w:t>la administración reagan, a la vez que la reiteración de la insuficiencia de la escalada belicista desplegada desde los ochenta para evitar la declinación hegemónica. de allí que, a pesar de los constreñimientos económicos, urgieran volver por la primacía de las armas. se trata, desde luego, de sobreponer sus intereses sobre cualquier otra consi- deración, sobre el supuesto de que éstos se sustentan en sus valores fundacionales que son de carácter universal. Es el </w:t>
      </w:r>
      <w:r>
        <w:rPr>
          <w:i/>
          <w:w w:val="110"/>
        </w:rPr>
        <w:t>excepcionalismo </w:t>
      </w:r>
      <w:r>
        <w:rPr>
          <w:w w:val="110"/>
        </w:rPr>
        <w:t>del que han hecho gala y que ha sido invocado como pretexto para tratar de legitimar su prolongada historia guerrera. Con fundamento en la reivindicación de sus valores, de su poderío económico y superiori- dad militar desconocen el derecho a la existencia de los otros. Ese es el sentido que tuvo el bombardeo atómico de Hiroshima y Nagasaki: la demostración de su superioridad y la afirmación de una voluntad indeclinable de no aceptar la subsistencia o emergencia de un poder rival que ponga en cuestión su hegemonía. “américa para los</w:t>
      </w:r>
      <w:r>
        <w:rPr>
          <w:spacing w:val="26"/>
          <w:w w:val="110"/>
        </w:rPr>
        <w:t> </w:t>
      </w:r>
      <w:r>
        <w:rPr>
          <w:w w:val="110"/>
        </w:rPr>
        <w:t>america-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nos”, la clásica expresión de la doctrina Monroe, muta en la fórmula  de “muchas zonas del mundo para los americanos”. desde luego la legitimación de su dominación requiere la satanización del adversario o del rival en potencia. En el orden bipolar que caracterizó a la Guerra Fría, la “amenaza comunista” fue la encarnación del mal como expre- sión de la antidemocracia y negación de la libertad. simbólicamente   el “Gulag” era la representación de la barbarie del orden social “co- munista”. En la post Guerra Fría otros son los “inferiores” a los que se les niega el derecho a la existencia por ser los nuevos “ejes del </w:t>
      </w:r>
      <w:r>
        <w:rPr>
          <w:spacing w:val="23"/>
          <w:w w:val="110"/>
        </w:rPr>
        <w:t> </w:t>
      </w:r>
      <w:r>
        <w:rPr>
          <w:w w:val="110"/>
        </w:rPr>
        <w:t>mal”.</w:t>
      </w:r>
    </w:p>
    <w:p>
      <w:pPr>
        <w:pStyle w:val="BodyText"/>
        <w:spacing w:line="252" w:lineRule="auto"/>
        <w:ind w:left="330" w:right="117" w:firstLine="396"/>
        <w:jc w:val="both"/>
      </w:pPr>
      <w:r>
        <w:rPr>
          <w:w w:val="110"/>
        </w:rPr>
        <w:t>En el documento que comentamos, presentado en el año 2000, afirman categóricamente que “Estados unidos tiene una oportunidad estratégica sin precedentes. No tienen ningún desafío por parte de al- gún otro gran poder; está bendecido por la riqueza y por otros aliados poderosos y democráticos en todas las partes del mundo; está en me- dio de la mayor expansión económica de la historia; y sus principios económicos y políticos son casi universales. Nunca antes en la historia el orden de seguridad internacional ha favorecido tanto los ideales      e intereses de américa. El desafío para el nuevo siglo es preservar y fortalecer esta “paz americana”. [Y si en el pasado] “El objetivo de       la estrategia americana solía ser contener a la unión soviética, hoy     la misión es asegurar la seguridad internacional para preservar los intereses e ideales americanos. El trabajo de los militares durante la Guerra Fría fue impedir el expansionismo soviético. En la actualidad su tarea es asegurar y expandir las “zonas de paz democráticas” para impedir la emergencia de un gran poder competidor; defendiendo re- giones clave de Europa, asia del Este y oriente Próximo y conservan- do la supremacía americana a través de la introducción de las nuevas tecnologías y la transformación de la guerra convencional… durante  la Guerra Fría américa consiguió su seguridad “al por mayor” a través de una fuerza de disuasión global de la unión soviética. actualmente, la misma seguridad sólo se puede lograr a un nivel “al por menor”, a través de una fuerza de disuasión o, cuando sea necesario, actuar para proteger los intereses y principios americanos” (citado en alarcón y soriano, 2004: 126 y</w:t>
      </w:r>
      <w:r>
        <w:rPr>
          <w:spacing w:val="-3"/>
          <w:w w:val="110"/>
        </w:rPr>
        <w:t> </w:t>
      </w:r>
      <w:r>
        <w:rPr>
          <w:w w:val="110"/>
        </w:rPr>
        <w:t>131).</w:t>
      </w:r>
    </w:p>
    <w:p>
      <w:pPr>
        <w:pStyle w:val="BodyText"/>
        <w:spacing w:before="5"/>
      </w:pPr>
    </w:p>
    <w:p>
      <w:pPr>
        <w:pStyle w:val="Heading6"/>
        <w:spacing w:line="244" w:lineRule="auto"/>
        <w:ind w:left="330" w:right="1239"/>
        <w:jc w:val="left"/>
      </w:pPr>
      <w:r>
        <w:rPr>
          <w:w w:val="135"/>
        </w:rPr>
        <w:t>atentados</w:t>
      </w:r>
      <w:r>
        <w:rPr>
          <w:spacing w:val="-40"/>
          <w:w w:val="135"/>
        </w:rPr>
        <w:t> </w:t>
      </w:r>
      <w:r>
        <w:rPr>
          <w:w w:val="135"/>
        </w:rPr>
        <w:t>del</w:t>
      </w:r>
      <w:r>
        <w:rPr>
          <w:spacing w:val="-41"/>
          <w:w w:val="135"/>
        </w:rPr>
        <w:t> </w:t>
      </w:r>
      <w:r>
        <w:rPr>
          <w:w w:val="135"/>
        </w:rPr>
        <w:t>11</w:t>
      </w:r>
      <w:r>
        <w:rPr>
          <w:spacing w:val="-41"/>
          <w:w w:val="135"/>
        </w:rPr>
        <w:t> </w:t>
      </w:r>
      <w:r>
        <w:rPr>
          <w:w w:val="135"/>
        </w:rPr>
        <w:t>de</w:t>
      </w:r>
      <w:r>
        <w:rPr>
          <w:spacing w:val="-40"/>
          <w:w w:val="135"/>
        </w:rPr>
        <w:t> </w:t>
      </w:r>
      <w:r>
        <w:rPr>
          <w:spacing w:val="2"/>
          <w:w w:val="135"/>
        </w:rPr>
        <w:t>sePtieMBre</w:t>
      </w:r>
      <w:r>
        <w:rPr>
          <w:spacing w:val="-40"/>
          <w:w w:val="135"/>
        </w:rPr>
        <w:t> </w:t>
      </w:r>
      <w:r>
        <w:rPr>
          <w:w w:val="135"/>
        </w:rPr>
        <w:t>o</w:t>
      </w:r>
      <w:r>
        <w:rPr>
          <w:spacing w:val="-40"/>
          <w:w w:val="135"/>
        </w:rPr>
        <w:t> </w:t>
      </w:r>
      <w:r>
        <w:rPr>
          <w:w w:val="135"/>
        </w:rPr>
        <w:t>del</w:t>
      </w:r>
      <w:r>
        <w:rPr>
          <w:spacing w:val="-40"/>
          <w:w w:val="135"/>
        </w:rPr>
        <w:t> </w:t>
      </w:r>
      <w:r>
        <w:rPr>
          <w:spacing w:val="2"/>
          <w:w w:val="135"/>
        </w:rPr>
        <w:t>esPerado </w:t>
      </w:r>
      <w:r>
        <w:rPr>
          <w:spacing w:val="2"/>
          <w:w w:val="120"/>
        </w:rPr>
        <w:t>“Pearl</w:t>
      </w:r>
      <w:r>
        <w:rPr>
          <w:spacing w:val="7"/>
          <w:w w:val="120"/>
        </w:rPr>
        <w:t> </w:t>
      </w:r>
      <w:r>
        <w:rPr>
          <w:w w:val="120"/>
        </w:rPr>
        <w:t>HarBor”</w:t>
      </w:r>
    </w:p>
    <w:p>
      <w:pPr>
        <w:pStyle w:val="BodyText"/>
        <w:spacing w:line="252" w:lineRule="auto" w:before="5"/>
        <w:ind w:left="330" w:right="116"/>
        <w:jc w:val="both"/>
      </w:pPr>
      <w:r>
        <w:rPr>
          <w:w w:val="110"/>
        </w:rPr>
        <w:t>El republicano George </w:t>
      </w:r>
      <w:r>
        <w:rPr>
          <w:spacing w:val="-11"/>
          <w:w w:val="110"/>
        </w:rPr>
        <w:t>W. </w:t>
      </w:r>
      <w:r>
        <w:rPr>
          <w:w w:val="110"/>
        </w:rPr>
        <w:t>bush asumió la presidencia en enero  de 2001, acompañado como hemos dicho de algunos de los integrantes    e inspiradores del PNaC. ocho meses después se produjeron los aten- tados terroristas del 11 de septiembre, el “Pearl Harbor” que marca- ría en forma indeleble el amanecer del nuevo siglo. Para bush </w:t>
      </w:r>
      <w:r>
        <w:rPr>
          <w:spacing w:val="-7"/>
          <w:w w:val="110"/>
        </w:rPr>
        <w:t>Jr.  </w:t>
      </w:r>
      <w:r>
        <w:rPr>
          <w:w w:val="110"/>
        </w:rPr>
        <w:t>fue  el factor legitimador del recurso a la coerción para castigar el </w:t>
      </w:r>
      <w:r>
        <w:rPr>
          <w:spacing w:val="10"/>
          <w:w w:val="110"/>
        </w:rPr>
        <w:t> </w:t>
      </w:r>
      <w:r>
        <w:rPr>
          <w:w w:val="110"/>
        </w:rPr>
        <w:t>desafío</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terrorista, poder emergente no necesariamente asociado a un Esta-  do en particular ni ligado a un territorio determinado; desafío que aparecía dotado del don de la ubicuidad, atributo des-divinizado que tomaba cuerpo en una suerte de fuerzas satánicas, las encarnaciones del mal o “ejes del mal”. Contexto complejo en el que los “halcones” republicanos desplegaron sus alas sobre el planeta y lograron un apo- yo casi universal a los términos en los que plantearon la “guerra mun- dial contra el</w:t>
      </w:r>
      <w:r>
        <w:rPr>
          <w:spacing w:val="35"/>
          <w:w w:val="110"/>
        </w:rPr>
        <w:t> </w:t>
      </w:r>
      <w:r>
        <w:rPr>
          <w:w w:val="110"/>
        </w:rPr>
        <w:t>terrorismo”.</w:t>
      </w:r>
    </w:p>
    <w:p>
      <w:pPr>
        <w:pStyle w:val="BodyText"/>
        <w:spacing w:line="252" w:lineRule="auto"/>
        <w:ind w:left="100" w:right="327" w:firstLine="396"/>
        <w:jc w:val="both"/>
      </w:pPr>
      <w:r>
        <w:rPr>
          <w:w w:val="115"/>
        </w:rPr>
        <w:t>Con</w:t>
      </w:r>
      <w:r>
        <w:rPr>
          <w:spacing w:val="-13"/>
          <w:w w:val="115"/>
        </w:rPr>
        <w:t> </w:t>
      </w:r>
      <w:r>
        <w:rPr>
          <w:w w:val="115"/>
        </w:rPr>
        <w:t>la</w:t>
      </w:r>
      <w:r>
        <w:rPr>
          <w:spacing w:val="-13"/>
          <w:w w:val="115"/>
        </w:rPr>
        <w:t> </w:t>
      </w:r>
      <w:r>
        <w:rPr>
          <w:w w:val="115"/>
        </w:rPr>
        <w:t>definición</w:t>
      </w:r>
      <w:r>
        <w:rPr>
          <w:spacing w:val="-13"/>
          <w:w w:val="115"/>
        </w:rPr>
        <w:t> </w:t>
      </w:r>
      <w:r>
        <w:rPr>
          <w:w w:val="115"/>
        </w:rPr>
        <w:t>del</w:t>
      </w:r>
      <w:r>
        <w:rPr>
          <w:spacing w:val="-13"/>
          <w:w w:val="115"/>
        </w:rPr>
        <w:t> </w:t>
      </w:r>
      <w:r>
        <w:rPr>
          <w:w w:val="115"/>
        </w:rPr>
        <w:t>terrorismo</w:t>
      </w:r>
      <w:r>
        <w:rPr>
          <w:spacing w:val="-13"/>
          <w:w w:val="115"/>
        </w:rPr>
        <w:t> </w:t>
      </w:r>
      <w:r>
        <w:rPr>
          <w:w w:val="115"/>
        </w:rPr>
        <w:t>como</w:t>
      </w:r>
      <w:r>
        <w:rPr>
          <w:spacing w:val="-13"/>
          <w:w w:val="115"/>
        </w:rPr>
        <w:t> </w:t>
      </w:r>
      <w:r>
        <w:rPr>
          <w:w w:val="115"/>
        </w:rPr>
        <w:t>la</w:t>
      </w:r>
      <w:r>
        <w:rPr>
          <w:spacing w:val="-13"/>
          <w:w w:val="115"/>
        </w:rPr>
        <w:t> </w:t>
      </w:r>
      <w:r>
        <w:rPr>
          <w:w w:val="115"/>
        </w:rPr>
        <w:t>amenaza</w:t>
      </w:r>
      <w:r>
        <w:rPr>
          <w:spacing w:val="-13"/>
          <w:w w:val="115"/>
        </w:rPr>
        <w:t> </w:t>
      </w:r>
      <w:r>
        <w:rPr>
          <w:w w:val="115"/>
        </w:rPr>
        <w:t>principal</w:t>
      </w:r>
      <w:r>
        <w:rPr>
          <w:spacing w:val="-13"/>
          <w:w w:val="115"/>
        </w:rPr>
        <w:t> </w:t>
      </w:r>
      <w:r>
        <w:rPr>
          <w:w w:val="115"/>
        </w:rPr>
        <w:t>con- tra la seguridad los EE.uu. definieron tres tipos de enemigos en tan solo</w:t>
      </w:r>
      <w:r>
        <w:rPr>
          <w:spacing w:val="-5"/>
          <w:w w:val="115"/>
        </w:rPr>
        <w:t> </w:t>
      </w:r>
      <w:r>
        <w:rPr>
          <w:w w:val="115"/>
        </w:rPr>
        <w:t>dos</w:t>
      </w:r>
      <w:r>
        <w:rPr>
          <w:spacing w:val="-5"/>
          <w:w w:val="115"/>
        </w:rPr>
        <w:t> </w:t>
      </w:r>
      <w:r>
        <w:rPr>
          <w:w w:val="115"/>
        </w:rPr>
        <w:t>décadas.</w:t>
      </w:r>
      <w:r>
        <w:rPr>
          <w:spacing w:val="-5"/>
          <w:w w:val="115"/>
        </w:rPr>
        <w:t> </w:t>
      </w:r>
      <w:r>
        <w:rPr>
          <w:w w:val="115"/>
        </w:rPr>
        <w:t>Hasta</w:t>
      </w:r>
      <w:r>
        <w:rPr>
          <w:spacing w:val="-5"/>
          <w:w w:val="115"/>
        </w:rPr>
        <w:t> </w:t>
      </w:r>
      <w:r>
        <w:rPr>
          <w:w w:val="115"/>
        </w:rPr>
        <w:t>el</w:t>
      </w:r>
      <w:r>
        <w:rPr>
          <w:spacing w:val="-5"/>
          <w:w w:val="115"/>
        </w:rPr>
        <w:t> </w:t>
      </w:r>
      <w:r>
        <w:rPr>
          <w:w w:val="115"/>
        </w:rPr>
        <w:t>derrumbe</w:t>
      </w:r>
      <w:r>
        <w:rPr>
          <w:spacing w:val="-5"/>
          <w:w w:val="115"/>
        </w:rPr>
        <w:t> </w:t>
      </w:r>
      <w:r>
        <w:rPr>
          <w:w w:val="115"/>
        </w:rPr>
        <w:t>de</w:t>
      </w:r>
      <w:r>
        <w:rPr>
          <w:spacing w:val="-5"/>
          <w:w w:val="115"/>
        </w:rPr>
        <w:t> </w:t>
      </w:r>
      <w:r>
        <w:rPr>
          <w:w w:val="115"/>
        </w:rPr>
        <w:t>la</w:t>
      </w:r>
      <w:r>
        <w:rPr>
          <w:spacing w:val="-5"/>
          <w:w w:val="115"/>
        </w:rPr>
        <w:t> </w:t>
      </w:r>
      <w:r>
        <w:rPr>
          <w:w w:val="150"/>
        </w:rPr>
        <w:t>urss</w:t>
      </w:r>
      <w:r>
        <w:rPr>
          <w:spacing w:val="-20"/>
          <w:w w:val="150"/>
        </w:rPr>
        <w:t> </w:t>
      </w:r>
      <w:r>
        <w:rPr>
          <w:w w:val="115"/>
        </w:rPr>
        <w:t>y</w:t>
      </w:r>
      <w:r>
        <w:rPr>
          <w:spacing w:val="-5"/>
          <w:w w:val="115"/>
        </w:rPr>
        <w:t> </w:t>
      </w:r>
      <w:r>
        <w:rPr>
          <w:w w:val="115"/>
        </w:rPr>
        <w:t>el</w:t>
      </w:r>
      <w:r>
        <w:rPr>
          <w:spacing w:val="-5"/>
          <w:w w:val="115"/>
        </w:rPr>
        <w:t> </w:t>
      </w:r>
      <w:r>
        <w:rPr>
          <w:w w:val="115"/>
        </w:rPr>
        <w:t>fin</w:t>
      </w:r>
      <w:r>
        <w:rPr>
          <w:spacing w:val="-5"/>
          <w:w w:val="115"/>
        </w:rPr>
        <w:t> </w:t>
      </w:r>
      <w:r>
        <w:rPr>
          <w:w w:val="115"/>
        </w:rPr>
        <w:t>de</w:t>
      </w:r>
      <w:r>
        <w:rPr>
          <w:spacing w:val="-5"/>
          <w:w w:val="115"/>
        </w:rPr>
        <w:t> </w:t>
      </w:r>
      <w:r>
        <w:rPr>
          <w:w w:val="115"/>
        </w:rPr>
        <w:t>la</w:t>
      </w:r>
      <w:r>
        <w:rPr>
          <w:spacing w:val="-5"/>
          <w:w w:val="115"/>
        </w:rPr>
        <w:t> </w:t>
      </w:r>
      <w:r>
        <w:rPr>
          <w:w w:val="115"/>
        </w:rPr>
        <w:t>Guerra Fría el comunismo era el enemigo. Por las concepciones</w:t>
      </w:r>
      <w:r>
        <w:rPr>
          <w:spacing w:val="-32"/>
          <w:w w:val="115"/>
        </w:rPr>
        <w:t> </w:t>
      </w:r>
      <w:r>
        <w:rPr>
          <w:w w:val="115"/>
        </w:rPr>
        <w:t>ideológicas opuestas</w:t>
      </w:r>
      <w:r>
        <w:rPr>
          <w:spacing w:val="-14"/>
          <w:w w:val="115"/>
        </w:rPr>
        <w:t> </w:t>
      </w:r>
      <w:r>
        <w:rPr>
          <w:w w:val="115"/>
        </w:rPr>
        <w:t>a</w:t>
      </w:r>
      <w:r>
        <w:rPr>
          <w:spacing w:val="-14"/>
          <w:w w:val="115"/>
        </w:rPr>
        <w:t> </w:t>
      </w:r>
      <w:r>
        <w:rPr>
          <w:w w:val="115"/>
        </w:rPr>
        <w:t>los</w:t>
      </w:r>
      <w:r>
        <w:rPr>
          <w:spacing w:val="-14"/>
          <w:w w:val="115"/>
        </w:rPr>
        <w:t> </w:t>
      </w:r>
      <w:r>
        <w:rPr>
          <w:w w:val="115"/>
        </w:rPr>
        <w:t>valores</w:t>
      </w:r>
      <w:r>
        <w:rPr>
          <w:spacing w:val="-14"/>
          <w:w w:val="115"/>
        </w:rPr>
        <w:t> </w:t>
      </w:r>
      <w:r>
        <w:rPr>
          <w:w w:val="115"/>
        </w:rPr>
        <w:t>de</w:t>
      </w:r>
      <w:r>
        <w:rPr>
          <w:spacing w:val="-14"/>
          <w:w w:val="115"/>
        </w:rPr>
        <w:t> </w:t>
      </w:r>
      <w:r>
        <w:rPr>
          <w:w w:val="115"/>
        </w:rPr>
        <w:t>las</w:t>
      </w:r>
      <w:r>
        <w:rPr>
          <w:spacing w:val="-14"/>
          <w:w w:val="115"/>
        </w:rPr>
        <w:t> </w:t>
      </w:r>
      <w:r>
        <w:rPr>
          <w:w w:val="115"/>
        </w:rPr>
        <w:t>democracias</w:t>
      </w:r>
      <w:r>
        <w:rPr>
          <w:spacing w:val="-14"/>
          <w:w w:val="115"/>
        </w:rPr>
        <w:t> </w:t>
      </w:r>
      <w:r>
        <w:rPr>
          <w:w w:val="115"/>
        </w:rPr>
        <w:t>liberales</w:t>
      </w:r>
      <w:r>
        <w:rPr>
          <w:spacing w:val="-14"/>
          <w:w w:val="115"/>
        </w:rPr>
        <w:t> </w:t>
      </w:r>
      <w:r>
        <w:rPr>
          <w:w w:val="115"/>
        </w:rPr>
        <w:t>y</w:t>
      </w:r>
      <w:r>
        <w:rPr>
          <w:spacing w:val="-14"/>
          <w:w w:val="115"/>
        </w:rPr>
        <w:t> </w:t>
      </w:r>
      <w:r>
        <w:rPr>
          <w:w w:val="115"/>
        </w:rPr>
        <w:t>la</w:t>
      </w:r>
      <w:r>
        <w:rPr>
          <w:spacing w:val="-14"/>
          <w:w w:val="115"/>
        </w:rPr>
        <w:t> </w:t>
      </w:r>
      <w:r>
        <w:rPr>
          <w:w w:val="115"/>
        </w:rPr>
        <w:t>presencia</w:t>
      </w:r>
      <w:r>
        <w:rPr>
          <w:spacing w:val="-14"/>
          <w:w w:val="115"/>
        </w:rPr>
        <w:t> </w:t>
      </w:r>
      <w:r>
        <w:rPr>
          <w:w w:val="115"/>
        </w:rPr>
        <w:t>po- lítica</w:t>
      </w:r>
      <w:r>
        <w:rPr>
          <w:spacing w:val="-6"/>
          <w:w w:val="115"/>
        </w:rPr>
        <w:t> </w:t>
      </w:r>
      <w:r>
        <w:rPr>
          <w:w w:val="115"/>
        </w:rPr>
        <w:t>de</w:t>
      </w:r>
      <w:r>
        <w:rPr>
          <w:spacing w:val="-6"/>
          <w:w w:val="115"/>
        </w:rPr>
        <w:t> </w:t>
      </w:r>
      <w:r>
        <w:rPr>
          <w:w w:val="115"/>
        </w:rPr>
        <w:t>los</w:t>
      </w:r>
      <w:r>
        <w:rPr>
          <w:spacing w:val="-6"/>
          <w:w w:val="115"/>
        </w:rPr>
        <w:t> </w:t>
      </w:r>
      <w:r>
        <w:rPr>
          <w:w w:val="115"/>
        </w:rPr>
        <w:t>comunistas</w:t>
      </w:r>
      <w:r>
        <w:rPr>
          <w:spacing w:val="-6"/>
          <w:w w:val="115"/>
        </w:rPr>
        <w:t> </w:t>
      </w:r>
      <w:r>
        <w:rPr>
          <w:w w:val="115"/>
        </w:rPr>
        <w:t>en</w:t>
      </w:r>
      <w:r>
        <w:rPr>
          <w:spacing w:val="-6"/>
          <w:w w:val="115"/>
        </w:rPr>
        <w:t> </w:t>
      </w:r>
      <w:r>
        <w:rPr>
          <w:w w:val="115"/>
        </w:rPr>
        <w:t>casi</w:t>
      </w:r>
      <w:r>
        <w:rPr>
          <w:spacing w:val="-6"/>
          <w:w w:val="115"/>
        </w:rPr>
        <w:t> </w:t>
      </w:r>
      <w:r>
        <w:rPr>
          <w:w w:val="115"/>
        </w:rPr>
        <w:t>todos</w:t>
      </w:r>
      <w:r>
        <w:rPr>
          <w:spacing w:val="-6"/>
          <w:w w:val="115"/>
        </w:rPr>
        <w:t> </w:t>
      </w:r>
      <w:r>
        <w:rPr>
          <w:w w:val="115"/>
        </w:rPr>
        <w:t>los</w:t>
      </w:r>
      <w:r>
        <w:rPr>
          <w:spacing w:val="-6"/>
          <w:w w:val="115"/>
        </w:rPr>
        <w:t> </w:t>
      </w:r>
      <w:r>
        <w:rPr>
          <w:w w:val="115"/>
        </w:rPr>
        <w:t>países</w:t>
      </w:r>
      <w:r>
        <w:rPr>
          <w:spacing w:val="-6"/>
          <w:w w:val="115"/>
        </w:rPr>
        <w:t> </w:t>
      </w:r>
      <w:r>
        <w:rPr>
          <w:w w:val="115"/>
        </w:rPr>
        <w:t>del</w:t>
      </w:r>
      <w:r>
        <w:rPr>
          <w:spacing w:val="-6"/>
          <w:w w:val="115"/>
        </w:rPr>
        <w:t> </w:t>
      </w:r>
      <w:r>
        <w:rPr>
          <w:w w:val="115"/>
        </w:rPr>
        <w:t>mundo,</w:t>
      </w:r>
      <w:r>
        <w:rPr>
          <w:spacing w:val="-6"/>
          <w:w w:val="115"/>
        </w:rPr>
        <w:t> </w:t>
      </w:r>
      <w:r>
        <w:rPr>
          <w:w w:val="115"/>
        </w:rPr>
        <w:t>este</w:t>
      </w:r>
      <w:r>
        <w:rPr>
          <w:spacing w:val="-6"/>
          <w:w w:val="115"/>
        </w:rPr>
        <w:t> </w:t>
      </w:r>
      <w:r>
        <w:rPr>
          <w:w w:val="115"/>
        </w:rPr>
        <w:t>tipo de</w:t>
      </w:r>
      <w:r>
        <w:rPr>
          <w:spacing w:val="-11"/>
          <w:w w:val="115"/>
        </w:rPr>
        <w:t> </w:t>
      </w:r>
      <w:r>
        <w:rPr>
          <w:w w:val="115"/>
        </w:rPr>
        <w:t>enemigo</w:t>
      </w:r>
      <w:r>
        <w:rPr>
          <w:spacing w:val="-11"/>
          <w:w w:val="115"/>
        </w:rPr>
        <w:t> </w:t>
      </w:r>
      <w:r>
        <w:rPr>
          <w:w w:val="115"/>
        </w:rPr>
        <w:t>tuvo</w:t>
      </w:r>
      <w:r>
        <w:rPr>
          <w:spacing w:val="-11"/>
          <w:w w:val="115"/>
        </w:rPr>
        <w:t> </w:t>
      </w:r>
      <w:r>
        <w:rPr>
          <w:w w:val="115"/>
        </w:rPr>
        <w:t>un</w:t>
      </w:r>
      <w:r>
        <w:rPr>
          <w:spacing w:val="-11"/>
          <w:w w:val="115"/>
        </w:rPr>
        <w:t> </w:t>
      </w:r>
      <w:r>
        <w:rPr>
          <w:w w:val="115"/>
        </w:rPr>
        <w:t>poder</w:t>
      </w:r>
      <w:r>
        <w:rPr>
          <w:spacing w:val="-11"/>
          <w:w w:val="115"/>
        </w:rPr>
        <w:t> </w:t>
      </w:r>
      <w:r>
        <w:rPr>
          <w:w w:val="115"/>
        </w:rPr>
        <w:t>cohesionador</w:t>
      </w:r>
      <w:r>
        <w:rPr>
          <w:spacing w:val="-11"/>
          <w:w w:val="115"/>
        </w:rPr>
        <w:t> </w:t>
      </w:r>
      <w:r>
        <w:rPr>
          <w:w w:val="115"/>
        </w:rPr>
        <w:t>significativo.</w:t>
      </w:r>
      <w:r>
        <w:rPr>
          <w:spacing w:val="-11"/>
          <w:w w:val="115"/>
        </w:rPr>
        <w:t> </w:t>
      </w:r>
      <w:r>
        <w:rPr>
          <w:w w:val="115"/>
        </w:rPr>
        <w:t>al</w:t>
      </w:r>
      <w:r>
        <w:rPr>
          <w:spacing w:val="-11"/>
          <w:w w:val="115"/>
        </w:rPr>
        <w:t> </w:t>
      </w:r>
      <w:r>
        <w:rPr>
          <w:w w:val="115"/>
        </w:rPr>
        <w:t>fin</w:t>
      </w:r>
      <w:r>
        <w:rPr>
          <w:spacing w:val="-11"/>
          <w:w w:val="115"/>
        </w:rPr>
        <w:t> </w:t>
      </w:r>
      <w:r>
        <w:rPr>
          <w:w w:val="115"/>
        </w:rPr>
        <w:t>y</w:t>
      </w:r>
      <w:r>
        <w:rPr>
          <w:spacing w:val="-11"/>
          <w:w w:val="115"/>
        </w:rPr>
        <w:t> </w:t>
      </w:r>
      <w:r>
        <w:rPr>
          <w:w w:val="115"/>
        </w:rPr>
        <w:t>al</w:t>
      </w:r>
      <w:r>
        <w:rPr>
          <w:spacing w:val="-11"/>
          <w:w w:val="115"/>
        </w:rPr>
        <w:t> </w:t>
      </w:r>
      <w:r>
        <w:rPr>
          <w:w w:val="115"/>
        </w:rPr>
        <w:t>cabo lo que amenazaba eran algunos de los valores que habían</w:t>
      </w:r>
      <w:r>
        <w:rPr>
          <w:spacing w:val="-29"/>
          <w:w w:val="115"/>
        </w:rPr>
        <w:t> </w:t>
      </w:r>
      <w:r>
        <w:rPr>
          <w:w w:val="115"/>
        </w:rPr>
        <w:t>inspirado las</w:t>
      </w:r>
      <w:r>
        <w:rPr>
          <w:spacing w:val="-28"/>
          <w:w w:val="115"/>
        </w:rPr>
        <w:t> </w:t>
      </w:r>
      <w:r>
        <w:rPr>
          <w:w w:val="115"/>
        </w:rPr>
        <w:t>revoluciones</w:t>
      </w:r>
      <w:r>
        <w:rPr>
          <w:spacing w:val="-28"/>
          <w:w w:val="115"/>
        </w:rPr>
        <w:t> </w:t>
      </w:r>
      <w:r>
        <w:rPr>
          <w:w w:val="115"/>
        </w:rPr>
        <w:t>británica,</w:t>
      </w:r>
      <w:r>
        <w:rPr>
          <w:spacing w:val="-28"/>
          <w:w w:val="115"/>
        </w:rPr>
        <w:t> </w:t>
      </w:r>
      <w:r>
        <w:rPr>
          <w:w w:val="115"/>
        </w:rPr>
        <w:t>estadounidense</w:t>
      </w:r>
      <w:r>
        <w:rPr>
          <w:spacing w:val="-28"/>
          <w:w w:val="115"/>
        </w:rPr>
        <w:t> </w:t>
      </w:r>
      <w:r>
        <w:rPr>
          <w:w w:val="115"/>
        </w:rPr>
        <w:t>y</w:t>
      </w:r>
      <w:r>
        <w:rPr>
          <w:spacing w:val="-28"/>
          <w:w w:val="115"/>
        </w:rPr>
        <w:t> </w:t>
      </w:r>
      <w:r>
        <w:rPr>
          <w:w w:val="115"/>
        </w:rPr>
        <w:t>francesa,</w:t>
      </w:r>
      <w:r>
        <w:rPr>
          <w:spacing w:val="-28"/>
          <w:w w:val="115"/>
        </w:rPr>
        <w:t> </w:t>
      </w:r>
      <w:r>
        <w:rPr>
          <w:w w:val="115"/>
        </w:rPr>
        <w:t>en</w:t>
      </w:r>
      <w:r>
        <w:rPr>
          <w:spacing w:val="-28"/>
          <w:w w:val="115"/>
        </w:rPr>
        <w:t> </w:t>
      </w:r>
      <w:r>
        <w:rPr>
          <w:w w:val="115"/>
        </w:rPr>
        <w:t>particular</w:t>
      </w:r>
      <w:r>
        <w:rPr>
          <w:spacing w:val="-28"/>
          <w:w w:val="115"/>
        </w:rPr>
        <w:t> </w:t>
      </w:r>
      <w:r>
        <w:rPr>
          <w:w w:val="115"/>
        </w:rPr>
        <w:t>la concepción</w:t>
      </w:r>
      <w:r>
        <w:rPr>
          <w:spacing w:val="-14"/>
          <w:w w:val="115"/>
        </w:rPr>
        <w:t> </w:t>
      </w:r>
      <w:r>
        <w:rPr>
          <w:w w:val="115"/>
        </w:rPr>
        <w:t>de</w:t>
      </w:r>
      <w:r>
        <w:rPr>
          <w:spacing w:val="-14"/>
          <w:w w:val="115"/>
        </w:rPr>
        <w:t> </w:t>
      </w:r>
      <w:r>
        <w:rPr>
          <w:w w:val="115"/>
        </w:rPr>
        <w:t>la</w:t>
      </w:r>
      <w:r>
        <w:rPr>
          <w:spacing w:val="-14"/>
          <w:w w:val="115"/>
        </w:rPr>
        <w:t> </w:t>
      </w:r>
      <w:r>
        <w:rPr>
          <w:w w:val="115"/>
        </w:rPr>
        <w:t>libertad</w:t>
      </w:r>
      <w:r>
        <w:rPr>
          <w:spacing w:val="-14"/>
          <w:w w:val="115"/>
        </w:rPr>
        <w:t> </w:t>
      </w:r>
      <w:r>
        <w:rPr>
          <w:w w:val="115"/>
        </w:rPr>
        <w:t>asociada</w:t>
      </w:r>
      <w:r>
        <w:rPr>
          <w:spacing w:val="-14"/>
          <w:w w:val="115"/>
        </w:rPr>
        <w:t> </w:t>
      </w:r>
      <w:r>
        <w:rPr>
          <w:w w:val="115"/>
        </w:rPr>
        <w:t>al</w:t>
      </w:r>
      <w:r>
        <w:rPr>
          <w:spacing w:val="-14"/>
          <w:w w:val="115"/>
        </w:rPr>
        <w:t> </w:t>
      </w:r>
      <w:r>
        <w:rPr>
          <w:w w:val="115"/>
        </w:rPr>
        <w:t>individuo,</w:t>
      </w:r>
      <w:r>
        <w:rPr>
          <w:spacing w:val="-14"/>
          <w:w w:val="115"/>
        </w:rPr>
        <w:t> </w:t>
      </w:r>
      <w:r>
        <w:rPr>
          <w:i/>
          <w:w w:val="115"/>
        </w:rPr>
        <w:t>conditio</w:t>
      </w:r>
      <w:r>
        <w:rPr>
          <w:i/>
          <w:spacing w:val="-14"/>
          <w:w w:val="115"/>
        </w:rPr>
        <w:t> </w:t>
      </w:r>
      <w:r>
        <w:rPr>
          <w:i/>
          <w:w w:val="115"/>
        </w:rPr>
        <w:t>sine</w:t>
      </w:r>
      <w:r>
        <w:rPr>
          <w:i/>
          <w:spacing w:val="-14"/>
          <w:w w:val="115"/>
        </w:rPr>
        <w:t> </w:t>
      </w:r>
      <w:r>
        <w:rPr>
          <w:i/>
          <w:w w:val="115"/>
        </w:rPr>
        <w:t>qua</w:t>
      </w:r>
      <w:r>
        <w:rPr>
          <w:i/>
          <w:spacing w:val="-14"/>
          <w:w w:val="115"/>
        </w:rPr>
        <w:t> </w:t>
      </w:r>
      <w:r>
        <w:rPr>
          <w:i/>
          <w:w w:val="115"/>
        </w:rPr>
        <w:t>non </w:t>
      </w:r>
      <w:r>
        <w:rPr>
          <w:w w:val="109"/>
        </w:rPr>
        <w:t>para</w:t>
      </w:r>
      <w:r>
        <w:rPr/>
        <w:t> </w:t>
      </w:r>
      <w:r>
        <w:rPr>
          <w:spacing w:val="-19"/>
        </w:rPr>
        <w:t> </w:t>
      </w:r>
      <w:r>
        <w:rPr>
          <w:w w:val="107"/>
        </w:rPr>
        <w:t>el</w:t>
      </w:r>
      <w:r>
        <w:rPr/>
        <w:t> </w:t>
      </w:r>
      <w:r>
        <w:rPr>
          <w:spacing w:val="-19"/>
        </w:rPr>
        <w:t> </w:t>
      </w:r>
      <w:r>
        <w:rPr>
          <w:w w:val="112"/>
        </w:rPr>
        <w:t>funcionamiento</w:t>
      </w:r>
      <w:r>
        <w:rPr/>
        <w:t> </w:t>
      </w:r>
      <w:r>
        <w:rPr>
          <w:spacing w:val="-19"/>
        </w:rPr>
        <w:t> </w:t>
      </w:r>
      <w:r>
        <w:rPr>
          <w:w w:val="107"/>
        </w:rPr>
        <w:t>de</w:t>
      </w:r>
      <w:r>
        <w:rPr/>
        <w:t> </w:t>
      </w:r>
      <w:r>
        <w:rPr>
          <w:spacing w:val="-19"/>
        </w:rPr>
        <w:t> </w:t>
      </w:r>
      <w:r>
        <w:rPr>
          <w:w w:val="109"/>
        </w:rPr>
        <w:t>las</w:t>
      </w:r>
      <w:r>
        <w:rPr/>
        <w:t> </w:t>
      </w:r>
      <w:r>
        <w:rPr>
          <w:spacing w:val="-19"/>
        </w:rPr>
        <w:t> </w:t>
      </w:r>
      <w:r>
        <w:rPr>
          <w:w w:val="109"/>
        </w:rPr>
        <w:t>sociedades</w:t>
      </w:r>
      <w:r>
        <w:rPr/>
        <w:t> </w:t>
      </w:r>
      <w:r>
        <w:rPr>
          <w:spacing w:val="-19"/>
        </w:rPr>
        <w:t> </w:t>
      </w:r>
      <w:r>
        <w:rPr>
          <w:w w:val="111"/>
        </w:rPr>
        <w:t>capitalistas.</w:t>
      </w:r>
      <w:r>
        <w:rPr/>
        <w:t> </w:t>
      </w:r>
      <w:r>
        <w:rPr>
          <w:spacing w:val="-19"/>
        </w:rPr>
        <w:t> </w:t>
      </w:r>
      <w:r>
        <w:rPr>
          <w:w w:val="243"/>
        </w:rPr>
        <w:t>l</w:t>
      </w:r>
      <w:r>
        <w:rPr>
          <w:w w:val="112"/>
        </w:rPr>
        <w:t>a</w:t>
      </w:r>
      <w:r>
        <w:rPr/>
        <w:t> </w:t>
      </w:r>
      <w:r>
        <w:rPr>
          <w:spacing w:val="-19"/>
        </w:rPr>
        <w:t> </w:t>
      </w:r>
      <w:r>
        <w:rPr>
          <w:w w:val="110"/>
        </w:rPr>
        <w:t>sustitución </w:t>
      </w:r>
      <w:r>
        <w:rPr>
          <w:w w:val="115"/>
        </w:rPr>
        <w:t>del</w:t>
      </w:r>
      <w:r>
        <w:rPr>
          <w:spacing w:val="-8"/>
          <w:w w:val="115"/>
        </w:rPr>
        <w:t> </w:t>
      </w:r>
      <w:r>
        <w:rPr>
          <w:w w:val="115"/>
        </w:rPr>
        <w:t>comunismo</w:t>
      </w:r>
      <w:r>
        <w:rPr>
          <w:spacing w:val="-8"/>
          <w:w w:val="115"/>
        </w:rPr>
        <w:t> </w:t>
      </w:r>
      <w:r>
        <w:rPr>
          <w:w w:val="115"/>
        </w:rPr>
        <w:t>por</w:t>
      </w:r>
      <w:r>
        <w:rPr>
          <w:spacing w:val="-8"/>
          <w:w w:val="115"/>
        </w:rPr>
        <w:t> </w:t>
      </w:r>
      <w:r>
        <w:rPr>
          <w:w w:val="115"/>
        </w:rPr>
        <w:t>el</w:t>
      </w:r>
      <w:r>
        <w:rPr>
          <w:spacing w:val="-8"/>
          <w:w w:val="115"/>
        </w:rPr>
        <w:t> </w:t>
      </w:r>
      <w:r>
        <w:rPr>
          <w:w w:val="115"/>
        </w:rPr>
        <w:t>narcotráfico</w:t>
      </w:r>
      <w:r>
        <w:rPr>
          <w:spacing w:val="-8"/>
          <w:w w:val="115"/>
        </w:rPr>
        <w:t> </w:t>
      </w:r>
      <w:r>
        <w:rPr>
          <w:w w:val="115"/>
        </w:rPr>
        <w:t>como</w:t>
      </w:r>
      <w:r>
        <w:rPr>
          <w:spacing w:val="-8"/>
          <w:w w:val="115"/>
        </w:rPr>
        <w:t> </w:t>
      </w:r>
      <w:r>
        <w:rPr>
          <w:w w:val="115"/>
        </w:rPr>
        <w:t>principal</w:t>
      </w:r>
      <w:r>
        <w:rPr>
          <w:spacing w:val="-8"/>
          <w:w w:val="115"/>
        </w:rPr>
        <w:t> </w:t>
      </w:r>
      <w:r>
        <w:rPr>
          <w:w w:val="115"/>
        </w:rPr>
        <w:t>enemigo</w:t>
      </w:r>
      <w:r>
        <w:rPr>
          <w:spacing w:val="-8"/>
          <w:w w:val="115"/>
        </w:rPr>
        <w:t> </w:t>
      </w:r>
      <w:r>
        <w:rPr>
          <w:w w:val="115"/>
        </w:rPr>
        <w:t>de</w:t>
      </w:r>
      <w:r>
        <w:rPr>
          <w:spacing w:val="-8"/>
          <w:w w:val="115"/>
        </w:rPr>
        <w:t> </w:t>
      </w:r>
      <w:r>
        <w:rPr>
          <w:w w:val="115"/>
        </w:rPr>
        <w:t>la</w:t>
      </w:r>
      <w:r>
        <w:rPr>
          <w:spacing w:val="-8"/>
          <w:w w:val="115"/>
        </w:rPr>
        <w:t> </w:t>
      </w:r>
      <w:r>
        <w:rPr>
          <w:w w:val="115"/>
        </w:rPr>
        <w:t>se- guridad,</w:t>
      </w:r>
      <w:r>
        <w:rPr>
          <w:spacing w:val="-15"/>
          <w:w w:val="115"/>
        </w:rPr>
        <w:t> </w:t>
      </w:r>
      <w:r>
        <w:rPr>
          <w:w w:val="115"/>
        </w:rPr>
        <w:t>luego</w:t>
      </w:r>
      <w:r>
        <w:rPr>
          <w:spacing w:val="-15"/>
          <w:w w:val="115"/>
        </w:rPr>
        <w:t> </w:t>
      </w:r>
      <w:r>
        <w:rPr>
          <w:w w:val="115"/>
        </w:rPr>
        <w:t>del</w:t>
      </w:r>
      <w:r>
        <w:rPr>
          <w:spacing w:val="-15"/>
          <w:w w:val="115"/>
        </w:rPr>
        <w:t> </w:t>
      </w:r>
      <w:r>
        <w:rPr>
          <w:w w:val="115"/>
        </w:rPr>
        <w:t>derrumbe</w:t>
      </w:r>
      <w:r>
        <w:rPr>
          <w:spacing w:val="-15"/>
          <w:w w:val="115"/>
        </w:rPr>
        <w:t> </w:t>
      </w:r>
      <w:r>
        <w:rPr>
          <w:w w:val="115"/>
        </w:rPr>
        <w:t>del</w:t>
      </w:r>
      <w:r>
        <w:rPr>
          <w:spacing w:val="-15"/>
          <w:w w:val="115"/>
        </w:rPr>
        <w:t> </w:t>
      </w:r>
      <w:r>
        <w:rPr>
          <w:w w:val="115"/>
        </w:rPr>
        <w:t>llamado</w:t>
      </w:r>
      <w:r>
        <w:rPr>
          <w:spacing w:val="-15"/>
          <w:w w:val="115"/>
        </w:rPr>
        <w:t> </w:t>
      </w:r>
      <w:r>
        <w:rPr>
          <w:w w:val="115"/>
        </w:rPr>
        <w:t>campo</w:t>
      </w:r>
      <w:r>
        <w:rPr>
          <w:spacing w:val="-15"/>
          <w:w w:val="115"/>
        </w:rPr>
        <w:t> </w:t>
      </w:r>
      <w:r>
        <w:rPr>
          <w:w w:val="115"/>
        </w:rPr>
        <w:t>socialista,</w:t>
      </w:r>
      <w:r>
        <w:rPr>
          <w:spacing w:val="-15"/>
          <w:w w:val="115"/>
        </w:rPr>
        <w:t> </w:t>
      </w:r>
      <w:r>
        <w:rPr>
          <w:w w:val="115"/>
        </w:rPr>
        <w:t>no</w:t>
      </w:r>
      <w:r>
        <w:rPr>
          <w:spacing w:val="-15"/>
          <w:w w:val="115"/>
        </w:rPr>
        <w:t> </w:t>
      </w:r>
      <w:r>
        <w:rPr>
          <w:w w:val="115"/>
        </w:rPr>
        <w:t>tuvo</w:t>
      </w:r>
      <w:r>
        <w:rPr>
          <w:spacing w:val="-15"/>
          <w:w w:val="115"/>
        </w:rPr>
        <w:t> </w:t>
      </w:r>
      <w:r>
        <w:rPr>
          <w:w w:val="115"/>
        </w:rPr>
        <w:t>el mismo poder cohesionador. El narcotráfico no amenaza al sistema, es</w:t>
      </w:r>
      <w:r>
        <w:rPr>
          <w:spacing w:val="-18"/>
          <w:w w:val="115"/>
        </w:rPr>
        <w:t> </w:t>
      </w:r>
      <w:r>
        <w:rPr>
          <w:w w:val="115"/>
        </w:rPr>
        <w:t>una</w:t>
      </w:r>
      <w:r>
        <w:rPr>
          <w:spacing w:val="-18"/>
          <w:w w:val="115"/>
        </w:rPr>
        <w:t> </w:t>
      </w:r>
      <w:r>
        <w:rPr>
          <w:w w:val="115"/>
        </w:rPr>
        <w:t>actividad</w:t>
      </w:r>
      <w:r>
        <w:rPr>
          <w:spacing w:val="-18"/>
          <w:w w:val="115"/>
        </w:rPr>
        <w:t> </w:t>
      </w:r>
      <w:r>
        <w:rPr>
          <w:w w:val="115"/>
        </w:rPr>
        <w:t>altamente</w:t>
      </w:r>
      <w:r>
        <w:rPr>
          <w:spacing w:val="-18"/>
          <w:w w:val="115"/>
        </w:rPr>
        <w:t> </w:t>
      </w:r>
      <w:r>
        <w:rPr>
          <w:w w:val="115"/>
        </w:rPr>
        <w:t>rentable</w:t>
      </w:r>
      <w:r>
        <w:rPr>
          <w:spacing w:val="-18"/>
          <w:w w:val="115"/>
        </w:rPr>
        <w:t> </w:t>
      </w:r>
      <w:r>
        <w:rPr>
          <w:w w:val="115"/>
        </w:rPr>
        <w:t>que,</w:t>
      </w:r>
      <w:r>
        <w:rPr>
          <w:spacing w:val="-18"/>
          <w:w w:val="115"/>
        </w:rPr>
        <w:t> </w:t>
      </w:r>
      <w:r>
        <w:rPr>
          <w:w w:val="115"/>
        </w:rPr>
        <w:t>a</w:t>
      </w:r>
      <w:r>
        <w:rPr>
          <w:spacing w:val="-18"/>
          <w:w w:val="115"/>
        </w:rPr>
        <w:t> </w:t>
      </w:r>
      <w:r>
        <w:rPr>
          <w:w w:val="115"/>
        </w:rPr>
        <w:t>pesar</w:t>
      </w:r>
      <w:r>
        <w:rPr>
          <w:spacing w:val="-18"/>
          <w:w w:val="115"/>
        </w:rPr>
        <w:t> </w:t>
      </w:r>
      <w:r>
        <w:rPr>
          <w:w w:val="115"/>
        </w:rPr>
        <w:t>de</w:t>
      </w:r>
      <w:r>
        <w:rPr>
          <w:spacing w:val="-18"/>
          <w:w w:val="115"/>
        </w:rPr>
        <w:t> </w:t>
      </w:r>
      <w:r>
        <w:rPr>
          <w:w w:val="115"/>
        </w:rPr>
        <w:t>su</w:t>
      </w:r>
      <w:r>
        <w:rPr>
          <w:spacing w:val="-18"/>
          <w:w w:val="115"/>
        </w:rPr>
        <w:t> </w:t>
      </w:r>
      <w:r>
        <w:rPr>
          <w:w w:val="115"/>
        </w:rPr>
        <w:t>carácter</w:t>
      </w:r>
      <w:r>
        <w:rPr>
          <w:spacing w:val="-18"/>
          <w:w w:val="115"/>
        </w:rPr>
        <w:t> </w:t>
      </w:r>
      <w:r>
        <w:rPr>
          <w:w w:val="115"/>
        </w:rPr>
        <w:t>ilegal, tiene</w:t>
      </w:r>
      <w:r>
        <w:rPr>
          <w:spacing w:val="-16"/>
          <w:w w:val="115"/>
        </w:rPr>
        <w:t> </w:t>
      </w:r>
      <w:r>
        <w:rPr>
          <w:w w:val="115"/>
        </w:rPr>
        <w:t>fuertes</w:t>
      </w:r>
      <w:r>
        <w:rPr>
          <w:spacing w:val="-16"/>
          <w:w w:val="115"/>
        </w:rPr>
        <w:t> </w:t>
      </w:r>
      <w:r>
        <w:rPr>
          <w:w w:val="115"/>
        </w:rPr>
        <w:t>articulaciones</w:t>
      </w:r>
      <w:r>
        <w:rPr>
          <w:spacing w:val="-16"/>
          <w:w w:val="115"/>
        </w:rPr>
        <w:t> </w:t>
      </w:r>
      <w:r>
        <w:rPr>
          <w:w w:val="115"/>
        </w:rPr>
        <w:t>con</w:t>
      </w:r>
      <w:r>
        <w:rPr>
          <w:spacing w:val="-16"/>
          <w:w w:val="115"/>
        </w:rPr>
        <w:t> </w:t>
      </w:r>
      <w:r>
        <w:rPr>
          <w:w w:val="115"/>
        </w:rPr>
        <w:t>la</w:t>
      </w:r>
      <w:r>
        <w:rPr>
          <w:spacing w:val="-16"/>
          <w:w w:val="115"/>
        </w:rPr>
        <w:t> </w:t>
      </w:r>
      <w:r>
        <w:rPr>
          <w:w w:val="115"/>
        </w:rPr>
        <w:t>economía</w:t>
      </w:r>
      <w:r>
        <w:rPr>
          <w:spacing w:val="-16"/>
          <w:w w:val="115"/>
        </w:rPr>
        <w:t> </w:t>
      </w:r>
      <w:r>
        <w:rPr>
          <w:w w:val="115"/>
        </w:rPr>
        <w:t>legal,</w:t>
      </w:r>
      <w:r>
        <w:rPr>
          <w:spacing w:val="-16"/>
          <w:w w:val="115"/>
        </w:rPr>
        <w:t> </w:t>
      </w:r>
      <w:r>
        <w:rPr>
          <w:w w:val="115"/>
        </w:rPr>
        <w:t>por</w:t>
      </w:r>
      <w:r>
        <w:rPr>
          <w:spacing w:val="-16"/>
          <w:w w:val="115"/>
        </w:rPr>
        <w:t> </w:t>
      </w:r>
      <w:r>
        <w:rPr>
          <w:w w:val="115"/>
        </w:rPr>
        <w:t>ejemplo</w:t>
      </w:r>
      <w:r>
        <w:rPr>
          <w:spacing w:val="-16"/>
          <w:w w:val="115"/>
        </w:rPr>
        <w:t> </w:t>
      </w:r>
      <w:r>
        <w:rPr>
          <w:w w:val="115"/>
        </w:rPr>
        <w:t>con</w:t>
      </w:r>
      <w:r>
        <w:rPr>
          <w:spacing w:val="-16"/>
          <w:w w:val="115"/>
        </w:rPr>
        <w:t> </w:t>
      </w:r>
      <w:r>
        <w:rPr>
          <w:w w:val="115"/>
        </w:rPr>
        <w:t>el sector</w:t>
      </w:r>
      <w:r>
        <w:rPr>
          <w:spacing w:val="-12"/>
          <w:w w:val="115"/>
        </w:rPr>
        <w:t> </w:t>
      </w:r>
      <w:r>
        <w:rPr>
          <w:w w:val="115"/>
        </w:rPr>
        <w:t>financiero,</w:t>
      </w:r>
      <w:r>
        <w:rPr>
          <w:spacing w:val="-12"/>
          <w:w w:val="115"/>
        </w:rPr>
        <w:t> </w:t>
      </w:r>
      <w:r>
        <w:rPr>
          <w:w w:val="115"/>
        </w:rPr>
        <w:t>receptor</w:t>
      </w:r>
      <w:r>
        <w:rPr>
          <w:spacing w:val="-12"/>
          <w:w w:val="115"/>
        </w:rPr>
        <w:t> </w:t>
      </w:r>
      <w:r>
        <w:rPr>
          <w:w w:val="115"/>
        </w:rPr>
        <w:t>privilegiado</w:t>
      </w:r>
      <w:r>
        <w:rPr>
          <w:spacing w:val="-12"/>
          <w:w w:val="115"/>
        </w:rPr>
        <w:t> </w:t>
      </w:r>
      <w:r>
        <w:rPr>
          <w:w w:val="115"/>
        </w:rPr>
        <w:t>de</w:t>
      </w:r>
      <w:r>
        <w:rPr>
          <w:spacing w:val="-12"/>
          <w:w w:val="115"/>
        </w:rPr>
        <w:t> </w:t>
      </w:r>
      <w:r>
        <w:rPr>
          <w:w w:val="115"/>
        </w:rPr>
        <w:t>los</w:t>
      </w:r>
      <w:r>
        <w:rPr>
          <w:spacing w:val="-12"/>
          <w:w w:val="115"/>
        </w:rPr>
        <w:t> </w:t>
      </w:r>
      <w:r>
        <w:rPr>
          <w:w w:val="115"/>
        </w:rPr>
        <w:t>excedentes</w:t>
      </w:r>
      <w:r>
        <w:rPr>
          <w:spacing w:val="-12"/>
          <w:w w:val="115"/>
        </w:rPr>
        <w:t> </w:t>
      </w:r>
      <w:r>
        <w:rPr>
          <w:w w:val="115"/>
        </w:rPr>
        <w:t>de</w:t>
      </w:r>
      <w:r>
        <w:rPr>
          <w:spacing w:val="-12"/>
          <w:w w:val="115"/>
        </w:rPr>
        <w:t> </w:t>
      </w:r>
      <w:r>
        <w:rPr>
          <w:w w:val="115"/>
        </w:rPr>
        <w:t>las</w:t>
      </w:r>
      <w:r>
        <w:rPr>
          <w:spacing w:val="-12"/>
          <w:w w:val="115"/>
        </w:rPr>
        <w:t> </w:t>
      </w:r>
      <w:r>
        <w:rPr>
          <w:w w:val="115"/>
        </w:rPr>
        <w:t>eco- nomías</w:t>
      </w:r>
      <w:r>
        <w:rPr>
          <w:spacing w:val="-11"/>
          <w:w w:val="115"/>
        </w:rPr>
        <w:t> </w:t>
      </w:r>
      <w:r>
        <w:rPr>
          <w:w w:val="115"/>
        </w:rPr>
        <w:t>ilegales</w:t>
      </w:r>
      <w:r>
        <w:rPr>
          <w:spacing w:val="-11"/>
          <w:w w:val="115"/>
        </w:rPr>
        <w:t> </w:t>
      </w:r>
      <w:r>
        <w:rPr>
          <w:w w:val="115"/>
        </w:rPr>
        <w:t>e</w:t>
      </w:r>
      <w:r>
        <w:rPr>
          <w:spacing w:val="-11"/>
          <w:w w:val="115"/>
        </w:rPr>
        <w:t> </w:t>
      </w:r>
      <w:r>
        <w:rPr>
          <w:w w:val="115"/>
        </w:rPr>
        <w:t>instrumento</w:t>
      </w:r>
      <w:r>
        <w:rPr>
          <w:spacing w:val="-11"/>
          <w:w w:val="115"/>
        </w:rPr>
        <w:t> </w:t>
      </w:r>
      <w:r>
        <w:rPr>
          <w:w w:val="115"/>
        </w:rPr>
        <w:t>del</w:t>
      </w:r>
      <w:r>
        <w:rPr>
          <w:spacing w:val="-11"/>
          <w:w w:val="115"/>
        </w:rPr>
        <w:t> </w:t>
      </w:r>
      <w:r>
        <w:rPr>
          <w:w w:val="115"/>
        </w:rPr>
        <w:t>lavado</w:t>
      </w:r>
      <w:r>
        <w:rPr>
          <w:spacing w:val="-11"/>
          <w:w w:val="115"/>
        </w:rPr>
        <w:t> </w:t>
      </w:r>
      <w:r>
        <w:rPr>
          <w:w w:val="115"/>
        </w:rPr>
        <w:t>de</w:t>
      </w:r>
      <w:r>
        <w:rPr>
          <w:spacing w:val="-11"/>
          <w:w w:val="115"/>
        </w:rPr>
        <w:t> </w:t>
      </w:r>
      <w:r>
        <w:rPr>
          <w:w w:val="115"/>
        </w:rPr>
        <w:t>activos,</w:t>
      </w:r>
      <w:r>
        <w:rPr>
          <w:spacing w:val="-11"/>
          <w:w w:val="115"/>
        </w:rPr>
        <w:t> </w:t>
      </w:r>
      <w:r>
        <w:rPr>
          <w:w w:val="115"/>
        </w:rPr>
        <w:t>tal</w:t>
      </w:r>
      <w:r>
        <w:rPr>
          <w:spacing w:val="-11"/>
          <w:w w:val="115"/>
        </w:rPr>
        <w:t> </w:t>
      </w:r>
      <w:r>
        <w:rPr>
          <w:w w:val="115"/>
        </w:rPr>
        <w:t>como</w:t>
      </w:r>
      <w:r>
        <w:rPr>
          <w:spacing w:val="-11"/>
          <w:w w:val="115"/>
        </w:rPr>
        <w:t> </w:t>
      </w:r>
      <w:r>
        <w:rPr>
          <w:w w:val="115"/>
        </w:rPr>
        <w:t>ocurre con los llamados paraísos fiscales. </w:t>
      </w:r>
      <w:r>
        <w:rPr>
          <w:w w:val="150"/>
        </w:rPr>
        <w:t>o </w:t>
      </w:r>
      <w:r>
        <w:rPr>
          <w:w w:val="115"/>
        </w:rPr>
        <w:t>con el comercio, como quiera que</w:t>
      </w:r>
      <w:r>
        <w:rPr>
          <w:spacing w:val="-13"/>
          <w:w w:val="115"/>
        </w:rPr>
        <w:t> </w:t>
      </w:r>
      <w:r>
        <w:rPr>
          <w:w w:val="115"/>
        </w:rPr>
        <w:t>estos</w:t>
      </w:r>
      <w:r>
        <w:rPr>
          <w:spacing w:val="-13"/>
          <w:w w:val="115"/>
        </w:rPr>
        <w:t> </w:t>
      </w:r>
      <w:r>
        <w:rPr>
          <w:w w:val="115"/>
        </w:rPr>
        <w:t>excedentes</w:t>
      </w:r>
      <w:r>
        <w:rPr>
          <w:spacing w:val="-13"/>
          <w:w w:val="115"/>
        </w:rPr>
        <w:t> </w:t>
      </w:r>
      <w:r>
        <w:rPr>
          <w:w w:val="115"/>
        </w:rPr>
        <w:t>incrementan</w:t>
      </w:r>
      <w:r>
        <w:rPr>
          <w:spacing w:val="-13"/>
          <w:w w:val="115"/>
        </w:rPr>
        <w:t> </w:t>
      </w:r>
      <w:r>
        <w:rPr>
          <w:w w:val="115"/>
        </w:rPr>
        <w:t>la</w:t>
      </w:r>
      <w:r>
        <w:rPr>
          <w:spacing w:val="-13"/>
          <w:w w:val="115"/>
        </w:rPr>
        <w:t> </w:t>
      </w:r>
      <w:r>
        <w:rPr>
          <w:w w:val="115"/>
        </w:rPr>
        <w:t>demanda</w:t>
      </w:r>
      <w:r>
        <w:rPr>
          <w:spacing w:val="-13"/>
          <w:w w:val="115"/>
        </w:rPr>
        <w:t> </w:t>
      </w:r>
      <w:r>
        <w:rPr>
          <w:w w:val="115"/>
        </w:rPr>
        <w:t>agregada,</w:t>
      </w:r>
      <w:r>
        <w:rPr>
          <w:spacing w:val="-13"/>
          <w:w w:val="115"/>
        </w:rPr>
        <w:t> </w:t>
      </w:r>
      <w:r>
        <w:rPr>
          <w:w w:val="115"/>
        </w:rPr>
        <w:t>aceleran</w:t>
      </w:r>
      <w:r>
        <w:rPr>
          <w:spacing w:val="-13"/>
          <w:w w:val="115"/>
        </w:rPr>
        <w:t> </w:t>
      </w:r>
      <w:r>
        <w:rPr>
          <w:w w:val="115"/>
        </w:rPr>
        <w:t>la circulación del capital y por esta vía pueden, eventualmente,</w:t>
      </w:r>
      <w:r>
        <w:rPr>
          <w:spacing w:val="-30"/>
          <w:w w:val="115"/>
        </w:rPr>
        <w:t> </w:t>
      </w:r>
      <w:r>
        <w:rPr>
          <w:w w:val="115"/>
        </w:rPr>
        <w:t>incidir en la reactivación de la producción, etc., etc. En estas condiciones</w:t>
      </w:r>
      <w:r>
        <w:rPr>
          <w:spacing w:val="-27"/>
          <w:w w:val="115"/>
        </w:rPr>
        <w:t> </w:t>
      </w:r>
      <w:r>
        <w:rPr>
          <w:w w:val="115"/>
        </w:rPr>
        <w:t>el narcotráfico considerado como enemigo no fue un instrumento efi- caz para fortalecer su hegemonía </w:t>
      </w:r>
      <w:r>
        <w:rPr>
          <w:spacing w:val="-11"/>
          <w:w w:val="115"/>
        </w:rPr>
        <w:t>y, </w:t>
      </w:r>
      <w:r>
        <w:rPr>
          <w:w w:val="115"/>
        </w:rPr>
        <w:t>aunque han sido acompañados por</w:t>
      </w:r>
      <w:r>
        <w:rPr>
          <w:spacing w:val="-7"/>
          <w:w w:val="115"/>
        </w:rPr>
        <w:t> </w:t>
      </w:r>
      <w:r>
        <w:rPr>
          <w:w w:val="115"/>
        </w:rPr>
        <w:t>algunos</w:t>
      </w:r>
      <w:r>
        <w:rPr>
          <w:spacing w:val="-7"/>
          <w:w w:val="115"/>
        </w:rPr>
        <w:t> </w:t>
      </w:r>
      <w:r>
        <w:rPr>
          <w:w w:val="115"/>
        </w:rPr>
        <w:t>países</w:t>
      </w:r>
      <w:r>
        <w:rPr>
          <w:spacing w:val="-7"/>
          <w:w w:val="115"/>
        </w:rPr>
        <w:t> </w:t>
      </w:r>
      <w:r>
        <w:rPr>
          <w:w w:val="115"/>
        </w:rPr>
        <w:t>en</w:t>
      </w:r>
      <w:r>
        <w:rPr>
          <w:spacing w:val="-7"/>
          <w:w w:val="115"/>
        </w:rPr>
        <w:t> </w:t>
      </w:r>
      <w:r>
        <w:rPr>
          <w:w w:val="115"/>
        </w:rPr>
        <w:t>sus</w:t>
      </w:r>
      <w:r>
        <w:rPr>
          <w:spacing w:val="-7"/>
          <w:w w:val="115"/>
        </w:rPr>
        <w:t> </w:t>
      </w:r>
      <w:r>
        <w:rPr>
          <w:w w:val="115"/>
        </w:rPr>
        <w:t>políticas</w:t>
      </w:r>
      <w:r>
        <w:rPr>
          <w:spacing w:val="-7"/>
          <w:w w:val="115"/>
        </w:rPr>
        <w:t> </w:t>
      </w:r>
      <w:r>
        <w:rPr>
          <w:w w:val="115"/>
        </w:rPr>
        <w:t>antinarcóticos,</w:t>
      </w:r>
      <w:r>
        <w:rPr>
          <w:spacing w:val="-7"/>
          <w:w w:val="115"/>
        </w:rPr>
        <w:t> </w:t>
      </w:r>
      <w:r>
        <w:rPr>
          <w:w w:val="115"/>
        </w:rPr>
        <w:t>lo</w:t>
      </w:r>
      <w:r>
        <w:rPr>
          <w:spacing w:val="-7"/>
          <w:w w:val="115"/>
        </w:rPr>
        <w:t> </w:t>
      </w:r>
      <w:r>
        <w:rPr>
          <w:w w:val="115"/>
        </w:rPr>
        <w:t>cierto</w:t>
      </w:r>
      <w:r>
        <w:rPr>
          <w:spacing w:val="-7"/>
          <w:w w:val="115"/>
        </w:rPr>
        <w:t> </w:t>
      </w:r>
      <w:r>
        <w:rPr>
          <w:w w:val="115"/>
        </w:rPr>
        <w:t>es</w:t>
      </w:r>
      <w:r>
        <w:rPr>
          <w:spacing w:val="-7"/>
          <w:w w:val="115"/>
        </w:rPr>
        <w:t> </w:t>
      </w:r>
      <w:r>
        <w:rPr>
          <w:w w:val="115"/>
        </w:rPr>
        <w:t>que</w:t>
      </w:r>
      <w:r>
        <w:rPr>
          <w:spacing w:val="-7"/>
          <w:w w:val="115"/>
        </w:rPr>
        <w:t> </w:t>
      </w:r>
      <w:r>
        <w:rPr>
          <w:w w:val="115"/>
        </w:rPr>
        <w:t>el prohibicionismo</w:t>
      </w:r>
      <w:r>
        <w:rPr>
          <w:spacing w:val="-7"/>
          <w:w w:val="115"/>
        </w:rPr>
        <w:t> </w:t>
      </w:r>
      <w:r>
        <w:rPr>
          <w:w w:val="115"/>
        </w:rPr>
        <w:t>adoptado</w:t>
      </w:r>
      <w:r>
        <w:rPr>
          <w:spacing w:val="-7"/>
          <w:w w:val="115"/>
        </w:rPr>
        <w:t> </w:t>
      </w:r>
      <w:r>
        <w:rPr>
          <w:w w:val="115"/>
        </w:rPr>
        <w:t>y</w:t>
      </w:r>
      <w:r>
        <w:rPr>
          <w:spacing w:val="-7"/>
          <w:w w:val="115"/>
        </w:rPr>
        <w:t> </w:t>
      </w:r>
      <w:r>
        <w:rPr>
          <w:w w:val="115"/>
        </w:rPr>
        <w:t>el</w:t>
      </w:r>
      <w:r>
        <w:rPr>
          <w:spacing w:val="-7"/>
          <w:w w:val="115"/>
        </w:rPr>
        <w:t> </w:t>
      </w:r>
      <w:r>
        <w:rPr>
          <w:w w:val="115"/>
        </w:rPr>
        <w:t>tratamiento</w:t>
      </w:r>
      <w:r>
        <w:rPr>
          <w:spacing w:val="-7"/>
          <w:w w:val="115"/>
        </w:rPr>
        <w:t> </w:t>
      </w:r>
      <w:r>
        <w:rPr>
          <w:w w:val="115"/>
        </w:rPr>
        <w:t>militar</w:t>
      </w:r>
      <w:r>
        <w:rPr>
          <w:spacing w:val="-7"/>
          <w:w w:val="115"/>
        </w:rPr>
        <w:t> </w:t>
      </w:r>
      <w:r>
        <w:rPr>
          <w:w w:val="115"/>
        </w:rPr>
        <w:t>y</w:t>
      </w:r>
      <w:r>
        <w:rPr>
          <w:spacing w:val="-7"/>
          <w:w w:val="115"/>
        </w:rPr>
        <w:t> </w:t>
      </w:r>
      <w:r>
        <w:rPr>
          <w:w w:val="115"/>
        </w:rPr>
        <w:t>policivo</w:t>
      </w:r>
      <w:r>
        <w:rPr>
          <w:spacing w:val="-7"/>
          <w:w w:val="115"/>
        </w:rPr>
        <w:t> </w:t>
      </w:r>
      <w:r>
        <w:rPr>
          <w:w w:val="115"/>
        </w:rPr>
        <w:t>dado</w:t>
      </w:r>
      <w:r>
        <w:rPr>
          <w:spacing w:val="-7"/>
          <w:w w:val="115"/>
        </w:rPr>
        <w:t> </w:t>
      </w:r>
      <w:r>
        <w:rPr>
          <w:w w:val="115"/>
        </w:rPr>
        <w:t>a la</w:t>
      </w:r>
      <w:r>
        <w:rPr>
          <w:spacing w:val="-8"/>
          <w:w w:val="115"/>
        </w:rPr>
        <w:t> </w:t>
      </w:r>
      <w:r>
        <w:rPr>
          <w:w w:val="115"/>
        </w:rPr>
        <w:t>cuestión</w:t>
      </w:r>
      <w:r>
        <w:rPr>
          <w:spacing w:val="-8"/>
          <w:w w:val="115"/>
        </w:rPr>
        <w:t> </w:t>
      </w:r>
      <w:r>
        <w:rPr>
          <w:w w:val="115"/>
        </w:rPr>
        <w:t>de</w:t>
      </w:r>
      <w:r>
        <w:rPr>
          <w:spacing w:val="-8"/>
          <w:w w:val="115"/>
        </w:rPr>
        <w:t> </w:t>
      </w:r>
      <w:r>
        <w:rPr>
          <w:w w:val="115"/>
        </w:rPr>
        <w:t>las</w:t>
      </w:r>
      <w:r>
        <w:rPr>
          <w:spacing w:val="-8"/>
          <w:w w:val="115"/>
        </w:rPr>
        <w:t> </w:t>
      </w:r>
      <w:r>
        <w:rPr>
          <w:w w:val="115"/>
        </w:rPr>
        <w:t>drogas</w:t>
      </w:r>
      <w:r>
        <w:rPr>
          <w:spacing w:val="-8"/>
          <w:w w:val="115"/>
        </w:rPr>
        <w:t> </w:t>
      </w:r>
      <w:r>
        <w:rPr>
          <w:w w:val="115"/>
        </w:rPr>
        <w:t>ha</w:t>
      </w:r>
      <w:r>
        <w:rPr>
          <w:spacing w:val="-8"/>
          <w:w w:val="115"/>
        </w:rPr>
        <w:t> </w:t>
      </w:r>
      <w:r>
        <w:rPr>
          <w:w w:val="115"/>
        </w:rPr>
        <w:t>sido</w:t>
      </w:r>
      <w:r>
        <w:rPr>
          <w:spacing w:val="-8"/>
          <w:w w:val="115"/>
        </w:rPr>
        <w:t> </w:t>
      </w:r>
      <w:r>
        <w:rPr>
          <w:w w:val="115"/>
        </w:rPr>
        <w:t>criticado</w:t>
      </w:r>
      <w:r>
        <w:rPr>
          <w:spacing w:val="-8"/>
          <w:w w:val="115"/>
        </w:rPr>
        <w:t> </w:t>
      </w:r>
      <w:r>
        <w:rPr>
          <w:w w:val="115"/>
        </w:rPr>
        <w:t>y</w:t>
      </w:r>
      <w:r>
        <w:rPr>
          <w:spacing w:val="-8"/>
          <w:w w:val="115"/>
        </w:rPr>
        <w:t> </w:t>
      </w:r>
      <w:r>
        <w:rPr>
          <w:w w:val="115"/>
        </w:rPr>
        <w:t>no</w:t>
      </w:r>
      <w:r>
        <w:rPr>
          <w:spacing w:val="-8"/>
          <w:w w:val="115"/>
        </w:rPr>
        <w:t> </w:t>
      </w:r>
      <w:r>
        <w:rPr>
          <w:w w:val="115"/>
        </w:rPr>
        <w:t>siempre</w:t>
      </w:r>
      <w:r>
        <w:rPr>
          <w:spacing w:val="-8"/>
          <w:w w:val="115"/>
        </w:rPr>
        <w:t> </w:t>
      </w:r>
      <w:r>
        <w:rPr>
          <w:w w:val="115"/>
        </w:rPr>
        <w:t>aplicado</w:t>
      </w:r>
      <w:r>
        <w:rPr>
          <w:spacing w:val="-8"/>
          <w:w w:val="115"/>
        </w:rPr>
        <w:t> </w:t>
      </w:r>
      <w:r>
        <w:rPr>
          <w:w w:val="115"/>
        </w:rPr>
        <w:t>por </w:t>
      </w:r>
      <w:r>
        <w:rPr>
          <w:w w:val="112"/>
        </w:rPr>
        <w:t>muchos</w:t>
      </w:r>
      <w:r>
        <w:rPr>
          <w:spacing w:val="19"/>
        </w:rPr>
        <w:t> </w:t>
      </w:r>
      <w:r>
        <w:rPr>
          <w:w w:val="107"/>
        </w:rPr>
        <w:t>de</w:t>
      </w:r>
      <w:r>
        <w:rPr>
          <w:spacing w:val="19"/>
        </w:rPr>
        <w:t> </w:t>
      </w:r>
      <w:r>
        <w:rPr>
          <w:w w:val="108"/>
        </w:rPr>
        <w:t>sus</w:t>
      </w:r>
      <w:r>
        <w:rPr>
          <w:spacing w:val="19"/>
        </w:rPr>
        <w:t> </w:t>
      </w:r>
      <w:r>
        <w:rPr>
          <w:w w:val="112"/>
        </w:rPr>
        <w:t>aliados.</w:t>
      </w:r>
      <w:r>
        <w:rPr>
          <w:spacing w:val="19"/>
        </w:rPr>
        <w:t> </w:t>
      </w:r>
      <w:r>
        <w:rPr>
          <w:w w:val="243"/>
        </w:rPr>
        <w:t>l</w:t>
      </w:r>
      <w:r>
        <w:rPr>
          <w:w w:val="112"/>
        </w:rPr>
        <w:t>a</w:t>
      </w:r>
      <w:r>
        <w:rPr>
          <w:spacing w:val="19"/>
        </w:rPr>
        <w:t> </w:t>
      </w:r>
      <w:r>
        <w:rPr>
          <w:w w:val="111"/>
        </w:rPr>
        <w:t>importancia</w:t>
      </w:r>
      <w:r>
        <w:rPr>
          <w:spacing w:val="19"/>
        </w:rPr>
        <w:t> </w:t>
      </w:r>
      <w:r>
        <w:rPr>
          <w:w w:val="112"/>
        </w:rPr>
        <w:t>económica</w:t>
      </w:r>
      <w:r>
        <w:rPr>
          <w:spacing w:val="19"/>
        </w:rPr>
        <w:t> </w:t>
      </w:r>
      <w:r>
        <w:rPr>
          <w:w w:val="105"/>
        </w:rPr>
        <w:t>y</w:t>
      </w:r>
      <w:r>
        <w:rPr>
          <w:spacing w:val="19"/>
        </w:rPr>
        <w:t> </w:t>
      </w:r>
      <w:r>
        <w:rPr>
          <w:w w:val="111"/>
        </w:rPr>
        <w:t>la</w:t>
      </w:r>
      <w:r>
        <w:rPr>
          <w:spacing w:val="19"/>
        </w:rPr>
        <w:t> </w:t>
      </w:r>
      <w:r>
        <w:rPr>
          <w:w w:val="112"/>
        </w:rPr>
        <w:t>incidencia</w:t>
      </w:r>
      <w:r>
        <w:rPr>
          <w:spacing w:val="19"/>
        </w:rPr>
        <w:t> </w:t>
      </w:r>
      <w:r>
        <w:rPr>
          <w:w w:val="108"/>
        </w:rPr>
        <w:t>en </w:t>
      </w:r>
      <w:r>
        <w:rPr>
          <w:w w:val="115"/>
        </w:rPr>
        <w:t>políticas</w:t>
      </w:r>
      <w:r>
        <w:rPr>
          <w:spacing w:val="-28"/>
          <w:w w:val="115"/>
        </w:rPr>
        <w:t> </w:t>
      </w:r>
      <w:r>
        <w:rPr>
          <w:w w:val="115"/>
        </w:rPr>
        <w:t>públicas</w:t>
      </w:r>
      <w:r>
        <w:rPr>
          <w:spacing w:val="-28"/>
          <w:w w:val="115"/>
        </w:rPr>
        <w:t> </w:t>
      </w:r>
      <w:r>
        <w:rPr>
          <w:w w:val="115"/>
        </w:rPr>
        <w:t>de</w:t>
      </w:r>
      <w:r>
        <w:rPr>
          <w:spacing w:val="-28"/>
          <w:w w:val="115"/>
        </w:rPr>
        <w:t> </w:t>
      </w:r>
      <w:r>
        <w:rPr>
          <w:w w:val="115"/>
        </w:rPr>
        <w:t>una</w:t>
      </w:r>
      <w:r>
        <w:rPr>
          <w:spacing w:val="-28"/>
          <w:w w:val="115"/>
        </w:rPr>
        <w:t> </w:t>
      </w:r>
      <w:r>
        <w:rPr>
          <w:w w:val="115"/>
        </w:rPr>
        <w:t>actividad</w:t>
      </w:r>
      <w:r>
        <w:rPr>
          <w:spacing w:val="-28"/>
          <w:w w:val="115"/>
        </w:rPr>
        <w:t> </w:t>
      </w:r>
      <w:r>
        <w:rPr>
          <w:w w:val="115"/>
        </w:rPr>
        <w:t>económica</w:t>
      </w:r>
      <w:r>
        <w:rPr>
          <w:spacing w:val="-28"/>
          <w:w w:val="115"/>
        </w:rPr>
        <w:t> </w:t>
      </w:r>
      <w:r>
        <w:rPr>
          <w:w w:val="115"/>
        </w:rPr>
        <w:t>ilegal</w:t>
      </w:r>
      <w:r>
        <w:rPr>
          <w:spacing w:val="-28"/>
          <w:w w:val="115"/>
        </w:rPr>
        <w:t> </w:t>
      </w:r>
      <w:r>
        <w:rPr>
          <w:w w:val="115"/>
        </w:rPr>
        <w:t>como</w:t>
      </w:r>
      <w:r>
        <w:rPr>
          <w:spacing w:val="-28"/>
          <w:w w:val="115"/>
        </w:rPr>
        <w:t> </w:t>
      </w:r>
      <w:r>
        <w:rPr>
          <w:w w:val="115"/>
        </w:rPr>
        <w:t>el</w:t>
      </w:r>
      <w:r>
        <w:rPr>
          <w:spacing w:val="-28"/>
          <w:w w:val="115"/>
        </w:rPr>
        <w:t> </w:t>
      </w:r>
      <w:r>
        <w:rPr>
          <w:w w:val="115"/>
        </w:rPr>
        <w:t>narcotrá- fico</w:t>
      </w:r>
      <w:r>
        <w:rPr>
          <w:spacing w:val="-16"/>
          <w:w w:val="115"/>
        </w:rPr>
        <w:t> </w:t>
      </w:r>
      <w:r>
        <w:rPr>
          <w:w w:val="115"/>
        </w:rPr>
        <w:t>ha</w:t>
      </w:r>
      <w:r>
        <w:rPr>
          <w:spacing w:val="-16"/>
          <w:w w:val="115"/>
        </w:rPr>
        <w:t> </w:t>
      </w:r>
      <w:r>
        <w:rPr>
          <w:w w:val="115"/>
        </w:rPr>
        <w:t>puesto</w:t>
      </w:r>
      <w:r>
        <w:rPr>
          <w:spacing w:val="-16"/>
          <w:w w:val="115"/>
        </w:rPr>
        <w:t> </w:t>
      </w:r>
      <w:r>
        <w:rPr>
          <w:w w:val="115"/>
        </w:rPr>
        <w:t>de</w:t>
      </w:r>
      <w:r>
        <w:rPr>
          <w:spacing w:val="-16"/>
          <w:w w:val="115"/>
        </w:rPr>
        <w:t> </w:t>
      </w:r>
      <w:r>
        <w:rPr>
          <w:w w:val="115"/>
        </w:rPr>
        <w:t>relieve</w:t>
      </w:r>
      <w:r>
        <w:rPr>
          <w:spacing w:val="-16"/>
          <w:w w:val="115"/>
        </w:rPr>
        <w:t> </w:t>
      </w:r>
      <w:r>
        <w:rPr>
          <w:w w:val="115"/>
        </w:rPr>
        <w:t>una</w:t>
      </w:r>
      <w:r>
        <w:rPr>
          <w:spacing w:val="-16"/>
          <w:w w:val="115"/>
        </w:rPr>
        <w:t> </w:t>
      </w:r>
      <w:r>
        <w:rPr>
          <w:w w:val="115"/>
        </w:rPr>
        <w:t>dimensión</w:t>
      </w:r>
      <w:r>
        <w:rPr>
          <w:spacing w:val="-16"/>
          <w:w w:val="115"/>
        </w:rPr>
        <w:t> </w:t>
      </w:r>
      <w:r>
        <w:rPr>
          <w:w w:val="115"/>
        </w:rPr>
        <w:t>criminal</w:t>
      </w:r>
      <w:r>
        <w:rPr>
          <w:spacing w:val="-16"/>
          <w:w w:val="115"/>
        </w:rPr>
        <w:t> </w:t>
      </w:r>
      <w:r>
        <w:rPr>
          <w:w w:val="115"/>
        </w:rPr>
        <w:t>del</w:t>
      </w:r>
      <w:r>
        <w:rPr>
          <w:spacing w:val="-16"/>
          <w:w w:val="115"/>
        </w:rPr>
        <w:t> </w:t>
      </w:r>
      <w:r>
        <w:rPr>
          <w:w w:val="115"/>
        </w:rPr>
        <w:t>funcionamiento de la economía capitalista, que se ha visto ampliamente</w:t>
      </w:r>
      <w:r>
        <w:rPr>
          <w:spacing w:val="-31"/>
          <w:w w:val="115"/>
        </w:rPr>
        <w:t> </w:t>
      </w:r>
      <w:r>
        <w:rPr>
          <w:w w:val="115"/>
        </w:rPr>
        <w:t>beneficiada por</w:t>
      </w:r>
      <w:r>
        <w:rPr>
          <w:spacing w:val="-7"/>
          <w:w w:val="115"/>
        </w:rPr>
        <w:t> </w:t>
      </w:r>
      <w:r>
        <w:rPr>
          <w:w w:val="115"/>
        </w:rPr>
        <w:t>la</w:t>
      </w:r>
      <w:r>
        <w:rPr>
          <w:spacing w:val="-7"/>
          <w:w w:val="115"/>
        </w:rPr>
        <w:t> </w:t>
      </w:r>
      <w:r>
        <w:rPr>
          <w:w w:val="115"/>
        </w:rPr>
        <w:t>apertura</w:t>
      </w:r>
      <w:r>
        <w:rPr>
          <w:spacing w:val="-7"/>
          <w:w w:val="115"/>
        </w:rPr>
        <w:t> </w:t>
      </w:r>
      <w:r>
        <w:rPr>
          <w:w w:val="115"/>
        </w:rPr>
        <w:t>de</w:t>
      </w:r>
      <w:r>
        <w:rPr>
          <w:spacing w:val="-7"/>
          <w:w w:val="115"/>
        </w:rPr>
        <w:t> </w:t>
      </w:r>
      <w:r>
        <w:rPr>
          <w:w w:val="115"/>
        </w:rPr>
        <w:t>las</w:t>
      </w:r>
      <w:r>
        <w:rPr>
          <w:spacing w:val="-7"/>
          <w:w w:val="115"/>
        </w:rPr>
        <w:t> </w:t>
      </w:r>
      <w:r>
        <w:rPr>
          <w:w w:val="115"/>
        </w:rPr>
        <w:t>fronteras</w:t>
      </w:r>
      <w:r>
        <w:rPr>
          <w:spacing w:val="-7"/>
          <w:w w:val="115"/>
        </w:rPr>
        <w:t> </w:t>
      </w:r>
      <w:r>
        <w:rPr>
          <w:w w:val="115"/>
        </w:rPr>
        <w:t>a</w:t>
      </w:r>
      <w:r>
        <w:rPr>
          <w:spacing w:val="-7"/>
          <w:w w:val="115"/>
        </w:rPr>
        <w:t> </w:t>
      </w:r>
      <w:r>
        <w:rPr>
          <w:w w:val="115"/>
        </w:rPr>
        <w:t>la</w:t>
      </w:r>
      <w:r>
        <w:rPr>
          <w:spacing w:val="-7"/>
          <w:w w:val="115"/>
        </w:rPr>
        <w:t> </w:t>
      </w:r>
      <w:r>
        <w:rPr>
          <w:w w:val="115"/>
        </w:rPr>
        <w:t>circulación</w:t>
      </w:r>
      <w:r>
        <w:rPr>
          <w:spacing w:val="-7"/>
          <w:w w:val="115"/>
        </w:rPr>
        <w:t> </w:t>
      </w:r>
      <w:r>
        <w:rPr>
          <w:w w:val="115"/>
        </w:rPr>
        <w:t>de</w:t>
      </w:r>
      <w:r>
        <w:rPr>
          <w:spacing w:val="-7"/>
          <w:w w:val="115"/>
        </w:rPr>
        <w:t> </w:t>
      </w:r>
      <w:r>
        <w:rPr>
          <w:w w:val="115"/>
        </w:rPr>
        <w:t>bienes</w:t>
      </w:r>
      <w:r>
        <w:rPr>
          <w:spacing w:val="-7"/>
          <w:w w:val="115"/>
        </w:rPr>
        <w:t> </w:t>
      </w:r>
      <w:r>
        <w:rPr>
          <w:w w:val="115"/>
        </w:rPr>
        <w:t>y</w:t>
      </w:r>
      <w:r>
        <w:rPr>
          <w:spacing w:val="-7"/>
          <w:w w:val="115"/>
        </w:rPr>
        <w:t> </w:t>
      </w:r>
      <w:r>
        <w:rPr>
          <w:w w:val="115"/>
        </w:rPr>
        <w:t>capitales y</w:t>
      </w:r>
      <w:r>
        <w:rPr>
          <w:spacing w:val="-21"/>
          <w:w w:val="115"/>
        </w:rPr>
        <w:t> </w:t>
      </w:r>
      <w:r>
        <w:rPr>
          <w:w w:val="115"/>
        </w:rPr>
        <w:t>que</w:t>
      </w:r>
      <w:r>
        <w:rPr>
          <w:spacing w:val="-21"/>
          <w:w w:val="115"/>
        </w:rPr>
        <w:t> </w:t>
      </w:r>
      <w:r>
        <w:rPr>
          <w:w w:val="115"/>
        </w:rPr>
        <w:t>se</w:t>
      </w:r>
      <w:r>
        <w:rPr>
          <w:spacing w:val="-21"/>
          <w:w w:val="115"/>
        </w:rPr>
        <w:t> </w:t>
      </w:r>
      <w:r>
        <w:rPr>
          <w:w w:val="115"/>
        </w:rPr>
        <w:t>ha</w:t>
      </w:r>
      <w:r>
        <w:rPr>
          <w:spacing w:val="-21"/>
          <w:w w:val="115"/>
        </w:rPr>
        <w:t> </w:t>
      </w:r>
      <w:r>
        <w:rPr>
          <w:w w:val="115"/>
        </w:rPr>
        <w:t>revelado</w:t>
      </w:r>
      <w:r>
        <w:rPr>
          <w:spacing w:val="-21"/>
          <w:w w:val="115"/>
        </w:rPr>
        <w:t> </w:t>
      </w:r>
      <w:r>
        <w:rPr>
          <w:w w:val="115"/>
        </w:rPr>
        <w:t>altamente</w:t>
      </w:r>
      <w:r>
        <w:rPr>
          <w:spacing w:val="-21"/>
          <w:w w:val="115"/>
        </w:rPr>
        <w:t> </w:t>
      </w:r>
      <w:r>
        <w:rPr>
          <w:w w:val="115"/>
        </w:rPr>
        <w:t>rentable.</w:t>
      </w:r>
      <w:r>
        <w:rPr>
          <w:spacing w:val="-21"/>
          <w:w w:val="115"/>
        </w:rPr>
        <w:t> </w:t>
      </w:r>
      <w:r>
        <w:rPr>
          <w:w w:val="115"/>
        </w:rPr>
        <w:t>No</w:t>
      </w:r>
      <w:r>
        <w:rPr>
          <w:spacing w:val="-21"/>
          <w:w w:val="115"/>
        </w:rPr>
        <w:t> </w:t>
      </w:r>
      <w:r>
        <w:rPr>
          <w:w w:val="115"/>
        </w:rPr>
        <w:t>son</w:t>
      </w:r>
      <w:r>
        <w:rPr>
          <w:spacing w:val="-21"/>
          <w:w w:val="115"/>
        </w:rPr>
        <w:t> </w:t>
      </w:r>
      <w:r>
        <w:rPr>
          <w:w w:val="115"/>
        </w:rPr>
        <w:t>actividades</w:t>
      </w:r>
      <w:r>
        <w:rPr>
          <w:spacing w:val="-21"/>
          <w:w w:val="115"/>
        </w:rPr>
        <w:t> </w:t>
      </w:r>
      <w:r>
        <w:rPr>
          <w:w w:val="115"/>
        </w:rPr>
        <w:t>que</w:t>
      </w:r>
      <w:r>
        <w:rPr>
          <w:spacing w:val="-21"/>
          <w:w w:val="115"/>
        </w:rPr>
        <w:t> </w:t>
      </w:r>
      <w:r>
        <w:rPr>
          <w:w w:val="115"/>
        </w:rPr>
        <w:t>ame- nacen</w:t>
      </w:r>
      <w:r>
        <w:rPr>
          <w:spacing w:val="-24"/>
          <w:w w:val="115"/>
        </w:rPr>
        <w:t> </w:t>
      </w:r>
      <w:r>
        <w:rPr>
          <w:w w:val="115"/>
        </w:rPr>
        <w:t>al</w:t>
      </w:r>
      <w:r>
        <w:rPr>
          <w:spacing w:val="-24"/>
          <w:w w:val="115"/>
        </w:rPr>
        <w:t> </w:t>
      </w:r>
      <w:r>
        <w:rPr>
          <w:w w:val="115"/>
        </w:rPr>
        <w:t>sistema</w:t>
      </w:r>
      <w:r>
        <w:rPr>
          <w:spacing w:val="-24"/>
          <w:w w:val="115"/>
        </w:rPr>
        <w:t> </w:t>
      </w:r>
      <w:r>
        <w:rPr>
          <w:w w:val="115"/>
        </w:rPr>
        <w:t>aunque</w:t>
      </w:r>
      <w:r>
        <w:rPr>
          <w:spacing w:val="-24"/>
          <w:w w:val="115"/>
        </w:rPr>
        <w:t> </w:t>
      </w:r>
      <w:r>
        <w:rPr>
          <w:w w:val="115"/>
        </w:rPr>
        <w:t>erosionan</w:t>
      </w:r>
      <w:r>
        <w:rPr>
          <w:spacing w:val="-24"/>
          <w:w w:val="115"/>
        </w:rPr>
        <w:t> </w:t>
      </w:r>
      <w:r>
        <w:rPr>
          <w:w w:val="115"/>
        </w:rPr>
        <w:t>su</w:t>
      </w:r>
      <w:r>
        <w:rPr>
          <w:spacing w:val="-24"/>
          <w:w w:val="115"/>
        </w:rPr>
        <w:t> </w:t>
      </w:r>
      <w:r>
        <w:rPr>
          <w:w w:val="115"/>
        </w:rPr>
        <w:t>“legitimidad”.</w:t>
      </w:r>
      <w:r>
        <w:rPr>
          <w:spacing w:val="-24"/>
          <w:w w:val="115"/>
        </w:rPr>
        <w:t> </w:t>
      </w:r>
      <w:r>
        <w:rPr>
          <w:w w:val="115"/>
        </w:rPr>
        <w:t>En</w:t>
      </w:r>
      <w:r>
        <w:rPr>
          <w:spacing w:val="-24"/>
          <w:w w:val="115"/>
        </w:rPr>
        <w:t> </w:t>
      </w:r>
      <w:r>
        <w:rPr>
          <w:w w:val="115"/>
        </w:rPr>
        <w:t>momentos</w:t>
      </w:r>
      <w:r>
        <w:rPr>
          <w:spacing w:val="-24"/>
          <w:w w:val="115"/>
        </w:rPr>
        <w:t> </w:t>
      </w:r>
      <w:r>
        <w:rPr>
          <w:w w:val="115"/>
        </w:rPr>
        <w:t>de crisis</w:t>
      </w:r>
      <w:r>
        <w:rPr>
          <w:spacing w:val="-12"/>
          <w:w w:val="115"/>
        </w:rPr>
        <w:t> </w:t>
      </w:r>
      <w:r>
        <w:rPr>
          <w:w w:val="115"/>
        </w:rPr>
        <w:t>y</w:t>
      </w:r>
      <w:r>
        <w:rPr>
          <w:spacing w:val="-12"/>
          <w:w w:val="115"/>
        </w:rPr>
        <w:t> </w:t>
      </w:r>
      <w:r>
        <w:rPr>
          <w:w w:val="115"/>
        </w:rPr>
        <w:t>caída</w:t>
      </w:r>
      <w:r>
        <w:rPr>
          <w:spacing w:val="-12"/>
          <w:w w:val="115"/>
        </w:rPr>
        <w:t> </w:t>
      </w:r>
      <w:r>
        <w:rPr>
          <w:w w:val="115"/>
        </w:rPr>
        <w:t>de</w:t>
      </w:r>
      <w:r>
        <w:rPr>
          <w:spacing w:val="-12"/>
          <w:w w:val="115"/>
        </w:rPr>
        <w:t> </w:t>
      </w:r>
      <w:r>
        <w:rPr>
          <w:w w:val="115"/>
        </w:rPr>
        <w:t>las</w:t>
      </w:r>
      <w:r>
        <w:rPr>
          <w:spacing w:val="-12"/>
          <w:w w:val="115"/>
        </w:rPr>
        <w:t> </w:t>
      </w:r>
      <w:r>
        <w:rPr>
          <w:w w:val="115"/>
        </w:rPr>
        <w:t>tasas</w:t>
      </w:r>
      <w:r>
        <w:rPr>
          <w:spacing w:val="-12"/>
          <w:w w:val="115"/>
        </w:rPr>
        <w:t> </w:t>
      </w:r>
      <w:r>
        <w:rPr>
          <w:w w:val="115"/>
        </w:rPr>
        <w:t>de</w:t>
      </w:r>
      <w:r>
        <w:rPr>
          <w:spacing w:val="-12"/>
          <w:w w:val="115"/>
        </w:rPr>
        <w:t> </w:t>
      </w:r>
      <w:r>
        <w:rPr>
          <w:w w:val="115"/>
        </w:rPr>
        <w:t>ganancia</w:t>
      </w:r>
      <w:r>
        <w:rPr>
          <w:spacing w:val="-12"/>
          <w:w w:val="115"/>
        </w:rPr>
        <w:t> </w:t>
      </w:r>
      <w:r>
        <w:rPr>
          <w:w w:val="115"/>
        </w:rPr>
        <w:t>algunas</w:t>
      </w:r>
      <w:r>
        <w:rPr>
          <w:spacing w:val="-12"/>
          <w:w w:val="115"/>
        </w:rPr>
        <w:t> </w:t>
      </w:r>
      <w:r>
        <w:rPr>
          <w:w w:val="115"/>
        </w:rPr>
        <w:t>de</w:t>
      </w:r>
      <w:r>
        <w:rPr>
          <w:spacing w:val="-12"/>
          <w:w w:val="115"/>
        </w:rPr>
        <w:t> </w:t>
      </w:r>
      <w:r>
        <w:rPr>
          <w:w w:val="115"/>
        </w:rPr>
        <w:t>estas</w:t>
      </w:r>
      <w:r>
        <w:rPr>
          <w:spacing w:val="-12"/>
          <w:w w:val="115"/>
        </w:rPr>
        <w:t> </w:t>
      </w:r>
      <w:r>
        <w:rPr>
          <w:w w:val="115"/>
        </w:rPr>
        <w:t>actividades</w:t>
      </w:r>
      <w:r>
        <w:rPr>
          <w:spacing w:val="-12"/>
          <w:w w:val="115"/>
        </w:rPr>
        <w:t> </w:t>
      </w:r>
      <w:r>
        <w:rPr>
          <w:w w:val="115"/>
        </w:rPr>
        <w:t>se</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convierten en una suerte de refugio en los procesos de acumulación </w:t>
      </w:r>
      <w:r>
        <w:rPr>
          <w:w w:val="107"/>
        </w:rPr>
        <w:t>de</w:t>
      </w:r>
      <w:r>
        <w:rPr/>
        <w:t> </w:t>
      </w:r>
      <w:r>
        <w:rPr>
          <w:spacing w:val="-2"/>
        </w:rPr>
        <w:t> </w:t>
      </w:r>
      <w:r>
        <w:rPr>
          <w:w w:val="113"/>
        </w:rPr>
        <w:t>capital.</w:t>
      </w:r>
      <w:r>
        <w:rPr/>
        <w:t> </w:t>
      </w:r>
      <w:r>
        <w:rPr>
          <w:spacing w:val="-2"/>
        </w:rPr>
        <w:t> </w:t>
      </w:r>
      <w:r>
        <w:rPr>
          <w:w w:val="243"/>
        </w:rPr>
        <w:t>l</w:t>
      </w:r>
      <w:r>
        <w:rPr>
          <w:w w:val="112"/>
        </w:rPr>
        <w:t>a</w:t>
      </w:r>
      <w:r>
        <w:rPr/>
        <w:t> </w:t>
      </w:r>
      <w:r>
        <w:rPr>
          <w:spacing w:val="-2"/>
        </w:rPr>
        <w:t> </w:t>
      </w:r>
      <w:r>
        <w:rPr>
          <w:w w:val="112"/>
        </w:rPr>
        <w:t>articulación</w:t>
      </w:r>
      <w:r>
        <w:rPr/>
        <w:t> </w:t>
      </w:r>
      <w:r>
        <w:rPr>
          <w:spacing w:val="-2"/>
        </w:rPr>
        <w:t> </w:t>
      </w:r>
      <w:r>
        <w:rPr>
          <w:w w:val="106"/>
        </w:rPr>
        <w:t>entre</w:t>
      </w:r>
      <w:r>
        <w:rPr/>
        <w:t> </w:t>
      </w:r>
      <w:r>
        <w:rPr>
          <w:spacing w:val="-2"/>
        </w:rPr>
        <w:t> </w:t>
      </w:r>
      <w:r>
        <w:rPr>
          <w:w w:val="109"/>
        </w:rPr>
        <w:t>las</w:t>
      </w:r>
      <w:r>
        <w:rPr/>
        <w:t> </w:t>
      </w:r>
      <w:r>
        <w:rPr>
          <w:spacing w:val="-2"/>
        </w:rPr>
        <w:t> </w:t>
      </w:r>
      <w:r>
        <w:rPr>
          <w:w w:val="111"/>
        </w:rPr>
        <w:t>economías</w:t>
      </w:r>
      <w:r>
        <w:rPr/>
        <w:t> </w:t>
      </w:r>
      <w:r>
        <w:rPr>
          <w:spacing w:val="-2"/>
        </w:rPr>
        <w:t> </w:t>
      </w:r>
      <w:r>
        <w:rPr>
          <w:w w:val="108"/>
        </w:rPr>
        <w:t>legales</w:t>
      </w:r>
      <w:r>
        <w:rPr/>
        <w:t> </w:t>
      </w:r>
      <w:r>
        <w:rPr>
          <w:spacing w:val="-2"/>
        </w:rPr>
        <w:t> </w:t>
      </w:r>
      <w:r>
        <w:rPr>
          <w:w w:val="104"/>
        </w:rPr>
        <w:t>e</w:t>
      </w:r>
      <w:r>
        <w:rPr/>
        <w:t> </w:t>
      </w:r>
      <w:r>
        <w:rPr>
          <w:spacing w:val="-2"/>
        </w:rPr>
        <w:t> </w:t>
      </w:r>
      <w:r>
        <w:rPr>
          <w:w w:val="108"/>
        </w:rPr>
        <w:t>ilegales</w:t>
      </w:r>
      <w:r>
        <w:rPr/>
        <w:t> </w:t>
      </w:r>
      <w:r>
        <w:rPr>
          <w:spacing w:val="-2"/>
        </w:rPr>
        <w:t> </w:t>
      </w:r>
      <w:r>
        <w:rPr>
          <w:w w:val="105"/>
        </w:rPr>
        <w:t>es </w:t>
      </w:r>
      <w:r>
        <w:rPr>
          <w:w w:val="110"/>
        </w:rPr>
        <w:t>una evidencia empírica de lo funcional que son para el capital estas formas de actividad </w:t>
      </w:r>
      <w:r>
        <w:rPr>
          <w:spacing w:val="9"/>
          <w:w w:val="110"/>
        </w:rPr>
        <w:t> </w:t>
      </w:r>
      <w:r>
        <w:rPr>
          <w:w w:val="110"/>
        </w:rPr>
        <w:t>económica.</w:t>
      </w:r>
    </w:p>
    <w:p>
      <w:pPr>
        <w:pStyle w:val="BodyText"/>
        <w:spacing w:line="252" w:lineRule="auto"/>
        <w:ind w:left="330" w:right="116" w:firstLine="396"/>
        <w:jc w:val="both"/>
      </w:pPr>
      <w:r>
        <w:rPr>
          <w:w w:val="110"/>
        </w:rPr>
        <w:t>El nuevo enemigo de la seguridad de los Estados unidos es, desde el</w:t>
      </w:r>
      <w:r>
        <w:rPr>
          <w:spacing w:val="-7"/>
          <w:w w:val="110"/>
        </w:rPr>
        <w:t> </w:t>
      </w:r>
      <w:r>
        <w:rPr>
          <w:w w:val="110"/>
        </w:rPr>
        <w:t>11</w:t>
      </w:r>
      <w:r>
        <w:rPr>
          <w:spacing w:val="-7"/>
          <w:w w:val="110"/>
        </w:rPr>
        <w:t> </w:t>
      </w:r>
      <w:r>
        <w:rPr>
          <w:w w:val="110"/>
        </w:rPr>
        <w:t>de</w:t>
      </w:r>
      <w:r>
        <w:rPr>
          <w:spacing w:val="-7"/>
          <w:w w:val="110"/>
        </w:rPr>
        <w:t> </w:t>
      </w:r>
      <w:r>
        <w:rPr>
          <w:w w:val="110"/>
        </w:rPr>
        <w:t>septiembre</w:t>
      </w:r>
      <w:r>
        <w:rPr>
          <w:spacing w:val="-7"/>
          <w:w w:val="110"/>
        </w:rPr>
        <w:t> </w:t>
      </w:r>
      <w:r>
        <w:rPr>
          <w:w w:val="110"/>
        </w:rPr>
        <w:t>de</w:t>
      </w:r>
      <w:r>
        <w:rPr>
          <w:spacing w:val="-7"/>
          <w:w w:val="110"/>
        </w:rPr>
        <w:t> </w:t>
      </w:r>
      <w:r>
        <w:rPr>
          <w:w w:val="110"/>
        </w:rPr>
        <w:t>2001,</w:t>
      </w:r>
      <w:r>
        <w:rPr>
          <w:spacing w:val="-7"/>
          <w:w w:val="110"/>
        </w:rPr>
        <w:t> </w:t>
      </w:r>
      <w:r>
        <w:rPr>
          <w:w w:val="110"/>
        </w:rPr>
        <w:t>el</w:t>
      </w:r>
      <w:r>
        <w:rPr>
          <w:spacing w:val="-7"/>
          <w:w w:val="110"/>
        </w:rPr>
        <w:t> </w:t>
      </w:r>
      <w:r>
        <w:rPr>
          <w:w w:val="110"/>
        </w:rPr>
        <w:t>terrorismo.</w:t>
      </w:r>
      <w:r>
        <w:rPr>
          <w:spacing w:val="-7"/>
          <w:w w:val="110"/>
        </w:rPr>
        <w:t> </w:t>
      </w:r>
      <w:r>
        <w:rPr>
          <w:w w:val="110"/>
        </w:rPr>
        <w:t>Esta</w:t>
      </w:r>
      <w:r>
        <w:rPr>
          <w:spacing w:val="-7"/>
          <w:w w:val="110"/>
        </w:rPr>
        <w:t> </w:t>
      </w:r>
      <w:r>
        <w:rPr>
          <w:w w:val="110"/>
        </w:rPr>
        <w:t>redefinición</w:t>
      </w:r>
      <w:r>
        <w:rPr>
          <w:spacing w:val="-7"/>
          <w:w w:val="110"/>
        </w:rPr>
        <w:t> </w:t>
      </w:r>
      <w:r>
        <w:rPr>
          <w:w w:val="110"/>
        </w:rPr>
        <w:t>y</w:t>
      </w:r>
      <w:r>
        <w:rPr>
          <w:spacing w:val="-7"/>
          <w:w w:val="110"/>
        </w:rPr>
        <w:t> </w:t>
      </w:r>
      <w:r>
        <w:rPr>
          <w:w w:val="110"/>
        </w:rPr>
        <w:t>el</w:t>
      </w:r>
      <w:r>
        <w:rPr>
          <w:spacing w:val="-7"/>
          <w:w w:val="110"/>
        </w:rPr>
        <w:t> </w:t>
      </w:r>
      <w:r>
        <w:rPr>
          <w:spacing w:val="-3"/>
          <w:w w:val="110"/>
        </w:rPr>
        <w:t>enor- </w:t>
      </w:r>
      <w:r>
        <w:rPr>
          <w:w w:val="110"/>
        </w:rPr>
        <w:t>me poder cohesionador que logró, plantean una serie de dimensiones que conviene considerar detenidamente. El que la organización res- ponsable de los atentados, al Quaeda, se reivindique como defenso-   ra del islam, pareció confirmar la controvertida tesis de Huntington sobre lo que llamara en su momento “choque de civilizaciones”, tesis que ha hecho carrera en una forma perversa: la criminalización del otro en razón de su opción religiosa u origen nacional. atentados te- rroristas</w:t>
      </w:r>
      <w:r>
        <w:rPr>
          <w:spacing w:val="-5"/>
          <w:w w:val="110"/>
        </w:rPr>
        <w:t> </w:t>
      </w:r>
      <w:r>
        <w:rPr>
          <w:w w:val="110"/>
        </w:rPr>
        <w:t>posteriores</w:t>
      </w:r>
      <w:r>
        <w:rPr>
          <w:spacing w:val="-5"/>
          <w:w w:val="110"/>
        </w:rPr>
        <w:t> </w:t>
      </w:r>
      <w:r>
        <w:rPr>
          <w:w w:val="110"/>
        </w:rPr>
        <w:t>como</w:t>
      </w:r>
      <w:r>
        <w:rPr>
          <w:spacing w:val="-5"/>
          <w:w w:val="110"/>
        </w:rPr>
        <w:t> </w:t>
      </w:r>
      <w:r>
        <w:rPr>
          <w:w w:val="110"/>
        </w:rPr>
        <w:t>los</w:t>
      </w:r>
      <w:r>
        <w:rPr>
          <w:spacing w:val="-5"/>
          <w:w w:val="110"/>
        </w:rPr>
        <w:t> </w:t>
      </w:r>
      <w:r>
        <w:rPr>
          <w:w w:val="110"/>
        </w:rPr>
        <w:t>del</w:t>
      </w:r>
      <w:r>
        <w:rPr>
          <w:spacing w:val="-5"/>
          <w:w w:val="110"/>
        </w:rPr>
        <w:t> </w:t>
      </w:r>
      <w:r>
        <w:rPr>
          <w:w w:val="110"/>
        </w:rPr>
        <w:t>11</w:t>
      </w:r>
      <w:r>
        <w:rPr>
          <w:spacing w:val="-5"/>
          <w:w w:val="110"/>
        </w:rPr>
        <w:t> </w:t>
      </w:r>
      <w:r>
        <w:rPr>
          <w:w w:val="110"/>
        </w:rPr>
        <w:t>de</w:t>
      </w:r>
      <w:r>
        <w:rPr>
          <w:spacing w:val="-5"/>
          <w:w w:val="110"/>
        </w:rPr>
        <w:t> </w:t>
      </w:r>
      <w:r>
        <w:rPr>
          <w:w w:val="110"/>
        </w:rPr>
        <w:t>marzo</w:t>
      </w:r>
      <w:r>
        <w:rPr>
          <w:spacing w:val="-5"/>
          <w:w w:val="110"/>
        </w:rPr>
        <w:t> </w:t>
      </w:r>
      <w:r>
        <w:rPr>
          <w:w w:val="110"/>
        </w:rPr>
        <w:t>de</w:t>
      </w:r>
      <w:r>
        <w:rPr>
          <w:spacing w:val="-5"/>
          <w:w w:val="110"/>
        </w:rPr>
        <w:t> </w:t>
      </w:r>
      <w:r>
        <w:rPr>
          <w:w w:val="110"/>
        </w:rPr>
        <w:t>2004</w:t>
      </w:r>
      <w:r>
        <w:rPr>
          <w:spacing w:val="-5"/>
          <w:w w:val="110"/>
        </w:rPr>
        <w:t> </w:t>
      </w:r>
      <w:r>
        <w:rPr>
          <w:w w:val="110"/>
        </w:rPr>
        <w:t>en</w:t>
      </w:r>
      <w:r>
        <w:rPr>
          <w:spacing w:val="-5"/>
          <w:w w:val="110"/>
        </w:rPr>
        <w:t> </w:t>
      </w:r>
      <w:r>
        <w:rPr>
          <w:w w:val="110"/>
        </w:rPr>
        <w:t>Madrid,</w:t>
      </w:r>
      <w:r>
        <w:rPr>
          <w:spacing w:val="-5"/>
          <w:w w:val="110"/>
        </w:rPr>
        <w:t> </w:t>
      </w:r>
      <w:r>
        <w:rPr>
          <w:w w:val="110"/>
        </w:rPr>
        <w:t>los más recientes en París –contra el periódico </w:t>
      </w:r>
      <w:r>
        <w:rPr>
          <w:i/>
          <w:w w:val="110"/>
        </w:rPr>
        <w:t>Charlie Hebdo </w:t>
      </w:r>
      <w:r>
        <w:rPr>
          <w:w w:val="110"/>
        </w:rPr>
        <w:t>en enero y los atentados simultáneos del 13 de noviembre de este año en el co- razón de la ciudad– así como los ocurridos en beirut, entre otros, no solamente reforzarían esa interpretación sino que revelarían que el enemigo es ubicuo –está potencialmente presente en no importa qué parte del planeta–, atenta contra los valores universales y por tanto contra la humanidad, como lo proclamó el presidente Hollande de Francia, no es identificable con un Estado en particular aunque haya Estados que los apoyen y no constituyen ejércitos ni se limitan al uso de armas convencionales. </w:t>
      </w:r>
      <w:r>
        <w:rPr>
          <w:spacing w:val="-4"/>
          <w:w w:val="110"/>
        </w:rPr>
        <w:t>todos </w:t>
      </w:r>
      <w:r>
        <w:rPr>
          <w:w w:val="110"/>
        </w:rPr>
        <w:t>estos elementos alimentaron las di- mensiones moralistas de la guerra contra el terrorismo, la invistieron de rasgos propios de las “guerras santas” o religiosas del pasado y terminaron por justificar la persecución del otro, del diferente, por razones ideológico-religiosas y culturales en sentido amplio. Es una guerra que, inevitablemente, se libra en los espacios de la cotidiani- dad transformados en “campos de batalla”. Convertidas estas dimen- siones en fundamento de políticas de seguridad internas explican que la administración bush llevara al límite la militarización de la socie- dad, fortaleciera en extremo el poder presidencial en asuntos tales como la competencia para declarar guerras, limitara el derecho a la intimidad mediante la autorización para interferir comunicaciones,   se suspendieran instituciones de vigencia universal como el </w:t>
      </w:r>
      <w:r>
        <w:rPr>
          <w:i/>
          <w:w w:val="110"/>
        </w:rPr>
        <w:t>Habeas </w:t>
      </w:r>
      <w:r>
        <w:rPr>
          <w:i/>
          <w:w w:val="110"/>
        </w:rPr>
        <w:t>Corpus</w:t>
      </w:r>
      <w:r>
        <w:rPr>
          <w:w w:val="110"/>
        </w:rPr>
        <w:t>, y se crearan las condiciones para desarrollar impunemente conductas violatorias de los derechos humanos, tal como se ha pues- to de manifiesto en Guantánamo y en abu Graib. El </w:t>
      </w:r>
      <w:r>
        <w:rPr>
          <w:i/>
          <w:w w:val="110"/>
        </w:rPr>
        <w:t>Patriot Act </w:t>
      </w:r>
      <w:r>
        <w:rPr>
          <w:w w:val="110"/>
        </w:rPr>
        <w:t>es un catálogo de recortes de derechos y libertades fundamentales para los ciudadanos</w:t>
      </w:r>
      <w:r>
        <w:rPr>
          <w:spacing w:val="15"/>
          <w:w w:val="110"/>
        </w:rPr>
        <w:t> </w:t>
      </w:r>
      <w:r>
        <w:rPr>
          <w:w w:val="110"/>
        </w:rPr>
        <w:t>estadounidenses.</w:t>
      </w:r>
    </w:p>
    <w:p>
      <w:pPr>
        <w:pStyle w:val="BodyText"/>
        <w:spacing w:line="252" w:lineRule="auto"/>
        <w:ind w:left="330" w:right="118" w:firstLine="396"/>
        <w:jc w:val="both"/>
      </w:pPr>
      <w:r>
        <w:rPr>
          <w:w w:val="110"/>
        </w:rPr>
        <w:t>En este nuevo contexto los factores de coerción militares y poli- civos prevalecieron y se fortaleció como sustento de ello un  elemento</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w w:val="110"/>
        </w:rPr>
        <w:t>ideológico: la defensa de los valores y las tradiciones de occidente mediante la defensa de la dignidad humana ante los “bárbaros” que hacen del terror su instrumento de  acción.</w:t>
      </w:r>
    </w:p>
    <w:p>
      <w:pPr>
        <w:pStyle w:val="BodyText"/>
        <w:spacing w:line="252" w:lineRule="auto"/>
        <w:ind w:left="120" w:right="327" w:firstLine="396"/>
        <w:jc w:val="both"/>
      </w:pPr>
      <w:r>
        <w:rPr>
          <w:spacing w:val="-6"/>
          <w:w w:val="125"/>
        </w:rPr>
        <w:t>tal </w:t>
      </w:r>
      <w:r>
        <w:rPr>
          <w:w w:val="110"/>
        </w:rPr>
        <w:t>como lo proclamara el entonces secretario de Estado, Colin Powell, estos atentados, por su significación e implicaciones, nos co- locaron en la transición a un nuevo período: “No solamente la Guerra Fría ha terminado, igualmente el período de la post Guerra Fría ha terminado”. Entrada dramática a una nueva era que, según algunos analistas, modificó sustancialmente las relaciones internacionales y los protocolos de seguridad como quiera que “individuos pobremente armados de repente retaron, sorprendieron e hirieron a la superpo- </w:t>
      </w:r>
      <w:r>
        <w:rPr>
          <w:w w:val="110"/>
        </w:rPr>
        <w:t>tencia</w:t>
      </w:r>
      <w:r>
        <w:rPr/>
        <w:t> </w:t>
      </w:r>
      <w:r>
        <w:rPr>
          <w:spacing w:val="-21"/>
        </w:rPr>
        <w:t> </w:t>
      </w:r>
      <w:r>
        <w:rPr>
          <w:w w:val="110"/>
        </w:rPr>
        <w:t>dominante</w:t>
      </w:r>
      <w:r>
        <w:rPr/>
        <w:t> </w:t>
      </w:r>
      <w:r>
        <w:rPr>
          <w:spacing w:val="-21"/>
        </w:rPr>
        <w:t> </w:t>
      </w:r>
      <w:r>
        <w:rPr>
          <w:w w:val="108"/>
        </w:rPr>
        <w:t>en</w:t>
      </w:r>
      <w:r>
        <w:rPr/>
        <w:t> </w:t>
      </w:r>
      <w:r>
        <w:rPr>
          <w:spacing w:val="-21"/>
        </w:rPr>
        <w:t> </w:t>
      </w:r>
      <w:r>
        <w:rPr>
          <w:w w:val="107"/>
        </w:rPr>
        <w:t>el</w:t>
      </w:r>
      <w:r>
        <w:rPr/>
        <w:t> </w:t>
      </w:r>
      <w:r>
        <w:rPr>
          <w:spacing w:val="-21"/>
        </w:rPr>
        <w:t> </w:t>
      </w:r>
      <w:r>
        <w:rPr>
          <w:w w:val="113"/>
        </w:rPr>
        <w:t>mundo.</w:t>
      </w:r>
      <w:r>
        <w:rPr/>
        <w:t> </w:t>
      </w:r>
      <w:r>
        <w:rPr>
          <w:spacing w:val="-21"/>
        </w:rPr>
        <w:t> </w:t>
      </w:r>
      <w:r>
        <w:rPr>
          <w:w w:val="243"/>
        </w:rPr>
        <w:t>l</w:t>
      </w:r>
      <w:r>
        <w:rPr>
          <w:w w:val="108"/>
        </w:rPr>
        <w:t>os</w:t>
      </w:r>
      <w:r>
        <w:rPr/>
        <w:t> </w:t>
      </w:r>
      <w:r>
        <w:rPr>
          <w:spacing w:val="-21"/>
        </w:rPr>
        <w:t> </w:t>
      </w:r>
      <w:r>
        <w:rPr>
          <w:w w:val="108"/>
        </w:rPr>
        <w:t>ataques</w:t>
      </w:r>
      <w:r>
        <w:rPr/>
        <w:t> </w:t>
      </w:r>
      <w:r>
        <w:rPr>
          <w:spacing w:val="-21"/>
        </w:rPr>
        <w:t> </w:t>
      </w:r>
      <w:r>
        <w:rPr>
          <w:w w:val="109"/>
        </w:rPr>
        <w:t>mostraron</w:t>
      </w:r>
      <w:r>
        <w:rPr/>
        <w:t> </w:t>
      </w:r>
      <w:r>
        <w:rPr>
          <w:spacing w:val="-21"/>
        </w:rPr>
        <w:t> </w:t>
      </w:r>
      <w:r>
        <w:rPr>
          <w:w w:val="110"/>
        </w:rPr>
        <w:t>también</w:t>
      </w:r>
      <w:r>
        <w:rPr/>
        <w:t> </w:t>
      </w:r>
      <w:r>
        <w:rPr>
          <w:spacing w:val="-21"/>
        </w:rPr>
        <w:t> </w:t>
      </w:r>
      <w:r>
        <w:rPr>
          <w:w w:val="111"/>
        </w:rPr>
        <w:t>que, </w:t>
      </w:r>
      <w:r>
        <w:rPr>
          <w:w w:val="110"/>
        </w:rPr>
        <w:t>para todos los efectos, la globalización permite que terribles formas de violencia sean fácilmente accesibles para fanáticos desesperados” (Hoffman, 2002:</w:t>
      </w:r>
      <w:r>
        <w:rPr>
          <w:spacing w:val="-1"/>
          <w:w w:val="110"/>
        </w:rPr>
        <w:t> </w:t>
      </w:r>
      <w:r>
        <w:rPr>
          <w:w w:val="110"/>
        </w:rPr>
        <w:t>104).</w:t>
      </w:r>
    </w:p>
    <w:p>
      <w:pPr>
        <w:pStyle w:val="BodyText"/>
        <w:spacing w:line="252" w:lineRule="auto"/>
        <w:ind w:left="120" w:right="327" w:firstLine="396"/>
        <w:jc w:val="both"/>
      </w:pPr>
      <w:r>
        <w:rPr>
          <w:w w:val="243"/>
        </w:rPr>
        <w:t>l</w:t>
      </w:r>
      <w:r>
        <w:rPr>
          <w:w w:val="112"/>
        </w:rPr>
        <w:t>a</w:t>
      </w:r>
      <w:r>
        <w:rPr/>
        <w:t> </w:t>
      </w:r>
      <w:r>
        <w:rPr>
          <w:spacing w:val="-9"/>
        </w:rPr>
        <w:t> </w:t>
      </w:r>
      <w:r>
        <w:rPr>
          <w:w w:val="111"/>
        </w:rPr>
        <w:t>Estrategia</w:t>
      </w:r>
      <w:r>
        <w:rPr/>
        <w:t> </w:t>
      </w:r>
      <w:r>
        <w:rPr>
          <w:spacing w:val="-9"/>
        </w:rPr>
        <w:t> </w:t>
      </w:r>
      <w:r>
        <w:rPr>
          <w:w w:val="107"/>
        </w:rPr>
        <w:t>de</w:t>
      </w:r>
      <w:r>
        <w:rPr/>
        <w:t> </w:t>
      </w:r>
      <w:r>
        <w:rPr>
          <w:spacing w:val="-9"/>
        </w:rPr>
        <w:t> </w:t>
      </w:r>
      <w:r>
        <w:rPr>
          <w:w w:val="149"/>
        </w:rPr>
        <w:t>s</w:t>
      </w:r>
      <w:r>
        <w:rPr>
          <w:w w:val="109"/>
        </w:rPr>
        <w:t>eguridad</w:t>
      </w:r>
      <w:r>
        <w:rPr/>
        <w:t> </w:t>
      </w:r>
      <w:r>
        <w:rPr>
          <w:spacing w:val="-9"/>
        </w:rPr>
        <w:t> </w:t>
      </w:r>
      <w:r>
        <w:rPr>
          <w:w w:val="110"/>
        </w:rPr>
        <w:t>adoptada</w:t>
      </w:r>
      <w:r>
        <w:rPr/>
        <w:t> </w:t>
      </w:r>
      <w:r>
        <w:rPr>
          <w:spacing w:val="-9"/>
        </w:rPr>
        <w:t> </w:t>
      </w:r>
      <w:r>
        <w:rPr>
          <w:w w:val="112"/>
        </w:rPr>
        <w:t>a</w:t>
      </w:r>
      <w:r>
        <w:rPr/>
        <w:t> </w:t>
      </w:r>
      <w:r>
        <w:rPr>
          <w:spacing w:val="-9"/>
        </w:rPr>
        <w:t> </w:t>
      </w:r>
      <w:r>
        <w:rPr>
          <w:w w:val="111"/>
        </w:rPr>
        <w:t>raíz</w:t>
      </w:r>
      <w:r>
        <w:rPr/>
        <w:t> </w:t>
      </w:r>
      <w:r>
        <w:rPr>
          <w:spacing w:val="-9"/>
        </w:rPr>
        <w:t> </w:t>
      </w:r>
      <w:r>
        <w:rPr>
          <w:w w:val="107"/>
        </w:rPr>
        <w:t>de</w:t>
      </w:r>
      <w:r>
        <w:rPr/>
        <w:t> </w:t>
      </w:r>
      <w:r>
        <w:rPr>
          <w:spacing w:val="-9"/>
        </w:rPr>
        <w:t> </w:t>
      </w:r>
      <w:r>
        <w:rPr>
          <w:w w:val="108"/>
        </w:rPr>
        <w:t>los</w:t>
      </w:r>
      <w:r>
        <w:rPr/>
        <w:t> </w:t>
      </w:r>
      <w:r>
        <w:rPr>
          <w:spacing w:val="-9"/>
        </w:rPr>
        <w:t> </w:t>
      </w:r>
      <w:r>
        <w:rPr>
          <w:w w:val="109"/>
        </w:rPr>
        <w:t>atentados</w:t>
      </w:r>
      <w:r>
        <w:rPr/>
        <w:t> </w:t>
      </w:r>
      <w:r>
        <w:rPr>
          <w:spacing w:val="-9"/>
        </w:rPr>
        <w:t> </w:t>
      </w:r>
      <w:r>
        <w:rPr>
          <w:w w:val="105"/>
        </w:rPr>
        <w:t>se </w:t>
      </w:r>
      <w:r>
        <w:rPr>
          <w:w w:val="110"/>
        </w:rPr>
        <w:t>ajustó a las concepciones sostenidas por los neoconservadores agru- pados en el PNaC. según la Estrategia los Estados unidos “se ven amenazados ahora no tanto por Estados conquistadores como por Estados fallidos. Nos amenazan menos las flotas y los ejércitos que   las tecnologías catastróficas en manos de unos pocos amargados. debemos eliminar estas amenazas a nuestra nación, a nuestros alia- dos y amigos... El enemigo no es un régimen político, persona, reli- gión o ideología aislados. El enemigo es el terrorismo premeditado,   la violencia por motivos políticos perpetrada contra seres inocentes” (Hoffman, 2002: 104). Y reiteran que los Estados unidos “poseen en  el mundo poder e influencia sin precedentes y sin igual... se debe usar la gran fuerza de esta nación para promover un equilibrio de poder que favorezca la libertad”</w:t>
      </w:r>
      <w:r>
        <w:rPr>
          <w:w w:val="110"/>
          <w:position w:val="6"/>
          <w:sz w:val="11"/>
        </w:rPr>
        <w:t>6</w:t>
      </w:r>
      <w:r>
        <w:rPr>
          <w:w w:val="110"/>
        </w:rPr>
        <w:t>, tal como lo planteaba desde el año 2000 el citado informe del “Proyecto para el Nuevo siglo   </w:t>
      </w:r>
      <w:r>
        <w:rPr>
          <w:spacing w:val="32"/>
          <w:w w:val="110"/>
        </w:rPr>
        <w:t> </w:t>
      </w:r>
      <w:r>
        <w:rPr>
          <w:w w:val="110"/>
        </w:rPr>
        <w:t>americano”.</w:t>
      </w:r>
    </w:p>
    <w:p>
      <w:pPr>
        <w:pStyle w:val="BodyText"/>
        <w:spacing w:line="252" w:lineRule="auto"/>
        <w:ind w:left="120" w:right="326" w:firstLine="396"/>
        <w:jc w:val="both"/>
      </w:pPr>
      <w:r>
        <w:rPr>
          <w:w w:val="110"/>
        </w:rPr>
        <w:t>antes de los atentados del 11 de septiembre la administración bush Jr. se había propuesto aumentar el gasto militar, lo que no de- jaba “de revelar la inquietud del </w:t>
      </w:r>
      <w:r>
        <w:rPr>
          <w:i/>
          <w:w w:val="110"/>
        </w:rPr>
        <w:t>establishment </w:t>
      </w:r>
      <w:r>
        <w:rPr>
          <w:w w:val="110"/>
        </w:rPr>
        <w:t>norteamericano por el potencial de EE.uu. de cara a sentar las bases de un poder imperial. Cuando el presidente bush acometió el primer repunte del presu- puesto de defensa para el ejercicio fiscal 2002, lo justificó explicando que américa se encontraba en una situación intermedia: el aparato militar estadounidense estaba sobredimensionado para garantizar la seguridad de la nación, pero era insuficiente para controlar un im- perio; ni siquiera bastaba para mantener una hegemonía duradera</w:t>
      </w:r>
    </w:p>
    <w:p>
      <w:pPr>
        <w:pStyle w:val="BodyText"/>
        <w:spacing w:before="4"/>
      </w:pPr>
      <w:r>
        <w:rPr/>
        <w:pict>
          <v:line style="position:absolute;mso-position-horizontal-relative:page;mso-position-vertical-relative:paragraph;z-index:7360;mso-wrap-distance-left:0;mso-wrap-distance-right:0" from="51.023602pt,13.558232pt" to="79.369602pt,13.558232pt" stroked="true" strokeweight=".5pt" strokecolor="#000000">
            <w10:wrap type="topAndBottom"/>
          </v:line>
        </w:pict>
      </w:r>
    </w:p>
    <w:p>
      <w:pPr>
        <w:pStyle w:val="ListParagraph"/>
        <w:numPr>
          <w:ilvl w:val="0"/>
          <w:numId w:val="31"/>
        </w:numPr>
        <w:tabs>
          <w:tab w:pos="376" w:val="left" w:leader="none"/>
        </w:tabs>
        <w:spacing w:line="242" w:lineRule="auto" w:before="89" w:after="0"/>
        <w:ind w:left="120" w:right="328" w:firstLine="0"/>
        <w:jc w:val="left"/>
        <w:rPr>
          <w:sz w:val="16"/>
        </w:rPr>
      </w:pPr>
      <w:r>
        <w:rPr>
          <w:w w:val="105"/>
          <w:sz w:val="16"/>
        </w:rPr>
        <w:t>Estrategia de seguridad Nacional de Estados unidos de américa, Casa blanca, Washington, septiembre de 2002,</w:t>
      </w:r>
      <w:r>
        <w:rPr>
          <w:spacing w:val="-25"/>
          <w:w w:val="105"/>
          <w:sz w:val="16"/>
        </w:rPr>
        <w:t> </w:t>
      </w:r>
      <w:r>
        <w:rPr>
          <w:w w:val="105"/>
          <w:sz w:val="16"/>
        </w:rPr>
        <w:t>&lt;http:/usinfo.state.gov/español/terror/#contents&gt;.</w:t>
      </w:r>
    </w:p>
    <w:p>
      <w:pPr>
        <w:spacing w:after="0" w:line="242" w:lineRule="auto"/>
        <w:jc w:val="left"/>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en Eurasia. En 2002, por primera vez en quince años, el presupuesto para defensa experimentó una ligera modificación al alza. Pero fue       a partir del año fiscal 2003, después de los atentados de Nueva </w:t>
      </w:r>
      <w:r>
        <w:rPr>
          <w:spacing w:val="-5"/>
          <w:w w:val="110"/>
        </w:rPr>
        <w:t>York    </w:t>
      </w:r>
      <w:r>
        <w:rPr>
          <w:w w:val="110"/>
        </w:rPr>
        <w:t>y Washington, que se dispararon las cifras, hasta convertir al país en el mayor contribuyente al gasto militar mundial, con el 40% del total  y por encima de los quince países que le seguían. En el marco de la nueva estrategia de seguridad nacional, la Casa blanca anunció un incremento del 11.8% en el gasto militar federal, transformando el superávit presupuestario que dejara bill Clinton en un saldo negativo cercano al 4% del Pib” (Correa, </w:t>
      </w:r>
      <w:r>
        <w:rPr>
          <w:spacing w:val="25"/>
          <w:w w:val="110"/>
        </w:rPr>
        <w:t> </w:t>
      </w:r>
      <w:r>
        <w:rPr>
          <w:w w:val="110"/>
        </w:rPr>
        <w:t>2005).</w:t>
      </w:r>
    </w:p>
    <w:p>
      <w:pPr>
        <w:pStyle w:val="BodyText"/>
        <w:spacing w:line="252" w:lineRule="auto"/>
        <w:ind w:left="330" w:right="117" w:firstLine="396"/>
        <w:jc w:val="both"/>
      </w:pPr>
      <w:r>
        <w:rPr>
          <w:w w:val="110"/>
        </w:rPr>
        <w:t>de nuevo, invocando su historia y su misión de defensores de la libertad en el planeta asumen que tienen “responsabilidades y obliga- ciones” que los convocan a echar sobre sus espaldas la formación de amplias coaliciones para derrotar el terrorismo mundial, a desarrollar acciones preventivas de eventuales ataques contra su seguridad o la de sus amigos, a colaborar para resolver los conflictos regionales, a promover “el crecimiento económico mundial por medio de los </w:t>
      </w:r>
      <w:r>
        <w:rPr>
          <w:spacing w:val="-4"/>
          <w:w w:val="110"/>
        </w:rPr>
        <w:t>mer- </w:t>
      </w:r>
      <w:r>
        <w:rPr>
          <w:w w:val="110"/>
        </w:rPr>
        <w:t>cados libres y el libre comercio” y a expandir el “círculo del desarrollo al abrir las sociedades y crear la infraestructura de la democracia”.    se trata entonces de una política de seguridad integral que articula dimensiones militares, económicas y políticas y que tiene como hori- zonte el fortalecimiento de mercados libres y de la democracia… bajo la tutela estadounidense y en defensa de sus</w:t>
      </w:r>
      <w:r>
        <w:rPr>
          <w:spacing w:val="11"/>
          <w:w w:val="110"/>
        </w:rPr>
        <w:t> </w:t>
      </w:r>
      <w:r>
        <w:rPr>
          <w:w w:val="110"/>
        </w:rPr>
        <w:t>intereses.</w:t>
      </w:r>
    </w:p>
    <w:p>
      <w:pPr>
        <w:pStyle w:val="BodyText"/>
        <w:spacing w:line="252" w:lineRule="auto"/>
        <w:ind w:left="330" w:right="114" w:firstLine="396"/>
        <w:jc w:val="both"/>
      </w:pPr>
      <w:r>
        <w:rPr>
          <w:w w:val="110"/>
        </w:rPr>
        <w:t>Más allá de la retórica que asocia sus intereses a lo que hemos identificado como sus valores fundacionales, éstos se materializan,      o mejor, se territorializan en aquellas zonas del planeta en las </w:t>
      </w:r>
      <w:r>
        <w:rPr>
          <w:spacing w:val="2"/>
          <w:w w:val="110"/>
        </w:rPr>
        <w:t>que      </w:t>
      </w:r>
      <w:r>
        <w:rPr>
          <w:w w:val="110"/>
        </w:rPr>
        <w:t>se encuentran recursos de valor estratégico para  los  Estados  uni- dos, tal como materias primas para sus industrias estratégicas. su seguridad está asociada al acceso a estos recursos. Y tal es la razón   de la invasión a irak con el pretexto de poner fin a un régimen </w:t>
      </w:r>
      <w:r>
        <w:rPr>
          <w:spacing w:val="2"/>
          <w:w w:val="110"/>
        </w:rPr>
        <w:t>que </w:t>
      </w:r>
      <w:r>
        <w:rPr>
          <w:w w:val="110"/>
        </w:rPr>
        <w:t>ampara la producción y tenencia de armas de destrucción masiva. irak, por sus reservas petroleras es uno de los territorios de interés estratégico. El derrocamiento de Hussein tenía sentido para instau- rar un régimen pronorteamericano, lanzar un mensaje a irán, rom-  per el aislamiento regional de israel y afirmar el liderazgo político y militar (Correa,</w:t>
      </w:r>
      <w:r>
        <w:rPr>
          <w:spacing w:val="39"/>
          <w:w w:val="110"/>
        </w:rPr>
        <w:t> </w:t>
      </w:r>
      <w:r>
        <w:rPr>
          <w:spacing w:val="2"/>
          <w:w w:val="110"/>
        </w:rPr>
        <w:t>2005).</w:t>
      </w:r>
    </w:p>
    <w:p>
      <w:pPr>
        <w:pStyle w:val="BodyText"/>
        <w:spacing w:line="252" w:lineRule="auto"/>
        <w:ind w:left="330" w:right="117" w:firstLine="396"/>
        <w:jc w:val="both"/>
      </w:pPr>
      <w:r>
        <w:rPr>
          <w:w w:val="110"/>
        </w:rPr>
        <w:t>El control de territorios de interés estratégico por sus recursos naturales, es uno de los objetivos fundamentales de estos modernos “cruzados” en ejercicio de su condición de gendarmes universales, promotores de la democracia, defensores de la libertad y el mercado  y garantes de su dinamismo. Y para ello es legítimo romper con la ortodoxia neoliberal y romper los sacrosantos equilibrios macroeco- nómicos con tal de “disponer de las fuerzas requeridas necesarias  </w:t>
      </w:r>
      <w:r>
        <w:rPr>
          <w:spacing w:val="27"/>
          <w:w w:val="110"/>
        </w:rPr>
        <w:t> </w:t>
      </w:r>
      <w:r>
        <w:rPr>
          <w:w w:val="110"/>
        </w:rPr>
        <w:t>no</w:t>
      </w:r>
    </w:p>
    <w:p>
      <w:pPr>
        <w:spacing w:after="0" w:line="252" w:lineRule="auto"/>
        <w:jc w:val="both"/>
        <w:sectPr>
          <w:footerReference w:type="default" r:id="rId422"/>
          <w:footerReference w:type="even" r:id="rId423"/>
          <w:pgSz w:w="8790" w:h="12760"/>
          <w:pgMar w:footer="725" w:header="695" w:top="880" w:bottom="920" w:left="1200" w:right="900"/>
        </w:sectPr>
      </w:pPr>
    </w:p>
    <w:p>
      <w:pPr>
        <w:pStyle w:val="BodyText"/>
        <w:spacing w:before="9"/>
        <w:rPr>
          <w:sz w:val="28"/>
        </w:rPr>
      </w:pPr>
    </w:p>
    <w:p>
      <w:pPr>
        <w:pStyle w:val="BodyText"/>
        <w:spacing w:line="252" w:lineRule="auto" w:before="73"/>
        <w:ind w:left="100" w:right="328"/>
        <w:jc w:val="both"/>
      </w:pPr>
      <w:r>
        <w:rPr>
          <w:w w:val="110"/>
        </w:rPr>
        <w:t>sólo para vencer un ataque, sino para sacar a esos regímenes del po- der y dirigir operaciones de estabilización tras los combates” como en </w:t>
      </w:r>
      <w:r>
        <w:rPr>
          <w:w w:val="109"/>
        </w:rPr>
        <w:t>efecto</w:t>
      </w:r>
      <w:r>
        <w:rPr/>
        <w:t> </w:t>
      </w:r>
      <w:r>
        <w:rPr>
          <w:spacing w:val="-20"/>
        </w:rPr>
        <w:t> </w:t>
      </w:r>
      <w:r>
        <w:rPr>
          <w:w w:val="105"/>
        </w:rPr>
        <w:t>se</w:t>
      </w:r>
      <w:r>
        <w:rPr/>
        <w:t> </w:t>
      </w:r>
      <w:r>
        <w:rPr>
          <w:spacing w:val="-20"/>
        </w:rPr>
        <w:t> </w:t>
      </w:r>
      <w:r>
        <w:rPr>
          <w:w w:val="112"/>
        </w:rPr>
        <w:t>hizo</w:t>
      </w:r>
      <w:r>
        <w:rPr/>
        <w:t> </w:t>
      </w:r>
      <w:r>
        <w:rPr>
          <w:spacing w:val="-20"/>
        </w:rPr>
        <w:t> </w:t>
      </w:r>
      <w:r>
        <w:rPr>
          <w:w w:val="108"/>
        </w:rPr>
        <w:t>en</w:t>
      </w:r>
      <w:r>
        <w:rPr/>
        <w:t> </w:t>
      </w:r>
      <w:r>
        <w:rPr>
          <w:spacing w:val="-20"/>
        </w:rPr>
        <w:t> </w:t>
      </w:r>
      <w:r>
        <w:rPr>
          <w:w w:val="139"/>
        </w:rPr>
        <w:t>a</w:t>
      </w:r>
      <w:r>
        <w:rPr>
          <w:w w:val="111"/>
        </w:rPr>
        <w:t>fganistán</w:t>
      </w:r>
      <w:r>
        <w:rPr/>
        <w:t> </w:t>
      </w:r>
      <w:r>
        <w:rPr>
          <w:spacing w:val="-20"/>
        </w:rPr>
        <w:t> </w:t>
      </w:r>
      <w:r>
        <w:rPr>
          <w:w w:val="104"/>
        </w:rPr>
        <w:t>e</w:t>
      </w:r>
      <w:r>
        <w:rPr/>
        <w:t> </w:t>
      </w:r>
      <w:r>
        <w:rPr>
          <w:spacing w:val="-20"/>
        </w:rPr>
        <w:t> </w:t>
      </w:r>
      <w:r>
        <w:rPr>
          <w:w w:val="142"/>
        </w:rPr>
        <w:t>i</w:t>
      </w:r>
      <w:r>
        <w:rPr>
          <w:w w:val="112"/>
        </w:rPr>
        <w:t>rak.</w:t>
      </w:r>
      <w:r>
        <w:rPr/>
        <w:t> </w:t>
      </w:r>
      <w:r>
        <w:rPr>
          <w:spacing w:val="-20"/>
        </w:rPr>
        <w:t> </w:t>
      </w:r>
      <w:r>
        <w:rPr>
          <w:w w:val="243"/>
        </w:rPr>
        <w:t>l</w:t>
      </w:r>
      <w:r>
        <w:rPr>
          <w:w w:val="112"/>
        </w:rPr>
        <w:t>a</w:t>
      </w:r>
      <w:r>
        <w:rPr/>
        <w:t> </w:t>
      </w:r>
      <w:r>
        <w:rPr>
          <w:spacing w:val="-20"/>
        </w:rPr>
        <w:t> </w:t>
      </w:r>
      <w:r>
        <w:rPr>
          <w:w w:val="108"/>
        </w:rPr>
        <w:t>espada</w:t>
      </w:r>
      <w:r>
        <w:rPr/>
        <w:t> </w:t>
      </w:r>
      <w:r>
        <w:rPr>
          <w:spacing w:val="-20"/>
        </w:rPr>
        <w:t> </w:t>
      </w:r>
      <w:r>
        <w:rPr>
          <w:w w:val="108"/>
        </w:rPr>
        <w:t>vengadora</w:t>
      </w:r>
      <w:r>
        <w:rPr/>
        <w:t> </w:t>
      </w:r>
      <w:r>
        <w:rPr>
          <w:spacing w:val="-20"/>
        </w:rPr>
        <w:t> </w:t>
      </w:r>
      <w:r>
        <w:rPr>
          <w:w w:val="105"/>
        </w:rPr>
        <w:t>y</w:t>
      </w:r>
      <w:r>
        <w:rPr/>
        <w:t> </w:t>
      </w:r>
      <w:r>
        <w:rPr>
          <w:spacing w:val="-20"/>
        </w:rPr>
        <w:t> </w:t>
      </w:r>
      <w:r>
        <w:rPr>
          <w:w w:val="110"/>
        </w:rPr>
        <w:t>justiciera </w:t>
      </w:r>
      <w:r>
        <w:rPr>
          <w:w w:val="110"/>
        </w:rPr>
        <w:t>se</w:t>
      </w:r>
      <w:r>
        <w:rPr>
          <w:spacing w:val="-4"/>
          <w:w w:val="110"/>
        </w:rPr>
        <w:t> </w:t>
      </w:r>
      <w:r>
        <w:rPr>
          <w:w w:val="110"/>
        </w:rPr>
        <w:t>convierte</w:t>
      </w:r>
      <w:r>
        <w:rPr>
          <w:spacing w:val="-4"/>
          <w:w w:val="110"/>
        </w:rPr>
        <w:t> </w:t>
      </w:r>
      <w:r>
        <w:rPr>
          <w:w w:val="110"/>
        </w:rPr>
        <w:t>en</w:t>
      </w:r>
      <w:r>
        <w:rPr>
          <w:spacing w:val="-4"/>
          <w:w w:val="110"/>
        </w:rPr>
        <w:t> </w:t>
      </w:r>
      <w:r>
        <w:rPr>
          <w:w w:val="110"/>
        </w:rPr>
        <w:t>el</w:t>
      </w:r>
      <w:r>
        <w:rPr>
          <w:spacing w:val="-4"/>
          <w:w w:val="110"/>
        </w:rPr>
        <w:t> </w:t>
      </w:r>
      <w:r>
        <w:rPr>
          <w:w w:val="110"/>
        </w:rPr>
        <w:t>curioso</w:t>
      </w:r>
      <w:r>
        <w:rPr>
          <w:spacing w:val="-4"/>
          <w:w w:val="110"/>
        </w:rPr>
        <w:t> </w:t>
      </w:r>
      <w:r>
        <w:rPr>
          <w:w w:val="110"/>
        </w:rPr>
        <w:t>vehículo</w:t>
      </w:r>
      <w:r>
        <w:rPr>
          <w:spacing w:val="-4"/>
          <w:w w:val="110"/>
        </w:rPr>
        <w:t> </w:t>
      </w:r>
      <w:r>
        <w:rPr>
          <w:w w:val="110"/>
        </w:rPr>
        <w:t>de</w:t>
      </w:r>
      <w:r>
        <w:rPr>
          <w:spacing w:val="-4"/>
          <w:w w:val="110"/>
        </w:rPr>
        <w:t> </w:t>
      </w:r>
      <w:r>
        <w:rPr>
          <w:w w:val="110"/>
        </w:rPr>
        <w:t>difusión</w:t>
      </w:r>
      <w:r>
        <w:rPr>
          <w:spacing w:val="-4"/>
          <w:w w:val="110"/>
        </w:rPr>
        <w:t> </w:t>
      </w:r>
      <w:r>
        <w:rPr>
          <w:w w:val="110"/>
        </w:rPr>
        <w:t>de</w:t>
      </w:r>
      <w:r>
        <w:rPr>
          <w:spacing w:val="-4"/>
          <w:w w:val="110"/>
        </w:rPr>
        <w:t> </w:t>
      </w:r>
      <w:r>
        <w:rPr>
          <w:w w:val="110"/>
        </w:rPr>
        <w:t>la</w:t>
      </w:r>
      <w:r>
        <w:rPr>
          <w:spacing w:val="-4"/>
          <w:w w:val="110"/>
        </w:rPr>
        <w:t> </w:t>
      </w:r>
      <w:r>
        <w:rPr>
          <w:w w:val="110"/>
        </w:rPr>
        <w:t>“democracia”</w:t>
      </w:r>
      <w:r>
        <w:rPr>
          <w:spacing w:val="-4"/>
          <w:w w:val="110"/>
        </w:rPr>
        <w:t> </w:t>
      </w:r>
      <w:r>
        <w:rPr>
          <w:w w:val="110"/>
        </w:rPr>
        <w:t>para garantizar la defensa de los intereses de la</w:t>
      </w:r>
      <w:r>
        <w:rPr>
          <w:spacing w:val="33"/>
          <w:w w:val="110"/>
        </w:rPr>
        <w:t> </w:t>
      </w:r>
      <w:r>
        <w:rPr>
          <w:w w:val="110"/>
        </w:rPr>
        <w:t>superpotencia.</w:t>
      </w:r>
    </w:p>
    <w:p>
      <w:pPr>
        <w:pStyle w:val="BodyText"/>
        <w:spacing w:line="252" w:lineRule="auto"/>
        <w:ind w:left="100" w:right="327" w:firstLine="396"/>
        <w:jc w:val="both"/>
      </w:pPr>
      <w:r>
        <w:rPr>
          <w:w w:val="110"/>
        </w:rPr>
        <w:t>Ese es el verdadero sentido de la “nueva internacional”, la que subsiste a las contingencias del siglo </w:t>
      </w:r>
      <w:r>
        <w:rPr>
          <w:w w:val="150"/>
        </w:rPr>
        <w:t>xx </w:t>
      </w:r>
      <w:r>
        <w:rPr>
          <w:w w:val="110"/>
        </w:rPr>
        <w:t>y caracteriza el contexto de  la globalización: un proyecto hegemónico integral orientado a conso- lidar un centro único de poder </w:t>
      </w:r>
      <w:r>
        <w:rPr>
          <w:spacing w:val="-3"/>
          <w:w w:val="110"/>
        </w:rPr>
        <w:t>militar, </w:t>
      </w:r>
      <w:r>
        <w:rPr>
          <w:w w:val="110"/>
        </w:rPr>
        <w:t>económico, político, ideológico </w:t>
      </w:r>
      <w:r>
        <w:rPr>
          <w:w w:val="105"/>
        </w:rPr>
        <w:t>y</w:t>
      </w:r>
      <w:r>
        <w:rPr>
          <w:spacing w:val="15"/>
        </w:rPr>
        <w:t> </w:t>
      </w:r>
      <w:r>
        <w:rPr>
          <w:w w:val="112"/>
        </w:rPr>
        <w:t>cultural.</w:t>
      </w:r>
      <w:r>
        <w:rPr>
          <w:spacing w:val="15"/>
        </w:rPr>
        <w:t> </w:t>
      </w:r>
      <w:r>
        <w:rPr>
          <w:w w:val="243"/>
        </w:rPr>
        <w:t>l</w:t>
      </w:r>
      <w:r>
        <w:rPr>
          <w:w w:val="112"/>
        </w:rPr>
        <w:t>a</w:t>
      </w:r>
      <w:r>
        <w:rPr>
          <w:spacing w:val="15"/>
        </w:rPr>
        <w:t> </w:t>
      </w:r>
      <w:r>
        <w:rPr>
          <w:w w:val="111"/>
        </w:rPr>
        <w:t>aplazada</w:t>
      </w:r>
      <w:r>
        <w:rPr>
          <w:spacing w:val="15"/>
        </w:rPr>
        <w:t> </w:t>
      </w:r>
      <w:r>
        <w:rPr>
          <w:w w:val="110"/>
        </w:rPr>
        <w:t>utopía</w:t>
      </w:r>
      <w:r>
        <w:rPr>
          <w:spacing w:val="15"/>
        </w:rPr>
        <w:t> </w:t>
      </w:r>
      <w:r>
        <w:rPr>
          <w:w w:val="110"/>
        </w:rPr>
        <w:t>socialista</w:t>
      </w:r>
      <w:r>
        <w:rPr>
          <w:spacing w:val="15"/>
        </w:rPr>
        <w:t> </w:t>
      </w:r>
      <w:r>
        <w:rPr>
          <w:w w:val="107"/>
        </w:rPr>
        <w:t>de</w:t>
      </w:r>
      <w:r>
        <w:rPr>
          <w:spacing w:val="15"/>
        </w:rPr>
        <w:t> </w:t>
      </w:r>
      <w:r>
        <w:rPr>
          <w:w w:val="108"/>
        </w:rPr>
        <w:t>los</w:t>
      </w:r>
      <w:r>
        <w:rPr>
          <w:spacing w:val="15"/>
        </w:rPr>
        <w:t> </w:t>
      </w:r>
      <w:r>
        <w:rPr>
          <w:w w:val="109"/>
        </w:rPr>
        <w:t>siglos</w:t>
      </w:r>
      <w:r>
        <w:rPr>
          <w:spacing w:val="15"/>
        </w:rPr>
        <w:t> </w:t>
      </w:r>
      <w:r>
        <w:rPr>
          <w:w w:val="156"/>
        </w:rPr>
        <w:t>xix</w:t>
      </w:r>
      <w:r>
        <w:rPr>
          <w:spacing w:val="15"/>
        </w:rPr>
        <w:t> </w:t>
      </w:r>
      <w:r>
        <w:rPr>
          <w:w w:val="105"/>
        </w:rPr>
        <w:t>y</w:t>
      </w:r>
      <w:r>
        <w:rPr>
          <w:spacing w:val="15"/>
        </w:rPr>
        <w:t> </w:t>
      </w:r>
      <w:r>
        <w:rPr>
          <w:w w:val="160"/>
        </w:rPr>
        <w:t>xx</w:t>
      </w:r>
      <w:r>
        <w:rPr>
          <w:spacing w:val="15"/>
        </w:rPr>
        <w:t> </w:t>
      </w:r>
      <w:r>
        <w:rPr>
          <w:w w:val="111"/>
        </w:rPr>
        <w:t>es,</w:t>
      </w:r>
      <w:r>
        <w:rPr>
          <w:spacing w:val="15"/>
        </w:rPr>
        <w:t> </w:t>
      </w:r>
      <w:r>
        <w:rPr>
          <w:w w:val="107"/>
        </w:rPr>
        <w:t>de </w:t>
      </w:r>
      <w:r>
        <w:rPr>
          <w:w w:val="110"/>
        </w:rPr>
        <w:t>hecho, desplazada por la “nueva internacional” del capital bajo su di- rección hegemónica, tal como lo expresa su Estrategia de seguridad: “Este es también un momento de oportunidad para Estados unidos. actuaremos para convertir este momento de influencia en décadas de </w:t>
      </w:r>
      <w:r>
        <w:rPr>
          <w:w w:val="114"/>
        </w:rPr>
        <w:t>paz,</w:t>
      </w:r>
      <w:r>
        <w:rPr/>
        <w:t> </w:t>
      </w:r>
      <w:r>
        <w:rPr>
          <w:spacing w:val="-2"/>
        </w:rPr>
        <w:t> </w:t>
      </w:r>
      <w:r>
        <w:rPr>
          <w:w w:val="108"/>
        </w:rPr>
        <w:t>prosperidad</w:t>
      </w:r>
      <w:r>
        <w:rPr/>
        <w:t> </w:t>
      </w:r>
      <w:r>
        <w:rPr>
          <w:spacing w:val="-2"/>
        </w:rPr>
        <w:t> </w:t>
      </w:r>
      <w:r>
        <w:rPr>
          <w:w w:val="105"/>
        </w:rPr>
        <w:t>y</w:t>
      </w:r>
      <w:r>
        <w:rPr/>
        <w:t> </w:t>
      </w:r>
      <w:r>
        <w:rPr>
          <w:spacing w:val="-2"/>
        </w:rPr>
        <w:t> </w:t>
      </w:r>
      <w:r>
        <w:rPr>
          <w:w w:val="110"/>
        </w:rPr>
        <w:t>libertad.</w:t>
      </w:r>
      <w:r>
        <w:rPr/>
        <w:t> </w:t>
      </w:r>
      <w:r>
        <w:rPr>
          <w:spacing w:val="-2"/>
        </w:rPr>
        <w:t> </w:t>
      </w:r>
      <w:r>
        <w:rPr>
          <w:w w:val="243"/>
        </w:rPr>
        <w:t>l</w:t>
      </w:r>
      <w:r>
        <w:rPr>
          <w:w w:val="112"/>
        </w:rPr>
        <w:t>a</w:t>
      </w:r>
      <w:r>
        <w:rPr/>
        <w:t> </w:t>
      </w:r>
      <w:r>
        <w:rPr>
          <w:spacing w:val="-2"/>
        </w:rPr>
        <w:t> </w:t>
      </w:r>
      <w:r>
        <w:rPr>
          <w:w w:val="108"/>
        </w:rPr>
        <w:t>estrategia</w:t>
      </w:r>
      <w:r>
        <w:rPr/>
        <w:t> </w:t>
      </w:r>
      <w:r>
        <w:rPr>
          <w:spacing w:val="-2"/>
        </w:rPr>
        <w:t> </w:t>
      </w:r>
      <w:r>
        <w:rPr>
          <w:w w:val="107"/>
        </w:rPr>
        <w:t>de</w:t>
      </w:r>
      <w:r>
        <w:rPr/>
        <w:t> </w:t>
      </w:r>
      <w:r>
        <w:rPr>
          <w:spacing w:val="-2"/>
        </w:rPr>
        <w:t> </w:t>
      </w:r>
      <w:r>
        <w:rPr>
          <w:w w:val="109"/>
        </w:rPr>
        <w:t>seguridad</w:t>
      </w:r>
      <w:r>
        <w:rPr/>
        <w:t> </w:t>
      </w:r>
      <w:r>
        <w:rPr>
          <w:spacing w:val="-2"/>
        </w:rPr>
        <w:t> </w:t>
      </w:r>
      <w:r>
        <w:rPr>
          <w:w w:val="112"/>
        </w:rPr>
        <w:t>nacional</w:t>
      </w:r>
      <w:r>
        <w:rPr/>
        <w:t> </w:t>
      </w:r>
      <w:r>
        <w:rPr>
          <w:spacing w:val="-2"/>
        </w:rPr>
        <w:t> </w:t>
      </w:r>
      <w:r>
        <w:rPr>
          <w:w w:val="107"/>
        </w:rPr>
        <w:t>de </w:t>
      </w:r>
      <w:r>
        <w:rPr>
          <w:w w:val="110"/>
        </w:rPr>
        <w:t>Estados unidos se basará en un </w:t>
      </w:r>
      <w:r>
        <w:rPr>
          <w:i/>
          <w:w w:val="110"/>
        </w:rPr>
        <w:t>internacionalismo inconfundiblemente </w:t>
      </w:r>
      <w:r>
        <w:rPr>
          <w:i/>
          <w:w w:val="110"/>
        </w:rPr>
        <w:t>norteamericano </w:t>
      </w:r>
      <w:r>
        <w:rPr>
          <w:w w:val="110"/>
        </w:rPr>
        <w:t>(el énfasis es nuestro) que refleje la unión de</w:t>
      </w:r>
      <w:r>
        <w:rPr>
          <w:spacing w:val="-26"/>
          <w:w w:val="110"/>
        </w:rPr>
        <w:t> </w:t>
      </w:r>
      <w:r>
        <w:rPr>
          <w:w w:val="110"/>
        </w:rPr>
        <w:t>nuestros </w:t>
      </w:r>
      <w:r>
        <w:rPr>
          <w:w w:val="107"/>
        </w:rPr>
        <w:t>valores</w:t>
      </w:r>
      <w:r>
        <w:rPr>
          <w:spacing w:val="20"/>
        </w:rPr>
        <w:t> </w:t>
      </w:r>
      <w:r>
        <w:rPr>
          <w:w w:val="105"/>
        </w:rPr>
        <w:t>y</w:t>
      </w:r>
      <w:r>
        <w:rPr>
          <w:spacing w:val="20"/>
        </w:rPr>
        <w:t> </w:t>
      </w:r>
      <w:r>
        <w:rPr>
          <w:w w:val="108"/>
        </w:rPr>
        <w:t>nuestros</w:t>
      </w:r>
      <w:r>
        <w:rPr>
          <w:spacing w:val="20"/>
        </w:rPr>
        <w:t> </w:t>
      </w:r>
      <w:r>
        <w:rPr>
          <w:w w:val="106"/>
        </w:rPr>
        <w:t>intereses</w:t>
      </w:r>
      <w:r>
        <w:rPr>
          <w:spacing w:val="20"/>
        </w:rPr>
        <w:t> </w:t>
      </w:r>
      <w:r>
        <w:rPr>
          <w:w w:val="112"/>
        </w:rPr>
        <w:t>nacionales.</w:t>
      </w:r>
      <w:r>
        <w:rPr>
          <w:spacing w:val="20"/>
        </w:rPr>
        <w:t> </w:t>
      </w:r>
      <w:r>
        <w:rPr>
          <w:w w:val="243"/>
        </w:rPr>
        <w:t>l</w:t>
      </w:r>
      <w:r>
        <w:rPr>
          <w:w w:val="112"/>
        </w:rPr>
        <w:t>a</w:t>
      </w:r>
      <w:r>
        <w:rPr>
          <w:spacing w:val="20"/>
        </w:rPr>
        <w:t> </w:t>
      </w:r>
      <w:r>
        <w:rPr>
          <w:w w:val="110"/>
        </w:rPr>
        <w:t>meta</w:t>
      </w:r>
      <w:r>
        <w:rPr>
          <w:spacing w:val="20"/>
        </w:rPr>
        <w:t> </w:t>
      </w:r>
      <w:r>
        <w:rPr>
          <w:w w:val="107"/>
        </w:rPr>
        <w:t>de</w:t>
      </w:r>
      <w:r>
        <w:rPr>
          <w:spacing w:val="20"/>
        </w:rPr>
        <w:t> </w:t>
      </w:r>
      <w:r>
        <w:rPr>
          <w:w w:val="107"/>
        </w:rPr>
        <w:t>esta</w:t>
      </w:r>
      <w:r>
        <w:rPr>
          <w:spacing w:val="20"/>
        </w:rPr>
        <w:t> </w:t>
      </w:r>
      <w:r>
        <w:rPr>
          <w:w w:val="108"/>
        </w:rPr>
        <w:t>estrategia</w:t>
      </w:r>
      <w:r>
        <w:rPr>
          <w:spacing w:val="20"/>
        </w:rPr>
        <w:t> </w:t>
      </w:r>
      <w:r>
        <w:rPr>
          <w:w w:val="105"/>
        </w:rPr>
        <w:t>es </w:t>
      </w:r>
      <w:r>
        <w:rPr>
          <w:w w:val="110"/>
        </w:rPr>
        <w:t>ayudar a que el mundo no sea solamente más seguro sino también </w:t>
      </w:r>
      <w:r>
        <w:rPr>
          <w:spacing w:val="-4"/>
          <w:w w:val="110"/>
        </w:rPr>
        <w:t>mejor. </w:t>
      </w:r>
      <w:r>
        <w:rPr>
          <w:w w:val="110"/>
        </w:rPr>
        <w:t>Nuestras metas en el camino hacia el progreso son claras: li- bertad política y económica, relaciones pacíficas con otros países y respeto a la dignidad humana” (Estrategia, </w:t>
      </w:r>
      <w:r>
        <w:rPr>
          <w:spacing w:val="1"/>
          <w:w w:val="110"/>
        </w:rPr>
        <w:t> </w:t>
      </w:r>
      <w:r>
        <w:rPr>
          <w:w w:val="110"/>
        </w:rPr>
        <w:t>2002).</w:t>
      </w:r>
    </w:p>
    <w:p>
      <w:pPr>
        <w:pStyle w:val="BodyText"/>
        <w:spacing w:line="252" w:lineRule="auto"/>
        <w:ind w:left="100" w:right="328" w:firstLine="396"/>
        <w:jc w:val="both"/>
      </w:pPr>
      <w:r>
        <w:rPr>
          <w:w w:val="110"/>
        </w:rPr>
        <w:t>El profesor richard </w:t>
      </w:r>
      <w:r>
        <w:rPr>
          <w:w w:val="160"/>
        </w:rPr>
        <w:t>l. </w:t>
      </w:r>
      <w:r>
        <w:rPr>
          <w:w w:val="110"/>
        </w:rPr>
        <w:t>Kugler del Centro de tecnología y Política de seguridad Nacional de la universidad de defensa Nacional, plan-  tea que se trata de una política que, “en contraste con las expectativas de los críticos no es ni hegemónica ni unilateralista ni ultramilitarista y se concentra en anticiparse al enemigo... es un </w:t>
      </w:r>
      <w:r>
        <w:rPr>
          <w:i/>
          <w:w w:val="110"/>
        </w:rPr>
        <w:t>internacionalismo </w:t>
      </w:r>
      <w:r>
        <w:rPr>
          <w:i/>
          <w:w w:val="110"/>
        </w:rPr>
        <w:t>norteamericano distinto </w:t>
      </w:r>
      <w:r>
        <w:rPr>
          <w:w w:val="110"/>
        </w:rPr>
        <w:t>(el énfasis es nuestro) encaminado a crear un equilibrio de poder que favorezca la libertad humana y haga de esta era de la globalización más segura y mejor” </w:t>
      </w:r>
      <w:r>
        <w:rPr>
          <w:spacing w:val="-3"/>
          <w:w w:val="110"/>
        </w:rPr>
        <w:t>(Kugler, </w:t>
      </w:r>
      <w:r>
        <w:rPr>
          <w:w w:val="110"/>
        </w:rPr>
        <w:t>2003: 40) pero basada en el poder de las armas en un contexto de debilitamiento del poder económico. Contrasta esta tesis con lo planteado por Paul Ken- </w:t>
      </w:r>
      <w:r>
        <w:rPr>
          <w:spacing w:val="-5"/>
          <w:w w:val="110"/>
        </w:rPr>
        <w:t>nedy, </w:t>
      </w:r>
      <w:r>
        <w:rPr>
          <w:w w:val="110"/>
        </w:rPr>
        <w:t>quien señala que el recurso a la solución militar ha sido el arma de todos los imperios en </w:t>
      </w:r>
      <w:r>
        <w:rPr>
          <w:spacing w:val="2"/>
          <w:w w:val="110"/>
        </w:rPr>
        <w:t> </w:t>
      </w:r>
      <w:r>
        <w:rPr>
          <w:w w:val="110"/>
        </w:rPr>
        <w:t>declinación.</w:t>
      </w:r>
    </w:p>
    <w:p>
      <w:pPr>
        <w:pStyle w:val="BodyText"/>
        <w:spacing w:before="5"/>
      </w:pPr>
    </w:p>
    <w:p>
      <w:pPr>
        <w:pStyle w:val="Heading6"/>
        <w:spacing w:line="244" w:lineRule="auto"/>
        <w:ind w:right="1231"/>
        <w:jc w:val="left"/>
      </w:pPr>
      <w:r>
        <w:rPr>
          <w:spacing w:val="3"/>
          <w:w w:val="140"/>
        </w:rPr>
        <w:t>la</w:t>
      </w:r>
      <w:r>
        <w:rPr>
          <w:spacing w:val="-28"/>
          <w:w w:val="140"/>
        </w:rPr>
        <w:t> </w:t>
      </w:r>
      <w:r>
        <w:rPr>
          <w:spacing w:val="2"/>
          <w:w w:val="135"/>
        </w:rPr>
        <w:t>relación</w:t>
      </w:r>
      <w:r>
        <w:rPr>
          <w:spacing w:val="-25"/>
          <w:w w:val="135"/>
        </w:rPr>
        <w:t> </w:t>
      </w:r>
      <w:r>
        <w:rPr>
          <w:w w:val="135"/>
        </w:rPr>
        <w:t>entre</w:t>
      </w:r>
      <w:r>
        <w:rPr>
          <w:spacing w:val="-25"/>
          <w:w w:val="135"/>
        </w:rPr>
        <w:t> </w:t>
      </w:r>
      <w:r>
        <w:rPr>
          <w:w w:val="135"/>
        </w:rPr>
        <w:t>defensa</w:t>
      </w:r>
      <w:r>
        <w:rPr>
          <w:spacing w:val="-25"/>
          <w:w w:val="135"/>
        </w:rPr>
        <w:t> </w:t>
      </w:r>
      <w:r>
        <w:rPr>
          <w:w w:val="135"/>
        </w:rPr>
        <w:t>y</w:t>
      </w:r>
      <w:r>
        <w:rPr>
          <w:spacing w:val="-25"/>
          <w:w w:val="135"/>
        </w:rPr>
        <w:t> </w:t>
      </w:r>
      <w:r>
        <w:rPr>
          <w:w w:val="135"/>
        </w:rPr>
        <w:t>econoMÍa</w:t>
      </w:r>
      <w:r>
        <w:rPr>
          <w:spacing w:val="-25"/>
          <w:w w:val="135"/>
        </w:rPr>
        <w:t> </w:t>
      </w:r>
      <w:r>
        <w:rPr>
          <w:w w:val="135"/>
        </w:rPr>
        <w:t>o</w:t>
      </w:r>
      <w:r>
        <w:rPr>
          <w:spacing w:val="-25"/>
          <w:w w:val="135"/>
        </w:rPr>
        <w:t> </w:t>
      </w:r>
      <w:r>
        <w:rPr>
          <w:w w:val="135"/>
        </w:rPr>
        <w:t>de</w:t>
      </w:r>
      <w:r>
        <w:rPr>
          <w:spacing w:val="-25"/>
          <w:w w:val="135"/>
        </w:rPr>
        <w:t> </w:t>
      </w:r>
      <w:r>
        <w:rPr>
          <w:w w:val="135"/>
        </w:rPr>
        <w:t>cóMo revertir</w:t>
      </w:r>
      <w:r>
        <w:rPr>
          <w:spacing w:val="-40"/>
          <w:w w:val="135"/>
        </w:rPr>
        <w:t> </w:t>
      </w:r>
      <w:r>
        <w:rPr>
          <w:spacing w:val="3"/>
          <w:w w:val="140"/>
        </w:rPr>
        <w:t>la</w:t>
      </w:r>
      <w:r>
        <w:rPr>
          <w:spacing w:val="-42"/>
          <w:w w:val="140"/>
        </w:rPr>
        <w:t> </w:t>
      </w:r>
      <w:r>
        <w:rPr>
          <w:w w:val="135"/>
        </w:rPr>
        <w:t>declinación</w:t>
      </w:r>
      <w:r>
        <w:rPr>
          <w:spacing w:val="-40"/>
          <w:w w:val="135"/>
        </w:rPr>
        <w:t> </w:t>
      </w:r>
      <w:r>
        <w:rPr>
          <w:w w:val="135"/>
        </w:rPr>
        <w:t>de</w:t>
      </w:r>
      <w:r>
        <w:rPr>
          <w:spacing w:val="-40"/>
          <w:w w:val="135"/>
        </w:rPr>
        <w:t> </w:t>
      </w:r>
      <w:r>
        <w:rPr>
          <w:spacing w:val="3"/>
          <w:w w:val="140"/>
        </w:rPr>
        <w:t>la</w:t>
      </w:r>
      <w:r>
        <w:rPr>
          <w:spacing w:val="-42"/>
          <w:w w:val="140"/>
        </w:rPr>
        <w:t> </w:t>
      </w:r>
      <w:r>
        <w:rPr>
          <w:w w:val="135"/>
        </w:rPr>
        <w:t>HeGeMonÍa</w:t>
      </w:r>
    </w:p>
    <w:p>
      <w:pPr>
        <w:pStyle w:val="BodyText"/>
        <w:spacing w:line="252" w:lineRule="auto" w:before="5"/>
        <w:ind w:left="100" w:right="328"/>
        <w:jc w:val="both"/>
      </w:pPr>
      <w:r>
        <w:rPr>
          <w:w w:val="110"/>
        </w:rPr>
        <w:t>El estallido de la “burbuja financiera” de los Estados unidos desenca- </w:t>
      </w:r>
      <w:r>
        <w:rPr>
          <w:w w:val="109"/>
        </w:rPr>
        <w:t>denó</w:t>
      </w:r>
      <w:r>
        <w:rPr>
          <w:spacing w:val="18"/>
        </w:rPr>
        <w:t> </w:t>
      </w:r>
      <w:r>
        <w:rPr>
          <w:w w:val="106"/>
        </w:rPr>
        <w:t>desde</w:t>
      </w:r>
      <w:r>
        <w:rPr>
          <w:spacing w:val="18"/>
        </w:rPr>
        <w:t> </w:t>
      </w:r>
      <w:r>
        <w:rPr>
          <w:w w:val="102"/>
        </w:rPr>
        <w:t>2007</w:t>
      </w:r>
      <w:r>
        <w:rPr>
          <w:spacing w:val="18"/>
        </w:rPr>
        <w:t> </w:t>
      </w:r>
      <w:r>
        <w:rPr>
          <w:w w:val="111"/>
        </w:rPr>
        <w:t>la</w:t>
      </w:r>
      <w:r>
        <w:rPr>
          <w:spacing w:val="18"/>
        </w:rPr>
        <w:t> </w:t>
      </w:r>
      <w:r>
        <w:rPr>
          <w:w w:val="111"/>
        </w:rPr>
        <w:t>más</w:t>
      </w:r>
      <w:r>
        <w:rPr>
          <w:spacing w:val="18"/>
        </w:rPr>
        <w:t> </w:t>
      </w:r>
      <w:r>
        <w:rPr>
          <w:w w:val="108"/>
        </w:rPr>
        <w:t>fuerte</w:t>
      </w:r>
      <w:r>
        <w:rPr>
          <w:spacing w:val="18"/>
        </w:rPr>
        <w:t> </w:t>
      </w:r>
      <w:r>
        <w:rPr>
          <w:w w:val="109"/>
        </w:rPr>
        <w:t>crisis</w:t>
      </w:r>
      <w:r>
        <w:rPr>
          <w:spacing w:val="18"/>
        </w:rPr>
        <w:t> </w:t>
      </w:r>
      <w:r>
        <w:rPr>
          <w:w w:val="110"/>
        </w:rPr>
        <w:t>financiera</w:t>
      </w:r>
      <w:r>
        <w:rPr>
          <w:spacing w:val="18"/>
        </w:rPr>
        <w:t> </w:t>
      </w:r>
      <w:r>
        <w:rPr>
          <w:w w:val="113"/>
        </w:rPr>
        <w:t>mundial.</w:t>
      </w:r>
      <w:r>
        <w:rPr>
          <w:spacing w:val="18"/>
        </w:rPr>
        <w:t> </w:t>
      </w:r>
      <w:r>
        <w:rPr>
          <w:w w:val="243"/>
        </w:rPr>
        <w:t>l</w:t>
      </w:r>
      <w:r>
        <w:rPr>
          <w:w w:val="108"/>
        </w:rPr>
        <w:t>os</w:t>
      </w:r>
      <w:r>
        <w:rPr>
          <w:spacing w:val="18"/>
        </w:rPr>
        <w:t> </w:t>
      </w:r>
      <w:r>
        <w:rPr>
          <w:w w:val="112"/>
        </w:rPr>
        <w:t>cimie</w:t>
      </w:r>
      <w:r>
        <w:rPr>
          <w:spacing w:val="-1"/>
          <w:w w:val="112"/>
        </w:rPr>
        <w:t>n</w:t>
      </w:r>
      <w:r>
        <w:rPr>
          <w:w w:val="102"/>
        </w:rPr>
        <w:t>- </w:t>
      </w:r>
      <w:r>
        <w:rPr>
          <w:w w:val="110"/>
        </w:rPr>
        <w:t>tos de la llamada globalización se estremecieron, cayó la confianza    en las instituciones financieras, el complejo andamiaje institucional multilateral se reveló incapaz de revertir la situación y los Estados unidos,</w:t>
      </w:r>
      <w:r>
        <w:rPr>
          <w:spacing w:val="27"/>
          <w:w w:val="110"/>
        </w:rPr>
        <w:t> </w:t>
      </w:r>
      <w:r>
        <w:rPr>
          <w:w w:val="110"/>
        </w:rPr>
        <w:t>prisioneros</w:t>
      </w:r>
      <w:r>
        <w:rPr>
          <w:spacing w:val="27"/>
          <w:w w:val="110"/>
        </w:rPr>
        <w:t> </w:t>
      </w:r>
      <w:r>
        <w:rPr>
          <w:w w:val="110"/>
        </w:rPr>
        <w:t>de</w:t>
      </w:r>
      <w:r>
        <w:rPr>
          <w:spacing w:val="27"/>
          <w:w w:val="110"/>
        </w:rPr>
        <w:t> </w:t>
      </w:r>
      <w:r>
        <w:rPr>
          <w:w w:val="110"/>
        </w:rPr>
        <w:t>su</w:t>
      </w:r>
      <w:r>
        <w:rPr>
          <w:spacing w:val="27"/>
          <w:w w:val="110"/>
        </w:rPr>
        <w:t> </w:t>
      </w:r>
      <w:r>
        <w:rPr>
          <w:w w:val="110"/>
        </w:rPr>
        <w:t>trampa</w:t>
      </w:r>
      <w:r>
        <w:rPr>
          <w:spacing w:val="27"/>
          <w:w w:val="110"/>
        </w:rPr>
        <w:t> </w:t>
      </w:r>
      <w:r>
        <w:rPr>
          <w:w w:val="110"/>
        </w:rPr>
        <w:t>belicista,</w:t>
      </w:r>
      <w:r>
        <w:rPr>
          <w:spacing w:val="27"/>
          <w:w w:val="110"/>
        </w:rPr>
        <w:t> </w:t>
      </w:r>
      <w:r>
        <w:rPr>
          <w:w w:val="110"/>
        </w:rPr>
        <w:t>afrontaron</w:t>
      </w:r>
      <w:r>
        <w:rPr>
          <w:spacing w:val="27"/>
          <w:w w:val="110"/>
        </w:rPr>
        <w:t> </w:t>
      </w:r>
      <w:r>
        <w:rPr>
          <w:w w:val="110"/>
        </w:rPr>
        <w:t>enormes</w:t>
      </w:r>
      <w:r>
        <w:rPr>
          <w:spacing w:val="27"/>
          <w:w w:val="110"/>
        </w:rPr>
        <w:t> </w:t>
      </w:r>
      <w:r>
        <w:rPr>
          <w:w w:val="110"/>
        </w:rPr>
        <w:t>difi-</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cultades para encarar el deterioro de su economía. sobre la cresta de esta crisis retornaron los demócratas a la Casa blanca en una eleccio- nes simbólicamente inéditas: triunfó un candidato hijo de migrante africano, por primera vez un afrodescendiente asumió la presidencia de la primera potencia mundial y lo hizo con un discurso innovador  en algunos aspectos: abandonó el lenguaje belicista de su predecesor </w:t>
      </w:r>
      <w:r>
        <w:rPr>
          <w:spacing w:val="-11"/>
          <w:w w:val="110"/>
        </w:rPr>
        <w:t>y, </w:t>
      </w:r>
      <w:r>
        <w:rPr>
          <w:w w:val="110"/>
        </w:rPr>
        <w:t>aunque sostuvo el compromiso de la lucha contra el terrorismo, ofreció retirar a su país de los escenarios de guerra, en particular de afganistán  y  de</w:t>
      </w:r>
      <w:r>
        <w:rPr>
          <w:spacing w:val="-16"/>
          <w:w w:val="110"/>
        </w:rPr>
        <w:t> </w:t>
      </w:r>
      <w:r>
        <w:rPr>
          <w:w w:val="110"/>
        </w:rPr>
        <w:t>irak.</w:t>
      </w:r>
    </w:p>
    <w:p>
      <w:pPr>
        <w:pStyle w:val="BodyText"/>
        <w:spacing w:line="252" w:lineRule="auto"/>
        <w:ind w:left="330" w:right="117" w:firstLine="396"/>
        <w:jc w:val="both"/>
      </w:pPr>
      <w:r>
        <w:rPr>
          <w:w w:val="110"/>
        </w:rPr>
        <w:t>barack obama asumió la presidencia el 20 de enero de 2009 con un discurso centrado en aspectos domésticos, reiterativo en la invoca- ción de los valores de los fundadores de la nación y del compromiso con la libertad y la democracia. su punto de partida es el reconoci- miento de una crisis militar que se manifiesta en la “guerra contra una red de violencia y odio de gran alcance” y económica, que ha debilita- do mucho las arcas del  país.</w:t>
      </w:r>
    </w:p>
    <w:p>
      <w:pPr>
        <w:pStyle w:val="BodyText"/>
        <w:spacing w:line="252" w:lineRule="auto"/>
        <w:ind w:left="330" w:right="117" w:firstLine="396"/>
        <w:jc w:val="both"/>
      </w:pPr>
      <w:r>
        <w:rPr>
          <w:w w:val="110"/>
        </w:rPr>
        <w:t>Frente a la crisis militar rechaza “como falsa la opción entre nuestra seguridad y nuestros ideales. Nuestros padres  fundadores […] redactaron una carta para garantizar el Estado de derecho y los derechos del hombre […] ideales [que] todavía iluminan el mundo y no renunciaremos [a ellos] por conveniencia. […] Estados unidos es amigo de todos los países y de todos los hombres, mujeres y niños  que buscan un futuro de paz y dignidad, y […] estamos listos para asumir el liderazgo una vez más”.</w:t>
      </w:r>
      <w:r>
        <w:rPr>
          <w:w w:val="110"/>
          <w:position w:val="6"/>
          <w:sz w:val="11"/>
        </w:rPr>
        <w:t>7 </w:t>
      </w:r>
      <w:r>
        <w:rPr>
          <w:w w:val="110"/>
        </w:rPr>
        <w:t>El ejercicio de ese liderazgo no se fundamenta solamente en el poder y recuerda que las “generaciones anteriores afrontaron el fascismo y el comunismo no solo con misiles y tanques, sino con sólidas alianzas y firmes convicciones. Compren- dieron que nuestro poder por sí solo no puede protegernos ni nos da el derecho de hacer lo que queramos. Más bien, sabían que nuestro poder crece si lo usamos de forma prudente; que nuestra seguridad emana de la justicia de nuestra causa, la fuerza de nuestro ejemplo </w:t>
      </w:r>
      <w:r>
        <w:rPr>
          <w:w w:val="122"/>
        </w:rPr>
        <w:t>[…]”.</w:t>
      </w:r>
      <w:r>
        <w:rPr/>
        <w:t> </w:t>
      </w:r>
      <w:r>
        <w:rPr>
          <w:spacing w:val="-15"/>
        </w:rPr>
        <w:t> </w:t>
      </w:r>
      <w:r>
        <w:rPr>
          <w:w w:val="243"/>
        </w:rPr>
        <w:t>l</w:t>
      </w:r>
      <w:r>
        <w:rPr>
          <w:w w:val="112"/>
        </w:rPr>
        <w:t>a</w:t>
      </w:r>
      <w:r>
        <w:rPr/>
        <w:t> </w:t>
      </w:r>
      <w:r>
        <w:rPr>
          <w:spacing w:val="-15"/>
        </w:rPr>
        <w:t> </w:t>
      </w:r>
      <w:r>
        <w:rPr>
          <w:w w:val="111"/>
        </w:rPr>
        <w:t>invocación</w:t>
      </w:r>
      <w:r>
        <w:rPr/>
        <w:t> </w:t>
      </w:r>
      <w:r>
        <w:rPr>
          <w:spacing w:val="-15"/>
        </w:rPr>
        <w:t> </w:t>
      </w:r>
      <w:r>
        <w:rPr>
          <w:w w:val="112"/>
        </w:rPr>
        <w:t>a</w:t>
      </w:r>
      <w:r>
        <w:rPr/>
        <w:t> </w:t>
      </w:r>
      <w:r>
        <w:rPr>
          <w:spacing w:val="-15"/>
        </w:rPr>
        <w:t> </w:t>
      </w:r>
      <w:r>
        <w:rPr>
          <w:w w:val="108"/>
        </w:rPr>
        <w:t>los</w:t>
      </w:r>
      <w:r>
        <w:rPr/>
        <w:t> </w:t>
      </w:r>
      <w:r>
        <w:rPr>
          <w:spacing w:val="-15"/>
        </w:rPr>
        <w:t> </w:t>
      </w:r>
      <w:r>
        <w:rPr>
          <w:w w:val="107"/>
        </w:rPr>
        <w:t>valores</w:t>
      </w:r>
      <w:r>
        <w:rPr/>
        <w:t> </w:t>
      </w:r>
      <w:r>
        <w:rPr>
          <w:spacing w:val="-15"/>
        </w:rPr>
        <w:t> </w:t>
      </w:r>
      <w:r>
        <w:rPr>
          <w:w w:val="111"/>
        </w:rPr>
        <w:t>fundacionales</w:t>
      </w:r>
      <w:r>
        <w:rPr/>
        <w:t> </w:t>
      </w:r>
      <w:r>
        <w:rPr>
          <w:spacing w:val="-15"/>
        </w:rPr>
        <w:t> </w:t>
      </w:r>
      <w:r>
        <w:rPr>
          <w:w w:val="105"/>
        </w:rPr>
        <w:t>es</w:t>
      </w:r>
      <w:r>
        <w:rPr/>
        <w:t> </w:t>
      </w:r>
      <w:r>
        <w:rPr>
          <w:spacing w:val="-15"/>
        </w:rPr>
        <w:t> </w:t>
      </w:r>
      <w:r>
        <w:rPr>
          <w:w w:val="112"/>
        </w:rPr>
        <w:t>una</w:t>
      </w:r>
      <w:r>
        <w:rPr/>
        <w:t> </w:t>
      </w:r>
      <w:r>
        <w:rPr>
          <w:spacing w:val="-15"/>
        </w:rPr>
        <w:t> </w:t>
      </w:r>
      <w:r>
        <w:rPr>
          <w:w w:val="109"/>
        </w:rPr>
        <w:t>constante</w:t>
      </w:r>
      <w:r>
        <w:rPr/>
        <w:t> </w:t>
      </w:r>
      <w:r>
        <w:rPr>
          <w:spacing w:val="-15"/>
        </w:rPr>
        <w:t> </w:t>
      </w:r>
      <w:r>
        <w:rPr>
          <w:w w:val="108"/>
        </w:rPr>
        <w:t>en </w:t>
      </w:r>
      <w:r>
        <w:rPr>
          <w:w w:val="110"/>
        </w:rPr>
        <w:t>todas las definiciones de la políticas de seguridad y defensa, elemento de continuidad que no puede ignorar los matices implícitos en lo que tiene que ver con el respeto y/o las garantías para el ejercicio de los derechos. baste recordar los costos políticos internos que tuvo para el presidente Carter el proponer políticas de respeto a los derechos hu- manos y haber asumido el desafío de acordar con el presidente omar </w:t>
      </w:r>
      <w:r>
        <w:rPr>
          <w:spacing w:val="-3"/>
          <w:w w:val="110"/>
        </w:rPr>
        <w:t>torrijos  </w:t>
      </w:r>
      <w:r>
        <w:rPr>
          <w:w w:val="110"/>
        </w:rPr>
        <w:t>de  Panamá  el  retorno  de  la  zona  del  Canal  a  la</w:t>
      </w:r>
      <w:r>
        <w:rPr>
          <w:spacing w:val="37"/>
          <w:w w:val="110"/>
        </w:rPr>
        <w:t> </w:t>
      </w:r>
      <w:r>
        <w:rPr>
          <w:w w:val="110"/>
        </w:rPr>
        <w:t>soberanía</w:t>
      </w:r>
    </w:p>
    <w:p>
      <w:pPr>
        <w:pStyle w:val="BodyText"/>
        <w:spacing w:before="1"/>
        <w:rPr>
          <w:sz w:val="23"/>
        </w:rPr>
      </w:pPr>
      <w:r>
        <w:rPr/>
        <w:pict>
          <v:line style="position:absolute;mso-position-horizontal-relative:page;mso-position-vertical-relative:paragraph;z-index:7384;mso-wrap-distance-left:0;mso-wrap-distance-right:0" from="76.5354pt,15.76003pt" to="104.8814pt,15.76003pt" stroked="true" strokeweight=".5pt" strokecolor="#000000">
            <w10:wrap type="topAndBottom"/>
          </v:line>
        </w:pict>
      </w:r>
    </w:p>
    <w:p>
      <w:pPr>
        <w:pStyle w:val="ListParagraph"/>
        <w:numPr>
          <w:ilvl w:val="0"/>
          <w:numId w:val="31"/>
        </w:numPr>
        <w:tabs>
          <w:tab w:pos="586" w:val="left" w:leader="none"/>
        </w:tabs>
        <w:spacing w:line="242" w:lineRule="auto" w:before="89" w:after="0"/>
        <w:ind w:left="330" w:right="121" w:firstLine="0"/>
        <w:jc w:val="both"/>
        <w:rPr>
          <w:sz w:val="16"/>
        </w:rPr>
      </w:pPr>
      <w:r>
        <w:rPr>
          <w:spacing w:val="-6"/>
          <w:w w:val="105"/>
          <w:sz w:val="16"/>
        </w:rPr>
        <w:t>todas </w:t>
      </w:r>
      <w:r>
        <w:rPr>
          <w:spacing w:val="-3"/>
          <w:w w:val="105"/>
          <w:sz w:val="16"/>
        </w:rPr>
        <w:t>las </w:t>
      </w:r>
      <w:r>
        <w:rPr>
          <w:spacing w:val="-4"/>
          <w:w w:val="105"/>
          <w:sz w:val="16"/>
        </w:rPr>
        <w:t>referencias </w:t>
      </w:r>
      <w:r>
        <w:rPr>
          <w:spacing w:val="-3"/>
          <w:w w:val="105"/>
          <w:sz w:val="16"/>
        </w:rPr>
        <w:t>son </w:t>
      </w:r>
      <w:r>
        <w:rPr>
          <w:spacing w:val="-4"/>
          <w:w w:val="105"/>
          <w:sz w:val="16"/>
        </w:rPr>
        <w:t>tomadas </w:t>
      </w:r>
      <w:r>
        <w:rPr>
          <w:spacing w:val="-3"/>
          <w:w w:val="105"/>
          <w:sz w:val="16"/>
        </w:rPr>
        <w:t>del </w:t>
      </w:r>
      <w:r>
        <w:rPr>
          <w:spacing w:val="-4"/>
          <w:w w:val="105"/>
          <w:sz w:val="16"/>
        </w:rPr>
        <w:t>discurso </w:t>
      </w:r>
      <w:r>
        <w:rPr>
          <w:w w:val="105"/>
          <w:sz w:val="16"/>
        </w:rPr>
        <w:t>de </w:t>
      </w:r>
      <w:r>
        <w:rPr>
          <w:spacing w:val="-3"/>
          <w:w w:val="105"/>
          <w:sz w:val="16"/>
        </w:rPr>
        <w:t>toma </w:t>
      </w:r>
      <w:r>
        <w:rPr>
          <w:w w:val="105"/>
          <w:sz w:val="16"/>
        </w:rPr>
        <w:t>de </w:t>
      </w:r>
      <w:r>
        <w:rPr>
          <w:spacing w:val="-4"/>
          <w:w w:val="105"/>
          <w:sz w:val="16"/>
        </w:rPr>
        <w:t>posesión </w:t>
      </w:r>
      <w:r>
        <w:rPr>
          <w:spacing w:val="-3"/>
          <w:w w:val="105"/>
          <w:sz w:val="16"/>
        </w:rPr>
        <w:t>del </w:t>
      </w:r>
      <w:r>
        <w:rPr>
          <w:spacing w:val="-4"/>
          <w:w w:val="105"/>
          <w:sz w:val="16"/>
        </w:rPr>
        <w:t>presidente barack obama, </w:t>
      </w:r>
      <w:r>
        <w:rPr>
          <w:spacing w:val="-5"/>
          <w:w w:val="105"/>
          <w:sz w:val="16"/>
        </w:rPr>
        <w:t>Washington, </w:t>
      </w:r>
      <w:r>
        <w:rPr>
          <w:w w:val="105"/>
          <w:sz w:val="16"/>
        </w:rPr>
        <w:t>20 de </w:t>
      </w:r>
      <w:r>
        <w:rPr>
          <w:spacing w:val="-4"/>
          <w:w w:val="105"/>
          <w:sz w:val="16"/>
        </w:rPr>
        <w:t>enero </w:t>
      </w:r>
      <w:r>
        <w:rPr>
          <w:w w:val="105"/>
          <w:sz w:val="16"/>
        </w:rPr>
        <w:t>de </w:t>
      </w:r>
      <w:r>
        <w:rPr>
          <w:spacing w:val="-4"/>
          <w:w w:val="105"/>
          <w:sz w:val="16"/>
        </w:rPr>
        <w:t>2009, </w:t>
      </w:r>
      <w:r>
        <w:rPr>
          <w:w w:val="105"/>
          <w:sz w:val="16"/>
        </w:rPr>
        <w:t>en </w:t>
      </w:r>
      <w:hyperlink r:id="rId426">
        <w:r>
          <w:rPr>
            <w:spacing w:val="-5"/>
            <w:w w:val="105"/>
            <w:sz w:val="16"/>
          </w:rPr>
          <w:t>&lt;http://iipdigital.usembassy.gov/st/</w:t>
        </w:r>
      </w:hyperlink>
      <w:r>
        <w:rPr>
          <w:spacing w:val="-5"/>
          <w:w w:val="105"/>
          <w:sz w:val="16"/>
        </w:rPr>
        <w:t> </w:t>
      </w:r>
      <w:r>
        <w:rPr>
          <w:spacing w:val="-4"/>
          <w:sz w:val="16"/>
        </w:rPr>
        <w:t>spanish/texttrans/2009/01/20090121073521liameruoy0.5717432.html#axzz3tuwC8eri&gt;.</w:t>
      </w:r>
    </w:p>
    <w:p>
      <w:pPr>
        <w:spacing w:after="0" w:line="242" w:lineRule="auto"/>
        <w:jc w:val="both"/>
        <w:rPr>
          <w:sz w:val="16"/>
        </w:rPr>
        <w:sectPr>
          <w:footerReference w:type="even" r:id="rId424"/>
          <w:footerReference w:type="default" r:id="rId425"/>
          <w:pgSz w:w="8790" w:h="12760"/>
          <w:pgMar w:footer="725" w:header="697" w:top="880" w:bottom="920" w:left="1200" w:right="900"/>
          <w:pgNumType w:start="312"/>
        </w:sectPr>
      </w:pPr>
    </w:p>
    <w:p>
      <w:pPr>
        <w:pStyle w:val="BodyText"/>
        <w:spacing w:before="9"/>
        <w:rPr>
          <w:sz w:val="28"/>
        </w:rPr>
      </w:pPr>
    </w:p>
    <w:p>
      <w:pPr>
        <w:pStyle w:val="BodyText"/>
        <w:spacing w:line="252" w:lineRule="auto" w:before="73"/>
        <w:ind w:left="100" w:right="328"/>
        <w:jc w:val="both"/>
      </w:pPr>
      <w:r>
        <w:rPr>
          <w:w w:val="112"/>
        </w:rPr>
        <w:t>panameña.</w:t>
      </w:r>
      <w:r>
        <w:rPr/>
        <w:t> </w:t>
      </w:r>
      <w:r>
        <w:rPr>
          <w:w w:val="243"/>
        </w:rPr>
        <w:t>l</w:t>
      </w:r>
      <w:r>
        <w:rPr>
          <w:w w:val="112"/>
        </w:rPr>
        <w:t>a</w:t>
      </w:r>
      <w:r>
        <w:rPr/>
        <w:t> </w:t>
      </w:r>
      <w:r>
        <w:rPr>
          <w:w w:val="109"/>
        </w:rPr>
        <w:t>ruptura</w:t>
      </w:r>
      <w:r>
        <w:rPr/>
        <w:t> </w:t>
      </w:r>
      <w:r>
        <w:rPr>
          <w:w w:val="111"/>
        </w:rPr>
        <w:t>clara</w:t>
      </w:r>
      <w:r>
        <w:rPr/>
        <w:t> </w:t>
      </w:r>
      <w:r>
        <w:rPr>
          <w:w w:val="112"/>
        </w:rPr>
        <w:t>con</w:t>
      </w:r>
      <w:r>
        <w:rPr/>
        <w:t> </w:t>
      </w:r>
      <w:r>
        <w:rPr>
          <w:w w:val="107"/>
        </w:rPr>
        <w:t>el</w:t>
      </w:r>
      <w:r>
        <w:rPr/>
        <w:t> </w:t>
      </w:r>
      <w:r>
        <w:rPr>
          <w:w w:val="109"/>
        </w:rPr>
        <w:t>credo</w:t>
      </w:r>
      <w:r>
        <w:rPr/>
        <w:t> </w:t>
      </w:r>
      <w:r>
        <w:rPr>
          <w:w w:val="108"/>
        </w:rPr>
        <w:t>neoconservador</w:t>
      </w:r>
      <w:r>
        <w:rPr/>
        <w:t> </w:t>
      </w:r>
      <w:r>
        <w:rPr>
          <w:w w:val="108"/>
        </w:rPr>
        <w:t>en</w:t>
      </w:r>
      <w:r>
        <w:rPr/>
        <w:t> </w:t>
      </w:r>
      <w:r>
        <w:rPr>
          <w:w w:val="110"/>
        </w:rPr>
        <w:t>materia </w:t>
      </w:r>
      <w:r>
        <w:rPr>
          <w:w w:val="110"/>
        </w:rPr>
        <w:t>de seguridad y defensa es el uso “prudente” que va a ser una de las características más notables del giro en esa materia. anunció además el retiro de “irak, de manera responsable” y el compromiso de “forjar una paz duramente ganada en   afganistán”.</w:t>
      </w:r>
    </w:p>
    <w:p>
      <w:pPr>
        <w:pStyle w:val="BodyText"/>
        <w:spacing w:line="252" w:lineRule="auto"/>
        <w:ind w:left="100" w:right="328" w:firstLine="396"/>
        <w:jc w:val="both"/>
      </w:pPr>
      <w:r>
        <w:rPr>
          <w:w w:val="110"/>
        </w:rPr>
        <w:t>su política de alianzas se anunciaba audaz: “Con viejos amigos y antiguos enemigos trabajaremos incansablemente para disminuir la amenaza nuclear y hacer retroceder el espectro del calentamiento del planeta. No nos disculparemos por nuestro modo de vida, ni vacilare- mos en su defensa, y para aquellos que pretenden lograr sus objetivos acudiendo al terrorismo y a la matanza de inocentes, les decimos que ahora nuestro espíritu es más fuerte y no puede romperse; no pueden perdurar más que nosotros, les derrotaremos”. sin renunciar a la de- fensa de los intereses de Estados unidos y manteniendo sus objetivos se propone desarrollar una política persuasiva, multilateral, que le permita además fortalecer el liderazgo.</w:t>
      </w:r>
    </w:p>
    <w:p>
      <w:pPr>
        <w:pStyle w:val="BodyText"/>
        <w:spacing w:line="252" w:lineRule="auto"/>
        <w:ind w:left="100" w:right="326" w:firstLine="396"/>
        <w:jc w:val="both"/>
      </w:pPr>
      <w:r>
        <w:rPr>
          <w:w w:val="243"/>
        </w:rPr>
        <w:t>l</w:t>
      </w:r>
      <w:r>
        <w:rPr>
          <w:w w:val="112"/>
        </w:rPr>
        <w:t>a</w:t>
      </w:r>
      <w:r>
        <w:rPr>
          <w:spacing w:val="17"/>
        </w:rPr>
        <w:t> </w:t>
      </w:r>
      <w:r>
        <w:rPr>
          <w:w w:val="109"/>
        </w:rPr>
        <w:t>segunda</w:t>
      </w:r>
      <w:r>
        <w:rPr>
          <w:spacing w:val="17"/>
        </w:rPr>
        <w:t> </w:t>
      </w:r>
      <w:r>
        <w:rPr>
          <w:w w:val="109"/>
        </w:rPr>
        <w:t>crisis</w:t>
      </w:r>
      <w:r>
        <w:rPr>
          <w:spacing w:val="17"/>
        </w:rPr>
        <w:t> </w:t>
      </w:r>
      <w:r>
        <w:rPr>
          <w:w w:val="105"/>
        </w:rPr>
        <w:t>es</w:t>
      </w:r>
      <w:r>
        <w:rPr>
          <w:spacing w:val="17"/>
        </w:rPr>
        <w:t> </w:t>
      </w:r>
      <w:r>
        <w:rPr>
          <w:w w:val="111"/>
        </w:rPr>
        <w:t>la</w:t>
      </w:r>
      <w:r>
        <w:rPr>
          <w:spacing w:val="17"/>
        </w:rPr>
        <w:t> </w:t>
      </w:r>
      <w:r>
        <w:rPr>
          <w:w w:val="112"/>
        </w:rPr>
        <w:t>económica</w:t>
      </w:r>
      <w:r>
        <w:rPr>
          <w:spacing w:val="17"/>
        </w:rPr>
        <w:t> </w:t>
      </w:r>
      <w:r>
        <w:rPr>
          <w:w w:val="105"/>
        </w:rPr>
        <w:t>y</w:t>
      </w:r>
      <w:r>
        <w:rPr>
          <w:spacing w:val="17"/>
        </w:rPr>
        <w:t> </w:t>
      </w:r>
      <w:r>
        <w:rPr>
          <w:w w:val="112"/>
        </w:rPr>
        <w:t>a</w:t>
      </w:r>
      <w:r>
        <w:rPr>
          <w:spacing w:val="17"/>
        </w:rPr>
        <w:t> </w:t>
      </w:r>
      <w:r>
        <w:rPr>
          <w:w w:val="109"/>
        </w:rPr>
        <w:t>ella</w:t>
      </w:r>
      <w:r>
        <w:rPr>
          <w:spacing w:val="17"/>
        </w:rPr>
        <w:t> </w:t>
      </w:r>
      <w:r>
        <w:rPr>
          <w:w w:val="110"/>
        </w:rPr>
        <w:t>dedicó</w:t>
      </w:r>
      <w:r>
        <w:rPr>
          <w:spacing w:val="17"/>
        </w:rPr>
        <w:t> </w:t>
      </w:r>
      <w:r>
        <w:rPr>
          <w:w w:val="111"/>
        </w:rPr>
        <w:t>la</w:t>
      </w:r>
      <w:r>
        <w:rPr>
          <w:spacing w:val="17"/>
        </w:rPr>
        <w:t> </w:t>
      </w:r>
      <w:r>
        <w:rPr>
          <w:w w:val="109"/>
        </w:rPr>
        <w:t>mayor</w:t>
      </w:r>
      <w:r>
        <w:rPr>
          <w:spacing w:val="17"/>
        </w:rPr>
        <w:t> </w:t>
      </w:r>
      <w:r>
        <w:rPr>
          <w:w w:val="107"/>
        </w:rPr>
        <w:t>parte </w:t>
      </w:r>
      <w:r>
        <w:rPr>
          <w:w w:val="110"/>
        </w:rPr>
        <w:t>de su discurso. “Nuestra economía está muy debilitada, como conse- cuencia de la codicia y la irresponsabilidad de algunos, pero también por nuestro fracaso colectivo a la hora de tomar decisiones difíciles     y de preparar al país para una nueva era. se han perdido hogares y empleos y se han cerrado negocios. Nuestro sistema de salud es de- masiado caro; nuestras escuelas han fallado a demasiados; y cada día aporta más pruebas de que la manera en que utilizamos la energía refuerza a nuestros adversarios y amenaza a nuestro planeta”. ra- diografía dura para enfatizar que, además de los costos económicos,  la crisis ha socavado la confianza en el país y “un temor persistente   de que el declive de Estados unidos es inevitable y de que la próxi-   ma generación debe reducir sus expectativas”. </w:t>
      </w:r>
      <w:r>
        <w:rPr>
          <w:spacing w:val="-4"/>
          <w:w w:val="110"/>
        </w:rPr>
        <w:t>traza </w:t>
      </w:r>
      <w:r>
        <w:rPr>
          <w:w w:val="110"/>
        </w:rPr>
        <w:t>los lineamientos de las políticas públicas encaminadas a recuperar la fortaleza de la economía, desarrollar la ciencia y la tecnología, mejorar el sistema escolar y la educación en todos los niveles, el sistema de salud y </w:t>
      </w:r>
      <w:r>
        <w:rPr>
          <w:spacing w:val="-4"/>
          <w:w w:val="110"/>
        </w:rPr>
        <w:t>for- </w:t>
      </w:r>
      <w:r>
        <w:rPr>
          <w:w w:val="110"/>
        </w:rPr>
        <w:t>talecer la producción de energías limpias para poder “hacer frente a las necesidades de una nueva</w:t>
      </w:r>
      <w:r>
        <w:rPr>
          <w:spacing w:val="39"/>
          <w:w w:val="110"/>
        </w:rPr>
        <w:t> </w:t>
      </w:r>
      <w:r>
        <w:rPr>
          <w:w w:val="110"/>
        </w:rPr>
        <w:t>era”.</w:t>
      </w:r>
    </w:p>
    <w:p>
      <w:pPr>
        <w:pStyle w:val="BodyText"/>
        <w:spacing w:line="252" w:lineRule="auto"/>
        <w:ind w:left="100" w:right="327" w:firstLine="396"/>
        <w:jc w:val="both"/>
      </w:pPr>
      <w:r>
        <w:rPr>
          <w:w w:val="110"/>
        </w:rPr>
        <w:t>obama plantea que nos encontramos ante cambios de una mag- nitud tal que permiten hablar de una nueva era. asume en consecuen- cia que los Estados unidos son una sociedad en transición en la que   la cuestión ya no es, como en el pasado reciente, cuando el planeta     se debatía en medio de la confrontación entre los dos sistemas socio- políticos que caracterizaron a la Guerra Fría, “si el mercado es una fuerza del bien o del mal. su poder para generar riqueza y ampliar      la libertad no tiene rival, pero esta crisis nos ha recordado que sin un ojo vigilante, el mercado puede descontrolarse y que un país no</w:t>
      </w:r>
      <w:r>
        <w:rPr>
          <w:spacing w:val="-9"/>
          <w:w w:val="110"/>
        </w:rPr>
        <w:t> </w:t>
      </w:r>
      <w:r>
        <w:rPr>
          <w:w w:val="110"/>
        </w:rPr>
        <w:t>puede</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prosperar durante mucho tiempo si favorece solo a los ricos. El éxito de nuestra economía ha dependido siempre no solo del tamaño de nuestro producto interior bruto, sino del alcance de nuestra prospe- ridad, de nuestra habilidad de ofrecer oportunidades a cada corazón dispuesto, no por caridad, sino porque es el camino más seguro hacia el bien común”. Es éste un punto de discontinuidad con el credo neo- conservador al asumir, como ya lo hacían los organismos multilatera- les, que el desarrollo capitalista exige una interacción positiva entre el mercado y el Estado si se quiere avanzar en la perspectiva de lo que llama “bien común” tan caro a la dimensión persuasiva de la hege- monía estadounidense con base en su </w:t>
      </w:r>
      <w:r>
        <w:rPr>
          <w:i/>
          <w:w w:val="110"/>
        </w:rPr>
        <w:t>american way of life</w:t>
      </w:r>
      <w:r>
        <w:rPr>
          <w:w w:val="110"/>
        </w:rPr>
        <w:t>. El “sueño americano” cultivado como el “nicho de felicidad” bajo el imperio del capital y la libertad de los individuos, que hacen posible además del desarrollo de las fuerzas productivas que tanto deslumbrara a Marx en el siglo </w:t>
      </w:r>
      <w:r>
        <w:rPr>
          <w:w w:val="130"/>
        </w:rPr>
        <w:t>xix </w:t>
      </w:r>
      <w:r>
        <w:rPr>
          <w:w w:val="110"/>
        </w:rPr>
        <w:t>(attali,  2007).</w:t>
      </w:r>
    </w:p>
    <w:p>
      <w:pPr>
        <w:pStyle w:val="BodyText"/>
        <w:spacing w:line="252" w:lineRule="auto"/>
        <w:ind w:left="330" w:right="117" w:firstLine="396"/>
        <w:jc w:val="both"/>
      </w:pPr>
      <w:r>
        <w:rPr>
          <w:w w:val="110"/>
        </w:rPr>
        <w:t>definida como eje de la política la relación entre defensa y eco- nomía, dan a conocer en mayo de 2010 la Estrategia de seguridad Nacional, Paz, Prosperidad y dignidad Humana en  la  que  se  reite- ran estos peligros, pero se agregan los derivados de la inestabilidad y desigualdad económicas, la seguridad alimentaria y las “pandemias” que amenazan la salud pública y se plantea integrar como un todo la “defensa, la diplomacia y el desarrollo” (Clinton, 2010) en un contexto internacional caracterizado por la creciente complejidad e inestabili- dad económica y política. Hay, como he señalado, un movimiento de redistribución del poder a escala planetaria y un desplazamiento del eje de interés estratégico del atlántico hacia asia-Pacífico, que había sido reivindicado por los neoconservadores y que la administración obama  asume  con claridad.</w:t>
      </w:r>
    </w:p>
    <w:p>
      <w:pPr>
        <w:pStyle w:val="BodyText"/>
        <w:spacing w:line="252" w:lineRule="auto"/>
        <w:ind w:left="330" w:right="119" w:firstLine="396"/>
        <w:jc w:val="both"/>
      </w:pPr>
      <w:r>
        <w:rPr>
          <w:spacing w:val="-2"/>
          <w:w w:val="243"/>
        </w:rPr>
        <w:t>l</w:t>
      </w:r>
      <w:r>
        <w:rPr>
          <w:spacing w:val="-2"/>
          <w:w w:val="108"/>
        </w:rPr>
        <w:t>o</w:t>
      </w:r>
      <w:r>
        <w:rPr>
          <w:w w:val="108"/>
        </w:rPr>
        <w:t>s</w:t>
      </w:r>
      <w:r>
        <w:rPr/>
        <w:t> </w:t>
      </w:r>
      <w:r>
        <w:rPr>
          <w:spacing w:val="-16"/>
        </w:rPr>
        <w:t> </w:t>
      </w:r>
      <w:r>
        <w:rPr>
          <w:spacing w:val="-2"/>
          <w:w w:val="109"/>
        </w:rPr>
        <w:t>desafío</w:t>
      </w:r>
      <w:r>
        <w:rPr>
          <w:w w:val="109"/>
        </w:rPr>
        <w:t>s</w:t>
      </w:r>
      <w:r>
        <w:rPr/>
        <w:t> </w:t>
      </w:r>
      <w:r>
        <w:rPr>
          <w:spacing w:val="-16"/>
        </w:rPr>
        <w:t> </w:t>
      </w:r>
      <w:r>
        <w:rPr>
          <w:spacing w:val="-2"/>
          <w:w w:val="108"/>
        </w:rPr>
        <w:t>qu</w:t>
      </w:r>
      <w:r>
        <w:rPr>
          <w:w w:val="108"/>
        </w:rPr>
        <w:t>e</w:t>
      </w:r>
      <w:r>
        <w:rPr/>
        <w:t> </w:t>
      </w:r>
      <w:r>
        <w:rPr>
          <w:spacing w:val="-16"/>
        </w:rPr>
        <w:t> </w:t>
      </w:r>
      <w:r>
        <w:rPr>
          <w:spacing w:val="-2"/>
          <w:w w:val="105"/>
        </w:rPr>
        <w:t>s</w:t>
      </w:r>
      <w:r>
        <w:rPr>
          <w:w w:val="105"/>
        </w:rPr>
        <w:t>e</w:t>
      </w:r>
      <w:r>
        <w:rPr/>
        <w:t> </w:t>
      </w:r>
      <w:r>
        <w:rPr>
          <w:spacing w:val="-16"/>
        </w:rPr>
        <w:t> </w:t>
      </w:r>
      <w:r>
        <w:rPr>
          <w:spacing w:val="-2"/>
          <w:w w:val="107"/>
        </w:rPr>
        <w:t>l</w:t>
      </w:r>
      <w:r>
        <w:rPr>
          <w:w w:val="107"/>
        </w:rPr>
        <w:t>e</w:t>
      </w:r>
      <w:r>
        <w:rPr/>
        <w:t> </w:t>
      </w:r>
      <w:r>
        <w:rPr>
          <w:spacing w:val="-16"/>
        </w:rPr>
        <w:t> </w:t>
      </w:r>
      <w:r>
        <w:rPr>
          <w:spacing w:val="-2"/>
          <w:w w:val="110"/>
        </w:rPr>
        <w:t>plantea</w:t>
      </w:r>
      <w:r>
        <w:rPr>
          <w:w w:val="110"/>
        </w:rPr>
        <w:t>n</w:t>
      </w:r>
      <w:r>
        <w:rPr/>
        <w:t> </w:t>
      </w:r>
      <w:r>
        <w:rPr>
          <w:spacing w:val="-16"/>
        </w:rPr>
        <w:t> </w:t>
      </w:r>
      <w:r>
        <w:rPr>
          <w:w w:val="112"/>
        </w:rPr>
        <w:t>a</w:t>
      </w:r>
      <w:r>
        <w:rPr/>
        <w:t> </w:t>
      </w:r>
      <w:r>
        <w:rPr>
          <w:spacing w:val="-16"/>
        </w:rPr>
        <w:t> </w:t>
      </w:r>
      <w:r>
        <w:rPr>
          <w:spacing w:val="-2"/>
          <w:w w:val="108"/>
        </w:rPr>
        <w:t>lo</w:t>
      </w:r>
      <w:r>
        <w:rPr>
          <w:w w:val="108"/>
        </w:rPr>
        <w:t>s</w:t>
      </w:r>
      <w:r>
        <w:rPr/>
        <w:t> </w:t>
      </w:r>
      <w:r>
        <w:rPr>
          <w:spacing w:val="-16"/>
        </w:rPr>
        <w:t> </w:t>
      </w:r>
      <w:r>
        <w:rPr>
          <w:spacing w:val="-2"/>
          <w:w w:val="111"/>
        </w:rPr>
        <w:t>Estado</w:t>
      </w:r>
      <w:r>
        <w:rPr>
          <w:w w:val="111"/>
        </w:rPr>
        <w:t>s</w:t>
      </w:r>
      <w:r>
        <w:rPr/>
        <w:t> </w:t>
      </w:r>
      <w:r>
        <w:rPr>
          <w:spacing w:val="-16"/>
        </w:rPr>
        <w:t> </w:t>
      </w:r>
      <w:r>
        <w:rPr>
          <w:spacing w:val="-2"/>
          <w:w w:val="140"/>
        </w:rPr>
        <w:t>u</w:t>
      </w:r>
      <w:r>
        <w:rPr>
          <w:spacing w:val="-2"/>
          <w:w w:val="110"/>
        </w:rPr>
        <w:t>nido</w:t>
      </w:r>
      <w:r>
        <w:rPr>
          <w:w w:val="110"/>
        </w:rPr>
        <w:t>s</w:t>
      </w:r>
      <w:r>
        <w:rPr/>
        <w:t> </w:t>
      </w:r>
      <w:r>
        <w:rPr>
          <w:spacing w:val="-16"/>
        </w:rPr>
        <w:t> </w:t>
      </w:r>
      <w:r>
        <w:rPr>
          <w:spacing w:val="-2"/>
          <w:w w:val="109"/>
        </w:rPr>
        <w:t>agrava</w:t>
      </w:r>
      <w:r>
        <w:rPr>
          <w:w w:val="109"/>
        </w:rPr>
        <w:t>n</w:t>
      </w:r>
      <w:r>
        <w:rPr/>
        <w:t> </w:t>
      </w:r>
      <w:r>
        <w:rPr>
          <w:spacing w:val="-16"/>
        </w:rPr>
        <w:t> </w:t>
      </w:r>
      <w:r>
        <w:rPr>
          <w:spacing w:val="-2"/>
          <w:w w:val="109"/>
        </w:rPr>
        <w:t>las </w:t>
      </w:r>
      <w:r>
        <w:rPr>
          <w:w w:val="110"/>
        </w:rPr>
        <w:t>contradicciones internas, ya exacerbadas por las políticas </w:t>
      </w:r>
      <w:r>
        <w:rPr>
          <w:spacing w:val="-2"/>
          <w:w w:val="110"/>
        </w:rPr>
        <w:t>neoliberales </w:t>
      </w:r>
      <w:r>
        <w:rPr>
          <w:w w:val="110"/>
        </w:rPr>
        <w:t>que</w:t>
      </w:r>
      <w:r>
        <w:rPr>
          <w:spacing w:val="-13"/>
          <w:w w:val="110"/>
        </w:rPr>
        <w:t> </w:t>
      </w:r>
      <w:r>
        <w:rPr>
          <w:w w:val="110"/>
        </w:rPr>
        <w:t>condujeron</w:t>
      </w:r>
      <w:r>
        <w:rPr>
          <w:spacing w:val="-13"/>
          <w:w w:val="110"/>
        </w:rPr>
        <w:t> </w:t>
      </w:r>
      <w:r>
        <w:rPr>
          <w:w w:val="110"/>
        </w:rPr>
        <w:t>a</w:t>
      </w:r>
      <w:r>
        <w:rPr>
          <w:spacing w:val="-13"/>
          <w:w w:val="110"/>
        </w:rPr>
        <w:t> </w:t>
      </w:r>
      <w:r>
        <w:rPr>
          <w:w w:val="110"/>
        </w:rPr>
        <w:t>la</w:t>
      </w:r>
      <w:r>
        <w:rPr>
          <w:spacing w:val="-13"/>
          <w:w w:val="110"/>
        </w:rPr>
        <w:t> </w:t>
      </w:r>
      <w:r>
        <w:rPr>
          <w:w w:val="110"/>
        </w:rPr>
        <w:t>crisis</w:t>
      </w:r>
      <w:r>
        <w:rPr>
          <w:spacing w:val="-13"/>
          <w:w w:val="110"/>
        </w:rPr>
        <w:t> </w:t>
      </w:r>
      <w:r>
        <w:rPr>
          <w:w w:val="110"/>
        </w:rPr>
        <w:t>con</w:t>
      </w:r>
      <w:r>
        <w:rPr>
          <w:spacing w:val="-13"/>
          <w:w w:val="110"/>
        </w:rPr>
        <w:t> </w:t>
      </w:r>
      <w:r>
        <w:rPr>
          <w:w w:val="110"/>
        </w:rPr>
        <w:t>sus</w:t>
      </w:r>
      <w:r>
        <w:rPr>
          <w:spacing w:val="-13"/>
          <w:w w:val="110"/>
        </w:rPr>
        <w:t> </w:t>
      </w:r>
      <w:r>
        <w:rPr>
          <w:w w:val="110"/>
        </w:rPr>
        <w:t>expresiones</w:t>
      </w:r>
      <w:r>
        <w:rPr>
          <w:spacing w:val="-13"/>
          <w:w w:val="110"/>
        </w:rPr>
        <w:t> </w:t>
      </w:r>
      <w:r>
        <w:rPr>
          <w:w w:val="110"/>
        </w:rPr>
        <w:t>de</w:t>
      </w:r>
      <w:r>
        <w:rPr>
          <w:spacing w:val="-13"/>
          <w:w w:val="110"/>
        </w:rPr>
        <w:t> </w:t>
      </w:r>
      <w:r>
        <w:rPr>
          <w:w w:val="110"/>
        </w:rPr>
        <w:t>creciente</w:t>
      </w:r>
      <w:r>
        <w:rPr>
          <w:spacing w:val="-13"/>
          <w:w w:val="110"/>
        </w:rPr>
        <w:t> </w:t>
      </w:r>
      <w:r>
        <w:rPr>
          <w:w w:val="110"/>
        </w:rPr>
        <w:t>desigualdad (ver Gráfico 1), el empobrecimiento de amplias capas y el desempleo. Por un lado el gobierno debe encarar el debilitamiento de la economía en medio de la más grave crisis después de la Gran depresión </w:t>
      </w:r>
      <w:r>
        <w:rPr>
          <w:spacing w:val="-12"/>
          <w:w w:val="110"/>
        </w:rPr>
        <w:t>y, </w:t>
      </w:r>
      <w:r>
        <w:rPr>
          <w:spacing w:val="-2"/>
          <w:w w:val="110"/>
        </w:rPr>
        <w:t>por </w:t>
      </w:r>
      <w:r>
        <w:rPr>
          <w:w w:val="110"/>
        </w:rPr>
        <w:t>otro, no puede dar señales de debilidad y de renuncia a mantener el </w:t>
      </w:r>
      <w:r>
        <w:rPr>
          <w:spacing w:val="-2"/>
          <w:w w:val="109"/>
        </w:rPr>
        <w:t>liderazg</w:t>
      </w:r>
      <w:r>
        <w:rPr>
          <w:w w:val="109"/>
        </w:rPr>
        <w:t>o</w:t>
      </w:r>
      <w:r>
        <w:rPr>
          <w:spacing w:val="2"/>
        </w:rPr>
        <w:t> </w:t>
      </w:r>
      <w:r>
        <w:rPr>
          <w:spacing w:val="-2"/>
          <w:w w:val="108"/>
        </w:rPr>
        <w:t>e</w:t>
      </w:r>
      <w:r>
        <w:rPr>
          <w:w w:val="108"/>
        </w:rPr>
        <w:t>n</w:t>
      </w:r>
      <w:r>
        <w:rPr>
          <w:spacing w:val="2"/>
        </w:rPr>
        <w:t> </w:t>
      </w:r>
      <w:r>
        <w:rPr>
          <w:spacing w:val="-2"/>
          <w:w w:val="107"/>
        </w:rPr>
        <w:t>e</w:t>
      </w:r>
      <w:r>
        <w:rPr>
          <w:w w:val="107"/>
        </w:rPr>
        <w:t>l</w:t>
      </w:r>
      <w:r>
        <w:rPr>
          <w:spacing w:val="2"/>
        </w:rPr>
        <w:t> </w:t>
      </w:r>
      <w:r>
        <w:rPr>
          <w:spacing w:val="-2"/>
          <w:w w:val="112"/>
        </w:rPr>
        <w:t>con</w:t>
      </w:r>
      <w:r>
        <w:rPr>
          <w:spacing w:val="-1"/>
          <w:w w:val="105"/>
        </w:rPr>
        <w:t>fl</w:t>
      </w:r>
      <w:r>
        <w:rPr>
          <w:spacing w:val="-2"/>
          <w:w w:val="110"/>
        </w:rPr>
        <w:t>ictiv</w:t>
      </w:r>
      <w:r>
        <w:rPr>
          <w:w w:val="110"/>
        </w:rPr>
        <w:t>o</w:t>
      </w:r>
      <w:r>
        <w:rPr>
          <w:spacing w:val="2"/>
        </w:rPr>
        <w:t> </w:t>
      </w:r>
      <w:r>
        <w:rPr>
          <w:w w:val="104"/>
        </w:rPr>
        <w:t>e</w:t>
      </w:r>
      <w:r>
        <w:rPr>
          <w:spacing w:val="2"/>
        </w:rPr>
        <w:t> </w:t>
      </w:r>
      <w:r>
        <w:rPr>
          <w:spacing w:val="-2"/>
          <w:w w:val="108"/>
        </w:rPr>
        <w:t>inestabl</w:t>
      </w:r>
      <w:r>
        <w:rPr>
          <w:w w:val="108"/>
        </w:rPr>
        <w:t>e</w:t>
      </w:r>
      <w:r>
        <w:rPr>
          <w:spacing w:val="2"/>
        </w:rPr>
        <w:t> </w:t>
      </w:r>
      <w:r>
        <w:rPr>
          <w:spacing w:val="-2"/>
          <w:w w:val="112"/>
        </w:rPr>
        <w:t>Medi</w:t>
      </w:r>
      <w:r>
        <w:rPr>
          <w:w w:val="112"/>
        </w:rPr>
        <w:t>o</w:t>
      </w:r>
      <w:r>
        <w:rPr>
          <w:spacing w:val="2"/>
        </w:rPr>
        <w:t> </w:t>
      </w:r>
      <w:r>
        <w:rPr>
          <w:spacing w:val="-2"/>
          <w:w w:val="149"/>
        </w:rPr>
        <w:t>o</w:t>
      </w:r>
      <w:r>
        <w:rPr>
          <w:spacing w:val="-2"/>
          <w:w w:val="109"/>
        </w:rPr>
        <w:t>riente</w:t>
      </w:r>
      <w:r>
        <w:rPr>
          <w:w w:val="109"/>
        </w:rPr>
        <w:t>.</w:t>
      </w:r>
      <w:r>
        <w:rPr>
          <w:spacing w:val="2"/>
        </w:rPr>
        <w:t> </w:t>
      </w:r>
      <w:r>
        <w:rPr>
          <w:spacing w:val="-2"/>
          <w:w w:val="243"/>
        </w:rPr>
        <w:t>l</w:t>
      </w:r>
      <w:r>
        <w:rPr>
          <w:w w:val="112"/>
        </w:rPr>
        <w:t>a</w:t>
      </w:r>
      <w:r>
        <w:rPr>
          <w:spacing w:val="2"/>
        </w:rPr>
        <w:t> </w:t>
      </w:r>
      <w:r>
        <w:rPr>
          <w:spacing w:val="-2"/>
          <w:w w:val="111"/>
        </w:rPr>
        <w:t>administración </w:t>
      </w:r>
      <w:r>
        <w:rPr>
          <w:w w:val="110"/>
        </w:rPr>
        <w:t>“prudente” del </w:t>
      </w:r>
      <w:r>
        <w:rPr>
          <w:spacing w:val="-6"/>
          <w:w w:val="110"/>
        </w:rPr>
        <w:t>poder, </w:t>
      </w:r>
      <w:r>
        <w:rPr>
          <w:w w:val="110"/>
        </w:rPr>
        <w:t>el recurso a políticas flexibles e inteligentes </w:t>
      </w:r>
      <w:r>
        <w:rPr>
          <w:spacing w:val="-2"/>
          <w:w w:val="110"/>
        </w:rPr>
        <w:t>más </w:t>
      </w:r>
      <w:r>
        <w:rPr>
          <w:w w:val="110"/>
        </w:rPr>
        <w:t>que</w:t>
      </w:r>
      <w:r>
        <w:rPr>
          <w:spacing w:val="-12"/>
          <w:w w:val="110"/>
        </w:rPr>
        <w:t> </w:t>
      </w:r>
      <w:r>
        <w:rPr>
          <w:w w:val="110"/>
        </w:rPr>
        <w:t>a</w:t>
      </w:r>
      <w:r>
        <w:rPr>
          <w:spacing w:val="-12"/>
          <w:w w:val="110"/>
        </w:rPr>
        <w:t> </w:t>
      </w:r>
      <w:r>
        <w:rPr>
          <w:w w:val="110"/>
        </w:rPr>
        <w:t>las</w:t>
      </w:r>
      <w:r>
        <w:rPr>
          <w:spacing w:val="-12"/>
          <w:w w:val="110"/>
        </w:rPr>
        <w:t> </w:t>
      </w:r>
      <w:r>
        <w:rPr>
          <w:w w:val="110"/>
        </w:rPr>
        <w:t>basadas</w:t>
      </w:r>
      <w:r>
        <w:rPr>
          <w:spacing w:val="-12"/>
          <w:w w:val="110"/>
        </w:rPr>
        <w:t> </w:t>
      </w:r>
      <w:r>
        <w:rPr>
          <w:w w:val="110"/>
        </w:rPr>
        <w:t>en</w:t>
      </w:r>
      <w:r>
        <w:rPr>
          <w:spacing w:val="-12"/>
          <w:w w:val="110"/>
        </w:rPr>
        <w:t> </w:t>
      </w:r>
      <w:r>
        <w:rPr>
          <w:w w:val="110"/>
        </w:rPr>
        <w:t>la</w:t>
      </w:r>
      <w:r>
        <w:rPr>
          <w:spacing w:val="-12"/>
          <w:w w:val="110"/>
        </w:rPr>
        <w:t> </w:t>
      </w:r>
      <w:r>
        <w:rPr>
          <w:w w:val="110"/>
        </w:rPr>
        <w:t>fuerza</w:t>
      </w:r>
      <w:r>
        <w:rPr>
          <w:spacing w:val="-12"/>
          <w:w w:val="110"/>
        </w:rPr>
        <w:t> </w:t>
      </w:r>
      <w:r>
        <w:rPr>
          <w:w w:val="110"/>
        </w:rPr>
        <w:t>no</w:t>
      </w:r>
      <w:r>
        <w:rPr>
          <w:spacing w:val="-12"/>
          <w:w w:val="110"/>
        </w:rPr>
        <w:t> </w:t>
      </w:r>
      <w:r>
        <w:rPr>
          <w:w w:val="110"/>
        </w:rPr>
        <w:t>necesariamente</w:t>
      </w:r>
      <w:r>
        <w:rPr>
          <w:spacing w:val="-12"/>
          <w:w w:val="110"/>
        </w:rPr>
        <w:t> </w:t>
      </w:r>
      <w:r>
        <w:rPr>
          <w:w w:val="110"/>
        </w:rPr>
        <w:t>contribuyen</w:t>
      </w:r>
      <w:r>
        <w:rPr>
          <w:spacing w:val="-12"/>
          <w:w w:val="110"/>
        </w:rPr>
        <w:t> </w:t>
      </w:r>
      <w:r>
        <w:rPr>
          <w:w w:val="110"/>
        </w:rPr>
        <w:t>a</w:t>
      </w:r>
      <w:r>
        <w:rPr>
          <w:spacing w:val="-12"/>
          <w:w w:val="110"/>
        </w:rPr>
        <w:t> </w:t>
      </w:r>
      <w:r>
        <w:rPr>
          <w:w w:val="110"/>
        </w:rPr>
        <w:t>afirmar su liderazgo en un contexto caótico, en el que se destaca la creciente influencia de China, asociada a su acelerado crecimiento económico     e inserción en la economía-mundo capitalista. Por primera vez en la historia</w:t>
      </w:r>
      <w:r>
        <w:rPr>
          <w:spacing w:val="-7"/>
          <w:w w:val="110"/>
        </w:rPr>
        <w:t> </w:t>
      </w:r>
      <w:r>
        <w:rPr>
          <w:w w:val="110"/>
        </w:rPr>
        <w:t>de</w:t>
      </w:r>
      <w:r>
        <w:rPr>
          <w:spacing w:val="-7"/>
          <w:w w:val="110"/>
        </w:rPr>
        <w:t> </w:t>
      </w:r>
      <w:r>
        <w:rPr>
          <w:w w:val="110"/>
        </w:rPr>
        <w:t>la</w:t>
      </w:r>
      <w:r>
        <w:rPr>
          <w:spacing w:val="-7"/>
          <w:w w:val="110"/>
        </w:rPr>
        <w:t> </w:t>
      </w:r>
      <w:r>
        <w:rPr>
          <w:w w:val="110"/>
        </w:rPr>
        <w:t>moderna</w:t>
      </w:r>
      <w:r>
        <w:rPr>
          <w:spacing w:val="-7"/>
          <w:w w:val="110"/>
        </w:rPr>
        <w:t> </w:t>
      </w:r>
      <w:r>
        <w:rPr>
          <w:w w:val="110"/>
        </w:rPr>
        <w:t>sociedad</w:t>
      </w:r>
      <w:r>
        <w:rPr>
          <w:spacing w:val="-7"/>
          <w:w w:val="110"/>
        </w:rPr>
        <w:t> </w:t>
      </w:r>
      <w:r>
        <w:rPr>
          <w:w w:val="110"/>
        </w:rPr>
        <w:t>capitalista</w:t>
      </w:r>
      <w:r>
        <w:rPr>
          <w:spacing w:val="-7"/>
          <w:w w:val="110"/>
        </w:rPr>
        <w:t> </w:t>
      </w:r>
      <w:r>
        <w:rPr>
          <w:w w:val="110"/>
        </w:rPr>
        <w:t>países</w:t>
      </w:r>
      <w:r>
        <w:rPr>
          <w:spacing w:val="-7"/>
          <w:w w:val="110"/>
        </w:rPr>
        <w:t> </w:t>
      </w:r>
      <w:r>
        <w:rPr>
          <w:w w:val="110"/>
        </w:rPr>
        <w:t>llamados</w:t>
      </w:r>
      <w:r>
        <w:rPr>
          <w:spacing w:val="-7"/>
          <w:w w:val="110"/>
        </w:rPr>
        <w:t> </w:t>
      </w:r>
      <w:r>
        <w:rPr>
          <w:w w:val="110"/>
        </w:rPr>
        <w:t>periféricos o del sur están jalonando el crecimiento de la economía mundial</w:t>
      </w:r>
      <w:r>
        <w:rPr>
          <w:spacing w:val="-15"/>
          <w:w w:val="110"/>
        </w:rPr>
        <w:t> </w:t>
      </w:r>
      <w:r>
        <w:rPr>
          <w:w w:val="110"/>
        </w:rPr>
        <w:t>como</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848"/>
        <w:jc w:val="both"/>
      </w:pPr>
      <w:r>
        <w:rPr>
          <w:w w:val="110"/>
        </w:rPr>
        <w:t>se aprecia en el Gráfico 2. desde luego esos crecimientos también </w:t>
      </w:r>
      <w:r>
        <w:rPr>
          <w:spacing w:val="-2"/>
          <w:w w:val="110"/>
        </w:rPr>
        <w:t>son </w:t>
      </w:r>
      <w:r>
        <w:rPr>
          <w:w w:val="110"/>
        </w:rPr>
        <w:t>inestables,</w:t>
      </w:r>
      <w:r>
        <w:rPr>
          <w:spacing w:val="-5"/>
          <w:w w:val="110"/>
        </w:rPr>
        <w:t> </w:t>
      </w:r>
      <w:r>
        <w:rPr>
          <w:w w:val="110"/>
        </w:rPr>
        <w:t>y</w:t>
      </w:r>
      <w:r>
        <w:rPr>
          <w:spacing w:val="-5"/>
          <w:w w:val="110"/>
        </w:rPr>
        <w:t> </w:t>
      </w:r>
      <w:r>
        <w:rPr>
          <w:w w:val="110"/>
        </w:rPr>
        <w:t>las</w:t>
      </w:r>
      <w:r>
        <w:rPr>
          <w:spacing w:val="-5"/>
          <w:w w:val="110"/>
        </w:rPr>
        <w:t> </w:t>
      </w:r>
      <w:r>
        <w:rPr>
          <w:w w:val="110"/>
        </w:rPr>
        <w:t>estructuras</w:t>
      </w:r>
      <w:r>
        <w:rPr>
          <w:spacing w:val="-5"/>
          <w:w w:val="110"/>
        </w:rPr>
        <w:t> </w:t>
      </w:r>
      <w:r>
        <w:rPr>
          <w:w w:val="110"/>
        </w:rPr>
        <w:t>económicas</w:t>
      </w:r>
      <w:r>
        <w:rPr>
          <w:spacing w:val="-5"/>
          <w:w w:val="110"/>
        </w:rPr>
        <w:t> </w:t>
      </w:r>
      <w:r>
        <w:rPr>
          <w:w w:val="110"/>
        </w:rPr>
        <w:t>y</w:t>
      </w:r>
      <w:r>
        <w:rPr>
          <w:spacing w:val="-5"/>
          <w:w w:val="110"/>
        </w:rPr>
        <w:t> </w:t>
      </w:r>
      <w:r>
        <w:rPr>
          <w:w w:val="110"/>
        </w:rPr>
        <w:t>sociales</w:t>
      </w:r>
      <w:r>
        <w:rPr>
          <w:spacing w:val="-5"/>
          <w:w w:val="110"/>
        </w:rPr>
        <w:t> </w:t>
      </w:r>
      <w:r>
        <w:rPr>
          <w:w w:val="110"/>
        </w:rPr>
        <w:t>están</w:t>
      </w:r>
      <w:r>
        <w:rPr>
          <w:spacing w:val="-5"/>
          <w:w w:val="110"/>
        </w:rPr>
        <w:t> </w:t>
      </w:r>
      <w:r>
        <w:rPr>
          <w:w w:val="110"/>
        </w:rPr>
        <w:t>sujetas</w:t>
      </w:r>
      <w:r>
        <w:rPr>
          <w:spacing w:val="-5"/>
          <w:w w:val="110"/>
        </w:rPr>
        <w:t> </w:t>
      </w:r>
      <w:r>
        <w:rPr>
          <w:w w:val="110"/>
        </w:rPr>
        <w:t>a</w:t>
      </w:r>
      <w:r>
        <w:rPr>
          <w:spacing w:val="-5"/>
          <w:w w:val="110"/>
        </w:rPr>
        <w:t> </w:t>
      </w:r>
      <w:r>
        <w:rPr>
          <w:w w:val="110"/>
        </w:rPr>
        <w:t>ajus- tes que respondan a la nueva dinámica del</w:t>
      </w:r>
      <w:r>
        <w:rPr>
          <w:spacing w:val="-11"/>
          <w:w w:val="110"/>
        </w:rPr>
        <w:t> </w:t>
      </w:r>
      <w:r>
        <w:rPr>
          <w:spacing w:val="-2"/>
          <w:w w:val="110"/>
        </w:rPr>
        <w:t>crecimiento.</w:t>
      </w:r>
    </w:p>
    <w:p>
      <w:pPr>
        <w:pStyle w:val="BodyText"/>
        <w:spacing w:before="2"/>
      </w:pPr>
    </w:p>
    <w:p>
      <w:pPr>
        <w:spacing w:before="0"/>
        <w:ind w:left="670" w:right="717" w:firstLine="0"/>
        <w:jc w:val="center"/>
        <w:rPr>
          <w:rFonts w:ascii="Arial" w:hAnsi="Arial"/>
          <w:b/>
          <w:sz w:val="17"/>
        </w:rPr>
      </w:pPr>
      <w:r>
        <w:rPr>
          <w:rFonts w:ascii="Arial" w:hAnsi="Arial"/>
          <w:b/>
          <w:w w:val="85"/>
          <w:sz w:val="17"/>
        </w:rPr>
        <w:t>Gráfico 1</w:t>
      </w:r>
    </w:p>
    <w:p>
      <w:pPr>
        <w:spacing w:before="8"/>
        <w:ind w:left="1561" w:right="158" w:firstLine="0"/>
        <w:jc w:val="left"/>
        <w:rPr>
          <w:rFonts w:ascii="Arial" w:hAnsi="Arial"/>
          <w:sz w:val="17"/>
        </w:rPr>
      </w:pPr>
      <w:r>
        <w:rPr>
          <w:rFonts w:ascii="Arial" w:hAnsi="Arial"/>
          <w:w w:val="85"/>
          <w:sz w:val="17"/>
        </w:rPr>
        <w:t>Relación entre desregulación financiera y desigualdad en EE.UU.</w:t>
      </w:r>
    </w:p>
    <w:p>
      <w:pPr>
        <w:pStyle w:val="BodyText"/>
        <w:spacing w:before="4"/>
        <w:rPr>
          <w:rFonts w:ascii="Arial"/>
          <w:sz w:val="14"/>
        </w:rPr>
      </w:pPr>
      <w:r>
        <w:rPr/>
        <w:pict>
          <v:line style="position:absolute;mso-position-horizontal-relative:page;mso-position-vertical-relative:paragraph;z-index:7408;mso-wrap-distance-left:0;mso-wrap-distance-right:0" from="51.023602pt,10.724426pt" to="399.117602pt,10.724426pt" stroked="true" strokeweight="1pt" strokecolor="#000000">
            <w10:wrap type="topAndBottom"/>
          </v:line>
        </w:pict>
      </w:r>
      <w:r>
        <w:rPr/>
        <w:drawing>
          <wp:anchor distT="0" distB="0" distL="0" distR="0" allowOverlap="1" layoutInCell="1" locked="0" behindDoc="0" simplePos="0" relativeHeight="7432">
            <wp:simplePos x="0" y="0"/>
            <wp:positionH relativeFrom="page">
              <wp:posOffset>1557000</wp:posOffset>
            </wp:positionH>
            <wp:positionV relativeFrom="paragraph">
              <wp:posOffset>244264</wp:posOffset>
            </wp:positionV>
            <wp:extent cx="2559553" cy="1469136"/>
            <wp:effectExtent l="0" t="0" r="0" b="0"/>
            <wp:wrapTopAndBottom/>
            <wp:docPr id="21" name="image64.png" descr=""/>
            <wp:cNvGraphicFramePr>
              <a:graphicFrameLocks noChangeAspect="1"/>
            </wp:cNvGraphicFramePr>
            <a:graphic>
              <a:graphicData uri="http://schemas.openxmlformats.org/drawingml/2006/picture">
                <pic:pic>
                  <pic:nvPicPr>
                    <pic:cNvPr id="22" name="image64.png"/>
                    <pic:cNvPicPr/>
                  </pic:nvPicPr>
                  <pic:blipFill>
                    <a:blip r:embed="rId305" cstate="print"/>
                    <a:stretch>
                      <a:fillRect/>
                    </a:stretch>
                  </pic:blipFill>
                  <pic:spPr>
                    <a:xfrm>
                      <a:off x="0" y="0"/>
                      <a:ext cx="2559553" cy="1469136"/>
                    </a:xfrm>
                    <a:prstGeom prst="rect">
                      <a:avLst/>
                    </a:prstGeom>
                  </pic:spPr>
                </pic:pic>
              </a:graphicData>
            </a:graphic>
          </wp:anchor>
        </w:drawing>
      </w:r>
      <w:r>
        <w:rPr/>
        <w:pict>
          <v:line style="position:absolute;mso-position-horizontal-relative:page;mso-position-vertical-relative:paragraph;z-index:7456;mso-wrap-distance-left:0;mso-wrap-distance-right:0" from="51.023602pt,143.177521pt" to="399.117602pt,143.177521pt" stroked="true" strokeweight="1pt" strokecolor="#000000">
            <w10:wrap type="topAndBottom"/>
          </v:line>
        </w:pict>
      </w:r>
    </w:p>
    <w:p>
      <w:pPr>
        <w:pStyle w:val="BodyText"/>
        <w:rPr>
          <w:rFonts w:ascii="Arial"/>
          <w:sz w:val="8"/>
        </w:rPr>
      </w:pPr>
    </w:p>
    <w:p>
      <w:pPr>
        <w:pStyle w:val="BodyText"/>
        <w:spacing w:before="6"/>
        <w:rPr>
          <w:rFonts w:ascii="Arial"/>
          <w:sz w:val="7"/>
        </w:rPr>
      </w:pPr>
    </w:p>
    <w:p>
      <w:pPr>
        <w:spacing w:before="6"/>
        <w:ind w:left="120" w:right="0" w:firstLine="0"/>
        <w:jc w:val="both"/>
        <w:rPr>
          <w:rFonts w:ascii="Arial" w:hAnsi="Arial"/>
          <w:sz w:val="14"/>
        </w:rPr>
      </w:pPr>
      <w:r>
        <w:rPr>
          <w:rFonts w:ascii="Arial" w:hAnsi="Arial"/>
          <w:w w:val="85"/>
          <w:sz w:val="14"/>
        </w:rPr>
        <w:t>Fuente: tomado del informe Oxfam, “Gobernar para las élites”, enero de 2014.</w:t>
      </w:r>
    </w:p>
    <w:p>
      <w:pPr>
        <w:pStyle w:val="BodyText"/>
        <w:rPr>
          <w:rFonts w:ascii="Arial"/>
          <w:sz w:val="14"/>
        </w:rPr>
      </w:pPr>
    </w:p>
    <w:p>
      <w:pPr>
        <w:spacing w:before="88"/>
        <w:ind w:left="670" w:right="717" w:firstLine="0"/>
        <w:jc w:val="center"/>
        <w:rPr>
          <w:rFonts w:ascii="Arial" w:hAnsi="Arial"/>
          <w:b/>
          <w:sz w:val="17"/>
        </w:rPr>
      </w:pPr>
      <w:r>
        <w:rPr>
          <w:rFonts w:ascii="Arial" w:hAnsi="Arial"/>
          <w:b/>
          <w:w w:val="85"/>
          <w:sz w:val="17"/>
        </w:rPr>
        <w:t>Gráfico 2</w:t>
      </w:r>
    </w:p>
    <w:p>
      <w:pPr>
        <w:spacing w:before="8"/>
        <w:ind w:left="1335" w:right="158" w:firstLine="0"/>
        <w:jc w:val="left"/>
        <w:rPr>
          <w:rFonts w:ascii="Arial" w:hAnsi="Arial"/>
          <w:sz w:val="17"/>
        </w:rPr>
      </w:pPr>
      <w:r>
        <w:rPr>
          <w:rFonts w:ascii="Arial" w:hAnsi="Arial"/>
          <w:w w:val="85"/>
          <w:sz w:val="17"/>
        </w:rPr>
        <w:t>Peso de la producción de Brasil, China e India en la producción mundial</w:t>
      </w:r>
    </w:p>
    <w:p>
      <w:pPr>
        <w:pStyle w:val="BodyText"/>
        <w:spacing w:before="10"/>
        <w:rPr>
          <w:rFonts w:ascii="Arial"/>
          <w:sz w:val="14"/>
        </w:rPr>
      </w:pPr>
      <w:r>
        <w:rPr/>
        <w:pict>
          <v:line style="position:absolute;mso-position-horizontal-relative:page;mso-position-vertical-relative:paragraph;z-index:7480;mso-wrap-distance-left:0;mso-wrap-distance-right:0" from="51.023602pt,11.004132pt" to="399.117602pt,11.004132pt" stroked="true" strokeweight="1pt" strokecolor="#000000">
            <w10:wrap type="topAndBottom"/>
          </v:line>
        </w:pict>
      </w:r>
    </w:p>
    <w:p>
      <w:pPr>
        <w:pStyle w:val="BodyText"/>
        <w:spacing w:before="1"/>
        <w:rPr>
          <w:rFonts w:ascii="Arial"/>
          <w:sz w:val="6"/>
        </w:rPr>
      </w:pPr>
    </w:p>
    <w:p>
      <w:pPr>
        <w:pStyle w:val="BodyText"/>
        <w:ind w:left="110"/>
        <w:rPr>
          <w:rFonts w:ascii="Arial"/>
          <w:sz w:val="20"/>
        </w:rPr>
      </w:pPr>
      <w:r>
        <w:rPr>
          <w:rFonts w:ascii="Arial"/>
          <w:sz w:val="20"/>
        </w:rPr>
        <w:pict>
          <v:group style="width:349.1pt;height:215.4pt;mso-position-horizontal-relative:char;mso-position-vertical-relative:line" coordorigin="0,0" coordsize="6982,4308">
            <v:line style="position:absolute" from="10,4297" to="6972,4297" stroked="true" strokeweight="1pt" strokecolor="#000000"/>
            <v:shape style="position:absolute;left:657;top:0;width:5538;height:4245" type="#_x0000_t75" stroked="false">
              <v:imagedata r:id="rId427" o:title=""/>
            </v:shape>
          </v:group>
        </w:pict>
      </w:r>
      <w:r>
        <w:rPr>
          <w:rFonts w:ascii="Arial"/>
          <w:sz w:val="20"/>
        </w:rPr>
      </w:r>
    </w:p>
    <w:p>
      <w:pPr>
        <w:spacing w:before="16"/>
        <w:ind w:left="120" w:right="0" w:firstLine="0"/>
        <w:jc w:val="both"/>
        <w:rPr>
          <w:rFonts w:ascii="Arial"/>
          <w:sz w:val="14"/>
        </w:rPr>
      </w:pPr>
      <w:r>
        <w:rPr>
          <w:rFonts w:ascii="Arial"/>
          <w:w w:val="85"/>
          <w:sz w:val="14"/>
        </w:rPr>
        <w:t>Fuente: Informe de Desarrollo Humano, PNUD, 2013.</w:t>
      </w:r>
    </w:p>
    <w:p>
      <w:pPr>
        <w:spacing w:before="7"/>
        <w:ind w:left="120" w:right="0" w:firstLine="0"/>
        <w:jc w:val="both"/>
        <w:rPr>
          <w:rFonts w:ascii="Arial" w:hAnsi="Arial"/>
          <w:sz w:val="14"/>
        </w:rPr>
      </w:pPr>
      <w:r>
        <w:rPr>
          <w:rFonts w:ascii="Arial" w:hAnsi="Arial"/>
          <w:w w:val="85"/>
          <w:sz w:val="14"/>
        </w:rPr>
        <w:t>Nota: la población se mide según la paridad del poder adquisitivo en dólares de 1990.</w:t>
      </w:r>
    </w:p>
    <w:p>
      <w:pPr>
        <w:spacing w:after="0"/>
        <w:jc w:val="both"/>
        <w:rPr>
          <w:rFonts w:ascii="Arial" w:hAnsi="Arial"/>
          <w:sz w:val="14"/>
        </w:rPr>
        <w:sectPr>
          <w:pgSz w:w="8790" w:h="12760"/>
          <w:pgMar w:header="695" w:footer="723" w:top="880" w:bottom="920" w:left="900" w:right="680"/>
        </w:sectPr>
      </w:pPr>
    </w:p>
    <w:p>
      <w:pPr>
        <w:pStyle w:val="BodyText"/>
        <w:spacing w:before="2"/>
        <w:rPr>
          <w:rFonts w:ascii="Arial"/>
          <w:sz w:val="29"/>
        </w:rPr>
      </w:pPr>
    </w:p>
    <w:p>
      <w:pPr>
        <w:pStyle w:val="BodyText"/>
        <w:spacing w:line="252" w:lineRule="auto" w:before="72"/>
        <w:ind w:left="330" w:right="117"/>
        <w:jc w:val="both"/>
      </w:pPr>
      <w:r>
        <w:rPr>
          <w:w w:val="110"/>
        </w:rPr>
        <w:t>En el difícil juego de atraer aliados y sacar adelante prioritariamente los intereses americanos, y con la convicción de que ningún país, por poderoso que sea, puede afrontar solo los desafíos, tratan de</w:t>
      </w:r>
      <w:r>
        <w:rPr>
          <w:spacing w:val="-29"/>
          <w:w w:val="110"/>
        </w:rPr>
        <w:t> </w:t>
      </w:r>
      <w:r>
        <w:rPr>
          <w:w w:val="110"/>
        </w:rPr>
        <w:t>convertir un “mundo multipolar en un mundo de socios múltiples [como una manera] de ganar socios para seguir los intereses estadounidenses” (Clinton, 2010). sin olvidar que “nuestras Fuerzas armadas siempre serán la piedra fundamental de nuestra seguridad”, según obama (obama,</w:t>
      </w:r>
      <w:r>
        <w:rPr>
          <w:spacing w:val="33"/>
          <w:w w:val="110"/>
        </w:rPr>
        <w:t> </w:t>
      </w:r>
      <w:r>
        <w:rPr>
          <w:w w:val="110"/>
        </w:rPr>
        <w:t>2010).</w:t>
      </w:r>
    </w:p>
    <w:p>
      <w:pPr>
        <w:pStyle w:val="BodyText"/>
        <w:spacing w:line="252" w:lineRule="auto"/>
        <w:ind w:left="330" w:right="118" w:firstLine="396"/>
        <w:jc w:val="both"/>
      </w:pPr>
      <w:r>
        <w:rPr>
          <w:w w:val="110"/>
        </w:rPr>
        <w:t>En</w:t>
      </w:r>
      <w:r>
        <w:rPr>
          <w:spacing w:val="-11"/>
          <w:w w:val="110"/>
        </w:rPr>
        <w:t> </w:t>
      </w:r>
      <w:r>
        <w:rPr>
          <w:w w:val="110"/>
        </w:rPr>
        <w:t>el</w:t>
      </w:r>
      <w:r>
        <w:rPr>
          <w:spacing w:val="-11"/>
          <w:w w:val="110"/>
        </w:rPr>
        <w:t> </w:t>
      </w:r>
      <w:r>
        <w:rPr>
          <w:w w:val="110"/>
        </w:rPr>
        <w:t>escenario</w:t>
      </w:r>
      <w:r>
        <w:rPr>
          <w:spacing w:val="-11"/>
          <w:w w:val="110"/>
        </w:rPr>
        <w:t> </w:t>
      </w:r>
      <w:r>
        <w:rPr>
          <w:w w:val="110"/>
        </w:rPr>
        <w:t>de</w:t>
      </w:r>
      <w:r>
        <w:rPr>
          <w:spacing w:val="-11"/>
          <w:w w:val="110"/>
        </w:rPr>
        <w:t> </w:t>
      </w:r>
      <w:r>
        <w:rPr>
          <w:w w:val="110"/>
        </w:rPr>
        <w:t>redistribución</w:t>
      </w:r>
      <w:r>
        <w:rPr>
          <w:spacing w:val="-11"/>
          <w:w w:val="110"/>
        </w:rPr>
        <w:t> </w:t>
      </w:r>
      <w:r>
        <w:rPr>
          <w:w w:val="110"/>
        </w:rPr>
        <w:t>de</w:t>
      </w:r>
      <w:r>
        <w:rPr>
          <w:spacing w:val="-11"/>
          <w:w w:val="110"/>
        </w:rPr>
        <w:t> </w:t>
      </w:r>
      <w:r>
        <w:rPr>
          <w:w w:val="110"/>
        </w:rPr>
        <w:t>poderes</w:t>
      </w:r>
      <w:r>
        <w:rPr>
          <w:spacing w:val="-11"/>
          <w:w w:val="110"/>
        </w:rPr>
        <w:t> </w:t>
      </w:r>
      <w:r>
        <w:rPr>
          <w:w w:val="110"/>
        </w:rPr>
        <w:t>encaran</w:t>
      </w:r>
      <w:r>
        <w:rPr>
          <w:spacing w:val="-11"/>
          <w:w w:val="110"/>
        </w:rPr>
        <w:t> </w:t>
      </w:r>
      <w:r>
        <w:rPr>
          <w:w w:val="110"/>
        </w:rPr>
        <w:t>la</w:t>
      </w:r>
      <w:r>
        <w:rPr>
          <w:spacing w:val="-11"/>
          <w:w w:val="110"/>
        </w:rPr>
        <w:t> </w:t>
      </w:r>
      <w:r>
        <w:rPr>
          <w:w w:val="110"/>
        </w:rPr>
        <w:t>competen- cia de la unión Europea –especialmente la de alemania–, Japón, China y de las economías emergentes de brasil e india; además enfrentan el surgimiento de potencias regionales como es el caso de rusia, China    e irán. </w:t>
      </w:r>
      <w:r>
        <w:rPr>
          <w:spacing w:val="-6"/>
          <w:w w:val="110"/>
        </w:rPr>
        <w:t>todo </w:t>
      </w:r>
      <w:r>
        <w:rPr>
          <w:w w:val="110"/>
        </w:rPr>
        <w:t>ésto tiende a configurar una polaridad compleja en la que se afirma con fuerza una tríada de acumulación capitalista y de poder </w:t>
      </w:r>
      <w:r>
        <w:rPr>
          <w:spacing w:val="-1"/>
          <w:w w:val="111"/>
        </w:rPr>
        <w:t>milita</w:t>
      </w:r>
      <w:r>
        <w:rPr>
          <w:w w:val="111"/>
        </w:rPr>
        <w:t>r</w:t>
      </w:r>
      <w:r>
        <w:rPr/>
        <w:t> </w:t>
      </w:r>
      <w:r>
        <w:rPr>
          <w:spacing w:val="-13"/>
        </w:rPr>
        <w:t> </w:t>
      </w:r>
      <w:r>
        <w:rPr>
          <w:spacing w:val="-1"/>
          <w:w w:val="110"/>
        </w:rPr>
        <w:t>compuest</w:t>
      </w:r>
      <w:r>
        <w:rPr>
          <w:w w:val="110"/>
        </w:rPr>
        <w:t>a</w:t>
      </w:r>
      <w:r>
        <w:rPr/>
        <w:t> </w:t>
      </w:r>
      <w:r>
        <w:rPr>
          <w:spacing w:val="-13"/>
        </w:rPr>
        <w:t> </w:t>
      </w:r>
      <w:r>
        <w:rPr>
          <w:spacing w:val="-1"/>
          <w:w w:val="108"/>
        </w:rPr>
        <w:t>po</w:t>
      </w:r>
      <w:r>
        <w:rPr>
          <w:w w:val="108"/>
        </w:rPr>
        <w:t>r</w:t>
      </w:r>
      <w:r>
        <w:rPr/>
        <w:t> </w:t>
      </w:r>
      <w:r>
        <w:rPr>
          <w:spacing w:val="-13"/>
        </w:rPr>
        <w:t> </w:t>
      </w:r>
      <w:r>
        <w:rPr>
          <w:spacing w:val="-1"/>
          <w:w w:val="111"/>
        </w:rPr>
        <w:t>Estado</w:t>
      </w:r>
      <w:r>
        <w:rPr>
          <w:w w:val="111"/>
        </w:rPr>
        <w:t>s</w:t>
      </w:r>
      <w:r>
        <w:rPr/>
        <w:t> </w:t>
      </w:r>
      <w:r>
        <w:rPr>
          <w:spacing w:val="-13"/>
        </w:rPr>
        <w:t> </w:t>
      </w:r>
      <w:r>
        <w:rPr>
          <w:spacing w:val="-1"/>
          <w:w w:val="140"/>
        </w:rPr>
        <w:t>u</w:t>
      </w:r>
      <w:r>
        <w:rPr>
          <w:spacing w:val="-1"/>
          <w:w w:val="112"/>
        </w:rPr>
        <w:t>nidos</w:t>
      </w:r>
      <w:r>
        <w:rPr>
          <w:w w:val="112"/>
        </w:rPr>
        <w:t>,</w:t>
      </w:r>
      <w:r>
        <w:rPr/>
        <w:t> </w:t>
      </w:r>
      <w:r>
        <w:rPr>
          <w:spacing w:val="-13"/>
        </w:rPr>
        <w:t> </w:t>
      </w:r>
      <w:r>
        <w:rPr>
          <w:spacing w:val="-1"/>
          <w:w w:val="113"/>
        </w:rPr>
        <w:t>Europ</w:t>
      </w:r>
      <w:r>
        <w:rPr>
          <w:w w:val="113"/>
        </w:rPr>
        <w:t>a</w:t>
      </w:r>
      <w:r>
        <w:rPr/>
        <w:t> </w:t>
      </w:r>
      <w:r>
        <w:rPr>
          <w:spacing w:val="-13"/>
        </w:rPr>
        <w:t> </w:t>
      </w:r>
      <w:r>
        <w:rPr>
          <w:w w:val="105"/>
        </w:rPr>
        <w:t>y</w:t>
      </w:r>
      <w:r>
        <w:rPr/>
        <w:t> </w:t>
      </w:r>
      <w:r>
        <w:rPr>
          <w:spacing w:val="-13"/>
        </w:rPr>
        <w:t> </w:t>
      </w:r>
      <w:r>
        <w:rPr>
          <w:spacing w:val="-1"/>
          <w:w w:val="107"/>
        </w:rPr>
        <w:t>e</w:t>
      </w:r>
      <w:r>
        <w:rPr>
          <w:w w:val="107"/>
        </w:rPr>
        <w:t>l</w:t>
      </w:r>
      <w:r>
        <w:rPr/>
        <w:t> </w:t>
      </w:r>
      <w:r>
        <w:rPr>
          <w:spacing w:val="-13"/>
        </w:rPr>
        <w:t> </w:t>
      </w:r>
      <w:r>
        <w:rPr>
          <w:spacing w:val="-1"/>
          <w:w w:val="112"/>
        </w:rPr>
        <w:t>Est</w:t>
      </w:r>
      <w:r>
        <w:rPr>
          <w:w w:val="112"/>
        </w:rPr>
        <w:t>e</w:t>
      </w:r>
      <w:r>
        <w:rPr/>
        <w:t> </w:t>
      </w:r>
      <w:r>
        <w:rPr>
          <w:spacing w:val="-13"/>
        </w:rPr>
        <w:t> </w:t>
      </w:r>
      <w:r>
        <w:rPr>
          <w:spacing w:val="-1"/>
          <w:w w:val="107"/>
        </w:rPr>
        <w:t>d</w:t>
      </w:r>
      <w:r>
        <w:rPr>
          <w:w w:val="107"/>
        </w:rPr>
        <w:t>e</w:t>
      </w:r>
      <w:r>
        <w:rPr/>
        <w:t> </w:t>
      </w:r>
      <w:r>
        <w:rPr>
          <w:spacing w:val="-13"/>
        </w:rPr>
        <w:t> </w:t>
      </w:r>
      <w:r>
        <w:rPr>
          <w:spacing w:val="-1"/>
          <w:w w:val="139"/>
        </w:rPr>
        <w:t>a</w:t>
      </w:r>
      <w:r>
        <w:rPr>
          <w:spacing w:val="-1"/>
          <w:w w:val="114"/>
        </w:rPr>
        <w:t>sia</w:t>
      </w:r>
      <w:r>
        <w:rPr>
          <w:w w:val="114"/>
        </w:rPr>
        <w:t>.</w:t>
      </w:r>
      <w:r>
        <w:rPr/>
        <w:t> </w:t>
      </w:r>
      <w:r>
        <w:rPr>
          <w:spacing w:val="-14"/>
        </w:rPr>
        <w:t> </w:t>
      </w:r>
      <w:r>
        <w:rPr>
          <w:spacing w:val="-1"/>
          <w:w w:val="243"/>
        </w:rPr>
        <w:t>l</w:t>
      </w:r>
      <w:r>
        <w:rPr>
          <w:w w:val="112"/>
        </w:rPr>
        <w:t>a </w:t>
      </w:r>
      <w:r>
        <w:rPr>
          <w:w w:val="110"/>
        </w:rPr>
        <w:t>polaridad compleja no es </w:t>
      </w:r>
      <w:r>
        <w:rPr>
          <w:i/>
          <w:w w:val="110"/>
        </w:rPr>
        <w:t>per se </w:t>
      </w:r>
      <w:r>
        <w:rPr>
          <w:w w:val="110"/>
        </w:rPr>
        <w:t>una garantía de paz </w:t>
      </w:r>
      <w:r>
        <w:rPr>
          <w:spacing w:val="-12"/>
          <w:w w:val="110"/>
        </w:rPr>
        <w:t>y, </w:t>
      </w:r>
      <w:r>
        <w:rPr>
          <w:w w:val="110"/>
        </w:rPr>
        <w:t>si en el pasado los cambios en la correlación de fuerzas desembocaron muchas veces en guerras por el reparto territorial del planeta, ahora estaríamos – como lo afirmó el Papa Francisco– en una </w:t>
      </w:r>
      <w:r>
        <w:rPr>
          <w:spacing w:val="-4"/>
          <w:w w:val="110"/>
        </w:rPr>
        <w:t>tercera </w:t>
      </w:r>
      <w:r>
        <w:rPr>
          <w:w w:val="110"/>
        </w:rPr>
        <w:t>Guerra Mundial en la que brotan múltiples formas de guerras localizadas y de violencias en diferentes partes del planeta. aquí la predecibilidad es difícil y la redistribución de poderes ha generado tensiones que, de no </w:t>
      </w:r>
      <w:r>
        <w:rPr>
          <w:spacing w:val="-3"/>
          <w:w w:val="110"/>
        </w:rPr>
        <w:t>controlar- </w:t>
      </w:r>
      <w:r>
        <w:rPr>
          <w:w w:val="110"/>
        </w:rPr>
        <w:t>se, seguramente generarán nuevas e inéditas formas de</w:t>
      </w:r>
      <w:r>
        <w:rPr>
          <w:spacing w:val="-31"/>
          <w:w w:val="110"/>
        </w:rPr>
        <w:t> </w:t>
      </w:r>
      <w:r>
        <w:rPr>
          <w:w w:val="110"/>
        </w:rPr>
        <w:t>confrontación, como las que se han dado en torno a la compleja guerra civil en siria, luego</w:t>
      </w:r>
      <w:r>
        <w:rPr>
          <w:spacing w:val="-7"/>
          <w:w w:val="110"/>
        </w:rPr>
        <w:t> </w:t>
      </w:r>
      <w:r>
        <w:rPr>
          <w:w w:val="110"/>
        </w:rPr>
        <w:t>de</w:t>
      </w:r>
      <w:r>
        <w:rPr>
          <w:spacing w:val="-7"/>
          <w:w w:val="110"/>
        </w:rPr>
        <w:t> </w:t>
      </w:r>
      <w:r>
        <w:rPr>
          <w:w w:val="110"/>
        </w:rPr>
        <w:t>los</w:t>
      </w:r>
      <w:r>
        <w:rPr>
          <w:spacing w:val="-7"/>
          <w:w w:val="110"/>
        </w:rPr>
        <w:t> </w:t>
      </w:r>
      <w:r>
        <w:rPr>
          <w:w w:val="110"/>
        </w:rPr>
        <w:t>atentados</w:t>
      </w:r>
      <w:r>
        <w:rPr>
          <w:spacing w:val="-7"/>
          <w:w w:val="110"/>
        </w:rPr>
        <w:t> </w:t>
      </w:r>
      <w:r>
        <w:rPr>
          <w:w w:val="110"/>
        </w:rPr>
        <w:t>del</w:t>
      </w:r>
      <w:r>
        <w:rPr>
          <w:spacing w:val="-7"/>
          <w:w w:val="110"/>
        </w:rPr>
        <w:t> </w:t>
      </w:r>
      <w:r>
        <w:rPr>
          <w:w w:val="110"/>
        </w:rPr>
        <w:t>13</w:t>
      </w:r>
      <w:r>
        <w:rPr>
          <w:spacing w:val="-7"/>
          <w:w w:val="110"/>
        </w:rPr>
        <w:t> </w:t>
      </w:r>
      <w:r>
        <w:rPr>
          <w:w w:val="110"/>
        </w:rPr>
        <w:t>de</w:t>
      </w:r>
      <w:r>
        <w:rPr>
          <w:spacing w:val="-7"/>
          <w:w w:val="110"/>
        </w:rPr>
        <w:t> </w:t>
      </w:r>
      <w:r>
        <w:rPr>
          <w:w w:val="110"/>
        </w:rPr>
        <w:t>noviembre</w:t>
      </w:r>
      <w:r>
        <w:rPr>
          <w:spacing w:val="-7"/>
          <w:w w:val="110"/>
        </w:rPr>
        <w:t> </w:t>
      </w:r>
      <w:r>
        <w:rPr>
          <w:w w:val="110"/>
        </w:rPr>
        <w:t>de</w:t>
      </w:r>
      <w:r>
        <w:rPr>
          <w:spacing w:val="-7"/>
          <w:w w:val="110"/>
        </w:rPr>
        <w:t> </w:t>
      </w:r>
      <w:r>
        <w:rPr>
          <w:w w:val="110"/>
        </w:rPr>
        <w:t>2015.</w:t>
      </w:r>
    </w:p>
    <w:p>
      <w:pPr>
        <w:pStyle w:val="BodyText"/>
        <w:spacing w:line="252" w:lineRule="auto"/>
        <w:ind w:left="330" w:right="117" w:firstLine="396"/>
        <w:jc w:val="both"/>
      </w:pPr>
      <w:r>
        <w:rPr>
          <w:w w:val="243"/>
        </w:rPr>
        <w:t>l</w:t>
      </w:r>
      <w:r>
        <w:rPr>
          <w:w w:val="112"/>
        </w:rPr>
        <w:t>a</w:t>
      </w:r>
      <w:r>
        <w:rPr>
          <w:spacing w:val="12"/>
        </w:rPr>
        <w:t> </w:t>
      </w:r>
      <w:r>
        <w:rPr>
          <w:w w:val="111"/>
        </w:rPr>
        <w:t>declinación</w:t>
      </w:r>
      <w:r>
        <w:rPr>
          <w:spacing w:val="12"/>
        </w:rPr>
        <w:t> </w:t>
      </w:r>
      <w:r>
        <w:rPr>
          <w:w w:val="107"/>
        </w:rPr>
        <w:t>de</w:t>
      </w:r>
      <w:r>
        <w:rPr>
          <w:spacing w:val="12"/>
        </w:rPr>
        <w:t> </w:t>
      </w:r>
      <w:r>
        <w:rPr>
          <w:w w:val="111"/>
        </w:rPr>
        <w:t>la</w:t>
      </w:r>
      <w:r>
        <w:rPr>
          <w:spacing w:val="12"/>
        </w:rPr>
        <w:t> </w:t>
      </w:r>
      <w:r>
        <w:rPr>
          <w:w w:val="110"/>
        </w:rPr>
        <w:t>hegemonía</w:t>
      </w:r>
      <w:r>
        <w:rPr>
          <w:spacing w:val="12"/>
        </w:rPr>
        <w:t> </w:t>
      </w:r>
      <w:r>
        <w:rPr>
          <w:w w:val="108"/>
        </w:rPr>
        <w:t>estadounidense</w:t>
      </w:r>
      <w:r>
        <w:rPr>
          <w:spacing w:val="12"/>
        </w:rPr>
        <w:t> </w:t>
      </w:r>
      <w:r>
        <w:rPr>
          <w:w w:val="105"/>
        </w:rPr>
        <w:t>y</w:t>
      </w:r>
      <w:r>
        <w:rPr>
          <w:spacing w:val="12"/>
        </w:rPr>
        <w:t> </w:t>
      </w:r>
      <w:r>
        <w:rPr>
          <w:w w:val="109"/>
        </w:rPr>
        <w:t>las</w:t>
      </w:r>
      <w:r>
        <w:rPr>
          <w:spacing w:val="12"/>
        </w:rPr>
        <w:t> </w:t>
      </w:r>
      <w:r>
        <w:rPr>
          <w:w w:val="109"/>
        </w:rPr>
        <w:t>reorganiza</w:t>
      </w:r>
      <w:r>
        <w:rPr>
          <w:w w:val="102"/>
        </w:rPr>
        <w:t>- </w:t>
      </w:r>
      <w:r>
        <w:rPr>
          <w:w w:val="115"/>
        </w:rPr>
        <w:t>ciones</w:t>
      </w:r>
      <w:r>
        <w:rPr>
          <w:spacing w:val="-14"/>
          <w:w w:val="115"/>
        </w:rPr>
        <w:t> </w:t>
      </w:r>
      <w:r>
        <w:rPr>
          <w:w w:val="115"/>
        </w:rPr>
        <w:t>alrededor</w:t>
      </w:r>
      <w:r>
        <w:rPr>
          <w:spacing w:val="-14"/>
          <w:w w:val="115"/>
        </w:rPr>
        <w:t> </w:t>
      </w:r>
      <w:r>
        <w:rPr>
          <w:w w:val="115"/>
        </w:rPr>
        <w:t>de</w:t>
      </w:r>
      <w:r>
        <w:rPr>
          <w:spacing w:val="-14"/>
          <w:w w:val="115"/>
        </w:rPr>
        <w:t> </w:t>
      </w:r>
      <w:r>
        <w:rPr>
          <w:w w:val="115"/>
        </w:rPr>
        <w:t>ese</w:t>
      </w:r>
      <w:r>
        <w:rPr>
          <w:spacing w:val="-14"/>
          <w:w w:val="115"/>
        </w:rPr>
        <w:t> </w:t>
      </w:r>
      <w:r>
        <w:rPr>
          <w:w w:val="115"/>
        </w:rPr>
        <w:t>fenómeno</w:t>
      </w:r>
      <w:r>
        <w:rPr>
          <w:spacing w:val="-14"/>
          <w:w w:val="115"/>
        </w:rPr>
        <w:t> </w:t>
      </w:r>
      <w:r>
        <w:rPr>
          <w:w w:val="115"/>
        </w:rPr>
        <w:t>entrañan</w:t>
      </w:r>
      <w:r>
        <w:rPr>
          <w:spacing w:val="-14"/>
          <w:w w:val="115"/>
        </w:rPr>
        <w:t> </w:t>
      </w:r>
      <w:r>
        <w:rPr>
          <w:w w:val="115"/>
        </w:rPr>
        <w:t>riesgos</w:t>
      </w:r>
      <w:r>
        <w:rPr>
          <w:spacing w:val="-14"/>
          <w:w w:val="115"/>
        </w:rPr>
        <w:t> </w:t>
      </w:r>
      <w:r>
        <w:rPr>
          <w:w w:val="115"/>
        </w:rPr>
        <w:t>para</w:t>
      </w:r>
      <w:r>
        <w:rPr>
          <w:spacing w:val="-14"/>
          <w:w w:val="115"/>
        </w:rPr>
        <w:t> </w:t>
      </w:r>
      <w:r>
        <w:rPr>
          <w:w w:val="115"/>
        </w:rPr>
        <w:t>el</w:t>
      </w:r>
      <w:r>
        <w:rPr>
          <w:spacing w:val="-14"/>
          <w:w w:val="115"/>
        </w:rPr>
        <w:t> </w:t>
      </w:r>
      <w:r>
        <w:rPr>
          <w:w w:val="115"/>
        </w:rPr>
        <w:t>conjunto del</w:t>
      </w:r>
      <w:r>
        <w:rPr>
          <w:spacing w:val="-8"/>
          <w:w w:val="115"/>
        </w:rPr>
        <w:t> </w:t>
      </w:r>
      <w:r>
        <w:rPr>
          <w:w w:val="115"/>
        </w:rPr>
        <w:t>planeta.</w:t>
      </w:r>
      <w:r>
        <w:rPr>
          <w:spacing w:val="-8"/>
          <w:w w:val="115"/>
        </w:rPr>
        <w:t> </w:t>
      </w:r>
      <w:r>
        <w:rPr>
          <w:w w:val="115"/>
        </w:rPr>
        <w:t>Nuevas</w:t>
      </w:r>
      <w:r>
        <w:rPr>
          <w:spacing w:val="-8"/>
          <w:w w:val="115"/>
        </w:rPr>
        <w:t> </w:t>
      </w:r>
      <w:r>
        <w:rPr>
          <w:w w:val="115"/>
        </w:rPr>
        <w:t>territorialidades</w:t>
      </w:r>
      <w:r>
        <w:rPr>
          <w:spacing w:val="-8"/>
          <w:w w:val="115"/>
        </w:rPr>
        <w:t> </w:t>
      </w:r>
      <w:r>
        <w:rPr>
          <w:w w:val="115"/>
        </w:rPr>
        <w:t>están</w:t>
      </w:r>
      <w:r>
        <w:rPr>
          <w:spacing w:val="-8"/>
          <w:w w:val="115"/>
        </w:rPr>
        <w:t> </w:t>
      </w:r>
      <w:r>
        <w:rPr>
          <w:w w:val="115"/>
        </w:rPr>
        <w:t>en</w:t>
      </w:r>
      <w:r>
        <w:rPr>
          <w:spacing w:val="-8"/>
          <w:w w:val="115"/>
        </w:rPr>
        <w:t> </w:t>
      </w:r>
      <w:r>
        <w:rPr>
          <w:w w:val="115"/>
        </w:rPr>
        <w:t>disputa,</w:t>
      </w:r>
      <w:r>
        <w:rPr>
          <w:spacing w:val="-8"/>
          <w:w w:val="115"/>
        </w:rPr>
        <w:t> </w:t>
      </w:r>
      <w:r>
        <w:rPr>
          <w:w w:val="115"/>
        </w:rPr>
        <w:t>China</w:t>
      </w:r>
      <w:r>
        <w:rPr>
          <w:spacing w:val="-8"/>
          <w:w w:val="115"/>
        </w:rPr>
        <w:t> </w:t>
      </w:r>
      <w:r>
        <w:rPr>
          <w:w w:val="115"/>
        </w:rPr>
        <w:t>avanza con firmeza y está, como lo revelan todas las proyecciones de des- envolvimiento de la economía mundial, </w:t>
      </w:r>
      <w:r>
        <w:rPr>
          <w:i/>
          <w:w w:val="115"/>
        </w:rPr>
        <w:t>ad portas </w:t>
      </w:r>
      <w:r>
        <w:rPr>
          <w:w w:val="115"/>
        </w:rPr>
        <w:t>de desplazar a la estadounidense</w:t>
      </w:r>
      <w:r>
        <w:rPr>
          <w:spacing w:val="-6"/>
          <w:w w:val="115"/>
        </w:rPr>
        <w:t> </w:t>
      </w:r>
      <w:r>
        <w:rPr>
          <w:w w:val="115"/>
        </w:rPr>
        <w:t>como</w:t>
      </w:r>
      <w:r>
        <w:rPr>
          <w:spacing w:val="-6"/>
          <w:w w:val="115"/>
        </w:rPr>
        <w:t> </w:t>
      </w:r>
      <w:r>
        <w:rPr>
          <w:w w:val="115"/>
        </w:rPr>
        <w:t>la</w:t>
      </w:r>
      <w:r>
        <w:rPr>
          <w:spacing w:val="-6"/>
          <w:w w:val="115"/>
        </w:rPr>
        <w:t> </w:t>
      </w:r>
      <w:r>
        <w:rPr>
          <w:w w:val="115"/>
        </w:rPr>
        <w:t>primera</w:t>
      </w:r>
      <w:r>
        <w:rPr>
          <w:spacing w:val="-6"/>
          <w:w w:val="115"/>
        </w:rPr>
        <w:t> </w:t>
      </w:r>
      <w:r>
        <w:rPr>
          <w:w w:val="115"/>
        </w:rPr>
        <w:t>del</w:t>
      </w:r>
      <w:r>
        <w:rPr>
          <w:spacing w:val="-6"/>
          <w:w w:val="115"/>
        </w:rPr>
        <w:t> </w:t>
      </w:r>
      <w:r>
        <w:rPr>
          <w:w w:val="115"/>
        </w:rPr>
        <w:t>mundo.</w:t>
      </w:r>
      <w:r>
        <w:rPr>
          <w:spacing w:val="-6"/>
          <w:w w:val="115"/>
        </w:rPr>
        <w:t> </w:t>
      </w:r>
      <w:r>
        <w:rPr>
          <w:w w:val="115"/>
        </w:rPr>
        <w:t>¿resistirán</w:t>
      </w:r>
      <w:r>
        <w:rPr>
          <w:spacing w:val="-6"/>
          <w:w w:val="115"/>
        </w:rPr>
        <w:t> </w:t>
      </w:r>
      <w:r>
        <w:rPr>
          <w:w w:val="115"/>
        </w:rPr>
        <w:t>los</w:t>
      </w:r>
      <w:r>
        <w:rPr>
          <w:spacing w:val="-6"/>
          <w:w w:val="115"/>
        </w:rPr>
        <w:t> </w:t>
      </w:r>
      <w:r>
        <w:rPr>
          <w:w w:val="115"/>
        </w:rPr>
        <w:t>Estados unidos</w:t>
      </w:r>
      <w:r>
        <w:rPr>
          <w:spacing w:val="-17"/>
          <w:w w:val="115"/>
        </w:rPr>
        <w:t> </w:t>
      </w:r>
      <w:r>
        <w:rPr>
          <w:w w:val="115"/>
        </w:rPr>
        <w:t>la</w:t>
      </w:r>
      <w:r>
        <w:rPr>
          <w:spacing w:val="-17"/>
          <w:w w:val="115"/>
        </w:rPr>
        <w:t> </w:t>
      </w:r>
      <w:r>
        <w:rPr>
          <w:w w:val="115"/>
        </w:rPr>
        <w:t>tentación</w:t>
      </w:r>
      <w:r>
        <w:rPr>
          <w:spacing w:val="-17"/>
          <w:w w:val="115"/>
        </w:rPr>
        <w:t> </w:t>
      </w:r>
      <w:r>
        <w:rPr>
          <w:w w:val="115"/>
        </w:rPr>
        <w:t>de</w:t>
      </w:r>
      <w:r>
        <w:rPr>
          <w:spacing w:val="-17"/>
          <w:w w:val="115"/>
        </w:rPr>
        <w:t> </w:t>
      </w:r>
      <w:r>
        <w:rPr>
          <w:w w:val="115"/>
        </w:rPr>
        <w:t>usar</w:t>
      </w:r>
      <w:r>
        <w:rPr>
          <w:spacing w:val="-17"/>
          <w:w w:val="115"/>
        </w:rPr>
        <w:t> </w:t>
      </w:r>
      <w:r>
        <w:rPr>
          <w:w w:val="115"/>
        </w:rPr>
        <w:t>su</w:t>
      </w:r>
      <w:r>
        <w:rPr>
          <w:spacing w:val="-17"/>
          <w:w w:val="115"/>
        </w:rPr>
        <w:t> </w:t>
      </w:r>
      <w:r>
        <w:rPr>
          <w:w w:val="115"/>
        </w:rPr>
        <w:t>poder</w:t>
      </w:r>
      <w:r>
        <w:rPr>
          <w:spacing w:val="-17"/>
          <w:w w:val="115"/>
        </w:rPr>
        <w:t> </w:t>
      </w:r>
      <w:r>
        <w:rPr>
          <w:w w:val="115"/>
        </w:rPr>
        <w:t>duro,</w:t>
      </w:r>
      <w:r>
        <w:rPr>
          <w:spacing w:val="-17"/>
          <w:w w:val="115"/>
        </w:rPr>
        <w:t> </w:t>
      </w:r>
      <w:r>
        <w:rPr>
          <w:w w:val="115"/>
        </w:rPr>
        <w:t>el</w:t>
      </w:r>
      <w:r>
        <w:rPr>
          <w:spacing w:val="-17"/>
          <w:w w:val="115"/>
        </w:rPr>
        <w:t> </w:t>
      </w:r>
      <w:r>
        <w:rPr>
          <w:w w:val="115"/>
        </w:rPr>
        <w:t>de</w:t>
      </w:r>
      <w:r>
        <w:rPr>
          <w:spacing w:val="-17"/>
          <w:w w:val="115"/>
        </w:rPr>
        <w:t> </w:t>
      </w:r>
      <w:r>
        <w:rPr>
          <w:w w:val="115"/>
        </w:rPr>
        <w:t>las</w:t>
      </w:r>
      <w:r>
        <w:rPr>
          <w:spacing w:val="-17"/>
          <w:w w:val="115"/>
        </w:rPr>
        <w:t> </w:t>
      </w:r>
      <w:r>
        <w:rPr>
          <w:w w:val="115"/>
        </w:rPr>
        <w:t>armas,</w:t>
      </w:r>
      <w:r>
        <w:rPr>
          <w:spacing w:val="-17"/>
          <w:w w:val="115"/>
        </w:rPr>
        <w:t> </w:t>
      </w:r>
      <w:r>
        <w:rPr>
          <w:w w:val="115"/>
        </w:rPr>
        <w:t>para</w:t>
      </w:r>
      <w:r>
        <w:rPr>
          <w:spacing w:val="-17"/>
          <w:w w:val="115"/>
        </w:rPr>
        <w:t> </w:t>
      </w:r>
      <w:r>
        <w:rPr>
          <w:w w:val="115"/>
        </w:rPr>
        <w:t>tratar de evitar la declinación definitiva de su hegemonía y la pérdida de su liderazgo? ¿renunciarán a su compromiso bipartidista de evitar la emergencia de potencias rivales? ¿Están en condiciones de</w:t>
      </w:r>
      <w:r>
        <w:rPr>
          <w:spacing w:val="-33"/>
          <w:w w:val="115"/>
        </w:rPr>
        <w:t> </w:t>
      </w:r>
      <w:r>
        <w:rPr>
          <w:w w:val="115"/>
        </w:rPr>
        <w:t>poner en</w:t>
      </w:r>
      <w:r>
        <w:rPr>
          <w:spacing w:val="-13"/>
          <w:w w:val="115"/>
        </w:rPr>
        <w:t> </w:t>
      </w:r>
      <w:r>
        <w:rPr>
          <w:w w:val="115"/>
        </w:rPr>
        <w:t>juego</w:t>
      </w:r>
      <w:r>
        <w:rPr>
          <w:spacing w:val="-13"/>
          <w:w w:val="115"/>
        </w:rPr>
        <w:t> </w:t>
      </w:r>
      <w:r>
        <w:rPr>
          <w:w w:val="115"/>
        </w:rPr>
        <w:t>su</w:t>
      </w:r>
      <w:r>
        <w:rPr>
          <w:spacing w:val="-13"/>
          <w:w w:val="115"/>
        </w:rPr>
        <w:t> </w:t>
      </w:r>
      <w:r>
        <w:rPr>
          <w:w w:val="115"/>
        </w:rPr>
        <w:t>maquinaria</w:t>
      </w:r>
      <w:r>
        <w:rPr>
          <w:spacing w:val="-13"/>
          <w:w w:val="115"/>
        </w:rPr>
        <w:t> </w:t>
      </w:r>
      <w:r>
        <w:rPr>
          <w:w w:val="115"/>
        </w:rPr>
        <w:t>de</w:t>
      </w:r>
      <w:r>
        <w:rPr>
          <w:spacing w:val="-13"/>
          <w:w w:val="115"/>
        </w:rPr>
        <w:t> </w:t>
      </w:r>
      <w:r>
        <w:rPr>
          <w:w w:val="115"/>
        </w:rPr>
        <w:t>guerra</w:t>
      </w:r>
      <w:r>
        <w:rPr>
          <w:spacing w:val="-13"/>
          <w:w w:val="115"/>
        </w:rPr>
        <w:t> </w:t>
      </w:r>
      <w:r>
        <w:rPr>
          <w:w w:val="115"/>
        </w:rPr>
        <w:t>para</w:t>
      </w:r>
      <w:r>
        <w:rPr>
          <w:spacing w:val="-13"/>
          <w:w w:val="115"/>
        </w:rPr>
        <w:t> </w:t>
      </w:r>
      <w:r>
        <w:rPr>
          <w:w w:val="115"/>
        </w:rPr>
        <w:t>incidir</w:t>
      </w:r>
      <w:r>
        <w:rPr>
          <w:spacing w:val="-13"/>
          <w:w w:val="115"/>
        </w:rPr>
        <w:t> </w:t>
      </w:r>
      <w:r>
        <w:rPr>
          <w:w w:val="115"/>
        </w:rPr>
        <w:t>de</w:t>
      </w:r>
      <w:r>
        <w:rPr>
          <w:spacing w:val="-13"/>
          <w:w w:val="115"/>
        </w:rPr>
        <w:t> </w:t>
      </w:r>
      <w:r>
        <w:rPr>
          <w:w w:val="115"/>
        </w:rPr>
        <w:t>manera</w:t>
      </w:r>
      <w:r>
        <w:rPr>
          <w:spacing w:val="-13"/>
          <w:w w:val="115"/>
        </w:rPr>
        <w:t> </w:t>
      </w:r>
      <w:r>
        <w:rPr>
          <w:w w:val="115"/>
        </w:rPr>
        <w:t>decisiva</w:t>
      </w:r>
      <w:r>
        <w:rPr>
          <w:spacing w:val="-13"/>
          <w:w w:val="115"/>
        </w:rPr>
        <w:t> </w:t>
      </w:r>
      <w:r>
        <w:rPr>
          <w:w w:val="115"/>
        </w:rPr>
        <w:t>en la redistribución de poderes? Es difícil saberlo pero éste es uno de los</w:t>
      </w:r>
      <w:r>
        <w:rPr>
          <w:spacing w:val="-24"/>
          <w:w w:val="115"/>
        </w:rPr>
        <w:t> </w:t>
      </w:r>
      <w:r>
        <w:rPr>
          <w:w w:val="115"/>
        </w:rPr>
        <w:t>factores</w:t>
      </w:r>
      <w:r>
        <w:rPr>
          <w:spacing w:val="-24"/>
          <w:w w:val="115"/>
        </w:rPr>
        <w:t> </w:t>
      </w:r>
      <w:r>
        <w:rPr>
          <w:w w:val="115"/>
        </w:rPr>
        <w:t>de</w:t>
      </w:r>
      <w:r>
        <w:rPr>
          <w:spacing w:val="-24"/>
          <w:w w:val="115"/>
        </w:rPr>
        <w:t> </w:t>
      </w:r>
      <w:r>
        <w:rPr>
          <w:w w:val="115"/>
        </w:rPr>
        <w:t>inestabilidad</w:t>
      </w:r>
      <w:r>
        <w:rPr>
          <w:spacing w:val="-24"/>
          <w:w w:val="115"/>
        </w:rPr>
        <w:t> </w:t>
      </w:r>
      <w:r>
        <w:rPr>
          <w:w w:val="115"/>
        </w:rPr>
        <w:t>política</w:t>
      </w:r>
      <w:r>
        <w:rPr>
          <w:spacing w:val="-24"/>
          <w:w w:val="115"/>
        </w:rPr>
        <w:t> </w:t>
      </w:r>
      <w:r>
        <w:rPr>
          <w:w w:val="115"/>
        </w:rPr>
        <w:t>presente.</w:t>
      </w:r>
      <w:r>
        <w:rPr>
          <w:spacing w:val="-24"/>
          <w:w w:val="115"/>
        </w:rPr>
        <w:t> </w:t>
      </w:r>
      <w:r>
        <w:rPr>
          <w:w w:val="115"/>
        </w:rPr>
        <w:t>inestabilidad</w:t>
      </w:r>
      <w:r>
        <w:rPr>
          <w:spacing w:val="-24"/>
          <w:w w:val="115"/>
        </w:rPr>
        <w:t> </w:t>
      </w:r>
      <w:r>
        <w:rPr>
          <w:w w:val="115"/>
        </w:rPr>
        <w:t>que</w:t>
      </w:r>
      <w:r>
        <w:rPr>
          <w:spacing w:val="-24"/>
          <w:w w:val="115"/>
        </w:rPr>
        <w:t> </w:t>
      </w:r>
      <w:r>
        <w:rPr>
          <w:w w:val="115"/>
        </w:rPr>
        <w:t>no</w:t>
      </w:r>
      <w:r>
        <w:rPr>
          <w:spacing w:val="-24"/>
          <w:w w:val="115"/>
        </w:rPr>
        <w:t> </w:t>
      </w:r>
      <w:r>
        <w:rPr>
          <w:w w:val="115"/>
        </w:rPr>
        <w:t>es ajena</w:t>
      </w:r>
      <w:r>
        <w:rPr>
          <w:spacing w:val="-29"/>
          <w:w w:val="115"/>
        </w:rPr>
        <w:t> </w:t>
      </w:r>
      <w:r>
        <w:rPr>
          <w:w w:val="115"/>
        </w:rPr>
        <w:t>a</w:t>
      </w:r>
      <w:r>
        <w:rPr>
          <w:spacing w:val="-29"/>
          <w:w w:val="115"/>
        </w:rPr>
        <w:t> </w:t>
      </w:r>
      <w:r>
        <w:rPr>
          <w:w w:val="115"/>
        </w:rPr>
        <w:t>las</w:t>
      </w:r>
      <w:r>
        <w:rPr>
          <w:spacing w:val="-29"/>
          <w:w w:val="115"/>
        </w:rPr>
        <w:t> </w:t>
      </w:r>
      <w:r>
        <w:rPr>
          <w:w w:val="115"/>
        </w:rPr>
        <w:t>incertidumbres</w:t>
      </w:r>
      <w:r>
        <w:rPr>
          <w:spacing w:val="-29"/>
          <w:w w:val="115"/>
        </w:rPr>
        <w:t> </w:t>
      </w:r>
      <w:r>
        <w:rPr>
          <w:w w:val="115"/>
        </w:rPr>
        <w:t>de</w:t>
      </w:r>
      <w:r>
        <w:rPr>
          <w:spacing w:val="-29"/>
          <w:w w:val="115"/>
        </w:rPr>
        <w:t> </w:t>
      </w:r>
      <w:r>
        <w:rPr>
          <w:w w:val="115"/>
        </w:rPr>
        <w:t>los</w:t>
      </w:r>
      <w:r>
        <w:rPr>
          <w:spacing w:val="-29"/>
          <w:w w:val="115"/>
        </w:rPr>
        <w:t> </w:t>
      </w:r>
      <w:r>
        <w:rPr>
          <w:w w:val="115"/>
        </w:rPr>
        <w:t>procesos</w:t>
      </w:r>
      <w:r>
        <w:rPr>
          <w:spacing w:val="-29"/>
          <w:w w:val="115"/>
        </w:rPr>
        <w:t> </w:t>
      </w:r>
      <w:r>
        <w:rPr>
          <w:w w:val="115"/>
        </w:rPr>
        <w:t>electorales</w:t>
      </w:r>
      <w:r>
        <w:rPr>
          <w:spacing w:val="-29"/>
          <w:w w:val="115"/>
        </w:rPr>
        <w:t> </w:t>
      </w:r>
      <w:r>
        <w:rPr>
          <w:w w:val="115"/>
        </w:rPr>
        <w:t>que</w:t>
      </w:r>
      <w:r>
        <w:rPr>
          <w:spacing w:val="-29"/>
          <w:w w:val="115"/>
        </w:rPr>
        <w:t> </w:t>
      </w:r>
      <w:r>
        <w:rPr>
          <w:w w:val="115"/>
        </w:rPr>
        <w:t>se</w:t>
      </w:r>
      <w:r>
        <w:rPr>
          <w:spacing w:val="-29"/>
          <w:w w:val="115"/>
        </w:rPr>
        <w:t> </w:t>
      </w:r>
      <w:r>
        <w:rPr>
          <w:w w:val="115"/>
        </w:rPr>
        <w:t>avecinan </w:t>
      </w:r>
      <w:r>
        <w:rPr>
          <w:w w:val="108"/>
        </w:rPr>
        <w:t>en</w:t>
      </w:r>
      <w:r>
        <w:rPr>
          <w:spacing w:val="12"/>
        </w:rPr>
        <w:t> </w:t>
      </w:r>
      <w:r>
        <w:rPr>
          <w:w w:val="111"/>
        </w:rPr>
        <w:t>Estados</w:t>
      </w:r>
      <w:r>
        <w:rPr>
          <w:spacing w:val="12"/>
        </w:rPr>
        <w:t> </w:t>
      </w:r>
      <w:r>
        <w:rPr>
          <w:w w:val="140"/>
        </w:rPr>
        <w:t>u</w:t>
      </w:r>
      <w:r>
        <w:rPr>
          <w:w w:val="112"/>
        </w:rPr>
        <w:t>nidos,</w:t>
      </w:r>
      <w:r>
        <w:rPr>
          <w:spacing w:val="12"/>
        </w:rPr>
        <w:t> </w:t>
      </w:r>
      <w:r>
        <w:rPr>
          <w:w w:val="113"/>
        </w:rPr>
        <w:t>Europa</w:t>
      </w:r>
      <w:r>
        <w:rPr>
          <w:spacing w:val="12"/>
        </w:rPr>
        <w:t> </w:t>
      </w:r>
      <w:r>
        <w:rPr>
          <w:w w:val="105"/>
        </w:rPr>
        <w:t>y</w:t>
      </w:r>
      <w:r>
        <w:rPr>
          <w:spacing w:val="12"/>
        </w:rPr>
        <w:t> </w:t>
      </w:r>
      <w:r>
        <w:rPr>
          <w:w w:val="139"/>
        </w:rPr>
        <w:t>a</w:t>
      </w:r>
      <w:r>
        <w:rPr>
          <w:w w:val="111"/>
        </w:rPr>
        <w:t>mérica</w:t>
      </w:r>
      <w:r>
        <w:rPr>
          <w:spacing w:val="12"/>
        </w:rPr>
        <w:t> </w:t>
      </w:r>
      <w:r>
        <w:rPr>
          <w:w w:val="243"/>
        </w:rPr>
        <w:t>l</w:t>
      </w:r>
      <w:r>
        <w:rPr>
          <w:w w:val="113"/>
        </w:rPr>
        <w:t>atina.</w:t>
      </w:r>
    </w:p>
    <w:p>
      <w:pPr>
        <w:pStyle w:val="BodyText"/>
        <w:ind w:left="727" w:right="41"/>
      </w:pPr>
      <w:r>
        <w:rPr>
          <w:w w:val="115"/>
        </w:rPr>
        <w:t>Con</w:t>
      </w:r>
      <w:r>
        <w:rPr>
          <w:spacing w:val="11"/>
        </w:rPr>
        <w:t> </w:t>
      </w:r>
      <w:r>
        <w:rPr>
          <w:w w:val="109"/>
        </w:rPr>
        <w:t>toda</w:t>
      </w:r>
      <w:r>
        <w:rPr>
          <w:spacing w:val="11"/>
        </w:rPr>
        <w:t> </w:t>
      </w:r>
      <w:r>
        <w:rPr>
          <w:w w:val="110"/>
        </w:rPr>
        <w:t>crudeza</w:t>
      </w:r>
      <w:r>
        <w:rPr>
          <w:spacing w:val="11"/>
        </w:rPr>
        <w:t> </w:t>
      </w:r>
      <w:r>
        <w:rPr>
          <w:w w:val="108"/>
        </w:rPr>
        <w:t>escribe</w:t>
      </w:r>
      <w:r>
        <w:rPr>
          <w:spacing w:val="11"/>
        </w:rPr>
        <w:t> </w:t>
      </w:r>
      <w:r>
        <w:rPr>
          <w:w w:val="107"/>
        </w:rPr>
        <w:t>el</w:t>
      </w:r>
      <w:r>
        <w:rPr>
          <w:spacing w:val="11"/>
        </w:rPr>
        <w:t> </w:t>
      </w:r>
      <w:r>
        <w:rPr>
          <w:w w:val="109"/>
        </w:rPr>
        <w:t>entonces</w:t>
      </w:r>
      <w:r>
        <w:rPr>
          <w:spacing w:val="11"/>
        </w:rPr>
        <w:t> </w:t>
      </w:r>
      <w:r>
        <w:rPr>
          <w:w w:val="149"/>
        </w:rPr>
        <w:t>s</w:t>
      </w:r>
      <w:r>
        <w:rPr>
          <w:w w:val="108"/>
        </w:rPr>
        <w:t>ecretario</w:t>
      </w:r>
      <w:r>
        <w:rPr>
          <w:spacing w:val="11"/>
        </w:rPr>
        <w:t> </w:t>
      </w:r>
      <w:r>
        <w:rPr>
          <w:w w:val="107"/>
        </w:rPr>
        <w:t>de</w:t>
      </w:r>
      <w:r>
        <w:rPr>
          <w:spacing w:val="11"/>
        </w:rPr>
        <w:t> </w:t>
      </w:r>
      <w:r>
        <w:rPr>
          <w:w w:val="139"/>
        </w:rPr>
        <w:t>d</w:t>
      </w:r>
      <w:r>
        <w:rPr>
          <w:w w:val="109"/>
        </w:rPr>
        <w:t>efensa</w:t>
      </w:r>
      <w:r>
        <w:rPr>
          <w:spacing w:val="10"/>
        </w:rPr>
        <w:t> </w:t>
      </w:r>
      <w:r>
        <w:rPr>
          <w:w w:val="243"/>
        </w:rPr>
        <w:t>l</w:t>
      </w:r>
      <w:r>
        <w:rPr>
          <w:w w:val="109"/>
        </w:rPr>
        <w:t>eón</w:t>
      </w:r>
    </w:p>
    <w:p>
      <w:pPr>
        <w:pStyle w:val="BodyText"/>
        <w:spacing w:line="252" w:lineRule="auto" w:before="11"/>
        <w:ind w:left="330" w:right="118"/>
        <w:jc w:val="both"/>
      </w:pPr>
      <w:r>
        <w:rPr>
          <w:w w:val="110"/>
        </w:rPr>
        <w:t>E. Panetta en el Prefacio a la “Política de defensa para el Hemisferio occidental” de octubre de 2012, que “los cambios en el entorno de</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seguridad mundial y nuestras circunstancias fiscales exigían redefinir </w:t>
      </w:r>
      <w:r>
        <w:rPr>
          <w:w w:val="115"/>
        </w:rPr>
        <w:t>nuestras</w:t>
      </w:r>
      <w:r>
        <w:rPr>
          <w:spacing w:val="-19"/>
          <w:w w:val="115"/>
        </w:rPr>
        <w:t> </w:t>
      </w:r>
      <w:r>
        <w:rPr>
          <w:w w:val="115"/>
        </w:rPr>
        <w:t>prioridades</w:t>
      </w:r>
      <w:r>
        <w:rPr>
          <w:spacing w:val="-19"/>
          <w:w w:val="115"/>
        </w:rPr>
        <w:t> </w:t>
      </w:r>
      <w:r>
        <w:rPr>
          <w:w w:val="115"/>
        </w:rPr>
        <w:t>en</w:t>
      </w:r>
      <w:r>
        <w:rPr>
          <w:spacing w:val="-19"/>
          <w:w w:val="115"/>
        </w:rPr>
        <w:t> </w:t>
      </w:r>
      <w:r>
        <w:rPr>
          <w:w w:val="115"/>
        </w:rPr>
        <w:t>materia</w:t>
      </w:r>
      <w:r>
        <w:rPr>
          <w:spacing w:val="-19"/>
          <w:w w:val="115"/>
        </w:rPr>
        <w:t> </w:t>
      </w:r>
      <w:r>
        <w:rPr>
          <w:w w:val="115"/>
        </w:rPr>
        <w:t>de</w:t>
      </w:r>
      <w:r>
        <w:rPr>
          <w:spacing w:val="-19"/>
          <w:w w:val="115"/>
        </w:rPr>
        <w:t> </w:t>
      </w:r>
      <w:r>
        <w:rPr>
          <w:w w:val="115"/>
        </w:rPr>
        <w:t>defensa.</w:t>
      </w:r>
      <w:r>
        <w:rPr>
          <w:spacing w:val="-19"/>
          <w:w w:val="115"/>
        </w:rPr>
        <w:t> </w:t>
      </w:r>
      <w:r>
        <w:rPr>
          <w:w w:val="115"/>
        </w:rPr>
        <w:t>a</w:t>
      </w:r>
      <w:r>
        <w:rPr>
          <w:spacing w:val="-19"/>
          <w:w w:val="115"/>
        </w:rPr>
        <w:t> </w:t>
      </w:r>
      <w:r>
        <w:rPr>
          <w:w w:val="115"/>
        </w:rPr>
        <w:t>medida</w:t>
      </w:r>
      <w:r>
        <w:rPr>
          <w:spacing w:val="-19"/>
          <w:w w:val="115"/>
        </w:rPr>
        <w:t> </w:t>
      </w:r>
      <w:r>
        <w:rPr>
          <w:w w:val="115"/>
        </w:rPr>
        <w:t>que</w:t>
      </w:r>
      <w:r>
        <w:rPr>
          <w:spacing w:val="-19"/>
          <w:w w:val="115"/>
        </w:rPr>
        <w:t> </w:t>
      </w:r>
      <w:r>
        <w:rPr>
          <w:w w:val="115"/>
        </w:rPr>
        <w:t>nos</w:t>
      </w:r>
      <w:r>
        <w:rPr>
          <w:spacing w:val="-19"/>
          <w:w w:val="115"/>
        </w:rPr>
        <w:t> </w:t>
      </w:r>
      <w:r>
        <w:rPr>
          <w:w w:val="115"/>
        </w:rPr>
        <w:t>vamos apartando de una década de conflicto, continuamos persiguiendo a al</w:t>
      </w:r>
      <w:r>
        <w:rPr>
          <w:spacing w:val="-9"/>
          <w:w w:val="115"/>
        </w:rPr>
        <w:t> </w:t>
      </w:r>
      <w:r>
        <w:rPr>
          <w:w w:val="115"/>
        </w:rPr>
        <w:t>Qaeda</w:t>
      </w:r>
      <w:r>
        <w:rPr>
          <w:spacing w:val="-9"/>
          <w:w w:val="115"/>
        </w:rPr>
        <w:t> </w:t>
      </w:r>
      <w:r>
        <w:rPr>
          <w:w w:val="115"/>
        </w:rPr>
        <w:t>y</w:t>
      </w:r>
      <w:r>
        <w:rPr>
          <w:spacing w:val="-9"/>
          <w:w w:val="115"/>
        </w:rPr>
        <w:t> </w:t>
      </w:r>
      <w:r>
        <w:rPr>
          <w:w w:val="115"/>
        </w:rPr>
        <w:t>a</w:t>
      </w:r>
      <w:r>
        <w:rPr>
          <w:spacing w:val="-9"/>
          <w:w w:val="115"/>
        </w:rPr>
        <w:t> </w:t>
      </w:r>
      <w:r>
        <w:rPr>
          <w:w w:val="115"/>
        </w:rPr>
        <w:t>sus</w:t>
      </w:r>
      <w:r>
        <w:rPr>
          <w:spacing w:val="-9"/>
          <w:w w:val="115"/>
        </w:rPr>
        <w:t> </w:t>
      </w:r>
      <w:r>
        <w:rPr>
          <w:w w:val="115"/>
        </w:rPr>
        <w:t>cabecillas</w:t>
      </w:r>
      <w:r>
        <w:rPr>
          <w:spacing w:val="-9"/>
          <w:w w:val="115"/>
        </w:rPr>
        <w:t> </w:t>
      </w:r>
      <w:r>
        <w:rPr>
          <w:w w:val="115"/>
        </w:rPr>
        <w:t>y</w:t>
      </w:r>
      <w:r>
        <w:rPr>
          <w:spacing w:val="-9"/>
          <w:w w:val="115"/>
        </w:rPr>
        <w:t> </w:t>
      </w:r>
      <w:r>
        <w:rPr>
          <w:w w:val="115"/>
        </w:rPr>
        <w:t>nos</w:t>
      </w:r>
      <w:r>
        <w:rPr>
          <w:spacing w:val="-9"/>
          <w:w w:val="115"/>
        </w:rPr>
        <w:t> </w:t>
      </w:r>
      <w:r>
        <w:rPr>
          <w:w w:val="115"/>
        </w:rPr>
        <w:t>preparamos</w:t>
      </w:r>
      <w:r>
        <w:rPr>
          <w:spacing w:val="-9"/>
          <w:w w:val="115"/>
        </w:rPr>
        <w:t> </w:t>
      </w:r>
      <w:r>
        <w:rPr>
          <w:w w:val="115"/>
        </w:rPr>
        <w:t>para</w:t>
      </w:r>
      <w:r>
        <w:rPr>
          <w:spacing w:val="-9"/>
          <w:w w:val="115"/>
        </w:rPr>
        <w:t> </w:t>
      </w:r>
      <w:r>
        <w:rPr>
          <w:w w:val="115"/>
        </w:rPr>
        <w:t>un</w:t>
      </w:r>
      <w:r>
        <w:rPr>
          <w:spacing w:val="-9"/>
          <w:w w:val="115"/>
        </w:rPr>
        <w:t> </w:t>
      </w:r>
      <w:r>
        <w:rPr>
          <w:w w:val="115"/>
        </w:rPr>
        <w:t>futuro</w:t>
      </w:r>
      <w:r>
        <w:rPr>
          <w:spacing w:val="-9"/>
          <w:w w:val="115"/>
        </w:rPr>
        <w:t> </w:t>
      </w:r>
      <w:r>
        <w:rPr>
          <w:w w:val="115"/>
        </w:rPr>
        <w:t>entorno de seguridad incierto y complejo, nuestro país hace frente a graves desafíos fiscales en el ámbito nacional”. desafíos que condicionan y limitan,</w:t>
      </w:r>
      <w:r>
        <w:rPr>
          <w:spacing w:val="-16"/>
          <w:w w:val="115"/>
        </w:rPr>
        <w:t> </w:t>
      </w:r>
      <w:r>
        <w:rPr>
          <w:w w:val="115"/>
        </w:rPr>
        <w:t>hasta</w:t>
      </w:r>
      <w:r>
        <w:rPr>
          <w:spacing w:val="-16"/>
          <w:w w:val="115"/>
        </w:rPr>
        <w:t> </w:t>
      </w:r>
      <w:r>
        <w:rPr>
          <w:w w:val="115"/>
        </w:rPr>
        <w:t>cierto</w:t>
      </w:r>
      <w:r>
        <w:rPr>
          <w:spacing w:val="-16"/>
          <w:w w:val="115"/>
        </w:rPr>
        <w:t> </w:t>
      </w:r>
      <w:r>
        <w:rPr>
          <w:w w:val="115"/>
        </w:rPr>
        <w:t>punto,</w:t>
      </w:r>
      <w:r>
        <w:rPr>
          <w:spacing w:val="-16"/>
          <w:w w:val="115"/>
        </w:rPr>
        <w:t> </w:t>
      </w:r>
      <w:r>
        <w:rPr>
          <w:w w:val="115"/>
        </w:rPr>
        <w:t>las</w:t>
      </w:r>
      <w:r>
        <w:rPr>
          <w:spacing w:val="-16"/>
          <w:w w:val="115"/>
        </w:rPr>
        <w:t> </w:t>
      </w:r>
      <w:r>
        <w:rPr>
          <w:w w:val="115"/>
        </w:rPr>
        <w:t>políticas</w:t>
      </w:r>
      <w:r>
        <w:rPr>
          <w:spacing w:val="-16"/>
          <w:w w:val="115"/>
        </w:rPr>
        <w:t> </w:t>
      </w:r>
      <w:r>
        <w:rPr>
          <w:w w:val="115"/>
        </w:rPr>
        <w:t>de</w:t>
      </w:r>
      <w:r>
        <w:rPr>
          <w:spacing w:val="-16"/>
          <w:w w:val="115"/>
        </w:rPr>
        <w:t> </w:t>
      </w:r>
      <w:r>
        <w:rPr>
          <w:w w:val="115"/>
        </w:rPr>
        <w:t>defensa.</w:t>
      </w:r>
    </w:p>
    <w:p>
      <w:pPr>
        <w:pStyle w:val="BodyText"/>
        <w:spacing w:before="5"/>
      </w:pPr>
    </w:p>
    <w:p>
      <w:pPr>
        <w:pStyle w:val="Heading6"/>
      </w:pPr>
      <w:r>
        <w:rPr>
          <w:w w:val="140"/>
        </w:rPr>
        <w:t>del eJe del atlántico Hacia el de asia-PacÍfico</w:t>
      </w:r>
    </w:p>
    <w:p>
      <w:pPr>
        <w:pStyle w:val="BodyText"/>
        <w:spacing w:line="252" w:lineRule="auto" w:before="10"/>
        <w:ind w:left="100" w:right="326"/>
        <w:jc w:val="right"/>
      </w:pPr>
      <w:r>
        <w:rPr>
          <w:w w:val="246"/>
        </w:rPr>
        <w:t>l</w:t>
      </w:r>
      <w:r>
        <w:rPr>
          <w:w w:val="109"/>
        </w:rPr>
        <w:t>os</w:t>
      </w:r>
      <w:r>
        <w:rPr/>
        <w:t> </w:t>
      </w:r>
      <w:r>
        <w:rPr>
          <w:spacing w:val="-7"/>
        </w:rPr>
        <w:t> </w:t>
      </w:r>
      <w:r>
        <w:rPr>
          <w:w w:val="112"/>
        </w:rPr>
        <w:t>Estados</w:t>
      </w:r>
      <w:r>
        <w:rPr/>
        <w:t> </w:t>
      </w:r>
      <w:r>
        <w:rPr>
          <w:spacing w:val="-7"/>
        </w:rPr>
        <w:t> </w:t>
      </w:r>
      <w:r>
        <w:rPr>
          <w:w w:val="141"/>
        </w:rPr>
        <w:t>u</w:t>
      </w:r>
      <w:r>
        <w:rPr>
          <w:w w:val="111"/>
        </w:rPr>
        <w:t>nidos</w:t>
      </w:r>
      <w:r>
        <w:rPr/>
        <w:t> </w:t>
      </w:r>
      <w:r>
        <w:rPr>
          <w:spacing w:val="-7"/>
        </w:rPr>
        <w:t> </w:t>
      </w:r>
      <w:r>
        <w:rPr>
          <w:w w:val="113"/>
        </w:rPr>
        <w:t>han</w:t>
      </w:r>
      <w:r>
        <w:rPr/>
        <w:t> </w:t>
      </w:r>
      <w:r>
        <w:rPr>
          <w:spacing w:val="-7"/>
        </w:rPr>
        <w:t> </w:t>
      </w:r>
      <w:r>
        <w:rPr>
          <w:w w:val="110"/>
        </w:rPr>
        <w:t>señalado</w:t>
      </w:r>
      <w:r>
        <w:rPr/>
        <w:t> </w:t>
      </w:r>
      <w:r>
        <w:rPr>
          <w:spacing w:val="-7"/>
        </w:rPr>
        <w:t> </w:t>
      </w:r>
      <w:r>
        <w:rPr>
          <w:w w:val="113"/>
        </w:rPr>
        <w:t>con</w:t>
      </w:r>
      <w:r>
        <w:rPr/>
        <w:t> </w:t>
      </w:r>
      <w:r>
        <w:rPr>
          <w:spacing w:val="-7"/>
        </w:rPr>
        <w:t> </w:t>
      </w:r>
      <w:r>
        <w:rPr>
          <w:w w:val="112"/>
        </w:rPr>
        <w:t>claridad</w:t>
      </w:r>
      <w:r>
        <w:rPr/>
        <w:t> </w:t>
      </w:r>
      <w:r>
        <w:rPr>
          <w:spacing w:val="-7"/>
        </w:rPr>
        <w:t> </w:t>
      </w:r>
      <w:r>
        <w:rPr>
          <w:w w:val="113"/>
        </w:rPr>
        <w:t>al</w:t>
      </w:r>
      <w:r>
        <w:rPr/>
        <w:t> </w:t>
      </w:r>
      <w:r>
        <w:rPr>
          <w:spacing w:val="-7"/>
        </w:rPr>
        <w:t> </w:t>
      </w:r>
      <w:r>
        <w:rPr>
          <w:w w:val="107"/>
        </w:rPr>
        <w:t>eje</w:t>
      </w:r>
      <w:r>
        <w:rPr/>
        <w:t> </w:t>
      </w:r>
      <w:r>
        <w:rPr>
          <w:spacing w:val="-7"/>
        </w:rPr>
        <w:t> </w:t>
      </w:r>
      <w:r>
        <w:rPr>
          <w:w w:val="140"/>
        </w:rPr>
        <w:t>a</w:t>
      </w:r>
      <w:r>
        <w:rPr>
          <w:w w:val="112"/>
        </w:rPr>
        <w:t>sia-Pacífico </w:t>
      </w:r>
      <w:r>
        <w:rPr>
          <w:w w:val="115"/>
        </w:rPr>
        <w:t>como la zona del planeta de interés estratégico </w:t>
      </w:r>
      <w:r>
        <w:rPr>
          <w:spacing w:val="-11"/>
          <w:w w:val="115"/>
        </w:rPr>
        <w:t>y, </w:t>
      </w:r>
      <w:r>
        <w:rPr>
          <w:w w:val="115"/>
        </w:rPr>
        <w:t>asociada a</w:t>
      </w:r>
      <w:r>
        <w:rPr>
          <w:spacing w:val="13"/>
          <w:w w:val="115"/>
        </w:rPr>
        <w:t> </w:t>
      </w:r>
      <w:r>
        <w:rPr>
          <w:w w:val="115"/>
        </w:rPr>
        <w:t>ella, el</w:t>
      </w:r>
      <w:r>
        <w:rPr>
          <w:w w:val="108"/>
        </w:rPr>
        <w:t> </w:t>
      </w:r>
      <w:r>
        <w:rPr>
          <w:w w:val="115"/>
        </w:rPr>
        <w:t>Medio</w:t>
      </w:r>
      <w:r>
        <w:rPr>
          <w:spacing w:val="-8"/>
          <w:w w:val="115"/>
        </w:rPr>
        <w:t> </w:t>
      </w:r>
      <w:r>
        <w:rPr>
          <w:w w:val="115"/>
        </w:rPr>
        <w:t>oriente.</w:t>
      </w:r>
      <w:r>
        <w:rPr>
          <w:spacing w:val="-8"/>
          <w:w w:val="115"/>
        </w:rPr>
        <w:t> </w:t>
      </w:r>
      <w:r>
        <w:rPr>
          <w:w w:val="115"/>
        </w:rPr>
        <w:t>al</w:t>
      </w:r>
      <w:r>
        <w:rPr>
          <w:spacing w:val="-8"/>
          <w:w w:val="115"/>
        </w:rPr>
        <w:t> </w:t>
      </w:r>
      <w:r>
        <w:rPr>
          <w:w w:val="115"/>
        </w:rPr>
        <w:t>mismo</w:t>
      </w:r>
      <w:r>
        <w:rPr>
          <w:spacing w:val="-8"/>
          <w:w w:val="115"/>
        </w:rPr>
        <w:t> </w:t>
      </w:r>
      <w:r>
        <w:rPr>
          <w:w w:val="115"/>
        </w:rPr>
        <w:t>tiempo,</w:t>
      </w:r>
      <w:r>
        <w:rPr>
          <w:spacing w:val="-8"/>
          <w:w w:val="115"/>
        </w:rPr>
        <w:t> </w:t>
      </w:r>
      <w:r>
        <w:rPr>
          <w:w w:val="115"/>
        </w:rPr>
        <w:t>entendiendo</w:t>
      </w:r>
      <w:r>
        <w:rPr>
          <w:spacing w:val="-8"/>
          <w:w w:val="115"/>
        </w:rPr>
        <w:t> </w:t>
      </w:r>
      <w:r>
        <w:rPr>
          <w:w w:val="115"/>
        </w:rPr>
        <w:t>que</w:t>
      </w:r>
      <w:r>
        <w:rPr>
          <w:spacing w:val="-8"/>
          <w:w w:val="115"/>
        </w:rPr>
        <w:t> </w:t>
      </w:r>
      <w:r>
        <w:rPr>
          <w:w w:val="115"/>
        </w:rPr>
        <w:t>en</w:t>
      </w:r>
      <w:r>
        <w:rPr>
          <w:spacing w:val="-8"/>
          <w:w w:val="115"/>
        </w:rPr>
        <w:t> </w:t>
      </w:r>
      <w:r>
        <w:rPr>
          <w:w w:val="115"/>
        </w:rPr>
        <w:t>última</w:t>
      </w:r>
      <w:r>
        <w:rPr>
          <w:spacing w:val="-8"/>
          <w:w w:val="115"/>
        </w:rPr>
        <w:t> </w:t>
      </w:r>
      <w:r>
        <w:rPr>
          <w:w w:val="115"/>
        </w:rPr>
        <w:t>instan-</w:t>
      </w:r>
      <w:r>
        <w:rPr>
          <w:w w:val="103"/>
        </w:rPr>
        <w:t> </w:t>
      </w:r>
      <w:r>
        <w:rPr>
          <w:w w:val="115"/>
        </w:rPr>
        <w:t>cia</w:t>
      </w:r>
      <w:r>
        <w:rPr>
          <w:spacing w:val="-21"/>
          <w:w w:val="115"/>
        </w:rPr>
        <w:t> </w:t>
      </w:r>
      <w:r>
        <w:rPr>
          <w:w w:val="115"/>
        </w:rPr>
        <w:t>su</w:t>
      </w:r>
      <w:r>
        <w:rPr>
          <w:spacing w:val="-21"/>
          <w:w w:val="115"/>
        </w:rPr>
        <w:t> </w:t>
      </w:r>
      <w:r>
        <w:rPr>
          <w:w w:val="115"/>
        </w:rPr>
        <w:t>seguridad</w:t>
      </w:r>
      <w:r>
        <w:rPr>
          <w:spacing w:val="-21"/>
          <w:w w:val="115"/>
        </w:rPr>
        <w:t> </w:t>
      </w:r>
      <w:r>
        <w:rPr>
          <w:w w:val="115"/>
        </w:rPr>
        <w:t>se</w:t>
      </w:r>
      <w:r>
        <w:rPr>
          <w:spacing w:val="-21"/>
          <w:w w:val="115"/>
        </w:rPr>
        <w:t> </w:t>
      </w:r>
      <w:r>
        <w:rPr>
          <w:w w:val="115"/>
        </w:rPr>
        <w:t>funda</w:t>
      </w:r>
      <w:r>
        <w:rPr>
          <w:spacing w:val="-21"/>
          <w:w w:val="115"/>
        </w:rPr>
        <w:t> </w:t>
      </w:r>
      <w:r>
        <w:rPr>
          <w:w w:val="115"/>
        </w:rPr>
        <w:t>en</w:t>
      </w:r>
      <w:r>
        <w:rPr>
          <w:spacing w:val="-21"/>
          <w:w w:val="115"/>
        </w:rPr>
        <w:t> </w:t>
      </w:r>
      <w:r>
        <w:rPr>
          <w:w w:val="115"/>
        </w:rPr>
        <w:t>el</w:t>
      </w:r>
      <w:r>
        <w:rPr>
          <w:spacing w:val="-21"/>
          <w:w w:val="115"/>
        </w:rPr>
        <w:t> </w:t>
      </w:r>
      <w:r>
        <w:rPr>
          <w:w w:val="115"/>
        </w:rPr>
        <w:t>poder</w:t>
      </w:r>
      <w:r>
        <w:rPr>
          <w:spacing w:val="-21"/>
          <w:w w:val="115"/>
        </w:rPr>
        <w:t> </w:t>
      </w:r>
      <w:r>
        <w:rPr>
          <w:w w:val="115"/>
        </w:rPr>
        <w:t>militar</w:t>
      </w:r>
      <w:r>
        <w:rPr>
          <w:spacing w:val="-21"/>
          <w:w w:val="115"/>
        </w:rPr>
        <w:t> </w:t>
      </w:r>
      <w:r>
        <w:rPr>
          <w:w w:val="115"/>
        </w:rPr>
        <w:t>optaron</w:t>
      </w:r>
      <w:r>
        <w:rPr>
          <w:spacing w:val="-21"/>
          <w:w w:val="115"/>
        </w:rPr>
        <w:t> </w:t>
      </w:r>
      <w:r>
        <w:rPr>
          <w:w w:val="115"/>
        </w:rPr>
        <w:t>por</w:t>
      </w:r>
      <w:r>
        <w:rPr>
          <w:spacing w:val="-21"/>
          <w:w w:val="115"/>
        </w:rPr>
        <w:t> </w:t>
      </w:r>
      <w:r>
        <w:rPr>
          <w:w w:val="115"/>
        </w:rPr>
        <w:t>diseñar</w:t>
      </w:r>
      <w:r>
        <w:rPr>
          <w:spacing w:val="-21"/>
          <w:w w:val="115"/>
        </w:rPr>
        <w:t> </w:t>
      </w:r>
      <w:r>
        <w:rPr>
          <w:w w:val="115"/>
        </w:rPr>
        <w:t>una</w:t>
      </w:r>
      <w:r>
        <w:rPr>
          <w:w w:val="113"/>
        </w:rPr>
        <w:t> </w:t>
      </w:r>
      <w:r>
        <w:rPr>
          <w:w w:val="115"/>
        </w:rPr>
        <w:t>política</w:t>
      </w:r>
      <w:r>
        <w:rPr>
          <w:spacing w:val="-19"/>
          <w:w w:val="115"/>
        </w:rPr>
        <w:t> </w:t>
      </w:r>
      <w:r>
        <w:rPr>
          <w:w w:val="115"/>
        </w:rPr>
        <w:t>exterior</w:t>
      </w:r>
      <w:r>
        <w:rPr>
          <w:spacing w:val="-19"/>
          <w:w w:val="115"/>
        </w:rPr>
        <w:t> </w:t>
      </w:r>
      <w:r>
        <w:rPr>
          <w:w w:val="115"/>
        </w:rPr>
        <w:t>y</w:t>
      </w:r>
      <w:r>
        <w:rPr>
          <w:spacing w:val="-19"/>
          <w:w w:val="115"/>
        </w:rPr>
        <w:t> </w:t>
      </w:r>
      <w:r>
        <w:rPr>
          <w:w w:val="115"/>
        </w:rPr>
        <w:t>de</w:t>
      </w:r>
      <w:r>
        <w:rPr>
          <w:spacing w:val="-19"/>
          <w:w w:val="115"/>
        </w:rPr>
        <w:t> </w:t>
      </w:r>
      <w:r>
        <w:rPr>
          <w:w w:val="115"/>
        </w:rPr>
        <w:t>seguridad</w:t>
      </w:r>
      <w:r>
        <w:rPr>
          <w:spacing w:val="-19"/>
          <w:w w:val="115"/>
        </w:rPr>
        <w:t> </w:t>
      </w:r>
      <w:r>
        <w:rPr>
          <w:w w:val="115"/>
        </w:rPr>
        <w:t>más</w:t>
      </w:r>
      <w:r>
        <w:rPr>
          <w:spacing w:val="-19"/>
          <w:w w:val="115"/>
        </w:rPr>
        <w:t> </w:t>
      </w:r>
      <w:r>
        <w:rPr>
          <w:w w:val="115"/>
        </w:rPr>
        <w:t>basada</w:t>
      </w:r>
      <w:r>
        <w:rPr>
          <w:spacing w:val="-19"/>
          <w:w w:val="115"/>
        </w:rPr>
        <w:t> </w:t>
      </w:r>
      <w:r>
        <w:rPr>
          <w:w w:val="115"/>
        </w:rPr>
        <w:t>en</w:t>
      </w:r>
      <w:r>
        <w:rPr>
          <w:spacing w:val="-19"/>
          <w:w w:val="115"/>
        </w:rPr>
        <w:t> </w:t>
      </w:r>
      <w:r>
        <w:rPr>
          <w:w w:val="115"/>
        </w:rPr>
        <w:t>la</w:t>
      </w:r>
      <w:r>
        <w:rPr>
          <w:spacing w:val="-19"/>
          <w:w w:val="115"/>
        </w:rPr>
        <w:t> </w:t>
      </w:r>
      <w:r>
        <w:rPr>
          <w:w w:val="115"/>
        </w:rPr>
        <w:t>cooperación</w:t>
      </w:r>
      <w:r>
        <w:rPr>
          <w:spacing w:val="-19"/>
          <w:w w:val="115"/>
        </w:rPr>
        <w:t> </w:t>
      </w:r>
      <w:r>
        <w:rPr>
          <w:w w:val="115"/>
        </w:rPr>
        <w:t>que</w:t>
      </w:r>
      <w:r>
        <w:rPr>
          <w:spacing w:val="-19"/>
          <w:w w:val="115"/>
        </w:rPr>
        <w:t> </w:t>
      </w:r>
      <w:r>
        <w:rPr>
          <w:w w:val="115"/>
        </w:rPr>
        <w:t>en</w:t>
      </w:r>
      <w:r>
        <w:rPr>
          <w:w w:val="109"/>
        </w:rPr>
        <w:t> </w:t>
      </w:r>
      <w:r>
        <w:rPr>
          <w:w w:val="115"/>
        </w:rPr>
        <w:t>la</w:t>
      </w:r>
      <w:r>
        <w:rPr>
          <w:spacing w:val="-17"/>
          <w:w w:val="115"/>
        </w:rPr>
        <w:t> </w:t>
      </w:r>
      <w:r>
        <w:rPr>
          <w:w w:val="115"/>
        </w:rPr>
        <w:t>intervención.</w:t>
      </w:r>
      <w:r>
        <w:rPr>
          <w:spacing w:val="-17"/>
          <w:w w:val="115"/>
        </w:rPr>
        <w:t> </w:t>
      </w:r>
      <w:r>
        <w:rPr>
          <w:w w:val="115"/>
        </w:rPr>
        <w:t>Es</w:t>
      </w:r>
      <w:r>
        <w:rPr>
          <w:spacing w:val="-17"/>
          <w:w w:val="115"/>
        </w:rPr>
        <w:t> </w:t>
      </w:r>
      <w:r>
        <w:rPr>
          <w:w w:val="115"/>
        </w:rPr>
        <w:t>una</w:t>
      </w:r>
      <w:r>
        <w:rPr>
          <w:spacing w:val="-17"/>
          <w:w w:val="115"/>
        </w:rPr>
        <w:t> </w:t>
      </w:r>
      <w:r>
        <w:rPr>
          <w:w w:val="115"/>
        </w:rPr>
        <w:t>transición</w:t>
      </w:r>
      <w:r>
        <w:rPr>
          <w:spacing w:val="-17"/>
          <w:w w:val="115"/>
        </w:rPr>
        <w:t> </w:t>
      </w:r>
      <w:r>
        <w:rPr>
          <w:w w:val="115"/>
        </w:rPr>
        <w:t>de</w:t>
      </w:r>
      <w:r>
        <w:rPr>
          <w:spacing w:val="-17"/>
          <w:w w:val="115"/>
        </w:rPr>
        <w:t> </w:t>
      </w:r>
      <w:r>
        <w:rPr>
          <w:w w:val="115"/>
        </w:rPr>
        <w:t>políticas</w:t>
      </w:r>
      <w:r>
        <w:rPr>
          <w:spacing w:val="-17"/>
          <w:w w:val="115"/>
        </w:rPr>
        <w:t> </w:t>
      </w:r>
      <w:r>
        <w:rPr>
          <w:w w:val="115"/>
        </w:rPr>
        <w:t>“duras”</w:t>
      </w:r>
      <w:r>
        <w:rPr>
          <w:spacing w:val="-17"/>
          <w:w w:val="115"/>
        </w:rPr>
        <w:t> </w:t>
      </w:r>
      <w:r>
        <w:rPr>
          <w:w w:val="115"/>
        </w:rPr>
        <w:t>a</w:t>
      </w:r>
      <w:r>
        <w:rPr>
          <w:spacing w:val="-17"/>
          <w:w w:val="115"/>
        </w:rPr>
        <w:t> </w:t>
      </w:r>
      <w:r>
        <w:rPr>
          <w:w w:val="115"/>
        </w:rPr>
        <w:t>“suaves”</w:t>
      </w:r>
      <w:r>
        <w:rPr>
          <w:spacing w:val="-17"/>
          <w:w w:val="115"/>
        </w:rPr>
        <w:t> </w:t>
      </w:r>
      <w:r>
        <w:rPr>
          <w:w w:val="115"/>
        </w:rPr>
        <w:t>que</w:t>
      </w:r>
      <w:r>
        <w:rPr>
          <w:w w:val="109"/>
        </w:rPr>
        <w:t> </w:t>
      </w:r>
      <w:r>
        <w:rPr>
          <w:w w:val="115"/>
        </w:rPr>
        <w:t>ha</w:t>
      </w:r>
      <w:r>
        <w:rPr>
          <w:spacing w:val="-10"/>
          <w:w w:val="115"/>
        </w:rPr>
        <w:t> </w:t>
      </w:r>
      <w:r>
        <w:rPr>
          <w:w w:val="115"/>
        </w:rPr>
        <w:t>venido</w:t>
      </w:r>
      <w:r>
        <w:rPr>
          <w:spacing w:val="-10"/>
          <w:w w:val="115"/>
        </w:rPr>
        <w:t> </w:t>
      </w:r>
      <w:r>
        <w:rPr>
          <w:w w:val="115"/>
        </w:rPr>
        <w:t>aplicándose</w:t>
      </w:r>
      <w:r>
        <w:rPr>
          <w:spacing w:val="-10"/>
          <w:w w:val="115"/>
        </w:rPr>
        <w:t> </w:t>
      </w:r>
      <w:r>
        <w:rPr>
          <w:w w:val="115"/>
        </w:rPr>
        <w:t>sin</w:t>
      </w:r>
      <w:r>
        <w:rPr>
          <w:spacing w:val="-10"/>
          <w:w w:val="115"/>
        </w:rPr>
        <w:t> </w:t>
      </w:r>
      <w:r>
        <w:rPr>
          <w:w w:val="115"/>
        </w:rPr>
        <w:t>que</w:t>
      </w:r>
      <w:r>
        <w:rPr>
          <w:spacing w:val="-10"/>
          <w:w w:val="115"/>
        </w:rPr>
        <w:t> </w:t>
      </w:r>
      <w:r>
        <w:rPr>
          <w:w w:val="115"/>
        </w:rPr>
        <w:t>ello</w:t>
      </w:r>
      <w:r>
        <w:rPr>
          <w:spacing w:val="-10"/>
          <w:w w:val="115"/>
        </w:rPr>
        <w:t> </w:t>
      </w:r>
      <w:r>
        <w:rPr>
          <w:w w:val="115"/>
        </w:rPr>
        <w:t>implique</w:t>
      </w:r>
      <w:r>
        <w:rPr>
          <w:spacing w:val="-10"/>
          <w:w w:val="115"/>
        </w:rPr>
        <w:t> </w:t>
      </w:r>
      <w:r>
        <w:rPr>
          <w:w w:val="115"/>
        </w:rPr>
        <w:t>en</w:t>
      </w:r>
      <w:r>
        <w:rPr>
          <w:spacing w:val="-10"/>
          <w:w w:val="115"/>
        </w:rPr>
        <w:t> </w:t>
      </w:r>
      <w:r>
        <w:rPr>
          <w:w w:val="115"/>
        </w:rPr>
        <w:t>absoluto,</w:t>
      </w:r>
      <w:r>
        <w:rPr>
          <w:spacing w:val="-10"/>
          <w:w w:val="115"/>
        </w:rPr>
        <w:t> </w:t>
      </w:r>
      <w:r>
        <w:rPr>
          <w:w w:val="115"/>
        </w:rPr>
        <w:t>como</w:t>
      </w:r>
      <w:r>
        <w:rPr>
          <w:spacing w:val="-10"/>
          <w:w w:val="115"/>
        </w:rPr>
        <w:t> </w:t>
      </w:r>
      <w:r>
        <w:rPr>
          <w:w w:val="115"/>
        </w:rPr>
        <w:t>lo</w:t>
      </w:r>
      <w:r>
        <w:rPr>
          <w:spacing w:val="-10"/>
          <w:w w:val="115"/>
        </w:rPr>
        <w:t> </w:t>
      </w:r>
      <w:r>
        <w:rPr>
          <w:w w:val="115"/>
        </w:rPr>
        <w:t>he</w:t>
      </w:r>
      <w:r>
        <w:rPr>
          <w:w w:val="110"/>
        </w:rPr>
        <w:t> </w:t>
      </w:r>
      <w:r>
        <w:rPr>
          <w:w w:val="115"/>
        </w:rPr>
        <w:t>dicho,</w:t>
      </w:r>
      <w:r>
        <w:rPr>
          <w:spacing w:val="-14"/>
          <w:w w:val="115"/>
        </w:rPr>
        <w:t> </w:t>
      </w:r>
      <w:r>
        <w:rPr>
          <w:w w:val="115"/>
        </w:rPr>
        <w:t>renunciar</w:t>
      </w:r>
      <w:r>
        <w:rPr>
          <w:spacing w:val="-14"/>
          <w:w w:val="115"/>
        </w:rPr>
        <w:t> </w:t>
      </w:r>
      <w:r>
        <w:rPr>
          <w:w w:val="115"/>
        </w:rPr>
        <w:t>a</w:t>
      </w:r>
      <w:r>
        <w:rPr>
          <w:spacing w:val="-14"/>
          <w:w w:val="115"/>
        </w:rPr>
        <w:t> </w:t>
      </w:r>
      <w:r>
        <w:rPr>
          <w:w w:val="115"/>
        </w:rPr>
        <w:t>sus</w:t>
      </w:r>
      <w:r>
        <w:rPr>
          <w:spacing w:val="-14"/>
          <w:w w:val="115"/>
        </w:rPr>
        <w:t> </w:t>
      </w:r>
      <w:r>
        <w:rPr>
          <w:w w:val="115"/>
        </w:rPr>
        <w:t>intereses</w:t>
      </w:r>
      <w:r>
        <w:rPr>
          <w:spacing w:val="-14"/>
          <w:w w:val="115"/>
        </w:rPr>
        <w:t> </w:t>
      </w:r>
      <w:r>
        <w:rPr>
          <w:w w:val="115"/>
        </w:rPr>
        <w:t>y</w:t>
      </w:r>
      <w:r>
        <w:rPr>
          <w:spacing w:val="-14"/>
          <w:w w:val="115"/>
        </w:rPr>
        <w:t> </w:t>
      </w:r>
      <w:r>
        <w:rPr>
          <w:w w:val="115"/>
        </w:rPr>
        <w:t>al</w:t>
      </w:r>
      <w:r>
        <w:rPr>
          <w:spacing w:val="-14"/>
          <w:w w:val="115"/>
        </w:rPr>
        <w:t> </w:t>
      </w:r>
      <w:r>
        <w:rPr>
          <w:w w:val="115"/>
        </w:rPr>
        <w:t>logro</w:t>
      </w:r>
      <w:r>
        <w:rPr>
          <w:spacing w:val="-14"/>
          <w:w w:val="115"/>
        </w:rPr>
        <w:t> </w:t>
      </w:r>
      <w:r>
        <w:rPr>
          <w:w w:val="115"/>
        </w:rPr>
        <w:t>de</w:t>
      </w:r>
      <w:r>
        <w:rPr>
          <w:spacing w:val="-14"/>
          <w:w w:val="115"/>
        </w:rPr>
        <w:t> </w:t>
      </w:r>
      <w:r>
        <w:rPr>
          <w:w w:val="115"/>
        </w:rPr>
        <w:t>sus</w:t>
      </w:r>
      <w:r>
        <w:rPr>
          <w:spacing w:val="-14"/>
          <w:w w:val="115"/>
        </w:rPr>
        <w:t> </w:t>
      </w:r>
      <w:r>
        <w:rPr>
          <w:w w:val="115"/>
        </w:rPr>
        <w:t>objetivos.</w:t>
      </w:r>
      <w:r>
        <w:rPr>
          <w:spacing w:val="-14"/>
          <w:w w:val="115"/>
        </w:rPr>
        <w:t> </w:t>
      </w:r>
      <w:r>
        <w:rPr>
          <w:w w:val="115"/>
        </w:rPr>
        <w:t>intereses</w:t>
      </w:r>
      <w:r>
        <w:rPr>
          <w:w w:val="107"/>
        </w:rPr>
        <w:t> </w:t>
      </w:r>
      <w:r>
        <w:rPr>
          <w:w w:val="115"/>
        </w:rPr>
        <w:t>que</w:t>
      </w:r>
      <w:r>
        <w:rPr>
          <w:spacing w:val="-11"/>
          <w:w w:val="115"/>
        </w:rPr>
        <w:t> </w:t>
      </w:r>
      <w:r>
        <w:rPr>
          <w:w w:val="115"/>
        </w:rPr>
        <w:t>tienen</w:t>
      </w:r>
      <w:r>
        <w:rPr>
          <w:spacing w:val="-11"/>
          <w:w w:val="115"/>
        </w:rPr>
        <w:t> </w:t>
      </w:r>
      <w:r>
        <w:rPr>
          <w:w w:val="115"/>
        </w:rPr>
        <w:t>que</w:t>
      </w:r>
      <w:r>
        <w:rPr>
          <w:spacing w:val="-11"/>
          <w:w w:val="115"/>
        </w:rPr>
        <w:t> </w:t>
      </w:r>
      <w:r>
        <w:rPr>
          <w:w w:val="115"/>
        </w:rPr>
        <w:t>ver</w:t>
      </w:r>
      <w:r>
        <w:rPr>
          <w:spacing w:val="-11"/>
          <w:w w:val="115"/>
        </w:rPr>
        <w:t> </w:t>
      </w:r>
      <w:r>
        <w:rPr>
          <w:w w:val="115"/>
        </w:rPr>
        <w:t>con</w:t>
      </w:r>
      <w:r>
        <w:rPr>
          <w:spacing w:val="-11"/>
          <w:w w:val="115"/>
        </w:rPr>
        <w:t> </w:t>
      </w:r>
      <w:r>
        <w:rPr>
          <w:w w:val="115"/>
        </w:rPr>
        <w:t>la</w:t>
      </w:r>
      <w:r>
        <w:rPr>
          <w:spacing w:val="-11"/>
          <w:w w:val="115"/>
        </w:rPr>
        <w:t> </w:t>
      </w:r>
      <w:r>
        <w:rPr>
          <w:w w:val="115"/>
        </w:rPr>
        <w:t>garantía</w:t>
      </w:r>
      <w:r>
        <w:rPr>
          <w:spacing w:val="-11"/>
          <w:w w:val="115"/>
        </w:rPr>
        <w:t> </w:t>
      </w:r>
      <w:r>
        <w:rPr>
          <w:w w:val="115"/>
        </w:rPr>
        <w:t>de</w:t>
      </w:r>
      <w:r>
        <w:rPr>
          <w:spacing w:val="-11"/>
          <w:w w:val="115"/>
        </w:rPr>
        <w:t> </w:t>
      </w:r>
      <w:r>
        <w:rPr>
          <w:w w:val="115"/>
        </w:rPr>
        <w:t>acceso</w:t>
      </w:r>
      <w:r>
        <w:rPr>
          <w:spacing w:val="-11"/>
          <w:w w:val="115"/>
        </w:rPr>
        <w:t> </w:t>
      </w:r>
      <w:r>
        <w:rPr>
          <w:w w:val="115"/>
        </w:rPr>
        <w:t>a</w:t>
      </w:r>
      <w:r>
        <w:rPr>
          <w:spacing w:val="-11"/>
          <w:w w:val="115"/>
        </w:rPr>
        <w:t> </w:t>
      </w:r>
      <w:r>
        <w:rPr>
          <w:w w:val="115"/>
        </w:rPr>
        <w:t>los</w:t>
      </w:r>
      <w:r>
        <w:rPr>
          <w:spacing w:val="-11"/>
          <w:w w:val="115"/>
        </w:rPr>
        <w:t> </w:t>
      </w:r>
      <w:r>
        <w:rPr>
          <w:w w:val="115"/>
        </w:rPr>
        <w:t>bienes</w:t>
      </w:r>
      <w:r>
        <w:rPr>
          <w:spacing w:val="-11"/>
          <w:w w:val="115"/>
        </w:rPr>
        <w:t> </w:t>
      </w:r>
      <w:r>
        <w:rPr>
          <w:w w:val="115"/>
        </w:rPr>
        <w:t>necesarios,</w:t>
      </w:r>
      <w:r>
        <w:rPr>
          <w:w w:val="111"/>
        </w:rPr>
        <w:t> </w:t>
      </w:r>
      <w:r>
        <w:rPr>
          <w:w w:val="115"/>
        </w:rPr>
        <w:t>adonde</w:t>
      </w:r>
      <w:r>
        <w:rPr>
          <w:spacing w:val="-22"/>
          <w:w w:val="115"/>
        </w:rPr>
        <w:t> </w:t>
      </w:r>
      <w:r>
        <w:rPr>
          <w:w w:val="115"/>
        </w:rPr>
        <w:t>quiera</w:t>
      </w:r>
      <w:r>
        <w:rPr>
          <w:spacing w:val="-22"/>
          <w:w w:val="115"/>
        </w:rPr>
        <w:t> </w:t>
      </w:r>
      <w:r>
        <w:rPr>
          <w:w w:val="115"/>
        </w:rPr>
        <w:t>que</w:t>
      </w:r>
      <w:r>
        <w:rPr>
          <w:spacing w:val="-22"/>
          <w:w w:val="115"/>
        </w:rPr>
        <w:t> </w:t>
      </w:r>
      <w:r>
        <w:rPr>
          <w:w w:val="115"/>
        </w:rPr>
        <w:t>estén</w:t>
      </w:r>
      <w:r>
        <w:rPr>
          <w:spacing w:val="-22"/>
          <w:w w:val="115"/>
        </w:rPr>
        <w:t> </w:t>
      </w:r>
      <w:r>
        <w:rPr>
          <w:w w:val="115"/>
        </w:rPr>
        <w:t>ubicados,</w:t>
      </w:r>
      <w:r>
        <w:rPr>
          <w:spacing w:val="-22"/>
          <w:w w:val="115"/>
        </w:rPr>
        <w:t> </w:t>
      </w:r>
      <w:r>
        <w:rPr>
          <w:w w:val="115"/>
        </w:rPr>
        <w:t>para</w:t>
      </w:r>
      <w:r>
        <w:rPr>
          <w:spacing w:val="-22"/>
          <w:w w:val="115"/>
        </w:rPr>
        <w:t> </w:t>
      </w:r>
      <w:r>
        <w:rPr>
          <w:w w:val="115"/>
        </w:rPr>
        <w:t>el</w:t>
      </w:r>
      <w:r>
        <w:rPr>
          <w:spacing w:val="-22"/>
          <w:w w:val="115"/>
        </w:rPr>
        <w:t> </w:t>
      </w:r>
      <w:r>
        <w:rPr>
          <w:w w:val="115"/>
        </w:rPr>
        <w:t>funcionamiento</w:t>
      </w:r>
      <w:r>
        <w:rPr>
          <w:spacing w:val="-22"/>
          <w:w w:val="115"/>
        </w:rPr>
        <w:t> </w:t>
      </w:r>
      <w:r>
        <w:rPr>
          <w:w w:val="115"/>
        </w:rPr>
        <w:t>de</w:t>
      </w:r>
      <w:r>
        <w:rPr>
          <w:spacing w:val="-22"/>
          <w:w w:val="115"/>
        </w:rPr>
        <w:t> </w:t>
      </w:r>
      <w:r>
        <w:rPr>
          <w:w w:val="115"/>
        </w:rPr>
        <w:t>su</w:t>
      </w:r>
      <w:r>
        <w:rPr>
          <w:spacing w:val="-22"/>
          <w:w w:val="115"/>
        </w:rPr>
        <w:t> </w:t>
      </w:r>
      <w:r>
        <w:rPr>
          <w:w w:val="115"/>
        </w:rPr>
        <w:t>eco-</w:t>
      </w:r>
      <w:r>
        <w:rPr>
          <w:w w:val="103"/>
        </w:rPr>
        <w:t> </w:t>
      </w:r>
      <w:r>
        <w:rPr>
          <w:w w:val="115"/>
        </w:rPr>
        <w:t>nomía;</w:t>
      </w:r>
      <w:r>
        <w:rPr>
          <w:spacing w:val="-20"/>
          <w:w w:val="115"/>
        </w:rPr>
        <w:t> </w:t>
      </w:r>
      <w:r>
        <w:rPr>
          <w:w w:val="115"/>
        </w:rPr>
        <w:t>objetivos</w:t>
      </w:r>
      <w:r>
        <w:rPr>
          <w:spacing w:val="-20"/>
          <w:w w:val="115"/>
        </w:rPr>
        <w:t> </w:t>
      </w:r>
      <w:r>
        <w:rPr>
          <w:w w:val="115"/>
        </w:rPr>
        <w:t>de</w:t>
      </w:r>
      <w:r>
        <w:rPr>
          <w:spacing w:val="-20"/>
          <w:w w:val="115"/>
        </w:rPr>
        <w:t> </w:t>
      </w:r>
      <w:r>
        <w:rPr>
          <w:w w:val="115"/>
        </w:rPr>
        <w:t>frenar</w:t>
      </w:r>
      <w:r>
        <w:rPr>
          <w:spacing w:val="-20"/>
          <w:w w:val="115"/>
        </w:rPr>
        <w:t> </w:t>
      </w:r>
      <w:r>
        <w:rPr>
          <w:w w:val="115"/>
        </w:rPr>
        <w:t>y</w:t>
      </w:r>
      <w:r>
        <w:rPr>
          <w:spacing w:val="-20"/>
          <w:w w:val="115"/>
        </w:rPr>
        <w:t> </w:t>
      </w:r>
      <w:r>
        <w:rPr>
          <w:w w:val="115"/>
        </w:rPr>
        <w:t>revertir</w:t>
      </w:r>
      <w:r>
        <w:rPr>
          <w:spacing w:val="-20"/>
          <w:w w:val="115"/>
        </w:rPr>
        <w:t> </w:t>
      </w:r>
      <w:r>
        <w:rPr>
          <w:w w:val="115"/>
        </w:rPr>
        <w:t>la</w:t>
      </w:r>
      <w:r>
        <w:rPr>
          <w:spacing w:val="-20"/>
          <w:w w:val="115"/>
        </w:rPr>
        <w:t> </w:t>
      </w:r>
      <w:r>
        <w:rPr>
          <w:w w:val="115"/>
        </w:rPr>
        <w:t>declinación</w:t>
      </w:r>
      <w:r>
        <w:rPr>
          <w:spacing w:val="-20"/>
          <w:w w:val="115"/>
        </w:rPr>
        <w:t> </w:t>
      </w:r>
      <w:r>
        <w:rPr>
          <w:w w:val="115"/>
        </w:rPr>
        <w:t>de</w:t>
      </w:r>
      <w:r>
        <w:rPr>
          <w:spacing w:val="-20"/>
          <w:w w:val="115"/>
        </w:rPr>
        <w:t> </w:t>
      </w:r>
      <w:r>
        <w:rPr>
          <w:w w:val="115"/>
        </w:rPr>
        <w:t>su</w:t>
      </w:r>
      <w:r>
        <w:rPr>
          <w:spacing w:val="-20"/>
          <w:w w:val="115"/>
        </w:rPr>
        <w:t> </w:t>
      </w:r>
      <w:r>
        <w:rPr>
          <w:w w:val="115"/>
        </w:rPr>
        <w:t>hegemonía.</w:t>
      </w:r>
      <w:r>
        <w:rPr>
          <w:w w:val="113"/>
        </w:rPr>
        <w:t> </w:t>
      </w:r>
      <w:r>
        <w:rPr>
          <w:w w:val="115"/>
        </w:rPr>
        <w:t>sin</w:t>
      </w:r>
      <w:r>
        <w:rPr>
          <w:spacing w:val="-24"/>
          <w:w w:val="115"/>
        </w:rPr>
        <w:t> </w:t>
      </w:r>
      <w:r>
        <w:rPr>
          <w:w w:val="115"/>
        </w:rPr>
        <w:t>abandonar</w:t>
      </w:r>
      <w:r>
        <w:rPr>
          <w:spacing w:val="-24"/>
          <w:w w:val="115"/>
        </w:rPr>
        <w:t> </w:t>
      </w:r>
      <w:r>
        <w:rPr>
          <w:w w:val="115"/>
        </w:rPr>
        <w:t>el</w:t>
      </w:r>
      <w:r>
        <w:rPr>
          <w:spacing w:val="-24"/>
          <w:w w:val="115"/>
        </w:rPr>
        <w:t> </w:t>
      </w:r>
      <w:r>
        <w:rPr>
          <w:w w:val="115"/>
        </w:rPr>
        <w:t>frente</w:t>
      </w:r>
      <w:r>
        <w:rPr>
          <w:spacing w:val="-24"/>
          <w:w w:val="115"/>
        </w:rPr>
        <w:t> </w:t>
      </w:r>
      <w:r>
        <w:rPr>
          <w:w w:val="115"/>
        </w:rPr>
        <w:t>doméstico,</w:t>
      </w:r>
      <w:r>
        <w:rPr>
          <w:spacing w:val="-24"/>
          <w:w w:val="115"/>
        </w:rPr>
        <w:t> </w:t>
      </w:r>
      <w:r>
        <w:rPr>
          <w:w w:val="115"/>
        </w:rPr>
        <w:t>conscientes</w:t>
      </w:r>
      <w:r>
        <w:rPr>
          <w:spacing w:val="-24"/>
          <w:w w:val="115"/>
        </w:rPr>
        <w:t> </w:t>
      </w:r>
      <w:r>
        <w:rPr>
          <w:w w:val="115"/>
        </w:rPr>
        <w:t>de</w:t>
      </w:r>
      <w:r>
        <w:rPr>
          <w:spacing w:val="-24"/>
          <w:w w:val="115"/>
        </w:rPr>
        <w:t> </w:t>
      </w:r>
      <w:r>
        <w:rPr>
          <w:w w:val="115"/>
        </w:rPr>
        <w:t>la</w:t>
      </w:r>
      <w:r>
        <w:rPr>
          <w:spacing w:val="-24"/>
          <w:w w:val="115"/>
        </w:rPr>
        <w:t> </w:t>
      </w:r>
      <w:r>
        <w:rPr>
          <w:w w:val="115"/>
        </w:rPr>
        <w:t>relación</w:t>
      </w:r>
      <w:r>
        <w:rPr>
          <w:spacing w:val="-24"/>
          <w:w w:val="115"/>
        </w:rPr>
        <w:t> </w:t>
      </w:r>
      <w:r>
        <w:rPr>
          <w:w w:val="115"/>
        </w:rPr>
        <w:t>en-</w:t>
      </w:r>
    </w:p>
    <w:p>
      <w:pPr>
        <w:pStyle w:val="BodyText"/>
        <w:spacing w:line="252" w:lineRule="auto"/>
        <w:ind w:left="100" w:right="326"/>
        <w:jc w:val="both"/>
      </w:pPr>
      <w:r>
        <w:rPr>
          <w:w w:val="115"/>
        </w:rPr>
        <w:t>tre</w:t>
      </w:r>
      <w:r>
        <w:rPr>
          <w:spacing w:val="-16"/>
          <w:w w:val="115"/>
        </w:rPr>
        <w:t> </w:t>
      </w:r>
      <w:r>
        <w:rPr>
          <w:w w:val="115"/>
        </w:rPr>
        <w:t>defensa</w:t>
      </w:r>
      <w:r>
        <w:rPr>
          <w:spacing w:val="-16"/>
          <w:w w:val="115"/>
        </w:rPr>
        <w:t> </w:t>
      </w:r>
      <w:r>
        <w:rPr>
          <w:w w:val="115"/>
        </w:rPr>
        <w:t>y</w:t>
      </w:r>
      <w:r>
        <w:rPr>
          <w:spacing w:val="-16"/>
          <w:w w:val="115"/>
        </w:rPr>
        <w:t> </w:t>
      </w:r>
      <w:r>
        <w:rPr>
          <w:w w:val="115"/>
        </w:rPr>
        <w:t>economía,</w:t>
      </w:r>
      <w:r>
        <w:rPr>
          <w:spacing w:val="-16"/>
          <w:w w:val="115"/>
        </w:rPr>
        <w:t> </w:t>
      </w:r>
      <w:r>
        <w:rPr>
          <w:w w:val="115"/>
        </w:rPr>
        <w:t>conocedores</w:t>
      </w:r>
      <w:r>
        <w:rPr>
          <w:spacing w:val="-16"/>
          <w:w w:val="115"/>
        </w:rPr>
        <w:t> </w:t>
      </w:r>
      <w:r>
        <w:rPr>
          <w:w w:val="115"/>
        </w:rPr>
        <w:t>de</w:t>
      </w:r>
      <w:r>
        <w:rPr>
          <w:spacing w:val="-16"/>
          <w:w w:val="115"/>
        </w:rPr>
        <w:t> </w:t>
      </w:r>
      <w:r>
        <w:rPr>
          <w:w w:val="115"/>
        </w:rPr>
        <w:t>las</w:t>
      </w:r>
      <w:r>
        <w:rPr>
          <w:spacing w:val="-16"/>
          <w:w w:val="115"/>
        </w:rPr>
        <w:t> </w:t>
      </w:r>
      <w:r>
        <w:rPr>
          <w:w w:val="115"/>
        </w:rPr>
        <w:t>limitaciones</w:t>
      </w:r>
      <w:r>
        <w:rPr>
          <w:spacing w:val="-16"/>
          <w:w w:val="115"/>
        </w:rPr>
        <w:t> </w:t>
      </w:r>
      <w:r>
        <w:rPr>
          <w:w w:val="115"/>
        </w:rPr>
        <w:t>que</w:t>
      </w:r>
      <w:r>
        <w:rPr>
          <w:spacing w:val="-16"/>
          <w:w w:val="115"/>
        </w:rPr>
        <w:t> </w:t>
      </w:r>
      <w:r>
        <w:rPr>
          <w:w w:val="115"/>
        </w:rPr>
        <w:t>impone la hasta ahora lenta recuperación económica, concentrados en las áreas</w:t>
      </w:r>
      <w:r>
        <w:rPr>
          <w:spacing w:val="-7"/>
          <w:w w:val="115"/>
        </w:rPr>
        <w:t> </w:t>
      </w:r>
      <w:r>
        <w:rPr>
          <w:w w:val="115"/>
        </w:rPr>
        <w:t>prioritarias</w:t>
      </w:r>
      <w:r>
        <w:rPr>
          <w:spacing w:val="-7"/>
          <w:w w:val="115"/>
        </w:rPr>
        <w:t> </w:t>
      </w:r>
      <w:r>
        <w:rPr>
          <w:w w:val="115"/>
        </w:rPr>
        <w:t>se</w:t>
      </w:r>
      <w:r>
        <w:rPr>
          <w:spacing w:val="-7"/>
          <w:w w:val="115"/>
        </w:rPr>
        <w:t> </w:t>
      </w:r>
      <w:r>
        <w:rPr>
          <w:w w:val="115"/>
        </w:rPr>
        <w:t>están</w:t>
      </w:r>
      <w:r>
        <w:rPr>
          <w:spacing w:val="-7"/>
          <w:w w:val="115"/>
        </w:rPr>
        <w:t> </w:t>
      </w:r>
      <w:r>
        <w:rPr>
          <w:w w:val="115"/>
        </w:rPr>
        <w:t>jugando</w:t>
      </w:r>
      <w:r>
        <w:rPr>
          <w:spacing w:val="-7"/>
          <w:w w:val="115"/>
        </w:rPr>
        <w:t> </w:t>
      </w:r>
      <w:r>
        <w:rPr>
          <w:w w:val="115"/>
        </w:rPr>
        <w:t>las</w:t>
      </w:r>
      <w:r>
        <w:rPr>
          <w:spacing w:val="-7"/>
          <w:w w:val="115"/>
        </w:rPr>
        <w:t> </w:t>
      </w:r>
      <w:r>
        <w:rPr>
          <w:w w:val="115"/>
        </w:rPr>
        <w:t>cartas</w:t>
      </w:r>
      <w:r>
        <w:rPr>
          <w:spacing w:val="-7"/>
          <w:w w:val="115"/>
        </w:rPr>
        <w:t> </w:t>
      </w:r>
      <w:r>
        <w:rPr>
          <w:w w:val="115"/>
        </w:rPr>
        <w:t>de</w:t>
      </w:r>
      <w:r>
        <w:rPr>
          <w:spacing w:val="-7"/>
          <w:w w:val="115"/>
        </w:rPr>
        <w:t> </w:t>
      </w:r>
      <w:r>
        <w:rPr>
          <w:w w:val="115"/>
        </w:rPr>
        <w:t>enfatizar</w:t>
      </w:r>
      <w:r>
        <w:rPr>
          <w:spacing w:val="-7"/>
          <w:w w:val="115"/>
        </w:rPr>
        <w:t> </w:t>
      </w:r>
      <w:r>
        <w:rPr>
          <w:w w:val="115"/>
        </w:rPr>
        <w:t>en</w:t>
      </w:r>
      <w:r>
        <w:rPr>
          <w:spacing w:val="-7"/>
          <w:w w:val="115"/>
        </w:rPr>
        <w:t> </w:t>
      </w:r>
      <w:r>
        <w:rPr>
          <w:w w:val="115"/>
        </w:rPr>
        <w:t>el</w:t>
      </w:r>
      <w:r>
        <w:rPr>
          <w:spacing w:val="-7"/>
          <w:w w:val="115"/>
        </w:rPr>
        <w:t> </w:t>
      </w:r>
      <w:r>
        <w:rPr>
          <w:w w:val="115"/>
        </w:rPr>
        <w:t>mul- tilateralismo</w:t>
      </w:r>
      <w:r>
        <w:rPr>
          <w:spacing w:val="-11"/>
          <w:w w:val="115"/>
        </w:rPr>
        <w:t> </w:t>
      </w:r>
      <w:r>
        <w:rPr>
          <w:w w:val="115"/>
        </w:rPr>
        <w:t>sobre</w:t>
      </w:r>
      <w:r>
        <w:rPr>
          <w:spacing w:val="-11"/>
          <w:w w:val="115"/>
        </w:rPr>
        <w:t> </w:t>
      </w:r>
      <w:r>
        <w:rPr>
          <w:w w:val="115"/>
        </w:rPr>
        <w:t>el</w:t>
      </w:r>
      <w:r>
        <w:rPr>
          <w:spacing w:val="-11"/>
          <w:w w:val="115"/>
        </w:rPr>
        <w:t> </w:t>
      </w:r>
      <w:r>
        <w:rPr>
          <w:w w:val="115"/>
        </w:rPr>
        <w:t>unilateralismo</w:t>
      </w:r>
      <w:r>
        <w:rPr>
          <w:spacing w:val="-11"/>
          <w:w w:val="115"/>
        </w:rPr>
        <w:t> </w:t>
      </w:r>
      <w:r>
        <w:rPr>
          <w:w w:val="115"/>
        </w:rPr>
        <w:t>pero</w:t>
      </w:r>
      <w:r>
        <w:rPr>
          <w:spacing w:val="-11"/>
          <w:w w:val="115"/>
        </w:rPr>
        <w:t> </w:t>
      </w:r>
      <w:r>
        <w:rPr>
          <w:w w:val="115"/>
        </w:rPr>
        <w:t>sin</w:t>
      </w:r>
      <w:r>
        <w:rPr>
          <w:spacing w:val="-11"/>
          <w:w w:val="115"/>
        </w:rPr>
        <w:t> </w:t>
      </w:r>
      <w:r>
        <w:rPr>
          <w:w w:val="115"/>
        </w:rPr>
        <w:t>renunciar</w:t>
      </w:r>
      <w:r>
        <w:rPr>
          <w:spacing w:val="-11"/>
          <w:w w:val="115"/>
        </w:rPr>
        <w:t> </w:t>
      </w:r>
      <w:r>
        <w:rPr>
          <w:w w:val="115"/>
        </w:rPr>
        <w:t>a</w:t>
      </w:r>
      <w:r>
        <w:rPr>
          <w:spacing w:val="-11"/>
          <w:w w:val="115"/>
        </w:rPr>
        <w:t> </w:t>
      </w:r>
      <w:r>
        <w:rPr>
          <w:w w:val="115"/>
        </w:rPr>
        <w:t>éste</w:t>
      </w:r>
      <w:r>
        <w:rPr>
          <w:spacing w:val="-11"/>
          <w:w w:val="115"/>
        </w:rPr>
        <w:t> </w:t>
      </w:r>
      <w:r>
        <w:rPr>
          <w:w w:val="115"/>
        </w:rPr>
        <w:t>cuan- do</w:t>
      </w:r>
      <w:r>
        <w:rPr>
          <w:spacing w:val="-22"/>
          <w:w w:val="115"/>
        </w:rPr>
        <w:t> </w:t>
      </w:r>
      <w:r>
        <w:rPr>
          <w:w w:val="115"/>
        </w:rPr>
        <w:t>sea</w:t>
      </w:r>
      <w:r>
        <w:rPr>
          <w:spacing w:val="-22"/>
          <w:w w:val="115"/>
        </w:rPr>
        <w:t> </w:t>
      </w:r>
      <w:r>
        <w:rPr>
          <w:w w:val="115"/>
        </w:rPr>
        <w:t>necesario;</w:t>
      </w:r>
      <w:r>
        <w:rPr>
          <w:spacing w:val="-22"/>
          <w:w w:val="115"/>
        </w:rPr>
        <w:t> </w:t>
      </w:r>
      <w:r>
        <w:rPr>
          <w:w w:val="115"/>
        </w:rPr>
        <w:t>retirarse</w:t>
      </w:r>
      <w:r>
        <w:rPr>
          <w:spacing w:val="-22"/>
          <w:w w:val="115"/>
        </w:rPr>
        <w:t> </w:t>
      </w:r>
      <w:r>
        <w:rPr>
          <w:w w:val="115"/>
        </w:rPr>
        <w:t>de</w:t>
      </w:r>
      <w:r>
        <w:rPr>
          <w:spacing w:val="-22"/>
          <w:w w:val="115"/>
        </w:rPr>
        <w:t> </w:t>
      </w:r>
      <w:r>
        <w:rPr>
          <w:w w:val="115"/>
        </w:rPr>
        <w:t>los</w:t>
      </w:r>
      <w:r>
        <w:rPr>
          <w:spacing w:val="-22"/>
          <w:w w:val="115"/>
        </w:rPr>
        <w:t> </w:t>
      </w:r>
      <w:r>
        <w:rPr>
          <w:w w:val="115"/>
        </w:rPr>
        <w:t>escenarios</w:t>
      </w:r>
      <w:r>
        <w:rPr>
          <w:spacing w:val="-22"/>
          <w:w w:val="115"/>
        </w:rPr>
        <w:t> </w:t>
      </w:r>
      <w:r>
        <w:rPr>
          <w:w w:val="115"/>
        </w:rPr>
        <w:t>de</w:t>
      </w:r>
      <w:r>
        <w:rPr>
          <w:spacing w:val="-22"/>
          <w:w w:val="115"/>
        </w:rPr>
        <w:t> </w:t>
      </w:r>
      <w:r>
        <w:rPr>
          <w:w w:val="115"/>
        </w:rPr>
        <w:t>confrontación</w:t>
      </w:r>
      <w:r>
        <w:rPr>
          <w:spacing w:val="-22"/>
          <w:w w:val="115"/>
        </w:rPr>
        <w:t> </w:t>
      </w:r>
      <w:r>
        <w:rPr>
          <w:w w:val="115"/>
        </w:rPr>
        <w:t>militar siempre</w:t>
      </w:r>
      <w:r>
        <w:rPr>
          <w:spacing w:val="-13"/>
          <w:w w:val="115"/>
        </w:rPr>
        <w:t> </w:t>
      </w:r>
      <w:r>
        <w:rPr>
          <w:w w:val="115"/>
        </w:rPr>
        <w:t>que</w:t>
      </w:r>
      <w:r>
        <w:rPr>
          <w:spacing w:val="-13"/>
          <w:w w:val="115"/>
        </w:rPr>
        <w:t> </w:t>
      </w:r>
      <w:r>
        <w:rPr>
          <w:w w:val="115"/>
        </w:rPr>
        <w:t>las</w:t>
      </w:r>
      <w:r>
        <w:rPr>
          <w:spacing w:val="-13"/>
          <w:w w:val="115"/>
        </w:rPr>
        <w:t> </w:t>
      </w:r>
      <w:r>
        <w:rPr>
          <w:w w:val="115"/>
        </w:rPr>
        <w:t>circunstancias</w:t>
      </w:r>
      <w:r>
        <w:rPr>
          <w:spacing w:val="-13"/>
          <w:w w:val="115"/>
        </w:rPr>
        <w:t> </w:t>
      </w:r>
      <w:r>
        <w:rPr>
          <w:w w:val="115"/>
        </w:rPr>
        <w:t>lo</w:t>
      </w:r>
      <w:r>
        <w:rPr>
          <w:spacing w:val="-13"/>
          <w:w w:val="115"/>
        </w:rPr>
        <w:t> </w:t>
      </w:r>
      <w:r>
        <w:rPr>
          <w:w w:val="115"/>
        </w:rPr>
        <w:t>permitan,</w:t>
      </w:r>
      <w:r>
        <w:rPr>
          <w:spacing w:val="-13"/>
          <w:w w:val="115"/>
        </w:rPr>
        <w:t> </w:t>
      </w:r>
      <w:r>
        <w:rPr>
          <w:w w:val="115"/>
        </w:rPr>
        <w:t>entendiendo</w:t>
      </w:r>
      <w:r>
        <w:rPr>
          <w:spacing w:val="-13"/>
          <w:w w:val="115"/>
        </w:rPr>
        <w:t> </w:t>
      </w:r>
      <w:r>
        <w:rPr>
          <w:w w:val="115"/>
        </w:rPr>
        <w:t>por</w:t>
      </w:r>
      <w:r>
        <w:rPr>
          <w:spacing w:val="-13"/>
          <w:w w:val="115"/>
        </w:rPr>
        <w:t> </w:t>
      </w:r>
      <w:r>
        <w:rPr>
          <w:w w:val="115"/>
        </w:rPr>
        <w:t>tal</w:t>
      </w:r>
      <w:r>
        <w:rPr>
          <w:spacing w:val="-13"/>
          <w:w w:val="115"/>
        </w:rPr>
        <w:t> </w:t>
      </w:r>
      <w:r>
        <w:rPr>
          <w:w w:val="115"/>
        </w:rPr>
        <w:t>que su</w:t>
      </w:r>
      <w:r>
        <w:rPr>
          <w:spacing w:val="-9"/>
          <w:w w:val="115"/>
        </w:rPr>
        <w:t> </w:t>
      </w:r>
      <w:r>
        <w:rPr>
          <w:w w:val="115"/>
        </w:rPr>
        <w:t>retiro</w:t>
      </w:r>
      <w:r>
        <w:rPr>
          <w:spacing w:val="-9"/>
          <w:w w:val="115"/>
        </w:rPr>
        <w:t> </w:t>
      </w:r>
      <w:r>
        <w:rPr>
          <w:w w:val="115"/>
        </w:rPr>
        <w:t>no</w:t>
      </w:r>
      <w:r>
        <w:rPr>
          <w:spacing w:val="-9"/>
          <w:w w:val="115"/>
        </w:rPr>
        <w:t> </w:t>
      </w:r>
      <w:r>
        <w:rPr>
          <w:w w:val="115"/>
        </w:rPr>
        <w:t>produzca</w:t>
      </w:r>
      <w:r>
        <w:rPr>
          <w:spacing w:val="-9"/>
          <w:w w:val="115"/>
        </w:rPr>
        <w:t> </w:t>
      </w:r>
      <w:r>
        <w:rPr>
          <w:w w:val="115"/>
        </w:rPr>
        <w:t>señales</w:t>
      </w:r>
      <w:r>
        <w:rPr>
          <w:spacing w:val="-9"/>
          <w:w w:val="115"/>
        </w:rPr>
        <w:t> </w:t>
      </w:r>
      <w:r>
        <w:rPr>
          <w:w w:val="115"/>
        </w:rPr>
        <w:t>equívocas</w:t>
      </w:r>
      <w:r>
        <w:rPr>
          <w:spacing w:val="-9"/>
          <w:w w:val="115"/>
        </w:rPr>
        <w:t> </w:t>
      </w:r>
      <w:r>
        <w:rPr>
          <w:w w:val="115"/>
        </w:rPr>
        <w:t>de</w:t>
      </w:r>
      <w:r>
        <w:rPr>
          <w:spacing w:val="-9"/>
          <w:w w:val="115"/>
        </w:rPr>
        <w:t> </w:t>
      </w:r>
      <w:r>
        <w:rPr>
          <w:w w:val="115"/>
        </w:rPr>
        <w:t>debilidad,</w:t>
      </w:r>
      <w:r>
        <w:rPr>
          <w:spacing w:val="-9"/>
          <w:w w:val="115"/>
        </w:rPr>
        <w:t> </w:t>
      </w:r>
      <w:r>
        <w:rPr>
          <w:w w:val="115"/>
        </w:rPr>
        <w:t>renuncia</w:t>
      </w:r>
      <w:r>
        <w:rPr>
          <w:spacing w:val="-9"/>
          <w:w w:val="115"/>
        </w:rPr>
        <w:t> </w:t>
      </w:r>
      <w:r>
        <w:rPr>
          <w:w w:val="115"/>
        </w:rPr>
        <w:t>al</w:t>
      </w:r>
      <w:r>
        <w:rPr>
          <w:spacing w:val="-9"/>
          <w:w w:val="115"/>
        </w:rPr>
        <w:t> </w:t>
      </w:r>
      <w:r>
        <w:rPr>
          <w:w w:val="115"/>
        </w:rPr>
        <w:t>li- derazgo</w:t>
      </w:r>
      <w:r>
        <w:rPr>
          <w:spacing w:val="-8"/>
          <w:w w:val="115"/>
        </w:rPr>
        <w:t> </w:t>
      </w:r>
      <w:r>
        <w:rPr>
          <w:w w:val="115"/>
        </w:rPr>
        <w:t>o</w:t>
      </w:r>
      <w:r>
        <w:rPr>
          <w:spacing w:val="-8"/>
          <w:w w:val="115"/>
        </w:rPr>
        <w:t> </w:t>
      </w:r>
      <w:r>
        <w:rPr>
          <w:w w:val="115"/>
        </w:rPr>
        <w:t>aislacionismo.</w:t>
      </w:r>
      <w:r>
        <w:rPr>
          <w:spacing w:val="-8"/>
          <w:w w:val="115"/>
        </w:rPr>
        <w:t> </w:t>
      </w:r>
      <w:r>
        <w:rPr>
          <w:w w:val="115"/>
        </w:rPr>
        <w:t>así</w:t>
      </w:r>
      <w:r>
        <w:rPr>
          <w:spacing w:val="-8"/>
          <w:w w:val="115"/>
        </w:rPr>
        <w:t> </w:t>
      </w:r>
      <w:r>
        <w:rPr>
          <w:w w:val="115"/>
        </w:rPr>
        <w:t>lo</w:t>
      </w:r>
      <w:r>
        <w:rPr>
          <w:spacing w:val="-8"/>
          <w:w w:val="115"/>
        </w:rPr>
        <w:t> </w:t>
      </w:r>
      <w:r>
        <w:rPr>
          <w:w w:val="115"/>
        </w:rPr>
        <w:t>planteó</w:t>
      </w:r>
      <w:r>
        <w:rPr>
          <w:spacing w:val="-8"/>
          <w:w w:val="115"/>
        </w:rPr>
        <w:t> </w:t>
      </w:r>
      <w:r>
        <w:rPr>
          <w:w w:val="115"/>
        </w:rPr>
        <w:t>obama</w:t>
      </w:r>
      <w:r>
        <w:rPr>
          <w:spacing w:val="-8"/>
          <w:w w:val="115"/>
        </w:rPr>
        <w:t> </w:t>
      </w:r>
      <w:r>
        <w:rPr>
          <w:w w:val="115"/>
        </w:rPr>
        <w:t>en</w:t>
      </w:r>
      <w:r>
        <w:rPr>
          <w:spacing w:val="-8"/>
          <w:w w:val="115"/>
        </w:rPr>
        <w:t> </w:t>
      </w:r>
      <w:r>
        <w:rPr>
          <w:w w:val="115"/>
        </w:rPr>
        <w:t>el</w:t>
      </w:r>
      <w:r>
        <w:rPr>
          <w:spacing w:val="-8"/>
          <w:w w:val="115"/>
        </w:rPr>
        <w:t> </w:t>
      </w:r>
      <w:r>
        <w:rPr>
          <w:w w:val="115"/>
        </w:rPr>
        <w:t>discurso</w:t>
      </w:r>
      <w:r>
        <w:rPr>
          <w:spacing w:val="-8"/>
          <w:w w:val="115"/>
        </w:rPr>
        <w:t> </w:t>
      </w:r>
      <w:r>
        <w:rPr>
          <w:w w:val="115"/>
        </w:rPr>
        <w:t>a</w:t>
      </w:r>
      <w:r>
        <w:rPr>
          <w:spacing w:val="-8"/>
          <w:w w:val="115"/>
        </w:rPr>
        <w:t> </w:t>
      </w:r>
      <w:r>
        <w:rPr>
          <w:w w:val="115"/>
        </w:rPr>
        <w:t>la</w:t>
      </w:r>
      <w:r>
        <w:rPr>
          <w:spacing w:val="-8"/>
          <w:w w:val="115"/>
        </w:rPr>
        <w:t> </w:t>
      </w:r>
      <w:r>
        <w:rPr>
          <w:w w:val="115"/>
        </w:rPr>
        <w:t>na- ción</w:t>
      </w:r>
      <w:r>
        <w:rPr>
          <w:spacing w:val="-15"/>
          <w:w w:val="115"/>
        </w:rPr>
        <w:t> </w:t>
      </w:r>
      <w:r>
        <w:rPr>
          <w:w w:val="115"/>
        </w:rPr>
        <w:t>en</w:t>
      </w:r>
      <w:r>
        <w:rPr>
          <w:spacing w:val="-15"/>
          <w:w w:val="115"/>
        </w:rPr>
        <w:t> </w:t>
      </w:r>
      <w:r>
        <w:rPr>
          <w:w w:val="115"/>
        </w:rPr>
        <w:t>enero</w:t>
      </w:r>
      <w:r>
        <w:rPr>
          <w:spacing w:val="-15"/>
          <w:w w:val="115"/>
        </w:rPr>
        <w:t> </w:t>
      </w:r>
      <w:r>
        <w:rPr>
          <w:w w:val="115"/>
        </w:rPr>
        <w:t>de</w:t>
      </w:r>
      <w:r>
        <w:rPr>
          <w:spacing w:val="-15"/>
          <w:w w:val="115"/>
        </w:rPr>
        <w:t> </w:t>
      </w:r>
      <w:r>
        <w:rPr>
          <w:w w:val="115"/>
        </w:rPr>
        <w:t>2015:</w:t>
      </w:r>
      <w:r>
        <w:rPr>
          <w:spacing w:val="-15"/>
          <w:w w:val="115"/>
        </w:rPr>
        <w:t> </w:t>
      </w:r>
      <w:r>
        <w:rPr>
          <w:w w:val="115"/>
        </w:rPr>
        <w:t>“Esta</w:t>
      </w:r>
      <w:r>
        <w:rPr>
          <w:spacing w:val="-15"/>
          <w:w w:val="115"/>
        </w:rPr>
        <w:t> </w:t>
      </w:r>
      <w:r>
        <w:rPr>
          <w:w w:val="115"/>
        </w:rPr>
        <w:t>noche,</w:t>
      </w:r>
      <w:r>
        <w:rPr>
          <w:spacing w:val="-15"/>
          <w:w w:val="115"/>
        </w:rPr>
        <w:t> </w:t>
      </w:r>
      <w:r>
        <w:rPr>
          <w:w w:val="115"/>
        </w:rPr>
        <w:t>gracias</w:t>
      </w:r>
      <w:r>
        <w:rPr>
          <w:spacing w:val="-15"/>
          <w:w w:val="115"/>
        </w:rPr>
        <w:t> </w:t>
      </w:r>
      <w:r>
        <w:rPr>
          <w:w w:val="115"/>
        </w:rPr>
        <w:t>a</w:t>
      </w:r>
      <w:r>
        <w:rPr>
          <w:spacing w:val="-15"/>
          <w:w w:val="115"/>
        </w:rPr>
        <w:t> </w:t>
      </w:r>
      <w:r>
        <w:rPr>
          <w:w w:val="115"/>
        </w:rPr>
        <w:t>los</w:t>
      </w:r>
      <w:r>
        <w:rPr>
          <w:spacing w:val="-15"/>
          <w:w w:val="115"/>
        </w:rPr>
        <w:t> </w:t>
      </w:r>
      <w:r>
        <w:rPr>
          <w:w w:val="115"/>
        </w:rPr>
        <w:t>extraordinarios</w:t>
      </w:r>
      <w:r>
        <w:rPr>
          <w:spacing w:val="-15"/>
          <w:w w:val="115"/>
        </w:rPr>
        <w:t> </w:t>
      </w:r>
      <w:r>
        <w:rPr>
          <w:w w:val="115"/>
        </w:rPr>
        <w:t>mi- litares</w:t>
      </w:r>
      <w:r>
        <w:rPr>
          <w:spacing w:val="-19"/>
          <w:w w:val="115"/>
        </w:rPr>
        <w:t> </w:t>
      </w:r>
      <w:r>
        <w:rPr>
          <w:w w:val="115"/>
        </w:rPr>
        <w:t>y</w:t>
      </w:r>
      <w:r>
        <w:rPr>
          <w:spacing w:val="-19"/>
          <w:w w:val="115"/>
        </w:rPr>
        <w:t> </w:t>
      </w:r>
      <w:r>
        <w:rPr>
          <w:w w:val="115"/>
        </w:rPr>
        <w:t>civiles</w:t>
      </w:r>
      <w:r>
        <w:rPr>
          <w:spacing w:val="-19"/>
          <w:w w:val="115"/>
        </w:rPr>
        <w:t> </w:t>
      </w:r>
      <w:r>
        <w:rPr>
          <w:w w:val="115"/>
        </w:rPr>
        <w:t>que</w:t>
      </w:r>
      <w:r>
        <w:rPr>
          <w:spacing w:val="-19"/>
          <w:w w:val="115"/>
        </w:rPr>
        <w:t> </w:t>
      </w:r>
      <w:r>
        <w:rPr>
          <w:w w:val="115"/>
        </w:rPr>
        <w:t>arriesgan</w:t>
      </w:r>
      <w:r>
        <w:rPr>
          <w:spacing w:val="-19"/>
          <w:w w:val="115"/>
        </w:rPr>
        <w:t> </w:t>
      </w:r>
      <w:r>
        <w:rPr>
          <w:w w:val="115"/>
        </w:rPr>
        <w:t>y</w:t>
      </w:r>
      <w:r>
        <w:rPr>
          <w:spacing w:val="-19"/>
          <w:w w:val="115"/>
        </w:rPr>
        <w:t> </w:t>
      </w:r>
      <w:r>
        <w:rPr>
          <w:w w:val="115"/>
        </w:rPr>
        <w:t>sacrifican</w:t>
      </w:r>
      <w:r>
        <w:rPr>
          <w:spacing w:val="-19"/>
          <w:w w:val="115"/>
        </w:rPr>
        <w:t> </w:t>
      </w:r>
      <w:r>
        <w:rPr>
          <w:w w:val="115"/>
        </w:rPr>
        <w:t>sus</w:t>
      </w:r>
      <w:r>
        <w:rPr>
          <w:spacing w:val="-19"/>
          <w:w w:val="115"/>
        </w:rPr>
        <w:t> </w:t>
      </w:r>
      <w:r>
        <w:rPr>
          <w:w w:val="115"/>
        </w:rPr>
        <w:t>vidas</w:t>
      </w:r>
      <w:r>
        <w:rPr>
          <w:spacing w:val="-19"/>
          <w:w w:val="115"/>
        </w:rPr>
        <w:t> </w:t>
      </w:r>
      <w:r>
        <w:rPr>
          <w:w w:val="115"/>
        </w:rPr>
        <w:t>para</w:t>
      </w:r>
      <w:r>
        <w:rPr>
          <w:spacing w:val="-19"/>
          <w:w w:val="115"/>
        </w:rPr>
        <w:t> </w:t>
      </w:r>
      <w:r>
        <w:rPr>
          <w:w w:val="115"/>
        </w:rPr>
        <w:t>que</w:t>
      </w:r>
      <w:r>
        <w:rPr>
          <w:spacing w:val="-19"/>
          <w:w w:val="115"/>
        </w:rPr>
        <w:t> </w:t>
      </w:r>
      <w:r>
        <w:rPr>
          <w:w w:val="115"/>
        </w:rPr>
        <w:t>vivamos en libertad, Estados unidos es un lugar más seguro. Cuando asumí el cargo, había casi 180.000 estadounidenses prestando servicio en irak y afganistán. al día de </w:t>
      </w:r>
      <w:r>
        <w:rPr>
          <w:spacing w:val="-6"/>
          <w:w w:val="115"/>
        </w:rPr>
        <w:t>hoy, </w:t>
      </w:r>
      <w:r>
        <w:rPr>
          <w:w w:val="115"/>
        </w:rPr>
        <w:t>ya no tenemos tropas en irak. Más de 60.000 de nuestros soldados ya han vuelto a casa de afganistán. ahora</w:t>
      </w:r>
      <w:r>
        <w:rPr>
          <w:spacing w:val="-18"/>
          <w:w w:val="115"/>
        </w:rPr>
        <w:t> </w:t>
      </w:r>
      <w:r>
        <w:rPr>
          <w:w w:val="115"/>
        </w:rPr>
        <w:t>las</w:t>
      </w:r>
      <w:r>
        <w:rPr>
          <w:spacing w:val="-18"/>
          <w:w w:val="115"/>
        </w:rPr>
        <w:t> </w:t>
      </w:r>
      <w:r>
        <w:rPr>
          <w:w w:val="115"/>
        </w:rPr>
        <w:t>fuerzas</w:t>
      </w:r>
      <w:r>
        <w:rPr>
          <w:spacing w:val="-18"/>
          <w:w w:val="115"/>
        </w:rPr>
        <w:t> </w:t>
      </w:r>
      <w:r>
        <w:rPr>
          <w:w w:val="115"/>
        </w:rPr>
        <w:t>afganas</w:t>
      </w:r>
      <w:r>
        <w:rPr>
          <w:spacing w:val="-18"/>
          <w:w w:val="115"/>
        </w:rPr>
        <w:t> </w:t>
      </w:r>
      <w:r>
        <w:rPr>
          <w:w w:val="115"/>
        </w:rPr>
        <w:t>están</w:t>
      </w:r>
      <w:r>
        <w:rPr>
          <w:spacing w:val="-18"/>
          <w:w w:val="115"/>
        </w:rPr>
        <w:t> </w:t>
      </w:r>
      <w:r>
        <w:rPr>
          <w:w w:val="115"/>
        </w:rPr>
        <w:t>al</w:t>
      </w:r>
      <w:r>
        <w:rPr>
          <w:spacing w:val="-18"/>
          <w:w w:val="115"/>
        </w:rPr>
        <w:t> </w:t>
      </w:r>
      <w:r>
        <w:rPr>
          <w:w w:val="115"/>
        </w:rPr>
        <w:t>mando</w:t>
      </w:r>
      <w:r>
        <w:rPr>
          <w:spacing w:val="-18"/>
          <w:w w:val="115"/>
        </w:rPr>
        <w:t> </w:t>
      </w:r>
      <w:r>
        <w:rPr>
          <w:w w:val="115"/>
        </w:rPr>
        <w:t>de</w:t>
      </w:r>
      <w:r>
        <w:rPr>
          <w:spacing w:val="-18"/>
          <w:w w:val="115"/>
        </w:rPr>
        <w:t> </w:t>
      </w:r>
      <w:r>
        <w:rPr>
          <w:w w:val="115"/>
        </w:rPr>
        <w:t>su</w:t>
      </w:r>
      <w:r>
        <w:rPr>
          <w:spacing w:val="-18"/>
          <w:w w:val="115"/>
        </w:rPr>
        <w:t> </w:t>
      </w:r>
      <w:r>
        <w:rPr>
          <w:w w:val="115"/>
        </w:rPr>
        <w:t>propia</w:t>
      </w:r>
      <w:r>
        <w:rPr>
          <w:spacing w:val="-18"/>
          <w:w w:val="115"/>
        </w:rPr>
        <w:t> </w:t>
      </w:r>
      <w:r>
        <w:rPr>
          <w:w w:val="115"/>
        </w:rPr>
        <w:t>seguridad,</w:t>
      </w:r>
      <w:r>
        <w:rPr>
          <w:spacing w:val="-18"/>
          <w:w w:val="115"/>
        </w:rPr>
        <w:t> </w:t>
      </w:r>
      <w:r>
        <w:rPr>
          <w:w w:val="115"/>
        </w:rPr>
        <w:t>por lo</w:t>
      </w:r>
      <w:r>
        <w:rPr>
          <w:spacing w:val="-12"/>
          <w:w w:val="115"/>
        </w:rPr>
        <w:t> </w:t>
      </w:r>
      <w:r>
        <w:rPr>
          <w:w w:val="115"/>
        </w:rPr>
        <w:t>que</w:t>
      </w:r>
      <w:r>
        <w:rPr>
          <w:spacing w:val="-12"/>
          <w:w w:val="115"/>
        </w:rPr>
        <w:t> </w:t>
      </w:r>
      <w:r>
        <w:rPr>
          <w:w w:val="115"/>
        </w:rPr>
        <w:t>nuestras</w:t>
      </w:r>
      <w:r>
        <w:rPr>
          <w:spacing w:val="-12"/>
          <w:w w:val="115"/>
        </w:rPr>
        <w:t> </w:t>
      </w:r>
      <w:r>
        <w:rPr>
          <w:w w:val="115"/>
        </w:rPr>
        <w:t>tropas</w:t>
      </w:r>
      <w:r>
        <w:rPr>
          <w:spacing w:val="-12"/>
          <w:w w:val="115"/>
        </w:rPr>
        <w:t> </w:t>
      </w:r>
      <w:r>
        <w:rPr>
          <w:w w:val="115"/>
        </w:rPr>
        <w:t>han</w:t>
      </w:r>
      <w:r>
        <w:rPr>
          <w:spacing w:val="-12"/>
          <w:w w:val="115"/>
        </w:rPr>
        <w:t> </w:t>
      </w:r>
      <w:r>
        <w:rPr>
          <w:w w:val="115"/>
        </w:rPr>
        <w:t>pasado</w:t>
      </w:r>
      <w:r>
        <w:rPr>
          <w:spacing w:val="-12"/>
          <w:w w:val="115"/>
        </w:rPr>
        <w:t> </w:t>
      </w:r>
      <w:r>
        <w:rPr>
          <w:w w:val="115"/>
        </w:rPr>
        <w:t>a</w:t>
      </w:r>
      <w:r>
        <w:rPr>
          <w:spacing w:val="-12"/>
          <w:w w:val="115"/>
        </w:rPr>
        <w:t> </w:t>
      </w:r>
      <w:r>
        <w:rPr>
          <w:w w:val="115"/>
        </w:rPr>
        <w:t>desempeñar</w:t>
      </w:r>
      <w:r>
        <w:rPr>
          <w:spacing w:val="-12"/>
          <w:w w:val="115"/>
        </w:rPr>
        <w:t> </w:t>
      </w:r>
      <w:r>
        <w:rPr>
          <w:w w:val="115"/>
        </w:rPr>
        <w:t>un</w:t>
      </w:r>
      <w:r>
        <w:rPr>
          <w:spacing w:val="-12"/>
          <w:w w:val="115"/>
        </w:rPr>
        <w:t> </w:t>
      </w:r>
      <w:r>
        <w:rPr>
          <w:w w:val="115"/>
        </w:rPr>
        <w:t>papel</w:t>
      </w:r>
      <w:r>
        <w:rPr>
          <w:spacing w:val="-12"/>
          <w:w w:val="115"/>
        </w:rPr>
        <w:t> </w:t>
      </w:r>
      <w:r>
        <w:rPr>
          <w:w w:val="115"/>
        </w:rPr>
        <w:t>de</w:t>
      </w:r>
      <w:r>
        <w:rPr>
          <w:spacing w:val="-12"/>
          <w:w w:val="115"/>
        </w:rPr>
        <w:t> </w:t>
      </w:r>
      <w:r>
        <w:rPr>
          <w:w w:val="115"/>
        </w:rPr>
        <w:t>apoyo. Completaremos la misión allí junto con nuestros aliados a fines de este año y la guerra más larga de la historia estadounidense habrá llegado</w:t>
      </w:r>
      <w:r>
        <w:rPr>
          <w:spacing w:val="-5"/>
          <w:w w:val="115"/>
        </w:rPr>
        <w:t> </w:t>
      </w:r>
      <w:r>
        <w:rPr>
          <w:w w:val="115"/>
        </w:rPr>
        <w:t>a</w:t>
      </w:r>
      <w:r>
        <w:rPr>
          <w:spacing w:val="-5"/>
          <w:w w:val="115"/>
        </w:rPr>
        <w:t> </w:t>
      </w:r>
      <w:r>
        <w:rPr>
          <w:w w:val="115"/>
        </w:rPr>
        <w:t>su</w:t>
      </w:r>
      <w:r>
        <w:rPr>
          <w:spacing w:val="-5"/>
          <w:w w:val="115"/>
        </w:rPr>
        <w:t> </w:t>
      </w:r>
      <w:r>
        <w:rPr>
          <w:w w:val="115"/>
        </w:rPr>
        <w:t>fin”</w:t>
      </w:r>
      <w:r>
        <w:rPr>
          <w:spacing w:val="-5"/>
          <w:w w:val="115"/>
        </w:rPr>
        <w:t> </w:t>
      </w:r>
      <w:r>
        <w:rPr>
          <w:w w:val="115"/>
        </w:rPr>
        <w:t>(obama,</w:t>
      </w:r>
      <w:r>
        <w:rPr>
          <w:spacing w:val="-5"/>
          <w:w w:val="115"/>
        </w:rPr>
        <w:t> </w:t>
      </w:r>
      <w:r>
        <w:rPr>
          <w:w w:val="115"/>
        </w:rPr>
        <w:t>2015).</w:t>
      </w:r>
      <w:r>
        <w:rPr>
          <w:spacing w:val="-5"/>
          <w:w w:val="115"/>
        </w:rPr>
        <w:t> </w:t>
      </w:r>
      <w:r>
        <w:rPr>
          <w:w w:val="115"/>
        </w:rPr>
        <w:t>Promoviendo</w:t>
      </w:r>
      <w:r>
        <w:rPr>
          <w:spacing w:val="-5"/>
          <w:w w:val="115"/>
        </w:rPr>
        <w:t> </w:t>
      </w:r>
      <w:r>
        <w:rPr>
          <w:w w:val="115"/>
        </w:rPr>
        <w:t>a</w:t>
      </w:r>
      <w:r>
        <w:rPr>
          <w:spacing w:val="-5"/>
          <w:w w:val="115"/>
        </w:rPr>
        <w:t> </w:t>
      </w:r>
      <w:r>
        <w:rPr>
          <w:w w:val="115"/>
        </w:rPr>
        <w:t>sus</w:t>
      </w:r>
      <w:r>
        <w:rPr>
          <w:spacing w:val="-5"/>
          <w:w w:val="115"/>
        </w:rPr>
        <w:t> </w:t>
      </w:r>
      <w:r>
        <w:rPr>
          <w:w w:val="115"/>
        </w:rPr>
        <w:t>socios</w:t>
      </w:r>
      <w:r>
        <w:rPr>
          <w:spacing w:val="-5"/>
          <w:w w:val="115"/>
        </w:rPr>
        <w:t> </w:t>
      </w:r>
      <w:r>
        <w:rPr>
          <w:w w:val="115"/>
        </w:rPr>
        <w:t>para</w:t>
      </w:r>
      <w:r>
        <w:rPr>
          <w:spacing w:val="-5"/>
          <w:w w:val="115"/>
        </w:rPr>
        <w:t> </w:t>
      </w:r>
      <w:r>
        <w:rPr>
          <w:w w:val="115"/>
        </w:rPr>
        <w:t>que intervengan</w:t>
      </w:r>
      <w:r>
        <w:rPr>
          <w:spacing w:val="-15"/>
          <w:w w:val="115"/>
        </w:rPr>
        <w:t> </w:t>
      </w:r>
      <w:r>
        <w:rPr>
          <w:w w:val="115"/>
        </w:rPr>
        <w:t>con</w:t>
      </w:r>
      <w:r>
        <w:rPr>
          <w:spacing w:val="-15"/>
          <w:w w:val="115"/>
        </w:rPr>
        <w:t> </w:t>
      </w:r>
      <w:r>
        <w:rPr>
          <w:w w:val="115"/>
        </w:rPr>
        <w:t>sus</w:t>
      </w:r>
      <w:r>
        <w:rPr>
          <w:spacing w:val="-15"/>
          <w:w w:val="115"/>
        </w:rPr>
        <w:t> </w:t>
      </w:r>
      <w:r>
        <w:rPr>
          <w:w w:val="115"/>
        </w:rPr>
        <w:t>propias</w:t>
      </w:r>
      <w:r>
        <w:rPr>
          <w:spacing w:val="-15"/>
          <w:w w:val="115"/>
        </w:rPr>
        <w:t> </w:t>
      </w:r>
      <w:r>
        <w:rPr>
          <w:w w:val="115"/>
        </w:rPr>
        <w:t>fuerzas</w:t>
      </w:r>
      <w:r>
        <w:rPr>
          <w:spacing w:val="-15"/>
          <w:w w:val="115"/>
        </w:rPr>
        <w:t> </w:t>
      </w:r>
      <w:r>
        <w:rPr>
          <w:w w:val="115"/>
        </w:rPr>
        <w:t>en</w:t>
      </w:r>
      <w:r>
        <w:rPr>
          <w:spacing w:val="-15"/>
          <w:w w:val="115"/>
        </w:rPr>
        <w:t> </w:t>
      </w:r>
      <w:r>
        <w:rPr>
          <w:w w:val="115"/>
        </w:rPr>
        <w:t>las</w:t>
      </w:r>
      <w:r>
        <w:rPr>
          <w:spacing w:val="-15"/>
          <w:w w:val="115"/>
        </w:rPr>
        <w:t> </w:t>
      </w:r>
      <w:r>
        <w:rPr>
          <w:w w:val="115"/>
        </w:rPr>
        <w:t>áreas</w:t>
      </w:r>
      <w:r>
        <w:rPr>
          <w:spacing w:val="-15"/>
          <w:w w:val="115"/>
        </w:rPr>
        <w:t> </w:t>
      </w:r>
      <w:r>
        <w:rPr>
          <w:w w:val="115"/>
        </w:rPr>
        <w:t>que</w:t>
      </w:r>
      <w:r>
        <w:rPr>
          <w:spacing w:val="-15"/>
          <w:w w:val="115"/>
        </w:rPr>
        <w:t> </w:t>
      </w:r>
      <w:r>
        <w:rPr>
          <w:w w:val="115"/>
        </w:rPr>
        <w:t>lo</w:t>
      </w:r>
      <w:r>
        <w:rPr>
          <w:spacing w:val="-15"/>
          <w:w w:val="115"/>
        </w:rPr>
        <w:t> </w:t>
      </w:r>
      <w:r>
        <w:rPr>
          <w:w w:val="115"/>
        </w:rPr>
        <w:t>demande,</w:t>
      </w:r>
      <w:r>
        <w:rPr>
          <w:spacing w:val="-15"/>
          <w:w w:val="115"/>
        </w:rPr>
        <w:t> </w:t>
      </w:r>
      <w:r>
        <w:rPr>
          <w:w w:val="115"/>
        </w:rPr>
        <w:t>di- ferentes</w:t>
      </w:r>
      <w:r>
        <w:rPr>
          <w:spacing w:val="-15"/>
          <w:w w:val="115"/>
        </w:rPr>
        <w:t> </w:t>
      </w:r>
      <w:r>
        <w:rPr>
          <w:w w:val="115"/>
        </w:rPr>
        <w:t>a</w:t>
      </w:r>
      <w:r>
        <w:rPr>
          <w:spacing w:val="-15"/>
          <w:w w:val="115"/>
        </w:rPr>
        <w:t> </w:t>
      </w:r>
      <w:r>
        <w:rPr>
          <w:w w:val="115"/>
        </w:rPr>
        <w:t>las</w:t>
      </w:r>
      <w:r>
        <w:rPr>
          <w:spacing w:val="-15"/>
          <w:w w:val="115"/>
        </w:rPr>
        <w:t> </w:t>
      </w:r>
      <w:r>
        <w:rPr>
          <w:w w:val="115"/>
        </w:rPr>
        <w:t>prioritarias</w:t>
      </w:r>
      <w:r>
        <w:rPr>
          <w:spacing w:val="-15"/>
          <w:w w:val="115"/>
        </w:rPr>
        <w:t> </w:t>
      </w:r>
      <w:r>
        <w:rPr>
          <w:w w:val="115"/>
        </w:rPr>
        <w:t>para</w:t>
      </w:r>
      <w:r>
        <w:rPr>
          <w:spacing w:val="-15"/>
          <w:w w:val="115"/>
        </w:rPr>
        <w:t> </w:t>
      </w:r>
      <w:r>
        <w:rPr>
          <w:w w:val="115"/>
        </w:rPr>
        <w:t>los</w:t>
      </w:r>
      <w:r>
        <w:rPr>
          <w:spacing w:val="-15"/>
          <w:w w:val="115"/>
        </w:rPr>
        <w:t> </w:t>
      </w:r>
      <w:r>
        <w:rPr>
          <w:w w:val="115"/>
        </w:rPr>
        <w:t>EE.uu.,</w:t>
      </w:r>
      <w:r>
        <w:rPr>
          <w:spacing w:val="-15"/>
          <w:w w:val="115"/>
        </w:rPr>
        <w:t> </w:t>
      </w:r>
      <w:r>
        <w:rPr>
          <w:w w:val="115"/>
        </w:rPr>
        <w:t>por</w:t>
      </w:r>
      <w:r>
        <w:rPr>
          <w:spacing w:val="-15"/>
          <w:w w:val="115"/>
        </w:rPr>
        <w:t> </w:t>
      </w:r>
      <w:r>
        <w:rPr>
          <w:w w:val="115"/>
        </w:rPr>
        <w:t>supuesto</w:t>
      </w:r>
      <w:r>
        <w:rPr>
          <w:spacing w:val="-15"/>
          <w:w w:val="115"/>
        </w:rPr>
        <w:t> </w:t>
      </w:r>
      <w:r>
        <w:rPr>
          <w:w w:val="115"/>
        </w:rPr>
        <w:t>siempre</w:t>
      </w:r>
      <w:r>
        <w:rPr>
          <w:spacing w:val="-15"/>
          <w:w w:val="115"/>
        </w:rPr>
        <w:t> </w:t>
      </w:r>
      <w:r>
        <w:rPr>
          <w:w w:val="115"/>
        </w:rPr>
        <w:t>bajo su</w:t>
      </w:r>
      <w:r>
        <w:rPr>
          <w:spacing w:val="-29"/>
          <w:w w:val="115"/>
        </w:rPr>
        <w:t> </w:t>
      </w:r>
      <w:r>
        <w:rPr>
          <w:w w:val="115"/>
        </w:rPr>
        <w:t>supervisión</w:t>
      </w:r>
      <w:r>
        <w:rPr>
          <w:spacing w:val="-29"/>
          <w:w w:val="115"/>
        </w:rPr>
        <w:t> </w:t>
      </w:r>
      <w:r>
        <w:rPr>
          <w:w w:val="115"/>
        </w:rPr>
        <w:t>y</w:t>
      </w:r>
      <w:r>
        <w:rPr>
          <w:spacing w:val="-29"/>
          <w:w w:val="115"/>
        </w:rPr>
        <w:t> </w:t>
      </w:r>
      <w:r>
        <w:rPr>
          <w:w w:val="115"/>
        </w:rPr>
        <w:t>liderazgo.</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5" w:firstLine="396"/>
        <w:jc w:val="both"/>
      </w:pPr>
      <w:r>
        <w:rPr>
          <w:w w:val="115"/>
        </w:rPr>
        <w:t>En</w:t>
      </w:r>
      <w:r>
        <w:rPr>
          <w:spacing w:val="-13"/>
          <w:w w:val="115"/>
        </w:rPr>
        <w:t> </w:t>
      </w:r>
      <w:r>
        <w:rPr>
          <w:w w:val="115"/>
        </w:rPr>
        <w:t>el</w:t>
      </w:r>
      <w:r>
        <w:rPr>
          <w:spacing w:val="-13"/>
          <w:w w:val="115"/>
        </w:rPr>
        <w:t> </w:t>
      </w:r>
      <w:r>
        <w:rPr>
          <w:w w:val="115"/>
        </w:rPr>
        <w:t>citado</w:t>
      </w:r>
      <w:r>
        <w:rPr>
          <w:spacing w:val="-13"/>
          <w:w w:val="115"/>
        </w:rPr>
        <w:t> </w:t>
      </w:r>
      <w:r>
        <w:rPr>
          <w:w w:val="115"/>
        </w:rPr>
        <w:t>discurso</w:t>
      </w:r>
      <w:r>
        <w:rPr>
          <w:spacing w:val="-13"/>
          <w:w w:val="115"/>
        </w:rPr>
        <w:t> </w:t>
      </w:r>
      <w:r>
        <w:rPr>
          <w:w w:val="115"/>
        </w:rPr>
        <w:t>el</w:t>
      </w:r>
      <w:r>
        <w:rPr>
          <w:spacing w:val="-13"/>
          <w:w w:val="115"/>
        </w:rPr>
        <w:t> </w:t>
      </w:r>
      <w:r>
        <w:rPr>
          <w:w w:val="115"/>
        </w:rPr>
        <w:t>presidente</w:t>
      </w:r>
      <w:r>
        <w:rPr>
          <w:spacing w:val="-13"/>
          <w:w w:val="115"/>
        </w:rPr>
        <w:t> </w:t>
      </w:r>
      <w:r>
        <w:rPr>
          <w:w w:val="115"/>
        </w:rPr>
        <w:t>presentó</w:t>
      </w:r>
      <w:r>
        <w:rPr>
          <w:spacing w:val="-13"/>
          <w:w w:val="115"/>
        </w:rPr>
        <w:t> </w:t>
      </w:r>
      <w:r>
        <w:rPr>
          <w:w w:val="115"/>
        </w:rPr>
        <w:t>un</w:t>
      </w:r>
      <w:r>
        <w:rPr>
          <w:spacing w:val="-13"/>
          <w:w w:val="115"/>
        </w:rPr>
        <w:t> </w:t>
      </w:r>
      <w:r>
        <w:rPr>
          <w:w w:val="115"/>
        </w:rPr>
        <w:t>balance</w:t>
      </w:r>
      <w:r>
        <w:rPr>
          <w:spacing w:val="-13"/>
          <w:w w:val="115"/>
        </w:rPr>
        <w:t> </w:t>
      </w:r>
      <w:r>
        <w:rPr>
          <w:w w:val="115"/>
        </w:rPr>
        <w:t>positivo de la economía y reafirmó la decisión de continuar fortaleciendo la posición de los EE.uu. en el planeta. “Estos son los resultados de nuestros esfuerzos: la tasa de desempleo más baja en más de cinco años. un mercado inmobiliario en auge. un sector manufacturero que añade empleos por primera vez desde la década de 1990. Más petróleo producido en el país que el que compramos al resto del mundo,</w:t>
      </w:r>
      <w:r>
        <w:rPr>
          <w:spacing w:val="-7"/>
          <w:w w:val="115"/>
        </w:rPr>
        <w:t> </w:t>
      </w:r>
      <w:r>
        <w:rPr>
          <w:w w:val="115"/>
        </w:rPr>
        <w:t>la</w:t>
      </w:r>
      <w:r>
        <w:rPr>
          <w:spacing w:val="-7"/>
          <w:w w:val="115"/>
        </w:rPr>
        <w:t> </w:t>
      </w:r>
      <w:r>
        <w:rPr>
          <w:w w:val="115"/>
        </w:rPr>
        <w:t>primera</w:t>
      </w:r>
      <w:r>
        <w:rPr>
          <w:spacing w:val="-7"/>
          <w:w w:val="115"/>
        </w:rPr>
        <w:t> </w:t>
      </w:r>
      <w:r>
        <w:rPr>
          <w:w w:val="115"/>
        </w:rPr>
        <w:t>vez</w:t>
      </w:r>
      <w:r>
        <w:rPr>
          <w:spacing w:val="-7"/>
          <w:w w:val="115"/>
        </w:rPr>
        <w:t> </w:t>
      </w:r>
      <w:r>
        <w:rPr>
          <w:w w:val="115"/>
        </w:rPr>
        <w:t>que</w:t>
      </w:r>
      <w:r>
        <w:rPr>
          <w:spacing w:val="-7"/>
          <w:w w:val="115"/>
        </w:rPr>
        <w:t> </w:t>
      </w:r>
      <w:r>
        <w:rPr>
          <w:w w:val="115"/>
        </w:rPr>
        <w:t>sucede</w:t>
      </w:r>
      <w:r>
        <w:rPr>
          <w:spacing w:val="-7"/>
          <w:w w:val="115"/>
        </w:rPr>
        <w:t> </w:t>
      </w:r>
      <w:r>
        <w:rPr>
          <w:w w:val="115"/>
        </w:rPr>
        <w:t>eso</w:t>
      </w:r>
      <w:r>
        <w:rPr>
          <w:spacing w:val="-7"/>
          <w:w w:val="115"/>
        </w:rPr>
        <w:t> </w:t>
      </w:r>
      <w:r>
        <w:rPr>
          <w:w w:val="115"/>
        </w:rPr>
        <w:t>en</w:t>
      </w:r>
      <w:r>
        <w:rPr>
          <w:spacing w:val="-7"/>
          <w:w w:val="115"/>
        </w:rPr>
        <w:t> </w:t>
      </w:r>
      <w:r>
        <w:rPr>
          <w:w w:val="115"/>
        </w:rPr>
        <w:t>casi</w:t>
      </w:r>
      <w:r>
        <w:rPr>
          <w:spacing w:val="-7"/>
          <w:w w:val="115"/>
        </w:rPr>
        <w:t> </w:t>
      </w:r>
      <w:r>
        <w:rPr>
          <w:w w:val="115"/>
        </w:rPr>
        <w:t>veinte</w:t>
      </w:r>
      <w:r>
        <w:rPr>
          <w:spacing w:val="-7"/>
          <w:w w:val="115"/>
        </w:rPr>
        <w:t> </w:t>
      </w:r>
      <w:r>
        <w:rPr>
          <w:w w:val="115"/>
        </w:rPr>
        <w:t>años.</w:t>
      </w:r>
      <w:r>
        <w:rPr>
          <w:spacing w:val="-7"/>
          <w:w w:val="115"/>
        </w:rPr>
        <w:t> </w:t>
      </w:r>
      <w:r>
        <w:rPr>
          <w:w w:val="115"/>
        </w:rPr>
        <w:t>Nuestros déficits, reducidos en más de la mitad. Y por primera vez en más de una</w:t>
      </w:r>
      <w:r>
        <w:rPr>
          <w:spacing w:val="-15"/>
          <w:w w:val="115"/>
        </w:rPr>
        <w:t> </w:t>
      </w:r>
      <w:r>
        <w:rPr>
          <w:w w:val="115"/>
        </w:rPr>
        <w:t>década,</w:t>
      </w:r>
      <w:r>
        <w:rPr>
          <w:spacing w:val="-15"/>
          <w:w w:val="115"/>
        </w:rPr>
        <w:t> </w:t>
      </w:r>
      <w:r>
        <w:rPr>
          <w:w w:val="115"/>
        </w:rPr>
        <w:t>los</w:t>
      </w:r>
      <w:r>
        <w:rPr>
          <w:spacing w:val="-15"/>
          <w:w w:val="115"/>
        </w:rPr>
        <w:t> </w:t>
      </w:r>
      <w:r>
        <w:rPr>
          <w:w w:val="115"/>
        </w:rPr>
        <w:t>líderes</w:t>
      </w:r>
      <w:r>
        <w:rPr>
          <w:spacing w:val="-15"/>
          <w:w w:val="115"/>
        </w:rPr>
        <w:t> </w:t>
      </w:r>
      <w:r>
        <w:rPr>
          <w:w w:val="115"/>
        </w:rPr>
        <w:t>empresariales</w:t>
      </w:r>
      <w:r>
        <w:rPr>
          <w:spacing w:val="-15"/>
          <w:w w:val="115"/>
        </w:rPr>
        <w:t> </w:t>
      </w:r>
      <w:r>
        <w:rPr>
          <w:w w:val="115"/>
        </w:rPr>
        <w:t>de</w:t>
      </w:r>
      <w:r>
        <w:rPr>
          <w:spacing w:val="-15"/>
          <w:w w:val="115"/>
        </w:rPr>
        <w:t> </w:t>
      </w:r>
      <w:r>
        <w:rPr>
          <w:w w:val="115"/>
        </w:rPr>
        <w:t>todo</w:t>
      </w:r>
      <w:r>
        <w:rPr>
          <w:spacing w:val="-15"/>
          <w:w w:val="115"/>
        </w:rPr>
        <w:t> </w:t>
      </w:r>
      <w:r>
        <w:rPr>
          <w:w w:val="115"/>
        </w:rPr>
        <w:t>el</w:t>
      </w:r>
      <w:r>
        <w:rPr>
          <w:spacing w:val="-15"/>
          <w:w w:val="115"/>
        </w:rPr>
        <w:t> </w:t>
      </w:r>
      <w:r>
        <w:rPr>
          <w:w w:val="115"/>
        </w:rPr>
        <w:t>mundo</w:t>
      </w:r>
      <w:r>
        <w:rPr>
          <w:spacing w:val="-15"/>
          <w:w w:val="115"/>
        </w:rPr>
        <w:t> </w:t>
      </w:r>
      <w:r>
        <w:rPr>
          <w:w w:val="115"/>
        </w:rPr>
        <w:t>han</w:t>
      </w:r>
      <w:r>
        <w:rPr>
          <w:spacing w:val="-15"/>
          <w:w w:val="115"/>
        </w:rPr>
        <w:t> </w:t>
      </w:r>
      <w:r>
        <w:rPr>
          <w:w w:val="115"/>
        </w:rPr>
        <w:t>declara- do</w:t>
      </w:r>
      <w:r>
        <w:rPr>
          <w:spacing w:val="-6"/>
          <w:w w:val="115"/>
        </w:rPr>
        <w:t> </w:t>
      </w:r>
      <w:r>
        <w:rPr>
          <w:w w:val="115"/>
        </w:rPr>
        <w:t>que</w:t>
      </w:r>
      <w:r>
        <w:rPr>
          <w:spacing w:val="-6"/>
          <w:w w:val="115"/>
        </w:rPr>
        <w:t> </w:t>
      </w:r>
      <w:r>
        <w:rPr>
          <w:w w:val="115"/>
        </w:rPr>
        <w:t>China</w:t>
      </w:r>
      <w:r>
        <w:rPr>
          <w:spacing w:val="-6"/>
          <w:w w:val="115"/>
        </w:rPr>
        <w:t> </w:t>
      </w:r>
      <w:r>
        <w:rPr>
          <w:w w:val="115"/>
        </w:rPr>
        <w:t>ya</w:t>
      </w:r>
      <w:r>
        <w:rPr>
          <w:spacing w:val="-6"/>
          <w:w w:val="115"/>
        </w:rPr>
        <w:t> </w:t>
      </w:r>
      <w:r>
        <w:rPr>
          <w:w w:val="115"/>
        </w:rPr>
        <w:t>no</w:t>
      </w:r>
      <w:r>
        <w:rPr>
          <w:spacing w:val="-6"/>
          <w:w w:val="115"/>
        </w:rPr>
        <w:t> </w:t>
      </w:r>
      <w:r>
        <w:rPr>
          <w:w w:val="115"/>
        </w:rPr>
        <w:t>es</w:t>
      </w:r>
      <w:r>
        <w:rPr>
          <w:spacing w:val="-6"/>
          <w:w w:val="115"/>
        </w:rPr>
        <w:t> </w:t>
      </w:r>
      <w:r>
        <w:rPr>
          <w:w w:val="115"/>
        </w:rPr>
        <w:t>el</w:t>
      </w:r>
      <w:r>
        <w:rPr>
          <w:spacing w:val="-6"/>
          <w:w w:val="115"/>
        </w:rPr>
        <w:t> </w:t>
      </w:r>
      <w:r>
        <w:rPr>
          <w:w w:val="115"/>
        </w:rPr>
        <w:t>lugar</w:t>
      </w:r>
      <w:r>
        <w:rPr>
          <w:spacing w:val="-6"/>
          <w:w w:val="115"/>
        </w:rPr>
        <w:t> </w:t>
      </w:r>
      <w:r>
        <w:rPr>
          <w:w w:val="115"/>
        </w:rPr>
        <w:t>número</w:t>
      </w:r>
      <w:r>
        <w:rPr>
          <w:spacing w:val="-6"/>
          <w:w w:val="115"/>
        </w:rPr>
        <w:t> </w:t>
      </w:r>
      <w:r>
        <w:rPr>
          <w:w w:val="115"/>
        </w:rPr>
        <w:t>uno</w:t>
      </w:r>
      <w:r>
        <w:rPr>
          <w:spacing w:val="-6"/>
          <w:w w:val="115"/>
        </w:rPr>
        <w:t> </w:t>
      </w:r>
      <w:r>
        <w:rPr>
          <w:w w:val="115"/>
        </w:rPr>
        <w:t>del</w:t>
      </w:r>
      <w:r>
        <w:rPr>
          <w:spacing w:val="-6"/>
          <w:w w:val="115"/>
        </w:rPr>
        <w:t> </w:t>
      </w:r>
      <w:r>
        <w:rPr>
          <w:w w:val="115"/>
        </w:rPr>
        <w:t>mundo</w:t>
      </w:r>
      <w:r>
        <w:rPr>
          <w:spacing w:val="-6"/>
          <w:w w:val="115"/>
        </w:rPr>
        <w:t> </w:t>
      </w:r>
      <w:r>
        <w:rPr>
          <w:w w:val="115"/>
        </w:rPr>
        <w:t>para</w:t>
      </w:r>
      <w:r>
        <w:rPr>
          <w:spacing w:val="-6"/>
          <w:w w:val="115"/>
        </w:rPr>
        <w:t> </w:t>
      </w:r>
      <w:r>
        <w:rPr>
          <w:w w:val="115"/>
        </w:rPr>
        <w:t>invertir. Estados</w:t>
      </w:r>
      <w:r>
        <w:rPr>
          <w:spacing w:val="-12"/>
          <w:w w:val="115"/>
        </w:rPr>
        <w:t> </w:t>
      </w:r>
      <w:r>
        <w:rPr>
          <w:w w:val="115"/>
        </w:rPr>
        <w:t>unidos</w:t>
      </w:r>
      <w:r>
        <w:rPr>
          <w:spacing w:val="-12"/>
          <w:w w:val="115"/>
        </w:rPr>
        <w:t> </w:t>
      </w:r>
      <w:r>
        <w:rPr>
          <w:w w:val="115"/>
        </w:rPr>
        <w:t>lo</w:t>
      </w:r>
      <w:r>
        <w:rPr>
          <w:spacing w:val="-12"/>
          <w:w w:val="115"/>
        </w:rPr>
        <w:t> </w:t>
      </w:r>
      <w:r>
        <w:rPr>
          <w:w w:val="115"/>
        </w:rPr>
        <w:t>es.</w:t>
      </w:r>
      <w:r>
        <w:rPr>
          <w:spacing w:val="-12"/>
          <w:w w:val="115"/>
        </w:rPr>
        <w:t> </w:t>
      </w:r>
      <w:r>
        <w:rPr>
          <w:w w:val="115"/>
        </w:rPr>
        <w:t>Por</w:t>
      </w:r>
      <w:r>
        <w:rPr>
          <w:spacing w:val="-12"/>
          <w:w w:val="115"/>
        </w:rPr>
        <w:t> </w:t>
      </w:r>
      <w:r>
        <w:rPr>
          <w:w w:val="115"/>
        </w:rPr>
        <w:t>eso</w:t>
      </w:r>
      <w:r>
        <w:rPr>
          <w:spacing w:val="-12"/>
          <w:w w:val="115"/>
        </w:rPr>
        <w:t> </w:t>
      </w:r>
      <w:r>
        <w:rPr>
          <w:w w:val="115"/>
        </w:rPr>
        <w:t>creo</w:t>
      </w:r>
      <w:r>
        <w:rPr>
          <w:spacing w:val="-12"/>
          <w:w w:val="115"/>
        </w:rPr>
        <w:t> </w:t>
      </w:r>
      <w:r>
        <w:rPr>
          <w:w w:val="115"/>
        </w:rPr>
        <w:t>firmemente</w:t>
      </w:r>
      <w:r>
        <w:rPr>
          <w:spacing w:val="-12"/>
          <w:w w:val="115"/>
        </w:rPr>
        <w:t> </w:t>
      </w:r>
      <w:r>
        <w:rPr>
          <w:w w:val="115"/>
        </w:rPr>
        <w:t>que</w:t>
      </w:r>
      <w:r>
        <w:rPr>
          <w:spacing w:val="-12"/>
          <w:w w:val="115"/>
        </w:rPr>
        <w:t> </w:t>
      </w:r>
      <w:r>
        <w:rPr>
          <w:w w:val="115"/>
        </w:rPr>
        <w:t>este</w:t>
      </w:r>
      <w:r>
        <w:rPr>
          <w:spacing w:val="-12"/>
          <w:w w:val="115"/>
        </w:rPr>
        <w:t> </w:t>
      </w:r>
      <w:r>
        <w:rPr>
          <w:w w:val="115"/>
        </w:rPr>
        <w:t>puede</w:t>
      </w:r>
      <w:r>
        <w:rPr>
          <w:spacing w:val="-12"/>
          <w:w w:val="115"/>
        </w:rPr>
        <w:t> </w:t>
      </w:r>
      <w:r>
        <w:rPr>
          <w:w w:val="115"/>
        </w:rPr>
        <w:t>ser</w:t>
      </w:r>
      <w:r>
        <w:rPr>
          <w:spacing w:val="-12"/>
          <w:w w:val="115"/>
        </w:rPr>
        <w:t> </w:t>
      </w:r>
      <w:r>
        <w:rPr>
          <w:w w:val="115"/>
        </w:rPr>
        <w:t>un año decisivo para Estados unidos. después de cinco años de dificul- tades y determinación, Estados unidos se encuentra en una mejor posición para el siglo </w:t>
      </w:r>
      <w:r>
        <w:rPr>
          <w:w w:val="130"/>
        </w:rPr>
        <w:t>xxi </w:t>
      </w:r>
      <w:r>
        <w:rPr>
          <w:w w:val="115"/>
        </w:rPr>
        <w:t>que cualquier otra nación en la tierra”  (obama,</w:t>
      </w:r>
      <w:r>
        <w:rPr>
          <w:spacing w:val="-14"/>
          <w:w w:val="115"/>
        </w:rPr>
        <w:t> </w:t>
      </w:r>
      <w:r>
        <w:rPr>
          <w:w w:val="115"/>
        </w:rPr>
        <w:t>2015).</w:t>
      </w:r>
    </w:p>
    <w:p>
      <w:pPr>
        <w:pStyle w:val="BodyText"/>
        <w:spacing w:line="252" w:lineRule="auto"/>
        <w:ind w:left="330" w:right="117" w:firstLine="396"/>
        <w:jc w:val="both"/>
      </w:pPr>
      <w:r>
        <w:rPr>
          <w:w w:val="110"/>
        </w:rPr>
        <w:t>supuestamente superados los mayores desafíos planteados por la </w:t>
      </w:r>
      <w:r>
        <w:rPr>
          <w:w w:val="115"/>
        </w:rPr>
        <w:t>crisis</w:t>
      </w:r>
      <w:r>
        <w:rPr>
          <w:spacing w:val="-25"/>
          <w:w w:val="115"/>
        </w:rPr>
        <w:t> </w:t>
      </w:r>
      <w:r>
        <w:rPr>
          <w:w w:val="115"/>
        </w:rPr>
        <w:t>económica,</w:t>
      </w:r>
      <w:r>
        <w:rPr>
          <w:spacing w:val="-25"/>
          <w:w w:val="115"/>
        </w:rPr>
        <w:t> </w:t>
      </w:r>
      <w:r>
        <w:rPr>
          <w:w w:val="115"/>
        </w:rPr>
        <w:t>dotados</w:t>
      </w:r>
      <w:r>
        <w:rPr>
          <w:spacing w:val="-25"/>
          <w:w w:val="115"/>
        </w:rPr>
        <w:t> </w:t>
      </w:r>
      <w:r>
        <w:rPr>
          <w:w w:val="115"/>
        </w:rPr>
        <w:t>de</w:t>
      </w:r>
      <w:r>
        <w:rPr>
          <w:spacing w:val="-25"/>
          <w:w w:val="115"/>
        </w:rPr>
        <w:t> </w:t>
      </w:r>
      <w:r>
        <w:rPr>
          <w:w w:val="115"/>
        </w:rPr>
        <w:t>una</w:t>
      </w:r>
      <w:r>
        <w:rPr>
          <w:spacing w:val="-25"/>
          <w:w w:val="115"/>
        </w:rPr>
        <w:t> </w:t>
      </w:r>
      <w:r>
        <w:rPr>
          <w:w w:val="115"/>
        </w:rPr>
        <w:t>política</w:t>
      </w:r>
      <w:r>
        <w:rPr>
          <w:spacing w:val="-25"/>
          <w:w w:val="115"/>
        </w:rPr>
        <w:t> </w:t>
      </w:r>
      <w:r>
        <w:rPr>
          <w:w w:val="115"/>
        </w:rPr>
        <w:t>flexible,</w:t>
      </w:r>
      <w:r>
        <w:rPr>
          <w:spacing w:val="-25"/>
          <w:w w:val="115"/>
        </w:rPr>
        <w:t> </w:t>
      </w:r>
      <w:r>
        <w:rPr>
          <w:w w:val="115"/>
        </w:rPr>
        <w:t>seguramente</w:t>
      </w:r>
      <w:r>
        <w:rPr>
          <w:spacing w:val="-25"/>
          <w:w w:val="115"/>
        </w:rPr>
        <w:t> </w:t>
      </w:r>
      <w:r>
        <w:rPr>
          <w:w w:val="115"/>
        </w:rPr>
        <w:t>no</w:t>
      </w:r>
      <w:r>
        <w:rPr>
          <w:spacing w:val="-25"/>
          <w:w w:val="115"/>
        </w:rPr>
        <w:t> </w:t>
      </w:r>
      <w:r>
        <w:rPr>
          <w:w w:val="115"/>
        </w:rPr>
        <w:t>es- catimarán</w:t>
      </w:r>
      <w:r>
        <w:rPr>
          <w:spacing w:val="-32"/>
          <w:w w:val="115"/>
        </w:rPr>
        <w:t> </w:t>
      </w:r>
      <w:r>
        <w:rPr>
          <w:w w:val="115"/>
        </w:rPr>
        <w:t>esfuerzos</w:t>
      </w:r>
      <w:r>
        <w:rPr>
          <w:spacing w:val="-32"/>
          <w:w w:val="115"/>
        </w:rPr>
        <w:t> </w:t>
      </w:r>
      <w:r>
        <w:rPr>
          <w:w w:val="115"/>
        </w:rPr>
        <w:t>para</w:t>
      </w:r>
      <w:r>
        <w:rPr>
          <w:spacing w:val="-32"/>
          <w:w w:val="115"/>
        </w:rPr>
        <w:t> </w:t>
      </w:r>
      <w:r>
        <w:rPr>
          <w:w w:val="115"/>
        </w:rPr>
        <w:t>aliarse</w:t>
      </w:r>
      <w:r>
        <w:rPr>
          <w:spacing w:val="-32"/>
          <w:w w:val="115"/>
        </w:rPr>
        <w:t> </w:t>
      </w:r>
      <w:r>
        <w:rPr>
          <w:w w:val="115"/>
        </w:rPr>
        <w:t>incluso</w:t>
      </w:r>
      <w:r>
        <w:rPr>
          <w:spacing w:val="-32"/>
          <w:w w:val="115"/>
        </w:rPr>
        <w:t> </w:t>
      </w:r>
      <w:r>
        <w:rPr>
          <w:w w:val="115"/>
        </w:rPr>
        <w:t>con</w:t>
      </w:r>
      <w:r>
        <w:rPr>
          <w:spacing w:val="-32"/>
          <w:w w:val="115"/>
        </w:rPr>
        <w:t> </w:t>
      </w:r>
      <w:r>
        <w:rPr>
          <w:w w:val="115"/>
        </w:rPr>
        <w:t>antiguos</w:t>
      </w:r>
      <w:r>
        <w:rPr>
          <w:spacing w:val="-32"/>
          <w:w w:val="115"/>
        </w:rPr>
        <w:t> </w:t>
      </w:r>
      <w:r>
        <w:rPr>
          <w:w w:val="115"/>
        </w:rPr>
        <w:t>enemigos</w:t>
      </w:r>
      <w:r>
        <w:rPr>
          <w:spacing w:val="-32"/>
          <w:w w:val="115"/>
        </w:rPr>
        <w:t> </w:t>
      </w:r>
      <w:r>
        <w:rPr>
          <w:w w:val="115"/>
        </w:rPr>
        <w:t>cuan- </w:t>
      </w:r>
      <w:r>
        <w:rPr>
          <w:w w:val="109"/>
        </w:rPr>
        <w:t>do</w:t>
      </w:r>
      <w:r>
        <w:rPr>
          <w:spacing w:val="16"/>
        </w:rPr>
        <w:t> </w:t>
      </w:r>
      <w:r>
        <w:rPr>
          <w:w w:val="108"/>
        </w:rPr>
        <w:t>ello</w:t>
      </w:r>
      <w:r>
        <w:rPr>
          <w:spacing w:val="16"/>
        </w:rPr>
        <w:t> </w:t>
      </w:r>
      <w:r>
        <w:rPr>
          <w:w w:val="107"/>
        </w:rPr>
        <w:t>sea</w:t>
      </w:r>
      <w:r>
        <w:rPr>
          <w:spacing w:val="16"/>
        </w:rPr>
        <w:t> </w:t>
      </w:r>
      <w:r>
        <w:rPr>
          <w:w w:val="110"/>
        </w:rPr>
        <w:t>necesario.</w:t>
      </w:r>
      <w:r>
        <w:rPr>
          <w:spacing w:val="16"/>
        </w:rPr>
        <w:t> </w:t>
      </w:r>
      <w:r>
        <w:rPr>
          <w:w w:val="243"/>
        </w:rPr>
        <w:t>l</w:t>
      </w:r>
      <w:r>
        <w:rPr>
          <w:w w:val="112"/>
        </w:rPr>
        <w:t>a</w:t>
      </w:r>
      <w:r>
        <w:rPr>
          <w:spacing w:val="16"/>
        </w:rPr>
        <w:t> </w:t>
      </w:r>
      <w:r>
        <w:rPr>
          <w:w w:val="108"/>
        </w:rPr>
        <w:t>guerra</w:t>
      </w:r>
      <w:r>
        <w:rPr>
          <w:spacing w:val="16"/>
        </w:rPr>
        <w:t> </w:t>
      </w:r>
      <w:r>
        <w:rPr>
          <w:w w:val="110"/>
        </w:rPr>
        <w:t>civil</w:t>
      </w:r>
      <w:r>
        <w:rPr>
          <w:spacing w:val="16"/>
        </w:rPr>
        <w:t> </w:t>
      </w:r>
      <w:r>
        <w:rPr>
          <w:w w:val="107"/>
        </w:rPr>
        <w:t>de</w:t>
      </w:r>
      <w:r>
        <w:rPr>
          <w:spacing w:val="16"/>
        </w:rPr>
        <w:t> </w:t>
      </w:r>
      <w:r>
        <w:rPr>
          <w:w w:val="149"/>
        </w:rPr>
        <w:t>s</w:t>
      </w:r>
      <w:r>
        <w:rPr>
          <w:w w:val="111"/>
        </w:rPr>
        <w:t>iria</w:t>
      </w:r>
      <w:r>
        <w:rPr>
          <w:spacing w:val="16"/>
        </w:rPr>
        <w:t> </w:t>
      </w:r>
      <w:r>
        <w:rPr>
          <w:w w:val="111"/>
        </w:rPr>
        <w:t>funge</w:t>
      </w:r>
      <w:r>
        <w:rPr>
          <w:spacing w:val="16"/>
        </w:rPr>
        <w:t> </w:t>
      </w:r>
      <w:r>
        <w:rPr>
          <w:w w:val="112"/>
        </w:rPr>
        <w:t>como</w:t>
      </w:r>
      <w:r>
        <w:rPr>
          <w:spacing w:val="16"/>
        </w:rPr>
        <w:t> </w:t>
      </w:r>
      <w:r>
        <w:rPr>
          <w:w w:val="109"/>
        </w:rPr>
        <w:t>laboratorio </w:t>
      </w:r>
      <w:r>
        <w:rPr>
          <w:w w:val="115"/>
        </w:rPr>
        <w:t>en</w:t>
      </w:r>
      <w:r>
        <w:rPr>
          <w:spacing w:val="-6"/>
          <w:w w:val="115"/>
        </w:rPr>
        <w:t> </w:t>
      </w:r>
      <w:r>
        <w:rPr>
          <w:w w:val="115"/>
        </w:rPr>
        <w:t>esa</w:t>
      </w:r>
      <w:r>
        <w:rPr>
          <w:spacing w:val="-6"/>
          <w:w w:val="115"/>
        </w:rPr>
        <w:t> </w:t>
      </w:r>
      <w:r>
        <w:rPr>
          <w:w w:val="115"/>
        </w:rPr>
        <w:t>materia,</w:t>
      </w:r>
      <w:r>
        <w:rPr>
          <w:spacing w:val="-6"/>
          <w:w w:val="115"/>
        </w:rPr>
        <w:t> </w:t>
      </w:r>
      <w:r>
        <w:rPr>
          <w:w w:val="115"/>
        </w:rPr>
        <w:t>por</w:t>
      </w:r>
      <w:r>
        <w:rPr>
          <w:spacing w:val="-6"/>
          <w:w w:val="115"/>
        </w:rPr>
        <w:t> </w:t>
      </w:r>
      <w:r>
        <w:rPr>
          <w:w w:val="115"/>
        </w:rPr>
        <w:t>los</w:t>
      </w:r>
      <w:r>
        <w:rPr>
          <w:spacing w:val="-6"/>
          <w:w w:val="115"/>
        </w:rPr>
        <w:t> </w:t>
      </w:r>
      <w:r>
        <w:rPr>
          <w:w w:val="115"/>
        </w:rPr>
        <w:t>acercamientos</w:t>
      </w:r>
      <w:r>
        <w:rPr>
          <w:spacing w:val="-6"/>
          <w:w w:val="115"/>
        </w:rPr>
        <w:t> </w:t>
      </w:r>
      <w:r>
        <w:rPr>
          <w:w w:val="115"/>
        </w:rPr>
        <w:t>que</w:t>
      </w:r>
      <w:r>
        <w:rPr>
          <w:spacing w:val="-6"/>
          <w:w w:val="115"/>
        </w:rPr>
        <w:t> </w:t>
      </w:r>
      <w:r>
        <w:rPr>
          <w:w w:val="115"/>
        </w:rPr>
        <w:t>ha</w:t>
      </w:r>
      <w:r>
        <w:rPr>
          <w:spacing w:val="-6"/>
          <w:w w:val="115"/>
        </w:rPr>
        <w:t> </w:t>
      </w:r>
      <w:r>
        <w:rPr>
          <w:w w:val="115"/>
        </w:rPr>
        <w:t>habido</w:t>
      </w:r>
      <w:r>
        <w:rPr>
          <w:spacing w:val="-6"/>
          <w:w w:val="115"/>
        </w:rPr>
        <w:t> </w:t>
      </w:r>
      <w:r>
        <w:rPr>
          <w:w w:val="115"/>
        </w:rPr>
        <w:t>con</w:t>
      </w:r>
      <w:r>
        <w:rPr>
          <w:spacing w:val="-6"/>
          <w:w w:val="115"/>
        </w:rPr>
        <w:t> </w:t>
      </w:r>
      <w:r>
        <w:rPr>
          <w:w w:val="115"/>
        </w:rPr>
        <w:t>rusia.</w:t>
      </w:r>
      <w:r>
        <w:rPr>
          <w:spacing w:val="-6"/>
          <w:w w:val="115"/>
        </w:rPr>
        <w:t> </w:t>
      </w:r>
      <w:r>
        <w:rPr>
          <w:w w:val="115"/>
        </w:rPr>
        <w:t>Pero al</w:t>
      </w:r>
      <w:r>
        <w:rPr>
          <w:spacing w:val="-22"/>
          <w:w w:val="115"/>
        </w:rPr>
        <w:t> </w:t>
      </w:r>
      <w:r>
        <w:rPr>
          <w:w w:val="115"/>
        </w:rPr>
        <w:t>mismo</w:t>
      </w:r>
      <w:r>
        <w:rPr>
          <w:spacing w:val="-22"/>
          <w:w w:val="115"/>
        </w:rPr>
        <w:t> </w:t>
      </w:r>
      <w:r>
        <w:rPr>
          <w:w w:val="115"/>
        </w:rPr>
        <w:t>tiempo</w:t>
      </w:r>
      <w:r>
        <w:rPr>
          <w:spacing w:val="-22"/>
          <w:w w:val="115"/>
        </w:rPr>
        <w:t> </w:t>
      </w:r>
      <w:r>
        <w:rPr>
          <w:w w:val="115"/>
        </w:rPr>
        <w:t>con</w:t>
      </w:r>
      <w:r>
        <w:rPr>
          <w:spacing w:val="-22"/>
          <w:w w:val="115"/>
        </w:rPr>
        <w:t> </w:t>
      </w:r>
      <w:r>
        <w:rPr>
          <w:w w:val="115"/>
        </w:rPr>
        <w:t>China,</w:t>
      </w:r>
      <w:r>
        <w:rPr>
          <w:spacing w:val="-22"/>
          <w:w w:val="115"/>
        </w:rPr>
        <w:t> </w:t>
      </w:r>
      <w:r>
        <w:rPr>
          <w:w w:val="115"/>
        </w:rPr>
        <w:t>que</w:t>
      </w:r>
      <w:r>
        <w:rPr>
          <w:spacing w:val="-22"/>
          <w:w w:val="115"/>
        </w:rPr>
        <w:t> </w:t>
      </w:r>
      <w:r>
        <w:rPr>
          <w:w w:val="115"/>
        </w:rPr>
        <w:t>le</w:t>
      </w:r>
      <w:r>
        <w:rPr>
          <w:spacing w:val="-22"/>
          <w:w w:val="115"/>
        </w:rPr>
        <w:t> </w:t>
      </w:r>
      <w:r>
        <w:rPr>
          <w:w w:val="115"/>
        </w:rPr>
        <w:t>lanzó</w:t>
      </w:r>
      <w:r>
        <w:rPr>
          <w:spacing w:val="-22"/>
          <w:w w:val="115"/>
        </w:rPr>
        <w:t> </w:t>
      </w:r>
      <w:r>
        <w:rPr>
          <w:w w:val="115"/>
        </w:rPr>
        <w:t>salvavidas</w:t>
      </w:r>
      <w:r>
        <w:rPr>
          <w:spacing w:val="-22"/>
          <w:w w:val="115"/>
        </w:rPr>
        <w:t> </w:t>
      </w:r>
      <w:r>
        <w:rPr>
          <w:w w:val="115"/>
        </w:rPr>
        <w:t>en</w:t>
      </w:r>
      <w:r>
        <w:rPr>
          <w:spacing w:val="-22"/>
          <w:w w:val="115"/>
        </w:rPr>
        <w:t> </w:t>
      </w:r>
      <w:r>
        <w:rPr>
          <w:w w:val="115"/>
        </w:rPr>
        <w:t>medio</w:t>
      </w:r>
      <w:r>
        <w:rPr>
          <w:spacing w:val="-22"/>
          <w:w w:val="115"/>
        </w:rPr>
        <w:t> </w:t>
      </w:r>
      <w:r>
        <w:rPr>
          <w:w w:val="115"/>
        </w:rPr>
        <w:t>de</w:t>
      </w:r>
      <w:r>
        <w:rPr>
          <w:spacing w:val="-22"/>
          <w:w w:val="115"/>
        </w:rPr>
        <w:t> </w:t>
      </w:r>
      <w:r>
        <w:rPr>
          <w:w w:val="115"/>
        </w:rPr>
        <w:t>la</w:t>
      </w:r>
      <w:r>
        <w:rPr>
          <w:spacing w:val="-22"/>
          <w:w w:val="115"/>
        </w:rPr>
        <w:t> </w:t>
      </w:r>
      <w:r>
        <w:rPr>
          <w:w w:val="115"/>
        </w:rPr>
        <w:t>cri- sis</w:t>
      </w:r>
      <w:r>
        <w:rPr>
          <w:spacing w:val="-9"/>
          <w:w w:val="115"/>
        </w:rPr>
        <w:t> </w:t>
      </w:r>
      <w:r>
        <w:rPr>
          <w:w w:val="115"/>
        </w:rPr>
        <w:t>financiera</w:t>
      </w:r>
      <w:r>
        <w:rPr>
          <w:spacing w:val="-9"/>
          <w:w w:val="115"/>
        </w:rPr>
        <w:t> </w:t>
      </w:r>
      <w:r>
        <w:rPr>
          <w:w w:val="115"/>
        </w:rPr>
        <w:t>comprando</w:t>
      </w:r>
      <w:r>
        <w:rPr>
          <w:spacing w:val="-9"/>
          <w:w w:val="115"/>
        </w:rPr>
        <w:t> </w:t>
      </w:r>
      <w:r>
        <w:rPr>
          <w:w w:val="115"/>
        </w:rPr>
        <w:t>papeles</w:t>
      </w:r>
      <w:r>
        <w:rPr>
          <w:spacing w:val="-9"/>
          <w:w w:val="115"/>
        </w:rPr>
        <w:t> </w:t>
      </w:r>
      <w:r>
        <w:rPr>
          <w:w w:val="115"/>
        </w:rPr>
        <w:t>de</w:t>
      </w:r>
      <w:r>
        <w:rPr>
          <w:spacing w:val="-9"/>
          <w:w w:val="115"/>
        </w:rPr>
        <w:t> </w:t>
      </w:r>
      <w:r>
        <w:rPr>
          <w:w w:val="115"/>
        </w:rPr>
        <w:t>deuda,</w:t>
      </w:r>
      <w:r>
        <w:rPr>
          <w:spacing w:val="-9"/>
          <w:w w:val="115"/>
        </w:rPr>
        <w:t> </w:t>
      </w:r>
      <w:r>
        <w:rPr>
          <w:w w:val="115"/>
        </w:rPr>
        <w:t>tiene</w:t>
      </w:r>
      <w:r>
        <w:rPr>
          <w:spacing w:val="-9"/>
          <w:w w:val="115"/>
        </w:rPr>
        <w:t> </w:t>
      </w:r>
      <w:r>
        <w:rPr>
          <w:w w:val="115"/>
        </w:rPr>
        <w:t>en</w:t>
      </w:r>
      <w:r>
        <w:rPr>
          <w:spacing w:val="-9"/>
          <w:w w:val="115"/>
        </w:rPr>
        <w:t> </w:t>
      </w:r>
      <w:r>
        <w:rPr>
          <w:w w:val="115"/>
        </w:rPr>
        <w:t>la</w:t>
      </w:r>
      <w:r>
        <w:rPr>
          <w:spacing w:val="-9"/>
          <w:w w:val="115"/>
        </w:rPr>
        <w:t> </w:t>
      </w:r>
      <w:r>
        <w:rPr>
          <w:w w:val="115"/>
        </w:rPr>
        <w:t>economía</w:t>
      </w:r>
      <w:r>
        <w:rPr>
          <w:spacing w:val="-9"/>
          <w:w w:val="115"/>
        </w:rPr>
        <w:t> </w:t>
      </w:r>
      <w:r>
        <w:rPr>
          <w:w w:val="115"/>
        </w:rPr>
        <w:t>un campo de tensiones </w:t>
      </w:r>
      <w:r>
        <w:rPr>
          <w:spacing w:val="-11"/>
          <w:w w:val="115"/>
        </w:rPr>
        <w:t>y, </w:t>
      </w:r>
      <w:r>
        <w:rPr>
          <w:w w:val="115"/>
        </w:rPr>
        <w:t>en lo </w:t>
      </w:r>
      <w:r>
        <w:rPr>
          <w:spacing w:val="-3"/>
          <w:w w:val="115"/>
        </w:rPr>
        <w:t>militar, </w:t>
      </w:r>
      <w:r>
        <w:rPr>
          <w:w w:val="115"/>
        </w:rPr>
        <w:t>un desafío regional que está</w:t>
      </w:r>
      <w:r>
        <w:rPr>
          <w:spacing w:val="-27"/>
          <w:w w:val="115"/>
        </w:rPr>
        <w:t> </w:t>
      </w:r>
      <w:r>
        <w:rPr>
          <w:w w:val="115"/>
        </w:rPr>
        <w:t>dis- puesto</w:t>
      </w:r>
      <w:r>
        <w:rPr>
          <w:spacing w:val="-18"/>
          <w:w w:val="115"/>
        </w:rPr>
        <w:t> </w:t>
      </w:r>
      <w:r>
        <w:rPr>
          <w:w w:val="115"/>
        </w:rPr>
        <w:t>a</w:t>
      </w:r>
      <w:r>
        <w:rPr>
          <w:spacing w:val="-18"/>
          <w:w w:val="115"/>
        </w:rPr>
        <w:t> </w:t>
      </w:r>
      <w:r>
        <w:rPr>
          <w:spacing w:val="-3"/>
          <w:w w:val="115"/>
        </w:rPr>
        <w:t>afrontar.</w:t>
      </w:r>
      <w:r>
        <w:rPr>
          <w:spacing w:val="-18"/>
          <w:w w:val="115"/>
        </w:rPr>
        <w:t> </w:t>
      </w:r>
      <w:r>
        <w:rPr>
          <w:w w:val="115"/>
        </w:rPr>
        <w:t>EE.uu.</w:t>
      </w:r>
      <w:r>
        <w:rPr>
          <w:spacing w:val="-18"/>
          <w:w w:val="115"/>
        </w:rPr>
        <w:t> </w:t>
      </w:r>
      <w:r>
        <w:rPr>
          <w:w w:val="115"/>
        </w:rPr>
        <w:t>es</w:t>
      </w:r>
      <w:r>
        <w:rPr>
          <w:spacing w:val="-18"/>
          <w:w w:val="115"/>
        </w:rPr>
        <w:t> </w:t>
      </w:r>
      <w:r>
        <w:rPr>
          <w:w w:val="115"/>
        </w:rPr>
        <w:t>altamente</w:t>
      </w:r>
      <w:r>
        <w:rPr>
          <w:spacing w:val="-18"/>
          <w:w w:val="115"/>
        </w:rPr>
        <w:t> </w:t>
      </w:r>
      <w:r>
        <w:rPr>
          <w:w w:val="115"/>
        </w:rPr>
        <w:t>dependiente</w:t>
      </w:r>
      <w:r>
        <w:rPr>
          <w:spacing w:val="-18"/>
          <w:w w:val="115"/>
        </w:rPr>
        <w:t> </w:t>
      </w:r>
      <w:r>
        <w:rPr>
          <w:w w:val="115"/>
        </w:rPr>
        <w:t>de</w:t>
      </w:r>
      <w:r>
        <w:rPr>
          <w:spacing w:val="-18"/>
          <w:w w:val="115"/>
        </w:rPr>
        <w:t> </w:t>
      </w:r>
      <w:r>
        <w:rPr>
          <w:w w:val="115"/>
        </w:rPr>
        <w:t>la</w:t>
      </w:r>
      <w:r>
        <w:rPr>
          <w:spacing w:val="-18"/>
          <w:w w:val="115"/>
        </w:rPr>
        <w:t> </w:t>
      </w:r>
      <w:r>
        <w:rPr>
          <w:w w:val="115"/>
        </w:rPr>
        <w:t>importación de</w:t>
      </w:r>
      <w:r>
        <w:rPr>
          <w:spacing w:val="-27"/>
          <w:w w:val="115"/>
        </w:rPr>
        <w:t> </w:t>
      </w:r>
      <w:r>
        <w:rPr>
          <w:w w:val="115"/>
        </w:rPr>
        <w:t>minerales</w:t>
      </w:r>
      <w:r>
        <w:rPr>
          <w:spacing w:val="-27"/>
          <w:w w:val="115"/>
        </w:rPr>
        <w:t> </w:t>
      </w:r>
      <w:r>
        <w:rPr>
          <w:w w:val="115"/>
        </w:rPr>
        <w:t>no</w:t>
      </w:r>
      <w:r>
        <w:rPr>
          <w:spacing w:val="-27"/>
          <w:w w:val="115"/>
        </w:rPr>
        <w:t> </w:t>
      </w:r>
      <w:r>
        <w:rPr>
          <w:w w:val="115"/>
        </w:rPr>
        <w:t>combustibles</w:t>
      </w:r>
      <w:r>
        <w:rPr>
          <w:spacing w:val="-27"/>
          <w:w w:val="115"/>
        </w:rPr>
        <w:t> </w:t>
      </w:r>
      <w:r>
        <w:rPr>
          <w:w w:val="115"/>
        </w:rPr>
        <w:t>indispensables</w:t>
      </w:r>
      <w:r>
        <w:rPr>
          <w:spacing w:val="-27"/>
          <w:w w:val="115"/>
        </w:rPr>
        <w:t> </w:t>
      </w:r>
      <w:r>
        <w:rPr>
          <w:w w:val="115"/>
        </w:rPr>
        <w:t>para</w:t>
      </w:r>
      <w:r>
        <w:rPr>
          <w:spacing w:val="-27"/>
          <w:w w:val="115"/>
        </w:rPr>
        <w:t> </w:t>
      </w:r>
      <w:r>
        <w:rPr>
          <w:w w:val="115"/>
        </w:rPr>
        <w:t>el</w:t>
      </w:r>
      <w:r>
        <w:rPr>
          <w:spacing w:val="-27"/>
          <w:w w:val="115"/>
        </w:rPr>
        <w:t> </w:t>
      </w:r>
      <w:r>
        <w:rPr>
          <w:w w:val="115"/>
        </w:rPr>
        <w:t>funcionamiento de</w:t>
      </w:r>
      <w:r>
        <w:rPr>
          <w:spacing w:val="-4"/>
          <w:w w:val="115"/>
        </w:rPr>
        <w:t> </w:t>
      </w:r>
      <w:r>
        <w:rPr>
          <w:w w:val="115"/>
        </w:rPr>
        <w:t>su</w:t>
      </w:r>
      <w:r>
        <w:rPr>
          <w:spacing w:val="-4"/>
          <w:w w:val="115"/>
        </w:rPr>
        <w:t> </w:t>
      </w:r>
      <w:r>
        <w:rPr>
          <w:w w:val="115"/>
        </w:rPr>
        <w:t>economía</w:t>
      </w:r>
      <w:r>
        <w:rPr>
          <w:spacing w:val="-4"/>
          <w:w w:val="115"/>
        </w:rPr>
        <w:t> </w:t>
      </w:r>
      <w:r>
        <w:rPr>
          <w:w w:val="115"/>
        </w:rPr>
        <w:t>y</w:t>
      </w:r>
      <w:r>
        <w:rPr>
          <w:spacing w:val="-4"/>
          <w:w w:val="115"/>
        </w:rPr>
        <w:t> </w:t>
      </w:r>
      <w:r>
        <w:rPr>
          <w:w w:val="115"/>
        </w:rPr>
        <w:t>una</w:t>
      </w:r>
      <w:r>
        <w:rPr>
          <w:spacing w:val="-4"/>
          <w:w w:val="115"/>
        </w:rPr>
        <w:t> </w:t>
      </w:r>
      <w:r>
        <w:rPr>
          <w:w w:val="115"/>
        </w:rPr>
        <w:t>muy</w:t>
      </w:r>
      <w:r>
        <w:rPr>
          <w:spacing w:val="-4"/>
          <w:w w:val="115"/>
        </w:rPr>
        <w:t> </w:t>
      </w:r>
      <w:r>
        <w:rPr>
          <w:w w:val="115"/>
        </w:rPr>
        <w:t>alta</w:t>
      </w:r>
      <w:r>
        <w:rPr>
          <w:spacing w:val="-4"/>
          <w:w w:val="115"/>
        </w:rPr>
        <w:t> </w:t>
      </w:r>
      <w:r>
        <w:rPr>
          <w:w w:val="115"/>
        </w:rPr>
        <w:t>proporción</w:t>
      </w:r>
      <w:r>
        <w:rPr>
          <w:spacing w:val="-4"/>
          <w:w w:val="115"/>
        </w:rPr>
        <w:t> </w:t>
      </w:r>
      <w:r>
        <w:rPr>
          <w:w w:val="115"/>
        </w:rPr>
        <w:t>de</w:t>
      </w:r>
      <w:r>
        <w:rPr>
          <w:spacing w:val="-4"/>
          <w:w w:val="115"/>
        </w:rPr>
        <w:t> </w:t>
      </w:r>
      <w:r>
        <w:rPr>
          <w:w w:val="115"/>
        </w:rPr>
        <w:t>éstos</w:t>
      </w:r>
      <w:r>
        <w:rPr>
          <w:spacing w:val="-4"/>
          <w:w w:val="115"/>
        </w:rPr>
        <w:t> </w:t>
      </w:r>
      <w:r>
        <w:rPr>
          <w:w w:val="115"/>
        </w:rPr>
        <w:t>son</w:t>
      </w:r>
      <w:r>
        <w:rPr>
          <w:spacing w:val="-4"/>
          <w:w w:val="115"/>
        </w:rPr>
        <w:t> </w:t>
      </w:r>
      <w:r>
        <w:rPr>
          <w:w w:val="115"/>
        </w:rPr>
        <w:t>importados </w:t>
      </w:r>
      <w:r>
        <w:rPr>
          <w:w w:val="107"/>
        </w:rPr>
        <w:t>de</w:t>
      </w:r>
      <w:r>
        <w:rPr/>
        <w:t> </w:t>
      </w:r>
      <w:r>
        <w:rPr>
          <w:spacing w:val="-15"/>
        </w:rPr>
        <w:t> </w:t>
      </w:r>
      <w:r>
        <w:rPr>
          <w:w w:val="115"/>
        </w:rPr>
        <w:t>China</w:t>
      </w:r>
      <w:r>
        <w:rPr/>
        <w:t> </w:t>
      </w:r>
      <w:r>
        <w:rPr>
          <w:spacing w:val="-15"/>
        </w:rPr>
        <w:t> </w:t>
      </w:r>
      <w:r>
        <w:rPr>
          <w:w w:val="105"/>
        </w:rPr>
        <w:t>y</w:t>
      </w:r>
      <w:r>
        <w:rPr/>
        <w:t> </w:t>
      </w:r>
      <w:r>
        <w:rPr>
          <w:spacing w:val="-15"/>
        </w:rPr>
        <w:t> </w:t>
      </w:r>
      <w:r>
        <w:rPr>
          <w:w w:val="108"/>
        </w:rPr>
        <w:t>en</w:t>
      </w:r>
      <w:r>
        <w:rPr/>
        <w:t> </w:t>
      </w:r>
      <w:r>
        <w:rPr>
          <w:spacing w:val="-15"/>
        </w:rPr>
        <w:t> </w:t>
      </w:r>
      <w:r>
        <w:rPr>
          <w:w w:val="109"/>
        </w:rPr>
        <w:t>menor</w:t>
      </w:r>
      <w:r>
        <w:rPr/>
        <w:t> </w:t>
      </w:r>
      <w:r>
        <w:rPr>
          <w:spacing w:val="-15"/>
        </w:rPr>
        <w:t> </w:t>
      </w:r>
      <w:r>
        <w:rPr>
          <w:w w:val="110"/>
        </w:rPr>
        <w:t>medida</w:t>
      </w:r>
      <w:r>
        <w:rPr/>
        <w:t> </w:t>
      </w:r>
      <w:r>
        <w:rPr>
          <w:spacing w:val="-15"/>
        </w:rPr>
        <w:t> </w:t>
      </w:r>
      <w:r>
        <w:rPr>
          <w:w w:val="107"/>
        </w:rPr>
        <w:t>de</w:t>
      </w:r>
      <w:r>
        <w:rPr/>
        <w:t> </w:t>
      </w:r>
      <w:r>
        <w:rPr>
          <w:spacing w:val="-15"/>
        </w:rPr>
        <w:t> </w:t>
      </w:r>
      <w:r>
        <w:rPr>
          <w:w w:val="139"/>
        </w:rPr>
        <w:t>a</w:t>
      </w:r>
      <w:r>
        <w:rPr>
          <w:w w:val="111"/>
        </w:rPr>
        <w:t>mérica</w:t>
      </w:r>
      <w:r>
        <w:rPr/>
        <w:t> </w:t>
      </w:r>
      <w:r>
        <w:rPr>
          <w:spacing w:val="-15"/>
        </w:rPr>
        <w:t> </w:t>
      </w:r>
      <w:r>
        <w:rPr>
          <w:w w:val="243"/>
        </w:rPr>
        <w:t>l</w:t>
      </w:r>
      <w:r>
        <w:rPr>
          <w:w w:val="111"/>
        </w:rPr>
        <w:t>atina</w:t>
      </w:r>
      <w:r>
        <w:rPr/>
        <w:t> </w:t>
      </w:r>
      <w:r>
        <w:rPr>
          <w:spacing w:val="-15"/>
        </w:rPr>
        <w:t> </w:t>
      </w:r>
      <w:r>
        <w:rPr>
          <w:w w:val="98"/>
        </w:rPr>
        <w:t>(</w:t>
      </w:r>
      <w:r>
        <w:rPr>
          <w:w w:val="134"/>
        </w:rPr>
        <w:t>b</w:t>
      </w:r>
      <w:r>
        <w:rPr>
          <w:w w:val="112"/>
        </w:rPr>
        <w:t>ruckmann,</w:t>
      </w:r>
      <w:r>
        <w:rPr/>
        <w:t> </w:t>
      </w:r>
      <w:r>
        <w:rPr>
          <w:spacing w:val="-15"/>
        </w:rPr>
        <w:t> </w:t>
      </w:r>
      <w:r>
        <w:rPr>
          <w:w w:val="103"/>
        </w:rPr>
        <w:t>2015: </w:t>
      </w:r>
      <w:r>
        <w:rPr>
          <w:w w:val="115"/>
        </w:rPr>
        <w:t>62).</w:t>
      </w:r>
      <w:r>
        <w:rPr>
          <w:spacing w:val="-24"/>
          <w:w w:val="115"/>
        </w:rPr>
        <w:t> </w:t>
      </w:r>
      <w:r>
        <w:rPr>
          <w:w w:val="115"/>
        </w:rPr>
        <w:t>dependencia</w:t>
      </w:r>
      <w:r>
        <w:rPr>
          <w:spacing w:val="-24"/>
          <w:w w:val="115"/>
        </w:rPr>
        <w:t> </w:t>
      </w:r>
      <w:r>
        <w:rPr>
          <w:w w:val="115"/>
        </w:rPr>
        <w:t>que</w:t>
      </w:r>
      <w:r>
        <w:rPr>
          <w:spacing w:val="-24"/>
          <w:w w:val="115"/>
        </w:rPr>
        <w:t> </w:t>
      </w:r>
      <w:r>
        <w:rPr>
          <w:w w:val="115"/>
        </w:rPr>
        <w:t>se</w:t>
      </w:r>
      <w:r>
        <w:rPr>
          <w:spacing w:val="-24"/>
          <w:w w:val="115"/>
        </w:rPr>
        <w:t> </w:t>
      </w:r>
      <w:r>
        <w:rPr>
          <w:w w:val="115"/>
        </w:rPr>
        <w:t>expresa</w:t>
      </w:r>
      <w:r>
        <w:rPr>
          <w:spacing w:val="-24"/>
          <w:w w:val="115"/>
        </w:rPr>
        <w:t> </w:t>
      </w:r>
      <w:r>
        <w:rPr>
          <w:w w:val="115"/>
        </w:rPr>
        <w:t>en</w:t>
      </w:r>
      <w:r>
        <w:rPr>
          <w:spacing w:val="-24"/>
          <w:w w:val="115"/>
        </w:rPr>
        <w:t> </w:t>
      </w:r>
      <w:r>
        <w:rPr>
          <w:w w:val="115"/>
        </w:rPr>
        <w:t>relaciones</w:t>
      </w:r>
      <w:r>
        <w:rPr>
          <w:spacing w:val="-24"/>
          <w:w w:val="115"/>
        </w:rPr>
        <w:t> </w:t>
      </w:r>
      <w:r>
        <w:rPr>
          <w:w w:val="115"/>
        </w:rPr>
        <w:t>de</w:t>
      </w:r>
      <w:r>
        <w:rPr>
          <w:spacing w:val="-24"/>
          <w:w w:val="115"/>
        </w:rPr>
        <w:t> </w:t>
      </w:r>
      <w:r>
        <w:rPr>
          <w:w w:val="115"/>
        </w:rPr>
        <w:t>intercambio</w:t>
      </w:r>
      <w:r>
        <w:rPr>
          <w:spacing w:val="-24"/>
          <w:w w:val="115"/>
        </w:rPr>
        <w:t> </w:t>
      </w:r>
      <w:r>
        <w:rPr>
          <w:w w:val="115"/>
        </w:rPr>
        <w:t>econó- mico</w:t>
      </w:r>
      <w:r>
        <w:rPr>
          <w:spacing w:val="-8"/>
          <w:w w:val="115"/>
        </w:rPr>
        <w:t> </w:t>
      </w:r>
      <w:r>
        <w:rPr>
          <w:spacing w:val="-11"/>
          <w:w w:val="115"/>
        </w:rPr>
        <w:t>y,</w:t>
      </w:r>
      <w:r>
        <w:rPr>
          <w:spacing w:val="-8"/>
          <w:w w:val="115"/>
        </w:rPr>
        <w:t> </w:t>
      </w:r>
      <w:r>
        <w:rPr>
          <w:w w:val="115"/>
        </w:rPr>
        <w:t>a</w:t>
      </w:r>
      <w:r>
        <w:rPr>
          <w:spacing w:val="-8"/>
          <w:w w:val="115"/>
        </w:rPr>
        <w:t> </w:t>
      </w:r>
      <w:r>
        <w:rPr>
          <w:w w:val="115"/>
        </w:rPr>
        <w:t>la</w:t>
      </w:r>
      <w:r>
        <w:rPr>
          <w:spacing w:val="-8"/>
          <w:w w:val="115"/>
        </w:rPr>
        <w:t> </w:t>
      </w:r>
      <w:r>
        <w:rPr>
          <w:w w:val="115"/>
        </w:rPr>
        <w:t>vez,</w:t>
      </w:r>
      <w:r>
        <w:rPr>
          <w:spacing w:val="-8"/>
          <w:w w:val="115"/>
        </w:rPr>
        <w:t> </w:t>
      </w:r>
      <w:r>
        <w:rPr>
          <w:w w:val="115"/>
        </w:rPr>
        <w:t>en</w:t>
      </w:r>
      <w:r>
        <w:rPr>
          <w:spacing w:val="-8"/>
          <w:w w:val="115"/>
        </w:rPr>
        <w:t> </w:t>
      </w:r>
      <w:r>
        <w:rPr>
          <w:w w:val="115"/>
        </w:rPr>
        <w:t>tensiones</w:t>
      </w:r>
      <w:r>
        <w:rPr>
          <w:spacing w:val="-8"/>
          <w:w w:val="115"/>
        </w:rPr>
        <w:t> </w:t>
      </w:r>
      <w:r>
        <w:rPr>
          <w:w w:val="115"/>
        </w:rPr>
        <w:t>por</w:t>
      </w:r>
      <w:r>
        <w:rPr>
          <w:spacing w:val="-8"/>
          <w:w w:val="115"/>
        </w:rPr>
        <w:t> </w:t>
      </w:r>
      <w:r>
        <w:rPr>
          <w:w w:val="115"/>
        </w:rPr>
        <w:t>la</w:t>
      </w:r>
      <w:r>
        <w:rPr>
          <w:spacing w:val="-8"/>
          <w:w w:val="115"/>
        </w:rPr>
        <w:t> </w:t>
      </w:r>
      <w:r>
        <w:rPr>
          <w:w w:val="115"/>
        </w:rPr>
        <w:t>necesidad</w:t>
      </w:r>
      <w:r>
        <w:rPr>
          <w:spacing w:val="-8"/>
          <w:w w:val="115"/>
        </w:rPr>
        <w:t> </w:t>
      </w:r>
      <w:r>
        <w:rPr>
          <w:w w:val="115"/>
        </w:rPr>
        <w:t>de</w:t>
      </w:r>
      <w:r>
        <w:rPr>
          <w:spacing w:val="-8"/>
          <w:w w:val="115"/>
        </w:rPr>
        <w:t> </w:t>
      </w:r>
      <w:r>
        <w:rPr>
          <w:w w:val="115"/>
        </w:rPr>
        <w:t>no</w:t>
      </w:r>
      <w:r>
        <w:rPr>
          <w:spacing w:val="-8"/>
          <w:w w:val="115"/>
        </w:rPr>
        <w:t> </w:t>
      </w:r>
      <w:r>
        <w:rPr>
          <w:w w:val="115"/>
        </w:rPr>
        <w:t>perder</w:t>
      </w:r>
      <w:r>
        <w:rPr>
          <w:spacing w:val="-8"/>
          <w:w w:val="115"/>
        </w:rPr>
        <w:t> </w:t>
      </w:r>
      <w:r>
        <w:rPr>
          <w:w w:val="115"/>
        </w:rPr>
        <w:t>en</w:t>
      </w:r>
      <w:r>
        <w:rPr>
          <w:spacing w:val="-8"/>
          <w:w w:val="115"/>
        </w:rPr>
        <w:t> </w:t>
      </w:r>
      <w:r>
        <w:rPr>
          <w:w w:val="115"/>
        </w:rPr>
        <w:t>forma absoluta</w:t>
      </w:r>
      <w:r>
        <w:rPr>
          <w:spacing w:val="-33"/>
          <w:w w:val="115"/>
        </w:rPr>
        <w:t> </w:t>
      </w:r>
      <w:r>
        <w:rPr>
          <w:w w:val="115"/>
        </w:rPr>
        <w:t>el</w:t>
      </w:r>
      <w:r>
        <w:rPr>
          <w:spacing w:val="-33"/>
          <w:w w:val="115"/>
        </w:rPr>
        <w:t> </w:t>
      </w:r>
      <w:r>
        <w:rPr>
          <w:w w:val="115"/>
        </w:rPr>
        <w:t>acceso</w:t>
      </w:r>
      <w:r>
        <w:rPr>
          <w:spacing w:val="-33"/>
          <w:w w:val="115"/>
        </w:rPr>
        <w:t> </w:t>
      </w:r>
      <w:r>
        <w:rPr>
          <w:w w:val="115"/>
        </w:rPr>
        <w:t>a</w:t>
      </w:r>
      <w:r>
        <w:rPr>
          <w:spacing w:val="-33"/>
          <w:w w:val="115"/>
        </w:rPr>
        <w:t> </w:t>
      </w:r>
      <w:r>
        <w:rPr>
          <w:w w:val="115"/>
        </w:rPr>
        <w:t>los</w:t>
      </w:r>
      <w:r>
        <w:rPr>
          <w:spacing w:val="-33"/>
          <w:w w:val="115"/>
        </w:rPr>
        <w:t> </w:t>
      </w:r>
      <w:r>
        <w:rPr>
          <w:w w:val="115"/>
        </w:rPr>
        <w:t>territorios</w:t>
      </w:r>
      <w:r>
        <w:rPr>
          <w:spacing w:val="-33"/>
          <w:w w:val="115"/>
        </w:rPr>
        <w:t> </w:t>
      </w:r>
      <w:r>
        <w:rPr>
          <w:w w:val="115"/>
        </w:rPr>
        <w:t>de</w:t>
      </w:r>
      <w:r>
        <w:rPr>
          <w:spacing w:val="-33"/>
          <w:w w:val="115"/>
        </w:rPr>
        <w:t> </w:t>
      </w:r>
      <w:r>
        <w:rPr>
          <w:w w:val="115"/>
        </w:rPr>
        <w:t>donde</w:t>
      </w:r>
      <w:r>
        <w:rPr>
          <w:spacing w:val="-33"/>
          <w:w w:val="115"/>
        </w:rPr>
        <w:t> </w:t>
      </w:r>
      <w:r>
        <w:rPr>
          <w:w w:val="115"/>
        </w:rPr>
        <w:t>provienen</w:t>
      </w:r>
      <w:r>
        <w:rPr>
          <w:spacing w:val="-33"/>
          <w:w w:val="115"/>
        </w:rPr>
        <w:t> </w:t>
      </w:r>
      <w:r>
        <w:rPr>
          <w:w w:val="115"/>
        </w:rPr>
        <w:t>esos</w:t>
      </w:r>
      <w:r>
        <w:rPr>
          <w:spacing w:val="-33"/>
          <w:w w:val="115"/>
        </w:rPr>
        <w:t> </w:t>
      </w:r>
      <w:r>
        <w:rPr>
          <w:w w:val="115"/>
        </w:rPr>
        <w:t>minerales. China es entonces un socio en el campo de la economía y un rival en</w:t>
      </w:r>
      <w:r>
        <w:rPr>
          <w:spacing w:val="-12"/>
          <w:w w:val="115"/>
        </w:rPr>
        <w:t> </w:t>
      </w:r>
      <w:r>
        <w:rPr>
          <w:w w:val="115"/>
        </w:rPr>
        <w:t>materia</w:t>
      </w:r>
      <w:r>
        <w:rPr>
          <w:spacing w:val="-12"/>
          <w:w w:val="115"/>
        </w:rPr>
        <w:t> </w:t>
      </w:r>
      <w:r>
        <w:rPr>
          <w:w w:val="115"/>
        </w:rPr>
        <w:t>de</w:t>
      </w:r>
      <w:r>
        <w:rPr>
          <w:spacing w:val="-12"/>
          <w:w w:val="115"/>
        </w:rPr>
        <w:t> </w:t>
      </w:r>
      <w:r>
        <w:rPr>
          <w:w w:val="115"/>
        </w:rPr>
        <w:t>control</w:t>
      </w:r>
      <w:r>
        <w:rPr>
          <w:spacing w:val="-12"/>
          <w:w w:val="115"/>
        </w:rPr>
        <w:t> </w:t>
      </w:r>
      <w:r>
        <w:rPr>
          <w:w w:val="115"/>
        </w:rPr>
        <w:t>territorial.</w:t>
      </w:r>
      <w:r>
        <w:rPr>
          <w:spacing w:val="-12"/>
          <w:w w:val="115"/>
        </w:rPr>
        <w:t> </w:t>
      </w:r>
      <w:r>
        <w:rPr>
          <w:w w:val="115"/>
        </w:rPr>
        <w:t>socio</w:t>
      </w:r>
      <w:r>
        <w:rPr>
          <w:spacing w:val="-12"/>
          <w:w w:val="115"/>
        </w:rPr>
        <w:t> </w:t>
      </w:r>
      <w:r>
        <w:rPr>
          <w:w w:val="115"/>
        </w:rPr>
        <w:t>que</w:t>
      </w:r>
      <w:r>
        <w:rPr>
          <w:spacing w:val="-12"/>
          <w:w w:val="115"/>
        </w:rPr>
        <w:t> </w:t>
      </w:r>
      <w:r>
        <w:rPr>
          <w:w w:val="115"/>
        </w:rPr>
        <w:t>amenaza</w:t>
      </w:r>
      <w:r>
        <w:rPr>
          <w:spacing w:val="-12"/>
          <w:w w:val="115"/>
        </w:rPr>
        <w:t> </w:t>
      </w:r>
      <w:r>
        <w:rPr>
          <w:w w:val="115"/>
        </w:rPr>
        <w:t>con</w:t>
      </w:r>
      <w:r>
        <w:rPr>
          <w:spacing w:val="-12"/>
          <w:w w:val="115"/>
        </w:rPr>
        <w:t> </w:t>
      </w:r>
      <w:r>
        <w:rPr>
          <w:w w:val="115"/>
        </w:rPr>
        <w:t>desplazarlo como</w:t>
      </w:r>
      <w:r>
        <w:rPr>
          <w:spacing w:val="-18"/>
          <w:w w:val="115"/>
        </w:rPr>
        <w:t> </w:t>
      </w:r>
      <w:r>
        <w:rPr>
          <w:w w:val="115"/>
        </w:rPr>
        <w:t>la</w:t>
      </w:r>
      <w:r>
        <w:rPr>
          <w:spacing w:val="-18"/>
          <w:w w:val="115"/>
        </w:rPr>
        <w:t> </w:t>
      </w:r>
      <w:r>
        <w:rPr>
          <w:w w:val="115"/>
        </w:rPr>
        <w:t>primera</w:t>
      </w:r>
      <w:r>
        <w:rPr>
          <w:spacing w:val="-18"/>
          <w:w w:val="115"/>
        </w:rPr>
        <w:t> </w:t>
      </w:r>
      <w:r>
        <w:rPr>
          <w:w w:val="115"/>
        </w:rPr>
        <w:t>economía</w:t>
      </w:r>
      <w:r>
        <w:rPr>
          <w:spacing w:val="-18"/>
          <w:w w:val="115"/>
        </w:rPr>
        <w:t> </w:t>
      </w:r>
      <w:r>
        <w:rPr>
          <w:w w:val="115"/>
        </w:rPr>
        <w:t>del</w:t>
      </w:r>
      <w:r>
        <w:rPr>
          <w:spacing w:val="-18"/>
          <w:w w:val="115"/>
        </w:rPr>
        <w:t> </w:t>
      </w:r>
      <w:r>
        <w:rPr>
          <w:w w:val="115"/>
        </w:rPr>
        <w:t>mundo,</w:t>
      </w:r>
      <w:r>
        <w:rPr>
          <w:spacing w:val="-18"/>
          <w:w w:val="115"/>
        </w:rPr>
        <w:t> </w:t>
      </w:r>
      <w:r>
        <w:rPr>
          <w:w w:val="115"/>
        </w:rPr>
        <w:t>por</w:t>
      </w:r>
      <w:r>
        <w:rPr>
          <w:spacing w:val="-18"/>
          <w:w w:val="115"/>
        </w:rPr>
        <w:t> </w:t>
      </w:r>
      <w:r>
        <w:rPr>
          <w:w w:val="115"/>
        </w:rPr>
        <w:t>tanto</w:t>
      </w:r>
      <w:r>
        <w:rPr>
          <w:spacing w:val="-18"/>
          <w:w w:val="115"/>
        </w:rPr>
        <w:t> </w:t>
      </w:r>
      <w:r>
        <w:rPr>
          <w:w w:val="115"/>
        </w:rPr>
        <w:t>potencia</w:t>
      </w:r>
      <w:r>
        <w:rPr>
          <w:spacing w:val="-18"/>
          <w:w w:val="115"/>
        </w:rPr>
        <w:t> </w:t>
      </w:r>
      <w:r>
        <w:rPr>
          <w:w w:val="115"/>
        </w:rPr>
        <w:t>económica emergente</w:t>
      </w:r>
      <w:r>
        <w:rPr>
          <w:spacing w:val="-23"/>
          <w:w w:val="115"/>
        </w:rPr>
        <w:t> </w:t>
      </w:r>
      <w:r>
        <w:rPr>
          <w:w w:val="115"/>
        </w:rPr>
        <w:t>que</w:t>
      </w:r>
      <w:r>
        <w:rPr>
          <w:spacing w:val="-23"/>
          <w:w w:val="115"/>
        </w:rPr>
        <w:t> </w:t>
      </w:r>
      <w:r>
        <w:rPr>
          <w:w w:val="115"/>
        </w:rPr>
        <w:t>disputa</w:t>
      </w:r>
      <w:r>
        <w:rPr>
          <w:spacing w:val="-23"/>
          <w:w w:val="115"/>
        </w:rPr>
        <w:t> </w:t>
      </w:r>
      <w:r>
        <w:rPr>
          <w:w w:val="115"/>
        </w:rPr>
        <w:t>mercados</w:t>
      </w:r>
      <w:r>
        <w:rPr>
          <w:spacing w:val="-23"/>
          <w:w w:val="115"/>
        </w:rPr>
        <w:t> </w:t>
      </w:r>
      <w:r>
        <w:rPr>
          <w:w w:val="115"/>
        </w:rPr>
        <w:t>y</w:t>
      </w:r>
      <w:r>
        <w:rPr>
          <w:spacing w:val="-23"/>
          <w:w w:val="115"/>
        </w:rPr>
        <w:t> </w:t>
      </w:r>
      <w:r>
        <w:rPr>
          <w:w w:val="115"/>
        </w:rPr>
        <w:t>presencia</w:t>
      </w:r>
      <w:r>
        <w:rPr>
          <w:spacing w:val="-23"/>
          <w:w w:val="115"/>
        </w:rPr>
        <w:t> </w:t>
      </w:r>
      <w:r>
        <w:rPr>
          <w:w w:val="115"/>
        </w:rPr>
        <w:t>en</w:t>
      </w:r>
      <w:r>
        <w:rPr>
          <w:spacing w:val="-23"/>
          <w:w w:val="115"/>
        </w:rPr>
        <w:t> </w:t>
      </w:r>
      <w:r>
        <w:rPr>
          <w:w w:val="115"/>
        </w:rPr>
        <w:t>territorios</w:t>
      </w:r>
      <w:r>
        <w:rPr>
          <w:spacing w:val="-23"/>
          <w:w w:val="115"/>
        </w:rPr>
        <w:t> </w:t>
      </w:r>
      <w:r>
        <w:rPr>
          <w:w w:val="115"/>
        </w:rPr>
        <w:t>africanos y latinoamericanos. rival en presencia política y militar en los</w:t>
      </w:r>
      <w:r>
        <w:rPr>
          <w:spacing w:val="-14"/>
          <w:w w:val="115"/>
        </w:rPr>
        <w:t> </w:t>
      </w:r>
      <w:r>
        <w:rPr>
          <w:w w:val="115"/>
        </w:rPr>
        <w:t>terri- torios</w:t>
      </w:r>
      <w:r>
        <w:rPr>
          <w:spacing w:val="-10"/>
          <w:w w:val="115"/>
        </w:rPr>
        <w:t> </w:t>
      </w:r>
      <w:r>
        <w:rPr>
          <w:w w:val="115"/>
        </w:rPr>
        <w:t>prioritarios,</w:t>
      </w:r>
      <w:r>
        <w:rPr>
          <w:spacing w:val="-10"/>
          <w:w w:val="115"/>
        </w:rPr>
        <w:t> </w:t>
      </w:r>
      <w:r>
        <w:rPr>
          <w:w w:val="115"/>
        </w:rPr>
        <w:t>los</w:t>
      </w:r>
      <w:r>
        <w:rPr>
          <w:spacing w:val="-10"/>
          <w:w w:val="115"/>
        </w:rPr>
        <w:t> </w:t>
      </w:r>
      <w:r>
        <w:rPr>
          <w:w w:val="115"/>
        </w:rPr>
        <w:t>de</w:t>
      </w:r>
      <w:r>
        <w:rPr>
          <w:spacing w:val="-10"/>
          <w:w w:val="115"/>
        </w:rPr>
        <w:t> </w:t>
      </w:r>
      <w:r>
        <w:rPr>
          <w:w w:val="115"/>
        </w:rPr>
        <w:t>interés</w:t>
      </w:r>
      <w:r>
        <w:rPr>
          <w:spacing w:val="-10"/>
          <w:w w:val="115"/>
        </w:rPr>
        <w:t> </w:t>
      </w:r>
      <w:r>
        <w:rPr>
          <w:w w:val="115"/>
        </w:rPr>
        <w:t>estratégico.</w:t>
      </w:r>
      <w:r>
        <w:rPr>
          <w:spacing w:val="-10"/>
          <w:w w:val="115"/>
        </w:rPr>
        <w:t> </w:t>
      </w:r>
      <w:r>
        <w:rPr>
          <w:w w:val="115"/>
        </w:rPr>
        <w:t>Hay</w:t>
      </w:r>
      <w:r>
        <w:rPr>
          <w:spacing w:val="-10"/>
          <w:w w:val="115"/>
        </w:rPr>
        <w:t> </w:t>
      </w:r>
      <w:r>
        <w:rPr>
          <w:w w:val="115"/>
        </w:rPr>
        <w:t>aquí</w:t>
      </w:r>
      <w:r>
        <w:rPr>
          <w:spacing w:val="-10"/>
          <w:w w:val="115"/>
        </w:rPr>
        <w:t> </w:t>
      </w:r>
      <w:r>
        <w:rPr>
          <w:w w:val="115"/>
        </w:rPr>
        <w:t>una</w:t>
      </w:r>
      <w:r>
        <w:rPr>
          <w:spacing w:val="-10"/>
          <w:w w:val="115"/>
        </w:rPr>
        <w:t> </w:t>
      </w:r>
      <w:r>
        <w:rPr>
          <w:w w:val="115"/>
        </w:rPr>
        <w:t>fuente</w:t>
      </w:r>
      <w:r>
        <w:rPr>
          <w:spacing w:val="-10"/>
          <w:w w:val="115"/>
        </w:rPr>
        <w:t> </w:t>
      </w:r>
      <w:r>
        <w:rPr>
          <w:w w:val="115"/>
        </w:rPr>
        <w:t>de relaciones de cooperación y de tensión. Por lo pronto, China no so- lamente es la segunda economía más grande del mundo, también</w:t>
      </w:r>
      <w:r>
        <w:rPr>
          <w:spacing w:val="-21"/>
          <w:w w:val="115"/>
        </w:rPr>
        <w:t> </w:t>
      </w:r>
      <w:r>
        <w:rPr>
          <w:w w:val="115"/>
        </w:rPr>
        <w:t>el segundo país con más alto gasto militar (ver Gráfico 3). además ha definido</w:t>
      </w:r>
      <w:r>
        <w:rPr>
          <w:spacing w:val="-28"/>
          <w:w w:val="115"/>
        </w:rPr>
        <w:t> </w:t>
      </w:r>
      <w:r>
        <w:rPr>
          <w:w w:val="115"/>
        </w:rPr>
        <w:t>incrementar</w:t>
      </w:r>
      <w:r>
        <w:rPr>
          <w:spacing w:val="-28"/>
          <w:w w:val="115"/>
        </w:rPr>
        <w:t> </w:t>
      </w:r>
      <w:r>
        <w:rPr>
          <w:w w:val="115"/>
        </w:rPr>
        <w:t>su</w:t>
      </w:r>
      <w:r>
        <w:rPr>
          <w:spacing w:val="-28"/>
          <w:w w:val="115"/>
        </w:rPr>
        <w:t> </w:t>
      </w:r>
      <w:r>
        <w:rPr>
          <w:w w:val="115"/>
        </w:rPr>
        <w:t>gasto</w:t>
      </w:r>
      <w:r>
        <w:rPr>
          <w:spacing w:val="-28"/>
          <w:w w:val="115"/>
        </w:rPr>
        <w:t> </w:t>
      </w:r>
      <w:r>
        <w:rPr>
          <w:w w:val="115"/>
        </w:rPr>
        <w:t>militar</w:t>
      </w:r>
      <w:r>
        <w:rPr>
          <w:spacing w:val="-28"/>
          <w:w w:val="115"/>
        </w:rPr>
        <w:t> </w:t>
      </w:r>
      <w:r>
        <w:rPr>
          <w:w w:val="115"/>
        </w:rPr>
        <w:t>en</w:t>
      </w:r>
      <w:r>
        <w:rPr>
          <w:spacing w:val="-28"/>
          <w:w w:val="115"/>
        </w:rPr>
        <w:t> </w:t>
      </w:r>
      <w:r>
        <w:rPr>
          <w:w w:val="115"/>
        </w:rPr>
        <w:t>un</w:t>
      </w:r>
      <w:r>
        <w:rPr>
          <w:spacing w:val="-28"/>
          <w:w w:val="115"/>
        </w:rPr>
        <w:t> </w:t>
      </w:r>
      <w:r>
        <w:rPr>
          <w:w w:val="115"/>
        </w:rPr>
        <w:t>12.2%</w:t>
      </w:r>
      <w:r>
        <w:rPr>
          <w:spacing w:val="-28"/>
          <w:w w:val="115"/>
        </w:rPr>
        <w:t> </w:t>
      </w:r>
      <w:r>
        <w:rPr>
          <w:w w:val="115"/>
        </w:rPr>
        <w:t>en</w:t>
      </w:r>
      <w:r>
        <w:rPr>
          <w:spacing w:val="-28"/>
          <w:w w:val="115"/>
        </w:rPr>
        <w:t> </w:t>
      </w:r>
      <w:r>
        <w:rPr>
          <w:w w:val="115"/>
        </w:rPr>
        <w:t>2014</w:t>
      </w:r>
      <w:r>
        <w:rPr>
          <w:spacing w:val="-29"/>
          <w:w w:val="115"/>
        </w:rPr>
        <w:t> </w:t>
      </w:r>
      <w:r>
        <w:rPr>
          <w:w w:val="115"/>
        </w:rPr>
        <w:t>para</w:t>
      </w:r>
      <w:r>
        <w:rPr>
          <w:spacing w:val="-29"/>
          <w:w w:val="115"/>
        </w:rPr>
        <w:t> </w:t>
      </w:r>
      <w:r>
        <w:rPr>
          <w:w w:val="115"/>
        </w:rPr>
        <w:t>hacer frente a los programas militares de Japón y… de la presencia de </w:t>
      </w:r>
      <w:r>
        <w:rPr>
          <w:spacing w:val="-2"/>
          <w:w w:val="115"/>
        </w:rPr>
        <w:t>los </w:t>
      </w:r>
      <w:r>
        <w:rPr>
          <w:w w:val="115"/>
        </w:rPr>
        <w:t>EE.uu. en la</w:t>
      </w:r>
      <w:r>
        <w:rPr>
          <w:spacing w:val="40"/>
          <w:w w:val="115"/>
        </w:rPr>
        <w:t> </w:t>
      </w:r>
      <w:r>
        <w:rPr>
          <w:w w:val="115"/>
        </w:rPr>
        <w:t>región.</w:t>
      </w:r>
    </w:p>
    <w:p>
      <w:pPr>
        <w:spacing w:after="0" w:line="252" w:lineRule="auto"/>
        <w:jc w:val="both"/>
        <w:sectPr>
          <w:pgSz w:w="8790" w:h="12760"/>
          <w:pgMar w:header="697" w:footer="725" w:top="880" w:bottom="920" w:left="1200" w:right="900"/>
        </w:sectPr>
      </w:pPr>
    </w:p>
    <w:p>
      <w:pPr>
        <w:pStyle w:val="BodyText"/>
        <w:spacing w:before="10"/>
        <w:rPr>
          <w:sz w:val="27"/>
        </w:rPr>
      </w:pPr>
    </w:p>
    <w:p>
      <w:pPr>
        <w:spacing w:before="78"/>
        <w:ind w:left="670" w:right="717" w:firstLine="0"/>
        <w:jc w:val="center"/>
        <w:rPr>
          <w:rFonts w:ascii="Arial" w:hAnsi="Arial"/>
          <w:b/>
          <w:sz w:val="17"/>
        </w:rPr>
      </w:pPr>
      <w:r>
        <w:rPr>
          <w:rFonts w:ascii="Arial" w:hAnsi="Arial"/>
          <w:b/>
          <w:w w:val="85"/>
          <w:sz w:val="17"/>
        </w:rPr>
        <w:t>Gráfico 3</w:t>
      </w:r>
    </w:p>
    <w:p>
      <w:pPr>
        <w:spacing w:before="8"/>
        <w:ind w:left="670" w:right="717" w:firstLine="0"/>
        <w:jc w:val="center"/>
        <w:rPr>
          <w:rFonts w:ascii="Arial"/>
          <w:sz w:val="17"/>
        </w:rPr>
      </w:pPr>
      <w:r>
        <w:rPr>
          <w:rFonts w:ascii="Arial"/>
          <w:w w:val="85"/>
          <w:sz w:val="17"/>
        </w:rPr>
        <w:t>Los mayores presupuestos en Defensa</w:t>
      </w:r>
    </w:p>
    <w:p>
      <w:pPr>
        <w:pStyle w:val="BodyText"/>
        <w:spacing w:before="6"/>
        <w:rPr>
          <w:rFonts w:ascii="Arial"/>
          <w:sz w:val="14"/>
        </w:rPr>
      </w:pPr>
      <w:r>
        <w:rPr/>
        <w:pict>
          <v:line style="position:absolute;mso-position-horizontal-relative:page;mso-position-vertical-relative:paragraph;z-index:7528;mso-wrap-distance-left:0;mso-wrap-distance-right:0" from="51.023602pt,10.843054pt" to="399.117602pt,10.843054pt" stroked="true" strokeweight="1pt" strokecolor="#000000">
            <w10:wrap type="topAndBottom"/>
          </v:line>
        </w:pict>
      </w:r>
    </w:p>
    <w:p>
      <w:pPr>
        <w:pStyle w:val="BodyText"/>
        <w:spacing w:before="11"/>
        <w:rPr>
          <w:rFonts w:ascii="Arial"/>
          <w:sz w:val="5"/>
        </w:rPr>
      </w:pPr>
    </w:p>
    <w:p>
      <w:pPr>
        <w:pStyle w:val="BodyText"/>
        <w:ind w:left="211"/>
        <w:rPr>
          <w:rFonts w:ascii="Arial"/>
          <w:sz w:val="20"/>
        </w:rPr>
      </w:pPr>
      <w:r>
        <w:rPr>
          <w:rFonts w:ascii="Arial"/>
          <w:sz w:val="20"/>
        </w:rPr>
        <w:drawing>
          <wp:inline distT="0" distB="0" distL="0" distR="0">
            <wp:extent cx="4321195" cy="2529840"/>
            <wp:effectExtent l="0" t="0" r="0" b="0"/>
            <wp:docPr id="23" name="image66.png" descr=""/>
            <wp:cNvGraphicFramePr>
              <a:graphicFrameLocks noChangeAspect="1"/>
            </wp:cNvGraphicFramePr>
            <a:graphic>
              <a:graphicData uri="http://schemas.openxmlformats.org/drawingml/2006/picture">
                <pic:pic>
                  <pic:nvPicPr>
                    <pic:cNvPr id="24" name="image66.png"/>
                    <pic:cNvPicPr/>
                  </pic:nvPicPr>
                  <pic:blipFill>
                    <a:blip r:embed="rId428" cstate="print"/>
                    <a:stretch>
                      <a:fillRect/>
                    </a:stretch>
                  </pic:blipFill>
                  <pic:spPr>
                    <a:xfrm>
                      <a:off x="0" y="0"/>
                      <a:ext cx="4321195" cy="2529840"/>
                    </a:xfrm>
                    <a:prstGeom prst="rect">
                      <a:avLst/>
                    </a:prstGeom>
                  </pic:spPr>
                </pic:pic>
              </a:graphicData>
            </a:graphic>
          </wp:inline>
        </w:drawing>
      </w:r>
      <w:r>
        <w:rPr>
          <w:rFonts w:ascii="Arial"/>
          <w:sz w:val="20"/>
        </w:rPr>
      </w:r>
    </w:p>
    <w:p>
      <w:pPr>
        <w:pStyle w:val="BodyText"/>
        <w:spacing w:before="7"/>
        <w:rPr>
          <w:rFonts w:ascii="Arial"/>
          <w:sz w:val="9"/>
        </w:rPr>
      </w:pPr>
      <w:r>
        <w:rPr/>
        <w:pict>
          <v:line style="position:absolute;mso-position-horizontal-relative:page;mso-position-vertical-relative:paragraph;z-index:7552;mso-wrap-distance-left:0;mso-wrap-distance-right:0" from="51.023602pt,7.987744pt" to="399.117602pt,7.987744pt" stroked="true" strokeweight="1pt" strokecolor="#000000">
            <w10:wrap type="topAndBottom"/>
          </v:line>
        </w:pict>
      </w:r>
    </w:p>
    <w:p>
      <w:pPr>
        <w:spacing w:line="249" w:lineRule="auto" w:before="19"/>
        <w:ind w:left="120" w:right="937" w:firstLine="0"/>
        <w:jc w:val="left"/>
        <w:rPr>
          <w:rFonts w:ascii="Arial" w:hAnsi="Arial"/>
          <w:sz w:val="14"/>
        </w:rPr>
      </w:pPr>
      <w:r>
        <w:rPr>
          <w:rFonts w:ascii="Arial" w:hAnsi="Arial"/>
          <w:w w:val="85"/>
          <w:sz w:val="14"/>
        </w:rPr>
        <w:t>Fuente: tomado de </w:t>
      </w:r>
      <w:r>
        <w:rPr>
          <w:rFonts w:ascii="Arial" w:hAnsi="Arial"/>
          <w:i/>
          <w:w w:val="85"/>
          <w:sz w:val="14"/>
        </w:rPr>
        <w:t>Economía hoy</w:t>
      </w:r>
      <w:r>
        <w:rPr>
          <w:rFonts w:ascii="Arial" w:hAnsi="Arial"/>
          <w:w w:val="85"/>
          <w:sz w:val="14"/>
        </w:rPr>
        <w:t>, en </w:t>
      </w:r>
      <w:hyperlink r:id="rId429">
        <w:r>
          <w:rPr>
            <w:rFonts w:ascii="Arial" w:hAnsi="Arial"/>
            <w:w w:val="85"/>
            <w:sz w:val="14"/>
          </w:rPr>
          <w:t>&lt;http://www.economiaho</w:t>
        </w:r>
      </w:hyperlink>
      <w:r>
        <w:rPr>
          <w:rFonts w:ascii="Arial" w:hAnsi="Arial"/>
          <w:w w:val="85"/>
          <w:sz w:val="14"/>
        </w:rPr>
        <w:t>y</w:t>
      </w:r>
      <w:hyperlink r:id="rId429">
        <w:r>
          <w:rPr>
            <w:rFonts w:ascii="Arial" w:hAnsi="Arial"/>
            <w:w w:val="85"/>
            <w:sz w:val="14"/>
          </w:rPr>
          <w:t>.mx/economia-eAm-mexico/noticias/7168554/11/15/</w:t>
        </w:r>
      </w:hyperlink>
      <w:r>
        <w:rPr>
          <w:rFonts w:ascii="Arial" w:hAnsi="Arial"/>
          <w:w w:val="85"/>
          <w:sz w:val="14"/>
        </w:rPr>
        <w:t> </w:t>
      </w:r>
      <w:r>
        <w:rPr>
          <w:rFonts w:ascii="Arial" w:hAnsi="Arial"/>
          <w:w w:val="95"/>
          <w:sz w:val="14"/>
        </w:rPr>
        <w:t>Que-paises-tienen-un-mayor-gasto-militar-Espana-esta-a-la-cola-del-mundo.html&gt;.</w:t>
      </w:r>
    </w:p>
    <w:p>
      <w:pPr>
        <w:pStyle w:val="BodyText"/>
        <w:rPr>
          <w:rFonts w:ascii="Arial"/>
          <w:sz w:val="14"/>
        </w:rPr>
      </w:pPr>
    </w:p>
    <w:p>
      <w:pPr>
        <w:pStyle w:val="BodyText"/>
        <w:rPr>
          <w:rFonts w:ascii="Arial"/>
          <w:sz w:val="14"/>
        </w:rPr>
      </w:pPr>
    </w:p>
    <w:p>
      <w:pPr>
        <w:pStyle w:val="BodyText"/>
        <w:spacing w:before="2"/>
        <w:rPr>
          <w:rFonts w:ascii="Arial"/>
          <w:sz w:val="14"/>
        </w:rPr>
      </w:pPr>
    </w:p>
    <w:p>
      <w:pPr>
        <w:pStyle w:val="BodyText"/>
        <w:spacing w:line="252" w:lineRule="auto"/>
        <w:ind w:left="120" w:right="848"/>
        <w:jc w:val="both"/>
        <w:rPr>
          <w:sz w:val="11"/>
        </w:rPr>
      </w:pPr>
      <w:r>
        <w:rPr>
          <w:w w:val="110"/>
        </w:rPr>
        <w:t>según dai bingguo, Consejero de Estado, “la China  contemporánea vive cambios grandes y profundos. a lo largo de más de treinta años de reforma y apertura, hemos pasado de la “lucha de clases como cla- ve” a la construcción económica como tarea central, al tiempo que avanzábamos en la causa de la modernización socialista. Hemos de- jado la economía planificada para promocionar la reforma en todos los aspectos al construir un sistema económico de mercado socialista. Hemos dejado atrás el aislamiento de Estado y el énfasis unilateral    en la autoconfianza para lanzarnos hacia el mundo exterior y hacia el desarrollo de la colaboración </w:t>
      </w:r>
      <w:r>
        <w:rPr>
          <w:spacing w:val="8"/>
          <w:w w:val="110"/>
        </w:rPr>
        <w:t> </w:t>
      </w:r>
      <w:r>
        <w:rPr>
          <w:w w:val="110"/>
        </w:rPr>
        <w:t>internacional”.</w:t>
      </w:r>
      <w:r>
        <w:rPr>
          <w:w w:val="110"/>
          <w:position w:val="6"/>
          <w:sz w:val="11"/>
        </w:rPr>
        <w:t>8</w:t>
      </w:r>
    </w:p>
    <w:p>
      <w:pPr>
        <w:pStyle w:val="BodyText"/>
        <w:spacing w:line="252" w:lineRule="auto"/>
        <w:ind w:left="120" w:right="848" w:firstLine="396"/>
        <w:jc w:val="both"/>
      </w:pPr>
      <w:r>
        <w:rPr>
          <w:w w:val="110"/>
        </w:rPr>
        <w:t>En</w:t>
      </w:r>
      <w:r>
        <w:rPr>
          <w:spacing w:val="-8"/>
          <w:w w:val="110"/>
        </w:rPr>
        <w:t> </w:t>
      </w:r>
      <w:r>
        <w:rPr>
          <w:w w:val="110"/>
        </w:rPr>
        <w:t>estos</w:t>
      </w:r>
      <w:r>
        <w:rPr>
          <w:spacing w:val="-8"/>
          <w:w w:val="110"/>
        </w:rPr>
        <w:t> </w:t>
      </w:r>
      <w:r>
        <w:rPr>
          <w:w w:val="110"/>
        </w:rPr>
        <w:t>escenarios</w:t>
      </w:r>
      <w:r>
        <w:rPr>
          <w:spacing w:val="-8"/>
          <w:w w:val="110"/>
        </w:rPr>
        <w:t> </w:t>
      </w:r>
      <w:r>
        <w:rPr>
          <w:w w:val="110"/>
        </w:rPr>
        <w:t>de</w:t>
      </w:r>
      <w:r>
        <w:rPr>
          <w:spacing w:val="-8"/>
          <w:w w:val="110"/>
        </w:rPr>
        <w:t> </w:t>
      </w:r>
      <w:r>
        <w:rPr>
          <w:w w:val="110"/>
        </w:rPr>
        <w:t>confrontación</w:t>
      </w:r>
      <w:r>
        <w:rPr>
          <w:spacing w:val="-8"/>
          <w:w w:val="110"/>
        </w:rPr>
        <w:t> </w:t>
      </w:r>
      <w:r>
        <w:rPr>
          <w:w w:val="110"/>
        </w:rPr>
        <w:t>de</w:t>
      </w:r>
      <w:r>
        <w:rPr>
          <w:spacing w:val="-8"/>
          <w:w w:val="110"/>
        </w:rPr>
        <w:t> </w:t>
      </w:r>
      <w:r>
        <w:rPr>
          <w:w w:val="110"/>
        </w:rPr>
        <w:t>los</w:t>
      </w:r>
      <w:r>
        <w:rPr>
          <w:spacing w:val="-8"/>
          <w:w w:val="110"/>
        </w:rPr>
        <w:t> </w:t>
      </w:r>
      <w:r>
        <w:rPr>
          <w:w w:val="110"/>
        </w:rPr>
        <w:t>proyectos</w:t>
      </w:r>
      <w:r>
        <w:rPr>
          <w:spacing w:val="-8"/>
          <w:w w:val="110"/>
        </w:rPr>
        <w:t> </w:t>
      </w:r>
      <w:r>
        <w:rPr>
          <w:w w:val="110"/>
        </w:rPr>
        <w:t>de</w:t>
      </w:r>
      <w:r>
        <w:rPr>
          <w:spacing w:val="-8"/>
          <w:w w:val="110"/>
        </w:rPr>
        <w:t> </w:t>
      </w:r>
      <w:r>
        <w:rPr>
          <w:w w:val="110"/>
        </w:rPr>
        <w:t>cada</w:t>
      </w:r>
      <w:r>
        <w:rPr>
          <w:spacing w:val="-8"/>
          <w:w w:val="110"/>
        </w:rPr>
        <w:t> </w:t>
      </w:r>
      <w:r>
        <w:rPr>
          <w:w w:val="110"/>
        </w:rPr>
        <w:t>uno de</w:t>
      </w:r>
      <w:r>
        <w:rPr>
          <w:spacing w:val="-4"/>
          <w:w w:val="110"/>
        </w:rPr>
        <w:t> </w:t>
      </w:r>
      <w:r>
        <w:rPr>
          <w:w w:val="110"/>
        </w:rPr>
        <w:t>estos</w:t>
      </w:r>
      <w:r>
        <w:rPr>
          <w:spacing w:val="-4"/>
          <w:w w:val="110"/>
        </w:rPr>
        <w:t> </w:t>
      </w:r>
      <w:r>
        <w:rPr>
          <w:w w:val="110"/>
        </w:rPr>
        <w:t>actores</w:t>
      </w:r>
      <w:r>
        <w:rPr>
          <w:spacing w:val="-4"/>
          <w:w w:val="110"/>
        </w:rPr>
        <w:t> </w:t>
      </w:r>
      <w:r>
        <w:rPr>
          <w:w w:val="110"/>
        </w:rPr>
        <w:t>sujetos</w:t>
      </w:r>
      <w:r>
        <w:rPr>
          <w:spacing w:val="-4"/>
          <w:w w:val="110"/>
        </w:rPr>
        <w:t> </w:t>
      </w:r>
      <w:r>
        <w:rPr>
          <w:w w:val="110"/>
        </w:rPr>
        <w:t>al</w:t>
      </w:r>
      <w:r>
        <w:rPr>
          <w:spacing w:val="-4"/>
          <w:w w:val="110"/>
        </w:rPr>
        <w:t> </w:t>
      </w:r>
      <w:r>
        <w:rPr>
          <w:w w:val="110"/>
        </w:rPr>
        <w:t>juego</w:t>
      </w:r>
      <w:r>
        <w:rPr>
          <w:spacing w:val="-4"/>
          <w:w w:val="110"/>
        </w:rPr>
        <w:t> </w:t>
      </w:r>
      <w:r>
        <w:rPr>
          <w:w w:val="110"/>
        </w:rPr>
        <w:t>de</w:t>
      </w:r>
      <w:r>
        <w:rPr>
          <w:spacing w:val="-4"/>
          <w:w w:val="110"/>
        </w:rPr>
        <w:t> </w:t>
      </w:r>
      <w:r>
        <w:rPr>
          <w:w w:val="110"/>
        </w:rPr>
        <w:t>redistribución</w:t>
      </w:r>
      <w:r>
        <w:rPr>
          <w:spacing w:val="-4"/>
          <w:w w:val="110"/>
        </w:rPr>
        <w:t> </w:t>
      </w:r>
      <w:r>
        <w:rPr>
          <w:w w:val="110"/>
        </w:rPr>
        <w:t>de</w:t>
      </w:r>
      <w:r>
        <w:rPr>
          <w:spacing w:val="-4"/>
          <w:w w:val="110"/>
        </w:rPr>
        <w:t> </w:t>
      </w:r>
      <w:r>
        <w:rPr>
          <w:w w:val="110"/>
        </w:rPr>
        <w:t>poderes</w:t>
      </w:r>
      <w:r>
        <w:rPr>
          <w:spacing w:val="-4"/>
          <w:w w:val="110"/>
        </w:rPr>
        <w:t> </w:t>
      </w:r>
      <w:r>
        <w:rPr>
          <w:w w:val="110"/>
        </w:rPr>
        <w:t>se</w:t>
      </w:r>
      <w:r>
        <w:rPr>
          <w:spacing w:val="-4"/>
          <w:w w:val="110"/>
        </w:rPr>
        <w:t> </w:t>
      </w:r>
      <w:r>
        <w:rPr>
          <w:w w:val="110"/>
        </w:rPr>
        <w:t>juega, en buena medida, la paz del planeta. Estamos ante potencias y terri- torios emergentes en una dinámica de reconfiguración de las</w:t>
      </w:r>
      <w:r>
        <w:rPr>
          <w:spacing w:val="-10"/>
          <w:w w:val="110"/>
        </w:rPr>
        <w:t> </w:t>
      </w:r>
      <w:r>
        <w:rPr>
          <w:w w:val="110"/>
        </w:rPr>
        <w:t>hegemo-</w:t>
      </w:r>
    </w:p>
    <w:p>
      <w:pPr>
        <w:pStyle w:val="BodyText"/>
        <w:rPr>
          <w:sz w:val="20"/>
        </w:rPr>
      </w:pPr>
    </w:p>
    <w:p>
      <w:pPr>
        <w:pStyle w:val="BodyText"/>
        <w:spacing w:before="4"/>
        <w:rPr>
          <w:sz w:val="12"/>
        </w:rPr>
      </w:pPr>
      <w:r>
        <w:rPr/>
        <w:pict>
          <v:line style="position:absolute;mso-position-horizontal-relative:page;mso-position-vertical-relative:paragraph;z-index:7576;mso-wrap-distance-left:0;mso-wrap-distance-right:0" from="51.023602pt,9.437596pt" to="79.369602pt,9.437596pt" stroked="true" strokeweight=".5pt" strokecolor="#000000">
            <w10:wrap type="topAndBottom"/>
          </v:line>
        </w:pict>
      </w:r>
    </w:p>
    <w:p>
      <w:pPr>
        <w:pStyle w:val="ListParagraph"/>
        <w:numPr>
          <w:ilvl w:val="0"/>
          <w:numId w:val="31"/>
        </w:numPr>
        <w:tabs>
          <w:tab w:pos="376" w:val="left" w:leader="none"/>
        </w:tabs>
        <w:spacing w:line="242" w:lineRule="auto" w:before="89" w:after="0"/>
        <w:ind w:left="120" w:right="848" w:firstLine="0"/>
        <w:jc w:val="both"/>
        <w:rPr>
          <w:sz w:val="16"/>
        </w:rPr>
      </w:pPr>
      <w:r>
        <w:rPr>
          <w:w w:val="110"/>
          <w:sz w:val="16"/>
        </w:rPr>
        <w:t>bingguo, dai 2010 “Persisting with </w:t>
      </w:r>
      <w:r>
        <w:rPr>
          <w:spacing w:val="-3"/>
          <w:w w:val="110"/>
          <w:sz w:val="16"/>
        </w:rPr>
        <w:t>taking </w:t>
      </w:r>
      <w:r>
        <w:rPr>
          <w:w w:val="110"/>
          <w:sz w:val="16"/>
        </w:rPr>
        <w:t>the Path of Peaceful development”, Ministerio de asuntos Exteriores de la república Popular de China, Pekín, 6 de di- ciembre</w:t>
      </w:r>
      <w:r>
        <w:rPr>
          <w:spacing w:val="-3"/>
          <w:w w:val="110"/>
          <w:sz w:val="16"/>
        </w:rPr>
        <w:t> </w:t>
      </w:r>
      <w:r>
        <w:rPr>
          <w:w w:val="110"/>
          <w:sz w:val="16"/>
        </w:rPr>
        <w:t>de</w:t>
      </w:r>
      <w:r>
        <w:rPr>
          <w:spacing w:val="-3"/>
          <w:w w:val="110"/>
          <w:sz w:val="16"/>
        </w:rPr>
        <w:t> </w:t>
      </w:r>
      <w:r>
        <w:rPr>
          <w:w w:val="110"/>
          <w:sz w:val="16"/>
        </w:rPr>
        <w:t>2010,</w:t>
      </w:r>
      <w:r>
        <w:rPr>
          <w:spacing w:val="-3"/>
          <w:w w:val="110"/>
          <w:sz w:val="16"/>
        </w:rPr>
        <w:t> </w:t>
      </w:r>
      <w:r>
        <w:rPr>
          <w:w w:val="110"/>
          <w:sz w:val="16"/>
        </w:rPr>
        <w:t>citado</w:t>
      </w:r>
      <w:r>
        <w:rPr>
          <w:spacing w:val="-3"/>
          <w:w w:val="110"/>
          <w:sz w:val="16"/>
        </w:rPr>
        <w:t> </w:t>
      </w:r>
      <w:r>
        <w:rPr>
          <w:w w:val="110"/>
          <w:sz w:val="16"/>
        </w:rPr>
        <w:t>en</w:t>
      </w:r>
      <w:r>
        <w:rPr>
          <w:spacing w:val="-3"/>
          <w:w w:val="110"/>
          <w:sz w:val="16"/>
        </w:rPr>
        <w:t> </w:t>
      </w:r>
      <w:r>
        <w:rPr>
          <w:w w:val="110"/>
          <w:sz w:val="16"/>
        </w:rPr>
        <w:t>Kissinger,</w:t>
      </w:r>
      <w:r>
        <w:rPr>
          <w:spacing w:val="-3"/>
          <w:w w:val="110"/>
          <w:sz w:val="16"/>
        </w:rPr>
        <w:t> </w:t>
      </w:r>
      <w:r>
        <w:rPr>
          <w:w w:val="110"/>
          <w:sz w:val="16"/>
        </w:rPr>
        <w:t>Henry</w:t>
      </w:r>
      <w:r>
        <w:rPr>
          <w:spacing w:val="-3"/>
          <w:w w:val="110"/>
          <w:sz w:val="16"/>
        </w:rPr>
        <w:t> </w:t>
      </w:r>
      <w:r>
        <w:rPr>
          <w:w w:val="110"/>
          <w:sz w:val="16"/>
        </w:rPr>
        <w:t>2012,</w:t>
      </w:r>
      <w:r>
        <w:rPr>
          <w:spacing w:val="-3"/>
          <w:w w:val="110"/>
          <w:sz w:val="16"/>
        </w:rPr>
        <w:t> </w:t>
      </w:r>
      <w:r>
        <w:rPr>
          <w:w w:val="110"/>
          <w:sz w:val="16"/>
        </w:rPr>
        <w:t>China,</w:t>
      </w:r>
      <w:r>
        <w:rPr>
          <w:spacing w:val="-3"/>
          <w:w w:val="110"/>
          <w:sz w:val="16"/>
        </w:rPr>
        <w:t> </w:t>
      </w:r>
      <w:r>
        <w:rPr>
          <w:i/>
          <w:w w:val="110"/>
          <w:sz w:val="16"/>
        </w:rPr>
        <w:t>Debate</w:t>
      </w:r>
      <w:r>
        <w:rPr>
          <w:w w:val="110"/>
          <w:sz w:val="16"/>
        </w:rPr>
        <w:t>,</w:t>
      </w:r>
      <w:r>
        <w:rPr>
          <w:spacing w:val="-3"/>
          <w:w w:val="110"/>
          <w:sz w:val="16"/>
        </w:rPr>
        <w:t> </w:t>
      </w:r>
      <w:r>
        <w:rPr>
          <w:w w:val="110"/>
          <w:sz w:val="16"/>
        </w:rPr>
        <w:t>Colombia,</w:t>
      </w:r>
      <w:r>
        <w:rPr>
          <w:spacing w:val="-3"/>
          <w:w w:val="110"/>
          <w:sz w:val="16"/>
        </w:rPr>
        <w:t> </w:t>
      </w:r>
      <w:r>
        <w:rPr>
          <w:w w:val="110"/>
          <w:sz w:val="16"/>
        </w:rPr>
        <w:t>p.</w:t>
      </w:r>
      <w:r>
        <w:rPr>
          <w:spacing w:val="-3"/>
          <w:w w:val="110"/>
          <w:sz w:val="16"/>
        </w:rPr>
        <w:t> </w:t>
      </w:r>
      <w:r>
        <w:rPr>
          <w:w w:val="110"/>
          <w:sz w:val="16"/>
        </w:rPr>
        <w:t>523.</w:t>
      </w:r>
    </w:p>
    <w:p>
      <w:pPr>
        <w:spacing w:after="0" w:line="242" w:lineRule="auto"/>
        <w:jc w:val="both"/>
        <w:rPr>
          <w:sz w:val="16"/>
        </w:rPr>
        <w:sectPr>
          <w:pgSz w:w="8790" w:h="12760"/>
          <w:pgMar w:header="695" w:footer="723" w:top="880" w:bottom="920" w:left="900" w:right="680"/>
        </w:sectPr>
      </w:pPr>
    </w:p>
    <w:p>
      <w:pPr>
        <w:pStyle w:val="BodyText"/>
        <w:spacing w:before="7"/>
        <w:rPr>
          <w:sz w:val="28"/>
        </w:rPr>
      </w:pPr>
    </w:p>
    <w:p>
      <w:pPr>
        <w:pStyle w:val="BodyText"/>
        <w:spacing w:line="252" w:lineRule="auto" w:before="73"/>
        <w:ind w:left="330" w:right="98"/>
        <w:jc w:val="both"/>
      </w:pPr>
      <w:r>
        <w:rPr>
          <w:spacing w:val="-1"/>
          <w:w w:val="111"/>
        </w:rPr>
        <w:t>nía</w:t>
      </w:r>
      <w:r>
        <w:rPr>
          <w:w w:val="111"/>
        </w:rPr>
        <w:t>s</w:t>
      </w:r>
      <w:r>
        <w:rPr>
          <w:spacing w:val="8"/>
        </w:rPr>
        <w:t> </w:t>
      </w:r>
      <w:r>
        <w:rPr>
          <w:spacing w:val="-1"/>
          <w:w w:val="108"/>
        </w:rPr>
        <w:t>e</w:t>
      </w:r>
      <w:r>
        <w:rPr>
          <w:w w:val="108"/>
        </w:rPr>
        <w:t>n</w:t>
      </w:r>
      <w:r>
        <w:rPr>
          <w:spacing w:val="8"/>
        </w:rPr>
        <w:t> </w:t>
      </w:r>
      <w:r>
        <w:rPr>
          <w:spacing w:val="-1"/>
          <w:w w:val="107"/>
        </w:rPr>
        <w:t>e</w:t>
      </w:r>
      <w:r>
        <w:rPr>
          <w:w w:val="107"/>
        </w:rPr>
        <w:t>l</w:t>
      </w:r>
      <w:r>
        <w:rPr>
          <w:spacing w:val="8"/>
        </w:rPr>
        <w:t> </w:t>
      </w:r>
      <w:r>
        <w:rPr>
          <w:spacing w:val="-1"/>
          <w:w w:val="111"/>
        </w:rPr>
        <w:t>marc</w:t>
      </w:r>
      <w:r>
        <w:rPr>
          <w:w w:val="111"/>
        </w:rPr>
        <w:t>o</w:t>
      </w:r>
      <w:r>
        <w:rPr>
          <w:spacing w:val="8"/>
        </w:rPr>
        <w:t> </w:t>
      </w:r>
      <w:r>
        <w:rPr>
          <w:spacing w:val="-1"/>
          <w:w w:val="107"/>
        </w:rPr>
        <w:t>d</w:t>
      </w:r>
      <w:r>
        <w:rPr>
          <w:w w:val="107"/>
        </w:rPr>
        <w:t>e</w:t>
      </w:r>
      <w:r>
        <w:rPr>
          <w:spacing w:val="8"/>
        </w:rPr>
        <w:t> </w:t>
      </w:r>
      <w:r>
        <w:rPr>
          <w:spacing w:val="-1"/>
          <w:w w:val="111"/>
        </w:rPr>
        <w:t>cambio</w:t>
      </w:r>
      <w:r>
        <w:rPr>
          <w:w w:val="111"/>
        </w:rPr>
        <w:t>s</w:t>
      </w:r>
      <w:r>
        <w:rPr>
          <w:spacing w:val="8"/>
        </w:rPr>
        <w:t> </w:t>
      </w:r>
      <w:r>
        <w:rPr>
          <w:spacing w:val="-1"/>
          <w:w w:val="108"/>
        </w:rPr>
        <w:t>estructurale</w:t>
      </w:r>
      <w:r>
        <w:rPr>
          <w:w w:val="108"/>
        </w:rPr>
        <w:t>s</w:t>
      </w:r>
      <w:r>
        <w:rPr>
          <w:spacing w:val="8"/>
        </w:rPr>
        <w:t> </w:t>
      </w:r>
      <w:r>
        <w:rPr>
          <w:spacing w:val="-1"/>
          <w:w w:val="108"/>
        </w:rPr>
        <w:t>e</w:t>
      </w:r>
      <w:r>
        <w:rPr>
          <w:w w:val="108"/>
        </w:rPr>
        <w:t>n</w:t>
      </w:r>
      <w:r>
        <w:rPr>
          <w:spacing w:val="8"/>
        </w:rPr>
        <w:t> </w:t>
      </w:r>
      <w:r>
        <w:rPr>
          <w:spacing w:val="-1"/>
          <w:w w:val="111"/>
        </w:rPr>
        <w:t>l</w:t>
      </w:r>
      <w:r>
        <w:rPr>
          <w:w w:val="111"/>
        </w:rPr>
        <w:t>a</w:t>
      </w:r>
      <w:r>
        <w:rPr>
          <w:spacing w:val="8"/>
        </w:rPr>
        <w:t> </w:t>
      </w:r>
      <w:r>
        <w:rPr>
          <w:spacing w:val="-1"/>
          <w:w w:val="112"/>
        </w:rPr>
        <w:t>economía-mundo</w:t>
      </w:r>
      <w:r>
        <w:rPr>
          <w:w w:val="112"/>
        </w:rPr>
        <w:t>.</w:t>
      </w:r>
      <w:r>
        <w:rPr>
          <w:spacing w:val="8"/>
        </w:rPr>
        <w:t> </w:t>
      </w:r>
      <w:r>
        <w:rPr>
          <w:spacing w:val="-1"/>
          <w:w w:val="243"/>
        </w:rPr>
        <w:t>l</w:t>
      </w:r>
      <w:r>
        <w:rPr>
          <w:spacing w:val="-1"/>
          <w:w w:val="109"/>
        </w:rPr>
        <w:t>as </w:t>
      </w:r>
      <w:r>
        <w:rPr>
          <w:w w:val="110"/>
        </w:rPr>
        <w:t>nuevas</w:t>
      </w:r>
      <w:r>
        <w:rPr>
          <w:spacing w:val="-7"/>
          <w:w w:val="110"/>
        </w:rPr>
        <w:t> </w:t>
      </w:r>
      <w:r>
        <w:rPr>
          <w:w w:val="110"/>
        </w:rPr>
        <w:t>disputas</w:t>
      </w:r>
      <w:r>
        <w:rPr>
          <w:spacing w:val="-7"/>
          <w:w w:val="110"/>
        </w:rPr>
        <w:t> </w:t>
      </w:r>
      <w:r>
        <w:rPr>
          <w:w w:val="110"/>
        </w:rPr>
        <w:t>que</w:t>
      </w:r>
      <w:r>
        <w:rPr>
          <w:spacing w:val="-7"/>
          <w:w w:val="110"/>
        </w:rPr>
        <w:t> </w:t>
      </w:r>
      <w:r>
        <w:rPr>
          <w:w w:val="110"/>
        </w:rPr>
        <w:t>nos</w:t>
      </w:r>
      <w:r>
        <w:rPr>
          <w:spacing w:val="-7"/>
          <w:w w:val="110"/>
        </w:rPr>
        <w:t> </w:t>
      </w:r>
      <w:r>
        <w:rPr>
          <w:w w:val="110"/>
        </w:rPr>
        <w:t>pueden</w:t>
      </w:r>
      <w:r>
        <w:rPr>
          <w:spacing w:val="-7"/>
          <w:w w:val="110"/>
        </w:rPr>
        <w:t> </w:t>
      </w:r>
      <w:r>
        <w:rPr>
          <w:w w:val="110"/>
        </w:rPr>
        <w:t>llevar</w:t>
      </w:r>
      <w:r>
        <w:rPr>
          <w:spacing w:val="-7"/>
          <w:w w:val="110"/>
        </w:rPr>
        <w:t> </w:t>
      </w:r>
      <w:r>
        <w:rPr>
          <w:w w:val="110"/>
        </w:rPr>
        <w:t>a</w:t>
      </w:r>
      <w:r>
        <w:rPr>
          <w:spacing w:val="-7"/>
          <w:w w:val="110"/>
        </w:rPr>
        <w:t> </w:t>
      </w:r>
      <w:r>
        <w:rPr>
          <w:w w:val="110"/>
        </w:rPr>
        <w:t>las</w:t>
      </w:r>
      <w:r>
        <w:rPr>
          <w:spacing w:val="-7"/>
          <w:w w:val="110"/>
        </w:rPr>
        <w:t> </w:t>
      </w:r>
      <w:r>
        <w:rPr>
          <w:w w:val="110"/>
        </w:rPr>
        <w:t>guerras</w:t>
      </w:r>
      <w:r>
        <w:rPr>
          <w:spacing w:val="-7"/>
          <w:w w:val="110"/>
        </w:rPr>
        <w:t> </w:t>
      </w:r>
      <w:r>
        <w:rPr>
          <w:w w:val="110"/>
        </w:rPr>
        <w:t>tienen</w:t>
      </w:r>
      <w:r>
        <w:rPr>
          <w:spacing w:val="-7"/>
          <w:w w:val="110"/>
        </w:rPr>
        <w:t> </w:t>
      </w:r>
      <w:r>
        <w:rPr>
          <w:w w:val="110"/>
        </w:rPr>
        <w:t>que</w:t>
      </w:r>
      <w:r>
        <w:rPr>
          <w:spacing w:val="-7"/>
          <w:w w:val="110"/>
        </w:rPr>
        <w:t> </w:t>
      </w:r>
      <w:r>
        <w:rPr>
          <w:w w:val="110"/>
        </w:rPr>
        <w:t>ver</w:t>
      </w:r>
      <w:r>
        <w:rPr>
          <w:spacing w:val="-7"/>
          <w:w w:val="110"/>
        </w:rPr>
        <w:t> </w:t>
      </w:r>
      <w:r>
        <w:rPr>
          <w:w w:val="110"/>
        </w:rPr>
        <w:t>con la apropiación de los recursos necesarios para mantener el modelo de civilización capitalista que se revela inviable en el largo</w:t>
      </w:r>
      <w:r>
        <w:rPr>
          <w:spacing w:val="7"/>
          <w:w w:val="110"/>
        </w:rPr>
        <w:t> </w:t>
      </w:r>
      <w:r>
        <w:rPr>
          <w:w w:val="110"/>
        </w:rPr>
        <w:t>plazo.</w:t>
      </w:r>
    </w:p>
    <w:p>
      <w:pPr>
        <w:pStyle w:val="BodyText"/>
        <w:spacing w:before="5"/>
      </w:pPr>
    </w:p>
    <w:p>
      <w:pPr>
        <w:pStyle w:val="Heading6"/>
        <w:ind w:left="331"/>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spacing w:line="252" w:lineRule="auto" w:before="10"/>
        <w:ind w:left="727" w:right="0" w:hanging="397"/>
        <w:jc w:val="left"/>
        <w:rPr>
          <w:sz w:val="19"/>
        </w:rPr>
      </w:pPr>
      <w:r>
        <w:rPr>
          <w:w w:val="115"/>
          <w:sz w:val="19"/>
        </w:rPr>
        <w:t>alarcón, C. y soriano, </w:t>
      </w:r>
      <w:r>
        <w:rPr>
          <w:w w:val="130"/>
          <w:sz w:val="19"/>
        </w:rPr>
        <w:t>r. </w:t>
      </w:r>
      <w:r>
        <w:rPr>
          <w:w w:val="115"/>
          <w:sz w:val="19"/>
        </w:rPr>
        <w:t>2004 </w:t>
      </w:r>
      <w:r>
        <w:rPr>
          <w:i/>
          <w:w w:val="115"/>
          <w:sz w:val="19"/>
        </w:rPr>
        <w:t>El Nuevo orden Americano </w:t>
      </w:r>
      <w:r>
        <w:rPr>
          <w:w w:val="115"/>
          <w:sz w:val="19"/>
        </w:rPr>
        <w:t>(España: almuzara).</w:t>
      </w:r>
    </w:p>
    <w:p>
      <w:pPr>
        <w:spacing w:line="252" w:lineRule="auto" w:before="28"/>
        <w:ind w:left="727" w:right="819" w:hanging="397"/>
        <w:jc w:val="left"/>
        <w:rPr>
          <w:sz w:val="19"/>
        </w:rPr>
      </w:pPr>
      <w:r>
        <w:rPr>
          <w:w w:val="110"/>
          <w:sz w:val="19"/>
        </w:rPr>
        <w:t>attali, Jacques 2007 </w:t>
      </w:r>
      <w:r>
        <w:rPr>
          <w:i/>
          <w:w w:val="110"/>
          <w:sz w:val="19"/>
        </w:rPr>
        <w:t>Karl Marx o el espíritu del mundo </w:t>
      </w:r>
      <w:r>
        <w:rPr>
          <w:w w:val="110"/>
          <w:sz w:val="19"/>
        </w:rPr>
        <w:t>(buenos aires:  FCE).</w:t>
      </w:r>
    </w:p>
    <w:p>
      <w:pPr>
        <w:spacing w:line="252" w:lineRule="auto" w:before="28"/>
        <w:ind w:left="727" w:right="0" w:hanging="397"/>
        <w:jc w:val="left"/>
        <w:rPr>
          <w:sz w:val="19"/>
        </w:rPr>
      </w:pPr>
      <w:r>
        <w:rPr>
          <w:w w:val="110"/>
          <w:sz w:val="19"/>
        </w:rPr>
        <w:t>Calveiro, Pilar 2012 </w:t>
      </w:r>
      <w:r>
        <w:rPr>
          <w:i/>
          <w:w w:val="110"/>
          <w:sz w:val="19"/>
        </w:rPr>
        <w:t>Violencias de Estado. La guerra antiterrorista y la </w:t>
      </w:r>
      <w:r>
        <w:rPr>
          <w:i/>
          <w:w w:val="110"/>
          <w:sz w:val="19"/>
        </w:rPr>
        <w:t>guerra contra el crimen como medios de control global </w:t>
      </w:r>
      <w:r>
        <w:rPr>
          <w:w w:val="110"/>
          <w:sz w:val="19"/>
        </w:rPr>
        <w:t>(buenos aires:  siglo  </w:t>
      </w:r>
      <w:r>
        <w:rPr>
          <w:w w:val="130"/>
          <w:sz w:val="19"/>
        </w:rPr>
        <w:t>xxi</w:t>
      </w:r>
      <w:r>
        <w:rPr>
          <w:spacing w:val="50"/>
          <w:w w:val="130"/>
          <w:sz w:val="19"/>
        </w:rPr>
        <w:t> </w:t>
      </w:r>
      <w:r>
        <w:rPr>
          <w:w w:val="110"/>
          <w:sz w:val="19"/>
        </w:rPr>
        <w:t>Editores).</w:t>
      </w:r>
    </w:p>
    <w:p>
      <w:pPr>
        <w:pStyle w:val="BodyText"/>
        <w:spacing w:line="252" w:lineRule="auto" w:before="28"/>
        <w:ind w:left="727" w:right="103" w:hanging="397"/>
      </w:pPr>
      <w:r>
        <w:rPr>
          <w:w w:val="105"/>
        </w:rPr>
        <w:t>Clinton, Hilary 2010 “discurso sobre la Estrategia de seguridad  Nacional”, 28 de mayo de 2010 </w:t>
      </w:r>
      <w:r>
        <w:rPr>
          <w:spacing w:val="-3"/>
          <w:w w:val="105"/>
        </w:rPr>
        <w:t>(Washington: </w:t>
      </w:r>
      <w:r>
        <w:rPr>
          <w:w w:val="105"/>
        </w:rPr>
        <w:t>institución   brookings), en</w:t>
      </w:r>
      <w:r>
        <w:rPr>
          <w:spacing w:val="-14"/>
          <w:w w:val="105"/>
        </w:rPr>
        <w:t> </w:t>
      </w:r>
      <w:hyperlink r:id="rId432">
        <w:r>
          <w:rPr>
            <w:spacing w:val="-3"/>
            <w:w w:val="105"/>
          </w:rPr>
          <w:t>&lt;http://www.america.gov/st/peacesec-spanish/2010/</w:t>
        </w:r>
      </w:hyperlink>
      <w:r>
        <w:rPr>
          <w:spacing w:val="-3"/>
          <w:w w:val="105"/>
        </w:rPr>
        <w:t> May/201005281515312aczelaznog0.6399587.html?CP.rss=true&gt;.</w:t>
      </w:r>
    </w:p>
    <w:p>
      <w:pPr>
        <w:pStyle w:val="BodyText"/>
        <w:spacing w:line="252" w:lineRule="auto" w:before="28"/>
        <w:ind w:left="727" w:right="526" w:hanging="397"/>
      </w:pPr>
      <w:r>
        <w:rPr>
          <w:w w:val="110"/>
        </w:rPr>
        <w:t>Correa burrows, María Paulina 2005 “Proyecto para un Nuevo siglo americano y la ideologización de la diplomacia estadounidense”, en </w:t>
      </w:r>
      <w:r>
        <w:rPr>
          <w:i/>
          <w:w w:val="110"/>
        </w:rPr>
        <w:t>Revista Historia y Comunicación Social</w:t>
      </w:r>
      <w:r>
        <w:rPr>
          <w:w w:val="110"/>
        </w:rPr>
        <w:t>, </w:t>
      </w:r>
      <w:r>
        <w:rPr>
          <w:w w:val="105"/>
        </w:rPr>
        <w:t>Nº 10, en </w:t>
      </w:r>
      <w:hyperlink r:id="rId433">
        <w:r>
          <w:rPr>
            <w:w w:val="105"/>
          </w:rPr>
          <w:t>&lt;http://www.ucm.es/buCM/revistas/inf/11370734/</w:t>
        </w:r>
      </w:hyperlink>
      <w:r>
        <w:rPr>
          <w:w w:val="105"/>
        </w:rPr>
        <w:t> </w:t>
      </w:r>
      <w:r>
        <w:rPr>
          <w:w w:val="110"/>
        </w:rPr>
        <w:t>articulos/HiCs0505110073a.PdF&gt;.</w:t>
      </w:r>
    </w:p>
    <w:p>
      <w:pPr>
        <w:pStyle w:val="BodyText"/>
        <w:spacing w:line="252" w:lineRule="auto" w:before="28"/>
        <w:ind w:left="727" w:right="215" w:hanging="397"/>
      </w:pPr>
      <w:r>
        <w:rPr>
          <w:w w:val="115"/>
        </w:rPr>
        <w:t>García</w:t>
      </w:r>
      <w:r>
        <w:rPr>
          <w:spacing w:val="-15"/>
          <w:w w:val="115"/>
        </w:rPr>
        <w:t> </w:t>
      </w:r>
      <w:r>
        <w:rPr>
          <w:w w:val="115"/>
        </w:rPr>
        <w:t>Cantalapiedra,</w:t>
      </w:r>
      <w:r>
        <w:rPr>
          <w:spacing w:val="-15"/>
          <w:w w:val="115"/>
        </w:rPr>
        <w:t> </w:t>
      </w:r>
      <w:r>
        <w:rPr>
          <w:w w:val="115"/>
        </w:rPr>
        <w:t>david</w:t>
      </w:r>
      <w:r>
        <w:rPr>
          <w:spacing w:val="-15"/>
          <w:w w:val="115"/>
        </w:rPr>
        <w:t> </w:t>
      </w:r>
      <w:r>
        <w:rPr>
          <w:w w:val="115"/>
        </w:rPr>
        <w:t>2009</w:t>
      </w:r>
      <w:r>
        <w:rPr>
          <w:spacing w:val="-15"/>
          <w:w w:val="115"/>
        </w:rPr>
        <w:t> </w:t>
      </w:r>
      <w:r>
        <w:rPr>
          <w:w w:val="115"/>
        </w:rPr>
        <w:t>“Estados</w:t>
      </w:r>
      <w:r>
        <w:rPr>
          <w:spacing w:val="-15"/>
          <w:w w:val="115"/>
        </w:rPr>
        <w:t> </w:t>
      </w:r>
      <w:r>
        <w:rPr>
          <w:w w:val="115"/>
        </w:rPr>
        <w:t>unidos</w:t>
      </w:r>
      <w:r>
        <w:rPr>
          <w:spacing w:val="-15"/>
          <w:w w:val="115"/>
        </w:rPr>
        <w:t> </w:t>
      </w:r>
      <w:r>
        <w:rPr>
          <w:w w:val="115"/>
        </w:rPr>
        <w:t>y</w:t>
      </w:r>
      <w:r>
        <w:rPr>
          <w:spacing w:val="-15"/>
          <w:w w:val="115"/>
        </w:rPr>
        <w:t> </w:t>
      </w:r>
      <w:r>
        <w:rPr>
          <w:w w:val="115"/>
        </w:rPr>
        <w:t>las</w:t>
      </w:r>
      <w:r>
        <w:rPr>
          <w:spacing w:val="-15"/>
          <w:w w:val="115"/>
        </w:rPr>
        <w:t> </w:t>
      </w:r>
      <w:r>
        <w:rPr>
          <w:w w:val="115"/>
        </w:rPr>
        <w:t>prioridades de política exterior de la administración obama (dt)”, en real instituto El Cano, </w:t>
      </w:r>
      <w:r>
        <w:rPr>
          <w:w w:val="130"/>
        </w:rPr>
        <w:t>dt </w:t>
      </w:r>
      <w:r>
        <w:rPr>
          <w:w w:val="115"/>
        </w:rPr>
        <w:t>16/2009-26/03/2009, en </w:t>
      </w:r>
      <w:hyperlink r:id="rId139">
        <w:r>
          <w:rPr>
            <w:w w:val="115"/>
          </w:rPr>
          <w:t>&lt;http://www</w:t>
        </w:r>
      </w:hyperlink>
      <w:r>
        <w:rPr>
          <w:w w:val="115"/>
        </w:rPr>
        <w:t>. </w:t>
      </w:r>
      <w:r>
        <w:rPr>
          <w:w w:val="110"/>
        </w:rPr>
        <w:t>realinstitutoelcano.org/wps/portal/rielcano/contenido?WCM_ </w:t>
      </w:r>
      <w:r>
        <w:rPr>
          <w:w w:val="115"/>
        </w:rPr>
        <w:t>Global_CoNtExt=/elcano/elcano_es/zonas_es/EE.uu.- dialogo+trasatlantico/dt16-2009&gt;.</w:t>
      </w:r>
    </w:p>
    <w:p>
      <w:pPr>
        <w:pStyle w:val="BodyText"/>
        <w:spacing w:line="252" w:lineRule="auto" w:before="28"/>
        <w:ind w:left="727" w:right="108" w:hanging="397"/>
      </w:pPr>
      <w:r>
        <w:rPr>
          <w:spacing w:val="-1"/>
          <w:w w:val="111"/>
        </w:rPr>
        <w:t>Fernández</w:t>
      </w:r>
      <w:r>
        <w:rPr>
          <w:w w:val="111"/>
        </w:rPr>
        <w:t>,</w:t>
      </w:r>
      <w:r>
        <w:rPr>
          <w:spacing w:val="10"/>
        </w:rPr>
        <w:t> </w:t>
      </w:r>
      <w:r>
        <w:rPr>
          <w:spacing w:val="-1"/>
          <w:w w:val="243"/>
        </w:rPr>
        <w:t>l</w:t>
      </w:r>
      <w:r>
        <w:rPr>
          <w:spacing w:val="-1"/>
          <w:w w:val="111"/>
        </w:rPr>
        <w:t>ui</w:t>
      </w:r>
      <w:r>
        <w:rPr>
          <w:w w:val="111"/>
        </w:rPr>
        <w:t>s</w:t>
      </w:r>
      <w:r>
        <w:rPr>
          <w:spacing w:val="10"/>
        </w:rPr>
        <w:t> </w:t>
      </w:r>
      <w:r>
        <w:rPr>
          <w:spacing w:val="-1"/>
          <w:w w:val="182"/>
        </w:rPr>
        <w:t>r</w:t>
      </w:r>
      <w:r>
        <w:rPr>
          <w:spacing w:val="-1"/>
          <w:w w:val="107"/>
        </w:rPr>
        <w:t>en</w:t>
      </w:r>
      <w:r>
        <w:rPr>
          <w:w w:val="107"/>
        </w:rPr>
        <w:t>é</w:t>
      </w:r>
      <w:r>
        <w:rPr>
          <w:spacing w:val="10"/>
        </w:rPr>
        <w:t> </w:t>
      </w:r>
      <w:r>
        <w:rPr>
          <w:spacing w:val="-1"/>
          <w:w w:val="102"/>
        </w:rPr>
        <w:t>201</w:t>
      </w:r>
      <w:r>
        <w:rPr>
          <w:w w:val="102"/>
        </w:rPr>
        <w:t>3</w:t>
      </w:r>
      <w:r>
        <w:rPr>
          <w:spacing w:val="10"/>
        </w:rPr>
        <w:t> </w:t>
      </w:r>
      <w:r>
        <w:rPr>
          <w:spacing w:val="-1"/>
          <w:w w:val="126"/>
        </w:rPr>
        <w:t>“EE.</w:t>
      </w:r>
      <w:r>
        <w:rPr>
          <w:spacing w:val="-1"/>
          <w:w w:val="140"/>
        </w:rPr>
        <w:t>uu</w:t>
      </w:r>
      <w:r>
        <w:rPr>
          <w:spacing w:val="-1"/>
          <w:w w:val="121"/>
        </w:rPr>
        <w:t>.</w:t>
      </w:r>
      <w:r>
        <w:rPr>
          <w:w w:val="121"/>
        </w:rPr>
        <w:t>:</w:t>
      </w:r>
      <w:r>
        <w:rPr>
          <w:spacing w:val="10"/>
        </w:rPr>
        <w:t> </w:t>
      </w:r>
      <w:r>
        <w:rPr>
          <w:spacing w:val="-1"/>
          <w:w w:val="107"/>
        </w:rPr>
        <w:t>perspectiv</w:t>
      </w:r>
      <w:r>
        <w:rPr>
          <w:w w:val="107"/>
        </w:rPr>
        <w:t>a</w:t>
      </w:r>
      <w:r>
        <w:rPr>
          <w:spacing w:val="10"/>
        </w:rPr>
        <w:t> </w:t>
      </w:r>
      <w:r>
        <w:rPr>
          <w:spacing w:val="-1"/>
          <w:w w:val="111"/>
        </w:rPr>
        <w:t>geoeconómica </w:t>
      </w:r>
      <w:r>
        <w:rPr>
          <w:w w:val="115"/>
        </w:rPr>
        <w:t>mundial</w:t>
      </w:r>
      <w:r>
        <w:rPr>
          <w:spacing w:val="-27"/>
          <w:w w:val="115"/>
        </w:rPr>
        <w:t> </w:t>
      </w:r>
      <w:r>
        <w:rPr>
          <w:w w:val="115"/>
        </w:rPr>
        <w:t>y</w:t>
      </w:r>
      <w:r>
        <w:rPr>
          <w:spacing w:val="-27"/>
          <w:w w:val="115"/>
        </w:rPr>
        <w:t> </w:t>
      </w:r>
      <w:r>
        <w:rPr>
          <w:w w:val="115"/>
        </w:rPr>
        <w:t>Nuevo</w:t>
      </w:r>
      <w:r>
        <w:rPr>
          <w:spacing w:val="-27"/>
          <w:w w:val="115"/>
        </w:rPr>
        <w:t> </w:t>
      </w:r>
      <w:r>
        <w:rPr>
          <w:w w:val="115"/>
        </w:rPr>
        <w:t>patrón</w:t>
      </w:r>
      <w:r>
        <w:rPr>
          <w:spacing w:val="-27"/>
          <w:w w:val="115"/>
        </w:rPr>
        <w:t> </w:t>
      </w:r>
      <w:r>
        <w:rPr>
          <w:w w:val="115"/>
        </w:rPr>
        <w:t>de</w:t>
      </w:r>
      <w:r>
        <w:rPr>
          <w:spacing w:val="-27"/>
          <w:w w:val="115"/>
        </w:rPr>
        <w:t> </w:t>
      </w:r>
      <w:r>
        <w:rPr>
          <w:w w:val="115"/>
        </w:rPr>
        <w:t>proyección</w:t>
      </w:r>
      <w:r>
        <w:rPr>
          <w:spacing w:val="-27"/>
          <w:w w:val="115"/>
        </w:rPr>
        <w:t> </w:t>
      </w:r>
      <w:r>
        <w:rPr>
          <w:w w:val="115"/>
        </w:rPr>
        <w:t>externa”,</w:t>
      </w:r>
      <w:r>
        <w:rPr>
          <w:spacing w:val="-27"/>
          <w:w w:val="115"/>
        </w:rPr>
        <w:t> </w:t>
      </w:r>
      <w:r>
        <w:rPr>
          <w:w w:val="115"/>
        </w:rPr>
        <w:t>en</w:t>
      </w:r>
      <w:r>
        <w:rPr>
          <w:spacing w:val="-27"/>
          <w:w w:val="115"/>
        </w:rPr>
        <w:t> </w:t>
      </w:r>
      <w:r>
        <w:rPr>
          <w:i/>
          <w:w w:val="115"/>
        </w:rPr>
        <w:t>Cuadernos</w:t>
      </w:r>
      <w:r>
        <w:rPr>
          <w:i/>
          <w:spacing w:val="-27"/>
          <w:w w:val="115"/>
        </w:rPr>
        <w:t> </w:t>
      </w:r>
      <w:r>
        <w:rPr>
          <w:i/>
          <w:w w:val="115"/>
        </w:rPr>
        <w:t>de </w:t>
      </w:r>
      <w:r>
        <w:rPr>
          <w:i/>
          <w:w w:val="115"/>
        </w:rPr>
        <w:t>Nuestra</w:t>
      </w:r>
      <w:r>
        <w:rPr>
          <w:i/>
          <w:spacing w:val="-6"/>
          <w:w w:val="115"/>
        </w:rPr>
        <w:t> </w:t>
      </w:r>
      <w:r>
        <w:rPr>
          <w:i/>
          <w:w w:val="115"/>
        </w:rPr>
        <w:t>América</w:t>
      </w:r>
      <w:r>
        <w:rPr>
          <w:w w:val="115"/>
        </w:rPr>
        <w:t>,</w:t>
      </w:r>
      <w:r>
        <w:rPr>
          <w:spacing w:val="-6"/>
          <w:w w:val="115"/>
        </w:rPr>
        <w:t> </w:t>
      </w:r>
      <w:r>
        <w:rPr>
          <w:spacing w:val="-5"/>
          <w:w w:val="115"/>
        </w:rPr>
        <w:t>Vol.</w:t>
      </w:r>
      <w:r>
        <w:rPr>
          <w:spacing w:val="-6"/>
          <w:w w:val="115"/>
        </w:rPr>
        <w:t> </w:t>
      </w:r>
      <w:r>
        <w:rPr>
          <w:spacing w:val="-6"/>
          <w:w w:val="120"/>
        </w:rPr>
        <w:t>xxiV,</w:t>
      </w:r>
      <w:r>
        <w:rPr>
          <w:spacing w:val="-8"/>
          <w:w w:val="120"/>
        </w:rPr>
        <w:t> </w:t>
      </w:r>
      <w:r>
        <w:rPr>
          <w:w w:val="115"/>
        </w:rPr>
        <w:t>Nº</w:t>
      </w:r>
      <w:r>
        <w:rPr>
          <w:spacing w:val="-6"/>
          <w:w w:val="115"/>
        </w:rPr>
        <w:t> </w:t>
      </w:r>
      <w:r>
        <w:rPr>
          <w:w w:val="115"/>
        </w:rPr>
        <w:t>47,</w:t>
      </w:r>
      <w:r>
        <w:rPr>
          <w:spacing w:val="-6"/>
          <w:w w:val="115"/>
        </w:rPr>
        <w:t> </w:t>
      </w:r>
      <w:r>
        <w:rPr>
          <w:w w:val="115"/>
        </w:rPr>
        <w:t>julio-diciembre</w:t>
      </w:r>
      <w:r>
        <w:rPr>
          <w:spacing w:val="-6"/>
          <w:w w:val="115"/>
        </w:rPr>
        <w:t> </w:t>
      </w:r>
      <w:r>
        <w:rPr>
          <w:w w:val="115"/>
        </w:rPr>
        <w:t>(Cuba:</w:t>
      </w:r>
      <w:r>
        <w:rPr>
          <w:spacing w:val="-6"/>
          <w:w w:val="115"/>
        </w:rPr>
        <w:t> </w:t>
      </w:r>
      <w:r>
        <w:rPr>
          <w:w w:val="115"/>
        </w:rPr>
        <w:t>CiPi).</w:t>
      </w:r>
    </w:p>
    <w:p>
      <w:pPr>
        <w:spacing w:line="283" w:lineRule="auto" w:before="28"/>
        <w:ind w:left="330" w:right="121" w:firstLine="0"/>
        <w:jc w:val="both"/>
        <w:rPr>
          <w:i/>
          <w:sz w:val="19"/>
        </w:rPr>
      </w:pPr>
      <w:r>
        <w:rPr>
          <w:w w:val="115"/>
          <w:sz w:val="19"/>
        </w:rPr>
        <w:t>Hobsbawm,</w:t>
      </w:r>
      <w:r>
        <w:rPr>
          <w:spacing w:val="-24"/>
          <w:w w:val="115"/>
          <w:sz w:val="19"/>
        </w:rPr>
        <w:t> </w:t>
      </w:r>
      <w:r>
        <w:rPr>
          <w:w w:val="115"/>
          <w:sz w:val="19"/>
        </w:rPr>
        <w:t>Eric</w:t>
      </w:r>
      <w:r>
        <w:rPr>
          <w:spacing w:val="-24"/>
          <w:w w:val="115"/>
          <w:sz w:val="19"/>
        </w:rPr>
        <w:t> </w:t>
      </w:r>
      <w:r>
        <w:rPr>
          <w:w w:val="115"/>
          <w:sz w:val="19"/>
        </w:rPr>
        <w:t>2007</w:t>
      </w:r>
      <w:r>
        <w:rPr>
          <w:spacing w:val="-24"/>
          <w:w w:val="115"/>
          <w:sz w:val="19"/>
        </w:rPr>
        <w:t> </w:t>
      </w:r>
      <w:r>
        <w:rPr>
          <w:i/>
          <w:w w:val="115"/>
          <w:sz w:val="19"/>
        </w:rPr>
        <w:t>Guerra</w:t>
      </w:r>
      <w:r>
        <w:rPr>
          <w:i/>
          <w:spacing w:val="-24"/>
          <w:w w:val="115"/>
          <w:sz w:val="19"/>
        </w:rPr>
        <w:t> </w:t>
      </w:r>
      <w:r>
        <w:rPr>
          <w:i/>
          <w:w w:val="115"/>
          <w:sz w:val="19"/>
        </w:rPr>
        <w:t>y</w:t>
      </w:r>
      <w:r>
        <w:rPr>
          <w:i/>
          <w:spacing w:val="-24"/>
          <w:w w:val="115"/>
          <w:sz w:val="19"/>
        </w:rPr>
        <w:t> </w:t>
      </w:r>
      <w:r>
        <w:rPr>
          <w:i/>
          <w:w w:val="115"/>
          <w:sz w:val="19"/>
        </w:rPr>
        <w:t>paz</w:t>
      </w:r>
      <w:r>
        <w:rPr>
          <w:i/>
          <w:spacing w:val="-24"/>
          <w:w w:val="115"/>
          <w:sz w:val="19"/>
        </w:rPr>
        <w:t> </w:t>
      </w:r>
      <w:r>
        <w:rPr>
          <w:i/>
          <w:w w:val="115"/>
          <w:sz w:val="19"/>
        </w:rPr>
        <w:t>en</w:t>
      </w:r>
      <w:r>
        <w:rPr>
          <w:i/>
          <w:spacing w:val="-24"/>
          <w:w w:val="115"/>
          <w:sz w:val="19"/>
        </w:rPr>
        <w:t> </w:t>
      </w:r>
      <w:r>
        <w:rPr>
          <w:i/>
          <w:w w:val="115"/>
          <w:sz w:val="19"/>
        </w:rPr>
        <w:t>el</w:t>
      </w:r>
      <w:r>
        <w:rPr>
          <w:i/>
          <w:spacing w:val="-24"/>
          <w:w w:val="115"/>
          <w:sz w:val="19"/>
        </w:rPr>
        <w:t> </w:t>
      </w:r>
      <w:r>
        <w:rPr>
          <w:i/>
          <w:w w:val="115"/>
          <w:sz w:val="19"/>
        </w:rPr>
        <w:t>siglo</w:t>
      </w:r>
      <w:r>
        <w:rPr>
          <w:i/>
          <w:spacing w:val="-24"/>
          <w:w w:val="115"/>
          <w:sz w:val="19"/>
        </w:rPr>
        <w:t> </w:t>
      </w:r>
      <w:r>
        <w:rPr>
          <w:i/>
          <w:w w:val="115"/>
          <w:sz w:val="19"/>
        </w:rPr>
        <w:t>XXI</w:t>
      </w:r>
      <w:r>
        <w:rPr>
          <w:i/>
          <w:spacing w:val="-24"/>
          <w:w w:val="115"/>
          <w:sz w:val="19"/>
        </w:rPr>
        <w:t> </w:t>
      </w:r>
      <w:r>
        <w:rPr>
          <w:w w:val="115"/>
          <w:sz w:val="19"/>
        </w:rPr>
        <w:t>(barcelona:</w:t>
      </w:r>
      <w:r>
        <w:rPr>
          <w:spacing w:val="-24"/>
          <w:w w:val="115"/>
          <w:sz w:val="19"/>
        </w:rPr>
        <w:t> </w:t>
      </w:r>
      <w:r>
        <w:rPr>
          <w:w w:val="115"/>
          <w:sz w:val="19"/>
        </w:rPr>
        <w:t>Crítica). Hoffman,</w:t>
      </w:r>
      <w:r>
        <w:rPr>
          <w:spacing w:val="-5"/>
          <w:w w:val="115"/>
          <w:sz w:val="19"/>
        </w:rPr>
        <w:t> </w:t>
      </w:r>
      <w:r>
        <w:rPr>
          <w:w w:val="115"/>
          <w:sz w:val="19"/>
        </w:rPr>
        <w:t>stanley</w:t>
      </w:r>
      <w:r>
        <w:rPr>
          <w:spacing w:val="-5"/>
          <w:w w:val="115"/>
          <w:sz w:val="19"/>
        </w:rPr>
        <w:t> </w:t>
      </w:r>
      <w:r>
        <w:rPr>
          <w:w w:val="115"/>
          <w:sz w:val="19"/>
        </w:rPr>
        <w:t>2002</w:t>
      </w:r>
      <w:r>
        <w:rPr>
          <w:spacing w:val="-5"/>
          <w:w w:val="115"/>
          <w:sz w:val="19"/>
        </w:rPr>
        <w:t> </w:t>
      </w:r>
      <w:r>
        <w:rPr>
          <w:w w:val="115"/>
          <w:sz w:val="19"/>
        </w:rPr>
        <w:t>“the</w:t>
      </w:r>
      <w:r>
        <w:rPr>
          <w:spacing w:val="-5"/>
          <w:w w:val="115"/>
          <w:sz w:val="19"/>
        </w:rPr>
        <w:t> </w:t>
      </w:r>
      <w:r>
        <w:rPr>
          <w:w w:val="115"/>
          <w:sz w:val="19"/>
        </w:rPr>
        <w:t>Clash</w:t>
      </w:r>
      <w:r>
        <w:rPr>
          <w:spacing w:val="-5"/>
          <w:w w:val="115"/>
          <w:sz w:val="19"/>
        </w:rPr>
        <w:t> </w:t>
      </w:r>
      <w:r>
        <w:rPr>
          <w:w w:val="115"/>
          <w:sz w:val="19"/>
        </w:rPr>
        <w:t>of</w:t>
      </w:r>
      <w:r>
        <w:rPr>
          <w:spacing w:val="-5"/>
          <w:w w:val="115"/>
          <w:sz w:val="19"/>
        </w:rPr>
        <w:t> </w:t>
      </w:r>
      <w:r>
        <w:rPr>
          <w:w w:val="115"/>
          <w:sz w:val="19"/>
        </w:rPr>
        <w:t>Globalizations”,</w:t>
      </w:r>
      <w:r>
        <w:rPr>
          <w:spacing w:val="-5"/>
          <w:w w:val="115"/>
          <w:sz w:val="19"/>
        </w:rPr>
        <w:t> </w:t>
      </w:r>
      <w:r>
        <w:rPr>
          <w:w w:val="115"/>
          <w:sz w:val="19"/>
        </w:rPr>
        <w:t>en</w:t>
      </w:r>
      <w:r>
        <w:rPr>
          <w:spacing w:val="-5"/>
          <w:w w:val="115"/>
          <w:sz w:val="19"/>
        </w:rPr>
        <w:t> </w:t>
      </w:r>
      <w:r>
        <w:rPr>
          <w:i/>
          <w:w w:val="115"/>
          <w:sz w:val="19"/>
        </w:rPr>
        <w:t>Foreign</w:t>
      </w:r>
    </w:p>
    <w:p>
      <w:pPr>
        <w:pStyle w:val="BodyText"/>
        <w:spacing w:line="194" w:lineRule="exact"/>
        <w:ind w:left="727"/>
      </w:pPr>
      <w:r>
        <w:rPr>
          <w:i/>
          <w:w w:val="110"/>
        </w:rPr>
        <w:t>Affairs</w:t>
      </w:r>
      <w:r>
        <w:rPr>
          <w:w w:val="110"/>
        </w:rPr>
        <w:t>, Vol. 81, Nº 4, p. 104; citado por Pizarro, Eduardo   en</w:t>
      </w:r>
    </w:p>
    <w:p>
      <w:pPr>
        <w:spacing w:line="252" w:lineRule="auto" w:before="11"/>
        <w:ind w:left="727" w:right="128" w:firstLine="0"/>
        <w:jc w:val="left"/>
        <w:rPr>
          <w:sz w:val="19"/>
        </w:rPr>
      </w:pPr>
      <w:r>
        <w:rPr>
          <w:w w:val="110"/>
          <w:sz w:val="19"/>
        </w:rPr>
        <w:t>“terrorismo y democracia. El caso de Colombia”, p. 30, en    botero, reinaldo </w:t>
      </w:r>
      <w:r>
        <w:rPr>
          <w:i/>
          <w:w w:val="110"/>
          <w:sz w:val="19"/>
        </w:rPr>
        <w:t>et al. </w:t>
      </w:r>
      <w:r>
        <w:rPr>
          <w:i/>
          <w:spacing w:val="-3"/>
          <w:w w:val="110"/>
          <w:sz w:val="19"/>
        </w:rPr>
        <w:t>Terrorismo  </w:t>
      </w:r>
      <w:r>
        <w:rPr>
          <w:i/>
          <w:w w:val="110"/>
          <w:sz w:val="19"/>
        </w:rPr>
        <w:t>&amp; Seguridad </w:t>
      </w:r>
      <w:r>
        <w:rPr>
          <w:w w:val="110"/>
          <w:sz w:val="19"/>
        </w:rPr>
        <w:t>(bogotá:  </w:t>
      </w:r>
      <w:r>
        <w:rPr>
          <w:spacing w:val="25"/>
          <w:w w:val="110"/>
          <w:sz w:val="19"/>
        </w:rPr>
        <w:t> </w:t>
      </w:r>
      <w:r>
        <w:rPr>
          <w:w w:val="110"/>
          <w:sz w:val="19"/>
        </w:rPr>
        <w:t>Planeta).</w:t>
      </w:r>
    </w:p>
    <w:p>
      <w:pPr>
        <w:spacing w:line="252" w:lineRule="auto" w:before="28"/>
        <w:ind w:left="727" w:right="161" w:hanging="397"/>
        <w:jc w:val="left"/>
        <w:rPr>
          <w:sz w:val="19"/>
        </w:rPr>
      </w:pPr>
      <w:r>
        <w:rPr>
          <w:w w:val="115"/>
          <w:sz w:val="19"/>
        </w:rPr>
        <w:t>Kugler, richard </w:t>
      </w:r>
      <w:r>
        <w:rPr>
          <w:w w:val="160"/>
          <w:sz w:val="19"/>
        </w:rPr>
        <w:t>l. </w:t>
      </w:r>
      <w:r>
        <w:rPr>
          <w:w w:val="115"/>
          <w:sz w:val="19"/>
        </w:rPr>
        <w:t>2003 “un internacionalismo estadounidense distinto en un mundo globalizado”, en </w:t>
      </w:r>
      <w:r>
        <w:rPr>
          <w:i/>
          <w:w w:val="115"/>
          <w:sz w:val="19"/>
        </w:rPr>
        <w:t>Estrategia de Seguridad </w:t>
      </w:r>
      <w:r>
        <w:rPr>
          <w:i/>
          <w:w w:val="115"/>
          <w:sz w:val="19"/>
        </w:rPr>
        <w:t>nacional. Una nueva era </w:t>
      </w:r>
      <w:r>
        <w:rPr>
          <w:w w:val="115"/>
          <w:sz w:val="19"/>
        </w:rPr>
        <w:t>(bogotá: Embajada de EE.uu./sección Cultural e informativa).</w:t>
      </w:r>
    </w:p>
    <w:p>
      <w:pPr>
        <w:spacing w:line="252" w:lineRule="auto" w:before="28"/>
        <w:ind w:left="727" w:right="218" w:hanging="397"/>
        <w:jc w:val="left"/>
        <w:rPr>
          <w:sz w:val="19"/>
        </w:rPr>
      </w:pPr>
      <w:r>
        <w:rPr>
          <w:w w:val="115"/>
          <w:sz w:val="19"/>
        </w:rPr>
        <w:t>Marx,</w:t>
      </w:r>
      <w:r>
        <w:rPr>
          <w:spacing w:val="-9"/>
          <w:w w:val="115"/>
          <w:sz w:val="19"/>
        </w:rPr>
        <w:t> </w:t>
      </w:r>
      <w:r>
        <w:rPr>
          <w:w w:val="115"/>
          <w:sz w:val="19"/>
        </w:rPr>
        <w:t>Carlos</w:t>
      </w:r>
      <w:r>
        <w:rPr>
          <w:spacing w:val="-9"/>
          <w:w w:val="115"/>
          <w:sz w:val="19"/>
        </w:rPr>
        <w:t> </w:t>
      </w:r>
      <w:r>
        <w:rPr>
          <w:w w:val="115"/>
          <w:sz w:val="19"/>
        </w:rPr>
        <w:t>1966</w:t>
      </w:r>
      <w:r>
        <w:rPr>
          <w:spacing w:val="-9"/>
          <w:w w:val="115"/>
          <w:sz w:val="19"/>
        </w:rPr>
        <w:t> </w:t>
      </w:r>
      <w:r>
        <w:rPr>
          <w:i/>
          <w:w w:val="115"/>
          <w:sz w:val="19"/>
        </w:rPr>
        <w:t>El</w:t>
      </w:r>
      <w:r>
        <w:rPr>
          <w:i/>
          <w:spacing w:val="-9"/>
          <w:w w:val="115"/>
          <w:sz w:val="19"/>
        </w:rPr>
        <w:t> </w:t>
      </w:r>
      <w:r>
        <w:rPr>
          <w:i/>
          <w:w w:val="115"/>
          <w:sz w:val="19"/>
        </w:rPr>
        <w:t>Capital.</w:t>
      </w:r>
      <w:r>
        <w:rPr>
          <w:i/>
          <w:spacing w:val="-9"/>
          <w:w w:val="115"/>
          <w:sz w:val="19"/>
        </w:rPr>
        <w:t> </w:t>
      </w:r>
      <w:r>
        <w:rPr>
          <w:i/>
          <w:w w:val="115"/>
          <w:sz w:val="19"/>
        </w:rPr>
        <w:t>Crítica</w:t>
      </w:r>
      <w:r>
        <w:rPr>
          <w:i/>
          <w:spacing w:val="-9"/>
          <w:w w:val="115"/>
          <w:sz w:val="19"/>
        </w:rPr>
        <w:t> </w:t>
      </w:r>
      <w:r>
        <w:rPr>
          <w:i/>
          <w:w w:val="115"/>
          <w:sz w:val="19"/>
        </w:rPr>
        <w:t>de</w:t>
      </w:r>
      <w:r>
        <w:rPr>
          <w:i/>
          <w:spacing w:val="-9"/>
          <w:w w:val="115"/>
          <w:sz w:val="19"/>
        </w:rPr>
        <w:t> </w:t>
      </w:r>
      <w:r>
        <w:rPr>
          <w:i/>
          <w:w w:val="115"/>
          <w:sz w:val="19"/>
        </w:rPr>
        <w:t>la</w:t>
      </w:r>
      <w:r>
        <w:rPr>
          <w:i/>
          <w:spacing w:val="-9"/>
          <w:w w:val="115"/>
          <w:sz w:val="19"/>
        </w:rPr>
        <w:t> </w:t>
      </w:r>
      <w:r>
        <w:rPr>
          <w:i/>
          <w:w w:val="115"/>
          <w:sz w:val="19"/>
        </w:rPr>
        <w:t>Economía</w:t>
      </w:r>
      <w:r>
        <w:rPr>
          <w:i/>
          <w:spacing w:val="-9"/>
          <w:w w:val="115"/>
          <w:sz w:val="19"/>
        </w:rPr>
        <w:t> </w:t>
      </w:r>
      <w:r>
        <w:rPr>
          <w:i/>
          <w:w w:val="115"/>
          <w:sz w:val="19"/>
        </w:rPr>
        <w:t>Política</w:t>
      </w:r>
      <w:r>
        <w:rPr>
          <w:w w:val="115"/>
          <w:sz w:val="19"/>
        </w:rPr>
        <w:t>,</w:t>
      </w:r>
      <w:r>
        <w:rPr>
          <w:spacing w:val="-9"/>
          <w:w w:val="115"/>
          <w:sz w:val="19"/>
        </w:rPr>
        <w:t> </w:t>
      </w:r>
      <w:r>
        <w:rPr>
          <w:w w:val="115"/>
          <w:sz w:val="19"/>
        </w:rPr>
        <w:t>tomo</w:t>
      </w:r>
      <w:r>
        <w:rPr>
          <w:spacing w:val="-9"/>
          <w:w w:val="115"/>
          <w:sz w:val="19"/>
        </w:rPr>
        <w:t> </w:t>
      </w:r>
      <w:r>
        <w:rPr>
          <w:w w:val="115"/>
          <w:sz w:val="19"/>
        </w:rPr>
        <w:t>i (México:</w:t>
      </w:r>
      <w:r>
        <w:rPr>
          <w:spacing w:val="7"/>
          <w:w w:val="115"/>
          <w:sz w:val="19"/>
        </w:rPr>
        <w:t> </w:t>
      </w:r>
      <w:r>
        <w:rPr>
          <w:w w:val="115"/>
          <w:sz w:val="19"/>
        </w:rPr>
        <w:t>FCE).</w:t>
      </w:r>
    </w:p>
    <w:p>
      <w:pPr>
        <w:spacing w:after="0" w:line="252" w:lineRule="auto"/>
        <w:jc w:val="left"/>
        <w:rPr>
          <w:sz w:val="19"/>
        </w:rPr>
        <w:sectPr>
          <w:footerReference w:type="default" r:id="rId430"/>
          <w:footerReference w:type="even" r:id="rId431"/>
          <w:pgSz w:w="8790" w:h="12760"/>
          <w:pgMar w:footer="725" w:header="695" w:top="880" w:bottom="920" w:left="1200" w:right="920"/>
        </w:sectPr>
      </w:pPr>
    </w:p>
    <w:p>
      <w:pPr>
        <w:pStyle w:val="BodyText"/>
        <w:spacing w:before="9"/>
        <w:rPr>
          <w:sz w:val="28"/>
        </w:rPr>
      </w:pPr>
    </w:p>
    <w:p>
      <w:pPr>
        <w:pStyle w:val="BodyText"/>
        <w:spacing w:line="252" w:lineRule="auto" w:before="73"/>
        <w:ind w:left="497" w:right="382" w:hanging="397"/>
      </w:pPr>
      <w:r>
        <w:rPr>
          <w:w w:val="110"/>
        </w:rPr>
        <w:t>obama, barack 2010 “introducción del presidente obama a la Estrategia de seguridad Nacional”, Washington d.C., en &lt;http:// </w:t>
      </w:r>
      <w:hyperlink r:id="rId434">
        <w:r>
          <w:rPr/>
          <w:t>www.america.gov/st/peacesec-spanish/2010/May/2010052808341</w:t>
        </w:r>
      </w:hyperlink>
      <w:r>
        <w:rPr/>
        <w:t> </w:t>
      </w:r>
      <w:r>
        <w:rPr>
          <w:w w:val="110"/>
        </w:rPr>
        <w:t>3fjnoeled6.213015e-02.html?CP.rss=true&gt;.</w:t>
      </w:r>
    </w:p>
    <w:p>
      <w:pPr>
        <w:pStyle w:val="BodyText"/>
        <w:spacing w:line="252" w:lineRule="auto" w:before="28"/>
        <w:ind w:left="497" w:right="823" w:hanging="397"/>
      </w:pPr>
      <w:r>
        <w:rPr>
          <w:w w:val="110"/>
        </w:rPr>
        <w:t>obama, barack 2009 “discurso de toma  de  posesión”,  20  de enero de 2009, Washington d.C., en &lt;http://www.america. </w:t>
      </w:r>
      <w:r>
        <w:rPr>
          <w:w w:val="105"/>
        </w:rPr>
        <w:t>gov/st/usg-spanish/2009/January/20090121073521liameru </w:t>
      </w:r>
      <w:r>
        <w:rPr>
          <w:w w:val="110"/>
        </w:rPr>
        <w:t>oy0.5717432.html&gt;.</w:t>
      </w:r>
    </w:p>
    <w:p>
      <w:pPr>
        <w:pStyle w:val="BodyText"/>
        <w:spacing w:line="252" w:lineRule="auto" w:before="28"/>
        <w:ind w:left="497" w:right="865" w:hanging="397"/>
      </w:pPr>
      <w:r>
        <w:rPr>
          <w:w w:val="105"/>
        </w:rPr>
        <w:t>obama, barack 2015 discurso  sobre  el  Estado  de  la  Nación,  21 de enero de 2015, en </w:t>
      </w:r>
      <w:hyperlink r:id="rId435">
        <w:r>
          <w:rPr>
            <w:w w:val="105"/>
          </w:rPr>
          <w:t>&lt;http://www.voanoticias.com/content/</w:t>
        </w:r>
      </w:hyperlink>
    </w:p>
    <w:p>
      <w:pPr>
        <w:pStyle w:val="BodyText"/>
        <w:spacing w:line="252" w:lineRule="auto"/>
        <w:ind w:left="497" w:right="528"/>
      </w:pPr>
      <w:r>
        <w:rPr>
          <w:w w:val="105"/>
        </w:rPr>
        <w:t>discurso-completo-obama-estado-nacion-2015/2607201.html&gt; acceso 6 de diciembre de    2015.</w:t>
      </w:r>
    </w:p>
    <w:p>
      <w:pPr>
        <w:pStyle w:val="BodyText"/>
        <w:spacing w:line="252" w:lineRule="auto" w:before="28"/>
        <w:ind w:left="497" w:right="916" w:hanging="397"/>
        <w:jc w:val="both"/>
      </w:pPr>
      <w:r>
        <w:rPr>
          <w:w w:val="110"/>
        </w:rPr>
        <w:t>sánchez, salvador 2014 “Política exterior y de seguridad de los Estados unidos: la </w:t>
      </w:r>
      <w:r>
        <w:rPr>
          <w:i/>
          <w:w w:val="110"/>
        </w:rPr>
        <w:t>Pax Americana </w:t>
      </w:r>
      <w:r>
        <w:rPr>
          <w:w w:val="110"/>
        </w:rPr>
        <w:t>después de afganistán”, documento de opinión, 43, en  </w:t>
      </w:r>
      <w:hyperlink r:id="rId436">
        <w:r>
          <w:rPr>
            <w:w w:val="110"/>
          </w:rPr>
          <w:t>&lt;www.ieee.es&gt;.</w:t>
        </w:r>
      </w:hyperlink>
    </w:p>
    <w:p>
      <w:pPr>
        <w:pStyle w:val="BodyText"/>
        <w:spacing w:line="252" w:lineRule="auto" w:before="28"/>
        <w:ind w:left="497" w:right="446" w:hanging="397"/>
      </w:pPr>
      <w:r>
        <w:rPr>
          <w:spacing w:val="1"/>
          <w:w w:val="149"/>
        </w:rPr>
        <w:t>s</w:t>
      </w:r>
      <w:r>
        <w:rPr>
          <w:spacing w:val="1"/>
          <w:w w:val="110"/>
        </w:rPr>
        <w:t>teinberg</w:t>
      </w:r>
      <w:r>
        <w:rPr>
          <w:w w:val="110"/>
        </w:rPr>
        <w:t>,</w:t>
      </w:r>
      <w:r>
        <w:rPr>
          <w:spacing w:val="15"/>
        </w:rPr>
        <w:t> </w:t>
      </w:r>
      <w:r>
        <w:rPr>
          <w:spacing w:val="1"/>
          <w:w w:val="110"/>
        </w:rPr>
        <w:t>Federic</w:t>
      </w:r>
      <w:r>
        <w:rPr>
          <w:w w:val="110"/>
        </w:rPr>
        <w:t>o</w:t>
      </w:r>
      <w:r>
        <w:rPr>
          <w:spacing w:val="15"/>
        </w:rPr>
        <w:t> </w:t>
      </w:r>
      <w:r>
        <w:rPr>
          <w:spacing w:val="1"/>
          <w:w w:val="102"/>
        </w:rPr>
        <w:t>200</w:t>
      </w:r>
      <w:r>
        <w:rPr>
          <w:w w:val="102"/>
        </w:rPr>
        <w:t>8</w:t>
      </w:r>
      <w:r>
        <w:rPr>
          <w:spacing w:val="15"/>
        </w:rPr>
        <w:t> </w:t>
      </w:r>
      <w:r>
        <w:rPr>
          <w:spacing w:val="1"/>
          <w:w w:val="115"/>
        </w:rPr>
        <w:t>“</w:t>
      </w:r>
      <w:r>
        <w:rPr>
          <w:spacing w:val="1"/>
          <w:w w:val="243"/>
        </w:rPr>
        <w:t>l</w:t>
      </w:r>
      <w:r>
        <w:rPr>
          <w:w w:val="112"/>
        </w:rPr>
        <w:t>a</w:t>
      </w:r>
      <w:r>
        <w:rPr>
          <w:spacing w:val="15"/>
        </w:rPr>
        <w:t> </w:t>
      </w:r>
      <w:r>
        <w:rPr>
          <w:spacing w:val="1"/>
          <w:w w:val="109"/>
        </w:rPr>
        <w:t>crisi</w:t>
      </w:r>
      <w:r>
        <w:rPr>
          <w:w w:val="109"/>
        </w:rPr>
        <w:t>s</w:t>
      </w:r>
      <w:r>
        <w:rPr>
          <w:spacing w:val="15"/>
        </w:rPr>
        <w:t> </w:t>
      </w:r>
      <w:r>
        <w:rPr>
          <w:w w:val="104"/>
        </w:rPr>
        <w:t>fi</w:t>
      </w:r>
      <w:r>
        <w:rPr>
          <w:spacing w:val="1"/>
          <w:w w:val="111"/>
        </w:rPr>
        <w:t>nancier</w:t>
      </w:r>
      <w:r>
        <w:rPr>
          <w:w w:val="111"/>
        </w:rPr>
        <w:t>a</w:t>
      </w:r>
      <w:r>
        <w:rPr>
          <w:spacing w:val="15"/>
        </w:rPr>
        <w:t> </w:t>
      </w:r>
      <w:r>
        <w:rPr>
          <w:spacing w:val="1"/>
          <w:w w:val="112"/>
        </w:rPr>
        <w:t>mundial</w:t>
      </w:r>
      <w:r>
        <w:rPr>
          <w:w w:val="112"/>
        </w:rPr>
        <w:t>:</w:t>
      </w:r>
      <w:r>
        <w:rPr>
          <w:spacing w:val="15"/>
        </w:rPr>
        <w:t> </w:t>
      </w:r>
      <w:r>
        <w:rPr>
          <w:spacing w:val="1"/>
          <w:w w:val="110"/>
        </w:rPr>
        <w:t>causa</w:t>
      </w:r>
      <w:r>
        <w:rPr>
          <w:w w:val="110"/>
        </w:rPr>
        <w:t>s</w:t>
      </w:r>
      <w:r>
        <w:rPr>
          <w:spacing w:val="15"/>
        </w:rPr>
        <w:t> </w:t>
      </w:r>
      <w:r>
        <w:rPr>
          <w:w w:val="105"/>
        </w:rPr>
        <w:t>y </w:t>
      </w:r>
      <w:r>
        <w:rPr>
          <w:w w:val="110"/>
        </w:rPr>
        <w:t>respuesta</w:t>
      </w:r>
      <w:r>
        <w:rPr>
          <w:spacing w:val="-16"/>
          <w:w w:val="110"/>
        </w:rPr>
        <w:t> </w:t>
      </w:r>
      <w:r>
        <w:rPr>
          <w:w w:val="110"/>
        </w:rPr>
        <w:t>política”,</w:t>
      </w:r>
      <w:r>
        <w:rPr>
          <w:spacing w:val="-16"/>
          <w:w w:val="110"/>
        </w:rPr>
        <w:t> </w:t>
      </w:r>
      <w:r>
        <w:rPr>
          <w:w w:val="110"/>
        </w:rPr>
        <w:t>ari,</w:t>
      </w:r>
      <w:r>
        <w:rPr>
          <w:spacing w:val="-16"/>
          <w:w w:val="110"/>
        </w:rPr>
        <w:t> </w:t>
      </w:r>
      <w:r>
        <w:rPr>
          <w:w w:val="110"/>
        </w:rPr>
        <w:t>26/2008</w:t>
      </w:r>
      <w:r>
        <w:rPr>
          <w:spacing w:val="-16"/>
          <w:w w:val="110"/>
        </w:rPr>
        <w:t> </w:t>
      </w:r>
      <w:r>
        <w:rPr>
          <w:w w:val="110"/>
        </w:rPr>
        <w:t>-</w:t>
      </w:r>
      <w:r>
        <w:rPr>
          <w:spacing w:val="-16"/>
          <w:w w:val="110"/>
        </w:rPr>
        <w:t> </w:t>
      </w:r>
      <w:r>
        <w:rPr>
          <w:w w:val="110"/>
        </w:rPr>
        <w:t>16/10/2008,</w:t>
      </w:r>
      <w:r>
        <w:rPr>
          <w:spacing w:val="-16"/>
          <w:w w:val="110"/>
        </w:rPr>
        <w:t> </w:t>
      </w:r>
      <w:r>
        <w:rPr>
          <w:w w:val="110"/>
        </w:rPr>
        <w:t>en</w:t>
      </w:r>
      <w:r>
        <w:rPr>
          <w:spacing w:val="-16"/>
          <w:w w:val="110"/>
        </w:rPr>
        <w:t> </w:t>
      </w:r>
      <w:hyperlink r:id="rId139">
        <w:r>
          <w:rPr>
            <w:w w:val="110"/>
          </w:rPr>
          <w:t>&lt;http://www</w:t>
        </w:r>
      </w:hyperlink>
      <w:r>
        <w:rPr>
          <w:w w:val="110"/>
        </w:rPr>
        <w:t>. realinstitutoelcano.org/wps/portal/rielcano/contenido?WCM_ </w:t>
      </w:r>
      <w:r>
        <w:rPr>
          <w:w w:val="115"/>
        </w:rPr>
        <w:t>Global_CoNtExt=/elcano/elcano_es/zonas_es/ economia+internacional/ari126-2008&gt;</w:t>
      </w:r>
      <w:r>
        <w:rPr>
          <w:spacing w:val="-29"/>
          <w:w w:val="115"/>
        </w:rPr>
        <w:t> </w:t>
      </w:r>
      <w:r>
        <w:rPr>
          <w:w w:val="115"/>
        </w:rPr>
        <w:t>acceso</w:t>
      </w:r>
      <w:r>
        <w:rPr>
          <w:spacing w:val="-29"/>
          <w:w w:val="115"/>
        </w:rPr>
        <w:t> </w:t>
      </w:r>
      <w:r>
        <w:rPr>
          <w:w w:val="115"/>
        </w:rPr>
        <w:t>8</w:t>
      </w:r>
      <w:r>
        <w:rPr>
          <w:spacing w:val="-29"/>
          <w:w w:val="115"/>
        </w:rPr>
        <w:t> </w:t>
      </w:r>
      <w:r>
        <w:rPr>
          <w:w w:val="115"/>
        </w:rPr>
        <w:t>de</w:t>
      </w:r>
      <w:r>
        <w:rPr>
          <w:spacing w:val="-29"/>
          <w:w w:val="115"/>
        </w:rPr>
        <w:t> </w:t>
      </w:r>
      <w:r>
        <w:rPr>
          <w:w w:val="115"/>
        </w:rPr>
        <w:t>diciembre </w:t>
      </w:r>
      <w:r>
        <w:rPr>
          <w:w w:val="110"/>
        </w:rPr>
        <w:t>de</w:t>
      </w:r>
      <w:r>
        <w:rPr>
          <w:spacing w:val="-10"/>
          <w:w w:val="110"/>
        </w:rPr>
        <w:t> </w:t>
      </w:r>
      <w:r>
        <w:rPr>
          <w:w w:val="110"/>
        </w:rPr>
        <w:t>2015.</w:t>
      </w:r>
    </w:p>
    <w:p>
      <w:pPr>
        <w:spacing w:before="28"/>
        <w:ind w:left="100" w:right="0" w:firstLine="0"/>
        <w:jc w:val="left"/>
        <w:rPr>
          <w:sz w:val="19"/>
        </w:rPr>
      </w:pPr>
      <w:r>
        <w:rPr>
          <w:w w:val="110"/>
          <w:sz w:val="19"/>
        </w:rPr>
        <w:t>Weinberger, Eliot 2003 </w:t>
      </w:r>
      <w:r>
        <w:rPr>
          <w:i/>
          <w:w w:val="110"/>
          <w:sz w:val="19"/>
        </w:rPr>
        <w:t>Cartas de Nueva York </w:t>
      </w:r>
      <w:r>
        <w:rPr>
          <w:w w:val="110"/>
          <w:sz w:val="19"/>
        </w:rPr>
        <w:t>(México:  Era).</w:t>
      </w:r>
    </w:p>
    <w:p>
      <w:pPr>
        <w:pStyle w:val="BodyText"/>
        <w:spacing w:before="3"/>
        <w:rPr>
          <w:sz w:val="25"/>
        </w:rPr>
      </w:pPr>
    </w:p>
    <w:p>
      <w:pPr>
        <w:pStyle w:val="Heading6"/>
        <w:jc w:val="left"/>
      </w:pPr>
      <w:r>
        <w:rPr>
          <w:w w:val="135"/>
        </w:rPr>
        <w:t>docuMentos</w:t>
      </w:r>
    </w:p>
    <w:p>
      <w:pPr>
        <w:pStyle w:val="BodyText"/>
        <w:spacing w:line="252" w:lineRule="auto" w:before="10"/>
        <w:ind w:left="497" w:right="406" w:hanging="397"/>
      </w:pPr>
      <w:r>
        <w:rPr>
          <w:w w:val="115"/>
        </w:rPr>
        <w:t>Estrategia</w:t>
      </w:r>
      <w:r>
        <w:rPr>
          <w:spacing w:val="-15"/>
          <w:w w:val="115"/>
        </w:rPr>
        <w:t> </w:t>
      </w:r>
      <w:r>
        <w:rPr>
          <w:w w:val="115"/>
        </w:rPr>
        <w:t>de</w:t>
      </w:r>
      <w:r>
        <w:rPr>
          <w:spacing w:val="-15"/>
          <w:w w:val="115"/>
        </w:rPr>
        <w:t> </w:t>
      </w:r>
      <w:r>
        <w:rPr>
          <w:w w:val="115"/>
        </w:rPr>
        <w:t>seguridad</w:t>
      </w:r>
      <w:r>
        <w:rPr>
          <w:spacing w:val="-15"/>
          <w:w w:val="115"/>
        </w:rPr>
        <w:t> </w:t>
      </w:r>
      <w:r>
        <w:rPr>
          <w:w w:val="115"/>
        </w:rPr>
        <w:t>Nacional</w:t>
      </w:r>
      <w:r>
        <w:rPr>
          <w:spacing w:val="-15"/>
          <w:w w:val="115"/>
        </w:rPr>
        <w:t> </w:t>
      </w:r>
      <w:r>
        <w:rPr>
          <w:w w:val="115"/>
        </w:rPr>
        <w:t>de</w:t>
      </w:r>
      <w:r>
        <w:rPr>
          <w:spacing w:val="-15"/>
          <w:w w:val="115"/>
        </w:rPr>
        <w:t> </w:t>
      </w:r>
      <w:r>
        <w:rPr>
          <w:w w:val="115"/>
        </w:rPr>
        <w:t>los</w:t>
      </w:r>
      <w:r>
        <w:rPr>
          <w:spacing w:val="-15"/>
          <w:w w:val="115"/>
        </w:rPr>
        <w:t> </w:t>
      </w:r>
      <w:r>
        <w:rPr>
          <w:w w:val="115"/>
        </w:rPr>
        <w:t>Estados</w:t>
      </w:r>
      <w:r>
        <w:rPr>
          <w:spacing w:val="-15"/>
          <w:w w:val="115"/>
        </w:rPr>
        <w:t> </w:t>
      </w:r>
      <w:r>
        <w:rPr>
          <w:w w:val="115"/>
        </w:rPr>
        <w:t>unidos,</w:t>
      </w:r>
      <w:r>
        <w:rPr>
          <w:spacing w:val="-15"/>
          <w:w w:val="115"/>
        </w:rPr>
        <w:t> </w:t>
      </w:r>
      <w:r>
        <w:rPr>
          <w:w w:val="115"/>
        </w:rPr>
        <w:t>septiembre 2002, departamento de Estado, en </w:t>
      </w:r>
      <w:r>
        <w:rPr>
          <w:b/>
          <w:w w:val="115"/>
        </w:rPr>
        <w:t>&lt;</w:t>
      </w:r>
      <w:hyperlink r:id="rId437">
        <w:r>
          <w:rPr>
            <w:w w:val="115"/>
          </w:rPr>
          <w:t>http://merln.ndu.edu/</w:t>
        </w:r>
      </w:hyperlink>
      <w:r>
        <w:rPr>
          <w:w w:val="115"/>
        </w:rPr>
        <w:t> whitepapers/usNss-spanish.pdf&gt;.</w:t>
      </w:r>
    </w:p>
    <w:p>
      <w:pPr>
        <w:pStyle w:val="BodyText"/>
        <w:spacing w:line="252" w:lineRule="auto" w:before="28"/>
        <w:ind w:left="497" w:right="437" w:hanging="397"/>
      </w:pPr>
      <w:r>
        <w:rPr>
          <w:w w:val="105"/>
        </w:rPr>
        <w:t>Estrategia de seguridad  Nacional,  Paz,  Prosperidad  y  dignidad Humana,  mayo  2010,  departamento  de  Estado  de  Estados unidos, en </w:t>
      </w:r>
      <w:hyperlink r:id="rId432">
        <w:r>
          <w:rPr>
            <w:w w:val="105"/>
          </w:rPr>
          <w:t>&lt;http://www.america.gov/st/peacesec-spanish/2010/</w:t>
        </w:r>
      </w:hyperlink>
      <w:r>
        <w:rPr>
          <w:w w:val="105"/>
        </w:rPr>
        <w:t> May/201005281515312aczelaznog0.6399587.html?CP.rss=true&gt;.</w:t>
      </w:r>
    </w:p>
    <w:p>
      <w:pPr>
        <w:spacing w:after="0" w:line="252" w:lineRule="auto"/>
        <w:sectPr>
          <w:pgSz w:w="8790" w:h="12760"/>
          <w:pgMar w:header="697" w:footer="723" w:top="880" w:bottom="920" w:left="920" w:right="1200"/>
        </w:sectPr>
      </w:pPr>
    </w:p>
    <w:p>
      <w:pPr>
        <w:pStyle w:val="BodyText"/>
        <w:spacing w:before="4"/>
        <w:rPr>
          <w:rFonts w:ascii="Times New Roman"/>
          <w:sz w:val="17"/>
        </w:rPr>
      </w:pPr>
    </w:p>
    <w:p>
      <w:pPr>
        <w:spacing w:after="0"/>
        <w:rPr>
          <w:rFonts w:ascii="Times New Roman"/>
          <w:sz w:val="17"/>
        </w:rPr>
        <w:sectPr>
          <w:headerReference w:type="default" r:id="rId438"/>
          <w:footerReference w:type="default" r:id="rId439"/>
          <w:pgSz w:w="8790" w:h="12760"/>
          <w:pgMar w:header="0" w:footer="0" w:top="1180" w:bottom="280" w:left="1200" w:right="12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pStyle w:val="Heading3"/>
        <w:ind w:left="1846" w:right="0"/>
        <w:jc w:val="left"/>
      </w:pPr>
      <w:r>
        <w:rPr/>
        <w:t>Darío Salinas Figueredo*</w:t>
      </w:r>
    </w:p>
    <w:p>
      <w:pPr>
        <w:pStyle w:val="BodyText"/>
        <w:spacing w:before="9"/>
        <w:rPr>
          <w:sz w:val="20"/>
        </w:rPr>
      </w:pPr>
    </w:p>
    <w:p>
      <w:pPr>
        <w:spacing w:line="340" w:lineRule="exact" w:before="0"/>
        <w:ind w:left="144" w:right="370" w:firstLine="0"/>
        <w:jc w:val="center"/>
        <w:rPr>
          <w:rFonts w:ascii="Times New Roman" w:hAnsi="Times New Roman"/>
          <w:b/>
          <w:sz w:val="30"/>
        </w:rPr>
      </w:pPr>
      <w:r>
        <w:rPr>
          <w:rFonts w:ascii="Times New Roman" w:hAnsi="Times New Roman"/>
          <w:b/>
          <w:spacing w:val="3"/>
          <w:w w:val="135"/>
          <w:sz w:val="30"/>
        </w:rPr>
        <w:t>caMBios</w:t>
      </w:r>
      <w:r>
        <w:rPr>
          <w:rFonts w:ascii="Times New Roman" w:hAnsi="Times New Roman"/>
          <w:b/>
          <w:spacing w:val="-74"/>
          <w:w w:val="135"/>
          <w:sz w:val="30"/>
        </w:rPr>
        <w:t> </w:t>
      </w:r>
      <w:r>
        <w:rPr>
          <w:rFonts w:ascii="Times New Roman" w:hAnsi="Times New Roman"/>
          <w:b/>
          <w:w w:val="135"/>
          <w:sz w:val="30"/>
        </w:rPr>
        <w:t>en</w:t>
      </w:r>
      <w:r>
        <w:rPr>
          <w:rFonts w:ascii="Times New Roman" w:hAnsi="Times New Roman"/>
          <w:b/>
          <w:spacing w:val="-74"/>
          <w:w w:val="135"/>
          <w:sz w:val="30"/>
        </w:rPr>
        <w:t> </w:t>
      </w:r>
      <w:r>
        <w:rPr>
          <w:rFonts w:ascii="Times New Roman" w:hAnsi="Times New Roman"/>
          <w:b/>
          <w:spacing w:val="5"/>
          <w:w w:val="135"/>
          <w:sz w:val="30"/>
        </w:rPr>
        <w:t>la</w:t>
      </w:r>
      <w:r>
        <w:rPr>
          <w:rFonts w:ascii="Times New Roman" w:hAnsi="Times New Roman"/>
          <w:b/>
          <w:spacing w:val="-74"/>
          <w:w w:val="135"/>
          <w:sz w:val="30"/>
        </w:rPr>
        <w:t> </w:t>
      </w:r>
      <w:r>
        <w:rPr>
          <w:rFonts w:ascii="Times New Roman" w:hAnsi="Times New Roman"/>
          <w:b/>
          <w:w w:val="135"/>
          <w:sz w:val="30"/>
        </w:rPr>
        <w:t>ecuación</w:t>
      </w:r>
      <w:r>
        <w:rPr>
          <w:rFonts w:ascii="Times New Roman" w:hAnsi="Times New Roman"/>
          <w:b/>
          <w:spacing w:val="-74"/>
          <w:w w:val="135"/>
          <w:sz w:val="30"/>
        </w:rPr>
        <w:t> </w:t>
      </w:r>
      <w:r>
        <w:rPr>
          <w:rFonts w:ascii="Times New Roman" w:hAnsi="Times New Roman"/>
          <w:b/>
          <w:w w:val="135"/>
          <w:sz w:val="30"/>
        </w:rPr>
        <w:t>de</w:t>
      </w:r>
      <w:r>
        <w:rPr>
          <w:rFonts w:ascii="Times New Roman" w:hAnsi="Times New Roman"/>
          <w:b/>
          <w:spacing w:val="-74"/>
          <w:w w:val="135"/>
          <w:sz w:val="30"/>
        </w:rPr>
        <w:t> </w:t>
      </w:r>
      <w:r>
        <w:rPr>
          <w:rFonts w:ascii="Times New Roman" w:hAnsi="Times New Roman"/>
          <w:b/>
          <w:spacing w:val="4"/>
          <w:w w:val="135"/>
          <w:sz w:val="30"/>
        </w:rPr>
        <w:t>Poder, </w:t>
      </w:r>
      <w:r>
        <w:rPr>
          <w:rFonts w:ascii="Times New Roman" w:hAnsi="Times New Roman"/>
          <w:b/>
          <w:w w:val="135"/>
          <w:sz w:val="30"/>
        </w:rPr>
        <w:t>constantes estratéGicas </w:t>
      </w:r>
      <w:r>
        <w:rPr>
          <w:rFonts w:ascii="Times New Roman" w:hAnsi="Times New Roman"/>
          <w:b/>
          <w:spacing w:val="2"/>
          <w:w w:val="135"/>
          <w:sz w:val="30"/>
        </w:rPr>
        <w:t>estadounidenses </w:t>
      </w:r>
      <w:r>
        <w:rPr>
          <w:rFonts w:ascii="Times New Roman" w:hAnsi="Times New Roman"/>
          <w:b/>
          <w:w w:val="135"/>
          <w:sz w:val="30"/>
        </w:rPr>
        <w:t>y </w:t>
      </w:r>
      <w:r>
        <w:rPr>
          <w:rFonts w:ascii="Times New Roman" w:hAnsi="Times New Roman"/>
          <w:b/>
          <w:spacing w:val="4"/>
          <w:w w:val="135"/>
          <w:sz w:val="30"/>
        </w:rPr>
        <w:t>Procesos </w:t>
      </w:r>
      <w:r>
        <w:rPr>
          <w:rFonts w:ascii="Times New Roman" w:hAnsi="Times New Roman"/>
          <w:b/>
          <w:spacing w:val="3"/>
          <w:w w:val="135"/>
          <w:sz w:val="30"/>
        </w:rPr>
        <w:t>PolÍticos </w:t>
      </w:r>
      <w:r>
        <w:rPr>
          <w:rFonts w:ascii="Times New Roman" w:hAnsi="Times New Roman"/>
          <w:b/>
          <w:w w:val="135"/>
          <w:sz w:val="30"/>
        </w:rPr>
        <w:t>en </w:t>
      </w:r>
      <w:r>
        <w:rPr>
          <w:rFonts w:ascii="Times New Roman" w:hAnsi="Times New Roman"/>
          <w:b/>
          <w:spacing w:val="3"/>
          <w:w w:val="135"/>
          <w:sz w:val="30"/>
        </w:rPr>
        <w:t>aMérica </w:t>
      </w:r>
      <w:r>
        <w:rPr>
          <w:rFonts w:ascii="Times New Roman" w:hAnsi="Times New Roman"/>
          <w:b/>
          <w:w w:val="135"/>
          <w:sz w:val="30"/>
        </w:rPr>
        <w:t>latina</w:t>
      </w: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BodyText"/>
        <w:rPr>
          <w:rFonts w:ascii="Times New Roman"/>
          <w:b/>
          <w:sz w:val="30"/>
        </w:rPr>
      </w:pPr>
    </w:p>
    <w:p>
      <w:pPr>
        <w:pStyle w:val="Heading6"/>
        <w:spacing w:before="258"/>
      </w:pPr>
      <w:r>
        <w:rPr>
          <w:w w:val="140"/>
        </w:rPr>
        <w:t>introducción</w:t>
      </w:r>
    </w:p>
    <w:p>
      <w:pPr>
        <w:pStyle w:val="BodyText"/>
        <w:spacing w:line="252" w:lineRule="auto" w:before="10"/>
        <w:ind w:left="100" w:right="328"/>
        <w:jc w:val="both"/>
      </w:pPr>
      <w:r>
        <w:rPr>
          <w:w w:val="115"/>
        </w:rPr>
        <w:t>El</w:t>
      </w:r>
      <w:r>
        <w:rPr>
          <w:spacing w:val="-11"/>
          <w:w w:val="115"/>
        </w:rPr>
        <w:t> </w:t>
      </w:r>
      <w:r>
        <w:rPr>
          <w:w w:val="115"/>
        </w:rPr>
        <w:t>complejo</w:t>
      </w:r>
      <w:r>
        <w:rPr>
          <w:spacing w:val="-11"/>
          <w:w w:val="115"/>
        </w:rPr>
        <w:t> </w:t>
      </w:r>
      <w:r>
        <w:rPr>
          <w:w w:val="115"/>
        </w:rPr>
        <w:t>proceso</w:t>
      </w:r>
      <w:r>
        <w:rPr>
          <w:spacing w:val="-11"/>
          <w:w w:val="115"/>
        </w:rPr>
        <w:t> </w:t>
      </w:r>
      <w:r>
        <w:rPr>
          <w:w w:val="115"/>
        </w:rPr>
        <w:t>de</w:t>
      </w:r>
      <w:r>
        <w:rPr>
          <w:spacing w:val="-11"/>
          <w:w w:val="115"/>
        </w:rPr>
        <w:t> </w:t>
      </w:r>
      <w:r>
        <w:rPr>
          <w:w w:val="115"/>
        </w:rPr>
        <w:t>reacomodamiento</w:t>
      </w:r>
      <w:r>
        <w:rPr>
          <w:spacing w:val="-11"/>
          <w:w w:val="115"/>
        </w:rPr>
        <w:t> </w:t>
      </w:r>
      <w:r>
        <w:rPr>
          <w:w w:val="115"/>
        </w:rPr>
        <w:t>en</w:t>
      </w:r>
      <w:r>
        <w:rPr>
          <w:spacing w:val="-11"/>
          <w:w w:val="115"/>
        </w:rPr>
        <w:t> </w:t>
      </w:r>
      <w:r>
        <w:rPr>
          <w:w w:val="115"/>
        </w:rPr>
        <w:t>la</w:t>
      </w:r>
      <w:r>
        <w:rPr>
          <w:spacing w:val="-11"/>
          <w:w w:val="115"/>
        </w:rPr>
        <w:t> </w:t>
      </w:r>
      <w:r>
        <w:rPr>
          <w:w w:val="115"/>
        </w:rPr>
        <w:t>correlación</w:t>
      </w:r>
      <w:r>
        <w:rPr>
          <w:spacing w:val="-11"/>
          <w:w w:val="115"/>
        </w:rPr>
        <w:t> </w:t>
      </w:r>
      <w:r>
        <w:rPr>
          <w:w w:val="115"/>
        </w:rPr>
        <w:t>mundial de fuerzas constituye uno de los asuntos centrales en el estudio del actual escenario internacional. al observar tanto la dinámica de los acontecimientos</w:t>
      </w:r>
      <w:r>
        <w:rPr>
          <w:spacing w:val="-33"/>
          <w:w w:val="115"/>
        </w:rPr>
        <w:t> </w:t>
      </w:r>
      <w:r>
        <w:rPr>
          <w:w w:val="115"/>
        </w:rPr>
        <w:t>como</w:t>
      </w:r>
      <w:r>
        <w:rPr>
          <w:spacing w:val="-33"/>
          <w:w w:val="115"/>
        </w:rPr>
        <w:t> </w:t>
      </w:r>
      <w:r>
        <w:rPr>
          <w:w w:val="115"/>
        </w:rPr>
        <w:t>las</w:t>
      </w:r>
      <w:r>
        <w:rPr>
          <w:spacing w:val="-33"/>
          <w:w w:val="115"/>
        </w:rPr>
        <w:t> </w:t>
      </w:r>
      <w:r>
        <w:rPr>
          <w:w w:val="115"/>
        </w:rPr>
        <w:t>expresiones</w:t>
      </w:r>
      <w:r>
        <w:rPr>
          <w:spacing w:val="-33"/>
          <w:w w:val="115"/>
        </w:rPr>
        <w:t> </w:t>
      </w:r>
      <w:r>
        <w:rPr>
          <w:w w:val="115"/>
        </w:rPr>
        <w:t>de</w:t>
      </w:r>
      <w:r>
        <w:rPr>
          <w:spacing w:val="-33"/>
          <w:w w:val="115"/>
        </w:rPr>
        <w:t> </w:t>
      </w:r>
      <w:r>
        <w:rPr>
          <w:w w:val="115"/>
        </w:rPr>
        <w:t>la</w:t>
      </w:r>
      <w:r>
        <w:rPr>
          <w:spacing w:val="-33"/>
          <w:w w:val="115"/>
        </w:rPr>
        <w:t> </w:t>
      </w:r>
      <w:r>
        <w:rPr>
          <w:w w:val="115"/>
        </w:rPr>
        <w:t>política</w:t>
      </w:r>
      <w:r>
        <w:rPr>
          <w:spacing w:val="-33"/>
          <w:w w:val="115"/>
        </w:rPr>
        <w:t> </w:t>
      </w:r>
      <w:r>
        <w:rPr>
          <w:w w:val="115"/>
        </w:rPr>
        <w:t>hegemónica,</w:t>
      </w:r>
      <w:r>
        <w:rPr>
          <w:spacing w:val="-33"/>
          <w:w w:val="115"/>
        </w:rPr>
        <w:t> </w:t>
      </w:r>
      <w:r>
        <w:rPr>
          <w:w w:val="115"/>
        </w:rPr>
        <w:t>todo sugiere</w:t>
      </w:r>
      <w:r>
        <w:rPr>
          <w:spacing w:val="-5"/>
          <w:w w:val="115"/>
        </w:rPr>
        <w:t> </w:t>
      </w:r>
      <w:r>
        <w:rPr>
          <w:w w:val="115"/>
        </w:rPr>
        <w:t>que</w:t>
      </w:r>
      <w:r>
        <w:rPr>
          <w:spacing w:val="-5"/>
          <w:w w:val="115"/>
        </w:rPr>
        <w:t> </w:t>
      </w:r>
      <w:r>
        <w:rPr>
          <w:w w:val="115"/>
        </w:rPr>
        <w:t>asistimos</w:t>
      </w:r>
      <w:r>
        <w:rPr>
          <w:spacing w:val="-5"/>
          <w:w w:val="115"/>
        </w:rPr>
        <w:t> </w:t>
      </w:r>
      <w:r>
        <w:rPr>
          <w:w w:val="115"/>
        </w:rPr>
        <w:t>a</w:t>
      </w:r>
      <w:r>
        <w:rPr>
          <w:spacing w:val="-5"/>
          <w:w w:val="115"/>
        </w:rPr>
        <w:t> </w:t>
      </w:r>
      <w:r>
        <w:rPr>
          <w:w w:val="115"/>
        </w:rPr>
        <w:t>un</w:t>
      </w:r>
      <w:r>
        <w:rPr>
          <w:spacing w:val="-5"/>
          <w:w w:val="115"/>
        </w:rPr>
        <w:t> </w:t>
      </w:r>
      <w:r>
        <w:rPr>
          <w:w w:val="115"/>
        </w:rPr>
        <w:t>cambio</w:t>
      </w:r>
      <w:r>
        <w:rPr>
          <w:spacing w:val="-5"/>
          <w:w w:val="115"/>
        </w:rPr>
        <w:t> </w:t>
      </w:r>
      <w:r>
        <w:rPr>
          <w:w w:val="115"/>
        </w:rPr>
        <w:t>del</w:t>
      </w:r>
      <w:r>
        <w:rPr>
          <w:spacing w:val="-5"/>
          <w:w w:val="115"/>
        </w:rPr>
        <w:t> </w:t>
      </w:r>
      <w:r>
        <w:rPr>
          <w:w w:val="115"/>
        </w:rPr>
        <w:t>centro</w:t>
      </w:r>
      <w:r>
        <w:rPr>
          <w:spacing w:val="-5"/>
          <w:w w:val="115"/>
        </w:rPr>
        <w:t> </w:t>
      </w:r>
      <w:r>
        <w:rPr>
          <w:w w:val="115"/>
        </w:rPr>
        <w:t>de</w:t>
      </w:r>
      <w:r>
        <w:rPr>
          <w:spacing w:val="-5"/>
          <w:w w:val="115"/>
        </w:rPr>
        <w:t> </w:t>
      </w:r>
      <w:r>
        <w:rPr>
          <w:w w:val="115"/>
        </w:rPr>
        <w:t>gravedad</w:t>
      </w:r>
      <w:r>
        <w:rPr>
          <w:spacing w:val="-5"/>
          <w:w w:val="115"/>
        </w:rPr>
        <w:t> </w:t>
      </w:r>
      <w:r>
        <w:rPr>
          <w:w w:val="115"/>
        </w:rPr>
        <w:t>cuyo</w:t>
      </w:r>
      <w:r>
        <w:rPr>
          <w:spacing w:val="-5"/>
          <w:w w:val="115"/>
        </w:rPr>
        <w:t> </w:t>
      </w:r>
      <w:r>
        <w:rPr>
          <w:w w:val="115"/>
        </w:rPr>
        <w:t>mo- vimiento de traslación parece orientar su domicilio hacia el Pacífi- </w:t>
      </w:r>
      <w:r>
        <w:rPr>
          <w:w w:val="117"/>
        </w:rPr>
        <w:t>co.</w:t>
      </w:r>
      <w:r>
        <w:rPr/>
        <w:t>  </w:t>
      </w:r>
      <w:r>
        <w:rPr>
          <w:w w:val="243"/>
        </w:rPr>
        <w:t>l</w:t>
      </w:r>
      <w:r>
        <w:rPr>
          <w:w w:val="109"/>
        </w:rPr>
        <w:t>as</w:t>
      </w:r>
      <w:r>
        <w:rPr/>
        <w:t>  </w:t>
      </w:r>
      <w:r>
        <w:rPr>
          <w:w w:val="107"/>
        </w:rPr>
        <w:t>expresiones</w:t>
      </w:r>
      <w:r>
        <w:rPr/>
        <w:t>  </w:t>
      </w:r>
      <w:r>
        <w:rPr>
          <w:w w:val="109"/>
        </w:rPr>
        <w:t>oficiales</w:t>
      </w:r>
      <w:r>
        <w:rPr/>
        <w:t>  </w:t>
      </w:r>
      <w:r>
        <w:rPr>
          <w:w w:val="108"/>
        </w:rPr>
        <w:t>estadounidenses</w:t>
      </w:r>
      <w:r>
        <w:rPr/>
        <w:t>  </w:t>
      </w:r>
      <w:r>
        <w:rPr>
          <w:w w:val="109"/>
        </w:rPr>
        <w:t>corroboran</w:t>
      </w:r>
      <w:r>
        <w:rPr/>
        <w:t>  </w:t>
      </w:r>
      <w:r>
        <w:rPr>
          <w:w w:val="105"/>
        </w:rPr>
        <w:t>este</w:t>
      </w:r>
      <w:r>
        <w:rPr/>
        <w:t>  </w:t>
      </w:r>
      <w:r>
        <w:rPr>
          <w:w w:val="110"/>
        </w:rPr>
        <w:t>hori</w:t>
      </w:r>
      <w:r>
        <w:rPr>
          <w:w w:val="102"/>
        </w:rPr>
        <w:t>- </w:t>
      </w:r>
      <w:r>
        <w:rPr>
          <w:w w:val="115"/>
        </w:rPr>
        <w:t>zonte</w:t>
      </w:r>
      <w:r>
        <w:rPr>
          <w:spacing w:val="-14"/>
          <w:w w:val="115"/>
        </w:rPr>
        <w:t> </w:t>
      </w:r>
      <w:r>
        <w:rPr>
          <w:w w:val="115"/>
        </w:rPr>
        <w:t>en</w:t>
      </w:r>
      <w:r>
        <w:rPr>
          <w:spacing w:val="-14"/>
          <w:w w:val="115"/>
        </w:rPr>
        <w:t> </w:t>
      </w:r>
      <w:r>
        <w:rPr>
          <w:w w:val="115"/>
        </w:rPr>
        <w:t>la</w:t>
      </w:r>
      <w:r>
        <w:rPr>
          <w:spacing w:val="-14"/>
          <w:w w:val="115"/>
        </w:rPr>
        <w:t> </w:t>
      </w:r>
      <w:r>
        <w:rPr>
          <w:w w:val="115"/>
        </w:rPr>
        <w:t>formulación</w:t>
      </w:r>
      <w:r>
        <w:rPr>
          <w:spacing w:val="-14"/>
          <w:w w:val="115"/>
        </w:rPr>
        <w:t> </w:t>
      </w:r>
      <w:r>
        <w:rPr>
          <w:w w:val="115"/>
        </w:rPr>
        <w:t>de</w:t>
      </w:r>
      <w:r>
        <w:rPr>
          <w:spacing w:val="-14"/>
          <w:w w:val="115"/>
        </w:rPr>
        <w:t> </w:t>
      </w:r>
      <w:r>
        <w:rPr>
          <w:w w:val="115"/>
        </w:rPr>
        <w:t>sus</w:t>
      </w:r>
      <w:r>
        <w:rPr>
          <w:spacing w:val="-14"/>
          <w:w w:val="115"/>
        </w:rPr>
        <w:t> </w:t>
      </w:r>
      <w:r>
        <w:rPr>
          <w:w w:val="115"/>
        </w:rPr>
        <w:t>prioridades</w:t>
      </w:r>
      <w:r>
        <w:rPr>
          <w:spacing w:val="-14"/>
          <w:w w:val="115"/>
        </w:rPr>
        <w:t> </w:t>
      </w:r>
      <w:r>
        <w:rPr>
          <w:w w:val="115"/>
        </w:rPr>
        <w:t>estratégicas.</w:t>
      </w:r>
      <w:r>
        <w:rPr>
          <w:spacing w:val="-14"/>
          <w:w w:val="115"/>
        </w:rPr>
        <w:t> </w:t>
      </w:r>
      <w:r>
        <w:rPr>
          <w:w w:val="115"/>
        </w:rPr>
        <w:t>Cuando</w:t>
      </w:r>
      <w:r>
        <w:rPr>
          <w:spacing w:val="-14"/>
          <w:w w:val="115"/>
        </w:rPr>
        <w:t> </w:t>
      </w:r>
      <w:r>
        <w:rPr>
          <w:w w:val="115"/>
        </w:rPr>
        <w:t>este reconocimiento analítico se plantea teniendo en mente los actuales </w:t>
      </w:r>
      <w:r>
        <w:rPr>
          <w:w w:val="108"/>
        </w:rPr>
        <w:t>procesos</w:t>
      </w:r>
      <w:r>
        <w:rPr/>
        <w:t> </w:t>
      </w:r>
      <w:r>
        <w:rPr>
          <w:spacing w:val="-19"/>
        </w:rPr>
        <w:t> </w:t>
      </w:r>
      <w:r>
        <w:rPr>
          <w:w w:val="110"/>
        </w:rPr>
        <w:t>políticos</w:t>
      </w:r>
      <w:r>
        <w:rPr/>
        <w:t> </w:t>
      </w:r>
      <w:r>
        <w:rPr>
          <w:spacing w:val="-19"/>
        </w:rPr>
        <w:t> </w:t>
      </w:r>
      <w:r>
        <w:rPr>
          <w:w w:val="107"/>
        </w:rPr>
        <w:t>de</w:t>
      </w:r>
      <w:r>
        <w:rPr/>
        <w:t> </w:t>
      </w:r>
      <w:r>
        <w:rPr>
          <w:spacing w:val="-19"/>
        </w:rPr>
        <w:t> </w:t>
      </w:r>
      <w:r>
        <w:rPr>
          <w:w w:val="139"/>
        </w:rPr>
        <w:t>a</w:t>
      </w:r>
      <w:r>
        <w:rPr>
          <w:w w:val="111"/>
        </w:rPr>
        <w:t>mérica</w:t>
      </w:r>
      <w:r>
        <w:rPr/>
        <w:t> </w:t>
      </w:r>
      <w:r>
        <w:rPr>
          <w:spacing w:val="-19"/>
        </w:rPr>
        <w:t> </w:t>
      </w:r>
      <w:r>
        <w:rPr>
          <w:w w:val="243"/>
        </w:rPr>
        <w:t>l</w:t>
      </w:r>
      <w:r>
        <w:rPr>
          <w:w w:val="111"/>
        </w:rPr>
        <w:t>atina</w:t>
      </w:r>
      <w:r>
        <w:rPr/>
        <w:t> </w:t>
      </w:r>
      <w:r>
        <w:rPr>
          <w:spacing w:val="-19"/>
        </w:rPr>
        <w:t> </w:t>
      </w:r>
      <w:r>
        <w:rPr>
          <w:w w:val="105"/>
        </w:rPr>
        <w:t>y</w:t>
      </w:r>
      <w:r>
        <w:rPr/>
        <w:t> </w:t>
      </w:r>
      <w:r>
        <w:rPr>
          <w:spacing w:val="-19"/>
        </w:rPr>
        <w:t> </w:t>
      </w:r>
      <w:r>
        <w:rPr>
          <w:w w:val="107"/>
        </w:rPr>
        <w:t>el</w:t>
      </w:r>
      <w:r>
        <w:rPr/>
        <w:t> </w:t>
      </w:r>
      <w:r>
        <w:rPr>
          <w:spacing w:val="-19"/>
        </w:rPr>
        <w:t> </w:t>
      </w:r>
      <w:r>
        <w:rPr>
          <w:w w:val="114"/>
        </w:rPr>
        <w:t>Caribe,</w:t>
      </w:r>
      <w:r>
        <w:rPr/>
        <w:t> </w:t>
      </w:r>
      <w:r>
        <w:rPr>
          <w:spacing w:val="-19"/>
        </w:rPr>
        <w:t> </w:t>
      </w:r>
      <w:r>
        <w:rPr>
          <w:w w:val="109"/>
        </w:rPr>
        <w:t>toda</w:t>
      </w:r>
      <w:r>
        <w:rPr/>
        <w:t> </w:t>
      </w:r>
      <w:r>
        <w:rPr>
          <w:spacing w:val="-19"/>
        </w:rPr>
        <w:t> </w:t>
      </w:r>
      <w:r>
        <w:rPr>
          <w:w w:val="111"/>
        </w:rPr>
        <w:t>alusión</w:t>
      </w:r>
      <w:r>
        <w:rPr/>
        <w:t> </w:t>
      </w:r>
      <w:r>
        <w:rPr>
          <w:spacing w:val="-19"/>
        </w:rPr>
        <w:t> </w:t>
      </w:r>
      <w:r>
        <w:rPr>
          <w:w w:val="112"/>
        </w:rPr>
        <w:t>a</w:t>
      </w:r>
      <w:r>
        <w:rPr/>
        <w:t> </w:t>
      </w:r>
      <w:r>
        <w:rPr>
          <w:spacing w:val="-19"/>
        </w:rPr>
        <w:t> </w:t>
      </w:r>
      <w:r>
        <w:rPr>
          <w:w w:val="107"/>
        </w:rPr>
        <w:t>esta </w:t>
      </w:r>
      <w:r>
        <w:rPr>
          <w:w w:val="115"/>
        </w:rPr>
        <w:t>problemática</w:t>
      </w:r>
      <w:r>
        <w:rPr>
          <w:spacing w:val="-21"/>
          <w:w w:val="115"/>
        </w:rPr>
        <w:t> </w:t>
      </w:r>
      <w:r>
        <w:rPr>
          <w:w w:val="115"/>
        </w:rPr>
        <w:t>demanda</w:t>
      </w:r>
      <w:r>
        <w:rPr>
          <w:spacing w:val="-21"/>
          <w:w w:val="115"/>
        </w:rPr>
        <w:t> </w:t>
      </w:r>
      <w:r>
        <w:rPr>
          <w:w w:val="115"/>
        </w:rPr>
        <w:t>la</w:t>
      </w:r>
      <w:r>
        <w:rPr>
          <w:spacing w:val="-21"/>
          <w:w w:val="115"/>
        </w:rPr>
        <w:t> </w:t>
      </w:r>
      <w:r>
        <w:rPr>
          <w:w w:val="115"/>
        </w:rPr>
        <w:t>premisa</w:t>
      </w:r>
      <w:r>
        <w:rPr>
          <w:spacing w:val="-21"/>
          <w:w w:val="115"/>
        </w:rPr>
        <w:t> </w:t>
      </w:r>
      <w:r>
        <w:rPr>
          <w:w w:val="115"/>
        </w:rPr>
        <w:t>de</w:t>
      </w:r>
      <w:r>
        <w:rPr>
          <w:spacing w:val="-21"/>
          <w:w w:val="115"/>
        </w:rPr>
        <w:t> </w:t>
      </w:r>
      <w:r>
        <w:rPr>
          <w:w w:val="115"/>
        </w:rPr>
        <w:t>una</w:t>
      </w:r>
      <w:r>
        <w:rPr>
          <w:spacing w:val="-21"/>
          <w:w w:val="115"/>
        </w:rPr>
        <w:t> </w:t>
      </w:r>
      <w:r>
        <w:rPr>
          <w:w w:val="115"/>
        </w:rPr>
        <w:t>mejor</w:t>
      </w:r>
      <w:r>
        <w:rPr>
          <w:spacing w:val="-21"/>
          <w:w w:val="115"/>
        </w:rPr>
        <w:t> </w:t>
      </w:r>
      <w:r>
        <w:rPr>
          <w:w w:val="115"/>
        </w:rPr>
        <w:t>observación</w:t>
      </w:r>
      <w:r>
        <w:rPr>
          <w:spacing w:val="-21"/>
          <w:w w:val="115"/>
        </w:rPr>
        <w:t> </w:t>
      </w:r>
      <w:r>
        <w:rPr>
          <w:w w:val="115"/>
        </w:rPr>
        <w:t>sobre</w:t>
      </w:r>
      <w:r>
        <w:rPr>
          <w:spacing w:val="-21"/>
          <w:w w:val="115"/>
        </w:rPr>
        <w:t> </w:t>
      </w:r>
      <w:r>
        <w:rPr>
          <w:w w:val="115"/>
        </w:rPr>
        <w:t>el trayecto</w:t>
      </w:r>
      <w:r>
        <w:rPr>
          <w:spacing w:val="-15"/>
          <w:w w:val="115"/>
        </w:rPr>
        <w:t> </w:t>
      </w:r>
      <w:r>
        <w:rPr>
          <w:w w:val="115"/>
        </w:rPr>
        <w:t>específico</w:t>
      </w:r>
      <w:r>
        <w:rPr>
          <w:spacing w:val="-15"/>
          <w:w w:val="115"/>
        </w:rPr>
        <w:t> </w:t>
      </w:r>
      <w:r>
        <w:rPr>
          <w:w w:val="115"/>
        </w:rPr>
        <w:t>de</w:t>
      </w:r>
      <w:r>
        <w:rPr>
          <w:spacing w:val="-15"/>
          <w:w w:val="115"/>
        </w:rPr>
        <w:t> </w:t>
      </w:r>
      <w:r>
        <w:rPr>
          <w:w w:val="115"/>
        </w:rPr>
        <w:t>la</w:t>
      </w:r>
      <w:r>
        <w:rPr>
          <w:spacing w:val="-15"/>
          <w:w w:val="115"/>
        </w:rPr>
        <w:t> </w:t>
      </w:r>
      <w:r>
        <w:rPr>
          <w:w w:val="115"/>
        </w:rPr>
        <w:t>política</w:t>
      </w:r>
      <w:r>
        <w:rPr>
          <w:spacing w:val="-15"/>
          <w:w w:val="115"/>
        </w:rPr>
        <w:t> </w:t>
      </w:r>
      <w:r>
        <w:rPr>
          <w:w w:val="115"/>
        </w:rPr>
        <w:t>exterior</w:t>
      </w:r>
      <w:r>
        <w:rPr>
          <w:spacing w:val="-15"/>
          <w:w w:val="115"/>
        </w:rPr>
        <w:t> </w:t>
      </w:r>
      <w:r>
        <w:rPr>
          <w:w w:val="115"/>
        </w:rPr>
        <w:t>y</w:t>
      </w:r>
      <w:r>
        <w:rPr>
          <w:spacing w:val="-15"/>
          <w:w w:val="115"/>
        </w:rPr>
        <w:t> </w:t>
      </w:r>
      <w:r>
        <w:rPr>
          <w:w w:val="115"/>
        </w:rPr>
        <w:t>de</w:t>
      </w:r>
      <w:r>
        <w:rPr>
          <w:spacing w:val="-15"/>
          <w:w w:val="115"/>
        </w:rPr>
        <w:t> </w:t>
      </w:r>
      <w:r>
        <w:rPr>
          <w:w w:val="115"/>
        </w:rPr>
        <w:t>seguridad</w:t>
      </w:r>
      <w:r>
        <w:rPr>
          <w:spacing w:val="-15"/>
          <w:w w:val="115"/>
        </w:rPr>
        <w:t> </w:t>
      </w:r>
      <w:r>
        <w:rPr>
          <w:w w:val="115"/>
        </w:rPr>
        <w:t>norteameri- cana. En este punto de preocupación no resulta descabellada la hi- pótesis</w:t>
      </w:r>
      <w:r>
        <w:rPr>
          <w:spacing w:val="-18"/>
          <w:w w:val="115"/>
        </w:rPr>
        <w:t> </w:t>
      </w:r>
      <w:r>
        <w:rPr>
          <w:w w:val="115"/>
        </w:rPr>
        <w:t>de</w:t>
      </w:r>
      <w:r>
        <w:rPr>
          <w:spacing w:val="-18"/>
          <w:w w:val="115"/>
        </w:rPr>
        <w:t> </w:t>
      </w:r>
      <w:r>
        <w:rPr>
          <w:w w:val="115"/>
        </w:rPr>
        <w:t>que</w:t>
      </w:r>
      <w:r>
        <w:rPr>
          <w:spacing w:val="-18"/>
          <w:w w:val="115"/>
        </w:rPr>
        <w:t> </w:t>
      </w:r>
      <w:r>
        <w:rPr>
          <w:w w:val="115"/>
        </w:rPr>
        <w:t>una</w:t>
      </w:r>
      <w:r>
        <w:rPr>
          <w:spacing w:val="-18"/>
          <w:w w:val="115"/>
        </w:rPr>
        <w:t> </w:t>
      </w:r>
      <w:r>
        <w:rPr>
          <w:w w:val="115"/>
        </w:rPr>
        <w:t>amenaza</w:t>
      </w:r>
      <w:r>
        <w:rPr>
          <w:spacing w:val="-18"/>
          <w:w w:val="115"/>
        </w:rPr>
        <w:t> </w:t>
      </w:r>
      <w:r>
        <w:rPr>
          <w:w w:val="115"/>
        </w:rPr>
        <w:t>importante</w:t>
      </w:r>
      <w:r>
        <w:rPr>
          <w:spacing w:val="-18"/>
          <w:w w:val="115"/>
        </w:rPr>
        <w:t> </w:t>
      </w:r>
      <w:r>
        <w:rPr>
          <w:w w:val="115"/>
        </w:rPr>
        <w:t>proviene</w:t>
      </w:r>
      <w:r>
        <w:rPr>
          <w:spacing w:val="-18"/>
          <w:w w:val="115"/>
        </w:rPr>
        <w:t> </w:t>
      </w:r>
      <w:r>
        <w:rPr>
          <w:w w:val="115"/>
        </w:rPr>
        <w:t>del</w:t>
      </w:r>
      <w:r>
        <w:rPr>
          <w:spacing w:val="-18"/>
          <w:w w:val="115"/>
        </w:rPr>
        <w:t> </w:t>
      </w:r>
      <w:r>
        <w:rPr>
          <w:w w:val="115"/>
        </w:rPr>
        <w:t>surgimiento</w:t>
      </w:r>
      <w:r>
        <w:rPr>
          <w:spacing w:val="-18"/>
          <w:w w:val="115"/>
        </w:rPr>
        <w:t> </w:t>
      </w:r>
      <w:r>
        <w:rPr>
          <w:w w:val="115"/>
        </w:rPr>
        <w:t>de </w:t>
      </w:r>
      <w:r>
        <w:rPr>
          <w:w w:val="110"/>
        </w:rPr>
        <w:t>contrincantes o fuerzas inter-hegemónicas que en su desarrollo, real</w:t>
      </w:r>
      <w:r>
        <w:rPr>
          <w:spacing w:val="-13"/>
          <w:w w:val="110"/>
        </w:rPr>
        <w:t> </w:t>
      </w:r>
      <w:r>
        <w:rPr>
          <w:w w:val="110"/>
        </w:rPr>
        <w:t>o </w:t>
      </w:r>
      <w:r>
        <w:rPr>
          <w:w w:val="115"/>
        </w:rPr>
        <w:t>potencial,</w:t>
      </w:r>
      <w:r>
        <w:rPr>
          <w:spacing w:val="-21"/>
          <w:w w:val="115"/>
        </w:rPr>
        <w:t> </w:t>
      </w:r>
      <w:r>
        <w:rPr>
          <w:w w:val="115"/>
        </w:rPr>
        <w:t>le</w:t>
      </w:r>
      <w:r>
        <w:rPr>
          <w:spacing w:val="-21"/>
          <w:w w:val="115"/>
        </w:rPr>
        <w:t> </w:t>
      </w:r>
      <w:r>
        <w:rPr>
          <w:w w:val="115"/>
        </w:rPr>
        <w:t>dispute</w:t>
      </w:r>
      <w:r>
        <w:rPr>
          <w:spacing w:val="-21"/>
          <w:w w:val="115"/>
        </w:rPr>
        <w:t> </w:t>
      </w:r>
      <w:r>
        <w:rPr>
          <w:w w:val="115"/>
        </w:rPr>
        <w:t>el</w:t>
      </w:r>
      <w:r>
        <w:rPr>
          <w:spacing w:val="-21"/>
          <w:w w:val="115"/>
        </w:rPr>
        <w:t> </w:t>
      </w:r>
      <w:r>
        <w:rPr>
          <w:w w:val="115"/>
        </w:rPr>
        <w:t>liderazgo</w:t>
      </w:r>
      <w:r>
        <w:rPr>
          <w:spacing w:val="-21"/>
          <w:w w:val="115"/>
        </w:rPr>
        <w:t> </w:t>
      </w:r>
      <w:r>
        <w:rPr>
          <w:w w:val="115"/>
        </w:rPr>
        <w:t>global.</w:t>
      </w:r>
    </w:p>
    <w:p>
      <w:pPr>
        <w:pStyle w:val="BodyText"/>
        <w:spacing w:before="8"/>
        <w:rPr>
          <w:sz w:val="26"/>
        </w:rPr>
      </w:pPr>
    </w:p>
    <w:p>
      <w:pPr>
        <w:spacing w:line="242" w:lineRule="auto" w:before="1"/>
        <w:ind w:left="270" w:right="0" w:hanging="171"/>
        <w:jc w:val="left"/>
        <w:rPr>
          <w:sz w:val="16"/>
        </w:rPr>
      </w:pPr>
      <w:r>
        <w:rPr>
          <w:w w:val="110"/>
          <w:sz w:val="16"/>
        </w:rPr>
        <w:t>* Profesor investigador del Programa de Posgrado en Ciencias sociales y el departa- mento de Estudios internacionales de la universidad iberoamericana.</w:t>
      </w:r>
    </w:p>
    <w:p>
      <w:pPr>
        <w:pStyle w:val="BodyText"/>
        <w:rPr>
          <w:sz w:val="20"/>
        </w:rPr>
      </w:pPr>
    </w:p>
    <w:p>
      <w:pPr>
        <w:pStyle w:val="BodyText"/>
        <w:spacing w:before="4"/>
        <w:rPr>
          <w:sz w:val="16"/>
        </w:rPr>
      </w:pPr>
    </w:p>
    <w:p>
      <w:pPr>
        <w:pStyle w:val="Heading7"/>
        <w:spacing w:line="240" w:lineRule="auto" w:before="65"/>
        <w:ind w:left="789" w:right="1017"/>
        <w:jc w:val="center"/>
      </w:pPr>
      <w:r>
        <w:rPr/>
        <w:t>323</w:t>
      </w:r>
    </w:p>
    <w:p>
      <w:pPr>
        <w:spacing w:after="0" w:line="240" w:lineRule="auto"/>
        <w:jc w:val="center"/>
        <w:sectPr>
          <w:headerReference w:type="even" r:id="rId440"/>
          <w:footerReference w:type="even" r:id="rId441"/>
          <w:pgSz w:w="8790" w:h="12760"/>
          <w:pgMar w:header="0" w:footer="0" w:top="1180" w:bottom="280" w:left="920" w:right="1200"/>
        </w:sectPr>
      </w:pPr>
    </w:p>
    <w:p>
      <w:pPr>
        <w:pStyle w:val="BodyText"/>
        <w:spacing w:before="7"/>
        <w:rPr>
          <w:sz w:val="28"/>
        </w:rPr>
      </w:pPr>
    </w:p>
    <w:p>
      <w:pPr>
        <w:pStyle w:val="BodyText"/>
        <w:spacing w:line="252" w:lineRule="auto" w:before="73"/>
        <w:ind w:left="330" w:right="117" w:firstLine="396"/>
        <w:jc w:val="both"/>
      </w:pPr>
      <w:r>
        <w:rPr>
          <w:w w:val="115"/>
        </w:rPr>
        <w:t>si la mantención de la visión fundada en el unipolarismo no le aporta beneficios estratégicos para apuntalar su cuestionada hege- monía, queda abierta la pregunta de si Estados unidos sabrá hacer prevalecer</w:t>
      </w:r>
      <w:r>
        <w:rPr>
          <w:spacing w:val="-31"/>
          <w:w w:val="115"/>
        </w:rPr>
        <w:t> </w:t>
      </w:r>
      <w:r>
        <w:rPr>
          <w:w w:val="115"/>
        </w:rPr>
        <w:t>sus</w:t>
      </w:r>
      <w:r>
        <w:rPr>
          <w:spacing w:val="-31"/>
          <w:w w:val="115"/>
        </w:rPr>
        <w:t> </w:t>
      </w:r>
      <w:r>
        <w:rPr>
          <w:w w:val="115"/>
        </w:rPr>
        <w:t>grandes</w:t>
      </w:r>
      <w:r>
        <w:rPr>
          <w:spacing w:val="-31"/>
          <w:w w:val="115"/>
        </w:rPr>
        <w:t> </w:t>
      </w:r>
      <w:r>
        <w:rPr>
          <w:w w:val="115"/>
        </w:rPr>
        <w:t>intereses</w:t>
      </w:r>
      <w:r>
        <w:rPr>
          <w:spacing w:val="-31"/>
          <w:w w:val="115"/>
        </w:rPr>
        <w:t> </w:t>
      </w:r>
      <w:r>
        <w:rPr>
          <w:w w:val="115"/>
        </w:rPr>
        <w:t>dentro</w:t>
      </w:r>
      <w:r>
        <w:rPr>
          <w:spacing w:val="-31"/>
          <w:w w:val="115"/>
        </w:rPr>
        <w:t> </w:t>
      </w:r>
      <w:r>
        <w:rPr>
          <w:w w:val="115"/>
        </w:rPr>
        <w:t>de</w:t>
      </w:r>
      <w:r>
        <w:rPr>
          <w:spacing w:val="-31"/>
          <w:w w:val="115"/>
        </w:rPr>
        <w:t> </w:t>
      </w:r>
      <w:r>
        <w:rPr>
          <w:w w:val="115"/>
        </w:rPr>
        <w:t>un</w:t>
      </w:r>
      <w:r>
        <w:rPr>
          <w:spacing w:val="-31"/>
          <w:w w:val="115"/>
        </w:rPr>
        <w:t> </w:t>
      </w:r>
      <w:r>
        <w:rPr>
          <w:w w:val="115"/>
        </w:rPr>
        <w:t>esquema</w:t>
      </w:r>
      <w:r>
        <w:rPr>
          <w:spacing w:val="-31"/>
          <w:w w:val="115"/>
        </w:rPr>
        <w:t> </w:t>
      </w:r>
      <w:r>
        <w:rPr>
          <w:w w:val="115"/>
        </w:rPr>
        <w:t>multipolar</w:t>
      </w:r>
      <w:r>
        <w:rPr>
          <w:spacing w:val="-31"/>
          <w:w w:val="115"/>
        </w:rPr>
        <w:t> </w:t>
      </w:r>
      <w:r>
        <w:rPr>
          <w:w w:val="115"/>
        </w:rPr>
        <w:t>en importantes esferas de la competencia económica, comercial y po- lítica. En cualquier caso, para encarar esa redefinición la región de </w:t>
      </w:r>
      <w:r>
        <w:rPr>
          <w:w w:val="139"/>
        </w:rPr>
        <w:t>a</w:t>
      </w:r>
      <w:r>
        <w:rPr>
          <w:w w:val="111"/>
        </w:rPr>
        <w:t>mérica</w:t>
      </w:r>
      <w:r>
        <w:rPr/>
        <w:t> </w:t>
      </w:r>
      <w:r>
        <w:rPr>
          <w:spacing w:val="-5"/>
        </w:rPr>
        <w:t> </w:t>
      </w:r>
      <w:r>
        <w:rPr>
          <w:w w:val="243"/>
        </w:rPr>
        <w:t>l</w:t>
      </w:r>
      <w:r>
        <w:rPr>
          <w:w w:val="111"/>
        </w:rPr>
        <w:t>atina</w:t>
      </w:r>
      <w:r>
        <w:rPr/>
        <w:t> </w:t>
      </w:r>
      <w:r>
        <w:rPr>
          <w:spacing w:val="-5"/>
        </w:rPr>
        <w:t> </w:t>
      </w:r>
      <w:r>
        <w:rPr>
          <w:w w:val="105"/>
        </w:rPr>
        <w:t>y</w:t>
      </w:r>
      <w:r>
        <w:rPr/>
        <w:t> </w:t>
      </w:r>
      <w:r>
        <w:rPr>
          <w:spacing w:val="-5"/>
        </w:rPr>
        <w:t> </w:t>
      </w:r>
      <w:r>
        <w:rPr>
          <w:w w:val="107"/>
        </w:rPr>
        <w:t>el</w:t>
      </w:r>
      <w:r>
        <w:rPr/>
        <w:t> </w:t>
      </w:r>
      <w:r>
        <w:rPr>
          <w:spacing w:val="-5"/>
        </w:rPr>
        <w:t> </w:t>
      </w:r>
      <w:r>
        <w:rPr>
          <w:w w:val="112"/>
        </w:rPr>
        <w:t>Caribe</w:t>
      </w:r>
      <w:r>
        <w:rPr/>
        <w:t> </w:t>
      </w:r>
      <w:r>
        <w:rPr>
          <w:spacing w:val="-5"/>
        </w:rPr>
        <w:t> </w:t>
      </w:r>
      <w:r>
        <w:rPr>
          <w:w w:val="109"/>
        </w:rPr>
        <w:t>constituye</w:t>
      </w:r>
      <w:r>
        <w:rPr/>
        <w:t> </w:t>
      </w:r>
      <w:r>
        <w:rPr>
          <w:spacing w:val="-5"/>
        </w:rPr>
        <w:t> </w:t>
      </w:r>
      <w:r>
        <w:rPr>
          <w:w w:val="112"/>
        </w:rPr>
        <w:t>una</w:t>
      </w:r>
      <w:r>
        <w:rPr/>
        <w:t> </w:t>
      </w:r>
      <w:r>
        <w:rPr>
          <w:spacing w:val="-5"/>
        </w:rPr>
        <w:t> </w:t>
      </w:r>
      <w:r>
        <w:rPr>
          <w:w w:val="110"/>
        </w:rPr>
        <w:t>pieza</w:t>
      </w:r>
      <w:r>
        <w:rPr/>
        <w:t> </w:t>
      </w:r>
      <w:r>
        <w:rPr>
          <w:spacing w:val="-5"/>
        </w:rPr>
        <w:t> </w:t>
      </w:r>
      <w:r>
        <w:rPr>
          <w:w w:val="111"/>
        </w:rPr>
        <w:t>fundamental</w:t>
      </w:r>
      <w:r>
        <w:rPr/>
        <w:t> </w:t>
      </w:r>
      <w:r>
        <w:rPr>
          <w:spacing w:val="-5"/>
        </w:rPr>
        <w:t> </w:t>
      </w:r>
      <w:r>
        <w:rPr>
          <w:w w:val="112"/>
        </w:rPr>
        <w:t>aun</w:t>
      </w:r>
      <w:r>
        <w:rPr>
          <w:w w:val="102"/>
        </w:rPr>
        <w:t>- </w:t>
      </w:r>
      <w:r>
        <w:rPr>
          <w:w w:val="115"/>
        </w:rPr>
        <w:t>que</w:t>
      </w:r>
      <w:r>
        <w:rPr>
          <w:spacing w:val="-16"/>
          <w:w w:val="115"/>
        </w:rPr>
        <w:t> </w:t>
      </w:r>
      <w:r>
        <w:rPr>
          <w:w w:val="115"/>
        </w:rPr>
        <w:t>no</w:t>
      </w:r>
      <w:r>
        <w:rPr>
          <w:spacing w:val="-16"/>
          <w:w w:val="115"/>
        </w:rPr>
        <w:t> </w:t>
      </w:r>
      <w:r>
        <w:rPr>
          <w:w w:val="115"/>
        </w:rPr>
        <w:t>aparezca</w:t>
      </w:r>
      <w:r>
        <w:rPr>
          <w:spacing w:val="-16"/>
          <w:w w:val="115"/>
        </w:rPr>
        <w:t> </w:t>
      </w:r>
      <w:r>
        <w:rPr>
          <w:w w:val="115"/>
        </w:rPr>
        <w:t>expresamente</w:t>
      </w:r>
      <w:r>
        <w:rPr>
          <w:spacing w:val="-16"/>
          <w:w w:val="115"/>
        </w:rPr>
        <w:t> </w:t>
      </w:r>
      <w:r>
        <w:rPr>
          <w:w w:val="115"/>
        </w:rPr>
        <w:t>en</w:t>
      </w:r>
      <w:r>
        <w:rPr>
          <w:spacing w:val="-16"/>
          <w:w w:val="115"/>
        </w:rPr>
        <w:t> </w:t>
      </w:r>
      <w:r>
        <w:rPr>
          <w:w w:val="115"/>
        </w:rPr>
        <w:t>la</w:t>
      </w:r>
      <w:r>
        <w:rPr>
          <w:spacing w:val="-16"/>
          <w:w w:val="115"/>
        </w:rPr>
        <w:t> </w:t>
      </w:r>
      <w:r>
        <w:rPr>
          <w:w w:val="115"/>
        </w:rPr>
        <w:t>visibilidad</w:t>
      </w:r>
      <w:r>
        <w:rPr>
          <w:spacing w:val="-16"/>
          <w:w w:val="115"/>
        </w:rPr>
        <w:t> </w:t>
      </w:r>
      <w:r>
        <w:rPr>
          <w:w w:val="115"/>
        </w:rPr>
        <w:t>de</w:t>
      </w:r>
      <w:r>
        <w:rPr>
          <w:spacing w:val="-16"/>
          <w:w w:val="115"/>
        </w:rPr>
        <w:t> </w:t>
      </w:r>
      <w:r>
        <w:rPr>
          <w:w w:val="115"/>
        </w:rPr>
        <w:t>sus</w:t>
      </w:r>
      <w:r>
        <w:rPr>
          <w:spacing w:val="-16"/>
          <w:w w:val="115"/>
        </w:rPr>
        <w:t> </w:t>
      </w:r>
      <w:r>
        <w:rPr>
          <w:w w:val="115"/>
        </w:rPr>
        <w:t>prioridades.</w:t>
      </w:r>
      <w:r>
        <w:rPr>
          <w:spacing w:val="-16"/>
          <w:w w:val="115"/>
        </w:rPr>
        <w:t> </w:t>
      </w:r>
      <w:r>
        <w:rPr>
          <w:w w:val="115"/>
        </w:rPr>
        <w:t>a su</w:t>
      </w:r>
      <w:r>
        <w:rPr>
          <w:spacing w:val="-13"/>
          <w:w w:val="115"/>
        </w:rPr>
        <w:t> </w:t>
      </w:r>
      <w:r>
        <w:rPr>
          <w:w w:val="115"/>
        </w:rPr>
        <w:t>vez,</w:t>
      </w:r>
      <w:r>
        <w:rPr>
          <w:spacing w:val="-13"/>
          <w:w w:val="115"/>
        </w:rPr>
        <w:t> </w:t>
      </w:r>
      <w:r>
        <w:rPr>
          <w:w w:val="115"/>
        </w:rPr>
        <w:t>toda</w:t>
      </w:r>
      <w:r>
        <w:rPr>
          <w:spacing w:val="-13"/>
          <w:w w:val="115"/>
        </w:rPr>
        <w:t> </w:t>
      </w:r>
      <w:r>
        <w:rPr>
          <w:w w:val="115"/>
        </w:rPr>
        <w:t>prospección</w:t>
      </w:r>
      <w:r>
        <w:rPr>
          <w:spacing w:val="-13"/>
          <w:w w:val="115"/>
        </w:rPr>
        <w:t> </w:t>
      </w:r>
      <w:r>
        <w:rPr>
          <w:w w:val="115"/>
        </w:rPr>
        <w:t>estratégica</w:t>
      </w:r>
      <w:r>
        <w:rPr>
          <w:spacing w:val="-13"/>
          <w:w w:val="115"/>
        </w:rPr>
        <w:t> </w:t>
      </w:r>
      <w:r>
        <w:rPr>
          <w:w w:val="115"/>
        </w:rPr>
        <w:t>que</w:t>
      </w:r>
      <w:r>
        <w:rPr>
          <w:spacing w:val="-13"/>
          <w:w w:val="115"/>
        </w:rPr>
        <w:t> </w:t>
      </w:r>
      <w:r>
        <w:rPr>
          <w:w w:val="115"/>
        </w:rPr>
        <w:t>intente</w:t>
      </w:r>
      <w:r>
        <w:rPr>
          <w:spacing w:val="-13"/>
          <w:w w:val="115"/>
        </w:rPr>
        <w:t> </w:t>
      </w:r>
      <w:r>
        <w:rPr>
          <w:w w:val="115"/>
        </w:rPr>
        <w:t>una</w:t>
      </w:r>
      <w:r>
        <w:rPr>
          <w:spacing w:val="-13"/>
          <w:w w:val="115"/>
        </w:rPr>
        <w:t> </w:t>
      </w:r>
      <w:r>
        <w:rPr>
          <w:w w:val="115"/>
        </w:rPr>
        <w:t>reconstrucción analítica</w:t>
      </w:r>
      <w:r>
        <w:rPr>
          <w:spacing w:val="-20"/>
          <w:w w:val="115"/>
        </w:rPr>
        <w:t> </w:t>
      </w:r>
      <w:r>
        <w:rPr>
          <w:w w:val="115"/>
        </w:rPr>
        <w:t>del</w:t>
      </w:r>
      <w:r>
        <w:rPr>
          <w:spacing w:val="-20"/>
          <w:w w:val="115"/>
        </w:rPr>
        <w:t> </w:t>
      </w:r>
      <w:r>
        <w:rPr>
          <w:w w:val="115"/>
        </w:rPr>
        <w:t>presente</w:t>
      </w:r>
      <w:r>
        <w:rPr>
          <w:spacing w:val="-20"/>
          <w:w w:val="115"/>
        </w:rPr>
        <w:t> </w:t>
      </w:r>
      <w:r>
        <w:rPr>
          <w:w w:val="115"/>
        </w:rPr>
        <w:t>político</w:t>
      </w:r>
      <w:r>
        <w:rPr>
          <w:spacing w:val="-20"/>
          <w:w w:val="115"/>
        </w:rPr>
        <w:t> </w:t>
      </w:r>
      <w:r>
        <w:rPr>
          <w:w w:val="115"/>
        </w:rPr>
        <w:t>y</w:t>
      </w:r>
      <w:r>
        <w:rPr>
          <w:spacing w:val="-20"/>
          <w:w w:val="115"/>
        </w:rPr>
        <w:t> </w:t>
      </w:r>
      <w:r>
        <w:rPr>
          <w:w w:val="115"/>
        </w:rPr>
        <w:t>el</w:t>
      </w:r>
      <w:r>
        <w:rPr>
          <w:spacing w:val="-20"/>
          <w:w w:val="115"/>
        </w:rPr>
        <w:t> </w:t>
      </w:r>
      <w:r>
        <w:rPr>
          <w:w w:val="115"/>
        </w:rPr>
        <w:t>futuro</w:t>
      </w:r>
      <w:r>
        <w:rPr>
          <w:spacing w:val="-20"/>
          <w:w w:val="115"/>
        </w:rPr>
        <w:t> </w:t>
      </w:r>
      <w:r>
        <w:rPr>
          <w:w w:val="115"/>
        </w:rPr>
        <w:t>de</w:t>
      </w:r>
      <w:r>
        <w:rPr>
          <w:spacing w:val="-20"/>
          <w:w w:val="115"/>
        </w:rPr>
        <w:t> </w:t>
      </w:r>
      <w:r>
        <w:rPr>
          <w:w w:val="115"/>
        </w:rPr>
        <w:t>la</w:t>
      </w:r>
      <w:r>
        <w:rPr>
          <w:spacing w:val="-20"/>
          <w:w w:val="115"/>
        </w:rPr>
        <w:t> </w:t>
      </w:r>
      <w:r>
        <w:rPr>
          <w:w w:val="115"/>
        </w:rPr>
        <w:t>región</w:t>
      </w:r>
      <w:r>
        <w:rPr>
          <w:spacing w:val="-20"/>
          <w:w w:val="115"/>
        </w:rPr>
        <w:t> </w:t>
      </w:r>
      <w:r>
        <w:rPr>
          <w:w w:val="115"/>
        </w:rPr>
        <w:t>implica</w:t>
      </w:r>
      <w:r>
        <w:rPr>
          <w:spacing w:val="-20"/>
          <w:w w:val="115"/>
        </w:rPr>
        <w:t> </w:t>
      </w:r>
      <w:r>
        <w:rPr>
          <w:w w:val="115"/>
        </w:rPr>
        <w:t>conocer mejor</w:t>
      </w:r>
      <w:r>
        <w:rPr>
          <w:spacing w:val="-10"/>
          <w:w w:val="115"/>
        </w:rPr>
        <w:t> </w:t>
      </w:r>
      <w:r>
        <w:rPr>
          <w:w w:val="115"/>
        </w:rPr>
        <w:t>a</w:t>
      </w:r>
      <w:r>
        <w:rPr>
          <w:spacing w:val="-10"/>
          <w:w w:val="115"/>
        </w:rPr>
        <w:t> </w:t>
      </w:r>
      <w:r>
        <w:rPr>
          <w:w w:val="115"/>
        </w:rPr>
        <w:t>Estados</w:t>
      </w:r>
      <w:r>
        <w:rPr>
          <w:spacing w:val="-10"/>
          <w:w w:val="115"/>
        </w:rPr>
        <w:t> </w:t>
      </w:r>
      <w:r>
        <w:rPr>
          <w:w w:val="115"/>
        </w:rPr>
        <w:t>unidos</w:t>
      </w:r>
      <w:r>
        <w:rPr>
          <w:spacing w:val="-10"/>
          <w:w w:val="115"/>
        </w:rPr>
        <w:t> </w:t>
      </w:r>
      <w:r>
        <w:rPr>
          <w:w w:val="115"/>
        </w:rPr>
        <w:t>en</w:t>
      </w:r>
      <w:r>
        <w:rPr>
          <w:spacing w:val="-10"/>
          <w:w w:val="115"/>
        </w:rPr>
        <w:t> </w:t>
      </w:r>
      <w:r>
        <w:rPr>
          <w:w w:val="115"/>
        </w:rPr>
        <w:t>sus</w:t>
      </w:r>
      <w:r>
        <w:rPr>
          <w:spacing w:val="-10"/>
          <w:w w:val="115"/>
        </w:rPr>
        <w:t> </w:t>
      </w:r>
      <w:r>
        <w:rPr>
          <w:w w:val="115"/>
        </w:rPr>
        <w:t>invocaciones,</w:t>
      </w:r>
      <w:r>
        <w:rPr>
          <w:spacing w:val="-10"/>
          <w:w w:val="115"/>
        </w:rPr>
        <w:t> </w:t>
      </w:r>
      <w:r>
        <w:rPr>
          <w:w w:val="115"/>
        </w:rPr>
        <w:t>recursos</w:t>
      </w:r>
      <w:r>
        <w:rPr>
          <w:spacing w:val="-10"/>
          <w:w w:val="115"/>
        </w:rPr>
        <w:t> </w:t>
      </w:r>
      <w:r>
        <w:rPr>
          <w:w w:val="115"/>
        </w:rPr>
        <w:t>estratégicos</w:t>
      </w:r>
      <w:r>
        <w:rPr>
          <w:spacing w:val="-10"/>
          <w:w w:val="115"/>
        </w:rPr>
        <w:t> </w:t>
      </w:r>
      <w:r>
        <w:rPr>
          <w:w w:val="115"/>
        </w:rPr>
        <w:t>y </w:t>
      </w:r>
      <w:r>
        <w:rPr>
          <w:w w:val="110"/>
        </w:rPr>
        <w:t>objetivos</w:t>
      </w:r>
      <w:r>
        <w:rPr>
          <w:spacing w:val="13"/>
          <w:w w:val="110"/>
        </w:rPr>
        <w:t> </w:t>
      </w:r>
      <w:r>
        <w:rPr>
          <w:w w:val="110"/>
        </w:rPr>
        <w:t>políticos.</w:t>
      </w:r>
    </w:p>
    <w:p>
      <w:pPr>
        <w:pStyle w:val="BodyText"/>
        <w:spacing w:line="252" w:lineRule="auto"/>
        <w:ind w:left="330" w:right="116" w:firstLine="396"/>
        <w:jc w:val="both"/>
      </w:pPr>
      <w:r>
        <w:rPr>
          <w:w w:val="110"/>
        </w:rPr>
        <w:t>En lo que tiene de plausible este punto de vista general, aquí        se trata de volver a observar cómo los actuales cambios políticos, conforme avanzan o se enfrentan a los desafíos de consolidación, inevitablemente se enfrentan al sistema, en tanto trama de domina- ción en sus componentes internos y externos. bajo esta perspectiva,  el contenido de este estudio continúa desarrollando la pregunta so- </w:t>
      </w:r>
      <w:r>
        <w:rPr>
          <w:w w:val="107"/>
        </w:rPr>
        <w:t>bre</w:t>
      </w:r>
      <w:r>
        <w:rPr/>
        <w:t> </w:t>
      </w:r>
      <w:r>
        <w:rPr>
          <w:spacing w:val="-14"/>
        </w:rPr>
        <w:t> </w:t>
      </w:r>
      <w:r>
        <w:rPr>
          <w:w w:val="107"/>
        </w:rPr>
        <w:t>el</w:t>
      </w:r>
      <w:r>
        <w:rPr/>
        <w:t> </w:t>
      </w:r>
      <w:r>
        <w:rPr>
          <w:spacing w:val="-14"/>
        </w:rPr>
        <w:t> </w:t>
      </w:r>
      <w:r>
        <w:rPr>
          <w:w w:val="110"/>
        </w:rPr>
        <w:t>lugar</w:t>
      </w:r>
      <w:r>
        <w:rPr/>
        <w:t> </w:t>
      </w:r>
      <w:r>
        <w:rPr>
          <w:spacing w:val="-14"/>
        </w:rPr>
        <w:t> </w:t>
      </w:r>
      <w:r>
        <w:rPr>
          <w:w w:val="108"/>
        </w:rPr>
        <w:t>estratégico</w:t>
      </w:r>
      <w:r>
        <w:rPr/>
        <w:t> </w:t>
      </w:r>
      <w:r>
        <w:rPr>
          <w:spacing w:val="-14"/>
        </w:rPr>
        <w:t> </w:t>
      </w:r>
      <w:r>
        <w:rPr>
          <w:w w:val="108"/>
        </w:rPr>
        <w:t>que</w:t>
      </w:r>
      <w:r>
        <w:rPr/>
        <w:t> </w:t>
      </w:r>
      <w:r>
        <w:rPr>
          <w:spacing w:val="-14"/>
        </w:rPr>
        <w:t> </w:t>
      </w:r>
      <w:r>
        <w:rPr>
          <w:w w:val="110"/>
        </w:rPr>
        <w:t>juega</w:t>
      </w:r>
      <w:r>
        <w:rPr/>
        <w:t> </w:t>
      </w:r>
      <w:r>
        <w:rPr>
          <w:spacing w:val="-14"/>
        </w:rPr>
        <w:t> </w:t>
      </w:r>
      <w:r>
        <w:rPr>
          <w:w w:val="139"/>
        </w:rPr>
        <w:t>a</w:t>
      </w:r>
      <w:r>
        <w:rPr>
          <w:w w:val="111"/>
        </w:rPr>
        <w:t>mérica</w:t>
      </w:r>
      <w:r>
        <w:rPr/>
        <w:t> </w:t>
      </w:r>
      <w:r>
        <w:rPr>
          <w:spacing w:val="-14"/>
        </w:rPr>
        <w:t> </w:t>
      </w:r>
      <w:r>
        <w:rPr>
          <w:w w:val="243"/>
        </w:rPr>
        <w:t>l</w:t>
      </w:r>
      <w:r>
        <w:rPr>
          <w:w w:val="111"/>
        </w:rPr>
        <w:t>atina</w:t>
      </w:r>
      <w:r>
        <w:rPr/>
        <w:t> </w:t>
      </w:r>
      <w:r>
        <w:rPr>
          <w:spacing w:val="-14"/>
        </w:rPr>
        <w:t> </w:t>
      </w:r>
      <w:r>
        <w:rPr>
          <w:w w:val="105"/>
        </w:rPr>
        <w:t>y</w:t>
      </w:r>
      <w:r>
        <w:rPr/>
        <w:t> </w:t>
      </w:r>
      <w:r>
        <w:rPr>
          <w:spacing w:val="-14"/>
        </w:rPr>
        <w:t> </w:t>
      </w:r>
      <w:r>
        <w:rPr>
          <w:w w:val="107"/>
        </w:rPr>
        <w:t>el</w:t>
      </w:r>
      <w:r>
        <w:rPr/>
        <w:t> </w:t>
      </w:r>
      <w:r>
        <w:rPr>
          <w:spacing w:val="-14"/>
        </w:rPr>
        <w:t> </w:t>
      </w:r>
      <w:r>
        <w:rPr>
          <w:w w:val="112"/>
        </w:rPr>
        <w:t>Caribe</w:t>
      </w:r>
      <w:r>
        <w:rPr/>
        <w:t> </w:t>
      </w:r>
      <w:r>
        <w:rPr>
          <w:spacing w:val="-14"/>
        </w:rPr>
        <w:t> </w:t>
      </w:r>
      <w:r>
        <w:rPr>
          <w:w w:val="108"/>
        </w:rPr>
        <w:t>en</w:t>
      </w:r>
      <w:r>
        <w:rPr/>
        <w:t> </w:t>
      </w:r>
      <w:r>
        <w:rPr>
          <w:spacing w:val="-14"/>
        </w:rPr>
        <w:t> </w:t>
      </w:r>
      <w:r>
        <w:rPr>
          <w:w w:val="108"/>
        </w:rPr>
        <w:t>los </w:t>
      </w:r>
      <w:r>
        <w:rPr>
          <w:w w:val="110"/>
        </w:rPr>
        <w:t>reacomodamientos globales de fuerzas en un contexto de crisis del capitalismo y a los desafíos de construcción contra-hegemónica en   las nuevas tendencias</w:t>
      </w:r>
      <w:r>
        <w:rPr>
          <w:spacing w:val="32"/>
          <w:w w:val="110"/>
        </w:rPr>
        <w:t> </w:t>
      </w:r>
      <w:r>
        <w:rPr>
          <w:w w:val="110"/>
        </w:rPr>
        <w:t>hemisféricas.</w:t>
      </w:r>
    </w:p>
    <w:p>
      <w:pPr>
        <w:pStyle w:val="BodyText"/>
        <w:spacing w:before="5"/>
      </w:pPr>
    </w:p>
    <w:p>
      <w:pPr>
        <w:pStyle w:val="Heading6"/>
        <w:ind w:left="331"/>
      </w:pPr>
      <w:r>
        <w:rPr>
          <w:w w:val="140"/>
        </w:rPr>
        <w:t>entre la visión uniPolar y el orden MultiPolar</w:t>
      </w:r>
    </w:p>
    <w:p>
      <w:pPr>
        <w:pStyle w:val="BodyText"/>
        <w:spacing w:line="252" w:lineRule="auto" w:before="10"/>
        <w:ind w:left="330" w:right="117"/>
        <w:jc w:val="both"/>
      </w:pPr>
      <w:r>
        <w:rPr>
          <w:w w:val="110"/>
        </w:rPr>
        <w:t>si nos volviéramos a situar en el escenario inmediatamente posterior al término del período de la Guerra Fría, la idea que pareció más ra- zonable apuntaba –al menos en teoría– a revalorar positivamente las condiciones requeridas para fortalecer la capacidad de decisión de </w:t>
      </w:r>
      <w:r>
        <w:rPr>
          <w:w w:val="139"/>
        </w:rPr>
        <w:t>a</w:t>
      </w:r>
      <w:r>
        <w:rPr>
          <w:w w:val="111"/>
        </w:rPr>
        <w:t>mérica</w:t>
      </w:r>
      <w:r>
        <w:rPr>
          <w:spacing w:val="6"/>
        </w:rPr>
        <w:t> </w:t>
      </w:r>
      <w:r>
        <w:rPr>
          <w:w w:val="243"/>
        </w:rPr>
        <w:t>l</w:t>
      </w:r>
      <w:r>
        <w:rPr>
          <w:w w:val="113"/>
        </w:rPr>
        <w:t>atina,</w:t>
      </w:r>
      <w:r>
        <w:rPr>
          <w:spacing w:val="6"/>
        </w:rPr>
        <w:t> </w:t>
      </w:r>
      <w:r>
        <w:rPr>
          <w:w w:val="108"/>
        </w:rPr>
        <w:t>en</w:t>
      </w:r>
      <w:r>
        <w:rPr>
          <w:spacing w:val="6"/>
        </w:rPr>
        <w:t> </w:t>
      </w:r>
      <w:r>
        <w:rPr>
          <w:w w:val="111"/>
        </w:rPr>
        <w:t>la</w:t>
      </w:r>
      <w:r>
        <w:rPr>
          <w:spacing w:val="6"/>
        </w:rPr>
        <w:t> </w:t>
      </w:r>
      <w:r>
        <w:rPr>
          <w:w w:val="110"/>
        </w:rPr>
        <w:t>medida</w:t>
      </w:r>
      <w:r>
        <w:rPr>
          <w:spacing w:val="6"/>
        </w:rPr>
        <w:t> </w:t>
      </w:r>
      <w:r>
        <w:rPr>
          <w:w w:val="108"/>
        </w:rPr>
        <w:t>en</w:t>
      </w:r>
      <w:r>
        <w:rPr>
          <w:spacing w:val="6"/>
        </w:rPr>
        <w:t> </w:t>
      </w:r>
      <w:r>
        <w:rPr>
          <w:w w:val="108"/>
        </w:rPr>
        <w:t>que</w:t>
      </w:r>
      <w:r>
        <w:rPr>
          <w:spacing w:val="6"/>
        </w:rPr>
        <w:t> </w:t>
      </w:r>
      <w:r>
        <w:rPr>
          <w:w w:val="108"/>
        </w:rPr>
        <w:t>los</w:t>
      </w:r>
      <w:r>
        <w:rPr>
          <w:spacing w:val="6"/>
        </w:rPr>
        <w:t> </w:t>
      </w:r>
      <w:r>
        <w:rPr>
          <w:w w:val="110"/>
        </w:rPr>
        <w:t>conflictos</w:t>
      </w:r>
      <w:r>
        <w:rPr>
          <w:spacing w:val="6"/>
        </w:rPr>
        <w:t> </w:t>
      </w:r>
      <w:r>
        <w:rPr>
          <w:w w:val="109"/>
        </w:rPr>
        <w:t>sociales</w:t>
      </w:r>
      <w:r>
        <w:rPr>
          <w:spacing w:val="6"/>
        </w:rPr>
        <w:t> </w:t>
      </w:r>
      <w:r>
        <w:rPr>
          <w:w w:val="105"/>
        </w:rPr>
        <w:t>y</w:t>
      </w:r>
      <w:r>
        <w:rPr>
          <w:spacing w:val="6"/>
        </w:rPr>
        <w:t> </w:t>
      </w:r>
      <w:r>
        <w:rPr>
          <w:w w:val="109"/>
        </w:rPr>
        <w:t>las</w:t>
      </w:r>
      <w:r>
        <w:rPr>
          <w:spacing w:val="6"/>
        </w:rPr>
        <w:t> </w:t>
      </w:r>
      <w:r>
        <w:rPr>
          <w:w w:val="110"/>
        </w:rPr>
        <w:t>legít</w:t>
      </w:r>
      <w:r>
        <w:rPr>
          <w:spacing w:val="-1"/>
          <w:w w:val="110"/>
        </w:rPr>
        <w:t>i</w:t>
      </w:r>
      <w:r>
        <w:rPr>
          <w:w w:val="102"/>
        </w:rPr>
        <w:t>- </w:t>
      </w:r>
      <w:r>
        <w:rPr>
          <w:w w:val="110"/>
        </w:rPr>
        <w:t>mas demandas de autodeterminación ya no aparecerían acotadas por el esquema de la confrontación </w:t>
      </w:r>
      <w:r>
        <w:rPr>
          <w:spacing w:val="-3"/>
          <w:w w:val="110"/>
        </w:rPr>
        <w:t>bipolar.  </w:t>
      </w:r>
      <w:r>
        <w:rPr>
          <w:w w:val="110"/>
        </w:rPr>
        <w:t>No se puede echar al olvido  el peso ideológico de aquella confrontación, toda vez que ha sido una recurrente “razón” esgrimida por la política del Norte, en los hechos durante casi medio siglo, para “justificar” diferentes modalidades de presión,</w:t>
      </w:r>
      <w:r>
        <w:rPr>
          <w:spacing w:val="-5"/>
          <w:w w:val="110"/>
        </w:rPr>
        <w:t> </w:t>
      </w:r>
      <w:r>
        <w:rPr>
          <w:w w:val="110"/>
        </w:rPr>
        <w:t>injerencia</w:t>
      </w:r>
      <w:r>
        <w:rPr>
          <w:spacing w:val="-5"/>
          <w:w w:val="110"/>
        </w:rPr>
        <w:t> </w:t>
      </w:r>
      <w:r>
        <w:rPr>
          <w:w w:val="110"/>
        </w:rPr>
        <w:t>o</w:t>
      </w:r>
      <w:r>
        <w:rPr>
          <w:spacing w:val="-5"/>
          <w:w w:val="110"/>
        </w:rPr>
        <w:t> </w:t>
      </w:r>
      <w:r>
        <w:rPr>
          <w:w w:val="110"/>
        </w:rPr>
        <w:t>intervención</w:t>
      </w:r>
      <w:r>
        <w:rPr>
          <w:spacing w:val="-5"/>
          <w:w w:val="110"/>
        </w:rPr>
        <w:t> </w:t>
      </w:r>
      <w:r>
        <w:rPr>
          <w:w w:val="110"/>
        </w:rPr>
        <w:t>en</w:t>
      </w:r>
      <w:r>
        <w:rPr>
          <w:spacing w:val="-5"/>
          <w:w w:val="110"/>
        </w:rPr>
        <w:t> </w:t>
      </w:r>
      <w:r>
        <w:rPr>
          <w:w w:val="110"/>
        </w:rPr>
        <w:t>los</w:t>
      </w:r>
      <w:r>
        <w:rPr>
          <w:spacing w:val="-5"/>
          <w:w w:val="110"/>
        </w:rPr>
        <w:t> </w:t>
      </w:r>
      <w:r>
        <w:rPr>
          <w:w w:val="110"/>
        </w:rPr>
        <w:t>asuntos</w:t>
      </w:r>
      <w:r>
        <w:rPr>
          <w:spacing w:val="-5"/>
          <w:w w:val="110"/>
        </w:rPr>
        <w:t> </w:t>
      </w:r>
      <w:r>
        <w:rPr>
          <w:w w:val="110"/>
        </w:rPr>
        <w:t>internos</w:t>
      </w:r>
      <w:r>
        <w:rPr>
          <w:spacing w:val="-5"/>
          <w:w w:val="110"/>
        </w:rPr>
        <w:t> </w:t>
      </w:r>
      <w:r>
        <w:rPr>
          <w:w w:val="110"/>
        </w:rPr>
        <w:t>de</w:t>
      </w:r>
      <w:r>
        <w:rPr>
          <w:spacing w:val="-5"/>
          <w:w w:val="110"/>
        </w:rPr>
        <w:t> </w:t>
      </w:r>
      <w:r>
        <w:rPr>
          <w:w w:val="110"/>
        </w:rPr>
        <w:t>los</w:t>
      </w:r>
      <w:r>
        <w:rPr>
          <w:spacing w:val="-5"/>
          <w:w w:val="110"/>
        </w:rPr>
        <w:t> </w:t>
      </w:r>
      <w:r>
        <w:rPr>
          <w:w w:val="110"/>
        </w:rPr>
        <w:t>países </w:t>
      </w:r>
      <w:r>
        <w:rPr>
          <w:w w:val="107"/>
        </w:rPr>
        <w:t>de</w:t>
      </w:r>
      <w:r>
        <w:rPr>
          <w:spacing w:val="12"/>
        </w:rPr>
        <w:t> </w:t>
      </w:r>
      <w:r>
        <w:rPr>
          <w:w w:val="139"/>
        </w:rPr>
        <w:t>a</w:t>
      </w:r>
      <w:r>
        <w:rPr>
          <w:w w:val="111"/>
        </w:rPr>
        <w:t>mérica</w:t>
      </w:r>
      <w:r>
        <w:rPr>
          <w:spacing w:val="12"/>
        </w:rPr>
        <w:t> </w:t>
      </w:r>
      <w:r>
        <w:rPr>
          <w:w w:val="243"/>
        </w:rPr>
        <w:t>l</w:t>
      </w:r>
      <w:r>
        <w:rPr>
          <w:w w:val="111"/>
        </w:rPr>
        <w:t>atina</w:t>
      </w:r>
      <w:r>
        <w:rPr>
          <w:spacing w:val="12"/>
        </w:rPr>
        <w:t> </w:t>
      </w:r>
      <w:r>
        <w:rPr>
          <w:w w:val="105"/>
        </w:rPr>
        <w:t>y</w:t>
      </w:r>
      <w:r>
        <w:rPr>
          <w:spacing w:val="12"/>
        </w:rPr>
        <w:t> </w:t>
      </w:r>
      <w:r>
        <w:rPr>
          <w:w w:val="107"/>
        </w:rPr>
        <w:t>el</w:t>
      </w:r>
      <w:r>
        <w:rPr>
          <w:spacing w:val="12"/>
        </w:rPr>
        <w:t> </w:t>
      </w:r>
      <w:r>
        <w:rPr>
          <w:w w:val="114"/>
        </w:rPr>
        <w:t>Caribe.</w:t>
      </w:r>
    </w:p>
    <w:p>
      <w:pPr>
        <w:pStyle w:val="BodyText"/>
        <w:spacing w:line="252" w:lineRule="auto"/>
        <w:ind w:left="330" w:right="117" w:firstLine="396"/>
        <w:jc w:val="both"/>
      </w:pPr>
      <w:r>
        <w:rPr>
          <w:w w:val="110"/>
        </w:rPr>
        <w:t>sin embargo, en la medida en que la relación de confrontación Norte-sur continuó, ya sin el contrabalanceo de la bipolaridad, proli- ferando conflictos en diversas zonas del mundo en los cuales los inte- reses</w:t>
      </w:r>
      <w:r>
        <w:rPr>
          <w:spacing w:val="-9"/>
          <w:w w:val="110"/>
        </w:rPr>
        <w:t> </w:t>
      </w:r>
      <w:r>
        <w:rPr>
          <w:w w:val="110"/>
        </w:rPr>
        <w:t>de</w:t>
      </w:r>
      <w:r>
        <w:rPr>
          <w:spacing w:val="-9"/>
          <w:w w:val="110"/>
        </w:rPr>
        <w:t> </w:t>
      </w:r>
      <w:r>
        <w:rPr>
          <w:w w:val="110"/>
        </w:rPr>
        <w:t>la</w:t>
      </w:r>
      <w:r>
        <w:rPr>
          <w:spacing w:val="-9"/>
          <w:w w:val="110"/>
        </w:rPr>
        <w:t> </w:t>
      </w:r>
      <w:r>
        <w:rPr>
          <w:w w:val="110"/>
        </w:rPr>
        <w:t>política</w:t>
      </w:r>
      <w:r>
        <w:rPr>
          <w:spacing w:val="-9"/>
          <w:w w:val="110"/>
        </w:rPr>
        <w:t> </w:t>
      </w:r>
      <w:r>
        <w:rPr>
          <w:w w:val="110"/>
        </w:rPr>
        <w:t>estadounidense</w:t>
      </w:r>
      <w:r>
        <w:rPr>
          <w:spacing w:val="-9"/>
          <w:w w:val="110"/>
        </w:rPr>
        <w:t> </w:t>
      </w:r>
      <w:r>
        <w:rPr>
          <w:w w:val="110"/>
        </w:rPr>
        <w:t>fueron</w:t>
      </w:r>
      <w:r>
        <w:rPr>
          <w:spacing w:val="-9"/>
          <w:w w:val="110"/>
        </w:rPr>
        <w:t> </w:t>
      </w:r>
      <w:r>
        <w:rPr>
          <w:w w:val="110"/>
        </w:rPr>
        <w:t>y</w:t>
      </w:r>
      <w:r>
        <w:rPr>
          <w:spacing w:val="-9"/>
          <w:w w:val="110"/>
        </w:rPr>
        <w:t> </w:t>
      </w:r>
      <w:r>
        <w:rPr>
          <w:w w:val="110"/>
        </w:rPr>
        <w:t>son</w:t>
      </w:r>
      <w:r>
        <w:rPr>
          <w:spacing w:val="-9"/>
          <w:w w:val="110"/>
        </w:rPr>
        <w:t> </w:t>
      </w:r>
      <w:r>
        <w:rPr>
          <w:w w:val="110"/>
        </w:rPr>
        <w:t>un</w:t>
      </w:r>
      <w:r>
        <w:rPr>
          <w:spacing w:val="-9"/>
          <w:w w:val="110"/>
        </w:rPr>
        <w:t> </w:t>
      </w:r>
      <w:r>
        <w:rPr>
          <w:w w:val="110"/>
        </w:rPr>
        <w:t>factor</w:t>
      </w:r>
      <w:r>
        <w:rPr>
          <w:spacing w:val="-9"/>
          <w:w w:val="110"/>
        </w:rPr>
        <w:t> </w:t>
      </w:r>
      <w:r>
        <w:rPr>
          <w:w w:val="110"/>
        </w:rPr>
        <w:t>de</w:t>
      </w:r>
      <w:r>
        <w:rPr>
          <w:spacing w:val="-9"/>
          <w:w w:val="110"/>
        </w:rPr>
        <w:t> </w:t>
      </w:r>
      <w:r>
        <w:rPr>
          <w:w w:val="110"/>
        </w:rPr>
        <w:t>importan- cia decisiva, correlativamente se ha venido produciendo un complejo realineamiento en el campo del poder mundial en cuyo rasgo el uso  de</w:t>
      </w:r>
      <w:r>
        <w:rPr>
          <w:spacing w:val="12"/>
          <w:w w:val="110"/>
        </w:rPr>
        <w:t> </w:t>
      </w:r>
      <w:r>
        <w:rPr>
          <w:w w:val="110"/>
        </w:rPr>
        <w:t>la</w:t>
      </w:r>
      <w:r>
        <w:rPr>
          <w:spacing w:val="12"/>
          <w:w w:val="110"/>
        </w:rPr>
        <w:t> </w:t>
      </w:r>
      <w:r>
        <w:rPr>
          <w:w w:val="110"/>
        </w:rPr>
        <w:t>fuerza</w:t>
      </w:r>
      <w:r>
        <w:rPr>
          <w:spacing w:val="12"/>
          <w:w w:val="110"/>
        </w:rPr>
        <w:t> </w:t>
      </w:r>
      <w:r>
        <w:rPr>
          <w:w w:val="110"/>
        </w:rPr>
        <w:t>o</w:t>
      </w:r>
      <w:r>
        <w:rPr>
          <w:spacing w:val="12"/>
          <w:w w:val="110"/>
        </w:rPr>
        <w:t> </w:t>
      </w:r>
      <w:r>
        <w:rPr>
          <w:w w:val="110"/>
        </w:rPr>
        <w:t>la</w:t>
      </w:r>
      <w:r>
        <w:rPr>
          <w:spacing w:val="12"/>
          <w:w w:val="110"/>
        </w:rPr>
        <w:t> </w:t>
      </w:r>
      <w:r>
        <w:rPr>
          <w:w w:val="110"/>
        </w:rPr>
        <w:t>amenaza</w:t>
      </w:r>
      <w:r>
        <w:rPr>
          <w:spacing w:val="12"/>
          <w:w w:val="110"/>
        </w:rPr>
        <w:t> </w:t>
      </w:r>
      <w:r>
        <w:rPr>
          <w:w w:val="110"/>
        </w:rPr>
        <w:t>de</w:t>
      </w:r>
      <w:r>
        <w:rPr>
          <w:spacing w:val="12"/>
          <w:w w:val="110"/>
        </w:rPr>
        <w:t> </w:t>
      </w:r>
      <w:r>
        <w:rPr>
          <w:w w:val="110"/>
        </w:rPr>
        <w:t>usarla</w:t>
      </w:r>
      <w:r>
        <w:rPr>
          <w:spacing w:val="12"/>
          <w:w w:val="110"/>
        </w:rPr>
        <w:t> </w:t>
      </w:r>
      <w:r>
        <w:rPr>
          <w:w w:val="110"/>
        </w:rPr>
        <w:t>viene</w:t>
      </w:r>
      <w:r>
        <w:rPr>
          <w:spacing w:val="12"/>
          <w:w w:val="110"/>
        </w:rPr>
        <w:t> </w:t>
      </w:r>
      <w:r>
        <w:rPr>
          <w:w w:val="110"/>
        </w:rPr>
        <w:t>definiendo</w:t>
      </w:r>
      <w:r>
        <w:rPr>
          <w:spacing w:val="12"/>
          <w:w w:val="110"/>
        </w:rPr>
        <w:t> </w:t>
      </w:r>
      <w:r>
        <w:rPr>
          <w:w w:val="110"/>
        </w:rPr>
        <w:t>una</w:t>
      </w:r>
      <w:r>
        <w:rPr>
          <w:spacing w:val="12"/>
          <w:w w:val="110"/>
        </w:rPr>
        <w:t> </w:t>
      </w:r>
      <w:r>
        <w:rPr>
          <w:w w:val="110"/>
        </w:rPr>
        <w:t>de</w:t>
      </w:r>
      <w:r>
        <w:rPr>
          <w:spacing w:val="12"/>
          <w:w w:val="110"/>
        </w:rPr>
        <w:t> </w:t>
      </w:r>
      <w:r>
        <w:rPr>
          <w:w w:val="110"/>
        </w:rPr>
        <w:t>las</w:t>
      </w:r>
      <w:r>
        <w:rPr>
          <w:spacing w:val="12"/>
          <w:w w:val="110"/>
        </w:rPr>
        <w:t> </w:t>
      </w:r>
      <w:r>
        <w:rPr>
          <w:w w:val="110"/>
        </w:rPr>
        <w:t>prin-</w:t>
      </w:r>
    </w:p>
    <w:p>
      <w:pPr>
        <w:spacing w:after="0" w:line="252" w:lineRule="auto"/>
        <w:jc w:val="both"/>
        <w:sectPr>
          <w:headerReference w:type="even" r:id="rId442"/>
          <w:headerReference w:type="default" r:id="rId443"/>
          <w:footerReference w:type="even" r:id="rId444"/>
          <w:footerReference w:type="default" r:id="rId445"/>
          <w:pgSz w:w="8790" w:h="12760"/>
          <w:pgMar w:header="697" w:footer="725" w:top="880" w:bottom="920" w:left="1200" w:right="900"/>
          <w:pgNumType w:start="324"/>
        </w:sectPr>
      </w:pPr>
    </w:p>
    <w:p>
      <w:pPr>
        <w:pStyle w:val="BodyText"/>
        <w:spacing w:before="9"/>
        <w:rPr>
          <w:sz w:val="28"/>
        </w:rPr>
      </w:pPr>
    </w:p>
    <w:p>
      <w:pPr>
        <w:pStyle w:val="BodyText"/>
        <w:spacing w:line="252" w:lineRule="auto" w:before="73"/>
        <w:ind w:left="120" w:right="327"/>
        <w:jc w:val="both"/>
      </w:pPr>
      <w:r>
        <w:rPr>
          <w:w w:val="110"/>
        </w:rPr>
        <w:t>cipales características del inestable escenario global. a contrapelo de la prudencia y los acuerdos de equilibrar los factores de disuasión o contención que previamente existieron, en el contexto actual de post Guerra Fría cualquier obstáculo al uso de la fuerza propia es asu-  mida como una suerte de “prohibición injustificable” para la política exterior y de seguridad estadounidenses. En efecto, en el escenario internacional ha prevalecido, por ejemplo, una negativa recurrente de hacer sentir su peso sobre israel en el conflicto con los palestinos. su obstinada oposición al “Protocolo de Kioto” para ratificar acuerdos sobre calentamiento global, que ya produce estragos medioambienta- les por </w:t>
      </w:r>
      <w:r>
        <w:rPr>
          <w:spacing w:val="-3"/>
          <w:w w:val="110"/>
        </w:rPr>
        <w:t>doquier, </w:t>
      </w:r>
      <w:r>
        <w:rPr>
          <w:w w:val="110"/>
        </w:rPr>
        <w:t>es otro </w:t>
      </w:r>
      <w:r>
        <w:rPr>
          <w:spacing w:val="-3"/>
          <w:w w:val="110"/>
        </w:rPr>
        <w:t>indicador. </w:t>
      </w:r>
      <w:r>
        <w:rPr>
          <w:w w:val="110"/>
        </w:rPr>
        <w:t>El anuncio de terminar unilateral- mente con el tratado de misiles antibalísticos. El haberse sustraído de los esfuerzos encaminados a controlar las armas biológicas y a limitar la proliferación </w:t>
      </w:r>
      <w:r>
        <w:rPr>
          <w:spacing w:val="-3"/>
          <w:w w:val="110"/>
        </w:rPr>
        <w:t>nuclear. </w:t>
      </w:r>
      <w:r>
        <w:rPr>
          <w:w w:val="110"/>
        </w:rPr>
        <w:t>En la dirección de tales expresiones puede inscribirse también su negativa a ratificar el Estatuto de roma para la creación de la Corte Penal internacional (CPi), destinada a enjuiciar crímenes de lesa humanidad, crímenes de guerra y genocidio</w:t>
      </w:r>
      <w:r>
        <w:rPr>
          <w:w w:val="110"/>
          <w:position w:val="6"/>
          <w:sz w:val="11"/>
        </w:rPr>
        <w:t>1</w:t>
      </w:r>
      <w:r>
        <w:rPr>
          <w:w w:val="110"/>
        </w:rPr>
        <w:t>, con- siderados como graves violaciones al derecho internacional público,   a los derechos humanos, y al derecho internacional humanitario. En similar sentido puede añadirse, por último, su negativa a ratificar la Convención  americana  de  derechos</w:t>
      </w:r>
      <w:r>
        <w:rPr>
          <w:spacing w:val="3"/>
          <w:w w:val="110"/>
        </w:rPr>
        <w:t> </w:t>
      </w:r>
      <w:r>
        <w:rPr>
          <w:w w:val="110"/>
        </w:rPr>
        <w:t>Humanos.</w:t>
      </w:r>
    </w:p>
    <w:p>
      <w:pPr>
        <w:pStyle w:val="BodyText"/>
        <w:spacing w:line="252" w:lineRule="auto"/>
        <w:ind w:left="120" w:right="326" w:firstLine="396"/>
        <w:jc w:val="both"/>
      </w:pPr>
      <w:r>
        <w:rPr>
          <w:w w:val="110"/>
        </w:rPr>
        <w:t>sobre los escombros de la Guerra Fría se erige la hegemonía norteamericana fundada en la supremacía militar que le sirve de so- porte. desde la teoría del poder esto remite, de un modo general, </w:t>
      </w:r>
      <w:r>
        <w:rPr>
          <w:w w:val="112"/>
        </w:rPr>
        <w:t>a</w:t>
      </w:r>
      <w:r>
        <w:rPr/>
        <w:t>  </w:t>
      </w:r>
      <w:r>
        <w:rPr>
          <w:w w:val="111"/>
        </w:rPr>
        <w:t>la</w:t>
      </w:r>
      <w:r>
        <w:rPr/>
        <w:t>  </w:t>
      </w:r>
      <w:r>
        <w:rPr>
          <w:w w:val="112"/>
        </w:rPr>
        <w:t>clásica</w:t>
      </w:r>
      <w:r>
        <w:rPr/>
        <w:t>  </w:t>
      </w:r>
      <w:r>
        <w:rPr>
          <w:w w:val="108"/>
        </w:rPr>
        <w:t>representación</w:t>
      </w:r>
      <w:r>
        <w:rPr/>
        <w:t>  </w:t>
      </w:r>
      <w:r>
        <w:rPr>
          <w:w w:val="107"/>
        </w:rPr>
        <w:t>del</w:t>
      </w:r>
      <w:r>
        <w:rPr/>
        <w:t>  </w:t>
      </w:r>
      <w:r>
        <w:rPr>
          <w:w w:val="109"/>
        </w:rPr>
        <w:t>consenso</w:t>
      </w:r>
      <w:r>
        <w:rPr/>
        <w:t>  </w:t>
      </w:r>
      <w:r>
        <w:rPr>
          <w:w w:val="106"/>
        </w:rPr>
        <w:t>revestido</w:t>
      </w:r>
      <w:r>
        <w:rPr/>
        <w:t>  </w:t>
      </w:r>
      <w:r>
        <w:rPr>
          <w:w w:val="107"/>
        </w:rPr>
        <w:t>de</w:t>
      </w:r>
      <w:r>
        <w:rPr/>
        <w:t>  </w:t>
      </w:r>
      <w:r>
        <w:rPr>
          <w:w w:val="112"/>
        </w:rPr>
        <w:t>coerción.</w:t>
      </w:r>
      <w:r>
        <w:rPr/>
        <w:t>  </w:t>
      </w:r>
      <w:r>
        <w:rPr>
          <w:w w:val="243"/>
        </w:rPr>
        <w:t>l</w:t>
      </w:r>
      <w:r>
        <w:rPr>
          <w:w w:val="112"/>
        </w:rPr>
        <w:t>a </w:t>
      </w:r>
      <w:r>
        <w:rPr>
          <w:w w:val="110"/>
        </w:rPr>
        <w:t>recuperación de esta articulación conceptual inscrita en la tradición gramsciana ayuda a ordenar la comprensión de la problemática refe- rida a cómo se ejerce el poder de clase en la actual fase de mundiali- zación del sistema capitalista.</w:t>
      </w:r>
      <w:r>
        <w:rPr>
          <w:w w:val="110"/>
          <w:position w:val="6"/>
          <w:sz w:val="11"/>
        </w:rPr>
        <w:t>2 </w:t>
      </w:r>
      <w:r>
        <w:rPr>
          <w:w w:val="110"/>
        </w:rPr>
        <w:t>su alcance analítico-conceptual sirve para pensar en esa capacidad anticipada para imponer, expandir y reproducir  la dominación.</w:t>
      </w:r>
    </w:p>
    <w:p>
      <w:pPr>
        <w:pStyle w:val="BodyText"/>
        <w:rPr>
          <w:sz w:val="20"/>
        </w:rPr>
      </w:pPr>
    </w:p>
    <w:p>
      <w:pPr>
        <w:pStyle w:val="BodyText"/>
        <w:spacing w:before="1"/>
        <w:rPr>
          <w:sz w:val="12"/>
        </w:rPr>
      </w:pPr>
      <w:r>
        <w:rPr/>
        <w:pict>
          <v:line style="position:absolute;mso-position-horizontal-relative:page;mso-position-vertical-relative:paragraph;z-index:7600;mso-wrap-distance-left:0;mso-wrap-distance-right:0" from="51.023602pt,9.303596pt" to="79.369602pt,9.303596pt" stroked="true" strokeweight=".5pt" strokecolor="#000000">
            <w10:wrap type="topAndBottom"/>
          </v:line>
        </w:pict>
      </w:r>
    </w:p>
    <w:p>
      <w:pPr>
        <w:pStyle w:val="ListParagraph"/>
        <w:numPr>
          <w:ilvl w:val="0"/>
          <w:numId w:val="32"/>
        </w:numPr>
        <w:tabs>
          <w:tab w:pos="376" w:val="left" w:leader="none"/>
        </w:tabs>
        <w:spacing w:line="242" w:lineRule="auto" w:before="89" w:after="0"/>
        <w:ind w:left="120" w:right="328" w:firstLine="0"/>
        <w:jc w:val="both"/>
        <w:rPr>
          <w:sz w:val="16"/>
        </w:rPr>
      </w:pPr>
      <w:r>
        <w:rPr>
          <w:w w:val="110"/>
          <w:sz w:val="16"/>
        </w:rPr>
        <w:t>al entrar en vigor el Estatuto de roma le otorgaba competencia a la CPi para juzgar</w:t>
      </w:r>
      <w:r>
        <w:rPr>
          <w:spacing w:val="-10"/>
          <w:w w:val="110"/>
          <w:sz w:val="16"/>
        </w:rPr>
        <w:t> </w:t>
      </w:r>
      <w:r>
        <w:rPr>
          <w:w w:val="110"/>
          <w:sz w:val="16"/>
        </w:rPr>
        <w:t>estos</w:t>
      </w:r>
      <w:r>
        <w:rPr>
          <w:spacing w:val="-10"/>
          <w:w w:val="110"/>
          <w:sz w:val="16"/>
        </w:rPr>
        <w:t> </w:t>
      </w:r>
      <w:r>
        <w:rPr>
          <w:w w:val="110"/>
          <w:sz w:val="16"/>
        </w:rPr>
        <w:t>crímenes.</w:t>
      </w:r>
      <w:r>
        <w:rPr>
          <w:spacing w:val="-10"/>
          <w:w w:val="110"/>
          <w:sz w:val="16"/>
        </w:rPr>
        <w:t> </w:t>
      </w:r>
      <w:r>
        <w:rPr>
          <w:w w:val="110"/>
          <w:sz w:val="16"/>
        </w:rPr>
        <w:t>sin</w:t>
      </w:r>
      <w:r>
        <w:rPr>
          <w:spacing w:val="-10"/>
          <w:w w:val="110"/>
          <w:sz w:val="16"/>
        </w:rPr>
        <w:t> </w:t>
      </w:r>
      <w:r>
        <w:rPr>
          <w:w w:val="110"/>
          <w:sz w:val="16"/>
        </w:rPr>
        <w:t>embargo,</w:t>
      </w:r>
      <w:r>
        <w:rPr>
          <w:spacing w:val="-10"/>
          <w:w w:val="110"/>
          <w:sz w:val="16"/>
        </w:rPr>
        <w:t> </w:t>
      </w:r>
      <w:r>
        <w:rPr>
          <w:w w:val="110"/>
          <w:sz w:val="16"/>
        </w:rPr>
        <w:t>desde</w:t>
      </w:r>
      <w:r>
        <w:rPr>
          <w:spacing w:val="-10"/>
          <w:w w:val="110"/>
          <w:sz w:val="16"/>
        </w:rPr>
        <w:t> </w:t>
      </w:r>
      <w:r>
        <w:rPr>
          <w:w w:val="110"/>
          <w:sz w:val="16"/>
        </w:rPr>
        <w:t>su</w:t>
      </w:r>
      <w:r>
        <w:rPr>
          <w:spacing w:val="-10"/>
          <w:w w:val="110"/>
          <w:sz w:val="16"/>
        </w:rPr>
        <w:t> </w:t>
      </w:r>
      <w:r>
        <w:rPr>
          <w:w w:val="110"/>
          <w:sz w:val="16"/>
        </w:rPr>
        <w:t>creación</w:t>
      </w:r>
      <w:r>
        <w:rPr>
          <w:spacing w:val="-10"/>
          <w:w w:val="110"/>
          <w:sz w:val="16"/>
        </w:rPr>
        <w:t> </w:t>
      </w:r>
      <w:r>
        <w:rPr>
          <w:w w:val="110"/>
          <w:sz w:val="16"/>
        </w:rPr>
        <w:t>previó</w:t>
      </w:r>
      <w:r>
        <w:rPr>
          <w:spacing w:val="-10"/>
          <w:w w:val="110"/>
          <w:sz w:val="16"/>
        </w:rPr>
        <w:t> </w:t>
      </w:r>
      <w:r>
        <w:rPr>
          <w:w w:val="110"/>
          <w:sz w:val="16"/>
        </w:rPr>
        <w:t>la</w:t>
      </w:r>
      <w:r>
        <w:rPr>
          <w:spacing w:val="-10"/>
          <w:w w:val="110"/>
          <w:sz w:val="16"/>
        </w:rPr>
        <w:t> </w:t>
      </w:r>
      <w:r>
        <w:rPr>
          <w:w w:val="110"/>
          <w:sz w:val="16"/>
        </w:rPr>
        <w:t>posibilidad</w:t>
      </w:r>
      <w:r>
        <w:rPr>
          <w:spacing w:val="-10"/>
          <w:w w:val="110"/>
          <w:sz w:val="16"/>
        </w:rPr>
        <w:t> </w:t>
      </w:r>
      <w:r>
        <w:rPr>
          <w:w w:val="110"/>
          <w:sz w:val="16"/>
        </w:rPr>
        <w:t>de</w:t>
      </w:r>
      <w:r>
        <w:rPr>
          <w:spacing w:val="-10"/>
          <w:w w:val="110"/>
          <w:sz w:val="16"/>
        </w:rPr>
        <w:t> </w:t>
      </w:r>
      <w:r>
        <w:rPr>
          <w:w w:val="110"/>
          <w:sz w:val="16"/>
        </w:rPr>
        <w:t>juzgar el crimen de agresión, definido en la Conferencia de revisión del Estatuto de roma realizada en Kampala en 2010 como “el uso de la fuerza armada por un Estado con- tra la soberanía, la integridad territorial o la independencia política de otro Estado, o en cualquier forma incompatible con la Carta de las Naciones </w:t>
      </w:r>
      <w:r>
        <w:rPr>
          <w:spacing w:val="9"/>
          <w:w w:val="110"/>
          <w:sz w:val="16"/>
        </w:rPr>
        <w:t> </w:t>
      </w:r>
      <w:r>
        <w:rPr>
          <w:w w:val="110"/>
          <w:sz w:val="16"/>
        </w:rPr>
        <w:t>unidas”.</w:t>
      </w:r>
    </w:p>
    <w:p>
      <w:pPr>
        <w:pStyle w:val="ListParagraph"/>
        <w:numPr>
          <w:ilvl w:val="0"/>
          <w:numId w:val="32"/>
        </w:numPr>
        <w:tabs>
          <w:tab w:pos="376" w:val="left" w:leader="none"/>
        </w:tabs>
        <w:spacing w:line="242" w:lineRule="auto" w:before="57" w:after="0"/>
        <w:ind w:left="120" w:right="328" w:firstLine="0"/>
        <w:jc w:val="both"/>
        <w:rPr>
          <w:sz w:val="16"/>
        </w:rPr>
      </w:pPr>
      <w:r>
        <w:rPr>
          <w:w w:val="110"/>
          <w:sz w:val="16"/>
        </w:rPr>
        <w:t>sin desconocer la sendas clásicas de la tradición leninista y gramsciana sobre   el desarrollo del capitalismo, la dominación y la hegemonía de clases, algunos de los grandes presupuestos que alimentan la posibilidad de abordar teóricamente este complejo campo actual de preocupación se encuentran, principalmente, en las obras</w:t>
      </w:r>
      <w:r>
        <w:rPr>
          <w:spacing w:val="-16"/>
          <w:w w:val="110"/>
          <w:sz w:val="16"/>
        </w:rPr>
        <w:t> </w:t>
      </w:r>
      <w:r>
        <w:rPr>
          <w:w w:val="110"/>
          <w:sz w:val="16"/>
        </w:rPr>
        <w:t>de</w:t>
      </w:r>
      <w:r>
        <w:rPr>
          <w:spacing w:val="-16"/>
          <w:w w:val="110"/>
          <w:sz w:val="16"/>
        </w:rPr>
        <w:t> </w:t>
      </w:r>
      <w:r>
        <w:rPr>
          <w:w w:val="110"/>
          <w:sz w:val="16"/>
        </w:rPr>
        <w:t>Wallerstein</w:t>
      </w:r>
      <w:r>
        <w:rPr>
          <w:spacing w:val="-16"/>
          <w:w w:val="110"/>
          <w:sz w:val="16"/>
        </w:rPr>
        <w:t> </w:t>
      </w:r>
      <w:r>
        <w:rPr>
          <w:w w:val="110"/>
          <w:sz w:val="16"/>
        </w:rPr>
        <w:t>(1979);</w:t>
      </w:r>
      <w:r>
        <w:rPr>
          <w:spacing w:val="-16"/>
          <w:w w:val="110"/>
          <w:sz w:val="16"/>
        </w:rPr>
        <w:t> </w:t>
      </w:r>
      <w:r>
        <w:rPr>
          <w:w w:val="110"/>
          <w:sz w:val="16"/>
        </w:rPr>
        <w:t>arrighi</w:t>
      </w:r>
      <w:r>
        <w:rPr>
          <w:spacing w:val="-16"/>
          <w:w w:val="110"/>
          <w:sz w:val="16"/>
        </w:rPr>
        <w:t> </w:t>
      </w:r>
      <w:r>
        <w:rPr>
          <w:w w:val="110"/>
          <w:sz w:val="16"/>
        </w:rPr>
        <w:t>(1999),</w:t>
      </w:r>
      <w:r>
        <w:rPr>
          <w:spacing w:val="-16"/>
          <w:w w:val="110"/>
          <w:sz w:val="16"/>
        </w:rPr>
        <w:t> </w:t>
      </w:r>
      <w:r>
        <w:rPr>
          <w:w w:val="110"/>
          <w:sz w:val="16"/>
        </w:rPr>
        <w:t>Hardt</w:t>
      </w:r>
      <w:r>
        <w:rPr>
          <w:spacing w:val="-16"/>
          <w:w w:val="110"/>
          <w:sz w:val="16"/>
        </w:rPr>
        <w:t> </w:t>
      </w:r>
      <w:r>
        <w:rPr>
          <w:w w:val="110"/>
          <w:sz w:val="16"/>
        </w:rPr>
        <w:t>y</w:t>
      </w:r>
      <w:r>
        <w:rPr>
          <w:spacing w:val="-16"/>
          <w:w w:val="110"/>
          <w:sz w:val="16"/>
        </w:rPr>
        <w:t> </w:t>
      </w:r>
      <w:r>
        <w:rPr>
          <w:w w:val="110"/>
          <w:sz w:val="16"/>
        </w:rPr>
        <w:t>Negri</w:t>
      </w:r>
      <w:r>
        <w:rPr>
          <w:spacing w:val="-16"/>
          <w:w w:val="110"/>
          <w:sz w:val="16"/>
        </w:rPr>
        <w:t> </w:t>
      </w:r>
      <w:r>
        <w:rPr>
          <w:w w:val="110"/>
          <w:sz w:val="16"/>
        </w:rPr>
        <w:t>(2000),</w:t>
      </w:r>
      <w:r>
        <w:rPr>
          <w:spacing w:val="-16"/>
          <w:w w:val="110"/>
          <w:sz w:val="16"/>
        </w:rPr>
        <w:t> </w:t>
      </w:r>
      <w:r>
        <w:rPr>
          <w:w w:val="110"/>
          <w:sz w:val="16"/>
        </w:rPr>
        <w:t>Nye</w:t>
      </w:r>
      <w:r>
        <w:rPr>
          <w:spacing w:val="-16"/>
          <w:w w:val="110"/>
          <w:sz w:val="16"/>
        </w:rPr>
        <w:t> </w:t>
      </w:r>
      <w:r>
        <w:rPr>
          <w:w w:val="110"/>
          <w:sz w:val="16"/>
        </w:rPr>
        <w:t>(2011),</w:t>
      </w:r>
      <w:r>
        <w:rPr>
          <w:spacing w:val="-16"/>
          <w:w w:val="110"/>
          <w:sz w:val="16"/>
        </w:rPr>
        <w:t> </w:t>
      </w:r>
      <w:r>
        <w:rPr>
          <w:w w:val="110"/>
          <w:sz w:val="16"/>
        </w:rPr>
        <w:t>osorio (2004);</w:t>
      </w:r>
      <w:r>
        <w:rPr>
          <w:spacing w:val="-17"/>
          <w:w w:val="110"/>
          <w:sz w:val="16"/>
        </w:rPr>
        <w:t> </w:t>
      </w:r>
      <w:r>
        <w:rPr>
          <w:w w:val="110"/>
          <w:sz w:val="16"/>
        </w:rPr>
        <w:t>Gandásegui</w:t>
      </w:r>
      <w:r>
        <w:rPr>
          <w:spacing w:val="-17"/>
          <w:w w:val="110"/>
          <w:sz w:val="16"/>
        </w:rPr>
        <w:t> </w:t>
      </w:r>
      <w:r>
        <w:rPr>
          <w:w w:val="110"/>
          <w:sz w:val="16"/>
        </w:rPr>
        <w:t>(2007),</w:t>
      </w:r>
      <w:r>
        <w:rPr>
          <w:spacing w:val="-17"/>
          <w:w w:val="110"/>
          <w:sz w:val="16"/>
        </w:rPr>
        <w:t> </w:t>
      </w:r>
      <w:r>
        <w:rPr>
          <w:w w:val="110"/>
          <w:sz w:val="16"/>
        </w:rPr>
        <w:t>Hernández</w:t>
      </w:r>
      <w:r>
        <w:rPr>
          <w:spacing w:val="-17"/>
          <w:w w:val="110"/>
          <w:sz w:val="16"/>
        </w:rPr>
        <w:t> </w:t>
      </w:r>
      <w:r>
        <w:rPr>
          <w:w w:val="110"/>
          <w:sz w:val="16"/>
        </w:rPr>
        <w:t>(2008)</w:t>
      </w:r>
      <w:r>
        <w:rPr>
          <w:spacing w:val="-17"/>
          <w:w w:val="110"/>
          <w:sz w:val="16"/>
        </w:rPr>
        <w:t> </w:t>
      </w:r>
      <w:r>
        <w:rPr>
          <w:w w:val="110"/>
          <w:sz w:val="16"/>
        </w:rPr>
        <w:t>y</w:t>
      </w:r>
      <w:r>
        <w:rPr>
          <w:spacing w:val="-17"/>
          <w:w w:val="110"/>
          <w:sz w:val="16"/>
        </w:rPr>
        <w:t> </w:t>
      </w:r>
      <w:r>
        <w:rPr>
          <w:w w:val="110"/>
          <w:sz w:val="16"/>
        </w:rPr>
        <w:t>robinson</w:t>
      </w:r>
      <w:r>
        <w:rPr>
          <w:spacing w:val="-17"/>
          <w:w w:val="110"/>
          <w:sz w:val="16"/>
        </w:rPr>
        <w:t> </w:t>
      </w:r>
      <w:r>
        <w:rPr>
          <w:w w:val="110"/>
          <w:sz w:val="16"/>
        </w:rPr>
        <w:t>(2013).</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7" w:firstLine="396"/>
        <w:jc w:val="right"/>
      </w:pPr>
      <w:r>
        <w:rPr>
          <w:w w:val="115"/>
        </w:rPr>
        <w:t>aunque abunden señales que ponen en entredicho</w:t>
      </w:r>
      <w:r>
        <w:rPr>
          <w:spacing w:val="1"/>
          <w:w w:val="115"/>
        </w:rPr>
        <w:t> </w:t>
      </w:r>
      <w:r>
        <w:rPr>
          <w:w w:val="115"/>
        </w:rPr>
        <w:t>algunos fac-</w:t>
      </w:r>
      <w:r>
        <w:rPr>
          <w:w w:val="102"/>
        </w:rPr>
        <w:t> </w:t>
      </w:r>
      <w:r>
        <w:rPr>
          <w:w w:val="115"/>
        </w:rPr>
        <w:t>tores</w:t>
      </w:r>
      <w:r>
        <w:rPr>
          <w:spacing w:val="-9"/>
          <w:w w:val="115"/>
        </w:rPr>
        <w:t> </w:t>
      </w:r>
      <w:r>
        <w:rPr>
          <w:w w:val="115"/>
        </w:rPr>
        <w:t>que</w:t>
      </w:r>
      <w:r>
        <w:rPr>
          <w:spacing w:val="-9"/>
          <w:w w:val="115"/>
        </w:rPr>
        <w:t> </w:t>
      </w:r>
      <w:r>
        <w:rPr>
          <w:w w:val="115"/>
        </w:rPr>
        <w:t>articulan</w:t>
      </w:r>
      <w:r>
        <w:rPr>
          <w:spacing w:val="-9"/>
          <w:w w:val="115"/>
        </w:rPr>
        <w:t> </w:t>
      </w:r>
      <w:r>
        <w:rPr>
          <w:w w:val="115"/>
        </w:rPr>
        <w:t>esa</w:t>
      </w:r>
      <w:r>
        <w:rPr>
          <w:spacing w:val="-9"/>
          <w:w w:val="115"/>
        </w:rPr>
        <w:t> </w:t>
      </w:r>
      <w:r>
        <w:rPr>
          <w:w w:val="115"/>
        </w:rPr>
        <w:t>capacidad</w:t>
      </w:r>
      <w:r>
        <w:rPr>
          <w:spacing w:val="-9"/>
          <w:w w:val="115"/>
        </w:rPr>
        <w:t> </w:t>
      </w:r>
      <w:r>
        <w:rPr>
          <w:w w:val="115"/>
        </w:rPr>
        <w:t>desde</w:t>
      </w:r>
      <w:r>
        <w:rPr>
          <w:spacing w:val="-9"/>
          <w:w w:val="115"/>
        </w:rPr>
        <w:t> </w:t>
      </w:r>
      <w:r>
        <w:rPr>
          <w:w w:val="115"/>
        </w:rPr>
        <w:t>el</w:t>
      </w:r>
      <w:r>
        <w:rPr>
          <w:spacing w:val="-9"/>
          <w:w w:val="115"/>
        </w:rPr>
        <w:t> </w:t>
      </w:r>
      <w:r>
        <w:rPr>
          <w:w w:val="115"/>
        </w:rPr>
        <w:t>dominio</w:t>
      </w:r>
      <w:r>
        <w:rPr>
          <w:spacing w:val="-9"/>
          <w:w w:val="115"/>
        </w:rPr>
        <w:t> </w:t>
      </w:r>
      <w:r>
        <w:rPr>
          <w:w w:val="115"/>
        </w:rPr>
        <w:t>estadounidense,</w:t>
      </w:r>
      <w:r>
        <w:rPr>
          <w:w w:val="109"/>
        </w:rPr>
        <w:t> </w:t>
      </w:r>
      <w:r>
        <w:rPr>
          <w:w w:val="115"/>
        </w:rPr>
        <w:t>entre ellos el recurso de la persuasión, la credibilidad</w:t>
      </w:r>
      <w:r>
        <w:rPr>
          <w:spacing w:val="-33"/>
          <w:w w:val="115"/>
        </w:rPr>
        <w:t> </w:t>
      </w:r>
      <w:r>
        <w:rPr>
          <w:w w:val="115"/>
        </w:rPr>
        <w:t>diplomática</w:t>
      </w:r>
      <w:r>
        <w:rPr>
          <w:spacing w:val="-4"/>
          <w:w w:val="115"/>
        </w:rPr>
        <w:t> </w:t>
      </w:r>
      <w:r>
        <w:rPr>
          <w:w w:val="115"/>
        </w:rPr>
        <w:t>y</w:t>
      </w:r>
      <w:r>
        <w:rPr>
          <w:w w:val="105"/>
        </w:rPr>
        <w:t> </w:t>
      </w:r>
      <w:r>
        <w:rPr>
          <w:w w:val="115"/>
        </w:rPr>
        <w:t>los grados de legitimidad en su accionar político, sobresale</w:t>
      </w:r>
      <w:r>
        <w:rPr>
          <w:spacing w:val="11"/>
          <w:w w:val="115"/>
        </w:rPr>
        <w:t> </w:t>
      </w:r>
      <w:r>
        <w:rPr>
          <w:w w:val="115"/>
        </w:rPr>
        <w:t>por</w:t>
      </w:r>
      <w:r>
        <w:rPr>
          <w:spacing w:val="6"/>
          <w:w w:val="115"/>
        </w:rPr>
        <w:t> </w:t>
      </w:r>
      <w:r>
        <w:rPr>
          <w:w w:val="115"/>
        </w:rPr>
        <w:t>so-</w:t>
      </w:r>
      <w:r>
        <w:rPr>
          <w:w w:val="102"/>
        </w:rPr>
        <w:t> </w:t>
      </w:r>
      <w:r>
        <w:rPr>
          <w:w w:val="115"/>
        </w:rPr>
        <w:t>bre</w:t>
      </w:r>
      <w:r>
        <w:rPr>
          <w:spacing w:val="-19"/>
          <w:w w:val="115"/>
        </w:rPr>
        <w:t> </w:t>
      </w:r>
      <w:r>
        <w:rPr>
          <w:w w:val="115"/>
        </w:rPr>
        <w:t>todo</w:t>
      </w:r>
      <w:r>
        <w:rPr>
          <w:spacing w:val="-19"/>
          <w:w w:val="115"/>
        </w:rPr>
        <w:t> </w:t>
      </w:r>
      <w:r>
        <w:rPr>
          <w:w w:val="115"/>
        </w:rPr>
        <w:t>su</w:t>
      </w:r>
      <w:r>
        <w:rPr>
          <w:spacing w:val="-19"/>
          <w:w w:val="115"/>
        </w:rPr>
        <w:t> </w:t>
      </w:r>
      <w:r>
        <w:rPr>
          <w:w w:val="115"/>
        </w:rPr>
        <w:t>robusto</w:t>
      </w:r>
      <w:r>
        <w:rPr>
          <w:spacing w:val="-19"/>
          <w:w w:val="115"/>
        </w:rPr>
        <w:t> </w:t>
      </w:r>
      <w:r>
        <w:rPr>
          <w:w w:val="115"/>
        </w:rPr>
        <w:t>e</w:t>
      </w:r>
      <w:r>
        <w:rPr>
          <w:spacing w:val="-19"/>
          <w:w w:val="115"/>
        </w:rPr>
        <w:t> </w:t>
      </w:r>
      <w:r>
        <w:rPr>
          <w:w w:val="115"/>
        </w:rPr>
        <w:t>indiscutible</w:t>
      </w:r>
      <w:r>
        <w:rPr>
          <w:spacing w:val="-19"/>
          <w:w w:val="115"/>
        </w:rPr>
        <w:t> </w:t>
      </w:r>
      <w:r>
        <w:rPr>
          <w:w w:val="115"/>
        </w:rPr>
        <w:t>poderío</w:t>
      </w:r>
      <w:r>
        <w:rPr>
          <w:spacing w:val="-19"/>
          <w:w w:val="115"/>
        </w:rPr>
        <w:t> </w:t>
      </w:r>
      <w:r>
        <w:rPr>
          <w:w w:val="115"/>
        </w:rPr>
        <w:t>militar</w:t>
      </w:r>
      <w:r>
        <w:rPr>
          <w:spacing w:val="-19"/>
          <w:w w:val="115"/>
        </w:rPr>
        <w:t> </w:t>
      </w:r>
      <w:r>
        <w:rPr>
          <w:w w:val="115"/>
        </w:rPr>
        <w:t>y</w:t>
      </w:r>
      <w:r>
        <w:rPr>
          <w:spacing w:val="-19"/>
          <w:w w:val="115"/>
        </w:rPr>
        <w:t> </w:t>
      </w:r>
      <w:r>
        <w:rPr>
          <w:w w:val="115"/>
        </w:rPr>
        <w:t>el</w:t>
      </w:r>
      <w:r>
        <w:rPr>
          <w:spacing w:val="-19"/>
          <w:w w:val="115"/>
        </w:rPr>
        <w:t> </w:t>
      </w:r>
      <w:r>
        <w:rPr>
          <w:w w:val="115"/>
        </w:rPr>
        <w:t>engrosamiento</w:t>
      </w:r>
      <w:r>
        <w:rPr>
          <w:w w:val="109"/>
        </w:rPr>
        <w:t> </w:t>
      </w:r>
      <w:r>
        <w:rPr>
          <w:w w:val="115"/>
        </w:rPr>
        <w:t>ascendente de sus alianzas en el diseño del “poder duro”.</w:t>
      </w:r>
      <w:r>
        <w:rPr>
          <w:spacing w:val="30"/>
          <w:w w:val="115"/>
        </w:rPr>
        <w:t> </w:t>
      </w:r>
      <w:r>
        <w:rPr>
          <w:w w:val="115"/>
        </w:rPr>
        <w:t>un</w:t>
      </w:r>
      <w:r>
        <w:rPr>
          <w:spacing w:val="3"/>
          <w:w w:val="115"/>
        </w:rPr>
        <w:t> </w:t>
      </w:r>
      <w:r>
        <w:rPr>
          <w:w w:val="115"/>
        </w:rPr>
        <w:t>índice</w:t>
      </w:r>
      <w:r>
        <w:rPr>
          <w:w w:val="111"/>
        </w:rPr>
        <w:t> </w:t>
      </w:r>
      <w:r>
        <w:rPr>
          <w:w w:val="115"/>
        </w:rPr>
        <w:t>de todo ello se advierte en la organización del </w:t>
      </w:r>
      <w:r>
        <w:rPr>
          <w:spacing w:val="-3"/>
          <w:w w:val="115"/>
        </w:rPr>
        <w:t>tratado</w:t>
      </w:r>
      <w:r>
        <w:rPr>
          <w:spacing w:val="17"/>
          <w:w w:val="115"/>
        </w:rPr>
        <w:t> </w:t>
      </w:r>
      <w:r>
        <w:rPr>
          <w:w w:val="115"/>
        </w:rPr>
        <w:t>del</w:t>
      </w:r>
      <w:r>
        <w:rPr>
          <w:spacing w:val="6"/>
          <w:w w:val="115"/>
        </w:rPr>
        <w:t> </w:t>
      </w:r>
      <w:r>
        <w:rPr>
          <w:w w:val="115"/>
        </w:rPr>
        <w:t>atlántico</w:t>
      </w:r>
      <w:r>
        <w:rPr>
          <w:w w:val="111"/>
        </w:rPr>
        <w:t> </w:t>
      </w:r>
      <w:r>
        <w:rPr>
          <w:w w:val="115"/>
        </w:rPr>
        <w:t>Norte </w:t>
      </w:r>
      <w:r>
        <w:rPr>
          <w:spacing w:val="-3"/>
          <w:w w:val="115"/>
        </w:rPr>
        <w:t>(otaN), </w:t>
      </w:r>
      <w:r>
        <w:rPr>
          <w:w w:val="115"/>
        </w:rPr>
        <w:t>que no ha cesado de fortalecerse en su composición</w:t>
      </w:r>
      <w:r>
        <w:rPr>
          <w:spacing w:val="-1"/>
          <w:w w:val="115"/>
        </w:rPr>
        <w:t> </w:t>
      </w:r>
      <w:r>
        <w:rPr>
          <w:w w:val="115"/>
        </w:rPr>
        <w:t>y</w:t>
      </w:r>
      <w:r>
        <w:rPr>
          <w:w w:val="105"/>
        </w:rPr>
        <w:t> </w:t>
      </w:r>
      <w:r>
        <w:rPr>
          <w:w w:val="115"/>
        </w:rPr>
        <w:t>poderío bélico después de la dislocación del Pacto de</w:t>
      </w:r>
      <w:r>
        <w:rPr>
          <w:spacing w:val="-10"/>
          <w:w w:val="115"/>
        </w:rPr>
        <w:t> </w:t>
      </w:r>
      <w:r>
        <w:rPr>
          <w:w w:val="115"/>
        </w:rPr>
        <w:t>Varsovia</w:t>
      </w:r>
      <w:r>
        <w:rPr>
          <w:spacing w:val="-2"/>
          <w:w w:val="115"/>
        </w:rPr>
        <w:t> </w:t>
      </w:r>
      <w:r>
        <w:rPr>
          <w:w w:val="115"/>
        </w:rPr>
        <w:t>(Gu-</w:t>
      </w:r>
      <w:r>
        <w:rPr>
          <w:w w:val="102"/>
        </w:rPr>
        <w:t> </w:t>
      </w:r>
      <w:r>
        <w:rPr>
          <w:w w:val="115"/>
        </w:rPr>
        <w:t>tiérrez</w:t>
      </w:r>
      <w:r>
        <w:rPr>
          <w:spacing w:val="-17"/>
          <w:w w:val="115"/>
        </w:rPr>
        <w:t> </w:t>
      </w:r>
      <w:r>
        <w:rPr>
          <w:w w:val="115"/>
        </w:rPr>
        <w:t>del</w:t>
      </w:r>
      <w:r>
        <w:rPr>
          <w:spacing w:val="-17"/>
          <w:w w:val="115"/>
        </w:rPr>
        <w:t> </w:t>
      </w:r>
      <w:r>
        <w:rPr>
          <w:w w:val="115"/>
        </w:rPr>
        <w:t>Cid,</w:t>
      </w:r>
      <w:r>
        <w:rPr>
          <w:spacing w:val="-17"/>
          <w:w w:val="115"/>
        </w:rPr>
        <w:t> </w:t>
      </w:r>
      <w:r>
        <w:rPr>
          <w:w w:val="115"/>
        </w:rPr>
        <w:t>2010).</w:t>
      </w:r>
      <w:r>
        <w:rPr>
          <w:spacing w:val="-17"/>
          <w:w w:val="115"/>
        </w:rPr>
        <w:t> </w:t>
      </w:r>
      <w:r>
        <w:rPr>
          <w:w w:val="115"/>
        </w:rPr>
        <w:t>En</w:t>
      </w:r>
      <w:r>
        <w:rPr>
          <w:spacing w:val="-17"/>
          <w:w w:val="115"/>
        </w:rPr>
        <w:t> </w:t>
      </w:r>
      <w:r>
        <w:rPr>
          <w:w w:val="115"/>
        </w:rPr>
        <w:t>ese</w:t>
      </w:r>
      <w:r>
        <w:rPr>
          <w:spacing w:val="-17"/>
          <w:w w:val="115"/>
        </w:rPr>
        <w:t> </w:t>
      </w:r>
      <w:r>
        <w:rPr>
          <w:w w:val="115"/>
        </w:rPr>
        <w:t>esquema</w:t>
      </w:r>
      <w:r>
        <w:rPr>
          <w:spacing w:val="-17"/>
          <w:w w:val="115"/>
        </w:rPr>
        <w:t> </w:t>
      </w:r>
      <w:r>
        <w:rPr>
          <w:w w:val="115"/>
        </w:rPr>
        <w:t>concentra</w:t>
      </w:r>
      <w:r>
        <w:rPr>
          <w:spacing w:val="-17"/>
          <w:w w:val="115"/>
        </w:rPr>
        <w:t> </w:t>
      </w:r>
      <w:r>
        <w:rPr>
          <w:w w:val="115"/>
        </w:rPr>
        <w:t>y</w:t>
      </w:r>
      <w:r>
        <w:rPr>
          <w:spacing w:val="-17"/>
          <w:w w:val="115"/>
        </w:rPr>
        <w:t> </w:t>
      </w:r>
      <w:r>
        <w:rPr>
          <w:w w:val="115"/>
        </w:rPr>
        <w:t>proyecta</w:t>
      </w:r>
      <w:r>
        <w:rPr>
          <w:spacing w:val="-17"/>
          <w:w w:val="115"/>
        </w:rPr>
        <w:t> </w:t>
      </w:r>
      <w:r>
        <w:rPr>
          <w:w w:val="115"/>
        </w:rPr>
        <w:t>de</w:t>
      </w:r>
      <w:r>
        <w:rPr>
          <w:spacing w:val="-17"/>
          <w:w w:val="115"/>
        </w:rPr>
        <w:t> </w:t>
      </w:r>
      <w:r>
        <w:rPr>
          <w:w w:val="115"/>
        </w:rPr>
        <w:t>modo</w:t>
      </w:r>
      <w:r>
        <w:rPr>
          <w:w w:val="111"/>
        </w:rPr>
        <w:t> </w:t>
      </w:r>
      <w:r>
        <w:rPr>
          <w:w w:val="115"/>
        </w:rPr>
        <w:t>incuestionable el mayor gasto militar mundial, según el</w:t>
      </w:r>
      <w:r>
        <w:rPr>
          <w:spacing w:val="-31"/>
          <w:w w:val="115"/>
        </w:rPr>
        <w:t> </w:t>
      </w:r>
      <w:r>
        <w:rPr>
          <w:w w:val="115"/>
        </w:rPr>
        <w:t>registro</w:t>
      </w:r>
      <w:r>
        <w:rPr>
          <w:spacing w:val="-4"/>
          <w:w w:val="115"/>
        </w:rPr>
        <w:t> </w:t>
      </w:r>
      <w:r>
        <w:rPr>
          <w:w w:val="115"/>
        </w:rPr>
        <w:t>del</w:t>
      </w:r>
      <w:r>
        <w:rPr>
          <w:w w:val="107"/>
        </w:rPr>
        <w:t> </w:t>
      </w:r>
      <w:r>
        <w:rPr>
          <w:i/>
          <w:w w:val="115"/>
        </w:rPr>
        <w:t>Stockholm</w:t>
      </w:r>
      <w:r>
        <w:rPr>
          <w:i/>
          <w:spacing w:val="-22"/>
          <w:w w:val="115"/>
        </w:rPr>
        <w:t> </w:t>
      </w:r>
      <w:r>
        <w:rPr>
          <w:i/>
          <w:w w:val="115"/>
        </w:rPr>
        <w:t>Institute</w:t>
      </w:r>
      <w:r>
        <w:rPr>
          <w:i/>
          <w:spacing w:val="-22"/>
          <w:w w:val="115"/>
        </w:rPr>
        <w:t> </w:t>
      </w:r>
      <w:r>
        <w:rPr>
          <w:i/>
          <w:w w:val="115"/>
        </w:rPr>
        <w:t>for</w:t>
      </w:r>
      <w:r>
        <w:rPr>
          <w:i/>
          <w:spacing w:val="-22"/>
          <w:w w:val="115"/>
        </w:rPr>
        <w:t> </w:t>
      </w:r>
      <w:r>
        <w:rPr>
          <w:i/>
          <w:w w:val="115"/>
        </w:rPr>
        <w:t>Peace</w:t>
      </w:r>
      <w:r>
        <w:rPr>
          <w:i/>
          <w:spacing w:val="-22"/>
          <w:w w:val="115"/>
        </w:rPr>
        <w:t> </w:t>
      </w:r>
      <w:r>
        <w:rPr>
          <w:i/>
          <w:w w:val="115"/>
        </w:rPr>
        <w:t>Research</w:t>
      </w:r>
      <w:r>
        <w:rPr>
          <w:i/>
          <w:spacing w:val="-22"/>
          <w:w w:val="115"/>
        </w:rPr>
        <w:t> </w:t>
      </w:r>
      <w:r>
        <w:rPr>
          <w:w w:val="115"/>
        </w:rPr>
        <w:t>(2014),</w:t>
      </w:r>
      <w:r>
        <w:rPr>
          <w:spacing w:val="-22"/>
          <w:w w:val="115"/>
        </w:rPr>
        <w:t> </w:t>
      </w:r>
      <w:r>
        <w:rPr>
          <w:w w:val="115"/>
        </w:rPr>
        <w:t>por</w:t>
      </w:r>
      <w:r>
        <w:rPr>
          <w:spacing w:val="-22"/>
          <w:w w:val="115"/>
        </w:rPr>
        <w:t> </w:t>
      </w:r>
      <w:r>
        <w:rPr>
          <w:w w:val="115"/>
        </w:rPr>
        <w:t>lo</w:t>
      </w:r>
      <w:r>
        <w:rPr>
          <w:spacing w:val="-22"/>
          <w:w w:val="115"/>
        </w:rPr>
        <w:t> </w:t>
      </w:r>
      <w:r>
        <w:rPr>
          <w:w w:val="115"/>
        </w:rPr>
        <w:t>menos</w:t>
      </w:r>
      <w:r>
        <w:rPr>
          <w:spacing w:val="-22"/>
          <w:w w:val="115"/>
        </w:rPr>
        <w:t> </w:t>
      </w:r>
      <w:r>
        <w:rPr>
          <w:w w:val="115"/>
        </w:rPr>
        <w:t>unas</w:t>
      </w:r>
      <w:r>
        <w:rPr>
          <w:spacing w:val="-22"/>
          <w:w w:val="115"/>
        </w:rPr>
        <w:t> </w:t>
      </w:r>
      <w:r>
        <w:rPr>
          <w:w w:val="115"/>
        </w:rPr>
        <w:t>tres</w:t>
      </w:r>
      <w:r>
        <w:rPr>
          <w:w w:val="105"/>
        </w:rPr>
        <w:t> </w:t>
      </w:r>
      <w:r>
        <w:rPr>
          <w:w w:val="115"/>
        </w:rPr>
        <w:t>veces más que el gasto de China y unas siete comparando con</w:t>
      </w:r>
      <w:r>
        <w:rPr>
          <w:spacing w:val="38"/>
          <w:w w:val="115"/>
        </w:rPr>
        <w:t> </w:t>
      </w:r>
      <w:r>
        <w:rPr>
          <w:w w:val="115"/>
        </w:rPr>
        <w:t>el</w:t>
      </w:r>
      <w:r>
        <w:rPr>
          <w:spacing w:val="3"/>
          <w:w w:val="115"/>
        </w:rPr>
        <w:t> </w:t>
      </w:r>
      <w:r>
        <w:rPr>
          <w:w w:val="115"/>
        </w:rPr>
        <w:t>de</w:t>
      </w:r>
      <w:r>
        <w:rPr>
          <w:w w:val="107"/>
        </w:rPr>
        <w:t> </w:t>
      </w:r>
      <w:r>
        <w:rPr>
          <w:w w:val="115"/>
        </w:rPr>
        <w:t>rusia, aún sumando los gastos de éstos países el de</w:t>
      </w:r>
      <w:r>
        <w:rPr>
          <w:spacing w:val="2"/>
          <w:w w:val="115"/>
        </w:rPr>
        <w:t> </w:t>
      </w:r>
      <w:r>
        <w:rPr>
          <w:w w:val="115"/>
        </w:rPr>
        <w:t>Estados</w:t>
      </w:r>
      <w:r>
        <w:rPr>
          <w:spacing w:val="5"/>
          <w:w w:val="115"/>
        </w:rPr>
        <w:t> </w:t>
      </w:r>
      <w:r>
        <w:rPr>
          <w:w w:val="115"/>
        </w:rPr>
        <w:t>unidos</w:t>
      </w:r>
      <w:r>
        <w:rPr>
          <w:w w:val="110"/>
        </w:rPr>
        <w:t> </w:t>
      </w:r>
      <w:r>
        <w:rPr>
          <w:w w:val="115"/>
        </w:rPr>
        <w:t>sería, aproximadamente, dos veces y medio </w:t>
      </w:r>
      <w:r>
        <w:rPr>
          <w:spacing w:val="-4"/>
          <w:w w:val="115"/>
        </w:rPr>
        <w:t>mayor.</w:t>
      </w:r>
      <w:r>
        <w:rPr>
          <w:spacing w:val="23"/>
          <w:w w:val="115"/>
        </w:rPr>
        <w:t> </w:t>
      </w:r>
      <w:r>
        <w:rPr>
          <w:w w:val="115"/>
        </w:rPr>
        <w:t>Este</w:t>
      </w:r>
      <w:r>
        <w:rPr>
          <w:spacing w:val="15"/>
          <w:w w:val="115"/>
        </w:rPr>
        <w:t> </w:t>
      </w:r>
      <w:r>
        <w:rPr>
          <w:w w:val="115"/>
        </w:rPr>
        <w:t>indicador</w:t>
      </w:r>
      <w:r>
        <w:rPr>
          <w:w w:val="111"/>
        </w:rPr>
        <w:t> </w:t>
      </w:r>
      <w:r>
        <w:rPr>
          <w:w w:val="115"/>
        </w:rPr>
        <w:t>hace parte de un balance de fuerzas en el que ningún</w:t>
      </w:r>
      <w:r>
        <w:rPr>
          <w:spacing w:val="8"/>
          <w:w w:val="115"/>
        </w:rPr>
        <w:t> </w:t>
      </w:r>
      <w:r>
        <w:rPr>
          <w:w w:val="115"/>
        </w:rPr>
        <w:t>país</w:t>
      </w:r>
      <w:r>
        <w:rPr>
          <w:spacing w:val="5"/>
          <w:w w:val="115"/>
        </w:rPr>
        <w:t> </w:t>
      </w:r>
      <w:r>
        <w:rPr>
          <w:w w:val="115"/>
        </w:rPr>
        <w:t>europeo</w:t>
      </w:r>
      <w:r>
        <w:rPr>
          <w:w w:val="108"/>
        </w:rPr>
        <w:t> </w:t>
      </w:r>
      <w:r>
        <w:rPr>
          <w:w w:val="115"/>
        </w:rPr>
        <w:t>ni</w:t>
      </w:r>
      <w:r>
        <w:rPr>
          <w:spacing w:val="-19"/>
          <w:w w:val="115"/>
        </w:rPr>
        <w:t> </w:t>
      </w:r>
      <w:r>
        <w:rPr>
          <w:w w:val="115"/>
        </w:rPr>
        <w:t>asiático</w:t>
      </w:r>
      <w:r>
        <w:rPr>
          <w:spacing w:val="-19"/>
          <w:w w:val="115"/>
        </w:rPr>
        <w:t> </w:t>
      </w:r>
      <w:r>
        <w:rPr>
          <w:w w:val="115"/>
        </w:rPr>
        <w:t>sería</w:t>
      </w:r>
      <w:r>
        <w:rPr>
          <w:spacing w:val="-19"/>
          <w:w w:val="115"/>
        </w:rPr>
        <w:t> </w:t>
      </w:r>
      <w:r>
        <w:rPr>
          <w:w w:val="115"/>
        </w:rPr>
        <w:t>capaz</w:t>
      </w:r>
      <w:r>
        <w:rPr>
          <w:spacing w:val="-19"/>
          <w:w w:val="115"/>
        </w:rPr>
        <w:t> </w:t>
      </w:r>
      <w:r>
        <w:rPr>
          <w:w w:val="115"/>
        </w:rPr>
        <w:t>de</w:t>
      </w:r>
      <w:r>
        <w:rPr>
          <w:spacing w:val="-19"/>
          <w:w w:val="115"/>
        </w:rPr>
        <w:t> </w:t>
      </w:r>
      <w:r>
        <w:rPr>
          <w:w w:val="115"/>
        </w:rPr>
        <w:t>evitar</w:t>
      </w:r>
      <w:r>
        <w:rPr>
          <w:spacing w:val="-19"/>
          <w:w w:val="115"/>
        </w:rPr>
        <w:t> </w:t>
      </w:r>
      <w:r>
        <w:rPr>
          <w:w w:val="115"/>
        </w:rPr>
        <w:t>o</w:t>
      </w:r>
      <w:r>
        <w:rPr>
          <w:spacing w:val="-19"/>
          <w:w w:val="115"/>
        </w:rPr>
        <w:t> </w:t>
      </w:r>
      <w:r>
        <w:rPr>
          <w:w w:val="115"/>
        </w:rPr>
        <w:t>transformar</w:t>
      </w:r>
      <w:r>
        <w:rPr>
          <w:spacing w:val="-19"/>
          <w:w w:val="115"/>
        </w:rPr>
        <w:t> </w:t>
      </w:r>
      <w:r>
        <w:rPr>
          <w:w w:val="115"/>
        </w:rPr>
        <w:t>el</w:t>
      </w:r>
      <w:r>
        <w:rPr>
          <w:spacing w:val="-19"/>
          <w:w w:val="115"/>
        </w:rPr>
        <w:t> </w:t>
      </w:r>
      <w:r>
        <w:rPr>
          <w:w w:val="115"/>
        </w:rPr>
        <w:t>despliegue</w:t>
      </w:r>
      <w:r>
        <w:rPr>
          <w:spacing w:val="-19"/>
          <w:w w:val="115"/>
        </w:rPr>
        <w:t> </w:t>
      </w:r>
      <w:r>
        <w:rPr>
          <w:w w:val="115"/>
        </w:rPr>
        <w:t>de</w:t>
      </w:r>
      <w:r>
        <w:rPr>
          <w:spacing w:val="-19"/>
          <w:w w:val="115"/>
        </w:rPr>
        <w:t> </w:t>
      </w:r>
      <w:r>
        <w:rPr>
          <w:w w:val="115"/>
        </w:rPr>
        <w:t>fuerza</w:t>
      </w:r>
      <w:r>
        <w:rPr>
          <w:w w:val="110"/>
        </w:rPr>
        <w:t> </w:t>
      </w:r>
      <w:r>
        <w:rPr>
          <w:w w:val="115"/>
        </w:rPr>
        <w:t>militar</w:t>
      </w:r>
      <w:r>
        <w:rPr>
          <w:spacing w:val="-30"/>
          <w:w w:val="115"/>
        </w:rPr>
        <w:t> </w:t>
      </w:r>
      <w:r>
        <w:rPr>
          <w:w w:val="115"/>
        </w:rPr>
        <w:t>estadounidense</w:t>
      </w:r>
      <w:r>
        <w:rPr>
          <w:spacing w:val="-30"/>
          <w:w w:val="115"/>
        </w:rPr>
        <w:t> </w:t>
      </w:r>
      <w:r>
        <w:rPr>
          <w:w w:val="115"/>
        </w:rPr>
        <w:t>de</w:t>
      </w:r>
      <w:r>
        <w:rPr>
          <w:spacing w:val="-30"/>
          <w:w w:val="115"/>
        </w:rPr>
        <w:t> </w:t>
      </w:r>
      <w:r>
        <w:rPr>
          <w:w w:val="115"/>
        </w:rPr>
        <w:t>los</w:t>
      </w:r>
      <w:r>
        <w:rPr>
          <w:spacing w:val="-30"/>
          <w:w w:val="115"/>
        </w:rPr>
        <w:t> </w:t>
      </w:r>
      <w:r>
        <w:rPr>
          <w:w w:val="115"/>
        </w:rPr>
        <w:t>océanos</w:t>
      </w:r>
      <w:r>
        <w:rPr>
          <w:spacing w:val="-30"/>
          <w:w w:val="115"/>
        </w:rPr>
        <w:t> </w:t>
      </w:r>
      <w:r>
        <w:rPr>
          <w:w w:val="115"/>
        </w:rPr>
        <w:t>y</w:t>
      </w:r>
      <w:r>
        <w:rPr>
          <w:spacing w:val="-30"/>
          <w:w w:val="115"/>
        </w:rPr>
        <w:t> </w:t>
      </w:r>
      <w:r>
        <w:rPr>
          <w:w w:val="115"/>
        </w:rPr>
        <w:t>fuentes</w:t>
      </w:r>
      <w:r>
        <w:rPr>
          <w:spacing w:val="-30"/>
          <w:w w:val="115"/>
        </w:rPr>
        <w:t> </w:t>
      </w:r>
      <w:r>
        <w:rPr>
          <w:w w:val="115"/>
        </w:rPr>
        <w:t>de</w:t>
      </w:r>
      <w:r>
        <w:rPr>
          <w:spacing w:val="-30"/>
          <w:w w:val="115"/>
        </w:rPr>
        <w:t> </w:t>
      </w:r>
      <w:r>
        <w:rPr>
          <w:w w:val="115"/>
        </w:rPr>
        <w:t>recursos</w:t>
      </w:r>
      <w:r>
        <w:rPr>
          <w:spacing w:val="-30"/>
          <w:w w:val="115"/>
        </w:rPr>
        <w:t> </w:t>
      </w:r>
      <w:r>
        <w:rPr>
          <w:w w:val="115"/>
        </w:rPr>
        <w:t>euroasiá-</w:t>
      </w:r>
      <w:r>
        <w:rPr>
          <w:w w:val="102"/>
        </w:rPr>
        <w:t> </w:t>
      </w:r>
      <w:r>
        <w:rPr>
          <w:w w:val="115"/>
        </w:rPr>
        <w:t>ticos,</w:t>
      </w:r>
      <w:r>
        <w:rPr>
          <w:spacing w:val="-27"/>
          <w:w w:val="115"/>
        </w:rPr>
        <w:t> </w:t>
      </w:r>
      <w:r>
        <w:rPr>
          <w:w w:val="115"/>
        </w:rPr>
        <w:t>centroasiáticos,</w:t>
      </w:r>
      <w:r>
        <w:rPr>
          <w:spacing w:val="-27"/>
          <w:w w:val="115"/>
        </w:rPr>
        <w:t> </w:t>
      </w:r>
      <w:r>
        <w:rPr>
          <w:w w:val="115"/>
        </w:rPr>
        <w:t>el</w:t>
      </w:r>
      <w:r>
        <w:rPr>
          <w:spacing w:val="-27"/>
          <w:w w:val="115"/>
        </w:rPr>
        <w:t> </w:t>
      </w:r>
      <w:r>
        <w:rPr>
          <w:w w:val="115"/>
        </w:rPr>
        <w:t>Cáucaso</w:t>
      </w:r>
      <w:r>
        <w:rPr>
          <w:spacing w:val="-27"/>
          <w:w w:val="115"/>
        </w:rPr>
        <w:t> </w:t>
      </w:r>
      <w:r>
        <w:rPr>
          <w:w w:val="115"/>
        </w:rPr>
        <w:t>y</w:t>
      </w:r>
      <w:r>
        <w:rPr>
          <w:spacing w:val="-27"/>
          <w:w w:val="115"/>
        </w:rPr>
        <w:t> </w:t>
      </w:r>
      <w:r>
        <w:rPr>
          <w:w w:val="115"/>
        </w:rPr>
        <w:t>de</w:t>
      </w:r>
      <w:r>
        <w:rPr>
          <w:spacing w:val="-27"/>
          <w:w w:val="115"/>
        </w:rPr>
        <w:t> </w:t>
      </w:r>
      <w:r>
        <w:rPr>
          <w:w w:val="115"/>
        </w:rPr>
        <w:t>cualquier</w:t>
      </w:r>
      <w:r>
        <w:rPr>
          <w:spacing w:val="-27"/>
          <w:w w:val="115"/>
        </w:rPr>
        <w:t> </w:t>
      </w:r>
      <w:r>
        <w:rPr>
          <w:w w:val="115"/>
        </w:rPr>
        <w:t>otra</w:t>
      </w:r>
      <w:r>
        <w:rPr>
          <w:spacing w:val="-27"/>
          <w:w w:val="115"/>
        </w:rPr>
        <w:t> </w:t>
      </w:r>
      <w:r>
        <w:rPr>
          <w:w w:val="115"/>
        </w:rPr>
        <w:t>franja</w:t>
      </w:r>
      <w:r>
        <w:rPr>
          <w:spacing w:val="-27"/>
          <w:w w:val="115"/>
        </w:rPr>
        <w:t> </w:t>
      </w:r>
      <w:r>
        <w:rPr>
          <w:w w:val="115"/>
        </w:rPr>
        <w:t>económica</w:t>
      </w:r>
      <w:r>
        <w:rPr>
          <w:w w:val="112"/>
        </w:rPr>
        <w:t> </w:t>
      </w:r>
      <w:r>
        <w:rPr>
          <w:w w:val="115"/>
        </w:rPr>
        <w:t>del planeta. desde una lectura latinoamericana, es esa</w:t>
      </w:r>
      <w:r>
        <w:rPr>
          <w:spacing w:val="17"/>
          <w:w w:val="115"/>
        </w:rPr>
        <w:t> </w:t>
      </w:r>
      <w:r>
        <w:rPr>
          <w:w w:val="115"/>
        </w:rPr>
        <w:t>misma</w:t>
      </w:r>
      <w:r>
        <w:rPr>
          <w:spacing w:val="2"/>
          <w:w w:val="115"/>
        </w:rPr>
        <w:t> </w:t>
      </w:r>
      <w:r>
        <w:rPr>
          <w:w w:val="115"/>
        </w:rPr>
        <w:t>capa-</w:t>
      </w:r>
      <w:r>
        <w:rPr>
          <w:w w:val="102"/>
        </w:rPr>
        <w:t> </w:t>
      </w:r>
      <w:r>
        <w:rPr>
          <w:w w:val="115"/>
        </w:rPr>
        <w:t>cidad</w:t>
      </w:r>
      <w:r>
        <w:rPr>
          <w:spacing w:val="-8"/>
          <w:w w:val="115"/>
        </w:rPr>
        <w:t> </w:t>
      </w:r>
      <w:r>
        <w:rPr>
          <w:w w:val="115"/>
        </w:rPr>
        <w:t>la</w:t>
      </w:r>
      <w:r>
        <w:rPr>
          <w:spacing w:val="-8"/>
          <w:w w:val="115"/>
        </w:rPr>
        <w:t> </w:t>
      </w:r>
      <w:r>
        <w:rPr>
          <w:w w:val="115"/>
        </w:rPr>
        <w:t>que</w:t>
      </w:r>
      <w:r>
        <w:rPr>
          <w:spacing w:val="-8"/>
          <w:w w:val="115"/>
        </w:rPr>
        <w:t> </w:t>
      </w:r>
      <w:r>
        <w:rPr>
          <w:w w:val="115"/>
        </w:rPr>
        <w:t>hay</w:t>
      </w:r>
      <w:r>
        <w:rPr>
          <w:spacing w:val="-8"/>
          <w:w w:val="115"/>
        </w:rPr>
        <w:t> </w:t>
      </w:r>
      <w:r>
        <w:rPr>
          <w:w w:val="115"/>
        </w:rPr>
        <w:t>que</w:t>
      </w:r>
      <w:r>
        <w:rPr>
          <w:spacing w:val="-8"/>
          <w:w w:val="115"/>
        </w:rPr>
        <w:t> </w:t>
      </w:r>
      <w:r>
        <w:rPr>
          <w:w w:val="115"/>
        </w:rPr>
        <w:t>considerar</w:t>
      </w:r>
      <w:r>
        <w:rPr>
          <w:spacing w:val="-8"/>
          <w:w w:val="115"/>
        </w:rPr>
        <w:t> </w:t>
      </w:r>
      <w:r>
        <w:rPr>
          <w:w w:val="115"/>
        </w:rPr>
        <w:t>cuando</w:t>
      </w:r>
      <w:r>
        <w:rPr>
          <w:spacing w:val="-8"/>
          <w:w w:val="115"/>
        </w:rPr>
        <w:t> </w:t>
      </w:r>
      <w:r>
        <w:rPr>
          <w:w w:val="115"/>
        </w:rPr>
        <w:t>abordamos</w:t>
      </w:r>
      <w:r>
        <w:rPr>
          <w:spacing w:val="-8"/>
          <w:w w:val="115"/>
        </w:rPr>
        <w:t> </w:t>
      </w:r>
      <w:r>
        <w:rPr>
          <w:w w:val="115"/>
        </w:rPr>
        <w:t>la</w:t>
      </w:r>
      <w:r>
        <w:rPr>
          <w:spacing w:val="-8"/>
          <w:w w:val="115"/>
        </w:rPr>
        <w:t> </w:t>
      </w:r>
      <w:r>
        <w:rPr>
          <w:w w:val="115"/>
        </w:rPr>
        <w:t>dominación</w:t>
      </w:r>
      <w:r>
        <w:rPr>
          <w:spacing w:val="-8"/>
          <w:w w:val="115"/>
        </w:rPr>
        <w:t> </w:t>
      </w:r>
      <w:r>
        <w:rPr>
          <w:w w:val="115"/>
        </w:rPr>
        <w:t>y</w:t>
      </w:r>
      <w:r>
        <w:rPr>
          <w:w w:val="105"/>
        </w:rPr>
        <w:t> </w:t>
      </w:r>
      <w:r>
        <w:rPr>
          <w:w w:val="115"/>
        </w:rPr>
        <w:t>los</w:t>
      </w:r>
      <w:r>
        <w:rPr>
          <w:spacing w:val="-12"/>
          <w:w w:val="115"/>
        </w:rPr>
        <w:t> </w:t>
      </w:r>
      <w:r>
        <w:rPr>
          <w:w w:val="115"/>
        </w:rPr>
        <w:t>requerimientos</w:t>
      </w:r>
      <w:r>
        <w:rPr>
          <w:spacing w:val="-12"/>
          <w:w w:val="115"/>
        </w:rPr>
        <w:t> </w:t>
      </w:r>
      <w:r>
        <w:rPr>
          <w:w w:val="115"/>
        </w:rPr>
        <w:t>de</w:t>
      </w:r>
      <w:r>
        <w:rPr>
          <w:spacing w:val="-12"/>
          <w:w w:val="115"/>
        </w:rPr>
        <w:t> </w:t>
      </w:r>
      <w:r>
        <w:rPr>
          <w:w w:val="115"/>
        </w:rPr>
        <w:t>su</w:t>
      </w:r>
      <w:r>
        <w:rPr>
          <w:spacing w:val="-12"/>
          <w:w w:val="115"/>
        </w:rPr>
        <w:t> </w:t>
      </w:r>
      <w:r>
        <w:rPr>
          <w:w w:val="115"/>
        </w:rPr>
        <w:t>hegemonía</w:t>
      </w:r>
      <w:r>
        <w:rPr>
          <w:spacing w:val="-12"/>
          <w:w w:val="115"/>
        </w:rPr>
        <w:t> </w:t>
      </w:r>
      <w:r>
        <w:rPr>
          <w:w w:val="115"/>
        </w:rPr>
        <w:t>en</w:t>
      </w:r>
      <w:r>
        <w:rPr>
          <w:spacing w:val="-12"/>
          <w:w w:val="115"/>
        </w:rPr>
        <w:t> </w:t>
      </w:r>
      <w:r>
        <w:rPr>
          <w:w w:val="115"/>
        </w:rPr>
        <w:t>el</w:t>
      </w:r>
      <w:r>
        <w:rPr>
          <w:spacing w:val="-12"/>
          <w:w w:val="115"/>
        </w:rPr>
        <w:t> </w:t>
      </w:r>
      <w:r>
        <w:rPr>
          <w:w w:val="115"/>
        </w:rPr>
        <w:t>hemisferio.</w:t>
      </w:r>
      <w:r>
        <w:rPr>
          <w:spacing w:val="-12"/>
          <w:w w:val="115"/>
        </w:rPr>
        <w:t> </w:t>
      </w:r>
      <w:r>
        <w:rPr>
          <w:w w:val="115"/>
        </w:rPr>
        <w:t>Esta</w:t>
      </w:r>
      <w:r>
        <w:rPr>
          <w:spacing w:val="-12"/>
          <w:w w:val="115"/>
        </w:rPr>
        <w:t> </w:t>
      </w:r>
      <w:r>
        <w:rPr>
          <w:w w:val="115"/>
        </w:rPr>
        <w:t>es</w:t>
      </w:r>
      <w:r>
        <w:rPr>
          <w:spacing w:val="-12"/>
          <w:w w:val="115"/>
        </w:rPr>
        <w:t> </w:t>
      </w:r>
      <w:r>
        <w:rPr>
          <w:w w:val="115"/>
        </w:rPr>
        <w:t>la</w:t>
      </w:r>
      <w:r>
        <w:rPr>
          <w:spacing w:val="-12"/>
          <w:w w:val="115"/>
        </w:rPr>
        <w:t> </w:t>
      </w:r>
      <w:r>
        <w:rPr>
          <w:w w:val="115"/>
        </w:rPr>
        <w:t>base</w:t>
      </w:r>
      <w:r>
        <w:rPr>
          <w:w w:val="108"/>
        </w:rPr>
        <w:t> </w:t>
      </w:r>
      <w:r>
        <w:rPr>
          <w:w w:val="115"/>
        </w:rPr>
        <w:t>material que abona la disposición política de asumir</w:t>
      </w:r>
      <w:r>
        <w:rPr>
          <w:spacing w:val="17"/>
          <w:w w:val="115"/>
        </w:rPr>
        <w:t> </w:t>
      </w:r>
      <w:r>
        <w:rPr>
          <w:w w:val="115"/>
        </w:rPr>
        <w:t>las</w:t>
      </w:r>
      <w:r>
        <w:rPr>
          <w:spacing w:val="8"/>
          <w:w w:val="115"/>
        </w:rPr>
        <w:t> </w:t>
      </w:r>
      <w:r>
        <w:rPr>
          <w:w w:val="115"/>
        </w:rPr>
        <w:t>relaciones</w:t>
      </w:r>
      <w:r>
        <w:rPr>
          <w:w w:val="109"/>
        </w:rPr>
        <w:t> </w:t>
      </w:r>
      <w:r>
        <w:rPr>
          <w:w w:val="115"/>
        </w:rPr>
        <w:t>internacionales desde una concepción </w:t>
      </w:r>
      <w:r>
        <w:rPr>
          <w:spacing w:val="-3"/>
          <w:w w:val="115"/>
        </w:rPr>
        <w:t>unipolar. </w:t>
      </w:r>
      <w:r>
        <w:rPr>
          <w:w w:val="115"/>
        </w:rPr>
        <w:t>Con ello se</w:t>
      </w:r>
      <w:r>
        <w:rPr>
          <w:spacing w:val="12"/>
          <w:w w:val="115"/>
        </w:rPr>
        <w:t> </w:t>
      </w:r>
      <w:r>
        <w:rPr>
          <w:w w:val="115"/>
        </w:rPr>
        <w:t>alude</w:t>
      </w:r>
      <w:r>
        <w:rPr>
          <w:spacing w:val="7"/>
          <w:w w:val="115"/>
        </w:rPr>
        <w:t> </w:t>
      </w:r>
      <w:r>
        <w:rPr>
          <w:w w:val="115"/>
        </w:rPr>
        <w:t>a</w:t>
      </w:r>
      <w:r>
        <w:rPr>
          <w:w w:val="112"/>
        </w:rPr>
        <w:t> </w:t>
      </w:r>
      <w:r>
        <w:rPr>
          <w:w w:val="115"/>
        </w:rPr>
        <w:t>esa característica de estructuración del poder en el</w:t>
      </w:r>
      <w:r>
        <w:rPr>
          <w:spacing w:val="2"/>
          <w:w w:val="115"/>
        </w:rPr>
        <w:t> </w:t>
      </w:r>
      <w:r>
        <w:rPr>
          <w:w w:val="115"/>
        </w:rPr>
        <w:t>campo político-</w:t>
      </w:r>
      <w:r>
        <w:rPr>
          <w:w w:val="110"/>
        </w:rPr>
        <w:t> </w:t>
      </w:r>
      <w:r>
        <w:rPr>
          <w:spacing w:val="-3"/>
          <w:w w:val="115"/>
        </w:rPr>
        <w:t>militar,</w:t>
      </w:r>
      <w:r>
        <w:rPr>
          <w:spacing w:val="-19"/>
          <w:w w:val="115"/>
        </w:rPr>
        <w:t> </w:t>
      </w:r>
      <w:r>
        <w:rPr>
          <w:w w:val="115"/>
        </w:rPr>
        <w:t>que</w:t>
      </w:r>
      <w:r>
        <w:rPr>
          <w:spacing w:val="-19"/>
          <w:w w:val="115"/>
        </w:rPr>
        <w:t> </w:t>
      </w:r>
      <w:r>
        <w:rPr>
          <w:w w:val="115"/>
        </w:rPr>
        <w:t>coincidió</w:t>
      </w:r>
      <w:r>
        <w:rPr>
          <w:spacing w:val="-19"/>
          <w:w w:val="115"/>
        </w:rPr>
        <w:t> </w:t>
      </w:r>
      <w:r>
        <w:rPr>
          <w:w w:val="115"/>
        </w:rPr>
        <w:t>en</w:t>
      </w:r>
      <w:r>
        <w:rPr>
          <w:spacing w:val="-19"/>
          <w:w w:val="115"/>
        </w:rPr>
        <w:t> </w:t>
      </w:r>
      <w:r>
        <w:rPr>
          <w:w w:val="115"/>
        </w:rPr>
        <w:t>sus</w:t>
      </w:r>
      <w:r>
        <w:rPr>
          <w:spacing w:val="-19"/>
          <w:w w:val="115"/>
        </w:rPr>
        <w:t> </w:t>
      </w:r>
      <w:r>
        <w:rPr>
          <w:w w:val="115"/>
        </w:rPr>
        <w:t>inicios</w:t>
      </w:r>
      <w:r>
        <w:rPr>
          <w:spacing w:val="-19"/>
          <w:w w:val="115"/>
        </w:rPr>
        <w:t> </w:t>
      </w:r>
      <w:r>
        <w:rPr>
          <w:w w:val="115"/>
        </w:rPr>
        <w:t>con</w:t>
      </w:r>
      <w:r>
        <w:rPr>
          <w:spacing w:val="-19"/>
          <w:w w:val="115"/>
        </w:rPr>
        <w:t> </w:t>
      </w:r>
      <w:r>
        <w:rPr>
          <w:w w:val="115"/>
        </w:rPr>
        <w:t>el</w:t>
      </w:r>
      <w:r>
        <w:rPr>
          <w:spacing w:val="-19"/>
          <w:w w:val="115"/>
        </w:rPr>
        <w:t> </w:t>
      </w:r>
      <w:r>
        <w:rPr>
          <w:w w:val="115"/>
        </w:rPr>
        <w:t>desplome</w:t>
      </w:r>
      <w:r>
        <w:rPr>
          <w:spacing w:val="-19"/>
          <w:w w:val="115"/>
        </w:rPr>
        <w:t> </w:t>
      </w:r>
      <w:r>
        <w:rPr>
          <w:w w:val="115"/>
        </w:rPr>
        <w:t>del</w:t>
      </w:r>
      <w:r>
        <w:rPr>
          <w:spacing w:val="-19"/>
          <w:w w:val="115"/>
        </w:rPr>
        <w:t> </w:t>
      </w:r>
      <w:r>
        <w:rPr>
          <w:w w:val="115"/>
        </w:rPr>
        <w:t>socialismo</w:t>
      </w:r>
      <w:r>
        <w:rPr>
          <w:spacing w:val="-19"/>
          <w:w w:val="115"/>
        </w:rPr>
        <w:t> </w:t>
      </w:r>
      <w:r>
        <w:rPr>
          <w:w w:val="115"/>
        </w:rPr>
        <w:t>en</w:t>
      </w:r>
      <w:r>
        <w:rPr>
          <w:w w:val="108"/>
        </w:rPr>
        <w:t> </w:t>
      </w:r>
      <w:r>
        <w:rPr>
          <w:w w:val="115"/>
        </w:rPr>
        <w:t>Europa y la desintegración de la unión soviética entre 1989</w:t>
      </w:r>
      <w:r>
        <w:rPr>
          <w:spacing w:val="-20"/>
          <w:w w:val="115"/>
        </w:rPr>
        <w:t> </w:t>
      </w:r>
      <w:r>
        <w:rPr>
          <w:w w:val="115"/>
        </w:rPr>
        <w:t>y</w:t>
      </w:r>
      <w:r>
        <w:rPr>
          <w:spacing w:val="-2"/>
          <w:w w:val="115"/>
        </w:rPr>
        <w:t> </w:t>
      </w:r>
      <w:r>
        <w:rPr>
          <w:w w:val="115"/>
        </w:rPr>
        <w:t>1991,</w:t>
      </w:r>
      <w:r>
        <w:rPr>
          <w:w w:val="105"/>
        </w:rPr>
        <w:t> </w:t>
      </w:r>
      <w:r>
        <w:rPr>
          <w:w w:val="115"/>
        </w:rPr>
        <w:t>cuya</w:t>
      </w:r>
      <w:r>
        <w:rPr>
          <w:spacing w:val="-29"/>
          <w:w w:val="115"/>
        </w:rPr>
        <w:t> </w:t>
      </w:r>
      <w:r>
        <w:rPr>
          <w:w w:val="115"/>
        </w:rPr>
        <w:t>conceptualización</w:t>
      </w:r>
      <w:r>
        <w:rPr>
          <w:spacing w:val="-29"/>
          <w:w w:val="115"/>
        </w:rPr>
        <w:t> </w:t>
      </w:r>
      <w:r>
        <w:rPr>
          <w:w w:val="115"/>
        </w:rPr>
        <w:t>y</w:t>
      </w:r>
      <w:r>
        <w:rPr>
          <w:spacing w:val="-29"/>
          <w:w w:val="115"/>
        </w:rPr>
        <w:t> </w:t>
      </w:r>
      <w:r>
        <w:rPr>
          <w:w w:val="115"/>
        </w:rPr>
        <w:t>profundización</w:t>
      </w:r>
      <w:r>
        <w:rPr>
          <w:spacing w:val="-29"/>
          <w:w w:val="115"/>
        </w:rPr>
        <w:t> </w:t>
      </w:r>
      <w:r>
        <w:rPr>
          <w:w w:val="115"/>
        </w:rPr>
        <w:t>operacional</w:t>
      </w:r>
      <w:r>
        <w:rPr>
          <w:spacing w:val="-29"/>
          <w:w w:val="115"/>
        </w:rPr>
        <w:t> </w:t>
      </w:r>
      <w:r>
        <w:rPr>
          <w:w w:val="115"/>
        </w:rPr>
        <w:t>se</w:t>
      </w:r>
      <w:r>
        <w:rPr>
          <w:spacing w:val="-29"/>
          <w:w w:val="115"/>
        </w:rPr>
        <w:t> </w:t>
      </w:r>
      <w:r>
        <w:rPr>
          <w:w w:val="115"/>
        </w:rPr>
        <w:t>eleva</w:t>
      </w:r>
      <w:r>
        <w:rPr>
          <w:spacing w:val="-29"/>
          <w:w w:val="115"/>
        </w:rPr>
        <w:t> </w:t>
      </w:r>
      <w:r>
        <w:rPr>
          <w:w w:val="115"/>
        </w:rPr>
        <w:t>a</w:t>
      </w:r>
      <w:r>
        <w:rPr>
          <w:spacing w:val="-29"/>
          <w:w w:val="115"/>
        </w:rPr>
        <w:t> </w:t>
      </w:r>
      <w:r>
        <w:rPr>
          <w:w w:val="115"/>
        </w:rPr>
        <w:t>regis-</w:t>
      </w:r>
      <w:r>
        <w:rPr>
          <w:w w:val="102"/>
        </w:rPr>
        <w:t> </w:t>
      </w:r>
      <w:r>
        <w:rPr>
          <w:w w:val="115"/>
        </w:rPr>
        <w:t>tros</w:t>
      </w:r>
      <w:r>
        <w:rPr>
          <w:spacing w:val="-10"/>
          <w:w w:val="115"/>
        </w:rPr>
        <w:t> </w:t>
      </w:r>
      <w:r>
        <w:rPr>
          <w:w w:val="115"/>
        </w:rPr>
        <w:t>nunca</w:t>
      </w:r>
      <w:r>
        <w:rPr>
          <w:spacing w:val="-10"/>
          <w:w w:val="115"/>
        </w:rPr>
        <w:t> </w:t>
      </w:r>
      <w:r>
        <w:rPr>
          <w:w w:val="115"/>
        </w:rPr>
        <w:t>antes</w:t>
      </w:r>
      <w:r>
        <w:rPr>
          <w:spacing w:val="-10"/>
          <w:w w:val="115"/>
        </w:rPr>
        <w:t> </w:t>
      </w:r>
      <w:r>
        <w:rPr>
          <w:w w:val="115"/>
        </w:rPr>
        <w:t>vistos</w:t>
      </w:r>
      <w:r>
        <w:rPr>
          <w:spacing w:val="-10"/>
          <w:w w:val="115"/>
        </w:rPr>
        <w:t> </w:t>
      </w:r>
      <w:r>
        <w:rPr>
          <w:w w:val="115"/>
        </w:rPr>
        <w:t>con</w:t>
      </w:r>
      <w:r>
        <w:rPr>
          <w:spacing w:val="-10"/>
          <w:w w:val="115"/>
        </w:rPr>
        <w:t> </w:t>
      </w:r>
      <w:r>
        <w:rPr>
          <w:w w:val="115"/>
        </w:rPr>
        <w:t>la</w:t>
      </w:r>
      <w:r>
        <w:rPr>
          <w:spacing w:val="-10"/>
          <w:w w:val="115"/>
        </w:rPr>
        <w:t> </w:t>
      </w:r>
      <w:r>
        <w:rPr>
          <w:w w:val="115"/>
        </w:rPr>
        <w:t>lectura</w:t>
      </w:r>
      <w:r>
        <w:rPr>
          <w:spacing w:val="-10"/>
          <w:w w:val="115"/>
        </w:rPr>
        <w:t> </w:t>
      </w:r>
      <w:r>
        <w:rPr>
          <w:w w:val="115"/>
        </w:rPr>
        <w:t>que</w:t>
      </w:r>
      <w:r>
        <w:rPr>
          <w:spacing w:val="-10"/>
          <w:w w:val="115"/>
        </w:rPr>
        <w:t> </w:t>
      </w:r>
      <w:r>
        <w:rPr>
          <w:w w:val="115"/>
        </w:rPr>
        <w:t>en</w:t>
      </w:r>
      <w:r>
        <w:rPr>
          <w:spacing w:val="-10"/>
          <w:w w:val="115"/>
        </w:rPr>
        <w:t> </w:t>
      </w:r>
      <w:r>
        <w:rPr>
          <w:w w:val="115"/>
        </w:rPr>
        <w:t>materia</w:t>
      </w:r>
      <w:r>
        <w:rPr>
          <w:spacing w:val="-10"/>
          <w:w w:val="115"/>
        </w:rPr>
        <w:t> </w:t>
      </w:r>
      <w:r>
        <w:rPr>
          <w:w w:val="115"/>
        </w:rPr>
        <w:t>de</w:t>
      </w:r>
      <w:r>
        <w:rPr>
          <w:spacing w:val="-10"/>
          <w:w w:val="115"/>
        </w:rPr>
        <w:t> </w:t>
      </w:r>
      <w:r>
        <w:rPr>
          <w:w w:val="115"/>
        </w:rPr>
        <w:t>seguridad</w:t>
      </w:r>
      <w:r>
        <w:rPr>
          <w:spacing w:val="-10"/>
          <w:w w:val="115"/>
        </w:rPr>
        <w:t> </w:t>
      </w:r>
      <w:r>
        <w:rPr>
          <w:w w:val="115"/>
        </w:rPr>
        <w:t>le</w:t>
      </w:r>
      <w:r>
        <w:rPr>
          <w:w w:val="107"/>
        </w:rPr>
        <w:t> </w:t>
      </w:r>
      <w:r>
        <w:rPr>
          <w:w w:val="110"/>
        </w:rPr>
        <w:t>otorga</w:t>
      </w:r>
      <w:r>
        <w:rPr>
          <w:spacing w:val="-14"/>
          <w:w w:val="110"/>
        </w:rPr>
        <w:t> </w:t>
      </w:r>
      <w:r>
        <w:rPr>
          <w:w w:val="110"/>
        </w:rPr>
        <w:t>a</w:t>
      </w:r>
      <w:r>
        <w:rPr>
          <w:spacing w:val="-14"/>
          <w:w w:val="110"/>
        </w:rPr>
        <w:t> </w:t>
      </w:r>
      <w:r>
        <w:rPr>
          <w:w w:val="110"/>
        </w:rPr>
        <w:t>los</w:t>
      </w:r>
      <w:r>
        <w:rPr>
          <w:spacing w:val="-14"/>
          <w:w w:val="110"/>
        </w:rPr>
        <w:t> </w:t>
      </w:r>
      <w:r>
        <w:rPr>
          <w:w w:val="110"/>
        </w:rPr>
        <w:t>atentados</w:t>
      </w:r>
      <w:r>
        <w:rPr>
          <w:spacing w:val="-14"/>
          <w:w w:val="110"/>
        </w:rPr>
        <w:t> </w:t>
      </w:r>
      <w:r>
        <w:rPr>
          <w:w w:val="110"/>
        </w:rPr>
        <w:t>terroristas</w:t>
      </w:r>
      <w:r>
        <w:rPr>
          <w:spacing w:val="-14"/>
          <w:w w:val="110"/>
        </w:rPr>
        <w:t> </w:t>
      </w:r>
      <w:r>
        <w:rPr>
          <w:w w:val="110"/>
        </w:rPr>
        <w:t>del</w:t>
      </w:r>
      <w:r>
        <w:rPr>
          <w:spacing w:val="-14"/>
          <w:w w:val="110"/>
        </w:rPr>
        <w:t> </w:t>
      </w:r>
      <w:r>
        <w:rPr>
          <w:w w:val="110"/>
        </w:rPr>
        <w:t>martes</w:t>
      </w:r>
      <w:r>
        <w:rPr>
          <w:spacing w:val="-14"/>
          <w:w w:val="110"/>
        </w:rPr>
        <w:t> </w:t>
      </w:r>
      <w:r>
        <w:rPr>
          <w:w w:val="110"/>
        </w:rPr>
        <w:t>11</w:t>
      </w:r>
      <w:r>
        <w:rPr>
          <w:spacing w:val="-14"/>
          <w:w w:val="110"/>
        </w:rPr>
        <w:t> </w:t>
      </w:r>
      <w:r>
        <w:rPr>
          <w:w w:val="110"/>
        </w:rPr>
        <w:t>de</w:t>
      </w:r>
      <w:r>
        <w:rPr>
          <w:spacing w:val="-14"/>
          <w:w w:val="110"/>
        </w:rPr>
        <w:t> </w:t>
      </w:r>
      <w:r>
        <w:rPr>
          <w:w w:val="110"/>
        </w:rPr>
        <w:t>septiembre</w:t>
      </w:r>
      <w:r>
        <w:rPr>
          <w:spacing w:val="-14"/>
          <w:w w:val="110"/>
        </w:rPr>
        <w:t> </w:t>
      </w:r>
      <w:r>
        <w:rPr>
          <w:w w:val="110"/>
        </w:rPr>
        <w:t>de</w:t>
      </w:r>
      <w:r>
        <w:rPr>
          <w:spacing w:val="-14"/>
          <w:w w:val="110"/>
        </w:rPr>
        <w:t> </w:t>
      </w:r>
      <w:r>
        <w:rPr>
          <w:w w:val="110"/>
        </w:rPr>
        <w:t>2001.</w:t>
      </w:r>
      <w:r>
        <w:rPr>
          <w:w w:val="105"/>
        </w:rPr>
        <w:t> </w:t>
      </w:r>
      <w:r>
        <w:rPr>
          <w:w w:val="115"/>
        </w:rPr>
        <w:t>de allí en adelante y durante todo este período, más allá</w:t>
      </w:r>
      <w:r>
        <w:rPr>
          <w:spacing w:val="6"/>
          <w:w w:val="115"/>
        </w:rPr>
        <w:t> </w:t>
      </w:r>
      <w:r>
        <w:rPr>
          <w:w w:val="115"/>
        </w:rPr>
        <w:t>de</w:t>
      </w:r>
      <w:r>
        <w:rPr>
          <w:spacing w:val="13"/>
          <w:w w:val="115"/>
        </w:rPr>
        <w:t> </w:t>
      </w:r>
      <w:r>
        <w:rPr>
          <w:w w:val="115"/>
        </w:rPr>
        <w:t>la</w:t>
      </w:r>
      <w:r>
        <w:rPr>
          <w:w w:val="111"/>
        </w:rPr>
        <w:t> </w:t>
      </w:r>
      <w:r>
        <w:rPr>
          <w:w w:val="115"/>
        </w:rPr>
        <w:t>distinción entre demócratas y republicanos, la política</w:t>
      </w:r>
      <w:r>
        <w:rPr>
          <w:spacing w:val="27"/>
          <w:w w:val="115"/>
        </w:rPr>
        <w:t> </w:t>
      </w:r>
      <w:r>
        <w:rPr>
          <w:w w:val="115"/>
        </w:rPr>
        <w:t>de</w:t>
      </w:r>
      <w:r>
        <w:rPr>
          <w:spacing w:val="17"/>
          <w:w w:val="115"/>
        </w:rPr>
        <w:t> </w:t>
      </w:r>
      <w:r>
        <w:rPr>
          <w:w w:val="115"/>
        </w:rPr>
        <w:t>Estados</w:t>
      </w:r>
      <w:r>
        <w:rPr>
          <w:w w:val="111"/>
        </w:rPr>
        <w:t> </w:t>
      </w:r>
      <w:r>
        <w:rPr>
          <w:w w:val="115"/>
        </w:rPr>
        <w:t>unidos</w:t>
      </w:r>
      <w:r>
        <w:rPr>
          <w:spacing w:val="-8"/>
          <w:w w:val="115"/>
        </w:rPr>
        <w:t> </w:t>
      </w:r>
      <w:r>
        <w:rPr>
          <w:w w:val="115"/>
        </w:rPr>
        <w:t>pasó</w:t>
      </w:r>
      <w:r>
        <w:rPr>
          <w:spacing w:val="-8"/>
          <w:w w:val="115"/>
        </w:rPr>
        <w:t> </w:t>
      </w:r>
      <w:r>
        <w:rPr>
          <w:w w:val="115"/>
        </w:rPr>
        <w:t>a</w:t>
      </w:r>
      <w:r>
        <w:rPr>
          <w:spacing w:val="-8"/>
          <w:w w:val="115"/>
        </w:rPr>
        <w:t> </w:t>
      </w:r>
      <w:r>
        <w:rPr>
          <w:w w:val="115"/>
        </w:rPr>
        <w:t>valerse</w:t>
      </w:r>
      <w:r>
        <w:rPr>
          <w:spacing w:val="-8"/>
          <w:w w:val="115"/>
        </w:rPr>
        <w:t> </w:t>
      </w:r>
      <w:r>
        <w:rPr>
          <w:w w:val="115"/>
        </w:rPr>
        <w:t>de</w:t>
      </w:r>
      <w:r>
        <w:rPr>
          <w:spacing w:val="-8"/>
          <w:w w:val="115"/>
        </w:rPr>
        <w:t> </w:t>
      </w:r>
      <w:r>
        <w:rPr>
          <w:w w:val="115"/>
        </w:rPr>
        <w:t>su</w:t>
      </w:r>
      <w:r>
        <w:rPr>
          <w:spacing w:val="-8"/>
          <w:w w:val="115"/>
        </w:rPr>
        <w:t> </w:t>
      </w:r>
      <w:r>
        <w:rPr>
          <w:w w:val="115"/>
        </w:rPr>
        <w:t>incuestionable</w:t>
      </w:r>
      <w:r>
        <w:rPr>
          <w:spacing w:val="-8"/>
          <w:w w:val="115"/>
        </w:rPr>
        <w:t> </w:t>
      </w:r>
      <w:r>
        <w:rPr>
          <w:w w:val="115"/>
        </w:rPr>
        <w:t>superioridad</w:t>
      </w:r>
      <w:r>
        <w:rPr>
          <w:spacing w:val="-8"/>
          <w:w w:val="115"/>
        </w:rPr>
        <w:t> </w:t>
      </w:r>
      <w:r>
        <w:rPr>
          <w:spacing w:val="-3"/>
          <w:w w:val="115"/>
        </w:rPr>
        <w:t>militar,</w:t>
      </w:r>
      <w:r>
        <w:rPr>
          <w:spacing w:val="-8"/>
          <w:w w:val="115"/>
        </w:rPr>
        <w:t> </w:t>
      </w:r>
      <w:r>
        <w:rPr>
          <w:w w:val="115"/>
        </w:rPr>
        <w:t>que</w:t>
      </w:r>
      <w:r>
        <w:rPr>
          <w:w w:val="108"/>
        </w:rPr>
        <w:t> </w:t>
      </w:r>
      <w:r>
        <w:rPr>
          <w:w w:val="115"/>
        </w:rPr>
        <w:t>incluye</w:t>
      </w:r>
      <w:r>
        <w:rPr>
          <w:spacing w:val="-22"/>
          <w:w w:val="115"/>
        </w:rPr>
        <w:t> </w:t>
      </w:r>
      <w:r>
        <w:rPr>
          <w:w w:val="115"/>
        </w:rPr>
        <w:t>otras</w:t>
      </w:r>
      <w:r>
        <w:rPr>
          <w:spacing w:val="-22"/>
          <w:w w:val="115"/>
        </w:rPr>
        <w:t> </w:t>
      </w:r>
      <w:r>
        <w:rPr>
          <w:w w:val="115"/>
        </w:rPr>
        <w:t>formas</w:t>
      </w:r>
      <w:r>
        <w:rPr>
          <w:spacing w:val="-22"/>
          <w:w w:val="115"/>
        </w:rPr>
        <w:t> </w:t>
      </w:r>
      <w:r>
        <w:rPr>
          <w:w w:val="115"/>
        </w:rPr>
        <w:t>conexas</w:t>
      </w:r>
      <w:r>
        <w:rPr>
          <w:spacing w:val="-22"/>
          <w:w w:val="115"/>
        </w:rPr>
        <w:t> </w:t>
      </w:r>
      <w:r>
        <w:rPr>
          <w:w w:val="115"/>
        </w:rPr>
        <w:t>de</w:t>
      </w:r>
      <w:r>
        <w:rPr>
          <w:spacing w:val="-22"/>
          <w:w w:val="115"/>
        </w:rPr>
        <w:t> </w:t>
      </w:r>
      <w:r>
        <w:rPr>
          <w:spacing w:val="-4"/>
          <w:w w:val="115"/>
        </w:rPr>
        <w:t>poder,</w:t>
      </w:r>
      <w:r>
        <w:rPr>
          <w:spacing w:val="-22"/>
          <w:w w:val="115"/>
        </w:rPr>
        <w:t> </w:t>
      </w:r>
      <w:r>
        <w:rPr>
          <w:w w:val="115"/>
        </w:rPr>
        <w:t>buscando</w:t>
      </w:r>
      <w:r>
        <w:rPr>
          <w:spacing w:val="-22"/>
          <w:w w:val="115"/>
        </w:rPr>
        <w:t> </w:t>
      </w:r>
      <w:r>
        <w:rPr>
          <w:w w:val="115"/>
        </w:rPr>
        <w:t>de</w:t>
      </w:r>
      <w:r>
        <w:rPr>
          <w:spacing w:val="-22"/>
          <w:w w:val="115"/>
        </w:rPr>
        <w:t> </w:t>
      </w:r>
      <w:r>
        <w:rPr>
          <w:w w:val="115"/>
        </w:rPr>
        <w:t>manera</w:t>
      </w:r>
      <w:r>
        <w:rPr>
          <w:spacing w:val="-22"/>
          <w:w w:val="115"/>
        </w:rPr>
        <w:t> </w:t>
      </w:r>
      <w:r>
        <w:rPr>
          <w:w w:val="115"/>
        </w:rPr>
        <w:t>sistemá-</w:t>
      </w:r>
      <w:r>
        <w:rPr>
          <w:w w:val="102"/>
        </w:rPr>
        <w:t> </w:t>
      </w:r>
      <w:r>
        <w:rPr>
          <w:w w:val="115"/>
        </w:rPr>
        <w:t>tica transferir el manejo de los conflictos y las diferencias</w:t>
      </w:r>
      <w:r>
        <w:rPr>
          <w:spacing w:val="43"/>
          <w:w w:val="115"/>
        </w:rPr>
        <w:t> </w:t>
      </w:r>
      <w:r>
        <w:rPr>
          <w:w w:val="115"/>
        </w:rPr>
        <w:t>hacia</w:t>
      </w:r>
      <w:r>
        <w:rPr>
          <w:spacing w:val="13"/>
          <w:w w:val="115"/>
        </w:rPr>
        <w:t> </w:t>
      </w:r>
      <w:r>
        <w:rPr>
          <w:w w:val="115"/>
        </w:rPr>
        <w:t>el</w:t>
      </w:r>
      <w:r>
        <w:rPr>
          <w:w w:val="107"/>
        </w:rPr>
        <w:t> </w:t>
      </w:r>
      <w:r>
        <w:rPr>
          <w:w w:val="109"/>
        </w:rPr>
        <w:t>enfrentamiento</w:t>
      </w:r>
      <w:r>
        <w:rPr>
          <w:spacing w:val="16"/>
        </w:rPr>
        <w:t> </w:t>
      </w:r>
      <w:r>
        <w:rPr>
          <w:w w:val="107"/>
        </w:rPr>
        <w:t>de</w:t>
      </w:r>
      <w:r>
        <w:rPr>
          <w:spacing w:val="16"/>
        </w:rPr>
        <w:t> </w:t>
      </w:r>
      <w:r>
        <w:rPr>
          <w:w w:val="111"/>
        </w:rPr>
        <w:t>fuerzas.</w:t>
      </w:r>
      <w:r>
        <w:rPr>
          <w:spacing w:val="16"/>
        </w:rPr>
        <w:t> </w:t>
      </w:r>
      <w:r>
        <w:rPr>
          <w:w w:val="243"/>
        </w:rPr>
        <w:t>l</w:t>
      </w:r>
      <w:r>
        <w:rPr>
          <w:w w:val="112"/>
        </w:rPr>
        <w:t>a</w:t>
      </w:r>
      <w:r>
        <w:rPr>
          <w:spacing w:val="16"/>
        </w:rPr>
        <w:t> </w:t>
      </w:r>
      <w:r>
        <w:rPr>
          <w:w w:val="109"/>
        </w:rPr>
        <w:t>consecuente</w:t>
      </w:r>
      <w:r>
        <w:rPr>
          <w:spacing w:val="16"/>
        </w:rPr>
        <w:t> </w:t>
      </w:r>
      <w:r>
        <w:rPr>
          <w:w w:val="112"/>
        </w:rPr>
        <w:t>militarización</w:t>
      </w:r>
      <w:r>
        <w:rPr>
          <w:spacing w:val="16"/>
        </w:rPr>
        <w:t> </w:t>
      </w:r>
      <w:r>
        <w:rPr>
          <w:w w:val="107"/>
        </w:rPr>
        <w:t>de</w:t>
      </w:r>
      <w:r>
        <w:rPr>
          <w:spacing w:val="16"/>
        </w:rPr>
        <w:t> </w:t>
      </w:r>
      <w:r>
        <w:rPr>
          <w:w w:val="108"/>
        </w:rPr>
        <w:t>los</w:t>
      </w:r>
      <w:r>
        <w:rPr>
          <w:spacing w:val="16"/>
        </w:rPr>
        <w:t> </w:t>
      </w:r>
      <w:r>
        <w:rPr>
          <w:w w:val="112"/>
        </w:rPr>
        <w:t>co</w:t>
      </w:r>
      <w:r>
        <w:rPr>
          <w:spacing w:val="-1"/>
          <w:w w:val="112"/>
        </w:rPr>
        <w:t>n</w:t>
      </w:r>
      <w:r>
        <w:rPr>
          <w:w w:val="102"/>
        </w:rPr>
        <w:t>- </w:t>
      </w:r>
      <w:r>
        <w:rPr>
          <w:w w:val="109"/>
        </w:rPr>
        <w:t>flictos</w:t>
      </w:r>
      <w:r>
        <w:rPr>
          <w:spacing w:val="19"/>
        </w:rPr>
        <w:t> </w:t>
      </w:r>
      <w:r>
        <w:rPr>
          <w:w w:val="105"/>
        </w:rPr>
        <w:t>se</w:t>
      </w:r>
      <w:r>
        <w:rPr>
          <w:spacing w:val="19"/>
        </w:rPr>
        <w:t> </w:t>
      </w:r>
      <w:r>
        <w:rPr>
          <w:w w:val="109"/>
        </w:rPr>
        <w:t>ratificó</w:t>
      </w:r>
      <w:r>
        <w:rPr>
          <w:spacing w:val="19"/>
        </w:rPr>
        <w:t> </w:t>
      </w:r>
      <w:r>
        <w:rPr>
          <w:w w:val="107"/>
        </w:rPr>
        <w:t>de</w:t>
      </w:r>
      <w:r>
        <w:rPr>
          <w:spacing w:val="19"/>
        </w:rPr>
        <w:t> </w:t>
      </w:r>
      <w:r>
        <w:rPr>
          <w:w w:val="110"/>
        </w:rPr>
        <w:t>manera</w:t>
      </w:r>
      <w:r>
        <w:rPr>
          <w:spacing w:val="19"/>
        </w:rPr>
        <w:t> </w:t>
      </w:r>
      <w:r>
        <w:rPr>
          <w:w w:val="110"/>
        </w:rPr>
        <w:t>colosal</w:t>
      </w:r>
      <w:r>
        <w:rPr>
          <w:spacing w:val="19"/>
        </w:rPr>
        <w:t> </w:t>
      </w:r>
      <w:r>
        <w:rPr>
          <w:w w:val="108"/>
        </w:rPr>
        <w:t>en</w:t>
      </w:r>
      <w:r>
        <w:rPr>
          <w:spacing w:val="19"/>
        </w:rPr>
        <w:t> </w:t>
      </w:r>
      <w:r>
        <w:rPr>
          <w:w w:val="142"/>
        </w:rPr>
        <w:t>i</w:t>
      </w:r>
      <w:r>
        <w:rPr>
          <w:w w:val="112"/>
        </w:rPr>
        <w:t>rak,</w:t>
      </w:r>
      <w:r>
        <w:rPr>
          <w:spacing w:val="19"/>
        </w:rPr>
        <w:t> </w:t>
      </w:r>
      <w:r>
        <w:rPr>
          <w:w w:val="139"/>
        </w:rPr>
        <w:t>a</w:t>
      </w:r>
      <w:r>
        <w:rPr>
          <w:w w:val="111"/>
        </w:rPr>
        <w:t>fganistán</w:t>
      </w:r>
      <w:r>
        <w:rPr>
          <w:spacing w:val="19"/>
        </w:rPr>
        <w:t> </w:t>
      </w:r>
      <w:r>
        <w:rPr>
          <w:w w:val="105"/>
        </w:rPr>
        <w:t>y</w:t>
      </w:r>
      <w:r>
        <w:rPr>
          <w:spacing w:val="19"/>
        </w:rPr>
        <w:t> </w:t>
      </w:r>
      <w:r>
        <w:rPr>
          <w:w w:val="243"/>
        </w:rPr>
        <w:t>l</w:t>
      </w:r>
      <w:r>
        <w:rPr>
          <w:w w:val="115"/>
        </w:rPr>
        <w:t>ibia,</w:t>
      </w:r>
      <w:r>
        <w:rPr>
          <w:spacing w:val="19"/>
        </w:rPr>
        <w:t> </w:t>
      </w:r>
      <w:r>
        <w:rPr>
          <w:w w:val="109"/>
        </w:rPr>
        <w:t>ante</w:t>
      </w:r>
      <w:r>
        <w:rPr>
          <w:w w:val="102"/>
        </w:rPr>
        <w:t>- </w:t>
      </w:r>
      <w:r>
        <w:rPr>
          <w:w w:val="115"/>
        </w:rPr>
        <w:t>cedido,</w:t>
      </w:r>
      <w:r>
        <w:rPr>
          <w:spacing w:val="-14"/>
          <w:w w:val="115"/>
        </w:rPr>
        <w:t> </w:t>
      </w:r>
      <w:r>
        <w:rPr>
          <w:w w:val="115"/>
        </w:rPr>
        <w:t>acompañado</w:t>
      </w:r>
      <w:r>
        <w:rPr>
          <w:spacing w:val="-14"/>
          <w:w w:val="115"/>
        </w:rPr>
        <w:t> </w:t>
      </w:r>
      <w:r>
        <w:rPr>
          <w:w w:val="115"/>
        </w:rPr>
        <w:t>y</w:t>
      </w:r>
      <w:r>
        <w:rPr>
          <w:spacing w:val="-14"/>
          <w:w w:val="115"/>
        </w:rPr>
        <w:t> </w:t>
      </w:r>
      <w:r>
        <w:rPr>
          <w:w w:val="115"/>
        </w:rPr>
        <w:t>sucedido</w:t>
      </w:r>
      <w:r>
        <w:rPr>
          <w:spacing w:val="-14"/>
          <w:w w:val="115"/>
        </w:rPr>
        <w:t> </w:t>
      </w:r>
      <w:r>
        <w:rPr>
          <w:w w:val="115"/>
        </w:rPr>
        <w:t>por</w:t>
      </w:r>
      <w:r>
        <w:rPr>
          <w:spacing w:val="-14"/>
          <w:w w:val="115"/>
        </w:rPr>
        <w:t> </w:t>
      </w:r>
      <w:r>
        <w:rPr>
          <w:w w:val="115"/>
        </w:rPr>
        <w:t>su</w:t>
      </w:r>
      <w:r>
        <w:rPr>
          <w:spacing w:val="-14"/>
          <w:w w:val="115"/>
        </w:rPr>
        <w:t> </w:t>
      </w:r>
      <w:r>
        <w:rPr>
          <w:w w:val="115"/>
        </w:rPr>
        <w:t>guerra</w:t>
      </w:r>
      <w:r>
        <w:rPr>
          <w:spacing w:val="-14"/>
          <w:w w:val="115"/>
        </w:rPr>
        <w:t> </w:t>
      </w:r>
      <w:r>
        <w:rPr>
          <w:w w:val="115"/>
        </w:rPr>
        <w:t>mediática.</w:t>
      </w:r>
      <w:r>
        <w:rPr>
          <w:spacing w:val="-14"/>
          <w:w w:val="115"/>
        </w:rPr>
        <w:t> </w:t>
      </w:r>
      <w:r>
        <w:rPr>
          <w:w w:val="115"/>
        </w:rPr>
        <w:t>El</w:t>
      </w:r>
      <w:r>
        <w:rPr>
          <w:spacing w:val="-14"/>
          <w:w w:val="115"/>
        </w:rPr>
        <w:t> </w:t>
      </w:r>
      <w:r>
        <w:rPr>
          <w:w w:val="115"/>
        </w:rPr>
        <w:t>uso</w:t>
      </w:r>
      <w:r>
        <w:rPr>
          <w:spacing w:val="-14"/>
          <w:w w:val="115"/>
        </w:rPr>
        <w:t> </w:t>
      </w:r>
      <w:r>
        <w:rPr>
          <w:w w:val="115"/>
        </w:rPr>
        <w:t>de</w:t>
      </w:r>
      <w:r>
        <w:rPr>
          <w:spacing w:val="-14"/>
          <w:w w:val="115"/>
        </w:rPr>
        <w:t> </w:t>
      </w:r>
      <w:r>
        <w:rPr>
          <w:w w:val="115"/>
        </w:rPr>
        <w:t>la</w:t>
      </w:r>
      <w:r>
        <w:rPr>
          <w:w w:val="111"/>
        </w:rPr>
        <w:t> </w:t>
      </w:r>
      <w:r>
        <w:rPr>
          <w:w w:val="115"/>
        </w:rPr>
        <w:t>fuerza</w:t>
      </w:r>
      <w:r>
        <w:rPr>
          <w:spacing w:val="-22"/>
          <w:w w:val="115"/>
        </w:rPr>
        <w:t> </w:t>
      </w:r>
      <w:r>
        <w:rPr>
          <w:w w:val="115"/>
        </w:rPr>
        <w:t>combinada</w:t>
      </w:r>
      <w:r>
        <w:rPr>
          <w:spacing w:val="-22"/>
          <w:w w:val="115"/>
        </w:rPr>
        <w:t> </w:t>
      </w:r>
      <w:r>
        <w:rPr>
          <w:w w:val="115"/>
        </w:rPr>
        <w:t>se</w:t>
      </w:r>
      <w:r>
        <w:rPr>
          <w:spacing w:val="-22"/>
          <w:w w:val="115"/>
        </w:rPr>
        <w:t> </w:t>
      </w:r>
      <w:r>
        <w:rPr>
          <w:w w:val="115"/>
        </w:rPr>
        <w:t>desplegó</w:t>
      </w:r>
      <w:r>
        <w:rPr>
          <w:spacing w:val="-22"/>
          <w:w w:val="115"/>
        </w:rPr>
        <w:t> </w:t>
      </w:r>
      <w:r>
        <w:rPr>
          <w:w w:val="115"/>
        </w:rPr>
        <w:t>por</w:t>
      </w:r>
      <w:r>
        <w:rPr>
          <w:spacing w:val="-22"/>
          <w:w w:val="115"/>
        </w:rPr>
        <w:t> </w:t>
      </w:r>
      <w:r>
        <w:rPr>
          <w:w w:val="115"/>
        </w:rPr>
        <w:t>la</w:t>
      </w:r>
      <w:r>
        <w:rPr>
          <w:spacing w:val="-22"/>
          <w:w w:val="115"/>
        </w:rPr>
        <w:t> </w:t>
      </w:r>
      <w:r>
        <w:rPr>
          <w:w w:val="115"/>
        </w:rPr>
        <w:t>operación</w:t>
      </w:r>
      <w:r>
        <w:rPr>
          <w:spacing w:val="-22"/>
          <w:w w:val="115"/>
        </w:rPr>
        <w:t> </w:t>
      </w:r>
      <w:r>
        <w:rPr>
          <w:w w:val="115"/>
        </w:rPr>
        <w:t>de</w:t>
      </w:r>
      <w:r>
        <w:rPr>
          <w:spacing w:val="-22"/>
          <w:w w:val="115"/>
        </w:rPr>
        <w:t> </w:t>
      </w:r>
      <w:r>
        <w:rPr>
          <w:w w:val="115"/>
        </w:rPr>
        <w:t>vías</w:t>
      </w:r>
      <w:r>
        <w:rPr>
          <w:spacing w:val="-22"/>
          <w:w w:val="115"/>
        </w:rPr>
        <w:t> </w:t>
      </w:r>
      <w:r>
        <w:rPr>
          <w:w w:val="115"/>
        </w:rPr>
        <w:t>relativamente</w:t>
      </w:r>
      <w:r>
        <w:rPr>
          <w:w w:val="108"/>
        </w:rPr>
        <w:t> </w:t>
      </w:r>
      <w:r>
        <w:rPr>
          <w:w w:val="115"/>
        </w:rPr>
        <w:t>distintas</w:t>
      </w:r>
      <w:r>
        <w:rPr>
          <w:spacing w:val="-19"/>
          <w:w w:val="115"/>
        </w:rPr>
        <w:t> </w:t>
      </w:r>
      <w:r>
        <w:rPr>
          <w:w w:val="115"/>
        </w:rPr>
        <w:t>como</w:t>
      </w:r>
      <w:r>
        <w:rPr>
          <w:spacing w:val="-19"/>
          <w:w w:val="115"/>
        </w:rPr>
        <w:t> </w:t>
      </w:r>
      <w:r>
        <w:rPr>
          <w:w w:val="115"/>
        </w:rPr>
        <w:t>del</w:t>
      </w:r>
      <w:r>
        <w:rPr>
          <w:spacing w:val="-19"/>
          <w:w w:val="115"/>
        </w:rPr>
        <w:t> </w:t>
      </w:r>
      <w:r>
        <w:rPr>
          <w:w w:val="115"/>
        </w:rPr>
        <w:t>bombardeo,</w:t>
      </w:r>
      <w:r>
        <w:rPr>
          <w:spacing w:val="-19"/>
          <w:w w:val="115"/>
        </w:rPr>
        <w:t> </w:t>
      </w:r>
      <w:r>
        <w:rPr>
          <w:w w:val="115"/>
        </w:rPr>
        <w:t>invasión,</w:t>
      </w:r>
      <w:r>
        <w:rPr>
          <w:spacing w:val="-19"/>
          <w:w w:val="115"/>
        </w:rPr>
        <w:t> </w:t>
      </w:r>
      <w:r>
        <w:rPr>
          <w:w w:val="115"/>
        </w:rPr>
        <w:t>ocupación</w:t>
      </w:r>
      <w:r>
        <w:rPr>
          <w:spacing w:val="-19"/>
          <w:w w:val="115"/>
        </w:rPr>
        <w:t> </w:t>
      </w:r>
      <w:r>
        <w:rPr>
          <w:w w:val="115"/>
        </w:rPr>
        <w:t>o</w:t>
      </w:r>
      <w:r>
        <w:rPr>
          <w:spacing w:val="-19"/>
          <w:w w:val="115"/>
        </w:rPr>
        <w:t> </w:t>
      </w:r>
      <w:r>
        <w:rPr>
          <w:w w:val="115"/>
        </w:rPr>
        <w:t>derrocamiento</w:t>
      </w:r>
      <w:r>
        <w:rPr>
          <w:w w:val="109"/>
        </w:rPr>
        <w:t> </w:t>
      </w:r>
      <w:r>
        <w:rPr>
          <w:w w:val="115"/>
        </w:rPr>
        <w:t>de gobiernos. Ese componente de su política sustentado en</w:t>
      </w:r>
      <w:r>
        <w:rPr>
          <w:spacing w:val="39"/>
          <w:w w:val="115"/>
        </w:rPr>
        <w:t> </w:t>
      </w:r>
      <w:r>
        <w:rPr>
          <w:w w:val="115"/>
        </w:rPr>
        <w:t>los</w:t>
      </w:r>
      <w:r>
        <w:rPr>
          <w:spacing w:val="4"/>
          <w:w w:val="115"/>
        </w:rPr>
        <w:t> </w:t>
      </w:r>
      <w:r>
        <w:rPr>
          <w:w w:val="115"/>
        </w:rPr>
        <w:t>ins-</w:t>
      </w:r>
      <w:r>
        <w:rPr>
          <w:w w:val="102"/>
        </w:rPr>
        <w:t> </w:t>
      </w:r>
      <w:r>
        <w:rPr>
          <w:w w:val="115"/>
        </w:rPr>
        <w:t>trumentos</w:t>
      </w:r>
      <w:r>
        <w:rPr>
          <w:spacing w:val="-15"/>
          <w:w w:val="115"/>
        </w:rPr>
        <w:t> </w:t>
      </w:r>
      <w:r>
        <w:rPr>
          <w:w w:val="115"/>
        </w:rPr>
        <w:t>del</w:t>
      </w:r>
      <w:r>
        <w:rPr>
          <w:spacing w:val="-15"/>
          <w:w w:val="115"/>
        </w:rPr>
        <w:t> </w:t>
      </w:r>
      <w:r>
        <w:rPr>
          <w:w w:val="115"/>
        </w:rPr>
        <w:t>llamado</w:t>
      </w:r>
      <w:r>
        <w:rPr>
          <w:spacing w:val="-15"/>
          <w:w w:val="115"/>
        </w:rPr>
        <w:t> </w:t>
      </w:r>
      <w:r>
        <w:rPr>
          <w:i/>
          <w:w w:val="115"/>
        </w:rPr>
        <w:t>hard</w:t>
      </w:r>
      <w:r>
        <w:rPr>
          <w:i/>
          <w:spacing w:val="-15"/>
          <w:w w:val="115"/>
        </w:rPr>
        <w:t> </w:t>
      </w:r>
      <w:r>
        <w:rPr>
          <w:i/>
          <w:w w:val="115"/>
        </w:rPr>
        <w:t>power</w:t>
      </w:r>
      <w:r>
        <w:rPr>
          <w:i/>
          <w:spacing w:val="-15"/>
          <w:w w:val="115"/>
        </w:rPr>
        <w:t> </w:t>
      </w:r>
      <w:r>
        <w:rPr>
          <w:w w:val="115"/>
        </w:rPr>
        <w:t>ha</w:t>
      </w:r>
      <w:r>
        <w:rPr>
          <w:spacing w:val="-15"/>
          <w:w w:val="115"/>
        </w:rPr>
        <w:t> </w:t>
      </w:r>
      <w:r>
        <w:rPr>
          <w:w w:val="115"/>
        </w:rPr>
        <w:t>prevalecido</w:t>
      </w:r>
      <w:r>
        <w:rPr>
          <w:spacing w:val="-15"/>
          <w:w w:val="115"/>
        </w:rPr>
        <w:t> </w:t>
      </w:r>
      <w:r>
        <w:rPr>
          <w:w w:val="115"/>
        </w:rPr>
        <w:t>prácticamente</w:t>
      </w:r>
      <w:r>
        <w:rPr>
          <w:spacing w:val="-15"/>
          <w:w w:val="115"/>
        </w:rPr>
        <w:t> </w:t>
      </w:r>
      <w:r>
        <w:rPr>
          <w:w w:val="115"/>
        </w:rPr>
        <w:t>sin</w:t>
      </w:r>
      <w:r>
        <w:rPr>
          <w:w w:val="110"/>
        </w:rPr>
        <w:t> </w:t>
      </w:r>
      <w:r>
        <w:rPr>
          <w:w w:val="115"/>
        </w:rPr>
        <w:t>obstáculos para el ejercicio de la dominación norteamericana. </w:t>
      </w:r>
      <w:r>
        <w:rPr>
          <w:spacing w:val="42"/>
          <w:w w:val="115"/>
        </w:rPr>
        <w:t> </w:t>
      </w:r>
      <w:r>
        <w:rPr>
          <w:w w:val="115"/>
        </w:rPr>
        <w:t>una</w:t>
      </w:r>
    </w:p>
    <w:p>
      <w:pPr>
        <w:spacing w:after="0" w:line="252" w:lineRule="auto"/>
        <w:jc w:val="right"/>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relativa modificación de esta tendencia se produce en el conflicto con siria cuando su disposición para el bombardeo sufre una alteración ante la oposición de la Federación rusa. sin que haya desaparecido     la pretensión de mantenerlo o ensayar algunos giros, aquella fue una señal de que el unipolarismo o la supremacía del poder militar en los tiempos que corren podrían tener sus</w:t>
      </w:r>
      <w:r>
        <w:rPr>
          <w:spacing w:val="29"/>
          <w:w w:val="110"/>
        </w:rPr>
        <w:t> </w:t>
      </w:r>
      <w:r>
        <w:rPr>
          <w:w w:val="110"/>
        </w:rPr>
        <w:t>límites.</w:t>
      </w:r>
    </w:p>
    <w:p>
      <w:pPr>
        <w:pStyle w:val="BodyText"/>
        <w:spacing w:line="252" w:lineRule="auto"/>
        <w:ind w:left="100" w:right="327" w:firstLine="396"/>
        <w:jc w:val="both"/>
      </w:pPr>
      <w:r>
        <w:rPr>
          <w:w w:val="110"/>
        </w:rPr>
        <w:t>Contradictoriamente a ese poderío, su posición dominante en el terreno político o económico global no ha sido idéntica. Hay una ten- dencia, aunque no sea por ahora de perfiles dominantes, a encarar los asuntos internacionales desde el reconocimiento de la multipolaridad o un orden policéntrico. Contribuye a esto la propensión a tratar al- gunos temas de la agenda internacional desde el multilateralismo. En el terreno de su poderío económico global no se constata una forta- leza proporcional a su capacidad coercitiva. En esta competencia su preponderancia es mucho menor. Esa desproporción que erosiona su hegemonía se ve afectada por el proceso de creación de un portentoso mercado capitalista, con centros comerciales y financieros interconec- tados, cuya dinámica reordena el sistema global con la emergencia de referentes económicos de considerable peso gravitacional.</w:t>
      </w:r>
    </w:p>
    <w:p>
      <w:pPr>
        <w:pStyle w:val="BodyText"/>
        <w:spacing w:line="252" w:lineRule="auto"/>
        <w:ind w:left="100" w:right="327" w:firstLine="396"/>
        <w:jc w:val="both"/>
      </w:pPr>
      <w:r>
        <w:rPr>
          <w:w w:val="110"/>
        </w:rPr>
        <w:t>Cada segmento de esta  globalidad,  en  efecto,  ha  ido  mostran- do distinta consistencia y capacidad en los diferentes ámbitos de las </w:t>
      </w:r>
      <w:r>
        <w:rPr>
          <w:w w:val="109"/>
        </w:rPr>
        <w:t>relaciones</w:t>
      </w:r>
      <w:r>
        <w:rPr/>
        <w:t> </w:t>
      </w:r>
      <w:r>
        <w:rPr>
          <w:spacing w:val="-21"/>
        </w:rPr>
        <w:t> </w:t>
      </w:r>
      <w:r>
        <w:rPr>
          <w:w w:val="110"/>
        </w:rPr>
        <w:t>internacionales</w:t>
      </w:r>
      <w:r>
        <w:rPr/>
        <w:t> </w:t>
      </w:r>
      <w:r>
        <w:rPr>
          <w:spacing w:val="-21"/>
        </w:rPr>
        <w:t> </w:t>
      </w:r>
      <w:r>
        <w:rPr>
          <w:w w:val="107"/>
        </w:rPr>
        <w:t>de</w:t>
      </w:r>
      <w:r>
        <w:rPr/>
        <w:t> </w:t>
      </w:r>
      <w:r>
        <w:rPr>
          <w:spacing w:val="-21"/>
        </w:rPr>
        <w:t> </w:t>
      </w:r>
      <w:r>
        <w:rPr>
          <w:w w:val="108"/>
        </w:rPr>
        <w:t>pode</w:t>
      </w:r>
      <w:r>
        <w:rPr>
          <w:spacing w:val="-21"/>
          <w:w w:val="105"/>
        </w:rPr>
        <w:t>r</w:t>
      </w:r>
      <w:r>
        <w:rPr>
          <w:w w:val="138"/>
        </w:rPr>
        <w:t>.</w:t>
      </w:r>
      <w:r>
        <w:rPr/>
        <w:t> </w:t>
      </w:r>
      <w:r>
        <w:rPr>
          <w:spacing w:val="-21"/>
        </w:rPr>
        <w:t> </w:t>
      </w:r>
      <w:r>
        <w:rPr>
          <w:w w:val="243"/>
        </w:rPr>
        <w:t>l</w:t>
      </w:r>
      <w:r>
        <w:rPr>
          <w:w w:val="112"/>
        </w:rPr>
        <w:t>a</w:t>
      </w:r>
      <w:r>
        <w:rPr/>
        <w:t> </w:t>
      </w:r>
      <w:r>
        <w:rPr>
          <w:spacing w:val="-21"/>
        </w:rPr>
        <w:t> </w:t>
      </w:r>
      <w:r>
        <w:rPr>
          <w:w w:val="109"/>
        </w:rPr>
        <w:t>expansión</w:t>
      </w:r>
      <w:r>
        <w:rPr/>
        <w:t> </w:t>
      </w:r>
      <w:r>
        <w:rPr>
          <w:spacing w:val="-21"/>
        </w:rPr>
        <w:t> </w:t>
      </w:r>
      <w:r>
        <w:rPr>
          <w:w w:val="107"/>
        </w:rPr>
        <w:t>de</w:t>
      </w:r>
      <w:r>
        <w:rPr/>
        <w:t> </w:t>
      </w:r>
      <w:r>
        <w:rPr>
          <w:spacing w:val="-21"/>
        </w:rPr>
        <w:t> </w:t>
      </w:r>
      <w:r>
        <w:rPr>
          <w:w w:val="109"/>
        </w:rPr>
        <w:t>las</w:t>
      </w:r>
      <w:r>
        <w:rPr/>
        <w:t> </w:t>
      </w:r>
      <w:r>
        <w:rPr>
          <w:spacing w:val="-21"/>
        </w:rPr>
        <w:t> </w:t>
      </w:r>
      <w:r>
        <w:rPr>
          <w:w w:val="110"/>
        </w:rPr>
        <w:t>transnacio</w:t>
      </w:r>
      <w:r>
        <w:rPr>
          <w:w w:val="102"/>
        </w:rPr>
        <w:t>- </w:t>
      </w:r>
      <w:r>
        <w:rPr>
          <w:w w:val="110"/>
        </w:rPr>
        <w:t>nales en sus interconexiones, fusiones y mecanismos de adquisición, tras el ocaso del proteccionismo y la liberación de las trabas para el movimiento de capital y de todas las mercancías rentables, fueron articulando mercados en complejos procesos de integración y com- petencia, impulsando a su turno interdependencias, reproduciendo todo tipo de asimetrías e impulsando eslabonamientos productivos     y comerciales globales que sobrepasan al liderazgo exclusivo de la economía norteamericana. una verdadera “aldea global” como se hubiera imaginado Marx, cuyos niveles de interconexión desarrollan una competencia que le imprime mayores dificultades a la capacidad estadounidense para conservar y reproducir las condiciones de su po- sición hegemónica, tanto entre las economías del capitalismo desa- rrollado como en sus vínculos con las economías de la periferia. un lado vulnerable de este formidable proceso constituye la crisis que se expresa en el desarrollo mismo del sistema mundial (Caputo, 2010). su expresión financiera, como crisis de la regulación, no es más que uno de sus</w:t>
      </w:r>
      <w:r>
        <w:rPr>
          <w:spacing w:val="39"/>
          <w:w w:val="110"/>
        </w:rPr>
        <w:t> </w:t>
      </w:r>
      <w:r>
        <w:rPr>
          <w:w w:val="110"/>
        </w:rPr>
        <w:t>síntomas.</w:t>
      </w:r>
    </w:p>
    <w:p>
      <w:pPr>
        <w:pStyle w:val="BodyText"/>
        <w:spacing w:line="252" w:lineRule="auto"/>
        <w:ind w:left="100" w:right="328" w:firstLine="396"/>
        <w:jc w:val="both"/>
      </w:pPr>
      <w:r>
        <w:rPr>
          <w:w w:val="110"/>
        </w:rPr>
        <w:t>Puede ser cierto que la economía estadounidense, aunque crezca, ya no tenga el peso que logró mantener a la cabeza del sistema capi- talista global. sin embargo, frente a la crisis del capitalismo actual no es posible plantear un contrapeso sistémico, es </w:t>
      </w:r>
      <w:r>
        <w:rPr>
          <w:spacing w:val="-4"/>
          <w:w w:val="110"/>
        </w:rPr>
        <w:t>decir, </w:t>
      </w:r>
      <w:r>
        <w:rPr>
          <w:w w:val="110"/>
        </w:rPr>
        <w:t>una    alternativa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sustancialmente diferente. si esto es así y aunque la crisis afecta agu- damente dimensiones planetarias y civilizatorias, no resulta verosímil hablar de una crisis terminal. al respecto asistimos a un debate que sigue su curso como las mismas señales asociadas a la crisis (dierckx- sens, 2011; robinson, 2013; Castillo y Gandásegui,  2012).</w:t>
      </w:r>
    </w:p>
    <w:p>
      <w:pPr>
        <w:pStyle w:val="BodyText"/>
        <w:spacing w:line="252" w:lineRule="auto"/>
        <w:ind w:left="330" w:right="117" w:firstLine="396"/>
        <w:jc w:val="both"/>
      </w:pPr>
      <w:r>
        <w:rPr>
          <w:w w:val="110"/>
        </w:rPr>
        <w:t>dentro de este dinámico encuadre la tesis en favor de un orden multipolar y el cuestionamiento de la hegemonía norteamericana son referentes del debate político actual. El proceso de reacomodo en la correlación mundial de fuerzas con su centro de gravitación en el at- lántico se encuentra experimentando un giro en su orientación con movimientos de traslación hacia el Pacífico. En este complejo juego  de reacomodos en curso hay que estudiar mejor la política estadouni- dense, tanto la exterior como la de seguridad. una variante que no hay que</w:t>
      </w:r>
      <w:r>
        <w:rPr>
          <w:spacing w:val="-5"/>
          <w:w w:val="110"/>
        </w:rPr>
        <w:t> </w:t>
      </w:r>
      <w:r>
        <w:rPr>
          <w:w w:val="110"/>
        </w:rPr>
        <w:t>descartar</w:t>
      </w:r>
      <w:r>
        <w:rPr>
          <w:spacing w:val="-5"/>
          <w:w w:val="110"/>
        </w:rPr>
        <w:t> </w:t>
      </w:r>
      <w:r>
        <w:rPr>
          <w:w w:val="110"/>
        </w:rPr>
        <w:t>estriba</w:t>
      </w:r>
      <w:r>
        <w:rPr>
          <w:spacing w:val="-5"/>
          <w:w w:val="110"/>
        </w:rPr>
        <w:t> </w:t>
      </w:r>
      <w:r>
        <w:rPr>
          <w:w w:val="110"/>
        </w:rPr>
        <w:t>en</w:t>
      </w:r>
      <w:r>
        <w:rPr>
          <w:spacing w:val="-5"/>
          <w:w w:val="110"/>
        </w:rPr>
        <w:t> </w:t>
      </w:r>
      <w:r>
        <w:rPr>
          <w:w w:val="110"/>
        </w:rPr>
        <w:t>que</w:t>
      </w:r>
      <w:r>
        <w:rPr>
          <w:spacing w:val="-5"/>
          <w:w w:val="110"/>
        </w:rPr>
        <w:t> </w:t>
      </w:r>
      <w:r>
        <w:rPr>
          <w:w w:val="110"/>
        </w:rPr>
        <w:t>su</w:t>
      </w:r>
      <w:r>
        <w:rPr>
          <w:spacing w:val="-5"/>
          <w:w w:val="110"/>
        </w:rPr>
        <w:t> </w:t>
      </w:r>
      <w:r>
        <w:rPr>
          <w:w w:val="110"/>
        </w:rPr>
        <w:t>política</w:t>
      </w:r>
      <w:r>
        <w:rPr>
          <w:spacing w:val="-5"/>
          <w:w w:val="110"/>
        </w:rPr>
        <w:t> </w:t>
      </w:r>
      <w:r>
        <w:rPr>
          <w:w w:val="110"/>
        </w:rPr>
        <w:t>sea</w:t>
      </w:r>
      <w:r>
        <w:rPr>
          <w:spacing w:val="-5"/>
          <w:w w:val="110"/>
        </w:rPr>
        <w:t> </w:t>
      </w:r>
      <w:r>
        <w:rPr>
          <w:w w:val="110"/>
        </w:rPr>
        <w:t>enfocada</w:t>
      </w:r>
      <w:r>
        <w:rPr>
          <w:spacing w:val="-5"/>
          <w:w w:val="110"/>
        </w:rPr>
        <w:t> </w:t>
      </w:r>
      <w:r>
        <w:rPr>
          <w:w w:val="110"/>
        </w:rPr>
        <w:t>primordialmente a evitar el surgimiento de contrincantes o fuerzas inter-hegemónicas que en su desarrollo le disputen el liderazgo global. Es aquí donde   hay que valorar –sin absolutizar– la importancia específica de la su- premacía militar y de la contribución que a su vez aporta a la renta imperial </w:t>
      </w:r>
      <w:r>
        <w:rPr>
          <w:spacing w:val="-11"/>
          <w:w w:val="110"/>
        </w:rPr>
        <w:t>y, </w:t>
      </w:r>
      <w:r>
        <w:rPr>
          <w:w w:val="110"/>
        </w:rPr>
        <w:t>consecuentemente, al sistema como totalidad el complejo industrial-financiero-militar (Morales domínguez, </w:t>
      </w:r>
      <w:r>
        <w:rPr>
          <w:spacing w:val="3"/>
          <w:w w:val="110"/>
        </w:rPr>
        <w:t> </w:t>
      </w:r>
      <w:r>
        <w:rPr>
          <w:w w:val="110"/>
        </w:rPr>
        <w:t>2008).</w:t>
      </w:r>
    </w:p>
    <w:p>
      <w:pPr>
        <w:pStyle w:val="BodyText"/>
        <w:spacing w:line="252" w:lineRule="auto"/>
        <w:ind w:left="330" w:right="117" w:firstLine="396"/>
        <w:jc w:val="both"/>
      </w:pPr>
      <w:r>
        <w:rPr>
          <w:w w:val="110"/>
        </w:rPr>
        <w:t>En los agudos períodos de crisis, como el actual que se desató     en 2008 y que sigue su curso, ningún criterio extra-sistémico </w:t>
      </w:r>
      <w:r>
        <w:rPr>
          <w:spacing w:val="-3"/>
          <w:w w:val="110"/>
        </w:rPr>
        <w:t>alter- </w:t>
      </w:r>
      <w:r>
        <w:rPr>
          <w:w w:val="110"/>
        </w:rPr>
        <w:t>nativo le ha impuesto una modificación a la agenda de los poderes   del capitalismo. a pesar de la profundidad de la crisis, las propuestas para encararla son enteramente coherentes con las necesidades de la reproducción del sistema capitalista. aun reconociendo la situación  de colapso que envuelve a la economía capitalista, especialmente en sus centros neurálgicos, todo ello resulta insuficiente para plantear  un cambio sustantivo si no va acompañado de un proceso donde las contradicciones engendradas por el sistema tengan un correlato en el ámbito de las luchas sociales y políticas y consecuentemente se desa- rrolle la fuerza acumulada y articulada para encarar de manera anti- sistémica</w:t>
      </w:r>
      <w:r>
        <w:rPr>
          <w:spacing w:val="-7"/>
          <w:w w:val="110"/>
        </w:rPr>
        <w:t> </w:t>
      </w:r>
      <w:r>
        <w:rPr>
          <w:w w:val="110"/>
        </w:rPr>
        <w:t>la</w:t>
      </w:r>
      <w:r>
        <w:rPr>
          <w:spacing w:val="-7"/>
          <w:w w:val="110"/>
        </w:rPr>
        <w:t> </w:t>
      </w:r>
      <w:r>
        <w:rPr>
          <w:w w:val="110"/>
        </w:rPr>
        <w:t>crisis.</w:t>
      </w:r>
      <w:r>
        <w:rPr>
          <w:spacing w:val="-7"/>
          <w:w w:val="110"/>
        </w:rPr>
        <w:t> </w:t>
      </w:r>
      <w:r>
        <w:rPr>
          <w:w w:val="110"/>
        </w:rPr>
        <w:t>Por</w:t>
      </w:r>
      <w:r>
        <w:rPr>
          <w:spacing w:val="-7"/>
          <w:w w:val="110"/>
        </w:rPr>
        <w:t> </w:t>
      </w:r>
      <w:r>
        <w:rPr>
          <w:w w:val="110"/>
        </w:rPr>
        <w:t>nuestra</w:t>
      </w:r>
      <w:r>
        <w:rPr>
          <w:spacing w:val="-7"/>
          <w:w w:val="110"/>
        </w:rPr>
        <w:t> </w:t>
      </w:r>
      <w:r>
        <w:rPr>
          <w:w w:val="110"/>
        </w:rPr>
        <w:t>parte,</w:t>
      </w:r>
      <w:r>
        <w:rPr>
          <w:spacing w:val="-7"/>
          <w:w w:val="110"/>
        </w:rPr>
        <w:t> </w:t>
      </w:r>
      <w:r>
        <w:rPr>
          <w:w w:val="110"/>
        </w:rPr>
        <w:t>y</w:t>
      </w:r>
      <w:r>
        <w:rPr>
          <w:spacing w:val="-7"/>
          <w:w w:val="110"/>
        </w:rPr>
        <w:t> </w:t>
      </w:r>
      <w:r>
        <w:rPr>
          <w:w w:val="110"/>
        </w:rPr>
        <w:t>sin</w:t>
      </w:r>
      <w:r>
        <w:rPr>
          <w:spacing w:val="-7"/>
          <w:w w:val="110"/>
        </w:rPr>
        <w:t> </w:t>
      </w:r>
      <w:r>
        <w:rPr>
          <w:w w:val="110"/>
        </w:rPr>
        <w:t>dejar</w:t>
      </w:r>
      <w:r>
        <w:rPr>
          <w:spacing w:val="-7"/>
          <w:w w:val="110"/>
        </w:rPr>
        <w:t> </w:t>
      </w:r>
      <w:r>
        <w:rPr>
          <w:w w:val="110"/>
        </w:rPr>
        <w:t>de</w:t>
      </w:r>
      <w:r>
        <w:rPr>
          <w:spacing w:val="-7"/>
          <w:w w:val="110"/>
        </w:rPr>
        <w:t> </w:t>
      </w:r>
      <w:r>
        <w:rPr>
          <w:w w:val="110"/>
        </w:rPr>
        <w:t>valorar</w:t>
      </w:r>
      <w:r>
        <w:rPr>
          <w:spacing w:val="-7"/>
          <w:w w:val="110"/>
        </w:rPr>
        <w:t> </w:t>
      </w:r>
      <w:r>
        <w:rPr>
          <w:w w:val="110"/>
        </w:rPr>
        <w:t>las</w:t>
      </w:r>
      <w:r>
        <w:rPr>
          <w:spacing w:val="-7"/>
          <w:w w:val="110"/>
        </w:rPr>
        <w:t> </w:t>
      </w:r>
      <w:r>
        <w:rPr>
          <w:w w:val="110"/>
        </w:rPr>
        <w:t>respues- tas de proyectos electoralmente triunfantes como en Grecia y desde una lectura latinoamericana, tendremos que subrayar la importancia de preguntarnos acerca de la solidez de los referentes sobre los cua- les descansa la capacidad hegemónica estadounidense en un contexto de crisis, incluyendo su poderío mediático, la eficacia de sus ajustes políticos y el peso alternativo de las tendencias</w:t>
      </w:r>
      <w:r>
        <w:rPr>
          <w:spacing w:val="45"/>
          <w:w w:val="110"/>
        </w:rPr>
        <w:t> </w:t>
      </w:r>
      <w:r>
        <w:rPr>
          <w:w w:val="110"/>
        </w:rPr>
        <w:t>contra-hegemónicas.</w:t>
      </w:r>
    </w:p>
    <w:p>
      <w:pPr>
        <w:pStyle w:val="BodyText"/>
        <w:spacing w:line="252" w:lineRule="auto"/>
        <w:ind w:left="330" w:right="116" w:firstLine="396"/>
        <w:jc w:val="both"/>
      </w:pPr>
      <w:r>
        <w:rPr>
          <w:w w:val="110"/>
        </w:rPr>
        <w:t>En el marco de estas consideraciones, propias de un debate en curso, lo que queda fuera de toda duda es la supremacía militar de EE.uu. si el problema en la balanza de fuerzas a nivel global se definiera solamente a partir de ese poderío, tendría completamen-</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6"/>
        <w:jc w:val="both"/>
      </w:pPr>
      <w:r>
        <w:rPr>
          <w:w w:val="115"/>
        </w:rPr>
        <w:t>te el sartén por el mango. sin embargo, como está visto, esa supe- rioridad no le reditúa necesariamente victorias políticas. Es más,   lo que consigue configurar en términos de escenarios no le resulta </w:t>
      </w:r>
      <w:r>
        <w:rPr>
          <w:spacing w:val="1"/>
          <w:w w:val="110"/>
        </w:rPr>
        <w:t>globalment</w:t>
      </w:r>
      <w:r>
        <w:rPr>
          <w:w w:val="110"/>
        </w:rPr>
        <w:t>e</w:t>
      </w:r>
      <w:r>
        <w:rPr/>
        <w:t> </w:t>
      </w:r>
      <w:r>
        <w:rPr>
          <w:spacing w:val="-19"/>
        </w:rPr>
        <w:t> </w:t>
      </w:r>
      <w:r>
        <w:rPr>
          <w:spacing w:val="1"/>
          <w:w w:val="110"/>
        </w:rPr>
        <w:t>favorable</w:t>
      </w:r>
      <w:r>
        <w:rPr>
          <w:w w:val="110"/>
        </w:rPr>
        <w:t>.</w:t>
      </w:r>
      <w:r>
        <w:rPr/>
        <w:t> </w:t>
      </w:r>
      <w:r>
        <w:rPr>
          <w:spacing w:val="-19"/>
        </w:rPr>
        <w:t> </w:t>
      </w:r>
      <w:r>
        <w:rPr>
          <w:spacing w:val="1"/>
          <w:w w:val="243"/>
        </w:rPr>
        <w:t>l</w:t>
      </w:r>
      <w:r>
        <w:rPr>
          <w:spacing w:val="1"/>
          <w:w w:val="108"/>
        </w:rPr>
        <w:t>o</w:t>
      </w:r>
      <w:r>
        <w:rPr>
          <w:w w:val="108"/>
        </w:rPr>
        <w:t>s</w:t>
      </w:r>
      <w:r>
        <w:rPr/>
        <w:t> </w:t>
      </w:r>
      <w:r>
        <w:rPr>
          <w:spacing w:val="-19"/>
        </w:rPr>
        <w:t> </w:t>
      </w:r>
      <w:r>
        <w:rPr>
          <w:spacing w:val="1"/>
          <w:w w:val="106"/>
        </w:rPr>
        <w:t>referente</w:t>
      </w:r>
      <w:r>
        <w:rPr>
          <w:w w:val="106"/>
        </w:rPr>
        <w:t>s</w:t>
      </w:r>
      <w:r>
        <w:rPr/>
        <w:t> </w:t>
      </w:r>
      <w:r>
        <w:rPr>
          <w:spacing w:val="-19"/>
        </w:rPr>
        <w:t> </w:t>
      </w:r>
      <w:r>
        <w:rPr>
          <w:spacing w:val="1"/>
          <w:w w:val="109"/>
        </w:rPr>
        <w:t>disponible</w:t>
      </w:r>
      <w:r>
        <w:rPr>
          <w:w w:val="109"/>
        </w:rPr>
        <w:t>s</w:t>
      </w:r>
      <w:r>
        <w:rPr/>
        <w:t> </w:t>
      </w:r>
      <w:r>
        <w:rPr>
          <w:spacing w:val="-19"/>
        </w:rPr>
        <w:t> </w:t>
      </w:r>
      <w:r>
        <w:rPr>
          <w:spacing w:val="1"/>
          <w:w w:val="109"/>
        </w:rPr>
        <w:t>proyecta</w:t>
      </w:r>
      <w:r>
        <w:rPr>
          <w:w w:val="109"/>
        </w:rPr>
        <w:t>n</w:t>
      </w:r>
      <w:r>
        <w:rPr/>
        <w:t> </w:t>
      </w:r>
      <w:r>
        <w:rPr>
          <w:spacing w:val="-19"/>
        </w:rPr>
        <w:t> </w:t>
      </w:r>
      <w:r>
        <w:rPr>
          <w:spacing w:val="1"/>
          <w:w w:val="111"/>
        </w:rPr>
        <w:t>l</w:t>
      </w:r>
      <w:r>
        <w:rPr>
          <w:w w:val="111"/>
        </w:rPr>
        <w:t>a</w:t>
      </w:r>
      <w:r>
        <w:rPr/>
        <w:t> </w:t>
      </w:r>
      <w:r>
        <w:rPr>
          <w:spacing w:val="-19"/>
        </w:rPr>
        <w:t> </w:t>
      </w:r>
      <w:r>
        <w:rPr>
          <w:spacing w:val="1"/>
          <w:w w:val="109"/>
        </w:rPr>
        <w:t>idea </w:t>
      </w:r>
      <w:r>
        <w:rPr>
          <w:w w:val="115"/>
        </w:rPr>
        <w:t>de que todo lo que ha venido realizando en Medio oriente, ejem- plo</w:t>
      </w:r>
      <w:r>
        <w:rPr>
          <w:spacing w:val="-9"/>
          <w:w w:val="115"/>
        </w:rPr>
        <w:t> </w:t>
      </w:r>
      <w:r>
        <w:rPr>
          <w:w w:val="115"/>
        </w:rPr>
        <w:t>paradigmático</w:t>
      </w:r>
      <w:r>
        <w:rPr>
          <w:spacing w:val="-9"/>
          <w:w w:val="115"/>
        </w:rPr>
        <w:t> </w:t>
      </w:r>
      <w:r>
        <w:rPr>
          <w:w w:val="115"/>
        </w:rPr>
        <w:t>de</w:t>
      </w:r>
      <w:r>
        <w:rPr>
          <w:spacing w:val="-9"/>
          <w:w w:val="115"/>
        </w:rPr>
        <w:t> </w:t>
      </w:r>
      <w:r>
        <w:rPr>
          <w:w w:val="115"/>
        </w:rPr>
        <w:t>los</w:t>
      </w:r>
      <w:r>
        <w:rPr>
          <w:spacing w:val="-9"/>
          <w:w w:val="115"/>
        </w:rPr>
        <w:t> </w:t>
      </w:r>
      <w:r>
        <w:rPr>
          <w:w w:val="115"/>
        </w:rPr>
        <w:t>alcances</w:t>
      </w:r>
      <w:r>
        <w:rPr>
          <w:spacing w:val="-9"/>
          <w:w w:val="115"/>
        </w:rPr>
        <w:t> </w:t>
      </w:r>
      <w:r>
        <w:rPr>
          <w:w w:val="115"/>
        </w:rPr>
        <w:t>de</w:t>
      </w:r>
      <w:r>
        <w:rPr>
          <w:spacing w:val="-9"/>
          <w:w w:val="115"/>
        </w:rPr>
        <w:t> </w:t>
      </w:r>
      <w:r>
        <w:rPr>
          <w:w w:val="115"/>
        </w:rPr>
        <w:t>su</w:t>
      </w:r>
      <w:r>
        <w:rPr>
          <w:spacing w:val="-9"/>
          <w:w w:val="115"/>
        </w:rPr>
        <w:t> </w:t>
      </w:r>
      <w:r>
        <w:rPr>
          <w:w w:val="115"/>
        </w:rPr>
        <w:t>proceder,</w:t>
      </w:r>
      <w:r>
        <w:rPr>
          <w:spacing w:val="-9"/>
          <w:w w:val="115"/>
        </w:rPr>
        <w:t> </w:t>
      </w:r>
      <w:r>
        <w:rPr>
          <w:w w:val="115"/>
        </w:rPr>
        <w:t>no</w:t>
      </w:r>
      <w:r>
        <w:rPr>
          <w:spacing w:val="-9"/>
          <w:w w:val="115"/>
        </w:rPr>
        <w:t> </w:t>
      </w:r>
      <w:r>
        <w:rPr>
          <w:w w:val="115"/>
        </w:rPr>
        <w:t>logra</w:t>
      </w:r>
      <w:r>
        <w:rPr>
          <w:spacing w:val="-9"/>
          <w:w w:val="115"/>
        </w:rPr>
        <w:t> </w:t>
      </w:r>
      <w:r>
        <w:rPr>
          <w:w w:val="115"/>
        </w:rPr>
        <w:t>traducir- se en un verdadero control sobre la situación política. No obstante sus operaciones militares en la zona, el escenario político que logra conformar le resulta profundamente adversos. Promueven unilate- ralmente</w:t>
      </w:r>
      <w:r>
        <w:rPr>
          <w:spacing w:val="-10"/>
          <w:w w:val="115"/>
        </w:rPr>
        <w:t> </w:t>
      </w:r>
      <w:r>
        <w:rPr>
          <w:w w:val="115"/>
        </w:rPr>
        <w:t>guerras</w:t>
      </w:r>
      <w:r>
        <w:rPr>
          <w:spacing w:val="-10"/>
          <w:w w:val="115"/>
        </w:rPr>
        <w:t> </w:t>
      </w:r>
      <w:r>
        <w:rPr>
          <w:w w:val="115"/>
        </w:rPr>
        <w:t>que</w:t>
      </w:r>
      <w:r>
        <w:rPr>
          <w:spacing w:val="-10"/>
          <w:w w:val="115"/>
        </w:rPr>
        <w:t> </w:t>
      </w:r>
      <w:r>
        <w:rPr>
          <w:w w:val="115"/>
        </w:rPr>
        <w:t>no</w:t>
      </w:r>
      <w:r>
        <w:rPr>
          <w:spacing w:val="-10"/>
          <w:w w:val="115"/>
        </w:rPr>
        <w:t> </w:t>
      </w:r>
      <w:r>
        <w:rPr>
          <w:w w:val="115"/>
        </w:rPr>
        <w:t>pueden</w:t>
      </w:r>
      <w:r>
        <w:rPr>
          <w:spacing w:val="-10"/>
          <w:w w:val="115"/>
        </w:rPr>
        <w:t> </w:t>
      </w:r>
      <w:r>
        <w:rPr>
          <w:spacing w:val="-3"/>
          <w:w w:val="115"/>
        </w:rPr>
        <w:t>ganar.</w:t>
      </w:r>
      <w:r>
        <w:rPr>
          <w:spacing w:val="-10"/>
          <w:w w:val="115"/>
        </w:rPr>
        <w:t> </w:t>
      </w:r>
      <w:r>
        <w:rPr>
          <w:w w:val="115"/>
        </w:rPr>
        <w:t>allí</w:t>
      </w:r>
      <w:r>
        <w:rPr>
          <w:spacing w:val="-10"/>
          <w:w w:val="115"/>
        </w:rPr>
        <w:t> </w:t>
      </w:r>
      <w:r>
        <w:rPr>
          <w:w w:val="115"/>
        </w:rPr>
        <w:t>donde</w:t>
      </w:r>
      <w:r>
        <w:rPr>
          <w:spacing w:val="-10"/>
          <w:w w:val="115"/>
        </w:rPr>
        <w:t> </w:t>
      </w:r>
      <w:r>
        <w:rPr>
          <w:w w:val="115"/>
        </w:rPr>
        <w:t>el</w:t>
      </w:r>
      <w:r>
        <w:rPr>
          <w:spacing w:val="-10"/>
          <w:w w:val="115"/>
        </w:rPr>
        <w:t> </w:t>
      </w:r>
      <w:r>
        <w:rPr>
          <w:w w:val="115"/>
        </w:rPr>
        <w:t>fundamentalis- mo</w:t>
      </w:r>
      <w:r>
        <w:rPr>
          <w:spacing w:val="-16"/>
          <w:w w:val="115"/>
        </w:rPr>
        <w:t> </w:t>
      </w:r>
      <w:r>
        <w:rPr>
          <w:w w:val="115"/>
        </w:rPr>
        <w:t>de</w:t>
      </w:r>
      <w:r>
        <w:rPr>
          <w:spacing w:val="-16"/>
          <w:w w:val="115"/>
        </w:rPr>
        <w:t> </w:t>
      </w:r>
      <w:r>
        <w:rPr>
          <w:w w:val="115"/>
        </w:rPr>
        <w:t>raigambre</w:t>
      </w:r>
      <w:r>
        <w:rPr>
          <w:spacing w:val="-16"/>
          <w:w w:val="115"/>
        </w:rPr>
        <w:t> </w:t>
      </w:r>
      <w:r>
        <w:rPr>
          <w:w w:val="115"/>
        </w:rPr>
        <w:t>islámica,</w:t>
      </w:r>
      <w:r>
        <w:rPr>
          <w:spacing w:val="-16"/>
          <w:w w:val="115"/>
        </w:rPr>
        <w:t> </w:t>
      </w:r>
      <w:r>
        <w:rPr>
          <w:w w:val="115"/>
        </w:rPr>
        <w:t>coadyuvado</w:t>
      </w:r>
      <w:r>
        <w:rPr>
          <w:spacing w:val="-16"/>
          <w:w w:val="115"/>
        </w:rPr>
        <w:t> </w:t>
      </w:r>
      <w:r>
        <w:rPr>
          <w:w w:val="115"/>
        </w:rPr>
        <w:t>antes</w:t>
      </w:r>
      <w:r>
        <w:rPr>
          <w:spacing w:val="-16"/>
          <w:w w:val="115"/>
        </w:rPr>
        <w:t> </w:t>
      </w:r>
      <w:r>
        <w:rPr>
          <w:w w:val="115"/>
        </w:rPr>
        <w:t>por</w:t>
      </w:r>
      <w:r>
        <w:rPr>
          <w:spacing w:val="-16"/>
          <w:w w:val="115"/>
        </w:rPr>
        <w:t> </w:t>
      </w:r>
      <w:r>
        <w:rPr>
          <w:w w:val="115"/>
        </w:rPr>
        <w:t>recursos</w:t>
      </w:r>
      <w:r>
        <w:rPr>
          <w:spacing w:val="-16"/>
          <w:w w:val="115"/>
        </w:rPr>
        <w:t> </w:t>
      </w:r>
      <w:r>
        <w:rPr>
          <w:w w:val="115"/>
        </w:rPr>
        <w:t>del</w:t>
      </w:r>
      <w:r>
        <w:rPr>
          <w:spacing w:val="-16"/>
          <w:w w:val="115"/>
        </w:rPr>
        <w:t> </w:t>
      </w:r>
      <w:r>
        <w:rPr>
          <w:w w:val="115"/>
        </w:rPr>
        <w:t>poder estadounidense desplegados en la zona para enfrentar a la otrora unión soviética que ocupó, como se sabe, afganistán, actualmente amenaza</w:t>
      </w:r>
      <w:r>
        <w:rPr>
          <w:spacing w:val="-12"/>
          <w:w w:val="115"/>
        </w:rPr>
        <w:t> </w:t>
      </w:r>
      <w:r>
        <w:rPr>
          <w:w w:val="115"/>
        </w:rPr>
        <w:t>a</w:t>
      </w:r>
      <w:r>
        <w:rPr>
          <w:spacing w:val="-12"/>
          <w:w w:val="115"/>
        </w:rPr>
        <w:t> </w:t>
      </w:r>
      <w:r>
        <w:rPr>
          <w:w w:val="115"/>
        </w:rPr>
        <w:t>los</w:t>
      </w:r>
      <w:r>
        <w:rPr>
          <w:spacing w:val="-12"/>
          <w:w w:val="115"/>
        </w:rPr>
        <w:t> </w:t>
      </w:r>
      <w:r>
        <w:rPr>
          <w:w w:val="115"/>
        </w:rPr>
        <w:t>grandes</w:t>
      </w:r>
      <w:r>
        <w:rPr>
          <w:spacing w:val="-12"/>
          <w:w w:val="115"/>
        </w:rPr>
        <w:t> </w:t>
      </w:r>
      <w:r>
        <w:rPr>
          <w:w w:val="115"/>
        </w:rPr>
        <w:t>intereses</w:t>
      </w:r>
      <w:r>
        <w:rPr>
          <w:spacing w:val="-12"/>
          <w:w w:val="115"/>
        </w:rPr>
        <w:t> </w:t>
      </w:r>
      <w:r>
        <w:rPr>
          <w:w w:val="115"/>
        </w:rPr>
        <w:t>de</w:t>
      </w:r>
      <w:r>
        <w:rPr>
          <w:spacing w:val="-12"/>
          <w:w w:val="115"/>
        </w:rPr>
        <w:t> </w:t>
      </w:r>
      <w:r>
        <w:rPr>
          <w:w w:val="115"/>
        </w:rPr>
        <w:t>las</w:t>
      </w:r>
      <w:r>
        <w:rPr>
          <w:spacing w:val="-12"/>
          <w:w w:val="115"/>
        </w:rPr>
        <w:t> </w:t>
      </w:r>
      <w:r>
        <w:rPr>
          <w:w w:val="115"/>
        </w:rPr>
        <w:t>estructuras</w:t>
      </w:r>
      <w:r>
        <w:rPr>
          <w:spacing w:val="-12"/>
          <w:w w:val="115"/>
        </w:rPr>
        <w:t> </w:t>
      </w:r>
      <w:r>
        <w:rPr>
          <w:w w:val="115"/>
        </w:rPr>
        <w:t>monárquicas</w:t>
      </w:r>
      <w:r>
        <w:rPr>
          <w:spacing w:val="-12"/>
          <w:w w:val="115"/>
        </w:rPr>
        <w:t> </w:t>
      </w:r>
      <w:r>
        <w:rPr>
          <w:w w:val="115"/>
        </w:rPr>
        <w:t>pe- troleras pro-norteamericanas de la zona. </w:t>
      </w:r>
      <w:r>
        <w:rPr>
          <w:spacing w:val="-3"/>
          <w:w w:val="115"/>
        </w:rPr>
        <w:t>tanto </w:t>
      </w:r>
      <w:r>
        <w:rPr>
          <w:w w:val="115"/>
        </w:rPr>
        <w:t>el gobierno de irak </w:t>
      </w:r>
      <w:r>
        <w:rPr>
          <w:spacing w:val="1"/>
          <w:w w:val="112"/>
        </w:rPr>
        <w:t>com</w:t>
      </w:r>
      <w:r>
        <w:rPr>
          <w:w w:val="112"/>
        </w:rPr>
        <w:t>o</w:t>
      </w:r>
      <w:r>
        <w:rPr/>
        <w:t> </w:t>
      </w:r>
      <w:r>
        <w:rPr>
          <w:spacing w:val="-19"/>
        </w:rPr>
        <w:t> </w:t>
      </w:r>
      <w:r>
        <w:rPr>
          <w:spacing w:val="1"/>
          <w:w w:val="107"/>
        </w:rPr>
        <w:t>e</w:t>
      </w:r>
      <w:r>
        <w:rPr>
          <w:w w:val="107"/>
        </w:rPr>
        <w:t>l</w:t>
      </w:r>
      <w:r>
        <w:rPr/>
        <w:t> </w:t>
      </w:r>
      <w:r>
        <w:rPr>
          <w:spacing w:val="-19"/>
        </w:rPr>
        <w:t> </w:t>
      </w:r>
      <w:r>
        <w:rPr>
          <w:spacing w:val="1"/>
          <w:w w:val="107"/>
        </w:rPr>
        <w:t>d</w:t>
      </w:r>
      <w:r>
        <w:rPr>
          <w:w w:val="107"/>
        </w:rPr>
        <w:t>e</w:t>
      </w:r>
      <w:r>
        <w:rPr/>
        <w:t> </w:t>
      </w:r>
      <w:r>
        <w:rPr>
          <w:spacing w:val="-19"/>
        </w:rPr>
        <w:t> </w:t>
      </w:r>
      <w:r>
        <w:rPr>
          <w:spacing w:val="1"/>
          <w:w w:val="243"/>
        </w:rPr>
        <w:t>l</w:t>
      </w:r>
      <w:r>
        <w:rPr>
          <w:spacing w:val="1"/>
          <w:w w:val="115"/>
        </w:rPr>
        <w:t>ibia</w:t>
      </w:r>
      <w:r>
        <w:rPr>
          <w:w w:val="115"/>
        </w:rPr>
        <w:t>,</w:t>
      </w:r>
      <w:r>
        <w:rPr/>
        <w:t> </w:t>
      </w:r>
      <w:r>
        <w:rPr>
          <w:spacing w:val="-19"/>
        </w:rPr>
        <w:t> </w:t>
      </w:r>
      <w:r>
        <w:rPr>
          <w:spacing w:val="1"/>
          <w:w w:val="108"/>
        </w:rPr>
        <w:t>ante</w:t>
      </w:r>
      <w:r>
        <w:rPr>
          <w:w w:val="108"/>
        </w:rPr>
        <w:t>s</w:t>
      </w:r>
      <w:r>
        <w:rPr/>
        <w:t> </w:t>
      </w:r>
      <w:r>
        <w:rPr>
          <w:spacing w:val="-19"/>
        </w:rPr>
        <w:t> </w:t>
      </w:r>
      <w:r>
        <w:rPr>
          <w:spacing w:val="1"/>
          <w:w w:val="107"/>
        </w:rPr>
        <w:t>d</w:t>
      </w:r>
      <w:r>
        <w:rPr>
          <w:w w:val="107"/>
        </w:rPr>
        <w:t>e</w:t>
      </w:r>
      <w:r>
        <w:rPr/>
        <w:t> </w:t>
      </w:r>
      <w:r>
        <w:rPr>
          <w:spacing w:val="-19"/>
        </w:rPr>
        <w:t> </w:t>
      </w:r>
      <w:r>
        <w:rPr>
          <w:spacing w:val="1"/>
          <w:w w:val="108"/>
        </w:rPr>
        <w:t>qu</w:t>
      </w:r>
      <w:r>
        <w:rPr>
          <w:w w:val="108"/>
        </w:rPr>
        <w:t>e</w:t>
      </w:r>
      <w:r>
        <w:rPr/>
        <w:t> </w:t>
      </w:r>
      <w:r>
        <w:rPr>
          <w:spacing w:val="-19"/>
        </w:rPr>
        <w:t> </w:t>
      </w:r>
      <w:r>
        <w:rPr>
          <w:spacing w:val="1"/>
          <w:w w:val="110"/>
        </w:rPr>
        <w:t>fuera</w:t>
      </w:r>
      <w:r>
        <w:rPr>
          <w:w w:val="110"/>
        </w:rPr>
        <w:t>n</w:t>
      </w:r>
      <w:r>
        <w:rPr/>
        <w:t> </w:t>
      </w:r>
      <w:r>
        <w:rPr>
          <w:spacing w:val="-19"/>
        </w:rPr>
        <w:t> </w:t>
      </w:r>
      <w:r>
        <w:rPr>
          <w:spacing w:val="1"/>
          <w:w w:val="110"/>
        </w:rPr>
        <w:t>igualment</w:t>
      </w:r>
      <w:r>
        <w:rPr>
          <w:w w:val="110"/>
        </w:rPr>
        <w:t>e</w:t>
      </w:r>
      <w:r>
        <w:rPr/>
        <w:t> </w:t>
      </w:r>
      <w:r>
        <w:rPr>
          <w:spacing w:val="-19"/>
        </w:rPr>
        <w:t> </w:t>
      </w:r>
      <w:r>
        <w:rPr>
          <w:spacing w:val="1"/>
          <w:w w:val="109"/>
        </w:rPr>
        <w:t>invadido</w:t>
      </w:r>
      <w:r>
        <w:rPr>
          <w:w w:val="109"/>
        </w:rPr>
        <w:t>s</w:t>
      </w:r>
      <w:r>
        <w:rPr/>
        <w:t> </w:t>
      </w:r>
      <w:r>
        <w:rPr>
          <w:spacing w:val="-19"/>
        </w:rPr>
        <w:t> </w:t>
      </w:r>
      <w:r>
        <w:rPr>
          <w:spacing w:val="1"/>
          <w:w w:val="110"/>
        </w:rPr>
        <w:t>mant</w:t>
      </w:r>
      <w:r>
        <w:rPr>
          <w:spacing w:val="2"/>
          <w:w w:val="110"/>
        </w:rPr>
        <w:t>e</w:t>
      </w:r>
      <w:r>
        <w:rPr>
          <w:w w:val="102"/>
        </w:rPr>
        <w:t>- </w:t>
      </w:r>
      <w:r>
        <w:rPr>
          <w:w w:val="115"/>
        </w:rPr>
        <w:t>nían –cabe recordar– una posición de resistencia ante los embates de</w:t>
      </w:r>
      <w:r>
        <w:rPr>
          <w:spacing w:val="-8"/>
          <w:w w:val="115"/>
        </w:rPr>
        <w:t> </w:t>
      </w:r>
      <w:r>
        <w:rPr>
          <w:w w:val="115"/>
        </w:rPr>
        <w:t>la</w:t>
      </w:r>
      <w:r>
        <w:rPr>
          <w:spacing w:val="-8"/>
          <w:w w:val="115"/>
        </w:rPr>
        <w:t> </w:t>
      </w:r>
      <w:r>
        <w:rPr>
          <w:w w:val="115"/>
        </w:rPr>
        <w:t>política</w:t>
      </w:r>
      <w:r>
        <w:rPr>
          <w:spacing w:val="-8"/>
          <w:w w:val="115"/>
        </w:rPr>
        <w:t> </w:t>
      </w:r>
      <w:r>
        <w:rPr>
          <w:w w:val="115"/>
        </w:rPr>
        <w:t>exterior</w:t>
      </w:r>
      <w:r>
        <w:rPr>
          <w:spacing w:val="-8"/>
          <w:w w:val="115"/>
        </w:rPr>
        <w:t> </w:t>
      </w:r>
      <w:r>
        <w:rPr>
          <w:w w:val="115"/>
        </w:rPr>
        <w:t>y</w:t>
      </w:r>
      <w:r>
        <w:rPr>
          <w:spacing w:val="-8"/>
          <w:w w:val="115"/>
        </w:rPr>
        <w:t> </w:t>
      </w:r>
      <w:r>
        <w:rPr>
          <w:w w:val="115"/>
        </w:rPr>
        <w:t>de</w:t>
      </w:r>
      <w:r>
        <w:rPr>
          <w:spacing w:val="-8"/>
          <w:w w:val="115"/>
        </w:rPr>
        <w:t> </w:t>
      </w:r>
      <w:r>
        <w:rPr>
          <w:w w:val="115"/>
        </w:rPr>
        <w:t>seguridad</w:t>
      </w:r>
      <w:r>
        <w:rPr>
          <w:spacing w:val="-8"/>
          <w:w w:val="115"/>
        </w:rPr>
        <w:t> </w:t>
      </w:r>
      <w:r>
        <w:rPr>
          <w:w w:val="115"/>
        </w:rPr>
        <w:t>estadounidense,</w:t>
      </w:r>
      <w:r>
        <w:rPr>
          <w:spacing w:val="-8"/>
          <w:w w:val="115"/>
        </w:rPr>
        <w:t> </w:t>
      </w:r>
      <w:r>
        <w:rPr>
          <w:w w:val="115"/>
        </w:rPr>
        <w:t>así</w:t>
      </w:r>
      <w:r>
        <w:rPr>
          <w:spacing w:val="-8"/>
          <w:w w:val="115"/>
        </w:rPr>
        <w:t> </w:t>
      </w:r>
      <w:r>
        <w:rPr>
          <w:w w:val="115"/>
        </w:rPr>
        <w:t>como</w:t>
      </w:r>
      <w:r>
        <w:rPr>
          <w:spacing w:val="-8"/>
          <w:w w:val="115"/>
        </w:rPr>
        <w:t> </w:t>
      </w:r>
      <w:r>
        <w:rPr>
          <w:w w:val="115"/>
        </w:rPr>
        <w:t>ante la política sionista de israel en el Medio oriente. sus invasiones y   la prolongada guerra que le siguen no alcanzan a sembrar siquiera una mínima condición de estabilidad. tampoco le ha significado el logro</w:t>
      </w:r>
      <w:r>
        <w:rPr>
          <w:spacing w:val="-8"/>
          <w:w w:val="115"/>
        </w:rPr>
        <w:t> </w:t>
      </w:r>
      <w:r>
        <w:rPr>
          <w:w w:val="115"/>
        </w:rPr>
        <w:t>de</w:t>
      </w:r>
      <w:r>
        <w:rPr>
          <w:spacing w:val="-8"/>
          <w:w w:val="115"/>
        </w:rPr>
        <w:t> </w:t>
      </w:r>
      <w:r>
        <w:rPr>
          <w:w w:val="115"/>
        </w:rPr>
        <w:t>un</w:t>
      </w:r>
      <w:r>
        <w:rPr>
          <w:spacing w:val="-8"/>
          <w:w w:val="115"/>
        </w:rPr>
        <w:t> </w:t>
      </w:r>
      <w:r>
        <w:rPr>
          <w:w w:val="115"/>
        </w:rPr>
        <w:t>mejor</w:t>
      </w:r>
      <w:r>
        <w:rPr>
          <w:spacing w:val="-8"/>
          <w:w w:val="115"/>
        </w:rPr>
        <w:t> </w:t>
      </w:r>
      <w:r>
        <w:rPr>
          <w:w w:val="115"/>
        </w:rPr>
        <w:t>posicionamiento</w:t>
      </w:r>
      <w:r>
        <w:rPr>
          <w:spacing w:val="-8"/>
          <w:w w:val="115"/>
        </w:rPr>
        <w:t> </w:t>
      </w:r>
      <w:r>
        <w:rPr>
          <w:w w:val="115"/>
        </w:rPr>
        <w:t>frente</w:t>
      </w:r>
      <w:r>
        <w:rPr>
          <w:spacing w:val="-8"/>
          <w:w w:val="115"/>
        </w:rPr>
        <w:t> </w:t>
      </w:r>
      <w:r>
        <w:rPr>
          <w:w w:val="115"/>
        </w:rPr>
        <w:t>al</w:t>
      </w:r>
      <w:r>
        <w:rPr>
          <w:spacing w:val="-8"/>
          <w:w w:val="115"/>
        </w:rPr>
        <w:t> </w:t>
      </w:r>
      <w:r>
        <w:rPr>
          <w:w w:val="115"/>
        </w:rPr>
        <w:t>estratégico</w:t>
      </w:r>
      <w:r>
        <w:rPr>
          <w:spacing w:val="-8"/>
          <w:w w:val="115"/>
        </w:rPr>
        <w:t> </w:t>
      </w:r>
      <w:r>
        <w:rPr>
          <w:w w:val="115"/>
        </w:rPr>
        <w:t>recurso</w:t>
      </w:r>
      <w:r>
        <w:rPr>
          <w:spacing w:val="-8"/>
          <w:w w:val="115"/>
        </w:rPr>
        <w:t> </w:t>
      </w:r>
      <w:r>
        <w:rPr>
          <w:w w:val="115"/>
        </w:rPr>
        <w:t>pe- trolero.</w:t>
      </w:r>
      <w:r>
        <w:rPr>
          <w:spacing w:val="-22"/>
          <w:w w:val="115"/>
        </w:rPr>
        <w:t> </w:t>
      </w:r>
      <w:r>
        <w:rPr>
          <w:w w:val="115"/>
        </w:rPr>
        <w:t>importante</w:t>
      </w:r>
      <w:r>
        <w:rPr>
          <w:spacing w:val="-22"/>
          <w:w w:val="115"/>
        </w:rPr>
        <w:t> </w:t>
      </w:r>
      <w:r>
        <w:rPr>
          <w:w w:val="115"/>
        </w:rPr>
        <w:t>diagnóstico,</w:t>
      </w:r>
      <w:r>
        <w:rPr>
          <w:spacing w:val="-22"/>
          <w:w w:val="115"/>
        </w:rPr>
        <w:t> </w:t>
      </w:r>
      <w:r>
        <w:rPr>
          <w:w w:val="115"/>
        </w:rPr>
        <w:t>si</w:t>
      </w:r>
      <w:r>
        <w:rPr>
          <w:spacing w:val="-22"/>
          <w:w w:val="115"/>
        </w:rPr>
        <w:t> </w:t>
      </w:r>
      <w:r>
        <w:rPr>
          <w:w w:val="115"/>
        </w:rPr>
        <w:t>se</w:t>
      </w:r>
      <w:r>
        <w:rPr>
          <w:spacing w:val="-22"/>
          <w:w w:val="115"/>
        </w:rPr>
        <w:t> </w:t>
      </w:r>
      <w:r>
        <w:rPr>
          <w:w w:val="115"/>
        </w:rPr>
        <w:t>considera</w:t>
      </w:r>
      <w:r>
        <w:rPr>
          <w:spacing w:val="-22"/>
          <w:w w:val="115"/>
        </w:rPr>
        <w:t> </w:t>
      </w:r>
      <w:r>
        <w:rPr>
          <w:w w:val="115"/>
        </w:rPr>
        <w:t>que</w:t>
      </w:r>
      <w:r>
        <w:rPr>
          <w:spacing w:val="-22"/>
          <w:w w:val="115"/>
        </w:rPr>
        <w:t> </w:t>
      </w:r>
      <w:r>
        <w:rPr>
          <w:w w:val="115"/>
        </w:rPr>
        <w:t>después</w:t>
      </w:r>
      <w:r>
        <w:rPr>
          <w:spacing w:val="-22"/>
          <w:w w:val="115"/>
        </w:rPr>
        <w:t> </w:t>
      </w:r>
      <w:r>
        <w:rPr>
          <w:w w:val="115"/>
        </w:rPr>
        <w:t>de</w:t>
      </w:r>
      <w:r>
        <w:rPr>
          <w:spacing w:val="-22"/>
          <w:w w:val="115"/>
        </w:rPr>
        <w:t> </w:t>
      </w:r>
      <w:r>
        <w:rPr>
          <w:w w:val="115"/>
        </w:rPr>
        <w:t>tanto despliegue de fuerzas hacia zonas ricas en hidrocarburos, no logra disponer de saldos que no sean proyecciones deficitarias, muertes, sentimientos</w:t>
      </w:r>
      <w:r>
        <w:rPr>
          <w:spacing w:val="-29"/>
          <w:w w:val="115"/>
        </w:rPr>
        <w:t> </w:t>
      </w:r>
      <w:r>
        <w:rPr>
          <w:w w:val="115"/>
        </w:rPr>
        <w:t>antinorteamericanos</w:t>
      </w:r>
      <w:r>
        <w:rPr>
          <w:spacing w:val="-29"/>
          <w:w w:val="115"/>
        </w:rPr>
        <w:t> </w:t>
      </w:r>
      <w:r>
        <w:rPr>
          <w:w w:val="115"/>
        </w:rPr>
        <w:t>acumulados</w:t>
      </w:r>
      <w:r>
        <w:rPr>
          <w:spacing w:val="-29"/>
          <w:w w:val="115"/>
        </w:rPr>
        <w:t> </w:t>
      </w:r>
      <w:r>
        <w:rPr>
          <w:w w:val="115"/>
        </w:rPr>
        <w:t>y</w:t>
      </w:r>
      <w:r>
        <w:rPr>
          <w:spacing w:val="-29"/>
          <w:w w:val="115"/>
        </w:rPr>
        <w:t> </w:t>
      </w:r>
      <w:r>
        <w:rPr>
          <w:w w:val="115"/>
        </w:rPr>
        <w:t>mayores</w:t>
      </w:r>
      <w:r>
        <w:rPr>
          <w:spacing w:val="-29"/>
          <w:w w:val="115"/>
        </w:rPr>
        <w:t> </w:t>
      </w:r>
      <w:r>
        <w:rPr>
          <w:w w:val="115"/>
        </w:rPr>
        <w:t>amenazas a</w:t>
      </w:r>
      <w:r>
        <w:rPr>
          <w:spacing w:val="-14"/>
          <w:w w:val="115"/>
        </w:rPr>
        <w:t> </w:t>
      </w:r>
      <w:r>
        <w:rPr>
          <w:w w:val="115"/>
        </w:rPr>
        <w:t>su</w:t>
      </w:r>
      <w:r>
        <w:rPr>
          <w:spacing w:val="-14"/>
          <w:w w:val="115"/>
        </w:rPr>
        <w:t> </w:t>
      </w:r>
      <w:r>
        <w:rPr>
          <w:w w:val="115"/>
        </w:rPr>
        <w:t>percepción</w:t>
      </w:r>
      <w:r>
        <w:rPr>
          <w:spacing w:val="-14"/>
          <w:w w:val="115"/>
        </w:rPr>
        <w:t> </w:t>
      </w:r>
      <w:r>
        <w:rPr>
          <w:w w:val="115"/>
        </w:rPr>
        <w:t>de</w:t>
      </w:r>
      <w:r>
        <w:rPr>
          <w:spacing w:val="-14"/>
          <w:w w:val="115"/>
        </w:rPr>
        <w:t> </w:t>
      </w:r>
      <w:r>
        <w:rPr>
          <w:w w:val="115"/>
        </w:rPr>
        <w:t>seguridad.</w:t>
      </w:r>
    </w:p>
    <w:p>
      <w:pPr>
        <w:pStyle w:val="BodyText"/>
        <w:spacing w:line="252" w:lineRule="auto"/>
        <w:ind w:left="120" w:right="328" w:firstLine="396"/>
        <w:jc w:val="both"/>
        <w:rPr>
          <w:sz w:val="11"/>
        </w:rPr>
      </w:pPr>
      <w:r>
        <w:rPr>
          <w:w w:val="243"/>
        </w:rPr>
        <w:t>l</w:t>
      </w:r>
      <w:r>
        <w:rPr>
          <w:w w:val="112"/>
        </w:rPr>
        <w:t>a</w:t>
      </w:r>
      <w:r>
        <w:rPr/>
        <w:t> </w:t>
      </w:r>
      <w:r>
        <w:rPr>
          <w:spacing w:val="-17"/>
        </w:rPr>
        <w:t> </w:t>
      </w:r>
      <w:r>
        <w:rPr>
          <w:w w:val="111"/>
        </w:rPr>
        <w:t>política</w:t>
      </w:r>
      <w:r>
        <w:rPr/>
        <w:t> </w:t>
      </w:r>
      <w:r>
        <w:rPr>
          <w:spacing w:val="-17"/>
        </w:rPr>
        <w:t> </w:t>
      </w:r>
      <w:r>
        <w:rPr>
          <w:w w:val="107"/>
        </w:rPr>
        <w:t>de</w:t>
      </w:r>
      <w:r>
        <w:rPr/>
        <w:t> </w:t>
      </w:r>
      <w:r>
        <w:rPr>
          <w:spacing w:val="-17"/>
        </w:rPr>
        <w:t> </w:t>
      </w:r>
      <w:r>
        <w:rPr>
          <w:w w:val="134"/>
        </w:rPr>
        <w:t>b</w:t>
      </w:r>
      <w:r>
        <w:rPr>
          <w:w w:val="110"/>
        </w:rPr>
        <w:t>ush</w:t>
      </w:r>
      <w:r>
        <w:rPr/>
        <w:t> </w:t>
      </w:r>
      <w:r>
        <w:rPr>
          <w:spacing w:val="-17"/>
        </w:rPr>
        <w:t> </w:t>
      </w:r>
      <w:r>
        <w:rPr>
          <w:w w:val="101"/>
        </w:rPr>
        <w:t>(2002</w:t>
      </w:r>
      <w:r>
        <w:rPr/>
        <w:t> </w:t>
      </w:r>
      <w:r>
        <w:rPr>
          <w:spacing w:val="-17"/>
        </w:rPr>
        <w:t> </w:t>
      </w:r>
      <w:r>
        <w:rPr>
          <w:w w:val="105"/>
        </w:rPr>
        <w:t>y</w:t>
      </w:r>
      <w:r>
        <w:rPr/>
        <w:t> </w:t>
      </w:r>
      <w:r>
        <w:rPr>
          <w:spacing w:val="-17"/>
        </w:rPr>
        <w:t> </w:t>
      </w:r>
      <w:r>
        <w:rPr>
          <w:w w:val="101"/>
        </w:rPr>
        <w:t>2006)</w:t>
      </w:r>
      <w:r>
        <w:rPr/>
        <w:t> </w:t>
      </w:r>
      <w:r>
        <w:rPr>
          <w:spacing w:val="-17"/>
        </w:rPr>
        <w:t> </w:t>
      </w:r>
      <w:r>
        <w:rPr>
          <w:w w:val="112"/>
        </w:rPr>
        <w:t>a</w:t>
      </w:r>
      <w:r>
        <w:rPr/>
        <w:t> </w:t>
      </w:r>
      <w:r>
        <w:rPr>
          <w:spacing w:val="-17"/>
        </w:rPr>
        <w:t> </w:t>
      </w:r>
      <w:r>
        <w:rPr>
          <w:w w:val="149"/>
        </w:rPr>
        <w:t>o</w:t>
      </w:r>
      <w:r>
        <w:rPr>
          <w:w w:val="112"/>
        </w:rPr>
        <w:t>bama</w:t>
      </w:r>
      <w:r>
        <w:rPr/>
        <w:t> </w:t>
      </w:r>
      <w:r>
        <w:rPr>
          <w:spacing w:val="-17"/>
        </w:rPr>
        <w:t> </w:t>
      </w:r>
      <w:r>
        <w:rPr>
          <w:w w:val="108"/>
        </w:rPr>
        <w:t>en</w:t>
      </w:r>
      <w:r>
        <w:rPr/>
        <w:t> </w:t>
      </w:r>
      <w:r>
        <w:rPr>
          <w:spacing w:val="-17"/>
        </w:rPr>
        <w:t> </w:t>
      </w:r>
      <w:r>
        <w:rPr>
          <w:w w:val="107"/>
        </w:rPr>
        <w:t>esa</w:t>
      </w:r>
      <w:r>
        <w:rPr/>
        <w:t> </w:t>
      </w:r>
      <w:r>
        <w:rPr>
          <w:spacing w:val="-17"/>
        </w:rPr>
        <w:t> </w:t>
      </w:r>
      <w:r>
        <w:rPr>
          <w:w w:val="111"/>
        </w:rPr>
        <w:t>zona</w:t>
      </w:r>
      <w:r>
        <w:rPr/>
        <w:t> </w:t>
      </w:r>
      <w:r>
        <w:rPr>
          <w:spacing w:val="-17"/>
        </w:rPr>
        <w:t> </w:t>
      </w:r>
      <w:r>
        <w:rPr>
          <w:w w:val="109"/>
        </w:rPr>
        <w:t>solo</w:t>
      </w:r>
      <w:r>
        <w:rPr/>
        <w:t> </w:t>
      </w:r>
      <w:r>
        <w:rPr>
          <w:spacing w:val="-17"/>
        </w:rPr>
        <w:t> </w:t>
      </w:r>
      <w:r>
        <w:rPr>
          <w:w w:val="112"/>
        </w:rPr>
        <w:t>ha </w:t>
      </w:r>
      <w:r>
        <w:rPr>
          <w:w w:val="115"/>
        </w:rPr>
        <w:t>logrado</w:t>
      </w:r>
      <w:r>
        <w:rPr>
          <w:spacing w:val="-16"/>
          <w:w w:val="115"/>
        </w:rPr>
        <w:t> </w:t>
      </w:r>
      <w:r>
        <w:rPr>
          <w:w w:val="115"/>
        </w:rPr>
        <w:t>profundizar</w:t>
      </w:r>
      <w:r>
        <w:rPr>
          <w:spacing w:val="-16"/>
          <w:w w:val="115"/>
        </w:rPr>
        <w:t> </w:t>
      </w:r>
      <w:r>
        <w:rPr>
          <w:w w:val="115"/>
        </w:rPr>
        <w:t>la</w:t>
      </w:r>
      <w:r>
        <w:rPr>
          <w:spacing w:val="-16"/>
          <w:w w:val="115"/>
        </w:rPr>
        <w:t> </w:t>
      </w:r>
      <w:r>
        <w:rPr>
          <w:w w:val="115"/>
        </w:rPr>
        <w:t>trama</w:t>
      </w:r>
      <w:r>
        <w:rPr>
          <w:spacing w:val="-16"/>
          <w:w w:val="115"/>
        </w:rPr>
        <w:t> </w:t>
      </w:r>
      <w:r>
        <w:rPr>
          <w:w w:val="115"/>
        </w:rPr>
        <w:t>de</w:t>
      </w:r>
      <w:r>
        <w:rPr>
          <w:spacing w:val="-16"/>
          <w:w w:val="115"/>
        </w:rPr>
        <w:t> </w:t>
      </w:r>
      <w:r>
        <w:rPr>
          <w:w w:val="115"/>
        </w:rPr>
        <w:t>los</w:t>
      </w:r>
      <w:r>
        <w:rPr>
          <w:spacing w:val="-16"/>
          <w:w w:val="115"/>
        </w:rPr>
        <w:t> </w:t>
      </w:r>
      <w:r>
        <w:rPr>
          <w:w w:val="115"/>
        </w:rPr>
        <w:t>conflictos,</w:t>
      </w:r>
      <w:r>
        <w:rPr>
          <w:spacing w:val="-16"/>
          <w:w w:val="115"/>
        </w:rPr>
        <w:t> </w:t>
      </w:r>
      <w:r>
        <w:rPr>
          <w:w w:val="115"/>
        </w:rPr>
        <w:t>una</w:t>
      </w:r>
      <w:r>
        <w:rPr>
          <w:spacing w:val="-16"/>
          <w:w w:val="115"/>
        </w:rPr>
        <w:t> </w:t>
      </w:r>
      <w:r>
        <w:rPr>
          <w:w w:val="115"/>
        </w:rPr>
        <w:t>de</w:t>
      </w:r>
      <w:r>
        <w:rPr>
          <w:spacing w:val="-16"/>
          <w:w w:val="115"/>
        </w:rPr>
        <w:t> </w:t>
      </w:r>
      <w:r>
        <w:rPr>
          <w:w w:val="115"/>
        </w:rPr>
        <w:t>cuyas</w:t>
      </w:r>
      <w:r>
        <w:rPr>
          <w:spacing w:val="-16"/>
          <w:w w:val="115"/>
        </w:rPr>
        <w:t> </w:t>
      </w:r>
      <w:r>
        <w:rPr>
          <w:w w:val="115"/>
        </w:rPr>
        <w:t>manifes- taciones</w:t>
      </w:r>
      <w:r>
        <w:rPr>
          <w:spacing w:val="-19"/>
          <w:w w:val="115"/>
        </w:rPr>
        <w:t> </w:t>
      </w:r>
      <w:r>
        <w:rPr>
          <w:w w:val="115"/>
        </w:rPr>
        <w:t>es</w:t>
      </w:r>
      <w:r>
        <w:rPr>
          <w:spacing w:val="-19"/>
          <w:w w:val="115"/>
        </w:rPr>
        <w:t> </w:t>
      </w:r>
      <w:r>
        <w:rPr>
          <w:w w:val="115"/>
        </w:rPr>
        <w:t>la</w:t>
      </w:r>
      <w:r>
        <w:rPr>
          <w:spacing w:val="-19"/>
          <w:w w:val="115"/>
        </w:rPr>
        <w:t> </w:t>
      </w:r>
      <w:r>
        <w:rPr>
          <w:w w:val="115"/>
        </w:rPr>
        <w:t>ampliación</w:t>
      </w:r>
      <w:r>
        <w:rPr>
          <w:spacing w:val="-19"/>
          <w:w w:val="115"/>
        </w:rPr>
        <w:t> </w:t>
      </w:r>
      <w:r>
        <w:rPr>
          <w:w w:val="115"/>
        </w:rPr>
        <w:t>de</w:t>
      </w:r>
      <w:r>
        <w:rPr>
          <w:spacing w:val="-19"/>
          <w:w w:val="115"/>
        </w:rPr>
        <w:t> </w:t>
      </w:r>
      <w:r>
        <w:rPr>
          <w:w w:val="115"/>
        </w:rPr>
        <w:t>la</w:t>
      </w:r>
      <w:r>
        <w:rPr>
          <w:spacing w:val="-19"/>
          <w:w w:val="115"/>
        </w:rPr>
        <w:t> </w:t>
      </w:r>
      <w:r>
        <w:rPr>
          <w:w w:val="115"/>
        </w:rPr>
        <w:t>influencia</w:t>
      </w:r>
      <w:r>
        <w:rPr>
          <w:spacing w:val="-19"/>
          <w:w w:val="115"/>
        </w:rPr>
        <w:t> </w:t>
      </w:r>
      <w:r>
        <w:rPr>
          <w:w w:val="115"/>
        </w:rPr>
        <w:t>del</w:t>
      </w:r>
      <w:r>
        <w:rPr>
          <w:spacing w:val="-19"/>
          <w:w w:val="115"/>
        </w:rPr>
        <w:t> </w:t>
      </w:r>
      <w:r>
        <w:rPr>
          <w:w w:val="115"/>
        </w:rPr>
        <w:t>llamado</w:t>
      </w:r>
      <w:r>
        <w:rPr>
          <w:spacing w:val="-19"/>
          <w:w w:val="115"/>
        </w:rPr>
        <w:t> </w:t>
      </w:r>
      <w:r>
        <w:rPr>
          <w:w w:val="115"/>
        </w:rPr>
        <w:t>Estado</w:t>
      </w:r>
      <w:r>
        <w:rPr>
          <w:spacing w:val="-19"/>
          <w:w w:val="115"/>
        </w:rPr>
        <w:t> </w:t>
      </w:r>
      <w:r>
        <w:rPr>
          <w:w w:val="115"/>
        </w:rPr>
        <w:t>islámico (Ei),</w:t>
      </w:r>
      <w:r>
        <w:rPr>
          <w:spacing w:val="-22"/>
          <w:w w:val="115"/>
        </w:rPr>
        <w:t> </w:t>
      </w:r>
      <w:r>
        <w:rPr>
          <w:w w:val="115"/>
        </w:rPr>
        <w:t>al</w:t>
      </w:r>
      <w:r>
        <w:rPr>
          <w:spacing w:val="-22"/>
          <w:w w:val="115"/>
        </w:rPr>
        <w:t> </w:t>
      </w:r>
      <w:r>
        <w:rPr>
          <w:w w:val="115"/>
        </w:rPr>
        <w:t>que</w:t>
      </w:r>
      <w:r>
        <w:rPr>
          <w:spacing w:val="-22"/>
          <w:w w:val="115"/>
        </w:rPr>
        <w:t> </w:t>
      </w:r>
      <w:r>
        <w:rPr>
          <w:w w:val="115"/>
        </w:rPr>
        <w:t>después</w:t>
      </w:r>
      <w:r>
        <w:rPr>
          <w:spacing w:val="-22"/>
          <w:w w:val="115"/>
        </w:rPr>
        <w:t> </w:t>
      </w:r>
      <w:r>
        <w:rPr>
          <w:w w:val="115"/>
        </w:rPr>
        <w:t>de</w:t>
      </w:r>
      <w:r>
        <w:rPr>
          <w:spacing w:val="-22"/>
          <w:w w:val="115"/>
        </w:rPr>
        <w:t> </w:t>
      </w:r>
      <w:r>
        <w:rPr>
          <w:w w:val="115"/>
        </w:rPr>
        <w:t>su</w:t>
      </w:r>
      <w:r>
        <w:rPr>
          <w:spacing w:val="-22"/>
          <w:w w:val="115"/>
        </w:rPr>
        <w:t> </w:t>
      </w:r>
      <w:r>
        <w:rPr>
          <w:w w:val="115"/>
        </w:rPr>
        <w:t>surgimiento</w:t>
      </w:r>
      <w:r>
        <w:rPr>
          <w:spacing w:val="-22"/>
          <w:w w:val="115"/>
        </w:rPr>
        <w:t> </w:t>
      </w:r>
      <w:r>
        <w:rPr>
          <w:w w:val="115"/>
        </w:rPr>
        <w:t>y</w:t>
      </w:r>
      <w:r>
        <w:rPr>
          <w:spacing w:val="-22"/>
          <w:w w:val="115"/>
        </w:rPr>
        <w:t> </w:t>
      </w:r>
      <w:r>
        <w:rPr>
          <w:w w:val="115"/>
        </w:rPr>
        <w:t>frente</w:t>
      </w:r>
      <w:r>
        <w:rPr>
          <w:spacing w:val="-22"/>
          <w:w w:val="115"/>
        </w:rPr>
        <w:t> </w:t>
      </w:r>
      <w:r>
        <w:rPr>
          <w:w w:val="115"/>
        </w:rPr>
        <w:t>a</w:t>
      </w:r>
      <w:r>
        <w:rPr>
          <w:spacing w:val="-22"/>
          <w:w w:val="115"/>
        </w:rPr>
        <w:t> </w:t>
      </w:r>
      <w:r>
        <w:rPr>
          <w:w w:val="115"/>
        </w:rPr>
        <w:t>sus</w:t>
      </w:r>
      <w:r>
        <w:rPr>
          <w:spacing w:val="-22"/>
          <w:w w:val="115"/>
        </w:rPr>
        <w:t> </w:t>
      </w:r>
      <w:r>
        <w:rPr>
          <w:w w:val="115"/>
        </w:rPr>
        <w:t>atroces</w:t>
      </w:r>
      <w:r>
        <w:rPr>
          <w:spacing w:val="-22"/>
          <w:w w:val="115"/>
        </w:rPr>
        <w:t> </w:t>
      </w:r>
      <w:r>
        <w:rPr>
          <w:w w:val="115"/>
        </w:rPr>
        <w:t>operacio- nes</w:t>
      </w:r>
      <w:r>
        <w:rPr>
          <w:spacing w:val="-7"/>
          <w:w w:val="115"/>
        </w:rPr>
        <w:t> </w:t>
      </w:r>
      <w:r>
        <w:rPr>
          <w:w w:val="115"/>
        </w:rPr>
        <w:t>buscan</w:t>
      </w:r>
      <w:r>
        <w:rPr>
          <w:spacing w:val="-7"/>
          <w:w w:val="115"/>
        </w:rPr>
        <w:t> </w:t>
      </w:r>
      <w:r>
        <w:rPr>
          <w:w w:val="115"/>
        </w:rPr>
        <w:t>combatir</w:t>
      </w:r>
      <w:r>
        <w:rPr>
          <w:spacing w:val="-7"/>
          <w:w w:val="115"/>
        </w:rPr>
        <w:t> </w:t>
      </w:r>
      <w:r>
        <w:rPr>
          <w:w w:val="115"/>
        </w:rPr>
        <w:t>por</w:t>
      </w:r>
      <w:r>
        <w:rPr>
          <w:spacing w:val="-7"/>
          <w:w w:val="115"/>
        </w:rPr>
        <w:t> </w:t>
      </w:r>
      <w:r>
        <w:rPr>
          <w:w w:val="115"/>
        </w:rPr>
        <w:t>medio</w:t>
      </w:r>
      <w:r>
        <w:rPr>
          <w:spacing w:val="-7"/>
          <w:w w:val="115"/>
        </w:rPr>
        <w:t> </w:t>
      </w:r>
      <w:r>
        <w:rPr>
          <w:w w:val="115"/>
        </w:rPr>
        <w:t>de</w:t>
      </w:r>
      <w:r>
        <w:rPr>
          <w:spacing w:val="-7"/>
          <w:w w:val="115"/>
        </w:rPr>
        <w:t> </w:t>
      </w:r>
      <w:r>
        <w:rPr>
          <w:w w:val="115"/>
        </w:rPr>
        <w:t>un</w:t>
      </w:r>
      <w:r>
        <w:rPr>
          <w:spacing w:val="-7"/>
          <w:w w:val="115"/>
        </w:rPr>
        <w:t> </w:t>
      </w:r>
      <w:r>
        <w:rPr>
          <w:w w:val="115"/>
        </w:rPr>
        <w:t>sistema</w:t>
      </w:r>
      <w:r>
        <w:rPr>
          <w:spacing w:val="-7"/>
          <w:w w:val="115"/>
        </w:rPr>
        <w:t> </w:t>
      </w:r>
      <w:r>
        <w:rPr>
          <w:w w:val="115"/>
        </w:rPr>
        <w:t>de</w:t>
      </w:r>
      <w:r>
        <w:rPr>
          <w:spacing w:val="-7"/>
          <w:w w:val="115"/>
        </w:rPr>
        <w:t> </w:t>
      </w:r>
      <w:r>
        <w:rPr>
          <w:w w:val="115"/>
        </w:rPr>
        <w:t>alianzas</w:t>
      </w:r>
      <w:r>
        <w:rPr>
          <w:spacing w:val="-7"/>
          <w:w w:val="115"/>
        </w:rPr>
        <w:t> </w:t>
      </w:r>
      <w:r>
        <w:rPr>
          <w:w w:val="115"/>
        </w:rPr>
        <w:t>opacando de</w:t>
      </w:r>
      <w:r>
        <w:rPr>
          <w:spacing w:val="-13"/>
          <w:w w:val="115"/>
        </w:rPr>
        <w:t> </w:t>
      </w:r>
      <w:r>
        <w:rPr>
          <w:w w:val="115"/>
        </w:rPr>
        <w:t>nueva</w:t>
      </w:r>
      <w:r>
        <w:rPr>
          <w:spacing w:val="-13"/>
          <w:w w:val="115"/>
        </w:rPr>
        <w:t> </w:t>
      </w:r>
      <w:r>
        <w:rPr>
          <w:w w:val="115"/>
        </w:rPr>
        <w:t>cuenta</w:t>
      </w:r>
      <w:r>
        <w:rPr>
          <w:spacing w:val="-13"/>
          <w:w w:val="115"/>
        </w:rPr>
        <w:t> </w:t>
      </w:r>
      <w:r>
        <w:rPr>
          <w:w w:val="115"/>
        </w:rPr>
        <w:t>el</w:t>
      </w:r>
      <w:r>
        <w:rPr>
          <w:spacing w:val="-13"/>
          <w:w w:val="115"/>
        </w:rPr>
        <w:t> </w:t>
      </w:r>
      <w:r>
        <w:rPr>
          <w:w w:val="115"/>
        </w:rPr>
        <w:t>sentido</w:t>
      </w:r>
      <w:r>
        <w:rPr>
          <w:spacing w:val="-13"/>
          <w:w w:val="115"/>
        </w:rPr>
        <w:t> </w:t>
      </w:r>
      <w:r>
        <w:rPr>
          <w:w w:val="115"/>
        </w:rPr>
        <w:t>profundo</w:t>
      </w:r>
      <w:r>
        <w:rPr>
          <w:spacing w:val="-13"/>
          <w:w w:val="115"/>
        </w:rPr>
        <w:t> </w:t>
      </w:r>
      <w:r>
        <w:rPr>
          <w:w w:val="115"/>
        </w:rPr>
        <w:t>de</w:t>
      </w:r>
      <w:r>
        <w:rPr>
          <w:spacing w:val="-13"/>
          <w:w w:val="115"/>
        </w:rPr>
        <w:t> </w:t>
      </w:r>
      <w:r>
        <w:rPr>
          <w:w w:val="115"/>
        </w:rPr>
        <w:t>sus</w:t>
      </w:r>
      <w:r>
        <w:rPr>
          <w:spacing w:val="-13"/>
          <w:w w:val="115"/>
        </w:rPr>
        <w:t> </w:t>
      </w:r>
      <w:r>
        <w:rPr>
          <w:w w:val="115"/>
        </w:rPr>
        <w:t>verdaderos</w:t>
      </w:r>
      <w:r>
        <w:rPr>
          <w:spacing w:val="-13"/>
          <w:w w:val="115"/>
        </w:rPr>
        <w:t> </w:t>
      </w:r>
      <w:r>
        <w:rPr>
          <w:w w:val="115"/>
        </w:rPr>
        <w:t>objetivos</w:t>
      </w:r>
      <w:r>
        <w:rPr>
          <w:spacing w:val="-13"/>
          <w:w w:val="115"/>
        </w:rPr>
        <w:t> </w:t>
      </w:r>
      <w:r>
        <w:rPr>
          <w:w w:val="115"/>
        </w:rPr>
        <w:t>es- tratégicos</w:t>
      </w:r>
      <w:r>
        <w:rPr>
          <w:spacing w:val="-11"/>
          <w:w w:val="115"/>
        </w:rPr>
        <w:t> </w:t>
      </w:r>
      <w:r>
        <w:rPr>
          <w:w w:val="115"/>
        </w:rPr>
        <w:t>en</w:t>
      </w:r>
      <w:r>
        <w:rPr>
          <w:spacing w:val="-11"/>
          <w:w w:val="115"/>
        </w:rPr>
        <w:t> </w:t>
      </w:r>
      <w:r>
        <w:rPr>
          <w:w w:val="115"/>
        </w:rPr>
        <w:t>la</w:t>
      </w:r>
      <w:r>
        <w:rPr>
          <w:spacing w:val="-11"/>
          <w:w w:val="115"/>
        </w:rPr>
        <w:t> </w:t>
      </w:r>
      <w:r>
        <w:rPr>
          <w:w w:val="115"/>
        </w:rPr>
        <w:t>zona.</w:t>
      </w:r>
      <w:r>
        <w:rPr>
          <w:spacing w:val="-11"/>
          <w:w w:val="115"/>
        </w:rPr>
        <w:t> </w:t>
      </w:r>
      <w:r>
        <w:rPr>
          <w:w w:val="115"/>
        </w:rPr>
        <w:t>En</w:t>
      </w:r>
      <w:r>
        <w:rPr>
          <w:spacing w:val="-11"/>
          <w:w w:val="115"/>
        </w:rPr>
        <w:t> </w:t>
      </w:r>
      <w:r>
        <w:rPr>
          <w:w w:val="115"/>
        </w:rPr>
        <w:t>este</w:t>
      </w:r>
      <w:r>
        <w:rPr>
          <w:spacing w:val="-11"/>
          <w:w w:val="115"/>
        </w:rPr>
        <w:t> </w:t>
      </w:r>
      <w:r>
        <w:rPr>
          <w:w w:val="115"/>
        </w:rPr>
        <w:t>exacto</w:t>
      </w:r>
      <w:r>
        <w:rPr>
          <w:spacing w:val="-11"/>
          <w:w w:val="115"/>
        </w:rPr>
        <w:t> </w:t>
      </w:r>
      <w:r>
        <w:rPr>
          <w:w w:val="115"/>
        </w:rPr>
        <w:t>punto</w:t>
      </w:r>
      <w:r>
        <w:rPr>
          <w:spacing w:val="-11"/>
          <w:w w:val="115"/>
        </w:rPr>
        <w:t> </w:t>
      </w:r>
      <w:r>
        <w:rPr>
          <w:w w:val="115"/>
        </w:rPr>
        <w:t>no</w:t>
      </w:r>
      <w:r>
        <w:rPr>
          <w:spacing w:val="-11"/>
          <w:w w:val="115"/>
        </w:rPr>
        <w:t> </w:t>
      </w:r>
      <w:r>
        <w:rPr>
          <w:w w:val="115"/>
        </w:rPr>
        <w:t>hay</w:t>
      </w:r>
      <w:r>
        <w:rPr>
          <w:spacing w:val="-11"/>
          <w:w w:val="115"/>
        </w:rPr>
        <w:t> </w:t>
      </w:r>
      <w:r>
        <w:rPr>
          <w:w w:val="115"/>
        </w:rPr>
        <w:t>que</w:t>
      </w:r>
      <w:r>
        <w:rPr>
          <w:spacing w:val="-11"/>
          <w:w w:val="115"/>
        </w:rPr>
        <w:t> </w:t>
      </w:r>
      <w:r>
        <w:rPr>
          <w:w w:val="115"/>
        </w:rPr>
        <w:t>desmerecer</w:t>
      </w:r>
      <w:r>
        <w:rPr>
          <w:spacing w:val="-11"/>
          <w:w w:val="115"/>
        </w:rPr>
        <w:t> </w:t>
      </w:r>
      <w:r>
        <w:rPr>
          <w:w w:val="115"/>
        </w:rPr>
        <w:t>la importancia</w:t>
      </w:r>
      <w:r>
        <w:rPr>
          <w:spacing w:val="-27"/>
          <w:w w:val="115"/>
        </w:rPr>
        <w:t> </w:t>
      </w:r>
      <w:r>
        <w:rPr>
          <w:w w:val="115"/>
        </w:rPr>
        <w:t>fundamental</w:t>
      </w:r>
      <w:r>
        <w:rPr>
          <w:spacing w:val="-27"/>
          <w:w w:val="115"/>
        </w:rPr>
        <w:t> </w:t>
      </w:r>
      <w:r>
        <w:rPr>
          <w:w w:val="115"/>
        </w:rPr>
        <w:t>del</w:t>
      </w:r>
      <w:r>
        <w:rPr>
          <w:spacing w:val="-27"/>
          <w:w w:val="115"/>
        </w:rPr>
        <w:t> </w:t>
      </w:r>
      <w:r>
        <w:rPr>
          <w:w w:val="115"/>
        </w:rPr>
        <w:t>papel</w:t>
      </w:r>
      <w:r>
        <w:rPr>
          <w:spacing w:val="-27"/>
          <w:w w:val="115"/>
        </w:rPr>
        <w:t> </w:t>
      </w:r>
      <w:r>
        <w:rPr>
          <w:w w:val="115"/>
        </w:rPr>
        <w:t>que</w:t>
      </w:r>
      <w:r>
        <w:rPr>
          <w:spacing w:val="-27"/>
          <w:w w:val="115"/>
        </w:rPr>
        <w:t> </w:t>
      </w:r>
      <w:r>
        <w:rPr>
          <w:w w:val="115"/>
        </w:rPr>
        <w:t>juega</w:t>
      </w:r>
      <w:r>
        <w:rPr>
          <w:spacing w:val="-27"/>
          <w:w w:val="115"/>
        </w:rPr>
        <w:t> </w:t>
      </w:r>
      <w:r>
        <w:rPr>
          <w:w w:val="115"/>
        </w:rPr>
        <w:t>el</w:t>
      </w:r>
      <w:r>
        <w:rPr>
          <w:spacing w:val="-27"/>
          <w:w w:val="115"/>
        </w:rPr>
        <w:t> </w:t>
      </w:r>
      <w:r>
        <w:rPr>
          <w:w w:val="115"/>
        </w:rPr>
        <w:t>accionar</w:t>
      </w:r>
      <w:r>
        <w:rPr>
          <w:spacing w:val="-27"/>
          <w:w w:val="115"/>
        </w:rPr>
        <w:t> </w:t>
      </w:r>
      <w:r>
        <w:rPr>
          <w:w w:val="115"/>
        </w:rPr>
        <w:t>bélico</w:t>
      </w:r>
      <w:r>
        <w:rPr>
          <w:spacing w:val="-27"/>
          <w:w w:val="115"/>
        </w:rPr>
        <w:t> </w:t>
      </w:r>
      <w:r>
        <w:rPr>
          <w:w w:val="115"/>
        </w:rPr>
        <w:t>e</w:t>
      </w:r>
      <w:r>
        <w:rPr>
          <w:spacing w:val="-27"/>
          <w:w w:val="115"/>
        </w:rPr>
        <w:t> </w:t>
      </w:r>
      <w:r>
        <w:rPr>
          <w:w w:val="115"/>
        </w:rPr>
        <w:t>inje- rencista</w:t>
      </w:r>
      <w:r>
        <w:rPr>
          <w:spacing w:val="-30"/>
          <w:w w:val="115"/>
        </w:rPr>
        <w:t> </w:t>
      </w:r>
      <w:r>
        <w:rPr>
          <w:w w:val="115"/>
        </w:rPr>
        <w:t>estadounidense</w:t>
      </w:r>
      <w:r>
        <w:rPr>
          <w:spacing w:val="-30"/>
          <w:w w:val="115"/>
        </w:rPr>
        <w:t> </w:t>
      </w:r>
      <w:r>
        <w:rPr>
          <w:w w:val="115"/>
        </w:rPr>
        <w:t>en</w:t>
      </w:r>
      <w:r>
        <w:rPr>
          <w:spacing w:val="-30"/>
          <w:w w:val="115"/>
        </w:rPr>
        <w:t> </w:t>
      </w:r>
      <w:r>
        <w:rPr>
          <w:w w:val="115"/>
        </w:rPr>
        <w:t>la</w:t>
      </w:r>
      <w:r>
        <w:rPr>
          <w:spacing w:val="-30"/>
          <w:w w:val="115"/>
        </w:rPr>
        <w:t> </w:t>
      </w:r>
      <w:r>
        <w:rPr>
          <w:w w:val="115"/>
        </w:rPr>
        <w:t>exacerbación</w:t>
      </w:r>
      <w:r>
        <w:rPr>
          <w:spacing w:val="-30"/>
          <w:w w:val="115"/>
        </w:rPr>
        <w:t> </w:t>
      </w:r>
      <w:r>
        <w:rPr>
          <w:w w:val="115"/>
        </w:rPr>
        <w:t>de</w:t>
      </w:r>
      <w:r>
        <w:rPr>
          <w:spacing w:val="-30"/>
          <w:w w:val="115"/>
        </w:rPr>
        <w:t> </w:t>
      </w:r>
      <w:r>
        <w:rPr>
          <w:w w:val="115"/>
        </w:rPr>
        <w:t>las</w:t>
      </w:r>
      <w:r>
        <w:rPr>
          <w:spacing w:val="-30"/>
          <w:w w:val="115"/>
        </w:rPr>
        <w:t> </w:t>
      </w:r>
      <w:r>
        <w:rPr>
          <w:w w:val="115"/>
        </w:rPr>
        <w:t>posiciones</w:t>
      </w:r>
      <w:r>
        <w:rPr>
          <w:spacing w:val="-30"/>
          <w:w w:val="115"/>
        </w:rPr>
        <w:t> </w:t>
      </w:r>
      <w:r>
        <w:rPr>
          <w:w w:val="115"/>
        </w:rPr>
        <w:t>iniciales del Ei, tal como en su momento lo hicieron cuando bajo el impulso de propósitos similares contribuyó al desarrollo de al Qaeda bajo</w:t>
      </w:r>
      <w:r>
        <w:rPr>
          <w:spacing w:val="-30"/>
          <w:w w:val="115"/>
        </w:rPr>
        <w:t> </w:t>
      </w:r>
      <w:r>
        <w:rPr>
          <w:w w:val="115"/>
        </w:rPr>
        <w:t>el </w:t>
      </w:r>
      <w:r>
        <w:rPr>
          <w:w w:val="109"/>
        </w:rPr>
        <w:t>liderazgo</w:t>
      </w:r>
      <w:r>
        <w:rPr>
          <w:spacing w:val="12"/>
        </w:rPr>
        <w:t> </w:t>
      </w:r>
      <w:r>
        <w:rPr>
          <w:w w:val="107"/>
        </w:rPr>
        <w:t>de</w:t>
      </w:r>
      <w:r>
        <w:rPr>
          <w:spacing w:val="12"/>
        </w:rPr>
        <w:t> </w:t>
      </w:r>
      <w:r>
        <w:rPr>
          <w:w w:val="149"/>
        </w:rPr>
        <w:t>o</w:t>
      </w:r>
      <w:r>
        <w:rPr>
          <w:w w:val="111"/>
        </w:rPr>
        <w:t>sama</w:t>
      </w:r>
      <w:r>
        <w:rPr>
          <w:spacing w:val="12"/>
        </w:rPr>
        <w:t> </w:t>
      </w:r>
      <w:r>
        <w:rPr>
          <w:w w:val="134"/>
        </w:rPr>
        <w:t>b</w:t>
      </w:r>
      <w:r>
        <w:rPr>
          <w:w w:val="113"/>
        </w:rPr>
        <w:t>in</w:t>
      </w:r>
      <w:r>
        <w:rPr>
          <w:spacing w:val="12"/>
        </w:rPr>
        <w:t> </w:t>
      </w:r>
      <w:r>
        <w:rPr>
          <w:w w:val="243"/>
        </w:rPr>
        <w:t>l</w:t>
      </w:r>
      <w:r>
        <w:rPr>
          <w:w w:val="112"/>
        </w:rPr>
        <w:t>aden</w:t>
      </w:r>
      <w:r>
        <w:rPr>
          <w:spacing w:val="-1"/>
          <w:w w:val="112"/>
        </w:rPr>
        <w:t>.</w:t>
      </w:r>
      <w:r>
        <w:rPr>
          <w:w w:val="103"/>
          <w:position w:val="6"/>
          <w:sz w:val="11"/>
        </w:rPr>
        <w:t>3</w:t>
      </w:r>
    </w:p>
    <w:p>
      <w:pPr>
        <w:pStyle w:val="BodyText"/>
        <w:spacing w:before="1"/>
        <w:rPr>
          <w:sz w:val="23"/>
        </w:rPr>
      </w:pPr>
      <w:r>
        <w:rPr/>
        <w:pict>
          <v:line style="position:absolute;mso-position-horizontal-relative:page;mso-position-vertical-relative:paragraph;z-index:7624;mso-wrap-distance-left:0;mso-wrap-distance-right:0" from="51.023602pt,15.763631pt" to="79.369602pt,15.763631pt" stroked="true" strokeweight=".5pt" strokecolor="#000000">
            <w10:wrap type="topAndBottom"/>
          </v:line>
        </w:pict>
      </w:r>
    </w:p>
    <w:p>
      <w:pPr>
        <w:pStyle w:val="ListParagraph"/>
        <w:numPr>
          <w:ilvl w:val="0"/>
          <w:numId w:val="32"/>
        </w:numPr>
        <w:tabs>
          <w:tab w:pos="376" w:val="left" w:leader="none"/>
        </w:tabs>
        <w:spacing w:line="242" w:lineRule="auto" w:before="89" w:after="0"/>
        <w:ind w:left="120" w:right="328" w:firstLine="0"/>
        <w:jc w:val="both"/>
        <w:rPr>
          <w:sz w:val="16"/>
        </w:rPr>
      </w:pPr>
      <w:r>
        <w:rPr>
          <w:w w:val="110"/>
          <w:sz w:val="16"/>
        </w:rPr>
        <w:t>una acuciante reflexión, formulada por quien conoce a fondo la construcción de la</w:t>
      </w:r>
      <w:r>
        <w:rPr>
          <w:spacing w:val="-10"/>
          <w:w w:val="110"/>
          <w:sz w:val="16"/>
        </w:rPr>
        <w:t> </w:t>
      </w:r>
      <w:r>
        <w:rPr>
          <w:w w:val="110"/>
          <w:sz w:val="16"/>
        </w:rPr>
        <w:t>conducta</w:t>
      </w:r>
      <w:r>
        <w:rPr>
          <w:spacing w:val="-10"/>
          <w:w w:val="110"/>
          <w:sz w:val="16"/>
        </w:rPr>
        <w:t> </w:t>
      </w:r>
      <w:r>
        <w:rPr>
          <w:w w:val="110"/>
          <w:sz w:val="16"/>
        </w:rPr>
        <w:t>exterior</w:t>
      </w:r>
      <w:r>
        <w:rPr>
          <w:spacing w:val="-10"/>
          <w:w w:val="110"/>
          <w:sz w:val="16"/>
        </w:rPr>
        <w:t> </w:t>
      </w:r>
      <w:r>
        <w:rPr>
          <w:w w:val="110"/>
          <w:sz w:val="16"/>
        </w:rPr>
        <w:t>estadounidense,</w:t>
      </w:r>
      <w:r>
        <w:rPr>
          <w:spacing w:val="-10"/>
          <w:w w:val="110"/>
          <w:sz w:val="16"/>
        </w:rPr>
        <w:t> </w:t>
      </w:r>
      <w:r>
        <w:rPr>
          <w:w w:val="110"/>
          <w:sz w:val="16"/>
        </w:rPr>
        <w:t>concluye</w:t>
      </w:r>
      <w:r>
        <w:rPr>
          <w:spacing w:val="-10"/>
          <w:w w:val="110"/>
          <w:sz w:val="16"/>
        </w:rPr>
        <w:t> </w:t>
      </w:r>
      <w:r>
        <w:rPr>
          <w:w w:val="110"/>
          <w:sz w:val="16"/>
        </w:rPr>
        <w:t>que</w:t>
      </w:r>
      <w:r>
        <w:rPr>
          <w:spacing w:val="-10"/>
          <w:w w:val="110"/>
          <w:sz w:val="16"/>
        </w:rPr>
        <w:t> </w:t>
      </w:r>
      <w:r>
        <w:rPr>
          <w:w w:val="110"/>
          <w:sz w:val="16"/>
        </w:rPr>
        <w:t>adonde</w:t>
      </w:r>
      <w:r>
        <w:rPr>
          <w:spacing w:val="-10"/>
          <w:w w:val="110"/>
          <w:sz w:val="16"/>
        </w:rPr>
        <w:t> </w:t>
      </w:r>
      <w:r>
        <w:rPr>
          <w:w w:val="110"/>
          <w:sz w:val="16"/>
        </w:rPr>
        <w:t>llega</w:t>
      </w:r>
      <w:r>
        <w:rPr>
          <w:spacing w:val="-10"/>
          <w:w w:val="110"/>
          <w:sz w:val="16"/>
        </w:rPr>
        <w:t> </w:t>
      </w:r>
      <w:r>
        <w:rPr>
          <w:w w:val="110"/>
          <w:sz w:val="16"/>
        </w:rPr>
        <w:t>el</w:t>
      </w:r>
      <w:r>
        <w:rPr>
          <w:spacing w:val="-10"/>
          <w:w w:val="110"/>
          <w:sz w:val="16"/>
        </w:rPr>
        <w:t> </w:t>
      </w:r>
      <w:r>
        <w:rPr>
          <w:w w:val="110"/>
          <w:sz w:val="16"/>
        </w:rPr>
        <w:t>accionar</w:t>
      </w:r>
      <w:r>
        <w:rPr>
          <w:spacing w:val="-10"/>
          <w:w w:val="110"/>
          <w:sz w:val="16"/>
        </w:rPr>
        <w:t> </w:t>
      </w:r>
      <w:r>
        <w:rPr>
          <w:w w:val="110"/>
          <w:sz w:val="16"/>
        </w:rPr>
        <w:t>de</w:t>
      </w:r>
      <w:r>
        <w:rPr>
          <w:spacing w:val="-10"/>
          <w:w w:val="110"/>
          <w:sz w:val="16"/>
        </w:rPr>
        <w:t> </w:t>
      </w:r>
      <w:r>
        <w:rPr>
          <w:w w:val="110"/>
          <w:sz w:val="16"/>
        </w:rPr>
        <w:t>su</w:t>
      </w:r>
      <w:r>
        <w:rPr>
          <w:spacing w:val="-10"/>
          <w:w w:val="110"/>
          <w:sz w:val="16"/>
        </w:rPr>
        <w:t> </w:t>
      </w:r>
      <w:r>
        <w:rPr>
          <w:w w:val="110"/>
          <w:sz w:val="16"/>
        </w:rPr>
        <w:t>po- lítica</w:t>
      </w:r>
      <w:r>
        <w:rPr>
          <w:spacing w:val="-3"/>
          <w:w w:val="110"/>
          <w:sz w:val="16"/>
        </w:rPr>
        <w:t> </w:t>
      </w:r>
      <w:r>
        <w:rPr>
          <w:w w:val="110"/>
          <w:sz w:val="16"/>
        </w:rPr>
        <w:t>solo</w:t>
      </w:r>
      <w:r>
        <w:rPr>
          <w:spacing w:val="-3"/>
          <w:w w:val="110"/>
          <w:sz w:val="16"/>
        </w:rPr>
        <w:t> </w:t>
      </w:r>
      <w:r>
        <w:rPr>
          <w:w w:val="110"/>
          <w:sz w:val="16"/>
        </w:rPr>
        <w:t>consigue</w:t>
      </w:r>
      <w:r>
        <w:rPr>
          <w:spacing w:val="-3"/>
          <w:w w:val="110"/>
          <w:sz w:val="16"/>
        </w:rPr>
        <w:t> </w:t>
      </w:r>
      <w:r>
        <w:rPr>
          <w:w w:val="110"/>
          <w:sz w:val="16"/>
        </w:rPr>
        <w:t>exacerbar</w:t>
      </w:r>
      <w:r>
        <w:rPr>
          <w:spacing w:val="-3"/>
          <w:w w:val="110"/>
          <w:sz w:val="16"/>
        </w:rPr>
        <w:t> </w:t>
      </w:r>
      <w:r>
        <w:rPr>
          <w:w w:val="110"/>
          <w:sz w:val="16"/>
        </w:rPr>
        <w:t>los</w:t>
      </w:r>
      <w:r>
        <w:rPr>
          <w:spacing w:val="-3"/>
          <w:w w:val="110"/>
          <w:sz w:val="16"/>
        </w:rPr>
        <w:t> </w:t>
      </w:r>
      <w:r>
        <w:rPr>
          <w:w w:val="110"/>
          <w:sz w:val="16"/>
        </w:rPr>
        <w:t>problemas</w:t>
      </w:r>
      <w:r>
        <w:rPr>
          <w:spacing w:val="-3"/>
          <w:w w:val="110"/>
          <w:sz w:val="16"/>
        </w:rPr>
        <w:t> </w:t>
      </w:r>
      <w:r>
        <w:rPr>
          <w:w w:val="110"/>
          <w:sz w:val="16"/>
        </w:rPr>
        <w:t>y</w:t>
      </w:r>
      <w:r>
        <w:rPr>
          <w:spacing w:val="-3"/>
          <w:w w:val="110"/>
          <w:sz w:val="16"/>
        </w:rPr>
        <w:t> </w:t>
      </w:r>
      <w:r>
        <w:rPr>
          <w:w w:val="110"/>
          <w:sz w:val="16"/>
        </w:rPr>
        <w:t>un</w:t>
      </w:r>
      <w:r>
        <w:rPr>
          <w:spacing w:val="-3"/>
          <w:w w:val="110"/>
          <w:sz w:val="16"/>
        </w:rPr>
        <w:t> </w:t>
      </w:r>
      <w:r>
        <w:rPr>
          <w:w w:val="110"/>
          <w:sz w:val="16"/>
        </w:rPr>
        <w:t>sentimiento</w:t>
      </w:r>
      <w:r>
        <w:rPr>
          <w:spacing w:val="-3"/>
          <w:w w:val="110"/>
          <w:sz w:val="16"/>
        </w:rPr>
        <w:t> </w:t>
      </w:r>
      <w:r>
        <w:rPr>
          <w:w w:val="110"/>
          <w:sz w:val="16"/>
        </w:rPr>
        <w:t>cada</w:t>
      </w:r>
      <w:r>
        <w:rPr>
          <w:spacing w:val="-3"/>
          <w:w w:val="110"/>
          <w:sz w:val="16"/>
        </w:rPr>
        <w:t> </w:t>
      </w:r>
      <w:r>
        <w:rPr>
          <w:w w:val="110"/>
          <w:sz w:val="16"/>
        </w:rPr>
        <w:t>vez</w:t>
      </w:r>
      <w:r>
        <w:rPr>
          <w:spacing w:val="-3"/>
          <w:w w:val="110"/>
          <w:sz w:val="16"/>
        </w:rPr>
        <w:t> </w:t>
      </w:r>
      <w:r>
        <w:rPr>
          <w:w w:val="110"/>
          <w:sz w:val="16"/>
        </w:rPr>
        <w:t>más</w:t>
      </w:r>
      <w:r>
        <w:rPr>
          <w:spacing w:val="-3"/>
          <w:w w:val="110"/>
          <w:sz w:val="16"/>
        </w:rPr>
        <w:t> </w:t>
      </w:r>
      <w:r>
        <w:rPr>
          <w:w w:val="110"/>
          <w:sz w:val="16"/>
        </w:rPr>
        <w:t>adverso</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5" w:firstLine="396"/>
        <w:jc w:val="both"/>
      </w:pPr>
      <w:r>
        <w:rPr>
          <w:w w:val="110"/>
        </w:rPr>
        <w:t>sus agresivas políticas no son ajenas a la profundización de los conflictos en los que se ha involucrado. En esa misma trayectoria aunque en un registro diferente se encuentra el ejemplo palestino- israelí, que potencialmente constituye una verdadera amenaza para  la seguridad de desenlaces impredecibles, si se tiene en cuenta la ofensiva desatada en contra de irán por parte de la política de Wash- ington. No está de más volver a registrar que Estados unidos en la historia reciente hace solo lo que sabe hacer mejor: desestabilizar, agredir e invadir. donde ingresó sus tropas solo ha logrado sembrar mayores conflictos y condiciones de inseguridad, cuyos alcances también se expanden actualmente hacia Pakistán, dotado de un </w:t>
      </w:r>
      <w:r>
        <w:rPr>
          <w:spacing w:val="-4"/>
          <w:w w:val="110"/>
        </w:rPr>
        <w:t>ar- </w:t>
      </w:r>
      <w:r>
        <w:rPr>
          <w:w w:val="110"/>
        </w:rPr>
        <w:t>senal nuclear alentado por Estados unidos con el propósito de jugar un contrapeso frente al programa que en ese rubro posee la india. a esta trayectoria en la implementación de su enfoque también corres- ponde su política ante lo que le significa Corea del Norte y de modo preponderante la preocupación estadounidense ante el avance de la república   Popular </w:t>
      </w:r>
      <w:r>
        <w:rPr>
          <w:spacing w:val="10"/>
          <w:w w:val="110"/>
        </w:rPr>
        <w:t> </w:t>
      </w:r>
      <w:r>
        <w:rPr>
          <w:w w:val="110"/>
        </w:rPr>
        <w:t>China.</w:t>
      </w:r>
    </w:p>
    <w:p>
      <w:pPr>
        <w:pStyle w:val="BodyText"/>
        <w:spacing w:line="252" w:lineRule="auto"/>
        <w:ind w:left="330" w:right="115" w:firstLine="396"/>
        <w:jc w:val="both"/>
      </w:pPr>
      <w:r>
        <w:rPr>
          <w:w w:val="110"/>
        </w:rPr>
        <w:t>Con todo, el balance de fuerzas a nivel global está permeado por un doble proceso en el que aparecen comprometidos la capacidad hegemónica estadounidense </w:t>
      </w:r>
      <w:r>
        <w:rPr>
          <w:spacing w:val="-10"/>
          <w:w w:val="110"/>
        </w:rPr>
        <w:t>y,  </w:t>
      </w:r>
      <w:r>
        <w:rPr>
          <w:w w:val="110"/>
        </w:rPr>
        <w:t>a la vez, la emergencia y reacomodo  de poderosos referentes geoestratégicos internacionales. sus ten- dencias, no exentas de  contratendencias,  se  vienen  desarrollando  en un contexto de crisis del capitalismo. bajo estas coordenadas es posible observar el complejo movimiento pendular en que se debate la correlación mundial de fuerzas, desde la visión de unipolaridad hegemónica al proceso de la realidad multipolar, lo cual convierte        a la conducta del poder estadounidense en un factor de flagrante ingobernabilidad en las relaciones internacionales y para américa </w:t>
      </w:r>
      <w:r>
        <w:rPr>
          <w:spacing w:val="1"/>
          <w:w w:val="246"/>
        </w:rPr>
        <w:t>l</w:t>
      </w:r>
      <w:r>
        <w:rPr>
          <w:spacing w:val="1"/>
          <w:w w:val="112"/>
        </w:rPr>
        <w:t>atin</w:t>
      </w:r>
      <w:r>
        <w:rPr>
          <w:w w:val="112"/>
        </w:rPr>
        <w:t>a</w:t>
      </w:r>
      <w:r>
        <w:rPr/>
        <w:t> </w:t>
      </w:r>
      <w:r>
        <w:rPr>
          <w:spacing w:val="-20"/>
        </w:rPr>
        <w:t> </w:t>
      </w:r>
      <w:r>
        <w:rPr>
          <w:spacing w:val="1"/>
          <w:w w:val="109"/>
        </w:rPr>
        <w:t>e</w:t>
      </w:r>
      <w:r>
        <w:rPr>
          <w:w w:val="109"/>
        </w:rPr>
        <w:t>n</w:t>
      </w:r>
      <w:r>
        <w:rPr/>
        <w:t> </w:t>
      </w:r>
      <w:r>
        <w:rPr>
          <w:spacing w:val="-20"/>
        </w:rPr>
        <w:t> </w:t>
      </w:r>
      <w:r>
        <w:rPr>
          <w:spacing w:val="1"/>
          <w:w w:val="113"/>
        </w:rPr>
        <w:t>u</w:t>
      </w:r>
      <w:r>
        <w:rPr>
          <w:w w:val="113"/>
        </w:rPr>
        <w:t>n</w:t>
      </w:r>
      <w:r>
        <w:rPr/>
        <w:t> </w:t>
      </w:r>
      <w:r>
        <w:rPr>
          <w:spacing w:val="-20"/>
        </w:rPr>
        <w:t> </w:t>
      </w:r>
      <w:r>
        <w:rPr>
          <w:spacing w:val="1"/>
          <w:w w:val="112"/>
        </w:rPr>
        <w:t>agud</w:t>
      </w:r>
      <w:r>
        <w:rPr>
          <w:w w:val="112"/>
        </w:rPr>
        <w:t>o</w:t>
      </w:r>
      <w:r>
        <w:rPr/>
        <w:t> </w:t>
      </w:r>
      <w:r>
        <w:rPr>
          <w:spacing w:val="-20"/>
        </w:rPr>
        <w:t> </w:t>
      </w:r>
      <w:r>
        <w:rPr>
          <w:spacing w:val="1"/>
          <w:w w:val="112"/>
        </w:rPr>
        <w:t>facto</w:t>
      </w:r>
      <w:r>
        <w:rPr>
          <w:w w:val="112"/>
        </w:rPr>
        <w:t>r</w:t>
      </w:r>
      <w:r>
        <w:rPr/>
        <w:t> </w:t>
      </w:r>
      <w:r>
        <w:rPr>
          <w:spacing w:val="-20"/>
        </w:rPr>
        <w:t> </w:t>
      </w:r>
      <w:r>
        <w:rPr>
          <w:spacing w:val="1"/>
          <w:w w:val="108"/>
        </w:rPr>
        <w:t>d</w:t>
      </w:r>
      <w:r>
        <w:rPr>
          <w:w w:val="108"/>
        </w:rPr>
        <w:t>e</w:t>
      </w:r>
      <w:r>
        <w:rPr/>
        <w:t> </w:t>
      </w:r>
      <w:r>
        <w:rPr>
          <w:spacing w:val="-20"/>
        </w:rPr>
        <w:t> </w:t>
      </w:r>
      <w:r>
        <w:rPr>
          <w:spacing w:val="1"/>
          <w:w w:val="112"/>
        </w:rPr>
        <w:t>desestabilización</w:t>
      </w:r>
      <w:r>
        <w:rPr>
          <w:w w:val="112"/>
        </w:rPr>
        <w:t>.</w:t>
      </w:r>
      <w:r>
        <w:rPr/>
        <w:t> </w:t>
      </w:r>
      <w:r>
        <w:rPr>
          <w:spacing w:val="-20"/>
        </w:rPr>
        <w:t> </w:t>
      </w:r>
      <w:r>
        <w:rPr>
          <w:spacing w:val="1"/>
          <w:w w:val="151"/>
        </w:rPr>
        <w:t>s</w:t>
      </w:r>
      <w:r>
        <w:rPr>
          <w:w w:val="114"/>
        </w:rPr>
        <w:t>u</w:t>
      </w:r>
      <w:r>
        <w:rPr/>
        <w:t> </w:t>
      </w:r>
      <w:r>
        <w:rPr>
          <w:spacing w:val="-20"/>
        </w:rPr>
        <w:t> </w:t>
      </w:r>
      <w:r>
        <w:rPr>
          <w:spacing w:val="1"/>
          <w:w w:val="112"/>
        </w:rPr>
        <w:t>descomuna</w:t>
      </w:r>
      <w:r>
        <w:rPr>
          <w:w w:val="112"/>
        </w:rPr>
        <w:t>l</w:t>
      </w:r>
      <w:r>
        <w:rPr/>
        <w:t> </w:t>
      </w:r>
      <w:r>
        <w:rPr>
          <w:spacing w:val="-20"/>
        </w:rPr>
        <w:t> </w:t>
      </w:r>
      <w:r>
        <w:rPr>
          <w:spacing w:val="1"/>
          <w:w w:val="115"/>
        </w:rPr>
        <w:t>ca</w:t>
      </w:r>
      <w:r>
        <w:rPr>
          <w:w w:val="103"/>
        </w:rPr>
        <w:t>- </w:t>
      </w:r>
      <w:r>
        <w:rPr>
          <w:w w:val="110"/>
        </w:rPr>
        <w:t>pacidad de fuerza, propia y aliada, sin el logro de victoria política alguna solo contribuye a aumentar el deterioro de su hegemonía en  un contexto de crisis cuyas consecuencias, incluidas las medioam- bientales, energéticas y en derechos humanos, son también percibi- das como amenazas yuxtapuestas para su seguridad. Entretanto, su política no puede admitir  la  pérdida  de  liderazgo  global,  mientras las señales de un orden policéntrico parece experimentar un avance indiscutible: una metamorfosis inconclusa que demanda reinterpre- tar la naturaleza del poder hegemónico y sus expresiones en la po- lítica </w:t>
      </w:r>
      <w:r>
        <w:rPr>
          <w:spacing w:val="34"/>
          <w:w w:val="110"/>
        </w:rPr>
        <w:t> </w:t>
      </w:r>
      <w:r>
        <w:rPr>
          <w:w w:val="110"/>
        </w:rPr>
        <w:t>internacional.</w:t>
      </w:r>
    </w:p>
    <w:p>
      <w:pPr>
        <w:pStyle w:val="BodyText"/>
        <w:rPr>
          <w:sz w:val="20"/>
        </w:rPr>
      </w:pPr>
    </w:p>
    <w:p>
      <w:pPr>
        <w:pStyle w:val="BodyText"/>
        <w:spacing w:before="3"/>
      </w:pPr>
      <w:r>
        <w:rPr/>
        <w:pict>
          <v:line style="position:absolute;mso-position-horizontal-relative:page;mso-position-vertical-relative:paragraph;z-index:7648;mso-wrap-distance-left:0;mso-wrap-distance-right:0" from="76.5354pt,13.534596pt" to="104.8814pt,13.534596pt" stroked="true" strokeweight=".5pt" strokecolor="#000000">
            <w10:wrap type="topAndBottom"/>
          </v:line>
        </w:pict>
      </w:r>
    </w:p>
    <w:p>
      <w:pPr>
        <w:spacing w:line="242" w:lineRule="auto" w:before="89"/>
        <w:ind w:left="330" w:right="41" w:firstLine="0"/>
        <w:jc w:val="left"/>
        <w:rPr>
          <w:sz w:val="16"/>
        </w:rPr>
      </w:pPr>
      <w:r>
        <w:rPr>
          <w:w w:val="110"/>
          <w:sz w:val="16"/>
        </w:rPr>
        <w:t>a sus posiciones, destacando a este respecto que su saldo negativo en Medio oriente resulta paradigmático (Chomsky, 2011).</w:t>
      </w:r>
    </w:p>
    <w:p>
      <w:pPr>
        <w:spacing w:after="0" w:line="242" w:lineRule="auto"/>
        <w:jc w:val="left"/>
        <w:rPr>
          <w:sz w:val="16"/>
        </w:rPr>
        <w:sectPr>
          <w:footerReference w:type="default" r:id="rId446"/>
          <w:footerReference w:type="even" r:id="rId447"/>
          <w:pgSz w:w="8790" w:h="12760"/>
          <w:pgMar w:footer="725" w:header="695" w:top="880" w:bottom="920" w:left="1200" w:right="900"/>
        </w:sectPr>
      </w:pPr>
    </w:p>
    <w:p>
      <w:pPr>
        <w:pStyle w:val="BodyText"/>
        <w:spacing w:before="6"/>
        <w:rPr>
          <w:sz w:val="28"/>
        </w:rPr>
      </w:pPr>
    </w:p>
    <w:p>
      <w:pPr>
        <w:pStyle w:val="Heading6"/>
        <w:spacing w:before="68"/>
      </w:pPr>
      <w:r>
        <w:rPr>
          <w:w w:val="135"/>
        </w:rPr>
        <w:t>la seGuridad desde sus invocaciones</w:t>
      </w:r>
    </w:p>
    <w:p>
      <w:pPr>
        <w:pStyle w:val="BodyText"/>
        <w:spacing w:line="252" w:lineRule="auto" w:before="10"/>
        <w:ind w:left="100" w:right="328"/>
        <w:jc w:val="both"/>
      </w:pPr>
      <w:r>
        <w:rPr>
          <w:w w:val="110"/>
        </w:rPr>
        <w:t>No es muy complicado apreciar el ropaje discursivo de la “lucha con- tra el terrorismo” como asunto de seguridad, que viene a ocupar el sitio que durante la Guerra Fría tuviera la amenaza del llamado “co- munismo internacional” y sus variantes criollas expresadas en los ob- jetivos de la “lucha contra la subversión” o la “guerra contra el ene- </w:t>
      </w:r>
      <w:r>
        <w:rPr>
          <w:w w:val="112"/>
        </w:rPr>
        <w:t>migo</w:t>
      </w:r>
      <w:r>
        <w:rPr/>
        <w:t> </w:t>
      </w:r>
      <w:r>
        <w:rPr>
          <w:spacing w:val="-18"/>
        </w:rPr>
        <w:t> </w:t>
      </w:r>
      <w:r>
        <w:rPr>
          <w:w w:val="111"/>
        </w:rPr>
        <w:t>interno”,</w:t>
      </w:r>
      <w:r>
        <w:rPr/>
        <w:t> </w:t>
      </w:r>
      <w:r>
        <w:rPr>
          <w:spacing w:val="-18"/>
        </w:rPr>
        <w:t> </w:t>
      </w:r>
      <w:r>
        <w:rPr>
          <w:w w:val="109"/>
        </w:rPr>
        <w:t>etcétera.</w:t>
      </w:r>
      <w:r>
        <w:rPr/>
        <w:t> </w:t>
      </w:r>
      <w:r>
        <w:rPr>
          <w:spacing w:val="-18"/>
        </w:rPr>
        <w:t> </w:t>
      </w:r>
      <w:r>
        <w:rPr>
          <w:w w:val="243"/>
        </w:rPr>
        <w:t>l</w:t>
      </w:r>
      <w:r>
        <w:rPr>
          <w:w w:val="112"/>
        </w:rPr>
        <w:t>a</w:t>
      </w:r>
      <w:r>
        <w:rPr/>
        <w:t> </w:t>
      </w:r>
      <w:r>
        <w:rPr>
          <w:spacing w:val="-18"/>
        </w:rPr>
        <w:t> </w:t>
      </w:r>
      <w:r>
        <w:rPr>
          <w:w w:val="110"/>
        </w:rPr>
        <w:t>orientación</w:t>
      </w:r>
      <w:r>
        <w:rPr/>
        <w:t> </w:t>
      </w:r>
      <w:r>
        <w:rPr>
          <w:spacing w:val="-18"/>
        </w:rPr>
        <w:t> </w:t>
      </w:r>
      <w:r>
        <w:rPr>
          <w:w w:val="107"/>
        </w:rPr>
        <w:t>de</w:t>
      </w:r>
      <w:r>
        <w:rPr/>
        <w:t> </w:t>
      </w:r>
      <w:r>
        <w:rPr>
          <w:spacing w:val="-18"/>
        </w:rPr>
        <w:t> </w:t>
      </w:r>
      <w:r>
        <w:rPr>
          <w:w w:val="107"/>
        </w:rPr>
        <w:t>esa</w:t>
      </w:r>
      <w:r>
        <w:rPr/>
        <w:t> </w:t>
      </w:r>
      <w:r>
        <w:rPr>
          <w:spacing w:val="-18"/>
        </w:rPr>
        <w:t> </w:t>
      </w:r>
      <w:r>
        <w:rPr>
          <w:w w:val="111"/>
        </w:rPr>
        <w:t>política</w:t>
      </w:r>
      <w:r>
        <w:rPr/>
        <w:t> </w:t>
      </w:r>
      <w:r>
        <w:rPr>
          <w:spacing w:val="-18"/>
        </w:rPr>
        <w:t> </w:t>
      </w:r>
      <w:r>
        <w:rPr>
          <w:w w:val="112"/>
        </w:rPr>
        <w:t>ha</w:t>
      </w:r>
      <w:r>
        <w:rPr/>
        <w:t> </w:t>
      </w:r>
      <w:r>
        <w:rPr>
          <w:spacing w:val="-18"/>
        </w:rPr>
        <w:t> </w:t>
      </w:r>
      <w:r>
        <w:rPr>
          <w:w w:val="110"/>
        </w:rPr>
        <w:t>construido </w:t>
      </w:r>
      <w:r>
        <w:rPr>
          <w:w w:val="110"/>
        </w:rPr>
        <w:t>la conformación de un enemigo y a la vez como soporte en sus ne- cesidades internas de cohesión social y legitimidad estatal. Para los estudiosos de la tradición política del país del norte, no constituye mayor novedad la noción de “fortaleza sitiada” que como tal exige ser protegida ante las amenazas conceptualizadas como tales, sin ningún </w:t>
      </w:r>
      <w:r>
        <w:rPr>
          <w:w w:val="109"/>
        </w:rPr>
        <w:t>tipo</w:t>
      </w:r>
      <w:r>
        <w:rPr>
          <w:spacing w:val="14"/>
        </w:rPr>
        <w:t> </w:t>
      </w:r>
      <w:r>
        <w:rPr>
          <w:w w:val="107"/>
        </w:rPr>
        <w:t>de</w:t>
      </w:r>
      <w:r>
        <w:rPr>
          <w:spacing w:val="14"/>
        </w:rPr>
        <w:t> </w:t>
      </w:r>
      <w:r>
        <w:rPr>
          <w:w w:val="107"/>
        </w:rPr>
        <w:t>regateo</w:t>
      </w:r>
      <w:r>
        <w:rPr>
          <w:spacing w:val="14"/>
        </w:rPr>
        <w:t> </w:t>
      </w:r>
      <w:r>
        <w:rPr>
          <w:w w:val="109"/>
        </w:rPr>
        <w:t>presupuestario.</w:t>
      </w:r>
      <w:r>
        <w:rPr>
          <w:spacing w:val="14"/>
        </w:rPr>
        <w:t> </w:t>
      </w:r>
      <w:r>
        <w:rPr>
          <w:w w:val="243"/>
        </w:rPr>
        <w:t>l</w:t>
      </w:r>
      <w:r>
        <w:rPr>
          <w:w w:val="112"/>
        </w:rPr>
        <w:t>a</w:t>
      </w:r>
      <w:r>
        <w:rPr>
          <w:spacing w:val="14"/>
        </w:rPr>
        <w:t> </w:t>
      </w:r>
      <w:r>
        <w:rPr>
          <w:w w:val="111"/>
        </w:rPr>
        <w:t>amenaza</w:t>
      </w:r>
      <w:r>
        <w:rPr>
          <w:spacing w:val="14"/>
        </w:rPr>
        <w:t> </w:t>
      </w:r>
      <w:r>
        <w:rPr>
          <w:w w:val="112"/>
        </w:rPr>
        <w:t>a</w:t>
      </w:r>
      <w:r>
        <w:rPr>
          <w:spacing w:val="14"/>
        </w:rPr>
        <w:t> </w:t>
      </w:r>
      <w:r>
        <w:rPr>
          <w:w w:val="111"/>
        </w:rPr>
        <w:t>la</w:t>
      </w:r>
      <w:r>
        <w:rPr>
          <w:spacing w:val="14"/>
        </w:rPr>
        <w:t> </w:t>
      </w:r>
      <w:r>
        <w:rPr>
          <w:w w:val="109"/>
        </w:rPr>
        <w:t>seguridad</w:t>
      </w:r>
      <w:r>
        <w:rPr>
          <w:spacing w:val="14"/>
        </w:rPr>
        <w:t> </w:t>
      </w:r>
      <w:r>
        <w:rPr>
          <w:w w:val="111"/>
        </w:rPr>
        <w:t>no</w:t>
      </w:r>
      <w:r>
        <w:rPr>
          <w:spacing w:val="14"/>
        </w:rPr>
        <w:t> </w:t>
      </w:r>
      <w:r>
        <w:rPr>
          <w:w w:val="110"/>
        </w:rPr>
        <w:t>admite </w:t>
      </w:r>
      <w:r>
        <w:rPr>
          <w:w w:val="110"/>
        </w:rPr>
        <w:t>discusión alguna.  “Eje  del  mal”,  “gobiernos  populistas”,  “cómplices y patrocinadores del terrorismo”, “gobiernos no democráticos” son, entre</w:t>
      </w:r>
      <w:r>
        <w:rPr>
          <w:spacing w:val="-5"/>
          <w:w w:val="110"/>
        </w:rPr>
        <w:t> </w:t>
      </w:r>
      <w:r>
        <w:rPr>
          <w:w w:val="110"/>
        </w:rPr>
        <w:t>otras</w:t>
      </w:r>
      <w:r>
        <w:rPr>
          <w:spacing w:val="-5"/>
          <w:w w:val="110"/>
        </w:rPr>
        <w:t> </w:t>
      </w:r>
      <w:r>
        <w:rPr>
          <w:w w:val="110"/>
        </w:rPr>
        <w:t>construcciones,</w:t>
      </w:r>
      <w:r>
        <w:rPr>
          <w:spacing w:val="-5"/>
          <w:w w:val="110"/>
        </w:rPr>
        <w:t> </w:t>
      </w:r>
      <w:r>
        <w:rPr>
          <w:w w:val="110"/>
        </w:rPr>
        <w:t>referentes</w:t>
      </w:r>
      <w:r>
        <w:rPr>
          <w:spacing w:val="-5"/>
          <w:w w:val="110"/>
        </w:rPr>
        <w:t> </w:t>
      </w:r>
      <w:r>
        <w:rPr>
          <w:w w:val="110"/>
        </w:rPr>
        <w:t>que</w:t>
      </w:r>
      <w:r>
        <w:rPr>
          <w:spacing w:val="-5"/>
          <w:w w:val="110"/>
        </w:rPr>
        <w:t> </w:t>
      </w:r>
      <w:r>
        <w:rPr>
          <w:w w:val="110"/>
        </w:rPr>
        <w:t>se</w:t>
      </w:r>
      <w:r>
        <w:rPr>
          <w:spacing w:val="-5"/>
          <w:w w:val="110"/>
        </w:rPr>
        <w:t> </w:t>
      </w:r>
      <w:r>
        <w:rPr>
          <w:w w:val="110"/>
        </w:rPr>
        <w:t>invocan</w:t>
      </w:r>
      <w:r>
        <w:rPr>
          <w:spacing w:val="-5"/>
          <w:w w:val="110"/>
        </w:rPr>
        <w:t> </w:t>
      </w:r>
      <w:r>
        <w:rPr>
          <w:w w:val="110"/>
        </w:rPr>
        <w:t>ideológicamente ante la población norteamericana y la opinión pública mundial en la justificación de una política. Puede resumirse que habiendo desapare- cido el “bloque socialista” durante la vigencia del mundo </w:t>
      </w:r>
      <w:r>
        <w:rPr>
          <w:spacing w:val="-3"/>
          <w:w w:val="110"/>
        </w:rPr>
        <w:t>bipolar, </w:t>
      </w:r>
      <w:r>
        <w:rPr>
          <w:w w:val="110"/>
        </w:rPr>
        <w:t>ac- tualmente para el </w:t>
      </w:r>
      <w:r>
        <w:rPr>
          <w:i/>
          <w:w w:val="110"/>
        </w:rPr>
        <w:t>establishment </w:t>
      </w:r>
      <w:r>
        <w:rPr>
          <w:w w:val="110"/>
        </w:rPr>
        <w:t>estadounidense el enemigo, a abatir o neutralizar, está domiciliado en todos los pueblos a los que se les atri- buye capacidad o disposición para cuestionar el orden hegemónico, que incluye centralmente gobiernos, fuerzas, movimientos o posicio- nes intelectuales calificados como</w:t>
      </w:r>
      <w:r>
        <w:rPr>
          <w:spacing w:val="37"/>
          <w:w w:val="110"/>
        </w:rPr>
        <w:t> </w:t>
      </w:r>
      <w:r>
        <w:rPr>
          <w:w w:val="110"/>
        </w:rPr>
        <w:t>“anti-estadounidenses”.</w:t>
      </w:r>
    </w:p>
    <w:p>
      <w:pPr>
        <w:pStyle w:val="BodyText"/>
        <w:spacing w:line="252" w:lineRule="auto"/>
        <w:ind w:left="100" w:right="328" w:firstLine="396"/>
        <w:jc w:val="both"/>
      </w:pPr>
      <w:r>
        <w:rPr>
          <w:w w:val="110"/>
        </w:rPr>
        <w:t>En un </w:t>
      </w:r>
      <w:r>
        <w:rPr>
          <w:spacing w:val="-3"/>
          <w:w w:val="110"/>
        </w:rPr>
        <w:t>esfuerzo reflexivo como éste, encaminado </w:t>
      </w:r>
      <w:r>
        <w:rPr>
          <w:w w:val="110"/>
        </w:rPr>
        <w:t>en </w:t>
      </w:r>
      <w:r>
        <w:rPr>
          <w:spacing w:val="-3"/>
          <w:w w:val="110"/>
        </w:rPr>
        <w:t>este punto </w:t>
      </w:r>
      <w:r>
        <w:rPr>
          <w:w w:val="110"/>
        </w:rPr>
        <w:t>a </w:t>
      </w:r>
      <w:r>
        <w:rPr>
          <w:spacing w:val="-3"/>
          <w:w w:val="110"/>
        </w:rPr>
        <w:t>mostrar </w:t>
      </w:r>
      <w:r>
        <w:rPr>
          <w:w w:val="110"/>
        </w:rPr>
        <w:t>el </w:t>
      </w:r>
      <w:r>
        <w:rPr>
          <w:spacing w:val="-3"/>
          <w:w w:val="110"/>
        </w:rPr>
        <w:t>peso </w:t>
      </w:r>
      <w:r>
        <w:rPr>
          <w:w w:val="110"/>
        </w:rPr>
        <w:t>de las </w:t>
      </w:r>
      <w:r>
        <w:rPr>
          <w:spacing w:val="-3"/>
          <w:w w:val="110"/>
        </w:rPr>
        <w:t>invocaciones, </w:t>
      </w:r>
      <w:r>
        <w:rPr>
          <w:w w:val="110"/>
        </w:rPr>
        <w:t>es </w:t>
      </w:r>
      <w:r>
        <w:rPr>
          <w:spacing w:val="-3"/>
          <w:w w:val="110"/>
        </w:rPr>
        <w:t>altamente relevante cuando se </w:t>
      </w:r>
      <w:r>
        <w:rPr>
          <w:spacing w:val="-3"/>
          <w:w w:val="110"/>
        </w:rPr>
        <w:t>busc</w:t>
      </w:r>
      <w:r>
        <w:rPr>
          <w:w w:val="110"/>
        </w:rPr>
        <w:t>a</w:t>
      </w:r>
      <w:r>
        <w:rPr/>
        <w:t> </w:t>
      </w:r>
      <w:r>
        <w:rPr>
          <w:spacing w:val="-3"/>
          <w:w w:val="109"/>
        </w:rPr>
        <w:t>distinguirla</w:t>
      </w:r>
      <w:r>
        <w:rPr>
          <w:w w:val="109"/>
        </w:rPr>
        <w:t>s</w:t>
      </w:r>
      <w:r>
        <w:rPr/>
        <w:t> </w:t>
      </w:r>
      <w:r>
        <w:rPr>
          <w:spacing w:val="-3"/>
          <w:w w:val="107"/>
        </w:rPr>
        <w:t>–si</w:t>
      </w:r>
      <w:r>
        <w:rPr>
          <w:w w:val="107"/>
        </w:rPr>
        <w:t>n</w:t>
      </w:r>
      <w:r>
        <w:rPr/>
        <w:t> </w:t>
      </w:r>
      <w:r>
        <w:rPr>
          <w:spacing w:val="-3"/>
          <w:w w:val="106"/>
        </w:rPr>
        <w:t>separarlas</w:t>
      </w:r>
      <w:r>
        <w:rPr>
          <w:w w:val="106"/>
        </w:rPr>
        <w:t>–</w:t>
      </w:r>
      <w:r>
        <w:rPr/>
        <w:t> </w:t>
      </w:r>
      <w:r>
        <w:rPr>
          <w:spacing w:val="-3"/>
          <w:w w:val="105"/>
        </w:rPr>
        <w:t>d</w:t>
      </w:r>
      <w:r>
        <w:rPr>
          <w:w w:val="105"/>
        </w:rPr>
        <w:t>e</w:t>
      </w:r>
      <w:r>
        <w:rPr/>
        <w:t> </w:t>
      </w:r>
      <w:r>
        <w:rPr>
          <w:spacing w:val="-3"/>
          <w:w w:val="107"/>
        </w:rPr>
        <w:t>lo</w:t>
      </w:r>
      <w:r>
        <w:rPr>
          <w:w w:val="107"/>
        </w:rPr>
        <w:t>s</w:t>
      </w:r>
      <w:r>
        <w:rPr/>
        <w:t> </w:t>
      </w:r>
      <w:r>
        <w:rPr>
          <w:spacing w:val="-3"/>
          <w:w w:val="108"/>
        </w:rPr>
        <w:t>objetivos</w:t>
      </w:r>
      <w:r>
        <w:rPr>
          <w:w w:val="108"/>
        </w:rPr>
        <w:t>.</w:t>
      </w:r>
      <w:r>
        <w:rPr/>
        <w:t> </w:t>
      </w:r>
      <w:r>
        <w:rPr>
          <w:spacing w:val="-3"/>
          <w:w w:val="241"/>
        </w:rPr>
        <w:t>l</w:t>
      </w:r>
      <w:r>
        <w:rPr>
          <w:spacing w:val="-3"/>
          <w:w w:val="108"/>
        </w:rPr>
        <w:t>a</w:t>
      </w:r>
      <w:r>
        <w:rPr>
          <w:w w:val="108"/>
        </w:rPr>
        <w:t>s</w:t>
      </w:r>
      <w:r>
        <w:rPr/>
        <w:t> </w:t>
      </w:r>
      <w:r>
        <w:rPr>
          <w:spacing w:val="-3"/>
          <w:w w:val="109"/>
        </w:rPr>
        <w:t>invocacione</w:t>
      </w:r>
      <w:r>
        <w:rPr>
          <w:w w:val="109"/>
        </w:rPr>
        <w:t>s</w:t>
      </w:r>
      <w:r>
        <w:rPr/>
        <w:t> </w:t>
      </w:r>
      <w:r>
        <w:rPr>
          <w:spacing w:val="-3"/>
          <w:w w:val="104"/>
        </w:rPr>
        <w:t>es</w:t>
      </w:r>
      <w:r>
        <w:rPr>
          <w:w w:val="101"/>
        </w:rPr>
        <w:t>- </w:t>
      </w:r>
      <w:r>
        <w:rPr>
          <w:w w:val="110"/>
        </w:rPr>
        <w:t>tán </w:t>
      </w:r>
      <w:r>
        <w:rPr>
          <w:spacing w:val="-3"/>
          <w:w w:val="110"/>
        </w:rPr>
        <w:t>construidas para justificar </w:t>
      </w:r>
      <w:r>
        <w:rPr>
          <w:w w:val="110"/>
        </w:rPr>
        <w:t>un </w:t>
      </w:r>
      <w:r>
        <w:rPr>
          <w:spacing w:val="-3"/>
          <w:w w:val="110"/>
        </w:rPr>
        <w:t>accionar estratégico </w:t>
      </w:r>
      <w:r>
        <w:rPr>
          <w:w w:val="110"/>
        </w:rPr>
        <w:t>y </w:t>
      </w:r>
      <w:r>
        <w:rPr>
          <w:spacing w:val="-3"/>
          <w:w w:val="110"/>
        </w:rPr>
        <w:t>sirven </w:t>
      </w:r>
      <w:r>
        <w:rPr>
          <w:w w:val="110"/>
        </w:rPr>
        <w:t>de </w:t>
      </w:r>
      <w:r>
        <w:rPr>
          <w:spacing w:val="-3"/>
          <w:w w:val="110"/>
        </w:rPr>
        <w:t>envol- </w:t>
      </w:r>
      <w:r>
        <w:rPr>
          <w:spacing w:val="-3"/>
          <w:w w:val="107"/>
        </w:rPr>
        <w:t>tura</w:t>
      </w:r>
      <w:r>
        <w:rPr>
          <w:w w:val="107"/>
        </w:rPr>
        <w:t>s</w:t>
      </w:r>
      <w:r>
        <w:rPr>
          <w:spacing w:val="-7"/>
        </w:rPr>
        <w:t> </w:t>
      </w:r>
      <w:r>
        <w:rPr>
          <w:spacing w:val="-3"/>
          <w:w w:val="108"/>
        </w:rPr>
        <w:t>par</w:t>
      </w:r>
      <w:r>
        <w:rPr>
          <w:w w:val="108"/>
        </w:rPr>
        <w:t>a</w:t>
      </w:r>
      <w:r>
        <w:rPr>
          <w:spacing w:val="-7"/>
        </w:rPr>
        <w:t> </w:t>
      </w:r>
      <w:r>
        <w:rPr>
          <w:spacing w:val="-3"/>
          <w:w w:val="107"/>
        </w:rPr>
        <w:t>esconde</w:t>
      </w:r>
      <w:r>
        <w:rPr>
          <w:w w:val="107"/>
        </w:rPr>
        <w:t>r</w:t>
      </w:r>
      <w:r>
        <w:rPr>
          <w:spacing w:val="-7"/>
        </w:rPr>
        <w:t> </w:t>
      </w:r>
      <w:r>
        <w:rPr>
          <w:spacing w:val="-3"/>
          <w:w w:val="110"/>
        </w:rPr>
        <w:t>l</w:t>
      </w:r>
      <w:r>
        <w:rPr>
          <w:w w:val="110"/>
        </w:rPr>
        <w:t>a</w:t>
      </w:r>
      <w:r>
        <w:rPr>
          <w:spacing w:val="-7"/>
        </w:rPr>
        <w:t> </w:t>
      </w:r>
      <w:r>
        <w:rPr>
          <w:spacing w:val="-3"/>
          <w:w w:val="106"/>
        </w:rPr>
        <w:t>verdader</w:t>
      </w:r>
      <w:r>
        <w:rPr>
          <w:w w:val="106"/>
        </w:rPr>
        <w:t>a</w:t>
      </w:r>
      <w:r>
        <w:rPr>
          <w:spacing w:val="-7"/>
        </w:rPr>
        <w:t> </w:t>
      </w:r>
      <w:r>
        <w:rPr>
          <w:spacing w:val="-3"/>
          <w:w w:val="107"/>
        </w:rPr>
        <w:t>estrategi</w:t>
      </w:r>
      <w:r>
        <w:rPr>
          <w:w w:val="107"/>
        </w:rPr>
        <w:t>a</w:t>
      </w:r>
      <w:r>
        <w:rPr>
          <w:spacing w:val="-7"/>
        </w:rPr>
        <w:t> </w:t>
      </w:r>
      <w:r>
        <w:rPr>
          <w:spacing w:val="-3"/>
          <w:w w:val="105"/>
        </w:rPr>
        <w:t>d</w:t>
      </w:r>
      <w:r>
        <w:rPr>
          <w:w w:val="105"/>
        </w:rPr>
        <w:t>e</w:t>
      </w:r>
      <w:r>
        <w:rPr>
          <w:spacing w:val="-7"/>
        </w:rPr>
        <w:t> </w:t>
      </w:r>
      <w:r>
        <w:rPr>
          <w:spacing w:val="-3"/>
          <w:w w:val="111"/>
        </w:rPr>
        <w:t>dich</w:t>
      </w:r>
      <w:r>
        <w:rPr>
          <w:w w:val="111"/>
        </w:rPr>
        <w:t>o</w:t>
      </w:r>
      <w:r>
        <w:rPr>
          <w:spacing w:val="-7"/>
        </w:rPr>
        <w:t> </w:t>
      </w:r>
      <w:r>
        <w:rPr>
          <w:spacing w:val="-3"/>
          <w:w w:val="112"/>
        </w:rPr>
        <w:t>acciona</w:t>
      </w:r>
      <w:r>
        <w:rPr>
          <w:spacing w:val="-25"/>
          <w:w w:val="104"/>
        </w:rPr>
        <w:t>r</w:t>
      </w:r>
      <w:r>
        <w:rPr>
          <w:w w:val="137"/>
        </w:rPr>
        <w:t>.</w:t>
      </w:r>
      <w:r>
        <w:rPr>
          <w:spacing w:val="-8"/>
        </w:rPr>
        <w:t> </w:t>
      </w:r>
      <w:r>
        <w:rPr>
          <w:spacing w:val="-3"/>
          <w:w w:val="241"/>
        </w:rPr>
        <w:t>l</w:t>
      </w:r>
      <w:r>
        <w:rPr>
          <w:w w:val="111"/>
        </w:rPr>
        <w:t>a</w:t>
      </w:r>
      <w:r>
        <w:rPr>
          <w:spacing w:val="-7"/>
        </w:rPr>
        <w:t> </w:t>
      </w:r>
      <w:r>
        <w:rPr>
          <w:spacing w:val="-3"/>
          <w:w w:val="111"/>
        </w:rPr>
        <w:t>gam</w:t>
      </w:r>
      <w:r>
        <w:rPr>
          <w:w w:val="111"/>
        </w:rPr>
        <w:t>a</w:t>
      </w:r>
      <w:r>
        <w:rPr>
          <w:spacing w:val="-7"/>
        </w:rPr>
        <w:t> </w:t>
      </w:r>
      <w:r>
        <w:rPr>
          <w:spacing w:val="-3"/>
          <w:w w:val="105"/>
        </w:rPr>
        <w:t>de </w:t>
      </w:r>
      <w:r>
        <w:rPr>
          <w:spacing w:val="-3"/>
          <w:w w:val="110"/>
        </w:rPr>
        <w:t>construcciones modernas </w:t>
      </w:r>
      <w:r>
        <w:rPr>
          <w:w w:val="110"/>
        </w:rPr>
        <w:t>por </w:t>
      </w:r>
      <w:r>
        <w:rPr>
          <w:spacing w:val="-3"/>
          <w:w w:val="110"/>
        </w:rPr>
        <w:t>parte </w:t>
      </w:r>
      <w:r>
        <w:rPr>
          <w:w w:val="110"/>
        </w:rPr>
        <w:t>del </w:t>
      </w:r>
      <w:r>
        <w:rPr>
          <w:spacing w:val="-3"/>
          <w:w w:val="110"/>
        </w:rPr>
        <w:t>poder hegemónico registra una considerable</w:t>
      </w:r>
      <w:r>
        <w:rPr>
          <w:spacing w:val="-10"/>
          <w:w w:val="110"/>
        </w:rPr>
        <w:t> </w:t>
      </w:r>
      <w:r>
        <w:rPr>
          <w:spacing w:val="-3"/>
          <w:w w:val="110"/>
        </w:rPr>
        <w:t>amplitud</w:t>
      </w:r>
      <w:r>
        <w:rPr>
          <w:spacing w:val="-10"/>
          <w:w w:val="110"/>
        </w:rPr>
        <w:t> </w:t>
      </w:r>
      <w:r>
        <w:rPr>
          <w:spacing w:val="-3"/>
          <w:w w:val="110"/>
        </w:rPr>
        <w:t>didáctica,</w:t>
      </w:r>
      <w:r>
        <w:rPr>
          <w:spacing w:val="-10"/>
          <w:w w:val="110"/>
        </w:rPr>
        <w:t> </w:t>
      </w:r>
      <w:r>
        <w:rPr>
          <w:spacing w:val="-3"/>
          <w:w w:val="110"/>
        </w:rPr>
        <w:t>desde</w:t>
      </w:r>
      <w:r>
        <w:rPr>
          <w:spacing w:val="-10"/>
          <w:w w:val="110"/>
        </w:rPr>
        <w:t> </w:t>
      </w:r>
      <w:r>
        <w:rPr>
          <w:spacing w:val="-3"/>
          <w:w w:val="110"/>
        </w:rPr>
        <w:t>aquel</w:t>
      </w:r>
      <w:r>
        <w:rPr>
          <w:spacing w:val="-10"/>
          <w:w w:val="110"/>
        </w:rPr>
        <w:t> </w:t>
      </w:r>
      <w:r>
        <w:rPr>
          <w:spacing w:val="-3"/>
          <w:w w:val="110"/>
        </w:rPr>
        <w:t>pretexto</w:t>
      </w:r>
      <w:r>
        <w:rPr>
          <w:spacing w:val="-10"/>
          <w:w w:val="110"/>
        </w:rPr>
        <w:t> </w:t>
      </w:r>
      <w:r>
        <w:rPr>
          <w:w w:val="110"/>
        </w:rPr>
        <w:t>del</w:t>
      </w:r>
      <w:r>
        <w:rPr>
          <w:spacing w:val="-10"/>
          <w:w w:val="110"/>
        </w:rPr>
        <w:t> </w:t>
      </w:r>
      <w:r>
        <w:rPr>
          <w:spacing w:val="-3"/>
          <w:w w:val="110"/>
        </w:rPr>
        <w:t>arsenal</w:t>
      </w:r>
      <w:r>
        <w:rPr>
          <w:spacing w:val="-10"/>
          <w:w w:val="110"/>
        </w:rPr>
        <w:t> </w:t>
      </w:r>
      <w:r>
        <w:rPr>
          <w:spacing w:val="-3"/>
          <w:w w:val="110"/>
        </w:rPr>
        <w:t>para</w:t>
      </w:r>
      <w:r>
        <w:rPr>
          <w:spacing w:val="-10"/>
          <w:w w:val="110"/>
        </w:rPr>
        <w:t> </w:t>
      </w:r>
      <w:r>
        <w:rPr>
          <w:spacing w:val="-3"/>
          <w:w w:val="110"/>
        </w:rPr>
        <w:t>la construcción </w:t>
      </w:r>
      <w:r>
        <w:rPr>
          <w:w w:val="110"/>
        </w:rPr>
        <w:t>de </w:t>
      </w:r>
      <w:r>
        <w:rPr>
          <w:spacing w:val="-3"/>
          <w:w w:val="110"/>
        </w:rPr>
        <w:t>“armas </w:t>
      </w:r>
      <w:r>
        <w:rPr>
          <w:w w:val="110"/>
        </w:rPr>
        <w:t>de </w:t>
      </w:r>
      <w:r>
        <w:rPr>
          <w:spacing w:val="-3"/>
          <w:w w:val="110"/>
        </w:rPr>
        <w:t>destrucción masiva”, </w:t>
      </w:r>
      <w:r>
        <w:rPr>
          <w:w w:val="110"/>
        </w:rPr>
        <w:t>que </w:t>
      </w:r>
      <w:r>
        <w:rPr>
          <w:spacing w:val="-3"/>
          <w:w w:val="110"/>
        </w:rPr>
        <w:t>sirviera </w:t>
      </w:r>
      <w:r>
        <w:rPr>
          <w:w w:val="110"/>
        </w:rPr>
        <w:t>de</w:t>
      </w:r>
      <w:r>
        <w:rPr>
          <w:spacing w:val="-17"/>
          <w:w w:val="110"/>
        </w:rPr>
        <w:t> </w:t>
      </w:r>
      <w:r>
        <w:rPr>
          <w:spacing w:val="-3"/>
          <w:w w:val="110"/>
        </w:rPr>
        <w:t>antesala para </w:t>
      </w:r>
      <w:r>
        <w:rPr>
          <w:w w:val="110"/>
        </w:rPr>
        <w:t>la </w:t>
      </w:r>
      <w:r>
        <w:rPr>
          <w:spacing w:val="-3"/>
          <w:w w:val="110"/>
        </w:rPr>
        <w:t>invasión </w:t>
      </w:r>
      <w:r>
        <w:rPr>
          <w:w w:val="110"/>
        </w:rPr>
        <w:t>a </w:t>
      </w:r>
      <w:r>
        <w:rPr>
          <w:spacing w:val="-3"/>
          <w:w w:val="110"/>
        </w:rPr>
        <w:t>irak, hasta </w:t>
      </w:r>
      <w:r>
        <w:rPr>
          <w:w w:val="110"/>
        </w:rPr>
        <w:t>la más </w:t>
      </w:r>
      <w:r>
        <w:rPr>
          <w:spacing w:val="-3"/>
          <w:w w:val="110"/>
        </w:rPr>
        <w:t>reciente situación </w:t>
      </w:r>
      <w:r>
        <w:rPr>
          <w:w w:val="110"/>
        </w:rPr>
        <w:t>del </w:t>
      </w:r>
      <w:r>
        <w:rPr>
          <w:spacing w:val="-3"/>
          <w:w w:val="110"/>
        </w:rPr>
        <w:t>pueblo </w:t>
      </w:r>
      <w:r>
        <w:rPr>
          <w:w w:val="110"/>
        </w:rPr>
        <w:t>ye- </w:t>
      </w:r>
      <w:r>
        <w:rPr>
          <w:spacing w:val="-3"/>
          <w:w w:val="110"/>
        </w:rPr>
        <w:t>menita </w:t>
      </w:r>
      <w:r>
        <w:rPr>
          <w:w w:val="110"/>
        </w:rPr>
        <w:t>que </w:t>
      </w:r>
      <w:r>
        <w:rPr>
          <w:spacing w:val="-3"/>
          <w:w w:val="110"/>
        </w:rPr>
        <w:t>demandaría </w:t>
      </w:r>
      <w:r>
        <w:rPr>
          <w:w w:val="110"/>
        </w:rPr>
        <w:t>una </w:t>
      </w:r>
      <w:r>
        <w:rPr>
          <w:spacing w:val="-3"/>
          <w:w w:val="110"/>
        </w:rPr>
        <w:t>“acción humanitaria </w:t>
      </w:r>
      <w:r>
        <w:rPr>
          <w:w w:val="110"/>
        </w:rPr>
        <w:t>de </w:t>
      </w:r>
      <w:r>
        <w:rPr>
          <w:spacing w:val="-3"/>
          <w:w w:val="110"/>
        </w:rPr>
        <w:t>protección” ante la supuesta</w:t>
      </w:r>
      <w:r>
        <w:rPr>
          <w:spacing w:val="-21"/>
          <w:w w:val="110"/>
        </w:rPr>
        <w:t> </w:t>
      </w:r>
      <w:r>
        <w:rPr>
          <w:spacing w:val="-3"/>
          <w:w w:val="110"/>
        </w:rPr>
        <w:t>intervención</w:t>
      </w:r>
      <w:r>
        <w:rPr>
          <w:spacing w:val="-21"/>
          <w:w w:val="110"/>
        </w:rPr>
        <w:t> </w:t>
      </w:r>
      <w:r>
        <w:rPr>
          <w:w w:val="110"/>
        </w:rPr>
        <w:t>de</w:t>
      </w:r>
      <w:r>
        <w:rPr>
          <w:spacing w:val="-21"/>
          <w:w w:val="110"/>
        </w:rPr>
        <w:t> </w:t>
      </w:r>
      <w:r>
        <w:rPr>
          <w:spacing w:val="-3"/>
          <w:w w:val="110"/>
        </w:rPr>
        <w:t>irán,</w:t>
      </w:r>
      <w:r>
        <w:rPr>
          <w:spacing w:val="-21"/>
          <w:w w:val="110"/>
        </w:rPr>
        <w:t> </w:t>
      </w:r>
      <w:r>
        <w:rPr>
          <w:spacing w:val="-3"/>
          <w:w w:val="110"/>
        </w:rPr>
        <w:t>pasando</w:t>
      </w:r>
      <w:r>
        <w:rPr>
          <w:spacing w:val="-21"/>
          <w:w w:val="110"/>
        </w:rPr>
        <w:t> </w:t>
      </w:r>
      <w:r>
        <w:rPr>
          <w:w w:val="110"/>
        </w:rPr>
        <w:t>por</w:t>
      </w:r>
      <w:r>
        <w:rPr>
          <w:spacing w:val="-21"/>
          <w:w w:val="110"/>
        </w:rPr>
        <w:t> </w:t>
      </w:r>
      <w:r>
        <w:rPr>
          <w:w w:val="110"/>
        </w:rPr>
        <w:t>el</w:t>
      </w:r>
      <w:r>
        <w:rPr>
          <w:spacing w:val="-21"/>
          <w:w w:val="110"/>
        </w:rPr>
        <w:t> </w:t>
      </w:r>
      <w:r>
        <w:rPr>
          <w:spacing w:val="-3"/>
          <w:w w:val="110"/>
        </w:rPr>
        <w:t>decreto</w:t>
      </w:r>
      <w:r>
        <w:rPr>
          <w:spacing w:val="-21"/>
          <w:w w:val="110"/>
        </w:rPr>
        <w:t> </w:t>
      </w:r>
      <w:r>
        <w:rPr>
          <w:w w:val="110"/>
        </w:rPr>
        <w:t>del</w:t>
      </w:r>
      <w:r>
        <w:rPr>
          <w:spacing w:val="-21"/>
          <w:w w:val="110"/>
        </w:rPr>
        <w:t> </w:t>
      </w:r>
      <w:r>
        <w:rPr>
          <w:spacing w:val="-3"/>
          <w:w w:val="110"/>
        </w:rPr>
        <w:t>09/03/2015</w:t>
      </w:r>
      <w:r>
        <w:rPr>
          <w:spacing w:val="-21"/>
          <w:w w:val="110"/>
        </w:rPr>
        <w:t> </w:t>
      </w:r>
      <w:r>
        <w:rPr>
          <w:spacing w:val="-3"/>
          <w:w w:val="110"/>
        </w:rPr>
        <w:t>se- </w:t>
      </w:r>
      <w:r>
        <w:rPr>
          <w:w w:val="110"/>
        </w:rPr>
        <w:t>gún el </w:t>
      </w:r>
      <w:r>
        <w:rPr>
          <w:spacing w:val="-3"/>
          <w:w w:val="110"/>
        </w:rPr>
        <w:t>cual declara </w:t>
      </w:r>
      <w:r>
        <w:rPr>
          <w:w w:val="110"/>
        </w:rPr>
        <w:t>una </w:t>
      </w:r>
      <w:r>
        <w:rPr>
          <w:spacing w:val="-3"/>
          <w:w w:val="110"/>
        </w:rPr>
        <w:t>emergencia nacional </w:t>
      </w:r>
      <w:r>
        <w:rPr>
          <w:w w:val="110"/>
        </w:rPr>
        <w:t>con </w:t>
      </w:r>
      <w:r>
        <w:rPr>
          <w:spacing w:val="-3"/>
          <w:w w:val="110"/>
        </w:rPr>
        <w:t>respecto </w:t>
      </w:r>
      <w:r>
        <w:rPr>
          <w:w w:val="110"/>
        </w:rPr>
        <w:t>a “la </w:t>
      </w:r>
      <w:r>
        <w:rPr>
          <w:spacing w:val="-3"/>
          <w:w w:val="110"/>
        </w:rPr>
        <w:t>amenaza inusual </w:t>
      </w:r>
      <w:r>
        <w:rPr>
          <w:w w:val="110"/>
        </w:rPr>
        <w:t>y </w:t>
      </w:r>
      <w:r>
        <w:rPr>
          <w:spacing w:val="-3"/>
          <w:w w:val="110"/>
        </w:rPr>
        <w:t>extraordinaria para </w:t>
      </w:r>
      <w:r>
        <w:rPr>
          <w:w w:val="110"/>
        </w:rPr>
        <w:t>la </w:t>
      </w:r>
      <w:r>
        <w:rPr>
          <w:spacing w:val="-3"/>
          <w:w w:val="110"/>
        </w:rPr>
        <w:t>seguridad nacional </w:t>
      </w:r>
      <w:r>
        <w:rPr>
          <w:w w:val="110"/>
        </w:rPr>
        <w:t>y la </w:t>
      </w:r>
      <w:r>
        <w:rPr>
          <w:spacing w:val="-3"/>
          <w:w w:val="110"/>
        </w:rPr>
        <w:t>política exterior </w:t>
      </w:r>
      <w:r>
        <w:rPr>
          <w:w w:val="110"/>
        </w:rPr>
        <w:t>de </w:t>
      </w:r>
      <w:r>
        <w:rPr>
          <w:spacing w:val="-3"/>
          <w:w w:val="110"/>
        </w:rPr>
        <w:t>Estados unidos” representada </w:t>
      </w:r>
      <w:r>
        <w:rPr>
          <w:w w:val="110"/>
        </w:rPr>
        <w:t>por la </w:t>
      </w:r>
      <w:r>
        <w:rPr>
          <w:spacing w:val="-3"/>
          <w:w w:val="110"/>
        </w:rPr>
        <w:t>situación </w:t>
      </w:r>
      <w:r>
        <w:rPr>
          <w:w w:val="110"/>
        </w:rPr>
        <w:t>en</w:t>
      </w:r>
      <w:r>
        <w:rPr>
          <w:spacing w:val="10"/>
          <w:w w:val="110"/>
        </w:rPr>
        <w:t> </w:t>
      </w:r>
      <w:r>
        <w:rPr>
          <w:spacing w:val="-5"/>
          <w:w w:val="110"/>
        </w:rPr>
        <w:t>Venezuela.</w:t>
      </w:r>
    </w:p>
    <w:p>
      <w:pPr>
        <w:pStyle w:val="BodyText"/>
        <w:spacing w:before="5"/>
      </w:pPr>
    </w:p>
    <w:p>
      <w:pPr>
        <w:pStyle w:val="Heading6"/>
      </w:pPr>
      <w:r>
        <w:rPr>
          <w:w w:val="125"/>
        </w:rPr>
        <w:t>Piezas de la HeGeMonÍa</w:t>
      </w:r>
    </w:p>
    <w:p>
      <w:pPr>
        <w:pStyle w:val="BodyText"/>
        <w:spacing w:line="252" w:lineRule="auto" w:before="10"/>
        <w:ind w:left="100" w:right="328"/>
        <w:jc w:val="both"/>
      </w:pPr>
      <w:r>
        <w:rPr>
          <w:w w:val="243"/>
        </w:rPr>
        <w:t>l</w:t>
      </w:r>
      <w:r>
        <w:rPr>
          <w:w w:val="112"/>
        </w:rPr>
        <w:t>a</w:t>
      </w:r>
      <w:r>
        <w:rPr/>
        <w:t> </w:t>
      </w:r>
      <w:r>
        <w:rPr>
          <w:w w:val="108"/>
        </w:rPr>
        <w:t>excesiva</w:t>
      </w:r>
      <w:r>
        <w:rPr/>
        <w:t> </w:t>
      </w:r>
      <w:r>
        <w:rPr>
          <w:w w:val="110"/>
        </w:rPr>
        <w:t>elasticidad</w:t>
      </w:r>
      <w:r>
        <w:rPr/>
        <w:t> </w:t>
      </w:r>
      <w:r>
        <w:rPr>
          <w:w w:val="108"/>
        </w:rPr>
        <w:t>en</w:t>
      </w:r>
      <w:r>
        <w:rPr/>
        <w:t> </w:t>
      </w:r>
      <w:r>
        <w:rPr>
          <w:w w:val="111"/>
        </w:rPr>
        <w:t>la</w:t>
      </w:r>
      <w:r>
        <w:rPr/>
        <w:t> </w:t>
      </w:r>
      <w:r>
        <w:rPr>
          <w:w w:val="111"/>
        </w:rPr>
        <w:t>conceptualización</w:t>
      </w:r>
      <w:r>
        <w:rPr/>
        <w:t> </w:t>
      </w:r>
      <w:r>
        <w:rPr>
          <w:w w:val="108"/>
        </w:rPr>
        <w:t>que</w:t>
      </w:r>
      <w:r>
        <w:rPr/>
        <w:t> </w:t>
      </w:r>
      <w:r>
        <w:rPr>
          <w:w w:val="109"/>
        </w:rPr>
        <w:t>subyace</w:t>
      </w:r>
      <w:r>
        <w:rPr/>
        <w:t> </w:t>
      </w:r>
      <w:r>
        <w:rPr>
          <w:w w:val="112"/>
        </w:rPr>
        <w:t>a</w:t>
      </w:r>
      <w:r>
        <w:rPr/>
        <w:t> </w:t>
      </w:r>
      <w:r>
        <w:rPr>
          <w:w w:val="111"/>
        </w:rPr>
        <w:t>la</w:t>
      </w:r>
      <w:r>
        <w:rPr/>
        <w:t> </w:t>
      </w:r>
      <w:r>
        <w:rPr>
          <w:w w:val="110"/>
        </w:rPr>
        <w:t>políti</w:t>
      </w:r>
      <w:r>
        <w:rPr>
          <w:w w:val="102"/>
        </w:rPr>
        <w:t>- </w:t>
      </w:r>
      <w:r>
        <w:rPr>
          <w:w w:val="110"/>
        </w:rPr>
        <w:t>ca enunciada en términos de la “lucha contra el terrorismo” o la “gue- rra contra el crimen organizado”, hace que su accionar práctico co-</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linde con las que, desde una lectura conservadora, pudieran justificar “medidas policíacas” ante las amenazas a la gobernabilidad. El asunto de fondo tiene que ver con la idea gelatinosa que hace referencia a la seguridad. Paralelamente se puede observar una poderosa ofensiva desde la política norteamericana en favor de la cooperación para el desarrollo de políticas en estos terrenos que involucra el campo de    la seguridad. se da por supuesto la necesidad de compartir su signi- ficado. En la experiencia latinoamericana, la fragilidad del Estado y    la falta de una política propia en materia de seguridad hace cada vez más tenue a la frontera entre cooperación e intromisión. tributario  del neoliberalismo, hay un denso sustrato socioeconómico que pue- de potenciar los gérmenes de la conflictividad social y política. Esto implica la necesidad de poner más atención en las características del modelo de expansión económica prevaleciente y la matriz productiva desregulada sobre la que descansa el desarrollo. Entre la caracteriza- ción conservadora de “desestabilización” vinculable a la “amenaza del terrorismo” o al “crimen organizado”, y el accionar de una política es- tatal de seguridad antipopular puede haber sólo una frontera muy</w:t>
      </w:r>
      <w:r>
        <w:rPr>
          <w:spacing w:val="-24"/>
          <w:w w:val="110"/>
        </w:rPr>
        <w:t> </w:t>
      </w:r>
      <w:r>
        <w:rPr>
          <w:w w:val="110"/>
        </w:rPr>
        <w:t>exi- gua. En este sentido, un riesgo que potencialmente amenaza el ejerci- </w:t>
      </w:r>
      <w:r>
        <w:rPr>
          <w:w w:val="113"/>
        </w:rPr>
        <w:t>cio</w:t>
      </w:r>
      <w:r>
        <w:rPr>
          <w:spacing w:val="2"/>
        </w:rPr>
        <w:t> </w:t>
      </w:r>
      <w:r>
        <w:rPr>
          <w:w w:val="107"/>
        </w:rPr>
        <w:t>de</w:t>
      </w:r>
      <w:r>
        <w:rPr>
          <w:spacing w:val="2"/>
        </w:rPr>
        <w:t> </w:t>
      </w:r>
      <w:r>
        <w:rPr>
          <w:w w:val="111"/>
        </w:rPr>
        <w:t>la</w:t>
      </w:r>
      <w:r>
        <w:rPr>
          <w:spacing w:val="2"/>
        </w:rPr>
        <w:t> </w:t>
      </w:r>
      <w:r>
        <w:rPr>
          <w:w w:val="111"/>
        </w:rPr>
        <w:t>política</w:t>
      </w:r>
      <w:r>
        <w:rPr>
          <w:spacing w:val="2"/>
        </w:rPr>
        <w:t> </w:t>
      </w:r>
      <w:r>
        <w:rPr>
          <w:w w:val="107"/>
        </w:rPr>
        <w:t>de</w:t>
      </w:r>
      <w:r>
        <w:rPr>
          <w:spacing w:val="2"/>
        </w:rPr>
        <w:t> </w:t>
      </w:r>
      <w:r>
        <w:rPr>
          <w:w w:val="109"/>
        </w:rPr>
        <w:t>seguridad</w:t>
      </w:r>
      <w:r>
        <w:rPr>
          <w:spacing w:val="2"/>
        </w:rPr>
        <w:t> </w:t>
      </w:r>
      <w:r>
        <w:rPr>
          <w:w w:val="112"/>
        </w:rPr>
        <w:t>pública</w:t>
      </w:r>
      <w:r>
        <w:rPr>
          <w:spacing w:val="2"/>
        </w:rPr>
        <w:t> </w:t>
      </w:r>
      <w:r>
        <w:rPr>
          <w:w w:val="108"/>
        </w:rPr>
        <w:t>en</w:t>
      </w:r>
      <w:r>
        <w:rPr>
          <w:spacing w:val="2"/>
        </w:rPr>
        <w:t> </w:t>
      </w:r>
      <w:r>
        <w:rPr>
          <w:w w:val="139"/>
        </w:rPr>
        <w:t>a</w:t>
      </w:r>
      <w:r>
        <w:rPr>
          <w:w w:val="111"/>
        </w:rPr>
        <w:t>mérica</w:t>
      </w:r>
      <w:r>
        <w:rPr>
          <w:spacing w:val="2"/>
        </w:rPr>
        <w:t> </w:t>
      </w:r>
      <w:r>
        <w:rPr>
          <w:w w:val="243"/>
        </w:rPr>
        <w:t>l</w:t>
      </w:r>
      <w:r>
        <w:rPr>
          <w:w w:val="111"/>
        </w:rPr>
        <w:t>atina</w:t>
      </w:r>
      <w:r>
        <w:rPr>
          <w:spacing w:val="2"/>
        </w:rPr>
        <w:t> </w:t>
      </w:r>
      <w:r>
        <w:rPr>
          <w:w w:val="105"/>
        </w:rPr>
        <w:t>y</w:t>
      </w:r>
      <w:r>
        <w:rPr>
          <w:spacing w:val="2"/>
        </w:rPr>
        <w:t> </w:t>
      </w:r>
      <w:r>
        <w:rPr>
          <w:w w:val="107"/>
        </w:rPr>
        <w:t>el</w:t>
      </w:r>
      <w:r>
        <w:rPr>
          <w:spacing w:val="2"/>
        </w:rPr>
        <w:t> </w:t>
      </w:r>
      <w:r>
        <w:rPr>
          <w:w w:val="112"/>
        </w:rPr>
        <w:t>Caribe</w:t>
      </w:r>
      <w:r>
        <w:rPr>
          <w:spacing w:val="2"/>
        </w:rPr>
        <w:t> </w:t>
      </w:r>
      <w:r>
        <w:rPr>
          <w:w w:val="105"/>
        </w:rPr>
        <w:t>es </w:t>
      </w:r>
      <w:r>
        <w:rPr>
          <w:w w:val="110"/>
        </w:rPr>
        <w:t>que esa lógica de seguridad nacional, bajo el ropaje de la concepción hegemónica asociada a los intereses de la política norteamericana, tienda a imponer un concepto de “seguridad regional” en virtud del cual el control militar y/o policíaco se haga cargo del conflicto social. un alcance extremo de esta tendencia supone un paso decisivo hacia la criminalización de la protesta social. de hecho, algunos países dis- ponen de una legislación expresamente antiterrorista. Es el caso de </w:t>
      </w:r>
      <w:r>
        <w:rPr>
          <w:w w:val="116"/>
        </w:rPr>
        <w:t>Chile,</w:t>
      </w:r>
      <w:r>
        <w:rPr>
          <w:spacing w:val="14"/>
        </w:rPr>
        <w:t> </w:t>
      </w:r>
      <w:r>
        <w:rPr>
          <w:w w:val="112"/>
        </w:rPr>
        <w:t>con</w:t>
      </w:r>
      <w:r>
        <w:rPr>
          <w:spacing w:val="14"/>
        </w:rPr>
        <w:t> </w:t>
      </w:r>
      <w:r>
        <w:rPr>
          <w:w w:val="111"/>
        </w:rPr>
        <w:t>la</w:t>
      </w:r>
      <w:r>
        <w:rPr>
          <w:spacing w:val="14"/>
        </w:rPr>
        <w:t> </w:t>
      </w:r>
      <w:r>
        <w:rPr>
          <w:w w:val="243"/>
        </w:rPr>
        <w:t>l</w:t>
      </w:r>
      <w:r>
        <w:rPr>
          <w:w w:val="104"/>
        </w:rPr>
        <w:t>ey</w:t>
      </w:r>
      <w:r>
        <w:rPr>
          <w:spacing w:val="14"/>
        </w:rPr>
        <w:t> </w:t>
      </w:r>
      <w:r>
        <w:rPr>
          <w:w w:val="108"/>
        </w:rPr>
        <w:t>antiterrorista</w:t>
      </w:r>
      <w:r>
        <w:rPr>
          <w:spacing w:val="14"/>
        </w:rPr>
        <w:t> </w:t>
      </w:r>
      <w:r>
        <w:rPr>
          <w:w w:val="107"/>
        </w:rPr>
        <w:t>18.314,</w:t>
      </w:r>
      <w:r>
        <w:rPr>
          <w:spacing w:val="14"/>
        </w:rPr>
        <w:t> </w:t>
      </w:r>
      <w:r>
        <w:rPr>
          <w:w w:val="108"/>
        </w:rPr>
        <w:t>que</w:t>
      </w:r>
      <w:r>
        <w:rPr>
          <w:spacing w:val="14"/>
        </w:rPr>
        <w:t> </w:t>
      </w:r>
      <w:r>
        <w:rPr>
          <w:w w:val="112"/>
        </w:rPr>
        <w:t>ha</w:t>
      </w:r>
      <w:r>
        <w:rPr>
          <w:spacing w:val="14"/>
        </w:rPr>
        <w:t> </w:t>
      </w:r>
      <w:r>
        <w:rPr>
          <w:w w:val="107"/>
        </w:rPr>
        <w:t>servido</w:t>
      </w:r>
      <w:r>
        <w:rPr>
          <w:spacing w:val="14"/>
        </w:rPr>
        <w:t> </w:t>
      </w:r>
      <w:r>
        <w:rPr>
          <w:w w:val="108"/>
        </w:rPr>
        <w:t>por</w:t>
      </w:r>
      <w:r>
        <w:rPr>
          <w:spacing w:val="14"/>
        </w:rPr>
        <w:t> </w:t>
      </w:r>
      <w:r>
        <w:rPr>
          <w:w w:val="110"/>
        </w:rPr>
        <w:t>largo</w:t>
      </w:r>
      <w:r>
        <w:rPr>
          <w:spacing w:val="14"/>
        </w:rPr>
        <w:t> </w:t>
      </w:r>
      <w:r>
        <w:rPr>
          <w:w w:val="110"/>
        </w:rPr>
        <w:t>tie</w:t>
      </w:r>
      <w:r>
        <w:rPr>
          <w:spacing w:val="-1"/>
          <w:w w:val="110"/>
        </w:rPr>
        <w:t>m</w:t>
      </w:r>
      <w:r>
        <w:rPr>
          <w:w w:val="102"/>
        </w:rPr>
        <w:t>- </w:t>
      </w:r>
      <w:r>
        <w:rPr>
          <w:w w:val="110"/>
        </w:rPr>
        <w:t>po para judicializar las demandas sociales o como escudo para los intereses que practican el saqueo de recursos de pueblos</w:t>
      </w:r>
      <w:r>
        <w:rPr>
          <w:spacing w:val="29"/>
          <w:w w:val="110"/>
        </w:rPr>
        <w:t> </w:t>
      </w:r>
      <w:r>
        <w:rPr>
          <w:w w:val="110"/>
        </w:rPr>
        <w:t>originarios.</w:t>
      </w:r>
    </w:p>
    <w:p>
      <w:pPr>
        <w:pStyle w:val="BodyText"/>
        <w:spacing w:line="252" w:lineRule="auto"/>
        <w:ind w:left="330" w:right="117" w:firstLine="396"/>
        <w:jc w:val="both"/>
      </w:pPr>
      <w:r>
        <w:rPr>
          <w:w w:val="115"/>
        </w:rPr>
        <w:t>En</w:t>
      </w:r>
      <w:r>
        <w:rPr>
          <w:spacing w:val="-4"/>
          <w:w w:val="115"/>
        </w:rPr>
        <w:t> </w:t>
      </w:r>
      <w:r>
        <w:rPr>
          <w:w w:val="115"/>
        </w:rPr>
        <w:t>cuanto</w:t>
      </w:r>
      <w:r>
        <w:rPr>
          <w:spacing w:val="-4"/>
          <w:w w:val="115"/>
        </w:rPr>
        <w:t> </w:t>
      </w:r>
      <w:r>
        <w:rPr>
          <w:w w:val="115"/>
        </w:rPr>
        <w:t>a</w:t>
      </w:r>
      <w:r>
        <w:rPr>
          <w:spacing w:val="-4"/>
          <w:w w:val="115"/>
        </w:rPr>
        <w:t> </w:t>
      </w:r>
      <w:r>
        <w:rPr>
          <w:w w:val="115"/>
        </w:rPr>
        <w:t>los</w:t>
      </w:r>
      <w:r>
        <w:rPr>
          <w:spacing w:val="-4"/>
          <w:w w:val="115"/>
        </w:rPr>
        <w:t> </w:t>
      </w:r>
      <w:r>
        <w:rPr>
          <w:w w:val="115"/>
        </w:rPr>
        <w:t>criterios</w:t>
      </w:r>
      <w:r>
        <w:rPr>
          <w:spacing w:val="-4"/>
          <w:w w:val="115"/>
        </w:rPr>
        <w:t> </w:t>
      </w:r>
      <w:r>
        <w:rPr>
          <w:w w:val="115"/>
        </w:rPr>
        <w:t>que</w:t>
      </w:r>
      <w:r>
        <w:rPr>
          <w:spacing w:val="-4"/>
          <w:w w:val="115"/>
        </w:rPr>
        <w:t> </w:t>
      </w:r>
      <w:r>
        <w:rPr>
          <w:w w:val="115"/>
        </w:rPr>
        <w:t>están</w:t>
      </w:r>
      <w:r>
        <w:rPr>
          <w:spacing w:val="-4"/>
          <w:w w:val="115"/>
        </w:rPr>
        <w:t> </w:t>
      </w:r>
      <w:r>
        <w:rPr>
          <w:w w:val="115"/>
        </w:rPr>
        <w:t>operando</w:t>
      </w:r>
      <w:r>
        <w:rPr>
          <w:spacing w:val="-4"/>
          <w:w w:val="115"/>
        </w:rPr>
        <w:t> </w:t>
      </w:r>
      <w:r>
        <w:rPr>
          <w:w w:val="115"/>
        </w:rPr>
        <w:t>en</w:t>
      </w:r>
      <w:r>
        <w:rPr>
          <w:spacing w:val="-4"/>
          <w:w w:val="115"/>
        </w:rPr>
        <w:t> </w:t>
      </w:r>
      <w:r>
        <w:rPr>
          <w:w w:val="115"/>
        </w:rPr>
        <w:t>la</w:t>
      </w:r>
      <w:r>
        <w:rPr>
          <w:spacing w:val="-4"/>
          <w:w w:val="115"/>
        </w:rPr>
        <w:t> </w:t>
      </w:r>
      <w:r>
        <w:rPr>
          <w:w w:val="115"/>
        </w:rPr>
        <w:t>estrategia</w:t>
      </w:r>
      <w:r>
        <w:rPr>
          <w:spacing w:val="-4"/>
          <w:w w:val="115"/>
        </w:rPr>
        <w:t> </w:t>
      </w:r>
      <w:r>
        <w:rPr>
          <w:w w:val="115"/>
        </w:rPr>
        <w:t>de “seguridad</w:t>
      </w:r>
      <w:r>
        <w:rPr>
          <w:spacing w:val="-30"/>
          <w:w w:val="115"/>
        </w:rPr>
        <w:t> </w:t>
      </w:r>
      <w:r>
        <w:rPr>
          <w:w w:val="115"/>
        </w:rPr>
        <w:t>hemisférica”,</w:t>
      </w:r>
      <w:r>
        <w:rPr>
          <w:spacing w:val="-30"/>
          <w:w w:val="115"/>
        </w:rPr>
        <w:t> </w:t>
      </w:r>
      <w:r>
        <w:rPr>
          <w:w w:val="115"/>
        </w:rPr>
        <w:t>además</w:t>
      </w:r>
      <w:r>
        <w:rPr>
          <w:spacing w:val="-30"/>
          <w:w w:val="115"/>
        </w:rPr>
        <w:t> </w:t>
      </w:r>
      <w:r>
        <w:rPr>
          <w:w w:val="115"/>
        </w:rPr>
        <w:t>de</w:t>
      </w:r>
      <w:r>
        <w:rPr>
          <w:spacing w:val="-30"/>
          <w:w w:val="115"/>
        </w:rPr>
        <w:t> </w:t>
      </w:r>
      <w:r>
        <w:rPr>
          <w:w w:val="115"/>
        </w:rPr>
        <w:t>la</w:t>
      </w:r>
      <w:r>
        <w:rPr>
          <w:spacing w:val="-30"/>
          <w:w w:val="115"/>
        </w:rPr>
        <w:t> </w:t>
      </w:r>
      <w:r>
        <w:rPr>
          <w:w w:val="115"/>
        </w:rPr>
        <w:t>realización</w:t>
      </w:r>
      <w:r>
        <w:rPr>
          <w:spacing w:val="-30"/>
          <w:w w:val="115"/>
        </w:rPr>
        <w:t> </w:t>
      </w:r>
      <w:r>
        <w:rPr>
          <w:w w:val="115"/>
        </w:rPr>
        <w:t>de</w:t>
      </w:r>
      <w:r>
        <w:rPr>
          <w:spacing w:val="-30"/>
          <w:w w:val="115"/>
        </w:rPr>
        <w:t> </w:t>
      </w:r>
      <w:r>
        <w:rPr>
          <w:w w:val="115"/>
        </w:rPr>
        <w:t>ejercicios</w:t>
      </w:r>
      <w:r>
        <w:rPr>
          <w:spacing w:val="-30"/>
          <w:w w:val="115"/>
        </w:rPr>
        <w:t> </w:t>
      </w:r>
      <w:r>
        <w:rPr>
          <w:w w:val="115"/>
        </w:rPr>
        <w:t>milita- res</w:t>
      </w:r>
      <w:r>
        <w:rPr>
          <w:spacing w:val="-6"/>
          <w:w w:val="115"/>
        </w:rPr>
        <w:t> </w:t>
      </w:r>
      <w:r>
        <w:rPr>
          <w:w w:val="115"/>
        </w:rPr>
        <w:t>conjuntos,</w:t>
      </w:r>
      <w:r>
        <w:rPr>
          <w:spacing w:val="-6"/>
          <w:w w:val="115"/>
        </w:rPr>
        <w:t> </w:t>
      </w:r>
      <w:r>
        <w:rPr>
          <w:w w:val="115"/>
        </w:rPr>
        <w:t>cabe</w:t>
      </w:r>
      <w:r>
        <w:rPr>
          <w:spacing w:val="-6"/>
          <w:w w:val="115"/>
        </w:rPr>
        <w:t> </w:t>
      </w:r>
      <w:r>
        <w:rPr>
          <w:w w:val="115"/>
        </w:rPr>
        <w:t>mencionar</w:t>
      </w:r>
      <w:r>
        <w:rPr>
          <w:spacing w:val="-6"/>
          <w:w w:val="115"/>
        </w:rPr>
        <w:t> </w:t>
      </w:r>
      <w:r>
        <w:rPr>
          <w:w w:val="115"/>
        </w:rPr>
        <w:t>el</w:t>
      </w:r>
      <w:r>
        <w:rPr>
          <w:spacing w:val="-6"/>
          <w:w w:val="115"/>
        </w:rPr>
        <w:t> </w:t>
      </w:r>
      <w:r>
        <w:rPr>
          <w:w w:val="115"/>
        </w:rPr>
        <w:t>Plan</w:t>
      </w:r>
      <w:r>
        <w:rPr>
          <w:spacing w:val="-6"/>
          <w:w w:val="115"/>
        </w:rPr>
        <w:t> </w:t>
      </w:r>
      <w:r>
        <w:rPr>
          <w:w w:val="115"/>
        </w:rPr>
        <w:t>Colombia,</w:t>
      </w:r>
      <w:r>
        <w:rPr>
          <w:spacing w:val="-6"/>
          <w:w w:val="115"/>
        </w:rPr>
        <w:t> </w:t>
      </w:r>
      <w:r>
        <w:rPr>
          <w:w w:val="115"/>
        </w:rPr>
        <w:t>la</w:t>
      </w:r>
      <w:r>
        <w:rPr>
          <w:spacing w:val="-6"/>
          <w:w w:val="115"/>
        </w:rPr>
        <w:t> </w:t>
      </w:r>
      <w:r>
        <w:rPr>
          <w:w w:val="115"/>
        </w:rPr>
        <w:t>“iniciativa</w:t>
      </w:r>
      <w:r>
        <w:rPr>
          <w:spacing w:val="-6"/>
          <w:w w:val="115"/>
        </w:rPr>
        <w:t> </w:t>
      </w:r>
      <w:r>
        <w:rPr>
          <w:w w:val="115"/>
        </w:rPr>
        <w:t>regio- nal andina”, el Plan Mérida, el accionar del Comando </w:t>
      </w:r>
      <w:r>
        <w:rPr>
          <w:spacing w:val="-6"/>
          <w:w w:val="115"/>
        </w:rPr>
        <w:t>sur. </w:t>
      </w:r>
      <w:r>
        <w:rPr>
          <w:w w:val="115"/>
        </w:rPr>
        <w:t>a todo</w:t>
      </w:r>
      <w:r>
        <w:rPr>
          <w:spacing w:val="-16"/>
          <w:w w:val="115"/>
        </w:rPr>
        <w:t> </w:t>
      </w:r>
      <w:r>
        <w:rPr>
          <w:w w:val="115"/>
        </w:rPr>
        <w:t>ello hay</w:t>
      </w:r>
      <w:r>
        <w:rPr>
          <w:spacing w:val="-7"/>
          <w:w w:val="115"/>
        </w:rPr>
        <w:t> </w:t>
      </w:r>
      <w:r>
        <w:rPr>
          <w:w w:val="115"/>
        </w:rPr>
        <w:t>que</w:t>
      </w:r>
      <w:r>
        <w:rPr>
          <w:spacing w:val="-7"/>
          <w:w w:val="115"/>
        </w:rPr>
        <w:t> </w:t>
      </w:r>
      <w:r>
        <w:rPr>
          <w:w w:val="115"/>
        </w:rPr>
        <w:t>incluir</w:t>
      </w:r>
      <w:r>
        <w:rPr>
          <w:spacing w:val="-7"/>
          <w:w w:val="115"/>
        </w:rPr>
        <w:t> </w:t>
      </w:r>
      <w:r>
        <w:rPr>
          <w:w w:val="115"/>
        </w:rPr>
        <w:t>el</w:t>
      </w:r>
      <w:r>
        <w:rPr>
          <w:spacing w:val="-7"/>
          <w:w w:val="115"/>
        </w:rPr>
        <w:t> </w:t>
      </w:r>
      <w:r>
        <w:rPr>
          <w:w w:val="115"/>
        </w:rPr>
        <w:t>desarrollo</w:t>
      </w:r>
      <w:r>
        <w:rPr>
          <w:spacing w:val="-7"/>
          <w:w w:val="115"/>
        </w:rPr>
        <w:t> </w:t>
      </w:r>
      <w:r>
        <w:rPr>
          <w:w w:val="115"/>
        </w:rPr>
        <w:t>de</w:t>
      </w:r>
      <w:r>
        <w:rPr>
          <w:spacing w:val="-7"/>
          <w:w w:val="115"/>
        </w:rPr>
        <w:t> </w:t>
      </w:r>
      <w:r>
        <w:rPr>
          <w:w w:val="115"/>
        </w:rPr>
        <w:t>las</w:t>
      </w:r>
      <w:r>
        <w:rPr>
          <w:spacing w:val="-7"/>
          <w:w w:val="115"/>
        </w:rPr>
        <w:t> </w:t>
      </w:r>
      <w:r>
        <w:rPr>
          <w:w w:val="115"/>
        </w:rPr>
        <w:t>prácticas</w:t>
      </w:r>
      <w:r>
        <w:rPr>
          <w:spacing w:val="-7"/>
          <w:w w:val="115"/>
        </w:rPr>
        <w:t> </w:t>
      </w:r>
      <w:r>
        <w:rPr>
          <w:w w:val="115"/>
        </w:rPr>
        <w:t>políticas</w:t>
      </w:r>
      <w:r>
        <w:rPr>
          <w:spacing w:val="-7"/>
          <w:w w:val="115"/>
        </w:rPr>
        <w:t> </w:t>
      </w:r>
      <w:r>
        <w:rPr>
          <w:w w:val="115"/>
        </w:rPr>
        <w:t>para</w:t>
      </w:r>
      <w:r>
        <w:rPr>
          <w:spacing w:val="-7"/>
          <w:w w:val="115"/>
        </w:rPr>
        <w:t> </w:t>
      </w:r>
      <w:r>
        <w:rPr>
          <w:w w:val="115"/>
        </w:rPr>
        <w:t>influir</w:t>
      </w:r>
      <w:r>
        <w:rPr>
          <w:spacing w:val="-7"/>
          <w:w w:val="115"/>
        </w:rPr>
        <w:t> </w:t>
      </w:r>
      <w:r>
        <w:rPr>
          <w:w w:val="115"/>
        </w:rPr>
        <w:t>en los</w:t>
      </w:r>
      <w:r>
        <w:rPr>
          <w:spacing w:val="-20"/>
          <w:w w:val="115"/>
        </w:rPr>
        <w:t> </w:t>
      </w:r>
      <w:r>
        <w:rPr>
          <w:w w:val="115"/>
        </w:rPr>
        <w:t>procesos</w:t>
      </w:r>
      <w:r>
        <w:rPr>
          <w:spacing w:val="-20"/>
          <w:w w:val="115"/>
        </w:rPr>
        <w:t> </w:t>
      </w:r>
      <w:r>
        <w:rPr>
          <w:w w:val="115"/>
        </w:rPr>
        <w:t>de</w:t>
      </w:r>
      <w:r>
        <w:rPr>
          <w:spacing w:val="-20"/>
          <w:w w:val="115"/>
        </w:rPr>
        <w:t> </w:t>
      </w:r>
      <w:r>
        <w:rPr>
          <w:w w:val="115"/>
        </w:rPr>
        <w:t>certificación</w:t>
      </w:r>
      <w:r>
        <w:rPr>
          <w:spacing w:val="-20"/>
          <w:w w:val="115"/>
        </w:rPr>
        <w:t> </w:t>
      </w:r>
      <w:r>
        <w:rPr>
          <w:w w:val="115"/>
        </w:rPr>
        <w:t>unilateral</w:t>
      </w:r>
      <w:r>
        <w:rPr>
          <w:spacing w:val="-20"/>
          <w:w w:val="115"/>
        </w:rPr>
        <w:t> </w:t>
      </w:r>
      <w:r>
        <w:rPr>
          <w:w w:val="115"/>
        </w:rPr>
        <w:t>sobre</w:t>
      </w:r>
      <w:r>
        <w:rPr>
          <w:spacing w:val="-20"/>
          <w:w w:val="115"/>
        </w:rPr>
        <w:t> </w:t>
      </w:r>
      <w:r>
        <w:rPr>
          <w:w w:val="115"/>
        </w:rPr>
        <w:t>la</w:t>
      </w:r>
      <w:r>
        <w:rPr>
          <w:spacing w:val="-20"/>
          <w:w w:val="115"/>
        </w:rPr>
        <w:t> </w:t>
      </w:r>
      <w:r>
        <w:rPr>
          <w:w w:val="115"/>
        </w:rPr>
        <w:t>conducta</w:t>
      </w:r>
      <w:r>
        <w:rPr>
          <w:spacing w:val="-20"/>
          <w:w w:val="115"/>
        </w:rPr>
        <w:t> </w:t>
      </w:r>
      <w:r>
        <w:rPr>
          <w:w w:val="115"/>
        </w:rPr>
        <w:t>de</w:t>
      </w:r>
      <w:r>
        <w:rPr>
          <w:spacing w:val="-20"/>
          <w:w w:val="115"/>
        </w:rPr>
        <w:t> </w:t>
      </w:r>
      <w:r>
        <w:rPr>
          <w:w w:val="115"/>
        </w:rPr>
        <w:t>nuestros países</w:t>
      </w:r>
      <w:r>
        <w:rPr>
          <w:spacing w:val="-32"/>
          <w:w w:val="115"/>
        </w:rPr>
        <w:t> </w:t>
      </w:r>
      <w:r>
        <w:rPr>
          <w:w w:val="115"/>
        </w:rPr>
        <w:t>en</w:t>
      </w:r>
      <w:r>
        <w:rPr>
          <w:spacing w:val="-32"/>
          <w:w w:val="115"/>
        </w:rPr>
        <w:t> </w:t>
      </w:r>
      <w:r>
        <w:rPr>
          <w:w w:val="115"/>
        </w:rPr>
        <w:t>materia</w:t>
      </w:r>
      <w:r>
        <w:rPr>
          <w:spacing w:val="-32"/>
          <w:w w:val="115"/>
        </w:rPr>
        <w:t> </w:t>
      </w:r>
      <w:r>
        <w:rPr>
          <w:w w:val="115"/>
        </w:rPr>
        <w:t>de</w:t>
      </w:r>
      <w:r>
        <w:rPr>
          <w:spacing w:val="-32"/>
          <w:w w:val="115"/>
        </w:rPr>
        <w:t> </w:t>
      </w:r>
      <w:r>
        <w:rPr>
          <w:w w:val="115"/>
        </w:rPr>
        <w:t>democracia,</w:t>
      </w:r>
      <w:r>
        <w:rPr>
          <w:spacing w:val="-32"/>
          <w:w w:val="115"/>
        </w:rPr>
        <w:t> </w:t>
      </w:r>
      <w:r>
        <w:rPr>
          <w:w w:val="115"/>
        </w:rPr>
        <w:t>derechos</w:t>
      </w:r>
      <w:r>
        <w:rPr>
          <w:spacing w:val="-32"/>
          <w:w w:val="115"/>
        </w:rPr>
        <w:t> </w:t>
      </w:r>
      <w:r>
        <w:rPr>
          <w:w w:val="115"/>
        </w:rPr>
        <w:t>humanos</w:t>
      </w:r>
      <w:r>
        <w:rPr>
          <w:spacing w:val="-32"/>
          <w:w w:val="115"/>
        </w:rPr>
        <w:t> </w:t>
      </w:r>
      <w:r>
        <w:rPr>
          <w:w w:val="115"/>
        </w:rPr>
        <w:t>y</w:t>
      </w:r>
      <w:r>
        <w:rPr>
          <w:spacing w:val="-32"/>
          <w:w w:val="115"/>
        </w:rPr>
        <w:t> </w:t>
      </w:r>
      <w:r>
        <w:rPr>
          <w:w w:val="115"/>
        </w:rPr>
        <w:t>cooperación</w:t>
      </w:r>
      <w:r>
        <w:rPr>
          <w:spacing w:val="-32"/>
          <w:w w:val="115"/>
        </w:rPr>
        <w:t> </w:t>
      </w:r>
      <w:r>
        <w:rPr>
          <w:w w:val="115"/>
        </w:rPr>
        <w:t>en la</w:t>
      </w:r>
      <w:r>
        <w:rPr>
          <w:spacing w:val="-24"/>
          <w:w w:val="115"/>
        </w:rPr>
        <w:t> </w:t>
      </w:r>
      <w:r>
        <w:rPr>
          <w:w w:val="115"/>
        </w:rPr>
        <w:t>lucha</w:t>
      </w:r>
      <w:r>
        <w:rPr>
          <w:spacing w:val="-24"/>
          <w:w w:val="115"/>
        </w:rPr>
        <w:t> </w:t>
      </w:r>
      <w:r>
        <w:rPr>
          <w:w w:val="115"/>
        </w:rPr>
        <w:t>contra</w:t>
      </w:r>
      <w:r>
        <w:rPr>
          <w:spacing w:val="-24"/>
          <w:w w:val="115"/>
        </w:rPr>
        <w:t> </w:t>
      </w:r>
      <w:r>
        <w:rPr>
          <w:w w:val="115"/>
        </w:rPr>
        <w:t>el</w:t>
      </w:r>
      <w:r>
        <w:rPr>
          <w:spacing w:val="-24"/>
          <w:w w:val="115"/>
        </w:rPr>
        <w:t> </w:t>
      </w:r>
      <w:r>
        <w:rPr>
          <w:w w:val="115"/>
        </w:rPr>
        <w:t>narcotráfico</w:t>
      </w:r>
      <w:r>
        <w:rPr>
          <w:spacing w:val="-24"/>
          <w:w w:val="115"/>
        </w:rPr>
        <w:t> </w:t>
      </w:r>
      <w:r>
        <w:rPr>
          <w:w w:val="115"/>
        </w:rPr>
        <w:t>o</w:t>
      </w:r>
      <w:r>
        <w:rPr>
          <w:spacing w:val="-24"/>
          <w:w w:val="115"/>
        </w:rPr>
        <w:t> </w:t>
      </w:r>
      <w:r>
        <w:rPr>
          <w:w w:val="115"/>
        </w:rPr>
        <w:t>el</w:t>
      </w:r>
      <w:r>
        <w:rPr>
          <w:spacing w:val="-24"/>
          <w:w w:val="115"/>
        </w:rPr>
        <w:t> </w:t>
      </w:r>
      <w:r>
        <w:rPr>
          <w:w w:val="115"/>
        </w:rPr>
        <w:t>terrorismo.</w:t>
      </w:r>
      <w:r>
        <w:rPr>
          <w:spacing w:val="-24"/>
          <w:w w:val="115"/>
        </w:rPr>
        <w:t> </w:t>
      </w:r>
      <w:r>
        <w:rPr>
          <w:w w:val="115"/>
        </w:rPr>
        <w:t>Certificados</w:t>
      </w:r>
      <w:r>
        <w:rPr>
          <w:spacing w:val="-24"/>
          <w:w w:val="115"/>
        </w:rPr>
        <w:t> </w:t>
      </w:r>
      <w:r>
        <w:rPr>
          <w:w w:val="115"/>
        </w:rPr>
        <w:t>políticos,</w:t>
      </w:r>
      <w:r>
        <w:rPr>
          <w:spacing w:val="-24"/>
          <w:w w:val="115"/>
        </w:rPr>
        <w:t> </w:t>
      </w:r>
      <w:r>
        <w:rPr>
          <w:w w:val="115"/>
        </w:rPr>
        <w:t>a manera</w:t>
      </w:r>
      <w:r>
        <w:rPr>
          <w:spacing w:val="-23"/>
          <w:w w:val="115"/>
        </w:rPr>
        <w:t> </w:t>
      </w:r>
      <w:r>
        <w:rPr>
          <w:w w:val="115"/>
        </w:rPr>
        <w:t>de</w:t>
      </w:r>
      <w:r>
        <w:rPr>
          <w:spacing w:val="-23"/>
          <w:w w:val="115"/>
        </w:rPr>
        <w:t> </w:t>
      </w:r>
      <w:r>
        <w:rPr>
          <w:w w:val="115"/>
        </w:rPr>
        <w:t>diagnósticos</w:t>
      </w:r>
      <w:r>
        <w:rPr>
          <w:spacing w:val="-23"/>
          <w:w w:val="115"/>
        </w:rPr>
        <w:t> </w:t>
      </w:r>
      <w:r>
        <w:rPr>
          <w:w w:val="115"/>
        </w:rPr>
        <w:t>en</w:t>
      </w:r>
      <w:r>
        <w:rPr>
          <w:spacing w:val="-23"/>
          <w:w w:val="115"/>
        </w:rPr>
        <w:t> </w:t>
      </w:r>
      <w:r>
        <w:rPr>
          <w:w w:val="115"/>
        </w:rPr>
        <w:t>materia</w:t>
      </w:r>
      <w:r>
        <w:rPr>
          <w:spacing w:val="-23"/>
          <w:w w:val="115"/>
        </w:rPr>
        <w:t> </w:t>
      </w:r>
      <w:r>
        <w:rPr>
          <w:w w:val="115"/>
        </w:rPr>
        <w:t>de</w:t>
      </w:r>
      <w:r>
        <w:rPr>
          <w:spacing w:val="-23"/>
          <w:w w:val="115"/>
        </w:rPr>
        <w:t> </w:t>
      </w:r>
      <w:r>
        <w:rPr>
          <w:w w:val="115"/>
        </w:rPr>
        <w:t>“buena</w:t>
      </w:r>
      <w:r>
        <w:rPr>
          <w:spacing w:val="-23"/>
          <w:w w:val="115"/>
        </w:rPr>
        <w:t> </w:t>
      </w:r>
      <w:r>
        <w:rPr>
          <w:w w:val="115"/>
        </w:rPr>
        <w:t>conducta”,</w:t>
      </w:r>
      <w:r>
        <w:rPr>
          <w:spacing w:val="-23"/>
          <w:w w:val="115"/>
        </w:rPr>
        <w:t> </w:t>
      </w:r>
      <w:r>
        <w:rPr>
          <w:w w:val="115"/>
        </w:rPr>
        <w:t>que</w:t>
      </w:r>
      <w:r>
        <w:rPr>
          <w:spacing w:val="-23"/>
          <w:w w:val="115"/>
        </w:rPr>
        <w:t> </w:t>
      </w:r>
      <w:r>
        <w:rPr>
          <w:w w:val="115"/>
        </w:rPr>
        <w:t>se</w:t>
      </w:r>
      <w:r>
        <w:rPr>
          <w:spacing w:val="-23"/>
          <w:w w:val="115"/>
        </w:rPr>
        <w:t> </w:t>
      </w:r>
      <w:r>
        <w:rPr>
          <w:w w:val="115"/>
        </w:rPr>
        <w:t>cons- tituyen como piezas de la hegemonía estadounidense para el juego de la “guerra no convencional”, especialmente en su dimensión</w:t>
      </w:r>
      <w:r>
        <w:rPr>
          <w:spacing w:val="-26"/>
          <w:w w:val="115"/>
        </w:rPr>
        <w:t> </w:t>
      </w:r>
      <w:r>
        <w:rPr>
          <w:w w:val="115"/>
        </w:rPr>
        <w:t>me- diática,</w:t>
      </w:r>
      <w:r>
        <w:rPr>
          <w:spacing w:val="-22"/>
          <w:w w:val="115"/>
        </w:rPr>
        <w:t> </w:t>
      </w:r>
      <w:r>
        <w:rPr>
          <w:w w:val="115"/>
        </w:rPr>
        <w:t>antesala</w:t>
      </w:r>
      <w:r>
        <w:rPr>
          <w:spacing w:val="-22"/>
          <w:w w:val="115"/>
        </w:rPr>
        <w:t> </w:t>
      </w:r>
      <w:r>
        <w:rPr>
          <w:w w:val="115"/>
        </w:rPr>
        <w:t>en</w:t>
      </w:r>
      <w:r>
        <w:rPr>
          <w:spacing w:val="-22"/>
          <w:w w:val="115"/>
        </w:rPr>
        <w:t> </w:t>
      </w:r>
      <w:r>
        <w:rPr>
          <w:w w:val="115"/>
        </w:rPr>
        <w:t>la</w:t>
      </w:r>
      <w:r>
        <w:rPr>
          <w:spacing w:val="-22"/>
          <w:w w:val="115"/>
        </w:rPr>
        <w:t> </w:t>
      </w:r>
      <w:r>
        <w:rPr>
          <w:w w:val="115"/>
        </w:rPr>
        <w:t>tarea</w:t>
      </w:r>
      <w:r>
        <w:rPr>
          <w:spacing w:val="-22"/>
          <w:w w:val="115"/>
        </w:rPr>
        <w:t> </w:t>
      </w:r>
      <w:r>
        <w:rPr>
          <w:w w:val="115"/>
        </w:rPr>
        <w:t>de</w:t>
      </w:r>
      <w:r>
        <w:rPr>
          <w:spacing w:val="-22"/>
          <w:w w:val="115"/>
        </w:rPr>
        <w:t> </w:t>
      </w:r>
      <w:r>
        <w:rPr>
          <w:w w:val="115"/>
        </w:rPr>
        <w:t>sembrar</w:t>
      </w:r>
      <w:r>
        <w:rPr>
          <w:spacing w:val="-22"/>
          <w:w w:val="115"/>
        </w:rPr>
        <w:t> </w:t>
      </w:r>
      <w:r>
        <w:rPr>
          <w:w w:val="115"/>
        </w:rPr>
        <w:t>percepciones</w:t>
      </w:r>
      <w:r>
        <w:rPr>
          <w:spacing w:val="-22"/>
          <w:w w:val="115"/>
        </w:rPr>
        <w:t> </w:t>
      </w:r>
      <w:r>
        <w:rPr>
          <w:w w:val="115"/>
        </w:rPr>
        <w:t>para</w:t>
      </w:r>
      <w:r>
        <w:rPr>
          <w:spacing w:val="-22"/>
          <w:w w:val="115"/>
        </w:rPr>
        <w:t> </w:t>
      </w:r>
      <w:r>
        <w:rPr>
          <w:w w:val="115"/>
        </w:rPr>
        <w:t>“justificar” acciones</w:t>
      </w:r>
      <w:r>
        <w:rPr>
          <w:spacing w:val="-6"/>
          <w:w w:val="115"/>
        </w:rPr>
        <w:t> </w:t>
      </w:r>
      <w:r>
        <w:rPr>
          <w:w w:val="115"/>
        </w:rPr>
        <w:t>abiertas</w:t>
      </w:r>
      <w:r>
        <w:rPr>
          <w:spacing w:val="-6"/>
          <w:w w:val="115"/>
        </w:rPr>
        <w:t> </w:t>
      </w:r>
      <w:r>
        <w:rPr>
          <w:w w:val="115"/>
        </w:rPr>
        <w:t>o</w:t>
      </w:r>
      <w:r>
        <w:rPr>
          <w:spacing w:val="-6"/>
          <w:w w:val="115"/>
        </w:rPr>
        <w:t> </w:t>
      </w:r>
      <w:r>
        <w:rPr>
          <w:w w:val="115"/>
        </w:rPr>
        <w:t>encubiertas</w:t>
      </w:r>
      <w:r>
        <w:rPr>
          <w:spacing w:val="-6"/>
          <w:w w:val="115"/>
        </w:rPr>
        <w:t> </w:t>
      </w:r>
      <w:r>
        <w:rPr>
          <w:spacing w:val="-11"/>
          <w:w w:val="115"/>
        </w:rPr>
        <w:t>y,</w:t>
      </w:r>
      <w:r>
        <w:rPr>
          <w:spacing w:val="-6"/>
          <w:w w:val="115"/>
        </w:rPr>
        <w:t> </w:t>
      </w:r>
      <w:r>
        <w:rPr>
          <w:w w:val="115"/>
        </w:rPr>
        <w:t>desde</w:t>
      </w:r>
      <w:r>
        <w:rPr>
          <w:spacing w:val="-6"/>
          <w:w w:val="115"/>
        </w:rPr>
        <w:t> </w:t>
      </w:r>
      <w:r>
        <w:rPr>
          <w:w w:val="115"/>
        </w:rPr>
        <w:t>luego,</w:t>
      </w:r>
      <w:r>
        <w:rPr>
          <w:spacing w:val="-6"/>
          <w:w w:val="115"/>
        </w:rPr>
        <w:t> </w:t>
      </w:r>
      <w:r>
        <w:rPr>
          <w:w w:val="115"/>
        </w:rPr>
        <w:t>para</w:t>
      </w:r>
      <w:r>
        <w:rPr>
          <w:spacing w:val="-6"/>
          <w:w w:val="115"/>
        </w:rPr>
        <w:t> </w:t>
      </w:r>
      <w:r>
        <w:rPr>
          <w:w w:val="115"/>
        </w:rPr>
        <w:t>su</w:t>
      </w:r>
      <w:r>
        <w:rPr>
          <w:spacing w:val="-6"/>
          <w:w w:val="115"/>
        </w:rPr>
        <w:t> </w:t>
      </w:r>
      <w:r>
        <w:rPr>
          <w:w w:val="115"/>
        </w:rPr>
        <w:t>operación</w:t>
      </w:r>
      <w:r>
        <w:rPr>
          <w:spacing w:val="-6"/>
          <w:w w:val="115"/>
        </w:rPr>
        <w:t> </w:t>
      </w:r>
      <w:r>
        <w:rPr>
          <w:w w:val="115"/>
        </w:rPr>
        <w:t>en</w:t>
      </w:r>
    </w:p>
    <w:p>
      <w:pPr>
        <w:spacing w:after="0" w:line="252" w:lineRule="auto"/>
        <w:jc w:val="both"/>
        <w:sectPr>
          <w:footerReference w:type="even" r:id="rId448"/>
          <w:footerReference w:type="default" r:id="rId449"/>
          <w:pgSz w:w="8790" w:h="12760"/>
          <w:pgMar w:footer="725" w:header="697" w:top="880" w:bottom="920" w:left="1200" w:right="900"/>
          <w:pgNumType w:start="332"/>
        </w:sectPr>
      </w:pPr>
    </w:p>
    <w:p>
      <w:pPr>
        <w:pStyle w:val="BodyText"/>
        <w:spacing w:before="9"/>
        <w:rPr>
          <w:sz w:val="28"/>
        </w:rPr>
      </w:pPr>
    </w:p>
    <w:p>
      <w:pPr>
        <w:pStyle w:val="BodyText"/>
        <w:spacing w:line="252" w:lineRule="auto" w:before="73"/>
        <w:ind w:left="100" w:right="328"/>
        <w:jc w:val="both"/>
      </w:pPr>
      <w:r>
        <w:rPr>
          <w:w w:val="110"/>
        </w:rPr>
        <w:t>el sistema financiero como carta de chantaje frente a las diversas ne- cesidades de las economías dependientes. reinterpretar estas piezas desde un diagnóstico latinoamericano puede ser un punto de crucial importancia en el proceso de construcción de una política contrahe- gemónica.</w:t>
      </w:r>
    </w:p>
    <w:p>
      <w:pPr>
        <w:pStyle w:val="BodyText"/>
        <w:spacing w:before="5"/>
      </w:pPr>
    </w:p>
    <w:p>
      <w:pPr>
        <w:pStyle w:val="Heading6"/>
        <w:spacing w:line="244" w:lineRule="auto"/>
        <w:ind w:right="1499"/>
        <w:jc w:val="left"/>
      </w:pPr>
      <w:r>
        <w:rPr>
          <w:w w:val="130"/>
        </w:rPr>
        <w:t>tendencias y contratendencias </w:t>
      </w:r>
      <w:r>
        <w:rPr>
          <w:spacing w:val="2"/>
          <w:w w:val="130"/>
        </w:rPr>
        <w:t>HeGeMónicas </w:t>
      </w:r>
      <w:r>
        <w:rPr>
          <w:w w:val="140"/>
        </w:rPr>
        <w:t>en</w:t>
      </w:r>
      <w:r>
        <w:rPr>
          <w:spacing w:val="-55"/>
          <w:w w:val="140"/>
        </w:rPr>
        <w:t> </w:t>
      </w:r>
      <w:r>
        <w:rPr>
          <w:w w:val="140"/>
        </w:rPr>
        <w:t>el</w:t>
      </w:r>
      <w:r>
        <w:rPr>
          <w:spacing w:val="-55"/>
          <w:w w:val="140"/>
        </w:rPr>
        <w:t> </w:t>
      </w:r>
      <w:r>
        <w:rPr>
          <w:spacing w:val="1"/>
          <w:w w:val="140"/>
        </w:rPr>
        <w:t>contexto</w:t>
      </w:r>
      <w:r>
        <w:rPr>
          <w:spacing w:val="-55"/>
          <w:w w:val="140"/>
        </w:rPr>
        <w:t> </w:t>
      </w:r>
      <w:r>
        <w:rPr>
          <w:spacing w:val="2"/>
          <w:w w:val="140"/>
        </w:rPr>
        <w:t>HeMisférico</w:t>
      </w:r>
    </w:p>
    <w:p>
      <w:pPr>
        <w:pStyle w:val="BodyText"/>
        <w:spacing w:line="252" w:lineRule="auto" w:before="5"/>
        <w:ind w:left="100" w:right="328"/>
        <w:jc w:val="both"/>
      </w:pPr>
      <w:r>
        <w:rPr>
          <w:w w:val="115"/>
        </w:rPr>
        <w:t>se</w:t>
      </w:r>
      <w:r>
        <w:rPr>
          <w:spacing w:val="-7"/>
          <w:w w:val="115"/>
        </w:rPr>
        <w:t> </w:t>
      </w:r>
      <w:r>
        <w:rPr>
          <w:w w:val="115"/>
        </w:rPr>
        <w:t>encuentra</w:t>
      </w:r>
      <w:r>
        <w:rPr>
          <w:spacing w:val="-7"/>
          <w:w w:val="115"/>
        </w:rPr>
        <w:t> </w:t>
      </w:r>
      <w:r>
        <w:rPr>
          <w:w w:val="115"/>
        </w:rPr>
        <w:t>en</w:t>
      </w:r>
      <w:r>
        <w:rPr>
          <w:spacing w:val="-7"/>
          <w:w w:val="115"/>
        </w:rPr>
        <w:t> </w:t>
      </w:r>
      <w:r>
        <w:rPr>
          <w:w w:val="115"/>
        </w:rPr>
        <w:t>curso</w:t>
      </w:r>
      <w:r>
        <w:rPr>
          <w:spacing w:val="-7"/>
          <w:w w:val="115"/>
        </w:rPr>
        <w:t> </w:t>
      </w:r>
      <w:r>
        <w:rPr>
          <w:w w:val="115"/>
        </w:rPr>
        <w:t>en</w:t>
      </w:r>
      <w:r>
        <w:rPr>
          <w:spacing w:val="-7"/>
          <w:w w:val="115"/>
        </w:rPr>
        <w:t> </w:t>
      </w:r>
      <w:r>
        <w:rPr>
          <w:w w:val="115"/>
        </w:rPr>
        <w:t>el</w:t>
      </w:r>
      <w:r>
        <w:rPr>
          <w:spacing w:val="-7"/>
          <w:w w:val="115"/>
        </w:rPr>
        <w:t> </w:t>
      </w:r>
      <w:r>
        <w:rPr>
          <w:w w:val="115"/>
        </w:rPr>
        <w:t>escenario</w:t>
      </w:r>
      <w:r>
        <w:rPr>
          <w:spacing w:val="-7"/>
          <w:w w:val="115"/>
        </w:rPr>
        <w:t> </w:t>
      </w:r>
      <w:r>
        <w:rPr>
          <w:w w:val="115"/>
        </w:rPr>
        <w:t>actual</w:t>
      </w:r>
      <w:r>
        <w:rPr>
          <w:spacing w:val="-7"/>
          <w:w w:val="115"/>
        </w:rPr>
        <w:t> </w:t>
      </w:r>
      <w:r>
        <w:rPr>
          <w:w w:val="115"/>
        </w:rPr>
        <w:t>un</w:t>
      </w:r>
      <w:r>
        <w:rPr>
          <w:spacing w:val="-7"/>
          <w:w w:val="115"/>
        </w:rPr>
        <w:t> </w:t>
      </w:r>
      <w:r>
        <w:rPr>
          <w:w w:val="115"/>
        </w:rPr>
        <w:t>proceso</w:t>
      </w:r>
      <w:r>
        <w:rPr>
          <w:spacing w:val="-7"/>
          <w:w w:val="115"/>
        </w:rPr>
        <w:t> </w:t>
      </w:r>
      <w:r>
        <w:rPr>
          <w:w w:val="115"/>
        </w:rPr>
        <w:t>de</w:t>
      </w:r>
      <w:r>
        <w:rPr>
          <w:spacing w:val="-7"/>
          <w:w w:val="115"/>
        </w:rPr>
        <w:t> </w:t>
      </w:r>
      <w:r>
        <w:rPr>
          <w:w w:val="115"/>
        </w:rPr>
        <w:t>rediseño estratégico</w:t>
      </w:r>
      <w:r>
        <w:rPr>
          <w:spacing w:val="-10"/>
          <w:w w:val="115"/>
        </w:rPr>
        <w:t> </w:t>
      </w:r>
      <w:r>
        <w:rPr>
          <w:w w:val="115"/>
        </w:rPr>
        <w:t>con</w:t>
      </w:r>
      <w:r>
        <w:rPr>
          <w:spacing w:val="-10"/>
          <w:w w:val="115"/>
        </w:rPr>
        <w:t> </w:t>
      </w:r>
      <w:r>
        <w:rPr>
          <w:w w:val="115"/>
        </w:rPr>
        <w:t>impactos</w:t>
      </w:r>
      <w:r>
        <w:rPr>
          <w:spacing w:val="-10"/>
          <w:w w:val="115"/>
        </w:rPr>
        <w:t> </w:t>
      </w:r>
      <w:r>
        <w:rPr>
          <w:w w:val="115"/>
        </w:rPr>
        <w:t>globales</w:t>
      </w:r>
      <w:r>
        <w:rPr>
          <w:spacing w:val="-10"/>
          <w:w w:val="115"/>
        </w:rPr>
        <w:t> </w:t>
      </w:r>
      <w:r>
        <w:rPr>
          <w:w w:val="115"/>
        </w:rPr>
        <w:t>y</w:t>
      </w:r>
      <w:r>
        <w:rPr>
          <w:spacing w:val="-10"/>
          <w:w w:val="115"/>
        </w:rPr>
        <w:t> </w:t>
      </w:r>
      <w:r>
        <w:rPr>
          <w:w w:val="115"/>
        </w:rPr>
        <w:t>hemisféricos.</w:t>
      </w:r>
      <w:r>
        <w:rPr>
          <w:spacing w:val="-10"/>
          <w:w w:val="115"/>
        </w:rPr>
        <w:t> </w:t>
      </w:r>
      <w:r>
        <w:rPr>
          <w:w w:val="115"/>
        </w:rPr>
        <w:t>ante</w:t>
      </w:r>
      <w:r>
        <w:rPr>
          <w:spacing w:val="-10"/>
          <w:w w:val="115"/>
        </w:rPr>
        <w:t> </w:t>
      </w:r>
      <w:r>
        <w:rPr>
          <w:w w:val="115"/>
        </w:rPr>
        <w:t>ello</w:t>
      </w:r>
      <w:r>
        <w:rPr>
          <w:spacing w:val="-10"/>
          <w:w w:val="115"/>
        </w:rPr>
        <w:t> </w:t>
      </w:r>
      <w:r>
        <w:rPr>
          <w:w w:val="115"/>
        </w:rPr>
        <w:t>conviene </w:t>
      </w:r>
      <w:r>
        <w:rPr>
          <w:w w:val="108"/>
        </w:rPr>
        <w:t>preguntarse</w:t>
      </w:r>
      <w:r>
        <w:rPr>
          <w:spacing w:val="16"/>
        </w:rPr>
        <w:t> </w:t>
      </w:r>
      <w:r>
        <w:rPr>
          <w:w w:val="107"/>
        </w:rPr>
        <w:t>sobre</w:t>
      </w:r>
      <w:r>
        <w:rPr>
          <w:spacing w:val="16"/>
        </w:rPr>
        <w:t> </w:t>
      </w:r>
      <w:r>
        <w:rPr>
          <w:w w:val="107"/>
        </w:rPr>
        <w:t>el</w:t>
      </w:r>
      <w:r>
        <w:rPr>
          <w:spacing w:val="16"/>
        </w:rPr>
        <w:t> </w:t>
      </w:r>
      <w:r>
        <w:rPr>
          <w:w w:val="110"/>
        </w:rPr>
        <w:t>potencial</w:t>
      </w:r>
      <w:r>
        <w:rPr>
          <w:spacing w:val="16"/>
        </w:rPr>
        <w:t> </w:t>
      </w:r>
      <w:r>
        <w:rPr>
          <w:w w:val="108"/>
        </w:rPr>
        <w:t>defensivo</w:t>
      </w:r>
      <w:r>
        <w:rPr>
          <w:spacing w:val="16"/>
        </w:rPr>
        <w:t> </w:t>
      </w:r>
      <w:r>
        <w:rPr>
          <w:w w:val="107"/>
        </w:rPr>
        <w:t>de</w:t>
      </w:r>
      <w:r>
        <w:rPr>
          <w:spacing w:val="16"/>
        </w:rPr>
        <w:t> </w:t>
      </w:r>
      <w:r>
        <w:rPr>
          <w:w w:val="139"/>
        </w:rPr>
        <w:t>a</w:t>
      </w:r>
      <w:r>
        <w:rPr>
          <w:w w:val="111"/>
        </w:rPr>
        <w:t>mérica</w:t>
      </w:r>
      <w:r>
        <w:rPr>
          <w:spacing w:val="16"/>
        </w:rPr>
        <w:t> </w:t>
      </w:r>
      <w:r>
        <w:rPr>
          <w:w w:val="243"/>
        </w:rPr>
        <w:t>l</w:t>
      </w:r>
      <w:r>
        <w:rPr>
          <w:w w:val="111"/>
        </w:rPr>
        <w:t>atina</w:t>
      </w:r>
      <w:r>
        <w:rPr>
          <w:spacing w:val="16"/>
        </w:rPr>
        <w:t> </w:t>
      </w:r>
      <w:r>
        <w:rPr>
          <w:w w:val="105"/>
        </w:rPr>
        <w:t>y</w:t>
      </w:r>
      <w:r>
        <w:rPr>
          <w:spacing w:val="16"/>
        </w:rPr>
        <w:t> </w:t>
      </w:r>
      <w:r>
        <w:rPr>
          <w:w w:val="107"/>
        </w:rPr>
        <w:t>el</w:t>
      </w:r>
      <w:r>
        <w:rPr>
          <w:spacing w:val="16"/>
        </w:rPr>
        <w:t> </w:t>
      </w:r>
      <w:r>
        <w:rPr>
          <w:w w:val="115"/>
        </w:rPr>
        <w:t>Cari</w:t>
      </w:r>
      <w:r>
        <w:rPr>
          <w:w w:val="102"/>
        </w:rPr>
        <w:t>- </w:t>
      </w:r>
      <w:r>
        <w:rPr>
          <w:w w:val="112"/>
        </w:rPr>
        <w:t>be.</w:t>
      </w:r>
      <w:r>
        <w:rPr>
          <w:spacing w:val="7"/>
        </w:rPr>
        <w:t> </w:t>
      </w:r>
      <w:r>
        <w:rPr>
          <w:w w:val="243"/>
        </w:rPr>
        <w:t>l</w:t>
      </w:r>
      <w:r>
        <w:rPr>
          <w:w w:val="110"/>
        </w:rPr>
        <w:t>o</w:t>
      </w:r>
      <w:r>
        <w:rPr>
          <w:spacing w:val="7"/>
        </w:rPr>
        <w:t> </w:t>
      </w:r>
      <w:r>
        <w:rPr>
          <w:w w:val="109"/>
        </w:rPr>
        <w:t>primero</w:t>
      </w:r>
      <w:r>
        <w:rPr>
          <w:spacing w:val="7"/>
        </w:rPr>
        <w:t> </w:t>
      </w:r>
      <w:r>
        <w:rPr>
          <w:w w:val="108"/>
        </w:rPr>
        <w:t>que</w:t>
      </w:r>
      <w:r>
        <w:rPr>
          <w:spacing w:val="7"/>
        </w:rPr>
        <w:t> </w:t>
      </w:r>
      <w:r>
        <w:rPr>
          <w:w w:val="105"/>
        </w:rPr>
        <w:t>se</w:t>
      </w:r>
      <w:r>
        <w:rPr>
          <w:spacing w:val="7"/>
        </w:rPr>
        <w:t> </w:t>
      </w:r>
      <w:r>
        <w:rPr>
          <w:w w:val="108"/>
        </w:rPr>
        <w:t>puede</w:t>
      </w:r>
      <w:r>
        <w:rPr>
          <w:spacing w:val="7"/>
        </w:rPr>
        <w:t> </w:t>
      </w:r>
      <w:r>
        <w:rPr>
          <w:w w:val="109"/>
        </w:rPr>
        <w:t>reconocer</w:t>
      </w:r>
      <w:r>
        <w:rPr>
          <w:spacing w:val="7"/>
        </w:rPr>
        <w:t> </w:t>
      </w:r>
      <w:r>
        <w:rPr>
          <w:w w:val="105"/>
        </w:rPr>
        <w:t>es</w:t>
      </w:r>
      <w:r>
        <w:rPr>
          <w:spacing w:val="7"/>
        </w:rPr>
        <w:t> </w:t>
      </w:r>
      <w:r>
        <w:rPr>
          <w:w w:val="108"/>
        </w:rPr>
        <w:t>que</w:t>
      </w:r>
      <w:r>
        <w:rPr>
          <w:spacing w:val="7"/>
        </w:rPr>
        <w:t> </w:t>
      </w:r>
      <w:r>
        <w:rPr>
          <w:w w:val="111"/>
        </w:rPr>
        <w:t>junto</w:t>
      </w:r>
      <w:r>
        <w:rPr>
          <w:spacing w:val="7"/>
        </w:rPr>
        <w:t> </w:t>
      </w:r>
      <w:r>
        <w:rPr>
          <w:w w:val="112"/>
        </w:rPr>
        <w:t>con</w:t>
      </w:r>
      <w:r>
        <w:rPr>
          <w:spacing w:val="7"/>
        </w:rPr>
        <w:t> </w:t>
      </w:r>
      <w:r>
        <w:rPr>
          <w:w w:val="109"/>
        </w:rPr>
        <w:t>las</w:t>
      </w:r>
      <w:r>
        <w:rPr>
          <w:spacing w:val="7"/>
        </w:rPr>
        <w:t> </w:t>
      </w:r>
      <w:r>
        <w:rPr>
          <w:w w:val="107"/>
        </w:rPr>
        <w:t>señales</w:t>
      </w:r>
      <w:r>
        <w:rPr>
          <w:spacing w:val="7"/>
        </w:rPr>
        <w:t> </w:t>
      </w:r>
      <w:r>
        <w:rPr>
          <w:w w:val="107"/>
        </w:rPr>
        <w:t>de </w:t>
      </w:r>
      <w:r>
        <w:rPr>
          <w:w w:val="115"/>
        </w:rPr>
        <w:t>crisis</w:t>
      </w:r>
      <w:r>
        <w:rPr>
          <w:spacing w:val="-8"/>
          <w:w w:val="115"/>
        </w:rPr>
        <w:t> </w:t>
      </w:r>
      <w:r>
        <w:rPr>
          <w:w w:val="115"/>
        </w:rPr>
        <w:t>del</w:t>
      </w:r>
      <w:r>
        <w:rPr>
          <w:spacing w:val="-8"/>
          <w:w w:val="115"/>
        </w:rPr>
        <w:t> </w:t>
      </w:r>
      <w:r>
        <w:rPr>
          <w:w w:val="115"/>
        </w:rPr>
        <w:t>neoliberalismo</w:t>
      </w:r>
      <w:r>
        <w:rPr>
          <w:spacing w:val="-8"/>
          <w:w w:val="115"/>
        </w:rPr>
        <w:t> </w:t>
      </w:r>
      <w:r>
        <w:rPr>
          <w:w w:val="115"/>
        </w:rPr>
        <w:t>y</w:t>
      </w:r>
      <w:r>
        <w:rPr>
          <w:spacing w:val="-8"/>
          <w:w w:val="115"/>
        </w:rPr>
        <w:t> </w:t>
      </w:r>
      <w:r>
        <w:rPr>
          <w:w w:val="115"/>
        </w:rPr>
        <w:t>su</w:t>
      </w:r>
      <w:r>
        <w:rPr>
          <w:spacing w:val="-8"/>
          <w:w w:val="115"/>
        </w:rPr>
        <w:t> </w:t>
      </w:r>
      <w:r>
        <w:rPr>
          <w:w w:val="115"/>
        </w:rPr>
        <w:t>sistema</w:t>
      </w:r>
      <w:r>
        <w:rPr>
          <w:spacing w:val="-8"/>
          <w:w w:val="115"/>
        </w:rPr>
        <w:t> </w:t>
      </w:r>
      <w:r>
        <w:rPr>
          <w:w w:val="115"/>
        </w:rPr>
        <w:t>de</w:t>
      </w:r>
      <w:r>
        <w:rPr>
          <w:spacing w:val="-8"/>
          <w:w w:val="115"/>
        </w:rPr>
        <w:t> </w:t>
      </w:r>
      <w:r>
        <w:rPr>
          <w:w w:val="115"/>
        </w:rPr>
        <w:t>dominación</w:t>
      </w:r>
      <w:r>
        <w:rPr>
          <w:spacing w:val="-8"/>
          <w:w w:val="115"/>
        </w:rPr>
        <w:t> </w:t>
      </w:r>
      <w:r>
        <w:rPr>
          <w:w w:val="115"/>
        </w:rPr>
        <w:t>se</w:t>
      </w:r>
      <w:r>
        <w:rPr>
          <w:spacing w:val="-8"/>
          <w:w w:val="115"/>
        </w:rPr>
        <w:t> </w:t>
      </w:r>
      <w:r>
        <w:rPr>
          <w:w w:val="115"/>
        </w:rPr>
        <w:t>ha</w:t>
      </w:r>
      <w:r>
        <w:rPr>
          <w:spacing w:val="-8"/>
          <w:w w:val="115"/>
        </w:rPr>
        <w:t> </w:t>
      </w:r>
      <w:r>
        <w:rPr>
          <w:w w:val="115"/>
        </w:rPr>
        <w:t>desatado en la región una nueva dinámica política, una de cuyas tendencias apunta hacia un rumbo político distinto. En esa trayectoria y por la historia</w:t>
      </w:r>
      <w:r>
        <w:rPr>
          <w:spacing w:val="-8"/>
          <w:w w:val="115"/>
        </w:rPr>
        <w:t> </w:t>
      </w:r>
      <w:r>
        <w:rPr>
          <w:w w:val="115"/>
        </w:rPr>
        <w:t>misma</w:t>
      </w:r>
      <w:r>
        <w:rPr>
          <w:spacing w:val="-8"/>
          <w:w w:val="115"/>
        </w:rPr>
        <w:t> </w:t>
      </w:r>
      <w:r>
        <w:rPr>
          <w:w w:val="115"/>
        </w:rPr>
        <w:t>de</w:t>
      </w:r>
      <w:r>
        <w:rPr>
          <w:spacing w:val="-8"/>
          <w:w w:val="115"/>
        </w:rPr>
        <w:t> </w:t>
      </w:r>
      <w:r>
        <w:rPr>
          <w:w w:val="115"/>
        </w:rPr>
        <w:t>la</w:t>
      </w:r>
      <w:r>
        <w:rPr>
          <w:spacing w:val="-8"/>
          <w:w w:val="115"/>
        </w:rPr>
        <w:t> </w:t>
      </w:r>
      <w:r>
        <w:rPr>
          <w:w w:val="115"/>
        </w:rPr>
        <w:t>diplomacia</w:t>
      </w:r>
      <w:r>
        <w:rPr>
          <w:spacing w:val="-8"/>
          <w:w w:val="115"/>
        </w:rPr>
        <w:t> </w:t>
      </w:r>
      <w:r>
        <w:rPr>
          <w:w w:val="115"/>
        </w:rPr>
        <w:t>regional</w:t>
      </w:r>
      <w:r>
        <w:rPr>
          <w:spacing w:val="-8"/>
          <w:w w:val="115"/>
        </w:rPr>
        <w:t> </w:t>
      </w:r>
      <w:r>
        <w:rPr>
          <w:w w:val="115"/>
        </w:rPr>
        <w:t>la</w:t>
      </w:r>
      <w:r>
        <w:rPr>
          <w:spacing w:val="-8"/>
          <w:w w:val="115"/>
        </w:rPr>
        <w:t> </w:t>
      </w:r>
      <w:r>
        <w:rPr>
          <w:w w:val="115"/>
        </w:rPr>
        <w:t>mayor</w:t>
      </w:r>
      <w:r>
        <w:rPr>
          <w:spacing w:val="-8"/>
          <w:w w:val="115"/>
        </w:rPr>
        <w:t> </w:t>
      </w:r>
      <w:r>
        <w:rPr>
          <w:w w:val="115"/>
        </w:rPr>
        <w:t>fortaleza</w:t>
      </w:r>
      <w:r>
        <w:rPr>
          <w:spacing w:val="-8"/>
          <w:w w:val="115"/>
        </w:rPr>
        <w:t> </w:t>
      </w:r>
      <w:r>
        <w:rPr>
          <w:w w:val="115"/>
        </w:rPr>
        <w:t>de</w:t>
      </w:r>
      <w:r>
        <w:rPr>
          <w:spacing w:val="-8"/>
          <w:w w:val="115"/>
        </w:rPr>
        <w:t> </w:t>
      </w:r>
      <w:r>
        <w:rPr>
          <w:w w:val="115"/>
        </w:rPr>
        <w:t>amé- </w:t>
      </w:r>
      <w:r>
        <w:rPr>
          <w:w w:val="112"/>
        </w:rPr>
        <w:t>rica</w:t>
      </w:r>
      <w:r>
        <w:rPr/>
        <w:t> </w:t>
      </w:r>
      <w:r>
        <w:rPr>
          <w:spacing w:val="-2"/>
        </w:rPr>
        <w:t> </w:t>
      </w:r>
      <w:r>
        <w:rPr>
          <w:w w:val="243"/>
        </w:rPr>
        <w:t>l</w:t>
      </w:r>
      <w:r>
        <w:rPr>
          <w:w w:val="111"/>
        </w:rPr>
        <w:t>atina</w:t>
      </w:r>
      <w:r>
        <w:rPr/>
        <w:t> </w:t>
      </w:r>
      <w:r>
        <w:rPr>
          <w:spacing w:val="-2"/>
        </w:rPr>
        <w:t> </w:t>
      </w:r>
      <w:r>
        <w:rPr>
          <w:w w:val="108"/>
        </w:rPr>
        <w:t>estriba</w:t>
      </w:r>
      <w:r>
        <w:rPr/>
        <w:t> </w:t>
      </w:r>
      <w:r>
        <w:rPr>
          <w:spacing w:val="-2"/>
        </w:rPr>
        <w:t> </w:t>
      </w:r>
      <w:r>
        <w:rPr>
          <w:w w:val="108"/>
        </w:rPr>
        <w:t>en</w:t>
      </w:r>
      <w:r>
        <w:rPr/>
        <w:t> </w:t>
      </w:r>
      <w:r>
        <w:rPr>
          <w:spacing w:val="-2"/>
        </w:rPr>
        <w:t> </w:t>
      </w:r>
      <w:r>
        <w:rPr>
          <w:w w:val="111"/>
        </w:rPr>
        <w:t>la</w:t>
      </w:r>
      <w:r>
        <w:rPr/>
        <w:t> </w:t>
      </w:r>
      <w:r>
        <w:rPr>
          <w:spacing w:val="-2"/>
        </w:rPr>
        <w:t> </w:t>
      </w:r>
      <w:r>
        <w:rPr>
          <w:w w:val="110"/>
        </w:rPr>
        <w:t>posibilidad</w:t>
      </w:r>
      <w:r>
        <w:rPr/>
        <w:t> </w:t>
      </w:r>
      <w:r>
        <w:rPr>
          <w:spacing w:val="-2"/>
        </w:rPr>
        <w:t> </w:t>
      </w:r>
      <w:r>
        <w:rPr>
          <w:w w:val="107"/>
        </w:rPr>
        <w:t>de</w:t>
      </w:r>
      <w:r>
        <w:rPr/>
        <w:t> </w:t>
      </w:r>
      <w:r>
        <w:rPr>
          <w:spacing w:val="-2"/>
        </w:rPr>
        <w:t> </w:t>
      </w:r>
      <w:r>
        <w:rPr>
          <w:w w:val="110"/>
        </w:rPr>
        <w:t>hacer</w:t>
      </w:r>
      <w:r>
        <w:rPr/>
        <w:t> </w:t>
      </w:r>
      <w:r>
        <w:rPr>
          <w:spacing w:val="-2"/>
        </w:rPr>
        <w:t> </w:t>
      </w:r>
      <w:r>
        <w:rPr>
          <w:w w:val="106"/>
        </w:rPr>
        <w:t>vale</w:t>
      </w:r>
      <w:r>
        <w:rPr>
          <w:spacing w:val="-22"/>
          <w:w w:val="105"/>
        </w:rPr>
        <w:t>r</w:t>
      </w:r>
      <w:r>
        <w:rPr>
          <w:w w:val="138"/>
        </w:rPr>
        <w:t>,</w:t>
      </w:r>
      <w:r>
        <w:rPr/>
        <w:t> </w:t>
      </w:r>
      <w:r>
        <w:rPr>
          <w:spacing w:val="-2"/>
        </w:rPr>
        <w:t> </w:t>
      </w:r>
      <w:r>
        <w:rPr>
          <w:w w:val="111"/>
        </w:rPr>
        <w:t>más</w:t>
      </w:r>
      <w:r>
        <w:rPr/>
        <w:t> </w:t>
      </w:r>
      <w:r>
        <w:rPr>
          <w:spacing w:val="-2"/>
        </w:rPr>
        <w:t> </w:t>
      </w:r>
      <w:r>
        <w:rPr>
          <w:w w:val="111"/>
        </w:rPr>
        <w:t>allá</w:t>
      </w:r>
      <w:r>
        <w:rPr/>
        <w:t> </w:t>
      </w:r>
      <w:r>
        <w:rPr>
          <w:spacing w:val="-2"/>
        </w:rPr>
        <w:t> </w:t>
      </w:r>
      <w:r>
        <w:rPr>
          <w:w w:val="107"/>
        </w:rPr>
        <w:t>de</w:t>
      </w:r>
      <w:r>
        <w:rPr/>
        <w:t> </w:t>
      </w:r>
      <w:r>
        <w:rPr>
          <w:spacing w:val="-2"/>
        </w:rPr>
        <w:t> </w:t>
      </w:r>
      <w:r>
        <w:rPr>
          <w:w w:val="109"/>
        </w:rPr>
        <w:t>las </w:t>
      </w:r>
      <w:r>
        <w:rPr>
          <w:w w:val="115"/>
        </w:rPr>
        <w:t>diferencias,</w:t>
      </w:r>
      <w:r>
        <w:rPr>
          <w:spacing w:val="-21"/>
          <w:w w:val="115"/>
        </w:rPr>
        <w:t> </w:t>
      </w:r>
      <w:r>
        <w:rPr>
          <w:w w:val="115"/>
        </w:rPr>
        <w:t>las</w:t>
      </w:r>
      <w:r>
        <w:rPr>
          <w:spacing w:val="-21"/>
          <w:w w:val="115"/>
        </w:rPr>
        <w:t> </w:t>
      </w:r>
      <w:r>
        <w:rPr>
          <w:w w:val="115"/>
        </w:rPr>
        <w:t>coincidencias</w:t>
      </w:r>
      <w:r>
        <w:rPr>
          <w:spacing w:val="-21"/>
          <w:w w:val="115"/>
        </w:rPr>
        <w:t> </w:t>
      </w:r>
      <w:r>
        <w:rPr>
          <w:w w:val="115"/>
        </w:rPr>
        <w:t>y</w:t>
      </w:r>
      <w:r>
        <w:rPr>
          <w:spacing w:val="-21"/>
          <w:w w:val="115"/>
        </w:rPr>
        <w:t> </w:t>
      </w:r>
      <w:r>
        <w:rPr>
          <w:w w:val="115"/>
        </w:rPr>
        <w:t>los</w:t>
      </w:r>
      <w:r>
        <w:rPr>
          <w:spacing w:val="-21"/>
          <w:w w:val="115"/>
        </w:rPr>
        <w:t> </w:t>
      </w:r>
      <w:r>
        <w:rPr>
          <w:w w:val="115"/>
        </w:rPr>
        <w:t>desafíos</w:t>
      </w:r>
      <w:r>
        <w:rPr>
          <w:spacing w:val="-21"/>
          <w:w w:val="115"/>
        </w:rPr>
        <w:t> </w:t>
      </w:r>
      <w:r>
        <w:rPr>
          <w:w w:val="115"/>
        </w:rPr>
        <w:t>comunes.</w:t>
      </w:r>
    </w:p>
    <w:p>
      <w:pPr>
        <w:pStyle w:val="BodyText"/>
        <w:spacing w:line="252" w:lineRule="auto"/>
        <w:ind w:left="100" w:right="325" w:firstLine="396"/>
        <w:jc w:val="both"/>
      </w:pPr>
      <w:r>
        <w:rPr>
          <w:spacing w:val="1"/>
          <w:w w:val="243"/>
        </w:rPr>
        <w:t>l</w:t>
      </w:r>
      <w:r>
        <w:rPr>
          <w:spacing w:val="1"/>
          <w:w w:val="109"/>
        </w:rPr>
        <w:t>a</w:t>
      </w:r>
      <w:r>
        <w:rPr>
          <w:w w:val="109"/>
        </w:rPr>
        <w:t>s</w:t>
      </w:r>
      <w:r>
        <w:rPr/>
        <w:t> </w:t>
      </w:r>
      <w:r>
        <w:rPr>
          <w:spacing w:val="-18"/>
        </w:rPr>
        <w:t> </w:t>
      </w:r>
      <w:r>
        <w:rPr>
          <w:spacing w:val="1"/>
          <w:w w:val="108"/>
        </w:rPr>
        <w:t>nueva</w:t>
      </w:r>
      <w:r>
        <w:rPr>
          <w:w w:val="108"/>
        </w:rPr>
        <w:t>s</w:t>
      </w:r>
      <w:r>
        <w:rPr/>
        <w:t> </w:t>
      </w:r>
      <w:r>
        <w:rPr>
          <w:spacing w:val="-18"/>
        </w:rPr>
        <w:t> </w:t>
      </w:r>
      <w:r>
        <w:rPr>
          <w:spacing w:val="1"/>
          <w:w w:val="112"/>
        </w:rPr>
        <w:t>con</w:t>
      </w:r>
      <w:r>
        <w:rPr>
          <w:w w:val="104"/>
        </w:rPr>
        <w:t>fi</w:t>
      </w:r>
      <w:r>
        <w:rPr>
          <w:spacing w:val="1"/>
          <w:w w:val="110"/>
        </w:rPr>
        <w:t>guracione</w:t>
      </w:r>
      <w:r>
        <w:rPr>
          <w:w w:val="110"/>
        </w:rPr>
        <w:t>s</w:t>
      </w:r>
      <w:r>
        <w:rPr/>
        <w:t> </w:t>
      </w:r>
      <w:r>
        <w:rPr>
          <w:spacing w:val="-18"/>
        </w:rPr>
        <w:t> </w:t>
      </w:r>
      <w:r>
        <w:rPr>
          <w:spacing w:val="1"/>
          <w:w w:val="107"/>
        </w:rPr>
        <w:t>d</w:t>
      </w:r>
      <w:r>
        <w:rPr>
          <w:w w:val="107"/>
        </w:rPr>
        <w:t>e</w:t>
      </w:r>
      <w:r>
        <w:rPr/>
        <w:t> </w:t>
      </w:r>
      <w:r>
        <w:rPr>
          <w:spacing w:val="-18"/>
        </w:rPr>
        <w:t> </w:t>
      </w:r>
      <w:r>
        <w:rPr>
          <w:spacing w:val="1"/>
          <w:w w:val="109"/>
        </w:rPr>
        <w:t>fuerza</w:t>
      </w:r>
      <w:r>
        <w:rPr>
          <w:w w:val="109"/>
        </w:rPr>
        <w:t>s</w:t>
      </w:r>
      <w:r>
        <w:rPr/>
        <w:t> </w:t>
      </w:r>
      <w:r>
        <w:rPr>
          <w:spacing w:val="-18"/>
        </w:rPr>
        <w:t> </w:t>
      </w:r>
      <w:r>
        <w:rPr>
          <w:spacing w:val="1"/>
          <w:w w:val="110"/>
        </w:rPr>
        <w:t>contiene</w:t>
      </w:r>
      <w:r>
        <w:rPr>
          <w:w w:val="110"/>
        </w:rPr>
        <w:t>n</w:t>
      </w:r>
      <w:r>
        <w:rPr/>
        <w:t> </w:t>
      </w:r>
      <w:r>
        <w:rPr>
          <w:spacing w:val="-18"/>
        </w:rPr>
        <w:t> </w:t>
      </w:r>
      <w:r>
        <w:rPr>
          <w:spacing w:val="1"/>
          <w:w w:val="108"/>
        </w:rPr>
        <w:t>lo</w:t>
      </w:r>
      <w:r>
        <w:rPr>
          <w:w w:val="108"/>
        </w:rPr>
        <w:t>s</w:t>
      </w:r>
      <w:r>
        <w:rPr/>
        <w:t> </w:t>
      </w:r>
      <w:r>
        <w:rPr>
          <w:spacing w:val="-18"/>
        </w:rPr>
        <w:t> </w:t>
      </w:r>
      <w:r>
        <w:rPr>
          <w:spacing w:val="1"/>
          <w:w w:val="109"/>
        </w:rPr>
        <w:t>ingredien</w:t>
      </w:r>
      <w:r>
        <w:rPr>
          <w:w w:val="102"/>
        </w:rPr>
        <w:t>- </w:t>
      </w:r>
      <w:r>
        <w:rPr>
          <w:w w:val="115"/>
        </w:rPr>
        <w:t>tes para preguntarse por qué no han podido avanzar más las políti- cas</w:t>
      </w:r>
      <w:r>
        <w:rPr>
          <w:spacing w:val="-11"/>
          <w:w w:val="115"/>
        </w:rPr>
        <w:t> </w:t>
      </w:r>
      <w:r>
        <w:rPr>
          <w:w w:val="115"/>
        </w:rPr>
        <w:t>de</w:t>
      </w:r>
      <w:r>
        <w:rPr>
          <w:spacing w:val="-11"/>
          <w:w w:val="115"/>
        </w:rPr>
        <w:t> </w:t>
      </w:r>
      <w:r>
        <w:rPr>
          <w:w w:val="115"/>
        </w:rPr>
        <w:t>“libre</w:t>
      </w:r>
      <w:r>
        <w:rPr>
          <w:spacing w:val="-11"/>
          <w:w w:val="115"/>
        </w:rPr>
        <w:t> </w:t>
      </w:r>
      <w:r>
        <w:rPr>
          <w:w w:val="115"/>
        </w:rPr>
        <w:t>mercado”</w:t>
      </w:r>
      <w:r>
        <w:rPr>
          <w:spacing w:val="-11"/>
          <w:w w:val="115"/>
        </w:rPr>
        <w:t> </w:t>
      </w:r>
      <w:r>
        <w:rPr>
          <w:w w:val="115"/>
        </w:rPr>
        <w:t>y</w:t>
      </w:r>
      <w:r>
        <w:rPr>
          <w:spacing w:val="-11"/>
          <w:w w:val="115"/>
        </w:rPr>
        <w:t> </w:t>
      </w:r>
      <w:r>
        <w:rPr>
          <w:w w:val="115"/>
        </w:rPr>
        <w:t>sus</w:t>
      </w:r>
      <w:r>
        <w:rPr>
          <w:spacing w:val="-11"/>
          <w:w w:val="115"/>
        </w:rPr>
        <w:t> </w:t>
      </w:r>
      <w:r>
        <w:rPr>
          <w:w w:val="115"/>
        </w:rPr>
        <w:t>tratados</w:t>
      </w:r>
      <w:r>
        <w:rPr>
          <w:spacing w:val="-11"/>
          <w:w w:val="115"/>
        </w:rPr>
        <w:t> </w:t>
      </w:r>
      <w:r>
        <w:rPr>
          <w:w w:val="115"/>
        </w:rPr>
        <w:t>comerciales.</w:t>
      </w:r>
      <w:r>
        <w:rPr>
          <w:spacing w:val="-11"/>
          <w:w w:val="115"/>
        </w:rPr>
        <w:t> </w:t>
      </w:r>
      <w:r>
        <w:rPr>
          <w:w w:val="115"/>
        </w:rPr>
        <w:t>En</w:t>
      </w:r>
      <w:r>
        <w:rPr>
          <w:spacing w:val="-11"/>
          <w:w w:val="115"/>
        </w:rPr>
        <w:t> </w:t>
      </w:r>
      <w:r>
        <w:rPr>
          <w:w w:val="115"/>
        </w:rPr>
        <w:t>la</w:t>
      </w:r>
      <w:r>
        <w:rPr>
          <w:spacing w:val="-11"/>
          <w:w w:val="115"/>
        </w:rPr>
        <w:t> </w:t>
      </w:r>
      <w:r>
        <w:rPr>
          <w:w w:val="115"/>
        </w:rPr>
        <w:t>densidad</w:t>
      </w:r>
      <w:r>
        <w:rPr>
          <w:spacing w:val="-11"/>
          <w:w w:val="115"/>
        </w:rPr>
        <w:t> </w:t>
      </w:r>
      <w:r>
        <w:rPr>
          <w:w w:val="115"/>
        </w:rPr>
        <w:t>de ese juego de pesos y contrapesos, un momento político primordial constituyó el freno que se le ha puesto en 2005, en Mar del Plata, a las pretensiones hegemónicas de llevar a todo el continente el pro- </w:t>
      </w:r>
      <w:r>
        <w:rPr>
          <w:spacing w:val="1"/>
          <w:w w:val="108"/>
        </w:rPr>
        <w:t>yect</w:t>
      </w:r>
      <w:r>
        <w:rPr>
          <w:w w:val="108"/>
        </w:rPr>
        <w:t>o</w:t>
      </w:r>
      <w:r>
        <w:rPr/>
        <w:t> </w:t>
      </w:r>
      <w:r>
        <w:rPr>
          <w:spacing w:val="-2"/>
        </w:rPr>
        <w:t> </w:t>
      </w:r>
      <w:r>
        <w:rPr>
          <w:spacing w:val="1"/>
          <w:w w:val="115"/>
        </w:rPr>
        <w:t>“</w:t>
      </w:r>
      <w:r>
        <w:rPr>
          <w:spacing w:val="1"/>
          <w:w w:val="139"/>
        </w:rPr>
        <w:t>a</w:t>
      </w:r>
      <w:r>
        <w:rPr>
          <w:spacing w:val="1"/>
          <w:w w:val="109"/>
        </w:rPr>
        <w:t>cuerd</w:t>
      </w:r>
      <w:r>
        <w:rPr>
          <w:w w:val="109"/>
        </w:rPr>
        <w:t>o</w:t>
      </w:r>
      <w:r>
        <w:rPr/>
        <w:t> </w:t>
      </w:r>
      <w:r>
        <w:rPr>
          <w:spacing w:val="-2"/>
        </w:rPr>
        <w:t> </w:t>
      </w:r>
      <w:r>
        <w:rPr>
          <w:spacing w:val="1"/>
          <w:w w:val="107"/>
        </w:rPr>
        <w:t>d</w:t>
      </w:r>
      <w:r>
        <w:rPr>
          <w:w w:val="107"/>
        </w:rPr>
        <w:t>e</w:t>
      </w:r>
      <w:r>
        <w:rPr/>
        <w:t> </w:t>
      </w:r>
      <w:r>
        <w:rPr>
          <w:spacing w:val="-2"/>
        </w:rPr>
        <w:t> </w:t>
      </w:r>
      <w:r>
        <w:rPr>
          <w:spacing w:val="1"/>
          <w:w w:val="243"/>
        </w:rPr>
        <w:t>l</w:t>
      </w:r>
      <w:r>
        <w:rPr>
          <w:spacing w:val="1"/>
          <w:w w:val="108"/>
        </w:rPr>
        <w:t>ibr</w:t>
      </w:r>
      <w:r>
        <w:rPr>
          <w:w w:val="108"/>
        </w:rPr>
        <w:t>e</w:t>
      </w:r>
      <w:r>
        <w:rPr/>
        <w:t> </w:t>
      </w:r>
      <w:r>
        <w:rPr>
          <w:spacing w:val="-2"/>
        </w:rPr>
        <w:t> </w:t>
      </w:r>
      <w:r>
        <w:rPr>
          <w:spacing w:val="1"/>
          <w:w w:val="112"/>
        </w:rPr>
        <w:t>Comerci</w:t>
      </w:r>
      <w:r>
        <w:rPr>
          <w:w w:val="112"/>
        </w:rPr>
        <w:t>o</w:t>
      </w:r>
      <w:r>
        <w:rPr/>
        <w:t> </w:t>
      </w:r>
      <w:r>
        <w:rPr>
          <w:spacing w:val="-2"/>
        </w:rPr>
        <w:t> </w:t>
      </w:r>
      <w:r>
        <w:rPr>
          <w:spacing w:val="1"/>
          <w:w w:val="109"/>
        </w:rPr>
        <w:t>par</w:t>
      </w:r>
      <w:r>
        <w:rPr>
          <w:w w:val="109"/>
        </w:rPr>
        <w:t>a</w:t>
      </w:r>
      <w:r>
        <w:rPr/>
        <w:t> </w:t>
      </w:r>
      <w:r>
        <w:rPr>
          <w:spacing w:val="-2"/>
        </w:rPr>
        <w:t> </w:t>
      </w:r>
      <w:r>
        <w:rPr>
          <w:spacing w:val="1"/>
          <w:w w:val="109"/>
        </w:rPr>
        <w:t>la</w:t>
      </w:r>
      <w:r>
        <w:rPr>
          <w:w w:val="109"/>
        </w:rPr>
        <w:t>s</w:t>
      </w:r>
      <w:r>
        <w:rPr/>
        <w:t> </w:t>
      </w:r>
      <w:r>
        <w:rPr>
          <w:spacing w:val="-2"/>
        </w:rPr>
        <w:t> </w:t>
      </w:r>
      <w:r>
        <w:rPr>
          <w:spacing w:val="1"/>
          <w:w w:val="139"/>
        </w:rPr>
        <w:t>a</w:t>
      </w:r>
      <w:r>
        <w:rPr>
          <w:spacing w:val="1"/>
          <w:w w:val="112"/>
        </w:rPr>
        <w:t>méricas”</w:t>
      </w:r>
      <w:r>
        <w:rPr>
          <w:w w:val="112"/>
        </w:rPr>
        <w:t>,</w:t>
      </w:r>
      <w:r>
        <w:rPr/>
        <w:t> </w:t>
      </w:r>
      <w:r>
        <w:rPr>
          <w:spacing w:val="-2"/>
        </w:rPr>
        <w:t> </w:t>
      </w:r>
      <w:r>
        <w:rPr>
          <w:spacing w:val="1"/>
          <w:w w:val="176"/>
        </w:rPr>
        <w:t>al</w:t>
      </w:r>
      <w:r>
        <w:rPr>
          <w:spacing w:val="1"/>
          <w:w w:val="124"/>
        </w:rPr>
        <w:t>C</w:t>
      </w:r>
      <w:r>
        <w:rPr>
          <w:w w:val="139"/>
        </w:rPr>
        <w:t>a</w:t>
      </w:r>
      <w:r>
        <w:rPr/>
        <w:t> </w:t>
      </w:r>
      <w:r>
        <w:rPr>
          <w:spacing w:val="-2"/>
        </w:rPr>
        <w:t> </w:t>
      </w:r>
      <w:r>
        <w:rPr>
          <w:spacing w:val="1"/>
          <w:w w:val="112"/>
        </w:rPr>
        <w:t>(Na</w:t>
      </w:r>
      <w:r>
        <w:rPr>
          <w:w w:val="102"/>
        </w:rPr>
        <w:t>- </w:t>
      </w:r>
      <w:r>
        <w:rPr>
          <w:w w:val="115"/>
        </w:rPr>
        <w:t>dal, 2005). allí se pudo dimensionar el cuestionamiento a las con- cepciones conservadoras de integración, seguridad y cooperación hemisféricas. Frente a los valores impulsados por el mercantilismo neoliberal,</w:t>
      </w:r>
      <w:r>
        <w:rPr>
          <w:spacing w:val="-15"/>
          <w:w w:val="115"/>
        </w:rPr>
        <w:t> </w:t>
      </w:r>
      <w:r>
        <w:rPr>
          <w:w w:val="115"/>
        </w:rPr>
        <w:t>la</w:t>
      </w:r>
      <w:r>
        <w:rPr>
          <w:spacing w:val="-15"/>
          <w:w w:val="115"/>
        </w:rPr>
        <w:t> </w:t>
      </w:r>
      <w:r>
        <w:rPr>
          <w:w w:val="115"/>
        </w:rPr>
        <w:t>“competitividad”</w:t>
      </w:r>
      <w:r>
        <w:rPr>
          <w:spacing w:val="-15"/>
          <w:w w:val="115"/>
        </w:rPr>
        <w:t> </w:t>
      </w:r>
      <w:r>
        <w:rPr>
          <w:w w:val="115"/>
        </w:rPr>
        <w:t>y</w:t>
      </w:r>
      <w:r>
        <w:rPr>
          <w:spacing w:val="-15"/>
          <w:w w:val="115"/>
        </w:rPr>
        <w:t> </w:t>
      </w:r>
      <w:r>
        <w:rPr>
          <w:w w:val="115"/>
        </w:rPr>
        <w:t>las</w:t>
      </w:r>
      <w:r>
        <w:rPr>
          <w:spacing w:val="-15"/>
          <w:w w:val="115"/>
        </w:rPr>
        <w:t> </w:t>
      </w:r>
      <w:r>
        <w:rPr>
          <w:w w:val="115"/>
        </w:rPr>
        <w:t>oportunidades</w:t>
      </w:r>
      <w:r>
        <w:rPr>
          <w:spacing w:val="-15"/>
          <w:w w:val="115"/>
        </w:rPr>
        <w:t> </w:t>
      </w:r>
      <w:r>
        <w:rPr>
          <w:w w:val="115"/>
        </w:rPr>
        <w:t>del</w:t>
      </w:r>
      <w:r>
        <w:rPr>
          <w:spacing w:val="-15"/>
          <w:w w:val="115"/>
        </w:rPr>
        <w:t> </w:t>
      </w:r>
      <w:r>
        <w:rPr>
          <w:w w:val="115"/>
        </w:rPr>
        <w:t>“libre</w:t>
      </w:r>
      <w:r>
        <w:rPr>
          <w:spacing w:val="-15"/>
          <w:w w:val="115"/>
        </w:rPr>
        <w:t> </w:t>
      </w:r>
      <w:r>
        <w:rPr>
          <w:w w:val="115"/>
        </w:rPr>
        <w:t>comer- cio”</w:t>
      </w:r>
      <w:r>
        <w:rPr>
          <w:spacing w:val="-21"/>
          <w:w w:val="115"/>
        </w:rPr>
        <w:t> </w:t>
      </w:r>
      <w:r>
        <w:rPr>
          <w:w w:val="115"/>
        </w:rPr>
        <w:t>(entre</w:t>
      </w:r>
      <w:r>
        <w:rPr>
          <w:spacing w:val="-21"/>
          <w:w w:val="115"/>
        </w:rPr>
        <w:t> </w:t>
      </w:r>
      <w:r>
        <w:rPr>
          <w:w w:val="115"/>
        </w:rPr>
        <w:t>desiguales),</w:t>
      </w:r>
      <w:r>
        <w:rPr>
          <w:spacing w:val="-21"/>
          <w:w w:val="115"/>
        </w:rPr>
        <w:t> </w:t>
      </w:r>
      <w:r>
        <w:rPr>
          <w:w w:val="115"/>
        </w:rPr>
        <w:t>se</w:t>
      </w:r>
      <w:r>
        <w:rPr>
          <w:spacing w:val="-21"/>
          <w:w w:val="115"/>
        </w:rPr>
        <w:t> </w:t>
      </w:r>
      <w:r>
        <w:rPr>
          <w:w w:val="115"/>
        </w:rPr>
        <w:t>han</w:t>
      </w:r>
      <w:r>
        <w:rPr>
          <w:spacing w:val="-21"/>
          <w:w w:val="115"/>
        </w:rPr>
        <w:t> </w:t>
      </w:r>
      <w:r>
        <w:rPr>
          <w:w w:val="115"/>
        </w:rPr>
        <w:t>venido</w:t>
      </w:r>
      <w:r>
        <w:rPr>
          <w:spacing w:val="-21"/>
          <w:w w:val="115"/>
        </w:rPr>
        <w:t> </w:t>
      </w:r>
      <w:r>
        <w:rPr>
          <w:w w:val="115"/>
        </w:rPr>
        <w:t>instalando</w:t>
      </w:r>
      <w:r>
        <w:rPr>
          <w:spacing w:val="-21"/>
          <w:w w:val="115"/>
        </w:rPr>
        <w:t> </w:t>
      </w:r>
      <w:r>
        <w:rPr>
          <w:w w:val="115"/>
        </w:rPr>
        <w:t>referentes</w:t>
      </w:r>
      <w:r>
        <w:rPr>
          <w:spacing w:val="-21"/>
          <w:w w:val="115"/>
        </w:rPr>
        <w:t> </w:t>
      </w:r>
      <w:r>
        <w:rPr>
          <w:w w:val="115"/>
        </w:rPr>
        <w:t>distintos como el principio del “comercio justo” o el del “intercambio solida- </w:t>
      </w:r>
      <w:r>
        <w:rPr>
          <w:spacing w:val="1"/>
          <w:w w:val="114"/>
        </w:rPr>
        <w:t>rio”</w:t>
      </w:r>
      <w:r>
        <w:rPr>
          <w:w w:val="114"/>
        </w:rPr>
        <w:t>.</w:t>
      </w:r>
      <w:r>
        <w:rPr/>
        <w:t> </w:t>
      </w:r>
      <w:r>
        <w:rPr>
          <w:spacing w:val="-5"/>
        </w:rPr>
        <w:t> </w:t>
      </w:r>
      <w:r>
        <w:rPr>
          <w:spacing w:val="1"/>
          <w:w w:val="243"/>
        </w:rPr>
        <w:t>l</w:t>
      </w:r>
      <w:r>
        <w:rPr>
          <w:spacing w:val="1"/>
          <w:w w:val="109"/>
        </w:rPr>
        <w:t>a</w:t>
      </w:r>
      <w:r>
        <w:rPr>
          <w:w w:val="109"/>
        </w:rPr>
        <w:t>s</w:t>
      </w:r>
      <w:r>
        <w:rPr/>
        <w:t> </w:t>
      </w:r>
      <w:r>
        <w:rPr>
          <w:spacing w:val="-5"/>
        </w:rPr>
        <w:t> </w:t>
      </w:r>
      <w:r>
        <w:rPr>
          <w:spacing w:val="1"/>
          <w:w w:val="111"/>
        </w:rPr>
        <w:t>coincidencia</w:t>
      </w:r>
      <w:r>
        <w:rPr>
          <w:w w:val="111"/>
        </w:rPr>
        <w:t>s</w:t>
      </w:r>
      <w:r>
        <w:rPr/>
        <w:t> </w:t>
      </w:r>
      <w:r>
        <w:rPr>
          <w:spacing w:val="-5"/>
        </w:rPr>
        <w:t> </w:t>
      </w:r>
      <w:r>
        <w:rPr>
          <w:spacing w:val="1"/>
          <w:w w:val="105"/>
        </w:rPr>
        <w:t>s</w:t>
      </w:r>
      <w:r>
        <w:rPr>
          <w:w w:val="105"/>
        </w:rPr>
        <w:t>e</w:t>
      </w:r>
      <w:r>
        <w:rPr/>
        <w:t> </w:t>
      </w:r>
      <w:r>
        <w:rPr>
          <w:spacing w:val="-5"/>
        </w:rPr>
        <w:t> </w:t>
      </w:r>
      <w:r>
        <w:rPr>
          <w:spacing w:val="1"/>
          <w:w w:val="109"/>
        </w:rPr>
        <w:t>encuentra</w:t>
      </w:r>
      <w:r>
        <w:rPr>
          <w:w w:val="109"/>
        </w:rPr>
        <w:t>n</w:t>
      </w:r>
      <w:r>
        <w:rPr/>
        <w:t> </w:t>
      </w:r>
      <w:r>
        <w:rPr>
          <w:spacing w:val="-5"/>
        </w:rPr>
        <w:t> </w:t>
      </w:r>
      <w:r>
        <w:rPr>
          <w:spacing w:val="1"/>
          <w:w w:val="108"/>
        </w:rPr>
        <w:t>e</w:t>
      </w:r>
      <w:r>
        <w:rPr>
          <w:w w:val="108"/>
        </w:rPr>
        <w:t>n</w:t>
      </w:r>
      <w:r>
        <w:rPr/>
        <w:t> </w:t>
      </w:r>
      <w:r>
        <w:rPr>
          <w:spacing w:val="-5"/>
        </w:rPr>
        <w:t> </w:t>
      </w:r>
      <w:r>
        <w:rPr>
          <w:spacing w:val="1"/>
          <w:w w:val="107"/>
        </w:rPr>
        <w:t>e</w:t>
      </w:r>
      <w:r>
        <w:rPr>
          <w:w w:val="107"/>
        </w:rPr>
        <w:t>l</w:t>
      </w:r>
      <w:r>
        <w:rPr/>
        <w:t> </w:t>
      </w:r>
      <w:r>
        <w:rPr>
          <w:spacing w:val="-5"/>
        </w:rPr>
        <w:t> </w:t>
      </w:r>
      <w:r>
        <w:rPr>
          <w:spacing w:val="1"/>
          <w:w w:val="111"/>
        </w:rPr>
        <w:t>impuls</w:t>
      </w:r>
      <w:r>
        <w:rPr>
          <w:w w:val="111"/>
        </w:rPr>
        <w:t>o</w:t>
      </w:r>
      <w:r>
        <w:rPr/>
        <w:t> </w:t>
      </w:r>
      <w:r>
        <w:rPr>
          <w:spacing w:val="-5"/>
        </w:rPr>
        <w:t> </w:t>
      </w:r>
      <w:r>
        <w:rPr>
          <w:spacing w:val="1"/>
          <w:w w:val="107"/>
        </w:rPr>
        <w:t>d</w:t>
      </w:r>
      <w:r>
        <w:rPr>
          <w:w w:val="107"/>
        </w:rPr>
        <w:t>e</w:t>
      </w:r>
      <w:r>
        <w:rPr/>
        <w:t> </w:t>
      </w:r>
      <w:r>
        <w:rPr>
          <w:spacing w:val="-5"/>
        </w:rPr>
        <w:t> </w:t>
      </w:r>
      <w:r>
        <w:rPr>
          <w:spacing w:val="1"/>
          <w:w w:val="108"/>
        </w:rPr>
        <w:t>propuestas </w:t>
      </w:r>
      <w:r>
        <w:rPr>
          <w:w w:val="115"/>
        </w:rPr>
        <w:t>diferentes de integración y cooperación, como la alternativa boli- variana para Nuestra américa (alba), la unión de Naciones sud- americanas (uNasur), el Proyecto del banco del sur o el Consejo  sudamericano</w:t>
      </w:r>
      <w:r>
        <w:rPr>
          <w:spacing w:val="-6"/>
          <w:w w:val="115"/>
        </w:rPr>
        <w:t> </w:t>
      </w:r>
      <w:r>
        <w:rPr>
          <w:w w:val="115"/>
        </w:rPr>
        <w:t>de</w:t>
      </w:r>
      <w:r>
        <w:rPr>
          <w:spacing w:val="-6"/>
          <w:w w:val="115"/>
        </w:rPr>
        <w:t> </w:t>
      </w:r>
      <w:r>
        <w:rPr>
          <w:w w:val="115"/>
        </w:rPr>
        <w:t>defensa,</w:t>
      </w:r>
      <w:r>
        <w:rPr>
          <w:spacing w:val="-6"/>
          <w:w w:val="115"/>
        </w:rPr>
        <w:t> </w:t>
      </w:r>
      <w:r>
        <w:rPr>
          <w:w w:val="115"/>
        </w:rPr>
        <w:t>junto</w:t>
      </w:r>
      <w:r>
        <w:rPr>
          <w:spacing w:val="-6"/>
          <w:w w:val="115"/>
        </w:rPr>
        <w:t> </w:t>
      </w:r>
      <w:r>
        <w:rPr>
          <w:w w:val="115"/>
        </w:rPr>
        <w:t>con</w:t>
      </w:r>
      <w:r>
        <w:rPr>
          <w:spacing w:val="-6"/>
          <w:w w:val="115"/>
        </w:rPr>
        <w:t> </w:t>
      </w:r>
      <w:r>
        <w:rPr>
          <w:w w:val="115"/>
        </w:rPr>
        <w:t>otros</w:t>
      </w:r>
      <w:r>
        <w:rPr>
          <w:spacing w:val="-6"/>
          <w:w w:val="115"/>
        </w:rPr>
        <w:t> </w:t>
      </w:r>
      <w:r>
        <w:rPr>
          <w:w w:val="115"/>
        </w:rPr>
        <w:t>proyectos</w:t>
      </w:r>
      <w:r>
        <w:rPr>
          <w:spacing w:val="-6"/>
          <w:w w:val="115"/>
        </w:rPr>
        <w:t> </w:t>
      </w:r>
      <w:r>
        <w:rPr>
          <w:w w:val="115"/>
        </w:rPr>
        <w:t>de</w:t>
      </w:r>
      <w:r>
        <w:rPr>
          <w:spacing w:val="-6"/>
          <w:w w:val="115"/>
        </w:rPr>
        <w:t> </w:t>
      </w:r>
      <w:r>
        <w:rPr>
          <w:w w:val="115"/>
        </w:rPr>
        <w:t>gran</w:t>
      </w:r>
      <w:r>
        <w:rPr>
          <w:spacing w:val="-6"/>
          <w:w w:val="115"/>
        </w:rPr>
        <w:t> </w:t>
      </w:r>
      <w:r>
        <w:rPr>
          <w:w w:val="115"/>
        </w:rPr>
        <w:t>enver- gadura como </w:t>
      </w:r>
      <w:r>
        <w:rPr>
          <w:w w:val="125"/>
        </w:rPr>
        <w:t>PEtroCaribE. </w:t>
      </w:r>
      <w:r>
        <w:rPr>
          <w:w w:val="115"/>
        </w:rPr>
        <w:t>son todas respuestas políticas en la configuración de nuevos esquemas de integración, de concertación política, alimentados por criterios multilaterales y de defensa de la soberanía para el tratamiento de los desafíos comerciales, políticos y</w:t>
      </w:r>
      <w:r>
        <w:rPr>
          <w:spacing w:val="-17"/>
          <w:w w:val="115"/>
        </w:rPr>
        <w:t> </w:t>
      </w:r>
      <w:r>
        <w:rPr>
          <w:w w:val="115"/>
        </w:rPr>
        <w:t>diplomáticos</w:t>
      </w:r>
      <w:r>
        <w:rPr>
          <w:spacing w:val="-17"/>
          <w:w w:val="115"/>
        </w:rPr>
        <w:t> </w:t>
      </w:r>
      <w:r>
        <w:rPr>
          <w:w w:val="115"/>
        </w:rPr>
        <w:t>comunes</w:t>
      </w:r>
      <w:r>
        <w:rPr>
          <w:spacing w:val="-17"/>
          <w:w w:val="115"/>
        </w:rPr>
        <w:t> </w:t>
      </w:r>
      <w:r>
        <w:rPr>
          <w:w w:val="115"/>
        </w:rPr>
        <w:t>(Katz,</w:t>
      </w:r>
      <w:r>
        <w:rPr>
          <w:spacing w:val="-17"/>
          <w:w w:val="115"/>
        </w:rPr>
        <w:t> </w:t>
      </w:r>
      <w:r>
        <w:rPr>
          <w:w w:val="115"/>
        </w:rPr>
        <w:t>2006;</w:t>
      </w:r>
      <w:r>
        <w:rPr>
          <w:spacing w:val="-17"/>
          <w:w w:val="115"/>
        </w:rPr>
        <w:t> </w:t>
      </w:r>
      <w:r>
        <w:rPr>
          <w:w w:val="115"/>
        </w:rPr>
        <w:t>Calva,</w:t>
      </w:r>
      <w:r>
        <w:rPr>
          <w:spacing w:val="-17"/>
          <w:w w:val="115"/>
        </w:rPr>
        <w:t> </w:t>
      </w:r>
      <w:r>
        <w:rPr>
          <w:w w:val="115"/>
        </w:rPr>
        <w:t>2012).</w:t>
      </w:r>
    </w:p>
    <w:p>
      <w:pPr>
        <w:pStyle w:val="BodyText"/>
        <w:spacing w:line="252" w:lineRule="auto"/>
        <w:ind w:left="100" w:right="328" w:firstLine="396"/>
        <w:jc w:val="both"/>
      </w:pPr>
      <w:r>
        <w:rPr>
          <w:w w:val="110"/>
        </w:rPr>
        <w:t>Estos procesos sugieren que hay un nuevo consenso regional en marcha. Que desde la política y las alianzas regionales se han   forjado</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5"/>
        </w:rPr>
        <w:t>proyectos</w:t>
      </w:r>
      <w:r>
        <w:rPr>
          <w:spacing w:val="-10"/>
          <w:w w:val="115"/>
        </w:rPr>
        <w:t> </w:t>
      </w:r>
      <w:r>
        <w:rPr>
          <w:w w:val="115"/>
        </w:rPr>
        <w:t>para</w:t>
      </w:r>
      <w:r>
        <w:rPr>
          <w:spacing w:val="-10"/>
          <w:w w:val="115"/>
        </w:rPr>
        <w:t> </w:t>
      </w:r>
      <w:r>
        <w:rPr>
          <w:w w:val="115"/>
        </w:rPr>
        <w:t>articular</w:t>
      </w:r>
      <w:r>
        <w:rPr>
          <w:spacing w:val="-10"/>
          <w:w w:val="115"/>
        </w:rPr>
        <w:t> </w:t>
      </w:r>
      <w:r>
        <w:rPr>
          <w:w w:val="115"/>
        </w:rPr>
        <w:t>las</w:t>
      </w:r>
      <w:r>
        <w:rPr>
          <w:spacing w:val="-10"/>
          <w:w w:val="115"/>
        </w:rPr>
        <w:t> </w:t>
      </w:r>
      <w:r>
        <w:rPr>
          <w:w w:val="115"/>
        </w:rPr>
        <w:t>coincidencias.</w:t>
      </w:r>
      <w:r>
        <w:rPr>
          <w:spacing w:val="-10"/>
          <w:w w:val="115"/>
        </w:rPr>
        <w:t> </w:t>
      </w:r>
      <w:r>
        <w:rPr>
          <w:w w:val="115"/>
        </w:rPr>
        <w:t>En</w:t>
      </w:r>
      <w:r>
        <w:rPr>
          <w:spacing w:val="-10"/>
          <w:w w:val="115"/>
        </w:rPr>
        <w:t> </w:t>
      </w:r>
      <w:r>
        <w:rPr>
          <w:w w:val="115"/>
        </w:rPr>
        <w:t>ese</w:t>
      </w:r>
      <w:r>
        <w:rPr>
          <w:spacing w:val="-10"/>
          <w:w w:val="115"/>
        </w:rPr>
        <w:t> </w:t>
      </w:r>
      <w:r>
        <w:rPr>
          <w:w w:val="115"/>
        </w:rPr>
        <w:t>marco</w:t>
      </w:r>
      <w:r>
        <w:rPr>
          <w:spacing w:val="-10"/>
          <w:w w:val="115"/>
        </w:rPr>
        <w:t> </w:t>
      </w:r>
      <w:r>
        <w:rPr>
          <w:w w:val="115"/>
        </w:rPr>
        <w:t>se</w:t>
      </w:r>
      <w:r>
        <w:rPr>
          <w:spacing w:val="-10"/>
          <w:w w:val="115"/>
        </w:rPr>
        <w:t> </w:t>
      </w:r>
      <w:r>
        <w:rPr>
          <w:w w:val="115"/>
        </w:rPr>
        <w:t>entiende que</w:t>
      </w:r>
      <w:r>
        <w:rPr>
          <w:spacing w:val="-12"/>
          <w:w w:val="115"/>
        </w:rPr>
        <w:t> </w:t>
      </w:r>
      <w:r>
        <w:rPr>
          <w:w w:val="115"/>
        </w:rPr>
        <w:t>la</w:t>
      </w:r>
      <w:r>
        <w:rPr>
          <w:spacing w:val="-12"/>
          <w:w w:val="115"/>
        </w:rPr>
        <w:t> </w:t>
      </w:r>
      <w:r>
        <w:rPr>
          <w:w w:val="115"/>
        </w:rPr>
        <w:t>reactivación</w:t>
      </w:r>
      <w:r>
        <w:rPr>
          <w:spacing w:val="-12"/>
          <w:w w:val="115"/>
        </w:rPr>
        <w:t> </w:t>
      </w:r>
      <w:r>
        <w:rPr>
          <w:w w:val="115"/>
        </w:rPr>
        <w:t>de</w:t>
      </w:r>
      <w:r>
        <w:rPr>
          <w:spacing w:val="-12"/>
          <w:w w:val="115"/>
        </w:rPr>
        <w:t> </w:t>
      </w:r>
      <w:r>
        <w:rPr>
          <w:w w:val="115"/>
        </w:rPr>
        <w:t>la</w:t>
      </w:r>
      <w:r>
        <w:rPr>
          <w:spacing w:val="-12"/>
          <w:w w:val="115"/>
        </w:rPr>
        <w:t> </w:t>
      </w:r>
      <w:r>
        <w:rPr>
          <w:w w:val="115"/>
        </w:rPr>
        <w:t>Cuarta</w:t>
      </w:r>
      <w:r>
        <w:rPr>
          <w:spacing w:val="-12"/>
          <w:w w:val="115"/>
        </w:rPr>
        <w:t> </w:t>
      </w:r>
      <w:r>
        <w:rPr>
          <w:w w:val="115"/>
        </w:rPr>
        <w:t>Flota,</w:t>
      </w:r>
      <w:r>
        <w:rPr>
          <w:spacing w:val="-12"/>
          <w:w w:val="115"/>
        </w:rPr>
        <w:t> </w:t>
      </w:r>
      <w:r>
        <w:rPr>
          <w:w w:val="115"/>
        </w:rPr>
        <w:t>en</w:t>
      </w:r>
      <w:r>
        <w:rPr>
          <w:spacing w:val="-12"/>
          <w:w w:val="115"/>
        </w:rPr>
        <w:t> </w:t>
      </w:r>
      <w:r>
        <w:rPr>
          <w:w w:val="115"/>
        </w:rPr>
        <w:t>el</w:t>
      </w:r>
      <w:r>
        <w:rPr>
          <w:spacing w:val="-12"/>
          <w:w w:val="115"/>
        </w:rPr>
        <w:t> </w:t>
      </w:r>
      <w:r>
        <w:rPr>
          <w:w w:val="115"/>
        </w:rPr>
        <w:t>momento</w:t>
      </w:r>
      <w:r>
        <w:rPr>
          <w:spacing w:val="-12"/>
          <w:w w:val="115"/>
        </w:rPr>
        <w:t> </w:t>
      </w:r>
      <w:r>
        <w:rPr>
          <w:w w:val="115"/>
        </w:rPr>
        <w:t>en</w:t>
      </w:r>
      <w:r>
        <w:rPr>
          <w:spacing w:val="-12"/>
          <w:w w:val="115"/>
        </w:rPr>
        <w:t> </w:t>
      </w:r>
      <w:r>
        <w:rPr>
          <w:w w:val="115"/>
        </w:rPr>
        <w:t>que</w:t>
      </w:r>
      <w:r>
        <w:rPr>
          <w:spacing w:val="-12"/>
          <w:w w:val="115"/>
        </w:rPr>
        <w:t> </w:t>
      </w:r>
      <w:r>
        <w:rPr>
          <w:w w:val="115"/>
        </w:rPr>
        <w:t>ocurrió, </w:t>
      </w:r>
      <w:r>
        <w:rPr>
          <w:w w:val="120"/>
        </w:rPr>
        <w:t>por</w:t>
      </w:r>
      <w:r>
        <w:rPr>
          <w:spacing w:val="-31"/>
          <w:w w:val="120"/>
        </w:rPr>
        <w:t> </w:t>
      </w:r>
      <w:r>
        <w:rPr>
          <w:w w:val="120"/>
        </w:rPr>
        <w:t>parte</w:t>
      </w:r>
      <w:r>
        <w:rPr>
          <w:spacing w:val="-31"/>
          <w:w w:val="120"/>
        </w:rPr>
        <w:t> </w:t>
      </w:r>
      <w:r>
        <w:rPr>
          <w:w w:val="120"/>
        </w:rPr>
        <w:t>de</w:t>
      </w:r>
      <w:r>
        <w:rPr>
          <w:spacing w:val="-31"/>
          <w:w w:val="120"/>
        </w:rPr>
        <w:t> </w:t>
      </w:r>
      <w:r>
        <w:rPr>
          <w:w w:val="120"/>
        </w:rPr>
        <w:t>Estados</w:t>
      </w:r>
      <w:r>
        <w:rPr>
          <w:spacing w:val="-31"/>
          <w:w w:val="120"/>
        </w:rPr>
        <w:t> </w:t>
      </w:r>
      <w:r>
        <w:rPr>
          <w:w w:val="120"/>
        </w:rPr>
        <w:t>unidos</w:t>
      </w:r>
      <w:r>
        <w:rPr>
          <w:spacing w:val="-31"/>
          <w:w w:val="120"/>
        </w:rPr>
        <w:t> </w:t>
      </w:r>
      <w:r>
        <w:rPr>
          <w:w w:val="120"/>
        </w:rPr>
        <w:t>no</w:t>
      </w:r>
      <w:r>
        <w:rPr>
          <w:spacing w:val="-31"/>
          <w:w w:val="120"/>
        </w:rPr>
        <w:t> </w:t>
      </w:r>
      <w:r>
        <w:rPr>
          <w:w w:val="120"/>
        </w:rPr>
        <w:t>haya</w:t>
      </w:r>
      <w:r>
        <w:rPr>
          <w:spacing w:val="-31"/>
          <w:w w:val="120"/>
        </w:rPr>
        <w:t> </w:t>
      </w:r>
      <w:r>
        <w:rPr>
          <w:w w:val="120"/>
        </w:rPr>
        <w:t>logrado</w:t>
      </w:r>
      <w:r>
        <w:rPr>
          <w:spacing w:val="-31"/>
          <w:w w:val="120"/>
        </w:rPr>
        <w:t> </w:t>
      </w:r>
      <w:r>
        <w:rPr>
          <w:w w:val="120"/>
        </w:rPr>
        <w:t>contar</w:t>
      </w:r>
      <w:r>
        <w:rPr>
          <w:spacing w:val="-31"/>
          <w:w w:val="120"/>
        </w:rPr>
        <w:t> </w:t>
      </w:r>
      <w:r>
        <w:rPr>
          <w:w w:val="120"/>
        </w:rPr>
        <w:t>con</w:t>
      </w:r>
      <w:r>
        <w:rPr>
          <w:spacing w:val="-31"/>
          <w:w w:val="120"/>
        </w:rPr>
        <w:t> </w:t>
      </w:r>
      <w:r>
        <w:rPr>
          <w:w w:val="120"/>
        </w:rPr>
        <w:t>la</w:t>
      </w:r>
      <w:r>
        <w:rPr>
          <w:spacing w:val="-31"/>
          <w:w w:val="120"/>
        </w:rPr>
        <w:t> </w:t>
      </w:r>
      <w:r>
        <w:rPr>
          <w:w w:val="120"/>
        </w:rPr>
        <w:t>anuencia </w:t>
      </w:r>
      <w:r>
        <w:rPr>
          <w:w w:val="115"/>
        </w:rPr>
        <w:t>de los gobiernos latinoamericanos como fácilmente hubiera</w:t>
      </w:r>
      <w:r>
        <w:rPr>
          <w:spacing w:val="-21"/>
          <w:w w:val="115"/>
        </w:rPr>
        <w:t> </w:t>
      </w:r>
      <w:r>
        <w:rPr>
          <w:w w:val="115"/>
        </w:rPr>
        <w:t>podido ocurrir</w:t>
      </w:r>
      <w:r>
        <w:rPr>
          <w:spacing w:val="-33"/>
          <w:w w:val="115"/>
        </w:rPr>
        <w:t> </w:t>
      </w:r>
      <w:r>
        <w:rPr>
          <w:w w:val="115"/>
        </w:rPr>
        <w:t>en</w:t>
      </w:r>
      <w:r>
        <w:rPr>
          <w:spacing w:val="-33"/>
          <w:w w:val="115"/>
        </w:rPr>
        <w:t> </w:t>
      </w:r>
      <w:r>
        <w:rPr>
          <w:w w:val="115"/>
        </w:rPr>
        <w:t>otros</w:t>
      </w:r>
      <w:r>
        <w:rPr>
          <w:spacing w:val="-33"/>
          <w:w w:val="115"/>
        </w:rPr>
        <w:t> </w:t>
      </w:r>
      <w:r>
        <w:rPr>
          <w:w w:val="115"/>
        </w:rPr>
        <w:t>periodos</w:t>
      </w:r>
      <w:r>
        <w:rPr>
          <w:spacing w:val="-33"/>
          <w:w w:val="115"/>
        </w:rPr>
        <w:t> </w:t>
      </w:r>
      <w:r>
        <w:rPr>
          <w:w w:val="115"/>
        </w:rPr>
        <w:t>previos.</w:t>
      </w:r>
      <w:r>
        <w:rPr>
          <w:spacing w:val="-33"/>
          <w:w w:val="115"/>
        </w:rPr>
        <w:t> </w:t>
      </w:r>
      <w:r>
        <w:rPr>
          <w:w w:val="115"/>
        </w:rPr>
        <w:t>se</w:t>
      </w:r>
      <w:r>
        <w:rPr>
          <w:spacing w:val="-33"/>
          <w:w w:val="115"/>
        </w:rPr>
        <w:t> </w:t>
      </w:r>
      <w:r>
        <w:rPr>
          <w:w w:val="115"/>
        </w:rPr>
        <w:t>encuentran</w:t>
      </w:r>
      <w:r>
        <w:rPr>
          <w:spacing w:val="-33"/>
          <w:w w:val="115"/>
        </w:rPr>
        <w:t> </w:t>
      </w:r>
      <w:r>
        <w:rPr>
          <w:w w:val="115"/>
        </w:rPr>
        <w:t>en</w:t>
      </w:r>
      <w:r>
        <w:rPr>
          <w:spacing w:val="-33"/>
          <w:w w:val="115"/>
        </w:rPr>
        <w:t> </w:t>
      </w:r>
      <w:r>
        <w:rPr>
          <w:w w:val="115"/>
        </w:rPr>
        <w:t>marcha</w:t>
      </w:r>
      <w:r>
        <w:rPr>
          <w:spacing w:val="-33"/>
          <w:w w:val="115"/>
        </w:rPr>
        <w:t> </w:t>
      </w:r>
      <w:r>
        <w:rPr>
          <w:w w:val="115"/>
        </w:rPr>
        <w:t>importan- tes</w:t>
      </w:r>
      <w:r>
        <w:rPr>
          <w:spacing w:val="-5"/>
          <w:w w:val="115"/>
        </w:rPr>
        <w:t> </w:t>
      </w:r>
      <w:r>
        <w:rPr>
          <w:w w:val="115"/>
        </w:rPr>
        <w:t>procesos</w:t>
      </w:r>
      <w:r>
        <w:rPr>
          <w:spacing w:val="-5"/>
          <w:w w:val="115"/>
        </w:rPr>
        <w:t> </w:t>
      </w:r>
      <w:r>
        <w:rPr>
          <w:w w:val="115"/>
        </w:rPr>
        <w:t>de</w:t>
      </w:r>
      <w:r>
        <w:rPr>
          <w:spacing w:val="-5"/>
          <w:w w:val="115"/>
        </w:rPr>
        <w:t> </w:t>
      </w:r>
      <w:r>
        <w:rPr>
          <w:w w:val="115"/>
        </w:rPr>
        <w:t>autodeterminación,</w:t>
      </w:r>
      <w:r>
        <w:rPr>
          <w:spacing w:val="-5"/>
          <w:w w:val="115"/>
        </w:rPr>
        <w:t> </w:t>
      </w:r>
      <w:r>
        <w:rPr>
          <w:w w:val="115"/>
        </w:rPr>
        <w:t>tal</w:t>
      </w:r>
      <w:r>
        <w:rPr>
          <w:spacing w:val="-5"/>
          <w:w w:val="115"/>
        </w:rPr>
        <w:t> </w:t>
      </w:r>
      <w:r>
        <w:rPr>
          <w:w w:val="115"/>
        </w:rPr>
        <w:t>como</w:t>
      </w:r>
      <w:r>
        <w:rPr>
          <w:spacing w:val="-5"/>
          <w:w w:val="115"/>
        </w:rPr>
        <w:t> </w:t>
      </w:r>
      <w:r>
        <w:rPr>
          <w:w w:val="115"/>
        </w:rPr>
        <w:t>puede</w:t>
      </w:r>
      <w:r>
        <w:rPr>
          <w:spacing w:val="-5"/>
          <w:w w:val="115"/>
        </w:rPr>
        <w:t> </w:t>
      </w:r>
      <w:r>
        <w:rPr>
          <w:w w:val="115"/>
        </w:rPr>
        <w:t>advertirse</w:t>
      </w:r>
      <w:r>
        <w:rPr>
          <w:spacing w:val="-5"/>
          <w:w w:val="115"/>
        </w:rPr>
        <w:t> </w:t>
      </w:r>
      <w:r>
        <w:rPr>
          <w:w w:val="115"/>
        </w:rPr>
        <w:t>en</w:t>
      </w:r>
      <w:r>
        <w:rPr>
          <w:spacing w:val="-5"/>
          <w:w w:val="115"/>
        </w:rPr>
        <w:t> </w:t>
      </w:r>
      <w:r>
        <w:rPr>
          <w:w w:val="115"/>
        </w:rPr>
        <w:t>la decisión</w:t>
      </w:r>
      <w:r>
        <w:rPr>
          <w:spacing w:val="-11"/>
          <w:w w:val="115"/>
        </w:rPr>
        <w:t> </w:t>
      </w:r>
      <w:r>
        <w:rPr>
          <w:w w:val="115"/>
        </w:rPr>
        <w:t>soberana</w:t>
      </w:r>
      <w:r>
        <w:rPr>
          <w:spacing w:val="-11"/>
          <w:w w:val="115"/>
        </w:rPr>
        <w:t> </w:t>
      </w:r>
      <w:r>
        <w:rPr>
          <w:w w:val="115"/>
        </w:rPr>
        <w:t>del</w:t>
      </w:r>
      <w:r>
        <w:rPr>
          <w:spacing w:val="-11"/>
          <w:w w:val="115"/>
        </w:rPr>
        <w:t> </w:t>
      </w:r>
      <w:r>
        <w:rPr>
          <w:w w:val="115"/>
        </w:rPr>
        <w:t>gobierno</w:t>
      </w:r>
      <w:r>
        <w:rPr>
          <w:spacing w:val="-11"/>
          <w:w w:val="115"/>
        </w:rPr>
        <w:t> </w:t>
      </w:r>
      <w:r>
        <w:rPr>
          <w:w w:val="115"/>
        </w:rPr>
        <w:t>ecuatoriano</w:t>
      </w:r>
      <w:r>
        <w:rPr>
          <w:spacing w:val="-11"/>
          <w:w w:val="115"/>
        </w:rPr>
        <w:t> </w:t>
      </w:r>
      <w:r>
        <w:rPr>
          <w:w w:val="115"/>
        </w:rPr>
        <w:t>de</w:t>
      </w:r>
      <w:r>
        <w:rPr>
          <w:spacing w:val="-11"/>
          <w:w w:val="115"/>
        </w:rPr>
        <w:t> </w:t>
      </w:r>
      <w:r>
        <w:rPr>
          <w:w w:val="115"/>
        </w:rPr>
        <w:t>clausurar</w:t>
      </w:r>
      <w:r>
        <w:rPr>
          <w:spacing w:val="-11"/>
          <w:w w:val="115"/>
        </w:rPr>
        <w:t> </w:t>
      </w:r>
      <w:r>
        <w:rPr>
          <w:w w:val="115"/>
        </w:rPr>
        <w:t>la</w:t>
      </w:r>
      <w:r>
        <w:rPr>
          <w:spacing w:val="-11"/>
          <w:w w:val="115"/>
        </w:rPr>
        <w:t> </w:t>
      </w:r>
      <w:r>
        <w:rPr>
          <w:w w:val="115"/>
        </w:rPr>
        <w:t>base</w:t>
      </w:r>
      <w:r>
        <w:rPr>
          <w:spacing w:val="-11"/>
          <w:w w:val="115"/>
        </w:rPr>
        <w:t> </w:t>
      </w:r>
      <w:r>
        <w:rPr>
          <w:w w:val="115"/>
        </w:rPr>
        <w:t>mi- litar</w:t>
      </w:r>
      <w:r>
        <w:rPr>
          <w:spacing w:val="-21"/>
          <w:w w:val="115"/>
        </w:rPr>
        <w:t> </w:t>
      </w:r>
      <w:r>
        <w:rPr>
          <w:w w:val="115"/>
        </w:rPr>
        <w:t>norteamericana</w:t>
      </w:r>
      <w:r>
        <w:rPr>
          <w:spacing w:val="-21"/>
          <w:w w:val="115"/>
        </w:rPr>
        <w:t> </w:t>
      </w:r>
      <w:r>
        <w:rPr>
          <w:w w:val="115"/>
        </w:rPr>
        <w:t>de</w:t>
      </w:r>
      <w:r>
        <w:rPr>
          <w:spacing w:val="-21"/>
          <w:w w:val="115"/>
        </w:rPr>
        <w:t> </w:t>
      </w:r>
      <w:r>
        <w:rPr>
          <w:w w:val="115"/>
        </w:rPr>
        <w:t>Manta</w:t>
      </w:r>
      <w:r>
        <w:rPr>
          <w:spacing w:val="-21"/>
          <w:w w:val="115"/>
        </w:rPr>
        <w:t> </w:t>
      </w:r>
      <w:r>
        <w:rPr>
          <w:w w:val="115"/>
        </w:rPr>
        <w:t>decidida</w:t>
      </w:r>
      <w:r>
        <w:rPr>
          <w:spacing w:val="-21"/>
          <w:w w:val="115"/>
        </w:rPr>
        <w:t> </w:t>
      </w:r>
      <w:r>
        <w:rPr>
          <w:w w:val="115"/>
        </w:rPr>
        <w:t>en</w:t>
      </w:r>
      <w:r>
        <w:rPr>
          <w:spacing w:val="-21"/>
          <w:w w:val="115"/>
        </w:rPr>
        <w:t> </w:t>
      </w:r>
      <w:r>
        <w:rPr>
          <w:w w:val="115"/>
        </w:rPr>
        <w:t>2009.</w:t>
      </w:r>
      <w:r>
        <w:rPr>
          <w:spacing w:val="-21"/>
          <w:w w:val="115"/>
        </w:rPr>
        <w:t> </w:t>
      </w:r>
      <w:r>
        <w:rPr>
          <w:w w:val="115"/>
        </w:rPr>
        <w:t>Heredera</w:t>
      </w:r>
      <w:r>
        <w:rPr>
          <w:spacing w:val="-21"/>
          <w:w w:val="115"/>
        </w:rPr>
        <w:t> </w:t>
      </w:r>
      <w:r>
        <w:rPr>
          <w:w w:val="115"/>
        </w:rPr>
        <w:t>del</w:t>
      </w:r>
      <w:r>
        <w:rPr>
          <w:spacing w:val="-21"/>
          <w:w w:val="115"/>
        </w:rPr>
        <w:t> </w:t>
      </w:r>
      <w:r>
        <w:rPr>
          <w:w w:val="115"/>
        </w:rPr>
        <w:t>Grupo </w:t>
      </w:r>
      <w:r>
        <w:rPr>
          <w:w w:val="120"/>
        </w:rPr>
        <w:t>de</w:t>
      </w:r>
      <w:r>
        <w:rPr>
          <w:spacing w:val="-23"/>
          <w:w w:val="120"/>
        </w:rPr>
        <w:t> </w:t>
      </w:r>
      <w:r>
        <w:rPr>
          <w:w w:val="120"/>
        </w:rPr>
        <w:t>río,</w:t>
      </w:r>
      <w:r>
        <w:rPr>
          <w:spacing w:val="-23"/>
          <w:w w:val="120"/>
        </w:rPr>
        <w:t> </w:t>
      </w:r>
      <w:r>
        <w:rPr>
          <w:w w:val="120"/>
        </w:rPr>
        <w:t>que</w:t>
      </w:r>
      <w:r>
        <w:rPr>
          <w:spacing w:val="-23"/>
          <w:w w:val="120"/>
        </w:rPr>
        <w:t> </w:t>
      </w:r>
      <w:r>
        <w:rPr>
          <w:w w:val="120"/>
        </w:rPr>
        <w:t>consolidó</w:t>
      </w:r>
      <w:r>
        <w:rPr>
          <w:spacing w:val="-23"/>
          <w:w w:val="120"/>
        </w:rPr>
        <w:t> </w:t>
      </w:r>
      <w:r>
        <w:rPr>
          <w:w w:val="120"/>
        </w:rPr>
        <w:t>su</w:t>
      </w:r>
      <w:r>
        <w:rPr>
          <w:spacing w:val="-23"/>
          <w:w w:val="120"/>
        </w:rPr>
        <w:t> </w:t>
      </w:r>
      <w:r>
        <w:rPr>
          <w:w w:val="120"/>
        </w:rPr>
        <w:t>fisonomía</w:t>
      </w:r>
      <w:r>
        <w:rPr>
          <w:spacing w:val="-23"/>
          <w:w w:val="120"/>
        </w:rPr>
        <w:t> </w:t>
      </w:r>
      <w:r>
        <w:rPr>
          <w:w w:val="120"/>
        </w:rPr>
        <w:t>con</w:t>
      </w:r>
      <w:r>
        <w:rPr>
          <w:spacing w:val="-23"/>
          <w:w w:val="120"/>
        </w:rPr>
        <w:t> </w:t>
      </w:r>
      <w:r>
        <w:rPr>
          <w:w w:val="120"/>
        </w:rPr>
        <w:t>la</w:t>
      </w:r>
      <w:r>
        <w:rPr>
          <w:spacing w:val="-23"/>
          <w:w w:val="120"/>
        </w:rPr>
        <w:t> </w:t>
      </w:r>
      <w:r>
        <w:rPr>
          <w:w w:val="120"/>
        </w:rPr>
        <w:t>incorporación</w:t>
      </w:r>
      <w:r>
        <w:rPr>
          <w:spacing w:val="-23"/>
          <w:w w:val="120"/>
        </w:rPr>
        <w:t> </w:t>
      </w:r>
      <w:r>
        <w:rPr>
          <w:w w:val="120"/>
        </w:rPr>
        <w:t>de</w:t>
      </w:r>
      <w:r>
        <w:rPr>
          <w:spacing w:val="-23"/>
          <w:w w:val="120"/>
        </w:rPr>
        <w:t> </w:t>
      </w:r>
      <w:r>
        <w:rPr>
          <w:w w:val="120"/>
        </w:rPr>
        <w:t>Guyana, Haití</w:t>
      </w:r>
      <w:r>
        <w:rPr>
          <w:spacing w:val="-16"/>
          <w:w w:val="120"/>
        </w:rPr>
        <w:t> </w:t>
      </w:r>
      <w:r>
        <w:rPr>
          <w:w w:val="120"/>
        </w:rPr>
        <w:t>y</w:t>
      </w:r>
      <w:r>
        <w:rPr>
          <w:spacing w:val="-16"/>
          <w:w w:val="120"/>
        </w:rPr>
        <w:t> </w:t>
      </w:r>
      <w:r>
        <w:rPr>
          <w:w w:val="120"/>
        </w:rPr>
        <w:t>un</w:t>
      </w:r>
      <w:r>
        <w:rPr>
          <w:spacing w:val="-16"/>
          <w:w w:val="120"/>
        </w:rPr>
        <w:t> </w:t>
      </w:r>
      <w:r>
        <w:rPr>
          <w:w w:val="120"/>
        </w:rPr>
        <w:t>poco</w:t>
      </w:r>
      <w:r>
        <w:rPr>
          <w:spacing w:val="-16"/>
          <w:w w:val="120"/>
        </w:rPr>
        <w:t> </w:t>
      </w:r>
      <w:r>
        <w:rPr>
          <w:w w:val="120"/>
        </w:rPr>
        <w:t>más</w:t>
      </w:r>
      <w:r>
        <w:rPr>
          <w:spacing w:val="-16"/>
          <w:w w:val="120"/>
        </w:rPr>
        <w:t> </w:t>
      </w:r>
      <w:r>
        <w:rPr>
          <w:w w:val="120"/>
        </w:rPr>
        <w:t>tarde</w:t>
      </w:r>
      <w:r>
        <w:rPr>
          <w:spacing w:val="-16"/>
          <w:w w:val="120"/>
        </w:rPr>
        <w:t> </w:t>
      </w:r>
      <w:r>
        <w:rPr>
          <w:w w:val="120"/>
        </w:rPr>
        <w:t>Cuba,</w:t>
      </w:r>
      <w:r>
        <w:rPr>
          <w:spacing w:val="-16"/>
          <w:w w:val="120"/>
        </w:rPr>
        <w:t> </w:t>
      </w:r>
      <w:r>
        <w:rPr>
          <w:w w:val="120"/>
        </w:rPr>
        <w:t>la</w:t>
      </w:r>
      <w:r>
        <w:rPr>
          <w:spacing w:val="-16"/>
          <w:w w:val="120"/>
        </w:rPr>
        <w:t> </w:t>
      </w:r>
      <w:r>
        <w:rPr>
          <w:w w:val="120"/>
        </w:rPr>
        <w:t>denominada</w:t>
      </w:r>
      <w:r>
        <w:rPr>
          <w:spacing w:val="-16"/>
          <w:w w:val="120"/>
        </w:rPr>
        <w:t> </w:t>
      </w:r>
      <w:r>
        <w:rPr>
          <w:w w:val="120"/>
        </w:rPr>
        <w:t>“Cumbre</w:t>
      </w:r>
      <w:r>
        <w:rPr>
          <w:spacing w:val="-16"/>
          <w:w w:val="120"/>
        </w:rPr>
        <w:t> </w:t>
      </w:r>
      <w:r>
        <w:rPr>
          <w:w w:val="120"/>
        </w:rPr>
        <w:t>de</w:t>
      </w:r>
      <w:r>
        <w:rPr>
          <w:spacing w:val="-16"/>
          <w:w w:val="120"/>
        </w:rPr>
        <w:t> </w:t>
      </w:r>
      <w:r>
        <w:rPr>
          <w:w w:val="120"/>
        </w:rPr>
        <w:t>la</w:t>
      </w:r>
      <w:r>
        <w:rPr>
          <w:spacing w:val="-16"/>
          <w:w w:val="120"/>
        </w:rPr>
        <w:t> </w:t>
      </w:r>
      <w:r>
        <w:rPr>
          <w:w w:val="120"/>
        </w:rPr>
        <w:t>uni- </w:t>
      </w:r>
      <w:r>
        <w:rPr>
          <w:w w:val="115"/>
        </w:rPr>
        <w:t>dad”,</w:t>
      </w:r>
      <w:r>
        <w:rPr>
          <w:spacing w:val="-9"/>
          <w:w w:val="115"/>
        </w:rPr>
        <w:t> </w:t>
      </w:r>
      <w:r>
        <w:rPr>
          <w:w w:val="115"/>
        </w:rPr>
        <w:t>celebrada</w:t>
      </w:r>
      <w:r>
        <w:rPr>
          <w:spacing w:val="-8"/>
          <w:w w:val="115"/>
        </w:rPr>
        <w:t> </w:t>
      </w:r>
      <w:r>
        <w:rPr>
          <w:w w:val="115"/>
        </w:rPr>
        <w:t>en</w:t>
      </w:r>
      <w:r>
        <w:rPr>
          <w:spacing w:val="-8"/>
          <w:w w:val="115"/>
        </w:rPr>
        <w:t> </w:t>
      </w:r>
      <w:r>
        <w:rPr>
          <w:w w:val="115"/>
        </w:rPr>
        <w:t>la</w:t>
      </w:r>
      <w:r>
        <w:rPr>
          <w:spacing w:val="-9"/>
          <w:w w:val="115"/>
        </w:rPr>
        <w:t> </w:t>
      </w:r>
      <w:r>
        <w:rPr>
          <w:w w:val="115"/>
        </w:rPr>
        <w:t>riviera</w:t>
      </w:r>
      <w:r>
        <w:rPr>
          <w:spacing w:val="-9"/>
          <w:w w:val="115"/>
        </w:rPr>
        <w:t> </w:t>
      </w:r>
      <w:r>
        <w:rPr>
          <w:w w:val="115"/>
        </w:rPr>
        <w:t>Maya</w:t>
      </w:r>
      <w:r>
        <w:rPr>
          <w:spacing w:val="-9"/>
          <w:w w:val="115"/>
        </w:rPr>
        <w:t> </w:t>
      </w:r>
      <w:r>
        <w:rPr>
          <w:w w:val="115"/>
        </w:rPr>
        <w:t>en</w:t>
      </w:r>
      <w:r>
        <w:rPr>
          <w:spacing w:val="-9"/>
          <w:w w:val="115"/>
        </w:rPr>
        <w:t> </w:t>
      </w:r>
      <w:r>
        <w:rPr>
          <w:w w:val="115"/>
        </w:rPr>
        <w:t>2010,</w:t>
      </w:r>
      <w:r>
        <w:rPr>
          <w:spacing w:val="-9"/>
          <w:w w:val="115"/>
        </w:rPr>
        <w:t> </w:t>
      </w:r>
      <w:r>
        <w:rPr>
          <w:w w:val="115"/>
        </w:rPr>
        <w:t>culminó</w:t>
      </w:r>
      <w:r>
        <w:rPr>
          <w:spacing w:val="-9"/>
          <w:w w:val="115"/>
        </w:rPr>
        <w:t> </w:t>
      </w:r>
      <w:r>
        <w:rPr>
          <w:w w:val="115"/>
        </w:rPr>
        <w:t>con</w:t>
      </w:r>
      <w:r>
        <w:rPr>
          <w:spacing w:val="-9"/>
          <w:w w:val="115"/>
        </w:rPr>
        <w:t> </w:t>
      </w:r>
      <w:r>
        <w:rPr>
          <w:w w:val="115"/>
        </w:rPr>
        <w:t>el</w:t>
      </w:r>
      <w:r>
        <w:rPr>
          <w:spacing w:val="-8"/>
          <w:w w:val="115"/>
        </w:rPr>
        <w:t> </w:t>
      </w:r>
      <w:r>
        <w:rPr>
          <w:w w:val="115"/>
        </w:rPr>
        <w:t>consenso de</w:t>
      </w:r>
      <w:r>
        <w:rPr>
          <w:spacing w:val="-13"/>
          <w:w w:val="115"/>
        </w:rPr>
        <w:t> </w:t>
      </w:r>
      <w:r>
        <w:rPr>
          <w:w w:val="115"/>
        </w:rPr>
        <w:t>todos</w:t>
      </w:r>
      <w:r>
        <w:rPr>
          <w:spacing w:val="-13"/>
          <w:w w:val="115"/>
        </w:rPr>
        <w:t> </w:t>
      </w:r>
      <w:r>
        <w:rPr>
          <w:w w:val="115"/>
        </w:rPr>
        <w:t>los</w:t>
      </w:r>
      <w:r>
        <w:rPr>
          <w:spacing w:val="-13"/>
          <w:w w:val="115"/>
        </w:rPr>
        <w:t> </w:t>
      </w:r>
      <w:r>
        <w:rPr>
          <w:w w:val="115"/>
        </w:rPr>
        <w:t>países</w:t>
      </w:r>
      <w:r>
        <w:rPr>
          <w:spacing w:val="-13"/>
          <w:w w:val="115"/>
        </w:rPr>
        <w:t> </w:t>
      </w:r>
      <w:r>
        <w:rPr>
          <w:w w:val="115"/>
        </w:rPr>
        <w:t>de</w:t>
      </w:r>
      <w:r>
        <w:rPr>
          <w:spacing w:val="-13"/>
          <w:w w:val="115"/>
        </w:rPr>
        <w:t> </w:t>
      </w:r>
      <w:r>
        <w:rPr>
          <w:w w:val="115"/>
        </w:rPr>
        <w:t>la</w:t>
      </w:r>
      <w:r>
        <w:rPr>
          <w:spacing w:val="-13"/>
          <w:w w:val="115"/>
        </w:rPr>
        <w:t> </w:t>
      </w:r>
      <w:r>
        <w:rPr>
          <w:w w:val="115"/>
        </w:rPr>
        <w:t>región</w:t>
      </w:r>
      <w:r>
        <w:rPr>
          <w:spacing w:val="-13"/>
          <w:w w:val="115"/>
        </w:rPr>
        <w:t> </w:t>
      </w:r>
      <w:r>
        <w:rPr>
          <w:w w:val="115"/>
        </w:rPr>
        <w:t>para</w:t>
      </w:r>
      <w:r>
        <w:rPr>
          <w:spacing w:val="-13"/>
          <w:w w:val="115"/>
        </w:rPr>
        <w:t> </w:t>
      </w:r>
      <w:r>
        <w:rPr>
          <w:w w:val="115"/>
        </w:rPr>
        <w:t>la</w:t>
      </w:r>
      <w:r>
        <w:rPr>
          <w:spacing w:val="-13"/>
          <w:w w:val="115"/>
        </w:rPr>
        <w:t> </w:t>
      </w:r>
      <w:r>
        <w:rPr>
          <w:w w:val="115"/>
        </w:rPr>
        <w:t>constitución</w:t>
      </w:r>
      <w:r>
        <w:rPr>
          <w:spacing w:val="-13"/>
          <w:w w:val="115"/>
        </w:rPr>
        <w:t> </w:t>
      </w:r>
      <w:r>
        <w:rPr>
          <w:w w:val="115"/>
        </w:rPr>
        <w:t>de</w:t>
      </w:r>
      <w:r>
        <w:rPr>
          <w:spacing w:val="-13"/>
          <w:w w:val="115"/>
        </w:rPr>
        <w:t> </w:t>
      </w:r>
      <w:r>
        <w:rPr>
          <w:w w:val="115"/>
        </w:rPr>
        <w:t>la</w:t>
      </w:r>
      <w:r>
        <w:rPr>
          <w:spacing w:val="-13"/>
          <w:w w:val="115"/>
        </w:rPr>
        <w:t> </w:t>
      </w:r>
      <w:r>
        <w:rPr>
          <w:w w:val="115"/>
        </w:rPr>
        <w:t>Comunidad </w:t>
      </w:r>
      <w:r>
        <w:rPr>
          <w:w w:val="107"/>
        </w:rPr>
        <w:t>de</w:t>
      </w:r>
      <w:r>
        <w:rPr/>
        <w:t> </w:t>
      </w:r>
      <w:r>
        <w:rPr>
          <w:spacing w:val="-12"/>
        </w:rPr>
        <w:t> </w:t>
      </w:r>
      <w:r>
        <w:rPr>
          <w:w w:val="111"/>
        </w:rPr>
        <w:t>Estados</w:t>
      </w:r>
      <w:r>
        <w:rPr/>
        <w:t> </w:t>
      </w:r>
      <w:r>
        <w:rPr>
          <w:spacing w:val="-12"/>
        </w:rPr>
        <w:t> </w:t>
      </w:r>
      <w:r>
        <w:rPr>
          <w:w w:val="243"/>
        </w:rPr>
        <w:t>l</w:t>
      </w:r>
      <w:r>
        <w:rPr>
          <w:w w:val="110"/>
        </w:rPr>
        <w:t>atinoamericanos</w:t>
      </w:r>
      <w:r>
        <w:rPr/>
        <w:t> </w:t>
      </w:r>
      <w:r>
        <w:rPr>
          <w:spacing w:val="-12"/>
        </w:rPr>
        <w:t> </w:t>
      </w:r>
      <w:r>
        <w:rPr>
          <w:w w:val="105"/>
        </w:rPr>
        <w:t>y</w:t>
      </w:r>
      <w:r>
        <w:rPr/>
        <w:t> </w:t>
      </w:r>
      <w:r>
        <w:rPr>
          <w:spacing w:val="-12"/>
        </w:rPr>
        <w:t> </w:t>
      </w:r>
      <w:r>
        <w:rPr>
          <w:w w:val="111"/>
        </w:rPr>
        <w:t>Caribeños</w:t>
      </w:r>
      <w:r>
        <w:rPr/>
        <w:t> </w:t>
      </w:r>
      <w:r>
        <w:rPr>
          <w:spacing w:val="-12"/>
        </w:rPr>
        <w:t> </w:t>
      </w:r>
      <w:r>
        <w:rPr>
          <w:w w:val="119"/>
        </w:rPr>
        <w:t>(CE</w:t>
      </w:r>
      <w:r>
        <w:rPr>
          <w:w w:val="176"/>
        </w:rPr>
        <w:t>la</w:t>
      </w:r>
      <w:r>
        <w:rPr>
          <w:w w:val="118"/>
        </w:rPr>
        <w:t>C).</w:t>
      </w:r>
      <w:r>
        <w:rPr/>
        <w:t> </w:t>
      </w:r>
      <w:r>
        <w:rPr>
          <w:spacing w:val="-12"/>
        </w:rPr>
        <w:t> </w:t>
      </w:r>
      <w:r>
        <w:rPr>
          <w:w w:val="243"/>
        </w:rPr>
        <w:t>l</w:t>
      </w:r>
      <w:r>
        <w:rPr>
          <w:w w:val="112"/>
        </w:rPr>
        <w:t>a</w:t>
      </w:r>
      <w:r>
        <w:rPr/>
        <w:t> </w:t>
      </w:r>
      <w:r>
        <w:rPr>
          <w:spacing w:val="-12"/>
        </w:rPr>
        <w:t> </w:t>
      </w:r>
      <w:r>
        <w:rPr>
          <w:w w:val="139"/>
        </w:rPr>
        <w:t>d</w:t>
      </w:r>
      <w:r>
        <w:rPr>
          <w:w w:val="111"/>
        </w:rPr>
        <w:t>eclaración </w:t>
      </w:r>
      <w:r>
        <w:rPr>
          <w:w w:val="120"/>
        </w:rPr>
        <w:t>de</w:t>
      </w:r>
      <w:r>
        <w:rPr>
          <w:spacing w:val="-24"/>
          <w:w w:val="120"/>
        </w:rPr>
        <w:t> </w:t>
      </w:r>
      <w:r>
        <w:rPr>
          <w:w w:val="120"/>
        </w:rPr>
        <w:t>Cancún,</w:t>
      </w:r>
      <w:r>
        <w:rPr>
          <w:spacing w:val="-24"/>
          <w:w w:val="120"/>
        </w:rPr>
        <w:t> </w:t>
      </w:r>
      <w:r>
        <w:rPr>
          <w:w w:val="120"/>
        </w:rPr>
        <w:t>suscrita</w:t>
      </w:r>
      <w:r>
        <w:rPr>
          <w:spacing w:val="-24"/>
          <w:w w:val="120"/>
        </w:rPr>
        <w:t> </w:t>
      </w:r>
      <w:r>
        <w:rPr>
          <w:w w:val="120"/>
        </w:rPr>
        <w:t>por</w:t>
      </w:r>
      <w:r>
        <w:rPr>
          <w:spacing w:val="-24"/>
          <w:w w:val="120"/>
        </w:rPr>
        <w:t> </w:t>
      </w:r>
      <w:r>
        <w:rPr>
          <w:w w:val="120"/>
        </w:rPr>
        <w:t>los</w:t>
      </w:r>
      <w:r>
        <w:rPr>
          <w:spacing w:val="-24"/>
          <w:w w:val="120"/>
        </w:rPr>
        <w:t> </w:t>
      </w:r>
      <w:r>
        <w:rPr>
          <w:w w:val="120"/>
        </w:rPr>
        <w:t>países</w:t>
      </w:r>
      <w:r>
        <w:rPr>
          <w:spacing w:val="-24"/>
          <w:w w:val="120"/>
        </w:rPr>
        <w:t> </w:t>
      </w:r>
      <w:r>
        <w:rPr>
          <w:w w:val="120"/>
        </w:rPr>
        <w:t>de</w:t>
      </w:r>
      <w:r>
        <w:rPr>
          <w:spacing w:val="-24"/>
          <w:w w:val="120"/>
        </w:rPr>
        <w:t> </w:t>
      </w:r>
      <w:r>
        <w:rPr>
          <w:w w:val="120"/>
        </w:rPr>
        <w:t>la</w:t>
      </w:r>
      <w:r>
        <w:rPr>
          <w:spacing w:val="-24"/>
          <w:w w:val="120"/>
        </w:rPr>
        <w:t> </w:t>
      </w:r>
      <w:r>
        <w:rPr>
          <w:w w:val="120"/>
        </w:rPr>
        <w:t>región,</w:t>
      </w:r>
      <w:r>
        <w:rPr>
          <w:spacing w:val="-24"/>
          <w:w w:val="120"/>
        </w:rPr>
        <w:t> </w:t>
      </w:r>
      <w:r>
        <w:rPr>
          <w:w w:val="120"/>
        </w:rPr>
        <w:t>se</w:t>
      </w:r>
      <w:r>
        <w:rPr>
          <w:spacing w:val="-24"/>
          <w:w w:val="120"/>
        </w:rPr>
        <w:t> </w:t>
      </w:r>
      <w:r>
        <w:rPr>
          <w:w w:val="120"/>
        </w:rPr>
        <w:t>ha</w:t>
      </w:r>
      <w:r>
        <w:rPr>
          <w:spacing w:val="-24"/>
          <w:w w:val="120"/>
        </w:rPr>
        <w:t> </w:t>
      </w:r>
      <w:r>
        <w:rPr>
          <w:w w:val="120"/>
        </w:rPr>
        <w:t>ratificado</w:t>
      </w:r>
      <w:r>
        <w:rPr>
          <w:spacing w:val="-24"/>
          <w:w w:val="120"/>
        </w:rPr>
        <w:t> </w:t>
      </w:r>
      <w:r>
        <w:rPr>
          <w:w w:val="120"/>
        </w:rPr>
        <w:t>en</w:t>
      </w:r>
      <w:r>
        <w:rPr>
          <w:spacing w:val="-24"/>
          <w:w w:val="120"/>
        </w:rPr>
        <w:t> </w:t>
      </w:r>
      <w:r>
        <w:rPr>
          <w:w w:val="120"/>
        </w:rPr>
        <w:t>la </w:t>
      </w:r>
      <w:r>
        <w:rPr>
          <w:w w:val="112"/>
        </w:rPr>
        <w:t>Cumbre</w:t>
      </w:r>
      <w:r>
        <w:rPr>
          <w:spacing w:val="8"/>
        </w:rPr>
        <w:t> </w:t>
      </w:r>
      <w:r>
        <w:rPr>
          <w:w w:val="107"/>
        </w:rPr>
        <w:t>de</w:t>
      </w:r>
      <w:r>
        <w:rPr>
          <w:spacing w:val="8"/>
        </w:rPr>
        <w:t> </w:t>
      </w:r>
      <w:r>
        <w:rPr>
          <w:w w:val="113"/>
        </w:rPr>
        <w:t>Caracas</w:t>
      </w:r>
      <w:r>
        <w:rPr>
          <w:spacing w:val="8"/>
        </w:rPr>
        <w:t> </w:t>
      </w:r>
      <w:r>
        <w:rPr>
          <w:w w:val="119"/>
        </w:rPr>
        <w:t>(CE</w:t>
      </w:r>
      <w:r>
        <w:rPr>
          <w:w w:val="176"/>
        </w:rPr>
        <w:t>la</w:t>
      </w:r>
      <w:r>
        <w:rPr>
          <w:w w:val="128"/>
        </w:rPr>
        <w:t>C,</w:t>
      </w:r>
      <w:r>
        <w:rPr>
          <w:spacing w:val="8"/>
        </w:rPr>
        <w:t> </w:t>
      </w:r>
      <w:r>
        <w:rPr>
          <w:w w:val="104"/>
        </w:rPr>
        <w:t>2011).</w:t>
      </w:r>
      <w:r>
        <w:rPr>
          <w:spacing w:val="8"/>
        </w:rPr>
        <w:t> </w:t>
      </w:r>
      <w:r>
        <w:rPr>
          <w:w w:val="243"/>
        </w:rPr>
        <w:t>l</w:t>
      </w:r>
      <w:r>
        <w:rPr>
          <w:w w:val="108"/>
        </w:rPr>
        <w:t>os</w:t>
      </w:r>
      <w:r>
        <w:rPr>
          <w:spacing w:val="8"/>
        </w:rPr>
        <w:t> </w:t>
      </w:r>
      <w:r>
        <w:rPr>
          <w:w w:val="109"/>
        </w:rPr>
        <w:t>acuerdos</w:t>
      </w:r>
      <w:r>
        <w:rPr>
          <w:spacing w:val="8"/>
        </w:rPr>
        <w:t> </w:t>
      </w:r>
      <w:r>
        <w:rPr>
          <w:w w:val="110"/>
        </w:rPr>
        <w:t>igualmente</w:t>
      </w:r>
      <w:r>
        <w:rPr>
          <w:spacing w:val="8"/>
        </w:rPr>
        <w:t> </w:t>
      </w:r>
      <w:r>
        <w:rPr>
          <w:w w:val="109"/>
        </w:rPr>
        <w:t>ratifica</w:t>
      </w:r>
      <w:r>
        <w:rPr>
          <w:w w:val="102"/>
        </w:rPr>
        <w:t>- </w:t>
      </w:r>
      <w:r>
        <w:rPr>
          <w:w w:val="120"/>
        </w:rPr>
        <w:t>dos</w:t>
      </w:r>
      <w:r>
        <w:rPr>
          <w:spacing w:val="-25"/>
          <w:w w:val="120"/>
        </w:rPr>
        <w:t> </w:t>
      </w:r>
      <w:r>
        <w:rPr>
          <w:w w:val="120"/>
        </w:rPr>
        <w:t>por</w:t>
      </w:r>
      <w:r>
        <w:rPr>
          <w:spacing w:val="-25"/>
          <w:w w:val="120"/>
        </w:rPr>
        <w:t> </w:t>
      </w:r>
      <w:r>
        <w:rPr>
          <w:w w:val="120"/>
        </w:rPr>
        <w:t>unanimidad</w:t>
      </w:r>
      <w:r>
        <w:rPr>
          <w:spacing w:val="-25"/>
          <w:w w:val="120"/>
        </w:rPr>
        <w:t> </w:t>
      </w:r>
      <w:r>
        <w:rPr>
          <w:w w:val="120"/>
        </w:rPr>
        <w:t>en</w:t>
      </w:r>
      <w:r>
        <w:rPr>
          <w:spacing w:val="-25"/>
          <w:w w:val="120"/>
        </w:rPr>
        <w:t> </w:t>
      </w:r>
      <w:r>
        <w:rPr>
          <w:w w:val="120"/>
        </w:rPr>
        <w:t>la</w:t>
      </w:r>
      <w:r>
        <w:rPr>
          <w:spacing w:val="-25"/>
          <w:w w:val="120"/>
        </w:rPr>
        <w:t> </w:t>
      </w:r>
      <w:r>
        <w:rPr>
          <w:w w:val="120"/>
        </w:rPr>
        <w:t>reunión</w:t>
      </w:r>
      <w:r>
        <w:rPr>
          <w:spacing w:val="-25"/>
          <w:w w:val="120"/>
        </w:rPr>
        <w:t> </w:t>
      </w:r>
      <w:r>
        <w:rPr>
          <w:w w:val="120"/>
        </w:rPr>
        <w:t>de</w:t>
      </w:r>
      <w:r>
        <w:rPr>
          <w:spacing w:val="-25"/>
          <w:w w:val="120"/>
        </w:rPr>
        <w:t> </w:t>
      </w:r>
      <w:r>
        <w:rPr>
          <w:w w:val="120"/>
        </w:rPr>
        <w:t>Chile</w:t>
      </w:r>
      <w:r>
        <w:rPr>
          <w:spacing w:val="-25"/>
          <w:w w:val="120"/>
        </w:rPr>
        <w:t> </w:t>
      </w:r>
      <w:r>
        <w:rPr>
          <w:w w:val="120"/>
        </w:rPr>
        <w:t>–y</w:t>
      </w:r>
      <w:r>
        <w:rPr>
          <w:spacing w:val="-25"/>
          <w:w w:val="120"/>
        </w:rPr>
        <w:t> </w:t>
      </w:r>
      <w:r>
        <w:rPr>
          <w:w w:val="120"/>
        </w:rPr>
        <w:t>luego</w:t>
      </w:r>
      <w:r>
        <w:rPr>
          <w:spacing w:val="-25"/>
          <w:w w:val="120"/>
        </w:rPr>
        <w:t> </w:t>
      </w:r>
      <w:r>
        <w:rPr>
          <w:w w:val="120"/>
        </w:rPr>
        <w:t>en</w:t>
      </w:r>
      <w:r>
        <w:rPr>
          <w:spacing w:val="-25"/>
          <w:w w:val="120"/>
        </w:rPr>
        <w:t> </w:t>
      </w:r>
      <w:r>
        <w:rPr>
          <w:w w:val="120"/>
        </w:rPr>
        <w:t>Cuba</w:t>
      </w:r>
      <w:r>
        <w:rPr>
          <w:spacing w:val="-25"/>
          <w:w w:val="120"/>
        </w:rPr>
        <w:t> </w:t>
      </w:r>
      <w:r>
        <w:rPr>
          <w:w w:val="120"/>
        </w:rPr>
        <w:t>y</w:t>
      </w:r>
      <w:r>
        <w:rPr>
          <w:spacing w:val="-25"/>
          <w:w w:val="120"/>
        </w:rPr>
        <w:t> </w:t>
      </w:r>
      <w:r>
        <w:rPr>
          <w:w w:val="120"/>
        </w:rPr>
        <w:t>Costa </w:t>
      </w:r>
      <w:r>
        <w:rPr>
          <w:w w:val="115"/>
        </w:rPr>
        <w:t>rica–</w:t>
      </w:r>
      <w:r>
        <w:rPr>
          <w:spacing w:val="-21"/>
          <w:w w:val="115"/>
        </w:rPr>
        <w:t> </w:t>
      </w:r>
      <w:r>
        <w:rPr>
          <w:w w:val="115"/>
        </w:rPr>
        <w:t>hablan</w:t>
      </w:r>
      <w:r>
        <w:rPr>
          <w:spacing w:val="-21"/>
          <w:w w:val="115"/>
        </w:rPr>
        <w:t> </w:t>
      </w:r>
      <w:r>
        <w:rPr>
          <w:w w:val="115"/>
        </w:rPr>
        <w:t>de</w:t>
      </w:r>
      <w:r>
        <w:rPr>
          <w:spacing w:val="-21"/>
          <w:w w:val="115"/>
        </w:rPr>
        <w:t> </w:t>
      </w:r>
      <w:r>
        <w:rPr>
          <w:w w:val="115"/>
        </w:rPr>
        <w:t>una</w:t>
      </w:r>
      <w:r>
        <w:rPr>
          <w:spacing w:val="-21"/>
          <w:w w:val="115"/>
        </w:rPr>
        <w:t> </w:t>
      </w:r>
      <w:r>
        <w:rPr>
          <w:w w:val="115"/>
        </w:rPr>
        <w:t>nueva</w:t>
      </w:r>
      <w:r>
        <w:rPr>
          <w:spacing w:val="-21"/>
          <w:w w:val="115"/>
        </w:rPr>
        <w:t> </w:t>
      </w:r>
      <w:r>
        <w:rPr>
          <w:w w:val="115"/>
        </w:rPr>
        <w:t>correlación</w:t>
      </w:r>
      <w:r>
        <w:rPr>
          <w:spacing w:val="-21"/>
          <w:w w:val="115"/>
        </w:rPr>
        <w:t> </w:t>
      </w:r>
      <w:r>
        <w:rPr>
          <w:w w:val="115"/>
        </w:rPr>
        <w:t>de</w:t>
      </w:r>
      <w:r>
        <w:rPr>
          <w:spacing w:val="-21"/>
          <w:w w:val="115"/>
        </w:rPr>
        <w:t> </w:t>
      </w:r>
      <w:r>
        <w:rPr>
          <w:w w:val="115"/>
        </w:rPr>
        <w:t>fuerzas</w:t>
      </w:r>
      <w:r>
        <w:rPr>
          <w:spacing w:val="-21"/>
          <w:w w:val="115"/>
        </w:rPr>
        <w:t> </w:t>
      </w:r>
      <w:r>
        <w:rPr>
          <w:w w:val="115"/>
        </w:rPr>
        <w:t>en</w:t>
      </w:r>
      <w:r>
        <w:rPr>
          <w:spacing w:val="-21"/>
          <w:w w:val="115"/>
        </w:rPr>
        <w:t> </w:t>
      </w:r>
      <w:r>
        <w:rPr>
          <w:w w:val="115"/>
        </w:rPr>
        <w:t>la</w:t>
      </w:r>
      <w:r>
        <w:rPr>
          <w:spacing w:val="-21"/>
          <w:w w:val="115"/>
        </w:rPr>
        <w:t> </w:t>
      </w:r>
      <w:r>
        <w:rPr>
          <w:w w:val="115"/>
        </w:rPr>
        <w:t>región,</w:t>
      </w:r>
      <w:r>
        <w:rPr>
          <w:spacing w:val="-21"/>
          <w:w w:val="115"/>
        </w:rPr>
        <w:t> </w:t>
      </w:r>
      <w:r>
        <w:rPr>
          <w:w w:val="115"/>
        </w:rPr>
        <w:t>porque </w:t>
      </w:r>
      <w:r>
        <w:rPr>
          <w:w w:val="120"/>
        </w:rPr>
        <w:t>incluso</w:t>
      </w:r>
      <w:r>
        <w:rPr>
          <w:spacing w:val="-25"/>
          <w:w w:val="120"/>
        </w:rPr>
        <w:t> </w:t>
      </w:r>
      <w:r>
        <w:rPr>
          <w:w w:val="120"/>
        </w:rPr>
        <w:t>gobiernos</w:t>
      </w:r>
      <w:r>
        <w:rPr>
          <w:spacing w:val="-25"/>
          <w:w w:val="120"/>
        </w:rPr>
        <w:t> </w:t>
      </w:r>
      <w:r>
        <w:rPr>
          <w:w w:val="120"/>
        </w:rPr>
        <w:t>como</w:t>
      </w:r>
      <w:r>
        <w:rPr>
          <w:spacing w:val="-25"/>
          <w:w w:val="120"/>
        </w:rPr>
        <w:t> </w:t>
      </w:r>
      <w:r>
        <w:rPr>
          <w:w w:val="120"/>
        </w:rPr>
        <w:t>los</w:t>
      </w:r>
      <w:r>
        <w:rPr>
          <w:spacing w:val="-25"/>
          <w:w w:val="120"/>
        </w:rPr>
        <w:t> </w:t>
      </w:r>
      <w:r>
        <w:rPr>
          <w:w w:val="120"/>
        </w:rPr>
        <w:t>de</w:t>
      </w:r>
      <w:r>
        <w:rPr>
          <w:spacing w:val="-25"/>
          <w:w w:val="120"/>
        </w:rPr>
        <w:t> </w:t>
      </w:r>
      <w:r>
        <w:rPr>
          <w:w w:val="120"/>
        </w:rPr>
        <w:t>Colombia,</w:t>
      </w:r>
      <w:r>
        <w:rPr>
          <w:spacing w:val="-25"/>
          <w:w w:val="120"/>
        </w:rPr>
        <w:t> </w:t>
      </w:r>
      <w:r>
        <w:rPr>
          <w:w w:val="120"/>
        </w:rPr>
        <w:t>Perú,</w:t>
      </w:r>
      <w:r>
        <w:rPr>
          <w:spacing w:val="-25"/>
          <w:w w:val="120"/>
        </w:rPr>
        <w:t> </w:t>
      </w:r>
      <w:r>
        <w:rPr>
          <w:w w:val="120"/>
        </w:rPr>
        <w:t>Panamá</w:t>
      </w:r>
      <w:r>
        <w:rPr>
          <w:spacing w:val="-25"/>
          <w:w w:val="120"/>
        </w:rPr>
        <w:t> </w:t>
      </w:r>
      <w:r>
        <w:rPr>
          <w:w w:val="120"/>
        </w:rPr>
        <w:t>o</w:t>
      </w:r>
      <w:r>
        <w:rPr>
          <w:spacing w:val="-25"/>
          <w:w w:val="120"/>
        </w:rPr>
        <w:t> </w:t>
      </w:r>
      <w:r>
        <w:rPr>
          <w:spacing w:val="-3"/>
          <w:w w:val="120"/>
        </w:rPr>
        <w:t>trinidad</w:t>
      </w:r>
      <w:r>
        <w:rPr>
          <w:spacing w:val="-25"/>
          <w:w w:val="120"/>
        </w:rPr>
        <w:t> </w:t>
      </w:r>
      <w:r>
        <w:rPr>
          <w:w w:val="120"/>
        </w:rPr>
        <w:t>y </w:t>
      </w:r>
      <w:r>
        <w:rPr>
          <w:spacing w:val="-3"/>
          <w:w w:val="115"/>
        </w:rPr>
        <w:t>tobago</w:t>
      </w:r>
      <w:r>
        <w:rPr>
          <w:spacing w:val="-28"/>
          <w:w w:val="115"/>
        </w:rPr>
        <w:t> </w:t>
      </w:r>
      <w:r>
        <w:rPr>
          <w:w w:val="115"/>
        </w:rPr>
        <w:t>asumen</w:t>
      </w:r>
      <w:r>
        <w:rPr>
          <w:spacing w:val="-28"/>
          <w:w w:val="115"/>
        </w:rPr>
        <w:t> </w:t>
      </w:r>
      <w:r>
        <w:rPr>
          <w:w w:val="115"/>
        </w:rPr>
        <w:t>las</w:t>
      </w:r>
      <w:r>
        <w:rPr>
          <w:spacing w:val="-28"/>
          <w:w w:val="115"/>
        </w:rPr>
        <w:t> </w:t>
      </w:r>
      <w:r>
        <w:rPr>
          <w:w w:val="115"/>
        </w:rPr>
        <w:t>declaraciones</w:t>
      </w:r>
      <w:r>
        <w:rPr>
          <w:spacing w:val="-28"/>
          <w:w w:val="115"/>
        </w:rPr>
        <w:t> </w:t>
      </w:r>
      <w:r>
        <w:rPr>
          <w:w w:val="115"/>
        </w:rPr>
        <w:t>y</w:t>
      </w:r>
      <w:r>
        <w:rPr>
          <w:spacing w:val="-28"/>
          <w:w w:val="115"/>
        </w:rPr>
        <w:t> </w:t>
      </w:r>
      <w:r>
        <w:rPr>
          <w:w w:val="115"/>
        </w:rPr>
        <w:t>posicionamientos</w:t>
      </w:r>
      <w:r>
        <w:rPr>
          <w:spacing w:val="-28"/>
          <w:w w:val="115"/>
        </w:rPr>
        <w:t> </w:t>
      </w:r>
      <w:r>
        <w:rPr>
          <w:w w:val="115"/>
        </w:rPr>
        <w:t>regionales</w:t>
      </w:r>
      <w:r>
        <w:rPr>
          <w:spacing w:val="-28"/>
          <w:w w:val="115"/>
        </w:rPr>
        <w:t> </w:t>
      </w:r>
      <w:r>
        <w:rPr>
          <w:w w:val="115"/>
        </w:rPr>
        <w:t>com- </w:t>
      </w:r>
      <w:r>
        <w:rPr>
          <w:w w:val="120"/>
        </w:rPr>
        <w:t>partidos</w:t>
      </w:r>
      <w:r>
        <w:rPr>
          <w:spacing w:val="-29"/>
          <w:w w:val="120"/>
        </w:rPr>
        <w:t> </w:t>
      </w:r>
      <w:r>
        <w:rPr>
          <w:w w:val="120"/>
        </w:rPr>
        <w:t>(CElaC,</w:t>
      </w:r>
      <w:r>
        <w:rPr>
          <w:spacing w:val="-29"/>
          <w:w w:val="120"/>
        </w:rPr>
        <w:t> </w:t>
      </w:r>
      <w:r>
        <w:rPr>
          <w:w w:val="120"/>
        </w:rPr>
        <w:t>2015).</w:t>
      </w:r>
    </w:p>
    <w:p>
      <w:pPr>
        <w:pStyle w:val="BodyText"/>
        <w:spacing w:line="252" w:lineRule="auto"/>
        <w:ind w:left="330" w:right="117" w:firstLine="396"/>
        <w:jc w:val="both"/>
      </w:pPr>
      <w:r>
        <w:rPr>
          <w:w w:val="110"/>
        </w:rPr>
        <w:t>Por su naturaleza y composición, cabe la consideración de un punto de quiebre con la trayectoria de la región con el monroísmo en cualquiera de sus expresiones. sus propósitos apuntan hacia la inte- gración política, económica, social y cultural, así como entre sus ob- jetivos figura la defensa del multilateralismo como medio para incidir en el manejo de los grandes temas de la región y los acontecimientos de la agenda global. En el apartado dedicado a crisis económica se inscribe un punto a favor de la creación de una nueva arquitectura fi- nanciera regional, incluyendo la posibilidad de realizar a futuro pagos en monedas nacionales, así como la cooperación entre bancos nacio- nales y regionales de fomento. otros aspectos suscritos son los rubros dedicados a “energía” y a la “integración física en infraestructura”. sin perder de vista que se trata de un proceso, no es menos significativo que haya aparecido con especial fuerza el desafío energético, la ex- pansión y diversificación de fuentes de energía, la socialización de ex- periencias y transferencia de tecnología sobre programas nacionales de biocombustibles y la producción de etanol (rojas aravena,   2012).</w:t>
      </w:r>
    </w:p>
    <w:p>
      <w:pPr>
        <w:pStyle w:val="BodyText"/>
        <w:spacing w:line="252" w:lineRule="auto"/>
        <w:ind w:left="330" w:right="118" w:firstLine="396"/>
        <w:jc w:val="both"/>
      </w:pPr>
      <w:r>
        <w:rPr>
          <w:w w:val="110"/>
        </w:rPr>
        <w:t>sin embargo, por arduos que hayan sido los esfuerzos multifor- mes</w:t>
      </w:r>
      <w:r>
        <w:rPr>
          <w:spacing w:val="-5"/>
          <w:w w:val="110"/>
        </w:rPr>
        <w:t> </w:t>
      </w:r>
      <w:r>
        <w:rPr>
          <w:w w:val="110"/>
        </w:rPr>
        <w:t>de</w:t>
      </w:r>
      <w:r>
        <w:rPr>
          <w:spacing w:val="-5"/>
          <w:w w:val="110"/>
        </w:rPr>
        <w:t> </w:t>
      </w:r>
      <w:r>
        <w:rPr>
          <w:w w:val="110"/>
        </w:rPr>
        <w:t>trazar</w:t>
      </w:r>
      <w:r>
        <w:rPr>
          <w:spacing w:val="-5"/>
          <w:w w:val="110"/>
        </w:rPr>
        <w:t> </w:t>
      </w:r>
      <w:r>
        <w:rPr>
          <w:w w:val="110"/>
        </w:rPr>
        <w:t>esta</w:t>
      </w:r>
      <w:r>
        <w:rPr>
          <w:spacing w:val="-5"/>
          <w:w w:val="110"/>
        </w:rPr>
        <w:t> </w:t>
      </w:r>
      <w:r>
        <w:rPr>
          <w:w w:val="110"/>
        </w:rPr>
        <w:t>nueva</w:t>
      </w:r>
      <w:r>
        <w:rPr>
          <w:spacing w:val="-5"/>
          <w:w w:val="110"/>
        </w:rPr>
        <w:t> </w:t>
      </w:r>
      <w:r>
        <w:rPr>
          <w:w w:val="110"/>
        </w:rPr>
        <w:t>ruta,</w:t>
      </w:r>
      <w:r>
        <w:rPr>
          <w:spacing w:val="-5"/>
          <w:w w:val="110"/>
        </w:rPr>
        <w:t> </w:t>
      </w:r>
      <w:r>
        <w:rPr>
          <w:w w:val="110"/>
        </w:rPr>
        <w:t>al</w:t>
      </w:r>
      <w:r>
        <w:rPr>
          <w:spacing w:val="-5"/>
          <w:w w:val="110"/>
        </w:rPr>
        <w:t> </w:t>
      </w:r>
      <w:r>
        <w:rPr>
          <w:w w:val="110"/>
        </w:rPr>
        <w:t>margen</w:t>
      </w:r>
      <w:r>
        <w:rPr>
          <w:spacing w:val="-5"/>
          <w:w w:val="110"/>
        </w:rPr>
        <w:t> </w:t>
      </w:r>
      <w:r>
        <w:rPr>
          <w:w w:val="110"/>
        </w:rPr>
        <w:t>del</w:t>
      </w:r>
      <w:r>
        <w:rPr>
          <w:spacing w:val="-5"/>
          <w:w w:val="110"/>
        </w:rPr>
        <w:t> </w:t>
      </w:r>
      <w:r>
        <w:rPr>
          <w:w w:val="110"/>
        </w:rPr>
        <w:t>liderazgo</w:t>
      </w:r>
      <w:r>
        <w:rPr>
          <w:spacing w:val="-5"/>
          <w:w w:val="110"/>
        </w:rPr>
        <w:t> </w:t>
      </w:r>
      <w:r>
        <w:rPr>
          <w:w w:val="110"/>
        </w:rPr>
        <w:t>hegemónico</w:t>
      </w:r>
      <w:r>
        <w:rPr>
          <w:spacing w:val="-5"/>
          <w:w w:val="110"/>
        </w:rPr>
        <w:t> </w:t>
      </w:r>
      <w:r>
        <w:rPr>
          <w:w w:val="110"/>
        </w:rPr>
        <w:t>he- misférico, su notable significado político y potencial democratizador parecen mermados cuando se focalizan los formidables desafíos in- ternos y externos que deberán afrontarse. En El </w:t>
      </w:r>
      <w:r>
        <w:rPr>
          <w:spacing w:val="-3"/>
          <w:w w:val="110"/>
        </w:rPr>
        <w:t>salvador, </w:t>
      </w:r>
      <w:r>
        <w:rPr>
          <w:w w:val="110"/>
        </w:rPr>
        <w:t>Nicaragua, bolivia,</w:t>
      </w:r>
      <w:r>
        <w:rPr>
          <w:spacing w:val="31"/>
          <w:w w:val="110"/>
        </w:rPr>
        <w:t> </w:t>
      </w:r>
      <w:r>
        <w:rPr>
          <w:w w:val="110"/>
        </w:rPr>
        <w:t>Venezuela,</w:t>
      </w:r>
      <w:r>
        <w:rPr>
          <w:spacing w:val="31"/>
          <w:w w:val="110"/>
        </w:rPr>
        <w:t> </w:t>
      </w:r>
      <w:r>
        <w:rPr>
          <w:w w:val="110"/>
        </w:rPr>
        <w:t>Ecuador</w:t>
      </w:r>
      <w:r>
        <w:rPr>
          <w:spacing w:val="31"/>
          <w:w w:val="110"/>
        </w:rPr>
        <w:t> </w:t>
      </w:r>
      <w:r>
        <w:rPr>
          <w:w w:val="110"/>
        </w:rPr>
        <w:t>y</w:t>
      </w:r>
      <w:r>
        <w:rPr>
          <w:spacing w:val="31"/>
          <w:w w:val="110"/>
        </w:rPr>
        <w:t> </w:t>
      </w:r>
      <w:r>
        <w:rPr>
          <w:w w:val="110"/>
        </w:rPr>
        <w:t>en</w:t>
      </w:r>
      <w:r>
        <w:rPr>
          <w:spacing w:val="31"/>
          <w:w w:val="110"/>
        </w:rPr>
        <w:t> </w:t>
      </w:r>
      <w:r>
        <w:rPr>
          <w:w w:val="110"/>
        </w:rPr>
        <w:t>prácticamente</w:t>
      </w:r>
      <w:r>
        <w:rPr>
          <w:spacing w:val="31"/>
          <w:w w:val="110"/>
        </w:rPr>
        <w:t> </w:t>
      </w:r>
      <w:r>
        <w:rPr>
          <w:w w:val="110"/>
        </w:rPr>
        <w:t>todos</w:t>
      </w:r>
      <w:r>
        <w:rPr>
          <w:spacing w:val="31"/>
          <w:w w:val="110"/>
        </w:rPr>
        <w:t> </w:t>
      </w:r>
      <w:r>
        <w:rPr>
          <w:w w:val="110"/>
        </w:rPr>
        <w:t>los</w:t>
      </w:r>
      <w:r>
        <w:rPr>
          <w:spacing w:val="31"/>
          <w:w w:val="110"/>
        </w:rPr>
        <w:t> </w:t>
      </w:r>
      <w:r>
        <w:rPr>
          <w:w w:val="110"/>
        </w:rPr>
        <w:t>gobiernos</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w w:val="120"/>
        </w:rPr>
        <w:t>de</w:t>
      </w:r>
      <w:r>
        <w:rPr>
          <w:spacing w:val="-19"/>
          <w:w w:val="120"/>
        </w:rPr>
        <w:t> </w:t>
      </w:r>
      <w:r>
        <w:rPr>
          <w:w w:val="120"/>
        </w:rPr>
        <w:t>la</w:t>
      </w:r>
      <w:r>
        <w:rPr>
          <w:spacing w:val="-19"/>
          <w:w w:val="120"/>
        </w:rPr>
        <w:t> </w:t>
      </w:r>
      <w:r>
        <w:rPr>
          <w:w w:val="120"/>
        </w:rPr>
        <w:t>uNasur,</w:t>
      </w:r>
      <w:r>
        <w:rPr>
          <w:spacing w:val="-19"/>
          <w:w w:val="120"/>
        </w:rPr>
        <w:t> </w:t>
      </w:r>
      <w:r>
        <w:rPr>
          <w:w w:val="120"/>
        </w:rPr>
        <w:t>resulta</w:t>
      </w:r>
      <w:r>
        <w:rPr>
          <w:spacing w:val="-19"/>
          <w:w w:val="120"/>
        </w:rPr>
        <w:t> </w:t>
      </w:r>
      <w:r>
        <w:rPr>
          <w:w w:val="120"/>
        </w:rPr>
        <w:t>crucial</w:t>
      </w:r>
      <w:r>
        <w:rPr>
          <w:spacing w:val="-19"/>
          <w:w w:val="120"/>
        </w:rPr>
        <w:t> </w:t>
      </w:r>
      <w:r>
        <w:rPr>
          <w:w w:val="120"/>
        </w:rPr>
        <w:t>consolidar</w:t>
      </w:r>
      <w:r>
        <w:rPr>
          <w:spacing w:val="-19"/>
          <w:w w:val="120"/>
        </w:rPr>
        <w:t> </w:t>
      </w:r>
      <w:r>
        <w:rPr>
          <w:w w:val="120"/>
        </w:rPr>
        <w:t>los</w:t>
      </w:r>
      <w:r>
        <w:rPr>
          <w:spacing w:val="-19"/>
          <w:w w:val="120"/>
        </w:rPr>
        <w:t> </w:t>
      </w:r>
      <w:r>
        <w:rPr>
          <w:w w:val="120"/>
        </w:rPr>
        <w:t>avances,</w:t>
      </w:r>
      <w:r>
        <w:rPr>
          <w:spacing w:val="-19"/>
          <w:w w:val="120"/>
        </w:rPr>
        <w:t> </w:t>
      </w:r>
      <w:r>
        <w:rPr>
          <w:w w:val="120"/>
        </w:rPr>
        <w:t>sumando</w:t>
      </w:r>
      <w:r>
        <w:rPr>
          <w:spacing w:val="-19"/>
          <w:w w:val="120"/>
        </w:rPr>
        <w:t> </w:t>
      </w:r>
      <w:r>
        <w:rPr>
          <w:w w:val="120"/>
        </w:rPr>
        <w:t>y</w:t>
      </w:r>
      <w:r>
        <w:rPr>
          <w:spacing w:val="-19"/>
          <w:w w:val="120"/>
        </w:rPr>
        <w:t> </w:t>
      </w:r>
      <w:r>
        <w:rPr>
          <w:spacing w:val="-5"/>
          <w:w w:val="120"/>
        </w:rPr>
        <w:t>ar- </w:t>
      </w:r>
      <w:r>
        <w:rPr>
          <w:w w:val="115"/>
        </w:rPr>
        <w:t>ticulando</w:t>
      </w:r>
      <w:r>
        <w:rPr>
          <w:spacing w:val="-6"/>
          <w:w w:val="115"/>
        </w:rPr>
        <w:t> </w:t>
      </w:r>
      <w:r>
        <w:rPr>
          <w:w w:val="115"/>
        </w:rPr>
        <w:t>más</w:t>
      </w:r>
      <w:r>
        <w:rPr>
          <w:spacing w:val="-6"/>
          <w:w w:val="115"/>
        </w:rPr>
        <w:t> </w:t>
      </w:r>
      <w:r>
        <w:rPr>
          <w:w w:val="115"/>
        </w:rPr>
        <w:t>fuerza</w:t>
      </w:r>
      <w:r>
        <w:rPr>
          <w:spacing w:val="-6"/>
          <w:w w:val="115"/>
        </w:rPr>
        <w:t> </w:t>
      </w:r>
      <w:r>
        <w:rPr>
          <w:w w:val="115"/>
        </w:rPr>
        <w:t>social</w:t>
      </w:r>
      <w:r>
        <w:rPr>
          <w:spacing w:val="-6"/>
          <w:w w:val="115"/>
        </w:rPr>
        <w:t> </w:t>
      </w:r>
      <w:r>
        <w:rPr>
          <w:w w:val="115"/>
        </w:rPr>
        <w:t>y</w:t>
      </w:r>
      <w:r>
        <w:rPr>
          <w:spacing w:val="-6"/>
          <w:w w:val="115"/>
        </w:rPr>
        <w:t> </w:t>
      </w:r>
      <w:r>
        <w:rPr>
          <w:w w:val="115"/>
        </w:rPr>
        <w:t>política,</w:t>
      </w:r>
      <w:r>
        <w:rPr>
          <w:spacing w:val="-6"/>
          <w:w w:val="115"/>
        </w:rPr>
        <w:t> </w:t>
      </w:r>
      <w:r>
        <w:rPr>
          <w:w w:val="115"/>
        </w:rPr>
        <w:t>ganando</w:t>
      </w:r>
      <w:r>
        <w:rPr>
          <w:spacing w:val="-6"/>
          <w:w w:val="115"/>
        </w:rPr>
        <w:t> </w:t>
      </w:r>
      <w:r>
        <w:rPr>
          <w:w w:val="115"/>
        </w:rPr>
        <w:t>mejor</w:t>
      </w:r>
      <w:r>
        <w:rPr>
          <w:spacing w:val="-6"/>
          <w:w w:val="115"/>
        </w:rPr>
        <w:t> </w:t>
      </w:r>
      <w:r>
        <w:rPr>
          <w:w w:val="115"/>
        </w:rPr>
        <w:t>las</w:t>
      </w:r>
      <w:r>
        <w:rPr>
          <w:spacing w:val="-6"/>
          <w:w w:val="115"/>
        </w:rPr>
        <w:t> </w:t>
      </w:r>
      <w:r>
        <w:rPr>
          <w:w w:val="115"/>
        </w:rPr>
        <w:t>elecciones, es </w:t>
      </w:r>
      <w:r>
        <w:rPr>
          <w:spacing w:val="-4"/>
          <w:w w:val="115"/>
        </w:rPr>
        <w:t>decir, </w:t>
      </w:r>
      <w:r>
        <w:rPr>
          <w:w w:val="115"/>
        </w:rPr>
        <w:t>conquistando un mayor consenso activo de la ciudadanía</w:t>
      </w:r>
      <w:r>
        <w:rPr>
          <w:spacing w:val="-14"/>
          <w:w w:val="115"/>
        </w:rPr>
        <w:t> </w:t>
      </w:r>
      <w:r>
        <w:rPr>
          <w:w w:val="115"/>
        </w:rPr>
        <w:t>y proyectar convincentemente la cualidad de un “buen gobierno”</w:t>
      </w:r>
      <w:r>
        <w:rPr>
          <w:spacing w:val="-32"/>
          <w:w w:val="115"/>
        </w:rPr>
        <w:t> </w:t>
      </w:r>
      <w:r>
        <w:rPr>
          <w:w w:val="115"/>
        </w:rPr>
        <w:t>que recomponga</w:t>
      </w:r>
      <w:r>
        <w:rPr>
          <w:spacing w:val="-5"/>
          <w:w w:val="115"/>
        </w:rPr>
        <w:t> </w:t>
      </w:r>
      <w:r>
        <w:rPr>
          <w:w w:val="115"/>
        </w:rPr>
        <w:t>desde</w:t>
      </w:r>
      <w:r>
        <w:rPr>
          <w:spacing w:val="-5"/>
          <w:w w:val="115"/>
        </w:rPr>
        <w:t> </w:t>
      </w:r>
      <w:r>
        <w:rPr>
          <w:w w:val="115"/>
        </w:rPr>
        <w:t>abajo</w:t>
      </w:r>
      <w:r>
        <w:rPr>
          <w:spacing w:val="-5"/>
          <w:w w:val="115"/>
        </w:rPr>
        <w:t> </w:t>
      </w:r>
      <w:r>
        <w:rPr>
          <w:w w:val="115"/>
        </w:rPr>
        <w:t>el</w:t>
      </w:r>
      <w:r>
        <w:rPr>
          <w:spacing w:val="-5"/>
          <w:w w:val="115"/>
        </w:rPr>
        <w:t> </w:t>
      </w:r>
      <w:r>
        <w:rPr>
          <w:w w:val="115"/>
        </w:rPr>
        <w:t>tejido</w:t>
      </w:r>
      <w:r>
        <w:rPr>
          <w:spacing w:val="-5"/>
          <w:w w:val="115"/>
        </w:rPr>
        <w:t> </w:t>
      </w:r>
      <w:r>
        <w:rPr>
          <w:w w:val="115"/>
        </w:rPr>
        <w:t>social</w:t>
      </w:r>
      <w:r>
        <w:rPr>
          <w:spacing w:val="-5"/>
          <w:w w:val="115"/>
        </w:rPr>
        <w:t> </w:t>
      </w:r>
      <w:r>
        <w:rPr>
          <w:w w:val="115"/>
        </w:rPr>
        <w:t>desmembrado</w:t>
      </w:r>
      <w:r>
        <w:rPr>
          <w:spacing w:val="-5"/>
          <w:w w:val="115"/>
        </w:rPr>
        <w:t> </w:t>
      </w:r>
      <w:r>
        <w:rPr>
          <w:w w:val="115"/>
        </w:rPr>
        <w:t>por</w:t>
      </w:r>
      <w:r>
        <w:rPr>
          <w:spacing w:val="-5"/>
          <w:w w:val="115"/>
        </w:rPr>
        <w:t> </w:t>
      </w:r>
      <w:r>
        <w:rPr>
          <w:w w:val="115"/>
        </w:rPr>
        <w:t>la</w:t>
      </w:r>
      <w:r>
        <w:rPr>
          <w:spacing w:val="-5"/>
          <w:w w:val="115"/>
        </w:rPr>
        <w:t> </w:t>
      </w:r>
      <w:r>
        <w:rPr>
          <w:w w:val="115"/>
        </w:rPr>
        <w:t>cultu- </w:t>
      </w:r>
      <w:r>
        <w:rPr>
          <w:w w:val="120"/>
        </w:rPr>
        <w:t>ra</w:t>
      </w:r>
      <w:r>
        <w:rPr>
          <w:spacing w:val="-21"/>
          <w:w w:val="120"/>
        </w:rPr>
        <w:t> </w:t>
      </w:r>
      <w:r>
        <w:rPr>
          <w:w w:val="120"/>
        </w:rPr>
        <w:t>mercantil.</w:t>
      </w:r>
      <w:r>
        <w:rPr>
          <w:spacing w:val="-21"/>
          <w:w w:val="120"/>
        </w:rPr>
        <w:t> </w:t>
      </w:r>
      <w:r>
        <w:rPr>
          <w:w w:val="120"/>
        </w:rPr>
        <w:t>Ese</w:t>
      </w:r>
      <w:r>
        <w:rPr>
          <w:spacing w:val="-21"/>
          <w:w w:val="120"/>
        </w:rPr>
        <w:t> </w:t>
      </w:r>
      <w:r>
        <w:rPr>
          <w:w w:val="120"/>
        </w:rPr>
        <w:t>“buen</w:t>
      </w:r>
      <w:r>
        <w:rPr>
          <w:spacing w:val="-21"/>
          <w:w w:val="120"/>
        </w:rPr>
        <w:t> </w:t>
      </w:r>
      <w:r>
        <w:rPr>
          <w:w w:val="120"/>
        </w:rPr>
        <w:t>gobierno”,</w:t>
      </w:r>
      <w:r>
        <w:rPr>
          <w:spacing w:val="-21"/>
          <w:w w:val="120"/>
        </w:rPr>
        <w:t> </w:t>
      </w:r>
      <w:r>
        <w:rPr>
          <w:w w:val="120"/>
        </w:rPr>
        <w:t>ya</w:t>
      </w:r>
      <w:r>
        <w:rPr>
          <w:spacing w:val="-21"/>
          <w:w w:val="120"/>
        </w:rPr>
        <w:t> </w:t>
      </w:r>
      <w:r>
        <w:rPr>
          <w:w w:val="120"/>
        </w:rPr>
        <w:t>lo</w:t>
      </w:r>
      <w:r>
        <w:rPr>
          <w:spacing w:val="-21"/>
          <w:w w:val="120"/>
        </w:rPr>
        <w:t> </w:t>
      </w:r>
      <w:r>
        <w:rPr>
          <w:w w:val="120"/>
        </w:rPr>
        <w:t>estamos</w:t>
      </w:r>
      <w:r>
        <w:rPr>
          <w:spacing w:val="-21"/>
          <w:w w:val="120"/>
        </w:rPr>
        <w:t> </w:t>
      </w:r>
      <w:r>
        <w:rPr>
          <w:w w:val="120"/>
        </w:rPr>
        <w:t>viendo,</w:t>
      </w:r>
      <w:r>
        <w:rPr>
          <w:spacing w:val="-21"/>
          <w:w w:val="120"/>
        </w:rPr>
        <w:t> </w:t>
      </w:r>
      <w:r>
        <w:rPr>
          <w:w w:val="120"/>
        </w:rPr>
        <w:t>conforme </w:t>
      </w:r>
      <w:r>
        <w:rPr>
          <w:w w:val="115"/>
        </w:rPr>
        <w:t>avanza en la implementación de su programa, se va enfrentando</w:t>
      </w:r>
      <w:r>
        <w:rPr>
          <w:spacing w:val="-13"/>
          <w:w w:val="115"/>
        </w:rPr>
        <w:t> </w:t>
      </w:r>
      <w:r>
        <w:rPr>
          <w:w w:val="115"/>
        </w:rPr>
        <w:t>de manera</w:t>
      </w:r>
      <w:r>
        <w:rPr>
          <w:spacing w:val="-22"/>
          <w:w w:val="115"/>
        </w:rPr>
        <w:t> </w:t>
      </w:r>
      <w:r>
        <w:rPr>
          <w:w w:val="115"/>
        </w:rPr>
        <w:t>inevitable</w:t>
      </w:r>
      <w:r>
        <w:rPr>
          <w:spacing w:val="-22"/>
          <w:w w:val="115"/>
        </w:rPr>
        <w:t> </w:t>
      </w:r>
      <w:r>
        <w:rPr>
          <w:w w:val="115"/>
        </w:rPr>
        <w:t>con</w:t>
      </w:r>
      <w:r>
        <w:rPr>
          <w:spacing w:val="-22"/>
          <w:w w:val="115"/>
        </w:rPr>
        <w:t> </w:t>
      </w:r>
      <w:r>
        <w:rPr>
          <w:w w:val="115"/>
        </w:rPr>
        <w:t>el</w:t>
      </w:r>
      <w:r>
        <w:rPr>
          <w:spacing w:val="-22"/>
          <w:w w:val="115"/>
        </w:rPr>
        <w:t> </w:t>
      </w:r>
      <w:r>
        <w:rPr>
          <w:w w:val="115"/>
        </w:rPr>
        <w:t>sistema</w:t>
      </w:r>
      <w:r>
        <w:rPr>
          <w:spacing w:val="-22"/>
          <w:w w:val="115"/>
        </w:rPr>
        <w:t> </w:t>
      </w:r>
      <w:r>
        <w:rPr>
          <w:w w:val="115"/>
        </w:rPr>
        <w:t>de</w:t>
      </w:r>
      <w:r>
        <w:rPr>
          <w:spacing w:val="-22"/>
          <w:w w:val="115"/>
        </w:rPr>
        <w:t> </w:t>
      </w:r>
      <w:r>
        <w:rPr>
          <w:w w:val="115"/>
        </w:rPr>
        <w:t>dominación</w:t>
      </w:r>
      <w:r>
        <w:rPr>
          <w:spacing w:val="-22"/>
          <w:w w:val="115"/>
        </w:rPr>
        <w:t> </w:t>
      </w:r>
      <w:r>
        <w:rPr>
          <w:w w:val="115"/>
        </w:rPr>
        <w:t>en</w:t>
      </w:r>
      <w:r>
        <w:rPr>
          <w:spacing w:val="-22"/>
          <w:w w:val="115"/>
        </w:rPr>
        <w:t> </w:t>
      </w:r>
      <w:r>
        <w:rPr>
          <w:w w:val="115"/>
        </w:rPr>
        <w:t>sus</w:t>
      </w:r>
      <w:r>
        <w:rPr>
          <w:spacing w:val="-22"/>
          <w:w w:val="115"/>
        </w:rPr>
        <w:t> </w:t>
      </w:r>
      <w:r>
        <w:rPr>
          <w:w w:val="115"/>
        </w:rPr>
        <w:t>poderosos</w:t>
      </w:r>
      <w:r>
        <w:rPr>
          <w:spacing w:val="-22"/>
          <w:w w:val="115"/>
        </w:rPr>
        <w:t> </w:t>
      </w:r>
      <w:r>
        <w:rPr>
          <w:w w:val="115"/>
        </w:rPr>
        <w:t>re- </w:t>
      </w:r>
      <w:r>
        <w:rPr>
          <w:w w:val="110"/>
        </w:rPr>
        <w:t>ferentes endógenos y</w:t>
      </w:r>
      <w:r>
        <w:rPr>
          <w:spacing w:val="-15"/>
          <w:w w:val="110"/>
        </w:rPr>
        <w:t> </w:t>
      </w:r>
      <w:r>
        <w:rPr>
          <w:w w:val="110"/>
        </w:rPr>
        <w:t>externos.</w:t>
      </w:r>
    </w:p>
    <w:p>
      <w:pPr>
        <w:pStyle w:val="BodyText"/>
        <w:spacing w:line="252" w:lineRule="auto"/>
        <w:ind w:left="100" w:right="328" w:firstLine="396"/>
        <w:jc w:val="both"/>
      </w:pPr>
      <w:r>
        <w:rPr>
          <w:w w:val="110"/>
        </w:rPr>
        <w:t>He aquí un núcleo fundamental de discusión en la perspectiva del mandato </w:t>
      </w:r>
      <w:r>
        <w:rPr>
          <w:spacing w:val="-3"/>
          <w:w w:val="110"/>
        </w:rPr>
        <w:t>popular, </w:t>
      </w:r>
      <w:r>
        <w:rPr>
          <w:w w:val="110"/>
        </w:rPr>
        <w:t>que vuelve a situar la distinción entre gobierno y Estado, el proceso que supone ganar elecciones y a la vez transformar el </w:t>
      </w:r>
      <w:r>
        <w:rPr>
          <w:spacing w:val="-4"/>
          <w:w w:val="110"/>
        </w:rPr>
        <w:t>poder. </w:t>
      </w:r>
      <w:r>
        <w:rPr>
          <w:w w:val="110"/>
        </w:rPr>
        <w:t>un colosal desafío  vigente  en  la  política  latinoamericana. En la trayectoria de esa discusión, que se encuentra abierta, destaca  la sugerente proposición de boaventura de sousa santos para enten- </w:t>
      </w:r>
      <w:r>
        <w:rPr>
          <w:w w:val="106"/>
        </w:rPr>
        <w:t>der</w:t>
      </w:r>
      <w:r>
        <w:rPr>
          <w:spacing w:val="19"/>
        </w:rPr>
        <w:t> </w:t>
      </w:r>
      <w:r>
        <w:rPr>
          <w:w w:val="114"/>
        </w:rPr>
        <w:t>cómo,</w:t>
      </w:r>
      <w:r>
        <w:rPr>
          <w:spacing w:val="19"/>
        </w:rPr>
        <w:t> </w:t>
      </w:r>
      <w:r>
        <w:rPr>
          <w:w w:val="107"/>
        </w:rPr>
        <w:t>de</w:t>
      </w:r>
      <w:r>
        <w:rPr>
          <w:spacing w:val="19"/>
        </w:rPr>
        <w:t> </w:t>
      </w:r>
      <w:r>
        <w:rPr>
          <w:w w:val="110"/>
        </w:rPr>
        <w:t>acuerdo</w:t>
      </w:r>
      <w:r>
        <w:rPr>
          <w:spacing w:val="19"/>
        </w:rPr>
        <w:t> </w:t>
      </w:r>
      <w:r>
        <w:rPr>
          <w:w w:val="112"/>
        </w:rPr>
        <w:t>con</w:t>
      </w:r>
      <w:r>
        <w:rPr>
          <w:spacing w:val="19"/>
        </w:rPr>
        <w:t> </w:t>
      </w:r>
      <w:r>
        <w:rPr>
          <w:w w:val="111"/>
        </w:rPr>
        <w:t>la</w:t>
      </w:r>
      <w:r>
        <w:rPr>
          <w:spacing w:val="19"/>
        </w:rPr>
        <w:t> </w:t>
      </w:r>
      <w:r>
        <w:rPr>
          <w:w w:val="109"/>
        </w:rPr>
        <w:t>experiencia</w:t>
      </w:r>
      <w:r>
        <w:rPr>
          <w:spacing w:val="19"/>
        </w:rPr>
        <w:t> </w:t>
      </w:r>
      <w:r>
        <w:rPr>
          <w:w w:val="108"/>
        </w:rPr>
        <w:t>reciente</w:t>
      </w:r>
      <w:r>
        <w:rPr>
          <w:spacing w:val="19"/>
        </w:rPr>
        <w:t> </w:t>
      </w:r>
      <w:r>
        <w:rPr>
          <w:w w:val="107"/>
        </w:rPr>
        <w:t>de</w:t>
      </w:r>
      <w:r>
        <w:rPr>
          <w:spacing w:val="19"/>
        </w:rPr>
        <w:t> </w:t>
      </w:r>
      <w:r>
        <w:rPr>
          <w:w w:val="139"/>
        </w:rPr>
        <w:t>a</w:t>
      </w:r>
      <w:r>
        <w:rPr>
          <w:w w:val="111"/>
        </w:rPr>
        <w:t>mérica</w:t>
      </w:r>
      <w:r>
        <w:rPr>
          <w:spacing w:val="19"/>
        </w:rPr>
        <w:t> </w:t>
      </w:r>
      <w:r>
        <w:rPr>
          <w:w w:val="243"/>
        </w:rPr>
        <w:t>l</w:t>
      </w:r>
      <w:r>
        <w:rPr>
          <w:w w:val="113"/>
        </w:rPr>
        <w:t>atina, </w:t>
      </w:r>
      <w:r>
        <w:rPr>
          <w:w w:val="110"/>
        </w:rPr>
        <w:t>se puede “hacer con éxito un uso contrahegemónico de instrumentos políticos hegemónicos” (2010: 58). El tema en su ámbito sustantivo supone hacer avanzar la democracia profundizando la democratiza- ción alcanzada, más allá de los límites de las políticas neoliberales avaladas</w:t>
      </w:r>
      <w:r>
        <w:rPr>
          <w:spacing w:val="15"/>
          <w:w w:val="110"/>
        </w:rPr>
        <w:t> </w:t>
      </w:r>
      <w:r>
        <w:rPr>
          <w:w w:val="110"/>
        </w:rPr>
        <w:t>por</w:t>
      </w:r>
      <w:r>
        <w:rPr>
          <w:spacing w:val="15"/>
          <w:w w:val="110"/>
        </w:rPr>
        <w:t> </w:t>
      </w:r>
      <w:r>
        <w:rPr>
          <w:w w:val="110"/>
        </w:rPr>
        <w:t>el</w:t>
      </w:r>
      <w:r>
        <w:rPr>
          <w:spacing w:val="15"/>
          <w:w w:val="110"/>
        </w:rPr>
        <w:t> </w:t>
      </w:r>
      <w:r>
        <w:rPr>
          <w:w w:val="110"/>
        </w:rPr>
        <w:t>Estado.</w:t>
      </w:r>
      <w:r>
        <w:rPr>
          <w:spacing w:val="15"/>
          <w:w w:val="110"/>
        </w:rPr>
        <w:t> </w:t>
      </w:r>
      <w:r>
        <w:rPr>
          <w:w w:val="110"/>
        </w:rPr>
        <w:t>aquí</w:t>
      </w:r>
      <w:r>
        <w:rPr>
          <w:spacing w:val="15"/>
          <w:w w:val="110"/>
        </w:rPr>
        <w:t> </w:t>
      </w:r>
      <w:r>
        <w:rPr>
          <w:w w:val="110"/>
        </w:rPr>
        <w:t>radica</w:t>
      </w:r>
      <w:r>
        <w:rPr>
          <w:spacing w:val="15"/>
          <w:w w:val="110"/>
        </w:rPr>
        <w:t> </w:t>
      </w:r>
      <w:r>
        <w:rPr>
          <w:w w:val="110"/>
        </w:rPr>
        <w:t>un</w:t>
      </w:r>
      <w:r>
        <w:rPr>
          <w:spacing w:val="15"/>
          <w:w w:val="110"/>
        </w:rPr>
        <w:t> </w:t>
      </w:r>
      <w:r>
        <w:rPr>
          <w:w w:val="110"/>
        </w:rPr>
        <w:t>punto</w:t>
      </w:r>
      <w:r>
        <w:rPr>
          <w:spacing w:val="15"/>
          <w:w w:val="110"/>
        </w:rPr>
        <w:t> </w:t>
      </w:r>
      <w:r>
        <w:rPr>
          <w:w w:val="110"/>
        </w:rPr>
        <w:t>nodal</w:t>
      </w:r>
      <w:r>
        <w:rPr>
          <w:spacing w:val="15"/>
          <w:w w:val="110"/>
        </w:rPr>
        <w:t> </w:t>
      </w:r>
      <w:r>
        <w:rPr>
          <w:w w:val="110"/>
        </w:rPr>
        <w:t>de</w:t>
      </w:r>
      <w:r>
        <w:rPr>
          <w:spacing w:val="15"/>
          <w:w w:val="110"/>
        </w:rPr>
        <w:t> </w:t>
      </w:r>
      <w:r>
        <w:rPr>
          <w:w w:val="110"/>
        </w:rPr>
        <w:t>la</w:t>
      </w:r>
      <w:r>
        <w:rPr>
          <w:spacing w:val="15"/>
          <w:w w:val="110"/>
        </w:rPr>
        <w:t> </w:t>
      </w:r>
      <w:r>
        <w:rPr>
          <w:w w:val="110"/>
        </w:rPr>
        <w:t>política.</w:t>
      </w:r>
    </w:p>
    <w:p>
      <w:pPr>
        <w:pStyle w:val="BodyText"/>
        <w:spacing w:line="252" w:lineRule="auto"/>
        <w:ind w:left="100" w:right="327" w:firstLine="396"/>
        <w:jc w:val="both"/>
      </w:pPr>
      <w:r>
        <w:rPr>
          <w:w w:val="110"/>
        </w:rPr>
        <w:t>El reconocer en este juego de tendencias y contratendencias la parte benéfica que se viene configurando en el escenario político re- gional, en favor de la democracia, la soberanía y la posibilidad de articular intereses populares en la acción gubernamental y estatal, </w:t>
      </w:r>
      <w:r>
        <w:rPr>
          <w:spacing w:val="1"/>
          <w:w w:val="111"/>
        </w:rPr>
        <w:t>n</w:t>
      </w:r>
      <w:r>
        <w:rPr>
          <w:w w:val="111"/>
        </w:rPr>
        <w:t>o</w:t>
      </w:r>
      <w:r>
        <w:rPr/>
        <w:t> </w:t>
      </w:r>
      <w:r>
        <w:rPr>
          <w:spacing w:val="-8"/>
        </w:rPr>
        <w:t> </w:t>
      </w:r>
      <w:r>
        <w:rPr>
          <w:spacing w:val="1"/>
          <w:w w:val="105"/>
        </w:rPr>
        <w:t>e</w:t>
      </w:r>
      <w:r>
        <w:rPr>
          <w:w w:val="105"/>
        </w:rPr>
        <w:t>s</w:t>
      </w:r>
      <w:r>
        <w:rPr/>
        <w:t> </w:t>
      </w:r>
      <w:r>
        <w:rPr>
          <w:spacing w:val="-8"/>
        </w:rPr>
        <w:t> </w:t>
      </w:r>
      <w:r>
        <w:rPr>
          <w:spacing w:val="1"/>
          <w:w w:val="106"/>
        </w:rPr>
        <w:t>desd</w:t>
      </w:r>
      <w:r>
        <w:rPr>
          <w:w w:val="106"/>
        </w:rPr>
        <w:t>e</w:t>
      </w:r>
      <w:r>
        <w:rPr/>
        <w:t> </w:t>
      </w:r>
      <w:r>
        <w:rPr>
          <w:spacing w:val="-8"/>
        </w:rPr>
        <w:t> </w:t>
      </w:r>
      <w:r>
        <w:rPr>
          <w:spacing w:val="1"/>
          <w:w w:val="110"/>
        </w:rPr>
        <w:t>lueg</w:t>
      </w:r>
      <w:r>
        <w:rPr>
          <w:w w:val="110"/>
        </w:rPr>
        <w:t>o</w:t>
      </w:r>
      <w:r>
        <w:rPr/>
        <w:t> </w:t>
      </w:r>
      <w:r>
        <w:rPr>
          <w:spacing w:val="-8"/>
        </w:rPr>
        <w:t> </w:t>
      </w:r>
      <w:r>
        <w:rPr>
          <w:spacing w:val="1"/>
          <w:w w:val="109"/>
        </w:rPr>
        <w:t>par</w:t>
      </w:r>
      <w:r>
        <w:rPr>
          <w:w w:val="109"/>
        </w:rPr>
        <w:t>a</w:t>
      </w:r>
      <w:r>
        <w:rPr/>
        <w:t> </w:t>
      </w:r>
      <w:r>
        <w:rPr>
          <w:spacing w:val="-8"/>
        </w:rPr>
        <w:t> </w:t>
      </w:r>
      <w:r>
        <w:rPr>
          <w:spacing w:val="1"/>
          <w:w w:val="110"/>
        </w:rPr>
        <w:t>saca</w:t>
      </w:r>
      <w:r>
        <w:rPr>
          <w:w w:val="110"/>
        </w:rPr>
        <w:t>r</w:t>
      </w:r>
      <w:r>
        <w:rPr/>
        <w:t> </w:t>
      </w:r>
      <w:r>
        <w:rPr>
          <w:spacing w:val="-8"/>
        </w:rPr>
        <w:t> </w:t>
      </w:r>
      <w:r>
        <w:rPr>
          <w:spacing w:val="1"/>
          <w:w w:val="110"/>
        </w:rPr>
        <w:t>cuenta</w:t>
      </w:r>
      <w:r>
        <w:rPr>
          <w:w w:val="110"/>
        </w:rPr>
        <w:t>s</w:t>
      </w:r>
      <w:r>
        <w:rPr/>
        <w:t> </w:t>
      </w:r>
      <w:r>
        <w:rPr>
          <w:spacing w:val="-8"/>
        </w:rPr>
        <w:t> </w:t>
      </w:r>
      <w:r>
        <w:rPr>
          <w:spacing w:val="1"/>
          <w:w w:val="109"/>
        </w:rPr>
        <w:t>alegres</w:t>
      </w:r>
      <w:r>
        <w:rPr>
          <w:w w:val="109"/>
        </w:rPr>
        <w:t>.</w:t>
      </w:r>
      <w:r>
        <w:rPr/>
        <w:t> </w:t>
      </w:r>
      <w:r>
        <w:rPr>
          <w:spacing w:val="-8"/>
        </w:rPr>
        <w:t> </w:t>
      </w:r>
      <w:r>
        <w:rPr>
          <w:spacing w:val="1"/>
          <w:w w:val="243"/>
        </w:rPr>
        <w:t>l</w:t>
      </w:r>
      <w:r>
        <w:rPr>
          <w:w w:val="112"/>
        </w:rPr>
        <w:t>a</w:t>
      </w:r>
      <w:r>
        <w:rPr/>
        <w:t> </w:t>
      </w:r>
      <w:r>
        <w:rPr>
          <w:spacing w:val="-8"/>
        </w:rPr>
        <w:t> </w:t>
      </w:r>
      <w:r>
        <w:rPr>
          <w:spacing w:val="1"/>
          <w:w w:val="108"/>
        </w:rPr>
        <w:t>heterogéne</w:t>
      </w:r>
      <w:r>
        <w:rPr>
          <w:w w:val="108"/>
        </w:rPr>
        <w:t>a</w:t>
      </w:r>
      <w:r>
        <w:rPr/>
        <w:t> </w:t>
      </w:r>
      <w:r>
        <w:rPr>
          <w:spacing w:val="-8"/>
        </w:rPr>
        <w:t> </w:t>
      </w:r>
      <w:r>
        <w:rPr>
          <w:spacing w:val="1"/>
          <w:w w:val="109"/>
        </w:rPr>
        <w:t>op</w:t>
      </w:r>
      <w:r>
        <w:rPr>
          <w:spacing w:val="2"/>
          <w:w w:val="109"/>
        </w:rPr>
        <w:t>o</w:t>
      </w:r>
      <w:r>
        <w:rPr>
          <w:w w:val="102"/>
        </w:rPr>
        <w:t>- </w:t>
      </w:r>
      <w:r>
        <w:rPr>
          <w:w w:val="110"/>
        </w:rPr>
        <w:t>sición al neoliberalismo, como modelo de desarrollo, no implica en todos los casos un cuestionamiento al  sistema  de  dominación  con sus soportes internos y externos. Este es un debate que concierne </w:t>
      </w:r>
      <w:r>
        <w:rPr>
          <w:w w:val="112"/>
        </w:rPr>
        <w:t>a</w:t>
      </w:r>
      <w:r>
        <w:rPr/>
        <w:t> </w:t>
      </w:r>
      <w:r>
        <w:rPr>
          <w:spacing w:val="6"/>
        </w:rPr>
        <w:t> </w:t>
      </w:r>
      <w:r>
        <w:rPr>
          <w:spacing w:val="1"/>
          <w:w w:val="111"/>
        </w:rPr>
        <w:t>l</w:t>
      </w:r>
      <w:r>
        <w:rPr>
          <w:w w:val="111"/>
        </w:rPr>
        <w:t>a</w:t>
      </w:r>
      <w:r>
        <w:rPr/>
        <w:t> </w:t>
      </w:r>
      <w:r>
        <w:rPr>
          <w:spacing w:val="6"/>
        </w:rPr>
        <w:t> </w:t>
      </w:r>
      <w:r>
        <w:rPr>
          <w:spacing w:val="1"/>
          <w:w w:val="110"/>
        </w:rPr>
        <w:t>problemátic</w:t>
      </w:r>
      <w:r>
        <w:rPr>
          <w:w w:val="110"/>
        </w:rPr>
        <w:t>a</w:t>
      </w:r>
      <w:r>
        <w:rPr/>
        <w:t> </w:t>
      </w:r>
      <w:r>
        <w:rPr>
          <w:spacing w:val="6"/>
        </w:rPr>
        <w:t> </w:t>
      </w:r>
      <w:r>
        <w:rPr>
          <w:spacing w:val="1"/>
          <w:w w:val="107"/>
        </w:rPr>
        <w:t>d</w:t>
      </w:r>
      <w:r>
        <w:rPr>
          <w:w w:val="107"/>
        </w:rPr>
        <w:t>e</w:t>
      </w:r>
      <w:r>
        <w:rPr/>
        <w:t> </w:t>
      </w:r>
      <w:r>
        <w:rPr>
          <w:spacing w:val="6"/>
        </w:rPr>
        <w:t> </w:t>
      </w:r>
      <w:r>
        <w:rPr>
          <w:spacing w:val="1"/>
          <w:w w:val="109"/>
        </w:rPr>
        <w:t>la</w:t>
      </w:r>
      <w:r>
        <w:rPr>
          <w:w w:val="109"/>
        </w:rPr>
        <w:t>s</w:t>
      </w:r>
      <w:r>
        <w:rPr/>
        <w:t> </w:t>
      </w:r>
      <w:r>
        <w:rPr>
          <w:spacing w:val="6"/>
        </w:rPr>
        <w:t> </w:t>
      </w:r>
      <w:r>
        <w:rPr>
          <w:spacing w:val="1"/>
          <w:w w:val="109"/>
        </w:rPr>
        <w:t>alternativas</w:t>
      </w:r>
      <w:r>
        <w:rPr>
          <w:w w:val="109"/>
        </w:rPr>
        <w:t>.</w:t>
      </w:r>
      <w:r>
        <w:rPr/>
        <w:t> </w:t>
      </w:r>
      <w:r>
        <w:rPr>
          <w:spacing w:val="6"/>
        </w:rPr>
        <w:t> </w:t>
      </w:r>
      <w:r>
        <w:rPr>
          <w:spacing w:val="1"/>
          <w:w w:val="243"/>
        </w:rPr>
        <w:t>l</w:t>
      </w:r>
      <w:r>
        <w:rPr>
          <w:spacing w:val="1"/>
          <w:w w:val="108"/>
        </w:rPr>
        <w:t>o</w:t>
      </w:r>
      <w:r>
        <w:rPr>
          <w:w w:val="108"/>
        </w:rPr>
        <w:t>s</w:t>
      </w:r>
      <w:r>
        <w:rPr/>
        <w:t> </w:t>
      </w:r>
      <w:r>
        <w:rPr>
          <w:spacing w:val="6"/>
        </w:rPr>
        <w:t> </w:t>
      </w:r>
      <w:r>
        <w:rPr>
          <w:spacing w:val="1"/>
          <w:w w:val="108"/>
        </w:rPr>
        <w:t>golpe</w:t>
      </w:r>
      <w:r>
        <w:rPr>
          <w:w w:val="108"/>
        </w:rPr>
        <w:t>s</w:t>
      </w:r>
      <w:r>
        <w:rPr/>
        <w:t> </w:t>
      </w:r>
      <w:r>
        <w:rPr>
          <w:spacing w:val="6"/>
        </w:rPr>
        <w:t> </w:t>
      </w:r>
      <w:r>
        <w:rPr>
          <w:spacing w:val="1"/>
          <w:w w:val="107"/>
        </w:rPr>
        <w:t>d</w:t>
      </w:r>
      <w:r>
        <w:rPr>
          <w:w w:val="107"/>
        </w:rPr>
        <w:t>e</w:t>
      </w:r>
      <w:r>
        <w:rPr/>
        <w:t> </w:t>
      </w:r>
      <w:r>
        <w:rPr>
          <w:spacing w:val="6"/>
        </w:rPr>
        <w:t> </w:t>
      </w:r>
      <w:r>
        <w:rPr>
          <w:spacing w:val="1"/>
          <w:w w:val="112"/>
        </w:rPr>
        <w:t>Estad</w:t>
      </w:r>
      <w:r>
        <w:rPr>
          <w:w w:val="112"/>
        </w:rPr>
        <w:t>o</w:t>
      </w:r>
      <w:r>
        <w:rPr/>
        <w:t> </w:t>
      </w:r>
      <w:r>
        <w:rPr>
          <w:spacing w:val="6"/>
        </w:rPr>
        <w:t> </w:t>
      </w:r>
      <w:r>
        <w:rPr>
          <w:spacing w:val="1"/>
          <w:w w:val="112"/>
        </w:rPr>
        <w:t>como </w:t>
      </w:r>
      <w:r>
        <w:rPr>
          <w:w w:val="110"/>
        </w:rPr>
        <w:t>en Venezuela (2002), Honduras (2009) y el “golpe parlamentario” </w:t>
      </w:r>
      <w:r>
        <w:rPr>
          <w:spacing w:val="1"/>
          <w:w w:val="108"/>
        </w:rPr>
        <w:t>qu</w:t>
      </w:r>
      <w:r>
        <w:rPr>
          <w:w w:val="108"/>
        </w:rPr>
        <w:t>e</w:t>
      </w:r>
      <w:r>
        <w:rPr>
          <w:spacing w:val="13"/>
        </w:rPr>
        <w:t> </w:t>
      </w:r>
      <w:r>
        <w:rPr>
          <w:spacing w:val="1"/>
          <w:w w:val="113"/>
        </w:rPr>
        <w:t>culmin</w:t>
      </w:r>
      <w:r>
        <w:rPr>
          <w:w w:val="113"/>
        </w:rPr>
        <w:t>a</w:t>
      </w:r>
      <w:r>
        <w:rPr>
          <w:spacing w:val="13"/>
        </w:rPr>
        <w:t> </w:t>
      </w:r>
      <w:r>
        <w:rPr>
          <w:spacing w:val="1"/>
          <w:w w:val="112"/>
        </w:rPr>
        <w:t>co</w:t>
      </w:r>
      <w:r>
        <w:rPr>
          <w:w w:val="112"/>
        </w:rPr>
        <w:t>n</w:t>
      </w:r>
      <w:r>
        <w:rPr>
          <w:spacing w:val="13"/>
        </w:rPr>
        <w:t> </w:t>
      </w:r>
      <w:r>
        <w:rPr>
          <w:spacing w:val="1"/>
          <w:w w:val="111"/>
        </w:rPr>
        <w:t>l</w:t>
      </w:r>
      <w:r>
        <w:rPr>
          <w:w w:val="111"/>
        </w:rPr>
        <w:t>a</w:t>
      </w:r>
      <w:r>
        <w:rPr>
          <w:spacing w:val="13"/>
        </w:rPr>
        <w:t> </w:t>
      </w:r>
      <w:r>
        <w:rPr>
          <w:spacing w:val="1"/>
          <w:w w:val="110"/>
        </w:rPr>
        <w:t>destitució</w:t>
      </w:r>
      <w:r>
        <w:rPr>
          <w:w w:val="110"/>
        </w:rPr>
        <w:t>n</w:t>
      </w:r>
      <w:r>
        <w:rPr>
          <w:spacing w:val="13"/>
        </w:rPr>
        <w:t> </w:t>
      </w:r>
      <w:r>
        <w:rPr>
          <w:spacing w:val="1"/>
          <w:w w:val="107"/>
        </w:rPr>
        <w:t>de</w:t>
      </w:r>
      <w:r>
        <w:rPr>
          <w:w w:val="107"/>
        </w:rPr>
        <w:t>l</w:t>
      </w:r>
      <w:r>
        <w:rPr>
          <w:spacing w:val="13"/>
        </w:rPr>
        <w:t> </w:t>
      </w:r>
      <w:r>
        <w:rPr>
          <w:spacing w:val="1"/>
          <w:w w:val="107"/>
        </w:rPr>
        <w:t>president</w:t>
      </w:r>
      <w:r>
        <w:rPr>
          <w:w w:val="107"/>
        </w:rPr>
        <w:t>e</w:t>
      </w:r>
      <w:r>
        <w:rPr>
          <w:spacing w:val="13"/>
        </w:rPr>
        <w:t> </w:t>
      </w:r>
      <w:r>
        <w:rPr>
          <w:spacing w:val="1"/>
          <w:w w:val="110"/>
        </w:rPr>
        <w:t>Fernand</w:t>
      </w:r>
      <w:r>
        <w:rPr>
          <w:w w:val="110"/>
        </w:rPr>
        <w:t>o</w:t>
      </w:r>
      <w:r>
        <w:rPr>
          <w:spacing w:val="13"/>
        </w:rPr>
        <w:t> </w:t>
      </w:r>
      <w:r>
        <w:rPr>
          <w:spacing w:val="1"/>
          <w:w w:val="243"/>
        </w:rPr>
        <w:t>l</w:t>
      </w:r>
      <w:r>
        <w:rPr>
          <w:spacing w:val="1"/>
          <w:w w:val="111"/>
        </w:rPr>
        <w:t>ug</w:t>
      </w:r>
      <w:r>
        <w:rPr>
          <w:w w:val="111"/>
        </w:rPr>
        <w:t>o</w:t>
      </w:r>
      <w:r>
        <w:rPr>
          <w:spacing w:val="13"/>
        </w:rPr>
        <w:t> </w:t>
      </w:r>
      <w:r>
        <w:rPr>
          <w:spacing w:val="1"/>
          <w:w w:val="108"/>
        </w:rPr>
        <w:t>e</w:t>
      </w:r>
      <w:r>
        <w:rPr>
          <w:w w:val="108"/>
        </w:rPr>
        <w:t>n</w:t>
      </w:r>
      <w:r>
        <w:rPr>
          <w:spacing w:val="13"/>
        </w:rPr>
        <w:t> </w:t>
      </w:r>
      <w:r>
        <w:rPr>
          <w:spacing w:val="1"/>
          <w:w w:val="112"/>
        </w:rPr>
        <w:t>P</w:t>
      </w:r>
      <w:r>
        <w:rPr>
          <w:spacing w:val="2"/>
          <w:w w:val="112"/>
        </w:rPr>
        <w:t>a</w:t>
      </w:r>
      <w:r>
        <w:rPr>
          <w:w w:val="102"/>
        </w:rPr>
        <w:t>- </w:t>
      </w:r>
      <w:r>
        <w:rPr>
          <w:w w:val="110"/>
        </w:rPr>
        <w:t>raguay (2012), las agudas políticas de desestabilización o intentos    de golpes, como en bolivia (2008) y Ecuador (2010), son páginas recientes de agresión y resistencia. aunque en registros distintos, aquella misma voluntad de revertir los procesos de cambio puede ad- </w:t>
      </w:r>
      <w:r>
        <w:rPr>
          <w:spacing w:val="1"/>
          <w:w w:val="105"/>
        </w:rPr>
        <w:t>vertirs</w:t>
      </w:r>
      <w:r>
        <w:rPr>
          <w:w w:val="105"/>
        </w:rPr>
        <w:t>e</w:t>
      </w:r>
      <w:r>
        <w:rPr>
          <w:spacing w:val="17"/>
        </w:rPr>
        <w:t> </w:t>
      </w:r>
      <w:r>
        <w:rPr>
          <w:spacing w:val="1"/>
          <w:w w:val="108"/>
        </w:rPr>
        <w:t>e</w:t>
      </w:r>
      <w:r>
        <w:rPr>
          <w:w w:val="108"/>
        </w:rPr>
        <w:t>n</w:t>
      </w:r>
      <w:r>
        <w:rPr>
          <w:spacing w:val="17"/>
        </w:rPr>
        <w:t> </w:t>
      </w:r>
      <w:r>
        <w:rPr>
          <w:spacing w:val="1"/>
          <w:w w:val="134"/>
        </w:rPr>
        <w:t>b</w:t>
      </w:r>
      <w:r>
        <w:rPr>
          <w:spacing w:val="1"/>
          <w:w w:val="109"/>
        </w:rPr>
        <w:t>rasi</w:t>
      </w:r>
      <w:r>
        <w:rPr>
          <w:w w:val="109"/>
        </w:rPr>
        <w:t>l</w:t>
      </w:r>
      <w:r>
        <w:rPr>
          <w:spacing w:val="17"/>
        </w:rPr>
        <w:t> </w:t>
      </w:r>
      <w:r>
        <w:rPr>
          <w:w w:val="105"/>
        </w:rPr>
        <w:t>y</w:t>
      </w:r>
      <w:r>
        <w:rPr>
          <w:spacing w:val="17"/>
        </w:rPr>
        <w:t> </w:t>
      </w:r>
      <w:r>
        <w:rPr>
          <w:spacing w:val="1"/>
          <w:w w:val="139"/>
        </w:rPr>
        <w:t>a</w:t>
      </w:r>
      <w:r>
        <w:rPr>
          <w:spacing w:val="1"/>
          <w:w w:val="111"/>
        </w:rPr>
        <w:t>rgentina</w:t>
      </w:r>
      <w:r>
        <w:rPr>
          <w:w w:val="111"/>
        </w:rPr>
        <w:t>.</w:t>
      </w:r>
      <w:r>
        <w:rPr>
          <w:spacing w:val="17"/>
        </w:rPr>
        <w:t> </w:t>
      </w:r>
      <w:r>
        <w:rPr>
          <w:spacing w:val="1"/>
          <w:w w:val="243"/>
        </w:rPr>
        <w:t>l</w:t>
      </w:r>
      <w:r>
        <w:rPr>
          <w:w w:val="112"/>
        </w:rPr>
        <w:t>a</w:t>
      </w:r>
      <w:r>
        <w:rPr>
          <w:spacing w:val="17"/>
        </w:rPr>
        <w:t> </w:t>
      </w:r>
      <w:r>
        <w:rPr>
          <w:spacing w:val="1"/>
          <w:w w:val="111"/>
        </w:rPr>
        <w:t>llamad</w:t>
      </w:r>
      <w:r>
        <w:rPr>
          <w:w w:val="111"/>
        </w:rPr>
        <w:t>a</w:t>
      </w:r>
      <w:r>
        <w:rPr>
          <w:spacing w:val="17"/>
        </w:rPr>
        <w:t> </w:t>
      </w:r>
      <w:r>
        <w:rPr>
          <w:spacing w:val="1"/>
          <w:w w:val="109"/>
        </w:rPr>
        <w:t>“guerr</w:t>
      </w:r>
      <w:r>
        <w:rPr>
          <w:w w:val="109"/>
        </w:rPr>
        <w:t>a</w:t>
      </w:r>
      <w:r>
        <w:rPr>
          <w:spacing w:val="17"/>
        </w:rPr>
        <w:t> </w:t>
      </w:r>
      <w:r>
        <w:rPr>
          <w:spacing w:val="1"/>
          <w:w w:val="107"/>
        </w:rPr>
        <w:t>d</w:t>
      </w:r>
      <w:r>
        <w:rPr>
          <w:w w:val="107"/>
        </w:rPr>
        <w:t>e</w:t>
      </w:r>
      <w:r>
        <w:rPr>
          <w:spacing w:val="17"/>
        </w:rPr>
        <w:t> </w:t>
      </w:r>
      <w:r>
        <w:rPr>
          <w:spacing w:val="1"/>
          <w:w w:val="112"/>
        </w:rPr>
        <w:t>últim</w:t>
      </w:r>
      <w:r>
        <w:rPr>
          <w:w w:val="112"/>
        </w:rPr>
        <w:t>a</w:t>
      </w:r>
      <w:r>
        <w:rPr>
          <w:spacing w:val="17"/>
        </w:rPr>
        <w:t> </w:t>
      </w:r>
      <w:r>
        <w:rPr>
          <w:spacing w:val="1"/>
          <w:w w:val="108"/>
        </w:rPr>
        <w:t>genera</w:t>
      </w:r>
      <w:r>
        <w:rPr>
          <w:w w:val="102"/>
        </w:rPr>
        <w:t>- </w:t>
      </w:r>
      <w:r>
        <w:rPr>
          <w:w w:val="110"/>
        </w:rPr>
        <w:t>ción”, conceptualizada en el diseño estratégico del Pentágono tiene   en el escenario venezolano su campo de experimentación inmediato. sus instrumentos multiformes, convencionales y  no  convenciona-  les, convergen en la aplicación de una renovada ofensiva contra el gobierno de Caracas que busca el derrocamiento de su presidente, como parte de la estrategia de retrotraer todos los avances que se</w:t>
      </w:r>
      <w:r>
        <w:rPr>
          <w:spacing w:val="35"/>
          <w:w w:val="110"/>
        </w:rPr>
        <w:t> </w:t>
      </w:r>
      <w:r>
        <w:rPr>
          <w:w w:val="110"/>
        </w:rPr>
        <w:t>re-</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41"/>
      </w:pPr>
      <w:r>
        <w:rPr>
          <w:w w:val="110"/>
        </w:rPr>
        <w:t>gistran en la proyección de gobiernos que se instalan sin la anuencia del  departamento  de  Estado norteamericano.</w:t>
      </w:r>
    </w:p>
    <w:p>
      <w:pPr>
        <w:pStyle w:val="BodyText"/>
        <w:spacing w:line="252" w:lineRule="auto"/>
        <w:ind w:left="330" w:right="118" w:firstLine="396"/>
        <w:jc w:val="both"/>
      </w:pPr>
      <w:r>
        <w:rPr>
          <w:spacing w:val="-3"/>
          <w:w w:val="110"/>
        </w:rPr>
        <w:t>tampoco, </w:t>
      </w:r>
      <w:r>
        <w:rPr>
          <w:w w:val="110"/>
        </w:rPr>
        <w:t>de otro lado, parece conveniente alimentar expecta- tivas desmedidas con relación a los recambios gubernamentales en   el sistema político norteamericano. aquella idea de “buscar a los te- rroristas en cada rincón del planeta” no ha sido reemplazada por la </w:t>
      </w:r>
      <w:r>
        <w:rPr>
          <w:w w:val="139"/>
        </w:rPr>
        <w:t>a</w:t>
      </w:r>
      <w:r>
        <w:rPr>
          <w:w w:val="111"/>
        </w:rPr>
        <w:t>dministración</w:t>
      </w:r>
      <w:r>
        <w:rPr>
          <w:spacing w:val="15"/>
        </w:rPr>
        <w:t> </w:t>
      </w:r>
      <w:r>
        <w:rPr>
          <w:w w:val="111"/>
        </w:rPr>
        <w:t>demócrata.</w:t>
      </w:r>
      <w:r>
        <w:rPr>
          <w:spacing w:val="15"/>
        </w:rPr>
        <w:t> </w:t>
      </w:r>
      <w:r>
        <w:rPr>
          <w:w w:val="243"/>
        </w:rPr>
        <w:t>l</w:t>
      </w:r>
      <w:r>
        <w:rPr>
          <w:w w:val="112"/>
        </w:rPr>
        <w:t>a</w:t>
      </w:r>
      <w:r>
        <w:rPr>
          <w:spacing w:val="15"/>
        </w:rPr>
        <w:t> </w:t>
      </w:r>
      <w:r>
        <w:rPr>
          <w:w w:val="109"/>
        </w:rPr>
        <w:t>expansión</w:t>
      </w:r>
      <w:r>
        <w:rPr>
          <w:spacing w:val="15"/>
        </w:rPr>
        <w:t> </w:t>
      </w:r>
      <w:r>
        <w:rPr>
          <w:w w:val="107"/>
        </w:rPr>
        <w:t>de</w:t>
      </w:r>
      <w:r>
        <w:rPr>
          <w:spacing w:val="15"/>
        </w:rPr>
        <w:t> </w:t>
      </w:r>
      <w:r>
        <w:rPr>
          <w:w w:val="109"/>
        </w:rPr>
        <w:t>las</w:t>
      </w:r>
      <w:r>
        <w:rPr>
          <w:spacing w:val="15"/>
        </w:rPr>
        <w:t> </w:t>
      </w:r>
      <w:r>
        <w:rPr>
          <w:w w:val="110"/>
        </w:rPr>
        <w:t>bases,</w:t>
      </w:r>
      <w:r>
        <w:rPr>
          <w:spacing w:val="15"/>
        </w:rPr>
        <w:t> </w:t>
      </w:r>
      <w:r>
        <w:rPr>
          <w:w w:val="110"/>
        </w:rPr>
        <w:t>misiones</w:t>
      </w:r>
      <w:r>
        <w:rPr>
          <w:spacing w:val="15"/>
        </w:rPr>
        <w:t> </w:t>
      </w:r>
      <w:r>
        <w:rPr>
          <w:w w:val="113"/>
        </w:rPr>
        <w:t>mil</w:t>
      </w:r>
      <w:r>
        <w:rPr>
          <w:spacing w:val="-1"/>
          <w:w w:val="113"/>
        </w:rPr>
        <w:t>i</w:t>
      </w:r>
      <w:r>
        <w:rPr>
          <w:w w:val="102"/>
        </w:rPr>
        <w:t>- </w:t>
      </w:r>
      <w:r>
        <w:rPr>
          <w:w w:val="110"/>
        </w:rPr>
        <w:t>tares y sus sistemas de espionaje por todo el mundo son rasgos de</w:t>
      </w:r>
      <w:r>
        <w:rPr>
          <w:spacing w:val="-28"/>
          <w:w w:val="110"/>
        </w:rPr>
        <w:t> </w:t>
      </w:r>
      <w:r>
        <w:rPr>
          <w:w w:val="110"/>
        </w:rPr>
        <w:t>una persistente voluntad atestiguadas por la comunidad internacional. </w:t>
      </w:r>
      <w:r>
        <w:rPr>
          <w:w w:val="149"/>
        </w:rPr>
        <w:t>s</w:t>
      </w:r>
      <w:r>
        <w:rPr>
          <w:w w:val="109"/>
        </w:rPr>
        <w:t>us</w:t>
      </w:r>
      <w:r>
        <w:rPr/>
        <w:t> </w:t>
      </w:r>
      <w:r>
        <w:rPr>
          <w:spacing w:val="-18"/>
        </w:rPr>
        <w:t> </w:t>
      </w:r>
      <w:r>
        <w:rPr>
          <w:w w:val="108"/>
        </w:rPr>
        <w:t>criterios</w:t>
      </w:r>
      <w:r>
        <w:rPr/>
        <w:t> </w:t>
      </w:r>
      <w:r>
        <w:rPr>
          <w:spacing w:val="-18"/>
        </w:rPr>
        <w:t> </w:t>
      </w:r>
      <w:r>
        <w:rPr>
          <w:w w:val="108"/>
        </w:rPr>
        <w:t>estratégicos</w:t>
      </w:r>
      <w:r>
        <w:rPr/>
        <w:t> </w:t>
      </w:r>
      <w:r>
        <w:rPr>
          <w:spacing w:val="-18"/>
        </w:rPr>
        <w:t> </w:t>
      </w:r>
      <w:r>
        <w:rPr>
          <w:w w:val="105"/>
        </w:rPr>
        <w:t>y</w:t>
      </w:r>
      <w:r>
        <w:rPr/>
        <w:t> </w:t>
      </w:r>
      <w:r>
        <w:rPr>
          <w:spacing w:val="-18"/>
        </w:rPr>
        <w:t> </w:t>
      </w:r>
      <w:r>
        <w:rPr>
          <w:w w:val="108"/>
        </w:rPr>
        <w:t>sus</w:t>
      </w:r>
      <w:r>
        <w:rPr/>
        <w:t> </w:t>
      </w:r>
      <w:r>
        <w:rPr>
          <w:spacing w:val="-18"/>
        </w:rPr>
        <w:t> </w:t>
      </w:r>
      <w:r>
        <w:rPr>
          <w:w w:val="108"/>
        </w:rPr>
        <w:t>variantes</w:t>
      </w:r>
      <w:r>
        <w:rPr/>
        <w:t> </w:t>
      </w:r>
      <w:r>
        <w:rPr>
          <w:spacing w:val="-18"/>
        </w:rPr>
        <w:t> </w:t>
      </w:r>
      <w:r>
        <w:rPr>
          <w:w w:val="111"/>
        </w:rPr>
        <w:t>políticas</w:t>
      </w:r>
      <w:r>
        <w:rPr/>
        <w:t> </w:t>
      </w:r>
      <w:r>
        <w:rPr>
          <w:spacing w:val="-18"/>
        </w:rPr>
        <w:t> </w:t>
      </w:r>
      <w:r>
        <w:rPr>
          <w:w w:val="113"/>
        </w:rPr>
        <w:t>hacia</w:t>
      </w:r>
      <w:r>
        <w:rPr/>
        <w:t> </w:t>
      </w:r>
      <w:r>
        <w:rPr>
          <w:spacing w:val="-18"/>
        </w:rPr>
        <w:t> </w:t>
      </w:r>
      <w:r>
        <w:rPr>
          <w:w w:val="139"/>
        </w:rPr>
        <w:t>a</w:t>
      </w:r>
      <w:r>
        <w:rPr>
          <w:w w:val="111"/>
        </w:rPr>
        <w:t>mérica</w:t>
      </w:r>
      <w:r>
        <w:rPr/>
        <w:t> </w:t>
      </w:r>
      <w:r>
        <w:rPr>
          <w:spacing w:val="-18"/>
        </w:rPr>
        <w:t> </w:t>
      </w:r>
      <w:r>
        <w:rPr>
          <w:w w:val="243"/>
        </w:rPr>
        <w:t>l</w:t>
      </w:r>
      <w:r>
        <w:rPr>
          <w:w w:val="112"/>
        </w:rPr>
        <w:t>a</w:t>
      </w:r>
      <w:r>
        <w:rPr>
          <w:w w:val="102"/>
        </w:rPr>
        <w:t>- </w:t>
      </w:r>
      <w:r>
        <w:rPr>
          <w:w w:val="110"/>
        </w:rPr>
        <w:t>tina no cambian de rumbo. Conviene desde todo punto de vista tener en un lugar prioritario de la discusión el hecho de que en la actual correlación de fuerzas, la política de Washington, más allá de su cuota de desprestigio internacional y su crisis económica, conserva la</w:t>
      </w:r>
      <w:r>
        <w:rPr>
          <w:spacing w:val="-25"/>
          <w:w w:val="110"/>
        </w:rPr>
        <w:t> </w:t>
      </w:r>
      <w:r>
        <w:rPr>
          <w:w w:val="110"/>
        </w:rPr>
        <w:t>supre- macía </w:t>
      </w:r>
      <w:r>
        <w:rPr>
          <w:spacing w:val="-3"/>
          <w:w w:val="110"/>
        </w:rPr>
        <w:t>militar, </w:t>
      </w:r>
      <w:r>
        <w:rPr>
          <w:w w:val="110"/>
        </w:rPr>
        <w:t>los instrumentos de coacción económica y financiera internacionales, y una gran capacidad de incidir en las conciencias a través del poderío mediático de que</w:t>
      </w:r>
      <w:r>
        <w:rPr>
          <w:spacing w:val="19"/>
          <w:w w:val="110"/>
        </w:rPr>
        <w:t> </w:t>
      </w:r>
      <w:r>
        <w:rPr>
          <w:w w:val="110"/>
        </w:rPr>
        <w:t>dispone.</w:t>
      </w:r>
    </w:p>
    <w:p>
      <w:pPr>
        <w:pStyle w:val="BodyText"/>
        <w:spacing w:line="252" w:lineRule="auto"/>
        <w:ind w:left="330" w:right="117" w:firstLine="396"/>
        <w:jc w:val="both"/>
      </w:pPr>
      <w:r>
        <w:rPr>
          <w:w w:val="115"/>
        </w:rPr>
        <w:t>En la medida exacta en que estos procesos tienden a modificar </w:t>
      </w:r>
      <w:r>
        <w:rPr>
          <w:w w:val="110"/>
        </w:rPr>
        <w:t>aquella</w:t>
      </w:r>
      <w:r>
        <w:rPr>
          <w:spacing w:val="12"/>
        </w:rPr>
        <w:t> </w:t>
      </w:r>
      <w:r>
        <w:rPr>
          <w:w w:val="111"/>
        </w:rPr>
        <w:t>tradicional</w:t>
      </w:r>
      <w:r>
        <w:rPr>
          <w:spacing w:val="12"/>
        </w:rPr>
        <w:t> </w:t>
      </w:r>
      <w:r>
        <w:rPr>
          <w:w w:val="110"/>
        </w:rPr>
        <w:t>relación</w:t>
      </w:r>
      <w:r>
        <w:rPr>
          <w:spacing w:val="12"/>
        </w:rPr>
        <w:t> </w:t>
      </w:r>
      <w:r>
        <w:rPr>
          <w:w w:val="106"/>
        </w:rPr>
        <w:t>entre</w:t>
      </w:r>
      <w:r>
        <w:rPr>
          <w:spacing w:val="12"/>
        </w:rPr>
        <w:t> </w:t>
      </w:r>
      <w:r>
        <w:rPr>
          <w:w w:val="129"/>
        </w:rPr>
        <w:t>EE.</w:t>
      </w:r>
      <w:r>
        <w:rPr>
          <w:w w:val="140"/>
        </w:rPr>
        <w:t>uu</w:t>
      </w:r>
      <w:r>
        <w:rPr>
          <w:w w:val="138"/>
        </w:rPr>
        <w:t>.</w:t>
      </w:r>
      <w:r>
        <w:rPr>
          <w:spacing w:val="12"/>
        </w:rPr>
        <w:t> </w:t>
      </w:r>
      <w:r>
        <w:rPr>
          <w:w w:val="105"/>
        </w:rPr>
        <w:t>y</w:t>
      </w:r>
      <w:r>
        <w:rPr>
          <w:spacing w:val="12"/>
        </w:rPr>
        <w:t> </w:t>
      </w:r>
      <w:r>
        <w:rPr>
          <w:w w:val="139"/>
        </w:rPr>
        <w:t>a</w:t>
      </w:r>
      <w:r>
        <w:rPr>
          <w:w w:val="111"/>
        </w:rPr>
        <w:t>mérica</w:t>
      </w:r>
      <w:r>
        <w:rPr>
          <w:spacing w:val="12"/>
        </w:rPr>
        <w:t> </w:t>
      </w:r>
      <w:r>
        <w:rPr>
          <w:w w:val="243"/>
        </w:rPr>
        <w:t>l</w:t>
      </w:r>
      <w:r>
        <w:rPr>
          <w:w w:val="111"/>
        </w:rPr>
        <w:t>atina</w:t>
      </w:r>
      <w:r>
        <w:rPr>
          <w:spacing w:val="12"/>
        </w:rPr>
        <w:t> </w:t>
      </w:r>
      <w:r>
        <w:rPr>
          <w:w w:val="108"/>
        </w:rPr>
        <w:t>dentro</w:t>
      </w:r>
      <w:r>
        <w:rPr>
          <w:spacing w:val="12"/>
        </w:rPr>
        <w:t> </w:t>
      </w:r>
      <w:r>
        <w:rPr>
          <w:w w:val="107"/>
        </w:rPr>
        <w:t>de </w:t>
      </w:r>
      <w:r>
        <w:rPr>
          <w:w w:val="115"/>
        </w:rPr>
        <w:t>la cual se concebía la normalidad basada en la subordinación de la </w:t>
      </w:r>
      <w:r>
        <w:rPr>
          <w:w w:val="110"/>
        </w:rPr>
        <w:t>región, no hay que desmerecer ninguna estrategia de respuesta.</w:t>
      </w:r>
      <w:r>
        <w:rPr>
          <w:spacing w:val="-14"/>
          <w:w w:val="110"/>
        </w:rPr>
        <w:t> </w:t>
      </w:r>
      <w:r>
        <w:rPr>
          <w:w w:val="110"/>
        </w:rPr>
        <w:t>Preci- </w:t>
      </w:r>
      <w:r>
        <w:rPr>
          <w:w w:val="115"/>
        </w:rPr>
        <w:t>samente</w:t>
      </w:r>
      <w:r>
        <w:rPr>
          <w:spacing w:val="-27"/>
          <w:w w:val="115"/>
        </w:rPr>
        <w:t> </w:t>
      </w:r>
      <w:r>
        <w:rPr>
          <w:w w:val="115"/>
        </w:rPr>
        <w:t>en</w:t>
      </w:r>
      <w:r>
        <w:rPr>
          <w:spacing w:val="-27"/>
          <w:w w:val="115"/>
        </w:rPr>
        <w:t> </w:t>
      </w:r>
      <w:r>
        <w:rPr>
          <w:w w:val="115"/>
        </w:rPr>
        <w:t>ese</w:t>
      </w:r>
      <w:r>
        <w:rPr>
          <w:spacing w:val="-27"/>
          <w:w w:val="115"/>
        </w:rPr>
        <w:t> </w:t>
      </w:r>
      <w:r>
        <w:rPr>
          <w:w w:val="115"/>
        </w:rPr>
        <w:t>marco</w:t>
      </w:r>
      <w:r>
        <w:rPr>
          <w:spacing w:val="-27"/>
          <w:w w:val="115"/>
        </w:rPr>
        <w:t> </w:t>
      </w:r>
      <w:r>
        <w:rPr>
          <w:w w:val="115"/>
        </w:rPr>
        <w:t>hay</w:t>
      </w:r>
      <w:r>
        <w:rPr>
          <w:spacing w:val="-27"/>
          <w:w w:val="115"/>
        </w:rPr>
        <w:t> </w:t>
      </w:r>
      <w:r>
        <w:rPr>
          <w:w w:val="115"/>
        </w:rPr>
        <w:t>que</w:t>
      </w:r>
      <w:r>
        <w:rPr>
          <w:spacing w:val="-27"/>
          <w:w w:val="115"/>
        </w:rPr>
        <w:t> </w:t>
      </w:r>
      <w:r>
        <w:rPr>
          <w:w w:val="115"/>
        </w:rPr>
        <w:t>entender</w:t>
      </w:r>
      <w:r>
        <w:rPr>
          <w:spacing w:val="-27"/>
          <w:w w:val="115"/>
        </w:rPr>
        <w:t> </w:t>
      </w:r>
      <w:r>
        <w:rPr>
          <w:w w:val="115"/>
        </w:rPr>
        <w:t>la</w:t>
      </w:r>
      <w:r>
        <w:rPr>
          <w:spacing w:val="-27"/>
          <w:w w:val="115"/>
        </w:rPr>
        <w:t> </w:t>
      </w:r>
      <w:r>
        <w:rPr>
          <w:w w:val="115"/>
        </w:rPr>
        <w:t>activación</w:t>
      </w:r>
      <w:r>
        <w:rPr>
          <w:spacing w:val="-27"/>
          <w:w w:val="115"/>
        </w:rPr>
        <w:t> </w:t>
      </w:r>
      <w:r>
        <w:rPr>
          <w:w w:val="115"/>
        </w:rPr>
        <w:t>de</w:t>
      </w:r>
      <w:r>
        <w:rPr>
          <w:spacing w:val="-27"/>
          <w:w w:val="115"/>
        </w:rPr>
        <w:t> </w:t>
      </w:r>
      <w:r>
        <w:rPr>
          <w:w w:val="115"/>
        </w:rPr>
        <w:t>una</w:t>
      </w:r>
      <w:r>
        <w:rPr>
          <w:spacing w:val="-27"/>
          <w:w w:val="115"/>
        </w:rPr>
        <w:t> </w:t>
      </w:r>
      <w:r>
        <w:rPr>
          <w:w w:val="115"/>
        </w:rPr>
        <w:t>iniciativa concertada</w:t>
      </w:r>
      <w:r>
        <w:rPr>
          <w:spacing w:val="-15"/>
          <w:w w:val="115"/>
        </w:rPr>
        <w:t> </w:t>
      </w:r>
      <w:r>
        <w:rPr>
          <w:w w:val="115"/>
        </w:rPr>
        <w:t>que</w:t>
      </w:r>
      <w:r>
        <w:rPr>
          <w:spacing w:val="-15"/>
          <w:w w:val="115"/>
        </w:rPr>
        <w:t> </w:t>
      </w:r>
      <w:r>
        <w:rPr>
          <w:w w:val="115"/>
        </w:rPr>
        <w:t>parece</w:t>
      </w:r>
      <w:r>
        <w:rPr>
          <w:spacing w:val="-15"/>
          <w:w w:val="115"/>
        </w:rPr>
        <w:t> </w:t>
      </w:r>
      <w:r>
        <w:rPr>
          <w:w w:val="115"/>
        </w:rPr>
        <w:t>moverse</w:t>
      </w:r>
      <w:r>
        <w:rPr>
          <w:spacing w:val="-15"/>
          <w:w w:val="115"/>
        </w:rPr>
        <w:t> </w:t>
      </w:r>
      <w:r>
        <w:rPr>
          <w:w w:val="115"/>
        </w:rPr>
        <w:t>en</w:t>
      </w:r>
      <w:r>
        <w:rPr>
          <w:spacing w:val="-15"/>
          <w:w w:val="115"/>
        </w:rPr>
        <w:t> </w:t>
      </w:r>
      <w:r>
        <w:rPr>
          <w:w w:val="115"/>
        </w:rPr>
        <w:t>el</w:t>
      </w:r>
      <w:r>
        <w:rPr>
          <w:spacing w:val="-15"/>
          <w:w w:val="115"/>
        </w:rPr>
        <w:t> </w:t>
      </w:r>
      <w:r>
        <w:rPr>
          <w:w w:val="115"/>
        </w:rPr>
        <w:t>campo</w:t>
      </w:r>
      <w:r>
        <w:rPr>
          <w:spacing w:val="-15"/>
          <w:w w:val="115"/>
        </w:rPr>
        <w:t> </w:t>
      </w:r>
      <w:r>
        <w:rPr>
          <w:w w:val="115"/>
        </w:rPr>
        <w:t>de</w:t>
      </w:r>
      <w:r>
        <w:rPr>
          <w:spacing w:val="-15"/>
          <w:w w:val="115"/>
        </w:rPr>
        <w:t> </w:t>
      </w:r>
      <w:r>
        <w:rPr>
          <w:w w:val="115"/>
        </w:rPr>
        <w:t>la</w:t>
      </w:r>
      <w:r>
        <w:rPr>
          <w:spacing w:val="-15"/>
          <w:w w:val="115"/>
        </w:rPr>
        <w:t> </w:t>
      </w:r>
      <w:r>
        <w:rPr>
          <w:w w:val="115"/>
        </w:rPr>
        <w:t>relación</w:t>
      </w:r>
      <w:r>
        <w:rPr>
          <w:spacing w:val="-15"/>
          <w:w w:val="115"/>
        </w:rPr>
        <w:t> </w:t>
      </w:r>
      <w:r>
        <w:rPr>
          <w:w w:val="115"/>
        </w:rPr>
        <w:t>comercial y</w:t>
      </w:r>
      <w:r>
        <w:rPr>
          <w:spacing w:val="-24"/>
          <w:w w:val="115"/>
        </w:rPr>
        <w:t> </w:t>
      </w:r>
      <w:r>
        <w:rPr>
          <w:w w:val="115"/>
        </w:rPr>
        <w:t>que</w:t>
      </w:r>
      <w:r>
        <w:rPr>
          <w:spacing w:val="-24"/>
          <w:w w:val="115"/>
        </w:rPr>
        <w:t> </w:t>
      </w:r>
      <w:r>
        <w:rPr>
          <w:w w:val="115"/>
        </w:rPr>
        <w:t>compromete</w:t>
      </w:r>
      <w:r>
        <w:rPr>
          <w:spacing w:val="-24"/>
          <w:w w:val="115"/>
        </w:rPr>
        <w:t> </w:t>
      </w:r>
      <w:r>
        <w:rPr>
          <w:w w:val="115"/>
        </w:rPr>
        <w:t>precisamente</w:t>
      </w:r>
      <w:r>
        <w:rPr>
          <w:spacing w:val="-24"/>
          <w:w w:val="115"/>
        </w:rPr>
        <w:t> </w:t>
      </w:r>
      <w:r>
        <w:rPr>
          <w:w w:val="115"/>
        </w:rPr>
        <w:t>a</w:t>
      </w:r>
      <w:r>
        <w:rPr>
          <w:spacing w:val="-24"/>
          <w:w w:val="115"/>
        </w:rPr>
        <w:t> </w:t>
      </w:r>
      <w:r>
        <w:rPr>
          <w:w w:val="115"/>
        </w:rPr>
        <w:t>los</w:t>
      </w:r>
      <w:r>
        <w:rPr>
          <w:spacing w:val="-24"/>
          <w:w w:val="115"/>
        </w:rPr>
        <w:t> </w:t>
      </w:r>
      <w:r>
        <w:rPr>
          <w:w w:val="115"/>
        </w:rPr>
        <w:t>gobiernos</w:t>
      </w:r>
      <w:r>
        <w:rPr>
          <w:spacing w:val="-24"/>
          <w:w w:val="115"/>
        </w:rPr>
        <w:t> </w:t>
      </w:r>
      <w:r>
        <w:rPr>
          <w:w w:val="115"/>
        </w:rPr>
        <w:t>actualmente</w:t>
      </w:r>
      <w:r>
        <w:rPr>
          <w:spacing w:val="-24"/>
          <w:w w:val="115"/>
        </w:rPr>
        <w:t> </w:t>
      </w:r>
      <w:r>
        <w:rPr>
          <w:w w:val="115"/>
        </w:rPr>
        <w:t>aliados </w:t>
      </w:r>
      <w:r>
        <w:rPr>
          <w:w w:val="107"/>
        </w:rPr>
        <w:t>de</w:t>
      </w:r>
      <w:r>
        <w:rPr>
          <w:spacing w:val="7"/>
        </w:rPr>
        <w:t> </w:t>
      </w:r>
      <w:r>
        <w:rPr>
          <w:w w:val="111"/>
        </w:rPr>
        <w:t>la</w:t>
      </w:r>
      <w:r>
        <w:rPr>
          <w:spacing w:val="7"/>
        </w:rPr>
        <w:t> </w:t>
      </w:r>
      <w:r>
        <w:rPr>
          <w:w w:val="111"/>
        </w:rPr>
        <w:t>política</w:t>
      </w:r>
      <w:r>
        <w:rPr>
          <w:spacing w:val="7"/>
        </w:rPr>
        <w:t> </w:t>
      </w:r>
      <w:r>
        <w:rPr>
          <w:w w:val="111"/>
        </w:rPr>
        <w:t>norteamericana.</w:t>
      </w:r>
      <w:r>
        <w:rPr>
          <w:spacing w:val="7"/>
        </w:rPr>
        <w:t> </w:t>
      </w:r>
      <w:r>
        <w:rPr>
          <w:w w:val="243"/>
        </w:rPr>
        <w:t>l</w:t>
      </w:r>
      <w:r>
        <w:rPr>
          <w:w w:val="112"/>
        </w:rPr>
        <w:t>a</w:t>
      </w:r>
      <w:r>
        <w:rPr>
          <w:spacing w:val="7"/>
        </w:rPr>
        <w:t> </w:t>
      </w:r>
      <w:r>
        <w:rPr>
          <w:w w:val="139"/>
        </w:rPr>
        <w:t>a</w:t>
      </w:r>
      <w:r>
        <w:rPr>
          <w:w w:val="112"/>
        </w:rPr>
        <w:t>lianza</w:t>
      </w:r>
      <w:r>
        <w:rPr>
          <w:spacing w:val="7"/>
        </w:rPr>
        <w:t> </w:t>
      </w:r>
      <w:r>
        <w:rPr>
          <w:w w:val="107"/>
        </w:rPr>
        <w:t>del</w:t>
      </w:r>
      <w:r>
        <w:rPr>
          <w:spacing w:val="7"/>
        </w:rPr>
        <w:t> </w:t>
      </w:r>
      <w:r>
        <w:rPr>
          <w:w w:val="111"/>
        </w:rPr>
        <w:t>Pacífico</w:t>
      </w:r>
      <w:r>
        <w:rPr>
          <w:spacing w:val="7"/>
        </w:rPr>
        <w:t> </w:t>
      </w:r>
      <w:r>
        <w:rPr>
          <w:w w:val="98"/>
        </w:rPr>
        <w:t>(</w:t>
      </w:r>
      <w:r>
        <w:rPr>
          <w:w w:val="139"/>
        </w:rPr>
        <w:t>a</w:t>
      </w:r>
      <w:r>
        <w:rPr>
          <w:w w:val="107"/>
        </w:rPr>
        <w:t>P)</w:t>
      </w:r>
      <w:r>
        <w:rPr>
          <w:spacing w:val="7"/>
        </w:rPr>
        <w:t> </w:t>
      </w:r>
      <w:r>
        <w:rPr>
          <w:w w:val="106"/>
        </w:rPr>
        <w:t>–que</w:t>
      </w:r>
      <w:r>
        <w:rPr>
          <w:spacing w:val="7"/>
        </w:rPr>
        <w:t> </w:t>
      </w:r>
      <w:r>
        <w:rPr>
          <w:w w:val="108"/>
        </w:rPr>
        <w:t>reúne </w:t>
      </w:r>
      <w:r>
        <w:rPr>
          <w:w w:val="115"/>
        </w:rPr>
        <w:t>a</w:t>
      </w:r>
      <w:r>
        <w:rPr>
          <w:spacing w:val="-10"/>
          <w:w w:val="115"/>
        </w:rPr>
        <w:t> </w:t>
      </w:r>
      <w:r>
        <w:rPr>
          <w:w w:val="115"/>
        </w:rPr>
        <w:t>Chile,</w:t>
      </w:r>
      <w:r>
        <w:rPr>
          <w:spacing w:val="-10"/>
          <w:w w:val="115"/>
        </w:rPr>
        <w:t> </w:t>
      </w:r>
      <w:r>
        <w:rPr>
          <w:w w:val="115"/>
        </w:rPr>
        <w:t>Perú,</w:t>
      </w:r>
      <w:r>
        <w:rPr>
          <w:spacing w:val="-10"/>
          <w:w w:val="115"/>
        </w:rPr>
        <w:t> </w:t>
      </w:r>
      <w:r>
        <w:rPr>
          <w:w w:val="115"/>
        </w:rPr>
        <w:t>Colombia</w:t>
      </w:r>
      <w:r>
        <w:rPr>
          <w:spacing w:val="-10"/>
          <w:w w:val="115"/>
        </w:rPr>
        <w:t> </w:t>
      </w:r>
      <w:r>
        <w:rPr>
          <w:w w:val="115"/>
        </w:rPr>
        <w:t>y</w:t>
      </w:r>
      <w:r>
        <w:rPr>
          <w:spacing w:val="-10"/>
          <w:w w:val="115"/>
        </w:rPr>
        <w:t> </w:t>
      </w:r>
      <w:r>
        <w:rPr>
          <w:w w:val="115"/>
        </w:rPr>
        <w:t>México–</w:t>
      </w:r>
      <w:r>
        <w:rPr>
          <w:spacing w:val="-10"/>
          <w:w w:val="115"/>
        </w:rPr>
        <w:t> </w:t>
      </w:r>
      <w:r>
        <w:rPr>
          <w:w w:val="115"/>
        </w:rPr>
        <w:t>se</w:t>
      </w:r>
      <w:r>
        <w:rPr>
          <w:spacing w:val="-10"/>
          <w:w w:val="115"/>
        </w:rPr>
        <w:t> </w:t>
      </w:r>
      <w:r>
        <w:rPr>
          <w:w w:val="115"/>
        </w:rPr>
        <w:t>expresa</w:t>
      </w:r>
      <w:r>
        <w:rPr>
          <w:spacing w:val="-10"/>
          <w:w w:val="115"/>
        </w:rPr>
        <w:t> </w:t>
      </w:r>
      <w:r>
        <w:rPr>
          <w:w w:val="115"/>
        </w:rPr>
        <w:t>como</w:t>
      </w:r>
      <w:r>
        <w:rPr>
          <w:spacing w:val="-10"/>
          <w:w w:val="115"/>
        </w:rPr>
        <w:t> </w:t>
      </w:r>
      <w:r>
        <w:rPr>
          <w:w w:val="115"/>
        </w:rPr>
        <w:t>proyecto</w:t>
      </w:r>
      <w:r>
        <w:rPr>
          <w:spacing w:val="-10"/>
          <w:w w:val="115"/>
        </w:rPr>
        <w:t> </w:t>
      </w:r>
      <w:r>
        <w:rPr>
          <w:w w:val="115"/>
        </w:rPr>
        <w:t>de</w:t>
      </w:r>
      <w:r>
        <w:rPr>
          <w:spacing w:val="-10"/>
          <w:w w:val="115"/>
        </w:rPr>
        <w:t> </w:t>
      </w:r>
      <w:r>
        <w:rPr>
          <w:w w:val="115"/>
        </w:rPr>
        <w:t>inte- gración</w:t>
      </w:r>
      <w:r>
        <w:rPr>
          <w:spacing w:val="-24"/>
          <w:w w:val="115"/>
        </w:rPr>
        <w:t> </w:t>
      </w:r>
      <w:r>
        <w:rPr>
          <w:w w:val="115"/>
        </w:rPr>
        <w:t>desde</w:t>
      </w:r>
      <w:r>
        <w:rPr>
          <w:spacing w:val="-24"/>
          <w:w w:val="115"/>
        </w:rPr>
        <w:t> </w:t>
      </w:r>
      <w:r>
        <w:rPr>
          <w:w w:val="115"/>
        </w:rPr>
        <w:t>2011.</w:t>
      </w:r>
      <w:r>
        <w:rPr>
          <w:spacing w:val="-24"/>
          <w:w w:val="115"/>
        </w:rPr>
        <w:t> </w:t>
      </w:r>
      <w:r>
        <w:rPr>
          <w:w w:val="115"/>
        </w:rPr>
        <w:t>abierta</w:t>
      </w:r>
      <w:r>
        <w:rPr>
          <w:spacing w:val="-24"/>
          <w:w w:val="115"/>
        </w:rPr>
        <w:t> </w:t>
      </w:r>
      <w:r>
        <w:rPr>
          <w:w w:val="115"/>
        </w:rPr>
        <w:t>al</w:t>
      </w:r>
      <w:r>
        <w:rPr>
          <w:spacing w:val="-24"/>
          <w:w w:val="115"/>
        </w:rPr>
        <w:t> </w:t>
      </w:r>
      <w:r>
        <w:rPr>
          <w:w w:val="115"/>
        </w:rPr>
        <w:t>libre</w:t>
      </w:r>
      <w:r>
        <w:rPr>
          <w:spacing w:val="-24"/>
          <w:w w:val="115"/>
        </w:rPr>
        <w:t> </w:t>
      </w:r>
      <w:r>
        <w:rPr>
          <w:w w:val="115"/>
        </w:rPr>
        <w:t>comercio,</w:t>
      </w:r>
      <w:r>
        <w:rPr>
          <w:spacing w:val="-24"/>
          <w:w w:val="115"/>
        </w:rPr>
        <w:t> </w:t>
      </w:r>
      <w:r>
        <w:rPr>
          <w:w w:val="115"/>
        </w:rPr>
        <w:t>posee</w:t>
      </w:r>
      <w:r>
        <w:rPr>
          <w:spacing w:val="-24"/>
          <w:w w:val="115"/>
        </w:rPr>
        <w:t> </w:t>
      </w:r>
      <w:r>
        <w:rPr>
          <w:w w:val="115"/>
        </w:rPr>
        <w:t>todos</w:t>
      </w:r>
      <w:r>
        <w:rPr>
          <w:spacing w:val="-24"/>
          <w:w w:val="115"/>
        </w:rPr>
        <w:t> </w:t>
      </w:r>
      <w:r>
        <w:rPr>
          <w:w w:val="115"/>
        </w:rPr>
        <w:t>los</w:t>
      </w:r>
      <w:r>
        <w:rPr>
          <w:spacing w:val="-24"/>
          <w:w w:val="115"/>
        </w:rPr>
        <w:t> </w:t>
      </w:r>
      <w:r>
        <w:rPr>
          <w:w w:val="115"/>
        </w:rPr>
        <w:t>perfiles de</w:t>
      </w:r>
      <w:r>
        <w:rPr>
          <w:spacing w:val="-26"/>
          <w:w w:val="115"/>
        </w:rPr>
        <w:t> </w:t>
      </w:r>
      <w:r>
        <w:rPr>
          <w:w w:val="115"/>
        </w:rPr>
        <w:t>una</w:t>
      </w:r>
      <w:r>
        <w:rPr>
          <w:spacing w:val="-26"/>
          <w:w w:val="115"/>
        </w:rPr>
        <w:t> </w:t>
      </w:r>
      <w:r>
        <w:rPr>
          <w:w w:val="115"/>
        </w:rPr>
        <w:t>plataforma</w:t>
      </w:r>
      <w:r>
        <w:rPr>
          <w:spacing w:val="-26"/>
          <w:w w:val="115"/>
        </w:rPr>
        <w:t> </w:t>
      </w:r>
      <w:r>
        <w:rPr>
          <w:w w:val="115"/>
        </w:rPr>
        <w:t>estratégica</w:t>
      </w:r>
      <w:r>
        <w:rPr>
          <w:spacing w:val="-26"/>
          <w:w w:val="115"/>
        </w:rPr>
        <w:t> </w:t>
      </w:r>
      <w:r>
        <w:rPr>
          <w:w w:val="115"/>
        </w:rPr>
        <w:t>para</w:t>
      </w:r>
      <w:r>
        <w:rPr>
          <w:spacing w:val="-26"/>
          <w:w w:val="115"/>
        </w:rPr>
        <w:t> </w:t>
      </w:r>
      <w:r>
        <w:rPr>
          <w:w w:val="115"/>
        </w:rPr>
        <w:t>la</w:t>
      </w:r>
      <w:r>
        <w:rPr>
          <w:spacing w:val="-26"/>
          <w:w w:val="115"/>
        </w:rPr>
        <w:t> </w:t>
      </w:r>
      <w:r>
        <w:rPr>
          <w:w w:val="115"/>
        </w:rPr>
        <w:t>recuperación</w:t>
      </w:r>
      <w:r>
        <w:rPr>
          <w:spacing w:val="-26"/>
          <w:w w:val="115"/>
        </w:rPr>
        <w:t> </w:t>
      </w:r>
      <w:r>
        <w:rPr>
          <w:w w:val="115"/>
        </w:rPr>
        <w:t>de</w:t>
      </w:r>
      <w:r>
        <w:rPr>
          <w:spacing w:val="-26"/>
          <w:w w:val="115"/>
        </w:rPr>
        <w:t> </w:t>
      </w:r>
      <w:r>
        <w:rPr>
          <w:w w:val="115"/>
        </w:rPr>
        <w:t>espacios</w:t>
      </w:r>
      <w:r>
        <w:rPr>
          <w:spacing w:val="-26"/>
          <w:w w:val="115"/>
        </w:rPr>
        <w:t> </w:t>
      </w:r>
      <w:r>
        <w:rPr>
          <w:w w:val="115"/>
        </w:rPr>
        <w:t>regio- nales,</w:t>
      </w:r>
      <w:r>
        <w:rPr>
          <w:spacing w:val="-15"/>
          <w:w w:val="115"/>
        </w:rPr>
        <w:t> </w:t>
      </w:r>
      <w:r>
        <w:rPr>
          <w:w w:val="115"/>
        </w:rPr>
        <w:t>retrotraer</w:t>
      </w:r>
      <w:r>
        <w:rPr>
          <w:spacing w:val="-15"/>
          <w:w w:val="115"/>
        </w:rPr>
        <w:t> </w:t>
      </w:r>
      <w:r>
        <w:rPr>
          <w:w w:val="115"/>
        </w:rPr>
        <w:t>los</w:t>
      </w:r>
      <w:r>
        <w:rPr>
          <w:spacing w:val="-15"/>
          <w:w w:val="115"/>
        </w:rPr>
        <w:t> </w:t>
      </w:r>
      <w:r>
        <w:rPr>
          <w:w w:val="115"/>
        </w:rPr>
        <w:t>procesos</w:t>
      </w:r>
      <w:r>
        <w:rPr>
          <w:spacing w:val="-15"/>
          <w:w w:val="115"/>
        </w:rPr>
        <w:t> </w:t>
      </w:r>
      <w:r>
        <w:rPr>
          <w:w w:val="115"/>
        </w:rPr>
        <w:t>de</w:t>
      </w:r>
      <w:r>
        <w:rPr>
          <w:spacing w:val="-15"/>
          <w:w w:val="115"/>
        </w:rPr>
        <w:t> </w:t>
      </w:r>
      <w:r>
        <w:rPr>
          <w:w w:val="115"/>
        </w:rPr>
        <w:t>cambio</w:t>
      </w:r>
      <w:r>
        <w:rPr>
          <w:spacing w:val="-15"/>
          <w:w w:val="115"/>
        </w:rPr>
        <w:t> </w:t>
      </w:r>
      <w:r>
        <w:rPr>
          <w:w w:val="115"/>
        </w:rPr>
        <w:t>vinculados</w:t>
      </w:r>
      <w:r>
        <w:rPr>
          <w:spacing w:val="-15"/>
          <w:w w:val="115"/>
        </w:rPr>
        <w:t> </w:t>
      </w:r>
      <w:r>
        <w:rPr>
          <w:w w:val="115"/>
        </w:rPr>
        <w:t>a</w:t>
      </w:r>
      <w:r>
        <w:rPr>
          <w:spacing w:val="-15"/>
          <w:w w:val="115"/>
        </w:rPr>
        <w:t> </w:t>
      </w:r>
      <w:r>
        <w:rPr>
          <w:w w:val="115"/>
        </w:rPr>
        <w:t>las</w:t>
      </w:r>
      <w:r>
        <w:rPr>
          <w:spacing w:val="-15"/>
          <w:w w:val="115"/>
        </w:rPr>
        <w:t> </w:t>
      </w:r>
      <w:r>
        <w:rPr>
          <w:w w:val="115"/>
        </w:rPr>
        <w:t>nuevas</w:t>
      </w:r>
      <w:r>
        <w:rPr>
          <w:spacing w:val="-15"/>
          <w:w w:val="115"/>
        </w:rPr>
        <w:t> </w:t>
      </w:r>
      <w:r>
        <w:rPr>
          <w:w w:val="115"/>
        </w:rPr>
        <w:t>ten- dencias</w:t>
      </w:r>
      <w:r>
        <w:rPr>
          <w:spacing w:val="-9"/>
          <w:w w:val="115"/>
        </w:rPr>
        <w:t> </w:t>
      </w:r>
      <w:r>
        <w:rPr>
          <w:w w:val="115"/>
        </w:rPr>
        <w:t>integracionistas,</w:t>
      </w:r>
      <w:r>
        <w:rPr>
          <w:spacing w:val="-9"/>
          <w:w w:val="115"/>
        </w:rPr>
        <w:t> </w:t>
      </w:r>
      <w:r>
        <w:rPr>
          <w:w w:val="115"/>
        </w:rPr>
        <w:t>contrarrestar</w:t>
      </w:r>
      <w:r>
        <w:rPr>
          <w:spacing w:val="-9"/>
          <w:w w:val="115"/>
        </w:rPr>
        <w:t> </w:t>
      </w:r>
      <w:r>
        <w:rPr>
          <w:w w:val="115"/>
        </w:rPr>
        <w:t>los</w:t>
      </w:r>
      <w:r>
        <w:rPr>
          <w:spacing w:val="-9"/>
          <w:w w:val="115"/>
        </w:rPr>
        <w:t> </w:t>
      </w:r>
      <w:r>
        <w:rPr>
          <w:w w:val="115"/>
        </w:rPr>
        <w:t>acuerdos</w:t>
      </w:r>
      <w:r>
        <w:rPr>
          <w:spacing w:val="-9"/>
          <w:w w:val="115"/>
        </w:rPr>
        <w:t> </w:t>
      </w:r>
      <w:r>
        <w:rPr>
          <w:w w:val="115"/>
        </w:rPr>
        <w:t>de</w:t>
      </w:r>
      <w:r>
        <w:rPr>
          <w:spacing w:val="-9"/>
          <w:w w:val="115"/>
        </w:rPr>
        <w:t> </w:t>
      </w:r>
      <w:r>
        <w:rPr>
          <w:w w:val="115"/>
        </w:rPr>
        <w:t>cooperación que</w:t>
      </w:r>
      <w:r>
        <w:rPr>
          <w:spacing w:val="-21"/>
          <w:w w:val="115"/>
        </w:rPr>
        <w:t> </w:t>
      </w:r>
      <w:r>
        <w:rPr>
          <w:w w:val="115"/>
        </w:rPr>
        <w:t>han</w:t>
      </w:r>
      <w:r>
        <w:rPr>
          <w:spacing w:val="-21"/>
          <w:w w:val="115"/>
        </w:rPr>
        <w:t> </w:t>
      </w:r>
      <w:r>
        <w:rPr>
          <w:w w:val="115"/>
        </w:rPr>
        <w:t>venido</w:t>
      </w:r>
      <w:r>
        <w:rPr>
          <w:spacing w:val="-21"/>
          <w:w w:val="115"/>
        </w:rPr>
        <w:t> </w:t>
      </w:r>
      <w:r>
        <w:rPr>
          <w:w w:val="115"/>
        </w:rPr>
        <w:t>proyectándose</w:t>
      </w:r>
      <w:r>
        <w:rPr>
          <w:spacing w:val="-21"/>
          <w:w w:val="115"/>
        </w:rPr>
        <w:t> </w:t>
      </w:r>
      <w:r>
        <w:rPr>
          <w:w w:val="115"/>
        </w:rPr>
        <w:t>sin</w:t>
      </w:r>
      <w:r>
        <w:rPr>
          <w:spacing w:val="-21"/>
          <w:w w:val="115"/>
        </w:rPr>
        <w:t> </w:t>
      </w:r>
      <w:r>
        <w:rPr>
          <w:w w:val="115"/>
        </w:rPr>
        <w:t>la</w:t>
      </w:r>
      <w:r>
        <w:rPr>
          <w:spacing w:val="-21"/>
          <w:w w:val="115"/>
        </w:rPr>
        <w:t> </w:t>
      </w:r>
      <w:r>
        <w:rPr>
          <w:w w:val="115"/>
        </w:rPr>
        <w:t>presencia</w:t>
      </w:r>
      <w:r>
        <w:rPr>
          <w:spacing w:val="-21"/>
          <w:w w:val="115"/>
        </w:rPr>
        <w:t> </w:t>
      </w:r>
      <w:r>
        <w:rPr>
          <w:w w:val="115"/>
        </w:rPr>
        <w:t>de</w:t>
      </w:r>
      <w:r>
        <w:rPr>
          <w:spacing w:val="-21"/>
          <w:w w:val="115"/>
        </w:rPr>
        <w:t> </w:t>
      </w:r>
      <w:r>
        <w:rPr>
          <w:w w:val="115"/>
        </w:rPr>
        <w:t>Estados</w:t>
      </w:r>
      <w:r>
        <w:rPr>
          <w:spacing w:val="-21"/>
          <w:w w:val="115"/>
        </w:rPr>
        <w:t> </w:t>
      </w:r>
      <w:r>
        <w:rPr>
          <w:w w:val="115"/>
        </w:rPr>
        <w:t>unidos,</w:t>
      </w:r>
      <w:r>
        <w:rPr>
          <w:spacing w:val="-21"/>
          <w:w w:val="115"/>
        </w:rPr>
        <w:t> </w:t>
      </w:r>
      <w:r>
        <w:rPr>
          <w:w w:val="115"/>
        </w:rPr>
        <w:t>así como</w:t>
      </w:r>
      <w:r>
        <w:rPr>
          <w:spacing w:val="-12"/>
          <w:w w:val="115"/>
        </w:rPr>
        <w:t> </w:t>
      </w:r>
      <w:r>
        <w:rPr>
          <w:w w:val="115"/>
        </w:rPr>
        <w:t>el</w:t>
      </w:r>
      <w:r>
        <w:rPr>
          <w:spacing w:val="-12"/>
          <w:w w:val="115"/>
        </w:rPr>
        <w:t> </w:t>
      </w:r>
      <w:r>
        <w:rPr>
          <w:w w:val="115"/>
        </w:rPr>
        <w:t>peso</w:t>
      </w:r>
      <w:r>
        <w:rPr>
          <w:spacing w:val="-12"/>
          <w:w w:val="115"/>
        </w:rPr>
        <w:t> </w:t>
      </w:r>
      <w:r>
        <w:rPr>
          <w:w w:val="115"/>
        </w:rPr>
        <w:t>regional</w:t>
      </w:r>
      <w:r>
        <w:rPr>
          <w:spacing w:val="-12"/>
          <w:w w:val="115"/>
        </w:rPr>
        <w:t> </w:t>
      </w:r>
      <w:r>
        <w:rPr>
          <w:w w:val="115"/>
        </w:rPr>
        <w:t>de</w:t>
      </w:r>
      <w:r>
        <w:rPr>
          <w:spacing w:val="-12"/>
          <w:w w:val="115"/>
        </w:rPr>
        <w:t> </w:t>
      </w:r>
      <w:r>
        <w:rPr>
          <w:w w:val="115"/>
        </w:rPr>
        <w:t>brasil,</w:t>
      </w:r>
      <w:r>
        <w:rPr>
          <w:spacing w:val="-12"/>
          <w:w w:val="115"/>
        </w:rPr>
        <w:t> </w:t>
      </w:r>
      <w:r>
        <w:rPr>
          <w:w w:val="115"/>
        </w:rPr>
        <w:t>Venezuela</w:t>
      </w:r>
      <w:r>
        <w:rPr>
          <w:spacing w:val="-12"/>
          <w:w w:val="115"/>
        </w:rPr>
        <w:t> </w:t>
      </w:r>
      <w:r>
        <w:rPr>
          <w:w w:val="115"/>
        </w:rPr>
        <w:t>y</w:t>
      </w:r>
      <w:r>
        <w:rPr>
          <w:spacing w:val="-12"/>
          <w:w w:val="115"/>
        </w:rPr>
        <w:t> </w:t>
      </w:r>
      <w:r>
        <w:rPr>
          <w:w w:val="115"/>
        </w:rPr>
        <w:t>el</w:t>
      </w:r>
      <w:r>
        <w:rPr>
          <w:spacing w:val="-12"/>
          <w:w w:val="115"/>
        </w:rPr>
        <w:t> </w:t>
      </w:r>
      <w:r>
        <w:rPr>
          <w:w w:val="150"/>
        </w:rPr>
        <w:t>alba.</w:t>
      </w:r>
    </w:p>
    <w:p>
      <w:pPr>
        <w:pStyle w:val="BodyText"/>
        <w:spacing w:line="252" w:lineRule="auto"/>
        <w:ind w:left="330" w:right="117" w:firstLine="396"/>
        <w:jc w:val="both"/>
      </w:pPr>
      <w:r>
        <w:rPr>
          <w:w w:val="243"/>
        </w:rPr>
        <w:t>l</w:t>
      </w:r>
      <w:r>
        <w:rPr>
          <w:w w:val="112"/>
        </w:rPr>
        <w:t>a</w:t>
      </w:r>
      <w:r>
        <w:rPr/>
        <w:t> </w:t>
      </w:r>
      <w:r>
        <w:rPr>
          <w:spacing w:val="2"/>
        </w:rPr>
        <w:t> </w:t>
      </w:r>
      <w:r>
        <w:rPr>
          <w:w w:val="109"/>
        </w:rPr>
        <w:t>convergencia</w:t>
      </w:r>
      <w:r>
        <w:rPr/>
        <w:t> </w:t>
      </w:r>
      <w:r>
        <w:rPr>
          <w:spacing w:val="2"/>
        </w:rPr>
        <w:t> </w:t>
      </w:r>
      <w:r>
        <w:rPr>
          <w:w w:val="107"/>
        </w:rPr>
        <w:t>de</w:t>
      </w:r>
      <w:r>
        <w:rPr/>
        <w:t> </w:t>
      </w:r>
      <w:r>
        <w:rPr>
          <w:spacing w:val="2"/>
        </w:rPr>
        <w:t> </w:t>
      </w:r>
      <w:r>
        <w:rPr>
          <w:w w:val="108"/>
        </w:rPr>
        <w:t>países</w:t>
      </w:r>
      <w:r>
        <w:rPr/>
        <w:t> </w:t>
      </w:r>
      <w:r>
        <w:rPr>
          <w:spacing w:val="2"/>
        </w:rPr>
        <w:t> </w:t>
      </w:r>
      <w:r>
        <w:rPr>
          <w:w w:val="112"/>
        </w:rPr>
        <w:t>con</w:t>
      </w:r>
      <w:r>
        <w:rPr/>
        <w:t> </w:t>
      </w:r>
      <w:r>
        <w:rPr>
          <w:spacing w:val="2"/>
        </w:rPr>
        <w:t> </w:t>
      </w:r>
      <w:r>
        <w:rPr>
          <w:w w:val="110"/>
        </w:rPr>
        <w:t>lineamientos</w:t>
      </w:r>
      <w:r>
        <w:rPr/>
        <w:t> </w:t>
      </w:r>
      <w:r>
        <w:rPr>
          <w:spacing w:val="2"/>
        </w:rPr>
        <w:t> </w:t>
      </w:r>
      <w:r>
        <w:rPr>
          <w:w w:val="110"/>
        </w:rPr>
        <w:t>políticos</w:t>
      </w:r>
      <w:r>
        <w:rPr/>
        <w:t> </w:t>
      </w:r>
      <w:r>
        <w:rPr>
          <w:spacing w:val="2"/>
        </w:rPr>
        <w:t> </w:t>
      </w:r>
      <w:r>
        <w:rPr>
          <w:w w:val="105"/>
        </w:rPr>
        <w:t>y</w:t>
      </w:r>
      <w:r>
        <w:rPr/>
        <w:t> </w:t>
      </w:r>
      <w:r>
        <w:rPr>
          <w:spacing w:val="2"/>
        </w:rPr>
        <w:t> </w:t>
      </w:r>
      <w:r>
        <w:rPr>
          <w:w w:val="110"/>
        </w:rPr>
        <w:t>come</w:t>
      </w:r>
      <w:r>
        <w:rPr>
          <w:spacing w:val="-15"/>
          <w:w w:val="110"/>
        </w:rPr>
        <w:t>r</w:t>
      </w:r>
      <w:r>
        <w:rPr>
          <w:w w:val="102"/>
        </w:rPr>
        <w:t>- </w:t>
      </w:r>
      <w:r>
        <w:rPr>
          <w:w w:val="110"/>
        </w:rPr>
        <w:t>ciales cercanos y la afinidad estatal de sus posicionamientos con la política norteamericana son datos importantes. se trata de gobiernos con modelos económicos afines y políticas propiciadoras de las in- versiones extranjeras directas. </w:t>
      </w:r>
      <w:r>
        <w:rPr>
          <w:spacing w:val="-4"/>
          <w:w w:val="110"/>
        </w:rPr>
        <w:t>todos </w:t>
      </w:r>
      <w:r>
        <w:rPr>
          <w:w w:val="110"/>
        </w:rPr>
        <w:t>con tratados de libre comercio bilateral con Estados unidos, así como vínculos vigentes en materia  de cooperación en seguridad, defensa y lucha contra el narcotráfico. Más aún, si se tiene en cuenta que esa específica franja latinoamerica- na, de cara a la dinámica de la región asiática, es considerada clave en la perspectiva del crecimiento económico mundial al concentrar una </w:t>
      </w:r>
      <w:r>
        <w:rPr>
          <w:w w:val="110"/>
        </w:rPr>
        <w:t>porción</w:t>
      </w:r>
      <w:r>
        <w:rPr/>
        <w:t> </w:t>
      </w:r>
      <w:r>
        <w:rPr>
          <w:spacing w:val="-12"/>
        </w:rPr>
        <w:t> </w:t>
      </w:r>
      <w:r>
        <w:rPr>
          <w:w w:val="111"/>
        </w:rPr>
        <w:t>muy</w:t>
      </w:r>
      <w:r>
        <w:rPr/>
        <w:t> </w:t>
      </w:r>
      <w:r>
        <w:rPr>
          <w:spacing w:val="-12"/>
        </w:rPr>
        <w:t> </w:t>
      </w:r>
      <w:r>
        <w:rPr>
          <w:w w:val="109"/>
        </w:rPr>
        <w:t>importante</w:t>
      </w:r>
      <w:r>
        <w:rPr/>
        <w:t> </w:t>
      </w:r>
      <w:r>
        <w:rPr>
          <w:spacing w:val="-12"/>
        </w:rPr>
        <w:t> </w:t>
      </w:r>
      <w:r>
        <w:rPr>
          <w:w w:val="107"/>
        </w:rPr>
        <w:t>de</w:t>
      </w:r>
      <w:r>
        <w:rPr/>
        <w:t> </w:t>
      </w:r>
      <w:r>
        <w:rPr>
          <w:spacing w:val="-12"/>
        </w:rPr>
        <w:t> </w:t>
      </w:r>
      <w:r>
        <w:rPr>
          <w:w w:val="108"/>
        </w:rPr>
        <w:t>los</w:t>
      </w:r>
      <w:r>
        <w:rPr/>
        <w:t> </w:t>
      </w:r>
      <w:r>
        <w:rPr>
          <w:spacing w:val="-12"/>
        </w:rPr>
        <w:t> </w:t>
      </w:r>
      <w:r>
        <w:rPr>
          <w:w w:val="109"/>
        </w:rPr>
        <w:t>flujos</w:t>
      </w:r>
      <w:r>
        <w:rPr/>
        <w:t> </w:t>
      </w:r>
      <w:r>
        <w:rPr>
          <w:spacing w:val="-12"/>
        </w:rPr>
        <w:t> </w:t>
      </w:r>
      <w:r>
        <w:rPr>
          <w:w w:val="107"/>
        </w:rPr>
        <w:t>de</w:t>
      </w:r>
      <w:r>
        <w:rPr/>
        <w:t> </w:t>
      </w:r>
      <w:r>
        <w:rPr>
          <w:spacing w:val="-12"/>
        </w:rPr>
        <w:t> </w:t>
      </w:r>
      <w:r>
        <w:rPr>
          <w:w w:val="111"/>
        </w:rPr>
        <w:t>comercio</w:t>
      </w:r>
      <w:r>
        <w:rPr/>
        <w:t> </w:t>
      </w:r>
      <w:r>
        <w:rPr>
          <w:spacing w:val="-12"/>
        </w:rPr>
        <w:t> </w:t>
      </w:r>
      <w:r>
        <w:rPr>
          <w:w w:val="111"/>
        </w:rPr>
        <w:t>internacional.</w:t>
      </w:r>
      <w:r>
        <w:rPr/>
        <w:t> </w:t>
      </w:r>
      <w:r>
        <w:rPr>
          <w:spacing w:val="-12"/>
        </w:rPr>
        <w:t> </w:t>
      </w:r>
      <w:r>
        <w:rPr>
          <w:w w:val="243"/>
        </w:rPr>
        <w:t>l</w:t>
      </w:r>
      <w:r>
        <w:rPr>
          <w:w w:val="112"/>
        </w:rPr>
        <w:t>a</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8"/>
        <w:jc w:val="both"/>
      </w:pPr>
      <w:r>
        <w:rPr>
          <w:w w:val="110"/>
        </w:rPr>
        <w:t>importancia estratégica de asia y sobre todo China es explícita tanto en la prioridad estadounidense como en el análisis de especialistas (obama, 2010; Giné daví, 2012; Fabelo y rodríguez,    2015).</w:t>
      </w:r>
    </w:p>
    <w:p>
      <w:pPr>
        <w:pStyle w:val="BodyText"/>
        <w:spacing w:line="252" w:lineRule="auto"/>
        <w:ind w:left="100" w:right="327" w:firstLine="396"/>
        <w:jc w:val="both"/>
      </w:pPr>
      <w:r>
        <w:rPr>
          <w:w w:val="110"/>
        </w:rPr>
        <w:t>sin ser necesariamente explícitos, todos los documentos de segu- ridad y las entrelíneas del discurso oficial norteamericano entregan elementos para </w:t>
      </w:r>
      <w:r>
        <w:rPr>
          <w:spacing w:val="-3"/>
          <w:w w:val="110"/>
        </w:rPr>
        <w:t>plantear, </w:t>
      </w:r>
      <w:r>
        <w:rPr>
          <w:w w:val="110"/>
        </w:rPr>
        <w:t>de manera plausible, que se busca subordi- nar a los intereses económicos y geopolíticos estadounidenses a los gobiernos de todos los Estados del hemisferio occidental localizados en la franja del Pacífico (Canadá, México, Guatemala, El </w:t>
      </w:r>
      <w:r>
        <w:rPr>
          <w:spacing w:val="-3"/>
          <w:w w:val="110"/>
        </w:rPr>
        <w:t>salvador, </w:t>
      </w:r>
      <w:r>
        <w:rPr>
          <w:w w:val="110"/>
        </w:rPr>
        <w:t>Honduras, Nicaragua,  Costa  rica,  Panamá,  Colombia,  </w:t>
      </w:r>
      <w:r>
        <w:rPr>
          <w:spacing w:val="-3"/>
          <w:w w:val="110"/>
        </w:rPr>
        <w:t>Ecuador,  </w:t>
      </w:r>
      <w:r>
        <w:rPr>
          <w:w w:val="110"/>
        </w:rPr>
        <w:t>Perú y Chile). No resulta inverosímil suponer que esta pretensión estraté- gica está relacionada con la necesidad de contrarrestar las amenazas que acarrea el declinante proceso por el que transita el poder global de los Estados unidos, frente a la cada vez más fortalecida proyec-  ción de la república Popular China y las políticas diseñadas e instru- mentadas por el gobierno de la Federación rusa orientadas, según      la versión oficial estadounidense, a limitar el peso de su política en todas las áreas que forman parte de su esfera de influencia (Charasse, 2014). No constituye un dato menor el hecho de que la opinión públi- ca registre acercamientos entre China y rusia en torno a temas que van</w:t>
      </w:r>
      <w:r>
        <w:rPr>
          <w:spacing w:val="-5"/>
          <w:w w:val="110"/>
        </w:rPr>
        <w:t> </w:t>
      </w:r>
      <w:r>
        <w:rPr>
          <w:w w:val="110"/>
        </w:rPr>
        <w:t>desde</w:t>
      </w:r>
      <w:r>
        <w:rPr>
          <w:spacing w:val="-5"/>
          <w:w w:val="110"/>
        </w:rPr>
        <w:t> </w:t>
      </w:r>
      <w:r>
        <w:rPr>
          <w:w w:val="110"/>
        </w:rPr>
        <w:t>la</w:t>
      </w:r>
      <w:r>
        <w:rPr>
          <w:spacing w:val="-5"/>
          <w:w w:val="110"/>
        </w:rPr>
        <w:t> </w:t>
      </w:r>
      <w:r>
        <w:rPr>
          <w:w w:val="110"/>
        </w:rPr>
        <w:t>desdolarización</w:t>
      </w:r>
      <w:r>
        <w:rPr>
          <w:spacing w:val="-5"/>
          <w:w w:val="110"/>
        </w:rPr>
        <w:t> </w:t>
      </w:r>
      <w:r>
        <w:rPr>
          <w:w w:val="110"/>
        </w:rPr>
        <w:t>del</w:t>
      </w:r>
      <w:r>
        <w:rPr>
          <w:spacing w:val="-5"/>
          <w:w w:val="110"/>
        </w:rPr>
        <w:t> </w:t>
      </w:r>
      <w:r>
        <w:rPr>
          <w:w w:val="110"/>
        </w:rPr>
        <w:t>comercio</w:t>
      </w:r>
      <w:r>
        <w:rPr>
          <w:spacing w:val="-5"/>
          <w:w w:val="110"/>
        </w:rPr>
        <w:t> </w:t>
      </w:r>
      <w:r>
        <w:rPr>
          <w:w w:val="110"/>
        </w:rPr>
        <w:t>hasta</w:t>
      </w:r>
      <w:r>
        <w:rPr>
          <w:spacing w:val="-5"/>
          <w:w w:val="110"/>
        </w:rPr>
        <w:t> </w:t>
      </w:r>
      <w:r>
        <w:rPr>
          <w:w w:val="110"/>
        </w:rPr>
        <w:t>planteamientos</w:t>
      </w:r>
      <w:r>
        <w:rPr>
          <w:spacing w:val="-5"/>
          <w:w w:val="110"/>
        </w:rPr>
        <w:t> </w:t>
      </w:r>
      <w:r>
        <w:rPr>
          <w:w w:val="110"/>
        </w:rPr>
        <w:t>sobre acuerdos energéticos. En esa misma perspectiva tiene cabida geoes- tratégica el impulso a la iniciativa de la organización de Cooperación de shanghai y su gravitación favorable en la conformación del Grupo </w:t>
      </w:r>
      <w:r>
        <w:rPr>
          <w:w w:val="125"/>
        </w:rPr>
        <w:t>briCs, </w:t>
      </w:r>
      <w:r>
        <w:rPr>
          <w:w w:val="110"/>
        </w:rPr>
        <w:t>conformado por brasil, rusia, la india, la república Popular China y sudáfrica. </w:t>
      </w:r>
      <w:r>
        <w:rPr>
          <w:spacing w:val="-4"/>
          <w:w w:val="110"/>
        </w:rPr>
        <w:t>todas </w:t>
      </w:r>
      <w:r>
        <w:rPr>
          <w:w w:val="110"/>
        </w:rPr>
        <w:t>estas nuevas tramas de relacionamiento se están forjando al margen de la influencia norteamericana, así como   el desarrollo de las estrategias de estos bloques en materia de coo- </w:t>
      </w:r>
      <w:r>
        <w:rPr>
          <w:w w:val="110"/>
        </w:rPr>
        <w:t>peración</w:t>
      </w:r>
      <w:r>
        <w:rPr/>
        <w:t> </w:t>
      </w:r>
      <w:r>
        <w:rPr>
          <w:spacing w:val="-18"/>
        </w:rPr>
        <w:t> </w:t>
      </w:r>
      <w:r>
        <w:rPr>
          <w:w w:val="112"/>
        </w:rPr>
        <w:t>con</w:t>
      </w:r>
      <w:r>
        <w:rPr/>
        <w:t> </w:t>
      </w:r>
      <w:r>
        <w:rPr>
          <w:spacing w:val="-18"/>
        </w:rPr>
        <w:t> </w:t>
      </w:r>
      <w:r>
        <w:rPr>
          <w:w w:val="139"/>
        </w:rPr>
        <w:t>a</w:t>
      </w:r>
      <w:r>
        <w:rPr>
          <w:w w:val="111"/>
        </w:rPr>
        <w:t>mérica</w:t>
      </w:r>
      <w:r>
        <w:rPr/>
        <w:t> </w:t>
      </w:r>
      <w:r>
        <w:rPr>
          <w:spacing w:val="-18"/>
        </w:rPr>
        <w:t> </w:t>
      </w:r>
      <w:r>
        <w:rPr>
          <w:w w:val="243"/>
        </w:rPr>
        <w:t>l</w:t>
      </w:r>
      <w:r>
        <w:rPr>
          <w:w w:val="111"/>
        </w:rPr>
        <w:t>atina</w:t>
      </w:r>
      <w:r>
        <w:rPr/>
        <w:t> </w:t>
      </w:r>
      <w:r>
        <w:rPr>
          <w:spacing w:val="-18"/>
        </w:rPr>
        <w:t> </w:t>
      </w:r>
      <w:r>
        <w:rPr>
          <w:w w:val="105"/>
        </w:rPr>
        <w:t>y</w:t>
      </w:r>
      <w:r>
        <w:rPr/>
        <w:t> </w:t>
      </w:r>
      <w:r>
        <w:rPr>
          <w:spacing w:val="-18"/>
        </w:rPr>
        <w:t> </w:t>
      </w:r>
      <w:r>
        <w:rPr>
          <w:w w:val="107"/>
        </w:rPr>
        <w:t>el</w:t>
      </w:r>
      <w:r>
        <w:rPr/>
        <w:t> </w:t>
      </w:r>
      <w:r>
        <w:rPr>
          <w:spacing w:val="-18"/>
        </w:rPr>
        <w:t> </w:t>
      </w:r>
      <w:r>
        <w:rPr>
          <w:w w:val="114"/>
        </w:rPr>
        <w:t>Caribe,</w:t>
      </w:r>
      <w:r>
        <w:rPr/>
        <w:t> </w:t>
      </w:r>
      <w:r>
        <w:rPr>
          <w:spacing w:val="-18"/>
        </w:rPr>
        <w:t> </w:t>
      </w:r>
      <w:r>
        <w:rPr>
          <w:w w:val="110"/>
        </w:rPr>
        <w:t>incluyendo</w:t>
      </w:r>
      <w:r>
        <w:rPr/>
        <w:t> </w:t>
      </w:r>
      <w:r>
        <w:rPr>
          <w:spacing w:val="-18"/>
        </w:rPr>
        <w:t> </w:t>
      </w:r>
      <w:r>
        <w:rPr>
          <w:w w:val="109"/>
        </w:rPr>
        <w:t>las</w:t>
      </w:r>
      <w:r>
        <w:rPr/>
        <w:t> </w:t>
      </w:r>
      <w:r>
        <w:rPr>
          <w:spacing w:val="-18"/>
        </w:rPr>
        <w:t> </w:t>
      </w:r>
      <w:r>
        <w:rPr>
          <w:w w:val="107"/>
        </w:rPr>
        <w:t>de</w:t>
      </w:r>
      <w:r>
        <w:rPr/>
        <w:t> </w:t>
      </w:r>
      <w:r>
        <w:rPr>
          <w:spacing w:val="-18"/>
        </w:rPr>
        <w:t> </w:t>
      </w:r>
      <w:r>
        <w:rPr>
          <w:w w:val="142"/>
        </w:rPr>
        <w:t>i</w:t>
      </w:r>
      <w:r>
        <w:rPr>
          <w:w w:val="110"/>
        </w:rPr>
        <w:t>rán</w:t>
      </w:r>
      <w:r>
        <w:rPr/>
        <w:t> </w:t>
      </w:r>
      <w:r>
        <w:rPr>
          <w:spacing w:val="-18"/>
        </w:rPr>
        <w:t> </w:t>
      </w:r>
      <w:r>
        <w:rPr>
          <w:w w:val="112"/>
        </w:rPr>
        <w:t>con </w:t>
      </w:r>
      <w:r>
        <w:rPr>
          <w:w w:val="110"/>
        </w:rPr>
        <w:t>algunos países de nuestra</w:t>
      </w:r>
      <w:r>
        <w:rPr>
          <w:spacing w:val="23"/>
          <w:w w:val="110"/>
        </w:rPr>
        <w:t> </w:t>
      </w:r>
      <w:r>
        <w:rPr>
          <w:w w:val="110"/>
        </w:rPr>
        <w:t>región.</w:t>
      </w:r>
    </w:p>
    <w:p>
      <w:pPr>
        <w:pStyle w:val="BodyText"/>
        <w:spacing w:line="252" w:lineRule="auto"/>
        <w:ind w:left="100" w:right="327" w:firstLine="396"/>
        <w:jc w:val="both"/>
      </w:pPr>
      <w:r>
        <w:rPr>
          <w:w w:val="110"/>
        </w:rPr>
        <w:t>No debe </w:t>
      </w:r>
      <w:r>
        <w:rPr>
          <w:spacing w:val="-3"/>
          <w:w w:val="110"/>
        </w:rPr>
        <w:t>extrañar, </w:t>
      </w:r>
      <w:r>
        <w:rPr>
          <w:w w:val="110"/>
        </w:rPr>
        <w:t>entonces, que la aP tienda a estrechar sus lazos con el acuerdo de asociación transpacífico </w:t>
      </w:r>
      <w:r>
        <w:rPr>
          <w:spacing w:val="-6"/>
          <w:w w:val="110"/>
        </w:rPr>
        <w:t>(tPP, </w:t>
      </w:r>
      <w:r>
        <w:rPr>
          <w:w w:val="110"/>
        </w:rPr>
        <w:t>por sus siglas de ori- gen), que cuenta desde temprano con el impulso de Estados unidos, de algunos organismos multilaterales como el banco Mundial y el banco interamericano de desarrollo, y que ha concitado el interés de otros gobiernos como el Costa rica, Panamá, Canadá, España, Nueva Zelanda, </w:t>
      </w:r>
      <w:r>
        <w:rPr>
          <w:spacing w:val="-3"/>
          <w:w w:val="110"/>
        </w:rPr>
        <w:t>singapur, </w:t>
      </w:r>
      <w:r>
        <w:rPr>
          <w:w w:val="110"/>
        </w:rPr>
        <w:t>entre otros. ¿Nueva ofensiva del gran capital trans- nacional y el comercio privado? Es lo más probable. si la ganancia  está en el foco de interés, junto con la promoción más amplia del libre comercio, articulando áreas de interés y explotación a espaldas del mundo del trabajo y de los derechos. su implicancia geopolítica resul- ta evidente. una lectura desde el sur admite la hipótesis en el sentido de la intencionalidad estratégica del poder hegemónico</w:t>
      </w:r>
      <w:r>
        <w:rPr>
          <w:spacing w:val="-14"/>
          <w:w w:val="110"/>
        </w:rPr>
        <w:t> </w:t>
      </w:r>
      <w:r>
        <w:rPr>
          <w:w w:val="110"/>
        </w:rPr>
        <w:t>estadouniden-</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se en el hemisferio, que busca impedir el surgimiento y desarrollo     de bloques fuera de su control. En la densidad de estos procesos se juegan los factores de recomposición geoestratégica. Mientras, desde la política, va mostrando el hecho de que tanto la aP como la </w:t>
      </w:r>
      <w:r>
        <w:rPr>
          <w:w w:val="125"/>
        </w:rPr>
        <w:t>tPP </w:t>
      </w:r>
      <w:r>
        <w:rPr>
          <w:w w:val="110"/>
        </w:rPr>
        <w:t>son fenómenos en proceso, que no han cursado el filtro de la deliberación dentro de las instituciones ni menos hacia las sociedades involucra- </w:t>
      </w:r>
      <w:r>
        <w:rPr>
          <w:w w:val="112"/>
        </w:rPr>
        <w:t>das.</w:t>
      </w:r>
      <w:r>
        <w:rPr/>
        <w:t> </w:t>
      </w:r>
      <w:r>
        <w:rPr>
          <w:spacing w:val="-20"/>
        </w:rPr>
        <w:t> </w:t>
      </w:r>
      <w:r>
        <w:rPr>
          <w:w w:val="243"/>
        </w:rPr>
        <w:t>l</w:t>
      </w:r>
      <w:r>
        <w:rPr>
          <w:w w:val="109"/>
        </w:rPr>
        <w:t>as</w:t>
      </w:r>
      <w:r>
        <w:rPr/>
        <w:t> </w:t>
      </w:r>
      <w:r>
        <w:rPr>
          <w:spacing w:val="-20"/>
        </w:rPr>
        <w:t> </w:t>
      </w:r>
      <w:r>
        <w:rPr>
          <w:w w:val="109"/>
        </w:rPr>
        <w:t>primeras</w:t>
      </w:r>
      <w:r>
        <w:rPr/>
        <w:t> </w:t>
      </w:r>
      <w:r>
        <w:rPr>
          <w:spacing w:val="-20"/>
        </w:rPr>
        <w:t> </w:t>
      </w:r>
      <w:r>
        <w:rPr>
          <w:w w:val="111"/>
        </w:rPr>
        <w:t>noticias</w:t>
      </w:r>
      <w:r>
        <w:rPr/>
        <w:t> </w:t>
      </w:r>
      <w:r>
        <w:rPr>
          <w:spacing w:val="-20"/>
        </w:rPr>
        <w:t> </w:t>
      </w:r>
      <w:r>
        <w:rPr>
          <w:w w:val="107"/>
        </w:rPr>
        <w:t>de</w:t>
      </w:r>
      <w:r>
        <w:rPr/>
        <w:t> </w:t>
      </w:r>
      <w:r>
        <w:rPr>
          <w:spacing w:val="-20"/>
        </w:rPr>
        <w:t> </w:t>
      </w:r>
      <w:r>
        <w:rPr>
          <w:w w:val="106"/>
        </w:rPr>
        <w:t>estos</w:t>
      </w:r>
      <w:r>
        <w:rPr/>
        <w:t> </w:t>
      </w:r>
      <w:r>
        <w:rPr>
          <w:spacing w:val="-20"/>
        </w:rPr>
        <w:t> </w:t>
      </w:r>
      <w:r>
        <w:rPr>
          <w:w w:val="109"/>
        </w:rPr>
        <w:t>planes</w:t>
      </w:r>
      <w:r>
        <w:rPr/>
        <w:t> </w:t>
      </w:r>
      <w:r>
        <w:rPr>
          <w:spacing w:val="-20"/>
        </w:rPr>
        <w:t> </w:t>
      </w:r>
      <w:r>
        <w:rPr>
          <w:w w:val="109"/>
        </w:rPr>
        <w:t>son</w:t>
      </w:r>
      <w:r>
        <w:rPr/>
        <w:t> </w:t>
      </w:r>
      <w:r>
        <w:rPr>
          <w:spacing w:val="-20"/>
        </w:rPr>
        <w:t> </w:t>
      </w:r>
      <w:r>
        <w:rPr>
          <w:w w:val="109"/>
        </w:rPr>
        <w:t>trascendidos</w:t>
      </w:r>
      <w:r>
        <w:rPr/>
        <w:t> </w:t>
      </w:r>
      <w:r>
        <w:rPr>
          <w:spacing w:val="-20"/>
        </w:rPr>
        <w:t> </w:t>
      </w:r>
      <w:r>
        <w:rPr>
          <w:w w:val="107"/>
        </w:rPr>
        <w:t>de</w:t>
      </w:r>
      <w:r>
        <w:rPr/>
        <w:t> </w:t>
      </w:r>
      <w:r>
        <w:rPr>
          <w:spacing w:val="-20"/>
        </w:rPr>
        <w:t> </w:t>
      </w:r>
      <w:r>
        <w:rPr>
          <w:w w:val="111"/>
        </w:rPr>
        <w:t>info</w:t>
      </w:r>
      <w:r>
        <w:rPr>
          <w:spacing w:val="-14"/>
          <w:w w:val="111"/>
        </w:rPr>
        <w:t>r</w:t>
      </w:r>
      <w:r>
        <w:rPr>
          <w:w w:val="102"/>
        </w:rPr>
        <w:t>- </w:t>
      </w:r>
      <w:r>
        <w:rPr>
          <w:w w:val="110"/>
        </w:rPr>
        <w:t>maciones parciales y otras referidas en un principio por Wikileaks </w:t>
      </w:r>
      <w:hyperlink r:id="rId450">
        <w:r>
          <w:rPr>
            <w:w w:val="110"/>
          </w:rPr>
          <w:t>(&lt;http://goo.gl/f8hJwt&gt;).</w:t>
        </w:r>
      </w:hyperlink>
      <w:r>
        <w:rPr>
          <w:w w:val="110"/>
        </w:rPr>
        <w:t> Mientras tanto, podemos razonablemente plantear que no están muy claros ni visibilizados los aspectos sustan- tivos que los gobiernos de la región, involucrados en tales proyectos, están negociando con Estados  </w:t>
      </w:r>
      <w:r>
        <w:rPr>
          <w:spacing w:val="4"/>
          <w:w w:val="110"/>
        </w:rPr>
        <w:t> </w:t>
      </w:r>
      <w:r>
        <w:rPr>
          <w:w w:val="110"/>
        </w:rPr>
        <w:t>unidos.</w:t>
      </w:r>
    </w:p>
    <w:p>
      <w:pPr>
        <w:pStyle w:val="BodyText"/>
        <w:spacing w:line="252" w:lineRule="auto"/>
        <w:ind w:left="330" w:right="117" w:firstLine="396"/>
        <w:jc w:val="both"/>
      </w:pPr>
      <w:r>
        <w:rPr>
          <w:w w:val="243"/>
        </w:rPr>
        <w:t>l</w:t>
      </w:r>
      <w:r>
        <w:rPr>
          <w:w w:val="109"/>
        </w:rPr>
        <w:t>legado</w:t>
      </w:r>
      <w:r>
        <w:rPr/>
        <w:t> </w:t>
      </w:r>
      <w:r>
        <w:rPr>
          <w:w w:val="112"/>
        </w:rPr>
        <w:t>a</w:t>
      </w:r>
      <w:r>
        <w:rPr/>
        <w:t> </w:t>
      </w:r>
      <w:r>
        <w:rPr>
          <w:w w:val="105"/>
        </w:rPr>
        <w:t>este</w:t>
      </w:r>
      <w:r>
        <w:rPr/>
        <w:t> </w:t>
      </w:r>
      <w:r>
        <w:rPr>
          <w:w w:val="110"/>
        </w:rPr>
        <w:t>punto</w:t>
      </w:r>
      <w:r>
        <w:rPr/>
        <w:t> </w:t>
      </w:r>
      <w:r>
        <w:rPr>
          <w:w w:val="105"/>
        </w:rPr>
        <w:t>es</w:t>
      </w:r>
      <w:r>
        <w:rPr/>
        <w:t> </w:t>
      </w:r>
      <w:r>
        <w:rPr>
          <w:w w:val="109"/>
        </w:rPr>
        <w:t>preciso</w:t>
      </w:r>
      <w:r>
        <w:rPr/>
        <w:t> </w:t>
      </w:r>
      <w:r>
        <w:rPr>
          <w:w w:val="109"/>
        </w:rPr>
        <w:t>reconocer</w:t>
      </w:r>
      <w:r>
        <w:rPr/>
        <w:t> </w:t>
      </w:r>
      <w:r>
        <w:rPr>
          <w:w w:val="108"/>
        </w:rPr>
        <w:t>que</w:t>
      </w:r>
      <w:r>
        <w:rPr/>
        <w:t> </w:t>
      </w:r>
      <w:r>
        <w:rPr>
          <w:w w:val="109"/>
        </w:rPr>
        <w:t>si</w:t>
      </w:r>
      <w:r>
        <w:rPr/>
        <w:t> </w:t>
      </w:r>
      <w:r>
        <w:rPr>
          <w:w w:val="110"/>
        </w:rPr>
        <w:t>bien</w:t>
      </w:r>
      <w:r>
        <w:rPr/>
        <w:t> </w:t>
      </w:r>
      <w:r>
        <w:rPr>
          <w:w w:val="107"/>
        </w:rPr>
        <w:t>el</w:t>
      </w:r>
      <w:r>
        <w:rPr/>
        <w:t> </w:t>
      </w:r>
      <w:r>
        <w:rPr>
          <w:w w:val="109"/>
        </w:rPr>
        <w:t>liderazgo </w:t>
      </w:r>
      <w:r>
        <w:rPr>
          <w:w w:val="110"/>
        </w:rPr>
        <w:t>estadounidense enfrenta una disminución relativa de su capacidad de dominación sobre el sistema internacional, así como su gravitación económica global, no es menos cierto que esta tendencia no se trasla- </w:t>
      </w:r>
      <w:r>
        <w:rPr>
          <w:w w:val="110"/>
        </w:rPr>
        <w:t>da</w:t>
      </w:r>
      <w:r>
        <w:rPr/>
        <w:t> </w:t>
      </w:r>
      <w:r>
        <w:rPr>
          <w:w w:val="111"/>
        </w:rPr>
        <w:t>mecánicamente</w:t>
      </w:r>
      <w:r>
        <w:rPr/>
        <w:t> </w:t>
      </w:r>
      <w:r>
        <w:rPr>
          <w:w w:val="112"/>
        </w:rPr>
        <w:t>a</w:t>
      </w:r>
      <w:r>
        <w:rPr/>
        <w:t> </w:t>
      </w:r>
      <w:r>
        <w:rPr>
          <w:w w:val="139"/>
        </w:rPr>
        <w:t>a</w:t>
      </w:r>
      <w:r>
        <w:rPr>
          <w:w w:val="111"/>
        </w:rPr>
        <w:t>mérica</w:t>
      </w:r>
      <w:r>
        <w:rPr/>
        <w:t> </w:t>
      </w:r>
      <w:r>
        <w:rPr>
          <w:w w:val="243"/>
        </w:rPr>
        <w:t>l</w:t>
      </w:r>
      <w:r>
        <w:rPr>
          <w:w w:val="111"/>
        </w:rPr>
        <w:t>atina</w:t>
      </w:r>
      <w:r>
        <w:rPr/>
        <w:t> </w:t>
      </w:r>
      <w:r>
        <w:rPr>
          <w:w w:val="105"/>
        </w:rPr>
        <w:t>y</w:t>
      </w:r>
      <w:r>
        <w:rPr/>
        <w:t> </w:t>
      </w:r>
      <w:r>
        <w:rPr>
          <w:w w:val="107"/>
        </w:rPr>
        <w:t>el</w:t>
      </w:r>
      <w:r>
        <w:rPr/>
        <w:t> </w:t>
      </w:r>
      <w:r>
        <w:rPr>
          <w:w w:val="114"/>
        </w:rPr>
        <w:t>Caribe.</w:t>
      </w:r>
      <w:r>
        <w:rPr/>
        <w:t> </w:t>
      </w:r>
      <w:r>
        <w:rPr>
          <w:w w:val="115"/>
        </w:rPr>
        <w:t>No</w:t>
      </w:r>
      <w:r>
        <w:rPr/>
        <w:t> </w:t>
      </w:r>
      <w:r>
        <w:rPr>
          <w:w w:val="108"/>
        </w:rPr>
        <w:t>sería</w:t>
      </w:r>
      <w:r>
        <w:rPr/>
        <w:t> </w:t>
      </w:r>
      <w:r>
        <w:rPr>
          <w:w w:val="110"/>
        </w:rPr>
        <w:t>exagerado, </w:t>
      </w:r>
      <w:r>
        <w:rPr>
          <w:w w:val="110"/>
        </w:rPr>
        <w:t>entonces, proponer que ante un debilitamiento relativo de su peso en el escenario global y las fisuras advertibles en su tradicional hegemo- nía, Estados unidos propenderá a aferrarse con más fuerza a su an- tiguo “patio trasero”. de ahí que las señales de una declinación no necesariamente signifiquen una renuncia en su disposición para reto- mar el control de su tradicional “zona de influencia”. al considerar la articulación de procesos políticos que avanzan a pesar de la política estadounidense, al tiempo que se puede constatar que la relación de normalidad como subordinación regional hacia el Norte se encuentra trastocada, grave sería el error de suponer que estas expresiones de declive hegemónico no puedan ser remontadas.</w:t>
      </w:r>
    </w:p>
    <w:p>
      <w:pPr>
        <w:pStyle w:val="BodyText"/>
        <w:spacing w:line="252" w:lineRule="auto"/>
        <w:ind w:left="330" w:right="118" w:firstLine="396"/>
        <w:jc w:val="both"/>
      </w:pPr>
      <w:r>
        <w:rPr>
          <w:w w:val="115"/>
        </w:rPr>
        <w:t>Con estos elementos fundamentales de referencia y que confi- guran el actual escenario hemisférico, no se puede pasar por alto el punto de confrontación que se deriva de los proyectos políticos en </w:t>
      </w:r>
      <w:r>
        <w:rPr>
          <w:w w:val="113"/>
        </w:rPr>
        <w:t>pugna.</w:t>
      </w:r>
      <w:r>
        <w:rPr>
          <w:spacing w:val="5"/>
        </w:rPr>
        <w:t> </w:t>
      </w:r>
      <w:r>
        <w:rPr>
          <w:w w:val="139"/>
        </w:rPr>
        <w:t>a</w:t>
      </w:r>
      <w:r>
        <w:rPr>
          <w:w w:val="111"/>
        </w:rPr>
        <w:t>mérica</w:t>
      </w:r>
      <w:r>
        <w:rPr>
          <w:spacing w:val="5"/>
        </w:rPr>
        <w:t> </w:t>
      </w:r>
      <w:r>
        <w:rPr>
          <w:w w:val="243"/>
        </w:rPr>
        <w:t>l</w:t>
      </w:r>
      <w:r>
        <w:rPr>
          <w:w w:val="111"/>
        </w:rPr>
        <w:t>atina</w:t>
      </w:r>
      <w:r>
        <w:rPr>
          <w:spacing w:val="5"/>
        </w:rPr>
        <w:t> </w:t>
      </w:r>
      <w:r>
        <w:rPr>
          <w:w w:val="105"/>
        </w:rPr>
        <w:t>y</w:t>
      </w:r>
      <w:r>
        <w:rPr>
          <w:spacing w:val="5"/>
        </w:rPr>
        <w:t> </w:t>
      </w:r>
      <w:r>
        <w:rPr>
          <w:w w:val="107"/>
        </w:rPr>
        <w:t>el</w:t>
      </w:r>
      <w:r>
        <w:rPr>
          <w:spacing w:val="5"/>
        </w:rPr>
        <w:t> </w:t>
      </w:r>
      <w:r>
        <w:rPr>
          <w:w w:val="114"/>
        </w:rPr>
        <w:t>Caribe,</w:t>
      </w:r>
      <w:r>
        <w:rPr>
          <w:spacing w:val="5"/>
        </w:rPr>
        <w:t> </w:t>
      </w:r>
      <w:r>
        <w:rPr>
          <w:w w:val="108"/>
        </w:rPr>
        <w:t>en</w:t>
      </w:r>
      <w:r>
        <w:rPr>
          <w:spacing w:val="5"/>
        </w:rPr>
        <w:t> </w:t>
      </w:r>
      <w:r>
        <w:rPr>
          <w:w w:val="111"/>
        </w:rPr>
        <w:t>la</w:t>
      </w:r>
      <w:r>
        <w:rPr>
          <w:spacing w:val="5"/>
        </w:rPr>
        <w:t> </w:t>
      </w:r>
      <w:r>
        <w:rPr>
          <w:w w:val="111"/>
        </w:rPr>
        <w:t>dirección</w:t>
      </w:r>
      <w:r>
        <w:rPr>
          <w:spacing w:val="5"/>
        </w:rPr>
        <w:t> </w:t>
      </w:r>
      <w:r>
        <w:rPr>
          <w:w w:val="111"/>
        </w:rPr>
        <w:t>fundamental</w:t>
      </w:r>
      <w:r>
        <w:rPr>
          <w:spacing w:val="5"/>
        </w:rPr>
        <w:t> </w:t>
      </w:r>
      <w:r>
        <w:rPr>
          <w:w w:val="107"/>
        </w:rPr>
        <w:t>de</w:t>
      </w:r>
      <w:r>
        <w:rPr>
          <w:spacing w:val="5"/>
        </w:rPr>
        <w:t> </w:t>
      </w:r>
      <w:r>
        <w:rPr>
          <w:w w:val="108"/>
        </w:rPr>
        <w:t>sus </w:t>
      </w:r>
      <w:r>
        <w:rPr>
          <w:w w:val="115"/>
        </w:rPr>
        <w:t>procesos</w:t>
      </w:r>
      <w:r>
        <w:rPr>
          <w:spacing w:val="-24"/>
          <w:w w:val="115"/>
        </w:rPr>
        <w:t> </w:t>
      </w:r>
      <w:r>
        <w:rPr>
          <w:w w:val="115"/>
        </w:rPr>
        <w:t>de</w:t>
      </w:r>
      <w:r>
        <w:rPr>
          <w:spacing w:val="-24"/>
          <w:w w:val="115"/>
        </w:rPr>
        <w:t> </w:t>
      </w:r>
      <w:r>
        <w:rPr>
          <w:w w:val="115"/>
        </w:rPr>
        <w:t>cambio,</w:t>
      </w:r>
      <w:r>
        <w:rPr>
          <w:spacing w:val="-24"/>
          <w:w w:val="115"/>
        </w:rPr>
        <w:t> </w:t>
      </w:r>
      <w:r>
        <w:rPr>
          <w:w w:val="115"/>
        </w:rPr>
        <w:t>requiere</w:t>
      </w:r>
      <w:r>
        <w:rPr>
          <w:spacing w:val="-24"/>
          <w:w w:val="115"/>
        </w:rPr>
        <w:t> </w:t>
      </w:r>
      <w:r>
        <w:rPr>
          <w:w w:val="115"/>
        </w:rPr>
        <w:t>consolidar</w:t>
      </w:r>
      <w:r>
        <w:rPr>
          <w:spacing w:val="-24"/>
          <w:w w:val="115"/>
        </w:rPr>
        <w:t> </w:t>
      </w:r>
      <w:r>
        <w:rPr>
          <w:w w:val="115"/>
        </w:rPr>
        <w:t>sus</w:t>
      </w:r>
      <w:r>
        <w:rPr>
          <w:spacing w:val="-24"/>
          <w:w w:val="115"/>
        </w:rPr>
        <w:t> </w:t>
      </w:r>
      <w:r>
        <w:rPr>
          <w:w w:val="115"/>
        </w:rPr>
        <w:t>proyectos</w:t>
      </w:r>
      <w:r>
        <w:rPr>
          <w:spacing w:val="-24"/>
          <w:w w:val="115"/>
        </w:rPr>
        <w:t> </w:t>
      </w:r>
      <w:r>
        <w:rPr>
          <w:w w:val="115"/>
        </w:rPr>
        <w:t>de</w:t>
      </w:r>
      <w:r>
        <w:rPr>
          <w:spacing w:val="-24"/>
          <w:w w:val="115"/>
        </w:rPr>
        <w:t> </w:t>
      </w:r>
      <w:r>
        <w:rPr>
          <w:w w:val="115"/>
        </w:rPr>
        <w:t>desarrollo, fortaleciendo</w:t>
      </w:r>
      <w:r>
        <w:rPr>
          <w:spacing w:val="-26"/>
          <w:w w:val="115"/>
        </w:rPr>
        <w:t> </w:t>
      </w:r>
      <w:r>
        <w:rPr>
          <w:w w:val="115"/>
        </w:rPr>
        <w:t>sus</w:t>
      </w:r>
      <w:r>
        <w:rPr>
          <w:spacing w:val="-26"/>
          <w:w w:val="115"/>
        </w:rPr>
        <w:t> </w:t>
      </w:r>
      <w:r>
        <w:rPr>
          <w:w w:val="115"/>
        </w:rPr>
        <w:t>mecanismos</w:t>
      </w:r>
      <w:r>
        <w:rPr>
          <w:spacing w:val="-26"/>
          <w:w w:val="115"/>
        </w:rPr>
        <w:t> </w:t>
      </w:r>
      <w:r>
        <w:rPr>
          <w:w w:val="115"/>
        </w:rPr>
        <w:t>de</w:t>
      </w:r>
      <w:r>
        <w:rPr>
          <w:spacing w:val="-26"/>
          <w:w w:val="115"/>
        </w:rPr>
        <w:t> </w:t>
      </w:r>
      <w:r>
        <w:rPr>
          <w:w w:val="115"/>
        </w:rPr>
        <w:t>autodeterminación</w:t>
      </w:r>
      <w:r>
        <w:rPr>
          <w:spacing w:val="-26"/>
          <w:w w:val="115"/>
        </w:rPr>
        <w:t> </w:t>
      </w:r>
      <w:r>
        <w:rPr>
          <w:w w:val="115"/>
        </w:rPr>
        <w:t>para</w:t>
      </w:r>
      <w:r>
        <w:rPr>
          <w:spacing w:val="-26"/>
          <w:w w:val="115"/>
        </w:rPr>
        <w:t> </w:t>
      </w:r>
      <w:r>
        <w:rPr>
          <w:w w:val="115"/>
        </w:rPr>
        <w:t>integrarse </w:t>
      </w:r>
      <w:r>
        <w:rPr>
          <w:w w:val="109"/>
        </w:rPr>
        <w:t>plenamente</w:t>
      </w:r>
      <w:r>
        <w:rPr/>
        <w:t> </w:t>
      </w:r>
      <w:r>
        <w:rPr>
          <w:spacing w:val="-12"/>
        </w:rPr>
        <w:t> </w:t>
      </w:r>
      <w:r>
        <w:rPr>
          <w:w w:val="105"/>
        </w:rPr>
        <w:t>y</w:t>
      </w:r>
      <w:r>
        <w:rPr/>
        <w:t> </w:t>
      </w:r>
      <w:r>
        <w:rPr>
          <w:spacing w:val="-12"/>
        </w:rPr>
        <w:t> </w:t>
      </w:r>
      <w:r>
        <w:rPr>
          <w:w w:val="110"/>
        </w:rPr>
        <w:t>sin</w:t>
      </w:r>
      <w:r>
        <w:rPr/>
        <w:t> </w:t>
      </w:r>
      <w:r>
        <w:rPr>
          <w:spacing w:val="-12"/>
        </w:rPr>
        <w:t> </w:t>
      </w:r>
      <w:r>
        <w:rPr>
          <w:w w:val="111"/>
        </w:rPr>
        <w:t>subordinación</w:t>
      </w:r>
      <w:r>
        <w:rPr/>
        <w:t> </w:t>
      </w:r>
      <w:r>
        <w:rPr>
          <w:spacing w:val="-12"/>
        </w:rPr>
        <w:t> </w:t>
      </w:r>
      <w:r>
        <w:rPr>
          <w:w w:val="111"/>
        </w:rPr>
        <w:t>al</w:t>
      </w:r>
      <w:r>
        <w:rPr/>
        <w:t> </w:t>
      </w:r>
      <w:r>
        <w:rPr>
          <w:spacing w:val="-12"/>
        </w:rPr>
        <w:t> </w:t>
      </w:r>
      <w:r>
        <w:rPr>
          <w:w w:val="111"/>
        </w:rPr>
        <w:t>mundo</w:t>
      </w:r>
      <w:r>
        <w:rPr/>
        <w:t> </w:t>
      </w:r>
      <w:r>
        <w:rPr>
          <w:spacing w:val="-12"/>
        </w:rPr>
        <w:t> </w:t>
      </w:r>
      <w:r>
        <w:rPr>
          <w:w w:val="113"/>
        </w:rPr>
        <w:t>global.</w:t>
      </w:r>
      <w:r>
        <w:rPr/>
        <w:t> </w:t>
      </w:r>
      <w:r>
        <w:rPr>
          <w:spacing w:val="-12"/>
        </w:rPr>
        <w:t> </w:t>
      </w:r>
      <w:r>
        <w:rPr>
          <w:w w:val="243"/>
        </w:rPr>
        <w:t>l</w:t>
      </w:r>
      <w:r>
        <w:rPr>
          <w:w w:val="112"/>
        </w:rPr>
        <w:t>a</w:t>
      </w:r>
      <w:r>
        <w:rPr/>
        <w:t> </w:t>
      </w:r>
      <w:r>
        <w:rPr>
          <w:spacing w:val="-12"/>
        </w:rPr>
        <w:t> </w:t>
      </w:r>
      <w:r>
        <w:rPr>
          <w:w w:val="110"/>
        </w:rPr>
        <w:t>trama</w:t>
      </w:r>
      <w:r>
        <w:rPr/>
        <w:t> </w:t>
      </w:r>
      <w:r>
        <w:rPr>
          <w:spacing w:val="-12"/>
        </w:rPr>
        <w:t> </w:t>
      </w:r>
      <w:r>
        <w:rPr>
          <w:w w:val="107"/>
        </w:rPr>
        <w:t>de</w:t>
      </w:r>
      <w:r>
        <w:rPr/>
        <w:t> </w:t>
      </w:r>
      <w:r>
        <w:rPr>
          <w:spacing w:val="-12"/>
        </w:rPr>
        <w:t> </w:t>
      </w:r>
      <w:r>
        <w:rPr>
          <w:w w:val="109"/>
        </w:rPr>
        <w:t>inte</w:t>
      </w:r>
      <w:r>
        <w:rPr>
          <w:w w:val="102"/>
        </w:rPr>
        <w:t>- </w:t>
      </w:r>
      <w:r>
        <w:rPr>
          <w:w w:val="115"/>
        </w:rPr>
        <w:t>reses</w:t>
      </w:r>
      <w:r>
        <w:rPr>
          <w:spacing w:val="-21"/>
          <w:w w:val="115"/>
        </w:rPr>
        <w:t> </w:t>
      </w:r>
      <w:r>
        <w:rPr>
          <w:w w:val="115"/>
        </w:rPr>
        <w:t>hegemónicos</w:t>
      </w:r>
      <w:r>
        <w:rPr>
          <w:spacing w:val="-21"/>
          <w:w w:val="115"/>
        </w:rPr>
        <w:t> </w:t>
      </w:r>
      <w:r>
        <w:rPr>
          <w:w w:val="115"/>
        </w:rPr>
        <w:t>no</w:t>
      </w:r>
      <w:r>
        <w:rPr>
          <w:spacing w:val="-21"/>
          <w:w w:val="115"/>
        </w:rPr>
        <w:t> </w:t>
      </w:r>
      <w:r>
        <w:rPr>
          <w:w w:val="115"/>
        </w:rPr>
        <w:t>está</w:t>
      </w:r>
      <w:r>
        <w:rPr>
          <w:spacing w:val="-21"/>
          <w:w w:val="115"/>
        </w:rPr>
        <w:t> </w:t>
      </w:r>
      <w:r>
        <w:rPr>
          <w:w w:val="115"/>
        </w:rPr>
        <w:t>en</w:t>
      </w:r>
      <w:r>
        <w:rPr>
          <w:spacing w:val="-21"/>
          <w:w w:val="115"/>
        </w:rPr>
        <w:t> </w:t>
      </w:r>
      <w:r>
        <w:rPr>
          <w:w w:val="115"/>
        </w:rPr>
        <w:t>condiciones</w:t>
      </w:r>
      <w:r>
        <w:rPr>
          <w:spacing w:val="-21"/>
          <w:w w:val="115"/>
        </w:rPr>
        <w:t> </w:t>
      </w:r>
      <w:r>
        <w:rPr>
          <w:w w:val="115"/>
        </w:rPr>
        <w:t>de</w:t>
      </w:r>
      <w:r>
        <w:rPr>
          <w:spacing w:val="-21"/>
          <w:w w:val="115"/>
        </w:rPr>
        <w:t> </w:t>
      </w:r>
      <w:r>
        <w:rPr>
          <w:w w:val="115"/>
        </w:rPr>
        <w:t>admitir</w:t>
      </w:r>
      <w:r>
        <w:rPr>
          <w:spacing w:val="-21"/>
          <w:w w:val="115"/>
        </w:rPr>
        <w:t> </w:t>
      </w:r>
      <w:r>
        <w:rPr>
          <w:w w:val="115"/>
        </w:rPr>
        <w:t>el</w:t>
      </w:r>
      <w:r>
        <w:rPr>
          <w:spacing w:val="-21"/>
          <w:w w:val="115"/>
        </w:rPr>
        <w:t> </w:t>
      </w:r>
      <w:r>
        <w:rPr>
          <w:w w:val="115"/>
        </w:rPr>
        <w:t>desarrollo</w:t>
      </w:r>
      <w:r>
        <w:rPr>
          <w:spacing w:val="-21"/>
          <w:w w:val="115"/>
        </w:rPr>
        <w:t> </w:t>
      </w:r>
      <w:r>
        <w:rPr>
          <w:w w:val="115"/>
        </w:rPr>
        <w:t>de proyectos</w:t>
      </w:r>
      <w:r>
        <w:rPr>
          <w:spacing w:val="-19"/>
          <w:w w:val="115"/>
        </w:rPr>
        <w:t> </w:t>
      </w:r>
      <w:r>
        <w:rPr>
          <w:w w:val="115"/>
        </w:rPr>
        <w:t>fuera</w:t>
      </w:r>
      <w:r>
        <w:rPr>
          <w:spacing w:val="-19"/>
          <w:w w:val="115"/>
        </w:rPr>
        <w:t> </w:t>
      </w:r>
      <w:r>
        <w:rPr>
          <w:w w:val="115"/>
        </w:rPr>
        <w:t>de</w:t>
      </w:r>
      <w:r>
        <w:rPr>
          <w:spacing w:val="-19"/>
          <w:w w:val="115"/>
        </w:rPr>
        <w:t> </w:t>
      </w:r>
      <w:r>
        <w:rPr>
          <w:w w:val="115"/>
        </w:rPr>
        <w:t>su</w:t>
      </w:r>
      <w:r>
        <w:rPr>
          <w:spacing w:val="-19"/>
          <w:w w:val="115"/>
        </w:rPr>
        <w:t> </w:t>
      </w:r>
      <w:r>
        <w:rPr>
          <w:w w:val="115"/>
        </w:rPr>
        <w:t>control</w:t>
      </w:r>
      <w:r>
        <w:rPr>
          <w:spacing w:val="-19"/>
          <w:w w:val="115"/>
        </w:rPr>
        <w:t> </w:t>
      </w:r>
      <w:r>
        <w:rPr>
          <w:w w:val="115"/>
        </w:rPr>
        <w:t>y</w:t>
      </w:r>
      <w:r>
        <w:rPr>
          <w:spacing w:val="-19"/>
          <w:w w:val="115"/>
        </w:rPr>
        <w:t> </w:t>
      </w:r>
      <w:r>
        <w:rPr>
          <w:w w:val="115"/>
        </w:rPr>
        <w:t>ámbito</w:t>
      </w:r>
      <w:r>
        <w:rPr>
          <w:spacing w:val="-19"/>
          <w:w w:val="115"/>
        </w:rPr>
        <w:t> </w:t>
      </w:r>
      <w:r>
        <w:rPr>
          <w:w w:val="115"/>
        </w:rPr>
        <w:t>de</w:t>
      </w:r>
      <w:r>
        <w:rPr>
          <w:spacing w:val="-19"/>
          <w:w w:val="115"/>
        </w:rPr>
        <w:t> </w:t>
      </w:r>
      <w:r>
        <w:rPr>
          <w:w w:val="115"/>
        </w:rPr>
        <w:t>influencia.</w:t>
      </w:r>
    </w:p>
    <w:p>
      <w:pPr>
        <w:pStyle w:val="BodyText"/>
        <w:spacing w:line="252" w:lineRule="auto"/>
        <w:ind w:left="330" w:right="118" w:firstLine="396"/>
        <w:jc w:val="both"/>
      </w:pPr>
      <w:r>
        <w:rPr>
          <w:w w:val="110"/>
        </w:rPr>
        <w:t>Por lo tanto, la discusión sobre políticas, prácticas y proyectos alternativos al modelo de desarrollo e integración dominante se en- cuentra abierta. Hay dos tendencias políticas en conflicto, que se di- namizan en un contexto de crisis del neoliberalismo y en un marco   de crisis del capitalismo como sistema global. su expresión alcanza hasta</w:t>
      </w:r>
      <w:r>
        <w:rPr>
          <w:spacing w:val="-5"/>
          <w:w w:val="110"/>
        </w:rPr>
        <w:t> </w:t>
      </w:r>
      <w:r>
        <w:rPr>
          <w:w w:val="110"/>
        </w:rPr>
        <w:t>el</w:t>
      </w:r>
      <w:r>
        <w:rPr>
          <w:spacing w:val="-5"/>
          <w:w w:val="110"/>
        </w:rPr>
        <w:t> </w:t>
      </w:r>
      <w:r>
        <w:rPr>
          <w:w w:val="110"/>
        </w:rPr>
        <w:t>perfil</w:t>
      </w:r>
      <w:r>
        <w:rPr>
          <w:spacing w:val="-5"/>
          <w:w w:val="110"/>
        </w:rPr>
        <w:t> </w:t>
      </w:r>
      <w:r>
        <w:rPr>
          <w:w w:val="110"/>
        </w:rPr>
        <w:t>que</w:t>
      </w:r>
      <w:r>
        <w:rPr>
          <w:spacing w:val="-5"/>
          <w:w w:val="110"/>
        </w:rPr>
        <w:t> </w:t>
      </w:r>
      <w:r>
        <w:rPr>
          <w:w w:val="110"/>
        </w:rPr>
        <w:t>adquieren</w:t>
      </w:r>
      <w:r>
        <w:rPr>
          <w:spacing w:val="-5"/>
          <w:w w:val="110"/>
        </w:rPr>
        <w:t> </w:t>
      </w:r>
      <w:r>
        <w:rPr>
          <w:w w:val="110"/>
        </w:rPr>
        <w:t>los</w:t>
      </w:r>
      <w:r>
        <w:rPr>
          <w:spacing w:val="-5"/>
          <w:w w:val="110"/>
        </w:rPr>
        <w:t> </w:t>
      </w:r>
      <w:r>
        <w:rPr>
          <w:w w:val="110"/>
        </w:rPr>
        <w:t>proyectos</w:t>
      </w:r>
      <w:r>
        <w:rPr>
          <w:spacing w:val="-5"/>
          <w:w w:val="110"/>
        </w:rPr>
        <w:t> </w:t>
      </w:r>
      <w:r>
        <w:rPr>
          <w:w w:val="110"/>
        </w:rPr>
        <w:t>de</w:t>
      </w:r>
      <w:r>
        <w:rPr>
          <w:spacing w:val="-5"/>
          <w:w w:val="110"/>
        </w:rPr>
        <w:t> </w:t>
      </w:r>
      <w:r>
        <w:rPr>
          <w:w w:val="110"/>
        </w:rPr>
        <w:t>integración</w:t>
      </w:r>
      <w:r>
        <w:rPr>
          <w:spacing w:val="-5"/>
          <w:w w:val="110"/>
        </w:rPr>
        <w:t> </w:t>
      </w:r>
      <w:r>
        <w:rPr>
          <w:w w:val="110"/>
        </w:rPr>
        <w:t>regional</w:t>
      </w:r>
      <w:r>
        <w:rPr>
          <w:spacing w:val="-5"/>
          <w:w w:val="110"/>
        </w:rPr>
        <w:t> </w:t>
      </w:r>
      <w:r>
        <w:rPr>
          <w:w w:val="110"/>
        </w:rPr>
        <w:t>que</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w w:val="110"/>
        </w:rPr>
        <w:t>se constituyen a partir de los procesos endógenos, en correlaciones específicas, cambiantes y contradictorias, y en plataformas guberna- mentales progresistas. En este escenario latinoamericano, la disputa por la dirección de los procesos políticos se encuentra abierta. su des- envolvimiento no deja exento ningún plano de la vida social, política   e ideológica incluyendo las bases epistemológicas comprometidas en las formas de comprender y diagnosticar la realidad (Hernández </w:t>
      </w:r>
      <w:r>
        <w:rPr>
          <w:spacing w:val="-4"/>
          <w:w w:val="110"/>
        </w:rPr>
        <w:t>Mar- </w:t>
      </w:r>
      <w:r>
        <w:rPr>
          <w:w w:val="110"/>
        </w:rPr>
        <w:t>tinez, 2008). antes que en otros planos de las prácticas sociales, es al interior de ese amplio campo ocupado por ideas en el que se forja el pensamiento crítico el lugar preferencial donde se hace indispensable fortalecer las posiciones comprensivas. su expresión multifacética y multiforme ocurre bajo la forma de agudas disputas de cara a los pro- </w:t>
      </w:r>
      <w:r>
        <w:rPr>
          <w:w w:val="108"/>
        </w:rPr>
        <w:t>cesos</w:t>
      </w:r>
      <w:r>
        <w:rPr/>
        <w:t> </w:t>
      </w:r>
      <w:r>
        <w:rPr>
          <w:spacing w:val="-6"/>
        </w:rPr>
        <w:t> </w:t>
      </w:r>
      <w:r>
        <w:rPr>
          <w:w w:val="112"/>
        </w:rPr>
        <w:t>políticos.</w:t>
      </w:r>
      <w:r>
        <w:rPr/>
        <w:t> </w:t>
      </w:r>
      <w:r>
        <w:rPr>
          <w:spacing w:val="-6"/>
        </w:rPr>
        <w:t> </w:t>
      </w:r>
      <w:r>
        <w:rPr>
          <w:w w:val="243"/>
        </w:rPr>
        <w:t>l</w:t>
      </w:r>
      <w:r>
        <w:rPr>
          <w:w w:val="112"/>
        </w:rPr>
        <w:t>a</w:t>
      </w:r>
      <w:r>
        <w:rPr/>
        <w:t> </w:t>
      </w:r>
      <w:r>
        <w:rPr>
          <w:spacing w:val="-6"/>
        </w:rPr>
        <w:t> </w:t>
      </w:r>
      <w:r>
        <w:rPr>
          <w:w w:val="109"/>
        </w:rPr>
        <w:t>disyuntiva</w:t>
      </w:r>
      <w:r>
        <w:rPr/>
        <w:t> </w:t>
      </w:r>
      <w:r>
        <w:rPr>
          <w:spacing w:val="-6"/>
        </w:rPr>
        <w:t> </w:t>
      </w:r>
      <w:r>
        <w:rPr>
          <w:w w:val="110"/>
        </w:rPr>
        <w:t>o</w:t>
      </w:r>
      <w:r>
        <w:rPr/>
        <w:t> </w:t>
      </w:r>
      <w:r>
        <w:rPr>
          <w:spacing w:val="-6"/>
        </w:rPr>
        <w:t> </w:t>
      </w:r>
      <w:r>
        <w:rPr>
          <w:w w:val="111"/>
        </w:rPr>
        <w:t>“punto</w:t>
      </w:r>
      <w:r>
        <w:rPr/>
        <w:t> </w:t>
      </w:r>
      <w:r>
        <w:rPr>
          <w:spacing w:val="-6"/>
        </w:rPr>
        <w:t> </w:t>
      </w:r>
      <w:r>
        <w:rPr>
          <w:w w:val="107"/>
        </w:rPr>
        <w:t>de</w:t>
      </w:r>
      <w:r>
        <w:rPr/>
        <w:t> </w:t>
      </w:r>
      <w:r>
        <w:rPr>
          <w:spacing w:val="-6"/>
        </w:rPr>
        <w:t> </w:t>
      </w:r>
      <w:r>
        <w:rPr>
          <w:w w:val="112"/>
        </w:rPr>
        <w:t>bifurcación</w:t>
      </w:r>
      <w:r>
        <w:rPr>
          <w:spacing w:val="-1"/>
          <w:w w:val="112"/>
        </w:rPr>
        <w:t>”</w:t>
      </w:r>
      <w:r>
        <w:rPr>
          <w:w w:val="103"/>
          <w:position w:val="6"/>
          <w:sz w:val="11"/>
        </w:rPr>
        <w:t>4</w:t>
      </w:r>
      <w:r>
        <w:rPr>
          <w:position w:val="6"/>
          <w:sz w:val="11"/>
        </w:rPr>
        <w:t>  </w:t>
      </w:r>
      <w:r>
        <w:rPr>
          <w:spacing w:val="5"/>
          <w:position w:val="6"/>
          <w:sz w:val="11"/>
        </w:rPr>
        <w:t> </w:t>
      </w:r>
      <w:r>
        <w:rPr>
          <w:w w:val="105"/>
        </w:rPr>
        <w:t>se</w:t>
      </w:r>
      <w:r>
        <w:rPr/>
        <w:t> </w:t>
      </w:r>
      <w:r>
        <w:rPr>
          <w:spacing w:val="-6"/>
        </w:rPr>
        <w:t> </w:t>
      </w:r>
      <w:r>
        <w:rPr>
          <w:w w:val="107"/>
        </w:rPr>
        <w:t>presenta </w:t>
      </w:r>
      <w:r>
        <w:rPr>
          <w:w w:val="110"/>
        </w:rPr>
        <w:t>entre la profundización de las transformaciones democráticas y anti- neoliberales, con sentido de autodeterminación –como en Venezuela, bolivia y Ecuador– o el proceso regresivo, desencadenando la recom- posición de fuerzas e intereses conservadores con apoyo norteame- ricano, abierto y encubierto, en la línea de los objetivos estratégicos de infringir derrotas políticas al campo progresista y sus expresiones gubernamentales más avanzadas. El neoliberalismo y su sistema de dominación están en crisis, pero lejos se encuentran de haber sido </w:t>
      </w:r>
      <w:r>
        <w:rPr>
          <w:w w:val="109"/>
        </w:rPr>
        <w:t>superados.</w:t>
      </w:r>
      <w:r>
        <w:rPr/>
        <w:t> </w:t>
      </w:r>
      <w:r>
        <w:rPr>
          <w:spacing w:val="-18"/>
        </w:rPr>
        <w:t> </w:t>
      </w:r>
      <w:r>
        <w:rPr>
          <w:w w:val="243"/>
        </w:rPr>
        <w:t>l</w:t>
      </w:r>
      <w:r>
        <w:rPr>
          <w:w w:val="108"/>
        </w:rPr>
        <w:t>os</w:t>
      </w:r>
      <w:r>
        <w:rPr/>
        <w:t> </w:t>
      </w:r>
      <w:r>
        <w:rPr>
          <w:spacing w:val="-18"/>
        </w:rPr>
        <w:t> </w:t>
      </w:r>
      <w:r>
        <w:rPr>
          <w:w w:val="108"/>
        </w:rPr>
        <w:t>proyectos</w:t>
      </w:r>
      <w:r>
        <w:rPr/>
        <w:t> </w:t>
      </w:r>
      <w:r>
        <w:rPr>
          <w:spacing w:val="-18"/>
        </w:rPr>
        <w:t> </w:t>
      </w:r>
      <w:r>
        <w:rPr>
          <w:w w:val="109"/>
        </w:rPr>
        <w:t>gubernamentales</w:t>
      </w:r>
      <w:r>
        <w:rPr/>
        <w:t> </w:t>
      </w:r>
      <w:r>
        <w:rPr>
          <w:spacing w:val="-18"/>
        </w:rPr>
        <w:t> </w:t>
      </w:r>
      <w:r>
        <w:rPr>
          <w:w w:val="107"/>
        </w:rPr>
        <w:t>de</w:t>
      </w:r>
      <w:r>
        <w:rPr/>
        <w:t> </w:t>
      </w:r>
      <w:r>
        <w:rPr>
          <w:spacing w:val="-18"/>
        </w:rPr>
        <w:t> </w:t>
      </w:r>
      <w:r>
        <w:rPr>
          <w:w w:val="111"/>
        </w:rPr>
        <w:t>reforma,</w:t>
      </w:r>
      <w:r>
        <w:rPr/>
        <w:t> </w:t>
      </w:r>
      <w:r>
        <w:rPr>
          <w:spacing w:val="-18"/>
        </w:rPr>
        <w:t> </w:t>
      </w:r>
      <w:r>
        <w:rPr>
          <w:w w:val="107"/>
        </w:rPr>
        <w:t>de</w:t>
      </w:r>
      <w:r>
        <w:rPr/>
        <w:t> </w:t>
      </w:r>
      <w:r>
        <w:rPr>
          <w:spacing w:val="-18"/>
        </w:rPr>
        <w:t> </w:t>
      </w:r>
      <w:r>
        <w:rPr>
          <w:w w:val="111"/>
        </w:rPr>
        <w:t>profundi</w:t>
      </w:r>
      <w:r>
        <w:rPr>
          <w:w w:val="102"/>
        </w:rPr>
        <w:t>- </w:t>
      </w:r>
      <w:r>
        <w:rPr>
          <w:w w:val="110"/>
        </w:rPr>
        <w:t>zación democrática hacia nuevas perspectivas de participación y cam- bios en la institucionalidad vigente, en las franjas regionales en que están ocurriendo, lograron introducir correcciones importantes en la estructura económica y política del sistema. Con cada avance aparece la antidemocracia y los planes de reversión bajo diferentes ropajes.</w:t>
      </w:r>
      <w:r>
        <w:rPr>
          <w:spacing w:val="-30"/>
          <w:w w:val="110"/>
        </w:rPr>
        <w:t> </w:t>
      </w:r>
      <w:r>
        <w:rPr>
          <w:w w:val="110"/>
        </w:rPr>
        <w:t>En dependencia de la correlación de fuerzas las variantes se mueven des- de la desestabilización hasta los planes abiertamente golpistas, todo lo cual obliga a repensar los límites y los alcances de las políticas en curso y su capacidad de </w:t>
      </w:r>
      <w:r>
        <w:rPr>
          <w:spacing w:val="29"/>
          <w:w w:val="110"/>
        </w:rPr>
        <w:t> </w:t>
      </w:r>
      <w:r>
        <w:rPr>
          <w:w w:val="110"/>
        </w:rPr>
        <w:t>consolidación.</w:t>
      </w:r>
    </w:p>
    <w:p>
      <w:pPr>
        <w:pStyle w:val="BodyText"/>
        <w:spacing w:line="252" w:lineRule="auto"/>
        <w:ind w:left="120" w:right="328" w:firstLine="396"/>
        <w:jc w:val="both"/>
      </w:pPr>
      <w:r>
        <w:rPr>
          <w:w w:val="110"/>
        </w:rPr>
        <w:t>El actual momento político latinoamericano es muy delicado. Hasta en el terreno electoral que se apreciaba una de sus fortalezas, </w:t>
      </w:r>
      <w:r>
        <w:rPr>
          <w:w w:val="109"/>
        </w:rPr>
        <w:t>hoy</w:t>
      </w:r>
      <w:r>
        <w:rPr>
          <w:spacing w:val="8"/>
        </w:rPr>
        <w:t> </w:t>
      </w:r>
      <w:r>
        <w:rPr>
          <w:w w:val="105"/>
        </w:rPr>
        <w:t>se</w:t>
      </w:r>
      <w:r>
        <w:rPr>
          <w:spacing w:val="8"/>
        </w:rPr>
        <w:t> </w:t>
      </w:r>
      <w:r>
        <w:rPr>
          <w:w w:val="107"/>
        </w:rPr>
        <w:t>advierten</w:t>
      </w:r>
      <w:r>
        <w:rPr>
          <w:spacing w:val="8"/>
        </w:rPr>
        <w:t> </w:t>
      </w:r>
      <w:r>
        <w:rPr>
          <w:w w:val="109"/>
        </w:rPr>
        <w:t>signos</w:t>
      </w:r>
      <w:r>
        <w:rPr>
          <w:spacing w:val="8"/>
        </w:rPr>
        <w:t> </w:t>
      </w:r>
      <w:r>
        <w:rPr>
          <w:w w:val="108"/>
        </w:rPr>
        <w:t>semejantes</w:t>
      </w:r>
      <w:r>
        <w:rPr>
          <w:spacing w:val="8"/>
        </w:rPr>
        <w:t> </w:t>
      </w:r>
      <w:r>
        <w:rPr>
          <w:w w:val="112"/>
        </w:rPr>
        <w:t>a</w:t>
      </w:r>
      <w:r>
        <w:rPr>
          <w:spacing w:val="8"/>
        </w:rPr>
        <w:t> </w:t>
      </w:r>
      <w:r>
        <w:rPr>
          <w:w w:val="112"/>
        </w:rPr>
        <w:t>una</w:t>
      </w:r>
      <w:r>
        <w:rPr>
          <w:spacing w:val="8"/>
        </w:rPr>
        <w:t> </w:t>
      </w:r>
      <w:r>
        <w:rPr>
          <w:w w:val="112"/>
        </w:rPr>
        <w:t>falta</w:t>
      </w:r>
      <w:r>
        <w:rPr>
          <w:spacing w:val="8"/>
        </w:rPr>
        <w:t> </w:t>
      </w:r>
      <w:r>
        <w:rPr>
          <w:w w:val="107"/>
        </w:rPr>
        <w:t>de</w:t>
      </w:r>
      <w:r>
        <w:rPr>
          <w:spacing w:val="8"/>
        </w:rPr>
        <w:t> </w:t>
      </w:r>
      <w:r>
        <w:rPr>
          <w:w w:val="112"/>
        </w:rPr>
        <w:t>profundización.</w:t>
      </w:r>
      <w:r>
        <w:rPr>
          <w:spacing w:val="8"/>
        </w:rPr>
        <w:t> </w:t>
      </w:r>
      <w:r>
        <w:rPr>
          <w:w w:val="243"/>
        </w:rPr>
        <w:t>l</w:t>
      </w:r>
      <w:r>
        <w:rPr>
          <w:w w:val="108"/>
        </w:rPr>
        <w:t>os </w:t>
      </w:r>
      <w:r>
        <w:rPr>
          <w:w w:val="110"/>
        </w:rPr>
        <w:t>avances alcanzados por los gobiernos populares se enfrentan a las amenazas de estancamiento, en cuyo caso significa que los peligros   de la reversión no están muy lejos. Hay síntomas de desaceleración    si consideramos la fuerza de aquel impulso inicialmente desplegado, especialmente desde 2005. El reposicionamiento conservador con el apoyo, abierto o encubierto, de la política estadounidense conspira   en</w:t>
      </w:r>
      <w:r>
        <w:rPr>
          <w:spacing w:val="35"/>
          <w:w w:val="110"/>
        </w:rPr>
        <w:t> </w:t>
      </w:r>
      <w:r>
        <w:rPr>
          <w:w w:val="110"/>
        </w:rPr>
        <w:t>función</w:t>
      </w:r>
      <w:r>
        <w:rPr>
          <w:spacing w:val="35"/>
          <w:w w:val="110"/>
        </w:rPr>
        <w:t> </w:t>
      </w:r>
      <w:r>
        <w:rPr>
          <w:w w:val="110"/>
        </w:rPr>
        <w:t>de</w:t>
      </w:r>
      <w:r>
        <w:rPr>
          <w:spacing w:val="35"/>
          <w:w w:val="110"/>
        </w:rPr>
        <w:t> </w:t>
      </w:r>
      <w:r>
        <w:rPr>
          <w:w w:val="110"/>
        </w:rPr>
        <w:t>una</w:t>
      </w:r>
      <w:r>
        <w:rPr>
          <w:spacing w:val="35"/>
          <w:w w:val="110"/>
        </w:rPr>
        <w:t> </w:t>
      </w:r>
      <w:r>
        <w:rPr>
          <w:w w:val="110"/>
        </w:rPr>
        <w:t>estrategia:</w:t>
      </w:r>
      <w:r>
        <w:rPr>
          <w:spacing w:val="35"/>
          <w:w w:val="110"/>
        </w:rPr>
        <w:t> </w:t>
      </w:r>
      <w:r>
        <w:rPr>
          <w:w w:val="110"/>
        </w:rPr>
        <w:t>recuperar</w:t>
      </w:r>
      <w:r>
        <w:rPr>
          <w:spacing w:val="35"/>
          <w:w w:val="110"/>
        </w:rPr>
        <w:t> </w:t>
      </w:r>
      <w:r>
        <w:rPr>
          <w:w w:val="110"/>
        </w:rPr>
        <w:t>espacios</w:t>
      </w:r>
      <w:r>
        <w:rPr>
          <w:spacing w:val="35"/>
          <w:w w:val="110"/>
        </w:rPr>
        <w:t> </w:t>
      </w:r>
      <w:r>
        <w:rPr>
          <w:w w:val="110"/>
        </w:rPr>
        <w:t>y</w:t>
      </w:r>
      <w:r>
        <w:rPr>
          <w:spacing w:val="35"/>
          <w:w w:val="110"/>
        </w:rPr>
        <w:t> </w:t>
      </w:r>
      <w:r>
        <w:rPr>
          <w:w w:val="110"/>
        </w:rPr>
        <w:t>recomponer</w:t>
      </w:r>
      <w:r>
        <w:rPr>
          <w:spacing w:val="35"/>
          <w:w w:val="110"/>
        </w:rPr>
        <w:t> </w:t>
      </w:r>
      <w:r>
        <w:rPr>
          <w:w w:val="110"/>
        </w:rPr>
        <w:t>los</w:t>
      </w:r>
    </w:p>
    <w:p>
      <w:pPr>
        <w:pStyle w:val="BodyText"/>
        <w:spacing w:before="7"/>
        <w:rPr>
          <w:sz w:val="15"/>
        </w:rPr>
      </w:pPr>
      <w:r>
        <w:rPr/>
        <w:pict>
          <v:line style="position:absolute;mso-position-horizontal-relative:page;mso-position-vertical-relative:paragraph;z-index:7672;mso-wrap-distance-left:0;mso-wrap-distance-right:0" from="51.023602pt,11.379834pt" to="79.369602pt,11.379834pt" stroked="true" strokeweight=".5pt" strokecolor="#000000">
            <w10:wrap type="topAndBottom"/>
          </v:line>
        </w:pict>
      </w:r>
    </w:p>
    <w:p>
      <w:pPr>
        <w:pStyle w:val="ListParagraph"/>
        <w:numPr>
          <w:ilvl w:val="0"/>
          <w:numId w:val="32"/>
        </w:numPr>
        <w:tabs>
          <w:tab w:pos="376" w:val="left" w:leader="none"/>
        </w:tabs>
        <w:spacing w:line="240" w:lineRule="auto" w:before="89" w:after="0"/>
        <w:ind w:left="375" w:right="0" w:hanging="255"/>
        <w:jc w:val="left"/>
        <w:rPr>
          <w:sz w:val="16"/>
        </w:rPr>
      </w:pPr>
      <w:r>
        <w:rPr>
          <w:spacing w:val="-15"/>
          <w:w w:val="191"/>
          <w:sz w:val="16"/>
        </w:rPr>
        <w:t>t</w:t>
      </w:r>
      <w:r>
        <w:rPr>
          <w:w w:val="109"/>
          <w:sz w:val="16"/>
        </w:rPr>
        <w:t>omo</w:t>
      </w:r>
      <w:r>
        <w:rPr>
          <w:spacing w:val="9"/>
          <w:sz w:val="16"/>
        </w:rPr>
        <w:t> </w:t>
      </w:r>
      <w:r>
        <w:rPr>
          <w:w w:val="105"/>
          <w:sz w:val="16"/>
        </w:rPr>
        <w:t>prestada</w:t>
      </w:r>
      <w:r>
        <w:rPr>
          <w:spacing w:val="9"/>
          <w:sz w:val="16"/>
        </w:rPr>
        <w:t> </w:t>
      </w:r>
      <w:r>
        <w:rPr>
          <w:w w:val="105"/>
          <w:sz w:val="16"/>
        </w:rPr>
        <w:t>esta</w:t>
      </w:r>
      <w:r>
        <w:rPr>
          <w:spacing w:val="9"/>
          <w:sz w:val="16"/>
        </w:rPr>
        <w:t> </w:t>
      </w:r>
      <w:r>
        <w:rPr>
          <w:w w:val="107"/>
          <w:sz w:val="16"/>
        </w:rPr>
        <w:t>idea</w:t>
      </w:r>
      <w:r>
        <w:rPr>
          <w:spacing w:val="9"/>
          <w:sz w:val="16"/>
        </w:rPr>
        <w:t> </w:t>
      </w:r>
      <w:r>
        <w:rPr>
          <w:w w:val="104"/>
          <w:sz w:val="16"/>
        </w:rPr>
        <w:t>de</w:t>
      </w:r>
      <w:r>
        <w:rPr>
          <w:spacing w:val="9"/>
          <w:sz w:val="16"/>
        </w:rPr>
        <w:t> </w:t>
      </w:r>
      <w:r>
        <w:rPr>
          <w:w w:val="113"/>
          <w:sz w:val="16"/>
        </w:rPr>
        <w:t>García</w:t>
      </w:r>
      <w:r>
        <w:rPr>
          <w:spacing w:val="9"/>
          <w:sz w:val="16"/>
        </w:rPr>
        <w:t> </w:t>
      </w:r>
      <w:r>
        <w:rPr>
          <w:w w:val="238"/>
          <w:sz w:val="16"/>
        </w:rPr>
        <w:t>l</w:t>
      </w:r>
      <w:r>
        <w:rPr>
          <w:w w:val="107"/>
          <w:sz w:val="16"/>
        </w:rPr>
        <w:t>inera</w:t>
      </w:r>
      <w:r>
        <w:rPr>
          <w:spacing w:val="9"/>
          <w:sz w:val="16"/>
        </w:rPr>
        <w:t> </w:t>
      </w:r>
      <w:r>
        <w:rPr>
          <w:w w:val="101"/>
          <w:sz w:val="16"/>
        </w:rPr>
        <w:t>(2008).</w:t>
      </w:r>
    </w:p>
    <w:p>
      <w:pPr>
        <w:spacing w:after="0" w:line="240" w:lineRule="auto"/>
        <w:jc w:val="left"/>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7"/>
        <w:jc w:val="both"/>
      </w:pPr>
      <w:r>
        <w:rPr>
          <w:w w:val="107"/>
        </w:rPr>
        <w:t>soportes</w:t>
      </w:r>
      <w:r>
        <w:rPr/>
        <w:t> </w:t>
      </w:r>
      <w:r>
        <w:rPr>
          <w:w w:val="107"/>
        </w:rPr>
        <w:t>de</w:t>
      </w:r>
      <w:r>
        <w:rPr/>
        <w:t> </w:t>
      </w:r>
      <w:r>
        <w:rPr>
          <w:w w:val="111"/>
        </w:rPr>
        <w:t>la</w:t>
      </w:r>
      <w:r>
        <w:rPr/>
        <w:t> </w:t>
      </w:r>
      <w:r>
        <w:rPr>
          <w:w w:val="113"/>
        </w:rPr>
        <w:t>dominación.</w:t>
      </w:r>
      <w:r>
        <w:rPr/>
        <w:t> </w:t>
      </w:r>
      <w:r>
        <w:rPr>
          <w:w w:val="243"/>
        </w:rPr>
        <w:t>l</w:t>
      </w:r>
      <w:r>
        <w:rPr>
          <w:w w:val="109"/>
        </w:rPr>
        <w:t>as</w:t>
      </w:r>
      <w:r>
        <w:rPr/>
        <w:t> </w:t>
      </w:r>
      <w:r>
        <w:rPr>
          <w:w w:val="110"/>
        </w:rPr>
        <w:t>prácticas</w:t>
      </w:r>
      <w:r>
        <w:rPr/>
        <w:t> </w:t>
      </w:r>
      <w:r>
        <w:rPr>
          <w:w w:val="109"/>
        </w:rPr>
        <w:t>desestabilizadoras,</w:t>
      </w:r>
      <w:r>
        <w:rPr/>
        <w:t> </w:t>
      </w:r>
      <w:r>
        <w:rPr>
          <w:w w:val="105"/>
        </w:rPr>
        <w:t>y</w:t>
      </w:r>
      <w:r>
        <w:rPr/>
        <w:t> </w:t>
      </w:r>
      <w:r>
        <w:rPr>
          <w:w w:val="108"/>
        </w:rPr>
        <w:t>sus</w:t>
      </w:r>
      <w:r>
        <w:rPr/>
        <w:t> </w:t>
      </w:r>
      <w:r>
        <w:rPr>
          <w:w w:val="106"/>
        </w:rPr>
        <w:t>va</w:t>
      </w:r>
      <w:r>
        <w:rPr>
          <w:w w:val="102"/>
        </w:rPr>
        <w:t>- </w:t>
      </w:r>
      <w:r>
        <w:rPr>
          <w:w w:val="110"/>
        </w:rPr>
        <w:t>riantes, son ingredientes de una ofensiva destinada a retrotraer los </w:t>
      </w:r>
      <w:r>
        <w:rPr>
          <w:w w:val="111"/>
        </w:rPr>
        <w:t>cambios</w:t>
      </w:r>
      <w:r>
        <w:rPr/>
        <w:t> </w:t>
      </w:r>
      <w:r>
        <w:rPr>
          <w:w w:val="110"/>
        </w:rPr>
        <w:t>políticos</w:t>
      </w:r>
      <w:r>
        <w:rPr/>
        <w:t> </w:t>
      </w:r>
      <w:r>
        <w:rPr>
          <w:w w:val="105"/>
        </w:rPr>
        <w:t>y</w:t>
      </w:r>
      <w:r>
        <w:rPr/>
        <w:t> </w:t>
      </w:r>
      <w:r>
        <w:rPr>
          <w:w w:val="109"/>
        </w:rPr>
        <w:t>las</w:t>
      </w:r>
      <w:r>
        <w:rPr/>
        <w:t> </w:t>
      </w:r>
      <w:r>
        <w:rPr>
          <w:w w:val="110"/>
        </w:rPr>
        <w:t>conquistas</w:t>
      </w:r>
      <w:r>
        <w:rPr/>
        <w:t> </w:t>
      </w:r>
      <w:r>
        <w:rPr>
          <w:w w:val="111"/>
        </w:rPr>
        <w:t>sociales.</w:t>
      </w:r>
      <w:r>
        <w:rPr/>
        <w:t> </w:t>
      </w:r>
      <w:r>
        <w:rPr>
          <w:w w:val="243"/>
        </w:rPr>
        <w:t>l</w:t>
      </w:r>
      <w:r>
        <w:rPr>
          <w:w w:val="108"/>
        </w:rPr>
        <w:t>os</w:t>
      </w:r>
      <w:r>
        <w:rPr/>
        <w:t> </w:t>
      </w:r>
      <w:r>
        <w:rPr>
          <w:w w:val="108"/>
        </w:rPr>
        <w:t>golpes</w:t>
      </w:r>
      <w:r>
        <w:rPr/>
        <w:t> </w:t>
      </w:r>
      <w:r>
        <w:rPr>
          <w:w w:val="107"/>
        </w:rPr>
        <w:t>de</w:t>
      </w:r>
      <w:r>
        <w:rPr/>
        <w:t> </w:t>
      </w:r>
      <w:r>
        <w:rPr>
          <w:w w:val="114"/>
        </w:rPr>
        <w:t>Estado,</w:t>
      </w:r>
      <w:r>
        <w:rPr/>
        <w:t> </w:t>
      </w:r>
      <w:r>
        <w:rPr>
          <w:w w:val="111"/>
        </w:rPr>
        <w:t>bajo </w:t>
      </w:r>
      <w:r>
        <w:rPr>
          <w:w w:val="110"/>
        </w:rPr>
        <w:t>cualquier modalidad, no están descartados para recuperar la hegemo- nía del poder en la región.</w:t>
      </w:r>
    </w:p>
    <w:p>
      <w:pPr>
        <w:pStyle w:val="BodyText"/>
        <w:spacing w:before="5"/>
      </w:pPr>
    </w:p>
    <w:p>
      <w:pPr>
        <w:pStyle w:val="Heading6"/>
        <w:ind w:left="331"/>
      </w:pPr>
      <w:r>
        <w:rPr>
          <w:w w:val="135"/>
        </w:rPr>
        <w:t>cuBa, estados unidos y aMérica latina</w:t>
      </w:r>
    </w:p>
    <w:p>
      <w:pPr>
        <w:pStyle w:val="BodyText"/>
        <w:spacing w:line="252" w:lineRule="auto" w:before="10"/>
        <w:ind w:left="330" w:right="117"/>
        <w:jc w:val="both"/>
      </w:pPr>
      <w:r>
        <w:rPr>
          <w:w w:val="110"/>
        </w:rPr>
        <w:t>El anuncio simultáneo de Cuba y Estados unidos de iniciar los pasos conducentes a la reanudación de relaciones constituye, a no dudarlo, un momento de inflexión histórica, con implicaciones significativas   no sólo para los dos países involucrados, sino también para las rela- ciones políticas internacionales, sobre todo para el entramado geopo- lítico interamericano y las nuevas tendencias hemisféricas. Estados unidos fundamentó su decisión de modificar la conducta oficial ha-  cia Cuba, sin que ello haya implicado una reconsideración abierta de sus intereses permanentes y estratégicos. de este lado, la mesurada intervención que al respecto formuló el gobierno cubano son, dife- renciadamente, valiosos movimientos diplomáticos. Completamente sorprendente para muchos, el anuncio hecho simultáneamente públi- co puede anticipar algo que de algún modo se encontraba desde hace tiempo anidado en una recíproca necesidad acorde con la Carta de   las Naciones unidas y los principios del derecho internacional. de allí que, aunque la normalización se advierta muy distante, esa decisión </w:t>
      </w:r>
      <w:r>
        <w:rPr>
          <w:w w:val="111"/>
        </w:rPr>
        <w:t>diplomática</w:t>
      </w:r>
      <w:r>
        <w:rPr>
          <w:spacing w:val="18"/>
        </w:rPr>
        <w:t> </w:t>
      </w:r>
      <w:r>
        <w:rPr>
          <w:w w:val="108"/>
        </w:rPr>
        <w:t>resulta</w:t>
      </w:r>
      <w:r>
        <w:rPr>
          <w:spacing w:val="18"/>
        </w:rPr>
        <w:t> </w:t>
      </w:r>
      <w:r>
        <w:rPr>
          <w:w w:val="111"/>
        </w:rPr>
        <w:t>significativa.</w:t>
      </w:r>
      <w:r>
        <w:rPr>
          <w:spacing w:val="18"/>
        </w:rPr>
        <w:t> </w:t>
      </w:r>
      <w:r>
        <w:rPr>
          <w:w w:val="243"/>
        </w:rPr>
        <w:t>l</w:t>
      </w:r>
      <w:r>
        <w:rPr>
          <w:w w:val="108"/>
        </w:rPr>
        <w:t>ejos</w:t>
      </w:r>
      <w:r>
        <w:rPr>
          <w:spacing w:val="18"/>
        </w:rPr>
        <w:t> </w:t>
      </w:r>
      <w:r>
        <w:rPr>
          <w:w w:val="107"/>
        </w:rPr>
        <w:t>del</w:t>
      </w:r>
      <w:r>
        <w:rPr>
          <w:spacing w:val="18"/>
        </w:rPr>
        <w:t> </w:t>
      </w:r>
      <w:r>
        <w:rPr>
          <w:w w:val="110"/>
        </w:rPr>
        <w:t>unilateralismo</w:t>
      </w:r>
      <w:r>
        <w:rPr>
          <w:spacing w:val="18"/>
        </w:rPr>
        <w:t> </w:t>
      </w:r>
      <w:r>
        <w:rPr>
          <w:w w:val="105"/>
        </w:rPr>
        <w:t>y</w:t>
      </w:r>
      <w:r>
        <w:rPr>
          <w:spacing w:val="18"/>
        </w:rPr>
        <w:t> </w:t>
      </w:r>
      <w:r>
        <w:rPr>
          <w:w w:val="107"/>
        </w:rPr>
        <w:t>de</w:t>
      </w:r>
      <w:r>
        <w:rPr>
          <w:spacing w:val="18"/>
        </w:rPr>
        <w:t> </w:t>
      </w:r>
      <w:r>
        <w:rPr>
          <w:w w:val="108"/>
        </w:rPr>
        <w:t>los</w:t>
      </w:r>
      <w:r>
        <w:rPr>
          <w:spacing w:val="18"/>
        </w:rPr>
        <w:t> </w:t>
      </w:r>
      <w:r>
        <w:rPr>
          <w:w w:val="105"/>
        </w:rPr>
        <w:t>e</w:t>
      </w:r>
      <w:r>
        <w:rPr>
          <w:spacing w:val="-1"/>
          <w:w w:val="105"/>
        </w:rPr>
        <w:t>s</w:t>
      </w:r>
      <w:r>
        <w:rPr>
          <w:w w:val="102"/>
        </w:rPr>
        <w:t>- </w:t>
      </w:r>
      <w:r>
        <w:rPr>
          <w:w w:val="110"/>
        </w:rPr>
        <w:t>quemas de imposición, la decisión anticipa la posibilidad de manjar las diferencias de otra manera, aunque se trate de sistemas diametral- mente contrapuestos e históricamente</w:t>
      </w:r>
      <w:r>
        <w:rPr>
          <w:spacing w:val="16"/>
          <w:w w:val="110"/>
        </w:rPr>
        <w:t> </w:t>
      </w:r>
      <w:r>
        <w:rPr>
          <w:w w:val="110"/>
        </w:rPr>
        <w:t>enfrentados.</w:t>
      </w:r>
    </w:p>
    <w:p>
      <w:pPr>
        <w:pStyle w:val="BodyText"/>
        <w:spacing w:line="252" w:lineRule="auto"/>
        <w:ind w:left="330" w:right="118" w:firstLine="396"/>
        <w:jc w:val="both"/>
        <w:rPr>
          <w:sz w:val="11"/>
        </w:rPr>
      </w:pPr>
      <w:r>
        <w:rPr>
          <w:spacing w:val="-1"/>
          <w:w w:val="243"/>
        </w:rPr>
        <w:t>l</w:t>
      </w:r>
      <w:r>
        <w:rPr>
          <w:spacing w:val="-1"/>
          <w:w w:val="109"/>
        </w:rPr>
        <w:t>a</w:t>
      </w:r>
      <w:r>
        <w:rPr>
          <w:w w:val="109"/>
        </w:rPr>
        <w:t>s</w:t>
      </w:r>
      <w:r>
        <w:rPr/>
        <w:t> </w:t>
      </w:r>
      <w:r>
        <w:rPr>
          <w:spacing w:val="-7"/>
        </w:rPr>
        <w:t> </w:t>
      </w:r>
      <w:r>
        <w:rPr>
          <w:spacing w:val="-1"/>
          <w:w w:val="108"/>
        </w:rPr>
        <w:t>expectativa</w:t>
      </w:r>
      <w:r>
        <w:rPr>
          <w:w w:val="108"/>
        </w:rPr>
        <w:t>s</w:t>
      </w:r>
      <w:r>
        <w:rPr/>
        <w:t> </w:t>
      </w:r>
      <w:r>
        <w:rPr>
          <w:spacing w:val="-7"/>
        </w:rPr>
        <w:t> </w:t>
      </w:r>
      <w:r>
        <w:rPr>
          <w:spacing w:val="-1"/>
          <w:w w:val="108"/>
        </w:rPr>
        <w:t>qu</w:t>
      </w:r>
      <w:r>
        <w:rPr>
          <w:w w:val="108"/>
        </w:rPr>
        <w:t>e</w:t>
      </w:r>
      <w:r>
        <w:rPr/>
        <w:t> </w:t>
      </w:r>
      <w:r>
        <w:rPr>
          <w:spacing w:val="-7"/>
        </w:rPr>
        <w:t> </w:t>
      </w:r>
      <w:r>
        <w:rPr>
          <w:spacing w:val="-1"/>
          <w:w w:val="111"/>
        </w:rPr>
        <w:t>a</w:t>
      </w:r>
      <w:r>
        <w:rPr>
          <w:w w:val="111"/>
        </w:rPr>
        <w:t>l</w:t>
      </w:r>
      <w:r>
        <w:rPr/>
        <w:t> </w:t>
      </w:r>
      <w:r>
        <w:rPr>
          <w:spacing w:val="-7"/>
        </w:rPr>
        <w:t> </w:t>
      </w:r>
      <w:r>
        <w:rPr>
          <w:spacing w:val="-1"/>
          <w:w w:val="107"/>
        </w:rPr>
        <w:t>respect</w:t>
      </w:r>
      <w:r>
        <w:rPr>
          <w:w w:val="107"/>
        </w:rPr>
        <w:t>o</w:t>
      </w:r>
      <w:r>
        <w:rPr/>
        <w:t> </w:t>
      </w:r>
      <w:r>
        <w:rPr>
          <w:spacing w:val="-7"/>
        </w:rPr>
        <w:t> </w:t>
      </w:r>
      <w:r>
        <w:rPr>
          <w:spacing w:val="-1"/>
          <w:w w:val="108"/>
        </w:rPr>
        <w:t>surge</w:t>
      </w:r>
      <w:r>
        <w:rPr>
          <w:w w:val="108"/>
        </w:rPr>
        <w:t>n</w:t>
      </w:r>
      <w:r>
        <w:rPr/>
        <w:t> </w:t>
      </w:r>
      <w:r>
        <w:rPr>
          <w:spacing w:val="-7"/>
        </w:rPr>
        <w:t> </w:t>
      </w:r>
      <w:r>
        <w:rPr>
          <w:spacing w:val="-1"/>
          <w:w w:val="108"/>
        </w:rPr>
        <w:t>e</w:t>
      </w:r>
      <w:r>
        <w:rPr>
          <w:w w:val="108"/>
        </w:rPr>
        <w:t>n</w:t>
      </w:r>
      <w:r>
        <w:rPr/>
        <w:t> </w:t>
      </w:r>
      <w:r>
        <w:rPr>
          <w:spacing w:val="-7"/>
        </w:rPr>
        <w:t> </w:t>
      </w:r>
      <w:r>
        <w:rPr>
          <w:spacing w:val="-1"/>
          <w:w w:val="110"/>
        </w:rPr>
        <w:t>l</w:t>
      </w:r>
      <w:r>
        <w:rPr>
          <w:w w:val="110"/>
        </w:rPr>
        <w:t>o</w:t>
      </w:r>
      <w:r>
        <w:rPr/>
        <w:t> </w:t>
      </w:r>
      <w:r>
        <w:rPr>
          <w:spacing w:val="-7"/>
        </w:rPr>
        <w:t> </w:t>
      </w:r>
      <w:r>
        <w:rPr>
          <w:spacing w:val="-1"/>
          <w:w w:val="110"/>
        </w:rPr>
        <w:t>inmediat</w:t>
      </w:r>
      <w:r>
        <w:rPr>
          <w:w w:val="110"/>
        </w:rPr>
        <w:t>o</w:t>
      </w:r>
      <w:r>
        <w:rPr/>
        <w:t> </w:t>
      </w:r>
      <w:r>
        <w:rPr>
          <w:spacing w:val="-7"/>
        </w:rPr>
        <w:t> </w:t>
      </w:r>
      <w:r>
        <w:rPr>
          <w:spacing w:val="-1"/>
          <w:w w:val="111"/>
        </w:rPr>
        <w:t>n</w:t>
      </w:r>
      <w:r>
        <w:rPr>
          <w:w w:val="111"/>
        </w:rPr>
        <w:t>o</w:t>
      </w:r>
      <w:r>
        <w:rPr/>
        <w:t> </w:t>
      </w:r>
      <w:r>
        <w:rPr>
          <w:spacing w:val="-7"/>
        </w:rPr>
        <w:t> </w:t>
      </w:r>
      <w:r>
        <w:rPr>
          <w:spacing w:val="-1"/>
          <w:w w:val="109"/>
        </w:rPr>
        <w:t>son </w:t>
      </w:r>
      <w:r>
        <w:rPr>
          <w:w w:val="110"/>
        </w:rPr>
        <w:t>uniformes. difícilmente podrían serlo y resulta completamente com- prensible concebir el período que se inaugura bajo la envoltura de nu- merosos interrogantes. ¿Qué es lo que ha hecho que la diplomacia es- tadounidense haya llegado a la conclusión de que tenía que modificar </w:t>
      </w:r>
      <w:r>
        <w:rPr>
          <w:spacing w:val="-1"/>
          <w:w w:val="109"/>
        </w:rPr>
        <w:t>s</w:t>
      </w:r>
      <w:r>
        <w:rPr>
          <w:w w:val="109"/>
        </w:rPr>
        <w:t>u</w:t>
      </w:r>
      <w:r>
        <w:rPr/>
        <w:t> </w:t>
      </w:r>
      <w:r>
        <w:rPr>
          <w:spacing w:val="-8"/>
        </w:rPr>
        <w:t> </w:t>
      </w:r>
      <w:r>
        <w:rPr>
          <w:spacing w:val="-1"/>
          <w:w w:val="111"/>
        </w:rPr>
        <w:t>conduct</w:t>
      </w:r>
      <w:r>
        <w:rPr>
          <w:w w:val="111"/>
        </w:rPr>
        <w:t>a</w:t>
      </w:r>
      <w:r>
        <w:rPr/>
        <w:t> </w:t>
      </w:r>
      <w:r>
        <w:rPr>
          <w:spacing w:val="-8"/>
        </w:rPr>
        <w:t> </w:t>
      </w:r>
      <w:r>
        <w:rPr>
          <w:spacing w:val="-1"/>
          <w:w w:val="111"/>
        </w:rPr>
        <w:t>polític</w:t>
      </w:r>
      <w:r>
        <w:rPr>
          <w:w w:val="111"/>
        </w:rPr>
        <w:t>a</w:t>
      </w:r>
      <w:r>
        <w:rPr/>
        <w:t> </w:t>
      </w:r>
      <w:r>
        <w:rPr>
          <w:spacing w:val="-8"/>
        </w:rPr>
        <w:t> </w:t>
      </w:r>
      <w:r>
        <w:rPr>
          <w:spacing w:val="-1"/>
          <w:w w:val="113"/>
        </w:rPr>
        <w:t>haci</w:t>
      </w:r>
      <w:r>
        <w:rPr>
          <w:w w:val="113"/>
        </w:rPr>
        <w:t>a</w:t>
      </w:r>
      <w:r>
        <w:rPr/>
        <w:t> </w:t>
      </w:r>
      <w:r>
        <w:rPr>
          <w:spacing w:val="-8"/>
        </w:rPr>
        <w:t> </w:t>
      </w:r>
      <w:r>
        <w:rPr>
          <w:spacing w:val="-1"/>
          <w:w w:val="115"/>
        </w:rPr>
        <w:t>Cuba</w:t>
      </w:r>
      <w:r>
        <w:rPr>
          <w:w w:val="115"/>
        </w:rPr>
        <w:t>?</w:t>
      </w:r>
      <w:r>
        <w:rPr/>
        <w:t> </w:t>
      </w:r>
      <w:r>
        <w:rPr>
          <w:spacing w:val="-8"/>
        </w:rPr>
        <w:t> </w:t>
      </w:r>
      <w:r>
        <w:rPr>
          <w:spacing w:val="-1"/>
          <w:w w:val="243"/>
        </w:rPr>
        <w:t>l</w:t>
      </w:r>
      <w:r>
        <w:rPr>
          <w:w w:val="112"/>
        </w:rPr>
        <w:t>a</w:t>
      </w:r>
      <w:r>
        <w:rPr/>
        <w:t> </w:t>
      </w:r>
      <w:r>
        <w:rPr>
          <w:spacing w:val="-8"/>
        </w:rPr>
        <w:t> </w:t>
      </w:r>
      <w:r>
        <w:rPr>
          <w:spacing w:val="-1"/>
          <w:w w:val="109"/>
        </w:rPr>
        <w:t>pregunt</w:t>
      </w:r>
      <w:r>
        <w:rPr>
          <w:w w:val="109"/>
        </w:rPr>
        <w:t>a</w:t>
      </w:r>
      <w:r>
        <w:rPr/>
        <w:t> </w:t>
      </w:r>
      <w:r>
        <w:rPr>
          <w:spacing w:val="-8"/>
        </w:rPr>
        <w:t> </w:t>
      </w:r>
      <w:r>
        <w:rPr>
          <w:spacing w:val="-1"/>
          <w:w w:val="107"/>
        </w:rPr>
        <w:t>est</w:t>
      </w:r>
      <w:r>
        <w:rPr>
          <w:w w:val="107"/>
        </w:rPr>
        <w:t>á</w:t>
      </w:r>
      <w:r>
        <w:rPr/>
        <w:t> </w:t>
      </w:r>
      <w:r>
        <w:rPr>
          <w:spacing w:val="-8"/>
        </w:rPr>
        <w:t> </w:t>
      </w:r>
      <w:r>
        <w:rPr>
          <w:spacing w:val="-1"/>
          <w:w w:val="111"/>
        </w:rPr>
        <w:t>mu</w:t>
      </w:r>
      <w:r>
        <w:rPr>
          <w:w w:val="111"/>
        </w:rPr>
        <w:t>y</w:t>
      </w:r>
      <w:r>
        <w:rPr/>
        <w:t> </w:t>
      </w:r>
      <w:r>
        <w:rPr>
          <w:spacing w:val="-8"/>
        </w:rPr>
        <w:t> </w:t>
      </w:r>
      <w:r>
        <w:rPr>
          <w:spacing w:val="-1"/>
          <w:w w:val="108"/>
        </w:rPr>
        <w:t>lejo</w:t>
      </w:r>
      <w:r>
        <w:rPr>
          <w:w w:val="108"/>
        </w:rPr>
        <w:t>s</w:t>
      </w:r>
      <w:r>
        <w:rPr/>
        <w:t> </w:t>
      </w:r>
      <w:r>
        <w:rPr>
          <w:spacing w:val="-8"/>
        </w:rPr>
        <w:t> </w:t>
      </w:r>
      <w:r>
        <w:rPr>
          <w:spacing w:val="-1"/>
          <w:w w:val="107"/>
        </w:rPr>
        <w:t>d</w:t>
      </w:r>
      <w:r>
        <w:rPr>
          <w:w w:val="107"/>
        </w:rPr>
        <w:t>e</w:t>
      </w:r>
      <w:r>
        <w:rPr/>
        <w:t> </w:t>
      </w:r>
      <w:r>
        <w:rPr>
          <w:spacing w:val="-8"/>
        </w:rPr>
        <w:t> </w:t>
      </w:r>
      <w:r>
        <w:rPr>
          <w:spacing w:val="-1"/>
          <w:w w:val="105"/>
        </w:rPr>
        <w:t>ser </w:t>
      </w:r>
      <w:r>
        <w:rPr>
          <w:w w:val="110"/>
        </w:rPr>
        <w:t>trivial. El diagnóstico acerca de la inoperancia de una política seguida por</w:t>
      </w:r>
      <w:r>
        <w:rPr>
          <w:spacing w:val="-7"/>
          <w:w w:val="110"/>
        </w:rPr>
        <w:t> </w:t>
      </w:r>
      <w:r>
        <w:rPr>
          <w:w w:val="110"/>
        </w:rPr>
        <w:t>décadas</w:t>
      </w:r>
      <w:r>
        <w:rPr>
          <w:spacing w:val="-7"/>
          <w:w w:val="110"/>
        </w:rPr>
        <w:t> </w:t>
      </w:r>
      <w:r>
        <w:rPr>
          <w:w w:val="110"/>
        </w:rPr>
        <w:t>sin</w:t>
      </w:r>
      <w:r>
        <w:rPr>
          <w:spacing w:val="-7"/>
          <w:w w:val="110"/>
        </w:rPr>
        <w:t> </w:t>
      </w:r>
      <w:r>
        <w:rPr>
          <w:w w:val="110"/>
        </w:rPr>
        <w:t>lograr</w:t>
      </w:r>
      <w:r>
        <w:rPr>
          <w:spacing w:val="-7"/>
          <w:w w:val="110"/>
        </w:rPr>
        <w:t> </w:t>
      </w:r>
      <w:r>
        <w:rPr>
          <w:w w:val="110"/>
        </w:rPr>
        <w:t>el</w:t>
      </w:r>
      <w:r>
        <w:rPr>
          <w:spacing w:val="-7"/>
          <w:w w:val="110"/>
        </w:rPr>
        <w:t> </w:t>
      </w:r>
      <w:r>
        <w:rPr>
          <w:w w:val="110"/>
        </w:rPr>
        <w:t>objetivo</w:t>
      </w:r>
      <w:r>
        <w:rPr>
          <w:spacing w:val="-7"/>
          <w:w w:val="110"/>
        </w:rPr>
        <w:t> </w:t>
      </w:r>
      <w:r>
        <w:rPr>
          <w:w w:val="110"/>
        </w:rPr>
        <w:t>deseado,</w:t>
      </w:r>
      <w:r>
        <w:rPr>
          <w:spacing w:val="-7"/>
          <w:w w:val="110"/>
        </w:rPr>
        <w:t> </w:t>
      </w:r>
      <w:r>
        <w:rPr>
          <w:w w:val="110"/>
        </w:rPr>
        <w:t>sin</w:t>
      </w:r>
      <w:r>
        <w:rPr>
          <w:spacing w:val="-7"/>
          <w:w w:val="110"/>
        </w:rPr>
        <w:t> </w:t>
      </w:r>
      <w:r>
        <w:rPr>
          <w:w w:val="110"/>
        </w:rPr>
        <w:t>ser</w:t>
      </w:r>
      <w:r>
        <w:rPr>
          <w:spacing w:val="-7"/>
          <w:w w:val="110"/>
        </w:rPr>
        <w:t> </w:t>
      </w:r>
      <w:r>
        <w:rPr>
          <w:w w:val="110"/>
        </w:rPr>
        <w:t>falso,</w:t>
      </w:r>
      <w:r>
        <w:rPr>
          <w:spacing w:val="-7"/>
          <w:w w:val="110"/>
        </w:rPr>
        <w:t> </w:t>
      </w:r>
      <w:r>
        <w:rPr>
          <w:w w:val="110"/>
        </w:rPr>
        <w:t>es</w:t>
      </w:r>
      <w:r>
        <w:rPr>
          <w:spacing w:val="-7"/>
          <w:w w:val="110"/>
        </w:rPr>
        <w:t> </w:t>
      </w:r>
      <w:r>
        <w:rPr>
          <w:w w:val="110"/>
        </w:rPr>
        <w:t>la</w:t>
      </w:r>
      <w:r>
        <w:rPr>
          <w:spacing w:val="-7"/>
          <w:w w:val="110"/>
        </w:rPr>
        <w:t> </w:t>
      </w:r>
      <w:r>
        <w:rPr>
          <w:w w:val="110"/>
        </w:rPr>
        <w:t>parte</w:t>
      </w:r>
      <w:r>
        <w:rPr>
          <w:spacing w:val="-7"/>
          <w:w w:val="110"/>
        </w:rPr>
        <w:t> </w:t>
      </w:r>
      <w:r>
        <w:rPr>
          <w:w w:val="110"/>
        </w:rPr>
        <w:t>más evidente que encierra la decisión. En cierta medida diversas voces ya se</w:t>
      </w:r>
      <w:r>
        <w:rPr>
          <w:spacing w:val="-8"/>
          <w:w w:val="110"/>
        </w:rPr>
        <w:t> </w:t>
      </w:r>
      <w:r>
        <w:rPr>
          <w:w w:val="110"/>
        </w:rPr>
        <w:t>venían</w:t>
      </w:r>
      <w:r>
        <w:rPr>
          <w:spacing w:val="-8"/>
          <w:w w:val="110"/>
        </w:rPr>
        <w:t> </w:t>
      </w:r>
      <w:r>
        <w:rPr>
          <w:w w:val="110"/>
        </w:rPr>
        <w:t>expresando</w:t>
      </w:r>
      <w:r>
        <w:rPr>
          <w:spacing w:val="-8"/>
          <w:w w:val="110"/>
        </w:rPr>
        <w:t> </w:t>
      </w:r>
      <w:r>
        <w:rPr>
          <w:w w:val="110"/>
        </w:rPr>
        <w:t>en</w:t>
      </w:r>
      <w:r>
        <w:rPr>
          <w:spacing w:val="-8"/>
          <w:w w:val="110"/>
        </w:rPr>
        <w:t> </w:t>
      </w:r>
      <w:r>
        <w:rPr>
          <w:w w:val="110"/>
        </w:rPr>
        <w:t>similar</w:t>
      </w:r>
      <w:r>
        <w:rPr>
          <w:spacing w:val="-8"/>
          <w:w w:val="110"/>
        </w:rPr>
        <w:t> </w:t>
      </w:r>
      <w:r>
        <w:rPr>
          <w:w w:val="110"/>
        </w:rPr>
        <w:t>sentido.</w:t>
      </w:r>
      <w:r>
        <w:rPr>
          <w:spacing w:val="-8"/>
          <w:w w:val="110"/>
        </w:rPr>
        <w:t> </w:t>
      </w:r>
      <w:r>
        <w:rPr>
          <w:w w:val="110"/>
        </w:rPr>
        <w:t>señales,</w:t>
      </w:r>
      <w:r>
        <w:rPr>
          <w:spacing w:val="-8"/>
          <w:w w:val="110"/>
        </w:rPr>
        <w:t> </w:t>
      </w:r>
      <w:r>
        <w:rPr>
          <w:w w:val="110"/>
        </w:rPr>
        <w:t>aparentemente</w:t>
      </w:r>
      <w:r>
        <w:rPr>
          <w:spacing w:val="-8"/>
          <w:w w:val="110"/>
        </w:rPr>
        <w:t> </w:t>
      </w:r>
      <w:r>
        <w:rPr>
          <w:w w:val="110"/>
        </w:rPr>
        <w:t>aisla- das, que fueron emergiendo y amalgamando una importante</w:t>
      </w:r>
      <w:r>
        <w:rPr>
          <w:spacing w:val="-14"/>
          <w:w w:val="110"/>
        </w:rPr>
        <w:t> </w:t>
      </w:r>
      <w:r>
        <w:rPr>
          <w:w w:val="110"/>
        </w:rPr>
        <w:t>corriente de opinión. un indicador de esto puede considerarse, por ejemplo, las encuestas que son favorables a la “normalización de</w:t>
      </w:r>
      <w:r>
        <w:rPr>
          <w:spacing w:val="8"/>
          <w:w w:val="110"/>
        </w:rPr>
        <w:t> </w:t>
      </w:r>
      <w:r>
        <w:rPr>
          <w:w w:val="110"/>
        </w:rPr>
        <w:t>relaciones”.</w:t>
      </w:r>
      <w:r>
        <w:rPr>
          <w:w w:val="110"/>
          <w:position w:val="6"/>
          <w:sz w:val="11"/>
        </w:rPr>
        <w:t>5</w:t>
      </w:r>
    </w:p>
    <w:p>
      <w:pPr>
        <w:pStyle w:val="BodyText"/>
        <w:spacing w:before="4"/>
      </w:pPr>
      <w:r>
        <w:rPr/>
        <w:pict>
          <v:line style="position:absolute;mso-position-horizontal-relative:page;mso-position-vertical-relative:paragraph;z-index:7696;mso-wrap-distance-left:0;mso-wrap-distance-right:0" from="76.5354pt,13.561833pt" to="104.8814pt,13.561833pt" stroked="true" strokeweight=".5pt" strokecolor="#000000">
            <w10:wrap type="topAndBottom"/>
          </v:line>
        </w:pict>
      </w:r>
    </w:p>
    <w:p>
      <w:pPr>
        <w:pStyle w:val="ListParagraph"/>
        <w:numPr>
          <w:ilvl w:val="0"/>
          <w:numId w:val="32"/>
        </w:numPr>
        <w:tabs>
          <w:tab w:pos="586" w:val="left" w:leader="none"/>
        </w:tabs>
        <w:spacing w:line="242" w:lineRule="auto" w:before="89" w:after="0"/>
        <w:ind w:left="330" w:right="118" w:firstLine="0"/>
        <w:jc w:val="left"/>
        <w:rPr>
          <w:sz w:val="16"/>
        </w:rPr>
      </w:pPr>
      <w:r>
        <w:rPr>
          <w:w w:val="238"/>
          <w:sz w:val="16"/>
        </w:rPr>
        <w:t>l</w:t>
      </w:r>
      <w:r>
        <w:rPr>
          <w:w w:val="109"/>
          <w:sz w:val="16"/>
        </w:rPr>
        <w:t>a</w:t>
      </w:r>
      <w:r>
        <w:rPr>
          <w:spacing w:val="1"/>
          <w:sz w:val="16"/>
        </w:rPr>
        <w:t> </w:t>
      </w:r>
      <w:r>
        <w:rPr>
          <w:w w:val="107"/>
          <w:sz w:val="16"/>
        </w:rPr>
        <w:t>divulgada</w:t>
      </w:r>
      <w:r>
        <w:rPr>
          <w:spacing w:val="1"/>
          <w:sz w:val="16"/>
        </w:rPr>
        <w:t> </w:t>
      </w:r>
      <w:r>
        <w:rPr>
          <w:w w:val="106"/>
          <w:sz w:val="16"/>
        </w:rPr>
        <w:t>por</w:t>
      </w:r>
      <w:r>
        <w:rPr>
          <w:spacing w:val="1"/>
          <w:sz w:val="16"/>
        </w:rPr>
        <w:t> </w:t>
      </w:r>
      <w:r>
        <w:rPr>
          <w:i/>
          <w:w w:val="105"/>
          <w:sz w:val="16"/>
        </w:rPr>
        <w:t>The</w:t>
      </w:r>
      <w:r>
        <w:rPr>
          <w:i/>
          <w:spacing w:val="1"/>
          <w:sz w:val="16"/>
        </w:rPr>
        <w:t> </w:t>
      </w:r>
      <w:r>
        <w:rPr>
          <w:i/>
          <w:w w:val="108"/>
          <w:sz w:val="16"/>
        </w:rPr>
        <w:t>New</w:t>
      </w:r>
      <w:r>
        <w:rPr>
          <w:i/>
          <w:spacing w:val="1"/>
          <w:sz w:val="16"/>
        </w:rPr>
        <w:t> </w:t>
      </w:r>
      <w:r>
        <w:rPr>
          <w:i/>
          <w:spacing w:val="-15"/>
          <w:w w:val="118"/>
          <w:sz w:val="16"/>
        </w:rPr>
        <w:t>Y</w:t>
      </w:r>
      <w:r>
        <w:rPr>
          <w:i/>
          <w:w w:val="105"/>
          <w:sz w:val="16"/>
        </w:rPr>
        <w:t>ork</w:t>
      </w:r>
      <w:r>
        <w:rPr>
          <w:i/>
          <w:spacing w:val="1"/>
          <w:sz w:val="16"/>
        </w:rPr>
        <w:t> </w:t>
      </w:r>
      <w:r>
        <w:rPr>
          <w:i/>
          <w:spacing w:val="-8"/>
          <w:w w:val="106"/>
          <w:sz w:val="16"/>
        </w:rPr>
        <w:t>T</w:t>
      </w:r>
      <w:r>
        <w:rPr>
          <w:i/>
          <w:w w:val="110"/>
          <w:sz w:val="16"/>
        </w:rPr>
        <w:t>imes</w:t>
      </w:r>
      <w:r>
        <w:rPr>
          <w:i/>
          <w:spacing w:val="1"/>
          <w:sz w:val="16"/>
        </w:rPr>
        <w:t> </w:t>
      </w:r>
      <w:r>
        <w:rPr>
          <w:w w:val="104"/>
          <w:sz w:val="16"/>
        </w:rPr>
        <w:t>el</w:t>
      </w:r>
      <w:r>
        <w:rPr>
          <w:spacing w:val="1"/>
          <w:sz w:val="16"/>
        </w:rPr>
        <w:t> </w:t>
      </w:r>
      <w:r>
        <w:rPr>
          <w:w w:val="100"/>
          <w:sz w:val="16"/>
        </w:rPr>
        <w:t>10</w:t>
      </w:r>
      <w:r>
        <w:rPr>
          <w:spacing w:val="1"/>
          <w:sz w:val="16"/>
        </w:rPr>
        <w:t> </w:t>
      </w:r>
      <w:r>
        <w:rPr>
          <w:w w:val="104"/>
          <w:sz w:val="16"/>
        </w:rPr>
        <w:t>de</w:t>
      </w:r>
      <w:r>
        <w:rPr>
          <w:spacing w:val="1"/>
          <w:sz w:val="16"/>
        </w:rPr>
        <w:t> </w:t>
      </w:r>
      <w:r>
        <w:rPr>
          <w:w w:val="105"/>
          <w:sz w:val="16"/>
        </w:rPr>
        <w:t>febrero</w:t>
      </w:r>
      <w:r>
        <w:rPr>
          <w:spacing w:val="1"/>
          <w:sz w:val="16"/>
        </w:rPr>
        <w:t> </w:t>
      </w:r>
      <w:r>
        <w:rPr>
          <w:w w:val="104"/>
          <w:sz w:val="16"/>
        </w:rPr>
        <w:t>de</w:t>
      </w:r>
      <w:r>
        <w:rPr>
          <w:spacing w:val="1"/>
          <w:sz w:val="16"/>
        </w:rPr>
        <w:t> </w:t>
      </w:r>
      <w:r>
        <w:rPr>
          <w:w w:val="100"/>
          <w:sz w:val="16"/>
        </w:rPr>
        <w:t>2014</w:t>
      </w:r>
      <w:r>
        <w:rPr>
          <w:spacing w:val="1"/>
          <w:sz w:val="16"/>
        </w:rPr>
        <w:t> </w:t>
      </w:r>
      <w:r>
        <w:rPr>
          <w:w w:val="102"/>
          <w:sz w:val="16"/>
        </w:rPr>
        <w:t>es</w:t>
      </w:r>
      <w:r>
        <w:rPr>
          <w:spacing w:val="1"/>
          <w:sz w:val="16"/>
        </w:rPr>
        <w:t> </w:t>
      </w:r>
      <w:r>
        <w:rPr>
          <w:w w:val="110"/>
          <w:sz w:val="16"/>
        </w:rPr>
        <w:t>una</w:t>
      </w:r>
      <w:r>
        <w:rPr>
          <w:spacing w:val="1"/>
          <w:sz w:val="16"/>
        </w:rPr>
        <w:t> </w:t>
      </w:r>
      <w:r>
        <w:rPr>
          <w:w w:val="108"/>
          <w:sz w:val="16"/>
        </w:rPr>
        <w:t>buena</w:t>
      </w:r>
      <w:r>
        <w:rPr>
          <w:spacing w:val="1"/>
          <w:sz w:val="16"/>
        </w:rPr>
        <w:t> </w:t>
      </w:r>
      <w:r>
        <w:rPr>
          <w:w w:val="107"/>
          <w:sz w:val="16"/>
        </w:rPr>
        <w:t>mues</w:t>
      </w:r>
      <w:r>
        <w:rPr>
          <w:w w:val="100"/>
          <w:sz w:val="16"/>
        </w:rPr>
        <w:t>- </w:t>
      </w:r>
      <w:r>
        <w:rPr>
          <w:w w:val="105"/>
          <w:sz w:val="16"/>
        </w:rPr>
        <w:t>tra,</w:t>
      </w:r>
      <w:r>
        <w:rPr>
          <w:spacing w:val="-18"/>
          <w:w w:val="105"/>
          <w:sz w:val="16"/>
        </w:rPr>
        <w:t> </w:t>
      </w:r>
      <w:r>
        <w:rPr>
          <w:w w:val="105"/>
          <w:sz w:val="16"/>
        </w:rPr>
        <w:t>véase</w:t>
      </w:r>
      <w:r>
        <w:rPr>
          <w:spacing w:val="-18"/>
          <w:w w:val="105"/>
          <w:sz w:val="16"/>
        </w:rPr>
        <w:t> </w:t>
      </w:r>
      <w:r>
        <w:rPr>
          <w:w w:val="105"/>
          <w:sz w:val="16"/>
        </w:rPr>
        <w:t>&lt;</w:t>
      </w:r>
      <w:hyperlink r:id="rId453">
        <w:r>
          <w:rPr>
            <w:w w:val="105"/>
            <w:sz w:val="16"/>
          </w:rPr>
          <w:t>http://goo.gl/F5895K&gt;.</w:t>
        </w:r>
      </w:hyperlink>
    </w:p>
    <w:p>
      <w:pPr>
        <w:spacing w:after="0" w:line="242" w:lineRule="auto"/>
        <w:jc w:val="left"/>
        <w:rPr>
          <w:sz w:val="16"/>
        </w:rPr>
        <w:sectPr>
          <w:footerReference w:type="default" r:id="rId451"/>
          <w:footerReference w:type="even" r:id="rId452"/>
          <w:pgSz w:w="8790" w:h="12760"/>
          <w:pgMar w:footer="725" w:header="695" w:top="880" w:bottom="920" w:left="1200" w:right="900"/>
        </w:sectPr>
      </w:pPr>
    </w:p>
    <w:p>
      <w:pPr>
        <w:pStyle w:val="BodyText"/>
        <w:spacing w:before="9"/>
        <w:rPr>
          <w:sz w:val="28"/>
        </w:rPr>
      </w:pPr>
    </w:p>
    <w:p>
      <w:pPr>
        <w:pStyle w:val="BodyText"/>
        <w:spacing w:line="252" w:lineRule="auto" w:before="73"/>
        <w:ind w:left="100" w:right="328" w:firstLine="396"/>
        <w:jc w:val="both"/>
      </w:pPr>
      <w:r>
        <w:rPr>
          <w:w w:val="110"/>
        </w:rPr>
        <w:t>sin embargo, más allá de todo este arco de referencias, hay otras dimensiones menos evidentes. desde 1959 hasta ahora nunca Cuba estuvo disociada en la percepción de la clase dominante norteameri- </w:t>
      </w:r>
      <w:r>
        <w:rPr>
          <w:w w:val="112"/>
        </w:rPr>
        <w:t>cana</w:t>
      </w:r>
      <w:r>
        <w:rPr/>
        <w:t> </w:t>
      </w:r>
      <w:r>
        <w:rPr>
          <w:spacing w:val="-21"/>
        </w:rPr>
        <w:t> </w:t>
      </w:r>
      <w:r>
        <w:rPr>
          <w:w w:val="107"/>
        </w:rPr>
        <w:t>de</w:t>
      </w:r>
      <w:r>
        <w:rPr/>
        <w:t> </w:t>
      </w:r>
      <w:r>
        <w:rPr>
          <w:spacing w:val="-21"/>
        </w:rPr>
        <w:t> </w:t>
      </w:r>
      <w:r>
        <w:rPr>
          <w:w w:val="109"/>
        </w:rPr>
        <w:t>su</w:t>
      </w:r>
      <w:r>
        <w:rPr/>
        <w:t> </w:t>
      </w:r>
      <w:r>
        <w:rPr>
          <w:spacing w:val="-21"/>
        </w:rPr>
        <w:t> </w:t>
      </w:r>
      <w:r>
        <w:rPr>
          <w:w w:val="110"/>
        </w:rPr>
        <w:t>preocupación</w:t>
      </w:r>
      <w:r>
        <w:rPr/>
        <w:t> </w:t>
      </w:r>
      <w:r>
        <w:rPr>
          <w:spacing w:val="-21"/>
        </w:rPr>
        <w:t> </w:t>
      </w:r>
      <w:r>
        <w:rPr>
          <w:w w:val="111"/>
        </w:rPr>
        <w:t>hemisférica</w:t>
      </w:r>
      <w:r>
        <w:rPr/>
        <w:t> </w:t>
      </w:r>
      <w:r>
        <w:rPr>
          <w:spacing w:val="-21"/>
        </w:rPr>
        <w:t> </w:t>
      </w:r>
      <w:r>
        <w:rPr>
          <w:w w:val="111"/>
        </w:rPr>
        <w:t>latino-caribeña.</w:t>
      </w:r>
      <w:r>
        <w:rPr/>
        <w:t> </w:t>
      </w:r>
      <w:r>
        <w:rPr>
          <w:spacing w:val="-21"/>
        </w:rPr>
        <w:t> </w:t>
      </w:r>
      <w:r>
        <w:rPr>
          <w:w w:val="243"/>
        </w:rPr>
        <w:t>l</w:t>
      </w:r>
      <w:r>
        <w:rPr>
          <w:w w:val="112"/>
        </w:rPr>
        <w:t>a</w:t>
      </w:r>
      <w:r>
        <w:rPr/>
        <w:t> </w:t>
      </w:r>
      <w:r>
        <w:rPr>
          <w:spacing w:val="-21"/>
        </w:rPr>
        <w:t> </w:t>
      </w:r>
      <w:r>
        <w:rPr>
          <w:w w:val="111"/>
        </w:rPr>
        <w:t>política</w:t>
      </w:r>
      <w:r>
        <w:rPr/>
        <w:t> </w:t>
      </w:r>
      <w:r>
        <w:rPr>
          <w:spacing w:val="-21"/>
        </w:rPr>
        <w:t> </w:t>
      </w:r>
      <w:r>
        <w:rPr>
          <w:w w:val="112"/>
        </w:rPr>
        <w:t>h</w:t>
      </w:r>
      <w:r>
        <w:rPr>
          <w:spacing w:val="-1"/>
          <w:w w:val="112"/>
        </w:rPr>
        <w:t>a</w:t>
      </w:r>
      <w:r>
        <w:rPr>
          <w:w w:val="102"/>
        </w:rPr>
        <w:t>- </w:t>
      </w:r>
      <w:r>
        <w:rPr>
          <w:w w:val="110"/>
        </w:rPr>
        <w:t>cia Cuba, como respuesta a un desafío o amenaza, resulta ininteligible sin el peso que se asocia a las raíces del “destino manifiesto” y a la doctrina Monroe. si esto es así, se hace indispensable mirar el acon- tecimiento que se desata el 17 de diciembre de 2014 bajo el prisma  de los estratégicos intereses hegemónicos norteamericanos </w:t>
      </w:r>
      <w:r>
        <w:rPr>
          <w:spacing w:val="-11"/>
          <w:w w:val="110"/>
        </w:rPr>
        <w:t>y, </w:t>
      </w:r>
      <w:r>
        <w:rPr>
          <w:w w:val="110"/>
        </w:rPr>
        <w:t>por lo tanto, en su dimensión </w:t>
      </w:r>
      <w:r>
        <w:rPr>
          <w:spacing w:val="16"/>
          <w:w w:val="110"/>
        </w:rPr>
        <w:t> </w:t>
      </w:r>
      <w:r>
        <w:rPr>
          <w:w w:val="110"/>
        </w:rPr>
        <w:t>geopolítica.</w:t>
      </w:r>
    </w:p>
    <w:p>
      <w:pPr>
        <w:pStyle w:val="BodyText"/>
        <w:spacing w:line="252" w:lineRule="auto"/>
        <w:ind w:left="100" w:right="328" w:firstLine="396"/>
        <w:jc w:val="both"/>
      </w:pPr>
      <w:r>
        <w:rPr>
          <w:w w:val="115"/>
        </w:rPr>
        <w:t>No es muy complicado avizorar que un factor que incide para propiciar</w:t>
      </w:r>
      <w:r>
        <w:rPr>
          <w:spacing w:val="-23"/>
          <w:w w:val="115"/>
        </w:rPr>
        <w:t> </w:t>
      </w:r>
      <w:r>
        <w:rPr>
          <w:w w:val="115"/>
        </w:rPr>
        <w:t>este</w:t>
      </w:r>
      <w:r>
        <w:rPr>
          <w:spacing w:val="-23"/>
          <w:w w:val="115"/>
        </w:rPr>
        <w:t> </w:t>
      </w:r>
      <w:r>
        <w:rPr>
          <w:w w:val="115"/>
        </w:rPr>
        <w:t>cambio</w:t>
      </w:r>
      <w:r>
        <w:rPr>
          <w:spacing w:val="-23"/>
          <w:w w:val="115"/>
        </w:rPr>
        <w:t> </w:t>
      </w:r>
      <w:r>
        <w:rPr>
          <w:w w:val="115"/>
        </w:rPr>
        <w:t>en</w:t>
      </w:r>
      <w:r>
        <w:rPr>
          <w:spacing w:val="-23"/>
          <w:w w:val="115"/>
        </w:rPr>
        <w:t> </w:t>
      </w:r>
      <w:r>
        <w:rPr>
          <w:w w:val="115"/>
        </w:rPr>
        <w:t>la</w:t>
      </w:r>
      <w:r>
        <w:rPr>
          <w:spacing w:val="-23"/>
          <w:w w:val="115"/>
        </w:rPr>
        <w:t> </w:t>
      </w:r>
      <w:r>
        <w:rPr>
          <w:w w:val="115"/>
        </w:rPr>
        <w:t>diplomacia</w:t>
      </w:r>
      <w:r>
        <w:rPr>
          <w:spacing w:val="-23"/>
          <w:w w:val="115"/>
        </w:rPr>
        <w:t> </w:t>
      </w:r>
      <w:r>
        <w:rPr>
          <w:w w:val="115"/>
        </w:rPr>
        <w:t>norteamericana</w:t>
      </w:r>
      <w:r>
        <w:rPr>
          <w:spacing w:val="-23"/>
          <w:w w:val="115"/>
        </w:rPr>
        <w:t> </w:t>
      </w:r>
      <w:r>
        <w:rPr>
          <w:w w:val="115"/>
        </w:rPr>
        <w:t>fue</w:t>
      </w:r>
      <w:r>
        <w:rPr>
          <w:spacing w:val="-23"/>
          <w:w w:val="115"/>
        </w:rPr>
        <w:t> </w:t>
      </w:r>
      <w:r>
        <w:rPr>
          <w:w w:val="115"/>
        </w:rPr>
        <w:t>la</w:t>
      </w:r>
      <w:r>
        <w:rPr>
          <w:spacing w:val="-23"/>
          <w:w w:val="115"/>
        </w:rPr>
        <w:t> </w:t>
      </w:r>
      <w:r>
        <w:rPr>
          <w:w w:val="115"/>
        </w:rPr>
        <w:t>presión política</w:t>
      </w:r>
      <w:r>
        <w:rPr>
          <w:spacing w:val="-10"/>
          <w:w w:val="115"/>
        </w:rPr>
        <w:t> </w:t>
      </w:r>
      <w:r>
        <w:rPr>
          <w:w w:val="115"/>
        </w:rPr>
        <w:t>que,</w:t>
      </w:r>
      <w:r>
        <w:rPr>
          <w:spacing w:val="-10"/>
          <w:w w:val="115"/>
        </w:rPr>
        <w:t> </w:t>
      </w:r>
      <w:r>
        <w:rPr>
          <w:w w:val="115"/>
        </w:rPr>
        <w:t>especialmente</w:t>
      </w:r>
      <w:r>
        <w:rPr>
          <w:spacing w:val="-10"/>
          <w:w w:val="115"/>
        </w:rPr>
        <w:t> </w:t>
      </w:r>
      <w:r>
        <w:rPr>
          <w:w w:val="115"/>
        </w:rPr>
        <w:t>en</w:t>
      </w:r>
      <w:r>
        <w:rPr>
          <w:spacing w:val="-10"/>
          <w:w w:val="115"/>
        </w:rPr>
        <w:t> </w:t>
      </w:r>
      <w:r>
        <w:rPr>
          <w:w w:val="115"/>
        </w:rPr>
        <w:t>el</w:t>
      </w:r>
      <w:r>
        <w:rPr>
          <w:spacing w:val="-10"/>
          <w:w w:val="115"/>
        </w:rPr>
        <w:t> </w:t>
      </w:r>
      <w:r>
        <w:rPr>
          <w:w w:val="115"/>
        </w:rPr>
        <w:t>reciente</w:t>
      </w:r>
      <w:r>
        <w:rPr>
          <w:spacing w:val="-10"/>
          <w:w w:val="115"/>
        </w:rPr>
        <w:t> </w:t>
      </w:r>
      <w:r>
        <w:rPr>
          <w:w w:val="115"/>
        </w:rPr>
        <w:t>período,</w:t>
      </w:r>
      <w:r>
        <w:rPr>
          <w:spacing w:val="-10"/>
          <w:w w:val="115"/>
        </w:rPr>
        <w:t> </w:t>
      </w:r>
      <w:r>
        <w:rPr>
          <w:w w:val="115"/>
        </w:rPr>
        <w:t>provenía</w:t>
      </w:r>
      <w:r>
        <w:rPr>
          <w:spacing w:val="-10"/>
          <w:w w:val="115"/>
        </w:rPr>
        <w:t> </w:t>
      </w:r>
      <w:r>
        <w:rPr>
          <w:w w:val="115"/>
        </w:rPr>
        <w:t>de</w:t>
      </w:r>
      <w:r>
        <w:rPr>
          <w:spacing w:val="-10"/>
          <w:w w:val="115"/>
        </w:rPr>
        <w:t> </w:t>
      </w:r>
      <w:r>
        <w:rPr>
          <w:w w:val="115"/>
        </w:rPr>
        <w:t>amé- </w:t>
      </w:r>
      <w:r>
        <w:rPr>
          <w:spacing w:val="-1"/>
          <w:w w:val="112"/>
        </w:rPr>
        <w:t>ric</w:t>
      </w:r>
      <w:r>
        <w:rPr>
          <w:w w:val="112"/>
        </w:rPr>
        <w:t>a</w:t>
      </w:r>
      <w:r>
        <w:rPr>
          <w:spacing w:val="18"/>
        </w:rPr>
        <w:t> </w:t>
      </w:r>
      <w:r>
        <w:rPr>
          <w:spacing w:val="-1"/>
          <w:w w:val="243"/>
        </w:rPr>
        <w:t>l</w:t>
      </w:r>
      <w:r>
        <w:rPr>
          <w:spacing w:val="-1"/>
          <w:w w:val="111"/>
        </w:rPr>
        <w:t>atin</w:t>
      </w:r>
      <w:r>
        <w:rPr>
          <w:w w:val="111"/>
        </w:rPr>
        <w:t>a</w:t>
      </w:r>
      <w:r>
        <w:rPr>
          <w:spacing w:val="18"/>
        </w:rPr>
        <w:t> </w:t>
      </w:r>
      <w:r>
        <w:rPr>
          <w:w w:val="105"/>
        </w:rPr>
        <w:t>y</w:t>
      </w:r>
      <w:r>
        <w:rPr>
          <w:spacing w:val="18"/>
        </w:rPr>
        <w:t> </w:t>
      </w:r>
      <w:r>
        <w:rPr>
          <w:spacing w:val="-1"/>
          <w:w w:val="108"/>
        </w:rPr>
        <w:t>qu</w:t>
      </w:r>
      <w:r>
        <w:rPr>
          <w:w w:val="108"/>
        </w:rPr>
        <w:t>e</w:t>
      </w:r>
      <w:r>
        <w:rPr>
          <w:spacing w:val="18"/>
        </w:rPr>
        <w:t> </w:t>
      </w:r>
      <w:r>
        <w:rPr>
          <w:spacing w:val="-1"/>
          <w:w w:val="108"/>
        </w:rPr>
        <w:t>e</w:t>
      </w:r>
      <w:r>
        <w:rPr>
          <w:w w:val="108"/>
        </w:rPr>
        <w:t>n</w:t>
      </w:r>
      <w:r>
        <w:rPr>
          <w:spacing w:val="18"/>
        </w:rPr>
        <w:t> </w:t>
      </w:r>
      <w:r>
        <w:rPr>
          <w:spacing w:val="-1"/>
          <w:w w:val="108"/>
        </w:rPr>
        <w:t>lo</w:t>
      </w:r>
      <w:r>
        <w:rPr>
          <w:w w:val="108"/>
        </w:rPr>
        <w:t>s</w:t>
      </w:r>
      <w:r>
        <w:rPr>
          <w:spacing w:val="18"/>
        </w:rPr>
        <w:t> </w:t>
      </w:r>
      <w:r>
        <w:rPr>
          <w:spacing w:val="-1"/>
          <w:w w:val="110"/>
        </w:rPr>
        <w:t>hecho</w:t>
      </w:r>
      <w:r>
        <w:rPr>
          <w:w w:val="110"/>
        </w:rPr>
        <w:t>s</w:t>
      </w:r>
      <w:r>
        <w:rPr>
          <w:spacing w:val="18"/>
        </w:rPr>
        <w:t> </w:t>
      </w:r>
      <w:r>
        <w:rPr>
          <w:spacing w:val="-1"/>
          <w:w w:val="111"/>
        </w:rPr>
        <w:t>aislab</w:t>
      </w:r>
      <w:r>
        <w:rPr>
          <w:w w:val="111"/>
        </w:rPr>
        <w:t>a</w:t>
      </w:r>
      <w:r>
        <w:rPr>
          <w:spacing w:val="18"/>
        </w:rPr>
        <w:t> </w:t>
      </w:r>
      <w:r>
        <w:rPr>
          <w:w w:val="112"/>
        </w:rPr>
        <w:t>a</w:t>
      </w:r>
      <w:r>
        <w:rPr>
          <w:spacing w:val="18"/>
        </w:rPr>
        <w:t> </w:t>
      </w:r>
      <w:r>
        <w:rPr>
          <w:spacing w:val="-1"/>
          <w:w w:val="111"/>
        </w:rPr>
        <w:t>Estado</w:t>
      </w:r>
      <w:r>
        <w:rPr>
          <w:w w:val="111"/>
        </w:rPr>
        <w:t>s</w:t>
      </w:r>
      <w:r>
        <w:rPr>
          <w:spacing w:val="18"/>
        </w:rPr>
        <w:t> </w:t>
      </w:r>
      <w:r>
        <w:rPr>
          <w:spacing w:val="-1"/>
          <w:w w:val="140"/>
        </w:rPr>
        <w:t>u</w:t>
      </w:r>
      <w:r>
        <w:rPr>
          <w:spacing w:val="-1"/>
          <w:w w:val="110"/>
        </w:rPr>
        <w:t>nido</w:t>
      </w:r>
      <w:r>
        <w:rPr>
          <w:w w:val="110"/>
        </w:rPr>
        <w:t>s</w:t>
      </w:r>
      <w:r>
        <w:rPr>
          <w:spacing w:val="18"/>
        </w:rPr>
        <w:t> </w:t>
      </w:r>
      <w:r>
        <w:rPr>
          <w:spacing w:val="-1"/>
          <w:w w:val="107"/>
        </w:rPr>
        <w:t>d</w:t>
      </w:r>
      <w:r>
        <w:rPr>
          <w:w w:val="107"/>
        </w:rPr>
        <w:t>e</w:t>
      </w:r>
      <w:r>
        <w:rPr>
          <w:spacing w:val="18"/>
        </w:rPr>
        <w:t> </w:t>
      </w:r>
      <w:r>
        <w:rPr>
          <w:spacing w:val="-1"/>
          <w:w w:val="111"/>
        </w:rPr>
        <w:t>l</w:t>
      </w:r>
      <w:r>
        <w:rPr>
          <w:w w:val="111"/>
        </w:rPr>
        <w:t>a</w:t>
      </w:r>
      <w:r>
        <w:rPr>
          <w:spacing w:val="18"/>
        </w:rPr>
        <w:t> </w:t>
      </w:r>
      <w:r>
        <w:rPr>
          <w:spacing w:val="-1"/>
          <w:w w:val="109"/>
        </w:rPr>
        <w:t>región </w:t>
      </w:r>
      <w:r>
        <w:rPr>
          <w:w w:val="115"/>
        </w:rPr>
        <w:t>debilitando</w:t>
      </w:r>
      <w:r>
        <w:rPr>
          <w:spacing w:val="-28"/>
          <w:w w:val="115"/>
        </w:rPr>
        <w:t> </w:t>
      </w:r>
      <w:r>
        <w:rPr>
          <w:w w:val="115"/>
        </w:rPr>
        <w:t>el</w:t>
      </w:r>
      <w:r>
        <w:rPr>
          <w:spacing w:val="-28"/>
          <w:w w:val="115"/>
        </w:rPr>
        <w:t> </w:t>
      </w:r>
      <w:r>
        <w:rPr>
          <w:w w:val="115"/>
        </w:rPr>
        <w:t>sistema</w:t>
      </w:r>
      <w:r>
        <w:rPr>
          <w:spacing w:val="-28"/>
          <w:w w:val="115"/>
        </w:rPr>
        <w:t> </w:t>
      </w:r>
      <w:r>
        <w:rPr>
          <w:w w:val="115"/>
        </w:rPr>
        <w:t>interamericano.</w:t>
      </w:r>
      <w:r>
        <w:rPr>
          <w:spacing w:val="-28"/>
          <w:w w:val="115"/>
        </w:rPr>
        <w:t> </w:t>
      </w:r>
      <w:r>
        <w:rPr>
          <w:w w:val="115"/>
        </w:rPr>
        <w:t>En</w:t>
      </w:r>
      <w:r>
        <w:rPr>
          <w:spacing w:val="-28"/>
          <w:w w:val="115"/>
        </w:rPr>
        <w:t> </w:t>
      </w:r>
      <w:r>
        <w:rPr>
          <w:w w:val="115"/>
        </w:rPr>
        <w:t>tal</w:t>
      </w:r>
      <w:r>
        <w:rPr>
          <w:spacing w:val="-28"/>
          <w:w w:val="115"/>
        </w:rPr>
        <w:t> </w:t>
      </w:r>
      <w:r>
        <w:rPr>
          <w:w w:val="115"/>
        </w:rPr>
        <w:t>sentido,</w:t>
      </w:r>
      <w:r>
        <w:rPr>
          <w:spacing w:val="-28"/>
          <w:w w:val="115"/>
        </w:rPr>
        <w:t> </w:t>
      </w:r>
      <w:r>
        <w:rPr>
          <w:w w:val="115"/>
        </w:rPr>
        <w:t>la</w:t>
      </w:r>
      <w:r>
        <w:rPr>
          <w:spacing w:val="-28"/>
          <w:w w:val="115"/>
        </w:rPr>
        <w:t> </w:t>
      </w:r>
      <w:r>
        <w:rPr>
          <w:w w:val="115"/>
        </w:rPr>
        <w:t>apuesta</w:t>
      </w:r>
      <w:r>
        <w:rPr>
          <w:spacing w:val="-28"/>
          <w:w w:val="115"/>
        </w:rPr>
        <w:t> </w:t>
      </w:r>
      <w:r>
        <w:rPr>
          <w:w w:val="115"/>
        </w:rPr>
        <w:t>es</w:t>
      </w:r>
      <w:r>
        <w:rPr>
          <w:spacing w:val="-28"/>
          <w:w w:val="115"/>
        </w:rPr>
        <w:t> </w:t>
      </w:r>
      <w:r>
        <w:rPr>
          <w:w w:val="115"/>
        </w:rPr>
        <w:t>re- </w:t>
      </w:r>
      <w:r>
        <w:rPr>
          <w:w w:val="110"/>
        </w:rPr>
        <w:t>lativamente</w:t>
      </w:r>
      <w:r>
        <w:rPr>
          <w:spacing w:val="-10"/>
          <w:w w:val="110"/>
        </w:rPr>
        <w:t> </w:t>
      </w:r>
      <w:r>
        <w:rPr>
          <w:w w:val="110"/>
        </w:rPr>
        <w:t>clara,</w:t>
      </w:r>
      <w:r>
        <w:rPr>
          <w:spacing w:val="-10"/>
          <w:w w:val="110"/>
        </w:rPr>
        <w:t> </w:t>
      </w:r>
      <w:r>
        <w:rPr>
          <w:w w:val="110"/>
        </w:rPr>
        <w:t>toda</w:t>
      </w:r>
      <w:r>
        <w:rPr>
          <w:spacing w:val="-10"/>
          <w:w w:val="110"/>
        </w:rPr>
        <w:t> </w:t>
      </w:r>
      <w:r>
        <w:rPr>
          <w:w w:val="110"/>
        </w:rPr>
        <w:t>vez</w:t>
      </w:r>
      <w:r>
        <w:rPr>
          <w:spacing w:val="-10"/>
          <w:w w:val="110"/>
        </w:rPr>
        <w:t> </w:t>
      </w:r>
      <w:r>
        <w:rPr>
          <w:w w:val="110"/>
        </w:rPr>
        <w:t>que</w:t>
      </w:r>
      <w:r>
        <w:rPr>
          <w:spacing w:val="-10"/>
          <w:w w:val="110"/>
        </w:rPr>
        <w:t> </w:t>
      </w:r>
      <w:r>
        <w:rPr>
          <w:w w:val="110"/>
        </w:rPr>
        <w:t>se</w:t>
      </w:r>
      <w:r>
        <w:rPr>
          <w:spacing w:val="-10"/>
          <w:w w:val="110"/>
        </w:rPr>
        <w:t> </w:t>
      </w:r>
      <w:r>
        <w:rPr>
          <w:w w:val="110"/>
        </w:rPr>
        <w:t>trata</w:t>
      </w:r>
      <w:r>
        <w:rPr>
          <w:spacing w:val="-10"/>
          <w:w w:val="110"/>
        </w:rPr>
        <w:t> </w:t>
      </w:r>
      <w:r>
        <w:rPr>
          <w:w w:val="110"/>
        </w:rPr>
        <w:t>de</w:t>
      </w:r>
      <w:r>
        <w:rPr>
          <w:spacing w:val="-10"/>
          <w:w w:val="110"/>
        </w:rPr>
        <w:t> </w:t>
      </w:r>
      <w:r>
        <w:rPr>
          <w:w w:val="110"/>
        </w:rPr>
        <w:t>distender</w:t>
      </w:r>
      <w:r>
        <w:rPr>
          <w:spacing w:val="-10"/>
          <w:w w:val="110"/>
        </w:rPr>
        <w:t> </w:t>
      </w:r>
      <w:r>
        <w:rPr>
          <w:w w:val="110"/>
        </w:rPr>
        <w:t>la</w:t>
      </w:r>
      <w:r>
        <w:rPr>
          <w:spacing w:val="-10"/>
          <w:w w:val="110"/>
        </w:rPr>
        <w:t> </w:t>
      </w:r>
      <w:r>
        <w:rPr>
          <w:w w:val="110"/>
        </w:rPr>
        <w:t>cuestión</w:t>
      </w:r>
      <w:r>
        <w:rPr>
          <w:spacing w:val="-10"/>
          <w:w w:val="110"/>
        </w:rPr>
        <w:t> </w:t>
      </w:r>
      <w:r>
        <w:rPr>
          <w:w w:val="110"/>
        </w:rPr>
        <w:t>cubana </w:t>
      </w:r>
      <w:r>
        <w:rPr>
          <w:w w:val="115"/>
        </w:rPr>
        <w:t>y</w:t>
      </w:r>
      <w:r>
        <w:rPr>
          <w:spacing w:val="-20"/>
          <w:w w:val="115"/>
        </w:rPr>
        <w:t> </w:t>
      </w:r>
      <w:r>
        <w:rPr>
          <w:w w:val="115"/>
        </w:rPr>
        <w:t>restaurar</w:t>
      </w:r>
      <w:r>
        <w:rPr>
          <w:spacing w:val="-20"/>
          <w:w w:val="115"/>
        </w:rPr>
        <w:t> </w:t>
      </w:r>
      <w:r>
        <w:rPr>
          <w:w w:val="115"/>
        </w:rPr>
        <w:t>la</w:t>
      </w:r>
      <w:r>
        <w:rPr>
          <w:spacing w:val="-20"/>
          <w:w w:val="115"/>
        </w:rPr>
        <w:t> </w:t>
      </w:r>
      <w:r>
        <w:rPr>
          <w:w w:val="115"/>
        </w:rPr>
        <w:t>credibilidad</w:t>
      </w:r>
      <w:r>
        <w:rPr>
          <w:spacing w:val="-20"/>
          <w:w w:val="115"/>
        </w:rPr>
        <w:t> </w:t>
      </w:r>
      <w:r>
        <w:rPr>
          <w:w w:val="115"/>
        </w:rPr>
        <w:t>y</w:t>
      </w:r>
      <w:r>
        <w:rPr>
          <w:spacing w:val="-20"/>
          <w:w w:val="115"/>
        </w:rPr>
        <w:t> </w:t>
      </w:r>
      <w:r>
        <w:rPr>
          <w:w w:val="115"/>
        </w:rPr>
        <w:t>el</w:t>
      </w:r>
      <w:r>
        <w:rPr>
          <w:spacing w:val="-20"/>
          <w:w w:val="115"/>
        </w:rPr>
        <w:t> </w:t>
      </w:r>
      <w:r>
        <w:rPr>
          <w:w w:val="115"/>
        </w:rPr>
        <w:t>liderazgo</w:t>
      </w:r>
      <w:r>
        <w:rPr>
          <w:spacing w:val="-20"/>
          <w:w w:val="115"/>
        </w:rPr>
        <w:t> </w:t>
      </w:r>
      <w:r>
        <w:rPr>
          <w:w w:val="115"/>
        </w:rPr>
        <w:t>norteamericano</w:t>
      </w:r>
      <w:r>
        <w:rPr>
          <w:spacing w:val="-20"/>
          <w:w w:val="115"/>
        </w:rPr>
        <w:t> </w:t>
      </w:r>
      <w:r>
        <w:rPr>
          <w:w w:val="115"/>
        </w:rPr>
        <w:t>en</w:t>
      </w:r>
      <w:r>
        <w:rPr>
          <w:spacing w:val="-20"/>
          <w:w w:val="115"/>
        </w:rPr>
        <w:t> </w:t>
      </w:r>
      <w:r>
        <w:rPr>
          <w:w w:val="115"/>
        </w:rPr>
        <w:t>el</w:t>
      </w:r>
      <w:r>
        <w:rPr>
          <w:spacing w:val="-20"/>
          <w:w w:val="115"/>
        </w:rPr>
        <w:t> </w:t>
      </w:r>
      <w:r>
        <w:rPr>
          <w:w w:val="115"/>
        </w:rPr>
        <w:t>hemis- ferio.</w:t>
      </w:r>
      <w:r>
        <w:rPr>
          <w:spacing w:val="-21"/>
          <w:w w:val="115"/>
        </w:rPr>
        <w:t> </w:t>
      </w:r>
      <w:r>
        <w:rPr>
          <w:w w:val="115"/>
        </w:rPr>
        <w:t>seguramente</w:t>
      </w:r>
      <w:r>
        <w:rPr>
          <w:spacing w:val="-21"/>
          <w:w w:val="115"/>
        </w:rPr>
        <w:t> </w:t>
      </w:r>
      <w:r>
        <w:rPr>
          <w:w w:val="115"/>
        </w:rPr>
        <w:t>no</w:t>
      </w:r>
      <w:r>
        <w:rPr>
          <w:spacing w:val="-21"/>
          <w:w w:val="115"/>
        </w:rPr>
        <w:t> </w:t>
      </w:r>
      <w:r>
        <w:rPr>
          <w:w w:val="115"/>
        </w:rPr>
        <w:t>escapa</w:t>
      </w:r>
      <w:r>
        <w:rPr>
          <w:spacing w:val="-21"/>
          <w:w w:val="115"/>
        </w:rPr>
        <w:t> </w:t>
      </w:r>
      <w:r>
        <w:rPr>
          <w:w w:val="115"/>
        </w:rPr>
        <w:t>al</w:t>
      </w:r>
      <w:r>
        <w:rPr>
          <w:spacing w:val="-21"/>
          <w:w w:val="115"/>
        </w:rPr>
        <w:t> </w:t>
      </w:r>
      <w:r>
        <w:rPr>
          <w:w w:val="115"/>
        </w:rPr>
        <w:t>diagnóstico</w:t>
      </w:r>
      <w:r>
        <w:rPr>
          <w:spacing w:val="-21"/>
          <w:w w:val="115"/>
        </w:rPr>
        <w:t> </w:t>
      </w:r>
      <w:r>
        <w:rPr>
          <w:w w:val="115"/>
        </w:rPr>
        <w:t>de</w:t>
      </w:r>
      <w:r>
        <w:rPr>
          <w:spacing w:val="-21"/>
          <w:w w:val="115"/>
        </w:rPr>
        <w:t> </w:t>
      </w:r>
      <w:r>
        <w:rPr>
          <w:w w:val="115"/>
        </w:rPr>
        <w:t>Washington</w:t>
      </w:r>
      <w:r>
        <w:rPr>
          <w:spacing w:val="-21"/>
          <w:w w:val="115"/>
        </w:rPr>
        <w:t> </w:t>
      </w:r>
      <w:r>
        <w:rPr>
          <w:w w:val="115"/>
        </w:rPr>
        <w:t>que</w:t>
      </w:r>
      <w:r>
        <w:rPr>
          <w:spacing w:val="-21"/>
          <w:w w:val="115"/>
        </w:rPr>
        <w:t> </w:t>
      </w:r>
      <w:r>
        <w:rPr>
          <w:w w:val="115"/>
        </w:rPr>
        <w:t>Cuba hace rato dejó de depender del veredicto estadounidense en lo que respecta</w:t>
      </w:r>
      <w:r>
        <w:rPr>
          <w:spacing w:val="-15"/>
          <w:w w:val="115"/>
        </w:rPr>
        <w:t> </w:t>
      </w:r>
      <w:r>
        <w:rPr>
          <w:w w:val="115"/>
        </w:rPr>
        <w:t>a</w:t>
      </w:r>
      <w:r>
        <w:rPr>
          <w:spacing w:val="-15"/>
          <w:w w:val="115"/>
        </w:rPr>
        <w:t> </w:t>
      </w:r>
      <w:r>
        <w:rPr>
          <w:w w:val="115"/>
        </w:rPr>
        <w:t>su</w:t>
      </w:r>
      <w:r>
        <w:rPr>
          <w:spacing w:val="-15"/>
          <w:w w:val="115"/>
        </w:rPr>
        <w:t> </w:t>
      </w:r>
      <w:r>
        <w:rPr>
          <w:w w:val="115"/>
        </w:rPr>
        <w:t>integración</w:t>
      </w:r>
      <w:r>
        <w:rPr>
          <w:spacing w:val="-15"/>
          <w:w w:val="115"/>
        </w:rPr>
        <w:t> </w:t>
      </w:r>
      <w:r>
        <w:rPr>
          <w:w w:val="115"/>
        </w:rPr>
        <w:t>en</w:t>
      </w:r>
      <w:r>
        <w:rPr>
          <w:spacing w:val="-15"/>
          <w:w w:val="115"/>
        </w:rPr>
        <w:t> </w:t>
      </w:r>
      <w:r>
        <w:rPr>
          <w:w w:val="115"/>
        </w:rPr>
        <w:t>el</w:t>
      </w:r>
      <w:r>
        <w:rPr>
          <w:spacing w:val="-15"/>
          <w:w w:val="115"/>
        </w:rPr>
        <w:t> </w:t>
      </w:r>
      <w:r>
        <w:rPr>
          <w:w w:val="115"/>
        </w:rPr>
        <w:t>contexto</w:t>
      </w:r>
      <w:r>
        <w:rPr>
          <w:spacing w:val="-15"/>
          <w:w w:val="115"/>
        </w:rPr>
        <w:t> </w:t>
      </w:r>
      <w:r>
        <w:rPr>
          <w:w w:val="115"/>
        </w:rPr>
        <w:t>latinoamericano,</w:t>
      </w:r>
      <w:r>
        <w:rPr>
          <w:spacing w:val="-15"/>
          <w:w w:val="115"/>
        </w:rPr>
        <w:t> </w:t>
      </w:r>
      <w:r>
        <w:rPr>
          <w:w w:val="115"/>
        </w:rPr>
        <w:t>más</w:t>
      </w:r>
      <w:r>
        <w:rPr>
          <w:spacing w:val="-15"/>
          <w:w w:val="115"/>
        </w:rPr>
        <w:t> </w:t>
      </w:r>
      <w:r>
        <w:rPr>
          <w:w w:val="115"/>
        </w:rPr>
        <w:t>allá</w:t>
      </w:r>
      <w:r>
        <w:rPr>
          <w:spacing w:val="-15"/>
          <w:w w:val="115"/>
        </w:rPr>
        <w:t> </w:t>
      </w:r>
      <w:r>
        <w:rPr>
          <w:w w:val="115"/>
        </w:rPr>
        <w:t>de la</w:t>
      </w:r>
      <w:r>
        <w:rPr>
          <w:spacing w:val="-12"/>
          <w:w w:val="115"/>
        </w:rPr>
        <w:t> </w:t>
      </w:r>
      <w:r>
        <w:rPr>
          <w:w w:val="115"/>
        </w:rPr>
        <w:t>oEa</w:t>
      </w:r>
      <w:r>
        <w:rPr>
          <w:spacing w:val="-12"/>
          <w:w w:val="115"/>
        </w:rPr>
        <w:t> </w:t>
      </w:r>
      <w:r>
        <w:rPr>
          <w:w w:val="115"/>
        </w:rPr>
        <w:t>y</w:t>
      </w:r>
      <w:r>
        <w:rPr>
          <w:spacing w:val="-12"/>
          <w:w w:val="115"/>
        </w:rPr>
        <w:t> </w:t>
      </w:r>
      <w:r>
        <w:rPr>
          <w:w w:val="115"/>
        </w:rPr>
        <w:t>el</w:t>
      </w:r>
      <w:r>
        <w:rPr>
          <w:spacing w:val="-12"/>
          <w:w w:val="115"/>
        </w:rPr>
        <w:t> </w:t>
      </w:r>
      <w:r>
        <w:rPr>
          <w:w w:val="115"/>
        </w:rPr>
        <w:t>sistema</w:t>
      </w:r>
      <w:r>
        <w:rPr>
          <w:spacing w:val="-12"/>
          <w:w w:val="115"/>
        </w:rPr>
        <w:t> </w:t>
      </w:r>
      <w:r>
        <w:rPr>
          <w:w w:val="115"/>
        </w:rPr>
        <w:t>interamericano.</w:t>
      </w:r>
      <w:r>
        <w:rPr>
          <w:spacing w:val="-12"/>
          <w:w w:val="115"/>
        </w:rPr>
        <w:t> </w:t>
      </w:r>
      <w:r>
        <w:rPr>
          <w:w w:val="115"/>
        </w:rPr>
        <w:t>sin</w:t>
      </w:r>
      <w:r>
        <w:rPr>
          <w:spacing w:val="-12"/>
          <w:w w:val="115"/>
        </w:rPr>
        <w:t> </w:t>
      </w:r>
      <w:r>
        <w:rPr>
          <w:w w:val="115"/>
        </w:rPr>
        <w:t>necesidad</w:t>
      </w:r>
      <w:r>
        <w:rPr>
          <w:spacing w:val="-12"/>
          <w:w w:val="115"/>
        </w:rPr>
        <w:t> </w:t>
      </w:r>
      <w:r>
        <w:rPr>
          <w:w w:val="115"/>
        </w:rPr>
        <w:t>de</w:t>
      </w:r>
      <w:r>
        <w:rPr>
          <w:spacing w:val="-12"/>
          <w:w w:val="115"/>
        </w:rPr>
        <w:t> </w:t>
      </w:r>
      <w:r>
        <w:rPr>
          <w:w w:val="115"/>
        </w:rPr>
        <w:t>ninguna</w:t>
      </w:r>
      <w:r>
        <w:rPr>
          <w:spacing w:val="-12"/>
          <w:w w:val="115"/>
        </w:rPr>
        <w:t> </w:t>
      </w:r>
      <w:r>
        <w:rPr>
          <w:w w:val="115"/>
        </w:rPr>
        <w:t>auscul- tación</w:t>
      </w:r>
      <w:r>
        <w:rPr>
          <w:spacing w:val="-16"/>
          <w:w w:val="115"/>
        </w:rPr>
        <w:t> </w:t>
      </w:r>
      <w:r>
        <w:rPr>
          <w:w w:val="115"/>
        </w:rPr>
        <w:t>Estados</w:t>
      </w:r>
      <w:r>
        <w:rPr>
          <w:spacing w:val="-16"/>
          <w:w w:val="115"/>
        </w:rPr>
        <w:t> </w:t>
      </w:r>
      <w:r>
        <w:rPr>
          <w:w w:val="115"/>
        </w:rPr>
        <w:t>unidos</w:t>
      </w:r>
      <w:r>
        <w:rPr>
          <w:spacing w:val="-16"/>
          <w:w w:val="115"/>
        </w:rPr>
        <w:t> </w:t>
      </w:r>
      <w:r>
        <w:rPr>
          <w:w w:val="115"/>
        </w:rPr>
        <w:t>ya</w:t>
      </w:r>
      <w:r>
        <w:rPr>
          <w:spacing w:val="-16"/>
          <w:w w:val="115"/>
        </w:rPr>
        <w:t> </w:t>
      </w:r>
      <w:r>
        <w:rPr>
          <w:w w:val="115"/>
        </w:rPr>
        <w:t>sabía</w:t>
      </w:r>
      <w:r>
        <w:rPr>
          <w:spacing w:val="-16"/>
          <w:w w:val="115"/>
        </w:rPr>
        <w:t> </w:t>
      </w:r>
      <w:r>
        <w:rPr>
          <w:w w:val="115"/>
        </w:rPr>
        <w:t>qué</w:t>
      </w:r>
      <w:r>
        <w:rPr>
          <w:spacing w:val="-16"/>
          <w:w w:val="115"/>
        </w:rPr>
        <w:t> </w:t>
      </w:r>
      <w:r>
        <w:rPr>
          <w:w w:val="115"/>
        </w:rPr>
        <w:t>se</w:t>
      </w:r>
      <w:r>
        <w:rPr>
          <w:spacing w:val="-16"/>
          <w:w w:val="115"/>
        </w:rPr>
        <w:t> </w:t>
      </w:r>
      <w:r>
        <w:rPr>
          <w:w w:val="115"/>
        </w:rPr>
        <w:t>pensaba</w:t>
      </w:r>
      <w:r>
        <w:rPr>
          <w:spacing w:val="-16"/>
          <w:w w:val="115"/>
        </w:rPr>
        <w:t> </w:t>
      </w:r>
      <w:r>
        <w:rPr>
          <w:w w:val="115"/>
        </w:rPr>
        <w:t>de</w:t>
      </w:r>
      <w:r>
        <w:rPr>
          <w:spacing w:val="-16"/>
          <w:w w:val="115"/>
        </w:rPr>
        <w:t> </w:t>
      </w:r>
      <w:r>
        <w:rPr>
          <w:w w:val="115"/>
        </w:rPr>
        <w:t>Cuba</w:t>
      </w:r>
      <w:r>
        <w:rPr>
          <w:spacing w:val="-16"/>
          <w:w w:val="115"/>
        </w:rPr>
        <w:t> </w:t>
      </w:r>
      <w:r>
        <w:rPr>
          <w:w w:val="115"/>
        </w:rPr>
        <w:t>en</w:t>
      </w:r>
      <w:r>
        <w:rPr>
          <w:spacing w:val="-16"/>
          <w:w w:val="115"/>
        </w:rPr>
        <w:t> </w:t>
      </w:r>
      <w:r>
        <w:rPr>
          <w:w w:val="115"/>
        </w:rPr>
        <w:t>la</w:t>
      </w:r>
      <w:r>
        <w:rPr>
          <w:spacing w:val="-16"/>
          <w:w w:val="115"/>
        </w:rPr>
        <w:t> </w:t>
      </w:r>
      <w:r>
        <w:rPr>
          <w:w w:val="115"/>
        </w:rPr>
        <w:t>región.</w:t>
      </w:r>
    </w:p>
    <w:p>
      <w:pPr>
        <w:pStyle w:val="BodyText"/>
        <w:spacing w:line="252" w:lineRule="auto"/>
        <w:ind w:left="34" w:right="328" w:firstLine="396"/>
        <w:jc w:val="right"/>
      </w:pPr>
      <w:r>
        <w:rPr>
          <w:w w:val="110"/>
        </w:rPr>
        <w:t>dentro de las diversas referencias, hay dos que no se pueden omi-</w:t>
      </w:r>
      <w:r>
        <w:rPr>
          <w:w w:val="102"/>
        </w:rPr>
        <w:t> </w:t>
      </w:r>
      <w:r>
        <w:rPr>
          <w:w w:val="110"/>
        </w:rPr>
        <w:t>tir. una, divulgada antes y otra con posterioridad al anuncio simultá-</w:t>
      </w:r>
      <w:r>
        <w:rPr>
          <w:w w:val="102"/>
        </w:rPr>
        <w:t> </w:t>
      </w:r>
      <w:r>
        <w:rPr>
          <w:w w:val="110"/>
        </w:rPr>
        <w:t>neo de ambos gobiernos de iniciar el proceso de acercamiento oficial.</w:t>
      </w:r>
      <w:r>
        <w:rPr>
          <w:w w:val="112"/>
        </w:rPr>
        <w:t> </w:t>
      </w:r>
      <w:r>
        <w:rPr>
          <w:w w:val="110"/>
        </w:rPr>
        <w:t>ambas complementarias en la visualización estratégica de la decisión</w:t>
      </w:r>
      <w:r>
        <w:rPr>
          <w:w w:val="110"/>
        </w:rPr>
        <w:t> </w:t>
      </w:r>
      <w:r>
        <w:rPr>
          <w:w w:val="110"/>
        </w:rPr>
        <w:t>norteamericana. Conocedora de los patios interiores del poder y sus</w:t>
      </w:r>
      <w:r>
        <w:rPr>
          <w:w w:val="108"/>
        </w:rPr>
        <w:t> </w:t>
      </w:r>
      <w:r>
        <w:rPr>
          <w:w w:val="110"/>
        </w:rPr>
        <w:t>intereses fundamentales, en un texto de quien desde su responsabili-</w:t>
      </w:r>
      <w:r>
        <w:rPr>
          <w:w w:val="102"/>
        </w:rPr>
        <w:t> </w:t>
      </w:r>
      <w:r>
        <w:rPr>
          <w:w w:val="110"/>
        </w:rPr>
        <w:t>dad a cargo del departamento de Estado impulsará la diplomacia de la</w:t>
      </w:r>
      <w:r>
        <w:rPr>
          <w:w w:val="111"/>
        </w:rPr>
        <w:t> </w:t>
      </w:r>
      <w:r>
        <w:rPr>
          <w:w w:val="110"/>
        </w:rPr>
        <w:t>“estrategia digital” contra Cuba, encontramos la siguiente observación:</w:t>
      </w:r>
    </w:p>
    <w:p>
      <w:pPr>
        <w:pStyle w:val="BodyText"/>
        <w:spacing w:before="11"/>
        <w:rPr>
          <w:sz w:val="18"/>
        </w:rPr>
      </w:pPr>
    </w:p>
    <w:p>
      <w:pPr>
        <w:spacing w:before="0"/>
        <w:ind w:left="497" w:right="328" w:firstLine="0"/>
        <w:jc w:val="both"/>
        <w:rPr>
          <w:sz w:val="18"/>
        </w:rPr>
      </w:pPr>
      <w:r>
        <w:rPr>
          <w:w w:val="110"/>
          <w:sz w:val="18"/>
        </w:rPr>
        <w:t>Hacia el final de mi mandato, recomendé al presidente obama que él vuelva</w:t>
      </w:r>
      <w:r>
        <w:rPr>
          <w:spacing w:val="-20"/>
          <w:w w:val="110"/>
          <w:sz w:val="18"/>
        </w:rPr>
        <w:t> </w:t>
      </w:r>
      <w:r>
        <w:rPr>
          <w:w w:val="110"/>
          <w:sz w:val="18"/>
        </w:rPr>
        <w:t>a</w:t>
      </w:r>
      <w:r>
        <w:rPr>
          <w:spacing w:val="-20"/>
          <w:w w:val="110"/>
          <w:sz w:val="18"/>
        </w:rPr>
        <w:t> </w:t>
      </w:r>
      <w:r>
        <w:rPr>
          <w:w w:val="110"/>
          <w:sz w:val="18"/>
        </w:rPr>
        <w:t>revisar</w:t>
      </w:r>
      <w:r>
        <w:rPr>
          <w:spacing w:val="-20"/>
          <w:w w:val="110"/>
          <w:sz w:val="18"/>
        </w:rPr>
        <w:t> </w:t>
      </w:r>
      <w:r>
        <w:rPr>
          <w:w w:val="110"/>
          <w:sz w:val="18"/>
        </w:rPr>
        <w:t>nuestro</w:t>
      </w:r>
      <w:r>
        <w:rPr>
          <w:spacing w:val="-20"/>
          <w:w w:val="110"/>
          <w:sz w:val="18"/>
        </w:rPr>
        <w:t> </w:t>
      </w:r>
      <w:r>
        <w:rPr>
          <w:w w:val="110"/>
          <w:sz w:val="18"/>
        </w:rPr>
        <w:t>embargo,</w:t>
      </w:r>
      <w:r>
        <w:rPr>
          <w:spacing w:val="-20"/>
          <w:w w:val="110"/>
          <w:sz w:val="18"/>
        </w:rPr>
        <w:t> </w:t>
      </w:r>
      <w:r>
        <w:rPr>
          <w:w w:val="110"/>
          <w:sz w:val="18"/>
        </w:rPr>
        <w:t>que</w:t>
      </w:r>
      <w:r>
        <w:rPr>
          <w:spacing w:val="-20"/>
          <w:w w:val="110"/>
          <w:sz w:val="18"/>
        </w:rPr>
        <w:t> </w:t>
      </w:r>
      <w:r>
        <w:rPr>
          <w:w w:val="110"/>
          <w:sz w:val="18"/>
        </w:rPr>
        <w:t>no</w:t>
      </w:r>
      <w:r>
        <w:rPr>
          <w:spacing w:val="-20"/>
          <w:w w:val="110"/>
          <w:sz w:val="18"/>
        </w:rPr>
        <w:t> </w:t>
      </w:r>
      <w:r>
        <w:rPr>
          <w:w w:val="110"/>
          <w:sz w:val="18"/>
        </w:rPr>
        <w:t>estaba</w:t>
      </w:r>
      <w:r>
        <w:rPr>
          <w:spacing w:val="-20"/>
          <w:w w:val="110"/>
          <w:sz w:val="18"/>
        </w:rPr>
        <w:t> </w:t>
      </w:r>
      <w:r>
        <w:rPr>
          <w:w w:val="110"/>
          <w:sz w:val="18"/>
        </w:rPr>
        <w:t>logrando</w:t>
      </w:r>
      <w:r>
        <w:rPr>
          <w:spacing w:val="-20"/>
          <w:w w:val="110"/>
          <w:sz w:val="18"/>
        </w:rPr>
        <w:t> </w:t>
      </w:r>
      <w:r>
        <w:rPr>
          <w:w w:val="110"/>
          <w:sz w:val="18"/>
        </w:rPr>
        <w:t>sus</w:t>
      </w:r>
      <w:r>
        <w:rPr>
          <w:spacing w:val="-20"/>
          <w:w w:val="110"/>
          <w:sz w:val="18"/>
        </w:rPr>
        <w:t> </w:t>
      </w:r>
      <w:r>
        <w:rPr>
          <w:w w:val="110"/>
          <w:sz w:val="18"/>
        </w:rPr>
        <w:t>objetivos y que estaba frenando nuestra agenda más amplia en toda américa </w:t>
      </w:r>
      <w:r>
        <w:rPr>
          <w:w w:val="238"/>
          <w:sz w:val="18"/>
        </w:rPr>
        <w:t>l</w:t>
      </w:r>
      <w:r>
        <w:rPr>
          <w:w w:val="111"/>
          <w:sz w:val="18"/>
        </w:rPr>
        <w:t>atina.</w:t>
      </w:r>
      <w:r>
        <w:rPr>
          <w:spacing w:val="9"/>
          <w:sz w:val="18"/>
        </w:rPr>
        <w:t> </w:t>
      </w:r>
      <w:r>
        <w:rPr>
          <w:w w:val="136"/>
          <w:sz w:val="18"/>
        </w:rPr>
        <w:t>d</w:t>
      </w:r>
      <w:r>
        <w:rPr>
          <w:w w:val="105"/>
          <w:sz w:val="18"/>
        </w:rPr>
        <w:t>espués</w:t>
      </w:r>
      <w:r>
        <w:rPr>
          <w:spacing w:val="9"/>
          <w:sz w:val="18"/>
        </w:rPr>
        <w:t> </w:t>
      </w:r>
      <w:r>
        <w:rPr>
          <w:w w:val="104"/>
          <w:sz w:val="18"/>
        </w:rPr>
        <w:t>de</w:t>
      </w:r>
      <w:r>
        <w:rPr>
          <w:spacing w:val="9"/>
          <w:sz w:val="18"/>
        </w:rPr>
        <w:t> </w:t>
      </w:r>
      <w:r>
        <w:rPr>
          <w:w w:val="104"/>
          <w:sz w:val="18"/>
        </w:rPr>
        <w:t>veinte</w:t>
      </w:r>
      <w:r>
        <w:rPr>
          <w:spacing w:val="9"/>
          <w:sz w:val="18"/>
        </w:rPr>
        <w:t> </w:t>
      </w:r>
      <w:r>
        <w:rPr>
          <w:w w:val="107"/>
          <w:sz w:val="18"/>
        </w:rPr>
        <w:t>años</w:t>
      </w:r>
      <w:r>
        <w:rPr>
          <w:spacing w:val="9"/>
          <w:sz w:val="18"/>
        </w:rPr>
        <w:t> </w:t>
      </w:r>
      <w:r>
        <w:rPr>
          <w:w w:val="104"/>
          <w:sz w:val="18"/>
        </w:rPr>
        <w:t>de</w:t>
      </w:r>
      <w:r>
        <w:rPr>
          <w:spacing w:val="9"/>
          <w:sz w:val="18"/>
        </w:rPr>
        <w:t> </w:t>
      </w:r>
      <w:r>
        <w:rPr>
          <w:w w:val="104"/>
          <w:sz w:val="18"/>
        </w:rPr>
        <w:t>observar</w:t>
      </w:r>
      <w:r>
        <w:rPr>
          <w:spacing w:val="9"/>
          <w:sz w:val="18"/>
        </w:rPr>
        <w:t> </w:t>
      </w:r>
      <w:r>
        <w:rPr>
          <w:w w:val="102"/>
          <w:sz w:val="18"/>
        </w:rPr>
        <w:t>y</w:t>
      </w:r>
      <w:r>
        <w:rPr>
          <w:spacing w:val="9"/>
          <w:sz w:val="18"/>
        </w:rPr>
        <w:t> </w:t>
      </w:r>
      <w:r>
        <w:rPr>
          <w:w w:val="107"/>
          <w:sz w:val="18"/>
        </w:rPr>
        <w:t>abordar</w:t>
      </w:r>
      <w:r>
        <w:rPr>
          <w:spacing w:val="9"/>
          <w:sz w:val="18"/>
        </w:rPr>
        <w:t> </w:t>
      </w:r>
      <w:r>
        <w:rPr>
          <w:w w:val="109"/>
          <w:sz w:val="18"/>
        </w:rPr>
        <w:t>la</w:t>
      </w:r>
      <w:r>
        <w:rPr>
          <w:spacing w:val="9"/>
          <w:sz w:val="18"/>
        </w:rPr>
        <w:t> </w:t>
      </w:r>
      <w:r>
        <w:rPr>
          <w:w w:val="108"/>
          <w:sz w:val="18"/>
        </w:rPr>
        <w:t>relación</w:t>
      </w:r>
      <w:r>
        <w:rPr>
          <w:spacing w:val="9"/>
          <w:sz w:val="18"/>
        </w:rPr>
        <w:t> </w:t>
      </w:r>
      <w:r>
        <w:rPr>
          <w:w w:val="104"/>
          <w:sz w:val="18"/>
        </w:rPr>
        <w:t>entre </w:t>
      </w:r>
      <w:r>
        <w:rPr>
          <w:w w:val="110"/>
          <w:sz w:val="18"/>
        </w:rPr>
        <w:t>Estados</w:t>
      </w:r>
      <w:r>
        <w:rPr>
          <w:spacing w:val="-11"/>
          <w:w w:val="110"/>
          <w:sz w:val="18"/>
        </w:rPr>
        <w:t> </w:t>
      </w:r>
      <w:r>
        <w:rPr>
          <w:w w:val="110"/>
          <w:sz w:val="18"/>
        </w:rPr>
        <w:t>unidos</w:t>
      </w:r>
      <w:r>
        <w:rPr>
          <w:spacing w:val="-11"/>
          <w:w w:val="110"/>
          <w:sz w:val="18"/>
        </w:rPr>
        <w:t> </w:t>
      </w:r>
      <w:r>
        <w:rPr>
          <w:w w:val="110"/>
          <w:sz w:val="18"/>
        </w:rPr>
        <w:t>y</w:t>
      </w:r>
      <w:r>
        <w:rPr>
          <w:spacing w:val="-11"/>
          <w:w w:val="110"/>
          <w:sz w:val="18"/>
        </w:rPr>
        <w:t> </w:t>
      </w:r>
      <w:r>
        <w:rPr>
          <w:w w:val="110"/>
          <w:sz w:val="18"/>
        </w:rPr>
        <w:t>Cuba,</w:t>
      </w:r>
      <w:r>
        <w:rPr>
          <w:spacing w:val="-11"/>
          <w:w w:val="110"/>
          <w:sz w:val="18"/>
        </w:rPr>
        <w:t> </w:t>
      </w:r>
      <w:r>
        <w:rPr>
          <w:w w:val="110"/>
          <w:sz w:val="18"/>
        </w:rPr>
        <w:t>pensé</w:t>
      </w:r>
      <w:r>
        <w:rPr>
          <w:spacing w:val="-11"/>
          <w:w w:val="110"/>
          <w:sz w:val="18"/>
        </w:rPr>
        <w:t> </w:t>
      </w:r>
      <w:r>
        <w:rPr>
          <w:w w:val="110"/>
          <w:sz w:val="18"/>
        </w:rPr>
        <w:t>que</w:t>
      </w:r>
      <w:r>
        <w:rPr>
          <w:spacing w:val="-11"/>
          <w:w w:val="110"/>
          <w:sz w:val="18"/>
        </w:rPr>
        <w:t> </w:t>
      </w:r>
      <w:r>
        <w:rPr>
          <w:w w:val="110"/>
          <w:sz w:val="18"/>
        </w:rPr>
        <w:t>deberíamos</w:t>
      </w:r>
      <w:r>
        <w:rPr>
          <w:spacing w:val="-11"/>
          <w:w w:val="110"/>
          <w:sz w:val="18"/>
        </w:rPr>
        <w:t> </w:t>
      </w:r>
      <w:r>
        <w:rPr>
          <w:w w:val="110"/>
          <w:sz w:val="18"/>
        </w:rPr>
        <w:t>trasladar</w:t>
      </w:r>
      <w:r>
        <w:rPr>
          <w:spacing w:val="-11"/>
          <w:w w:val="110"/>
          <w:sz w:val="18"/>
        </w:rPr>
        <w:t> </w:t>
      </w:r>
      <w:r>
        <w:rPr>
          <w:w w:val="110"/>
          <w:sz w:val="18"/>
        </w:rPr>
        <w:t>la</w:t>
      </w:r>
      <w:r>
        <w:rPr>
          <w:spacing w:val="-11"/>
          <w:w w:val="110"/>
          <w:sz w:val="18"/>
        </w:rPr>
        <w:t> </w:t>
      </w:r>
      <w:r>
        <w:rPr>
          <w:w w:val="110"/>
          <w:sz w:val="18"/>
        </w:rPr>
        <w:t>responsabi- lidad a los Castro para explicar por qué se mantuvieron antidemocrá- ticos</w:t>
      </w:r>
      <w:r>
        <w:rPr>
          <w:spacing w:val="-13"/>
          <w:w w:val="110"/>
          <w:sz w:val="18"/>
        </w:rPr>
        <w:t> </w:t>
      </w:r>
      <w:r>
        <w:rPr>
          <w:w w:val="110"/>
          <w:sz w:val="18"/>
        </w:rPr>
        <w:t>y</w:t>
      </w:r>
      <w:r>
        <w:rPr>
          <w:spacing w:val="-13"/>
          <w:w w:val="110"/>
          <w:sz w:val="18"/>
        </w:rPr>
        <w:t> </w:t>
      </w:r>
      <w:r>
        <w:rPr>
          <w:w w:val="110"/>
          <w:sz w:val="18"/>
        </w:rPr>
        <w:t>abusivos</w:t>
      </w:r>
      <w:r>
        <w:rPr>
          <w:spacing w:val="-13"/>
          <w:w w:val="110"/>
          <w:sz w:val="18"/>
        </w:rPr>
        <w:t> </w:t>
      </w:r>
      <w:r>
        <w:rPr>
          <w:w w:val="110"/>
          <w:sz w:val="18"/>
        </w:rPr>
        <w:t>(Clinton,</w:t>
      </w:r>
      <w:r>
        <w:rPr>
          <w:spacing w:val="-13"/>
          <w:w w:val="110"/>
          <w:sz w:val="18"/>
        </w:rPr>
        <w:t> </w:t>
      </w:r>
      <w:r>
        <w:rPr>
          <w:w w:val="110"/>
          <w:sz w:val="18"/>
        </w:rPr>
        <w:t>2014:</w:t>
      </w:r>
      <w:r>
        <w:rPr>
          <w:spacing w:val="-13"/>
          <w:w w:val="110"/>
          <w:sz w:val="18"/>
        </w:rPr>
        <w:t> </w:t>
      </w:r>
      <w:r>
        <w:rPr>
          <w:w w:val="110"/>
          <w:sz w:val="18"/>
        </w:rPr>
        <w:t>178).</w:t>
      </w:r>
    </w:p>
    <w:p>
      <w:pPr>
        <w:pStyle w:val="BodyText"/>
        <w:spacing w:before="1"/>
        <w:rPr>
          <w:sz w:val="21"/>
        </w:rPr>
      </w:pPr>
    </w:p>
    <w:p>
      <w:pPr>
        <w:pStyle w:val="BodyText"/>
        <w:spacing w:line="252" w:lineRule="auto"/>
        <w:ind w:left="100" w:right="327"/>
        <w:jc w:val="both"/>
      </w:pPr>
      <w:r>
        <w:rPr>
          <w:w w:val="110"/>
        </w:rPr>
        <w:t>El texto expresa el reconocimiento del fracaso de la política seguida contra Cuba y el aislamiento regional que esa forma de proceder le   ha significado. Pero más allá de este diagnóstico evidente, hay una dimensión de notable didáctica que pone de manifiesto la</w:t>
      </w:r>
      <w:r>
        <w:rPr>
          <w:spacing w:val="-5"/>
          <w:w w:val="110"/>
        </w:rPr>
        <w:t> </w:t>
      </w:r>
      <w:r>
        <w:rPr>
          <w:w w:val="110"/>
        </w:rPr>
        <w:t>importancia que</w:t>
      </w:r>
      <w:r>
        <w:rPr>
          <w:spacing w:val="35"/>
          <w:w w:val="110"/>
        </w:rPr>
        <w:t> </w:t>
      </w:r>
      <w:r>
        <w:rPr>
          <w:w w:val="110"/>
        </w:rPr>
        <w:t>para</w:t>
      </w:r>
      <w:r>
        <w:rPr>
          <w:spacing w:val="35"/>
          <w:w w:val="110"/>
        </w:rPr>
        <w:t> </w:t>
      </w:r>
      <w:r>
        <w:rPr>
          <w:w w:val="110"/>
        </w:rPr>
        <w:t>la</w:t>
      </w:r>
      <w:r>
        <w:rPr>
          <w:spacing w:val="35"/>
          <w:w w:val="110"/>
        </w:rPr>
        <w:t> </w:t>
      </w:r>
      <w:r>
        <w:rPr>
          <w:w w:val="110"/>
        </w:rPr>
        <w:t>clase</w:t>
      </w:r>
      <w:r>
        <w:rPr>
          <w:spacing w:val="35"/>
          <w:w w:val="110"/>
        </w:rPr>
        <w:t> </w:t>
      </w:r>
      <w:r>
        <w:rPr>
          <w:w w:val="110"/>
        </w:rPr>
        <w:t>dominante</w:t>
      </w:r>
      <w:r>
        <w:rPr>
          <w:spacing w:val="35"/>
          <w:w w:val="110"/>
        </w:rPr>
        <w:t> </w:t>
      </w:r>
      <w:r>
        <w:rPr>
          <w:w w:val="110"/>
        </w:rPr>
        <w:t>norteamericana</w:t>
      </w:r>
      <w:r>
        <w:rPr>
          <w:spacing w:val="35"/>
          <w:w w:val="110"/>
        </w:rPr>
        <w:t> </w:t>
      </w:r>
      <w:r>
        <w:rPr>
          <w:w w:val="110"/>
        </w:rPr>
        <w:t>adquiere</w:t>
      </w:r>
      <w:r>
        <w:rPr>
          <w:spacing w:val="35"/>
          <w:w w:val="110"/>
        </w:rPr>
        <w:t> </w:t>
      </w:r>
      <w:r>
        <w:rPr>
          <w:w w:val="110"/>
        </w:rPr>
        <w:t>Cuba</w:t>
      </w:r>
      <w:r>
        <w:rPr>
          <w:spacing w:val="35"/>
          <w:w w:val="110"/>
        </w:rPr>
        <w:t> </w:t>
      </w:r>
      <w:r>
        <w:rPr>
          <w:w w:val="110"/>
        </w:rPr>
        <w:t>dentro</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de una “agenda más amplia” y, por otro lado, el propósito igualmente constante en su política en el sentido de volver a sembrar el germen de su concepción de democracia, desde su restringida concepción li- beral, buscando trasladar responsabilidades políticas a la dirigencia de  la  revolución Cubana.</w:t>
      </w:r>
    </w:p>
    <w:p>
      <w:pPr>
        <w:pStyle w:val="BodyText"/>
        <w:spacing w:line="252" w:lineRule="auto"/>
        <w:ind w:left="330" w:right="117" w:firstLine="396"/>
        <w:jc w:val="both"/>
      </w:pPr>
      <w:r>
        <w:rPr>
          <w:w w:val="110"/>
        </w:rPr>
        <w:t>Frente a la valoración ponderada de lo que significa el acerca- miento entre dos gobiernos que representan a sistemas políticos dia- metralmente distintos, disponemos, por otro lado, de un documento que contiene la explicitación de los elementos potenciales de amena- za a la seguridad estadounidense para este período. En la Estrategia de seguridad Nacional divulgada por el departamento de Estado en febrero de 2015, más allá de sus variantes, se aprecia la regularidad de algunos eslabones conceptuales con respecto a la formulación de 2010. En efecto, se reafirma explícitamente la profundización del principio de asociación estratégica con Colombia, a la que le atribu-   ye un papel primordial para la paz y la seguridad internacionales.</w:t>
      </w:r>
      <w:r>
        <w:rPr>
          <w:w w:val="110"/>
          <w:position w:val="6"/>
          <w:sz w:val="11"/>
        </w:rPr>
        <w:t>6      </w:t>
      </w:r>
      <w:r>
        <w:rPr>
          <w:w w:val="110"/>
        </w:rPr>
        <w:t>En su perspectiva contempla el resguardo del ejercicio pleno de la democracia, que en circunstancias como la de Venezuela considera que se encuentra “en riesgo” por lo que se atribuye la responsabilidad de brindar “apoyo y protección a los ciudadanos” de aquel país. Es </w:t>
      </w:r>
      <w:r>
        <w:rPr>
          <w:spacing w:val="-4"/>
          <w:w w:val="110"/>
        </w:rPr>
        <w:t>decir, </w:t>
      </w:r>
      <w:r>
        <w:rPr>
          <w:w w:val="110"/>
        </w:rPr>
        <w:t>la potestad auto-atribuida para intervenir países, queda explíci- tamente formulada en el documento de marras cuyo alcance político ni siquiera se preocupa de </w:t>
      </w:r>
      <w:r>
        <w:rPr>
          <w:spacing w:val="7"/>
          <w:w w:val="110"/>
        </w:rPr>
        <w:t> </w:t>
      </w:r>
      <w:r>
        <w:rPr>
          <w:spacing w:val="-3"/>
          <w:w w:val="110"/>
        </w:rPr>
        <w:t>disimular.</w:t>
      </w:r>
    </w:p>
    <w:p>
      <w:pPr>
        <w:pStyle w:val="BodyText"/>
        <w:spacing w:line="252" w:lineRule="auto"/>
        <w:ind w:left="330" w:right="117" w:firstLine="396"/>
        <w:jc w:val="both"/>
      </w:pPr>
      <w:r>
        <w:rPr>
          <w:w w:val="110"/>
        </w:rPr>
        <w:t>El trazado de ese posicionamiento oficial se ratifica en hechos</w:t>
      </w:r>
      <w:r>
        <w:rPr>
          <w:spacing w:val="-26"/>
          <w:w w:val="110"/>
        </w:rPr>
        <w:t> </w:t>
      </w:r>
      <w:r>
        <w:rPr>
          <w:w w:val="110"/>
        </w:rPr>
        <w:t>que resultan</w:t>
      </w:r>
      <w:r>
        <w:rPr>
          <w:spacing w:val="-8"/>
          <w:w w:val="110"/>
        </w:rPr>
        <w:t> </w:t>
      </w:r>
      <w:r>
        <w:rPr>
          <w:w w:val="110"/>
        </w:rPr>
        <w:t>de</w:t>
      </w:r>
      <w:r>
        <w:rPr>
          <w:spacing w:val="-8"/>
          <w:w w:val="110"/>
        </w:rPr>
        <w:t> </w:t>
      </w:r>
      <w:r>
        <w:rPr>
          <w:w w:val="110"/>
        </w:rPr>
        <w:t>extrema</w:t>
      </w:r>
      <w:r>
        <w:rPr>
          <w:spacing w:val="-8"/>
          <w:w w:val="110"/>
        </w:rPr>
        <w:t> </w:t>
      </w:r>
      <w:r>
        <w:rPr>
          <w:w w:val="110"/>
        </w:rPr>
        <w:t>gravedad,</w:t>
      </w:r>
      <w:r>
        <w:rPr>
          <w:spacing w:val="-8"/>
          <w:w w:val="110"/>
        </w:rPr>
        <w:t> </w:t>
      </w:r>
      <w:r>
        <w:rPr>
          <w:w w:val="110"/>
        </w:rPr>
        <w:t>porque</w:t>
      </w:r>
      <w:r>
        <w:rPr>
          <w:spacing w:val="-8"/>
          <w:w w:val="110"/>
        </w:rPr>
        <w:t> </w:t>
      </w:r>
      <w:r>
        <w:rPr>
          <w:w w:val="110"/>
        </w:rPr>
        <w:t>el</w:t>
      </w:r>
      <w:r>
        <w:rPr>
          <w:spacing w:val="-8"/>
          <w:w w:val="110"/>
        </w:rPr>
        <w:t> </w:t>
      </w:r>
      <w:r>
        <w:rPr>
          <w:w w:val="110"/>
        </w:rPr>
        <w:t>9</w:t>
      </w:r>
      <w:r>
        <w:rPr>
          <w:spacing w:val="-8"/>
          <w:w w:val="110"/>
        </w:rPr>
        <w:t> </w:t>
      </w:r>
      <w:r>
        <w:rPr>
          <w:w w:val="110"/>
        </w:rPr>
        <w:t>de</w:t>
      </w:r>
      <w:r>
        <w:rPr>
          <w:spacing w:val="-8"/>
          <w:w w:val="110"/>
        </w:rPr>
        <w:t> </w:t>
      </w:r>
      <w:r>
        <w:rPr>
          <w:w w:val="110"/>
        </w:rPr>
        <w:t>marzo</w:t>
      </w:r>
      <w:r>
        <w:rPr>
          <w:spacing w:val="-8"/>
          <w:w w:val="110"/>
        </w:rPr>
        <w:t> </w:t>
      </w:r>
      <w:r>
        <w:rPr>
          <w:w w:val="110"/>
        </w:rPr>
        <w:t>de</w:t>
      </w:r>
      <w:r>
        <w:rPr>
          <w:spacing w:val="-8"/>
          <w:w w:val="110"/>
        </w:rPr>
        <w:t> </w:t>
      </w:r>
      <w:r>
        <w:rPr>
          <w:w w:val="110"/>
        </w:rPr>
        <w:t>2015</w:t>
      </w:r>
      <w:r>
        <w:rPr>
          <w:spacing w:val="-8"/>
          <w:w w:val="110"/>
        </w:rPr>
        <w:t> </w:t>
      </w:r>
      <w:r>
        <w:rPr>
          <w:w w:val="110"/>
        </w:rPr>
        <w:t>se</w:t>
      </w:r>
      <w:r>
        <w:rPr>
          <w:spacing w:val="-8"/>
          <w:w w:val="110"/>
        </w:rPr>
        <w:t> </w:t>
      </w:r>
      <w:r>
        <w:rPr>
          <w:w w:val="110"/>
        </w:rPr>
        <w:t>produ- ce el anuncio de la orden Ejecutiva contra Venezuela acompañada de sanciones a funcionarios del Estado. El gobierno estadounidense por medio de aquel decreto afirmó que la situación en Venezuela consti- tuye una “amenaza extraordinaria e inusual” para su seguridad. En     sí mismo es una alerta extrema para la revolución bolivariana y por extensión para toda la región. analíticamente resulta difícil armoni- zar un razonamiento político que haga comprensible esta decisión, si consideramos el proceso diplomático iniciado con Cuba cuyo anticipo también aparece en el documento de la Casa  </w:t>
      </w:r>
      <w:r>
        <w:rPr>
          <w:spacing w:val="32"/>
          <w:w w:val="110"/>
        </w:rPr>
        <w:t> </w:t>
      </w:r>
      <w:r>
        <w:rPr>
          <w:w w:val="110"/>
        </w:rPr>
        <w:t>blanca.</w:t>
      </w:r>
    </w:p>
    <w:p>
      <w:pPr>
        <w:pStyle w:val="BodyText"/>
        <w:spacing w:line="252" w:lineRule="auto"/>
        <w:ind w:left="330" w:right="116" w:firstLine="396"/>
        <w:jc w:val="both"/>
      </w:pPr>
      <w:r>
        <w:rPr>
          <w:w w:val="110"/>
        </w:rPr>
        <w:t>sin embargo, lo más razonable probablemente consista en en- tender que el ofrecimiento de un diálogo con el gobierno cubano y la decisión de un mayor endurecimiento de su política hacia Venezuela son componentes distintos de una misma intencionalidad estratégi- ca. Por lo pronto, esa ya es en sí misma una forma flagrante de in- tervenir en los asuntos internos de Venezuela, toda vez que la señal inequívoca que contiene esa decisión es la de otorgar el visto bueno</w:t>
      </w:r>
    </w:p>
    <w:p>
      <w:pPr>
        <w:pStyle w:val="BodyText"/>
        <w:spacing w:before="7"/>
        <w:rPr>
          <w:sz w:val="15"/>
        </w:rPr>
      </w:pPr>
      <w:r>
        <w:rPr/>
        <w:pict>
          <v:line style="position:absolute;mso-position-horizontal-relative:page;mso-position-vertical-relative:paragraph;z-index:7720;mso-wrap-distance-left:0;mso-wrap-distance-right:0" from="76.5354pt,11.360028pt" to="104.8814pt,11.360028pt" stroked="true" strokeweight=".5pt" strokecolor="#000000">
            <w10:wrap type="topAndBottom"/>
          </v:line>
        </w:pict>
      </w:r>
    </w:p>
    <w:p>
      <w:pPr>
        <w:pStyle w:val="ListParagraph"/>
        <w:numPr>
          <w:ilvl w:val="0"/>
          <w:numId w:val="32"/>
        </w:numPr>
        <w:tabs>
          <w:tab w:pos="586" w:val="left" w:leader="none"/>
        </w:tabs>
        <w:spacing w:line="240" w:lineRule="auto" w:before="89" w:after="0"/>
        <w:ind w:left="585" w:right="0" w:hanging="255"/>
        <w:jc w:val="left"/>
        <w:rPr>
          <w:sz w:val="16"/>
        </w:rPr>
      </w:pPr>
      <w:r>
        <w:rPr>
          <w:i/>
          <w:w w:val="105"/>
          <w:sz w:val="16"/>
        </w:rPr>
        <w:t>The White House </w:t>
      </w:r>
      <w:r>
        <w:rPr>
          <w:i/>
          <w:spacing w:val="4"/>
          <w:w w:val="105"/>
          <w:sz w:val="16"/>
        </w:rPr>
        <w:t> </w:t>
      </w:r>
      <w:r>
        <w:rPr>
          <w:w w:val="105"/>
          <w:sz w:val="16"/>
        </w:rPr>
        <w:t>(2015).</w:t>
      </w:r>
    </w:p>
    <w:p>
      <w:pPr>
        <w:spacing w:after="0" w:line="240" w:lineRule="auto"/>
        <w:jc w:val="left"/>
        <w:rPr>
          <w:sz w:val="16"/>
        </w:rPr>
        <w:sectPr>
          <w:footerReference w:type="even" r:id="rId454"/>
          <w:footerReference w:type="default" r:id="rId455"/>
          <w:pgSz w:w="8790" w:h="12760"/>
          <w:pgMar w:footer="725" w:header="697" w:top="880" w:bottom="920" w:left="1200" w:right="900"/>
          <w:pgNumType w:start="342"/>
        </w:sectPr>
      </w:pPr>
    </w:p>
    <w:p>
      <w:pPr>
        <w:pStyle w:val="BodyText"/>
        <w:spacing w:before="9"/>
        <w:rPr>
          <w:sz w:val="28"/>
        </w:rPr>
      </w:pPr>
    </w:p>
    <w:p>
      <w:pPr>
        <w:pStyle w:val="BodyText"/>
        <w:spacing w:line="252" w:lineRule="auto" w:before="73"/>
        <w:ind w:left="100" w:right="327"/>
        <w:jc w:val="both"/>
      </w:pPr>
      <w:r>
        <w:rPr>
          <w:w w:val="110"/>
        </w:rPr>
        <w:t>a toda conducta desestabilizadora en curso, a la contraofensiva me- diática y económica sin descontar el recurso de tocar la puerta de     los cuarteles e institutos castrenses para provocar reversiones sus- tantivas al proceso. si se observa con detenimiento el caso de Cuba,    el discurso aquí se encarga de mostrar la articulación con la misma matriz estratégica, cuando se afirma que la apertura hacia el país caribeño busca promover con mayor eficacia la capacidad del pueblo para determinar su futuro. otra expresión que reformula su invete- rada forma de </w:t>
      </w:r>
      <w:r>
        <w:rPr>
          <w:spacing w:val="-3"/>
          <w:w w:val="110"/>
        </w:rPr>
        <w:t>proceder, </w:t>
      </w:r>
      <w:r>
        <w:rPr>
          <w:w w:val="110"/>
        </w:rPr>
        <w:t>más grave todavía cuando en su diplomacia está la búsqueda manifiesta de un entendimiento hacia la “normali- zación de las </w:t>
      </w:r>
      <w:r>
        <w:rPr>
          <w:spacing w:val="1"/>
          <w:w w:val="110"/>
        </w:rPr>
        <w:t> </w:t>
      </w:r>
      <w:r>
        <w:rPr>
          <w:w w:val="110"/>
        </w:rPr>
        <w:t>relaciones”.</w:t>
      </w:r>
    </w:p>
    <w:p>
      <w:pPr>
        <w:pStyle w:val="BodyText"/>
        <w:spacing w:line="252" w:lineRule="auto"/>
        <w:ind w:left="100" w:right="327" w:firstLine="396"/>
        <w:jc w:val="both"/>
      </w:pPr>
      <w:r>
        <w:rPr>
          <w:w w:val="110"/>
        </w:rPr>
        <w:t>Hay un aspecto que ligado a las anteriores referencias conviene </w:t>
      </w:r>
      <w:r>
        <w:rPr>
          <w:spacing w:val="-3"/>
          <w:w w:val="110"/>
        </w:rPr>
        <w:t>mencionar. </w:t>
      </w:r>
      <w:r>
        <w:rPr>
          <w:w w:val="110"/>
        </w:rPr>
        <w:t>El reforzamiento explícito de los principios enunciados en la Carta democrática interamericana. He aquí todo un eje para la ac- tivación de su política global encaminada a “promover la democracia” en todo el hemisferio, coherente con su unilateral forma de concebirla acorde con sus intereses permanentes. Esa llamada “promoción de    la democracia” –conviene recordarlo– históricamente ha transcurrido por diversos registros, abiertos y encubiertos. Ese objetivo estadou- nidense, lejos de ser un compartimento estanco en su Estrategia de seguridad, cuenta con los nexos interamericanos vinculantes con los diversos tratados, acuerdos y planes aprobados por las Cumbres de las américas, por las Cumbres de sus Ministros de defensa, por las reuniones de Ministros de Justicia, al igual que por los principales órganos político-militares y político-jurídicos del sistema interame- ricano, es </w:t>
      </w:r>
      <w:r>
        <w:rPr>
          <w:spacing w:val="-4"/>
          <w:w w:val="110"/>
        </w:rPr>
        <w:t>decir, </w:t>
      </w:r>
      <w:r>
        <w:rPr>
          <w:w w:val="110"/>
        </w:rPr>
        <w:t>en el diseño práctico de la organización de Estados americanos (oEa), habida cuenta de sus diversos componentes insti- tucionales como la Corte interamericana de derechos Humanos y la Junta interamericana de defensa (Jid). </w:t>
      </w:r>
      <w:r>
        <w:rPr>
          <w:spacing w:val="-5"/>
          <w:w w:val="125"/>
        </w:rPr>
        <w:t>todo </w:t>
      </w:r>
      <w:r>
        <w:rPr>
          <w:w w:val="110"/>
        </w:rPr>
        <w:t>este entramado existen- te permite plantear de manera plausible que su concepción de seguri- dad va de la mano con la construcción de una estrategia de seguridad interamericana. </w:t>
      </w:r>
      <w:r>
        <w:rPr>
          <w:w w:val="125"/>
        </w:rPr>
        <w:t>su </w:t>
      </w:r>
      <w:r>
        <w:rPr>
          <w:w w:val="110"/>
        </w:rPr>
        <w:t>potencial destructivo consiste en la capacidad, se- gún</w:t>
      </w:r>
      <w:r>
        <w:rPr>
          <w:spacing w:val="-7"/>
          <w:w w:val="110"/>
        </w:rPr>
        <w:t> </w:t>
      </w:r>
      <w:r>
        <w:rPr>
          <w:w w:val="110"/>
        </w:rPr>
        <w:t>la</w:t>
      </w:r>
      <w:r>
        <w:rPr>
          <w:spacing w:val="-7"/>
          <w:w w:val="110"/>
        </w:rPr>
        <w:t> </w:t>
      </w:r>
      <w:r>
        <w:rPr>
          <w:w w:val="110"/>
        </w:rPr>
        <w:t>correlación</w:t>
      </w:r>
      <w:r>
        <w:rPr>
          <w:spacing w:val="-7"/>
          <w:w w:val="110"/>
        </w:rPr>
        <w:t> </w:t>
      </w:r>
      <w:r>
        <w:rPr>
          <w:w w:val="110"/>
        </w:rPr>
        <w:t>que</w:t>
      </w:r>
      <w:r>
        <w:rPr>
          <w:spacing w:val="-7"/>
          <w:w w:val="110"/>
        </w:rPr>
        <w:t> </w:t>
      </w:r>
      <w:r>
        <w:rPr>
          <w:w w:val="110"/>
        </w:rPr>
        <w:t>le</w:t>
      </w:r>
      <w:r>
        <w:rPr>
          <w:spacing w:val="-7"/>
          <w:w w:val="110"/>
        </w:rPr>
        <w:t> </w:t>
      </w:r>
      <w:r>
        <w:rPr>
          <w:w w:val="110"/>
        </w:rPr>
        <w:t>resulte</w:t>
      </w:r>
      <w:r>
        <w:rPr>
          <w:spacing w:val="-7"/>
          <w:w w:val="110"/>
        </w:rPr>
        <w:t> </w:t>
      </w:r>
      <w:r>
        <w:rPr>
          <w:w w:val="110"/>
        </w:rPr>
        <w:t>favorable,</w:t>
      </w:r>
      <w:r>
        <w:rPr>
          <w:spacing w:val="-7"/>
          <w:w w:val="110"/>
        </w:rPr>
        <w:t> </w:t>
      </w:r>
      <w:r>
        <w:rPr>
          <w:w w:val="110"/>
        </w:rPr>
        <w:t>de</w:t>
      </w:r>
      <w:r>
        <w:rPr>
          <w:spacing w:val="-7"/>
          <w:w w:val="110"/>
        </w:rPr>
        <w:t> </w:t>
      </w:r>
      <w:r>
        <w:rPr>
          <w:w w:val="110"/>
        </w:rPr>
        <w:t>operar</w:t>
      </w:r>
      <w:r>
        <w:rPr>
          <w:spacing w:val="-7"/>
          <w:w w:val="110"/>
        </w:rPr>
        <w:t> </w:t>
      </w:r>
      <w:r>
        <w:rPr>
          <w:w w:val="110"/>
        </w:rPr>
        <w:t>como</w:t>
      </w:r>
      <w:r>
        <w:rPr>
          <w:spacing w:val="-7"/>
          <w:w w:val="110"/>
        </w:rPr>
        <w:t> </w:t>
      </w:r>
      <w:r>
        <w:rPr>
          <w:w w:val="110"/>
        </w:rPr>
        <w:t>verdaderos diques de contención frente a los objetivos multilaterales de concerta- ción política, de cooperación e integración como </w:t>
      </w:r>
      <w:r>
        <w:rPr>
          <w:w w:val="125"/>
        </w:rPr>
        <w:t>CElaC, uNasur </w:t>
      </w:r>
      <w:r>
        <w:rPr>
          <w:w w:val="110"/>
        </w:rPr>
        <w:t>y </w:t>
      </w:r>
      <w:r>
        <w:rPr>
          <w:w w:val="125"/>
        </w:rPr>
        <w:t>alba. </w:t>
      </w:r>
      <w:r>
        <w:rPr>
          <w:w w:val="110"/>
        </w:rPr>
        <w:t>aunque el proceso de avance hacia la normalización de relacio- nes dependerá de la correlación de fuerzas políticas en Estados uni- </w:t>
      </w:r>
      <w:r>
        <w:rPr>
          <w:w w:val="108"/>
        </w:rPr>
        <w:t>dos</w:t>
      </w:r>
      <w:r>
        <w:rPr/>
        <w:t> </w:t>
      </w:r>
      <w:r>
        <w:rPr>
          <w:spacing w:val="-15"/>
        </w:rPr>
        <w:t> </w:t>
      </w:r>
      <w:r>
        <w:rPr>
          <w:w w:val="105"/>
        </w:rPr>
        <w:t>y</w:t>
      </w:r>
      <w:r>
        <w:rPr/>
        <w:t> </w:t>
      </w:r>
      <w:r>
        <w:rPr>
          <w:spacing w:val="-15"/>
        </w:rPr>
        <w:t> </w:t>
      </w:r>
      <w:r>
        <w:rPr>
          <w:w w:val="108"/>
        </w:rPr>
        <w:t>en</w:t>
      </w:r>
      <w:r>
        <w:rPr/>
        <w:t> </w:t>
      </w:r>
      <w:r>
        <w:rPr>
          <w:spacing w:val="-15"/>
        </w:rPr>
        <w:t> </w:t>
      </w:r>
      <w:r>
        <w:rPr>
          <w:w w:val="139"/>
        </w:rPr>
        <w:t>a</w:t>
      </w:r>
      <w:r>
        <w:rPr>
          <w:w w:val="111"/>
        </w:rPr>
        <w:t>mérica</w:t>
      </w:r>
      <w:r>
        <w:rPr/>
        <w:t> </w:t>
      </w:r>
      <w:r>
        <w:rPr>
          <w:spacing w:val="-15"/>
        </w:rPr>
        <w:t> </w:t>
      </w:r>
      <w:r>
        <w:rPr>
          <w:w w:val="243"/>
        </w:rPr>
        <w:t>l</w:t>
      </w:r>
      <w:r>
        <w:rPr>
          <w:w w:val="113"/>
        </w:rPr>
        <w:t>atina,</w:t>
      </w:r>
      <w:r>
        <w:rPr/>
        <w:t> </w:t>
      </w:r>
      <w:r>
        <w:rPr>
          <w:spacing w:val="-15"/>
        </w:rPr>
        <w:t> </w:t>
      </w:r>
      <w:r>
        <w:rPr>
          <w:w w:val="111"/>
        </w:rPr>
        <w:t>la</w:t>
      </w:r>
      <w:r>
        <w:rPr/>
        <w:t> </w:t>
      </w:r>
      <w:r>
        <w:rPr>
          <w:spacing w:val="-15"/>
        </w:rPr>
        <w:t> </w:t>
      </w:r>
      <w:r>
        <w:rPr>
          <w:w w:val="112"/>
        </w:rPr>
        <w:t>diplomacia</w:t>
      </w:r>
      <w:r>
        <w:rPr/>
        <w:t> </w:t>
      </w:r>
      <w:r>
        <w:rPr>
          <w:spacing w:val="-15"/>
        </w:rPr>
        <w:t> </w:t>
      </w:r>
      <w:r>
        <w:rPr>
          <w:w w:val="108"/>
        </w:rPr>
        <w:t>estadounidense</w:t>
      </w:r>
      <w:r>
        <w:rPr/>
        <w:t> </w:t>
      </w:r>
      <w:r>
        <w:rPr>
          <w:spacing w:val="-15"/>
        </w:rPr>
        <w:t> </w:t>
      </w:r>
      <w:r>
        <w:rPr>
          <w:w w:val="110"/>
        </w:rPr>
        <w:t>buscará</w:t>
      </w:r>
      <w:r>
        <w:rPr/>
        <w:t> </w:t>
      </w:r>
      <w:r>
        <w:rPr>
          <w:spacing w:val="-15"/>
        </w:rPr>
        <w:t> </w:t>
      </w:r>
      <w:r>
        <w:rPr>
          <w:w w:val="108"/>
        </w:rPr>
        <w:t>que </w:t>
      </w:r>
      <w:r>
        <w:rPr>
          <w:w w:val="110"/>
        </w:rPr>
        <w:t>el conjunto de movimientos tácticos o giros en su conducta le reditúe lo necesario para reorientar las relaciones interamericanas, todo lo cual presupone realizar lo necesario para impedir que siga creciendo la influencia del núcleo de gobiernos que proyectan su política sin sujetarse a sus</w:t>
      </w:r>
      <w:r>
        <w:rPr>
          <w:spacing w:val="11"/>
          <w:w w:val="110"/>
        </w:rPr>
        <w:t> </w:t>
      </w:r>
      <w:r>
        <w:rPr>
          <w:w w:val="110"/>
        </w:rPr>
        <w:t>decisiones.</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firstLine="396"/>
        <w:jc w:val="both"/>
      </w:pPr>
      <w:r>
        <w:rPr>
          <w:w w:val="115"/>
        </w:rPr>
        <w:t>Para la revolución Cubana se abre un período probablemente excepcional,</w:t>
      </w:r>
      <w:r>
        <w:rPr>
          <w:spacing w:val="-10"/>
          <w:w w:val="115"/>
        </w:rPr>
        <w:t> </w:t>
      </w:r>
      <w:r>
        <w:rPr>
          <w:w w:val="115"/>
        </w:rPr>
        <w:t>en</w:t>
      </w:r>
      <w:r>
        <w:rPr>
          <w:spacing w:val="-10"/>
          <w:w w:val="115"/>
        </w:rPr>
        <w:t> </w:t>
      </w:r>
      <w:r>
        <w:rPr>
          <w:w w:val="115"/>
        </w:rPr>
        <w:t>cuya</w:t>
      </w:r>
      <w:r>
        <w:rPr>
          <w:spacing w:val="-10"/>
          <w:w w:val="115"/>
        </w:rPr>
        <w:t> </w:t>
      </w:r>
      <w:r>
        <w:rPr>
          <w:w w:val="115"/>
        </w:rPr>
        <w:t>forja</w:t>
      </w:r>
      <w:r>
        <w:rPr>
          <w:spacing w:val="-10"/>
          <w:w w:val="115"/>
        </w:rPr>
        <w:t> </w:t>
      </w:r>
      <w:r>
        <w:rPr>
          <w:w w:val="115"/>
        </w:rPr>
        <w:t>la</w:t>
      </w:r>
      <w:r>
        <w:rPr>
          <w:spacing w:val="-10"/>
          <w:w w:val="115"/>
        </w:rPr>
        <w:t> </w:t>
      </w:r>
      <w:r>
        <w:rPr>
          <w:w w:val="115"/>
        </w:rPr>
        <w:t>capacidad</w:t>
      </w:r>
      <w:r>
        <w:rPr>
          <w:spacing w:val="-10"/>
          <w:w w:val="115"/>
        </w:rPr>
        <w:t> </w:t>
      </w:r>
      <w:r>
        <w:rPr>
          <w:w w:val="115"/>
        </w:rPr>
        <w:t>diplomática</w:t>
      </w:r>
      <w:r>
        <w:rPr>
          <w:spacing w:val="-10"/>
          <w:w w:val="115"/>
        </w:rPr>
        <w:t> </w:t>
      </w:r>
      <w:r>
        <w:rPr>
          <w:w w:val="115"/>
        </w:rPr>
        <w:t>del</w:t>
      </w:r>
      <w:r>
        <w:rPr>
          <w:spacing w:val="-10"/>
          <w:w w:val="115"/>
        </w:rPr>
        <w:t> </w:t>
      </w:r>
      <w:r>
        <w:rPr>
          <w:w w:val="115"/>
        </w:rPr>
        <w:t>Estado</w:t>
      </w:r>
      <w:r>
        <w:rPr>
          <w:spacing w:val="-10"/>
          <w:w w:val="115"/>
        </w:rPr>
        <w:t> </w:t>
      </w:r>
      <w:r>
        <w:rPr>
          <w:w w:val="115"/>
        </w:rPr>
        <w:t>retie- ne,</w:t>
      </w:r>
      <w:r>
        <w:rPr>
          <w:spacing w:val="-14"/>
          <w:w w:val="115"/>
        </w:rPr>
        <w:t> </w:t>
      </w:r>
      <w:r>
        <w:rPr>
          <w:w w:val="115"/>
        </w:rPr>
        <w:t>sin</w:t>
      </w:r>
      <w:r>
        <w:rPr>
          <w:spacing w:val="-14"/>
          <w:w w:val="115"/>
        </w:rPr>
        <w:t> </w:t>
      </w:r>
      <w:r>
        <w:rPr>
          <w:w w:val="115"/>
        </w:rPr>
        <w:t>duda,</w:t>
      </w:r>
      <w:r>
        <w:rPr>
          <w:spacing w:val="-14"/>
          <w:w w:val="115"/>
        </w:rPr>
        <w:t> </w:t>
      </w:r>
      <w:r>
        <w:rPr>
          <w:w w:val="115"/>
        </w:rPr>
        <w:t>lo</w:t>
      </w:r>
      <w:r>
        <w:rPr>
          <w:spacing w:val="-14"/>
          <w:w w:val="115"/>
        </w:rPr>
        <w:t> </w:t>
      </w:r>
      <w:r>
        <w:rPr>
          <w:w w:val="115"/>
        </w:rPr>
        <w:t>podemos</w:t>
      </w:r>
      <w:r>
        <w:rPr>
          <w:spacing w:val="-14"/>
          <w:w w:val="115"/>
        </w:rPr>
        <w:t> </w:t>
      </w:r>
      <w:r>
        <w:rPr>
          <w:w w:val="115"/>
        </w:rPr>
        <w:t>razonablemente</w:t>
      </w:r>
      <w:r>
        <w:rPr>
          <w:spacing w:val="-14"/>
          <w:w w:val="115"/>
        </w:rPr>
        <w:t> </w:t>
      </w:r>
      <w:r>
        <w:rPr>
          <w:spacing w:val="-3"/>
          <w:w w:val="115"/>
        </w:rPr>
        <w:t>suponer,</w:t>
      </w:r>
      <w:r>
        <w:rPr>
          <w:spacing w:val="-14"/>
          <w:w w:val="115"/>
        </w:rPr>
        <w:t> </w:t>
      </w:r>
      <w:r>
        <w:rPr>
          <w:w w:val="115"/>
        </w:rPr>
        <w:t>alguna</w:t>
      </w:r>
      <w:r>
        <w:rPr>
          <w:spacing w:val="-14"/>
          <w:w w:val="115"/>
        </w:rPr>
        <w:t> </w:t>
      </w:r>
      <w:r>
        <w:rPr>
          <w:w w:val="115"/>
        </w:rPr>
        <w:t>parte</w:t>
      </w:r>
      <w:r>
        <w:rPr>
          <w:spacing w:val="-14"/>
          <w:w w:val="115"/>
        </w:rPr>
        <w:t> </w:t>
      </w:r>
      <w:r>
        <w:rPr>
          <w:w w:val="115"/>
        </w:rPr>
        <w:t>cen- tral</w:t>
      </w:r>
      <w:r>
        <w:rPr>
          <w:spacing w:val="-7"/>
          <w:w w:val="115"/>
        </w:rPr>
        <w:t> </w:t>
      </w:r>
      <w:r>
        <w:rPr>
          <w:w w:val="115"/>
        </w:rPr>
        <w:t>de</w:t>
      </w:r>
      <w:r>
        <w:rPr>
          <w:spacing w:val="-7"/>
          <w:w w:val="115"/>
        </w:rPr>
        <w:t> </w:t>
      </w:r>
      <w:r>
        <w:rPr>
          <w:w w:val="115"/>
        </w:rPr>
        <w:t>los</w:t>
      </w:r>
      <w:r>
        <w:rPr>
          <w:spacing w:val="-7"/>
          <w:w w:val="115"/>
        </w:rPr>
        <w:t> </w:t>
      </w:r>
      <w:r>
        <w:rPr>
          <w:w w:val="115"/>
        </w:rPr>
        <w:t>reconocimientos</w:t>
      </w:r>
      <w:r>
        <w:rPr>
          <w:spacing w:val="-7"/>
          <w:w w:val="115"/>
        </w:rPr>
        <w:t> </w:t>
      </w:r>
      <w:r>
        <w:rPr>
          <w:w w:val="115"/>
        </w:rPr>
        <w:t>políticos,</w:t>
      </w:r>
      <w:r>
        <w:rPr>
          <w:spacing w:val="-7"/>
          <w:w w:val="115"/>
        </w:rPr>
        <w:t> </w:t>
      </w:r>
      <w:r>
        <w:rPr>
          <w:w w:val="115"/>
        </w:rPr>
        <w:t>tanto</w:t>
      </w:r>
      <w:r>
        <w:rPr>
          <w:spacing w:val="-7"/>
          <w:w w:val="115"/>
        </w:rPr>
        <w:t> </w:t>
      </w:r>
      <w:r>
        <w:rPr>
          <w:w w:val="115"/>
        </w:rPr>
        <w:t>que</w:t>
      </w:r>
      <w:r>
        <w:rPr>
          <w:spacing w:val="-7"/>
          <w:w w:val="115"/>
        </w:rPr>
        <w:t> </w:t>
      </w:r>
      <w:r>
        <w:rPr>
          <w:w w:val="115"/>
        </w:rPr>
        <w:t>las</w:t>
      </w:r>
      <w:r>
        <w:rPr>
          <w:spacing w:val="-7"/>
          <w:w w:val="115"/>
        </w:rPr>
        <w:t> </w:t>
      </w:r>
      <w:r>
        <w:rPr>
          <w:w w:val="115"/>
        </w:rPr>
        <w:t>referencias</w:t>
      </w:r>
      <w:r>
        <w:rPr>
          <w:spacing w:val="-7"/>
          <w:w w:val="115"/>
        </w:rPr>
        <w:t> </w:t>
      </w:r>
      <w:r>
        <w:rPr>
          <w:w w:val="115"/>
        </w:rPr>
        <w:t>de</w:t>
      </w:r>
      <w:r>
        <w:rPr>
          <w:spacing w:val="-7"/>
          <w:w w:val="115"/>
        </w:rPr>
        <w:t> </w:t>
      </w:r>
      <w:r>
        <w:rPr>
          <w:w w:val="115"/>
        </w:rPr>
        <w:t>su </w:t>
      </w:r>
      <w:r>
        <w:rPr>
          <w:w w:val="112"/>
        </w:rPr>
        <w:t>accionar</w:t>
      </w:r>
      <w:r>
        <w:rPr/>
        <w:t> </w:t>
      </w:r>
      <w:r>
        <w:rPr>
          <w:spacing w:val="-17"/>
        </w:rPr>
        <w:t> </w:t>
      </w:r>
      <w:r>
        <w:rPr>
          <w:w w:val="110"/>
        </w:rPr>
        <w:t>llegan</w:t>
      </w:r>
      <w:r>
        <w:rPr/>
        <w:t> </w:t>
      </w:r>
      <w:r>
        <w:rPr>
          <w:spacing w:val="-17"/>
        </w:rPr>
        <w:t> </w:t>
      </w:r>
      <w:r>
        <w:rPr>
          <w:w w:val="111"/>
        </w:rPr>
        <w:t>incluso</w:t>
      </w:r>
      <w:r>
        <w:rPr/>
        <w:t> </w:t>
      </w:r>
      <w:r>
        <w:rPr>
          <w:spacing w:val="-17"/>
        </w:rPr>
        <w:t> </w:t>
      </w:r>
      <w:r>
        <w:rPr>
          <w:w w:val="110"/>
        </w:rPr>
        <w:t>hasta</w:t>
      </w:r>
      <w:r>
        <w:rPr/>
        <w:t> </w:t>
      </w:r>
      <w:r>
        <w:rPr>
          <w:spacing w:val="-17"/>
        </w:rPr>
        <w:t> </w:t>
      </w:r>
      <w:r>
        <w:rPr>
          <w:w w:val="107"/>
        </w:rPr>
        <w:t>el</w:t>
      </w:r>
      <w:r>
        <w:rPr/>
        <w:t> </w:t>
      </w:r>
      <w:r>
        <w:rPr>
          <w:spacing w:val="-17"/>
        </w:rPr>
        <w:t> </w:t>
      </w:r>
      <w:r>
        <w:rPr>
          <w:w w:val="109"/>
        </w:rPr>
        <w:t>propio</w:t>
      </w:r>
      <w:r>
        <w:rPr/>
        <w:t> </w:t>
      </w:r>
      <w:r>
        <w:rPr>
          <w:spacing w:val="-17"/>
        </w:rPr>
        <w:t> </w:t>
      </w:r>
      <w:r>
        <w:rPr>
          <w:w w:val="108"/>
        </w:rPr>
        <w:t>jefe</w:t>
      </w:r>
      <w:r>
        <w:rPr/>
        <w:t> </w:t>
      </w:r>
      <w:r>
        <w:rPr>
          <w:spacing w:val="-17"/>
        </w:rPr>
        <w:t> </w:t>
      </w:r>
      <w:r>
        <w:rPr>
          <w:w w:val="107"/>
        </w:rPr>
        <w:t>del</w:t>
      </w:r>
      <w:r>
        <w:rPr/>
        <w:t> </w:t>
      </w:r>
      <w:r>
        <w:rPr>
          <w:spacing w:val="-17"/>
        </w:rPr>
        <w:t> </w:t>
      </w:r>
      <w:r>
        <w:rPr>
          <w:w w:val="112"/>
        </w:rPr>
        <w:t>Estado</w:t>
      </w:r>
      <w:r>
        <w:rPr/>
        <w:t> </w:t>
      </w:r>
      <w:r>
        <w:rPr>
          <w:spacing w:val="-17"/>
        </w:rPr>
        <w:t> </w:t>
      </w:r>
      <w:r>
        <w:rPr>
          <w:spacing w:val="-15"/>
          <w:w w:val="119"/>
        </w:rPr>
        <w:t>V</w:t>
      </w:r>
      <w:r>
        <w:rPr>
          <w:w w:val="113"/>
        </w:rPr>
        <w:t>aticano.</w:t>
      </w:r>
      <w:r>
        <w:rPr/>
        <w:t> </w:t>
      </w:r>
      <w:r>
        <w:rPr>
          <w:spacing w:val="-17"/>
        </w:rPr>
        <w:t> </w:t>
      </w:r>
      <w:r>
        <w:rPr>
          <w:w w:val="243"/>
        </w:rPr>
        <w:t>l</w:t>
      </w:r>
      <w:r>
        <w:rPr>
          <w:w w:val="109"/>
        </w:rPr>
        <w:t>as </w:t>
      </w:r>
      <w:r>
        <w:rPr>
          <w:w w:val="115"/>
        </w:rPr>
        <w:t>diversas</w:t>
      </w:r>
      <w:r>
        <w:rPr>
          <w:spacing w:val="-25"/>
          <w:w w:val="115"/>
        </w:rPr>
        <w:t> </w:t>
      </w:r>
      <w:r>
        <w:rPr>
          <w:w w:val="115"/>
        </w:rPr>
        <w:t>formas</w:t>
      </w:r>
      <w:r>
        <w:rPr>
          <w:spacing w:val="-25"/>
          <w:w w:val="115"/>
        </w:rPr>
        <w:t> </w:t>
      </w:r>
      <w:r>
        <w:rPr>
          <w:w w:val="115"/>
        </w:rPr>
        <w:t>de</w:t>
      </w:r>
      <w:r>
        <w:rPr>
          <w:spacing w:val="-25"/>
          <w:w w:val="115"/>
        </w:rPr>
        <w:t> </w:t>
      </w:r>
      <w:r>
        <w:rPr>
          <w:w w:val="115"/>
        </w:rPr>
        <w:t>obligada</w:t>
      </w:r>
      <w:r>
        <w:rPr>
          <w:spacing w:val="-25"/>
          <w:w w:val="115"/>
        </w:rPr>
        <w:t> </w:t>
      </w:r>
      <w:r>
        <w:rPr>
          <w:w w:val="115"/>
        </w:rPr>
        <w:t>resistencia</w:t>
      </w:r>
      <w:r>
        <w:rPr>
          <w:spacing w:val="-25"/>
          <w:w w:val="115"/>
        </w:rPr>
        <w:t> </w:t>
      </w:r>
      <w:r>
        <w:rPr>
          <w:w w:val="115"/>
        </w:rPr>
        <w:t>desplegadas</w:t>
      </w:r>
      <w:r>
        <w:rPr>
          <w:spacing w:val="-25"/>
          <w:w w:val="115"/>
        </w:rPr>
        <w:t> </w:t>
      </w:r>
      <w:r>
        <w:rPr>
          <w:w w:val="115"/>
        </w:rPr>
        <w:t>en</w:t>
      </w:r>
      <w:r>
        <w:rPr>
          <w:spacing w:val="-25"/>
          <w:w w:val="115"/>
        </w:rPr>
        <w:t> </w:t>
      </w:r>
      <w:r>
        <w:rPr>
          <w:w w:val="115"/>
        </w:rPr>
        <w:t>su</w:t>
      </w:r>
      <w:r>
        <w:rPr>
          <w:spacing w:val="-25"/>
          <w:w w:val="115"/>
        </w:rPr>
        <w:t> </w:t>
      </w:r>
      <w:r>
        <w:rPr>
          <w:w w:val="115"/>
        </w:rPr>
        <w:t>dimensión estratégica</w:t>
      </w:r>
      <w:r>
        <w:rPr>
          <w:spacing w:val="-15"/>
          <w:w w:val="115"/>
        </w:rPr>
        <w:t> </w:t>
      </w:r>
      <w:r>
        <w:rPr>
          <w:w w:val="115"/>
        </w:rPr>
        <w:t>durante</w:t>
      </w:r>
      <w:r>
        <w:rPr>
          <w:spacing w:val="-15"/>
          <w:w w:val="115"/>
        </w:rPr>
        <w:t> </w:t>
      </w:r>
      <w:r>
        <w:rPr>
          <w:w w:val="115"/>
        </w:rPr>
        <w:t>estas</w:t>
      </w:r>
      <w:r>
        <w:rPr>
          <w:spacing w:val="-15"/>
          <w:w w:val="115"/>
        </w:rPr>
        <w:t> </w:t>
      </w:r>
      <w:r>
        <w:rPr>
          <w:w w:val="115"/>
        </w:rPr>
        <w:t>cinco</w:t>
      </w:r>
      <w:r>
        <w:rPr>
          <w:spacing w:val="-15"/>
          <w:w w:val="115"/>
        </w:rPr>
        <w:t> </w:t>
      </w:r>
      <w:r>
        <w:rPr>
          <w:w w:val="115"/>
        </w:rPr>
        <w:t>décadas,</w:t>
      </w:r>
      <w:r>
        <w:rPr>
          <w:spacing w:val="-15"/>
          <w:w w:val="115"/>
        </w:rPr>
        <w:t> </w:t>
      </w:r>
      <w:r>
        <w:rPr>
          <w:w w:val="115"/>
        </w:rPr>
        <w:t>frente</w:t>
      </w:r>
      <w:r>
        <w:rPr>
          <w:spacing w:val="-15"/>
          <w:w w:val="115"/>
        </w:rPr>
        <w:t> </w:t>
      </w:r>
      <w:r>
        <w:rPr>
          <w:w w:val="115"/>
        </w:rPr>
        <w:t>al</w:t>
      </w:r>
      <w:r>
        <w:rPr>
          <w:spacing w:val="-15"/>
          <w:w w:val="115"/>
        </w:rPr>
        <w:t> </w:t>
      </w:r>
      <w:r>
        <w:rPr>
          <w:w w:val="115"/>
        </w:rPr>
        <w:t>multiforme</w:t>
      </w:r>
      <w:r>
        <w:rPr>
          <w:spacing w:val="-15"/>
          <w:w w:val="115"/>
        </w:rPr>
        <w:t> </w:t>
      </w:r>
      <w:r>
        <w:rPr>
          <w:w w:val="115"/>
        </w:rPr>
        <w:t>y</w:t>
      </w:r>
      <w:r>
        <w:rPr>
          <w:spacing w:val="-15"/>
          <w:w w:val="115"/>
        </w:rPr>
        <w:t> </w:t>
      </w:r>
      <w:r>
        <w:rPr>
          <w:w w:val="115"/>
        </w:rPr>
        <w:t>siste- mático</w:t>
      </w:r>
      <w:r>
        <w:rPr>
          <w:spacing w:val="-28"/>
          <w:w w:val="115"/>
        </w:rPr>
        <w:t> </w:t>
      </w:r>
      <w:r>
        <w:rPr>
          <w:w w:val="115"/>
        </w:rPr>
        <w:t>hostigamiento</w:t>
      </w:r>
      <w:r>
        <w:rPr>
          <w:spacing w:val="-28"/>
          <w:w w:val="115"/>
        </w:rPr>
        <w:t> </w:t>
      </w:r>
      <w:r>
        <w:rPr>
          <w:w w:val="115"/>
        </w:rPr>
        <w:t>de</w:t>
      </w:r>
      <w:r>
        <w:rPr>
          <w:spacing w:val="-28"/>
          <w:w w:val="115"/>
        </w:rPr>
        <w:t> </w:t>
      </w:r>
      <w:r>
        <w:rPr>
          <w:w w:val="115"/>
        </w:rPr>
        <w:t>la</w:t>
      </w:r>
      <w:r>
        <w:rPr>
          <w:spacing w:val="-28"/>
          <w:w w:val="115"/>
        </w:rPr>
        <w:t> </w:t>
      </w:r>
      <w:r>
        <w:rPr>
          <w:w w:val="115"/>
        </w:rPr>
        <w:t>política</w:t>
      </w:r>
      <w:r>
        <w:rPr>
          <w:spacing w:val="-28"/>
          <w:w w:val="115"/>
        </w:rPr>
        <w:t> </w:t>
      </w:r>
      <w:r>
        <w:rPr>
          <w:w w:val="115"/>
        </w:rPr>
        <w:t>norteamericana</w:t>
      </w:r>
      <w:r>
        <w:rPr>
          <w:spacing w:val="-28"/>
          <w:w w:val="115"/>
        </w:rPr>
        <w:t> </w:t>
      </w:r>
      <w:r>
        <w:rPr>
          <w:w w:val="115"/>
        </w:rPr>
        <w:t>(sánchez-Parodi, 2011),</w:t>
      </w:r>
      <w:r>
        <w:rPr>
          <w:spacing w:val="-18"/>
          <w:w w:val="115"/>
        </w:rPr>
        <w:t> </w:t>
      </w:r>
      <w:r>
        <w:rPr>
          <w:w w:val="115"/>
        </w:rPr>
        <w:t>que</w:t>
      </w:r>
      <w:r>
        <w:rPr>
          <w:spacing w:val="-18"/>
          <w:w w:val="115"/>
        </w:rPr>
        <w:t> </w:t>
      </w:r>
      <w:r>
        <w:rPr>
          <w:w w:val="115"/>
        </w:rPr>
        <w:t>tuvo</w:t>
      </w:r>
      <w:r>
        <w:rPr>
          <w:spacing w:val="-18"/>
          <w:w w:val="115"/>
        </w:rPr>
        <w:t> </w:t>
      </w:r>
      <w:r>
        <w:rPr>
          <w:w w:val="115"/>
        </w:rPr>
        <w:t>y</w:t>
      </w:r>
      <w:r>
        <w:rPr>
          <w:spacing w:val="-18"/>
          <w:w w:val="115"/>
        </w:rPr>
        <w:t> </w:t>
      </w:r>
      <w:r>
        <w:rPr>
          <w:w w:val="115"/>
        </w:rPr>
        <w:t>sigue</w:t>
      </w:r>
      <w:r>
        <w:rPr>
          <w:spacing w:val="-18"/>
          <w:w w:val="115"/>
        </w:rPr>
        <w:t> </w:t>
      </w:r>
      <w:r>
        <w:rPr>
          <w:w w:val="115"/>
        </w:rPr>
        <w:t>teniendo</w:t>
      </w:r>
      <w:r>
        <w:rPr>
          <w:spacing w:val="-18"/>
          <w:w w:val="115"/>
        </w:rPr>
        <w:t> </w:t>
      </w:r>
      <w:r>
        <w:rPr>
          <w:w w:val="115"/>
        </w:rPr>
        <w:t>en</w:t>
      </w:r>
      <w:r>
        <w:rPr>
          <w:spacing w:val="-18"/>
          <w:w w:val="115"/>
        </w:rPr>
        <w:t> </w:t>
      </w:r>
      <w:r>
        <w:rPr>
          <w:w w:val="115"/>
        </w:rPr>
        <w:t>el</w:t>
      </w:r>
      <w:r>
        <w:rPr>
          <w:spacing w:val="-18"/>
          <w:w w:val="115"/>
        </w:rPr>
        <w:t> </w:t>
      </w:r>
      <w:r>
        <w:rPr>
          <w:w w:val="115"/>
        </w:rPr>
        <w:t>bloqueo</w:t>
      </w:r>
      <w:r>
        <w:rPr>
          <w:spacing w:val="-18"/>
          <w:w w:val="115"/>
        </w:rPr>
        <w:t> </w:t>
      </w:r>
      <w:r>
        <w:rPr>
          <w:w w:val="115"/>
        </w:rPr>
        <w:t>económico,</w:t>
      </w:r>
      <w:r>
        <w:rPr>
          <w:spacing w:val="-18"/>
          <w:w w:val="115"/>
        </w:rPr>
        <w:t> </w:t>
      </w:r>
      <w:r>
        <w:rPr>
          <w:w w:val="115"/>
        </w:rPr>
        <w:t>comercial y</w:t>
      </w:r>
      <w:r>
        <w:rPr>
          <w:spacing w:val="-22"/>
          <w:w w:val="115"/>
        </w:rPr>
        <w:t> </w:t>
      </w:r>
      <w:r>
        <w:rPr>
          <w:w w:val="115"/>
        </w:rPr>
        <w:t>financiero</w:t>
      </w:r>
      <w:r>
        <w:rPr>
          <w:spacing w:val="-22"/>
          <w:w w:val="115"/>
        </w:rPr>
        <w:t> </w:t>
      </w:r>
      <w:r>
        <w:rPr>
          <w:w w:val="115"/>
        </w:rPr>
        <w:t>su</w:t>
      </w:r>
      <w:r>
        <w:rPr>
          <w:spacing w:val="-22"/>
          <w:w w:val="115"/>
        </w:rPr>
        <w:t> </w:t>
      </w:r>
      <w:r>
        <w:rPr>
          <w:w w:val="115"/>
        </w:rPr>
        <w:t>línea</w:t>
      </w:r>
      <w:r>
        <w:rPr>
          <w:spacing w:val="-22"/>
          <w:w w:val="115"/>
        </w:rPr>
        <w:t> </w:t>
      </w:r>
      <w:r>
        <w:rPr>
          <w:w w:val="115"/>
        </w:rPr>
        <w:t>de</w:t>
      </w:r>
      <w:r>
        <w:rPr>
          <w:spacing w:val="-22"/>
          <w:w w:val="115"/>
        </w:rPr>
        <w:t> </w:t>
      </w:r>
      <w:r>
        <w:rPr>
          <w:w w:val="115"/>
        </w:rPr>
        <w:t>mayor</w:t>
      </w:r>
      <w:r>
        <w:rPr>
          <w:spacing w:val="-22"/>
          <w:w w:val="115"/>
        </w:rPr>
        <w:t> </w:t>
      </w:r>
      <w:r>
        <w:rPr>
          <w:w w:val="115"/>
        </w:rPr>
        <w:t>agresividad,</w:t>
      </w:r>
      <w:r>
        <w:rPr>
          <w:spacing w:val="-22"/>
          <w:w w:val="115"/>
        </w:rPr>
        <w:t> </w:t>
      </w:r>
      <w:r>
        <w:rPr>
          <w:w w:val="115"/>
        </w:rPr>
        <w:t>se</w:t>
      </w:r>
      <w:r>
        <w:rPr>
          <w:spacing w:val="-22"/>
          <w:w w:val="115"/>
        </w:rPr>
        <w:t> </w:t>
      </w:r>
      <w:r>
        <w:rPr>
          <w:w w:val="115"/>
        </w:rPr>
        <w:t>enfrenta</w:t>
      </w:r>
      <w:r>
        <w:rPr>
          <w:spacing w:val="-22"/>
          <w:w w:val="115"/>
        </w:rPr>
        <w:t> </w:t>
      </w:r>
      <w:r>
        <w:rPr>
          <w:w w:val="115"/>
        </w:rPr>
        <w:t>después</w:t>
      </w:r>
      <w:r>
        <w:rPr>
          <w:spacing w:val="-22"/>
          <w:w w:val="115"/>
        </w:rPr>
        <w:t> </w:t>
      </w:r>
      <w:r>
        <w:rPr>
          <w:w w:val="115"/>
        </w:rPr>
        <w:t>de</w:t>
      </w:r>
      <w:r>
        <w:rPr>
          <w:spacing w:val="-22"/>
          <w:w w:val="115"/>
        </w:rPr>
        <w:t> </w:t>
      </w:r>
      <w:r>
        <w:rPr>
          <w:w w:val="115"/>
        </w:rPr>
        <w:t>los primeros acercamientos oficiales a un escenario que puede ser tan </w:t>
      </w:r>
      <w:r>
        <w:rPr>
          <w:w w:val="110"/>
        </w:rPr>
        <w:t>diferente como</w:t>
      </w:r>
      <w:r>
        <w:rPr>
          <w:spacing w:val="31"/>
          <w:w w:val="110"/>
        </w:rPr>
        <w:t> </w:t>
      </w:r>
      <w:r>
        <w:rPr>
          <w:w w:val="110"/>
        </w:rPr>
        <w:t>problemático.</w:t>
      </w:r>
    </w:p>
    <w:p>
      <w:pPr>
        <w:pStyle w:val="BodyText"/>
        <w:spacing w:line="252" w:lineRule="auto"/>
        <w:ind w:left="330" w:right="117" w:firstLine="396"/>
        <w:jc w:val="both"/>
      </w:pPr>
      <w:r>
        <w:rPr>
          <w:w w:val="110"/>
        </w:rPr>
        <w:t>En ese mismo escenario, sin embargo, y ante las iniciales deci- siones de la política norteamericana de establecer un “nuevo trato”,  se avizoran al mismo tiempo nuevos obstáculos, siendo uno de los más importantes el vinculado a la potencial profundización de la es- fera mercantil ante la avalancha de ofertas y capitales que podrían ingresar a la isla. aquí hay que tener en cuenta la dinámica previa ya </w:t>
      </w:r>
      <w:r>
        <w:rPr>
          <w:w w:val="109"/>
        </w:rPr>
        <w:t>desatada</w:t>
      </w:r>
      <w:r>
        <w:rPr/>
        <w:t> </w:t>
      </w:r>
      <w:r>
        <w:rPr>
          <w:spacing w:val="-14"/>
        </w:rPr>
        <w:t> </w:t>
      </w:r>
      <w:r>
        <w:rPr>
          <w:w w:val="106"/>
        </w:rPr>
        <w:t>desde</w:t>
      </w:r>
      <w:r>
        <w:rPr/>
        <w:t> </w:t>
      </w:r>
      <w:r>
        <w:rPr>
          <w:spacing w:val="-14"/>
        </w:rPr>
        <w:t> </w:t>
      </w:r>
      <w:r>
        <w:rPr>
          <w:w w:val="102"/>
        </w:rPr>
        <w:t>2011</w:t>
      </w:r>
      <w:r>
        <w:rPr/>
        <w:t> </w:t>
      </w:r>
      <w:r>
        <w:rPr>
          <w:spacing w:val="-14"/>
        </w:rPr>
        <w:t> </w:t>
      </w:r>
      <w:r>
        <w:rPr>
          <w:w w:val="112"/>
        </w:rPr>
        <w:t>con</w:t>
      </w:r>
      <w:r>
        <w:rPr/>
        <w:t> </w:t>
      </w:r>
      <w:r>
        <w:rPr>
          <w:spacing w:val="-14"/>
        </w:rPr>
        <w:t> </w:t>
      </w:r>
      <w:r>
        <w:rPr>
          <w:w w:val="107"/>
        </w:rPr>
        <w:t>el</w:t>
      </w:r>
      <w:r>
        <w:rPr/>
        <w:t> </w:t>
      </w:r>
      <w:r>
        <w:rPr>
          <w:spacing w:val="-14"/>
        </w:rPr>
        <w:t> </w:t>
      </w:r>
      <w:r>
        <w:rPr>
          <w:w w:val="108"/>
        </w:rPr>
        <w:t>proceso</w:t>
      </w:r>
      <w:r>
        <w:rPr/>
        <w:t> </w:t>
      </w:r>
      <w:r>
        <w:rPr>
          <w:spacing w:val="-14"/>
        </w:rPr>
        <w:t> </w:t>
      </w:r>
      <w:r>
        <w:rPr>
          <w:w w:val="107"/>
        </w:rPr>
        <w:t>de</w:t>
      </w:r>
      <w:r>
        <w:rPr/>
        <w:t> </w:t>
      </w:r>
      <w:r>
        <w:rPr>
          <w:spacing w:val="-14"/>
        </w:rPr>
        <w:t> </w:t>
      </w:r>
      <w:r>
        <w:rPr>
          <w:w w:val="109"/>
        </w:rPr>
        <w:t>las</w:t>
      </w:r>
      <w:r>
        <w:rPr/>
        <w:t> </w:t>
      </w:r>
      <w:r>
        <w:rPr>
          <w:spacing w:val="-14"/>
        </w:rPr>
        <w:t> </w:t>
      </w:r>
      <w:r>
        <w:rPr>
          <w:w w:val="109"/>
        </w:rPr>
        <w:t>reformas</w:t>
      </w:r>
      <w:r>
        <w:rPr/>
        <w:t> </w:t>
      </w:r>
      <w:r>
        <w:rPr>
          <w:spacing w:val="-14"/>
        </w:rPr>
        <w:t> </w:t>
      </w:r>
      <w:r>
        <w:rPr>
          <w:w w:val="112"/>
        </w:rPr>
        <w:t>económicas.</w:t>
      </w:r>
      <w:r>
        <w:rPr/>
        <w:t> </w:t>
      </w:r>
      <w:r>
        <w:rPr>
          <w:spacing w:val="-14"/>
        </w:rPr>
        <w:t> </w:t>
      </w:r>
      <w:r>
        <w:rPr>
          <w:w w:val="243"/>
        </w:rPr>
        <w:t>l</w:t>
      </w:r>
      <w:r>
        <w:rPr>
          <w:w w:val="112"/>
        </w:rPr>
        <w:t>a </w:t>
      </w:r>
      <w:r>
        <w:rPr>
          <w:w w:val="110"/>
        </w:rPr>
        <w:t>necesidad de regular los instrumentos de mercado que ya están en marcha se enfrentará al desafío de sus posibilidades. Hay un proceso abierto, en el sentido de que tales instrumentos pueden producir a partir de su propia dinámica desafíos importantes al desarrollo del modelo</w:t>
      </w:r>
      <w:r>
        <w:rPr>
          <w:spacing w:val="33"/>
          <w:w w:val="110"/>
        </w:rPr>
        <w:t> </w:t>
      </w:r>
      <w:r>
        <w:rPr>
          <w:w w:val="110"/>
        </w:rPr>
        <w:t>cubano.</w:t>
      </w:r>
    </w:p>
    <w:p>
      <w:pPr>
        <w:pStyle w:val="BodyText"/>
        <w:spacing w:line="252" w:lineRule="auto"/>
        <w:ind w:left="330" w:right="117" w:firstLine="396"/>
        <w:jc w:val="both"/>
      </w:pPr>
      <w:r>
        <w:rPr>
          <w:w w:val="110"/>
        </w:rPr>
        <w:t>Por otra parte, tampoco pueden desconocerse las dificultades</w:t>
      </w:r>
      <w:r>
        <w:rPr>
          <w:spacing w:val="-18"/>
          <w:w w:val="110"/>
        </w:rPr>
        <w:t> </w:t>
      </w:r>
      <w:r>
        <w:rPr>
          <w:w w:val="110"/>
        </w:rPr>
        <w:t>que </w:t>
      </w:r>
      <w:r>
        <w:rPr>
          <w:w w:val="115"/>
        </w:rPr>
        <w:t>presupone involucrarse en un proceso de genuina negociación ten- dientes a normalizar las relaciones con Estados unidos, mientras la voluntad</w:t>
      </w:r>
      <w:r>
        <w:rPr>
          <w:spacing w:val="-24"/>
          <w:w w:val="115"/>
        </w:rPr>
        <w:t> </w:t>
      </w:r>
      <w:r>
        <w:rPr>
          <w:w w:val="115"/>
        </w:rPr>
        <w:t>de</w:t>
      </w:r>
      <w:r>
        <w:rPr>
          <w:spacing w:val="-24"/>
          <w:w w:val="115"/>
        </w:rPr>
        <w:t> </w:t>
      </w:r>
      <w:r>
        <w:rPr>
          <w:w w:val="115"/>
        </w:rPr>
        <w:t>Washington</w:t>
      </w:r>
      <w:r>
        <w:rPr>
          <w:spacing w:val="-24"/>
          <w:w w:val="115"/>
        </w:rPr>
        <w:t> </w:t>
      </w:r>
      <w:r>
        <w:rPr>
          <w:w w:val="115"/>
        </w:rPr>
        <w:t>no</w:t>
      </w:r>
      <w:r>
        <w:rPr>
          <w:spacing w:val="-24"/>
          <w:w w:val="115"/>
        </w:rPr>
        <w:t> </w:t>
      </w:r>
      <w:r>
        <w:rPr>
          <w:w w:val="115"/>
        </w:rPr>
        <w:t>parece</w:t>
      </w:r>
      <w:r>
        <w:rPr>
          <w:spacing w:val="-24"/>
          <w:w w:val="115"/>
        </w:rPr>
        <w:t> </w:t>
      </w:r>
      <w:r>
        <w:rPr>
          <w:w w:val="115"/>
        </w:rPr>
        <w:t>estar</w:t>
      </w:r>
      <w:r>
        <w:rPr>
          <w:spacing w:val="-24"/>
          <w:w w:val="115"/>
        </w:rPr>
        <w:t> </w:t>
      </w:r>
      <w:r>
        <w:rPr>
          <w:w w:val="115"/>
        </w:rPr>
        <w:t>dispuesta</w:t>
      </w:r>
      <w:r>
        <w:rPr>
          <w:spacing w:val="-24"/>
          <w:w w:val="115"/>
        </w:rPr>
        <w:t> </w:t>
      </w:r>
      <w:r>
        <w:rPr>
          <w:w w:val="115"/>
        </w:rPr>
        <w:t>a</w:t>
      </w:r>
      <w:r>
        <w:rPr>
          <w:spacing w:val="-24"/>
          <w:w w:val="115"/>
        </w:rPr>
        <w:t> </w:t>
      </w:r>
      <w:r>
        <w:rPr>
          <w:w w:val="115"/>
        </w:rPr>
        <w:t>realizar</w:t>
      </w:r>
      <w:r>
        <w:rPr>
          <w:spacing w:val="-24"/>
          <w:w w:val="115"/>
        </w:rPr>
        <w:t> </w:t>
      </w:r>
      <w:r>
        <w:rPr>
          <w:w w:val="115"/>
        </w:rPr>
        <w:t>cambios que</w:t>
      </w:r>
      <w:r>
        <w:rPr>
          <w:spacing w:val="-19"/>
          <w:w w:val="115"/>
        </w:rPr>
        <w:t> </w:t>
      </w:r>
      <w:r>
        <w:rPr>
          <w:w w:val="115"/>
        </w:rPr>
        <w:t>pudieran</w:t>
      </w:r>
      <w:r>
        <w:rPr>
          <w:spacing w:val="-19"/>
          <w:w w:val="115"/>
        </w:rPr>
        <w:t> </w:t>
      </w:r>
      <w:r>
        <w:rPr>
          <w:w w:val="115"/>
        </w:rPr>
        <w:t>modificar</w:t>
      </w:r>
      <w:r>
        <w:rPr>
          <w:spacing w:val="-19"/>
          <w:w w:val="115"/>
        </w:rPr>
        <w:t> </w:t>
      </w:r>
      <w:r>
        <w:rPr>
          <w:w w:val="115"/>
        </w:rPr>
        <w:t>sustantivamente</w:t>
      </w:r>
      <w:r>
        <w:rPr>
          <w:spacing w:val="-19"/>
          <w:w w:val="115"/>
        </w:rPr>
        <w:t> </w:t>
      </w:r>
      <w:r>
        <w:rPr>
          <w:w w:val="115"/>
        </w:rPr>
        <w:t>su</w:t>
      </w:r>
      <w:r>
        <w:rPr>
          <w:spacing w:val="-19"/>
          <w:w w:val="115"/>
        </w:rPr>
        <w:t> </w:t>
      </w:r>
      <w:r>
        <w:rPr>
          <w:w w:val="115"/>
        </w:rPr>
        <w:t>política</w:t>
      </w:r>
      <w:r>
        <w:rPr>
          <w:spacing w:val="-19"/>
          <w:w w:val="115"/>
        </w:rPr>
        <w:t> </w:t>
      </w:r>
      <w:r>
        <w:rPr>
          <w:w w:val="115"/>
        </w:rPr>
        <w:t>en</w:t>
      </w:r>
      <w:r>
        <w:rPr>
          <w:spacing w:val="-19"/>
          <w:w w:val="115"/>
        </w:rPr>
        <w:t> </w:t>
      </w:r>
      <w:r>
        <w:rPr>
          <w:w w:val="115"/>
        </w:rPr>
        <w:t>temas</w:t>
      </w:r>
      <w:r>
        <w:rPr>
          <w:spacing w:val="-19"/>
          <w:w w:val="115"/>
        </w:rPr>
        <w:t> </w:t>
      </w:r>
      <w:r>
        <w:rPr>
          <w:w w:val="115"/>
        </w:rPr>
        <w:t>de</w:t>
      </w:r>
      <w:r>
        <w:rPr>
          <w:spacing w:val="-19"/>
          <w:w w:val="115"/>
        </w:rPr>
        <w:t> </w:t>
      </w:r>
      <w:r>
        <w:rPr>
          <w:w w:val="115"/>
        </w:rPr>
        <w:t>pre- ocupación</w:t>
      </w:r>
      <w:r>
        <w:rPr>
          <w:spacing w:val="-16"/>
          <w:w w:val="115"/>
        </w:rPr>
        <w:t> </w:t>
      </w:r>
      <w:r>
        <w:rPr>
          <w:w w:val="115"/>
        </w:rPr>
        <w:t>mutua</w:t>
      </w:r>
      <w:r>
        <w:rPr>
          <w:spacing w:val="-16"/>
          <w:w w:val="115"/>
        </w:rPr>
        <w:t> </w:t>
      </w:r>
      <w:r>
        <w:rPr>
          <w:w w:val="115"/>
        </w:rPr>
        <w:t>como</w:t>
      </w:r>
      <w:r>
        <w:rPr>
          <w:spacing w:val="-16"/>
          <w:w w:val="115"/>
        </w:rPr>
        <w:t> </w:t>
      </w:r>
      <w:r>
        <w:rPr>
          <w:w w:val="115"/>
        </w:rPr>
        <w:t>el</w:t>
      </w:r>
      <w:r>
        <w:rPr>
          <w:spacing w:val="-16"/>
          <w:w w:val="115"/>
        </w:rPr>
        <w:t> </w:t>
      </w:r>
      <w:r>
        <w:rPr>
          <w:w w:val="115"/>
        </w:rPr>
        <w:t>asunto</w:t>
      </w:r>
      <w:r>
        <w:rPr>
          <w:spacing w:val="-16"/>
          <w:w w:val="115"/>
        </w:rPr>
        <w:t> </w:t>
      </w:r>
      <w:r>
        <w:rPr>
          <w:w w:val="115"/>
        </w:rPr>
        <w:t>migratorio,</w:t>
      </w:r>
      <w:r>
        <w:rPr>
          <w:spacing w:val="-16"/>
          <w:w w:val="115"/>
        </w:rPr>
        <w:t> </w:t>
      </w:r>
      <w:r>
        <w:rPr>
          <w:w w:val="115"/>
        </w:rPr>
        <w:t>un</w:t>
      </w:r>
      <w:r>
        <w:rPr>
          <w:spacing w:val="-16"/>
          <w:w w:val="115"/>
        </w:rPr>
        <w:t> </w:t>
      </w:r>
      <w:r>
        <w:rPr>
          <w:w w:val="115"/>
        </w:rPr>
        <w:t>abordaje</w:t>
      </w:r>
      <w:r>
        <w:rPr>
          <w:spacing w:val="-16"/>
          <w:w w:val="115"/>
        </w:rPr>
        <w:t> </w:t>
      </w:r>
      <w:r>
        <w:rPr>
          <w:w w:val="115"/>
        </w:rPr>
        <w:t>integral</w:t>
      </w:r>
      <w:r>
        <w:rPr>
          <w:spacing w:val="-16"/>
          <w:w w:val="115"/>
        </w:rPr>
        <w:t> </w:t>
      </w:r>
      <w:r>
        <w:rPr>
          <w:w w:val="115"/>
        </w:rPr>
        <w:t>en temas</w:t>
      </w:r>
      <w:r>
        <w:rPr>
          <w:spacing w:val="-15"/>
          <w:w w:val="115"/>
        </w:rPr>
        <w:t> </w:t>
      </w:r>
      <w:r>
        <w:rPr>
          <w:w w:val="115"/>
        </w:rPr>
        <w:t>como</w:t>
      </w:r>
      <w:r>
        <w:rPr>
          <w:spacing w:val="-15"/>
          <w:w w:val="115"/>
        </w:rPr>
        <w:t> </w:t>
      </w:r>
      <w:r>
        <w:rPr>
          <w:w w:val="115"/>
        </w:rPr>
        <w:t>los</w:t>
      </w:r>
      <w:r>
        <w:rPr>
          <w:spacing w:val="-15"/>
          <w:w w:val="115"/>
        </w:rPr>
        <w:t> </w:t>
      </w:r>
      <w:r>
        <w:rPr>
          <w:w w:val="115"/>
        </w:rPr>
        <w:t>derechos</w:t>
      </w:r>
      <w:r>
        <w:rPr>
          <w:spacing w:val="-15"/>
          <w:w w:val="115"/>
        </w:rPr>
        <w:t> </w:t>
      </w:r>
      <w:r>
        <w:rPr>
          <w:w w:val="115"/>
        </w:rPr>
        <w:t>humanos</w:t>
      </w:r>
      <w:r>
        <w:rPr>
          <w:spacing w:val="-15"/>
          <w:w w:val="115"/>
        </w:rPr>
        <w:t> </w:t>
      </w:r>
      <w:r>
        <w:rPr>
          <w:w w:val="115"/>
        </w:rPr>
        <w:t>y</w:t>
      </w:r>
      <w:r>
        <w:rPr>
          <w:spacing w:val="-15"/>
          <w:w w:val="115"/>
        </w:rPr>
        <w:t> </w:t>
      </w:r>
      <w:r>
        <w:rPr>
          <w:w w:val="115"/>
        </w:rPr>
        <w:t>sociales</w:t>
      </w:r>
      <w:r>
        <w:rPr>
          <w:spacing w:val="-15"/>
          <w:w w:val="115"/>
        </w:rPr>
        <w:t> </w:t>
      </w:r>
      <w:r>
        <w:rPr>
          <w:w w:val="115"/>
        </w:rPr>
        <w:t>y</w:t>
      </w:r>
      <w:r>
        <w:rPr>
          <w:spacing w:val="-15"/>
          <w:w w:val="115"/>
        </w:rPr>
        <w:t> </w:t>
      </w:r>
      <w:r>
        <w:rPr>
          <w:w w:val="115"/>
        </w:rPr>
        <w:t>la</w:t>
      </w:r>
      <w:r>
        <w:rPr>
          <w:spacing w:val="-15"/>
          <w:w w:val="115"/>
        </w:rPr>
        <w:t> </w:t>
      </w:r>
      <w:r>
        <w:rPr>
          <w:w w:val="115"/>
        </w:rPr>
        <w:t>ilegítima</w:t>
      </w:r>
      <w:r>
        <w:rPr>
          <w:spacing w:val="-15"/>
          <w:w w:val="115"/>
        </w:rPr>
        <w:t> </w:t>
      </w:r>
      <w:r>
        <w:rPr>
          <w:w w:val="115"/>
        </w:rPr>
        <w:t>presencia en</w:t>
      </w:r>
      <w:r>
        <w:rPr>
          <w:spacing w:val="-16"/>
          <w:w w:val="115"/>
        </w:rPr>
        <w:t> </w:t>
      </w:r>
      <w:r>
        <w:rPr>
          <w:w w:val="115"/>
        </w:rPr>
        <w:t>Guantánamo.</w:t>
      </w:r>
      <w:r>
        <w:rPr>
          <w:spacing w:val="-16"/>
          <w:w w:val="115"/>
        </w:rPr>
        <w:t> </w:t>
      </w:r>
      <w:r>
        <w:rPr>
          <w:w w:val="115"/>
        </w:rPr>
        <w:t>a</w:t>
      </w:r>
      <w:r>
        <w:rPr>
          <w:spacing w:val="-16"/>
          <w:w w:val="115"/>
        </w:rPr>
        <w:t> </w:t>
      </w:r>
      <w:r>
        <w:rPr>
          <w:w w:val="115"/>
        </w:rPr>
        <w:t>todo</w:t>
      </w:r>
      <w:r>
        <w:rPr>
          <w:spacing w:val="-16"/>
          <w:w w:val="115"/>
        </w:rPr>
        <w:t> </w:t>
      </w:r>
      <w:r>
        <w:rPr>
          <w:w w:val="115"/>
        </w:rPr>
        <w:t>ello</w:t>
      </w:r>
      <w:r>
        <w:rPr>
          <w:spacing w:val="-16"/>
          <w:w w:val="115"/>
        </w:rPr>
        <w:t> </w:t>
      </w:r>
      <w:r>
        <w:rPr>
          <w:w w:val="115"/>
        </w:rPr>
        <w:t>se</w:t>
      </w:r>
      <w:r>
        <w:rPr>
          <w:spacing w:val="-16"/>
          <w:w w:val="115"/>
        </w:rPr>
        <w:t> </w:t>
      </w:r>
      <w:r>
        <w:rPr>
          <w:w w:val="115"/>
        </w:rPr>
        <w:t>yuxtapone</w:t>
      </w:r>
      <w:r>
        <w:rPr>
          <w:spacing w:val="-16"/>
          <w:w w:val="115"/>
        </w:rPr>
        <w:t> </w:t>
      </w:r>
      <w:r>
        <w:rPr>
          <w:w w:val="115"/>
        </w:rPr>
        <w:t>ese</w:t>
      </w:r>
      <w:r>
        <w:rPr>
          <w:spacing w:val="-16"/>
          <w:w w:val="115"/>
        </w:rPr>
        <w:t> </w:t>
      </w:r>
      <w:r>
        <w:rPr>
          <w:w w:val="115"/>
        </w:rPr>
        <w:t>pesado</w:t>
      </w:r>
      <w:r>
        <w:rPr>
          <w:spacing w:val="-16"/>
          <w:w w:val="115"/>
        </w:rPr>
        <w:t> </w:t>
      </w:r>
      <w:r>
        <w:rPr>
          <w:w w:val="115"/>
        </w:rPr>
        <w:t>agravio</w:t>
      </w:r>
      <w:r>
        <w:rPr>
          <w:spacing w:val="-16"/>
          <w:w w:val="115"/>
        </w:rPr>
        <w:t> </w:t>
      </w:r>
      <w:r>
        <w:rPr>
          <w:w w:val="115"/>
        </w:rPr>
        <w:t>que</w:t>
      </w:r>
      <w:r>
        <w:rPr>
          <w:spacing w:val="-16"/>
          <w:w w:val="115"/>
        </w:rPr>
        <w:t> </w:t>
      </w:r>
      <w:r>
        <w:rPr>
          <w:w w:val="115"/>
        </w:rPr>
        <w:t>sig- nifica</w:t>
      </w:r>
      <w:r>
        <w:rPr>
          <w:spacing w:val="-18"/>
          <w:w w:val="115"/>
        </w:rPr>
        <w:t> </w:t>
      </w:r>
      <w:r>
        <w:rPr>
          <w:w w:val="115"/>
        </w:rPr>
        <w:t>para</w:t>
      </w:r>
      <w:r>
        <w:rPr>
          <w:spacing w:val="-18"/>
          <w:w w:val="115"/>
        </w:rPr>
        <w:t> </w:t>
      </w:r>
      <w:r>
        <w:rPr>
          <w:w w:val="115"/>
        </w:rPr>
        <w:t>Cuba</w:t>
      </w:r>
      <w:r>
        <w:rPr>
          <w:spacing w:val="-18"/>
          <w:w w:val="115"/>
        </w:rPr>
        <w:t> </w:t>
      </w:r>
      <w:r>
        <w:rPr>
          <w:w w:val="115"/>
        </w:rPr>
        <w:t>el</w:t>
      </w:r>
      <w:r>
        <w:rPr>
          <w:spacing w:val="-18"/>
          <w:w w:val="115"/>
        </w:rPr>
        <w:t> </w:t>
      </w:r>
      <w:r>
        <w:rPr>
          <w:w w:val="115"/>
        </w:rPr>
        <w:t>certificado</w:t>
      </w:r>
      <w:r>
        <w:rPr>
          <w:spacing w:val="-18"/>
          <w:w w:val="115"/>
        </w:rPr>
        <w:t> </w:t>
      </w:r>
      <w:r>
        <w:rPr>
          <w:w w:val="115"/>
        </w:rPr>
        <w:t>de</w:t>
      </w:r>
      <w:r>
        <w:rPr>
          <w:spacing w:val="-18"/>
          <w:w w:val="115"/>
        </w:rPr>
        <w:t> </w:t>
      </w:r>
      <w:r>
        <w:rPr>
          <w:w w:val="115"/>
        </w:rPr>
        <w:t>“buena</w:t>
      </w:r>
      <w:r>
        <w:rPr>
          <w:spacing w:val="-18"/>
          <w:w w:val="115"/>
        </w:rPr>
        <w:t> </w:t>
      </w:r>
      <w:r>
        <w:rPr>
          <w:w w:val="115"/>
        </w:rPr>
        <w:t>conducta”</w:t>
      </w:r>
      <w:r>
        <w:rPr>
          <w:spacing w:val="-18"/>
          <w:w w:val="115"/>
        </w:rPr>
        <w:t> </w:t>
      </w:r>
      <w:r>
        <w:rPr>
          <w:w w:val="115"/>
        </w:rPr>
        <w:t>que</w:t>
      </w:r>
      <w:r>
        <w:rPr>
          <w:spacing w:val="-18"/>
          <w:w w:val="115"/>
        </w:rPr>
        <w:t> </w:t>
      </w:r>
      <w:r>
        <w:rPr>
          <w:w w:val="115"/>
        </w:rPr>
        <w:t>elabora</w:t>
      </w:r>
      <w:r>
        <w:rPr>
          <w:spacing w:val="-18"/>
          <w:w w:val="115"/>
        </w:rPr>
        <w:t> </w:t>
      </w:r>
      <w:r>
        <w:rPr>
          <w:w w:val="115"/>
        </w:rPr>
        <w:t>el</w:t>
      </w:r>
      <w:r>
        <w:rPr>
          <w:spacing w:val="-18"/>
          <w:w w:val="115"/>
        </w:rPr>
        <w:t> </w:t>
      </w:r>
      <w:r>
        <w:rPr>
          <w:w w:val="115"/>
        </w:rPr>
        <w:t>de- partamento</w:t>
      </w:r>
      <w:r>
        <w:rPr>
          <w:spacing w:val="-31"/>
          <w:w w:val="115"/>
        </w:rPr>
        <w:t> </w:t>
      </w:r>
      <w:r>
        <w:rPr>
          <w:w w:val="115"/>
        </w:rPr>
        <w:t>de</w:t>
      </w:r>
      <w:r>
        <w:rPr>
          <w:spacing w:val="-31"/>
          <w:w w:val="115"/>
        </w:rPr>
        <w:t> </w:t>
      </w:r>
      <w:r>
        <w:rPr>
          <w:w w:val="115"/>
        </w:rPr>
        <w:t>Estado</w:t>
      </w:r>
      <w:r>
        <w:rPr>
          <w:spacing w:val="-31"/>
          <w:w w:val="115"/>
        </w:rPr>
        <w:t> </w:t>
      </w:r>
      <w:r>
        <w:rPr>
          <w:w w:val="115"/>
        </w:rPr>
        <w:t>y</w:t>
      </w:r>
      <w:r>
        <w:rPr>
          <w:spacing w:val="-31"/>
          <w:w w:val="115"/>
        </w:rPr>
        <w:t> </w:t>
      </w:r>
      <w:r>
        <w:rPr>
          <w:w w:val="115"/>
        </w:rPr>
        <w:t>que</w:t>
      </w:r>
      <w:r>
        <w:rPr>
          <w:spacing w:val="-31"/>
          <w:w w:val="115"/>
        </w:rPr>
        <w:t> </w:t>
      </w:r>
      <w:r>
        <w:rPr>
          <w:w w:val="115"/>
        </w:rPr>
        <w:t>se</w:t>
      </w:r>
      <w:r>
        <w:rPr>
          <w:spacing w:val="-31"/>
          <w:w w:val="115"/>
        </w:rPr>
        <w:t> </w:t>
      </w:r>
      <w:r>
        <w:rPr>
          <w:w w:val="115"/>
        </w:rPr>
        <w:t>refiere,</w:t>
      </w:r>
      <w:r>
        <w:rPr>
          <w:spacing w:val="-31"/>
          <w:w w:val="115"/>
        </w:rPr>
        <w:t> </w:t>
      </w:r>
      <w:r>
        <w:rPr>
          <w:w w:val="115"/>
        </w:rPr>
        <w:t>unilateralmente,</w:t>
      </w:r>
      <w:r>
        <w:rPr>
          <w:spacing w:val="-31"/>
          <w:w w:val="115"/>
        </w:rPr>
        <w:t> </w:t>
      </w:r>
      <w:r>
        <w:rPr>
          <w:w w:val="115"/>
        </w:rPr>
        <w:t>a</w:t>
      </w:r>
      <w:r>
        <w:rPr>
          <w:spacing w:val="-31"/>
          <w:w w:val="115"/>
        </w:rPr>
        <w:t> </w:t>
      </w:r>
      <w:r>
        <w:rPr>
          <w:w w:val="115"/>
        </w:rPr>
        <w:t>los</w:t>
      </w:r>
      <w:r>
        <w:rPr>
          <w:spacing w:val="-31"/>
          <w:w w:val="115"/>
        </w:rPr>
        <w:t> </w:t>
      </w:r>
      <w:r>
        <w:rPr>
          <w:w w:val="115"/>
        </w:rPr>
        <w:t>llamados </w:t>
      </w:r>
      <w:r>
        <w:rPr>
          <w:w w:val="110"/>
        </w:rPr>
        <w:t>Estados “patrocinadores del terrorismo” o “violadores de los</w:t>
      </w:r>
      <w:r>
        <w:rPr>
          <w:spacing w:val="-17"/>
          <w:w w:val="110"/>
        </w:rPr>
        <w:t> </w:t>
      </w:r>
      <w:r>
        <w:rPr>
          <w:w w:val="110"/>
        </w:rPr>
        <w:t>derechos </w:t>
      </w:r>
      <w:r>
        <w:rPr>
          <w:w w:val="115"/>
        </w:rPr>
        <w:t>humanos</w:t>
      </w:r>
      <w:r>
        <w:rPr>
          <w:spacing w:val="-15"/>
          <w:w w:val="115"/>
        </w:rPr>
        <w:t> </w:t>
      </w:r>
      <w:r>
        <w:rPr>
          <w:w w:val="115"/>
        </w:rPr>
        <w:t>y</w:t>
      </w:r>
      <w:r>
        <w:rPr>
          <w:spacing w:val="-15"/>
          <w:w w:val="115"/>
        </w:rPr>
        <w:t> </w:t>
      </w:r>
      <w:r>
        <w:rPr>
          <w:w w:val="115"/>
        </w:rPr>
        <w:t>las</w:t>
      </w:r>
      <w:r>
        <w:rPr>
          <w:spacing w:val="-15"/>
          <w:w w:val="115"/>
        </w:rPr>
        <w:t> </w:t>
      </w:r>
      <w:r>
        <w:rPr>
          <w:w w:val="115"/>
        </w:rPr>
        <w:t>libertades</w:t>
      </w:r>
      <w:r>
        <w:rPr>
          <w:spacing w:val="-15"/>
          <w:w w:val="115"/>
        </w:rPr>
        <w:t> </w:t>
      </w:r>
      <w:r>
        <w:rPr>
          <w:w w:val="115"/>
        </w:rPr>
        <w:t>fundamentales”.</w:t>
      </w:r>
      <w:r>
        <w:rPr>
          <w:w w:val="115"/>
          <w:position w:val="6"/>
          <w:sz w:val="11"/>
        </w:rPr>
        <w:t>7</w:t>
      </w:r>
      <w:r>
        <w:rPr>
          <w:spacing w:val="5"/>
          <w:w w:val="115"/>
          <w:position w:val="6"/>
          <w:sz w:val="11"/>
        </w:rPr>
        <w:t> </w:t>
      </w:r>
      <w:r>
        <w:rPr>
          <w:spacing w:val="-5"/>
          <w:w w:val="115"/>
        </w:rPr>
        <w:t>toda</w:t>
      </w:r>
      <w:r>
        <w:rPr>
          <w:spacing w:val="-15"/>
          <w:w w:val="115"/>
        </w:rPr>
        <w:t> </w:t>
      </w:r>
      <w:r>
        <w:rPr>
          <w:w w:val="115"/>
        </w:rPr>
        <w:t>modificación</w:t>
      </w:r>
      <w:r>
        <w:rPr>
          <w:spacing w:val="-15"/>
          <w:w w:val="115"/>
        </w:rPr>
        <w:t> </w:t>
      </w:r>
      <w:r>
        <w:rPr>
          <w:w w:val="115"/>
        </w:rPr>
        <w:t>de</w:t>
      </w:r>
      <w:r>
        <w:rPr>
          <w:spacing w:val="-15"/>
          <w:w w:val="115"/>
        </w:rPr>
        <w:t> </w:t>
      </w:r>
      <w:r>
        <w:rPr>
          <w:w w:val="115"/>
        </w:rPr>
        <w:t>esta decisión</w:t>
      </w:r>
      <w:r>
        <w:rPr>
          <w:spacing w:val="-20"/>
          <w:w w:val="115"/>
        </w:rPr>
        <w:t> </w:t>
      </w:r>
      <w:r>
        <w:rPr>
          <w:w w:val="115"/>
        </w:rPr>
        <w:t>adoptada</w:t>
      </w:r>
      <w:r>
        <w:rPr>
          <w:spacing w:val="-20"/>
          <w:w w:val="115"/>
        </w:rPr>
        <w:t> </w:t>
      </w:r>
      <w:r>
        <w:rPr>
          <w:w w:val="115"/>
        </w:rPr>
        <w:t>por</w:t>
      </w:r>
      <w:r>
        <w:rPr>
          <w:spacing w:val="-20"/>
          <w:w w:val="115"/>
        </w:rPr>
        <w:t> </w:t>
      </w:r>
      <w:r>
        <w:rPr>
          <w:w w:val="115"/>
        </w:rPr>
        <w:t>Washington</w:t>
      </w:r>
      <w:r>
        <w:rPr>
          <w:spacing w:val="-20"/>
          <w:w w:val="115"/>
        </w:rPr>
        <w:t> </w:t>
      </w:r>
      <w:r>
        <w:rPr>
          <w:w w:val="115"/>
        </w:rPr>
        <w:t>requerirá</w:t>
      </w:r>
      <w:r>
        <w:rPr>
          <w:spacing w:val="-20"/>
          <w:w w:val="115"/>
        </w:rPr>
        <w:t> </w:t>
      </w:r>
      <w:r>
        <w:rPr>
          <w:w w:val="115"/>
        </w:rPr>
        <w:t>de</w:t>
      </w:r>
      <w:r>
        <w:rPr>
          <w:spacing w:val="-20"/>
          <w:w w:val="115"/>
        </w:rPr>
        <w:t> </w:t>
      </w:r>
      <w:r>
        <w:rPr>
          <w:w w:val="115"/>
        </w:rPr>
        <w:t>argumentos</w:t>
      </w:r>
      <w:r>
        <w:rPr>
          <w:spacing w:val="-20"/>
          <w:w w:val="115"/>
        </w:rPr>
        <w:t> </w:t>
      </w:r>
      <w:r>
        <w:rPr>
          <w:w w:val="115"/>
        </w:rPr>
        <w:t>convin- centes</w:t>
      </w:r>
      <w:r>
        <w:rPr>
          <w:spacing w:val="-24"/>
          <w:w w:val="115"/>
        </w:rPr>
        <w:t> </w:t>
      </w:r>
      <w:r>
        <w:rPr>
          <w:w w:val="115"/>
        </w:rPr>
        <w:t>por</w:t>
      </w:r>
      <w:r>
        <w:rPr>
          <w:spacing w:val="-24"/>
          <w:w w:val="115"/>
        </w:rPr>
        <w:t> </w:t>
      </w:r>
      <w:r>
        <w:rPr>
          <w:w w:val="115"/>
        </w:rPr>
        <w:t>lo</w:t>
      </w:r>
      <w:r>
        <w:rPr>
          <w:spacing w:val="-24"/>
          <w:w w:val="115"/>
        </w:rPr>
        <w:t> </w:t>
      </w:r>
      <w:r>
        <w:rPr>
          <w:w w:val="115"/>
        </w:rPr>
        <w:t>severos</w:t>
      </w:r>
      <w:r>
        <w:rPr>
          <w:spacing w:val="-24"/>
          <w:w w:val="115"/>
        </w:rPr>
        <w:t> </w:t>
      </w:r>
      <w:r>
        <w:rPr>
          <w:w w:val="115"/>
        </w:rPr>
        <w:t>agravios</w:t>
      </w:r>
      <w:r>
        <w:rPr>
          <w:spacing w:val="-24"/>
          <w:w w:val="115"/>
        </w:rPr>
        <w:t> </w:t>
      </w:r>
      <w:r>
        <w:rPr>
          <w:w w:val="115"/>
        </w:rPr>
        <w:t>que</w:t>
      </w:r>
      <w:r>
        <w:rPr>
          <w:spacing w:val="-24"/>
          <w:w w:val="115"/>
        </w:rPr>
        <w:t> </w:t>
      </w:r>
      <w:r>
        <w:rPr>
          <w:w w:val="115"/>
        </w:rPr>
        <w:t>su</w:t>
      </w:r>
      <w:r>
        <w:rPr>
          <w:spacing w:val="-24"/>
          <w:w w:val="115"/>
        </w:rPr>
        <w:t> </w:t>
      </w:r>
      <w:r>
        <w:rPr>
          <w:w w:val="115"/>
        </w:rPr>
        <w:t>mantención</w:t>
      </w:r>
      <w:r>
        <w:rPr>
          <w:spacing w:val="-24"/>
          <w:w w:val="115"/>
        </w:rPr>
        <w:t> </w:t>
      </w:r>
      <w:r>
        <w:rPr>
          <w:w w:val="115"/>
        </w:rPr>
        <w:t>ha</w:t>
      </w:r>
      <w:r>
        <w:rPr>
          <w:spacing w:val="-24"/>
          <w:w w:val="115"/>
        </w:rPr>
        <w:t> </w:t>
      </w:r>
      <w:r>
        <w:rPr>
          <w:w w:val="115"/>
        </w:rPr>
        <w:t>significado.</w:t>
      </w:r>
    </w:p>
    <w:p>
      <w:pPr>
        <w:pStyle w:val="BodyText"/>
        <w:spacing w:line="252" w:lineRule="auto"/>
        <w:ind w:left="330" w:right="118" w:firstLine="396"/>
        <w:jc w:val="both"/>
      </w:pPr>
      <w:r>
        <w:rPr>
          <w:w w:val="110"/>
        </w:rPr>
        <w:t>No cabe duda de que la búsqueda de un entendimiento por me- dios diplomáticos resulta siempre más benéfica que una relación de</w:t>
      </w:r>
    </w:p>
    <w:p>
      <w:pPr>
        <w:pStyle w:val="BodyText"/>
        <w:spacing w:before="4"/>
      </w:pPr>
      <w:r>
        <w:rPr/>
        <w:pict>
          <v:line style="position:absolute;mso-position-horizontal-relative:page;mso-position-vertical-relative:paragraph;z-index:7744;mso-wrap-distance-left:0;mso-wrap-distance-right:0" from="76.5354pt,13.558232pt" to="104.8814pt,13.558232pt" stroked="true" strokeweight=".5pt" strokecolor="#000000">
            <w10:wrap type="topAndBottom"/>
          </v:line>
        </w:pict>
      </w:r>
    </w:p>
    <w:p>
      <w:pPr>
        <w:pStyle w:val="ListParagraph"/>
        <w:numPr>
          <w:ilvl w:val="0"/>
          <w:numId w:val="32"/>
        </w:numPr>
        <w:tabs>
          <w:tab w:pos="586" w:val="left" w:leader="none"/>
        </w:tabs>
        <w:spacing w:line="242" w:lineRule="auto" w:before="89" w:after="0"/>
        <w:ind w:left="330" w:right="117" w:firstLine="0"/>
        <w:jc w:val="left"/>
        <w:rPr>
          <w:sz w:val="16"/>
        </w:rPr>
      </w:pPr>
      <w:r>
        <w:rPr>
          <w:w w:val="110"/>
          <w:sz w:val="16"/>
        </w:rPr>
        <w:t>durante</w:t>
      </w:r>
      <w:r>
        <w:rPr>
          <w:spacing w:val="-4"/>
          <w:w w:val="110"/>
          <w:sz w:val="16"/>
        </w:rPr>
        <w:t> </w:t>
      </w:r>
      <w:r>
        <w:rPr>
          <w:w w:val="110"/>
          <w:sz w:val="16"/>
        </w:rPr>
        <w:t>décadas</w:t>
      </w:r>
      <w:r>
        <w:rPr>
          <w:spacing w:val="-4"/>
          <w:w w:val="110"/>
          <w:sz w:val="16"/>
        </w:rPr>
        <w:t> </w:t>
      </w:r>
      <w:r>
        <w:rPr>
          <w:w w:val="110"/>
          <w:sz w:val="16"/>
        </w:rPr>
        <w:t>el</w:t>
      </w:r>
      <w:r>
        <w:rPr>
          <w:spacing w:val="-4"/>
          <w:w w:val="110"/>
          <w:sz w:val="16"/>
        </w:rPr>
        <w:t> </w:t>
      </w:r>
      <w:r>
        <w:rPr>
          <w:w w:val="110"/>
          <w:sz w:val="16"/>
        </w:rPr>
        <w:t>Estado</w:t>
      </w:r>
      <w:r>
        <w:rPr>
          <w:spacing w:val="-4"/>
          <w:w w:val="110"/>
          <w:sz w:val="16"/>
        </w:rPr>
        <w:t> </w:t>
      </w:r>
      <w:r>
        <w:rPr>
          <w:w w:val="110"/>
          <w:sz w:val="16"/>
        </w:rPr>
        <w:t>cubano</w:t>
      </w:r>
      <w:r>
        <w:rPr>
          <w:spacing w:val="-4"/>
          <w:w w:val="110"/>
          <w:sz w:val="16"/>
        </w:rPr>
        <w:t> </w:t>
      </w:r>
      <w:r>
        <w:rPr>
          <w:w w:val="110"/>
          <w:sz w:val="16"/>
        </w:rPr>
        <w:t>forma</w:t>
      </w:r>
      <w:r>
        <w:rPr>
          <w:spacing w:val="-4"/>
          <w:w w:val="110"/>
          <w:sz w:val="16"/>
        </w:rPr>
        <w:t> </w:t>
      </w:r>
      <w:r>
        <w:rPr>
          <w:w w:val="110"/>
          <w:sz w:val="16"/>
        </w:rPr>
        <w:t>parte</w:t>
      </w:r>
      <w:r>
        <w:rPr>
          <w:spacing w:val="-4"/>
          <w:w w:val="110"/>
          <w:sz w:val="16"/>
        </w:rPr>
        <w:t> </w:t>
      </w:r>
      <w:r>
        <w:rPr>
          <w:w w:val="110"/>
          <w:sz w:val="16"/>
        </w:rPr>
        <w:t>de</w:t>
      </w:r>
      <w:r>
        <w:rPr>
          <w:spacing w:val="-4"/>
          <w:w w:val="110"/>
          <w:sz w:val="16"/>
        </w:rPr>
        <w:t> </w:t>
      </w:r>
      <w:r>
        <w:rPr>
          <w:w w:val="110"/>
          <w:sz w:val="16"/>
        </w:rPr>
        <w:t>esa</w:t>
      </w:r>
      <w:r>
        <w:rPr>
          <w:spacing w:val="-4"/>
          <w:w w:val="110"/>
          <w:sz w:val="16"/>
        </w:rPr>
        <w:t> </w:t>
      </w:r>
      <w:r>
        <w:rPr>
          <w:w w:val="110"/>
          <w:sz w:val="16"/>
        </w:rPr>
        <w:t>fatídica</w:t>
      </w:r>
      <w:r>
        <w:rPr>
          <w:spacing w:val="-4"/>
          <w:w w:val="110"/>
          <w:sz w:val="16"/>
        </w:rPr>
        <w:t> </w:t>
      </w:r>
      <w:r>
        <w:rPr>
          <w:w w:val="110"/>
          <w:sz w:val="16"/>
        </w:rPr>
        <w:t>lista.</w:t>
      </w:r>
      <w:r>
        <w:rPr>
          <w:spacing w:val="-4"/>
          <w:w w:val="110"/>
          <w:sz w:val="16"/>
        </w:rPr>
        <w:t> </w:t>
      </w:r>
      <w:r>
        <w:rPr>
          <w:w w:val="110"/>
          <w:sz w:val="16"/>
        </w:rPr>
        <w:t>al</w:t>
      </w:r>
      <w:r>
        <w:rPr>
          <w:spacing w:val="-4"/>
          <w:w w:val="110"/>
          <w:sz w:val="16"/>
        </w:rPr>
        <w:t> </w:t>
      </w:r>
      <w:r>
        <w:rPr>
          <w:w w:val="110"/>
          <w:sz w:val="16"/>
        </w:rPr>
        <w:t>respecto</w:t>
      </w:r>
      <w:r>
        <w:rPr>
          <w:spacing w:val="-4"/>
          <w:w w:val="110"/>
          <w:sz w:val="16"/>
        </w:rPr>
        <w:t> </w:t>
      </w:r>
      <w:r>
        <w:rPr>
          <w:w w:val="110"/>
          <w:sz w:val="16"/>
        </w:rPr>
        <w:t>la </w:t>
      </w:r>
      <w:r>
        <w:rPr>
          <w:w w:val="105"/>
          <w:sz w:val="16"/>
        </w:rPr>
        <w:t>página oficial norteamericana resulta elocuente:  </w:t>
      </w:r>
      <w:r>
        <w:rPr>
          <w:spacing w:val="1"/>
          <w:w w:val="105"/>
          <w:sz w:val="16"/>
        </w:rPr>
        <w:t> </w:t>
      </w:r>
      <w:r>
        <w:rPr>
          <w:w w:val="105"/>
          <w:sz w:val="16"/>
        </w:rPr>
        <w:t>&lt;</w:t>
      </w:r>
      <w:hyperlink r:id="rId456">
        <w:r>
          <w:rPr>
            <w:w w:val="105"/>
            <w:sz w:val="16"/>
          </w:rPr>
          <w:t>http://goo.gl/Gwmsvq&gt;.</w:t>
        </w:r>
      </w:hyperlink>
    </w:p>
    <w:p>
      <w:pPr>
        <w:spacing w:after="0" w:line="242" w:lineRule="auto"/>
        <w:jc w:val="left"/>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rPr>
          <w:sz w:val="11"/>
        </w:rPr>
      </w:pPr>
      <w:r>
        <w:rPr>
          <w:w w:val="110"/>
        </w:rPr>
        <w:t>confrontación y de hostilidad. sin embargo, cabe la pregunta acerca  de cuál será o puede ser el contenido de la normalización si los instru- mentos de la agresión no han desaparecido. </w:t>
      </w:r>
      <w:r>
        <w:rPr>
          <w:spacing w:val="-3"/>
          <w:w w:val="110"/>
        </w:rPr>
        <w:t>tampoco </w:t>
      </w:r>
      <w:r>
        <w:rPr>
          <w:w w:val="110"/>
        </w:rPr>
        <w:t>resulta fácil un cambio en la argumentación política y diplomática que de manera ve- rosímil garantice por parte de Estados unidos el compromiso de asu- mir con respeto las diferencias que han existido y que son inherentes al desarrollo de ambos sistemas. incluso está por verse la disposición estadounidense a resarcir los daños provocados a Cuba o las pérdidas ocasionadas, incluyendo vidas humanas, por las acciones ejecutadas contra intereses del país isleño. Mientras tanto, hay un dato duro que resulta difícil de </w:t>
      </w:r>
      <w:r>
        <w:rPr>
          <w:spacing w:val="-4"/>
          <w:w w:val="110"/>
        </w:rPr>
        <w:t>omitir. tanto </w:t>
      </w:r>
      <w:r>
        <w:rPr>
          <w:w w:val="110"/>
        </w:rPr>
        <w:t>en la comunidad latinoamericana como en la historia de la asamblea General de las Naciones unidas, nunca  en toda la historia de la diplomacia internacional se ha visto tanta coincidencia y condena al bloqueo impuesto por Estados unidos con- tra</w:t>
      </w:r>
      <w:r>
        <w:rPr>
          <w:spacing w:val="31"/>
          <w:w w:val="110"/>
        </w:rPr>
        <w:t> </w:t>
      </w:r>
      <w:r>
        <w:rPr>
          <w:w w:val="110"/>
        </w:rPr>
        <w:t>Cuba.</w:t>
      </w:r>
      <w:r>
        <w:rPr>
          <w:w w:val="110"/>
          <w:position w:val="6"/>
          <w:sz w:val="11"/>
        </w:rPr>
        <w:t>8</w:t>
      </w:r>
    </w:p>
    <w:p>
      <w:pPr>
        <w:pStyle w:val="BodyText"/>
        <w:spacing w:before="5"/>
      </w:pPr>
    </w:p>
    <w:p>
      <w:pPr>
        <w:pStyle w:val="Heading6"/>
        <w:ind w:left="121"/>
      </w:pPr>
      <w:r>
        <w:rPr>
          <w:w w:val="129"/>
        </w:rPr>
        <w:t>a</w:t>
      </w:r>
      <w:r>
        <w:rPr>
          <w:spacing w:val="-8"/>
        </w:rPr>
        <w:t> </w:t>
      </w:r>
      <w:r>
        <w:rPr>
          <w:spacing w:val="2"/>
          <w:w w:val="92"/>
        </w:rPr>
        <w:t>M</w:t>
      </w:r>
      <w:r>
        <w:rPr>
          <w:spacing w:val="2"/>
          <w:w w:val="138"/>
        </w:rPr>
        <w:t>o</w:t>
      </w:r>
      <w:r>
        <w:rPr>
          <w:spacing w:val="5"/>
          <w:w w:val="138"/>
        </w:rPr>
        <w:t>d</w:t>
      </w:r>
      <w:r>
        <w:rPr>
          <w:w w:val="145"/>
        </w:rPr>
        <w:t>o</w:t>
      </w:r>
      <w:r>
        <w:rPr>
          <w:spacing w:val="-8"/>
        </w:rPr>
        <w:t> </w:t>
      </w:r>
      <w:r>
        <w:rPr>
          <w:spacing w:val="2"/>
          <w:w w:val="132"/>
        </w:rPr>
        <w:t>d</w:t>
      </w:r>
      <w:r>
        <w:rPr>
          <w:w w:val="132"/>
        </w:rPr>
        <w:t>e</w:t>
      </w:r>
      <w:r>
        <w:rPr>
          <w:spacing w:val="-8"/>
        </w:rPr>
        <w:t> </w:t>
      </w:r>
      <w:r>
        <w:rPr>
          <w:spacing w:val="3"/>
          <w:w w:val="134"/>
        </w:rPr>
        <w:t>e</w:t>
      </w:r>
      <w:r>
        <w:rPr>
          <w:spacing w:val="2"/>
          <w:w w:val="96"/>
        </w:rPr>
        <w:t>PÍ</w:t>
      </w:r>
      <w:r>
        <w:rPr>
          <w:spacing w:val="1"/>
          <w:w w:val="201"/>
        </w:rPr>
        <w:t>l</w:t>
      </w:r>
      <w:r>
        <w:rPr>
          <w:spacing w:val="5"/>
          <w:w w:val="145"/>
        </w:rPr>
        <w:t>o</w:t>
      </w:r>
      <w:r>
        <w:rPr>
          <w:spacing w:val="5"/>
          <w:w w:val="89"/>
        </w:rPr>
        <w:t>G</w:t>
      </w:r>
      <w:r>
        <w:rPr>
          <w:w w:val="145"/>
        </w:rPr>
        <w:t>o</w:t>
      </w:r>
    </w:p>
    <w:p>
      <w:pPr>
        <w:pStyle w:val="BodyText"/>
        <w:spacing w:line="252" w:lineRule="auto" w:before="10"/>
        <w:ind w:left="120" w:right="328"/>
        <w:jc w:val="both"/>
      </w:pPr>
      <w:r>
        <w:rPr>
          <w:w w:val="120"/>
        </w:rPr>
        <w:t>En</w:t>
      </w:r>
      <w:r>
        <w:rPr/>
        <w:t> </w:t>
      </w:r>
      <w:r>
        <w:rPr>
          <w:spacing w:val="-7"/>
        </w:rPr>
        <w:t> </w:t>
      </w:r>
      <w:r>
        <w:rPr>
          <w:w w:val="112"/>
        </w:rPr>
        <w:t>un</w:t>
      </w:r>
      <w:r>
        <w:rPr/>
        <w:t> </w:t>
      </w:r>
      <w:r>
        <w:rPr>
          <w:spacing w:val="-7"/>
        </w:rPr>
        <w:t> </w:t>
      </w:r>
      <w:r>
        <w:rPr>
          <w:w w:val="109"/>
        </w:rPr>
        <w:t>esfuerzo</w:t>
      </w:r>
      <w:r>
        <w:rPr/>
        <w:t> </w:t>
      </w:r>
      <w:r>
        <w:rPr>
          <w:spacing w:val="-7"/>
        </w:rPr>
        <w:t> </w:t>
      </w:r>
      <w:r>
        <w:rPr>
          <w:w w:val="106"/>
        </w:rPr>
        <w:t>reflexivo</w:t>
      </w:r>
      <w:r>
        <w:rPr/>
        <w:t> </w:t>
      </w:r>
      <w:r>
        <w:rPr>
          <w:spacing w:val="-7"/>
        </w:rPr>
        <w:t> </w:t>
      </w:r>
      <w:r>
        <w:rPr>
          <w:w w:val="106"/>
        </w:rPr>
        <w:t>desde</w:t>
      </w:r>
      <w:r>
        <w:rPr/>
        <w:t> </w:t>
      </w:r>
      <w:r>
        <w:rPr>
          <w:spacing w:val="-7"/>
        </w:rPr>
        <w:t> </w:t>
      </w:r>
      <w:r>
        <w:rPr>
          <w:w w:val="139"/>
        </w:rPr>
        <w:t>a</w:t>
      </w:r>
      <w:r>
        <w:rPr>
          <w:w w:val="111"/>
        </w:rPr>
        <w:t>mérica</w:t>
      </w:r>
      <w:r>
        <w:rPr/>
        <w:t> </w:t>
      </w:r>
      <w:r>
        <w:rPr>
          <w:spacing w:val="-7"/>
        </w:rPr>
        <w:t> </w:t>
      </w:r>
      <w:r>
        <w:rPr>
          <w:w w:val="243"/>
        </w:rPr>
        <w:t>l</w:t>
      </w:r>
      <w:r>
        <w:rPr>
          <w:w w:val="113"/>
        </w:rPr>
        <w:t>atina,</w:t>
      </w:r>
      <w:r>
        <w:rPr/>
        <w:t> </w:t>
      </w:r>
      <w:r>
        <w:rPr>
          <w:spacing w:val="-7"/>
        </w:rPr>
        <w:t> </w:t>
      </w:r>
      <w:r>
        <w:rPr>
          <w:w w:val="105"/>
        </w:rPr>
        <w:t>se</w:t>
      </w:r>
      <w:r>
        <w:rPr/>
        <w:t> </w:t>
      </w:r>
      <w:r>
        <w:rPr>
          <w:spacing w:val="-7"/>
        </w:rPr>
        <w:t> </w:t>
      </w:r>
      <w:r>
        <w:rPr>
          <w:w w:val="111"/>
        </w:rPr>
        <w:t>hace</w:t>
      </w:r>
      <w:r>
        <w:rPr/>
        <w:t> </w:t>
      </w:r>
      <w:r>
        <w:rPr>
          <w:spacing w:val="-7"/>
        </w:rPr>
        <w:t> </w:t>
      </w:r>
      <w:r>
        <w:rPr>
          <w:w w:val="110"/>
        </w:rPr>
        <w:t>inaplazable </w:t>
      </w:r>
      <w:r>
        <w:rPr>
          <w:w w:val="110"/>
        </w:rPr>
        <w:t>una mejor comprensión de los alcances que pueden derivarse de los reacomodamientos políticos y señales provenientes de la estrategia norteamericana. ¿Cómo está reconstruyendo sus recursos de poder ante la crisis económica que permea el sistema, el gran problema del petróleo y el gas que forman parte de su seguridad, el descrédito que ha cosechado en sus niveles de credibilidad con sus guerras de agre- sión, la inocultable práctica de torturas a prisioneros, el asesinato de civiles por </w:t>
      </w:r>
      <w:r>
        <w:rPr>
          <w:i/>
          <w:w w:val="110"/>
        </w:rPr>
        <w:t>drones </w:t>
      </w:r>
      <w:r>
        <w:rPr>
          <w:w w:val="110"/>
        </w:rPr>
        <w:t>o por sus grupos de operaciones especiales en cada vez más países, la práctica de espionaje a escala global incluso en las comunicaciones de sus aliados, el costo económico y humano de sus agresiones que alarma a su propia </w:t>
      </w:r>
      <w:r>
        <w:rPr>
          <w:spacing w:val="19"/>
          <w:w w:val="110"/>
        </w:rPr>
        <w:t> </w:t>
      </w:r>
      <w:r>
        <w:rPr>
          <w:w w:val="110"/>
        </w:rPr>
        <w:t>ciudadanía?</w:t>
      </w:r>
    </w:p>
    <w:p>
      <w:pPr>
        <w:pStyle w:val="BodyText"/>
        <w:spacing w:line="252" w:lineRule="auto"/>
        <w:ind w:left="120" w:right="326" w:firstLine="396"/>
        <w:jc w:val="both"/>
      </w:pPr>
      <w:r>
        <w:rPr>
          <w:w w:val="110"/>
        </w:rPr>
        <w:t>ante este abigarrado cuadro de interrogantes cruciales, y esta- bleciendo un ángulo de visualización hacia la región en sus  diná- micas y prospectivas,  resulta  inequívoco  su  objetivo  de  retrotraer el avance de todos aquellos procesos que se desarrollan fuera de su control o decisión, tal como paradigmáticamente se ratifica en su </w:t>
      </w:r>
      <w:r>
        <w:rPr>
          <w:w w:val="111"/>
        </w:rPr>
        <w:t>conducta</w:t>
      </w:r>
      <w:r>
        <w:rPr/>
        <w:t>  </w:t>
      </w:r>
      <w:r>
        <w:rPr>
          <w:w w:val="113"/>
        </w:rPr>
        <w:t>hacia</w:t>
      </w:r>
      <w:r>
        <w:rPr/>
        <w:t>  </w:t>
      </w:r>
      <w:r>
        <w:rPr>
          <w:w w:val="119"/>
        </w:rPr>
        <w:t>V</w:t>
      </w:r>
      <w:r>
        <w:rPr>
          <w:w w:val="110"/>
        </w:rPr>
        <w:t>enezuela.</w:t>
      </w:r>
      <w:r>
        <w:rPr/>
        <w:t>  </w:t>
      </w:r>
      <w:r>
        <w:rPr>
          <w:w w:val="243"/>
        </w:rPr>
        <w:t>l</w:t>
      </w:r>
      <w:r>
        <w:rPr>
          <w:w w:val="112"/>
        </w:rPr>
        <w:t>a</w:t>
      </w:r>
      <w:r>
        <w:rPr/>
        <w:t>  </w:t>
      </w:r>
      <w:r>
        <w:rPr>
          <w:w w:val="111"/>
        </w:rPr>
        <w:t>política</w:t>
      </w:r>
      <w:r>
        <w:rPr/>
        <w:t>  </w:t>
      </w:r>
      <w:r>
        <w:rPr>
          <w:w w:val="108"/>
        </w:rPr>
        <w:t>estadounidense</w:t>
      </w:r>
      <w:r>
        <w:rPr/>
        <w:t>  </w:t>
      </w:r>
      <w:r>
        <w:rPr>
          <w:w w:val="111"/>
        </w:rPr>
        <w:t>no</w:t>
      </w:r>
      <w:r>
        <w:rPr/>
        <w:t>  </w:t>
      </w:r>
      <w:r>
        <w:rPr>
          <w:w w:val="107"/>
        </w:rPr>
        <w:t>está</w:t>
      </w:r>
      <w:r>
        <w:rPr/>
        <w:t>  </w:t>
      </w:r>
      <w:r>
        <w:rPr>
          <w:w w:val="109"/>
        </w:rPr>
        <w:t>dis</w:t>
      </w:r>
      <w:r>
        <w:rPr>
          <w:w w:val="102"/>
        </w:rPr>
        <w:t>- </w:t>
      </w:r>
      <w:r>
        <w:rPr>
          <w:w w:val="110"/>
        </w:rPr>
        <w:t>puesta a admitir que aquella visión hegemónica de normalidad fun- dada en el sometimiento de la región se encuentra sustancialmente modificada. Esto explica su decisión de erosionar todas las   condicio-</w:t>
      </w:r>
    </w:p>
    <w:p>
      <w:pPr>
        <w:pStyle w:val="BodyText"/>
        <w:spacing w:before="10"/>
        <w:rPr>
          <w:sz w:val="26"/>
        </w:rPr>
      </w:pPr>
      <w:r>
        <w:rPr/>
        <w:pict>
          <v:line style="position:absolute;mso-position-horizontal-relative:page;mso-position-vertical-relative:paragraph;z-index:7768;mso-wrap-distance-left:0;mso-wrap-distance-right:0" from="51.023602pt,17.960033pt" to="79.369602pt,17.960033pt" stroked="true" strokeweight=".5pt" strokecolor="#000000">
            <w10:wrap type="topAndBottom"/>
          </v:line>
        </w:pict>
      </w:r>
    </w:p>
    <w:p>
      <w:pPr>
        <w:pStyle w:val="ListParagraph"/>
        <w:numPr>
          <w:ilvl w:val="0"/>
          <w:numId w:val="32"/>
        </w:numPr>
        <w:tabs>
          <w:tab w:pos="376" w:val="left" w:leader="none"/>
        </w:tabs>
        <w:spacing w:line="242" w:lineRule="auto" w:before="89" w:after="0"/>
        <w:ind w:left="120" w:right="327" w:firstLine="0"/>
        <w:jc w:val="both"/>
        <w:rPr>
          <w:sz w:val="16"/>
        </w:rPr>
      </w:pPr>
      <w:r>
        <w:rPr>
          <w:w w:val="110"/>
          <w:sz w:val="16"/>
        </w:rPr>
        <w:t>se</w:t>
      </w:r>
      <w:r>
        <w:rPr>
          <w:spacing w:val="-9"/>
          <w:w w:val="110"/>
          <w:sz w:val="16"/>
        </w:rPr>
        <w:t> </w:t>
      </w:r>
      <w:r>
        <w:rPr>
          <w:w w:val="110"/>
          <w:sz w:val="16"/>
        </w:rPr>
        <w:t>encuentra</w:t>
      </w:r>
      <w:r>
        <w:rPr>
          <w:spacing w:val="-9"/>
          <w:w w:val="110"/>
          <w:sz w:val="16"/>
        </w:rPr>
        <w:t> </w:t>
      </w:r>
      <w:r>
        <w:rPr>
          <w:w w:val="110"/>
          <w:sz w:val="16"/>
        </w:rPr>
        <w:t>en</w:t>
      </w:r>
      <w:r>
        <w:rPr>
          <w:spacing w:val="-9"/>
          <w:w w:val="110"/>
          <w:sz w:val="16"/>
        </w:rPr>
        <w:t> </w:t>
      </w:r>
      <w:r>
        <w:rPr>
          <w:w w:val="110"/>
          <w:sz w:val="16"/>
        </w:rPr>
        <w:t>el</w:t>
      </w:r>
      <w:r>
        <w:rPr>
          <w:spacing w:val="-9"/>
          <w:w w:val="110"/>
          <w:sz w:val="16"/>
        </w:rPr>
        <w:t> </w:t>
      </w:r>
      <w:r>
        <w:rPr>
          <w:w w:val="110"/>
          <w:sz w:val="16"/>
        </w:rPr>
        <w:t>registro</w:t>
      </w:r>
      <w:r>
        <w:rPr>
          <w:spacing w:val="-9"/>
          <w:w w:val="110"/>
          <w:sz w:val="16"/>
        </w:rPr>
        <w:t> </w:t>
      </w:r>
      <w:r>
        <w:rPr>
          <w:w w:val="110"/>
          <w:sz w:val="16"/>
        </w:rPr>
        <w:t>de</w:t>
      </w:r>
      <w:r>
        <w:rPr>
          <w:spacing w:val="-9"/>
          <w:w w:val="110"/>
          <w:sz w:val="16"/>
        </w:rPr>
        <w:t> </w:t>
      </w:r>
      <w:r>
        <w:rPr>
          <w:w w:val="110"/>
          <w:sz w:val="16"/>
        </w:rPr>
        <w:t>antecedentes</w:t>
      </w:r>
      <w:r>
        <w:rPr>
          <w:spacing w:val="-9"/>
          <w:w w:val="110"/>
          <w:sz w:val="16"/>
        </w:rPr>
        <w:t> </w:t>
      </w:r>
      <w:r>
        <w:rPr>
          <w:w w:val="110"/>
          <w:sz w:val="16"/>
        </w:rPr>
        <w:t>argumentados</w:t>
      </w:r>
      <w:r>
        <w:rPr>
          <w:spacing w:val="-9"/>
          <w:w w:val="110"/>
          <w:sz w:val="16"/>
        </w:rPr>
        <w:t> </w:t>
      </w:r>
      <w:r>
        <w:rPr>
          <w:w w:val="110"/>
          <w:sz w:val="16"/>
        </w:rPr>
        <w:t>por</w:t>
      </w:r>
      <w:r>
        <w:rPr>
          <w:spacing w:val="-9"/>
          <w:w w:val="110"/>
          <w:sz w:val="16"/>
        </w:rPr>
        <w:t> </w:t>
      </w:r>
      <w:r>
        <w:rPr>
          <w:w w:val="110"/>
          <w:sz w:val="16"/>
        </w:rPr>
        <w:t>la</w:t>
      </w:r>
      <w:r>
        <w:rPr>
          <w:spacing w:val="-9"/>
          <w:w w:val="110"/>
          <w:sz w:val="16"/>
        </w:rPr>
        <w:t> </w:t>
      </w:r>
      <w:r>
        <w:rPr>
          <w:w w:val="110"/>
          <w:sz w:val="16"/>
        </w:rPr>
        <w:t>asamblea</w:t>
      </w:r>
      <w:r>
        <w:rPr>
          <w:spacing w:val="-9"/>
          <w:w w:val="110"/>
          <w:sz w:val="16"/>
        </w:rPr>
        <w:t> </w:t>
      </w:r>
      <w:r>
        <w:rPr>
          <w:w w:val="110"/>
          <w:sz w:val="16"/>
        </w:rPr>
        <w:t>Gene- ral</w:t>
      </w:r>
      <w:r>
        <w:rPr>
          <w:spacing w:val="-10"/>
          <w:w w:val="110"/>
          <w:sz w:val="16"/>
        </w:rPr>
        <w:t> </w:t>
      </w:r>
      <w:r>
        <w:rPr>
          <w:w w:val="110"/>
          <w:sz w:val="16"/>
        </w:rPr>
        <w:t>de</w:t>
      </w:r>
      <w:r>
        <w:rPr>
          <w:spacing w:val="-10"/>
          <w:w w:val="110"/>
          <w:sz w:val="16"/>
        </w:rPr>
        <w:t> </w:t>
      </w:r>
      <w:r>
        <w:rPr>
          <w:w w:val="110"/>
          <w:sz w:val="16"/>
        </w:rPr>
        <w:t>las</w:t>
      </w:r>
      <w:r>
        <w:rPr>
          <w:spacing w:val="-10"/>
          <w:w w:val="110"/>
          <w:sz w:val="16"/>
        </w:rPr>
        <w:t> </w:t>
      </w:r>
      <w:r>
        <w:rPr>
          <w:w w:val="110"/>
          <w:sz w:val="16"/>
        </w:rPr>
        <w:t>Naciones</w:t>
      </w:r>
      <w:r>
        <w:rPr>
          <w:spacing w:val="-10"/>
          <w:w w:val="110"/>
          <w:sz w:val="16"/>
        </w:rPr>
        <w:t> </w:t>
      </w:r>
      <w:r>
        <w:rPr>
          <w:w w:val="110"/>
          <w:sz w:val="16"/>
        </w:rPr>
        <w:t>unidas,</w:t>
      </w:r>
      <w:r>
        <w:rPr>
          <w:spacing w:val="-10"/>
          <w:w w:val="110"/>
          <w:sz w:val="16"/>
        </w:rPr>
        <w:t> </w:t>
      </w:r>
      <w:r>
        <w:rPr>
          <w:w w:val="110"/>
          <w:sz w:val="16"/>
        </w:rPr>
        <w:t>que</w:t>
      </w:r>
      <w:r>
        <w:rPr>
          <w:spacing w:val="-10"/>
          <w:w w:val="110"/>
          <w:sz w:val="16"/>
        </w:rPr>
        <w:t> </w:t>
      </w:r>
      <w:r>
        <w:rPr>
          <w:w w:val="110"/>
          <w:sz w:val="16"/>
        </w:rPr>
        <w:t>durante</w:t>
      </w:r>
      <w:r>
        <w:rPr>
          <w:spacing w:val="-10"/>
          <w:w w:val="110"/>
          <w:sz w:val="16"/>
        </w:rPr>
        <w:t> </w:t>
      </w:r>
      <w:r>
        <w:rPr>
          <w:w w:val="110"/>
          <w:sz w:val="16"/>
        </w:rPr>
        <w:t>los</w:t>
      </w:r>
      <w:r>
        <w:rPr>
          <w:spacing w:val="-10"/>
          <w:w w:val="110"/>
          <w:sz w:val="16"/>
        </w:rPr>
        <w:t> </w:t>
      </w:r>
      <w:r>
        <w:rPr>
          <w:w w:val="110"/>
          <w:sz w:val="16"/>
        </w:rPr>
        <w:t>años</w:t>
      </w:r>
      <w:r>
        <w:rPr>
          <w:spacing w:val="-10"/>
          <w:w w:val="110"/>
          <w:sz w:val="16"/>
        </w:rPr>
        <w:t> </w:t>
      </w:r>
      <w:r>
        <w:rPr>
          <w:w w:val="110"/>
          <w:sz w:val="16"/>
        </w:rPr>
        <w:t>que</w:t>
      </w:r>
      <w:r>
        <w:rPr>
          <w:spacing w:val="-10"/>
          <w:w w:val="110"/>
          <w:sz w:val="16"/>
        </w:rPr>
        <w:t> </w:t>
      </w:r>
      <w:r>
        <w:rPr>
          <w:w w:val="110"/>
          <w:sz w:val="16"/>
        </w:rPr>
        <w:t>lleva</w:t>
      </w:r>
      <w:r>
        <w:rPr>
          <w:spacing w:val="-10"/>
          <w:w w:val="110"/>
          <w:sz w:val="16"/>
        </w:rPr>
        <w:t> </w:t>
      </w:r>
      <w:r>
        <w:rPr>
          <w:w w:val="110"/>
          <w:sz w:val="16"/>
        </w:rPr>
        <w:t>la</w:t>
      </w:r>
      <w:r>
        <w:rPr>
          <w:spacing w:val="-10"/>
          <w:w w:val="110"/>
          <w:sz w:val="16"/>
        </w:rPr>
        <w:t> </w:t>
      </w:r>
      <w:r>
        <w:rPr>
          <w:w w:val="110"/>
          <w:sz w:val="16"/>
        </w:rPr>
        <w:t>vigencia</w:t>
      </w:r>
      <w:r>
        <w:rPr>
          <w:spacing w:val="-10"/>
          <w:w w:val="110"/>
          <w:sz w:val="16"/>
        </w:rPr>
        <w:t> </w:t>
      </w:r>
      <w:r>
        <w:rPr>
          <w:w w:val="110"/>
          <w:sz w:val="16"/>
        </w:rPr>
        <w:t>de</w:t>
      </w:r>
      <w:r>
        <w:rPr>
          <w:spacing w:val="-10"/>
          <w:w w:val="110"/>
          <w:sz w:val="16"/>
        </w:rPr>
        <w:t> </w:t>
      </w:r>
      <w:r>
        <w:rPr>
          <w:w w:val="110"/>
          <w:sz w:val="16"/>
        </w:rPr>
        <w:t>las</w:t>
      </w:r>
      <w:r>
        <w:rPr>
          <w:spacing w:val="-10"/>
          <w:w w:val="110"/>
          <w:sz w:val="16"/>
        </w:rPr>
        <w:t> </w:t>
      </w:r>
      <w:r>
        <w:rPr>
          <w:w w:val="110"/>
          <w:sz w:val="16"/>
        </w:rPr>
        <w:t>sanciones económicas impuestas a Cuba, más del setenta por ciento de los cubanos nacieron </w:t>
      </w:r>
      <w:r>
        <w:rPr>
          <w:w w:val="109"/>
          <w:sz w:val="16"/>
        </w:rPr>
        <w:t>bajo</w:t>
      </w:r>
      <w:r>
        <w:rPr>
          <w:spacing w:val="9"/>
          <w:sz w:val="16"/>
        </w:rPr>
        <w:t> </w:t>
      </w:r>
      <w:r>
        <w:rPr>
          <w:w w:val="103"/>
          <w:sz w:val="16"/>
        </w:rPr>
        <w:t>este</w:t>
      </w:r>
      <w:r>
        <w:rPr>
          <w:spacing w:val="9"/>
          <w:sz w:val="16"/>
        </w:rPr>
        <w:t> </w:t>
      </w:r>
      <w:r>
        <w:rPr>
          <w:w w:val="110"/>
          <w:sz w:val="16"/>
        </w:rPr>
        <w:t>“Estado</w:t>
      </w:r>
      <w:r>
        <w:rPr>
          <w:spacing w:val="9"/>
          <w:sz w:val="16"/>
        </w:rPr>
        <w:t> </w:t>
      </w:r>
      <w:r>
        <w:rPr>
          <w:w w:val="104"/>
          <w:sz w:val="16"/>
        </w:rPr>
        <w:t>de</w:t>
      </w:r>
      <w:r>
        <w:rPr>
          <w:spacing w:val="9"/>
          <w:sz w:val="16"/>
        </w:rPr>
        <w:t> </w:t>
      </w:r>
      <w:r>
        <w:rPr>
          <w:w w:val="107"/>
          <w:sz w:val="16"/>
        </w:rPr>
        <w:t>sitio</w:t>
      </w:r>
      <w:r>
        <w:rPr>
          <w:spacing w:val="9"/>
          <w:sz w:val="16"/>
        </w:rPr>
        <w:t> </w:t>
      </w:r>
      <w:r>
        <w:rPr>
          <w:w w:val="109"/>
          <w:sz w:val="16"/>
        </w:rPr>
        <w:t>económico”</w:t>
      </w:r>
      <w:r>
        <w:rPr>
          <w:spacing w:val="9"/>
          <w:sz w:val="16"/>
        </w:rPr>
        <w:t> </w:t>
      </w:r>
      <w:r>
        <w:rPr>
          <w:w w:val="96"/>
          <w:sz w:val="16"/>
        </w:rPr>
        <w:t>(</w:t>
      </w:r>
      <w:r>
        <w:rPr>
          <w:w w:val="238"/>
          <w:sz w:val="16"/>
        </w:rPr>
        <w:t>l</w:t>
      </w:r>
      <w:r>
        <w:rPr>
          <w:w w:val="111"/>
          <w:sz w:val="16"/>
        </w:rPr>
        <w:t>amrani,</w:t>
      </w:r>
      <w:r>
        <w:rPr>
          <w:spacing w:val="9"/>
          <w:sz w:val="16"/>
        </w:rPr>
        <w:t> </w:t>
      </w:r>
      <w:r>
        <w:rPr>
          <w:w w:val="100"/>
          <w:sz w:val="16"/>
        </w:rPr>
        <w:t>2015:</w:t>
      </w:r>
      <w:r>
        <w:rPr>
          <w:spacing w:val="9"/>
          <w:sz w:val="16"/>
        </w:rPr>
        <w:t> </w:t>
      </w:r>
      <w:r>
        <w:rPr>
          <w:w w:val="103"/>
          <w:sz w:val="16"/>
        </w:rPr>
        <w:t>15).</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41"/>
      </w:pPr>
      <w:r>
        <w:rPr>
          <w:w w:val="110"/>
        </w:rPr>
        <w:t>nes que propician una nueva plataforma de entendimiento hacia una integración  sin subordinación.</w:t>
      </w:r>
    </w:p>
    <w:p>
      <w:pPr>
        <w:pStyle w:val="BodyText"/>
        <w:spacing w:line="252" w:lineRule="auto"/>
        <w:ind w:left="330" w:right="118" w:firstLine="396"/>
        <w:jc w:val="both"/>
      </w:pPr>
      <w:r>
        <w:rPr>
          <w:w w:val="110"/>
        </w:rPr>
        <w:t>Es importante considerar que si los estrategas estadounidenses reordenan los ingredientes de su política, con el propósito de rearti- </w:t>
      </w:r>
      <w:r>
        <w:rPr>
          <w:w w:val="111"/>
        </w:rPr>
        <w:t>cular</w:t>
      </w:r>
      <w:r>
        <w:rPr>
          <w:spacing w:val="15"/>
        </w:rPr>
        <w:t> </w:t>
      </w:r>
      <w:r>
        <w:rPr>
          <w:w w:val="111"/>
        </w:rPr>
        <w:t>bajo</w:t>
      </w:r>
      <w:r>
        <w:rPr>
          <w:spacing w:val="15"/>
        </w:rPr>
        <w:t> </w:t>
      </w:r>
      <w:r>
        <w:rPr>
          <w:w w:val="109"/>
        </w:rPr>
        <w:t>su</w:t>
      </w:r>
      <w:r>
        <w:rPr>
          <w:spacing w:val="15"/>
        </w:rPr>
        <w:t> </w:t>
      </w:r>
      <w:r>
        <w:rPr>
          <w:w w:val="111"/>
        </w:rPr>
        <w:t>jurisdicción</w:t>
      </w:r>
      <w:r>
        <w:rPr>
          <w:spacing w:val="15"/>
        </w:rPr>
        <w:t> </w:t>
      </w:r>
      <w:r>
        <w:rPr>
          <w:w w:val="108"/>
        </w:rPr>
        <w:t>los</w:t>
      </w:r>
      <w:r>
        <w:rPr>
          <w:spacing w:val="15"/>
        </w:rPr>
        <w:t> </w:t>
      </w:r>
      <w:r>
        <w:rPr>
          <w:w w:val="108"/>
        </w:rPr>
        <w:t>procesos</w:t>
      </w:r>
      <w:r>
        <w:rPr>
          <w:spacing w:val="15"/>
        </w:rPr>
        <w:t> </w:t>
      </w:r>
      <w:r>
        <w:rPr>
          <w:w w:val="107"/>
        </w:rPr>
        <w:t>de</w:t>
      </w:r>
      <w:r>
        <w:rPr>
          <w:spacing w:val="15"/>
        </w:rPr>
        <w:t> </w:t>
      </w:r>
      <w:r>
        <w:rPr>
          <w:w w:val="139"/>
        </w:rPr>
        <w:t>a</w:t>
      </w:r>
      <w:r>
        <w:rPr>
          <w:w w:val="111"/>
        </w:rPr>
        <w:t>mérica</w:t>
      </w:r>
      <w:r>
        <w:rPr>
          <w:spacing w:val="15"/>
        </w:rPr>
        <w:t> </w:t>
      </w:r>
      <w:r>
        <w:rPr>
          <w:w w:val="243"/>
        </w:rPr>
        <w:t>l</w:t>
      </w:r>
      <w:r>
        <w:rPr>
          <w:w w:val="111"/>
        </w:rPr>
        <w:t>atina</w:t>
      </w:r>
      <w:r>
        <w:rPr>
          <w:spacing w:val="15"/>
        </w:rPr>
        <w:t> </w:t>
      </w:r>
      <w:r>
        <w:rPr>
          <w:w w:val="105"/>
        </w:rPr>
        <w:t>y</w:t>
      </w:r>
      <w:r>
        <w:rPr>
          <w:spacing w:val="15"/>
        </w:rPr>
        <w:t> </w:t>
      </w:r>
      <w:r>
        <w:rPr>
          <w:w w:val="107"/>
        </w:rPr>
        <w:t>el</w:t>
      </w:r>
      <w:r>
        <w:rPr>
          <w:spacing w:val="15"/>
        </w:rPr>
        <w:t> </w:t>
      </w:r>
      <w:r>
        <w:rPr>
          <w:w w:val="114"/>
        </w:rPr>
        <w:t>Caribe, </w:t>
      </w:r>
      <w:r>
        <w:rPr>
          <w:w w:val="110"/>
        </w:rPr>
        <w:t>es porque sus objetivos en tal sentido son parte de su proyección geo- estratégica global. Encarar su menguado liderazgo para imponerse al resto del mundo presupone asegurar la disponibilidad política latino- caribeña.</w:t>
      </w:r>
      <w:r>
        <w:rPr>
          <w:spacing w:val="-3"/>
          <w:w w:val="110"/>
        </w:rPr>
        <w:t> </w:t>
      </w:r>
      <w:r>
        <w:rPr>
          <w:w w:val="110"/>
        </w:rPr>
        <w:t>Este</w:t>
      </w:r>
      <w:r>
        <w:rPr>
          <w:spacing w:val="-3"/>
          <w:w w:val="110"/>
        </w:rPr>
        <w:t> </w:t>
      </w:r>
      <w:r>
        <w:rPr>
          <w:w w:val="110"/>
        </w:rPr>
        <w:t>es</w:t>
      </w:r>
      <w:r>
        <w:rPr>
          <w:spacing w:val="-3"/>
          <w:w w:val="110"/>
        </w:rPr>
        <w:t> </w:t>
      </w:r>
      <w:r>
        <w:rPr>
          <w:w w:val="110"/>
        </w:rPr>
        <w:t>el</w:t>
      </w:r>
      <w:r>
        <w:rPr>
          <w:spacing w:val="-3"/>
          <w:w w:val="110"/>
        </w:rPr>
        <w:t> </w:t>
      </w:r>
      <w:r>
        <w:rPr>
          <w:w w:val="110"/>
        </w:rPr>
        <w:t>eje</w:t>
      </w:r>
      <w:r>
        <w:rPr>
          <w:spacing w:val="-3"/>
          <w:w w:val="110"/>
        </w:rPr>
        <w:t> </w:t>
      </w:r>
      <w:r>
        <w:rPr>
          <w:w w:val="110"/>
        </w:rPr>
        <w:t>en</w:t>
      </w:r>
      <w:r>
        <w:rPr>
          <w:spacing w:val="-3"/>
          <w:w w:val="110"/>
        </w:rPr>
        <w:t> </w:t>
      </w:r>
      <w:r>
        <w:rPr>
          <w:w w:val="110"/>
        </w:rPr>
        <w:t>torno</w:t>
      </w:r>
      <w:r>
        <w:rPr>
          <w:spacing w:val="-3"/>
          <w:w w:val="110"/>
        </w:rPr>
        <w:t> </w:t>
      </w:r>
      <w:r>
        <w:rPr>
          <w:w w:val="110"/>
        </w:rPr>
        <w:t>al</w:t>
      </w:r>
      <w:r>
        <w:rPr>
          <w:spacing w:val="-3"/>
          <w:w w:val="110"/>
        </w:rPr>
        <w:t> </w:t>
      </w:r>
      <w:r>
        <w:rPr>
          <w:w w:val="110"/>
        </w:rPr>
        <w:t>cual</w:t>
      </w:r>
      <w:r>
        <w:rPr>
          <w:spacing w:val="-3"/>
          <w:w w:val="110"/>
        </w:rPr>
        <w:t> </w:t>
      </w:r>
      <w:r>
        <w:rPr>
          <w:w w:val="110"/>
        </w:rPr>
        <w:t>giran</w:t>
      </w:r>
      <w:r>
        <w:rPr>
          <w:spacing w:val="-3"/>
          <w:w w:val="110"/>
        </w:rPr>
        <w:t> </w:t>
      </w:r>
      <w:r>
        <w:rPr>
          <w:w w:val="110"/>
        </w:rPr>
        <w:t>las</w:t>
      </w:r>
      <w:r>
        <w:rPr>
          <w:spacing w:val="-3"/>
          <w:w w:val="110"/>
        </w:rPr>
        <w:t> </w:t>
      </w:r>
      <w:r>
        <w:rPr>
          <w:w w:val="110"/>
        </w:rPr>
        <w:t>principales</w:t>
      </w:r>
      <w:r>
        <w:rPr>
          <w:spacing w:val="-3"/>
          <w:w w:val="110"/>
        </w:rPr>
        <w:t> </w:t>
      </w:r>
      <w:r>
        <w:rPr>
          <w:w w:val="110"/>
        </w:rPr>
        <w:t>controver- sias, tensiones y disputas por la orientación de los </w:t>
      </w:r>
      <w:r>
        <w:rPr>
          <w:spacing w:val="8"/>
          <w:w w:val="110"/>
        </w:rPr>
        <w:t> </w:t>
      </w:r>
      <w:r>
        <w:rPr>
          <w:w w:val="110"/>
        </w:rPr>
        <w:t>procesos.</w:t>
      </w:r>
    </w:p>
    <w:p>
      <w:pPr>
        <w:pStyle w:val="BodyText"/>
        <w:spacing w:line="252" w:lineRule="auto"/>
        <w:ind w:left="330" w:right="117" w:firstLine="396"/>
        <w:jc w:val="both"/>
      </w:pPr>
      <w:r>
        <w:rPr>
          <w:w w:val="115"/>
        </w:rPr>
        <w:t>un</w:t>
      </w:r>
      <w:r>
        <w:rPr>
          <w:spacing w:val="-13"/>
          <w:w w:val="115"/>
        </w:rPr>
        <w:t> </w:t>
      </w:r>
      <w:r>
        <w:rPr>
          <w:w w:val="115"/>
        </w:rPr>
        <w:t>asunto</w:t>
      </w:r>
      <w:r>
        <w:rPr>
          <w:spacing w:val="-13"/>
          <w:w w:val="115"/>
        </w:rPr>
        <w:t> </w:t>
      </w:r>
      <w:r>
        <w:rPr>
          <w:w w:val="115"/>
        </w:rPr>
        <w:t>de</w:t>
      </w:r>
      <w:r>
        <w:rPr>
          <w:spacing w:val="-13"/>
          <w:w w:val="115"/>
        </w:rPr>
        <w:t> </w:t>
      </w:r>
      <w:r>
        <w:rPr>
          <w:w w:val="115"/>
        </w:rPr>
        <w:t>fondo</w:t>
      </w:r>
      <w:r>
        <w:rPr>
          <w:spacing w:val="-13"/>
          <w:w w:val="115"/>
        </w:rPr>
        <w:t> </w:t>
      </w:r>
      <w:r>
        <w:rPr>
          <w:w w:val="115"/>
        </w:rPr>
        <w:t>dentro</w:t>
      </w:r>
      <w:r>
        <w:rPr>
          <w:spacing w:val="-13"/>
          <w:w w:val="115"/>
        </w:rPr>
        <w:t> </w:t>
      </w:r>
      <w:r>
        <w:rPr>
          <w:w w:val="115"/>
        </w:rPr>
        <w:t>de</w:t>
      </w:r>
      <w:r>
        <w:rPr>
          <w:spacing w:val="-13"/>
          <w:w w:val="115"/>
        </w:rPr>
        <w:t> </w:t>
      </w:r>
      <w:r>
        <w:rPr>
          <w:w w:val="115"/>
        </w:rPr>
        <w:t>estas</w:t>
      </w:r>
      <w:r>
        <w:rPr>
          <w:spacing w:val="-13"/>
          <w:w w:val="115"/>
        </w:rPr>
        <w:t> </w:t>
      </w:r>
      <w:r>
        <w:rPr>
          <w:w w:val="115"/>
        </w:rPr>
        <w:t>aproximaciones</w:t>
      </w:r>
      <w:r>
        <w:rPr>
          <w:spacing w:val="-13"/>
          <w:w w:val="115"/>
        </w:rPr>
        <w:t> </w:t>
      </w:r>
      <w:r>
        <w:rPr>
          <w:w w:val="115"/>
        </w:rPr>
        <w:t>políticas</w:t>
      </w:r>
      <w:r>
        <w:rPr>
          <w:spacing w:val="-13"/>
          <w:w w:val="115"/>
        </w:rPr>
        <w:t> </w:t>
      </w:r>
      <w:r>
        <w:rPr>
          <w:w w:val="115"/>
        </w:rPr>
        <w:t>re- conoce</w:t>
      </w:r>
      <w:r>
        <w:rPr>
          <w:spacing w:val="-14"/>
          <w:w w:val="115"/>
        </w:rPr>
        <w:t> </w:t>
      </w:r>
      <w:r>
        <w:rPr>
          <w:w w:val="115"/>
        </w:rPr>
        <w:t>que</w:t>
      </w:r>
      <w:r>
        <w:rPr>
          <w:spacing w:val="-14"/>
          <w:w w:val="115"/>
        </w:rPr>
        <w:t> </w:t>
      </w:r>
      <w:r>
        <w:rPr>
          <w:w w:val="115"/>
        </w:rPr>
        <w:t>el</w:t>
      </w:r>
      <w:r>
        <w:rPr>
          <w:spacing w:val="-14"/>
          <w:w w:val="115"/>
        </w:rPr>
        <w:t> </w:t>
      </w:r>
      <w:r>
        <w:rPr>
          <w:w w:val="115"/>
        </w:rPr>
        <w:t>liderazgo</w:t>
      </w:r>
      <w:r>
        <w:rPr>
          <w:spacing w:val="-14"/>
          <w:w w:val="115"/>
        </w:rPr>
        <w:t> </w:t>
      </w:r>
      <w:r>
        <w:rPr>
          <w:w w:val="115"/>
        </w:rPr>
        <w:t>norteamericano</w:t>
      </w:r>
      <w:r>
        <w:rPr>
          <w:spacing w:val="-14"/>
          <w:w w:val="115"/>
        </w:rPr>
        <w:t> </w:t>
      </w:r>
      <w:r>
        <w:rPr>
          <w:w w:val="115"/>
        </w:rPr>
        <w:t>se</w:t>
      </w:r>
      <w:r>
        <w:rPr>
          <w:spacing w:val="-14"/>
          <w:w w:val="115"/>
        </w:rPr>
        <w:t> </w:t>
      </w:r>
      <w:r>
        <w:rPr>
          <w:w w:val="115"/>
        </w:rPr>
        <w:t>encuentra</w:t>
      </w:r>
      <w:r>
        <w:rPr>
          <w:spacing w:val="-14"/>
          <w:w w:val="115"/>
        </w:rPr>
        <w:t> </w:t>
      </w:r>
      <w:r>
        <w:rPr>
          <w:w w:val="115"/>
        </w:rPr>
        <w:t>en</w:t>
      </w:r>
      <w:r>
        <w:rPr>
          <w:spacing w:val="-14"/>
          <w:w w:val="115"/>
        </w:rPr>
        <w:t> </w:t>
      </w:r>
      <w:r>
        <w:rPr>
          <w:w w:val="115"/>
        </w:rPr>
        <w:t>entredicho. Esto propicia el desarrollo de una pugna abierta en el campo de la hegemonía</w:t>
      </w:r>
      <w:r>
        <w:rPr>
          <w:spacing w:val="-10"/>
          <w:w w:val="115"/>
        </w:rPr>
        <w:t> </w:t>
      </w:r>
      <w:r>
        <w:rPr>
          <w:w w:val="115"/>
        </w:rPr>
        <w:t>mundial,</w:t>
      </w:r>
      <w:r>
        <w:rPr>
          <w:spacing w:val="-10"/>
          <w:w w:val="115"/>
        </w:rPr>
        <w:t> </w:t>
      </w:r>
      <w:r>
        <w:rPr>
          <w:w w:val="115"/>
        </w:rPr>
        <w:t>cuya</w:t>
      </w:r>
      <w:r>
        <w:rPr>
          <w:spacing w:val="-10"/>
          <w:w w:val="115"/>
        </w:rPr>
        <w:t> </w:t>
      </w:r>
      <w:r>
        <w:rPr>
          <w:w w:val="115"/>
        </w:rPr>
        <w:t>dinámica</w:t>
      </w:r>
      <w:r>
        <w:rPr>
          <w:spacing w:val="-10"/>
          <w:w w:val="115"/>
        </w:rPr>
        <w:t> </w:t>
      </w:r>
      <w:r>
        <w:rPr>
          <w:w w:val="115"/>
        </w:rPr>
        <w:t>tiene</w:t>
      </w:r>
      <w:r>
        <w:rPr>
          <w:spacing w:val="-10"/>
          <w:w w:val="115"/>
        </w:rPr>
        <w:t> </w:t>
      </w:r>
      <w:r>
        <w:rPr>
          <w:w w:val="115"/>
        </w:rPr>
        <w:t>su</w:t>
      </w:r>
      <w:r>
        <w:rPr>
          <w:spacing w:val="-10"/>
          <w:w w:val="115"/>
        </w:rPr>
        <w:t> </w:t>
      </w:r>
      <w:r>
        <w:rPr>
          <w:w w:val="115"/>
        </w:rPr>
        <w:t>impacto</w:t>
      </w:r>
      <w:r>
        <w:rPr>
          <w:spacing w:val="-10"/>
          <w:w w:val="115"/>
        </w:rPr>
        <w:t> </w:t>
      </w:r>
      <w:r>
        <w:rPr>
          <w:w w:val="115"/>
        </w:rPr>
        <w:t>mediado</w:t>
      </w:r>
      <w:r>
        <w:rPr>
          <w:spacing w:val="-10"/>
          <w:w w:val="115"/>
        </w:rPr>
        <w:t> </w:t>
      </w:r>
      <w:r>
        <w:rPr>
          <w:w w:val="115"/>
        </w:rPr>
        <w:t>por</w:t>
      </w:r>
      <w:r>
        <w:rPr>
          <w:spacing w:val="-10"/>
          <w:w w:val="115"/>
        </w:rPr>
        <w:t> </w:t>
      </w:r>
      <w:r>
        <w:rPr>
          <w:w w:val="115"/>
        </w:rPr>
        <w:t>la consistencia</w:t>
      </w:r>
      <w:r>
        <w:rPr>
          <w:spacing w:val="-26"/>
          <w:w w:val="115"/>
        </w:rPr>
        <w:t> </w:t>
      </w:r>
      <w:r>
        <w:rPr>
          <w:w w:val="115"/>
        </w:rPr>
        <w:t>de</w:t>
      </w:r>
      <w:r>
        <w:rPr>
          <w:spacing w:val="-26"/>
          <w:w w:val="115"/>
        </w:rPr>
        <w:t> </w:t>
      </w:r>
      <w:r>
        <w:rPr>
          <w:w w:val="115"/>
        </w:rPr>
        <w:t>los</w:t>
      </w:r>
      <w:r>
        <w:rPr>
          <w:spacing w:val="-26"/>
          <w:w w:val="115"/>
        </w:rPr>
        <w:t> </w:t>
      </w:r>
      <w:r>
        <w:rPr>
          <w:w w:val="115"/>
        </w:rPr>
        <w:t>procesos</w:t>
      </w:r>
      <w:r>
        <w:rPr>
          <w:spacing w:val="-26"/>
          <w:w w:val="115"/>
        </w:rPr>
        <w:t> </w:t>
      </w:r>
      <w:r>
        <w:rPr>
          <w:w w:val="115"/>
        </w:rPr>
        <w:t>políticos</w:t>
      </w:r>
      <w:r>
        <w:rPr>
          <w:spacing w:val="-26"/>
          <w:w w:val="115"/>
        </w:rPr>
        <w:t> </w:t>
      </w:r>
      <w:r>
        <w:rPr>
          <w:w w:val="115"/>
        </w:rPr>
        <w:t>en</w:t>
      </w:r>
      <w:r>
        <w:rPr>
          <w:spacing w:val="-26"/>
          <w:w w:val="115"/>
        </w:rPr>
        <w:t> </w:t>
      </w:r>
      <w:r>
        <w:rPr>
          <w:w w:val="115"/>
        </w:rPr>
        <w:t>la</w:t>
      </w:r>
      <w:r>
        <w:rPr>
          <w:spacing w:val="-26"/>
          <w:w w:val="115"/>
        </w:rPr>
        <w:t> </w:t>
      </w:r>
      <w:r>
        <w:rPr>
          <w:w w:val="115"/>
        </w:rPr>
        <w:t>reconfiguración</w:t>
      </w:r>
      <w:r>
        <w:rPr>
          <w:spacing w:val="-26"/>
          <w:w w:val="115"/>
        </w:rPr>
        <w:t> </w:t>
      </w:r>
      <w:r>
        <w:rPr>
          <w:w w:val="115"/>
        </w:rPr>
        <w:t>de</w:t>
      </w:r>
      <w:r>
        <w:rPr>
          <w:spacing w:val="-26"/>
          <w:w w:val="115"/>
        </w:rPr>
        <w:t> </w:t>
      </w:r>
      <w:r>
        <w:rPr>
          <w:w w:val="115"/>
        </w:rPr>
        <w:t>las</w:t>
      </w:r>
      <w:r>
        <w:rPr>
          <w:spacing w:val="-26"/>
          <w:w w:val="115"/>
        </w:rPr>
        <w:t> </w:t>
      </w:r>
      <w:r>
        <w:rPr>
          <w:w w:val="115"/>
        </w:rPr>
        <w:t>ten- dencias hemisféricas. de ser así no es muy complicado el juego que </w:t>
      </w:r>
      <w:r>
        <w:rPr>
          <w:w w:val="111"/>
        </w:rPr>
        <w:t>busca</w:t>
      </w:r>
      <w:r>
        <w:rPr>
          <w:spacing w:val="6"/>
        </w:rPr>
        <w:t> </w:t>
      </w:r>
      <w:r>
        <w:rPr>
          <w:w w:val="110"/>
        </w:rPr>
        <w:t>movilizar</w:t>
      </w:r>
      <w:r>
        <w:rPr>
          <w:spacing w:val="6"/>
        </w:rPr>
        <w:t> </w:t>
      </w:r>
      <w:r>
        <w:rPr>
          <w:w w:val="108"/>
        </w:rPr>
        <w:t>en</w:t>
      </w:r>
      <w:r>
        <w:rPr>
          <w:spacing w:val="6"/>
        </w:rPr>
        <w:t> </w:t>
      </w:r>
      <w:r>
        <w:rPr>
          <w:w w:val="111"/>
        </w:rPr>
        <w:t>la</w:t>
      </w:r>
      <w:r>
        <w:rPr>
          <w:spacing w:val="6"/>
        </w:rPr>
        <w:t> </w:t>
      </w:r>
      <w:r>
        <w:rPr>
          <w:w w:val="111"/>
        </w:rPr>
        <w:t>región.</w:t>
      </w:r>
      <w:r>
        <w:rPr>
          <w:spacing w:val="6"/>
        </w:rPr>
        <w:t> </w:t>
      </w:r>
      <w:r>
        <w:rPr>
          <w:w w:val="149"/>
        </w:rPr>
        <w:t>s</w:t>
      </w:r>
      <w:r>
        <w:rPr>
          <w:w w:val="113"/>
        </w:rPr>
        <w:t>in</w:t>
      </w:r>
      <w:r>
        <w:rPr>
          <w:spacing w:val="6"/>
        </w:rPr>
        <w:t> </w:t>
      </w:r>
      <w:r>
        <w:rPr>
          <w:w w:val="111"/>
        </w:rPr>
        <w:t>embargo,</w:t>
      </w:r>
      <w:r>
        <w:rPr>
          <w:spacing w:val="6"/>
        </w:rPr>
        <w:t> </w:t>
      </w:r>
      <w:r>
        <w:rPr>
          <w:w w:val="139"/>
        </w:rPr>
        <w:t>a</w:t>
      </w:r>
      <w:r>
        <w:rPr>
          <w:w w:val="111"/>
        </w:rPr>
        <w:t>mérica</w:t>
      </w:r>
      <w:r>
        <w:rPr>
          <w:spacing w:val="6"/>
        </w:rPr>
        <w:t> </w:t>
      </w:r>
      <w:r>
        <w:rPr>
          <w:w w:val="243"/>
        </w:rPr>
        <w:t>l</w:t>
      </w:r>
      <w:r>
        <w:rPr>
          <w:w w:val="111"/>
        </w:rPr>
        <w:t>atina</w:t>
      </w:r>
      <w:r>
        <w:rPr>
          <w:spacing w:val="6"/>
        </w:rPr>
        <w:t> </w:t>
      </w:r>
      <w:r>
        <w:rPr>
          <w:w w:val="105"/>
        </w:rPr>
        <w:t>y</w:t>
      </w:r>
      <w:r>
        <w:rPr>
          <w:spacing w:val="6"/>
        </w:rPr>
        <w:t> </w:t>
      </w:r>
      <w:r>
        <w:rPr>
          <w:w w:val="107"/>
        </w:rPr>
        <w:t>el</w:t>
      </w:r>
      <w:r>
        <w:rPr>
          <w:spacing w:val="6"/>
        </w:rPr>
        <w:t> </w:t>
      </w:r>
      <w:r>
        <w:rPr>
          <w:w w:val="112"/>
        </w:rPr>
        <w:t>Caribe </w:t>
      </w:r>
      <w:r>
        <w:rPr>
          <w:w w:val="115"/>
        </w:rPr>
        <w:t>necesitan</w:t>
      </w:r>
      <w:r>
        <w:rPr>
          <w:spacing w:val="-27"/>
          <w:w w:val="115"/>
        </w:rPr>
        <w:t> </w:t>
      </w:r>
      <w:r>
        <w:rPr>
          <w:w w:val="115"/>
        </w:rPr>
        <w:t>revalorar</w:t>
      </w:r>
      <w:r>
        <w:rPr>
          <w:spacing w:val="-27"/>
          <w:w w:val="115"/>
        </w:rPr>
        <w:t> </w:t>
      </w:r>
      <w:r>
        <w:rPr>
          <w:w w:val="115"/>
        </w:rPr>
        <w:t>la</w:t>
      </w:r>
      <w:r>
        <w:rPr>
          <w:spacing w:val="-27"/>
          <w:w w:val="115"/>
        </w:rPr>
        <w:t> </w:t>
      </w:r>
      <w:r>
        <w:rPr>
          <w:w w:val="115"/>
        </w:rPr>
        <w:t>importancia</w:t>
      </w:r>
      <w:r>
        <w:rPr>
          <w:spacing w:val="-27"/>
          <w:w w:val="115"/>
        </w:rPr>
        <w:t> </w:t>
      </w:r>
      <w:r>
        <w:rPr>
          <w:w w:val="115"/>
        </w:rPr>
        <w:t>de</w:t>
      </w:r>
      <w:r>
        <w:rPr>
          <w:spacing w:val="-27"/>
          <w:w w:val="115"/>
        </w:rPr>
        <w:t> </w:t>
      </w:r>
      <w:r>
        <w:rPr>
          <w:w w:val="115"/>
        </w:rPr>
        <w:t>sus</w:t>
      </w:r>
      <w:r>
        <w:rPr>
          <w:spacing w:val="-27"/>
          <w:w w:val="115"/>
        </w:rPr>
        <w:t> </w:t>
      </w:r>
      <w:r>
        <w:rPr>
          <w:w w:val="115"/>
        </w:rPr>
        <w:t>logros</w:t>
      </w:r>
      <w:r>
        <w:rPr>
          <w:spacing w:val="-27"/>
          <w:w w:val="115"/>
        </w:rPr>
        <w:t> </w:t>
      </w:r>
      <w:r>
        <w:rPr>
          <w:w w:val="115"/>
        </w:rPr>
        <w:t>y</w:t>
      </w:r>
      <w:r>
        <w:rPr>
          <w:spacing w:val="-27"/>
          <w:w w:val="115"/>
        </w:rPr>
        <w:t> </w:t>
      </w:r>
      <w:r>
        <w:rPr>
          <w:w w:val="115"/>
        </w:rPr>
        <w:t>proyectos</w:t>
      </w:r>
      <w:r>
        <w:rPr>
          <w:spacing w:val="-27"/>
          <w:w w:val="115"/>
        </w:rPr>
        <w:t> </w:t>
      </w:r>
      <w:r>
        <w:rPr>
          <w:w w:val="115"/>
        </w:rPr>
        <w:t>impulsa- dos</w:t>
      </w:r>
      <w:r>
        <w:rPr>
          <w:spacing w:val="-13"/>
          <w:w w:val="115"/>
        </w:rPr>
        <w:t> </w:t>
      </w:r>
      <w:r>
        <w:rPr>
          <w:w w:val="115"/>
        </w:rPr>
        <w:t>al</w:t>
      </w:r>
      <w:r>
        <w:rPr>
          <w:spacing w:val="-13"/>
          <w:w w:val="115"/>
        </w:rPr>
        <w:t> </w:t>
      </w:r>
      <w:r>
        <w:rPr>
          <w:w w:val="115"/>
        </w:rPr>
        <w:t>margen</w:t>
      </w:r>
      <w:r>
        <w:rPr>
          <w:spacing w:val="-13"/>
          <w:w w:val="115"/>
        </w:rPr>
        <w:t> </w:t>
      </w:r>
      <w:r>
        <w:rPr>
          <w:w w:val="115"/>
        </w:rPr>
        <w:t>de</w:t>
      </w:r>
      <w:r>
        <w:rPr>
          <w:spacing w:val="-13"/>
          <w:w w:val="115"/>
        </w:rPr>
        <w:t> </w:t>
      </w:r>
      <w:r>
        <w:rPr>
          <w:w w:val="115"/>
        </w:rPr>
        <w:t>la</w:t>
      </w:r>
      <w:r>
        <w:rPr>
          <w:spacing w:val="-13"/>
          <w:w w:val="115"/>
        </w:rPr>
        <w:t> </w:t>
      </w:r>
      <w:r>
        <w:rPr>
          <w:w w:val="115"/>
        </w:rPr>
        <w:t>política</w:t>
      </w:r>
      <w:r>
        <w:rPr>
          <w:spacing w:val="-13"/>
          <w:w w:val="115"/>
        </w:rPr>
        <w:t> </w:t>
      </w:r>
      <w:r>
        <w:rPr>
          <w:w w:val="115"/>
        </w:rPr>
        <w:t>y</w:t>
      </w:r>
      <w:r>
        <w:rPr>
          <w:spacing w:val="-13"/>
          <w:w w:val="115"/>
        </w:rPr>
        <w:t> </w:t>
      </w:r>
      <w:r>
        <w:rPr>
          <w:w w:val="115"/>
        </w:rPr>
        <w:t>la</w:t>
      </w:r>
      <w:r>
        <w:rPr>
          <w:spacing w:val="-13"/>
          <w:w w:val="115"/>
        </w:rPr>
        <w:t> </w:t>
      </w:r>
      <w:r>
        <w:rPr>
          <w:w w:val="115"/>
        </w:rPr>
        <w:t>seguridad</w:t>
      </w:r>
      <w:r>
        <w:rPr>
          <w:spacing w:val="-13"/>
          <w:w w:val="115"/>
        </w:rPr>
        <w:t> </w:t>
      </w:r>
      <w:r>
        <w:rPr>
          <w:w w:val="115"/>
        </w:rPr>
        <w:t>estadounidenses</w:t>
      </w:r>
      <w:r>
        <w:rPr>
          <w:spacing w:val="-13"/>
          <w:w w:val="115"/>
        </w:rPr>
        <w:t> </w:t>
      </w:r>
      <w:r>
        <w:rPr>
          <w:w w:val="115"/>
        </w:rPr>
        <w:t>y</w:t>
      </w:r>
      <w:r>
        <w:rPr>
          <w:spacing w:val="-13"/>
          <w:w w:val="115"/>
        </w:rPr>
        <w:t> </w:t>
      </w:r>
      <w:r>
        <w:rPr>
          <w:w w:val="115"/>
        </w:rPr>
        <w:t>de</w:t>
      </w:r>
      <w:r>
        <w:rPr>
          <w:spacing w:val="-13"/>
          <w:w w:val="115"/>
        </w:rPr>
        <w:t> </w:t>
      </w:r>
      <w:r>
        <w:rPr>
          <w:w w:val="115"/>
        </w:rPr>
        <w:t>cara a</w:t>
      </w:r>
      <w:r>
        <w:rPr>
          <w:spacing w:val="-6"/>
          <w:w w:val="115"/>
        </w:rPr>
        <w:t> </w:t>
      </w:r>
      <w:r>
        <w:rPr>
          <w:w w:val="115"/>
        </w:rPr>
        <w:t>los</w:t>
      </w:r>
      <w:r>
        <w:rPr>
          <w:spacing w:val="-6"/>
          <w:w w:val="115"/>
        </w:rPr>
        <w:t> </w:t>
      </w:r>
      <w:r>
        <w:rPr>
          <w:w w:val="115"/>
        </w:rPr>
        <w:t>procesos</w:t>
      </w:r>
      <w:r>
        <w:rPr>
          <w:spacing w:val="-6"/>
          <w:w w:val="115"/>
        </w:rPr>
        <w:t> </w:t>
      </w:r>
      <w:r>
        <w:rPr>
          <w:w w:val="115"/>
        </w:rPr>
        <w:t>de</w:t>
      </w:r>
      <w:r>
        <w:rPr>
          <w:spacing w:val="-6"/>
          <w:w w:val="115"/>
        </w:rPr>
        <w:t> </w:t>
      </w:r>
      <w:r>
        <w:rPr>
          <w:w w:val="115"/>
        </w:rPr>
        <w:t>cambio</w:t>
      </w:r>
      <w:r>
        <w:rPr>
          <w:spacing w:val="-6"/>
          <w:w w:val="115"/>
        </w:rPr>
        <w:t> </w:t>
      </w:r>
      <w:r>
        <w:rPr>
          <w:w w:val="115"/>
        </w:rPr>
        <w:t>que</w:t>
      </w:r>
      <w:r>
        <w:rPr>
          <w:spacing w:val="-6"/>
          <w:w w:val="115"/>
        </w:rPr>
        <w:t> </w:t>
      </w:r>
      <w:r>
        <w:rPr>
          <w:w w:val="115"/>
        </w:rPr>
        <w:t>se</w:t>
      </w:r>
      <w:r>
        <w:rPr>
          <w:spacing w:val="-6"/>
          <w:w w:val="115"/>
        </w:rPr>
        <w:t> </w:t>
      </w:r>
      <w:r>
        <w:rPr>
          <w:w w:val="115"/>
        </w:rPr>
        <w:t>advierten</w:t>
      </w:r>
      <w:r>
        <w:rPr>
          <w:spacing w:val="-6"/>
          <w:w w:val="115"/>
        </w:rPr>
        <w:t> </w:t>
      </w:r>
      <w:r>
        <w:rPr>
          <w:w w:val="115"/>
        </w:rPr>
        <w:t>en</w:t>
      </w:r>
      <w:r>
        <w:rPr>
          <w:spacing w:val="-6"/>
          <w:w w:val="115"/>
        </w:rPr>
        <w:t> </w:t>
      </w:r>
      <w:r>
        <w:rPr>
          <w:w w:val="115"/>
        </w:rPr>
        <w:t>la</w:t>
      </w:r>
      <w:r>
        <w:rPr>
          <w:spacing w:val="-6"/>
          <w:w w:val="115"/>
        </w:rPr>
        <w:t> </w:t>
      </w:r>
      <w:r>
        <w:rPr>
          <w:w w:val="115"/>
        </w:rPr>
        <w:t>ecuación</w:t>
      </w:r>
      <w:r>
        <w:rPr>
          <w:spacing w:val="-6"/>
          <w:w w:val="115"/>
        </w:rPr>
        <w:t> </w:t>
      </w:r>
      <w:r>
        <w:rPr>
          <w:w w:val="115"/>
        </w:rPr>
        <w:t>de</w:t>
      </w:r>
      <w:r>
        <w:rPr>
          <w:spacing w:val="-6"/>
          <w:w w:val="115"/>
        </w:rPr>
        <w:t> </w:t>
      </w:r>
      <w:r>
        <w:rPr>
          <w:w w:val="115"/>
        </w:rPr>
        <w:t>poder</w:t>
      </w:r>
      <w:r>
        <w:rPr>
          <w:spacing w:val="-6"/>
          <w:w w:val="115"/>
        </w:rPr>
        <w:t> </w:t>
      </w:r>
      <w:r>
        <w:rPr>
          <w:w w:val="115"/>
        </w:rPr>
        <w:t>a </w:t>
      </w:r>
      <w:r>
        <w:rPr>
          <w:w w:val="108"/>
        </w:rPr>
        <w:t>nivel</w:t>
      </w:r>
      <w:r>
        <w:rPr/>
        <w:t> </w:t>
      </w:r>
      <w:r>
        <w:rPr>
          <w:spacing w:val="-7"/>
        </w:rPr>
        <w:t> </w:t>
      </w:r>
      <w:r>
        <w:rPr>
          <w:w w:val="113"/>
        </w:rPr>
        <w:t>global.</w:t>
      </w:r>
      <w:r>
        <w:rPr/>
        <w:t> </w:t>
      </w:r>
      <w:r>
        <w:rPr>
          <w:spacing w:val="-7"/>
        </w:rPr>
        <w:t> </w:t>
      </w:r>
      <w:r>
        <w:rPr>
          <w:w w:val="243"/>
        </w:rPr>
        <w:t>l</w:t>
      </w:r>
      <w:r>
        <w:rPr>
          <w:w w:val="112"/>
        </w:rPr>
        <w:t>a</w:t>
      </w:r>
      <w:r>
        <w:rPr/>
        <w:t> </w:t>
      </w:r>
      <w:r>
        <w:rPr>
          <w:spacing w:val="-7"/>
        </w:rPr>
        <w:t> </w:t>
      </w:r>
      <w:r>
        <w:rPr>
          <w:w w:val="112"/>
        </w:rPr>
        <w:t>diplomacia</w:t>
      </w:r>
      <w:r>
        <w:rPr/>
        <w:t> </w:t>
      </w:r>
      <w:r>
        <w:rPr>
          <w:spacing w:val="-7"/>
        </w:rPr>
        <w:t> </w:t>
      </w:r>
      <w:r>
        <w:rPr>
          <w:w w:val="107"/>
        </w:rPr>
        <w:t>de</w:t>
      </w:r>
      <w:r>
        <w:rPr/>
        <w:t> </w:t>
      </w:r>
      <w:r>
        <w:rPr>
          <w:spacing w:val="-7"/>
        </w:rPr>
        <w:t> </w:t>
      </w:r>
      <w:r>
        <w:rPr>
          <w:spacing w:val="-11"/>
          <w:w w:val="110"/>
        </w:rPr>
        <w:t>W</w:t>
      </w:r>
      <w:r>
        <w:rPr>
          <w:w w:val="110"/>
        </w:rPr>
        <w:t>ashington</w:t>
      </w:r>
      <w:r>
        <w:rPr/>
        <w:t> </w:t>
      </w:r>
      <w:r>
        <w:rPr>
          <w:spacing w:val="-7"/>
        </w:rPr>
        <w:t> </w:t>
      </w:r>
      <w:r>
        <w:rPr>
          <w:w w:val="111"/>
        </w:rPr>
        <w:t>no</w:t>
      </w:r>
      <w:r>
        <w:rPr/>
        <w:t> </w:t>
      </w:r>
      <w:r>
        <w:rPr>
          <w:spacing w:val="-7"/>
        </w:rPr>
        <w:t> </w:t>
      </w:r>
      <w:r>
        <w:rPr>
          <w:w w:val="110"/>
        </w:rPr>
        <w:t>cejará</w:t>
      </w:r>
      <w:r>
        <w:rPr/>
        <w:t> </w:t>
      </w:r>
      <w:r>
        <w:rPr>
          <w:spacing w:val="-7"/>
        </w:rPr>
        <w:t> </w:t>
      </w:r>
      <w:r>
        <w:rPr>
          <w:w w:val="108"/>
        </w:rPr>
        <w:t>en</w:t>
      </w:r>
      <w:r>
        <w:rPr/>
        <w:t> </w:t>
      </w:r>
      <w:r>
        <w:rPr>
          <w:spacing w:val="-7"/>
        </w:rPr>
        <w:t> </w:t>
      </w:r>
      <w:r>
        <w:rPr>
          <w:w w:val="109"/>
        </w:rPr>
        <w:t>su</w:t>
      </w:r>
      <w:r>
        <w:rPr/>
        <w:t> </w:t>
      </w:r>
      <w:r>
        <w:rPr>
          <w:spacing w:val="-7"/>
        </w:rPr>
        <w:t> </w:t>
      </w:r>
      <w:r>
        <w:rPr>
          <w:w w:val="109"/>
        </w:rPr>
        <w:t>empeño </w:t>
      </w:r>
      <w:r>
        <w:rPr>
          <w:w w:val="115"/>
        </w:rPr>
        <w:t>por retrotraer la situación regional. </w:t>
      </w:r>
      <w:r>
        <w:rPr>
          <w:spacing w:val="-5"/>
          <w:w w:val="115"/>
        </w:rPr>
        <w:t>todo </w:t>
      </w:r>
      <w:r>
        <w:rPr>
          <w:w w:val="115"/>
        </w:rPr>
        <w:t>indica que su objetivo de reinstaurar</w:t>
      </w:r>
      <w:r>
        <w:rPr>
          <w:spacing w:val="-7"/>
          <w:w w:val="115"/>
        </w:rPr>
        <w:t> </w:t>
      </w:r>
      <w:r>
        <w:rPr>
          <w:w w:val="115"/>
        </w:rPr>
        <w:t>el</w:t>
      </w:r>
      <w:r>
        <w:rPr>
          <w:spacing w:val="-7"/>
          <w:w w:val="115"/>
        </w:rPr>
        <w:t> </w:t>
      </w:r>
      <w:r>
        <w:rPr>
          <w:w w:val="115"/>
        </w:rPr>
        <w:t>capitalismo</w:t>
      </w:r>
      <w:r>
        <w:rPr>
          <w:spacing w:val="-7"/>
          <w:w w:val="115"/>
        </w:rPr>
        <w:t> </w:t>
      </w:r>
      <w:r>
        <w:rPr>
          <w:w w:val="115"/>
        </w:rPr>
        <w:t>y</w:t>
      </w:r>
      <w:r>
        <w:rPr>
          <w:spacing w:val="-7"/>
          <w:w w:val="115"/>
        </w:rPr>
        <w:t> </w:t>
      </w:r>
      <w:r>
        <w:rPr>
          <w:w w:val="115"/>
        </w:rPr>
        <w:t>propiciar</w:t>
      </w:r>
      <w:r>
        <w:rPr>
          <w:spacing w:val="-7"/>
          <w:w w:val="115"/>
        </w:rPr>
        <w:t> </w:t>
      </w:r>
      <w:r>
        <w:rPr>
          <w:w w:val="115"/>
        </w:rPr>
        <w:t>el</w:t>
      </w:r>
      <w:r>
        <w:rPr>
          <w:spacing w:val="-7"/>
          <w:w w:val="115"/>
        </w:rPr>
        <w:t> </w:t>
      </w:r>
      <w:r>
        <w:rPr>
          <w:w w:val="115"/>
        </w:rPr>
        <w:t>apetito</w:t>
      </w:r>
      <w:r>
        <w:rPr>
          <w:spacing w:val="-7"/>
          <w:w w:val="115"/>
        </w:rPr>
        <w:t> </w:t>
      </w:r>
      <w:r>
        <w:rPr>
          <w:w w:val="115"/>
        </w:rPr>
        <w:t>por</w:t>
      </w:r>
      <w:r>
        <w:rPr>
          <w:spacing w:val="-7"/>
          <w:w w:val="115"/>
        </w:rPr>
        <w:t> </w:t>
      </w:r>
      <w:r>
        <w:rPr>
          <w:w w:val="115"/>
        </w:rPr>
        <w:t>una</w:t>
      </w:r>
      <w:r>
        <w:rPr>
          <w:spacing w:val="-7"/>
          <w:w w:val="115"/>
        </w:rPr>
        <w:t> </w:t>
      </w:r>
      <w:r>
        <w:rPr>
          <w:w w:val="115"/>
        </w:rPr>
        <w:t>democracia liberal al margen incluso de la opinión de la ciudadanía cubana</w:t>
      </w:r>
      <w:r>
        <w:rPr>
          <w:spacing w:val="-25"/>
          <w:w w:val="115"/>
        </w:rPr>
        <w:t> </w:t>
      </w:r>
      <w:r>
        <w:rPr>
          <w:spacing w:val="-4"/>
          <w:w w:val="115"/>
        </w:rPr>
        <w:t>per- </w:t>
      </w:r>
      <w:r>
        <w:rPr>
          <w:w w:val="115"/>
        </w:rPr>
        <w:t>manece</w:t>
      </w:r>
      <w:r>
        <w:rPr>
          <w:spacing w:val="-9"/>
          <w:w w:val="115"/>
        </w:rPr>
        <w:t> </w:t>
      </w:r>
      <w:r>
        <w:rPr>
          <w:w w:val="115"/>
        </w:rPr>
        <w:t>constante.</w:t>
      </w:r>
      <w:r>
        <w:rPr>
          <w:spacing w:val="-9"/>
          <w:w w:val="115"/>
        </w:rPr>
        <w:t> </w:t>
      </w:r>
      <w:r>
        <w:rPr>
          <w:w w:val="115"/>
        </w:rPr>
        <w:t>El</w:t>
      </w:r>
      <w:r>
        <w:rPr>
          <w:spacing w:val="-9"/>
          <w:w w:val="115"/>
        </w:rPr>
        <w:t> </w:t>
      </w:r>
      <w:r>
        <w:rPr>
          <w:w w:val="115"/>
        </w:rPr>
        <w:t>impulso</w:t>
      </w:r>
      <w:r>
        <w:rPr>
          <w:spacing w:val="-9"/>
          <w:w w:val="115"/>
        </w:rPr>
        <w:t> </w:t>
      </w:r>
      <w:r>
        <w:rPr>
          <w:w w:val="115"/>
        </w:rPr>
        <w:t>de</w:t>
      </w:r>
      <w:r>
        <w:rPr>
          <w:spacing w:val="-9"/>
          <w:w w:val="115"/>
        </w:rPr>
        <w:t> </w:t>
      </w:r>
      <w:r>
        <w:rPr>
          <w:w w:val="115"/>
        </w:rPr>
        <w:t>su</w:t>
      </w:r>
      <w:r>
        <w:rPr>
          <w:spacing w:val="-9"/>
          <w:w w:val="115"/>
        </w:rPr>
        <w:t> </w:t>
      </w:r>
      <w:r>
        <w:rPr>
          <w:w w:val="115"/>
        </w:rPr>
        <w:t>forma</w:t>
      </w:r>
      <w:r>
        <w:rPr>
          <w:spacing w:val="-9"/>
          <w:w w:val="115"/>
        </w:rPr>
        <w:t> </w:t>
      </w:r>
      <w:r>
        <w:rPr>
          <w:w w:val="115"/>
        </w:rPr>
        <w:t>histórica</w:t>
      </w:r>
      <w:r>
        <w:rPr>
          <w:spacing w:val="-9"/>
          <w:w w:val="115"/>
        </w:rPr>
        <w:t> </w:t>
      </w:r>
      <w:r>
        <w:rPr>
          <w:w w:val="115"/>
        </w:rPr>
        <w:t>de</w:t>
      </w:r>
      <w:r>
        <w:rPr>
          <w:spacing w:val="-9"/>
          <w:w w:val="115"/>
        </w:rPr>
        <w:t> </w:t>
      </w:r>
      <w:r>
        <w:rPr>
          <w:w w:val="115"/>
        </w:rPr>
        <w:t>apreciar</w:t>
      </w:r>
      <w:r>
        <w:rPr>
          <w:spacing w:val="-9"/>
          <w:w w:val="115"/>
        </w:rPr>
        <w:t> </w:t>
      </w:r>
      <w:r>
        <w:rPr>
          <w:w w:val="115"/>
        </w:rPr>
        <w:t>la</w:t>
      </w:r>
      <w:r>
        <w:rPr>
          <w:spacing w:val="-9"/>
          <w:w w:val="115"/>
        </w:rPr>
        <w:t> </w:t>
      </w:r>
      <w:r>
        <w:rPr>
          <w:w w:val="115"/>
        </w:rPr>
        <w:t>li- bertad,</w:t>
      </w:r>
      <w:r>
        <w:rPr>
          <w:spacing w:val="-21"/>
          <w:w w:val="115"/>
        </w:rPr>
        <w:t> </w:t>
      </w:r>
      <w:r>
        <w:rPr>
          <w:w w:val="115"/>
        </w:rPr>
        <w:t>el</w:t>
      </w:r>
      <w:r>
        <w:rPr>
          <w:spacing w:val="-21"/>
          <w:w w:val="115"/>
        </w:rPr>
        <w:t> </w:t>
      </w:r>
      <w:r>
        <w:rPr>
          <w:w w:val="115"/>
        </w:rPr>
        <w:t>libre</w:t>
      </w:r>
      <w:r>
        <w:rPr>
          <w:spacing w:val="-21"/>
          <w:w w:val="115"/>
        </w:rPr>
        <w:t> </w:t>
      </w:r>
      <w:r>
        <w:rPr>
          <w:w w:val="115"/>
        </w:rPr>
        <w:t>mercado</w:t>
      </w:r>
      <w:r>
        <w:rPr>
          <w:spacing w:val="-21"/>
          <w:w w:val="115"/>
        </w:rPr>
        <w:t> </w:t>
      </w:r>
      <w:r>
        <w:rPr>
          <w:w w:val="115"/>
        </w:rPr>
        <w:t>y</w:t>
      </w:r>
      <w:r>
        <w:rPr>
          <w:spacing w:val="-21"/>
          <w:w w:val="115"/>
        </w:rPr>
        <w:t> </w:t>
      </w:r>
      <w:r>
        <w:rPr>
          <w:w w:val="115"/>
        </w:rPr>
        <w:t>la</w:t>
      </w:r>
      <w:r>
        <w:rPr>
          <w:spacing w:val="-21"/>
          <w:w w:val="115"/>
        </w:rPr>
        <w:t> </w:t>
      </w:r>
      <w:r>
        <w:rPr>
          <w:w w:val="115"/>
        </w:rPr>
        <w:t>democracia</w:t>
      </w:r>
      <w:r>
        <w:rPr>
          <w:spacing w:val="-21"/>
          <w:w w:val="115"/>
        </w:rPr>
        <w:t> </w:t>
      </w:r>
      <w:r>
        <w:rPr>
          <w:w w:val="115"/>
        </w:rPr>
        <w:t>son</w:t>
      </w:r>
      <w:r>
        <w:rPr>
          <w:spacing w:val="-21"/>
          <w:w w:val="115"/>
        </w:rPr>
        <w:t> </w:t>
      </w:r>
      <w:r>
        <w:rPr>
          <w:w w:val="115"/>
        </w:rPr>
        <w:t>recursos</w:t>
      </w:r>
      <w:r>
        <w:rPr>
          <w:spacing w:val="-21"/>
          <w:w w:val="115"/>
        </w:rPr>
        <w:t> </w:t>
      </w:r>
      <w:r>
        <w:rPr>
          <w:w w:val="115"/>
        </w:rPr>
        <w:t>que</w:t>
      </w:r>
      <w:r>
        <w:rPr>
          <w:spacing w:val="-21"/>
          <w:w w:val="115"/>
        </w:rPr>
        <w:t> </w:t>
      </w:r>
      <w:r>
        <w:rPr>
          <w:w w:val="115"/>
        </w:rPr>
        <w:t>gravitan</w:t>
      </w:r>
      <w:r>
        <w:rPr>
          <w:spacing w:val="-21"/>
          <w:w w:val="115"/>
        </w:rPr>
        <w:t> </w:t>
      </w:r>
      <w:r>
        <w:rPr>
          <w:w w:val="115"/>
        </w:rPr>
        <w:t>en su</w:t>
      </w:r>
      <w:r>
        <w:rPr>
          <w:spacing w:val="-7"/>
          <w:w w:val="115"/>
        </w:rPr>
        <w:t> </w:t>
      </w:r>
      <w:r>
        <w:rPr>
          <w:w w:val="115"/>
        </w:rPr>
        <w:t>proyecto</w:t>
      </w:r>
      <w:r>
        <w:rPr>
          <w:spacing w:val="-7"/>
          <w:w w:val="115"/>
        </w:rPr>
        <w:t> </w:t>
      </w:r>
      <w:r>
        <w:rPr>
          <w:w w:val="115"/>
        </w:rPr>
        <w:t>hegemónico.</w:t>
      </w:r>
      <w:r>
        <w:rPr>
          <w:spacing w:val="-7"/>
          <w:w w:val="115"/>
        </w:rPr>
        <w:t> </w:t>
      </w:r>
      <w:r>
        <w:rPr>
          <w:w w:val="115"/>
        </w:rPr>
        <w:t>No</w:t>
      </w:r>
      <w:r>
        <w:rPr>
          <w:spacing w:val="-7"/>
          <w:w w:val="115"/>
        </w:rPr>
        <w:t> </w:t>
      </w:r>
      <w:r>
        <w:rPr>
          <w:w w:val="115"/>
        </w:rPr>
        <w:t>resulta</w:t>
      </w:r>
      <w:r>
        <w:rPr>
          <w:spacing w:val="-7"/>
          <w:w w:val="115"/>
        </w:rPr>
        <w:t> </w:t>
      </w:r>
      <w:r>
        <w:rPr>
          <w:w w:val="115"/>
        </w:rPr>
        <w:t>descabellado,</w:t>
      </w:r>
      <w:r>
        <w:rPr>
          <w:spacing w:val="-7"/>
          <w:w w:val="115"/>
        </w:rPr>
        <w:t> </w:t>
      </w:r>
      <w:r>
        <w:rPr>
          <w:w w:val="115"/>
        </w:rPr>
        <w:t>por</w:t>
      </w:r>
      <w:r>
        <w:rPr>
          <w:spacing w:val="-7"/>
          <w:w w:val="115"/>
        </w:rPr>
        <w:t> </w:t>
      </w:r>
      <w:r>
        <w:rPr>
          <w:w w:val="115"/>
        </w:rPr>
        <w:t>tanto,</w:t>
      </w:r>
      <w:r>
        <w:rPr>
          <w:spacing w:val="-7"/>
          <w:w w:val="115"/>
        </w:rPr>
        <w:t> </w:t>
      </w:r>
      <w:r>
        <w:rPr>
          <w:w w:val="115"/>
        </w:rPr>
        <w:t>pensar que</w:t>
      </w:r>
      <w:r>
        <w:rPr>
          <w:spacing w:val="-17"/>
          <w:w w:val="115"/>
        </w:rPr>
        <w:t> </w:t>
      </w:r>
      <w:r>
        <w:rPr>
          <w:w w:val="115"/>
        </w:rPr>
        <w:t>el</w:t>
      </w:r>
      <w:r>
        <w:rPr>
          <w:spacing w:val="-17"/>
          <w:w w:val="115"/>
        </w:rPr>
        <w:t> </w:t>
      </w:r>
      <w:r>
        <w:rPr>
          <w:w w:val="115"/>
        </w:rPr>
        <w:t>debilitamiento</w:t>
      </w:r>
      <w:r>
        <w:rPr>
          <w:spacing w:val="-17"/>
          <w:w w:val="115"/>
        </w:rPr>
        <w:t> </w:t>
      </w:r>
      <w:r>
        <w:rPr>
          <w:w w:val="115"/>
        </w:rPr>
        <w:t>de</w:t>
      </w:r>
      <w:r>
        <w:rPr>
          <w:spacing w:val="-17"/>
          <w:w w:val="115"/>
        </w:rPr>
        <w:t> </w:t>
      </w:r>
      <w:r>
        <w:rPr>
          <w:w w:val="115"/>
        </w:rPr>
        <w:t>los</w:t>
      </w:r>
      <w:r>
        <w:rPr>
          <w:spacing w:val="-17"/>
          <w:w w:val="115"/>
        </w:rPr>
        <w:t> </w:t>
      </w:r>
      <w:r>
        <w:rPr>
          <w:w w:val="115"/>
        </w:rPr>
        <w:t>nexos</w:t>
      </w:r>
      <w:r>
        <w:rPr>
          <w:spacing w:val="-17"/>
          <w:w w:val="115"/>
        </w:rPr>
        <w:t> </w:t>
      </w:r>
      <w:r>
        <w:rPr>
          <w:w w:val="115"/>
        </w:rPr>
        <w:t>y</w:t>
      </w:r>
      <w:r>
        <w:rPr>
          <w:spacing w:val="-17"/>
          <w:w w:val="115"/>
        </w:rPr>
        <w:t> </w:t>
      </w:r>
      <w:r>
        <w:rPr>
          <w:w w:val="115"/>
        </w:rPr>
        <w:t>los</w:t>
      </w:r>
      <w:r>
        <w:rPr>
          <w:spacing w:val="-17"/>
          <w:w w:val="115"/>
        </w:rPr>
        <w:t> </w:t>
      </w:r>
      <w:r>
        <w:rPr>
          <w:w w:val="115"/>
        </w:rPr>
        <w:t>entendimientos</w:t>
      </w:r>
      <w:r>
        <w:rPr>
          <w:spacing w:val="-17"/>
          <w:w w:val="115"/>
        </w:rPr>
        <w:t> </w:t>
      </w:r>
      <w:r>
        <w:rPr>
          <w:w w:val="115"/>
        </w:rPr>
        <w:t>entre</w:t>
      </w:r>
      <w:r>
        <w:rPr>
          <w:spacing w:val="-17"/>
          <w:w w:val="115"/>
        </w:rPr>
        <w:t> </w:t>
      </w:r>
      <w:r>
        <w:rPr>
          <w:spacing w:val="-3"/>
          <w:w w:val="115"/>
        </w:rPr>
        <w:t>gobier- </w:t>
      </w:r>
      <w:r>
        <w:rPr>
          <w:w w:val="115"/>
        </w:rPr>
        <w:t>nos</w:t>
      </w:r>
      <w:r>
        <w:rPr>
          <w:spacing w:val="-19"/>
          <w:w w:val="115"/>
        </w:rPr>
        <w:t> </w:t>
      </w:r>
      <w:r>
        <w:rPr>
          <w:w w:val="115"/>
        </w:rPr>
        <w:t>y</w:t>
      </w:r>
      <w:r>
        <w:rPr>
          <w:spacing w:val="-19"/>
          <w:w w:val="115"/>
        </w:rPr>
        <w:t> </w:t>
      </w:r>
      <w:r>
        <w:rPr>
          <w:w w:val="115"/>
        </w:rPr>
        <w:t>fuerzas</w:t>
      </w:r>
      <w:r>
        <w:rPr>
          <w:spacing w:val="-19"/>
          <w:w w:val="115"/>
        </w:rPr>
        <w:t> </w:t>
      </w:r>
      <w:r>
        <w:rPr>
          <w:w w:val="115"/>
        </w:rPr>
        <w:t>políticas</w:t>
      </w:r>
      <w:r>
        <w:rPr>
          <w:spacing w:val="-19"/>
          <w:w w:val="115"/>
        </w:rPr>
        <w:t> </w:t>
      </w:r>
      <w:r>
        <w:rPr>
          <w:w w:val="115"/>
        </w:rPr>
        <w:t>que</w:t>
      </w:r>
      <w:r>
        <w:rPr>
          <w:spacing w:val="-19"/>
          <w:w w:val="115"/>
        </w:rPr>
        <w:t> </w:t>
      </w:r>
      <w:r>
        <w:rPr>
          <w:w w:val="115"/>
        </w:rPr>
        <w:t>dibujan</w:t>
      </w:r>
      <w:r>
        <w:rPr>
          <w:spacing w:val="-19"/>
          <w:w w:val="115"/>
        </w:rPr>
        <w:t> </w:t>
      </w:r>
      <w:r>
        <w:rPr>
          <w:w w:val="115"/>
        </w:rPr>
        <w:t>abigarradamente</w:t>
      </w:r>
      <w:r>
        <w:rPr>
          <w:spacing w:val="-19"/>
          <w:w w:val="115"/>
        </w:rPr>
        <w:t> </w:t>
      </w:r>
      <w:r>
        <w:rPr>
          <w:w w:val="115"/>
        </w:rPr>
        <w:t>el</w:t>
      </w:r>
      <w:r>
        <w:rPr>
          <w:spacing w:val="-19"/>
          <w:w w:val="115"/>
        </w:rPr>
        <w:t> </w:t>
      </w:r>
      <w:r>
        <w:rPr>
          <w:w w:val="115"/>
        </w:rPr>
        <w:t>mapa</w:t>
      </w:r>
      <w:r>
        <w:rPr>
          <w:spacing w:val="-19"/>
          <w:w w:val="115"/>
        </w:rPr>
        <w:t> </w:t>
      </w:r>
      <w:r>
        <w:rPr>
          <w:w w:val="115"/>
        </w:rPr>
        <w:t>político regional</w:t>
      </w:r>
      <w:r>
        <w:rPr>
          <w:spacing w:val="-30"/>
          <w:w w:val="115"/>
        </w:rPr>
        <w:t> </w:t>
      </w:r>
      <w:r>
        <w:rPr>
          <w:w w:val="115"/>
        </w:rPr>
        <w:t>constituye,</w:t>
      </w:r>
      <w:r>
        <w:rPr>
          <w:spacing w:val="-30"/>
          <w:w w:val="115"/>
        </w:rPr>
        <w:t> </w:t>
      </w:r>
      <w:r>
        <w:rPr>
          <w:w w:val="115"/>
        </w:rPr>
        <w:t>a</w:t>
      </w:r>
      <w:r>
        <w:rPr>
          <w:spacing w:val="-30"/>
          <w:w w:val="115"/>
        </w:rPr>
        <w:t> </w:t>
      </w:r>
      <w:r>
        <w:rPr>
          <w:w w:val="115"/>
        </w:rPr>
        <w:t>no</w:t>
      </w:r>
      <w:r>
        <w:rPr>
          <w:spacing w:val="-30"/>
          <w:w w:val="115"/>
        </w:rPr>
        <w:t> </w:t>
      </w:r>
      <w:r>
        <w:rPr>
          <w:w w:val="115"/>
        </w:rPr>
        <w:t>dudarlo,</w:t>
      </w:r>
      <w:r>
        <w:rPr>
          <w:spacing w:val="-30"/>
          <w:w w:val="115"/>
        </w:rPr>
        <w:t> </w:t>
      </w:r>
      <w:r>
        <w:rPr>
          <w:w w:val="115"/>
        </w:rPr>
        <w:t>uno</w:t>
      </w:r>
      <w:r>
        <w:rPr>
          <w:spacing w:val="-30"/>
          <w:w w:val="115"/>
        </w:rPr>
        <w:t> </w:t>
      </w:r>
      <w:r>
        <w:rPr>
          <w:w w:val="115"/>
        </w:rPr>
        <w:t>de</w:t>
      </w:r>
      <w:r>
        <w:rPr>
          <w:spacing w:val="-30"/>
          <w:w w:val="115"/>
        </w:rPr>
        <w:t> </w:t>
      </w:r>
      <w:r>
        <w:rPr>
          <w:w w:val="115"/>
        </w:rPr>
        <w:t>los</w:t>
      </w:r>
      <w:r>
        <w:rPr>
          <w:spacing w:val="-30"/>
          <w:w w:val="115"/>
        </w:rPr>
        <w:t> </w:t>
      </w:r>
      <w:r>
        <w:rPr>
          <w:w w:val="115"/>
        </w:rPr>
        <w:t>propósitos</w:t>
      </w:r>
      <w:r>
        <w:rPr>
          <w:spacing w:val="-30"/>
          <w:w w:val="115"/>
        </w:rPr>
        <w:t> </w:t>
      </w:r>
      <w:r>
        <w:rPr>
          <w:w w:val="115"/>
        </w:rPr>
        <w:t>centrales</w:t>
      </w:r>
      <w:r>
        <w:rPr>
          <w:spacing w:val="-30"/>
          <w:w w:val="115"/>
        </w:rPr>
        <w:t> </w:t>
      </w:r>
      <w:r>
        <w:rPr>
          <w:w w:val="115"/>
        </w:rPr>
        <w:t>para la</w:t>
      </w:r>
      <w:r>
        <w:rPr>
          <w:spacing w:val="-29"/>
          <w:w w:val="115"/>
        </w:rPr>
        <w:t> </w:t>
      </w:r>
      <w:r>
        <w:rPr>
          <w:w w:val="115"/>
        </w:rPr>
        <w:t>recomposición</w:t>
      </w:r>
      <w:r>
        <w:rPr>
          <w:spacing w:val="-29"/>
          <w:w w:val="115"/>
        </w:rPr>
        <w:t> </w:t>
      </w:r>
      <w:r>
        <w:rPr>
          <w:w w:val="115"/>
        </w:rPr>
        <w:t>de</w:t>
      </w:r>
      <w:r>
        <w:rPr>
          <w:spacing w:val="-29"/>
          <w:w w:val="115"/>
        </w:rPr>
        <w:t> </w:t>
      </w:r>
      <w:r>
        <w:rPr>
          <w:w w:val="115"/>
        </w:rPr>
        <w:t>su</w:t>
      </w:r>
      <w:r>
        <w:rPr>
          <w:spacing w:val="-29"/>
          <w:w w:val="115"/>
        </w:rPr>
        <w:t> </w:t>
      </w:r>
      <w:r>
        <w:rPr>
          <w:w w:val="115"/>
        </w:rPr>
        <w:t>deteriorada</w:t>
      </w:r>
      <w:r>
        <w:rPr>
          <w:spacing w:val="-29"/>
          <w:w w:val="115"/>
        </w:rPr>
        <w:t> </w:t>
      </w:r>
      <w:r>
        <w:rPr>
          <w:w w:val="115"/>
        </w:rPr>
        <w:t>hegemonía.</w:t>
      </w:r>
    </w:p>
    <w:p>
      <w:pPr>
        <w:pStyle w:val="BodyText"/>
        <w:spacing w:before="5"/>
      </w:pPr>
    </w:p>
    <w:p>
      <w:pPr>
        <w:pStyle w:val="Heading6"/>
        <w:ind w:left="331" w:right="321"/>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spacing w:before="10"/>
        <w:ind w:left="330" w:right="321" w:firstLine="0"/>
        <w:jc w:val="left"/>
        <w:rPr>
          <w:sz w:val="19"/>
        </w:rPr>
      </w:pPr>
      <w:r>
        <w:rPr>
          <w:w w:val="115"/>
          <w:sz w:val="19"/>
        </w:rPr>
        <w:t>arrighi, Giovanni 1999 </w:t>
      </w:r>
      <w:r>
        <w:rPr>
          <w:i/>
          <w:w w:val="115"/>
          <w:sz w:val="19"/>
        </w:rPr>
        <w:t>El largo siglo XX </w:t>
      </w:r>
      <w:r>
        <w:rPr>
          <w:w w:val="115"/>
          <w:sz w:val="19"/>
        </w:rPr>
        <w:t>(Madrid: akal).</w:t>
      </w:r>
    </w:p>
    <w:p>
      <w:pPr>
        <w:spacing w:line="252" w:lineRule="auto" w:before="39"/>
        <w:ind w:left="727" w:right="388" w:hanging="397"/>
        <w:jc w:val="left"/>
        <w:rPr>
          <w:sz w:val="19"/>
        </w:rPr>
      </w:pPr>
      <w:r>
        <w:rPr>
          <w:w w:val="115"/>
          <w:sz w:val="19"/>
        </w:rPr>
        <w:t>bush,</w:t>
      </w:r>
      <w:r>
        <w:rPr>
          <w:spacing w:val="-26"/>
          <w:w w:val="115"/>
          <w:sz w:val="19"/>
        </w:rPr>
        <w:t> </w:t>
      </w:r>
      <w:r>
        <w:rPr>
          <w:w w:val="115"/>
          <w:sz w:val="19"/>
        </w:rPr>
        <w:t>George</w:t>
      </w:r>
      <w:r>
        <w:rPr>
          <w:spacing w:val="-26"/>
          <w:w w:val="115"/>
          <w:sz w:val="19"/>
        </w:rPr>
        <w:t> </w:t>
      </w:r>
      <w:r>
        <w:rPr>
          <w:spacing w:val="-11"/>
          <w:w w:val="115"/>
          <w:sz w:val="19"/>
        </w:rPr>
        <w:t>W.</w:t>
      </w:r>
      <w:r>
        <w:rPr>
          <w:spacing w:val="-26"/>
          <w:w w:val="115"/>
          <w:sz w:val="19"/>
        </w:rPr>
        <w:t> </w:t>
      </w:r>
      <w:r>
        <w:rPr>
          <w:w w:val="115"/>
          <w:sz w:val="19"/>
        </w:rPr>
        <w:t>2002</w:t>
      </w:r>
      <w:r>
        <w:rPr>
          <w:spacing w:val="-26"/>
          <w:w w:val="115"/>
          <w:sz w:val="19"/>
        </w:rPr>
        <w:t> </w:t>
      </w:r>
      <w:r>
        <w:rPr>
          <w:i/>
          <w:w w:val="115"/>
          <w:sz w:val="19"/>
        </w:rPr>
        <w:t>The</w:t>
      </w:r>
      <w:r>
        <w:rPr>
          <w:i/>
          <w:spacing w:val="-26"/>
          <w:w w:val="115"/>
          <w:sz w:val="19"/>
        </w:rPr>
        <w:t> </w:t>
      </w:r>
      <w:r>
        <w:rPr>
          <w:i/>
          <w:w w:val="115"/>
          <w:sz w:val="19"/>
        </w:rPr>
        <w:t>National</w:t>
      </w:r>
      <w:r>
        <w:rPr>
          <w:i/>
          <w:spacing w:val="-26"/>
          <w:w w:val="115"/>
          <w:sz w:val="19"/>
        </w:rPr>
        <w:t> </w:t>
      </w:r>
      <w:r>
        <w:rPr>
          <w:i/>
          <w:w w:val="115"/>
          <w:sz w:val="19"/>
        </w:rPr>
        <w:t>Security</w:t>
      </w:r>
      <w:r>
        <w:rPr>
          <w:i/>
          <w:spacing w:val="-26"/>
          <w:w w:val="115"/>
          <w:sz w:val="19"/>
        </w:rPr>
        <w:t> </w:t>
      </w:r>
      <w:r>
        <w:rPr>
          <w:i/>
          <w:w w:val="115"/>
          <w:sz w:val="19"/>
        </w:rPr>
        <w:t>Strategy</w:t>
      </w:r>
      <w:r>
        <w:rPr>
          <w:i/>
          <w:spacing w:val="-26"/>
          <w:w w:val="115"/>
          <w:sz w:val="19"/>
        </w:rPr>
        <w:t> </w:t>
      </w:r>
      <w:r>
        <w:rPr>
          <w:w w:val="115"/>
          <w:sz w:val="19"/>
        </w:rPr>
        <w:t>(Washington, d.C.: the White </w:t>
      </w:r>
      <w:r>
        <w:rPr>
          <w:spacing w:val="20"/>
          <w:w w:val="115"/>
          <w:sz w:val="19"/>
        </w:rPr>
        <w:t> </w:t>
      </w:r>
      <w:r>
        <w:rPr>
          <w:w w:val="115"/>
          <w:sz w:val="19"/>
        </w:rPr>
        <w:t>House).</w:t>
      </w:r>
    </w:p>
    <w:p>
      <w:pPr>
        <w:spacing w:line="252" w:lineRule="auto" w:before="28"/>
        <w:ind w:left="727" w:right="388" w:hanging="397"/>
        <w:jc w:val="left"/>
        <w:rPr>
          <w:sz w:val="19"/>
        </w:rPr>
      </w:pPr>
      <w:r>
        <w:rPr>
          <w:w w:val="115"/>
          <w:sz w:val="19"/>
        </w:rPr>
        <w:t>bush,</w:t>
      </w:r>
      <w:r>
        <w:rPr>
          <w:spacing w:val="-26"/>
          <w:w w:val="115"/>
          <w:sz w:val="19"/>
        </w:rPr>
        <w:t> </w:t>
      </w:r>
      <w:r>
        <w:rPr>
          <w:w w:val="115"/>
          <w:sz w:val="19"/>
        </w:rPr>
        <w:t>George</w:t>
      </w:r>
      <w:r>
        <w:rPr>
          <w:spacing w:val="-26"/>
          <w:w w:val="115"/>
          <w:sz w:val="19"/>
        </w:rPr>
        <w:t> </w:t>
      </w:r>
      <w:r>
        <w:rPr>
          <w:spacing w:val="-11"/>
          <w:w w:val="115"/>
          <w:sz w:val="19"/>
        </w:rPr>
        <w:t>W.</w:t>
      </w:r>
      <w:r>
        <w:rPr>
          <w:spacing w:val="-26"/>
          <w:w w:val="115"/>
          <w:sz w:val="19"/>
        </w:rPr>
        <w:t> </w:t>
      </w:r>
      <w:r>
        <w:rPr>
          <w:w w:val="115"/>
          <w:sz w:val="19"/>
        </w:rPr>
        <w:t>2006</w:t>
      </w:r>
      <w:r>
        <w:rPr>
          <w:spacing w:val="-26"/>
          <w:w w:val="115"/>
          <w:sz w:val="19"/>
        </w:rPr>
        <w:t> </w:t>
      </w:r>
      <w:r>
        <w:rPr>
          <w:i/>
          <w:w w:val="115"/>
          <w:sz w:val="19"/>
        </w:rPr>
        <w:t>The</w:t>
      </w:r>
      <w:r>
        <w:rPr>
          <w:i/>
          <w:spacing w:val="-26"/>
          <w:w w:val="115"/>
          <w:sz w:val="19"/>
        </w:rPr>
        <w:t> </w:t>
      </w:r>
      <w:r>
        <w:rPr>
          <w:i/>
          <w:w w:val="115"/>
          <w:sz w:val="19"/>
        </w:rPr>
        <w:t>National</w:t>
      </w:r>
      <w:r>
        <w:rPr>
          <w:i/>
          <w:spacing w:val="-26"/>
          <w:w w:val="115"/>
          <w:sz w:val="19"/>
        </w:rPr>
        <w:t> </w:t>
      </w:r>
      <w:r>
        <w:rPr>
          <w:i/>
          <w:w w:val="115"/>
          <w:sz w:val="19"/>
        </w:rPr>
        <w:t>Security</w:t>
      </w:r>
      <w:r>
        <w:rPr>
          <w:i/>
          <w:spacing w:val="-26"/>
          <w:w w:val="115"/>
          <w:sz w:val="19"/>
        </w:rPr>
        <w:t> </w:t>
      </w:r>
      <w:r>
        <w:rPr>
          <w:i/>
          <w:w w:val="115"/>
          <w:sz w:val="19"/>
        </w:rPr>
        <w:t>Strategy</w:t>
      </w:r>
      <w:r>
        <w:rPr>
          <w:i/>
          <w:spacing w:val="-26"/>
          <w:w w:val="115"/>
          <w:sz w:val="19"/>
        </w:rPr>
        <w:t> </w:t>
      </w:r>
      <w:r>
        <w:rPr>
          <w:w w:val="115"/>
          <w:sz w:val="19"/>
        </w:rPr>
        <w:t>(Washington, d.C.: the White </w:t>
      </w:r>
      <w:r>
        <w:rPr>
          <w:spacing w:val="20"/>
          <w:w w:val="115"/>
          <w:sz w:val="19"/>
        </w:rPr>
        <w:t> </w:t>
      </w:r>
      <w:r>
        <w:rPr>
          <w:w w:val="115"/>
          <w:sz w:val="19"/>
        </w:rPr>
        <w:t>House).</w:t>
      </w:r>
    </w:p>
    <w:p>
      <w:pPr>
        <w:spacing w:before="28"/>
        <w:ind w:left="330" w:right="41" w:firstLine="0"/>
        <w:jc w:val="left"/>
        <w:rPr>
          <w:i/>
          <w:sz w:val="19"/>
        </w:rPr>
      </w:pPr>
      <w:r>
        <w:rPr>
          <w:w w:val="114"/>
          <w:sz w:val="19"/>
        </w:rPr>
        <w:t>Calva,</w:t>
      </w:r>
      <w:r>
        <w:rPr>
          <w:spacing w:val="12"/>
          <w:sz w:val="19"/>
        </w:rPr>
        <w:t> </w:t>
      </w:r>
      <w:r>
        <w:rPr>
          <w:w w:val="115"/>
          <w:sz w:val="19"/>
        </w:rPr>
        <w:t>José</w:t>
      </w:r>
      <w:r>
        <w:rPr>
          <w:spacing w:val="12"/>
          <w:sz w:val="19"/>
        </w:rPr>
        <w:t> </w:t>
      </w:r>
      <w:r>
        <w:rPr>
          <w:w w:val="243"/>
          <w:sz w:val="19"/>
        </w:rPr>
        <w:t>l</w:t>
      </w:r>
      <w:r>
        <w:rPr>
          <w:w w:val="111"/>
          <w:sz w:val="19"/>
        </w:rPr>
        <w:t>uis</w:t>
      </w:r>
      <w:r>
        <w:rPr>
          <w:spacing w:val="12"/>
          <w:sz w:val="19"/>
        </w:rPr>
        <w:t> </w:t>
      </w:r>
      <w:r>
        <w:rPr>
          <w:w w:val="107"/>
          <w:sz w:val="19"/>
        </w:rPr>
        <w:t>(ed.)</w:t>
      </w:r>
      <w:r>
        <w:rPr>
          <w:spacing w:val="12"/>
          <w:sz w:val="19"/>
        </w:rPr>
        <w:t> </w:t>
      </w:r>
      <w:r>
        <w:rPr>
          <w:w w:val="102"/>
          <w:sz w:val="19"/>
        </w:rPr>
        <w:t>2012</w:t>
      </w:r>
      <w:r>
        <w:rPr>
          <w:spacing w:val="12"/>
          <w:sz w:val="19"/>
        </w:rPr>
        <w:t> </w:t>
      </w:r>
      <w:r>
        <w:rPr>
          <w:i/>
          <w:w w:val="116"/>
          <w:sz w:val="19"/>
        </w:rPr>
        <w:t>Crisis</w:t>
      </w:r>
      <w:r>
        <w:rPr>
          <w:i/>
          <w:spacing w:val="12"/>
          <w:sz w:val="19"/>
        </w:rPr>
        <w:t> </w:t>
      </w:r>
      <w:r>
        <w:rPr>
          <w:i/>
          <w:w w:val="113"/>
          <w:sz w:val="19"/>
        </w:rPr>
        <w:t>mundial</w:t>
      </w:r>
      <w:r>
        <w:rPr>
          <w:i/>
          <w:spacing w:val="12"/>
          <w:sz w:val="19"/>
        </w:rPr>
        <w:t> </w:t>
      </w:r>
      <w:r>
        <w:rPr>
          <w:i/>
          <w:w w:val="106"/>
          <w:sz w:val="19"/>
        </w:rPr>
        <w:t>y</w:t>
      </w:r>
      <w:r>
        <w:rPr>
          <w:i/>
          <w:spacing w:val="12"/>
          <w:sz w:val="19"/>
        </w:rPr>
        <w:t> </w:t>
      </w:r>
      <w:r>
        <w:rPr>
          <w:i/>
          <w:w w:val="111"/>
          <w:sz w:val="19"/>
        </w:rPr>
        <w:t>futuro</w:t>
      </w:r>
      <w:r>
        <w:rPr>
          <w:i/>
          <w:spacing w:val="12"/>
          <w:sz w:val="19"/>
        </w:rPr>
        <w:t> </w:t>
      </w:r>
      <w:r>
        <w:rPr>
          <w:i/>
          <w:w w:val="104"/>
          <w:sz w:val="19"/>
        </w:rPr>
        <w:t>de</w:t>
      </w:r>
      <w:r>
        <w:rPr>
          <w:i/>
          <w:spacing w:val="12"/>
          <w:sz w:val="19"/>
        </w:rPr>
        <w:t> </w:t>
      </w:r>
      <w:r>
        <w:rPr>
          <w:i/>
          <w:w w:val="105"/>
          <w:sz w:val="19"/>
        </w:rPr>
        <w:t>la</w:t>
      </w:r>
      <w:r>
        <w:rPr>
          <w:i/>
          <w:spacing w:val="12"/>
          <w:sz w:val="19"/>
        </w:rPr>
        <w:t> </w:t>
      </w:r>
      <w:r>
        <w:rPr>
          <w:i/>
          <w:w w:val="109"/>
          <w:sz w:val="19"/>
        </w:rPr>
        <w:t>globalización.</w:t>
      </w:r>
    </w:p>
    <w:p>
      <w:pPr>
        <w:spacing w:line="252" w:lineRule="auto" w:before="11"/>
        <w:ind w:left="727" w:right="506" w:firstLine="0"/>
        <w:jc w:val="left"/>
        <w:rPr>
          <w:sz w:val="19"/>
        </w:rPr>
      </w:pPr>
      <w:r>
        <w:rPr>
          <w:i/>
          <w:w w:val="110"/>
          <w:sz w:val="19"/>
        </w:rPr>
        <w:t>Análisis estratégico para el desarrollo</w:t>
      </w:r>
      <w:r>
        <w:rPr>
          <w:w w:val="110"/>
          <w:sz w:val="19"/>
        </w:rPr>
        <w:t>, Vol. 1 (México: Consejo Nacional  universitario/Juan  Pablos Editor).</w:t>
      </w:r>
    </w:p>
    <w:p>
      <w:pPr>
        <w:pStyle w:val="BodyText"/>
        <w:spacing w:before="28"/>
        <w:ind w:left="330" w:right="321"/>
      </w:pPr>
      <w:r>
        <w:rPr>
          <w:w w:val="110"/>
        </w:rPr>
        <w:t>Caputo, orlando 2010 “Crisis de la economía mundial:    aumento</w:t>
      </w:r>
    </w:p>
    <w:p>
      <w:pPr>
        <w:spacing w:after="0"/>
        <w:sectPr>
          <w:pgSz w:w="8790" w:h="12760"/>
          <w:pgMar w:header="697" w:footer="725" w:top="880" w:bottom="920" w:left="1200" w:right="900"/>
        </w:sectPr>
      </w:pPr>
    </w:p>
    <w:p>
      <w:pPr>
        <w:pStyle w:val="BodyText"/>
        <w:spacing w:before="9"/>
        <w:rPr>
          <w:sz w:val="28"/>
        </w:rPr>
      </w:pPr>
    </w:p>
    <w:p>
      <w:pPr>
        <w:spacing w:line="252" w:lineRule="auto" w:before="73"/>
        <w:ind w:left="497" w:right="392" w:firstLine="0"/>
        <w:jc w:val="left"/>
        <w:rPr>
          <w:sz w:val="19"/>
        </w:rPr>
      </w:pPr>
      <w:r>
        <w:rPr>
          <w:w w:val="120"/>
          <w:sz w:val="19"/>
        </w:rPr>
        <w:t>de las ganancias y disminución de salarios”, en Marco a. Gandásegui y dídimo Castillo Fernández </w:t>
      </w:r>
      <w:r>
        <w:rPr>
          <w:i/>
          <w:w w:val="120"/>
          <w:sz w:val="19"/>
        </w:rPr>
        <w:t>Estados Unidos. La </w:t>
      </w:r>
      <w:r>
        <w:rPr>
          <w:i/>
          <w:w w:val="115"/>
          <w:sz w:val="19"/>
        </w:rPr>
        <w:t>crisis</w:t>
      </w:r>
      <w:r>
        <w:rPr>
          <w:i/>
          <w:spacing w:val="-18"/>
          <w:w w:val="115"/>
          <w:sz w:val="19"/>
        </w:rPr>
        <w:t> </w:t>
      </w:r>
      <w:r>
        <w:rPr>
          <w:i/>
          <w:w w:val="115"/>
          <w:sz w:val="19"/>
        </w:rPr>
        <w:t>sistémica</w:t>
      </w:r>
      <w:r>
        <w:rPr>
          <w:i/>
          <w:spacing w:val="-18"/>
          <w:w w:val="115"/>
          <w:sz w:val="19"/>
        </w:rPr>
        <w:t> </w:t>
      </w:r>
      <w:r>
        <w:rPr>
          <w:i/>
          <w:w w:val="115"/>
          <w:sz w:val="19"/>
        </w:rPr>
        <w:t>y</w:t>
      </w:r>
      <w:r>
        <w:rPr>
          <w:i/>
          <w:spacing w:val="-18"/>
          <w:w w:val="115"/>
          <w:sz w:val="19"/>
        </w:rPr>
        <w:t> </w:t>
      </w:r>
      <w:r>
        <w:rPr>
          <w:i/>
          <w:w w:val="115"/>
          <w:sz w:val="19"/>
        </w:rPr>
        <w:t>las</w:t>
      </w:r>
      <w:r>
        <w:rPr>
          <w:i/>
          <w:spacing w:val="-18"/>
          <w:w w:val="115"/>
          <w:sz w:val="19"/>
        </w:rPr>
        <w:t> </w:t>
      </w:r>
      <w:r>
        <w:rPr>
          <w:i/>
          <w:w w:val="115"/>
          <w:sz w:val="19"/>
        </w:rPr>
        <w:t>nuevas</w:t>
      </w:r>
      <w:r>
        <w:rPr>
          <w:i/>
          <w:spacing w:val="-18"/>
          <w:w w:val="115"/>
          <w:sz w:val="19"/>
        </w:rPr>
        <w:t> </w:t>
      </w:r>
      <w:r>
        <w:rPr>
          <w:i/>
          <w:w w:val="115"/>
          <w:sz w:val="19"/>
        </w:rPr>
        <w:t>condiciones</w:t>
      </w:r>
      <w:r>
        <w:rPr>
          <w:i/>
          <w:spacing w:val="-18"/>
          <w:w w:val="115"/>
          <w:sz w:val="19"/>
        </w:rPr>
        <w:t> </w:t>
      </w:r>
      <w:r>
        <w:rPr>
          <w:i/>
          <w:w w:val="115"/>
          <w:sz w:val="19"/>
        </w:rPr>
        <w:t>de</w:t>
      </w:r>
      <w:r>
        <w:rPr>
          <w:i/>
          <w:spacing w:val="-18"/>
          <w:w w:val="115"/>
          <w:sz w:val="19"/>
        </w:rPr>
        <w:t> </w:t>
      </w:r>
      <w:r>
        <w:rPr>
          <w:i/>
          <w:w w:val="115"/>
          <w:sz w:val="19"/>
        </w:rPr>
        <w:t>legitimación</w:t>
      </w:r>
      <w:r>
        <w:rPr>
          <w:i/>
          <w:spacing w:val="-18"/>
          <w:w w:val="115"/>
          <w:sz w:val="19"/>
        </w:rPr>
        <w:t> </w:t>
      </w:r>
      <w:r>
        <w:rPr>
          <w:w w:val="115"/>
          <w:sz w:val="19"/>
        </w:rPr>
        <w:t>(México: </w:t>
      </w:r>
      <w:r>
        <w:rPr>
          <w:w w:val="124"/>
          <w:sz w:val="19"/>
        </w:rPr>
        <w:t>C</w:t>
      </w:r>
      <w:r>
        <w:rPr>
          <w:w w:val="176"/>
          <w:sz w:val="19"/>
        </w:rPr>
        <w:t>la</w:t>
      </w:r>
      <w:r>
        <w:rPr>
          <w:w w:val="124"/>
          <w:sz w:val="19"/>
        </w:rPr>
        <w:t>C</w:t>
      </w:r>
      <w:r>
        <w:rPr>
          <w:w w:val="149"/>
          <w:sz w:val="19"/>
        </w:rPr>
        <w:t>so</w:t>
      </w:r>
      <w:r>
        <w:rPr>
          <w:w w:val="57"/>
          <w:sz w:val="19"/>
        </w:rPr>
        <w:t>/</w:t>
      </w:r>
      <w:r>
        <w:rPr>
          <w:w w:val="149"/>
          <w:sz w:val="19"/>
        </w:rPr>
        <w:t>s</w:t>
      </w:r>
      <w:r>
        <w:rPr>
          <w:w w:val="111"/>
          <w:sz w:val="19"/>
        </w:rPr>
        <w:t>iglo</w:t>
      </w:r>
      <w:r>
        <w:rPr>
          <w:spacing w:val="12"/>
          <w:sz w:val="19"/>
        </w:rPr>
        <w:t> </w:t>
      </w:r>
      <w:r>
        <w:rPr>
          <w:w w:val="156"/>
          <w:sz w:val="19"/>
        </w:rPr>
        <w:t>xxi</w:t>
      </w:r>
      <w:r>
        <w:rPr>
          <w:spacing w:val="12"/>
          <w:sz w:val="19"/>
        </w:rPr>
        <w:t> </w:t>
      </w:r>
      <w:r>
        <w:rPr>
          <w:w w:val="111"/>
          <w:sz w:val="19"/>
        </w:rPr>
        <w:t>Editores).</w:t>
      </w:r>
    </w:p>
    <w:p>
      <w:pPr>
        <w:spacing w:line="252" w:lineRule="auto" w:before="28"/>
        <w:ind w:left="497" w:right="801" w:hanging="397"/>
        <w:jc w:val="left"/>
        <w:rPr>
          <w:sz w:val="19"/>
        </w:rPr>
      </w:pPr>
      <w:r>
        <w:rPr>
          <w:w w:val="115"/>
          <w:sz w:val="19"/>
        </w:rPr>
        <w:t>Castillo, dídimo y Marco a. Gandásegui (coords.) 2012 </w:t>
      </w:r>
      <w:r>
        <w:rPr>
          <w:i/>
          <w:w w:val="115"/>
          <w:sz w:val="19"/>
        </w:rPr>
        <w:t>Estados </w:t>
      </w:r>
      <w:r>
        <w:rPr>
          <w:i/>
          <w:w w:val="115"/>
          <w:sz w:val="19"/>
        </w:rPr>
        <w:t>Unidos: más allá de la crisis </w:t>
      </w:r>
      <w:r>
        <w:rPr>
          <w:w w:val="115"/>
          <w:sz w:val="19"/>
        </w:rPr>
        <w:t>(México: siglo </w:t>
      </w:r>
      <w:r>
        <w:rPr>
          <w:w w:val="130"/>
          <w:sz w:val="19"/>
        </w:rPr>
        <w:t>xxi </w:t>
      </w:r>
      <w:r>
        <w:rPr>
          <w:w w:val="115"/>
          <w:sz w:val="19"/>
        </w:rPr>
        <w:t>Editores).</w:t>
      </w:r>
    </w:p>
    <w:p>
      <w:pPr>
        <w:spacing w:line="283" w:lineRule="auto" w:before="28"/>
        <w:ind w:left="100" w:right="0" w:firstLine="0"/>
        <w:jc w:val="left"/>
        <w:rPr>
          <w:i/>
          <w:sz w:val="19"/>
        </w:rPr>
      </w:pPr>
      <w:r>
        <w:rPr>
          <w:spacing w:val="-5"/>
          <w:w w:val="115"/>
          <w:sz w:val="19"/>
        </w:rPr>
        <w:t>Chomsky,</w:t>
      </w:r>
      <w:r>
        <w:rPr>
          <w:spacing w:val="-27"/>
          <w:w w:val="115"/>
          <w:sz w:val="19"/>
        </w:rPr>
        <w:t> </w:t>
      </w:r>
      <w:r>
        <w:rPr>
          <w:w w:val="115"/>
          <w:sz w:val="19"/>
        </w:rPr>
        <w:t>Noam</w:t>
      </w:r>
      <w:r>
        <w:rPr>
          <w:spacing w:val="-27"/>
          <w:w w:val="115"/>
          <w:sz w:val="19"/>
        </w:rPr>
        <w:t> </w:t>
      </w:r>
      <w:r>
        <w:rPr>
          <w:w w:val="115"/>
          <w:sz w:val="19"/>
        </w:rPr>
        <w:t>2011</w:t>
      </w:r>
      <w:r>
        <w:rPr>
          <w:spacing w:val="-27"/>
          <w:w w:val="115"/>
          <w:sz w:val="19"/>
        </w:rPr>
        <w:t> </w:t>
      </w:r>
      <w:r>
        <w:rPr>
          <w:i/>
          <w:w w:val="115"/>
          <w:sz w:val="19"/>
        </w:rPr>
        <w:t>La</w:t>
      </w:r>
      <w:r>
        <w:rPr>
          <w:i/>
          <w:spacing w:val="-27"/>
          <w:w w:val="115"/>
          <w:sz w:val="19"/>
        </w:rPr>
        <w:t> </w:t>
      </w:r>
      <w:r>
        <w:rPr>
          <w:i/>
          <w:w w:val="115"/>
          <w:sz w:val="19"/>
        </w:rPr>
        <w:t>era</w:t>
      </w:r>
      <w:r>
        <w:rPr>
          <w:i/>
          <w:spacing w:val="-27"/>
          <w:w w:val="115"/>
          <w:sz w:val="19"/>
        </w:rPr>
        <w:t> </w:t>
      </w:r>
      <w:r>
        <w:rPr>
          <w:i/>
          <w:w w:val="115"/>
          <w:sz w:val="19"/>
        </w:rPr>
        <w:t>de</w:t>
      </w:r>
      <w:r>
        <w:rPr>
          <w:i/>
          <w:spacing w:val="-27"/>
          <w:w w:val="115"/>
          <w:sz w:val="19"/>
        </w:rPr>
        <w:t> </w:t>
      </w:r>
      <w:r>
        <w:rPr>
          <w:i/>
          <w:w w:val="115"/>
          <w:sz w:val="19"/>
        </w:rPr>
        <w:t>obama,</w:t>
      </w:r>
      <w:r>
        <w:rPr>
          <w:i/>
          <w:spacing w:val="-27"/>
          <w:w w:val="115"/>
          <w:sz w:val="19"/>
        </w:rPr>
        <w:t> </w:t>
      </w:r>
      <w:r>
        <w:rPr>
          <w:i/>
          <w:w w:val="115"/>
          <w:sz w:val="19"/>
        </w:rPr>
        <w:t>Pasado</w:t>
      </w:r>
      <w:r>
        <w:rPr>
          <w:i/>
          <w:spacing w:val="-27"/>
          <w:w w:val="115"/>
          <w:sz w:val="19"/>
        </w:rPr>
        <w:t> </w:t>
      </w:r>
      <w:r>
        <w:rPr>
          <w:i/>
          <w:w w:val="115"/>
          <w:sz w:val="19"/>
        </w:rPr>
        <w:t>y</w:t>
      </w:r>
      <w:r>
        <w:rPr>
          <w:i/>
          <w:spacing w:val="-27"/>
          <w:w w:val="115"/>
          <w:sz w:val="19"/>
        </w:rPr>
        <w:t> </w:t>
      </w:r>
      <w:r>
        <w:rPr>
          <w:i/>
          <w:w w:val="115"/>
          <w:sz w:val="19"/>
        </w:rPr>
        <w:t>Presente</w:t>
      </w:r>
      <w:r>
        <w:rPr>
          <w:i/>
          <w:spacing w:val="-27"/>
          <w:w w:val="115"/>
          <w:sz w:val="19"/>
        </w:rPr>
        <w:t> </w:t>
      </w:r>
      <w:r>
        <w:rPr>
          <w:w w:val="115"/>
          <w:sz w:val="19"/>
        </w:rPr>
        <w:t>(barcelona). </w:t>
      </w:r>
      <w:r>
        <w:rPr>
          <w:w w:val="125"/>
          <w:sz w:val="19"/>
        </w:rPr>
        <w:t>CElaC </w:t>
      </w:r>
      <w:r>
        <w:rPr>
          <w:w w:val="115"/>
          <w:sz w:val="19"/>
        </w:rPr>
        <w:t>2011 </w:t>
      </w:r>
      <w:r>
        <w:rPr>
          <w:i/>
          <w:w w:val="115"/>
          <w:sz w:val="19"/>
        </w:rPr>
        <w:t>Declaración de Caracas </w:t>
      </w:r>
      <w:r>
        <w:rPr>
          <w:w w:val="115"/>
          <w:sz w:val="19"/>
        </w:rPr>
        <w:t>(Caracas, Cumbre de la CElaC). </w:t>
      </w:r>
      <w:r>
        <w:rPr>
          <w:w w:val="125"/>
          <w:sz w:val="19"/>
        </w:rPr>
        <w:t>CElaC </w:t>
      </w:r>
      <w:r>
        <w:rPr>
          <w:w w:val="115"/>
          <w:sz w:val="19"/>
        </w:rPr>
        <w:t>2015 </w:t>
      </w:r>
      <w:r>
        <w:rPr>
          <w:i/>
          <w:w w:val="115"/>
          <w:sz w:val="19"/>
        </w:rPr>
        <w:t>Declaración de Belén </w:t>
      </w:r>
      <w:r>
        <w:rPr>
          <w:w w:val="115"/>
          <w:sz w:val="19"/>
        </w:rPr>
        <w:t>(Costa rica, Cumbre de la CElaC). Clinton, Hillary 2014 </w:t>
      </w:r>
      <w:r>
        <w:rPr>
          <w:i/>
          <w:w w:val="115"/>
          <w:sz w:val="19"/>
        </w:rPr>
        <w:t>Hard Choices </w:t>
      </w:r>
      <w:r>
        <w:rPr>
          <w:w w:val="115"/>
          <w:sz w:val="19"/>
        </w:rPr>
        <w:t>(EE.uu.: simon and schuster). dierckxsens, Wim 2011 </w:t>
      </w:r>
      <w:r>
        <w:rPr>
          <w:i/>
          <w:w w:val="115"/>
          <w:sz w:val="19"/>
        </w:rPr>
        <w:t>Siglo XXI: Crisis de una civilización.</w:t>
      </w:r>
      <w:r>
        <w:rPr>
          <w:i/>
          <w:spacing w:val="38"/>
          <w:w w:val="115"/>
          <w:sz w:val="19"/>
        </w:rPr>
        <w:t> </w:t>
      </w:r>
      <w:r>
        <w:rPr>
          <w:i/>
          <w:w w:val="115"/>
          <w:sz w:val="19"/>
        </w:rPr>
        <w:t>¿Fin</w:t>
      </w:r>
    </w:p>
    <w:p>
      <w:pPr>
        <w:spacing w:line="194" w:lineRule="exact" w:before="0"/>
        <w:ind w:left="497" w:right="0" w:firstLine="0"/>
        <w:jc w:val="left"/>
        <w:rPr>
          <w:sz w:val="19"/>
        </w:rPr>
      </w:pPr>
      <w:r>
        <w:rPr>
          <w:i/>
          <w:w w:val="110"/>
          <w:sz w:val="19"/>
        </w:rPr>
        <w:t>de la historia o comienzo de una nueva historia?    </w:t>
      </w:r>
      <w:r>
        <w:rPr>
          <w:w w:val="110"/>
          <w:sz w:val="19"/>
        </w:rPr>
        <w:t>(Quito:</w:t>
      </w:r>
    </w:p>
    <w:p>
      <w:pPr>
        <w:pStyle w:val="BodyText"/>
        <w:spacing w:before="11"/>
        <w:ind w:left="497"/>
      </w:pPr>
      <w:r>
        <w:rPr>
          <w:w w:val="120"/>
        </w:rPr>
        <w:t>Editorial iaEN).</w:t>
      </w:r>
    </w:p>
    <w:p>
      <w:pPr>
        <w:spacing w:line="252" w:lineRule="auto" w:before="39"/>
        <w:ind w:left="497" w:right="426" w:hanging="397"/>
        <w:jc w:val="left"/>
        <w:rPr>
          <w:sz w:val="19"/>
        </w:rPr>
      </w:pPr>
      <w:r>
        <w:rPr>
          <w:w w:val="110"/>
          <w:sz w:val="19"/>
        </w:rPr>
        <w:t>de sousa santos, boaventura 2010 </w:t>
      </w:r>
      <w:r>
        <w:rPr>
          <w:i/>
          <w:w w:val="110"/>
          <w:sz w:val="19"/>
        </w:rPr>
        <w:t>Refundación del Estado en   </w:t>
      </w:r>
      <w:r>
        <w:rPr>
          <w:i/>
          <w:w w:val="110"/>
          <w:sz w:val="19"/>
        </w:rPr>
        <w:t>América Latina. Perspectivas desde una epistemología del Sur </w:t>
      </w:r>
      <w:r>
        <w:rPr>
          <w:w w:val="98"/>
          <w:sz w:val="19"/>
        </w:rPr>
        <w:t>(</w:t>
      </w:r>
      <w:r>
        <w:rPr>
          <w:w w:val="243"/>
          <w:sz w:val="19"/>
        </w:rPr>
        <w:t>l</w:t>
      </w:r>
      <w:r>
        <w:rPr>
          <w:w w:val="112"/>
          <w:sz w:val="19"/>
        </w:rPr>
        <w:t>ima:</w:t>
      </w:r>
      <w:r>
        <w:rPr>
          <w:spacing w:val="12"/>
          <w:sz w:val="19"/>
        </w:rPr>
        <w:t> </w:t>
      </w:r>
      <w:r>
        <w:rPr>
          <w:w w:val="142"/>
          <w:sz w:val="19"/>
        </w:rPr>
        <w:t>i</w:t>
      </w:r>
      <w:r>
        <w:rPr>
          <w:w w:val="109"/>
          <w:sz w:val="19"/>
        </w:rPr>
        <w:t>nstituto</w:t>
      </w:r>
      <w:r>
        <w:rPr>
          <w:spacing w:val="12"/>
          <w:sz w:val="19"/>
        </w:rPr>
        <w:t> </w:t>
      </w:r>
      <w:r>
        <w:rPr>
          <w:w w:val="142"/>
          <w:sz w:val="19"/>
        </w:rPr>
        <w:t>i</w:t>
      </w:r>
      <w:r>
        <w:rPr>
          <w:w w:val="110"/>
          <w:sz w:val="19"/>
        </w:rPr>
        <w:t>nternacional</w:t>
      </w:r>
      <w:r>
        <w:rPr>
          <w:spacing w:val="12"/>
          <w:sz w:val="19"/>
        </w:rPr>
        <w:t> </w:t>
      </w:r>
      <w:r>
        <w:rPr>
          <w:w w:val="107"/>
          <w:sz w:val="19"/>
        </w:rPr>
        <w:t>de</w:t>
      </w:r>
      <w:r>
        <w:rPr>
          <w:spacing w:val="12"/>
          <w:sz w:val="19"/>
        </w:rPr>
        <w:t> </w:t>
      </w:r>
      <w:r>
        <w:rPr>
          <w:w w:val="139"/>
          <w:sz w:val="19"/>
        </w:rPr>
        <w:t>d</w:t>
      </w:r>
      <w:r>
        <w:rPr>
          <w:w w:val="109"/>
          <w:sz w:val="19"/>
        </w:rPr>
        <w:t>erecho</w:t>
      </w:r>
      <w:r>
        <w:rPr>
          <w:spacing w:val="12"/>
          <w:sz w:val="19"/>
        </w:rPr>
        <w:t> </w:t>
      </w:r>
      <w:r>
        <w:rPr>
          <w:w w:val="105"/>
          <w:sz w:val="19"/>
        </w:rPr>
        <w:t>y</w:t>
      </w:r>
      <w:r>
        <w:rPr>
          <w:spacing w:val="12"/>
          <w:sz w:val="19"/>
        </w:rPr>
        <w:t> </w:t>
      </w:r>
      <w:r>
        <w:rPr>
          <w:w w:val="149"/>
          <w:sz w:val="19"/>
        </w:rPr>
        <w:t>s</w:t>
      </w:r>
      <w:r>
        <w:rPr>
          <w:w w:val="107"/>
          <w:sz w:val="19"/>
        </w:rPr>
        <w:t>ociedad/Programa </w:t>
      </w:r>
      <w:r>
        <w:rPr>
          <w:w w:val="110"/>
          <w:sz w:val="19"/>
        </w:rPr>
        <w:t>democracia  y  transformación </w:t>
      </w:r>
      <w:r>
        <w:rPr>
          <w:spacing w:val="10"/>
          <w:w w:val="110"/>
          <w:sz w:val="19"/>
        </w:rPr>
        <w:t> </w:t>
      </w:r>
      <w:r>
        <w:rPr>
          <w:w w:val="110"/>
          <w:sz w:val="19"/>
        </w:rPr>
        <w:t>Global).</w:t>
      </w:r>
    </w:p>
    <w:p>
      <w:pPr>
        <w:spacing w:before="28"/>
        <w:ind w:left="100" w:right="0" w:firstLine="0"/>
        <w:jc w:val="left"/>
        <w:rPr>
          <w:sz w:val="19"/>
        </w:rPr>
      </w:pPr>
      <w:r>
        <w:rPr>
          <w:w w:val="110"/>
          <w:sz w:val="19"/>
        </w:rPr>
        <w:t>department of state 2014 </w:t>
      </w:r>
      <w:r>
        <w:rPr>
          <w:i/>
          <w:w w:val="110"/>
          <w:sz w:val="19"/>
        </w:rPr>
        <w:t>Country Reports on Terrorism 2013</w:t>
      </w:r>
      <w:r>
        <w:rPr>
          <w:w w:val="110"/>
          <w:sz w:val="19"/>
        </w:rPr>
        <w:t>,   en</w:t>
      </w:r>
    </w:p>
    <w:p>
      <w:pPr>
        <w:pStyle w:val="BodyText"/>
        <w:spacing w:line="283" w:lineRule="auto" w:before="11"/>
        <w:ind w:left="100" w:right="582" w:firstLine="396"/>
      </w:pPr>
      <w:hyperlink r:id="rId457">
        <w:r>
          <w:rPr>
            <w:w w:val="105"/>
          </w:rPr>
          <w:t>&lt;http://goo.gl/ZEzb7Y&gt;</w:t>
        </w:r>
      </w:hyperlink>
      <w:r>
        <w:rPr>
          <w:w w:val="105"/>
        </w:rPr>
        <w:t> acceso 25 de junio de 2014.   department  of  state,  Foreign  operations  y  related  Programs    2014</w:t>
      </w:r>
    </w:p>
    <w:p>
      <w:pPr>
        <w:spacing w:line="194" w:lineRule="exact" w:before="0"/>
        <w:ind w:left="497" w:right="0" w:firstLine="0"/>
        <w:jc w:val="left"/>
        <w:rPr>
          <w:sz w:val="19"/>
        </w:rPr>
      </w:pPr>
      <w:r>
        <w:rPr>
          <w:i/>
          <w:w w:val="110"/>
          <w:sz w:val="19"/>
        </w:rPr>
        <w:t>Congressional Budget Justification</w:t>
      </w:r>
      <w:r>
        <w:rPr>
          <w:w w:val="110"/>
          <w:sz w:val="19"/>
        </w:rPr>
        <w:t>, en </w:t>
      </w:r>
      <w:hyperlink r:id="rId458">
        <w:r>
          <w:rPr>
            <w:w w:val="110"/>
            <w:sz w:val="19"/>
          </w:rPr>
          <w:t>&lt;http://goo.gl/PFxsu</w:t>
        </w:r>
      </w:hyperlink>
      <w:r>
        <w:rPr>
          <w:w w:val="110"/>
          <w:sz w:val="19"/>
        </w:rPr>
        <w:t>g&gt;</w:t>
      </w:r>
    </w:p>
    <w:p>
      <w:pPr>
        <w:pStyle w:val="BodyText"/>
        <w:spacing w:before="11"/>
        <w:ind w:left="497"/>
      </w:pPr>
      <w:r>
        <w:rPr>
          <w:w w:val="110"/>
        </w:rPr>
        <w:t>acceso 25 de junio de 2014.</w:t>
      </w:r>
    </w:p>
    <w:p>
      <w:pPr>
        <w:spacing w:line="252" w:lineRule="auto" w:before="39"/>
        <w:ind w:left="497" w:right="645" w:hanging="397"/>
        <w:jc w:val="left"/>
        <w:rPr>
          <w:sz w:val="19"/>
        </w:rPr>
      </w:pPr>
      <w:r>
        <w:rPr>
          <w:w w:val="115"/>
          <w:sz w:val="19"/>
        </w:rPr>
        <w:t>Fabelo Concepción, sunamis y angel rodríguez soler 2015 </w:t>
      </w:r>
      <w:r>
        <w:rPr>
          <w:i/>
          <w:w w:val="115"/>
          <w:sz w:val="19"/>
        </w:rPr>
        <w:t>Asia </w:t>
      </w:r>
      <w:r>
        <w:rPr>
          <w:i/>
          <w:w w:val="115"/>
          <w:sz w:val="19"/>
        </w:rPr>
        <w:t>Central</w:t>
      </w:r>
      <w:r>
        <w:rPr>
          <w:i/>
          <w:spacing w:val="-11"/>
          <w:w w:val="115"/>
          <w:sz w:val="19"/>
        </w:rPr>
        <w:t> </w:t>
      </w:r>
      <w:r>
        <w:rPr>
          <w:i/>
          <w:w w:val="115"/>
          <w:sz w:val="19"/>
        </w:rPr>
        <w:t>en</w:t>
      </w:r>
      <w:r>
        <w:rPr>
          <w:i/>
          <w:spacing w:val="-11"/>
          <w:w w:val="115"/>
          <w:sz w:val="19"/>
        </w:rPr>
        <w:t> </w:t>
      </w:r>
      <w:r>
        <w:rPr>
          <w:i/>
          <w:w w:val="115"/>
          <w:sz w:val="19"/>
        </w:rPr>
        <w:t>el</w:t>
      </w:r>
      <w:r>
        <w:rPr>
          <w:i/>
          <w:spacing w:val="-11"/>
          <w:w w:val="115"/>
          <w:sz w:val="19"/>
        </w:rPr>
        <w:t> </w:t>
      </w:r>
      <w:r>
        <w:rPr>
          <w:i/>
          <w:w w:val="115"/>
          <w:sz w:val="19"/>
        </w:rPr>
        <w:t>contexto</w:t>
      </w:r>
      <w:r>
        <w:rPr>
          <w:i/>
          <w:spacing w:val="-11"/>
          <w:w w:val="115"/>
          <w:sz w:val="19"/>
        </w:rPr>
        <w:t> </w:t>
      </w:r>
      <w:r>
        <w:rPr>
          <w:i/>
          <w:w w:val="115"/>
          <w:sz w:val="19"/>
        </w:rPr>
        <w:t>geopolítico</w:t>
      </w:r>
      <w:r>
        <w:rPr>
          <w:i/>
          <w:spacing w:val="-11"/>
          <w:w w:val="115"/>
          <w:sz w:val="19"/>
        </w:rPr>
        <w:t> </w:t>
      </w:r>
      <w:r>
        <w:rPr>
          <w:i/>
          <w:w w:val="115"/>
          <w:sz w:val="19"/>
        </w:rPr>
        <w:t>de</w:t>
      </w:r>
      <w:r>
        <w:rPr>
          <w:i/>
          <w:spacing w:val="-11"/>
          <w:w w:val="115"/>
          <w:sz w:val="19"/>
        </w:rPr>
        <w:t> </w:t>
      </w:r>
      <w:r>
        <w:rPr>
          <w:i/>
          <w:w w:val="115"/>
          <w:sz w:val="19"/>
        </w:rPr>
        <w:t>la</w:t>
      </w:r>
      <w:r>
        <w:rPr>
          <w:i/>
          <w:spacing w:val="-11"/>
          <w:w w:val="115"/>
          <w:sz w:val="19"/>
        </w:rPr>
        <w:t> </w:t>
      </w:r>
      <w:r>
        <w:rPr>
          <w:i/>
          <w:w w:val="115"/>
          <w:sz w:val="19"/>
        </w:rPr>
        <w:t>Nueva</w:t>
      </w:r>
      <w:r>
        <w:rPr>
          <w:i/>
          <w:spacing w:val="-11"/>
          <w:w w:val="115"/>
          <w:sz w:val="19"/>
        </w:rPr>
        <w:t> </w:t>
      </w:r>
      <w:r>
        <w:rPr>
          <w:i/>
          <w:w w:val="115"/>
          <w:sz w:val="19"/>
        </w:rPr>
        <w:t>Ruta</w:t>
      </w:r>
      <w:r>
        <w:rPr>
          <w:i/>
          <w:spacing w:val="-11"/>
          <w:w w:val="115"/>
          <w:sz w:val="19"/>
        </w:rPr>
        <w:t> </w:t>
      </w:r>
      <w:r>
        <w:rPr>
          <w:i/>
          <w:w w:val="115"/>
          <w:sz w:val="19"/>
        </w:rPr>
        <w:t>de</w:t>
      </w:r>
      <w:r>
        <w:rPr>
          <w:i/>
          <w:spacing w:val="-11"/>
          <w:w w:val="115"/>
          <w:sz w:val="19"/>
        </w:rPr>
        <w:t> </w:t>
      </w:r>
      <w:r>
        <w:rPr>
          <w:i/>
          <w:w w:val="115"/>
          <w:sz w:val="19"/>
        </w:rPr>
        <w:t>la</w:t>
      </w:r>
      <w:r>
        <w:rPr>
          <w:i/>
          <w:spacing w:val="-11"/>
          <w:w w:val="115"/>
          <w:sz w:val="19"/>
        </w:rPr>
        <w:t> </w:t>
      </w:r>
      <w:r>
        <w:rPr>
          <w:i/>
          <w:w w:val="115"/>
          <w:sz w:val="19"/>
        </w:rPr>
        <w:t>Seda y la Unión Euroasiática</w:t>
      </w:r>
      <w:r>
        <w:rPr>
          <w:w w:val="115"/>
          <w:sz w:val="19"/>
        </w:rPr>
        <w:t>, simposio Electrónico internacional </w:t>
      </w:r>
      <w:r>
        <w:rPr>
          <w:spacing w:val="1"/>
          <w:w w:val="107"/>
          <w:sz w:val="19"/>
        </w:rPr>
        <w:t>sobr</w:t>
      </w:r>
      <w:r>
        <w:rPr>
          <w:w w:val="107"/>
          <w:sz w:val="19"/>
        </w:rPr>
        <w:t>e</w:t>
      </w:r>
      <w:r>
        <w:rPr>
          <w:spacing w:val="15"/>
          <w:sz w:val="19"/>
        </w:rPr>
        <w:t> </w:t>
      </w:r>
      <w:r>
        <w:rPr>
          <w:spacing w:val="1"/>
          <w:w w:val="117"/>
          <w:sz w:val="19"/>
        </w:rPr>
        <w:t>China</w:t>
      </w:r>
      <w:r>
        <w:rPr>
          <w:w w:val="117"/>
          <w:sz w:val="19"/>
        </w:rPr>
        <w:t>,</w:t>
      </w:r>
      <w:r>
        <w:rPr>
          <w:spacing w:val="15"/>
          <w:sz w:val="19"/>
        </w:rPr>
        <w:t> </w:t>
      </w:r>
      <w:r>
        <w:rPr>
          <w:spacing w:val="1"/>
          <w:w w:val="102"/>
          <w:sz w:val="19"/>
        </w:rPr>
        <w:t>1-2</w:t>
      </w:r>
      <w:r>
        <w:rPr>
          <w:w w:val="102"/>
          <w:sz w:val="19"/>
        </w:rPr>
        <w:t>1</w:t>
      </w:r>
      <w:r>
        <w:rPr>
          <w:spacing w:val="15"/>
          <w:sz w:val="19"/>
        </w:rPr>
        <w:t> </w:t>
      </w:r>
      <w:r>
        <w:rPr>
          <w:spacing w:val="1"/>
          <w:w w:val="107"/>
          <w:sz w:val="19"/>
        </w:rPr>
        <w:t>d</w:t>
      </w:r>
      <w:r>
        <w:rPr>
          <w:w w:val="107"/>
          <w:sz w:val="19"/>
        </w:rPr>
        <w:t>e</w:t>
      </w:r>
      <w:r>
        <w:rPr>
          <w:spacing w:val="15"/>
          <w:sz w:val="19"/>
        </w:rPr>
        <w:t> </w:t>
      </w:r>
      <w:r>
        <w:rPr>
          <w:spacing w:val="1"/>
          <w:w w:val="113"/>
          <w:sz w:val="19"/>
        </w:rPr>
        <w:t>marzo</w:t>
      </w:r>
      <w:r>
        <w:rPr>
          <w:w w:val="113"/>
          <w:sz w:val="19"/>
        </w:rPr>
        <w:t>,</w:t>
      </w:r>
      <w:r>
        <w:rPr>
          <w:spacing w:val="15"/>
          <w:sz w:val="19"/>
        </w:rPr>
        <w:t> </w:t>
      </w:r>
      <w:r>
        <w:rPr>
          <w:spacing w:val="1"/>
          <w:w w:val="243"/>
          <w:sz w:val="19"/>
        </w:rPr>
        <w:t>l</w:t>
      </w:r>
      <w:r>
        <w:rPr>
          <w:w w:val="112"/>
          <w:sz w:val="19"/>
        </w:rPr>
        <w:t>a</w:t>
      </w:r>
      <w:r>
        <w:rPr>
          <w:spacing w:val="15"/>
          <w:sz w:val="19"/>
        </w:rPr>
        <w:t> </w:t>
      </w:r>
      <w:r>
        <w:rPr>
          <w:spacing w:val="1"/>
          <w:w w:val="115"/>
          <w:sz w:val="19"/>
        </w:rPr>
        <w:t>Habana</w:t>
      </w:r>
      <w:r>
        <w:rPr>
          <w:w w:val="115"/>
          <w:sz w:val="19"/>
        </w:rPr>
        <w:t>,</w:t>
      </w:r>
      <w:r>
        <w:rPr>
          <w:spacing w:val="15"/>
          <w:sz w:val="19"/>
        </w:rPr>
        <w:t> </w:t>
      </w:r>
      <w:r>
        <w:rPr>
          <w:spacing w:val="1"/>
          <w:w w:val="108"/>
          <w:sz w:val="19"/>
        </w:rPr>
        <w:t>e</w:t>
      </w:r>
      <w:r>
        <w:rPr>
          <w:w w:val="108"/>
          <w:sz w:val="19"/>
        </w:rPr>
        <w:t>n</w:t>
      </w:r>
      <w:r>
        <w:rPr>
          <w:spacing w:val="15"/>
          <w:sz w:val="19"/>
        </w:rPr>
        <w:t> </w:t>
      </w:r>
      <w:hyperlink r:id="rId170">
        <w:r>
          <w:rPr>
            <w:spacing w:val="1"/>
            <w:w w:val="101"/>
            <w:sz w:val="19"/>
          </w:rPr>
          <w:t>&lt;http://goo.</w:t>
        </w:r>
      </w:hyperlink>
      <w:r>
        <w:rPr>
          <w:spacing w:val="1"/>
          <w:w w:val="101"/>
          <w:sz w:val="19"/>
        </w:rPr>
        <w:t> </w:t>
      </w:r>
      <w:r>
        <w:rPr>
          <w:w w:val="115"/>
          <w:sz w:val="19"/>
        </w:rPr>
        <w:t>gl/9Mn3Nh&gt;.</w:t>
      </w:r>
    </w:p>
    <w:p>
      <w:pPr>
        <w:spacing w:line="252" w:lineRule="auto" w:before="28"/>
        <w:ind w:left="497" w:right="322" w:hanging="397"/>
        <w:jc w:val="left"/>
        <w:rPr>
          <w:sz w:val="19"/>
        </w:rPr>
      </w:pPr>
      <w:r>
        <w:rPr>
          <w:w w:val="115"/>
          <w:sz w:val="19"/>
        </w:rPr>
        <w:t>Gandásegui</w:t>
      </w:r>
      <w:r>
        <w:rPr>
          <w:spacing w:val="-17"/>
          <w:w w:val="115"/>
          <w:sz w:val="19"/>
        </w:rPr>
        <w:t> </w:t>
      </w:r>
      <w:r>
        <w:rPr>
          <w:w w:val="115"/>
          <w:sz w:val="19"/>
        </w:rPr>
        <w:t>hijo,</w:t>
      </w:r>
      <w:r>
        <w:rPr>
          <w:spacing w:val="-17"/>
          <w:w w:val="115"/>
          <w:sz w:val="19"/>
        </w:rPr>
        <w:t> </w:t>
      </w:r>
      <w:r>
        <w:rPr>
          <w:w w:val="115"/>
          <w:sz w:val="19"/>
        </w:rPr>
        <w:t>Marco</w:t>
      </w:r>
      <w:r>
        <w:rPr>
          <w:spacing w:val="-17"/>
          <w:w w:val="115"/>
          <w:sz w:val="19"/>
        </w:rPr>
        <w:t> </w:t>
      </w:r>
      <w:r>
        <w:rPr>
          <w:w w:val="115"/>
          <w:sz w:val="19"/>
        </w:rPr>
        <w:t>antonio</w:t>
      </w:r>
      <w:r>
        <w:rPr>
          <w:spacing w:val="-17"/>
          <w:w w:val="115"/>
          <w:sz w:val="19"/>
        </w:rPr>
        <w:t> </w:t>
      </w:r>
      <w:r>
        <w:rPr>
          <w:w w:val="115"/>
          <w:sz w:val="19"/>
        </w:rPr>
        <w:t>(coord.)</w:t>
      </w:r>
      <w:r>
        <w:rPr>
          <w:spacing w:val="-17"/>
          <w:w w:val="115"/>
          <w:sz w:val="19"/>
        </w:rPr>
        <w:t> </w:t>
      </w:r>
      <w:r>
        <w:rPr>
          <w:w w:val="115"/>
          <w:sz w:val="19"/>
        </w:rPr>
        <w:t>2007</w:t>
      </w:r>
      <w:r>
        <w:rPr>
          <w:spacing w:val="-17"/>
          <w:w w:val="115"/>
          <w:sz w:val="19"/>
        </w:rPr>
        <w:t> </w:t>
      </w:r>
      <w:r>
        <w:rPr>
          <w:i/>
          <w:w w:val="115"/>
          <w:sz w:val="19"/>
        </w:rPr>
        <w:t>Crisis</w:t>
      </w:r>
      <w:r>
        <w:rPr>
          <w:i/>
          <w:spacing w:val="-17"/>
          <w:w w:val="115"/>
          <w:sz w:val="19"/>
        </w:rPr>
        <w:t> </w:t>
      </w:r>
      <w:r>
        <w:rPr>
          <w:i/>
          <w:w w:val="115"/>
          <w:sz w:val="19"/>
        </w:rPr>
        <w:t>de</w:t>
      </w:r>
      <w:r>
        <w:rPr>
          <w:i/>
          <w:spacing w:val="-17"/>
          <w:w w:val="115"/>
          <w:sz w:val="19"/>
        </w:rPr>
        <w:t> </w:t>
      </w:r>
      <w:r>
        <w:rPr>
          <w:i/>
          <w:w w:val="115"/>
          <w:sz w:val="19"/>
        </w:rPr>
        <w:t>hegemonía</w:t>
      </w:r>
      <w:r>
        <w:rPr>
          <w:i/>
          <w:spacing w:val="-17"/>
          <w:w w:val="115"/>
          <w:sz w:val="19"/>
        </w:rPr>
        <w:t> </w:t>
      </w:r>
      <w:r>
        <w:rPr>
          <w:i/>
          <w:w w:val="115"/>
          <w:sz w:val="19"/>
        </w:rPr>
        <w:t>de </w:t>
      </w:r>
      <w:r>
        <w:rPr>
          <w:i/>
          <w:w w:val="120"/>
          <w:sz w:val="19"/>
        </w:rPr>
        <w:t>Estados Unidos </w:t>
      </w:r>
      <w:r>
        <w:rPr>
          <w:w w:val="120"/>
          <w:sz w:val="19"/>
        </w:rPr>
        <w:t>(México: siglo </w:t>
      </w:r>
      <w:r>
        <w:rPr>
          <w:spacing w:val="4"/>
          <w:w w:val="120"/>
          <w:sz w:val="19"/>
        </w:rPr>
        <w:t> </w:t>
      </w:r>
      <w:r>
        <w:rPr>
          <w:w w:val="120"/>
          <w:sz w:val="19"/>
        </w:rPr>
        <w:t>xxi/ClaCso).</w:t>
      </w:r>
    </w:p>
    <w:p>
      <w:pPr>
        <w:spacing w:line="252" w:lineRule="auto" w:before="28"/>
        <w:ind w:left="497" w:right="373" w:hanging="397"/>
        <w:jc w:val="both"/>
        <w:rPr>
          <w:sz w:val="19"/>
        </w:rPr>
      </w:pPr>
      <w:r>
        <w:rPr>
          <w:w w:val="115"/>
          <w:sz w:val="19"/>
        </w:rPr>
        <w:t>Gandásegui</w:t>
      </w:r>
      <w:r>
        <w:rPr>
          <w:spacing w:val="-6"/>
          <w:w w:val="115"/>
          <w:sz w:val="19"/>
        </w:rPr>
        <w:t> </w:t>
      </w:r>
      <w:r>
        <w:rPr>
          <w:w w:val="115"/>
          <w:sz w:val="19"/>
        </w:rPr>
        <w:t>hijo,</w:t>
      </w:r>
      <w:r>
        <w:rPr>
          <w:spacing w:val="-6"/>
          <w:w w:val="115"/>
          <w:sz w:val="19"/>
        </w:rPr>
        <w:t> </w:t>
      </w:r>
      <w:r>
        <w:rPr>
          <w:w w:val="115"/>
          <w:sz w:val="19"/>
        </w:rPr>
        <w:t>Marco</w:t>
      </w:r>
      <w:r>
        <w:rPr>
          <w:spacing w:val="-6"/>
          <w:w w:val="115"/>
          <w:sz w:val="19"/>
        </w:rPr>
        <w:t> </w:t>
      </w:r>
      <w:r>
        <w:rPr>
          <w:w w:val="115"/>
          <w:sz w:val="19"/>
        </w:rPr>
        <w:t>antonio</w:t>
      </w:r>
      <w:r>
        <w:rPr>
          <w:spacing w:val="-6"/>
          <w:w w:val="115"/>
          <w:sz w:val="19"/>
        </w:rPr>
        <w:t> </w:t>
      </w:r>
      <w:r>
        <w:rPr>
          <w:w w:val="115"/>
          <w:sz w:val="19"/>
        </w:rPr>
        <w:t>y</w:t>
      </w:r>
      <w:r>
        <w:rPr>
          <w:spacing w:val="-6"/>
          <w:w w:val="115"/>
          <w:sz w:val="19"/>
        </w:rPr>
        <w:t> </w:t>
      </w:r>
      <w:r>
        <w:rPr>
          <w:w w:val="115"/>
          <w:sz w:val="19"/>
        </w:rPr>
        <w:t>Castillo</w:t>
      </w:r>
      <w:r>
        <w:rPr>
          <w:spacing w:val="-6"/>
          <w:w w:val="115"/>
          <w:sz w:val="19"/>
        </w:rPr>
        <w:t> </w:t>
      </w:r>
      <w:r>
        <w:rPr>
          <w:w w:val="115"/>
          <w:sz w:val="19"/>
        </w:rPr>
        <w:t>Fernández,</w:t>
      </w:r>
      <w:r>
        <w:rPr>
          <w:spacing w:val="-6"/>
          <w:w w:val="115"/>
          <w:sz w:val="19"/>
        </w:rPr>
        <w:t> </w:t>
      </w:r>
      <w:r>
        <w:rPr>
          <w:w w:val="115"/>
          <w:sz w:val="19"/>
        </w:rPr>
        <w:t>dídimo</w:t>
      </w:r>
      <w:r>
        <w:rPr>
          <w:spacing w:val="-6"/>
          <w:w w:val="115"/>
          <w:sz w:val="19"/>
        </w:rPr>
        <w:t> </w:t>
      </w:r>
      <w:r>
        <w:rPr>
          <w:w w:val="115"/>
          <w:sz w:val="19"/>
        </w:rPr>
        <w:t>(eds.) 2010</w:t>
      </w:r>
      <w:r>
        <w:rPr>
          <w:spacing w:val="-10"/>
          <w:w w:val="115"/>
          <w:sz w:val="19"/>
        </w:rPr>
        <w:t> </w:t>
      </w:r>
      <w:r>
        <w:rPr>
          <w:i/>
          <w:w w:val="115"/>
          <w:sz w:val="19"/>
        </w:rPr>
        <w:t>Estados</w:t>
      </w:r>
      <w:r>
        <w:rPr>
          <w:i/>
          <w:spacing w:val="-10"/>
          <w:w w:val="115"/>
          <w:sz w:val="19"/>
        </w:rPr>
        <w:t> </w:t>
      </w:r>
      <w:r>
        <w:rPr>
          <w:i/>
          <w:w w:val="115"/>
          <w:sz w:val="19"/>
        </w:rPr>
        <w:t>Unidos.</w:t>
      </w:r>
      <w:r>
        <w:rPr>
          <w:i/>
          <w:spacing w:val="-10"/>
          <w:w w:val="115"/>
          <w:sz w:val="19"/>
        </w:rPr>
        <w:t> </w:t>
      </w:r>
      <w:r>
        <w:rPr>
          <w:i/>
          <w:w w:val="115"/>
          <w:sz w:val="19"/>
        </w:rPr>
        <w:t>La</w:t>
      </w:r>
      <w:r>
        <w:rPr>
          <w:i/>
          <w:spacing w:val="-10"/>
          <w:w w:val="115"/>
          <w:sz w:val="19"/>
        </w:rPr>
        <w:t> </w:t>
      </w:r>
      <w:r>
        <w:rPr>
          <w:i/>
          <w:w w:val="115"/>
          <w:sz w:val="19"/>
        </w:rPr>
        <w:t>crisis</w:t>
      </w:r>
      <w:r>
        <w:rPr>
          <w:i/>
          <w:spacing w:val="-10"/>
          <w:w w:val="115"/>
          <w:sz w:val="19"/>
        </w:rPr>
        <w:t> </w:t>
      </w:r>
      <w:r>
        <w:rPr>
          <w:i/>
          <w:w w:val="115"/>
          <w:sz w:val="19"/>
        </w:rPr>
        <w:t>sistémica</w:t>
      </w:r>
      <w:r>
        <w:rPr>
          <w:i/>
          <w:spacing w:val="-10"/>
          <w:w w:val="115"/>
          <w:sz w:val="19"/>
        </w:rPr>
        <w:t> </w:t>
      </w:r>
      <w:r>
        <w:rPr>
          <w:i/>
          <w:w w:val="115"/>
          <w:sz w:val="19"/>
        </w:rPr>
        <w:t>y</w:t>
      </w:r>
      <w:r>
        <w:rPr>
          <w:i/>
          <w:spacing w:val="-10"/>
          <w:w w:val="115"/>
          <w:sz w:val="19"/>
        </w:rPr>
        <w:t> </w:t>
      </w:r>
      <w:r>
        <w:rPr>
          <w:i/>
          <w:w w:val="115"/>
          <w:sz w:val="19"/>
        </w:rPr>
        <w:t>las</w:t>
      </w:r>
      <w:r>
        <w:rPr>
          <w:i/>
          <w:spacing w:val="-10"/>
          <w:w w:val="115"/>
          <w:sz w:val="19"/>
        </w:rPr>
        <w:t> </w:t>
      </w:r>
      <w:r>
        <w:rPr>
          <w:i/>
          <w:w w:val="115"/>
          <w:sz w:val="19"/>
        </w:rPr>
        <w:t>nuevas</w:t>
      </w:r>
      <w:r>
        <w:rPr>
          <w:i/>
          <w:spacing w:val="-10"/>
          <w:w w:val="115"/>
          <w:sz w:val="19"/>
        </w:rPr>
        <w:t> </w:t>
      </w:r>
      <w:r>
        <w:rPr>
          <w:i/>
          <w:w w:val="115"/>
          <w:sz w:val="19"/>
        </w:rPr>
        <w:t>condiciones </w:t>
      </w:r>
      <w:r>
        <w:rPr>
          <w:i/>
          <w:w w:val="115"/>
          <w:sz w:val="19"/>
        </w:rPr>
        <w:t>de legitimación </w:t>
      </w:r>
      <w:r>
        <w:rPr>
          <w:w w:val="115"/>
          <w:sz w:val="19"/>
        </w:rPr>
        <w:t>(México: siglo  </w:t>
      </w:r>
      <w:r>
        <w:rPr>
          <w:spacing w:val="9"/>
          <w:w w:val="115"/>
          <w:sz w:val="19"/>
        </w:rPr>
        <w:t> </w:t>
      </w:r>
      <w:r>
        <w:rPr>
          <w:w w:val="120"/>
          <w:sz w:val="19"/>
        </w:rPr>
        <w:t>xxi/ClaCso).</w:t>
      </w:r>
    </w:p>
    <w:p>
      <w:pPr>
        <w:spacing w:line="252" w:lineRule="auto" w:before="28"/>
        <w:ind w:left="497" w:right="399" w:hanging="397"/>
        <w:jc w:val="left"/>
        <w:rPr>
          <w:sz w:val="19"/>
        </w:rPr>
      </w:pPr>
      <w:r>
        <w:rPr>
          <w:w w:val="116"/>
          <w:sz w:val="19"/>
        </w:rPr>
        <w:t>García</w:t>
      </w:r>
      <w:r>
        <w:rPr>
          <w:spacing w:val="12"/>
          <w:sz w:val="19"/>
        </w:rPr>
        <w:t> </w:t>
      </w:r>
      <w:r>
        <w:rPr>
          <w:w w:val="243"/>
          <w:sz w:val="19"/>
        </w:rPr>
        <w:t>l</w:t>
      </w:r>
      <w:r>
        <w:rPr>
          <w:w w:val="112"/>
          <w:sz w:val="19"/>
        </w:rPr>
        <w:t>inera,</w:t>
      </w:r>
      <w:r>
        <w:rPr>
          <w:spacing w:val="12"/>
          <w:sz w:val="19"/>
        </w:rPr>
        <w:t> </w:t>
      </w:r>
      <w:r>
        <w:rPr>
          <w:w w:val="108"/>
          <w:sz w:val="19"/>
        </w:rPr>
        <w:t>Álvaro</w:t>
      </w:r>
      <w:r>
        <w:rPr>
          <w:spacing w:val="12"/>
          <w:sz w:val="19"/>
        </w:rPr>
        <w:t> </w:t>
      </w:r>
      <w:r>
        <w:rPr>
          <w:w w:val="102"/>
          <w:sz w:val="19"/>
        </w:rPr>
        <w:t>2008</w:t>
      </w:r>
      <w:r>
        <w:rPr>
          <w:spacing w:val="12"/>
          <w:sz w:val="19"/>
        </w:rPr>
        <w:t> </w:t>
      </w:r>
      <w:r>
        <w:rPr>
          <w:w w:val="113"/>
          <w:sz w:val="19"/>
        </w:rPr>
        <w:t>“Empate</w:t>
      </w:r>
      <w:r>
        <w:rPr>
          <w:spacing w:val="12"/>
          <w:sz w:val="19"/>
        </w:rPr>
        <w:t> </w:t>
      </w:r>
      <w:r>
        <w:rPr>
          <w:w w:val="109"/>
          <w:sz w:val="19"/>
        </w:rPr>
        <w:t>catastrófico</w:t>
      </w:r>
      <w:r>
        <w:rPr>
          <w:spacing w:val="12"/>
          <w:sz w:val="19"/>
        </w:rPr>
        <w:t> </w:t>
      </w:r>
      <w:r>
        <w:rPr>
          <w:w w:val="105"/>
          <w:sz w:val="19"/>
        </w:rPr>
        <w:t>y</w:t>
      </w:r>
      <w:r>
        <w:rPr>
          <w:spacing w:val="12"/>
          <w:sz w:val="19"/>
        </w:rPr>
        <w:t> </w:t>
      </w:r>
      <w:r>
        <w:rPr>
          <w:w w:val="110"/>
          <w:sz w:val="19"/>
        </w:rPr>
        <w:t>punto</w:t>
      </w:r>
      <w:r>
        <w:rPr>
          <w:spacing w:val="12"/>
          <w:sz w:val="19"/>
        </w:rPr>
        <w:t> </w:t>
      </w:r>
      <w:r>
        <w:rPr>
          <w:w w:val="107"/>
          <w:sz w:val="19"/>
        </w:rPr>
        <w:t>de </w:t>
      </w:r>
      <w:r>
        <w:rPr>
          <w:w w:val="115"/>
          <w:sz w:val="19"/>
        </w:rPr>
        <w:t>bifurcación”,</w:t>
      </w:r>
      <w:r>
        <w:rPr>
          <w:spacing w:val="-27"/>
          <w:w w:val="115"/>
          <w:sz w:val="19"/>
        </w:rPr>
        <w:t> </w:t>
      </w:r>
      <w:r>
        <w:rPr>
          <w:w w:val="115"/>
          <w:sz w:val="19"/>
        </w:rPr>
        <w:t>en</w:t>
      </w:r>
      <w:r>
        <w:rPr>
          <w:spacing w:val="-27"/>
          <w:w w:val="115"/>
          <w:sz w:val="19"/>
        </w:rPr>
        <w:t> </w:t>
      </w:r>
      <w:r>
        <w:rPr>
          <w:i/>
          <w:w w:val="115"/>
          <w:sz w:val="19"/>
        </w:rPr>
        <w:t>Crítica</w:t>
      </w:r>
      <w:r>
        <w:rPr>
          <w:i/>
          <w:spacing w:val="-27"/>
          <w:w w:val="115"/>
          <w:sz w:val="19"/>
        </w:rPr>
        <w:t> </w:t>
      </w:r>
      <w:r>
        <w:rPr>
          <w:i/>
          <w:w w:val="115"/>
          <w:sz w:val="19"/>
        </w:rPr>
        <w:t>y</w:t>
      </w:r>
      <w:r>
        <w:rPr>
          <w:i/>
          <w:spacing w:val="-27"/>
          <w:w w:val="115"/>
          <w:sz w:val="19"/>
        </w:rPr>
        <w:t> </w:t>
      </w:r>
      <w:r>
        <w:rPr>
          <w:i/>
          <w:w w:val="115"/>
          <w:sz w:val="19"/>
        </w:rPr>
        <w:t>emancipación:</w:t>
      </w:r>
      <w:r>
        <w:rPr>
          <w:i/>
          <w:spacing w:val="-27"/>
          <w:w w:val="115"/>
          <w:sz w:val="19"/>
        </w:rPr>
        <w:t> </w:t>
      </w:r>
      <w:r>
        <w:rPr>
          <w:i/>
          <w:w w:val="115"/>
          <w:sz w:val="19"/>
        </w:rPr>
        <w:t>Revista</w:t>
      </w:r>
      <w:r>
        <w:rPr>
          <w:i/>
          <w:spacing w:val="-27"/>
          <w:w w:val="115"/>
          <w:sz w:val="19"/>
        </w:rPr>
        <w:t> </w:t>
      </w:r>
      <w:r>
        <w:rPr>
          <w:i/>
          <w:w w:val="115"/>
          <w:sz w:val="19"/>
        </w:rPr>
        <w:t>latinoamericana </w:t>
      </w:r>
      <w:r>
        <w:rPr>
          <w:i/>
          <w:w w:val="120"/>
          <w:sz w:val="19"/>
        </w:rPr>
        <w:t>de</w:t>
      </w:r>
      <w:r>
        <w:rPr>
          <w:i/>
          <w:spacing w:val="-12"/>
          <w:w w:val="120"/>
          <w:sz w:val="19"/>
        </w:rPr>
        <w:t> </w:t>
      </w:r>
      <w:r>
        <w:rPr>
          <w:i/>
          <w:w w:val="120"/>
          <w:sz w:val="19"/>
        </w:rPr>
        <w:t>ciencias</w:t>
      </w:r>
      <w:r>
        <w:rPr>
          <w:i/>
          <w:spacing w:val="-12"/>
          <w:w w:val="120"/>
          <w:sz w:val="19"/>
        </w:rPr>
        <w:t> </w:t>
      </w:r>
      <w:r>
        <w:rPr>
          <w:i/>
          <w:w w:val="120"/>
          <w:sz w:val="19"/>
        </w:rPr>
        <w:t>sociales</w:t>
      </w:r>
      <w:r>
        <w:rPr>
          <w:w w:val="120"/>
          <w:sz w:val="19"/>
        </w:rPr>
        <w:t>,</w:t>
      </w:r>
      <w:r>
        <w:rPr>
          <w:spacing w:val="-12"/>
          <w:w w:val="120"/>
          <w:sz w:val="19"/>
        </w:rPr>
        <w:t> </w:t>
      </w:r>
      <w:r>
        <w:rPr>
          <w:w w:val="120"/>
          <w:sz w:val="19"/>
        </w:rPr>
        <w:t>año</w:t>
      </w:r>
      <w:r>
        <w:rPr>
          <w:spacing w:val="-12"/>
          <w:w w:val="120"/>
          <w:sz w:val="19"/>
        </w:rPr>
        <w:t> </w:t>
      </w:r>
      <w:r>
        <w:rPr>
          <w:w w:val="120"/>
          <w:sz w:val="19"/>
        </w:rPr>
        <w:t>1,</w:t>
      </w:r>
      <w:r>
        <w:rPr>
          <w:spacing w:val="-12"/>
          <w:w w:val="120"/>
          <w:sz w:val="19"/>
        </w:rPr>
        <w:t> </w:t>
      </w:r>
      <w:r>
        <w:rPr>
          <w:w w:val="120"/>
          <w:sz w:val="19"/>
        </w:rPr>
        <w:t>Nº</w:t>
      </w:r>
      <w:r>
        <w:rPr>
          <w:spacing w:val="-12"/>
          <w:w w:val="120"/>
          <w:sz w:val="19"/>
        </w:rPr>
        <w:t> </w:t>
      </w:r>
      <w:r>
        <w:rPr>
          <w:w w:val="120"/>
          <w:sz w:val="19"/>
        </w:rPr>
        <w:t>1</w:t>
      </w:r>
      <w:r>
        <w:rPr>
          <w:spacing w:val="-12"/>
          <w:w w:val="120"/>
          <w:sz w:val="19"/>
        </w:rPr>
        <w:t> </w:t>
      </w:r>
      <w:r>
        <w:rPr>
          <w:w w:val="120"/>
          <w:sz w:val="19"/>
        </w:rPr>
        <w:t>(buenos</w:t>
      </w:r>
      <w:r>
        <w:rPr>
          <w:spacing w:val="-12"/>
          <w:w w:val="120"/>
          <w:sz w:val="19"/>
        </w:rPr>
        <w:t> </w:t>
      </w:r>
      <w:r>
        <w:rPr>
          <w:w w:val="120"/>
          <w:sz w:val="19"/>
        </w:rPr>
        <w:t>aires:</w:t>
      </w:r>
      <w:r>
        <w:rPr>
          <w:spacing w:val="-12"/>
          <w:w w:val="120"/>
          <w:sz w:val="19"/>
        </w:rPr>
        <w:t> </w:t>
      </w:r>
      <w:r>
        <w:rPr>
          <w:w w:val="120"/>
          <w:sz w:val="19"/>
        </w:rPr>
        <w:t>ClaCso).</w:t>
      </w:r>
    </w:p>
    <w:p>
      <w:pPr>
        <w:spacing w:line="252" w:lineRule="auto" w:before="28"/>
        <w:ind w:left="497" w:right="114" w:hanging="397"/>
        <w:jc w:val="left"/>
        <w:rPr>
          <w:sz w:val="19"/>
        </w:rPr>
      </w:pPr>
      <w:r>
        <w:rPr>
          <w:w w:val="110"/>
          <w:sz w:val="19"/>
        </w:rPr>
        <w:t>Giné daví, Jaume 2012 “Estados unidos frente a la región de asia- Pacífico”, en </w:t>
      </w:r>
      <w:r>
        <w:rPr>
          <w:i/>
          <w:w w:val="110"/>
          <w:sz w:val="19"/>
        </w:rPr>
        <w:t>Foreing Affairs Latinoamerica</w:t>
      </w:r>
      <w:r>
        <w:rPr>
          <w:w w:val="110"/>
          <w:sz w:val="19"/>
        </w:rPr>
        <w:t>, Vol. 12, Nº  3.</w:t>
      </w:r>
    </w:p>
    <w:p>
      <w:pPr>
        <w:spacing w:line="252" w:lineRule="auto" w:before="28"/>
        <w:ind w:left="497" w:right="508" w:hanging="397"/>
        <w:jc w:val="left"/>
        <w:rPr>
          <w:sz w:val="19"/>
        </w:rPr>
      </w:pPr>
      <w:r>
        <w:rPr>
          <w:w w:val="111"/>
          <w:sz w:val="19"/>
        </w:rPr>
        <w:t>Gutiérrez</w:t>
      </w:r>
      <w:r>
        <w:rPr>
          <w:spacing w:val="12"/>
          <w:sz w:val="19"/>
        </w:rPr>
        <w:t> </w:t>
      </w:r>
      <w:r>
        <w:rPr>
          <w:w w:val="107"/>
          <w:sz w:val="19"/>
        </w:rPr>
        <w:t>del</w:t>
      </w:r>
      <w:r>
        <w:rPr>
          <w:spacing w:val="12"/>
          <w:sz w:val="19"/>
        </w:rPr>
        <w:t> </w:t>
      </w:r>
      <w:r>
        <w:rPr>
          <w:w w:val="119"/>
          <w:sz w:val="19"/>
        </w:rPr>
        <w:t>Cid,</w:t>
      </w:r>
      <w:r>
        <w:rPr>
          <w:spacing w:val="12"/>
          <w:sz w:val="19"/>
        </w:rPr>
        <w:t> </w:t>
      </w:r>
      <w:r>
        <w:rPr>
          <w:w w:val="139"/>
          <w:sz w:val="19"/>
        </w:rPr>
        <w:t>a</w:t>
      </w:r>
      <w:r>
        <w:rPr>
          <w:w w:val="112"/>
          <w:sz w:val="19"/>
        </w:rPr>
        <w:t>na</w:t>
      </w:r>
      <w:r>
        <w:rPr>
          <w:spacing w:val="12"/>
          <w:sz w:val="19"/>
        </w:rPr>
        <w:t> </w:t>
      </w:r>
      <w:r>
        <w:rPr>
          <w:spacing w:val="-18"/>
          <w:w w:val="195"/>
          <w:sz w:val="19"/>
        </w:rPr>
        <w:t>t</w:t>
      </w:r>
      <w:r>
        <w:rPr>
          <w:w w:val="106"/>
          <w:sz w:val="19"/>
        </w:rPr>
        <w:t>eresa</w:t>
      </w:r>
      <w:r>
        <w:rPr>
          <w:spacing w:val="12"/>
          <w:sz w:val="19"/>
        </w:rPr>
        <w:t> </w:t>
      </w:r>
      <w:r>
        <w:rPr>
          <w:w w:val="102"/>
          <w:sz w:val="19"/>
        </w:rPr>
        <w:t>2010</w:t>
      </w:r>
      <w:r>
        <w:rPr>
          <w:spacing w:val="12"/>
          <w:sz w:val="19"/>
        </w:rPr>
        <w:t> </w:t>
      </w:r>
      <w:r>
        <w:rPr>
          <w:w w:val="115"/>
          <w:sz w:val="19"/>
        </w:rPr>
        <w:t>“</w:t>
      </w:r>
      <w:r>
        <w:rPr>
          <w:w w:val="243"/>
          <w:sz w:val="19"/>
        </w:rPr>
        <w:t>l</w:t>
      </w:r>
      <w:r>
        <w:rPr>
          <w:w w:val="112"/>
          <w:sz w:val="19"/>
        </w:rPr>
        <w:t>a</w:t>
      </w:r>
      <w:r>
        <w:rPr>
          <w:spacing w:val="12"/>
          <w:sz w:val="19"/>
        </w:rPr>
        <w:t> </w:t>
      </w:r>
      <w:r>
        <w:rPr>
          <w:w w:val="167"/>
          <w:sz w:val="19"/>
        </w:rPr>
        <w:t>o</w:t>
      </w:r>
      <w:r>
        <w:rPr>
          <w:spacing w:val="-15"/>
          <w:w w:val="167"/>
          <w:sz w:val="19"/>
        </w:rPr>
        <w:t>t</w:t>
      </w:r>
      <w:r>
        <w:rPr>
          <w:w w:val="139"/>
          <w:sz w:val="19"/>
        </w:rPr>
        <w:t>a</w:t>
      </w:r>
      <w:r>
        <w:rPr>
          <w:w w:val="119"/>
          <w:sz w:val="19"/>
        </w:rPr>
        <w:t>N</w:t>
      </w:r>
      <w:r>
        <w:rPr>
          <w:spacing w:val="12"/>
          <w:sz w:val="19"/>
        </w:rPr>
        <w:t> </w:t>
      </w:r>
      <w:r>
        <w:rPr>
          <w:w w:val="105"/>
          <w:sz w:val="19"/>
        </w:rPr>
        <w:t>y</w:t>
      </w:r>
      <w:r>
        <w:rPr>
          <w:spacing w:val="12"/>
          <w:sz w:val="19"/>
        </w:rPr>
        <w:t> </w:t>
      </w:r>
      <w:r>
        <w:rPr>
          <w:w w:val="109"/>
          <w:sz w:val="19"/>
        </w:rPr>
        <w:t>su</w:t>
      </w:r>
      <w:r>
        <w:rPr>
          <w:spacing w:val="12"/>
          <w:sz w:val="19"/>
        </w:rPr>
        <w:t> </w:t>
      </w:r>
      <w:r>
        <w:rPr>
          <w:w w:val="108"/>
          <w:sz w:val="19"/>
        </w:rPr>
        <w:t>nuevo</w:t>
      </w:r>
      <w:r>
        <w:rPr>
          <w:spacing w:val="12"/>
          <w:sz w:val="19"/>
        </w:rPr>
        <w:t> </w:t>
      </w:r>
      <w:r>
        <w:rPr>
          <w:w w:val="108"/>
          <w:sz w:val="19"/>
        </w:rPr>
        <w:t>papel </w:t>
      </w:r>
      <w:r>
        <w:rPr>
          <w:w w:val="115"/>
          <w:sz w:val="19"/>
        </w:rPr>
        <w:t>global”, en </w:t>
      </w:r>
      <w:r>
        <w:rPr>
          <w:i/>
          <w:w w:val="115"/>
          <w:sz w:val="19"/>
        </w:rPr>
        <w:t>Cuadernos de Marte. Revista latinoamericana de </w:t>
      </w:r>
      <w:r>
        <w:rPr>
          <w:i/>
          <w:w w:val="115"/>
          <w:sz w:val="19"/>
        </w:rPr>
        <w:t>sociología</w:t>
      </w:r>
      <w:r>
        <w:rPr>
          <w:i/>
          <w:spacing w:val="-17"/>
          <w:w w:val="115"/>
          <w:sz w:val="19"/>
        </w:rPr>
        <w:t> </w:t>
      </w:r>
      <w:r>
        <w:rPr>
          <w:i/>
          <w:w w:val="115"/>
          <w:sz w:val="19"/>
        </w:rPr>
        <w:t>de</w:t>
      </w:r>
      <w:r>
        <w:rPr>
          <w:i/>
          <w:spacing w:val="-17"/>
          <w:w w:val="115"/>
          <w:sz w:val="19"/>
        </w:rPr>
        <w:t> </w:t>
      </w:r>
      <w:r>
        <w:rPr>
          <w:i/>
          <w:w w:val="115"/>
          <w:sz w:val="19"/>
        </w:rPr>
        <w:t>la</w:t>
      </w:r>
      <w:r>
        <w:rPr>
          <w:i/>
          <w:spacing w:val="-17"/>
          <w:w w:val="115"/>
          <w:sz w:val="19"/>
        </w:rPr>
        <w:t> </w:t>
      </w:r>
      <w:r>
        <w:rPr>
          <w:i/>
          <w:w w:val="115"/>
          <w:sz w:val="19"/>
        </w:rPr>
        <w:t>guerra</w:t>
      </w:r>
      <w:r>
        <w:rPr>
          <w:w w:val="115"/>
          <w:sz w:val="19"/>
        </w:rPr>
        <w:t>,</w:t>
      </w:r>
      <w:r>
        <w:rPr>
          <w:spacing w:val="-17"/>
          <w:w w:val="115"/>
          <w:sz w:val="19"/>
        </w:rPr>
        <w:t> </w:t>
      </w:r>
      <w:r>
        <w:rPr>
          <w:w w:val="115"/>
          <w:sz w:val="19"/>
        </w:rPr>
        <w:t>año</w:t>
      </w:r>
      <w:r>
        <w:rPr>
          <w:spacing w:val="-17"/>
          <w:w w:val="115"/>
          <w:sz w:val="19"/>
        </w:rPr>
        <w:t> </w:t>
      </w:r>
      <w:r>
        <w:rPr>
          <w:w w:val="135"/>
          <w:sz w:val="19"/>
        </w:rPr>
        <w:t>i</w:t>
      </w:r>
      <w:r>
        <w:rPr>
          <w:spacing w:val="-26"/>
          <w:w w:val="135"/>
          <w:sz w:val="19"/>
        </w:rPr>
        <w:t> </w:t>
      </w:r>
      <w:r>
        <w:rPr>
          <w:w w:val="115"/>
          <w:sz w:val="19"/>
        </w:rPr>
        <w:t>(instituto</w:t>
      </w:r>
      <w:r>
        <w:rPr>
          <w:spacing w:val="-17"/>
          <w:w w:val="115"/>
          <w:sz w:val="19"/>
        </w:rPr>
        <w:t> </w:t>
      </w:r>
      <w:r>
        <w:rPr>
          <w:w w:val="115"/>
          <w:sz w:val="19"/>
        </w:rPr>
        <w:t>de</w:t>
      </w:r>
      <w:r>
        <w:rPr>
          <w:spacing w:val="-17"/>
          <w:w w:val="115"/>
          <w:sz w:val="19"/>
        </w:rPr>
        <w:t> </w:t>
      </w:r>
      <w:r>
        <w:rPr>
          <w:w w:val="115"/>
          <w:sz w:val="19"/>
        </w:rPr>
        <w:t>investigaciones</w:t>
      </w:r>
      <w:r>
        <w:rPr>
          <w:spacing w:val="-17"/>
          <w:w w:val="115"/>
          <w:sz w:val="19"/>
        </w:rPr>
        <w:t> </w:t>
      </w:r>
      <w:r>
        <w:rPr>
          <w:w w:val="115"/>
          <w:sz w:val="19"/>
        </w:rPr>
        <w:t>Gino Germani, universidad de buenos</w:t>
      </w:r>
      <w:r>
        <w:rPr>
          <w:spacing w:val="-32"/>
          <w:w w:val="115"/>
          <w:sz w:val="19"/>
        </w:rPr>
        <w:t> </w:t>
      </w:r>
      <w:r>
        <w:rPr>
          <w:w w:val="115"/>
          <w:sz w:val="19"/>
        </w:rPr>
        <w:t>aires).</w:t>
      </w:r>
    </w:p>
    <w:p>
      <w:pPr>
        <w:spacing w:after="0" w:line="252" w:lineRule="auto"/>
        <w:jc w:val="left"/>
        <w:rPr>
          <w:sz w:val="19"/>
        </w:rPr>
        <w:sectPr>
          <w:pgSz w:w="8790" w:h="12760"/>
          <w:pgMar w:header="695" w:footer="723" w:top="880" w:bottom="920" w:left="920" w:right="1200"/>
        </w:sectPr>
      </w:pPr>
    </w:p>
    <w:p>
      <w:pPr>
        <w:pStyle w:val="BodyText"/>
        <w:spacing w:before="7"/>
        <w:rPr>
          <w:sz w:val="28"/>
        </w:rPr>
      </w:pPr>
    </w:p>
    <w:p>
      <w:pPr>
        <w:spacing w:line="283" w:lineRule="auto" w:before="73"/>
        <w:ind w:left="330" w:right="168" w:firstLine="0"/>
        <w:jc w:val="left"/>
        <w:rPr>
          <w:sz w:val="19"/>
        </w:rPr>
      </w:pPr>
      <w:r>
        <w:rPr>
          <w:w w:val="115"/>
          <w:sz w:val="19"/>
        </w:rPr>
        <w:t>Hardt,</w:t>
      </w:r>
      <w:r>
        <w:rPr>
          <w:spacing w:val="-26"/>
          <w:w w:val="115"/>
          <w:sz w:val="19"/>
        </w:rPr>
        <w:t> </w:t>
      </w:r>
      <w:r>
        <w:rPr>
          <w:w w:val="115"/>
          <w:sz w:val="19"/>
        </w:rPr>
        <w:t>Michael</w:t>
      </w:r>
      <w:r>
        <w:rPr>
          <w:spacing w:val="-26"/>
          <w:w w:val="115"/>
          <w:sz w:val="19"/>
        </w:rPr>
        <w:t> </w:t>
      </w:r>
      <w:r>
        <w:rPr>
          <w:w w:val="115"/>
          <w:sz w:val="19"/>
        </w:rPr>
        <w:t>y</w:t>
      </w:r>
      <w:r>
        <w:rPr>
          <w:spacing w:val="-26"/>
          <w:w w:val="115"/>
          <w:sz w:val="19"/>
        </w:rPr>
        <w:t> </w:t>
      </w:r>
      <w:r>
        <w:rPr>
          <w:w w:val="115"/>
          <w:sz w:val="19"/>
        </w:rPr>
        <w:t>Negri,</w:t>
      </w:r>
      <w:r>
        <w:rPr>
          <w:spacing w:val="-26"/>
          <w:w w:val="115"/>
          <w:sz w:val="19"/>
        </w:rPr>
        <w:t> </w:t>
      </w:r>
      <w:r>
        <w:rPr>
          <w:w w:val="115"/>
          <w:sz w:val="19"/>
        </w:rPr>
        <w:t>antonio</w:t>
      </w:r>
      <w:r>
        <w:rPr>
          <w:spacing w:val="-26"/>
          <w:w w:val="115"/>
          <w:sz w:val="19"/>
        </w:rPr>
        <w:t> </w:t>
      </w:r>
      <w:r>
        <w:rPr>
          <w:w w:val="115"/>
          <w:sz w:val="19"/>
        </w:rPr>
        <w:t>2000</w:t>
      </w:r>
      <w:r>
        <w:rPr>
          <w:spacing w:val="-26"/>
          <w:w w:val="115"/>
          <w:sz w:val="19"/>
        </w:rPr>
        <w:t> </w:t>
      </w:r>
      <w:r>
        <w:rPr>
          <w:i/>
          <w:w w:val="115"/>
          <w:sz w:val="19"/>
        </w:rPr>
        <w:t>Imperio</w:t>
      </w:r>
      <w:r>
        <w:rPr>
          <w:i/>
          <w:spacing w:val="-26"/>
          <w:w w:val="115"/>
          <w:sz w:val="19"/>
        </w:rPr>
        <w:t> </w:t>
      </w:r>
      <w:r>
        <w:rPr>
          <w:w w:val="115"/>
          <w:sz w:val="19"/>
        </w:rPr>
        <w:t>(buenos</w:t>
      </w:r>
      <w:r>
        <w:rPr>
          <w:spacing w:val="-26"/>
          <w:w w:val="115"/>
          <w:sz w:val="19"/>
        </w:rPr>
        <w:t> </w:t>
      </w:r>
      <w:r>
        <w:rPr>
          <w:w w:val="115"/>
          <w:sz w:val="19"/>
        </w:rPr>
        <w:t>aires:</w:t>
      </w:r>
      <w:r>
        <w:rPr>
          <w:spacing w:val="-26"/>
          <w:w w:val="115"/>
          <w:sz w:val="19"/>
        </w:rPr>
        <w:t> </w:t>
      </w:r>
      <w:r>
        <w:rPr>
          <w:w w:val="115"/>
          <w:sz w:val="19"/>
        </w:rPr>
        <w:t>Paidós). </w:t>
      </w:r>
      <w:r>
        <w:rPr>
          <w:w w:val="111"/>
          <w:sz w:val="19"/>
        </w:rPr>
        <w:t>Hernández</w:t>
      </w:r>
      <w:r>
        <w:rPr>
          <w:spacing w:val="12"/>
          <w:sz w:val="19"/>
        </w:rPr>
        <w:t> </w:t>
      </w:r>
      <w:r>
        <w:rPr>
          <w:w w:val="113"/>
          <w:sz w:val="19"/>
        </w:rPr>
        <w:t>Martínez,</w:t>
      </w:r>
      <w:r>
        <w:rPr>
          <w:spacing w:val="12"/>
          <w:sz w:val="19"/>
        </w:rPr>
        <w:t> </w:t>
      </w:r>
      <w:r>
        <w:rPr>
          <w:w w:val="115"/>
          <w:sz w:val="19"/>
        </w:rPr>
        <w:t>José</w:t>
      </w:r>
      <w:r>
        <w:rPr>
          <w:spacing w:val="12"/>
          <w:sz w:val="19"/>
        </w:rPr>
        <w:t> </w:t>
      </w:r>
      <w:r>
        <w:rPr>
          <w:w w:val="102"/>
          <w:sz w:val="19"/>
        </w:rPr>
        <w:t>2008</w:t>
      </w:r>
      <w:r>
        <w:rPr>
          <w:spacing w:val="12"/>
          <w:sz w:val="19"/>
        </w:rPr>
        <w:t> </w:t>
      </w:r>
      <w:r>
        <w:rPr>
          <w:i/>
          <w:w w:val="116"/>
          <w:sz w:val="19"/>
        </w:rPr>
        <w:t>Los</w:t>
      </w:r>
      <w:r>
        <w:rPr>
          <w:i/>
          <w:spacing w:val="12"/>
          <w:sz w:val="19"/>
        </w:rPr>
        <w:t> </w:t>
      </w:r>
      <w:r>
        <w:rPr>
          <w:i/>
          <w:w w:val="126"/>
          <w:sz w:val="19"/>
        </w:rPr>
        <w:t>EE.UU.</w:t>
      </w:r>
      <w:r>
        <w:rPr>
          <w:i/>
          <w:spacing w:val="12"/>
          <w:sz w:val="19"/>
        </w:rPr>
        <w:t> </w:t>
      </w:r>
      <w:r>
        <w:rPr>
          <w:i/>
          <w:w w:val="104"/>
          <w:sz w:val="19"/>
        </w:rPr>
        <w:t>a</w:t>
      </w:r>
      <w:r>
        <w:rPr>
          <w:i/>
          <w:spacing w:val="12"/>
          <w:sz w:val="19"/>
        </w:rPr>
        <w:t> </w:t>
      </w:r>
      <w:r>
        <w:rPr>
          <w:i/>
          <w:w w:val="105"/>
          <w:sz w:val="19"/>
        </w:rPr>
        <w:t>la</w:t>
      </w:r>
      <w:r>
        <w:rPr>
          <w:i/>
          <w:spacing w:val="12"/>
          <w:sz w:val="19"/>
        </w:rPr>
        <w:t> </w:t>
      </w:r>
      <w:r>
        <w:rPr>
          <w:i/>
          <w:w w:val="110"/>
          <w:sz w:val="19"/>
        </w:rPr>
        <w:t>luz</w:t>
      </w:r>
      <w:r>
        <w:rPr>
          <w:i/>
          <w:spacing w:val="12"/>
          <w:sz w:val="19"/>
        </w:rPr>
        <w:t> </w:t>
      </w:r>
      <w:r>
        <w:rPr>
          <w:i/>
          <w:w w:val="104"/>
          <w:sz w:val="19"/>
        </w:rPr>
        <w:t>del</w:t>
      </w:r>
      <w:r>
        <w:rPr>
          <w:i/>
          <w:spacing w:val="12"/>
          <w:sz w:val="19"/>
        </w:rPr>
        <w:t> </w:t>
      </w:r>
      <w:r>
        <w:rPr>
          <w:i/>
          <w:w w:val="108"/>
          <w:sz w:val="19"/>
        </w:rPr>
        <w:t>siglo</w:t>
      </w:r>
      <w:r>
        <w:rPr>
          <w:i/>
          <w:spacing w:val="12"/>
          <w:sz w:val="19"/>
        </w:rPr>
        <w:t> </w:t>
      </w:r>
      <w:r>
        <w:rPr>
          <w:i/>
          <w:w w:val="126"/>
          <w:sz w:val="19"/>
        </w:rPr>
        <w:t>XXI</w:t>
      </w:r>
      <w:r>
        <w:rPr>
          <w:i/>
          <w:spacing w:val="12"/>
          <w:sz w:val="19"/>
        </w:rPr>
        <w:t> </w:t>
      </w:r>
      <w:r>
        <w:rPr>
          <w:w w:val="98"/>
          <w:sz w:val="19"/>
        </w:rPr>
        <w:t>(</w:t>
      </w:r>
      <w:r>
        <w:rPr>
          <w:w w:val="243"/>
          <w:sz w:val="19"/>
        </w:rPr>
        <w:t>l</w:t>
      </w:r>
      <w:r>
        <w:rPr>
          <w:w w:val="112"/>
          <w:sz w:val="19"/>
        </w:rPr>
        <w:t>a</w:t>
      </w:r>
    </w:p>
    <w:p>
      <w:pPr>
        <w:pStyle w:val="BodyText"/>
        <w:spacing w:line="194" w:lineRule="exact"/>
        <w:ind w:left="727" w:right="179"/>
      </w:pPr>
      <w:r>
        <w:rPr>
          <w:w w:val="115"/>
        </w:rPr>
        <w:t>Habana: Editorial de Ciencias sociales).</w:t>
      </w:r>
    </w:p>
    <w:p>
      <w:pPr>
        <w:spacing w:line="252" w:lineRule="auto" w:before="39"/>
        <w:ind w:left="727" w:right="179" w:hanging="397"/>
        <w:jc w:val="left"/>
        <w:rPr>
          <w:sz w:val="19"/>
        </w:rPr>
      </w:pPr>
      <w:r>
        <w:rPr>
          <w:w w:val="115"/>
          <w:sz w:val="19"/>
        </w:rPr>
        <w:t>Hernández Martínez, José 2010 </w:t>
      </w:r>
      <w:r>
        <w:rPr>
          <w:i/>
          <w:w w:val="115"/>
          <w:sz w:val="19"/>
        </w:rPr>
        <w:t>Estados Unidos. Hegemonía, </w:t>
      </w:r>
      <w:r>
        <w:rPr>
          <w:i/>
          <w:w w:val="107"/>
          <w:sz w:val="19"/>
        </w:rPr>
        <w:t>seguridad</w:t>
      </w:r>
      <w:r>
        <w:rPr>
          <w:i/>
          <w:sz w:val="19"/>
        </w:rPr>
        <w:t> </w:t>
      </w:r>
      <w:r>
        <w:rPr>
          <w:i/>
          <w:w w:val="111"/>
          <w:sz w:val="19"/>
        </w:rPr>
        <w:t>nacional</w:t>
      </w:r>
      <w:r>
        <w:rPr>
          <w:i/>
          <w:sz w:val="19"/>
        </w:rPr>
        <w:t> </w:t>
      </w:r>
      <w:r>
        <w:rPr>
          <w:i/>
          <w:w w:val="106"/>
          <w:sz w:val="19"/>
        </w:rPr>
        <w:t>y</w:t>
      </w:r>
      <w:r>
        <w:rPr>
          <w:i/>
          <w:sz w:val="19"/>
        </w:rPr>
        <w:t> </w:t>
      </w:r>
      <w:r>
        <w:rPr>
          <w:i/>
          <w:w w:val="109"/>
          <w:sz w:val="19"/>
        </w:rPr>
        <w:t>cultura</w:t>
      </w:r>
      <w:r>
        <w:rPr>
          <w:i/>
          <w:sz w:val="19"/>
        </w:rPr>
        <w:t> </w:t>
      </w:r>
      <w:r>
        <w:rPr>
          <w:i/>
          <w:w w:val="109"/>
          <w:sz w:val="19"/>
        </w:rPr>
        <w:t>política</w:t>
      </w:r>
      <w:r>
        <w:rPr>
          <w:i/>
          <w:sz w:val="19"/>
        </w:rPr>
        <w:t> </w:t>
      </w:r>
      <w:r>
        <w:rPr>
          <w:w w:val="98"/>
          <w:sz w:val="19"/>
        </w:rPr>
        <w:t>(</w:t>
      </w:r>
      <w:r>
        <w:rPr>
          <w:w w:val="243"/>
          <w:sz w:val="19"/>
        </w:rPr>
        <w:t>l</w:t>
      </w:r>
      <w:r>
        <w:rPr>
          <w:w w:val="112"/>
          <w:sz w:val="19"/>
        </w:rPr>
        <w:t>a</w:t>
      </w:r>
      <w:r>
        <w:rPr>
          <w:sz w:val="19"/>
        </w:rPr>
        <w:t> </w:t>
      </w:r>
      <w:r>
        <w:rPr>
          <w:w w:val="113"/>
          <w:sz w:val="19"/>
        </w:rPr>
        <w:t>Habana:</w:t>
      </w:r>
      <w:r>
        <w:rPr>
          <w:sz w:val="19"/>
        </w:rPr>
        <w:t> </w:t>
      </w:r>
      <w:r>
        <w:rPr>
          <w:w w:val="113"/>
          <w:sz w:val="19"/>
        </w:rPr>
        <w:t>Editorial</w:t>
      </w:r>
      <w:r>
        <w:rPr>
          <w:sz w:val="19"/>
        </w:rPr>
        <w:t> </w:t>
      </w:r>
      <w:r>
        <w:rPr>
          <w:w w:val="107"/>
          <w:sz w:val="19"/>
        </w:rPr>
        <w:t>de </w:t>
      </w:r>
      <w:r>
        <w:rPr>
          <w:w w:val="115"/>
          <w:sz w:val="19"/>
        </w:rPr>
        <w:t>Ciencias sociales).</w:t>
      </w:r>
    </w:p>
    <w:p>
      <w:pPr>
        <w:pStyle w:val="BodyText"/>
        <w:spacing w:line="252" w:lineRule="auto" w:before="28"/>
        <w:ind w:left="727" w:right="179" w:hanging="397"/>
      </w:pPr>
      <w:r>
        <w:rPr>
          <w:w w:val="110"/>
        </w:rPr>
        <w:t>Hernández, rafael 2008 “¿tendrá Estados unidos una política latinoamericana (y caribeña) que incluya a Cuba?”, en </w:t>
      </w:r>
      <w:r>
        <w:rPr>
          <w:i/>
          <w:w w:val="110"/>
        </w:rPr>
        <w:t>Foreign </w:t>
      </w:r>
      <w:r>
        <w:rPr>
          <w:i/>
          <w:w w:val="110"/>
        </w:rPr>
        <w:t>Affairs Latinoamérica</w:t>
      </w:r>
      <w:r>
        <w:rPr>
          <w:w w:val="110"/>
        </w:rPr>
        <w:t>, Vol. 8, Nº  4.</w:t>
      </w:r>
    </w:p>
    <w:p>
      <w:pPr>
        <w:spacing w:line="252" w:lineRule="auto" w:before="28"/>
        <w:ind w:left="727" w:right="179" w:hanging="397"/>
        <w:jc w:val="left"/>
        <w:rPr>
          <w:sz w:val="19"/>
        </w:rPr>
      </w:pPr>
      <w:r>
        <w:rPr>
          <w:w w:val="110"/>
          <w:sz w:val="19"/>
        </w:rPr>
        <w:t>Katz, Claudio 2006 </w:t>
      </w:r>
      <w:r>
        <w:rPr>
          <w:i/>
          <w:w w:val="110"/>
          <w:sz w:val="19"/>
        </w:rPr>
        <w:t>El rediseño de América Latina. Alca, Mercosur y </w:t>
      </w:r>
      <w:r>
        <w:rPr>
          <w:i/>
          <w:w w:val="115"/>
          <w:sz w:val="19"/>
        </w:rPr>
        <w:t>ALBA</w:t>
      </w:r>
      <w:r>
        <w:rPr>
          <w:i/>
          <w:sz w:val="19"/>
        </w:rPr>
        <w:t> </w:t>
      </w:r>
      <w:r>
        <w:rPr>
          <w:w w:val="98"/>
          <w:sz w:val="19"/>
        </w:rPr>
        <w:t>(</w:t>
      </w:r>
      <w:r>
        <w:rPr>
          <w:w w:val="134"/>
          <w:sz w:val="19"/>
        </w:rPr>
        <w:t>b</w:t>
      </w:r>
      <w:r>
        <w:rPr>
          <w:w w:val="109"/>
          <w:sz w:val="19"/>
        </w:rPr>
        <w:t>uenos</w:t>
      </w:r>
      <w:r>
        <w:rPr>
          <w:sz w:val="19"/>
        </w:rPr>
        <w:t> </w:t>
      </w:r>
      <w:r>
        <w:rPr>
          <w:w w:val="139"/>
          <w:sz w:val="19"/>
        </w:rPr>
        <w:t>a</w:t>
      </w:r>
      <w:r>
        <w:rPr>
          <w:w w:val="107"/>
          <w:sz w:val="19"/>
        </w:rPr>
        <w:t>ires:</w:t>
      </w:r>
      <w:r>
        <w:rPr>
          <w:sz w:val="19"/>
        </w:rPr>
        <w:t> </w:t>
      </w:r>
      <w:r>
        <w:rPr>
          <w:w w:val="113"/>
          <w:sz w:val="19"/>
        </w:rPr>
        <w:t>Ediciones</w:t>
      </w:r>
      <w:r>
        <w:rPr>
          <w:sz w:val="19"/>
        </w:rPr>
        <w:t> </w:t>
      </w:r>
      <w:r>
        <w:rPr>
          <w:w w:val="243"/>
          <w:sz w:val="19"/>
        </w:rPr>
        <w:t>l</w:t>
      </w:r>
      <w:r>
        <w:rPr>
          <w:w w:val="110"/>
          <w:sz w:val="19"/>
        </w:rPr>
        <w:t>uxemburg).</w:t>
      </w:r>
    </w:p>
    <w:p>
      <w:pPr>
        <w:pStyle w:val="BodyText"/>
        <w:spacing w:line="252" w:lineRule="auto" w:before="28"/>
        <w:ind w:left="727" w:right="7" w:hanging="397"/>
      </w:pPr>
      <w:r>
        <w:rPr>
          <w:spacing w:val="-4"/>
          <w:w w:val="243"/>
        </w:rPr>
        <w:t>l</w:t>
      </w:r>
      <w:r>
        <w:rPr>
          <w:spacing w:val="-4"/>
          <w:w w:val="113"/>
        </w:rPr>
        <w:t>amrani</w:t>
      </w:r>
      <w:r>
        <w:rPr>
          <w:w w:val="113"/>
        </w:rPr>
        <w:t>,</w:t>
      </w:r>
      <w:r>
        <w:rPr/>
        <w:t> </w:t>
      </w:r>
      <w:r>
        <w:rPr>
          <w:spacing w:val="-4"/>
          <w:w w:val="149"/>
        </w:rPr>
        <w:t>s</w:t>
      </w:r>
      <w:r>
        <w:rPr>
          <w:spacing w:val="-4"/>
          <w:w w:val="113"/>
        </w:rPr>
        <w:t>ali</w:t>
      </w:r>
      <w:r>
        <w:rPr>
          <w:w w:val="113"/>
        </w:rPr>
        <w:t>m</w:t>
      </w:r>
      <w:r>
        <w:rPr/>
        <w:t> </w:t>
      </w:r>
      <w:r>
        <w:rPr>
          <w:spacing w:val="-4"/>
          <w:w w:val="102"/>
        </w:rPr>
        <w:t>201</w:t>
      </w:r>
      <w:r>
        <w:rPr>
          <w:w w:val="102"/>
        </w:rPr>
        <w:t>5</w:t>
      </w:r>
      <w:r>
        <w:rPr/>
        <w:t> </w:t>
      </w:r>
      <w:r>
        <w:rPr>
          <w:spacing w:val="-4"/>
          <w:w w:val="112"/>
        </w:rPr>
        <w:t>“Estado</w:t>
      </w:r>
      <w:r>
        <w:rPr>
          <w:w w:val="112"/>
        </w:rPr>
        <w:t>s</w:t>
      </w:r>
      <w:r>
        <w:rPr/>
        <w:t> </w:t>
      </w:r>
      <w:r>
        <w:rPr>
          <w:spacing w:val="-4"/>
          <w:w w:val="140"/>
        </w:rPr>
        <w:t>u</w:t>
      </w:r>
      <w:r>
        <w:rPr>
          <w:spacing w:val="-4"/>
          <w:w w:val="112"/>
        </w:rPr>
        <w:t>nidos-Cuba</w:t>
      </w:r>
      <w:r>
        <w:rPr>
          <w:w w:val="112"/>
        </w:rPr>
        <w:t>.</w:t>
      </w:r>
      <w:r>
        <w:rPr/>
        <w:t> </w:t>
      </w:r>
      <w:r>
        <w:rPr>
          <w:spacing w:val="-4"/>
          <w:w w:val="122"/>
        </w:rPr>
        <w:t>E</w:t>
      </w:r>
      <w:r>
        <w:rPr>
          <w:w w:val="122"/>
        </w:rPr>
        <w:t>l</w:t>
      </w:r>
      <w:r>
        <w:rPr/>
        <w:t> </w:t>
      </w:r>
      <w:r>
        <w:rPr>
          <w:spacing w:val="-4"/>
          <w:w w:val="109"/>
        </w:rPr>
        <w:t>bloque</w:t>
      </w:r>
      <w:r>
        <w:rPr>
          <w:w w:val="109"/>
        </w:rPr>
        <w:t>o</w:t>
      </w:r>
      <w:r>
        <w:rPr/>
        <w:t> </w:t>
      </w:r>
      <w:r>
        <w:rPr>
          <w:spacing w:val="-4"/>
          <w:w w:val="111"/>
        </w:rPr>
        <w:t>má</w:t>
      </w:r>
      <w:r>
        <w:rPr>
          <w:w w:val="111"/>
        </w:rPr>
        <w:t>s</w:t>
      </w:r>
      <w:r>
        <w:rPr/>
        <w:t> </w:t>
      </w:r>
      <w:r>
        <w:rPr>
          <w:spacing w:val="-4"/>
          <w:w w:val="110"/>
        </w:rPr>
        <w:t>larg</w:t>
      </w:r>
      <w:r>
        <w:rPr>
          <w:w w:val="110"/>
        </w:rPr>
        <w:t>o</w:t>
      </w:r>
      <w:r>
        <w:rPr/>
        <w:t> </w:t>
      </w:r>
      <w:r>
        <w:rPr>
          <w:spacing w:val="-4"/>
          <w:w w:val="107"/>
        </w:rPr>
        <w:t>d</w:t>
      </w:r>
      <w:r>
        <w:rPr>
          <w:w w:val="107"/>
        </w:rPr>
        <w:t>e</w:t>
      </w:r>
      <w:r>
        <w:rPr/>
        <w:t> </w:t>
      </w:r>
      <w:r>
        <w:rPr>
          <w:spacing w:val="-4"/>
          <w:w w:val="111"/>
        </w:rPr>
        <w:t>la </w:t>
      </w:r>
      <w:r>
        <w:rPr>
          <w:spacing w:val="-4"/>
          <w:w w:val="115"/>
        </w:rPr>
        <w:t>historia”, </w:t>
      </w:r>
      <w:r>
        <w:rPr>
          <w:w w:val="115"/>
        </w:rPr>
        <w:t>en </w:t>
      </w:r>
      <w:r>
        <w:rPr>
          <w:i/>
          <w:w w:val="115"/>
        </w:rPr>
        <w:t>Le </w:t>
      </w:r>
      <w:r>
        <w:rPr>
          <w:i/>
          <w:spacing w:val="-4"/>
          <w:w w:val="115"/>
        </w:rPr>
        <w:t>monde diplomatique</w:t>
      </w:r>
      <w:r>
        <w:rPr>
          <w:spacing w:val="-4"/>
          <w:w w:val="115"/>
        </w:rPr>
        <w:t>, </w:t>
      </w:r>
      <w:r>
        <w:rPr>
          <w:spacing w:val="-3"/>
          <w:w w:val="115"/>
        </w:rPr>
        <w:t>año </w:t>
      </w:r>
      <w:r>
        <w:rPr>
          <w:w w:val="115"/>
        </w:rPr>
        <w:t>xV </w:t>
      </w:r>
      <w:r>
        <w:rPr>
          <w:spacing w:val="-4"/>
          <w:w w:val="115"/>
        </w:rPr>
        <w:t>(159), enero-febrero.</w:t>
      </w:r>
    </w:p>
    <w:p>
      <w:pPr>
        <w:pStyle w:val="BodyText"/>
        <w:spacing w:line="252" w:lineRule="auto" w:before="28"/>
        <w:ind w:left="727" w:right="136" w:hanging="397"/>
      </w:pPr>
      <w:r>
        <w:rPr>
          <w:w w:val="115"/>
        </w:rPr>
        <w:t>Morales</w:t>
      </w:r>
      <w:r>
        <w:rPr>
          <w:spacing w:val="-16"/>
          <w:w w:val="115"/>
        </w:rPr>
        <w:t> </w:t>
      </w:r>
      <w:r>
        <w:rPr>
          <w:w w:val="115"/>
        </w:rPr>
        <w:t>domínguez,</w:t>
      </w:r>
      <w:r>
        <w:rPr>
          <w:spacing w:val="-16"/>
          <w:w w:val="115"/>
        </w:rPr>
        <w:t> </w:t>
      </w:r>
      <w:r>
        <w:rPr>
          <w:w w:val="115"/>
        </w:rPr>
        <w:t>Esteban</w:t>
      </w:r>
      <w:r>
        <w:rPr>
          <w:spacing w:val="-16"/>
          <w:w w:val="115"/>
        </w:rPr>
        <w:t> </w:t>
      </w:r>
      <w:r>
        <w:rPr>
          <w:w w:val="115"/>
        </w:rPr>
        <w:t>2008</w:t>
      </w:r>
      <w:r>
        <w:rPr>
          <w:spacing w:val="-16"/>
          <w:w w:val="115"/>
        </w:rPr>
        <w:t> </w:t>
      </w:r>
      <w:r>
        <w:rPr>
          <w:w w:val="115"/>
        </w:rPr>
        <w:t>“imperialismo</w:t>
      </w:r>
      <w:r>
        <w:rPr>
          <w:spacing w:val="-16"/>
          <w:w w:val="115"/>
        </w:rPr>
        <w:t> </w:t>
      </w:r>
      <w:r>
        <w:rPr>
          <w:w w:val="115"/>
        </w:rPr>
        <w:t>y</w:t>
      </w:r>
      <w:r>
        <w:rPr>
          <w:spacing w:val="-16"/>
          <w:w w:val="115"/>
        </w:rPr>
        <w:t> </w:t>
      </w:r>
      <w:r>
        <w:rPr>
          <w:w w:val="115"/>
        </w:rPr>
        <w:t>economía</w:t>
      </w:r>
      <w:r>
        <w:rPr>
          <w:spacing w:val="-16"/>
          <w:w w:val="115"/>
        </w:rPr>
        <w:t> </w:t>
      </w:r>
      <w:r>
        <w:rPr>
          <w:w w:val="115"/>
        </w:rPr>
        <w:t>en</w:t>
      </w:r>
      <w:r>
        <w:rPr>
          <w:spacing w:val="-16"/>
          <w:w w:val="115"/>
        </w:rPr>
        <w:t> </w:t>
      </w:r>
      <w:r>
        <w:rPr>
          <w:w w:val="115"/>
        </w:rPr>
        <w:t>los Estados</w:t>
      </w:r>
      <w:r>
        <w:rPr>
          <w:spacing w:val="-12"/>
          <w:w w:val="115"/>
        </w:rPr>
        <w:t> </w:t>
      </w:r>
      <w:r>
        <w:rPr>
          <w:w w:val="115"/>
        </w:rPr>
        <w:t>unidos:</w:t>
      </w:r>
      <w:r>
        <w:rPr>
          <w:spacing w:val="-12"/>
          <w:w w:val="115"/>
        </w:rPr>
        <w:t> </w:t>
      </w:r>
      <w:r>
        <w:rPr>
          <w:w w:val="115"/>
        </w:rPr>
        <w:t>el</w:t>
      </w:r>
      <w:r>
        <w:rPr>
          <w:spacing w:val="-12"/>
          <w:w w:val="115"/>
        </w:rPr>
        <w:t> </w:t>
      </w:r>
      <w:r>
        <w:rPr>
          <w:w w:val="115"/>
        </w:rPr>
        <w:t>llamado</w:t>
      </w:r>
      <w:r>
        <w:rPr>
          <w:spacing w:val="-12"/>
          <w:w w:val="115"/>
        </w:rPr>
        <w:t> </w:t>
      </w:r>
      <w:r>
        <w:rPr>
          <w:w w:val="115"/>
        </w:rPr>
        <w:t>complejo</w:t>
      </w:r>
      <w:r>
        <w:rPr>
          <w:spacing w:val="-12"/>
          <w:w w:val="115"/>
        </w:rPr>
        <w:t> </w:t>
      </w:r>
      <w:r>
        <w:rPr>
          <w:w w:val="115"/>
        </w:rPr>
        <w:t>militar</w:t>
      </w:r>
      <w:r>
        <w:rPr>
          <w:spacing w:val="-12"/>
          <w:w w:val="115"/>
        </w:rPr>
        <w:t> </w:t>
      </w:r>
      <w:r>
        <w:rPr>
          <w:w w:val="115"/>
        </w:rPr>
        <w:t>industrial”,</w:t>
      </w:r>
      <w:r>
        <w:rPr>
          <w:spacing w:val="-12"/>
          <w:w w:val="115"/>
        </w:rPr>
        <w:t> </w:t>
      </w:r>
      <w:r>
        <w:rPr>
          <w:w w:val="115"/>
        </w:rPr>
        <w:t>en</w:t>
      </w:r>
      <w:r>
        <w:rPr>
          <w:spacing w:val="-12"/>
          <w:w w:val="115"/>
        </w:rPr>
        <w:t> </w:t>
      </w:r>
      <w:r>
        <w:rPr>
          <w:w w:val="115"/>
        </w:rPr>
        <w:t>José Hernández Martínez (ed.) </w:t>
      </w:r>
      <w:r>
        <w:rPr>
          <w:i/>
          <w:w w:val="115"/>
        </w:rPr>
        <w:t>Los Estados Unidos a la luz del siglo </w:t>
      </w:r>
      <w:r>
        <w:rPr>
          <w:i/>
          <w:w w:val="126"/>
        </w:rPr>
        <w:t>XXI</w:t>
      </w:r>
      <w:r>
        <w:rPr>
          <w:i/>
          <w:spacing w:val="12"/>
        </w:rPr>
        <w:t> </w:t>
      </w:r>
      <w:r>
        <w:rPr>
          <w:w w:val="98"/>
        </w:rPr>
        <w:t>(</w:t>
      </w:r>
      <w:r>
        <w:rPr>
          <w:w w:val="243"/>
        </w:rPr>
        <w:t>l</w:t>
      </w:r>
      <w:r>
        <w:rPr>
          <w:w w:val="112"/>
        </w:rPr>
        <w:t>a</w:t>
      </w:r>
      <w:r>
        <w:rPr>
          <w:spacing w:val="12"/>
        </w:rPr>
        <w:t> </w:t>
      </w:r>
      <w:r>
        <w:rPr>
          <w:w w:val="113"/>
        </w:rPr>
        <w:t>Habana:</w:t>
      </w:r>
      <w:r>
        <w:rPr>
          <w:spacing w:val="12"/>
        </w:rPr>
        <w:t> </w:t>
      </w:r>
      <w:r>
        <w:rPr>
          <w:w w:val="113"/>
        </w:rPr>
        <w:t>Editorial</w:t>
      </w:r>
      <w:r>
        <w:rPr>
          <w:spacing w:val="12"/>
        </w:rPr>
        <w:t> </w:t>
      </w:r>
      <w:r>
        <w:rPr>
          <w:w w:val="113"/>
        </w:rPr>
        <w:t>Ciencias</w:t>
      </w:r>
      <w:r>
        <w:rPr>
          <w:spacing w:val="12"/>
        </w:rPr>
        <w:t> </w:t>
      </w:r>
      <w:r>
        <w:rPr>
          <w:w w:val="149"/>
        </w:rPr>
        <w:t>s</w:t>
      </w:r>
      <w:r>
        <w:rPr>
          <w:w w:val="110"/>
        </w:rPr>
        <w:t>ociales).</w:t>
      </w:r>
    </w:p>
    <w:p>
      <w:pPr>
        <w:pStyle w:val="BodyText"/>
        <w:spacing w:line="252" w:lineRule="auto" w:before="28"/>
        <w:ind w:left="727" w:right="1208" w:hanging="397"/>
      </w:pPr>
      <w:r>
        <w:rPr>
          <w:w w:val="115"/>
        </w:rPr>
        <w:t>Nadal, alejandro 2005 “adiós al </w:t>
      </w:r>
      <w:r>
        <w:rPr>
          <w:w w:val="130"/>
        </w:rPr>
        <w:t>alCa. </w:t>
      </w:r>
      <w:r>
        <w:rPr>
          <w:w w:val="115"/>
        </w:rPr>
        <w:t>¿se perdieron los beneficios?”, en </w:t>
      </w:r>
      <w:r>
        <w:rPr>
          <w:i/>
          <w:w w:val="115"/>
        </w:rPr>
        <w:t>La Jornada</w:t>
      </w:r>
      <w:r>
        <w:rPr>
          <w:w w:val="115"/>
        </w:rPr>
        <w:t>, 30 de noviembre.</w:t>
      </w:r>
    </w:p>
    <w:p>
      <w:pPr>
        <w:spacing w:line="283" w:lineRule="auto" w:before="28"/>
        <w:ind w:left="330" w:right="85" w:firstLine="0"/>
        <w:jc w:val="left"/>
        <w:rPr>
          <w:sz w:val="19"/>
        </w:rPr>
      </w:pPr>
      <w:r>
        <w:rPr>
          <w:w w:val="110"/>
          <w:sz w:val="19"/>
        </w:rPr>
        <w:t>Nye Jr., Joseph 2011 </w:t>
      </w:r>
      <w:r>
        <w:rPr>
          <w:i/>
          <w:w w:val="110"/>
          <w:sz w:val="19"/>
        </w:rPr>
        <w:t>The Future of Power </w:t>
      </w:r>
      <w:r>
        <w:rPr>
          <w:w w:val="110"/>
          <w:sz w:val="19"/>
        </w:rPr>
        <w:t>(Nueva York: Public affairs). obama, barack 2010 </w:t>
      </w:r>
      <w:r>
        <w:rPr>
          <w:i/>
          <w:w w:val="110"/>
          <w:sz w:val="19"/>
        </w:rPr>
        <w:t>National Security Strategy </w:t>
      </w:r>
      <w:r>
        <w:rPr>
          <w:w w:val="110"/>
          <w:sz w:val="19"/>
        </w:rPr>
        <w:t>(Washington,    d.C.:</w:t>
      </w:r>
    </w:p>
    <w:p>
      <w:pPr>
        <w:pStyle w:val="BodyText"/>
        <w:spacing w:line="194" w:lineRule="exact"/>
        <w:ind w:left="727" w:right="179"/>
      </w:pPr>
      <w:r>
        <w:rPr>
          <w:w w:val="120"/>
        </w:rPr>
        <w:t>the White House).</w:t>
      </w:r>
    </w:p>
    <w:p>
      <w:pPr>
        <w:spacing w:line="252" w:lineRule="auto" w:before="39"/>
        <w:ind w:left="727" w:right="407" w:hanging="397"/>
        <w:jc w:val="both"/>
        <w:rPr>
          <w:sz w:val="19"/>
        </w:rPr>
      </w:pPr>
      <w:r>
        <w:rPr>
          <w:w w:val="110"/>
          <w:sz w:val="19"/>
        </w:rPr>
        <w:t>osorio, Jaime 2004 </w:t>
      </w:r>
      <w:r>
        <w:rPr>
          <w:i/>
          <w:w w:val="110"/>
          <w:sz w:val="19"/>
        </w:rPr>
        <w:t>El Estado en el centro de la mundialización. La </w:t>
      </w:r>
      <w:r>
        <w:rPr>
          <w:i/>
          <w:w w:val="110"/>
          <w:sz w:val="19"/>
        </w:rPr>
        <w:t>sociedad civil y el asunto del poder </w:t>
      </w:r>
      <w:r>
        <w:rPr>
          <w:w w:val="110"/>
          <w:sz w:val="19"/>
        </w:rPr>
        <w:t>(México: Fondo de Cultura Económica).</w:t>
      </w:r>
    </w:p>
    <w:p>
      <w:pPr>
        <w:spacing w:line="252" w:lineRule="auto" w:before="29"/>
        <w:ind w:left="727" w:right="7" w:hanging="397"/>
        <w:jc w:val="left"/>
        <w:rPr>
          <w:sz w:val="19"/>
        </w:rPr>
      </w:pPr>
      <w:r>
        <w:rPr>
          <w:spacing w:val="-3"/>
          <w:w w:val="110"/>
          <w:sz w:val="19"/>
        </w:rPr>
        <w:t>robinson, </w:t>
      </w:r>
      <w:r>
        <w:rPr>
          <w:spacing w:val="-4"/>
          <w:w w:val="110"/>
          <w:sz w:val="19"/>
        </w:rPr>
        <w:t>Willam </w:t>
      </w:r>
      <w:r>
        <w:rPr>
          <w:spacing w:val="-3"/>
          <w:w w:val="110"/>
          <w:sz w:val="19"/>
        </w:rPr>
        <w:t>2013 </w:t>
      </w:r>
      <w:r>
        <w:rPr>
          <w:i/>
          <w:w w:val="110"/>
          <w:sz w:val="19"/>
        </w:rPr>
        <w:t>Una </w:t>
      </w:r>
      <w:r>
        <w:rPr>
          <w:i/>
          <w:spacing w:val="-3"/>
          <w:w w:val="110"/>
          <w:sz w:val="19"/>
        </w:rPr>
        <w:t>teoría sobre </w:t>
      </w:r>
      <w:r>
        <w:rPr>
          <w:i/>
          <w:w w:val="110"/>
          <w:sz w:val="19"/>
        </w:rPr>
        <w:t>el </w:t>
      </w:r>
      <w:r>
        <w:rPr>
          <w:i/>
          <w:spacing w:val="-3"/>
          <w:w w:val="110"/>
          <w:sz w:val="19"/>
        </w:rPr>
        <w:t>capitalismo global. Producción, </w:t>
      </w:r>
      <w:r>
        <w:rPr>
          <w:i/>
          <w:spacing w:val="-3"/>
          <w:w w:val="110"/>
          <w:sz w:val="19"/>
        </w:rPr>
        <w:t>clase </w:t>
      </w:r>
      <w:r>
        <w:rPr>
          <w:i/>
          <w:w w:val="110"/>
          <w:sz w:val="19"/>
        </w:rPr>
        <w:t>y </w:t>
      </w:r>
      <w:r>
        <w:rPr>
          <w:i/>
          <w:spacing w:val="-3"/>
          <w:w w:val="110"/>
          <w:sz w:val="19"/>
        </w:rPr>
        <w:t>Estado </w:t>
      </w:r>
      <w:r>
        <w:rPr>
          <w:i/>
          <w:w w:val="110"/>
          <w:sz w:val="19"/>
        </w:rPr>
        <w:t>en un </w:t>
      </w:r>
      <w:r>
        <w:rPr>
          <w:i/>
          <w:spacing w:val="-3"/>
          <w:w w:val="110"/>
          <w:sz w:val="19"/>
        </w:rPr>
        <w:t>mundo transnacional </w:t>
      </w:r>
      <w:r>
        <w:rPr>
          <w:spacing w:val="-3"/>
          <w:w w:val="110"/>
          <w:sz w:val="19"/>
        </w:rPr>
        <w:t>(México: siglo  xxi).</w:t>
      </w:r>
    </w:p>
    <w:p>
      <w:pPr>
        <w:spacing w:line="252" w:lineRule="auto" w:before="28"/>
        <w:ind w:left="727" w:right="555" w:hanging="397"/>
        <w:jc w:val="left"/>
        <w:rPr>
          <w:sz w:val="19"/>
        </w:rPr>
      </w:pPr>
      <w:r>
        <w:rPr>
          <w:w w:val="115"/>
          <w:sz w:val="19"/>
        </w:rPr>
        <w:t>rojas</w:t>
      </w:r>
      <w:r>
        <w:rPr>
          <w:spacing w:val="-15"/>
          <w:w w:val="115"/>
          <w:sz w:val="19"/>
        </w:rPr>
        <w:t> </w:t>
      </w:r>
      <w:r>
        <w:rPr>
          <w:w w:val="115"/>
          <w:sz w:val="19"/>
        </w:rPr>
        <w:t>aravena,</w:t>
      </w:r>
      <w:r>
        <w:rPr>
          <w:spacing w:val="-15"/>
          <w:w w:val="115"/>
          <w:sz w:val="19"/>
        </w:rPr>
        <w:t> </w:t>
      </w:r>
      <w:r>
        <w:rPr>
          <w:w w:val="115"/>
          <w:sz w:val="19"/>
        </w:rPr>
        <w:t>Francisco</w:t>
      </w:r>
      <w:r>
        <w:rPr>
          <w:spacing w:val="-15"/>
          <w:w w:val="115"/>
          <w:sz w:val="19"/>
        </w:rPr>
        <w:t> </w:t>
      </w:r>
      <w:r>
        <w:rPr>
          <w:w w:val="115"/>
          <w:sz w:val="19"/>
        </w:rPr>
        <w:t>2012</w:t>
      </w:r>
      <w:r>
        <w:rPr>
          <w:spacing w:val="-15"/>
          <w:w w:val="115"/>
          <w:sz w:val="19"/>
        </w:rPr>
        <w:t> </w:t>
      </w:r>
      <w:r>
        <w:rPr>
          <w:i/>
          <w:w w:val="115"/>
          <w:sz w:val="19"/>
        </w:rPr>
        <w:t>Escenarios</w:t>
      </w:r>
      <w:r>
        <w:rPr>
          <w:i/>
          <w:spacing w:val="-15"/>
          <w:w w:val="115"/>
          <w:sz w:val="19"/>
        </w:rPr>
        <w:t> </w:t>
      </w:r>
      <w:r>
        <w:rPr>
          <w:i/>
          <w:w w:val="115"/>
          <w:sz w:val="19"/>
        </w:rPr>
        <w:t>globales</w:t>
      </w:r>
      <w:r>
        <w:rPr>
          <w:i/>
          <w:spacing w:val="-15"/>
          <w:w w:val="115"/>
          <w:sz w:val="19"/>
        </w:rPr>
        <w:t> </w:t>
      </w:r>
      <w:r>
        <w:rPr>
          <w:i/>
          <w:w w:val="115"/>
          <w:sz w:val="19"/>
        </w:rPr>
        <w:t>inciertos.</w:t>
      </w:r>
      <w:r>
        <w:rPr>
          <w:i/>
          <w:spacing w:val="-15"/>
          <w:w w:val="115"/>
          <w:sz w:val="19"/>
        </w:rPr>
        <w:t> </w:t>
      </w:r>
      <w:r>
        <w:rPr>
          <w:i/>
          <w:w w:val="115"/>
          <w:sz w:val="19"/>
        </w:rPr>
        <w:t>Los </w:t>
      </w:r>
      <w:r>
        <w:rPr>
          <w:i/>
          <w:w w:val="115"/>
          <w:sz w:val="19"/>
        </w:rPr>
        <w:t>desafíos</w:t>
      </w:r>
      <w:r>
        <w:rPr>
          <w:i/>
          <w:spacing w:val="21"/>
          <w:w w:val="115"/>
          <w:sz w:val="19"/>
        </w:rPr>
        <w:t> </w:t>
      </w:r>
      <w:r>
        <w:rPr>
          <w:i/>
          <w:w w:val="115"/>
          <w:sz w:val="19"/>
        </w:rPr>
        <w:t>de</w:t>
      </w:r>
      <w:r>
        <w:rPr>
          <w:i/>
          <w:spacing w:val="21"/>
          <w:w w:val="115"/>
          <w:sz w:val="19"/>
        </w:rPr>
        <w:t> </w:t>
      </w:r>
      <w:r>
        <w:rPr>
          <w:i/>
          <w:w w:val="115"/>
          <w:sz w:val="19"/>
        </w:rPr>
        <w:t>la</w:t>
      </w:r>
      <w:r>
        <w:rPr>
          <w:i/>
          <w:spacing w:val="21"/>
          <w:w w:val="115"/>
          <w:sz w:val="19"/>
        </w:rPr>
        <w:t> </w:t>
      </w:r>
      <w:r>
        <w:rPr>
          <w:i/>
          <w:w w:val="115"/>
          <w:sz w:val="19"/>
        </w:rPr>
        <w:t>CELAC</w:t>
      </w:r>
      <w:r>
        <w:rPr>
          <w:i/>
          <w:spacing w:val="21"/>
          <w:w w:val="115"/>
          <w:sz w:val="19"/>
        </w:rPr>
        <w:t> </w:t>
      </w:r>
      <w:r>
        <w:rPr>
          <w:w w:val="115"/>
          <w:sz w:val="19"/>
        </w:rPr>
        <w:t>(san</w:t>
      </w:r>
      <w:r>
        <w:rPr>
          <w:spacing w:val="21"/>
          <w:w w:val="115"/>
          <w:sz w:val="19"/>
        </w:rPr>
        <w:t> </w:t>
      </w:r>
      <w:r>
        <w:rPr>
          <w:w w:val="115"/>
          <w:sz w:val="19"/>
        </w:rPr>
        <w:t>José</w:t>
      </w:r>
      <w:r>
        <w:rPr>
          <w:spacing w:val="21"/>
          <w:w w:val="115"/>
          <w:sz w:val="19"/>
        </w:rPr>
        <w:t> </w:t>
      </w:r>
      <w:r>
        <w:rPr>
          <w:w w:val="115"/>
          <w:sz w:val="19"/>
        </w:rPr>
        <w:t>de</w:t>
      </w:r>
      <w:r>
        <w:rPr>
          <w:spacing w:val="21"/>
          <w:w w:val="115"/>
          <w:sz w:val="19"/>
        </w:rPr>
        <w:t> </w:t>
      </w:r>
      <w:r>
        <w:rPr>
          <w:w w:val="115"/>
          <w:sz w:val="19"/>
        </w:rPr>
        <w:t>Costa</w:t>
      </w:r>
      <w:r>
        <w:rPr>
          <w:spacing w:val="21"/>
          <w:w w:val="115"/>
          <w:sz w:val="19"/>
        </w:rPr>
        <w:t> </w:t>
      </w:r>
      <w:r>
        <w:rPr>
          <w:w w:val="115"/>
          <w:sz w:val="19"/>
        </w:rPr>
        <w:t>rica:</w:t>
      </w:r>
      <w:r>
        <w:rPr>
          <w:spacing w:val="21"/>
          <w:w w:val="115"/>
          <w:sz w:val="19"/>
        </w:rPr>
        <w:t> </w:t>
      </w:r>
      <w:r>
        <w:rPr>
          <w:w w:val="120"/>
          <w:sz w:val="19"/>
        </w:rPr>
        <w:t>FlaCso).</w:t>
      </w:r>
    </w:p>
    <w:p>
      <w:pPr>
        <w:spacing w:line="252" w:lineRule="auto" w:before="28"/>
        <w:ind w:left="727" w:right="179" w:hanging="397"/>
        <w:jc w:val="left"/>
        <w:rPr>
          <w:sz w:val="19"/>
        </w:rPr>
      </w:pPr>
      <w:r>
        <w:rPr>
          <w:w w:val="115"/>
          <w:sz w:val="19"/>
        </w:rPr>
        <w:t>sanchez-Parodi, ramón 2011 </w:t>
      </w:r>
      <w:r>
        <w:rPr>
          <w:i/>
          <w:w w:val="115"/>
          <w:sz w:val="19"/>
        </w:rPr>
        <w:t>Cuba-USA: Diez tiempos de una </w:t>
      </w:r>
      <w:r>
        <w:rPr>
          <w:i/>
          <w:w w:val="115"/>
          <w:sz w:val="19"/>
        </w:rPr>
        <w:t>relación </w:t>
      </w:r>
      <w:r>
        <w:rPr>
          <w:w w:val="115"/>
          <w:sz w:val="19"/>
        </w:rPr>
        <w:t>(México: ocean sur).</w:t>
      </w:r>
    </w:p>
    <w:p>
      <w:pPr>
        <w:spacing w:line="252" w:lineRule="auto" w:before="28"/>
        <w:ind w:left="727" w:right="179" w:hanging="397"/>
        <w:jc w:val="left"/>
        <w:rPr>
          <w:sz w:val="19"/>
        </w:rPr>
      </w:pPr>
      <w:r>
        <w:rPr>
          <w:w w:val="110"/>
          <w:sz w:val="19"/>
        </w:rPr>
        <w:t>stockholm institute for Peace research 2014 </w:t>
      </w:r>
      <w:r>
        <w:rPr>
          <w:i/>
          <w:w w:val="110"/>
          <w:sz w:val="19"/>
        </w:rPr>
        <w:t>SIPRI Military </w:t>
      </w:r>
      <w:r>
        <w:rPr>
          <w:i/>
          <w:w w:val="105"/>
          <w:sz w:val="19"/>
        </w:rPr>
        <w:t>Expenditure  Database</w:t>
      </w:r>
      <w:r>
        <w:rPr>
          <w:w w:val="105"/>
          <w:sz w:val="19"/>
        </w:rPr>
        <w:t>,  en </w:t>
      </w:r>
      <w:hyperlink r:id="rId459">
        <w:r>
          <w:rPr>
            <w:w w:val="105"/>
            <w:sz w:val="19"/>
          </w:rPr>
          <w:t>&lt;http://goo.gl/Ktye25&gt;.</w:t>
        </w:r>
      </w:hyperlink>
    </w:p>
    <w:p>
      <w:pPr>
        <w:spacing w:line="252" w:lineRule="auto" w:before="28"/>
        <w:ind w:left="727" w:right="332" w:hanging="397"/>
        <w:jc w:val="left"/>
        <w:rPr>
          <w:sz w:val="19"/>
        </w:rPr>
      </w:pPr>
      <w:r>
        <w:rPr>
          <w:w w:val="115"/>
          <w:sz w:val="19"/>
        </w:rPr>
        <w:t>Wallerstein,</w:t>
      </w:r>
      <w:r>
        <w:rPr>
          <w:spacing w:val="-24"/>
          <w:w w:val="115"/>
          <w:sz w:val="19"/>
        </w:rPr>
        <w:t> </w:t>
      </w:r>
      <w:r>
        <w:rPr>
          <w:w w:val="115"/>
          <w:sz w:val="19"/>
        </w:rPr>
        <w:t>immanuel</w:t>
      </w:r>
      <w:r>
        <w:rPr>
          <w:spacing w:val="-24"/>
          <w:w w:val="115"/>
          <w:sz w:val="19"/>
        </w:rPr>
        <w:t> </w:t>
      </w:r>
      <w:r>
        <w:rPr>
          <w:w w:val="115"/>
          <w:sz w:val="19"/>
        </w:rPr>
        <w:t>1979</w:t>
      </w:r>
      <w:r>
        <w:rPr>
          <w:spacing w:val="-24"/>
          <w:w w:val="115"/>
          <w:sz w:val="19"/>
        </w:rPr>
        <w:t> </w:t>
      </w:r>
      <w:r>
        <w:rPr>
          <w:i/>
          <w:w w:val="115"/>
          <w:sz w:val="19"/>
        </w:rPr>
        <w:t>El</w:t>
      </w:r>
      <w:r>
        <w:rPr>
          <w:i/>
          <w:spacing w:val="-24"/>
          <w:w w:val="115"/>
          <w:sz w:val="19"/>
        </w:rPr>
        <w:t> </w:t>
      </w:r>
      <w:r>
        <w:rPr>
          <w:i/>
          <w:w w:val="115"/>
          <w:sz w:val="19"/>
        </w:rPr>
        <w:t>moderno</w:t>
      </w:r>
      <w:r>
        <w:rPr>
          <w:i/>
          <w:spacing w:val="-24"/>
          <w:w w:val="115"/>
          <w:sz w:val="19"/>
        </w:rPr>
        <w:t> </w:t>
      </w:r>
      <w:r>
        <w:rPr>
          <w:i/>
          <w:w w:val="115"/>
          <w:sz w:val="19"/>
        </w:rPr>
        <w:t>sistema</w:t>
      </w:r>
      <w:r>
        <w:rPr>
          <w:i/>
          <w:spacing w:val="-24"/>
          <w:w w:val="115"/>
          <w:sz w:val="19"/>
        </w:rPr>
        <w:t> </w:t>
      </w:r>
      <w:r>
        <w:rPr>
          <w:i/>
          <w:w w:val="115"/>
          <w:sz w:val="19"/>
        </w:rPr>
        <w:t>mundial</w:t>
      </w:r>
      <w:r>
        <w:rPr>
          <w:i/>
          <w:spacing w:val="-24"/>
          <w:w w:val="115"/>
          <w:sz w:val="19"/>
        </w:rPr>
        <w:t> </w:t>
      </w:r>
      <w:r>
        <w:rPr>
          <w:w w:val="115"/>
          <w:sz w:val="19"/>
        </w:rPr>
        <w:t>(México: siglo  </w:t>
      </w:r>
      <w:r>
        <w:rPr>
          <w:spacing w:val="23"/>
          <w:w w:val="115"/>
          <w:sz w:val="19"/>
        </w:rPr>
        <w:t> </w:t>
      </w:r>
      <w:r>
        <w:rPr>
          <w:w w:val="115"/>
          <w:sz w:val="19"/>
        </w:rPr>
        <w:t>xxi).</w:t>
      </w:r>
    </w:p>
    <w:p>
      <w:pPr>
        <w:spacing w:line="252" w:lineRule="auto" w:before="28"/>
        <w:ind w:left="727" w:right="179" w:hanging="397"/>
        <w:jc w:val="left"/>
        <w:rPr>
          <w:sz w:val="19"/>
        </w:rPr>
      </w:pPr>
      <w:r>
        <w:rPr>
          <w:w w:val="110"/>
          <w:sz w:val="19"/>
        </w:rPr>
        <w:t>the White House, office of the Press secretary 2015 </w:t>
      </w:r>
      <w:r>
        <w:rPr>
          <w:i/>
          <w:w w:val="110"/>
          <w:sz w:val="19"/>
        </w:rPr>
        <w:t>Fact Sheet: The </w:t>
      </w:r>
      <w:r>
        <w:rPr>
          <w:i/>
          <w:w w:val="110"/>
          <w:sz w:val="19"/>
        </w:rPr>
        <w:t>2015 National Security Strategy</w:t>
      </w:r>
      <w:r>
        <w:rPr>
          <w:w w:val="110"/>
          <w:sz w:val="19"/>
        </w:rPr>
        <w:t>, en </w:t>
      </w:r>
      <w:hyperlink r:id="rId460">
        <w:r>
          <w:rPr>
            <w:w w:val="110"/>
            <w:sz w:val="19"/>
          </w:rPr>
          <w:t>&lt;http://goo.gl/bblcQu&gt;.</w:t>
        </w:r>
      </w:hyperlink>
    </w:p>
    <w:p>
      <w:pPr>
        <w:spacing w:after="0" w:line="252" w:lineRule="auto"/>
        <w:jc w:val="left"/>
        <w:rPr>
          <w:sz w:val="19"/>
        </w:rPr>
        <w:sectPr>
          <w:pgSz w:w="8790" w:h="12760"/>
          <w:pgMar w:header="697" w:footer="725" w:top="880" w:bottom="920" w:left="1200" w:right="940"/>
        </w:sectPr>
      </w:pPr>
    </w:p>
    <w:p>
      <w:pPr>
        <w:pStyle w:val="BodyText"/>
        <w:rPr>
          <w:sz w:val="20"/>
        </w:rPr>
      </w:pPr>
    </w:p>
    <w:p>
      <w:pPr>
        <w:pStyle w:val="BodyText"/>
        <w:rPr>
          <w:sz w:val="20"/>
        </w:rPr>
      </w:pPr>
    </w:p>
    <w:p>
      <w:pPr>
        <w:pStyle w:val="BodyText"/>
        <w:spacing w:before="10"/>
        <w:rPr>
          <w:sz w:val="27"/>
        </w:rPr>
      </w:pPr>
    </w:p>
    <w:p>
      <w:pPr>
        <w:pStyle w:val="Heading3"/>
      </w:pPr>
      <w:r>
        <w:rPr/>
        <w:t>Luis Suárez Salazar*</w:t>
      </w:r>
    </w:p>
    <w:p>
      <w:pPr>
        <w:pStyle w:val="BodyText"/>
        <w:spacing w:before="1"/>
        <w:rPr>
          <w:sz w:val="20"/>
        </w:rPr>
      </w:pPr>
    </w:p>
    <w:p>
      <w:pPr>
        <w:spacing w:line="342" w:lineRule="exact" w:before="0"/>
        <w:ind w:left="142" w:right="370" w:firstLine="0"/>
        <w:jc w:val="center"/>
        <w:rPr>
          <w:rFonts w:ascii="Times New Roman" w:hAnsi="Times New Roman"/>
          <w:b/>
          <w:sz w:val="30"/>
        </w:rPr>
      </w:pPr>
      <w:r>
        <w:rPr>
          <w:rFonts w:ascii="Times New Roman" w:hAnsi="Times New Roman"/>
          <w:b/>
          <w:spacing w:val="5"/>
          <w:w w:val="135"/>
          <w:sz w:val="30"/>
        </w:rPr>
        <w:t>la</w:t>
      </w:r>
      <w:r>
        <w:rPr>
          <w:rFonts w:ascii="Times New Roman" w:hAnsi="Times New Roman"/>
          <w:b/>
          <w:spacing w:val="-54"/>
          <w:w w:val="135"/>
          <w:sz w:val="30"/>
        </w:rPr>
        <w:t> </w:t>
      </w:r>
      <w:r>
        <w:rPr>
          <w:rFonts w:ascii="Times New Roman" w:hAnsi="Times New Roman"/>
          <w:b/>
          <w:spacing w:val="3"/>
          <w:w w:val="135"/>
          <w:sz w:val="30"/>
        </w:rPr>
        <w:t>PolÍtica</w:t>
      </w:r>
      <w:r>
        <w:rPr>
          <w:rFonts w:ascii="Times New Roman" w:hAnsi="Times New Roman"/>
          <w:b/>
          <w:spacing w:val="-54"/>
          <w:w w:val="135"/>
          <w:sz w:val="30"/>
        </w:rPr>
        <w:t> </w:t>
      </w:r>
      <w:r>
        <w:rPr>
          <w:rFonts w:ascii="Times New Roman" w:hAnsi="Times New Roman"/>
          <w:b/>
          <w:w w:val="135"/>
          <w:sz w:val="30"/>
        </w:rPr>
        <w:t>Hacia</w:t>
      </w:r>
      <w:r>
        <w:rPr>
          <w:rFonts w:ascii="Times New Roman" w:hAnsi="Times New Roman"/>
          <w:b/>
          <w:spacing w:val="-54"/>
          <w:w w:val="135"/>
          <w:sz w:val="30"/>
        </w:rPr>
        <w:t> </w:t>
      </w:r>
      <w:r>
        <w:rPr>
          <w:rFonts w:ascii="Times New Roman" w:hAnsi="Times New Roman"/>
          <w:b/>
          <w:spacing w:val="3"/>
          <w:w w:val="135"/>
          <w:sz w:val="30"/>
        </w:rPr>
        <w:t>aMérica</w:t>
      </w:r>
      <w:r>
        <w:rPr>
          <w:rFonts w:ascii="Times New Roman" w:hAnsi="Times New Roman"/>
          <w:b/>
          <w:spacing w:val="-54"/>
          <w:w w:val="135"/>
          <w:sz w:val="30"/>
        </w:rPr>
        <w:t> </w:t>
      </w:r>
      <w:r>
        <w:rPr>
          <w:rFonts w:ascii="Times New Roman" w:hAnsi="Times New Roman"/>
          <w:b/>
          <w:w w:val="135"/>
          <w:sz w:val="30"/>
        </w:rPr>
        <w:t>latina</w:t>
      </w:r>
    </w:p>
    <w:p>
      <w:pPr>
        <w:spacing w:line="340" w:lineRule="exact" w:before="5"/>
        <w:ind w:left="146" w:right="370" w:firstLine="0"/>
        <w:jc w:val="center"/>
        <w:rPr>
          <w:rFonts w:ascii="Times New Roman"/>
          <w:b/>
          <w:sz w:val="30"/>
        </w:rPr>
      </w:pPr>
      <w:r>
        <w:rPr>
          <w:rFonts w:ascii="Times New Roman"/>
          <w:b/>
          <w:w w:val="135"/>
          <w:sz w:val="30"/>
        </w:rPr>
        <w:t>y</w:t>
      </w:r>
      <w:r>
        <w:rPr>
          <w:rFonts w:ascii="Times New Roman"/>
          <w:b/>
          <w:spacing w:val="-72"/>
          <w:w w:val="135"/>
          <w:sz w:val="30"/>
        </w:rPr>
        <w:t> </w:t>
      </w:r>
      <w:r>
        <w:rPr>
          <w:rFonts w:ascii="Times New Roman"/>
          <w:b/>
          <w:w w:val="140"/>
          <w:sz w:val="30"/>
        </w:rPr>
        <w:t>el</w:t>
      </w:r>
      <w:r>
        <w:rPr>
          <w:rFonts w:ascii="Times New Roman"/>
          <w:b/>
          <w:spacing w:val="-76"/>
          <w:w w:val="140"/>
          <w:sz w:val="30"/>
        </w:rPr>
        <w:t> </w:t>
      </w:r>
      <w:r>
        <w:rPr>
          <w:rFonts w:ascii="Times New Roman"/>
          <w:b/>
          <w:spacing w:val="3"/>
          <w:w w:val="135"/>
          <w:sz w:val="30"/>
        </w:rPr>
        <w:t>cariBe</w:t>
      </w:r>
      <w:r>
        <w:rPr>
          <w:rFonts w:ascii="Times New Roman"/>
          <w:b/>
          <w:spacing w:val="-72"/>
          <w:w w:val="135"/>
          <w:sz w:val="30"/>
        </w:rPr>
        <w:t> </w:t>
      </w:r>
      <w:r>
        <w:rPr>
          <w:rFonts w:ascii="Times New Roman"/>
          <w:b/>
          <w:w w:val="135"/>
          <w:sz w:val="30"/>
        </w:rPr>
        <w:t>de</w:t>
      </w:r>
      <w:r>
        <w:rPr>
          <w:rFonts w:ascii="Times New Roman"/>
          <w:b/>
          <w:spacing w:val="-72"/>
          <w:w w:val="135"/>
          <w:sz w:val="30"/>
        </w:rPr>
        <w:t> </w:t>
      </w:r>
      <w:r>
        <w:rPr>
          <w:rFonts w:ascii="Times New Roman"/>
          <w:b/>
          <w:spacing w:val="5"/>
          <w:w w:val="140"/>
          <w:sz w:val="30"/>
        </w:rPr>
        <w:t>la</w:t>
      </w:r>
      <w:r>
        <w:rPr>
          <w:rFonts w:ascii="Times New Roman"/>
          <w:b/>
          <w:spacing w:val="-76"/>
          <w:w w:val="140"/>
          <w:sz w:val="30"/>
        </w:rPr>
        <w:t> </w:t>
      </w:r>
      <w:r>
        <w:rPr>
          <w:rFonts w:ascii="Times New Roman"/>
          <w:b/>
          <w:spacing w:val="2"/>
          <w:w w:val="135"/>
          <w:sz w:val="30"/>
        </w:rPr>
        <w:t>seGunda</w:t>
      </w:r>
      <w:r>
        <w:rPr>
          <w:rFonts w:ascii="Times New Roman"/>
          <w:b/>
          <w:spacing w:val="-72"/>
          <w:w w:val="135"/>
          <w:sz w:val="30"/>
        </w:rPr>
        <w:t> </w:t>
      </w:r>
      <w:r>
        <w:rPr>
          <w:rFonts w:ascii="Times New Roman"/>
          <w:b/>
          <w:spacing w:val="3"/>
          <w:w w:val="135"/>
          <w:sz w:val="30"/>
        </w:rPr>
        <w:t>Presidencia </w:t>
      </w:r>
      <w:r>
        <w:rPr>
          <w:rFonts w:ascii="Times New Roman"/>
          <w:b/>
          <w:w w:val="120"/>
          <w:sz w:val="30"/>
        </w:rPr>
        <w:t>de BaracK oBaMa</w:t>
      </w:r>
    </w:p>
    <w:p>
      <w:pPr>
        <w:pStyle w:val="Heading4"/>
        <w:ind w:left="451"/>
        <w:rPr>
          <w:rFonts w:ascii="Times New Roman" w:hAnsi="Times New Roman"/>
        </w:rPr>
      </w:pPr>
      <w:r>
        <w:rPr>
          <w:rFonts w:ascii="Times New Roman" w:hAnsi="Times New Roman"/>
          <w:w w:val="130"/>
        </w:rPr>
        <w:t>una Mirada desde la ProsPectiva crÍtica**</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Heading6"/>
        <w:spacing w:before="169"/>
      </w:pPr>
      <w:r>
        <w:rPr>
          <w:w w:val="140"/>
        </w:rPr>
        <w:t>introducción</w:t>
      </w:r>
    </w:p>
    <w:p>
      <w:pPr>
        <w:pStyle w:val="BodyText"/>
        <w:spacing w:line="252" w:lineRule="auto" w:before="10"/>
        <w:ind w:left="100" w:right="328"/>
        <w:jc w:val="both"/>
      </w:pPr>
      <w:r>
        <w:rPr>
          <w:w w:val="110"/>
        </w:rPr>
        <w:t>Como sugiere su título, este texto tiene como propósito sintetizar y actualizar algunas de las anticipaciones que he venido divulgando con </w:t>
      </w:r>
      <w:r>
        <w:rPr>
          <w:spacing w:val="-1"/>
          <w:w w:val="110"/>
        </w:rPr>
        <w:t>relació</w:t>
      </w:r>
      <w:r>
        <w:rPr>
          <w:w w:val="110"/>
        </w:rPr>
        <w:t>n</w:t>
      </w:r>
      <w:r>
        <w:rPr/>
        <w:t> </w:t>
      </w:r>
      <w:r>
        <w:rPr>
          <w:w w:val="112"/>
        </w:rPr>
        <w:t>a</w:t>
      </w:r>
      <w:r>
        <w:rPr/>
        <w:t> </w:t>
      </w:r>
      <w:r>
        <w:rPr>
          <w:spacing w:val="-1"/>
          <w:w w:val="109"/>
        </w:rPr>
        <w:t>la</w:t>
      </w:r>
      <w:r>
        <w:rPr>
          <w:w w:val="109"/>
        </w:rPr>
        <w:t>s</w:t>
      </w:r>
      <w:r>
        <w:rPr/>
        <w:t> </w:t>
      </w:r>
      <w:r>
        <w:rPr>
          <w:spacing w:val="-1"/>
          <w:w w:val="111"/>
        </w:rPr>
        <w:t>política</w:t>
      </w:r>
      <w:r>
        <w:rPr>
          <w:w w:val="111"/>
        </w:rPr>
        <w:t>s</w:t>
      </w:r>
      <w:r>
        <w:rPr/>
        <w:t> </w:t>
      </w:r>
      <w:r>
        <w:rPr>
          <w:spacing w:val="-1"/>
          <w:w w:val="113"/>
        </w:rPr>
        <w:t>haci</w:t>
      </w:r>
      <w:r>
        <w:rPr>
          <w:w w:val="113"/>
        </w:rPr>
        <w:t>a</w:t>
      </w:r>
      <w:r>
        <w:rPr/>
        <w:t> </w:t>
      </w:r>
      <w:r>
        <w:rPr>
          <w:spacing w:val="-1"/>
          <w:w w:val="139"/>
        </w:rPr>
        <w:t>a</w:t>
      </w:r>
      <w:r>
        <w:rPr>
          <w:spacing w:val="-1"/>
          <w:w w:val="111"/>
        </w:rPr>
        <w:t>méric</w:t>
      </w:r>
      <w:r>
        <w:rPr>
          <w:w w:val="111"/>
        </w:rPr>
        <w:t>a</w:t>
      </w:r>
      <w:r>
        <w:rPr/>
        <w:t> </w:t>
      </w:r>
      <w:r>
        <w:rPr>
          <w:spacing w:val="-1"/>
          <w:w w:val="243"/>
        </w:rPr>
        <w:t>l</w:t>
      </w:r>
      <w:r>
        <w:rPr>
          <w:spacing w:val="-1"/>
          <w:w w:val="111"/>
        </w:rPr>
        <w:t>atin</w:t>
      </w:r>
      <w:r>
        <w:rPr>
          <w:w w:val="111"/>
        </w:rPr>
        <w:t>a</w:t>
      </w:r>
      <w:r>
        <w:rPr/>
        <w:t> </w:t>
      </w:r>
      <w:r>
        <w:rPr>
          <w:w w:val="105"/>
        </w:rPr>
        <w:t>y</w:t>
      </w:r>
      <w:r>
        <w:rPr/>
        <w:t> </w:t>
      </w:r>
      <w:r>
        <w:rPr>
          <w:spacing w:val="-1"/>
          <w:w w:val="107"/>
        </w:rPr>
        <w:t>e</w:t>
      </w:r>
      <w:r>
        <w:rPr>
          <w:w w:val="107"/>
        </w:rPr>
        <w:t>l</w:t>
      </w:r>
      <w:r>
        <w:rPr/>
        <w:t> </w:t>
      </w:r>
      <w:r>
        <w:rPr>
          <w:spacing w:val="-1"/>
          <w:w w:val="112"/>
        </w:rPr>
        <w:t>Carib</w:t>
      </w:r>
      <w:r>
        <w:rPr>
          <w:w w:val="112"/>
        </w:rPr>
        <w:t>e</w:t>
      </w:r>
      <w:r>
        <w:rPr/>
        <w:t> </w:t>
      </w:r>
      <w:r>
        <w:rPr>
          <w:spacing w:val="-1"/>
          <w:w w:val="108"/>
        </w:rPr>
        <w:t>qu</w:t>
      </w:r>
      <w:r>
        <w:rPr>
          <w:w w:val="108"/>
        </w:rPr>
        <w:t>e</w:t>
      </w:r>
      <w:r>
        <w:rPr/>
        <w:t> </w:t>
      </w:r>
      <w:r>
        <w:rPr>
          <w:spacing w:val="-1"/>
          <w:w w:val="108"/>
        </w:rPr>
        <w:t>desplegará </w:t>
      </w:r>
      <w:r>
        <w:rPr>
          <w:w w:val="110"/>
        </w:rPr>
        <w:t>hasta fines de 2016 la segunda y última presidencia de barack obama.</w:t>
      </w:r>
    </w:p>
    <w:p>
      <w:pPr>
        <w:spacing w:line="242" w:lineRule="auto" w:before="156"/>
        <w:ind w:left="497" w:right="328" w:hanging="316"/>
        <w:jc w:val="both"/>
        <w:rPr>
          <w:sz w:val="16"/>
        </w:rPr>
      </w:pPr>
      <w:r>
        <w:rPr>
          <w:w w:val="115"/>
          <w:sz w:val="16"/>
        </w:rPr>
        <w:t>* Escritor y ensayista integrante de la unión de Escritores y artistas de Cuba (uNEaC),</w:t>
      </w:r>
      <w:r>
        <w:rPr>
          <w:spacing w:val="-9"/>
          <w:w w:val="115"/>
          <w:sz w:val="16"/>
        </w:rPr>
        <w:t> </w:t>
      </w:r>
      <w:r>
        <w:rPr>
          <w:w w:val="115"/>
          <w:sz w:val="16"/>
        </w:rPr>
        <w:t>así</w:t>
      </w:r>
      <w:r>
        <w:rPr>
          <w:spacing w:val="-9"/>
          <w:w w:val="115"/>
          <w:sz w:val="16"/>
        </w:rPr>
        <w:t> </w:t>
      </w:r>
      <w:r>
        <w:rPr>
          <w:w w:val="115"/>
          <w:sz w:val="16"/>
        </w:rPr>
        <w:t>como</w:t>
      </w:r>
      <w:r>
        <w:rPr>
          <w:spacing w:val="-9"/>
          <w:w w:val="115"/>
          <w:sz w:val="16"/>
        </w:rPr>
        <w:t> </w:t>
      </w:r>
      <w:r>
        <w:rPr>
          <w:w w:val="115"/>
          <w:sz w:val="16"/>
        </w:rPr>
        <w:t>Profesor</w:t>
      </w:r>
      <w:r>
        <w:rPr>
          <w:spacing w:val="-9"/>
          <w:w w:val="115"/>
          <w:sz w:val="16"/>
        </w:rPr>
        <w:t> </w:t>
      </w:r>
      <w:r>
        <w:rPr>
          <w:spacing w:val="-4"/>
          <w:w w:val="115"/>
          <w:sz w:val="16"/>
        </w:rPr>
        <w:t>titular</w:t>
      </w:r>
      <w:r>
        <w:rPr>
          <w:spacing w:val="-9"/>
          <w:w w:val="115"/>
          <w:sz w:val="16"/>
        </w:rPr>
        <w:t> </w:t>
      </w:r>
      <w:r>
        <w:rPr>
          <w:w w:val="115"/>
          <w:sz w:val="16"/>
        </w:rPr>
        <w:t>del</w:t>
      </w:r>
      <w:r>
        <w:rPr>
          <w:spacing w:val="-9"/>
          <w:w w:val="115"/>
          <w:sz w:val="16"/>
        </w:rPr>
        <w:t> </w:t>
      </w:r>
      <w:r>
        <w:rPr>
          <w:w w:val="115"/>
          <w:sz w:val="16"/>
        </w:rPr>
        <w:t>instituto</w:t>
      </w:r>
      <w:r>
        <w:rPr>
          <w:spacing w:val="-9"/>
          <w:w w:val="115"/>
          <w:sz w:val="16"/>
        </w:rPr>
        <w:t> </w:t>
      </w:r>
      <w:r>
        <w:rPr>
          <w:w w:val="115"/>
          <w:sz w:val="16"/>
        </w:rPr>
        <w:t>superior</w:t>
      </w:r>
      <w:r>
        <w:rPr>
          <w:spacing w:val="-9"/>
          <w:w w:val="115"/>
          <w:sz w:val="16"/>
        </w:rPr>
        <w:t> </w:t>
      </w:r>
      <w:r>
        <w:rPr>
          <w:w w:val="115"/>
          <w:sz w:val="16"/>
        </w:rPr>
        <w:t>de</w:t>
      </w:r>
      <w:r>
        <w:rPr>
          <w:spacing w:val="-9"/>
          <w:w w:val="115"/>
          <w:sz w:val="16"/>
        </w:rPr>
        <w:t> </w:t>
      </w:r>
      <w:r>
        <w:rPr>
          <w:w w:val="115"/>
          <w:sz w:val="16"/>
        </w:rPr>
        <w:t>relaciones</w:t>
      </w:r>
      <w:r>
        <w:rPr>
          <w:spacing w:val="-9"/>
          <w:w w:val="115"/>
          <w:sz w:val="16"/>
        </w:rPr>
        <w:t> </w:t>
      </w:r>
      <w:r>
        <w:rPr>
          <w:spacing w:val="-4"/>
          <w:w w:val="115"/>
          <w:sz w:val="16"/>
        </w:rPr>
        <w:t>inter- </w:t>
      </w:r>
      <w:r>
        <w:rPr>
          <w:w w:val="110"/>
          <w:sz w:val="16"/>
        </w:rPr>
        <w:t>nacionales</w:t>
      </w:r>
      <w:r>
        <w:rPr>
          <w:spacing w:val="-8"/>
          <w:w w:val="110"/>
          <w:sz w:val="16"/>
        </w:rPr>
        <w:t> </w:t>
      </w:r>
      <w:r>
        <w:rPr>
          <w:w w:val="110"/>
          <w:sz w:val="16"/>
        </w:rPr>
        <w:t>“raúl</w:t>
      </w:r>
      <w:r>
        <w:rPr>
          <w:spacing w:val="-8"/>
          <w:w w:val="110"/>
          <w:sz w:val="16"/>
        </w:rPr>
        <w:t> </w:t>
      </w:r>
      <w:r>
        <w:rPr>
          <w:w w:val="110"/>
          <w:sz w:val="16"/>
        </w:rPr>
        <w:t>roa</w:t>
      </w:r>
      <w:r>
        <w:rPr>
          <w:spacing w:val="-8"/>
          <w:w w:val="110"/>
          <w:sz w:val="16"/>
        </w:rPr>
        <w:t> </w:t>
      </w:r>
      <w:r>
        <w:rPr>
          <w:w w:val="110"/>
          <w:sz w:val="16"/>
        </w:rPr>
        <w:t>García”,</w:t>
      </w:r>
      <w:r>
        <w:rPr>
          <w:spacing w:val="-8"/>
          <w:w w:val="110"/>
          <w:sz w:val="16"/>
        </w:rPr>
        <w:t> </w:t>
      </w:r>
      <w:r>
        <w:rPr>
          <w:w w:val="110"/>
          <w:sz w:val="16"/>
        </w:rPr>
        <w:t>al</w:t>
      </w:r>
      <w:r>
        <w:rPr>
          <w:spacing w:val="-8"/>
          <w:w w:val="110"/>
          <w:sz w:val="16"/>
        </w:rPr>
        <w:t> </w:t>
      </w:r>
      <w:r>
        <w:rPr>
          <w:w w:val="110"/>
          <w:sz w:val="16"/>
        </w:rPr>
        <w:t>igual</w:t>
      </w:r>
      <w:r>
        <w:rPr>
          <w:spacing w:val="-8"/>
          <w:w w:val="110"/>
          <w:sz w:val="16"/>
        </w:rPr>
        <w:t> </w:t>
      </w:r>
      <w:r>
        <w:rPr>
          <w:w w:val="110"/>
          <w:sz w:val="16"/>
        </w:rPr>
        <w:t>que</w:t>
      </w:r>
      <w:r>
        <w:rPr>
          <w:spacing w:val="-8"/>
          <w:w w:val="110"/>
          <w:sz w:val="16"/>
        </w:rPr>
        <w:t> </w:t>
      </w:r>
      <w:r>
        <w:rPr>
          <w:w w:val="110"/>
          <w:sz w:val="16"/>
        </w:rPr>
        <w:t>de</w:t>
      </w:r>
      <w:r>
        <w:rPr>
          <w:spacing w:val="-8"/>
          <w:w w:val="110"/>
          <w:sz w:val="16"/>
        </w:rPr>
        <w:t> </w:t>
      </w:r>
      <w:r>
        <w:rPr>
          <w:w w:val="110"/>
          <w:sz w:val="16"/>
        </w:rPr>
        <w:t>diversas</w:t>
      </w:r>
      <w:r>
        <w:rPr>
          <w:spacing w:val="-8"/>
          <w:w w:val="110"/>
          <w:sz w:val="16"/>
        </w:rPr>
        <w:t> </w:t>
      </w:r>
      <w:r>
        <w:rPr>
          <w:w w:val="110"/>
          <w:sz w:val="16"/>
        </w:rPr>
        <w:t>cátedras</w:t>
      </w:r>
      <w:r>
        <w:rPr>
          <w:spacing w:val="-8"/>
          <w:w w:val="110"/>
          <w:sz w:val="16"/>
        </w:rPr>
        <w:t> </w:t>
      </w:r>
      <w:r>
        <w:rPr>
          <w:w w:val="110"/>
          <w:sz w:val="16"/>
        </w:rPr>
        <w:t>de</w:t>
      </w:r>
      <w:r>
        <w:rPr>
          <w:spacing w:val="-8"/>
          <w:w w:val="110"/>
          <w:sz w:val="16"/>
        </w:rPr>
        <w:t> </w:t>
      </w:r>
      <w:r>
        <w:rPr>
          <w:w w:val="110"/>
          <w:sz w:val="16"/>
        </w:rPr>
        <w:t>la</w:t>
      </w:r>
      <w:r>
        <w:rPr>
          <w:spacing w:val="-8"/>
          <w:w w:val="110"/>
          <w:sz w:val="16"/>
        </w:rPr>
        <w:t> </w:t>
      </w:r>
      <w:r>
        <w:rPr>
          <w:w w:val="110"/>
          <w:sz w:val="16"/>
        </w:rPr>
        <w:t>universidad </w:t>
      </w:r>
      <w:r>
        <w:rPr>
          <w:spacing w:val="-2"/>
          <w:w w:val="104"/>
          <w:sz w:val="16"/>
        </w:rPr>
        <w:t>d</w:t>
      </w:r>
      <w:r>
        <w:rPr>
          <w:w w:val="104"/>
          <w:sz w:val="16"/>
        </w:rPr>
        <w:t>e</w:t>
      </w:r>
      <w:r>
        <w:rPr>
          <w:sz w:val="16"/>
        </w:rPr>
        <w:t> </w:t>
      </w:r>
      <w:r>
        <w:rPr>
          <w:spacing w:val="-5"/>
          <w:sz w:val="16"/>
        </w:rPr>
        <w:t> </w:t>
      </w:r>
      <w:r>
        <w:rPr>
          <w:spacing w:val="-2"/>
          <w:w w:val="238"/>
          <w:sz w:val="16"/>
        </w:rPr>
        <w:t>l</w:t>
      </w:r>
      <w:r>
        <w:rPr>
          <w:w w:val="109"/>
          <w:sz w:val="16"/>
        </w:rPr>
        <w:t>a</w:t>
      </w:r>
      <w:r>
        <w:rPr>
          <w:sz w:val="16"/>
        </w:rPr>
        <w:t> </w:t>
      </w:r>
      <w:r>
        <w:rPr>
          <w:spacing w:val="-5"/>
          <w:sz w:val="16"/>
        </w:rPr>
        <w:t> </w:t>
      </w:r>
      <w:r>
        <w:rPr>
          <w:spacing w:val="-2"/>
          <w:w w:val="113"/>
          <w:sz w:val="16"/>
        </w:rPr>
        <w:t>Habana</w:t>
      </w:r>
      <w:r>
        <w:rPr>
          <w:w w:val="113"/>
          <w:sz w:val="16"/>
        </w:rPr>
        <w:t>.</w:t>
      </w:r>
      <w:r>
        <w:rPr>
          <w:sz w:val="16"/>
        </w:rPr>
        <w:t> </w:t>
      </w:r>
      <w:r>
        <w:rPr>
          <w:spacing w:val="-5"/>
          <w:sz w:val="16"/>
        </w:rPr>
        <w:t> </w:t>
      </w:r>
      <w:r>
        <w:rPr>
          <w:spacing w:val="-2"/>
          <w:w w:val="136"/>
          <w:sz w:val="16"/>
        </w:rPr>
        <w:t>a</w:t>
      </w:r>
      <w:r>
        <w:rPr>
          <w:spacing w:val="-2"/>
          <w:w w:val="108"/>
          <w:sz w:val="16"/>
        </w:rPr>
        <w:t>ctualment</w:t>
      </w:r>
      <w:r>
        <w:rPr>
          <w:w w:val="108"/>
          <w:sz w:val="16"/>
        </w:rPr>
        <w:t>e</w:t>
      </w:r>
      <w:r>
        <w:rPr>
          <w:sz w:val="16"/>
        </w:rPr>
        <w:t> </w:t>
      </w:r>
      <w:r>
        <w:rPr>
          <w:spacing w:val="-5"/>
          <w:sz w:val="16"/>
        </w:rPr>
        <w:t> </w:t>
      </w:r>
      <w:r>
        <w:rPr>
          <w:spacing w:val="-2"/>
          <w:w w:val="107"/>
          <w:sz w:val="16"/>
        </w:rPr>
        <w:t>integr</w:t>
      </w:r>
      <w:r>
        <w:rPr>
          <w:w w:val="107"/>
          <w:sz w:val="16"/>
        </w:rPr>
        <w:t>a</w:t>
      </w:r>
      <w:r>
        <w:rPr>
          <w:sz w:val="16"/>
        </w:rPr>
        <w:t> </w:t>
      </w:r>
      <w:r>
        <w:rPr>
          <w:spacing w:val="-5"/>
          <w:sz w:val="16"/>
        </w:rPr>
        <w:t> </w:t>
      </w:r>
      <w:r>
        <w:rPr>
          <w:spacing w:val="-2"/>
          <w:w w:val="106"/>
          <w:sz w:val="16"/>
        </w:rPr>
        <w:t>lo</w:t>
      </w:r>
      <w:r>
        <w:rPr>
          <w:w w:val="106"/>
          <w:sz w:val="16"/>
        </w:rPr>
        <w:t>s</w:t>
      </w:r>
      <w:r>
        <w:rPr>
          <w:sz w:val="16"/>
        </w:rPr>
        <w:t> </w:t>
      </w:r>
      <w:r>
        <w:rPr>
          <w:spacing w:val="-5"/>
          <w:sz w:val="16"/>
        </w:rPr>
        <w:t> </w:t>
      </w:r>
      <w:r>
        <w:rPr>
          <w:spacing w:val="-2"/>
          <w:w w:val="110"/>
          <w:sz w:val="16"/>
        </w:rPr>
        <w:t>Grupo</w:t>
      </w:r>
      <w:r>
        <w:rPr>
          <w:w w:val="110"/>
          <w:sz w:val="16"/>
        </w:rPr>
        <w:t>s</w:t>
      </w:r>
      <w:r>
        <w:rPr>
          <w:sz w:val="16"/>
        </w:rPr>
        <w:t> </w:t>
      </w:r>
      <w:r>
        <w:rPr>
          <w:spacing w:val="-5"/>
          <w:sz w:val="16"/>
        </w:rPr>
        <w:t> </w:t>
      </w:r>
      <w:r>
        <w:rPr>
          <w:spacing w:val="-2"/>
          <w:w w:val="104"/>
          <w:sz w:val="16"/>
        </w:rPr>
        <w:t>d</w:t>
      </w:r>
      <w:r>
        <w:rPr>
          <w:w w:val="104"/>
          <w:sz w:val="16"/>
        </w:rPr>
        <w:t>e</w:t>
      </w:r>
      <w:r>
        <w:rPr>
          <w:sz w:val="16"/>
        </w:rPr>
        <w:t> </w:t>
      </w:r>
      <w:r>
        <w:rPr>
          <w:spacing w:val="-5"/>
          <w:sz w:val="16"/>
        </w:rPr>
        <w:t> </w:t>
      </w:r>
      <w:r>
        <w:rPr>
          <w:spacing w:val="-16"/>
          <w:w w:val="191"/>
          <w:sz w:val="16"/>
        </w:rPr>
        <w:t>t</w:t>
      </w:r>
      <w:r>
        <w:rPr>
          <w:spacing w:val="-2"/>
          <w:w w:val="108"/>
          <w:sz w:val="16"/>
        </w:rPr>
        <w:t>rabaj</w:t>
      </w:r>
      <w:r>
        <w:rPr>
          <w:w w:val="108"/>
          <w:sz w:val="16"/>
        </w:rPr>
        <w:t>o</w:t>
      </w:r>
      <w:r>
        <w:rPr>
          <w:sz w:val="16"/>
        </w:rPr>
        <w:t> </w:t>
      </w:r>
      <w:r>
        <w:rPr>
          <w:spacing w:val="-5"/>
          <w:sz w:val="16"/>
        </w:rPr>
        <w:t> </w:t>
      </w:r>
      <w:r>
        <w:rPr>
          <w:spacing w:val="-2"/>
          <w:w w:val="104"/>
          <w:sz w:val="16"/>
        </w:rPr>
        <w:t>d</w:t>
      </w:r>
      <w:r>
        <w:rPr>
          <w:w w:val="104"/>
          <w:sz w:val="16"/>
        </w:rPr>
        <w:t>e</w:t>
      </w:r>
      <w:r>
        <w:rPr>
          <w:sz w:val="16"/>
        </w:rPr>
        <w:t> </w:t>
      </w:r>
      <w:r>
        <w:rPr>
          <w:spacing w:val="-5"/>
          <w:sz w:val="16"/>
        </w:rPr>
        <w:t> </w:t>
      </w:r>
      <w:r>
        <w:rPr>
          <w:spacing w:val="-2"/>
          <w:w w:val="121"/>
          <w:sz w:val="16"/>
        </w:rPr>
        <w:t>C</w:t>
      </w:r>
      <w:r>
        <w:rPr>
          <w:spacing w:val="-2"/>
          <w:w w:val="173"/>
          <w:sz w:val="16"/>
        </w:rPr>
        <w:t>la</w:t>
      </w:r>
      <w:r>
        <w:rPr>
          <w:spacing w:val="-2"/>
          <w:w w:val="121"/>
          <w:sz w:val="16"/>
        </w:rPr>
        <w:t>C</w:t>
      </w:r>
      <w:r>
        <w:rPr>
          <w:spacing w:val="-2"/>
          <w:w w:val="146"/>
          <w:sz w:val="16"/>
        </w:rPr>
        <w:t>s</w:t>
      </w:r>
      <w:r>
        <w:rPr>
          <w:w w:val="146"/>
          <w:sz w:val="16"/>
        </w:rPr>
        <w:t>o</w:t>
      </w:r>
      <w:r>
        <w:rPr>
          <w:sz w:val="16"/>
        </w:rPr>
        <w:t> </w:t>
      </w:r>
      <w:r>
        <w:rPr>
          <w:spacing w:val="-5"/>
          <w:sz w:val="16"/>
        </w:rPr>
        <w:t> </w:t>
      </w:r>
      <w:r>
        <w:rPr>
          <w:spacing w:val="-2"/>
          <w:w w:val="105"/>
          <w:sz w:val="16"/>
        </w:rPr>
        <w:t>sobre </w:t>
      </w:r>
      <w:r>
        <w:rPr>
          <w:w w:val="115"/>
          <w:sz w:val="16"/>
        </w:rPr>
        <w:t>Estados unidos y sobre el Caribe. además, junto a la dra. Juana </w:t>
      </w:r>
      <w:r>
        <w:rPr>
          <w:spacing w:val="-5"/>
          <w:w w:val="115"/>
          <w:sz w:val="16"/>
        </w:rPr>
        <w:t>tania </w:t>
      </w:r>
      <w:r>
        <w:rPr>
          <w:spacing w:val="-2"/>
          <w:w w:val="115"/>
          <w:sz w:val="16"/>
        </w:rPr>
        <w:t>García </w:t>
      </w:r>
      <w:r>
        <w:rPr>
          <w:spacing w:val="-2"/>
          <w:w w:val="238"/>
          <w:sz w:val="16"/>
        </w:rPr>
        <w:t>l</w:t>
      </w:r>
      <w:r>
        <w:rPr>
          <w:spacing w:val="-2"/>
          <w:w w:val="108"/>
          <w:sz w:val="16"/>
        </w:rPr>
        <w:t>orenzo</w:t>
      </w:r>
      <w:r>
        <w:rPr>
          <w:w w:val="108"/>
          <w:sz w:val="16"/>
        </w:rPr>
        <w:t>,</w:t>
      </w:r>
      <w:r>
        <w:rPr>
          <w:spacing w:val="-3"/>
          <w:sz w:val="16"/>
        </w:rPr>
        <w:t> </w:t>
      </w:r>
      <w:r>
        <w:rPr>
          <w:spacing w:val="-2"/>
          <w:w w:val="110"/>
          <w:sz w:val="16"/>
        </w:rPr>
        <w:t>h</w:t>
      </w:r>
      <w:r>
        <w:rPr>
          <w:w w:val="110"/>
          <w:sz w:val="16"/>
        </w:rPr>
        <w:t>a</w:t>
      </w:r>
      <w:r>
        <w:rPr>
          <w:spacing w:val="-3"/>
          <w:sz w:val="16"/>
        </w:rPr>
        <w:t> </w:t>
      </w:r>
      <w:r>
        <w:rPr>
          <w:spacing w:val="-2"/>
          <w:w w:val="106"/>
          <w:sz w:val="16"/>
        </w:rPr>
        <w:t>venid</w:t>
      </w:r>
      <w:r>
        <w:rPr>
          <w:w w:val="106"/>
          <w:sz w:val="16"/>
        </w:rPr>
        <w:t>o</w:t>
      </w:r>
      <w:r>
        <w:rPr>
          <w:spacing w:val="-3"/>
          <w:sz w:val="16"/>
        </w:rPr>
        <w:t> </w:t>
      </w:r>
      <w:r>
        <w:rPr>
          <w:spacing w:val="-2"/>
          <w:w w:val="108"/>
          <w:sz w:val="16"/>
        </w:rPr>
        <w:t>impartiend</w:t>
      </w:r>
      <w:r>
        <w:rPr>
          <w:w w:val="108"/>
          <w:sz w:val="16"/>
        </w:rPr>
        <w:t>o</w:t>
      </w:r>
      <w:r>
        <w:rPr>
          <w:spacing w:val="-3"/>
          <w:sz w:val="16"/>
        </w:rPr>
        <w:t> </w:t>
      </w:r>
      <w:r>
        <w:rPr>
          <w:spacing w:val="-2"/>
          <w:w w:val="104"/>
          <w:sz w:val="16"/>
        </w:rPr>
        <w:t>e</w:t>
      </w:r>
      <w:r>
        <w:rPr>
          <w:w w:val="104"/>
          <w:sz w:val="16"/>
        </w:rPr>
        <w:t>l</w:t>
      </w:r>
      <w:r>
        <w:rPr>
          <w:spacing w:val="-3"/>
          <w:sz w:val="16"/>
        </w:rPr>
        <w:t> </w:t>
      </w:r>
      <w:r>
        <w:rPr>
          <w:spacing w:val="-2"/>
          <w:w w:val="107"/>
          <w:sz w:val="16"/>
        </w:rPr>
        <w:t>curso-seminari</w:t>
      </w:r>
      <w:r>
        <w:rPr>
          <w:w w:val="107"/>
          <w:sz w:val="16"/>
        </w:rPr>
        <w:t>o</w:t>
      </w:r>
      <w:r>
        <w:rPr>
          <w:spacing w:val="-3"/>
          <w:sz w:val="16"/>
        </w:rPr>
        <w:t> </w:t>
      </w:r>
      <w:r>
        <w:rPr>
          <w:spacing w:val="-2"/>
          <w:w w:val="113"/>
          <w:sz w:val="16"/>
        </w:rPr>
        <w:t>“</w:t>
      </w:r>
      <w:r>
        <w:rPr>
          <w:spacing w:val="-2"/>
          <w:w w:val="238"/>
          <w:sz w:val="16"/>
        </w:rPr>
        <w:t>l</w:t>
      </w:r>
      <w:r>
        <w:rPr>
          <w:spacing w:val="-2"/>
          <w:w w:val="106"/>
          <w:sz w:val="16"/>
        </w:rPr>
        <w:t>a</w:t>
      </w:r>
      <w:r>
        <w:rPr>
          <w:w w:val="106"/>
          <w:sz w:val="16"/>
        </w:rPr>
        <w:t>s</w:t>
      </w:r>
      <w:r>
        <w:rPr>
          <w:spacing w:val="-3"/>
          <w:sz w:val="16"/>
        </w:rPr>
        <w:t> </w:t>
      </w:r>
      <w:r>
        <w:rPr>
          <w:spacing w:val="-2"/>
          <w:w w:val="107"/>
          <w:sz w:val="16"/>
        </w:rPr>
        <w:t>relacione</w:t>
      </w:r>
      <w:r>
        <w:rPr>
          <w:w w:val="107"/>
          <w:sz w:val="16"/>
        </w:rPr>
        <w:t>s</w:t>
      </w:r>
      <w:r>
        <w:rPr>
          <w:spacing w:val="-3"/>
          <w:sz w:val="16"/>
        </w:rPr>
        <w:t> </w:t>
      </w:r>
      <w:r>
        <w:rPr>
          <w:spacing w:val="-2"/>
          <w:w w:val="108"/>
          <w:sz w:val="16"/>
        </w:rPr>
        <w:t>interamerica</w:t>
      </w:r>
      <w:r>
        <w:rPr>
          <w:w w:val="100"/>
          <w:sz w:val="16"/>
        </w:rPr>
        <w:t>- </w:t>
      </w:r>
      <w:r>
        <w:rPr>
          <w:w w:val="110"/>
          <w:sz w:val="16"/>
        </w:rPr>
        <w:t>nas:</w:t>
      </w:r>
      <w:r>
        <w:rPr>
          <w:spacing w:val="-15"/>
          <w:w w:val="110"/>
          <w:sz w:val="16"/>
        </w:rPr>
        <w:t> </w:t>
      </w:r>
      <w:r>
        <w:rPr>
          <w:w w:val="110"/>
          <w:sz w:val="16"/>
        </w:rPr>
        <w:t>historia,</w:t>
      </w:r>
      <w:r>
        <w:rPr>
          <w:spacing w:val="-15"/>
          <w:w w:val="110"/>
          <w:sz w:val="16"/>
        </w:rPr>
        <w:t> </w:t>
      </w:r>
      <w:r>
        <w:rPr>
          <w:w w:val="110"/>
          <w:sz w:val="16"/>
        </w:rPr>
        <w:t>actualidad</w:t>
      </w:r>
      <w:r>
        <w:rPr>
          <w:spacing w:val="-15"/>
          <w:w w:val="110"/>
          <w:sz w:val="16"/>
        </w:rPr>
        <w:t> </w:t>
      </w:r>
      <w:r>
        <w:rPr>
          <w:w w:val="110"/>
          <w:sz w:val="16"/>
        </w:rPr>
        <w:t>y</w:t>
      </w:r>
      <w:r>
        <w:rPr>
          <w:spacing w:val="-15"/>
          <w:w w:val="110"/>
          <w:sz w:val="16"/>
        </w:rPr>
        <w:t> </w:t>
      </w:r>
      <w:r>
        <w:rPr>
          <w:w w:val="110"/>
          <w:sz w:val="16"/>
        </w:rPr>
        <w:t>futuridad”</w:t>
      </w:r>
      <w:r>
        <w:rPr>
          <w:spacing w:val="-15"/>
          <w:w w:val="110"/>
          <w:sz w:val="16"/>
        </w:rPr>
        <w:t> </w:t>
      </w:r>
      <w:r>
        <w:rPr>
          <w:w w:val="110"/>
          <w:sz w:val="16"/>
        </w:rPr>
        <w:t>ofrecido</w:t>
      </w:r>
      <w:r>
        <w:rPr>
          <w:spacing w:val="-15"/>
          <w:w w:val="110"/>
          <w:sz w:val="16"/>
        </w:rPr>
        <w:t> </w:t>
      </w:r>
      <w:r>
        <w:rPr>
          <w:w w:val="110"/>
          <w:sz w:val="16"/>
        </w:rPr>
        <w:t>a</w:t>
      </w:r>
      <w:r>
        <w:rPr>
          <w:spacing w:val="-15"/>
          <w:w w:val="110"/>
          <w:sz w:val="16"/>
        </w:rPr>
        <w:t> </w:t>
      </w:r>
      <w:r>
        <w:rPr>
          <w:w w:val="110"/>
          <w:sz w:val="16"/>
        </w:rPr>
        <w:t>través</w:t>
      </w:r>
      <w:r>
        <w:rPr>
          <w:spacing w:val="-15"/>
          <w:w w:val="110"/>
          <w:sz w:val="16"/>
        </w:rPr>
        <w:t> </w:t>
      </w:r>
      <w:r>
        <w:rPr>
          <w:w w:val="110"/>
          <w:sz w:val="16"/>
        </w:rPr>
        <w:t>del</w:t>
      </w:r>
      <w:r>
        <w:rPr>
          <w:spacing w:val="-15"/>
          <w:w w:val="110"/>
          <w:sz w:val="16"/>
        </w:rPr>
        <w:t> </w:t>
      </w:r>
      <w:r>
        <w:rPr>
          <w:w w:val="110"/>
          <w:sz w:val="16"/>
        </w:rPr>
        <w:t>Espacio</w:t>
      </w:r>
      <w:r>
        <w:rPr>
          <w:spacing w:val="-15"/>
          <w:w w:val="110"/>
          <w:sz w:val="16"/>
        </w:rPr>
        <w:t> </w:t>
      </w:r>
      <w:r>
        <w:rPr>
          <w:w w:val="110"/>
          <w:sz w:val="16"/>
        </w:rPr>
        <w:t>de</w:t>
      </w:r>
      <w:r>
        <w:rPr>
          <w:spacing w:val="-15"/>
          <w:w w:val="110"/>
          <w:sz w:val="16"/>
        </w:rPr>
        <w:t> </w:t>
      </w:r>
      <w:r>
        <w:rPr>
          <w:w w:val="110"/>
          <w:sz w:val="16"/>
        </w:rPr>
        <w:t>Formación </w:t>
      </w:r>
      <w:r>
        <w:rPr>
          <w:spacing w:val="-3"/>
          <w:w w:val="115"/>
          <w:sz w:val="16"/>
        </w:rPr>
        <w:t>Virtual</w:t>
      </w:r>
      <w:r>
        <w:rPr>
          <w:spacing w:val="-23"/>
          <w:w w:val="115"/>
          <w:sz w:val="16"/>
        </w:rPr>
        <w:t> </w:t>
      </w:r>
      <w:r>
        <w:rPr>
          <w:w w:val="115"/>
          <w:sz w:val="16"/>
        </w:rPr>
        <w:t>de</w:t>
      </w:r>
      <w:r>
        <w:rPr>
          <w:spacing w:val="-23"/>
          <w:w w:val="115"/>
          <w:sz w:val="16"/>
        </w:rPr>
        <w:t> </w:t>
      </w:r>
      <w:r>
        <w:rPr>
          <w:w w:val="115"/>
          <w:sz w:val="16"/>
        </w:rPr>
        <w:t>la</w:t>
      </w:r>
      <w:r>
        <w:rPr>
          <w:spacing w:val="-23"/>
          <w:w w:val="115"/>
          <w:sz w:val="16"/>
        </w:rPr>
        <w:t> </w:t>
      </w:r>
      <w:r>
        <w:rPr>
          <w:w w:val="115"/>
          <w:sz w:val="16"/>
        </w:rPr>
        <w:t>red</w:t>
      </w:r>
      <w:r>
        <w:rPr>
          <w:spacing w:val="-23"/>
          <w:w w:val="115"/>
          <w:sz w:val="16"/>
        </w:rPr>
        <w:t> </w:t>
      </w:r>
      <w:r>
        <w:rPr>
          <w:w w:val="145"/>
          <w:sz w:val="16"/>
        </w:rPr>
        <w:t>ClaCso</w:t>
      </w:r>
      <w:r>
        <w:rPr>
          <w:spacing w:val="-34"/>
          <w:w w:val="145"/>
          <w:sz w:val="16"/>
        </w:rPr>
        <w:t> </w:t>
      </w:r>
      <w:r>
        <w:rPr>
          <w:w w:val="115"/>
          <w:sz w:val="16"/>
        </w:rPr>
        <w:t>de</w:t>
      </w:r>
      <w:r>
        <w:rPr>
          <w:spacing w:val="-23"/>
          <w:w w:val="115"/>
          <w:sz w:val="16"/>
        </w:rPr>
        <w:t> </w:t>
      </w:r>
      <w:r>
        <w:rPr>
          <w:w w:val="115"/>
          <w:sz w:val="16"/>
        </w:rPr>
        <w:t>Posgrados</w:t>
      </w:r>
      <w:r>
        <w:rPr>
          <w:spacing w:val="-23"/>
          <w:w w:val="115"/>
          <w:sz w:val="16"/>
        </w:rPr>
        <w:t> </w:t>
      </w:r>
      <w:r>
        <w:rPr>
          <w:w w:val="115"/>
          <w:sz w:val="16"/>
        </w:rPr>
        <w:t>en</w:t>
      </w:r>
      <w:r>
        <w:rPr>
          <w:spacing w:val="-23"/>
          <w:w w:val="115"/>
          <w:sz w:val="16"/>
        </w:rPr>
        <w:t> </w:t>
      </w:r>
      <w:r>
        <w:rPr>
          <w:w w:val="115"/>
          <w:sz w:val="16"/>
        </w:rPr>
        <w:t>Ciencias</w:t>
      </w:r>
      <w:r>
        <w:rPr>
          <w:spacing w:val="-23"/>
          <w:w w:val="115"/>
          <w:sz w:val="16"/>
        </w:rPr>
        <w:t> </w:t>
      </w:r>
      <w:r>
        <w:rPr>
          <w:w w:val="115"/>
          <w:sz w:val="16"/>
        </w:rPr>
        <w:t>sociales.</w:t>
      </w:r>
    </w:p>
    <w:p>
      <w:pPr>
        <w:spacing w:line="242" w:lineRule="auto" w:before="57"/>
        <w:ind w:left="497" w:right="327" w:hanging="397"/>
        <w:jc w:val="both"/>
        <w:rPr>
          <w:sz w:val="16"/>
        </w:rPr>
      </w:pPr>
      <w:r>
        <w:rPr>
          <w:w w:val="105"/>
          <w:sz w:val="16"/>
        </w:rPr>
        <w:t>** </w:t>
      </w:r>
      <w:r>
        <w:rPr>
          <w:spacing w:val="-3"/>
          <w:w w:val="105"/>
          <w:sz w:val="16"/>
        </w:rPr>
        <w:t>Este ensayo sintetiza </w:t>
      </w:r>
      <w:r>
        <w:rPr>
          <w:w w:val="105"/>
          <w:sz w:val="16"/>
        </w:rPr>
        <w:t>y </w:t>
      </w:r>
      <w:r>
        <w:rPr>
          <w:spacing w:val="-3"/>
          <w:w w:val="105"/>
          <w:sz w:val="16"/>
        </w:rPr>
        <w:t>actualiza </w:t>
      </w:r>
      <w:r>
        <w:rPr>
          <w:w w:val="105"/>
          <w:sz w:val="16"/>
        </w:rPr>
        <w:t>la </w:t>
      </w:r>
      <w:r>
        <w:rPr>
          <w:spacing w:val="-3"/>
          <w:w w:val="105"/>
          <w:sz w:val="16"/>
        </w:rPr>
        <w:t>ponencia </w:t>
      </w:r>
      <w:r>
        <w:rPr>
          <w:w w:val="105"/>
          <w:sz w:val="16"/>
        </w:rPr>
        <w:t>que </w:t>
      </w:r>
      <w:r>
        <w:rPr>
          <w:spacing w:val="-3"/>
          <w:w w:val="105"/>
          <w:sz w:val="16"/>
        </w:rPr>
        <w:t>preparé para </w:t>
      </w:r>
      <w:r>
        <w:rPr>
          <w:w w:val="105"/>
          <w:sz w:val="16"/>
        </w:rPr>
        <w:t>el </w:t>
      </w:r>
      <w:r>
        <w:rPr>
          <w:spacing w:val="-3"/>
          <w:w w:val="105"/>
          <w:sz w:val="16"/>
        </w:rPr>
        <w:t>Coloquio </w:t>
      </w:r>
      <w:r>
        <w:rPr>
          <w:i/>
          <w:w w:val="105"/>
          <w:sz w:val="16"/>
        </w:rPr>
        <w:t>La so- </w:t>
      </w:r>
      <w:r>
        <w:rPr>
          <w:i/>
          <w:spacing w:val="-3"/>
          <w:w w:val="105"/>
          <w:sz w:val="16"/>
        </w:rPr>
        <w:t>beranía, </w:t>
      </w:r>
      <w:r>
        <w:rPr>
          <w:i/>
          <w:w w:val="105"/>
          <w:sz w:val="16"/>
        </w:rPr>
        <w:t>la </w:t>
      </w:r>
      <w:r>
        <w:rPr>
          <w:i/>
          <w:spacing w:val="-3"/>
          <w:w w:val="105"/>
          <w:sz w:val="16"/>
        </w:rPr>
        <w:t>hegemonía </w:t>
      </w:r>
      <w:r>
        <w:rPr>
          <w:i/>
          <w:w w:val="105"/>
          <w:sz w:val="16"/>
        </w:rPr>
        <w:t>y la </w:t>
      </w:r>
      <w:r>
        <w:rPr>
          <w:i/>
          <w:spacing w:val="-3"/>
          <w:w w:val="105"/>
          <w:sz w:val="16"/>
        </w:rPr>
        <w:t>integración </w:t>
      </w:r>
      <w:r>
        <w:rPr>
          <w:i/>
          <w:w w:val="105"/>
          <w:sz w:val="16"/>
        </w:rPr>
        <w:t>en las </w:t>
      </w:r>
      <w:r>
        <w:rPr>
          <w:i/>
          <w:spacing w:val="-3"/>
          <w:w w:val="105"/>
          <w:sz w:val="16"/>
        </w:rPr>
        <w:t>Democracias </w:t>
      </w:r>
      <w:r>
        <w:rPr>
          <w:i/>
          <w:w w:val="105"/>
          <w:sz w:val="16"/>
        </w:rPr>
        <w:t>en </w:t>
      </w:r>
      <w:r>
        <w:rPr>
          <w:i/>
          <w:spacing w:val="-3"/>
          <w:w w:val="105"/>
          <w:sz w:val="16"/>
        </w:rPr>
        <w:t>Revolución </w:t>
      </w:r>
      <w:r>
        <w:rPr>
          <w:i/>
          <w:w w:val="105"/>
          <w:sz w:val="16"/>
        </w:rPr>
        <w:t>en </w:t>
      </w:r>
      <w:r>
        <w:rPr>
          <w:i/>
          <w:spacing w:val="-3"/>
          <w:w w:val="105"/>
          <w:sz w:val="16"/>
        </w:rPr>
        <w:t>América Latina </w:t>
      </w:r>
      <w:r>
        <w:rPr>
          <w:spacing w:val="-3"/>
          <w:w w:val="105"/>
          <w:sz w:val="16"/>
        </w:rPr>
        <w:t>que, convocado </w:t>
      </w:r>
      <w:r>
        <w:rPr>
          <w:w w:val="105"/>
          <w:sz w:val="16"/>
        </w:rPr>
        <w:t>por el </w:t>
      </w:r>
      <w:r>
        <w:rPr>
          <w:spacing w:val="-3"/>
          <w:w w:val="105"/>
          <w:sz w:val="16"/>
        </w:rPr>
        <w:t>instituto </w:t>
      </w:r>
      <w:r>
        <w:rPr>
          <w:w w:val="105"/>
          <w:sz w:val="16"/>
        </w:rPr>
        <w:t>de </w:t>
      </w:r>
      <w:r>
        <w:rPr>
          <w:spacing w:val="-3"/>
          <w:w w:val="105"/>
          <w:sz w:val="16"/>
        </w:rPr>
        <w:t>altos Estudios Nacionales (iaEN) </w:t>
      </w:r>
      <w:r>
        <w:rPr>
          <w:w w:val="105"/>
          <w:sz w:val="16"/>
        </w:rPr>
        <w:t>y </w:t>
      </w:r>
      <w:r>
        <w:rPr>
          <w:spacing w:val="-3"/>
          <w:w w:val="105"/>
          <w:sz w:val="16"/>
        </w:rPr>
        <w:t>por </w:t>
      </w:r>
      <w:r>
        <w:rPr>
          <w:spacing w:val="-3"/>
          <w:w w:val="104"/>
          <w:sz w:val="16"/>
        </w:rPr>
        <w:t>e</w:t>
      </w:r>
      <w:r>
        <w:rPr>
          <w:w w:val="104"/>
          <w:sz w:val="16"/>
        </w:rPr>
        <w:t>l</w:t>
      </w:r>
      <w:r>
        <w:rPr>
          <w:spacing w:val="7"/>
          <w:sz w:val="16"/>
        </w:rPr>
        <w:t> </w:t>
      </w:r>
      <w:r>
        <w:rPr>
          <w:spacing w:val="-3"/>
          <w:w w:val="109"/>
          <w:sz w:val="16"/>
        </w:rPr>
        <w:t>Consej</w:t>
      </w:r>
      <w:r>
        <w:rPr>
          <w:w w:val="109"/>
          <w:sz w:val="16"/>
        </w:rPr>
        <w:t>o</w:t>
      </w:r>
      <w:r>
        <w:rPr>
          <w:spacing w:val="7"/>
          <w:sz w:val="16"/>
        </w:rPr>
        <w:t> </w:t>
      </w:r>
      <w:r>
        <w:rPr>
          <w:spacing w:val="-3"/>
          <w:w w:val="238"/>
          <w:sz w:val="16"/>
        </w:rPr>
        <w:t>l</w:t>
      </w:r>
      <w:r>
        <w:rPr>
          <w:spacing w:val="-3"/>
          <w:w w:val="109"/>
          <w:sz w:val="16"/>
        </w:rPr>
        <w:t>atinoamerican</w:t>
      </w:r>
      <w:r>
        <w:rPr>
          <w:w w:val="109"/>
          <w:sz w:val="16"/>
        </w:rPr>
        <w:t>o</w:t>
      </w:r>
      <w:r>
        <w:rPr>
          <w:spacing w:val="7"/>
          <w:sz w:val="16"/>
        </w:rPr>
        <w:t> </w:t>
      </w:r>
      <w:r>
        <w:rPr>
          <w:spacing w:val="-3"/>
          <w:w w:val="104"/>
          <w:sz w:val="16"/>
        </w:rPr>
        <w:t>d</w:t>
      </w:r>
      <w:r>
        <w:rPr>
          <w:w w:val="104"/>
          <w:sz w:val="16"/>
        </w:rPr>
        <w:t>e</w:t>
      </w:r>
      <w:r>
        <w:rPr>
          <w:spacing w:val="7"/>
          <w:sz w:val="16"/>
        </w:rPr>
        <w:t> </w:t>
      </w:r>
      <w:r>
        <w:rPr>
          <w:spacing w:val="-3"/>
          <w:w w:val="110"/>
          <w:sz w:val="16"/>
        </w:rPr>
        <w:t>Ciencia</w:t>
      </w:r>
      <w:r>
        <w:rPr>
          <w:w w:val="110"/>
          <w:sz w:val="16"/>
        </w:rPr>
        <w:t>s</w:t>
      </w:r>
      <w:r>
        <w:rPr>
          <w:spacing w:val="7"/>
          <w:sz w:val="16"/>
        </w:rPr>
        <w:t> </w:t>
      </w:r>
      <w:r>
        <w:rPr>
          <w:spacing w:val="-3"/>
          <w:w w:val="146"/>
          <w:sz w:val="16"/>
        </w:rPr>
        <w:t>s</w:t>
      </w:r>
      <w:r>
        <w:rPr>
          <w:spacing w:val="-3"/>
          <w:w w:val="108"/>
          <w:sz w:val="16"/>
        </w:rPr>
        <w:t>ociale</w:t>
      </w:r>
      <w:r>
        <w:rPr>
          <w:w w:val="108"/>
          <w:sz w:val="16"/>
        </w:rPr>
        <w:t>s</w:t>
      </w:r>
      <w:r>
        <w:rPr>
          <w:spacing w:val="7"/>
          <w:sz w:val="16"/>
        </w:rPr>
        <w:t> </w:t>
      </w:r>
      <w:r>
        <w:rPr>
          <w:spacing w:val="-3"/>
          <w:w w:val="111"/>
          <w:sz w:val="16"/>
        </w:rPr>
        <w:t>(C</w:t>
      </w:r>
      <w:r>
        <w:rPr>
          <w:spacing w:val="-3"/>
          <w:w w:val="173"/>
          <w:sz w:val="16"/>
        </w:rPr>
        <w:t>la</w:t>
      </w:r>
      <w:r>
        <w:rPr>
          <w:spacing w:val="-3"/>
          <w:w w:val="121"/>
          <w:sz w:val="16"/>
        </w:rPr>
        <w:t>C</w:t>
      </w:r>
      <w:r>
        <w:rPr>
          <w:spacing w:val="-3"/>
          <w:w w:val="146"/>
          <w:sz w:val="16"/>
        </w:rPr>
        <w:t>so</w:t>
      </w:r>
      <w:r>
        <w:rPr>
          <w:spacing w:val="-3"/>
          <w:w w:val="110"/>
          <w:sz w:val="16"/>
        </w:rPr>
        <w:t>)</w:t>
      </w:r>
      <w:r>
        <w:rPr>
          <w:w w:val="110"/>
          <w:sz w:val="16"/>
        </w:rPr>
        <w:t>,</w:t>
      </w:r>
      <w:r>
        <w:rPr>
          <w:spacing w:val="7"/>
          <w:sz w:val="16"/>
        </w:rPr>
        <w:t> </w:t>
      </w:r>
      <w:r>
        <w:rPr>
          <w:spacing w:val="-3"/>
          <w:w w:val="102"/>
          <w:sz w:val="16"/>
        </w:rPr>
        <w:t>s</w:t>
      </w:r>
      <w:r>
        <w:rPr>
          <w:w w:val="102"/>
          <w:sz w:val="16"/>
        </w:rPr>
        <w:t>e</w:t>
      </w:r>
      <w:r>
        <w:rPr>
          <w:spacing w:val="7"/>
          <w:sz w:val="16"/>
        </w:rPr>
        <w:t> </w:t>
      </w:r>
      <w:r>
        <w:rPr>
          <w:spacing w:val="-3"/>
          <w:w w:val="107"/>
          <w:sz w:val="16"/>
        </w:rPr>
        <w:t>efectu</w:t>
      </w:r>
      <w:r>
        <w:rPr>
          <w:w w:val="107"/>
          <w:sz w:val="16"/>
        </w:rPr>
        <w:t>ó</w:t>
      </w:r>
      <w:r>
        <w:rPr>
          <w:spacing w:val="7"/>
          <w:sz w:val="16"/>
        </w:rPr>
        <w:t> </w:t>
      </w:r>
      <w:r>
        <w:rPr>
          <w:spacing w:val="-3"/>
          <w:w w:val="106"/>
          <w:sz w:val="16"/>
        </w:rPr>
        <w:t>e</w:t>
      </w:r>
      <w:r>
        <w:rPr>
          <w:w w:val="106"/>
          <w:sz w:val="16"/>
        </w:rPr>
        <w:t>n</w:t>
      </w:r>
      <w:r>
        <w:rPr>
          <w:spacing w:val="7"/>
          <w:sz w:val="16"/>
        </w:rPr>
        <w:t> </w:t>
      </w:r>
      <w:r>
        <w:rPr>
          <w:spacing w:val="-3"/>
          <w:w w:val="113"/>
          <w:sz w:val="16"/>
        </w:rPr>
        <w:t>Quito, </w:t>
      </w:r>
      <w:r>
        <w:rPr>
          <w:spacing w:val="-5"/>
          <w:w w:val="105"/>
          <w:sz w:val="16"/>
        </w:rPr>
        <w:t>Ecuador, </w:t>
      </w:r>
      <w:r>
        <w:rPr>
          <w:spacing w:val="-3"/>
          <w:w w:val="105"/>
          <w:sz w:val="16"/>
        </w:rPr>
        <w:t>entre </w:t>
      </w:r>
      <w:r>
        <w:rPr>
          <w:w w:val="105"/>
          <w:sz w:val="16"/>
        </w:rPr>
        <w:t>el 2 y el 4 de </w:t>
      </w:r>
      <w:r>
        <w:rPr>
          <w:spacing w:val="-3"/>
          <w:w w:val="105"/>
          <w:sz w:val="16"/>
        </w:rPr>
        <w:t>abril  </w:t>
      </w:r>
      <w:r>
        <w:rPr>
          <w:w w:val="105"/>
          <w:sz w:val="16"/>
        </w:rPr>
        <w:t>de </w:t>
      </w:r>
      <w:r>
        <w:rPr>
          <w:spacing w:val="-3"/>
          <w:w w:val="105"/>
          <w:sz w:val="16"/>
        </w:rPr>
        <w:t>2014.  Esta  versión  </w:t>
      </w:r>
      <w:r>
        <w:rPr>
          <w:w w:val="105"/>
          <w:sz w:val="16"/>
        </w:rPr>
        <w:t>ha </w:t>
      </w:r>
      <w:r>
        <w:rPr>
          <w:spacing w:val="-3"/>
          <w:w w:val="105"/>
          <w:sz w:val="16"/>
        </w:rPr>
        <w:t>sido  beneficiada  por</w:t>
      </w:r>
      <w:r>
        <w:rPr>
          <w:spacing w:val="31"/>
          <w:w w:val="105"/>
          <w:sz w:val="16"/>
        </w:rPr>
        <w:t> </w:t>
      </w:r>
      <w:r>
        <w:rPr>
          <w:w w:val="105"/>
          <w:sz w:val="16"/>
        </w:rPr>
        <w:t>los </w:t>
      </w:r>
      <w:r>
        <w:rPr>
          <w:spacing w:val="-3"/>
          <w:w w:val="105"/>
          <w:sz w:val="16"/>
        </w:rPr>
        <w:t>comentarios críticos </w:t>
      </w:r>
      <w:r>
        <w:rPr>
          <w:w w:val="105"/>
          <w:sz w:val="16"/>
        </w:rPr>
        <w:t>y los </w:t>
      </w:r>
      <w:r>
        <w:rPr>
          <w:spacing w:val="-3"/>
          <w:w w:val="105"/>
          <w:sz w:val="16"/>
        </w:rPr>
        <w:t>aportes </w:t>
      </w:r>
      <w:r>
        <w:rPr>
          <w:w w:val="105"/>
          <w:sz w:val="16"/>
        </w:rPr>
        <w:t>de los </w:t>
      </w:r>
      <w:r>
        <w:rPr>
          <w:spacing w:val="-3"/>
          <w:w w:val="105"/>
          <w:sz w:val="16"/>
        </w:rPr>
        <w:t>colegas estadounidenses Geoff thale, adam isacson, </w:t>
      </w:r>
      <w:r>
        <w:rPr>
          <w:w w:val="105"/>
          <w:sz w:val="16"/>
        </w:rPr>
        <w:t>ana  </w:t>
      </w:r>
      <w:r>
        <w:rPr>
          <w:spacing w:val="-3"/>
          <w:w w:val="105"/>
          <w:sz w:val="16"/>
        </w:rPr>
        <w:t>sorrentino  </w:t>
      </w:r>
      <w:r>
        <w:rPr>
          <w:w w:val="105"/>
          <w:sz w:val="16"/>
        </w:rPr>
        <w:t>y  </w:t>
      </w:r>
      <w:r>
        <w:rPr>
          <w:spacing w:val="-3"/>
          <w:w w:val="105"/>
          <w:sz w:val="16"/>
        </w:rPr>
        <w:t>alexander  Main,  este  último  vinculado  </w:t>
      </w:r>
      <w:r>
        <w:rPr>
          <w:w w:val="105"/>
          <w:sz w:val="16"/>
        </w:rPr>
        <w:t>al  </w:t>
      </w:r>
      <w:r>
        <w:rPr>
          <w:spacing w:val="-3"/>
          <w:w w:val="105"/>
          <w:sz w:val="16"/>
        </w:rPr>
        <w:t>Centro </w:t>
      </w:r>
      <w:r>
        <w:rPr>
          <w:w w:val="105"/>
          <w:sz w:val="16"/>
        </w:rPr>
        <w:t>de </w:t>
      </w:r>
      <w:r>
        <w:rPr>
          <w:spacing w:val="-3"/>
          <w:w w:val="105"/>
          <w:sz w:val="16"/>
        </w:rPr>
        <w:t>investigaciones Políticas </w:t>
      </w:r>
      <w:r>
        <w:rPr>
          <w:w w:val="105"/>
          <w:sz w:val="16"/>
        </w:rPr>
        <w:t>y </w:t>
      </w:r>
      <w:r>
        <w:rPr>
          <w:spacing w:val="-3"/>
          <w:w w:val="105"/>
          <w:sz w:val="16"/>
        </w:rPr>
        <w:t>Económicas </w:t>
      </w:r>
      <w:r>
        <w:rPr>
          <w:spacing w:val="-3"/>
          <w:w w:val="145"/>
          <w:sz w:val="16"/>
        </w:rPr>
        <w:t>(CEPr, </w:t>
      </w:r>
      <w:r>
        <w:rPr>
          <w:w w:val="105"/>
          <w:sz w:val="16"/>
        </w:rPr>
        <w:t>por sus </w:t>
      </w:r>
      <w:r>
        <w:rPr>
          <w:spacing w:val="-3"/>
          <w:w w:val="105"/>
          <w:sz w:val="16"/>
        </w:rPr>
        <w:t>siglas </w:t>
      </w:r>
      <w:r>
        <w:rPr>
          <w:w w:val="105"/>
          <w:sz w:val="16"/>
        </w:rPr>
        <w:t>en </w:t>
      </w:r>
      <w:r>
        <w:rPr>
          <w:spacing w:val="-3"/>
          <w:w w:val="105"/>
          <w:sz w:val="16"/>
        </w:rPr>
        <w:t>inglés) </w:t>
      </w:r>
      <w:r>
        <w:rPr>
          <w:w w:val="105"/>
          <w:sz w:val="16"/>
        </w:rPr>
        <w:t>y </w:t>
      </w:r>
      <w:r>
        <w:rPr>
          <w:spacing w:val="-3"/>
          <w:w w:val="105"/>
          <w:sz w:val="16"/>
        </w:rPr>
        <w:t>los tres primeros investigadores asociados </w:t>
      </w:r>
      <w:r>
        <w:rPr>
          <w:w w:val="105"/>
          <w:sz w:val="16"/>
        </w:rPr>
        <w:t>a la </w:t>
      </w:r>
      <w:r>
        <w:rPr>
          <w:spacing w:val="-3"/>
          <w:w w:val="105"/>
          <w:sz w:val="16"/>
        </w:rPr>
        <w:t>oficina </w:t>
      </w:r>
      <w:r>
        <w:rPr>
          <w:w w:val="105"/>
          <w:sz w:val="16"/>
        </w:rPr>
        <w:t>de </w:t>
      </w:r>
      <w:r>
        <w:rPr>
          <w:spacing w:val="-4"/>
          <w:w w:val="105"/>
          <w:sz w:val="16"/>
        </w:rPr>
        <w:t>Washington </w:t>
      </w:r>
      <w:r>
        <w:rPr>
          <w:spacing w:val="-3"/>
          <w:w w:val="105"/>
          <w:sz w:val="16"/>
        </w:rPr>
        <w:t>sobre américa </w:t>
      </w:r>
      <w:r>
        <w:rPr>
          <w:spacing w:val="-3"/>
          <w:w w:val="238"/>
          <w:sz w:val="16"/>
        </w:rPr>
        <w:t>l</w:t>
      </w:r>
      <w:r>
        <w:rPr>
          <w:spacing w:val="-3"/>
          <w:w w:val="109"/>
          <w:sz w:val="16"/>
        </w:rPr>
        <w:t>atin</w:t>
      </w:r>
      <w:r>
        <w:rPr>
          <w:w w:val="109"/>
          <w:sz w:val="16"/>
        </w:rPr>
        <w:t>a</w:t>
      </w:r>
      <w:r>
        <w:rPr>
          <w:spacing w:val="6"/>
          <w:sz w:val="16"/>
        </w:rPr>
        <w:t> </w:t>
      </w:r>
      <w:r>
        <w:rPr>
          <w:spacing w:val="-3"/>
          <w:w w:val="105"/>
          <w:sz w:val="16"/>
        </w:rPr>
        <w:t>(W</w:t>
      </w:r>
      <w:r>
        <w:rPr>
          <w:spacing w:val="-3"/>
          <w:w w:val="162"/>
          <w:sz w:val="16"/>
        </w:rPr>
        <w:t>ola</w:t>
      </w:r>
      <w:r>
        <w:rPr>
          <w:w w:val="135"/>
          <w:sz w:val="16"/>
        </w:rPr>
        <w:t>,</w:t>
      </w:r>
      <w:r>
        <w:rPr>
          <w:spacing w:val="6"/>
          <w:sz w:val="16"/>
        </w:rPr>
        <w:t> </w:t>
      </w:r>
      <w:r>
        <w:rPr>
          <w:spacing w:val="-3"/>
          <w:w w:val="106"/>
          <w:sz w:val="16"/>
        </w:rPr>
        <w:t>po</w:t>
      </w:r>
      <w:r>
        <w:rPr>
          <w:w w:val="106"/>
          <w:sz w:val="16"/>
        </w:rPr>
        <w:t>r</w:t>
      </w:r>
      <w:r>
        <w:rPr>
          <w:spacing w:val="6"/>
          <w:sz w:val="16"/>
        </w:rPr>
        <w:t> </w:t>
      </w:r>
      <w:r>
        <w:rPr>
          <w:spacing w:val="-3"/>
          <w:w w:val="106"/>
          <w:sz w:val="16"/>
        </w:rPr>
        <w:t>su</w:t>
      </w:r>
      <w:r>
        <w:rPr>
          <w:w w:val="106"/>
          <w:sz w:val="16"/>
        </w:rPr>
        <w:t>s</w:t>
      </w:r>
      <w:r>
        <w:rPr>
          <w:spacing w:val="6"/>
          <w:sz w:val="16"/>
        </w:rPr>
        <w:t> </w:t>
      </w:r>
      <w:r>
        <w:rPr>
          <w:spacing w:val="-3"/>
          <w:w w:val="107"/>
          <w:sz w:val="16"/>
        </w:rPr>
        <w:t>sigla</w:t>
      </w:r>
      <w:r>
        <w:rPr>
          <w:w w:val="107"/>
          <w:sz w:val="16"/>
        </w:rPr>
        <w:t>s</w:t>
      </w:r>
      <w:r>
        <w:rPr>
          <w:spacing w:val="6"/>
          <w:sz w:val="16"/>
        </w:rPr>
        <w:t> </w:t>
      </w:r>
      <w:r>
        <w:rPr>
          <w:spacing w:val="-3"/>
          <w:w w:val="106"/>
          <w:sz w:val="16"/>
        </w:rPr>
        <w:t>e</w:t>
      </w:r>
      <w:r>
        <w:rPr>
          <w:w w:val="106"/>
          <w:sz w:val="16"/>
        </w:rPr>
        <w:t>n</w:t>
      </w:r>
      <w:r>
        <w:rPr>
          <w:spacing w:val="6"/>
          <w:sz w:val="16"/>
        </w:rPr>
        <w:t> </w:t>
      </w:r>
      <w:r>
        <w:rPr>
          <w:spacing w:val="-3"/>
          <w:w w:val="107"/>
          <w:sz w:val="16"/>
        </w:rPr>
        <w:t>inglés)</w:t>
      </w:r>
      <w:r>
        <w:rPr>
          <w:w w:val="107"/>
          <w:sz w:val="16"/>
        </w:rPr>
        <w:t>.</w:t>
      </w:r>
      <w:r>
        <w:rPr>
          <w:spacing w:val="6"/>
          <w:sz w:val="16"/>
        </w:rPr>
        <w:t> </w:t>
      </w:r>
      <w:r>
        <w:rPr>
          <w:spacing w:val="-3"/>
          <w:w w:val="112"/>
          <w:sz w:val="16"/>
        </w:rPr>
        <w:t>Gracia</w:t>
      </w:r>
      <w:r>
        <w:rPr>
          <w:w w:val="112"/>
          <w:sz w:val="16"/>
        </w:rPr>
        <w:t>s</w:t>
      </w:r>
      <w:r>
        <w:rPr>
          <w:spacing w:val="6"/>
          <w:sz w:val="16"/>
        </w:rPr>
        <w:t> </w:t>
      </w:r>
      <w:r>
        <w:rPr>
          <w:spacing w:val="-3"/>
          <w:w w:val="109"/>
          <w:sz w:val="16"/>
        </w:rPr>
        <w:t>a</w:t>
      </w:r>
      <w:r>
        <w:rPr>
          <w:w w:val="109"/>
          <w:sz w:val="16"/>
        </w:rPr>
        <w:t>l</w:t>
      </w:r>
      <w:r>
        <w:rPr>
          <w:spacing w:val="6"/>
          <w:sz w:val="16"/>
        </w:rPr>
        <w:t> </w:t>
      </w:r>
      <w:r>
        <w:rPr>
          <w:spacing w:val="-3"/>
          <w:w w:val="107"/>
          <w:sz w:val="16"/>
        </w:rPr>
        <w:t>apoy</w:t>
      </w:r>
      <w:r>
        <w:rPr>
          <w:w w:val="107"/>
          <w:sz w:val="16"/>
        </w:rPr>
        <w:t>o</w:t>
      </w:r>
      <w:r>
        <w:rPr>
          <w:spacing w:val="6"/>
          <w:sz w:val="16"/>
        </w:rPr>
        <w:t> </w:t>
      </w:r>
      <w:r>
        <w:rPr>
          <w:spacing w:val="-3"/>
          <w:w w:val="104"/>
          <w:sz w:val="16"/>
        </w:rPr>
        <w:t>d</w:t>
      </w:r>
      <w:r>
        <w:rPr>
          <w:w w:val="104"/>
          <w:sz w:val="16"/>
        </w:rPr>
        <w:t>e</w:t>
      </w:r>
      <w:r>
        <w:rPr>
          <w:spacing w:val="6"/>
          <w:sz w:val="16"/>
        </w:rPr>
        <w:t> </w:t>
      </w:r>
      <w:r>
        <w:rPr>
          <w:spacing w:val="-3"/>
          <w:w w:val="105"/>
          <w:sz w:val="16"/>
        </w:rPr>
        <w:t>es</w:t>
      </w:r>
      <w:r>
        <w:rPr>
          <w:w w:val="105"/>
          <w:sz w:val="16"/>
        </w:rPr>
        <w:t>a</w:t>
      </w:r>
      <w:r>
        <w:rPr>
          <w:spacing w:val="6"/>
          <w:sz w:val="16"/>
        </w:rPr>
        <w:t> </w:t>
      </w:r>
      <w:r>
        <w:rPr>
          <w:spacing w:val="-3"/>
          <w:w w:val="109"/>
          <w:sz w:val="16"/>
        </w:rPr>
        <w:t>institució</w:t>
      </w:r>
      <w:r>
        <w:rPr>
          <w:w w:val="109"/>
          <w:sz w:val="16"/>
        </w:rPr>
        <w:t>n</w:t>
      </w:r>
      <w:r>
        <w:rPr>
          <w:spacing w:val="6"/>
          <w:sz w:val="16"/>
        </w:rPr>
        <w:t> </w:t>
      </w:r>
      <w:r>
        <w:rPr>
          <w:spacing w:val="-3"/>
          <w:w w:val="106"/>
          <w:sz w:val="16"/>
        </w:rPr>
        <w:t>pude </w:t>
      </w:r>
      <w:r>
        <w:rPr>
          <w:spacing w:val="-3"/>
          <w:w w:val="107"/>
          <w:sz w:val="16"/>
        </w:rPr>
        <w:t>realiza</w:t>
      </w:r>
      <w:r>
        <w:rPr>
          <w:w w:val="107"/>
          <w:sz w:val="16"/>
        </w:rPr>
        <w:t>r</w:t>
      </w:r>
      <w:r>
        <w:rPr>
          <w:sz w:val="16"/>
        </w:rPr>
        <w:t> </w:t>
      </w:r>
      <w:r>
        <w:rPr>
          <w:spacing w:val="-7"/>
          <w:sz w:val="16"/>
        </w:rPr>
        <w:t> </w:t>
      </w:r>
      <w:r>
        <w:rPr>
          <w:spacing w:val="-3"/>
          <w:w w:val="106"/>
          <w:sz w:val="16"/>
        </w:rPr>
        <w:t>do</w:t>
      </w:r>
      <w:r>
        <w:rPr>
          <w:w w:val="106"/>
          <w:sz w:val="16"/>
        </w:rPr>
        <w:t>s</w:t>
      </w:r>
      <w:r>
        <w:rPr>
          <w:sz w:val="16"/>
        </w:rPr>
        <w:t> </w:t>
      </w:r>
      <w:r>
        <w:rPr>
          <w:spacing w:val="-7"/>
          <w:sz w:val="16"/>
        </w:rPr>
        <w:t> </w:t>
      </w:r>
      <w:r>
        <w:rPr>
          <w:spacing w:val="-3"/>
          <w:w w:val="107"/>
          <w:sz w:val="16"/>
        </w:rPr>
        <w:t>estancia</w:t>
      </w:r>
      <w:r>
        <w:rPr>
          <w:w w:val="107"/>
          <w:sz w:val="16"/>
        </w:rPr>
        <w:t>s</w:t>
      </w:r>
      <w:r>
        <w:rPr>
          <w:sz w:val="16"/>
        </w:rPr>
        <w:t> </w:t>
      </w:r>
      <w:r>
        <w:rPr>
          <w:spacing w:val="-7"/>
          <w:sz w:val="16"/>
        </w:rPr>
        <w:t> </w:t>
      </w:r>
      <w:r>
        <w:rPr>
          <w:spacing w:val="-3"/>
          <w:w w:val="104"/>
          <w:sz w:val="16"/>
        </w:rPr>
        <w:t>d</w:t>
      </w:r>
      <w:r>
        <w:rPr>
          <w:w w:val="104"/>
          <w:sz w:val="16"/>
        </w:rPr>
        <w:t>e</w:t>
      </w:r>
      <w:r>
        <w:rPr>
          <w:sz w:val="16"/>
        </w:rPr>
        <w:t> </w:t>
      </w:r>
      <w:r>
        <w:rPr>
          <w:spacing w:val="-7"/>
          <w:sz w:val="16"/>
        </w:rPr>
        <w:t> </w:t>
      </w:r>
      <w:r>
        <w:rPr>
          <w:spacing w:val="-3"/>
          <w:w w:val="107"/>
          <w:sz w:val="16"/>
        </w:rPr>
        <w:t>investigació</w:t>
      </w:r>
      <w:r>
        <w:rPr>
          <w:w w:val="107"/>
          <w:sz w:val="16"/>
        </w:rPr>
        <w:t>n</w:t>
      </w:r>
      <w:r>
        <w:rPr>
          <w:sz w:val="16"/>
        </w:rPr>
        <w:t> </w:t>
      </w:r>
      <w:r>
        <w:rPr>
          <w:spacing w:val="-7"/>
          <w:sz w:val="16"/>
        </w:rPr>
        <w:t> </w:t>
      </w:r>
      <w:r>
        <w:rPr>
          <w:spacing w:val="-3"/>
          <w:w w:val="106"/>
          <w:sz w:val="16"/>
        </w:rPr>
        <w:t>e</w:t>
      </w:r>
      <w:r>
        <w:rPr>
          <w:w w:val="106"/>
          <w:sz w:val="16"/>
        </w:rPr>
        <w:t>n</w:t>
      </w:r>
      <w:r>
        <w:rPr>
          <w:sz w:val="16"/>
        </w:rPr>
        <w:t> </w:t>
      </w:r>
      <w:r>
        <w:rPr>
          <w:spacing w:val="-7"/>
          <w:sz w:val="16"/>
        </w:rPr>
        <w:t> </w:t>
      </w:r>
      <w:r>
        <w:rPr>
          <w:spacing w:val="-3"/>
          <w:w w:val="109"/>
          <w:sz w:val="16"/>
        </w:rPr>
        <w:t>l</w:t>
      </w:r>
      <w:r>
        <w:rPr>
          <w:w w:val="109"/>
          <w:sz w:val="16"/>
        </w:rPr>
        <w:t>a</w:t>
      </w:r>
      <w:r>
        <w:rPr>
          <w:sz w:val="16"/>
        </w:rPr>
        <w:t> </w:t>
      </w:r>
      <w:r>
        <w:rPr>
          <w:spacing w:val="-7"/>
          <w:sz w:val="16"/>
        </w:rPr>
        <w:t> </w:t>
      </w:r>
      <w:r>
        <w:rPr>
          <w:spacing w:val="-3"/>
          <w:w w:val="109"/>
          <w:sz w:val="16"/>
        </w:rPr>
        <w:t>capita</w:t>
      </w:r>
      <w:r>
        <w:rPr>
          <w:w w:val="109"/>
          <w:sz w:val="16"/>
        </w:rPr>
        <w:t>l</w:t>
      </w:r>
      <w:r>
        <w:rPr>
          <w:sz w:val="16"/>
        </w:rPr>
        <w:t> </w:t>
      </w:r>
      <w:r>
        <w:rPr>
          <w:spacing w:val="-7"/>
          <w:sz w:val="16"/>
        </w:rPr>
        <w:t> </w:t>
      </w:r>
      <w:r>
        <w:rPr>
          <w:spacing w:val="-3"/>
          <w:w w:val="104"/>
          <w:sz w:val="16"/>
        </w:rPr>
        <w:t>d</w:t>
      </w:r>
      <w:r>
        <w:rPr>
          <w:w w:val="104"/>
          <w:sz w:val="16"/>
        </w:rPr>
        <w:t>e</w:t>
      </w:r>
      <w:r>
        <w:rPr>
          <w:sz w:val="16"/>
        </w:rPr>
        <w:t> </w:t>
      </w:r>
      <w:r>
        <w:rPr>
          <w:spacing w:val="-7"/>
          <w:sz w:val="16"/>
        </w:rPr>
        <w:t> </w:t>
      </w:r>
      <w:r>
        <w:rPr>
          <w:spacing w:val="-3"/>
          <w:w w:val="106"/>
          <w:sz w:val="16"/>
        </w:rPr>
        <w:t>lo</w:t>
      </w:r>
      <w:r>
        <w:rPr>
          <w:w w:val="106"/>
          <w:sz w:val="16"/>
        </w:rPr>
        <w:t>s</w:t>
      </w:r>
      <w:r>
        <w:rPr>
          <w:sz w:val="16"/>
        </w:rPr>
        <w:t> </w:t>
      </w:r>
      <w:r>
        <w:rPr>
          <w:spacing w:val="-7"/>
          <w:sz w:val="16"/>
        </w:rPr>
        <w:t> </w:t>
      </w:r>
      <w:r>
        <w:rPr>
          <w:spacing w:val="-3"/>
          <w:w w:val="109"/>
          <w:sz w:val="16"/>
        </w:rPr>
        <w:t>Estado</w:t>
      </w:r>
      <w:r>
        <w:rPr>
          <w:w w:val="109"/>
          <w:sz w:val="16"/>
        </w:rPr>
        <w:t>s</w:t>
      </w:r>
      <w:r>
        <w:rPr>
          <w:sz w:val="16"/>
        </w:rPr>
        <w:t> </w:t>
      </w:r>
      <w:r>
        <w:rPr>
          <w:spacing w:val="-7"/>
          <w:sz w:val="16"/>
        </w:rPr>
        <w:t> </w:t>
      </w:r>
      <w:r>
        <w:rPr>
          <w:spacing w:val="-3"/>
          <w:w w:val="137"/>
          <w:sz w:val="16"/>
        </w:rPr>
        <w:t>u</w:t>
      </w:r>
      <w:r>
        <w:rPr>
          <w:spacing w:val="-3"/>
          <w:w w:val="110"/>
          <w:sz w:val="16"/>
        </w:rPr>
        <w:t>nidos</w:t>
      </w:r>
      <w:r>
        <w:rPr>
          <w:w w:val="110"/>
          <w:sz w:val="16"/>
        </w:rPr>
        <w:t>.</w:t>
      </w:r>
      <w:r>
        <w:rPr>
          <w:sz w:val="16"/>
        </w:rPr>
        <w:t> </w:t>
      </w:r>
      <w:r>
        <w:rPr>
          <w:spacing w:val="-7"/>
          <w:sz w:val="16"/>
        </w:rPr>
        <w:t> </w:t>
      </w:r>
      <w:r>
        <w:rPr>
          <w:spacing w:val="-3"/>
          <w:w w:val="238"/>
          <w:sz w:val="16"/>
        </w:rPr>
        <w:t>l</w:t>
      </w:r>
      <w:r>
        <w:rPr>
          <w:w w:val="109"/>
          <w:sz w:val="16"/>
        </w:rPr>
        <w:t>a </w:t>
      </w:r>
      <w:r>
        <w:rPr>
          <w:spacing w:val="-3"/>
          <w:w w:val="105"/>
          <w:sz w:val="16"/>
        </w:rPr>
        <w:t>primera</w:t>
      </w:r>
      <w:r>
        <w:rPr>
          <w:spacing w:val="4"/>
          <w:w w:val="105"/>
          <w:sz w:val="16"/>
        </w:rPr>
        <w:t> </w:t>
      </w:r>
      <w:r>
        <w:rPr>
          <w:w w:val="105"/>
          <w:sz w:val="16"/>
        </w:rPr>
        <w:t>de</w:t>
      </w:r>
      <w:r>
        <w:rPr>
          <w:spacing w:val="4"/>
          <w:w w:val="105"/>
          <w:sz w:val="16"/>
        </w:rPr>
        <w:t> </w:t>
      </w:r>
      <w:r>
        <w:rPr>
          <w:spacing w:val="-3"/>
          <w:w w:val="105"/>
          <w:sz w:val="16"/>
        </w:rPr>
        <w:t>ellas,</w:t>
      </w:r>
      <w:r>
        <w:rPr>
          <w:spacing w:val="4"/>
          <w:w w:val="105"/>
          <w:sz w:val="16"/>
        </w:rPr>
        <w:t> </w:t>
      </w:r>
      <w:r>
        <w:rPr>
          <w:spacing w:val="-3"/>
          <w:w w:val="105"/>
          <w:sz w:val="16"/>
        </w:rPr>
        <w:t>entre</w:t>
      </w:r>
      <w:r>
        <w:rPr>
          <w:spacing w:val="4"/>
          <w:w w:val="105"/>
          <w:sz w:val="16"/>
        </w:rPr>
        <w:t> </w:t>
      </w:r>
      <w:r>
        <w:rPr>
          <w:w w:val="105"/>
          <w:sz w:val="16"/>
        </w:rPr>
        <w:t>el</w:t>
      </w:r>
      <w:r>
        <w:rPr>
          <w:spacing w:val="4"/>
          <w:w w:val="105"/>
          <w:sz w:val="16"/>
        </w:rPr>
        <w:t> </w:t>
      </w:r>
      <w:r>
        <w:rPr>
          <w:w w:val="105"/>
          <w:sz w:val="16"/>
        </w:rPr>
        <w:t>30</w:t>
      </w:r>
      <w:r>
        <w:rPr>
          <w:spacing w:val="4"/>
          <w:w w:val="105"/>
          <w:sz w:val="16"/>
        </w:rPr>
        <w:t> </w:t>
      </w:r>
      <w:r>
        <w:rPr>
          <w:w w:val="105"/>
          <w:sz w:val="16"/>
        </w:rPr>
        <w:t>de</w:t>
      </w:r>
      <w:r>
        <w:rPr>
          <w:spacing w:val="4"/>
          <w:w w:val="105"/>
          <w:sz w:val="16"/>
        </w:rPr>
        <w:t> </w:t>
      </w:r>
      <w:r>
        <w:rPr>
          <w:spacing w:val="-3"/>
          <w:w w:val="105"/>
          <w:sz w:val="16"/>
        </w:rPr>
        <w:t>mayo</w:t>
      </w:r>
      <w:r>
        <w:rPr>
          <w:spacing w:val="4"/>
          <w:w w:val="105"/>
          <w:sz w:val="16"/>
        </w:rPr>
        <w:t> </w:t>
      </w:r>
      <w:r>
        <w:rPr>
          <w:w w:val="105"/>
          <w:sz w:val="16"/>
        </w:rPr>
        <w:t>y</w:t>
      </w:r>
      <w:r>
        <w:rPr>
          <w:spacing w:val="4"/>
          <w:w w:val="105"/>
          <w:sz w:val="16"/>
        </w:rPr>
        <w:t> </w:t>
      </w:r>
      <w:r>
        <w:rPr>
          <w:w w:val="105"/>
          <w:sz w:val="16"/>
        </w:rPr>
        <w:t>el</w:t>
      </w:r>
      <w:r>
        <w:rPr>
          <w:spacing w:val="4"/>
          <w:w w:val="105"/>
          <w:sz w:val="16"/>
        </w:rPr>
        <w:t> </w:t>
      </w:r>
      <w:r>
        <w:rPr>
          <w:w w:val="105"/>
          <w:sz w:val="16"/>
        </w:rPr>
        <w:t>8</w:t>
      </w:r>
      <w:r>
        <w:rPr>
          <w:spacing w:val="4"/>
          <w:w w:val="105"/>
          <w:sz w:val="16"/>
        </w:rPr>
        <w:t> </w:t>
      </w:r>
      <w:r>
        <w:rPr>
          <w:w w:val="105"/>
          <w:sz w:val="16"/>
        </w:rPr>
        <w:t>de</w:t>
      </w:r>
      <w:r>
        <w:rPr>
          <w:spacing w:val="4"/>
          <w:w w:val="105"/>
          <w:sz w:val="16"/>
        </w:rPr>
        <w:t> </w:t>
      </w:r>
      <w:r>
        <w:rPr>
          <w:spacing w:val="-3"/>
          <w:w w:val="105"/>
          <w:sz w:val="16"/>
        </w:rPr>
        <w:t>junio</w:t>
      </w:r>
      <w:r>
        <w:rPr>
          <w:spacing w:val="4"/>
          <w:w w:val="105"/>
          <w:sz w:val="16"/>
        </w:rPr>
        <w:t> </w:t>
      </w:r>
      <w:r>
        <w:rPr>
          <w:w w:val="105"/>
          <w:sz w:val="16"/>
        </w:rPr>
        <w:t>de</w:t>
      </w:r>
      <w:r>
        <w:rPr>
          <w:spacing w:val="4"/>
          <w:w w:val="105"/>
          <w:sz w:val="16"/>
        </w:rPr>
        <w:t> </w:t>
      </w:r>
      <w:r>
        <w:rPr>
          <w:spacing w:val="-3"/>
          <w:w w:val="105"/>
          <w:sz w:val="16"/>
        </w:rPr>
        <w:t>2013,</w:t>
      </w:r>
      <w:r>
        <w:rPr>
          <w:spacing w:val="4"/>
          <w:w w:val="105"/>
          <w:sz w:val="16"/>
        </w:rPr>
        <w:t> </w:t>
      </w:r>
      <w:r>
        <w:rPr>
          <w:w w:val="105"/>
          <w:sz w:val="16"/>
        </w:rPr>
        <w:t>y</w:t>
      </w:r>
      <w:r>
        <w:rPr>
          <w:spacing w:val="4"/>
          <w:w w:val="105"/>
          <w:sz w:val="16"/>
        </w:rPr>
        <w:t> </w:t>
      </w:r>
      <w:r>
        <w:rPr>
          <w:w w:val="105"/>
          <w:sz w:val="16"/>
        </w:rPr>
        <w:t>la</w:t>
      </w:r>
      <w:r>
        <w:rPr>
          <w:spacing w:val="4"/>
          <w:w w:val="105"/>
          <w:sz w:val="16"/>
        </w:rPr>
        <w:t> </w:t>
      </w:r>
      <w:r>
        <w:rPr>
          <w:spacing w:val="-3"/>
          <w:w w:val="105"/>
          <w:sz w:val="16"/>
        </w:rPr>
        <w:t>segunda</w:t>
      </w:r>
      <w:r>
        <w:rPr>
          <w:spacing w:val="4"/>
          <w:w w:val="105"/>
          <w:sz w:val="16"/>
        </w:rPr>
        <w:t> </w:t>
      </w:r>
      <w:r>
        <w:rPr>
          <w:spacing w:val="-3"/>
          <w:w w:val="105"/>
          <w:sz w:val="16"/>
        </w:rPr>
        <w:t>entre</w:t>
      </w:r>
      <w:r>
        <w:rPr>
          <w:spacing w:val="4"/>
          <w:w w:val="105"/>
          <w:sz w:val="16"/>
        </w:rPr>
        <w:t> </w:t>
      </w:r>
      <w:r>
        <w:rPr>
          <w:spacing w:val="-3"/>
          <w:w w:val="105"/>
          <w:sz w:val="16"/>
        </w:rPr>
        <w:t>el</w:t>
      </w:r>
    </w:p>
    <w:p>
      <w:pPr>
        <w:pStyle w:val="BodyText"/>
        <w:spacing w:before="2"/>
        <w:rPr>
          <w:sz w:val="28"/>
        </w:rPr>
      </w:pPr>
    </w:p>
    <w:p>
      <w:pPr>
        <w:pStyle w:val="Heading7"/>
        <w:spacing w:line="240" w:lineRule="auto" w:before="65"/>
        <w:ind w:left="789" w:right="1017"/>
        <w:jc w:val="center"/>
      </w:pPr>
      <w:r>
        <w:rPr/>
        <w:t>349</w:t>
      </w:r>
    </w:p>
    <w:p>
      <w:pPr>
        <w:spacing w:after="0" w:line="240" w:lineRule="auto"/>
        <w:jc w:val="center"/>
        <w:sectPr>
          <w:headerReference w:type="even" r:id="rId461"/>
          <w:footerReference w:type="even" r:id="rId462"/>
          <w:pgSz w:w="8790" w:h="12760"/>
          <w:pgMar w:header="0" w:footer="0" w:top="1180" w:bottom="280" w:left="920" w:right="1200"/>
        </w:sectPr>
      </w:pPr>
    </w:p>
    <w:p>
      <w:pPr>
        <w:pStyle w:val="BodyText"/>
        <w:spacing w:before="7"/>
        <w:rPr>
          <w:sz w:val="28"/>
        </w:rPr>
      </w:pPr>
    </w:p>
    <w:p>
      <w:pPr>
        <w:pStyle w:val="BodyText"/>
        <w:spacing w:line="252" w:lineRule="auto" w:before="73"/>
        <w:ind w:left="330" w:right="118" w:firstLine="396"/>
        <w:jc w:val="both"/>
      </w:pPr>
      <w:r>
        <w:rPr>
          <w:w w:val="110"/>
        </w:rPr>
        <w:t>Esas anticipaciones han sido elaboradas desde aquella vertiente de “la futurología” que –a diferencia del determinismo y el voluntaris- mo que han caracterizado a diversos cultores de esa disciplina– indica que</w:t>
      </w:r>
      <w:r>
        <w:rPr>
          <w:spacing w:val="-5"/>
          <w:w w:val="110"/>
        </w:rPr>
        <w:t> </w:t>
      </w:r>
      <w:r>
        <w:rPr>
          <w:w w:val="110"/>
        </w:rPr>
        <w:t>el</w:t>
      </w:r>
      <w:r>
        <w:rPr>
          <w:spacing w:val="-5"/>
          <w:w w:val="110"/>
        </w:rPr>
        <w:t> </w:t>
      </w:r>
      <w:r>
        <w:rPr>
          <w:w w:val="110"/>
        </w:rPr>
        <w:t>futuro</w:t>
      </w:r>
      <w:r>
        <w:rPr>
          <w:spacing w:val="-5"/>
          <w:w w:val="110"/>
        </w:rPr>
        <w:t> </w:t>
      </w:r>
      <w:r>
        <w:rPr>
          <w:w w:val="110"/>
        </w:rPr>
        <w:t>“es</w:t>
      </w:r>
      <w:r>
        <w:rPr>
          <w:spacing w:val="-5"/>
          <w:w w:val="110"/>
        </w:rPr>
        <w:t> </w:t>
      </w:r>
      <w:r>
        <w:rPr>
          <w:w w:val="110"/>
        </w:rPr>
        <w:t>más</w:t>
      </w:r>
      <w:r>
        <w:rPr>
          <w:spacing w:val="-5"/>
          <w:w w:val="110"/>
        </w:rPr>
        <w:t> </w:t>
      </w:r>
      <w:r>
        <w:rPr>
          <w:w w:val="110"/>
        </w:rPr>
        <w:t>construible</w:t>
      </w:r>
      <w:r>
        <w:rPr>
          <w:spacing w:val="-5"/>
          <w:w w:val="110"/>
        </w:rPr>
        <w:t> </w:t>
      </w:r>
      <w:r>
        <w:rPr>
          <w:w w:val="110"/>
        </w:rPr>
        <w:t>que</w:t>
      </w:r>
      <w:r>
        <w:rPr>
          <w:spacing w:val="-5"/>
          <w:w w:val="110"/>
        </w:rPr>
        <w:t> </w:t>
      </w:r>
      <w:r>
        <w:rPr>
          <w:w w:val="110"/>
        </w:rPr>
        <w:t>previsible”.</w:t>
      </w:r>
      <w:r>
        <w:rPr>
          <w:spacing w:val="-5"/>
          <w:w w:val="110"/>
        </w:rPr>
        <w:t> </w:t>
      </w:r>
      <w:r>
        <w:rPr>
          <w:w w:val="110"/>
        </w:rPr>
        <w:t>Por</w:t>
      </w:r>
      <w:r>
        <w:rPr>
          <w:spacing w:val="-5"/>
          <w:w w:val="110"/>
        </w:rPr>
        <w:t> </w:t>
      </w:r>
      <w:r>
        <w:rPr>
          <w:w w:val="110"/>
        </w:rPr>
        <w:t>tanto,</w:t>
      </w:r>
      <w:r>
        <w:rPr>
          <w:spacing w:val="-5"/>
          <w:w w:val="110"/>
        </w:rPr>
        <w:t> </w:t>
      </w:r>
      <w:r>
        <w:rPr>
          <w:w w:val="110"/>
        </w:rPr>
        <w:t>“no</w:t>
      </w:r>
      <w:r>
        <w:rPr>
          <w:spacing w:val="-5"/>
          <w:w w:val="110"/>
        </w:rPr>
        <w:t> </w:t>
      </w:r>
      <w:r>
        <w:rPr>
          <w:w w:val="110"/>
        </w:rPr>
        <w:t>es</w:t>
      </w:r>
      <w:r>
        <w:rPr>
          <w:spacing w:val="-5"/>
          <w:w w:val="110"/>
        </w:rPr>
        <w:t> </w:t>
      </w:r>
      <w:r>
        <w:rPr>
          <w:w w:val="110"/>
        </w:rPr>
        <w:t>úni- co, ni lineal” (Mojica, 2000). al contrario, pueden vislumbrarse varios </w:t>
      </w:r>
      <w:r>
        <w:rPr>
          <w:i/>
          <w:w w:val="110"/>
        </w:rPr>
        <w:t>escenarios alternos</w:t>
      </w:r>
      <w:r>
        <w:rPr>
          <w:w w:val="110"/>
        </w:rPr>
        <w:t>.</w:t>
      </w:r>
      <w:r>
        <w:rPr>
          <w:w w:val="110"/>
          <w:position w:val="6"/>
          <w:sz w:val="11"/>
        </w:rPr>
        <w:t>1 </w:t>
      </w:r>
      <w:r>
        <w:rPr>
          <w:w w:val="110"/>
        </w:rPr>
        <w:t>Ninguno está predeterminado, ya que dependen de los resultados de las “acciones reactivas, preactivas y proactivas” del “hombre colectivo”.</w:t>
      </w:r>
      <w:r>
        <w:rPr>
          <w:w w:val="110"/>
          <w:position w:val="6"/>
          <w:sz w:val="11"/>
        </w:rPr>
        <w:t>2 </w:t>
      </w:r>
      <w:r>
        <w:rPr>
          <w:w w:val="110"/>
        </w:rPr>
        <w:t>En consecuencia, el porvenir es un </w:t>
      </w:r>
      <w:r>
        <w:rPr>
          <w:i/>
          <w:w w:val="110"/>
        </w:rPr>
        <w:t>campo de </w:t>
      </w:r>
      <w:r>
        <w:rPr>
          <w:i/>
          <w:w w:val="110"/>
        </w:rPr>
        <w:t>batalla</w:t>
      </w:r>
      <w:r>
        <w:rPr>
          <w:i/>
          <w:spacing w:val="-17"/>
          <w:w w:val="110"/>
        </w:rPr>
        <w:t> </w:t>
      </w:r>
      <w:r>
        <w:rPr>
          <w:w w:val="110"/>
        </w:rPr>
        <w:t>(muchas</w:t>
      </w:r>
      <w:r>
        <w:rPr>
          <w:spacing w:val="-17"/>
          <w:w w:val="110"/>
        </w:rPr>
        <w:t> </w:t>
      </w:r>
      <w:r>
        <w:rPr>
          <w:w w:val="110"/>
        </w:rPr>
        <w:t>veces</w:t>
      </w:r>
      <w:r>
        <w:rPr>
          <w:spacing w:val="-17"/>
          <w:w w:val="110"/>
        </w:rPr>
        <w:t> </w:t>
      </w:r>
      <w:r>
        <w:rPr>
          <w:w w:val="110"/>
        </w:rPr>
        <w:t>violento)</w:t>
      </w:r>
      <w:r>
        <w:rPr>
          <w:spacing w:val="-17"/>
          <w:w w:val="110"/>
        </w:rPr>
        <w:t> </w:t>
      </w:r>
      <w:r>
        <w:rPr>
          <w:w w:val="110"/>
        </w:rPr>
        <w:t>entre</w:t>
      </w:r>
      <w:r>
        <w:rPr>
          <w:spacing w:val="-17"/>
          <w:w w:val="110"/>
        </w:rPr>
        <w:t> </w:t>
      </w:r>
      <w:r>
        <w:rPr>
          <w:w w:val="110"/>
        </w:rPr>
        <w:t>los</w:t>
      </w:r>
      <w:r>
        <w:rPr>
          <w:spacing w:val="-17"/>
          <w:w w:val="110"/>
        </w:rPr>
        <w:t> </w:t>
      </w:r>
      <w:r>
        <w:rPr>
          <w:w w:val="110"/>
        </w:rPr>
        <w:t>sujetos</w:t>
      </w:r>
      <w:r>
        <w:rPr>
          <w:spacing w:val="-17"/>
          <w:w w:val="110"/>
        </w:rPr>
        <w:t> </w:t>
      </w:r>
      <w:r>
        <w:rPr>
          <w:w w:val="110"/>
        </w:rPr>
        <w:t>sociales</w:t>
      </w:r>
      <w:r>
        <w:rPr>
          <w:spacing w:val="-17"/>
          <w:w w:val="110"/>
        </w:rPr>
        <w:t> </w:t>
      </w:r>
      <w:r>
        <w:rPr>
          <w:w w:val="110"/>
        </w:rPr>
        <w:t>y</w:t>
      </w:r>
      <w:r>
        <w:rPr>
          <w:spacing w:val="-17"/>
          <w:w w:val="110"/>
        </w:rPr>
        <w:t> </w:t>
      </w:r>
      <w:r>
        <w:rPr>
          <w:w w:val="110"/>
        </w:rPr>
        <w:t>políticos,</w:t>
      </w:r>
      <w:r>
        <w:rPr>
          <w:spacing w:val="-17"/>
          <w:w w:val="110"/>
        </w:rPr>
        <w:t> </w:t>
      </w:r>
      <w:r>
        <w:rPr>
          <w:w w:val="110"/>
        </w:rPr>
        <w:t>es- tatales</w:t>
      </w:r>
      <w:r>
        <w:rPr>
          <w:spacing w:val="-13"/>
          <w:w w:val="110"/>
        </w:rPr>
        <w:t> </w:t>
      </w:r>
      <w:r>
        <w:rPr>
          <w:w w:val="110"/>
        </w:rPr>
        <w:t>y</w:t>
      </w:r>
      <w:r>
        <w:rPr>
          <w:spacing w:val="-13"/>
          <w:w w:val="110"/>
        </w:rPr>
        <w:t> </w:t>
      </w:r>
      <w:r>
        <w:rPr>
          <w:w w:val="110"/>
        </w:rPr>
        <w:t>no</w:t>
      </w:r>
      <w:r>
        <w:rPr>
          <w:spacing w:val="-13"/>
          <w:w w:val="110"/>
        </w:rPr>
        <w:t> </w:t>
      </w:r>
      <w:r>
        <w:rPr>
          <w:w w:val="110"/>
        </w:rPr>
        <w:t>estatales,</w:t>
      </w:r>
      <w:r>
        <w:rPr>
          <w:spacing w:val="-13"/>
          <w:w w:val="110"/>
        </w:rPr>
        <w:t> </w:t>
      </w:r>
      <w:r>
        <w:rPr>
          <w:w w:val="110"/>
        </w:rPr>
        <w:t>que</w:t>
      </w:r>
      <w:r>
        <w:rPr>
          <w:spacing w:val="-13"/>
          <w:w w:val="110"/>
        </w:rPr>
        <w:t> </w:t>
      </w:r>
      <w:r>
        <w:rPr>
          <w:w w:val="110"/>
        </w:rPr>
        <w:t>“pugnan</w:t>
      </w:r>
      <w:r>
        <w:rPr>
          <w:spacing w:val="-13"/>
          <w:w w:val="110"/>
        </w:rPr>
        <w:t> </w:t>
      </w:r>
      <w:r>
        <w:rPr>
          <w:w w:val="110"/>
        </w:rPr>
        <w:t>por</w:t>
      </w:r>
      <w:r>
        <w:rPr>
          <w:spacing w:val="-13"/>
          <w:w w:val="110"/>
        </w:rPr>
        <w:t> </w:t>
      </w:r>
      <w:r>
        <w:rPr>
          <w:w w:val="110"/>
        </w:rPr>
        <w:t>imponer</w:t>
      </w:r>
      <w:r>
        <w:rPr>
          <w:spacing w:val="-13"/>
          <w:w w:val="110"/>
        </w:rPr>
        <w:t> </w:t>
      </w:r>
      <w:r>
        <w:rPr>
          <w:w w:val="110"/>
        </w:rPr>
        <w:t>su</w:t>
      </w:r>
      <w:r>
        <w:rPr>
          <w:spacing w:val="-13"/>
          <w:w w:val="110"/>
        </w:rPr>
        <w:t> </w:t>
      </w:r>
      <w:r>
        <w:rPr>
          <w:w w:val="110"/>
        </w:rPr>
        <w:t>poder</w:t>
      </w:r>
      <w:r>
        <w:rPr>
          <w:spacing w:val="-13"/>
          <w:w w:val="110"/>
        </w:rPr>
        <w:t> </w:t>
      </w:r>
      <w:r>
        <w:rPr>
          <w:w w:val="110"/>
        </w:rPr>
        <w:t>para</w:t>
      </w:r>
      <w:r>
        <w:rPr>
          <w:spacing w:val="-13"/>
          <w:w w:val="110"/>
        </w:rPr>
        <w:t> </w:t>
      </w:r>
      <w:r>
        <w:rPr>
          <w:w w:val="110"/>
        </w:rPr>
        <w:t>defender sus intereses” (Mojica,</w:t>
      </w:r>
      <w:r>
        <w:rPr>
          <w:spacing w:val="-27"/>
          <w:w w:val="110"/>
        </w:rPr>
        <w:t> </w:t>
      </w:r>
      <w:r>
        <w:rPr>
          <w:w w:val="110"/>
        </w:rPr>
        <w:t>2000).</w:t>
      </w:r>
    </w:p>
    <w:p>
      <w:pPr>
        <w:pStyle w:val="BodyText"/>
        <w:spacing w:line="252" w:lineRule="auto"/>
        <w:ind w:left="330" w:right="117" w:firstLine="396"/>
        <w:jc w:val="both"/>
      </w:pPr>
      <w:r>
        <w:rPr>
          <w:w w:val="110"/>
        </w:rPr>
        <w:t>Pero, antes de presentar el </w:t>
      </w:r>
      <w:r>
        <w:rPr>
          <w:i/>
          <w:w w:val="110"/>
        </w:rPr>
        <w:t>escenario más probable </w:t>
      </w:r>
      <w:r>
        <w:rPr>
          <w:w w:val="110"/>
        </w:rPr>
        <w:t>de la política hacia el ahora llamado “sur político del continente americano” que desplegará la antes mencionada administración estadounidense, me parece</w:t>
      </w:r>
      <w:r>
        <w:rPr>
          <w:spacing w:val="-9"/>
          <w:w w:val="110"/>
        </w:rPr>
        <w:t> </w:t>
      </w:r>
      <w:r>
        <w:rPr>
          <w:w w:val="110"/>
        </w:rPr>
        <w:t>necesario</w:t>
      </w:r>
      <w:r>
        <w:rPr>
          <w:spacing w:val="-9"/>
          <w:w w:val="110"/>
        </w:rPr>
        <w:t> </w:t>
      </w:r>
      <w:r>
        <w:rPr>
          <w:w w:val="110"/>
        </w:rPr>
        <w:t>realizar</w:t>
      </w:r>
      <w:r>
        <w:rPr>
          <w:spacing w:val="-9"/>
          <w:w w:val="110"/>
        </w:rPr>
        <w:t> </w:t>
      </w:r>
      <w:r>
        <w:rPr>
          <w:w w:val="110"/>
        </w:rPr>
        <w:t>una</w:t>
      </w:r>
      <w:r>
        <w:rPr>
          <w:spacing w:val="-9"/>
          <w:w w:val="110"/>
        </w:rPr>
        <w:t> </w:t>
      </w:r>
      <w:r>
        <w:rPr>
          <w:w w:val="110"/>
        </w:rPr>
        <w:t>síntesis</w:t>
      </w:r>
      <w:r>
        <w:rPr>
          <w:spacing w:val="-9"/>
          <w:w w:val="110"/>
        </w:rPr>
        <w:t> </w:t>
      </w:r>
      <w:r>
        <w:rPr>
          <w:w w:val="110"/>
        </w:rPr>
        <w:t>de</w:t>
      </w:r>
      <w:r>
        <w:rPr>
          <w:spacing w:val="-9"/>
          <w:w w:val="110"/>
        </w:rPr>
        <w:t> </w:t>
      </w:r>
      <w:r>
        <w:rPr>
          <w:w w:val="110"/>
        </w:rPr>
        <w:t>los</w:t>
      </w:r>
      <w:r>
        <w:rPr>
          <w:spacing w:val="-9"/>
          <w:w w:val="110"/>
        </w:rPr>
        <w:t> </w:t>
      </w:r>
      <w:r>
        <w:rPr>
          <w:w w:val="110"/>
        </w:rPr>
        <w:t>objetivos</w:t>
      </w:r>
      <w:r>
        <w:rPr>
          <w:spacing w:val="-9"/>
          <w:w w:val="110"/>
        </w:rPr>
        <w:t> </w:t>
      </w:r>
      <w:r>
        <w:rPr>
          <w:w w:val="110"/>
        </w:rPr>
        <w:t>estratégicos</w:t>
      </w:r>
      <w:r>
        <w:rPr>
          <w:spacing w:val="-9"/>
          <w:w w:val="110"/>
        </w:rPr>
        <w:t> </w:t>
      </w:r>
      <w:r>
        <w:rPr>
          <w:w w:val="110"/>
        </w:rPr>
        <w:t>y</w:t>
      </w:r>
      <w:r>
        <w:rPr>
          <w:spacing w:val="-9"/>
          <w:w w:val="110"/>
        </w:rPr>
        <w:t> </w:t>
      </w:r>
      <w:r>
        <w:rPr>
          <w:w w:val="110"/>
        </w:rPr>
        <w:t>de algunos objetivos generales de las diversas acciones desplegadas por la maquinaria burocrático-militar, económico-financiera e ideológico- cultural</w:t>
      </w:r>
      <w:r>
        <w:rPr>
          <w:spacing w:val="-11"/>
          <w:w w:val="110"/>
        </w:rPr>
        <w:t> </w:t>
      </w:r>
      <w:r>
        <w:rPr>
          <w:w w:val="110"/>
        </w:rPr>
        <w:t>de</w:t>
      </w:r>
      <w:r>
        <w:rPr>
          <w:spacing w:val="-11"/>
          <w:w w:val="110"/>
        </w:rPr>
        <w:t> </w:t>
      </w:r>
      <w:r>
        <w:rPr>
          <w:w w:val="110"/>
        </w:rPr>
        <w:t>ese</w:t>
      </w:r>
      <w:r>
        <w:rPr>
          <w:spacing w:val="-11"/>
          <w:w w:val="110"/>
        </w:rPr>
        <w:t> </w:t>
      </w:r>
      <w:r>
        <w:rPr>
          <w:w w:val="110"/>
        </w:rPr>
        <w:t>país</w:t>
      </w:r>
      <w:r>
        <w:rPr>
          <w:spacing w:val="-11"/>
          <w:w w:val="110"/>
        </w:rPr>
        <w:t> </w:t>
      </w:r>
      <w:r>
        <w:rPr>
          <w:w w:val="110"/>
        </w:rPr>
        <w:t>entre</w:t>
      </w:r>
      <w:r>
        <w:rPr>
          <w:spacing w:val="-11"/>
          <w:w w:val="110"/>
        </w:rPr>
        <w:t> </w:t>
      </w:r>
      <w:r>
        <w:rPr>
          <w:w w:val="110"/>
        </w:rPr>
        <w:t>el</w:t>
      </w:r>
      <w:r>
        <w:rPr>
          <w:spacing w:val="-11"/>
          <w:w w:val="110"/>
        </w:rPr>
        <w:t> </w:t>
      </w:r>
      <w:r>
        <w:rPr>
          <w:w w:val="110"/>
        </w:rPr>
        <w:t>20</w:t>
      </w:r>
      <w:r>
        <w:rPr>
          <w:spacing w:val="-11"/>
          <w:w w:val="110"/>
        </w:rPr>
        <w:t> </w:t>
      </w:r>
      <w:r>
        <w:rPr>
          <w:w w:val="110"/>
        </w:rPr>
        <w:t>de</w:t>
      </w:r>
      <w:r>
        <w:rPr>
          <w:spacing w:val="-11"/>
          <w:w w:val="110"/>
        </w:rPr>
        <w:t> </w:t>
      </w:r>
      <w:r>
        <w:rPr>
          <w:w w:val="110"/>
        </w:rPr>
        <w:t>enero</w:t>
      </w:r>
      <w:r>
        <w:rPr>
          <w:spacing w:val="-11"/>
          <w:w w:val="110"/>
        </w:rPr>
        <w:t> </w:t>
      </w:r>
      <w:r>
        <w:rPr>
          <w:w w:val="110"/>
        </w:rPr>
        <w:t>de</w:t>
      </w:r>
      <w:r>
        <w:rPr>
          <w:spacing w:val="-11"/>
          <w:w w:val="110"/>
        </w:rPr>
        <w:t> </w:t>
      </w:r>
      <w:r>
        <w:rPr>
          <w:w w:val="110"/>
        </w:rPr>
        <w:t>2009</w:t>
      </w:r>
      <w:r>
        <w:rPr>
          <w:spacing w:val="-11"/>
          <w:w w:val="110"/>
        </w:rPr>
        <w:t> </w:t>
      </w:r>
      <w:r>
        <w:rPr>
          <w:w w:val="110"/>
        </w:rPr>
        <w:t>y</w:t>
      </w:r>
      <w:r>
        <w:rPr>
          <w:spacing w:val="-11"/>
          <w:w w:val="110"/>
        </w:rPr>
        <w:t> </w:t>
      </w:r>
      <w:r>
        <w:rPr>
          <w:w w:val="110"/>
        </w:rPr>
        <w:t>de</w:t>
      </w:r>
      <w:r>
        <w:rPr>
          <w:spacing w:val="-11"/>
          <w:w w:val="110"/>
        </w:rPr>
        <w:t> </w:t>
      </w:r>
      <w:r>
        <w:rPr>
          <w:w w:val="110"/>
        </w:rPr>
        <w:t>2013.</w:t>
      </w:r>
      <w:r>
        <w:rPr>
          <w:spacing w:val="-11"/>
          <w:w w:val="110"/>
        </w:rPr>
        <w:t> </w:t>
      </w:r>
      <w:r>
        <w:rPr>
          <w:w w:val="110"/>
        </w:rPr>
        <w:t>igualmente, referir algunos de los componentes de la que he denominado “ofen- siva diplomática” emprendida por el actual gobierno estadounidense entre los primeros meses de ese último año y lo transcurrido de 2014 hasta el momento de escribir estas líneas (suárez, </w:t>
      </w:r>
      <w:r>
        <w:rPr>
          <w:spacing w:val="2"/>
          <w:w w:val="110"/>
        </w:rPr>
        <w:t> </w:t>
      </w:r>
      <w:r>
        <w:rPr>
          <w:w w:val="110"/>
        </w:rPr>
        <w:t>2014).</w:t>
      </w:r>
    </w:p>
    <w:p>
      <w:pPr>
        <w:pStyle w:val="BodyText"/>
        <w:rPr>
          <w:sz w:val="20"/>
        </w:rPr>
      </w:pPr>
    </w:p>
    <w:p>
      <w:pPr>
        <w:pStyle w:val="BodyText"/>
        <w:spacing w:before="10"/>
        <w:rPr>
          <w:sz w:val="24"/>
        </w:rPr>
      </w:pPr>
      <w:r>
        <w:rPr/>
        <w:pict>
          <v:line style="position:absolute;mso-position-horizontal-relative:page;mso-position-vertical-relative:paragraph;z-index:7792;mso-wrap-distance-left:0;mso-wrap-distance-right:0" from="76.5354pt,16.768913pt" to="104.8814pt,16.768913pt" stroked="true" strokeweight=".5pt" strokecolor="#000000">
            <w10:wrap type="topAndBottom"/>
          </v:line>
        </w:pict>
      </w:r>
    </w:p>
    <w:p>
      <w:pPr>
        <w:spacing w:line="242" w:lineRule="auto" w:before="89"/>
        <w:ind w:left="727" w:right="117" w:firstLine="0"/>
        <w:jc w:val="both"/>
        <w:rPr>
          <w:sz w:val="16"/>
        </w:rPr>
      </w:pPr>
      <w:r>
        <w:rPr>
          <w:w w:val="110"/>
          <w:sz w:val="16"/>
        </w:rPr>
        <w:t>24</w:t>
      </w:r>
      <w:r>
        <w:rPr>
          <w:spacing w:val="-12"/>
          <w:w w:val="110"/>
          <w:sz w:val="16"/>
        </w:rPr>
        <w:t> </w:t>
      </w:r>
      <w:r>
        <w:rPr>
          <w:w w:val="110"/>
          <w:sz w:val="16"/>
        </w:rPr>
        <w:t>de</w:t>
      </w:r>
      <w:r>
        <w:rPr>
          <w:spacing w:val="-12"/>
          <w:w w:val="110"/>
          <w:sz w:val="16"/>
        </w:rPr>
        <w:t> </w:t>
      </w:r>
      <w:r>
        <w:rPr>
          <w:spacing w:val="-3"/>
          <w:w w:val="110"/>
          <w:sz w:val="16"/>
        </w:rPr>
        <w:t>mayo</w:t>
      </w:r>
      <w:r>
        <w:rPr>
          <w:spacing w:val="-12"/>
          <w:w w:val="110"/>
          <w:sz w:val="16"/>
        </w:rPr>
        <w:t> </w:t>
      </w:r>
      <w:r>
        <w:rPr>
          <w:w w:val="110"/>
          <w:sz w:val="16"/>
        </w:rPr>
        <w:t>y</w:t>
      </w:r>
      <w:r>
        <w:rPr>
          <w:spacing w:val="-12"/>
          <w:w w:val="110"/>
          <w:sz w:val="16"/>
        </w:rPr>
        <w:t> </w:t>
      </w:r>
      <w:r>
        <w:rPr>
          <w:w w:val="110"/>
          <w:sz w:val="16"/>
        </w:rPr>
        <w:t>el</w:t>
      </w:r>
      <w:r>
        <w:rPr>
          <w:spacing w:val="-12"/>
          <w:w w:val="110"/>
          <w:sz w:val="16"/>
        </w:rPr>
        <w:t> </w:t>
      </w:r>
      <w:r>
        <w:rPr>
          <w:w w:val="110"/>
          <w:sz w:val="16"/>
        </w:rPr>
        <w:t>8</w:t>
      </w:r>
      <w:r>
        <w:rPr>
          <w:spacing w:val="-12"/>
          <w:w w:val="110"/>
          <w:sz w:val="16"/>
        </w:rPr>
        <w:t> </w:t>
      </w:r>
      <w:r>
        <w:rPr>
          <w:w w:val="110"/>
          <w:sz w:val="16"/>
        </w:rPr>
        <w:t>de</w:t>
      </w:r>
      <w:r>
        <w:rPr>
          <w:spacing w:val="-12"/>
          <w:w w:val="110"/>
          <w:sz w:val="16"/>
        </w:rPr>
        <w:t> </w:t>
      </w:r>
      <w:r>
        <w:rPr>
          <w:spacing w:val="-3"/>
          <w:w w:val="110"/>
          <w:sz w:val="16"/>
        </w:rPr>
        <w:t>junio</w:t>
      </w:r>
      <w:r>
        <w:rPr>
          <w:spacing w:val="-12"/>
          <w:w w:val="110"/>
          <w:sz w:val="16"/>
        </w:rPr>
        <w:t> </w:t>
      </w:r>
      <w:r>
        <w:rPr>
          <w:w w:val="110"/>
          <w:sz w:val="16"/>
        </w:rPr>
        <w:t>de</w:t>
      </w:r>
      <w:r>
        <w:rPr>
          <w:spacing w:val="-12"/>
          <w:w w:val="110"/>
          <w:sz w:val="16"/>
        </w:rPr>
        <w:t> </w:t>
      </w:r>
      <w:r>
        <w:rPr>
          <w:spacing w:val="-3"/>
          <w:w w:val="110"/>
          <w:sz w:val="16"/>
        </w:rPr>
        <w:t>2014.</w:t>
      </w:r>
      <w:r>
        <w:rPr>
          <w:spacing w:val="-12"/>
          <w:w w:val="110"/>
          <w:sz w:val="16"/>
        </w:rPr>
        <w:t> </w:t>
      </w:r>
      <w:r>
        <w:rPr>
          <w:w w:val="110"/>
          <w:sz w:val="16"/>
        </w:rPr>
        <w:t>En</w:t>
      </w:r>
      <w:r>
        <w:rPr>
          <w:spacing w:val="-12"/>
          <w:w w:val="110"/>
          <w:sz w:val="16"/>
        </w:rPr>
        <w:t> </w:t>
      </w:r>
      <w:r>
        <w:rPr>
          <w:w w:val="110"/>
          <w:sz w:val="16"/>
        </w:rPr>
        <w:t>esa</w:t>
      </w:r>
      <w:r>
        <w:rPr>
          <w:spacing w:val="-12"/>
          <w:w w:val="110"/>
          <w:sz w:val="16"/>
        </w:rPr>
        <w:t> </w:t>
      </w:r>
      <w:r>
        <w:rPr>
          <w:spacing w:val="-3"/>
          <w:w w:val="110"/>
          <w:sz w:val="16"/>
        </w:rPr>
        <w:t>última</w:t>
      </w:r>
      <w:r>
        <w:rPr>
          <w:spacing w:val="-12"/>
          <w:w w:val="110"/>
          <w:sz w:val="16"/>
        </w:rPr>
        <w:t> </w:t>
      </w:r>
      <w:r>
        <w:rPr>
          <w:spacing w:val="-3"/>
          <w:w w:val="110"/>
          <w:sz w:val="16"/>
        </w:rPr>
        <w:t>ocasión</w:t>
      </w:r>
      <w:r>
        <w:rPr>
          <w:spacing w:val="-12"/>
          <w:w w:val="110"/>
          <w:sz w:val="16"/>
        </w:rPr>
        <w:t> </w:t>
      </w:r>
      <w:r>
        <w:rPr>
          <w:spacing w:val="-3"/>
          <w:w w:val="110"/>
          <w:sz w:val="16"/>
        </w:rPr>
        <w:t>pude</w:t>
      </w:r>
      <w:r>
        <w:rPr>
          <w:spacing w:val="-12"/>
          <w:w w:val="110"/>
          <w:sz w:val="16"/>
        </w:rPr>
        <w:t> </w:t>
      </w:r>
      <w:r>
        <w:rPr>
          <w:spacing w:val="-3"/>
          <w:w w:val="110"/>
          <w:sz w:val="16"/>
        </w:rPr>
        <w:t>entrevistarme</w:t>
      </w:r>
      <w:r>
        <w:rPr>
          <w:spacing w:val="-12"/>
          <w:w w:val="110"/>
          <w:sz w:val="16"/>
        </w:rPr>
        <w:t> </w:t>
      </w:r>
      <w:r>
        <w:rPr>
          <w:spacing w:val="-3"/>
          <w:w w:val="110"/>
          <w:sz w:val="16"/>
        </w:rPr>
        <w:t>con Michael </w:t>
      </w:r>
      <w:r>
        <w:rPr>
          <w:spacing w:val="-5"/>
          <w:w w:val="110"/>
          <w:sz w:val="16"/>
        </w:rPr>
        <w:t>shifter, </w:t>
      </w:r>
      <w:r>
        <w:rPr>
          <w:spacing w:val="-3"/>
          <w:w w:val="110"/>
          <w:sz w:val="16"/>
        </w:rPr>
        <w:t>presidente </w:t>
      </w:r>
      <w:r>
        <w:rPr>
          <w:w w:val="110"/>
          <w:sz w:val="16"/>
        </w:rPr>
        <w:t>de </w:t>
      </w:r>
      <w:r>
        <w:rPr>
          <w:spacing w:val="-3"/>
          <w:w w:val="110"/>
          <w:sz w:val="16"/>
        </w:rPr>
        <w:t>diálogo interamericano, </w:t>
      </w:r>
      <w:r>
        <w:rPr>
          <w:w w:val="110"/>
          <w:sz w:val="16"/>
        </w:rPr>
        <w:t>y </w:t>
      </w:r>
      <w:r>
        <w:rPr>
          <w:spacing w:val="-3"/>
          <w:w w:val="110"/>
          <w:sz w:val="16"/>
        </w:rPr>
        <w:t>sostener diversos </w:t>
      </w:r>
      <w:r>
        <w:rPr>
          <w:spacing w:val="-5"/>
          <w:w w:val="110"/>
          <w:sz w:val="16"/>
        </w:rPr>
        <w:t>inter- </w:t>
      </w:r>
      <w:r>
        <w:rPr>
          <w:spacing w:val="-3"/>
          <w:w w:val="109"/>
          <w:sz w:val="16"/>
        </w:rPr>
        <w:t>cambio</w:t>
      </w:r>
      <w:r>
        <w:rPr>
          <w:w w:val="109"/>
          <w:sz w:val="16"/>
        </w:rPr>
        <w:t>s</w:t>
      </w:r>
      <w:r>
        <w:rPr>
          <w:spacing w:val="3"/>
          <w:sz w:val="16"/>
        </w:rPr>
        <w:t> </w:t>
      </w:r>
      <w:r>
        <w:rPr>
          <w:spacing w:val="-3"/>
          <w:w w:val="104"/>
          <w:sz w:val="16"/>
        </w:rPr>
        <w:t>d</w:t>
      </w:r>
      <w:r>
        <w:rPr>
          <w:w w:val="104"/>
          <w:sz w:val="16"/>
        </w:rPr>
        <w:t>e</w:t>
      </w:r>
      <w:r>
        <w:rPr>
          <w:spacing w:val="3"/>
          <w:sz w:val="16"/>
        </w:rPr>
        <w:t> </w:t>
      </w:r>
      <w:r>
        <w:rPr>
          <w:spacing w:val="-3"/>
          <w:w w:val="107"/>
          <w:sz w:val="16"/>
        </w:rPr>
        <w:t>opinione</w:t>
      </w:r>
      <w:r>
        <w:rPr>
          <w:w w:val="107"/>
          <w:sz w:val="16"/>
        </w:rPr>
        <w:t>s</w:t>
      </w:r>
      <w:r>
        <w:rPr>
          <w:spacing w:val="3"/>
          <w:sz w:val="16"/>
        </w:rPr>
        <w:t> </w:t>
      </w:r>
      <w:r>
        <w:rPr>
          <w:spacing w:val="-3"/>
          <w:w w:val="110"/>
          <w:sz w:val="16"/>
        </w:rPr>
        <w:t>co</w:t>
      </w:r>
      <w:r>
        <w:rPr>
          <w:w w:val="110"/>
          <w:sz w:val="16"/>
        </w:rPr>
        <w:t>n</w:t>
      </w:r>
      <w:r>
        <w:rPr>
          <w:spacing w:val="3"/>
          <w:sz w:val="16"/>
        </w:rPr>
        <w:t> </w:t>
      </w:r>
      <w:r>
        <w:rPr>
          <w:spacing w:val="-3"/>
          <w:w w:val="112"/>
          <w:sz w:val="16"/>
        </w:rPr>
        <w:t>Jame</w:t>
      </w:r>
      <w:r>
        <w:rPr>
          <w:w w:val="112"/>
          <w:sz w:val="16"/>
        </w:rPr>
        <w:t>s</w:t>
      </w:r>
      <w:r>
        <w:rPr>
          <w:spacing w:val="3"/>
          <w:sz w:val="16"/>
        </w:rPr>
        <w:t> </w:t>
      </w:r>
      <w:r>
        <w:rPr>
          <w:spacing w:val="-3"/>
          <w:w w:val="105"/>
          <w:sz w:val="16"/>
        </w:rPr>
        <w:t>Petra</w:t>
      </w:r>
      <w:r>
        <w:rPr>
          <w:w w:val="105"/>
          <w:sz w:val="16"/>
        </w:rPr>
        <w:t>s</w:t>
      </w:r>
      <w:r>
        <w:rPr>
          <w:spacing w:val="3"/>
          <w:sz w:val="16"/>
        </w:rPr>
        <w:t> </w:t>
      </w:r>
      <w:r>
        <w:rPr>
          <w:w w:val="102"/>
          <w:sz w:val="16"/>
        </w:rPr>
        <w:t>y</w:t>
      </w:r>
      <w:r>
        <w:rPr>
          <w:spacing w:val="3"/>
          <w:sz w:val="16"/>
        </w:rPr>
        <w:t> </w:t>
      </w:r>
      <w:r>
        <w:rPr>
          <w:spacing w:val="-3"/>
          <w:w w:val="136"/>
          <w:sz w:val="16"/>
        </w:rPr>
        <w:t>d</w:t>
      </w:r>
      <w:r>
        <w:rPr>
          <w:spacing w:val="-3"/>
          <w:w w:val="106"/>
          <w:sz w:val="16"/>
        </w:rPr>
        <w:t>avi</w:t>
      </w:r>
      <w:r>
        <w:rPr>
          <w:w w:val="106"/>
          <w:sz w:val="16"/>
        </w:rPr>
        <w:t>d</w:t>
      </w:r>
      <w:r>
        <w:rPr>
          <w:spacing w:val="3"/>
          <w:sz w:val="16"/>
        </w:rPr>
        <w:t> </w:t>
      </w:r>
      <w:r>
        <w:rPr>
          <w:spacing w:val="-3"/>
          <w:w w:val="238"/>
          <w:sz w:val="16"/>
        </w:rPr>
        <w:t>l</w:t>
      </w:r>
      <w:r>
        <w:rPr>
          <w:spacing w:val="-3"/>
          <w:w w:val="107"/>
          <w:sz w:val="16"/>
        </w:rPr>
        <w:t>ewis</w:t>
      </w:r>
      <w:r>
        <w:rPr>
          <w:w w:val="107"/>
          <w:sz w:val="16"/>
        </w:rPr>
        <w:t>,</w:t>
      </w:r>
      <w:r>
        <w:rPr>
          <w:spacing w:val="3"/>
          <w:sz w:val="16"/>
        </w:rPr>
        <w:t> </w:t>
      </w:r>
      <w:r>
        <w:rPr>
          <w:spacing w:val="-3"/>
          <w:w w:val="103"/>
          <w:sz w:val="16"/>
        </w:rPr>
        <w:t>est</w:t>
      </w:r>
      <w:r>
        <w:rPr>
          <w:w w:val="103"/>
          <w:sz w:val="16"/>
        </w:rPr>
        <w:t>e</w:t>
      </w:r>
      <w:r>
        <w:rPr>
          <w:spacing w:val="3"/>
          <w:sz w:val="16"/>
        </w:rPr>
        <w:t> </w:t>
      </w:r>
      <w:r>
        <w:rPr>
          <w:spacing w:val="-3"/>
          <w:w w:val="109"/>
          <w:sz w:val="16"/>
        </w:rPr>
        <w:t>últim</w:t>
      </w:r>
      <w:r>
        <w:rPr>
          <w:w w:val="109"/>
          <w:sz w:val="16"/>
        </w:rPr>
        <w:t>o</w:t>
      </w:r>
      <w:r>
        <w:rPr>
          <w:spacing w:val="3"/>
          <w:sz w:val="16"/>
        </w:rPr>
        <w:t> </w:t>
      </w:r>
      <w:r>
        <w:rPr>
          <w:spacing w:val="-3"/>
          <w:w w:val="105"/>
          <w:sz w:val="16"/>
        </w:rPr>
        <w:t>vicepresidente </w:t>
      </w:r>
      <w:r>
        <w:rPr>
          <w:spacing w:val="-3"/>
          <w:w w:val="105"/>
          <w:sz w:val="16"/>
        </w:rPr>
        <w:t>de</w:t>
      </w:r>
      <w:r>
        <w:rPr>
          <w:w w:val="105"/>
          <w:sz w:val="16"/>
        </w:rPr>
        <w:t>l</w:t>
      </w:r>
      <w:r>
        <w:rPr>
          <w:spacing w:val="10"/>
          <w:sz w:val="16"/>
        </w:rPr>
        <w:t> </w:t>
      </w:r>
      <w:r>
        <w:rPr>
          <w:spacing w:val="-3"/>
          <w:w w:val="108"/>
          <w:sz w:val="16"/>
        </w:rPr>
        <w:t>Mancheste</w:t>
      </w:r>
      <w:r>
        <w:rPr>
          <w:w w:val="108"/>
          <w:sz w:val="16"/>
        </w:rPr>
        <w:t>r</w:t>
      </w:r>
      <w:r>
        <w:rPr>
          <w:spacing w:val="10"/>
          <w:sz w:val="16"/>
        </w:rPr>
        <w:t> </w:t>
      </w:r>
      <w:r>
        <w:rPr>
          <w:spacing w:val="-18"/>
          <w:w w:val="191"/>
          <w:sz w:val="16"/>
        </w:rPr>
        <w:t>t</w:t>
      </w:r>
      <w:r>
        <w:rPr>
          <w:spacing w:val="-3"/>
          <w:w w:val="105"/>
          <w:sz w:val="16"/>
        </w:rPr>
        <w:t>rad</w:t>
      </w:r>
      <w:r>
        <w:rPr>
          <w:w w:val="105"/>
          <w:sz w:val="16"/>
        </w:rPr>
        <w:t>e</w:t>
      </w:r>
      <w:r>
        <w:rPr>
          <w:spacing w:val="10"/>
          <w:sz w:val="16"/>
        </w:rPr>
        <w:t> </w:t>
      </w:r>
      <w:r>
        <w:rPr>
          <w:spacing w:val="-3"/>
          <w:w w:val="238"/>
          <w:sz w:val="16"/>
        </w:rPr>
        <w:t>l</w:t>
      </w:r>
      <w:r>
        <w:rPr>
          <w:spacing w:val="-3"/>
          <w:w w:val="111"/>
          <w:sz w:val="16"/>
        </w:rPr>
        <w:t>td</w:t>
      </w:r>
      <w:r>
        <w:rPr>
          <w:w w:val="111"/>
          <w:sz w:val="16"/>
        </w:rPr>
        <w:t>.</w:t>
      </w:r>
      <w:r>
        <w:rPr>
          <w:spacing w:val="10"/>
          <w:sz w:val="16"/>
        </w:rPr>
        <w:t> </w:t>
      </w:r>
      <w:r>
        <w:rPr>
          <w:spacing w:val="-3"/>
          <w:w w:val="140"/>
          <w:sz w:val="16"/>
        </w:rPr>
        <w:t>i</w:t>
      </w:r>
      <w:r>
        <w:rPr>
          <w:spacing w:val="-3"/>
          <w:w w:val="118"/>
          <w:sz w:val="16"/>
        </w:rPr>
        <w:t>nc.</w:t>
      </w:r>
      <w:r>
        <w:rPr>
          <w:w w:val="118"/>
          <w:sz w:val="16"/>
        </w:rPr>
        <w:t>,</w:t>
      </w:r>
      <w:r>
        <w:rPr>
          <w:spacing w:val="10"/>
          <w:sz w:val="16"/>
        </w:rPr>
        <w:t> </w:t>
      </w:r>
      <w:r>
        <w:rPr>
          <w:spacing w:val="-3"/>
          <w:w w:val="109"/>
          <w:sz w:val="16"/>
        </w:rPr>
        <w:t>ubicad</w:t>
      </w:r>
      <w:r>
        <w:rPr>
          <w:w w:val="109"/>
          <w:sz w:val="16"/>
        </w:rPr>
        <w:t>o</w:t>
      </w:r>
      <w:r>
        <w:rPr>
          <w:spacing w:val="10"/>
          <w:sz w:val="16"/>
        </w:rPr>
        <w:t> </w:t>
      </w:r>
      <w:r>
        <w:rPr>
          <w:spacing w:val="-3"/>
          <w:w w:val="106"/>
          <w:sz w:val="16"/>
        </w:rPr>
        <w:t>e</w:t>
      </w:r>
      <w:r>
        <w:rPr>
          <w:w w:val="106"/>
          <w:sz w:val="16"/>
        </w:rPr>
        <w:t>n</w:t>
      </w:r>
      <w:r>
        <w:rPr>
          <w:spacing w:val="10"/>
          <w:sz w:val="16"/>
        </w:rPr>
        <w:t> </w:t>
      </w:r>
      <w:r>
        <w:rPr>
          <w:spacing w:val="-12"/>
          <w:w w:val="108"/>
          <w:sz w:val="16"/>
        </w:rPr>
        <w:t>W</w:t>
      </w:r>
      <w:r>
        <w:rPr>
          <w:spacing w:val="-3"/>
          <w:w w:val="109"/>
          <w:sz w:val="16"/>
        </w:rPr>
        <w:t>ashington</w:t>
      </w:r>
      <w:r>
        <w:rPr>
          <w:w w:val="109"/>
          <w:sz w:val="16"/>
        </w:rPr>
        <w:t>.</w:t>
      </w:r>
      <w:r>
        <w:rPr>
          <w:spacing w:val="10"/>
          <w:sz w:val="16"/>
        </w:rPr>
        <w:t> </w:t>
      </w:r>
      <w:r>
        <w:rPr>
          <w:spacing w:val="-3"/>
          <w:w w:val="120"/>
          <w:sz w:val="16"/>
        </w:rPr>
        <w:t>É</w:t>
      </w:r>
      <w:r>
        <w:rPr>
          <w:w w:val="120"/>
          <w:sz w:val="16"/>
        </w:rPr>
        <w:t>l</w:t>
      </w:r>
      <w:r>
        <w:rPr>
          <w:spacing w:val="10"/>
          <w:sz w:val="16"/>
        </w:rPr>
        <w:t> </w:t>
      </w:r>
      <w:r>
        <w:rPr>
          <w:spacing w:val="-3"/>
          <w:w w:val="108"/>
          <w:sz w:val="16"/>
        </w:rPr>
        <w:t>m</w:t>
      </w:r>
      <w:r>
        <w:rPr>
          <w:w w:val="108"/>
          <w:sz w:val="16"/>
        </w:rPr>
        <w:t>e</w:t>
      </w:r>
      <w:r>
        <w:rPr>
          <w:spacing w:val="10"/>
          <w:sz w:val="16"/>
        </w:rPr>
        <w:t> </w:t>
      </w:r>
      <w:r>
        <w:rPr>
          <w:spacing w:val="-3"/>
          <w:w w:val="104"/>
          <w:sz w:val="16"/>
        </w:rPr>
        <w:t>provey</w:t>
      </w:r>
      <w:r>
        <w:rPr>
          <w:w w:val="104"/>
          <w:sz w:val="16"/>
        </w:rPr>
        <w:t>ó</w:t>
      </w:r>
      <w:r>
        <w:rPr>
          <w:spacing w:val="10"/>
          <w:sz w:val="16"/>
        </w:rPr>
        <w:t> </w:t>
      </w:r>
      <w:r>
        <w:rPr>
          <w:spacing w:val="-3"/>
          <w:w w:val="104"/>
          <w:sz w:val="16"/>
        </w:rPr>
        <w:t>d</w:t>
      </w:r>
      <w:r>
        <w:rPr>
          <w:w w:val="104"/>
          <w:sz w:val="16"/>
        </w:rPr>
        <w:t>e</w:t>
      </w:r>
      <w:r>
        <w:rPr>
          <w:spacing w:val="10"/>
          <w:sz w:val="16"/>
        </w:rPr>
        <w:t> </w:t>
      </w:r>
      <w:r>
        <w:rPr>
          <w:spacing w:val="-3"/>
          <w:w w:val="104"/>
          <w:sz w:val="16"/>
        </w:rPr>
        <w:t>dive</w:t>
      </w:r>
      <w:r>
        <w:rPr>
          <w:spacing w:val="-15"/>
          <w:w w:val="104"/>
          <w:sz w:val="16"/>
        </w:rPr>
        <w:t>r</w:t>
      </w:r>
      <w:r>
        <w:rPr>
          <w:w w:val="100"/>
          <w:sz w:val="16"/>
        </w:rPr>
        <w:t>- </w:t>
      </w:r>
      <w:r>
        <w:rPr>
          <w:w w:val="110"/>
          <w:sz w:val="16"/>
        </w:rPr>
        <w:t>sos</w:t>
      </w:r>
      <w:r>
        <w:rPr>
          <w:spacing w:val="-13"/>
          <w:w w:val="110"/>
          <w:sz w:val="16"/>
        </w:rPr>
        <w:t> </w:t>
      </w:r>
      <w:r>
        <w:rPr>
          <w:spacing w:val="-3"/>
          <w:w w:val="110"/>
          <w:sz w:val="16"/>
        </w:rPr>
        <w:t>materiales</w:t>
      </w:r>
      <w:r>
        <w:rPr>
          <w:spacing w:val="-13"/>
          <w:w w:val="110"/>
          <w:sz w:val="16"/>
        </w:rPr>
        <w:t> </w:t>
      </w:r>
      <w:r>
        <w:rPr>
          <w:w w:val="110"/>
          <w:sz w:val="16"/>
        </w:rPr>
        <w:t>y</w:t>
      </w:r>
      <w:r>
        <w:rPr>
          <w:spacing w:val="-13"/>
          <w:w w:val="110"/>
          <w:sz w:val="16"/>
        </w:rPr>
        <w:t> </w:t>
      </w:r>
      <w:r>
        <w:rPr>
          <w:spacing w:val="-3"/>
          <w:w w:val="110"/>
          <w:sz w:val="16"/>
        </w:rPr>
        <w:t>referencias</w:t>
      </w:r>
      <w:r>
        <w:rPr>
          <w:spacing w:val="-13"/>
          <w:w w:val="110"/>
          <w:sz w:val="16"/>
        </w:rPr>
        <w:t> </w:t>
      </w:r>
      <w:r>
        <w:rPr>
          <w:spacing w:val="-3"/>
          <w:w w:val="110"/>
          <w:sz w:val="16"/>
        </w:rPr>
        <w:t>sobre</w:t>
      </w:r>
      <w:r>
        <w:rPr>
          <w:spacing w:val="-13"/>
          <w:w w:val="110"/>
          <w:sz w:val="16"/>
        </w:rPr>
        <w:t> </w:t>
      </w:r>
      <w:r>
        <w:rPr>
          <w:w w:val="110"/>
          <w:sz w:val="16"/>
        </w:rPr>
        <w:t>la</w:t>
      </w:r>
      <w:r>
        <w:rPr>
          <w:spacing w:val="-13"/>
          <w:w w:val="110"/>
          <w:sz w:val="16"/>
        </w:rPr>
        <w:t> </w:t>
      </w:r>
      <w:r>
        <w:rPr>
          <w:spacing w:val="-3"/>
          <w:w w:val="110"/>
          <w:sz w:val="16"/>
        </w:rPr>
        <w:t>política</w:t>
      </w:r>
      <w:r>
        <w:rPr>
          <w:spacing w:val="-13"/>
          <w:w w:val="110"/>
          <w:sz w:val="16"/>
        </w:rPr>
        <w:t> </w:t>
      </w:r>
      <w:r>
        <w:rPr>
          <w:spacing w:val="-3"/>
          <w:w w:val="110"/>
          <w:sz w:val="16"/>
        </w:rPr>
        <w:t>comercial</w:t>
      </w:r>
      <w:r>
        <w:rPr>
          <w:spacing w:val="-13"/>
          <w:w w:val="110"/>
          <w:sz w:val="16"/>
        </w:rPr>
        <w:t> </w:t>
      </w:r>
      <w:r>
        <w:rPr>
          <w:w w:val="110"/>
          <w:sz w:val="16"/>
        </w:rPr>
        <w:t>de</w:t>
      </w:r>
      <w:r>
        <w:rPr>
          <w:spacing w:val="-13"/>
          <w:w w:val="110"/>
          <w:sz w:val="16"/>
        </w:rPr>
        <w:t> </w:t>
      </w:r>
      <w:r>
        <w:rPr>
          <w:w w:val="110"/>
          <w:sz w:val="16"/>
        </w:rPr>
        <w:t>las</w:t>
      </w:r>
      <w:r>
        <w:rPr>
          <w:spacing w:val="-13"/>
          <w:w w:val="110"/>
          <w:sz w:val="16"/>
        </w:rPr>
        <w:t> </w:t>
      </w:r>
      <w:r>
        <w:rPr>
          <w:spacing w:val="-3"/>
          <w:w w:val="110"/>
          <w:sz w:val="16"/>
        </w:rPr>
        <w:t>administraciones</w:t>
      </w:r>
      <w:r>
        <w:rPr>
          <w:spacing w:val="-13"/>
          <w:w w:val="110"/>
          <w:sz w:val="16"/>
        </w:rPr>
        <w:t> </w:t>
      </w:r>
      <w:r>
        <w:rPr>
          <w:spacing w:val="-3"/>
          <w:w w:val="110"/>
          <w:sz w:val="16"/>
        </w:rPr>
        <w:t>de barack obama </w:t>
      </w:r>
      <w:r>
        <w:rPr>
          <w:w w:val="110"/>
          <w:sz w:val="16"/>
        </w:rPr>
        <w:t>que </w:t>
      </w:r>
      <w:r>
        <w:rPr>
          <w:spacing w:val="-3"/>
          <w:w w:val="110"/>
          <w:sz w:val="16"/>
        </w:rPr>
        <w:t>requerirán estudios posteriores. </w:t>
      </w:r>
      <w:r>
        <w:rPr>
          <w:spacing w:val="-5"/>
          <w:w w:val="110"/>
          <w:sz w:val="16"/>
        </w:rPr>
        <w:t>también </w:t>
      </w:r>
      <w:r>
        <w:rPr>
          <w:spacing w:val="-3"/>
          <w:w w:val="110"/>
          <w:sz w:val="16"/>
        </w:rPr>
        <w:t>quiero agradecer los comentarios</w:t>
      </w:r>
      <w:r>
        <w:rPr>
          <w:spacing w:val="-9"/>
          <w:w w:val="110"/>
          <w:sz w:val="16"/>
        </w:rPr>
        <w:t> </w:t>
      </w:r>
      <w:r>
        <w:rPr>
          <w:spacing w:val="-3"/>
          <w:w w:val="110"/>
          <w:sz w:val="16"/>
        </w:rPr>
        <w:t>críticos</w:t>
      </w:r>
      <w:r>
        <w:rPr>
          <w:spacing w:val="-9"/>
          <w:w w:val="110"/>
          <w:sz w:val="16"/>
        </w:rPr>
        <w:t> </w:t>
      </w:r>
      <w:r>
        <w:rPr>
          <w:w w:val="110"/>
          <w:sz w:val="16"/>
        </w:rPr>
        <w:t>que</w:t>
      </w:r>
      <w:r>
        <w:rPr>
          <w:spacing w:val="-9"/>
          <w:w w:val="110"/>
          <w:sz w:val="16"/>
        </w:rPr>
        <w:t> </w:t>
      </w:r>
      <w:r>
        <w:rPr>
          <w:w w:val="110"/>
          <w:sz w:val="16"/>
        </w:rPr>
        <w:t>le</w:t>
      </w:r>
      <w:r>
        <w:rPr>
          <w:spacing w:val="-9"/>
          <w:w w:val="110"/>
          <w:sz w:val="16"/>
        </w:rPr>
        <w:t> </w:t>
      </w:r>
      <w:r>
        <w:rPr>
          <w:spacing w:val="-3"/>
          <w:w w:val="110"/>
          <w:sz w:val="16"/>
        </w:rPr>
        <w:t>realizó</w:t>
      </w:r>
      <w:r>
        <w:rPr>
          <w:spacing w:val="-9"/>
          <w:w w:val="110"/>
          <w:sz w:val="16"/>
        </w:rPr>
        <w:t> </w:t>
      </w:r>
      <w:r>
        <w:rPr>
          <w:w w:val="110"/>
          <w:sz w:val="16"/>
        </w:rPr>
        <w:t>a</w:t>
      </w:r>
      <w:r>
        <w:rPr>
          <w:spacing w:val="-9"/>
          <w:w w:val="110"/>
          <w:sz w:val="16"/>
        </w:rPr>
        <w:t> </w:t>
      </w:r>
      <w:r>
        <w:rPr>
          <w:w w:val="110"/>
          <w:sz w:val="16"/>
        </w:rPr>
        <w:t>la</w:t>
      </w:r>
      <w:r>
        <w:rPr>
          <w:spacing w:val="-9"/>
          <w:w w:val="110"/>
          <w:sz w:val="16"/>
        </w:rPr>
        <w:t> </w:t>
      </w:r>
      <w:r>
        <w:rPr>
          <w:spacing w:val="-3"/>
          <w:w w:val="110"/>
          <w:sz w:val="16"/>
        </w:rPr>
        <w:t>primera</w:t>
      </w:r>
      <w:r>
        <w:rPr>
          <w:spacing w:val="-9"/>
          <w:w w:val="110"/>
          <w:sz w:val="16"/>
        </w:rPr>
        <w:t> </w:t>
      </w:r>
      <w:r>
        <w:rPr>
          <w:spacing w:val="-3"/>
          <w:w w:val="110"/>
          <w:sz w:val="16"/>
        </w:rPr>
        <w:t>versión</w:t>
      </w:r>
      <w:r>
        <w:rPr>
          <w:spacing w:val="-9"/>
          <w:w w:val="110"/>
          <w:sz w:val="16"/>
        </w:rPr>
        <w:t> </w:t>
      </w:r>
      <w:r>
        <w:rPr>
          <w:w w:val="110"/>
          <w:sz w:val="16"/>
        </w:rPr>
        <w:t>de</w:t>
      </w:r>
      <w:r>
        <w:rPr>
          <w:spacing w:val="-9"/>
          <w:w w:val="110"/>
          <w:sz w:val="16"/>
        </w:rPr>
        <w:t> </w:t>
      </w:r>
      <w:r>
        <w:rPr>
          <w:spacing w:val="-3"/>
          <w:w w:val="110"/>
          <w:sz w:val="16"/>
        </w:rPr>
        <w:t>este</w:t>
      </w:r>
      <w:r>
        <w:rPr>
          <w:spacing w:val="-9"/>
          <w:w w:val="110"/>
          <w:sz w:val="16"/>
        </w:rPr>
        <w:t> </w:t>
      </w:r>
      <w:r>
        <w:rPr>
          <w:spacing w:val="-3"/>
          <w:w w:val="110"/>
          <w:sz w:val="16"/>
        </w:rPr>
        <w:t>ensayo</w:t>
      </w:r>
      <w:r>
        <w:rPr>
          <w:spacing w:val="-9"/>
          <w:w w:val="110"/>
          <w:sz w:val="16"/>
        </w:rPr>
        <w:t> </w:t>
      </w:r>
      <w:r>
        <w:rPr>
          <w:w w:val="110"/>
          <w:sz w:val="16"/>
        </w:rPr>
        <w:t>mi</w:t>
      </w:r>
      <w:r>
        <w:rPr>
          <w:spacing w:val="-9"/>
          <w:w w:val="110"/>
          <w:sz w:val="16"/>
        </w:rPr>
        <w:t> </w:t>
      </w:r>
      <w:r>
        <w:rPr>
          <w:spacing w:val="-3"/>
          <w:w w:val="110"/>
          <w:sz w:val="16"/>
        </w:rPr>
        <w:t>estima- </w:t>
      </w:r>
      <w:r>
        <w:rPr>
          <w:w w:val="110"/>
          <w:sz w:val="16"/>
        </w:rPr>
        <w:t>do </w:t>
      </w:r>
      <w:r>
        <w:rPr>
          <w:spacing w:val="-3"/>
          <w:w w:val="110"/>
          <w:sz w:val="16"/>
        </w:rPr>
        <w:t>colega </w:t>
      </w:r>
      <w:r>
        <w:rPr>
          <w:w w:val="110"/>
          <w:sz w:val="16"/>
        </w:rPr>
        <w:t>el </w:t>
      </w:r>
      <w:r>
        <w:rPr>
          <w:spacing w:val="-3"/>
          <w:w w:val="110"/>
          <w:sz w:val="16"/>
        </w:rPr>
        <w:t>Msc. José Miguel </w:t>
      </w:r>
      <w:r>
        <w:rPr>
          <w:spacing w:val="-5"/>
          <w:w w:val="110"/>
          <w:sz w:val="16"/>
        </w:rPr>
        <w:t>Yepes, </w:t>
      </w:r>
      <w:r>
        <w:rPr>
          <w:spacing w:val="-3"/>
          <w:w w:val="110"/>
          <w:sz w:val="16"/>
        </w:rPr>
        <w:t>investigador </w:t>
      </w:r>
      <w:r>
        <w:rPr>
          <w:w w:val="110"/>
          <w:sz w:val="16"/>
        </w:rPr>
        <w:t>del </w:t>
      </w:r>
      <w:r>
        <w:rPr>
          <w:spacing w:val="-3"/>
          <w:w w:val="110"/>
          <w:sz w:val="16"/>
        </w:rPr>
        <w:t>Centro </w:t>
      </w:r>
      <w:r>
        <w:rPr>
          <w:w w:val="110"/>
          <w:sz w:val="16"/>
        </w:rPr>
        <w:t>de </w:t>
      </w:r>
      <w:r>
        <w:rPr>
          <w:spacing w:val="-3"/>
          <w:w w:val="110"/>
          <w:sz w:val="16"/>
        </w:rPr>
        <w:t>Estudios Hemis- </w:t>
      </w:r>
      <w:r>
        <w:rPr>
          <w:spacing w:val="-3"/>
          <w:w w:val="107"/>
          <w:sz w:val="16"/>
        </w:rPr>
        <w:t>férico</w:t>
      </w:r>
      <w:r>
        <w:rPr>
          <w:w w:val="107"/>
          <w:sz w:val="16"/>
        </w:rPr>
        <w:t>s</w:t>
      </w:r>
      <w:r>
        <w:rPr>
          <w:spacing w:val="4"/>
          <w:sz w:val="16"/>
        </w:rPr>
        <w:t> </w:t>
      </w:r>
      <w:r>
        <w:rPr>
          <w:w w:val="102"/>
          <w:sz w:val="16"/>
        </w:rPr>
        <w:t>y</w:t>
      </w:r>
      <w:r>
        <w:rPr>
          <w:spacing w:val="4"/>
          <w:sz w:val="16"/>
        </w:rPr>
        <w:t> </w:t>
      </w:r>
      <w:r>
        <w:rPr>
          <w:spacing w:val="-3"/>
          <w:w w:val="105"/>
          <w:sz w:val="16"/>
        </w:rPr>
        <w:t>sobr</w:t>
      </w:r>
      <w:r>
        <w:rPr>
          <w:w w:val="105"/>
          <w:sz w:val="16"/>
        </w:rPr>
        <w:t>e</w:t>
      </w:r>
      <w:r>
        <w:rPr>
          <w:spacing w:val="4"/>
          <w:sz w:val="16"/>
        </w:rPr>
        <w:t> </w:t>
      </w:r>
      <w:r>
        <w:rPr>
          <w:spacing w:val="-3"/>
          <w:w w:val="106"/>
          <w:sz w:val="16"/>
        </w:rPr>
        <w:t>lo</w:t>
      </w:r>
      <w:r>
        <w:rPr>
          <w:w w:val="106"/>
          <w:sz w:val="16"/>
        </w:rPr>
        <w:t>s</w:t>
      </w:r>
      <w:r>
        <w:rPr>
          <w:spacing w:val="4"/>
          <w:sz w:val="16"/>
        </w:rPr>
        <w:t> </w:t>
      </w:r>
      <w:r>
        <w:rPr>
          <w:spacing w:val="-3"/>
          <w:w w:val="109"/>
          <w:sz w:val="16"/>
        </w:rPr>
        <w:t>Estado</w:t>
      </w:r>
      <w:r>
        <w:rPr>
          <w:w w:val="109"/>
          <w:sz w:val="16"/>
        </w:rPr>
        <w:t>s</w:t>
      </w:r>
      <w:r>
        <w:rPr>
          <w:spacing w:val="4"/>
          <w:sz w:val="16"/>
        </w:rPr>
        <w:t> </w:t>
      </w:r>
      <w:r>
        <w:rPr>
          <w:spacing w:val="-3"/>
          <w:w w:val="137"/>
          <w:sz w:val="16"/>
        </w:rPr>
        <w:t>u</w:t>
      </w:r>
      <w:r>
        <w:rPr>
          <w:spacing w:val="-3"/>
          <w:w w:val="107"/>
          <w:sz w:val="16"/>
        </w:rPr>
        <w:t>nido</w:t>
      </w:r>
      <w:r>
        <w:rPr>
          <w:w w:val="107"/>
          <w:sz w:val="16"/>
        </w:rPr>
        <w:t>s</w:t>
      </w:r>
      <w:r>
        <w:rPr>
          <w:spacing w:val="4"/>
          <w:sz w:val="16"/>
        </w:rPr>
        <w:t> </w:t>
      </w:r>
      <w:r>
        <w:rPr>
          <w:spacing w:val="-3"/>
          <w:w w:val="118"/>
          <w:sz w:val="16"/>
        </w:rPr>
        <w:t>(CEH</w:t>
      </w:r>
      <w:r>
        <w:rPr>
          <w:spacing w:val="-3"/>
          <w:w w:val="146"/>
          <w:sz w:val="16"/>
        </w:rPr>
        <w:t>s</w:t>
      </w:r>
      <w:r>
        <w:rPr>
          <w:spacing w:val="-3"/>
          <w:w w:val="125"/>
          <w:sz w:val="16"/>
        </w:rPr>
        <w:t>E</w:t>
      </w:r>
      <w:r>
        <w:rPr>
          <w:spacing w:val="-3"/>
          <w:w w:val="137"/>
          <w:sz w:val="16"/>
        </w:rPr>
        <w:t>u</w:t>
      </w:r>
      <w:r>
        <w:rPr>
          <w:w w:val="96"/>
          <w:sz w:val="16"/>
        </w:rPr>
        <w:t>)</w:t>
      </w:r>
      <w:r>
        <w:rPr>
          <w:spacing w:val="4"/>
          <w:sz w:val="16"/>
        </w:rPr>
        <w:t> </w:t>
      </w:r>
      <w:r>
        <w:rPr>
          <w:spacing w:val="-3"/>
          <w:w w:val="104"/>
          <w:sz w:val="16"/>
        </w:rPr>
        <w:t>d</w:t>
      </w:r>
      <w:r>
        <w:rPr>
          <w:w w:val="104"/>
          <w:sz w:val="16"/>
        </w:rPr>
        <w:t>e</w:t>
      </w:r>
      <w:r>
        <w:rPr>
          <w:spacing w:val="4"/>
          <w:sz w:val="16"/>
        </w:rPr>
        <w:t> </w:t>
      </w:r>
      <w:r>
        <w:rPr>
          <w:spacing w:val="-3"/>
          <w:w w:val="109"/>
          <w:sz w:val="16"/>
        </w:rPr>
        <w:t>l</w:t>
      </w:r>
      <w:r>
        <w:rPr>
          <w:w w:val="109"/>
          <w:sz w:val="16"/>
        </w:rPr>
        <w:t>a</w:t>
      </w:r>
      <w:r>
        <w:rPr>
          <w:spacing w:val="4"/>
          <w:sz w:val="16"/>
        </w:rPr>
        <w:t> </w:t>
      </w:r>
      <w:r>
        <w:rPr>
          <w:spacing w:val="-3"/>
          <w:w w:val="137"/>
          <w:sz w:val="16"/>
        </w:rPr>
        <w:t>u</w:t>
      </w:r>
      <w:r>
        <w:rPr>
          <w:spacing w:val="-3"/>
          <w:w w:val="106"/>
          <w:sz w:val="16"/>
        </w:rPr>
        <w:t>niversida</w:t>
      </w:r>
      <w:r>
        <w:rPr>
          <w:w w:val="106"/>
          <w:sz w:val="16"/>
        </w:rPr>
        <w:t>d</w:t>
      </w:r>
      <w:r>
        <w:rPr>
          <w:spacing w:val="4"/>
          <w:sz w:val="16"/>
        </w:rPr>
        <w:t> </w:t>
      </w:r>
      <w:r>
        <w:rPr>
          <w:spacing w:val="-3"/>
          <w:w w:val="104"/>
          <w:sz w:val="16"/>
        </w:rPr>
        <w:t>d</w:t>
      </w:r>
      <w:r>
        <w:rPr>
          <w:w w:val="104"/>
          <w:sz w:val="16"/>
        </w:rPr>
        <w:t>e</w:t>
      </w:r>
      <w:r>
        <w:rPr>
          <w:spacing w:val="4"/>
          <w:sz w:val="16"/>
        </w:rPr>
        <w:t> </w:t>
      </w:r>
      <w:r>
        <w:rPr>
          <w:spacing w:val="-3"/>
          <w:w w:val="238"/>
          <w:sz w:val="16"/>
        </w:rPr>
        <w:t>l</w:t>
      </w:r>
      <w:r>
        <w:rPr>
          <w:w w:val="109"/>
          <w:sz w:val="16"/>
        </w:rPr>
        <w:t>a</w:t>
      </w:r>
      <w:r>
        <w:rPr>
          <w:spacing w:val="4"/>
          <w:sz w:val="16"/>
        </w:rPr>
        <w:t> </w:t>
      </w:r>
      <w:r>
        <w:rPr>
          <w:spacing w:val="-3"/>
          <w:w w:val="113"/>
          <w:sz w:val="16"/>
        </w:rPr>
        <w:t>Habana.</w:t>
      </w:r>
    </w:p>
    <w:p>
      <w:pPr>
        <w:pStyle w:val="ListParagraph"/>
        <w:numPr>
          <w:ilvl w:val="1"/>
          <w:numId w:val="32"/>
        </w:numPr>
        <w:tabs>
          <w:tab w:pos="586" w:val="left" w:leader="none"/>
        </w:tabs>
        <w:spacing w:line="242" w:lineRule="auto" w:before="57" w:after="0"/>
        <w:ind w:left="330" w:right="118" w:firstLine="0"/>
        <w:jc w:val="both"/>
        <w:rPr>
          <w:sz w:val="16"/>
        </w:rPr>
      </w:pPr>
      <w:r>
        <w:rPr>
          <w:w w:val="110"/>
          <w:sz w:val="16"/>
        </w:rPr>
        <w:t>Comúnmente, los escenarios se clasifican como </w:t>
      </w:r>
      <w:r>
        <w:rPr>
          <w:i/>
          <w:w w:val="110"/>
          <w:sz w:val="16"/>
        </w:rPr>
        <w:t>probables</w:t>
      </w:r>
      <w:r>
        <w:rPr>
          <w:w w:val="110"/>
          <w:sz w:val="16"/>
        </w:rPr>
        <w:t>, </w:t>
      </w:r>
      <w:r>
        <w:rPr>
          <w:i/>
          <w:w w:val="110"/>
          <w:sz w:val="16"/>
        </w:rPr>
        <w:t>alternos </w:t>
      </w:r>
      <w:r>
        <w:rPr>
          <w:w w:val="110"/>
          <w:sz w:val="16"/>
        </w:rPr>
        <w:t>y </w:t>
      </w:r>
      <w:r>
        <w:rPr>
          <w:i/>
          <w:w w:val="110"/>
          <w:sz w:val="16"/>
        </w:rPr>
        <w:t>deseados</w:t>
      </w:r>
      <w:r>
        <w:rPr>
          <w:w w:val="110"/>
          <w:sz w:val="16"/>
        </w:rPr>
        <w:t>. </w:t>
      </w:r>
      <w:r>
        <w:rPr>
          <w:w w:val="238"/>
          <w:sz w:val="16"/>
        </w:rPr>
        <w:t>l</w:t>
      </w:r>
      <w:r>
        <w:rPr>
          <w:w w:val="105"/>
          <w:sz w:val="16"/>
        </w:rPr>
        <w:t>os</w:t>
      </w:r>
      <w:r>
        <w:rPr>
          <w:sz w:val="16"/>
        </w:rPr>
        <w:t> </w:t>
      </w:r>
      <w:r>
        <w:rPr>
          <w:spacing w:val="-7"/>
          <w:sz w:val="16"/>
        </w:rPr>
        <w:t> </w:t>
      </w:r>
      <w:r>
        <w:rPr>
          <w:w w:val="106"/>
          <w:sz w:val="16"/>
        </w:rPr>
        <w:t>primeros</w:t>
      </w:r>
      <w:r>
        <w:rPr>
          <w:sz w:val="16"/>
        </w:rPr>
        <w:t> </w:t>
      </w:r>
      <w:r>
        <w:rPr>
          <w:spacing w:val="-7"/>
          <w:sz w:val="16"/>
        </w:rPr>
        <w:t> </w:t>
      </w:r>
      <w:r>
        <w:rPr>
          <w:w w:val="107"/>
          <w:sz w:val="16"/>
        </w:rPr>
        <w:t>identifican</w:t>
      </w:r>
      <w:r>
        <w:rPr>
          <w:sz w:val="16"/>
        </w:rPr>
        <w:t> </w:t>
      </w:r>
      <w:r>
        <w:rPr>
          <w:spacing w:val="-7"/>
          <w:sz w:val="16"/>
        </w:rPr>
        <w:t> </w:t>
      </w:r>
      <w:r>
        <w:rPr>
          <w:w w:val="109"/>
          <w:sz w:val="16"/>
        </w:rPr>
        <w:t>la</w:t>
      </w:r>
      <w:r>
        <w:rPr>
          <w:sz w:val="16"/>
        </w:rPr>
        <w:t> </w:t>
      </w:r>
      <w:r>
        <w:rPr>
          <w:spacing w:val="-7"/>
          <w:sz w:val="16"/>
        </w:rPr>
        <w:t> </w:t>
      </w:r>
      <w:r>
        <w:rPr>
          <w:w w:val="108"/>
          <w:sz w:val="16"/>
        </w:rPr>
        <w:t>prolongación</w:t>
      </w:r>
      <w:r>
        <w:rPr>
          <w:sz w:val="16"/>
        </w:rPr>
        <w:t> </w:t>
      </w:r>
      <w:r>
        <w:rPr>
          <w:spacing w:val="-7"/>
          <w:sz w:val="16"/>
        </w:rPr>
        <w:t> </w:t>
      </w:r>
      <w:r>
        <w:rPr>
          <w:w w:val="104"/>
          <w:sz w:val="16"/>
        </w:rPr>
        <w:t>de</w:t>
      </w:r>
      <w:r>
        <w:rPr>
          <w:sz w:val="16"/>
        </w:rPr>
        <w:t> </w:t>
      </w:r>
      <w:r>
        <w:rPr>
          <w:spacing w:val="-7"/>
          <w:sz w:val="16"/>
        </w:rPr>
        <w:t> </w:t>
      </w:r>
      <w:r>
        <w:rPr>
          <w:w w:val="107"/>
          <w:sz w:val="16"/>
        </w:rPr>
        <w:t>las</w:t>
      </w:r>
      <w:r>
        <w:rPr>
          <w:sz w:val="16"/>
        </w:rPr>
        <w:t> </w:t>
      </w:r>
      <w:r>
        <w:rPr>
          <w:spacing w:val="-7"/>
          <w:sz w:val="16"/>
        </w:rPr>
        <w:t> </w:t>
      </w:r>
      <w:r>
        <w:rPr>
          <w:w w:val="107"/>
          <w:sz w:val="16"/>
        </w:rPr>
        <w:t>tendencias</w:t>
      </w:r>
      <w:r>
        <w:rPr>
          <w:sz w:val="16"/>
        </w:rPr>
        <w:t> </w:t>
      </w:r>
      <w:r>
        <w:rPr>
          <w:spacing w:val="-7"/>
          <w:sz w:val="16"/>
        </w:rPr>
        <w:t> </w:t>
      </w:r>
      <w:r>
        <w:rPr>
          <w:w w:val="104"/>
          <w:sz w:val="16"/>
        </w:rPr>
        <w:t>de</w:t>
      </w:r>
      <w:r>
        <w:rPr>
          <w:sz w:val="16"/>
        </w:rPr>
        <w:t> </w:t>
      </w:r>
      <w:r>
        <w:rPr>
          <w:spacing w:val="-7"/>
          <w:sz w:val="16"/>
        </w:rPr>
        <w:t> </w:t>
      </w:r>
      <w:r>
        <w:rPr>
          <w:w w:val="106"/>
          <w:sz w:val="16"/>
        </w:rPr>
        <w:t>los</w:t>
      </w:r>
      <w:r>
        <w:rPr>
          <w:sz w:val="16"/>
        </w:rPr>
        <w:t> </w:t>
      </w:r>
      <w:r>
        <w:rPr>
          <w:spacing w:val="-7"/>
          <w:sz w:val="16"/>
        </w:rPr>
        <w:t> </w:t>
      </w:r>
      <w:r>
        <w:rPr>
          <w:w w:val="106"/>
          <w:sz w:val="16"/>
        </w:rPr>
        <w:t>procesos</w:t>
      </w:r>
      <w:r>
        <w:rPr>
          <w:sz w:val="16"/>
        </w:rPr>
        <w:t> </w:t>
      </w:r>
      <w:r>
        <w:rPr>
          <w:spacing w:val="-7"/>
          <w:sz w:val="16"/>
        </w:rPr>
        <w:t> </w:t>
      </w:r>
      <w:r>
        <w:rPr>
          <w:w w:val="106"/>
          <w:sz w:val="16"/>
        </w:rPr>
        <w:t>que</w:t>
      </w:r>
      <w:r>
        <w:rPr>
          <w:sz w:val="16"/>
        </w:rPr>
        <w:t> </w:t>
      </w:r>
      <w:r>
        <w:rPr>
          <w:spacing w:val="-7"/>
          <w:sz w:val="16"/>
        </w:rPr>
        <w:t> </w:t>
      </w:r>
      <w:r>
        <w:rPr>
          <w:w w:val="102"/>
          <w:sz w:val="16"/>
        </w:rPr>
        <w:t>se </w:t>
      </w:r>
      <w:r>
        <w:rPr>
          <w:w w:val="108"/>
          <w:sz w:val="16"/>
        </w:rPr>
        <w:t>estudian.</w:t>
      </w:r>
      <w:r>
        <w:rPr>
          <w:spacing w:val="1"/>
          <w:sz w:val="16"/>
        </w:rPr>
        <w:t> </w:t>
      </w:r>
      <w:r>
        <w:rPr>
          <w:w w:val="238"/>
          <w:sz w:val="16"/>
        </w:rPr>
        <w:t>l</w:t>
      </w:r>
      <w:r>
        <w:rPr>
          <w:w w:val="105"/>
          <w:sz w:val="16"/>
        </w:rPr>
        <w:t>os</w:t>
      </w:r>
      <w:r>
        <w:rPr>
          <w:spacing w:val="1"/>
          <w:sz w:val="16"/>
        </w:rPr>
        <w:t> </w:t>
      </w:r>
      <w:r>
        <w:rPr>
          <w:w w:val="106"/>
          <w:sz w:val="16"/>
        </w:rPr>
        <w:t>segundos</w:t>
      </w:r>
      <w:r>
        <w:rPr>
          <w:spacing w:val="1"/>
          <w:sz w:val="16"/>
        </w:rPr>
        <w:t> </w:t>
      </w:r>
      <w:r>
        <w:rPr>
          <w:w w:val="103"/>
          <w:sz w:val="16"/>
        </w:rPr>
        <w:t>refieren</w:t>
      </w:r>
      <w:r>
        <w:rPr>
          <w:spacing w:val="1"/>
          <w:sz w:val="16"/>
        </w:rPr>
        <w:t> </w:t>
      </w:r>
      <w:r>
        <w:rPr>
          <w:w w:val="106"/>
          <w:sz w:val="16"/>
        </w:rPr>
        <w:t>otras</w:t>
      </w:r>
      <w:r>
        <w:rPr>
          <w:spacing w:val="1"/>
          <w:sz w:val="16"/>
        </w:rPr>
        <w:t> </w:t>
      </w:r>
      <w:r>
        <w:rPr>
          <w:w w:val="106"/>
          <w:sz w:val="16"/>
        </w:rPr>
        <w:t>alternativas</w:t>
      </w:r>
      <w:r>
        <w:rPr>
          <w:spacing w:val="1"/>
          <w:sz w:val="16"/>
        </w:rPr>
        <w:t> </w:t>
      </w:r>
      <w:r>
        <w:rPr>
          <w:w w:val="106"/>
          <w:sz w:val="16"/>
        </w:rPr>
        <w:t>que</w:t>
      </w:r>
      <w:r>
        <w:rPr>
          <w:spacing w:val="1"/>
          <w:sz w:val="16"/>
        </w:rPr>
        <w:t> </w:t>
      </w:r>
      <w:r>
        <w:rPr>
          <w:w w:val="107"/>
          <w:sz w:val="16"/>
        </w:rPr>
        <w:t>podría</w:t>
      </w:r>
      <w:r>
        <w:rPr>
          <w:spacing w:val="1"/>
          <w:sz w:val="16"/>
        </w:rPr>
        <w:t> </w:t>
      </w:r>
      <w:r>
        <w:rPr>
          <w:w w:val="106"/>
          <w:sz w:val="16"/>
        </w:rPr>
        <w:t>deparar</w:t>
      </w:r>
      <w:r>
        <w:rPr>
          <w:spacing w:val="1"/>
          <w:sz w:val="16"/>
        </w:rPr>
        <w:t> </w:t>
      </w:r>
      <w:r>
        <w:rPr>
          <w:w w:val="104"/>
          <w:sz w:val="16"/>
        </w:rPr>
        <w:t>el</w:t>
      </w:r>
      <w:r>
        <w:rPr>
          <w:spacing w:val="1"/>
          <w:sz w:val="16"/>
        </w:rPr>
        <w:t> </w:t>
      </w:r>
      <w:r>
        <w:rPr>
          <w:w w:val="105"/>
          <w:sz w:val="16"/>
        </w:rPr>
        <w:t>porveni</w:t>
      </w:r>
      <w:r>
        <w:rPr>
          <w:spacing w:val="-18"/>
          <w:w w:val="105"/>
          <w:sz w:val="16"/>
        </w:rPr>
        <w:t>r</w:t>
      </w:r>
      <w:r>
        <w:rPr>
          <w:w w:val="135"/>
          <w:sz w:val="16"/>
        </w:rPr>
        <w:t>,</w:t>
      </w:r>
      <w:r>
        <w:rPr>
          <w:spacing w:val="1"/>
          <w:sz w:val="16"/>
        </w:rPr>
        <w:t> </w:t>
      </w:r>
      <w:r>
        <w:rPr>
          <w:w w:val="110"/>
          <w:sz w:val="16"/>
        </w:rPr>
        <w:t>con </w:t>
      </w:r>
      <w:r>
        <w:rPr>
          <w:w w:val="110"/>
          <w:sz w:val="16"/>
        </w:rPr>
        <w:t>independencia</w:t>
      </w:r>
      <w:r>
        <w:rPr>
          <w:spacing w:val="-13"/>
          <w:w w:val="110"/>
          <w:sz w:val="16"/>
        </w:rPr>
        <w:t> </w:t>
      </w:r>
      <w:r>
        <w:rPr>
          <w:w w:val="110"/>
          <w:sz w:val="16"/>
        </w:rPr>
        <w:t>del</w:t>
      </w:r>
      <w:r>
        <w:rPr>
          <w:spacing w:val="-13"/>
          <w:w w:val="110"/>
          <w:sz w:val="16"/>
        </w:rPr>
        <w:t> </w:t>
      </w:r>
      <w:r>
        <w:rPr>
          <w:w w:val="110"/>
          <w:sz w:val="16"/>
        </w:rPr>
        <w:t>grado</w:t>
      </w:r>
      <w:r>
        <w:rPr>
          <w:spacing w:val="-13"/>
          <w:w w:val="110"/>
          <w:sz w:val="16"/>
        </w:rPr>
        <w:t> </w:t>
      </w:r>
      <w:r>
        <w:rPr>
          <w:w w:val="110"/>
          <w:sz w:val="16"/>
        </w:rPr>
        <w:t>de</w:t>
      </w:r>
      <w:r>
        <w:rPr>
          <w:spacing w:val="-13"/>
          <w:w w:val="110"/>
          <w:sz w:val="16"/>
        </w:rPr>
        <w:t> </w:t>
      </w:r>
      <w:r>
        <w:rPr>
          <w:w w:val="110"/>
          <w:sz w:val="16"/>
        </w:rPr>
        <w:t>probabilidad</w:t>
      </w:r>
      <w:r>
        <w:rPr>
          <w:spacing w:val="-13"/>
          <w:w w:val="110"/>
          <w:sz w:val="16"/>
        </w:rPr>
        <w:t> </w:t>
      </w:r>
      <w:r>
        <w:rPr>
          <w:w w:val="110"/>
          <w:sz w:val="16"/>
        </w:rPr>
        <w:t>que</w:t>
      </w:r>
      <w:r>
        <w:rPr>
          <w:spacing w:val="-13"/>
          <w:w w:val="110"/>
          <w:sz w:val="16"/>
        </w:rPr>
        <w:t> </w:t>
      </w:r>
      <w:r>
        <w:rPr>
          <w:w w:val="110"/>
          <w:sz w:val="16"/>
        </w:rPr>
        <w:t>indiquen</w:t>
      </w:r>
      <w:r>
        <w:rPr>
          <w:spacing w:val="-13"/>
          <w:w w:val="110"/>
          <w:sz w:val="16"/>
        </w:rPr>
        <w:t> </w:t>
      </w:r>
      <w:r>
        <w:rPr>
          <w:w w:val="110"/>
          <w:sz w:val="16"/>
        </w:rPr>
        <w:t>las</w:t>
      </w:r>
      <w:r>
        <w:rPr>
          <w:spacing w:val="-13"/>
          <w:w w:val="110"/>
          <w:sz w:val="16"/>
        </w:rPr>
        <w:t> </w:t>
      </w:r>
      <w:r>
        <w:rPr>
          <w:w w:val="110"/>
          <w:sz w:val="16"/>
        </w:rPr>
        <w:t>tendencias</w:t>
      </w:r>
      <w:r>
        <w:rPr>
          <w:spacing w:val="-13"/>
          <w:w w:val="110"/>
          <w:sz w:val="16"/>
        </w:rPr>
        <w:t> </w:t>
      </w:r>
      <w:r>
        <w:rPr>
          <w:w w:val="110"/>
          <w:sz w:val="16"/>
        </w:rPr>
        <w:t>dominantes</w:t>
      </w:r>
      <w:r>
        <w:rPr>
          <w:spacing w:val="-13"/>
          <w:w w:val="110"/>
          <w:sz w:val="16"/>
        </w:rPr>
        <w:t> </w:t>
      </w:r>
      <w:r>
        <w:rPr>
          <w:w w:val="110"/>
          <w:sz w:val="16"/>
        </w:rPr>
        <w:t>en un momento determinado. Mientras que los terceros definen las mejores opciones para el cumplimiento de los objetivos de los “sujetos de acción” o de los “sujetos de pensamiento” implicados en la dinámica</w:t>
      </w:r>
      <w:r>
        <w:rPr>
          <w:spacing w:val="5"/>
          <w:w w:val="110"/>
          <w:sz w:val="16"/>
        </w:rPr>
        <w:t> </w:t>
      </w:r>
      <w:r>
        <w:rPr>
          <w:w w:val="110"/>
          <w:sz w:val="16"/>
        </w:rPr>
        <w:t>social.</w:t>
      </w:r>
    </w:p>
    <w:p>
      <w:pPr>
        <w:pStyle w:val="ListParagraph"/>
        <w:numPr>
          <w:ilvl w:val="1"/>
          <w:numId w:val="32"/>
        </w:numPr>
        <w:tabs>
          <w:tab w:pos="586" w:val="left" w:leader="none"/>
        </w:tabs>
        <w:spacing w:line="242" w:lineRule="auto" w:before="57" w:after="0"/>
        <w:ind w:left="330" w:right="118" w:firstLine="0"/>
        <w:jc w:val="both"/>
        <w:rPr>
          <w:sz w:val="16"/>
        </w:rPr>
      </w:pPr>
      <w:r>
        <w:rPr>
          <w:w w:val="238"/>
          <w:sz w:val="16"/>
        </w:rPr>
        <w:t>l</w:t>
      </w:r>
      <w:r>
        <w:rPr>
          <w:w w:val="106"/>
          <w:sz w:val="16"/>
        </w:rPr>
        <w:t>as</w:t>
      </w:r>
      <w:r>
        <w:rPr>
          <w:spacing w:val="12"/>
          <w:sz w:val="16"/>
        </w:rPr>
        <w:t> </w:t>
      </w:r>
      <w:r>
        <w:rPr>
          <w:w w:val="107"/>
          <w:sz w:val="16"/>
        </w:rPr>
        <w:t>actitudes</w:t>
      </w:r>
      <w:r>
        <w:rPr>
          <w:spacing w:val="12"/>
          <w:sz w:val="16"/>
        </w:rPr>
        <w:t> </w:t>
      </w:r>
      <w:r>
        <w:rPr>
          <w:w w:val="109"/>
          <w:sz w:val="16"/>
        </w:rPr>
        <w:t>humanas</w:t>
      </w:r>
      <w:r>
        <w:rPr>
          <w:spacing w:val="12"/>
          <w:sz w:val="16"/>
        </w:rPr>
        <w:t> </w:t>
      </w:r>
      <w:r>
        <w:rPr>
          <w:w w:val="105"/>
          <w:sz w:val="16"/>
        </w:rPr>
        <w:t>frente</w:t>
      </w:r>
      <w:r>
        <w:rPr>
          <w:spacing w:val="12"/>
          <w:sz w:val="16"/>
        </w:rPr>
        <w:t> </w:t>
      </w:r>
      <w:r>
        <w:rPr>
          <w:w w:val="109"/>
          <w:sz w:val="16"/>
        </w:rPr>
        <w:t>a</w:t>
      </w:r>
      <w:r>
        <w:rPr>
          <w:spacing w:val="12"/>
          <w:sz w:val="16"/>
        </w:rPr>
        <w:t> </w:t>
      </w:r>
      <w:r>
        <w:rPr>
          <w:w w:val="106"/>
          <w:sz w:val="16"/>
        </w:rPr>
        <w:t>los</w:t>
      </w:r>
      <w:r>
        <w:rPr>
          <w:spacing w:val="12"/>
          <w:sz w:val="16"/>
        </w:rPr>
        <w:t> </w:t>
      </w:r>
      <w:r>
        <w:rPr>
          <w:w w:val="109"/>
          <w:sz w:val="16"/>
        </w:rPr>
        <w:t>cambios</w:t>
      </w:r>
      <w:r>
        <w:rPr>
          <w:spacing w:val="12"/>
          <w:sz w:val="16"/>
        </w:rPr>
        <w:t> </w:t>
      </w:r>
      <w:r>
        <w:rPr>
          <w:w w:val="106"/>
          <w:sz w:val="16"/>
        </w:rPr>
        <w:t>suelen</w:t>
      </w:r>
      <w:r>
        <w:rPr>
          <w:spacing w:val="12"/>
          <w:sz w:val="16"/>
        </w:rPr>
        <w:t> </w:t>
      </w:r>
      <w:r>
        <w:rPr>
          <w:w w:val="105"/>
          <w:sz w:val="16"/>
        </w:rPr>
        <w:t>definirse</w:t>
      </w:r>
      <w:r>
        <w:rPr>
          <w:spacing w:val="12"/>
          <w:sz w:val="16"/>
        </w:rPr>
        <w:t> </w:t>
      </w:r>
      <w:r>
        <w:rPr>
          <w:w w:val="110"/>
          <w:sz w:val="16"/>
        </w:rPr>
        <w:t>como</w:t>
      </w:r>
      <w:r>
        <w:rPr>
          <w:spacing w:val="12"/>
          <w:sz w:val="16"/>
        </w:rPr>
        <w:t> </w:t>
      </w:r>
      <w:r>
        <w:rPr>
          <w:i/>
          <w:w w:val="105"/>
          <w:sz w:val="16"/>
        </w:rPr>
        <w:t>reactivas</w:t>
      </w:r>
      <w:r>
        <w:rPr>
          <w:w w:val="135"/>
          <w:sz w:val="16"/>
        </w:rPr>
        <w:t>,</w:t>
      </w:r>
      <w:r>
        <w:rPr>
          <w:spacing w:val="11"/>
          <w:sz w:val="16"/>
        </w:rPr>
        <w:t> </w:t>
      </w:r>
      <w:r>
        <w:rPr>
          <w:i/>
          <w:w w:val="99"/>
          <w:sz w:val="16"/>
        </w:rPr>
        <w:t>pre</w:t>
      </w:r>
      <w:r>
        <w:rPr>
          <w:i/>
          <w:w w:val="104"/>
          <w:sz w:val="16"/>
        </w:rPr>
        <w:t>-</w:t>
      </w:r>
      <w:r>
        <w:rPr>
          <w:i/>
          <w:w w:val="104"/>
          <w:sz w:val="16"/>
        </w:rPr>
        <w:t> </w:t>
      </w:r>
      <w:r>
        <w:rPr>
          <w:i/>
          <w:w w:val="110"/>
          <w:sz w:val="16"/>
        </w:rPr>
        <w:t>activas</w:t>
      </w:r>
      <w:r>
        <w:rPr>
          <w:i/>
          <w:spacing w:val="-5"/>
          <w:w w:val="110"/>
          <w:sz w:val="16"/>
        </w:rPr>
        <w:t> </w:t>
      </w:r>
      <w:r>
        <w:rPr>
          <w:w w:val="110"/>
          <w:sz w:val="16"/>
        </w:rPr>
        <w:t>y</w:t>
      </w:r>
      <w:r>
        <w:rPr>
          <w:spacing w:val="-5"/>
          <w:w w:val="110"/>
          <w:sz w:val="16"/>
        </w:rPr>
        <w:t> </w:t>
      </w:r>
      <w:r>
        <w:rPr>
          <w:i/>
          <w:w w:val="110"/>
          <w:sz w:val="16"/>
        </w:rPr>
        <w:t>proactivas</w:t>
      </w:r>
      <w:r>
        <w:rPr>
          <w:w w:val="110"/>
          <w:sz w:val="16"/>
        </w:rPr>
        <w:t>.</w:t>
      </w:r>
      <w:r>
        <w:rPr>
          <w:spacing w:val="-5"/>
          <w:w w:val="110"/>
          <w:sz w:val="16"/>
        </w:rPr>
        <w:t> </w:t>
      </w:r>
      <w:r>
        <w:rPr>
          <w:w w:val="110"/>
          <w:sz w:val="16"/>
        </w:rPr>
        <w:t>Estas</w:t>
      </w:r>
      <w:r>
        <w:rPr>
          <w:spacing w:val="-5"/>
          <w:w w:val="110"/>
          <w:sz w:val="16"/>
        </w:rPr>
        <w:t> </w:t>
      </w:r>
      <w:r>
        <w:rPr>
          <w:w w:val="110"/>
          <w:sz w:val="16"/>
        </w:rPr>
        <w:t>últimas</w:t>
      </w:r>
      <w:r>
        <w:rPr>
          <w:spacing w:val="-5"/>
          <w:w w:val="110"/>
          <w:sz w:val="16"/>
        </w:rPr>
        <w:t> </w:t>
      </w:r>
      <w:r>
        <w:rPr>
          <w:w w:val="110"/>
          <w:sz w:val="16"/>
        </w:rPr>
        <w:t>se</w:t>
      </w:r>
      <w:r>
        <w:rPr>
          <w:spacing w:val="-5"/>
          <w:w w:val="110"/>
          <w:sz w:val="16"/>
        </w:rPr>
        <w:t> </w:t>
      </w:r>
      <w:r>
        <w:rPr>
          <w:w w:val="110"/>
          <w:sz w:val="16"/>
        </w:rPr>
        <w:t>vinculan</w:t>
      </w:r>
      <w:r>
        <w:rPr>
          <w:spacing w:val="-5"/>
          <w:w w:val="110"/>
          <w:sz w:val="16"/>
        </w:rPr>
        <w:t> </w:t>
      </w:r>
      <w:r>
        <w:rPr>
          <w:w w:val="110"/>
          <w:sz w:val="16"/>
        </w:rPr>
        <w:t>a</w:t>
      </w:r>
      <w:r>
        <w:rPr>
          <w:spacing w:val="-5"/>
          <w:w w:val="110"/>
          <w:sz w:val="16"/>
        </w:rPr>
        <w:t> </w:t>
      </w:r>
      <w:r>
        <w:rPr>
          <w:w w:val="110"/>
          <w:sz w:val="16"/>
        </w:rPr>
        <w:t>las</w:t>
      </w:r>
      <w:r>
        <w:rPr>
          <w:spacing w:val="-5"/>
          <w:w w:val="110"/>
          <w:sz w:val="16"/>
        </w:rPr>
        <w:t> </w:t>
      </w:r>
      <w:r>
        <w:rPr>
          <w:w w:val="110"/>
          <w:sz w:val="16"/>
        </w:rPr>
        <w:t>acciones</w:t>
      </w:r>
      <w:r>
        <w:rPr>
          <w:spacing w:val="-5"/>
          <w:w w:val="110"/>
          <w:sz w:val="16"/>
        </w:rPr>
        <w:t> </w:t>
      </w:r>
      <w:r>
        <w:rPr>
          <w:w w:val="110"/>
          <w:sz w:val="16"/>
        </w:rPr>
        <w:t>conscientemente</w:t>
      </w:r>
      <w:r>
        <w:rPr>
          <w:spacing w:val="-5"/>
          <w:w w:val="110"/>
          <w:sz w:val="16"/>
        </w:rPr>
        <w:t> </w:t>
      </w:r>
      <w:r>
        <w:rPr>
          <w:w w:val="110"/>
          <w:sz w:val="16"/>
        </w:rPr>
        <w:t>dirigi- das a la construcción del futuro; mientras que las segundas se limitan a prepararse para</w:t>
      </w:r>
      <w:r>
        <w:rPr>
          <w:spacing w:val="-10"/>
          <w:w w:val="110"/>
          <w:sz w:val="16"/>
        </w:rPr>
        <w:t> </w:t>
      </w:r>
      <w:r>
        <w:rPr>
          <w:w w:val="110"/>
          <w:sz w:val="16"/>
        </w:rPr>
        <w:t>los</w:t>
      </w:r>
      <w:r>
        <w:rPr>
          <w:spacing w:val="-10"/>
          <w:w w:val="110"/>
          <w:sz w:val="16"/>
        </w:rPr>
        <w:t> </w:t>
      </w:r>
      <w:r>
        <w:rPr>
          <w:w w:val="110"/>
          <w:sz w:val="16"/>
        </w:rPr>
        <w:t>cambios,</w:t>
      </w:r>
      <w:r>
        <w:rPr>
          <w:spacing w:val="-10"/>
          <w:w w:val="110"/>
          <w:sz w:val="16"/>
        </w:rPr>
        <w:t> </w:t>
      </w:r>
      <w:r>
        <w:rPr>
          <w:w w:val="110"/>
          <w:sz w:val="16"/>
        </w:rPr>
        <w:t>bajo</w:t>
      </w:r>
      <w:r>
        <w:rPr>
          <w:spacing w:val="-10"/>
          <w:w w:val="110"/>
          <w:sz w:val="16"/>
        </w:rPr>
        <w:t> </w:t>
      </w:r>
      <w:r>
        <w:rPr>
          <w:w w:val="110"/>
          <w:sz w:val="16"/>
        </w:rPr>
        <w:t>el</w:t>
      </w:r>
      <w:r>
        <w:rPr>
          <w:spacing w:val="-10"/>
          <w:w w:val="110"/>
          <w:sz w:val="16"/>
        </w:rPr>
        <w:t> </w:t>
      </w:r>
      <w:r>
        <w:rPr>
          <w:w w:val="110"/>
          <w:sz w:val="16"/>
        </w:rPr>
        <w:t>supuesto</w:t>
      </w:r>
      <w:r>
        <w:rPr>
          <w:spacing w:val="-10"/>
          <w:w w:val="110"/>
          <w:sz w:val="16"/>
        </w:rPr>
        <w:t> </w:t>
      </w:r>
      <w:r>
        <w:rPr>
          <w:w w:val="110"/>
          <w:sz w:val="16"/>
        </w:rPr>
        <w:t>de</w:t>
      </w:r>
      <w:r>
        <w:rPr>
          <w:spacing w:val="-10"/>
          <w:w w:val="110"/>
          <w:sz w:val="16"/>
        </w:rPr>
        <w:t> </w:t>
      </w:r>
      <w:r>
        <w:rPr>
          <w:w w:val="110"/>
          <w:sz w:val="16"/>
        </w:rPr>
        <w:t>que</w:t>
      </w:r>
      <w:r>
        <w:rPr>
          <w:spacing w:val="-10"/>
          <w:w w:val="110"/>
          <w:sz w:val="16"/>
        </w:rPr>
        <w:t> </w:t>
      </w:r>
      <w:r>
        <w:rPr>
          <w:w w:val="110"/>
          <w:sz w:val="16"/>
        </w:rPr>
        <w:t>estos</w:t>
      </w:r>
      <w:r>
        <w:rPr>
          <w:spacing w:val="-10"/>
          <w:w w:val="110"/>
          <w:sz w:val="16"/>
        </w:rPr>
        <w:t> </w:t>
      </w:r>
      <w:r>
        <w:rPr>
          <w:w w:val="110"/>
          <w:sz w:val="16"/>
        </w:rPr>
        <w:t>no</w:t>
      </w:r>
      <w:r>
        <w:rPr>
          <w:spacing w:val="-10"/>
          <w:w w:val="110"/>
          <w:sz w:val="16"/>
        </w:rPr>
        <w:t> </w:t>
      </w:r>
      <w:r>
        <w:rPr>
          <w:w w:val="110"/>
          <w:sz w:val="16"/>
        </w:rPr>
        <w:t>dependen</w:t>
      </w:r>
      <w:r>
        <w:rPr>
          <w:spacing w:val="-10"/>
          <w:w w:val="110"/>
          <w:sz w:val="16"/>
        </w:rPr>
        <w:t> </w:t>
      </w:r>
      <w:r>
        <w:rPr>
          <w:w w:val="110"/>
          <w:sz w:val="16"/>
        </w:rPr>
        <w:t>de</w:t>
      </w:r>
      <w:r>
        <w:rPr>
          <w:spacing w:val="-10"/>
          <w:w w:val="110"/>
          <w:sz w:val="16"/>
        </w:rPr>
        <w:t> </w:t>
      </w:r>
      <w:r>
        <w:rPr>
          <w:w w:val="110"/>
          <w:sz w:val="16"/>
        </w:rPr>
        <w:t>su</w:t>
      </w:r>
      <w:r>
        <w:rPr>
          <w:spacing w:val="-10"/>
          <w:w w:val="110"/>
          <w:sz w:val="16"/>
        </w:rPr>
        <w:t> </w:t>
      </w:r>
      <w:r>
        <w:rPr>
          <w:w w:val="110"/>
          <w:sz w:val="16"/>
        </w:rPr>
        <w:t>voluntad.</w:t>
      </w:r>
      <w:r>
        <w:rPr>
          <w:spacing w:val="-10"/>
          <w:w w:val="110"/>
          <w:sz w:val="16"/>
        </w:rPr>
        <w:t> </w:t>
      </w:r>
      <w:r>
        <w:rPr>
          <w:w w:val="120"/>
          <w:sz w:val="16"/>
        </w:rPr>
        <w:t>a</w:t>
      </w:r>
      <w:r>
        <w:rPr>
          <w:spacing w:val="-14"/>
          <w:w w:val="120"/>
          <w:sz w:val="16"/>
        </w:rPr>
        <w:t> </w:t>
      </w:r>
      <w:r>
        <w:rPr>
          <w:w w:val="110"/>
          <w:sz w:val="16"/>
        </w:rPr>
        <w:t>su</w:t>
      </w:r>
      <w:r>
        <w:rPr>
          <w:spacing w:val="-10"/>
          <w:w w:val="110"/>
          <w:sz w:val="16"/>
        </w:rPr>
        <w:t> </w:t>
      </w:r>
      <w:r>
        <w:rPr>
          <w:w w:val="110"/>
          <w:sz w:val="16"/>
        </w:rPr>
        <w:t>vez, las</w:t>
      </w:r>
      <w:r>
        <w:rPr>
          <w:spacing w:val="-9"/>
          <w:w w:val="110"/>
          <w:sz w:val="16"/>
        </w:rPr>
        <w:t> </w:t>
      </w:r>
      <w:r>
        <w:rPr>
          <w:w w:val="110"/>
          <w:sz w:val="16"/>
        </w:rPr>
        <w:t>primeras</w:t>
      </w:r>
      <w:r>
        <w:rPr>
          <w:spacing w:val="-9"/>
          <w:w w:val="110"/>
          <w:sz w:val="16"/>
        </w:rPr>
        <w:t> </w:t>
      </w:r>
      <w:r>
        <w:rPr>
          <w:w w:val="110"/>
          <w:sz w:val="16"/>
        </w:rPr>
        <w:t>se</w:t>
      </w:r>
      <w:r>
        <w:rPr>
          <w:spacing w:val="-9"/>
          <w:w w:val="110"/>
          <w:sz w:val="16"/>
        </w:rPr>
        <w:t> </w:t>
      </w:r>
      <w:r>
        <w:rPr>
          <w:w w:val="110"/>
          <w:sz w:val="16"/>
        </w:rPr>
        <w:t>reducen</w:t>
      </w:r>
      <w:r>
        <w:rPr>
          <w:spacing w:val="-9"/>
          <w:w w:val="110"/>
          <w:sz w:val="16"/>
        </w:rPr>
        <w:t> </w:t>
      </w:r>
      <w:r>
        <w:rPr>
          <w:w w:val="110"/>
          <w:sz w:val="16"/>
        </w:rPr>
        <w:t>a</w:t>
      </w:r>
      <w:r>
        <w:rPr>
          <w:spacing w:val="-9"/>
          <w:w w:val="110"/>
          <w:sz w:val="16"/>
        </w:rPr>
        <w:t> </w:t>
      </w:r>
      <w:r>
        <w:rPr>
          <w:w w:val="110"/>
          <w:sz w:val="16"/>
        </w:rPr>
        <w:t>encarar</w:t>
      </w:r>
      <w:r>
        <w:rPr>
          <w:spacing w:val="-9"/>
          <w:w w:val="110"/>
          <w:sz w:val="16"/>
        </w:rPr>
        <w:t> </w:t>
      </w:r>
      <w:r>
        <w:rPr>
          <w:w w:val="110"/>
          <w:sz w:val="16"/>
        </w:rPr>
        <w:t>las</w:t>
      </w:r>
      <w:r>
        <w:rPr>
          <w:spacing w:val="-9"/>
          <w:w w:val="110"/>
          <w:sz w:val="16"/>
        </w:rPr>
        <w:t> </w:t>
      </w:r>
      <w:r>
        <w:rPr>
          <w:w w:val="110"/>
          <w:sz w:val="16"/>
        </w:rPr>
        <w:t>situaciones</w:t>
      </w:r>
      <w:r>
        <w:rPr>
          <w:spacing w:val="-9"/>
          <w:w w:val="110"/>
          <w:sz w:val="16"/>
        </w:rPr>
        <w:t> </w:t>
      </w:r>
      <w:r>
        <w:rPr>
          <w:w w:val="110"/>
          <w:sz w:val="16"/>
        </w:rPr>
        <w:t>críticas</w:t>
      </w:r>
      <w:r>
        <w:rPr>
          <w:spacing w:val="-9"/>
          <w:w w:val="110"/>
          <w:sz w:val="16"/>
        </w:rPr>
        <w:t> </w:t>
      </w:r>
      <w:r>
        <w:rPr>
          <w:w w:val="110"/>
          <w:sz w:val="16"/>
        </w:rPr>
        <w:t>o</w:t>
      </w:r>
      <w:r>
        <w:rPr>
          <w:spacing w:val="-9"/>
          <w:w w:val="110"/>
          <w:sz w:val="16"/>
        </w:rPr>
        <w:t> </w:t>
      </w:r>
      <w:r>
        <w:rPr>
          <w:w w:val="110"/>
          <w:sz w:val="16"/>
        </w:rPr>
        <w:t>conflictivas</w:t>
      </w:r>
      <w:r>
        <w:rPr>
          <w:spacing w:val="-9"/>
          <w:w w:val="110"/>
          <w:sz w:val="16"/>
        </w:rPr>
        <w:t> </w:t>
      </w:r>
      <w:r>
        <w:rPr>
          <w:w w:val="110"/>
          <w:sz w:val="16"/>
        </w:rPr>
        <w:t>en</w:t>
      </w:r>
      <w:r>
        <w:rPr>
          <w:spacing w:val="-9"/>
          <w:w w:val="110"/>
          <w:sz w:val="16"/>
        </w:rPr>
        <w:t> </w:t>
      </w:r>
      <w:r>
        <w:rPr>
          <w:w w:val="110"/>
          <w:sz w:val="16"/>
        </w:rPr>
        <w:t>el</w:t>
      </w:r>
      <w:r>
        <w:rPr>
          <w:spacing w:val="-9"/>
          <w:w w:val="110"/>
          <w:sz w:val="16"/>
        </w:rPr>
        <w:t> </w:t>
      </w:r>
      <w:r>
        <w:rPr>
          <w:w w:val="110"/>
          <w:sz w:val="16"/>
        </w:rPr>
        <w:t>momen- to</w:t>
      </w:r>
      <w:r>
        <w:rPr>
          <w:spacing w:val="-8"/>
          <w:w w:val="110"/>
          <w:sz w:val="16"/>
        </w:rPr>
        <w:t> </w:t>
      </w:r>
      <w:r>
        <w:rPr>
          <w:w w:val="110"/>
          <w:sz w:val="16"/>
        </w:rPr>
        <w:t>en</w:t>
      </w:r>
      <w:r>
        <w:rPr>
          <w:spacing w:val="-8"/>
          <w:w w:val="110"/>
          <w:sz w:val="16"/>
        </w:rPr>
        <w:t> </w:t>
      </w:r>
      <w:r>
        <w:rPr>
          <w:w w:val="110"/>
          <w:sz w:val="16"/>
        </w:rPr>
        <w:t>que</w:t>
      </w:r>
      <w:r>
        <w:rPr>
          <w:spacing w:val="-8"/>
          <w:w w:val="110"/>
          <w:sz w:val="16"/>
        </w:rPr>
        <w:t> </w:t>
      </w:r>
      <w:r>
        <w:rPr>
          <w:w w:val="110"/>
          <w:sz w:val="16"/>
        </w:rPr>
        <w:t>se</w:t>
      </w:r>
      <w:r>
        <w:rPr>
          <w:spacing w:val="-8"/>
          <w:w w:val="110"/>
          <w:sz w:val="16"/>
        </w:rPr>
        <w:t> </w:t>
      </w:r>
      <w:r>
        <w:rPr>
          <w:w w:val="110"/>
          <w:sz w:val="16"/>
        </w:rPr>
        <w:t>presentan.</w:t>
      </w:r>
    </w:p>
    <w:p>
      <w:pPr>
        <w:spacing w:after="0" w:line="242" w:lineRule="auto"/>
        <w:jc w:val="both"/>
        <w:rPr>
          <w:sz w:val="16"/>
        </w:rPr>
        <w:sectPr>
          <w:headerReference w:type="default" r:id="rId463"/>
          <w:headerReference w:type="even" r:id="rId464"/>
          <w:footerReference w:type="default" r:id="rId465"/>
          <w:footerReference w:type="even" r:id="rId466"/>
          <w:pgSz w:w="8790" w:h="12760"/>
          <w:pgMar w:header="697" w:footer="725" w:top="880" w:bottom="920" w:left="1200" w:right="900"/>
        </w:sectPr>
      </w:pPr>
    </w:p>
    <w:p>
      <w:pPr>
        <w:pStyle w:val="BodyText"/>
        <w:spacing w:before="6"/>
        <w:rPr>
          <w:sz w:val="28"/>
        </w:rPr>
      </w:pPr>
    </w:p>
    <w:p>
      <w:pPr>
        <w:pStyle w:val="BodyText"/>
        <w:spacing w:line="252" w:lineRule="auto" w:before="68"/>
        <w:ind w:left="120" w:right="313" w:firstLine="1"/>
      </w:pPr>
      <w:r>
        <w:rPr>
          <w:rFonts w:ascii="Times New Roman" w:hAnsi="Times New Roman"/>
          <w:b/>
          <w:spacing w:val="3"/>
          <w:w w:val="140"/>
          <w:sz w:val="20"/>
        </w:rPr>
        <w:t>la </w:t>
      </w:r>
      <w:r>
        <w:rPr>
          <w:rFonts w:ascii="Times New Roman" w:hAnsi="Times New Roman"/>
          <w:b/>
          <w:spacing w:val="2"/>
          <w:w w:val="140"/>
          <w:sz w:val="20"/>
        </w:rPr>
        <w:t>PolÍtica </w:t>
      </w:r>
      <w:r>
        <w:rPr>
          <w:rFonts w:ascii="Times New Roman" w:hAnsi="Times New Roman"/>
          <w:b/>
          <w:w w:val="115"/>
          <w:sz w:val="20"/>
        </w:rPr>
        <w:t>de </w:t>
      </w:r>
      <w:r>
        <w:rPr>
          <w:rFonts w:ascii="Times New Roman" w:hAnsi="Times New Roman"/>
          <w:b/>
          <w:w w:val="140"/>
          <w:sz w:val="20"/>
        </w:rPr>
        <w:t>estados </w:t>
      </w:r>
      <w:r>
        <w:rPr>
          <w:rFonts w:ascii="Times New Roman" w:hAnsi="Times New Roman"/>
          <w:b/>
          <w:spacing w:val="2"/>
          <w:w w:val="115"/>
          <w:sz w:val="20"/>
        </w:rPr>
        <w:t>unidos </w:t>
      </w:r>
      <w:r>
        <w:rPr>
          <w:rFonts w:ascii="Times New Roman" w:hAnsi="Times New Roman"/>
          <w:b/>
          <w:w w:val="115"/>
          <w:sz w:val="20"/>
        </w:rPr>
        <w:t>Hacia </w:t>
      </w:r>
      <w:r>
        <w:rPr>
          <w:rFonts w:ascii="Times New Roman" w:hAnsi="Times New Roman"/>
          <w:b/>
          <w:spacing w:val="2"/>
          <w:w w:val="115"/>
          <w:sz w:val="20"/>
        </w:rPr>
        <w:t>aMérica </w:t>
      </w:r>
      <w:r>
        <w:rPr>
          <w:rFonts w:ascii="Times New Roman" w:hAnsi="Times New Roman"/>
          <w:b/>
          <w:w w:val="140"/>
          <w:sz w:val="20"/>
        </w:rPr>
        <w:t>latina </w:t>
      </w:r>
      <w:r>
        <w:rPr>
          <w:rFonts w:ascii="Times New Roman" w:hAnsi="Times New Roman"/>
          <w:b/>
          <w:w w:val="115"/>
          <w:sz w:val="20"/>
        </w:rPr>
        <w:t>y </w:t>
      </w:r>
      <w:r>
        <w:rPr>
          <w:rFonts w:ascii="Times New Roman" w:hAnsi="Times New Roman"/>
          <w:b/>
          <w:w w:val="140"/>
          <w:sz w:val="20"/>
        </w:rPr>
        <w:t>el </w:t>
      </w:r>
      <w:r>
        <w:rPr>
          <w:rFonts w:ascii="Times New Roman" w:hAnsi="Times New Roman"/>
          <w:b/>
          <w:w w:val="115"/>
          <w:sz w:val="20"/>
        </w:rPr>
        <w:t>cariBe </w:t>
      </w:r>
      <w:r>
        <w:rPr>
          <w:rFonts w:ascii="Times New Roman" w:hAnsi="Times New Roman"/>
          <w:b/>
          <w:w w:val="140"/>
          <w:sz w:val="20"/>
        </w:rPr>
        <w:t>durante </w:t>
      </w:r>
      <w:r>
        <w:rPr>
          <w:rFonts w:ascii="Times New Roman" w:hAnsi="Times New Roman"/>
          <w:b/>
          <w:spacing w:val="3"/>
          <w:w w:val="140"/>
          <w:sz w:val="20"/>
        </w:rPr>
        <w:t>la </w:t>
      </w:r>
      <w:r>
        <w:rPr>
          <w:rFonts w:ascii="Times New Roman" w:hAnsi="Times New Roman"/>
          <w:b/>
          <w:w w:val="115"/>
          <w:sz w:val="20"/>
        </w:rPr>
        <w:t>PriMera Presidencia  de  BaracK  oBaMa </w:t>
      </w:r>
      <w:r>
        <w:rPr>
          <w:spacing w:val="-6"/>
          <w:w w:val="140"/>
        </w:rPr>
        <w:t>tal </w:t>
      </w:r>
      <w:r>
        <w:rPr>
          <w:w w:val="115"/>
        </w:rPr>
        <w:t>como he documentado en otros escritos (suárez, 2010; 2010a; 2011</w:t>
      </w:r>
      <w:r>
        <w:rPr>
          <w:spacing w:val="-20"/>
          <w:w w:val="115"/>
        </w:rPr>
        <w:t> </w:t>
      </w:r>
      <w:r>
        <w:rPr>
          <w:w w:val="115"/>
        </w:rPr>
        <w:t>y</w:t>
      </w:r>
      <w:r>
        <w:rPr>
          <w:spacing w:val="-20"/>
          <w:w w:val="115"/>
        </w:rPr>
        <w:t> </w:t>
      </w:r>
      <w:r>
        <w:rPr>
          <w:w w:val="115"/>
        </w:rPr>
        <w:t>2012),</w:t>
      </w:r>
      <w:r>
        <w:rPr>
          <w:spacing w:val="-20"/>
          <w:w w:val="115"/>
        </w:rPr>
        <w:t> </w:t>
      </w:r>
      <w:r>
        <w:rPr>
          <w:w w:val="115"/>
        </w:rPr>
        <w:t>dándole</w:t>
      </w:r>
      <w:r>
        <w:rPr>
          <w:spacing w:val="-20"/>
          <w:w w:val="115"/>
        </w:rPr>
        <w:t> </w:t>
      </w:r>
      <w:r>
        <w:rPr>
          <w:w w:val="115"/>
        </w:rPr>
        <w:t>continuidad</w:t>
      </w:r>
      <w:r>
        <w:rPr>
          <w:spacing w:val="-20"/>
          <w:w w:val="115"/>
        </w:rPr>
        <w:t> </w:t>
      </w:r>
      <w:r>
        <w:rPr>
          <w:w w:val="115"/>
        </w:rPr>
        <w:t>o</w:t>
      </w:r>
      <w:r>
        <w:rPr>
          <w:spacing w:val="-20"/>
          <w:w w:val="115"/>
        </w:rPr>
        <w:t> </w:t>
      </w:r>
      <w:r>
        <w:rPr>
          <w:w w:val="115"/>
        </w:rPr>
        <w:t>reformulando,</w:t>
      </w:r>
      <w:r>
        <w:rPr>
          <w:spacing w:val="-20"/>
          <w:w w:val="115"/>
        </w:rPr>
        <w:t> </w:t>
      </w:r>
      <w:r>
        <w:rPr>
          <w:w w:val="115"/>
        </w:rPr>
        <w:t>según</w:t>
      </w:r>
      <w:r>
        <w:rPr>
          <w:spacing w:val="-20"/>
          <w:w w:val="115"/>
        </w:rPr>
        <w:t> </w:t>
      </w:r>
      <w:r>
        <w:rPr>
          <w:w w:val="115"/>
        </w:rPr>
        <w:t>el</w:t>
      </w:r>
      <w:r>
        <w:rPr>
          <w:spacing w:val="-20"/>
          <w:w w:val="115"/>
        </w:rPr>
        <w:t> </w:t>
      </w:r>
      <w:r>
        <w:rPr>
          <w:w w:val="115"/>
        </w:rPr>
        <w:t>caso,</w:t>
      </w:r>
      <w:r>
        <w:rPr>
          <w:spacing w:val="-20"/>
          <w:w w:val="115"/>
        </w:rPr>
        <w:t> </w:t>
      </w:r>
      <w:r>
        <w:rPr>
          <w:w w:val="115"/>
        </w:rPr>
        <w:t>al- gunas de las políticas emprendidas por las dos administraciones</w:t>
      </w:r>
      <w:r>
        <w:rPr>
          <w:spacing w:val="-19"/>
          <w:w w:val="115"/>
        </w:rPr>
        <w:t> </w:t>
      </w:r>
      <w:r>
        <w:rPr>
          <w:w w:val="115"/>
        </w:rPr>
        <w:t>de George</w:t>
      </w:r>
      <w:r>
        <w:rPr>
          <w:spacing w:val="-28"/>
          <w:w w:val="115"/>
        </w:rPr>
        <w:t> </w:t>
      </w:r>
      <w:r>
        <w:rPr>
          <w:spacing w:val="-11"/>
          <w:w w:val="115"/>
        </w:rPr>
        <w:t>W.</w:t>
      </w:r>
      <w:r>
        <w:rPr>
          <w:spacing w:val="-28"/>
          <w:w w:val="115"/>
        </w:rPr>
        <w:t> </w:t>
      </w:r>
      <w:r>
        <w:rPr>
          <w:w w:val="115"/>
        </w:rPr>
        <w:t>bush</w:t>
      </w:r>
      <w:r>
        <w:rPr>
          <w:spacing w:val="-28"/>
          <w:w w:val="115"/>
        </w:rPr>
        <w:t> </w:t>
      </w:r>
      <w:r>
        <w:rPr>
          <w:w w:val="115"/>
        </w:rPr>
        <w:t>(2001-2009),</w:t>
      </w:r>
      <w:r>
        <w:rPr>
          <w:spacing w:val="-28"/>
          <w:w w:val="115"/>
        </w:rPr>
        <w:t> </w:t>
      </w:r>
      <w:r>
        <w:rPr>
          <w:w w:val="115"/>
        </w:rPr>
        <w:t>desde</w:t>
      </w:r>
      <w:r>
        <w:rPr>
          <w:spacing w:val="-28"/>
          <w:w w:val="115"/>
        </w:rPr>
        <w:t> </w:t>
      </w:r>
      <w:r>
        <w:rPr>
          <w:w w:val="115"/>
        </w:rPr>
        <w:t>el</w:t>
      </w:r>
      <w:r>
        <w:rPr>
          <w:spacing w:val="-28"/>
          <w:w w:val="115"/>
        </w:rPr>
        <w:t> </w:t>
      </w:r>
      <w:r>
        <w:rPr>
          <w:w w:val="115"/>
        </w:rPr>
        <w:t>20</w:t>
      </w:r>
      <w:r>
        <w:rPr>
          <w:spacing w:val="-28"/>
          <w:w w:val="115"/>
        </w:rPr>
        <w:t> </w:t>
      </w:r>
      <w:r>
        <w:rPr>
          <w:w w:val="115"/>
        </w:rPr>
        <w:t>de</w:t>
      </w:r>
      <w:r>
        <w:rPr>
          <w:spacing w:val="-28"/>
          <w:w w:val="115"/>
        </w:rPr>
        <w:t> </w:t>
      </w:r>
      <w:r>
        <w:rPr>
          <w:w w:val="115"/>
        </w:rPr>
        <w:t>enero</w:t>
      </w:r>
      <w:r>
        <w:rPr>
          <w:spacing w:val="-28"/>
          <w:w w:val="115"/>
        </w:rPr>
        <w:t> </w:t>
      </w:r>
      <w:r>
        <w:rPr>
          <w:w w:val="115"/>
        </w:rPr>
        <w:t>de</w:t>
      </w:r>
      <w:r>
        <w:rPr>
          <w:spacing w:val="-28"/>
          <w:w w:val="115"/>
        </w:rPr>
        <w:t> </w:t>
      </w:r>
      <w:r>
        <w:rPr>
          <w:w w:val="115"/>
        </w:rPr>
        <w:t>2009</w:t>
      </w:r>
      <w:r>
        <w:rPr>
          <w:spacing w:val="-28"/>
          <w:w w:val="115"/>
        </w:rPr>
        <w:t> </w:t>
      </w:r>
      <w:r>
        <w:rPr>
          <w:w w:val="115"/>
        </w:rPr>
        <w:t>hasta</w:t>
      </w:r>
      <w:r>
        <w:rPr>
          <w:spacing w:val="-28"/>
          <w:w w:val="115"/>
        </w:rPr>
        <w:t> </w:t>
      </w:r>
      <w:r>
        <w:rPr>
          <w:w w:val="115"/>
        </w:rPr>
        <w:t>igual fecha</w:t>
      </w:r>
      <w:r>
        <w:rPr>
          <w:spacing w:val="-20"/>
          <w:w w:val="115"/>
        </w:rPr>
        <w:t> </w:t>
      </w:r>
      <w:r>
        <w:rPr>
          <w:w w:val="115"/>
        </w:rPr>
        <w:t>de</w:t>
      </w:r>
      <w:r>
        <w:rPr>
          <w:spacing w:val="-20"/>
          <w:w w:val="115"/>
        </w:rPr>
        <w:t> </w:t>
      </w:r>
      <w:r>
        <w:rPr>
          <w:w w:val="115"/>
        </w:rPr>
        <w:t>2013,</w:t>
      </w:r>
      <w:r>
        <w:rPr>
          <w:spacing w:val="-20"/>
          <w:w w:val="115"/>
        </w:rPr>
        <w:t> </w:t>
      </w:r>
      <w:r>
        <w:rPr>
          <w:w w:val="115"/>
        </w:rPr>
        <w:t>la</w:t>
      </w:r>
      <w:r>
        <w:rPr>
          <w:spacing w:val="-20"/>
          <w:w w:val="115"/>
        </w:rPr>
        <w:t> </w:t>
      </w:r>
      <w:r>
        <w:rPr>
          <w:w w:val="115"/>
        </w:rPr>
        <w:t>maquinaria</w:t>
      </w:r>
      <w:r>
        <w:rPr>
          <w:spacing w:val="-20"/>
          <w:w w:val="115"/>
        </w:rPr>
        <w:t> </w:t>
      </w:r>
      <w:r>
        <w:rPr>
          <w:w w:val="115"/>
        </w:rPr>
        <w:t>político-militar</w:t>
      </w:r>
      <w:r>
        <w:rPr>
          <w:spacing w:val="-20"/>
          <w:w w:val="115"/>
        </w:rPr>
        <w:t> </w:t>
      </w:r>
      <w:r>
        <w:rPr>
          <w:w w:val="115"/>
        </w:rPr>
        <w:t>y</w:t>
      </w:r>
      <w:r>
        <w:rPr>
          <w:spacing w:val="-20"/>
          <w:w w:val="115"/>
        </w:rPr>
        <w:t> </w:t>
      </w:r>
      <w:r>
        <w:rPr>
          <w:w w:val="115"/>
        </w:rPr>
        <w:t>de</w:t>
      </w:r>
      <w:r>
        <w:rPr>
          <w:spacing w:val="-20"/>
          <w:w w:val="115"/>
        </w:rPr>
        <w:t> </w:t>
      </w:r>
      <w:r>
        <w:rPr>
          <w:w w:val="115"/>
        </w:rPr>
        <w:t>seguridad</w:t>
      </w:r>
      <w:r>
        <w:rPr>
          <w:spacing w:val="-20"/>
          <w:w w:val="115"/>
        </w:rPr>
        <w:t> </w:t>
      </w:r>
      <w:r>
        <w:rPr>
          <w:w w:val="115"/>
        </w:rPr>
        <w:t>estadou- nidense,</w:t>
      </w:r>
      <w:r>
        <w:rPr>
          <w:spacing w:val="-12"/>
          <w:w w:val="115"/>
        </w:rPr>
        <w:t> </w:t>
      </w:r>
      <w:r>
        <w:rPr>
          <w:w w:val="115"/>
        </w:rPr>
        <w:t>al</w:t>
      </w:r>
      <w:r>
        <w:rPr>
          <w:spacing w:val="-12"/>
          <w:w w:val="115"/>
        </w:rPr>
        <w:t> </w:t>
      </w:r>
      <w:r>
        <w:rPr>
          <w:w w:val="115"/>
        </w:rPr>
        <w:t>igual</w:t>
      </w:r>
      <w:r>
        <w:rPr>
          <w:spacing w:val="-12"/>
          <w:w w:val="115"/>
        </w:rPr>
        <w:t> </w:t>
      </w:r>
      <w:r>
        <w:rPr>
          <w:w w:val="115"/>
        </w:rPr>
        <w:t>que</w:t>
      </w:r>
      <w:r>
        <w:rPr>
          <w:spacing w:val="-12"/>
          <w:w w:val="115"/>
        </w:rPr>
        <w:t> </w:t>
      </w:r>
      <w:r>
        <w:rPr>
          <w:w w:val="115"/>
        </w:rPr>
        <w:t>sus</w:t>
      </w:r>
      <w:r>
        <w:rPr>
          <w:spacing w:val="-12"/>
          <w:w w:val="115"/>
        </w:rPr>
        <w:t> </w:t>
      </w:r>
      <w:r>
        <w:rPr>
          <w:w w:val="115"/>
        </w:rPr>
        <w:t>aparatos</w:t>
      </w:r>
      <w:r>
        <w:rPr>
          <w:spacing w:val="-12"/>
          <w:w w:val="115"/>
        </w:rPr>
        <w:t> </w:t>
      </w:r>
      <w:r>
        <w:rPr>
          <w:w w:val="115"/>
        </w:rPr>
        <w:t>político-diplomáticos,</w:t>
      </w:r>
      <w:r>
        <w:rPr>
          <w:spacing w:val="-12"/>
          <w:w w:val="115"/>
        </w:rPr>
        <w:t> </w:t>
      </w:r>
      <w:r>
        <w:rPr>
          <w:w w:val="115"/>
        </w:rPr>
        <w:t>económico- </w:t>
      </w:r>
      <w:r>
        <w:rPr>
          <w:w w:val="110"/>
        </w:rPr>
        <w:t>financieros</w:t>
      </w:r>
      <w:r>
        <w:rPr>
          <w:spacing w:val="-13"/>
          <w:w w:val="110"/>
        </w:rPr>
        <w:t> </w:t>
      </w:r>
      <w:r>
        <w:rPr>
          <w:w w:val="110"/>
        </w:rPr>
        <w:t>e</w:t>
      </w:r>
      <w:r>
        <w:rPr>
          <w:spacing w:val="-13"/>
          <w:w w:val="110"/>
        </w:rPr>
        <w:t> </w:t>
      </w:r>
      <w:r>
        <w:rPr>
          <w:w w:val="110"/>
        </w:rPr>
        <w:t>ideológico-culturales</w:t>
      </w:r>
      <w:r>
        <w:rPr>
          <w:spacing w:val="-13"/>
          <w:w w:val="110"/>
        </w:rPr>
        <w:t> </w:t>
      </w:r>
      <w:r>
        <w:rPr>
          <w:w w:val="110"/>
        </w:rPr>
        <w:t>emprendieron</w:t>
      </w:r>
      <w:r>
        <w:rPr>
          <w:spacing w:val="-13"/>
          <w:w w:val="110"/>
        </w:rPr>
        <w:t> </w:t>
      </w:r>
      <w:r>
        <w:rPr>
          <w:w w:val="110"/>
        </w:rPr>
        <w:t>diversas</w:t>
      </w:r>
      <w:r>
        <w:rPr>
          <w:spacing w:val="-13"/>
          <w:w w:val="110"/>
        </w:rPr>
        <w:t> </w:t>
      </w:r>
      <w:r>
        <w:rPr>
          <w:w w:val="110"/>
        </w:rPr>
        <w:t>“estrategias </w:t>
      </w:r>
      <w:r>
        <w:rPr>
          <w:w w:val="115"/>
        </w:rPr>
        <w:t>inteligentes”</w:t>
      </w:r>
      <w:r>
        <w:rPr>
          <w:spacing w:val="-9"/>
          <w:w w:val="115"/>
        </w:rPr>
        <w:t> </w:t>
      </w:r>
      <w:r>
        <w:rPr>
          <w:w w:val="115"/>
        </w:rPr>
        <w:t>dirigidas</w:t>
      </w:r>
      <w:r>
        <w:rPr>
          <w:spacing w:val="-9"/>
          <w:w w:val="115"/>
        </w:rPr>
        <w:t> </w:t>
      </w:r>
      <w:r>
        <w:rPr>
          <w:w w:val="115"/>
        </w:rPr>
        <w:t>–según</w:t>
      </w:r>
      <w:r>
        <w:rPr>
          <w:spacing w:val="-9"/>
          <w:w w:val="115"/>
        </w:rPr>
        <w:t> </w:t>
      </w:r>
      <w:r>
        <w:rPr>
          <w:w w:val="115"/>
        </w:rPr>
        <w:t>indicó</w:t>
      </w:r>
      <w:r>
        <w:rPr>
          <w:spacing w:val="-9"/>
          <w:w w:val="115"/>
        </w:rPr>
        <w:t> </w:t>
      </w:r>
      <w:r>
        <w:rPr>
          <w:w w:val="115"/>
        </w:rPr>
        <w:t>barack</w:t>
      </w:r>
      <w:r>
        <w:rPr>
          <w:spacing w:val="-9"/>
          <w:w w:val="115"/>
        </w:rPr>
        <w:t> </w:t>
      </w:r>
      <w:r>
        <w:rPr>
          <w:w w:val="115"/>
        </w:rPr>
        <w:t>obama</w:t>
      </w:r>
      <w:r>
        <w:rPr>
          <w:spacing w:val="-9"/>
          <w:w w:val="115"/>
        </w:rPr>
        <w:t> </w:t>
      </w:r>
      <w:r>
        <w:rPr>
          <w:w w:val="115"/>
        </w:rPr>
        <w:t>durante</w:t>
      </w:r>
      <w:r>
        <w:rPr>
          <w:spacing w:val="-9"/>
          <w:w w:val="115"/>
        </w:rPr>
        <w:t> </w:t>
      </w:r>
      <w:r>
        <w:rPr>
          <w:w w:val="115"/>
        </w:rPr>
        <w:t>su</w:t>
      </w:r>
      <w:r>
        <w:rPr>
          <w:spacing w:val="-9"/>
          <w:w w:val="115"/>
        </w:rPr>
        <w:t> </w:t>
      </w:r>
      <w:r>
        <w:rPr>
          <w:w w:val="115"/>
        </w:rPr>
        <w:t>cam- paña electoral– a “renovar” y a “prolongar a lo largo del siglo </w:t>
      </w:r>
      <w:r>
        <w:rPr>
          <w:w w:val="140"/>
        </w:rPr>
        <w:t>xxi</w:t>
      </w:r>
      <w:r>
        <w:rPr>
          <w:spacing w:val="-15"/>
          <w:w w:val="140"/>
        </w:rPr>
        <w:t> </w:t>
      </w:r>
      <w:r>
        <w:rPr>
          <w:w w:val="115"/>
        </w:rPr>
        <w:t>el liderazgo</w:t>
      </w:r>
      <w:r>
        <w:rPr>
          <w:spacing w:val="-25"/>
          <w:w w:val="115"/>
        </w:rPr>
        <w:t> </w:t>
      </w:r>
      <w:r>
        <w:rPr>
          <w:w w:val="115"/>
        </w:rPr>
        <w:t>estadounidense</w:t>
      </w:r>
      <w:r>
        <w:rPr>
          <w:spacing w:val="-25"/>
          <w:w w:val="115"/>
        </w:rPr>
        <w:t> </w:t>
      </w:r>
      <w:r>
        <w:rPr>
          <w:w w:val="115"/>
        </w:rPr>
        <w:t>en</w:t>
      </w:r>
      <w:r>
        <w:rPr>
          <w:spacing w:val="-25"/>
          <w:w w:val="115"/>
        </w:rPr>
        <w:t> </w:t>
      </w:r>
      <w:r>
        <w:rPr>
          <w:w w:val="115"/>
        </w:rPr>
        <w:t>las</w:t>
      </w:r>
      <w:r>
        <w:rPr>
          <w:spacing w:val="-25"/>
          <w:w w:val="115"/>
        </w:rPr>
        <w:t> </w:t>
      </w:r>
      <w:r>
        <w:rPr>
          <w:w w:val="115"/>
        </w:rPr>
        <w:t>américas”</w:t>
      </w:r>
      <w:r>
        <w:rPr>
          <w:spacing w:val="-25"/>
          <w:w w:val="115"/>
        </w:rPr>
        <w:t> </w:t>
      </w:r>
      <w:r>
        <w:rPr>
          <w:w w:val="115"/>
        </w:rPr>
        <w:t>(obama,</w:t>
      </w:r>
      <w:r>
        <w:rPr>
          <w:spacing w:val="-25"/>
          <w:w w:val="115"/>
        </w:rPr>
        <w:t> </w:t>
      </w:r>
      <w:r>
        <w:rPr>
          <w:w w:val="115"/>
        </w:rPr>
        <w:t>2008).</w:t>
      </w:r>
    </w:p>
    <w:p>
      <w:pPr>
        <w:pStyle w:val="BodyText"/>
        <w:spacing w:line="252" w:lineRule="auto"/>
        <w:ind w:left="120" w:right="328" w:firstLine="396"/>
        <w:jc w:val="both"/>
        <w:rPr>
          <w:sz w:val="11"/>
        </w:rPr>
      </w:pPr>
      <w:r>
        <w:rPr>
          <w:w w:val="115"/>
        </w:rPr>
        <w:t>a</w:t>
      </w:r>
      <w:r>
        <w:rPr>
          <w:spacing w:val="-31"/>
          <w:w w:val="115"/>
        </w:rPr>
        <w:t> </w:t>
      </w:r>
      <w:r>
        <w:rPr>
          <w:w w:val="115"/>
        </w:rPr>
        <w:t>pesar</w:t>
      </w:r>
      <w:r>
        <w:rPr>
          <w:spacing w:val="-31"/>
          <w:w w:val="115"/>
        </w:rPr>
        <w:t> </w:t>
      </w:r>
      <w:r>
        <w:rPr>
          <w:w w:val="115"/>
        </w:rPr>
        <w:t>de</w:t>
      </w:r>
      <w:r>
        <w:rPr>
          <w:spacing w:val="-31"/>
          <w:w w:val="115"/>
        </w:rPr>
        <w:t> </w:t>
      </w:r>
      <w:r>
        <w:rPr>
          <w:w w:val="115"/>
        </w:rPr>
        <w:t>haber</w:t>
      </w:r>
      <w:r>
        <w:rPr>
          <w:spacing w:val="-31"/>
          <w:w w:val="115"/>
        </w:rPr>
        <w:t> </w:t>
      </w:r>
      <w:r>
        <w:rPr>
          <w:w w:val="115"/>
        </w:rPr>
        <w:t>edulcorado</w:t>
      </w:r>
      <w:r>
        <w:rPr>
          <w:spacing w:val="-31"/>
          <w:w w:val="115"/>
        </w:rPr>
        <w:t> </w:t>
      </w:r>
      <w:r>
        <w:rPr>
          <w:w w:val="115"/>
        </w:rPr>
        <w:t>esos</w:t>
      </w:r>
      <w:r>
        <w:rPr>
          <w:spacing w:val="-31"/>
          <w:w w:val="115"/>
        </w:rPr>
        <w:t> </w:t>
      </w:r>
      <w:r>
        <w:rPr>
          <w:w w:val="115"/>
        </w:rPr>
        <w:t>propósitos</w:t>
      </w:r>
      <w:r>
        <w:rPr>
          <w:spacing w:val="-31"/>
          <w:w w:val="115"/>
        </w:rPr>
        <w:t> </w:t>
      </w:r>
      <w:r>
        <w:rPr>
          <w:w w:val="115"/>
        </w:rPr>
        <w:t>con</w:t>
      </w:r>
      <w:r>
        <w:rPr>
          <w:spacing w:val="-31"/>
          <w:w w:val="115"/>
        </w:rPr>
        <w:t> </w:t>
      </w:r>
      <w:r>
        <w:rPr>
          <w:w w:val="115"/>
        </w:rPr>
        <w:t>su</w:t>
      </w:r>
      <w:r>
        <w:rPr>
          <w:spacing w:val="-31"/>
          <w:w w:val="115"/>
        </w:rPr>
        <w:t> </w:t>
      </w:r>
      <w:r>
        <w:rPr>
          <w:w w:val="115"/>
        </w:rPr>
        <w:t>promesa</w:t>
      </w:r>
      <w:r>
        <w:rPr>
          <w:spacing w:val="-31"/>
          <w:w w:val="115"/>
        </w:rPr>
        <w:t> </w:t>
      </w:r>
      <w:r>
        <w:rPr>
          <w:spacing w:val="-4"/>
          <w:w w:val="115"/>
        </w:rPr>
        <w:t>–for- </w:t>
      </w:r>
      <w:r>
        <w:rPr>
          <w:w w:val="115"/>
        </w:rPr>
        <w:t>mulada</w:t>
      </w:r>
      <w:r>
        <w:rPr>
          <w:spacing w:val="-23"/>
          <w:w w:val="115"/>
        </w:rPr>
        <w:t> </w:t>
      </w:r>
      <w:r>
        <w:rPr>
          <w:w w:val="115"/>
        </w:rPr>
        <w:t>en</w:t>
      </w:r>
      <w:r>
        <w:rPr>
          <w:spacing w:val="-23"/>
          <w:w w:val="115"/>
        </w:rPr>
        <w:t> </w:t>
      </w:r>
      <w:r>
        <w:rPr>
          <w:w w:val="115"/>
        </w:rPr>
        <w:t>la</w:t>
      </w:r>
      <w:r>
        <w:rPr>
          <w:spacing w:val="-23"/>
          <w:w w:val="115"/>
        </w:rPr>
        <w:t> </w:t>
      </w:r>
      <w:r>
        <w:rPr>
          <w:w w:val="115"/>
        </w:rPr>
        <w:t>Cumbre</w:t>
      </w:r>
      <w:r>
        <w:rPr>
          <w:spacing w:val="-23"/>
          <w:w w:val="115"/>
        </w:rPr>
        <w:t> </w:t>
      </w:r>
      <w:r>
        <w:rPr>
          <w:w w:val="115"/>
        </w:rPr>
        <w:t>de</w:t>
      </w:r>
      <w:r>
        <w:rPr>
          <w:spacing w:val="-23"/>
          <w:w w:val="115"/>
        </w:rPr>
        <w:t> </w:t>
      </w:r>
      <w:r>
        <w:rPr>
          <w:w w:val="115"/>
        </w:rPr>
        <w:t>las</w:t>
      </w:r>
      <w:r>
        <w:rPr>
          <w:spacing w:val="-23"/>
          <w:w w:val="115"/>
        </w:rPr>
        <w:t> </w:t>
      </w:r>
      <w:r>
        <w:rPr>
          <w:w w:val="115"/>
        </w:rPr>
        <w:t>américas</w:t>
      </w:r>
      <w:r>
        <w:rPr>
          <w:spacing w:val="-23"/>
          <w:w w:val="115"/>
        </w:rPr>
        <w:t> </w:t>
      </w:r>
      <w:r>
        <w:rPr>
          <w:w w:val="115"/>
        </w:rPr>
        <w:t>realizada</w:t>
      </w:r>
      <w:r>
        <w:rPr>
          <w:spacing w:val="-23"/>
          <w:w w:val="115"/>
        </w:rPr>
        <w:t> </w:t>
      </w:r>
      <w:r>
        <w:rPr>
          <w:w w:val="115"/>
        </w:rPr>
        <w:t>en</w:t>
      </w:r>
      <w:r>
        <w:rPr>
          <w:spacing w:val="-23"/>
          <w:w w:val="115"/>
        </w:rPr>
        <w:t> </w:t>
      </w:r>
      <w:r>
        <w:rPr>
          <w:w w:val="115"/>
        </w:rPr>
        <w:t>abril</w:t>
      </w:r>
      <w:r>
        <w:rPr>
          <w:spacing w:val="-23"/>
          <w:w w:val="115"/>
        </w:rPr>
        <w:t> </w:t>
      </w:r>
      <w:r>
        <w:rPr>
          <w:w w:val="115"/>
        </w:rPr>
        <w:t>de</w:t>
      </w:r>
      <w:r>
        <w:rPr>
          <w:spacing w:val="-23"/>
          <w:w w:val="115"/>
        </w:rPr>
        <w:t> </w:t>
      </w:r>
      <w:r>
        <w:rPr>
          <w:w w:val="115"/>
        </w:rPr>
        <w:t>2009</w:t>
      </w:r>
      <w:r>
        <w:rPr>
          <w:spacing w:val="-23"/>
          <w:w w:val="115"/>
        </w:rPr>
        <w:t> </w:t>
      </w:r>
      <w:r>
        <w:rPr>
          <w:w w:val="115"/>
        </w:rPr>
        <w:t>en</w:t>
      </w:r>
      <w:r>
        <w:rPr>
          <w:spacing w:val="-23"/>
          <w:w w:val="115"/>
        </w:rPr>
        <w:t> </w:t>
      </w:r>
      <w:r>
        <w:rPr>
          <w:spacing w:val="-6"/>
          <w:w w:val="115"/>
        </w:rPr>
        <w:t>tri- </w:t>
      </w:r>
      <w:r>
        <w:rPr>
          <w:w w:val="115"/>
        </w:rPr>
        <w:t>nidad</w:t>
      </w:r>
      <w:r>
        <w:rPr>
          <w:spacing w:val="-10"/>
          <w:w w:val="115"/>
        </w:rPr>
        <w:t> </w:t>
      </w:r>
      <w:r>
        <w:rPr>
          <w:w w:val="115"/>
        </w:rPr>
        <w:t>y</w:t>
      </w:r>
      <w:r>
        <w:rPr>
          <w:spacing w:val="-10"/>
          <w:w w:val="115"/>
        </w:rPr>
        <w:t> </w:t>
      </w:r>
      <w:r>
        <w:rPr>
          <w:spacing w:val="-4"/>
          <w:w w:val="115"/>
        </w:rPr>
        <w:t>tobago–</w:t>
      </w:r>
      <w:r>
        <w:rPr>
          <w:spacing w:val="-10"/>
          <w:w w:val="115"/>
        </w:rPr>
        <w:t> </w:t>
      </w:r>
      <w:r>
        <w:rPr>
          <w:w w:val="115"/>
        </w:rPr>
        <w:t>de</w:t>
      </w:r>
      <w:r>
        <w:rPr>
          <w:spacing w:val="-10"/>
          <w:w w:val="115"/>
        </w:rPr>
        <w:t> </w:t>
      </w:r>
      <w:r>
        <w:rPr>
          <w:w w:val="115"/>
        </w:rPr>
        <w:t>“iniciar</w:t>
      </w:r>
      <w:r>
        <w:rPr>
          <w:spacing w:val="-10"/>
          <w:w w:val="115"/>
        </w:rPr>
        <w:t> </w:t>
      </w:r>
      <w:r>
        <w:rPr>
          <w:w w:val="115"/>
        </w:rPr>
        <w:t>una</w:t>
      </w:r>
      <w:r>
        <w:rPr>
          <w:spacing w:val="-10"/>
          <w:w w:val="115"/>
        </w:rPr>
        <w:t> </w:t>
      </w:r>
      <w:r>
        <w:rPr>
          <w:w w:val="115"/>
        </w:rPr>
        <w:t>nueva</w:t>
      </w:r>
      <w:r>
        <w:rPr>
          <w:spacing w:val="-10"/>
          <w:w w:val="115"/>
        </w:rPr>
        <w:t> </w:t>
      </w:r>
      <w:r>
        <w:rPr>
          <w:w w:val="115"/>
        </w:rPr>
        <w:t>época</w:t>
      </w:r>
      <w:r>
        <w:rPr>
          <w:spacing w:val="-10"/>
          <w:w w:val="115"/>
        </w:rPr>
        <w:t> </w:t>
      </w:r>
      <w:r>
        <w:rPr>
          <w:w w:val="115"/>
        </w:rPr>
        <w:t>de</w:t>
      </w:r>
      <w:r>
        <w:rPr>
          <w:spacing w:val="-10"/>
          <w:w w:val="115"/>
        </w:rPr>
        <w:t> </w:t>
      </w:r>
      <w:r>
        <w:rPr>
          <w:w w:val="115"/>
        </w:rPr>
        <w:t>las</w:t>
      </w:r>
      <w:r>
        <w:rPr>
          <w:spacing w:val="-10"/>
          <w:w w:val="115"/>
        </w:rPr>
        <w:t> </w:t>
      </w:r>
      <w:r>
        <w:rPr>
          <w:w w:val="115"/>
        </w:rPr>
        <w:t>relaciones</w:t>
      </w:r>
      <w:r>
        <w:rPr>
          <w:spacing w:val="-10"/>
          <w:w w:val="115"/>
        </w:rPr>
        <w:t> </w:t>
      </w:r>
      <w:r>
        <w:rPr>
          <w:w w:val="115"/>
        </w:rPr>
        <w:t>intera- </w:t>
      </w:r>
      <w:r>
        <w:rPr>
          <w:w w:val="110"/>
        </w:rPr>
        <w:t>mericanas”</w:t>
      </w:r>
      <w:r>
        <w:rPr>
          <w:spacing w:val="-12"/>
          <w:w w:val="110"/>
        </w:rPr>
        <w:t> </w:t>
      </w:r>
      <w:r>
        <w:rPr>
          <w:w w:val="110"/>
        </w:rPr>
        <w:t>(obama,</w:t>
      </w:r>
      <w:r>
        <w:rPr>
          <w:spacing w:val="-12"/>
          <w:w w:val="110"/>
        </w:rPr>
        <w:t> </w:t>
      </w:r>
      <w:r>
        <w:rPr>
          <w:w w:val="110"/>
        </w:rPr>
        <w:t>2009),</w:t>
      </w:r>
      <w:r>
        <w:rPr>
          <w:spacing w:val="-12"/>
          <w:w w:val="110"/>
        </w:rPr>
        <w:t> </w:t>
      </w:r>
      <w:r>
        <w:rPr>
          <w:w w:val="110"/>
        </w:rPr>
        <w:t>partiendo</w:t>
      </w:r>
      <w:r>
        <w:rPr>
          <w:spacing w:val="-12"/>
          <w:w w:val="110"/>
        </w:rPr>
        <w:t> </w:t>
      </w:r>
      <w:r>
        <w:rPr>
          <w:w w:val="110"/>
        </w:rPr>
        <w:t>de</w:t>
      </w:r>
      <w:r>
        <w:rPr>
          <w:spacing w:val="-12"/>
          <w:w w:val="110"/>
        </w:rPr>
        <w:t> </w:t>
      </w:r>
      <w:r>
        <w:rPr>
          <w:w w:val="110"/>
        </w:rPr>
        <w:t>esos</w:t>
      </w:r>
      <w:r>
        <w:rPr>
          <w:spacing w:val="-12"/>
          <w:w w:val="110"/>
        </w:rPr>
        <w:t> </w:t>
      </w:r>
      <w:r>
        <w:rPr>
          <w:w w:val="110"/>
        </w:rPr>
        <w:t>objetivos</w:t>
      </w:r>
      <w:r>
        <w:rPr>
          <w:spacing w:val="-12"/>
          <w:w w:val="110"/>
        </w:rPr>
        <w:t> </w:t>
      </w:r>
      <w:r>
        <w:rPr>
          <w:w w:val="110"/>
        </w:rPr>
        <w:t>estratégicos,</w:t>
      </w:r>
      <w:r>
        <w:rPr>
          <w:spacing w:val="-12"/>
          <w:w w:val="110"/>
        </w:rPr>
        <w:t> </w:t>
      </w:r>
      <w:r>
        <w:rPr>
          <w:w w:val="110"/>
        </w:rPr>
        <w:t>de </w:t>
      </w:r>
      <w:r>
        <w:rPr>
          <w:w w:val="115"/>
        </w:rPr>
        <w:t>manera</w:t>
      </w:r>
      <w:r>
        <w:rPr>
          <w:spacing w:val="-14"/>
          <w:w w:val="115"/>
        </w:rPr>
        <w:t> </w:t>
      </w:r>
      <w:r>
        <w:rPr>
          <w:w w:val="115"/>
        </w:rPr>
        <w:t>unilateral</w:t>
      </w:r>
      <w:r>
        <w:rPr>
          <w:spacing w:val="-14"/>
          <w:w w:val="115"/>
        </w:rPr>
        <w:t> </w:t>
      </w:r>
      <w:r>
        <w:rPr>
          <w:w w:val="115"/>
        </w:rPr>
        <w:t>o</w:t>
      </w:r>
      <w:r>
        <w:rPr>
          <w:spacing w:val="-14"/>
          <w:w w:val="115"/>
        </w:rPr>
        <w:t> </w:t>
      </w:r>
      <w:r>
        <w:rPr>
          <w:w w:val="115"/>
        </w:rPr>
        <w:t>concertada</w:t>
      </w:r>
      <w:r>
        <w:rPr>
          <w:spacing w:val="-14"/>
          <w:w w:val="115"/>
        </w:rPr>
        <w:t> </w:t>
      </w:r>
      <w:r>
        <w:rPr>
          <w:w w:val="115"/>
        </w:rPr>
        <w:t>con</w:t>
      </w:r>
      <w:r>
        <w:rPr>
          <w:spacing w:val="-14"/>
          <w:w w:val="115"/>
        </w:rPr>
        <w:t> </w:t>
      </w:r>
      <w:r>
        <w:rPr>
          <w:w w:val="115"/>
        </w:rPr>
        <w:t>sus</w:t>
      </w:r>
      <w:r>
        <w:rPr>
          <w:spacing w:val="-14"/>
          <w:w w:val="115"/>
        </w:rPr>
        <w:t> </w:t>
      </w:r>
      <w:r>
        <w:rPr>
          <w:w w:val="115"/>
        </w:rPr>
        <w:t>“socios”</w:t>
      </w:r>
      <w:r>
        <w:rPr>
          <w:spacing w:val="-14"/>
          <w:w w:val="115"/>
        </w:rPr>
        <w:t> </w:t>
      </w:r>
      <w:r>
        <w:rPr>
          <w:w w:val="115"/>
        </w:rPr>
        <w:t>o</w:t>
      </w:r>
      <w:r>
        <w:rPr>
          <w:spacing w:val="-14"/>
          <w:w w:val="115"/>
        </w:rPr>
        <w:t> </w:t>
      </w:r>
      <w:r>
        <w:rPr>
          <w:w w:val="115"/>
        </w:rPr>
        <w:t>“aliados”</w:t>
      </w:r>
      <w:r>
        <w:rPr>
          <w:spacing w:val="-14"/>
          <w:w w:val="115"/>
        </w:rPr>
        <w:t> </w:t>
      </w:r>
      <w:r>
        <w:rPr>
          <w:w w:val="115"/>
        </w:rPr>
        <w:t>estatales y</w:t>
      </w:r>
      <w:r>
        <w:rPr>
          <w:spacing w:val="-20"/>
          <w:w w:val="115"/>
        </w:rPr>
        <w:t> </w:t>
      </w:r>
      <w:r>
        <w:rPr>
          <w:w w:val="115"/>
        </w:rPr>
        <w:t>no</w:t>
      </w:r>
      <w:r>
        <w:rPr>
          <w:spacing w:val="-20"/>
          <w:w w:val="115"/>
        </w:rPr>
        <w:t> </w:t>
      </w:r>
      <w:r>
        <w:rPr>
          <w:w w:val="115"/>
        </w:rPr>
        <w:t>estatales</w:t>
      </w:r>
      <w:r>
        <w:rPr>
          <w:spacing w:val="-20"/>
          <w:w w:val="115"/>
        </w:rPr>
        <w:t> </w:t>
      </w:r>
      <w:r>
        <w:rPr>
          <w:w w:val="115"/>
        </w:rPr>
        <w:t>de</w:t>
      </w:r>
      <w:r>
        <w:rPr>
          <w:spacing w:val="-20"/>
          <w:w w:val="115"/>
        </w:rPr>
        <w:t> </w:t>
      </w:r>
      <w:r>
        <w:rPr>
          <w:w w:val="115"/>
        </w:rPr>
        <w:t>dentro</w:t>
      </w:r>
      <w:r>
        <w:rPr>
          <w:spacing w:val="-20"/>
          <w:w w:val="115"/>
        </w:rPr>
        <w:t> </w:t>
      </w:r>
      <w:r>
        <w:rPr>
          <w:w w:val="115"/>
        </w:rPr>
        <w:t>y</w:t>
      </w:r>
      <w:r>
        <w:rPr>
          <w:spacing w:val="-20"/>
          <w:w w:val="115"/>
        </w:rPr>
        <w:t> </w:t>
      </w:r>
      <w:r>
        <w:rPr>
          <w:w w:val="115"/>
        </w:rPr>
        <w:t>fuera</w:t>
      </w:r>
      <w:r>
        <w:rPr>
          <w:spacing w:val="-20"/>
          <w:w w:val="115"/>
        </w:rPr>
        <w:t> </w:t>
      </w:r>
      <w:r>
        <w:rPr>
          <w:w w:val="115"/>
        </w:rPr>
        <w:t>del</w:t>
      </w:r>
      <w:r>
        <w:rPr>
          <w:spacing w:val="-20"/>
          <w:w w:val="115"/>
        </w:rPr>
        <w:t> </w:t>
      </w:r>
      <w:r>
        <w:rPr>
          <w:w w:val="115"/>
        </w:rPr>
        <w:t>continente</w:t>
      </w:r>
      <w:r>
        <w:rPr>
          <w:spacing w:val="-20"/>
          <w:w w:val="115"/>
        </w:rPr>
        <w:t> </w:t>
      </w:r>
      <w:r>
        <w:rPr>
          <w:w w:val="115"/>
        </w:rPr>
        <w:t>americano,</w:t>
      </w:r>
      <w:r>
        <w:rPr>
          <w:spacing w:val="-20"/>
          <w:w w:val="115"/>
        </w:rPr>
        <w:t> </w:t>
      </w:r>
      <w:r>
        <w:rPr>
          <w:w w:val="115"/>
        </w:rPr>
        <w:t>su</w:t>
      </w:r>
      <w:r>
        <w:rPr>
          <w:spacing w:val="-20"/>
          <w:w w:val="115"/>
        </w:rPr>
        <w:t> </w:t>
      </w:r>
      <w:r>
        <w:rPr>
          <w:w w:val="115"/>
        </w:rPr>
        <w:t>primera administración</w:t>
      </w:r>
      <w:r>
        <w:rPr>
          <w:spacing w:val="-20"/>
          <w:w w:val="115"/>
        </w:rPr>
        <w:t> </w:t>
      </w:r>
      <w:r>
        <w:rPr>
          <w:w w:val="115"/>
        </w:rPr>
        <w:t>emprendió</w:t>
      </w:r>
      <w:r>
        <w:rPr>
          <w:spacing w:val="-20"/>
          <w:w w:val="115"/>
        </w:rPr>
        <w:t> </w:t>
      </w:r>
      <w:r>
        <w:rPr>
          <w:w w:val="115"/>
        </w:rPr>
        <w:t>diversas</w:t>
      </w:r>
      <w:r>
        <w:rPr>
          <w:spacing w:val="-20"/>
          <w:w w:val="115"/>
        </w:rPr>
        <w:t> </w:t>
      </w:r>
      <w:r>
        <w:rPr>
          <w:w w:val="115"/>
        </w:rPr>
        <w:t>acciones</w:t>
      </w:r>
      <w:r>
        <w:rPr>
          <w:spacing w:val="-20"/>
          <w:w w:val="115"/>
        </w:rPr>
        <w:t> </w:t>
      </w:r>
      <w:r>
        <w:rPr>
          <w:w w:val="115"/>
        </w:rPr>
        <w:t>orientadas</w:t>
      </w:r>
      <w:r>
        <w:rPr>
          <w:spacing w:val="-20"/>
          <w:w w:val="115"/>
        </w:rPr>
        <w:t> </w:t>
      </w:r>
      <w:r>
        <w:rPr>
          <w:w w:val="115"/>
        </w:rPr>
        <w:t>a</w:t>
      </w:r>
      <w:r>
        <w:rPr>
          <w:spacing w:val="-20"/>
          <w:w w:val="115"/>
        </w:rPr>
        <w:t> </w:t>
      </w:r>
      <w:r>
        <w:rPr>
          <w:spacing w:val="-4"/>
          <w:w w:val="115"/>
        </w:rPr>
        <w:t>cumplir,</w:t>
      </w:r>
      <w:r>
        <w:rPr>
          <w:spacing w:val="-20"/>
          <w:w w:val="115"/>
        </w:rPr>
        <w:t> </w:t>
      </w:r>
      <w:r>
        <w:rPr>
          <w:w w:val="115"/>
        </w:rPr>
        <w:t>al </w:t>
      </w:r>
      <w:r>
        <w:rPr>
          <w:w w:val="110"/>
        </w:rPr>
        <w:t>menos,</w:t>
      </w:r>
      <w:r>
        <w:rPr>
          <w:spacing w:val="-8"/>
          <w:w w:val="110"/>
        </w:rPr>
        <w:t> </w:t>
      </w:r>
      <w:r>
        <w:rPr>
          <w:w w:val="110"/>
        </w:rPr>
        <w:t>los</w:t>
      </w:r>
      <w:r>
        <w:rPr>
          <w:spacing w:val="-8"/>
          <w:w w:val="110"/>
        </w:rPr>
        <w:t> </w:t>
      </w:r>
      <w:r>
        <w:rPr>
          <w:w w:val="110"/>
        </w:rPr>
        <w:t>siguientes</w:t>
      </w:r>
      <w:r>
        <w:rPr>
          <w:spacing w:val="-8"/>
          <w:w w:val="110"/>
        </w:rPr>
        <w:t> </w:t>
      </w:r>
      <w:r>
        <w:rPr>
          <w:w w:val="110"/>
        </w:rPr>
        <w:t>objetivos</w:t>
      </w:r>
      <w:r>
        <w:rPr>
          <w:spacing w:val="-8"/>
          <w:w w:val="110"/>
        </w:rPr>
        <w:t> </w:t>
      </w:r>
      <w:r>
        <w:rPr>
          <w:w w:val="110"/>
        </w:rPr>
        <w:t>generales</w:t>
      </w:r>
      <w:r>
        <w:rPr>
          <w:spacing w:val="-8"/>
          <w:w w:val="110"/>
        </w:rPr>
        <w:t> </w:t>
      </w:r>
      <w:r>
        <w:rPr>
          <w:w w:val="110"/>
        </w:rPr>
        <w:t>vinculados</w:t>
      </w:r>
      <w:r>
        <w:rPr>
          <w:spacing w:val="-8"/>
          <w:w w:val="110"/>
        </w:rPr>
        <w:t> </w:t>
      </w:r>
      <w:r>
        <w:rPr>
          <w:w w:val="110"/>
        </w:rPr>
        <w:t>entre</w:t>
      </w:r>
      <w:r>
        <w:rPr>
          <w:spacing w:val="-8"/>
          <w:w w:val="110"/>
        </w:rPr>
        <w:t> </w:t>
      </w:r>
      <w:r>
        <w:rPr>
          <w:w w:val="110"/>
        </w:rPr>
        <w:t>sí:</w:t>
      </w:r>
      <w:r>
        <w:rPr>
          <w:w w:val="110"/>
          <w:position w:val="6"/>
          <w:sz w:val="11"/>
        </w:rPr>
        <w:t>3</w:t>
      </w:r>
    </w:p>
    <w:p>
      <w:pPr>
        <w:pStyle w:val="BodyText"/>
        <w:spacing w:before="11"/>
      </w:pPr>
    </w:p>
    <w:p>
      <w:pPr>
        <w:pStyle w:val="ListParagraph"/>
        <w:numPr>
          <w:ilvl w:val="2"/>
          <w:numId w:val="32"/>
        </w:numPr>
        <w:tabs>
          <w:tab w:pos="745" w:val="left" w:leader="none"/>
        </w:tabs>
        <w:spacing w:line="252" w:lineRule="auto" w:before="0" w:after="0"/>
        <w:ind w:left="744" w:right="327" w:hanging="227"/>
        <w:jc w:val="both"/>
        <w:rPr>
          <w:sz w:val="19"/>
        </w:rPr>
      </w:pPr>
      <w:r>
        <w:rPr>
          <w:w w:val="110"/>
          <w:sz w:val="19"/>
        </w:rPr>
        <w:t>desestabilizar </w:t>
      </w:r>
      <w:r>
        <w:rPr>
          <w:spacing w:val="-11"/>
          <w:w w:val="110"/>
          <w:sz w:val="19"/>
        </w:rPr>
        <w:t>y, </w:t>
      </w:r>
      <w:r>
        <w:rPr>
          <w:w w:val="110"/>
          <w:sz w:val="19"/>
        </w:rPr>
        <w:t>donde y cuando le resultó posible, derrocar por medios predominantemente “institucionales” a aquellos gobiernos latinoamericanos y caribeños genéricamente califi- cados como “anti-estadounidenses”. En particular, aunque no únicamente –como se demostró en Paraguay– a los gobiernos que eran (como fue el caso de Honduras hasta mediados de 2009) o todavía son miembros plenos de la alianza bolivariana para los Pueblos de Nuestra américa-tratado de Comercio en- tre   los   Pueblos</w:t>
      </w:r>
      <w:r>
        <w:rPr>
          <w:spacing w:val="26"/>
          <w:w w:val="110"/>
          <w:sz w:val="19"/>
        </w:rPr>
        <w:t> </w:t>
      </w:r>
      <w:r>
        <w:rPr>
          <w:w w:val="110"/>
          <w:sz w:val="19"/>
        </w:rPr>
        <w:t>(alba-tCP);</w:t>
      </w:r>
    </w:p>
    <w:p>
      <w:pPr>
        <w:pStyle w:val="BodyText"/>
        <w:spacing w:before="7"/>
        <w:rPr>
          <w:sz w:val="24"/>
        </w:rPr>
      </w:pPr>
      <w:r>
        <w:rPr/>
        <w:pict>
          <v:line style="position:absolute;mso-position-horizontal-relative:page;mso-position-vertical-relative:paragraph;z-index:7816;mso-wrap-distance-left:0;mso-wrap-distance-right:0" from="51.023602pt,16.650234pt" to="79.369602pt,16.650234pt" stroked="true" strokeweight=".5pt" strokecolor="#000000">
            <w10:wrap type="topAndBottom"/>
          </v:line>
        </w:pict>
      </w:r>
    </w:p>
    <w:p>
      <w:pPr>
        <w:pStyle w:val="ListParagraph"/>
        <w:numPr>
          <w:ilvl w:val="1"/>
          <w:numId w:val="32"/>
        </w:numPr>
        <w:tabs>
          <w:tab w:pos="376" w:val="left" w:leader="none"/>
        </w:tabs>
        <w:spacing w:line="242" w:lineRule="auto" w:before="89" w:after="0"/>
        <w:ind w:left="120" w:right="328" w:firstLine="0"/>
        <w:jc w:val="both"/>
        <w:rPr>
          <w:sz w:val="16"/>
        </w:rPr>
      </w:pPr>
      <w:r>
        <w:rPr>
          <w:w w:val="110"/>
          <w:sz w:val="16"/>
        </w:rPr>
        <w:t>durante</w:t>
      </w:r>
      <w:r>
        <w:rPr>
          <w:spacing w:val="-6"/>
          <w:w w:val="110"/>
          <w:sz w:val="16"/>
        </w:rPr>
        <w:t> </w:t>
      </w:r>
      <w:r>
        <w:rPr>
          <w:w w:val="110"/>
          <w:sz w:val="16"/>
        </w:rPr>
        <w:t>los</w:t>
      </w:r>
      <w:r>
        <w:rPr>
          <w:spacing w:val="-6"/>
          <w:w w:val="110"/>
          <w:sz w:val="16"/>
        </w:rPr>
        <w:t> </w:t>
      </w:r>
      <w:r>
        <w:rPr>
          <w:w w:val="110"/>
          <w:sz w:val="16"/>
        </w:rPr>
        <w:t>intercambios</w:t>
      </w:r>
      <w:r>
        <w:rPr>
          <w:spacing w:val="-6"/>
          <w:w w:val="110"/>
          <w:sz w:val="16"/>
        </w:rPr>
        <w:t> </w:t>
      </w:r>
      <w:r>
        <w:rPr>
          <w:w w:val="110"/>
          <w:sz w:val="16"/>
        </w:rPr>
        <w:t>efectuados</w:t>
      </w:r>
      <w:r>
        <w:rPr>
          <w:spacing w:val="-6"/>
          <w:w w:val="110"/>
          <w:sz w:val="16"/>
        </w:rPr>
        <w:t> </w:t>
      </w:r>
      <w:r>
        <w:rPr>
          <w:w w:val="110"/>
          <w:sz w:val="16"/>
        </w:rPr>
        <w:t>con</w:t>
      </w:r>
      <w:r>
        <w:rPr>
          <w:spacing w:val="-6"/>
          <w:w w:val="110"/>
          <w:sz w:val="16"/>
        </w:rPr>
        <w:t> </w:t>
      </w:r>
      <w:r>
        <w:rPr>
          <w:w w:val="110"/>
          <w:sz w:val="16"/>
        </w:rPr>
        <w:t>los</w:t>
      </w:r>
      <w:r>
        <w:rPr>
          <w:spacing w:val="-6"/>
          <w:w w:val="110"/>
          <w:sz w:val="16"/>
        </w:rPr>
        <w:t> </w:t>
      </w:r>
      <w:r>
        <w:rPr>
          <w:w w:val="110"/>
          <w:sz w:val="16"/>
        </w:rPr>
        <w:t>colegas</w:t>
      </w:r>
      <w:r>
        <w:rPr>
          <w:spacing w:val="-6"/>
          <w:w w:val="110"/>
          <w:sz w:val="16"/>
        </w:rPr>
        <w:t> </w:t>
      </w:r>
      <w:r>
        <w:rPr>
          <w:w w:val="110"/>
          <w:sz w:val="16"/>
        </w:rPr>
        <w:t>estadounidenses</w:t>
      </w:r>
      <w:r>
        <w:rPr>
          <w:spacing w:val="-6"/>
          <w:w w:val="110"/>
          <w:sz w:val="16"/>
        </w:rPr>
        <w:t> </w:t>
      </w:r>
      <w:r>
        <w:rPr>
          <w:w w:val="110"/>
          <w:sz w:val="16"/>
        </w:rPr>
        <w:t>menciona- dos al comienzo de este ensayo, una de sus críticas más frecuentes a mis enfoques </w:t>
      </w:r>
      <w:r>
        <w:rPr>
          <w:spacing w:val="-1"/>
          <w:w w:val="108"/>
          <w:sz w:val="16"/>
        </w:rPr>
        <w:t>fu</w:t>
      </w:r>
      <w:r>
        <w:rPr>
          <w:w w:val="108"/>
          <w:sz w:val="16"/>
        </w:rPr>
        <w:t>e</w:t>
      </w:r>
      <w:r>
        <w:rPr>
          <w:sz w:val="16"/>
        </w:rPr>
        <w:t> </w:t>
      </w:r>
      <w:r>
        <w:rPr>
          <w:spacing w:val="-11"/>
          <w:sz w:val="16"/>
        </w:rPr>
        <w:t> </w:t>
      </w:r>
      <w:r>
        <w:rPr>
          <w:spacing w:val="-1"/>
          <w:w w:val="109"/>
          <w:sz w:val="16"/>
        </w:rPr>
        <w:t>l</w:t>
      </w:r>
      <w:r>
        <w:rPr>
          <w:w w:val="109"/>
          <w:sz w:val="16"/>
        </w:rPr>
        <w:t>a</w:t>
      </w:r>
      <w:r>
        <w:rPr>
          <w:sz w:val="16"/>
        </w:rPr>
        <w:t> </w:t>
      </w:r>
      <w:r>
        <w:rPr>
          <w:spacing w:val="-11"/>
          <w:sz w:val="16"/>
        </w:rPr>
        <w:t> </w:t>
      </w:r>
      <w:r>
        <w:rPr>
          <w:spacing w:val="-1"/>
          <w:w w:val="105"/>
          <w:sz w:val="16"/>
        </w:rPr>
        <w:t>excesiv</w:t>
      </w:r>
      <w:r>
        <w:rPr>
          <w:w w:val="105"/>
          <w:sz w:val="16"/>
        </w:rPr>
        <w:t>a</w:t>
      </w:r>
      <w:r>
        <w:rPr>
          <w:sz w:val="16"/>
        </w:rPr>
        <w:t> </w:t>
      </w:r>
      <w:r>
        <w:rPr>
          <w:spacing w:val="-11"/>
          <w:sz w:val="16"/>
        </w:rPr>
        <w:t> </w:t>
      </w:r>
      <w:r>
        <w:rPr>
          <w:spacing w:val="-1"/>
          <w:w w:val="108"/>
          <w:sz w:val="16"/>
        </w:rPr>
        <w:t>coherenci</w:t>
      </w:r>
      <w:r>
        <w:rPr>
          <w:w w:val="108"/>
          <w:sz w:val="16"/>
        </w:rPr>
        <w:t>a</w:t>
      </w:r>
      <w:r>
        <w:rPr>
          <w:sz w:val="16"/>
        </w:rPr>
        <w:t> </w:t>
      </w:r>
      <w:r>
        <w:rPr>
          <w:spacing w:val="-11"/>
          <w:sz w:val="16"/>
        </w:rPr>
        <w:t> </w:t>
      </w:r>
      <w:r>
        <w:rPr>
          <w:spacing w:val="-1"/>
          <w:w w:val="106"/>
          <w:sz w:val="16"/>
        </w:rPr>
        <w:t>qu</w:t>
      </w:r>
      <w:r>
        <w:rPr>
          <w:w w:val="106"/>
          <w:sz w:val="16"/>
        </w:rPr>
        <w:t>e</w:t>
      </w:r>
      <w:r>
        <w:rPr>
          <w:sz w:val="16"/>
        </w:rPr>
        <w:t> </w:t>
      </w:r>
      <w:r>
        <w:rPr>
          <w:spacing w:val="-11"/>
          <w:sz w:val="16"/>
        </w:rPr>
        <w:t> </w:t>
      </w:r>
      <w:r>
        <w:rPr>
          <w:spacing w:val="-1"/>
          <w:w w:val="104"/>
          <w:sz w:val="16"/>
        </w:rPr>
        <w:t>l</w:t>
      </w:r>
      <w:r>
        <w:rPr>
          <w:w w:val="104"/>
          <w:sz w:val="16"/>
        </w:rPr>
        <w:t>e</w:t>
      </w:r>
      <w:r>
        <w:rPr>
          <w:sz w:val="16"/>
        </w:rPr>
        <w:t> </w:t>
      </w:r>
      <w:r>
        <w:rPr>
          <w:spacing w:val="-11"/>
          <w:sz w:val="16"/>
        </w:rPr>
        <w:t> </w:t>
      </w:r>
      <w:r>
        <w:rPr>
          <w:spacing w:val="-1"/>
          <w:w w:val="107"/>
          <w:sz w:val="16"/>
        </w:rPr>
        <w:t>atribuy</w:t>
      </w:r>
      <w:r>
        <w:rPr>
          <w:w w:val="107"/>
          <w:sz w:val="16"/>
        </w:rPr>
        <w:t>o</w:t>
      </w:r>
      <w:r>
        <w:rPr>
          <w:sz w:val="16"/>
        </w:rPr>
        <w:t> </w:t>
      </w:r>
      <w:r>
        <w:rPr>
          <w:spacing w:val="-11"/>
          <w:sz w:val="16"/>
        </w:rPr>
        <w:t> </w:t>
      </w:r>
      <w:r>
        <w:rPr>
          <w:w w:val="109"/>
          <w:sz w:val="16"/>
        </w:rPr>
        <w:t>a</w:t>
      </w:r>
      <w:r>
        <w:rPr>
          <w:sz w:val="16"/>
        </w:rPr>
        <w:t> </w:t>
      </w:r>
      <w:r>
        <w:rPr>
          <w:spacing w:val="-11"/>
          <w:sz w:val="16"/>
        </w:rPr>
        <w:t> </w:t>
      </w:r>
      <w:r>
        <w:rPr>
          <w:spacing w:val="-1"/>
          <w:w w:val="107"/>
          <w:sz w:val="16"/>
        </w:rPr>
        <w:t>la</w:t>
      </w:r>
      <w:r>
        <w:rPr>
          <w:w w:val="107"/>
          <w:sz w:val="16"/>
        </w:rPr>
        <w:t>s</w:t>
      </w:r>
      <w:r>
        <w:rPr>
          <w:sz w:val="16"/>
        </w:rPr>
        <w:t> </w:t>
      </w:r>
      <w:r>
        <w:rPr>
          <w:spacing w:val="-11"/>
          <w:sz w:val="16"/>
        </w:rPr>
        <w:t> </w:t>
      </w:r>
      <w:r>
        <w:rPr>
          <w:spacing w:val="-1"/>
          <w:w w:val="108"/>
          <w:sz w:val="16"/>
        </w:rPr>
        <w:t>política</w:t>
      </w:r>
      <w:r>
        <w:rPr>
          <w:w w:val="108"/>
          <w:sz w:val="16"/>
        </w:rPr>
        <w:t>s</w:t>
      </w:r>
      <w:r>
        <w:rPr>
          <w:sz w:val="16"/>
        </w:rPr>
        <w:t> </w:t>
      </w:r>
      <w:r>
        <w:rPr>
          <w:spacing w:val="-11"/>
          <w:sz w:val="16"/>
        </w:rPr>
        <w:t> </w:t>
      </w:r>
      <w:r>
        <w:rPr>
          <w:spacing w:val="-1"/>
          <w:w w:val="111"/>
          <w:sz w:val="16"/>
        </w:rPr>
        <w:t>haci</w:t>
      </w:r>
      <w:r>
        <w:rPr>
          <w:w w:val="111"/>
          <w:sz w:val="16"/>
        </w:rPr>
        <w:t>a</w:t>
      </w:r>
      <w:r>
        <w:rPr>
          <w:sz w:val="16"/>
        </w:rPr>
        <w:t> </w:t>
      </w:r>
      <w:r>
        <w:rPr>
          <w:spacing w:val="-11"/>
          <w:sz w:val="16"/>
        </w:rPr>
        <w:t> </w:t>
      </w:r>
      <w:r>
        <w:rPr>
          <w:spacing w:val="-1"/>
          <w:w w:val="136"/>
          <w:sz w:val="16"/>
        </w:rPr>
        <w:t>a</w:t>
      </w:r>
      <w:r>
        <w:rPr>
          <w:spacing w:val="-1"/>
          <w:w w:val="108"/>
          <w:sz w:val="16"/>
        </w:rPr>
        <w:t>méric</w:t>
      </w:r>
      <w:r>
        <w:rPr>
          <w:w w:val="108"/>
          <w:sz w:val="16"/>
        </w:rPr>
        <w:t>a</w:t>
      </w:r>
      <w:r>
        <w:rPr>
          <w:sz w:val="16"/>
        </w:rPr>
        <w:t> </w:t>
      </w:r>
      <w:r>
        <w:rPr>
          <w:spacing w:val="-11"/>
          <w:sz w:val="16"/>
        </w:rPr>
        <w:t> </w:t>
      </w:r>
      <w:r>
        <w:rPr>
          <w:spacing w:val="-1"/>
          <w:w w:val="238"/>
          <w:sz w:val="16"/>
        </w:rPr>
        <w:t>l</w:t>
      </w:r>
      <w:r>
        <w:rPr>
          <w:spacing w:val="-1"/>
          <w:w w:val="109"/>
          <w:sz w:val="16"/>
        </w:rPr>
        <w:t>atin</w:t>
      </w:r>
      <w:r>
        <w:rPr>
          <w:w w:val="109"/>
          <w:sz w:val="16"/>
        </w:rPr>
        <w:t>a</w:t>
      </w:r>
      <w:r>
        <w:rPr>
          <w:sz w:val="16"/>
        </w:rPr>
        <w:t> </w:t>
      </w:r>
      <w:r>
        <w:rPr>
          <w:spacing w:val="-11"/>
          <w:sz w:val="16"/>
        </w:rPr>
        <w:t> </w:t>
      </w:r>
      <w:r>
        <w:rPr>
          <w:w w:val="102"/>
          <w:sz w:val="16"/>
        </w:rPr>
        <w:t>y</w:t>
      </w:r>
      <w:r>
        <w:rPr>
          <w:sz w:val="16"/>
        </w:rPr>
        <w:t> </w:t>
      </w:r>
      <w:r>
        <w:rPr>
          <w:spacing w:val="-11"/>
          <w:sz w:val="16"/>
        </w:rPr>
        <w:t> </w:t>
      </w:r>
      <w:r>
        <w:rPr>
          <w:spacing w:val="-1"/>
          <w:w w:val="104"/>
          <w:sz w:val="16"/>
        </w:rPr>
        <w:t>el </w:t>
      </w:r>
      <w:r>
        <w:rPr>
          <w:w w:val="110"/>
          <w:sz w:val="16"/>
        </w:rPr>
        <w:t>Caribe desplegadas por la primera administración de barack obama. sin negar las incoherencias que las han caracterizado y la contradictoria influencia que en éstas han</w:t>
      </w:r>
      <w:r>
        <w:rPr>
          <w:spacing w:val="-22"/>
          <w:w w:val="110"/>
          <w:sz w:val="16"/>
        </w:rPr>
        <w:t> </w:t>
      </w:r>
      <w:r>
        <w:rPr>
          <w:w w:val="110"/>
          <w:sz w:val="16"/>
        </w:rPr>
        <w:t>tenido</w:t>
      </w:r>
      <w:r>
        <w:rPr>
          <w:spacing w:val="-22"/>
          <w:w w:val="110"/>
          <w:sz w:val="16"/>
        </w:rPr>
        <w:t> </w:t>
      </w:r>
      <w:r>
        <w:rPr>
          <w:w w:val="110"/>
          <w:sz w:val="16"/>
        </w:rPr>
        <w:t>y</w:t>
      </w:r>
      <w:r>
        <w:rPr>
          <w:spacing w:val="-22"/>
          <w:w w:val="110"/>
          <w:sz w:val="16"/>
        </w:rPr>
        <w:t> </w:t>
      </w:r>
      <w:r>
        <w:rPr>
          <w:w w:val="110"/>
          <w:sz w:val="16"/>
        </w:rPr>
        <w:t>seguramente</w:t>
      </w:r>
      <w:r>
        <w:rPr>
          <w:spacing w:val="-22"/>
          <w:w w:val="110"/>
          <w:sz w:val="16"/>
        </w:rPr>
        <w:t> </w:t>
      </w:r>
      <w:r>
        <w:rPr>
          <w:w w:val="110"/>
          <w:sz w:val="16"/>
        </w:rPr>
        <w:t>tendrán</w:t>
      </w:r>
      <w:r>
        <w:rPr>
          <w:spacing w:val="-22"/>
          <w:w w:val="110"/>
          <w:sz w:val="16"/>
        </w:rPr>
        <w:t> </w:t>
      </w:r>
      <w:r>
        <w:rPr>
          <w:w w:val="110"/>
          <w:sz w:val="16"/>
        </w:rPr>
        <w:t>las</w:t>
      </w:r>
      <w:r>
        <w:rPr>
          <w:spacing w:val="-22"/>
          <w:w w:val="110"/>
          <w:sz w:val="16"/>
        </w:rPr>
        <w:t> </w:t>
      </w:r>
      <w:r>
        <w:rPr>
          <w:w w:val="110"/>
          <w:sz w:val="16"/>
        </w:rPr>
        <w:t>presiones</w:t>
      </w:r>
      <w:r>
        <w:rPr>
          <w:spacing w:val="-22"/>
          <w:w w:val="110"/>
          <w:sz w:val="16"/>
        </w:rPr>
        <w:t> </w:t>
      </w:r>
      <w:r>
        <w:rPr>
          <w:w w:val="110"/>
          <w:sz w:val="16"/>
        </w:rPr>
        <w:t>provenientes</w:t>
      </w:r>
      <w:r>
        <w:rPr>
          <w:spacing w:val="-22"/>
          <w:w w:val="110"/>
          <w:sz w:val="16"/>
        </w:rPr>
        <w:t> </w:t>
      </w:r>
      <w:r>
        <w:rPr>
          <w:w w:val="110"/>
          <w:sz w:val="16"/>
        </w:rPr>
        <w:t>de</w:t>
      </w:r>
      <w:r>
        <w:rPr>
          <w:spacing w:val="-22"/>
          <w:w w:val="110"/>
          <w:sz w:val="16"/>
        </w:rPr>
        <w:t> </w:t>
      </w:r>
      <w:r>
        <w:rPr>
          <w:w w:val="110"/>
          <w:sz w:val="16"/>
        </w:rPr>
        <w:t>diversos</w:t>
      </w:r>
      <w:r>
        <w:rPr>
          <w:spacing w:val="-22"/>
          <w:w w:val="110"/>
          <w:sz w:val="16"/>
        </w:rPr>
        <w:t> </w:t>
      </w:r>
      <w:r>
        <w:rPr>
          <w:w w:val="110"/>
          <w:sz w:val="16"/>
        </w:rPr>
        <w:t>estamentos de la burocracia estatal, al igual que de los disímiles sectores de los partidos demó- crata</w:t>
      </w:r>
      <w:r>
        <w:rPr>
          <w:spacing w:val="-5"/>
          <w:w w:val="110"/>
          <w:sz w:val="16"/>
        </w:rPr>
        <w:t> </w:t>
      </w:r>
      <w:r>
        <w:rPr>
          <w:w w:val="110"/>
          <w:sz w:val="16"/>
        </w:rPr>
        <w:t>y</w:t>
      </w:r>
      <w:r>
        <w:rPr>
          <w:spacing w:val="-5"/>
          <w:w w:val="110"/>
          <w:sz w:val="16"/>
        </w:rPr>
        <w:t> </w:t>
      </w:r>
      <w:r>
        <w:rPr>
          <w:w w:val="110"/>
          <w:sz w:val="16"/>
        </w:rPr>
        <w:t>republicano,</w:t>
      </w:r>
      <w:r>
        <w:rPr>
          <w:spacing w:val="-5"/>
          <w:w w:val="110"/>
          <w:sz w:val="16"/>
        </w:rPr>
        <w:t> </w:t>
      </w:r>
      <w:r>
        <w:rPr>
          <w:w w:val="110"/>
          <w:sz w:val="16"/>
        </w:rPr>
        <w:t>así</w:t>
      </w:r>
      <w:r>
        <w:rPr>
          <w:spacing w:val="-5"/>
          <w:w w:val="110"/>
          <w:sz w:val="16"/>
        </w:rPr>
        <w:t> </w:t>
      </w:r>
      <w:r>
        <w:rPr>
          <w:w w:val="110"/>
          <w:sz w:val="16"/>
        </w:rPr>
        <w:t>como</w:t>
      </w:r>
      <w:r>
        <w:rPr>
          <w:spacing w:val="-5"/>
          <w:w w:val="110"/>
          <w:sz w:val="16"/>
        </w:rPr>
        <w:t> </w:t>
      </w:r>
      <w:r>
        <w:rPr>
          <w:w w:val="110"/>
          <w:sz w:val="16"/>
        </w:rPr>
        <w:t>de</w:t>
      </w:r>
      <w:r>
        <w:rPr>
          <w:spacing w:val="-5"/>
          <w:w w:val="110"/>
          <w:sz w:val="16"/>
        </w:rPr>
        <w:t> </w:t>
      </w:r>
      <w:r>
        <w:rPr>
          <w:w w:val="110"/>
          <w:sz w:val="16"/>
        </w:rPr>
        <w:t>otros</w:t>
      </w:r>
      <w:r>
        <w:rPr>
          <w:spacing w:val="-5"/>
          <w:w w:val="110"/>
          <w:sz w:val="16"/>
        </w:rPr>
        <w:t> </w:t>
      </w:r>
      <w:r>
        <w:rPr>
          <w:w w:val="110"/>
          <w:sz w:val="16"/>
        </w:rPr>
        <w:t>“grupos</w:t>
      </w:r>
      <w:r>
        <w:rPr>
          <w:spacing w:val="-5"/>
          <w:w w:val="110"/>
          <w:sz w:val="16"/>
        </w:rPr>
        <w:t> </w:t>
      </w:r>
      <w:r>
        <w:rPr>
          <w:w w:val="110"/>
          <w:sz w:val="16"/>
        </w:rPr>
        <w:t>de</w:t>
      </w:r>
      <w:r>
        <w:rPr>
          <w:spacing w:val="-5"/>
          <w:w w:val="110"/>
          <w:sz w:val="16"/>
        </w:rPr>
        <w:t> </w:t>
      </w:r>
      <w:r>
        <w:rPr>
          <w:w w:val="110"/>
          <w:sz w:val="16"/>
        </w:rPr>
        <w:t>interés”</w:t>
      </w:r>
      <w:r>
        <w:rPr>
          <w:spacing w:val="-5"/>
          <w:w w:val="110"/>
          <w:sz w:val="16"/>
        </w:rPr>
        <w:t> </w:t>
      </w:r>
      <w:r>
        <w:rPr>
          <w:w w:val="110"/>
          <w:sz w:val="16"/>
        </w:rPr>
        <w:t>que</w:t>
      </w:r>
      <w:r>
        <w:rPr>
          <w:spacing w:val="-5"/>
          <w:w w:val="110"/>
          <w:sz w:val="16"/>
        </w:rPr>
        <w:t> </w:t>
      </w:r>
      <w:r>
        <w:rPr>
          <w:w w:val="110"/>
          <w:sz w:val="16"/>
        </w:rPr>
        <w:t>actúan</w:t>
      </w:r>
      <w:r>
        <w:rPr>
          <w:spacing w:val="-5"/>
          <w:w w:val="110"/>
          <w:sz w:val="16"/>
        </w:rPr>
        <w:t> </w:t>
      </w:r>
      <w:r>
        <w:rPr>
          <w:w w:val="110"/>
          <w:sz w:val="16"/>
        </w:rPr>
        <w:t>en</w:t>
      </w:r>
      <w:r>
        <w:rPr>
          <w:spacing w:val="-5"/>
          <w:w w:val="110"/>
          <w:sz w:val="16"/>
        </w:rPr>
        <w:t> </w:t>
      </w:r>
      <w:r>
        <w:rPr>
          <w:w w:val="110"/>
          <w:sz w:val="16"/>
        </w:rPr>
        <w:t>la</w:t>
      </w:r>
      <w:r>
        <w:rPr>
          <w:spacing w:val="-5"/>
          <w:w w:val="110"/>
          <w:sz w:val="16"/>
        </w:rPr>
        <w:t> </w:t>
      </w:r>
      <w:r>
        <w:rPr>
          <w:w w:val="110"/>
          <w:sz w:val="16"/>
        </w:rPr>
        <w:t>sociedad política</w:t>
      </w:r>
      <w:r>
        <w:rPr>
          <w:spacing w:val="-9"/>
          <w:w w:val="110"/>
          <w:sz w:val="16"/>
        </w:rPr>
        <w:t> </w:t>
      </w:r>
      <w:r>
        <w:rPr>
          <w:w w:val="110"/>
          <w:sz w:val="16"/>
        </w:rPr>
        <w:t>y</w:t>
      </w:r>
      <w:r>
        <w:rPr>
          <w:spacing w:val="-9"/>
          <w:w w:val="110"/>
          <w:sz w:val="16"/>
        </w:rPr>
        <w:t> </w:t>
      </w:r>
      <w:r>
        <w:rPr>
          <w:w w:val="110"/>
          <w:sz w:val="16"/>
        </w:rPr>
        <w:t>civil</w:t>
      </w:r>
      <w:r>
        <w:rPr>
          <w:spacing w:val="-9"/>
          <w:w w:val="110"/>
          <w:sz w:val="16"/>
        </w:rPr>
        <w:t> </w:t>
      </w:r>
      <w:r>
        <w:rPr>
          <w:w w:val="110"/>
          <w:sz w:val="16"/>
        </w:rPr>
        <w:t>estadounidense,</w:t>
      </w:r>
      <w:r>
        <w:rPr>
          <w:spacing w:val="-9"/>
          <w:w w:val="110"/>
          <w:sz w:val="16"/>
        </w:rPr>
        <w:t> </w:t>
      </w:r>
      <w:r>
        <w:rPr>
          <w:w w:val="110"/>
          <w:sz w:val="16"/>
        </w:rPr>
        <w:t>sigo</w:t>
      </w:r>
      <w:r>
        <w:rPr>
          <w:spacing w:val="-9"/>
          <w:w w:val="110"/>
          <w:sz w:val="16"/>
        </w:rPr>
        <w:t> </w:t>
      </w:r>
      <w:r>
        <w:rPr>
          <w:w w:val="110"/>
          <w:sz w:val="16"/>
        </w:rPr>
        <w:t>considerando</w:t>
      </w:r>
      <w:r>
        <w:rPr>
          <w:spacing w:val="-9"/>
          <w:w w:val="110"/>
          <w:sz w:val="16"/>
        </w:rPr>
        <w:t> </w:t>
      </w:r>
      <w:r>
        <w:rPr>
          <w:w w:val="110"/>
          <w:sz w:val="16"/>
        </w:rPr>
        <w:t>válida</w:t>
      </w:r>
      <w:r>
        <w:rPr>
          <w:spacing w:val="-9"/>
          <w:w w:val="110"/>
          <w:sz w:val="16"/>
        </w:rPr>
        <w:t> </w:t>
      </w:r>
      <w:r>
        <w:rPr>
          <w:w w:val="110"/>
          <w:sz w:val="16"/>
        </w:rPr>
        <w:t>la</w:t>
      </w:r>
      <w:r>
        <w:rPr>
          <w:spacing w:val="-9"/>
          <w:w w:val="110"/>
          <w:sz w:val="16"/>
        </w:rPr>
        <w:t> </w:t>
      </w:r>
      <w:r>
        <w:rPr>
          <w:w w:val="110"/>
          <w:sz w:val="16"/>
        </w:rPr>
        <w:t>síntesis</w:t>
      </w:r>
      <w:r>
        <w:rPr>
          <w:spacing w:val="-9"/>
          <w:w w:val="110"/>
          <w:sz w:val="16"/>
        </w:rPr>
        <w:t> </w:t>
      </w:r>
      <w:r>
        <w:rPr>
          <w:w w:val="110"/>
          <w:sz w:val="16"/>
        </w:rPr>
        <w:t>que</w:t>
      </w:r>
      <w:r>
        <w:rPr>
          <w:spacing w:val="-9"/>
          <w:w w:val="110"/>
          <w:sz w:val="16"/>
        </w:rPr>
        <w:t> </w:t>
      </w:r>
      <w:r>
        <w:rPr>
          <w:w w:val="110"/>
          <w:sz w:val="16"/>
        </w:rPr>
        <w:t>realizo</w:t>
      </w:r>
      <w:r>
        <w:rPr>
          <w:spacing w:val="-9"/>
          <w:w w:val="110"/>
          <w:sz w:val="16"/>
        </w:rPr>
        <w:t> </w:t>
      </w:r>
      <w:r>
        <w:rPr>
          <w:w w:val="110"/>
          <w:sz w:val="16"/>
        </w:rPr>
        <w:t>de</w:t>
      </w:r>
      <w:r>
        <w:rPr>
          <w:spacing w:val="-9"/>
          <w:w w:val="110"/>
          <w:sz w:val="16"/>
        </w:rPr>
        <w:t> </w:t>
      </w:r>
      <w:r>
        <w:rPr>
          <w:w w:val="110"/>
          <w:sz w:val="16"/>
        </w:rPr>
        <w:t>los </w:t>
      </w:r>
      <w:r>
        <w:rPr>
          <w:w w:val="105"/>
          <w:sz w:val="16"/>
        </w:rPr>
        <w:t>objetivos</w:t>
      </w:r>
      <w:r>
        <w:rPr>
          <w:spacing w:val="-4"/>
          <w:w w:val="105"/>
          <w:sz w:val="16"/>
        </w:rPr>
        <w:t> </w:t>
      </w:r>
      <w:r>
        <w:rPr>
          <w:w w:val="105"/>
          <w:sz w:val="16"/>
        </w:rPr>
        <w:t>estratégicos</w:t>
      </w:r>
      <w:r>
        <w:rPr>
          <w:spacing w:val="-4"/>
          <w:w w:val="105"/>
          <w:sz w:val="16"/>
        </w:rPr>
        <w:t> </w:t>
      </w:r>
      <w:r>
        <w:rPr>
          <w:w w:val="105"/>
          <w:sz w:val="16"/>
        </w:rPr>
        <w:t>y</w:t>
      </w:r>
      <w:r>
        <w:rPr>
          <w:spacing w:val="-4"/>
          <w:w w:val="105"/>
          <w:sz w:val="16"/>
        </w:rPr>
        <w:t> </w:t>
      </w:r>
      <w:r>
        <w:rPr>
          <w:w w:val="105"/>
          <w:sz w:val="16"/>
        </w:rPr>
        <w:t>generales</w:t>
      </w:r>
      <w:r>
        <w:rPr>
          <w:spacing w:val="-4"/>
          <w:w w:val="105"/>
          <w:sz w:val="16"/>
        </w:rPr>
        <w:t> </w:t>
      </w:r>
      <w:r>
        <w:rPr>
          <w:w w:val="105"/>
          <w:sz w:val="16"/>
        </w:rPr>
        <w:t>de</w:t>
      </w:r>
      <w:r>
        <w:rPr>
          <w:spacing w:val="-4"/>
          <w:w w:val="105"/>
          <w:sz w:val="16"/>
        </w:rPr>
        <w:t> </w:t>
      </w:r>
      <w:r>
        <w:rPr>
          <w:w w:val="105"/>
          <w:sz w:val="16"/>
        </w:rPr>
        <w:t>las</w:t>
      </w:r>
      <w:r>
        <w:rPr>
          <w:spacing w:val="-4"/>
          <w:w w:val="105"/>
          <w:sz w:val="16"/>
        </w:rPr>
        <w:t> </w:t>
      </w:r>
      <w:r>
        <w:rPr>
          <w:w w:val="105"/>
          <w:sz w:val="16"/>
        </w:rPr>
        <w:t>diversas</w:t>
      </w:r>
      <w:r>
        <w:rPr>
          <w:spacing w:val="-4"/>
          <w:w w:val="105"/>
          <w:sz w:val="16"/>
        </w:rPr>
        <w:t> </w:t>
      </w:r>
      <w:r>
        <w:rPr>
          <w:w w:val="105"/>
          <w:sz w:val="16"/>
        </w:rPr>
        <w:t>estrategias</w:t>
      </w:r>
      <w:r>
        <w:rPr>
          <w:spacing w:val="-4"/>
          <w:w w:val="105"/>
          <w:sz w:val="16"/>
        </w:rPr>
        <w:t> </w:t>
      </w:r>
      <w:r>
        <w:rPr>
          <w:w w:val="105"/>
          <w:sz w:val="16"/>
        </w:rPr>
        <w:t>desplegadas</w:t>
      </w:r>
      <w:r>
        <w:rPr>
          <w:spacing w:val="-4"/>
          <w:w w:val="105"/>
          <w:sz w:val="16"/>
        </w:rPr>
        <w:t> </w:t>
      </w:r>
      <w:r>
        <w:rPr>
          <w:w w:val="105"/>
          <w:sz w:val="16"/>
        </w:rPr>
        <w:t>durante</w:t>
      </w:r>
      <w:r>
        <w:rPr>
          <w:spacing w:val="-4"/>
          <w:w w:val="105"/>
          <w:sz w:val="16"/>
        </w:rPr>
        <w:t> </w:t>
      </w:r>
      <w:r>
        <w:rPr>
          <w:w w:val="105"/>
          <w:sz w:val="16"/>
        </w:rPr>
        <w:t>2009 </w:t>
      </w:r>
      <w:r>
        <w:rPr>
          <w:w w:val="110"/>
          <w:sz w:val="16"/>
        </w:rPr>
        <w:t>y</w:t>
      </w:r>
      <w:r>
        <w:rPr>
          <w:spacing w:val="-7"/>
          <w:w w:val="110"/>
          <w:sz w:val="16"/>
        </w:rPr>
        <w:t> </w:t>
      </w:r>
      <w:r>
        <w:rPr>
          <w:w w:val="110"/>
          <w:sz w:val="16"/>
        </w:rPr>
        <w:t>2013</w:t>
      </w:r>
      <w:r>
        <w:rPr>
          <w:spacing w:val="-7"/>
          <w:w w:val="110"/>
          <w:sz w:val="16"/>
        </w:rPr>
        <w:t> </w:t>
      </w:r>
      <w:r>
        <w:rPr>
          <w:w w:val="110"/>
          <w:sz w:val="16"/>
        </w:rPr>
        <w:t>por</w:t>
      </w:r>
      <w:r>
        <w:rPr>
          <w:spacing w:val="-7"/>
          <w:w w:val="110"/>
          <w:sz w:val="16"/>
        </w:rPr>
        <w:t> </w:t>
      </w:r>
      <w:r>
        <w:rPr>
          <w:w w:val="110"/>
          <w:sz w:val="16"/>
        </w:rPr>
        <w:t>el</w:t>
      </w:r>
      <w:r>
        <w:rPr>
          <w:spacing w:val="-7"/>
          <w:w w:val="110"/>
          <w:sz w:val="16"/>
        </w:rPr>
        <w:t> </w:t>
      </w:r>
      <w:r>
        <w:rPr>
          <w:w w:val="110"/>
          <w:sz w:val="16"/>
        </w:rPr>
        <w:t>gobierno</w:t>
      </w:r>
      <w:r>
        <w:rPr>
          <w:spacing w:val="-7"/>
          <w:w w:val="110"/>
          <w:sz w:val="16"/>
        </w:rPr>
        <w:t> </w:t>
      </w:r>
      <w:r>
        <w:rPr>
          <w:w w:val="110"/>
          <w:sz w:val="16"/>
        </w:rPr>
        <w:t>permanente</w:t>
      </w:r>
      <w:r>
        <w:rPr>
          <w:spacing w:val="-7"/>
          <w:w w:val="110"/>
          <w:sz w:val="16"/>
        </w:rPr>
        <w:t> </w:t>
      </w:r>
      <w:r>
        <w:rPr>
          <w:w w:val="110"/>
          <w:sz w:val="16"/>
        </w:rPr>
        <w:t>y</w:t>
      </w:r>
      <w:r>
        <w:rPr>
          <w:spacing w:val="-7"/>
          <w:w w:val="110"/>
          <w:sz w:val="16"/>
        </w:rPr>
        <w:t> </w:t>
      </w:r>
      <w:r>
        <w:rPr>
          <w:w w:val="110"/>
          <w:sz w:val="16"/>
        </w:rPr>
        <w:t>por</w:t>
      </w:r>
      <w:r>
        <w:rPr>
          <w:spacing w:val="-7"/>
          <w:w w:val="110"/>
          <w:sz w:val="16"/>
        </w:rPr>
        <w:t> </w:t>
      </w:r>
      <w:r>
        <w:rPr>
          <w:w w:val="110"/>
          <w:sz w:val="16"/>
        </w:rPr>
        <w:t>el</w:t>
      </w:r>
      <w:r>
        <w:rPr>
          <w:spacing w:val="-7"/>
          <w:w w:val="110"/>
          <w:sz w:val="16"/>
        </w:rPr>
        <w:t> </w:t>
      </w:r>
      <w:r>
        <w:rPr>
          <w:w w:val="110"/>
          <w:sz w:val="16"/>
        </w:rPr>
        <w:t>actual</w:t>
      </w:r>
      <w:r>
        <w:rPr>
          <w:spacing w:val="-7"/>
          <w:w w:val="110"/>
          <w:sz w:val="16"/>
        </w:rPr>
        <w:t> </w:t>
      </w:r>
      <w:r>
        <w:rPr>
          <w:w w:val="110"/>
          <w:sz w:val="16"/>
        </w:rPr>
        <w:t>gobierno</w:t>
      </w:r>
      <w:r>
        <w:rPr>
          <w:spacing w:val="-7"/>
          <w:w w:val="110"/>
          <w:sz w:val="16"/>
        </w:rPr>
        <w:t> </w:t>
      </w:r>
      <w:r>
        <w:rPr>
          <w:w w:val="110"/>
          <w:sz w:val="16"/>
        </w:rPr>
        <w:t>temporal</w:t>
      </w:r>
      <w:r>
        <w:rPr>
          <w:spacing w:val="-7"/>
          <w:w w:val="110"/>
          <w:sz w:val="16"/>
        </w:rPr>
        <w:t> </w:t>
      </w:r>
      <w:r>
        <w:rPr>
          <w:w w:val="110"/>
          <w:sz w:val="16"/>
        </w:rPr>
        <w:t>de</w:t>
      </w:r>
      <w:r>
        <w:rPr>
          <w:spacing w:val="-7"/>
          <w:w w:val="110"/>
          <w:sz w:val="16"/>
        </w:rPr>
        <w:t> </w:t>
      </w:r>
      <w:r>
        <w:rPr>
          <w:w w:val="110"/>
          <w:sz w:val="16"/>
        </w:rPr>
        <w:t>ese</w:t>
      </w:r>
      <w:r>
        <w:rPr>
          <w:spacing w:val="-7"/>
          <w:w w:val="110"/>
          <w:sz w:val="16"/>
        </w:rPr>
        <w:t> </w:t>
      </w:r>
      <w:r>
        <w:rPr>
          <w:w w:val="110"/>
          <w:sz w:val="16"/>
        </w:rPr>
        <w:t>país;</w:t>
      </w:r>
      <w:r>
        <w:rPr>
          <w:spacing w:val="-7"/>
          <w:w w:val="110"/>
          <w:sz w:val="16"/>
        </w:rPr>
        <w:t> </w:t>
      </w:r>
      <w:r>
        <w:rPr>
          <w:w w:val="110"/>
          <w:sz w:val="16"/>
        </w:rPr>
        <w:t>en tanto,</w:t>
      </w:r>
      <w:r>
        <w:rPr>
          <w:spacing w:val="-18"/>
          <w:w w:val="110"/>
          <w:sz w:val="16"/>
        </w:rPr>
        <w:t> </w:t>
      </w:r>
      <w:r>
        <w:rPr>
          <w:w w:val="110"/>
          <w:sz w:val="16"/>
        </w:rPr>
        <w:t>como</w:t>
      </w:r>
      <w:r>
        <w:rPr>
          <w:spacing w:val="-18"/>
          <w:w w:val="110"/>
          <w:sz w:val="16"/>
        </w:rPr>
        <w:t> </w:t>
      </w:r>
      <w:r>
        <w:rPr>
          <w:w w:val="110"/>
          <w:sz w:val="16"/>
        </w:rPr>
        <w:t>en</w:t>
      </w:r>
      <w:r>
        <w:rPr>
          <w:spacing w:val="-18"/>
          <w:w w:val="110"/>
          <w:sz w:val="16"/>
        </w:rPr>
        <w:t> </w:t>
      </w:r>
      <w:r>
        <w:rPr>
          <w:w w:val="110"/>
          <w:sz w:val="16"/>
        </w:rPr>
        <w:t>otras</w:t>
      </w:r>
      <w:r>
        <w:rPr>
          <w:spacing w:val="-18"/>
          <w:w w:val="110"/>
          <w:sz w:val="16"/>
        </w:rPr>
        <w:t> </w:t>
      </w:r>
      <w:r>
        <w:rPr>
          <w:w w:val="110"/>
          <w:sz w:val="16"/>
        </w:rPr>
        <w:t>ocasiones</w:t>
      </w:r>
      <w:r>
        <w:rPr>
          <w:spacing w:val="-18"/>
          <w:w w:val="110"/>
          <w:sz w:val="16"/>
        </w:rPr>
        <w:t> </w:t>
      </w:r>
      <w:r>
        <w:rPr>
          <w:w w:val="110"/>
          <w:sz w:val="16"/>
        </w:rPr>
        <w:t>históricas,</w:t>
      </w:r>
      <w:r>
        <w:rPr>
          <w:spacing w:val="-18"/>
          <w:w w:val="110"/>
          <w:sz w:val="16"/>
        </w:rPr>
        <w:t> </w:t>
      </w:r>
      <w:r>
        <w:rPr>
          <w:w w:val="110"/>
          <w:sz w:val="16"/>
        </w:rPr>
        <w:t>estos</w:t>
      </w:r>
      <w:r>
        <w:rPr>
          <w:spacing w:val="-18"/>
          <w:w w:val="110"/>
          <w:sz w:val="16"/>
        </w:rPr>
        <w:t> </w:t>
      </w:r>
      <w:r>
        <w:rPr>
          <w:w w:val="110"/>
          <w:sz w:val="16"/>
        </w:rPr>
        <w:t>reflejan</w:t>
      </w:r>
      <w:r>
        <w:rPr>
          <w:spacing w:val="-18"/>
          <w:w w:val="110"/>
          <w:sz w:val="16"/>
        </w:rPr>
        <w:t> </w:t>
      </w:r>
      <w:r>
        <w:rPr>
          <w:w w:val="110"/>
          <w:sz w:val="16"/>
        </w:rPr>
        <w:t>los</w:t>
      </w:r>
      <w:r>
        <w:rPr>
          <w:spacing w:val="-18"/>
          <w:w w:val="110"/>
          <w:sz w:val="16"/>
        </w:rPr>
        <w:t> </w:t>
      </w:r>
      <w:r>
        <w:rPr>
          <w:w w:val="110"/>
          <w:sz w:val="16"/>
        </w:rPr>
        <w:t>principales</w:t>
      </w:r>
      <w:r>
        <w:rPr>
          <w:spacing w:val="-18"/>
          <w:w w:val="110"/>
          <w:sz w:val="16"/>
        </w:rPr>
        <w:t> </w:t>
      </w:r>
      <w:r>
        <w:rPr>
          <w:w w:val="110"/>
          <w:sz w:val="16"/>
        </w:rPr>
        <w:t>consensos</w:t>
      </w:r>
      <w:r>
        <w:rPr>
          <w:spacing w:val="-18"/>
          <w:w w:val="110"/>
          <w:sz w:val="16"/>
        </w:rPr>
        <w:t> </w:t>
      </w:r>
      <w:r>
        <w:rPr>
          <w:w w:val="110"/>
          <w:sz w:val="16"/>
        </w:rPr>
        <w:t>que existen</w:t>
      </w:r>
      <w:r>
        <w:rPr>
          <w:spacing w:val="-10"/>
          <w:w w:val="110"/>
          <w:sz w:val="16"/>
        </w:rPr>
        <w:t> </w:t>
      </w:r>
      <w:r>
        <w:rPr>
          <w:w w:val="110"/>
          <w:sz w:val="16"/>
        </w:rPr>
        <w:t>en</w:t>
      </w:r>
      <w:r>
        <w:rPr>
          <w:spacing w:val="-10"/>
          <w:w w:val="110"/>
          <w:sz w:val="16"/>
        </w:rPr>
        <w:t> </w:t>
      </w:r>
      <w:r>
        <w:rPr>
          <w:w w:val="110"/>
          <w:sz w:val="16"/>
        </w:rPr>
        <w:t>el</w:t>
      </w:r>
      <w:r>
        <w:rPr>
          <w:spacing w:val="-10"/>
          <w:w w:val="110"/>
          <w:sz w:val="16"/>
        </w:rPr>
        <w:t> </w:t>
      </w:r>
      <w:r>
        <w:rPr>
          <w:w w:val="110"/>
          <w:sz w:val="16"/>
        </w:rPr>
        <w:t>sistema</w:t>
      </w:r>
      <w:r>
        <w:rPr>
          <w:spacing w:val="-10"/>
          <w:w w:val="110"/>
          <w:sz w:val="16"/>
        </w:rPr>
        <w:t> </w:t>
      </w:r>
      <w:r>
        <w:rPr>
          <w:w w:val="110"/>
          <w:sz w:val="16"/>
        </w:rPr>
        <w:t>político</w:t>
      </w:r>
      <w:r>
        <w:rPr>
          <w:spacing w:val="-10"/>
          <w:w w:val="110"/>
          <w:sz w:val="16"/>
        </w:rPr>
        <w:t> </w:t>
      </w:r>
      <w:r>
        <w:rPr>
          <w:w w:val="110"/>
          <w:sz w:val="16"/>
        </w:rPr>
        <w:t>con</w:t>
      </w:r>
      <w:r>
        <w:rPr>
          <w:spacing w:val="-10"/>
          <w:w w:val="110"/>
          <w:sz w:val="16"/>
        </w:rPr>
        <w:t> </w:t>
      </w:r>
      <w:r>
        <w:rPr>
          <w:w w:val="110"/>
          <w:sz w:val="16"/>
        </w:rPr>
        <w:t>relación</w:t>
      </w:r>
      <w:r>
        <w:rPr>
          <w:spacing w:val="-10"/>
          <w:w w:val="110"/>
          <w:sz w:val="16"/>
        </w:rPr>
        <w:t> </w:t>
      </w:r>
      <w:r>
        <w:rPr>
          <w:w w:val="110"/>
          <w:sz w:val="16"/>
        </w:rPr>
        <w:t>al</w:t>
      </w:r>
      <w:r>
        <w:rPr>
          <w:spacing w:val="-10"/>
          <w:w w:val="110"/>
          <w:sz w:val="16"/>
        </w:rPr>
        <w:t> </w:t>
      </w:r>
      <w:r>
        <w:rPr>
          <w:w w:val="110"/>
          <w:sz w:val="16"/>
        </w:rPr>
        <w:t>lugar</w:t>
      </w:r>
      <w:r>
        <w:rPr>
          <w:spacing w:val="-10"/>
          <w:w w:val="110"/>
          <w:sz w:val="16"/>
        </w:rPr>
        <w:t> </w:t>
      </w:r>
      <w:r>
        <w:rPr>
          <w:w w:val="110"/>
          <w:sz w:val="16"/>
        </w:rPr>
        <w:t>que</w:t>
      </w:r>
      <w:r>
        <w:rPr>
          <w:spacing w:val="-10"/>
          <w:w w:val="110"/>
          <w:sz w:val="16"/>
        </w:rPr>
        <w:t> </w:t>
      </w:r>
      <w:r>
        <w:rPr>
          <w:w w:val="110"/>
          <w:sz w:val="16"/>
        </w:rPr>
        <w:t>ocupa</w:t>
      </w:r>
      <w:r>
        <w:rPr>
          <w:spacing w:val="-10"/>
          <w:w w:val="110"/>
          <w:sz w:val="16"/>
        </w:rPr>
        <w:t> </w:t>
      </w:r>
      <w:r>
        <w:rPr>
          <w:w w:val="110"/>
          <w:sz w:val="16"/>
        </w:rPr>
        <w:t>el</w:t>
      </w:r>
      <w:r>
        <w:rPr>
          <w:spacing w:val="-10"/>
          <w:w w:val="110"/>
          <w:sz w:val="16"/>
        </w:rPr>
        <w:t> </w:t>
      </w:r>
      <w:r>
        <w:rPr>
          <w:w w:val="110"/>
          <w:sz w:val="16"/>
        </w:rPr>
        <w:t>hemisferio</w:t>
      </w:r>
      <w:r>
        <w:rPr>
          <w:spacing w:val="-10"/>
          <w:w w:val="110"/>
          <w:sz w:val="16"/>
        </w:rPr>
        <w:t> </w:t>
      </w:r>
      <w:r>
        <w:rPr>
          <w:w w:val="110"/>
          <w:sz w:val="16"/>
        </w:rPr>
        <w:t>occidental en</w:t>
      </w:r>
      <w:r>
        <w:rPr>
          <w:spacing w:val="-6"/>
          <w:w w:val="110"/>
          <w:sz w:val="16"/>
        </w:rPr>
        <w:t> </w:t>
      </w:r>
      <w:r>
        <w:rPr>
          <w:w w:val="110"/>
          <w:sz w:val="16"/>
        </w:rPr>
        <w:t>la</w:t>
      </w:r>
      <w:r>
        <w:rPr>
          <w:spacing w:val="-6"/>
          <w:w w:val="110"/>
          <w:sz w:val="16"/>
        </w:rPr>
        <w:t> </w:t>
      </w:r>
      <w:r>
        <w:rPr>
          <w:w w:val="110"/>
          <w:sz w:val="16"/>
        </w:rPr>
        <w:t>“seguridad</w:t>
      </w:r>
      <w:r>
        <w:rPr>
          <w:spacing w:val="-6"/>
          <w:w w:val="110"/>
          <w:sz w:val="16"/>
        </w:rPr>
        <w:t> </w:t>
      </w:r>
      <w:r>
        <w:rPr>
          <w:w w:val="110"/>
          <w:sz w:val="16"/>
        </w:rPr>
        <w:t>nacional”</w:t>
      </w:r>
      <w:r>
        <w:rPr>
          <w:spacing w:val="-6"/>
          <w:w w:val="110"/>
          <w:sz w:val="16"/>
        </w:rPr>
        <w:t> </w:t>
      </w:r>
      <w:r>
        <w:rPr>
          <w:w w:val="110"/>
          <w:sz w:val="16"/>
        </w:rPr>
        <w:t>y</w:t>
      </w:r>
      <w:r>
        <w:rPr>
          <w:spacing w:val="-6"/>
          <w:w w:val="110"/>
          <w:sz w:val="16"/>
        </w:rPr>
        <w:t> </w:t>
      </w:r>
      <w:r>
        <w:rPr>
          <w:w w:val="110"/>
          <w:sz w:val="16"/>
        </w:rPr>
        <w:t>en</w:t>
      </w:r>
      <w:r>
        <w:rPr>
          <w:spacing w:val="-6"/>
          <w:w w:val="110"/>
          <w:sz w:val="16"/>
        </w:rPr>
        <w:t> </w:t>
      </w:r>
      <w:r>
        <w:rPr>
          <w:w w:val="110"/>
          <w:sz w:val="16"/>
        </w:rPr>
        <w:t>la</w:t>
      </w:r>
      <w:r>
        <w:rPr>
          <w:spacing w:val="-6"/>
          <w:w w:val="110"/>
          <w:sz w:val="16"/>
        </w:rPr>
        <w:t> </w:t>
      </w:r>
      <w:r>
        <w:rPr>
          <w:w w:val="110"/>
          <w:sz w:val="16"/>
        </w:rPr>
        <w:t>proyección</w:t>
      </w:r>
      <w:r>
        <w:rPr>
          <w:spacing w:val="-6"/>
          <w:w w:val="110"/>
          <w:sz w:val="16"/>
        </w:rPr>
        <w:t> </w:t>
      </w:r>
      <w:r>
        <w:rPr>
          <w:w w:val="110"/>
          <w:sz w:val="16"/>
        </w:rPr>
        <w:t>del</w:t>
      </w:r>
      <w:r>
        <w:rPr>
          <w:spacing w:val="-6"/>
          <w:w w:val="110"/>
          <w:sz w:val="16"/>
        </w:rPr>
        <w:t> </w:t>
      </w:r>
      <w:r>
        <w:rPr>
          <w:w w:val="110"/>
          <w:sz w:val="16"/>
        </w:rPr>
        <w:t>poder</w:t>
      </w:r>
      <w:r>
        <w:rPr>
          <w:spacing w:val="-6"/>
          <w:w w:val="110"/>
          <w:sz w:val="16"/>
        </w:rPr>
        <w:t> </w:t>
      </w:r>
      <w:r>
        <w:rPr>
          <w:w w:val="110"/>
          <w:sz w:val="16"/>
        </w:rPr>
        <w:t>global</w:t>
      </w:r>
      <w:r>
        <w:rPr>
          <w:spacing w:val="-6"/>
          <w:w w:val="110"/>
          <w:sz w:val="16"/>
        </w:rPr>
        <w:t> </w:t>
      </w:r>
      <w:r>
        <w:rPr>
          <w:w w:val="110"/>
          <w:sz w:val="16"/>
        </w:rPr>
        <w:t>de</w:t>
      </w:r>
      <w:r>
        <w:rPr>
          <w:spacing w:val="-6"/>
          <w:w w:val="110"/>
          <w:sz w:val="16"/>
        </w:rPr>
        <w:t> </w:t>
      </w:r>
      <w:r>
        <w:rPr>
          <w:w w:val="110"/>
          <w:sz w:val="16"/>
        </w:rPr>
        <w:t>los</w:t>
      </w:r>
      <w:r>
        <w:rPr>
          <w:spacing w:val="-6"/>
          <w:w w:val="110"/>
          <w:sz w:val="16"/>
        </w:rPr>
        <w:t> </w:t>
      </w:r>
      <w:r>
        <w:rPr>
          <w:w w:val="110"/>
          <w:sz w:val="16"/>
        </w:rPr>
        <w:t>Estados</w:t>
      </w:r>
      <w:r>
        <w:rPr>
          <w:spacing w:val="-6"/>
          <w:w w:val="110"/>
          <w:sz w:val="16"/>
        </w:rPr>
        <w:t> </w:t>
      </w:r>
      <w:r>
        <w:rPr>
          <w:w w:val="110"/>
          <w:sz w:val="16"/>
        </w:rPr>
        <w:t>unidos.</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ListParagraph"/>
        <w:numPr>
          <w:ilvl w:val="1"/>
          <w:numId w:val="20"/>
        </w:numPr>
        <w:tabs>
          <w:tab w:pos="955" w:val="left" w:leader="none"/>
        </w:tabs>
        <w:spacing w:line="252" w:lineRule="auto" w:before="73" w:after="0"/>
        <w:ind w:left="954" w:right="117" w:hanging="227"/>
        <w:jc w:val="both"/>
        <w:rPr>
          <w:sz w:val="19"/>
        </w:rPr>
      </w:pPr>
      <w:r>
        <w:rPr>
          <w:w w:val="110"/>
          <w:sz w:val="19"/>
        </w:rPr>
        <w:t>restaurar o fortalecer, según el caso, su multifacética domi- nación sobre México, sobre todos los Estados nacionales ubi- cados en el istmo centroamericano, al igual que en el Caribe insular y continental con vistas a preservar su control sobre  los recursos naturales y los bienes públicos (como el agua y la biodiversidad), al igual que sobre los diversos espacios geoes- tratégicos existentes en el Gran</w:t>
      </w:r>
      <w:r>
        <w:rPr>
          <w:spacing w:val="38"/>
          <w:w w:val="110"/>
          <w:sz w:val="19"/>
        </w:rPr>
        <w:t> </w:t>
      </w:r>
      <w:r>
        <w:rPr>
          <w:w w:val="110"/>
          <w:sz w:val="19"/>
        </w:rPr>
        <w:t>Caribe;</w:t>
      </w:r>
    </w:p>
    <w:p>
      <w:pPr>
        <w:pStyle w:val="ListParagraph"/>
        <w:numPr>
          <w:ilvl w:val="1"/>
          <w:numId w:val="20"/>
        </w:numPr>
        <w:tabs>
          <w:tab w:pos="955" w:val="left" w:leader="none"/>
        </w:tabs>
        <w:spacing w:line="252" w:lineRule="auto" w:before="85" w:after="0"/>
        <w:ind w:left="954" w:right="118" w:hanging="227"/>
        <w:jc w:val="both"/>
        <w:rPr>
          <w:sz w:val="19"/>
        </w:rPr>
      </w:pPr>
      <w:r>
        <w:rPr>
          <w:w w:val="110"/>
          <w:sz w:val="19"/>
        </w:rPr>
        <w:t>subordinar a los intereses geoeconómicos y geopolíticos esta- dounidenses a los gobiernos de todos los Estados nacionales del hemisferio occidental ubicados en el “arco del Pacífico”: Canadá, México, Guatemala, El </w:t>
      </w:r>
      <w:r>
        <w:rPr>
          <w:spacing w:val="-3"/>
          <w:w w:val="110"/>
          <w:sz w:val="19"/>
        </w:rPr>
        <w:t>salvador, </w:t>
      </w:r>
      <w:r>
        <w:rPr>
          <w:w w:val="110"/>
          <w:sz w:val="19"/>
        </w:rPr>
        <w:t>Honduras,  Nicara-  gua,</w:t>
      </w:r>
      <w:r>
        <w:rPr>
          <w:spacing w:val="35"/>
          <w:w w:val="110"/>
          <w:sz w:val="19"/>
        </w:rPr>
        <w:t> </w:t>
      </w:r>
      <w:r>
        <w:rPr>
          <w:w w:val="110"/>
          <w:sz w:val="19"/>
        </w:rPr>
        <w:t>Costa</w:t>
      </w:r>
      <w:r>
        <w:rPr>
          <w:spacing w:val="35"/>
          <w:w w:val="110"/>
          <w:sz w:val="19"/>
        </w:rPr>
        <w:t> </w:t>
      </w:r>
      <w:r>
        <w:rPr>
          <w:w w:val="110"/>
          <w:sz w:val="19"/>
        </w:rPr>
        <w:t>rica,</w:t>
      </w:r>
      <w:r>
        <w:rPr>
          <w:spacing w:val="35"/>
          <w:w w:val="110"/>
          <w:sz w:val="19"/>
        </w:rPr>
        <w:t> </w:t>
      </w:r>
      <w:r>
        <w:rPr>
          <w:w w:val="110"/>
          <w:sz w:val="19"/>
        </w:rPr>
        <w:t>Panamá,</w:t>
      </w:r>
      <w:r>
        <w:rPr>
          <w:spacing w:val="35"/>
          <w:w w:val="110"/>
          <w:sz w:val="19"/>
        </w:rPr>
        <w:t> </w:t>
      </w:r>
      <w:r>
        <w:rPr>
          <w:w w:val="110"/>
          <w:sz w:val="19"/>
        </w:rPr>
        <w:t>Colombia,</w:t>
      </w:r>
      <w:r>
        <w:rPr>
          <w:spacing w:val="35"/>
          <w:w w:val="110"/>
          <w:sz w:val="19"/>
        </w:rPr>
        <w:t> </w:t>
      </w:r>
      <w:r>
        <w:rPr>
          <w:spacing w:val="-3"/>
          <w:w w:val="110"/>
          <w:sz w:val="19"/>
        </w:rPr>
        <w:t>Ecuador,</w:t>
      </w:r>
      <w:r>
        <w:rPr>
          <w:spacing w:val="35"/>
          <w:w w:val="110"/>
          <w:sz w:val="19"/>
        </w:rPr>
        <w:t> </w:t>
      </w:r>
      <w:r>
        <w:rPr>
          <w:w w:val="110"/>
          <w:sz w:val="19"/>
        </w:rPr>
        <w:t>Perú</w:t>
      </w:r>
      <w:r>
        <w:rPr>
          <w:spacing w:val="35"/>
          <w:w w:val="110"/>
          <w:sz w:val="19"/>
        </w:rPr>
        <w:t> </w:t>
      </w:r>
      <w:r>
        <w:rPr>
          <w:w w:val="110"/>
          <w:sz w:val="19"/>
        </w:rPr>
        <w:t>y</w:t>
      </w:r>
      <w:r>
        <w:rPr>
          <w:spacing w:val="35"/>
          <w:w w:val="110"/>
          <w:sz w:val="19"/>
        </w:rPr>
        <w:t> </w:t>
      </w:r>
      <w:r>
        <w:rPr>
          <w:w w:val="110"/>
          <w:sz w:val="19"/>
        </w:rPr>
        <w:t>Chile;</w:t>
      </w:r>
    </w:p>
    <w:p>
      <w:pPr>
        <w:pStyle w:val="ListParagraph"/>
        <w:numPr>
          <w:ilvl w:val="1"/>
          <w:numId w:val="20"/>
        </w:numPr>
        <w:tabs>
          <w:tab w:pos="955" w:val="left" w:leader="none"/>
        </w:tabs>
        <w:spacing w:line="252" w:lineRule="auto" w:before="85" w:after="0"/>
        <w:ind w:left="954" w:right="117" w:hanging="227"/>
        <w:jc w:val="both"/>
        <w:rPr>
          <w:sz w:val="19"/>
        </w:rPr>
      </w:pPr>
      <w:r>
        <w:rPr>
          <w:w w:val="115"/>
          <w:sz w:val="19"/>
        </w:rPr>
        <w:t>Contrarrestar</w:t>
      </w:r>
      <w:r>
        <w:rPr>
          <w:spacing w:val="-5"/>
          <w:w w:val="115"/>
          <w:sz w:val="19"/>
        </w:rPr>
        <w:t> </w:t>
      </w:r>
      <w:r>
        <w:rPr>
          <w:w w:val="115"/>
          <w:sz w:val="19"/>
        </w:rPr>
        <w:t>las</w:t>
      </w:r>
      <w:r>
        <w:rPr>
          <w:spacing w:val="-5"/>
          <w:w w:val="115"/>
          <w:sz w:val="19"/>
        </w:rPr>
        <w:t> </w:t>
      </w:r>
      <w:r>
        <w:rPr>
          <w:w w:val="115"/>
          <w:sz w:val="19"/>
        </w:rPr>
        <w:t>amenazas</w:t>
      </w:r>
      <w:r>
        <w:rPr>
          <w:spacing w:val="-5"/>
          <w:w w:val="115"/>
          <w:sz w:val="19"/>
        </w:rPr>
        <w:t> </w:t>
      </w:r>
      <w:r>
        <w:rPr>
          <w:w w:val="115"/>
          <w:sz w:val="19"/>
        </w:rPr>
        <w:t>que</w:t>
      </w:r>
      <w:r>
        <w:rPr>
          <w:spacing w:val="-5"/>
          <w:w w:val="115"/>
          <w:sz w:val="19"/>
        </w:rPr>
        <w:t> </w:t>
      </w:r>
      <w:r>
        <w:rPr>
          <w:w w:val="115"/>
          <w:sz w:val="19"/>
        </w:rPr>
        <w:t>le</w:t>
      </w:r>
      <w:r>
        <w:rPr>
          <w:spacing w:val="-5"/>
          <w:w w:val="115"/>
          <w:sz w:val="19"/>
        </w:rPr>
        <w:t> </w:t>
      </w:r>
      <w:r>
        <w:rPr>
          <w:w w:val="115"/>
          <w:sz w:val="19"/>
        </w:rPr>
        <w:t>plantean</w:t>
      </w:r>
      <w:r>
        <w:rPr>
          <w:spacing w:val="-5"/>
          <w:w w:val="115"/>
          <w:sz w:val="19"/>
        </w:rPr>
        <w:t> </w:t>
      </w:r>
      <w:r>
        <w:rPr>
          <w:w w:val="115"/>
          <w:sz w:val="19"/>
        </w:rPr>
        <w:t>a</w:t>
      </w:r>
      <w:r>
        <w:rPr>
          <w:spacing w:val="-5"/>
          <w:w w:val="115"/>
          <w:sz w:val="19"/>
        </w:rPr>
        <w:t> </w:t>
      </w:r>
      <w:r>
        <w:rPr>
          <w:w w:val="115"/>
          <w:sz w:val="19"/>
        </w:rPr>
        <w:t>“la</w:t>
      </w:r>
      <w:r>
        <w:rPr>
          <w:spacing w:val="-5"/>
          <w:w w:val="115"/>
          <w:sz w:val="19"/>
        </w:rPr>
        <w:t> </w:t>
      </w:r>
      <w:r>
        <w:rPr>
          <w:w w:val="115"/>
          <w:sz w:val="19"/>
        </w:rPr>
        <w:t>hegemonía” estadounidense</w:t>
      </w:r>
      <w:r>
        <w:rPr>
          <w:spacing w:val="-12"/>
          <w:w w:val="115"/>
          <w:sz w:val="19"/>
        </w:rPr>
        <w:t> </w:t>
      </w:r>
      <w:r>
        <w:rPr>
          <w:w w:val="115"/>
          <w:sz w:val="19"/>
        </w:rPr>
        <w:t>en</w:t>
      </w:r>
      <w:r>
        <w:rPr>
          <w:spacing w:val="-12"/>
          <w:w w:val="115"/>
          <w:sz w:val="19"/>
        </w:rPr>
        <w:t> </w:t>
      </w:r>
      <w:r>
        <w:rPr>
          <w:w w:val="115"/>
          <w:sz w:val="19"/>
        </w:rPr>
        <w:t>el</w:t>
      </w:r>
      <w:r>
        <w:rPr>
          <w:spacing w:val="-12"/>
          <w:w w:val="115"/>
          <w:sz w:val="19"/>
        </w:rPr>
        <w:t> </w:t>
      </w:r>
      <w:r>
        <w:rPr>
          <w:w w:val="115"/>
          <w:sz w:val="19"/>
        </w:rPr>
        <w:t>hemisferio</w:t>
      </w:r>
      <w:r>
        <w:rPr>
          <w:spacing w:val="-12"/>
          <w:w w:val="115"/>
          <w:sz w:val="19"/>
        </w:rPr>
        <w:t> </w:t>
      </w:r>
      <w:r>
        <w:rPr>
          <w:w w:val="115"/>
          <w:sz w:val="19"/>
        </w:rPr>
        <w:t>occidental</w:t>
      </w:r>
      <w:r>
        <w:rPr>
          <w:spacing w:val="-12"/>
          <w:w w:val="115"/>
          <w:sz w:val="19"/>
        </w:rPr>
        <w:t> </w:t>
      </w:r>
      <w:r>
        <w:rPr>
          <w:w w:val="115"/>
          <w:sz w:val="19"/>
        </w:rPr>
        <w:t>y</w:t>
      </w:r>
      <w:r>
        <w:rPr>
          <w:spacing w:val="-12"/>
          <w:w w:val="115"/>
          <w:sz w:val="19"/>
        </w:rPr>
        <w:t> </w:t>
      </w:r>
      <w:r>
        <w:rPr>
          <w:w w:val="115"/>
          <w:sz w:val="19"/>
        </w:rPr>
        <w:t>en</w:t>
      </w:r>
      <w:r>
        <w:rPr>
          <w:spacing w:val="-12"/>
          <w:w w:val="115"/>
          <w:sz w:val="19"/>
        </w:rPr>
        <w:t> </w:t>
      </w:r>
      <w:r>
        <w:rPr>
          <w:w w:val="115"/>
          <w:sz w:val="19"/>
        </w:rPr>
        <w:t>particular</w:t>
      </w:r>
      <w:r>
        <w:rPr>
          <w:spacing w:val="-12"/>
          <w:w w:val="115"/>
          <w:sz w:val="19"/>
        </w:rPr>
        <w:t> </w:t>
      </w:r>
      <w:r>
        <w:rPr>
          <w:w w:val="115"/>
          <w:sz w:val="19"/>
        </w:rPr>
        <w:t>en </w:t>
      </w:r>
      <w:r>
        <w:rPr>
          <w:w w:val="120"/>
          <w:sz w:val="19"/>
        </w:rPr>
        <w:t>sudamérica la paulatina e inconclusa transformación de</w:t>
      </w:r>
      <w:r>
        <w:rPr>
          <w:spacing w:val="-23"/>
          <w:w w:val="120"/>
          <w:sz w:val="19"/>
        </w:rPr>
        <w:t> </w:t>
      </w:r>
      <w:r>
        <w:rPr>
          <w:w w:val="120"/>
          <w:sz w:val="19"/>
        </w:rPr>
        <w:t>la república</w:t>
      </w:r>
      <w:r>
        <w:rPr>
          <w:spacing w:val="-13"/>
          <w:w w:val="120"/>
          <w:sz w:val="19"/>
        </w:rPr>
        <w:t> </w:t>
      </w:r>
      <w:r>
        <w:rPr>
          <w:w w:val="120"/>
          <w:sz w:val="19"/>
        </w:rPr>
        <w:t>Federativa</w:t>
      </w:r>
      <w:r>
        <w:rPr>
          <w:spacing w:val="-13"/>
          <w:w w:val="120"/>
          <w:sz w:val="19"/>
        </w:rPr>
        <w:t> </w:t>
      </w:r>
      <w:r>
        <w:rPr>
          <w:w w:val="120"/>
          <w:sz w:val="19"/>
        </w:rPr>
        <w:t>de</w:t>
      </w:r>
      <w:r>
        <w:rPr>
          <w:spacing w:val="-13"/>
          <w:w w:val="120"/>
          <w:sz w:val="19"/>
        </w:rPr>
        <w:t> </w:t>
      </w:r>
      <w:r>
        <w:rPr>
          <w:w w:val="120"/>
          <w:sz w:val="19"/>
        </w:rPr>
        <w:t>brasil</w:t>
      </w:r>
      <w:r>
        <w:rPr>
          <w:spacing w:val="-13"/>
          <w:w w:val="120"/>
          <w:sz w:val="19"/>
        </w:rPr>
        <w:t> </w:t>
      </w:r>
      <w:r>
        <w:rPr>
          <w:w w:val="120"/>
          <w:sz w:val="19"/>
        </w:rPr>
        <w:t>en</w:t>
      </w:r>
      <w:r>
        <w:rPr>
          <w:spacing w:val="-13"/>
          <w:w w:val="120"/>
          <w:sz w:val="19"/>
        </w:rPr>
        <w:t> </w:t>
      </w:r>
      <w:r>
        <w:rPr>
          <w:w w:val="120"/>
          <w:sz w:val="19"/>
        </w:rPr>
        <w:t>una</w:t>
      </w:r>
      <w:r>
        <w:rPr>
          <w:spacing w:val="-13"/>
          <w:w w:val="120"/>
          <w:sz w:val="19"/>
        </w:rPr>
        <w:t> </w:t>
      </w:r>
      <w:r>
        <w:rPr>
          <w:w w:val="120"/>
          <w:sz w:val="19"/>
        </w:rPr>
        <w:t>“potencia</w:t>
      </w:r>
      <w:r>
        <w:rPr>
          <w:spacing w:val="-13"/>
          <w:w w:val="120"/>
          <w:sz w:val="19"/>
        </w:rPr>
        <w:t> </w:t>
      </w:r>
      <w:r>
        <w:rPr>
          <w:w w:val="120"/>
          <w:sz w:val="19"/>
        </w:rPr>
        <w:t>global”</w:t>
      </w:r>
      <w:r>
        <w:rPr>
          <w:spacing w:val="-13"/>
          <w:w w:val="120"/>
          <w:sz w:val="19"/>
        </w:rPr>
        <w:t> </w:t>
      </w:r>
      <w:r>
        <w:rPr>
          <w:w w:val="120"/>
          <w:sz w:val="19"/>
        </w:rPr>
        <w:t>(Zi- </w:t>
      </w:r>
      <w:r>
        <w:rPr>
          <w:w w:val="115"/>
          <w:sz w:val="19"/>
        </w:rPr>
        <w:t>bechi, 2012), al igual que aquellas posturas “populistas radi- cales”</w:t>
      </w:r>
      <w:r>
        <w:rPr>
          <w:spacing w:val="-6"/>
          <w:w w:val="115"/>
          <w:sz w:val="19"/>
        </w:rPr>
        <w:t> </w:t>
      </w:r>
      <w:r>
        <w:rPr>
          <w:w w:val="115"/>
          <w:sz w:val="19"/>
        </w:rPr>
        <w:t>de</w:t>
      </w:r>
      <w:r>
        <w:rPr>
          <w:spacing w:val="-6"/>
          <w:w w:val="115"/>
          <w:sz w:val="19"/>
        </w:rPr>
        <w:t> </w:t>
      </w:r>
      <w:r>
        <w:rPr>
          <w:w w:val="115"/>
          <w:sz w:val="19"/>
        </w:rPr>
        <w:t>las</w:t>
      </w:r>
      <w:r>
        <w:rPr>
          <w:spacing w:val="-6"/>
          <w:w w:val="115"/>
          <w:sz w:val="19"/>
        </w:rPr>
        <w:t> </w:t>
      </w:r>
      <w:r>
        <w:rPr>
          <w:w w:val="115"/>
          <w:sz w:val="19"/>
        </w:rPr>
        <w:t>fuerzas</w:t>
      </w:r>
      <w:r>
        <w:rPr>
          <w:spacing w:val="-6"/>
          <w:w w:val="115"/>
          <w:sz w:val="19"/>
        </w:rPr>
        <w:t> </w:t>
      </w:r>
      <w:r>
        <w:rPr>
          <w:w w:val="115"/>
          <w:sz w:val="19"/>
        </w:rPr>
        <w:t>políticas</w:t>
      </w:r>
      <w:r>
        <w:rPr>
          <w:spacing w:val="-6"/>
          <w:w w:val="115"/>
          <w:sz w:val="19"/>
        </w:rPr>
        <w:t> </w:t>
      </w:r>
      <w:r>
        <w:rPr>
          <w:w w:val="115"/>
          <w:sz w:val="19"/>
        </w:rPr>
        <w:t>que</w:t>
      </w:r>
      <w:r>
        <w:rPr>
          <w:spacing w:val="-6"/>
          <w:w w:val="115"/>
          <w:sz w:val="19"/>
        </w:rPr>
        <w:t> </w:t>
      </w:r>
      <w:r>
        <w:rPr>
          <w:w w:val="115"/>
          <w:sz w:val="19"/>
        </w:rPr>
        <w:t>hasta</w:t>
      </w:r>
      <w:r>
        <w:rPr>
          <w:spacing w:val="-6"/>
          <w:w w:val="115"/>
          <w:sz w:val="19"/>
        </w:rPr>
        <w:t> </w:t>
      </w:r>
      <w:r>
        <w:rPr>
          <w:w w:val="115"/>
          <w:sz w:val="19"/>
        </w:rPr>
        <w:t>2012</w:t>
      </w:r>
      <w:r>
        <w:rPr>
          <w:spacing w:val="-6"/>
          <w:w w:val="115"/>
          <w:sz w:val="19"/>
        </w:rPr>
        <w:t> </w:t>
      </w:r>
      <w:r>
        <w:rPr>
          <w:w w:val="115"/>
          <w:sz w:val="19"/>
        </w:rPr>
        <w:t>participaron</w:t>
      </w:r>
      <w:r>
        <w:rPr>
          <w:spacing w:val="-6"/>
          <w:w w:val="115"/>
          <w:sz w:val="19"/>
        </w:rPr>
        <w:t> </w:t>
      </w:r>
      <w:r>
        <w:rPr>
          <w:w w:val="115"/>
          <w:sz w:val="19"/>
        </w:rPr>
        <w:t>en </w:t>
      </w:r>
      <w:r>
        <w:rPr>
          <w:w w:val="107"/>
          <w:sz w:val="19"/>
        </w:rPr>
        <w:t>el</w:t>
      </w:r>
      <w:r>
        <w:rPr>
          <w:spacing w:val="11"/>
          <w:sz w:val="19"/>
        </w:rPr>
        <w:t> </w:t>
      </w:r>
      <w:r>
        <w:rPr>
          <w:w w:val="109"/>
          <w:sz w:val="19"/>
        </w:rPr>
        <w:t>gobierno</w:t>
      </w:r>
      <w:r>
        <w:rPr>
          <w:spacing w:val="11"/>
          <w:sz w:val="19"/>
        </w:rPr>
        <w:t> </w:t>
      </w:r>
      <w:r>
        <w:rPr>
          <w:w w:val="110"/>
          <w:sz w:val="19"/>
        </w:rPr>
        <w:t>paraguayo</w:t>
      </w:r>
      <w:r>
        <w:rPr>
          <w:spacing w:val="11"/>
          <w:sz w:val="19"/>
        </w:rPr>
        <w:t> </w:t>
      </w:r>
      <w:r>
        <w:rPr>
          <w:w w:val="108"/>
          <w:sz w:val="19"/>
        </w:rPr>
        <w:t>presidido</w:t>
      </w:r>
      <w:r>
        <w:rPr>
          <w:spacing w:val="11"/>
          <w:sz w:val="19"/>
        </w:rPr>
        <w:t> </w:t>
      </w:r>
      <w:r>
        <w:rPr>
          <w:w w:val="108"/>
          <w:sz w:val="19"/>
        </w:rPr>
        <w:t>por</w:t>
      </w:r>
      <w:r>
        <w:rPr>
          <w:spacing w:val="11"/>
          <w:sz w:val="19"/>
        </w:rPr>
        <w:t> </w:t>
      </w:r>
      <w:r>
        <w:rPr>
          <w:w w:val="110"/>
          <w:sz w:val="19"/>
        </w:rPr>
        <w:t>Fernando</w:t>
      </w:r>
      <w:r>
        <w:rPr>
          <w:spacing w:val="11"/>
          <w:sz w:val="19"/>
        </w:rPr>
        <w:t> </w:t>
      </w:r>
      <w:r>
        <w:rPr>
          <w:w w:val="243"/>
          <w:sz w:val="19"/>
        </w:rPr>
        <w:t>l</w:t>
      </w:r>
      <w:r>
        <w:rPr>
          <w:w w:val="114"/>
          <w:sz w:val="19"/>
        </w:rPr>
        <w:t>ugo,</w:t>
      </w:r>
      <w:r>
        <w:rPr>
          <w:spacing w:val="11"/>
          <w:sz w:val="19"/>
        </w:rPr>
        <w:t> </w:t>
      </w:r>
      <w:r>
        <w:rPr>
          <w:w w:val="110"/>
          <w:sz w:val="19"/>
        </w:rPr>
        <w:t>así</w:t>
      </w:r>
      <w:r>
        <w:rPr>
          <w:spacing w:val="11"/>
          <w:sz w:val="19"/>
        </w:rPr>
        <w:t> </w:t>
      </w:r>
      <w:r>
        <w:rPr>
          <w:w w:val="112"/>
          <w:sz w:val="19"/>
        </w:rPr>
        <w:t>como </w:t>
      </w:r>
      <w:r>
        <w:rPr>
          <w:w w:val="115"/>
          <w:sz w:val="19"/>
        </w:rPr>
        <w:t>que</w:t>
      </w:r>
      <w:r>
        <w:rPr>
          <w:spacing w:val="-12"/>
          <w:w w:val="115"/>
          <w:sz w:val="19"/>
        </w:rPr>
        <w:t> </w:t>
      </w:r>
      <w:r>
        <w:rPr>
          <w:w w:val="115"/>
          <w:sz w:val="19"/>
        </w:rPr>
        <w:t>todavía</w:t>
      </w:r>
      <w:r>
        <w:rPr>
          <w:spacing w:val="-12"/>
          <w:w w:val="115"/>
          <w:sz w:val="19"/>
        </w:rPr>
        <w:t> </w:t>
      </w:r>
      <w:r>
        <w:rPr>
          <w:w w:val="115"/>
          <w:sz w:val="19"/>
        </w:rPr>
        <w:t>participan</w:t>
      </w:r>
      <w:r>
        <w:rPr>
          <w:spacing w:val="-12"/>
          <w:w w:val="115"/>
          <w:sz w:val="19"/>
        </w:rPr>
        <w:t> </w:t>
      </w:r>
      <w:r>
        <w:rPr>
          <w:w w:val="115"/>
          <w:sz w:val="19"/>
        </w:rPr>
        <w:t>en</w:t>
      </w:r>
      <w:r>
        <w:rPr>
          <w:spacing w:val="-12"/>
          <w:w w:val="115"/>
          <w:sz w:val="19"/>
        </w:rPr>
        <w:t> </w:t>
      </w:r>
      <w:r>
        <w:rPr>
          <w:w w:val="115"/>
          <w:sz w:val="19"/>
        </w:rPr>
        <w:t>los</w:t>
      </w:r>
      <w:r>
        <w:rPr>
          <w:spacing w:val="-12"/>
          <w:w w:val="115"/>
          <w:sz w:val="19"/>
        </w:rPr>
        <w:t> </w:t>
      </w:r>
      <w:r>
        <w:rPr>
          <w:w w:val="115"/>
          <w:sz w:val="19"/>
        </w:rPr>
        <w:t>actuales</w:t>
      </w:r>
      <w:r>
        <w:rPr>
          <w:spacing w:val="-12"/>
          <w:w w:val="115"/>
          <w:sz w:val="19"/>
        </w:rPr>
        <w:t> </w:t>
      </w:r>
      <w:r>
        <w:rPr>
          <w:w w:val="115"/>
          <w:sz w:val="19"/>
        </w:rPr>
        <w:t>gobiernos</w:t>
      </w:r>
      <w:r>
        <w:rPr>
          <w:spacing w:val="-12"/>
          <w:w w:val="115"/>
          <w:sz w:val="19"/>
        </w:rPr>
        <w:t> </w:t>
      </w:r>
      <w:r>
        <w:rPr>
          <w:w w:val="115"/>
          <w:sz w:val="19"/>
        </w:rPr>
        <w:t>de</w:t>
      </w:r>
      <w:r>
        <w:rPr>
          <w:spacing w:val="-12"/>
          <w:w w:val="115"/>
          <w:sz w:val="19"/>
        </w:rPr>
        <w:t> </w:t>
      </w:r>
      <w:r>
        <w:rPr>
          <w:w w:val="115"/>
          <w:sz w:val="19"/>
        </w:rPr>
        <w:t>argentina y</w:t>
      </w:r>
      <w:r>
        <w:rPr>
          <w:spacing w:val="-9"/>
          <w:w w:val="115"/>
          <w:sz w:val="19"/>
        </w:rPr>
        <w:t> </w:t>
      </w:r>
      <w:r>
        <w:rPr>
          <w:w w:val="115"/>
          <w:sz w:val="19"/>
        </w:rPr>
        <w:t>uruguay;</w:t>
      </w:r>
    </w:p>
    <w:p>
      <w:pPr>
        <w:pStyle w:val="ListParagraph"/>
        <w:numPr>
          <w:ilvl w:val="1"/>
          <w:numId w:val="20"/>
        </w:numPr>
        <w:tabs>
          <w:tab w:pos="955" w:val="left" w:leader="none"/>
        </w:tabs>
        <w:spacing w:line="252" w:lineRule="auto" w:before="85" w:after="0"/>
        <w:ind w:left="954" w:right="117" w:hanging="227"/>
        <w:jc w:val="both"/>
        <w:rPr>
          <w:sz w:val="19"/>
        </w:rPr>
      </w:pPr>
      <w:r>
        <w:rPr>
          <w:w w:val="115"/>
          <w:sz w:val="19"/>
        </w:rPr>
        <w:t>Evitar</w:t>
      </w:r>
      <w:r>
        <w:rPr>
          <w:spacing w:val="-13"/>
          <w:w w:val="115"/>
          <w:sz w:val="19"/>
        </w:rPr>
        <w:t> </w:t>
      </w:r>
      <w:r>
        <w:rPr>
          <w:w w:val="115"/>
          <w:sz w:val="19"/>
        </w:rPr>
        <w:t>–hasta</w:t>
      </w:r>
      <w:r>
        <w:rPr>
          <w:spacing w:val="-13"/>
          <w:w w:val="115"/>
          <w:sz w:val="19"/>
        </w:rPr>
        <w:t> </w:t>
      </w:r>
      <w:r>
        <w:rPr>
          <w:w w:val="115"/>
          <w:sz w:val="19"/>
        </w:rPr>
        <w:t>donde</w:t>
      </w:r>
      <w:r>
        <w:rPr>
          <w:spacing w:val="-13"/>
          <w:w w:val="115"/>
          <w:sz w:val="19"/>
        </w:rPr>
        <w:t> </w:t>
      </w:r>
      <w:r>
        <w:rPr>
          <w:w w:val="115"/>
          <w:sz w:val="19"/>
        </w:rPr>
        <w:t>le</w:t>
      </w:r>
      <w:r>
        <w:rPr>
          <w:spacing w:val="-13"/>
          <w:w w:val="115"/>
          <w:sz w:val="19"/>
        </w:rPr>
        <w:t> </w:t>
      </w:r>
      <w:r>
        <w:rPr>
          <w:w w:val="115"/>
          <w:sz w:val="19"/>
        </w:rPr>
        <w:t>resultó</w:t>
      </w:r>
      <w:r>
        <w:rPr>
          <w:spacing w:val="-13"/>
          <w:w w:val="115"/>
          <w:sz w:val="19"/>
        </w:rPr>
        <w:t> </w:t>
      </w:r>
      <w:r>
        <w:rPr>
          <w:w w:val="115"/>
          <w:sz w:val="19"/>
        </w:rPr>
        <w:t>posible–</w:t>
      </w:r>
      <w:r>
        <w:rPr>
          <w:spacing w:val="-13"/>
          <w:w w:val="115"/>
          <w:sz w:val="19"/>
        </w:rPr>
        <w:t> </w:t>
      </w:r>
      <w:r>
        <w:rPr>
          <w:w w:val="115"/>
          <w:sz w:val="19"/>
        </w:rPr>
        <w:t>la</w:t>
      </w:r>
      <w:r>
        <w:rPr>
          <w:spacing w:val="-13"/>
          <w:w w:val="115"/>
          <w:sz w:val="19"/>
        </w:rPr>
        <w:t> </w:t>
      </w:r>
      <w:r>
        <w:rPr>
          <w:w w:val="115"/>
          <w:sz w:val="19"/>
        </w:rPr>
        <w:t>ampliación</w:t>
      </w:r>
      <w:r>
        <w:rPr>
          <w:spacing w:val="-13"/>
          <w:w w:val="115"/>
          <w:sz w:val="19"/>
        </w:rPr>
        <w:t> </w:t>
      </w:r>
      <w:r>
        <w:rPr>
          <w:w w:val="115"/>
          <w:sz w:val="19"/>
        </w:rPr>
        <w:t>del</w:t>
      </w:r>
      <w:r>
        <w:rPr>
          <w:spacing w:val="-13"/>
          <w:w w:val="115"/>
          <w:sz w:val="19"/>
        </w:rPr>
        <w:t> </w:t>
      </w:r>
      <w:r>
        <w:rPr>
          <w:spacing w:val="-4"/>
          <w:w w:val="115"/>
          <w:sz w:val="19"/>
        </w:rPr>
        <w:t>Mer- </w:t>
      </w:r>
      <w:r>
        <w:rPr>
          <w:w w:val="120"/>
          <w:sz w:val="19"/>
        </w:rPr>
        <w:t>cado Común del sur (MErCosur) y la profundización de la unión</w:t>
      </w:r>
      <w:r>
        <w:rPr>
          <w:spacing w:val="-9"/>
          <w:w w:val="120"/>
          <w:sz w:val="19"/>
        </w:rPr>
        <w:t> </w:t>
      </w:r>
      <w:r>
        <w:rPr>
          <w:w w:val="120"/>
          <w:sz w:val="19"/>
        </w:rPr>
        <w:t>de</w:t>
      </w:r>
      <w:r>
        <w:rPr>
          <w:spacing w:val="-9"/>
          <w:w w:val="120"/>
          <w:sz w:val="19"/>
        </w:rPr>
        <w:t> </w:t>
      </w:r>
      <w:r>
        <w:rPr>
          <w:w w:val="120"/>
          <w:sz w:val="19"/>
        </w:rPr>
        <w:t>Naciones</w:t>
      </w:r>
      <w:r>
        <w:rPr>
          <w:spacing w:val="-9"/>
          <w:w w:val="120"/>
          <w:sz w:val="19"/>
        </w:rPr>
        <w:t> </w:t>
      </w:r>
      <w:r>
        <w:rPr>
          <w:w w:val="120"/>
          <w:sz w:val="19"/>
        </w:rPr>
        <w:t>sudamericanas</w:t>
      </w:r>
      <w:r>
        <w:rPr>
          <w:spacing w:val="-9"/>
          <w:w w:val="120"/>
          <w:sz w:val="19"/>
        </w:rPr>
        <w:t> </w:t>
      </w:r>
      <w:r>
        <w:rPr>
          <w:w w:val="120"/>
          <w:sz w:val="19"/>
        </w:rPr>
        <w:t>(uNasur),</w:t>
      </w:r>
      <w:r>
        <w:rPr>
          <w:spacing w:val="-9"/>
          <w:w w:val="120"/>
          <w:sz w:val="19"/>
        </w:rPr>
        <w:t> </w:t>
      </w:r>
      <w:r>
        <w:rPr>
          <w:w w:val="120"/>
          <w:sz w:val="19"/>
        </w:rPr>
        <w:t>al</w:t>
      </w:r>
      <w:r>
        <w:rPr>
          <w:spacing w:val="-9"/>
          <w:w w:val="120"/>
          <w:sz w:val="19"/>
        </w:rPr>
        <w:t> </w:t>
      </w:r>
      <w:r>
        <w:rPr>
          <w:w w:val="120"/>
          <w:sz w:val="19"/>
        </w:rPr>
        <w:t>igual</w:t>
      </w:r>
      <w:r>
        <w:rPr>
          <w:spacing w:val="-9"/>
          <w:w w:val="120"/>
          <w:sz w:val="19"/>
        </w:rPr>
        <w:t> </w:t>
      </w:r>
      <w:r>
        <w:rPr>
          <w:w w:val="120"/>
          <w:sz w:val="19"/>
        </w:rPr>
        <w:t>que</w:t>
      </w:r>
      <w:r>
        <w:rPr>
          <w:spacing w:val="-9"/>
          <w:w w:val="120"/>
          <w:sz w:val="19"/>
        </w:rPr>
        <w:t> </w:t>
      </w:r>
      <w:r>
        <w:rPr>
          <w:w w:val="120"/>
          <w:sz w:val="19"/>
        </w:rPr>
        <w:t>el </w:t>
      </w:r>
      <w:r>
        <w:rPr>
          <w:w w:val="115"/>
          <w:sz w:val="19"/>
        </w:rPr>
        <w:t>consiguiente cuestionamiento que ambas organizaciones les han planteado a los intereses geopolíticos y geoeconómicos de</w:t>
      </w:r>
      <w:r>
        <w:rPr>
          <w:spacing w:val="-7"/>
          <w:w w:val="115"/>
          <w:sz w:val="19"/>
        </w:rPr>
        <w:t> </w:t>
      </w:r>
      <w:r>
        <w:rPr>
          <w:w w:val="115"/>
          <w:sz w:val="19"/>
        </w:rPr>
        <w:t>los</w:t>
      </w:r>
      <w:r>
        <w:rPr>
          <w:spacing w:val="-7"/>
          <w:w w:val="115"/>
          <w:sz w:val="19"/>
        </w:rPr>
        <w:t> </w:t>
      </w:r>
      <w:r>
        <w:rPr>
          <w:w w:val="115"/>
          <w:sz w:val="19"/>
        </w:rPr>
        <w:t>grupos</w:t>
      </w:r>
      <w:r>
        <w:rPr>
          <w:spacing w:val="-7"/>
          <w:w w:val="115"/>
          <w:sz w:val="19"/>
        </w:rPr>
        <w:t> </w:t>
      </w:r>
      <w:r>
        <w:rPr>
          <w:w w:val="115"/>
          <w:sz w:val="19"/>
        </w:rPr>
        <w:t>dominantes</w:t>
      </w:r>
      <w:r>
        <w:rPr>
          <w:spacing w:val="-7"/>
          <w:w w:val="115"/>
          <w:sz w:val="19"/>
        </w:rPr>
        <w:t> </w:t>
      </w:r>
      <w:r>
        <w:rPr>
          <w:w w:val="115"/>
          <w:sz w:val="19"/>
        </w:rPr>
        <w:t>de</w:t>
      </w:r>
      <w:r>
        <w:rPr>
          <w:spacing w:val="-7"/>
          <w:w w:val="115"/>
          <w:sz w:val="19"/>
        </w:rPr>
        <w:t> </w:t>
      </w:r>
      <w:r>
        <w:rPr>
          <w:w w:val="115"/>
          <w:sz w:val="19"/>
        </w:rPr>
        <w:t>Estados</w:t>
      </w:r>
      <w:r>
        <w:rPr>
          <w:spacing w:val="-7"/>
          <w:w w:val="115"/>
          <w:sz w:val="19"/>
        </w:rPr>
        <w:t> </w:t>
      </w:r>
      <w:r>
        <w:rPr>
          <w:w w:val="115"/>
          <w:sz w:val="19"/>
        </w:rPr>
        <w:t>unidos</w:t>
      </w:r>
      <w:r>
        <w:rPr>
          <w:spacing w:val="-7"/>
          <w:w w:val="115"/>
          <w:sz w:val="19"/>
        </w:rPr>
        <w:t> </w:t>
      </w:r>
      <w:r>
        <w:rPr>
          <w:w w:val="115"/>
          <w:sz w:val="19"/>
        </w:rPr>
        <w:t>en</w:t>
      </w:r>
      <w:r>
        <w:rPr>
          <w:spacing w:val="-7"/>
          <w:w w:val="115"/>
          <w:sz w:val="19"/>
        </w:rPr>
        <w:t> </w:t>
      </w:r>
      <w:r>
        <w:rPr>
          <w:w w:val="115"/>
          <w:sz w:val="19"/>
        </w:rPr>
        <w:t>esa</w:t>
      </w:r>
      <w:r>
        <w:rPr>
          <w:spacing w:val="-7"/>
          <w:w w:val="115"/>
          <w:sz w:val="19"/>
        </w:rPr>
        <w:t> </w:t>
      </w:r>
      <w:r>
        <w:rPr>
          <w:w w:val="115"/>
          <w:sz w:val="19"/>
        </w:rPr>
        <w:t>región,</w:t>
      </w:r>
      <w:r>
        <w:rPr>
          <w:spacing w:val="-7"/>
          <w:w w:val="115"/>
          <w:sz w:val="19"/>
        </w:rPr>
        <w:t> </w:t>
      </w:r>
      <w:r>
        <w:rPr>
          <w:w w:val="115"/>
          <w:sz w:val="19"/>
        </w:rPr>
        <w:t>al </w:t>
      </w:r>
      <w:r>
        <w:rPr>
          <w:w w:val="120"/>
          <w:sz w:val="19"/>
        </w:rPr>
        <w:t>igual</w:t>
      </w:r>
      <w:r>
        <w:rPr>
          <w:spacing w:val="-32"/>
          <w:w w:val="120"/>
          <w:sz w:val="19"/>
        </w:rPr>
        <w:t> </w:t>
      </w:r>
      <w:r>
        <w:rPr>
          <w:w w:val="120"/>
          <w:sz w:val="19"/>
        </w:rPr>
        <w:t>que</w:t>
      </w:r>
      <w:r>
        <w:rPr>
          <w:spacing w:val="-32"/>
          <w:w w:val="120"/>
          <w:sz w:val="19"/>
        </w:rPr>
        <w:t> </w:t>
      </w:r>
      <w:r>
        <w:rPr>
          <w:w w:val="120"/>
          <w:sz w:val="19"/>
        </w:rPr>
        <w:t>en</w:t>
      </w:r>
      <w:r>
        <w:rPr>
          <w:spacing w:val="-32"/>
          <w:w w:val="120"/>
          <w:sz w:val="19"/>
        </w:rPr>
        <w:t> </w:t>
      </w:r>
      <w:r>
        <w:rPr>
          <w:w w:val="120"/>
          <w:sz w:val="19"/>
        </w:rPr>
        <w:t>el</w:t>
      </w:r>
      <w:r>
        <w:rPr>
          <w:spacing w:val="-32"/>
          <w:w w:val="120"/>
          <w:sz w:val="19"/>
        </w:rPr>
        <w:t> </w:t>
      </w:r>
      <w:r>
        <w:rPr>
          <w:w w:val="120"/>
          <w:sz w:val="19"/>
        </w:rPr>
        <w:t>atlántico</w:t>
      </w:r>
      <w:r>
        <w:rPr>
          <w:spacing w:val="-32"/>
          <w:w w:val="120"/>
          <w:sz w:val="19"/>
        </w:rPr>
        <w:t> </w:t>
      </w:r>
      <w:r>
        <w:rPr>
          <w:w w:val="120"/>
          <w:sz w:val="19"/>
        </w:rPr>
        <w:t>sur</w:t>
      </w:r>
      <w:r>
        <w:rPr>
          <w:spacing w:val="-32"/>
          <w:w w:val="120"/>
          <w:sz w:val="19"/>
        </w:rPr>
        <w:t> </w:t>
      </w:r>
      <w:r>
        <w:rPr>
          <w:w w:val="120"/>
          <w:sz w:val="19"/>
        </w:rPr>
        <w:t>(borón,</w:t>
      </w:r>
      <w:r>
        <w:rPr>
          <w:spacing w:val="-32"/>
          <w:w w:val="120"/>
          <w:sz w:val="19"/>
        </w:rPr>
        <w:t> </w:t>
      </w:r>
      <w:r>
        <w:rPr>
          <w:w w:val="120"/>
          <w:sz w:val="19"/>
        </w:rPr>
        <w:t>2012);</w:t>
      </w:r>
      <w:r>
        <w:rPr>
          <w:spacing w:val="-32"/>
          <w:w w:val="120"/>
          <w:sz w:val="19"/>
        </w:rPr>
        <w:t> </w:t>
      </w:r>
      <w:r>
        <w:rPr>
          <w:w w:val="120"/>
          <w:sz w:val="19"/>
        </w:rPr>
        <w:t>y</w:t>
      </w:r>
    </w:p>
    <w:p>
      <w:pPr>
        <w:pStyle w:val="ListParagraph"/>
        <w:numPr>
          <w:ilvl w:val="1"/>
          <w:numId w:val="20"/>
        </w:numPr>
        <w:tabs>
          <w:tab w:pos="955" w:val="left" w:leader="none"/>
        </w:tabs>
        <w:spacing w:line="252" w:lineRule="auto" w:before="85" w:after="0"/>
        <w:ind w:left="954" w:right="118" w:hanging="227"/>
        <w:jc w:val="both"/>
        <w:rPr>
          <w:sz w:val="19"/>
        </w:rPr>
      </w:pPr>
      <w:r>
        <w:rPr>
          <w:w w:val="139"/>
          <w:sz w:val="19"/>
        </w:rPr>
        <w:t>d</w:t>
      </w:r>
      <w:r>
        <w:rPr>
          <w:w w:val="110"/>
          <w:sz w:val="19"/>
        </w:rPr>
        <w:t>ificultar</w:t>
      </w:r>
      <w:r>
        <w:rPr>
          <w:sz w:val="19"/>
        </w:rPr>
        <w:t>  </w:t>
      </w:r>
      <w:r>
        <w:rPr>
          <w:spacing w:val="-12"/>
          <w:sz w:val="19"/>
        </w:rPr>
        <w:t> </w:t>
      </w:r>
      <w:r>
        <w:rPr>
          <w:w w:val="111"/>
          <w:sz w:val="19"/>
        </w:rPr>
        <w:t>la</w:t>
      </w:r>
      <w:r>
        <w:rPr>
          <w:sz w:val="19"/>
        </w:rPr>
        <w:t>  </w:t>
      </w:r>
      <w:r>
        <w:rPr>
          <w:spacing w:val="-12"/>
          <w:sz w:val="19"/>
        </w:rPr>
        <w:t> </w:t>
      </w:r>
      <w:r>
        <w:rPr>
          <w:w w:val="112"/>
          <w:sz w:val="19"/>
        </w:rPr>
        <w:t>fundación</w:t>
      </w:r>
      <w:r>
        <w:rPr>
          <w:sz w:val="19"/>
        </w:rPr>
        <w:t>  </w:t>
      </w:r>
      <w:r>
        <w:rPr>
          <w:spacing w:val="-12"/>
          <w:sz w:val="19"/>
        </w:rPr>
        <w:t> </w:t>
      </w:r>
      <w:r>
        <w:rPr>
          <w:w w:val="107"/>
          <w:sz w:val="19"/>
        </w:rPr>
        <w:t>de</w:t>
      </w:r>
      <w:r>
        <w:rPr>
          <w:sz w:val="19"/>
        </w:rPr>
        <w:t>  </w:t>
      </w:r>
      <w:r>
        <w:rPr>
          <w:spacing w:val="-12"/>
          <w:sz w:val="19"/>
        </w:rPr>
        <w:t> </w:t>
      </w:r>
      <w:r>
        <w:rPr>
          <w:w w:val="111"/>
          <w:sz w:val="19"/>
        </w:rPr>
        <w:t>la</w:t>
      </w:r>
      <w:r>
        <w:rPr>
          <w:sz w:val="19"/>
        </w:rPr>
        <w:t>  </w:t>
      </w:r>
      <w:r>
        <w:rPr>
          <w:spacing w:val="-12"/>
          <w:sz w:val="19"/>
        </w:rPr>
        <w:t> </w:t>
      </w:r>
      <w:r>
        <w:rPr>
          <w:w w:val="113"/>
          <w:sz w:val="19"/>
        </w:rPr>
        <w:t>Comunidad</w:t>
      </w:r>
      <w:r>
        <w:rPr>
          <w:sz w:val="19"/>
        </w:rPr>
        <w:t>  </w:t>
      </w:r>
      <w:r>
        <w:rPr>
          <w:spacing w:val="-12"/>
          <w:sz w:val="19"/>
        </w:rPr>
        <w:t> </w:t>
      </w:r>
      <w:r>
        <w:rPr>
          <w:w w:val="107"/>
          <w:sz w:val="19"/>
        </w:rPr>
        <w:t>de</w:t>
      </w:r>
      <w:r>
        <w:rPr>
          <w:sz w:val="19"/>
        </w:rPr>
        <w:t>  </w:t>
      </w:r>
      <w:r>
        <w:rPr>
          <w:spacing w:val="-12"/>
          <w:sz w:val="19"/>
        </w:rPr>
        <w:t> </w:t>
      </w:r>
      <w:r>
        <w:rPr>
          <w:w w:val="111"/>
          <w:sz w:val="19"/>
        </w:rPr>
        <w:t>Estados</w:t>
      </w:r>
      <w:r>
        <w:rPr>
          <w:sz w:val="19"/>
        </w:rPr>
        <w:t>  </w:t>
      </w:r>
      <w:r>
        <w:rPr>
          <w:spacing w:val="-12"/>
          <w:sz w:val="19"/>
        </w:rPr>
        <w:t> </w:t>
      </w:r>
      <w:r>
        <w:rPr>
          <w:w w:val="243"/>
          <w:sz w:val="19"/>
        </w:rPr>
        <w:t>l</w:t>
      </w:r>
      <w:r>
        <w:rPr>
          <w:w w:val="111"/>
          <w:sz w:val="19"/>
        </w:rPr>
        <w:t>ati</w:t>
      </w:r>
      <w:r>
        <w:rPr>
          <w:w w:val="102"/>
          <w:sz w:val="19"/>
        </w:rPr>
        <w:t>- </w:t>
      </w:r>
      <w:r>
        <w:rPr>
          <w:w w:val="115"/>
          <w:sz w:val="19"/>
        </w:rPr>
        <w:t>noamericanos y Caribeños (CElaC), así como tratar de evi- tar que las resoluciones de esa organización de concertación política obstaculicen el “adecuado cumplimiento” de los di- versos tratados, acuerdos y planes de acción aprobados por las Cumbres de las américas (ordinarias o extraordinarias), al igual que por los principales órganos político-militares y político-jurídicos</w:t>
      </w:r>
      <w:r>
        <w:rPr>
          <w:spacing w:val="-20"/>
          <w:w w:val="115"/>
          <w:sz w:val="19"/>
        </w:rPr>
        <w:t> </w:t>
      </w:r>
      <w:r>
        <w:rPr>
          <w:w w:val="115"/>
          <w:sz w:val="19"/>
        </w:rPr>
        <w:t>del</w:t>
      </w:r>
      <w:r>
        <w:rPr>
          <w:spacing w:val="-20"/>
          <w:w w:val="115"/>
          <w:sz w:val="19"/>
        </w:rPr>
        <w:t> </w:t>
      </w:r>
      <w:r>
        <w:rPr>
          <w:w w:val="115"/>
          <w:sz w:val="19"/>
        </w:rPr>
        <w:t>sistema</w:t>
      </w:r>
      <w:r>
        <w:rPr>
          <w:spacing w:val="-20"/>
          <w:w w:val="115"/>
          <w:sz w:val="19"/>
        </w:rPr>
        <w:t> </w:t>
      </w:r>
      <w:r>
        <w:rPr>
          <w:w w:val="115"/>
          <w:sz w:val="19"/>
        </w:rPr>
        <w:t>interamericano:</w:t>
      </w:r>
      <w:r>
        <w:rPr>
          <w:spacing w:val="-20"/>
          <w:w w:val="115"/>
          <w:sz w:val="19"/>
        </w:rPr>
        <w:t> </w:t>
      </w:r>
      <w:r>
        <w:rPr>
          <w:w w:val="115"/>
          <w:sz w:val="19"/>
        </w:rPr>
        <w:t>la</w:t>
      </w:r>
      <w:r>
        <w:rPr>
          <w:spacing w:val="-20"/>
          <w:w w:val="115"/>
          <w:sz w:val="19"/>
        </w:rPr>
        <w:t> </w:t>
      </w:r>
      <w:r>
        <w:rPr>
          <w:w w:val="115"/>
          <w:sz w:val="19"/>
        </w:rPr>
        <w:t>organización de Estados americanos (oEa) y sus diversas Comisiones, la Corte</w:t>
      </w:r>
      <w:r>
        <w:rPr>
          <w:spacing w:val="-10"/>
          <w:w w:val="115"/>
          <w:sz w:val="19"/>
        </w:rPr>
        <w:t> </w:t>
      </w:r>
      <w:r>
        <w:rPr>
          <w:w w:val="115"/>
          <w:sz w:val="19"/>
        </w:rPr>
        <w:t>interamericana</w:t>
      </w:r>
      <w:r>
        <w:rPr>
          <w:spacing w:val="-10"/>
          <w:w w:val="115"/>
          <w:sz w:val="19"/>
        </w:rPr>
        <w:t> </w:t>
      </w:r>
      <w:r>
        <w:rPr>
          <w:w w:val="115"/>
          <w:sz w:val="19"/>
        </w:rPr>
        <w:t>de</w:t>
      </w:r>
      <w:r>
        <w:rPr>
          <w:spacing w:val="-10"/>
          <w:w w:val="115"/>
          <w:sz w:val="19"/>
        </w:rPr>
        <w:t> </w:t>
      </w:r>
      <w:r>
        <w:rPr>
          <w:w w:val="115"/>
          <w:sz w:val="19"/>
        </w:rPr>
        <w:t>derechos</w:t>
      </w:r>
      <w:r>
        <w:rPr>
          <w:spacing w:val="-10"/>
          <w:w w:val="115"/>
          <w:sz w:val="19"/>
        </w:rPr>
        <w:t> </w:t>
      </w:r>
      <w:r>
        <w:rPr>
          <w:w w:val="115"/>
          <w:sz w:val="19"/>
        </w:rPr>
        <w:t>Humanos</w:t>
      </w:r>
      <w:r>
        <w:rPr>
          <w:spacing w:val="-10"/>
          <w:w w:val="115"/>
          <w:sz w:val="19"/>
        </w:rPr>
        <w:t> </w:t>
      </w:r>
      <w:r>
        <w:rPr>
          <w:w w:val="115"/>
          <w:sz w:val="19"/>
        </w:rPr>
        <w:t>(CidH)</w:t>
      </w:r>
      <w:r>
        <w:rPr>
          <w:spacing w:val="-10"/>
          <w:w w:val="115"/>
          <w:sz w:val="19"/>
        </w:rPr>
        <w:t> </w:t>
      </w:r>
      <w:r>
        <w:rPr>
          <w:w w:val="115"/>
          <w:sz w:val="19"/>
        </w:rPr>
        <w:t>y</w:t>
      </w:r>
      <w:r>
        <w:rPr>
          <w:spacing w:val="-10"/>
          <w:w w:val="115"/>
          <w:sz w:val="19"/>
        </w:rPr>
        <w:t> </w:t>
      </w:r>
      <w:r>
        <w:rPr>
          <w:w w:val="115"/>
          <w:sz w:val="19"/>
        </w:rPr>
        <w:t>la</w:t>
      </w:r>
      <w:r>
        <w:rPr>
          <w:spacing w:val="-10"/>
          <w:w w:val="115"/>
          <w:sz w:val="19"/>
        </w:rPr>
        <w:t> </w:t>
      </w:r>
      <w:r>
        <w:rPr>
          <w:w w:val="115"/>
          <w:sz w:val="19"/>
        </w:rPr>
        <w:t>Junta interamericana de defensa</w:t>
      </w:r>
      <w:r>
        <w:rPr>
          <w:spacing w:val="5"/>
          <w:w w:val="115"/>
          <w:sz w:val="19"/>
        </w:rPr>
        <w:t> </w:t>
      </w:r>
      <w:r>
        <w:rPr>
          <w:w w:val="115"/>
          <w:sz w:val="19"/>
        </w:rPr>
        <w:t>(Jid).</w:t>
      </w:r>
    </w:p>
    <w:p>
      <w:pPr>
        <w:pStyle w:val="BodyText"/>
        <w:spacing w:before="3"/>
        <w:rPr>
          <w:sz w:val="18"/>
        </w:rPr>
      </w:pPr>
    </w:p>
    <w:p>
      <w:pPr>
        <w:pStyle w:val="BodyText"/>
        <w:spacing w:line="252" w:lineRule="auto"/>
        <w:ind w:left="330" w:right="321" w:hanging="1"/>
      </w:pPr>
      <w:r>
        <w:rPr>
          <w:w w:val="110"/>
        </w:rPr>
        <w:t>No disponemos aquí de espacio para detallar las multifacéticas ac- ciones tanto públicas como discretas, encubiertas o “secretas” em-</w:t>
      </w:r>
    </w:p>
    <w:p>
      <w:pPr>
        <w:spacing w:after="0" w:line="252" w:lineRule="auto"/>
        <w:sectPr>
          <w:footerReference w:type="even" r:id="rId467"/>
          <w:footerReference w:type="default" r:id="rId468"/>
          <w:pgSz w:w="8790" w:h="12760"/>
          <w:pgMar w:footer="725" w:header="695" w:top="880" w:bottom="920" w:left="1200" w:right="900"/>
          <w:pgNumType w:start="352"/>
        </w:sectPr>
      </w:pPr>
    </w:p>
    <w:p>
      <w:pPr>
        <w:pStyle w:val="BodyText"/>
        <w:spacing w:before="9"/>
        <w:rPr>
          <w:sz w:val="28"/>
        </w:rPr>
      </w:pPr>
    </w:p>
    <w:p>
      <w:pPr>
        <w:pStyle w:val="BodyText"/>
        <w:spacing w:line="252" w:lineRule="auto" w:before="73"/>
        <w:ind w:left="120" w:right="325"/>
        <w:jc w:val="both"/>
      </w:pPr>
      <w:r>
        <w:rPr>
          <w:w w:val="110"/>
        </w:rPr>
        <w:t>prendidas en el período que abarca este acápite por “la diplomacia” estadounidense con vistas a tratar de garantizar el cumplimiento de esos objetivos. sin embargo, hay que resaltar que –con independen- cia de sus desiguales resultados– buena parte de esas acciones es- tuvieron guiadas por las unilaterales y militarizadas nociones sobre  la seguridad Nacional  de  Estados  unidos  </w:t>
      </w:r>
      <w:r>
        <w:rPr>
          <w:spacing w:val="-10"/>
          <w:w w:val="110"/>
        </w:rPr>
        <w:t>y,  </w:t>
      </w:r>
      <w:r>
        <w:rPr>
          <w:w w:val="110"/>
        </w:rPr>
        <w:t>concomitantemente, sobre “la seguridad interamericana” elaboradas por su burocracia político-militar y policial antes o durante la primera administración de  barack </w:t>
      </w:r>
      <w:r>
        <w:rPr>
          <w:spacing w:val="42"/>
          <w:w w:val="110"/>
        </w:rPr>
        <w:t> </w:t>
      </w:r>
      <w:r>
        <w:rPr>
          <w:w w:val="110"/>
        </w:rPr>
        <w:t>obama.</w:t>
      </w:r>
    </w:p>
    <w:p>
      <w:pPr>
        <w:pStyle w:val="BodyText"/>
        <w:spacing w:line="252" w:lineRule="auto"/>
        <w:ind w:left="120" w:right="327" w:firstLine="396"/>
        <w:jc w:val="both"/>
      </w:pPr>
      <w:r>
        <w:rPr>
          <w:w w:val="110"/>
        </w:rPr>
        <w:t>aunque, acorde con su ya referida promesa de “iniciar una nueva era de las relaciones interamericanas” en la retórica de esas definicio- nes, así como en ciertas prácticas de esa administración ganaron es- pacios algunas conceptos vinculados a la “seguridad multidimensio- nal” (económica, social, energética, alimentaria y medio-ambiental) previamente impulsados por diferentes gobiernos latinoamericanos y caribeños, en su implementación siguieron preponderando las defini- ciones y las acciones vinculadas a “la promoción del libre comercio”    y a “la seguridad no tradicional” elaboradas durante la post Guerra Fría </w:t>
      </w:r>
      <w:r>
        <w:rPr>
          <w:spacing w:val="-11"/>
          <w:w w:val="110"/>
        </w:rPr>
        <w:t>y, </w:t>
      </w:r>
      <w:r>
        <w:rPr>
          <w:w w:val="110"/>
        </w:rPr>
        <w:t>en particular, durante las dos administraciones de George </w:t>
      </w:r>
      <w:r>
        <w:rPr>
          <w:spacing w:val="-11"/>
          <w:w w:val="110"/>
        </w:rPr>
        <w:t>W. </w:t>
      </w:r>
      <w:r>
        <w:rPr>
          <w:w w:val="110"/>
        </w:rPr>
        <w:t>bush: la lucha contra el “narcotráfico”, el terrorismo; “el narco-terro- rismo”, el “crimen organizado transnacional” y las llamadas “migra- ciones</w:t>
      </w:r>
      <w:r>
        <w:rPr>
          <w:spacing w:val="33"/>
          <w:w w:val="110"/>
        </w:rPr>
        <w:t> </w:t>
      </w:r>
      <w:r>
        <w:rPr>
          <w:w w:val="110"/>
        </w:rPr>
        <w:t>incontroladas”.</w:t>
      </w:r>
    </w:p>
    <w:p>
      <w:pPr>
        <w:pStyle w:val="BodyText"/>
        <w:spacing w:before="5"/>
      </w:pPr>
    </w:p>
    <w:p>
      <w:pPr>
        <w:pStyle w:val="Heading6"/>
        <w:ind w:left="121"/>
      </w:pPr>
      <w:r>
        <w:rPr>
          <w:w w:val="135"/>
        </w:rPr>
        <w:t>una Mirada al Pasado reciente y al Porvenir</w:t>
      </w:r>
    </w:p>
    <w:p>
      <w:pPr>
        <w:pStyle w:val="BodyText"/>
        <w:spacing w:line="252" w:lineRule="auto" w:before="10"/>
        <w:ind w:left="120" w:right="327"/>
        <w:jc w:val="both"/>
      </w:pPr>
      <w:r>
        <w:rPr>
          <w:w w:val="115"/>
        </w:rPr>
        <w:t>a pesar de la reverdecida retórica acerca de sus intenciones de ela- borar nuevas “alianzas entre iguales” con los gobiernos de américa </w:t>
      </w:r>
      <w:r>
        <w:rPr>
          <w:w w:val="243"/>
        </w:rPr>
        <w:t>l</w:t>
      </w:r>
      <w:r>
        <w:rPr>
          <w:w w:val="111"/>
        </w:rPr>
        <w:t>atina</w:t>
      </w:r>
      <w:r>
        <w:rPr/>
        <w:t> </w:t>
      </w:r>
      <w:r>
        <w:rPr>
          <w:spacing w:val="-15"/>
        </w:rPr>
        <w:t> </w:t>
      </w:r>
      <w:r>
        <w:rPr>
          <w:w w:val="105"/>
        </w:rPr>
        <w:t>y</w:t>
      </w:r>
      <w:r>
        <w:rPr/>
        <w:t> </w:t>
      </w:r>
      <w:r>
        <w:rPr>
          <w:spacing w:val="-15"/>
        </w:rPr>
        <w:t> </w:t>
      </w:r>
      <w:r>
        <w:rPr>
          <w:w w:val="107"/>
        </w:rPr>
        <w:t>el</w:t>
      </w:r>
      <w:r>
        <w:rPr/>
        <w:t> </w:t>
      </w:r>
      <w:r>
        <w:rPr>
          <w:spacing w:val="-15"/>
        </w:rPr>
        <w:t> </w:t>
      </w:r>
      <w:r>
        <w:rPr>
          <w:w w:val="112"/>
        </w:rPr>
        <w:t>Caribe</w:t>
      </w:r>
      <w:r>
        <w:rPr/>
        <w:t> </w:t>
      </w:r>
      <w:r>
        <w:rPr>
          <w:spacing w:val="-15"/>
        </w:rPr>
        <w:t> </w:t>
      </w:r>
      <w:r>
        <w:rPr>
          <w:w w:val="109"/>
        </w:rPr>
        <w:t>basadas</w:t>
      </w:r>
      <w:r>
        <w:rPr/>
        <w:t> </w:t>
      </w:r>
      <w:r>
        <w:rPr>
          <w:spacing w:val="-15"/>
        </w:rPr>
        <w:t> </w:t>
      </w:r>
      <w:r>
        <w:rPr>
          <w:w w:val="110"/>
        </w:rPr>
        <w:t>“en</w:t>
      </w:r>
      <w:r>
        <w:rPr/>
        <w:t> </w:t>
      </w:r>
      <w:r>
        <w:rPr>
          <w:spacing w:val="-15"/>
        </w:rPr>
        <w:t> </w:t>
      </w:r>
      <w:r>
        <w:rPr>
          <w:w w:val="108"/>
        </w:rPr>
        <w:t>los</w:t>
      </w:r>
      <w:r>
        <w:rPr/>
        <w:t> </w:t>
      </w:r>
      <w:r>
        <w:rPr>
          <w:spacing w:val="-15"/>
        </w:rPr>
        <w:t> </w:t>
      </w:r>
      <w:r>
        <w:rPr>
          <w:w w:val="106"/>
        </w:rPr>
        <w:t>intereses</w:t>
      </w:r>
      <w:r>
        <w:rPr/>
        <w:t> </w:t>
      </w:r>
      <w:r>
        <w:rPr>
          <w:spacing w:val="-15"/>
        </w:rPr>
        <w:t> </w:t>
      </w:r>
      <w:r>
        <w:rPr>
          <w:w w:val="105"/>
        </w:rPr>
        <w:t>y</w:t>
      </w:r>
      <w:r>
        <w:rPr/>
        <w:t> </w:t>
      </w:r>
      <w:r>
        <w:rPr>
          <w:spacing w:val="-15"/>
        </w:rPr>
        <w:t> </w:t>
      </w:r>
      <w:r>
        <w:rPr>
          <w:w w:val="107"/>
        </w:rPr>
        <w:t>valores</w:t>
      </w:r>
      <w:r>
        <w:rPr/>
        <w:t> </w:t>
      </w:r>
      <w:r>
        <w:rPr>
          <w:spacing w:val="-15"/>
        </w:rPr>
        <w:t> </w:t>
      </w:r>
      <w:r>
        <w:rPr>
          <w:w w:val="111"/>
        </w:rPr>
        <w:t>compartidos”, </w:t>
      </w:r>
      <w:r>
        <w:rPr>
          <w:w w:val="115"/>
        </w:rPr>
        <w:t>así</w:t>
      </w:r>
      <w:r>
        <w:rPr>
          <w:spacing w:val="-7"/>
          <w:w w:val="115"/>
        </w:rPr>
        <w:t> </w:t>
      </w:r>
      <w:r>
        <w:rPr>
          <w:w w:val="115"/>
        </w:rPr>
        <w:t>como</w:t>
      </w:r>
      <w:r>
        <w:rPr>
          <w:spacing w:val="-7"/>
          <w:w w:val="115"/>
        </w:rPr>
        <w:t> </w:t>
      </w:r>
      <w:r>
        <w:rPr>
          <w:w w:val="115"/>
        </w:rPr>
        <w:t>“en</w:t>
      </w:r>
      <w:r>
        <w:rPr>
          <w:spacing w:val="-7"/>
          <w:w w:val="115"/>
        </w:rPr>
        <w:t> </w:t>
      </w:r>
      <w:r>
        <w:rPr>
          <w:w w:val="115"/>
        </w:rPr>
        <w:t>el</w:t>
      </w:r>
      <w:r>
        <w:rPr>
          <w:spacing w:val="-7"/>
          <w:w w:val="115"/>
        </w:rPr>
        <w:t> </w:t>
      </w:r>
      <w:r>
        <w:rPr>
          <w:w w:val="115"/>
        </w:rPr>
        <w:t>respeto</w:t>
      </w:r>
      <w:r>
        <w:rPr>
          <w:spacing w:val="-7"/>
          <w:w w:val="115"/>
        </w:rPr>
        <w:t> </w:t>
      </w:r>
      <w:r>
        <w:rPr>
          <w:w w:val="115"/>
        </w:rPr>
        <w:t>mutuo”</w:t>
      </w:r>
      <w:r>
        <w:rPr>
          <w:spacing w:val="-7"/>
          <w:w w:val="115"/>
        </w:rPr>
        <w:t> </w:t>
      </w:r>
      <w:r>
        <w:rPr>
          <w:w w:val="115"/>
        </w:rPr>
        <w:t>empleada</w:t>
      </w:r>
      <w:r>
        <w:rPr>
          <w:spacing w:val="-7"/>
          <w:w w:val="115"/>
        </w:rPr>
        <w:t> </w:t>
      </w:r>
      <w:r>
        <w:rPr>
          <w:w w:val="115"/>
        </w:rPr>
        <w:t>por</w:t>
      </w:r>
      <w:r>
        <w:rPr>
          <w:spacing w:val="-7"/>
          <w:w w:val="115"/>
        </w:rPr>
        <w:t> </w:t>
      </w:r>
      <w:r>
        <w:rPr>
          <w:w w:val="115"/>
        </w:rPr>
        <w:t>barack</w:t>
      </w:r>
      <w:r>
        <w:rPr>
          <w:spacing w:val="-7"/>
          <w:w w:val="115"/>
        </w:rPr>
        <w:t> </w:t>
      </w:r>
      <w:r>
        <w:rPr>
          <w:w w:val="115"/>
        </w:rPr>
        <w:t>obama,</w:t>
      </w:r>
      <w:r>
        <w:rPr>
          <w:spacing w:val="-7"/>
          <w:w w:val="115"/>
        </w:rPr>
        <w:t> </w:t>
      </w:r>
      <w:r>
        <w:rPr>
          <w:w w:val="115"/>
        </w:rPr>
        <w:t>por</w:t>
      </w:r>
      <w:r>
        <w:rPr>
          <w:spacing w:val="-7"/>
          <w:w w:val="115"/>
        </w:rPr>
        <w:t> </w:t>
      </w:r>
      <w:r>
        <w:rPr>
          <w:w w:val="115"/>
        </w:rPr>
        <w:t>su vicepresidente Joe biden y por el actual secretario de Estado John Kerry</w:t>
      </w:r>
      <w:r>
        <w:rPr>
          <w:spacing w:val="-5"/>
          <w:w w:val="115"/>
        </w:rPr>
        <w:t> </w:t>
      </w:r>
      <w:r>
        <w:rPr>
          <w:w w:val="115"/>
        </w:rPr>
        <w:t>antes,</w:t>
      </w:r>
      <w:r>
        <w:rPr>
          <w:spacing w:val="-5"/>
          <w:w w:val="115"/>
        </w:rPr>
        <w:t> </w:t>
      </w:r>
      <w:r>
        <w:rPr>
          <w:w w:val="115"/>
        </w:rPr>
        <w:t>durante</w:t>
      </w:r>
      <w:r>
        <w:rPr>
          <w:spacing w:val="-5"/>
          <w:w w:val="115"/>
        </w:rPr>
        <w:t> </w:t>
      </w:r>
      <w:r>
        <w:rPr>
          <w:w w:val="115"/>
        </w:rPr>
        <w:t>o</w:t>
      </w:r>
      <w:r>
        <w:rPr>
          <w:spacing w:val="-5"/>
          <w:w w:val="115"/>
        </w:rPr>
        <w:t> </w:t>
      </w:r>
      <w:r>
        <w:rPr>
          <w:w w:val="115"/>
        </w:rPr>
        <w:t>después</w:t>
      </w:r>
      <w:r>
        <w:rPr>
          <w:spacing w:val="-5"/>
          <w:w w:val="115"/>
        </w:rPr>
        <w:t> </w:t>
      </w:r>
      <w:r>
        <w:rPr>
          <w:w w:val="115"/>
        </w:rPr>
        <w:t>de</w:t>
      </w:r>
      <w:r>
        <w:rPr>
          <w:spacing w:val="-5"/>
          <w:w w:val="115"/>
        </w:rPr>
        <w:t> </w:t>
      </w:r>
      <w:r>
        <w:rPr>
          <w:w w:val="115"/>
        </w:rPr>
        <w:t>las</w:t>
      </w:r>
      <w:r>
        <w:rPr>
          <w:spacing w:val="-5"/>
          <w:w w:val="115"/>
        </w:rPr>
        <w:t> </w:t>
      </w:r>
      <w:r>
        <w:rPr>
          <w:w w:val="115"/>
        </w:rPr>
        <w:t>reuniones</w:t>
      </w:r>
      <w:r>
        <w:rPr>
          <w:spacing w:val="-5"/>
          <w:w w:val="115"/>
        </w:rPr>
        <w:t> </w:t>
      </w:r>
      <w:r>
        <w:rPr>
          <w:w w:val="115"/>
        </w:rPr>
        <w:t>que,</w:t>
      </w:r>
      <w:r>
        <w:rPr>
          <w:spacing w:val="-5"/>
          <w:w w:val="115"/>
        </w:rPr>
        <w:t> </w:t>
      </w:r>
      <w:r>
        <w:rPr>
          <w:w w:val="115"/>
        </w:rPr>
        <w:t>de</w:t>
      </w:r>
      <w:r>
        <w:rPr>
          <w:spacing w:val="-5"/>
          <w:w w:val="115"/>
        </w:rPr>
        <w:t> </w:t>
      </w:r>
      <w:r>
        <w:rPr>
          <w:w w:val="115"/>
        </w:rPr>
        <w:t>manera</w:t>
      </w:r>
      <w:r>
        <w:rPr>
          <w:spacing w:val="-5"/>
          <w:w w:val="115"/>
        </w:rPr>
        <w:t> </w:t>
      </w:r>
      <w:r>
        <w:rPr>
          <w:w w:val="115"/>
        </w:rPr>
        <w:t>se- parada, individual o colectiva, estos sostuvieron en diferentes mo- mentos</w:t>
      </w:r>
      <w:r>
        <w:rPr>
          <w:spacing w:val="-16"/>
          <w:w w:val="115"/>
        </w:rPr>
        <w:t> </w:t>
      </w:r>
      <w:r>
        <w:rPr>
          <w:w w:val="115"/>
        </w:rPr>
        <w:t>de</w:t>
      </w:r>
      <w:r>
        <w:rPr>
          <w:spacing w:val="-16"/>
          <w:w w:val="115"/>
        </w:rPr>
        <w:t> </w:t>
      </w:r>
      <w:r>
        <w:rPr>
          <w:w w:val="115"/>
        </w:rPr>
        <w:t>2013</w:t>
      </w:r>
      <w:r>
        <w:rPr>
          <w:spacing w:val="-16"/>
          <w:w w:val="115"/>
        </w:rPr>
        <w:t> </w:t>
      </w:r>
      <w:r>
        <w:rPr>
          <w:w w:val="115"/>
        </w:rPr>
        <w:t>y</w:t>
      </w:r>
      <w:r>
        <w:rPr>
          <w:spacing w:val="-16"/>
          <w:w w:val="115"/>
        </w:rPr>
        <w:t> </w:t>
      </w:r>
      <w:r>
        <w:rPr>
          <w:w w:val="115"/>
        </w:rPr>
        <w:t>de</w:t>
      </w:r>
      <w:r>
        <w:rPr>
          <w:spacing w:val="-16"/>
          <w:w w:val="115"/>
        </w:rPr>
        <w:t> </w:t>
      </w:r>
      <w:r>
        <w:rPr>
          <w:w w:val="115"/>
        </w:rPr>
        <w:t>lo</w:t>
      </w:r>
      <w:r>
        <w:rPr>
          <w:spacing w:val="-16"/>
          <w:w w:val="115"/>
        </w:rPr>
        <w:t> </w:t>
      </w:r>
      <w:r>
        <w:rPr>
          <w:w w:val="115"/>
        </w:rPr>
        <w:t>transcurrido</w:t>
      </w:r>
      <w:r>
        <w:rPr>
          <w:spacing w:val="-16"/>
          <w:w w:val="115"/>
        </w:rPr>
        <w:t> </w:t>
      </w:r>
      <w:r>
        <w:rPr>
          <w:w w:val="115"/>
        </w:rPr>
        <w:t>de</w:t>
      </w:r>
      <w:r>
        <w:rPr>
          <w:spacing w:val="-16"/>
          <w:w w:val="115"/>
        </w:rPr>
        <w:t> </w:t>
      </w:r>
      <w:r>
        <w:rPr>
          <w:w w:val="115"/>
        </w:rPr>
        <w:t>2014</w:t>
      </w:r>
      <w:r>
        <w:rPr>
          <w:spacing w:val="-16"/>
          <w:w w:val="115"/>
        </w:rPr>
        <w:t> </w:t>
      </w:r>
      <w:r>
        <w:rPr>
          <w:w w:val="115"/>
        </w:rPr>
        <w:t>con</w:t>
      </w:r>
      <w:r>
        <w:rPr>
          <w:spacing w:val="-16"/>
          <w:w w:val="115"/>
        </w:rPr>
        <w:t> </w:t>
      </w:r>
      <w:r>
        <w:rPr>
          <w:w w:val="115"/>
        </w:rPr>
        <w:t>los</w:t>
      </w:r>
      <w:r>
        <w:rPr>
          <w:spacing w:val="-16"/>
          <w:w w:val="115"/>
        </w:rPr>
        <w:t> </w:t>
      </w:r>
      <w:r>
        <w:rPr>
          <w:w w:val="115"/>
        </w:rPr>
        <w:t>mandatarios</w:t>
      </w:r>
      <w:r>
        <w:rPr>
          <w:spacing w:val="-16"/>
          <w:w w:val="115"/>
        </w:rPr>
        <w:t> </w:t>
      </w:r>
      <w:r>
        <w:rPr>
          <w:w w:val="115"/>
        </w:rPr>
        <w:t>de 30 Estados latinoamericanos y caribeños,</w:t>
      </w:r>
      <w:r>
        <w:rPr>
          <w:w w:val="115"/>
          <w:position w:val="6"/>
          <w:sz w:val="11"/>
        </w:rPr>
        <w:t>4 </w:t>
      </w:r>
      <w:r>
        <w:rPr>
          <w:w w:val="115"/>
        </w:rPr>
        <w:t>ninguno de los</w:t>
      </w:r>
      <w:r>
        <w:rPr>
          <w:spacing w:val="-34"/>
          <w:w w:val="115"/>
        </w:rPr>
        <w:t> </w:t>
      </w:r>
      <w:r>
        <w:rPr>
          <w:w w:val="115"/>
        </w:rPr>
        <w:t>objetivos</w:t>
      </w:r>
    </w:p>
    <w:p>
      <w:pPr>
        <w:pStyle w:val="BodyText"/>
        <w:spacing w:before="5"/>
        <w:rPr>
          <w:sz w:val="29"/>
        </w:rPr>
      </w:pPr>
      <w:r>
        <w:rPr/>
        <w:pict>
          <v:line style="position:absolute;mso-position-horizontal-relative:page;mso-position-vertical-relative:paragraph;z-index:7840;mso-wrap-distance-left:0;mso-wrap-distance-right:0" from="51.023602pt,19.460033pt" to="79.369602pt,19.460033pt" stroked="true" strokeweight=".5pt" strokecolor="#000000">
            <w10:wrap type="topAndBottom"/>
          </v:line>
        </w:pict>
      </w:r>
    </w:p>
    <w:p>
      <w:pPr>
        <w:pStyle w:val="ListParagraph"/>
        <w:numPr>
          <w:ilvl w:val="1"/>
          <w:numId w:val="32"/>
        </w:numPr>
        <w:tabs>
          <w:tab w:pos="376" w:val="left" w:leader="none"/>
        </w:tabs>
        <w:spacing w:line="242" w:lineRule="auto" w:before="89" w:after="0"/>
        <w:ind w:left="120" w:right="327" w:firstLine="0"/>
        <w:jc w:val="both"/>
        <w:rPr>
          <w:sz w:val="16"/>
        </w:rPr>
      </w:pPr>
      <w:r>
        <w:rPr>
          <w:w w:val="115"/>
          <w:sz w:val="16"/>
        </w:rPr>
        <w:t>según</w:t>
      </w:r>
      <w:r>
        <w:rPr>
          <w:spacing w:val="-29"/>
          <w:w w:val="115"/>
          <w:sz w:val="16"/>
        </w:rPr>
        <w:t> </w:t>
      </w:r>
      <w:r>
        <w:rPr>
          <w:w w:val="115"/>
          <w:sz w:val="16"/>
        </w:rPr>
        <w:t>la</w:t>
      </w:r>
      <w:r>
        <w:rPr>
          <w:spacing w:val="-29"/>
          <w:w w:val="115"/>
          <w:sz w:val="16"/>
        </w:rPr>
        <w:t> </w:t>
      </w:r>
      <w:r>
        <w:rPr>
          <w:w w:val="115"/>
          <w:sz w:val="16"/>
        </w:rPr>
        <w:t>información</w:t>
      </w:r>
      <w:r>
        <w:rPr>
          <w:spacing w:val="-29"/>
          <w:w w:val="115"/>
          <w:sz w:val="16"/>
        </w:rPr>
        <w:t> </w:t>
      </w:r>
      <w:r>
        <w:rPr>
          <w:w w:val="115"/>
          <w:sz w:val="16"/>
        </w:rPr>
        <w:t>de</w:t>
      </w:r>
      <w:r>
        <w:rPr>
          <w:spacing w:val="-29"/>
          <w:w w:val="115"/>
          <w:sz w:val="16"/>
        </w:rPr>
        <w:t> </w:t>
      </w:r>
      <w:r>
        <w:rPr>
          <w:w w:val="115"/>
          <w:sz w:val="16"/>
        </w:rPr>
        <w:t>la</w:t>
      </w:r>
      <w:r>
        <w:rPr>
          <w:spacing w:val="-29"/>
          <w:w w:val="115"/>
          <w:sz w:val="16"/>
        </w:rPr>
        <w:t> </w:t>
      </w:r>
      <w:r>
        <w:rPr>
          <w:w w:val="115"/>
          <w:sz w:val="16"/>
        </w:rPr>
        <w:t>que</w:t>
      </w:r>
      <w:r>
        <w:rPr>
          <w:spacing w:val="-29"/>
          <w:w w:val="115"/>
          <w:sz w:val="16"/>
        </w:rPr>
        <w:t> </w:t>
      </w:r>
      <w:r>
        <w:rPr>
          <w:w w:val="115"/>
          <w:sz w:val="16"/>
        </w:rPr>
        <w:t>hasta</w:t>
      </w:r>
      <w:r>
        <w:rPr>
          <w:spacing w:val="-29"/>
          <w:w w:val="115"/>
          <w:sz w:val="16"/>
        </w:rPr>
        <w:t> </w:t>
      </w:r>
      <w:r>
        <w:rPr>
          <w:w w:val="115"/>
          <w:sz w:val="16"/>
        </w:rPr>
        <w:t>ahora</w:t>
      </w:r>
      <w:r>
        <w:rPr>
          <w:spacing w:val="-29"/>
          <w:w w:val="115"/>
          <w:sz w:val="16"/>
        </w:rPr>
        <w:t> </w:t>
      </w:r>
      <w:r>
        <w:rPr>
          <w:w w:val="115"/>
          <w:sz w:val="16"/>
        </w:rPr>
        <w:t>dispongo,</w:t>
      </w:r>
      <w:r>
        <w:rPr>
          <w:spacing w:val="-29"/>
          <w:w w:val="115"/>
          <w:sz w:val="16"/>
        </w:rPr>
        <w:t> </w:t>
      </w:r>
      <w:r>
        <w:rPr>
          <w:w w:val="115"/>
          <w:sz w:val="16"/>
        </w:rPr>
        <w:t>con</w:t>
      </w:r>
      <w:r>
        <w:rPr>
          <w:spacing w:val="-29"/>
          <w:w w:val="115"/>
          <w:sz w:val="16"/>
        </w:rPr>
        <w:t> </w:t>
      </w:r>
      <w:r>
        <w:rPr>
          <w:w w:val="115"/>
          <w:sz w:val="16"/>
        </w:rPr>
        <w:t>los</w:t>
      </w:r>
      <w:r>
        <w:rPr>
          <w:spacing w:val="-29"/>
          <w:w w:val="115"/>
          <w:sz w:val="16"/>
        </w:rPr>
        <w:t> </w:t>
      </w:r>
      <w:r>
        <w:rPr>
          <w:w w:val="115"/>
          <w:sz w:val="16"/>
        </w:rPr>
        <w:t>únicos</w:t>
      </w:r>
      <w:r>
        <w:rPr>
          <w:spacing w:val="-29"/>
          <w:w w:val="115"/>
          <w:sz w:val="16"/>
        </w:rPr>
        <w:t> </w:t>
      </w:r>
      <w:r>
        <w:rPr>
          <w:w w:val="115"/>
          <w:sz w:val="16"/>
        </w:rPr>
        <w:t>mandatarios latinoamericanos</w:t>
      </w:r>
      <w:r>
        <w:rPr>
          <w:spacing w:val="-16"/>
          <w:w w:val="115"/>
          <w:sz w:val="16"/>
        </w:rPr>
        <w:t> </w:t>
      </w:r>
      <w:r>
        <w:rPr>
          <w:w w:val="115"/>
          <w:sz w:val="16"/>
        </w:rPr>
        <w:t>y</w:t>
      </w:r>
      <w:r>
        <w:rPr>
          <w:spacing w:val="-16"/>
          <w:w w:val="115"/>
          <w:sz w:val="16"/>
        </w:rPr>
        <w:t> </w:t>
      </w:r>
      <w:r>
        <w:rPr>
          <w:w w:val="115"/>
          <w:sz w:val="16"/>
        </w:rPr>
        <w:t>caribeños</w:t>
      </w:r>
      <w:r>
        <w:rPr>
          <w:spacing w:val="-16"/>
          <w:w w:val="115"/>
          <w:sz w:val="16"/>
        </w:rPr>
        <w:t> </w:t>
      </w:r>
      <w:r>
        <w:rPr>
          <w:w w:val="115"/>
          <w:sz w:val="16"/>
        </w:rPr>
        <w:t>con</w:t>
      </w:r>
      <w:r>
        <w:rPr>
          <w:spacing w:val="-16"/>
          <w:w w:val="115"/>
          <w:sz w:val="16"/>
        </w:rPr>
        <w:t> </w:t>
      </w:r>
      <w:r>
        <w:rPr>
          <w:w w:val="115"/>
          <w:sz w:val="16"/>
        </w:rPr>
        <w:t>los</w:t>
      </w:r>
      <w:r>
        <w:rPr>
          <w:spacing w:val="-16"/>
          <w:w w:val="115"/>
          <w:sz w:val="16"/>
        </w:rPr>
        <w:t> </w:t>
      </w:r>
      <w:r>
        <w:rPr>
          <w:w w:val="115"/>
          <w:sz w:val="16"/>
        </w:rPr>
        <w:t>que</w:t>
      </w:r>
      <w:r>
        <w:rPr>
          <w:spacing w:val="-16"/>
          <w:w w:val="115"/>
          <w:sz w:val="16"/>
        </w:rPr>
        <w:t> </w:t>
      </w:r>
      <w:r>
        <w:rPr>
          <w:w w:val="115"/>
          <w:sz w:val="16"/>
        </w:rPr>
        <w:t>no</w:t>
      </w:r>
      <w:r>
        <w:rPr>
          <w:spacing w:val="-16"/>
          <w:w w:val="115"/>
          <w:sz w:val="16"/>
        </w:rPr>
        <w:t> </w:t>
      </w:r>
      <w:r>
        <w:rPr>
          <w:w w:val="115"/>
          <w:sz w:val="16"/>
        </w:rPr>
        <w:t>se</w:t>
      </w:r>
      <w:r>
        <w:rPr>
          <w:spacing w:val="-16"/>
          <w:w w:val="115"/>
          <w:sz w:val="16"/>
        </w:rPr>
        <w:t> </w:t>
      </w:r>
      <w:r>
        <w:rPr>
          <w:w w:val="115"/>
          <w:sz w:val="16"/>
        </w:rPr>
        <w:t>han</w:t>
      </w:r>
      <w:r>
        <w:rPr>
          <w:spacing w:val="-16"/>
          <w:w w:val="115"/>
          <w:sz w:val="16"/>
        </w:rPr>
        <w:t> </w:t>
      </w:r>
      <w:r>
        <w:rPr>
          <w:w w:val="115"/>
          <w:sz w:val="16"/>
        </w:rPr>
        <w:t>reunido</w:t>
      </w:r>
      <w:r>
        <w:rPr>
          <w:spacing w:val="-16"/>
          <w:w w:val="115"/>
          <w:sz w:val="16"/>
        </w:rPr>
        <w:t> </w:t>
      </w:r>
      <w:r>
        <w:rPr>
          <w:w w:val="115"/>
          <w:sz w:val="16"/>
        </w:rPr>
        <w:t>ni</w:t>
      </w:r>
      <w:r>
        <w:rPr>
          <w:spacing w:val="-16"/>
          <w:w w:val="115"/>
          <w:sz w:val="16"/>
        </w:rPr>
        <w:t> </w:t>
      </w:r>
      <w:r>
        <w:rPr>
          <w:w w:val="115"/>
          <w:sz w:val="16"/>
        </w:rPr>
        <w:t>obama</w:t>
      </w:r>
      <w:r>
        <w:rPr>
          <w:spacing w:val="-16"/>
          <w:w w:val="115"/>
          <w:sz w:val="16"/>
        </w:rPr>
        <w:t> </w:t>
      </w:r>
      <w:r>
        <w:rPr>
          <w:w w:val="115"/>
          <w:sz w:val="16"/>
        </w:rPr>
        <w:t>ni</w:t>
      </w:r>
      <w:r>
        <w:rPr>
          <w:spacing w:val="-16"/>
          <w:w w:val="115"/>
          <w:sz w:val="16"/>
        </w:rPr>
        <w:t> </w:t>
      </w:r>
      <w:r>
        <w:rPr>
          <w:w w:val="115"/>
          <w:sz w:val="16"/>
        </w:rPr>
        <w:t>biden</w:t>
      </w:r>
      <w:r>
        <w:rPr>
          <w:spacing w:val="-16"/>
          <w:w w:val="115"/>
          <w:sz w:val="16"/>
        </w:rPr>
        <w:t> </w:t>
      </w:r>
      <w:r>
        <w:rPr>
          <w:w w:val="115"/>
          <w:sz w:val="16"/>
        </w:rPr>
        <w:t>han </w:t>
      </w:r>
      <w:r>
        <w:rPr>
          <w:w w:val="107"/>
          <w:sz w:val="16"/>
        </w:rPr>
        <w:t>sido</w:t>
      </w:r>
      <w:r>
        <w:rPr>
          <w:spacing w:val="17"/>
          <w:sz w:val="16"/>
        </w:rPr>
        <w:t> </w:t>
      </w:r>
      <w:r>
        <w:rPr>
          <w:w w:val="106"/>
          <w:sz w:val="16"/>
        </w:rPr>
        <w:t>los</w:t>
      </w:r>
      <w:r>
        <w:rPr>
          <w:spacing w:val="17"/>
          <w:sz w:val="16"/>
        </w:rPr>
        <w:t> </w:t>
      </w:r>
      <w:r>
        <w:rPr>
          <w:w w:val="104"/>
          <w:sz w:val="16"/>
        </w:rPr>
        <w:t>de</w:t>
      </w:r>
      <w:r>
        <w:rPr>
          <w:spacing w:val="17"/>
          <w:sz w:val="16"/>
        </w:rPr>
        <w:t> </w:t>
      </w:r>
      <w:r>
        <w:rPr>
          <w:w w:val="131"/>
          <w:sz w:val="16"/>
        </w:rPr>
        <w:t>b</w:t>
      </w:r>
      <w:r>
        <w:rPr>
          <w:w w:val="110"/>
          <w:sz w:val="16"/>
        </w:rPr>
        <w:t>olivia,</w:t>
      </w:r>
      <w:r>
        <w:rPr>
          <w:spacing w:val="17"/>
          <w:sz w:val="16"/>
        </w:rPr>
        <w:t> </w:t>
      </w:r>
      <w:r>
        <w:rPr>
          <w:w w:val="112"/>
          <w:sz w:val="16"/>
        </w:rPr>
        <w:t>Cuba</w:t>
      </w:r>
      <w:r>
        <w:rPr>
          <w:spacing w:val="17"/>
          <w:sz w:val="16"/>
        </w:rPr>
        <w:t> </w:t>
      </w:r>
      <w:r>
        <w:rPr>
          <w:w w:val="102"/>
          <w:sz w:val="16"/>
        </w:rPr>
        <w:t>y</w:t>
      </w:r>
      <w:r>
        <w:rPr>
          <w:spacing w:val="17"/>
          <w:sz w:val="16"/>
        </w:rPr>
        <w:t> </w:t>
      </w:r>
      <w:r>
        <w:rPr>
          <w:w w:val="109"/>
          <w:sz w:val="16"/>
        </w:rPr>
        <w:t>la</w:t>
      </w:r>
      <w:r>
        <w:rPr>
          <w:spacing w:val="17"/>
          <w:sz w:val="16"/>
        </w:rPr>
        <w:t> </w:t>
      </w:r>
      <w:r>
        <w:rPr>
          <w:w w:val="179"/>
          <w:sz w:val="16"/>
        </w:rPr>
        <w:t>r</w:t>
      </w:r>
      <w:r>
        <w:rPr>
          <w:w w:val="108"/>
          <w:sz w:val="16"/>
        </w:rPr>
        <w:t>epública</w:t>
      </w:r>
      <w:r>
        <w:rPr>
          <w:spacing w:val="17"/>
          <w:sz w:val="16"/>
        </w:rPr>
        <w:t> </w:t>
      </w:r>
      <w:r>
        <w:rPr>
          <w:w w:val="131"/>
          <w:sz w:val="16"/>
        </w:rPr>
        <w:t>b</w:t>
      </w:r>
      <w:r>
        <w:rPr>
          <w:w w:val="108"/>
          <w:sz w:val="16"/>
        </w:rPr>
        <w:t>olivariana</w:t>
      </w:r>
      <w:r>
        <w:rPr>
          <w:spacing w:val="17"/>
          <w:sz w:val="16"/>
        </w:rPr>
        <w:t> </w:t>
      </w:r>
      <w:r>
        <w:rPr>
          <w:w w:val="104"/>
          <w:sz w:val="16"/>
        </w:rPr>
        <w:t>de</w:t>
      </w:r>
      <w:r>
        <w:rPr>
          <w:spacing w:val="17"/>
          <w:sz w:val="16"/>
        </w:rPr>
        <w:t> </w:t>
      </w:r>
      <w:r>
        <w:rPr>
          <w:spacing w:val="-12"/>
          <w:w w:val="116"/>
          <w:sz w:val="16"/>
        </w:rPr>
        <w:t>V</w:t>
      </w:r>
      <w:r>
        <w:rPr>
          <w:w w:val="108"/>
          <w:sz w:val="16"/>
        </w:rPr>
        <w:t>enezuela.</w:t>
      </w:r>
      <w:r>
        <w:rPr>
          <w:spacing w:val="17"/>
          <w:sz w:val="16"/>
        </w:rPr>
        <w:t> </w:t>
      </w:r>
      <w:r>
        <w:rPr>
          <w:w w:val="238"/>
          <w:sz w:val="16"/>
        </w:rPr>
        <w:t>l</w:t>
      </w:r>
      <w:r>
        <w:rPr>
          <w:w w:val="109"/>
          <w:sz w:val="16"/>
        </w:rPr>
        <w:t>a</w:t>
      </w:r>
      <w:r>
        <w:rPr>
          <w:spacing w:val="17"/>
          <w:sz w:val="16"/>
        </w:rPr>
        <w:t> </w:t>
      </w:r>
      <w:r>
        <w:rPr>
          <w:w w:val="106"/>
          <w:sz w:val="16"/>
        </w:rPr>
        <w:t>apretada</w:t>
      </w:r>
      <w:r>
        <w:rPr>
          <w:spacing w:val="17"/>
          <w:sz w:val="16"/>
        </w:rPr>
        <w:t> </w:t>
      </w:r>
      <w:r>
        <w:rPr>
          <w:w w:val="108"/>
          <w:sz w:val="16"/>
        </w:rPr>
        <w:t>sín</w:t>
      </w:r>
      <w:r>
        <w:rPr>
          <w:w w:val="100"/>
          <w:sz w:val="16"/>
        </w:rPr>
        <w:t>- </w:t>
      </w:r>
      <w:r>
        <w:rPr>
          <w:w w:val="104"/>
          <w:sz w:val="16"/>
        </w:rPr>
        <w:t>tesis</w:t>
      </w:r>
      <w:r>
        <w:rPr>
          <w:spacing w:val="7"/>
          <w:sz w:val="16"/>
        </w:rPr>
        <w:t> </w:t>
      </w:r>
      <w:r>
        <w:rPr>
          <w:w w:val="104"/>
          <w:sz w:val="16"/>
        </w:rPr>
        <w:t>de</w:t>
      </w:r>
      <w:r>
        <w:rPr>
          <w:spacing w:val="7"/>
          <w:sz w:val="16"/>
        </w:rPr>
        <w:t> </w:t>
      </w:r>
      <w:r>
        <w:rPr>
          <w:w w:val="109"/>
          <w:sz w:val="16"/>
        </w:rPr>
        <w:t>la</w:t>
      </w:r>
      <w:r>
        <w:rPr>
          <w:spacing w:val="7"/>
          <w:sz w:val="16"/>
        </w:rPr>
        <w:t> </w:t>
      </w:r>
      <w:r>
        <w:rPr>
          <w:w w:val="107"/>
          <w:sz w:val="16"/>
        </w:rPr>
        <w:t>retórica</w:t>
      </w:r>
      <w:r>
        <w:rPr>
          <w:spacing w:val="7"/>
          <w:sz w:val="16"/>
        </w:rPr>
        <w:t> </w:t>
      </w:r>
      <w:r>
        <w:rPr>
          <w:w w:val="104"/>
          <w:sz w:val="16"/>
        </w:rPr>
        <w:t>de</w:t>
      </w:r>
      <w:r>
        <w:rPr>
          <w:spacing w:val="7"/>
          <w:sz w:val="16"/>
        </w:rPr>
        <w:t> </w:t>
      </w:r>
      <w:r>
        <w:rPr>
          <w:w w:val="109"/>
          <w:sz w:val="16"/>
        </w:rPr>
        <w:t>la</w:t>
      </w:r>
      <w:r>
        <w:rPr>
          <w:spacing w:val="7"/>
          <w:sz w:val="16"/>
        </w:rPr>
        <w:t> </w:t>
      </w:r>
      <w:r>
        <w:rPr>
          <w:w w:val="109"/>
          <w:sz w:val="16"/>
        </w:rPr>
        <w:t>política</w:t>
      </w:r>
      <w:r>
        <w:rPr>
          <w:spacing w:val="7"/>
          <w:sz w:val="16"/>
        </w:rPr>
        <w:t> </w:t>
      </w:r>
      <w:r>
        <w:rPr>
          <w:w w:val="111"/>
          <w:sz w:val="16"/>
        </w:rPr>
        <w:t>hacia</w:t>
      </w:r>
      <w:r>
        <w:rPr>
          <w:spacing w:val="7"/>
          <w:sz w:val="16"/>
        </w:rPr>
        <w:t> </w:t>
      </w:r>
      <w:r>
        <w:rPr>
          <w:w w:val="136"/>
          <w:sz w:val="16"/>
        </w:rPr>
        <w:t>a</w:t>
      </w:r>
      <w:r>
        <w:rPr>
          <w:w w:val="108"/>
          <w:sz w:val="16"/>
        </w:rPr>
        <w:t>mérica</w:t>
      </w:r>
      <w:r>
        <w:rPr>
          <w:spacing w:val="7"/>
          <w:sz w:val="16"/>
        </w:rPr>
        <w:t> </w:t>
      </w:r>
      <w:r>
        <w:rPr>
          <w:w w:val="238"/>
          <w:sz w:val="16"/>
        </w:rPr>
        <w:t>l</w:t>
      </w:r>
      <w:r>
        <w:rPr>
          <w:w w:val="109"/>
          <w:sz w:val="16"/>
        </w:rPr>
        <w:t>atina</w:t>
      </w:r>
      <w:r>
        <w:rPr>
          <w:spacing w:val="7"/>
          <w:sz w:val="16"/>
        </w:rPr>
        <w:t> </w:t>
      </w:r>
      <w:r>
        <w:rPr>
          <w:w w:val="102"/>
          <w:sz w:val="16"/>
        </w:rPr>
        <w:t>y</w:t>
      </w:r>
      <w:r>
        <w:rPr>
          <w:spacing w:val="7"/>
          <w:sz w:val="16"/>
        </w:rPr>
        <w:t> </w:t>
      </w:r>
      <w:r>
        <w:rPr>
          <w:w w:val="104"/>
          <w:sz w:val="16"/>
        </w:rPr>
        <w:t>el</w:t>
      </w:r>
      <w:r>
        <w:rPr>
          <w:spacing w:val="7"/>
          <w:sz w:val="16"/>
        </w:rPr>
        <w:t> </w:t>
      </w:r>
      <w:r>
        <w:rPr>
          <w:w w:val="110"/>
          <w:sz w:val="16"/>
        </w:rPr>
        <w:t>Caribe</w:t>
      </w:r>
      <w:r>
        <w:rPr>
          <w:spacing w:val="7"/>
          <w:sz w:val="16"/>
        </w:rPr>
        <w:t> </w:t>
      </w:r>
      <w:r>
        <w:rPr>
          <w:w w:val="106"/>
          <w:sz w:val="16"/>
        </w:rPr>
        <w:t>que</w:t>
      </w:r>
      <w:r>
        <w:rPr>
          <w:spacing w:val="7"/>
          <w:sz w:val="16"/>
        </w:rPr>
        <w:t> </w:t>
      </w:r>
      <w:r>
        <w:rPr>
          <w:w w:val="102"/>
          <w:sz w:val="16"/>
        </w:rPr>
        <w:t>se</w:t>
      </w:r>
      <w:r>
        <w:rPr>
          <w:spacing w:val="7"/>
          <w:sz w:val="16"/>
        </w:rPr>
        <w:t> </w:t>
      </w:r>
      <w:r>
        <w:rPr>
          <w:w w:val="107"/>
          <w:sz w:val="16"/>
        </w:rPr>
        <w:t>plantea</w:t>
      </w:r>
      <w:r>
        <w:rPr>
          <w:spacing w:val="7"/>
          <w:sz w:val="16"/>
        </w:rPr>
        <w:t> </w:t>
      </w:r>
      <w:r>
        <w:rPr>
          <w:w w:val="104"/>
          <w:sz w:val="16"/>
        </w:rPr>
        <w:t>des</w:t>
      </w:r>
      <w:r>
        <w:rPr>
          <w:w w:val="100"/>
          <w:sz w:val="16"/>
        </w:rPr>
        <w:t>- </w:t>
      </w:r>
      <w:r>
        <w:rPr>
          <w:w w:val="110"/>
          <w:sz w:val="16"/>
        </w:rPr>
        <w:t>plegar</w:t>
      </w:r>
      <w:r>
        <w:rPr>
          <w:spacing w:val="-9"/>
          <w:w w:val="110"/>
          <w:sz w:val="16"/>
        </w:rPr>
        <w:t> </w:t>
      </w:r>
      <w:r>
        <w:rPr>
          <w:w w:val="110"/>
          <w:sz w:val="16"/>
        </w:rPr>
        <w:t>la</w:t>
      </w:r>
      <w:r>
        <w:rPr>
          <w:spacing w:val="-9"/>
          <w:w w:val="110"/>
          <w:sz w:val="16"/>
        </w:rPr>
        <w:t> </w:t>
      </w:r>
      <w:r>
        <w:rPr>
          <w:w w:val="110"/>
          <w:sz w:val="16"/>
        </w:rPr>
        <w:t>segunda</w:t>
      </w:r>
      <w:r>
        <w:rPr>
          <w:spacing w:val="-9"/>
          <w:w w:val="110"/>
          <w:sz w:val="16"/>
        </w:rPr>
        <w:t> </w:t>
      </w:r>
      <w:r>
        <w:rPr>
          <w:w w:val="110"/>
          <w:sz w:val="16"/>
        </w:rPr>
        <w:t>presidencia</w:t>
      </w:r>
      <w:r>
        <w:rPr>
          <w:spacing w:val="-9"/>
          <w:w w:val="110"/>
          <w:sz w:val="16"/>
        </w:rPr>
        <w:t> </w:t>
      </w:r>
      <w:r>
        <w:rPr>
          <w:w w:val="110"/>
          <w:sz w:val="16"/>
        </w:rPr>
        <w:t>de</w:t>
      </w:r>
      <w:r>
        <w:rPr>
          <w:spacing w:val="-9"/>
          <w:w w:val="110"/>
          <w:sz w:val="16"/>
        </w:rPr>
        <w:t> </w:t>
      </w:r>
      <w:r>
        <w:rPr>
          <w:w w:val="110"/>
          <w:sz w:val="16"/>
        </w:rPr>
        <w:t>barack</w:t>
      </w:r>
      <w:r>
        <w:rPr>
          <w:spacing w:val="-9"/>
          <w:w w:val="110"/>
          <w:sz w:val="16"/>
        </w:rPr>
        <w:t> </w:t>
      </w:r>
      <w:r>
        <w:rPr>
          <w:w w:val="110"/>
          <w:sz w:val="16"/>
        </w:rPr>
        <w:t>obama</w:t>
      </w:r>
      <w:r>
        <w:rPr>
          <w:spacing w:val="-9"/>
          <w:w w:val="110"/>
          <w:sz w:val="16"/>
        </w:rPr>
        <w:t> </w:t>
      </w:r>
      <w:r>
        <w:rPr>
          <w:w w:val="110"/>
          <w:sz w:val="16"/>
        </w:rPr>
        <w:t>surge</w:t>
      </w:r>
      <w:r>
        <w:rPr>
          <w:spacing w:val="-9"/>
          <w:w w:val="110"/>
          <w:sz w:val="16"/>
        </w:rPr>
        <w:t> </w:t>
      </w:r>
      <w:r>
        <w:rPr>
          <w:w w:val="110"/>
          <w:sz w:val="16"/>
        </w:rPr>
        <w:t>de</w:t>
      </w:r>
      <w:r>
        <w:rPr>
          <w:spacing w:val="-9"/>
          <w:w w:val="110"/>
          <w:sz w:val="16"/>
        </w:rPr>
        <w:t> </w:t>
      </w:r>
      <w:r>
        <w:rPr>
          <w:w w:val="110"/>
          <w:sz w:val="16"/>
        </w:rPr>
        <w:t>mi</w:t>
      </w:r>
      <w:r>
        <w:rPr>
          <w:spacing w:val="-9"/>
          <w:w w:val="110"/>
          <w:sz w:val="16"/>
        </w:rPr>
        <w:t> </w:t>
      </w:r>
      <w:r>
        <w:rPr>
          <w:w w:val="110"/>
          <w:sz w:val="16"/>
        </w:rPr>
        <w:t>análisis</w:t>
      </w:r>
      <w:r>
        <w:rPr>
          <w:spacing w:val="-9"/>
          <w:w w:val="110"/>
          <w:sz w:val="16"/>
        </w:rPr>
        <w:t> </w:t>
      </w:r>
      <w:r>
        <w:rPr>
          <w:w w:val="110"/>
          <w:sz w:val="16"/>
        </w:rPr>
        <w:t>del</w:t>
      </w:r>
      <w:r>
        <w:rPr>
          <w:spacing w:val="-9"/>
          <w:w w:val="110"/>
          <w:sz w:val="16"/>
        </w:rPr>
        <w:t> </w:t>
      </w:r>
      <w:r>
        <w:rPr>
          <w:w w:val="110"/>
          <w:sz w:val="16"/>
        </w:rPr>
        <w:t>discurso</w:t>
      </w:r>
      <w:r>
        <w:rPr>
          <w:spacing w:val="-9"/>
          <w:w w:val="110"/>
          <w:sz w:val="16"/>
        </w:rPr>
        <w:t> </w:t>
      </w:r>
      <w:r>
        <w:rPr>
          <w:w w:val="110"/>
          <w:sz w:val="16"/>
        </w:rPr>
        <w:t>que </w:t>
      </w:r>
      <w:r>
        <w:rPr>
          <w:w w:val="115"/>
          <w:sz w:val="16"/>
        </w:rPr>
        <w:t>pronunció</w:t>
      </w:r>
      <w:r>
        <w:rPr>
          <w:spacing w:val="-14"/>
          <w:w w:val="115"/>
          <w:sz w:val="16"/>
        </w:rPr>
        <w:t> </w:t>
      </w:r>
      <w:r>
        <w:rPr>
          <w:w w:val="115"/>
          <w:sz w:val="16"/>
        </w:rPr>
        <w:t>John</w:t>
      </w:r>
      <w:r>
        <w:rPr>
          <w:spacing w:val="-14"/>
          <w:w w:val="115"/>
          <w:sz w:val="16"/>
        </w:rPr>
        <w:t> </w:t>
      </w:r>
      <w:r>
        <w:rPr>
          <w:w w:val="115"/>
          <w:sz w:val="16"/>
        </w:rPr>
        <w:t>Kerry</w:t>
      </w:r>
      <w:r>
        <w:rPr>
          <w:spacing w:val="-14"/>
          <w:w w:val="115"/>
          <w:sz w:val="16"/>
        </w:rPr>
        <w:t> </w:t>
      </w:r>
      <w:r>
        <w:rPr>
          <w:w w:val="115"/>
          <w:sz w:val="16"/>
        </w:rPr>
        <w:t>en</w:t>
      </w:r>
      <w:r>
        <w:rPr>
          <w:spacing w:val="-14"/>
          <w:w w:val="115"/>
          <w:sz w:val="16"/>
        </w:rPr>
        <w:t> </w:t>
      </w:r>
      <w:r>
        <w:rPr>
          <w:w w:val="115"/>
          <w:sz w:val="16"/>
        </w:rPr>
        <w:t>la</w:t>
      </w:r>
      <w:r>
        <w:rPr>
          <w:spacing w:val="-14"/>
          <w:w w:val="115"/>
          <w:sz w:val="16"/>
        </w:rPr>
        <w:t> </w:t>
      </w:r>
      <w:r>
        <w:rPr>
          <w:w w:val="115"/>
          <w:sz w:val="16"/>
        </w:rPr>
        <w:t>oEa</w:t>
      </w:r>
      <w:r>
        <w:rPr>
          <w:spacing w:val="-14"/>
          <w:w w:val="115"/>
          <w:sz w:val="16"/>
        </w:rPr>
        <w:t> </w:t>
      </w:r>
      <w:r>
        <w:rPr>
          <w:w w:val="115"/>
          <w:sz w:val="16"/>
        </w:rPr>
        <w:t>en</w:t>
      </w:r>
      <w:r>
        <w:rPr>
          <w:spacing w:val="-14"/>
          <w:w w:val="115"/>
          <w:sz w:val="16"/>
        </w:rPr>
        <w:t> </w:t>
      </w:r>
      <w:r>
        <w:rPr>
          <w:w w:val="115"/>
          <w:sz w:val="16"/>
        </w:rPr>
        <w:t>noviembre</w:t>
      </w:r>
      <w:r>
        <w:rPr>
          <w:spacing w:val="-14"/>
          <w:w w:val="115"/>
          <w:sz w:val="16"/>
        </w:rPr>
        <w:t> </w:t>
      </w:r>
      <w:r>
        <w:rPr>
          <w:w w:val="115"/>
          <w:sz w:val="16"/>
        </w:rPr>
        <w:t>de</w:t>
      </w:r>
      <w:r>
        <w:rPr>
          <w:spacing w:val="-14"/>
          <w:w w:val="115"/>
          <w:sz w:val="16"/>
        </w:rPr>
        <w:t> </w:t>
      </w:r>
      <w:r>
        <w:rPr>
          <w:w w:val="115"/>
          <w:sz w:val="16"/>
        </w:rPr>
        <w:t>2013,</w:t>
      </w:r>
      <w:r>
        <w:rPr>
          <w:spacing w:val="-14"/>
          <w:w w:val="115"/>
          <w:sz w:val="16"/>
        </w:rPr>
        <w:t> </w:t>
      </w:r>
      <w:r>
        <w:rPr>
          <w:w w:val="115"/>
          <w:sz w:val="16"/>
        </w:rPr>
        <w:t>así</w:t>
      </w:r>
      <w:r>
        <w:rPr>
          <w:spacing w:val="-14"/>
          <w:w w:val="115"/>
          <w:sz w:val="16"/>
        </w:rPr>
        <w:t> </w:t>
      </w:r>
      <w:r>
        <w:rPr>
          <w:w w:val="115"/>
          <w:sz w:val="16"/>
        </w:rPr>
        <w:t>como</w:t>
      </w:r>
      <w:r>
        <w:rPr>
          <w:spacing w:val="-14"/>
          <w:w w:val="115"/>
          <w:sz w:val="16"/>
        </w:rPr>
        <w:t> </w:t>
      </w:r>
      <w:r>
        <w:rPr>
          <w:w w:val="115"/>
          <w:sz w:val="16"/>
        </w:rPr>
        <w:t>de</w:t>
      </w:r>
      <w:r>
        <w:rPr>
          <w:spacing w:val="-14"/>
          <w:w w:val="115"/>
          <w:sz w:val="16"/>
        </w:rPr>
        <w:t> </w:t>
      </w:r>
      <w:r>
        <w:rPr>
          <w:w w:val="115"/>
          <w:sz w:val="16"/>
        </w:rPr>
        <w:t>las</w:t>
      </w:r>
      <w:r>
        <w:rPr>
          <w:spacing w:val="-14"/>
          <w:w w:val="115"/>
          <w:sz w:val="16"/>
        </w:rPr>
        <w:t> </w:t>
      </w:r>
      <w:r>
        <w:rPr>
          <w:w w:val="115"/>
          <w:sz w:val="16"/>
        </w:rPr>
        <w:t>declaracio- nes</w:t>
      </w:r>
      <w:r>
        <w:rPr>
          <w:spacing w:val="-18"/>
          <w:w w:val="115"/>
          <w:sz w:val="16"/>
        </w:rPr>
        <w:t> </w:t>
      </w:r>
      <w:r>
        <w:rPr>
          <w:w w:val="115"/>
          <w:sz w:val="16"/>
        </w:rPr>
        <w:t>y</w:t>
      </w:r>
      <w:r>
        <w:rPr>
          <w:spacing w:val="-18"/>
          <w:w w:val="115"/>
          <w:sz w:val="16"/>
        </w:rPr>
        <w:t> </w:t>
      </w:r>
      <w:r>
        <w:rPr>
          <w:w w:val="115"/>
          <w:sz w:val="16"/>
        </w:rPr>
        <w:t>los</w:t>
      </w:r>
      <w:r>
        <w:rPr>
          <w:spacing w:val="-18"/>
          <w:w w:val="115"/>
          <w:sz w:val="16"/>
        </w:rPr>
        <w:t> </w:t>
      </w:r>
      <w:r>
        <w:rPr>
          <w:w w:val="115"/>
          <w:sz w:val="16"/>
        </w:rPr>
        <w:t>discursos</w:t>
      </w:r>
      <w:r>
        <w:rPr>
          <w:spacing w:val="-18"/>
          <w:w w:val="115"/>
          <w:sz w:val="16"/>
        </w:rPr>
        <w:t> </w:t>
      </w:r>
      <w:r>
        <w:rPr>
          <w:w w:val="115"/>
          <w:sz w:val="16"/>
        </w:rPr>
        <w:t>que</w:t>
      </w:r>
      <w:r>
        <w:rPr>
          <w:spacing w:val="-18"/>
          <w:w w:val="115"/>
          <w:sz w:val="16"/>
        </w:rPr>
        <w:t> </w:t>
      </w:r>
      <w:r>
        <w:rPr>
          <w:w w:val="115"/>
          <w:sz w:val="16"/>
        </w:rPr>
        <w:t>previamente</w:t>
      </w:r>
      <w:r>
        <w:rPr>
          <w:spacing w:val="-18"/>
          <w:w w:val="115"/>
          <w:sz w:val="16"/>
        </w:rPr>
        <w:t> </w:t>
      </w:r>
      <w:r>
        <w:rPr>
          <w:w w:val="115"/>
          <w:sz w:val="16"/>
        </w:rPr>
        <w:t>había</w:t>
      </w:r>
      <w:r>
        <w:rPr>
          <w:spacing w:val="-18"/>
          <w:w w:val="115"/>
          <w:sz w:val="16"/>
        </w:rPr>
        <w:t> </w:t>
      </w:r>
      <w:r>
        <w:rPr>
          <w:w w:val="115"/>
          <w:sz w:val="16"/>
        </w:rPr>
        <w:t>pronunciado</w:t>
      </w:r>
      <w:r>
        <w:rPr>
          <w:spacing w:val="-18"/>
          <w:w w:val="115"/>
          <w:sz w:val="16"/>
        </w:rPr>
        <w:t> </w:t>
      </w:r>
      <w:r>
        <w:rPr>
          <w:w w:val="115"/>
          <w:sz w:val="16"/>
        </w:rPr>
        <w:t>obama</w:t>
      </w:r>
      <w:r>
        <w:rPr>
          <w:spacing w:val="-18"/>
          <w:w w:val="115"/>
          <w:sz w:val="16"/>
        </w:rPr>
        <w:t> </w:t>
      </w:r>
      <w:r>
        <w:rPr>
          <w:w w:val="115"/>
          <w:sz w:val="16"/>
        </w:rPr>
        <w:t>antes</w:t>
      </w:r>
      <w:r>
        <w:rPr>
          <w:spacing w:val="-18"/>
          <w:w w:val="115"/>
          <w:sz w:val="16"/>
        </w:rPr>
        <w:t> </w:t>
      </w:r>
      <w:r>
        <w:rPr>
          <w:w w:val="115"/>
          <w:sz w:val="16"/>
        </w:rPr>
        <w:t>o</w:t>
      </w:r>
      <w:r>
        <w:rPr>
          <w:spacing w:val="-18"/>
          <w:w w:val="115"/>
          <w:sz w:val="16"/>
        </w:rPr>
        <w:t> </w:t>
      </w:r>
      <w:r>
        <w:rPr>
          <w:w w:val="115"/>
          <w:sz w:val="16"/>
        </w:rPr>
        <w:t>durante</w:t>
      </w:r>
      <w:r>
        <w:rPr>
          <w:spacing w:val="-18"/>
          <w:w w:val="115"/>
          <w:sz w:val="16"/>
        </w:rPr>
        <w:t> </w:t>
      </w:r>
      <w:r>
        <w:rPr>
          <w:w w:val="115"/>
          <w:sz w:val="16"/>
        </w:rPr>
        <w:t>las visitas</w:t>
      </w:r>
      <w:r>
        <w:rPr>
          <w:spacing w:val="-18"/>
          <w:w w:val="115"/>
          <w:sz w:val="16"/>
        </w:rPr>
        <w:t> </w:t>
      </w:r>
      <w:r>
        <w:rPr>
          <w:w w:val="115"/>
          <w:sz w:val="16"/>
        </w:rPr>
        <w:t>que</w:t>
      </w:r>
      <w:r>
        <w:rPr>
          <w:spacing w:val="-18"/>
          <w:w w:val="115"/>
          <w:sz w:val="16"/>
        </w:rPr>
        <w:t> </w:t>
      </w:r>
      <w:r>
        <w:rPr>
          <w:w w:val="115"/>
          <w:sz w:val="16"/>
        </w:rPr>
        <w:t>realizó</w:t>
      </w:r>
      <w:r>
        <w:rPr>
          <w:spacing w:val="-18"/>
          <w:w w:val="115"/>
          <w:sz w:val="16"/>
        </w:rPr>
        <w:t> </w:t>
      </w:r>
      <w:r>
        <w:rPr>
          <w:w w:val="115"/>
          <w:sz w:val="16"/>
        </w:rPr>
        <w:t>a</w:t>
      </w:r>
      <w:r>
        <w:rPr>
          <w:spacing w:val="-18"/>
          <w:w w:val="115"/>
          <w:sz w:val="16"/>
        </w:rPr>
        <w:t> </w:t>
      </w:r>
      <w:r>
        <w:rPr>
          <w:w w:val="115"/>
          <w:sz w:val="16"/>
        </w:rPr>
        <w:t>México</w:t>
      </w:r>
      <w:r>
        <w:rPr>
          <w:spacing w:val="-18"/>
          <w:w w:val="115"/>
          <w:sz w:val="16"/>
        </w:rPr>
        <w:t> </w:t>
      </w:r>
      <w:r>
        <w:rPr>
          <w:w w:val="115"/>
          <w:sz w:val="16"/>
        </w:rPr>
        <w:t>y</w:t>
      </w:r>
      <w:r>
        <w:rPr>
          <w:spacing w:val="-18"/>
          <w:w w:val="115"/>
          <w:sz w:val="16"/>
        </w:rPr>
        <w:t> </w:t>
      </w:r>
      <w:r>
        <w:rPr>
          <w:w w:val="115"/>
          <w:sz w:val="16"/>
        </w:rPr>
        <w:t>Costa</w:t>
      </w:r>
      <w:r>
        <w:rPr>
          <w:spacing w:val="-18"/>
          <w:w w:val="115"/>
          <w:sz w:val="16"/>
        </w:rPr>
        <w:t> </w:t>
      </w:r>
      <w:r>
        <w:rPr>
          <w:w w:val="115"/>
          <w:sz w:val="16"/>
        </w:rPr>
        <w:t>rica</w:t>
      </w:r>
      <w:r>
        <w:rPr>
          <w:spacing w:val="-18"/>
          <w:w w:val="115"/>
          <w:sz w:val="16"/>
        </w:rPr>
        <w:t> </w:t>
      </w:r>
      <w:r>
        <w:rPr>
          <w:w w:val="115"/>
          <w:sz w:val="16"/>
        </w:rPr>
        <w:t>entre</w:t>
      </w:r>
      <w:r>
        <w:rPr>
          <w:spacing w:val="-18"/>
          <w:w w:val="115"/>
          <w:sz w:val="16"/>
        </w:rPr>
        <w:t> </w:t>
      </w:r>
      <w:r>
        <w:rPr>
          <w:w w:val="115"/>
          <w:sz w:val="16"/>
        </w:rPr>
        <w:t>el</w:t>
      </w:r>
      <w:r>
        <w:rPr>
          <w:spacing w:val="-18"/>
          <w:w w:val="115"/>
          <w:sz w:val="16"/>
        </w:rPr>
        <w:t> </w:t>
      </w:r>
      <w:r>
        <w:rPr>
          <w:w w:val="115"/>
          <w:sz w:val="16"/>
        </w:rPr>
        <w:t>2</w:t>
      </w:r>
      <w:r>
        <w:rPr>
          <w:spacing w:val="-18"/>
          <w:w w:val="115"/>
          <w:sz w:val="16"/>
        </w:rPr>
        <w:t> </w:t>
      </w:r>
      <w:r>
        <w:rPr>
          <w:w w:val="115"/>
          <w:sz w:val="16"/>
        </w:rPr>
        <w:t>y</w:t>
      </w:r>
      <w:r>
        <w:rPr>
          <w:spacing w:val="-18"/>
          <w:w w:val="115"/>
          <w:sz w:val="16"/>
        </w:rPr>
        <w:t> </w:t>
      </w:r>
      <w:r>
        <w:rPr>
          <w:w w:val="115"/>
          <w:sz w:val="16"/>
        </w:rPr>
        <w:t>el</w:t>
      </w:r>
      <w:r>
        <w:rPr>
          <w:spacing w:val="-18"/>
          <w:w w:val="115"/>
          <w:sz w:val="16"/>
        </w:rPr>
        <w:t> </w:t>
      </w:r>
      <w:r>
        <w:rPr>
          <w:w w:val="115"/>
          <w:sz w:val="16"/>
        </w:rPr>
        <w:t>4</w:t>
      </w:r>
      <w:r>
        <w:rPr>
          <w:spacing w:val="-18"/>
          <w:w w:val="115"/>
          <w:sz w:val="16"/>
        </w:rPr>
        <w:t> </w:t>
      </w:r>
      <w:r>
        <w:rPr>
          <w:w w:val="115"/>
          <w:sz w:val="16"/>
        </w:rPr>
        <w:t>de</w:t>
      </w:r>
      <w:r>
        <w:rPr>
          <w:spacing w:val="-18"/>
          <w:w w:val="115"/>
          <w:sz w:val="16"/>
        </w:rPr>
        <w:t> </w:t>
      </w:r>
      <w:r>
        <w:rPr>
          <w:w w:val="115"/>
          <w:sz w:val="16"/>
        </w:rPr>
        <w:t>mayo</w:t>
      </w:r>
      <w:r>
        <w:rPr>
          <w:spacing w:val="-18"/>
          <w:w w:val="115"/>
          <w:sz w:val="16"/>
        </w:rPr>
        <w:t> </w:t>
      </w:r>
      <w:r>
        <w:rPr>
          <w:w w:val="115"/>
          <w:sz w:val="16"/>
        </w:rPr>
        <w:t>de</w:t>
      </w:r>
      <w:r>
        <w:rPr>
          <w:spacing w:val="-18"/>
          <w:w w:val="115"/>
          <w:sz w:val="16"/>
        </w:rPr>
        <w:t> </w:t>
      </w:r>
      <w:r>
        <w:rPr>
          <w:w w:val="115"/>
          <w:sz w:val="16"/>
        </w:rPr>
        <w:t>2013.</w:t>
      </w:r>
      <w:r>
        <w:rPr>
          <w:spacing w:val="-18"/>
          <w:w w:val="115"/>
          <w:sz w:val="16"/>
        </w:rPr>
        <w:t> </w:t>
      </w:r>
      <w:r>
        <w:rPr>
          <w:w w:val="115"/>
          <w:sz w:val="16"/>
        </w:rPr>
        <w:t>asimismo </w:t>
      </w:r>
      <w:r>
        <w:rPr>
          <w:w w:val="110"/>
          <w:sz w:val="16"/>
        </w:rPr>
        <w:t>de la intervención que realizó cinco días después el vicepresidente estadounidense, </w:t>
      </w:r>
      <w:r>
        <w:rPr>
          <w:w w:val="115"/>
          <w:sz w:val="16"/>
        </w:rPr>
        <w:t>Joe</w:t>
      </w:r>
      <w:r>
        <w:rPr>
          <w:spacing w:val="-12"/>
          <w:w w:val="115"/>
          <w:sz w:val="16"/>
        </w:rPr>
        <w:t> </w:t>
      </w:r>
      <w:r>
        <w:rPr>
          <w:w w:val="115"/>
          <w:sz w:val="16"/>
        </w:rPr>
        <w:t>biden,</w:t>
      </w:r>
      <w:r>
        <w:rPr>
          <w:spacing w:val="-12"/>
          <w:w w:val="115"/>
          <w:sz w:val="16"/>
        </w:rPr>
        <w:t> </w:t>
      </w:r>
      <w:r>
        <w:rPr>
          <w:w w:val="115"/>
          <w:sz w:val="16"/>
        </w:rPr>
        <w:t>en</w:t>
      </w:r>
      <w:r>
        <w:rPr>
          <w:spacing w:val="-12"/>
          <w:w w:val="115"/>
          <w:sz w:val="16"/>
        </w:rPr>
        <w:t> </w:t>
      </w:r>
      <w:r>
        <w:rPr>
          <w:w w:val="115"/>
          <w:sz w:val="16"/>
        </w:rPr>
        <w:t>la</w:t>
      </w:r>
      <w:r>
        <w:rPr>
          <w:spacing w:val="-12"/>
          <w:w w:val="115"/>
          <w:sz w:val="16"/>
        </w:rPr>
        <w:t> </w:t>
      </w:r>
      <w:r>
        <w:rPr>
          <w:w w:val="115"/>
          <w:sz w:val="16"/>
        </w:rPr>
        <w:t>43º</w:t>
      </w:r>
      <w:r>
        <w:rPr>
          <w:spacing w:val="-12"/>
          <w:w w:val="115"/>
          <w:sz w:val="16"/>
        </w:rPr>
        <w:t> </w:t>
      </w:r>
      <w:r>
        <w:rPr>
          <w:w w:val="115"/>
          <w:sz w:val="16"/>
        </w:rPr>
        <w:t>reunión</w:t>
      </w:r>
      <w:r>
        <w:rPr>
          <w:spacing w:val="-12"/>
          <w:w w:val="115"/>
          <w:sz w:val="16"/>
        </w:rPr>
        <w:t> </w:t>
      </w:r>
      <w:r>
        <w:rPr>
          <w:w w:val="115"/>
          <w:sz w:val="16"/>
        </w:rPr>
        <w:t>del</w:t>
      </w:r>
      <w:r>
        <w:rPr>
          <w:spacing w:val="-12"/>
          <w:w w:val="115"/>
          <w:sz w:val="16"/>
        </w:rPr>
        <w:t> </w:t>
      </w:r>
      <w:r>
        <w:rPr>
          <w:w w:val="115"/>
          <w:sz w:val="16"/>
        </w:rPr>
        <w:t>Consejo</w:t>
      </w:r>
      <w:r>
        <w:rPr>
          <w:spacing w:val="-12"/>
          <w:w w:val="115"/>
          <w:sz w:val="16"/>
        </w:rPr>
        <w:t> </w:t>
      </w:r>
      <w:r>
        <w:rPr>
          <w:w w:val="115"/>
          <w:sz w:val="16"/>
        </w:rPr>
        <w:t>de</w:t>
      </w:r>
      <w:r>
        <w:rPr>
          <w:spacing w:val="-12"/>
          <w:w w:val="115"/>
          <w:sz w:val="16"/>
        </w:rPr>
        <w:t> </w:t>
      </w:r>
      <w:r>
        <w:rPr>
          <w:w w:val="115"/>
          <w:sz w:val="16"/>
        </w:rPr>
        <w:t>las</w:t>
      </w:r>
      <w:r>
        <w:rPr>
          <w:spacing w:val="-12"/>
          <w:w w:val="115"/>
          <w:sz w:val="16"/>
        </w:rPr>
        <w:t> </w:t>
      </w:r>
      <w:r>
        <w:rPr>
          <w:w w:val="115"/>
          <w:sz w:val="16"/>
        </w:rPr>
        <w:t>américas</w:t>
      </w:r>
      <w:r>
        <w:rPr>
          <w:spacing w:val="-12"/>
          <w:w w:val="115"/>
          <w:sz w:val="16"/>
        </w:rPr>
        <w:t> </w:t>
      </w:r>
      <w:r>
        <w:rPr>
          <w:w w:val="115"/>
          <w:sz w:val="16"/>
        </w:rPr>
        <w:t>realizada</w:t>
      </w:r>
      <w:r>
        <w:rPr>
          <w:spacing w:val="-12"/>
          <w:w w:val="115"/>
          <w:sz w:val="16"/>
        </w:rPr>
        <w:t> </w:t>
      </w:r>
      <w:r>
        <w:rPr>
          <w:w w:val="115"/>
          <w:sz w:val="16"/>
        </w:rPr>
        <w:t>en</w:t>
      </w:r>
      <w:r>
        <w:rPr>
          <w:spacing w:val="-12"/>
          <w:w w:val="115"/>
          <w:sz w:val="16"/>
        </w:rPr>
        <w:t> </w:t>
      </w:r>
      <w:r>
        <w:rPr>
          <w:w w:val="115"/>
          <w:sz w:val="16"/>
        </w:rPr>
        <w:t>Washington,</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6"/>
        <w:jc w:val="both"/>
      </w:pPr>
      <w:r>
        <w:rPr>
          <w:w w:val="110"/>
        </w:rPr>
        <w:t>estratégicos y generales de la política estadounidense hacia el hemis- ferio occidental señalados en el acápite anterior se modificarán en los próximos tres años.</w:t>
      </w:r>
    </w:p>
    <w:p>
      <w:pPr>
        <w:pStyle w:val="BodyText"/>
        <w:spacing w:line="252" w:lineRule="auto"/>
        <w:ind w:left="330" w:right="117" w:firstLine="396"/>
        <w:jc w:val="both"/>
        <w:rPr>
          <w:sz w:val="11"/>
        </w:rPr>
      </w:pPr>
      <w:r>
        <w:rPr>
          <w:w w:val="110"/>
        </w:rPr>
        <w:t>Mucho menos porque no obstante el acento que tanto obama como biden y Kerry –así como otros funcionarios de menor jerarquía del departamento de Estado– han puesto en los temas económicos, comerciales, energéticos, sociales y medioambientales vinculados a   la que desde hace varios años diversos mandatarios estadounidenses han venido llamando “la prosperidad y la seguridad de las améri-  cas”, al igual que en “las oportunidades económicas y políticas” que  les ofrecen a los Estados unidos los positivos cambios económicos y </w:t>
      </w:r>
      <w:r>
        <w:rPr>
          <w:w w:val="109"/>
        </w:rPr>
        <w:t>sociales</w:t>
      </w:r>
      <w:r>
        <w:rPr/>
        <w:t> </w:t>
      </w:r>
      <w:r>
        <w:rPr>
          <w:spacing w:val="-21"/>
        </w:rPr>
        <w:t> </w:t>
      </w:r>
      <w:r>
        <w:rPr>
          <w:w w:val="108"/>
        </w:rPr>
        <w:t>que</w:t>
      </w:r>
      <w:r>
        <w:rPr/>
        <w:t> </w:t>
      </w:r>
      <w:r>
        <w:rPr>
          <w:spacing w:val="-21"/>
        </w:rPr>
        <w:t> </w:t>
      </w:r>
      <w:r>
        <w:rPr>
          <w:w w:val="105"/>
        </w:rPr>
        <w:t>se</w:t>
      </w:r>
      <w:r>
        <w:rPr/>
        <w:t> </w:t>
      </w:r>
      <w:r>
        <w:rPr>
          <w:spacing w:val="-21"/>
        </w:rPr>
        <w:t> </w:t>
      </w:r>
      <w:r>
        <w:rPr>
          <w:w w:val="112"/>
        </w:rPr>
        <w:t>han</w:t>
      </w:r>
      <w:r>
        <w:rPr/>
        <w:t> </w:t>
      </w:r>
      <w:r>
        <w:rPr>
          <w:spacing w:val="-21"/>
        </w:rPr>
        <w:t> </w:t>
      </w:r>
      <w:r>
        <w:rPr>
          <w:w w:val="108"/>
        </w:rPr>
        <w:t>venido</w:t>
      </w:r>
      <w:r>
        <w:rPr/>
        <w:t> </w:t>
      </w:r>
      <w:r>
        <w:rPr>
          <w:spacing w:val="-21"/>
        </w:rPr>
        <w:t> </w:t>
      </w:r>
      <w:r>
        <w:rPr>
          <w:w w:val="110"/>
        </w:rPr>
        <w:t>produciendo</w:t>
      </w:r>
      <w:r>
        <w:rPr/>
        <w:t> </w:t>
      </w:r>
      <w:r>
        <w:rPr>
          <w:spacing w:val="-21"/>
        </w:rPr>
        <w:t> </w:t>
      </w:r>
      <w:r>
        <w:rPr>
          <w:w w:val="108"/>
        </w:rPr>
        <w:t>en</w:t>
      </w:r>
      <w:r>
        <w:rPr/>
        <w:t> </w:t>
      </w:r>
      <w:r>
        <w:rPr>
          <w:spacing w:val="-21"/>
        </w:rPr>
        <w:t> </w:t>
      </w:r>
      <w:r>
        <w:rPr>
          <w:w w:val="139"/>
        </w:rPr>
        <w:t>a</w:t>
      </w:r>
      <w:r>
        <w:rPr>
          <w:w w:val="111"/>
        </w:rPr>
        <w:t>mérica</w:t>
      </w:r>
      <w:r>
        <w:rPr/>
        <w:t> </w:t>
      </w:r>
      <w:r>
        <w:rPr>
          <w:spacing w:val="-21"/>
        </w:rPr>
        <w:t> </w:t>
      </w:r>
      <w:r>
        <w:rPr>
          <w:w w:val="243"/>
        </w:rPr>
        <w:t>l</w:t>
      </w:r>
      <w:r>
        <w:rPr>
          <w:w w:val="111"/>
        </w:rPr>
        <w:t>atina</w:t>
      </w:r>
      <w:r>
        <w:rPr/>
        <w:t> </w:t>
      </w:r>
      <w:r>
        <w:rPr>
          <w:spacing w:val="-21"/>
        </w:rPr>
        <w:t> </w:t>
      </w:r>
      <w:r>
        <w:rPr>
          <w:w w:val="105"/>
        </w:rPr>
        <w:t>y</w:t>
      </w:r>
      <w:r>
        <w:rPr/>
        <w:t> </w:t>
      </w:r>
      <w:r>
        <w:rPr>
          <w:spacing w:val="-21"/>
        </w:rPr>
        <w:t> </w:t>
      </w:r>
      <w:r>
        <w:rPr>
          <w:w w:val="107"/>
        </w:rPr>
        <w:t>el</w:t>
      </w:r>
      <w:r>
        <w:rPr/>
        <w:t> </w:t>
      </w:r>
      <w:r>
        <w:rPr>
          <w:spacing w:val="-21"/>
        </w:rPr>
        <w:t> </w:t>
      </w:r>
      <w:r>
        <w:rPr>
          <w:w w:val="115"/>
        </w:rPr>
        <w:t>Car</w:t>
      </w:r>
      <w:r>
        <w:rPr>
          <w:spacing w:val="-1"/>
          <w:w w:val="115"/>
        </w:rPr>
        <w:t>i</w:t>
      </w:r>
      <w:r>
        <w:rPr>
          <w:w w:val="102"/>
        </w:rPr>
        <w:t>- </w:t>
      </w:r>
      <w:r>
        <w:rPr>
          <w:w w:val="110"/>
        </w:rPr>
        <w:t>be, la lógica de </w:t>
      </w:r>
      <w:r>
        <w:rPr>
          <w:i/>
          <w:w w:val="110"/>
        </w:rPr>
        <w:t>la seguridad imperial </w:t>
      </w:r>
      <w:r>
        <w:rPr>
          <w:w w:val="110"/>
        </w:rPr>
        <w:t>continuará preponderando en el diseño de las diversas “estrategias inteligentes” y de las multifacéticas acciones derivadas de ellas que emprenderá la última presidencia de barack  </w:t>
      </w:r>
      <w:r>
        <w:rPr>
          <w:spacing w:val="2"/>
          <w:w w:val="110"/>
        </w:rPr>
        <w:t> </w:t>
      </w:r>
      <w:r>
        <w:rPr>
          <w:w w:val="110"/>
        </w:rPr>
        <w:t>obama.</w:t>
      </w:r>
      <w:r>
        <w:rPr>
          <w:w w:val="110"/>
          <w:position w:val="6"/>
          <w:sz w:val="11"/>
        </w:rPr>
        <w:t>5</w:t>
      </w:r>
    </w:p>
    <w:p>
      <w:pPr>
        <w:pStyle w:val="BodyText"/>
        <w:spacing w:line="252" w:lineRule="auto"/>
        <w:ind w:left="330" w:right="117" w:firstLine="396"/>
        <w:jc w:val="both"/>
      </w:pPr>
      <w:r>
        <w:rPr>
          <w:w w:val="115"/>
        </w:rPr>
        <w:t>Entre otros elementos que veremos después, así parece </w:t>
      </w:r>
      <w:r>
        <w:rPr>
          <w:spacing w:val="-3"/>
          <w:w w:val="115"/>
        </w:rPr>
        <w:t>confir- </w:t>
      </w:r>
      <w:r>
        <w:rPr>
          <w:w w:val="115"/>
        </w:rPr>
        <w:t>marlo</w:t>
      </w:r>
      <w:r>
        <w:rPr>
          <w:spacing w:val="-15"/>
          <w:w w:val="115"/>
        </w:rPr>
        <w:t> </w:t>
      </w:r>
      <w:r>
        <w:rPr>
          <w:i/>
          <w:w w:val="115"/>
        </w:rPr>
        <w:t>La</w:t>
      </w:r>
      <w:r>
        <w:rPr>
          <w:i/>
          <w:spacing w:val="-15"/>
          <w:w w:val="115"/>
        </w:rPr>
        <w:t> </w:t>
      </w:r>
      <w:r>
        <w:rPr>
          <w:i/>
          <w:w w:val="115"/>
        </w:rPr>
        <w:t>política</w:t>
      </w:r>
      <w:r>
        <w:rPr>
          <w:i/>
          <w:spacing w:val="-15"/>
          <w:w w:val="115"/>
        </w:rPr>
        <w:t> </w:t>
      </w:r>
      <w:r>
        <w:rPr>
          <w:i/>
          <w:w w:val="115"/>
        </w:rPr>
        <w:t>de</w:t>
      </w:r>
      <w:r>
        <w:rPr>
          <w:i/>
          <w:spacing w:val="-15"/>
          <w:w w:val="115"/>
        </w:rPr>
        <w:t> </w:t>
      </w:r>
      <w:r>
        <w:rPr>
          <w:i/>
          <w:w w:val="115"/>
        </w:rPr>
        <w:t>defensa</w:t>
      </w:r>
      <w:r>
        <w:rPr>
          <w:i/>
          <w:spacing w:val="-15"/>
          <w:w w:val="115"/>
        </w:rPr>
        <w:t> </w:t>
      </w:r>
      <w:r>
        <w:rPr>
          <w:i/>
          <w:w w:val="115"/>
        </w:rPr>
        <w:t>para</w:t>
      </w:r>
      <w:r>
        <w:rPr>
          <w:i/>
          <w:spacing w:val="-15"/>
          <w:w w:val="115"/>
        </w:rPr>
        <w:t> </w:t>
      </w:r>
      <w:r>
        <w:rPr>
          <w:i/>
          <w:w w:val="115"/>
        </w:rPr>
        <w:t>el</w:t>
      </w:r>
      <w:r>
        <w:rPr>
          <w:i/>
          <w:spacing w:val="-15"/>
          <w:w w:val="115"/>
        </w:rPr>
        <w:t> </w:t>
      </w:r>
      <w:r>
        <w:rPr>
          <w:i/>
          <w:w w:val="115"/>
        </w:rPr>
        <w:t>hemisferio</w:t>
      </w:r>
      <w:r>
        <w:rPr>
          <w:i/>
          <w:spacing w:val="-15"/>
          <w:w w:val="115"/>
        </w:rPr>
        <w:t> </w:t>
      </w:r>
      <w:r>
        <w:rPr>
          <w:i/>
          <w:w w:val="115"/>
        </w:rPr>
        <w:t>occidental</w:t>
      </w:r>
      <w:r>
        <w:rPr>
          <w:i/>
          <w:spacing w:val="-15"/>
          <w:w w:val="115"/>
        </w:rPr>
        <w:t> </w:t>
      </w:r>
      <w:r>
        <w:rPr>
          <w:w w:val="115"/>
        </w:rPr>
        <w:t>hasta</w:t>
      </w:r>
      <w:r>
        <w:rPr>
          <w:spacing w:val="-15"/>
          <w:w w:val="115"/>
        </w:rPr>
        <w:t> </w:t>
      </w:r>
      <w:r>
        <w:rPr>
          <w:w w:val="115"/>
        </w:rPr>
        <w:t>2023, difundida en octubre de 2012 por el entonces secretario de defen- </w:t>
      </w:r>
      <w:r>
        <w:rPr>
          <w:w w:val="114"/>
        </w:rPr>
        <w:t>sa,</w:t>
      </w:r>
      <w:r>
        <w:rPr/>
        <w:t> </w:t>
      </w:r>
      <w:r>
        <w:rPr>
          <w:spacing w:val="-15"/>
        </w:rPr>
        <w:t> </w:t>
      </w:r>
      <w:r>
        <w:rPr>
          <w:w w:val="243"/>
        </w:rPr>
        <w:t>l</w:t>
      </w:r>
      <w:r>
        <w:rPr>
          <w:w w:val="109"/>
        </w:rPr>
        <w:t>eon</w:t>
      </w:r>
      <w:r>
        <w:rPr/>
        <w:t> </w:t>
      </w:r>
      <w:r>
        <w:rPr>
          <w:spacing w:val="-15"/>
        </w:rPr>
        <w:t> </w:t>
      </w:r>
      <w:r>
        <w:rPr>
          <w:w w:val="109"/>
        </w:rPr>
        <w:t>Panetta;</w:t>
      </w:r>
      <w:r>
        <w:rPr/>
        <w:t> </w:t>
      </w:r>
      <w:r>
        <w:rPr>
          <w:spacing w:val="-15"/>
        </w:rPr>
        <w:t> </w:t>
      </w:r>
      <w:r>
        <w:rPr>
          <w:w w:val="108"/>
        </w:rPr>
        <w:t>en</w:t>
      </w:r>
      <w:r>
        <w:rPr/>
        <w:t> </w:t>
      </w:r>
      <w:r>
        <w:rPr>
          <w:spacing w:val="-15"/>
        </w:rPr>
        <w:t> </w:t>
      </w:r>
      <w:r>
        <w:rPr>
          <w:w w:val="109"/>
        </w:rPr>
        <w:t>tanto</w:t>
      </w:r>
      <w:r>
        <w:rPr/>
        <w:t> </w:t>
      </w:r>
      <w:r>
        <w:rPr>
          <w:spacing w:val="-15"/>
        </w:rPr>
        <w:t> </w:t>
      </w:r>
      <w:r>
        <w:rPr>
          <w:w w:val="108"/>
        </w:rPr>
        <w:t>todos</w:t>
      </w:r>
      <w:r>
        <w:rPr/>
        <w:t> </w:t>
      </w:r>
      <w:r>
        <w:rPr>
          <w:spacing w:val="-15"/>
        </w:rPr>
        <w:t> </w:t>
      </w:r>
      <w:r>
        <w:rPr>
          <w:w w:val="108"/>
        </w:rPr>
        <w:t>sus</w:t>
      </w:r>
      <w:r>
        <w:rPr/>
        <w:t> </w:t>
      </w:r>
      <w:r>
        <w:rPr>
          <w:spacing w:val="-15"/>
        </w:rPr>
        <w:t> </w:t>
      </w:r>
      <w:r>
        <w:rPr>
          <w:w w:val="110"/>
        </w:rPr>
        <w:t>enunciados</w:t>
      </w:r>
      <w:r>
        <w:rPr/>
        <w:t> </w:t>
      </w:r>
      <w:r>
        <w:rPr>
          <w:spacing w:val="-15"/>
        </w:rPr>
        <w:t> </w:t>
      </w:r>
      <w:r>
        <w:rPr>
          <w:w w:val="105"/>
        </w:rPr>
        <w:t>se</w:t>
      </w:r>
      <w:r>
        <w:rPr/>
        <w:t> </w:t>
      </w:r>
      <w:r>
        <w:rPr>
          <w:spacing w:val="-15"/>
        </w:rPr>
        <w:t> </w:t>
      </w:r>
      <w:r>
        <w:rPr>
          <w:w w:val="111"/>
        </w:rPr>
        <w:t>fundamentan</w:t>
      </w:r>
      <w:r>
        <w:rPr/>
        <w:t> </w:t>
      </w:r>
      <w:r>
        <w:rPr>
          <w:spacing w:val="-15"/>
        </w:rPr>
        <w:t> </w:t>
      </w:r>
      <w:r>
        <w:rPr>
          <w:w w:val="108"/>
        </w:rPr>
        <w:t>en </w:t>
      </w:r>
      <w:r>
        <w:rPr>
          <w:w w:val="115"/>
        </w:rPr>
        <w:t>la</w:t>
      </w:r>
      <w:r>
        <w:rPr>
          <w:spacing w:val="-13"/>
          <w:w w:val="115"/>
        </w:rPr>
        <w:t> </w:t>
      </w:r>
      <w:r>
        <w:rPr>
          <w:w w:val="115"/>
        </w:rPr>
        <w:t>orientación</w:t>
      </w:r>
      <w:r>
        <w:rPr>
          <w:spacing w:val="-13"/>
          <w:w w:val="115"/>
        </w:rPr>
        <w:t> </w:t>
      </w:r>
      <w:r>
        <w:rPr>
          <w:w w:val="115"/>
        </w:rPr>
        <w:t>expresa</w:t>
      </w:r>
      <w:r>
        <w:rPr>
          <w:spacing w:val="-13"/>
          <w:w w:val="115"/>
        </w:rPr>
        <w:t> </w:t>
      </w:r>
      <w:r>
        <w:rPr>
          <w:w w:val="115"/>
        </w:rPr>
        <w:t>del</w:t>
      </w:r>
      <w:r>
        <w:rPr>
          <w:spacing w:val="-13"/>
          <w:w w:val="115"/>
        </w:rPr>
        <w:t> </w:t>
      </w:r>
      <w:r>
        <w:rPr>
          <w:w w:val="115"/>
        </w:rPr>
        <w:t>presidente</w:t>
      </w:r>
      <w:r>
        <w:rPr>
          <w:spacing w:val="-13"/>
          <w:w w:val="115"/>
        </w:rPr>
        <w:t> </w:t>
      </w:r>
      <w:r>
        <w:rPr>
          <w:w w:val="115"/>
        </w:rPr>
        <w:t>barack</w:t>
      </w:r>
      <w:r>
        <w:rPr>
          <w:spacing w:val="-13"/>
          <w:w w:val="115"/>
        </w:rPr>
        <w:t> </w:t>
      </w:r>
      <w:r>
        <w:rPr>
          <w:w w:val="115"/>
        </w:rPr>
        <w:t>obama</w:t>
      </w:r>
      <w:r>
        <w:rPr>
          <w:spacing w:val="-13"/>
          <w:w w:val="115"/>
        </w:rPr>
        <w:t> </w:t>
      </w:r>
      <w:r>
        <w:rPr>
          <w:w w:val="115"/>
        </w:rPr>
        <w:t>de</w:t>
      </w:r>
      <w:r>
        <w:rPr>
          <w:spacing w:val="-13"/>
          <w:w w:val="115"/>
        </w:rPr>
        <w:t> </w:t>
      </w:r>
      <w:r>
        <w:rPr>
          <w:w w:val="115"/>
        </w:rPr>
        <w:t>“preservar</w:t>
      </w:r>
      <w:r>
        <w:rPr>
          <w:spacing w:val="-13"/>
          <w:w w:val="115"/>
        </w:rPr>
        <w:t> </w:t>
      </w:r>
      <w:r>
        <w:rPr>
          <w:w w:val="115"/>
        </w:rPr>
        <w:t>el liderazgo mundial [y hemisférico] de los Estados unidos” (Panetta, 2012).</w:t>
      </w:r>
      <w:r>
        <w:rPr>
          <w:spacing w:val="-6"/>
          <w:w w:val="115"/>
        </w:rPr>
        <w:t> </w:t>
      </w:r>
      <w:r>
        <w:rPr>
          <w:w w:val="115"/>
        </w:rPr>
        <w:t>siempre</w:t>
      </w:r>
      <w:r>
        <w:rPr>
          <w:spacing w:val="-6"/>
          <w:w w:val="115"/>
        </w:rPr>
        <w:t> </w:t>
      </w:r>
      <w:r>
        <w:rPr>
          <w:w w:val="115"/>
        </w:rPr>
        <w:t>según</w:t>
      </w:r>
      <w:r>
        <w:rPr>
          <w:spacing w:val="-6"/>
          <w:w w:val="115"/>
        </w:rPr>
        <w:t> </w:t>
      </w:r>
      <w:r>
        <w:rPr>
          <w:w w:val="115"/>
        </w:rPr>
        <w:t>ese</w:t>
      </w:r>
      <w:r>
        <w:rPr>
          <w:spacing w:val="-6"/>
          <w:w w:val="115"/>
        </w:rPr>
        <w:t> </w:t>
      </w:r>
      <w:r>
        <w:rPr>
          <w:w w:val="115"/>
        </w:rPr>
        <w:t>documento,</w:t>
      </w:r>
      <w:r>
        <w:rPr>
          <w:spacing w:val="-6"/>
          <w:w w:val="115"/>
        </w:rPr>
        <w:t> </w:t>
      </w:r>
      <w:r>
        <w:rPr>
          <w:w w:val="115"/>
        </w:rPr>
        <w:t>para</w:t>
      </w:r>
      <w:r>
        <w:rPr>
          <w:spacing w:val="-6"/>
          <w:w w:val="115"/>
        </w:rPr>
        <w:t> </w:t>
      </w:r>
      <w:r>
        <w:rPr>
          <w:w w:val="115"/>
        </w:rPr>
        <w:t>lograrlo</w:t>
      </w:r>
      <w:r>
        <w:rPr>
          <w:spacing w:val="-6"/>
          <w:w w:val="115"/>
        </w:rPr>
        <w:t> </w:t>
      </w:r>
      <w:r>
        <w:rPr>
          <w:w w:val="115"/>
        </w:rPr>
        <w:t>en</w:t>
      </w:r>
      <w:r>
        <w:rPr>
          <w:spacing w:val="-6"/>
          <w:w w:val="115"/>
        </w:rPr>
        <w:t> </w:t>
      </w:r>
      <w:r>
        <w:rPr>
          <w:w w:val="115"/>
        </w:rPr>
        <w:t>medio</w:t>
      </w:r>
      <w:r>
        <w:rPr>
          <w:spacing w:val="-6"/>
          <w:w w:val="115"/>
        </w:rPr>
        <w:t> </w:t>
      </w:r>
      <w:r>
        <w:rPr>
          <w:w w:val="115"/>
        </w:rPr>
        <w:t>de</w:t>
      </w:r>
      <w:r>
        <w:rPr>
          <w:spacing w:val="-6"/>
          <w:w w:val="115"/>
        </w:rPr>
        <w:t> </w:t>
      </w:r>
      <w:r>
        <w:rPr>
          <w:w w:val="115"/>
        </w:rPr>
        <w:t>las restricciones</w:t>
      </w:r>
      <w:r>
        <w:rPr>
          <w:spacing w:val="-12"/>
          <w:w w:val="115"/>
        </w:rPr>
        <w:t> </w:t>
      </w:r>
      <w:r>
        <w:rPr>
          <w:w w:val="115"/>
        </w:rPr>
        <w:t>fiscales</w:t>
      </w:r>
      <w:r>
        <w:rPr>
          <w:spacing w:val="-12"/>
          <w:w w:val="115"/>
        </w:rPr>
        <w:t> </w:t>
      </w:r>
      <w:r>
        <w:rPr>
          <w:w w:val="115"/>
        </w:rPr>
        <w:t>que</w:t>
      </w:r>
      <w:r>
        <w:rPr>
          <w:spacing w:val="-12"/>
          <w:w w:val="115"/>
        </w:rPr>
        <w:t> </w:t>
      </w:r>
      <w:r>
        <w:rPr>
          <w:w w:val="115"/>
        </w:rPr>
        <w:t>se</w:t>
      </w:r>
      <w:r>
        <w:rPr>
          <w:spacing w:val="-12"/>
          <w:w w:val="115"/>
        </w:rPr>
        <w:t> </w:t>
      </w:r>
      <w:r>
        <w:rPr>
          <w:w w:val="115"/>
        </w:rPr>
        <w:t>han</w:t>
      </w:r>
      <w:r>
        <w:rPr>
          <w:spacing w:val="-12"/>
          <w:w w:val="115"/>
        </w:rPr>
        <w:t> </w:t>
      </w:r>
      <w:r>
        <w:rPr>
          <w:w w:val="115"/>
        </w:rPr>
        <w:t>presentado</w:t>
      </w:r>
      <w:r>
        <w:rPr>
          <w:spacing w:val="-12"/>
          <w:w w:val="115"/>
        </w:rPr>
        <w:t> </w:t>
      </w:r>
      <w:r>
        <w:rPr>
          <w:w w:val="115"/>
        </w:rPr>
        <w:t>y</w:t>
      </w:r>
      <w:r>
        <w:rPr>
          <w:spacing w:val="-12"/>
          <w:w w:val="115"/>
        </w:rPr>
        <w:t> </w:t>
      </w:r>
      <w:r>
        <w:rPr>
          <w:w w:val="115"/>
        </w:rPr>
        <w:t>que</w:t>
      </w:r>
      <w:r>
        <w:rPr>
          <w:spacing w:val="-12"/>
          <w:w w:val="115"/>
        </w:rPr>
        <w:t> </w:t>
      </w:r>
      <w:r>
        <w:rPr>
          <w:w w:val="115"/>
        </w:rPr>
        <w:t>se</w:t>
      </w:r>
      <w:r>
        <w:rPr>
          <w:spacing w:val="-12"/>
          <w:w w:val="115"/>
        </w:rPr>
        <w:t> </w:t>
      </w:r>
      <w:r>
        <w:rPr>
          <w:w w:val="115"/>
        </w:rPr>
        <w:t>presentarán</w:t>
      </w:r>
      <w:r>
        <w:rPr>
          <w:spacing w:val="-12"/>
          <w:w w:val="115"/>
        </w:rPr>
        <w:t> </w:t>
      </w:r>
      <w:r>
        <w:rPr>
          <w:w w:val="115"/>
        </w:rPr>
        <w:t>en los</w:t>
      </w:r>
      <w:r>
        <w:rPr>
          <w:spacing w:val="-16"/>
          <w:w w:val="115"/>
        </w:rPr>
        <w:t> </w:t>
      </w:r>
      <w:r>
        <w:rPr>
          <w:w w:val="115"/>
        </w:rPr>
        <w:t>próximos</w:t>
      </w:r>
      <w:r>
        <w:rPr>
          <w:spacing w:val="-16"/>
          <w:w w:val="115"/>
        </w:rPr>
        <w:t> </w:t>
      </w:r>
      <w:r>
        <w:rPr>
          <w:w w:val="115"/>
        </w:rPr>
        <w:t>años,</w:t>
      </w:r>
      <w:r>
        <w:rPr>
          <w:spacing w:val="-16"/>
          <w:w w:val="115"/>
        </w:rPr>
        <w:t> </w:t>
      </w:r>
      <w:r>
        <w:rPr>
          <w:w w:val="115"/>
        </w:rPr>
        <w:t>así</w:t>
      </w:r>
      <w:r>
        <w:rPr>
          <w:spacing w:val="-16"/>
          <w:w w:val="115"/>
        </w:rPr>
        <w:t> </w:t>
      </w:r>
      <w:r>
        <w:rPr>
          <w:w w:val="115"/>
        </w:rPr>
        <w:t>como</w:t>
      </w:r>
      <w:r>
        <w:rPr>
          <w:spacing w:val="-16"/>
          <w:w w:val="115"/>
        </w:rPr>
        <w:t> </w:t>
      </w:r>
      <w:r>
        <w:rPr>
          <w:w w:val="115"/>
        </w:rPr>
        <w:t>para</w:t>
      </w:r>
      <w:r>
        <w:rPr>
          <w:spacing w:val="-16"/>
          <w:w w:val="115"/>
        </w:rPr>
        <w:t> </w:t>
      </w:r>
      <w:r>
        <w:rPr>
          <w:w w:val="115"/>
        </w:rPr>
        <w:t>posibilitar</w:t>
      </w:r>
      <w:r>
        <w:rPr>
          <w:spacing w:val="-16"/>
          <w:w w:val="115"/>
        </w:rPr>
        <w:t> </w:t>
      </w:r>
      <w:r>
        <w:rPr>
          <w:w w:val="115"/>
        </w:rPr>
        <w:t>la</w:t>
      </w:r>
      <w:r>
        <w:rPr>
          <w:spacing w:val="-16"/>
          <w:w w:val="115"/>
        </w:rPr>
        <w:t> </w:t>
      </w:r>
      <w:r>
        <w:rPr>
          <w:w w:val="115"/>
        </w:rPr>
        <w:t>“necesaria</w:t>
      </w:r>
      <w:r>
        <w:rPr>
          <w:spacing w:val="-16"/>
          <w:w w:val="115"/>
        </w:rPr>
        <w:t> </w:t>
      </w:r>
      <w:r>
        <w:rPr>
          <w:w w:val="115"/>
        </w:rPr>
        <w:t>concentra- ción”</w:t>
      </w:r>
      <w:r>
        <w:rPr>
          <w:spacing w:val="-18"/>
          <w:w w:val="115"/>
        </w:rPr>
        <w:t> </w:t>
      </w:r>
      <w:r>
        <w:rPr>
          <w:w w:val="115"/>
        </w:rPr>
        <w:t>de</w:t>
      </w:r>
      <w:r>
        <w:rPr>
          <w:spacing w:val="-18"/>
          <w:w w:val="115"/>
        </w:rPr>
        <w:t> </w:t>
      </w:r>
      <w:r>
        <w:rPr>
          <w:w w:val="115"/>
        </w:rPr>
        <w:t>sus</w:t>
      </w:r>
      <w:r>
        <w:rPr>
          <w:spacing w:val="-18"/>
          <w:w w:val="115"/>
        </w:rPr>
        <w:t> </w:t>
      </w:r>
      <w:r>
        <w:rPr>
          <w:w w:val="115"/>
        </w:rPr>
        <w:t>Fuerzas</w:t>
      </w:r>
      <w:r>
        <w:rPr>
          <w:spacing w:val="-18"/>
          <w:w w:val="115"/>
        </w:rPr>
        <w:t> </w:t>
      </w:r>
      <w:r>
        <w:rPr>
          <w:w w:val="115"/>
        </w:rPr>
        <w:t>armadas</w:t>
      </w:r>
      <w:r>
        <w:rPr>
          <w:spacing w:val="-18"/>
          <w:w w:val="115"/>
        </w:rPr>
        <w:t> </w:t>
      </w:r>
      <w:r>
        <w:rPr>
          <w:w w:val="115"/>
        </w:rPr>
        <w:t>en</w:t>
      </w:r>
      <w:r>
        <w:rPr>
          <w:spacing w:val="-18"/>
          <w:w w:val="115"/>
        </w:rPr>
        <w:t> </w:t>
      </w:r>
      <w:r>
        <w:rPr>
          <w:w w:val="115"/>
        </w:rPr>
        <w:t>la</w:t>
      </w:r>
      <w:r>
        <w:rPr>
          <w:spacing w:val="-18"/>
          <w:w w:val="115"/>
        </w:rPr>
        <w:t> </w:t>
      </w:r>
      <w:r>
        <w:rPr>
          <w:w w:val="115"/>
        </w:rPr>
        <w:t>región</w:t>
      </w:r>
      <w:r>
        <w:rPr>
          <w:spacing w:val="-18"/>
          <w:w w:val="115"/>
        </w:rPr>
        <w:t> </w:t>
      </w:r>
      <w:r>
        <w:rPr>
          <w:w w:val="115"/>
        </w:rPr>
        <w:t>asia-Pacífico,</w:t>
      </w:r>
      <w:r>
        <w:rPr>
          <w:spacing w:val="-18"/>
          <w:w w:val="115"/>
        </w:rPr>
        <w:t> </w:t>
      </w:r>
      <w:r>
        <w:rPr>
          <w:w w:val="115"/>
        </w:rPr>
        <w:t>el</w:t>
      </w:r>
      <w:r>
        <w:rPr>
          <w:spacing w:val="-18"/>
          <w:w w:val="115"/>
        </w:rPr>
        <w:t> </w:t>
      </w:r>
      <w:r>
        <w:rPr>
          <w:w w:val="115"/>
        </w:rPr>
        <w:t>Pentágono se</w:t>
      </w:r>
      <w:r>
        <w:rPr>
          <w:spacing w:val="-15"/>
          <w:w w:val="115"/>
        </w:rPr>
        <w:t> </w:t>
      </w:r>
      <w:r>
        <w:rPr>
          <w:w w:val="115"/>
        </w:rPr>
        <w:t>plantea</w:t>
      </w:r>
      <w:r>
        <w:rPr>
          <w:spacing w:val="-15"/>
          <w:w w:val="115"/>
        </w:rPr>
        <w:t> </w:t>
      </w:r>
      <w:r>
        <w:rPr>
          <w:w w:val="115"/>
        </w:rPr>
        <w:t>elaborar</w:t>
      </w:r>
      <w:r>
        <w:rPr>
          <w:spacing w:val="-15"/>
          <w:w w:val="115"/>
        </w:rPr>
        <w:t> </w:t>
      </w:r>
      <w:r>
        <w:rPr>
          <w:w w:val="115"/>
        </w:rPr>
        <w:t>“innovadoras</w:t>
      </w:r>
      <w:r>
        <w:rPr>
          <w:spacing w:val="-15"/>
          <w:w w:val="115"/>
        </w:rPr>
        <w:t> </w:t>
      </w:r>
      <w:r>
        <w:rPr>
          <w:w w:val="115"/>
        </w:rPr>
        <w:t>y</w:t>
      </w:r>
      <w:r>
        <w:rPr>
          <w:spacing w:val="-15"/>
          <w:w w:val="115"/>
        </w:rPr>
        <w:t> </w:t>
      </w:r>
      <w:r>
        <w:rPr>
          <w:w w:val="115"/>
        </w:rPr>
        <w:t>flexibles</w:t>
      </w:r>
      <w:r>
        <w:rPr>
          <w:spacing w:val="-15"/>
          <w:w w:val="115"/>
        </w:rPr>
        <w:t> </w:t>
      </w:r>
      <w:r>
        <w:rPr>
          <w:w w:val="115"/>
        </w:rPr>
        <w:t>alianzas”</w:t>
      </w:r>
      <w:r>
        <w:rPr>
          <w:spacing w:val="-15"/>
          <w:w w:val="115"/>
        </w:rPr>
        <w:t> </w:t>
      </w:r>
      <w:r>
        <w:rPr>
          <w:w w:val="115"/>
        </w:rPr>
        <w:t>con</w:t>
      </w:r>
      <w:r>
        <w:rPr>
          <w:spacing w:val="-15"/>
          <w:w w:val="115"/>
        </w:rPr>
        <w:t> </w:t>
      </w:r>
      <w:r>
        <w:rPr>
          <w:w w:val="115"/>
        </w:rPr>
        <w:t>“los</w:t>
      </w:r>
      <w:r>
        <w:rPr>
          <w:spacing w:val="-15"/>
          <w:w w:val="115"/>
        </w:rPr>
        <w:t> </w:t>
      </w:r>
      <w:r>
        <w:rPr>
          <w:w w:val="115"/>
        </w:rPr>
        <w:t>países amigos”</w:t>
      </w:r>
      <w:r>
        <w:rPr>
          <w:spacing w:val="-21"/>
          <w:w w:val="115"/>
        </w:rPr>
        <w:t> </w:t>
      </w:r>
      <w:r>
        <w:rPr>
          <w:w w:val="115"/>
        </w:rPr>
        <w:t>o</w:t>
      </w:r>
      <w:r>
        <w:rPr>
          <w:spacing w:val="-21"/>
          <w:w w:val="115"/>
        </w:rPr>
        <w:t> </w:t>
      </w:r>
      <w:r>
        <w:rPr>
          <w:w w:val="115"/>
        </w:rPr>
        <w:t>“aliados”</w:t>
      </w:r>
      <w:r>
        <w:rPr>
          <w:spacing w:val="-21"/>
          <w:w w:val="115"/>
        </w:rPr>
        <w:t> </w:t>
      </w:r>
      <w:r>
        <w:rPr>
          <w:w w:val="115"/>
        </w:rPr>
        <w:t>del</w:t>
      </w:r>
      <w:r>
        <w:rPr>
          <w:spacing w:val="-21"/>
          <w:w w:val="115"/>
        </w:rPr>
        <w:t> </w:t>
      </w:r>
      <w:r>
        <w:rPr>
          <w:w w:val="115"/>
        </w:rPr>
        <w:t>hemisferio</w:t>
      </w:r>
      <w:r>
        <w:rPr>
          <w:spacing w:val="-21"/>
          <w:w w:val="115"/>
        </w:rPr>
        <w:t> </w:t>
      </w:r>
      <w:r>
        <w:rPr>
          <w:w w:val="115"/>
        </w:rPr>
        <w:t>occidental.</w:t>
      </w:r>
    </w:p>
    <w:p>
      <w:pPr>
        <w:pStyle w:val="BodyText"/>
        <w:spacing w:line="252" w:lineRule="auto"/>
        <w:ind w:left="330" w:right="118" w:firstLine="396"/>
        <w:jc w:val="both"/>
      </w:pPr>
      <w:r>
        <w:rPr>
          <w:w w:val="110"/>
        </w:rPr>
        <w:t>Esas alianzas deben dejar “una huella ligera” y garantizar que    las</w:t>
      </w:r>
      <w:r>
        <w:rPr>
          <w:spacing w:val="22"/>
          <w:w w:val="110"/>
        </w:rPr>
        <w:t> </w:t>
      </w:r>
      <w:r>
        <w:rPr>
          <w:w w:val="110"/>
        </w:rPr>
        <w:t>fuerzas</w:t>
      </w:r>
      <w:r>
        <w:rPr>
          <w:spacing w:val="22"/>
          <w:w w:val="110"/>
        </w:rPr>
        <w:t> </w:t>
      </w:r>
      <w:r>
        <w:rPr>
          <w:w w:val="110"/>
        </w:rPr>
        <w:t>armadas</w:t>
      </w:r>
      <w:r>
        <w:rPr>
          <w:spacing w:val="22"/>
          <w:w w:val="110"/>
        </w:rPr>
        <w:t> </w:t>
      </w:r>
      <w:r>
        <w:rPr>
          <w:w w:val="110"/>
        </w:rPr>
        <w:t>estadounidenses</w:t>
      </w:r>
      <w:r>
        <w:rPr>
          <w:spacing w:val="22"/>
          <w:w w:val="110"/>
        </w:rPr>
        <w:t> </w:t>
      </w:r>
      <w:r>
        <w:rPr>
          <w:w w:val="110"/>
        </w:rPr>
        <w:t>sean</w:t>
      </w:r>
      <w:r>
        <w:rPr>
          <w:spacing w:val="22"/>
          <w:w w:val="110"/>
        </w:rPr>
        <w:t> </w:t>
      </w:r>
      <w:r>
        <w:rPr>
          <w:w w:val="110"/>
        </w:rPr>
        <w:t>“el</w:t>
      </w:r>
      <w:r>
        <w:rPr>
          <w:spacing w:val="22"/>
          <w:w w:val="110"/>
        </w:rPr>
        <w:t> </w:t>
      </w:r>
      <w:r>
        <w:rPr>
          <w:w w:val="110"/>
        </w:rPr>
        <w:t>socio</w:t>
      </w:r>
      <w:r>
        <w:rPr>
          <w:spacing w:val="22"/>
          <w:w w:val="110"/>
        </w:rPr>
        <w:t> </w:t>
      </w:r>
      <w:r>
        <w:rPr>
          <w:w w:val="110"/>
        </w:rPr>
        <w:t>predilecto”</w:t>
      </w:r>
      <w:r>
        <w:rPr>
          <w:spacing w:val="22"/>
          <w:w w:val="110"/>
        </w:rPr>
        <w:t> </w:t>
      </w:r>
      <w:r>
        <w:rPr>
          <w:w w:val="110"/>
        </w:rPr>
        <w:t>y</w:t>
      </w:r>
      <w:r>
        <w:rPr>
          <w:spacing w:val="22"/>
          <w:w w:val="110"/>
        </w:rPr>
        <w:t> </w:t>
      </w:r>
      <w:r>
        <w:rPr>
          <w:w w:val="110"/>
        </w:rPr>
        <w:t>“el</w:t>
      </w:r>
    </w:p>
    <w:p>
      <w:pPr>
        <w:pStyle w:val="BodyText"/>
        <w:spacing w:before="7"/>
      </w:pPr>
      <w:r>
        <w:rPr/>
        <w:pict>
          <v:line style="position:absolute;mso-position-horizontal-relative:page;mso-position-vertical-relative:paragraph;z-index:7864;mso-wrap-distance-left:0;mso-wrap-distance-right:0" from="76.5354pt,13.730826pt" to="104.8814pt,13.730826pt" stroked="true" strokeweight=".5pt" strokecolor="#000000">
            <w10:wrap type="topAndBottom"/>
          </v:line>
        </w:pict>
      </w:r>
    </w:p>
    <w:p>
      <w:pPr>
        <w:spacing w:line="242" w:lineRule="auto" w:before="89"/>
        <w:ind w:left="330" w:right="118" w:firstLine="0"/>
        <w:jc w:val="both"/>
        <w:rPr>
          <w:sz w:val="16"/>
        </w:rPr>
      </w:pPr>
      <w:r>
        <w:rPr>
          <w:w w:val="110"/>
          <w:sz w:val="16"/>
        </w:rPr>
        <w:t>al igual que de sus diversas declaraciones durante las visitas que a fines de ese mes realizó a brasil, Colombia y trinidad y </w:t>
      </w:r>
      <w:r>
        <w:rPr>
          <w:spacing w:val="-3"/>
          <w:w w:val="110"/>
          <w:sz w:val="16"/>
        </w:rPr>
        <w:t>tobago. </w:t>
      </w:r>
      <w:r>
        <w:rPr>
          <w:w w:val="110"/>
          <w:sz w:val="16"/>
        </w:rPr>
        <w:t>igualmente durante su visita a Pana- </w:t>
      </w:r>
      <w:r>
        <w:rPr>
          <w:w w:val="110"/>
          <w:sz w:val="16"/>
        </w:rPr>
        <w:t>má</w:t>
      </w:r>
      <w:r>
        <w:rPr>
          <w:spacing w:val="14"/>
          <w:sz w:val="16"/>
        </w:rPr>
        <w:t> </w:t>
      </w:r>
      <w:r>
        <w:rPr>
          <w:w w:val="106"/>
          <w:sz w:val="16"/>
        </w:rPr>
        <w:t>en</w:t>
      </w:r>
      <w:r>
        <w:rPr>
          <w:spacing w:val="14"/>
          <w:sz w:val="16"/>
        </w:rPr>
        <w:t> </w:t>
      </w:r>
      <w:r>
        <w:rPr>
          <w:w w:val="106"/>
          <w:sz w:val="16"/>
        </w:rPr>
        <w:t>noviembre</w:t>
      </w:r>
      <w:r>
        <w:rPr>
          <w:spacing w:val="14"/>
          <w:sz w:val="16"/>
        </w:rPr>
        <w:t> </w:t>
      </w:r>
      <w:r>
        <w:rPr>
          <w:w w:val="104"/>
          <w:sz w:val="16"/>
        </w:rPr>
        <w:t>de</w:t>
      </w:r>
      <w:r>
        <w:rPr>
          <w:spacing w:val="14"/>
          <w:sz w:val="16"/>
        </w:rPr>
        <w:t> </w:t>
      </w:r>
      <w:r>
        <w:rPr>
          <w:w w:val="102"/>
          <w:sz w:val="16"/>
        </w:rPr>
        <w:t>ese</w:t>
      </w:r>
      <w:r>
        <w:rPr>
          <w:spacing w:val="14"/>
          <w:sz w:val="16"/>
        </w:rPr>
        <w:t> </w:t>
      </w:r>
      <w:r>
        <w:rPr>
          <w:w w:val="112"/>
          <w:sz w:val="16"/>
        </w:rPr>
        <w:t>año.</w:t>
      </w:r>
      <w:r>
        <w:rPr>
          <w:spacing w:val="14"/>
          <w:sz w:val="16"/>
        </w:rPr>
        <w:t> </w:t>
      </w:r>
      <w:r>
        <w:rPr>
          <w:w w:val="117"/>
          <w:sz w:val="16"/>
        </w:rPr>
        <w:t>En</w:t>
      </w:r>
      <w:r>
        <w:rPr>
          <w:spacing w:val="14"/>
          <w:sz w:val="16"/>
        </w:rPr>
        <w:t> </w:t>
      </w:r>
      <w:r>
        <w:rPr>
          <w:w w:val="105"/>
          <w:sz w:val="16"/>
        </w:rPr>
        <w:t>esa</w:t>
      </w:r>
      <w:r>
        <w:rPr>
          <w:spacing w:val="14"/>
          <w:sz w:val="16"/>
        </w:rPr>
        <w:t> </w:t>
      </w:r>
      <w:r>
        <w:rPr>
          <w:w w:val="109"/>
          <w:sz w:val="16"/>
        </w:rPr>
        <w:t>ocasión</w:t>
      </w:r>
      <w:r>
        <w:rPr>
          <w:spacing w:val="14"/>
          <w:sz w:val="16"/>
        </w:rPr>
        <w:t> </w:t>
      </w:r>
      <w:r>
        <w:rPr>
          <w:w w:val="107"/>
          <w:sz w:val="16"/>
        </w:rPr>
        <w:t>señaló</w:t>
      </w:r>
      <w:r>
        <w:rPr>
          <w:spacing w:val="14"/>
          <w:sz w:val="16"/>
        </w:rPr>
        <w:t> </w:t>
      </w:r>
      <w:r>
        <w:rPr>
          <w:w w:val="106"/>
          <w:sz w:val="16"/>
        </w:rPr>
        <w:t>que</w:t>
      </w:r>
      <w:r>
        <w:rPr>
          <w:spacing w:val="14"/>
          <w:sz w:val="16"/>
        </w:rPr>
        <w:t> </w:t>
      </w:r>
      <w:r>
        <w:rPr>
          <w:w w:val="136"/>
          <w:sz w:val="16"/>
        </w:rPr>
        <w:t>a</w:t>
      </w:r>
      <w:r>
        <w:rPr>
          <w:w w:val="108"/>
          <w:sz w:val="16"/>
        </w:rPr>
        <w:t>mérica</w:t>
      </w:r>
      <w:r>
        <w:rPr>
          <w:spacing w:val="14"/>
          <w:sz w:val="16"/>
        </w:rPr>
        <w:t> </w:t>
      </w:r>
      <w:r>
        <w:rPr>
          <w:w w:val="238"/>
          <w:sz w:val="16"/>
        </w:rPr>
        <w:t>l</w:t>
      </w:r>
      <w:r>
        <w:rPr>
          <w:w w:val="109"/>
          <w:sz w:val="16"/>
        </w:rPr>
        <w:t>atina</w:t>
      </w:r>
      <w:r>
        <w:rPr>
          <w:spacing w:val="14"/>
          <w:sz w:val="16"/>
        </w:rPr>
        <w:t> </w:t>
      </w:r>
      <w:r>
        <w:rPr>
          <w:w w:val="102"/>
          <w:sz w:val="16"/>
        </w:rPr>
        <w:t>y</w:t>
      </w:r>
      <w:r>
        <w:rPr>
          <w:spacing w:val="14"/>
          <w:sz w:val="16"/>
        </w:rPr>
        <w:t> </w:t>
      </w:r>
      <w:r>
        <w:rPr>
          <w:w w:val="104"/>
          <w:sz w:val="16"/>
        </w:rPr>
        <w:t>el</w:t>
      </w:r>
      <w:r>
        <w:rPr>
          <w:spacing w:val="14"/>
          <w:sz w:val="16"/>
        </w:rPr>
        <w:t> </w:t>
      </w:r>
      <w:r>
        <w:rPr>
          <w:w w:val="110"/>
          <w:sz w:val="16"/>
        </w:rPr>
        <w:t>Caribe </w:t>
      </w:r>
      <w:r>
        <w:rPr>
          <w:w w:val="110"/>
          <w:sz w:val="16"/>
        </w:rPr>
        <w:t>habían</w:t>
      </w:r>
      <w:r>
        <w:rPr>
          <w:spacing w:val="-3"/>
          <w:w w:val="110"/>
          <w:sz w:val="16"/>
        </w:rPr>
        <w:t> </w:t>
      </w:r>
      <w:r>
        <w:rPr>
          <w:w w:val="110"/>
          <w:sz w:val="16"/>
        </w:rPr>
        <w:t>dejado</w:t>
      </w:r>
      <w:r>
        <w:rPr>
          <w:spacing w:val="-3"/>
          <w:w w:val="110"/>
          <w:sz w:val="16"/>
        </w:rPr>
        <w:t> </w:t>
      </w:r>
      <w:r>
        <w:rPr>
          <w:w w:val="110"/>
          <w:sz w:val="16"/>
        </w:rPr>
        <w:t>de</w:t>
      </w:r>
      <w:r>
        <w:rPr>
          <w:spacing w:val="-3"/>
          <w:w w:val="110"/>
          <w:sz w:val="16"/>
        </w:rPr>
        <w:t> </w:t>
      </w:r>
      <w:r>
        <w:rPr>
          <w:w w:val="110"/>
          <w:sz w:val="16"/>
        </w:rPr>
        <w:t>ser</w:t>
      </w:r>
      <w:r>
        <w:rPr>
          <w:spacing w:val="-3"/>
          <w:w w:val="110"/>
          <w:sz w:val="16"/>
        </w:rPr>
        <w:t> </w:t>
      </w:r>
      <w:r>
        <w:rPr>
          <w:w w:val="110"/>
          <w:sz w:val="16"/>
        </w:rPr>
        <w:t>“el</w:t>
      </w:r>
      <w:r>
        <w:rPr>
          <w:spacing w:val="-3"/>
          <w:w w:val="110"/>
          <w:sz w:val="16"/>
        </w:rPr>
        <w:t> </w:t>
      </w:r>
      <w:r>
        <w:rPr>
          <w:w w:val="110"/>
          <w:sz w:val="16"/>
        </w:rPr>
        <w:t>patio</w:t>
      </w:r>
      <w:r>
        <w:rPr>
          <w:spacing w:val="-3"/>
          <w:w w:val="110"/>
          <w:sz w:val="16"/>
        </w:rPr>
        <w:t> </w:t>
      </w:r>
      <w:r>
        <w:rPr>
          <w:w w:val="110"/>
          <w:sz w:val="16"/>
        </w:rPr>
        <w:t>trasero”</w:t>
      </w:r>
      <w:r>
        <w:rPr>
          <w:spacing w:val="-3"/>
          <w:w w:val="110"/>
          <w:sz w:val="16"/>
        </w:rPr>
        <w:t> </w:t>
      </w:r>
      <w:r>
        <w:rPr>
          <w:w w:val="110"/>
          <w:sz w:val="16"/>
        </w:rPr>
        <w:t>para</w:t>
      </w:r>
      <w:r>
        <w:rPr>
          <w:spacing w:val="-3"/>
          <w:w w:val="110"/>
          <w:sz w:val="16"/>
        </w:rPr>
        <w:t> </w:t>
      </w:r>
      <w:r>
        <w:rPr>
          <w:w w:val="110"/>
          <w:sz w:val="16"/>
        </w:rPr>
        <w:t>pasar</w:t>
      </w:r>
      <w:r>
        <w:rPr>
          <w:spacing w:val="-3"/>
          <w:w w:val="110"/>
          <w:sz w:val="16"/>
        </w:rPr>
        <w:t> </w:t>
      </w:r>
      <w:r>
        <w:rPr>
          <w:w w:val="110"/>
          <w:sz w:val="16"/>
        </w:rPr>
        <w:t>a</w:t>
      </w:r>
      <w:r>
        <w:rPr>
          <w:spacing w:val="-3"/>
          <w:w w:val="110"/>
          <w:sz w:val="16"/>
        </w:rPr>
        <w:t> </w:t>
      </w:r>
      <w:r>
        <w:rPr>
          <w:w w:val="110"/>
          <w:sz w:val="16"/>
        </w:rPr>
        <w:t>ser</w:t>
      </w:r>
      <w:r>
        <w:rPr>
          <w:spacing w:val="-3"/>
          <w:w w:val="110"/>
          <w:sz w:val="16"/>
        </w:rPr>
        <w:t> </w:t>
      </w:r>
      <w:r>
        <w:rPr>
          <w:w w:val="110"/>
          <w:sz w:val="16"/>
        </w:rPr>
        <w:t>“la</w:t>
      </w:r>
      <w:r>
        <w:rPr>
          <w:spacing w:val="-3"/>
          <w:w w:val="110"/>
          <w:sz w:val="16"/>
        </w:rPr>
        <w:t> </w:t>
      </w:r>
      <w:r>
        <w:rPr>
          <w:w w:val="110"/>
          <w:sz w:val="16"/>
        </w:rPr>
        <w:t>línea</w:t>
      </w:r>
      <w:r>
        <w:rPr>
          <w:spacing w:val="-3"/>
          <w:w w:val="110"/>
          <w:sz w:val="16"/>
        </w:rPr>
        <w:t> </w:t>
      </w:r>
      <w:r>
        <w:rPr>
          <w:w w:val="110"/>
          <w:sz w:val="16"/>
        </w:rPr>
        <w:t>frontal”</w:t>
      </w:r>
      <w:r>
        <w:rPr>
          <w:spacing w:val="-3"/>
          <w:w w:val="110"/>
          <w:sz w:val="16"/>
        </w:rPr>
        <w:t> </w:t>
      </w:r>
      <w:r>
        <w:rPr>
          <w:w w:val="110"/>
          <w:sz w:val="16"/>
        </w:rPr>
        <w:t>de</w:t>
      </w:r>
      <w:r>
        <w:rPr>
          <w:spacing w:val="-3"/>
          <w:w w:val="110"/>
          <w:sz w:val="16"/>
        </w:rPr>
        <w:t> </w:t>
      </w:r>
      <w:r>
        <w:rPr>
          <w:w w:val="110"/>
          <w:sz w:val="16"/>
        </w:rPr>
        <w:t>los</w:t>
      </w:r>
      <w:r>
        <w:rPr>
          <w:spacing w:val="-3"/>
          <w:w w:val="110"/>
          <w:sz w:val="16"/>
        </w:rPr>
        <w:t> </w:t>
      </w:r>
      <w:r>
        <w:rPr>
          <w:w w:val="110"/>
          <w:sz w:val="16"/>
        </w:rPr>
        <w:t>Esta- dos unidos. Posteriormente, utilizó frases parecidas durante su asistencia en</w:t>
      </w:r>
      <w:r>
        <w:rPr>
          <w:spacing w:val="-7"/>
          <w:w w:val="110"/>
          <w:sz w:val="16"/>
        </w:rPr>
        <w:t> </w:t>
      </w:r>
      <w:r>
        <w:rPr>
          <w:w w:val="110"/>
          <w:sz w:val="16"/>
        </w:rPr>
        <w:t>marzo de 2014 a la toma de posesión de la actual presidenta de Chile, Michelle bachelet, y durante la visita que realizó a brasil, Colombia, república dominicana y Guatemala en julio de</w:t>
      </w:r>
      <w:r>
        <w:rPr>
          <w:spacing w:val="-24"/>
          <w:w w:val="110"/>
          <w:sz w:val="16"/>
        </w:rPr>
        <w:t> </w:t>
      </w:r>
      <w:r>
        <w:rPr>
          <w:w w:val="110"/>
          <w:sz w:val="16"/>
        </w:rPr>
        <w:t>2014.</w:t>
      </w:r>
    </w:p>
    <w:p>
      <w:pPr>
        <w:pStyle w:val="ListParagraph"/>
        <w:numPr>
          <w:ilvl w:val="1"/>
          <w:numId w:val="32"/>
        </w:numPr>
        <w:tabs>
          <w:tab w:pos="586" w:val="left" w:leader="none"/>
        </w:tabs>
        <w:spacing w:line="242" w:lineRule="auto" w:before="57" w:after="0"/>
        <w:ind w:left="330" w:right="118" w:firstLine="0"/>
        <w:jc w:val="both"/>
        <w:rPr>
          <w:sz w:val="16"/>
        </w:rPr>
      </w:pPr>
      <w:r>
        <w:rPr>
          <w:w w:val="110"/>
          <w:sz w:val="16"/>
        </w:rPr>
        <w:t>Como he planteado en algunos de mis libros (suárez, 2003 y 2006) y de mis</w:t>
      </w:r>
      <w:r>
        <w:rPr>
          <w:spacing w:val="-19"/>
          <w:w w:val="110"/>
          <w:sz w:val="16"/>
        </w:rPr>
        <w:t> </w:t>
      </w:r>
      <w:r>
        <w:rPr>
          <w:w w:val="110"/>
          <w:sz w:val="16"/>
        </w:rPr>
        <w:t>más recientes escritos (suárez, 2014), siempre será necesario diferenciar los legítimos intereses</w:t>
      </w:r>
      <w:r>
        <w:rPr>
          <w:spacing w:val="-6"/>
          <w:w w:val="110"/>
          <w:sz w:val="16"/>
        </w:rPr>
        <w:t> </w:t>
      </w:r>
      <w:r>
        <w:rPr>
          <w:w w:val="110"/>
          <w:sz w:val="16"/>
        </w:rPr>
        <w:t>de</w:t>
      </w:r>
      <w:r>
        <w:rPr>
          <w:spacing w:val="-6"/>
          <w:w w:val="110"/>
          <w:sz w:val="16"/>
        </w:rPr>
        <w:t> </w:t>
      </w:r>
      <w:r>
        <w:rPr>
          <w:w w:val="110"/>
          <w:sz w:val="16"/>
        </w:rPr>
        <w:t>la</w:t>
      </w:r>
      <w:r>
        <w:rPr>
          <w:spacing w:val="-6"/>
          <w:w w:val="110"/>
          <w:sz w:val="16"/>
        </w:rPr>
        <w:t> </w:t>
      </w:r>
      <w:r>
        <w:rPr>
          <w:w w:val="110"/>
          <w:sz w:val="16"/>
        </w:rPr>
        <w:t>seguridad</w:t>
      </w:r>
      <w:r>
        <w:rPr>
          <w:spacing w:val="-6"/>
          <w:w w:val="110"/>
          <w:sz w:val="16"/>
        </w:rPr>
        <w:t> </w:t>
      </w:r>
      <w:r>
        <w:rPr>
          <w:w w:val="110"/>
          <w:sz w:val="16"/>
        </w:rPr>
        <w:t>nacional</w:t>
      </w:r>
      <w:r>
        <w:rPr>
          <w:spacing w:val="-6"/>
          <w:w w:val="110"/>
          <w:sz w:val="16"/>
        </w:rPr>
        <w:t> </w:t>
      </w:r>
      <w:r>
        <w:rPr>
          <w:w w:val="110"/>
          <w:sz w:val="16"/>
        </w:rPr>
        <w:t>de</w:t>
      </w:r>
      <w:r>
        <w:rPr>
          <w:spacing w:val="-6"/>
          <w:w w:val="110"/>
          <w:sz w:val="16"/>
        </w:rPr>
        <w:t> </w:t>
      </w:r>
      <w:r>
        <w:rPr>
          <w:w w:val="110"/>
          <w:sz w:val="16"/>
        </w:rPr>
        <w:t>los</w:t>
      </w:r>
      <w:r>
        <w:rPr>
          <w:spacing w:val="-6"/>
          <w:w w:val="110"/>
          <w:sz w:val="16"/>
        </w:rPr>
        <w:t> </w:t>
      </w:r>
      <w:r>
        <w:rPr>
          <w:w w:val="110"/>
          <w:sz w:val="16"/>
        </w:rPr>
        <w:t>Estados</w:t>
      </w:r>
      <w:r>
        <w:rPr>
          <w:spacing w:val="-6"/>
          <w:w w:val="110"/>
          <w:sz w:val="16"/>
        </w:rPr>
        <w:t> </w:t>
      </w:r>
      <w:r>
        <w:rPr>
          <w:w w:val="110"/>
          <w:sz w:val="16"/>
        </w:rPr>
        <w:t>unidos,</w:t>
      </w:r>
      <w:r>
        <w:rPr>
          <w:spacing w:val="-6"/>
          <w:w w:val="110"/>
          <w:sz w:val="16"/>
        </w:rPr>
        <w:t> </w:t>
      </w:r>
      <w:r>
        <w:rPr>
          <w:w w:val="110"/>
          <w:sz w:val="16"/>
        </w:rPr>
        <w:t>de</w:t>
      </w:r>
      <w:r>
        <w:rPr>
          <w:spacing w:val="-6"/>
          <w:w w:val="110"/>
          <w:sz w:val="16"/>
        </w:rPr>
        <w:t> </w:t>
      </w:r>
      <w:r>
        <w:rPr>
          <w:w w:val="110"/>
          <w:sz w:val="16"/>
        </w:rPr>
        <w:t>los</w:t>
      </w:r>
      <w:r>
        <w:rPr>
          <w:spacing w:val="-6"/>
          <w:w w:val="110"/>
          <w:sz w:val="16"/>
        </w:rPr>
        <w:t> </w:t>
      </w:r>
      <w:r>
        <w:rPr>
          <w:w w:val="110"/>
          <w:sz w:val="16"/>
        </w:rPr>
        <w:t>ilegítimos</w:t>
      </w:r>
      <w:r>
        <w:rPr>
          <w:spacing w:val="-6"/>
          <w:w w:val="110"/>
          <w:sz w:val="16"/>
        </w:rPr>
        <w:t> </w:t>
      </w:r>
      <w:r>
        <w:rPr>
          <w:w w:val="110"/>
          <w:sz w:val="16"/>
        </w:rPr>
        <w:t>conceptos y</w:t>
      </w:r>
      <w:r>
        <w:rPr>
          <w:spacing w:val="-11"/>
          <w:w w:val="110"/>
          <w:sz w:val="16"/>
        </w:rPr>
        <w:t> </w:t>
      </w:r>
      <w:r>
        <w:rPr>
          <w:w w:val="110"/>
          <w:sz w:val="16"/>
        </w:rPr>
        <w:t>prácticas</w:t>
      </w:r>
      <w:r>
        <w:rPr>
          <w:spacing w:val="-11"/>
          <w:w w:val="110"/>
          <w:sz w:val="16"/>
        </w:rPr>
        <w:t> </w:t>
      </w:r>
      <w:r>
        <w:rPr>
          <w:w w:val="110"/>
          <w:sz w:val="16"/>
        </w:rPr>
        <w:t>vinculadas</w:t>
      </w:r>
      <w:r>
        <w:rPr>
          <w:spacing w:val="-11"/>
          <w:w w:val="110"/>
          <w:sz w:val="16"/>
        </w:rPr>
        <w:t> </w:t>
      </w:r>
      <w:r>
        <w:rPr>
          <w:w w:val="110"/>
          <w:sz w:val="16"/>
        </w:rPr>
        <w:t>a</w:t>
      </w:r>
      <w:r>
        <w:rPr>
          <w:spacing w:val="-11"/>
          <w:w w:val="110"/>
          <w:sz w:val="16"/>
        </w:rPr>
        <w:t> </w:t>
      </w:r>
      <w:r>
        <w:rPr>
          <w:w w:val="110"/>
          <w:sz w:val="16"/>
        </w:rPr>
        <w:t>su</w:t>
      </w:r>
      <w:r>
        <w:rPr>
          <w:spacing w:val="-11"/>
          <w:w w:val="110"/>
          <w:sz w:val="16"/>
        </w:rPr>
        <w:t> </w:t>
      </w:r>
      <w:r>
        <w:rPr>
          <w:w w:val="110"/>
          <w:sz w:val="16"/>
        </w:rPr>
        <w:t>seguridad</w:t>
      </w:r>
      <w:r>
        <w:rPr>
          <w:spacing w:val="-11"/>
          <w:w w:val="110"/>
          <w:sz w:val="16"/>
        </w:rPr>
        <w:t> </w:t>
      </w:r>
      <w:r>
        <w:rPr>
          <w:w w:val="110"/>
          <w:sz w:val="16"/>
        </w:rPr>
        <w:t>imperial.</w:t>
      </w:r>
      <w:r>
        <w:rPr>
          <w:spacing w:val="-11"/>
          <w:w w:val="110"/>
          <w:sz w:val="16"/>
        </w:rPr>
        <w:t> </w:t>
      </w:r>
      <w:r>
        <w:rPr>
          <w:w w:val="110"/>
          <w:sz w:val="16"/>
        </w:rPr>
        <w:t>Por</w:t>
      </w:r>
      <w:r>
        <w:rPr>
          <w:spacing w:val="-11"/>
          <w:w w:val="110"/>
          <w:sz w:val="16"/>
        </w:rPr>
        <w:t> </w:t>
      </w:r>
      <w:r>
        <w:rPr>
          <w:w w:val="110"/>
          <w:sz w:val="16"/>
        </w:rPr>
        <w:t>su</w:t>
      </w:r>
      <w:r>
        <w:rPr>
          <w:spacing w:val="-11"/>
          <w:w w:val="110"/>
          <w:sz w:val="16"/>
        </w:rPr>
        <w:t> </w:t>
      </w:r>
      <w:r>
        <w:rPr>
          <w:w w:val="110"/>
          <w:sz w:val="16"/>
        </w:rPr>
        <w:t>carácter</w:t>
      </w:r>
      <w:r>
        <w:rPr>
          <w:spacing w:val="-11"/>
          <w:w w:val="110"/>
          <w:sz w:val="16"/>
        </w:rPr>
        <w:t> </w:t>
      </w:r>
      <w:r>
        <w:rPr>
          <w:w w:val="110"/>
          <w:sz w:val="16"/>
        </w:rPr>
        <w:t>expansionista,</w:t>
      </w:r>
      <w:r>
        <w:rPr>
          <w:spacing w:val="-11"/>
          <w:w w:val="110"/>
          <w:sz w:val="16"/>
        </w:rPr>
        <w:t> </w:t>
      </w:r>
      <w:r>
        <w:rPr>
          <w:w w:val="110"/>
          <w:sz w:val="16"/>
        </w:rPr>
        <w:t>esta</w:t>
      </w:r>
      <w:r>
        <w:rPr>
          <w:spacing w:val="-11"/>
          <w:w w:val="110"/>
          <w:sz w:val="16"/>
        </w:rPr>
        <w:t> </w:t>
      </w:r>
      <w:r>
        <w:rPr>
          <w:w w:val="110"/>
          <w:sz w:val="16"/>
        </w:rPr>
        <w:t>úl- tima amenaza la soberanía y la autodeterminación de otros Estados </w:t>
      </w:r>
      <w:r>
        <w:rPr>
          <w:spacing w:val="-9"/>
          <w:w w:val="110"/>
          <w:sz w:val="16"/>
        </w:rPr>
        <w:t>y, </w:t>
      </w:r>
      <w:r>
        <w:rPr>
          <w:w w:val="110"/>
          <w:sz w:val="16"/>
        </w:rPr>
        <w:t>en</w:t>
      </w:r>
      <w:r>
        <w:rPr>
          <w:spacing w:val="-12"/>
          <w:w w:val="110"/>
          <w:sz w:val="16"/>
        </w:rPr>
        <w:t> </w:t>
      </w:r>
      <w:r>
        <w:rPr>
          <w:w w:val="110"/>
          <w:sz w:val="16"/>
        </w:rPr>
        <w:t>particular, de los situados al sur del río bravo y de la península de</w:t>
      </w:r>
      <w:r>
        <w:rPr>
          <w:spacing w:val="-7"/>
          <w:w w:val="110"/>
          <w:sz w:val="16"/>
        </w:rPr>
        <w:t> </w:t>
      </w:r>
      <w:r>
        <w:rPr>
          <w:w w:val="110"/>
          <w:sz w:val="16"/>
        </w:rPr>
        <w:t>Florida.</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867"/>
        <w:jc w:val="both"/>
      </w:pPr>
      <w:r>
        <w:rPr>
          <w:w w:val="110"/>
        </w:rPr>
        <w:t>posibilitador clave de la férrea cooperación regional” en materia de defensa y seguridad. </w:t>
      </w:r>
      <w:r>
        <w:rPr>
          <w:spacing w:val="-3"/>
          <w:w w:val="110"/>
        </w:rPr>
        <w:t>también </w:t>
      </w:r>
      <w:r>
        <w:rPr>
          <w:w w:val="110"/>
        </w:rPr>
        <w:t>que sus contrapartes estén en disposi- ción y posibilidades de “compartir responsabilidades y costos” con los Estados unidos, al igual que de “exportar seguridad” a otros lugares del mundo y en particular del sur político del continente americano; ya que gracias a “la transformación admirable” que se ha producido en los primeros años del siglo  </w:t>
      </w:r>
      <w:r>
        <w:rPr>
          <w:spacing w:val="17"/>
          <w:w w:val="110"/>
        </w:rPr>
        <w:t> </w:t>
      </w:r>
      <w:r>
        <w:rPr>
          <w:w w:val="125"/>
        </w:rPr>
        <w:t>xxi,</w:t>
      </w:r>
    </w:p>
    <w:p>
      <w:pPr>
        <w:pStyle w:val="BodyText"/>
      </w:pPr>
    </w:p>
    <w:p>
      <w:pPr>
        <w:spacing w:line="242" w:lineRule="auto" w:before="0"/>
        <w:ind w:left="517" w:right="868" w:firstLine="0"/>
        <w:jc w:val="both"/>
        <w:rPr>
          <w:i/>
          <w:sz w:val="18"/>
        </w:rPr>
      </w:pPr>
      <w:r>
        <w:rPr>
          <w:w w:val="105"/>
          <w:sz w:val="18"/>
        </w:rPr>
        <w:t>[los países del hemisferio están mirando más allá de esta región, desde</w:t>
      </w:r>
      <w:r>
        <w:rPr>
          <w:spacing w:val="41"/>
          <w:w w:val="105"/>
          <w:sz w:val="18"/>
        </w:rPr>
        <w:t> </w:t>
      </w:r>
      <w:r>
        <w:rPr>
          <w:w w:val="105"/>
          <w:sz w:val="18"/>
        </w:rPr>
        <w:t>la región de asia y el Pacífico hasta África. dados nuestros intereses co- munes […], continuaremos identificando oportunidades de </w:t>
      </w:r>
      <w:r>
        <w:rPr>
          <w:spacing w:val="-2"/>
          <w:w w:val="105"/>
          <w:sz w:val="18"/>
        </w:rPr>
        <w:t>colaboración </w:t>
      </w:r>
      <w:r>
        <w:rPr>
          <w:w w:val="105"/>
          <w:sz w:val="18"/>
        </w:rPr>
        <w:t>para forjar alianzas que trasciendan nuestro hemisferio. </w:t>
      </w:r>
      <w:r>
        <w:rPr>
          <w:i/>
          <w:w w:val="105"/>
          <w:sz w:val="18"/>
        </w:rPr>
        <w:t>Este enfoque no </w:t>
      </w:r>
      <w:r>
        <w:rPr>
          <w:i/>
          <w:w w:val="105"/>
          <w:sz w:val="18"/>
        </w:rPr>
        <w:t>solo afianza las alianzas que [ya] tienen los Estados Unidos en este hemis- ferio,</w:t>
      </w:r>
      <w:r>
        <w:rPr>
          <w:i/>
          <w:spacing w:val="-10"/>
          <w:w w:val="105"/>
          <w:sz w:val="18"/>
        </w:rPr>
        <w:t> </w:t>
      </w:r>
      <w:r>
        <w:rPr>
          <w:i/>
          <w:w w:val="105"/>
          <w:sz w:val="18"/>
        </w:rPr>
        <w:t>sino</w:t>
      </w:r>
      <w:r>
        <w:rPr>
          <w:i/>
          <w:spacing w:val="-10"/>
          <w:w w:val="105"/>
          <w:sz w:val="18"/>
        </w:rPr>
        <w:t> </w:t>
      </w:r>
      <w:r>
        <w:rPr>
          <w:i/>
          <w:w w:val="105"/>
          <w:sz w:val="18"/>
        </w:rPr>
        <w:t>que</w:t>
      </w:r>
      <w:r>
        <w:rPr>
          <w:i/>
          <w:spacing w:val="-10"/>
          <w:w w:val="105"/>
          <w:sz w:val="18"/>
        </w:rPr>
        <w:t> </w:t>
      </w:r>
      <w:r>
        <w:rPr>
          <w:i/>
          <w:w w:val="105"/>
          <w:sz w:val="18"/>
        </w:rPr>
        <w:t>realza</w:t>
      </w:r>
      <w:r>
        <w:rPr>
          <w:i/>
          <w:spacing w:val="-10"/>
          <w:w w:val="105"/>
          <w:sz w:val="18"/>
        </w:rPr>
        <w:t> </w:t>
      </w:r>
      <w:r>
        <w:rPr>
          <w:i/>
          <w:w w:val="105"/>
          <w:sz w:val="18"/>
        </w:rPr>
        <w:t>la</w:t>
      </w:r>
      <w:r>
        <w:rPr>
          <w:i/>
          <w:spacing w:val="-10"/>
          <w:w w:val="105"/>
          <w:sz w:val="18"/>
        </w:rPr>
        <w:t> </w:t>
      </w:r>
      <w:r>
        <w:rPr>
          <w:i/>
          <w:w w:val="105"/>
          <w:sz w:val="18"/>
        </w:rPr>
        <w:t>importancia</w:t>
      </w:r>
      <w:r>
        <w:rPr>
          <w:i/>
          <w:spacing w:val="-10"/>
          <w:w w:val="105"/>
          <w:sz w:val="18"/>
        </w:rPr>
        <w:t> </w:t>
      </w:r>
      <w:r>
        <w:rPr>
          <w:i/>
          <w:w w:val="105"/>
          <w:sz w:val="18"/>
        </w:rPr>
        <w:t>que</w:t>
      </w:r>
      <w:r>
        <w:rPr>
          <w:i/>
          <w:spacing w:val="-10"/>
          <w:w w:val="105"/>
          <w:sz w:val="18"/>
        </w:rPr>
        <w:t> </w:t>
      </w:r>
      <w:r>
        <w:rPr>
          <w:i/>
          <w:w w:val="105"/>
          <w:sz w:val="18"/>
        </w:rPr>
        <w:t>ellas</w:t>
      </w:r>
      <w:r>
        <w:rPr>
          <w:i/>
          <w:spacing w:val="-10"/>
          <w:w w:val="105"/>
          <w:sz w:val="18"/>
        </w:rPr>
        <w:t> </w:t>
      </w:r>
      <w:r>
        <w:rPr>
          <w:i/>
          <w:w w:val="105"/>
          <w:sz w:val="18"/>
        </w:rPr>
        <w:t>revisten</w:t>
      </w:r>
      <w:r>
        <w:rPr>
          <w:i/>
          <w:spacing w:val="-10"/>
          <w:w w:val="105"/>
          <w:sz w:val="18"/>
        </w:rPr>
        <w:t> </w:t>
      </w:r>
      <w:r>
        <w:rPr>
          <w:i/>
          <w:w w:val="105"/>
          <w:sz w:val="18"/>
        </w:rPr>
        <w:t>para</w:t>
      </w:r>
      <w:r>
        <w:rPr>
          <w:i/>
          <w:spacing w:val="-10"/>
          <w:w w:val="105"/>
          <w:sz w:val="18"/>
        </w:rPr>
        <w:t> </w:t>
      </w:r>
      <w:r>
        <w:rPr>
          <w:i/>
          <w:w w:val="105"/>
          <w:sz w:val="18"/>
        </w:rPr>
        <w:t>apoyar</w:t>
      </w:r>
      <w:r>
        <w:rPr>
          <w:i/>
          <w:spacing w:val="-10"/>
          <w:w w:val="105"/>
          <w:sz w:val="18"/>
        </w:rPr>
        <w:t> </w:t>
      </w:r>
      <w:r>
        <w:rPr>
          <w:i/>
          <w:w w:val="105"/>
          <w:sz w:val="18"/>
        </w:rPr>
        <w:t>las</w:t>
      </w:r>
      <w:r>
        <w:rPr>
          <w:i/>
          <w:spacing w:val="-10"/>
          <w:w w:val="105"/>
          <w:sz w:val="18"/>
        </w:rPr>
        <w:t> </w:t>
      </w:r>
      <w:r>
        <w:rPr>
          <w:i/>
          <w:w w:val="105"/>
          <w:sz w:val="18"/>
        </w:rPr>
        <w:t>prio- ridades que los Estados Unidos tienen en el mundo, como el vuelco a Asia   y el Pacífico </w:t>
      </w:r>
      <w:r>
        <w:rPr>
          <w:w w:val="105"/>
          <w:sz w:val="18"/>
        </w:rPr>
        <w:t>(Panetta, 2012, las cursivas son del autor de este</w:t>
      </w:r>
      <w:r>
        <w:rPr>
          <w:spacing w:val="-26"/>
          <w:w w:val="105"/>
          <w:sz w:val="18"/>
        </w:rPr>
        <w:t> </w:t>
      </w:r>
      <w:r>
        <w:rPr>
          <w:w w:val="105"/>
          <w:sz w:val="18"/>
        </w:rPr>
        <w:t>ensayo)</w:t>
      </w:r>
      <w:r>
        <w:rPr>
          <w:i/>
          <w:w w:val="105"/>
          <w:sz w:val="18"/>
        </w:rPr>
        <w:t>.</w:t>
      </w:r>
    </w:p>
    <w:p>
      <w:pPr>
        <w:pStyle w:val="BodyText"/>
        <w:spacing w:before="4"/>
        <w:rPr>
          <w:i/>
          <w:sz w:val="20"/>
        </w:rPr>
      </w:pPr>
    </w:p>
    <w:p>
      <w:pPr>
        <w:pStyle w:val="Heading6"/>
        <w:ind w:left="121"/>
      </w:pPr>
      <w:r>
        <w:rPr>
          <w:w w:val="130"/>
        </w:rPr>
        <w:t>el suBiMPerialisMo coloMBiano</w:t>
      </w:r>
    </w:p>
    <w:p>
      <w:pPr>
        <w:pStyle w:val="BodyText"/>
        <w:spacing w:line="252" w:lineRule="auto" w:before="10"/>
        <w:ind w:left="120" w:right="868"/>
        <w:jc w:val="both"/>
      </w:pPr>
      <w:r>
        <w:rPr>
          <w:w w:val="110"/>
        </w:rPr>
        <w:t>Como se podrá ver en la </w:t>
      </w:r>
      <w:r>
        <w:rPr>
          <w:spacing w:val="-4"/>
          <w:w w:val="110"/>
        </w:rPr>
        <w:t>tabla </w:t>
      </w:r>
      <w:r>
        <w:rPr>
          <w:w w:val="110"/>
        </w:rPr>
        <w:t>1, acorde con esas definiciones y a  pesar de la tendencia decreciente que desde 2011 se ha venido pro- duciendo en “las ayudas” que Estados unidos le venía ofreciendo a </w:t>
      </w:r>
      <w:r>
        <w:rPr>
          <w:w w:val="108"/>
        </w:rPr>
        <w:t>diferentes</w:t>
      </w:r>
      <w:r>
        <w:rPr>
          <w:spacing w:val="5"/>
        </w:rPr>
        <w:t> </w:t>
      </w:r>
      <w:r>
        <w:rPr>
          <w:w w:val="109"/>
        </w:rPr>
        <w:t>gobiernos</w:t>
      </w:r>
      <w:r>
        <w:rPr>
          <w:spacing w:val="5"/>
        </w:rPr>
        <w:t> </w:t>
      </w:r>
      <w:r>
        <w:rPr>
          <w:w w:val="107"/>
        </w:rPr>
        <w:t>de</w:t>
      </w:r>
      <w:r>
        <w:rPr>
          <w:spacing w:val="5"/>
        </w:rPr>
        <w:t> </w:t>
      </w:r>
      <w:r>
        <w:rPr>
          <w:w w:val="139"/>
        </w:rPr>
        <w:t>a</w:t>
      </w:r>
      <w:r>
        <w:rPr>
          <w:w w:val="111"/>
        </w:rPr>
        <w:t>mérica</w:t>
      </w:r>
      <w:r>
        <w:rPr>
          <w:spacing w:val="5"/>
        </w:rPr>
        <w:t> </w:t>
      </w:r>
      <w:r>
        <w:rPr>
          <w:w w:val="243"/>
        </w:rPr>
        <w:t>l</w:t>
      </w:r>
      <w:r>
        <w:rPr>
          <w:w w:val="111"/>
        </w:rPr>
        <w:t>atina</w:t>
      </w:r>
      <w:r>
        <w:rPr>
          <w:spacing w:val="5"/>
        </w:rPr>
        <w:t> </w:t>
      </w:r>
      <w:r>
        <w:rPr>
          <w:w w:val="105"/>
        </w:rPr>
        <w:t>y</w:t>
      </w:r>
      <w:r>
        <w:rPr>
          <w:spacing w:val="5"/>
        </w:rPr>
        <w:t> </w:t>
      </w:r>
      <w:r>
        <w:rPr>
          <w:w w:val="107"/>
        </w:rPr>
        <w:t>el</w:t>
      </w:r>
      <w:r>
        <w:rPr>
          <w:spacing w:val="5"/>
        </w:rPr>
        <w:t> </w:t>
      </w:r>
      <w:r>
        <w:rPr>
          <w:w w:val="114"/>
        </w:rPr>
        <w:t>Caribe,</w:t>
      </w:r>
      <w:r>
        <w:rPr>
          <w:spacing w:val="5"/>
        </w:rPr>
        <w:t> </w:t>
      </w:r>
      <w:r>
        <w:rPr>
          <w:w w:val="109"/>
        </w:rPr>
        <w:t>durante</w:t>
      </w:r>
      <w:r>
        <w:rPr>
          <w:spacing w:val="5"/>
        </w:rPr>
        <w:t> </w:t>
      </w:r>
      <w:r>
        <w:rPr>
          <w:w w:val="102"/>
        </w:rPr>
        <w:t>2013</w:t>
      </w:r>
      <w:r>
        <w:rPr>
          <w:spacing w:val="5"/>
        </w:rPr>
        <w:t> </w:t>
      </w:r>
      <w:r>
        <w:rPr>
          <w:w w:val="105"/>
        </w:rPr>
        <w:t>y</w:t>
      </w:r>
      <w:r>
        <w:rPr>
          <w:spacing w:val="5"/>
        </w:rPr>
        <w:t> </w:t>
      </w:r>
      <w:r>
        <w:rPr>
          <w:w w:val="108"/>
        </w:rPr>
        <w:t>los </w:t>
      </w:r>
      <w:r>
        <w:rPr>
          <w:w w:val="110"/>
        </w:rPr>
        <w:t>meses transcurridos de 2014 el actual gobierno de Colombia siguió siendo el principal destinatario de la “asistencia militar y policial” que la administración de barack obama le ofreció a todos los Estados del hemisferio occidental (isacson </w:t>
      </w:r>
      <w:r>
        <w:rPr>
          <w:i/>
          <w:w w:val="110"/>
        </w:rPr>
        <w:t>et al.</w:t>
      </w:r>
      <w:r>
        <w:rPr>
          <w:w w:val="110"/>
        </w:rPr>
        <w:t>, 2013). al igual que durante su primera administración, esos fondos se orientarán a que el gobierno colombiano “consolide” los presuntos éxitos que en los años previos había obtenido en su lucha contra “la subversión”, el “narcotráfico” y “el narco-terrorismo” (isacson,</w:t>
      </w:r>
      <w:r>
        <w:rPr>
          <w:spacing w:val="9"/>
          <w:w w:val="110"/>
        </w:rPr>
        <w:t> </w:t>
      </w:r>
      <w:r>
        <w:rPr>
          <w:w w:val="110"/>
        </w:rPr>
        <w:t>2012).</w:t>
      </w:r>
    </w:p>
    <w:p>
      <w:pPr>
        <w:pStyle w:val="BodyText"/>
        <w:spacing w:before="7"/>
        <w:rPr>
          <w:sz w:val="22"/>
        </w:rPr>
      </w:pPr>
    </w:p>
    <w:p>
      <w:pPr>
        <w:spacing w:before="0"/>
        <w:ind w:left="972" w:right="1039" w:firstLine="0"/>
        <w:jc w:val="center"/>
        <w:rPr>
          <w:rFonts w:ascii="Arial"/>
          <w:b/>
          <w:sz w:val="17"/>
        </w:rPr>
      </w:pPr>
      <w:r>
        <w:rPr>
          <w:rFonts w:ascii="Arial"/>
          <w:b/>
          <w:w w:val="85"/>
          <w:sz w:val="17"/>
        </w:rPr>
        <w:t>Tabla 1</w:t>
      </w:r>
    </w:p>
    <w:p>
      <w:pPr>
        <w:spacing w:before="8"/>
        <w:ind w:left="972" w:right="1039" w:firstLine="0"/>
        <w:jc w:val="center"/>
        <w:rPr>
          <w:rFonts w:ascii="Arial"/>
          <w:sz w:val="17"/>
        </w:rPr>
      </w:pPr>
      <w:r>
        <w:rPr>
          <w:rFonts w:ascii="Arial"/>
          <w:w w:val="85"/>
          <w:sz w:val="17"/>
        </w:rPr>
        <w:t>Asistencia militar y policial de Estados Unidos al Gran Caribe, 2009-2014 (US$)</w:t>
      </w:r>
    </w:p>
    <w:p>
      <w:pPr>
        <w:pStyle w:val="BodyText"/>
        <w:spacing w:before="5"/>
        <w:rPr>
          <w:rFonts w:ascii="Arial"/>
          <w:sz w:val="15"/>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61"/>
        <w:gridCol w:w="935"/>
        <w:gridCol w:w="935"/>
        <w:gridCol w:w="935"/>
        <w:gridCol w:w="935"/>
        <w:gridCol w:w="935"/>
        <w:gridCol w:w="935"/>
      </w:tblGrid>
      <w:tr>
        <w:trPr>
          <w:trHeight w:val="250" w:hRule="exact"/>
        </w:trPr>
        <w:tc>
          <w:tcPr>
            <w:tcW w:w="1361" w:type="dxa"/>
            <w:tcBorders>
              <w:left w:val="nil"/>
              <w:bottom w:val="single" w:sz="4" w:space="0" w:color="000000"/>
              <w:right w:val="dotted" w:sz="4" w:space="0" w:color="000000"/>
            </w:tcBorders>
          </w:tcPr>
          <w:p>
            <w:pPr/>
          </w:p>
        </w:tc>
        <w:tc>
          <w:tcPr>
            <w:tcW w:w="935" w:type="dxa"/>
            <w:tcBorders>
              <w:left w:val="dotted" w:sz="4" w:space="0" w:color="000000"/>
              <w:bottom w:val="single" w:sz="4" w:space="0" w:color="000000"/>
              <w:right w:val="dotted" w:sz="4" w:space="0" w:color="000000"/>
            </w:tcBorders>
          </w:tcPr>
          <w:p>
            <w:pPr>
              <w:pStyle w:val="TableParagraph"/>
              <w:spacing w:before="22"/>
              <w:ind w:left="314"/>
              <w:rPr>
                <w:sz w:val="16"/>
              </w:rPr>
            </w:pPr>
            <w:r>
              <w:rPr>
                <w:w w:val="95"/>
                <w:sz w:val="16"/>
              </w:rPr>
              <w:t>2009</w:t>
            </w:r>
          </w:p>
        </w:tc>
        <w:tc>
          <w:tcPr>
            <w:tcW w:w="935" w:type="dxa"/>
            <w:tcBorders>
              <w:left w:val="dotted" w:sz="4" w:space="0" w:color="000000"/>
              <w:bottom w:val="single" w:sz="4" w:space="0" w:color="000000"/>
              <w:right w:val="dotted" w:sz="4" w:space="0" w:color="000000"/>
            </w:tcBorders>
          </w:tcPr>
          <w:p>
            <w:pPr>
              <w:pStyle w:val="TableParagraph"/>
              <w:spacing w:before="22"/>
              <w:ind w:left="314"/>
              <w:rPr>
                <w:sz w:val="16"/>
              </w:rPr>
            </w:pPr>
            <w:r>
              <w:rPr>
                <w:w w:val="95"/>
                <w:sz w:val="16"/>
              </w:rPr>
              <w:t>2010</w:t>
            </w:r>
          </w:p>
        </w:tc>
        <w:tc>
          <w:tcPr>
            <w:tcW w:w="935" w:type="dxa"/>
            <w:tcBorders>
              <w:left w:val="dotted" w:sz="4" w:space="0" w:color="000000"/>
              <w:bottom w:val="single" w:sz="4" w:space="0" w:color="000000"/>
              <w:right w:val="dotted" w:sz="4" w:space="0" w:color="000000"/>
            </w:tcBorders>
          </w:tcPr>
          <w:p>
            <w:pPr>
              <w:pStyle w:val="TableParagraph"/>
              <w:spacing w:before="22"/>
              <w:ind w:left="27" w:right="16"/>
              <w:jc w:val="center"/>
              <w:rPr>
                <w:sz w:val="16"/>
              </w:rPr>
            </w:pPr>
            <w:r>
              <w:rPr>
                <w:w w:val="95"/>
                <w:sz w:val="16"/>
              </w:rPr>
              <w:t>2011</w:t>
            </w:r>
          </w:p>
        </w:tc>
        <w:tc>
          <w:tcPr>
            <w:tcW w:w="935" w:type="dxa"/>
            <w:tcBorders>
              <w:left w:val="dotted" w:sz="4" w:space="0" w:color="000000"/>
              <w:bottom w:val="single" w:sz="4" w:space="0" w:color="000000"/>
              <w:right w:val="dotted" w:sz="4" w:space="0" w:color="000000"/>
            </w:tcBorders>
          </w:tcPr>
          <w:p>
            <w:pPr>
              <w:pStyle w:val="TableParagraph"/>
              <w:spacing w:before="22"/>
              <w:ind w:left="26" w:right="16"/>
              <w:jc w:val="center"/>
              <w:rPr>
                <w:sz w:val="16"/>
              </w:rPr>
            </w:pPr>
            <w:r>
              <w:rPr>
                <w:w w:val="95"/>
                <w:sz w:val="16"/>
              </w:rPr>
              <w:t>2012</w:t>
            </w:r>
          </w:p>
        </w:tc>
        <w:tc>
          <w:tcPr>
            <w:tcW w:w="935" w:type="dxa"/>
            <w:tcBorders>
              <w:left w:val="dotted" w:sz="4" w:space="0" w:color="000000"/>
              <w:bottom w:val="single" w:sz="4" w:space="0" w:color="000000"/>
              <w:right w:val="dotted" w:sz="4" w:space="0" w:color="000000"/>
            </w:tcBorders>
          </w:tcPr>
          <w:p>
            <w:pPr>
              <w:pStyle w:val="TableParagraph"/>
              <w:spacing w:before="22"/>
              <w:ind w:left="314"/>
              <w:rPr>
                <w:sz w:val="16"/>
              </w:rPr>
            </w:pPr>
            <w:r>
              <w:rPr>
                <w:w w:val="95"/>
                <w:sz w:val="16"/>
              </w:rPr>
              <w:t>2013</w:t>
            </w:r>
          </w:p>
        </w:tc>
        <w:tc>
          <w:tcPr>
            <w:tcW w:w="935" w:type="dxa"/>
            <w:tcBorders>
              <w:left w:val="dotted" w:sz="4" w:space="0" w:color="000000"/>
              <w:bottom w:val="single" w:sz="4" w:space="0" w:color="000000"/>
              <w:right w:val="nil"/>
            </w:tcBorders>
          </w:tcPr>
          <w:p>
            <w:pPr>
              <w:pStyle w:val="TableParagraph"/>
              <w:spacing w:before="22"/>
              <w:ind w:left="314"/>
              <w:rPr>
                <w:sz w:val="16"/>
              </w:rPr>
            </w:pPr>
            <w:r>
              <w:rPr>
                <w:w w:val="95"/>
                <w:sz w:val="16"/>
              </w:rPr>
              <w:t>2014</w:t>
            </w:r>
          </w:p>
        </w:tc>
      </w:tr>
      <w:tr>
        <w:trPr>
          <w:trHeight w:val="250" w:hRule="exact"/>
        </w:trPr>
        <w:tc>
          <w:tcPr>
            <w:tcW w:w="1361" w:type="dxa"/>
            <w:tcBorders>
              <w:top w:val="single" w:sz="4" w:space="0" w:color="000000"/>
              <w:left w:val="nil"/>
              <w:bottom w:val="dotted" w:sz="4" w:space="0" w:color="000000"/>
              <w:right w:val="dotted" w:sz="4" w:space="0" w:color="000000"/>
            </w:tcBorders>
          </w:tcPr>
          <w:p>
            <w:pPr>
              <w:pStyle w:val="TableParagraph"/>
              <w:spacing w:before="27"/>
              <w:ind w:left="67"/>
              <w:rPr>
                <w:sz w:val="16"/>
              </w:rPr>
            </w:pPr>
            <w:r>
              <w:rPr>
                <w:w w:val="90"/>
                <w:sz w:val="16"/>
              </w:rPr>
              <w:t>Colombia</w:t>
            </w:r>
          </w:p>
        </w:tc>
        <w:tc>
          <w:tcPr>
            <w:tcW w:w="935" w:type="dxa"/>
            <w:tcBorders>
              <w:top w:val="single" w:sz="4" w:space="0" w:color="000000"/>
              <w:left w:val="dotted" w:sz="4" w:space="0" w:color="000000"/>
              <w:bottom w:val="dotted" w:sz="4" w:space="0" w:color="000000"/>
              <w:right w:val="dotted" w:sz="4" w:space="0" w:color="000000"/>
            </w:tcBorders>
          </w:tcPr>
          <w:p>
            <w:pPr>
              <w:pStyle w:val="TableParagraph"/>
              <w:spacing w:before="27"/>
              <w:ind w:right="50"/>
              <w:jc w:val="right"/>
              <w:rPr>
                <w:sz w:val="16"/>
              </w:rPr>
            </w:pPr>
            <w:r>
              <w:rPr>
                <w:w w:val="90"/>
                <w:sz w:val="16"/>
              </w:rPr>
              <w:t>441 505 261</w:t>
            </w:r>
          </w:p>
        </w:tc>
        <w:tc>
          <w:tcPr>
            <w:tcW w:w="935" w:type="dxa"/>
            <w:tcBorders>
              <w:top w:val="single" w:sz="4" w:space="0" w:color="000000"/>
              <w:left w:val="dotted" w:sz="4" w:space="0" w:color="000000"/>
              <w:bottom w:val="dotted" w:sz="4" w:space="0" w:color="000000"/>
              <w:right w:val="dotted" w:sz="4" w:space="0" w:color="000000"/>
            </w:tcBorders>
          </w:tcPr>
          <w:p>
            <w:pPr>
              <w:pStyle w:val="TableParagraph"/>
              <w:spacing w:before="27"/>
              <w:ind w:right="50"/>
              <w:jc w:val="right"/>
              <w:rPr>
                <w:sz w:val="16"/>
              </w:rPr>
            </w:pPr>
            <w:r>
              <w:rPr>
                <w:w w:val="90"/>
                <w:sz w:val="16"/>
              </w:rPr>
              <w:t>434 177 248</w:t>
            </w:r>
          </w:p>
        </w:tc>
        <w:tc>
          <w:tcPr>
            <w:tcW w:w="935" w:type="dxa"/>
            <w:tcBorders>
              <w:top w:val="single" w:sz="4" w:space="0" w:color="000000"/>
              <w:left w:val="dotted" w:sz="4" w:space="0" w:color="000000"/>
              <w:bottom w:val="dotted" w:sz="4" w:space="0" w:color="000000"/>
              <w:right w:val="dotted" w:sz="4" w:space="0" w:color="000000"/>
            </w:tcBorders>
          </w:tcPr>
          <w:p>
            <w:pPr>
              <w:pStyle w:val="TableParagraph"/>
              <w:spacing w:before="27"/>
              <w:ind w:left="67" w:right="15"/>
              <w:jc w:val="center"/>
              <w:rPr>
                <w:sz w:val="16"/>
              </w:rPr>
            </w:pPr>
            <w:r>
              <w:rPr>
                <w:w w:val="90"/>
                <w:sz w:val="16"/>
              </w:rPr>
              <w:t>336 830 537</w:t>
            </w:r>
          </w:p>
        </w:tc>
        <w:tc>
          <w:tcPr>
            <w:tcW w:w="935" w:type="dxa"/>
            <w:tcBorders>
              <w:top w:val="single" w:sz="4" w:space="0" w:color="000000"/>
              <w:left w:val="dotted" w:sz="4" w:space="0" w:color="000000"/>
              <w:bottom w:val="dotted" w:sz="4" w:space="0" w:color="000000"/>
              <w:right w:val="dotted" w:sz="4" w:space="0" w:color="000000"/>
            </w:tcBorders>
          </w:tcPr>
          <w:p>
            <w:pPr>
              <w:pStyle w:val="TableParagraph"/>
              <w:spacing w:before="27"/>
              <w:ind w:left="67" w:right="15"/>
              <w:jc w:val="center"/>
              <w:rPr>
                <w:sz w:val="16"/>
              </w:rPr>
            </w:pPr>
            <w:r>
              <w:rPr>
                <w:w w:val="90"/>
                <w:sz w:val="16"/>
              </w:rPr>
              <w:t>280 454 537</w:t>
            </w:r>
          </w:p>
        </w:tc>
        <w:tc>
          <w:tcPr>
            <w:tcW w:w="935" w:type="dxa"/>
            <w:tcBorders>
              <w:top w:val="single" w:sz="4" w:space="0" w:color="000000"/>
              <w:left w:val="dotted" w:sz="4" w:space="0" w:color="000000"/>
              <w:bottom w:val="dotted" w:sz="4" w:space="0" w:color="000000"/>
              <w:right w:val="dotted" w:sz="4" w:space="0" w:color="000000"/>
            </w:tcBorders>
          </w:tcPr>
          <w:p>
            <w:pPr>
              <w:pStyle w:val="TableParagraph"/>
              <w:spacing w:before="27"/>
              <w:ind w:right="50"/>
              <w:jc w:val="right"/>
              <w:rPr>
                <w:sz w:val="16"/>
              </w:rPr>
            </w:pPr>
            <w:r>
              <w:rPr>
                <w:w w:val="90"/>
                <w:sz w:val="16"/>
              </w:rPr>
              <w:t>279 465 805</w:t>
            </w:r>
          </w:p>
        </w:tc>
        <w:tc>
          <w:tcPr>
            <w:tcW w:w="935" w:type="dxa"/>
            <w:tcBorders>
              <w:top w:val="single" w:sz="4" w:space="0" w:color="000000"/>
              <w:left w:val="dotted" w:sz="4" w:space="0" w:color="000000"/>
              <w:bottom w:val="dotted" w:sz="4" w:space="0" w:color="000000"/>
              <w:right w:val="nil"/>
            </w:tcBorders>
          </w:tcPr>
          <w:p>
            <w:pPr>
              <w:pStyle w:val="TableParagraph"/>
              <w:spacing w:before="27"/>
              <w:ind w:right="55"/>
              <w:jc w:val="right"/>
              <w:rPr>
                <w:sz w:val="16"/>
              </w:rPr>
            </w:pPr>
            <w:r>
              <w:rPr>
                <w:w w:val="90"/>
                <w:sz w:val="16"/>
              </w:rPr>
              <w:t>257 678 917</w:t>
            </w:r>
          </w:p>
        </w:tc>
      </w:tr>
      <w:tr>
        <w:trPr>
          <w:trHeight w:val="250" w:hRule="exact"/>
        </w:trPr>
        <w:tc>
          <w:tcPr>
            <w:tcW w:w="1361" w:type="dxa"/>
            <w:tcBorders>
              <w:top w:val="dotted" w:sz="4" w:space="0" w:color="000000"/>
              <w:left w:val="nil"/>
              <w:bottom w:val="dotted" w:sz="4" w:space="0" w:color="000000"/>
              <w:right w:val="dotted" w:sz="4" w:space="0" w:color="000000"/>
            </w:tcBorders>
          </w:tcPr>
          <w:p>
            <w:pPr>
              <w:pStyle w:val="TableParagraph"/>
              <w:spacing w:before="27"/>
              <w:ind w:left="67"/>
              <w:rPr>
                <w:sz w:val="16"/>
              </w:rPr>
            </w:pPr>
            <w:r>
              <w:rPr>
                <w:w w:val="95"/>
                <w:sz w:val="16"/>
              </w:rPr>
              <w:t>México</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right="50"/>
              <w:jc w:val="right"/>
              <w:rPr>
                <w:sz w:val="16"/>
              </w:rPr>
            </w:pPr>
            <w:r>
              <w:rPr>
                <w:w w:val="90"/>
                <w:sz w:val="16"/>
              </w:rPr>
              <w:t>422 804 999</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right="50"/>
              <w:jc w:val="right"/>
              <w:rPr>
                <w:sz w:val="16"/>
              </w:rPr>
            </w:pPr>
            <w:r>
              <w:rPr>
                <w:w w:val="90"/>
                <w:sz w:val="16"/>
              </w:rPr>
              <w:t>507 794 694</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left="67" w:right="15"/>
              <w:jc w:val="center"/>
              <w:rPr>
                <w:sz w:val="16"/>
              </w:rPr>
            </w:pPr>
            <w:r>
              <w:rPr>
                <w:w w:val="90"/>
                <w:sz w:val="16"/>
              </w:rPr>
              <w:t>117 217 892</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left="67" w:right="15"/>
              <w:jc w:val="center"/>
              <w:rPr>
                <w:sz w:val="16"/>
              </w:rPr>
            </w:pPr>
            <w:r>
              <w:rPr>
                <w:w w:val="90"/>
                <w:sz w:val="16"/>
              </w:rPr>
              <w:t>165 751 892</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right="50"/>
              <w:jc w:val="right"/>
              <w:rPr>
                <w:sz w:val="16"/>
              </w:rPr>
            </w:pPr>
            <w:r>
              <w:rPr>
                <w:w w:val="90"/>
                <w:sz w:val="16"/>
              </w:rPr>
              <w:t>154 432 797</w:t>
            </w:r>
          </w:p>
        </w:tc>
        <w:tc>
          <w:tcPr>
            <w:tcW w:w="935" w:type="dxa"/>
            <w:tcBorders>
              <w:top w:val="dotted" w:sz="4" w:space="0" w:color="000000"/>
              <w:left w:val="dotted" w:sz="4" w:space="0" w:color="000000"/>
              <w:bottom w:val="dotted" w:sz="4" w:space="0" w:color="000000"/>
              <w:right w:val="nil"/>
            </w:tcBorders>
          </w:tcPr>
          <w:p>
            <w:pPr>
              <w:pStyle w:val="TableParagraph"/>
              <w:spacing w:before="27"/>
              <w:ind w:right="55"/>
              <w:jc w:val="right"/>
              <w:rPr>
                <w:sz w:val="16"/>
              </w:rPr>
            </w:pPr>
            <w:r>
              <w:rPr>
                <w:w w:val="90"/>
                <w:sz w:val="16"/>
              </w:rPr>
              <w:t>126 951 621</w:t>
            </w:r>
          </w:p>
        </w:tc>
      </w:tr>
      <w:tr>
        <w:trPr>
          <w:trHeight w:val="250" w:hRule="exact"/>
        </w:trPr>
        <w:tc>
          <w:tcPr>
            <w:tcW w:w="1361" w:type="dxa"/>
            <w:tcBorders>
              <w:top w:val="dotted" w:sz="4" w:space="0" w:color="000000"/>
              <w:left w:val="nil"/>
              <w:bottom w:val="dotted" w:sz="4" w:space="0" w:color="000000"/>
              <w:right w:val="dotted" w:sz="4" w:space="0" w:color="000000"/>
            </w:tcBorders>
          </w:tcPr>
          <w:p>
            <w:pPr>
              <w:pStyle w:val="TableParagraph"/>
              <w:spacing w:before="27"/>
              <w:ind w:left="66"/>
              <w:rPr>
                <w:sz w:val="16"/>
              </w:rPr>
            </w:pPr>
            <w:r>
              <w:rPr>
                <w:w w:val="80"/>
                <w:sz w:val="16"/>
              </w:rPr>
              <w:t>Región del Caribe</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right="50"/>
              <w:jc w:val="right"/>
              <w:rPr>
                <w:sz w:val="16"/>
              </w:rPr>
            </w:pPr>
            <w:r>
              <w:rPr>
                <w:w w:val="90"/>
                <w:sz w:val="16"/>
              </w:rPr>
              <w:t>154 853 000</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right="50"/>
              <w:jc w:val="right"/>
              <w:rPr>
                <w:sz w:val="16"/>
              </w:rPr>
            </w:pPr>
            <w:r>
              <w:rPr>
                <w:w w:val="90"/>
                <w:sz w:val="16"/>
              </w:rPr>
              <w:t>82 994 000</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left="67" w:right="16"/>
              <w:jc w:val="center"/>
              <w:rPr>
                <w:sz w:val="16"/>
              </w:rPr>
            </w:pPr>
            <w:r>
              <w:rPr>
                <w:w w:val="90"/>
                <w:sz w:val="16"/>
              </w:rPr>
              <w:t>144 750 000</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left="67" w:right="16"/>
              <w:jc w:val="center"/>
              <w:rPr>
                <w:sz w:val="16"/>
              </w:rPr>
            </w:pPr>
            <w:r>
              <w:rPr>
                <w:w w:val="90"/>
                <w:sz w:val="16"/>
              </w:rPr>
              <w:t>142 900 000</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right="51"/>
              <w:jc w:val="right"/>
              <w:rPr>
                <w:sz w:val="16"/>
              </w:rPr>
            </w:pPr>
            <w:r>
              <w:rPr>
                <w:w w:val="90"/>
                <w:sz w:val="16"/>
              </w:rPr>
              <w:t>137 290 000</w:t>
            </w:r>
          </w:p>
        </w:tc>
        <w:tc>
          <w:tcPr>
            <w:tcW w:w="935" w:type="dxa"/>
            <w:tcBorders>
              <w:top w:val="dotted" w:sz="4" w:space="0" w:color="000000"/>
              <w:left w:val="dotted" w:sz="4" w:space="0" w:color="000000"/>
              <w:bottom w:val="dotted" w:sz="4" w:space="0" w:color="000000"/>
              <w:right w:val="nil"/>
            </w:tcBorders>
          </w:tcPr>
          <w:p>
            <w:pPr>
              <w:pStyle w:val="TableParagraph"/>
              <w:spacing w:before="27"/>
              <w:ind w:right="56"/>
              <w:jc w:val="right"/>
              <w:rPr>
                <w:sz w:val="16"/>
              </w:rPr>
            </w:pPr>
            <w:r>
              <w:rPr>
                <w:w w:val="90"/>
                <w:sz w:val="16"/>
              </w:rPr>
              <w:t>126 290 000</w:t>
            </w:r>
          </w:p>
        </w:tc>
      </w:tr>
      <w:tr>
        <w:trPr>
          <w:trHeight w:val="442" w:hRule="exact"/>
        </w:trPr>
        <w:tc>
          <w:tcPr>
            <w:tcW w:w="1361" w:type="dxa"/>
            <w:tcBorders>
              <w:top w:val="dotted" w:sz="4" w:space="0" w:color="000000"/>
              <w:left w:val="nil"/>
              <w:bottom w:val="dotted" w:sz="4" w:space="0" w:color="000000"/>
              <w:right w:val="dotted" w:sz="4" w:space="0" w:color="000000"/>
            </w:tcBorders>
          </w:tcPr>
          <w:p>
            <w:pPr>
              <w:pStyle w:val="TableParagraph"/>
              <w:spacing w:line="249" w:lineRule="auto" w:before="27"/>
              <w:ind w:left="66" w:right="359"/>
              <w:rPr>
                <w:sz w:val="16"/>
              </w:rPr>
            </w:pPr>
            <w:r>
              <w:rPr>
                <w:w w:val="80"/>
                <w:sz w:val="16"/>
              </w:rPr>
              <w:t>Región América </w:t>
            </w:r>
            <w:r>
              <w:rPr>
                <w:w w:val="90"/>
                <w:sz w:val="16"/>
              </w:rPr>
              <w:t>Central</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right="51"/>
              <w:jc w:val="right"/>
              <w:rPr>
                <w:sz w:val="16"/>
              </w:rPr>
            </w:pPr>
            <w:r>
              <w:rPr>
                <w:w w:val="90"/>
                <w:sz w:val="16"/>
              </w:rPr>
              <w:t>51 825 000</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right="51"/>
              <w:jc w:val="right"/>
              <w:rPr>
                <w:sz w:val="16"/>
              </w:rPr>
            </w:pPr>
            <w:r>
              <w:rPr>
                <w:w w:val="90"/>
                <w:sz w:val="16"/>
              </w:rPr>
              <w:t>51 618 000</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left="143" w:right="16"/>
              <w:jc w:val="center"/>
              <w:rPr>
                <w:sz w:val="16"/>
              </w:rPr>
            </w:pPr>
            <w:r>
              <w:rPr>
                <w:w w:val="90"/>
                <w:sz w:val="16"/>
              </w:rPr>
              <w:t>62 248 000</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left="143" w:right="16"/>
              <w:jc w:val="center"/>
              <w:rPr>
                <w:sz w:val="16"/>
              </w:rPr>
            </w:pPr>
            <w:r>
              <w:rPr>
                <w:w w:val="90"/>
                <w:sz w:val="16"/>
              </w:rPr>
              <w:t>73 655 556</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27"/>
              <w:ind w:right="51"/>
              <w:jc w:val="right"/>
              <w:rPr>
                <w:sz w:val="16"/>
              </w:rPr>
            </w:pPr>
            <w:r>
              <w:rPr>
                <w:w w:val="90"/>
                <w:sz w:val="16"/>
              </w:rPr>
              <w:t>76 526 984</w:t>
            </w:r>
          </w:p>
        </w:tc>
        <w:tc>
          <w:tcPr>
            <w:tcW w:w="935" w:type="dxa"/>
            <w:tcBorders>
              <w:top w:val="dotted" w:sz="4" w:space="0" w:color="000000"/>
              <w:left w:val="dotted" w:sz="4" w:space="0" w:color="000000"/>
              <w:bottom w:val="dotted" w:sz="4" w:space="0" w:color="000000"/>
              <w:right w:val="nil"/>
            </w:tcBorders>
          </w:tcPr>
          <w:p>
            <w:pPr>
              <w:pStyle w:val="TableParagraph"/>
              <w:spacing w:before="27"/>
              <w:ind w:right="56"/>
              <w:jc w:val="right"/>
              <w:rPr>
                <w:sz w:val="16"/>
              </w:rPr>
            </w:pPr>
            <w:r>
              <w:rPr>
                <w:w w:val="90"/>
                <w:sz w:val="16"/>
              </w:rPr>
              <w:t>90 031 746</w:t>
            </w:r>
          </w:p>
        </w:tc>
      </w:tr>
      <w:tr>
        <w:trPr>
          <w:trHeight w:val="250" w:hRule="exact"/>
        </w:trPr>
        <w:tc>
          <w:tcPr>
            <w:tcW w:w="1361" w:type="dxa"/>
            <w:tcBorders>
              <w:top w:val="dotted" w:sz="4" w:space="0" w:color="000000"/>
              <w:left w:val="nil"/>
              <w:right w:val="dotted" w:sz="4" w:space="0" w:color="000000"/>
            </w:tcBorders>
          </w:tcPr>
          <w:p>
            <w:pPr>
              <w:pStyle w:val="TableParagraph"/>
              <w:spacing w:before="27"/>
              <w:ind w:left="66"/>
              <w:rPr>
                <w:sz w:val="16"/>
              </w:rPr>
            </w:pPr>
            <w:r>
              <w:rPr>
                <w:w w:val="80"/>
                <w:sz w:val="16"/>
              </w:rPr>
              <w:t>Antillas Holandesas</w:t>
            </w:r>
          </w:p>
        </w:tc>
        <w:tc>
          <w:tcPr>
            <w:tcW w:w="935" w:type="dxa"/>
            <w:tcBorders>
              <w:top w:val="dotted" w:sz="4" w:space="0" w:color="000000"/>
              <w:left w:val="dotted" w:sz="4" w:space="0" w:color="000000"/>
              <w:right w:val="dotted" w:sz="4" w:space="0" w:color="000000"/>
            </w:tcBorders>
          </w:tcPr>
          <w:p>
            <w:pPr>
              <w:pStyle w:val="TableParagraph"/>
              <w:spacing w:before="27"/>
              <w:ind w:right="51"/>
              <w:jc w:val="right"/>
              <w:rPr>
                <w:sz w:val="16"/>
              </w:rPr>
            </w:pPr>
            <w:r>
              <w:rPr>
                <w:w w:val="90"/>
                <w:sz w:val="16"/>
              </w:rPr>
              <w:t>25 550 000</w:t>
            </w:r>
          </w:p>
        </w:tc>
        <w:tc>
          <w:tcPr>
            <w:tcW w:w="935" w:type="dxa"/>
            <w:tcBorders>
              <w:top w:val="dotted" w:sz="4" w:space="0" w:color="000000"/>
              <w:left w:val="dotted" w:sz="4" w:space="0" w:color="000000"/>
              <w:right w:val="dotted" w:sz="4" w:space="0" w:color="000000"/>
            </w:tcBorders>
          </w:tcPr>
          <w:p>
            <w:pPr>
              <w:pStyle w:val="TableParagraph"/>
              <w:spacing w:before="27"/>
              <w:ind w:right="51"/>
              <w:jc w:val="right"/>
              <w:rPr>
                <w:sz w:val="16"/>
              </w:rPr>
            </w:pPr>
            <w:r>
              <w:rPr>
                <w:w w:val="90"/>
                <w:sz w:val="16"/>
              </w:rPr>
              <w:t>25 667 000</w:t>
            </w:r>
          </w:p>
        </w:tc>
        <w:tc>
          <w:tcPr>
            <w:tcW w:w="935" w:type="dxa"/>
            <w:tcBorders>
              <w:top w:val="dotted" w:sz="4" w:space="0" w:color="000000"/>
              <w:left w:val="dotted" w:sz="4" w:space="0" w:color="000000"/>
              <w:right w:val="dotted" w:sz="4" w:space="0" w:color="000000"/>
            </w:tcBorders>
          </w:tcPr>
          <w:p>
            <w:pPr>
              <w:pStyle w:val="TableParagraph"/>
              <w:spacing w:before="27"/>
              <w:ind w:left="143" w:right="16"/>
              <w:jc w:val="center"/>
              <w:rPr>
                <w:sz w:val="16"/>
              </w:rPr>
            </w:pPr>
            <w:r>
              <w:rPr>
                <w:w w:val="90"/>
                <w:sz w:val="16"/>
              </w:rPr>
              <w:t>21 286 000</w:t>
            </w:r>
          </w:p>
        </w:tc>
        <w:tc>
          <w:tcPr>
            <w:tcW w:w="935" w:type="dxa"/>
            <w:tcBorders>
              <w:top w:val="dotted" w:sz="4" w:space="0" w:color="000000"/>
              <w:left w:val="dotted" w:sz="4" w:space="0" w:color="000000"/>
              <w:right w:val="dotted" w:sz="4" w:space="0" w:color="000000"/>
            </w:tcBorders>
          </w:tcPr>
          <w:p>
            <w:pPr>
              <w:pStyle w:val="TableParagraph"/>
              <w:spacing w:before="27"/>
              <w:ind w:left="143" w:right="16"/>
              <w:jc w:val="center"/>
              <w:rPr>
                <w:sz w:val="16"/>
              </w:rPr>
            </w:pPr>
            <w:r>
              <w:rPr>
                <w:w w:val="90"/>
                <w:sz w:val="16"/>
              </w:rPr>
              <w:t>21 871 000</w:t>
            </w:r>
          </w:p>
        </w:tc>
        <w:tc>
          <w:tcPr>
            <w:tcW w:w="935" w:type="dxa"/>
            <w:tcBorders>
              <w:top w:val="dotted" w:sz="4" w:space="0" w:color="000000"/>
              <w:left w:val="dotted" w:sz="4" w:space="0" w:color="000000"/>
              <w:right w:val="dotted" w:sz="4" w:space="0" w:color="000000"/>
            </w:tcBorders>
          </w:tcPr>
          <w:p>
            <w:pPr>
              <w:pStyle w:val="TableParagraph"/>
              <w:spacing w:before="27"/>
              <w:ind w:right="51"/>
              <w:jc w:val="right"/>
              <w:rPr>
                <w:sz w:val="16"/>
              </w:rPr>
            </w:pPr>
            <w:r>
              <w:rPr>
                <w:w w:val="90"/>
                <w:sz w:val="16"/>
              </w:rPr>
              <w:t>21 871 000</w:t>
            </w:r>
          </w:p>
        </w:tc>
        <w:tc>
          <w:tcPr>
            <w:tcW w:w="935" w:type="dxa"/>
            <w:tcBorders>
              <w:top w:val="dotted" w:sz="4" w:space="0" w:color="000000"/>
              <w:left w:val="dotted" w:sz="4" w:space="0" w:color="000000"/>
              <w:right w:val="nil"/>
            </w:tcBorders>
          </w:tcPr>
          <w:p>
            <w:pPr>
              <w:pStyle w:val="TableParagraph"/>
              <w:spacing w:before="27"/>
              <w:ind w:right="56"/>
              <w:jc w:val="right"/>
              <w:rPr>
                <w:sz w:val="16"/>
              </w:rPr>
            </w:pPr>
            <w:r>
              <w:rPr>
                <w:w w:val="90"/>
                <w:sz w:val="16"/>
              </w:rPr>
              <w:t>21 871 000</w:t>
            </w:r>
          </w:p>
        </w:tc>
      </w:tr>
    </w:tbl>
    <w:p>
      <w:pPr>
        <w:spacing w:line="249" w:lineRule="auto" w:before="44"/>
        <w:ind w:left="120" w:right="921" w:firstLine="0"/>
        <w:jc w:val="left"/>
        <w:rPr>
          <w:rFonts w:ascii="Arial" w:hAnsi="Arial"/>
          <w:sz w:val="14"/>
        </w:rPr>
      </w:pPr>
      <w:r>
        <w:rPr>
          <w:rFonts w:ascii="Arial" w:hAnsi="Arial"/>
          <w:w w:val="85"/>
          <w:sz w:val="14"/>
        </w:rPr>
        <w:t>Fuente:</w:t>
      </w:r>
      <w:r>
        <w:rPr>
          <w:rFonts w:ascii="Arial" w:hAnsi="Arial"/>
          <w:spacing w:val="-13"/>
          <w:w w:val="85"/>
          <w:sz w:val="14"/>
        </w:rPr>
        <w:t> </w:t>
      </w:r>
      <w:r>
        <w:rPr>
          <w:rFonts w:ascii="Arial" w:hAnsi="Arial"/>
          <w:w w:val="85"/>
          <w:sz w:val="14"/>
        </w:rPr>
        <w:t>Elaborada</w:t>
      </w:r>
      <w:r>
        <w:rPr>
          <w:rFonts w:ascii="Arial" w:hAnsi="Arial"/>
          <w:spacing w:val="-10"/>
          <w:w w:val="85"/>
          <w:sz w:val="14"/>
        </w:rPr>
        <w:t> </w:t>
      </w:r>
      <w:r>
        <w:rPr>
          <w:rFonts w:ascii="Arial" w:hAnsi="Arial"/>
          <w:w w:val="85"/>
          <w:sz w:val="14"/>
        </w:rPr>
        <w:t>por</w:t>
      </w:r>
      <w:r>
        <w:rPr>
          <w:rFonts w:ascii="Arial" w:hAnsi="Arial"/>
          <w:spacing w:val="-10"/>
          <w:w w:val="85"/>
          <w:sz w:val="14"/>
        </w:rPr>
        <w:t> </w:t>
      </w:r>
      <w:r>
        <w:rPr>
          <w:rFonts w:ascii="Arial" w:hAnsi="Arial"/>
          <w:w w:val="85"/>
          <w:sz w:val="14"/>
        </w:rPr>
        <w:t>el</w:t>
      </w:r>
      <w:r>
        <w:rPr>
          <w:rFonts w:ascii="Arial" w:hAnsi="Arial"/>
          <w:spacing w:val="-10"/>
          <w:w w:val="85"/>
          <w:sz w:val="14"/>
        </w:rPr>
        <w:t> </w:t>
      </w:r>
      <w:r>
        <w:rPr>
          <w:rFonts w:ascii="Arial" w:hAnsi="Arial"/>
          <w:w w:val="85"/>
          <w:sz w:val="14"/>
        </w:rPr>
        <w:t>autor</w:t>
      </w:r>
      <w:r>
        <w:rPr>
          <w:rFonts w:ascii="Arial" w:hAnsi="Arial"/>
          <w:spacing w:val="-10"/>
          <w:w w:val="85"/>
          <w:sz w:val="14"/>
        </w:rPr>
        <w:t> </w:t>
      </w:r>
      <w:r>
        <w:rPr>
          <w:rFonts w:ascii="Arial" w:hAnsi="Arial"/>
          <w:w w:val="85"/>
          <w:sz w:val="14"/>
        </w:rPr>
        <w:t>de</w:t>
      </w:r>
      <w:r>
        <w:rPr>
          <w:rFonts w:ascii="Arial" w:hAnsi="Arial"/>
          <w:spacing w:val="-10"/>
          <w:w w:val="85"/>
          <w:sz w:val="14"/>
        </w:rPr>
        <w:t> </w:t>
      </w:r>
      <w:r>
        <w:rPr>
          <w:rFonts w:ascii="Arial" w:hAnsi="Arial"/>
          <w:w w:val="85"/>
          <w:sz w:val="14"/>
        </w:rPr>
        <w:t>este</w:t>
      </w:r>
      <w:r>
        <w:rPr>
          <w:rFonts w:ascii="Arial" w:hAnsi="Arial"/>
          <w:spacing w:val="-10"/>
          <w:w w:val="85"/>
          <w:sz w:val="14"/>
        </w:rPr>
        <w:t> </w:t>
      </w:r>
      <w:r>
        <w:rPr>
          <w:rFonts w:ascii="Arial" w:hAnsi="Arial"/>
          <w:w w:val="85"/>
          <w:sz w:val="14"/>
        </w:rPr>
        <w:t>ensayo</w:t>
      </w:r>
      <w:r>
        <w:rPr>
          <w:rFonts w:ascii="Arial" w:hAnsi="Arial"/>
          <w:spacing w:val="-10"/>
          <w:w w:val="85"/>
          <w:sz w:val="14"/>
        </w:rPr>
        <w:t> </w:t>
      </w:r>
      <w:r>
        <w:rPr>
          <w:rFonts w:ascii="Arial" w:hAnsi="Arial"/>
          <w:w w:val="85"/>
          <w:sz w:val="14"/>
        </w:rPr>
        <w:t>a</w:t>
      </w:r>
      <w:r>
        <w:rPr>
          <w:rFonts w:ascii="Arial" w:hAnsi="Arial"/>
          <w:spacing w:val="-10"/>
          <w:w w:val="85"/>
          <w:sz w:val="14"/>
        </w:rPr>
        <w:t> </w:t>
      </w:r>
      <w:r>
        <w:rPr>
          <w:rFonts w:ascii="Arial" w:hAnsi="Arial"/>
          <w:w w:val="85"/>
          <w:sz w:val="14"/>
        </w:rPr>
        <w:t>partir</w:t>
      </w:r>
      <w:r>
        <w:rPr>
          <w:rFonts w:ascii="Arial" w:hAnsi="Arial"/>
          <w:spacing w:val="-10"/>
          <w:w w:val="85"/>
          <w:sz w:val="14"/>
        </w:rPr>
        <w:t> </w:t>
      </w:r>
      <w:r>
        <w:rPr>
          <w:rFonts w:ascii="Arial" w:hAnsi="Arial"/>
          <w:w w:val="85"/>
          <w:sz w:val="14"/>
        </w:rPr>
        <w:t>de</w:t>
      </w:r>
      <w:r>
        <w:rPr>
          <w:rFonts w:ascii="Arial" w:hAnsi="Arial"/>
          <w:spacing w:val="-10"/>
          <w:w w:val="85"/>
          <w:sz w:val="14"/>
        </w:rPr>
        <w:t> </w:t>
      </w:r>
      <w:r>
        <w:rPr>
          <w:rFonts w:ascii="Arial" w:hAnsi="Arial"/>
          <w:w w:val="85"/>
          <w:sz w:val="14"/>
        </w:rPr>
        <w:t>la</w:t>
      </w:r>
      <w:r>
        <w:rPr>
          <w:rFonts w:ascii="Arial" w:hAnsi="Arial"/>
          <w:spacing w:val="-10"/>
          <w:w w:val="85"/>
          <w:sz w:val="14"/>
        </w:rPr>
        <w:t> </w:t>
      </w:r>
      <w:r>
        <w:rPr>
          <w:rFonts w:ascii="Arial" w:hAnsi="Arial"/>
          <w:w w:val="85"/>
          <w:sz w:val="14"/>
        </w:rPr>
        <w:t>información</w:t>
      </w:r>
      <w:r>
        <w:rPr>
          <w:rFonts w:ascii="Arial" w:hAnsi="Arial"/>
          <w:spacing w:val="-10"/>
          <w:w w:val="85"/>
          <w:sz w:val="14"/>
        </w:rPr>
        <w:t> </w:t>
      </w:r>
      <w:r>
        <w:rPr>
          <w:rFonts w:ascii="Arial" w:hAnsi="Arial"/>
          <w:w w:val="85"/>
          <w:sz w:val="14"/>
        </w:rPr>
        <w:t>que</w:t>
      </w:r>
      <w:r>
        <w:rPr>
          <w:rFonts w:ascii="Arial" w:hAnsi="Arial"/>
          <w:spacing w:val="-10"/>
          <w:w w:val="85"/>
          <w:sz w:val="14"/>
        </w:rPr>
        <w:t> </w:t>
      </w:r>
      <w:r>
        <w:rPr>
          <w:rFonts w:ascii="Arial" w:hAnsi="Arial"/>
          <w:w w:val="85"/>
          <w:sz w:val="14"/>
        </w:rPr>
        <w:t>aparece</w:t>
      </w:r>
      <w:r>
        <w:rPr>
          <w:rFonts w:ascii="Arial" w:hAnsi="Arial"/>
          <w:spacing w:val="-10"/>
          <w:w w:val="85"/>
          <w:sz w:val="14"/>
        </w:rPr>
        <w:t> </w:t>
      </w:r>
      <w:r>
        <w:rPr>
          <w:rFonts w:ascii="Arial" w:hAnsi="Arial"/>
          <w:w w:val="85"/>
          <w:sz w:val="14"/>
        </w:rPr>
        <w:t>en</w:t>
      </w:r>
      <w:r>
        <w:rPr>
          <w:rFonts w:ascii="Arial" w:hAnsi="Arial"/>
          <w:spacing w:val="-13"/>
          <w:w w:val="85"/>
          <w:sz w:val="14"/>
        </w:rPr>
        <w:t> </w:t>
      </w:r>
      <w:r>
        <w:rPr>
          <w:rFonts w:ascii="Arial" w:hAnsi="Arial"/>
          <w:w w:val="85"/>
          <w:sz w:val="14"/>
        </w:rPr>
        <w:t>Adam</w:t>
      </w:r>
      <w:r>
        <w:rPr>
          <w:rFonts w:ascii="Arial" w:hAnsi="Arial"/>
          <w:spacing w:val="-10"/>
          <w:w w:val="85"/>
          <w:sz w:val="14"/>
        </w:rPr>
        <w:t> </w:t>
      </w:r>
      <w:r>
        <w:rPr>
          <w:rFonts w:ascii="Arial" w:hAnsi="Arial"/>
          <w:w w:val="85"/>
          <w:sz w:val="14"/>
        </w:rPr>
        <w:t>Isacson,</w:t>
      </w:r>
      <w:r>
        <w:rPr>
          <w:rFonts w:ascii="Arial" w:hAnsi="Arial"/>
          <w:spacing w:val="-13"/>
          <w:w w:val="85"/>
          <w:sz w:val="14"/>
        </w:rPr>
        <w:t> </w:t>
      </w:r>
      <w:r>
        <w:rPr>
          <w:rFonts w:ascii="Arial" w:hAnsi="Arial"/>
          <w:w w:val="85"/>
          <w:sz w:val="14"/>
        </w:rPr>
        <w:t>Lisa</w:t>
      </w:r>
      <w:r>
        <w:rPr>
          <w:rFonts w:ascii="Arial" w:hAnsi="Arial"/>
          <w:spacing w:val="-10"/>
          <w:w w:val="85"/>
          <w:sz w:val="14"/>
        </w:rPr>
        <w:t> </w:t>
      </w:r>
      <w:r>
        <w:rPr>
          <w:rFonts w:ascii="Arial" w:hAnsi="Arial"/>
          <w:w w:val="85"/>
          <w:sz w:val="14"/>
        </w:rPr>
        <w:t>Haugaard, Abigail</w:t>
      </w:r>
      <w:r>
        <w:rPr>
          <w:rFonts w:ascii="Arial" w:hAnsi="Arial"/>
          <w:spacing w:val="-16"/>
          <w:w w:val="85"/>
          <w:sz w:val="14"/>
        </w:rPr>
        <w:t> </w:t>
      </w:r>
      <w:r>
        <w:rPr>
          <w:rFonts w:ascii="Arial" w:hAnsi="Arial"/>
          <w:w w:val="85"/>
          <w:sz w:val="14"/>
        </w:rPr>
        <w:t>Poe,</w:t>
      </w:r>
      <w:r>
        <w:rPr>
          <w:rFonts w:ascii="Arial" w:hAnsi="Arial"/>
          <w:spacing w:val="-19"/>
          <w:w w:val="85"/>
          <w:sz w:val="14"/>
        </w:rPr>
        <w:t> </w:t>
      </w:r>
      <w:r>
        <w:rPr>
          <w:rFonts w:ascii="Arial" w:hAnsi="Arial"/>
          <w:w w:val="85"/>
          <w:sz w:val="14"/>
        </w:rPr>
        <w:t>Sarah</w:t>
      </w:r>
      <w:r>
        <w:rPr>
          <w:rFonts w:ascii="Arial" w:hAnsi="Arial"/>
          <w:spacing w:val="-16"/>
          <w:w w:val="85"/>
          <w:sz w:val="14"/>
        </w:rPr>
        <w:t> </w:t>
      </w:r>
      <w:r>
        <w:rPr>
          <w:rFonts w:ascii="Arial" w:hAnsi="Arial"/>
          <w:w w:val="85"/>
          <w:sz w:val="14"/>
        </w:rPr>
        <w:t>Kinosian</w:t>
      </w:r>
      <w:r>
        <w:rPr>
          <w:rFonts w:ascii="Arial" w:hAnsi="Arial"/>
          <w:spacing w:val="-16"/>
          <w:w w:val="85"/>
          <w:sz w:val="14"/>
        </w:rPr>
        <w:t> </w:t>
      </w:r>
      <w:r>
        <w:rPr>
          <w:rFonts w:ascii="Arial" w:hAnsi="Arial"/>
          <w:w w:val="85"/>
          <w:sz w:val="14"/>
        </w:rPr>
        <w:t>y</w:t>
      </w:r>
      <w:r>
        <w:rPr>
          <w:rFonts w:ascii="Arial" w:hAnsi="Arial"/>
          <w:spacing w:val="-16"/>
          <w:w w:val="85"/>
          <w:sz w:val="14"/>
        </w:rPr>
        <w:t> </w:t>
      </w:r>
      <w:r>
        <w:rPr>
          <w:rFonts w:ascii="Arial" w:hAnsi="Arial"/>
          <w:w w:val="85"/>
          <w:sz w:val="14"/>
        </w:rPr>
        <w:t>George</w:t>
      </w:r>
      <w:r>
        <w:rPr>
          <w:rFonts w:ascii="Arial" w:hAnsi="Arial"/>
          <w:spacing w:val="-19"/>
          <w:w w:val="85"/>
          <w:sz w:val="14"/>
        </w:rPr>
        <w:t> </w:t>
      </w:r>
      <w:r>
        <w:rPr>
          <w:rFonts w:ascii="Arial" w:hAnsi="Arial"/>
          <w:w w:val="85"/>
          <w:sz w:val="14"/>
        </w:rPr>
        <w:t>Withers,</w:t>
      </w:r>
      <w:r>
        <w:rPr>
          <w:rFonts w:ascii="Arial" w:hAnsi="Arial"/>
          <w:spacing w:val="-19"/>
          <w:w w:val="85"/>
          <w:sz w:val="14"/>
        </w:rPr>
        <w:t> </w:t>
      </w:r>
      <w:r>
        <w:rPr>
          <w:rFonts w:ascii="Arial" w:hAnsi="Arial"/>
          <w:w w:val="85"/>
          <w:sz w:val="14"/>
        </w:rPr>
        <w:t>Hora</w:t>
      </w:r>
      <w:r>
        <w:rPr>
          <w:rFonts w:ascii="Arial" w:hAnsi="Arial"/>
          <w:spacing w:val="-16"/>
          <w:w w:val="85"/>
          <w:sz w:val="14"/>
        </w:rPr>
        <w:t> </w:t>
      </w:r>
      <w:r>
        <w:rPr>
          <w:rFonts w:ascii="Arial" w:hAnsi="Arial"/>
          <w:w w:val="85"/>
          <w:sz w:val="14"/>
        </w:rPr>
        <w:t>de</w:t>
      </w:r>
      <w:r>
        <w:rPr>
          <w:rFonts w:ascii="Arial" w:hAnsi="Arial"/>
          <w:spacing w:val="-16"/>
          <w:w w:val="85"/>
          <w:sz w:val="14"/>
        </w:rPr>
        <w:t> </w:t>
      </w:r>
      <w:r>
        <w:rPr>
          <w:rFonts w:ascii="Arial" w:hAnsi="Arial"/>
          <w:w w:val="85"/>
          <w:sz w:val="14"/>
        </w:rPr>
        <w:t>Escuchar:</w:t>
      </w:r>
      <w:r>
        <w:rPr>
          <w:rFonts w:ascii="Arial" w:hAnsi="Arial"/>
          <w:spacing w:val="-21"/>
          <w:w w:val="85"/>
          <w:sz w:val="14"/>
        </w:rPr>
        <w:t> </w:t>
      </w:r>
      <w:r>
        <w:rPr>
          <w:rFonts w:ascii="Arial" w:hAnsi="Arial"/>
          <w:w w:val="85"/>
          <w:sz w:val="14"/>
        </w:rPr>
        <w:t>Tendencias</w:t>
      </w:r>
      <w:r>
        <w:rPr>
          <w:rFonts w:ascii="Arial" w:hAnsi="Arial"/>
          <w:spacing w:val="-16"/>
          <w:w w:val="85"/>
          <w:sz w:val="14"/>
        </w:rPr>
        <w:t> </w:t>
      </w:r>
      <w:r>
        <w:rPr>
          <w:rFonts w:ascii="Arial" w:hAnsi="Arial"/>
          <w:w w:val="85"/>
          <w:sz w:val="14"/>
        </w:rPr>
        <w:t>en</w:t>
      </w:r>
      <w:r>
        <w:rPr>
          <w:rFonts w:ascii="Arial" w:hAnsi="Arial"/>
          <w:spacing w:val="-19"/>
          <w:w w:val="85"/>
          <w:sz w:val="14"/>
        </w:rPr>
        <w:t> </w:t>
      </w:r>
      <w:r>
        <w:rPr>
          <w:rFonts w:ascii="Arial" w:hAnsi="Arial"/>
          <w:w w:val="85"/>
          <w:sz w:val="14"/>
        </w:rPr>
        <w:t>Asistencia</w:t>
      </w:r>
      <w:r>
        <w:rPr>
          <w:rFonts w:ascii="Arial" w:hAnsi="Arial"/>
          <w:spacing w:val="-16"/>
          <w:w w:val="85"/>
          <w:sz w:val="14"/>
        </w:rPr>
        <w:t> </w:t>
      </w:r>
      <w:r>
        <w:rPr>
          <w:rFonts w:ascii="Arial" w:hAnsi="Arial"/>
          <w:w w:val="85"/>
          <w:sz w:val="14"/>
        </w:rPr>
        <w:t>de</w:t>
      </w:r>
      <w:r>
        <w:rPr>
          <w:rFonts w:ascii="Arial" w:hAnsi="Arial"/>
          <w:spacing w:val="-16"/>
          <w:w w:val="85"/>
          <w:sz w:val="14"/>
        </w:rPr>
        <w:t> </w:t>
      </w:r>
      <w:r>
        <w:rPr>
          <w:rFonts w:ascii="Arial" w:hAnsi="Arial"/>
          <w:w w:val="85"/>
          <w:sz w:val="14"/>
        </w:rPr>
        <w:t>Seguridad</w:t>
      </w:r>
      <w:r>
        <w:rPr>
          <w:rFonts w:ascii="Arial" w:hAnsi="Arial"/>
          <w:spacing w:val="-16"/>
          <w:w w:val="85"/>
          <w:sz w:val="14"/>
        </w:rPr>
        <w:t> </w:t>
      </w:r>
      <w:r>
        <w:rPr>
          <w:rFonts w:ascii="Arial" w:hAnsi="Arial"/>
          <w:w w:val="85"/>
          <w:sz w:val="14"/>
        </w:rPr>
        <w:t>de</w:t>
      </w:r>
      <w:r>
        <w:rPr>
          <w:rFonts w:ascii="Arial" w:hAnsi="Arial"/>
          <w:spacing w:val="-16"/>
          <w:w w:val="85"/>
          <w:sz w:val="14"/>
        </w:rPr>
        <w:t> </w:t>
      </w:r>
      <w:r>
        <w:rPr>
          <w:rFonts w:ascii="Arial" w:hAnsi="Arial"/>
          <w:w w:val="85"/>
          <w:sz w:val="14"/>
        </w:rPr>
        <w:t>los</w:t>
      </w:r>
      <w:r>
        <w:rPr>
          <w:rFonts w:ascii="Arial" w:hAnsi="Arial"/>
          <w:spacing w:val="-16"/>
          <w:w w:val="85"/>
          <w:sz w:val="14"/>
        </w:rPr>
        <w:t> </w:t>
      </w:r>
      <w:r>
        <w:rPr>
          <w:rFonts w:ascii="Arial" w:hAnsi="Arial"/>
          <w:w w:val="85"/>
          <w:sz w:val="14"/>
        </w:rPr>
        <w:t>EE.UU. hacia</w:t>
      </w:r>
      <w:r>
        <w:rPr>
          <w:rFonts w:ascii="Arial" w:hAnsi="Arial"/>
          <w:spacing w:val="-20"/>
          <w:w w:val="85"/>
          <w:sz w:val="14"/>
        </w:rPr>
        <w:t> </w:t>
      </w:r>
      <w:r>
        <w:rPr>
          <w:rFonts w:ascii="Arial" w:hAnsi="Arial"/>
          <w:w w:val="85"/>
          <w:sz w:val="14"/>
        </w:rPr>
        <w:t>América</w:t>
      </w:r>
      <w:r>
        <w:rPr>
          <w:rFonts w:ascii="Arial" w:hAnsi="Arial"/>
          <w:spacing w:val="-17"/>
          <w:w w:val="85"/>
          <w:sz w:val="14"/>
        </w:rPr>
        <w:t> </w:t>
      </w:r>
      <w:r>
        <w:rPr>
          <w:rFonts w:ascii="Arial" w:hAnsi="Arial"/>
          <w:w w:val="85"/>
          <w:sz w:val="14"/>
        </w:rPr>
        <w:t>Latina</w:t>
      </w:r>
      <w:r>
        <w:rPr>
          <w:rFonts w:ascii="Arial" w:hAnsi="Arial"/>
          <w:spacing w:val="-17"/>
          <w:w w:val="85"/>
          <w:sz w:val="14"/>
        </w:rPr>
        <w:t> </w:t>
      </w:r>
      <w:r>
        <w:rPr>
          <w:rFonts w:ascii="Arial" w:hAnsi="Arial"/>
          <w:w w:val="85"/>
          <w:sz w:val="14"/>
        </w:rPr>
        <w:t>y</w:t>
      </w:r>
      <w:r>
        <w:rPr>
          <w:rFonts w:ascii="Arial" w:hAnsi="Arial"/>
          <w:spacing w:val="-17"/>
          <w:w w:val="85"/>
          <w:sz w:val="14"/>
        </w:rPr>
        <w:t> </w:t>
      </w:r>
      <w:r>
        <w:rPr>
          <w:rFonts w:ascii="Arial" w:hAnsi="Arial"/>
          <w:w w:val="85"/>
          <w:sz w:val="14"/>
        </w:rPr>
        <w:t>el</w:t>
      </w:r>
      <w:r>
        <w:rPr>
          <w:rFonts w:ascii="Arial" w:hAnsi="Arial"/>
          <w:spacing w:val="-17"/>
          <w:w w:val="85"/>
          <w:sz w:val="14"/>
        </w:rPr>
        <w:t> </w:t>
      </w:r>
      <w:r>
        <w:rPr>
          <w:rFonts w:ascii="Arial" w:hAnsi="Arial"/>
          <w:w w:val="85"/>
          <w:sz w:val="14"/>
        </w:rPr>
        <w:t>Caribe,</w:t>
      </w:r>
      <w:r>
        <w:rPr>
          <w:rFonts w:ascii="Arial" w:hAnsi="Arial"/>
          <w:spacing w:val="-20"/>
          <w:w w:val="85"/>
          <w:sz w:val="14"/>
        </w:rPr>
        <w:t> </w:t>
      </w:r>
      <w:r>
        <w:rPr>
          <w:rFonts w:ascii="Arial" w:hAnsi="Arial"/>
          <w:w w:val="85"/>
          <w:sz w:val="14"/>
        </w:rPr>
        <w:t>Latin</w:t>
      </w:r>
      <w:r>
        <w:rPr>
          <w:rFonts w:ascii="Arial" w:hAnsi="Arial"/>
          <w:spacing w:val="-20"/>
          <w:w w:val="85"/>
          <w:sz w:val="14"/>
        </w:rPr>
        <w:t> </w:t>
      </w:r>
      <w:r>
        <w:rPr>
          <w:rFonts w:ascii="Arial" w:hAnsi="Arial"/>
          <w:w w:val="85"/>
          <w:sz w:val="14"/>
        </w:rPr>
        <w:t>America</w:t>
      </w:r>
      <w:r>
        <w:rPr>
          <w:rFonts w:ascii="Arial" w:hAnsi="Arial"/>
          <w:spacing w:val="-20"/>
          <w:w w:val="85"/>
          <w:sz w:val="14"/>
        </w:rPr>
        <w:t> </w:t>
      </w:r>
      <w:r>
        <w:rPr>
          <w:rFonts w:ascii="Arial" w:hAnsi="Arial"/>
          <w:w w:val="85"/>
          <w:sz w:val="14"/>
        </w:rPr>
        <w:t>Working</w:t>
      </w:r>
      <w:r>
        <w:rPr>
          <w:rFonts w:ascii="Arial" w:hAnsi="Arial"/>
          <w:spacing w:val="-17"/>
          <w:w w:val="85"/>
          <w:sz w:val="14"/>
        </w:rPr>
        <w:t> </w:t>
      </w:r>
      <w:r>
        <w:rPr>
          <w:rFonts w:ascii="Arial" w:hAnsi="Arial"/>
          <w:w w:val="85"/>
          <w:sz w:val="14"/>
        </w:rPr>
        <w:t>Group</w:t>
      </w:r>
      <w:r>
        <w:rPr>
          <w:rFonts w:ascii="Arial" w:hAnsi="Arial"/>
          <w:spacing w:val="-17"/>
          <w:w w:val="85"/>
          <w:sz w:val="14"/>
        </w:rPr>
        <w:t> </w:t>
      </w:r>
      <w:r>
        <w:rPr>
          <w:rFonts w:ascii="Arial" w:hAnsi="Arial"/>
          <w:w w:val="85"/>
          <w:sz w:val="14"/>
        </w:rPr>
        <w:t>Education</w:t>
      </w:r>
      <w:r>
        <w:rPr>
          <w:rFonts w:ascii="Arial" w:hAnsi="Arial"/>
          <w:spacing w:val="-17"/>
          <w:w w:val="85"/>
          <w:sz w:val="14"/>
        </w:rPr>
        <w:t> </w:t>
      </w:r>
      <w:r>
        <w:rPr>
          <w:rFonts w:ascii="Arial" w:hAnsi="Arial"/>
          <w:w w:val="85"/>
          <w:sz w:val="14"/>
        </w:rPr>
        <w:t>Fund</w:t>
      </w:r>
      <w:r>
        <w:rPr>
          <w:rFonts w:ascii="Arial" w:hAnsi="Arial"/>
          <w:spacing w:val="-17"/>
          <w:w w:val="85"/>
          <w:sz w:val="14"/>
        </w:rPr>
        <w:t> </w:t>
      </w:r>
      <w:r>
        <w:rPr>
          <w:rFonts w:ascii="Arial" w:hAnsi="Arial"/>
          <w:w w:val="85"/>
          <w:sz w:val="14"/>
        </w:rPr>
        <w:t>(LAWGEF),</w:t>
      </w:r>
      <w:r>
        <w:rPr>
          <w:rFonts w:ascii="Arial" w:hAnsi="Arial"/>
          <w:spacing w:val="-20"/>
          <w:w w:val="85"/>
          <w:sz w:val="14"/>
        </w:rPr>
        <w:t> </w:t>
      </w:r>
      <w:r>
        <w:rPr>
          <w:rFonts w:ascii="Arial" w:hAnsi="Arial"/>
          <w:w w:val="85"/>
          <w:sz w:val="14"/>
        </w:rPr>
        <w:t>Center</w:t>
      </w:r>
      <w:r>
        <w:rPr>
          <w:rFonts w:ascii="Arial" w:hAnsi="Arial"/>
          <w:spacing w:val="-17"/>
          <w:w w:val="85"/>
          <w:sz w:val="14"/>
        </w:rPr>
        <w:t> </w:t>
      </w:r>
      <w:r>
        <w:rPr>
          <w:rFonts w:ascii="Arial" w:hAnsi="Arial"/>
          <w:w w:val="85"/>
          <w:sz w:val="14"/>
        </w:rPr>
        <w:t>for</w:t>
      </w:r>
      <w:r>
        <w:rPr>
          <w:rFonts w:ascii="Arial" w:hAnsi="Arial"/>
          <w:spacing w:val="-17"/>
          <w:w w:val="85"/>
          <w:sz w:val="14"/>
        </w:rPr>
        <w:t> </w:t>
      </w:r>
      <w:r>
        <w:rPr>
          <w:rFonts w:ascii="Arial" w:hAnsi="Arial"/>
          <w:w w:val="85"/>
          <w:sz w:val="14"/>
        </w:rPr>
        <w:t>International</w:t>
      </w:r>
      <w:r>
        <w:rPr>
          <w:rFonts w:ascii="Arial" w:hAnsi="Arial"/>
          <w:spacing w:val="-17"/>
          <w:w w:val="85"/>
          <w:sz w:val="14"/>
        </w:rPr>
        <w:t> </w:t>
      </w:r>
      <w:r>
        <w:rPr>
          <w:rFonts w:ascii="Arial" w:hAnsi="Arial"/>
          <w:w w:val="85"/>
          <w:sz w:val="14"/>
        </w:rPr>
        <w:t>Policy (CIP)</w:t>
      </w:r>
      <w:r>
        <w:rPr>
          <w:rFonts w:ascii="Arial" w:hAnsi="Arial"/>
          <w:spacing w:val="-13"/>
          <w:w w:val="85"/>
          <w:sz w:val="14"/>
        </w:rPr>
        <w:t> </w:t>
      </w:r>
      <w:r>
        <w:rPr>
          <w:rFonts w:ascii="Arial" w:hAnsi="Arial"/>
          <w:w w:val="85"/>
          <w:sz w:val="14"/>
        </w:rPr>
        <w:t>&amp;</w:t>
      </w:r>
      <w:r>
        <w:rPr>
          <w:rFonts w:ascii="Arial" w:hAnsi="Arial"/>
          <w:spacing w:val="-16"/>
          <w:w w:val="85"/>
          <w:sz w:val="14"/>
        </w:rPr>
        <w:t> </w:t>
      </w:r>
      <w:r>
        <w:rPr>
          <w:rFonts w:ascii="Arial" w:hAnsi="Arial"/>
          <w:w w:val="85"/>
          <w:sz w:val="14"/>
        </w:rPr>
        <w:t>Washington</w:t>
      </w:r>
      <w:r>
        <w:rPr>
          <w:rFonts w:ascii="Arial" w:hAnsi="Arial"/>
          <w:spacing w:val="-13"/>
          <w:w w:val="85"/>
          <w:sz w:val="14"/>
        </w:rPr>
        <w:t> </w:t>
      </w:r>
      <w:r>
        <w:rPr>
          <w:rFonts w:ascii="Arial" w:hAnsi="Arial"/>
          <w:w w:val="85"/>
          <w:sz w:val="14"/>
        </w:rPr>
        <w:t>Office</w:t>
      </w:r>
      <w:r>
        <w:rPr>
          <w:rFonts w:ascii="Arial" w:hAnsi="Arial"/>
          <w:spacing w:val="-13"/>
          <w:w w:val="85"/>
          <w:sz w:val="14"/>
        </w:rPr>
        <w:t> </w:t>
      </w:r>
      <w:r>
        <w:rPr>
          <w:rFonts w:ascii="Arial" w:hAnsi="Arial"/>
          <w:w w:val="85"/>
          <w:sz w:val="14"/>
        </w:rPr>
        <w:t>on</w:t>
      </w:r>
      <w:r>
        <w:rPr>
          <w:rFonts w:ascii="Arial" w:hAnsi="Arial"/>
          <w:spacing w:val="-13"/>
          <w:w w:val="85"/>
          <w:sz w:val="14"/>
        </w:rPr>
        <w:t> </w:t>
      </w:r>
      <w:r>
        <w:rPr>
          <w:rFonts w:ascii="Arial" w:hAnsi="Arial"/>
          <w:w w:val="85"/>
          <w:sz w:val="14"/>
        </w:rPr>
        <w:t>Latin</w:t>
      </w:r>
      <w:r>
        <w:rPr>
          <w:rFonts w:ascii="Arial" w:hAnsi="Arial"/>
          <w:spacing w:val="-16"/>
          <w:w w:val="85"/>
          <w:sz w:val="14"/>
        </w:rPr>
        <w:t> </w:t>
      </w:r>
      <w:r>
        <w:rPr>
          <w:rFonts w:ascii="Arial" w:hAnsi="Arial"/>
          <w:w w:val="85"/>
          <w:sz w:val="14"/>
        </w:rPr>
        <w:t>American</w:t>
      </w:r>
      <w:r>
        <w:rPr>
          <w:rFonts w:ascii="Arial" w:hAnsi="Arial"/>
          <w:spacing w:val="-13"/>
          <w:w w:val="85"/>
          <w:sz w:val="14"/>
        </w:rPr>
        <w:t> </w:t>
      </w:r>
      <w:r>
        <w:rPr>
          <w:rFonts w:ascii="Arial" w:hAnsi="Arial"/>
          <w:w w:val="85"/>
          <w:sz w:val="14"/>
        </w:rPr>
        <w:t>(WOLA),</w:t>
      </w:r>
      <w:r>
        <w:rPr>
          <w:rFonts w:ascii="Arial" w:hAnsi="Arial"/>
          <w:spacing w:val="-16"/>
          <w:w w:val="85"/>
          <w:sz w:val="14"/>
        </w:rPr>
        <w:t> </w:t>
      </w:r>
      <w:r>
        <w:rPr>
          <w:rFonts w:ascii="Arial" w:hAnsi="Arial"/>
          <w:w w:val="85"/>
          <w:sz w:val="14"/>
        </w:rPr>
        <w:t>13</w:t>
      </w:r>
      <w:r>
        <w:rPr>
          <w:rFonts w:ascii="Arial" w:hAnsi="Arial"/>
          <w:spacing w:val="-13"/>
          <w:w w:val="85"/>
          <w:sz w:val="14"/>
        </w:rPr>
        <w:t> </w:t>
      </w:r>
      <w:r>
        <w:rPr>
          <w:rFonts w:ascii="Arial" w:hAnsi="Arial"/>
          <w:w w:val="85"/>
          <w:sz w:val="14"/>
        </w:rPr>
        <w:t>de</w:t>
      </w:r>
      <w:r>
        <w:rPr>
          <w:rFonts w:ascii="Arial" w:hAnsi="Arial"/>
          <w:spacing w:val="-13"/>
          <w:w w:val="85"/>
          <w:sz w:val="14"/>
        </w:rPr>
        <w:t> </w:t>
      </w:r>
      <w:r>
        <w:rPr>
          <w:rFonts w:ascii="Arial" w:hAnsi="Arial"/>
          <w:w w:val="85"/>
          <w:sz w:val="14"/>
        </w:rPr>
        <w:t>setiembre</w:t>
      </w:r>
      <w:r>
        <w:rPr>
          <w:rFonts w:ascii="Arial" w:hAnsi="Arial"/>
          <w:spacing w:val="-13"/>
          <w:w w:val="85"/>
          <w:sz w:val="14"/>
        </w:rPr>
        <w:t> </w:t>
      </w:r>
      <w:r>
        <w:rPr>
          <w:rFonts w:ascii="Arial" w:hAnsi="Arial"/>
          <w:w w:val="85"/>
          <w:sz w:val="14"/>
        </w:rPr>
        <w:t>de</w:t>
      </w:r>
      <w:r>
        <w:rPr>
          <w:rFonts w:ascii="Arial" w:hAnsi="Arial"/>
          <w:spacing w:val="-13"/>
          <w:w w:val="85"/>
          <w:sz w:val="14"/>
        </w:rPr>
        <w:t> </w:t>
      </w:r>
      <w:r>
        <w:rPr>
          <w:rFonts w:ascii="Arial" w:hAnsi="Arial"/>
          <w:w w:val="85"/>
          <w:sz w:val="14"/>
        </w:rPr>
        <w:t>2013,</w:t>
      </w:r>
      <w:r>
        <w:rPr>
          <w:rFonts w:ascii="Arial" w:hAnsi="Arial"/>
          <w:spacing w:val="-16"/>
          <w:w w:val="85"/>
          <w:sz w:val="14"/>
        </w:rPr>
        <w:t> </w:t>
      </w:r>
      <w:r>
        <w:rPr>
          <w:rFonts w:ascii="Arial" w:hAnsi="Arial"/>
          <w:w w:val="85"/>
          <w:sz w:val="14"/>
        </w:rPr>
        <w:t>p.</w:t>
      </w:r>
      <w:r>
        <w:rPr>
          <w:rFonts w:ascii="Arial" w:hAnsi="Arial"/>
          <w:spacing w:val="-16"/>
          <w:w w:val="85"/>
          <w:sz w:val="14"/>
        </w:rPr>
        <w:t> </w:t>
      </w:r>
      <w:r>
        <w:rPr>
          <w:rFonts w:ascii="Arial" w:hAnsi="Arial"/>
          <w:w w:val="85"/>
          <w:sz w:val="14"/>
        </w:rPr>
        <w:t>20.</w:t>
      </w:r>
    </w:p>
    <w:p>
      <w:pPr>
        <w:spacing w:after="0" w:line="249" w:lineRule="auto"/>
        <w:jc w:val="left"/>
        <w:rPr>
          <w:rFonts w:ascii="Arial" w:hAnsi="Arial"/>
          <w:sz w:val="14"/>
        </w:rPr>
        <w:sectPr>
          <w:pgSz w:w="8790" w:h="12760"/>
          <w:pgMar w:header="697" w:footer="723" w:top="880" w:bottom="920" w:left="900" w:right="660"/>
        </w:sectPr>
      </w:pPr>
    </w:p>
    <w:p>
      <w:pPr>
        <w:pStyle w:val="BodyText"/>
        <w:spacing w:before="2"/>
        <w:rPr>
          <w:rFonts w:ascii="Arial"/>
          <w:sz w:val="29"/>
        </w:rPr>
      </w:pPr>
    </w:p>
    <w:p>
      <w:pPr>
        <w:pStyle w:val="BodyText"/>
        <w:spacing w:line="252" w:lineRule="auto" w:before="72"/>
        <w:ind w:left="850" w:right="117"/>
        <w:jc w:val="both"/>
      </w:pPr>
      <w:r>
        <w:rPr>
          <w:spacing w:val="-3"/>
          <w:w w:val="115"/>
        </w:rPr>
        <w:t>también</w:t>
      </w:r>
      <w:r>
        <w:rPr>
          <w:spacing w:val="-9"/>
          <w:w w:val="115"/>
        </w:rPr>
        <w:t> </w:t>
      </w:r>
      <w:r>
        <w:rPr>
          <w:w w:val="115"/>
        </w:rPr>
        <w:t>para</w:t>
      </w:r>
      <w:r>
        <w:rPr>
          <w:spacing w:val="-9"/>
          <w:w w:val="115"/>
        </w:rPr>
        <w:t> </w:t>
      </w:r>
      <w:r>
        <w:rPr>
          <w:w w:val="115"/>
        </w:rPr>
        <w:t>que,</w:t>
      </w:r>
      <w:r>
        <w:rPr>
          <w:spacing w:val="-9"/>
          <w:w w:val="115"/>
        </w:rPr>
        <w:t> </w:t>
      </w:r>
      <w:r>
        <w:rPr>
          <w:w w:val="115"/>
        </w:rPr>
        <w:t>en</w:t>
      </w:r>
      <w:r>
        <w:rPr>
          <w:spacing w:val="-9"/>
          <w:w w:val="115"/>
        </w:rPr>
        <w:t> </w:t>
      </w:r>
      <w:r>
        <w:rPr>
          <w:w w:val="115"/>
        </w:rPr>
        <w:t>consuno</w:t>
      </w:r>
      <w:r>
        <w:rPr>
          <w:spacing w:val="-9"/>
          <w:w w:val="115"/>
        </w:rPr>
        <w:t> </w:t>
      </w:r>
      <w:r>
        <w:rPr>
          <w:w w:val="115"/>
        </w:rPr>
        <w:t>con</w:t>
      </w:r>
      <w:r>
        <w:rPr>
          <w:spacing w:val="-9"/>
          <w:w w:val="115"/>
        </w:rPr>
        <w:t> </w:t>
      </w:r>
      <w:r>
        <w:rPr>
          <w:w w:val="115"/>
        </w:rPr>
        <w:t>el</w:t>
      </w:r>
      <w:r>
        <w:rPr>
          <w:spacing w:val="-9"/>
          <w:w w:val="115"/>
        </w:rPr>
        <w:t> </w:t>
      </w:r>
      <w:r>
        <w:rPr>
          <w:w w:val="115"/>
        </w:rPr>
        <w:t>Comando</w:t>
      </w:r>
      <w:r>
        <w:rPr>
          <w:spacing w:val="-9"/>
          <w:w w:val="115"/>
        </w:rPr>
        <w:t> </w:t>
      </w:r>
      <w:r>
        <w:rPr>
          <w:w w:val="115"/>
        </w:rPr>
        <w:t>sur</w:t>
      </w:r>
      <w:r>
        <w:rPr>
          <w:spacing w:val="-9"/>
          <w:w w:val="115"/>
        </w:rPr>
        <w:t> </w:t>
      </w:r>
      <w:r>
        <w:rPr>
          <w:w w:val="115"/>
        </w:rPr>
        <w:t>de</w:t>
      </w:r>
      <w:r>
        <w:rPr>
          <w:spacing w:val="-9"/>
          <w:w w:val="115"/>
        </w:rPr>
        <w:t> </w:t>
      </w:r>
      <w:r>
        <w:rPr>
          <w:w w:val="115"/>
        </w:rPr>
        <w:t>las</w:t>
      </w:r>
      <w:r>
        <w:rPr>
          <w:spacing w:val="-9"/>
          <w:w w:val="115"/>
        </w:rPr>
        <w:t> </w:t>
      </w:r>
      <w:r>
        <w:rPr>
          <w:w w:val="115"/>
        </w:rPr>
        <w:t>Fuerzas</w:t>
      </w:r>
      <w:r>
        <w:rPr>
          <w:spacing w:val="-9"/>
          <w:w w:val="115"/>
        </w:rPr>
        <w:t> </w:t>
      </w:r>
      <w:r>
        <w:rPr>
          <w:spacing w:val="-5"/>
          <w:w w:val="115"/>
        </w:rPr>
        <w:t>ar- </w:t>
      </w:r>
      <w:r>
        <w:rPr>
          <w:w w:val="115"/>
        </w:rPr>
        <w:t>madas estadounidenses (soutHCoM), las represivas fuerzas milita- res</w:t>
      </w:r>
      <w:r>
        <w:rPr>
          <w:spacing w:val="-21"/>
          <w:w w:val="115"/>
        </w:rPr>
        <w:t> </w:t>
      </w:r>
      <w:r>
        <w:rPr>
          <w:w w:val="115"/>
        </w:rPr>
        <w:t>colombianas</w:t>
      </w:r>
      <w:r>
        <w:rPr>
          <w:spacing w:val="-21"/>
          <w:w w:val="115"/>
        </w:rPr>
        <w:t> </w:t>
      </w:r>
      <w:r>
        <w:rPr>
          <w:w w:val="115"/>
        </w:rPr>
        <w:t>le</w:t>
      </w:r>
      <w:r>
        <w:rPr>
          <w:spacing w:val="-21"/>
          <w:w w:val="115"/>
        </w:rPr>
        <w:t> </w:t>
      </w:r>
      <w:r>
        <w:rPr>
          <w:w w:val="115"/>
        </w:rPr>
        <w:t>sigan</w:t>
      </w:r>
      <w:r>
        <w:rPr>
          <w:spacing w:val="-21"/>
          <w:w w:val="115"/>
        </w:rPr>
        <w:t> </w:t>
      </w:r>
      <w:r>
        <w:rPr>
          <w:w w:val="115"/>
        </w:rPr>
        <w:t>ofreciendo</w:t>
      </w:r>
      <w:r>
        <w:rPr>
          <w:spacing w:val="-21"/>
          <w:w w:val="115"/>
        </w:rPr>
        <w:t> </w:t>
      </w:r>
      <w:r>
        <w:rPr>
          <w:w w:val="115"/>
        </w:rPr>
        <w:t>diversos</w:t>
      </w:r>
      <w:r>
        <w:rPr>
          <w:spacing w:val="-21"/>
          <w:w w:val="115"/>
        </w:rPr>
        <w:t> </w:t>
      </w:r>
      <w:r>
        <w:rPr>
          <w:w w:val="115"/>
        </w:rPr>
        <w:t>entrenamientos</w:t>
      </w:r>
      <w:r>
        <w:rPr>
          <w:spacing w:val="-21"/>
          <w:w w:val="115"/>
        </w:rPr>
        <w:t> </w:t>
      </w:r>
      <w:r>
        <w:rPr>
          <w:w w:val="115"/>
        </w:rPr>
        <w:t>a</w:t>
      </w:r>
      <w:r>
        <w:rPr>
          <w:spacing w:val="-21"/>
          <w:w w:val="115"/>
        </w:rPr>
        <w:t> </w:t>
      </w:r>
      <w:r>
        <w:rPr>
          <w:w w:val="115"/>
        </w:rPr>
        <w:t>miles de</w:t>
      </w:r>
      <w:r>
        <w:rPr>
          <w:spacing w:val="-8"/>
          <w:w w:val="115"/>
        </w:rPr>
        <w:t> </w:t>
      </w:r>
      <w:r>
        <w:rPr>
          <w:w w:val="115"/>
        </w:rPr>
        <w:t>oficiales</w:t>
      </w:r>
      <w:r>
        <w:rPr>
          <w:spacing w:val="-8"/>
          <w:w w:val="115"/>
        </w:rPr>
        <w:t> </w:t>
      </w:r>
      <w:r>
        <w:rPr>
          <w:w w:val="115"/>
        </w:rPr>
        <w:t>militares</w:t>
      </w:r>
      <w:r>
        <w:rPr>
          <w:spacing w:val="-8"/>
          <w:w w:val="115"/>
        </w:rPr>
        <w:t> </w:t>
      </w:r>
      <w:r>
        <w:rPr>
          <w:w w:val="115"/>
        </w:rPr>
        <w:t>y</w:t>
      </w:r>
      <w:r>
        <w:rPr>
          <w:spacing w:val="-8"/>
          <w:w w:val="115"/>
        </w:rPr>
        <w:t> </w:t>
      </w:r>
      <w:r>
        <w:rPr>
          <w:w w:val="115"/>
        </w:rPr>
        <w:t>policiales</w:t>
      </w:r>
      <w:r>
        <w:rPr>
          <w:spacing w:val="-8"/>
          <w:w w:val="115"/>
        </w:rPr>
        <w:t> </w:t>
      </w:r>
      <w:r>
        <w:rPr>
          <w:w w:val="115"/>
        </w:rPr>
        <w:t>del</w:t>
      </w:r>
      <w:r>
        <w:rPr>
          <w:spacing w:val="-8"/>
          <w:w w:val="115"/>
        </w:rPr>
        <w:t> </w:t>
      </w:r>
      <w:r>
        <w:rPr>
          <w:w w:val="115"/>
        </w:rPr>
        <w:t>resto</w:t>
      </w:r>
      <w:r>
        <w:rPr>
          <w:spacing w:val="-8"/>
          <w:w w:val="115"/>
        </w:rPr>
        <w:t> </w:t>
      </w:r>
      <w:r>
        <w:rPr>
          <w:w w:val="115"/>
        </w:rPr>
        <w:t>de</w:t>
      </w:r>
      <w:r>
        <w:rPr>
          <w:spacing w:val="-8"/>
          <w:w w:val="115"/>
        </w:rPr>
        <w:t> </w:t>
      </w:r>
      <w:r>
        <w:rPr>
          <w:w w:val="115"/>
        </w:rPr>
        <w:t>los</w:t>
      </w:r>
      <w:r>
        <w:rPr>
          <w:spacing w:val="-8"/>
          <w:w w:val="115"/>
        </w:rPr>
        <w:t> </w:t>
      </w:r>
      <w:r>
        <w:rPr>
          <w:w w:val="115"/>
        </w:rPr>
        <w:t>Estados</w:t>
      </w:r>
      <w:r>
        <w:rPr>
          <w:spacing w:val="-8"/>
          <w:w w:val="115"/>
        </w:rPr>
        <w:t> </w:t>
      </w:r>
      <w:r>
        <w:rPr>
          <w:w w:val="115"/>
        </w:rPr>
        <w:t>de</w:t>
      </w:r>
      <w:r>
        <w:rPr>
          <w:spacing w:val="-8"/>
          <w:w w:val="115"/>
        </w:rPr>
        <w:t> </w:t>
      </w:r>
      <w:r>
        <w:rPr>
          <w:w w:val="115"/>
        </w:rPr>
        <w:t>américa </w:t>
      </w:r>
      <w:r>
        <w:rPr>
          <w:w w:val="243"/>
        </w:rPr>
        <w:t>l</w:t>
      </w:r>
      <w:r>
        <w:rPr>
          <w:w w:val="111"/>
        </w:rPr>
        <w:t>atina</w:t>
      </w:r>
      <w:r>
        <w:rPr>
          <w:spacing w:val="14"/>
        </w:rPr>
        <w:t> </w:t>
      </w:r>
      <w:r>
        <w:rPr>
          <w:w w:val="105"/>
        </w:rPr>
        <w:t>y</w:t>
      </w:r>
      <w:r>
        <w:rPr>
          <w:spacing w:val="14"/>
        </w:rPr>
        <w:t> </w:t>
      </w:r>
      <w:r>
        <w:rPr>
          <w:w w:val="107"/>
        </w:rPr>
        <w:t>el</w:t>
      </w:r>
      <w:r>
        <w:rPr>
          <w:spacing w:val="14"/>
        </w:rPr>
        <w:t> </w:t>
      </w:r>
      <w:r>
        <w:rPr>
          <w:w w:val="114"/>
        </w:rPr>
        <w:t>Caribe.</w:t>
      </w:r>
      <w:r>
        <w:rPr>
          <w:spacing w:val="14"/>
        </w:rPr>
        <w:t> </w:t>
      </w:r>
      <w:r>
        <w:rPr>
          <w:w w:val="114"/>
        </w:rPr>
        <w:t>Como</w:t>
      </w:r>
      <w:r>
        <w:rPr>
          <w:spacing w:val="14"/>
        </w:rPr>
        <w:t> </w:t>
      </w:r>
      <w:r>
        <w:rPr>
          <w:w w:val="105"/>
        </w:rPr>
        <w:t>se</w:t>
      </w:r>
      <w:r>
        <w:rPr>
          <w:spacing w:val="14"/>
        </w:rPr>
        <w:t> </w:t>
      </w:r>
      <w:r>
        <w:rPr>
          <w:w w:val="105"/>
        </w:rPr>
        <w:t>verá</w:t>
      </w:r>
      <w:r>
        <w:rPr>
          <w:spacing w:val="14"/>
        </w:rPr>
        <w:t> </w:t>
      </w:r>
      <w:r>
        <w:rPr>
          <w:w w:val="108"/>
        </w:rPr>
        <w:t>en</w:t>
      </w:r>
      <w:r>
        <w:rPr>
          <w:spacing w:val="14"/>
        </w:rPr>
        <w:t> </w:t>
      </w:r>
      <w:r>
        <w:rPr>
          <w:w w:val="111"/>
        </w:rPr>
        <w:t>la</w:t>
      </w:r>
      <w:r>
        <w:rPr>
          <w:spacing w:val="14"/>
        </w:rPr>
        <w:t> </w:t>
      </w:r>
      <w:r>
        <w:rPr>
          <w:spacing w:val="-18"/>
          <w:w w:val="195"/>
        </w:rPr>
        <w:t>t</w:t>
      </w:r>
      <w:r>
        <w:rPr>
          <w:w w:val="111"/>
        </w:rPr>
        <w:t>abla</w:t>
      </w:r>
      <w:r>
        <w:rPr>
          <w:spacing w:val="14"/>
        </w:rPr>
        <w:t> </w:t>
      </w:r>
      <w:r>
        <w:rPr>
          <w:w w:val="112"/>
        </w:rPr>
        <w:t>2,</w:t>
      </w:r>
      <w:r>
        <w:rPr>
          <w:spacing w:val="14"/>
        </w:rPr>
        <w:t> </w:t>
      </w:r>
      <w:r>
        <w:rPr>
          <w:w w:val="109"/>
        </w:rPr>
        <w:t>según</w:t>
      </w:r>
      <w:r>
        <w:rPr>
          <w:spacing w:val="14"/>
        </w:rPr>
        <w:t> </w:t>
      </w:r>
      <w:r>
        <w:rPr>
          <w:w w:val="111"/>
        </w:rPr>
        <w:t>la</w:t>
      </w:r>
      <w:r>
        <w:rPr>
          <w:spacing w:val="14"/>
        </w:rPr>
        <w:t> </w:t>
      </w:r>
      <w:r>
        <w:rPr>
          <w:w w:val="109"/>
        </w:rPr>
        <w:t>investigadora </w:t>
      </w:r>
      <w:r>
        <w:rPr>
          <w:w w:val="115"/>
        </w:rPr>
        <w:t>estadounidense</w:t>
      </w:r>
      <w:r>
        <w:rPr>
          <w:spacing w:val="-20"/>
          <w:w w:val="115"/>
        </w:rPr>
        <w:t> </w:t>
      </w:r>
      <w:r>
        <w:rPr>
          <w:w w:val="115"/>
        </w:rPr>
        <w:t>arelene</w:t>
      </w:r>
      <w:r>
        <w:rPr>
          <w:spacing w:val="-20"/>
          <w:w w:val="115"/>
        </w:rPr>
        <w:t> </w:t>
      </w:r>
      <w:r>
        <w:rPr>
          <w:spacing w:val="-3"/>
          <w:w w:val="115"/>
        </w:rPr>
        <w:t>tickner</w:t>
      </w:r>
      <w:r>
        <w:rPr>
          <w:spacing w:val="-20"/>
          <w:w w:val="115"/>
        </w:rPr>
        <w:t> </w:t>
      </w:r>
      <w:r>
        <w:rPr>
          <w:w w:val="115"/>
        </w:rPr>
        <w:t>(2014),</w:t>
      </w:r>
      <w:r>
        <w:rPr>
          <w:spacing w:val="-20"/>
          <w:w w:val="115"/>
        </w:rPr>
        <w:t> </w:t>
      </w:r>
      <w:r>
        <w:rPr>
          <w:w w:val="115"/>
        </w:rPr>
        <w:t>solo</w:t>
      </w:r>
      <w:r>
        <w:rPr>
          <w:spacing w:val="-20"/>
          <w:w w:val="115"/>
        </w:rPr>
        <w:t> </w:t>
      </w:r>
      <w:r>
        <w:rPr>
          <w:w w:val="115"/>
        </w:rPr>
        <w:t>entre</w:t>
      </w:r>
      <w:r>
        <w:rPr>
          <w:spacing w:val="-20"/>
          <w:w w:val="115"/>
        </w:rPr>
        <w:t> </w:t>
      </w:r>
      <w:r>
        <w:rPr>
          <w:w w:val="115"/>
        </w:rPr>
        <w:t>2009</w:t>
      </w:r>
      <w:r>
        <w:rPr>
          <w:spacing w:val="-20"/>
          <w:w w:val="115"/>
        </w:rPr>
        <w:t> </w:t>
      </w:r>
      <w:r>
        <w:rPr>
          <w:w w:val="115"/>
        </w:rPr>
        <w:t>y</w:t>
      </w:r>
      <w:r>
        <w:rPr>
          <w:spacing w:val="-20"/>
          <w:w w:val="115"/>
        </w:rPr>
        <w:t> </w:t>
      </w:r>
      <w:r>
        <w:rPr>
          <w:w w:val="115"/>
        </w:rPr>
        <w:t>2013</w:t>
      </w:r>
      <w:r>
        <w:rPr>
          <w:spacing w:val="-20"/>
          <w:w w:val="115"/>
        </w:rPr>
        <w:t> </w:t>
      </w:r>
      <w:r>
        <w:rPr>
          <w:w w:val="115"/>
        </w:rPr>
        <w:t>el</w:t>
      </w:r>
      <w:r>
        <w:rPr>
          <w:spacing w:val="-20"/>
          <w:w w:val="115"/>
        </w:rPr>
        <w:t> </w:t>
      </w:r>
      <w:r>
        <w:rPr>
          <w:w w:val="115"/>
        </w:rPr>
        <w:t>nú- </w:t>
      </w:r>
      <w:r>
        <w:rPr>
          <w:w w:val="110"/>
        </w:rPr>
        <w:t>mero de entrenados ascendió a</w:t>
      </w:r>
      <w:r>
        <w:rPr>
          <w:spacing w:val="4"/>
          <w:w w:val="110"/>
        </w:rPr>
        <w:t> </w:t>
      </w:r>
      <w:r>
        <w:rPr>
          <w:w w:val="110"/>
        </w:rPr>
        <w:t>21.949.</w:t>
      </w:r>
    </w:p>
    <w:p>
      <w:pPr>
        <w:pStyle w:val="BodyText"/>
        <w:spacing w:line="252" w:lineRule="auto"/>
        <w:ind w:left="850" w:right="117" w:firstLine="396"/>
        <w:jc w:val="both"/>
      </w:pPr>
      <w:r>
        <w:rPr>
          <w:w w:val="110"/>
        </w:rPr>
        <w:t>El incremento de esos entrenamientos en los años venideros fue anunciado por el actual presidente de Colombia, Juan Manuel santos, inmediatamente después de la reunión que sostuvo con barack oba- ma durante la visita oficial que realizó a Estados unidos en los prime- ros días de diciembre de 2013 (santos, 2013). a pesar de las masivas  y flagrantes violaciones a “los derechos humanos y a las libertades fundamentales”, así como al derecho internacional Humanitario que  se siguen perpetrando en Colombia, obama ensalzó “los tremendos progresos que ha tenido Colombia en la última década […] precisa- mente por el éxito en el frente de la seguridad” (obama, </w:t>
      </w:r>
      <w:r>
        <w:rPr>
          <w:spacing w:val="26"/>
          <w:w w:val="110"/>
        </w:rPr>
        <w:t> </w:t>
      </w:r>
      <w:r>
        <w:rPr>
          <w:w w:val="110"/>
        </w:rPr>
        <w:t>2013).</w:t>
      </w:r>
    </w:p>
    <w:p>
      <w:pPr>
        <w:pStyle w:val="BodyText"/>
        <w:rPr>
          <w:sz w:val="18"/>
        </w:rPr>
      </w:pPr>
    </w:p>
    <w:p>
      <w:pPr>
        <w:spacing w:before="143"/>
        <w:ind w:left="670" w:right="674" w:firstLine="0"/>
        <w:jc w:val="center"/>
        <w:rPr>
          <w:rFonts w:ascii="Arial"/>
          <w:b/>
          <w:sz w:val="17"/>
        </w:rPr>
      </w:pPr>
      <w:r>
        <w:rPr>
          <w:rFonts w:ascii="Arial"/>
          <w:b/>
          <w:w w:val="85"/>
          <w:sz w:val="17"/>
        </w:rPr>
        <w:t>Tabla 2</w:t>
      </w:r>
    </w:p>
    <w:p>
      <w:pPr>
        <w:spacing w:before="8"/>
        <w:ind w:left="670" w:right="674" w:firstLine="0"/>
        <w:jc w:val="center"/>
        <w:rPr>
          <w:rFonts w:ascii="Arial" w:hAnsi="Arial"/>
          <w:sz w:val="17"/>
        </w:rPr>
      </w:pPr>
      <w:r>
        <w:rPr>
          <w:rFonts w:ascii="Arial" w:hAnsi="Arial"/>
          <w:w w:val="85"/>
          <w:sz w:val="17"/>
        </w:rPr>
        <w:t>Policías y personal militar entrenados en Colombia entre 2009 y 2013</w:t>
      </w:r>
    </w:p>
    <w:p>
      <w:pPr>
        <w:pStyle w:val="BodyText"/>
        <w:spacing w:before="4"/>
        <w:rPr>
          <w:rFonts w:ascii="Arial"/>
          <w:sz w:val="16"/>
        </w:rPr>
      </w:pPr>
    </w:p>
    <w:tbl>
      <w:tblPr>
        <w:tblW w:w="0" w:type="auto"/>
        <w:jc w:val="left"/>
        <w:tblInd w:w="1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487"/>
        <w:gridCol w:w="3487"/>
      </w:tblGrid>
      <w:tr>
        <w:trPr>
          <w:trHeight w:val="274" w:hRule="exact"/>
        </w:trPr>
        <w:tc>
          <w:tcPr>
            <w:tcW w:w="3487" w:type="dxa"/>
            <w:tcBorders>
              <w:left w:val="nil"/>
              <w:bottom w:val="dotted" w:sz="4" w:space="0" w:color="000000"/>
              <w:right w:val="dotted" w:sz="4" w:space="0" w:color="000000"/>
            </w:tcBorders>
          </w:tcPr>
          <w:p>
            <w:pPr>
              <w:pStyle w:val="TableParagraph"/>
              <w:spacing w:before="34"/>
              <w:ind w:left="80"/>
              <w:rPr>
                <w:sz w:val="16"/>
              </w:rPr>
            </w:pPr>
            <w:r>
              <w:rPr>
                <w:w w:val="95"/>
                <w:sz w:val="16"/>
              </w:rPr>
              <w:t>México</w:t>
            </w:r>
          </w:p>
        </w:tc>
        <w:tc>
          <w:tcPr>
            <w:tcW w:w="3487" w:type="dxa"/>
            <w:tcBorders>
              <w:left w:val="dotted" w:sz="4" w:space="0" w:color="000000"/>
              <w:bottom w:val="dotted" w:sz="4" w:space="0" w:color="000000"/>
              <w:right w:val="nil"/>
            </w:tcBorders>
          </w:tcPr>
          <w:p>
            <w:pPr>
              <w:pStyle w:val="TableParagraph"/>
              <w:spacing w:before="34"/>
              <w:ind w:right="1585"/>
              <w:jc w:val="right"/>
              <w:rPr>
                <w:sz w:val="16"/>
              </w:rPr>
            </w:pPr>
            <w:r>
              <w:rPr>
                <w:w w:val="90"/>
                <w:sz w:val="16"/>
              </w:rPr>
              <w:t>10 310</w:t>
            </w:r>
          </w:p>
        </w:tc>
      </w:tr>
      <w:tr>
        <w:trPr>
          <w:trHeight w:val="274" w:hRule="exact"/>
        </w:trPr>
        <w:tc>
          <w:tcPr>
            <w:tcW w:w="3487"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90"/>
                <w:sz w:val="16"/>
              </w:rPr>
              <w:t>Guatemala</w:t>
            </w:r>
          </w:p>
        </w:tc>
        <w:tc>
          <w:tcPr>
            <w:tcW w:w="3487" w:type="dxa"/>
            <w:tcBorders>
              <w:top w:val="dotted" w:sz="4" w:space="0" w:color="000000"/>
              <w:left w:val="dotted" w:sz="4" w:space="0" w:color="000000"/>
              <w:bottom w:val="dotted" w:sz="4" w:space="0" w:color="000000"/>
              <w:right w:val="nil"/>
            </w:tcBorders>
          </w:tcPr>
          <w:p>
            <w:pPr>
              <w:pStyle w:val="TableParagraph"/>
              <w:spacing w:before="39"/>
              <w:ind w:right="1585"/>
              <w:jc w:val="right"/>
              <w:rPr>
                <w:sz w:val="16"/>
              </w:rPr>
            </w:pPr>
            <w:r>
              <w:rPr>
                <w:w w:val="85"/>
                <w:sz w:val="16"/>
              </w:rPr>
              <w:t>1732</w:t>
            </w:r>
          </w:p>
        </w:tc>
      </w:tr>
      <w:tr>
        <w:trPr>
          <w:trHeight w:val="274" w:hRule="exact"/>
        </w:trPr>
        <w:tc>
          <w:tcPr>
            <w:tcW w:w="3487"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90"/>
                <w:sz w:val="16"/>
              </w:rPr>
              <w:t>Honduras</w:t>
            </w:r>
          </w:p>
        </w:tc>
        <w:tc>
          <w:tcPr>
            <w:tcW w:w="3487" w:type="dxa"/>
            <w:tcBorders>
              <w:top w:val="dotted" w:sz="4" w:space="0" w:color="000000"/>
              <w:left w:val="dotted" w:sz="4" w:space="0" w:color="000000"/>
              <w:bottom w:val="dotted" w:sz="4" w:space="0" w:color="000000"/>
              <w:right w:val="nil"/>
            </w:tcBorders>
          </w:tcPr>
          <w:p>
            <w:pPr>
              <w:pStyle w:val="TableParagraph"/>
              <w:spacing w:before="39"/>
              <w:ind w:right="1585"/>
              <w:jc w:val="right"/>
              <w:rPr>
                <w:sz w:val="16"/>
              </w:rPr>
            </w:pPr>
            <w:r>
              <w:rPr>
                <w:w w:val="85"/>
                <w:sz w:val="16"/>
              </w:rPr>
              <w:t>2609</w:t>
            </w:r>
          </w:p>
        </w:tc>
      </w:tr>
      <w:tr>
        <w:trPr>
          <w:trHeight w:val="274" w:hRule="exact"/>
        </w:trPr>
        <w:tc>
          <w:tcPr>
            <w:tcW w:w="3487"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80"/>
                <w:sz w:val="16"/>
              </w:rPr>
              <w:t>El Salvador</w:t>
            </w:r>
          </w:p>
        </w:tc>
        <w:tc>
          <w:tcPr>
            <w:tcW w:w="3487" w:type="dxa"/>
            <w:tcBorders>
              <w:top w:val="dotted" w:sz="4" w:space="0" w:color="000000"/>
              <w:left w:val="dotted" w:sz="4" w:space="0" w:color="000000"/>
              <w:bottom w:val="dotted" w:sz="4" w:space="0" w:color="000000"/>
              <w:right w:val="nil"/>
            </w:tcBorders>
          </w:tcPr>
          <w:p>
            <w:pPr>
              <w:pStyle w:val="TableParagraph"/>
              <w:spacing w:before="39"/>
              <w:ind w:right="1585"/>
              <w:jc w:val="right"/>
              <w:rPr>
                <w:sz w:val="16"/>
              </w:rPr>
            </w:pPr>
            <w:r>
              <w:rPr>
                <w:w w:val="85"/>
                <w:sz w:val="16"/>
              </w:rPr>
              <w:t>465</w:t>
            </w:r>
          </w:p>
        </w:tc>
      </w:tr>
      <w:tr>
        <w:trPr>
          <w:trHeight w:val="274" w:hRule="exact"/>
        </w:trPr>
        <w:tc>
          <w:tcPr>
            <w:tcW w:w="3487"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80"/>
                <w:sz w:val="16"/>
              </w:rPr>
              <w:t>Costa Rica</w:t>
            </w:r>
          </w:p>
        </w:tc>
        <w:tc>
          <w:tcPr>
            <w:tcW w:w="3487" w:type="dxa"/>
            <w:tcBorders>
              <w:top w:val="dotted" w:sz="4" w:space="0" w:color="000000"/>
              <w:left w:val="dotted" w:sz="4" w:space="0" w:color="000000"/>
              <w:bottom w:val="dotted" w:sz="4" w:space="0" w:color="000000"/>
              <w:right w:val="nil"/>
            </w:tcBorders>
          </w:tcPr>
          <w:p>
            <w:pPr>
              <w:pStyle w:val="TableParagraph"/>
              <w:spacing w:before="39"/>
              <w:ind w:right="1585"/>
              <w:jc w:val="right"/>
              <w:rPr>
                <w:sz w:val="16"/>
              </w:rPr>
            </w:pPr>
            <w:r>
              <w:rPr>
                <w:w w:val="85"/>
                <w:sz w:val="16"/>
              </w:rPr>
              <w:t>377</w:t>
            </w:r>
          </w:p>
        </w:tc>
      </w:tr>
      <w:tr>
        <w:trPr>
          <w:trHeight w:val="274" w:hRule="exact"/>
        </w:trPr>
        <w:tc>
          <w:tcPr>
            <w:tcW w:w="3487"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90"/>
                <w:sz w:val="16"/>
              </w:rPr>
              <w:t>Panamá</w:t>
            </w:r>
          </w:p>
        </w:tc>
        <w:tc>
          <w:tcPr>
            <w:tcW w:w="3487" w:type="dxa"/>
            <w:tcBorders>
              <w:top w:val="dotted" w:sz="4" w:space="0" w:color="000000"/>
              <w:left w:val="dotted" w:sz="4" w:space="0" w:color="000000"/>
              <w:bottom w:val="dotted" w:sz="4" w:space="0" w:color="000000"/>
              <w:right w:val="nil"/>
            </w:tcBorders>
          </w:tcPr>
          <w:p>
            <w:pPr>
              <w:pStyle w:val="TableParagraph"/>
              <w:spacing w:before="39"/>
              <w:ind w:right="1585"/>
              <w:jc w:val="right"/>
              <w:rPr>
                <w:sz w:val="16"/>
              </w:rPr>
            </w:pPr>
            <w:r>
              <w:rPr>
                <w:w w:val="85"/>
                <w:sz w:val="16"/>
              </w:rPr>
              <w:t>3026</w:t>
            </w:r>
          </w:p>
        </w:tc>
      </w:tr>
      <w:tr>
        <w:trPr>
          <w:trHeight w:val="274" w:hRule="exact"/>
        </w:trPr>
        <w:tc>
          <w:tcPr>
            <w:tcW w:w="3487"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90"/>
                <w:sz w:val="16"/>
              </w:rPr>
              <w:t>Ecuador</w:t>
            </w:r>
          </w:p>
        </w:tc>
        <w:tc>
          <w:tcPr>
            <w:tcW w:w="3487" w:type="dxa"/>
            <w:tcBorders>
              <w:top w:val="dotted" w:sz="4" w:space="0" w:color="000000"/>
              <w:left w:val="dotted" w:sz="4" w:space="0" w:color="000000"/>
              <w:bottom w:val="dotted" w:sz="4" w:space="0" w:color="000000"/>
              <w:right w:val="nil"/>
            </w:tcBorders>
          </w:tcPr>
          <w:p>
            <w:pPr>
              <w:pStyle w:val="TableParagraph"/>
              <w:spacing w:before="39"/>
              <w:ind w:right="1585"/>
              <w:jc w:val="right"/>
              <w:rPr>
                <w:sz w:val="16"/>
              </w:rPr>
            </w:pPr>
            <w:r>
              <w:rPr>
                <w:w w:val="85"/>
                <w:sz w:val="16"/>
              </w:rPr>
              <w:t>1132</w:t>
            </w:r>
          </w:p>
        </w:tc>
      </w:tr>
      <w:tr>
        <w:trPr>
          <w:trHeight w:val="274" w:hRule="exact"/>
        </w:trPr>
        <w:tc>
          <w:tcPr>
            <w:tcW w:w="3487"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90"/>
                <w:sz w:val="16"/>
              </w:rPr>
              <w:t>Perú</w:t>
            </w:r>
          </w:p>
        </w:tc>
        <w:tc>
          <w:tcPr>
            <w:tcW w:w="3487" w:type="dxa"/>
            <w:tcBorders>
              <w:top w:val="dotted" w:sz="4" w:space="0" w:color="000000"/>
              <w:left w:val="dotted" w:sz="4" w:space="0" w:color="000000"/>
              <w:bottom w:val="dotted" w:sz="4" w:space="0" w:color="000000"/>
              <w:right w:val="nil"/>
            </w:tcBorders>
          </w:tcPr>
          <w:p>
            <w:pPr>
              <w:pStyle w:val="TableParagraph"/>
              <w:spacing w:before="39"/>
              <w:ind w:right="1585"/>
              <w:jc w:val="right"/>
              <w:rPr>
                <w:sz w:val="16"/>
              </w:rPr>
            </w:pPr>
            <w:r>
              <w:rPr>
                <w:w w:val="85"/>
                <w:sz w:val="16"/>
              </w:rPr>
              <w:t>510</w:t>
            </w:r>
          </w:p>
        </w:tc>
      </w:tr>
      <w:tr>
        <w:trPr>
          <w:trHeight w:val="274" w:hRule="exact"/>
        </w:trPr>
        <w:tc>
          <w:tcPr>
            <w:tcW w:w="3487" w:type="dxa"/>
            <w:tcBorders>
              <w:top w:val="dotted" w:sz="4" w:space="0" w:color="000000"/>
              <w:left w:val="nil"/>
              <w:right w:val="dotted" w:sz="4" w:space="0" w:color="000000"/>
            </w:tcBorders>
          </w:tcPr>
          <w:p>
            <w:pPr>
              <w:pStyle w:val="TableParagraph"/>
              <w:spacing w:before="39"/>
              <w:ind w:left="79"/>
              <w:rPr>
                <w:sz w:val="16"/>
              </w:rPr>
            </w:pPr>
            <w:r>
              <w:rPr>
                <w:w w:val="90"/>
                <w:sz w:val="16"/>
              </w:rPr>
              <w:t>Otros</w:t>
            </w:r>
          </w:p>
        </w:tc>
        <w:tc>
          <w:tcPr>
            <w:tcW w:w="3487" w:type="dxa"/>
            <w:tcBorders>
              <w:top w:val="dotted" w:sz="4" w:space="0" w:color="000000"/>
              <w:left w:val="dotted" w:sz="4" w:space="0" w:color="000000"/>
              <w:right w:val="nil"/>
            </w:tcBorders>
          </w:tcPr>
          <w:p>
            <w:pPr>
              <w:pStyle w:val="TableParagraph"/>
              <w:spacing w:before="39"/>
              <w:ind w:right="1585"/>
              <w:jc w:val="right"/>
              <w:rPr>
                <w:sz w:val="16"/>
              </w:rPr>
            </w:pPr>
            <w:r>
              <w:rPr>
                <w:w w:val="85"/>
                <w:sz w:val="16"/>
              </w:rPr>
              <w:t>1788</w:t>
            </w:r>
          </w:p>
        </w:tc>
      </w:tr>
    </w:tbl>
    <w:p>
      <w:pPr>
        <w:spacing w:line="249" w:lineRule="auto" w:before="64"/>
        <w:ind w:left="113" w:right="158" w:firstLine="0"/>
        <w:jc w:val="left"/>
        <w:rPr>
          <w:rFonts w:ascii="Arial" w:hAnsi="Arial"/>
          <w:sz w:val="14"/>
        </w:rPr>
      </w:pPr>
      <w:r>
        <w:rPr>
          <w:rFonts w:ascii="Arial" w:hAnsi="Arial"/>
          <w:w w:val="85"/>
          <w:sz w:val="14"/>
        </w:rPr>
        <w:t>Fuente:</w:t>
      </w:r>
      <w:r>
        <w:rPr>
          <w:rFonts w:ascii="Arial" w:hAnsi="Arial"/>
          <w:spacing w:val="-14"/>
          <w:w w:val="85"/>
          <w:sz w:val="14"/>
        </w:rPr>
        <w:t> </w:t>
      </w:r>
      <w:r>
        <w:rPr>
          <w:rFonts w:ascii="Arial" w:hAnsi="Arial"/>
          <w:w w:val="85"/>
          <w:sz w:val="14"/>
        </w:rPr>
        <w:t>Elaborada</w:t>
      </w:r>
      <w:r>
        <w:rPr>
          <w:rFonts w:ascii="Arial" w:hAnsi="Arial"/>
          <w:spacing w:val="-11"/>
          <w:w w:val="85"/>
          <w:sz w:val="14"/>
        </w:rPr>
        <w:t> </w:t>
      </w:r>
      <w:r>
        <w:rPr>
          <w:rFonts w:ascii="Arial" w:hAnsi="Arial"/>
          <w:w w:val="85"/>
          <w:sz w:val="14"/>
        </w:rPr>
        <w:t>por</w:t>
      </w:r>
      <w:r>
        <w:rPr>
          <w:rFonts w:ascii="Arial" w:hAnsi="Arial"/>
          <w:spacing w:val="-11"/>
          <w:w w:val="85"/>
          <w:sz w:val="14"/>
        </w:rPr>
        <w:t> </w:t>
      </w:r>
      <w:r>
        <w:rPr>
          <w:rFonts w:ascii="Arial" w:hAnsi="Arial"/>
          <w:w w:val="85"/>
          <w:sz w:val="14"/>
        </w:rPr>
        <w:t>el</w:t>
      </w:r>
      <w:r>
        <w:rPr>
          <w:rFonts w:ascii="Arial" w:hAnsi="Arial"/>
          <w:spacing w:val="-11"/>
          <w:w w:val="85"/>
          <w:sz w:val="14"/>
        </w:rPr>
        <w:t> </w:t>
      </w:r>
      <w:r>
        <w:rPr>
          <w:rFonts w:ascii="Arial" w:hAnsi="Arial"/>
          <w:w w:val="85"/>
          <w:sz w:val="14"/>
        </w:rPr>
        <w:t>autor</w:t>
      </w:r>
      <w:r>
        <w:rPr>
          <w:rFonts w:ascii="Arial" w:hAnsi="Arial"/>
          <w:spacing w:val="-11"/>
          <w:w w:val="85"/>
          <w:sz w:val="14"/>
        </w:rPr>
        <w:t> </w:t>
      </w:r>
      <w:r>
        <w:rPr>
          <w:rFonts w:ascii="Arial" w:hAnsi="Arial"/>
          <w:w w:val="85"/>
          <w:sz w:val="14"/>
        </w:rPr>
        <w:t>de</w:t>
      </w:r>
      <w:r>
        <w:rPr>
          <w:rFonts w:ascii="Arial" w:hAnsi="Arial"/>
          <w:spacing w:val="-11"/>
          <w:w w:val="85"/>
          <w:sz w:val="14"/>
        </w:rPr>
        <w:t> </w:t>
      </w:r>
      <w:r>
        <w:rPr>
          <w:rFonts w:ascii="Arial" w:hAnsi="Arial"/>
          <w:w w:val="85"/>
          <w:sz w:val="14"/>
        </w:rPr>
        <w:t>ese</w:t>
      </w:r>
      <w:r>
        <w:rPr>
          <w:rFonts w:ascii="Arial" w:hAnsi="Arial"/>
          <w:spacing w:val="-11"/>
          <w:w w:val="85"/>
          <w:sz w:val="14"/>
        </w:rPr>
        <w:t> </w:t>
      </w:r>
      <w:r>
        <w:rPr>
          <w:rFonts w:ascii="Arial" w:hAnsi="Arial"/>
          <w:w w:val="85"/>
          <w:sz w:val="14"/>
        </w:rPr>
        <w:t>ensayo</w:t>
      </w:r>
      <w:r>
        <w:rPr>
          <w:rFonts w:ascii="Arial" w:hAnsi="Arial"/>
          <w:spacing w:val="-11"/>
          <w:w w:val="85"/>
          <w:sz w:val="14"/>
        </w:rPr>
        <w:t> </w:t>
      </w:r>
      <w:r>
        <w:rPr>
          <w:rFonts w:ascii="Arial" w:hAnsi="Arial"/>
          <w:w w:val="85"/>
          <w:sz w:val="14"/>
        </w:rPr>
        <w:t>a</w:t>
      </w:r>
      <w:r>
        <w:rPr>
          <w:rFonts w:ascii="Arial" w:hAnsi="Arial"/>
          <w:spacing w:val="-11"/>
          <w:w w:val="85"/>
          <w:sz w:val="14"/>
        </w:rPr>
        <w:t> </w:t>
      </w:r>
      <w:r>
        <w:rPr>
          <w:rFonts w:ascii="Arial" w:hAnsi="Arial"/>
          <w:w w:val="85"/>
          <w:sz w:val="14"/>
        </w:rPr>
        <w:t>partir</w:t>
      </w:r>
      <w:r>
        <w:rPr>
          <w:rFonts w:ascii="Arial" w:hAnsi="Arial"/>
          <w:spacing w:val="-11"/>
          <w:w w:val="85"/>
          <w:sz w:val="14"/>
        </w:rPr>
        <w:t> </w:t>
      </w:r>
      <w:r>
        <w:rPr>
          <w:rFonts w:ascii="Arial" w:hAnsi="Arial"/>
          <w:w w:val="85"/>
          <w:sz w:val="14"/>
        </w:rPr>
        <w:t>de</w:t>
      </w:r>
      <w:r>
        <w:rPr>
          <w:rFonts w:ascii="Arial" w:hAnsi="Arial"/>
          <w:spacing w:val="-11"/>
          <w:w w:val="85"/>
          <w:sz w:val="14"/>
        </w:rPr>
        <w:t> </w:t>
      </w:r>
      <w:r>
        <w:rPr>
          <w:rFonts w:ascii="Arial" w:hAnsi="Arial"/>
          <w:w w:val="85"/>
          <w:sz w:val="14"/>
        </w:rPr>
        <w:t>la</w:t>
      </w:r>
      <w:r>
        <w:rPr>
          <w:rFonts w:ascii="Arial" w:hAnsi="Arial"/>
          <w:spacing w:val="-11"/>
          <w:w w:val="85"/>
          <w:sz w:val="14"/>
        </w:rPr>
        <w:t> </w:t>
      </w:r>
      <w:r>
        <w:rPr>
          <w:rFonts w:ascii="Arial" w:hAnsi="Arial"/>
          <w:w w:val="85"/>
          <w:sz w:val="14"/>
        </w:rPr>
        <w:t>información</w:t>
      </w:r>
      <w:r>
        <w:rPr>
          <w:rFonts w:ascii="Arial" w:hAnsi="Arial"/>
          <w:spacing w:val="-11"/>
          <w:w w:val="85"/>
          <w:sz w:val="14"/>
        </w:rPr>
        <w:t> </w:t>
      </w:r>
      <w:r>
        <w:rPr>
          <w:rFonts w:ascii="Arial" w:hAnsi="Arial"/>
          <w:w w:val="85"/>
          <w:sz w:val="14"/>
        </w:rPr>
        <w:t>que</w:t>
      </w:r>
      <w:r>
        <w:rPr>
          <w:rFonts w:ascii="Arial" w:hAnsi="Arial"/>
          <w:spacing w:val="-11"/>
          <w:w w:val="85"/>
          <w:sz w:val="14"/>
        </w:rPr>
        <w:t> </w:t>
      </w:r>
      <w:r>
        <w:rPr>
          <w:rFonts w:ascii="Arial" w:hAnsi="Arial"/>
          <w:w w:val="85"/>
          <w:sz w:val="14"/>
        </w:rPr>
        <w:t>aparece</w:t>
      </w:r>
      <w:r>
        <w:rPr>
          <w:rFonts w:ascii="Arial" w:hAnsi="Arial"/>
          <w:spacing w:val="-11"/>
          <w:w w:val="85"/>
          <w:sz w:val="14"/>
        </w:rPr>
        <w:t> </w:t>
      </w:r>
      <w:r>
        <w:rPr>
          <w:rFonts w:ascii="Arial" w:hAnsi="Arial"/>
          <w:w w:val="85"/>
          <w:sz w:val="14"/>
        </w:rPr>
        <w:t>en</w:t>
      </w:r>
      <w:r>
        <w:rPr>
          <w:rFonts w:ascii="Arial" w:hAnsi="Arial"/>
          <w:spacing w:val="-14"/>
          <w:w w:val="85"/>
          <w:sz w:val="14"/>
        </w:rPr>
        <w:t> </w:t>
      </w:r>
      <w:r>
        <w:rPr>
          <w:rFonts w:ascii="Arial" w:hAnsi="Arial"/>
          <w:w w:val="85"/>
          <w:sz w:val="14"/>
        </w:rPr>
        <w:t>Arelene</w:t>
      </w:r>
      <w:r>
        <w:rPr>
          <w:rFonts w:ascii="Arial" w:hAnsi="Arial"/>
          <w:spacing w:val="-14"/>
          <w:w w:val="85"/>
          <w:sz w:val="14"/>
        </w:rPr>
        <w:t> </w:t>
      </w:r>
      <w:r>
        <w:rPr>
          <w:rFonts w:ascii="Arial" w:hAnsi="Arial"/>
          <w:w w:val="85"/>
          <w:sz w:val="14"/>
        </w:rPr>
        <w:t>Tickner,</w:t>
      </w:r>
      <w:r>
        <w:rPr>
          <w:rFonts w:ascii="Arial" w:hAnsi="Arial"/>
          <w:spacing w:val="-14"/>
          <w:w w:val="85"/>
          <w:sz w:val="14"/>
        </w:rPr>
        <w:t> </w:t>
      </w:r>
      <w:r>
        <w:rPr>
          <w:rFonts w:ascii="Arial" w:hAnsi="Arial"/>
          <w:i/>
          <w:w w:val="85"/>
          <w:sz w:val="14"/>
        </w:rPr>
        <w:t>Colombia,</w:t>
      </w:r>
      <w:r>
        <w:rPr>
          <w:rFonts w:ascii="Arial" w:hAnsi="Arial"/>
          <w:i/>
          <w:spacing w:val="-14"/>
          <w:w w:val="85"/>
          <w:sz w:val="14"/>
        </w:rPr>
        <w:t> </w:t>
      </w:r>
      <w:r>
        <w:rPr>
          <w:rFonts w:ascii="Arial" w:hAnsi="Arial"/>
          <w:i/>
          <w:w w:val="85"/>
          <w:sz w:val="14"/>
        </w:rPr>
        <w:t>the</w:t>
      </w:r>
      <w:r>
        <w:rPr>
          <w:rFonts w:ascii="Arial" w:hAnsi="Arial"/>
          <w:i/>
          <w:spacing w:val="-11"/>
          <w:w w:val="85"/>
          <w:sz w:val="14"/>
        </w:rPr>
        <w:t> </w:t>
      </w:r>
      <w:r>
        <w:rPr>
          <w:rFonts w:ascii="Arial" w:hAnsi="Arial"/>
          <w:i/>
          <w:w w:val="85"/>
          <w:sz w:val="14"/>
        </w:rPr>
        <w:t>United</w:t>
      </w:r>
      <w:r>
        <w:rPr>
          <w:rFonts w:ascii="Arial" w:hAnsi="Arial"/>
          <w:i/>
          <w:spacing w:val="-11"/>
          <w:w w:val="85"/>
          <w:sz w:val="14"/>
        </w:rPr>
        <w:t> </w:t>
      </w:r>
      <w:r>
        <w:rPr>
          <w:rFonts w:ascii="Arial" w:hAnsi="Arial"/>
          <w:i/>
          <w:w w:val="85"/>
          <w:sz w:val="14"/>
        </w:rPr>
        <w:t>States, </w:t>
      </w:r>
      <w:r>
        <w:rPr>
          <w:rFonts w:ascii="Arial" w:hAnsi="Arial"/>
          <w:i/>
          <w:w w:val="85"/>
          <w:sz w:val="14"/>
        </w:rPr>
        <w:t>and</w:t>
      </w:r>
      <w:r>
        <w:rPr>
          <w:rFonts w:ascii="Arial" w:hAnsi="Arial"/>
          <w:i/>
          <w:spacing w:val="-12"/>
          <w:w w:val="85"/>
          <w:sz w:val="14"/>
        </w:rPr>
        <w:t> </w:t>
      </w:r>
      <w:r>
        <w:rPr>
          <w:rFonts w:ascii="Arial" w:hAnsi="Arial"/>
          <w:i/>
          <w:w w:val="85"/>
          <w:sz w:val="14"/>
        </w:rPr>
        <w:t>Security</w:t>
      </w:r>
      <w:r>
        <w:rPr>
          <w:rFonts w:ascii="Arial" w:hAnsi="Arial"/>
          <w:i/>
          <w:spacing w:val="-12"/>
          <w:w w:val="85"/>
          <w:sz w:val="14"/>
        </w:rPr>
        <w:t> </w:t>
      </w:r>
      <w:r>
        <w:rPr>
          <w:rFonts w:ascii="Arial" w:hAnsi="Arial"/>
          <w:i/>
          <w:w w:val="85"/>
          <w:sz w:val="14"/>
        </w:rPr>
        <w:t>Cooperation</w:t>
      </w:r>
      <w:r>
        <w:rPr>
          <w:rFonts w:ascii="Arial" w:hAnsi="Arial"/>
          <w:i/>
          <w:spacing w:val="-12"/>
          <w:w w:val="85"/>
          <w:sz w:val="14"/>
        </w:rPr>
        <w:t> </w:t>
      </w:r>
      <w:r>
        <w:rPr>
          <w:rFonts w:ascii="Arial" w:hAnsi="Arial"/>
          <w:i/>
          <w:w w:val="85"/>
          <w:sz w:val="14"/>
        </w:rPr>
        <w:t>by</w:t>
      </w:r>
      <w:r>
        <w:rPr>
          <w:rFonts w:ascii="Arial" w:hAnsi="Arial"/>
          <w:i/>
          <w:spacing w:val="-12"/>
          <w:w w:val="85"/>
          <w:sz w:val="14"/>
        </w:rPr>
        <w:t> </w:t>
      </w:r>
      <w:r>
        <w:rPr>
          <w:rFonts w:ascii="Arial" w:hAnsi="Arial"/>
          <w:i/>
          <w:w w:val="85"/>
          <w:sz w:val="14"/>
        </w:rPr>
        <w:t>Proxy</w:t>
      </w:r>
      <w:r>
        <w:rPr>
          <w:rFonts w:ascii="Arial" w:hAnsi="Arial"/>
          <w:w w:val="85"/>
          <w:sz w:val="14"/>
        </w:rPr>
        <w:t>,</w:t>
      </w:r>
      <w:r>
        <w:rPr>
          <w:rFonts w:ascii="Arial" w:hAnsi="Arial"/>
          <w:spacing w:val="-19"/>
          <w:w w:val="85"/>
          <w:sz w:val="14"/>
        </w:rPr>
        <w:t> </w:t>
      </w:r>
      <w:r>
        <w:rPr>
          <w:rFonts w:ascii="Arial" w:hAnsi="Arial"/>
          <w:w w:val="85"/>
          <w:sz w:val="14"/>
        </w:rPr>
        <w:t>Washington</w:t>
      </w:r>
      <w:r>
        <w:rPr>
          <w:rFonts w:ascii="Arial" w:hAnsi="Arial"/>
          <w:spacing w:val="-12"/>
          <w:w w:val="85"/>
          <w:sz w:val="14"/>
        </w:rPr>
        <w:t> </w:t>
      </w:r>
      <w:r>
        <w:rPr>
          <w:rFonts w:ascii="Arial" w:hAnsi="Arial"/>
          <w:w w:val="85"/>
          <w:sz w:val="14"/>
        </w:rPr>
        <w:t>Office</w:t>
      </w:r>
      <w:r>
        <w:rPr>
          <w:rFonts w:ascii="Arial" w:hAnsi="Arial"/>
          <w:spacing w:val="-12"/>
          <w:w w:val="85"/>
          <w:sz w:val="14"/>
        </w:rPr>
        <w:t> </w:t>
      </w:r>
      <w:r>
        <w:rPr>
          <w:rFonts w:ascii="Arial" w:hAnsi="Arial"/>
          <w:w w:val="85"/>
          <w:sz w:val="14"/>
        </w:rPr>
        <w:t>on</w:t>
      </w:r>
      <w:r>
        <w:rPr>
          <w:rFonts w:ascii="Arial" w:hAnsi="Arial"/>
          <w:spacing w:val="-12"/>
          <w:w w:val="85"/>
          <w:sz w:val="14"/>
        </w:rPr>
        <w:t> </w:t>
      </w:r>
      <w:r>
        <w:rPr>
          <w:rFonts w:ascii="Arial" w:hAnsi="Arial"/>
          <w:w w:val="85"/>
          <w:sz w:val="14"/>
        </w:rPr>
        <w:t>Latin</w:t>
      </w:r>
      <w:r>
        <w:rPr>
          <w:rFonts w:ascii="Arial" w:hAnsi="Arial"/>
          <w:spacing w:val="-15"/>
          <w:w w:val="85"/>
          <w:sz w:val="14"/>
        </w:rPr>
        <w:t> </w:t>
      </w:r>
      <w:r>
        <w:rPr>
          <w:rFonts w:ascii="Arial" w:hAnsi="Arial"/>
          <w:w w:val="85"/>
          <w:sz w:val="14"/>
        </w:rPr>
        <w:t>America,</w:t>
      </w:r>
      <w:r>
        <w:rPr>
          <w:rFonts w:ascii="Arial" w:hAnsi="Arial"/>
          <w:spacing w:val="-15"/>
          <w:w w:val="85"/>
          <w:sz w:val="14"/>
        </w:rPr>
        <w:t> </w:t>
      </w:r>
      <w:r>
        <w:rPr>
          <w:rFonts w:ascii="Arial" w:hAnsi="Arial"/>
          <w:w w:val="85"/>
          <w:sz w:val="14"/>
        </w:rPr>
        <w:t>marzo</w:t>
      </w:r>
      <w:r>
        <w:rPr>
          <w:rFonts w:ascii="Arial" w:hAnsi="Arial"/>
          <w:spacing w:val="-12"/>
          <w:w w:val="85"/>
          <w:sz w:val="14"/>
        </w:rPr>
        <w:t> </w:t>
      </w:r>
      <w:r>
        <w:rPr>
          <w:rFonts w:ascii="Arial" w:hAnsi="Arial"/>
          <w:w w:val="85"/>
          <w:sz w:val="14"/>
        </w:rPr>
        <w:t>de</w:t>
      </w:r>
      <w:r>
        <w:rPr>
          <w:rFonts w:ascii="Arial" w:hAnsi="Arial"/>
          <w:spacing w:val="-12"/>
          <w:w w:val="85"/>
          <w:sz w:val="14"/>
        </w:rPr>
        <w:t> </w:t>
      </w:r>
      <w:r>
        <w:rPr>
          <w:rFonts w:ascii="Arial" w:hAnsi="Arial"/>
          <w:w w:val="85"/>
          <w:sz w:val="14"/>
        </w:rPr>
        <w:t>2014.</w:t>
      </w:r>
    </w:p>
    <w:p>
      <w:pPr>
        <w:pStyle w:val="BodyText"/>
        <w:rPr>
          <w:rFonts w:ascii="Arial"/>
          <w:sz w:val="14"/>
        </w:rPr>
      </w:pPr>
    </w:p>
    <w:p>
      <w:pPr>
        <w:pStyle w:val="BodyText"/>
        <w:spacing w:before="10"/>
        <w:rPr>
          <w:rFonts w:ascii="Arial"/>
          <w:sz w:val="20"/>
        </w:rPr>
      </w:pPr>
    </w:p>
    <w:p>
      <w:pPr>
        <w:pStyle w:val="BodyText"/>
        <w:spacing w:line="252" w:lineRule="auto"/>
        <w:ind w:left="850" w:right="118"/>
        <w:jc w:val="both"/>
      </w:pPr>
      <w:r>
        <w:rPr>
          <w:w w:val="115"/>
        </w:rPr>
        <w:t>según las documentadas denuncias que han formulado algunas</w:t>
      </w:r>
      <w:r>
        <w:rPr>
          <w:spacing w:val="-21"/>
          <w:w w:val="115"/>
        </w:rPr>
        <w:t> </w:t>
      </w:r>
      <w:r>
        <w:rPr>
          <w:w w:val="115"/>
        </w:rPr>
        <w:t>ins- </w:t>
      </w:r>
      <w:r>
        <w:rPr>
          <w:w w:val="110"/>
        </w:rPr>
        <w:t>tituciones académicas y no gubernamentales estadounidenses –como </w:t>
      </w:r>
      <w:r>
        <w:rPr>
          <w:w w:val="120"/>
        </w:rPr>
        <w:t>son los casos del </w:t>
      </w:r>
      <w:r>
        <w:rPr>
          <w:spacing w:val="-7"/>
          <w:w w:val="120"/>
        </w:rPr>
        <w:t>CiP, </w:t>
      </w:r>
      <w:r>
        <w:rPr>
          <w:w w:val="120"/>
        </w:rPr>
        <w:t>del </w:t>
      </w:r>
      <w:r>
        <w:rPr>
          <w:spacing w:val="-3"/>
          <w:w w:val="120"/>
        </w:rPr>
        <w:t>laWGEF </w:t>
      </w:r>
      <w:r>
        <w:rPr>
          <w:w w:val="120"/>
        </w:rPr>
        <w:t>y de </w:t>
      </w:r>
      <w:r>
        <w:rPr>
          <w:w w:val="125"/>
        </w:rPr>
        <w:t>Wola </w:t>
      </w:r>
      <w:r>
        <w:rPr>
          <w:w w:val="120"/>
        </w:rPr>
        <w:t>(por sus respectivas </w:t>
      </w:r>
      <w:r>
        <w:rPr>
          <w:w w:val="115"/>
        </w:rPr>
        <w:t>siglas</w:t>
      </w:r>
      <w:r>
        <w:rPr>
          <w:spacing w:val="-23"/>
          <w:w w:val="115"/>
        </w:rPr>
        <w:t> </w:t>
      </w:r>
      <w:r>
        <w:rPr>
          <w:w w:val="115"/>
        </w:rPr>
        <w:t>en</w:t>
      </w:r>
      <w:r>
        <w:rPr>
          <w:spacing w:val="-23"/>
          <w:w w:val="115"/>
        </w:rPr>
        <w:t> </w:t>
      </w:r>
      <w:r>
        <w:rPr>
          <w:w w:val="115"/>
        </w:rPr>
        <w:t>inglés)–</w:t>
      </w:r>
      <w:r>
        <w:rPr>
          <w:spacing w:val="-23"/>
          <w:w w:val="115"/>
        </w:rPr>
        <w:t> </w:t>
      </w:r>
      <w:r>
        <w:rPr>
          <w:w w:val="115"/>
        </w:rPr>
        <w:t>la</w:t>
      </w:r>
      <w:r>
        <w:rPr>
          <w:spacing w:val="-23"/>
          <w:w w:val="115"/>
        </w:rPr>
        <w:t> </w:t>
      </w:r>
      <w:r>
        <w:rPr>
          <w:w w:val="115"/>
        </w:rPr>
        <w:t>provisión</w:t>
      </w:r>
      <w:r>
        <w:rPr>
          <w:spacing w:val="-23"/>
          <w:w w:val="115"/>
        </w:rPr>
        <w:t> </w:t>
      </w:r>
      <w:r>
        <w:rPr>
          <w:w w:val="115"/>
        </w:rPr>
        <w:t>de</w:t>
      </w:r>
      <w:r>
        <w:rPr>
          <w:spacing w:val="-23"/>
          <w:w w:val="115"/>
        </w:rPr>
        <w:t> </w:t>
      </w:r>
      <w:r>
        <w:rPr>
          <w:w w:val="115"/>
        </w:rPr>
        <w:t>esos</w:t>
      </w:r>
      <w:r>
        <w:rPr>
          <w:spacing w:val="-23"/>
          <w:w w:val="115"/>
        </w:rPr>
        <w:t> </w:t>
      </w:r>
      <w:r>
        <w:rPr>
          <w:w w:val="115"/>
        </w:rPr>
        <w:t>entrenamientos</w:t>
      </w:r>
      <w:r>
        <w:rPr>
          <w:spacing w:val="-23"/>
          <w:w w:val="115"/>
        </w:rPr>
        <w:t> </w:t>
      </w:r>
      <w:r>
        <w:rPr>
          <w:w w:val="115"/>
        </w:rPr>
        <w:t>a</w:t>
      </w:r>
      <w:r>
        <w:rPr>
          <w:spacing w:val="-23"/>
          <w:w w:val="115"/>
        </w:rPr>
        <w:t> </w:t>
      </w:r>
      <w:r>
        <w:rPr>
          <w:w w:val="115"/>
        </w:rPr>
        <w:t>oficiales</w:t>
      </w:r>
      <w:r>
        <w:rPr>
          <w:spacing w:val="-23"/>
          <w:w w:val="115"/>
        </w:rPr>
        <w:t> </w:t>
      </w:r>
      <w:r>
        <w:rPr>
          <w:w w:val="115"/>
        </w:rPr>
        <w:t>mili- tares</w:t>
      </w:r>
      <w:r>
        <w:rPr>
          <w:spacing w:val="-18"/>
          <w:w w:val="115"/>
        </w:rPr>
        <w:t> </w:t>
      </w:r>
      <w:r>
        <w:rPr>
          <w:w w:val="115"/>
        </w:rPr>
        <w:t>y</w:t>
      </w:r>
      <w:r>
        <w:rPr>
          <w:spacing w:val="-18"/>
          <w:w w:val="115"/>
        </w:rPr>
        <w:t> </w:t>
      </w:r>
      <w:r>
        <w:rPr>
          <w:w w:val="115"/>
        </w:rPr>
        <w:t>policiales</w:t>
      </w:r>
      <w:r>
        <w:rPr>
          <w:spacing w:val="-18"/>
          <w:w w:val="115"/>
        </w:rPr>
        <w:t> </w:t>
      </w:r>
      <w:r>
        <w:rPr>
          <w:w w:val="115"/>
        </w:rPr>
        <w:t>de</w:t>
      </w:r>
      <w:r>
        <w:rPr>
          <w:spacing w:val="-18"/>
          <w:w w:val="115"/>
        </w:rPr>
        <w:t> </w:t>
      </w:r>
      <w:r>
        <w:rPr>
          <w:w w:val="115"/>
        </w:rPr>
        <w:t>diversos</w:t>
      </w:r>
      <w:r>
        <w:rPr>
          <w:spacing w:val="-18"/>
          <w:w w:val="115"/>
        </w:rPr>
        <w:t> </w:t>
      </w:r>
      <w:r>
        <w:rPr>
          <w:w w:val="115"/>
        </w:rPr>
        <w:t>países</w:t>
      </w:r>
      <w:r>
        <w:rPr>
          <w:spacing w:val="-18"/>
          <w:w w:val="115"/>
        </w:rPr>
        <w:t> </w:t>
      </w:r>
      <w:r>
        <w:rPr>
          <w:w w:val="115"/>
        </w:rPr>
        <w:t>por</w:t>
      </w:r>
      <w:r>
        <w:rPr>
          <w:spacing w:val="-18"/>
          <w:w w:val="115"/>
        </w:rPr>
        <w:t> </w:t>
      </w:r>
      <w:r>
        <w:rPr>
          <w:w w:val="115"/>
        </w:rPr>
        <w:t>parte</w:t>
      </w:r>
      <w:r>
        <w:rPr>
          <w:spacing w:val="-18"/>
          <w:w w:val="115"/>
        </w:rPr>
        <w:t> </w:t>
      </w:r>
      <w:r>
        <w:rPr>
          <w:w w:val="115"/>
        </w:rPr>
        <w:t>de</w:t>
      </w:r>
      <w:r>
        <w:rPr>
          <w:spacing w:val="-18"/>
          <w:w w:val="115"/>
        </w:rPr>
        <w:t> </w:t>
      </w:r>
      <w:r>
        <w:rPr>
          <w:w w:val="115"/>
        </w:rPr>
        <w:t>las</w:t>
      </w:r>
      <w:r>
        <w:rPr>
          <w:spacing w:val="-18"/>
          <w:w w:val="115"/>
        </w:rPr>
        <w:t> </w:t>
      </w:r>
      <w:r>
        <w:rPr>
          <w:w w:val="115"/>
        </w:rPr>
        <w:t>fuerzas</w:t>
      </w:r>
      <w:r>
        <w:rPr>
          <w:spacing w:val="-18"/>
          <w:w w:val="115"/>
        </w:rPr>
        <w:t> </w:t>
      </w:r>
      <w:r>
        <w:rPr>
          <w:w w:val="115"/>
        </w:rPr>
        <w:t>militares colombianas formará parte del </w:t>
      </w:r>
      <w:r>
        <w:rPr>
          <w:i/>
          <w:w w:val="115"/>
        </w:rPr>
        <w:t>Plan de Acción sobre Cooperación</w:t>
      </w:r>
      <w:r>
        <w:rPr>
          <w:i/>
          <w:spacing w:val="-3"/>
          <w:w w:val="115"/>
        </w:rPr>
        <w:t> </w:t>
      </w:r>
      <w:r>
        <w:rPr>
          <w:i/>
          <w:w w:val="115"/>
        </w:rPr>
        <w:t>en </w:t>
      </w:r>
      <w:r>
        <w:rPr>
          <w:i/>
          <w:w w:val="115"/>
        </w:rPr>
        <w:t>Seguridad Regional </w:t>
      </w:r>
      <w:r>
        <w:rPr>
          <w:w w:val="115"/>
        </w:rPr>
        <w:t>aprobado en 2012 por los gobiernos de</w:t>
      </w:r>
      <w:r>
        <w:rPr>
          <w:spacing w:val="-29"/>
          <w:w w:val="115"/>
        </w:rPr>
        <w:t> </w:t>
      </w:r>
      <w:r>
        <w:rPr>
          <w:w w:val="115"/>
        </w:rPr>
        <w:t>Estados </w:t>
      </w:r>
      <w:r>
        <w:rPr>
          <w:w w:val="120"/>
        </w:rPr>
        <w:t>unidos</w:t>
      </w:r>
      <w:r>
        <w:rPr>
          <w:spacing w:val="-26"/>
          <w:w w:val="120"/>
        </w:rPr>
        <w:t> </w:t>
      </w:r>
      <w:r>
        <w:rPr>
          <w:w w:val="120"/>
        </w:rPr>
        <w:t>y</w:t>
      </w:r>
      <w:r>
        <w:rPr>
          <w:spacing w:val="-26"/>
          <w:w w:val="120"/>
        </w:rPr>
        <w:t> </w:t>
      </w:r>
      <w:r>
        <w:rPr>
          <w:w w:val="120"/>
        </w:rPr>
        <w:t>de</w:t>
      </w:r>
      <w:r>
        <w:rPr>
          <w:spacing w:val="-26"/>
          <w:w w:val="120"/>
        </w:rPr>
        <w:t> </w:t>
      </w:r>
      <w:r>
        <w:rPr>
          <w:w w:val="120"/>
        </w:rPr>
        <w:t>Colombia</w:t>
      </w:r>
      <w:r>
        <w:rPr>
          <w:spacing w:val="-26"/>
          <w:w w:val="120"/>
        </w:rPr>
        <w:t> </w:t>
      </w:r>
      <w:r>
        <w:rPr>
          <w:w w:val="120"/>
        </w:rPr>
        <w:t>en</w:t>
      </w:r>
      <w:r>
        <w:rPr>
          <w:spacing w:val="-26"/>
          <w:w w:val="120"/>
        </w:rPr>
        <w:t> </w:t>
      </w:r>
      <w:r>
        <w:rPr>
          <w:w w:val="120"/>
        </w:rPr>
        <w:t>las</w:t>
      </w:r>
      <w:r>
        <w:rPr>
          <w:spacing w:val="-26"/>
          <w:w w:val="120"/>
        </w:rPr>
        <w:t> </w:t>
      </w:r>
      <w:r>
        <w:rPr>
          <w:w w:val="120"/>
        </w:rPr>
        <w:t>diversas</w:t>
      </w:r>
      <w:r>
        <w:rPr>
          <w:spacing w:val="-26"/>
          <w:w w:val="120"/>
        </w:rPr>
        <w:t> </w:t>
      </w:r>
      <w:r>
        <w:rPr>
          <w:w w:val="120"/>
        </w:rPr>
        <w:t>sesiones</w:t>
      </w:r>
      <w:r>
        <w:rPr>
          <w:spacing w:val="-26"/>
          <w:w w:val="120"/>
        </w:rPr>
        <w:t> </w:t>
      </w:r>
      <w:r>
        <w:rPr>
          <w:w w:val="120"/>
        </w:rPr>
        <w:t>del</w:t>
      </w:r>
      <w:r>
        <w:rPr>
          <w:spacing w:val="-26"/>
          <w:w w:val="120"/>
        </w:rPr>
        <w:t> </w:t>
      </w:r>
      <w:r>
        <w:rPr>
          <w:w w:val="120"/>
        </w:rPr>
        <w:t>“diálogo</w:t>
      </w:r>
      <w:r>
        <w:rPr>
          <w:spacing w:val="-26"/>
          <w:w w:val="120"/>
        </w:rPr>
        <w:t> </w:t>
      </w:r>
      <w:r>
        <w:rPr>
          <w:w w:val="120"/>
        </w:rPr>
        <w:t>de</w:t>
      </w:r>
      <w:r>
        <w:rPr>
          <w:spacing w:val="-26"/>
          <w:w w:val="120"/>
        </w:rPr>
        <w:t> </w:t>
      </w:r>
      <w:r>
        <w:rPr>
          <w:w w:val="120"/>
        </w:rPr>
        <w:t>segu-</w:t>
      </w:r>
    </w:p>
    <w:p>
      <w:pPr>
        <w:spacing w:after="0" w:line="252" w:lineRule="auto"/>
        <w:jc w:val="both"/>
        <w:sectPr>
          <w:pgSz w:w="8790" w:h="12760"/>
          <w:pgMar w:header="695" w:footer="725" w:top="880" w:bottom="920" w:left="680" w:right="900"/>
        </w:sectPr>
      </w:pPr>
    </w:p>
    <w:p>
      <w:pPr>
        <w:pStyle w:val="BodyText"/>
        <w:spacing w:before="9"/>
        <w:rPr>
          <w:sz w:val="28"/>
        </w:rPr>
      </w:pPr>
    </w:p>
    <w:p>
      <w:pPr>
        <w:pStyle w:val="BodyText"/>
        <w:spacing w:line="252" w:lineRule="auto" w:before="73"/>
        <w:ind w:left="100" w:right="328"/>
        <w:jc w:val="both"/>
      </w:pPr>
      <w:r>
        <w:rPr>
          <w:w w:val="110"/>
        </w:rPr>
        <w:t>ridad Estratégica de alto Nivel” que, desde hace varios años, se viene desarrollando entre los Ministros de relaciones Exteriores y de de- fensa de ambos países (isacson </w:t>
      </w:r>
      <w:r>
        <w:rPr>
          <w:i/>
          <w:w w:val="110"/>
        </w:rPr>
        <w:t>et al.</w:t>
      </w:r>
      <w:r>
        <w:rPr>
          <w:w w:val="110"/>
        </w:rPr>
        <w:t>, 2013). a decir del comunicado de prensa conjunto difundido por el departamento de Estado (Ed) en abril de 2012, en los próximos</w:t>
      </w:r>
      <w:r>
        <w:rPr>
          <w:spacing w:val="17"/>
          <w:w w:val="110"/>
        </w:rPr>
        <w:t> </w:t>
      </w:r>
      <w:r>
        <w:rPr>
          <w:w w:val="110"/>
        </w:rPr>
        <w:t>años:</w:t>
      </w:r>
    </w:p>
    <w:p>
      <w:pPr>
        <w:pStyle w:val="BodyText"/>
        <w:spacing w:before="11"/>
        <w:rPr>
          <w:sz w:val="18"/>
        </w:rPr>
      </w:pPr>
    </w:p>
    <w:p>
      <w:pPr>
        <w:spacing w:before="0"/>
        <w:ind w:left="497" w:right="327" w:firstLine="0"/>
        <w:jc w:val="both"/>
        <w:rPr>
          <w:sz w:val="18"/>
        </w:rPr>
      </w:pPr>
      <w:r>
        <w:rPr>
          <w:w w:val="110"/>
          <w:sz w:val="18"/>
        </w:rPr>
        <w:t>ambos países desarrollarán programas complementarios de asisten- cia</w:t>
      </w:r>
      <w:r>
        <w:rPr>
          <w:spacing w:val="-6"/>
          <w:w w:val="110"/>
          <w:sz w:val="18"/>
        </w:rPr>
        <w:t> </w:t>
      </w:r>
      <w:r>
        <w:rPr>
          <w:w w:val="110"/>
          <w:sz w:val="18"/>
        </w:rPr>
        <w:t>en</w:t>
      </w:r>
      <w:r>
        <w:rPr>
          <w:spacing w:val="-6"/>
          <w:w w:val="110"/>
          <w:sz w:val="18"/>
        </w:rPr>
        <w:t> </w:t>
      </w:r>
      <w:r>
        <w:rPr>
          <w:w w:val="110"/>
          <w:sz w:val="18"/>
        </w:rPr>
        <w:t>seguridad</w:t>
      </w:r>
      <w:r>
        <w:rPr>
          <w:spacing w:val="-6"/>
          <w:w w:val="110"/>
          <w:sz w:val="18"/>
        </w:rPr>
        <w:t> </w:t>
      </w:r>
      <w:r>
        <w:rPr>
          <w:w w:val="110"/>
          <w:sz w:val="18"/>
        </w:rPr>
        <w:t>y</w:t>
      </w:r>
      <w:r>
        <w:rPr>
          <w:spacing w:val="-6"/>
          <w:w w:val="110"/>
          <w:sz w:val="18"/>
        </w:rPr>
        <w:t> </w:t>
      </w:r>
      <w:r>
        <w:rPr>
          <w:w w:val="110"/>
          <w:sz w:val="18"/>
        </w:rPr>
        <w:t>acciones</w:t>
      </w:r>
      <w:r>
        <w:rPr>
          <w:spacing w:val="-6"/>
          <w:w w:val="110"/>
          <w:sz w:val="18"/>
        </w:rPr>
        <w:t> </w:t>
      </w:r>
      <w:r>
        <w:rPr>
          <w:w w:val="110"/>
          <w:sz w:val="18"/>
        </w:rPr>
        <w:t>operativas</w:t>
      </w:r>
      <w:r>
        <w:rPr>
          <w:spacing w:val="-6"/>
          <w:w w:val="110"/>
          <w:sz w:val="18"/>
        </w:rPr>
        <w:t> </w:t>
      </w:r>
      <w:r>
        <w:rPr>
          <w:w w:val="110"/>
          <w:sz w:val="18"/>
        </w:rPr>
        <w:t>para</w:t>
      </w:r>
      <w:r>
        <w:rPr>
          <w:spacing w:val="-6"/>
          <w:w w:val="110"/>
          <w:sz w:val="18"/>
        </w:rPr>
        <w:t> </w:t>
      </w:r>
      <w:r>
        <w:rPr>
          <w:w w:val="110"/>
          <w:sz w:val="18"/>
        </w:rPr>
        <w:t>apoyar</w:t>
      </w:r>
      <w:r>
        <w:rPr>
          <w:spacing w:val="-6"/>
          <w:w w:val="110"/>
          <w:sz w:val="18"/>
        </w:rPr>
        <w:t> </w:t>
      </w:r>
      <w:r>
        <w:rPr>
          <w:w w:val="110"/>
          <w:sz w:val="18"/>
        </w:rPr>
        <w:t>a</w:t>
      </w:r>
      <w:r>
        <w:rPr>
          <w:spacing w:val="-6"/>
          <w:w w:val="110"/>
          <w:sz w:val="18"/>
        </w:rPr>
        <w:t> </w:t>
      </w:r>
      <w:r>
        <w:rPr>
          <w:w w:val="110"/>
          <w:sz w:val="18"/>
        </w:rPr>
        <w:t>naciones</w:t>
      </w:r>
      <w:r>
        <w:rPr>
          <w:spacing w:val="-6"/>
          <w:w w:val="110"/>
          <w:sz w:val="18"/>
        </w:rPr>
        <w:t> </w:t>
      </w:r>
      <w:r>
        <w:rPr>
          <w:w w:val="110"/>
          <w:sz w:val="18"/>
        </w:rPr>
        <w:t>aliadas en el hemisferio y [en] el ámbito internacional que están afligidas por los efectos del crimen organizado transnacional. una mayor coordi- nación de las actividades de apoyo en defensa y seguridad entre los Estados</w:t>
      </w:r>
      <w:r>
        <w:rPr>
          <w:spacing w:val="-8"/>
          <w:w w:val="110"/>
          <w:sz w:val="18"/>
        </w:rPr>
        <w:t> </w:t>
      </w:r>
      <w:r>
        <w:rPr>
          <w:w w:val="110"/>
          <w:sz w:val="18"/>
        </w:rPr>
        <w:t>unidos</w:t>
      </w:r>
      <w:r>
        <w:rPr>
          <w:spacing w:val="-8"/>
          <w:w w:val="110"/>
          <w:sz w:val="18"/>
        </w:rPr>
        <w:t> </w:t>
      </w:r>
      <w:r>
        <w:rPr>
          <w:w w:val="110"/>
          <w:sz w:val="18"/>
        </w:rPr>
        <w:t>y</w:t>
      </w:r>
      <w:r>
        <w:rPr>
          <w:spacing w:val="-8"/>
          <w:w w:val="110"/>
          <w:sz w:val="18"/>
        </w:rPr>
        <w:t> </w:t>
      </w:r>
      <w:r>
        <w:rPr>
          <w:w w:val="110"/>
          <w:sz w:val="18"/>
        </w:rPr>
        <w:t>Colombia</w:t>
      </w:r>
      <w:r>
        <w:rPr>
          <w:spacing w:val="-8"/>
          <w:w w:val="110"/>
          <w:sz w:val="18"/>
        </w:rPr>
        <w:t> </w:t>
      </w:r>
      <w:r>
        <w:rPr>
          <w:w w:val="110"/>
          <w:sz w:val="18"/>
        </w:rPr>
        <w:t>[…]</w:t>
      </w:r>
      <w:r>
        <w:rPr>
          <w:spacing w:val="-8"/>
          <w:w w:val="110"/>
          <w:sz w:val="18"/>
        </w:rPr>
        <w:t> </w:t>
      </w:r>
      <w:r>
        <w:rPr>
          <w:i/>
          <w:w w:val="110"/>
          <w:sz w:val="18"/>
        </w:rPr>
        <w:t>apoyará</w:t>
      </w:r>
      <w:r>
        <w:rPr>
          <w:i/>
          <w:spacing w:val="-8"/>
          <w:w w:val="110"/>
          <w:sz w:val="18"/>
        </w:rPr>
        <w:t> </w:t>
      </w:r>
      <w:r>
        <w:rPr>
          <w:i/>
          <w:w w:val="110"/>
          <w:sz w:val="18"/>
        </w:rPr>
        <w:t>estrategias</w:t>
      </w:r>
      <w:r>
        <w:rPr>
          <w:i/>
          <w:spacing w:val="-8"/>
          <w:w w:val="110"/>
          <w:sz w:val="18"/>
        </w:rPr>
        <w:t> </w:t>
      </w:r>
      <w:r>
        <w:rPr>
          <w:i/>
          <w:w w:val="110"/>
          <w:sz w:val="18"/>
        </w:rPr>
        <w:t>del</w:t>
      </w:r>
      <w:r>
        <w:rPr>
          <w:i/>
          <w:spacing w:val="-8"/>
          <w:w w:val="110"/>
          <w:sz w:val="18"/>
        </w:rPr>
        <w:t> </w:t>
      </w:r>
      <w:r>
        <w:rPr>
          <w:i/>
          <w:w w:val="110"/>
          <w:sz w:val="18"/>
        </w:rPr>
        <w:t>gobierno</w:t>
      </w:r>
      <w:r>
        <w:rPr>
          <w:i/>
          <w:spacing w:val="-8"/>
          <w:w w:val="110"/>
          <w:sz w:val="18"/>
        </w:rPr>
        <w:t> </w:t>
      </w:r>
      <w:r>
        <w:rPr>
          <w:i/>
          <w:w w:val="110"/>
          <w:sz w:val="18"/>
        </w:rPr>
        <w:t>[esta- </w:t>
      </w:r>
      <w:r>
        <w:rPr>
          <w:i/>
          <w:w w:val="110"/>
          <w:sz w:val="18"/>
        </w:rPr>
        <w:t>dounidense] en su conjunto y producirá un mayor efecto a lo largo del hemisferio y de África occidental </w:t>
      </w:r>
      <w:r>
        <w:rPr>
          <w:w w:val="110"/>
          <w:sz w:val="18"/>
        </w:rPr>
        <w:t>(Ed, 2012, las cursivas pertenecen al autor</w:t>
      </w:r>
      <w:r>
        <w:rPr>
          <w:spacing w:val="-13"/>
          <w:w w:val="110"/>
          <w:sz w:val="18"/>
        </w:rPr>
        <w:t> </w:t>
      </w:r>
      <w:r>
        <w:rPr>
          <w:w w:val="110"/>
          <w:sz w:val="18"/>
        </w:rPr>
        <w:t>de</w:t>
      </w:r>
      <w:r>
        <w:rPr>
          <w:spacing w:val="-13"/>
          <w:w w:val="110"/>
          <w:sz w:val="18"/>
        </w:rPr>
        <w:t> </w:t>
      </w:r>
      <w:r>
        <w:rPr>
          <w:w w:val="110"/>
          <w:sz w:val="18"/>
        </w:rPr>
        <w:t>este</w:t>
      </w:r>
      <w:r>
        <w:rPr>
          <w:spacing w:val="-13"/>
          <w:w w:val="110"/>
          <w:sz w:val="18"/>
        </w:rPr>
        <w:t> </w:t>
      </w:r>
      <w:r>
        <w:rPr>
          <w:w w:val="110"/>
          <w:sz w:val="18"/>
        </w:rPr>
        <w:t>ensayo).</w:t>
      </w:r>
    </w:p>
    <w:p>
      <w:pPr>
        <w:pStyle w:val="BodyText"/>
        <w:spacing w:before="1"/>
        <w:rPr>
          <w:sz w:val="21"/>
        </w:rPr>
      </w:pPr>
    </w:p>
    <w:p>
      <w:pPr>
        <w:pStyle w:val="BodyText"/>
        <w:spacing w:line="252" w:lineRule="auto"/>
        <w:ind w:left="100" w:right="327"/>
        <w:jc w:val="both"/>
      </w:pPr>
      <w:r>
        <w:rPr>
          <w:w w:val="110"/>
        </w:rPr>
        <w:t>Esos acuerdos deben haberse consolidado y eventualmente amplia- do durante la Cuarta sesión de los diálogos de alto Nivel entre los actuales gobiernos de Colombia y los Estados unidos efectuada en Washington a fines de febrero de 2014; ya que, según había declarado previamente el Embajador colombiano en Washington, en esas reu- niones el Ministro de defensa, Juan Carlos Pinzón, y la ministra de relaciones Exteriores, María Ángela Holguín, tenían previsto </w:t>
      </w:r>
      <w:r>
        <w:rPr>
          <w:spacing w:val="-3"/>
          <w:w w:val="110"/>
        </w:rPr>
        <w:t>abordar, </w:t>
      </w:r>
      <w:r>
        <w:rPr>
          <w:w w:val="110"/>
        </w:rPr>
        <w:t>entre otros temas, la cooperación militar y en el campo de la seguri- dad entre los gobiernos de Colombia y los Estados unidos cuando eventualmente culminen las conversaciones de paz dentro de la gue- </w:t>
      </w:r>
      <w:r>
        <w:rPr>
          <w:w w:val="107"/>
        </w:rPr>
        <w:t>rra</w:t>
      </w:r>
      <w:r>
        <w:rPr/>
        <w:t> </w:t>
      </w:r>
      <w:r>
        <w:rPr>
          <w:spacing w:val="-17"/>
        </w:rPr>
        <w:t> </w:t>
      </w:r>
      <w:r>
        <w:rPr>
          <w:w w:val="108"/>
        </w:rPr>
        <w:t>que</w:t>
      </w:r>
      <w:r>
        <w:rPr/>
        <w:t> </w:t>
      </w:r>
      <w:r>
        <w:rPr>
          <w:spacing w:val="-17"/>
        </w:rPr>
        <w:t> </w:t>
      </w:r>
      <w:r>
        <w:rPr>
          <w:w w:val="106"/>
        </w:rPr>
        <w:t>desde</w:t>
      </w:r>
      <w:r>
        <w:rPr/>
        <w:t> </w:t>
      </w:r>
      <w:r>
        <w:rPr>
          <w:spacing w:val="-17"/>
        </w:rPr>
        <w:t> </w:t>
      </w:r>
      <w:r>
        <w:rPr>
          <w:w w:val="109"/>
        </w:rPr>
        <w:t>octubre</w:t>
      </w:r>
      <w:r>
        <w:rPr/>
        <w:t> </w:t>
      </w:r>
      <w:r>
        <w:rPr>
          <w:spacing w:val="-17"/>
        </w:rPr>
        <w:t> </w:t>
      </w:r>
      <w:r>
        <w:rPr>
          <w:w w:val="107"/>
        </w:rPr>
        <w:t>de</w:t>
      </w:r>
      <w:r>
        <w:rPr/>
        <w:t> </w:t>
      </w:r>
      <w:r>
        <w:rPr>
          <w:spacing w:val="-17"/>
        </w:rPr>
        <w:t> </w:t>
      </w:r>
      <w:r>
        <w:rPr>
          <w:w w:val="102"/>
        </w:rPr>
        <w:t>2012</w:t>
      </w:r>
      <w:r>
        <w:rPr/>
        <w:t> </w:t>
      </w:r>
      <w:r>
        <w:rPr>
          <w:spacing w:val="-17"/>
        </w:rPr>
        <w:t> </w:t>
      </w:r>
      <w:r>
        <w:rPr>
          <w:w w:val="105"/>
        </w:rPr>
        <w:t>se</w:t>
      </w:r>
      <w:r>
        <w:rPr/>
        <w:t> </w:t>
      </w:r>
      <w:r>
        <w:rPr>
          <w:spacing w:val="-17"/>
        </w:rPr>
        <w:t> </w:t>
      </w:r>
      <w:r>
        <w:rPr>
          <w:w w:val="108"/>
        </w:rPr>
        <w:t>están</w:t>
      </w:r>
      <w:r>
        <w:rPr/>
        <w:t> </w:t>
      </w:r>
      <w:r>
        <w:rPr>
          <w:spacing w:val="-17"/>
        </w:rPr>
        <w:t> </w:t>
      </w:r>
      <w:r>
        <w:rPr>
          <w:w w:val="109"/>
        </w:rPr>
        <w:t>desarrollando</w:t>
      </w:r>
      <w:r>
        <w:rPr/>
        <w:t> </w:t>
      </w:r>
      <w:r>
        <w:rPr>
          <w:spacing w:val="-17"/>
        </w:rPr>
        <w:t> </w:t>
      </w:r>
      <w:r>
        <w:rPr>
          <w:w w:val="108"/>
        </w:rPr>
        <w:t>en</w:t>
      </w:r>
      <w:r>
        <w:rPr/>
        <w:t> </w:t>
      </w:r>
      <w:r>
        <w:rPr>
          <w:spacing w:val="-17"/>
        </w:rPr>
        <w:t> </w:t>
      </w:r>
      <w:r>
        <w:rPr>
          <w:w w:val="243"/>
        </w:rPr>
        <w:t>l</w:t>
      </w:r>
      <w:r>
        <w:rPr>
          <w:w w:val="112"/>
        </w:rPr>
        <w:t>a</w:t>
      </w:r>
      <w:r>
        <w:rPr/>
        <w:t> </w:t>
      </w:r>
      <w:r>
        <w:rPr>
          <w:spacing w:val="-17"/>
        </w:rPr>
        <w:t> </w:t>
      </w:r>
      <w:r>
        <w:rPr>
          <w:w w:val="114"/>
        </w:rPr>
        <w:t>Habana </w:t>
      </w:r>
      <w:r>
        <w:rPr>
          <w:w w:val="110"/>
        </w:rPr>
        <w:t>entre los representantes del Estado Mayor de las FarC-EP y del actual gobierno colombiano (EFE, </w:t>
      </w:r>
      <w:r>
        <w:rPr>
          <w:spacing w:val="20"/>
          <w:w w:val="110"/>
        </w:rPr>
        <w:t> </w:t>
      </w:r>
      <w:r>
        <w:rPr>
          <w:w w:val="110"/>
        </w:rPr>
        <w:t>2014).</w:t>
      </w:r>
    </w:p>
    <w:p>
      <w:pPr>
        <w:pStyle w:val="BodyText"/>
        <w:spacing w:line="252" w:lineRule="auto"/>
        <w:ind w:left="100" w:right="327" w:firstLine="396"/>
        <w:jc w:val="both"/>
      </w:pPr>
      <w:r>
        <w:rPr>
          <w:w w:val="110"/>
        </w:rPr>
        <w:t>asimismo, ambos ministros iban a abordar la voluntad del go- bierno presidido por Juan Manuel santos “de encontrar alguna vía de colaboración con la organización del atlántico Norte </w:t>
      </w:r>
      <w:r>
        <w:rPr>
          <w:spacing w:val="-3"/>
          <w:w w:val="110"/>
        </w:rPr>
        <w:t>(otaN)” </w:t>
      </w:r>
      <w:r>
        <w:rPr>
          <w:w w:val="110"/>
        </w:rPr>
        <w:t>y su “preocupación sincera” por las implicaciones que en el futuro pudie- ran tener para la seguridad de Colombia el resultado de la situación creada en Venezuela a causa de “las protestas” que entonces habían comenzado a desplegar “los opositores al gobierno de Nicolás Madu- ro”, al igual que “el litigio” existente entre los gobiernos colombiano y nicaragüense “sobre su frontera marítima en el Caribe” (EFE, 2014). Como se sabe, el 19 de noviembre de 2012 esta última fue delimita- </w:t>
      </w:r>
      <w:r>
        <w:rPr>
          <w:w w:val="110"/>
        </w:rPr>
        <w:t>da</w:t>
      </w:r>
      <w:r>
        <w:rPr>
          <w:spacing w:val="19"/>
        </w:rPr>
        <w:t> </w:t>
      </w:r>
      <w:r>
        <w:rPr>
          <w:w w:val="107"/>
        </w:rPr>
        <w:t>de</w:t>
      </w:r>
      <w:r>
        <w:rPr>
          <w:spacing w:val="19"/>
        </w:rPr>
        <w:t> </w:t>
      </w:r>
      <w:r>
        <w:rPr>
          <w:w w:val="110"/>
        </w:rPr>
        <w:t>manera</w:t>
      </w:r>
      <w:r>
        <w:rPr>
          <w:spacing w:val="19"/>
        </w:rPr>
        <w:t> </w:t>
      </w:r>
      <w:r>
        <w:rPr>
          <w:w w:val="110"/>
        </w:rPr>
        <w:t>inapelable</w:t>
      </w:r>
      <w:r>
        <w:rPr>
          <w:spacing w:val="19"/>
        </w:rPr>
        <w:t> </w:t>
      </w:r>
      <w:r>
        <w:rPr>
          <w:w w:val="108"/>
        </w:rPr>
        <w:t>por</w:t>
      </w:r>
      <w:r>
        <w:rPr>
          <w:spacing w:val="19"/>
        </w:rPr>
        <w:t> </w:t>
      </w:r>
      <w:r>
        <w:rPr>
          <w:w w:val="111"/>
        </w:rPr>
        <w:t>la</w:t>
      </w:r>
      <w:r>
        <w:rPr>
          <w:spacing w:val="19"/>
        </w:rPr>
        <w:t> </w:t>
      </w:r>
      <w:r>
        <w:rPr>
          <w:w w:val="111"/>
        </w:rPr>
        <w:t>Corte</w:t>
      </w:r>
      <w:r>
        <w:rPr>
          <w:spacing w:val="19"/>
        </w:rPr>
        <w:t> </w:t>
      </w:r>
      <w:r>
        <w:rPr>
          <w:w w:val="142"/>
        </w:rPr>
        <w:t>i</w:t>
      </w:r>
      <w:r>
        <w:rPr>
          <w:w w:val="110"/>
        </w:rPr>
        <w:t>nternacional</w:t>
      </w:r>
      <w:r>
        <w:rPr>
          <w:spacing w:val="19"/>
        </w:rPr>
        <w:t> </w:t>
      </w:r>
      <w:r>
        <w:rPr>
          <w:w w:val="107"/>
        </w:rPr>
        <w:t>de</w:t>
      </w:r>
      <w:r>
        <w:rPr>
          <w:spacing w:val="19"/>
        </w:rPr>
        <w:t> </w:t>
      </w:r>
      <w:r>
        <w:rPr>
          <w:w w:val="116"/>
        </w:rPr>
        <w:t>Justicia</w:t>
      </w:r>
      <w:r>
        <w:rPr>
          <w:spacing w:val="19"/>
        </w:rPr>
        <w:t> </w:t>
      </w:r>
      <w:r>
        <w:rPr>
          <w:w w:val="107"/>
        </w:rPr>
        <w:t>de</w:t>
      </w:r>
      <w:r>
        <w:rPr>
          <w:spacing w:val="19"/>
        </w:rPr>
        <w:t> </w:t>
      </w:r>
      <w:r>
        <w:rPr>
          <w:w w:val="243"/>
        </w:rPr>
        <w:t>l</w:t>
      </w:r>
      <w:r>
        <w:rPr>
          <w:w w:val="112"/>
        </w:rPr>
        <w:t>a </w:t>
      </w:r>
      <w:r>
        <w:rPr>
          <w:w w:val="110"/>
        </w:rPr>
        <w:t>Haya (CiJ); pero las autoridades colombianas continúan rechazando ese fallo, lo que mantiene planteada la posibilidad de un conflicto po- lítico-militar entre ambos países (</w:t>
      </w:r>
      <w:r>
        <w:rPr>
          <w:i/>
          <w:w w:val="110"/>
        </w:rPr>
        <w:t>El Día</w:t>
      </w:r>
      <w:r>
        <w:rPr>
          <w:w w:val="110"/>
        </w:rPr>
        <w:t>,</w:t>
      </w:r>
      <w:r>
        <w:rPr>
          <w:spacing w:val="44"/>
          <w:w w:val="110"/>
        </w:rPr>
        <w:t> </w:t>
      </w:r>
      <w:r>
        <w:rPr>
          <w:w w:val="110"/>
        </w:rPr>
        <w:t>2014).</w:t>
      </w:r>
    </w:p>
    <w:p>
      <w:pPr>
        <w:spacing w:after="0" w:line="252" w:lineRule="auto"/>
        <w:jc w:val="both"/>
        <w:sectPr>
          <w:pgSz w:w="8790" w:h="12760"/>
          <w:pgMar w:header="697" w:footer="723" w:top="880" w:bottom="920" w:left="920" w:right="1200"/>
        </w:sectPr>
      </w:pPr>
    </w:p>
    <w:p>
      <w:pPr>
        <w:pStyle w:val="BodyText"/>
        <w:spacing w:before="4"/>
        <w:rPr>
          <w:sz w:val="28"/>
        </w:rPr>
      </w:pPr>
    </w:p>
    <w:p>
      <w:pPr>
        <w:pStyle w:val="Heading6"/>
        <w:spacing w:before="68"/>
        <w:ind w:left="331"/>
      </w:pPr>
      <w:r>
        <w:rPr>
          <w:w w:val="145"/>
        </w:rPr>
        <w:t>el</w:t>
      </w:r>
      <w:r>
        <w:rPr>
          <w:spacing w:val="-59"/>
          <w:w w:val="145"/>
        </w:rPr>
        <w:t> </w:t>
      </w:r>
      <w:r>
        <w:rPr>
          <w:w w:val="145"/>
        </w:rPr>
        <w:t>control</w:t>
      </w:r>
      <w:r>
        <w:rPr>
          <w:spacing w:val="-59"/>
          <w:w w:val="145"/>
        </w:rPr>
        <w:t> </w:t>
      </w:r>
      <w:r>
        <w:rPr>
          <w:w w:val="145"/>
        </w:rPr>
        <w:t>del</w:t>
      </w:r>
      <w:r>
        <w:rPr>
          <w:spacing w:val="-59"/>
          <w:w w:val="145"/>
        </w:rPr>
        <w:t> </w:t>
      </w:r>
      <w:r>
        <w:rPr>
          <w:w w:val="145"/>
        </w:rPr>
        <w:t>Gran</w:t>
      </w:r>
      <w:r>
        <w:rPr>
          <w:spacing w:val="-59"/>
          <w:w w:val="145"/>
        </w:rPr>
        <w:t> </w:t>
      </w:r>
      <w:r>
        <w:rPr>
          <w:w w:val="145"/>
        </w:rPr>
        <w:t>cariBe</w:t>
      </w:r>
    </w:p>
    <w:p>
      <w:pPr>
        <w:pStyle w:val="BodyText"/>
        <w:spacing w:line="252" w:lineRule="auto" w:before="10"/>
        <w:ind w:left="330" w:right="117"/>
        <w:jc w:val="both"/>
      </w:pPr>
      <w:r>
        <w:rPr>
          <w:w w:val="110"/>
        </w:rPr>
        <w:t>Cualquiera que sea la validez de esa hipótesis, lo cierto parece ser que el antes referido apoyo a “las naciones aliadas” de Estados unidos y Colombia tendrá como uno de sus principales beneficiarios al actual gobierno de México, presidido desde fines de 2011 por Enrique Peña Nieto,</w:t>
      </w:r>
      <w:r>
        <w:rPr>
          <w:spacing w:val="-3"/>
          <w:w w:val="110"/>
        </w:rPr>
        <w:t> </w:t>
      </w:r>
      <w:r>
        <w:rPr>
          <w:w w:val="110"/>
        </w:rPr>
        <w:t>en</w:t>
      </w:r>
      <w:r>
        <w:rPr>
          <w:spacing w:val="-3"/>
          <w:w w:val="110"/>
        </w:rPr>
        <w:t> </w:t>
      </w:r>
      <w:r>
        <w:rPr>
          <w:w w:val="110"/>
        </w:rPr>
        <w:t>tanto</w:t>
      </w:r>
      <w:r>
        <w:rPr>
          <w:spacing w:val="-3"/>
          <w:w w:val="110"/>
        </w:rPr>
        <w:t> </w:t>
      </w:r>
      <w:r>
        <w:rPr>
          <w:w w:val="110"/>
        </w:rPr>
        <w:t>entre</w:t>
      </w:r>
      <w:r>
        <w:rPr>
          <w:spacing w:val="-3"/>
          <w:w w:val="110"/>
        </w:rPr>
        <w:t> </w:t>
      </w:r>
      <w:r>
        <w:rPr>
          <w:w w:val="110"/>
        </w:rPr>
        <w:t>2009</w:t>
      </w:r>
      <w:r>
        <w:rPr>
          <w:spacing w:val="-3"/>
          <w:w w:val="110"/>
        </w:rPr>
        <w:t> </w:t>
      </w:r>
      <w:r>
        <w:rPr>
          <w:w w:val="110"/>
        </w:rPr>
        <w:t>y</w:t>
      </w:r>
      <w:r>
        <w:rPr>
          <w:spacing w:val="-3"/>
          <w:w w:val="110"/>
        </w:rPr>
        <w:t> </w:t>
      </w:r>
      <w:r>
        <w:rPr>
          <w:w w:val="110"/>
        </w:rPr>
        <w:t>2013</w:t>
      </w:r>
      <w:r>
        <w:rPr>
          <w:spacing w:val="-3"/>
          <w:w w:val="110"/>
        </w:rPr>
        <w:t> </w:t>
      </w:r>
      <w:r>
        <w:rPr>
          <w:w w:val="110"/>
        </w:rPr>
        <w:t>unos</w:t>
      </w:r>
      <w:r>
        <w:rPr>
          <w:spacing w:val="-3"/>
          <w:w w:val="110"/>
        </w:rPr>
        <w:t> </w:t>
      </w:r>
      <w:r>
        <w:rPr>
          <w:w w:val="110"/>
        </w:rPr>
        <w:t>10.310</w:t>
      </w:r>
      <w:r>
        <w:rPr>
          <w:spacing w:val="-3"/>
          <w:w w:val="110"/>
        </w:rPr>
        <w:t> </w:t>
      </w:r>
      <w:r>
        <w:rPr>
          <w:w w:val="110"/>
        </w:rPr>
        <w:t>oficiales</w:t>
      </w:r>
      <w:r>
        <w:rPr>
          <w:spacing w:val="-3"/>
          <w:w w:val="110"/>
        </w:rPr>
        <w:t> </w:t>
      </w:r>
      <w:r>
        <w:rPr>
          <w:w w:val="110"/>
        </w:rPr>
        <w:t>militares</w:t>
      </w:r>
      <w:r>
        <w:rPr>
          <w:spacing w:val="-3"/>
          <w:w w:val="110"/>
        </w:rPr>
        <w:t> </w:t>
      </w:r>
      <w:r>
        <w:rPr>
          <w:w w:val="110"/>
        </w:rPr>
        <w:t>y</w:t>
      </w:r>
      <w:r>
        <w:rPr>
          <w:spacing w:val="-3"/>
          <w:w w:val="110"/>
        </w:rPr>
        <w:t> </w:t>
      </w:r>
      <w:r>
        <w:rPr>
          <w:w w:val="110"/>
        </w:rPr>
        <w:t>po- liciales mexicanos recibieron entrenamiento en diferentes puntos del territorio colombiano </w:t>
      </w:r>
      <w:r>
        <w:rPr>
          <w:spacing w:val="-5"/>
          <w:w w:val="110"/>
        </w:rPr>
        <w:t>(tickner, </w:t>
      </w:r>
      <w:r>
        <w:rPr>
          <w:spacing w:val="25"/>
          <w:w w:val="110"/>
        </w:rPr>
        <w:t> </w:t>
      </w:r>
      <w:r>
        <w:rPr>
          <w:w w:val="110"/>
        </w:rPr>
        <w:t>2014).</w:t>
      </w:r>
    </w:p>
    <w:p>
      <w:pPr>
        <w:pStyle w:val="BodyText"/>
        <w:spacing w:line="252" w:lineRule="auto"/>
        <w:ind w:left="330" w:right="117" w:firstLine="396"/>
        <w:jc w:val="both"/>
      </w:pPr>
      <w:r>
        <w:rPr>
          <w:w w:val="115"/>
        </w:rPr>
        <w:t>adicionalmente,</w:t>
      </w:r>
      <w:r>
        <w:rPr>
          <w:spacing w:val="-13"/>
          <w:w w:val="115"/>
        </w:rPr>
        <w:t> </w:t>
      </w:r>
      <w:r>
        <w:rPr>
          <w:w w:val="115"/>
        </w:rPr>
        <w:t>aunque</w:t>
      </w:r>
      <w:r>
        <w:rPr>
          <w:spacing w:val="-13"/>
          <w:w w:val="115"/>
        </w:rPr>
        <w:t> </w:t>
      </w:r>
      <w:r>
        <w:rPr>
          <w:w w:val="115"/>
        </w:rPr>
        <w:t>en</w:t>
      </w:r>
      <w:r>
        <w:rPr>
          <w:spacing w:val="-13"/>
          <w:w w:val="115"/>
        </w:rPr>
        <w:t> </w:t>
      </w:r>
      <w:r>
        <w:rPr>
          <w:w w:val="115"/>
        </w:rPr>
        <w:t>montos</w:t>
      </w:r>
      <w:r>
        <w:rPr>
          <w:spacing w:val="-13"/>
          <w:w w:val="115"/>
        </w:rPr>
        <w:t> </w:t>
      </w:r>
      <w:r>
        <w:rPr>
          <w:w w:val="115"/>
        </w:rPr>
        <w:t>menores</w:t>
      </w:r>
      <w:r>
        <w:rPr>
          <w:spacing w:val="-13"/>
          <w:w w:val="115"/>
        </w:rPr>
        <w:t> </w:t>
      </w:r>
      <w:r>
        <w:rPr>
          <w:w w:val="115"/>
        </w:rPr>
        <w:t>que</w:t>
      </w:r>
      <w:r>
        <w:rPr>
          <w:spacing w:val="-13"/>
          <w:w w:val="115"/>
        </w:rPr>
        <w:t> </w:t>
      </w:r>
      <w:r>
        <w:rPr>
          <w:w w:val="115"/>
        </w:rPr>
        <w:t>en</w:t>
      </w:r>
      <w:r>
        <w:rPr>
          <w:spacing w:val="-13"/>
          <w:w w:val="115"/>
        </w:rPr>
        <w:t> </w:t>
      </w:r>
      <w:r>
        <w:rPr>
          <w:w w:val="115"/>
        </w:rPr>
        <w:t>los</w:t>
      </w:r>
      <w:r>
        <w:rPr>
          <w:spacing w:val="-13"/>
          <w:w w:val="115"/>
        </w:rPr>
        <w:t> </w:t>
      </w:r>
      <w:r>
        <w:rPr>
          <w:w w:val="115"/>
        </w:rPr>
        <w:t>años</w:t>
      </w:r>
      <w:r>
        <w:rPr>
          <w:spacing w:val="-13"/>
          <w:w w:val="115"/>
        </w:rPr>
        <w:t> </w:t>
      </w:r>
      <w:r>
        <w:rPr>
          <w:w w:val="115"/>
        </w:rPr>
        <w:t>an- teriores,</w:t>
      </w:r>
      <w:r>
        <w:rPr>
          <w:spacing w:val="-21"/>
          <w:w w:val="115"/>
        </w:rPr>
        <w:t> </w:t>
      </w:r>
      <w:r>
        <w:rPr>
          <w:w w:val="115"/>
        </w:rPr>
        <w:t>en</w:t>
      </w:r>
      <w:r>
        <w:rPr>
          <w:spacing w:val="-21"/>
          <w:w w:val="115"/>
        </w:rPr>
        <w:t> </w:t>
      </w:r>
      <w:r>
        <w:rPr>
          <w:w w:val="115"/>
        </w:rPr>
        <w:t>2013</w:t>
      </w:r>
      <w:r>
        <w:rPr>
          <w:spacing w:val="-21"/>
          <w:w w:val="115"/>
        </w:rPr>
        <w:t> </w:t>
      </w:r>
      <w:r>
        <w:rPr>
          <w:w w:val="115"/>
        </w:rPr>
        <w:t>y</w:t>
      </w:r>
      <w:r>
        <w:rPr>
          <w:spacing w:val="-21"/>
          <w:w w:val="115"/>
        </w:rPr>
        <w:t> </w:t>
      </w:r>
      <w:r>
        <w:rPr>
          <w:w w:val="115"/>
        </w:rPr>
        <w:t>lo</w:t>
      </w:r>
      <w:r>
        <w:rPr>
          <w:spacing w:val="-21"/>
          <w:w w:val="115"/>
        </w:rPr>
        <w:t> </w:t>
      </w:r>
      <w:r>
        <w:rPr>
          <w:w w:val="115"/>
        </w:rPr>
        <w:t>transcurrido</w:t>
      </w:r>
      <w:r>
        <w:rPr>
          <w:spacing w:val="-21"/>
          <w:w w:val="115"/>
        </w:rPr>
        <w:t> </w:t>
      </w:r>
      <w:r>
        <w:rPr>
          <w:w w:val="115"/>
        </w:rPr>
        <w:t>de</w:t>
      </w:r>
      <w:r>
        <w:rPr>
          <w:spacing w:val="-21"/>
          <w:w w:val="115"/>
        </w:rPr>
        <w:t> </w:t>
      </w:r>
      <w:r>
        <w:rPr>
          <w:w w:val="115"/>
        </w:rPr>
        <w:t>2014</w:t>
      </w:r>
      <w:r>
        <w:rPr>
          <w:spacing w:val="-21"/>
          <w:w w:val="115"/>
        </w:rPr>
        <w:t> </w:t>
      </w:r>
      <w:r>
        <w:rPr>
          <w:w w:val="115"/>
        </w:rPr>
        <w:t>la</w:t>
      </w:r>
      <w:r>
        <w:rPr>
          <w:spacing w:val="-21"/>
          <w:w w:val="115"/>
        </w:rPr>
        <w:t> </w:t>
      </w:r>
      <w:r>
        <w:rPr>
          <w:w w:val="115"/>
        </w:rPr>
        <w:t>segunda</w:t>
      </w:r>
      <w:r>
        <w:rPr>
          <w:spacing w:val="-21"/>
          <w:w w:val="115"/>
        </w:rPr>
        <w:t> </w:t>
      </w:r>
      <w:r>
        <w:rPr>
          <w:w w:val="115"/>
        </w:rPr>
        <w:t>presidencia</w:t>
      </w:r>
      <w:r>
        <w:rPr>
          <w:spacing w:val="-21"/>
          <w:w w:val="115"/>
        </w:rPr>
        <w:t> </w:t>
      </w:r>
      <w:r>
        <w:rPr>
          <w:w w:val="115"/>
        </w:rPr>
        <w:t>de barack obama continuó ofreciéndole al actual gobierno mexicano importantes</w:t>
      </w:r>
      <w:r>
        <w:rPr>
          <w:spacing w:val="-16"/>
          <w:w w:val="115"/>
        </w:rPr>
        <w:t> </w:t>
      </w:r>
      <w:r>
        <w:rPr>
          <w:w w:val="115"/>
        </w:rPr>
        <w:t>montos</w:t>
      </w:r>
      <w:r>
        <w:rPr>
          <w:spacing w:val="-16"/>
          <w:w w:val="115"/>
        </w:rPr>
        <w:t> </w:t>
      </w:r>
      <w:r>
        <w:rPr>
          <w:w w:val="115"/>
        </w:rPr>
        <w:t>de</w:t>
      </w:r>
      <w:r>
        <w:rPr>
          <w:spacing w:val="-16"/>
          <w:w w:val="115"/>
        </w:rPr>
        <w:t> </w:t>
      </w:r>
      <w:r>
        <w:rPr>
          <w:w w:val="115"/>
        </w:rPr>
        <w:t>“ayuda”</w:t>
      </w:r>
      <w:r>
        <w:rPr>
          <w:spacing w:val="-16"/>
          <w:w w:val="115"/>
        </w:rPr>
        <w:t> </w:t>
      </w:r>
      <w:r>
        <w:rPr>
          <w:w w:val="115"/>
        </w:rPr>
        <w:t>militar</w:t>
      </w:r>
      <w:r>
        <w:rPr>
          <w:spacing w:val="-16"/>
          <w:w w:val="115"/>
        </w:rPr>
        <w:t> </w:t>
      </w:r>
      <w:r>
        <w:rPr>
          <w:w w:val="115"/>
        </w:rPr>
        <w:t>y</w:t>
      </w:r>
      <w:r>
        <w:rPr>
          <w:spacing w:val="-16"/>
          <w:w w:val="115"/>
        </w:rPr>
        <w:t> </w:t>
      </w:r>
      <w:r>
        <w:rPr>
          <w:w w:val="115"/>
        </w:rPr>
        <w:t>policial</w:t>
      </w:r>
      <w:r>
        <w:rPr>
          <w:spacing w:val="-16"/>
          <w:w w:val="115"/>
        </w:rPr>
        <w:t> </w:t>
      </w:r>
      <w:r>
        <w:rPr>
          <w:w w:val="115"/>
        </w:rPr>
        <w:t>(calculada,</w:t>
      </w:r>
      <w:r>
        <w:rPr>
          <w:spacing w:val="-16"/>
          <w:w w:val="115"/>
        </w:rPr>
        <w:t> </w:t>
      </w:r>
      <w:r>
        <w:rPr>
          <w:w w:val="115"/>
        </w:rPr>
        <w:t>como</w:t>
      </w:r>
      <w:r>
        <w:rPr>
          <w:spacing w:val="-16"/>
          <w:w w:val="115"/>
        </w:rPr>
        <w:t> </w:t>
      </w:r>
      <w:r>
        <w:rPr>
          <w:w w:val="115"/>
        </w:rPr>
        <w:t>se vio en la </w:t>
      </w:r>
      <w:r>
        <w:rPr>
          <w:spacing w:val="-4"/>
          <w:w w:val="115"/>
        </w:rPr>
        <w:t>tabla </w:t>
      </w:r>
      <w:r>
        <w:rPr>
          <w:w w:val="115"/>
        </w:rPr>
        <w:t>1, en más de 281 millones de dólares) para que con- tinúe</w:t>
      </w:r>
      <w:r>
        <w:rPr>
          <w:spacing w:val="-4"/>
          <w:w w:val="115"/>
        </w:rPr>
        <w:t> </w:t>
      </w:r>
      <w:r>
        <w:rPr>
          <w:w w:val="115"/>
        </w:rPr>
        <w:t>la</w:t>
      </w:r>
      <w:r>
        <w:rPr>
          <w:spacing w:val="-4"/>
          <w:w w:val="115"/>
        </w:rPr>
        <w:t> </w:t>
      </w:r>
      <w:r>
        <w:rPr>
          <w:w w:val="115"/>
        </w:rPr>
        <w:t>ineficaz,</w:t>
      </w:r>
      <w:r>
        <w:rPr>
          <w:spacing w:val="-4"/>
          <w:w w:val="115"/>
        </w:rPr>
        <w:t> </w:t>
      </w:r>
      <w:r>
        <w:rPr>
          <w:w w:val="115"/>
        </w:rPr>
        <w:t>militarizada</w:t>
      </w:r>
      <w:r>
        <w:rPr>
          <w:spacing w:val="-4"/>
          <w:w w:val="115"/>
        </w:rPr>
        <w:t> </w:t>
      </w:r>
      <w:r>
        <w:rPr>
          <w:w w:val="115"/>
        </w:rPr>
        <w:t>y</w:t>
      </w:r>
      <w:r>
        <w:rPr>
          <w:spacing w:val="-4"/>
          <w:w w:val="115"/>
        </w:rPr>
        <w:t> </w:t>
      </w:r>
      <w:r>
        <w:rPr>
          <w:w w:val="115"/>
        </w:rPr>
        <w:t>cruenta</w:t>
      </w:r>
      <w:r>
        <w:rPr>
          <w:spacing w:val="-4"/>
          <w:w w:val="115"/>
        </w:rPr>
        <w:t> </w:t>
      </w:r>
      <w:r>
        <w:rPr>
          <w:w w:val="115"/>
        </w:rPr>
        <w:t>“guerra</w:t>
      </w:r>
      <w:r>
        <w:rPr>
          <w:spacing w:val="-4"/>
          <w:w w:val="115"/>
        </w:rPr>
        <w:t> </w:t>
      </w:r>
      <w:r>
        <w:rPr>
          <w:w w:val="115"/>
        </w:rPr>
        <w:t>contra</w:t>
      </w:r>
      <w:r>
        <w:rPr>
          <w:spacing w:val="-4"/>
          <w:w w:val="115"/>
        </w:rPr>
        <w:t> </w:t>
      </w:r>
      <w:r>
        <w:rPr>
          <w:w w:val="115"/>
        </w:rPr>
        <w:t>las</w:t>
      </w:r>
      <w:r>
        <w:rPr>
          <w:spacing w:val="-4"/>
          <w:w w:val="115"/>
        </w:rPr>
        <w:t> </w:t>
      </w:r>
      <w:r>
        <w:rPr>
          <w:w w:val="115"/>
        </w:rPr>
        <w:t>drogas”</w:t>
      </w:r>
      <w:r>
        <w:rPr>
          <w:spacing w:val="-4"/>
          <w:w w:val="115"/>
        </w:rPr>
        <w:t> </w:t>
      </w:r>
      <w:r>
        <w:rPr>
          <w:spacing w:val="-11"/>
          <w:w w:val="115"/>
        </w:rPr>
        <w:t>y, </w:t>
      </w:r>
      <w:r>
        <w:rPr>
          <w:w w:val="115"/>
        </w:rPr>
        <w:t>a</w:t>
      </w:r>
      <w:r>
        <w:rPr>
          <w:spacing w:val="-7"/>
          <w:w w:val="115"/>
        </w:rPr>
        <w:t> </w:t>
      </w:r>
      <w:r>
        <w:rPr>
          <w:w w:val="115"/>
        </w:rPr>
        <w:t>su</w:t>
      </w:r>
      <w:r>
        <w:rPr>
          <w:spacing w:val="-7"/>
          <w:w w:val="115"/>
        </w:rPr>
        <w:t> </w:t>
      </w:r>
      <w:r>
        <w:rPr>
          <w:w w:val="115"/>
        </w:rPr>
        <w:t>vez,</w:t>
      </w:r>
      <w:r>
        <w:rPr>
          <w:spacing w:val="-7"/>
          <w:w w:val="115"/>
        </w:rPr>
        <w:t> </w:t>
      </w:r>
      <w:r>
        <w:rPr>
          <w:w w:val="115"/>
        </w:rPr>
        <w:t>contra</w:t>
      </w:r>
      <w:r>
        <w:rPr>
          <w:spacing w:val="-7"/>
          <w:w w:val="115"/>
        </w:rPr>
        <w:t> </w:t>
      </w:r>
      <w:r>
        <w:rPr>
          <w:w w:val="115"/>
        </w:rPr>
        <w:t>“el</w:t>
      </w:r>
      <w:r>
        <w:rPr>
          <w:spacing w:val="-7"/>
          <w:w w:val="115"/>
        </w:rPr>
        <w:t> </w:t>
      </w:r>
      <w:r>
        <w:rPr>
          <w:w w:val="115"/>
        </w:rPr>
        <w:t>tráfico</w:t>
      </w:r>
      <w:r>
        <w:rPr>
          <w:spacing w:val="-7"/>
          <w:w w:val="115"/>
        </w:rPr>
        <w:t> </w:t>
      </w:r>
      <w:r>
        <w:rPr>
          <w:w w:val="115"/>
        </w:rPr>
        <w:t>de</w:t>
      </w:r>
      <w:r>
        <w:rPr>
          <w:spacing w:val="-7"/>
          <w:w w:val="115"/>
        </w:rPr>
        <w:t> </w:t>
      </w:r>
      <w:r>
        <w:rPr>
          <w:w w:val="115"/>
        </w:rPr>
        <w:t>personas”</w:t>
      </w:r>
      <w:r>
        <w:rPr>
          <w:spacing w:val="-7"/>
          <w:w w:val="115"/>
        </w:rPr>
        <w:t> </w:t>
      </w:r>
      <w:r>
        <w:rPr>
          <w:w w:val="115"/>
        </w:rPr>
        <w:t>y</w:t>
      </w:r>
      <w:r>
        <w:rPr>
          <w:spacing w:val="-7"/>
          <w:w w:val="115"/>
        </w:rPr>
        <w:t> </w:t>
      </w:r>
      <w:r>
        <w:rPr>
          <w:w w:val="115"/>
        </w:rPr>
        <w:t>“las</w:t>
      </w:r>
      <w:r>
        <w:rPr>
          <w:spacing w:val="-7"/>
          <w:w w:val="115"/>
        </w:rPr>
        <w:t> </w:t>
      </w:r>
      <w:r>
        <w:rPr>
          <w:w w:val="115"/>
        </w:rPr>
        <w:t>migraciones</w:t>
      </w:r>
      <w:r>
        <w:rPr>
          <w:spacing w:val="-7"/>
          <w:w w:val="115"/>
        </w:rPr>
        <w:t> </w:t>
      </w:r>
      <w:r>
        <w:rPr>
          <w:w w:val="115"/>
        </w:rPr>
        <w:t>incontro- ladas” iniciada en 2006 por su </w:t>
      </w:r>
      <w:r>
        <w:rPr>
          <w:spacing w:val="-3"/>
          <w:w w:val="115"/>
        </w:rPr>
        <w:t>antecesor, </w:t>
      </w:r>
      <w:r>
        <w:rPr>
          <w:w w:val="115"/>
        </w:rPr>
        <w:t>Felipe Calderón (isacson</w:t>
      </w:r>
      <w:r>
        <w:rPr>
          <w:spacing w:val="-29"/>
          <w:w w:val="115"/>
        </w:rPr>
        <w:t> </w:t>
      </w:r>
      <w:r>
        <w:rPr>
          <w:w w:val="115"/>
        </w:rPr>
        <w:t>y </w:t>
      </w:r>
      <w:r>
        <w:rPr>
          <w:spacing w:val="-4"/>
          <w:w w:val="110"/>
        </w:rPr>
        <w:t>Meyer,</w:t>
      </w:r>
      <w:r>
        <w:rPr>
          <w:spacing w:val="-10"/>
          <w:w w:val="110"/>
        </w:rPr>
        <w:t> </w:t>
      </w:r>
      <w:r>
        <w:rPr>
          <w:w w:val="110"/>
        </w:rPr>
        <w:t>2012).</w:t>
      </w:r>
    </w:p>
    <w:p>
      <w:pPr>
        <w:pStyle w:val="BodyText"/>
        <w:spacing w:line="252" w:lineRule="auto"/>
        <w:ind w:left="330" w:right="118" w:firstLine="396"/>
        <w:jc w:val="both"/>
      </w:pPr>
      <w:r>
        <w:rPr>
          <w:w w:val="115"/>
        </w:rPr>
        <w:t>según el vicepresidente de Estados unidos, Joe biden, la provi- sión</w:t>
      </w:r>
      <w:r>
        <w:rPr>
          <w:spacing w:val="-19"/>
          <w:w w:val="115"/>
        </w:rPr>
        <w:t> </w:t>
      </w:r>
      <w:r>
        <w:rPr>
          <w:w w:val="115"/>
        </w:rPr>
        <w:t>de</w:t>
      </w:r>
      <w:r>
        <w:rPr>
          <w:spacing w:val="-19"/>
          <w:w w:val="115"/>
        </w:rPr>
        <w:t> </w:t>
      </w:r>
      <w:r>
        <w:rPr>
          <w:w w:val="115"/>
        </w:rPr>
        <w:t>esa</w:t>
      </w:r>
      <w:r>
        <w:rPr>
          <w:spacing w:val="-19"/>
          <w:w w:val="115"/>
        </w:rPr>
        <w:t> </w:t>
      </w:r>
      <w:r>
        <w:rPr>
          <w:w w:val="115"/>
        </w:rPr>
        <w:t>ayuda</w:t>
      </w:r>
      <w:r>
        <w:rPr>
          <w:spacing w:val="-19"/>
          <w:w w:val="115"/>
        </w:rPr>
        <w:t> </w:t>
      </w:r>
      <w:r>
        <w:rPr>
          <w:w w:val="115"/>
        </w:rPr>
        <w:t>–y</w:t>
      </w:r>
      <w:r>
        <w:rPr>
          <w:spacing w:val="-19"/>
          <w:w w:val="115"/>
        </w:rPr>
        <w:t> </w:t>
      </w:r>
      <w:r>
        <w:rPr>
          <w:w w:val="115"/>
        </w:rPr>
        <w:t>otros</w:t>
      </w:r>
      <w:r>
        <w:rPr>
          <w:spacing w:val="-19"/>
          <w:w w:val="115"/>
        </w:rPr>
        <w:t> </w:t>
      </w:r>
      <w:r>
        <w:rPr>
          <w:w w:val="115"/>
        </w:rPr>
        <w:t>componentes</w:t>
      </w:r>
      <w:r>
        <w:rPr>
          <w:spacing w:val="-19"/>
          <w:w w:val="115"/>
        </w:rPr>
        <w:t> </w:t>
      </w:r>
      <w:r>
        <w:rPr>
          <w:w w:val="115"/>
        </w:rPr>
        <w:t>de</w:t>
      </w:r>
      <w:r>
        <w:rPr>
          <w:spacing w:val="-19"/>
          <w:w w:val="115"/>
        </w:rPr>
        <w:t> </w:t>
      </w:r>
      <w:r>
        <w:rPr>
          <w:w w:val="115"/>
        </w:rPr>
        <w:t>la</w:t>
      </w:r>
      <w:r>
        <w:rPr>
          <w:spacing w:val="-19"/>
          <w:w w:val="115"/>
        </w:rPr>
        <w:t> </w:t>
      </w:r>
      <w:r>
        <w:rPr>
          <w:w w:val="115"/>
        </w:rPr>
        <w:t>política</w:t>
      </w:r>
      <w:r>
        <w:rPr>
          <w:spacing w:val="-19"/>
          <w:w w:val="115"/>
        </w:rPr>
        <w:t> </w:t>
      </w:r>
      <w:r>
        <w:rPr>
          <w:w w:val="115"/>
        </w:rPr>
        <w:t>de</w:t>
      </w:r>
      <w:r>
        <w:rPr>
          <w:spacing w:val="-19"/>
          <w:w w:val="115"/>
        </w:rPr>
        <w:t> </w:t>
      </w:r>
      <w:r>
        <w:rPr>
          <w:w w:val="115"/>
        </w:rPr>
        <w:t>Estados</w:t>
      </w:r>
      <w:r>
        <w:rPr>
          <w:spacing w:val="-19"/>
          <w:w w:val="115"/>
        </w:rPr>
        <w:t> </w:t>
      </w:r>
      <w:r>
        <w:rPr>
          <w:w w:val="115"/>
        </w:rPr>
        <w:t>uni- dos hacia la Cuenca del Caribe y hacia “el arco del Pacífico” que se verán</w:t>
      </w:r>
      <w:r>
        <w:rPr>
          <w:spacing w:val="-12"/>
          <w:w w:val="115"/>
        </w:rPr>
        <w:t> </w:t>
      </w:r>
      <w:r>
        <w:rPr>
          <w:w w:val="115"/>
        </w:rPr>
        <w:t>más</w:t>
      </w:r>
      <w:r>
        <w:rPr>
          <w:spacing w:val="-12"/>
          <w:w w:val="115"/>
        </w:rPr>
        <w:t> </w:t>
      </w:r>
      <w:r>
        <w:rPr>
          <w:w w:val="115"/>
        </w:rPr>
        <w:t>adelante–</w:t>
      </w:r>
      <w:r>
        <w:rPr>
          <w:spacing w:val="-12"/>
          <w:w w:val="115"/>
        </w:rPr>
        <w:t> </w:t>
      </w:r>
      <w:r>
        <w:rPr>
          <w:w w:val="115"/>
        </w:rPr>
        <w:t>se</w:t>
      </w:r>
      <w:r>
        <w:rPr>
          <w:spacing w:val="-12"/>
          <w:w w:val="115"/>
        </w:rPr>
        <w:t> </w:t>
      </w:r>
      <w:r>
        <w:rPr>
          <w:w w:val="115"/>
        </w:rPr>
        <w:t>ratificó</w:t>
      </w:r>
      <w:r>
        <w:rPr>
          <w:spacing w:val="-12"/>
          <w:w w:val="115"/>
        </w:rPr>
        <w:t> </w:t>
      </w:r>
      <w:r>
        <w:rPr>
          <w:w w:val="115"/>
        </w:rPr>
        <w:t>durante</w:t>
      </w:r>
      <w:r>
        <w:rPr>
          <w:spacing w:val="-12"/>
          <w:w w:val="115"/>
        </w:rPr>
        <w:t> </w:t>
      </w:r>
      <w:r>
        <w:rPr>
          <w:w w:val="115"/>
        </w:rPr>
        <w:t>la</w:t>
      </w:r>
      <w:r>
        <w:rPr>
          <w:spacing w:val="-12"/>
          <w:w w:val="115"/>
        </w:rPr>
        <w:t> </w:t>
      </w:r>
      <w:r>
        <w:rPr>
          <w:w w:val="115"/>
        </w:rPr>
        <w:t>visita</w:t>
      </w:r>
      <w:r>
        <w:rPr>
          <w:spacing w:val="-12"/>
          <w:w w:val="115"/>
        </w:rPr>
        <w:t> </w:t>
      </w:r>
      <w:r>
        <w:rPr>
          <w:w w:val="115"/>
        </w:rPr>
        <w:t>oficial</w:t>
      </w:r>
      <w:r>
        <w:rPr>
          <w:spacing w:val="-12"/>
          <w:w w:val="115"/>
        </w:rPr>
        <w:t> </w:t>
      </w:r>
      <w:r>
        <w:rPr>
          <w:w w:val="115"/>
        </w:rPr>
        <w:t>realizada</w:t>
      </w:r>
      <w:r>
        <w:rPr>
          <w:spacing w:val="-12"/>
          <w:w w:val="115"/>
        </w:rPr>
        <w:t> </w:t>
      </w:r>
      <w:r>
        <w:rPr>
          <w:w w:val="115"/>
        </w:rPr>
        <w:t>por barack obama a México a comienzos de mayo de 2013. En ésta él    y</w:t>
      </w:r>
      <w:r>
        <w:rPr>
          <w:spacing w:val="-6"/>
          <w:w w:val="115"/>
        </w:rPr>
        <w:t> </w:t>
      </w:r>
      <w:r>
        <w:rPr>
          <w:w w:val="115"/>
        </w:rPr>
        <w:t>Peña</w:t>
      </w:r>
      <w:r>
        <w:rPr>
          <w:spacing w:val="-6"/>
          <w:w w:val="115"/>
        </w:rPr>
        <w:t> </w:t>
      </w:r>
      <w:r>
        <w:rPr>
          <w:w w:val="115"/>
        </w:rPr>
        <w:t>Nieto</w:t>
      </w:r>
      <w:r>
        <w:rPr>
          <w:spacing w:val="-6"/>
          <w:w w:val="115"/>
        </w:rPr>
        <w:t> </w:t>
      </w:r>
      <w:r>
        <w:rPr>
          <w:w w:val="115"/>
        </w:rPr>
        <w:t>acordaron</w:t>
      </w:r>
      <w:r>
        <w:rPr>
          <w:spacing w:val="-6"/>
          <w:w w:val="115"/>
        </w:rPr>
        <w:t> </w:t>
      </w:r>
      <w:r>
        <w:rPr>
          <w:w w:val="115"/>
        </w:rPr>
        <w:t>mantener</w:t>
      </w:r>
      <w:r>
        <w:rPr>
          <w:spacing w:val="-6"/>
          <w:w w:val="115"/>
        </w:rPr>
        <w:t> </w:t>
      </w:r>
      <w:r>
        <w:rPr>
          <w:w w:val="115"/>
        </w:rPr>
        <w:t>la</w:t>
      </w:r>
      <w:r>
        <w:rPr>
          <w:spacing w:val="-6"/>
          <w:w w:val="115"/>
        </w:rPr>
        <w:t> </w:t>
      </w:r>
      <w:r>
        <w:rPr>
          <w:w w:val="115"/>
        </w:rPr>
        <w:t>“fuerte</w:t>
      </w:r>
      <w:r>
        <w:rPr>
          <w:spacing w:val="-6"/>
          <w:w w:val="115"/>
        </w:rPr>
        <w:t> </w:t>
      </w:r>
      <w:r>
        <w:rPr>
          <w:w w:val="115"/>
        </w:rPr>
        <w:t>alianza”</w:t>
      </w:r>
      <w:r>
        <w:rPr>
          <w:spacing w:val="-6"/>
          <w:w w:val="115"/>
        </w:rPr>
        <w:t> </w:t>
      </w:r>
      <w:r>
        <w:rPr>
          <w:w w:val="115"/>
        </w:rPr>
        <w:t>existente</w:t>
      </w:r>
      <w:r>
        <w:rPr>
          <w:spacing w:val="-6"/>
          <w:w w:val="115"/>
        </w:rPr>
        <w:t> </w:t>
      </w:r>
      <w:r>
        <w:rPr>
          <w:w w:val="115"/>
        </w:rPr>
        <w:t>entre ambos Estados (biden, 2013). </w:t>
      </w:r>
      <w:r>
        <w:rPr>
          <w:spacing w:val="-6"/>
          <w:w w:val="115"/>
        </w:rPr>
        <w:t>tal </w:t>
      </w:r>
      <w:r>
        <w:rPr>
          <w:w w:val="115"/>
        </w:rPr>
        <w:t>“alianza” se fortaleció y amplió en la</w:t>
      </w:r>
      <w:r>
        <w:rPr>
          <w:spacing w:val="-26"/>
          <w:w w:val="115"/>
        </w:rPr>
        <w:t> </w:t>
      </w:r>
      <w:r>
        <w:rPr>
          <w:w w:val="115"/>
        </w:rPr>
        <w:t>reunión</w:t>
      </w:r>
      <w:r>
        <w:rPr>
          <w:spacing w:val="-26"/>
          <w:w w:val="115"/>
        </w:rPr>
        <w:t> </w:t>
      </w:r>
      <w:r>
        <w:rPr>
          <w:w w:val="115"/>
        </w:rPr>
        <w:t>que</w:t>
      </w:r>
      <w:r>
        <w:rPr>
          <w:spacing w:val="-26"/>
          <w:w w:val="115"/>
        </w:rPr>
        <w:t> </w:t>
      </w:r>
      <w:r>
        <w:rPr>
          <w:w w:val="115"/>
        </w:rPr>
        <w:t>el</w:t>
      </w:r>
      <w:r>
        <w:rPr>
          <w:spacing w:val="-26"/>
          <w:w w:val="115"/>
        </w:rPr>
        <w:t> </w:t>
      </w:r>
      <w:r>
        <w:rPr>
          <w:w w:val="115"/>
        </w:rPr>
        <w:t>19</w:t>
      </w:r>
      <w:r>
        <w:rPr>
          <w:spacing w:val="-26"/>
          <w:w w:val="115"/>
        </w:rPr>
        <w:t> </w:t>
      </w:r>
      <w:r>
        <w:rPr>
          <w:w w:val="115"/>
        </w:rPr>
        <w:t>de</w:t>
      </w:r>
      <w:r>
        <w:rPr>
          <w:spacing w:val="-26"/>
          <w:w w:val="115"/>
        </w:rPr>
        <w:t> </w:t>
      </w:r>
      <w:r>
        <w:rPr>
          <w:w w:val="115"/>
        </w:rPr>
        <w:t>febrero</w:t>
      </w:r>
      <w:r>
        <w:rPr>
          <w:spacing w:val="-26"/>
          <w:w w:val="115"/>
        </w:rPr>
        <w:t> </w:t>
      </w:r>
      <w:r>
        <w:rPr>
          <w:w w:val="115"/>
        </w:rPr>
        <w:t>de</w:t>
      </w:r>
      <w:r>
        <w:rPr>
          <w:spacing w:val="-26"/>
          <w:w w:val="115"/>
        </w:rPr>
        <w:t> </w:t>
      </w:r>
      <w:r>
        <w:rPr>
          <w:w w:val="115"/>
        </w:rPr>
        <w:t>2014</w:t>
      </w:r>
      <w:r>
        <w:rPr>
          <w:spacing w:val="-26"/>
          <w:w w:val="115"/>
        </w:rPr>
        <w:t> </w:t>
      </w:r>
      <w:r>
        <w:rPr>
          <w:w w:val="115"/>
        </w:rPr>
        <w:t>sostuvieron</w:t>
      </w:r>
      <w:r>
        <w:rPr>
          <w:spacing w:val="-26"/>
          <w:w w:val="115"/>
        </w:rPr>
        <w:t> </w:t>
      </w:r>
      <w:r>
        <w:rPr>
          <w:w w:val="115"/>
        </w:rPr>
        <w:t>esos</w:t>
      </w:r>
      <w:r>
        <w:rPr>
          <w:spacing w:val="-26"/>
          <w:w w:val="115"/>
        </w:rPr>
        <w:t> </w:t>
      </w:r>
      <w:r>
        <w:rPr>
          <w:w w:val="115"/>
        </w:rPr>
        <w:t>mandatarios en  </w:t>
      </w:r>
      <w:r>
        <w:rPr>
          <w:spacing w:val="-3"/>
          <w:w w:val="115"/>
        </w:rPr>
        <w:t>toluca,</w:t>
      </w:r>
      <w:r>
        <w:rPr>
          <w:spacing w:val="3"/>
          <w:w w:val="115"/>
        </w:rPr>
        <w:t> </w:t>
      </w:r>
      <w:r>
        <w:rPr>
          <w:w w:val="115"/>
        </w:rPr>
        <w:t>México.</w:t>
      </w:r>
    </w:p>
    <w:p>
      <w:pPr>
        <w:pStyle w:val="BodyText"/>
        <w:spacing w:line="252" w:lineRule="auto"/>
        <w:ind w:left="330" w:right="117" w:firstLine="397"/>
        <w:jc w:val="both"/>
      </w:pPr>
      <w:r>
        <w:rPr>
          <w:w w:val="115"/>
        </w:rPr>
        <w:t>inmediatamente</w:t>
      </w:r>
      <w:r>
        <w:rPr>
          <w:spacing w:val="-24"/>
          <w:w w:val="115"/>
        </w:rPr>
        <w:t> </w:t>
      </w:r>
      <w:r>
        <w:rPr>
          <w:w w:val="115"/>
        </w:rPr>
        <w:t>después</w:t>
      </w:r>
      <w:r>
        <w:rPr>
          <w:spacing w:val="-24"/>
          <w:w w:val="115"/>
        </w:rPr>
        <w:t> </w:t>
      </w:r>
      <w:r>
        <w:rPr>
          <w:w w:val="115"/>
        </w:rPr>
        <w:t>de</w:t>
      </w:r>
      <w:r>
        <w:rPr>
          <w:spacing w:val="-24"/>
          <w:w w:val="115"/>
        </w:rPr>
        <w:t> </w:t>
      </w:r>
      <w:r>
        <w:rPr>
          <w:w w:val="115"/>
        </w:rPr>
        <w:t>ésta,</w:t>
      </w:r>
      <w:r>
        <w:rPr>
          <w:spacing w:val="-24"/>
          <w:w w:val="115"/>
        </w:rPr>
        <w:t> </w:t>
      </w:r>
      <w:r>
        <w:rPr>
          <w:w w:val="115"/>
        </w:rPr>
        <w:t>ellos</w:t>
      </w:r>
      <w:r>
        <w:rPr>
          <w:spacing w:val="-24"/>
          <w:w w:val="115"/>
        </w:rPr>
        <w:t> </w:t>
      </w:r>
      <w:r>
        <w:rPr>
          <w:w w:val="115"/>
        </w:rPr>
        <w:t>y</w:t>
      </w:r>
      <w:r>
        <w:rPr>
          <w:spacing w:val="-24"/>
          <w:w w:val="115"/>
        </w:rPr>
        <w:t> </w:t>
      </w:r>
      <w:r>
        <w:rPr>
          <w:w w:val="115"/>
        </w:rPr>
        <w:t>el</w:t>
      </w:r>
      <w:r>
        <w:rPr>
          <w:spacing w:val="-24"/>
          <w:w w:val="115"/>
        </w:rPr>
        <w:t> </w:t>
      </w:r>
      <w:r>
        <w:rPr>
          <w:w w:val="115"/>
        </w:rPr>
        <w:t>Primer</w:t>
      </w:r>
      <w:r>
        <w:rPr>
          <w:spacing w:val="-24"/>
          <w:w w:val="115"/>
        </w:rPr>
        <w:t> </w:t>
      </w:r>
      <w:r>
        <w:rPr>
          <w:w w:val="115"/>
        </w:rPr>
        <w:t>Ministro</w:t>
      </w:r>
      <w:r>
        <w:rPr>
          <w:spacing w:val="-24"/>
          <w:w w:val="115"/>
        </w:rPr>
        <w:t> </w:t>
      </w:r>
      <w:r>
        <w:rPr>
          <w:w w:val="115"/>
        </w:rPr>
        <w:t>cana- diense, stephen </w:t>
      </w:r>
      <w:r>
        <w:rPr>
          <w:spacing w:val="-4"/>
          <w:w w:val="115"/>
        </w:rPr>
        <w:t>Harper, </w:t>
      </w:r>
      <w:r>
        <w:rPr>
          <w:w w:val="115"/>
        </w:rPr>
        <w:t>participaron en la séptima Cumbre de Jefes de</w:t>
      </w:r>
      <w:r>
        <w:rPr>
          <w:spacing w:val="-14"/>
          <w:w w:val="115"/>
        </w:rPr>
        <w:t> </w:t>
      </w:r>
      <w:r>
        <w:rPr>
          <w:w w:val="115"/>
        </w:rPr>
        <w:t>Estado</w:t>
      </w:r>
      <w:r>
        <w:rPr>
          <w:spacing w:val="-14"/>
          <w:w w:val="115"/>
        </w:rPr>
        <w:t> </w:t>
      </w:r>
      <w:r>
        <w:rPr>
          <w:w w:val="115"/>
        </w:rPr>
        <w:t>y</w:t>
      </w:r>
      <w:r>
        <w:rPr>
          <w:spacing w:val="-14"/>
          <w:w w:val="115"/>
        </w:rPr>
        <w:t> </w:t>
      </w:r>
      <w:r>
        <w:rPr>
          <w:w w:val="115"/>
        </w:rPr>
        <w:t>Gobiernos</w:t>
      </w:r>
      <w:r>
        <w:rPr>
          <w:spacing w:val="-14"/>
          <w:w w:val="115"/>
        </w:rPr>
        <w:t> </w:t>
      </w:r>
      <w:r>
        <w:rPr>
          <w:w w:val="115"/>
        </w:rPr>
        <w:t>de</w:t>
      </w:r>
      <w:r>
        <w:rPr>
          <w:spacing w:val="-14"/>
          <w:w w:val="115"/>
        </w:rPr>
        <w:t> </w:t>
      </w:r>
      <w:r>
        <w:rPr>
          <w:w w:val="115"/>
        </w:rPr>
        <w:t>américa</w:t>
      </w:r>
      <w:r>
        <w:rPr>
          <w:spacing w:val="-14"/>
          <w:w w:val="115"/>
        </w:rPr>
        <w:t> </w:t>
      </w:r>
      <w:r>
        <w:rPr>
          <w:w w:val="115"/>
        </w:rPr>
        <w:t>del</w:t>
      </w:r>
      <w:r>
        <w:rPr>
          <w:spacing w:val="-14"/>
          <w:w w:val="115"/>
        </w:rPr>
        <w:t> </w:t>
      </w:r>
      <w:r>
        <w:rPr>
          <w:w w:val="115"/>
        </w:rPr>
        <w:t>Norte,</w:t>
      </w:r>
      <w:r>
        <w:rPr>
          <w:spacing w:val="-14"/>
          <w:w w:val="115"/>
        </w:rPr>
        <w:t> </w:t>
      </w:r>
      <w:r>
        <w:rPr>
          <w:w w:val="115"/>
        </w:rPr>
        <w:t>efectuada</w:t>
      </w:r>
      <w:r>
        <w:rPr>
          <w:spacing w:val="-14"/>
          <w:w w:val="115"/>
        </w:rPr>
        <w:t> </w:t>
      </w:r>
      <w:r>
        <w:rPr>
          <w:w w:val="115"/>
        </w:rPr>
        <w:t>para</w:t>
      </w:r>
      <w:r>
        <w:rPr>
          <w:spacing w:val="-14"/>
          <w:w w:val="115"/>
        </w:rPr>
        <w:t> </w:t>
      </w:r>
      <w:r>
        <w:rPr>
          <w:w w:val="115"/>
        </w:rPr>
        <w:t>celebrar </w:t>
      </w:r>
      <w:r>
        <w:rPr>
          <w:w w:val="107"/>
        </w:rPr>
        <w:t>el</w:t>
      </w:r>
      <w:r>
        <w:rPr>
          <w:spacing w:val="18"/>
        </w:rPr>
        <w:t> </w:t>
      </w:r>
      <w:r>
        <w:rPr>
          <w:w w:val="96"/>
        </w:rPr>
        <w:t>20º</w:t>
      </w:r>
      <w:r>
        <w:rPr>
          <w:spacing w:val="18"/>
        </w:rPr>
        <w:t> </w:t>
      </w:r>
      <w:r>
        <w:rPr>
          <w:w w:val="139"/>
        </w:rPr>
        <w:t>a</w:t>
      </w:r>
      <w:r>
        <w:rPr>
          <w:w w:val="108"/>
        </w:rPr>
        <w:t>niversario</w:t>
      </w:r>
      <w:r>
        <w:rPr>
          <w:spacing w:val="18"/>
        </w:rPr>
        <w:t> </w:t>
      </w:r>
      <w:r>
        <w:rPr>
          <w:w w:val="107"/>
        </w:rPr>
        <w:t>de</w:t>
      </w:r>
      <w:r>
        <w:rPr>
          <w:spacing w:val="18"/>
        </w:rPr>
        <w:t> </w:t>
      </w:r>
      <w:r>
        <w:rPr>
          <w:w w:val="111"/>
        </w:rPr>
        <w:t>la</w:t>
      </w:r>
      <w:r>
        <w:rPr>
          <w:spacing w:val="18"/>
        </w:rPr>
        <w:t> </w:t>
      </w:r>
      <w:r>
        <w:rPr>
          <w:w w:val="109"/>
        </w:rPr>
        <w:t>entrada</w:t>
      </w:r>
      <w:r>
        <w:rPr>
          <w:spacing w:val="18"/>
        </w:rPr>
        <w:t> </w:t>
      </w:r>
      <w:r>
        <w:rPr>
          <w:w w:val="108"/>
        </w:rPr>
        <w:t>en</w:t>
      </w:r>
      <w:r>
        <w:rPr>
          <w:spacing w:val="18"/>
        </w:rPr>
        <w:t> </w:t>
      </w:r>
      <w:r>
        <w:rPr>
          <w:w w:val="108"/>
        </w:rPr>
        <w:t>vigor</w:t>
      </w:r>
      <w:r>
        <w:rPr>
          <w:spacing w:val="18"/>
        </w:rPr>
        <w:t> </w:t>
      </w:r>
      <w:r>
        <w:rPr>
          <w:w w:val="107"/>
        </w:rPr>
        <w:t>del</w:t>
      </w:r>
      <w:r>
        <w:rPr>
          <w:spacing w:val="18"/>
        </w:rPr>
        <w:t> </w:t>
      </w:r>
      <w:r>
        <w:rPr>
          <w:spacing w:val="-18"/>
          <w:w w:val="195"/>
        </w:rPr>
        <w:t>t</w:t>
      </w:r>
      <w:r>
        <w:rPr>
          <w:w w:val="109"/>
        </w:rPr>
        <w:t>ratado</w:t>
      </w:r>
      <w:r>
        <w:rPr>
          <w:spacing w:val="18"/>
        </w:rPr>
        <w:t> </w:t>
      </w:r>
      <w:r>
        <w:rPr>
          <w:w w:val="107"/>
        </w:rPr>
        <w:t>de</w:t>
      </w:r>
      <w:r>
        <w:rPr>
          <w:spacing w:val="18"/>
        </w:rPr>
        <w:t> </w:t>
      </w:r>
      <w:r>
        <w:rPr>
          <w:w w:val="243"/>
        </w:rPr>
        <w:t>l</w:t>
      </w:r>
      <w:r>
        <w:rPr>
          <w:w w:val="108"/>
        </w:rPr>
        <w:t>ibre</w:t>
      </w:r>
      <w:r>
        <w:rPr>
          <w:spacing w:val="18"/>
        </w:rPr>
        <w:t> </w:t>
      </w:r>
      <w:r>
        <w:rPr>
          <w:w w:val="112"/>
        </w:rPr>
        <w:t>Come</w:t>
      </w:r>
      <w:r>
        <w:rPr>
          <w:spacing w:val="-14"/>
          <w:w w:val="112"/>
        </w:rPr>
        <w:t>r</w:t>
      </w:r>
      <w:r>
        <w:rPr>
          <w:w w:val="102"/>
        </w:rPr>
        <w:t>- </w:t>
      </w:r>
      <w:r>
        <w:rPr>
          <w:w w:val="115"/>
        </w:rPr>
        <w:t>cio de américa del Norte </w:t>
      </w:r>
      <w:r>
        <w:rPr>
          <w:spacing w:val="-3"/>
          <w:w w:val="115"/>
        </w:rPr>
        <w:t>(NaFta, </w:t>
      </w:r>
      <w:r>
        <w:rPr>
          <w:w w:val="115"/>
        </w:rPr>
        <w:t>por sus siglas en inglés). según la declaración</w:t>
      </w:r>
      <w:r>
        <w:rPr>
          <w:spacing w:val="-20"/>
          <w:w w:val="115"/>
        </w:rPr>
        <w:t> </w:t>
      </w:r>
      <w:r>
        <w:rPr>
          <w:w w:val="115"/>
        </w:rPr>
        <w:t>conjunta</w:t>
      </w:r>
      <w:r>
        <w:rPr>
          <w:spacing w:val="-20"/>
          <w:w w:val="115"/>
        </w:rPr>
        <w:t> </w:t>
      </w:r>
      <w:r>
        <w:rPr>
          <w:w w:val="115"/>
        </w:rPr>
        <w:t>firmada</w:t>
      </w:r>
      <w:r>
        <w:rPr>
          <w:spacing w:val="-20"/>
          <w:w w:val="115"/>
        </w:rPr>
        <w:t> </w:t>
      </w:r>
      <w:r>
        <w:rPr>
          <w:w w:val="115"/>
        </w:rPr>
        <w:t>por</w:t>
      </w:r>
      <w:r>
        <w:rPr>
          <w:spacing w:val="-20"/>
          <w:w w:val="115"/>
        </w:rPr>
        <w:t> </w:t>
      </w:r>
      <w:r>
        <w:rPr>
          <w:w w:val="115"/>
        </w:rPr>
        <w:t>esos</w:t>
      </w:r>
      <w:r>
        <w:rPr>
          <w:spacing w:val="-20"/>
          <w:w w:val="115"/>
        </w:rPr>
        <w:t> </w:t>
      </w:r>
      <w:r>
        <w:rPr>
          <w:w w:val="115"/>
        </w:rPr>
        <w:t>tres</w:t>
      </w:r>
      <w:r>
        <w:rPr>
          <w:spacing w:val="-20"/>
          <w:w w:val="115"/>
        </w:rPr>
        <w:t> </w:t>
      </w:r>
      <w:r>
        <w:rPr>
          <w:w w:val="115"/>
        </w:rPr>
        <w:t>mandatarios,</w:t>
      </w:r>
      <w:r>
        <w:rPr>
          <w:spacing w:val="-20"/>
          <w:w w:val="115"/>
        </w:rPr>
        <w:t> </w:t>
      </w:r>
      <w:r>
        <w:rPr>
          <w:w w:val="115"/>
        </w:rPr>
        <w:t>esa</w:t>
      </w:r>
      <w:r>
        <w:rPr>
          <w:spacing w:val="-20"/>
          <w:w w:val="115"/>
        </w:rPr>
        <w:t> </w:t>
      </w:r>
      <w:r>
        <w:rPr>
          <w:w w:val="115"/>
        </w:rPr>
        <w:t>Cumbre inició “un nuevo capitulo de esa asociación”. En éste trabajarán en conjunto</w:t>
      </w:r>
      <w:r>
        <w:rPr>
          <w:spacing w:val="-13"/>
          <w:w w:val="115"/>
        </w:rPr>
        <w:t> </w:t>
      </w:r>
      <w:r>
        <w:rPr>
          <w:w w:val="115"/>
        </w:rPr>
        <w:t>para</w:t>
      </w:r>
      <w:r>
        <w:rPr>
          <w:spacing w:val="-13"/>
          <w:w w:val="115"/>
        </w:rPr>
        <w:t> </w:t>
      </w:r>
      <w:r>
        <w:rPr>
          <w:spacing w:val="-3"/>
          <w:w w:val="115"/>
        </w:rPr>
        <w:t>promover,</w:t>
      </w:r>
      <w:r>
        <w:rPr>
          <w:spacing w:val="-13"/>
          <w:w w:val="115"/>
        </w:rPr>
        <w:t> </w:t>
      </w:r>
      <w:r>
        <w:rPr>
          <w:w w:val="115"/>
        </w:rPr>
        <w:t>entre</w:t>
      </w:r>
      <w:r>
        <w:rPr>
          <w:spacing w:val="-13"/>
          <w:w w:val="115"/>
        </w:rPr>
        <w:t> </w:t>
      </w:r>
      <w:r>
        <w:rPr>
          <w:w w:val="115"/>
        </w:rPr>
        <w:t>otros</w:t>
      </w:r>
      <w:r>
        <w:rPr>
          <w:spacing w:val="-13"/>
          <w:w w:val="115"/>
        </w:rPr>
        <w:t> </w:t>
      </w:r>
      <w:r>
        <w:rPr>
          <w:w w:val="115"/>
        </w:rPr>
        <w:t>objetivos,</w:t>
      </w:r>
      <w:r>
        <w:rPr>
          <w:spacing w:val="-13"/>
          <w:w w:val="115"/>
        </w:rPr>
        <w:t> </w:t>
      </w:r>
      <w:r>
        <w:rPr>
          <w:w w:val="115"/>
        </w:rPr>
        <w:t>“la</w:t>
      </w:r>
      <w:r>
        <w:rPr>
          <w:spacing w:val="-13"/>
          <w:w w:val="115"/>
        </w:rPr>
        <w:t> </w:t>
      </w:r>
      <w:r>
        <w:rPr>
          <w:w w:val="115"/>
        </w:rPr>
        <w:t>prosperidad</w:t>
      </w:r>
      <w:r>
        <w:rPr>
          <w:spacing w:val="-13"/>
          <w:w w:val="115"/>
        </w:rPr>
        <w:t> </w:t>
      </w:r>
      <w:r>
        <w:rPr>
          <w:w w:val="115"/>
        </w:rPr>
        <w:t>com- partida</w:t>
      </w:r>
      <w:r>
        <w:rPr>
          <w:spacing w:val="-6"/>
          <w:w w:val="115"/>
        </w:rPr>
        <w:t> </w:t>
      </w:r>
      <w:r>
        <w:rPr>
          <w:w w:val="115"/>
        </w:rPr>
        <w:t>e</w:t>
      </w:r>
      <w:r>
        <w:rPr>
          <w:spacing w:val="-6"/>
          <w:w w:val="115"/>
        </w:rPr>
        <w:t> </w:t>
      </w:r>
      <w:r>
        <w:rPr>
          <w:w w:val="115"/>
        </w:rPr>
        <w:t>inclusiva”</w:t>
      </w:r>
      <w:r>
        <w:rPr>
          <w:spacing w:val="-6"/>
          <w:w w:val="115"/>
        </w:rPr>
        <w:t> </w:t>
      </w:r>
      <w:r>
        <w:rPr>
          <w:w w:val="115"/>
        </w:rPr>
        <w:t>de</w:t>
      </w:r>
      <w:r>
        <w:rPr>
          <w:spacing w:val="-6"/>
          <w:w w:val="115"/>
        </w:rPr>
        <w:t> </w:t>
      </w:r>
      <w:r>
        <w:rPr>
          <w:w w:val="115"/>
        </w:rPr>
        <w:t>sus</w:t>
      </w:r>
      <w:r>
        <w:rPr>
          <w:spacing w:val="-6"/>
          <w:w w:val="115"/>
        </w:rPr>
        <w:t> </w:t>
      </w:r>
      <w:r>
        <w:rPr>
          <w:w w:val="115"/>
        </w:rPr>
        <w:t>correspondientes</w:t>
      </w:r>
      <w:r>
        <w:rPr>
          <w:spacing w:val="-6"/>
          <w:w w:val="115"/>
        </w:rPr>
        <w:t> </w:t>
      </w:r>
      <w:r>
        <w:rPr>
          <w:w w:val="115"/>
        </w:rPr>
        <w:t>Estados,</w:t>
      </w:r>
      <w:r>
        <w:rPr>
          <w:spacing w:val="-6"/>
          <w:w w:val="115"/>
        </w:rPr>
        <w:t> </w:t>
      </w:r>
      <w:r>
        <w:rPr>
          <w:w w:val="115"/>
        </w:rPr>
        <w:t>así</w:t>
      </w:r>
      <w:r>
        <w:rPr>
          <w:spacing w:val="-6"/>
          <w:w w:val="115"/>
        </w:rPr>
        <w:t> </w:t>
      </w:r>
      <w:r>
        <w:rPr>
          <w:w w:val="115"/>
        </w:rPr>
        <w:t>como</w:t>
      </w:r>
      <w:r>
        <w:rPr>
          <w:spacing w:val="-6"/>
          <w:w w:val="115"/>
        </w:rPr>
        <w:t> </w:t>
      </w:r>
      <w:r>
        <w:rPr>
          <w:w w:val="115"/>
        </w:rPr>
        <w:t>“una mayor</w:t>
      </w:r>
      <w:r>
        <w:rPr>
          <w:spacing w:val="-19"/>
          <w:w w:val="115"/>
        </w:rPr>
        <w:t> </w:t>
      </w:r>
      <w:r>
        <w:rPr>
          <w:w w:val="115"/>
        </w:rPr>
        <w:t>liberalización</w:t>
      </w:r>
      <w:r>
        <w:rPr>
          <w:spacing w:val="-19"/>
          <w:w w:val="115"/>
        </w:rPr>
        <w:t> </w:t>
      </w:r>
      <w:r>
        <w:rPr>
          <w:w w:val="115"/>
        </w:rPr>
        <w:t>comercial</w:t>
      </w:r>
      <w:r>
        <w:rPr>
          <w:spacing w:val="-19"/>
          <w:w w:val="115"/>
        </w:rPr>
        <w:t> </w:t>
      </w:r>
      <w:r>
        <w:rPr>
          <w:w w:val="115"/>
        </w:rPr>
        <w:t>en</w:t>
      </w:r>
      <w:r>
        <w:rPr>
          <w:spacing w:val="-19"/>
          <w:w w:val="115"/>
        </w:rPr>
        <w:t> </w:t>
      </w:r>
      <w:r>
        <w:rPr>
          <w:w w:val="115"/>
        </w:rPr>
        <w:t>la</w:t>
      </w:r>
      <w:r>
        <w:rPr>
          <w:spacing w:val="-19"/>
          <w:w w:val="115"/>
        </w:rPr>
        <w:t> </w:t>
      </w:r>
      <w:r>
        <w:rPr>
          <w:w w:val="115"/>
        </w:rPr>
        <w:t>región</w:t>
      </w:r>
      <w:r>
        <w:rPr>
          <w:spacing w:val="-19"/>
          <w:w w:val="115"/>
        </w:rPr>
        <w:t> </w:t>
      </w:r>
      <w:r>
        <w:rPr>
          <w:w w:val="115"/>
        </w:rPr>
        <w:t>asia-Pacífico”.</w:t>
      </w:r>
    </w:p>
    <w:p>
      <w:pPr>
        <w:pStyle w:val="BodyText"/>
        <w:spacing w:line="252" w:lineRule="auto"/>
        <w:ind w:left="330" w:right="117" w:firstLine="396"/>
        <w:jc w:val="both"/>
      </w:pPr>
      <w:r>
        <w:rPr>
          <w:w w:val="110"/>
        </w:rPr>
        <w:t>igualmente, para enfrentar “los retos que representa el crimen organizado transnacional y otras amenazas a la seguridad de nuestros ciudadanos”. Y agregaron: “Como vecinos cada vez más integrados, reconocemos la necesidad de colaborar eficazmente para luchar con- tra las amenazas globales, como son el terrorismo internacional, y para proteger nuestra infraestructura vital compartida”. Con tal fin, acordaron, entre otras cosas, seguir coordinando y “buscando  nuevas</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áreas de cooperación para luchar contra el tráfico de drogas, el tráfico de armas y otros comercios ilícitos”, así como “contra el tráfico de personas en cualquiera de sus formas”. asimismo, “mejorar la segu- ridad regional” y seguir “cooperando con nuestros colaboradores en Centroamérica y en el Caribe, y con otros países en el hemisferio para promover el desarrollo, el crecimiento económico y la seguridad de los ciudadanos” (Noticias.terra, 2014).</w:t>
      </w:r>
    </w:p>
    <w:p>
      <w:pPr>
        <w:pStyle w:val="BodyText"/>
        <w:spacing w:line="252" w:lineRule="auto"/>
        <w:ind w:left="100" w:right="326" w:firstLine="396"/>
        <w:jc w:val="both"/>
      </w:pPr>
      <w:r>
        <w:rPr>
          <w:spacing w:val="-4"/>
          <w:w w:val="115"/>
        </w:rPr>
        <w:t>Vale</w:t>
      </w:r>
      <w:r>
        <w:rPr>
          <w:spacing w:val="-12"/>
          <w:w w:val="115"/>
        </w:rPr>
        <w:t> </w:t>
      </w:r>
      <w:r>
        <w:rPr>
          <w:w w:val="115"/>
        </w:rPr>
        <w:t>la</w:t>
      </w:r>
      <w:r>
        <w:rPr>
          <w:spacing w:val="-12"/>
          <w:w w:val="115"/>
        </w:rPr>
        <w:t> </w:t>
      </w:r>
      <w:r>
        <w:rPr>
          <w:w w:val="115"/>
        </w:rPr>
        <w:t>pena</w:t>
      </w:r>
      <w:r>
        <w:rPr>
          <w:spacing w:val="-12"/>
          <w:w w:val="115"/>
        </w:rPr>
        <w:t> </w:t>
      </w:r>
      <w:r>
        <w:rPr>
          <w:w w:val="115"/>
        </w:rPr>
        <w:t>destacar</w:t>
      </w:r>
      <w:r>
        <w:rPr>
          <w:spacing w:val="-12"/>
          <w:w w:val="115"/>
        </w:rPr>
        <w:t> </w:t>
      </w:r>
      <w:r>
        <w:rPr>
          <w:w w:val="115"/>
        </w:rPr>
        <w:t>que,</w:t>
      </w:r>
      <w:r>
        <w:rPr>
          <w:spacing w:val="-12"/>
          <w:w w:val="115"/>
        </w:rPr>
        <w:t> </w:t>
      </w:r>
      <w:r>
        <w:rPr>
          <w:w w:val="115"/>
        </w:rPr>
        <w:t>después</w:t>
      </w:r>
      <w:r>
        <w:rPr>
          <w:spacing w:val="-12"/>
          <w:w w:val="115"/>
        </w:rPr>
        <w:t> </w:t>
      </w:r>
      <w:r>
        <w:rPr>
          <w:w w:val="115"/>
        </w:rPr>
        <w:t>de</w:t>
      </w:r>
      <w:r>
        <w:rPr>
          <w:spacing w:val="-12"/>
          <w:w w:val="115"/>
        </w:rPr>
        <w:t> </w:t>
      </w:r>
      <w:r>
        <w:rPr>
          <w:w w:val="115"/>
        </w:rPr>
        <w:t>la</w:t>
      </w:r>
      <w:r>
        <w:rPr>
          <w:spacing w:val="-12"/>
          <w:w w:val="115"/>
        </w:rPr>
        <w:t> </w:t>
      </w:r>
      <w:r>
        <w:rPr>
          <w:w w:val="115"/>
        </w:rPr>
        <w:t>ratificación</w:t>
      </w:r>
      <w:r>
        <w:rPr>
          <w:spacing w:val="-12"/>
          <w:w w:val="115"/>
        </w:rPr>
        <w:t> </w:t>
      </w:r>
      <w:r>
        <w:rPr>
          <w:w w:val="115"/>
        </w:rPr>
        <w:t>de</w:t>
      </w:r>
      <w:r>
        <w:rPr>
          <w:spacing w:val="-12"/>
          <w:w w:val="115"/>
        </w:rPr>
        <w:t> </w:t>
      </w:r>
      <w:r>
        <w:rPr>
          <w:w w:val="115"/>
        </w:rPr>
        <w:t>ese</w:t>
      </w:r>
      <w:r>
        <w:rPr>
          <w:spacing w:val="-12"/>
          <w:w w:val="115"/>
        </w:rPr>
        <w:t> </w:t>
      </w:r>
      <w:r>
        <w:rPr>
          <w:w w:val="115"/>
        </w:rPr>
        <w:t>com- promiso</w:t>
      </w:r>
      <w:r>
        <w:rPr>
          <w:spacing w:val="-8"/>
          <w:w w:val="115"/>
        </w:rPr>
        <w:t> </w:t>
      </w:r>
      <w:r>
        <w:rPr>
          <w:w w:val="115"/>
        </w:rPr>
        <w:t>tripartito,</w:t>
      </w:r>
      <w:r>
        <w:rPr>
          <w:spacing w:val="-8"/>
          <w:w w:val="115"/>
        </w:rPr>
        <w:t> </w:t>
      </w:r>
      <w:r>
        <w:rPr>
          <w:w w:val="115"/>
        </w:rPr>
        <w:t>se</w:t>
      </w:r>
      <w:r>
        <w:rPr>
          <w:spacing w:val="-8"/>
          <w:w w:val="115"/>
        </w:rPr>
        <w:t> </w:t>
      </w:r>
      <w:r>
        <w:rPr>
          <w:w w:val="115"/>
        </w:rPr>
        <w:t>realizó</w:t>
      </w:r>
      <w:r>
        <w:rPr>
          <w:spacing w:val="-8"/>
          <w:w w:val="115"/>
        </w:rPr>
        <w:t> </w:t>
      </w:r>
      <w:r>
        <w:rPr>
          <w:w w:val="115"/>
        </w:rPr>
        <w:t>una</w:t>
      </w:r>
      <w:r>
        <w:rPr>
          <w:spacing w:val="-8"/>
          <w:w w:val="115"/>
        </w:rPr>
        <w:t> </w:t>
      </w:r>
      <w:r>
        <w:rPr>
          <w:w w:val="115"/>
        </w:rPr>
        <w:t>nueva</w:t>
      </w:r>
      <w:r>
        <w:rPr>
          <w:spacing w:val="-8"/>
          <w:w w:val="115"/>
        </w:rPr>
        <w:t> </w:t>
      </w:r>
      <w:r>
        <w:rPr>
          <w:w w:val="115"/>
        </w:rPr>
        <w:t>reunión</w:t>
      </w:r>
      <w:r>
        <w:rPr>
          <w:spacing w:val="-8"/>
          <w:w w:val="115"/>
        </w:rPr>
        <w:t> </w:t>
      </w:r>
      <w:r>
        <w:rPr>
          <w:w w:val="115"/>
        </w:rPr>
        <w:t>de</w:t>
      </w:r>
      <w:r>
        <w:rPr>
          <w:spacing w:val="-8"/>
          <w:w w:val="115"/>
        </w:rPr>
        <w:t> </w:t>
      </w:r>
      <w:r>
        <w:rPr>
          <w:w w:val="115"/>
        </w:rPr>
        <w:t>los</w:t>
      </w:r>
      <w:r>
        <w:rPr>
          <w:spacing w:val="-8"/>
          <w:w w:val="115"/>
        </w:rPr>
        <w:t> </w:t>
      </w:r>
      <w:r>
        <w:rPr>
          <w:w w:val="115"/>
        </w:rPr>
        <w:t>Ministros</w:t>
      </w:r>
      <w:r>
        <w:rPr>
          <w:spacing w:val="-8"/>
          <w:w w:val="115"/>
        </w:rPr>
        <w:t> </w:t>
      </w:r>
      <w:r>
        <w:rPr>
          <w:w w:val="115"/>
        </w:rPr>
        <w:t>de </w:t>
      </w:r>
      <w:r>
        <w:rPr>
          <w:w w:val="120"/>
        </w:rPr>
        <w:t>defensa de esos tres países y que, como se vio en la </w:t>
      </w:r>
      <w:r>
        <w:rPr>
          <w:spacing w:val="-4"/>
          <w:w w:val="120"/>
        </w:rPr>
        <w:t>tabla </w:t>
      </w:r>
      <w:r>
        <w:rPr>
          <w:w w:val="120"/>
        </w:rPr>
        <w:t>1,</w:t>
      </w:r>
      <w:r>
        <w:rPr>
          <w:spacing w:val="-33"/>
          <w:w w:val="120"/>
        </w:rPr>
        <w:t> </w:t>
      </w:r>
      <w:r>
        <w:rPr>
          <w:w w:val="120"/>
        </w:rPr>
        <w:t>entre </w:t>
      </w:r>
      <w:r>
        <w:rPr>
          <w:w w:val="115"/>
        </w:rPr>
        <w:t>2013 y lo transcurrido de 2014 la actual administración estadouni- dense incrementó su financiamiento a los componentes militares y policiales</w:t>
      </w:r>
      <w:r>
        <w:rPr>
          <w:spacing w:val="-14"/>
          <w:w w:val="115"/>
        </w:rPr>
        <w:t> </w:t>
      </w:r>
      <w:r>
        <w:rPr>
          <w:w w:val="115"/>
        </w:rPr>
        <w:t>de</w:t>
      </w:r>
      <w:r>
        <w:rPr>
          <w:spacing w:val="-14"/>
          <w:w w:val="115"/>
        </w:rPr>
        <w:t> </w:t>
      </w:r>
      <w:r>
        <w:rPr>
          <w:w w:val="115"/>
        </w:rPr>
        <w:t>su</w:t>
      </w:r>
      <w:r>
        <w:rPr>
          <w:spacing w:val="-14"/>
          <w:w w:val="115"/>
        </w:rPr>
        <w:t> </w:t>
      </w:r>
      <w:r>
        <w:rPr>
          <w:w w:val="115"/>
        </w:rPr>
        <w:t>iniciativa</w:t>
      </w:r>
      <w:r>
        <w:rPr>
          <w:spacing w:val="-14"/>
          <w:w w:val="115"/>
        </w:rPr>
        <w:t> </w:t>
      </w:r>
      <w:r>
        <w:rPr>
          <w:w w:val="115"/>
        </w:rPr>
        <w:t>regional</w:t>
      </w:r>
      <w:r>
        <w:rPr>
          <w:spacing w:val="-14"/>
          <w:w w:val="115"/>
        </w:rPr>
        <w:t> </w:t>
      </w:r>
      <w:r>
        <w:rPr>
          <w:w w:val="115"/>
        </w:rPr>
        <w:t>para</w:t>
      </w:r>
      <w:r>
        <w:rPr>
          <w:spacing w:val="-14"/>
          <w:w w:val="115"/>
        </w:rPr>
        <w:t> </w:t>
      </w:r>
      <w:r>
        <w:rPr>
          <w:w w:val="115"/>
        </w:rPr>
        <w:t>la</w:t>
      </w:r>
      <w:r>
        <w:rPr>
          <w:spacing w:val="-14"/>
          <w:w w:val="115"/>
        </w:rPr>
        <w:t> </w:t>
      </w:r>
      <w:r>
        <w:rPr>
          <w:w w:val="115"/>
        </w:rPr>
        <w:t>seguridad</w:t>
      </w:r>
      <w:r>
        <w:rPr>
          <w:spacing w:val="-14"/>
          <w:w w:val="115"/>
        </w:rPr>
        <w:t> </w:t>
      </w:r>
      <w:r>
        <w:rPr>
          <w:w w:val="115"/>
        </w:rPr>
        <w:t>Centroamerica- </w:t>
      </w:r>
      <w:r>
        <w:rPr>
          <w:w w:val="112"/>
        </w:rPr>
        <w:t>na</w:t>
      </w:r>
      <w:r>
        <w:rPr>
          <w:spacing w:val="14"/>
        </w:rPr>
        <w:t> </w:t>
      </w:r>
      <w:r>
        <w:rPr>
          <w:w w:val="114"/>
        </w:rPr>
        <w:t>(C</w:t>
      </w:r>
      <w:r>
        <w:rPr>
          <w:w w:val="153"/>
        </w:rPr>
        <w:t>arsi</w:t>
      </w:r>
      <w:r>
        <w:rPr>
          <w:w w:val="138"/>
        </w:rPr>
        <w:t>,</w:t>
      </w:r>
      <w:r>
        <w:rPr>
          <w:spacing w:val="14"/>
        </w:rPr>
        <w:t> </w:t>
      </w:r>
      <w:r>
        <w:rPr>
          <w:w w:val="108"/>
        </w:rPr>
        <w:t>por</w:t>
      </w:r>
      <w:r>
        <w:rPr>
          <w:spacing w:val="14"/>
        </w:rPr>
        <w:t> </w:t>
      </w:r>
      <w:r>
        <w:rPr>
          <w:w w:val="108"/>
        </w:rPr>
        <w:t>sus</w:t>
      </w:r>
      <w:r>
        <w:rPr>
          <w:spacing w:val="14"/>
        </w:rPr>
        <w:t> </w:t>
      </w:r>
      <w:r>
        <w:rPr>
          <w:w w:val="109"/>
        </w:rPr>
        <w:t>siglas</w:t>
      </w:r>
      <w:r>
        <w:rPr>
          <w:spacing w:val="14"/>
        </w:rPr>
        <w:t> </w:t>
      </w:r>
      <w:r>
        <w:rPr>
          <w:w w:val="108"/>
        </w:rPr>
        <w:t>en</w:t>
      </w:r>
      <w:r>
        <w:rPr>
          <w:spacing w:val="14"/>
        </w:rPr>
        <w:t> </w:t>
      </w:r>
      <w:r>
        <w:rPr>
          <w:w w:val="110"/>
        </w:rPr>
        <w:t>inglés).</w:t>
      </w:r>
      <w:r>
        <w:rPr>
          <w:spacing w:val="14"/>
        </w:rPr>
        <w:t> </w:t>
      </w:r>
      <w:r>
        <w:rPr>
          <w:w w:val="243"/>
        </w:rPr>
        <w:t>l</w:t>
      </w:r>
      <w:r>
        <w:rPr>
          <w:w w:val="112"/>
        </w:rPr>
        <w:t>a</w:t>
      </w:r>
      <w:r>
        <w:rPr>
          <w:spacing w:val="14"/>
        </w:rPr>
        <w:t> </w:t>
      </w:r>
      <w:r>
        <w:rPr>
          <w:w w:val="111"/>
        </w:rPr>
        <w:t>continuidad</w:t>
      </w:r>
      <w:r>
        <w:rPr>
          <w:spacing w:val="14"/>
        </w:rPr>
        <w:t> </w:t>
      </w:r>
      <w:r>
        <w:rPr>
          <w:w w:val="107"/>
        </w:rPr>
        <w:t>de</w:t>
      </w:r>
      <w:r>
        <w:rPr>
          <w:spacing w:val="14"/>
        </w:rPr>
        <w:t> </w:t>
      </w:r>
      <w:r>
        <w:rPr>
          <w:w w:val="107"/>
        </w:rPr>
        <w:t>esa</w:t>
      </w:r>
      <w:r>
        <w:rPr>
          <w:spacing w:val="14"/>
        </w:rPr>
        <w:t> </w:t>
      </w:r>
      <w:r>
        <w:rPr>
          <w:w w:val="111"/>
        </w:rPr>
        <w:t>iniciativa </w:t>
      </w:r>
      <w:r>
        <w:rPr>
          <w:w w:val="120"/>
        </w:rPr>
        <w:t>fue</w:t>
      </w:r>
      <w:r>
        <w:rPr>
          <w:spacing w:val="-15"/>
          <w:w w:val="120"/>
        </w:rPr>
        <w:t> </w:t>
      </w:r>
      <w:r>
        <w:rPr>
          <w:w w:val="120"/>
        </w:rPr>
        <w:t>ratificada</w:t>
      </w:r>
      <w:r>
        <w:rPr>
          <w:spacing w:val="-15"/>
          <w:w w:val="120"/>
        </w:rPr>
        <w:t> </w:t>
      </w:r>
      <w:r>
        <w:rPr>
          <w:w w:val="120"/>
        </w:rPr>
        <w:t>por</w:t>
      </w:r>
      <w:r>
        <w:rPr>
          <w:spacing w:val="-15"/>
          <w:w w:val="120"/>
        </w:rPr>
        <w:t> </w:t>
      </w:r>
      <w:r>
        <w:rPr>
          <w:w w:val="120"/>
        </w:rPr>
        <w:t>barack</w:t>
      </w:r>
      <w:r>
        <w:rPr>
          <w:spacing w:val="-15"/>
          <w:w w:val="120"/>
        </w:rPr>
        <w:t> </w:t>
      </w:r>
      <w:r>
        <w:rPr>
          <w:w w:val="120"/>
        </w:rPr>
        <w:t>obama</w:t>
      </w:r>
      <w:r>
        <w:rPr>
          <w:spacing w:val="-15"/>
          <w:w w:val="120"/>
        </w:rPr>
        <w:t> </w:t>
      </w:r>
      <w:r>
        <w:rPr>
          <w:w w:val="120"/>
        </w:rPr>
        <w:t>en</w:t>
      </w:r>
      <w:r>
        <w:rPr>
          <w:spacing w:val="-15"/>
          <w:w w:val="120"/>
        </w:rPr>
        <w:t> </w:t>
      </w:r>
      <w:r>
        <w:rPr>
          <w:w w:val="120"/>
        </w:rPr>
        <w:t>la</w:t>
      </w:r>
      <w:r>
        <w:rPr>
          <w:spacing w:val="-15"/>
          <w:w w:val="120"/>
        </w:rPr>
        <w:t> </w:t>
      </w:r>
      <w:r>
        <w:rPr>
          <w:w w:val="120"/>
        </w:rPr>
        <w:t>reunión</w:t>
      </w:r>
      <w:r>
        <w:rPr>
          <w:spacing w:val="-15"/>
          <w:w w:val="120"/>
        </w:rPr>
        <w:t> </w:t>
      </w:r>
      <w:r>
        <w:rPr>
          <w:w w:val="120"/>
        </w:rPr>
        <w:t>que</w:t>
      </w:r>
      <w:r>
        <w:rPr>
          <w:spacing w:val="-15"/>
          <w:w w:val="120"/>
        </w:rPr>
        <w:t> </w:t>
      </w:r>
      <w:r>
        <w:rPr>
          <w:w w:val="120"/>
        </w:rPr>
        <w:t>a</w:t>
      </w:r>
      <w:r>
        <w:rPr>
          <w:spacing w:val="-15"/>
          <w:w w:val="120"/>
        </w:rPr>
        <w:t> </w:t>
      </w:r>
      <w:r>
        <w:rPr>
          <w:w w:val="120"/>
        </w:rPr>
        <w:t>comienzos</w:t>
      </w:r>
      <w:r>
        <w:rPr>
          <w:spacing w:val="-15"/>
          <w:w w:val="120"/>
        </w:rPr>
        <w:t> </w:t>
      </w:r>
      <w:r>
        <w:rPr>
          <w:w w:val="120"/>
        </w:rPr>
        <w:t>de mayo</w:t>
      </w:r>
      <w:r>
        <w:rPr>
          <w:spacing w:val="-30"/>
          <w:w w:val="120"/>
        </w:rPr>
        <w:t> </w:t>
      </w:r>
      <w:r>
        <w:rPr>
          <w:w w:val="120"/>
        </w:rPr>
        <w:t>de</w:t>
      </w:r>
      <w:r>
        <w:rPr>
          <w:spacing w:val="-30"/>
          <w:w w:val="120"/>
        </w:rPr>
        <w:t> </w:t>
      </w:r>
      <w:r>
        <w:rPr>
          <w:w w:val="120"/>
        </w:rPr>
        <w:t>2013</w:t>
      </w:r>
      <w:r>
        <w:rPr>
          <w:spacing w:val="-30"/>
          <w:w w:val="120"/>
        </w:rPr>
        <w:t> </w:t>
      </w:r>
      <w:r>
        <w:rPr>
          <w:w w:val="120"/>
        </w:rPr>
        <w:t>sostuvo</w:t>
      </w:r>
      <w:r>
        <w:rPr>
          <w:spacing w:val="-30"/>
          <w:w w:val="120"/>
        </w:rPr>
        <w:t> </w:t>
      </w:r>
      <w:r>
        <w:rPr>
          <w:w w:val="120"/>
        </w:rPr>
        <w:t>en</w:t>
      </w:r>
      <w:r>
        <w:rPr>
          <w:spacing w:val="-30"/>
          <w:w w:val="120"/>
        </w:rPr>
        <w:t> </w:t>
      </w:r>
      <w:r>
        <w:rPr>
          <w:w w:val="120"/>
        </w:rPr>
        <w:t>Costa</w:t>
      </w:r>
      <w:r>
        <w:rPr>
          <w:spacing w:val="-30"/>
          <w:w w:val="120"/>
        </w:rPr>
        <w:t> </w:t>
      </w:r>
      <w:r>
        <w:rPr>
          <w:w w:val="120"/>
        </w:rPr>
        <w:t>rica</w:t>
      </w:r>
      <w:r>
        <w:rPr>
          <w:spacing w:val="-30"/>
          <w:w w:val="120"/>
        </w:rPr>
        <w:t> </w:t>
      </w:r>
      <w:r>
        <w:rPr>
          <w:w w:val="120"/>
        </w:rPr>
        <w:t>con</w:t>
      </w:r>
      <w:r>
        <w:rPr>
          <w:spacing w:val="-30"/>
          <w:w w:val="120"/>
        </w:rPr>
        <w:t> </w:t>
      </w:r>
      <w:r>
        <w:rPr>
          <w:w w:val="120"/>
        </w:rPr>
        <w:t>todos</w:t>
      </w:r>
      <w:r>
        <w:rPr>
          <w:spacing w:val="-30"/>
          <w:w w:val="120"/>
        </w:rPr>
        <w:t> </w:t>
      </w:r>
      <w:r>
        <w:rPr>
          <w:w w:val="120"/>
        </w:rPr>
        <w:t>los</w:t>
      </w:r>
      <w:r>
        <w:rPr>
          <w:spacing w:val="-30"/>
          <w:w w:val="120"/>
        </w:rPr>
        <w:t> </w:t>
      </w:r>
      <w:r>
        <w:rPr>
          <w:w w:val="120"/>
        </w:rPr>
        <w:t>mandatarios</w:t>
      </w:r>
      <w:r>
        <w:rPr>
          <w:spacing w:val="-30"/>
          <w:w w:val="120"/>
        </w:rPr>
        <w:t> </w:t>
      </w:r>
      <w:r>
        <w:rPr>
          <w:w w:val="120"/>
        </w:rPr>
        <w:t>cen- troamericanos</w:t>
      </w:r>
      <w:r>
        <w:rPr>
          <w:spacing w:val="-30"/>
          <w:w w:val="120"/>
        </w:rPr>
        <w:t> </w:t>
      </w:r>
      <w:r>
        <w:rPr>
          <w:w w:val="120"/>
        </w:rPr>
        <w:t>y</w:t>
      </w:r>
      <w:r>
        <w:rPr>
          <w:spacing w:val="-30"/>
          <w:w w:val="120"/>
        </w:rPr>
        <w:t> </w:t>
      </w:r>
      <w:r>
        <w:rPr>
          <w:w w:val="120"/>
        </w:rPr>
        <w:t>con</w:t>
      </w:r>
      <w:r>
        <w:rPr>
          <w:spacing w:val="-30"/>
          <w:w w:val="120"/>
        </w:rPr>
        <w:t> </w:t>
      </w:r>
      <w:r>
        <w:rPr>
          <w:w w:val="120"/>
        </w:rPr>
        <w:t>el</w:t>
      </w:r>
      <w:r>
        <w:rPr>
          <w:spacing w:val="-30"/>
          <w:w w:val="120"/>
        </w:rPr>
        <w:t> </w:t>
      </w:r>
      <w:r>
        <w:rPr>
          <w:w w:val="120"/>
        </w:rPr>
        <w:t>presidente</w:t>
      </w:r>
      <w:r>
        <w:rPr>
          <w:spacing w:val="-30"/>
          <w:w w:val="120"/>
        </w:rPr>
        <w:t> </w:t>
      </w:r>
      <w:r>
        <w:rPr>
          <w:w w:val="120"/>
        </w:rPr>
        <w:t>de</w:t>
      </w:r>
      <w:r>
        <w:rPr>
          <w:spacing w:val="-30"/>
          <w:w w:val="120"/>
        </w:rPr>
        <w:t> </w:t>
      </w:r>
      <w:r>
        <w:rPr>
          <w:w w:val="120"/>
        </w:rPr>
        <w:t>república</w:t>
      </w:r>
      <w:r>
        <w:rPr>
          <w:spacing w:val="-30"/>
          <w:w w:val="120"/>
        </w:rPr>
        <w:t> </w:t>
      </w:r>
      <w:r>
        <w:rPr>
          <w:w w:val="120"/>
        </w:rPr>
        <w:t>dominicana,</w:t>
      </w:r>
      <w:r>
        <w:rPr>
          <w:spacing w:val="-30"/>
          <w:w w:val="120"/>
        </w:rPr>
        <w:t> </w:t>
      </w:r>
      <w:r>
        <w:rPr>
          <w:w w:val="120"/>
        </w:rPr>
        <w:t>danilo </w:t>
      </w:r>
      <w:r>
        <w:rPr>
          <w:w w:val="115"/>
        </w:rPr>
        <w:t>Medina</w:t>
      </w:r>
      <w:r>
        <w:rPr>
          <w:spacing w:val="-23"/>
          <w:w w:val="115"/>
        </w:rPr>
        <w:t> </w:t>
      </w:r>
      <w:r>
        <w:rPr>
          <w:w w:val="115"/>
        </w:rPr>
        <w:t>(sabatini,</w:t>
      </w:r>
      <w:r>
        <w:rPr>
          <w:spacing w:val="-23"/>
          <w:w w:val="115"/>
        </w:rPr>
        <w:t> </w:t>
      </w:r>
      <w:r>
        <w:rPr>
          <w:w w:val="115"/>
        </w:rPr>
        <w:t>2013).</w:t>
      </w:r>
    </w:p>
    <w:p>
      <w:pPr>
        <w:pStyle w:val="BodyText"/>
        <w:spacing w:line="252" w:lineRule="auto"/>
        <w:ind w:left="100" w:right="326" w:firstLine="397"/>
        <w:jc w:val="both"/>
      </w:pPr>
      <w:r>
        <w:rPr>
          <w:w w:val="110"/>
        </w:rPr>
        <w:t>Pocos días después, la importancia que el actual gobierno esta- dounidense le atribuye a su iniciativa para la seguridad de la Cuen-    ca del Caribe (Cbsi) fue acentuada en la reunión que a fines de ese  mes sostuvo en trinidad y  </w:t>
      </w:r>
      <w:r>
        <w:rPr>
          <w:spacing w:val="-2"/>
          <w:w w:val="110"/>
        </w:rPr>
        <w:t>tobago  </w:t>
      </w:r>
      <w:r>
        <w:rPr>
          <w:w w:val="110"/>
        </w:rPr>
        <w:t>el  vicepresidente  Joe  biden  con los Jefes de Estado y de Gobierno de los 14 Estados independientes integrantes</w:t>
      </w:r>
      <w:r>
        <w:rPr>
          <w:spacing w:val="35"/>
          <w:w w:val="110"/>
        </w:rPr>
        <w:t> </w:t>
      </w:r>
      <w:r>
        <w:rPr>
          <w:w w:val="110"/>
        </w:rPr>
        <w:t>de</w:t>
      </w:r>
      <w:r>
        <w:rPr>
          <w:spacing w:val="35"/>
          <w:w w:val="110"/>
        </w:rPr>
        <w:t> </w:t>
      </w:r>
      <w:r>
        <w:rPr>
          <w:w w:val="110"/>
        </w:rPr>
        <w:t>la</w:t>
      </w:r>
      <w:r>
        <w:rPr>
          <w:spacing w:val="35"/>
          <w:w w:val="110"/>
        </w:rPr>
        <w:t> </w:t>
      </w:r>
      <w:r>
        <w:rPr>
          <w:w w:val="110"/>
        </w:rPr>
        <w:t>Comunidad</w:t>
      </w:r>
      <w:r>
        <w:rPr>
          <w:spacing w:val="35"/>
          <w:w w:val="110"/>
        </w:rPr>
        <w:t> </w:t>
      </w:r>
      <w:r>
        <w:rPr>
          <w:w w:val="110"/>
        </w:rPr>
        <w:t>del</w:t>
      </w:r>
      <w:r>
        <w:rPr>
          <w:spacing w:val="35"/>
          <w:w w:val="110"/>
        </w:rPr>
        <w:t> </w:t>
      </w:r>
      <w:r>
        <w:rPr>
          <w:w w:val="110"/>
        </w:rPr>
        <w:t>Caribe</w:t>
      </w:r>
      <w:r>
        <w:rPr>
          <w:spacing w:val="35"/>
          <w:w w:val="110"/>
        </w:rPr>
        <w:t> </w:t>
      </w:r>
      <w:r>
        <w:rPr>
          <w:w w:val="110"/>
        </w:rPr>
        <w:t>(CariCoM).</w:t>
      </w:r>
      <w:r>
        <w:rPr>
          <w:spacing w:val="35"/>
          <w:w w:val="110"/>
        </w:rPr>
        <w:t> </w:t>
      </w:r>
      <w:r>
        <w:rPr>
          <w:w w:val="110"/>
        </w:rPr>
        <w:t>En</w:t>
      </w:r>
      <w:r>
        <w:rPr>
          <w:spacing w:val="35"/>
          <w:w w:val="110"/>
        </w:rPr>
        <w:t> </w:t>
      </w:r>
      <w:r>
        <w:rPr>
          <w:w w:val="110"/>
        </w:rPr>
        <w:t>esa</w:t>
      </w:r>
      <w:r>
        <w:rPr>
          <w:spacing w:val="35"/>
          <w:w w:val="110"/>
        </w:rPr>
        <w:t> </w:t>
      </w:r>
      <w:r>
        <w:rPr>
          <w:w w:val="110"/>
        </w:rPr>
        <w:t>ocasión</w:t>
      </w:r>
    </w:p>
    <w:p>
      <w:pPr>
        <w:pStyle w:val="BodyText"/>
        <w:spacing w:line="252" w:lineRule="auto"/>
        <w:ind w:left="100" w:right="326"/>
        <w:jc w:val="both"/>
      </w:pPr>
      <w:r>
        <w:rPr>
          <w:w w:val="110"/>
        </w:rPr>
        <w:t>–además de ampliar los acuerdos bilaterales en el campo energético, así como en los de la defensa y la seguridad con el gobierno de trini- tario, encabezado por la Primer Ministro Kamla Persad-bissessar– biden intentó contrarrestar los descontentos que se habían generado entre los gobiernos partícipes en ese proyecto de concertación polí- tica, cooperación funcional e integración económica a causa de la displicencia de Estados unidos frente a los negativos impactos que    “la crisis global” ha tenido en las economías y las sociedades de esa región (sants,</w:t>
      </w:r>
      <w:r>
        <w:rPr>
          <w:spacing w:val="41"/>
          <w:w w:val="110"/>
        </w:rPr>
        <w:t> </w:t>
      </w:r>
      <w:r>
        <w:rPr>
          <w:w w:val="110"/>
        </w:rPr>
        <w:t>2013).</w:t>
      </w:r>
    </w:p>
    <w:p>
      <w:pPr>
        <w:pStyle w:val="BodyText"/>
        <w:spacing w:line="252" w:lineRule="auto"/>
        <w:ind w:left="100" w:right="327" w:firstLine="396"/>
        <w:jc w:val="both"/>
      </w:pPr>
      <w:r>
        <w:rPr>
          <w:w w:val="110"/>
        </w:rPr>
        <w:t>Esos descontentos eran mayores a causa de la disminución en    11 millones de dólares de los fondos destinados a la </w:t>
      </w:r>
      <w:r>
        <w:rPr>
          <w:w w:val="125"/>
        </w:rPr>
        <w:t>Cbsi </w:t>
      </w:r>
      <w:r>
        <w:rPr>
          <w:w w:val="110"/>
        </w:rPr>
        <w:t>en el Pre- supuesto Federal Estadounidense </w:t>
      </w:r>
      <w:r>
        <w:rPr>
          <w:spacing w:val="-7"/>
          <w:w w:val="110"/>
        </w:rPr>
        <w:t>(FY, </w:t>
      </w:r>
      <w:r>
        <w:rPr>
          <w:w w:val="110"/>
        </w:rPr>
        <w:t>por su acrónimo en inglés) de 2013-2014 y en más de 1 millón de dólares la ayuda económica y so- cial que en el FY de 2012-2013 se le habían ofrecido a los pequeños estados insulares del Caribe oriental; cuyos gobiernos –con excepción de </w:t>
      </w:r>
      <w:r>
        <w:rPr>
          <w:spacing w:val="-3"/>
          <w:w w:val="110"/>
        </w:rPr>
        <w:t>trinidad  </w:t>
      </w:r>
      <w:r>
        <w:rPr>
          <w:w w:val="110"/>
        </w:rPr>
        <w:t>y </w:t>
      </w:r>
      <w:r>
        <w:rPr>
          <w:spacing w:val="-3"/>
          <w:w w:val="110"/>
        </w:rPr>
        <w:t>tobago  </w:t>
      </w:r>
      <w:r>
        <w:rPr>
          <w:w w:val="110"/>
        </w:rPr>
        <w:t>y barbados– forman parte de </w:t>
      </w:r>
      <w:r>
        <w:rPr>
          <w:w w:val="125"/>
        </w:rPr>
        <w:t>PEtroCaribE </w:t>
      </w:r>
      <w:r>
        <w:rPr>
          <w:w w:val="110"/>
        </w:rPr>
        <w:t>y  del Fondo </w:t>
      </w:r>
      <w:r>
        <w:rPr>
          <w:w w:val="125"/>
        </w:rPr>
        <w:t>alba-CaribE, </w:t>
      </w:r>
      <w:r>
        <w:rPr>
          <w:w w:val="110"/>
        </w:rPr>
        <w:t>impulsados desde 2005 por los sucesivos gobiernos de la república bolivariana de Venezuela. según lo indica- do por algunos medios periodísticos estadounidenses, para tratar    de</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5"/>
        </w:rPr>
        <w:t>contrarrestar</w:t>
      </w:r>
      <w:r>
        <w:rPr>
          <w:spacing w:val="-27"/>
          <w:w w:val="115"/>
        </w:rPr>
        <w:t> </w:t>
      </w:r>
      <w:r>
        <w:rPr>
          <w:w w:val="115"/>
        </w:rPr>
        <w:t>“esa</w:t>
      </w:r>
      <w:r>
        <w:rPr>
          <w:spacing w:val="-27"/>
          <w:w w:val="115"/>
        </w:rPr>
        <w:t> </w:t>
      </w:r>
      <w:r>
        <w:rPr>
          <w:w w:val="115"/>
        </w:rPr>
        <w:t>influencia”,</w:t>
      </w:r>
      <w:r>
        <w:rPr>
          <w:spacing w:val="-27"/>
          <w:w w:val="115"/>
        </w:rPr>
        <w:t> </w:t>
      </w:r>
      <w:r>
        <w:rPr>
          <w:w w:val="115"/>
        </w:rPr>
        <w:t>biden</w:t>
      </w:r>
      <w:r>
        <w:rPr>
          <w:spacing w:val="-27"/>
          <w:w w:val="115"/>
        </w:rPr>
        <w:t> </w:t>
      </w:r>
      <w:r>
        <w:rPr>
          <w:w w:val="115"/>
        </w:rPr>
        <w:t>firmó</w:t>
      </w:r>
      <w:r>
        <w:rPr>
          <w:spacing w:val="-27"/>
          <w:w w:val="115"/>
        </w:rPr>
        <w:t> </w:t>
      </w:r>
      <w:r>
        <w:rPr>
          <w:w w:val="115"/>
        </w:rPr>
        <w:t>un</w:t>
      </w:r>
      <w:r>
        <w:rPr>
          <w:spacing w:val="-27"/>
          <w:w w:val="115"/>
        </w:rPr>
        <w:t> </w:t>
      </w:r>
      <w:r>
        <w:rPr>
          <w:w w:val="115"/>
        </w:rPr>
        <w:t>“nuevo”</w:t>
      </w:r>
      <w:r>
        <w:rPr>
          <w:spacing w:val="-27"/>
          <w:w w:val="115"/>
        </w:rPr>
        <w:t> </w:t>
      </w:r>
      <w:r>
        <w:rPr>
          <w:w w:val="115"/>
        </w:rPr>
        <w:t>acuerdo</w:t>
      </w:r>
      <w:r>
        <w:rPr>
          <w:spacing w:val="-27"/>
          <w:w w:val="115"/>
        </w:rPr>
        <w:t> </w:t>
      </w:r>
      <w:r>
        <w:rPr>
          <w:w w:val="115"/>
        </w:rPr>
        <w:t>Marco </w:t>
      </w:r>
      <w:r>
        <w:rPr>
          <w:w w:val="120"/>
        </w:rPr>
        <w:t>de</w:t>
      </w:r>
      <w:r>
        <w:rPr>
          <w:spacing w:val="-33"/>
          <w:w w:val="120"/>
        </w:rPr>
        <w:t> </w:t>
      </w:r>
      <w:r>
        <w:rPr>
          <w:w w:val="120"/>
        </w:rPr>
        <w:t>inversión</w:t>
      </w:r>
      <w:r>
        <w:rPr>
          <w:spacing w:val="-33"/>
          <w:w w:val="120"/>
        </w:rPr>
        <w:t> </w:t>
      </w:r>
      <w:r>
        <w:rPr>
          <w:w w:val="120"/>
        </w:rPr>
        <w:t>y</w:t>
      </w:r>
      <w:r>
        <w:rPr>
          <w:spacing w:val="-33"/>
          <w:w w:val="120"/>
        </w:rPr>
        <w:t> </w:t>
      </w:r>
      <w:r>
        <w:rPr>
          <w:w w:val="120"/>
        </w:rPr>
        <w:t>Comercio</w:t>
      </w:r>
      <w:r>
        <w:rPr>
          <w:spacing w:val="-33"/>
          <w:w w:val="120"/>
        </w:rPr>
        <w:t> </w:t>
      </w:r>
      <w:r>
        <w:rPr>
          <w:w w:val="120"/>
        </w:rPr>
        <w:t>(tiFa,</w:t>
      </w:r>
      <w:r>
        <w:rPr>
          <w:spacing w:val="-33"/>
          <w:w w:val="120"/>
        </w:rPr>
        <w:t> </w:t>
      </w:r>
      <w:r>
        <w:rPr>
          <w:w w:val="120"/>
        </w:rPr>
        <w:t>por</w:t>
      </w:r>
      <w:r>
        <w:rPr>
          <w:spacing w:val="-33"/>
          <w:w w:val="120"/>
        </w:rPr>
        <w:t> </w:t>
      </w:r>
      <w:r>
        <w:rPr>
          <w:w w:val="120"/>
        </w:rPr>
        <w:t>su</w:t>
      </w:r>
      <w:r>
        <w:rPr>
          <w:spacing w:val="-33"/>
          <w:w w:val="120"/>
        </w:rPr>
        <w:t> </w:t>
      </w:r>
      <w:r>
        <w:rPr>
          <w:w w:val="120"/>
        </w:rPr>
        <w:t>sigla</w:t>
      </w:r>
      <w:r>
        <w:rPr>
          <w:spacing w:val="-33"/>
          <w:w w:val="120"/>
        </w:rPr>
        <w:t> </w:t>
      </w:r>
      <w:r>
        <w:rPr>
          <w:w w:val="120"/>
        </w:rPr>
        <w:t>en</w:t>
      </w:r>
      <w:r>
        <w:rPr>
          <w:spacing w:val="-33"/>
          <w:w w:val="120"/>
        </w:rPr>
        <w:t> </w:t>
      </w:r>
      <w:r>
        <w:rPr>
          <w:w w:val="120"/>
        </w:rPr>
        <w:t>inglés)</w:t>
      </w:r>
      <w:r>
        <w:rPr>
          <w:spacing w:val="-33"/>
          <w:w w:val="120"/>
        </w:rPr>
        <w:t> </w:t>
      </w:r>
      <w:r>
        <w:rPr>
          <w:w w:val="120"/>
        </w:rPr>
        <w:t>con</w:t>
      </w:r>
      <w:r>
        <w:rPr>
          <w:spacing w:val="-33"/>
          <w:w w:val="120"/>
        </w:rPr>
        <w:t> </w:t>
      </w:r>
      <w:r>
        <w:rPr>
          <w:w w:val="120"/>
        </w:rPr>
        <w:t>el</w:t>
      </w:r>
      <w:r>
        <w:rPr>
          <w:spacing w:val="-33"/>
          <w:w w:val="120"/>
        </w:rPr>
        <w:t> </w:t>
      </w:r>
      <w:r>
        <w:rPr>
          <w:w w:val="120"/>
        </w:rPr>
        <w:t>entonces </w:t>
      </w:r>
      <w:r>
        <w:rPr>
          <w:w w:val="115"/>
        </w:rPr>
        <w:t>presidente</w:t>
      </w:r>
      <w:r>
        <w:rPr>
          <w:spacing w:val="-10"/>
          <w:w w:val="115"/>
        </w:rPr>
        <w:t> </w:t>
      </w:r>
      <w:r>
        <w:rPr>
          <w:i/>
          <w:w w:val="115"/>
        </w:rPr>
        <w:t>pro</w:t>
      </w:r>
      <w:r>
        <w:rPr>
          <w:i/>
          <w:spacing w:val="-10"/>
          <w:w w:val="115"/>
        </w:rPr>
        <w:t> </w:t>
      </w:r>
      <w:r>
        <w:rPr>
          <w:i/>
          <w:w w:val="115"/>
        </w:rPr>
        <w:t>tempore</w:t>
      </w:r>
      <w:r>
        <w:rPr>
          <w:i/>
          <w:spacing w:val="-10"/>
          <w:w w:val="115"/>
        </w:rPr>
        <w:t> </w:t>
      </w:r>
      <w:r>
        <w:rPr>
          <w:w w:val="115"/>
        </w:rPr>
        <w:t>de</w:t>
      </w:r>
      <w:r>
        <w:rPr>
          <w:spacing w:val="-10"/>
          <w:w w:val="115"/>
        </w:rPr>
        <w:t> </w:t>
      </w:r>
      <w:r>
        <w:rPr>
          <w:w w:val="115"/>
        </w:rPr>
        <w:t>la</w:t>
      </w:r>
      <w:r>
        <w:rPr>
          <w:spacing w:val="-10"/>
          <w:w w:val="115"/>
        </w:rPr>
        <w:t> </w:t>
      </w:r>
      <w:r>
        <w:rPr>
          <w:w w:val="115"/>
        </w:rPr>
        <w:t>CariCoM:</w:t>
      </w:r>
      <w:r>
        <w:rPr>
          <w:spacing w:val="-10"/>
          <w:w w:val="115"/>
        </w:rPr>
        <w:t> </w:t>
      </w:r>
      <w:r>
        <w:rPr>
          <w:w w:val="115"/>
        </w:rPr>
        <w:t>el</w:t>
      </w:r>
      <w:r>
        <w:rPr>
          <w:spacing w:val="-10"/>
          <w:w w:val="115"/>
        </w:rPr>
        <w:t> </w:t>
      </w:r>
      <w:r>
        <w:rPr>
          <w:w w:val="115"/>
        </w:rPr>
        <w:t>presidente</w:t>
      </w:r>
      <w:r>
        <w:rPr>
          <w:spacing w:val="-10"/>
          <w:w w:val="115"/>
        </w:rPr>
        <w:t> </w:t>
      </w:r>
      <w:r>
        <w:rPr>
          <w:w w:val="115"/>
        </w:rPr>
        <w:t>de</w:t>
      </w:r>
      <w:r>
        <w:rPr>
          <w:spacing w:val="-10"/>
          <w:w w:val="115"/>
        </w:rPr>
        <w:t> </w:t>
      </w:r>
      <w:r>
        <w:rPr>
          <w:w w:val="115"/>
        </w:rPr>
        <w:t>Haití,</w:t>
      </w:r>
      <w:r>
        <w:rPr>
          <w:spacing w:val="-10"/>
          <w:w w:val="115"/>
        </w:rPr>
        <w:t> </w:t>
      </w:r>
      <w:r>
        <w:rPr>
          <w:w w:val="115"/>
        </w:rPr>
        <w:t>Michel </w:t>
      </w:r>
      <w:r>
        <w:rPr>
          <w:w w:val="110"/>
        </w:rPr>
        <w:t>Martelly (</w:t>
      </w:r>
      <w:r>
        <w:rPr>
          <w:i/>
          <w:w w:val="110"/>
        </w:rPr>
        <w:t>Maye Primera</w:t>
      </w:r>
      <w:r>
        <w:rPr>
          <w:w w:val="110"/>
        </w:rPr>
        <w:t>,</w:t>
      </w:r>
      <w:r>
        <w:rPr>
          <w:spacing w:val="-21"/>
          <w:w w:val="110"/>
        </w:rPr>
        <w:t> </w:t>
      </w:r>
      <w:r>
        <w:rPr>
          <w:w w:val="110"/>
        </w:rPr>
        <w:t>2013).</w:t>
      </w:r>
    </w:p>
    <w:p>
      <w:pPr>
        <w:pStyle w:val="BodyText"/>
        <w:spacing w:line="252" w:lineRule="auto"/>
        <w:ind w:left="330" w:right="117" w:firstLine="396"/>
        <w:jc w:val="both"/>
      </w:pPr>
      <w:r>
        <w:rPr>
          <w:w w:val="115"/>
        </w:rPr>
        <w:t>En</w:t>
      </w:r>
      <w:r>
        <w:rPr>
          <w:spacing w:val="-19"/>
          <w:w w:val="115"/>
        </w:rPr>
        <w:t> </w:t>
      </w:r>
      <w:r>
        <w:rPr>
          <w:w w:val="115"/>
        </w:rPr>
        <w:t>cualquier</w:t>
      </w:r>
      <w:r>
        <w:rPr>
          <w:spacing w:val="-19"/>
          <w:w w:val="115"/>
        </w:rPr>
        <w:t> </w:t>
      </w:r>
      <w:r>
        <w:rPr>
          <w:w w:val="115"/>
        </w:rPr>
        <w:t>caso,</w:t>
      </w:r>
      <w:r>
        <w:rPr>
          <w:spacing w:val="-19"/>
          <w:w w:val="115"/>
        </w:rPr>
        <w:t> </w:t>
      </w:r>
      <w:r>
        <w:rPr>
          <w:w w:val="115"/>
        </w:rPr>
        <w:t>como</w:t>
      </w:r>
      <w:r>
        <w:rPr>
          <w:spacing w:val="-19"/>
          <w:w w:val="115"/>
        </w:rPr>
        <w:t> </w:t>
      </w:r>
      <w:r>
        <w:rPr>
          <w:w w:val="115"/>
        </w:rPr>
        <w:t>una</w:t>
      </w:r>
      <w:r>
        <w:rPr>
          <w:spacing w:val="-19"/>
          <w:w w:val="115"/>
        </w:rPr>
        <w:t> </w:t>
      </w:r>
      <w:r>
        <w:rPr>
          <w:w w:val="115"/>
        </w:rPr>
        <w:t>de</w:t>
      </w:r>
      <w:r>
        <w:rPr>
          <w:spacing w:val="-19"/>
          <w:w w:val="115"/>
        </w:rPr>
        <w:t> </w:t>
      </w:r>
      <w:r>
        <w:rPr>
          <w:w w:val="115"/>
        </w:rPr>
        <w:t>las</w:t>
      </w:r>
      <w:r>
        <w:rPr>
          <w:spacing w:val="-19"/>
          <w:w w:val="115"/>
        </w:rPr>
        <w:t> </w:t>
      </w:r>
      <w:r>
        <w:rPr>
          <w:w w:val="115"/>
        </w:rPr>
        <w:t>consecuencias</w:t>
      </w:r>
      <w:r>
        <w:rPr>
          <w:spacing w:val="-19"/>
          <w:w w:val="115"/>
        </w:rPr>
        <w:t> </w:t>
      </w:r>
      <w:r>
        <w:rPr>
          <w:w w:val="115"/>
        </w:rPr>
        <w:t>de</w:t>
      </w:r>
      <w:r>
        <w:rPr>
          <w:spacing w:val="-19"/>
          <w:w w:val="115"/>
        </w:rPr>
        <w:t> </w:t>
      </w:r>
      <w:r>
        <w:rPr>
          <w:w w:val="115"/>
        </w:rPr>
        <w:t>esa</w:t>
      </w:r>
      <w:r>
        <w:rPr>
          <w:spacing w:val="-19"/>
          <w:w w:val="115"/>
        </w:rPr>
        <w:t> </w:t>
      </w:r>
      <w:r>
        <w:rPr>
          <w:w w:val="115"/>
        </w:rPr>
        <w:t>reunión en</w:t>
      </w:r>
      <w:r>
        <w:rPr>
          <w:spacing w:val="-9"/>
          <w:w w:val="115"/>
        </w:rPr>
        <w:t> </w:t>
      </w:r>
      <w:r>
        <w:rPr>
          <w:w w:val="115"/>
        </w:rPr>
        <w:t>septiembre</w:t>
      </w:r>
      <w:r>
        <w:rPr>
          <w:spacing w:val="-9"/>
          <w:w w:val="115"/>
        </w:rPr>
        <w:t> </w:t>
      </w:r>
      <w:r>
        <w:rPr>
          <w:w w:val="115"/>
        </w:rPr>
        <w:t>de</w:t>
      </w:r>
      <w:r>
        <w:rPr>
          <w:spacing w:val="-9"/>
          <w:w w:val="115"/>
        </w:rPr>
        <w:t> </w:t>
      </w:r>
      <w:r>
        <w:rPr>
          <w:w w:val="115"/>
        </w:rPr>
        <w:t>2013</w:t>
      </w:r>
      <w:r>
        <w:rPr>
          <w:spacing w:val="-9"/>
          <w:w w:val="115"/>
        </w:rPr>
        <w:t> </w:t>
      </w:r>
      <w:r>
        <w:rPr>
          <w:w w:val="115"/>
        </w:rPr>
        <w:t>visitaron</w:t>
      </w:r>
      <w:r>
        <w:rPr>
          <w:spacing w:val="-9"/>
          <w:w w:val="115"/>
        </w:rPr>
        <w:t> </w:t>
      </w:r>
      <w:r>
        <w:rPr>
          <w:spacing w:val="-3"/>
          <w:w w:val="115"/>
        </w:rPr>
        <w:t>trinidad</w:t>
      </w:r>
      <w:r>
        <w:rPr>
          <w:spacing w:val="-9"/>
          <w:w w:val="115"/>
        </w:rPr>
        <w:t> </w:t>
      </w:r>
      <w:r>
        <w:rPr>
          <w:w w:val="115"/>
        </w:rPr>
        <w:t>y</w:t>
      </w:r>
      <w:r>
        <w:rPr>
          <w:spacing w:val="-9"/>
          <w:w w:val="115"/>
        </w:rPr>
        <w:t> </w:t>
      </w:r>
      <w:r>
        <w:rPr>
          <w:spacing w:val="-3"/>
          <w:w w:val="115"/>
        </w:rPr>
        <w:t>tobago</w:t>
      </w:r>
      <w:r>
        <w:rPr>
          <w:spacing w:val="-9"/>
          <w:w w:val="115"/>
        </w:rPr>
        <w:t> </w:t>
      </w:r>
      <w:r>
        <w:rPr>
          <w:w w:val="115"/>
        </w:rPr>
        <w:t>el</w:t>
      </w:r>
      <w:r>
        <w:rPr>
          <w:spacing w:val="-9"/>
          <w:w w:val="115"/>
        </w:rPr>
        <w:t> </w:t>
      </w:r>
      <w:r>
        <w:rPr>
          <w:w w:val="115"/>
        </w:rPr>
        <w:t>subdirector</w:t>
      </w:r>
      <w:r>
        <w:rPr>
          <w:spacing w:val="-9"/>
          <w:w w:val="115"/>
        </w:rPr>
        <w:t> </w:t>
      </w:r>
      <w:r>
        <w:rPr>
          <w:w w:val="115"/>
        </w:rPr>
        <w:t>del J5</w:t>
      </w:r>
      <w:r>
        <w:rPr>
          <w:spacing w:val="-15"/>
          <w:w w:val="115"/>
        </w:rPr>
        <w:t> </w:t>
      </w:r>
      <w:r>
        <w:rPr>
          <w:w w:val="115"/>
        </w:rPr>
        <w:t>y</w:t>
      </w:r>
      <w:r>
        <w:rPr>
          <w:spacing w:val="-15"/>
          <w:w w:val="115"/>
        </w:rPr>
        <w:t> </w:t>
      </w:r>
      <w:r>
        <w:rPr>
          <w:w w:val="115"/>
        </w:rPr>
        <w:t>miembros</w:t>
      </w:r>
      <w:r>
        <w:rPr>
          <w:spacing w:val="-15"/>
          <w:w w:val="115"/>
        </w:rPr>
        <w:t> </w:t>
      </w:r>
      <w:r>
        <w:rPr>
          <w:w w:val="115"/>
        </w:rPr>
        <w:t>de</w:t>
      </w:r>
      <w:r>
        <w:rPr>
          <w:spacing w:val="-15"/>
          <w:w w:val="115"/>
        </w:rPr>
        <w:t> </w:t>
      </w:r>
      <w:r>
        <w:rPr>
          <w:w w:val="115"/>
        </w:rPr>
        <w:t>la</w:t>
      </w:r>
      <w:r>
        <w:rPr>
          <w:spacing w:val="-15"/>
          <w:w w:val="115"/>
        </w:rPr>
        <w:t> </w:t>
      </w:r>
      <w:r>
        <w:rPr>
          <w:w w:val="115"/>
        </w:rPr>
        <w:t>división</w:t>
      </w:r>
      <w:r>
        <w:rPr>
          <w:spacing w:val="-15"/>
          <w:w w:val="115"/>
        </w:rPr>
        <w:t> </w:t>
      </w:r>
      <w:r>
        <w:rPr>
          <w:w w:val="115"/>
        </w:rPr>
        <w:t>de</w:t>
      </w:r>
      <w:r>
        <w:rPr>
          <w:spacing w:val="-15"/>
          <w:w w:val="115"/>
        </w:rPr>
        <w:t> </w:t>
      </w:r>
      <w:r>
        <w:rPr>
          <w:w w:val="115"/>
        </w:rPr>
        <w:t>asuntos</w:t>
      </w:r>
      <w:r>
        <w:rPr>
          <w:spacing w:val="-15"/>
          <w:w w:val="115"/>
        </w:rPr>
        <w:t> </w:t>
      </w:r>
      <w:r>
        <w:rPr>
          <w:w w:val="115"/>
        </w:rPr>
        <w:t>Militares</w:t>
      </w:r>
      <w:r>
        <w:rPr>
          <w:spacing w:val="-15"/>
          <w:w w:val="115"/>
        </w:rPr>
        <w:t> </w:t>
      </w:r>
      <w:r>
        <w:rPr>
          <w:w w:val="115"/>
        </w:rPr>
        <w:t>y</w:t>
      </w:r>
      <w:r>
        <w:rPr>
          <w:spacing w:val="-15"/>
          <w:w w:val="115"/>
        </w:rPr>
        <w:t> </w:t>
      </w:r>
      <w:r>
        <w:rPr>
          <w:w w:val="115"/>
        </w:rPr>
        <w:t>Políticos</w:t>
      </w:r>
      <w:r>
        <w:rPr>
          <w:spacing w:val="-15"/>
          <w:w w:val="115"/>
        </w:rPr>
        <w:t> </w:t>
      </w:r>
      <w:r>
        <w:rPr>
          <w:w w:val="115"/>
        </w:rPr>
        <w:t>del</w:t>
      </w:r>
      <w:r>
        <w:rPr>
          <w:spacing w:val="-15"/>
          <w:w w:val="115"/>
        </w:rPr>
        <w:t> </w:t>
      </w:r>
      <w:r>
        <w:rPr>
          <w:w w:val="115"/>
        </w:rPr>
        <w:t>Cari- </w:t>
      </w:r>
      <w:r>
        <w:rPr>
          <w:w w:val="120"/>
        </w:rPr>
        <w:t>be</w:t>
      </w:r>
      <w:r>
        <w:rPr>
          <w:spacing w:val="-17"/>
          <w:w w:val="120"/>
        </w:rPr>
        <w:t> </w:t>
      </w:r>
      <w:r>
        <w:rPr>
          <w:w w:val="120"/>
        </w:rPr>
        <w:t>del</w:t>
      </w:r>
      <w:r>
        <w:rPr>
          <w:spacing w:val="-17"/>
          <w:w w:val="120"/>
        </w:rPr>
        <w:t> </w:t>
      </w:r>
      <w:r>
        <w:rPr>
          <w:w w:val="120"/>
        </w:rPr>
        <w:t>soutHCoM</w:t>
      </w:r>
      <w:r>
        <w:rPr>
          <w:spacing w:val="-17"/>
          <w:w w:val="120"/>
        </w:rPr>
        <w:t> </w:t>
      </w:r>
      <w:r>
        <w:rPr>
          <w:w w:val="120"/>
        </w:rPr>
        <w:t>para</w:t>
      </w:r>
      <w:r>
        <w:rPr>
          <w:spacing w:val="-17"/>
          <w:w w:val="120"/>
        </w:rPr>
        <w:t> </w:t>
      </w:r>
      <w:r>
        <w:rPr>
          <w:w w:val="120"/>
        </w:rPr>
        <w:t>reunirse</w:t>
      </w:r>
      <w:r>
        <w:rPr>
          <w:spacing w:val="-17"/>
          <w:w w:val="120"/>
        </w:rPr>
        <w:t> </w:t>
      </w:r>
      <w:r>
        <w:rPr>
          <w:w w:val="120"/>
        </w:rPr>
        <w:t>con</w:t>
      </w:r>
      <w:r>
        <w:rPr>
          <w:spacing w:val="-17"/>
          <w:w w:val="120"/>
        </w:rPr>
        <w:t> </w:t>
      </w:r>
      <w:r>
        <w:rPr>
          <w:w w:val="120"/>
        </w:rPr>
        <w:t>dirigentes</w:t>
      </w:r>
      <w:r>
        <w:rPr>
          <w:spacing w:val="-17"/>
          <w:w w:val="120"/>
        </w:rPr>
        <w:t> </w:t>
      </w:r>
      <w:r>
        <w:rPr>
          <w:w w:val="120"/>
        </w:rPr>
        <w:t>y</w:t>
      </w:r>
      <w:r>
        <w:rPr>
          <w:spacing w:val="-17"/>
          <w:w w:val="120"/>
        </w:rPr>
        <w:t> </w:t>
      </w:r>
      <w:r>
        <w:rPr>
          <w:w w:val="120"/>
        </w:rPr>
        <w:t>funcionarios</w:t>
      </w:r>
      <w:r>
        <w:rPr>
          <w:spacing w:val="-17"/>
          <w:w w:val="120"/>
        </w:rPr>
        <w:t> </w:t>
      </w:r>
      <w:r>
        <w:rPr>
          <w:w w:val="120"/>
        </w:rPr>
        <w:t>de</w:t>
      </w:r>
      <w:r>
        <w:rPr>
          <w:spacing w:val="-17"/>
          <w:w w:val="120"/>
        </w:rPr>
        <w:t> </w:t>
      </w:r>
      <w:r>
        <w:rPr>
          <w:w w:val="120"/>
        </w:rPr>
        <w:t>la </w:t>
      </w:r>
      <w:r>
        <w:rPr>
          <w:w w:val="115"/>
        </w:rPr>
        <w:t>agencia</w:t>
      </w:r>
      <w:r>
        <w:rPr>
          <w:spacing w:val="-12"/>
          <w:w w:val="115"/>
        </w:rPr>
        <w:t> </w:t>
      </w:r>
      <w:r>
        <w:rPr>
          <w:w w:val="115"/>
        </w:rPr>
        <w:t>de</w:t>
      </w:r>
      <w:r>
        <w:rPr>
          <w:spacing w:val="-12"/>
          <w:w w:val="115"/>
        </w:rPr>
        <w:t> </w:t>
      </w:r>
      <w:r>
        <w:rPr>
          <w:w w:val="115"/>
        </w:rPr>
        <w:t>implementación</w:t>
      </w:r>
      <w:r>
        <w:rPr>
          <w:spacing w:val="-12"/>
          <w:w w:val="115"/>
        </w:rPr>
        <w:t> </w:t>
      </w:r>
      <w:r>
        <w:rPr>
          <w:w w:val="115"/>
        </w:rPr>
        <w:t>para</w:t>
      </w:r>
      <w:r>
        <w:rPr>
          <w:spacing w:val="-12"/>
          <w:w w:val="115"/>
        </w:rPr>
        <w:t> </w:t>
      </w:r>
      <w:r>
        <w:rPr>
          <w:w w:val="115"/>
        </w:rPr>
        <w:t>el</w:t>
      </w:r>
      <w:r>
        <w:rPr>
          <w:spacing w:val="-12"/>
          <w:w w:val="115"/>
        </w:rPr>
        <w:t> </w:t>
      </w:r>
      <w:r>
        <w:rPr>
          <w:w w:val="115"/>
        </w:rPr>
        <w:t>delito</w:t>
      </w:r>
      <w:r>
        <w:rPr>
          <w:spacing w:val="-12"/>
          <w:w w:val="115"/>
        </w:rPr>
        <w:t> </w:t>
      </w:r>
      <w:r>
        <w:rPr>
          <w:w w:val="115"/>
        </w:rPr>
        <w:t>y</w:t>
      </w:r>
      <w:r>
        <w:rPr>
          <w:spacing w:val="-12"/>
          <w:w w:val="115"/>
        </w:rPr>
        <w:t> </w:t>
      </w:r>
      <w:r>
        <w:rPr>
          <w:w w:val="115"/>
        </w:rPr>
        <w:t>la</w:t>
      </w:r>
      <w:r>
        <w:rPr>
          <w:spacing w:val="-12"/>
          <w:w w:val="115"/>
        </w:rPr>
        <w:t> </w:t>
      </w:r>
      <w:r>
        <w:rPr>
          <w:w w:val="115"/>
        </w:rPr>
        <w:t>seguridad</w:t>
      </w:r>
      <w:r>
        <w:rPr>
          <w:spacing w:val="-12"/>
          <w:w w:val="115"/>
        </w:rPr>
        <w:t> </w:t>
      </w:r>
      <w:r>
        <w:rPr>
          <w:w w:val="115"/>
        </w:rPr>
        <w:t>(iMPaCs)</w:t>
      </w:r>
      <w:r>
        <w:rPr>
          <w:spacing w:val="-12"/>
          <w:w w:val="115"/>
        </w:rPr>
        <w:t> </w:t>
      </w:r>
      <w:r>
        <w:rPr>
          <w:w w:val="115"/>
        </w:rPr>
        <w:t>de </w:t>
      </w:r>
      <w:r>
        <w:rPr>
          <w:w w:val="120"/>
        </w:rPr>
        <w:t>la</w:t>
      </w:r>
      <w:r>
        <w:rPr>
          <w:spacing w:val="-28"/>
          <w:w w:val="120"/>
        </w:rPr>
        <w:t> </w:t>
      </w:r>
      <w:r>
        <w:rPr>
          <w:w w:val="120"/>
        </w:rPr>
        <w:t>CariCoM.</w:t>
      </w:r>
      <w:r>
        <w:rPr>
          <w:spacing w:val="-28"/>
          <w:w w:val="120"/>
        </w:rPr>
        <w:t> </w:t>
      </w:r>
      <w:r>
        <w:rPr>
          <w:w w:val="120"/>
        </w:rPr>
        <w:t>En</w:t>
      </w:r>
      <w:r>
        <w:rPr>
          <w:spacing w:val="-28"/>
          <w:w w:val="120"/>
        </w:rPr>
        <w:t> </w:t>
      </w:r>
      <w:r>
        <w:rPr>
          <w:w w:val="120"/>
        </w:rPr>
        <w:t>esa</w:t>
      </w:r>
      <w:r>
        <w:rPr>
          <w:spacing w:val="-28"/>
          <w:w w:val="120"/>
        </w:rPr>
        <w:t> </w:t>
      </w:r>
      <w:r>
        <w:rPr>
          <w:w w:val="120"/>
        </w:rPr>
        <w:t>visita</w:t>
      </w:r>
      <w:r>
        <w:rPr>
          <w:spacing w:val="-28"/>
          <w:w w:val="120"/>
        </w:rPr>
        <w:t> </w:t>
      </w:r>
      <w:r>
        <w:rPr>
          <w:w w:val="120"/>
        </w:rPr>
        <w:t>se</w:t>
      </w:r>
      <w:r>
        <w:rPr>
          <w:spacing w:val="-28"/>
          <w:w w:val="120"/>
        </w:rPr>
        <w:t> </w:t>
      </w:r>
      <w:r>
        <w:rPr>
          <w:w w:val="120"/>
        </w:rPr>
        <w:t>planificaron</w:t>
      </w:r>
      <w:r>
        <w:rPr>
          <w:spacing w:val="-28"/>
          <w:w w:val="120"/>
        </w:rPr>
        <w:t> </w:t>
      </w:r>
      <w:r>
        <w:rPr>
          <w:w w:val="120"/>
        </w:rPr>
        <w:t>las</w:t>
      </w:r>
      <w:r>
        <w:rPr>
          <w:spacing w:val="-28"/>
          <w:w w:val="120"/>
        </w:rPr>
        <w:t> </w:t>
      </w:r>
      <w:r>
        <w:rPr>
          <w:w w:val="120"/>
        </w:rPr>
        <w:t>actividades</w:t>
      </w:r>
      <w:r>
        <w:rPr>
          <w:spacing w:val="-28"/>
          <w:w w:val="120"/>
        </w:rPr>
        <w:t> </w:t>
      </w:r>
      <w:r>
        <w:rPr>
          <w:w w:val="120"/>
        </w:rPr>
        <w:t>de</w:t>
      </w:r>
      <w:r>
        <w:rPr>
          <w:spacing w:val="-28"/>
          <w:w w:val="120"/>
        </w:rPr>
        <w:t> </w:t>
      </w:r>
      <w:r>
        <w:rPr>
          <w:w w:val="120"/>
        </w:rPr>
        <w:t>mediano y largo plazo que se desplegarán entre el soutHCoM, la CariCoM </w:t>
      </w:r>
      <w:r>
        <w:rPr>
          <w:w w:val="105"/>
        </w:rPr>
        <w:t>y</w:t>
      </w:r>
      <w:r>
        <w:rPr/>
        <w:t> </w:t>
      </w:r>
      <w:r>
        <w:rPr>
          <w:spacing w:val="-1"/>
        </w:rPr>
        <w:t> </w:t>
      </w:r>
      <w:r>
        <w:rPr>
          <w:w w:val="182"/>
        </w:rPr>
        <w:t>r</w:t>
      </w:r>
      <w:r>
        <w:rPr>
          <w:w w:val="111"/>
        </w:rPr>
        <w:t>epública</w:t>
      </w:r>
      <w:r>
        <w:rPr/>
        <w:t> </w:t>
      </w:r>
      <w:r>
        <w:rPr>
          <w:spacing w:val="-1"/>
        </w:rPr>
        <w:t> </w:t>
      </w:r>
      <w:r>
        <w:rPr>
          <w:w w:val="139"/>
        </w:rPr>
        <w:t>d</w:t>
      </w:r>
      <w:r>
        <w:rPr>
          <w:w w:val="112"/>
        </w:rPr>
        <w:t>ominicana;</w:t>
      </w:r>
      <w:r>
        <w:rPr/>
        <w:t> </w:t>
      </w:r>
      <w:r>
        <w:rPr>
          <w:spacing w:val="-1"/>
        </w:rPr>
        <w:t> </w:t>
      </w:r>
      <w:r>
        <w:rPr>
          <w:w w:val="112"/>
        </w:rPr>
        <w:t>incluida</w:t>
      </w:r>
      <w:r>
        <w:rPr/>
        <w:t> </w:t>
      </w:r>
      <w:r>
        <w:rPr>
          <w:spacing w:val="-1"/>
        </w:rPr>
        <w:t> </w:t>
      </w:r>
      <w:r>
        <w:rPr>
          <w:w w:val="111"/>
        </w:rPr>
        <w:t>la</w:t>
      </w:r>
      <w:r>
        <w:rPr/>
        <w:t> </w:t>
      </w:r>
      <w:r>
        <w:rPr>
          <w:spacing w:val="-1"/>
        </w:rPr>
        <w:t> </w:t>
      </w:r>
      <w:r>
        <w:rPr>
          <w:w w:val="111"/>
        </w:rPr>
        <w:t>Estrategia</w:t>
      </w:r>
      <w:r>
        <w:rPr/>
        <w:t> </w:t>
      </w:r>
      <w:r>
        <w:rPr>
          <w:spacing w:val="-1"/>
        </w:rPr>
        <w:t> </w:t>
      </w:r>
      <w:r>
        <w:rPr>
          <w:w w:val="107"/>
        </w:rPr>
        <w:t>de</w:t>
      </w:r>
      <w:r>
        <w:rPr/>
        <w:t> </w:t>
      </w:r>
      <w:r>
        <w:rPr>
          <w:spacing w:val="-1"/>
        </w:rPr>
        <w:t> </w:t>
      </w:r>
      <w:r>
        <w:rPr>
          <w:w w:val="243"/>
        </w:rPr>
        <w:t>l</w:t>
      </w:r>
      <w:r>
        <w:rPr>
          <w:w w:val="113"/>
        </w:rPr>
        <w:t>ucha</w:t>
      </w:r>
      <w:r>
        <w:rPr/>
        <w:t> </w:t>
      </w:r>
      <w:r>
        <w:rPr>
          <w:spacing w:val="-1"/>
        </w:rPr>
        <w:t> </w:t>
      </w:r>
      <w:r>
        <w:rPr>
          <w:w w:val="110"/>
        </w:rPr>
        <w:t>contra</w:t>
      </w:r>
      <w:r>
        <w:rPr/>
        <w:t> </w:t>
      </w:r>
      <w:r>
        <w:rPr>
          <w:spacing w:val="-1"/>
        </w:rPr>
        <w:t> </w:t>
      </w:r>
      <w:r>
        <w:rPr>
          <w:w w:val="107"/>
        </w:rPr>
        <w:t>el </w:t>
      </w:r>
      <w:r>
        <w:rPr>
          <w:spacing w:val="-3"/>
          <w:w w:val="120"/>
        </w:rPr>
        <w:t>tráfico </w:t>
      </w:r>
      <w:r>
        <w:rPr>
          <w:w w:val="120"/>
        </w:rPr>
        <w:t>ilícito en el Caribe (CCits) de la CariCoM que había sido aprobada</w:t>
      </w:r>
      <w:r>
        <w:rPr>
          <w:spacing w:val="-23"/>
          <w:w w:val="120"/>
        </w:rPr>
        <w:t> </w:t>
      </w:r>
      <w:r>
        <w:rPr>
          <w:w w:val="120"/>
        </w:rPr>
        <w:t>en</w:t>
      </w:r>
      <w:r>
        <w:rPr>
          <w:spacing w:val="-23"/>
          <w:w w:val="120"/>
        </w:rPr>
        <w:t> </w:t>
      </w:r>
      <w:r>
        <w:rPr>
          <w:w w:val="120"/>
        </w:rPr>
        <w:t>la</w:t>
      </w:r>
      <w:r>
        <w:rPr>
          <w:spacing w:val="-23"/>
          <w:w w:val="120"/>
        </w:rPr>
        <w:t> </w:t>
      </w:r>
      <w:r>
        <w:rPr>
          <w:w w:val="125"/>
        </w:rPr>
        <w:t>xi</w:t>
      </w:r>
      <w:r>
        <w:rPr>
          <w:spacing w:val="-25"/>
          <w:w w:val="125"/>
        </w:rPr>
        <w:t> </w:t>
      </w:r>
      <w:r>
        <w:rPr>
          <w:w w:val="120"/>
        </w:rPr>
        <w:t>Conferencia</w:t>
      </w:r>
      <w:r>
        <w:rPr>
          <w:spacing w:val="-23"/>
          <w:w w:val="120"/>
        </w:rPr>
        <w:t> </w:t>
      </w:r>
      <w:r>
        <w:rPr>
          <w:w w:val="120"/>
        </w:rPr>
        <w:t>de</w:t>
      </w:r>
      <w:r>
        <w:rPr>
          <w:spacing w:val="-23"/>
          <w:w w:val="120"/>
        </w:rPr>
        <w:t> </w:t>
      </w:r>
      <w:r>
        <w:rPr>
          <w:w w:val="120"/>
        </w:rPr>
        <w:t>seguridad</w:t>
      </w:r>
      <w:r>
        <w:rPr>
          <w:spacing w:val="-23"/>
          <w:w w:val="120"/>
        </w:rPr>
        <w:t> </w:t>
      </w:r>
      <w:r>
        <w:rPr>
          <w:w w:val="120"/>
        </w:rPr>
        <w:t>de</w:t>
      </w:r>
      <w:r>
        <w:rPr>
          <w:spacing w:val="-23"/>
          <w:w w:val="120"/>
        </w:rPr>
        <w:t> </w:t>
      </w:r>
      <w:r>
        <w:rPr>
          <w:w w:val="120"/>
        </w:rPr>
        <w:t>Naciones</w:t>
      </w:r>
      <w:r>
        <w:rPr>
          <w:spacing w:val="-23"/>
          <w:w w:val="120"/>
        </w:rPr>
        <w:t> </w:t>
      </w:r>
      <w:r>
        <w:rPr>
          <w:w w:val="120"/>
        </w:rPr>
        <w:t>Caribeñas </w:t>
      </w:r>
      <w:r>
        <w:rPr>
          <w:w w:val="115"/>
        </w:rPr>
        <w:t>(CaNsEC)</w:t>
      </w:r>
      <w:r>
        <w:rPr>
          <w:spacing w:val="-17"/>
          <w:w w:val="115"/>
        </w:rPr>
        <w:t> </w:t>
      </w:r>
      <w:r>
        <w:rPr>
          <w:w w:val="115"/>
        </w:rPr>
        <w:t>efectuada</w:t>
      </w:r>
      <w:r>
        <w:rPr>
          <w:spacing w:val="-17"/>
          <w:w w:val="115"/>
        </w:rPr>
        <w:t> </w:t>
      </w:r>
      <w:r>
        <w:rPr>
          <w:w w:val="115"/>
        </w:rPr>
        <w:t>en</w:t>
      </w:r>
      <w:r>
        <w:rPr>
          <w:spacing w:val="-17"/>
          <w:w w:val="115"/>
        </w:rPr>
        <w:t> </w:t>
      </w:r>
      <w:r>
        <w:rPr>
          <w:w w:val="115"/>
        </w:rPr>
        <w:t>2012</w:t>
      </w:r>
      <w:r>
        <w:rPr>
          <w:spacing w:val="-17"/>
          <w:w w:val="115"/>
        </w:rPr>
        <w:t> </w:t>
      </w:r>
      <w:r>
        <w:rPr>
          <w:w w:val="115"/>
        </w:rPr>
        <w:t>(sánchez-bustamante,</w:t>
      </w:r>
      <w:r>
        <w:rPr>
          <w:spacing w:val="-17"/>
          <w:w w:val="115"/>
        </w:rPr>
        <w:t> </w:t>
      </w:r>
      <w:r>
        <w:rPr>
          <w:w w:val="115"/>
        </w:rPr>
        <w:t>2013).</w:t>
      </w:r>
    </w:p>
    <w:p>
      <w:pPr>
        <w:pStyle w:val="BodyText"/>
        <w:spacing w:line="252" w:lineRule="auto"/>
        <w:ind w:left="330" w:right="116" w:firstLine="397"/>
        <w:jc w:val="both"/>
      </w:pPr>
      <w:r>
        <w:rPr>
          <w:w w:val="120"/>
        </w:rPr>
        <w:t>sus</w:t>
      </w:r>
      <w:r>
        <w:rPr>
          <w:spacing w:val="-22"/>
          <w:w w:val="120"/>
        </w:rPr>
        <w:t> </w:t>
      </w:r>
      <w:r>
        <w:rPr>
          <w:w w:val="120"/>
        </w:rPr>
        <w:t>principales</w:t>
      </w:r>
      <w:r>
        <w:rPr>
          <w:spacing w:val="-22"/>
          <w:w w:val="120"/>
        </w:rPr>
        <w:t> </w:t>
      </w:r>
      <w:r>
        <w:rPr>
          <w:w w:val="120"/>
        </w:rPr>
        <w:t>objetivos</w:t>
      </w:r>
      <w:r>
        <w:rPr>
          <w:spacing w:val="-22"/>
          <w:w w:val="120"/>
        </w:rPr>
        <w:t> </w:t>
      </w:r>
      <w:r>
        <w:rPr>
          <w:w w:val="120"/>
        </w:rPr>
        <w:t>–desarticular</w:t>
      </w:r>
      <w:r>
        <w:rPr>
          <w:spacing w:val="-22"/>
          <w:w w:val="120"/>
        </w:rPr>
        <w:t> </w:t>
      </w:r>
      <w:r>
        <w:rPr>
          <w:w w:val="120"/>
        </w:rPr>
        <w:t>las</w:t>
      </w:r>
      <w:r>
        <w:rPr>
          <w:spacing w:val="-22"/>
          <w:w w:val="120"/>
        </w:rPr>
        <w:t> </w:t>
      </w:r>
      <w:r>
        <w:rPr>
          <w:w w:val="120"/>
        </w:rPr>
        <w:t>redes</w:t>
      </w:r>
      <w:r>
        <w:rPr>
          <w:spacing w:val="-22"/>
          <w:w w:val="120"/>
        </w:rPr>
        <w:t> </w:t>
      </w:r>
      <w:r>
        <w:rPr>
          <w:w w:val="120"/>
        </w:rPr>
        <w:t>de</w:t>
      </w:r>
      <w:r>
        <w:rPr>
          <w:spacing w:val="-22"/>
          <w:w w:val="120"/>
        </w:rPr>
        <w:t> </w:t>
      </w:r>
      <w:r>
        <w:rPr>
          <w:w w:val="120"/>
        </w:rPr>
        <w:t>crimen</w:t>
      </w:r>
      <w:r>
        <w:rPr>
          <w:spacing w:val="-22"/>
          <w:w w:val="120"/>
        </w:rPr>
        <w:t> </w:t>
      </w:r>
      <w:r>
        <w:rPr>
          <w:spacing w:val="-5"/>
          <w:w w:val="120"/>
        </w:rPr>
        <w:t>or- </w:t>
      </w:r>
      <w:r>
        <w:rPr>
          <w:w w:val="120"/>
        </w:rPr>
        <w:t>ganizado</w:t>
      </w:r>
      <w:r>
        <w:rPr>
          <w:spacing w:val="-9"/>
          <w:w w:val="120"/>
        </w:rPr>
        <w:t> </w:t>
      </w:r>
      <w:r>
        <w:rPr>
          <w:w w:val="120"/>
        </w:rPr>
        <w:t>transnacional,</w:t>
      </w:r>
      <w:r>
        <w:rPr>
          <w:spacing w:val="-9"/>
          <w:w w:val="120"/>
        </w:rPr>
        <w:t> </w:t>
      </w:r>
      <w:r>
        <w:rPr>
          <w:w w:val="120"/>
        </w:rPr>
        <w:t>como</w:t>
      </w:r>
      <w:r>
        <w:rPr>
          <w:spacing w:val="-9"/>
          <w:w w:val="120"/>
        </w:rPr>
        <w:t> </w:t>
      </w:r>
      <w:r>
        <w:rPr>
          <w:w w:val="120"/>
        </w:rPr>
        <w:t>el</w:t>
      </w:r>
      <w:r>
        <w:rPr>
          <w:spacing w:val="-9"/>
          <w:w w:val="120"/>
        </w:rPr>
        <w:t> </w:t>
      </w:r>
      <w:r>
        <w:rPr>
          <w:w w:val="120"/>
        </w:rPr>
        <w:t>tráfico</w:t>
      </w:r>
      <w:r>
        <w:rPr>
          <w:spacing w:val="-9"/>
          <w:w w:val="120"/>
        </w:rPr>
        <w:t> </w:t>
      </w:r>
      <w:r>
        <w:rPr>
          <w:w w:val="120"/>
        </w:rPr>
        <w:t>ilícito</w:t>
      </w:r>
      <w:r>
        <w:rPr>
          <w:spacing w:val="-9"/>
          <w:w w:val="120"/>
        </w:rPr>
        <w:t> </w:t>
      </w:r>
      <w:r>
        <w:rPr>
          <w:w w:val="120"/>
        </w:rPr>
        <w:t>de</w:t>
      </w:r>
      <w:r>
        <w:rPr>
          <w:spacing w:val="-9"/>
          <w:w w:val="120"/>
        </w:rPr>
        <w:t> </w:t>
      </w:r>
      <w:r>
        <w:rPr>
          <w:w w:val="120"/>
        </w:rPr>
        <w:t>drogas,</w:t>
      </w:r>
      <w:r>
        <w:rPr>
          <w:spacing w:val="-9"/>
          <w:w w:val="120"/>
        </w:rPr>
        <w:t> </w:t>
      </w:r>
      <w:r>
        <w:rPr>
          <w:w w:val="120"/>
        </w:rPr>
        <w:t>de</w:t>
      </w:r>
      <w:r>
        <w:rPr>
          <w:spacing w:val="-9"/>
          <w:w w:val="120"/>
        </w:rPr>
        <w:t> </w:t>
      </w:r>
      <w:r>
        <w:rPr>
          <w:w w:val="120"/>
        </w:rPr>
        <w:t>seres humanos</w:t>
      </w:r>
      <w:r>
        <w:rPr>
          <w:spacing w:val="-9"/>
          <w:w w:val="120"/>
        </w:rPr>
        <w:t> </w:t>
      </w:r>
      <w:r>
        <w:rPr>
          <w:w w:val="120"/>
        </w:rPr>
        <w:t>y</w:t>
      </w:r>
      <w:r>
        <w:rPr>
          <w:spacing w:val="-9"/>
          <w:w w:val="120"/>
        </w:rPr>
        <w:t> </w:t>
      </w:r>
      <w:r>
        <w:rPr>
          <w:w w:val="120"/>
        </w:rPr>
        <w:t>armas</w:t>
      </w:r>
      <w:r>
        <w:rPr>
          <w:spacing w:val="-9"/>
          <w:w w:val="120"/>
        </w:rPr>
        <w:t> </w:t>
      </w:r>
      <w:r>
        <w:rPr>
          <w:w w:val="120"/>
        </w:rPr>
        <w:t>en</w:t>
      </w:r>
      <w:r>
        <w:rPr>
          <w:spacing w:val="-9"/>
          <w:w w:val="120"/>
        </w:rPr>
        <w:t> </w:t>
      </w:r>
      <w:r>
        <w:rPr>
          <w:w w:val="120"/>
        </w:rPr>
        <w:t>aguas</w:t>
      </w:r>
      <w:r>
        <w:rPr>
          <w:spacing w:val="-9"/>
          <w:w w:val="120"/>
        </w:rPr>
        <w:t> </w:t>
      </w:r>
      <w:r>
        <w:rPr>
          <w:w w:val="120"/>
        </w:rPr>
        <w:t>caribeñas–</w:t>
      </w:r>
      <w:r>
        <w:rPr>
          <w:spacing w:val="-9"/>
          <w:w w:val="120"/>
        </w:rPr>
        <w:t> </w:t>
      </w:r>
      <w:r>
        <w:rPr>
          <w:w w:val="120"/>
        </w:rPr>
        <w:t>fueron</w:t>
      </w:r>
      <w:r>
        <w:rPr>
          <w:spacing w:val="-9"/>
          <w:w w:val="120"/>
        </w:rPr>
        <w:t> </w:t>
      </w:r>
      <w:r>
        <w:rPr>
          <w:w w:val="120"/>
        </w:rPr>
        <w:t>ratificados</w:t>
      </w:r>
      <w:r>
        <w:rPr>
          <w:spacing w:val="-9"/>
          <w:w w:val="120"/>
        </w:rPr>
        <w:t> </w:t>
      </w:r>
      <w:r>
        <w:rPr>
          <w:w w:val="120"/>
        </w:rPr>
        <w:t>en</w:t>
      </w:r>
      <w:r>
        <w:rPr>
          <w:spacing w:val="-9"/>
          <w:w w:val="120"/>
        </w:rPr>
        <w:t> </w:t>
      </w:r>
      <w:r>
        <w:rPr>
          <w:w w:val="120"/>
        </w:rPr>
        <w:t>la</w:t>
      </w:r>
      <w:r>
        <w:rPr>
          <w:spacing w:val="-9"/>
          <w:w w:val="120"/>
        </w:rPr>
        <w:t> </w:t>
      </w:r>
      <w:r>
        <w:rPr>
          <w:w w:val="120"/>
        </w:rPr>
        <w:t>xii CaNsEC que, con el patrocinio de soutHCoM, se efectuó en re- pública</w:t>
      </w:r>
      <w:r>
        <w:rPr>
          <w:spacing w:val="-28"/>
          <w:w w:val="120"/>
        </w:rPr>
        <w:t> </w:t>
      </w:r>
      <w:r>
        <w:rPr>
          <w:w w:val="120"/>
        </w:rPr>
        <w:t>dominicana</w:t>
      </w:r>
      <w:r>
        <w:rPr>
          <w:spacing w:val="-28"/>
          <w:w w:val="120"/>
        </w:rPr>
        <w:t> </w:t>
      </w:r>
      <w:r>
        <w:rPr>
          <w:w w:val="120"/>
        </w:rPr>
        <w:t>entre</w:t>
      </w:r>
      <w:r>
        <w:rPr>
          <w:spacing w:val="-28"/>
          <w:w w:val="120"/>
        </w:rPr>
        <w:t> </w:t>
      </w:r>
      <w:r>
        <w:rPr>
          <w:w w:val="120"/>
        </w:rPr>
        <w:t>el</w:t>
      </w:r>
      <w:r>
        <w:rPr>
          <w:spacing w:val="-28"/>
          <w:w w:val="120"/>
        </w:rPr>
        <w:t> </w:t>
      </w:r>
      <w:r>
        <w:rPr>
          <w:w w:val="120"/>
        </w:rPr>
        <w:t>27</w:t>
      </w:r>
      <w:r>
        <w:rPr>
          <w:spacing w:val="-28"/>
          <w:w w:val="120"/>
        </w:rPr>
        <w:t> </w:t>
      </w:r>
      <w:r>
        <w:rPr>
          <w:w w:val="120"/>
        </w:rPr>
        <w:t>y</w:t>
      </w:r>
      <w:r>
        <w:rPr>
          <w:spacing w:val="-28"/>
          <w:w w:val="120"/>
        </w:rPr>
        <w:t> </w:t>
      </w:r>
      <w:r>
        <w:rPr>
          <w:w w:val="120"/>
        </w:rPr>
        <w:t>el</w:t>
      </w:r>
      <w:r>
        <w:rPr>
          <w:spacing w:val="-28"/>
          <w:w w:val="120"/>
        </w:rPr>
        <w:t> </w:t>
      </w:r>
      <w:r>
        <w:rPr>
          <w:w w:val="120"/>
        </w:rPr>
        <w:t>30</w:t>
      </w:r>
      <w:r>
        <w:rPr>
          <w:spacing w:val="-28"/>
          <w:w w:val="120"/>
        </w:rPr>
        <w:t> </w:t>
      </w:r>
      <w:r>
        <w:rPr>
          <w:w w:val="120"/>
        </w:rPr>
        <w:t>de</w:t>
      </w:r>
      <w:r>
        <w:rPr>
          <w:spacing w:val="-28"/>
          <w:w w:val="120"/>
        </w:rPr>
        <w:t> </w:t>
      </w:r>
      <w:r>
        <w:rPr>
          <w:w w:val="120"/>
        </w:rPr>
        <w:t>enero</w:t>
      </w:r>
      <w:r>
        <w:rPr>
          <w:spacing w:val="-28"/>
          <w:w w:val="120"/>
        </w:rPr>
        <w:t> </w:t>
      </w:r>
      <w:r>
        <w:rPr>
          <w:w w:val="120"/>
        </w:rPr>
        <w:t>de</w:t>
      </w:r>
      <w:r>
        <w:rPr>
          <w:spacing w:val="-28"/>
          <w:w w:val="120"/>
        </w:rPr>
        <w:t> </w:t>
      </w:r>
      <w:r>
        <w:rPr>
          <w:w w:val="120"/>
        </w:rPr>
        <w:t>2014</w:t>
      </w:r>
      <w:r>
        <w:rPr>
          <w:spacing w:val="-28"/>
          <w:w w:val="120"/>
        </w:rPr>
        <w:t> </w:t>
      </w:r>
      <w:r>
        <w:rPr>
          <w:w w:val="120"/>
        </w:rPr>
        <w:t>(Jid,</w:t>
      </w:r>
      <w:r>
        <w:rPr>
          <w:spacing w:val="-28"/>
          <w:w w:val="120"/>
        </w:rPr>
        <w:t> </w:t>
      </w:r>
      <w:r>
        <w:rPr>
          <w:w w:val="120"/>
        </w:rPr>
        <w:t>2014). </w:t>
      </w:r>
      <w:r>
        <w:rPr>
          <w:w w:val="115"/>
        </w:rPr>
        <w:t>asimismo, en la visita que realizó el vicepresidente estadounidense </w:t>
      </w:r>
      <w:r>
        <w:rPr>
          <w:w w:val="120"/>
        </w:rPr>
        <w:t>Joe</w:t>
      </w:r>
      <w:r>
        <w:rPr>
          <w:spacing w:val="-12"/>
          <w:w w:val="120"/>
        </w:rPr>
        <w:t> </w:t>
      </w:r>
      <w:r>
        <w:rPr>
          <w:w w:val="120"/>
        </w:rPr>
        <w:t>biden</w:t>
      </w:r>
      <w:r>
        <w:rPr>
          <w:spacing w:val="-12"/>
          <w:w w:val="120"/>
        </w:rPr>
        <w:t> </w:t>
      </w:r>
      <w:r>
        <w:rPr>
          <w:w w:val="120"/>
        </w:rPr>
        <w:t>a</w:t>
      </w:r>
      <w:r>
        <w:rPr>
          <w:spacing w:val="-12"/>
          <w:w w:val="120"/>
        </w:rPr>
        <w:t> </w:t>
      </w:r>
      <w:r>
        <w:rPr>
          <w:w w:val="120"/>
        </w:rPr>
        <w:t>ese</w:t>
      </w:r>
      <w:r>
        <w:rPr>
          <w:spacing w:val="-12"/>
          <w:w w:val="120"/>
        </w:rPr>
        <w:t> </w:t>
      </w:r>
      <w:r>
        <w:rPr>
          <w:w w:val="120"/>
        </w:rPr>
        <w:t>último</w:t>
      </w:r>
      <w:r>
        <w:rPr>
          <w:spacing w:val="-12"/>
          <w:w w:val="120"/>
        </w:rPr>
        <w:t> </w:t>
      </w:r>
      <w:r>
        <w:rPr>
          <w:w w:val="120"/>
        </w:rPr>
        <w:t>país</w:t>
      </w:r>
      <w:r>
        <w:rPr>
          <w:spacing w:val="-12"/>
          <w:w w:val="120"/>
        </w:rPr>
        <w:t> </w:t>
      </w:r>
      <w:r>
        <w:rPr>
          <w:w w:val="120"/>
        </w:rPr>
        <w:t>el</w:t>
      </w:r>
      <w:r>
        <w:rPr>
          <w:spacing w:val="-12"/>
          <w:w w:val="120"/>
        </w:rPr>
        <w:t> </w:t>
      </w:r>
      <w:r>
        <w:rPr>
          <w:w w:val="120"/>
        </w:rPr>
        <w:t>19</w:t>
      </w:r>
      <w:r>
        <w:rPr>
          <w:spacing w:val="-12"/>
          <w:w w:val="120"/>
        </w:rPr>
        <w:t> </w:t>
      </w:r>
      <w:r>
        <w:rPr>
          <w:w w:val="120"/>
        </w:rPr>
        <w:t>de</w:t>
      </w:r>
      <w:r>
        <w:rPr>
          <w:spacing w:val="-12"/>
          <w:w w:val="120"/>
        </w:rPr>
        <w:t> </w:t>
      </w:r>
      <w:r>
        <w:rPr>
          <w:w w:val="120"/>
        </w:rPr>
        <w:t>mayo</w:t>
      </w:r>
      <w:r>
        <w:rPr>
          <w:spacing w:val="-12"/>
          <w:w w:val="120"/>
        </w:rPr>
        <w:t> </w:t>
      </w:r>
      <w:r>
        <w:rPr>
          <w:w w:val="120"/>
        </w:rPr>
        <w:t>de</w:t>
      </w:r>
      <w:r>
        <w:rPr>
          <w:spacing w:val="-12"/>
          <w:w w:val="120"/>
        </w:rPr>
        <w:t> </w:t>
      </w:r>
      <w:r>
        <w:rPr>
          <w:w w:val="120"/>
        </w:rPr>
        <w:t>ese</w:t>
      </w:r>
      <w:r>
        <w:rPr>
          <w:spacing w:val="-12"/>
          <w:w w:val="120"/>
        </w:rPr>
        <w:t> </w:t>
      </w:r>
      <w:r>
        <w:rPr>
          <w:w w:val="120"/>
        </w:rPr>
        <w:t>año.</w:t>
      </w:r>
      <w:r>
        <w:rPr>
          <w:spacing w:val="-12"/>
          <w:w w:val="120"/>
        </w:rPr>
        <w:t> </w:t>
      </w:r>
      <w:r>
        <w:rPr>
          <w:w w:val="120"/>
        </w:rPr>
        <w:t>según</w:t>
      </w:r>
      <w:r>
        <w:rPr>
          <w:spacing w:val="-12"/>
          <w:w w:val="120"/>
        </w:rPr>
        <w:t> </w:t>
      </w:r>
      <w:r>
        <w:rPr>
          <w:w w:val="120"/>
        </w:rPr>
        <w:t>indicó </w:t>
      </w:r>
      <w:r>
        <w:rPr>
          <w:w w:val="115"/>
        </w:rPr>
        <w:t>el</w:t>
      </w:r>
      <w:r>
        <w:rPr>
          <w:spacing w:val="-11"/>
          <w:w w:val="115"/>
        </w:rPr>
        <w:t> </w:t>
      </w:r>
      <w:r>
        <w:rPr>
          <w:w w:val="115"/>
        </w:rPr>
        <w:t>presidente</w:t>
      </w:r>
      <w:r>
        <w:rPr>
          <w:spacing w:val="-11"/>
          <w:w w:val="115"/>
        </w:rPr>
        <w:t> </w:t>
      </w:r>
      <w:r>
        <w:rPr>
          <w:w w:val="115"/>
        </w:rPr>
        <w:t>dominicano</w:t>
      </w:r>
      <w:r>
        <w:rPr>
          <w:spacing w:val="-11"/>
          <w:w w:val="115"/>
        </w:rPr>
        <w:t> </w:t>
      </w:r>
      <w:r>
        <w:rPr>
          <w:w w:val="115"/>
        </w:rPr>
        <w:t>danilo</w:t>
      </w:r>
      <w:r>
        <w:rPr>
          <w:spacing w:val="-11"/>
          <w:w w:val="115"/>
        </w:rPr>
        <w:t> </w:t>
      </w:r>
      <w:r>
        <w:rPr>
          <w:w w:val="115"/>
        </w:rPr>
        <w:t>Medina,</w:t>
      </w:r>
      <w:r>
        <w:rPr>
          <w:spacing w:val="-11"/>
          <w:w w:val="115"/>
        </w:rPr>
        <w:t> </w:t>
      </w:r>
      <w:r>
        <w:rPr>
          <w:w w:val="115"/>
        </w:rPr>
        <w:t>en</w:t>
      </w:r>
      <w:r>
        <w:rPr>
          <w:spacing w:val="-11"/>
          <w:w w:val="115"/>
        </w:rPr>
        <w:t> </w:t>
      </w:r>
      <w:r>
        <w:rPr>
          <w:w w:val="115"/>
        </w:rPr>
        <w:t>esa</w:t>
      </w:r>
      <w:r>
        <w:rPr>
          <w:spacing w:val="-11"/>
          <w:w w:val="115"/>
        </w:rPr>
        <w:t> </w:t>
      </w:r>
      <w:r>
        <w:rPr>
          <w:w w:val="115"/>
        </w:rPr>
        <w:t>ocasión</w:t>
      </w:r>
      <w:r>
        <w:rPr>
          <w:spacing w:val="-11"/>
          <w:w w:val="115"/>
        </w:rPr>
        <w:t> </w:t>
      </w:r>
      <w:r>
        <w:rPr>
          <w:w w:val="115"/>
        </w:rPr>
        <w:t>pasaron</w:t>
      </w:r>
      <w:r>
        <w:rPr>
          <w:spacing w:val="-11"/>
          <w:w w:val="115"/>
        </w:rPr>
        <w:t> </w:t>
      </w:r>
      <w:r>
        <w:rPr>
          <w:w w:val="115"/>
        </w:rPr>
        <w:t>re- vista</w:t>
      </w:r>
      <w:r>
        <w:rPr>
          <w:spacing w:val="-18"/>
          <w:w w:val="115"/>
        </w:rPr>
        <w:t> </w:t>
      </w:r>
      <w:r>
        <w:rPr>
          <w:w w:val="115"/>
        </w:rPr>
        <w:t>a</w:t>
      </w:r>
      <w:r>
        <w:rPr>
          <w:spacing w:val="-18"/>
          <w:w w:val="115"/>
        </w:rPr>
        <w:t> </w:t>
      </w:r>
      <w:r>
        <w:rPr>
          <w:w w:val="115"/>
        </w:rPr>
        <w:t>la</w:t>
      </w:r>
      <w:r>
        <w:rPr>
          <w:spacing w:val="-18"/>
          <w:w w:val="115"/>
        </w:rPr>
        <w:t> </w:t>
      </w:r>
      <w:r>
        <w:rPr>
          <w:w w:val="115"/>
        </w:rPr>
        <w:t>relación</w:t>
      </w:r>
      <w:r>
        <w:rPr>
          <w:spacing w:val="-18"/>
          <w:w w:val="115"/>
        </w:rPr>
        <w:t> </w:t>
      </w:r>
      <w:r>
        <w:rPr>
          <w:w w:val="115"/>
        </w:rPr>
        <w:t>entre</w:t>
      </w:r>
      <w:r>
        <w:rPr>
          <w:spacing w:val="-18"/>
          <w:w w:val="115"/>
        </w:rPr>
        <w:t> </w:t>
      </w:r>
      <w:r>
        <w:rPr>
          <w:w w:val="115"/>
        </w:rPr>
        <w:t>ambos</w:t>
      </w:r>
      <w:r>
        <w:rPr>
          <w:spacing w:val="-18"/>
          <w:w w:val="115"/>
        </w:rPr>
        <w:t> </w:t>
      </w:r>
      <w:r>
        <w:rPr>
          <w:w w:val="115"/>
        </w:rPr>
        <w:t>países</w:t>
      </w:r>
      <w:r>
        <w:rPr>
          <w:spacing w:val="-18"/>
          <w:w w:val="115"/>
        </w:rPr>
        <w:t> </w:t>
      </w:r>
      <w:r>
        <w:rPr>
          <w:w w:val="115"/>
        </w:rPr>
        <w:t>y</w:t>
      </w:r>
      <w:r>
        <w:rPr>
          <w:spacing w:val="-18"/>
          <w:w w:val="115"/>
        </w:rPr>
        <w:t> </w:t>
      </w:r>
      <w:r>
        <w:rPr>
          <w:w w:val="115"/>
        </w:rPr>
        <w:t>abordaron</w:t>
      </w:r>
      <w:r>
        <w:rPr>
          <w:spacing w:val="-18"/>
          <w:w w:val="115"/>
        </w:rPr>
        <w:t> </w:t>
      </w:r>
      <w:r>
        <w:rPr>
          <w:w w:val="115"/>
        </w:rPr>
        <w:t>“la</w:t>
      </w:r>
      <w:r>
        <w:rPr>
          <w:spacing w:val="-18"/>
          <w:w w:val="115"/>
        </w:rPr>
        <w:t> </w:t>
      </w:r>
      <w:r>
        <w:rPr>
          <w:w w:val="115"/>
        </w:rPr>
        <w:t>seguridad</w:t>
      </w:r>
      <w:r>
        <w:rPr>
          <w:spacing w:val="-18"/>
          <w:w w:val="115"/>
        </w:rPr>
        <w:t> </w:t>
      </w:r>
      <w:r>
        <w:rPr>
          <w:w w:val="115"/>
        </w:rPr>
        <w:t>en</w:t>
      </w:r>
      <w:r>
        <w:rPr>
          <w:spacing w:val="-18"/>
          <w:w w:val="115"/>
        </w:rPr>
        <w:t> </w:t>
      </w:r>
      <w:r>
        <w:rPr>
          <w:w w:val="115"/>
        </w:rPr>
        <w:t>el área</w:t>
      </w:r>
      <w:r>
        <w:rPr>
          <w:spacing w:val="-11"/>
          <w:w w:val="115"/>
        </w:rPr>
        <w:t> </w:t>
      </w:r>
      <w:r>
        <w:rPr>
          <w:w w:val="115"/>
        </w:rPr>
        <w:t>del</w:t>
      </w:r>
      <w:r>
        <w:rPr>
          <w:spacing w:val="-11"/>
          <w:w w:val="115"/>
        </w:rPr>
        <w:t> </w:t>
      </w:r>
      <w:r>
        <w:rPr>
          <w:w w:val="115"/>
        </w:rPr>
        <w:t>Caribe</w:t>
      </w:r>
      <w:r>
        <w:rPr>
          <w:spacing w:val="-11"/>
          <w:w w:val="115"/>
        </w:rPr>
        <w:t> </w:t>
      </w:r>
      <w:r>
        <w:rPr>
          <w:w w:val="115"/>
        </w:rPr>
        <w:t>y</w:t>
      </w:r>
      <w:r>
        <w:rPr>
          <w:spacing w:val="-11"/>
          <w:w w:val="115"/>
        </w:rPr>
        <w:t> </w:t>
      </w:r>
      <w:r>
        <w:rPr>
          <w:w w:val="115"/>
        </w:rPr>
        <w:t>Centroamérica,</w:t>
      </w:r>
      <w:r>
        <w:rPr>
          <w:spacing w:val="-11"/>
          <w:w w:val="115"/>
        </w:rPr>
        <w:t> </w:t>
      </w:r>
      <w:r>
        <w:rPr>
          <w:w w:val="115"/>
        </w:rPr>
        <w:t>la</w:t>
      </w:r>
      <w:r>
        <w:rPr>
          <w:spacing w:val="-11"/>
          <w:w w:val="115"/>
        </w:rPr>
        <w:t> </w:t>
      </w:r>
      <w:r>
        <w:rPr>
          <w:w w:val="115"/>
        </w:rPr>
        <w:t>lucha</w:t>
      </w:r>
      <w:r>
        <w:rPr>
          <w:spacing w:val="-11"/>
          <w:w w:val="115"/>
        </w:rPr>
        <w:t> </w:t>
      </w:r>
      <w:r>
        <w:rPr>
          <w:w w:val="115"/>
        </w:rPr>
        <w:t>contra</w:t>
      </w:r>
      <w:r>
        <w:rPr>
          <w:spacing w:val="-11"/>
          <w:w w:val="115"/>
        </w:rPr>
        <w:t> </w:t>
      </w:r>
      <w:r>
        <w:rPr>
          <w:w w:val="115"/>
        </w:rPr>
        <w:t>el</w:t>
      </w:r>
      <w:r>
        <w:rPr>
          <w:spacing w:val="-11"/>
          <w:w w:val="115"/>
        </w:rPr>
        <w:t> </w:t>
      </w:r>
      <w:r>
        <w:rPr>
          <w:w w:val="115"/>
        </w:rPr>
        <w:t>flagelo</w:t>
      </w:r>
      <w:r>
        <w:rPr>
          <w:spacing w:val="-11"/>
          <w:w w:val="115"/>
        </w:rPr>
        <w:t> </w:t>
      </w:r>
      <w:r>
        <w:rPr>
          <w:w w:val="115"/>
        </w:rPr>
        <w:t>del</w:t>
      </w:r>
      <w:r>
        <w:rPr>
          <w:spacing w:val="-11"/>
          <w:w w:val="115"/>
        </w:rPr>
        <w:t> </w:t>
      </w:r>
      <w:r>
        <w:rPr>
          <w:w w:val="115"/>
        </w:rPr>
        <w:t>narco- </w:t>
      </w:r>
      <w:r>
        <w:rPr>
          <w:w w:val="120"/>
        </w:rPr>
        <w:t>tráfico,</w:t>
      </w:r>
      <w:r>
        <w:rPr>
          <w:spacing w:val="-20"/>
          <w:w w:val="120"/>
        </w:rPr>
        <w:t> </w:t>
      </w:r>
      <w:r>
        <w:rPr>
          <w:w w:val="120"/>
        </w:rPr>
        <w:t>el</w:t>
      </w:r>
      <w:r>
        <w:rPr>
          <w:spacing w:val="-20"/>
          <w:w w:val="120"/>
        </w:rPr>
        <w:t> </w:t>
      </w:r>
      <w:r>
        <w:rPr>
          <w:w w:val="120"/>
        </w:rPr>
        <w:t>tema</w:t>
      </w:r>
      <w:r>
        <w:rPr>
          <w:spacing w:val="-20"/>
          <w:w w:val="120"/>
        </w:rPr>
        <w:t> </w:t>
      </w:r>
      <w:r>
        <w:rPr>
          <w:w w:val="120"/>
        </w:rPr>
        <w:t>de</w:t>
      </w:r>
      <w:r>
        <w:rPr>
          <w:spacing w:val="-20"/>
          <w:w w:val="120"/>
        </w:rPr>
        <w:t> </w:t>
      </w:r>
      <w:r>
        <w:rPr>
          <w:w w:val="120"/>
        </w:rPr>
        <w:t>la</w:t>
      </w:r>
      <w:r>
        <w:rPr>
          <w:spacing w:val="-20"/>
          <w:w w:val="120"/>
        </w:rPr>
        <w:t> </w:t>
      </w:r>
      <w:r>
        <w:rPr>
          <w:w w:val="120"/>
        </w:rPr>
        <w:t>energía</w:t>
      </w:r>
      <w:r>
        <w:rPr>
          <w:spacing w:val="-20"/>
          <w:w w:val="120"/>
        </w:rPr>
        <w:t> </w:t>
      </w:r>
      <w:r>
        <w:rPr>
          <w:w w:val="120"/>
        </w:rPr>
        <w:t>y</w:t>
      </w:r>
      <w:r>
        <w:rPr>
          <w:spacing w:val="-20"/>
          <w:w w:val="120"/>
        </w:rPr>
        <w:t> </w:t>
      </w:r>
      <w:r>
        <w:rPr>
          <w:w w:val="120"/>
        </w:rPr>
        <w:t>el</w:t>
      </w:r>
      <w:r>
        <w:rPr>
          <w:spacing w:val="-20"/>
          <w:w w:val="120"/>
        </w:rPr>
        <w:t> </w:t>
      </w:r>
      <w:r>
        <w:rPr>
          <w:w w:val="120"/>
        </w:rPr>
        <w:t>comercio”.</w:t>
      </w:r>
      <w:r>
        <w:rPr>
          <w:spacing w:val="-20"/>
          <w:w w:val="120"/>
        </w:rPr>
        <w:t> </w:t>
      </w:r>
      <w:r>
        <w:rPr>
          <w:spacing w:val="-3"/>
          <w:w w:val="120"/>
        </w:rPr>
        <w:t>también</w:t>
      </w:r>
      <w:r>
        <w:rPr>
          <w:spacing w:val="-20"/>
          <w:w w:val="120"/>
        </w:rPr>
        <w:t> </w:t>
      </w:r>
      <w:r>
        <w:rPr>
          <w:w w:val="120"/>
        </w:rPr>
        <w:t>la</w:t>
      </w:r>
      <w:r>
        <w:rPr>
          <w:spacing w:val="-20"/>
          <w:w w:val="120"/>
        </w:rPr>
        <w:t> </w:t>
      </w:r>
      <w:r>
        <w:rPr>
          <w:w w:val="120"/>
        </w:rPr>
        <w:t>complicada </w:t>
      </w:r>
      <w:r>
        <w:rPr>
          <w:w w:val="115"/>
        </w:rPr>
        <w:t>situación</w:t>
      </w:r>
      <w:r>
        <w:rPr>
          <w:spacing w:val="-15"/>
          <w:w w:val="115"/>
        </w:rPr>
        <w:t> </w:t>
      </w:r>
      <w:r>
        <w:rPr>
          <w:w w:val="115"/>
        </w:rPr>
        <w:t>de</w:t>
      </w:r>
      <w:r>
        <w:rPr>
          <w:spacing w:val="-15"/>
          <w:w w:val="115"/>
        </w:rPr>
        <w:t> </w:t>
      </w:r>
      <w:r>
        <w:rPr>
          <w:w w:val="115"/>
        </w:rPr>
        <w:t>los</w:t>
      </w:r>
      <w:r>
        <w:rPr>
          <w:spacing w:val="-15"/>
          <w:w w:val="115"/>
        </w:rPr>
        <w:t> </w:t>
      </w:r>
      <w:r>
        <w:rPr>
          <w:w w:val="115"/>
        </w:rPr>
        <w:t>cerca</w:t>
      </w:r>
      <w:r>
        <w:rPr>
          <w:spacing w:val="-15"/>
          <w:w w:val="115"/>
        </w:rPr>
        <w:t> </w:t>
      </w:r>
      <w:r>
        <w:rPr>
          <w:w w:val="115"/>
        </w:rPr>
        <w:t>de</w:t>
      </w:r>
      <w:r>
        <w:rPr>
          <w:spacing w:val="-15"/>
          <w:w w:val="115"/>
        </w:rPr>
        <w:t> </w:t>
      </w:r>
      <w:r>
        <w:rPr>
          <w:w w:val="115"/>
        </w:rPr>
        <w:t>12</w:t>
      </w:r>
      <w:r>
        <w:rPr>
          <w:spacing w:val="-15"/>
          <w:w w:val="115"/>
        </w:rPr>
        <w:t> </w:t>
      </w:r>
      <w:r>
        <w:rPr>
          <w:w w:val="115"/>
        </w:rPr>
        <w:t>millones</w:t>
      </w:r>
      <w:r>
        <w:rPr>
          <w:spacing w:val="-15"/>
          <w:w w:val="115"/>
        </w:rPr>
        <w:t> </w:t>
      </w:r>
      <w:r>
        <w:rPr>
          <w:w w:val="115"/>
        </w:rPr>
        <w:t>de</w:t>
      </w:r>
      <w:r>
        <w:rPr>
          <w:spacing w:val="-15"/>
          <w:w w:val="115"/>
        </w:rPr>
        <w:t> </w:t>
      </w:r>
      <w:r>
        <w:rPr>
          <w:w w:val="115"/>
        </w:rPr>
        <w:t>indocumentados</w:t>
      </w:r>
      <w:r>
        <w:rPr>
          <w:spacing w:val="-15"/>
          <w:w w:val="115"/>
        </w:rPr>
        <w:t> </w:t>
      </w:r>
      <w:r>
        <w:rPr>
          <w:w w:val="115"/>
        </w:rPr>
        <w:t>latinoame- </w:t>
      </w:r>
      <w:r>
        <w:rPr>
          <w:w w:val="120"/>
        </w:rPr>
        <w:t>ricanos</w:t>
      </w:r>
      <w:r>
        <w:rPr>
          <w:spacing w:val="-18"/>
          <w:w w:val="120"/>
        </w:rPr>
        <w:t> </w:t>
      </w:r>
      <w:r>
        <w:rPr>
          <w:w w:val="120"/>
        </w:rPr>
        <w:t>y</w:t>
      </w:r>
      <w:r>
        <w:rPr>
          <w:spacing w:val="-18"/>
          <w:w w:val="120"/>
        </w:rPr>
        <w:t> </w:t>
      </w:r>
      <w:r>
        <w:rPr>
          <w:w w:val="120"/>
        </w:rPr>
        <w:t>caribeños</w:t>
      </w:r>
      <w:r>
        <w:rPr>
          <w:spacing w:val="-18"/>
          <w:w w:val="120"/>
        </w:rPr>
        <w:t> </w:t>
      </w:r>
      <w:r>
        <w:rPr>
          <w:w w:val="120"/>
        </w:rPr>
        <w:t>que</w:t>
      </w:r>
      <w:r>
        <w:rPr>
          <w:spacing w:val="-18"/>
          <w:w w:val="120"/>
        </w:rPr>
        <w:t> </w:t>
      </w:r>
      <w:r>
        <w:rPr>
          <w:w w:val="120"/>
        </w:rPr>
        <w:t>viven</w:t>
      </w:r>
      <w:r>
        <w:rPr>
          <w:spacing w:val="-18"/>
          <w:w w:val="120"/>
        </w:rPr>
        <w:t> </w:t>
      </w:r>
      <w:r>
        <w:rPr>
          <w:w w:val="120"/>
        </w:rPr>
        <w:t>y</w:t>
      </w:r>
      <w:r>
        <w:rPr>
          <w:spacing w:val="-18"/>
          <w:w w:val="120"/>
        </w:rPr>
        <w:t> </w:t>
      </w:r>
      <w:r>
        <w:rPr>
          <w:w w:val="120"/>
        </w:rPr>
        <w:t>trabajan</w:t>
      </w:r>
      <w:r>
        <w:rPr>
          <w:spacing w:val="-18"/>
          <w:w w:val="120"/>
        </w:rPr>
        <w:t> </w:t>
      </w:r>
      <w:r>
        <w:rPr>
          <w:w w:val="120"/>
        </w:rPr>
        <w:t>en</w:t>
      </w:r>
      <w:r>
        <w:rPr>
          <w:spacing w:val="-18"/>
          <w:w w:val="120"/>
        </w:rPr>
        <w:t> </w:t>
      </w:r>
      <w:r>
        <w:rPr>
          <w:w w:val="120"/>
        </w:rPr>
        <w:t>los</w:t>
      </w:r>
      <w:r>
        <w:rPr>
          <w:spacing w:val="-18"/>
          <w:w w:val="120"/>
        </w:rPr>
        <w:t> </w:t>
      </w:r>
      <w:r>
        <w:rPr>
          <w:w w:val="120"/>
        </w:rPr>
        <w:t>Estados</w:t>
      </w:r>
      <w:r>
        <w:rPr>
          <w:spacing w:val="-18"/>
          <w:w w:val="120"/>
        </w:rPr>
        <w:t> </w:t>
      </w:r>
      <w:r>
        <w:rPr>
          <w:w w:val="120"/>
        </w:rPr>
        <w:t>unidos.</w:t>
      </w:r>
      <w:r>
        <w:rPr>
          <w:spacing w:val="-18"/>
          <w:w w:val="120"/>
        </w:rPr>
        <w:t> </w:t>
      </w:r>
      <w:r>
        <w:rPr>
          <w:w w:val="120"/>
        </w:rPr>
        <w:t>En </w:t>
      </w:r>
      <w:r>
        <w:rPr>
          <w:w w:val="115"/>
        </w:rPr>
        <w:t>ese</w:t>
      </w:r>
      <w:r>
        <w:rPr>
          <w:spacing w:val="-27"/>
          <w:w w:val="115"/>
        </w:rPr>
        <w:t> </w:t>
      </w:r>
      <w:r>
        <w:rPr>
          <w:w w:val="115"/>
        </w:rPr>
        <w:t>contexto,</w:t>
      </w:r>
      <w:r>
        <w:rPr>
          <w:spacing w:val="-27"/>
          <w:w w:val="115"/>
        </w:rPr>
        <w:t> </w:t>
      </w:r>
      <w:r>
        <w:rPr>
          <w:w w:val="115"/>
        </w:rPr>
        <w:t>biden</w:t>
      </w:r>
      <w:r>
        <w:rPr>
          <w:spacing w:val="-27"/>
          <w:w w:val="115"/>
        </w:rPr>
        <w:t> </w:t>
      </w:r>
      <w:r>
        <w:rPr>
          <w:w w:val="115"/>
        </w:rPr>
        <w:t>reiteró</w:t>
      </w:r>
      <w:r>
        <w:rPr>
          <w:spacing w:val="-27"/>
          <w:w w:val="115"/>
        </w:rPr>
        <w:t> </w:t>
      </w:r>
      <w:r>
        <w:rPr>
          <w:w w:val="115"/>
        </w:rPr>
        <w:t>el</w:t>
      </w:r>
      <w:r>
        <w:rPr>
          <w:spacing w:val="-27"/>
          <w:w w:val="115"/>
        </w:rPr>
        <w:t> </w:t>
      </w:r>
      <w:r>
        <w:rPr>
          <w:w w:val="115"/>
        </w:rPr>
        <w:t>incumplido</w:t>
      </w:r>
      <w:r>
        <w:rPr>
          <w:spacing w:val="-27"/>
          <w:w w:val="115"/>
        </w:rPr>
        <w:t> </w:t>
      </w:r>
      <w:r>
        <w:rPr>
          <w:w w:val="115"/>
        </w:rPr>
        <w:t>compromiso</w:t>
      </w:r>
      <w:r>
        <w:rPr>
          <w:spacing w:val="-27"/>
          <w:w w:val="115"/>
        </w:rPr>
        <w:t> </w:t>
      </w:r>
      <w:r>
        <w:rPr>
          <w:w w:val="115"/>
        </w:rPr>
        <w:t>de</w:t>
      </w:r>
      <w:r>
        <w:rPr>
          <w:spacing w:val="-27"/>
          <w:w w:val="115"/>
        </w:rPr>
        <w:t> </w:t>
      </w:r>
      <w:r>
        <w:rPr>
          <w:w w:val="115"/>
        </w:rPr>
        <w:t>su</w:t>
      </w:r>
      <w:r>
        <w:rPr>
          <w:spacing w:val="-27"/>
          <w:w w:val="115"/>
        </w:rPr>
        <w:t> </w:t>
      </w:r>
      <w:r>
        <w:rPr>
          <w:w w:val="115"/>
        </w:rPr>
        <w:t>gobierno </w:t>
      </w:r>
      <w:r>
        <w:rPr>
          <w:w w:val="120"/>
        </w:rPr>
        <w:t>de</w:t>
      </w:r>
      <w:r>
        <w:rPr>
          <w:spacing w:val="-22"/>
          <w:w w:val="120"/>
        </w:rPr>
        <w:t> </w:t>
      </w:r>
      <w:r>
        <w:rPr>
          <w:w w:val="120"/>
        </w:rPr>
        <w:t>“sacarlos</w:t>
      </w:r>
      <w:r>
        <w:rPr>
          <w:spacing w:val="-22"/>
          <w:w w:val="120"/>
        </w:rPr>
        <w:t> </w:t>
      </w:r>
      <w:r>
        <w:rPr>
          <w:w w:val="120"/>
        </w:rPr>
        <w:t>de</w:t>
      </w:r>
      <w:r>
        <w:rPr>
          <w:spacing w:val="-22"/>
          <w:w w:val="120"/>
        </w:rPr>
        <w:t> </w:t>
      </w:r>
      <w:r>
        <w:rPr>
          <w:w w:val="120"/>
        </w:rPr>
        <w:t>las</w:t>
      </w:r>
      <w:r>
        <w:rPr>
          <w:spacing w:val="-22"/>
          <w:w w:val="120"/>
        </w:rPr>
        <w:t> </w:t>
      </w:r>
      <w:r>
        <w:rPr>
          <w:w w:val="120"/>
        </w:rPr>
        <w:t>sombras</w:t>
      </w:r>
      <w:r>
        <w:rPr>
          <w:spacing w:val="-22"/>
          <w:w w:val="120"/>
        </w:rPr>
        <w:t> </w:t>
      </w:r>
      <w:r>
        <w:rPr>
          <w:w w:val="120"/>
        </w:rPr>
        <w:t>y</w:t>
      </w:r>
      <w:r>
        <w:rPr>
          <w:spacing w:val="-22"/>
          <w:w w:val="120"/>
        </w:rPr>
        <w:t> </w:t>
      </w:r>
      <w:r>
        <w:rPr>
          <w:w w:val="120"/>
        </w:rPr>
        <w:t>darles</w:t>
      </w:r>
      <w:r>
        <w:rPr>
          <w:spacing w:val="-22"/>
          <w:w w:val="120"/>
        </w:rPr>
        <w:t> </w:t>
      </w:r>
      <w:r>
        <w:rPr>
          <w:w w:val="120"/>
        </w:rPr>
        <w:t>la</w:t>
      </w:r>
      <w:r>
        <w:rPr>
          <w:spacing w:val="-22"/>
          <w:w w:val="120"/>
        </w:rPr>
        <w:t> </w:t>
      </w:r>
      <w:r>
        <w:rPr>
          <w:w w:val="120"/>
        </w:rPr>
        <w:t>dignidad</w:t>
      </w:r>
      <w:r>
        <w:rPr>
          <w:spacing w:val="-22"/>
          <w:w w:val="120"/>
        </w:rPr>
        <w:t> </w:t>
      </w:r>
      <w:r>
        <w:rPr>
          <w:w w:val="120"/>
        </w:rPr>
        <w:t>que</w:t>
      </w:r>
      <w:r>
        <w:rPr>
          <w:spacing w:val="-22"/>
          <w:w w:val="120"/>
        </w:rPr>
        <w:t> </w:t>
      </w:r>
      <w:r>
        <w:rPr>
          <w:w w:val="120"/>
        </w:rPr>
        <w:t>estos</w:t>
      </w:r>
      <w:r>
        <w:rPr>
          <w:spacing w:val="-22"/>
          <w:w w:val="120"/>
        </w:rPr>
        <w:t> </w:t>
      </w:r>
      <w:r>
        <w:rPr>
          <w:w w:val="120"/>
        </w:rPr>
        <w:t>se</w:t>
      </w:r>
      <w:r>
        <w:rPr>
          <w:spacing w:val="-22"/>
          <w:w w:val="120"/>
        </w:rPr>
        <w:t> </w:t>
      </w:r>
      <w:r>
        <w:rPr>
          <w:w w:val="120"/>
        </w:rPr>
        <w:t>mere- </w:t>
      </w:r>
      <w:r>
        <w:rPr>
          <w:w w:val="115"/>
        </w:rPr>
        <w:t>cen”</w:t>
      </w:r>
      <w:r>
        <w:rPr>
          <w:spacing w:val="-19"/>
          <w:w w:val="115"/>
        </w:rPr>
        <w:t> </w:t>
      </w:r>
      <w:r>
        <w:rPr>
          <w:w w:val="115"/>
        </w:rPr>
        <w:t>(NY1</w:t>
      </w:r>
      <w:r>
        <w:rPr>
          <w:spacing w:val="-19"/>
          <w:w w:val="115"/>
        </w:rPr>
        <w:t> </w:t>
      </w:r>
      <w:r>
        <w:rPr>
          <w:w w:val="115"/>
        </w:rPr>
        <w:t>Noticias,</w:t>
      </w:r>
      <w:r>
        <w:rPr>
          <w:spacing w:val="-19"/>
          <w:w w:val="115"/>
        </w:rPr>
        <w:t> </w:t>
      </w:r>
      <w:r>
        <w:rPr>
          <w:w w:val="115"/>
        </w:rPr>
        <w:t>2014).</w:t>
      </w:r>
    </w:p>
    <w:p>
      <w:pPr>
        <w:pStyle w:val="BodyText"/>
        <w:spacing w:line="252" w:lineRule="auto"/>
        <w:ind w:left="330" w:right="117" w:firstLine="396"/>
        <w:jc w:val="both"/>
      </w:pPr>
      <w:r>
        <w:rPr>
          <w:w w:val="110"/>
        </w:rPr>
        <w:t>inmediatamente después realizó una “visita relámpago” a Guate- mala. además de las reuniones que sostuvo con las autoridades y el mandatario de ese país, otto Pérez Medina, con el propósito de eli- minar “las asperezas” existentes en las relaciones entre ambos países (</w:t>
      </w:r>
      <w:r>
        <w:rPr>
          <w:i/>
          <w:w w:val="110"/>
        </w:rPr>
        <w:t>América Economía</w:t>
      </w:r>
      <w:r>
        <w:rPr>
          <w:w w:val="110"/>
        </w:rPr>
        <w:t>, 2014), biden se entrevistó con el entonces recién electo presidente de El </w:t>
      </w:r>
      <w:r>
        <w:rPr>
          <w:spacing w:val="-3"/>
          <w:w w:val="110"/>
        </w:rPr>
        <w:t>salvador, </w:t>
      </w:r>
      <w:r>
        <w:rPr>
          <w:w w:val="110"/>
        </w:rPr>
        <w:t>salvador sánchez Cerén, con el </w:t>
      </w:r>
      <w:r>
        <w:rPr>
          <w:spacing w:val="-3"/>
          <w:w w:val="110"/>
        </w:rPr>
        <w:t>coor- </w:t>
      </w:r>
      <w:r>
        <w:rPr>
          <w:w w:val="110"/>
        </w:rPr>
        <w:t>dinador general del Gabinete de Honduras, José ramón Hernández,      y con el secretario de Gobernación de México, Miguel Ángel osorio, para tratar de encontrar “soluciones conjuntas” a la grave situación creada por el explosivo ingreso ilegal a los Estados unidos de más de 60</w:t>
      </w:r>
      <w:r>
        <w:rPr>
          <w:spacing w:val="-4"/>
          <w:w w:val="110"/>
        </w:rPr>
        <w:t> </w:t>
      </w:r>
      <w:r>
        <w:rPr>
          <w:w w:val="110"/>
        </w:rPr>
        <w:t>mil</w:t>
      </w:r>
      <w:r>
        <w:rPr>
          <w:spacing w:val="-4"/>
          <w:w w:val="110"/>
        </w:rPr>
        <w:t> </w:t>
      </w:r>
      <w:r>
        <w:rPr>
          <w:w w:val="110"/>
        </w:rPr>
        <w:t>niños</w:t>
      </w:r>
      <w:r>
        <w:rPr>
          <w:spacing w:val="-4"/>
          <w:w w:val="110"/>
        </w:rPr>
        <w:t> </w:t>
      </w:r>
      <w:r>
        <w:rPr>
          <w:w w:val="110"/>
        </w:rPr>
        <w:t>y</w:t>
      </w:r>
      <w:r>
        <w:rPr>
          <w:spacing w:val="-4"/>
          <w:w w:val="110"/>
        </w:rPr>
        <w:t> </w:t>
      </w:r>
      <w:r>
        <w:rPr>
          <w:w w:val="110"/>
        </w:rPr>
        <w:t>jóvenes</w:t>
      </w:r>
      <w:r>
        <w:rPr>
          <w:spacing w:val="-4"/>
          <w:w w:val="110"/>
        </w:rPr>
        <w:t> </w:t>
      </w:r>
      <w:r>
        <w:rPr>
          <w:w w:val="110"/>
        </w:rPr>
        <w:t>menores</w:t>
      </w:r>
      <w:r>
        <w:rPr>
          <w:spacing w:val="-4"/>
          <w:w w:val="110"/>
        </w:rPr>
        <w:t> </w:t>
      </w:r>
      <w:r>
        <w:rPr>
          <w:w w:val="110"/>
        </w:rPr>
        <w:t>de</w:t>
      </w:r>
      <w:r>
        <w:rPr>
          <w:spacing w:val="-4"/>
          <w:w w:val="110"/>
        </w:rPr>
        <w:t> </w:t>
      </w:r>
      <w:r>
        <w:rPr>
          <w:w w:val="110"/>
        </w:rPr>
        <w:t>18</w:t>
      </w:r>
      <w:r>
        <w:rPr>
          <w:spacing w:val="-4"/>
          <w:w w:val="110"/>
        </w:rPr>
        <w:t> </w:t>
      </w:r>
      <w:r>
        <w:rPr>
          <w:w w:val="110"/>
        </w:rPr>
        <w:t>años</w:t>
      </w:r>
      <w:r>
        <w:rPr>
          <w:spacing w:val="-4"/>
          <w:w w:val="110"/>
        </w:rPr>
        <w:t> </w:t>
      </w:r>
      <w:r>
        <w:rPr>
          <w:w w:val="110"/>
        </w:rPr>
        <w:t>procedentes</w:t>
      </w:r>
      <w:r>
        <w:rPr>
          <w:spacing w:val="-4"/>
          <w:w w:val="110"/>
        </w:rPr>
        <w:t> </w:t>
      </w:r>
      <w:r>
        <w:rPr>
          <w:w w:val="110"/>
        </w:rPr>
        <w:t>de</w:t>
      </w:r>
      <w:r>
        <w:rPr>
          <w:spacing w:val="-4"/>
          <w:w w:val="110"/>
        </w:rPr>
        <w:t> </w:t>
      </w:r>
      <w:r>
        <w:rPr>
          <w:w w:val="110"/>
        </w:rPr>
        <w:t>esos</w:t>
      </w:r>
      <w:r>
        <w:rPr>
          <w:spacing w:val="-4"/>
          <w:w w:val="110"/>
        </w:rPr>
        <w:t> </w:t>
      </w:r>
      <w:r>
        <w:rPr>
          <w:w w:val="110"/>
        </w:rPr>
        <w:t>países sin compañía de sus padres o</w:t>
      </w:r>
      <w:r>
        <w:rPr>
          <w:spacing w:val="42"/>
          <w:w w:val="110"/>
        </w:rPr>
        <w:t> </w:t>
      </w:r>
      <w:r>
        <w:rPr>
          <w:w w:val="110"/>
        </w:rPr>
        <w:t>tutores.</w:t>
      </w:r>
    </w:p>
    <w:p>
      <w:pPr>
        <w:spacing w:after="0" w:line="252" w:lineRule="auto"/>
        <w:jc w:val="both"/>
        <w:sectPr>
          <w:footerReference w:type="default" r:id="rId469"/>
          <w:footerReference w:type="even" r:id="rId470"/>
          <w:pgSz w:w="8790" w:h="12760"/>
          <w:pgMar w:footer="725" w:header="697" w:top="880" w:bottom="920" w:left="1200" w:right="900"/>
        </w:sectPr>
      </w:pPr>
    </w:p>
    <w:p>
      <w:pPr>
        <w:pStyle w:val="BodyText"/>
        <w:spacing w:before="9"/>
        <w:rPr>
          <w:sz w:val="28"/>
        </w:rPr>
      </w:pPr>
    </w:p>
    <w:p>
      <w:pPr>
        <w:pStyle w:val="BodyText"/>
        <w:spacing w:line="252" w:lineRule="auto" w:before="73"/>
        <w:ind w:left="100" w:right="327" w:firstLine="396"/>
        <w:jc w:val="both"/>
      </w:pPr>
      <w:r>
        <w:rPr>
          <w:w w:val="110"/>
        </w:rPr>
        <w:t>además de indicar que estos no serán beneficiados por el Pro- grama de acción diferida (daCa, por sus siglas en inglés) que ha  venido aplicando la administración de barack obama, biden advirtió que –mientras siga el flujo de niños migrantes a su país– será muy di- fícil que la Cámara de representantes (mayoritariamente controlada por los republicanos) ratifique la reforma migratoria aprobada en el senado en junio de 2013 (Marroquín, 2014). algunos de esos argu- mentos fueron reiterados por obama durante la  reunión  conjunta que, acompañado por su vicepresidente, sostuvo en la Casa blanca     el 25 de julio de 2014 con los antes mencionados mandatarios de El salvador y Guatemala, así como con el presidente de Honduras, Juan orlando </w:t>
      </w:r>
      <w:r>
        <w:rPr>
          <w:spacing w:val="26"/>
          <w:w w:val="110"/>
        </w:rPr>
        <w:t> </w:t>
      </w:r>
      <w:r>
        <w:rPr>
          <w:w w:val="110"/>
        </w:rPr>
        <w:t>Hernández.</w:t>
      </w:r>
    </w:p>
    <w:p>
      <w:pPr>
        <w:pStyle w:val="BodyText"/>
        <w:spacing w:line="252" w:lineRule="auto"/>
        <w:ind w:left="100" w:right="325" w:firstLine="396"/>
        <w:jc w:val="both"/>
      </w:pPr>
      <w:r>
        <w:rPr>
          <w:w w:val="110"/>
        </w:rPr>
        <w:t>En esa ocasión –y con la promesa de darle un “tratamiento hu- mano” y emprender un programa de mediano y largo plazo para evitar el constante flujo incontrolado de niños  y  jóvenes  migran-  tes– el presidente estadounidense les “pidió ayuda” a sus homólogos centroamericanos para solucionar “la crisis  migratoria”  creada  en los Estados unidos, así como también que adoptaran las medidas necesarias para atender a los que serán deportados a sus países de origen </w:t>
      </w:r>
      <w:r>
        <w:rPr>
          <w:spacing w:val="-6"/>
          <w:w w:val="110"/>
        </w:rPr>
        <w:t>(aP, </w:t>
      </w:r>
      <w:r>
        <w:rPr>
          <w:spacing w:val="-3"/>
          <w:w w:val="110"/>
        </w:rPr>
        <w:t> </w:t>
      </w:r>
      <w:r>
        <w:rPr>
          <w:w w:val="110"/>
        </w:rPr>
        <w:t>2014).</w:t>
      </w:r>
    </w:p>
    <w:p>
      <w:pPr>
        <w:pStyle w:val="BodyText"/>
        <w:spacing w:line="252" w:lineRule="auto"/>
        <w:ind w:left="100" w:right="328" w:firstLine="396"/>
        <w:jc w:val="both"/>
      </w:pPr>
      <w:r>
        <w:rPr>
          <w:w w:val="115"/>
        </w:rPr>
        <w:t>según</w:t>
      </w:r>
      <w:r>
        <w:rPr>
          <w:spacing w:val="-13"/>
          <w:w w:val="115"/>
        </w:rPr>
        <w:t> </w:t>
      </w:r>
      <w:r>
        <w:rPr>
          <w:w w:val="115"/>
        </w:rPr>
        <w:t>diversos</w:t>
      </w:r>
      <w:r>
        <w:rPr>
          <w:spacing w:val="-13"/>
          <w:w w:val="115"/>
        </w:rPr>
        <w:t> </w:t>
      </w:r>
      <w:r>
        <w:rPr>
          <w:w w:val="115"/>
        </w:rPr>
        <w:t>analistas</w:t>
      </w:r>
      <w:r>
        <w:rPr>
          <w:spacing w:val="-13"/>
          <w:w w:val="115"/>
        </w:rPr>
        <w:t> </w:t>
      </w:r>
      <w:r>
        <w:rPr>
          <w:w w:val="115"/>
        </w:rPr>
        <w:t>–entre</w:t>
      </w:r>
      <w:r>
        <w:rPr>
          <w:spacing w:val="-13"/>
          <w:w w:val="115"/>
        </w:rPr>
        <w:t> </w:t>
      </w:r>
      <w:r>
        <w:rPr>
          <w:w w:val="115"/>
        </w:rPr>
        <w:t>los</w:t>
      </w:r>
      <w:r>
        <w:rPr>
          <w:spacing w:val="-13"/>
          <w:w w:val="115"/>
        </w:rPr>
        <w:t> </w:t>
      </w:r>
      <w:r>
        <w:rPr>
          <w:w w:val="115"/>
        </w:rPr>
        <w:t>que</w:t>
      </w:r>
      <w:r>
        <w:rPr>
          <w:spacing w:val="-13"/>
          <w:w w:val="115"/>
        </w:rPr>
        <w:t> </w:t>
      </w:r>
      <w:r>
        <w:rPr>
          <w:w w:val="115"/>
        </w:rPr>
        <w:t>me</w:t>
      </w:r>
      <w:r>
        <w:rPr>
          <w:spacing w:val="-13"/>
          <w:w w:val="115"/>
        </w:rPr>
        <w:t> </w:t>
      </w:r>
      <w:r>
        <w:rPr>
          <w:w w:val="115"/>
        </w:rPr>
        <w:t>incluyo–</w:t>
      </w:r>
      <w:r>
        <w:rPr>
          <w:spacing w:val="-13"/>
          <w:w w:val="115"/>
        </w:rPr>
        <w:t> </w:t>
      </w:r>
      <w:r>
        <w:rPr>
          <w:w w:val="115"/>
        </w:rPr>
        <w:t>esa</w:t>
      </w:r>
      <w:r>
        <w:rPr>
          <w:spacing w:val="-13"/>
          <w:w w:val="115"/>
        </w:rPr>
        <w:t> </w:t>
      </w:r>
      <w:r>
        <w:rPr>
          <w:w w:val="115"/>
        </w:rPr>
        <w:t>crisis</w:t>
      </w:r>
      <w:r>
        <w:rPr>
          <w:spacing w:val="-13"/>
          <w:w w:val="115"/>
        </w:rPr>
        <w:t> </w:t>
      </w:r>
      <w:r>
        <w:rPr>
          <w:w w:val="115"/>
        </w:rPr>
        <w:t>se </w:t>
      </w:r>
      <w:r>
        <w:rPr>
          <w:w w:val="120"/>
        </w:rPr>
        <w:t>prolongará</w:t>
      </w:r>
      <w:r>
        <w:rPr>
          <w:spacing w:val="-26"/>
          <w:w w:val="120"/>
        </w:rPr>
        <w:t> </w:t>
      </w:r>
      <w:r>
        <w:rPr>
          <w:w w:val="120"/>
        </w:rPr>
        <w:t>durante</w:t>
      </w:r>
      <w:r>
        <w:rPr>
          <w:spacing w:val="-26"/>
          <w:w w:val="120"/>
        </w:rPr>
        <w:t> </w:t>
      </w:r>
      <w:r>
        <w:rPr>
          <w:w w:val="120"/>
        </w:rPr>
        <w:t>el</w:t>
      </w:r>
      <w:r>
        <w:rPr>
          <w:spacing w:val="-26"/>
          <w:w w:val="120"/>
        </w:rPr>
        <w:t> </w:t>
      </w:r>
      <w:r>
        <w:rPr>
          <w:w w:val="120"/>
        </w:rPr>
        <w:t>presente</w:t>
      </w:r>
      <w:r>
        <w:rPr>
          <w:spacing w:val="-26"/>
          <w:w w:val="120"/>
        </w:rPr>
        <w:t> </w:t>
      </w:r>
      <w:r>
        <w:rPr>
          <w:w w:val="120"/>
        </w:rPr>
        <w:t>año</w:t>
      </w:r>
      <w:r>
        <w:rPr>
          <w:spacing w:val="-26"/>
          <w:w w:val="120"/>
        </w:rPr>
        <w:t> </w:t>
      </w:r>
      <w:r>
        <w:rPr>
          <w:w w:val="120"/>
        </w:rPr>
        <w:t>ya</w:t>
      </w:r>
      <w:r>
        <w:rPr>
          <w:spacing w:val="-26"/>
          <w:w w:val="120"/>
        </w:rPr>
        <w:t> </w:t>
      </w:r>
      <w:r>
        <w:rPr>
          <w:w w:val="120"/>
        </w:rPr>
        <w:t>que</w:t>
      </w:r>
      <w:r>
        <w:rPr>
          <w:spacing w:val="-26"/>
          <w:w w:val="120"/>
        </w:rPr>
        <w:t> </w:t>
      </w:r>
      <w:r>
        <w:rPr>
          <w:w w:val="120"/>
        </w:rPr>
        <w:t>es</w:t>
      </w:r>
      <w:r>
        <w:rPr>
          <w:spacing w:val="-26"/>
          <w:w w:val="120"/>
        </w:rPr>
        <w:t> </w:t>
      </w:r>
      <w:r>
        <w:rPr>
          <w:w w:val="120"/>
        </w:rPr>
        <w:t>una</w:t>
      </w:r>
      <w:r>
        <w:rPr>
          <w:spacing w:val="-26"/>
          <w:w w:val="120"/>
        </w:rPr>
        <w:t> </w:t>
      </w:r>
      <w:r>
        <w:rPr>
          <w:w w:val="120"/>
        </w:rPr>
        <w:t>de</w:t>
      </w:r>
      <w:r>
        <w:rPr>
          <w:spacing w:val="-26"/>
          <w:w w:val="120"/>
        </w:rPr>
        <w:t> </w:t>
      </w:r>
      <w:r>
        <w:rPr>
          <w:w w:val="120"/>
        </w:rPr>
        <w:t>las</w:t>
      </w:r>
      <w:r>
        <w:rPr>
          <w:spacing w:val="-26"/>
          <w:w w:val="120"/>
        </w:rPr>
        <w:t> </w:t>
      </w:r>
      <w:r>
        <w:rPr>
          <w:w w:val="120"/>
        </w:rPr>
        <w:t>tantas</w:t>
      </w:r>
      <w:r>
        <w:rPr>
          <w:spacing w:val="-26"/>
          <w:w w:val="120"/>
        </w:rPr>
        <w:t> </w:t>
      </w:r>
      <w:r>
        <w:rPr>
          <w:w w:val="120"/>
        </w:rPr>
        <w:t>con- </w:t>
      </w:r>
      <w:r>
        <w:rPr>
          <w:w w:val="115"/>
        </w:rPr>
        <w:t>secuencias del fracaso de los acuerdos de “libre comercio”</w:t>
      </w:r>
      <w:r>
        <w:rPr>
          <w:spacing w:val="-27"/>
          <w:w w:val="115"/>
        </w:rPr>
        <w:t> </w:t>
      </w:r>
      <w:r>
        <w:rPr>
          <w:w w:val="115"/>
        </w:rPr>
        <w:t>signados </w:t>
      </w:r>
      <w:r>
        <w:rPr>
          <w:w w:val="120"/>
        </w:rPr>
        <w:t>en</w:t>
      </w:r>
      <w:r>
        <w:rPr>
          <w:spacing w:val="-27"/>
          <w:w w:val="120"/>
        </w:rPr>
        <w:t> </w:t>
      </w:r>
      <w:r>
        <w:rPr>
          <w:w w:val="120"/>
        </w:rPr>
        <w:t>2004</w:t>
      </w:r>
      <w:r>
        <w:rPr>
          <w:spacing w:val="-27"/>
          <w:w w:val="120"/>
        </w:rPr>
        <w:t> </w:t>
      </w:r>
      <w:r>
        <w:rPr>
          <w:w w:val="120"/>
        </w:rPr>
        <w:t>por</w:t>
      </w:r>
      <w:r>
        <w:rPr>
          <w:spacing w:val="-27"/>
          <w:w w:val="120"/>
        </w:rPr>
        <w:t> </w:t>
      </w:r>
      <w:r>
        <w:rPr>
          <w:w w:val="120"/>
        </w:rPr>
        <w:t>la</w:t>
      </w:r>
      <w:r>
        <w:rPr>
          <w:spacing w:val="-27"/>
          <w:w w:val="120"/>
        </w:rPr>
        <w:t> </w:t>
      </w:r>
      <w:r>
        <w:rPr>
          <w:w w:val="120"/>
        </w:rPr>
        <w:t>administración</w:t>
      </w:r>
      <w:r>
        <w:rPr>
          <w:spacing w:val="-27"/>
          <w:w w:val="120"/>
        </w:rPr>
        <w:t> </w:t>
      </w:r>
      <w:r>
        <w:rPr>
          <w:w w:val="120"/>
        </w:rPr>
        <w:t>de</w:t>
      </w:r>
      <w:r>
        <w:rPr>
          <w:spacing w:val="-27"/>
          <w:w w:val="120"/>
        </w:rPr>
        <w:t> </w:t>
      </w:r>
      <w:r>
        <w:rPr>
          <w:w w:val="120"/>
        </w:rPr>
        <w:t>George</w:t>
      </w:r>
      <w:r>
        <w:rPr>
          <w:spacing w:val="-27"/>
          <w:w w:val="120"/>
        </w:rPr>
        <w:t> </w:t>
      </w:r>
      <w:r>
        <w:rPr>
          <w:spacing w:val="-11"/>
          <w:w w:val="120"/>
        </w:rPr>
        <w:t>W.</w:t>
      </w:r>
      <w:r>
        <w:rPr>
          <w:spacing w:val="-27"/>
          <w:w w:val="120"/>
        </w:rPr>
        <w:t> </w:t>
      </w:r>
      <w:r>
        <w:rPr>
          <w:w w:val="120"/>
        </w:rPr>
        <w:t>bush</w:t>
      </w:r>
      <w:r>
        <w:rPr>
          <w:spacing w:val="-27"/>
          <w:w w:val="120"/>
        </w:rPr>
        <w:t> </w:t>
      </w:r>
      <w:r>
        <w:rPr>
          <w:w w:val="120"/>
        </w:rPr>
        <w:t>con</w:t>
      </w:r>
      <w:r>
        <w:rPr>
          <w:spacing w:val="-27"/>
          <w:w w:val="120"/>
        </w:rPr>
        <w:t> </w:t>
      </w:r>
      <w:r>
        <w:rPr>
          <w:w w:val="120"/>
        </w:rPr>
        <w:t>los</w:t>
      </w:r>
      <w:r>
        <w:rPr>
          <w:spacing w:val="-27"/>
          <w:w w:val="120"/>
        </w:rPr>
        <w:t> </w:t>
      </w:r>
      <w:r>
        <w:rPr>
          <w:w w:val="120"/>
        </w:rPr>
        <w:t>gobiernos </w:t>
      </w:r>
      <w:r>
        <w:rPr>
          <w:w w:val="115"/>
        </w:rPr>
        <w:t>“neoliberales”</w:t>
      </w:r>
      <w:r>
        <w:rPr>
          <w:spacing w:val="-26"/>
          <w:w w:val="115"/>
        </w:rPr>
        <w:t> </w:t>
      </w:r>
      <w:r>
        <w:rPr>
          <w:w w:val="115"/>
        </w:rPr>
        <w:t>entonces</w:t>
      </w:r>
      <w:r>
        <w:rPr>
          <w:spacing w:val="-26"/>
          <w:w w:val="115"/>
        </w:rPr>
        <w:t> </w:t>
      </w:r>
      <w:r>
        <w:rPr>
          <w:w w:val="115"/>
        </w:rPr>
        <w:t>instalados</w:t>
      </w:r>
      <w:r>
        <w:rPr>
          <w:spacing w:val="-26"/>
          <w:w w:val="115"/>
        </w:rPr>
        <w:t> </w:t>
      </w:r>
      <w:r>
        <w:rPr>
          <w:w w:val="115"/>
        </w:rPr>
        <w:t>en</w:t>
      </w:r>
      <w:r>
        <w:rPr>
          <w:spacing w:val="-26"/>
          <w:w w:val="115"/>
        </w:rPr>
        <w:t> </w:t>
      </w:r>
      <w:r>
        <w:rPr>
          <w:w w:val="115"/>
        </w:rPr>
        <w:t>todos</w:t>
      </w:r>
      <w:r>
        <w:rPr>
          <w:spacing w:val="-26"/>
          <w:w w:val="115"/>
        </w:rPr>
        <w:t> </w:t>
      </w:r>
      <w:r>
        <w:rPr>
          <w:w w:val="115"/>
        </w:rPr>
        <w:t>los</w:t>
      </w:r>
      <w:r>
        <w:rPr>
          <w:spacing w:val="-26"/>
          <w:w w:val="115"/>
        </w:rPr>
        <w:t> </w:t>
      </w:r>
      <w:r>
        <w:rPr>
          <w:w w:val="115"/>
        </w:rPr>
        <w:t>Estados</w:t>
      </w:r>
      <w:r>
        <w:rPr>
          <w:spacing w:val="-26"/>
          <w:w w:val="115"/>
        </w:rPr>
        <w:t> </w:t>
      </w:r>
      <w:r>
        <w:rPr>
          <w:w w:val="115"/>
        </w:rPr>
        <w:t>de</w:t>
      </w:r>
      <w:r>
        <w:rPr>
          <w:spacing w:val="-26"/>
          <w:w w:val="115"/>
        </w:rPr>
        <w:t> </w:t>
      </w:r>
      <w:r>
        <w:rPr>
          <w:w w:val="115"/>
        </w:rPr>
        <w:t>esa</w:t>
      </w:r>
      <w:r>
        <w:rPr>
          <w:spacing w:val="-26"/>
          <w:w w:val="115"/>
        </w:rPr>
        <w:t> </w:t>
      </w:r>
      <w:r>
        <w:rPr>
          <w:w w:val="115"/>
        </w:rPr>
        <w:t>región, así</w:t>
      </w:r>
      <w:r>
        <w:rPr>
          <w:spacing w:val="-31"/>
          <w:w w:val="115"/>
        </w:rPr>
        <w:t> </w:t>
      </w:r>
      <w:r>
        <w:rPr>
          <w:w w:val="115"/>
        </w:rPr>
        <w:t>como</w:t>
      </w:r>
      <w:r>
        <w:rPr>
          <w:spacing w:val="-31"/>
          <w:w w:val="115"/>
        </w:rPr>
        <w:t> </w:t>
      </w:r>
      <w:r>
        <w:rPr>
          <w:w w:val="115"/>
        </w:rPr>
        <w:t>de</w:t>
      </w:r>
      <w:r>
        <w:rPr>
          <w:spacing w:val="-31"/>
          <w:w w:val="115"/>
        </w:rPr>
        <w:t> </w:t>
      </w:r>
      <w:r>
        <w:rPr>
          <w:w w:val="115"/>
        </w:rPr>
        <w:t>las</w:t>
      </w:r>
      <w:r>
        <w:rPr>
          <w:spacing w:val="-31"/>
          <w:w w:val="115"/>
        </w:rPr>
        <w:t> </w:t>
      </w:r>
      <w:r>
        <w:rPr>
          <w:w w:val="115"/>
        </w:rPr>
        <w:t>militarizadas</w:t>
      </w:r>
      <w:r>
        <w:rPr>
          <w:spacing w:val="-31"/>
          <w:w w:val="115"/>
        </w:rPr>
        <w:t> </w:t>
      </w:r>
      <w:r>
        <w:rPr>
          <w:w w:val="115"/>
        </w:rPr>
        <w:t>estrategias</w:t>
      </w:r>
      <w:r>
        <w:rPr>
          <w:spacing w:val="-31"/>
          <w:w w:val="115"/>
        </w:rPr>
        <w:t> </w:t>
      </w:r>
      <w:r>
        <w:rPr>
          <w:w w:val="115"/>
        </w:rPr>
        <w:t>de</w:t>
      </w:r>
      <w:r>
        <w:rPr>
          <w:spacing w:val="-31"/>
          <w:w w:val="115"/>
        </w:rPr>
        <w:t> </w:t>
      </w:r>
      <w:r>
        <w:rPr>
          <w:w w:val="115"/>
        </w:rPr>
        <w:t>“seguridad</w:t>
      </w:r>
      <w:r>
        <w:rPr>
          <w:spacing w:val="-31"/>
          <w:w w:val="115"/>
        </w:rPr>
        <w:t> </w:t>
      </w:r>
      <w:r>
        <w:rPr>
          <w:w w:val="115"/>
        </w:rPr>
        <w:t>no</w:t>
      </w:r>
      <w:r>
        <w:rPr>
          <w:spacing w:val="-31"/>
          <w:w w:val="115"/>
        </w:rPr>
        <w:t> </w:t>
      </w:r>
      <w:r>
        <w:rPr>
          <w:w w:val="115"/>
        </w:rPr>
        <w:t>tradicional” hacia México y el “triángulo norte” centroamericano emprendidas tanto</w:t>
      </w:r>
      <w:r>
        <w:rPr>
          <w:spacing w:val="-24"/>
          <w:w w:val="115"/>
        </w:rPr>
        <w:t> </w:t>
      </w:r>
      <w:r>
        <w:rPr>
          <w:w w:val="115"/>
        </w:rPr>
        <w:t>por</w:t>
      </w:r>
      <w:r>
        <w:rPr>
          <w:spacing w:val="-24"/>
          <w:w w:val="115"/>
        </w:rPr>
        <w:t> </w:t>
      </w:r>
      <w:r>
        <w:rPr>
          <w:w w:val="115"/>
        </w:rPr>
        <w:t>la</w:t>
      </w:r>
      <w:r>
        <w:rPr>
          <w:spacing w:val="-24"/>
          <w:w w:val="115"/>
        </w:rPr>
        <w:t> </w:t>
      </w:r>
      <w:r>
        <w:rPr>
          <w:w w:val="115"/>
        </w:rPr>
        <w:t>administración</w:t>
      </w:r>
      <w:r>
        <w:rPr>
          <w:spacing w:val="-24"/>
          <w:w w:val="115"/>
        </w:rPr>
        <w:t> </w:t>
      </w:r>
      <w:r>
        <w:rPr>
          <w:w w:val="115"/>
        </w:rPr>
        <w:t>estadounidense</w:t>
      </w:r>
      <w:r>
        <w:rPr>
          <w:spacing w:val="-24"/>
          <w:w w:val="115"/>
        </w:rPr>
        <w:t> </w:t>
      </w:r>
      <w:r>
        <w:rPr>
          <w:w w:val="115"/>
        </w:rPr>
        <w:t>antes</w:t>
      </w:r>
      <w:r>
        <w:rPr>
          <w:spacing w:val="-24"/>
          <w:w w:val="115"/>
        </w:rPr>
        <w:t> </w:t>
      </w:r>
      <w:r>
        <w:rPr>
          <w:w w:val="115"/>
        </w:rPr>
        <w:t>mencionada,</w:t>
      </w:r>
      <w:r>
        <w:rPr>
          <w:spacing w:val="-24"/>
          <w:w w:val="115"/>
        </w:rPr>
        <w:t> </w:t>
      </w:r>
      <w:r>
        <w:rPr>
          <w:w w:val="115"/>
        </w:rPr>
        <w:t>como </w:t>
      </w:r>
      <w:r>
        <w:rPr>
          <w:w w:val="120"/>
        </w:rPr>
        <w:t>por</w:t>
      </w:r>
      <w:r>
        <w:rPr>
          <w:spacing w:val="-25"/>
          <w:w w:val="120"/>
        </w:rPr>
        <w:t> </w:t>
      </w:r>
      <w:r>
        <w:rPr>
          <w:w w:val="120"/>
        </w:rPr>
        <w:t>la</w:t>
      </w:r>
      <w:r>
        <w:rPr>
          <w:spacing w:val="-25"/>
          <w:w w:val="120"/>
        </w:rPr>
        <w:t> </w:t>
      </w:r>
      <w:r>
        <w:rPr>
          <w:w w:val="120"/>
        </w:rPr>
        <w:t>administración</w:t>
      </w:r>
      <w:r>
        <w:rPr>
          <w:spacing w:val="-25"/>
          <w:w w:val="120"/>
        </w:rPr>
        <w:t> </w:t>
      </w:r>
      <w:r>
        <w:rPr>
          <w:w w:val="120"/>
        </w:rPr>
        <w:t>de</w:t>
      </w:r>
      <w:r>
        <w:rPr>
          <w:spacing w:val="-25"/>
          <w:w w:val="120"/>
        </w:rPr>
        <w:t> </w:t>
      </w:r>
      <w:r>
        <w:rPr>
          <w:w w:val="120"/>
        </w:rPr>
        <w:t>barack</w:t>
      </w:r>
      <w:r>
        <w:rPr>
          <w:spacing w:val="-25"/>
          <w:w w:val="120"/>
        </w:rPr>
        <w:t> </w:t>
      </w:r>
      <w:r>
        <w:rPr>
          <w:w w:val="120"/>
        </w:rPr>
        <w:t>obama</w:t>
      </w:r>
      <w:r>
        <w:rPr>
          <w:spacing w:val="-25"/>
          <w:w w:val="120"/>
        </w:rPr>
        <w:t> </w:t>
      </w:r>
      <w:r>
        <w:rPr>
          <w:w w:val="120"/>
        </w:rPr>
        <w:t>(Wola,</w:t>
      </w:r>
      <w:r>
        <w:rPr>
          <w:spacing w:val="-25"/>
          <w:w w:val="120"/>
        </w:rPr>
        <w:t> </w:t>
      </w:r>
      <w:r>
        <w:rPr>
          <w:w w:val="120"/>
        </w:rPr>
        <w:t>2014).</w:t>
      </w:r>
    </w:p>
    <w:p>
      <w:pPr>
        <w:pStyle w:val="BodyText"/>
        <w:spacing w:line="252" w:lineRule="auto"/>
        <w:ind w:left="100" w:right="327" w:firstLine="396"/>
        <w:jc w:val="both"/>
      </w:pPr>
      <w:r>
        <w:rPr>
          <w:w w:val="110"/>
        </w:rPr>
        <w:t>Como se ha documentado,  al  calor  de  la  </w:t>
      </w:r>
      <w:r>
        <w:rPr>
          <w:w w:val="125"/>
        </w:rPr>
        <w:t>Carsi </w:t>
      </w:r>
      <w:r>
        <w:rPr>
          <w:w w:val="110"/>
        </w:rPr>
        <w:t>y  de  la  </w:t>
      </w:r>
      <w:r>
        <w:rPr>
          <w:w w:val="125"/>
        </w:rPr>
        <w:t>Cbsi </w:t>
      </w:r>
      <w:r>
        <w:rPr>
          <w:w w:val="110"/>
        </w:rPr>
        <w:t>– al igual que de las ya mencionadas relaciones militares y policiales    de Estados unidos con Colombia y México– durante esos cinco años   se ampliaron las bases y otras facilidades militares, al igual que la presencia más o menos permanente de miles de militares estadouni- denses y de oficiales de las diferentes agencias de los departamentos de seguridad de la Patria y de defensa estadounidenses, al igual que   el sistemático desplazamiento de sus fuerzas aéreas y navales en el territorio, el espacio aéreo y marítimo, así como en los litorales de la mayoría de los diferentes Estados del Gran Caribe (Mendoza, 2013; </w:t>
      </w:r>
      <w:r>
        <w:rPr>
          <w:w w:val="117"/>
        </w:rPr>
        <w:t>Main,</w:t>
      </w:r>
      <w:r>
        <w:rPr>
          <w:spacing w:val="14"/>
        </w:rPr>
        <w:t> </w:t>
      </w:r>
      <w:r>
        <w:rPr>
          <w:w w:val="104"/>
        </w:rPr>
        <w:t>2014).</w:t>
      </w:r>
      <w:r>
        <w:rPr>
          <w:spacing w:val="14"/>
        </w:rPr>
        <w:t> </w:t>
      </w:r>
      <w:r>
        <w:rPr>
          <w:w w:val="243"/>
        </w:rPr>
        <w:t>l</w:t>
      </w:r>
      <w:r>
        <w:rPr>
          <w:w w:val="108"/>
        </w:rPr>
        <w:t>os</w:t>
      </w:r>
      <w:r>
        <w:rPr>
          <w:spacing w:val="14"/>
        </w:rPr>
        <w:t> </w:t>
      </w:r>
      <w:r>
        <w:rPr>
          <w:w w:val="108"/>
        </w:rPr>
        <w:t>integrantes</w:t>
      </w:r>
      <w:r>
        <w:rPr>
          <w:spacing w:val="14"/>
        </w:rPr>
        <w:t> </w:t>
      </w:r>
      <w:r>
        <w:rPr>
          <w:w w:val="107"/>
        </w:rPr>
        <w:t>de</w:t>
      </w:r>
      <w:r>
        <w:rPr>
          <w:spacing w:val="14"/>
        </w:rPr>
        <w:t> </w:t>
      </w:r>
      <w:r>
        <w:rPr>
          <w:w w:val="107"/>
        </w:rPr>
        <w:t>esas</w:t>
      </w:r>
      <w:r>
        <w:rPr>
          <w:spacing w:val="14"/>
        </w:rPr>
        <w:t> </w:t>
      </w:r>
      <w:r>
        <w:rPr>
          <w:w w:val="109"/>
        </w:rPr>
        <w:t>fuerzas</w:t>
      </w:r>
      <w:r>
        <w:rPr>
          <w:spacing w:val="14"/>
        </w:rPr>
        <w:t> </w:t>
      </w:r>
      <w:r>
        <w:rPr>
          <w:w w:val="109"/>
        </w:rPr>
        <w:t>militares</w:t>
      </w:r>
      <w:r>
        <w:rPr>
          <w:spacing w:val="14"/>
        </w:rPr>
        <w:t> </w:t>
      </w:r>
      <w:r>
        <w:rPr>
          <w:w w:val="105"/>
        </w:rPr>
        <w:t>y</w:t>
      </w:r>
      <w:r>
        <w:rPr>
          <w:spacing w:val="14"/>
        </w:rPr>
        <w:t> </w:t>
      </w:r>
      <w:r>
        <w:rPr>
          <w:w w:val="107"/>
        </w:rPr>
        <w:t>de</w:t>
      </w:r>
      <w:r>
        <w:rPr>
          <w:spacing w:val="14"/>
        </w:rPr>
        <w:t> </w:t>
      </w:r>
      <w:r>
        <w:rPr>
          <w:w w:val="107"/>
        </w:rPr>
        <w:t>esas</w:t>
      </w:r>
      <w:r>
        <w:rPr>
          <w:spacing w:val="14"/>
        </w:rPr>
        <w:t> </w:t>
      </w:r>
      <w:r>
        <w:rPr>
          <w:w w:val="109"/>
        </w:rPr>
        <w:t>age</w:t>
      </w:r>
      <w:r>
        <w:rPr>
          <w:spacing w:val="-1"/>
          <w:w w:val="109"/>
        </w:rPr>
        <w:t>n</w:t>
      </w:r>
      <w:r>
        <w:rPr>
          <w:w w:val="102"/>
        </w:rPr>
        <w:t>- </w:t>
      </w:r>
      <w:r>
        <w:rPr>
          <w:w w:val="110"/>
        </w:rPr>
        <w:t>cias estadounidenses han sido los que han dirigido o coordinado las principales operaciones (tal es el caso de la operación Martillo) </w:t>
      </w:r>
      <w:r>
        <w:rPr>
          <w:spacing w:val="-11"/>
          <w:w w:val="110"/>
        </w:rPr>
        <w:t>y, </w:t>
      </w:r>
      <w:r>
        <w:rPr>
          <w:w w:val="110"/>
        </w:rPr>
        <w:t>en algunos casos, se han implicado de manera directa en “acciones   </w:t>
      </w:r>
      <w:r>
        <w:rPr>
          <w:spacing w:val="7"/>
          <w:w w:val="110"/>
        </w:rPr>
        <w:t> </w:t>
      </w:r>
      <w:r>
        <w:rPr>
          <w:w w:val="110"/>
        </w:rPr>
        <w:t>leta-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les” de la lucha contra “la insurgencia”, “el narcotráfico” o “el crimen organizado transnacional”, tal como ha ocurrido en Colombia y Hon- duras (isacson </w:t>
      </w:r>
      <w:r>
        <w:rPr>
          <w:i/>
          <w:w w:val="110"/>
        </w:rPr>
        <w:t>et al.</w:t>
      </w:r>
      <w:r>
        <w:rPr>
          <w:w w:val="110"/>
        </w:rPr>
        <w:t>, 2012; Priest, 2013).</w:t>
      </w:r>
    </w:p>
    <w:p>
      <w:pPr>
        <w:pStyle w:val="BodyText"/>
        <w:spacing w:line="252" w:lineRule="auto"/>
        <w:ind w:left="330" w:right="118" w:firstLine="396"/>
        <w:jc w:val="both"/>
      </w:pPr>
      <w:r>
        <w:rPr>
          <w:w w:val="110"/>
        </w:rPr>
        <w:t>Ello y la importancia geopolítica que siempre le han atribuido a ambos países los poderes fácticos y sucesivos gobiernos temporales estadounidenses, contribuye a explicar el apoyo que le confirió el ac- tual gobierno temporal estadounidense a la reelección del actual pre- sidente colombiano, Juan Manuel santos. asimismo, su respaldo eco- nómico, político y militar a los dos gobiernos hondureños surgidos de los amañados comicios generales que se realizaron después del golpe de Estado “institucional” de 2009 contra el presidente constitucional de ese país, Manuel  Zelaya.</w:t>
      </w:r>
    </w:p>
    <w:p>
      <w:pPr>
        <w:pStyle w:val="BodyText"/>
        <w:spacing w:line="252" w:lineRule="auto"/>
        <w:ind w:left="330" w:right="117" w:firstLine="396"/>
        <w:jc w:val="both"/>
      </w:pPr>
      <w:r>
        <w:rPr>
          <w:w w:val="110"/>
        </w:rPr>
        <w:t>a pesar de las constantes violaciones de todos los derechos hu- manos que se han perpetrado en ese último país desde entonces hasta la actualidad, así como de las adversas repercusiones que éstas han tenido en el Congreso estadounidense, entre 2009 y 2013 la adminis- tración de barack obama le ofreció us$ 338.186.000 en “ayuda” eco- </w:t>
      </w:r>
      <w:r>
        <w:rPr>
          <w:w w:val="114"/>
        </w:rPr>
        <w:t>nómica,</w:t>
      </w:r>
      <w:r>
        <w:rPr/>
        <w:t> </w:t>
      </w:r>
      <w:r>
        <w:rPr>
          <w:spacing w:val="-16"/>
        </w:rPr>
        <w:t> </w:t>
      </w:r>
      <w:r>
        <w:rPr>
          <w:w w:val="111"/>
        </w:rPr>
        <w:t>militar</w:t>
      </w:r>
      <w:r>
        <w:rPr/>
        <w:t> </w:t>
      </w:r>
      <w:r>
        <w:rPr>
          <w:spacing w:val="-16"/>
        </w:rPr>
        <w:t> </w:t>
      </w:r>
      <w:r>
        <w:rPr>
          <w:w w:val="105"/>
        </w:rPr>
        <w:t>y</w:t>
      </w:r>
      <w:r>
        <w:rPr/>
        <w:t> </w:t>
      </w:r>
      <w:r>
        <w:rPr>
          <w:spacing w:val="-16"/>
        </w:rPr>
        <w:t> </w:t>
      </w:r>
      <w:r>
        <w:rPr>
          <w:w w:val="112"/>
        </w:rPr>
        <w:t>policial</w:t>
      </w:r>
      <w:r>
        <w:rPr/>
        <w:t> </w:t>
      </w:r>
      <w:r>
        <w:rPr>
          <w:spacing w:val="-16"/>
        </w:rPr>
        <w:t> </w:t>
      </w:r>
      <w:r>
        <w:rPr>
          <w:w w:val="111"/>
        </w:rPr>
        <w:t>al</w:t>
      </w:r>
      <w:r>
        <w:rPr/>
        <w:t> </w:t>
      </w:r>
      <w:r>
        <w:rPr>
          <w:spacing w:val="-16"/>
        </w:rPr>
        <w:t> </w:t>
      </w:r>
      <w:r>
        <w:rPr>
          <w:w w:val="109"/>
        </w:rPr>
        <w:t>gobierno</w:t>
      </w:r>
      <w:r>
        <w:rPr/>
        <w:t> </w:t>
      </w:r>
      <w:r>
        <w:rPr>
          <w:spacing w:val="-16"/>
        </w:rPr>
        <w:t> </w:t>
      </w:r>
      <w:r>
        <w:rPr>
          <w:w w:val="108"/>
        </w:rPr>
        <w:t>presidido</w:t>
      </w:r>
      <w:r>
        <w:rPr/>
        <w:t> </w:t>
      </w:r>
      <w:r>
        <w:rPr>
          <w:spacing w:val="-16"/>
        </w:rPr>
        <w:t> </w:t>
      </w:r>
      <w:r>
        <w:rPr>
          <w:w w:val="108"/>
        </w:rPr>
        <w:t>por</w:t>
      </w:r>
      <w:r>
        <w:rPr/>
        <w:t> </w:t>
      </w:r>
      <w:r>
        <w:rPr>
          <w:spacing w:val="-16"/>
        </w:rPr>
        <w:t> </w:t>
      </w:r>
      <w:r>
        <w:rPr>
          <w:w w:val="108"/>
        </w:rPr>
        <w:t>Porfirio</w:t>
      </w:r>
      <w:r>
        <w:rPr/>
        <w:t> </w:t>
      </w:r>
      <w:r>
        <w:rPr>
          <w:spacing w:val="-16"/>
        </w:rPr>
        <w:t> </w:t>
      </w:r>
      <w:r>
        <w:rPr>
          <w:w w:val="243"/>
        </w:rPr>
        <w:t>l</w:t>
      </w:r>
      <w:r>
        <w:rPr>
          <w:w w:val="113"/>
        </w:rPr>
        <w:t>obo.</w:t>
      </w:r>
      <w:r>
        <w:rPr/>
        <w:t> </w:t>
      </w:r>
      <w:r>
        <w:rPr>
          <w:spacing w:val="-16"/>
        </w:rPr>
        <w:t> </w:t>
      </w:r>
      <w:r>
        <w:rPr>
          <w:w w:val="139"/>
        </w:rPr>
        <w:t>a </w:t>
      </w:r>
      <w:r>
        <w:rPr>
          <w:w w:val="110"/>
        </w:rPr>
        <w:t>su vez, en el FY 2013-2014 está previsto entregarle al gobierno enca- bezado por Juan orlando Hernández más de 58 millones de dólares   de </w:t>
      </w:r>
      <w:r>
        <w:rPr>
          <w:spacing w:val="-3"/>
          <w:w w:val="110"/>
        </w:rPr>
        <w:t>“ayuda </w:t>
      </w:r>
      <w:r>
        <w:rPr>
          <w:w w:val="110"/>
        </w:rPr>
        <w:t>oficial al desarrollo”; de ellos casi 9 millones dirigidos a sus fuerzas armadas y policiales (isacson </w:t>
      </w:r>
      <w:r>
        <w:rPr>
          <w:i/>
          <w:w w:val="110"/>
        </w:rPr>
        <w:t>et al.</w:t>
      </w:r>
      <w:r>
        <w:rPr>
          <w:w w:val="110"/>
        </w:rPr>
        <w:t>, 2013). además, entre</w:t>
      </w:r>
      <w:r>
        <w:rPr>
          <w:spacing w:val="-15"/>
          <w:w w:val="110"/>
        </w:rPr>
        <w:t> </w:t>
      </w:r>
      <w:r>
        <w:rPr>
          <w:w w:val="110"/>
        </w:rPr>
        <w:t>2009 y 2013 las represivas fuerzas militares colombianas entrenaron en di- ferentes puntos de su territorio nacional a 2.609 oficiales militares y policiales hondureños </w:t>
      </w:r>
      <w:r>
        <w:rPr>
          <w:spacing w:val="-5"/>
          <w:w w:val="110"/>
        </w:rPr>
        <w:t>(tickner, </w:t>
      </w:r>
      <w:r>
        <w:rPr>
          <w:spacing w:val="22"/>
          <w:w w:val="110"/>
        </w:rPr>
        <w:t> </w:t>
      </w:r>
      <w:r>
        <w:rPr>
          <w:w w:val="110"/>
        </w:rPr>
        <w:t>2014).</w:t>
      </w:r>
    </w:p>
    <w:p>
      <w:pPr>
        <w:pStyle w:val="BodyText"/>
        <w:spacing w:line="252" w:lineRule="auto"/>
        <w:ind w:left="330" w:right="117" w:firstLine="396"/>
        <w:jc w:val="both"/>
      </w:pPr>
      <w:r>
        <w:rPr>
          <w:w w:val="115"/>
        </w:rPr>
        <w:t>adicionalmente,</w:t>
      </w:r>
      <w:r>
        <w:rPr>
          <w:spacing w:val="-28"/>
          <w:w w:val="115"/>
        </w:rPr>
        <w:t> </w:t>
      </w:r>
      <w:r>
        <w:rPr>
          <w:w w:val="115"/>
        </w:rPr>
        <w:t>con</w:t>
      </w:r>
      <w:r>
        <w:rPr>
          <w:spacing w:val="-28"/>
          <w:w w:val="115"/>
        </w:rPr>
        <w:t> </w:t>
      </w:r>
      <w:r>
        <w:rPr>
          <w:w w:val="115"/>
        </w:rPr>
        <w:t>el</w:t>
      </w:r>
      <w:r>
        <w:rPr>
          <w:spacing w:val="-28"/>
          <w:w w:val="115"/>
        </w:rPr>
        <w:t> </w:t>
      </w:r>
      <w:r>
        <w:rPr>
          <w:w w:val="115"/>
        </w:rPr>
        <w:t>socorrido</w:t>
      </w:r>
      <w:r>
        <w:rPr>
          <w:spacing w:val="-28"/>
          <w:w w:val="115"/>
        </w:rPr>
        <w:t> </w:t>
      </w:r>
      <w:r>
        <w:rPr>
          <w:w w:val="115"/>
        </w:rPr>
        <w:t>pretexto</w:t>
      </w:r>
      <w:r>
        <w:rPr>
          <w:spacing w:val="-28"/>
          <w:w w:val="115"/>
        </w:rPr>
        <w:t> </w:t>
      </w:r>
      <w:r>
        <w:rPr>
          <w:w w:val="115"/>
        </w:rPr>
        <w:t>de</w:t>
      </w:r>
      <w:r>
        <w:rPr>
          <w:spacing w:val="-28"/>
          <w:w w:val="115"/>
        </w:rPr>
        <w:t> </w:t>
      </w:r>
      <w:r>
        <w:rPr>
          <w:w w:val="115"/>
        </w:rPr>
        <w:t>enfrentar</w:t>
      </w:r>
      <w:r>
        <w:rPr>
          <w:spacing w:val="-28"/>
          <w:w w:val="115"/>
        </w:rPr>
        <w:t> </w:t>
      </w:r>
      <w:r>
        <w:rPr>
          <w:w w:val="115"/>
        </w:rPr>
        <w:t>a</w:t>
      </w:r>
      <w:r>
        <w:rPr>
          <w:spacing w:val="-28"/>
          <w:w w:val="115"/>
        </w:rPr>
        <w:t> </w:t>
      </w:r>
      <w:r>
        <w:rPr>
          <w:w w:val="115"/>
        </w:rPr>
        <w:t>los</w:t>
      </w:r>
      <w:r>
        <w:rPr>
          <w:spacing w:val="-28"/>
          <w:w w:val="115"/>
        </w:rPr>
        <w:t> </w:t>
      </w:r>
      <w:r>
        <w:rPr>
          <w:w w:val="115"/>
        </w:rPr>
        <w:t>“ene- migos no tradicionales de la seguridad interamericana” la segunda administración</w:t>
      </w:r>
      <w:r>
        <w:rPr>
          <w:spacing w:val="-20"/>
          <w:w w:val="115"/>
        </w:rPr>
        <w:t> </w:t>
      </w:r>
      <w:r>
        <w:rPr>
          <w:w w:val="115"/>
        </w:rPr>
        <w:t>de</w:t>
      </w:r>
      <w:r>
        <w:rPr>
          <w:spacing w:val="-20"/>
          <w:w w:val="115"/>
        </w:rPr>
        <w:t> </w:t>
      </w:r>
      <w:r>
        <w:rPr>
          <w:w w:val="115"/>
        </w:rPr>
        <w:t>barack</w:t>
      </w:r>
      <w:r>
        <w:rPr>
          <w:spacing w:val="-20"/>
          <w:w w:val="115"/>
        </w:rPr>
        <w:t> </w:t>
      </w:r>
      <w:r>
        <w:rPr>
          <w:w w:val="115"/>
        </w:rPr>
        <w:t>obama</w:t>
      </w:r>
      <w:r>
        <w:rPr>
          <w:spacing w:val="-20"/>
          <w:w w:val="115"/>
        </w:rPr>
        <w:t> </w:t>
      </w:r>
      <w:r>
        <w:rPr>
          <w:w w:val="115"/>
        </w:rPr>
        <w:t>también</w:t>
      </w:r>
      <w:r>
        <w:rPr>
          <w:spacing w:val="-20"/>
          <w:w w:val="115"/>
        </w:rPr>
        <w:t> </w:t>
      </w:r>
      <w:r>
        <w:rPr>
          <w:w w:val="115"/>
        </w:rPr>
        <w:t>emprendió</w:t>
      </w:r>
      <w:r>
        <w:rPr>
          <w:spacing w:val="-20"/>
          <w:w w:val="115"/>
        </w:rPr>
        <w:t> </w:t>
      </w:r>
      <w:r>
        <w:rPr>
          <w:w w:val="115"/>
        </w:rPr>
        <w:t>diversas</w:t>
      </w:r>
      <w:r>
        <w:rPr>
          <w:spacing w:val="-20"/>
          <w:w w:val="115"/>
        </w:rPr>
        <w:t> </w:t>
      </w:r>
      <w:r>
        <w:rPr>
          <w:w w:val="115"/>
        </w:rPr>
        <w:t>accio- nes</w:t>
      </w:r>
      <w:r>
        <w:rPr>
          <w:spacing w:val="-11"/>
          <w:w w:val="115"/>
        </w:rPr>
        <w:t> </w:t>
      </w:r>
      <w:r>
        <w:rPr>
          <w:w w:val="115"/>
        </w:rPr>
        <w:t>dirigidas</w:t>
      </w:r>
      <w:r>
        <w:rPr>
          <w:spacing w:val="-11"/>
          <w:w w:val="115"/>
        </w:rPr>
        <w:t> </w:t>
      </w:r>
      <w:r>
        <w:rPr>
          <w:w w:val="115"/>
        </w:rPr>
        <w:t>a</w:t>
      </w:r>
      <w:r>
        <w:rPr>
          <w:spacing w:val="-11"/>
          <w:w w:val="115"/>
        </w:rPr>
        <w:t> </w:t>
      </w:r>
      <w:r>
        <w:rPr>
          <w:w w:val="115"/>
        </w:rPr>
        <w:t>garantizar</w:t>
      </w:r>
      <w:r>
        <w:rPr>
          <w:spacing w:val="-11"/>
          <w:w w:val="115"/>
        </w:rPr>
        <w:t> </w:t>
      </w:r>
      <w:r>
        <w:rPr>
          <w:w w:val="115"/>
        </w:rPr>
        <w:t>el</w:t>
      </w:r>
      <w:r>
        <w:rPr>
          <w:spacing w:val="-11"/>
          <w:w w:val="115"/>
        </w:rPr>
        <w:t> </w:t>
      </w:r>
      <w:r>
        <w:rPr>
          <w:w w:val="115"/>
        </w:rPr>
        <w:t>control</w:t>
      </w:r>
      <w:r>
        <w:rPr>
          <w:spacing w:val="-11"/>
          <w:w w:val="115"/>
        </w:rPr>
        <w:t> </w:t>
      </w:r>
      <w:r>
        <w:rPr>
          <w:w w:val="115"/>
        </w:rPr>
        <w:t>del</w:t>
      </w:r>
      <w:r>
        <w:rPr>
          <w:spacing w:val="-11"/>
          <w:w w:val="115"/>
        </w:rPr>
        <w:t> </w:t>
      </w:r>
      <w:r>
        <w:rPr>
          <w:w w:val="115"/>
        </w:rPr>
        <w:t>Canal</w:t>
      </w:r>
      <w:r>
        <w:rPr>
          <w:spacing w:val="-11"/>
          <w:w w:val="115"/>
        </w:rPr>
        <w:t> </w:t>
      </w:r>
      <w:r>
        <w:rPr>
          <w:w w:val="115"/>
        </w:rPr>
        <w:t>de</w:t>
      </w:r>
      <w:r>
        <w:rPr>
          <w:spacing w:val="-11"/>
          <w:w w:val="115"/>
        </w:rPr>
        <w:t> </w:t>
      </w:r>
      <w:r>
        <w:rPr>
          <w:w w:val="115"/>
        </w:rPr>
        <w:t>Panamá.</w:t>
      </w:r>
      <w:r>
        <w:rPr>
          <w:spacing w:val="-11"/>
          <w:w w:val="115"/>
        </w:rPr>
        <w:t> </w:t>
      </w:r>
      <w:r>
        <w:rPr>
          <w:w w:val="115"/>
        </w:rPr>
        <w:t>Entre</w:t>
      </w:r>
      <w:r>
        <w:rPr>
          <w:spacing w:val="-11"/>
          <w:w w:val="115"/>
        </w:rPr>
        <w:t> </w:t>
      </w:r>
      <w:r>
        <w:rPr>
          <w:w w:val="115"/>
        </w:rPr>
        <w:t>ellas merecen</w:t>
      </w:r>
      <w:r>
        <w:rPr>
          <w:spacing w:val="-21"/>
          <w:w w:val="115"/>
        </w:rPr>
        <w:t> </w:t>
      </w:r>
      <w:r>
        <w:rPr>
          <w:w w:val="115"/>
        </w:rPr>
        <w:t>mencionarse</w:t>
      </w:r>
      <w:r>
        <w:rPr>
          <w:spacing w:val="-21"/>
          <w:w w:val="115"/>
        </w:rPr>
        <w:t> </w:t>
      </w:r>
      <w:r>
        <w:rPr>
          <w:w w:val="115"/>
        </w:rPr>
        <w:t>–además</w:t>
      </w:r>
      <w:r>
        <w:rPr>
          <w:spacing w:val="-21"/>
          <w:w w:val="115"/>
        </w:rPr>
        <w:t> </w:t>
      </w:r>
      <w:r>
        <w:rPr>
          <w:w w:val="115"/>
        </w:rPr>
        <w:t>de</w:t>
      </w:r>
      <w:r>
        <w:rPr>
          <w:spacing w:val="-21"/>
          <w:w w:val="115"/>
        </w:rPr>
        <w:t> </w:t>
      </w:r>
      <w:r>
        <w:rPr>
          <w:w w:val="115"/>
        </w:rPr>
        <w:t>todas</w:t>
      </w:r>
      <w:r>
        <w:rPr>
          <w:spacing w:val="-21"/>
          <w:w w:val="115"/>
        </w:rPr>
        <w:t> </w:t>
      </w:r>
      <w:r>
        <w:rPr>
          <w:w w:val="115"/>
        </w:rPr>
        <w:t>las</w:t>
      </w:r>
      <w:r>
        <w:rPr>
          <w:spacing w:val="-21"/>
          <w:w w:val="115"/>
        </w:rPr>
        <w:t> </w:t>
      </w:r>
      <w:r>
        <w:rPr>
          <w:w w:val="115"/>
        </w:rPr>
        <w:t>maniobras</w:t>
      </w:r>
      <w:r>
        <w:rPr>
          <w:spacing w:val="-21"/>
          <w:w w:val="115"/>
        </w:rPr>
        <w:t> </w:t>
      </w:r>
      <w:r>
        <w:rPr>
          <w:w w:val="115"/>
        </w:rPr>
        <w:t>militares</w:t>
      </w:r>
      <w:r>
        <w:rPr>
          <w:spacing w:val="-21"/>
          <w:w w:val="115"/>
        </w:rPr>
        <w:t> </w:t>
      </w:r>
      <w:r>
        <w:rPr>
          <w:w w:val="115"/>
        </w:rPr>
        <w:t>que </w:t>
      </w:r>
      <w:r>
        <w:rPr>
          <w:w w:val="120"/>
        </w:rPr>
        <w:t>han desplegado y que desplegarán el soutHCoM y la Cuarta</w:t>
      </w:r>
      <w:r>
        <w:rPr>
          <w:spacing w:val="-27"/>
          <w:w w:val="120"/>
        </w:rPr>
        <w:t> </w:t>
      </w:r>
      <w:r>
        <w:rPr>
          <w:w w:val="120"/>
        </w:rPr>
        <w:t>Flota </w:t>
      </w:r>
      <w:r>
        <w:rPr>
          <w:w w:val="115"/>
        </w:rPr>
        <w:t>de</w:t>
      </w:r>
      <w:r>
        <w:rPr>
          <w:spacing w:val="-8"/>
          <w:w w:val="115"/>
        </w:rPr>
        <w:t> </w:t>
      </w:r>
      <w:r>
        <w:rPr>
          <w:w w:val="115"/>
        </w:rPr>
        <w:t>la</w:t>
      </w:r>
      <w:r>
        <w:rPr>
          <w:spacing w:val="-8"/>
          <w:w w:val="115"/>
        </w:rPr>
        <w:t> </w:t>
      </w:r>
      <w:r>
        <w:rPr>
          <w:w w:val="115"/>
        </w:rPr>
        <w:t>Marina</w:t>
      </w:r>
      <w:r>
        <w:rPr>
          <w:spacing w:val="-8"/>
          <w:w w:val="115"/>
        </w:rPr>
        <w:t> </w:t>
      </w:r>
      <w:r>
        <w:rPr>
          <w:w w:val="115"/>
        </w:rPr>
        <w:t>de</w:t>
      </w:r>
      <w:r>
        <w:rPr>
          <w:spacing w:val="-8"/>
          <w:w w:val="115"/>
        </w:rPr>
        <w:t> </w:t>
      </w:r>
      <w:r>
        <w:rPr>
          <w:w w:val="115"/>
        </w:rPr>
        <w:t>Guerra</w:t>
      </w:r>
      <w:r>
        <w:rPr>
          <w:spacing w:val="-8"/>
          <w:w w:val="115"/>
        </w:rPr>
        <w:t> </w:t>
      </w:r>
      <w:r>
        <w:rPr>
          <w:w w:val="115"/>
        </w:rPr>
        <w:t>estadounidense–</w:t>
      </w:r>
      <w:r>
        <w:rPr>
          <w:spacing w:val="-8"/>
          <w:w w:val="115"/>
        </w:rPr>
        <w:t> </w:t>
      </w:r>
      <w:r>
        <w:rPr>
          <w:w w:val="115"/>
        </w:rPr>
        <w:t>la</w:t>
      </w:r>
      <w:r>
        <w:rPr>
          <w:spacing w:val="-8"/>
          <w:w w:val="115"/>
        </w:rPr>
        <w:t> </w:t>
      </w:r>
      <w:r>
        <w:rPr>
          <w:w w:val="115"/>
        </w:rPr>
        <w:t>instalación</w:t>
      </w:r>
      <w:r>
        <w:rPr>
          <w:spacing w:val="-8"/>
          <w:w w:val="115"/>
        </w:rPr>
        <w:t> </w:t>
      </w:r>
      <w:r>
        <w:rPr>
          <w:w w:val="115"/>
        </w:rPr>
        <w:t>de</w:t>
      </w:r>
      <w:r>
        <w:rPr>
          <w:spacing w:val="-8"/>
          <w:w w:val="115"/>
        </w:rPr>
        <w:t> </w:t>
      </w:r>
      <w:r>
        <w:rPr>
          <w:w w:val="115"/>
        </w:rPr>
        <w:t>diferentes “facilidades</w:t>
      </w:r>
      <w:r>
        <w:rPr>
          <w:spacing w:val="-20"/>
          <w:w w:val="115"/>
        </w:rPr>
        <w:t> </w:t>
      </w:r>
      <w:r>
        <w:rPr>
          <w:w w:val="115"/>
        </w:rPr>
        <w:t>militares”</w:t>
      </w:r>
      <w:r>
        <w:rPr>
          <w:spacing w:val="-20"/>
          <w:w w:val="115"/>
        </w:rPr>
        <w:t> </w:t>
      </w:r>
      <w:r>
        <w:rPr>
          <w:w w:val="115"/>
        </w:rPr>
        <w:t>en</w:t>
      </w:r>
      <w:r>
        <w:rPr>
          <w:spacing w:val="-20"/>
          <w:w w:val="115"/>
        </w:rPr>
        <w:t> </w:t>
      </w:r>
      <w:r>
        <w:rPr>
          <w:w w:val="115"/>
        </w:rPr>
        <w:t>el</w:t>
      </w:r>
      <w:r>
        <w:rPr>
          <w:spacing w:val="-20"/>
          <w:w w:val="115"/>
        </w:rPr>
        <w:t> </w:t>
      </w:r>
      <w:r>
        <w:rPr>
          <w:w w:val="115"/>
        </w:rPr>
        <w:t>territorio</w:t>
      </w:r>
      <w:r>
        <w:rPr>
          <w:spacing w:val="-20"/>
          <w:w w:val="115"/>
        </w:rPr>
        <w:t> </w:t>
      </w:r>
      <w:r>
        <w:rPr>
          <w:w w:val="115"/>
        </w:rPr>
        <w:t>panameño</w:t>
      </w:r>
      <w:r>
        <w:rPr>
          <w:spacing w:val="-20"/>
          <w:w w:val="115"/>
        </w:rPr>
        <w:t> </w:t>
      </w:r>
      <w:r>
        <w:rPr>
          <w:w w:val="115"/>
        </w:rPr>
        <w:t>y</w:t>
      </w:r>
      <w:r>
        <w:rPr>
          <w:spacing w:val="-20"/>
          <w:w w:val="115"/>
        </w:rPr>
        <w:t> </w:t>
      </w:r>
      <w:r>
        <w:rPr>
          <w:w w:val="115"/>
        </w:rPr>
        <w:t>la</w:t>
      </w:r>
      <w:r>
        <w:rPr>
          <w:spacing w:val="-20"/>
          <w:w w:val="115"/>
        </w:rPr>
        <w:t> </w:t>
      </w:r>
      <w:r>
        <w:rPr>
          <w:w w:val="115"/>
        </w:rPr>
        <w:t>entrega</w:t>
      </w:r>
      <w:r>
        <w:rPr>
          <w:spacing w:val="-20"/>
          <w:w w:val="115"/>
        </w:rPr>
        <w:t> </w:t>
      </w:r>
      <w:r>
        <w:rPr>
          <w:w w:val="115"/>
        </w:rPr>
        <w:t>en</w:t>
      </w:r>
      <w:r>
        <w:rPr>
          <w:spacing w:val="-20"/>
          <w:w w:val="115"/>
        </w:rPr>
        <w:t> </w:t>
      </w:r>
      <w:r>
        <w:rPr>
          <w:w w:val="115"/>
        </w:rPr>
        <w:t>2013 </w:t>
      </w:r>
      <w:r>
        <w:rPr>
          <w:w w:val="120"/>
        </w:rPr>
        <w:t>de</w:t>
      </w:r>
      <w:r>
        <w:rPr>
          <w:spacing w:val="-24"/>
          <w:w w:val="120"/>
        </w:rPr>
        <w:t> </w:t>
      </w:r>
      <w:r>
        <w:rPr>
          <w:w w:val="120"/>
        </w:rPr>
        <w:t>poco</w:t>
      </w:r>
      <w:r>
        <w:rPr>
          <w:spacing w:val="-24"/>
          <w:w w:val="120"/>
        </w:rPr>
        <w:t> </w:t>
      </w:r>
      <w:r>
        <w:rPr>
          <w:w w:val="120"/>
        </w:rPr>
        <w:t>más</w:t>
      </w:r>
      <w:r>
        <w:rPr>
          <w:spacing w:val="-24"/>
          <w:w w:val="120"/>
        </w:rPr>
        <w:t> </w:t>
      </w:r>
      <w:r>
        <w:rPr>
          <w:w w:val="120"/>
        </w:rPr>
        <w:t>de</w:t>
      </w:r>
      <w:r>
        <w:rPr>
          <w:spacing w:val="-24"/>
          <w:w w:val="120"/>
        </w:rPr>
        <w:t> </w:t>
      </w:r>
      <w:r>
        <w:rPr>
          <w:w w:val="120"/>
        </w:rPr>
        <w:t>23</w:t>
      </w:r>
      <w:r>
        <w:rPr>
          <w:spacing w:val="-24"/>
          <w:w w:val="120"/>
        </w:rPr>
        <w:t> </w:t>
      </w:r>
      <w:r>
        <w:rPr>
          <w:w w:val="120"/>
        </w:rPr>
        <w:t>millones</w:t>
      </w:r>
      <w:r>
        <w:rPr>
          <w:spacing w:val="-24"/>
          <w:w w:val="120"/>
        </w:rPr>
        <w:t> </w:t>
      </w:r>
      <w:r>
        <w:rPr>
          <w:w w:val="120"/>
        </w:rPr>
        <w:t>de</w:t>
      </w:r>
      <w:r>
        <w:rPr>
          <w:spacing w:val="-24"/>
          <w:w w:val="120"/>
        </w:rPr>
        <w:t> </w:t>
      </w:r>
      <w:r>
        <w:rPr>
          <w:w w:val="120"/>
        </w:rPr>
        <w:t>dólares</w:t>
      </w:r>
      <w:r>
        <w:rPr>
          <w:spacing w:val="-24"/>
          <w:w w:val="120"/>
        </w:rPr>
        <w:t> </w:t>
      </w:r>
      <w:r>
        <w:rPr>
          <w:w w:val="120"/>
        </w:rPr>
        <w:t>en</w:t>
      </w:r>
      <w:r>
        <w:rPr>
          <w:spacing w:val="-24"/>
          <w:w w:val="120"/>
        </w:rPr>
        <w:t> </w:t>
      </w:r>
      <w:r>
        <w:rPr>
          <w:w w:val="120"/>
        </w:rPr>
        <w:t>ayuda</w:t>
      </w:r>
      <w:r>
        <w:rPr>
          <w:spacing w:val="-24"/>
          <w:w w:val="120"/>
        </w:rPr>
        <w:t> </w:t>
      </w:r>
      <w:r>
        <w:rPr>
          <w:w w:val="120"/>
        </w:rPr>
        <w:t>militar</w:t>
      </w:r>
      <w:r>
        <w:rPr>
          <w:spacing w:val="-24"/>
          <w:w w:val="120"/>
        </w:rPr>
        <w:t> </w:t>
      </w:r>
      <w:r>
        <w:rPr>
          <w:w w:val="120"/>
        </w:rPr>
        <w:t>o</w:t>
      </w:r>
      <w:r>
        <w:rPr>
          <w:spacing w:val="-24"/>
          <w:w w:val="120"/>
        </w:rPr>
        <w:t> </w:t>
      </w:r>
      <w:r>
        <w:rPr>
          <w:w w:val="120"/>
        </w:rPr>
        <w:t>policial</w:t>
      </w:r>
      <w:r>
        <w:rPr>
          <w:spacing w:val="-24"/>
          <w:w w:val="120"/>
        </w:rPr>
        <w:t> </w:t>
      </w:r>
      <w:r>
        <w:rPr>
          <w:w w:val="120"/>
        </w:rPr>
        <w:t>al </w:t>
      </w:r>
      <w:r>
        <w:rPr>
          <w:w w:val="115"/>
        </w:rPr>
        <w:t>gobierno</w:t>
      </w:r>
      <w:r>
        <w:rPr>
          <w:spacing w:val="-27"/>
          <w:w w:val="115"/>
        </w:rPr>
        <w:t> </w:t>
      </w:r>
      <w:r>
        <w:rPr>
          <w:w w:val="115"/>
        </w:rPr>
        <w:t>de</w:t>
      </w:r>
      <w:r>
        <w:rPr>
          <w:spacing w:val="-27"/>
          <w:w w:val="115"/>
        </w:rPr>
        <w:t> </w:t>
      </w:r>
      <w:r>
        <w:rPr>
          <w:w w:val="115"/>
        </w:rPr>
        <w:t>ese</w:t>
      </w:r>
      <w:r>
        <w:rPr>
          <w:spacing w:val="-27"/>
          <w:w w:val="115"/>
        </w:rPr>
        <w:t> </w:t>
      </w:r>
      <w:r>
        <w:rPr>
          <w:w w:val="115"/>
        </w:rPr>
        <w:t>país</w:t>
      </w:r>
      <w:r>
        <w:rPr>
          <w:spacing w:val="-27"/>
          <w:w w:val="115"/>
        </w:rPr>
        <w:t> </w:t>
      </w:r>
      <w:r>
        <w:rPr>
          <w:w w:val="115"/>
        </w:rPr>
        <w:t>presidido,</w:t>
      </w:r>
      <w:r>
        <w:rPr>
          <w:spacing w:val="-27"/>
          <w:w w:val="115"/>
        </w:rPr>
        <w:t> </w:t>
      </w:r>
      <w:r>
        <w:rPr>
          <w:w w:val="115"/>
        </w:rPr>
        <w:t>hasta</w:t>
      </w:r>
      <w:r>
        <w:rPr>
          <w:spacing w:val="-27"/>
          <w:w w:val="115"/>
        </w:rPr>
        <w:t> </w:t>
      </w:r>
      <w:r>
        <w:rPr>
          <w:w w:val="115"/>
        </w:rPr>
        <w:t>junio</w:t>
      </w:r>
      <w:r>
        <w:rPr>
          <w:spacing w:val="-27"/>
          <w:w w:val="115"/>
        </w:rPr>
        <w:t> </w:t>
      </w:r>
      <w:r>
        <w:rPr>
          <w:w w:val="115"/>
        </w:rPr>
        <w:t>de</w:t>
      </w:r>
      <w:r>
        <w:rPr>
          <w:spacing w:val="-27"/>
          <w:w w:val="115"/>
        </w:rPr>
        <w:t> </w:t>
      </w:r>
      <w:r>
        <w:rPr>
          <w:w w:val="115"/>
        </w:rPr>
        <w:t>2014,</w:t>
      </w:r>
      <w:r>
        <w:rPr>
          <w:spacing w:val="-27"/>
          <w:w w:val="115"/>
        </w:rPr>
        <w:t> </w:t>
      </w:r>
      <w:r>
        <w:rPr>
          <w:w w:val="115"/>
        </w:rPr>
        <w:t>por</w:t>
      </w:r>
      <w:r>
        <w:rPr>
          <w:spacing w:val="-27"/>
          <w:w w:val="115"/>
        </w:rPr>
        <w:t> </w:t>
      </w:r>
      <w:r>
        <w:rPr>
          <w:w w:val="115"/>
        </w:rPr>
        <w:t>el</w:t>
      </w:r>
      <w:r>
        <w:rPr>
          <w:spacing w:val="-27"/>
          <w:w w:val="115"/>
        </w:rPr>
        <w:t> </w:t>
      </w:r>
      <w:r>
        <w:rPr>
          <w:w w:val="115"/>
        </w:rPr>
        <w:t>empresario ricardo</w:t>
      </w:r>
      <w:r>
        <w:rPr>
          <w:spacing w:val="-12"/>
          <w:w w:val="115"/>
        </w:rPr>
        <w:t> </w:t>
      </w:r>
      <w:r>
        <w:rPr>
          <w:w w:val="115"/>
        </w:rPr>
        <w:t>Martinelli</w:t>
      </w:r>
      <w:r>
        <w:rPr>
          <w:spacing w:val="-12"/>
          <w:w w:val="115"/>
        </w:rPr>
        <w:t> </w:t>
      </w:r>
      <w:r>
        <w:rPr>
          <w:w w:val="115"/>
        </w:rPr>
        <w:t>(isacson</w:t>
      </w:r>
      <w:r>
        <w:rPr>
          <w:spacing w:val="-12"/>
          <w:w w:val="115"/>
        </w:rPr>
        <w:t> </w:t>
      </w:r>
      <w:r>
        <w:rPr>
          <w:i/>
          <w:w w:val="115"/>
        </w:rPr>
        <w:t>et</w:t>
      </w:r>
      <w:r>
        <w:rPr>
          <w:i/>
          <w:spacing w:val="-12"/>
          <w:w w:val="115"/>
        </w:rPr>
        <w:t> </w:t>
      </w:r>
      <w:r>
        <w:rPr>
          <w:i/>
          <w:w w:val="115"/>
        </w:rPr>
        <w:t>al.</w:t>
      </w:r>
      <w:r>
        <w:rPr>
          <w:w w:val="115"/>
        </w:rPr>
        <w:t>,</w:t>
      </w:r>
      <w:r>
        <w:rPr>
          <w:spacing w:val="-12"/>
          <w:w w:val="115"/>
        </w:rPr>
        <w:t> </w:t>
      </w:r>
      <w:r>
        <w:rPr>
          <w:w w:val="115"/>
        </w:rPr>
        <w:t>2013).</w:t>
      </w:r>
    </w:p>
    <w:p>
      <w:pPr>
        <w:pStyle w:val="BodyText"/>
        <w:spacing w:line="252" w:lineRule="auto"/>
        <w:ind w:left="330" w:right="117" w:firstLine="396"/>
        <w:jc w:val="both"/>
      </w:pPr>
      <w:r>
        <w:rPr>
          <w:w w:val="243"/>
        </w:rPr>
        <w:t>l</w:t>
      </w:r>
      <w:r>
        <w:rPr>
          <w:w w:val="112"/>
        </w:rPr>
        <w:t>a</w:t>
      </w:r>
      <w:r>
        <w:rPr/>
        <w:t> </w:t>
      </w:r>
      <w:r>
        <w:rPr>
          <w:spacing w:val="-16"/>
        </w:rPr>
        <w:t> </w:t>
      </w:r>
      <w:r>
        <w:rPr>
          <w:w w:val="111"/>
        </w:rPr>
        <w:t>ratificación</w:t>
      </w:r>
      <w:r>
        <w:rPr/>
        <w:t> </w:t>
      </w:r>
      <w:r>
        <w:rPr>
          <w:spacing w:val="-16"/>
        </w:rPr>
        <w:t> </w:t>
      </w:r>
      <w:r>
        <w:rPr>
          <w:w w:val="107"/>
        </w:rPr>
        <w:t>de</w:t>
      </w:r>
      <w:r>
        <w:rPr/>
        <w:t> </w:t>
      </w:r>
      <w:r>
        <w:rPr>
          <w:spacing w:val="-16"/>
        </w:rPr>
        <w:t> </w:t>
      </w:r>
      <w:r>
        <w:rPr>
          <w:w w:val="107"/>
        </w:rPr>
        <w:t>esas</w:t>
      </w:r>
      <w:r>
        <w:rPr/>
        <w:t> </w:t>
      </w:r>
      <w:r>
        <w:rPr>
          <w:spacing w:val="-16"/>
        </w:rPr>
        <w:t> </w:t>
      </w:r>
      <w:r>
        <w:rPr>
          <w:w w:val="110"/>
        </w:rPr>
        <w:t>asignaciones</w:t>
      </w:r>
      <w:r>
        <w:rPr/>
        <w:t> </w:t>
      </w:r>
      <w:r>
        <w:rPr>
          <w:spacing w:val="-16"/>
        </w:rPr>
        <w:t> </w:t>
      </w:r>
      <w:r>
        <w:rPr>
          <w:w w:val="105"/>
        </w:rPr>
        <w:t>y</w:t>
      </w:r>
      <w:r>
        <w:rPr/>
        <w:t> </w:t>
      </w:r>
      <w:r>
        <w:rPr>
          <w:spacing w:val="-16"/>
        </w:rPr>
        <w:t> </w:t>
      </w:r>
      <w:r>
        <w:rPr>
          <w:w w:val="107"/>
        </w:rPr>
        <w:t>del</w:t>
      </w:r>
      <w:r>
        <w:rPr/>
        <w:t> </w:t>
      </w:r>
      <w:r>
        <w:rPr>
          <w:spacing w:val="-16"/>
        </w:rPr>
        <w:t> </w:t>
      </w:r>
      <w:r>
        <w:rPr>
          <w:w w:val="109"/>
        </w:rPr>
        <w:t>apoyo</w:t>
      </w:r>
      <w:r>
        <w:rPr/>
        <w:t> </w:t>
      </w:r>
      <w:r>
        <w:rPr>
          <w:spacing w:val="-16"/>
        </w:rPr>
        <w:t> </w:t>
      </w:r>
      <w:r>
        <w:rPr>
          <w:w w:val="108"/>
        </w:rPr>
        <w:t>estadounidense </w:t>
      </w:r>
      <w:r>
        <w:rPr>
          <w:w w:val="110"/>
        </w:rPr>
        <w:t>a los entrenamientos que han venido recibiendo cientos de oficiales policiales panameños en Colombia (3.026 entre 2009 y 2013) segura- mente fue uno de los objetivos de la visita que realizó a Panamá el vi- cepresidente</w:t>
      </w:r>
      <w:r>
        <w:rPr>
          <w:spacing w:val="-4"/>
          <w:w w:val="110"/>
        </w:rPr>
        <w:t> </w:t>
      </w:r>
      <w:r>
        <w:rPr>
          <w:w w:val="110"/>
        </w:rPr>
        <w:t>de</w:t>
      </w:r>
      <w:r>
        <w:rPr>
          <w:spacing w:val="-4"/>
          <w:w w:val="110"/>
        </w:rPr>
        <w:t> </w:t>
      </w:r>
      <w:r>
        <w:rPr>
          <w:w w:val="110"/>
        </w:rPr>
        <w:t>los</w:t>
      </w:r>
      <w:r>
        <w:rPr>
          <w:spacing w:val="-4"/>
          <w:w w:val="110"/>
        </w:rPr>
        <w:t> </w:t>
      </w:r>
      <w:r>
        <w:rPr>
          <w:w w:val="110"/>
        </w:rPr>
        <w:t>Estados</w:t>
      </w:r>
      <w:r>
        <w:rPr>
          <w:spacing w:val="-4"/>
          <w:w w:val="110"/>
        </w:rPr>
        <w:t> </w:t>
      </w:r>
      <w:r>
        <w:rPr>
          <w:w w:val="110"/>
        </w:rPr>
        <w:t>unidos</w:t>
      </w:r>
      <w:r>
        <w:rPr>
          <w:spacing w:val="-4"/>
          <w:w w:val="110"/>
        </w:rPr>
        <w:t> </w:t>
      </w:r>
      <w:r>
        <w:rPr>
          <w:w w:val="110"/>
        </w:rPr>
        <w:t>el</w:t>
      </w:r>
      <w:r>
        <w:rPr>
          <w:spacing w:val="-4"/>
          <w:w w:val="110"/>
        </w:rPr>
        <w:t> </w:t>
      </w:r>
      <w:r>
        <w:rPr>
          <w:w w:val="110"/>
        </w:rPr>
        <w:t>19</w:t>
      </w:r>
      <w:r>
        <w:rPr>
          <w:spacing w:val="-4"/>
          <w:w w:val="110"/>
        </w:rPr>
        <w:t> </w:t>
      </w:r>
      <w:r>
        <w:rPr>
          <w:w w:val="110"/>
        </w:rPr>
        <w:t>de</w:t>
      </w:r>
      <w:r>
        <w:rPr>
          <w:spacing w:val="-4"/>
          <w:w w:val="110"/>
        </w:rPr>
        <w:t> </w:t>
      </w:r>
      <w:r>
        <w:rPr>
          <w:w w:val="110"/>
        </w:rPr>
        <w:t>noviembre</w:t>
      </w:r>
      <w:r>
        <w:rPr>
          <w:spacing w:val="-4"/>
          <w:w w:val="110"/>
        </w:rPr>
        <w:t> </w:t>
      </w:r>
      <w:r>
        <w:rPr>
          <w:w w:val="110"/>
        </w:rPr>
        <w:t>de</w:t>
      </w:r>
      <w:r>
        <w:rPr>
          <w:spacing w:val="-4"/>
          <w:w w:val="110"/>
        </w:rPr>
        <w:t> </w:t>
      </w:r>
      <w:r>
        <w:rPr>
          <w:w w:val="110"/>
        </w:rPr>
        <w:t>2013.</w:t>
      </w:r>
      <w:r>
        <w:rPr>
          <w:spacing w:val="-4"/>
          <w:w w:val="110"/>
        </w:rPr>
        <w:t> </w:t>
      </w:r>
      <w:r>
        <w:rPr>
          <w:w w:val="110"/>
        </w:rPr>
        <w:t>según la información difundida, esa visita tuvo como propósito remover los obstáculos</w:t>
      </w:r>
      <w:r>
        <w:rPr>
          <w:spacing w:val="25"/>
          <w:w w:val="110"/>
        </w:rPr>
        <w:t> </w:t>
      </w:r>
      <w:r>
        <w:rPr>
          <w:w w:val="110"/>
        </w:rPr>
        <w:t>financieros</w:t>
      </w:r>
      <w:r>
        <w:rPr>
          <w:spacing w:val="25"/>
          <w:w w:val="110"/>
        </w:rPr>
        <w:t> </w:t>
      </w:r>
      <w:r>
        <w:rPr>
          <w:w w:val="110"/>
        </w:rPr>
        <w:t>que</w:t>
      </w:r>
      <w:r>
        <w:rPr>
          <w:spacing w:val="25"/>
          <w:w w:val="110"/>
        </w:rPr>
        <w:t> </w:t>
      </w:r>
      <w:r>
        <w:rPr>
          <w:w w:val="110"/>
        </w:rPr>
        <w:t>entonces</w:t>
      </w:r>
      <w:r>
        <w:rPr>
          <w:spacing w:val="25"/>
          <w:w w:val="110"/>
        </w:rPr>
        <w:t> </w:t>
      </w:r>
      <w:r>
        <w:rPr>
          <w:w w:val="110"/>
        </w:rPr>
        <w:t>existían</w:t>
      </w:r>
      <w:r>
        <w:rPr>
          <w:spacing w:val="25"/>
          <w:w w:val="110"/>
        </w:rPr>
        <w:t> </w:t>
      </w:r>
      <w:r>
        <w:rPr>
          <w:w w:val="110"/>
        </w:rPr>
        <w:t>para</w:t>
      </w:r>
      <w:r>
        <w:rPr>
          <w:spacing w:val="25"/>
          <w:w w:val="110"/>
        </w:rPr>
        <w:t> </w:t>
      </w:r>
      <w:r>
        <w:rPr>
          <w:w w:val="110"/>
        </w:rPr>
        <w:t>la</w:t>
      </w:r>
      <w:r>
        <w:rPr>
          <w:spacing w:val="25"/>
          <w:w w:val="110"/>
        </w:rPr>
        <w:t> </w:t>
      </w:r>
      <w:r>
        <w:rPr>
          <w:w w:val="110"/>
        </w:rPr>
        <w:t>culminación</w:t>
      </w:r>
      <w:r>
        <w:rPr>
          <w:spacing w:val="25"/>
          <w:w w:val="110"/>
        </w:rPr>
        <w:t> </w:t>
      </w:r>
      <w:r>
        <w:rPr>
          <w:w w:val="110"/>
        </w:rPr>
        <w:t>en</w:t>
      </w:r>
    </w:p>
    <w:p>
      <w:pPr>
        <w:spacing w:after="0" w:line="252" w:lineRule="auto"/>
        <w:jc w:val="both"/>
        <w:sectPr>
          <w:footerReference w:type="even" r:id="rId471"/>
          <w:footerReference w:type="default" r:id="rId472"/>
          <w:pgSz w:w="8790" w:h="12760"/>
          <w:pgMar w:footer="725" w:header="695" w:top="880" w:bottom="920" w:left="1200" w:right="900"/>
          <w:pgNumType w:start="362"/>
        </w:sectPr>
      </w:pPr>
    </w:p>
    <w:p>
      <w:pPr>
        <w:pStyle w:val="BodyText"/>
        <w:spacing w:before="9"/>
        <w:rPr>
          <w:sz w:val="28"/>
        </w:rPr>
      </w:pPr>
    </w:p>
    <w:p>
      <w:pPr>
        <w:pStyle w:val="BodyText"/>
        <w:spacing w:line="252" w:lineRule="auto" w:before="73"/>
        <w:ind w:left="120" w:right="328"/>
        <w:jc w:val="both"/>
      </w:pPr>
      <w:r>
        <w:rPr>
          <w:w w:val="110"/>
        </w:rPr>
        <w:t>2015 de las obras de la ampliación del Canal de Panamá (oficina del Vicepresidente de los Estados unidos, 2013).</w:t>
      </w:r>
    </w:p>
    <w:p>
      <w:pPr>
        <w:pStyle w:val="BodyText"/>
        <w:spacing w:line="252" w:lineRule="auto"/>
        <w:ind w:left="120" w:right="328" w:firstLine="396"/>
        <w:jc w:val="both"/>
      </w:pPr>
      <w:r>
        <w:rPr>
          <w:w w:val="110"/>
        </w:rPr>
        <w:t>Este y otros temas seguramente también se abordaron durante  la participación del secretario de Estado John Kerry en la toma de posición, el 1º de julio de 2014, del actual mandatario panameño Juan Carlos </w:t>
      </w:r>
      <w:r>
        <w:rPr>
          <w:spacing w:val="-3"/>
          <w:w w:val="110"/>
        </w:rPr>
        <w:t>Varela. </w:t>
      </w:r>
      <w:r>
        <w:rPr>
          <w:w w:val="110"/>
        </w:rPr>
        <w:t>según la información difundida, ambos sostuvieron  “una reunión privada” en la que “acordaron fortalecer la cooperación bilateral, principalmente en materia de seguridad y educación”. En esa ocasión Kerry también se reunió con los presidentes de El salva- dor y Guatemala, así como con la ministra de relaciones de Honduras, Mireya agüero, para abordar –entre otros temas– el ya referido “dra- ma de los niños de esos países inmigrantes a los Estados unidos” (</w:t>
      </w:r>
      <w:r>
        <w:rPr>
          <w:i/>
          <w:w w:val="110"/>
        </w:rPr>
        <w:t>La </w:t>
      </w:r>
      <w:r>
        <w:rPr>
          <w:i/>
          <w:w w:val="110"/>
        </w:rPr>
        <w:t>Estrella</w:t>
      </w:r>
      <w:r>
        <w:rPr>
          <w:w w:val="110"/>
        </w:rPr>
        <w:t>,</w:t>
      </w:r>
      <w:r>
        <w:rPr>
          <w:spacing w:val="-22"/>
          <w:w w:val="110"/>
        </w:rPr>
        <w:t> </w:t>
      </w:r>
      <w:r>
        <w:rPr>
          <w:w w:val="110"/>
        </w:rPr>
        <w:t>2014).</w:t>
      </w:r>
    </w:p>
    <w:p>
      <w:pPr>
        <w:pStyle w:val="BodyText"/>
        <w:spacing w:before="5"/>
      </w:pPr>
    </w:p>
    <w:p>
      <w:pPr>
        <w:pStyle w:val="Heading6"/>
        <w:spacing w:line="244" w:lineRule="auto"/>
        <w:ind w:left="121" w:right="1239" w:hanging="1"/>
        <w:jc w:val="left"/>
      </w:pPr>
      <w:r>
        <w:rPr>
          <w:w w:val="201"/>
        </w:rPr>
        <w:t>l</w:t>
      </w:r>
      <w:r>
        <w:rPr>
          <w:w w:val="129"/>
        </w:rPr>
        <w:t>a</w:t>
      </w:r>
      <w:r>
        <w:rPr/>
        <w:t> </w:t>
      </w:r>
      <w:r>
        <w:rPr>
          <w:w w:val="88"/>
        </w:rPr>
        <w:t>“</w:t>
      </w:r>
      <w:r>
        <w:rPr>
          <w:w w:val="139"/>
        </w:rPr>
        <w:t>re</w:t>
      </w:r>
      <w:r>
        <w:rPr>
          <w:w w:val="136"/>
        </w:rPr>
        <w:t>no</w:t>
      </w:r>
      <w:r>
        <w:rPr>
          <w:w w:val="129"/>
        </w:rPr>
        <w:t>v</w:t>
      </w:r>
      <w:r>
        <w:rPr>
          <w:w w:val="129"/>
        </w:rPr>
        <w:t>a</w:t>
      </w:r>
      <w:r>
        <w:rPr>
          <w:w w:val="137"/>
        </w:rPr>
        <w:t>ción</w:t>
      </w:r>
      <w:r>
        <w:rPr>
          <w:w w:val="88"/>
        </w:rPr>
        <w:t>”</w:t>
      </w:r>
      <w:r>
        <w:rPr/>
        <w:t> </w:t>
      </w:r>
      <w:r>
        <w:rPr>
          <w:w w:val="132"/>
        </w:rPr>
        <w:t>de</w:t>
      </w:r>
      <w:r>
        <w:rPr>
          <w:w w:val="201"/>
        </w:rPr>
        <w:t>l</w:t>
      </w:r>
      <w:r>
        <w:rPr/>
        <w:t> </w:t>
      </w:r>
      <w:r>
        <w:rPr>
          <w:w w:val="201"/>
        </w:rPr>
        <w:t>l</w:t>
      </w:r>
      <w:r>
        <w:rPr>
          <w:w w:val="132"/>
        </w:rPr>
        <w:t>ide</w:t>
      </w:r>
      <w:r>
        <w:rPr>
          <w:w w:val="145"/>
        </w:rPr>
        <w:t>r</w:t>
      </w:r>
      <w:r>
        <w:rPr>
          <w:w w:val="129"/>
        </w:rPr>
        <w:t>a</w:t>
      </w:r>
      <w:r>
        <w:rPr>
          <w:w w:val="132"/>
        </w:rPr>
        <w:t>z</w:t>
      </w:r>
      <w:r>
        <w:rPr>
          <w:w w:val="89"/>
        </w:rPr>
        <w:t>G</w:t>
      </w:r>
      <w:r>
        <w:rPr>
          <w:w w:val="145"/>
        </w:rPr>
        <w:t>o</w:t>
      </w:r>
      <w:r>
        <w:rPr/>
        <w:t> </w:t>
      </w:r>
      <w:r>
        <w:rPr>
          <w:w w:val="134"/>
        </w:rPr>
        <w:t>e</w:t>
      </w:r>
      <w:r>
        <w:rPr>
          <w:w w:val="136"/>
        </w:rPr>
        <w:t>s</w:t>
      </w:r>
      <w:r>
        <w:rPr>
          <w:w w:val="180"/>
        </w:rPr>
        <w:t>t</w:t>
      </w:r>
      <w:r>
        <w:rPr>
          <w:w w:val="130"/>
        </w:rPr>
        <w:t>ad</w:t>
      </w:r>
      <w:r>
        <w:rPr>
          <w:w w:val="145"/>
        </w:rPr>
        <w:t>o</w:t>
      </w:r>
      <w:r>
        <w:rPr>
          <w:w w:val="130"/>
        </w:rPr>
        <w:t>unide</w:t>
      </w:r>
      <w:r>
        <w:rPr>
          <w:w w:val="132"/>
        </w:rPr>
        <w:t>nse </w:t>
      </w:r>
      <w:r>
        <w:rPr>
          <w:w w:val="130"/>
        </w:rPr>
        <w:t>en sudaMérica</w:t>
      </w:r>
    </w:p>
    <w:p>
      <w:pPr>
        <w:pStyle w:val="BodyText"/>
        <w:spacing w:line="252" w:lineRule="auto" w:before="5"/>
        <w:ind w:left="120" w:right="328"/>
        <w:jc w:val="both"/>
      </w:pPr>
      <w:r>
        <w:rPr>
          <w:w w:val="110"/>
        </w:rPr>
        <w:t>Es necesario recordar que, meses antes, el vicepresidente Joe biden había visitado Colombia, cuya Marina de guerra siempre ha coopera- do con la de Estados unidos en “el control” de las dos entradas maríti- mas del Canal de Panamá. </w:t>
      </w:r>
      <w:r>
        <w:rPr>
          <w:spacing w:val="-7"/>
          <w:w w:val="110"/>
        </w:rPr>
        <w:t>tal </w:t>
      </w:r>
      <w:r>
        <w:rPr>
          <w:w w:val="110"/>
        </w:rPr>
        <w:t>visita se complementó con otras “inicia- tivas</w:t>
      </w:r>
      <w:r>
        <w:rPr>
          <w:spacing w:val="-5"/>
          <w:w w:val="110"/>
        </w:rPr>
        <w:t> </w:t>
      </w:r>
      <w:r>
        <w:rPr>
          <w:w w:val="110"/>
        </w:rPr>
        <w:t>diplomáticas”</w:t>
      </w:r>
      <w:r>
        <w:rPr>
          <w:spacing w:val="-5"/>
          <w:w w:val="110"/>
        </w:rPr>
        <w:t> </w:t>
      </w:r>
      <w:r>
        <w:rPr>
          <w:w w:val="110"/>
        </w:rPr>
        <w:t>emprendidas</w:t>
      </w:r>
      <w:r>
        <w:rPr>
          <w:spacing w:val="-5"/>
          <w:w w:val="110"/>
        </w:rPr>
        <w:t> </w:t>
      </w:r>
      <w:r>
        <w:rPr>
          <w:w w:val="110"/>
        </w:rPr>
        <w:t>en</w:t>
      </w:r>
      <w:r>
        <w:rPr>
          <w:spacing w:val="-5"/>
          <w:w w:val="110"/>
        </w:rPr>
        <w:t> </w:t>
      </w:r>
      <w:r>
        <w:rPr>
          <w:w w:val="110"/>
        </w:rPr>
        <w:t>2013</w:t>
      </w:r>
      <w:r>
        <w:rPr>
          <w:spacing w:val="-5"/>
          <w:w w:val="110"/>
        </w:rPr>
        <w:t> </w:t>
      </w:r>
      <w:r>
        <w:rPr>
          <w:w w:val="110"/>
        </w:rPr>
        <w:t>y</w:t>
      </w:r>
      <w:r>
        <w:rPr>
          <w:spacing w:val="-5"/>
          <w:w w:val="110"/>
        </w:rPr>
        <w:t> </w:t>
      </w:r>
      <w:r>
        <w:rPr>
          <w:w w:val="110"/>
        </w:rPr>
        <w:t>en</w:t>
      </w:r>
      <w:r>
        <w:rPr>
          <w:spacing w:val="-5"/>
          <w:w w:val="110"/>
        </w:rPr>
        <w:t> </w:t>
      </w:r>
      <w:r>
        <w:rPr>
          <w:w w:val="110"/>
        </w:rPr>
        <w:t>lo</w:t>
      </w:r>
      <w:r>
        <w:rPr>
          <w:spacing w:val="-5"/>
          <w:w w:val="110"/>
        </w:rPr>
        <w:t> </w:t>
      </w:r>
      <w:r>
        <w:rPr>
          <w:w w:val="110"/>
        </w:rPr>
        <w:t>transcurrido</w:t>
      </w:r>
      <w:r>
        <w:rPr>
          <w:spacing w:val="-5"/>
          <w:w w:val="110"/>
        </w:rPr>
        <w:t> </w:t>
      </w:r>
      <w:r>
        <w:rPr>
          <w:w w:val="110"/>
        </w:rPr>
        <w:t>de</w:t>
      </w:r>
      <w:r>
        <w:rPr>
          <w:spacing w:val="-5"/>
          <w:w w:val="110"/>
        </w:rPr>
        <w:t> </w:t>
      </w:r>
      <w:r>
        <w:rPr>
          <w:w w:val="110"/>
        </w:rPr>
        <w:t>2014 por la segunda presidencia de barack obama con vistas a garantizar “la renovación” y “la prolongación del liderazgo estadounidense” en sudamérica.</w:t>
      </w:r>
    </w:p>
    <w:p>
      <w:pPr>
        <w:pStyle w:val="BodyText"/>
        <w:spacing w:line="252" w:lineRule="auto"/>
        <w:ind w:left="120" w:right="328" w:firstLine="396"/>
        <w:jc w:val="both"/>
      </w:pPr>
      <w:r>
        <w:rPr>
          <w:w w:val="110"/>
        </w:rPr>
        <w:t>En efecto, entre el 3 y el 4 de junio visitó Estados unidos el en- tonces presidente chileno sebastián Piñera. según la cancillería de ese país, en “la reunión de trabajo” que este sostuvo con barack obama, “ambos presidentes analizaron el proceso de negociación del </w:t>
      </w:r>
      <w:r>
        <w:rPr>
          <w:spacing w:val="-3"/>
          <w:w w:val="110"/>
        </w:rPr>
        <w:t>acuer- </w:t>
      </w:r>
      <w:r>
        <w:rPr>
          <w:w w:val="110"/>
        </w:rPr>
        <w:t>do Estratégico transpacífico de asociación Económica –comúnmente conocido por sus siglas en inglés como “el tPP”–, las oportunidades que dicho acuerdo presenta para Chile y Estados unidos”, y destaca- ron “la importancia de suscribir [prontamente] un instrumento am- </w:t>
      </w:r>
      <w:r>
        <w:rPr>
          <w:w w:val="114"/>
        </w:rPr>
        <w:t>plio,</w:t>
      </w:r>
      <w:r>
        <w:rPr>
          <w:spacing w:val="12"/>
        </w:rPr>
        <w:t> </w:t>
      </w:r>
      <w:r>
        <w:rPr>
          <w:w w:val="110"/>
        </w:rPr>
        <w:t>balanceado</w:t>
      </w:r>
      <w:r>
        <w:rPr>
          <w:spacing w:val="12"/>
        </w:rPr>
        <w:t> </w:t>
      </w:r>
      <w:r>
        <w:rPr>
          <w:w w:val="105"/>
        </w:rPr>
        <w:t>y</w:t>
      </w:r>
      <w:r>
        <w:rPr>
          <w:spacing w:val="12"/>
        </w:rPr>
        <w:t> </w:t>
      </w:r>
      <w:r>
        <w:rPr>
          <w:w w:val="107"/>
        </w:rPr>
        <w:t>de</w:t>
      </w:r>
      <w:r>
        <w:rPr>
          <w:spacing w:val="12"/>
        </w:rPr>
        <w:t> </w:t>
      </w:r>
      <w:r>
        <w:rPr>
          <w:w w:val="110"/>
        </w:rPr>
        <w:t>alta</w:t>
      </w:r>
      <w:r>
        <w:rPr>
          <w:spacing w:val="12"/>
        </w:rPr>
        <w:t> </w:t>
      </w:r>
      <w:r>
        <w:rPr>
          <w:w w:val="112"/>
        </w:rPr>
        <w:t>calidad”</w:t>
      </w:r>
      <w:r>
        <w:rPr>
          <w:spacing w:val="12"/>
        </w:rPr>
        <w:t> </w:t>
      </w:r>
      <w:r>
        <w:rPr>
          <w:w w:val="113"/>
        </w:rPr>
        <w:t>(M</w:t>
      </w:r>
      <w:r>
        <w:rPr>
          <w:w w:val="142"/>
        </w:rPr>
        <w:t>i</w:t>
      </w:r>
      <w:r>
        <w:rPr>
          <w:w w:val="119"/>
        </w:rPr>
        <w:t>N</w:t>
      </w:r>
      <w:r>
        <w:rPr>
          <w:w w:val="182"/>
        </w:rPr>
        <w:t>r</w:t>
      </w:r>
      <w:r>
        <w:rPr>
          <w:w w:val="128"/>
        </w:rPr>
        <w:t>E</w:t>
      </w:r>
      <w:r>
        <w:rPr>
          <w:w w:val="243"/>
        </w:rPr>
        <w:t>l</w:t>
      </w:r>
      <w:r>
        <w:rPr>
          <w:w w:val="138"/>
        </w:rPr>
        <w:t>,</w:t>
      </w:r>
      <w:r>
        <w:rPr>
          <w:spacing w:val="12"/>
        </w:rPr>
        <w:t> </w:t>
      </w:r>
      <w:r>
        <w:rPr>
          <w:w w:val="104"/>
        </w:rPr>
        <w:t>2013).</w:t>
      </w:r>
    </w:p>
    <w:p>
      <w:pPr>
        <w:pStyle w:val="BodyText"/>
        <w:spacing w:line="252" w:lineRule="auto"/>
        <w:ind w:left="120" w:right="328" w:firstLine="396"/>
        <w:jc w:val="both"/>
      </w:pPr>
      <w:r>
        <w:rPr>
          <w:w w:val="110"/>
        </w:rPr>
        <w:t>asimismo, destacaron “los avances que ha registrado la alianza del Pacífico” (hasta ahora integrada por los gobiernos de Chile, Co- lombia, México y Perú),</w:t>
      </w:r>
      <w:r>
        <w:rPr>
          <w:w w:val="110"/>
          <w:position w:val="6"/>
          <w:sz w:val="11"/>
        </w:rPr>
        <w:t>6 </w:t>
      </w:r>
      <w:r>
        <w:rPr>
          <w:w w:val="110"/>
        </w:rPr>
        <w:t>y “los resultados obtenidos entre los Esta- dos</w:t>
      </w:r>
      <w:r>
        <w:rPr>
          <w:spacing w:val="36"/>
          <w:w w:val="110"/>
        </w:rPr>
        <w:t> </w:t>
      </w:r>
      <w:r>
        <w:rPr>
          <w:w w:val="110"/>
        </w:rPr>
        <w:t>unidos</w:t>
      </w:r>
      <w:r>
        <w:rPr>
          <w:spacing w:val="36"/>
          <w:w w:val="110"/>
        </w:rPr>
        <w:t> </w:t>
      </w:r>
      <w:r>
        <w:rPr>
          <w:w w:val="110"/>
        </w:rPr>
        <w:t>y</w:t>
      </w:r>
      <w:r>
        <w:rPr>
          <w:spacing w:val="36"/>
          <w:w w:val="110"/>
        </w:rPr>
        <w:t> </w:t>
      </w:r>
      <w:r>
        <w:rPr>
          <w:w w:val="110"/>
        </w:rPr>
        <w:t>la</w:t>
      </w:r>
      <w:r>
        <w:rPr>
          <w:spacing w:val="36"/>
          <w:w w:val="110"/>
        </w:rPr>
        <w:t> </w:t>
      </w:r>
      <w:r>
        <w:rPr>
          <w:w w:val="110"/>
        </w:rPr>
        <w:t>república</w:t>
      </w:r>
      <w:r>
        <w:rPr>
          <w:spacing w:val="36"/>
          <w:w w:val="110"/>
        </w:rPr>
        <w:t> </w:t>
      </w:r>
      <w:r>
        <w:rPr>
          <w:w w:val="110"/>
        </w:rPr>
        <w:t>de</w:t>
      </w:r>
      <w:r>
        <w:rPr>
          <w:spacing w:val="36"/>
          <w:w w:val="110"/>
        </w:rPr>
        <w:t> </w:t>
      </w:r>
      <w:r>
        <w:rPr>
          <w:w w:val="110"/>
        </w:rPr>
        <w:t>Chile,</w:t>
      </w:r>
      <w:r>
        <w:rPr>
          <w:spacing w:val="36"/>
          <w:w w:val="110"/>
        </w:rPr>
        <w:t> </w:t>
      </w:r>
      <w:r>
        <w:rPr>
          <w:w w:val="110"/>
        </w:rPr>
        <w:t>en</w:t>
      </w:r>
      <w:r>
        <w:rPr>
          <w:spacing w:val="36"/>
          <w:w w:val="110"/>
        </w:rPr>
        <w:t> </w:t>
      </w:r>
      <w:r>
        <w:rPr>
          <w:w w:val="110"/>
        </w:rPr>
        <w:t>su</w:t>
      </w:r>
      <w:r>
        <w:rPr>
          <w:spacing w:val="36"/>
          <w:w w:val="110"/>
        </w:rPr>
        <w:t> </w:t>
      </w:r>
      <w:r>
        <w:rPr>
          <w:w w:val="110"/>
        </w:rPr>
        <w:t>trabajo</w:t>
      </w:r>
      <w:r>
        <w:rPr>
          <w:spacing w:val="36"/>
          <w:w w:val="110"/>
        </w:rPr>
        <w:t> </w:t>
      </w:r>
      <w:r>
        <w:rPr>
          <w:w w:val="110"/>
        </w:rPr>
        <w:t>conjunto</w:t>
      </w:r>
      <w:r>
        <w:rPr>
          <w:spacing w:val="36"/>
          <w:w w:val="110"/>
        </w:rPr>
        <w:t> </w:t>
      </w:r>
      <w:r>
        <w:rPr>
          <w:w w:val="110"/>
        </w:rPr>
        <w:t>a</w:t>
      </w:r>
      <w:r>
        <w:rPr>
          <w:spacing w:val="36"/>
          <w:w w:val="110"/>
        </w:rPr>
        <w:t> </w:t>
      </w:r>
      <w:r>
        <w:rPr>
          <w:w w:val="110"/>
        </w:rPr>
        <w:t>fin</w:t>
      </w:r>
      <w:r>
        <w:rPr>
          <w:spacing w:val="36"/>
          <w:w w:val="110"/>
        </w:rPr>
        <w:t> </w:t>
      </w:r>
      <w:r>
        <w:rPr>
          <w:w w:val="110"/>
        </w:rPr>
        <w:t>de</w:t>
      </w:r>
    </w:p>
    <w:p>
      <w:pPr>
        <w:pStyle w:val="BodyText"/>
        <w:rPr>
          <w:sz w:val="20"/>
        </w:rPr>
      </w:pPr>
    </w:p>
    <w:p>
      <w:pPr>
        <w:pStyle w:val="BodyText"/>
        <w:spacing w:before="7"/>
        <w:rPr>
          <w:sz w:val="10"/>
        </w:rPr>
      </w:pPr>
      <w:r>
        <w:rPr/>
        <w:pict>
          <v:line style="position:absolute;mso-position-horizontal-relative:page;mso-position-vertical-relative:paragraph;z-index:7888;mso-wrap-distance-left:0;mso-wrap-distance-right:0" from="51.023602pt,8.434598pt" to="79.369602pt,8.434598pt" stroked="true" strokeweight=".5pt" strokecolor="#000000">
            <w10:wrap type="topAndBottom"/>
          </v:line>
        </w:pict>
      </w:r>
    </w:p>
    <w:p>
      <w:pPr>
        <w:pStyle w:val="ListParagraph"/>
        <w:numPr>
          <w:ilvl w:val="1"/>
          <w:numId w:val="32"/>
        </w:numPr>
        <w:tabs>
          <w:tab w:pos="376" w:val="left" w:leader="none"/>
        </w:tabs>
        <w:spacing w:line="242" w:lineRule="auto" w:before="89" w:after="0"/>
        <w:ind w:left="120" w:right="328" w:firstLine="0"/>
        <w:jc w:val="both"/>
        <w:rPr>
          <w:sz w:val="16"/>
        </w:rPr>
      </w:pPr>
      <w:r>
        <w:rPr>
          <w:w w:val="115"/>
          <w:sz w:val="16"/>
        </w:rPr>
        <w:t>En</w:t>
      </w:r>
      <w:r>
        <w:rPr>
          <w:spacing w:val="-8"/>
          <w:w w:val="115"/>
          <w:sz w:val="16"/>
        </w:rPr>
        <w:t> </w:t>
      </w:r>
      <w:r>
        <w:rPr>
          <w:w w:val="115"/>
          <w:sz w:val="16"/>
        </w:rPr>
        <w:t>la</w:t>
      </w:r>
      <w:r>
        <w:rPr>
          <w:spacing w:val="-8"/>
          <w:w w:val="115"/>
          <w:sz w:val="16"/>
        </w:rPr>
        <w:t> </w:t>
      </w:r>
      <w:r>
        <w:rPr>
          <w:w w:val="115"/>
          <w:sz w:val="16"/>
        </w:rPr>
        <w:t>Viii</w:t>
      </w:r>
      <w:r>
        <w:rPr>
          <w:spacing w:val="-8"/>
          <w:w w:val="115"/>
          <w:sz w:val="16"/>
        </w:rPr>
        <w:t> </w:t>
      </w:r>
      <w:r>
        <w:rPr>
          <w:w w:val="115"/>
          <w:sz w:val="16"/>
        </w:rPr>
        <w:t>Cumbre</w:t>
      </w:r>
      <w:r>
        <w:rPr>
          <w:spacing w:val="-8"/>
          <w:w w:val="115"/>
          <w:sz w:val="16"/>
        </w:rPr>
        <w:t> </w:t>
      </w:r>
      <w:r>
        <w:rPr>
          <w:w w:val="115"/>
          <w:sz w:val="16"/>
        </w:rPr>
        <w:t>de</w:t>
      </w:r>
      <w:r>
        <w:rPr>
          <w:spacing w:val="-8"/>
          <w:w w:val="115"/>
          <w:sz w:val="16"/>
        </w:rPr>
        <w:t> </w:t>
      </w:r>
      <w:r>
        <w:rPr>
          <w:w w:val="115"/>
          <w:sz w:val="16"/>
        </w:rPr>
        <w:t>la</w:t>
      </w:r>
      <w:r>
        <w:rPr>
          <w:spacing w:val="-8"/>
          <w:w w:val="115"/>
          <w:sz w:val="16"/>
        </w:rPr>
        <w:t> </w:t>
      </w:r>
      <w:r>
        <w:rPr>
          <w:w w:val="115"/>
          <w:sz w:val="16"/>
        </w:rPr>
        <w:t>alianza</w:t>
      </w:r>
      <w:r>
        <w:rPr>
          <w:spacing w:val="-8"/>
          <w:w w:val="115"/>
          <w:sz w:val="16"/>
        </w:rPr>
        <w:t> </w:t>
      </w:r>
      <w:r>
        <w:rPr>
          <w:w w:val="115"/>
          <w:sz w:val="16"/>
        </w:rPr>
        <w:t>para</w:t>
      </w:r>
      <w:r>
        <w:rPr>
          <w:spacing w:val="-8"/>
          <w:w w:val="115"/>
          <w:sz w:val="16"/>
        </w:rPr>
        <w:t> </w:t>
      </w:r>
      <w:r>
        <w:rPr>
          <w:w w:val="115"/>
          <w:sz w:val="16"/>
        </w:rPr>
        <w:t>el</w:t>
      </w:r>
      <w:r>
        <w:rPr>
          <w:spacing w:val="-8"/>
          <w:w w:val="115"/>
          <w:sz w:val="16"/>
        </w:rPr>
        <w:t> </w:t>
      </w:r>
      <w:r>
        <w:rPr>
          <w:w w:val="115"/>
          <w:sz w:val="16"/>
        </w:rPr>
        <w:t>Pacífico</w:t>
      </w:r>
      <w:r>
        <w:rPr>
          <w:spacing w:val="-8"/>
          <w:w w:val="115"/>
          <w:sz w:val="16"/>
        </w:rPr>
        <w:t> </w:t>
      </w:r>
      <w:r>
        <w:rPr>
          <w:w w:val="115"/>
          <w:sz w:val="16"/>
        </w:rPr>
        <w:t>realizada</w:t>
      </w:r>
      <w:r>
        <w:rPr>
          <w:spacing w:val="-8"/>
          <w:w w:val="115"/>
          <w:sz w:val="16"/>
        </w:rPr>
        <w:t> </w:t>
      </w:r>
      <w:r>
        <w:rPr>
          <w:w w:val="115"/>
          <w:sz w:val="16"/>
        </w:rPr>
        <w:t>en</w:t>
      </w:r>
      <w:r>
        <w:rPr>
          <w:spacing w:val="-8"/>
          <w:w w:val="115"/>
          <w:sz w:val="16"/>
        </w:rPr>
        <w:t> </w:t>
      </w:r>
      <w:r>
        <w:rPr>
          <w:w w:val="115"/>
          <w:sz w:val="16"/>
        </w:rPr>
        <w:t>Cartagena,</w:t>
      </w:r>
      <w:r>
        <w:rPr>
          <w:spacing w:val="-8"/>
          <w:w w:val="115"/>
          <w:sz w:val="16"/>
        </w:rPr>
        <w:t> </w:t>
      </w:r>
      <w:r>
        <w:rPr>
          <w:w w:val="115"/>
          <w:sz w:val="16"/>
        </w:rPr>
        <w:t>Colom- </w:t>
      </w:r>
      <w:r>
        <w:rPr>
          <w:w w:val="113"/>
          <w:sz w:val="16"/>
        </w:rPr>
        <w:t>bia,</w:t>
      </w:r>
      <w:r>
        <w:rPr>
          <w:spacing w:val="6"/>
          <w:sz w:val="16"/>
        </w:rPr>
        <w:t> </w:t>
      </w:r>
      <w:r>
        <w:rPr>
          <w:w w:val="104"/>
          <w:sz w:val="16"/>
        </w:rPr>
        <w:t>el</w:t>
      </w:r>
      <w:r>
        <w:rPr>
          <w:spacing w:val="6"/>
          <w:sz w:val="16"/>
        </w:rPr>
        <w:t> </w:t>
      </w:r>
      <w:r>
        <w:rPr>
          <w:w w:val="100"/>
          <w:sz w:val="16"/>
        </w:rPr>
        <w:t>10</w:t>
      </w:r>
      <w:r>
        <w:rPr>
          <w:spacing w:val="6"/>
          <w:sz w:val="16"/>
        </w:rPr>
        <w:t> </w:t>
      </w:r>
      <w:r>
        <w:rPr>
          <w:w w:val="104"/>
          <w:sz w:val="16"/>
        </w:rPr>
        <w:t>de</w:t>
      </w:r>
      <w:r>
        <w:rPr>
          <w:spacing w:val="6"/>
          <w:sz w:val="16"/>
        </w:rPr>
        <w:t> </w:t>
      </w:r>
      <w:r>
        <w:rPr>
          <w:w w:val="105"/>
          <w:sz w:val="16"/>
        </w:rPr>
        <w:t>febrero</w:t>
      </w:r>
      <w:r>
        <w:rPr>
          <w:spacing w:val="6"/>
          <w:sz w:val="16"/>
        </w:rPr>
        <w:t> </w:t>
      </w:r>
      <w:r>
        <w:rPr>
          <w:w w:val="104"/>
          <w:sz w:val="16"/>
        </w:rPr>
        <w:t>de</w:t>
      </w:r>
      <w:r>
        <w:rPr>
          <w:spacing w:val="6"/>
          <w:sz w:val="16"/>
        </w:rPr>
        <w:t> </w:t>
      </w:r>
      <w:r>
        <w:rPr>
          <w:w w:val="103"/>
          <w:sz w:val="16"/>
        </w:rPr>
        <w:t>2014,</w:t>
      </w:r>
      <w:r>
        <w:rPr>
          <w:spacing w:val="6"/>
          <w:sz w:val="16"/>
        </w:rPr>
        <w:t> </w:t>
      </w:r>
      <w:r>
        <w:rPr>
          <w:w w:val="109"/>
          <w:sz w:val="16"/>
        </w:rPr>
        <w:t>la</w:t>
      </w:r>
      <w:r>
        <w:rPr>
          <w:spacing w:val="6"/>
          <w:sz w:val="16"/>
        </w:rPr>
        <w:t> </w:t>
      </w:r>
      <w:r>
        <w:rPr>
          <w:w w:val="106"/>
          <w:sz w:val="16"/>
        </w:rPr>
        <w:t>entonces</w:t>
      </w:r>
      <w:r>
        <w:rPr>
          <w:spacing w:val="6"/>
          <w:sz w:val="16"/>
        </w:rPr>
        <w:t> </w:t>
      </w:r>
      <w:r>
        <w:rPr>
          <w:w w:val="106"/>
          <w:sz w:val="16"/>
        </w:rPr>
        <w:t>presidenta</w:t>
      </w:r>
      <w:r>
        <w:rPr>
          <w:spacing w:val="6"/>
          <w:sz w:val="16"/>
        </w:rPr>
        <w:t> </w:t>
      </w:r>
      <w:r>
        <w:rPr>
          <w:w w:val="104"/>
          <w:sz w:val="16"/>
        </w:rPr>
        <w:t>de</w:t>
      </w:r>
      <w:r>
        <w:rPr>
          <w:spacing w:val="6"/>
          <w:sz w:val="16"/>
        </w:rPr>
        <w:t> </w:t>
      </w:r>
      <w:r>
        <w:rPr>
          <w:w w:val="110"/>
          <w:sz w:val="16"/>
        </w:rPr>
        <w:t>Costa</w:t>
      </w:r>
      <w:r>
        <w:rPr>
          <w:spacing w:val="5"/>
          <w:sz w:val="16"/>
        </w:rPr>
        <w:t> </w:t>
      </w:r>
      <w:r>
        <w:rPr>
          <w:w w:val="179"/>
          <w:sz w:val="16"/>
        </w:rPr>
        <w:t>r</w:t>
      </w:r>
      <w:r>
        <w:rPr>
          <w:w w:val="115"/>
          <w:sz w:val="16"/>
        </w:rPr>
        <w:t>ica,</w:t>
      </w:r>
      <w:r>
        <w:rPr>
          <w:spacing w:val="6"/>
          <w:sz w:val="16"/>
        </w:rPr>
        <w:t> </w:t>
      </w:r>
      <w:r>
        <w:rPr>
          <w:w w:val="238"/>
          <w:sz w:val="16"/>
        </w:rPr>
        <w:t>l</w:t>
      </w:r>
      <w:r>
        <w:rPr>
          <w:w w:val="108"/>
          <w:sz w:val="16"/>
        </w:rPr>
        <w:t>aura</w:t>
      </w:r>
      <w:r>
        <w:rPr>
          <w:spacing w:val="6"/>
          <w:sz w:val="16"/>
        </w:rPr>
        <w:t> </w:t>
      </w:r>
      <w:r>
        <w:rPr>
          <w:w w:val="113"/>
          <w:sz w:val="16"/>
        </w:rPr>
        <w:t>Chinchilla, </w:t>
      </w:r>
      <w:r>
        <w:rPr>
          <w:w w:val="115"/>
          <w:sz w:val="16"/>
        </w:rPr>
        <w:t>firmó</w:t>
      </w:r>
      <w:r>
        <w:rPr>
          <w:spacing w:val="-3"/>
          <w:w w:val="115"/>
          <w:sz w:val="16"/>
        </w:rPr>
        <w:t> </w:t>
      </w:r>
      <w:r>
        <w:rPr>
          <w:w w:val="115"/>
          <w:sz w:val="16"/>
        </w:rPr>
        <w:t>el</w:t>
      </w:r>
      <w:r>
        <w:rPr>
          <w:spacing w:val="-3"/>
          <w:w w:val="115"/>
          <w:sz w:val="16"/>
        </w:rPr>
        <w:t> </w:t>
      </w:r>
      <w:r>
        <w:rPr>
          <w:w w:val="115"/>
          <w:sz w:val="16"/>
        </w:rPr>
        <w:t>protocolo</w:t>
      </w:r>
      <w:r>
        <w:rPr>
          <w:spacing w:val="-3"/>
          <w:w w:val="115"/>
          <w:sz w:val="16"/>
        </w:rPr>
        <w:t> </w:t>
      </w:r>
      <w:r>
        <w:rPr>
          <w:w w:val="115"/>
          <w:sz w:val="16"/>
        </w:rPr>
        <w:t>de</w:t>
      </w:r>
      <w:r>
        <w:rPr>
          <w:spacing w:val="-3"/>
          <w:w w:val="115"/>
          <w:sz w:val="16"/>
        </w:rPr>
        <w:t> </w:t>
      </w:r>
      <w:r>
        <w:rPr>
          <w:w w:val="115"/>
          <w:sz w:val="16"/>
        </w:rPr>
        <w:t>adhesión</w:t>
      </w:r>
      <w:r>
        <w:rPr>
          <w:spacing w:val="-3"/>
          <w:w w:val="115"/>
          <w:sz w:val="16"/>
        </w:rPr>
        <w:t> </w:t>
      </w:r>
      <w:r>
        <w:rPr>
          <w:w w:val="115"/>
          <w:sz w:val="16"/>
        </w:rPr>
        <w:t>a</w:t>
      </w:r>
      <w:r>
        <w:rPr>
          <w:spacing w:val="-3"/>
          <w:w w:val="115"/>
          <w:sz w:val="16"/>
        </w:rPr>
        <w:t> </w:t>
      </w:r>
      <w:r>
        <w:rPr>
          <w:w w:val="115"/>
          <w:sz w:val="16"/>
        </w:rPr>
        <w:t>esa</w:t>
      </w:r>
      <w:r>
        <w:rPr>
          <w:spacing w:val="-3"/>
          <w:w w:val="115"/>
          <w:sz w:val="16"/>
        </w:rPr>
        <w:t> </w:t>
      </w:r>
      <w:r>
        <w:rPr>
          <w:w w:val="115"/>
          <w:sz w:val="16"/>
        </w:rPr>
        <w:t>alianza.</w:t>
      </w:r>
      <w:r>
        <w:rPr>
          <w:spacing w:val="-3"/>
          <w:w w:val="115"/>
          <w:sz w:val="16"/>
        </w:rPr>
        <w:t> </w:t>
      </w:r>
      <w:r>
        <w:rPr>
          <w:w w:val="115"/>
          <w:sz w:val="16"/>
        </w:rPr>
        <w:t>sin</w:t>
      </w:r>
      <w:r>
        <w:rPr>
          <w:spacing w:val="-3"/>
          <w:w w:val="115"/>
          <w:sz w:val="16"/>
        </w:rPr>
        <w:t> </w:t>
      </w:r>
      <w:r>
        <w:rPr>
          <w:w w:val="115"/>
          <w:sz w:val="16"/>
        </w:rPr>
        <w:t>embargo,</w:t>
      </w:r>
      <w:r>
        <w:rPr>
          <w:spacing w:val="-3"/>
          <w:w w:val="115"/>
          <w:sz w:val="16"/>
        </w:rPr>
        <w:t> </w:t>
      </w:r>
      <w:r>
        <w:rPr>
          <w:w w:val="115"/>
          <w:sz w:val="16"/>
        </w:rPr>
        <w:t>aún</w:t>
      </w:r>
      <w:r>
        <w:rPr>
          <w:spacing w:val="-3"/>
          <w:w w:val="115"/>
          <w:sz w:val="16"/>
        </w:rPr>
        <w:t> </w:t>
      </w:r>
      <w:r>
        <w:rPr>
          <w:w w:val="115"/>
          <w:sz w:val="16"/>
        </w:rPr>
        <w:t>está</w:t>
      </w:r>
      <w:r>
        <w:rPr>
          <w:spacing w:val="-3"/>
          <w:w w:val="115"/>
          <w:sz w:val="16"/>
        </w:rPr>
        <w:t> </w:t>
      </w:r>
      <w:r>
        <w:rPr>
          <w:w w:val="115"/>
          <w:sz w:val="16"/>
        </w:rPr>
        <w:t>pendiente</w:t>
      </w:r>
      <w:r>
        <w:rPr>
          <w:spacing w:val="-3"/>
          <w:w w:val="115"/>
          <w:sz w:val="16"/>
        </w:rPr>
        <w:t> </w:t>
      </w:r>
      <w:r>
        <w:rPr>
          <w:w w:val="115"/>
          <w:sz w:val="16"/>
        </w:rPr>
        <w:t>su </w:t>
      </w:r>
      <w:r>
        <w:rPr>
          <w:w w:val="110"/>
          <w:sz w:val="16"/>
        </w:rPr>
        <w:t>aprobación</w:t>
      </w:r>
      <w:r>
        <w:rPr>
          <w:spacing w:val="-9"/>
          <w:w w:val="110"/>
          <w:sz w:val="16"/>
        </w:rPr>
        <w:t> </w:t>
      </w:r>
      <w:r>
        <w:rPr>
          <w:w w:val="110"/>
          <w:sz w:val="16"/>
        </w:rPr>
        <w:t>por</w:t>
      </w:r>
      <w:r>
        <w:rPr>
          <w:spacing w:val="-8"/>
          <w:w w:val="110"/>
          <w:sz w:val="16"/>
        </w:rPr>
        <w:t> </w:t>
      </w:r>
      <w:r>
        <w:rPr>
          <w:w w:val="110"/>
          <w:sz w:val="16"/>
        </w:rPr>
        <w:t>parte</w:t>
      </w:r>
      <w:r>
        <w:rPr>
          <w:spacing w:val="-8"/>
          <w:w w:val="110"/>
          <w:sz w:val="16"/>
        </w:rPr>
        <w:t> </w:t>
      </w:r>
      <w:r>
        <w:rPr>
          <w:w w:val="110"/>
          <w:sz w:val="16"/>
        </w:rPr>
        <w:t>del</w:t>
      </w:r>
      <w:r>
        <w:rPr>
          <w:spacing w:val="-8"/>
          <w:w w:val="110"/>
          <w:sz w:val="16"/>
        </w:rPr>
        <w:t> </w:t>
      </w:r>
      <w:r>
        <w:rPr>
          <w:w w:val="110"/>
          <w:sz w:val="16"/>
        </w:rPr>
        <w:t>Congreso</w:t>
      </w:r>
      <w:r>
        <w:rPr>
          <w:spacing w:val="-8"/>
          <w:w w:val="110"/>
          <w:sz w:val="16"/>
        </w:rPr>
        <w:t> </w:t>
      </w:r>
      <w:r>
        <w:rPr>
          <w:w w:val="110"/>
          <w:sz w:val="16"/>
        </w:rPr>
        <w:t>costarricense</w:t>
      </w:r>
      <w:r>
        <w:rPr>
          <w:spacing w:val="-9"/>
          <w:w w:val="110"/>
          <w:sz w:val="16"/>
        </w:rPr>
        <w:t> </w:t>
      </w:r>
      <w:r>
        <w:rPr>
          <w:w w:val="110"/>
          <w:sz w:val="16"/>
        </w:rPr>
        <w:t>que</w:t>
      </w:r>
      <w:r>
        <w:rPr>
          <w:spacing w:val="-8"/>
          <w:w w:val="110"/>
          <w:sz w:val="16"/>
        </w:rPr>
        <w:t> </w:t>
      </w:r>
      <w:r>
        <w:rPr>
          <w:w w:val="110"/>
          <w:sz w:val="16"/>
        </w:rPr>
        <w:t>resultó</w:t>
      </w:r>
      <w:r>
        <w:rPr>
          <w:spacing w:val="-8"/>
          <w:w w:val="110"/>
          <w:sz w:val="16"/>
        </w:rPr>
        <w:t> </w:t>
      </w:r>
      <w:r>
        <w:rPr>
          <w:w w:val="110"/>
          <w:sz w:val="16"/>
        </w:rPr>
        <w:t>electo</w:t>
      </w:r>
      <w:r>
        <w:rPr>
          <w:spacing w:val="-8"/>
          <w:w w:val="110"/>
          <w:sz w:val="16"/>
        </w:rPr>
        <w:t> </w:t>
      </w:r>
      <w:r>
        <w:rPr>
          <w:w w:val="110"/>
          <w:sz w:val="16"/>
        </w:rPr>
        <w:t>en</w:t>
      </w:r>
      <w:r>
        <w:rPr>
          <w:spacing w:val="-8"/>
          <w:w w:val="110"/>
          <w:sz w:val="16"/>
        </w:rPr>
        <w:t> </w:t>
      </w:r>
      <w:r>
        <w:rPr>
          <w:w w:val="110"/>
          <w:sz w:val="16"/>
        </w:rPr>
        <w:t>las</w:t>
      </w:r>
      <w:r>
        <w:rPr>
          <w:spacing w:val="-8"/>
          <w:w w:val="110"/>
          <w:sz w:val="16"/>
        </w:rPr>
        <w:t> </w:t>
      </w:r>
      <w:r>
        <w:rPr>
          <w:w w:val="110"/>
          <w:sz w:val="16"/>
        </w:rPr>
        <w:t>elecciones generales</w:t>
      </w:r>
      <w:r>
        <w:rPr>
          <w:spacing w:val="-7"/>
          <w:w w:val="110"/>
          <w:sz w:val="16"/>
        </w:rPr>
        <w:t> </w:t>
      </w:r>
      <w:r>
        <w:rPr>
          <w:w w:val="110"/>
          <w:sz w:val="16"/>
        </w:rPr>
        <w:t>realizadas</w:t>
      </w:r>
      <w:r>
        <w:rPr>
          <w:spacing w:val="-7"/>
          <w:w w:val="110"/>
          <w:sz w:val="16"/>
        </w:rPr>
        <w:t> </w:t>
      </w:r>
      <w:r>
        <w:rPr>
          <w:w w:val="110"/>
          <w:sz w:val="16"/>
        </w:rPr>
        <w:t>a</w:t>
      </w:r>
      <w:r>
        <w:rPr>
          <w:spacing w:val="-7"/>
          <w:w w:val="110"/>
          <w:sz w:val="16"/>
        </w:rPr>
        <w:t> </w:t>
      </w:r>
      <w:r>
        <w:rPr>
          <w:w w:val="110"/>
          <w:sz w:val="16"/>
        </w:rPr>
        <w:t>comienzos</w:t>
      </w:r>
      <w:r>
        <w:rPr>
          <w:spacing w:val="-7"/>
          <w:w w:val="110"/>
          <w:sz w:val="16"/>
        </w:rPr>
        <w:t> </w:t>
      </w:r>
      <w:r>
        <w:rPr>
          <w:w w:val="110"/>
          <w:sz w:val="16"/>
        </w:rPr>
        <w:t>de</w:t>
      </w:r>
      <w:r>
        <w:rPr>
          <w:spacing w:val="-7"/>
          <w:w w:val="110"/>
          <w:sz w:val="16"/>
        </w:rPr>
        <w:t> </w:t>
      </w:r>
      <w:r>
        <w:rPr>
          <w:w w:val="110"/>
          <w:sz w:val="16"/>
        </w:rPr>
        <w:t>ese</w:t>
      </w:r>
      <w:r>
        <w:rPr>
          <w:spacing w:val="-7"/>
          <w:w w:val="110"/>
          <w:sz w:val="16"/>
        </w:rPr>
        <w:t> </w:t>
      </w:r>
      <w:r>
        <w:rPr>
          <w:w w:val="110"/>
          <w:sz w:val="16"/>
        </w:rPr>
        <w:t>año.</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8"/>
        <w:jc w:val="both"/>
      </w:pPr>
      <w:r>
        <w:rPr>
          <w:w w:val="115"/>
        </w:rPr>
        <w:t>implementar acciones de cooperación triangular que promueven</w:t>
      </w:r>
      <w:r>
        <w:rPr>
          <w:spacing w:val="-15"/>
          <w:w w:val="115"/>
        </w:rPr>
        <w:t> </w:t>
      </w:r>
      <w:r>
        <w:rPr>
          <w:w w:val="115"/>
        </w:rPr>
        <w:t>la </w:t>
      </w:r>
      <w:r>
        <w:rPr>
          <w:w w:val="109"/>
        </w:rPr>
        <w:t>seguridad</w:t>
      </w:r>
      <w:r>
        <w:rPr>
          <w:spacing w:val="9"/>
        </w:rPr>
        <w:t> </w:t>
      </w:r>
      <w:r>
        <w:rPr>
          <w:w w:val="105"/>
        </w:rPr>
        <w:t>y</w:t>
      </w:r>
      <w:r>
        <w:rPr>
          <w:spacing w:val="9"/>
        </w:rPr>
        <w:t> </w:t>
      </w:r>
      <w:r>
        <w:rPr>
          <w:w w:val="107"/>
        </w:rPr>
        <w:t>el</w:t>
      </w:r>
      <w:r>
        <w:rPr>
          <w:spacing w:val="9"/>
        </w:rPr>
        <w:t> </w:t>
      </w:r>
      <w:r>
        <w:rPr>
          <w:w w:val="108"/>
        </w:rPr>
        <w:t>desarrollo</w:t>
      </w:r>
      <w:r>
        <w:rPr>
          <w:spacing w:val="9"/>
        </w:rPr>
        <w:t> </w:t>
      </w:r>
      <w:r>
        <w:rPr>
          <w:w w:val="107"/>
        </w:rPr>
        <w:t>de</w:t>
      </w:r>
      <w:r>
        <w:rPr>
          <w:spacing w:val="9"/>
        </w:rPr>
        <w:t> </w:t>
      </w:r>
      <w:r>
        <w:rPr>
          <w:w w:val="107"/>
        </w:rPr>
        <w:t>otros</w:t>
      </w:r>
      <w:r>
        <w:rPr>
          <w:spacing w:val="9"/>
        </w:rPr>
        <w:t> </w:t>
      </w:r>
      <w:r>
        <w:rPr>
          <w:w w:val="108"/>
        </w:rPr>
        <w:t>países</w:t>
      </w:r>
      <w:r>
        <w:rPr>
          <w:spacing w:val="9"/>
        </w:rPr>
        <w:t> </w:t>
      </w:r>
      <w:r>
        <w:rPr>
          <w:w w:val="110"/>
        </w:rPr>
        <w:t>socios</w:t>
      </w:r>
      <w:r>
        <w:rPr>
          <w:spacing w:val="9"/>
        </w:rPr>
        <w:t> </w:t>
      </w:r>
      <w:r>
        <w:rPr>
          <w:w w:val="107"/>
        </w:rPr>
        <w:t>de</w:t>
      </w:r>
      <w:r>
        <w:rPr>
          <w:spacing w:val="9"/>
        </w:rPr>
        <w:t> </w:t>
      </w:r>
      <w:r>
        <w:rPr>
          <w:w w:val="139"/>
        </w:rPr>
        <w:t>a</w:t>
      </w:r>
      <w:r>
        <w:rPr>
          <w:w w:val="111"/>
        </w:rPr>
        <w:t>mérica</w:t>
      </w:r>
      <w:r>
        <w:rPr>
          <w:spacing w:val="9"/>
        </w:rPr>
        <w:t> </w:t>
      </w:r>
      <w:r>
        <w:rPr>
          <w:w w:val="243"/>
        </w:rPr>
        <w:t>l</w:t>
      </w:r>
      <w:r>
        <w:rPr>
          <w:w w:val="111"/>
        </w:rPr>
        <w:t>atina</w:t>
      </w:r>
      <w:r>
        <w:rPr>
          <w:spacing w:val="9"/>
        </w:rPr>
        <w:t> </w:t>
      </w:r>
      <w:r>
        <w:rPr>
          <w:w w:val="105"/>
        </w:rPr>
        <w:t>y</w:t>
      </w:r>
      <w:r>
        <w:rPr>
          <w:spacing w:val="9"/>
        </w:rPr>
        <w:t> </w:t>
      </w:r>
      <w:r>
        <w:rPr>
          <w:w w:val="107"/>
        </w:rPr>
        <w:t>el </w:t>
      </w:r>
      <w:r>
        <w:rPr>
          <w:w w:val="115"/>
        </w:rPr>
        <w:t>Caribe”, en particular en </w:t>
      </w:r>
      <w:r>
        <w:rPr>
          <w:spacing w:val="-3"/>
          <w:w w:val="115"/>
        </w:rPr>
        <w:t>Paraguay, </w:t>
      </w:r>
      <w:r>
        <w:rPr>
          <w:w w:val="115"/>
        </w:rPr>
        <w:t>El </w:t>
      </w:r>
      <w:r>
        <w:rPr>
          <w:spacing w:val="-3"/>
          <w:w w:val="115"/>
        </w:rPr>
        <w:t>salvador, </w:t>
      </w:r>
      <w:r>
        <w:rPr>
          <w:w w:val="115"/>
        </w:rPr>
        <w:t>Guatemala, Hondu- ras y república dominicana. </w:t>
      </w:r>
      <w:r>
        <w:rPr>
          <w:spacing w:val="-3"/>
          <w:w w:val="115"/>
        </w:rPr>
        <w:t>también </w:t>
      </w:r>
      <w:r>
        <w:rPr>
          <w:w w:val="115"/>
        </w:rPr>
        <w:t>“pusieron de relieve el trabajo conjunto” que realizan los gobiernos de Chile y los Estados unidos “para</w:t>
      </w:r>
      <w:r>
        <w:rPr>
          <w:spacing w:val="-28"/>
          <w:w w:val="115"/>
        </w:rPr>
        <w:t> </w:t>
      </w:r>
      <w:r>
        <w:rPr>
          <w:w w:val="115"/>
        </w:rPr>
        <w:t>hacer</w:t>
      </w:r>
      <w:r>
        <w:rPr>
          <w:spacing w:val="-28"/>
          <w:w w:val="115"/>
        </w:rPr>
        <w:t> </w:t>
      </w:r>
      <w:r>
        <w:rPr>
          <w:w w:val="115"/>
        </w:rPr>
        <w:t>frente</w:t>
      </w:r>
      <w:r>
        <w:rPr>
          <w:spacing w:val="-28"/>
          <w:w w:val="115"/>
        </w:rPr>
        <w:t> </w:t>
      </w:r>
      <w:r>
        <w:rPr>
          <w:w w:val="115"/>
        </w:rPr>
        <w:t>a</w:t>
      </w:r>
      <w:r>
        <w:rPr>
          <w:spacing w:val="-28"/>
          <w:w w:val="115"/>
        </w:rPr>
        <w:t> </w:t>
      </w:r>
      <w:r>
        <w:rPr>
          <w:w w:val="115"/>
        </w:rPr>
        <w:t>las</w:t>
      </w:r>
      <w:r>
        <w:rPr>
          <w:spacing w:val="-28"/>
          <w:w w:val="115"/>
        </w:rPr>
        <w:t> </w:t>
      </w:r>
      <w:r>
        <w:rPr>
          <w:w w:val="115"/>
        </w:rPr>
        <w:t>amenazas</w:t>
      </w:r>
      <w:r>
        <w:rPr>
          <w:spacing w:val="-28"/>
          <w:w w:val="115"/>
        </w:rPr>
        <w:t> </w:t>
      </w:r>
      <w:r>
        <w:rPr>
          <w:w w:val="115"/>
        </w:rPr>
        <w:t>que</w:t>
      </w:r>
      <w:r>
        <w:rPr>
          <w:spacing w:val="-28"/>
          <w:w w:val="115"/>
        </w:rPr>
        <w:t> </w:t>
      </w:r>
      <w:r>
        <w:rPr>
          <w:w w:val="115"/>
        </w:rPr>
        <w:t>afectan</w:t>
      </w:r>
      <w:r>
        <w:rPr>
          <w:spacing w:val="-28"/>
          <w:w w:val="115"/>
        </w:rPr>
        <w:t> </w:t>
      </w:r>
      <w:r>
        <w:rPr>
          <w:w w:val="115"/>
        </w:rPr>
        <w:t>la</w:t>
      </w:r>
      <w:r>
        <w:rPr>
          <w:spacing w:val="-28"/>
          <w:w w:val="115"/>
        </w:rPr>
        <w:t> </w:t>
      </w:r>
      <w:r>
        <w:rPr>
          <w:w w:val="115"/>
        </w:rPr>
        <w:t>seguridad</w:t>
      </w:r>
      <w:r>
        <w:rPr>
          <w:spacing w:val="-28"/>
          <w:w w:val="115"/>
        </w:rPr>
        <w:t> </w:t>
      </w:r>
      <w:r>
        <w:rPr>
          <w:w w:val="115"/>
        </w:rPr>
        <w:t>internacio- nal,</w:t>
      </w:r>
      <w:r>
        <w:rPr>
          <w:spacing w:val="-8"/>
          <w:w w:val="115"/>
        </w:rPr>
        <w:t> </w:t>
      </w:r>
      <w:r>
        <w:rPr>
          <w:w w:val="115"/>
        </w:rPr>
        <w:t>tales</w:t>
      </w:r>
      <w:r>
        <w:rPr>
          <w:spacing w:val="-8"/>
          <w:w w:val="115"/>
        </w:rPr>
        <w:t> </w:t>
      </w:r>
      <w:r>
        <w:rPr>
          <w:w w:val="115"/>
        </w:rPr>
        <w:t>como</w:t>
      </w:r>
      <w:r>
        <w:rPr>
          <w:spacing w:val="-8"/>
          <w:w w:val="115"/>
        </w:rPr>
        <w:t> </w:t>
      </w:r>
      <w:r>
        <w:rPr>
          <w:w w:val="115"/>
        </w:rPr>
        <w:t>el</w:t>
      </w:r>
      <w:r>
        <w:rPr>
          <w:spacing w:val="-8"/>
          <w:w w:val="115"/>
        </w:rPr>
        <w:t> </w:t>
      </w:r>
      <w:r>
        <w:rPr>
          <w:w w:val="115"/>
        </w:rPr>
        <w:t>terrorismo,</w:t>
      </w:r>
      <w:r>
        <w:rPr>
          <w:spacing w:val="-8"/>
          <w:w w:val="115"/>
        </w:rPr>
        <w:t> </w:t>
      </w:r>
      <w:r>
        <w:rPr>
          <w:w w:val="115"/>
        </w:rPr>
        <w:t>el</w:t>
      </w:r>
      <w:r>
        <w:rPr>
          <w:spacing w:val="-8"/>
          <w:w w:val="115"/>
        </w:rPr>
        <w:t> </w:t>
      </w:r>
      <w:r>
        <w:rPr>
          <w:w w:val="115"/>
        </w:rPr>
        <w:t>crimen</w:t>
      </w:r>
      <w:r>
        <w:rPr>
          <w:spacing w:val="-8"/>
          <w:w w:val="115"/>
        </w:rPr>
        <w:t> </w:t>
      </w:r>
      <w:r>
        <w:rPr>
          <w:w w:val="115"/>
        </w:rPr>
        <w:t>transnacional</w:t>
      </w:r>
      <w:r>
        <w:rPr>
          <w:spacing w:val="-8"/>
          <w:w w:val="115"/>
        </w:rPr>
        <w:t> </w:t>
      </w:r>
      <w:r>
        <w:rPr>
          <w:w w:val="115"/>
        </w:rPr>
        <w:t>organizado,</w:t>
      </w:r>
      <w:r>
        <w:rPr>
          <w:spacing w:val="-8"/>
          <w:w w:val="115"/>
        </w:rPr>
        <w:t> </w:t>
      </w:r>
      <w:r>
        <w:rPr>
          <w:w w:val="115"/>
        </w:rPr>
        <w:t>el </w:t>
      </w:r>
      <w:r>
        <w:rPr>
          <w:w w:val="110"/>
        </w:rPr>
        <w:t>narcotráfico</w:t>
      </w:r>
      <w:r>
        <w:rPr>
          <w:spacing w:val="12"/>
        </w:rPr>
        <w:t> </w:t>
      </w:r>
      <w:r>
        <w:rPr>
          <w:w w:val="105"/>
        </w:rPr>
        <w:t>y</w:t>
      </w:r>
      <w:r>
        <w:rPr>
          <w:spacing w:val="12"/>
        </w:rPr>
        <w:t> </w:t>
      </w:r>
      <w:r>
        <w:rPr>
          <w:w w:val="111"/>
        </w:rPr>
        <w:t>la</w:t>
      </w:r>
      <w:r>
        <w:rPr>
          <w:spacing w:val="12"/>
        </w:rPr>
        <w:t> </w:t>
      </w:r>
      <w:r>
        <w:rPr>
          <w:w w:val="110"/>
        </w:rPr>
        <w:t>proliferación</w:t>
      </w:r>
      <w:r>
        <w:rPr>
          <w:spacing w:val="12"/>
        </w:rPr>
        <w:t> </w:t>
      </w:r>
      <w:r>
        <w:rPr>
          <w:w w:val="111"/>
        </w:rPr>
        <w:t>nuclea</w:t>
      </w:r>
      <w:r>
        <w:rPr>
          <w:spacing w:val="-22"/>
          <w:w w:val="105"/>
        </w:rPr>
        <w:t>r</w:t>
      </w:r>
      <w:r>
        <w:rPr>
          <w:w w:val="138"/>
        </w:rPr>
        <w:t>,</w:t>
      </w:r>
      <w:r>
        <w:rPr>
          <w:spacing w:val="12"/>
        </w:rPr>
        <w:t> </w:t>
      </w:r>
      <w:r>
        <w:rPr>
          <w:w w:val="106"/>
        </w:rPr>
        <w:t>entre</w:t>
      </w:r>
      <w:r>
        <w:rPr>
          <w:spacing w:val="12"/>
        </w:rPr>
        <w:t> </w:t>
      </w:r>
      <w:r>
        <w:rPr>
          <w:w w:val="109"/>
        </w:rPr>
        <w:t>otros”</w:t>
      </w:r>
      <w:r>
        <w:rPr>
          <w:spacing w:val="12"/>
        </w:rPr>
        <w:t> </w:t>
      </w:r>
      <w:r>
        <w:rPr>
          <w:w w:val="113"/>
        </w:rPr>
        <w:t>(M</w:t>
      </w:r>
      <w:r>
        <w:rPr>
          <w:w w:val="142"/>
        </w:rPr>
        <w:t>i</w:t>
      </w:r>
      <w:r>
        <w:rPr>
          <w:w w:val="119"/>
        </w:rPr>
        <w:t>N</w:t>
      </w:r>
      <w:r>
        <w:rPr>
          <w:w w:val="182"/>
        </w:rPr>
        <w:t>r</w:t>
      </w:r>
      <w:r>
        <w:rPr>
          <w:w w:val="128"/>
        </w:rPr>
        <w:t>E</w:t>
      </w:r>
      <w:r>
        <w:rPr>
          <w:w w:val="243"/>
        </w:rPr>
        <w:t>l</w:t>
      </w:r>
      <w:r>
        <w:rPr>
          <w:w w:val="138"/>
        </w:rPr>
        <w:t>,</w:t>
      </w:r>
      <w:r>
        <w:rPr>
          <w:spacing w:val="12"/>
        </w:rPr>
        <w:t> </w:t>
      </w:r>
      <w:r>
        <w:rPr>
          <w:w w:val="104"/>
        </w:rPr>
        <w:t>2013).</w:t>
      </w:r>
    </w:p>
    <w:p>
      <w:pPr>
        <w:pStyle w:val="BodyText"/>
        <w:spacing w:line="252" w:lineRule="auto"/>
        <w:ind w:left="330" w:right="117" w:firstLine="397"/>
        <w:jc w:val="right"/>
      </w:pPr>
      <w:r>
        <w:rPr>
          <w:spacing w:val="-4"/>
          <w:w w:val="110"/>
        </w:rPr>
        <w:t>todos  </w:t>
      </w:r>
      <w:r>
        <w:rPr>
          <w:w w:val="110"/>
        </w:rPr>
        <w:t>esos temas también estuvieron incluidos en la </w:t>
      </w:r>
      <w:r>
        <w:rPr>
          <w:spacing w:val="11"/>
          <w:w w:val="110"/>
        </w:rPr>
        <w:t> </w:t>
      </w:r>
      <w:r>
        <w:rPr>
          <w:w w:val="110"/>
        </w:rPr>
        <w:t>agenda</w:t>
      </w:r>
      <w:r>
        <w:rPr>
          <w:spacing w:val="29"/>
          <w:w w:val="110"/>
        </w:rPr>
        <w:t> </w:t>
      </w:r>
      <w:r>
        <w:rPr>
          <w:w w:val="110"/>
        </w:rPr>
        <w:t>de</w:t>
      </w:r>
      <w:r>
        <w:rPr>
          <w:w w:val="107"/>
        </w:rPr>
        <w:t> </w:t>
      </w:r>
      <w:r>
        <w:rPr>
          <w:w w:val="110"/>
        </w:rPr>
        <w:t>la</w:t>
      </w:r>
      <w:r>
        <w:rPr>
          <w:spacing w:val="14"/>
          <w:w w:val="110"/>
        </w:rPr>
        <w:t> </w:t>
      </w:r>
      <w:r>
        <w:rPr>
          <w:w w:val="110"/>
        </w:rPr>
        <w:t>visita</w:t>
      </w:r>
      <w:r>
        <w:rPr>
          <w:spacing w:val="14"/>
          <w:w w:val="110"/>
        </w:rPr>
        <w:t> </w:t>
      </w:r>
      <w:r>
        <w:rPr>
          <w:w w:val="110"/>
        </w:rPr>
        <w:t>que,</w:t>
      </w:r>
      <w:r>
        <w:rPr>
          <w:spacing w:val="14"/>
          <w:w w:val="110"/>
        </w:rPr>
        <w:t> </w:t>
      </w:r>
      <w:r>
        <w:rPr>
          <w:w w:val="110"/>
        </w:rPr>
        <w:t>días</w:t>
      </w:r>
      <w:r>
        <w:rPr>
          <w:spacing w:val="14"/>
          <w:w w:val="110"/>
        </w:rPr>
        <w:t> </w:t>
      </w:r>
      <w:r>
        <w:rPr>
          <w:w w:val="110"/>
        </w:rPr>
        <w:t>después,</w:t>
      </w:r>
      <w:r>
        <w:rPr>
          <w:spacing w:val="14"/>
          <w:w w:val="110"/>
        </w:rPr>
        <w:t> </w:t>
      </w:r>
      <w:r>
        <w:rPr>
          <w:w w:val="110"/>
        </w:rPr>
        <w:t>realizó</w:t>
      </w:r>
      <w:r>
        <w:rPr>
          <w:spacing w:val="14"/>
          <w:w w:val="110"/>
        </w:rPr>
        <w:t> </w:t>
      </w:r>
      <w:r>
        <w:rPr>
          <w:w w:val="110"/>
        </w:rPr>
        <w:t>a</w:t>
      </w:r>
      <w:r>
        <w:rPr>
          <w:spacing w:val="14"/>
          <w:w w:val="110"/>
        </w:rPr>
        <w:t> </w:t>
      </w:r>
      <w:r>
        <w:rPr>
          <w:w w:val="110"/>
        </w:rPr>
        <w:t>los</w:t>
      </w:r>
      <w:r>
        <w:rPr>
          <w:spacing w:val="14"/>
          <w:w w:val="110"/>
        </w:rPr>
        <w:t> </w:t>
      </w:r>
      <w:r>
        <w:rPr>
          <w:w w:val="110"/>
        </w:rPr>
        <w:t>Estados</w:t>
      </w:r>
      <w:r>
        <w:rPr>
          <w:spacing w:val="14"/>
          <w:w w:val="110"/>
        </w:rPr>
        <w:t> </w:t>
      </w:r>
      <w:r>
        <w:rPr>
          <w:w w:val="110"/>
        </w:rPr>
        <w:t>unidos</w:t>
      </w:r>
      <w:r>
        <w:rPr>
          <w:spacing w:val="14"/>
          <w:w w:val="110"/>
        </w:rPr>
        <w:t> </w:t>
      </w:r>
      <w:r>
        <w:rPr>
          <w:w w:val="110"/>
        </w:rPr>
        <w:t>el</w:t>
      </w:r>
      <w:r>
        <w:rPr>
          <w:spacing w:val="14"/>
          <w:w w:val="110"/>
        </w:rPr>
        <w:t> </w:t>
      </w:r>
      <w:r>
        <w:rPr>
          <w:w w:val="110"/>
        </w:rPr>
        <w:t>actual</w:t>
      </w:r>
      <w:r>
        <w:rPr>
          <w:spacing w:val="14"/>
          <w:w w:val="110"/>
        </w:rPr>
        <w:t> </w:t>
      </w:r>
      <w:r>
        <w:rPr>
          <w:w w:val="110"/>
        </w:rPr>
        <w:t>pre-</w:t>
      </w:r>
      <w:r>
        <w:rPr>
          <w:w w:val="102"/>
        </w:rPr>
        <w:t> </w:t>
      </w:r>
      <w:r>
        <w:rPr>
          <w:w w:val="110"/>
        </w:rPr>
        <w:t>sidente peruano ollanta Humala. En esa ocasión,</w:t>
      </w:r>
      <w:r>
        <w:rPr>
          <w:spacing w:val="2"/>
          <w:w w:val="110"/>
        </w:rPr>
        <w:t> </w:t>
      </w:r>
      <w:r>
        <w:rPr>
          <w:w w:val="110"/>
        </w:rPr>
        <w:t>ambos gobiernos</w:t>
      </w:r>
      <w:r>
        <w:rPr>
          <w:w w:val="109"/>
        </w:rPr>
        <w:t> </w:t>
      </w:r>
      <w:r>
        <w:rPr>
          <w:w w:val="110"/>
        </w:rPr>
        <w:t>acordaron</w:t>
      </w:r>
      <w:r>
        <w:rPr>
          <w:spacing w:val="36"/>
          <w:w w:val="110"/>
        </w:rPr>
        <w:t> </w:t>
      </w:r>
      <w:r>
        <w:rPr>
          <w:w w:val="110"/>
        </w:rPr>
        <w:t>diversas</w:t>
      </w:r>
      <w:r>
        <w:rPr>
          <w:spacing w:val="36"/>
          <w:w w:val="110"/>
        </w:rPr>
        <w:t> </w:t>
      </w:r>
      <w:r>
        <w:rPr>
          <w:w w:val="110"/>
        </w:rPr>
        <w:t>acciones</w:t>
      </w:r>
      <w:r>
        <w:rPr>
          <w:spacing w:val="36"/>
          <w:w w:val="110"/>
        </w:rPr>
        <w:t> </w:t>
      </w:r>
      <w:r>
        <w:rPr>
          <w:w w:val="110"/>
        </w:rPr>
        <w:t>dirigidas</w:t>
      </w:r>
      <w:r>
        <w:rPr>
          <w:spacing w:val="36"/>
          <w:w w:val="110"/>
        </w:rPr>
        <w:t> </w:t>
      </w:r>
      <w:r>
        <w:rPr>
          <w:w w:val="110"/>
        </w:rPr>
        <w:t>a</w:t>
      </w:r>
      <w:r>
        <w:rPr>
          <w:spacing w:val="36"/>
          <w:w w:val="110"/>
        </w:rPr>
        <w:t> </w:t>
      </w:r>
      <w:r>
        <w:rPr>
          <w:w w:val="110"/>
        </w:rPr>
        <w:t>consolidar</w:t>
      </w:r>
      <w:r>
        <w:rPr>
          <w:spacing w:val="36"/>
          <w:w w:val="110"/>
        </w:rPr>
        <w:t> </w:t>
      </w:r>
      <w:r>
        <w:rPr>
          <w:w w:val="110"/>
        </w:rPr>
        <w:t>una</w:t>
      </w:r>
      <w:r>
        <w:rPr>
          <w:spacing w:val="36"/>
          <w:w w:val="110"/>
        </w:rPr>
        <w:t> </w:t>
      </w:r>
      <w:r>
        <w:rPr>
          <w:w w:val="110"/>
        </w:rPr>
        <w:t>“alianza</w:t>
      </w:r>
      <w:r>
        <w:rPr>
          <w:spacing w:val="36"/>
          <w:w w:val="110"/>
        </w:rPr>
        <w:t> </w:t>
      </w:r>
      <w:r>
        <w:rPr>
          <w:w w:val="110"/>
        </w:rPr>
        <w:t>es-</w:t>
      </w:r>
      <w:r>
        <w:rPr>
          <w:w w:val="102"/>
        </w:rPr>
        <w:t> </w:t>
      </w:r>
      <w:r>
        <w:rPr>
          <w:w w:val="110"/>
        </w:rPr>
        <w:t>tratégica para el siglo </w:t>
      </w:r>
      <w:r>
        <w:rPr>
          <w:w w:val="120"/>
        </w:rPr>
        <w:t>xxi” </w:t>
      </w:r>
      <w:r>
        <w:rPr>
          <w:w w:val="110"/>
        </w:rPr>
        <w:t>que optimice “aun más la</w:t>
      </w:r>
      <w:r>
        <w:rPr>
          <w:spacing w:val="-16"/>
          <w:w w:val="110"/>
        </w:rPr>
        <w:t> </w:t>
      </w:r>
      <w:r>
        <w:rPr>
          <w:w w:val="110"/>
        </w:rPr>
        <w:t>seguridad,</w:t>
      </w:r>
      <w:r>
        <w:rPr>
          <w:spacing w:val="40"/>
          <w:w w:val="110"/>
        </w:rPr>
        <w:t> </w:t>
      </w:r>
      <w:r>
        <w:rPr>
          <w:w w:val="110"/>
        </w:rPr>
        <w:t>la</w:t>
      </w:r>
      <w:r>
        <w:rPr>
          <w:w w:val="111"/>
        </w:rPr>
        <w:t> </w:t>
      </w:r>
      <w:r>
        <w:rPr>
          <w:w w:val="110"/>
        </w:rPr>
        <w:t>prosperidad y el desarrollo en el hemisferio”. </w:t>
      </w:r>
      <w:r>
        <w:rPr>
          <w:spacing w:val="-3"/>
          <w:w w:val="110"/>
        </w:rPr>
        <w:t>también</w:t>
      </w:r>
      <w:r>
        <w:rPr>
          <w:spacing w:val="19"/>
          <w:w w:val="110"/>
        </w:rPr>
        <w:t> </w:t>
      </w:r>
      <w:r>
        <w:rPr>
          <w:w w:val="110"/>
        </w:rPr>
        <w:t>acordaron</w:t>
      </w:r>
      <w:r>
        <w:rPr>
          <w:spacing w:val="7"/>
          <w:w w:val="110"/>
        </w:rPr>
        <w:t> </w:t>
      </w:r>
      <w:r>
        <w:rPr>
          <w:w w:val="110"/>
        </w:rPr>
        <w:t>“de-</w:t>
      </w:r>
      <w:r>
        <w:rPr>
          <w:w w:val="102"/>
        </w:rPr>
        <w:t> </w:t>
      </w:r>
      <w:r>
        <w:rPr>
          <w:w w:val="110"/>
        </w:rPr>
        <w:t>sarrollar</w:t>
      </w:r>
      <w:r>
        <w:rPr>
          <w:spacing w:val="23"/>
          <w:w w:val="110"/>
        </w:rPr>
        <w:t> </w:t>
      </w:r>
      <w:r>
        <w:rPr>
          <w:w w:val="110"/>
        </w:rPr>
        <w:t>lazos</w:t>
      </w:r>
      <w:r>
        <w:rPr>
          <w:spacing w:val="23"/>
          <w:w w:val="110"/>
        </w:rPr>
        <w:t> </w:t>
      </w:r>
      <w:r>
        <w:rPr>
          <w:w w:val="110"/>
        </w:rPr>
        <w:t>más</w:t>
      </w:r>
      <w:r>
        <w:rPr>
          <w:spacing w:val="23"/>
          <w:w w:val="110"/>
        </w:rPr>
        <w:t> </w:t>
      </w:r>
      <w:r>
        <w:rPr>
          <w:w w:val="110"/>
        </w:rPr>
        <w:t>estrechos</w:t>
      </w:r>
      <w:r>
        <w:rPr>
          <w:spacing w:val="23"/>
          <w:w w:val="110"/>
        </w:rPr>
        <w:t> </w:t>
      </w:r>
      <w:r>
        <w:rPr>
          <w:w w:val="110"/>
        </w:rPr>
        <w:t>de</w:t>
      </w:r>
      <w:r>
        <w:rPr>
          <w:spacing w:val="23"/>
          <w:w w:val="110"/>
        </w:rPr>
        <w:t> </w:t>
      </w:r>
      <w:r>
        <w:rPr>
          <w:w w:val="110"/>
        </w:rPr>
        <w:t>defensa</w:t>
      </w:r>
      <w:r>
        <w:rPr>
          <w:spacing w:val="23"/>
          <w:w w:val="110"/>
        </w:rPr>
        <w:t> </w:t>
      </w:r>
      <w:r>
        <w:rPr>
          <w:w w:val="110"/>
        </w:rPr>
        <w:t>bilateral”.</w:t>
      </w:r>
      <w:r>
        <w:rPr>
          <w:spacing w:val="23"/>
          <w:w w:val="110"/>
        </w:rPr>
        <w:t> </w:t>
      </w:r>
      <w:r>
        <w:rPr>
          <w:w w:val="120"/>
        </w:rPr>
        <w:t>a</w:t>
      </w:r>
      <w:r>
        <w:rPr>
          <w:spacing w:val="18"/>
          <w:w w:val="120"/>
        </w:rPr>
        <w:t> </w:t>
      </w:r>
      <w:r>
        <w:rPr>
          <w:w w:val="110"/>
        </w:rPr>
        <w:t>su</w:t>
      </w:r>
      <w:r>
        <w:rPr>
          <w:spacing w:val="23"/>
          <w:w w:val="110"/>
        </w:rPr>
        <w:t> </w:t>
      </w:r>
      <w:r>
        <w:rPr>
          <w:w w:val="110"/>
        </w:rPr>
        <w:t>vez,</w:t>
      </w:r>
      <w:r>
        <w:rPr>
          <w:spacing w:val="23"/>
          <w:w w:val="110"/>
        </w:rPr>
        <w:t> </w:t>
      </w:r>
      <w:r>
        <w:rPr>
          <w:w w:val="110"/>
        </w:rPr>
        <w:t>consig-</w:t>
      </w:r>
      <w:r>
        <w:rPr>
          <w:w w:val="102"/>
        </w:rPr>
        <w:t> </w:t>
      </w:r>
      <w:r>
        <w:rPr>
          <w:w w:val="110"/>
        </w:rPr>
        <w:t>naron “el progreso logrado en las negociaciones a favor de </w:t>
      </w:r>
      <w:r>
        <w:rPr>
          <w:spacing w:val="11"/>
          <w:w w:val="110"/>
        </w:rPr>
        <w:t> </w:t>
      </w:r>
      <w:r>
        <w:rPr>
          <w:w w:val="110"/>
        </w:rPr>
        <w:t>un</w:t>
      </w:r>
      <w:r>
        <w:rPr>
          <w:spacing w:val="15"/>
          <w:w w:val="110"/>
        </w:rPr>
        <w:t> </w:t>
      </w:r>
      <w:r>
        <w:rPr>
          <w:w w:val="110"/>
        </w:rPr>
        <w:t>nuevo</w:t>
      </w:r>
      <w:r>
        <w:rPr>
          <w:w w:val="108"/>
        </w:rPr>
        <w:t> </w:t>
      </w:r>
      <w:r>
        <w:rPr>
          <w:w w:val="110"/>
        </w:rPr>
        <w:t>y</w:t>
      </w:r>
      <w:r>
        <w:rPr>
          <w:spacing w:val="21"/>
          <w:w w:val="110"/>
        </w:rPr>
        <w:t> </w:t>
      </w:r>
      <w:r>
        <w:rPr>
          <w:w w:val="110"/>
        </w:rPr>
        <w:t>robusto</w:t>
      </w:r>
      <w:r>
        <w:rPr>
          <w:spacing w:val="21"/>
          <w:w w:val="110"/>
        </w:rPr>
        <w:t> </w:t>
      </w:r>
      <w:r>
        <w:rPr>
          <w:w w:val="110"/>
        </w:rPr>
        <w:t>acuerdo</w:t>
      </w:r>
      <w:r>
        <w:rPr>
          <w:spacing w:val="21"/>
          <w:w w:val="110"/>
        </w:rPr>
        <w:t> </w:t>
      </w:r>
      <w:r>
        <w:rPr>
          <w:w w:val="110"/>
        </w:rPr>
        <w:t>de</w:t>
      </w:r>
      <w:r>
        <w:rPr>
          <w:spacing w:val="21"/>
          <w:w w:val="110"/>
        </w:rPr>
        <w:t> </w:t>
      </w:r>
      <w:r>
        <w:rPr>
          <w:w w:val="110"/>
        </w:rPr>
        <w:t>Cooperación</w:t>
      </w:r>
      <w:r>
        <w:rPr>
          <w:spacing w:val="21"/>
          <w:w w:val="110"/>
        </w:rPr>
        <w:t> </w:t>
      </w:r>
      <w:r>
        <w:rPr>
          <w:w w:val="110"/>
        </w:rPr>
        <w:t>para</w:t>
      </w:r>
      <w:r>
        <w:rPr>
          <w:spacing w:val="21"/>
          <w:w w:val="110"/>
        </w:rPr>
        <w:t> </w:t>
      </w:r>
      <w:r>
        <w:rPr>
          <w:w w:val="110"/>
        </w:rPr>
        <w:t>la</w:t>
      </w:r>
      <w:r>
        <w:rPr>
          <w:spacing w:val="21"/>
          <w:w w:val="110"/>
        </w:rPr>
        <w:t> </w:t>
      </w:r>
      <w:r>
        <w:rPr>
          <w:w w:val="110"/>
        </w:rPr>
        <w:t>defensa</w:t>
      </w:r>
      <w:r>
        <w:rPr>
          <w:spacing w:val="21"/>
          <w:w w:val="110"/>
        </w:rPr>
        <w:t> </w:t>
      </w:r>
      <w:r>
        <w:rPr>
          <w:w w:val="110"/>
        </w:rPr>
        <w:t>entre</w:t>
      </w:r>
      <w:r>
        <w:rPr>
          <w:spacing w:val="21"/>
          <w:w w:val="110"/>
        </w:rPr>
        <w:t> </w:t>
      </w:r>
      <w:r>
        <w:rPr>
          <w:w w:val="110"/>
        </w:rPr>
        <w:t>los</w:t>
      </w:r>
      <w:r>
        <w:rPr>
          <w:spacing w:val="21"/>
          <w:w w:val="110"/>
        </w:rPr>
        <w:t> </w:t>
      </w:r>
      <w:r>
        <w:rPr>
          <w:w w:val="110"/>
        </w:rPr>
        <w:t>Estados</w:t>
      </w:r>
      <w:r>
        <w:rPr>
          <w:w w:val="111"/>
        </w:rPr>
        <w:t> </w:t>
      </w:r>
      <w:r>
        <w:rPr>
          <w:w w:val="110"/>
        </w:rPr>
        <w:t>unidos</w:t>
      </w:r>
      <w:r>
        <w:rPr>
          <w:spacing w:val="19"/>
          <w:w w:val="110"/>
        </w:rPr>
        <w:t> </w:t>
      </w:r>
      <w:r>
        <w:rPr>
          <w:w w:val="110"/>
        </w:rPr>
        <w:t>y</w:t>
      </w:r>
      <w:r>
        <w:rPr>
          <w:spacing w:val="19"/>
          <w:w w:val="110"/>
        </w:rPr>
        <w:t> </w:t>
      </w:r>
      <w:r>
        <w:rPr>
          <w:w w:val="110"/>
        </w:rPr>
        <w:t>Perú</w:t>
      </w:r>
      <w:r>
        <w:rPr>
          <w:spacing w:val="19"/>
          <w:w w:val="110"/>
        </w:rPr>
        <w:t> </w:t>
      </w:r>
      <w:r>
        <w:rPr>
          <w:w w:val="110"/>
        </w:rPr>
        <w:t>que</w:t>
      </w:r>
      <w:r>
        <w:rPr>
          <w:spacing w:val="19"/>
          <w:w w:val="110"/>
        </w:rPr>
        <w:t> </w:t>
      </w:r>
      <w:r>
        <w:rPr>
          <w:w w:val="110"/>
        </w:rPr>
        <w:t>tiene</w:t>
      </w:r>
      <w:r>
        <w:rPr>
          <w:spacing w:val="19"/>
          <w:w w:val="110"/>
        </w:rPr>
        <w:t> </w:t>
      </w:r>
      <w:r>
        <w:rPr>
          <w:w w:val="110"/>
        </w:rPr>
        <w:t>el</w:t>
      </w:r>
      <w:r>
        <w:rPr>
          <w:spacing w:val="19"/>
          <w:w w:val="110"/>
        </w:rPr>
        <w:t> </w:t>
      </w:r>
      <w:r>
        <w:rPr>
          <w:w w:val="110"/>
        </w:rPr>
        <w:t>propósito</w:t>
      </w:r>
      <w:r>
        <w:rPr>
          <w:spacing w:val="19"/>
          <w:w w:val="110"/>
        </w:rPr>
        <w:t> </w:t>
      </w:r>
      <w:r>
        <w:rPr>
          <w:w w:val="110"/>
        </w:rPr>
        <w:t>de</w:t>
      </w:r>
      <w:r>
        <w:rPr>
          <w:spacing w:val="19"/>
          <w:w w:val="110"/>
        </w:rPr>
        <w:t> </w:t>
      </w:r>
      <w:r>
        <w:rPr>
          <w:w w:val="110"/>
        </w:rPr>
        <w:t>hacerles</w:t>
      </w:r>
      <w:r>
        <w:rPr>
          <w:spacing w:val="19"/>
          <w:w w:val="110"/>
        </w:rPr>
        <w:t> </w:t>
      </w:r>
      <w:r>
        <w:rPr>
          <w:w w:val="110"/>
        </w:rPr>
        <w:t>frente</w:t>
      </w:r>
      <w:r>
        <w:rPr>
          <w:spacing w:val="19"/>
          <w:w w:val="110"/>
        </w:rPr>
        <w:t> </w:t>
      </w:r>
      <w:r>
        <w:rPr>
          <w:w w:val="110"/>
        </w:rPr>
        <w:t>a</w:t>
      </w:r>
      <w:r>
        <w:rPr>
          <w:spacing w:val="19"/>
          <w:w w:val="110"/>
        </w:rPr>
        <w:t> </w:t>
      </w:r>
      <w:r>
        <w:rPr>
          <w:w w:val="110"/>
        </w:rPr>
        <w:t>los</w:t>
      </w:r>
      <w:r>
        <w:rPr>
          <w:spacing w:val="19"/>
          <w:w w:val="110"/>
        </w:rPr>
        <w:t> </w:t>
      </w:r>
      <w:r>
        <w:rPr>
          <w:w w:val="110"/>
        </w:rPr>
        <w:t>retos</w:t>
      </w:r>
      <w:r>
        <w:rPr>
          <w:spacing w:val="19"/>
          <w:w w:val="110"/>
        </w:rPr>
        <w:t> </w:t>
      </w:r>
      <w:r>
        <w:rPr>
          <w:w w:val="110"/>
        </w:rPr>
        <w:t>y</w:t>
      </w:r>
      <w:r>
        <w:rPr>
          <w:w w:val="105"/>
        </w:rPr>
        <w:t> </w:t>
      </w:r>
      <w:r>
        <w:rPr>
          <w:w w:val="110"/>
        </w:rPr>
        <w:t>amenazas de seguridad compartidos tales como el narcotráfico,</w:t>
      </w:r>
      <w:r>
        <w:rPr>
          <w:spacing w:val="36"/>
          <w:w w:val="110"/>
        </w:rPr>
        <w:t> </w:t>
      </w:r>
      <w:r>
        <w:rPr>
          <w:w w:val="110"/>
        </w:rPr>
        <w:t>el</w:t>
      </w:r>
      <w:r>
        <w:rPr>
          <w:spacing w:val="10"/>
          <w:w w:val="110"/>
        </w:rPr>
        <w:t> </w:t>
      </w:r>
      <w:r>
        <w:rPr>
          <w:w w:val="110"/>
        </w:rPr>
        <w:t>te-</w:t>
      </w:r>
      <w:r>
        <w:rPr>
          <w:w w:val="102"/>
        </w:rPr>
        <w:t> </w:t>
      </w:r>
      <w:r>
        <w:rPr>
          <w:w w:val="110"/>
        </w:rPr>
        <w:t>rrorismo, la proliferación [nuclear] y las catástrofes naturales”.</w:t>
      </w:r>
      <w:r>
        <w:rPr>
          <w:spacing w:val="1"/>
          <w:w w:val="110"/>
        </w:rPr>
        <w:t> </w:t>
      </w:r>
      <w:r>
        <w:rPr>
          <w:spacing w:val="-13"/>
          <w:w w:val="110"/>
        </w:rPr>
        <w:t>Y,</w:t>
      </w:r>
      <w:r>
        <w:rPr>
          <w:spacing w:val="5"/>
          <w:w w:val="110"/>
        </w:rPr>
        <w:t> </w:t>
      </w:r>
      <w:r>
        <w:rPr>
          <w:w w:val="110"/>
        </w:rPr>
        <w:t>lue-</w:t>
      </w:r>
      <w:r>
        <w:rPr>
          <w:w w:val="102"/>
        </w:rPr>
        <w:t> </w:t>
      </w:r>
      <w:r>
        <w:rPr>
          <w:w w:val="110"/>
        </w:rPr>
        <w:t>go de elogiar los rápidos avances que había obtenido la alianza</w:t>
      </w:r>
      <w:r>
        <w:rPr>
          <w:spacing w:val="-3"/>
          <w:w w:val="110"/>
        </w:rPr>
        <w:t> </w:t>
      </w:r>
      <w:r>
        <w:rPr>
          <w:w w:val="110"/>
        </w:rPr>
        <w:t>para</w:t>
      </w:r>
      <w:r>
        <w:rPr>
          <w:spacing w:val="-1"/>
          <w:w w:val="110"/>
        </w:rPr>
        <w:t> </w:t>
      </w:r>
      <w:r>
        <w:rPr>
          <w:w w:val="110"/>
        </w:rPr>
        <w:t>el</w:t>
      </w:r>
      <w:r>
        <w:rPr>
          <w:w w:val="107"/>
        </w:rPr>
        <w:t> </w:t>
      </w:r>
      <w:r>
        <w:rPr>
          <w:w w:val="110"/>
        </w:rPr>
        <w:t>Pacífico “reafirmaron su compromiso compartido” de concluir</w:t>
      </w:r>
      <w:r>
        <w:rPr>
          <w:spacing w:val="21"/>
          <w:w w:val="110"/>
        </w:rPr>
        <w:t> </w:t>
      </w:r>
      <w:r>
        <w:rPr>
          <w:w w:val="110"/>
        </w:rPr>
        <w:t>las</w:t>
      </w:r>
      <w:r>
        <w:rPr>
          <w:spacing w:val="9"/>
          <w:w w:val="110"/>
        </w:rPr>
        <w:t> </w:t>
      </w:r>
      <w:r>
        <w:rPr>
          <w:w w:val="110"/>
        </w:rPr>
        <w:t>ne-</w:t>
      </w:r>
      <w:r>
        <w:rPr>
          <w:w w:val="102"/>
        </w:rPr>
        <w:t> </w:t>
      </w:r>
      <w:r>
        <w:rPr>
          <w:w w:val="110"/>
        </w:rPr>
        <w:t>gociaciones para institucionalizar el </w:t>
      </w:r>
      <w:r>
        <w:rPr>
          <w:w w:val="120"/>
        </w:rPr>
        <w:t>tPP </w:t>
      </w:r>
      <w:r>
        <w:rPr>
          <w:w w:val="110"/>
        </w:rPr>
        <w:t>que, desde 2010,</w:t>
      </w:r>
      <w:r>
        <w:rPr>
          <w:spacing w:val="23"/>
          <w:w w:val="110"/>
        </w:rPr>
        <w:t> </w:t>
      </w:r>
      <w:r>
        <w:rPr>
          <w:w w:val="110"/>
        </w:rPr>
        <w:t>ha</w:t>
      </w:r>
      <w:r>
        <w:rPr>
          <w:spacing w:val="20"/>
          <w:w w:val="110"/>
        </w:rPr>
        <w:t> </w:t>
      </w:r>
      <w:r>
        <w:rPr>
          <w:w w:val="110"/>
        </w:rPr>
        <w:t>venido</w:t>
      </w:r>
      <w:r>
        <w:rPr>
          <w:w w:val="108"/>
        </w:rPr>
        <w:t> </w:t>
      </w:r>
      <w:r>
        <w:rPr>
          <w:w w:val="110"/>
        </w:rPr>
        <w:t>impulsando la administración de barack obama (</w:t>
      </w:r>
      <w:r>
        <w:rPr>
          <w:i/>
          <w:w w:val="110"/>
        </w:rPr>
        <w:t>US</w:t>
      </w:r>
      <w:r>
        <w:rPr>
          <w:i/>
          <w:spacing w:val="6"/>
          <w:w w:val="110"/>
        </w:rPr>
        <w:t> </w:t>
      </w:r>
      <w:r>
        <w:rPr>
          <w:i/>
          <w:w w:val="110"/>
        </w:rPr>
        <w:t>Embassy</w:t>
      </w:r>
      <w:r>
        <w:rPr>
          <w:w w:val="110"/>
        </w:rPr>
        <w:t>,</w:t>
      </w:r>
      <w:r>
        <w:rPr>
          <w:spacing w:val="20"/>
          <w:w w:val="110"/>
        </w:rPr>
        <w:t> </w:t>
      </w:r>
      <w:r>
        <w:rPr>
          <w:w w:val="110"/>
        </w:rPr>
        <w:t>2013).</w:t>
      </w:r>
      <w:r>
        <w:rPr>
          <w:w w:val="104"/>
        </w:rPr>
        <w:t> </w:t>
      </w:r>
      <w:r>
        <w:rPr>
          <w:w w:val="110"/>
        </w:rPr>
        <w:t>ambos temas también estuvieron presentes en las</w:t>
      </w:r>
      <w:r>
        <w:rPr>
          <w:spacing w:val="21"/>
          <w:w w:val="110"/>
        </w:rPr>
        <w:t> </w:t>
      </w:r>
      <w:r>
        <w:rPr>
          <w:w w:val="110"/>
        </w:rPr>
        <w:t>reuniones</w:t>
      </w:r>
      <w:r>
        <w:rPr>
          <w:spacing w:val="3"/>
          <w:w w:val="110"/>
        </w:rPr>
        <w:t> </w:t>
      </w:r>
      <w:r>
        <w:rPr>
          <w:w w:val="110"/>
        </w:rPr>
        <w:t>que</w:t>
      </w:r>
      <w:r>
        <w:rPr>
          <w:w w:val="108"/>
        </w:rPr>
        <w:t> </w:t>
      </w:r>
      <w:r>
        <w:rPr>
          <w:w w:val="110"/>
        </w:rPr>
        <w:t>sostuvo el vicepresidente Joe biden con los actuales</w:t>
      </w:r>
      <w:r>
        <w:rPr>
          <w:spacing w:val="9"/>
          <w:w w:val="110"/>
        </w:rPr>
        <w:t> </w:t>
      </w:r>
      <w:r>
        <w:rPr>
          <w:w w:val="110"/>
        </w:rPr>
        <w:t>mandatarios</w:t>
      </w:r>
      <w:r>
        <w:rPr>
          <w:spacing w:val="18"/>
          <w:w w:val="110"/>
        </w:rPr>
        <w:t> </w:t>
      </w:r>
      <w:r>
        <w:rPr>
          <w:w w:val="110"/>
        </w:rPr>
        <w:t>de</w:t>
      </w:r>
      <w:r>
        <w:rPr>
          <w:w w:val="107"/>
        </w:rPr>
        <w:t> </w:t>
      </w:r>
      <w:r>
        <w:rPr>
          <w:w w:val="110"/>
        </w:rPr>
        <w:t>Chile,</w:t>
      </w:r>
      <w:r>
        <w:rPr>
          <w:spacing w:val="29"/>
          <w:w w:val="110"/>
        </w:rPr>
        <w:t> </w:t>
      </w:r>
      <w:r>
        <w:rPr>
          <w:w w:val="110"/>
        </w:rPr>
        <w:t>Colombia,</w:t>
      </w:r>
      <w:r>
        <w:rPr>
          <w:spacing w:val="29"/>
          <w:w w:val="110"/>
        </w:rPr>
        <w:t> </w:t>
      </w:r>
      <w:r>
        <w:rPr>
          <w:w w:val="110"/>
        </w:rPr>
        <w:t>México</w:t>
      </w:r>
      <w:r>
        <w:rPr>
          <w:spacing w:val="29"/>
          <w:w w:val="110"/>
        </w:rPr>
        <w:t> </w:t>
      </w:r>
      <w:r>
        <w:rPr>
          <w:w w:val="110"/>
        </w:rPr>
        <w:t>y</w:t>
      </w:r>
      <w:r>
        <w:rPr>
          <w:spacing w:val="29"/>
          <w:w w:val="110"/>
        </w:rPr>
        <w:t> </w:t>
      </w:r>
      <w:r>
        <w:rPr>
          <w:w w:val="110"/>
        </w:rPr>
        <w:t>Perú</w:t>
      </w:r>
      <w:r>
        <w:rPr>
          <w:spacing w:val="29"/>
          <w:w w:val="110"/>
        </w:rPr>
        <w:t> </w:t>
      </w:r>
      <w:r>
        <w:rPr>
          <w:w w:val="110"/>
        </w:rPr>
        <w:t>durante</w:t>
      </w:r>
      <w:r>
        <w:rPr>
          <w:spacing w:val="29"/>
          <w:w w:val="110"/>
        </w:rPr>
        <w:t> </w:t>
      </w:r>
      <w:r>
        <w:rPr>
          <w:w w:val="110"/>
        </w:rPr>
        <w:t>los</w:t>
      </w:r>
      <w:r>
        <w:rPr>
          <w:spacing w:val="29"/>
          <w:w w:val="110"/>
        </w:rPr>
        <w:t> </w:t>
      </w:r>
      <w:r>
        <w:rPr>
          <w:w w:val="110"/>
        </w:rPr>
        <w:t>actos</w:t>
      </w:r>
      <w:r>
        <w:rPr>
          <w:spacing w:val="29"/>
          <w:w w:val="110"/>
        </w:rPr>
        <w:t> </w:t>
      </w:r>
      <w:r>
        <w:rPr>
          <w:w w:val="110"/>
        </w:rPr>
        <w:t>de</w:t>
      </w:r>
      <w:r>
        <w:rPr>
          <w:spacing w:val="29"/>
          <w:w w:val="110"/>
        </w:rPr>
        <w:t> </w:t>
      </w:r>
      <w:r>
        <w:rPr>
          <w:w w:val="110"/>
        </w:rPr>
        <w:t>toma</w:t>
      </w:r>
      <w:r>
        <w:rPr>
          <w:spacing w:val="29"/>
          <w:w w:val="110"/>
        </w:rPr>
        <w:t> </w:t>
      </w:r>
      <w:r>
        <w:rPr>
          <w:w w:val="110"/>
        </w:rPr>
        <w:t>de</w:t>
      </w:r>
      <w:r>
        <w:rPr>
          <w:spacing w:val="29"/>
          <w:w w:val="110"/>
        </w:rPr>
        <w:t> </w:t>
      </w:r>
      <w:r>
        <w:rPr>
          <w:w w:val="110"/>
        </w:rPr>
        <w:t>pose-</w:t>
      </w:r>
      <w:r>
        <w:rPr>
          <w:w w:val="102"/>
        </w:rPr>
        <w:t> </w:t>
      </w:r>
      <w:r>
        <w:rPr>
          <w:w w:val="110"/>
        </w:rPr>
        <w:t>sión de Michelle bachelet, el 11 de marzo de 2014. En todas</w:t>
      </w:r>
      <w:r>
        <w:rPr>
          <w:spacing w:val="13"/>
          <w:w w:val="110"/>
        </w:rPr>
        <w:t> </w:t>
      </w:r>
      <w:r>
        <w:rPr>
          <w:w w:val="110"/>
        </w:rPr>
        <w:t>esas</w:t>
      </w:r>
      <w:r>
        <w:rPr>
          <w:spacing w:val="4"/>
          <w:w w:val="110"/>
        </w:rPr>
        <w:t> </w:t>
      </w:r>
      <w:r>
        <w:rPr>
          <w:w w:val="110"/>
        </w:rPr>
        <w:t>reu-</w:t>
      </w:r>
      <w:r>
        <w:rPr>
          <w:w w:val="102"/>
        </w:rPr>
        <w:t> </w:t>
      </w:r>
      <w:r>
        <w:rPr>
          <w:w w:val="110"/>
        </w:rPr>
        <w:t>niones se abordaron, entre otros temas, el estado actual de</w:t>
      </w:r>
      <w:r>
        <w:rPr>
          <w:spacing w:val="17"/>
          <w:w w:val="110"/>
        </w:rPr>
        <w:t> </w:t>
      </w:r>
      <w:r>
        <w:rPr>
          <w:w w:val="110"/>
        </w:rPr>
        <w:t>las</w:t>
      </w:r>
      <w:r>
        <w:rPr>
          <w:spacing w:val="10"/>
          <w:w w:val="110"/>
        </w:rPr>
        <w:t> </w:t>
      </w:r>
      <w:r>
        <w:rPr>
          <w:w w:val="110"/>
        </w:rPr>
        <w:t>nego-</w:t>
      </w:r>
      <w:r>
        <w:rPr>
          <w:w w:val="102"/>
        </w:rPr>
        <w:t> </w:t>
      </w:r>
      <w:r>
        <w:rPr>
          <w:w w:val="110"/>
        </w:rPr>
        <w:t>ciaciones del </w:t>
      </w:r>
      <w:r>
        <w:rPr>
          <w:w w:val="120"/>
        </w:rPr>
        <w:t>tPP </w:t>
      </w:r>
      <w:r>
        <w:rPr>
          <w:w w:val="110"/>
        </w:rPr>
        <w:t>y “los avances que ha venido obteniendo</w:t>
      </w:r>
      <w:r>
        <w:rPr>
          <w:spacing w:val="16"/>
          <w:w w:val="110"/>
        </w:rPr>
        <w:t> </w:t>
      </w:r>
      <w:r>
        <w:rPr>
          <w:w w:val="110"/>
        </w:rPr>
        <w:t>la</w:t>
      </w:r>
      <w:r>
        <w:rPr>
          <w:spacing w:val="11"/>
          <w:w w:val="110"/>
        </w:rPr>
        <w:t> </w:t>
      </w:r>
      <w:r>
        <w:rPr>
          <w:w w:val="110"/>
        </w:rPr>
        <w:t>alianza</w:t>
      </w:r>
      <w:r>
        <w:rPr>
          <w:w w:val="112"/>
        </w:rPr>
        <w:t> </w:t>
      </w:r>
      <w:r>
        <w:rPr>
          <w:w w:val="110"/>
        </w:rPr>
        <w:t>del Pacífico” (oficina del Vicepresidente, 2014), en la cual</w:t>
      </w:r>
      <w:r>
        <w:rPr>
          <w:spacing w:val="45"/>
          <w:w w:val="110"/>
        </w:rPr>
        <w:t> </w:t>
      </w:r>
      <w:r>
        <w:rPr>
          <w:w w:val="110"/>
        </w:rPr>
        <w:t>el</w:t>
      </w:r>
      <w:r>
        <w:rPr>
          <w:spacing w:val="5"/>
          <w:w w:val="110"/>
        </w:rPr>
        <w:t> </w:t>
      </w:r>
      <w:r>
        <w:rPr>
          <w:w w:val="110"/>
        </w:rPr>
        <w:t>gobierno</w:t>
      </w:r>
      <w:r>
        <w:rPr>
          <w:w w:val="109"/>
        </w:rPr>
        <w:t> </w:t>
      </w:r>
      <w:r>
        <w:rPr>
          <w:w w:val="110"/>
        </w:rPr>
        <w:t>de</w:t>
      </w:r>
      <w:r>
        <w:rPr>
          <w:spacing w:val="35"/>
          <w:w w:val="110"/>
        </w:rPr>
        <w:t> </w:t>
      </w:r>
      <w:r>
        <w:rPr>
          <w:w w:val="110"/>
        </w:rPr>
        <w:t>Estados</w:t>
      </w:r>
      <w:r>
        <w:rPr>
          <w:spacing w:val="35"/>
          <w:w w:val="110"/>
        </w:rPr>
        <w:t> </w:t>
      </w:r>
      <w:r>
        <w:rPr>
          <w:w w:val="110"/>
        </w:rPr>
        <w:t>unidos</w:t>
      </w:r>
      <w:r>
        <w:rPr>
          <w:spacing w:val="35"/>
          <w:w w:val="110"/>
        </w:rPr>
        <w:t> </w:t>
      </w:r>
      <w:r>
        <w:rPr>
          <w:w w:val="110"/>
        </w:rPr>
        <w:t>ha</w:t>
      </w:r>
      <w:r>
        <w:rPr>
          <w:spacing w:val="35"/>
          <w:w w:val="110"/>
        </w:rPr>
        <w:t> </w:t>
      </w:r>
      <w:r>
        <w:rPr>
          <w:w w:val="110"/>
        </w:rPr>
        <w:t>venido</w:t>
      </w:r>
      <w:r>
        <w:rPr>
          <w:spacing w:val="35"/>
          <w:w w:val="110"/>
        </w:rPr>
        <w:t> </w:t>
      </w:r>
      <w:r>
        <w:rPr>
          <w:w w:val="110"/>
        </w:rPr>
        <w:t>participando</w:t>
      </w:r>
      <w:r>
        <w:rPr>
          <w:spacing w:val="35"/>
          <w:w w:val="110"/>
        </w:rPr>
        <w:t> </w:t>
      </w:r>
      <w:r>
        <w:rPr>
          <w:w w:val="110"/>
        </w:rPr>
        <w:t>como</w:t>
      </w:r>
      <w:r>
        <w:rPr>
          <w:spacing w:val="35"/>
          <w:w w:val="110"/>
        </w:rPr>
        <w:t> </w:t>
      </w:r>
      <w:r>
        <w:rPr>
          <w:w w:val="110"/>
        </w:rPr>
        <w:t>observador</w:t>
      </w:r>
      <w:r>
        <w:rPr>
          <w:spacing w:val="35"/>
          <w:w w:val="110"/>
        </w:rPr>
        <w:t> </w:t>
      </w:r>
      <w:r>
        <w:rPr>
          <w:w w:val="110"/>
        </w:rPr>
        <w:t>desde</w:t>
      </w:r>
      <w:r>
        <w:rPr>
          <w:w w:val="106"/>
        </w:rPr>
        <w:t> </w:t>
      </w:r>
      <w:r>
        <w:rPr>
          <w:w w:val="110"/>
        </w:rPr>
        <w:t>la</w:t>
      </w:r>
      <w:r>
        <w:rPr>
          <w:spacing w:val="28"/>
          <w:w w:val="110"/>
        </w:rPr>
        <w:t> </w:t>
      </w:r>
      <w:r>
        <w:rPr>
          <w:w w:val="110"/>
        </w:rPr>
        <w:t>Vii</w:t>
      </w:r>
      <w:r>
        <w:rPr>
          <w:spacing w:val="28"/>
          <w:w w:val="110"/>
        </w:rPr>
        <w:t> </w:t>
      </w:r>
      <w:r>
        <w:rPr>
          <w:w w:val="110"/>
        </w:rPr>
        <w:t>Cumbre</w:t>
      </w:r>
      <w:r>
        <w:rPr>
          <w:spacing w:val="28"/>
          <w:w w:val="110"/>
        </w:rPr>
        <w:t> </w:t>
      </w:r>
      <w:r>
        <w:rPr>
          <w:w w:val="110"/>
        </w:rPr>
        <w:t>de</w:t>
      </w:r>
      <w:r>
        <w:rPr>
          <w:spacing w:val="28"/>
          <w:w w:val="110"/>
        </w:rPr>
        <w:t> </w:t>
      </w:r>
      <w:r>
        <w:rPr>
          <w:w w:val="110"/>
        </w:rPr>
        <w:t>esa</w:t>
      </w:r>
      <w:r>
        <w:rPr>
          <w:spacing w:val="28"/>
          <w:w w:val="110"/>
        </w:rPr>
        <w:t> </w:t>
      </w:r>
      <w:r>
        <w:rPr>
          <w:w w:val="110"/>
        </w:rPr>
        <w:t>alianza</w:t>
      </w:r>
      <w:r>
        <w:rPr>
          <w:spacing w:val="28"/>
          <w:w w:val="110"/>
        </w:rPr>
        <w:t> </w:t>
      </w:r>
      <w:r>
        <w:rPr>
          <w:w w:val="110"/>
        </w:rPr>
        <w:t>efectuada</w:t>
      </w:r>
      <w:r>
        <w:rPr>
          <w:spacing w:val="28"/>
          <w:w w:val="110"/>
        </w:rPr>
        <w:t> </w:t>
      </w:r>
      <w:r>
        <w:rPr>
          <w:w w:val="110"/>
        </w:rPr>
        <w:t>en</w:t>
      </w:r>
      <w:r>
        <w:rPr>
          <w:spacing w:val="28"/>
          <w:w w:val="110"/>
        </w:rPr>
        <w:t> </w:t>
      </w:r>
      <w:r>
        <w:rPr>
          <w:w w:val="110"/>
        </w:rPr>
        <w:t>Colombia</w:t>
      </w:r>
      <w:r>
        <w:rPr>
          <w:spacing w:val="28"/>
          <w:w w:val="110"/>
        </w:rPr>
        <w:t> </w:t>
      </w:r>
      <w:r>
        <w:rPr>
          <w:w w:val="110"/>
        </w:rPr>
        <w:t>a</w:t>
      </w:r>
      <w:r>
        <w:rPr>
          <w:spacing w:val="28"/>
          <w:w w:val="110"/>
        </w:rPr>
        <w:t> </w:t>
      </w:r>
      <w:r>
        <w:rPr>
          <w:w w:val="110"/>
        </w:rPr>
        <w:t>mediados</w:t>
      </w:r>
      <w:r>
        <w:rPr>
          <w:spacing w:val="28"/>
          <w:w w:val="110"/>
        </w:rPr>
        <w:t> </w:t>
      </w:r>
      <w:r>
        <w:rPr>
          <w:w w:val="110"/>
        </w:rPr>
        <w:t>de</w:t>
      </w:r>
    </w:p>
    <w:p>
      <w:pPr>
        <w:pStyle w:val="BodyText"/>
        <w:ind w:left="330"/>
        <w:jc w:val="both"/>
      </w:pPr>
      <w:r>
        <w:rPr>
          <w:w w:val="105"/>
        </w:rPr>
        <w:t>2013  (Karg, 2014).</w:t>
      </w:r>
    </w:p>
    <w:p>
      <w:pPr>
        <w:pStyle w:val="BodyText"/>
        <w:spacing w:line="252" w:lineRule="auto" w:before="11"/>
        <w:ind w:left="330" w:right="118" w:firstLine="396"/>
        <w:jc w:val="both"/>
      </w:pPr>
      <w:r>
        <w:rPr>
          <w:w w:val="115"/>
        </w:rPr>
        <w:t>adicionalmente biden se reunió bilateralmente con las y los ac- tuales</w:t>
      </w:r>
      <w:r>
        <w:rPr>
          <w:spacing w:val="-12"/>
          <w:w w:val="115"/>
        </w:rPr>
        <w:t> </w:t>
      </w:r>
      <w:r>
        <w:rPr>
          <w:w w:val="115"/>
        </w:rPr>
        <w:t>presidentes</w:t>
      </w:r>
      <w:r>
        <w:rPr>
          <w:spacing w:val="-12"/>
          <w:w w:val="115"/>
        </w:rPr>
        <w:t> </w:t>
      </w:r>
      <w:r>
        <w:rPr>
          <w:w w:val="115"/>
        </w:rPr>
        <w:t>de</w:t>
      </w:r>
      <w:r>
        <w:rPr>
          <w:spacing w:val="-12"/>
          <w:w w:val="115"/>
        </w:rPr>
        <w:t> </w:t>
      </w:r>
      <w:r>
        <w:rPr>
          <w:w w:val="115"/>
        </w:rPr>
        <w:t>argentina,</w:t>
      </w:r>
      <w:r>
        <w:rPr>
          <w:spacing w:val="-12"/>
          <w:w w:val="115"/>
        </w:rPr>
        <w:t> </w:t>
      </w:r>
      <w:r>
        <w:rPr>
          <w:w w:val="115"/>
        </w:rPr>
        <w:t>Cristina</w:t>
      </w:r>
      <w:r>
        <w:rPr>
          <w:spacing w:val="-12"/>
          <w:w w:val="115"/>
        </w:rPr>
        <w:t> </w:t>
      </w:r>
      <w:r>
        <w:rPr>
          <w:w w:val="115"/>
        </w:rPr>
        <w:t>Fernández;</w:t>
      </w:r>
      <w:r>
        <w:rPr>
          <w:spacing w:val="-12"/>
          <w:w w:val="115"/>
        </w:rPr>
        <w:t> </w:t>
      </w:r>
      <w:r>
        <w:rPr>
          <w:w w:val="115"/>
        </w:rPr>
        <w:t>de</w:t>
      </w:r>
      <w:r>
        <w:rPr>
          <w:spacing w:val="-12"/>
          <w:w w:val="115"/>
        </w:rPr>
        <w:t> </w:t>
      </w:r>
      <w:r>
        <w:rPr>
          <w:w w:val="115"/>
        </w:rPr>
        <w:t>brasil,</w:t>
      </w:r>
      <w:r>
        <w:rPr>
          <w:spacing w:val="-12"/>
          <w:w w:val="115"/>
        </w:rPr>
        <w:t> </w:t>
      </w:r>
      <w:r>
        <w:rPr>
          <w:w w:val="115"/>
        </w:rPr>
        <w:t>dilma rousseff; de </w:t>
      </w:r>
      <w:r>
        <w:rPr>
          <w:spacing w:val="-3"/>
          <w:w w:val="115"/>
        </w:rPr>
        <w:t>Ecuador, </w:t>
      </w:r>
      <w:r>
        <w:rPr>
          <w:w w:val="115"/>
        </w:rPr>
        <w:t>rafael Correa;</w:t>
      </w:r>
      <w:r>
        <w:rPr>
          <w:w w:val="115"/>
          <w:position w:val="6"/>
          <w:sz w:val="11"/>
        </w:rPr>
        <w:t>7 </w:t>
      </w:r>
      <w:r>
        <w:rPr>
          <w:w w:val="115"/>
        </w:rPr>
        <w:t>de </w:t>
      </w:r>
      <w:r>
        <w:rPr>
          <w:spacing w:val="-3"/>
          <w:w w:val="115"/>
        </w:rPr>
        <w:t>Paraguay, </w:t>
      </w:r>
      <w:r>
        <w:rPr>
          <w:w w:val="115"/>
        </w:rPr>
        <w:t>Horacio Cartes; y de</w:t>
      </w:r>
      <w:r>
        <w:rPr>
          <w:spacing w:val="-6"/>
          <w:w w:val="115"/>
        </w:rPr>
        <w:t> </w:t>
      </w:r>
      <w:r>
        <w:rPr>
          <w:spacing w:val="-3"/>
          <w:w w:val="115"/>
        </w:rPr>
        <w:t>uruguay,</w:t>
      </w:r>
      <w:r>
        <w:rPr>
          <w:spacing w:val="-6"/>
          <w:w w:val="115"/>
        </w:rPr>
        <w:t> </w:t>
      </w:r>
      <w:r>
        <w:rPr>
          <w:w w:val="115"/>
        </w:rPr>
        <w:t>José</w:t>
      </w:r>
      <w:r>
        <w:rPr>
          <w:spacing w:val="-6"/>
          <w:w w:val="115"/>
        </w:rPr>
        <w:t> </w:t>
      </w:r>
      <w:r>
        <w:rPr>
          <w:w w:val="115"/>
        </w:rPr>
        <w:t>Mujica.</w:t>
      </w:r>
      <w:r>
        <w:rPr>
          <w:spacing w:val="-6"/>
          <w:w w:val="115"/>
        </w:rPr>
        <w:t> </w:t>
      </w:r>
      <w:r>
        <w:rPr>
          <w:w w:val="115"/>
        </w:rPr>
        <w:t>Con</w:t>
      </w:r>
      <w:r>
        <w:rPr>
          <w:spacing w:val="-6"/>
          <w:w w:val="115"/>
        </w:rPr>
        <w:t> </w:t>
      </w:r>
      <w:r>
        <w:rPr>
          <w:w w:val="115"/>
        </w:rPr>
        <w:t>todos</w:t>
      </w:r>
      <w:r>
        <w:rPr>
          <w:spacing w:val="-6"/>
          <w:w w:val="115"/>
        </w:rPr>
        <w:t> </w:t>
      </w:r>
      <w:r>
        <w:rPr>
          <w:w w:val="115"/>
        </w:rPr>
        <w:t>ellos,</w:t>
      </w:r>
      <w:r>
        <w:rPr>
          <w:spacing w:val="-6"/>
          <w:w w:val="115"/>
        </w:rPr>
        <w:t> </w:t>
      </w:r>
      <w:r>
        <w:rPr>
          <w:w w:val="115"/>
        </w:rPr>
        <w:t>al</w:t>
      </w:r>
      <w:r>
        <w:rPr>
          <w:spacing w:val="-6"/>
          <w:w w:val="115"/>
        </w:rPr>
        <w:t> </w:t>
      </w:r>
      <w:r>
        <w:rPr>
          <w:w w:val="115"/>
        </w:rPr>
        <w:t>igual</w:t>
      </w:r>
      <w:r>
        <w:rPr>
          <w:spacing w:val="-6"/>
          <w:w w:val="115"/>
        </w:rPr>
        <w:t> </w:t>
      </w:r>
      <w:r>
        <w:rPr>
          <w:w w:val="115"/>
        </w:rPr>
        <w:t>que</w:t>
      </w:r>
      <w:r>
        <w:rPr>
          <w:spacing w:val="-6"/>
          <w:w w:val="115"/>
        </w:rPr>
        <w:t> </w:t>
      </w:r>
      <w:r>
        <w:rPr>
          <w:w w:val="115"/>
        </w:rPr>
        <w:t>con</w:t>
      </w:r>
      <w:r>
        <w:rPr>
          <w:spacing w:val="-6"/>
          <w:w w:val="115"/>
        </w:rPr>
        <w:t> </w:t>
      </w:r>
      <w:r>
        <w:rPr>
          <w:w w:val="115"/>
        </w:rPr>
        <w:t>los</w:t>
      </w:r>
      <w:r>
        <w:rPr>
          <w:spacing w:val="-6"/>
          <w:w w:val="115"/>
        </w:rPr>
        <w:t> </w:t>
      </w:r>
      <w:r>
        <w:rPr>
          <w:w w:val="115"/>
        </w:rPr>
        <w:t>manda-</w:t>
      </w:r>
    </w:p>
    <w:p>
      <w:pPr>
        <w:pStyle w:val="BodyText"/>
        <w:spacing w:before="10"/>
        <w:rPr>
          <w:sz w:val="26"/>
        </w:rPr>
      </w:pPr>
      <w:r>
        <w:rPr/>
        <w:pict>
          <v:line style="position:absolute;mso-position-horizontal-relative:page;mso-position-vertical-relative:paragraph;z-index:7912;mso-wrap-distance-left:0;mso-wrap-distance-right:0" from="76.5355pt,17.960033pt" to="104.8815pt,17.960033pt" stroked="true" strokeweight=".5pt" strokecolor="#000000">
            <w10:wrap type="topAndBottom"/>
          </v:line>
        </w:pict>
      </w:r>
    </w:p>
    <w:p>
      <w:pPr>
        <w:pStyle w:val="ListParagraph"/>
        <w:numPr>
          <w:ilvl w:val="1"/>
          <w:numId w:val="32"/>
        </w:numPr>
        <w:tabs>
          <w:tab w:pos="586" w:val="left" w:leader="none"/>
        </w:tabs>
        <w:spacing w:line="242" w:lineRule="auto" w:before="89" w:after="0"/>
        <w:ind w:left="330" w:right="118" w:firstLine="0"/>
        <w:jc w:val="both"/>
        <w:rPr>
          <w:sz w:val="16"/>
        </w:rPr>
      </w:pPr>
      <w:r>
        <w:rPr>
          <w:w w:val="110"/>
          <w:sz w:val="16"/>
        </w:rPr>
        <w:t>según la información difundida, uno de los objetivos de esa entrevista fue ratifi- car la intención del secretario de Estado John Kerry de visitar a Ecuador en algún momento</w:t>
      </w:r>
      <w:r>
        <w:rPr>
          <w:spacing w:val="-5"/>
          <w:w w:val="110"/>
          <w:sz w:val="16"/>
        </w:rPr>
        <w:t> </w:t>
      </w:r>
      <w:r>
        <w:rPr>
          <w:w w:val="110"/>
          <w:sz w:val="16"/>
        </w:rPr>
        <w:t>del</w:t>
      </w:r>
      <w:r>
        <w:rPr>
          <w:spacing w:val="-5"/>
          <w:w w:val="110"/>
          <w:sz w:val="16"/>
        </w:rPr>
        <w:t> </w:t>
      </w:r>
      <w:r>
        <w:rPr>
          <w:w w:val="110"/>
          <w:sz w:val="16"/>
        </w:rPr>
        <w:t>presente</w:t>
      </w:r>
      <w:r>
        <w:rPr>
          <w:spacing w:val="-5"/>
          <w:w w:val="110"/>
          <w:sz w:val="16"/>
        </w:rPr>
        <w:t> </w:t>
      </w:r>
      <w:r>
        <w:rPr>
          <w:w w:val="110"/>
          <w:sz w:val="16"/>
        </w:rPr>
        <w:t>año.</w:t>
      </w:r>
      <w:r>
        <w:rPr>
          <w:spacing w:val="-5"/>
          <w:w w:val="110"/>
          <w:sz w:val="16"/>
        </w:rPr>
        <w:t> </w:t>
      </w:r>
      <w:r>
        <w:rPr>
          <w:w w:val="110"/>
          <w:sz w:val="16"/>
        </w:rPr>
        <w:t>Hasta</w:t>
      </w:r>
      <w:r>
        <w:rPr>
          <w:spacing w:val="-5"/>
          <w:w w:val="110"/>
          <w:sz w:val="16"/>
        </w:rPr>
        <w:t> </w:t>
      </w:r>
      <w:r>
        <w:rPr>
          <w:w w:val="110"/>
          <w:sz w:val="16"/>
        </w:rPr>
        <w:t>el</w:t>
      </w:r>
      <w:r>
        <w:rPr>
          <w:spacing w:val="-5"/>
          <w:w w:val="110"/>
          <w:sz w:val="16"/>
        </w:rPr>
        <w:t> </w:t>
      </w:r>
      <w:r>
        <w:rPr>
          <w:w w:val="110"/>
          <w:sz w:val="16"/>
        </w:rPr>
        <w:t>momento</w:t>
      </w:r>
      <w:r>
        <w:rPr>
          <w:spacing w:val="-5"/>
          <w:w w:val="110"/>
          <w:sz w:val="16"/>
        </w:rPr>
        <w:t> </w:t>
      </w:r>
      <w:r>
        <w:rPr>
          <w:w w:val="110"/>
          <w:sz w:val="16"/>
        </w:rPr>
        <w:t>de</w:t>
      </w:r>
      <w:r>
        <w:rPr>
          <w:spacing w:val="-5"/>
          <w:w w:val="110"/>
          <w:sz w:val="16"/>
        </w:rPr>
        <w:t> </w:t>
      </w:r>
      <w:r>
        <w:rPr>
          <w:w w:val="110"/>
          <w:sz w:val="16"/>
        </w:rPr>
        <w:t>escribir</w:t>
      </w:r>
      <w:r>
        <w:rPr>
          <w:spacing w:val="-5"/>
          <w:w w:val="110"/>
          <w:sz w:val="16"/>
        </w:rPr>
        <w:t> </w:t>
      </w:r>
      <w:r>
        <w:rPr>
          <w:w w:val="110"/>
          <w:sz w:val="16"/>
        </w:rPr>
        <w:t>este</w:t>
      </w:r>
      <w:r>
        <w:rPr>
          <w:spacing w:val="-5"/>
          <w:w w:val="110"/>
          <w:sz w:val="16"/>
        </w:rPr>
        <w:t> </w:t>
      </w:r>
      <w:r>
        <w:rPr>
          <w:w w:val="110"/>
          <w:sz w:val="16"/>
        </w:rPr>
        <w:t>ensayo</w:t>
      </w:r>
      <w:r>
        <w:rPr>
          <w:spacing w:val="-5"/>
          <w:w w:val="110"/>
          <w:sz w:val="16"/>
        </w:rPr>
        <w:t> </w:t>
      </w:r>
      <w:r>
        <w:rPr>
          <w:w w:val="110"/>
          <w:sz w:val="16"/>
        </w:rPr>
        <w:t>dicha</w:t>
      </w:r>
      <w:r>
        <w:rPr>
          <w:spacing w:val="-5"/>
          <w:w w:val="110"/>
          <w:sz w:val="16"/>
        </w:rPr>
        <w:t> </w:t>
      </w:r>
      <w:r>
        <w:rPr>
          <w:w w:val="110"/>
          <w:sz w:val="16"/>
        </w:rPr>
        <w:t>visita</w:t>
      </w:r>
      <w:r>
        <w:rPr>
          <w:spacing w:val="-5"/>
          <w:w w:val="110"/>
          <w:sz w:val="16"/>
        </w:rPr>
        <w:t> </w:t>
      </w:r>
      <w:r>
        <w:rPr>
          <w:w w:val="110"/>
          <w:sz w:val="16"/>
        </w:rPr>
        <w:t>se ha pospuesto al menos en dos</w:t>
      </w:r>
      <w:r>
        <w:rPr>
          <w:spacing w:val="-27"/>
          <w:w w:val="110"/>
          <w:sz w:val="16"/>
        </w:rPr>
        <w:t> </w:t>
      </w:r>
      <w:r>
        <w:rPr>
          <w:w w:val="110"/>
          <w:sz w:val="16"/>
        </w:rPr>
        <w:t>ocasiones.</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7"/>
        <w:jc w:val="both"/>
      </w:pPr>
      <w:r>
        <w:rPr>
          <w:w w:val="110"/>
        </w:rPr>
        <w:t>tarios mencionados en párrafo anterior abordó la “situación crítica” que entonces se había creado en Venezuela. a este asunto se volverá después, pero merece indicarse que es altamente probable que en la conversación que sostuvo con la antes mencionada presidenta brasi- leña se hayan abordado las dificultades que se habían venido presen- tando en las relaciones entre ambos gobiernos a causa, entre otras, de su decisión de suspender la visita de Estado a los Estados unidos que estaba pautada para octubre de 2013.</w:t>
      </w:r>
    </w:p>
    <w:p>
      <w:pPr>
        <w:pStyle w:val="BodyText"/>
        <w:spacing w:line="252" w:lineRule="auto"/>
        <w:ind w:left="100" w:right="327" w:firstLine="396"/>
        <w:jc w:val="both"/>
      </w:pPr>
      <w:r>
        <w:rPr>
          <w:w w:val="120"/>
        </w:rPr>
        <w:t>En</w:t>
      </w:r>
      <w:r>
        <w:rPr>
          <w:spacing w:val="-4"/>
          <w:w w:val="120"/>
        </w:rPr>
        <w:t> </w:t>
      </w:r>
      <w:r>
        <w:rPr>
          <w:w w:val="120"/>
        </w:rPr>
        <w:t>las</w:t>
      </w:r>
      <w:r>
        <w:rPr>
          <w:spacing w:val="-4"/>
          <w:w w:val="120"/>
        </w:rPr>
        <w:t> </w:t>
      </w:r>
      <w:r>
        <w:rPr>
          <w:w w:val="120"/>
        </w:rPr>
        <w:t>reuniones</w:t>
      </w:r>
      <w:r>
        <w:rPr>
          <w:spacing w:val="-4"/>
          <w:w w:val="120"/>
        </w:rPr>
        <w:t> </w:t>
      </w:r>
      <w:r>
        <w:rPr>
          <w:w w:val="120"/>
        </w:rPr>
        <w:t>que</w:t>
      </w:r>
      <w:r>
        <w:rPr>
          <w:spacing w:val="-4"/>
          <w:w w:val="120"/>
        </w:rPr>
        <w:t> </w:t>
      </w:r>
      <w:r>
        <w:rPr>
          <w:w w:val="120"/>
        </w:rPr>
        <w:t>en</w:t>
      </w:r>
      <w:r>
        <w:rPr>
          <w:spacing w:val="-4"/>
          <w:w w:val="120"/>
        </w:rPr>
        <w:t> </w:t>
      </w:r>
      <w:r>
        <w:rPr>
          <w:w w:val="120"/>
        </w:rPr>
        <w:t>esa</w:t>
      </w:r>
      <w:r>
        <w:rPr>
          <w:spacing w:val="-4"/>
          <w:w w:val="120"/>
        </w:rPr>
        <w:t> </w:t>
      </w:r>
      <w:r>
        <w:rPr>
          <w:w w:val="120"/>
        </w:rPr>
        <w:t>ocasión</w:t>
      </w:r>
      <w:r>
        <w:rPr>
          <w:spacing w:val="-4"/>
          <w:w w:val="120"/>
        </w:rPr>
        <w:t> </w:t>
      </w:r>
      <w:r>
        <w:rPr>
          <w:w w:val="120"/>
        </w:rPr>
        <w:t>dilma</w:t>
      </w:r>
      <w:r>
        <w:rPr>
          <w:spacing w:val="-4"/>
          <w:w w:val="120"/>
        </w:rPr>
        <w:t> </w:t>
      </w:r>
      <w:r>
        <w:rPr>
          <w:w w:val="120"/>
        </w:rPr>
        <w:t>iba</w:t>
      </w:r>
      <w:r>
        <w:rPr>
          <w:spacing w:val="-4"/>
          <w:w w:val="120"/>
        </w:rPr>
        <w:t> </w:t>
      </w:r>
      <w:r>
        <w:rPr>
          <w:w w:val="120"/>
        </w:rPr>
        <w:t>a</w:t>
      </w:r>
      <w:r>
        <w:rPr>
          <w:spacing w:val="-4"/>
          <w:w w:val="120"/>
        </w:rPr>
        <w:t> </w:t>
      </w:r>
      <w:r>
        <w:rPr>
          <w:w w:val="120"/>
        </w:rPr>
        <w:t>sostener</w:t>
      </w:r>
      <w:r>
        <w:rPr>
          <w:spacing w:val="-4"/>
          <w:w w:val="120"/>
        </w:rPr>
        <w:t> </w:t>
      </w:r>
      <w:r>
        <w:rPr>
          <w:w w:val="120"/>
        </w:rPr>
        <w:t>con </w:t>
      </w:r>
      <w:r>
        <w:rPr>
          <w:w w:val="115"/>
        </w:rPr>
        <w:t>obama</w:t>
      </w:r>
      <w:r>
        <w:rPr>
          <w:spacing w:val="-17"/>
          <w:w w:val="115"/>
        </w:rPr>
        <w:t> </w:t>
      </w:r>
      <w:r>
        <w:rPr>
          <w:w w:val="115"/>
        </w:rPr>
        <w:t>estaba</w:t>
      </w:r>
      <w:r>
        <w:rPr>
          <w:spacing w:val="-17"/>
          <w:w w:val="115"/>
        </w:rPr>
        <w:t> </w:t>
      </w:r>
      <w:r>
        <w:rPr>
          <w:w w:val="115"/>
        </w:rPr>
        <w:t>previsto</w:t>
      </w:r>
      <w:r>
        <w:rPr>
          <w:spacing w:val="-17"/>
          <w:w w:val="115"/>
        </w:rPr>
        <w:t> </w:t>
      </w:r>
      <w:r>
        <w:rPr>
          <w:w w:val="115"/>
        </w:rPr>
        <w:t>protocolizar</w:t>
      </w:r>
      <w:r>
        <w:rPr>
          <w:spacing w:val="-17"/>
          <w:w w:val="115"/>
        </w:rPr>
        <w:t> </w:t>
      </w:r>
      <w:r>
        <w:rPr>
          <w:w w:val="115"/>
        </w:rPr>
        <w:t>una</w:t>
      </w:r>
      <w:r>
        <w:rPr>
          <w:spacing w:val="-17"/>
          <w:w w:val="115"/>
        </w:rPr>
        <w:t> </w:t>
      </w:r>
      <w:r>
        <w:rPr>
          <w:w w:val="115"/>
        </w:rPr>
        <w:t>amplia</w:t>
      </w:r>
      <w:r>
        <w:rPr>
          <w:spacing w:val="-17"/>
          <w:w w:val="115"/>
        </w:rPr>
        <w:t> </w:t>
      </w:r>
      <w:r>
        <w:rPr>
          <w:w w:val="115"/>
        </w:rPr>
        <w:t>gama</w:t>
      </w:r>
      <w:r>
        <w:rPr>
          <w:spacing w:val="-17"/>
          <w:w w:val="115"/>
        </w:rPr>
        <w:t> </w:t>
      </w:r>
      <w:r>
        <w:rPr>
          <w:w w:val="115"/>
        </w:rPr>
        <w:t>de</w:t>
      </w:r>
      <w:r>
        <w:rPr>
          <w:spacing w:val="-17"/>
          <w:w w:val="115"/>
        </w:rPr>
        <w:t> </w:t>
      </w:r>
      <w:r>
        <w:rPr>
          <w:w w:val="115"/>
        </w:rPr>
        <w:t>acuerdos</w:t>
      </w:r>
      <w:r>
        <w:rPr>
          <w:spacing w:val="-17"/>
          <w:w w:val="115"/>
        </w:rPr>
        <w:t> </w:t>
      </w:r>
      <w:r>
        <w:rPr>
          <w:w w:val="115"/>
        </w:rPr>
        <w:t>en diferentes</w:t>
      </w:r>
      <w:r>
        <w:rPr>
          <w:spacing w:val="-10"/>
          <w:w w:val="115"/>
        </w:rPr>
        <w:t> </w:t>
      </w:r>
      <w:r>
        <w:rPr>
          <w:w w:val="115"/>
        </w:rPr>
        <w:t>asuntos</w:t>
      </w:r>
      <w:r>
        <w:rPr>
          <w:spacing w:val="-10"/>
          <w:w w:val="115"/>
        </w:rPr>
        <w:t> </w:t>
      </w:r>
      <w:r>
        <w:rPr>
          <w:w w:val="115"/>
        </w:rPr>
        <w:t>bilaterales,</w:t>
      </w:r>
      <w:r>
        <w:rPr>
          <w:spacing w:val="-10"/>
          <w:w w:val="115"/>
        </w:rPr>
        <w:t> </w:t>
      </w:r>
      <w:r>
        <w:rPr>
          <w:w w:val="115"/>
        </w:rPr>
        <w:t>regionales</w:t>
      </w:r>
      <w:r>
        <w:rPr>
          <w:spacing w:val="-10"/>
          <w:w w:val="115"/>
        </w:rPr>
        <w:t> </w:t>
      </w:r>
      <w:r>
        <w:rPr>
          <w:w w:val="115"/>
        </w:rPr>
        <w:t>y</w:t>
      </w:r>
      <w:r>
        <w:rPr>
          <w:spacing w:val="-10"/>
          <w:w w:val="115"/>
        </w:rPr>
        <w:t> </w:t>
      </w:r>
      <w:r>
        <w:rPr>
          <w:w w:val="115"/>
        </w:rPr>
        <w:t>multilaterales</w:t>
      </w:r>
      <w:r>
        <w:rPr>
          <w:spacing w:val="-10"/>
          <w:w w:val="115"/>
        </w:rPr>
        <w:t> </w:t>
      </w:r>
      <w:r>
        <w:rPr>
          <w:w w:val="115"/>
        </w:rPr>
        <w:t>que</w:t>
      </w:r>
      <w:r>
        <w:rPr>
          <w:spacing w:val="-10"/>
          <w:w w:val="115"/>
        </w:rPr>
        <w:t> </w:t>
      </w:r>
      <w:r>
        <w:rPr>
          <w:w w:val="115"/>
        </w:rPr>
        <w:t>se</w:t>
      </w:r>
      <w:r>
        <w:rPr>
          <w:spacing w:val="-10"/>
          <w:w w:val="115"/>
        </w:rPr>
        <w:t> </w:t>
      </w:r>
      <w:r>
        <w:rPr>
          <w:w w:val="115"/>
        </w:rPr>
        <w:t>ha- </w:t>
      </w:r>
      <w:r>
        <w:rPr>
          <w:w w:val="120"/>
        </w:rPr>
        <w:t>bían</w:t>
      </w:r>
      <w:r>
        <w:rPr>
          <w:spacing w:val="-29"/>
          <w:w w:val="120"/>
        </w:rPr>
        <w:t> </w:t>
      </w:r>
      <w:r>
        <w:rPr>
          <w:w w:val="120"/>
        </w:rPr>
        <w:t>venido</w:t>
      </w:r>
      <w:r>
        <w:rPr>
          <w:spacing w:val="-29"/>
          <w:w w:val="120"/>
        </w:rPr>
        <w:t> </w:t>
      </w:r>
      <w:r>
        <w:rPr>
          <w:w w:val="120"/>
        </w:rPr>
        <w:t>elaborando</w:t>
      </w:r>
      <w:r>
        <w:rPr>
          <w:spacing w:val="-29"/>
          <w:w w:val="120"/>
        </w:rPr>
        <w:t> </w:t>
      </w:r>
      <w:r>
        <w:rPr>
          <w:w w:val="120"/>
        </w:rPr>
        <w:t>en</w:t>
      </w:r>
      <w:r>
        <w:rPr>
          <w:spacing w:val="-29"/>
          <w:w w:val="120"/>
        </w:rPr>
        <w:t> </w:t>
      </w:r>
      <w:r>
        <w:rPr>
          <w:w w:val="120"/>
        </w:rPr>
        <w:t>las</w:t>
      </w:r>
      <w:r>
        <w:rPr>
          <w:spacing w:val="-29"/>
          <w:w w:val="120"/>
        </w:rPr>
        <w:t> </w:t>
      </w:r>
      <w:r>
        <w:rPr>
          <w:w w:val="120"/>
        </w:rPr>
        <w:t>cuatro</w:t>
      </w:r>
      <w:r>
        <w:rPr>
          <w:spacing w:val="-29"/>
          <w:w w:val="120"/>
        </w:rPr>
        <w:t> </w:t>
      </w:r>
      <w:r>
        <w:rPr>
          <w:w w:val="120"/>
        </w:rPr>
        <w:t>rondas</w:t>
      </w:r>
      <w:r>
        <w:rPr>
          <w:spacing w:val="-29"/>
          <w:w w:val="120"/>
        </w:rPr>
        <w:t> </w:t>
      </w:r>
      <w:r>
        <w:rPr>
          <w:w w:val="120"/>
        </w:rPr>
        <w:t>de</w:t>
      </w:r>
      <w:r>
        <w:rPr>
          <w:spacing w:val="-29"/>
          <w:w w:val="120"/>
        </w:rPr>
        <w:t> </w:t>
      </w:r>
      <w:r>
        <w:rPr>
          <w:w w:val="120"/>
        </w:rPr>
        <w:t>los</w:t>
      </w:r>
      <w:r>
        <w:rPr>
          <w:spacing w:val="-29"/>
          <w:w w:val="120"/>
        </w:rPr>
        <w:t> </w:t>
      </w:r>
      <w:r>
        <w:rPr>
          <w:w w:val="120"/>
        </w:rPr>
        <w:t>diálogos</w:t>
      </w:r>
      <w:r>
        <w:rPr>
          <w:spacing w:val="-29"/>
          <w:w w:val="120"/>
        </w:rPr>
        <w:t> </w:t>
      </w:r>
      <w:r>
        <w:rPr>
          <w:w w:val="120"/>
        </w:rPr>
        <w:t>de</w:t>
      </w:r>
      <w:r>
        <w:rPr>
          <w:spacing w:val="-29"/>
          <w:w w:val="120"/>
        </w:rPr>
        <w:t> </w:t>
      </w:r>
      <w:r>
        <w:rPr>
          <w:w w:val="120"/>
        </w:rPr>
        <w:t>aso- ciación</w:t>
      </w:r>
      <w:r>
        <w:rPr>
          <w:spacing w:val="-20"/>
          <w:w w:val="120"/>
        </w:rPr>
        <w:t> </w:t>
      </w:r>
      <w:r>
        <w:rPr>
          <w:w w:val="120"/>
        </w:rPr>
        <w:t>Global</w:t>
      </w:r>
      <w:r>
        <w:rPr>
          <w:spacing w:val="-20"/>
          <w:w w:val="120"/>
        </w:rPr>
        <w:t> </w:t>
      </w:r>
      <w:r>
        <w:rPr>
          <w:w w:val="120"/>
        </w:rPr>
        <w:t>entre</w:t>
      </w:r>
      <w:r>
        <w:rPr>
          <w:spacing w:val="-20"/>
          <w:w w:val="120"/>
        </w:rPr>
        <w:t> </w:t>
      </w:r>
      <w:r>
        <w:rPr>
          <w:w w:val="120"/>
        </w:rPr>
        <w:t>Estados</w:t>
      </w:r>
      <w:r>
        <w:rPr>
          <w:spacing w:val="-20"/>
          <w:w w:val="120"/>
        </w:rPr>
        <w:t> </w:t>
      </w:r>
      <w:r>
        <w:rPr>
          <w:w w:val="120"/>
        </w:rPr>
        <w:t>unidos</w:t>
      </w:r>
      <w:r>
        <w:rPr>
          <w:spacing w:val="-20"/>
          <w:w w:val="120"/>
        </w:rPr>
        <w:t> </w:t>
      </w:r>
      <w:r>
        <w:rPr>
          <w:w w:val="120"/>
        </w:rPr>
        <w:t>y</w:t>
      </w:r>
      <w:r>
        <w:rPr>
          <w:spacing w:val="-20"/>
          <w:w w:val="120"/>
        </w:rPr>
        <w:t> </w:t>
      </w:r>
      <w:r>
        <w:rPr>
          <w:w w:val="120"/>
        </w:rPr>
        <w:t>brasil</w:t>
      </w:r>
      <w:r>
        <w:rPr>
          <w:spacing w:val="-20"/>
          <w:w w:val="120"/>
        </w:rPr>
        <w:t> </w:t>
      </w:r>
      <w:r>
        <w:rPr>
          <w:w w:val="120"/>
        </w:rPr>
        <w:t>(GPd,</w:t>
      </w:r>
      <w:r>
        <w:rPr>
          <w:spacing w:val="-20"/>
          <w:w w:val="120"/>
        </w:rPr>
        <w:t> </w:t>
      </w:r>
      <w:r>
        <w:rPr>
          <w:w w:val="120"/>
        </w:rPr>
        <w:t>por</w:t>
      </w:r>
      <w:r>
        <w:rPr>
          <w:spacing w:val="-20"/>
          <w:w w:val="120"/>
        </w:rPr>
        <w:t> </w:t>
      </w:r>
      <w:r>
        <w:rPr>
          <w:w w:val="120"/>
        </w:rPr>
        <w:t>sus</w:t>
      </w:r>
      <w:r>
        <w:rPr>
          <w:spacing w:val="-20"/>
          <w:w w:val="120"/>
        </w:rPr>
        <w:t> </w:t>
      </w:r>
      <w:r>
        <w:rPr>
          <w:w w:val="120"/>
        </w:rPr>
        <w:t>siglas</w:t>
      </w:r>
      <w:r>
        <w:rPr>
          <w:spacing w:val="-20"/>
          <w:w w:val="120"/>
        </w:rPr>
        <w:t> </w:t>
      </w:r>
      <w:r>
        <w:rPr>
          <w:w w:val="120"/>
        </w:rPr>
        <w:t>en </w:t>
      </w:r>
      <w:r>
        <w:rPr>
          <w:w w:val="115"/>
        </w:rPr>
        <w:t>inglés)</w:t>
      </w:r>
      <w:r>
        <w:rPr>
          <w:spacing w:val="-24"/>
          <w:w w:val="115"/>
        </w:rPr>
        <w:t> </w:t>
      </w:r>
      <w:r>
        <w:rPr>
          <w:w w:val="115"/>
        </w:rPr>
        <w:t>que,</w:t>
      </w:r>
      <w:r>
        <w:rPr>
          <w:spacing w:val="-24"/>
          <w:w w:val="115"/>
        </w:rPr>
        <w:t> </w:t>
      </w:r>
      <w:r>
        <w:rPr>
          <w:w w:val="115"/>
        </w:rPr>
        <w:t>con</w:t>
      </w:r>
      <w:r>
        <w:rPr>
          <w:spacing w:val="-24"/>
          <w:w w:val="115"/>
        </w:rPr>
        <w:t> </w:t>
      </w:r>
      <w:r>
        <w:rPr>
          <w:w w:val="115"/>
        </w:rPr>
        <w:t>el</w:t>
      </w:r>
      <w:r>
        <w:rPr>
          <w:spacing w:val="-24"/>
          <w:w w:val="115"/>
        </w:rPr>
        <w:t> </w:t>
      </w:r>
      <w:r>
        <w:rPr>
          <w:w w:val="115"/>
        </w:rPr>
        <w:t>propósito</w:t>
      </w:r>
      <w:r>
        <w:rPr>
          <w:spacing w:val="-24"/>
          <w:w w:val="115"/>
        </w:rPr>
        <w:t> </w:t>
      </w:r>
      <w:r>
        <w:rPr>
          <w:w w:val="115"/>
        </w:rPr>
        <w:t>de</w:t>
      </w:r>
      <w:r>
        <w:rPr>
          <w:spacing w:val="-24"/>
          <w:w w:val="115"/>
        </w:rPr>
        <w:t> </w:t>
      </w:r>
      <w:r>
        <w:rPr>
          <w:w w:val="115"/>
        </w:rPr>
        <w:t>establecer</w:t>
      </w:r>
      <w:r>
        <w:rPr>
          <w:spacing w:val="-24"/>
          <w:w w:val="115"/>
        </w:rPr>
        <w:t> </w:t>
      </w:r>
      <w:r>
        <w:rPr>
          <w:w w:val="115"/>
        </w:rPr>
        <w:t>la</w:t>
      </w:r>
      <w:r>
        <w:rPr>
          <w:spacing w:val="-24"/>
          <w:w w:val="115"/>
        </w:rPr>
        <w:t> </w:t>
      </w:r>
      <w:r>
        <w:rPr>
          <w:w w:val="115"/>
        </w:rPr>
        <w:t>denominada</w:t>
      </w:r>
      <w:r>
        <w:rPr>
          <w:spacing w:val="-24"/>
          <w:w w:val="115"/>
        </w:rPr>
        <w:t> </w:t>
      </w:r>
      <w:r>
        <w:rPr>
          <w:w w:val="115"/>
        </w:rPr>
        <w:t>“asociación </w:t>
      </w:r>
      <w:r>
        <w:rPr>
          <w:w w:val="120"/>
        </w:rPr>
        <w:t>Estados</w:t>
      </w:r>
      <w:r>
        <w:rPr>
          <w:spacing w:val="-23"/>
          <w:w w:val="120"/>
        </w:rPr>
        <w:t> </w:t>
      </w:r>
      <w:r>
        <w:rPr>
          <w:w w:val="120"/>
        </w:rPr>
        <w:t>unidos-brasil</w:t>
      </w:r>
      <w:r>
        <w:rPr>
          <w:spacing w:val="-23"/>
          <w:w w:val="120"/>
        </w:rPr>
        <w:t> </w:t>
      </w:r>
      <w:r>
        <w:rPr>
          <w:w w:val="120"/>
        </w:rPr>
        <w:t>para</w:t>
      </w:r>
      <w:r>
        <w:rPr>
          <w:spacing w:val="-23"/>
          <w:w w:val="120"/>
        </w:rPr>
        <w:t> </w:t>
      </w:r>
      <w:r>
        <w:rPr>
          <w:w w:val="120"/>
        </w:rPr>
        <w:t>el</w:t>
      </w:r>
      <w:r>
        <w:rPr>
          <w:spacing w:val="-23"/>
          <w:w w:val="120"/>
        </w:rPr>
        <w:t> </w:t>
      </w:r>
      <w:r>
        <w:rPr>
          <w:w w:val="120"/>
        </w:rPr>
        <w:t>siglo</w:t>
      </w:r>
      <w:r>
        <w:rPr>
          <w:spacing w:val="-23"/>
          <w:w w:val="120"/>
        </w:rPr>
        <w:t> </w:t>
      </w:r>
      <w:r>
        <w:rPr>
          <w:w w:val="120"/>
        </w:rPr>
        <w:t>xxi”,</w:t>
      </w:r>
      <w:r>
        <w:rPr>
          <w:spacing w:val="-23"/>
          <w:w w:val="120"/>
        </w:rPr>
        <w:t> </w:t>
      </w:r>
      <w:r>
        <w:rPr>
          <w:w w:val="120"/>
        </w:rPr>
        <w:t>se</w:t>
      </w:r>
      <w:r>
        <w:rPr>
          <w:spacing w:val="-23"/>
          <w:w w:val="120"/>
        </w:rPr>
        <w:t> </w:t>
      </w:r>
      <w:r>
        <w:rPr>
          <w:w w:val="120"/>
        </w:rPr>
        <w:t>habían</w:t>
      </w:r>
      <w:r>
        <w:rPr>
          <w:spacing w:val="-23"/>
          <w:w w:val="120"/>
        </w:rPr>
        <w:t> </w:t>
      </w:r>
      <w:r>
        <w:rPr>
          <w:w w:val="120"/>
        </w:rPr>
        <w:t>venido</w:t>
      </w:r>
      <w:r>
        <w:rPr>
          <w:spacing w:val="-23"/>
          <w:w w:val="120"/>
        </w:rPr>
        <w:t> </w:t>
      </w:r>
      <w:r>
        <w:rPr>
          <w:w w:val="120"/>
        </w:rPr>
        <w:t>efectuan- </w:t>
      </w:r>
      <w:r>
        <w:rPr>
          <w:w w:val="115"/>
        </w:rPr>
        <w:t>do</w:t>
      </w:r>
      <w:r>
        <w:rPr>
          <w:spacing w:val="-6"/>
          <w:w w:val="115"/>
        </w:rPr>
        <w:t> </w:t>
      </w:r>
      <w:r>
        <w:rPr>
          <w:w w:val="115"/>
        </w:rPr>
        <w:t>de</w:t>
      </w:r>
      <w:r>
        <w:rPr>
          <w:spacing w:val="-6"/>
          <w:w w:val="115"/>
        </w:rPr>
        <w:t> </w:t>
      </w:r>
      <w:r>
        <w:rPr>
          <w:w w:val="115"/>
        </w:rPr>
        <w:t>manera</w:t>
      </w:r>
      <w:r>
        <w:rPr>
          <w:spacing w:val="-6"/>
          <w:w w:val="115"/>
        </w:rPr>
        <w:t> </w:t>
      </w:r>
      <w:r>
        <w:rPr>
          <w:w w:val="115"/>
        </w:rPr>
        <w:t>alterna</w:t>
      </w:r>
      <w:r>
        <w:rPr>
          <w:spacing w:val="-6"/>
          <w:w w:val="115"/>
        </w:rPr>
        <w:t> </w:t>
      </w:r>
      <w:r>
        <w:rPr>
          <w:w w:val="115"/>
        </w:rPr>
        <w:t>en</w:t>
      </w:r>
      <w:r>
        <w:rPr>
          <w:spacing w:val="-6"/>
          <w:w w:val="115"/>
        </w:rPr>
        <w:t> </w:t>
      </w:r>
      <w:r>
        <w:rPr>
          <w:w w:val="115"/>
        </w:rPr>
        <w:t>Washington</w:t>
      </w:r>
      <w:r>
        <w:rPr>
          <w:spacing w:val="-6"/>
          <w:w w:val="115"/>
        </w:rPr>
        <w:t> </w:t>
      </w:r>
      <w:r>
        <w:rPr>
          <w:w w:val="115"/>
        </w:rPr>
        <w:t>y</w:t>
      </w:r>
      <w:r>
        <w:rPr>
          <w:spacing w:val="-6"/>
          <w:w w:val="115"/>
        </w:rPr>
        <w:t> </w:t>
      </w:r>
      <w:r>
        <w:rPr>
          <w:w w:val="115"/>
        </w:rPr>
        <w:t>en</w:t>
      </w:r>
      <w:r>
        <w:rPr>
          <w:spacing w:val="-6"/>
          <w:w w:val="115"/>
        </w:rPr>
        <w:t> </w:t>
      </w:r>
      <w:r>
        <w:rPr>
          <w:w w:val="115"/>
        </w:rPr>
        <w:t>brasilia</w:t>
      </w:r>
      <w:r>
        <w:rPr>
          <w:spacing w:val="-6"/>
          <w:w w:val="115"/>
        </w:rPr>
        <w:t> </w:t>
      </w:r>
      <w:r>
        <w:rPr>
          <w:w w:val="115"/>
        </w:rPr>
        <w:t>desde</w:t>
      </w:r>
      <w:r>
        <w:rPr>
          <w:spacing w:val="-6"/>
          <w:w w:val="115"/>
        </w:rPr>
        <w:t> </w:t>
      </w:r>
      <w:r>
        <w:rPr>
          <w:w w:val="115"/>
        </w:rPr>
        <w:t>2011</w:t>
      </w:r>
      <w:r>
        <w:rPr>
          <w:spacing w:val="-6"/>
          <w:w w:val="115"/>
        </w:rPr>
        <w:t> </w:t>
      </w:r>
      <w:r>
        <w:rPr>
          <w:w w:val="115"/>
        </w:rPr>
        <w:t>hasta </w:t>
      </w:r>
      <w:r>
        <w:rPr>
          <w:w w:val="110"/>
        </w:rPr>
        <w:t>octubre de</w:t>
      </w:r>
      <w:r>
        <w:rPr>
          <w:spacing w:val="-13"/>
          <w:w w:val="110"/>
        </w:rPr>
        <w:t> </w:t>
      </w:r>
      <w:r>
        <w:rPr>
          <w:w w:val="110"/>
        </w:rPr>
        <w:t>2012.</w:t>
      </w:r>
    </w:p>
    <w:p>
      <w:pPr>
        <w:pStyle w:val="BodyText"/>
        <w:spacing w:line="252" w:lineRule="auto"/>
        <w:ind w:left="100" w:right="327" w:firstLine="396"/>
        <w:jc w:val="both"/>
      </w:pPr>
      <w:r>
        <w:rPr>
          <w:w w:val="110"/>
        </w:rPr>
        <w:t>En esa última ocasión, la entonces secretaria de Estado Hillary Clinton y el entonces ministro de relaciones Exteriores de brasil, an- tonio de aguiar Patriota, habían acordado ampliar o profundizar, se- gún el caso, los multifacéticos diálogos vinculados a las políticas de defensa y de seguridad de ambos países, incluida su cooperación en los esfuerzos para “combatir el tráfico de drogas y el crimen organiza- do transnacional” (</w:t>
      </w:r>
      <w:r>
        <w:rPr>
          <w:i/>
          <w:w w:val="110"/>
        </w:rPr>
        <w:t>Joint Statement</w:t>
      </w:r>
      <w:r>
        <w:rPr>
          <w:w w:val="110"/>
        </w:rPr>
        <w:t>, 2012).</w:t>
      </w:r>
    </w:p>
    <w:p>
      <w:pPr>
        <w:pStyle w:val="BodyText"/>
        <w:spacing w:line="252" w:lineRule="auto"/>
        <w:ind w:left="100" w:right="327" w:firstLine="396"/>
        <w:jc w:val="both"/>
      </w:pPr>
      <w:r>
        <w:rPr>
          <w:w w:val="110"/>
        </w:rPr>
        <w:t>En la perspectiva de la administración de barack obama –y en particular del Pentágono– la concreción de esos últimos acuerdos tri- butará a su declarado propósito de que el actual gobierno brasileño acepte compartir “responsabilidades y costos” con Estados unidos en la defensa y la seguridad del hemisferio occidental. así lo indica la ya mencionada </w:t>
      </w:r>
      <w:r>
        <w:rPr>
          <w:i/>
          <w:w w:val="110"/>
        </w:rPr>
        <w:t>Política de Defensa de Estados Unidos para el Hemisferio </w:t>
      </w:r>
      <w:r>
        <w:rPr>
          <w:i/>
          <w:w w:val="110"/>
        </w:rPr>
        <w:t>occidental</w:t>
      </w:r>
      <w:r>
        <w:rPr>
          <w:w w:val="110"/>
        </w:rPr>
        <w:t>. En esta se señala que el departamento de defensa está “alentando la cooperación regional para mejorar la seguridad y la es- tabilidad de américa del </w:t>
      </w:r>
      <w:r>
        <w:rPr>
          <w:spacing w:val="-6"/>
          <w:w w:val="110"/>
        </w:rPr>
        <w:t>sur, </w:t>
      </w:r>
      <w:r>
        <w:rPr>
          <w:w w:val="110"/>
        </w:rPr>
        <w:t>acogiendo con beneplácito los esfuerzos de brasil y los socios en aras de establecer mecanismos económicos y de seguridad, como el Consejo suramericano de defensa, que ayuden  a forjar la interdependencia [e interoperatividad] y a integrar más a las fuerzas [armadas] amigas” (Panetta,</w:t>
      </w:r>
      <w:r>
        <w:rPr>
          <w:spacing w:val="27"/>
          <w:w w:val="110"/>
        </w:rPr>
        <w:t> </w:t>
      </w:r>
      <w:r>
        <w:rPr>
          <w:w w:val="110"/>
        </w:rPr>
        <w:t>2012).</w:t>
      </w:r>
    </w:p>
    <w:p>
      <w:pPr>
        <w:pStyle w:val="BodyText"/>
        <w:spacing w:line="252" w:lineRule="auto"/>
        <w:ind w:left="100" w:right="328" w:firstLine="396"/>
        <w:jc w:val="both"/>
      </w:pPr>
      <w:r>
        <w:rPr>
          <w:w w:val="110"/>
        </w:rPr>
        <w:t>aunque no existe información pública al respecto, seguramente algunos</w:t>
      </w:r>
      <w:r>
        <w:rPr>
          <w:spacing w:val="-7"/>
          <w:w w:val="110"/>
        </w:rPr>
        <w:t> </w:t>
      </w:r>
      <w:r>
        <w:rPr>
          <w:w w:val="110"/>
        </w:rPr>
        <w:t>de</w:t>
      </w:r>
      <w:r>
        <w:rPr>
          <w:spacing w:val="-7"/>
          <w:w w:val="110"/>
        </w:rPr>
        <w:t> </w:t>
      </w:r>
      <w:r>
        <w:rPr>
          <w:w w:val="110"/>
        </w:rPr>
        <w:t>esos</w:t>
      </w:r>
      <w:r>
        <w:rPr>
          <w:spacing w:val="-7"/>
          <w:w w:val="110"/>
        </w:rPr>
        <w:t> </w:t>
      </w:r>
      <w:r>
        <w:rPr>
          <w:w w:val="110"/>
        </w:rPr>
        <w:t>temas</w:t>
      </w:r>
      <w:r>
        <w:rPr>
          <w:spacing w:val="-7"/>
          <w:w w:val="110"/>
        </w:rPr>
        <w:t> </w:t>
      </w:r>
      <w:r>
        <w:rPr>
          <w:w w:val="110"/>
        </w:rPr>
        <w:t>se</w:t>
      </w:r>
      <w:r>
        <w:rPr>
          <w:spacing w:val="-7"/>
          <w:w w:val="110"/>
        </w:rPr>
        <w:t> </w:t>
      </w:r>
      <w:r>
        <w:rPr>
          <w:w w:val="110"/>
        </w:rPr>
        <w:t>abordaron</w:t>
      </w:r>
      <w:r>
        <w:rPr>
          <w:spacing w:val="-7"/>
          <w:w w:val="110"/>
        </w:rPr>
        <w:t> </w:t>
      </w:r>
      <w:r>
        <w:rPr>
          <w:w w:val="110"/>
        </w:rPr>
        <w:t>durante</w:t>
      </w:r>
      <w:r>
        <w:rPr>
          <w:spacing w:val="-7"/>
          <w:w w:val="110"/>
        </w:rPr>
        <w:t> </w:t>
      </w:r>
      <w:r>
        <w:rPr>
          <w:w w:val="110"/>
        </w:rPr>
        <w:t>las</w:t>
      </w:r>
      <w:r>
        <w:rPr>
          <w:spacing w:val="-7"/>
          <w:w w:val="110"/>
        </w:rPr>
        <w:t> </w:t>
      </w:r>
      <w:r>
        <w:rPr>
          <w:w w:val="110"/>
        </w:rPr>
        <w:t>visitas</w:t>
      </w:r>
      <w:r>
        <w:rPr>
          <w:spacing w:val="-7"/>
          <w:w w:val="110"/>
        </w:rPr>
        <w:t> </w:t>
      </w:r>
      <w:r>
        <w:rPr>
          <w:w w:val="110"/>
        </w:rPr>
        <w:t>realizadas</w:t>
      </w:r>
      <w:r>
        <w:rPr>
          <w:spacing w:val="-7"/>
          <w:w w:val="110"/>
        </w:rPr>
        <w:t> </w:t>
      </w:r>
      <w:r>
        <w:rPr>
          <w:w w:val="110"/>
        </w:rPr>
        <w:t>a</w:t>
      </w:r>
      <w:r>
        <w:rPr>
          <w:spacing w:val="-7"/>
          <w:w w:val="110"/>
        </w:rPr>
        <w:t> </w:t>
      </w:r>
      <w:r>
        <w:rPr>
          <w:w w:val="110"/>
        </w:rPr>
        <w:t>Es- tados unidos a mediados de mayo y a comienzos de julio de 2014 por los actuales presidentes de uruguay y Chile, José Mujica y Michelle bachelet, respectivamente. asimismo en las visitas realizadas a brasil  y</w:t>
      </w:r>
      <w:r>
        <w:rPr>
          <w:spacing w:val="37"/>
          <w:w w:val="110"/>
        </w:rPr>
        <w:t> </w:t>
      </w:r>
      <w:r>
        <w:rPr>
          <w:w w:val="110"/>
        </w:rPr>
        <w:t>a</w:t>
      </w:r>
      <w:r>
        <w:rPr>
          <w:spacing w:val="37"/>
          <w:w w:val="110"/>
        </w:rPr>
        <w:t> </w:t>
      </w:r>
      <w:r>
        <w:rPr>
          <w:w w:val="110"/>
        </w:rPr>
        <w:t>Colombia</w:t>
      </w:r>
      <w:r>
        <w:rPr>
          <w:spacing w:val="37"/>
          <w:w w:val="110"/>
        </w:rPr>
        <w:t> </w:t>
      </w:r>
      <w:r>
        <w:rPr>
          <w:w w:val="110"/>
        </w:rPr>
        <w:t>a</w:t>
      </w:r>
      <w:r>
        <w:rPr>
          <w:spacing w:val="37"/>
          <w:w w:val="110"/>
        </w:rPr>
        <w:t> </w:t>
      </w:r>
      <w:r>
        <w:rPr>
          <w:w w:val="110"/>
        </w:rPr>
        <w:t>mediados</w:t>
      </w:r>
      <w:r>
        <w:rPr>
          <w:spacing w:val="37"/>
          <w:w w:val="110"/>
        </w:rPr>
        <w:t> </w:t>
      </w:r>
      <w:r>
        <w:rPr>
          <w:w w:val="110"/>
        </w:rPr>
        <w:t>de</w:t>
      </w:r>
      <w:r>
        <w:rPr>
          <w:spacing w:val="37"/>
          <w:w w:val="110"/>
        </w:rPr>
        <w:t> </w:t>
      </w:r>
      <w:r>
        <w:rPr>
          <w:w w:val="110"/>
        </w:rPr>
        <w:t>junio</w:t>
      </w:r>
      <w:r>
        <w:rPr>
          <w:spacing w:val="37"/>
          <w:w w:val="110"/>
        </w:rPr>
        <w:t> </w:t>
      </w:r>
      <w:r>
        <w:rPr>
          <w:w w:val="110"/>
        </w:rPr>
        <w:t>de</w:t>
      </w:r>
      <w:r>
        <w:rPr>
          <w:spacing w:val="37"/>
          <w:w w:val="110"/>
        </w:rPr>
        <w:t> </w:t>
      </w:r>
      <w:r>
        <w:rPr>
          <w:w w:val="110"/>
        </w:rPr>
        <w:t>ese</w:t>
      </w:r>
      <w:r>
        <w:rPr>
          <w:spacing w:val="37"/>
          <w:w w:val="110"/>
        </w:rPr>
        <w:t> </w:t>
      </w:r>
      <w:r>
        <w:rPr>
          <w:w w:val="110"/>
        </w:rPr>
        <w:t>año</w:t>
      </w:r>
      <w:r>
        <w:rPr>
          <w:spacing w:val="37"/>
          <w:w w:val="110"/>
        </w:rPr>
        <w:t> </w:t>
      </w:r>
      <w:r>
        <w:rPr>
          <w:w w:val="110"/>
        </w:rPr>
        <w:t>por</w:t>
      </w:r>
      <w:r>
        <w:rPr>
          <w:spacing w:val="37"/>
          <w:w w:val="110"/>
        </w:rPr>
        <w:t> </w:t>
      </w:r>
      <w:r>
        <w:rPr>
          <w:w w:val="110"/>
        </w:rPr>
        <w:t>el</w:t>
      </w:r>
      <w:r>
        <w:rPr>
          <w:spacing w:val="37"/>
          <w:w w:val="110"/>
        </w:rPr>
        <w:t> </w:t>
      </w:r>
      <w:r>
        <w:rPr>
          <w:w w:val="110"/>
        </w:rPr>
        <w:t>vicepresiden-</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te de los Estados unidos, Joe biden. El propósito de esta última fue reiterarle al entonces recién reelecto mandatario colombiano, Juan Manuel santos, “el apoyo incondicional” del gobierno de los Estados unidos a las negociones de paz con la Fuerzas armadas revoluciona- rias de Colombia (FarC), así como pedirle al antes mencionado man- datario colombiano que “lidere el desarrollo económico y la seguridad de  la  región”  (iNFobaE, 2014).</w:t>
      </w:r>
    </w:p>
    <w:p>
      <w:pPr>
        <w:pStyle w:val="BodyText"/>
        <w:spacing w:line="252" w:lineRule="auto"/>
        <w:ind w:left="330" w:right="117" w:firstLine="397"/>
        <w:jc w:val="both"/>
      </w:pPr>
      <w:r>
        <w:rPr>
          <w:w w:val="110"/>
        </w:rPr>
        <w:t>Por su parte, su visita a brasil tuvo por objetivo lograr “la</w:t>
      </w:r>
      <w:r>
        <w:rPr>
          <w:spacing w:val="-11"/>
          <w:w w:val="110"/>
        </w:rPr>
        <w:t> </w:t>
      </w:r>
      <w:r>
        <w:rPr>
          <w:w w:val="110"/>
        </w:rPr>
        <w:t>reconci- liación definitiva” con la actual presidenta brasileña luego del ya men- cionado enfriamiento que se produjo en las relaciones entre ambos países como consecuencia del denunciado espionaje masivo contra  las máximas autoridades de ese país –incluyendo a su presidenta dil- ma rousseff– y contra </w:t>
      </w:r>
      <w:r>
        <w:rPr>
          <w:w w:val="130"/>
        </w:rPr>
        <w:t>PEtrobras </w:t>
      </w:r>
      <w:r>
        <w:rPr>
          <w:w w:val="110"/>
        </w:rPr>
        <w:t>perpetrado por la agencia Nacio- nal de seguridad de los Estados unidos (Faus, 2014). según </w:t>
      </w:r>
      <w:r>
        <w:rPr>
          <w:i/>
          <w:w w:val="110"/>
        </w:rPr>
        <w:t>La </w:t>
      </w:r>
      <w:r>
        <w:rPr>
          <w:i/>
          <w:spacing w:val="-5"/>
          <w:w w:val="110"/>
        </w:rPr>
        <w:t>Voz </w:t>
      </w:r>
      <w:r>
        <w:rPr>
          <w:i/>
          <w:w w:val="110"/>
        </w:rPr>
        <w:t>de </w:t>
      </w:r>
      <w:r>
        <w:rPr>
          <w:i/>
          <w:w w:val="110"/>
        </w:rPr>
        <w:t>las Américas</w:t>
      </w:r>
      <w:r>
        <w:rPr>
          <w:w w:val="110"/>
        </w:rPr>
        <w:t>, biden indicó que había tenido “una gran reunión” con la antes mencionada mandataria </w:t>
      </w:r>
      <w:r>
        <w:rPr>
          <w:spacing w:val="7"/>
          <w:w w:val="110"/>
        </w:rPr>
        <w:t> </w:t>
      </w:r>
      <w:r>
        <w:rPr>
          <w:w w:val="110"/>
        </w:rPr>
        <w:t>brasileña.</w:t>
      </w:r>
    </w:p>
    <w:p>
      <w:pPr>
        <w:pStyle w:val="BodyText"/>
        <w:spacing w:line="252" w:lineRule="auto"/>
        <w:ind w:left="330" w:right="117" w:firstLine="396"/>
        <w:jc w:val="both"/>
      </w:pPr>
      <w:r>
        <w:rPr>
          <w:w w:val="110"/>
        </w:rPr>
        <w:t>Cualquiera que sea la veracidad de esa afirmación y tomando en cuenta la situación creada por la reciente reelección de dilma rous- seff, en lo que queda de su segunda presidencia, barack obama conti- nuará desplegando diversas acciones orientadas a evitar que ese país se transforme en una “potencia global” y hemisférica capacitada para desplegar una proyección externa diferente a la de los Estados unidos.</w:t>
      </w:r>
    </w:p>
    <w:p>
      <w:pPr>
        <w:pStyle w:val="BodyText"/>
        <w:spacing w:before="5"/>
      </w:pPr>
    </w:p>
    <w:p>
      <w:pPr>
        <w:pStyle w:val="Heading6"/>
        <w:ind w:left="331"/>
      </w:pPr>
      <w:r>
        <w:rPr>
          <w:spacing w:val="7"/>
          <w:w w:val="201"/>
        </w:rPr>
        <w:t>l</w:t>
      </w:r>
      <w:r>
        <w:rPr>
          <w:w w:val="129"/>
        </w:rPr>
        <w:t>a</w:t>
      </w:r>
      <w:r>
        <w:rPr>
          <w:spacing w:val="-9"/>
        </w:rPr>
        <w:t> </w:t>
      </w:r>
      <w:r>
        <w:rPr>
          <w:spacing w:val="1"/>
          <w:w w:val="88"/>
        </w:rPr>
        <w:t>“</w:t>
      </w:r>
      <w:r>
        <w:rPr>
          <w:spacing w:val="2"/>
          <w:w w:val="135"/>
        </w:rPr>
        <w:t>re</w:t>
      </w:r>
      <w:r>
        <w:rPr>
          <w:w w:val="135"/>
        </w:rPr>
        <w:t>v</w:t>
      </w:r>
      <w:r>
        <w:rPr>
          <w:spacing w:val="2"/>
          <w:w w:val="129"/>
        </w:rPr>
        <w:t>i</w:t>
      </w:r>
      <w:r>
        <w:rPr>
          <w:spacing w:val="-10"/>
          <w:w w:val="180"/>
        </w:rPr>
        <w:t>t</w:t>
      </w:r>
      <w:r>
        <w:rPr>
          <w:spacing w:val="2"/>
          <w:w w:val="155"/>
        </w:rPr>
        <w:t>al</w:t>
      </w:r>
      <w:r>
        <w:rPr>
          <w:spacing w:val="2"/>
          <w:w w:val="129"/>
        </w:rPr>
        <w:t>i</w:t>
      </w:r>
      <w:r>
        <w:rPr>
          <w:spacing w:val="6"/>
          <w:w w:val="132"/>
        </w:rPr>
        <w:t>z</w:t>
      </w:r>
      <w:r>
        <w:rPr>
          <w:spacing w:val="1"/>
          <w:w w:val="129"/>
        </w:rPr>
        <w:t>a</w:t>
      </w:r>
      <w:r>
        <w:rPr>
          <w:spacing w:val="2"/>
          <w:w w:val="137"/>
        </w:rPr>
        <w:t>ció</w:t>
      </w:r>
      <w:r>
        <w:rPr>
          <w:spacing w:val="1"/>
          <w:w w:val="137"/>
        </w:rPr>
        <w:t>n</w:t>
      </w:r>
      <w:r>
        <w:rPr>
          <w:w w:val="88"/>
        </w:rPr>
        <w:t>”</w:t>
      </w:r>
      <w:r>
        <w:rPr>
          <w:spacing w:val="-9"/>
        </w:rPr>
        <w:t> </w:t>
      </w:r>
      <w:r>
        <w:rPr>
          <w:spacing w:val="2"/>
          <w:w w:val="132"/>
        </w:rPr>
        <w:t>d</w:t>
      </w:r>
      <w:r>
        <w:rPr>
          <w:spacing w:val="3"/>
          <w:w w:val="132"/>
        </w:rPr>
        <w:t>e</w:t>
      </w:r>
      <w:r>
        <w:rPr>
          <w:w w:val="201"/>
        </w:rPr>
        <w:t>l</w:t>
      </w:r>
      <w:r>
        <w:rPr>
          <w:spacing w:val="-8"/>
        </w:rPr>
        <w:t> </w:t>
      </w:r>
      <w:r>
        <w:rPr>
          <w:spacing w:val="2"/>
          <w:w w:val="136"/>
        </w:rPr>
        <w:t>s</w:t>
      </w:r>
      <w:r>
        <w:rPr>
          <w:spacing w:val="2"/>
          <w:w w:val="133"/>
        </w:rPr>
        <w:t>i</w:t>
      </w:r>
      <w:r>
        <w:rPr>
          <w:spacing w:val="1"/>
          <w:w w:val="133"/>
        </w:rPr>
        <w:t>s</w:t>
      </w:r>
      <w:r>
        <w:rPr>
          <w:spacing w:val="2"/>
          <w:w w:val="153"/>
        </w:rPr>
        <w:t>t</w:t>
      </w:r>
      <w:r>
        <w:rPr>
          <w:spacing w:val="3"/>
          <w:w w:val="153"/>
        </w:rPr>
        <w:t>e</w:t>
      </w:r>
      <w:r>
        <w:rPr>
          <w:spacing w:val="2"/>
          <w:w w:val="92"/>
        </w:rPr>
        <w:t>M</w:t>
      </w:r>
      <w:r>
        <w:rPr>
          <w:w w:val="129"/>
        </w:rPr>
        <w:t>a</w:t>
      </w:r>
      <w:r>
        <w:rPr>
          <w:spacing w:val="-8"/>
        </w:rPr>
        <w:t> </w:t>
      </w:r>
      <w:r>
        <w:rPr>
          <w:spacing w:val="2"/>
          <w:w w:val="129"/>
        </w:rPr>
        <w:t>i</w:t>
      </w:r>
      <w:r>
        <w:rPr>
          <w:spacing w:val="3"/>
          <w:w w:val="128"/>
        </w:rPr>
        <w:t>n</w:t>
      </w:r>
      <w:r>
        <w:rPr>
          <w:spacing w:val="2"/>
          <w:w w:val="153"/>
        </w:rPr>
        <w:t>te</w:t>
      </w:r>
      <w:r>
        <w:rPr>
          <w:spacing w:val="2"/>
          <w:w w:val="145"/>
        </w:rPr>
        <w:t>r</w:t>
      </w:r>
      <w:r>
        <w:rPr>
          <w:spacing w:val="2"/>
          <w:w w:val="129"/>
        </w:rPr>
        <w:t>a</w:t>
      </w:r>
      <w:r>
        <w:rPr>
          <w:spacing w:val="2"/>
          <w:w w:val="92"/>
        </w:rPr>
        <w:t>M</w:t>
      </w:r>
      <w:r>
        <w:rPr>
          <w:spacing w:val="3"/>
          <w:w w:val="134"/>
        </w:rPr>
        <w:t>e</w:t>
      </w:r>
      <w:r>
        <w:rPr>
          <w:spacing w:val="2"/>
          <w:w w:val="142"/>
        </w:rPr>
        <w:t>ri</w:t>
      </w:r>
      <w:r>
        <w:rPr>
          <w:spacing w:val="4"/>
          <w:w w:val="142"/>
        </w:rPr>
        <w:t>c</w:t>
      </w:r>
      <w:r>
        <w:rPr>
          <w:spacing w:val="2"/>
          <w:w w:val="134"/>
        </w:rPr>
        <w:t>ano</w:t>
      </w:r>
    </w:p>
    <w:p>
      <w:pPr>
        <w:pStyle w:val="BodyText"/>
        <w:spacing w:line="252" w:lineRule="auto" w:before="10"/>
        <w:ind w:left="256" w:right="117"/>
        <w:jc w:val="right"/>
      </w:pPr>
      <w:r>
        <w:rPr>
          <w:w w:val="110"/>
        </w:rPr>
        <w:t>se busca evitar, en consuno con sus principales “aliados” suramerica-</w:t>
      </w:r>
      <w:r>
        <w:rPr>
          <w:w w:val="102"/>
        </w:rPr>
        <w:t> </w:t>
      </w:r>
      <w:r>
        <w:rPr>
          <w:w w:val="110"/>
        </w:rPr>
        <w:t>nos (entre ellos, los actuales gobiernos de Colombia, Perú y Paraguay)</w:t>
      </w:r>
      <w:r>
        <w:rPr>
          <w:w w:val="109"/>
        </w:rPr>
        <w:t> </w:t>
      </w:r>
      <w:r>
        <w:rPr>
          <w:w w:val="110"/>
        </w:rPr>
        <w:t>que el Consejo suramericano de defensa culmine la elaboración de una</w:t>
      </w:r>
      <w:r>
        <w:rPr>
          <w:w w:val="112"/>
        </w:rPr>
        <w:t> </w:t>
      </w:r>
      <w:r>
        <w:rPr>
          <w:w w:val="110"/>
        </w:rPr>
        <w:t>doctrina de defensa y seguridad antagónica con la que, cual se indicó,</w:t>
      </w:r>
      <w:r>
        <w:rPr>
          <w:w w:val="114"/>
        </w:rPr>
        <w:t> </w:t>
      </w:r>
      <w:r>
        <w:rPr>
          <w:w w:val="110"/>
        </w:rPr>
        <w:t>ya tiene elaborada la burocracia político-militar estadounidense hasta</w:t>
      </w:r>
      <w:r>
        <w:rPr>
          <w:w w:val="110"/>
        </w:rPr>
        <w:t> </w:t>
      </w:r>
      <w:r>
        <w:rPr>
          <w:w w:val="110"/>
        </w:rPr>
        <w:t>2023. Como bien se ha indicado, esta tiene como uno de sus propósi-</w:t>
      </w:r>
      <w:r>
        <w:rPr>
          <w:w w:val="102"/>
        </w:rPr>
        <w:t> </w:t>
      </w:r>
      <w:r>
        <w:rPr>
          <w:w w:val="110"/>
        </w:rPr>
        <w:t>tos el control –por parte de las transnacionales que tienen sus casas</w:t>
      </w:r>
      <w:r>
        <w:rPr>
          <w:w w:val="110"/>
        </w:rPr>
        <w:t> </w:t>
      </w:r>
      <w:r>
        <w:rPr>
          <w:w w:val="110"/>
        </w:rPr>
        <w:t>matrices en ese país– de los ingentes recursos naturales y bienes pú-</w:t>
      </w:r>
      <w:r>
        <w:rPr>
          <w:w w:val="102"/>
        </w:rPr>
        <w:t> </w:t>
      </w:r>
      <w:r>
        <w:rPr>
          <w:w w:val="110"/>
        </w:rPr>
        <w:t>blicos estratégicos que existen en esa parte del continente americano</w:t>
      </w:r>
      <w:r>
        <w:rPr>
          <w:w w:val="111"/>
        </w:rPr>
        <w:t> </w:t>
      </w:r>
      <w:r>
        <w:rPr>
          <w:w w:val="110"/>
        </w:rPr>
        <w:t>(bruckman, 2012). igualmente, el fortalecimiento de su control sobre</w:t>
      </w:r>
      <w:r>
        <w:rPr>
          <w:w w:val="107"/>
        </w:rPr>
        <w:t> </w:t>
      </w:r>
      <w:r>
        <w:rPr>
          <w:w w:val="110"/>
        </w:rPr>
        <w:t>el atlántico sur, ahora compartido con otras potencias extrarregionales</w:t>
      </w:r>
      <w:r>
        <w:rPr>
          <w:w w:val="108"/>
        </w:rPr>
        <w:t> </w:t>
      </w:r>
      <w:r>
        <w:rPr>
          <w:w w:val="110"/>
        </w:rPr>
        <w:t>integrantes de la </w:t>
      </w:r>
      <w:r>
        <w:rPr>
          <w:w w:val="120"/>
        </w:rPr>
        <w:t>otaN </w:t>
      </w:r>
      <w:r>
        <w:rPr>
          <w:w w:val="110"/>
        </w:rPr>
        <w:t>y en particular con Gran bretaña (borón, 2012).</w:t>
      </w:r>
      <w:r>
        <w:rPr>
          <w:w w:val="104"/>
        </w:rPr>
        <w:t> </w:t>
      </w:r>
      <w:r>
        <w:rPr>
          <w:w w:val="110"/>
        </w:rPr>
        <w:t>de allí las acciones que han venido desarrollando y en el futuro</w:t>
      </w:r>
      <w:r>
        <w:rPr>
          <w:w w:val="111"/>
        </w:rPr>
        <w:t> </w:t>
      </w:r>
      <w:r>
        <w:rPr>
          <w:w w:val="110"/>
        </w:rPr>
        <w:t>previsible desarrollarán los poderes fácticos y el actual gobierno tem-</w:t>
      </w:r>
      <w:r>
        <w:rPr>
          <w:w w:val="102"/>
        </w:rPr>
        <w:t> </w:t>
      </w:r>
      <w:r>
        <w:rPr>
          <w:w w:val="110"/>
        </w:rPr>
        <w:t>poral estadounidense con vistas a tratar de acrecentar la influencia</w:t>
      </w:r>
      <w:r>
        <w:rPr>
          <w:w w:val="111"/>
        </w:rPr>
        <w:t> </w:t>
      </w:r>
      <w:r>
        <w:rPr>
          <w:w w:val="110"/>
        </w:rPr>
        <w:t>estadounidense sobre el mandatario uruguayo (ya sea tabaré Vázquez</w:t>
      </w:r>
      <w:r>
        <w:rPr>
          <w:w w:val="110"/>
        </w:rPr>
        <w:t> </w:t>
      </w:r>
      <w:r>
        <w:rPr>
          <w:w w:val="110"/>
        </w:rPr>
        <w:t>o</w:t>
      </w:r>
      <w:r>
        <w:rPr/>
        <w:t> </w:t>
      </w:r>
      <w:r>
        <w:rPr>
          <w:w w:val="243"/>
        </w:rPr>
        <w:t>l</w:t>
      </w:r>
      <w:r>
        <w:rPr>
          <w:w w:val="111"/>
        </w:rPr>
        <w:t>uis</w:t>
      </w:r>
      <w:r>
        <w:rPr/>
        <w:t> </w:t>
      </w:r>
      <w:r>
        <w:rPr>
          <w:w w:val="243"/>
        </w:rPr>
        <w:t>l</w:t>
      </w:r>
      <w:r>
        <w:rPr>
          <w:w w:val="111"/>
        </w:rPr>
        <w:t>acalle</w:t>
      </w:r>
      <w:r>
        <w:rPr/>
        <w:t> </w:t>
      </w:r>
      <w:r>
        <w:rPr>
          <w:w w:val="109"/>
        </w:rPr>
        <w:t>Pou)</w:t>
      </w:r>
      <w:r>
        <w:rPr/>
        <w:t> </w:t>
      </w:r>
      <w:r>
        <w:rPr>
          <w:w w:val="108"/>
        </w:rPr>
        <w:t>que</w:t>
      </w:r>
      <w:r>
        <w:rPr/>
        <w:t> </w:t>
      </w:r>
      <w:r>
        <w:rPr>
          <w:w w:val="109"/>
        </w:rPr>
        <w:t>finalmente</w:t>
      </w:r>
      <w:r>
        <w:rPr/>
        <w:t> </w:t>
      </w:r>
      <w:r>
        <w:rPr>
          <w:w w:val="107"/>
        </w:rPr>
        <w:t>resulte</w:t>
      </w:r>
      <w:r>
        <w:rPr/>
        <w:t> </w:t>
      </w:r>
      <w:r>
        <w:rPr>
          <w:w w:val="108"/>
        </w:rPr>
        <w:t>electo</w:t>
      </w:r>
      <w:r>
        <w:rPr/>
        <w:t> </w:t>
      </w:r>
      <w:r>
        <w:rPr>
          <w:w w:val="108"/>
        </w:rPr>
        <w:t>en</w:t>
      </w:r>
      <w:r>
        <w:rPr/>
        <w:t> </w:t>
      </w:r>
      <w:r>
        <w:rPr>
          <w:w w:val="111"/>
        </w:rPr>
        <w:t>la</w:t>
      </w:r>
      <w:r>
        <w:rPr/>
        <w:t> </w:t>
      </w:r>
      <w:r>
        <w:rPr>
          <w:w w:val="109"/>
        </w:rPr>
        <w:t>segunda</w:t>
      </w:r>
      <w:r>
        <w:rPr/>
        <w:t> </w:t>
      </w:r>
      <w:r>
        <w:rPr>
          <w:w w:val="108"/>
        </w:rPr>
        <w:t>vuelta </w:t>
      </w:r>
      <w:r>
        <w:rPr>
          <w:w w:val="110"/>
        </w:rPr>
        <w:t>de los comicios presidenciales que se realizarán en ese país a fines  de</w:t>
      </w:r>
    </w:p>
    <w:p>
      <w:pPr>
        <w:pStyle w:val="BodyText"/>
        <w:ind w:left="330"/>
        <w:jc w:val="both"/>
      </w:pPr>
      <w:r>
        <w:rPr>
          <w:w w:val="110"/>
        </w:rPr>
        <w:t>noviembre del presente año.</w:t>
      </w:r>
    </w:p>
    <w:p>
      <w:pPr>
        <w:spacing w:after="0"/>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7" w:firstLine="396"/>
        <w:jc w:val="both"/>
      </w:pPr>
      <w:r>
        <w:rPr>
          <w:w w:val="110"/>
        </w:rPr>
        <w:t>adicionalmente, como se ha demostrado en sus poco armonio-  sas relaciones con  la  presidenta  Cristina  Fernández  de  </w:t>
      </w:r>
      <w:r>
        <w:rPr>
          <w:spacing w:val="-3"/>
          <w:w w:val="110"/>
        </w:rPr>
        <w:t>Kirchner,  </w:t>
      </w:r>
      <w:r>
        <w:rPr>
          <w:w w:val="110"/>
        </w:rPr>
        <w:t>así como en la displicente conducta mantenida frente a los llama-    dos “fondos buitres”, la administración de barack obama tratará de debilitar al actual gobierno argentino con vistas a evitar que en las elecciones presidenciales que se realizarán en ese país en octubre de 2015 resulte electo el candidato presidencial que finalmente defina   el actualmente gobernante, debilitado y políticamente heterogéneo Frente para la Victoria. Mucho más si éste estuviera identificado con la proyección latinoamericanista, suramericana e integracionista del llamado</w:t>
      </w:r>
      <w:r>
        <w:rPr>
          <w:spacing w:val="44"/>
          <w:w w:val="110"/>
        </w:rPr>
        <w:t> </w:t>
      </w:r>
      <w:r>
        <w:rPr>
          <w:w w:val="110"/>
        </w:rPr>
        <w:t>“kirchnerismo”.</w:t>
      </w:r>
    </w:p>
    <w:p>
      <w:pPr>
        <w:pStyle w:val="BodyText"/>
        <w:spacing w:line="252" w:lineRule="auto"/>
        <w:ind w:left="100" w:right="328" w:firstLine="396"/>
        <w:jc w:val="both"/>
      </w:pPr>
      <w:r>
        <w:rPr>
          <w:w w:val="110"/>
        </w:rPr>
        <w:t>En el ínterin, el actual gobierno estadounidense aprovechará la subordinación a la política global y hemisférica de los Estados unidos demostrada</w:t>
      </w:r>
      <w:r>
        <w:rPr>
          <w:spacing w:val="-5"/>
          <w:w w:val="110"/>
        </w:rPr>
        <w:t> </w:t>
      </w:r>
      <w:r>
        <w:rPr>
          <w:w w:val="110"/>
        </w:rPr>
        <w:t>por</w:t>
      </w:r>
      <w:r>
        <w:rPr>
          <w:spacing w:val="-5"/>
          <w:w w:val="110"/>
        </w:rPr>
        <w:t> </w:t>
      </w:r>
      <w:r>
        <w:rPr>
          <w:w w:val="110"/>
        </w:rPr>
        <w:t>el</w:t>
      </w:r>
      <w:r>
        <w:rPr>
          <w:spacing w:val="-5"/>
          <w:w w:val="110"/>
        </w:rPr>
        <w:t> </w:t>
      </w:r>
      <w:r>
        <w:rPr>
          <w:w w:val="110"/>
        </w:rPr>
        <w:t>actual</w:t>
      </w:r>
      <w:r>
        <w:rPr>
          <w:spacing w:val="-5"/>
          <w:w w:val="110"/>
        </w:rPr>
        <w:t> </w:t>
      </w:r>
      <w:r>
        <w:rPr>
          <w:w w:val="110"/>
        </w:rPr>
        <w:t>gobierno</w:t>
      </w:r>
      <w:r>
        <w:rPr>
          <w:spacing w:val="-5"/>
          <w:w w:val="110"/>
        </w:rPr>
        <w:t> </w:t>
      </w:r>
      <w:r>
        <w:rPr>
          <w:w w:val="110"/>
        </w:rPr>
        <w:t>paraguayo</w:t>
      </w:r>
      <w:r>
        <w:rPr>
          <w:spacing w:val="-5"/>
          <w:w w:val="110"/>
        </w:rPr>
        <w:t> </w:t>
      </w:r>
      <w:r>
        <w:rPr>
          <w:w w:val="110"/>
        </w:rPr>
        <w:t>presidido</w:t>
      </w:r>
      <w:r>
        <w:rPr>
          <w:spacing w:val="-5"/>
          <w:w w:val="110"/>
        </w:rPr>
        <w:t> </w:t>
      </w:r>
      <w:r>
        <w:rPr>
          <w:w w:val="110"/>
        </w:rPr>
        <w:t>por</w:t>
      </w:r>
      <w:r>
        <w:rPr>
          <w:spacing w:val="-5"/>
          <w:w w:val="110"/>
        </w:rPr>
        <w:t> </w:t>
      </w:r>
      <w:r>
        <w:rPr>
          <w:w w:val="110"/>
        </w:rPr>
        <w:t>“el</w:t>
      </w:r>
      <w:r>
        <w:rPr>
          <w:spacing w:val="-5"/>
          <w:w w:val="110"/>
        </w:rPr>
        <w:t> </w:t>
      </w:r>
      <w:r>
        <w:rPr>
          <w:w w:val="110"/>
        </w:rPr>
        <w:t>colora- do” Horacio Cartes, para evitar que el </w:t>
      </w:r>
      <w:r>
        <w:rPr>
          <w:w w:val="125"/>
        </w:rPr>
        <w:t>MErCosur </w:t>
      </w:r>
      <w:r>
        <w:rPr>
          <w:w w:val="110"/>
        </w:rPr>
        <w:t>(ampliado) adopte acuerdos que dificulten el cumplimiento de los objetivos estratégicos y generales de la proyección hemisférica de los Estados unidos sinte- tizados en el primer acápite de este</w:t>
      </w:r>
      <w:r>
        <w:rPr>
          <w:spacing w:val="43"/>
          <w:w w:val="110"/>
        </w:rPr>
        <w:t> </w:t>
      </w:r>
      <w:r>
        <w:rPr>
          <w:w w:val="110"/>
        </w:rPr>
        <w:t>artículo.</w:t>
      </w:r>
    </w:p>
    <w:p>
      <w:pPr>
        <w:pStyle w:val="BodyText"/>
        <w:spacing w:line="252" w:lineRule="auto"/>
        <w:ind w:left="100" w:right="328" w:firstLine="396"/>
        <w:jc w:val="both"/>
      </w:pPr>
      <w:r>
        <w:rPr>
          <w:w w:val="110"/>
        </w:rPr>
        <w:t>Cualesquiera que sean los juicios que merezcan esas afirmacio- nes, en lo que le queda de su segundo mandato la administración de barack obama también continuará emprendiendo diversas “estrate- gias inteligentes” orientadas a debilitar o ralentizar las labores de la </w:t>
      </w:r>
      <w:r>
        <w:rPr>
          <w:w w:val="125"/>
        </w:rPr>
        <w:t>uNasur </w:t>
      </w:r>
      <w:r>
        <w:rPr>
          <w:w w:val="110"/>
        </w:rPr>
        <w:t>y, por carácter transitivo, de la </w:t>
      </w:r>
      <w:r>
        <w:rPr>
          <w:w w:val="125"/>
        </w:rPr>
        <w:t>CElaC; </w:t>
      </w:r>
      <w:r>
        <w:rPr>
          <w:w w:val="110"/>
        </w:rPr>
        <w:t>en tanto, el fortale- cimiento del sistema interamericano continuará siendo uno de los objetivos generales de esa administración.</w:t>
      </w:r>
    </w:p>
    <w:p>
      <w:pPr>
        <w:pStyle w:val="BodyText"/>
        <w:spacing w:line="252" w:lineRule="auto"/>
        <w:ind w:left="100" w:right="327" w:firstLine="396"/>
        <w:jc w:val="both"/>
      </w:pPr>
      <w:r>
        <w:rPr>
          <w:w w:val="110"/>
        </w:rPr>
        <w:t>No obstante “su relación paradójica” con los principales órganos </w:t>
      </w:r>
      <w:r>
        <w:rPr>
          <w:w w:val="110"/>
        </w:rPr>
        <w:t>político-militares</w:t>
      </w:r>
      <w:r>
        <w:rPr/>
        <w:t> </w:t>
      </w:r>
      <w:r>
        <w:rPr>
          <w:spacing w:val="-19"/>
        </w:rPr>
        <w:t> </w:t>
      </w:r>
      <w:r>
        <w:rPr>
          <w:w w:val="107"/>
        </w:rPr>
        <w:t>de</w:t>
      </w:r>
      <w:r>
        <w:rPr/>
        <w:t> </w:t>
      </w:r>
      <w:r>
        <w:rPr>
          <w:spacing w:val="-19"/>
        </w:rPr>
        <w:t> </w:t>
      </w:r>
      <w:r>
        <w:rPr>
          <w:w w:val="104"/>
        </w:rPr>
        <w:t>ese</w:t>
      </w:r>
      <w:r>
        <w:rPr/>
        <w:t> </w:t>
      </w:r>
      <w:r>
        <w:rPr>
          <w:spacing w:val="-19"/>
        </w:rPr>
        <w:t> </w:t>
      </w:r>
      <w:r>
        <w:rPr>
          <w:w w:val="111"/>
        </w:rPr>
        <w:t>sistema,</w:t>
      </w:r>
      <w:r>
        <w:rPr/>
        <w:t> </w:t>
      </w:r>
      <w:r>
        <w:rPr>
          <w:spacing w:val="-19"/>
        </w:rPr>
        <w:t> </w:t>
      </w:r>
      <w:r>
        <w:rPr>
          <w:w w:val="106"/>
        </w:rPr>
        <w:t>esto</w:t>
      </w:r>
      <w:r>
        <w:rPr/>
        <w:t> </w:t>
      </w:r>
      <w:r>
        <w:rPr>
          <w:spacing w:val="-19"/>
        </w:rPr>
        <w:t> </w:t>
      </w:r>
      <w:r>
        <w:rPr>
          <w:w w:val="111"/>
        </w:rPr>
        <w:t>último</w:t>
      </w:r>
      <w:r>
        <w:rPr/>
        <w:t> </w:t>
      </w:r>
      <w:r>
        <w:rPr>
          <w:spacing w:val="-19"/>
        </w:rPr>
        <w:t> </w:t>
      </w:r>
      <w:r>
        <w:rPr>
          <w:w w:val="105"/>
        </w:rPr>
        <w:t>se</w:t>
      </w:r>
      <w:r>
        <w:rPr/>
        <w:t> </w:t>
      </w:r>
      <w:r>
        <w:rPr>
          <w:spacing w:val="-19"/>
        </w:rPr>
        <w:t> </w:t>
      </w:r>
      <w:r>
        <w:rPr>
          <w:w w:val="107"/>
        </w:rPr>
        <w:t>expresó</w:t>
      </w:r>
      <w:r>
        <w:rPr/>
        <w:t> </w:t>
      </w:r>
      <w:r>
        <w:rPr>
          <w:spacing w:val="-19"/>
        </w:rPr>
        <w:t> </w:t>
      </w:r>
      <w:r>
        <w:rPr>
          <w:w w:val="108"/>
        </w:rPr>
        <w:t>en</w:t>
      </w:r>
      <w:r>
        <w:rPr/>
        <w:t> </w:t>
      </w:r>
      <w:r>
        <w:rPr>
          <w:spacing w:val="-19"/>
        </w:rPr>
        <w:t> </w:t>
      </w:r>
      <w:r>
        <w:rPr>
          <w:w w:val="111"/>
        </w:rPr>
        <w:t>la</w:t>
      </w:r>
      <w:r>
        <w:rPr/>
        <w:t> </w:t>
      </w:r>
      <w:r>
        <w:rPr>
          <w:spacing w:val="-19"/>
        </w:rPr>
        <w:t> </w:t>
      </w:r>
      <w:r>
        <w:rPr>
          <w:w w:val="243"/>
        </w:rPr>
        <w:t>l</w:t>
      </w:r>
      <w:r>
        <w:rPr>
          <w:w w:val="104"/>
        </w:rPr>
        <w:t>ey</w:t>
      </w:r>
      <w:r>
        <w:rPr/>
        <w:t> </w:t>
      </w:r>
      <w:r>
        <w:rPr>
          <w:spacing w:val="-19"/>
        </w:rPr>
        <w:t> </w:t>
      </w:r>
      <w:r>
        <w:rPr>
          <w:w w:val="107"/>
        </w:rPr>
        <w:t>de </w:t>
      </w:r>
      <w:r>
        <w:rPr>
          <w:w w:val="110"/>
        </w:rPr>
        <w:t>reforma y revitalización de la </w:t>
      </w:r>
      <w:r>
        <w:rPr>
          <w:w w:val="120"/>
        </w:rPr>
        <w:t>oEa </w:t>
      </w:r>
      <w:r>
        <w:rPr>
          <w:w w:val="110"/>
        </w:rPr>
        <w:t>promovida desde 2012 por dife- rentes congresistas demócratas y republicanos descontentos con las derrotas político-diplomáticas previamente sufridas por los Estados unidos en esa organización, así como con su “parálisis administrativa  y financiera” </w:t>
      </w:r>
      <w:r>
        <w:rPr>
          <w:spacing w:val="-3"/>
          <w:w w:val="110"/>
        </w:rPr>
        <w:t>(shifter, </w:t>
      </w:r>
      <w:r>
        <w:rPr>
          <w:w w:val="110"/>
        </w:rPr>
        <w:t>2014). Esa ley fue firmada por barack obama el  2 de octubre de</w:t>
      </w:r>
      <w:r>
        <w:rPr>
          <w:spacing w:val="-11"/>
          <w:w w:val="110"/>
        </w:rPr>
        <w:t> </w:t>
      </w:r>
      <w:r>
        <w:rPr>
          <w:w w:val="110"/>
        </w:rPr>
        <w:t>2013.</w:t>
      </w:r>
    </w:p>
    <w:p>
      <w:pPr>
        <w:spacing w:line="252" w:lineRule="auto" w:before="0"/>
        <w:ind w:left="100" w:right="327" w:firstLine="396"/>
        <w:jc w:val="both"/>
        <w:rPr>
          <w:i/>
          <w:sz w:val="19"/>
        </w:rPr>
      </w:pPr>
      <w:r>
        <w:rPr>
          <w:w w:val="110"/>
          <w:sz w:val="19"/>
        </w:rPr>
        <w:t>En ella se señala que, en su interrelación eficaz con el proceso de las Cumbres de las américas, con el banco interamericano de desa- rrollo y con otros miembros del Grupo de </w:t>
      </w:r>
      <w:r>
        <w:rPr>
          <w:spacing w:val="-3"/>
          <w:w w:val="110"/>
          <w:sz w:val="19"/>
        </w:rPr>
        <w:t>trabajo </w:t>
      </w:r>
      <w:r>
        <w:rPr>
          <w:w w:val="110"/>
          <w:sz w:val="19"/>
        </w:rPr>
        <w:t>Conjunto de Cum- bres, la oEa “debe ser </w:t>
      </w:r>
      <w:r>
        <w:rPr>
          <w:i/>
          <w:w w:val="110"/>
          <w:sz w:val="19"/>
        </w:rPr>
        <w:t>la entidad diplomática multilateral primordial</w:t>
      </w:r>
      <w:r>
        <w:rPr>
          <w:w w:val="110"/>
          <w:sz w:val="19"/>
        </w:rPr>
        <w:t>”   y “desempeñar </w:t>
      </w:r>
      <w:r>
        <w:rPr>
          <w:i/>
          <w:w w:val="110"/>
          <w:sz w:val="19"/>
        </w:rPr>
        <w:t>un papel central </w:t>
      </w:r>
      <w:r>
        <w:rPr>
          <w:w w:val="110"/>
          <w:sz w:val="19"/>
        </w:rPr>
        <w:t>en la supervisión y gestión” de los acuerdos de esas Cumbres destinados al “fortalecimiento de la paz y la seguridad, </w:t>
      </w:r>
      <w:r>
        <w:rPr>
          <w:i/>
          <w:w w:val="110"/>
          <w:sz w:val="19"/>
        </w:rPr>
        <w:t>la promoción y consolidación de la democracia represen- </w:t>
      </w:r>
      <w:r>
        <w:rPr>
          <w:i/>
          <w:w w:val="110"/>
          <w:sz w:val="19"/>
        </w:rPr>
        <w:t>tativa</w:t>
      </w:r>
      <w:r>
        <w:rPr>
          <w:w w:val="110"/>
          <w:sz w:val="19"/>
        </w:rPr>
        <w:t>, la resolución de conflictos regionales, la asistencia electoral y  la supervisión, </w:t>
      </w:r>
      <w:r>
        <w:rPr>
          <w:i/>
          <w:w w:val="110"/>
          <w:sz w:val="19"/>
        </w:rPr>
        <w:t>el fomento del crecimiento económico y la cooperación </w:t>
      </w:r>
      <w:r>
        <w:rPr>
          <w:i/>
          <w:w w:val="110"/>
          <w:sz w:val="19"/>
        </w:rPr>
        <w:t>al</w:t>
      </w:r>
      <w:r>
        <w:rPr>
          <w:i/>
          <w:spacing w:val="-6"/>
          <w:w w:val="110"/>
          <w:sz w:val="19"/>
        </w:rPr>
        <w:t> </w:t>
      </w:r>
      <w:r>
        <w:rPr>
          <w:i/>
          <w:w w:val="110"/>
          <w:sz w:val="19"/>
        </w:rPr>
        <w:t>desarrollo,</w:t>
      </w:r>
      <w:r>
        <w:rPr>
          <w:i/>
          <w:spacing w:val="-6"/>
          <w:w w:val="110"/>
          <w:sz w:val="19"/>
        </w:rPr>
        <w:t> </w:t>
      </w:r>
      <w:r>
        <w:rPr>
          <w:i/>
          <w:w w:val="110"/>
          <w:sz w:val="19"/>
        </w:rPr>
        <w:t>la</w:t>
      </w:r>
      <w:r>
        <w:rPr>
          <w:i/>
          <w:spacing w:val="-6"/>
          <w:w w:val="110"/>
          <w:sz w:val="19"/>
        </w:rPr>
        <w:t> </w:t>
      </w:r>
      <w:r>
        <w:rPr>
          <w:i/>
          <w:w w:val="110"/>
          <w:sz w:val="19"/>
        </w:rPr>
        <w:t>facilitación</w:t>
      </w:r>
      <w:r>
        <w:rPr>
          <w:i/>
          <w:spacing w:val="-6"/>
          <w:w w:val="110"/>
          <w:sz w:val="19"/>
        </w:rPr>
        <w:t> </w:t>
      </w:r>
      <w:r>
        <w:rPr>
          <w:i/>
          <w:w w:val="110"/>
          <w:sz w:val="19"/>
        </w:rPr>
        <w:t>del</w:t>
      </w:r>
      <w:r>
        <w:rPr>
          <w:i/>
          <w:spacing w:val="-6"/>
          <w:w w:val="110"/>
          <w:sz w:val="19"/>
        </w:rPr>
        <w:t> </w:t>
      </w:r>
      <w:r>
        <w:rPr>
          <w:i/>
          <w:w w:val="110"/>
          <w:sz w:val="19"/>
        </w:rPr>
        <w:t>comercio,</w:t>
      </w:r>
      <w:r>
        <w:rPr>
          <w:i/>
          <w:spacing w:val="-6"/>
          <w:w w:val="110"/>
          <w:sz w:val="19"/>
        </w:rPr>
        <w:t> </w:t>
      </w:r>
      <w:r>
        <w:rPr>
          <w:i/>
          <w:w w:val="110"/>
          <w:sz w:val="19"/>
        </w:rPr>
        <w:t>la</w:t>
      </w:r>
      <w:r>
        <w:rPr>
          <w:i/>
          <w:spacing w:val="-6"/>
          <w:w w:val="110"/>
          <w:sz w:val="19"/>
        </w:rPr>
        <w:t> </w:t>
      </w:r>
      <w:r>
        <w:rPr>
          <w:i/>
          <w:w w:val="110"/>
          <w:sz w:val="19"/>
        </w:rPr>
        <w:t>lucha</w:t>
      </w:r>
      <w:r>
        <w:rPr>
          <w:i/>
          <w:spacing w:val="-6"/>
          <w:w w:val="110"/>
          <w:sz w:val="19"/>
        </w:rPr>
        <w:t> </w:t>
      </w:r>
      <w:r>
        <w:rPr>
          <w:i/>
          <w:w w:val="110"/>
          <w:sz w:val="19"/>
        </w:rPr>
        <w:t>contra</w:t>
      </w:r>
      <w:r>
        <w:rPr>
          <w:i/>
          <w:spacing w:val="-6"/>
          <w:w w:val="110"/>
          <w:sz w:val="19"/>
        </w:rPr>
        <w:t> </w:t>
      </w:r>
      <w:r>
        <w:rPr>
          <w:i/>
          <w:w w:val="110"/>
          <w:sz w:val="19"/>
        </w:rPr>
        <w:t>el</w:t>
      </w:r>
      <w:r>
        <w:rPr>
          <w:i/>
          <w:spacing w:val="-6"/>
          <w:w w:val="110"/>
          <w:sz w:val="19"/>
        </w:rPr>
        <w:t> </w:t>
      </w:r>
      <w:r>
        <w:rPr>
          <w:i/>
          <w:w w:val="110"/>
          <w:sz w:val="19"/>
        </w:rPr>
        <w:t>tráfico</w:t>
      </w:r>
      <w:r>
        <w:rPr>
          <w:i/>
          <w:spacing w:val="-6"/>
          <w:w w:val="110"/>
          <w:sz w:val="19"/>
        </w:rPr>
        <w:t> </w:t>
      </w:r>
      <w:r>
        <w:rPr>
          <w:i/>
          <w:w w:val="110"/>
          <w:sz w:val="19"/>
        </w:rPr>
        <w:t>ilícito</w:t>
      </w:r>
    </w:p>
    <w:p>
      <w:pPr>
        <w:spacing w:after="0" w:line="252" w:lineRule="auto"/>
        <w:jc w:val="both"/>
        <w:rPr>
          <w:sz w:val="19"/>
        </w:rPr>
        <w:sectPr>
          <w:pgSz w:w="8790" w:h="12760"/>
          <w:pgMar w:header="697" w:footer="723" w:top="880" w:bottom="920" w:left="920" w:right="1200"/>
        </w:sectPr>
      </w:pPr>
    </w:p>
    <w:p>
      <w:pPr>
        <w:pStyle w:val="BodyText"/>
        <w:spacing w:before="7"/>
        <w:rPr>
          <w:i/>
          <w:sz w:val="28"/>
        </w:rPr>
      </w:pPr>
    </w:p>
    <w:p>
      <w:pPr>
        <w:spacing w:line="252" w:lineRule="auto" w:before="73"/>
        <w:ind w:left="330" w:right="118" w:firstLine="0"/>
        <w:jc w:val="both"/>
        <w:rPr>
          <w:sz w:val="19"/>
        </w:rPr>
      </w:pPr>
      <w:r>
        <w:rPr>
          <w:i/>
          <w:w w:val="115"/>
          <w:sz w:val="19"/>
        </w:rPr>
        <w:t>de</w:t>
      </w:r>
      <w:r>
        <w:rPr>
          <w:i/>
          <w:spacing w:val="-19"/>
          <w:w w:val="115"/>
          <w:sz w:val="19"/>
        </w:rPr>
        <w:t> </w:t>
      </w:r>
      <w:r>
        <w:rPr>
          <w:i/>
          <w:w w:val="115"/>
          <w:sz w:val="19"/>
        </w:rPr>
        <w:t>drogas</w:t>
      </w:r>
      <w:r>
        <w:rPr>
          <w:i/>
          <w:spacing w:val="-19"/>
          <w:w w:val="115"/>
          <w:sz w:val="19"/>
        </w:rPr>
        <w:t> </w:t>
      </w:r>
      <w:r>
        <w:rPr>
          <w:i/>
          <w:w w:val="115"/>
          <w:sz w:val="19"/>
        </w:rPr>
        <w:t>y</w:t>
      </w:r>
      <w:r>
        <w:rPr>
          <w:i/>
          <w:spacing w:val="-19"/>
          <w:w w:val="115"/>
          <w:sz w:val="19"/>
        </w:rPr>
        <w:t> </w:t>
      </w:r>
      <w:r>
        <w:rPr>
          <w:i/>
          <w:w w:val="115"/>
          <w:sz w:val="19"/>
        </w:rPr>
        <w:t>el</w:t>
      </w:r>
      <w:r>
        <w:rPr>
          <w:i/>
          <w:spacing w:val="-19"/>
          <w:w w:val="115"/>
          <w:sz w:val="19"/>
        </w:rPr>
        <w:t> </w:t>
      </w:r>
      <w:r>
        <w:rPr>
          <w:i/>
          <w:w w:val="115"/>
          <w:sz w:val="19"/>
        </w:rPr>
        <w:t>crimen</w:t>
      </w:r>
      <w:r>
        <w:rPr>
          <w:i/>
          <w:spacing w:val="-19"/>
          <w:w w:val="115"/>
          <w:sz w:val="19"/>
        </w:rPr>
        <w:t> </w:t>
      </w:r>
      <w:r>
        <w:rPr>
          <w:i/>
          <w:w w:val="115"/>
          <w:sz w:val="19"/>
        </w:rPr>
        <w:t>transnacional,</w:t>
      </w:r>
      <w:r>
        <w:rPr>
          <w:i/>
          <w:spacing w:val="-19"/>
          <w:w w:val="115"/>
          <w:sz w:val="19"/>
        </w:rPr>
        <w:t> </w:t>
      </w:r>
      <w:r>
        <w:rPr>
          <w:i/>
          <w:w w:val="115"/>
          <w:sz w:val="19"/>
        </w:rPr>
        <w:t>y</w:t>
      </w:r>
      <w:r>
        <w:rPr>
          <w:i/>
          <w:spacing w:val="-19"/>
          <w:w w:val="115"/>
          <w:sz w:val="19"/>
        </w:rPr>
        <w:t> </w:t>
      </w:r>
      <w:r>
        <w:rPr>
          <w:i/>
          <w:w w:val="115"/>
          <w:sz w:val="19"/>
        </w:rPr>
        <w:t>el</w:t>
      </w:r>
      <w:r>
        <w:rPr>
          <w:i/>
          <w:spacing w:val="-19"/>
          <w:w w:val="115"/>
          <w:sz w:val="19"/>
        </w:rPr>
        <w:t> </w:t>
      </w:r>
      <w:r>
        <w:rPr>
          <w:i/>
          <w:w w:val="115"/>
          <w:sz w:val="19"/>
        </w:rPr>
        <w:t>apoyo</w:t>
      </w:r>
      <w:r>
        <w:rPr>
          <w:i/>
          <w:spacing w:val="-19"/>
          <w:w w:val="115"/>
          <w:sz w:val="19"/>
        </w:rPr>
        <w:t> </w:t>
      </w:r>
      <w:r>
        <w:rPr>
          <w:i/>
          <w:w w:val="115"/>
          <w:sz w:val="19"/>
        </w:rPr>
        <w:t>a</w:t>
      </w:r>
      <w:r>
        <w:rPr>
          <w:i/>
          <w:spacing w:val="-19"/>
          <w:w w:val="115"/>
          <w:sz w:val="19"/>
        </w:rPr>
        <w:t> </w:t>
      </w:r>
      <w:r>
        <w:rPr>
          <w:i/>
          <w:w w:val="115"/>
          <w:sz w:val="19"/>
        </w:rPr>
        <w:t>la</w:t>
      </w:r>
      <w:r>
        <w:rPr>
          <w:i/>
          <w:spacing w:val="-19"/>
          <w:w w:val="115"/>
          <w:sz w:val="19"/>
        </w:rPr>
        <w:t> </w:t>
      </w:r>
      <w:r>
        <w:rPr>
          <w:i/>
          <w:w w:val="115"/>
          <w:sz w:val="19"/>
        </w:rPr>
        <w:t>Comisión</w:t>
      </w:r>
      <w:r>
        <w:rPr>
          <w:i/>
          <w:spacing w:val="-19"/>
          <w:w w:val="115"/>
          <w:sz w:val="19"/>
        </w:rPr>
        <w:t> </w:t>
      </w:r>
      <w:r>
        <w:rPr>
          <w:i/>
          <w:w w:val="115"/>
          <w:sz w:val="19"/>
        </w:rPr>
        <w:t>Interame- </w:t>
      </w:r>
      <w:r>
        <w:rPr>
          <w:i/>
          <w:w w:val="115"/>
          <w:sz w:val="19"/>
        </w:rPr>
        <w:t>ricana</w:t>
      </w:r>
      <w:r>
        <w:rPr>
          <w:i/>
          <w:spacing w:val="-7"/>
          <w:w w:val="115"/>
          <w:sz w:val="19"/>
        </w:rPr>
        <w:t> </w:t>
      </w:r>
      <w:r>
        <w:rPr>
          <w:i/>
          <w:w w:val="115"/>
          <w:sz w:val="19"/>
        </w:rPr>
        <w:t>de</w:t>
      </w:r>
      <w:r>
        <w:rPr>
          <w:i/>
          <w:spacing w:val="-7"/>
          <w:w w:val="115"/>
          <w:sz w:val="19"/>
        </w:rPr>
        <w:t> </w:t>
      </w:r>
      <w:r>
        <w:rPr>
          <w:i/>
          <w:w w:val="115"/>
          <w:sz w:val="19"/>
        </w:rPr>
        <w:t>Derechos</w:t>
      </w:r>
      <w:r>
        <w:rPr>
          <w:i/>
          <w:spacing w:val="-7"/>
          <w:w w:val="115"/>
          <w:sz w:val="19"/>
        </w:rPr>
        <w:t> </w:t>
      </w:r>
      <w:r>
        <w:rPr>
          <w:i/>
          <w:w w:val="115"/>
          <w:sz w:val="19"/>
        </w:rPr>
        <w:t>Humanos</w:t>
      </w:r>
      <w:r>
        <w:rPr>
          <w:w w:val="115"/>
          <w:sz w:val="19"/>
        </w:rPr>
        <w:t>”</w:t>
      </w:r>
      <w:r>
        <w:rPr>
          <w:spacing w:val="-7"/>
          <w:w w:val="115"/>
          <w:sz w:val="19"/>
        </w:rPr>
        <w:t> </w:t>
      </w:r>
      <w:r>
        <w:rPr>
          <w:w w:val="115"/>
          <w:sz w:val="19"/>
        </w:rPr>
        <w:t>(Congress</w:t>
      </w:r>
      <w:r>
        <w:rPr>
          <w:spacing w:val="-7"/>
          <w:w w:val="115"/>
          <w:sz w:val="19"/>
        </w:rPr>
        <w:t> </w:t>
      </w:r>
      <w:r>
        <w:rPr>
          <w:w w:val="115"/>
          <w:sz w:val="19"/>
        </w:rPr>
        <w:t>of</w:t>
      </w:r>
      <w:r>
        <w:rPr>
          <w:spacing w:val="-7"/>
          <w:w w:val="115"/>
          <w:sz w:val="19"/>
        </w:rPr>
        <w:t> </w:t>
      </w:r>
      <w:r>
        <w:rPr>
          <w:w w:val="115"/>
          <w:sz w:val="19"/>
        </w:rPr>
        <w:t>the</w:t>
      </w:r>
      <w:r>
        <w:rPr>
          <w:spacing w:val="-7"/>
          <w:w w:val="115"/>
          <w:sz w:val="19"/>
        </w:rPr>
        <w:t> </w:t>
      </w:r>
      <w:r>
        <w:rPr>
          <w:w w:val="115"/>
          <w:sz w:val="19"/>
        </w:rPr>
        <w:t>united</w:t>
      </w:r>
      <w:r>
        <w:rPr>
          <w:spacing w:val="-7"/>
          <w:w w:val="115"/>
          <w:sz w:val="19"/>
        </w:rPr>
        <w:t> </w:t>
      </w:r>
      <w:r>
        <w:rPr>
          <w:w w:val="115"/>
          <w:sz w:val="19"/>
        </w:rPr>
        <w:t>states</w:t>
      </w:r>
      <w:r>
        <w:rPr>
          <w:spacing w:val="-7"/>
          <w:w w:val="115"/>
          <w:sz w:val="19"/>
        </w:rPr>
        <w:t> </w:t>
      </w:r>
      <w:r>
        <w:rPr>
          <w:w w:val="115"/>
          <w:sz w:val="19"/>
        </w:rPr>
        <w:t>of</w:t>
      </w:r>
      <w:r>
        <w:rPr>
          <w:spacing w:val="-7"/>
          <w:w w:val="115"/>
          <w:sz w:val="19"/>
        </w:rPr>
        <w:t> </w:t>
      </w:r>
      <w:r>
        <w:rPr>
          <w:w w:val="115"/>
          <w:sz w:val="19"/>
        </w:rPr>
        <w:t>ame- </w:t>
      </w:r>
      <w:r>
        <w:rPr>
          <w:w w:val="114"/>
          <w:sz w:val="19"/>
        </w:rPr>
        <w:t>rica,</w:t>
      </w:r>
      <w:r>
        <w:rPr>
          <w:spacing w:val="12"/>
          <w:sz w:val="19"/>
        </w:rPr>
        <w:t> </w:t>
      </w:r>
      <w:r>
        <w:rPr>
          <w:w w:val="105"/>
          <w:sz w:val="19"/>
        </w:rPr>
        <w:t>2013.</w:t>
      </w:r>
      <w:r>
        <w:rPr>
          <w:spacing w:val="12"/>
          <w:sz w:val="19"/>
        </w:rPr>
        <w:t> </w:t>
      </w:r>
      <w:r>
        <w:rPr>
          <w:w w:val="243"/>
          <w:sz w:val="19"/>
        </w:rPr>
        <w:t>l</w:t>
      </w:r>
      <w:r>
        <w:rPr>
          <w:w w:val="109"/>
          <w:sz w:val="19"/>
        </w:rPr>
        <w:t>as</w:t>
      </w:r>
      <w:r>
        <w:rPr>
          <w:spacing w:val="12"/>
          <w:sz w:val="19"/>
        </w:rPr>
        <w:t> </w:t>
      </w:r>
      <w:r>
        <w:rPr>
          <w:w w:val="109"/>
          <w:sz w:val="19"/>
        </w:rPr>
        <w:t>cursivas</w:t>
      </w:r>
      <w:r>
        <w:rPr>
          <w:spacing w:val="12"/>
          <w:sz w:val="19"/>
        </w:rPr>
        <w:t> </w:t>
      </w:r>
      <w:r>
        <w:rPr>
          <w:w w:val="107"/>
          <w:sz w:val="19"/>
        </w:rPr>
        <w:t>pertenecen</w:t>
      </w:r>
      <w:r>
        <w:rPr>
          <w:spacing w:val="12"/>
          <w:sz w:val="19"/>
        </w:rPr>
        <w:t> </w:t>
      </w:r>
      <w:r>
        <w:rPr>
          <w:w w:val="111"/>
          <w:sz w:val="19"/>
        </w:rPr>
        <w:t>al</w:t>
      </w:r>
      <w:r>
        <w:rPr>
          <w:spacing w:val="12"/>
          <w:sz w:val="19"/>
        </w:rPr>
        <w:t> </w:t>
      </w:r>
      <w:r>
        <w:rPr>
          <w:w w:val="109"/>
          <w:sz w:val="19"/>
        </w:rPr>
        <w:t>autor</w:t>
      </w:r>
      <w:r>
        <w:rPr>
          <w:spacing w:val="12"/>
          <w:sz w:val="19"/>
        </w:rPr>
        <w:t> </w:t>
      </w:r>
      <w:r>
        <w:rPr>
          <w:w w:val="107"/>
          <w:sz w:val="19"/>
        </w:rPr>
        <w:t>de</w:t>
      </w:r>
      <w:r>
        <w:rPr>
          <w:spacing w:val="12"/>
          <w:sz w:val="19"/>
        </w:rPr>
        <w:t> </w:t>
      </w:r>
      <w:r>
        <w:rPr>
          <w:w w:val="105"/>
          <w:sz w:val="19"/>
        </w:rPr>
        <w:t>este</w:t>
      </w:r>
      <w:r>
        <w:rPr>
          <w:spacing w:val="12"/>
          <w:sz w:val="19"/>
        </w:rPr>
        <w:t> </w:t>
      </w:r>
      <w:r>
        <w:rPr>
          <w:w w:val="110"/>
          <w:sz w:val="19"/>
        </w:rPr>
        <w:t>trabajo).</w:t>
      </w:r>
    </w:p>
    <w:p>
      <w:pPr>
        <w:pStyle w:val="BodyText"/>
        <w:spacing w:line="252" w:lineRule="auto"/>
        <w:ind w:left="330" w:right="117" w:firstLine="396"/>
        <w:jc w:val="both"/>
      </w:pPr>
      <w:r>
        <w:rPr>
          <w:w w:val="115"/>
        </w:rPr>
        <w:t>Esos enunciado fueron ratificados por el secretario de Estado John Kerry en el discurso que pronunció ante la oEa a mediados de noviembre</w:t>
      </w:r>
      <w:r>
        <w:rPr>
          <w:spacing w:val="-23"/>
          <w:w w:val="115"/>
        </w:rPr>
        <w:t> </w:t>
      </w:r>
      <w:r>
        <w:rPr>
          <w:w w:val="115"/>
        </w:rPr>
        <w:t>de</w:t>
      </w:r>
      <w:r>
        <w:rPr>
          <w:spacing w:val="-23"/>
          <w:w w:val="115"/>
        </w:rPr>
        <w:t> </w:t>
      </w:r>
      <w:r>
        <w:rPr>
          <w:w w:val="115"/>
        </w:rPr>
        <w:t>2013</w:t>
      </w:r>
      <w:r>
        <w:rPr>
          <w:spacing w:val="-23"/>
          <w:w w:val="115"/>
        </w:rPr>
        <w:t> </w:t>
      </w:r>
      <w:r>
        <w:rPr>
          <w:spacing w:val="-4"/>
          <w:w w:val="115"/>
        </w:rPr>
        <w:t>(Kerry,</w:t>
      </w:r>
      <w:r>
        <w:rPr>
          <w:spacing w:val="-23"/>
          <w:w w:val="115"/>
        </w:rPr>
        <w:t> </w:t>
      </w:r>
      <w:r>
        <w:rPr>
          <w:w w:val="115"/>
        </w:rPr>
        <w:t>2013)</w:t>
      </w:r>
      <w:r>
        <w:rPr>
          <w:spacing w:val="-23"/>
          <w:w w:val="115"/>
        </w:rPr>
        <w:t> </w:t>
      </w:r>
      <w:r>
        <w:rPr>
          <w:w w:val="115"/>
        </w:rPr>
        <w:t>y</w:t>
      </w:r>
      <w:r>
        <w:rPr>
          <w:spacing w:val="-23"/>
          <w:w w:val="115"/>
        </w:rPr>
        <w:t> </w:t>
      </w:r>
      <w:r>
        <w:rPr>
          <w:w w:val="115"/>
        </w:rPr>
        <w:t>por</w:t>
      </w:r>
      <w:r>
        <w:rPr>
          <w:spacing w:val="-23"/>
          <w:w w:val="115"/>
        </w:rPr>
        <w:t> </w:t>
      </w:r>
      <w:r>
        <w:rPr>
          <w:w w:val="115"/>
        </w:rPr>
        <w:t>la</w:t>
      </w:r>
      <w:r>
        <w:rPr>
          <w:spacing w:val="-23"/>
          <w:w w:val="115"/>
        </w:rPr>
        <w:t> </w:t>
      </w:r>
      <w:r>
        <w:rPr>
          <w:w w:val="115"/>
        </w:rPr>
        <w:t>delegación</w:t>
      </w:r>
      <w:r>
        <w:rPr>
          <w:spacing w:val="-23"/>
          <w:w w:val="115"/>
        </w:rPr>
        <w:t> </w:t>
      </w:r>
      <w:r>
        <w:rPr>
          <w:w w:val="115"/>
        </w:rPr>
        <w:t>estadounidense que, encabezada por el subsecretaría de Estado para el hemisferio occidental, roberta Jacobsen, asistió al Cuadragésimo cuarto perío- do ordinario de sesiones de la oEa efectuado en Paraguay del 3 al   5 de junio de 2014. asimismo, por el representante</w:t>
      </w:r>
      <w:r>
        <w:rPr>
          <w:spacing w:val="-8"/>
          <w:w w:val="115"/>
        </w:rPr>
        <w:t> </w:t>
      </w:r>
      <w:r>
        <w:rPr>
          <w:w w:val="115"/>
        </w:rPr>
        <w:t>estadounidense que participó en la asamblea General Extraordinaria de la oEa que se efectuó en Washington el 12 de septiembre de 2014 (oEa,</w:t>
      </w:r>
      <w:r>
        <w:rPr>
          <w:spacing w:val="-29"/>
          <w:w w:val="115"/>
        </w:rPr>
        <w:t> </w:t>
      </w:r>
      <w:r>
        <w:rPr>
          <w:w w:val="115"/>
        </w:rPr>
        <w:t>2014). Esta</w:t>
      </w:r>
      <w:r>
        <w:rPr>
          <w:spacing w:val="-18"/>
          <w:w w:val="115"/>
        </w:rPr>
        <w:t> </w:t>
      </w:r>
      <w:r>
        <w:rPr>
          <w:w w:val="115"/>
        </w:rPr>
        <w:t>aprobó</w:t>
      </w:r>
      <w:r>
        <w:rPr>
          <w:spacing w:val="-18"/>
          <w:w w:val="115"/>
        </w:rPr>
        <w:t> </w:t>
      </w:r>
      <w:r>
        <w:rPr>
          <w:w w:val="115"/>
        </w:rPr>
        <w:t>“la</w:t>
      </w:r>
      <w:r>
        <w:rPr>
          <w:spacing w:val="-18"/>
          <w:w w:val="115"/>
        </w:rPr>
        <w:t> </w:t>
      </w:r>
      <w:r>
        <w:rPr>
          <w:w w:val="115"/>
        </w:rPr>
        <w:t>visión</w:t>
      </w:r>
      <w:r>
        <w:rPr>
          <w:spacing w:val="-18"/>
          <w:w w:val="115"/>
        </w:rPr>
        <w:t> </w:t>
      </w:r>
      <w:r>
        <w:rPr>
          <w:w w:val="115"/>
        </w:rPr>
        <w:t>estratégica</w:t>
      </w:r>
      <w:r>
        <w:rPr>
          <w:spacing w:val="-18"/>
          <w:w w:val="115"/>
        </w:rPr>
        <w:t> </w:t>
      </w:r>
      <w:r>
        <w:rPr>
          <w:w w:val="115"/>
        </w:rPr>
        <w:t>de</w:t>
      </w:r>
      <w:r>
        <w:rPr>
          <w:spacing w:val="-18"/>
          <w:w w:val="115"/>
        </w:rPr>
        <w:t> </w:t>
      </w:r>
      <w:r>
        <w:rPr>
          <w:w w:val="115"/>
        </w:rPr>
        <w:t>la</w:t>
      </w:r>
      <w:r>
        <w:rPr>
          <w:spacing w:val="-18"/>
          <w:w w:val="115"/>
        </w:rPr>
        <w:t> </w:t>
      </w:r>
      <w:r>
        <w:rPr>
          <w:w w:val="115"/>
        </w:rPr>
        <w:t>organización</w:t>
      </w:r>
      <w:r>
        <w:rPr>
          <w:spacing w:val="-18"/>
          <w:w w:val="115"/>
        </w:rPr>
        <w:t> </w:t>
      </w:r>
      <w:r>
        <w:rPr>
          <w:w w:val="115"/>
        </w:rPr>
        <w:t>de</w:t>
      </w:r>
      <w:r>
        <w:rPr>
          <w:spacing w:val="-18"/>
          <w:w w:val="115"/>
        </w:rPr>
        <w:t> </w:t>
      </w:r>
      <w:r>
        <w:rPr>
          <w:w w:val="115"/>
        </w:rPr>
        <w:t>Estados</w:t>
      </w:r>
      <w:r>
        <w:rPr>
          <w:spacing w:val="-18"/>
          <w:w w:val="115"/>
        </w:rPr>
        <w:t> </w:t>
      </w:r>
      <w:r>
        <w:rPr>
          <w:w w:val="115"/>
        </w:rPr>
        <w:t>ame- ricanos” que, luego de varias versiones y a instancias de su secreta- rio</w:t>
      </w:r>
      <w:r>
        <w:rPr>
          <w:spacing w:val="-10"/>
          <w:w w:val="115"/>
        </w:rPr>
        <w:t> </w:t>
      </w:r>
      <w:r>
        <w:rPr>
          <w:w w:val="115"/>
        </w:rPr>
        <w:t>General,</w:t>
      </w:r>
      <w:r>
        <w:rPr>
          <w:spacing w:val="-10"/>
          <w:w w:val="115"/>
        </w:rPr>
        <w:t> </w:t>
      </w:r>
      <w:r>
        <w:rPr>
          <w:w w:val="115"/>
        </w:rPr>
        <w:t>José</w:t>
      </w:r>
      <w:r>
        <w:rPr>
          <w:spacing w:val="-10"/>
          <w:w w:val="115"/>
        </w:rPr>
        <w:t> </w:t>
      </w:r>
      <w:r>
        <w:rPr>
          <w:w w:val="115"/>
        </w:rPr>
        <w:t>Miguel</w:t>
      </w:r>
      <w:r>
        <w:rPr>
          <w:spacing w:val="-10"/>
          <w:w w:val="115"/>
        </w:rPr>
        <w:t> </w:t>
      </w:r>
      <w:r>
        <w:rPr>
          <w:w w:val="115"/>
        </w:rPr>
        <w:t>insulza,</w:t>
      </w:r>
      <w:r>
        <w:rPr>
          <w:spacing w:val="-10"/>
          <w:w w:val="115"/>
        </w:rPr>
        <w:t> </w:t>
      </w:r>
      <w:r>
        <w:rPr>
          <w:w w:val="115"/>
        </w:rPr>
        <w:t>había</w:t>
      </w:r>
      <w:r>
        <w:rPr>
          <w:spacing w:val="-10"/>
          <w:w w:val="115"/>
        </w:rPr>
        <w:t> </w:t>
      </w:r>
      <w:r>
        <w:rPr>
          <w:w w:val="115"/>
        </w:rPr>
        <w:t>sido</w:t>
      </w:r>
      <w:r>
        <w:rPr>
          <w:spacing w:val="-10"/>
          <w:w w:val="115"/>
        </w:rPr>
        <w:t> </w:t>
      </w:r>
      <w:r>
        <w:rPr>
          <w:w w:val="115"/>
        </w:rPr>
        <w:t>aprobado</w:t>
      </w:r>
      <w:r>
        <w:rPr>
          <w:spacing w:val="-10"/>
          <w:w w:val="115"/>
        </w:rPr>
        <w:t> </w:t>
      </w:r>
      <w:r>
        <w:rPr>
          <w:w w:val="115"/>
        </w:rPr>
        <w:t>por</w:t>
      </w:r>
      <w:r>
        <w:rPr>
          <w:spacing w:val="-10"/>
          <w:w w:val="115"/>
        </w:rPr>
        <w:t> </w:t>
      </w:r>
      <w:r>
        <w:rPr>
          <w:w w:val="115"/>
        </w:rPr>
        <w:t>su</w:t>
      </w:r>
      <w:r>
        <w:rPr>
          <w:spacing w:val="-10"/>
          <w:w w:val="115"/>
        </w:rPr>
        <w:t> </w:t>
      </w:r>
      <w:r>
        <w:rPr>
          <w:w w:val="115"/>
        </w:rPr>
        <w:t>Consejo Permanente</w:t>
      </w:r>
      <w:r>
        <w:rPr>
          <w:spacing w:val="-18"/>
          <w:w w:val="115"/>
        </w:rPr>
        <w:t> </w:t>
      </w:r>
      <w:r>
        <w:rPr>
          <w:w w:val="115"/>
        </w:rPr>
        <w:t>el</w:t>
      </w:r>
      <w:r>
        <w:rPr>
          <w:spacing w:val="-18"/>
          <w:w w:val="115"/>
        </w:rPr>
        <w:t> </w:t>
      </w:r>
      <w:r>
        <w:rPr>
          <w:w w:val="115"/>
        </w:rPr>
        <w:t>23</w:t>
      </w:r>
      <w:r>
        <w:rPr>
          <w:spacing w:val="-18"/>
          <w:w w:val="115"/>
        </w:rPr>
        <w:t> </w:t>
      </w:r>
      <w:r>
        <w:rPr>
          <w:w w:val="115"/>
        </w:rPr>
        <w:t>de</w:t>
      </w:r>
      <w:r>
        <w:rPr>
          <w:spacing w:val="-18"/>
          <w:w w:val="115"/>
        </w:rPr>
        <w:t> </w:t>
      </w:r>
      <w:r>
        <w:rPr>
          <w:w w:val="115"/>
        </w:rPr>
        <w:t>mayo</w:t>
      </w:r>
      <w:r>
        <w:rPr>
          <w:spacing w:val="-18"/>
          <w:w w:val="115"/>
        </w:rPr>
        <w:t> </w:t>
      </w:r>
      <w:r>
        <w:rPr>
          <w:w w:val="115"/>
        </w:rPr>
        <w:t>de</w:t>
      </w:r>
      <w:r>
        <w:rPr>
          <w:spacing w:val="-18"/>
          <w:w w:val="115"/>
        </w:rPr>
        <w:t> </w:t>
      </w:r>
      <w:r>
        <w:rPr>
          <w:w w:val="115"/>
        </w:rPr>
        <w:t>2014</w:t>
      </w:r>
      <w:r>
        <w:rPr>
          <w:spacing w:val="-18"/>
          <w:w w:val="115"/>
        </w:rPr>
        <w:t> </w:t>
      </w:r>
      <w:r>
        <w:rPr>
          <w:w w:val="115"/>
        </w:rPr>
        <w:t>(oEa,</w:t>
      </w:r>
      <w:r>
        <w:rPr>
          <w:spacing w:val="-18"/>
          <w:w w:val="115"/>
        </w:rPr>
        <w:t> </w:t>
      </w:r>
      <w:r>
        <w:rPr>
          <w:w w:val="115"/>
        </w:rPr>
        <w:t>2014a).</w:t>
      </w:r>
    </w:p>
    <w:p>
      <w:pPr>
        <w:pStyle w:val="BodyText"/>
        <w:spacing w:line="252" w:lineRule="auto"/>
        <w:ind w:left="330" w:right="118" w:firstLine="396"/>
        <w:jc w:val="both"/>
      </w:pPr>
      <w:r>
        <w:rPr>
          <w:w w:val="110"/>
        </w:rPr>
        <w:t>No obstante, las diferencias que objetivamente existen entre esa </w:t>
      </w:r>
      <w:r>
        <w:rPr>
          <w:w w:val="109"/>
        </w:rPr>
        <w:t>visión</w:t>
      </w:r>
      <w:r>
        <w:rPr>
          <w:spacing w:val="10"/>
        </w:rPr>
        <w:t> </w:t>
      </w:r>
      <w:r>
        <w:rPr>
          <w:w w:val="105"/>
        </w:rPr>
        <w:t>y</w:t>
      </w:r>
      <w:r>
        <w:rPr>
          <w:spacing w:val="10"/>
        </w:rPr>
        <w:t> </w:t>
      </w:r>
      <w:r>
        <w:rPr>
          <w:w w:val="111"/>
        </w:rPr>
        <w:t>la</w:t>
      </w:r>
      <w:r>
        <w:rPr>
          <w:spacing w:val="10"/>
        </w:rPr>
        <w:t> </w:t>
      </w:r>
      <w:r>
        <w:rPr>
          <w:w w:val="108"/>
        </w:rPr>
        <w:t>ya</w:t>
      </w:r>
      <w:r>
        <w:rPr>
          <w:spacing w:val="10"/>
        </w:rPr>
        <w:t> </w:t>
      </w:r>
      <w:r>
        <w:rPr>
          <w:w w:val="111"/>
        </w:rPr>
        <w:t>mencionada</w:t>
      </w:r>
      <w:r>
        <w:rPr>
          <w:spacing w:val="10"/>
        </w:rPr>
        <w:t> </w:t>
      </w:r>
      <w:r>
        <w:rPr>
          <w:w w:val="243"/>
        </w:rPr>
        <w:t>l</w:t>
      </w:r>
      <w:r>
        <w:rPr>
          <w:w w:val="104"/>
        </w:rPr>
        <w:t>ey</w:t>
      </w:r>
      <w:r>
        <w:rPr>
          <w:spacing w:val="10"/>
        </w:rPr>
        <w:t> </w:t>
      </w:r>
      <w:r>
        <w:rPr>
          <w:w w:val="107"/>
        </w:rPr>
        <w:t>de</w:t>
      </w:r>
      <w:r>
        <w:rPr>
          <w:spacing w:val="10"/>
        </w:rPr>
        <w:t> </w:t>
      </w:r>
      <w:r>
        <w:rPr>
          <w:w w:val="182"/>
        </w:rPr>
        <w:t>r</w:t>
      </w:r>
      <w:r>
        <w:rPr>
          <w:w w:val="110"/>
        </w:rPr>
        <w:t>eforma</w:t>
      </w:r>
      <w:r>
        <w:rPr>
          <w:spacing w:val="10"/>
        </w:rPr>
        <w:t> </w:t>
      </w:r>
      <w:r>
        <w:rPr>
          <w:w w:val="105"/>
        </w:rPr>
        <w:t>y</w:t>
      </w:r>
      <w:r>
        <w:rPr>
          <w:spacing w:val="10"/>
        </w:rPr>
        <w:t> </w:t>
      </w:r>
      <w:r>
        <w:rPr>
          <w:w w:val="182"/>
        </w:rPr>
        <w:t>r</w:t>
      </w:r>
      <w:r>
        <w:rPr>
          <w:w w:val="110"/>
        </w:rPr>
        <w:t>evitalización</w:t>
      </w:r>
      <w:r>
        <w:rPr>
          <w:spacing w:val="10"/>
        </w:rPr>
        <w:t> </w:t>
      </w:r>
      <w:r>
        <w:rPr>
          <w:w w:val="107"/>
        </w:rPr>
        <w:t>de</w:t>
      </w:r>
      <w:r>
        <w:rPr>
          <w:spacing w:val="10"/>
        </w:rPr>
        <w:t> </w:t>
      </w:r>
      <w:r>
        <w:rPr>
          <w:w w:val="111"/>
        </w:rPr>
        <w:t>la</w:t>
      </w:r>
      <w:r>
        <w:rPr>
          <w:spacing w:val="10"/>
        </w:rPr>
        <w:t> </w:t>
      </w:r>
      <w:r>
        <w:rPr>
          <w:w w:val="149"/>
        </w:rPr>
        <w:t>o</w:t>
      </w:r>
      <w:r>
        <w:rPr>
          <w:w w:val="128"/>
        </w:rPr>
        <w:t>E</w:t>
      </w:r>
      <w:r>
        <w:rPr>
          <w:w w:val="139"/>
        </w:rPr>
        <w:t>a </w:t>
      </w:r>
      <w:r>
        <w:rPr>
          <w:w w:val="110"/>
        </w:rPr>
        <w:t>de</w:t>
      </w:r>
      <w:r>
        <w:rPr>
          <w:spacing w:val="-5"/>
          <w:w w:val="110"/>
        </w:rPr>
        <w:t> </w:t>
      </w:r>
      <w:r>
        <w:rPr>
          <w:w w:val="110"/>
        </w:rPr>
        <w:t>2013</w:t>
      </w:r>
      <w:r>
        <w:rPr>
          <w:spacing w:val="-5"/>
          <w:w w:val="110"/>
        </w:rPr>
        <w:t> </w:t>
      </w:r>
      <w:r>
        <w:rPr>
          <w:w w:val="110"/>
        </w:rPr>
        <w:t>firmada</w:t>
      </w:r>
      <w:r>
        <w:rPr>
          <w:spacing w:val="-5"/>
          <w:w w:val="110"/>
        </w:rPr>
        <w:t> </w:t>
      </w:r>
      <w:r>
        <w:rPr>
          <w:w w:val="110"/>
        </w:rPr>
        <w:t>por</w:t>
      </w:r>
      <w:r>
        <w:rPr>
          <w:spacing w:val="-5"/>
          <w:w w:val="110"/>
        </w:rPr>
        <w:t> </w:t>
      </w:r>
      <w:r>
        <w:rPr>
          <w:w w:val="110"/>
        </w:rPr>
        <w:t>barack</w:t>
      </w:r>
      <w:r>
        <w:rPr>
          <w:spacing w:val="-5"/>
          <w:w w:val="110"/>
        </w:rPr>
        <w:t> </w:t>
      </w:r>
      <w:r>
        <w:rPr>
          <w:w w:val="110"/>
        </w:rPr>
        <w:t>obama,</w:t>
      </w:r>
      <w:r>
        <w:rPr>
          <w:spacing w:val="-5"/>
          <w:w w:val="110"/>
        </w:rPr>
        <w:t> </w:t>
      </w:r>
      <w:r>
        <w:rPr>
          <w:w w:val="110"/>
        </w:rPr>
        <w:t>es</w:t>
      </w:r>
      <w:r>
        <w:rPr>
          <w:spacing w:val="-5"/>
          <w:w w:val="110"/>
        </w:rPr>
        <w:t> </w:t>
      </w:r>
      <w:r>
        <w:rPr>
          <w:w w:val="110"/>
        </w:rPr>
        <w:t>de</w:t>
      </w:r>
      <w:r>
        <w:rPr>
          <w:spacing w:val="-5"/>
          <w:w w:val="110"/>
        </w:rPr>
        <w:t> </w:t>
      </w:r>
      <w:r>
        <w:rPr>
          <w:w w:val="110"/>
        </w:rPr>
        <w:t>esperar</w:t>
      </w:r>
      <w:r>
        <w:rPr>
          <w:spacing w:val="-5"/>
          <w:w w:val="110"/>
        </w:rPr>
        <w:t> </w:t>
      </w:r>
      <w:r>
        <w:rPr>
          <w:w w:val="110"/>
        </w:rPr>
        <w:t>que</w:t>
      </w:r>
      <w:r>
        <w:rPr>
          <w:spacing w:val="-5"/>
          <w:w w:val="110"/>
        </w:rPr>
        <w:t> </w:t>
      </w:r>
      <w:r>
        <w:rPr>
          <w:w w:val="110"/>
        </w:rPr>
        <w:t>en</w:t>
      </w:r>
      <w:r>
        <w:rPr>
          <w:spacing w:val="-5"/>
          <w:w w:val="110"/>
        </w:rPr>
        <w:t> </w:t>
      </w:r>
      <w:r>
        <w:rPr>
          <w:w w:val="110"/>
        </w:rPr>
        <w:t>lo</w:t>
      </w:r>
      <w:r>
        <w:rPr>
          <w:spacing w:val="-5"/>
          <w:w w:val="110"/>
        </w:rPr>
        <w:t> </w:t>
      </w:r>
      <w:r>
        <w:rPr>
          <w:w w:val="110"/>
        </w:rPr>
        <w:t>que</w:t>
      </w:r>
      <w:r>
        <w:rPr>
          <w:spacing w:val="-5"/>
          <w:w w:val="110"/>
        </w:rPr>
        <w:t> </w:t>
      </w:r>
      <w:r>
        <w:rPr>
          <w:w w:val="110"/>
        </w:rPr>
        <w:t>le</w:t>
      </w:r>
      <w:r>
        <w:rPr>
          <w:spacing w:val="-5"/>
          <w:w w:val="110"/>
        </w:rPr>
        <w:t> </w:t>
      </w:r>
      <w:r>
        <w:rPr>
          <w:w w:val="110"/>
        </w:rPr>
        <w:t>que- da a su segunda presidencia continúe utilizando todas sus influencias diplomáticas y financieras en el funcionamiento sistemático de esa organización para tratar de concretar las definiciones al respecto con- tenidas en </w:t>
      </w:r>
      <w:r>
        <w:rPr>
          <w:i/>
          <w:w w:val="110"/>
        </w:rPr>
        <w:t>La política de defensa de Estados Unidos para el hemisferio </w:t>
      </w:r>
      <w:r>
        <w:rPr>
          <w:i/>
          <w:w w:val="110"/>
        </w:rPr>
        <w:t>occidental </w:t>
      </w:r>
      <w:r>
        <w:rPr>
          <w:w w:val="110"/>
        </w:rPr>
        <w:t>elaborada por el Pentágono hasta 2023. En esta se </w:t>
      </w:r>
      <w:r>
        <w:rPr>
          <w:spacing w:val="14"/>
          <w:w w:val="110"/>
        </w:rPr>
        <w:t> </w:t>
      </w:r>
      <w:r>
        <w:rPr>
          <w:w w:val="110"/>
        </w:rPr>
        <w:t>indicó:</w:t>
      </w:r>
    </w:p>
    <w:p>
      <w:pPr>
        <w:pStyle w:val="BodyText"/>
        <w:spacing w:before="11"/>
        <w:rPr>
          <w:sz w:val="18"/>
        </w:rPr>
      </w:pPr>
    </w:p>
    <w:p>
      <w:pPr>
        <w:spacing w:before="0"/>
        <w:ind w:left="727" w:right="118" w:firstLine="0"/>
        <w:jc w:val="both"/>
        <w:rPr>
          <w:sz w:val="18"/>
        </w:rPr>
      </w:pPr>
      <w:r>
        <w:rPr>
          <w:w w:val="238"/>
          <w:sz w:val="18"/>
        </w:rPr>
        <w:t>l</w:t>
      </w:r>
      <w:r>
        <w:rPr>
          <w:w w:val="105"/>
          <w:sz w:val="18"/>
        </w:rPr>
        <w:t>os</w:t>
      </w:r>
      <w:r>
        <w:rPr>
          <w:sz w:val="18"/>
        </w:rPr>
        <w:t> </w:t>
      </w:r>
      <w:r>
        <w:rPr>
          <w:spacing w:val="-16"/>
          <w:sz w:val="18"/>
        </w:rPr>
        <w:t> </w:t>
      </w:r>
      <w:r>
        <w:rPr>
          <w:w w:val="109"/>
          <w:sz w:val="18"/>
        </w:rPr>
        <w:t>Estados</w:t>
      </w:r>
      <w:r>
        <w:rPr>
          <w:sz w:val="18"/>
        </w:rPr>
        <w:t> </w:t>
      </w:r>
      <w:r>
        <w:rPr>
          <w:spacing w:val="-16"/>
          <w:sz w:val="18"/>
        </w:rPr>
        <w:t> </w:t>
      </w:r>
      <w:r>
        <w:rPr>
          <w:w w:val="137"/>
          <w:sz w:val="18"/>
        </w:rPr>
        <w:t>u</w:t>
      </w:r>
      <w:r>
        <w:rPr>
          <w:w w:val="110"/>
          <w:sz w:val="18"/>
        </w:rPr>
        <w:t>nidos,</w:t>
      </w:r>
      <w:r>
        <w:rPr>
          <w:sz w:val="18"/>
        </w:rPr>
        <w:t> </w:t>
      </w:r>
      <w:r>
        <w:rPr>
          <w:spacing w:val="-16"/>
          <w:sz w:val="18"/>
        </w:rPr>
        <w:t> </w:t>
      </w:r>
      <w:r>
        <w:rPr>
          <w:w w:val="107"/>
          <w:sz w:val="18"/>
        </w:rPr>
        <w:t>mediante</w:t>
      </w:r>
      <w:r>
        <w:rPr>
          <w:sz w:val="18"/>
        </w:rPr>
        <w:t> </w:t>
      </w:r>
      <w:r>
        <w:rPr>
          <w:spacing w:val="-16"/>
          <w:sz w:val="18"/>
        </w:rPr>
        <w:t> </w:t>
      </w:r>
      <w:r>
        <w:rPr>
          <w:w w:val="107"/>
          <w:sz w:val="18"/>
        </w:rPr>
        <w:t>su</w:t>
      </w:r>
      <w:r>
        <w:rPr>
          <w:sz w:val="18"/>
        </w:rPr>
        <w:t> </w:t>
      </w:r>
      <w:r>
        <w:rPr>
          <w:spacing w:val="-16"/>
          <w:sz w:val="18"/>
        </w:rPr>
        <w:t> </w:t>
      </w:r>
      <w:r>
        <w:rPr>
          <w:w w:val="109"/>
          <w:sz w:val="18"/>
        </w:rPr>
        <w:t>participación</w:t>
      </w:r>
      <w:r>
        <w:rPr>
          <w:sz w:val="18"/>
        </w:rPr>
        <w:t> </w:t>
      </w:r>
      <w:r>
        <w:rPr>
          <w:spacing w:val="-16"/>
          <w:sz w:val="18"/>
        </w:rPr>
        <w:t> </w:t>
      </w:r>
      <w:r>
        <w:rPr>
          <w:w w:val="106"/>
          <w:sz w:val="18"/>
        </w:rPr>
        <w:t>en</w:t>
      </w:r>
      <w:r>
        <w:rPr>
          <w:sz w:val="18"/>
        </w:rPr>
        <w:t> </w:t>
      </w:r>
      <w:r>
        <w:rPr>
          <w:spacing w:val="-16"/>
          <w:sz w:val="18"/>
        </w:rPr>
        <w:t> </w:t>
      </w:r>
      <w:r>
        <w:rPr>
          <w:w w:val="109"/>
          <w:sz w:val="18"/>
        </w:rPr>
        <w:t>la</w:t>
      </w:r>
      <w:r>
        <w:rPr>
          <w:sz w:val="18"/>
        </w:rPr>
        <w:t> </w:t>
      </w:r>
      <w:r>
        <w:rPr>
          <w:spacing w:val="-16"/>
          <w:sz w:val="18"/>
        </w:rPr>
        <w:t> </w:t>
      </w:r>
      <w:r>
        <w:rPr>
          <w:w w:val="146"/>
          <w:sz w:val="18"/>
        </w:rPr>
        <w:t>o</w:t>
      </w:r>
      <w:r>
        <w:rPr>
          <w:w w:val="125"/>
          <w:sz w:val="18"/>
        </w:rPr>
        <w:t>E</w:t>
      </w:r>
      <w:r>
        <w:rPr>
          <w:w w:val="136"/>
          <w:sz w:val="18"/>
        </w:rPr>
        <w:t>a</w:t>
      </w:r>
      <w:r>
        <w:rPr>
          <w:sz w:val="18"/>
        </w:rPr>
        <w:t> </w:t>
      </w:r>
      <w:r>
        <w:rPr>
          <w:spacing w:val="-16"/>
          <w:sz w:val="18"/>
        </w:rPr>
        <w:t> </w:t>
      </w:r>
      <w:r>
        <w:rPr>
          <w:w w:val="102"/>
          <w:sz w:val="18"/>
        </w:rPr>
        <w:t>y</w:t>
      </w:r>
      <w:r>
        <w:rPr>
          <w:sz w:val="18"/>
        </w:rPr>
        <w:t> </w:t>
      </w:r>
      <w:r>
        <w:rPr>
          <w:spacing w:val="-16"/>
          <w:sz w:val="18"/>
        </w:rPr>
        <w:t> </w:t>
      </w:r>
      <w:r>
        <w:rPr>
          <w:w w:val="108"/>
          <w:sz w:val="18"/>
        </w:rPr>
        <w:t>median</w:t>
      </w:r>
      <w:r>
        <w:rPr>
          <w:w w:val="100"/>
          <w:sz w:val="18"/>
        </w:rPr>
        <w:t>- </w:t>
      </w:r>
      <w:r>
        <w:rPr>
          <w:w w:val="110"/>
          <w:sz w:val="18"/>
        </w:rPr>
        <w:t>te cada uno de nuestros compromisos ínter militares, </w:t>
      </w:r>
      <w:r>
        <w:rPr>
          <w:i/>
          <w:w w:val="110"/>
          <w:sz w:val="18"/>
        </w:rPr>
        <w:t>promoverán un </w:t>
      </w:r>
      <w:r>
        <w:rPr>
          <w:i/>
          <w:w w:val="110"/>
          <w:sz w:val="18"/>
        </w:rPr>
        <w:t>férreo</w:t>
      </w:r>
      <w:r>
        <w:rPr>
          <w:i/>
          <w:spacing w:val="-7"/>
          <w:w w:val="110"/>
          <w:sz w:val="18"/>
        </w:rPr>
        <w:t> </w:t>
      </w:r>
      <w:r>
        <w:rPr>
          <w:i/>
          <w:w w:val="110"/>
          <w:sz w:val="18"/>
        </w:rPr>
        <w:t>sistema</w:t>
      </w:r>
      <w:r>
        <w:rPr>
          <w:i/>
          <w:spacing w:val="-7"/>
          <w:w w:val="110"/>
          <w:sz w:val="18"/>
        </w:rPr>
        <w:t> </w:t>
      </w:r>
      <w:r>
        <w:rPr>
          <w:i/>
          <w:w w:val="110"/>
          <w:sz w:val="18"/>
        </w:rPr>
        <w:t>de</w:t>
      </w:r>
      <w:r>
        <w:rPr>
          <w:i/>
          <w:spacing w:val="-7"/>
          <w:w w:val="110"/>
          <w:sz w:val="18"/>
        </w:rPr>
        <w:t> </w:t>
      </w:r>
      <w:r>
        <w:rPr>
          <w:i/>
          <w:w w:val="110"/>
          <w:sz w:val="18"/>
        </w:rPr>
        <w:t>cooperación</w:t>
      </w:r>
      <w:r>
        <w:rPr>
          <w:i/>
          <w:spacing w:val="-7"/>
          <w:w w:val="110"/>
          <w:sz w:val="18"/>
        </w:rPr>
        <w:t> </w:t>
      </w:r>
      <w:r>
        <w:rPr>
          <w:i/>
          <w:w w:val="110"/>
          <w:sz w:val="18"/>
        </w:rPr>
        <w:t>en</w:t>
      </w:r>
      <w:r>
        <w:rPr>
          <w:i/>
          <w:spacing w:val="-7"/>
          <w:w w:val="110"/>
          <w:sz w:val="18"/>
        </w:rPr>
        <w:t> </w:t>
      </w:r>
      <w:r>
        <w:rPr>
          <w:i/>
          <w:w w:val="110"/>
          <w:sz w:val="18"/>
        </w:rPr>
        <w:t>materia</w:t>
      </w:r>
      <w:r>
        <w:rPr>
          <w:i/>
          <w:spacing w:val="-7"/>
          <w:w w:val="110"/>
          <w:sz w:val="18"/>
        </w:rPr>
        <w:t> </w:t>
      </w:r>
      <w:r>
        <w:rPr>
          <w:i/>
          <w:w w:val="110"/>
          <w:sz w:val="18"/>
        </w:rPr>
        <w:t>de</w:t>
      </w:r>
      <w:r>
        <w:rPr>
          <w:i/>
          <w:spacing w:val="-7"/>
          <w:w w:val="110"/>
          <w:sz w:val="18"/>
        </w:rPr>
        <w:t> </w:t>
      </w:r>
      <w:r>
        <w:rPr>
          <w:i/>
          <w:w w:val="110"/>
          <w:sz w:val="18"/>
        </w:rPr>
        <w:t>defensa</w:t>
      </w:r>
      <w:r>
        <w:rPr>
          <w:i/>
          <w:spacing w:val="-7"/>
          <w:w w:val="110"/>
          <w:sz w:val="18"/>
        </w:rPr>
        <w:t> </w:t>
      </w:r>
      <w:r>
        <w:rPr>
          <w:w w:val="110"/>
          <w:sz w:val="18"/>
        </w:rPr>
        <w:t>que</w:t>
      </w:r>
      <w:r>
        <w:rPr>
          <w:spacing w:val="-7"/>
          <w:w w:val="110"/>
          <w:sz w:val="18"/>
        </w:rPr>
        <w:t> </w:t>
      </w:r>
      <w:r>
        <w:rPr>
          <w:w w:val="110"/>
          <w:sz w:val="18"/>
        </w:rPr>
        <w:t>procure</w:t>
      </w:r>
      <w:r>
        <w:rPr>
          <w:spacing w:val="-7"/>
          <w:w w:val="110"/>
          <w:sz w:val="18"/>
        </w:rPr>
        <w:t> </w:t>
      </w:r>
      <w:r>
        <w:rPr>
          <w:w w:val="110"/>
          <w:sz w:val="18"/>
        </w:rPr>
        <w:t>hacer frente a los desafíos complejos del siglo </w:t>
      </w:r>
      <w:r>
        <w:rPr>
          <w:w w:val="125"/>
          <w:sz w:val="18"/>
        </w:rPr>
        <w:t>xxi. </w:t>
      </w:r>
      <w:r>
        <w:rPr>
          <w:w w:val="110"/>
          <w:sz w:val="18"/>
        </w:rPr>
        <w:t>[…] Nos esmeraremos </w:t>
      </w:r>
      <w:r>
        <w:rPr>
          <w:i/>
          <w:w w:val="110"/>
          <w:sz w:val="18"/>
        </w:rPr>
        <w:t>por reformar las instituciones existentes y aprovecharlas a fin de</w:t>
      </w:r>
      <w:r>
        <w:rPr>
          <w:i/>
          <w:spacing w:val="-28"/>
          <w:w w:val="110"/>
          <w:sz w:val="18"/>
        </w:rPr>
        <w:t> </w:t>
      </w:r>
      <w:r>
        <w:rPr>
          <w:i/>
          <w:w w:val="110"/>
          <w:sz w:val="18"/>
        </w:rPr>
        <w:t>lograr </w:t>
      </w:r>
      <w:r>
        <w:rPr>
          <w:i/>
          <w:w w:val="110"/>
          <w:sz w:val="18"/>
        </w:rPr>
        <w:t>una</w:t>
      </w:r>
      <w:r>
        <w:rPr>
          <w:i/>
          <w:spacing w:val="-20"/>
          <w:w w:val="110"/>
          <w:sz w:val="18"/>
        </w:rPr>
        <w:t> </w:t>
      </w:r>
      <w:r>
        <w:rPr>
          <w:i/>
          <w:w w:val="110"/>
          <w:sz w:val="18"/>
        </w:rPr>
        <w:t>mayor</w:t>
      </w:r>
      <w:r>
        <w:rPr>
          <w:i/>
          <w:spacing w:val="-20"/>
          <w:w w:val="110"/>
          <w:sz w:val="18"/>
        </w:rPr>
        <w:t> </w:t>
      </w:r>
      <w:r>
        <w:rPr>
          <w:i/>
          <w:w w:val="110"/>
          <w:sz w:val="18"/>
        </w:rPr>
        <w:t>eficacia</w:t>
      </w:r>
      <w:r>
        <w:rPr>
          <w:i/>
          <w:spacing w:val="-20"/>
          <w:w w:val="110"/>
          <w:sz w:val="18"/>
        </w:rPr>
        <w:t> </w:t>
      </w:r>
      <w:r>
        <w:rPr>
          <w:i/>
          <w:w w:val="110"/>
          <w:sz w:val="18"/>
        </w:rPr>
        <w:t>y</w:t>
      </w:r>
      <w:r>
        <w:rPr>
          <w:i/>
          <w:spacing w:val="-20"/>
          <w:w w:val="110"/>
          <w:sz w:val="18"/>
        </w:rPr>
        <w:t> </w:t>
      </w:r>
      <w:r>
        <w:rPr>
          <w:i/>
          <w:w w:val="110"/>
          <w:sz w:val="18"/>
        </w:rPr>
        <w:t>unidad</w:t>
      </w:r>
      <w:r>
        <w:rPr>
          <w:i/>
          <w:spacing w:val="-20"/>
          <w:w w:val="110"/>
          <w:sz w:val="18"/>
        </w:rPr>
        <w:t> </w:t>
      </w:r>
      <w:r>
        <w:rPr>
          <w:i/>
          <w:w w:val="110"/>
          <w:sz w:val="18"/>
        </w:rPr>
        <w:t>de</w:t>
      </w:r>
      <w:r>
        <w:rPr>
          <w:i/>
          <w:spacing w:val="-20"/>
          <w:w w:val="110"/>
          <w:sz w:val="18"/>
        </w:rPr>
        <w:t> </w:t>
      </w:r>
      <w:r>
        <w:rPr>
          <w:i/>
          <w:w w:val="110"/>
          <w:sz w:val="18"/>
        </w:rPr>
        <w:t>propósitos</w:t>
      </w:r>
      <w:r>
        <w:rPr>
          <w:i/>
          <w:spacing w:val="-20"/>
          <w:w w:val="110"/>
          <w:sz w:val="18"/>
        </w:rPr>
        <w:t> </w:t>
      </w:r>
      <w:r>
        <w:rPr>
          <w:i/>
          <w:w w:val="110"/>
          <w:sz w:val="18"/>
        </w:rPr>
        <w:t>para</w:t>
      </w:r>
      <w:r>
        <w:rPr>
          <w:i/>
          <w:spacing w:val="-20"/>
          <w:w w:val="110"/>
          <w:sz w:val="18"/>
        </w:rPr>
        <w:t> </w:t>
      </w:r>
      <w:r>
        <w:rPr>
          <w:i/>
          <w:w w:val="110"/>
          <w:sz w:val="18"/>
        </w:rPr>
        <w:t>abordar</w:t>
      </w:r>
      <w:r>
        <w:rPr>
          <w:i/>
          <w:spacing w:val="-20"/>
          <w:w w:val="110"/>
          <w:sz w:val="18"/>
        </w:rPr>
        <w:t> </w:t>
      </w:r>
      <w:r>
        <w:rPr>
          <w:i/>
          <w:w w:val="110"/>
          <w:sz w:val="18"/>
        </w:rPr>
        <w:t>esta</w:t>
      </w:r>
      <w:r>
        <w:rPr>
          <w:i/>
          <w:spacing w:val="-20"/>
          <w:w w:val="110"/>
          <w:sz w:val="18"/>
        </w:rPr>
        <w:t> </w:t>
      </w:r>
      <w:r>
        <w:rPr>
          <w:i/>
          <w:w w:val="110"/>
          <w:sz w:val="18"/>
        </w:rPr>
        <w:t>problemáti- ca</w:t>
      </w:r>
      <w:r>
        <w:rPr>
          <w:i/>
          <w:spacing w:val="-7"/>
          <w:w w:val="110"/>
          <w:sz w:val="18"/>
        </w:rPr>
        <w:t> </w:t>
      </w:r>
      <w:r>
        <w:rPr>
          <w:i/>
          <w:w w:val="110"/>
          <w:sz w:val="18"/>
        </w:rPr>
        <w:t>que</w:t>
      </w:r>
      <w:r>
        <w:rPr>
          <w:i/>
          <w:spacing w:val="-7"/>
          <w:w w:val="110"/>
          <w:sz w:val="18"/>
        </w:rPr>
        <w:t> </w:t>
      </w:r>
      <w:r>
        <w:rPr>
          <w:i/>
          <w:w w:val="110"/>
          <w:sz w:val="18"/>
        </w:rPr>
        <w:t>afecta</w:t>
      </w:r>
      <w:r>
        <w:rPr>
          <w:i/>
          <w:spacing w:val="-7"/>
          <w:w w:val="110"/>
          <w:sz w:val="18"/>
        </w:rPr>
        <w:t> </w:t>
      </w:r>
      <w:r>
        <w:rPr>
          <w:i/>
          <w:w w:val="110"/>
          <w:sz w:val="18"/>
        </w:rPr>
        <w:t>a</w:t>
      </w:r>
      <w:r>
        <w:rPr>
          <w:i/>
          <w:spacing w:val="-7"/>
          <w:w w:val="110"/>
          <w:sz w:val="18"/>
        </w:rPr>
        <w:t> </w:t>
      </w:r>
      <w:r>
        <w:rPr>
          <w:i/>
          <w:w w:val="110"/>
          <w:sz w:val="18"/>
        </w:rPr>
        <w:t>todos</w:t>
      </w:r>
      <w:r>
        <w:rPr>
          <w:i/>
          <w:spacing w:val="-7"/>
          <w:w w:val="110"/>
          <w:sz w:val="18"/>
        </w:rPr>
        <w:t> </w:t>
      </w:r>
      <w:r>
        <w:rPr>
          <w:i/>
          <w:w w:val="110"/>
          <w:sz w:val="18"/>
        </w:rPr>
        <w:t>los</w:t>
      </w:r>
      <w:r>
        <w:rPr>
          <w:i/>
          <w:spacing w:val="-7"/>
          <w:w w:val="110"/>
          <w:sz w:val="18"/>
        </w:rPr>
        <w:t> </w:t>
      </w:r>
      <w:r>
        <w:rPr>
          <w:i/>
          <w:w w:val="110"/>
          <w:sz w:val="18"/>
        </w:rPr>
        <w:t>países</w:t>
      </w:r>
      <w:r>
        <w:rPr>
          <w:i/>
          <w:spacing w:val="-7"/>
          <w:w w:val="110"/>
          <w:sz w:val="18"/>
        </w:rPr>
        <w:t> </w:t>
      </w:r>
      <w:r>
        <w:rPr>
          <w:i/>
          <w:w w:val="110"/>
          <w:sz w:val="18"/>
        </w:rPr>
        <w:t>del</w:t>
      </w:r>
      <w:r>
        <w:rPr>
          <w:i/>
          <w:spacing w:val="-7"/>
          <w:w w:val="110"/>
          <w:sz w:val="18"/>
        </w:rPr>
        <w:t> </w:t>
      </w:r>
      <w:r>
        <w:rPr>
          <w:i/>
          <w:w w:val="110"/>
          <w:sz w:val="18"/>
        </w:rPr>
        <w:t>hemisferio</w:t>
      </w:r>
      <w:r>
        <w:rPr>
          <w:w w:val="110"/>
          <w:sz w:val="18"/>
        </w:rPr>
        <w:t>.</w:t>
      </w:r>
    </w:p>
    <w:p>
      <w:pPr>
        <w:spacing w:before="2"/>
        <w:ind w:left="727" w:right="116" w:firstLine="0"/>
        <w:jc w:val="both"/>
        <w:rPr>
          <w:i/>
          <w:sz w:val="18"/>
        </w:rPr>
      </w:pPr>
      <w:r>
        <w:rPr>
          <w:w w:val="238"/>
          <w:sz w:val="18"/>
        </w:rPr>
        <w:t>l</w:t>
      </w:r>
      <w:r>
        <w:rPr>
          <w:w w:val="105"/>
          <w:sz w:val="18"/>
        </w:rPr>
        <w:t>os</w:t>
      </w:r>
      <w:r>
        <w:rPr>
          <w:spacing w:val="11"/>
          <w:sz w:val="18"/>
        </w:rPr>
        <w:t> </w:t>
      </w:r>
      <w:r>
        <w:rPr>
          <w:w w:val="109"/>
          <w:sz w:val="18"/>
        </w:rPr>
        <w:t>Estados</w:t>
      </w:r>
      <w:r>
        <w:rPr>
          <w:spacing w:val="11"/>
          <w:sz w:val="18"/>
        </w:rPr>
        <w:t> </w:t>
      </w:r>
      <w:r>
        <w:rPr>
          <w:w w:val="137"/>
          <w:sz w:val="18"/>
        </w:rPr>
        <w:t>u</w:t>
      </w:r>
      <w:r>
        <w:rPr>
          <w:w w:val="107"/>
          <w:sz w:val="18"/>
        </w:rPr>
        <w:t>nidos</w:t>
      </w:r>
      <w:r>
        <w:rPr>
          <w:spacing w:val="11"/>
          <w:sz w:val="18"/>
        </w:rPr>
        <w:t> </w:t>
      </w:r>
      <w:r>
        <w:rPr>
          <w:w w:val="107"/>
          <w:sz w:val="18"/>
        </w:rPr>
        <w:t>apoyarán</w:t>
      </w:r>
      <w:r>
        <w:rPr>
          <w:spacing w:val="11"/>
          <w:sz w:val="18"/>
        </w:rPr>
        <w:t> </w:t>
      </w:r>
      <w:r>
        <w:rPr>
          <w:w w:val="107"/>
          <w:sz w:val="18"/>
        </w:rPr>
        <w:t>las</w:t>
      </w:r>
      <w:r>
        <w:rPr>
          <w:spacing w:val="11"/>
          <w:sz w:val="18"/>
        </w:rPr>
        <w:t> </w:t>
      </w:r>
      <w:r>
        <w:rPr>
          <w:w w:val="107"/>
          <w:sz w:val="18"/>
        </w:rPr>
        <w:t>actividades</w:t>
      </w:r>
      <w:r>
        <w:rPr>
          <w:spacing w:val="11"/>
          <w:sz w:val="18"/>
        </w:rPr>
        <w:t> </w:t>
      </w:r>
      <w:r>
        <w:rPr>
          <w:w w:val="106"/>
          <w:sz w:val="18"/>
        </w:rPr>
        <w:t>que</w:t>
      </w:r>
      <w:r>
        <w:rPr>
          <w:spacing w:val="11"/>
          <w:sz w:val="18"/>
        </w:rPr>
        <w:t> </w:t>
      </w:r>
      <w:r>
        <w:rPr>
          <w:w w:val="107"/>
          <w:sz w:val="18"/>
        </w:rPr>
        <w:t>promuevan</w:t>
      </w:r>
      <w:r>
        <w:rPr>
          <w:spacing w:val="11"/>
          <w:sz w:val="18"/>
        </w:rPr>
        <w:t> </w:t>
      </w:r>
      <w:r>
        <w:rPr>
          <w:i/>
          <w:w w:val="102"/>
          <w:sz w:val="18"/>
        </w:rPr>
        <w:t>la</w:t>
      </w:r>
      <w:r>
        <w:rPr>
          <w:i/>
          <w:spacing w:val="11"/>
          <w:sz w:val="18"/>
        </w:rPr>
        <w:t> </w:t>
      </w:r>
      <w:r>
        <w:rPr>
          <w:i/>
          <w:w w:val="104"/>
          <w:sz w:val="18"/>
        </w:rPr>
        <w:t>capa</w:t>
      </w:r>
      <w:r>
        <w:rPr>
          <w:i/>
          <w:w w:val="104"/>
          <w:sz w:val="18"/>
        </w:rPr>
        <w:t>-</w:t>
      </w:r>
      <w:r>
        <w:rPr>
          <w:i/>
          <w:w w:val="104"/>
          <w:sz w:val="18"/>
        </w:rPr>
        <w:t> </w:t>
      </w:r>
      <w:r>
        <w:rPr>
          <w:i/>
          <w:w w:val="110"/>
          <w:sz w:val="18"/>
        </w:rPr>
        <w:t>cidad</w:t>
      </w:r>
      <w:r>
        <w:rPr>
          <w:i/>
          <w:spacing w:val="-14"/>
          <w:w w:val="110"/>
          <w:sz w:val="18"/>
        </w:rPr>
        <w:t> </w:t>
      </w:r>
      <w:r>
        <w:rPr>
          <w:i/>
          <w:w w:val="110"/>
          <w:sz w:val="18"/>
        </w:rPr>
        <w:t>de</w:t>
      </w:r>
      <w:r>
        <w:rPr>
          <w:i/>
          <w:spacing w:val="-14"/>
          <w:w w:val="110"/>
          <w:sz w:val="18"/>
        </w:rPr>
        <w:t> </w:t>
      </w:r>
      <w:r>
        <w:rPr>
          <w:i/>
          <w:w w:val="110"/>
          <w:sz w:val="18"/>
        </w:rPr>
        <w:t>que</w:t>
      </w:r>
      <w:r>
        <w:rPr>
          <w:i/>
          <w:spacing w:val="-14"/>
          <w:w w:val="110"/>
          <w:sz w:val="18"/>
        </w:rPr>
        <w:t> </w:t>
      </w:r>
      <w:r>
        <w:rPr>
          <w:i/>
          <w:w w:val="110"/>
          <w:sz w:val="18"/>
        </w:rPr>
        <w:t>las</w:t>
      </w:r>
      <w:r>
        <w:rPr>
          <w:i/>
          <w:spacing w:val="-14"/>
          <w:w w:val="110"/>
          <w:sz w:val="18"/>
        </w:rPr>
        <w:t> </w:t>
      </w:r>
      <w:r>
        <w:rPr>
          <w:i/>
          <w:w w:val="110"/>
          <w:sz w:val="18"/>
        </w:rPr>
        <w:t>instituciones</w:t>
      </w:r>
      <w:r>
        <w:rPr>
          <w:i/>
          <w:spacing w:val="-14"/>
          <w:w w:val="110"/>
          <w:sz w:val="18"/>
        </w:rPr>
        <w:t> </w:t>
      </w:r>
      <w:r>
        <w:rPr>
          <w:i/>
          <w:w w:val="110"/>
          <w:sz w:val="18"/>
        </w:rPr>
        <w:t>multilaterales</w:t>
      </w:r>
      <w:r>
        <w:rPr>
          <w:i/>
          <w:spacing w:val="-14"/>
          <w:w w:val="110"/>
          <w:sz w:val="18"/>
        </w:rPr>
        <w:t> </w:t>
      </w:r>
      <w:r>
        <w:rPr>
          <w:i/>
          <w:w w:val="110"/>
          <w:sz w:val="18"/>
        </w:rPr>
        <w:t>de</w:t>
      </w:r>
      <w:r>
        <w:rPr>
          <w:i/>
          <w:spacing w:val="-14"/>
          <w:w w:val="110"/>
          <w:sz w:val="18"/>
        </w:rPr>
        <w:t> </w:t>
      </w:r>
      <w:r>
        <w:rPr>
          <w:i/>
          <w:w w:val="110"/>
          <w:sz w:val="18"/>
        </w:rPr>
        <w:t>defensa</w:t>
      </w:r>
      <w:r>
        <w:rPr>
          <w:i/>
          <w:spacing w:val="-14"/>
          <w:w w:val="110"/>
          <w:sz w:val="18"/>
        </w:rPr>
        <w:t> </w:t>
      </w:r>
      <w:r>
        <w:rPr>
          <w:i/>
          <w:w w:val="110"/>
          <w:sz w:val="18"/>
        </w:rPr>
        <w:t>desempeñen</w:t>
      </w:r>
      <w:r>
        <w:rPr>
          <w:i/>
          <w:spacing w:val="-14"/>
          <w:w w:val="110"/>
          <w:sz w:val="18"/>
        </w:rPr>
        <w:t> </w:t>
      </w:r>
      <w:r>
        <w:rPr>
          <w:i/>
          <w:w w:val="110"/>
          <w:sz w:val="18"/>
        </w:rPr>
        <w:t>una función más preponderante de apoyo al sistema</w:t>
      </w:r>
      <w:r>
        <w:rPr>
          <w:w w:val="110"/>
          <w:sz w:val="18"/>
        </w:rPr>
        <w:t>. Este compromiso se desprende de los principios de alianza y responsabilidad compartida y se concreta con arreglo al marco interamericano de la declaración sobre seguridad en las américas [aprobada en la conferencia espe- cial al respecto que se realizó en México en 2003]. El hilo conductor que</w:t>
      </w:r>
      <w:r>
        <w:rPr>
          <w:spacing w:val="-5"/>
          <w:w w:val="110"/>
          <w:sz w:val="18"/>
        </w:rPr>
        <w:t> </w:t>
      </w:r>
      <w:r>
        <w:rPr>
          <w:w w:val="110"/>
          <w:sz w:val="18"/>
        </w:rPr>
        <w:t>vincula</w:t>
      </w:r>
      <w:r>
        <w:rPr>
          <w:spacing w:val="-5"/>
          <w:w w:val="110"/>
          <w:sz w:val="18"/>
        </w:rPr>
        <w:t> </w:t>
      </w:r>
      <w:r>
        <w:rPr>
          <w:w w:val="110"/>
          <w:sz w:val="18"/>
        </w:rPr>
        <w:t>todas</w:t>
      </w:r>
      <w:r>
        <w:rPr>
          <w:spacing w:val="-5"/>
          <w:w w:val="110"/>
          <w:sz w:val="18"/>
        </w:rPr>
        <w:t> </w:t>
      </w:r>
      <w:r>
        <w:rPr>
          <w:w w:val="110"/>
          <w:sz w:val="18"/>
        </w:rPr>
        <w:t>esas</w:t>
      </w:r>
      <w:r>
        <w:rPr>
          <w:spacing w:val="-5"/>
          <w:w w:val="110"/>
          <w:sz w:val="18"/>
        </w:rPr>
        <w:t> </w:t>
      </w:r>
      <w:r>
        <w:rPr>
          <w:w w:val="110"/>
          <w:sz w:val="18"/>
        </w:rPr>
        <w:t>iniciativas,</w:t>
      </w:r>
      <w:r>
        <w:rPr>
          <w:spacing w:val="-5"/>
          <w:w w:val="110"/>
          <w:sz w:val="18"/>
        </w:rPr>
        <w:t> </w:t>
      </w:r>
      <w:r>
        <w:rPr>
          <w:w w:val="110"/>
          <w:sz w:val="18"/>
        </w:rPr>
        <w:t>los</w:t>
      </w:r>
      <w:r>
        <w:rPr>
          <w:spacing w:val="-5"/>
          <w:w w:val="110"/>
          <w:sz w:val="18"/>
        </w:rPr>
        <w:t> </w:t>
      </w:r>
      <w:r>
        <w:rPr>
          <w:w w:val="110"/>
          <w:sz w:val="18"/>
        </w:rPr>
        <w:t>programas,</w:t>
      </w:r>
      <w:r>
        <w:rPr>
          <w:spacing w:val="-5"/>
          <w:w w:val="110"/>
          <w:sz w:val="18"/>
        </w:rPr>
        <w:t> </w:t>
      </w:r>
      <w:r>
        <w:rPr>
          <w:w w:val="110"/>
          <w:sz w:val="18"/>
        </w:rPr>
        <w:t>la</w:t>
      </w:r>
      <w:r>
        <w:rPr>
          <w:spacing w:val="-5"/>
          <w:w w:val="110"/>
          <w:sz w:val="18"/>
        </w:rPr>
        <w:t> </w:t>
      </w:r>
      <w:r>
        <w:rPr>
          <w:w w:val="110"/>
          <w:sz w:val="18"/>
        </w:rPr>
        <w:t>capacitación</w:t>
      </w:r>
      <w:r>
        <w:rPr>
          <w:spacing w:val="-5"/>
          <w:w w:val="110"/>
          <w:sz w:val="18"/>
        </w:rPr>
        <w:t> </w:t>
      </w:r>
      <w:r>
        <w:rPr>
          <w:w w:val="110"/>
          <w:sz w:val="18"/>
        </w:rPr>
        <w:t>y</w:t>
      </w:r>
      <w:r>
        <w:rPr>
          <w:spacing w:val="-5"/>
          <w:w w:val="110"/>
          <w:sz w:val="18"/>
        </w:rPr>
        <w:t> </w:t>
      </w:r>
      <w:r>
        <w:rPr>
          <w:w w:val="110"/>
          <w:sz w:val="18"/>
        </w:rPr>
        <w:t>los ejercicios [militares] es que todas fortalecen las alianzas y fomentan la capacidad. independientemente de que sean de índole civil o mi- </w:t>
      </w:r>
      <w:r>
        <w:rPr>
          <w:spacing w:val="-4"/>
          <w:w w:val="110"/>
          <w:sz w:val="18"/>
        </w:rPr>
        <w:t>litar, </w:t>
      </w:r>
      <w:r>
        <w:rPr>
          <w:w w:val="110"/>
          <w:sz w:val="18"/>
        </w:rPr>
        <w:t>institucional, operativa o estratégica, humanitaria, antinarcóti- cos o de mantenimiento de la paz, [estas] </w:t>
      </w:r>
      <w:r>
        <w:rPr>
          <w:i/>
          <w:w w:val="110"/>
          <w:sz w:val="18"/>
        </w:rPr>
        <w:t>contribuyen a la capacidad </w:t>
      </w:r>
      <w:r>
        <w:rPr>
          <w:i/>
          <w:w w:val="110"/>
          <w:sz w:val="18"/>
        </w:rPr>
        <w:t>de nuestros socios de exportar sus aptitudes singulares y las  </w:t>
      </w:r>
      <w:r>
        <w:rPr>
          <w:i/>
          <w:spacing w:val="17"/>
          <w:w w:val="110"/>
          <w:sz w:val="18"/>
        </w:rPr>
        <w:t> </w:t>
      </w:r>
      <w:r>
        <w:rPr>
          <w:i/>
          <w:w w:val="110"/>
          <w:sz w:val="18"/>
        </w:rPr>
        <w:t>lecciones</w:t>
      </w:r>
    </w:p>
    <w:p>
      <w:pPr>
        <w:spacing w:after="0"/>
        <w:jc w:val="both"/>
        <w:rPr>
          <w:sz w:val="18"/>
        </w:rPr>
        <w:sectPr>
          <w:pgSz w:w="8790" w:h="12760"/>
          <w:pgMar w:header="695" w:footer="725" w:top="880" w:bottom="920" w:left="1200" w:right="900"/>
        </w:sectPr>
      </w:pPr>
    </w:p>
    <w:p>
      <w:pPr>
        <w:pStyle w:val="BodyText"/>
        <w:spacing w:before="10"/>
        <w:rPr>
          <w:i/>
          <w:sz w:val="28"/>
        </w:rPr>
      </w:pPr>
    </w:p>
    <w:p>
      <w:pPr>
        <w:spacing w:before="71"/>
        <w:ind w:left="517" w:right="321" w:firstLine="0"/>
        <w:jc w:val="left"/>
        <w:rPr>
          <w:sz w:val="18"/>
        </w:rPr>
      </w:pPr>
      <w:r>
        <w:rPr>
          <w:i/>
          <w:w w:val="105"/>
          <w:sz w:val="18"/>
        </w:rPr>
        <w:t>aprendidas</w:t>
      </w:r>
      <w:r>
        <w:rPr>
          <w:i/>
          <w:sz w:val="18"/>
        </w:rPr>
        <w:t> </w:t>
      </w:r>
      <w:r>
        <w:rPr>
          <w:i/>
          <w:spacing w:val="-14"/>
          <w:sz w:val="18"/>
        </w:rPr>
        <w:t> </w:t>
      </w:r>
      <w:r>
        <w:rPr>
          <w:i/>
          <w:w w:val="106"/>
          <w:sz w:val="18"/>
        </w:rPr>
        <w:t>en</w:t>
      </w:r>
      <w:r>
        <w:rPr>
          <w:i/>
          <w:sz w:val="18"/>
        </w:rPr>
        <w:t> </w:t>
      </w:r>
      <w:r>
        <w:rPr>
          <w:i/>
          <w:spacing w:val="-14"/>
          <w:sz w:val="18"/>
        </w:rPr>
        <w:t> </w:t>
      </w:r>
      <w:r>
        <w:rPr>
          <w:i/>
          <w:w w:val="106"/>
          <w:sz w:val="18"/>
        </w:rPr>
        <w:t>todo</w:t>
      </w:r>
      <w:r>
        <w:rPr>
          <w:i/>
          <w:sz w:val="18"/>
        </w:rPr>
        <w:t> </w:t>
      </w:r>
      <w:r>
        <w:rPr>
          <w:i/>
          <w:spacing w:val="-14"/>
          <w:sz w:val="18"/>
        </w:rPr>
        <w:t> </w:t>
      </w:r>
      <w:r>
        <w:rPr>
          <w:i/>
          <w:w w:val="99"/>
          <w:sz w:val="18"/>
        </w:rPr>
        <w:t>el</w:t>
      </w:r>
      <w:r>
        <w:rPr>
          <w:i/>
          <w:sz w:val="18"/>
        </w:rPr>
        <w:t> </w:t>
      </w:r>
      <w:r>
        <w:rPr>
          <w:i/>
          <w:spacing w:val="-14"/>
          <w:sz w:val="18"/>
        </w:rPr>
        <w:t> </w:t>
      </w:r>
      <w:r>
        <w:rPr>
          <w:i/>
          <w:w w:val="107"/>
          <w:sz w:val="18"/>
        </w:rPr>
        <w:t>hemisferio</w:t>
      </w:r>
      <w:r>
        <w:rPr>
          <w:i/>
          <w:sz w:val="18"/>
        </w:rPr>
        <w:t> </w:t>
      </w:r>
      <w:r>
        <w:rPr>
          <w:i/>
          <w:spacing w:val="-14"/>
          <w:sz w:val="18"/>
        </w:rPr>
        <w:t> </w:t>
      </w:r>
      <w:r>
        <w:rPr>
          <w:w w:val="108"/>
          <w:sz w:val="18"/>
        </w:rPr>
        <w:t>(Panetta,</w:t>
      </w:r>
      <w:r>
        <w:rPr>
          <w:sz w:val="18"/>
        </w:rPr>
        <w:t> </w:t>
      </w:r>
      <w:r>
        <w:rPr>
          <w:spacing w:val="-14"/>
          <w:sz w:val="18"/>
        </w:rPr>
        <w:t> </w:t>
      </w:r>
      <w:r>
        <w:rPr>
          <w:w w:val="103"/>
          <w:sz w:val="18"/>
        </w:rPr>
        <w:t>2012.</w:t>
      </w:r>
      <w:r>
        <w:rPr>
          <w:sz w:val="18"/>
        </w:rPr>
        <w:t> </w:t>
      </w:r>
      <w:r>
        <w:rPr>
          <w:spacing w:val="-14"/>
          <w:sz w:val="18"/>
        </w:rPr>
        <w:t> </w:t>
      </w:r>
      <w:r>
        <w:rPr>
          <w:w w:val="238"/>
          <w:sz w:val="18"/>
        </w:rPr>
        <w:t>l</w:t>
      </w:r>
      <w:r>
        <w:rPr>
          <w:w w:val="106"/>
          <w:sz w:val="18"/>
        </w:rPr>
        <w:t>as</w:t>
      </w:r>
      <w:r>
        <w:rPr>
          <w:sz w:val="18"/>
        </w:rPr>
        <w:t> </w:t>
      </w:r>
      <w:r>
        <w:rPr>
          <w:spacing w:val="-14"/>
          <w:sz w:val="18"/>
        </w:rPr>
        <w:t> </w:t>
      </w:r>
      <w:r>
        <w:rPr>
          <w:w w:val="106"/>
          <w:sz w:val="18"/>
        </w:rPr>
        <w:t>cursivas</w:t>
      </w:r>
      <w:r>
        <w:rPr>
          <w:sz w:val="18"/>
        </w:rPr>
        <w:t> </w:t>
      </w:r>
      <w:r>
        <w:rPr>
          <w:spacing w:val="-14"/>
          <w:sz w:val="18"/>
        </w:rPr>
        <w:t> </w:t>
      </w:r>
      <w:r>
        <w:rPr>
          <w:w w:val="107"/>
          <w:sz w:val="18"/>
        </w:rPr>
        <w:t>son</w:t>
      </w:r>
      <w:r>
        <w:rPr>
          <w:sz w:val="18"/>
        </w:rPr>
        <w:t> </w:t>
      </w:r>
      <w:r>
        <w:rPr>
          <w:spacing w:val="-14"/>
          <w:sz w:val="18"/>
        </w:rPr>
        <w:t> </w:t>
      </w:r>
      <w:r>
        <w:rPr>
          <w:w w:val="105"/>
          <w:sz w:val="18"/>
        </w:rPr>
        <w:t>del </w:t>
      </w:r>
      <w:r>
        <w:rPr>
          <w:w w:val="110"/>
          <w:sz w:val="18"/>
        </w:rPr>
        <w:t>autor</w:t>
      </w:r>
      <w:r>
        <w:rPr>
          <w:spacing w:val="-13"/>
          <w:w w:val="110"/>
          <w:sz w:val="18"/>
        </w:rPr>
        <w:t> </w:t>
      </w:r>
      <w:r>
        <w:rPr>
          <w:w w:val="110"/>
          <w:sz w:val="18"/>
        </w:rPr>
        <w:t>de</w:t>
      </w:r>
      <w:r>
        <w:rPr>
          <w:spacing w:val="-13"/>
          <w:w w:val="110"/>
          <w:sz w:val="18"/>
        </w:rPr>
        <w:t> </w:t>
      </w:r>
      <w:r>
        <w:rPr>
          <w:w w:val="110"/>
          <w:sz w:val="18"/>
        </w:rPr>
        <w:t>este</w:t>
      </w:r>
      <w:r>
        <w:rPr>
          <w:spacing w:val="-13"/>
          <w:w w:val="110"/>
          <w:sz w:val="18"/>
        </w:rPr>
        <w:t> </w:t>
      </w:r>
      <w:r>
        <w:rPr>
          <w:w w:val="110"/>
          <w:sz w:val="18"/>
        </w:rPr>
        <w:t>ensayo).</w:t>
      </w:r>
    </w:p>
    <w:p>
      <w:pPr>
        <w:pStyle w:val="BodyText"/>
        <w:spacing w:before="1"/>
        <w:rPr>
          <w:sz w:val="21"/>
        </w:rPr>
      </w:pPr>
    </w:p>
    <w:p>
      <w:pPr>
        <w:pStyle w:val="BodyText"/>
        <w:spacing w:line="252" w:lineRule="auto"/>
        <w:ind w:left="120" w:right="328"/>
        <w:jc w:val="both"/>
        <w:rPr>
          <w:sz w:val="11"/>
        </w:rPr>
      </w:pPr>
      <w:r>
        <w:rPr>
          <w:w w:val="115"/>
        </w:rPr>
        <w:t>En correspondencia con esas definiciones, en el próximo decenio y sea</w:t>
      </w:r>
      <w:r>
        <w:rPr>
          <w:spacing w:val="-26"/>
          <w:w w:val="115"/>
        </w:rPr>
        <w:t> </w:t>
      </w:r>
      <w:r>
        <w:rPr>
          <w:w w:val="115"/>
        </w:rPr>
        <w:t>quien</w:t>
      </w:r>
      <w:r>
        <w:rPr>
          <w:spacing w:val="-26"/>
          <w:w w:val="115"/>
        </w:rPr>
        <w:t> </w:t>
      </w:r>
      <w:r>
        <w:rPr>
          <w:w w:val="115"/>
        </w:rPr>
        <w:t>sea</w:t>
      </w:r>
      <w:r>
        <w:rPr>
          <w:spacing w:val="-26"/>
          <w:w w:val="115"/>
        </w:rPr>
        <w:t> </w:t>
      </w:r>
      <w:r>
        <w:rPr>
          <w:w w:val="115"/>
        </w:rPr>
        <w:t>el</w:t>
      </w:r>
      <w:r>
        <w:rPr>
          <w:spacing w:val="-26"/>
          <w:w w:val="115"/>
        </w:rPr>
        <w:t> </w:t>
      </w:r>
      <w:r>
        <w:rPr>
          <w:w w:val="115"/>
        </w:rPr>
        <w:t>presidente</w:t>
      </w:r>
      <w:r>
        <w:rPr>
          <w:spacing w:val="-26"/>
          <w:w w:val="115"/>
        </w:rPr>
        <w:t> </w:t>
      </w:r>
      <w:r>
        <w:rPr>
          <w:w w:val="115"/>
        </w:rPr>
        <w:t>de</w:t>
      </w:r>
      <w:r>
        <w:rPr>
          <w:spacing w:val="-26"/>
          <w:w w:val="115"/>
        </w:rPr>
        <w:t> </w:t>
      </w:r>
      <w:r>
        <w:rPr>
          <w:w w:val="115"/>
        </w:rPr>
        <w:t>los</w:t>
      </w:r>
      <w:r>
        <w:rPr>
          <w:spacing w:val="-26"/>
          <w:w w:val="115"/>
        </w:rPr>
        <w:t> </w:t>
      </w:r>
      <w:r>
        <w:rPr>
          <w:w w:val="115"/>
        </w:rPr>
        <w:t>Estados</w:t>
      </w:r>
      <w:r>
        <w:rPr>
          <w:spacing w:val="-26"/>
          <w:w w:val="115"/>
        </w:rPr>
        <w:t> </w:t>
      </w:r>
      <w:r>
        <w:rPr>
          <w:w w:val="115"/>
        </w:rPr>
        <w:t>unidos</w:t>
      </w:r>
      <w:r>
        <w:rPr>
          <w:spacing w:val="-26"/>
          <w:w w:val="115"/>
        </w:rPr>
        <w:t> </w:t>
      </w:r>
      <w:r>
        <w:rPr>
          <w:w w:val="115"/>
        </w:rPr>
        <w:t>que</w:t>
      </w:r>
      <w:r>
        <w:rPr>
          <w:spacing w:val="-26"/>
          <w:w w:val="115"/>
        </w:rPr>
        <w:t> </w:t>
      </w:r>
      <w:r>
        <w:rPr>
          <w:w w:val="115"/>
        </w:rPr>
        <w:t>resulte</w:t>
      </w:r>
      <w:r>
        <w:rPr>
          <w:spacing w:val="-26"/>
          <w:w w:val="115"/>
        </w:rPr>
        <w:t> </w:t>
      </w:r>
      <w:r>
        <w:rPr>
          <w:w w:val="115"/>
        </w:rPr>
        <w:t>electo</w:t>
      </w:r>
      <w:r>
        <w:rPr>
          <w:spacing w:val="-26"/>
          <w:w w:val="115"/>
        </w:rPr>
        <w:t> </w:t>
      </w:r>
      <w:r>
        <w:rPr>
          <w:w w:val="115"/>
        </w:rPr>
        <w:t>en los</w:t>
      </w:r>
      <w:r>
        <w:rPr>
          <w:spacing w:val="-12"/>
          <w:w w:val="115"/>
        </w:rPr>
        <w:t> </w:t>
      </w:r>
      <w:r>
        <w:rPr>
          <w:w w:val="115"/>
        </w:rPr>
        <w:t>comicios</w:t>
      </w:r>
      <w:r>
        <w:rPr>
          <w:spacing w:val="-12"/>
          <w:w w:val="115"/>
        </w:rPr>
        <w:t> </w:t>
      </w:r>
      <w:r>
        <w:rPr>
          <w:w w:val="115"/>
        </w:rPr>
        <w:t>presidenciales</w:t>
      </w:r>
      <w:r>
        <w:rPr>
          <w:spacing w:val="-12"/>
          <w:w w:val="115"/>
        </w:rPr>
        <w:t> </w:t>
      </w:r>
      <w:r>
        <w:rPr>
          <w:w w:val="115"/>
        </w:rPr>
        <w:t>de</w:t>
      </w:r>
      <w:r>
        <w:rPr>
          <w:spacing w:val="-12"/>
          <w:w w:val="115"/>
        </w:rPr>
        <w:t> </w:t>
      </w:r>
      <w:r>
        <w:rPr>
          <w:w w:val="115"/>
        </w:rPr>
        <w:t>noviembre</w:t>
      </w:r>
      <w:r>
        <w:rPr>
          <w:spacing w:val="-12"/>
          <w:w w:val="115"/>
        </w:rPr>
        <w:t> </w:t>
      </w:r>
      <w:r>
        <w:rPr>
          <w:w w:val="115"/>
        </w:rPr>
        <w:t>de</w:t>
      </w:r>
      <w:r>
        <w:rPr>
          <w:spacing w:val="-12"/>
          <w:w w:val="115"/>
        </w:rPr>
        <w:t> </w:t>
      </w:r>
      <w:r>
        <w:rPr>
          <w:w w:val="115"/>
        </w:rPr>
        <w:t>2016,</w:t>
      </w:r>
      <w:r>
        <w:rPr>
          <w:spacing w:val="-12"/>
          <w:w w:val="115"/>
        </w:rPr>
        <w:t> </w:t>
      </w:r>
      <w:r>
        <w:rPr>
          <w:w w:val="115"/>
        </w:rPr>
        <w:t>el</w:t>
      </w:r>
      <w:r>
        <w:rPr>
          <w:spacing w:val="-12"/>
          <w:w w:val="115"/>
        </w:rPr>
        <w:t> </w:t>
      </w:r>
      <w:r>
        <w:rPr>
          <w:w w:val="115"/>
        </w:rPr>
        <w:t>Pentágono</w:t>
      </w:r>
      <w:r>
        <w:rPr>
          <w:spacing w:val="-12"/>
          <w:w w:val="115"/>
        </w:rPr>
        <w:t> </w:t>
      </w:r>
      <w:r>
        <w:rPr>
          <w:w w:val="115"/>
        </w:rPr>
        <w:t>y</w:t>
      </w:r>
      <w:r>
        <w:rPr>
          <w:spacing w:val="-12"/>
          <w:w w:val="115"/>
        </w:rPr>
        <w:t> </w:t>
      </w:r>
      <w:r>
        <w:rPr>
          <w:w w:val="115"/>
        </w:rPr>
        <w:t>el Comando</w:t>
      </w:r>
      <w:r>
        <w:rPr>
          <w:spacing w:val="-23"/>
          <w:w w:val="115"/>
        </w:rPr>
        <w:t> </w:t>
      </w:r>
      <w:r>
        <w:rPr>
          <w:w w:val="115"/>
        </w:rPr>
        <w:t>Conjunto</w:t>
      </w:r>
      <w:r>
        <w:rPr>
          <w:spacing w:val="-23"/>
          <w:w w:val="115"/>
        </w:rPr>
        <w:t> </w:t>
      </w:r>
      <w:r>
        <w:rPr>
          <w:w w:val="115"/>
        </w:rPr>
        <w:t>de</w:t>
      </w:r>
      <w:r>
        <w:rPr>
          <w:spacing w:val="-23"/>
          <w:w w:val="115"/>
        </w:rPr>
        <w:t> </w:t>
      </w:r>
      <w:r>
        <w:rPr>
          <w:w w:val="115"/>
        </w:rPr>
        <w:t>sus</w:t>
      </w:r>
      <w:r>
        <w:rPr>
          <w:spacing w:val="-23"/>
          <w:w w:val="115"/>
        </w:rPr>
        <w:t> </w:t>
      </w:r>
      <w:r>
        <w:rPr>
          <w:w w:val="115"/>
        </w:rPr>
        <w:t>Fuerzas</w:t>
      </w:r>
      <w:r>
        <w:rPr>
          <w:spacing w:val="-23"/>
          <w:w w:val="115"/>
        </w:rPr>
        <w:t> </w:t>
      </w:r>
      <w:r>
        <w:rPr>
          <w:w w:val="115"/>
        </w:rPr>
        <w:t>armadas</w:t>
      </w:r>
      <w:r>
        <w:rPr>
          <w:spacing w:val="-23"/>
          <w:w w:val="115"/>
        </w:rPr>
        <w:t> </w:t>
      </w:r>
      <w:r>
        <w:rPr>
          <w:w w:val="115"/>
        </w:rPr>
        <w:t>continuarán</w:t>
      </w:r>
      <w:r>
        <w:rPr>
          <w:spacing w:val="-23"/>
          <w:w w:val="115"/>
        </w:rPr>
        <w:t> </w:t>
      </w:r>
      <w:r>
        <w:rPr>
          <w:w w:val="115"/>
        </w:rPr>
        <w:t>impulsando las Cumbres de Ministros de defensa de las américas, así como las actividades</w:t>
      </w:r>
      <w:r>
        <w:rPr>
          <w:spacing w:val="-19"/>
          <w:w w:val="115"/>
        </w:rPr>
        <w:t> </w:t>
      </w:r>
      <w:r>
        <w:rPr>
          <w:w w:val="115"/>
        </w:rPr>
        <w:t>de</w:t>
      </w:r>
      <w:r>
        <w:rPr>
          <w:spacing w:val="-19"/>
          <w:w w:val="115"/>
        </w:rPr>
        <w:t> </w:t>
      </w:r>
      <w:r>
        <w:rPr>
          <w:w w:val="115"/>
        </w:rPr>
        <w:t>la</w:t>
      </w:r>
      <w:r>
        <w:rPr>
          <w:spacing w:val="-19"/>
          <w:w w:val="115"/>
        </w:rPr>
        <w:t> </w:t>
      </w:r>
      <w:r>
        <w:rPr>
          <w:w w:val="115"/>
        </w:rPr>
        <w:t>Jid</w:t>
      </w:r>
      <w:r>
        <w:rPr>
          <w:spacing w:val="-19"/>
          <w:w w:val="115"/>
        </w:rPr>
        <w:t> </w:t>
      </w:r>
      <w:r>
        <w:rPr>
          <w:w w:val="115"/>
        </w:rPr>
        <w:t>–calificada</w:t>
      </w:r>
      <w:r>
        <w:rPr>
          <w:spacing w:val="-19"/>
          <w:w w:val="115"/>
        </w:rPr>
        <w:t> </w:t>
      </w:r>
      <w:r>
        <w:rPr>
          <w:w w:val="115"/>
        </w:rPr>
        <w:t>por</w:t>
      </w:r>
      <w:r>
        <w:rPr>
          <w:spacing w:val="-19"/>
          <w:w w:val="115"/>
        </w:rPr>
        <w:t> </w:t>
      </w:r>
      <w:r>
        <w:rPr>
          <w:w w:val="115"/>
        </w:rPr>
        <w:t>el</w:t>
      </w:r>
      <w:r>
        <w:rPr>
          <w:spacing w:val="-19"/>
          <w:w w:val="115"/>
        </w:rPr>
        <w:t> </w:t>
      </w:r>
      <w:r>
        <w:rPr>
          <w:w w:val="115"/>
        </w:rPr>
        <w:t>Pentágono</w:t>
      </w:r>
      <w:r>
        <w:rPr>
          <w:spacing w:val="-19"/>
          <w:w w:val="115"/>
        </w:rPr>
        <w:t> </w:t>
      </w:r>
      <w:r>
        <w:rPr>
          <w:w w:val="115"/>
        </w:rPr>
        <w:t>como</w:t>
      </w:r>
      <w:r>
        <w:rPr>
          <w:spacing w:val="-19"/>
          <w:w w:val="115"/>
        </w:rPr>
        <w:t> </w:t>
      </w:r>
      <w:r>
        <w:rPr>
          <w:w w:val="115"/>
        </w:rPr>
        <w:t>“el</w:t>
      </w:r>
      <w:r>
        <w:rPr>
          <w:spacing w:val="-19"/>
          <w:w w:val="115"/>
        </w:rPr>
        <w:t> </w:t>
      </w:r>
      <w:r>
        <w:rPr>
          <w:w w:val="115"/>
        </w:rPr>
        <w:t>organismo multilateral</w:t>
      </w:r>
      <w:r>
        <w:rPr>
          <w:spacing w:val="-11"/>
          <w:w w:val="115"/>
        </w:rPr>
        <w:t> </w:t>
      </w:r>
      <w:r>
        <w:rPr>
          <w:w w:val="115"/>
        </w:rPr>
        <w:t>militar</w:t>
      </w:r>
      <w:r>
        <w:rPr>
          <w:spacing w:val="-11"/>
          <w:w w:val="115"/>
        </w:rPr>
        <w:t> </w:t>
      </w:r>
      <w:r>
        <w:rPr>
          <w:w w:val="115"/>
        </w:rPr>
        <w:t>más</w:t>
      </w:r>
      <w:r>
        <w:rPr>
          <w:spacing w:val="-11"/>
          <w:w w:val="115"/>
        </w:rPr>
        <w:t> </w:t>
      </w:r>
      <w:r>
        <w:rPr>
          <w:w w:val="115"/>
        </w:rPr>
        <w:t>antiguo</w:t>
      </w:r>
      <w:r>
        <w:rPr>
          <w:spacing w:val="-11"/>
          <w:w w:val="115"/>
        </w:rPr>
        <w:t> </w:t>
      </w:r>
      <w:r>
        <w:rPr>
          <w:w w:val="115"/>
        </w:rPr>
        <w:t>del</w:t>
      </w:r>
      <w:r>
        <w:rPr>
          <w:spacing w:val="-11"/>
          <w:w w:val="115"/>
        </w:rPr>
        <w:t> </w:t>
      </w:r>
      <w:r>
        <w:rPr>
          <w:w w:val="115"/>
        </w:rPr>
        <w:t>mundo”–</w:t>
      </w:r>
      <w:r>
        <w:rPr>
          <w:spacing w:val="-11"/>
          <w:w w:val="115"/>
        </w:rPr>
        <w:t> </w:t>
      </w:r>
      <w:r>
        <w:rPr>
          <w:w w:val="115"/>
        </w:rPr>
        <w:t>y</w:t>
      </w:r>
      <w:r>
        <w:rPr>
          <w:spacing w:val="-11"/>
          <w:w w:val="115"/>
        </w:rPr>
        <w:t> </w:t>
      </w:r>
      <w:r>
        <w:rPr>
          <w:w w:val="115"/>
        </w:rPr>
        <w:t>de</w:t>
      </w:r>
      <w:r>
        <w:rPr>
          <w:spacing w:val="-11"/>
          <w:w w:val="115"/>
        </w:rPr>
        <w:t> </w:t>
      </w:r>
      <w:r>
        <w:rPr>
          <w:w w:val="115"/>
        </w:rPr>
        <w:t>sus</w:t>
      </w:r>
      <w:r>
        <w:rPr>
          <w:spacing w:val="-11"/>
          <w:w w:val="115"/>
        </w:rPr>
        <w:t> </w:t>
      </w:r>
      <w:r>
        <w:rPr>
          <w:w w:val="115"/>
        </w:rPr>
        <w:t>diferentes</w:t>
      </w:r>
      <w:r>
        <w:rPr>
          <w:spacing w:val="-11"/>
          <w:w w:val="115"/>
        </w:rPr>
        <w:t> </w:t>
      </w:r>
      <w:r>
        <w:rPr>
          <w:w w:val="115"/>
        </w:rPr>
        <w:t>de- pendencias.</w:t>
      </w:r>
      <w:r>
        <w:rPr>
          <w:spacing w:val="-8"/>
          <w:w w:val="115"/>
        </w:rPr>
        <w:t> </w:t>
      </w:r>
      <w:r>
        <w:rPr>
          <w:w w:val="115"/>
        </w:rPr>
        <w:t>igualmente,</w:t>
      </w:r>
      <w:r>
        <w:rPr>
          <w:spacing w:val="-8"/>
          <w:w w:val="115"/>
        </w:rPr>
        <w:t> </w:t>
      </w:r>
      <w:r>
        <w:rPr>
          <w:w w:val="115"/>
        </w:rPr>
        <w:t>la</w:t>
      </w:r>
      <w:r>
        <w:rPr>
          <w:spacing w:val="-8"/>
          <w:w w:val="115"/>
        </w:rPr>
        <w:t> </w:t>
      </w:r>
      <w:r>
        <w:rPr>
          <w:w w:val="115"/>
        </w:rPr>
        <w:t>sistemática</w:t>
      </w:r>
      <w:r>
        <w:rPr>
          <w:spacing w:val="-8"/>
          <w:w w:val="115"/>
        </w:rPr>
        <w:t> </w:t>
      </w:r>
      <w:r>
        <w:rPr>
          <w:w w:val="115"/>
        </w:rPr>
        <w:t>realización</w:t>
      </w:r>
      <w:r>
        <w:rPr>
          <w:spacing w:val="-8"/>
          <w:w w:val="115"/>
        </w:rPr>
        <w:t> </w:t>
      </w:r>
      <w:r>
        <w:rPr>
          <w:w w:val="115"/>
        </w:rPr>
        <w:t>de</w:t>
      </w:r>
      <w:r>
        <w:rPr>
          <w:spacing w:val="-8"/>
          <w:w w:val="115"/>
        </w:rPr>
        <w:t> </w:t>
      </w:r>
      <w:r>
        <w:rPr>
          <w:w w:val="115"/>
        </w:rPr>
        <w:t>la</w:t>
      </w:r>
      <w:r>
        <w:rPr>
          <w:spacing w:val="-8"/>
          <w:w w:val="115"/>
        </w:rPr>
        <w:t> </w:t>
      </w:r>
      <w:r>
        <w:rPr>
          <w:w w:val="115"/>
        </w:rPr>
        <w:t>Conferencia de Ejércitos americanos, de la Conferencia Naval interamericana y del</w:t>
      </w:r>
      <w:r>
        <w:rPr>
          <w:spacing w:val="-13"/>
          <w:w w:val="115"/>
        </w:rPr>
        <w:t> </w:t>
      </w:r>
      <w:r>
        <w:rPr>
          <w:w w:val="115"/>
        </w:rPr>
        <w:t>sistema</w:t>
      </w:r>
      <w:r>
        <w:rPr>
          <w:spacing w:val="-13"/>
          <w:w w:val="115"/>
        </w:rPr>
        <w:t> </w:t>
      </w:r>
      <w:r>
        <w:rPr>
          <w:w w:val="115"/>
        </w:rPr>
        <w:t>de</w:t>
      </w:r>
      <w:r>
        <w:rPr>
          <w:spacing w:val="-13"/>
          <w:w w:val="115"/>
        </w:rPr>
        <w:t> </w:t>
      </w:r>
      <w:r>
        <w:rPr>
          <w:w w:val="115"/>
        </w:rPr>
        <w:t>Cooperación</w:t>
      </w:r>
      <w:r>
        <w:rPr>
          <w:spacing w:val="-13"/>
          <w:w w:val="115"/>
        </w:rPr>
        <w:t> </w:t>
      </w:r>
      <w:r>
        <w:rPr>
          <w:w w:val="115"/>
        </w:rPr>
        <w:t>de</w:t>
      </w:r>
      <w:r>
        <w:rPr>
          <w:spacing w:val="-13"/>
          <w:w w:val="115"/>
        </w:rPr>
        <w:t> </w:t>
      </w:r>
      <w:r>
        <w:rPr>
          <w:w w:val="115"/>
        </w:rPr>
        <w:t>las</w:t>
      </w:r>
      <w:r>
        <w:rPr>
          <w:spacing w:val="-13"/>
          <w:w w:val="115"/>
        </w:rPr>
        <w:t> </w:t>
      </w:r>
      <w:r>
        <w:rPr>
          <w:w w:val="115"/>
        </w:rPr>
        <w:t>Fuerzas</w:t>
      </w:r>
      <w:r>
        <w:rPr>
          <w:spacing w:val="-13"/>
          <w:w w:val="115"/>
        </w:rPr>
        <w:t> </w:t>
      </w:r>
      <w:r>
        <w:rPr>
          <w:w w:val="115"/>
        </w:rPr>
        <w:t>aéreas</w:t>
      </w:r>
      <w:r>
        <w:rPr>
          <w:spacing w:val="-13"/>
          <w:w w:val="115"/>
        </w:rPr>
        <w:t> </w:t>
      </w:r>
      <w:r>
        <w:rPr>
          <w:w w:val="115"/>
        </w:rPr>
        <w:t>americanas.</w:t>
      </w:r>
      <w:r>
        <w:rPr>
          <w:w w:val="115"/>
          <w:position w:val="6"/>
          <w:sz w:val="11"/>
        </w:rPr>
        <w:t>8</w:t>
      </w:r>
    </w:p>
    <w:p>
      <w:pPr>
        <w:pStyle w:val="BodyText"/>
        <w:spacing w:line="252" w:lineRule="auto"/>
        <w:ind w:left="120" w:right="328" w:firstLine="396"/>
        <w:jc w:val="right"/>
      </w:pPr>
      <w:r>
        <w:rPr>
          <w:w w:val="110"/>
        </w:rPr>
        <w:t>también la capacitación  de  militares  y civiles latinoamericanos</w:t>
      </w:r>
      <w:r>
        <w:rPr>
          <w:w w:val="110"/>
        </w:rPr>
        <w:t> </w:t>
      </w:r>
      <w:r>
        <w:rPr>
          <w:w w:val="110"/>
        </w:rPr>
        <w:t>y caribeños a través de sus diversos programas bilaterales y de todas</w:t>
      </w:r>
      <w:r>
        <w:rPr>
          <w:w w:val="109"/>
        </w:rPr>
        <w:t> </w:t>
      </w:r>
      <w:r>
        <w:rPr>
          <w:w w:val="110"/>
        </w:rPr>
        <w:t>“las instituciones educativas” del Pentágono, incluidos el Centro de</w:t>
      </w:r>
      <w:r>
        <w:rPr>
          <w:w w:val="107"/>
        </w:rPr>
        <w:t> </w:t>
      </w:r>
      <w:r>
        <w:rPr>
          <w:w w:val="110"/>
        </w:rPr>
        <w:t>Estudios Hemisféricos de defensa (HdsC, por sus siglas en inglés) y</w:t>
      </w:r>
      <w:r>
        <w:rPr>
          <w:w w:val="105"/>
        </w:rPr>
        <w:t> </w:t>
      </w:r>
      <w:r>
        <w:rPr>
          <w:w w:val="110"/>
        </w:rPr>
        <w:t>del ahora llamado instituto para la Cooperación para la seguridad del</w:t>
      </w:r>
      <w:r>
        <w:rPr>
          <w:w w:val="107"/>
        </w:rPr>
        <w:t> </w:t>
      </w:r>
      <w:r>
        <w:rPr>
          <w:w w:val="110"/>
        </w:rPr>
        <w:t>Hemisferio occidental, otrora denominada “Escuela de las américas”.</w:t>
      </w:r>
      <w:r>
        <w:rPr>
          <w:w w:val="112"/>
        </w:rPr>
        <w:t> </w:t>
      </w:r>
      <w:r>
        <w:rPr>
          <w:w w:val="110"/>
        </w:rPr>
        <w:t>adicionalmente, el Pentágono impulsará el constante   despliegue</w:t>
      </w:r>
    </w:p>
    <w:p>
      <w:pPr>
        <w:pStyle w:val="BodyText"/>
        <w:spacing w:line="252" w:lineRule="auto"/>
        <w:ind w:left="120" w:right="328" w:hanging="1"/>
        <w:jc w:val="both"/>
      </w:pPr>
      <w:r>
        <w:rPr>
          <w:w w:val="110"/>
        </w:rPr>
        <w:t>de los diversos ejercicios militares interamericanos que, con diferen- tes nombres y de manera sistemática organiza el </w:t>
      </w:r>
      <w:r>
        <w:rPr>
          <w:w w:val="125"/>
        </w:rPr>
        <w:t>soutHCoM, </w:t>
      </w:r>
      <w:r>
        <w:rPr>
          <w:w w:val="110"/>
        </w:rPr>
        <w:t>en los que en algunas ocasiones también participan las fuerzas militares de Canadá y de los Estados europeos integrantes de la </w:t>
      </w:r>
      <w:r>
        <w:rPr>
          <w:w w:val="125"/>
        </w:rPr>
        <w:t>otaN </w:t>
      </w:r>
      <w:r>
        <w:rPr>
          <w:w w:val="110"/>
        </w:rPr>
        <w:t>que mantie- nen diversas posiciones coloniales en el Caribe insular y continental: Francia,  Gran  bretaña  y Holanda.</w:t>
      </w:r>
    </w:p>
    <w:p>
      <w:pPr>
        <w:pStyle w:val="BodyText"/>
        <w:spacing w:before="5"/>
      </w:pPr>
    </w:p>
    <w:p>
      <w:pPr>
        <w:pStyle w:val="BodyText"/>
        <w:spacing w:line="252" w:lineRule="auto"/>
        <w:ind w:left="120" w:right="314" w:firstLine="1"/>
      </w:pPr>
      <w:r>
        <w:rPr>
          <w:rFonts w:ascii="Times New Roman" w:hAnsi="Times New Roman"/>
          <w:b/>
          <w:spacing w:val="2"/>
          <w:w w:val="131"/>
          <w:sz w:val="20"/>
        </w:rPr>
        <w:t>d</w:t>
      </w:r>
      <w:r>
        <w:rPr>
          <w:rFonts w:ascii="Times New Roman" w:hAnsi="Times New Roman"/>
          <w:b/>
          <w:spacing w:val="3"/>
          <w:w w:val="134"/>
          <w:sz w:val="20"/>
        </w:rPr>
        <w:t>e</w:t>
      </w:r>
      <w:r>
        <w:rPr>
          <w:rFonts w:ascii="Times New Roman" w:hAnsi="Times New Roman"/>
          <w:b/>
          <w:spacing w:val="2"/>
          <w:w w:val="135"/>
          <w:sz w:val="20"/>
        </w:rPr>
        <w:t>s</w:t>
      </w:r>
      <w:r>
        <w:rPr>
          <w:rFonts w:ascii="Times New Roman" w:hAnsi="Times New Roman"/>
          <w:b/>
          <w:spacing w:val="3"/>
          <w:w w:val="135"/>
          <w:sz w:val="20"/>
        </w:rPr>
        <w:t>e</w:t>
      </w:r>
      <w:r>
        <w:rPr>
          <w:rFonts w:ascii="Times New Roman" w:hAnsi="Times New Roman"/>
          <w:b/>
          <w:spacing w:val="1"/>
          <w:w w:val="136"/>
          <w:sz w:val="20"/>
        </w:rPr>
        <w:t>s</w:t>
      </w:r>
      <w:r>
        <w:rPr>
          <w:rFonts w:ascii="Times New Roman" w:hAnsi="Times New Roman"/>
          <w:b/>
          <w:spacing w:val="-10"/>
          <w:w w:val="180"/>
          <w:sz w:val="20"/>
        </w:rPr>
        <w:t>t</w:t>
      </w:r>
      <w:r>
        <w:rPr>
          <w:rFonts w:ascii="Times New Roman" w:hAnsi="Times New Roman"/>
          <w:b/>
          <w:spacing w:val="2"/>
          <w:w w:val="129"/>
          <w:sz w:val="20"/>
        </w:rPr>
        <w:t>a</w:t>
      </w:r>
      <w:r>
        <w:rPr>
          <w:rFonts w:ascii="Times New Roman" w:hAnsi="Times New Roman"/>
          <w:b/>
          <w:spacing w:val="1"/>
          <w:w w:val="96"/>
          <w:sz w:val="20"/>
        </w:rPr>
        <w:t>B</w:t>
      </w:r>
      <w:r>
        <w:rPr>
          <w:rFonts w:ascii="Times New Roman" w:hAnsi="Times New Roman"/>
          <w:b/>
          <w:spacing w:val="2"/>
          <w:w w:val="165"/>
          <w:sz w:val="20"/>
        </w:rPr>
        <w:t>il</w:t>
      </w:r>
      <w:r>
        <w:rPr>
          <w:rFonts w:ascii="Times New Roman" w:hAnsi="Times New Roman"/>
          <w:b/>
          <w:spacing w:val="2"/>
          <w:w w:val="129"/>
          <w:sz w:val="20"/>
        </w:rPr>
        <w:t>i</w:t>
      </w:r>
      <w:r>
        <w:rPr>
          <w:rFonts w:ascii="Times New Roman" w:hAnsi="Times New Roman"/>
          <w:b/>
          <w:spacing w:val="6"/>
          <w:w w:val="132"/>
          <w:sz w:val="20"/>
        </w:rPr>
        <w:t>z</w:t>
      </w:r>
      <w:r>
        <w:rPr>
          <w:rFonts w:ascii="Times New Roman" w:hAnsi="Times New Roman"/>
          <w:b/>
          <w:spacing w:val="2"/>
          <w:w w:val="136"/>
          <w:sz w:val="20"/>
        </w:rPr>
        <w:t>a</w:t>
      </w:r>
      <w:r>
        <w:rPr>
          <w:rFonts w:ascii="Times New Roman" w:hAnsi="Times New Roman"/>
          <w:b/>
          <w:w w:val="136"/>
          <w:sz w:val="20"/>
        </w:rPr>
        <w:t>r</w:t>
      </w:r>
      <w:r>
        <w:rPr>
          <w:rFonts w:ascii="Times New Roman" w:hAnsi="Times New Roman"/>
          <w:b/>
          <w:spacing w:val="-8"/>
          <w:sz w:val="20"/>
        </w:rPr>
        <w:t> </w:t>
      </w:r>
      <w:r>
        <w:rPr>
          <w:rFonts w:ascii="Times New Roman" w:hAnsi="Times New Roman"/>
          <w:b/>
          <w:w w:val="129"/>
          <w:sz w:val="20"/>
        </w:rPr>
        <w:t>a</w:t>
      </w:r>
      <w:r>
        <w:rPr>
          <w:rFonts w:ascii="Times New Roman" w:hAnsi="Times New Roman"/>
          <w:b/>
          <w:spacing w:val="-8"/>
          <w:sz w:val="20"/>
        </w:rPr>
        <w:t> </w:t>
      </w:r>
      <w:r>
        <w:rPr>
          <w:rFonts w:ascii="Times New Roman" w:hAnsi="Times New Roman"/>
          <w:b/>
          <w:spacing w:val="1"/>
          <w:w w:val="201"/>
          <w:sz w:val="20"/>
        </w:rPr>
        <w:t>l</w:t>
      </w:r>
      <w:r>
        <w:rPr>
          <w:rFonts w:ascii="Times New Roman" w:hAnsi="Times New Roman"/>
          <w:b/>
          <w:spacing w:val="3"/>
          <w:w w:val="145"/>
          <w:sz w:val="20"/>
        </w:rPr>
        <w:t>o</w:t>
      </w:r>
      <w:r>
        <w:rPr>
          <w:rFonts w:ascii="Times New Roman" w:hAnsi="Times New Roman"/>
          <w:b/>
          <w:w w:val="136"/>
          <w:sz w:val="20"/>
        </w:rPr>
        <w:t>s</w:t>
      </w:r>
      <w:r>
        <w:rPr>
          <w:rFonts w:ascii="Times New Roman" w:hAnsi="Times New Roman"/>
          <w:b/>
          <w:spacing w:val="-8"/>
          <w:sz w:val="20"/>
        </w:rPr>
        <w:t> </w:t>
      </w:r>
      <w:r>
        <w:rPr>
          <w:rFonts w:ascii="Times New Roman" w:hAnsi="Times New Roman"/>
          <w:b/>
          <w:spacing w:val="5"/>
          <w:w w:val="89"/>
          <w:sz w:val="20"/>
        </w:rPr>
        <w:t>G</w:t>
      </w:r>
      <w:r>
        <w:rPr>
          <w:rFonts w:ascii="Times New Roman" w:hAnsi="Times New Roman"/>
          <w:b/>
          <w:spacing w:val="2"/>
          <w:w w:val="145"/>
          <w:sz w:val="20"/>
        </w:rPr>
        <w:t>o</w:t>
      </w:r>
      <w:r>
        <w:rPr>
          <w:rFonts w:ascii="Times New Roman" w:hAnsi="Times New Roman"/>
          <w:b/>
          <w:spacing w:val="1"/>
          <w:w w:val="96"/>
          <w:sz w:val="20"/>
        </w:rPr>
        <w:t>B</w:t>
      </w:r>
      <w:r>
        <w:rPr>
          <w:rFonts w:ascii="Times New Roman" w:hAnsi="Times New Roman"/>
          <w:b/>
          <w:spacing w:val="2"/>
          <w:w w:val="132"/>
          <w:sz w:val="20"/>
        </w:rPr>
        <w:t>i</w:t>
      </w:r>
      <w:r>
        <w:rPr>
          <w:rFonts w:ascii="Times New Roman" w:hAnsi="Times New Roman"/>
          <w:b/>
          <w:spacing w:val="3"/>
          <w:w w:val="132"/>
          <w:sz w:val="20"/>
        </w:rPr>
        <w:t>e</w:t>
      </w:r>
      <w:r>
        <w:rPr>
          <w:rFonts w:ascii="Times New Roman" w:hAnsi="Times New Roman"/>
          <w:b/>
          <w:spacing w:val="2"/>
          <w:w w:val="138"/>
          <w:sz w:val="20"/>
        </w:rPr>
        <w:t>rn</w:t>
      </w:r>
      <w:r>
        <w:rPr>
          <w:rFonts w:ascii="Times New Roman" w:hAnsi="Times New Roman"/>
          <w:b/>
          <w:spacing w:val="3"/>
          <w:w w:val="138"/>
          <w:sz w:val="20"/>
        </w:rPr>
        <w:t>o</w:t>
      </w:r>
      <w:r>
        <w:rPr>
          <w:rFonts w:ascii="Times New Roman" w:hAnsi="Times New Roman"/>
          <w:b/>
          <w:w w:val="136"/>
          <w:sz w:val="20"/>
        </w:rPr>
        <w:t>s</w:t>
      </w:r>
      <w:r>
        <w:rPr>
          <w:rFonts w:ascii="Times New Roman" w:hAnsi="Times New Roman"/>
          <w:b/>
          <w:spacing w:val="-9"/>
          <w:sz w:val="20"/>
        </w:rPr>
        <w:t> </w:t>
      </w:r>
      <w:r>
        <w:rPr>
          <w:rFonts w:ascii="Times New Roman" w:hAnsi="Times New Roman"/>
          <w:b/>
          <w:spacing w:val="-19"/>
          <w:w w:val="88"/>
          <w:sz w:val="20"/>
        </w:rPr>
        <w:t>“</w:t>
      </w:r>
      <w:r>
        <w:rPr>
          <w:rFonts w:ascii="Times New Roman" w:hAnsi="Times New Roman"/>
          <w:b/>
          <w:spacing w:val="2"/>
          <w:w w:val="128"/>
          <w:sz w:val="20"/>
        </w:rPr>
        <w:t>a</w:t>
      </w:r>
      <w:r>
        <w:rPr>
          <w:rFonts w:ascii="Times New Roman" w:hAnsi="Times New Roman"/>
          <w:b/>
          <w:spacing w:val="3"/>
          <w:w w:val="128"/>
          <w:sz w:val="20"/>
        </w:rPr>
        <w:t>n</w:t>
      </w:r>
      <w:r>
        <w:rPr>
          <w:rFonts w:ascii="Times New Roman" w:hAnsi="Times New Roman"/>
          <w:b/>
          <w:spacing w:val="2"/>
          <w:w w:val="147"/>
          <w:sz w:val="20"/>
        </w:rPr>
        <w:t>ti</w:t>
      </w:r>
      <w:r>
        <w:rPr>
          <w:rFonts w:ascii="Times New Roman" w:hAnsi="Times New Roman"/>
          <w:b/>
          <w:spacing w:val="3"/>
          <w:w w:val="147"/>
          <w:sz w:val="20"/>
        </w:rPr>
        <w:t>e</w:t>
      </w:r>
      <w:r>
        <w:rPr>
          <w:rFonts w:ascii="Times New Roman" w:hAnsi="Times New Roman"/>
          <w:b/>
          <w:spacing w:val="1"/>
          <w:w w:val="136"/>
          <w:sz w:val="20"/>
        </w:rPr>
        <w:t>s</w:t>
      </w:r>
      <w:r>
        <w:rPr>
          <w:rFonts w:ascii="Times New Roman" w:hAnsi="Times New Roman"/>
          <w:b/>
          <w:spacing w:val="-10"/>
          <w:w w:val="180"/>
          <w:sz w:val="20"/>
        </w:rPr>
        <w:t>t</w:t>
      </w:r>
      <w:r>
        <w:rPr>
          <w:rFonts w:ascii="Times New Roman" w:hAnsi="Times New Roman"/>
          <w:b/>
          <w:spacing w:val="2"/>
          <w:w w:val="130"/>
          <w:sz w:val="20"/>
        </w:rPr>
        <w:t>a</w:t>
      </w:r>
      <w:r>
        <w:rPr>
          <w:rFonts w:ascii="Times New Roman" w:hAnsi="Times New Roman"/>
          <w:b/>
          <w:spacing w:val="5"/>
          <w:w w:val="130"/>
          <w:sz w:val="20"/>
        </w:rPr>
        <w:t>d</w:t>
      </w:r>
      <w:r>
        <w:rPr>
          <w:rFonts w:ascii="Times New Roman" w:hAnsi="Times New Roman"/>
          <w:b/>
          <w:spacing w:val="2"/>
          <w:w w:val="145"/>
          <w:sz w:val="20"/>
        </w:rPr>
        <w:t>o</w:t>
      </w:r>
      <w:r>
        <w:rPr>
          <w:rFonts w:ascii="Times New Roman" w:hAnsi="Times New Roman"/>
          <w:b/>
          <w:spacing w:val="2"/>
          <w:w w:val="130"/>
          <w:sz w:val="20"/>
        </w:rPr>
        <w:t>unid</w:t>
      </w:r>
      <w:r>
        <w:rPr>
          <w:rFonts w:ascii="Times New Roman" w:hAnsi="Times New Roman"/>
          <w:b/>
          <w:spacing w:val="3"/>
          <w:w w:val="130"/>
          <w:sz w:val="20"/>
        </w:rPr>
        <w:t>e</w:t>
      </w:r>
      <w:r>
        <w:rPr>
          <w:rFonts w:ascii="Times New Roman" w:hAnsi="Times New Roman"/>
          <w:b/>
          <w:spacing w:val="2"/>
          <w:w w:val="132"/>
          <w:sz w:val="20"/>
        </w:rPr>
        <w:t>ns</w:t>
      </w:r>
      <w:r>
        <w:rPr>
          <w:rFonts w:ascii="Times New Roman" w:hAnsi="Times New Roman"/>
          <w:b/>
          <w:spacing w:val="3"/>
          <w:w w:val="132"/>
          <w:sz w:val="20"/>
        </w:rPr>
        <w:t>e</w:t>
      </w:r>
      <w:r>
        <w:rPr>
          <w:rFonts w:ascii="Times New Roman" w:hAnsi="Times New Roman"/>
          <w:b/>
          <w:spacing w:val="-1"/>
          <w:w w:val="136"/>
          <w:sz w:val="20"/>
        </w:rPr>
        <w:t>s</w:t>
      </w:r>
      <w:r>
        <w:rPr>
          <w:rFonts w:ascii="Times New Roman" w:hAnsi="Times New Roman"/>
          <w:b/>
          <w:w w:val="88"/>
          <w:sz w:val="20"/>
        </w:rPr>
        <w:t>” </w:t>
      </w:r>
      <w:r>
        <w:rPr>
          <w:w w:val="110"/>
        </w:rPr>
        <w:t>Por todo lo antedicho resultaron reveladoras las denuncias realizadas </w:t>
      </w:r>
      <w:r>
        <w:rPr>
          <w:w w:val="115"/>
        </w:rPr>
        <w:t>por</w:t>
      </w:r>
      <w:r>
        <w:rPr>
          <w:spacing w:val="-17"/>
          <w:w w:val="115"/>
        </w:rPr>
        <w:t> </w:t>
      </w:r>
      <w:r>
        <w:rPr>
          <w:w w:val="115"/>
        </w:rPr>
        <w:t>el</w:t>
      </w:r>
      <w:r>
        <w:rPr>
          <w:spacing w:val="-17"/>
          <w:w w:val="115"/>
        </w:rPr>
        <w:t> </w:t>
      </w:r>
      <w:r>
        <w:rPr>
          <w:w w:val="115"/>
        </w:rPr>
        <w:t>presidente</w:t>
      </w:r>
      <w:r>
        <w:rPr>
          <w:spacing w:val="-17"/>
          <w:w w:val="115"/>
        </w:rPr>
        <w:t> </w:t>
      </w:r>
      <w:r>
        <w:rPr>
          <w:w w:val="115"/>
        </w:rPr>
        <w:t>venezolano,</w:t>
      </w:r>
      <w:r>
        <w:rPr>
          <w:spacing w:val="-17"/>
          <w:w w:val="115"/>
        </w:rPr>
        <w:t> </w:t>
      </w:r>
      <w:r>
        <w:rPr>
          <w:w w:val="115"/>
        </w:rPr>
        <w:t>Nicolás</w:t>
      </w:r>
      <w:r>
        <w:rPr>
          <w:spacing w:val="-17"/>
          <w:w w:val="115"/>
        </w:rPr>
        <w:t> </w:t>
      </w:r>
      <w:r>
        <w:rPr>
          <w:w w:val="115"/>
        </w:rPr>
        <w:t>Maduro,</w:t>
      </w:r>
      <w:r>
        <w:rPr>
          <w:spacing w:val="-17"/>
          <w:w w:val="115"/>
        </w:rPr>
        <w:t> </w:t>
      </w:r>
      <w:r>
        <w:rPr>
          <w:w w:val="115"/>
        </w:rPr>
        <w:t>acerca</w:t>
      </w:r>
      <w:r>
        <w:rPr>
          <w:spacing w:val="-17"/>
          <w:w w:val="115"/>
        </w:rPr>
        <w:t> </w:t>
      </w:r>
      <w:r>
        <w:rPr>
          <w:w w:val="115"/>
        </w:rPr>
        <w:t>de</w:t>
      </w:r>
      <w:r>
        <w:rPr>
          <w:spacing w:val="-17"/>
          <w:w w:val="115"/>
        </w:rPr>
        <w:t> </w:t>
      </w:r>
      <w:r>
        <w:rPr>
          <w:w w:val="115"/>
        </w:rPr>
        <w:t>las</w:t>
      </w:r>
      <w:r>
        <w:rPr>
          <w:spacing w:val="-17"/>
          <w:w w:val="115"/>
        </w:rPr>
        <w:t> </w:t>
      </w:r>
      <w:r>
        <w:rPr>
          <w:w w:val="115"/>
        </w:rPr>
        <w:t>acciones </w:t>
      </w:r>
      <w:r>
        <w:rPr>
          <w:w w:val="120"/>
        </w:rPr>
        <w:t>desplegadas</w:t>
      </w:r>
      <w:r>
        <w:rPr>
          <w:spacing w:val="-23"/>
          <w:w w:val="120"/>
        </w:rPr>
        <w:t> </w:t>
      </w:r>
      <w:r>
        <w:rPr>
          <w:w w:val="120"/>
        </w:rPr>
        <w:t>por</w:t>
      </w:r>
      <w:r>
        <w:rPr>
          <w:spacing w:val="-23"/>
          <w:w w:val="120"/>
        </w:rPr>
        <w:t> </w:t>
      </w:r>
      <w:r>
        <w:rPr>
          <w:w w:val="120"/>
        </w:rPr>
        <w:t>la</w:t>
      </w:r>
      <w:r>
        <w:rPr>
          <w:spacing w:val="-23"/>
          <w:w w:val="120"/>
        </w:rPr>
        <w:t> </w:t>
      </w:r>
      <w:r>
        <w:rPr>
          <w:w w:val="120"/>
        </w:rPr>
        <w:t>administración</w:t>
      </w:r>
      <w:r>
        <w:rPr>
          <w:spacing w:val="-23"/>
          <w:w w:val="120"/>
        </w:rPr>
        <w:t> </w:t>
      </w:r>
      <w:r>
        <w:rPr>
          <w:w w:val="120"/>
        </w:rPr>
        <w:t>de</w:t>
      </w:r>
      <w:r>
        <w:rPr>
          <w:spacing w:val="-23"/>
          <w:w w:val="120"/>
        </w:rPr>
        <w:t> </w:t>
      </w:r>
      <w:r>
        <w:rPr>
          <w:w w:val="120"/>
        </w:rPr>
        <w:t>barack</w:t>
      </w:r>
      <w:r>
        <w:rPr>
          <w:spacing w:val="-23"/>
          <w:w w:val="120"/>
        </w:rPr>
        <w:t> </w:t>
      </w:r>
      <w:r>
        <w:rPr>
          <w:w w:val="120"/>
        </w:rPr>
        <w:t>obama</w:t>
      </w:r>
      <w:r>
        <w:rPr>
          <w:spacing w:val="-23"/>
          <w:w w:val="120"/>
        </w:rPr>
        <w:t> </w:t>
      </w:r>
      <w:r>
        <w:rPr>
          <w:w w:val="120"/>
        </w:rPr>
        <w:t>para</w:t>
      </w:r>
      <w:r>
        <w:rPr>
          <w:spacing w:val="-23"/>
          <w:w w:val="120"/>
        </w:rPr>
        <w:t> </w:t>
      </w:r>
      <w:r>
        <w:rPr>
          <w:w w:val="120"/>
        </w:rPr>
        <w:t>tratar</w:t>
      </w:r>
      <w:r>
        <w:rPr>
          <w:spacing w:val="-23"/>
          <w:w w:val="120"/>
        </w:rPr>
        <w:t> </w:t>
      </w:r>
      <w:r>
        <w:rPr>
          <w:w w:val="120"/>
        </w:rPr>
        <w:t>de </w:t>
      </w:r>
      <w:r>
        <w:rPr>
          <w:w w:val="106"/>
        </w:rPr>
        <w:t>evitar</w:t>
      </w:r>
      <w:r>
        <w:rPr>
          <w:spacing w:val="4"/>
        </w:rPr>
        <w:t> </w:t>
      </w:r>
      <w:r>
        <w:rPr>
          <w:w w:val="107"/>
        </w:rPr>
        <w:t>el</w:t>
      </w:r>
      <w:r>
        <w:rPr>
          <w:spacing w:val="4"/>
        </w:rPr>
        <w:t> </w:t>
      </w:r>
      <w:r>
        <w:rPr>
          <w:w w:val="108"/>
        </w:rPr>
        <w:t>éxito</w:t>
      </w:r>
      <w:r>
        <w:rPr>
          <w:spacing w:val="4"/>
        </w:rPr>
        <w:t> </w:t>
      </w:r>
      <w:r>
        <w:rPr>
          <w:w w:val="107"/>
        </w:rPr>
        <w:t>de</w:t>
      </w:r>
      <w:r>
        <w:rPr>
          <w:spacing w:val="4"/>
        </w:rPr>
        <w:t> </w:t>
      </w:r>
      <w:r>
        <w:rPr>
          <w:w w:val="111"/>
        </w:rPr>
        <w:t>la</w:t>
      </w:r>
      <w:r>
        <w:rPr>
          <w:spacing w:val="4"/>
        </w:rPr>
        <w:t> </w:t>
      </w:r>
      <w:r>
        <w:rPr>
          <w:w w:val="149"/>
        </w:rPr>
        <w:t>s</w:t>
      </w:r>
      <w:r>
        <w:rPr>
          <w:w w:val="110"/>
        </w:rPr>
        <w:t>egunda</w:t>
      </w:r>
      <w:r>
        <w:rPr>
          <w:spacing w:val="4"/>
        </w:rPr>
        <w:t> </w:t>
      </w:r>
      <w:r>
        <w:rPr>
          <w:w w:val="112"/>
        </w:rPr>
        <w:t>Cumbre</w:t>
      </w:r>
      <w:r>
        <w:rPr>
          <w:spacing w:val="4"/>
        </w:rPr>
        <w:t> </w:t>
      </w:r>
      <w:r>
        <w:rPr>
          <w:w w:val="107"/>
        </w:rPr>
        <w:t>de</w:t>
      </w:r>
      <w:r>
        <w:rPr>
          <w:spacing w:val="4"/>
        </w:rPr>
        <w:t> </w:t>
      </w:r>
      <w:r>
        <w:rPr>
          <w:w w:val="111"/>
        </w:rPr>
        <w:t>la</w:t>
      </w:r>
      <w:r>
        <w:rPr>
          <w:spacing w:val="4"/>
        </w:rPr>
        <w:t> </w:t>
      </w:r>
      <w:r>
        <w:rPr>
          <w:w w:val="126"/>
        </w:rPr>
        <w:t>CE</w:t>
      </w:r>
      <w:r>
        <w:rPr>
          <w:w w:val="176"/>
        </w:rPr>
        <w:t>la</w:t>
      </w:r>
      <w:r>
        <w:rPr>
          <w:w w:val="124"/>
        </w:rPr>
        <w:t>C</w:t>
      </w:r>
      <w:r>
        <w:rPr>
          <w:spacing w:val="4"/>
        </w:rPr>
        <w:t> </w:t>
      </w:r>
      <w:r>
        <w:rPr>
          <w:w w:val="108"/>
        </w:rPr>
        <w:t>que</w:t>
      </w:r>
      <w:r>
        <w:rPr>
          <w:spacing w:val="4"/>
        </w:rPr>
        <w:t> </w:t>
      </w:r>
      <w:r>
        <w:rPr>
          <w:w w:val="105"/>
        </w:rPr>
        <w:t>se</w:t>
      </w:r>
      <w:r>
        <w:rPr>
          <w:spacing w:val="4"/>
        </w:rPr>
        <w:t> </w:t>
      </w:r>
      <w:r>
        <w:rPr>
          <w:w w:val="109"/>
        </w:rPr>
        <w:t>realizó</w:t>
      </w:r>
      <w:r>
        <w:rPr>
          <w:spacing w:val="4"/>
        </w:rPr>
        <w:t> </w:t>
      </w:r>
      <w:r>
        <w:rPr>
          <w:w w:val="108"/>
        </w:rPr>
        <w:t>en</w:t>
      </w:r>
      <w:r>
        <w:rPr>
          <w:spacing w:val="4"/>
        </w:rPr>
        <w:t> </w:t>
      </w:r>
      <w:r>
        <w:rPr>
          <w:w w:val="243"/>
        </w:rPr>
        <w:t>l</w:t>
      </w:r>
      <w:r>
        <w:rPr>
          <w:w w:val="112"/>
        </w:rPr>
        <w:t>a </w:t>
      </w:r>
      <w:r>
        <w:rPr>
          <w:w w:val="115"/>
        </w:rPr>
        <w:t>Habana,</w:t>
      </w:r>
      <w:r>
        <w:rPr>
          <w:spacing w:val="12"/>
        </w:rPr>
        <w:t> </w:t>
      </w:r>
      <w:r>
        <w:rPr>
          <w:w w:val="117"/>
        </w:rPr>
        <w:t>Cuba,</w:t>
      </w:r>
      <w:r>
        <w:rPr>
          <w:spacing w:val="12"/>
        </w:rPr>
        <w:t> </w:t>
      </w:r>
      <w:r>
        <w:rPr>
          <w:w w:val="106"/>
        </w:rPr>
        <w:t>entre</w:t>
      </w:r>
      <w:r>
        <w:rPr>
          <w:spacing w:val="12"/>
        </w:rPr>
        <w:t> </w:t>
      </w:r>
      <w:r>
        <w:rPr>
          <w:w w:val="107"/>
        </w:rPr>
        <w:t>el</w:t>
      </w:r>
      <w:r>
        <w:rPr>
          <w:spacing w:val="12"/>
        </w:rPr>
        <w:t> </w:t>
      </w:r>
      <w:r>
        <w:rPr>
          <w:w w:val="102"/>
        </w:rPr>
        <w:t>28</w:t>
      </w:r>
      <w:r>
        <w:rPr>
          <w:spacing w:val="12"/>
        </w:rPr>
        <w:t> </w:t>
      </w:r>
      <w:r>
        <w:rPr>
          <w:w w:val="105"/>
        </w:rPr>
        <w:t>y</w:t>
      </w:r>
      <w:r>
        <w:rPr>
          <w:spacing w:val="12"/>
        </w:rPr>
        <w:t> </w:t>
      </w:r>
      <w:r>
        <w:rPr>
          <w:w w:val="107"/>
        </w:rPr>
        <w:t>el</w:t>
      </w:r>
      <w:r>
        <w:rPr>
          <w:spacing w:val="12"/>
        </w:rPr>
        <w:t> </w:t>
      </w:r>
      <w:r>
        <w:rPr>
          <w:w w:val="102"/>
        </w:rPr>
        <w:t>29</w:t>
      </w:r>
      <w:r>
        <w:rPr>
          <w:spacing w:val="12"/>
        </w:rPr>
        <w:t> </w:t>
      </w:r>
      <w:r>
        <w:rPr>
          <w:w w:val="107"/>
        </w:rPr>
        <w:t>de</w:t>
      </w:r>
      <w:r>
        <w:rPr>
          <w:spacing w:val="12"/>
        </w:rPr>
        <w:t> </w:t>
      </w:r>
      <w:r>
        <w:rPr>
          <w:w w:val="107"/>
        </w:rPr>
        <w:t>enero</w:t>
      </w:r>
      <w:r>
        <w:rPr>
          <w:spacing w:val="12"/>
        </w:rPr>
        <w:t> </w:t>
      </w:r>
      <w:r>
        <w:rPr>
          <w:w w:val="107"/>
        </w:rPr>
        <w:t>de</w:t>
      </w:r>
      <w:r>
        <w:rPr>
          <w:spacing w:val="12"/>
        </w:rPr>
        <w:t> </w:t>
      </w:r>
      <w:r>
        <w:rPr>
          <w:w w:val="102"/>
        </w:rPr>
        <w:t>2014</w:t>
      </w:r>
      <w:r>
        <w:rPr>
          <w:spacing w:val="12"/>
        </w:rPr>
        <w:t> </w:t>
      </w:r>
      <w:r>
        <w:rPr>
          <w:w w:val="98"/>
        </w:rPr>
        <w:t>(</w:t>
      </w:r>
      <w:r>
        <w:rPr>
          <w:w w:val="243"/>
        </w:rPr>
        <w:t>l</w:t>
      </w:r>
      <w:r>
        <w:rPr>
          <w:w w:val="112"/>
        </w:rPr>
        <w:t>egañoa,</w:t>
      </w:r>
      <w:r>
        <w:rPr>
          <w:spacing w:val="12"/>
        </w:rPr>
        <w:t> </w:t>
      </w:r>
      <w:r>
        <w:rPr>
          <w:w w:val="104"/>
        </w:rPr>
        <w:t>2004).</w:t>
      </w:r>
    </w:p>
    <w:p>
      <w:pPr>
        <w:pStyle w:val="BodyText"/>
        <w:spacing w:line="252" w:lineRule="auto"/>
        <w:ind w:left="120" w:right="328" w:firstLine="396"/>
        <w:jc w:val="both"/>
      </w:pPr>
      <w:r>
        <w:rPr>
          <w:w w:val="110"/>
        </w:rPr>
        <w:t>aunque, como es usual, el departamento de Estado trató de des- merecer esa denuncia, lo cierto fue que ni el gobierno de los Estados unidos ni sus principales aliados hemisféricos lograron evitar el  éxito</w:t>
      </w:r>
    </w:p>
    <w:p>
      <w:pPr>
        <w:pStyle w:val="BodyText"/>
        <w:spacing w:before="10"/>
        <w:rPr>
          <w:sz w:val="20"/>
        </w:rPr>
      </w:pPr>
      <w:r>
        <w:rPr/>
        <w:pict>
          <v:line style="position:absolute;mso-position-horizontal-relative:page;mso-position-vertical-relative:paragraph;z-index:7936;mso-wrap-distance-left:0;mso-wrap-distance-right:0" from="51.023602pt,14.442029pt" to="79.369602pt,14.442029pt" stroked="true" strokeweight=".5pt" strokecolor="#000000">
            <w10:wrap type="topAndBottom"/>
          </v:line>
        </w:pict>
      </w:r>
    </w:p>
    <w:p>
      <w:pPr>
        <w:pStyle w:val="ListParagraph"/>
        <w:numPr>
          <w:ilvl w:val="1"/>
          <w:numId w:val="32"/>
        </w:numPr>
        <w:tabs>
          <w:tab w:pos="376" w:val="left" w:leader="none"/>
        </w:tabs>
        <w:spacing w:line="242" w:lineRule="auto" w:before="89" w:after="0"/>
        <w:ind w:left="120" w:right="327" w:firstLine="0"/>
        <w:jc w:val="both"/>
        <w:rPr>
          <w:sz w:val="16"/>
        </w:rPr>
      </w:pPr>
      <w:r>
        <w:rPr>
          <w:w w:val="105"/>
          <w:sz w:val="16"/>
        </w:rPr>
        <w:t>según la información disponible, tanto la </w:t>
      </w:r>
      <w:r>
        <w:rPr>
          <w:w w:val="130"/>
          <w:sz w:val="16"/>
        </w:rPr>
        <w:t>xxx </w:t>
      </w:r>
      <w:r>
        <w:rPr>
          <w:w w:val="105"/>
          <w:sz w:val="16"/>
        </w:rPr>
        <w:t>Conferencia de Jefes de Ejércitos americanos, como la </w:t>
      </w:r>
      <w:r>
        <w:rPr>
          <w:w w:val="130"/>
          <w:sz w:val="16"/>
        </w:rPr>
        <w:t>xxV </w:t>
      </w:r>
      <w:r>
        <w:rPr>
          <w:w w:val="105"/>
          <w:sz w:val="16"/>
        </w:rPr>
        <w:t>Edición de la Conferencia Naval interamericana se efec- tuaron en México en febrero y mayo de 2012, respectivamente. </w:t>
      </w:r>
      <w:r>
        <w:rPr>
          <w:w w:val="130"/>
          <w:sz w:val="16"/>
        </w:rPr>
        <w:t>a </w:t>
      </w:r>
      <w:r>
        <w:rPr>
          <w:w w:val="105"/>
          <w:sz w:val="16"/>
        </w:rPr>
        <w:t>su vez, la 52º y la  </w:t>
      </w:r>
      <w:r>
        <w:rPr>
          <w:spacing w:val="37"/>
          <w:w w:val="105"/>
          <w:sz w:val="16"/>
        </w:rPr>
        <w:t> </w:t>
      </w:r>
      <w:r>
        <w:rPr>
          <w:w w:val="105"/>
          <w:sz w:val="16"/>
        </w:rPr>
        <w:t>53º Conferencia de Jefes de las Fuerzas aéreas americanas se efectuaron en Canadá       y en Chile en junio de 2012 y de 2013, respectivamente. En ninguno de los casos se   </w:t>
      </w:r>
      <w:r>
        <w:rPr>
          <w:spacing w:val="37"/>
          <w:w w:val="105"/>
          <w:sz w:val="16"/>
        </w:rPr>
        <w:t> </w:t>
      </w:r>
      <w:r>
        <w:rPr>
          <w:w w:val="105"/>
          <w:sz w:val="16"/>
        </w:rPr>
        <w:t>ha informado a la opinión pública sobre  los  desarrollos,  resultados  y  acuerdos  de esas </w:t>
      </w:r>
      <w:r>
        <w:rPr>
          <w:spacing w:val="10"/>
          <w:w w:val="105"/>
          <w:sz w:val="16"/>
        </w:rPr>
        <w:t> </w:t>
      </w:r>
      <w:r>
        <w:rPr>
          <w:w w:val="105"/>
          <w:sz w:val="16"/>
        </w:rPr>
        <w:t>conferencias.</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y la profundización del acervo político de la </w:t>
      </w:r>
      <w:r>
        <w:rPr>
          <w:w w:val="150"/>
        </w:rPr>
        <w:t>CElaC. </w:t>
      </w:r>
      <w:r>
        <w:rPr>
          <w:w w:val="110"/>
        </w:rPr>
        <w:t>Entre ellos, los incluidos en la </w:t>
      </w:r>
      <w:r>
        <w:rPr>
          <w:i/>
          <w:w w:val="110"/>
        </w:rPr>
        <w:t>Proclama de América Latina y el Caribe como Zona de </w:t>
      </w:r>
      <w:r>
        <w:rPr>
          <w:i/>
          <w:w w:val="106"/>
        </w:rPr>
        <w:t>Paz</w:t>
      </w:r>
      <w:r>
        <w:rPr>
          <w:i/>
          <w:spacing w:val="2"/>
        </w:rPr>
        <w:t> </w:t>
      </w:r>
      <w:r>
        <w:rPr>
          <w:w w:val="119"/>
        </w:rPr>
        <w:t>(CE</w:t>
      </w:r>
      <w:r>
        <w:rPr>
          <w:w w:val="176"/>
        </w:rPr>
        <w:t>la</w:t>
      </w:r>
      <w:r>
        <w:rPr>
          <w:w w:val="128"/>
        </w:rPr>
        <w:t>C,</w:t>
      </w:r>
      <w:r>
        <w:rPr>
          <w:spacing w:val="2"/>
        </w:rPr>
        <w:t> </w:t>
      </w:r>
      <w:r>
        <w:rPr>
          <w:w w:val="104"/>
        </w:rPr>
        <w:t>2014),</w:t>
      </w:r>
      <w:r>
        <w:rPr>
          <w:spacing w:val="2"/>
        </w:rPr>
        <w:t> </w:t>
      </w:r>
      <w:r>
        <w:rPr>
          <w:w w:val="105"/>
        </w:rPr>
        <w:t>y</w:t>
      </w:r>
      <w:r>
        <w:rPr>
          <w:spacing w:val="2"/>
        </w:rPr>
        <w:t> </w:t>
      </w:r>
      <w:r>
        <w:rPr>
          <w:w w:val="108"/>
        </w:rPr>
        <w:t>en</w:t>
      </w:r>
      <w:r>
        <w:rPr>
          <w:spacing w:val="2"/>
        </w:rPr>
        <w:t> </w:t>
      </w:r>
      <w:r>
        <w:rPr>
          <w:w w:val="111"/>
        </w:rPr>
        <w:t>la</w:t>
      </w:r>
      <w:r>
        <w:rPr>
          <w:spacing w:val="2"/>
        </w:rPr>
        <w:t> </w:t>
      </w:r>
      <w:r>
        <w:rPr>
          <w:w w:val="139"/>
        </w:rPr>
        <w:t>d</w:t>
      </w:r>
      <w:r>
        <w:rPr>
          <w:w w:val="111"/>
        </w:rPr>
        <w:t>eclaración</w:t>
      </w:r>
      <w:r>
        <w:rPr>
          <w:spacing w:val="2"/>
        </w:rPr>
        <w:t> </w:t>
      </w:r>
      <w:r>
        <w:rPr>
          <w:w w:val="107"/>
        </w:rPr>
        <w:t>de</w:t>
      </w:r>
      <w:r>
        <w:rPr>
          <w:spacing w:val="2"/>
        </w:rPr>
        <w:t> </w:t>
      </w:r>
      <w:r>
        <w:rPr>
          <w:w w:val="243"/>
        </w:rPr>
        <w:t>l</w:t>
      </w:r>
      <w:r>
        <w:rPr>
          <w:w w:val="112"/>
        </w:rPr>
        <w:t>a</w:t>
      </w:r>
      <w:r>
        <w:rPr>
          <w:spacing w:val="2"/>
        </w:rPr>
        <w:t> </w:t>
      </w:r>
      <w:r>
        <w:rPr>
          <w:w w:val="114"/>
        </w:rPr>
        <w:t>Habana</w:t>
      </w:r>
      <w:r>
        <w:rPr>
          <w:spacing w:val="2"/>
        </w:rPr>
        <w:t> </w:t>
      </w:r>
      <w:r>
        <w:rPr>
          <w:w w:val="119"/>
        </w:rPr>
        <w:t>(CE</w:t>
      </w:r>
      <w:r>
        <w:rPr>
          <w:w w:val="176"/>
        </w:rPr>
        <w:t>la</w:t>
      </w:r>
      <w:r>
        <w:rPr>
          <w:w w:val="128"/>
        </w:rPr>
        <w:t>C,</w:t>
      </w:r>
      <w:r>
        <w:rPr>
          <w:spacing w:val="2"/>
        </w:rPr>
        <w:t> </w:t>
      </w:r>
      <w:r>
        <w:rPr>
          <w:w w:val="103"/>
        </w:rPr>
        <w:t>2014a) </w:t>
      </w:r>
      <w:r>
        <w:rPr>
          <w:w w:val="110"/>
        </w:rPr>
        <w:t>que fueron aprobadas de manera unánime por los representantes de </w:t>
      </w:r>
      <w:r>
        <w:rPr>
          <w:w w:val="110"/>
        </w:rPr>
        <w:t>alto</w:t>
      </w:r>
      <w:r>
        <w:rPr/>
        <w:t> </w:t>
      </w:r>
      <w:r>
        <w:rPr>
          <w:spacing w:val="-18"/>
        </w:rPr>
        <w:t> </w:t>
      </w:r>
      <w:r>
        <w:rPr>
          <w:w w:val="108"/>
        </w:rPr>
        <w:t>nivel</w:t>
      </w:r>
      <w:r>
        <w:rPr/>
        <w:t> </w:t>
      </w:r>
      <w:r>
        <w:rPr>
          <w:spacing w:val="-18"/>
        </w:rPr>
        <w:t> </w:t>
      </w:r>
      <w:r>
        <w:rPr>
          <w:w w:val="107"/>
        </w:rPr>
        <w:t>de</w:t>
      </w:r>
      <w:r>
        <w:rPr/>
        <w:t> </w:t>
      </w:r>
      <w:r>
        <w:rPr>
          <w:spacing w:val="-18"/>
        </w:rPr>
        <w:t> </w:t>
      </w:r>
      <w:r>
        <w:rPr>
          <w:w w:val="108"/>
        </w:rPr>
        <w:t>los</w:t>
      </w:r>
      <w:r>
        <w:rPr/>
        <w:t> </w:t>
      </w:r>
      <w:r>
        <w:rPr>
          <w:spacing w:val="-18"/>
        </w:rPr>
        <w:t> </w:t>
      </w:r>
      <w:r>
        <w:rPr>
          <w:w w:val="102"/>
        </w:rPr>
        <w:t>33</w:t>
      </w:r>
      <w:r>
        <w:rPr/>
        <w:t> </w:t>
      </w:r>
      <w:r>
        <w:rPr>
          <w:spacing w:val="-18"/>
        </w:rPr>
        <w:t> </w:t>
      </w:r>
      <w:r>
        <w:rPr>
          <w:w w:val="111"/>
        </w:rPr>
        <w:t>Estados</w:t>
      </w:r>
      <w:r>
        <w:rPr/>
        <w:t> </w:t>
      </w:r>
      <w:r>
        <w:rPr>
          <w:spacing w:val="-18"/>
        </w:rPr>
        <w:t> </w:t>
      </w:r>
      <w:r>
        <w:rPr>
          <w:w w:val="107"/>
        </w:rPr>
        <w:t>de</w:t>
      </w:r>
      <w:r>
        <w:rPr/>
        <w:t> </w:t>
      </w:r>
      <w:r>
        <w:rPr>
          <w:spacing w:val="-18"/>
        </w:rPr>
        <w:t> </w:t>
      </w:r>
      <w:r>
        <w:rPr>
          <w:w w:val="139"/>
        </w:rPr>
        <w:t>a</w:t>
      </w:r>
      <w:r>
        <w:rPr>
          <w:w w:val="111"/>
        </w:rPr>
        <w:t>mérica</w:t>
      </w:r>
      <w:r>
        <w:rPr/>
        <w:t> </w:t>
      </w:r>
      <w:r>
        <w:rPr>
          <w:spacing w:val="-18"/>
        </w:rPr>
        <w:t> </w:t>
      </w:r>
      <w:r>
        <w:rPr>
          <w:w w:val="243"/>
        </w:rPr>
        <w:t>l</w:t>
      </w:r>
      <w:r>
        <w:rPr>
          <w:w w:val="111"/>
        </w:rPr>
        <w:t>atina</w:t>
      </w:r>
      <w:r>
        <w:rPr/>
        <w:t> </w:t>
      </w:r>
      <w:r>
        <w:rPr>
          <w:spacing w:val="-18"/>
        </w:rPr>
        <w:t> </w:t>
      </w:r>
      <w:r>
        <w:rPr>
          <w:w w:val="105"/>
        </w:rPr>
        <w:t>y</w:t>
      </w:r>
      <w:r>
        <w:rPr/>
        <w:t> </w:t>
      </w:r>
      <w:r>
        <w:rPr>
          <w:spacing w:val="-18"/>
        </w:rPr>
        <w:t> </w:t>
      </w:r>
      <w:r>
        <w:rPr>
          <w:w w:val="107"/>
        </w:rPr>
        <w:t>el</w:t>
      </w:r>
      <w:r>
        <w:rPr/>
        <w:t> </w:t>
      </w:r>
      <w:r>
        <w:rPr>
          <w:spacing w:val="-18"/>
        </w:rPr>
        <w:t> </w:t>
      </w:r>
      <w:r>
        <w:rPr>
          <w:w w:val="112"/>
        </w:rPr>
        <w:t>Caribe</w:t>
      </w:r>
      <w:r>
        <w:rPr/>
        <w:t> </w:t>
      </w:r>
      <w:r>
        <w:rPr>
          <w:spacing w:val="-18"/>
        </w:rPr>
        <w:t> </w:t>
      </w:r>
      <w:r>
        <w:rPr>
          <w:w w:val="108"/>
        </w:rPr>
        <w:t>que</w:t>
      </w:r>
      <w:r>
        <w:rPr/>
        <w:t> </w:t>
      </w:r>
      <w:r>
        <w:rPr>
          <w:spacing w:val="-18"/>
        </w:rPr>
        <w:t> </w:t>
      </w:r>
      <w:r>
        <w:rPr>
          <w:w w:val="109"/>
        </w:rPr>
        <w:t>part</w:t>
      </w:r>
      <w:r>
        <w:rPr>
          <w:spacing w:val="-1"/>
          <w:w w:val="109"/>
        </w:rPr>
        <w:t>i</w:t>
      </w:r>
      <w:r>
        <w:rPr>
          <w:w w:val="102"/>
        </w:rPr>
        <w:t>- </w:t>
      </w:r>
      <w:r>
        <w:rPr>
          <w:w w:val="110"/>
        </w:rPr>
        <w:t>ciparon en ese evento. ambas declaraciones cuestionaron de manera implícita o explícita, según el caso, las diversas estratagemas –inclui- das las vinculadas a “la seguridad no tradicional”– que han venido impulsando las dos sucesivas administraciones de barack   </w:t>
      </w:r>
      <w:r>
        <w:rPr>
          <w:spacing w:val="5"/>
          <w:w w:val="110"/>
        </w:rPr>
        <w:t> </w:t>
      </w:r>
      <w:r>
        <w:rPr>
          <w:w w:val="110"/>
        </w:rPr>
        <w:t>obama.</w:t>
      </w:r>
    </w:p>
    <w:p>
      <w:pPr>
        <w:pStyle w:val="BodyText"/>
        <w:spacing w:line="252" w:lineRule="auto"/>
        <w:ind w:left="330" w:right="117" w:firstLine="396"/>
        <w:jc w:val="both"/>
      </w:pPr>
      <w:r>
        <w:rPr>
          <w:w w:val="120"/>
        </w:rPr>
        <w:t>Esos cuestionamientos, junto a la victoria del candidato del </w:t>
      </w:r>
      <w:r>
        <w:rPr>
          <w:w w:val="120"/>
        </w:rPr>
        <w:t>FM</w:t>
      </w:r>
      <w:r>
        <w:rPr>
          <w:w w:val="243"/>
        </w:rPr>
        <w:t>l</w:t>
      </w:r>
      <w:r>
        <w:rPr>
          <w:w w:val="119"/>
        </w:rPr>
        <w:t>N</w:t>
      </w:r>
      <w:r>
        <w:rPr>
          <w:spacing w:val="12"/>
        </w:rPr>
        <w:t> </w:t>
      </w:r>
      <w:r>
        <w:rPr>
          <w:w w:val="107"/>
        </w:rPr>
        <w:t>de</w:t>
      </w:r>
      <w:r>
        <w:rPr>
          <w:spacing w:val="12"/>
        </w:rPr>
        <w:t> </w:t>
      </w:r>
      <w:r>
        <w:rPr>
          <w:w w:val="122"/>
        </w:rPr>
        <w:t>El</w:t>
      </w:r>
      <w:r>
        <w:rPr>
          <w:spacing w:val="12"/>
        </w:rPr>
        <w:t> </w:t>
      </w:r>
      <w:r>
        <w:rPr>
          <w:w w:val="149"/>
        </w:rPr>
        <w:t>s</w:t>
      </w:r>
      <w:r>
        <w:rPr>
          <w:w w:val="109"/>
        </w:rPr>
        <w:t>alvado</w:t>
      </w:r>
      <w:r>
        <w:rPr>
          <w:spacing w:val="-22"/>
          <w:w w:val="105"/>
        </w:rPr>
        <w:t>r</w:t>
      </w:r>
      <w:r>
        <w:rPr>
          <w:w w:val="138"/>
        </w:rPr>
        <w:t>,</w:t>
      </w:r>
      <w:r>
        <w:rPr>
          <w:spacing w:val="12"/>
        </w:rPr>
        <w:t> </w:t>
      </w:r>
      <w:r>
        <w:rPr>
          <w:w w:val="243"/>
        </w:rPr>
        <w:t>l</w:t>
      </w:r>
      <w:r>
        <w:rPr>
          <w:w w:val="108"/>
        </w:rPr>
        <w:t>eonel</w:t>
      </w:r>
      <w:r>
        <w:rPr>
          <w:spacing w:val="12"/>
        </w:rPr>
        <w:t> </w:t>
      </w:r>
      <w:r>
        <w:rPr>
          <w:w w:val="149"/>
        </w:rPr>
        <w:t>s</w:t>
      </w:r>
      <w:r>
        <w:rPr>
          <w:w w:val="111"/>
        </w:rPr>
        <w:t>ánchez</w:t>
      </w:r>
      <w:r>
        <w:rPr>
          <w:spacing w:val="12"/>
        </w:rPr>
        <w:t> </w:t>
      </w:r>
      <w:r>
        <w:rPr>
          <w:w w:val="112"/>
        </w:rPr>
        <w:t>Cerén,</w:t>
      </w:r>
      <w:r>
        <w:rPr>
          <w:spacing w:val="12"/>
        </w:rPr>
        <w:t> </w:t>
      </w:r>
      <w:r>
        <w:rPr>
          <w:w w:val="108"/>
        </w:rPr>
        <w:t>en</w:t>
      </w:r>
      <w:r>
        <w:rPr>
          <w:spacing w:val="12"/>
        </w:rPr>
        <w:t> </w:t>
      </w:r>
      <w:r>
        <w:rPr>
          <w:w w:val="111"/>
        </w:rPr>
        <w:t>la</w:t>
      </w:r>
      <w:r>
        <w:rPr>
          <w:spacing w:val="12"/>
        </w:rPr>
        <w:t> </w:t>
      </w:r>
      <w:r>
        <w:rPr>
          <w:w w:val="109"/>
        </w:rPr>
        <w:t>segunda</w:t>
      </w:r>
      <w:r>
        <w:rPr>
          <w:spacing w:val="12"/>
        </w:rPr>
        <w:t> </w:t>
      </w:r>
      <w:r>
        <w:rPr>
          <w:w w:val="108"/>
        </w:rPr>
        <w:t>vuelta</w:t>
      </w:r>
      <w:r>
        <w:rPr>
          <w:spacing w:val="12"/>
        </w:rPr>
        <w:t> </w:t>
      </w:r>
      <w:r>
        <w:rPr>
          <w:w w:val="107"/>
        </w:rPr>
        <w:t>de </w:t>
      </w:r>
      <w:r>
        <w:rPr>
          <w:w w:val="115"/>
        </w:rPr>
        <w:t>las</w:t>
      </w:r>
      <w:r>
        <w:rPr>
          <w:spacing w:val="-7"/>
          <w:w w:val="115"/>
        </w:rPr>
        <w:t> </w:t>
      </w:r>
      <w:r>
        <w:rPr>
          <w:w w:val="115"/>
        </w:rPr>
        <w:t>elecciones</w:t>
      </w:r>
      <w:r>
        <w:rPr>
          <w:spacing w:val="-7"/>
          <w:w w:val="115"/>
        </w:rPr>
        <w:t> </w:t>
      </w:r>
      <w:r>
        <w:rPr>
          <w:w w:val="115"/>
        </w:rPr>
        <w:t>presidenciales</w:t>
      </w:r>
      <w:r>
        <w:rPr>
          <w:spacing w:val="-7"/>
          <w:w w:val="115"/>
        </w:rPr>
        <w:t> </w:t>
      </w:r>
      <w:r>
        <w:rPr>
          <w:w w:val="115"/>
        </w:rPr>
        <w:t>realizadas</w:t>
      </w:r>
      <w:r>
        <w:rPr>
          <w:spacing w:val="-7"/>
          <w:w w:val="115"/>
        </w:rPr>
        <w:t> </w:t>
      </w:r>
      <w:r>
        <w:rPr>
          <w:w w:val="115"/>
        </w:rPr>
        <w:t>en</w:t>
      </w:r>
      <w:r>
        <w:rPr>
          <w:spacing w:val="-7"/>
          <w:w w:val="115"/>
        </w:rPr>
        <w:t> </w:t>
      </w:r>
      <w:r>
        <w:rPr>
          <w:w w:val="115"/>
        </w:rPr>
        <w:t>ese</w:t>
      </w:r>
      <w:r>
        <w:rPr>
          <w:spacing w:val="-7"/>
          <w:w w:val="115"/>
        </w:rPr>
        <w:t> </w:t>
      </w:r>
      <w:r>
        <w:rPr>
          <w:w w:val="115"/>
        </w:rPr>
        <w:t>país</w:t>
      </w:r>
      <w:r>
        <w:rPr>
          <w:spacing w:val="-7"/>
          <w:w w:val="115"/>
        </w:rPr>
        <w:t> </w:t>
      </w:r>
      <w:r>
        <w:rPr>
          <w:w w:val="115"/>
        </w:rPr>
        <w:t>el</w:t>
      </w:r>
      <w:r>
        <w:rPr>
          <w:spacing w:val="-7"/>
          <w:w w:val="115"/>
        </w:rPr>
        <w:t> </w:t>
      </w:r>
      <w:r>
        <w:rPr>
          <w:w w:val="115"/>
        </w:rPr>
        <w:t>9</w:t>
      </w:r>
      <w:r>
        <w:rPr>
          <w:spacing w:val="-7"/>
          <w:w w:val="115"/>
        </w:rPr>
        <w:t> </w:t>
      </w:r>
      <w:r>
        <w:rPr>
          <w:w w:val="115"/>
        </w:rPr>
        <w:t>de</w:t>
      </w:r>
      <w:r>
        <w:rPr>
          <w:spacing w:val="-7"/>
          <w:w w:val="115"/>
        </w:rPr>
        <w:t> </w:t>
      </w:r>
      <w:r>
        <w:rPr>
          <w:w w:val="115"/>
        </w:rPr>
        <w:t>marzo</w:t>
      </w:r>
      <w:r>
        <w:rPr>
          <w:spacing w:val="-7"/>
          <w:w w:val="115"/>
        </w:rPr>
        <w:t> </w:t>
      </w:r>
      <w:r>
        <w:rPr>
          <w:w w:val="115"/>
        </w:rPr>
        <w:t>de </w:t>
      </w:r>
      <w:r>
        <w:rPr>
          <w:w w:val="102"/>
        </w:rPr>
        <w:t>2014</w:t>
      </w:r>
      <w:r>
        <w:rPr/>
        <w:t> </w:t>
      </w:r>
      <w:r>
        <w:rPr>
          <w:spacing w:val="-18"/>
        </w:rPr>
        <w:t> </w:t>
      </w:r>
      <w:r>
        <w:rPr>
          <w:w w:val="105"/>
        </w:rPr>
        <w:t>y</w:t>
      </w:r>
      <w:r>
        <w:rPr/>
        <w:t> </w:t>
      </w:r>
      <w:r>
        <w:rPr>
          <w:spacing w:val="-18"/>
        </w:rPr>
        <w:t> </w:t>
      </w:r>
      <w:r>
        <w:rPr>
          <w:w w:val="111"/>
        </w:rPr>
        <w:t>la</w:t>
      </w:r>
      <w:r>
        <w:rPr/>
        <w:t> </w:t>
      </w:r>
      <w:r>
        <w:rPr>
          <w:spacing w:val="-18"/>
        </w:rPr>
        <w:t> </w:t>
      </w:r>
      <w:r>
        <w:rPr>
          <w:w w:val="109"/>
        </w:rPr>
        <w:t>aplastante</w:t>
      </w:r>
      <w:r>
        <w:rPr/>
        <w:t> </w:t>
      </w:r>
      <w:r>
        <w:rPr>
          <w:spacing w:val="-18"/>
        </w:rPr>
        <w:t> </w:t>
      </w:r>
      <w:r>
        <w:rPr>
          <w:w w:val="109"/>
        </w:rPr>
        <w:t>victoria</w:t>
      </w:r>
      <w:r>
        <w:rPr/>
        <w:t> </w:t>
      </w:r>
      <w:r>
        <w:rPr>
          <w:spacing w:val="-18"/>
        </w:rPr>
        <w:t> </w:t>
      </w:r>
      <w:r>
        <w:rPr>
          <w:w w:val="107"/>
        </w:rPr>
        <w:t>del</w:t>
      </w:r>
      <w:r>
        <w:rPr/>
        <w:t> </w:t>
      </w:r>
      <w:r>
        <w:rPr>
          <w:spacing w:val="-18"/>
        </w:rPr>
        <w:t> </w:t>
      </w:r>
      <w:r>
        <w:rPr>
          <w:w w:val="112"/>
        </w:rPr>
        <w:t>actual</w:t>
      </w:r>
      <w:r>
        <w:rPr/>
        <w:t> </w:t>
      </w:r>
      <w:r>
        <w:rPr>
          <w:spacing w:val="-18"/>
        </w:rPr>
        <w:t> </w:t>
      </w:r>
      <w:r>
        <w:rPr>
          <w:w w:val="107"/>
        </w:rPr>
        <w:t>presidente</w:t>
      </w:r>
      <w:r>
        <w:rPr/>
        <w:t> </w:t>
      </w:r>
      <w:r>
        <w:rPr>
          <w:spacing w:val="-18"/>
        </w:rPr>
        <w:t> </w:t>
      </w:r>
      <w:r>
        <w:rPr>
          <w:w w:val="109"/>
        </w:rPr>
        <w:t>costarricense</w:t>
      </w:r>
      <w:r>
        <w:rPr/>
        <w:t> </w:t>
      </w:r>
      <w:r>
        <w:rPr>
          <w:spacing w:val="-18"/>
        </w:rPr>
        <w:t> </w:t>
      </w:r>
      <w:r>
        <w:rPr>
          <w:w w:val="243"/>
        </w:rPr>
        <w:t>l</w:t>
      </w:r>
      <w:r>
        <w:rPr>
          <w:w w:val="111"/>
        </w:rPr>
        <w:t>uis </w:t>
      </w:r>
      <w:r>
        <w:rPr>
          <w:w w:val="115"/>
        </w:rPr>
        <w:t>Guillermo solis en la segunda vuelta de los comicios presidenciales </w:t>
      </w:r>
      <w:r>
        <w:rPr>
          <w:w w:val="120"/>
        </w:rPr>
        <w:t>que</w:t>
      </w:r>
      <w:r>
        <w:rPr>
          <w:spacing w:val="-11"/>
          <w:w w:val="120"/>
        </w:rPr>
        <w:t> </w:t>
      </w:r>
      <w:r>
        <w:rPr>
          <w:w w:val="120"/>
        </w:rPr>
        <w:t>se</w:t>
      </w:r>
      <w:r>
        <w:rPr>
          <w:spacing w:val="-11"/>
          <w:w w:val="120"/>
        </w:rPr>
        <w:t> </w:t>
      </w:r>
      <w:r>
        <w:rPr>
          <w:w w:val="120"/>
        </w:rPr>
        <w:t>realizaron</w:t>
      </w:r>
      <w:r>
        <w:rPr>
          <w:spacing w:val="-11"/>
          <w:w w:val="120"/>
        </w:rPr>
        <w:t> </w:t>
      </w:r>
      <w:r>
        <w:rPr>
          <w:w w:val="120"/>
        </w:rPr>
        <w:t>en</w:t>
      </w:r>
      <w:r>
        <w:rPr>
          <w:spacing w:val="-11"/>
          <w:w w:val="120"/>
        </w:rPr>
        <w:t> </w:t>
      </w:r>
      <w:r>
        <w:rPr>
          <w:w w:val="120"/>
        </w:rPr>
        <w:t>Costa</w:t>
      </w:r>
      <w:r>
        <w:rPr>
          <w:spacing w:val="-11"/>
          <w:w w:val="120"/>
        </w:rPr>
        <w:t> </w:t>
      </w:r>
      <w:r>
        <w:rPr>
          <w:w w:val="120"/>
        </w:rPr>
        <w:t>rica</w:t>
      </w:r>
      <w:r>
        <w:rPr>
          <w:spacing w:val="-11"/>
          <w:w w:val="120"/>
        </w:rPr>
        <w:t> </w:t>
      </w:r>
      <w:r>
        <w:rPr>
          <w:w w:val="120"/>
        </w:rPr>
        <w:t>el</w:t>
      </w:r>
      <w:r>
        <w:rPr>
          <w:spacing w:val="-11"/>
          <w:w w:val="120"/>
        </w:rPr>
        <w:t> </w:t>
      </w:r>
      <w:r>
        <w:rPr>
          <w:w w:val="120"/>
        </w:rPr>
        <w:t>6</w:t>
      </w:r>
      <w:r>
        <w:rPr>
          <w:spacing w:val="-11"/>
          <w:w w:val="120"/>
        </w:rPr>
        <w:t> </w:t>
      </w:r>
      <w:r>
        <w:rPr>
          <w:w w:val="120"/>
        </w:rPr>
        <w:t>de</w:t>
      </w:r>
      <w:r>
        <w:rPr>
          <w:spacing w:val="-11"/>
          <w:w w:val="120"/>
        </w:rPr>
        <w:t> </w:t>
      </w:r>
      <w:r>
        <w:rPr>
          <w:w w:val="120"/>
        </w:rPr>
        <w:t>abril</w:t>
      </w:r>
      <w:r>
        <w:rPr>
          <w:spacing w:val="-11"/>
          <w:w w:val="120"/>
        </w:rPr>
        <w:t> </w:t>
      </w:r>
      <w:r>
        <w:rPr>
          <w:w w:val="120"/>
        </w:rPr>
        <w:t>del</w:t>
      </w:r>
      <w:r>
        <w:rPr>
          <w:spacing w:val="-11"/>
          <w:w w:val="120"/>
        </w:rPr>
        <w:t> </w:t>
      </w:r>
      <w:r>
        <w:rPr>
          <w:w w:val="120"/>
        </w:rPr>
        <w:t>propio</w:t>
      </w:r>
      <w:r>
        <w:rPr>
          <w:spacing w:val="-11"/>
          <w:w w:val="120"/>
        </w:rPr>
        <w:t> </w:t>
      </w:r>
      <w:r>
        <w:rPr>
          <w:w w:val="120"/>
        </w:rPr>
        <w:t>año,</w:t>
      </w:r>
      <w:r>
        <w:rPr>
          <w:spacing w:val="-11"/>
          <w:w w:val="120"/>
        </w:rPr>
        <w:t> </w:t>
      </w:r>
      <w:r>
        <w:rPr>
          <w:w w:val="120"/>
        </w:rPr>
        <w:t>contri- </w:t>
      </w:r>
      <w:r>
        <w:rPr>
          <w:w w:val="115"/>
        </w:rPr>
        <w:t>buyen</w:t>
      </w:r>
      <w:r>
        <w:rPr>
          <w:spacing w:val="-13"/>
          <w:w w:val="115"/>
        </w:rPr>
        <w:t> </w:t>
      </w:r>
      <w:r>
        <w:rPr>
          <w:w w:val="115"/>
        </w:rPr>
        <w:t>a</w:t>
      </w:r>
      <w:r>
        <w:rPr>
          <w:spacing w:val="-13"/>
          <w:w w:val="115"/>
        </w:rPr>
        <w:t> </w:t>
      </w:r>
      <w:r>
        <w:rPr>
          <w:w w:val="115"/>
        </w:rPr>
        <w:t>explicar</w:t>
      </w:r>
      <w:r>
        <w:rPr>
          <w:spacing w:val="-13"/>
          <w:w w:val="115"/>
        </w:rPr>
        <w:t> </w:t>
      </w:r>
      <w:r>
        <w:rPr>
          <w:w w:val="115"/>
        </w:rPr>
        <w:t>la</w:t>
      </w:r>
      <w:r>
        <w:rPr>
          <w:spacing w:val="-13"/>
          <w:w w:val="115"/>
        </w:rPr>
        <w:t> </w:t>
      </w:r>
      <w:r>
        <w:rPr>
          <w:w w:val="115"/>
        </w:rPr>
        <w:t>antes</w:t>
      </w:r>
      <w:r>
        <w:rPr>
          <w:spacing w:val="-13"/>
          <w:w w:val="115"/>
        </w:rPr>
        <w:t> </w:t>
      </w:r>
      <w:r>
        <w:rPr>
          <w:w w:val="115"/>
        </w:rPr>
        <w:t>referida</w:t>
      </w:r>
      <w:r>
        <w:rPr>
          <w:spacing w:val="-13"/>
          <w:w w:val="115"/>
        </w:rPr>
        <w:t> </w:t>
      </w:r>
      <w:r>
        <w:rPr>
          <w:w w:val="115"/>
        </w:rPr>
        <w:t>“ofensiva</w:t>
      </w:r>
      <w:r>
        <w:rPr>
          <w:spacing w:val="-13"/>
          <w:w w:val="115"/>
        </w:rPr>
        <w:t> </w:t>
      </w:r>
      <w:r>
        <w:rPr>
          <w:w w:val="115"/>
        </w:rPr>
        <w:t>diplomática”</w:t>
      </w:r>
      <w:r>
        <w:rPr>
          <w:spacing w:val="-13"/>
          <w:w w:val="115"/>
        </w:rPr>
        <w:t> </w:t>
      </w:r>
      <w:r>
        <w:rPr>
          <w:w w:val="115"/>
        </w:rPr>
        <w:t>desplegada por</w:t>
      </w:r>
      <w:r>
        <w:rPr>
          <w:spacing w:val="-26"/>
          <w:w w:val="115"/>
        </w:rPr>
        <w:t> </w:t>
      </w:r>
      <w:r>
        <w:rPr>
          <w:w w:val="115"/>
        </w:rPr>
        <w:t>el</w:t>
      </w:r>
      <w:r>
        <w:rPr>
          <w:spacing w:val="-26"/>
          <w:w w:val="115"/>
        </w:rPr>
        <w:t> </w:t>
      </w:r>
      <w:r>
        <w:rPr>
          <w:w w:val="115"/>
        </w:rPr>
        <w:t>actual</w:t>
      </w:r>
      <w:r>
        <w:rPr>
          <w:spacing w:val="-26"/>
          <w:w w:val="115"/>
        </w:rPr>
        <w:t> </w:t>
      </w:r>
      <w:r>
        <w:rPr>
          <w:w w:val="115"/>
        </w:rPr>
        <w:t>gobierno</w:t>
      </w:r>
      <w:r>
        <w:rPr>
          <w:spacing w:val="-26"/>
          <w:w w:val="115"/>
        </w:rPr>
        <w:t> </w:t>
      </w:r>
      <w:r>
        <w:rPr>
          <w:w w:val="115"/>
        </w:rPr>
        <w:t>estadounidense</w:t>
      </w:r>
      <w:r>
        <w:rPr>
          <w:spacing w:val="-26"/>
          <w:w w:val="115"/>
        </w:rPr>
        <w:t> </w:t>
      </w:r>
      <w:r>
        <w:rPr>
          <w:w w:val="115"/>
        </w:rPr>
        <w:t>con</w:t>
      </w:r>
      <w:r>
        <w:rPr>
          <w:spacing w:val="-26"/>
          <w:w w:val="115"/>
        </w:rPr>
        <w:t> </w:t>
      </w:r>
      <w:r>
        <w:rPr>
          <w:w w:val="115"/>
        </w:rPr>
        <w:t>vistas</w:t>
      </w:r>
      <w:r>
        <w:rPr>
          <w:spacing w:val="-26"/>
          <w:w w:val="115"/>
        </w:rPr>
        <w:t> </w:t>
      </w:r>
      <w:r>
        <w:rPr>
          <w:w w:val="115"/>
        </w:rPr>
        <w:t>a</w:t>
      </w:r>
      <w:r>
        <w:rPr>
          <w:spacing w:val="-26"/>
          <w:w w:val="115"/>
        </w:rPr>
        <w:t> </w:t>
      </w:r>
      <w:r>
        <w:rPr>
          <w:w w:val="115"/>
        </w:rPr>
        <w:t>tratar</w:t>
      </w:r>
      <w:r>
        <w:rPr>
          <w:spacing w:val="-26"/>
          <w:w w:val="115"/>
        </w:rPr>
        <w:t> </w:t>
      </w:r>
      <w:r>
        <w:rPr>
          <w:w w:val="115"/>
        </w:rPr>
        <w:t>de</w:t>
      </w:r>
      <w:r>
        <w:rPr>
          <w:spacing w:val="-26"/>
          <w:w w:val="115"/>
        </w:rPr>
        <w:t> </w:t>
      </w:r>
      <w:r>
        <w:rPr>
          <w:w w:val="115"/>
        </w:rPr>
        <w:t>concertar posiciones</w:t>
      </w:r>
      <w:r>
        <w:rPr>
          <w:spacing w:val="-21"/>
          <w:w w:val="115"/>
        </w:rPr>
        <w:t> </w:t>
      </w:r>
      <w:r>
        <w:rPr>
          <w:w w:val="115"/>
        </w:rPr>
        <w:t>con</w:t>
      </w:r>
      <w:r>
        <w:rPr>
          <w:spacing w:val="-21"/>
          <w:w w:val="115"/>
        </w:rPr>
        <w:t> </w:t>
      </w:r>
      <w:r>
        <w:rPr>
          <w:w w:val="115"/>
        </w:rPr>
        <w:t>los</w:t>
      </w:r>
      <w:r>
        <w:rPr>
          <w:spacing w:val="-21"/>
          <w:w w:val="115"/>
        </w:rPr>
        <w:t> </w:t>
      </w:r>
      <w:r>
        <w:rPr>
          <w:w w:val="115"/>
        </w:rPr>
        <w:t>jefes</w:t>
      </w:r>
      <w:r>
        <w:rPr>
          <w:spacing w:val="-21"/>
          <w:w w:val="115"/>
        </w:rPr>
        <w:t> </w:t>
      </w:r>
      <w:r>
        <w:rPr>
          <w:w w:val="115"/>
        </w:rPr>
        <w:t>de</w:t>
      </w:r>
      <w:r>
        <w:rPr>
          <w:spacing w:val="-21"/>
          <w:w w:val="115"/>
        </w:rPr>
        <w:t> </w:t>
      </w:r>
      <w:r>
        <w:rPr>
          <w:w w:val="115"/>
        </w:rPr>
        <w:t>Estado</w:t>
      </w:r>
      <w:r>
        <w:rPr>
          <w:spacing w:val="-21"/>
          <w:w w:val="115"/>
        </w:rPr>
        <w:t> </w:t>
      </w:r>
      <w:r>
        <w:rPr>
          <w:w w:val="115"/>
        </w:rPr>
        <w:t>y</w:t>
      </w:r>
      <w:r>
        <w:rPr>
          <w:spacing w:val="-21"/>
          <w:w w:val="115"/>
        </w:rPr>
        <w:t> </w:t>
      </w:r>
      <w:r>
        <w:rPr>
          <w:w w:val="115"/>
        </w:rPr>
        <w:t>gobierno</w:t>
      </w:r>
      <w:r>
        <w:rPr>
          <w:spacing w:val="-21"/>
          <w:w w:val="115"/>
        </w:rPr>
        <w:t> </w:t>
      </w:r>
      <w:r>
        <w:rPr>
          <w:w w:val="115"/>
        </w:rPr>
        <w:t>de</w:t>
      </w:r>
      <w:r>
        <w:rPr>
          <w:spacing w:val="-21"/>
          <w:w w:val="115"/>
        </w:rPr>
        <w:t> </w:t>
      </w:r>
      <w:r>
        <w:rPr>
          <w:w w:val="115"/>
        </w:rPr>
        <w:t>Canadá</w:t>
      </w:r>
      <w:r>
        <w:rPr>
          <w:spacing w:val="-21"/>
          <w:w w:val="115"/>
        </w:rPr>
        <w:t> </w:t>
      </w:r>
      <w:r>
        <w:rPr>
          <w:w w:val="115"/>
        </w:rPr>
        <w:t>y</w:t>
      </w:r>
      <w:r>
        <w:rPr>
          <w:spacing w:val="-21"/>
          <w:w w:val="115"/>
        </w:rPr>
        <w:t> </w:t>
      </w:r>
      <w:r>
        <w:rPr>
          <w:w w:val="115"/>
        </w:rPr>
        <w:t>México,</w:t>
      </w:r>
      <w:r>
        <w:rPr>
          <w:spacing w:val="-21"/>
          <w:w w:val="115"/>
        </w:rPr>
        <w:t> </w:t>
      </w:r>
      <w:r>
        <w:rPr>
          <w:w w:val="115"/>
        </w:rPr>
        <w:t>con </w:t>
      </w:r>
      <w:r>
        <w:rPr>
          <w:w w:val="120"/>
        </w:rPr>
        <w:t>los</w:t>
      </w:r>
      <w:r>
        <w:rPr>
          <w:spacing w:val="-23"/>
          <w:w w:val="120"/>
        </w:rPr>
        <w:t> </w:t>
      </w:r>
      <w:r>
        <w:rPr>
          <w:w w:val="120"/>
        </w:rPr>
        <w:t>actuales</w:t>
      </w:r>
      <w:r>
        <w:rPr>
          <w:spacing w:val="-23"/>
          <w:w w:val="120"/>
        </w:rPr>
        <w:t> </w:t>
      </w:r>
      <w:r>
        <w:rPr>
          <w:w w:val="120"/>
        </w:rPr>
        <w:t>mandatarios</w:t>
      </w:r>
      <w:r>
        <w:rPr>
          <w:spacing w:val="-23"/>
          <w:w w:val="120"/>
        </w:rPr>
        <w:t> </w:t>
      </w:r>
      <w:r>
        <w:rPr>
          <w:w w:val="120"/>
        </w:rPr>
        <w:t>de</w:t>
      </w:r>
      <w:r>
        <w:rPr>
          <w:spacing w:val="-23"/>
          <w:w w:val="120"/>
        </w:rPr>
        <w:t> </w:t>
      </w:r>
      <w:r>
        <w:rPr>
          <w:w w:val="120"/>
        </w:rPr>
        <w:t>los</w:t>
      </w:r>
      <w:r>
        <w:rPr>
          <w:spacing w:val="-23"/>
          <w:w w:val="120"/>
        </w:rPr>
        <w:t> </w:t>
      </w:r>
      <w:r>
        <w:rPr>
          <w:w w:val="120"/>
        </w:rPr>
        <w:t>Estados</w:t>
      </w:r>
      <w:r>
        <w:rPr>
          <w:spacing w:val="-23"/>
          <w:w w:val="120"/>
        </w:rPr>
        <w:t> </w:t>
      </w:r>
      <w:r>
        <w:rPr>
          <w:w w:val="120"/>
        </w:rPr>
        <w:t>integrantes</w:t>
      </w:r>
      <w:r>
        <w:rPr>
          <w:spacing w:val="-23"/>
          <w:w w:val="120"/>
        </w:rPr>
        <w:t> </w:t>
      </w:r>
      <w:r>
        <w:rPr>
          <w:w w:val="120"/>
        </w:rPr>
        <w:t>de</w:t>
      </w:r>
      <w:r>
        <w:rPr>
          <w:spacing w:val="-23"/>
          <w:w w:val="120"/>
        </w:rPr>
        <w:t> </w:t>
      </w:r>
      <w:r>
        <w:rPr>
          <w:w w:val="120"/>
        </w:rPr>
        <w:t>la</w:t>
      </w:r>
      <w:r>
        <w:rPr>
          <w:spacing w:val="-23"/>
          <w:w w:val="120"/>
        </w:rPr>
        <w:t> </w:t>
      </w:r>
      <w:r>
        <w:rPr>
          <w:w w:val="120"/>
        </w:rPr>
        <w:t>CariCoM, del</w:t>
      </w:r>
      <w:r>
        <w:rPr>
          <w:spacing w:val="-5"/>
          <w:w w:val="120"/>
        </w:rPr>
        <w:t> </w:t>
      </w:r>
      <w:r>
        <w:rPr>
          <w:w w:val="120"/>
        </w:rPr>
        <w:t>siCa</w:t>
      </w:r>
      <w:r>
        <w:rPr>
          <w:spacing w:val="-5"/>
          <w:w w:val="120"/>
        </w:rPr>
        <w:t> </w:t>
      </w:r>
      <w:r>
        <w:rPr>
          <w:w w:val="120"/>
        </w:rPr>
        <w:t>y</w:t>
      </w:r>
      <w:r>
        <w:rPr>
          <w:spacing w:val="-5"/>
          <w:w w:val="120"/>
        </w:rPr>
        <w:t> </w:t>
      </w:r>
      <w:r>
        <w:rPr>
          <w:w w:val="120"/>
        </w:rPr>
        <w:t>de</w:t>
      </w:r>
      <w:r>
        <w:rPr>
          <w:spacing w:val="-5"/>
          <w:w w:val="120"/>
        </w:rPr>
        <w:t> </w:t>
      </w:r>
      <w:r>
        <w:rPr>
          <w:w w:val="120"/>
        </w:rPr>
        <w:t>la</w:t>
      </w:r>
      <w:r>
        <w:rPr>
          <w:spacing w:val="-5"/>
          <w:w w:val="120"/>
        </w:rPr>
        <w:t> </w:t>
      </w:r>
      <w:r>
        <w:rPr>
          <w:w w:val="120"/>
        </w:rPr>
        <w:t>alianza</w:t>
      </w:r>
      <w:r>
        <w:rPr>
          <w:spacing w:val="-5"/>
          <w:w w:val="120"/>
        </w:rPr>
        <w:t> </w:t>
      </w:r>
      <w:r>
        <w:rPr>
          <w:w w:val="120"/>
        </w:rPr>
        <w:t>para</w:t>
      </w:r>
      <w:r>
        <w:rPr>
          <w:spacing w:val="-5"/>
          <w:w w:val="120"/>
        </w:rPr>
        <w:t> </w:t>
      </w:r>
      <w:r>
        <w:rPr>
          <w:w w:val="120"/>
        </w:rPr>
        <w:t>el</w:t>
      </w:r>
      <w:r>
        <w:rPr>
          <w:spacing w:val="-5"/>
          <w:w w:val="120"/>
        </w:rPr>
        <w:t> </w:t>
      </w:r>
      <w:r>
        <w:rPr>
          <w:w w:val="120"/>
        </w:rPr>
        <w:t>Pacífico</w:t>
      </w:r>
      <w:r>
        <w:rPr>
          <w:spacing w:val="-5"/>
          <w:w w:val="120"/>
        </w:rPr>
        <w:t> </w:t>
      </w:r>
      <w:r>
        <w:rPr>
          <w:spacing w:val="-3"/>
          <w:w w:val="120"/>
        </w:rPr>
        <w:t>(alPa).</w:t>
      </w:r>
    </w:p>
    <w:p>
      <w:pPr>
        <w:pStyle w:val="BodyText"/>
        <w:spacing w:line="252" w:lineRule="auto"/>
        <w:ind w:left="330" w:right="117" w:firstLine="396"/>
        <w:jc w:val="right"/>
      </w:pPr>
      <w:r>
        <w:rPr>
          <w:w w:val="110"/>
        </w:rPr>
        <w:t>Como</w:t>
      </w:r>
      <w:r>
        <w:rPr>
          <w:spacing w:val="-16"/>
          <w:w w:val="110"/>
        </w:rPr>
        <w:t> </w:t>
      </w:r>
      <w:r>
        <w:rPr>
          <w:w w:val="110"/>
        </w:rPr>
        <w:t>recientemente</w:t>
      </w:r>
      <w:r>
        <w:rPr>
          <w:spacing w:val="-16"/>
          <w:w w:val="110"/>
        </w:rPr>
        <w:t> </w:t>
      </w:r>
      <w:r>
        <w:rPr>
          <w:w w:val="110"/>
        </w:rPr>
        <w:t>reconoció</w:t>
      </w:r>
      <w:r>
        <w:rPr>
          <w:spacing w:val="-16"/>
          <w:w w:val="110"/>
        </w:rPr>
        <w:t> </w:t>
      </w:r>
      <w:r>
        <w:rPr>
          <w:w w:val="110"/>
        </w:rPr>
        <w:t>la</w:t>
      </w:r>
      <w:r>
        <w:rPr>
          <w:spacing w:val="-16"/>
          <w:w w:val="110"/>
        </w:rPr>
        <w:t> </w:t>
      </w:r>
      <w:r>
        <w:rPr>
          <w:w w:val="110"/>
        </w:rPr>
        <w:t>ex</w:t>
      </w:r>
      <w:r>
        <w:rPr>
          <w:spacing w:val="-16"/>
          <w:w w:val="110"/>
        </w:rPr>
        <w:t> </w:t>
      </w:r>
      <w:r>
        <w:rPr>
          <w:w w:val="110"/>
        </w:rPr>
        <w:t>secretaria</w:t>
      </w:r>
      <w:r>
        <w:rPr>
          <w:spacing w:val="-16"/>
          <w:w w:val="110"/>
        </w:rPr>
        <w:t> </w:t>
      </w:r>
      <w:r>
        <w:rPr>
          <w:w w:val="110"/>
        </w:rPr>
        <w:t>de</w:t>
      </w:r>
      <w:r>
        <w:rPr>
          <w:spacing w:val="-16"/>
          <w:w w:val="110"/>
        </w:rPr>
        <w:t> </w:t>
      </w:r>
      <w:r>
        <w:rPr>
          <w:w w:val="110"/>
        </w:rPr>
        <w:t>Estado</w:t>
      </w:r>
      <w:r>
        <w:rPr>
          <w:spacing w:val="-16"/>
          <w:w w:val="110"/>
        </w:rPr>
        <w:t> </w:t>
      </w:r>
      <w:r>
        <w:rPr>
          <w:w w:val="110"/>
        </w:rPr>
        <w:t>y</w:t>
      </w:r>
      <w:r>
        <w:rPr>
          <w:spacing w:val="-16"/>
          <w:w w:val="110"/>
        </w:rPr>
        <w:t> </w:t>
      </w:r>
      <w:r>
        <w:rPr>
          <w:w w:val="110"/>
        </w:rPr>
        <w:t>precan-</w:t>
      </w:r>
      <w:r>
        <w:rPr>
          <w:w w:val="102"/>
        </w:rPr>
        <w:t> </w:t>
      </w:r>
      <w:r>
        <w:rPr>
          <w:w w:val="110"/>
        </w:rPr>
        <w:t>didata presidencial del Partido demócrata, Hillary Clinton,</w:t>
      </w:r>
      <w:r>
        <w:rPr>
          <w:spacing w:val="24"/>
          <w:w w:val="110"/>
        </w:rPr>
        <w:t> </w:t>
      </w:r>
      <w:r>
        <w:rPr>
          <w:w w:val="110"/>
        </w:rPr>
        <w:t>el</w:t>
      </w:r>
      <w:r>
        <w:rPr>
          <w:spacing w:val="3"/>
          <w:w w:val="110"/>
        </w:rPr>
        <w:t> </w:t>
      </w:r>
      <w:r>
        <w:rPr>
          <w:w w:val="110"/>
        </w:rPr>
        <w:t>respaldo</w:t>
      </w:r>
      <w:r>
        <w:rPr>
          <w:spacing w:val="-2"/>
          <w:w w:val="108"/>
        </w:rPr>
        <w:t> </w:t>
      </w:r>
      <w:r>
        <w:rPr>
          <w:w w:val="110"/>
        </w:rPr>
        <w:t>de</w:t>
      </w:r>
      <w:r>
        <w:rPr>
          <w:spacing w:val="26"/>
          <w:w w:val="110"/>
        </w:rPr>
        <w:t> </w:t>
      </w:r>
      <w:r>
        <w:rPr>
          <w:w w:val="110"/>
        </w:rPr>
        <w:t>la</w:t>
      </w:r>
      <w:r>
        <w:rPr>
          <w:spacing w:val="26"/>
          <w:w w:val="110"/>
        </w:rPr>
        <w:t> </w:t>
      </w:r>
      <w:r>
        <w:rPr>
          <w:w w:val="110"/>
        </w:rPr>
        <w:t>administración</w:t>
      </w:r>
      <w:r>
        <w:rPr>
          <w:spacing w:val="26"/>
          <w:w w:val="110"/>
        </w:rPr>
        <w:t> </w:t>
      </w:r>
      <w:r>
        <w:rPr>
          <w:w w:val="110"/>
        </w:rPr>
        <w:t>de</w:t>
      </w:r>
      <w:r>
        <w:rPr>
          <w:spacing w:val="26"/>
          <w:w w:val="110"/>
        </w:rPr>
        <w:t> </w:t>
      </w:r>
      <w:r>
        <w:rPr>
          <w:w w:val="110"/>
        </w:rPr>
        <w:t>barack</w:t>
      </w:r>
      <w:r>
        <w:rPr>
          <w:spacing w:val="26"/>
          <w:w w:val="110"/>
        </w:rPr>
        <w:t> </w:t>
      </w:r>
      <w:r>
        <w:rPr>
          <w:w w:val="110"/>
        </w:rPr>
        <w:t>obama</w:t>
      </w:r>
      <w:r>
        <w:rPr>
          <w:spacing w:val="26"/>
          <w:w w:val="110"/>
        </w:rPr>
        <w:t> </w:t>
      </w:r>
      <w:r>
        <w:rPr>
          <w:w w:val="110"/>
        </w:rPr>
        <w:t>a</w:t>
      </w:r>
      <w:r>
        <w:rPr>
          <w:spacing w:val="26"/>
          <w:w w:val="110"/>
        </w:rPr>
        <w:t> </w:t>
      </w:r>
      <w:r>
        <w:rPr>
          <w:w w:val="110"/>
        </w:rPr>
        <w:t>esa</w:t>
      </w:r>
      <w:r>
        <w:rPr>
          <w:spacing w:val="26"/>
          <w:w w:val="110"/>
        </w:rPr>
        <w:t> </w:t>
      </w:r>
      <w:r>
        <w:rPr>
          <w:w w:val="110"/>
        </w:rPr>
        <w:t>última</w:t>
      </w:r>
      <w:r>
        <w:rPr>
          <w:spacing w:val="26"/>
          <w:w w:val="110"/>
        </w:rPr>
        <w:t> </w:t>
      </w:r>
      <w:r>
        <w:rPr>
          <w:w w:val="110"/>
        </w:rPr>
        <w:t>alianza</w:t>
      </w:r>
      <w:r>
        <w:rPr>
          <w:spacing w:val="26"/>
          <w:w w:val="110"/>
        </w:rPr>
        <w:t> </w:t>
      </w:r>
      <w:r>
        <w:rPr>
          <w:w w:val="110"/>
        </w:rPr>
        <w:t>obedece</w:t>
      </w:r>
      <w:r>
        <w:rPr>
          <w:spacing w:val="-2"/>
          <w:w w:val="108"/>
        </w:rPr>
        <w:t> </w:t>
      </w:r>
      <w:r>
        <w:rPr>
          <w:w w:val="110"/>
        </w:rPr>
        <w:t>a que ésta constituye “un severo contraste” con las</w:t>
      </w:r>
      <w:r>
        <w:rPr>
          <w:spacing w:val="21"/>
          <w:w w:val="110"/>
        </w:rPr>
        <w:t> </w:t>
      </w:r>
      <w:r>
        <w:rPr>
          <w:w w:val="110"/>
        </w:rPr>
        <w:t>“políticas</w:t>
      </w:r>
      <w:r>
        <w:rPr>
          <w:spacing w:val="2"/>
          <w:w w:val="110"/>
        </w:rPr>
        <w:t> </w:t>
      </w:r>
      <w:r>
        <w:rPr>
          <w:w w:val="110"/>
        </w:rPr>
        <w:t>autorita-</w:t>
      </w:r>
      <w:r>
        <w:rPr>
          <w:w w:val="102"/>
        </w:rPr>
        <w:t> </w:t>
      </w:r>
      <w:r>
        <w:rPr>
          <w:w w:val="110"/>
        </w:rPr>
        <w:t>rias” y de “control estatal de la economía” desplegadas por</w:t>
      </w:r>
      <w:r>
        <w:rPr>
          <w:spacing w:val="-30"/>
          <w:w w:val="110"/>
        </w:rPr>
        <w:t> </w:t>
      </w:r>
      <w:r>
        <w:rPr>
          <w:w w:val="110"/>
        </w:rPr>
        <w:t>el</w:t>
      </w:r>
      <w:r>
        <w:rPr>
          <w:spacing w:val="-3"/>
          <w:w w:val="110"/>
        </w:rPr>
        <w:t> </w:t>
      </w:r>
      <w:r>
        <w:rPr>
          <w:w w:val="110"/>
        </w:rPr>
        <w:t>gobierno</w:t>
      </w:r>
      <w:r>
        <w:rPr>
          <w:spacing w:val="-2"/>
          <w:w w:val="109"/>
        </w:rPr>
        <w:t> </w:t>
      </w:r>
      <w:r>
        <w:rPr>
          <w:w w:val="110"/>
        </w:rPr>
        <w:t>venezolano encabezado por el “dictador ególatra” Hugo</w:t>
      </w:r>
      <w:r>
        <w:rPr>
          <w:spacing w:val="-1"/>
          <w:w w:val="110"/>
        </w:rPr>
        <w:t> </w:t>
      </w:r>
      <w:r>
        <w:rPr>
          <w:w w:val="110"/>
        </w:rPr>
        <w:t>Chávez;</w:t>
      </w:r>
      <w:r>
        <w:rPr>
          <w:spacing w:val="-1"/>
          <w:w w:val="110"/>
        </w:rPr>
        <w:t> </w:t>
      </w:r>
      <w:r>
        <w:rPr>
          <w:w w:val="110"/>
        </w:rPr>
        <w:t>quien</w:t>
      </w:r>
      <w:r>
        <w:rPr>
          <w:spacing w:val="-2"/>
          <w:w w:val="110"/>
        </w:rPr>
        <w:t> </w:t>
      </w:r>
      <w:r>
        <w:rPr>
          <w:w w:val="110"/>
        </w:rPr>
        <w:t>durante años “trabajó para subvertir la democracia en su</w:t>
      </w:r>
      <w:r>
        <w:rPr>
          <w:spacing w:val="45"/>
          <w:w w:val="110"/>
        </w:rPr>
        <w:t> </w:t>
      </w:r>
      <w:r>
        <w:rPr>
          <w:w w:val="110"/>
        </w:rPr>
        <w:t>propio</w:t>
      </w:r>
      <w:r>
        <w:rPr>
          <w:spacing w:val="10"/>
          <w:w w:val="110"/>
        </w:rPr>
        <w:t> </w:t>
      </w:r>
      <w:r>
        <w:rPr>
          <w:w w:val="110"/>
        </w:rPr>
        <w:t>país</w:t>
      </w:r>
      <w:r>
        <w:rPr>
          <w:spacing w:val="-2"/>
          <w:w w:val="110"/>
        </w:rPr>
        <w:t> </w:t>
      </w:r>
      <w:r>
        <w:rPr>
          <w:w w:val="110"/>
        </w:rPr>
        <w:t>y</w:t>
      </w:r>
      <w:r>
        <w:rPr>
          <w:spacing w:val="26"/>
          <w:w w:val="110"/>
        </w:rPr>
        <w:t> </w:t>
      </w:r>
      <w:r>
        <w:rPr>
          <w:w w:val="110"/>
        </w:rPr>
        <w:t>a</w:t>
      </w:r>
      <w:r>
        <w:rPr>
          <w:spacing w:val="26"/>
          <w:w w:val="110"/>
        </w:rPr>
        <w:t> </w:t>
      </w:r>
      <w:r>
        <w:rPr>
          <w:w w:val="110"/>
        </w:rPr>
        <w:t>través</w:t>
      </w:r>
      <w:r>
        <w:rPr>
          <w:spacing w:val="26"/>
          <w:w w:val="110"/>
        </w:rPr>
        <w:t> </w:t>
      </w:r>
      <w:r>
        <w:rPr>
          <w:w w:val="110"/>
        </w:rPr>
        <w:t>de</w:t>
      </w:r>
      <w:r>
        <w:rPr>
          <w:spacing w:val="26"/>
          <w:w w:val="110"/>
        </w:rPr>
        <w:t> </w:t>
      </w:r>
      <w:r>
        <w:rPr>
          <w:w w:val="110"/>
        </w:rPr>
        <w:t>la</w:t>
      </w:r>
      <w:r>
        <w:rPr>
          <w:spacing w:val="26"/>
          <w:w w:val="110"/>
        </w:rPr>
        <w:t> </w:t>
      </w:r>
      <w:r>
        <w:rPr>
          <w:w w:val="110"/>
        </w:rPr>
        <w:t>región”.</w:t>
      </w:r>
      <w:r>
        <w:rPr>
          <w:spacing w:val="26"/>
          <w:w w:val="110"/>
        </w:rPr>
        <w:t> </w:t>
      </w:r>
      <w:r>
        <w:rPr>
          <w:spacing w:val="-5"/>
          <w:w w:val="110"/>
        </w:rPr>
        <w:t>también</w:t>
      </w:r>
      <w:r>
        <w:rPr>
          <w:spacing w:val="26"/>
          <w:w w:val="110"/>
        </w:rPr>
        <w:t> </w:t>
      </w:r>
      <w:r>
        <w:rPr>
          <w:w w:val="110"/>
        </w:rPr>
        <w:t>–junto</w:t>
      </w:r>
      <w:r>
        <w:rPr>
          <w:spacing w:val="26"/>
          <w:w w:val="110"/>
        </w:rPr>
        <w:t> </w:t>
      </w:r>
      <w:r>
        <w:rPr>
          <w:w w:val="110"/>
        </w:rPr>
        <w:t>a</w:t>
      </w:r>
      <w:r>
        <w:rPr>
          <w:spacing w:val="26"/>
          <w:w w:val="110"/>
        </w:rPr>
        <w:t> </w:t>
      </w:r>
      <w:r>
        <w:rPr>
          <w:w w:val="110"/>
        </w:rPr>
        <w:t>“sus</w:t>
      </w:r>
      <w:r>
        <w:rPr>
          <w:spacing w:val="26"/>
          <w:w w:val="110"/>
        </w:rPr>
        <w:t> </w:t>
      </w:r>
      <w:r>
        <w:rPr>
          <w:w w:val="110"/>
        </w:rPr>
        <w:t>amigotes”</w:t>
      </w:r>
      <w:r>
        <w:rPr>
          <w:spacing w:val="26"/>
          <w:w w:val="110"/>
        </w:rPr>
        <w:t> </w:t>
      </w:r>
      <w:r>
        <w:rPr>
          <w:w w:val="110"/>
        </w:rPr>
        <w:t>de</w:t>
      </w:r>
      <w:r>
        <w:rPr>
          <w:spacing w:val="26"/>
          <w:w w:val="110"/>
        </w:rPr>
        <w:t> </w:t>
      </w:r>
      <w:r>
        <w:rPr>
          <w:w w:val="110"/>
        </w:rPr>
        <w:t>bolivia,</w:t>
      </w:r>
      <w:r>
        <w:rPr>
          <w:spacing w:val="-2"/>
          <w:w w:val="112"/>
        </w:rPr>
        <w:t> </w:t>
      </w:r>
      <w:r>
        <w:rPr>
          <w:w w:val="110"/>
        </w:rPr>
        <w:t>Ecuador y Nicaragua– para “debilitar” los “fuertes</w:t>
      </w:r>
      <w:r>
        <w:rPr>
          <w:spacing w:val="19"/>
          <w:w w:val="110"/>
        </w:rPr>
        <w:t> </w:t>
      </w:r>
      <w:r>
        <w:rPr>
          <w:w w:val="110"/>
        </w:rPr>
        <w:t>principios”</w:t>
      </w:r>
      <w:r>
        <w:rPr>
          <w:spacing w:val="2"/>
          <w:w w:val="110"/>
        </w:rPr>
        <w:t> </w:t>
      </w:r>
      <w:r>
        <w:rPr>
          <w:w w:val="110"/>
        </w:rPr>
        <w:t>estable-</w:t>
      </w:r>
      <w:r>
        <w:rPr>
          <w:w w:val="102"/>
        </w:rPr>
        <w:t> </w:t>
      </w:r>
      <w:r>
        <w:rPr>
          <w:w w:val="110"/>
        </w:rPr>
        <w:t>cidos en la Carta democrática interamericana aprobada por la</w:t>
      </w:r>
      <w:r>
        <w:rPr>
          <w:spacing w:val="34"/>
          <w:w w:val="110"/>
        </w:rPr>
        <w:t> </w:t>
      </w:r>
      <w:r>
        <w:rPr>
          <w:w w:val="110"/>
        </w:rPr>
        <w:t>oEa</w:t>
      </w:r>
      <w:r>
        <w:rPr>
          <w:spacing w:val="9"/>
          <w:w w:val="110"/>
        </w:rPr>
        <w:t> </w:t>
      </w:r>
      <w:r>
        <w:rPr>
          <w:w w:val="110"/>
        </w:rPr>
        <w:t>en</w:t>
      </w:r>
      <w:r>
        <w:rPr>
          <w:spacing w:val="-2"/>
          <w:w w:val="108"/>
        </w:rPr>
        <w:t> </w:t>
      </w:r>
      <w:r>
        <w:rPr>
          <w:w w:val="110"/>
        </w:rPr>
        <w:t>septiembre de 2001 mediante su respaldo en la asamblea</w:t>
      </w:r>
      <w:r>
        <w:rPr>
          <w:spacing w:val="6"/>
          <w:w w:val="110"/>
        </w:rPr>
        <w:t> </w:t>
      </w:r>
      <w:r>
        <w:rPr>
          <w:w w:val="110"/>
        </w:rPr>
        <w:t>General</w:t>
      </w:r>
      <w:r>
        <w:rPr>
          <w:spacing w:val="10"/>
          <w:w w:val="110"/>
        </w:rPr>
        <w:t> </w:t>
      </w:r>
      <w:r>
        <w:rPr>
          <w:w w:val="110"/>
        </w:rPr>
        <w:t>de</w:t>
      </w:r>
      <w:r>
        <w:rPr>
          <w:spacing w:val="-2"/>
          <w:w w:val="107"/>
        </w:rPr>
        <w:t> </w:t>
      </w:r>
      <w:r>
        <w:rPr>
          <w:w w:val="110"/>
        </w:rPr>
        <w:t>esa</w:t>
      </w:r>
      <w:r>
        <w:rPr>
          <w:spacing w:val="-6"/>
          <w:w w:val="110"/>
        </w:rPr>
        <w:t> </w:t>
      </w:r>
      <w:r>
        <w:rPr>
          <w:w w:val="110"/>
        </w:rPr>
        <w:t>organización</w:t>
      </w:r>
      <w:r>
        <w:rPr>
          <w:spacing w:val="-6"/>
          <w:w w:val="110"/>
        </w:rPr>
        <w:t> </w:t>
      </w:r>
      <w:r>
        <w:rPr>
          <w:w w:val="110"/>
        </w:rPr>
        <w:t>efectuada</w:t>
      </w:r>
      <w:r>
        <w:rPr>
          <w:spacing w:val="-6"/>
          <w:w w:val="110"/>
        </w:rPr>
        <w:t> </w:t>
      </w:r>
      <w:r>
        <w:rPr>
          <w:w w:val="110"/>
        </w:rPr>
        <w:t>a</w:t>
      </w:r>
      <w:r>
        <w:rPr>
          <w:spacing w:val="-6"/>
          <w:w w:val="110"/>
        </w:rPr>
        <w:t> </w:t>
      </w:r>
      <w:r>
        <w:rPr>
          <w:w w:val="110"/>
        </w:rPr>
        <w:t>comienzos</w:t>
      </w:r>
      <w:r>
        <w:rPr>
          <w:spacing w:val="-6"/>
          <w:w w:val="110"/>
        </w:rPr>
        <w:t> </w:t>
      </w:r>
      <w:r>
        <w:rPr>
          <w:w w:val="110"/>
        </w:rPr>
        <w:t>de</w:t>
      </w:r>
      <w:r>
        <w:rPr>
          <w:spacing w:val="-6"/>
          <w:w w:val="110"/>
        </w:rPr>
        <w:t> </w:t>
      </w:r>
      <w:r>
        <w:rPr>
          <w:w w:val="110"/>
        </w:rPr>
        <w:t>junio</w:t>
      </w:r>
      <w:r>
        <w:rPr>
          <w:spacing w:val="-6"/>
          <w:w w:val="110"/>
        </w:rPr>
        <w:t> </w:t>
      </w:r>
      <w:r>
        <w:rPr>
          <w:w w:val="110"/>
        </w:rPr>
        <w:t>de</w:t>
      </w:r>
      <w:r>
        <w:rPr>
          <w:spacing w:val="-6"/>
          <w:w w:val="110"/>
        </w:rPr>
        <w:t> </w:t>
      </w:r>
      <w:r>
        <w:rPr>
          <w:w w:val="110"/>
        </w:rPr>
        <w:t>2009</w:t>
      </w:r>
      <w:r>
        <w:rPr>
          <w:spacing w:val="-6"/>
          <w:w w:val="110"/>
        </w:rPr>
        <w:t> </w:t>
      </w:r>
      <w:r>
        <w:rPr>
          <w:w w:val="110"/>
        </w:rPr>
        <w:t>en</w:t>
      </w:r>
      <w:r>
        <w:rPr>
          <w:spacing w:val="-6"/>
          <w:w w:val="110"/>
        </w:rPr>
        <w:t> </w:t>
      </w:r>
      <w:r>
        <w:rPr>
          <w:w w:val="110"/>
        </w:rPr>
        <w:t>san</w:t>
      </w:r>
      <w:r>
        <w:rPr>
          <w:spacing w:val="-6"/>
          <w:w w:val="110"/>
        </w:rPr>
        <w:t> </w:t>
      </w:r>
      <w:r>
        <w:rPr>
          <w:w w:val="110"/>
        </w:rPr>
        <w:t>Pedro</w:t>
      </w:r>
      <w:r>
        <w:rPr>
          <w:spacing w:val="-2"/>
          <w:w w:val="108"/>
        </w:rPr>
        <w:t> </w:t>
      </w:r>
      <w:r>
        <w:rPr>
          <w:w w:val="110"/>
        </w:rPr>
        <w:t>de sula, Honduras, a la eliminación incondicional de la</w:t>
      </w:r>
      <w:r>
        <w:rPr>
          <w:spacing w:val="14"/>
          <w:w w:val="110"/>
        </w:rPr>
        <w:t> </w:t>
      </w:r>
      <w:r>
        <w:rPr>
          <w:w w:val="110"/>
        </w:rPr>
        <w:t>resolución</w:t>
      </w:r>
      <w:r>
        <w:rPr>
          <w:spacing w:val="16"/>
          <w:w w:val="110"/>
        </w:rPr>
        <w:t> </w:t>
      </w:r>
      <w:r>
        <w:rPr>
          <w:w w:val="110"/>
        </w:rPr>
        <w:t>de</w:t>
      </w:r>
      <w:r>
        <w:rPr>
          <w:spacing w:val="-2"/>
          <w:w w:val="107"/>
        </w:rPr>
        <w:t> </w:t>
      </w:r>
      <w:r>
        <w:rPr>
          <w:w w:val="110"/>
        </w:rPr>
        <w:t>esa organización que en 1962 había excluido a “la</w:t>
      </w:r>
      <w:r>
        <w:rPr>
          <w:spacing w:val="37"/>
          <w:w w:val="110"/>
        </w:rPr>
        <w:t> </w:t>
      </w:r>
      <w:r>
        <w:rPr>
          <w:w w:val="110"/>
        </w:rPr>
        <w:t>dictadura</w:t>
      </w:r>
      <w:r>
        <w:rPr>
          <w:spacing w:val="4"/>
          <w:w w:val="110"/>
        </w:rPr>
        <w:t> </w:t>
      </w:r>
      <w:r>
        <w:rPr>
          <w:w w:val="110"/>
        </w:rPr>
        <w:t>comunis-</w:t>
      </w:r>
      <w:r>
        <w:rPr>
          <w:w w:val="102"/>
        </w:rPr>
        <w:t> </w:t>
      </w:r>
      <w:r>
        <w:rPr>
          <w:w w:val="110"/>
        </w:rPr>
        <w:t>ta”</w:t>
      </w:r>
      <w:r>
        <w:rPr>
          <w:spacing w:val="-8"/>
          <w:w w:val="110"/>
        </w:rPr>
        <w:t> </w:t>
      </w:r>
      <w:r>
        <w:rPr>
          <w:w w:val="110"/>
        </w:rPr>
        <w:t>instaurada</w:t>
      </w:r>
      <w:r>
        <w:rPr>
          <w:spacing w:val="-8"/>
          <w:w w:val="110"/>
        </w:rPr>
        <w:t> </w:t>
      </w:r>
      <w:r>
        <w:rPr>
          <w:w w:val="110"/>
        </w:rPr>
        <w:t>en</w:t>
      </w:r>
      <w:r>
        <w:rPr>
          <w:spacing w:val="-8"/>
          <w:w w:val="110"/>
        </w:rPr>
        <w:t> </w:t>
      </w:r>
      <w:r>
        <w:rPr>
          <w:w w:val="110"/>
        </w:rPr>
        <w:t>Cuba</w:t>
      </w:r>
      <w:r>
        <w:rPr>
          <w:spacing w:val="-8"/>
          <w:w w:val="110"/>
        </w:rPr>
        <w:t> </w:t>
      </w:r>
      <w:r>
        <w:rPr>
          <w:w w:val="110"/>
        </w:rPr>
        <w:t>por</w:t>
      </w:r>
      <w:r>
        <w:rPr>
          <w:spacing w:val="-8"/>
          <w:w w:val="110"/>
        </w:rPr>
        <w:t> </w:t>
      </w:r>
      <w:r>
        <w:rPr>
          <w:w w:val="110"/>
        </w:rPr>
        <w:t>“los</w:t>
      </w:r>
      <w:r>
        <w:rPr>
          <w:spacing w:val="-8"/>
          <w:w w:val="110"/>
        </w:rPr>
        <w:t> </w:t>
      </w:r>
      <w:r>
        <w:rPr>
          <w:w w:val="110"/>
        </w:rPr>
        <w:t>hermanos</w:t>
      </w:r>
      <w:r>
        <w:rPr>
          <w:spacing w:val="-8"/>
          <w:w w:val="110"/>
        </w:rPr>
        <w:t> </w:t>
      </w:r>
      <w:r>
        <w:rPr>
          <w:w w:val="110"/>
        </w:rPr>
        <w:t>Castro”</w:t>
      </w:r>
      <w:r>
        <w:rPr>
          <w:spacing w:val="-8"/>
          <w:w w:val="110"/>
        </w:rPr>
        <w:t> </w:t>
      </w:r>
      <w:r>
        <w:rPr>
          <w:w w:val="110"/>
        </w:rPr>
        <w:t>(Clinton,</w:t>
      </w:r>
      <w:r>
        <w:rPr>
          <w:spacing w:val="-8"/>
          <w:w w:val="110"/>
        </w:rPr>
        <w:t> </w:t>
      </w:r>
      <w:r>
        <w:rPr>
          <w:w w:val="110"/>
        </w:rPr>
        <w:t>2014:</w:t>
      </w:r>
      <w:r>
        <w:rPr>
          <w:spacing w:val="-8"/>
          <w:w w:val="110"/>
        </w:rPr>
        <w:t> </w:t>
      </w:r>
      <w:r>
        <w:rPr>
          <w:w w:val="110"/>
        </w:rPr>
        <w:t>254).</w:t>
      </w:r>
      <w:r>
        <w:rPr>
          <w:spacing w:val="-2"/>
          <w:w w:val="105"/>
        </w:rPr>
        <w:t> </w:t>
      </w:r>
      <w:r>
        <w:rPr>
          <w:w w:val="110"/>
        </w:rPr>
        <w:t>En lo resta del segundo mandato la administración</w:t>
      </w:r>
      <w:r>
        <w:rPr>
          <w:spacing w:val="43"/>
          <w:w w:val="110"/>
        </w:rPr>
        <w:t> </w:t>
      </w:r>
      <w:r>
        <w:rPr>
          <w:w w:val="110"/>
        </w:rPr>
        <w:t>de</w:t>
      </w:r>
      <w:r>
        <w:rPr>
          <w:spacing w:val="45"/>
          <w:w w:val="110"/>
        </w:rPr>
        <w:t> </w:t>
      </w:r>
      <w:r>
        <w:rPr>
          <w:w w:val="110"/>
        </w:rPr>
        <w:t>barack</w:t>
      </w:r>
      <w:r>
        <w:rPr>
          <w:w w:val="110"/>
        </w:rPr>
        <w:t> </w:t>
      </w:r>
      <w:r>
        <w:rPr>
          <w:w w:val="110"/>
        </w:rPr>
        <w:t>obama, su gobierno continuará impulsando esfuerzos con</w:t>
      </w:r>
      <w:r>
        <w:rPr>
          <w:spacing w:val="23"/>
          <w:w w:val="110"/>
        </w:rPr>
        <w:t> </w:t>
      </w:r>
      <w:r>
        <w:rPr>
          <w:w w:val="110"/>
        </w:rPr>
        <w:t>vistas</w:t>
      </w:r>
      <w:r>
        <w:rPr>
          <w:spacing w:val="3"/>
          <w:w w:val="110"/>
        </w:rPr>
        <w:t> </w:t>
      </w:r>
      <w:r>
        <w:rPr>
          <w:w w:val="110"/>
        </w:rPr>
        <w:t>a</w:t>
      </w:r>
      <w:r>
        <w:rPr>
          <w:w w:val="112"/>
        </w:rPr>
        <w:t> </w:t>
      </w:r>
      <w:r>
        <w:rPr>
          <w:w w:val="110"/>
        </w:rPr>
        <w:t>fortalecer la oposición interna y a tratar de “cercar” política,</w:t>
      </w:r>
      <w:r>
        <w:rPr>
          <w:spacing w:val="39"/>
          <w:w w:val="110"/>
        </w:rPr>
        <w:t> </w:t>
      </w:r>
      <w:r>
        <w:rPr>
          <w:w w:val="110"/>
        </w:rPr>
        <w:t>militar</w:t>
      </w:r>
      <w:r>
        <w:rPr>
          <w:spacing w:val="8"/>
          <w:w w:val="110"/>
        </w:rPr>
        <w:t> </w:t>
      </w:r>
      <w:r>
        <w:rPr>
          <w:w w:val="110"/>
        </w:rPr>
        <w:t>y</w:t>
      </w:r>
      <w:r>
        <w:rPr>
          <w:w w:val="105"/>
        </w:rPr>
        <w:t> </w:t>
      </w:r>
      <w:r>
        <w:rPr>
          <w:w w:val="110"/>
        </w:rPr>
        <w:t>económicamente al actual gobierno de </w:t>
      </w:r>
      <w:r>
        <w:rPr>
          <w:spacing w:val="-3"/>
          <w:w w:val="110"/>
        </w:rPr>
        <w:t>Ecuador, </w:t>
      </w:r>
      <w:r>
        <w:rPr>
          <w:w w:val="110"/>
        </w:rPr>
        <w:t>así como</w:t>
      </w:r>
      <w:r>
        <w:rPr>
          <w:spacing w:val="27"/>
          <w:w w:val="110"/>
        </w:rPr>
        <w:t> </w:t>
      </w:r>
      <w:r>
        <w:rPr>
          <w:w w:val="110"/>
        </w:rPr>
        <w:t>a</w:t>
      </w:r>
      <w:r>
        <w:rPr>
          <w:spacing w:val="8"/>
          <w:w w:val="110"/>
        </w:rPr>
        <w:t> </w:t>
      </w:r>
      <w:r>
        <w:rPr>
          <w:w w:val="110"/>
        </w:rPr>
        <w:t>complicar</w:t>
      </w:r>
      <w:r>
        <w:rPr>
          <w:w w:val="112"/>
        </w:rPr>
        <w:t> </w:t>
      </w:r>
      <w:r>
        <w:rPr>
          <w:w w:val="110"/>
        </w:rPr>
        <w:t>la</w:t>
      </w:r>
      <w:r>
        <w:rPr>
          <w:spacing w:val="24"/>
          <w:w w:val="110"/>
        </w:rPr>
        <w:t> </w:t>
      </w:r>
      <w:r>
        <w:rPr>
          <w:w w:val="110"/>
        </w:rPr>
        <w:t>gestión</w:t>
      </w:r>
      <w:r>
        <w:rPr>
          <w:spacing w:val="24"/>
          <w:w w:val="110"/>
        </w:rPr>
        <w:t> </w:t>
      </w:r>
      <w:r>
        <w:rPr>
          <w:w w:val="110"/>
        </w:rPr>
        <w:t>interna</w:t>
      </w:r>
      <w:r>
        <w:rPr>
          <w:spacing w:val="24"/>
          <w:w w:val="110"/>
        </w:rPr>
        <w:t> </w:t>
      </w:r>
      <w:r>
        <w:rPr>
          <w:w w:val="110"/>
        </w:rPr>
        <w:t>y</w:t>
      </w:r>
      <w:r>
        <w:rPr>
          <w:spacing w:val="24"/>
          <w:w w:val="110"/>
        </w:rPr>
        <w:t> </w:t>
      </w:r>
      <w:r>
        <w:rPr>
          <w:w w:val="110"/>
        </w:rPr>
        <w:t>externa</w:t>
      </w:r>
      <w:r>
        <w:rPr>
          <w:spacing w:val="24"/>
          <w:w w:val="110"/>
        </w:rPr>
        <w:t> </w:t>
      </w:r>
      <w:r>
        <w:rPr>
          <w:w w:val="110"/>
        </w:rPr>
        <w:t>del</w:t>
      </w:r>
      <w:r>
        <w:rPr>
          <w:spacing w:val="24"/>
          <w:w w:val="110"/>
        </w:rPr>
        <w:t> </w:t>
      </w:r>
      <w:r>
        <w:rPr>
          <w:w w:val="110"/>
        </w:rPr>
        <w:t>recién</w:t>
      </w:r>
      <w:r>
        <w:rPr>
          <w:spacing w:val="24"/>
          <w:w w:val="110"/>
        </w:rPr>
        <w:t> </w:t>
      </w:r>
      <w:r>
        <w:rPr>
          <w:w w:val="110"/>
        </w:rPr>
        <w:t>reelecto</w:t>
      </w:r>
      <w:r>
        <w:rPr>
          <w:spacing w:val="24"/>
          <w:w w:val="110"/>
        </w:rPr>
        <w:t> </w:t>
      </w:r>
      <w:r>
        <w:rPr>
          <w:w w:val="110"/>
        </w:rPr>
        <w:t>presidente</w:t>
      </w:r>
      <w:r>
        <w:rPr>
          <w:spacing w:val="24"/>
          <w:w w:val="110"/>
        </w:rPr>
        <w:t> </w:t>
      </w:r>
      <w:r>
        <w:rPr>
          <w:w w:val="110"/>
        </w:rPr>
        <w:t>boliviano</w:t>
      </w:r>
      <w:r>
        <w:rPr>
          <w:w w:val="110"/>
        </w:rPr>
        <w:t> </w:t>
      </w:r>
      <w:r>
        <w:rPr>
          <w:w w:val="110"/>
        </w:rPr>
        <w:t>Evo Morales. igualmente, a tratar de derrocar por</w:t>
      </w:r>
      <w:r>
        <w:rPr>
          <w:spacing w:val="39"/>
          <w:w w:val="110"/>
        </w:rPr>
        <w:t> </w:t>
      </w:r>
      <w:r>
        <w:rPr>
          <w:w w:val="110"/>
        </w:rPr>
        <w:t>vías</w:t>
      </w:r>
      <w:r>
        <w:rPr>
          <w:spacing w:val="4"/>
          <w:w w:val="110"/>
        </w:rPr>
        <w:t> </w:t>
      </w:r>
      <w:r>
        <w:rPr>
          <w:w w:val="110"/>
        </w:rPr>
        <w:t>predominante-</w:t>
      </w:r>
      <w:r>
        <w:rPr>
          <w:w w:val="102"/>
        </w:rPr>
        <w:t> </w:t>
      </w:r>
      <w:r>
        <w:rPr>
          <w:w w:val="110"/>
        </w:rPr>
        <w:t>mente</w:t>
      </w:r>
      <w:r>
        <w:rPr>
          <w:spacing w:val="31"/>
          <w:w w:val="110"/>
        </w:rPr>
        <w:t> </w:t>
      </w:r>
      <w:r>
        <w:rPr>
          <w:w w:val="110"/>
        </w:rPr>
        <w:t>institucionales</w:t>
      </w:r>
      <w:r>
        <w:rPr>
          <w:spacing w:val="31"/>
          <w:w w:val="110"/>
        </w:rPr>
        <w:t> </w:t>
      </w:r>
      <w:r>
        <w:rPr>
          <w:w w:val="110"/>
        </w:rPr>
        <w:t>al</w:t>
      </w:r>
      <w:r>
        <w:rPr>
          <w:spacing w:val="31"/>
          <w:w w:val="110"/>
        </w:rPr>
        <w:t> </w:t>
      </w:r>
      <w:r>
        <w:rPr>
          <w:w w:val="110"/>
        </w:rPr>
        <w:t>actual</w:t>
      </w:r>
      <w:r>
        <w:rPr>
          <w:spacing w:val="31"/>
          <w:w w:val="110"/>
        </w:rPr>
        <w:t> </w:t>
      </w:r>
      <w:r>
        <w:rPr>
          <w:w w:val="110"/>
        </w:rPr>
        <w:t>gobierno</w:t>
      </w:r>
      <w:r>
        <w:rPr>
          <w:spacing w:val="31"/>
          <w:w w:val="110"/>
        </w:rPr>
        <w:t> </w:t>
      </w:r>
      <w:r>
        <w:rPr>
          <w:w w:val="110"/>
        </w:rPr>
        <w:t>de</w:t>
      </w:r>
      <w:r>
        <w:rPr>
          <w:spacing w:val="31"/>
          <w:w w:val="110"/>
        </w:rPr>
        <w:t> </w:t>
      </w:r>
      <w:r>
        <w:rPr>
          <w:w w:val="110"/>
        </w:rPr>
        <w:t>la</w:t>
      </w:r>
      <w:r>
        <w:rPr>
          <w:spacing w:val="31"/>
          <w:w w:val="110"/>
        </w:rPr>
        <w:t> </w:t>
      </w:r>
      <w:r>
        <w:rPr>
          <w:w w:val="110"/>
        </w:rPr>
        <w:t>república</w:t>
      </w:r>
      <w:r>
        <w:rPr>
          <w:spacing w:val="31"/>
          <w:w w:val="110"/>
        </w:rPr>
        <w:t> </w:t>
      </w:r>
      <w:r>
        <w:rPr>
          <w:w w:val="110"/>
        </w:rPr>
        <w:t>bolivariana</w:t>
      </w:r>
    </w:p>
    <w:p>
      <w:pPr>
        <w:pStyle w:val="BodyText"/>
        <w:ind w:left="330"/>
        <w:jc w:val="both"/>
      </w:pPr>
      <w:r>
        <w:rPr>
          <w:w w:val="110"/>
        </w:rPr>
        <w:t>de Venezuela.</w:t>
      </w:r>
    </w:p>
    <w:p>
      <w:pPr>
        <w:spacing w:after="0"/>
        <w:jc w:val="both"/>
        <w:sectPr>
          <w:footerReference w:type="default" r:id="rId473"/>
          <w:footerReference w:type="even" r:id="rId474"/>
          <w:pgSz w:w="8790" w:h="12760"/>
          <w:pgMar w:footer="725" w:header="697" w:top="880" w:bottom="920" w:left="1200" w:right="900"/>
        </w:sectPr>
      </w:pPr>
    </w:p>
    <w:p>
      <w:pPr>
        <w:pStyle w:val="BodyText"/>
        <w:spacing w:before="9"/>
        <w:rPr>
          <w:sz w:val="28"/>
        </w:rPr>
      </w:pPr>
    </w:p>
    <w:p>
      <w:pPr>
        <w:pStyle w:val="BodyText"/>
        <w:spacing w:line="252" w:lineRule="auto" w:before="73"/>
        <w:ind w:left="100" w:right="328" w:firstLine="396"/>
        <w:jc w:val="both"/>
      </w:pPr>
      <w:r>
        <w:rPr>
          <w:w w:val="110"/>
        </w:rPr>
        <w:t>En este último caso, la poderosa maquinaria de propaganda po- lítica exterior de Estados unidos y sus corifeos en diferentes partes  del mundo continuarán ignorando las acciones violentas desplegadas por los sectores más reaccionarios de la mal llamada Mesa de unidad democrática (Mud) con el propósito de derrocar al gobierno cons- titucional de ese país. Más aún, según han denunciado en diferentes ocasiones las autoridades gubernamentales venezolanas, altos funcio- narios de la Embajada estadounidense en Caracas se han implicado  en</w:t>
      </w:r>
      <w:r>
        <w:rPr>
          <w:spacing w:val="-5"/>
          <w:w w:val="110"/>
        </w:rPr>
        <w:t> </w:t>
      </w:r>
      <w:r>
        <w:rPr>
          <w:w w:val="110"/>
        </w:rPr>
        <w:t>diversas</w:t>
      </w:r>
      <w:r>
        <w:rPr>
          <w:spacing w:val="-5"/>
          <w:w w:val="110"/>
        </w:rPr>
        <w:t> </w:t>
      </w:r>
      <w:r>
        <w:rPr>
          <w:w w:val="110"/>
        </w:rPr>
        <w:t>acciones</w:t>
      </w:r>
      <w:r>
        <w:rPr>
          <w:spacing w:val="-5"/>
          <w:w w:val="110"/>
        </w:rPr>
        <w:t> </w:t>
      </w:r>
      <w:r>
        <w:rPr>
          <w:w w:val="110"/>
        </w:rPr>
        <w:t>dirigidas</w:t>
      </w:r>
      <w:r>
        <w:rPr>
          <w:spacing w:val="-5"/>
          <w:w w:val="110"/>
        </w:rPr>
        <w:t> </w:t>
      </w:r>
      <w:r>
        <w:rPr>
          <w:w w:val="110"/>
        </w:rPr>
        <w:t>a</w:t>
      </w:r>
      <w:r>
        <w:rPr>
          <w:spacing w:val="-5"/>
          <w:w w:val="110"/>
        </w:rPr>
        <w:t> </w:t>
      </w:r>
      <w:r>
        <w:rPr>
          <w:w w:val="110"/>
        </w:rPr>
        <w:t>desestabilizar</w:t>
      </w:r>
      <w:r>
        <w:rPr>
          <w:spacing w:val="-5"/>
          <w:w w:val="110"/>
        </w:rPr>
        <w:t> </w:t>
      </w:r>
      <w:r>
        <w:rPr>
          <w:w w:val="110"/>
        </w:rPr>
        <w:t>y</w:t>
      </w:r>
      <w:r>
        <w:rPr>
          <w:spacing w:val="-5"/>
          <w:w w:val="110"/>
        </w:rPr>
        <w:t> </w:t>
      </w:r>
      <w:r>
        <w:rPr>
          <w:w w:val="110"/>
        </w:rPr>
        <w:t>eventualmente</w:t>
      </w:r>
      <w:r>
        <w:rPr>
          <w:spacing w:val="-5"/>
          <w:w w:val="110"/>
        </w:rPr>
        <w:t> </w:t>
      </w:r>
      <w:r>
        <w:rPr>
          <w:w w:val="110"/>
        </w:rPr>
        <w:t>provo- car un golpe de Estado en ese </w:t>
      </w:r>
      <w:r>
        <w:rPr>
          <w:spacing w:val="17"/>
          <w:w w:val="110"/>
        </w:rPr>
        <w:t> </w:t>
      </w:r>
      <w:r>
        <w:rPr>
          <w:w w:val="110"/>
        </w:rPr>
        <w:t>país.</w:t>
      </w:r>
    </w:p>
    <w:p>
      <w:pPr>
        <w:pStyle w:val="BodyText"/>
        <w:spacing w:line="252" w:lineRule="auto"/>
        <w:ind w:left="100" w:right="328" w:firstLine="396"/>
        <w:jc w:val="both"/>
      </w:pPr>
      <w:r>
        <w:rPr>
          <w:w w:val="110"/>
        </w:rPr>
        <w:t>de manera convergente, tanto el presidente barack obama como su vicepresidente Joe biden y su secretario de Estado, John Kerry, así como algunos de sus principales “aliados” en el hemisferio occidental han venido propugnando la realización de “negociaciones” entre el actual presidente venezolano Nicolás Maduro y los líderes de la    Mud</w:t>
      </w:r>
    </w:p>
    <w:p>
      <w:pPr>
        <w:pStyle w:val="BodyText"/>
        <w:spacing w:line="252" w:lineRule="auto"/>
        <w:ind w:left="100" w:right="328"/>
        <w:jc w:val="both"/>
      </w:pPr>
      <w:r>
        <w:rPr>
          <w:w w:val="105"/>
        </w:rPr>
        <w:t>–entre</w:t>
      </w:r>
      <w:r>
        <w:rPr/>
        <w:t> </w:t>
      </w:r>
      <w:r>
        <w:rPr>
          <w:spacing w:val="-6"/>
        </w:rPr>
        <w:t> </w:t>
      </w:r>
      <w:r>
        <w:rPr>
          <w:w w:val="111"/>
        </w:rPr>
        <w:t>ellos,</w:t>
      </w:r>
      <w:r>
        <w:rPr/>
        <w:t> </w:t>
      </w:r>
      <w:r>
        <w:rPr>
          <w:spacing w:val="-6"/>
        </w:rPr>
        <w:t> </w:t>
      </w:r>
      <w:r>
        <w:rPr>
          <w:w w:val="112"/>
        </w:rPr>
        <w:t>Enrique</w:t>
      </w:r>
      <w:r>
        <w:rPr/>
        <w:t> </w:t>
      </w:r>
      <w:r>
        <w:rPr>
          <w:spacing w:val="-6"/>
        </w:rPr>
        <w:t> </w:t>
      </w:r>
      <w:r>
        <w:rPr>
          <w:w w:val="112"/>
        </w:rPr>
        <w:t>Capriles,</w:t>
      </w:r>
      <w:r>
        <w:rPr/>
        <w:t> </w:t>
      </w:r>
      <w:r>
        <w:rPr>
          <w:spacing w:val="-6"/>
        </w:rPr>
        <w:t> </w:t>
      </w:r>
      <w:r>
        <w:rPr>
          <w:w w:val="139"/>
        </w:rPr>
        <w:t>a</w:t>
      </w:r>
      <w:r>
        <w:rPr>
          <w:w w:val="110"/>
        </w:rPr>
        <w:t>ntonio</w:t>
      </w:r>
      <w:r>
        <w:rPr/>
        <w:t> </w:t>
      </w:r>
      <w:r>
        <w:rPr>
          <w:spacing w:val="-6"/>
        </w:rPr>
        <w:t> </w:t>
      </w:r>
      <w:r>
        <w:rPr>
          <w:w w:val="243"/>
        </w:rPr>
        <w:t>l</w:t>
      </w:r>
      <w:r>
        <w:rPr>
          <w:w w:val="110"/>
        </w:rPr>
        <w:t>edesma,</w:t>
      </w:r>
      <w:r>
        <w:rPr/>
        <w:t> </w:t>
      </w:r>
      <w:r>
        <w:rPr>
          <w:spacing w:val="-6"/>
        </w:rPr>
        <w:t> </w:t>
      </w:r>
      <w:r>
        <w:rPr>
          <w:w w:val="243"/>
        </w:rPr>
        <w:t>l</w:t>
      </w:r>
      <w:r>
        <w:rPr>
          <w:w w:val="109"/>
        </w:rPr>
        <w:t>eopoldo</w:t>
      </w:r>
      <w:r>
        <w:rPr/>
        <w:t> </w:t>
      </w:r>
      <w:r>
        <w:rPr>
          <w:spacing w:val="-6"/>
        </w:rPr>
        <w:t> </w:t>
      </w:r>
      <w:r>
        <w:rPr>
          <w:w w:val="243"/>
        </w:rPr>
        <w:t>l</w:t>
      </w:r>
      <w:r>
        <w:rPr>
          <w:w w:val="109"/>
        </w:rPr>
        <w:t>ópez</w:t>
      </w:r>
      <w:r>
        <w:rPr/>
        <w:t> </w:t>
      </w:r>
      <w:r>
        <w:rPr>
          <w:spacing w:val="-6"/>
        </w:rPr>
        <w:t> </w:t>
      </w:r>
      <w:r>
        <w:rPr>
          <w:w w:val="105"/>
        </w:rPr>
        <w:t>y </w:t>
      </w:r>
      <w:r>
        <w:rPr>
          <w:w w:val="115"/>
        </w:rPr>
        <w:t>Corina</w:t>
      </w:r>
      <w:r>
        <w:rPr>
          <w:spacing w:val="-14"/>
          <w:w w:val="115"/>
        </w:rPr>
        <w:t> </w:t>
      </w:r>
      <w:r>
        <w:rPr>
          <w:w w:val="115"/>
        </w:rPr>
        <w:t>Machado–</w:t>
      </w:r>
      <w:r>
        <w:rPr>
          <w:spacing w:val="-14"/>
          <w:w w:val="115"/>
        </w:rPr>
        <w:t> </w:t>
      </w:r>
      <w:r>
        <w:rPr>
          <w:w w:val="115"/>
        </w:rPr>
        <w:t>que</w:t>
      </w:r>
      <w:r>
        <w:rPr>
          <w:spacing w:val="-14"/>
          <w:w w:val="115"/>
        </w:rPr>
        <w:t> </w:t>
      </w:r>
      <w:r>
        <w:rPr>
          <w:w w:val="115"/>
        </w:rPr>
        <w:t>han</w:t>
      </w:r>
      <w:r>
        <w:rPr>
          <w:spacing w:val="-14"/>
          <w:w w:val="115"/>
        </w:rPr>
        <w:t> </w:t>
      </w:r>
      <w:r>
        <w:rPr>
          <w:w w:val="115"/>
        </w:rPr>
        <w:t>sido</w:t>
      </w:r>
      <w:r>
        <w:rPr>
          <w:spacing w:val="-14"/>
          <w:w w:val="115"/>
        </w:rPr>
        <w:t> </w:t>
      </w:r>
      <w:r>
        <w:rPr>
          <w:w w:val="115"/>
        </w:rPr>
        <w:t>los</w:t>
      </w:r>
      <w:r>
        <w:rPr>
          <w:spacing w:val="-14"/>
          <w:w w:val="115"/>
        </w:rPr>
        <w:t> </w:t>
      </w:r>
      <w:r>
        <w:rPr>
          <w:w w:val="115"/>
        </w:rPr>
        <w:t>principales</w:t>
      </w:r>
      <w:r>
        <w:rPr>
          <w:spacing w:val="-14"/>
          <w:w w:val="115"/>
        </w:rPr>
        <w:t> </w:t>
      </w:r>
      <w:r>
        <w:rPr>
          <w:w w:val="115"/>
        </w:rPr>
        <w:t>instigadores</w:t>
      </w:r>
      <w:r>
        <w:rPr>
          <w:spacing w:val="-14"/>
          <w:w w:val="115"/>
        </w:rPr>
        <w:t> </w:t>
      </w:r>
      <w:r>
        <w:rPr>
          <w:w w:val="115"/>
        </w:rPr>
        <w:t>de</w:t>
      </w:r>
      <w:r>
        <w:rPr>
          <w:spacing w:val="-14"/>
          <w:w w:val="115"/>
        </w:rPr>
        <w:t> </w:t>
      </w:r>
      <w:r>
        <w:rPr>
          <w:w w:val="115"/>
        </w:rPr>
        <w:t>las</w:t>
      </w:r>
      <w:r>
        <w:rPr>
          <w:spacing w:val="-14"/>
          <w:w w:val="115"/>
        </w:rPr>
        <w:t> </w:t>
      </w:r>
      <w:r>
        <w:rPr>
          <w:w w:val="115"/>
        </w:rPr>
        <w:t>ac- ciones</w:t>
      </w:r>
      <w:r>
        <w:rPr>
          <w:spacing w:val="-18"/>
          <w:w w:val="115"/>
        </w:rPr>
        <w:t> </w:t>
      </w:r>
      <w:r>
        <w:rPr>
          <w:w w:val="115"/>
        </w:rPr>
        <w:t>vandálicas</w:t>
      </w:r>
      <w:r>
        <w:rPr>
          <w:spacing w:val="-18"/>
          <w:w w:val="115"/>
        </w:rPr>
        <w:t> </w:t>
      </w:r>
      <w:r>
        <w:rPr>
          <w:w w:val="115"/>
        </w:rPr>
        <w:t>contra</w:t>
      </w:r>
      <w:r>
        <w:rPr>
          <w:spacing w:val="-18"/>
          <w:w w:val="115"/>
        </w:rPr>
        <w:t> </w:t>
      </w:r>
      <w:r>
        <w:rPr>
          <w:w w:val="115"/>
        </w:rPr>
        <w:t>los</w:t>
      </w:r>
      <w:r>
        <w:rPr>
          <w:spacing w:val="-18"/>
          <w:w w:val="115"/>
        </w:rPr>
        <w:t> </w:t>
      </w:r>
      <w:r>
        <w:rPr>
          <w:w w:val="115"/>
        </w:rPr>
        <w:t>partidarios</w:t>
      </w:r>
      <w:r>
        <w:rPr>
          <w:spacing w:val="-18"/>
          <w:w w:val="115"/>
        </w:rPr>
        <w:t> </w:t>
      </w:r>
      <w:r>
        <w:rPr>
          <w:w w:val="115"/>
        </w:rPr>
        <w:t>de</w:t>
      </w:r>
      <w:r>
        <w:rPr>
          <w:spacing w:val="-18"/>
          <w:w w:val="115"/>
        </w:rPr>
        <w:t> </w:t>
      </w:r>
      <w:r>
        <w:rPr>
          <w:w w:val="115"/>
        </w:rPr>
        <w:t>la</w:t>
      </w:r>
      <w:r>
        <w:rPr>
          <w:spacing w:val="-18"/>
          <w:w w:val="115"/>
        </w:rPr>
        <w:t> </w:t>
      </w:r>
      <w:r>
        <w:rPr>
          <w:w w:val="115"/>
        </w:rPr>
        <w:t>revolución</w:t>
      </w:r>
      <w:r>
        <w:rPr>
          <w:spacing w:val="-18"/>
          <w:w w:val="115"/>
        </w:rPr>
        <w:t> </w:t>
      </w:r>
      <w:r>
        <w:rPr>
          <w:w w:val="115"/>
        </w:rPr>
        <w:t>bolivariana, así</w:t>
      </w:r>
      <w:r>
        <w:rPr>
          <w:spacing w:val="-25"/>
          <w:w w:val="115"/>
        </w:rPr>
        <w:t> </w:t>
      </w:r>
      <w:r>
        <w:rPr>
          <w:w w:val="115"/>
        </w:rPr>
        <w:t>como</w:t>
      </w:r>
      <w:r>
        <w:rPr>
          <w:spacing w:val="-25"/>
          <w:w w:val="115"/>
        </w:rPr>
        <w:t> </w:t>
      </w:r>
      <w:r>
        <w:rPr>
          <w:w w:val="115"/>
        </w:rPr>
        <w:t>contra</w:t>
      </w:r>
      <w:r>
        <w:rPr>
          <w:spacing w:val="-25"/>
          <w:w w:val="115"/>
        </w:rPr>
        <w:t> </w:t>
      </w:r>
      <w:r>
        <w:rPr>
          <w:w w:val="115"/>
        </w:rPr>
        <w:t>la</w:t>
      </w:r>
      <w:r>
        <w:rPr>
          <w:spacing w:val="-25"/>
          <w:w w:val="115"/>
        </w:rPr>
        <w:t> </w:t>
      </w:r>
      <w:r>
        <w:rPr>
          <w:w w:val="115"/>
        </w:rPr>
        <w:t>infraestructura</w:t>
      </w:r>
      <w:r>
        <w:rPr>
          <w:spacing w:val="-25"/>
          <w:w w:val="115"/>
        </w:rPr>
        <w:t> </w:t>
      </w:r>
      <w:r>
        <w:rPr>
          <w:w w:val="115"/>
        </w:rPr>
        <w:t>pública</w:t>
      </w:r>
      <w:r>
        <w:rPr>
          <w:spacing w:val="-25"/>
          <w:w w:val="115"/>
        </w:rPr>
        <w:t> </w:t>
      </w:r>
      <w:r>
        <w:rPr>
          <w:w w:val="115"/>
        </w:rPr>
        <w:t>y</w:t>
      </w:r>
      <w:r>
        <w:rPr>
          <w:spacing w:val="-25"/>
          <w:w w:val="115"/>
        </w:rPr>
        <w:t> </w:t>
      </w:r>
      <w:r>
        <w:rPr>
          <w:w w:val="115"/>
        </w:rPr>
        <w:t>estatal</w:t>
      </w:r>
      <w:r>
        <w:rPr>
          <w:spacing w:val="-25"/>
          <w:w w:val="115"/>
        </w:rPr>
        <w:t> </w:t>
      </w:r>
      <w:r>
        <w:rPr>
          <w:w w:val="115"/>
        </w:rPr>
        <w:t>que</w:t>
      </w:r>
      <w:r>
        <w:rPr>
          <w:spacing w:val="-25"/>
          <w:w w:val="115"/>
        </w:rPr>
        <w:t> </w:t>
      </w:r>
      <w:r>
        <w:rPr>
          <w:w w:val="115"/>
        </w:rPr>
        <w:t>se</w:t>
      </w:r>
      <w:r>
        <w:rPr>
          <w:spacing w:val="-25"/>
          <w:w w:val="115"/>
        </w:rPr>
        <w:t> </w:t>
      </w:r>
      <w:r>
        <w:rPr>
          <w:w w:val="115"/>
        </w:rPr>
        <w:t>han</w:t>
      </w:r>
      <w:r>
        <w:rPr>
          <w:spacing w:val="-25"/>
          <w:w w:val="115"/>
        </w:rPr>
        <w:t> </w:t>
      </w:r>
      <w:r>
        <w:rPr>
          <w:w w:val="115"/>
        </w:rPr>
        <w:t>realiza- do</w:t>
      </w:r>
      <w:r>
        <w:rPr>
          <w:spacing w:val="-24"/>
          <w:w w:val="115"/>
        </w:rPr>
        <w:t> </w:t>
      </w:r>
      <w:r>
        <w:rPr>
          <w:w w:val="115"/>
        </w:rPr>
        <w:t>desde</w:t>
      </w:r>
      <w:r>
        <w:rPr>
          <w:spacing w:val="-24"/>
          <w:w w:val="115"/>
        </w:rPr>
        <w:t> </w:t>
      </w:r>
      <w:r>
        <w:rPr>
          <w:w w:val="115"/>
        </w:rPr>
        <w:t>febrero</w:t>
      </w:r>
      <w:r>
        <w:rPr>
          <w:spacing w:val="-24"/>
          <w:w w:val="115"/>
        </w:rPr>
        <w:t> </w:t>
      </w:r>
      <w:r>
        <w:rPr>
          <w:w w:val="115"/>
        </w:rPr>
        <w:t>de</w:t>
      </w:r>
      <w:r>
        <w:rPr>
          <w:spacing w:val="-24"/>
          <w:w w:val="115"/>
        </w:rPr>
        <w:t> </w:t>
      </w:r>
      <w:r>
        <w:rPr>
          <w:w w:val="115"/>
        </w:rPr>
        <w:t>2014</w:t>
      </w:r>
      <w:r>
        <w:rPr>
          <w:spacing w:val="-24"/>
          <w:w w:val="115"/>
        </w:rPr>
        <w:t> </w:t>
      </w:r>
      <w:r>
        <w:rPr>
          <w:w w:val="115"/>
        </w:rPr>
        <w:t>hasta</w:t>
      </w:r>
      <w:r>
        <w:rPr>
          <w:spacing w:val="-24"/>
          <w:w w:val="115"/>
        </w:rPr>
        <w:t> </w:t>
      </w:r>
      <w:r>
        <w:rPr>
          <w:w w:val="115"/>
        </w:rPr>
        <w:t>la</w:t>
      </w:r>
      <w:r>
        <w:rPr>
          <w:spacing w:val="-24"/>
          <w:w w:val="115"/>
        </w:rPr>
        <w:t> </w:t>
      </w:r>
      <w:r>
        <w:rPr>
          <w:w w:val="115"/>
        </w:rPr>
        <w:t>actualidad.</w:t>
      </w:r>
    </w:p>
    <w:p>
      <w:pPr>
        <w:pStyle w:val="BodyText"/>
        <w:spacing w:line="252" w:lineRule="auto"/>
        <w:ind w:left="100" w:right="328" w:firstLine="396"/>
        <w:jc w:val="both"/>
      </w:pPr>
      <w:r>
        <w:rPr>
          <w:w w:val="120"/>
        </w:rPr>
        <w:t>Por</w:t>
      </w:r>
      <w:r>
        <w:rPr>
          <w:spacing w:val="-29"/>
          <w:w w:val="120"/>
        </w:rPr>
        <w:t> </w:t>
      </w:r>
      <w:r>
        <w:rPr>
          <w:w w:val="120"/>
        </w:rPr>
        <w:t>ello,</w:t>
      </w:r>
      <w:r>
        <w:rPr>
          <w:spacing w:val="-29"/>
          <w:w w:val="120"/>
        </w:rPr>
        <w:t> </w:t>
      </w:r>
      <w:r>
        <w:rPr>
          <w:w w:val="120"/>
        </w:rPr>
        <w:t>una</w:t>
      </w:r>
      <w:r>
        <w:rPr>
          <w:spacing w:val="-29"/>
          <w:w w:val="120"/>
        </w:rPr>
        <w:t> </w:t>
      </w:r>
      <w:r>
        <w:rPr>
          <w:w w:val="120"/>
        </w:rPr>
        <w:t>y</w:t>
      </w:r>
      <w:r>
        <w:rPr>
          <w:spacing w:val="-29"/>
          <w:w w:val="120"/>
        </w:rPr>
        <w:t> </w:t>
      </w:r>
      <w:r>
        <w:rPr>
          <w:w w:val="120"/>
        </w:rPr>
        <w:t>otra</w:t>
      </w:r>
      <w:r>
        <w:rPr>
          <w:spacing w:val="-29"/>
          <w:w w:val="120"/>
        </w:rPr>
        <w:t> </w:t>
      </w:r>
      <w:r>
        <w:rPr>
          <w:w w:val="120"/>
        </w:rPr>
        <w:t>vez</w:t>
      </w:r>
      <w:r>
        <w:rPr>
          <w:spacing w:val="-29"/>
          <w:w w:val="120"/>
        </w:rPr>
        <w:t> </w:t>
      </w:r>
      <w:r>
        <w:rPr>
          <w:w w:val="120"/>
        </w:rPr>
        <w:t>los</w:t>
      </w:r>
      <w:r>
        <w:rPr>
          <w:spacing w:val="-29"/>
          <w:w w:val="120"/>
        </w:rPr>
        <w:t> </w:t>
      </w:r>
      <w:r>
        <w:rPr>
          <w:w w:val="120"/>
        </w:rPr>
        <w:t>antes</w:t>
      </w:r>
      <w:r>
        <w:rPr>
          <w:spacing w:val="-29"/>
          <w:w w:val="120"/>
        </w:rPr>
        <w:t> </w:t>
      </w:r>
      <w:r>
        <w:rPr>
          <w:w w:val="120"/>
        </w:rPr>
        <w:t>mencionados</w:t>
      </w:r>
      <w:r>
        <w:rPr>
          <w:spacing w:val="-29"/>
          <w:w w:val="120"/>
        </w:rPr>
        <w:t> </w:t>
      </w:r>
      <w:r>
        <w:rPr>
          <w:w w:val="120"/>
        </w:rPr>
        <w:t>líderes</w:t>
      </w:r>
      <w:r>
        <w:rPr>
          <w:spacing w:val="-29"/>
          <w:w w:val="120"/>
        </w:rPr>
        <w:t> </w:t>
      </w:r>
      <w:r>
        <w:rPr>
          <w:w w:val="120"/>
        </w:rPr>
        <w:t>de</w:t>
      </w:r>
      <w:r>
        <w:rPr>
          <w:spacing w:val="-29"/>
          <w:w w:val="120"/>
        </w:rPr>
        <w:t> </w:t>
      </w:r>
      <w:r>
        <w:rPr>
          <w:w w:val="120"/>
        </w:rPr>
        <w:t>la</w:t>
      </w:r>
      <w:r>
        <w:rPr>
          <w:spacing w:val="-29"/>
          <w:w w:val="120"/>
        </w:rPr>
        <w:t> </w:t>
      </w:r>
      <w:r>
        <w:rPr>
          <w:w w:val="120"/>
        </w:rPr>
        <w:t>Mud se</w:t>
      </w:r>
      <w:r>
        <w:rPr>
          <w:spacing w:val="-19"/>
          <w:w w:val="120"/>
        </w:rPr>
        <w:t> </w:t>
      </w:r>
      <w:r>
        <w:rPr>
          <w:w w:val="120"/>
        </w:rPr>
        <w:t>han</w:t>
      </w:r>
      <w:r>
        <w:rPr>
          <w:spacing w:val="-19"/>
          <w:w w:val="120"/>
        </w:rPr>
        <w:t> </w:t>
      </w:r>
      <w:r>
        <w:rPr>
          <w:w w:val="120"/>
        </w:rPr>
        <w:t>negado</w:t>
      </w:r>
      <w:r>
        <w:rPr>
          <w:spacing w:val="-19"/>
          <w:w w:val="120"/>
        </w:rPr>
        <w:t> </w:t>
      </w:r>
      <w:r>
        <w:rPr>
          <w:w w:val="120"/>
        </w:rPr>
        <w:t>a</w:t>
      </w:r>
      <w:r>
        <w:rPr>
          <w:spacing w:val="-19"/>
          <w:w w:val="120"/>
        </w:rPr>
        <w:t> </w:t>
      </w:r>
      <w:r>
        <w:rPr>
          <w:w w:val="120"/>
        </w:rPr>
        <w:t>participar</w:t>
      </w:r>
      <w:r>
        <w:rPr>
          <w:spacing w:val="-19"/>
          <w:w w:val="120"/>
        </w:rPr>
        <w:t> </w:t>
      </w:r>
      <w:r>
        <w:rPr>
          <w:w w:val="120"/>
        </w:rPr>
        <w:t>en</w:t>
      </w:r>
      <w:r>
        <w:rPr>
          <w:spacing w:val="-19"/>
          <w:w w:val="120"/>
        </w:rPr>
        <w:t> </w:t>
      </w:r>
      <w:r>
        <w:rPr>
          <w:w w:val="120"/>
        </w:rPr>
        <w:t>las</w:t>
      </w:r>
      <w:r>
        <w:rPr>
          <w:spacing w:val="-19"/>
          <w:w w:val="120"/>
        </w:rPr>
        <w:t> </w:t>
      </w:r>
      <w:r>
        <w:rPr>
          <w:w w:val="120"/>
        </w:rPr>
        <w:t>diversas</w:t>
      </w:r>
      <w:r>
        <w:rPr>
          <w:spacing w:val="-19"/>
          <w:w w:val="120"/>
        </w:rPr>
        <w:t> </w:t>
      </w:r>
      <w:r>
        <w:rPr>
          <w:w w:val="120"/>
        </w:rPr>
        <w:t>sesiones</w:t>
      </w:r>
      <w:r>
        <w:rPr>
          <w:spacing w:val="-19"/>
          <w:w w:val="120"/>
        </w:rPr>
        <w:t> </w:t>
      </w:r>
      <w:r>
        <w:rPr>
          <w:w w:val="120"/>
        </w:rPr>
        <w:t>de</w:t>
      </w:r>
      <w:r>
        <w:rPr>
          <w:spacing w:val="-19"/>
          <w:w w:val="120"/>
        </w:rPr>
        <w:t> </w:t>
      </w:r>
      <w:r>
        <w:rPr>
          <w:w w:val="120"/>
        </w:rPr>
        <w:t>la</w:t>
      </w:r>
      <w:r>
        <w:rPr>
          <w:spacing w:val="-19"/>
          <w:w w:val="120"/>
        </w:rPr>
        <w:t> </w:t>
      </w:r>
      <w:r>
        <w:rPr>
          <w:w w:val="120"/>
        </w:rPr>
        <w:t>Conferen- cia</w:t>
      </w:r>
      <w:r>
        <w:rPr>
          <w:spacing w:val="-20"/>
          <w:w w:val="120"/>
        </w:rPr>
        <w:t> </w:t>
      </w:r>
      <w:r>
        <w:rPr>
          <w:w w:val="120"/>
        </w:rPr>
        <w:t>Nacional</w:t>
      </w:r>
      <w:r>
        <w:rPr>
          <w:spacing w:val="-20"/>
          <w:w w:val="120"/>
        </w:rPr>
        <w:t> </w:t>
      </w:r>
      <w:r>
        <w:rPr>
          <w:w w:val="120"/>
        </w:rPr>
        <w:t>de</w:t>
      </w:r>
      <w:r>
        <w:rPr>
          <w:spacing w:val="-20"/>
          <w:w w:val="120"/>
        </w:rPr>
        <w:t> </w:t>
      </w:r>
      <w:r>
        <w:rPr>
          <w:w w:val="120"/>
        </w:rPr>
        <w:t>Paz</w:t>
      </w:r>
      <w:r>
        <w:rPr>
          <w:spacing w:val="-20"/>
          <w:w w:val="120"/>
        </w:rPr>
        <w:t> </w:t>
      </w:r>
      <w:r>
        <w:rPr>
          <w:w w:val="120"/>
        </w:rPr>
        <w:t>convocada</w:t>
      </w:r>
      <w:r>
        <w:rPr>
          <w:spacing w:val="-20"/>
          <w:w w:val="120"/>
        </w:rPr>
        <w:t> </w:t>
      </w:r>
      <w:r>
        <w:rPr>
          <w:w w:val="120"/>
        </w:rPr>
        <w:t>a</w:t>
      </w:r>
      <w:r>
        <w:rPr>
          <w:spacing w:val="-20"/>
          <w:w w:val="120"/>
        </w:rPr>
        <w:t> </w:t>
      </w:r>
      <w:r>
        <w:rPr>
          <w:w w:val="120"/>
        </w:rPr>
        <w:t>fines</w:t>
      </w:r>
      <w:r>
        <w:rPr>
          <w:spacing w:val="-20"/>
          <w:w w:val="120"/>
        </w:rPr>
        <w:t> </w:t>
      </w:r>
      <w:r>
        <w:rPr>
          <w:w w:val="120"/>
        </w:rPr>
        <w:t>de</w:t>
      </w:r>
      <w:r>
        <w:rPr>
          <w:spacing w:val="-20"/>
          <w:w w:val="120"/>
        </w:rPr>
        <w:t> </w:t>
      </w:r>
      <w:r>
        <w:rPr>
          <w:w w:val="120"/>
        </w:rPr>
        <w:t>febrero</w:t>
      </w:r>
      <w:r>
        <w:rPr>
          <w:spacing w:val="-20"/>
          <w:w w:val="120"/>
        </w:rPr>
        <w:t> </w:t>
      </w:r>
      <w:r>
        <w:rPr>
          <w:w w:val="120"/>
        </w:rPr>
        <w:t>de</w:t>
      </w:r>
      <w:r>
        <w:rPr>
          <w:spacing w:val="-20"/>
          <w:w w:val="120"/>
        </w:rPr>
        <w:t> </w:t>
      </w:r>
      <w:r>
        <w:rPr>
          <w:w w:val="120"/>
        </w:rPr>
        <w:t>2014</w:t>
      </w:r>
      <w:r>
        <w:rPr>
          <w:spacing w:val="-20"/>
          <w:w w:val="120"/>
        </w:rPr>
        <w:t> </w:t>
      </w:r>
      <w:r>
        <w:rPr>
          <w:w w:val="120"/>
        </w:rPr>
        <w:t>por</w:t>
      </w:r>
      <w:r>
        <w:rPr>
          <w:spacing w:val="-20"/>
          <w:w w:val="120"/>
        </w:rPr>
        <w:t> </w:t>
      </w:r>
      <w:r>
        <w:rPr>
          <w:w w:val="120"/>
        </w:rPr>
        <w:t>el</w:t>
      </w:r>
      <w:r>
        <w:rPr>
          <w:spacing w:val="-20"/>
          <w:w w:val="120"/>
        </w:rPr>
        <w:t> </w:t>
      </w:r>
      <w:r>
        <w:rPr>
          <w:w w:val="120"/>
        </w:rPr>
        <w:t>ac- tual</w:t>
      </w:r>
      <w:r>
        <w:rPr>
          <w:spacing w:val="-20"/>
          <w:w w:val="120"/>
        </w:rPr>
        <w:t> </w:t>
      </w:r>
      <w:r>
        <w:rPr>
          <w:w w:val="120"/>
        </w:rPr>
        <w:t>mandatario</w:t>
      </w:r>
      <w:r>
        <w:rPr>
          <w:spacing w:val="-20"/>
          <w:w w:val="120"/>
        </w:rPr>
        <w:t> </w:t>
      </w:r>
      <w:r>
        <w:rPr>
          <w:w w:val="120"/>
        </w:rPr>
        <w:t>venezolano.</w:t>
      </w:r>
      <w:r>
        <w:rPr>
          <w:spacing w:val="-20"/>
          <w:w w:val="120"/>
        </w:rPr>
        <w:t> </w:t>
      </w:r>
      <w:r>
        <w:rPr>
          <w:w w:val="120"/>
        </w:rPr>
        <w:t>Esa</w:t>
      </w:r>
      <w:r>
        <w:rPr>
          <w:spacing w:val="-20"/>
          <w:w w:val="120"/>
        </w:rPr>
        <w:t> </w:t>
      </w:r>
      <w:r>
        <w:rPr>
          <w:w w:val="120"/>
        </w:rPr>
        <w:t>conferencia</w:t>
      </w:r>
      <w:r>
        <w:rPr>
          <w:spacing w:val="-20"/>
          <w:w w:val="120"/>
        </w:rPr>
        <w:t> </w:t>
      </w:r>
      <w:r>
        <w:rPr>
          <w:w w:val="120"/>
        </w:rPr>
        <w:t>contó</w:t>
      </w:r>
      <w:r>
        <w:rPr>
          <w:spacing w:val="-20"/>
          <w:w w:val="120"/>
        </w:rPr>
        <w:t> </w:t>
      </w:r>
      <w:r>
        <w:rPr>
          <w:w w:val="120"/>
        </w:rPr>
        <w:t>como</w:t>
      </w:r>
      <w:r>
        <w:rPr>
          <w:spacing w:val="-20"/>
          <w:w w:val="120"/>
        </w:rPr>
        <w:t> </w:t>
      </w:r>
      <w:r>
        <w:rPr>
          <w:w w:val="120"/>
        </w:rPr>
        <w:t>el</w:t>
      </w:r>
      <w:r>
        <w:rPr>
          <w:spacing w:val="-20"/>
          <w:w w:val="120"/>
        </w:rPr>
        <w:t> </w:t>
      </w:r>
      <w:r>
        <w:rPr>
          <w:w w:val="120"/>
        </w:rPr>
        <w:t>apoyo </w:t>
      </w:r>
      <w:r>
        <w:rPr>
          <w:w w:val="110"/>
        </w:rPr>
        <w:t>de importantes sectores económicos, sociales y políticos venezolanos </w:t>
      </w:r>
      <w:r>
        <w:rPr>
          <w:w w:val="120"/>
        </w:rPr>
        <w:t>(incluidos</w:t>
      </w:r>
      <w:r>
        <w:rPr>
          <w:spacing w:val="-16"/>
          <w:w w:val="120"/>
        </w:rPr>
        <w:t> </w:t>
      </w:r>
      <w:r>
        <w:rPr>
          <w:w w:val="120"/>
        </w:rPr>
        <w:t>algunos</w:t>
      </w:r>
      <w:r>
        <w:rPr>
          <w:spacing w:val="-16"/>
          <w:w w:val="120"/>
        </w:rPr>
        <w:t> </w:t>
      </w:r>
      <w:r>
        <w:rPr>
          <w:w w:val="120"/>
        </w:rPr>
        <w:t>de</w:t>
      </w:r>
      <w:r>
        <w:rPr>
          <w:spacing w:val="-16"/>
          <w:w w:val="120"/>
        </w:rPr>
        <w:t> </w:t>
      </w:r>
      <w:r>
        <w:rPr>
          <w:w w:val="120"/>
        </w:rPr>
        <w:t>la</w:t>
      </w:r>
      <w:r>
        <w:rPr>
          <w:spacing w:val="-16"/>
          <w:w w:val="120"/>
        </w:rPr>
        <w:t> </w:t>
      </w:r>
      <w:r>
        <w:rPr>
          <w:w w:val="120"/>
        </w:rPr>
        <w:t>oposición)</w:t>
      </w:r>
      <w:r>
        <w:rPr>
          <w:spacing w:val="-16"/>
          <w:w w:val="120"/>
        </w:rPr>
        <w:t> </w:t>
      </w:r>
      <w:r>
        <w:rPr>
          <w:w w:val="120"/>
        </w:rPr>
        <w:t>y</w:t>
      </w:r>
      <w:r>
        <w:rPr>
          <w:spacing w:val="-16"/>
          <w:w w:val="120"/>
        </w:rPr>
        <w:t> </w:t>
      </w:r>
      <w:r>
        <w:rPr>
          <w:w w:val="120"/>
        </w:rPr>
        <w:t>de</w:t>
      </w:r>
      <w:r>
        <w:rPr>
          <w:spacing w:val="-16"/>
          <w:w w:val="120"/>
        </w:rPr>
        <w:t> </w:t>
      </w:r>
      <w:r>
        <w:rPr>
          <w:w w:val="120"/>
        </w:rPr>
        <w:t>la</w:t>
      </w:r>
      <w:r>
        <w:rPr>
          <w:spacing w:val="-16"/>
          <w:w w:val="120"/>
        </w:rPr>
        <w:t> </w:t>
      </w:r>
      <w:r>
        <w:rPr>
          <w:w w:val="120"/>
        </w:rPr>
        <w:t>absoluta</w:t>
      </w:r>
      <w:r>
        <w:rPr>
          <w:spacing w:val="-16"/>
          <w:w w:val="120"/>
        </w:rPr>
        <w:t> </w:t>
      </w:r>
      <w:r>
        <w:rPr>
          <w:w w:val="120"/>
        </w:rPr>
        <w:t>mayoría</w:t>
      </w:r>
      <w:r>
        <w:rPr>
          <w:spacing w:val="-16"/>
          <w:w w:val="120"/>
        </w:rPr>
        <w:t> </w:t>
      </w:r>
      <w:r>
        <w:rPr>
          <w:w w:val="120"/>
        </w:rPr>
        <w:t>de</w:t>
      </w:r>
      <w:r>
        <w:rPr>
          <w:spacing w:val="-16"/>
          <w:w w:val="120"/>
        </w:rPr>
        <w:t> </w:t>
      </w:r>
      <w:r>
        <w:rPr>
          <w:w w:val="120"/>
        </w:rPr>
        <w:t>los </w:t>
      </w:r>
      <w:r>
        <w:rPr>
          <w:w w:val="115"/>
        </w:rPr>
        <w:t>gobiernos</w:t>
      </w:r>
      <w:r>
        <w:rPr>
          <w:spacing w:val="-7"/>
          <w:w w:val="115"/>
        </w:rPr>
        <w:t> </w:t>
      </w:r>
      <w:r>
        <w:rPr>
          <w:w w:val="115"/>
        </w:rPr>
        <w:t>de</w:t>
      </w:r>
      <w:r>
        <w:rPr>
          <w:spacing w:val="-7"/>
          <w:w w:val="115"/>
        </w:rPr>
        <w:t> </w:t>
      </w:r>
      <w:r>
        <w:rPr>
          <w:w w:val="115"/>
        </w:rPr>
        <w:t>los</w:t>
      </w:r>
      <w:r>
        <w:rPr>
          <w:spacing w:val="-7"/>
          <w:w w:val="115"/>
        </w:rPr>
        <w:t> </w:t>
      </w:r>
      <w:r>
        <w:rPr>
          <w:w w:val="115"/>
        </w:rPr>
        <w:t>33</w:t>
      </w:r>
      <w:r>
        <w:rPr>
          <w:spacing w:val="-7"/>
          <w:w w:val="115"/>
        </w:rPr>
        <w:t> </w:t>
      </w:r>
      <w:r>
        <w:rPr>
          <w:w w:val="115"/>
        </w:rPr>
        <w:t>Estados</w:t>
      </w:r>
      <w:r>
        <w:rPr>
          <w:spacing w:val="-7"/>
          <w:w w:val="115"/>
        </w:rPr>
        <w:t> </w:t>
      </w:r>
      <w:r>
        <w:rPr>
          <w:w w:val="115"/>
        </w:rPr>
        <w:t>latinoamericanos</w:t>
      </w:r>
      <w:r>
        <w:rPr>
          <w:spacing w:val="-7"/>
          <w:w w:val="115"/>
        </w:rPr>
        <w:t> </w:t>
      </w:r>
      <w:r>
        <w:rPr>
          <w:w w:val="115"/>
        </w:rPr>
        <w:t>y</w:t>
      </w:r>
      <w:r>
        <w:rPr>
          <w:spacing w:val="-7"/>
          <w:w w:val="115"/>
        </w:rPr>
        <w:t> </w:t>
      </w:r>
      <w:r>
        <w:rPr>
          <w:w w:val="115"/>
        </w:rPr>
        <w:t>caribeños</w:t>
      </w:r>
      <w:r>
        <w:rPr>
          <w:spacing w:val="-7"/>
          <w:w w:val="115"/>
        </w:rPr>
        <w:t> </w:t>
      </w:r>
      <w:r>
        <w:rPr>
          <w:w w:val="115"/>
        </w:rPr>
        <w:t>integran- </w:t>
      </w:r>
      <w:r>
        <w:rPr>
          <w:w w:val="120"/>
        </w:rPr>
        <w:t>tes</w:t>
      </w:r>
      <w:r>
        <w:rPr>
          <w:spacing w:val="-15"/>
          <w:w w:val="120"/>
        </w:rPr>
        <w:t> </w:t>
      </w:r>
      <w:r>
        <w:rPr>
          <w:w w:val="120"/>
        </w:rPr>
        <w:t>de</w:t>
      </w:r>
      <w:r>
        <w:rPr>
          <w:spacing w:val="-15"/>
          <w:w w:val="120"/>
        </w:rPr>
        <w:t> </w:t>
      </w:r>
      <w:r>
        <w:rPr>
          <w:w w:val="120"/>
        </w:rPr>
        <w:t>la</w:t>
      </w:r>
      <w:r>
        <w:rPr>
          <w:spacing w:val="-15"/>
          <w:w w:val="120"/>
        </w:rPr>
        <w:t> </w:t>
      </w:r>
      <w:r>
        <w:rPr>
          <w:w w:val="120"/>
        </w:rPr>
        <w:t>CElaC.</w:t>
      </w:r>
      <w:r>
        <w:rPr>
          <w:spacing w:val="-15"/>
          <w:w w:val="120"/>
        </w:rPr>
        <w:t> </w:t>
      </w:r>
      <w:r>
        <w:rPr>
          <w:w w:val="120"/>
        </w:rPr>
        <w:t>desconociendo</w:t>
      </w:r>
      <w:r>
        <w:rPr>
          <w:spacing w:val="-15"/>
          <w:w w:val="120"/>
        </w:rPr>
        <w:t> </w:t>
      </w:r>
      <w:r>
        <w:rPr>
          <w:w w:val="120"/>
        </w:rPr>
        <w:t>esos</w:t>
      </w:r>
      <w:r>
        <w:rPr>
          <w:spacing w:val="-15"/>
          <w:w w:val="120"/>
        </w:rPr>
        <w:t> </w:t>
      </w:r>
      <w:r>
        <w:rPr>
          <w:w w:val="120"/>
        </w:rPr>
        <w:t>hechos</w:t>
      </w:r>
      <w:r>
        <w:rPr>
          <w:spacing w:val="-15"/>
          <w:w w:val="120"/>
        </w:rPr>
        <w:t> </w:t>
      </w:r>
      <w:r>
        <w:rPr>
          <w:spacing w:val="-11"/>
          <w:w w:val="120"/>
        </w:rPr>
        <w:t>y,</w:t>
      </w:r>
      <w:r>
        <w:rPr>
          <w:spacing w:val="-15"/>
          <w:w w:val="120"/>
        </w:rPr>
        <w:t> </w:t>
      </w:r>
      <w:r>
        <w:rPr>
          <w:w w:val="120"/>
        </w:rPr>
        <w:t>a</w:t>
      </w:r>
      <w:r>
        <w:rPr>
          <w:spacing w:val="-15"/>
          <w:w w:val="120"/>
        </w:rPr>
        <w:t> </w:t>
      </w:r>
      <w:r>
        <w:rPr>
          <w:w w:val="120"/>
        </w:rPr>
        <w:t>su</w:t>
      </w:r>
      <w:r>
        <w:rPr>
          <w:spacing w:val="-15"/>
          <w:w w:val="120"/>
        </w:rPr>
        <w:t> </w:t>
      </w:r>
      <w:r>
        <w:rPr>
          <w:w w:val="120"/>
        </w:rPr>
        <w:t>vez,</w:t>
      </w:r>
      <w:r>
        <w:rPr>
          <w:spacing w:val="-15"/>
          <w:w w:val="120"/>
        </w:rPr>
        <w:t> </w:t>
      </w:r>
      <w:r>
        <w:rPr>
          <w:w w:val="120"/>
        </w:rPr>
        <w:t>tratando</w:t>
      </w:r>
      <w:r>
        <w:rPr>
          <w:spacing w:val="-15"/>
          <w:w w:val="120"/>
        </w:rPr>
        <w:t> </w:t>
      </w:r>
      <w:r>
        <w:rPr>
          <w:w w:val="120"/>
        </w:rPr>
        <w:t>de descalificar</w:t>
      </w:r>
      <w:r>
        <w:rPr>
          <w:spacing w:val="-21"/>
          <w:w w:val="120"/>
        </w:rPr>
        <w:t> </w:t>
      </w:r>
      <w:r>
        <w:rPr>
          <w:w w:val="120"/>
        </w:rPr>
        <w:t>los</w:t>
      </w:r>
      <w:r>
        <w:rPr>
          <w:spacing w:val="-21"/>
          <w:w w:val="120"/>
        </w:rPr>
        <w:t> </w:t>
      </w:r>
      <w:r>
        <w:rPr>
          <w:w w:val="120"/>
        </w:rPr>
        <w:t>acuerdos</w:t>
      </w:r>
      <w:r>
        <w:rPr>
          <w:spacing w:val="-21"/>
          <w:w w:val="120"/>
        </w:rPr>
        <w:t> </w:t>
      </w:r>
      <w:r>
        <w:rPr>
          <w:w w:val="120"/>
        </w:rPr>
        <w:t>de</w:t>
      </w:r>
      <w:r>
        <w:rPr>
          <w:spacing w:val="-21"/>
          <w:w w:val="120"/>
        </w:rPr>
        <w:t> </w:t>
      </w:r>
      <w:r>
        <w:rPr>
          <w:w w:val="120"/>
        </w:rPr>
        <w:t>la</w:t>
      </w:r>
      <w:r>
        <w:rPr>
          <w:spacing w:val="-21"/>
          <w:w w:val="120"/>
        </w:rPr>
        <w:t> </w:t>
      </w:r>
      <w:r>
        <w:rPr>
          <w:w w:val="120"/>
        </w:rPr>
        <w:t>uNasur</w:t>
      </w:r>
      <w:r>
        <w:rPr>
          <w:spacing w:val="-21"/>
          <w:w w:val="120"/>
        </w:rPr>
        <w:t> </w:t>
      </w:r>
      <w:r>
        <w:rPr>
          <w:w w:val="120"/>
        </w:rPr>
        <w:t>relativos</w:t>
      </w:r>
      <w:r>
        <w:rPr>
          <w:spacing w:val="-21"/>
          <w:w w:val="120"/>
        </w:rPr>
        <w:t> </w:t>
      </w:r>
      <w:r>
        <w:rPr>
          <w:w w:val="120"/>
        </w:rPr>
        <w:t>a</w:t>
      </w:r>
      <w:r>
        <w:rPr>
          <w:spacing w:val="-21"/>
          <w:w w:val="120"/>
        </w:rPr>
        <w:t> </w:t>
      </w:r>
      <w:r>
        <w:rPr>
          <w:w w:val="120"/>
        </w:rPr>
        <w:t>la</w:t>
      </w:r>
      <w:r>
        <w:rPr>
          <w:spacing w:val="-21"/>
          <w:w w:val="120"/>
        </w:rPr>
        <w:t> </w:t>
      </w:r>
      <w:r>
        <w:rPr>
          <w:w w:val="120"/>
        </w:rPr>
        <w:t>designación</w:t>
      </w:r>
      <w:r>
        <w:rPr>
          <w:spacing w:val="-21"/>
          <w:w w:val="120"/>
        </w:rPr>
        <w:t> </w:t>
      </w:r>
      <w:r>
        <w:rPr>
          <w:w w:val="120"/>
        </w:rPr>
        <w:t>de </w:t>
      </w:r>
      <w:r>
        <w:rPr>
          <w:w w:val="115"/>
        </w:rPr>
        <w:t>“una comisión integrada por sus Ministros de relaciones</w:t>
      </w:r>
      <w:r>
        <w:rPr>
          <w:spacing w:val="-9"/>
          <w:w w:val="115"/>
        </w:rPr>
        <w:t> </w:t>
      </w:r>
      <w:r>
        <w:rPr>
          <w:w w:val="115"/>
        </w:rPr>
        <w:t>Exteriores </w:t>
      </w:r>
      <w:r>
        <w:rPr>
          <w:w w:val="120"/>
        </w:rPr>
        <w:t>para</w:t>
      </w:r>
      <w:r>
        <w:rPr>
          <w:spacing w:val="-26"/>
          <w:w w:val="120"/>
        </w:rPr>
        <w:t> </w:t>
      </w:r>
      <w:r>
        <w:rPr>
          <w:w w:val="120"/>
        </w:rPr>
        <w:t>que</w:t>
      </w:r>
      <w:r>
        <w:rPr>
          <w:spacing w:val="-26"/>
          <w:w w:val="120"/>
        </w:rPr>
        <w:t> </w:t>
      </w:r>
      <w:r>
        <w:rPr>
          <w:w w:val="120"/>
        </w:rPr>
        <w:t>–en</w:t>
      </w:r>
      <w:r>
        <w:rPr>
          <w:spacing w:val="-26"/>
          <w:w w:val="120"/>
        </w:rPr>
        <w:t> </w:t>
      </w:r>
      <w:r>
        <w:rPr>
          <w:w w:val="120"/>
        </w:rPr>
        <w:t>su</w:t>
      </w:r>
      <w:r>
        <w:rPr>
          <w:spacing w:val="-26"/>
          <w:w w:val="120"/>
        </w:rPr>
        <w:t> </w:t>
      </w:r>
      <w:r>
        <w:rPr>
          <w:w w:val="120"/>
        </w:rPr>
        <w:t>nombre–</w:t>
      </w:r>
      <w:r>
        <w:rPr>
          <w:spacing w:val="-26"/>
          <w:w w:val="120"/>
        </w:rPr>
        <w:t> </w:t>
      </w:r>
      <w:r>
        <w:rPr>
          <w:w w:val="120"/>
        </w:rPr>
        <w:t>acompañe,</w:t>
      </w:r>
      <w:r>
        <w:rPr>
          <w:spacing w:val="-26"/>
          <w:w w:val="120"/>
        </w:rPr>
        <w:t> </w:t>
      </w:r>
      <w:r>
        <w:rPr>
          <w:w w:val="120"/>
        </w:rPr>
        <w:t>apoye</w:t>
      </w:r>
      <w:r>
        <w:rPr>
          <w:spacing w:val="-26"/>
          <w:w w:val="120"/>
        </w:rPr>
        <w:t> </w:t>
      </w:r>
      <w:r>
        <w:rPr>
          <w:w w:val="120"/>
        </w:rPr>
        <w:t>y</w:t>
      </w:r>
      <w:r>
        <w:rPr>
          <w:spacing w:val="-26"/>
          <w:w w:val="120"/>
        </w:rPr>
        <w:t> </w:t>
      </w:r>
      <w:r>
        <w:rPr>
          <w:w w:val="120"/>
        </w:rPr>
        <w:t>asesore</w:t>
      </w:r>
      <w:r>
        <w:rPr>
          <w:spacing w:val="-26"/>
          <w:w w:val="120"/>
        </w:rPr>
        <w:t> </w:t>
      </w:r>
      <w:r>
        <w:rPr>
          <w:w w:val="120"/>
        </w:rPr>
        <w:t>en</w:t>
      </w:r>
      <w:r>
        <w:rPr>
          <w:spacing w:val="-26"/>
          <w:w w:val="120"/>
        </w:rPr>
        <w:t> </w:t>
      </w:r>
      <w:r>
        <w:rPr>
          <w:w w:val="120"/>
        </w:rPr>
        <w:t>un</w:t>
      </w:r>
      <w:r>
        <w:rPr>
          <w:spacing w:val="-26"/>
          <w:w w:val="120"/>
        </w:rPr>
        <w:t> </w:t>
      </w:r>
      <w:r>
        <w:rPr>
          <w:w w:val="120"/>
        </w:rPr>
        <w:t>diálogo </w:t>
      </w:r>
      <w:r>
        <w:rPr>
          <w:w w:val="115"/>
        </w:rPr>
        <w:t>político amplio y constructivo orientado a recuperar la convivencia </w:t>
      </w:r>
      <w:r>
        <w:rPr>
          <w:w w:val="120"/>
        </w:rPr>
        <w:t>pacífica</w:t>
      </w:r>
      <w:r>
        <w:rPr>
          <w:spacing w:val="-24"/>
          <w:w w:val="120"/>
        </w:rPr>
        <w:t> </w:t>
      </w:r>
      <w:r>
        <w:rPr>
          <w:w w:val="120"/>
        </w:rPr>
        <w:t>en</w:t>
      </w:r>
      <w:r>
        <w:rPr>
          <w:spacing w:val="-24"/>
          <w:w w:val="120"/>
        </w:rPr>
        <w:t> </w:t>
      </w:r>
      <w:r>
        <w:rPr>
          <w:w w:val="120"/>
        </w:rPr>
        <w:t>Venezuela”</w:t>
      </w:r>
      <w:r>
        <w:rPr>
          <w:spacing w:val="-24"/>
          <w:w w:val="120"/>
        </w:rPr>
        <w:t> </w:t>
      </w:r>
      <w:r>
        <w:rPr>
          <w:w w:val="120"/>
        </w:rPr>
        <w:t>(Prensa</w:t>
      </w:r>
      <w:r>
        <w:rPr>
          <w:spacing w:val="-24"/>
          <w:w w:val="120"/>
        </w:rPr>
        <w:t> </w:t>
      </w:r>
      <w:r>
        <w:rPr>
          <w:w w:val="120"/>
        </w:rPr>
        <w:t>uNasur,</w:t>
      </w:r>
      <w:r>
        <w:rPr>
          <w:spacing w:val="-24"/>
          <w:w w:val="120"/>
        </w:rPr>
        <w:t> </w:t>
      </w:r>
      <w:r>
        <w:rPr>
          <w:w w:val="120"/>
        </w:rPr>
        <w:t>2014),</w:t>
      </w:r>
      <w:r>
        <w:rPr>
          <w:spacing w:val="-24"/>
          <w:w w:val="120"/>
        </w:rPr>
        <w:t> </w:t>
      </w:r>
      <w:r>
        <w:rPr>
          <w:w w:val="120"/>
        </w:rPr>
        <w:t>el</w:t>
      </w:r>
      <w:r>
        <w:rPr>
          <w:spacing w:val="-24"/>
          <w:w w:val="120"/>
        </w:rPr>
        <w:t> </w:t>
      </w:r>
      <w:r>
        <w:rPr>
          <w:w w:val="120"/>
        </w:rPr>
        <w:t>departamento</w:t>
      </w:r>
      <w:r>
        <w:rPr>
          <w:spacing w:val="-24"/>
          <w:w w:val="120"/>
        </w:rPr>
        <w:t> </w:t>
      </w:r>
      <w:r>
        <w:rPr>
          <w:w w:val="120"/>
        </w:rPr>
        <w:t>de </w:t>
      </w:r>
      <w:r>
        <w:rPr>
          <w:w w:val="115"/>
        </w:rPr>
        <w:t>Estado propugnó el nombramiento de “un mediador imparcial, que facilite</w:t>
      </w:r>
      <w:r>
        <w:rPr>
          <w:spacing w:val="-9"/>
          <w:w w:val="115"/>
        </w:rPr>
        <w:t> </w:t>
      </w:r>
      <w:r>
        <w:rPr>
          <w:w w:val="115"/>
        </w:rPr>
        <w:t>el</w:t>
      </w:r>
      <w:r>
        <w:rPr>
          <w:spacing w:val="-9"/>
          <w:w w:val="115"/>
        </w:rPr>
        <w:t> </w:t>
      </w:r>
      <w:r>
        <w:rPr>
          <w:w w:val="115"/>
        </w:rPr>
        <w:t>diálogo</w:t>
      </w:r>
      <w:r>
        <w:rPr>
          <w:spacing w:val="-9"/>
          <w:w w:val="115"/>
        </w:rPr>
        <w:t> </w:t>
      </w:r>
      <w:r>
        <w:rPr>
          <w:w w:val="115"/>
        </w:rPr>
        <w:t>entre</w:t>
      </w:r>
      <w:r>
        <w:rPr>
          <w:spacing w:val="-9"/>
          <w:w w:val="115"/>
        </w:rPr>
        <w:t> </w:t>
      </w:r>
      <w:r>
        <w:rPr>
          <w:w w:val="115"/>
        </w:rPr>
        <w:t>gobierno</w:t>
      </w:r>
      <w:r>
        <w:rPr>
          <w:spacing w:val="-9"/>
          <w:w w:val="115"/>
        </w:rPr>
        <w:t> </w:t>
      </w:r>
      <w:r>
        <w:rPr>
          <w:w w:val="115"/>
        </w:rPr>
        <w:t>y</w:t>
      </w:r>
      <w:r>
        <w:rPr>
          <w:spacing w:val="-9"/>
          <w:w w:val="115"/>
        </w:rPr>
        <w:t> </w:t>
      </w:r>
      <w:r>
        <w:rPr>
          <w:w w:val="115"/>
        </w:rPr>
        <w:t>opositores</w:t>
      </w:r>
      <w:r>
        <w:rPr>
          <w:spacing w:val="-9"/>
          <w:w w:val="115"/>
        </w:rPr>
        <w:t> </w:t>
      </w:r>
      <w:r>
        <w:rPr>
          <w:w w:val="115"/>
        </w:rPr>
        <w:t>en</w:t>
      </w:r>
      <w:r>
        <w:rPr>
          <w:spacing w:val="-9"/>
          <w:w w:val="115"/>
        </w:rPr>
        <w:t> </w:t>
      </w:r>
      <w:r>
        <w:rPr>
          <w:w w:val="115"/>
        </w:rPr>
        <w:t>Venezuela”</w:t>
      </w:r>
      <w:r>
        <w:rPr>
          <w:spacing w:val="-9"/>
          <w:w w:val="115"/>
        </w:rPr>
        <w:t> </w:t>
      </w:r>
      <w:r>
        <w:rPr>
          <w:spacing w:val="-4"/>
          <w:w w:val="115"/>
        </w:rPr>
        <w:t>(Voz</w:t>
      </w:r>
      <w:r>
        <w:rPr>
          <w:spacing w:val="-9"/>
          <w:w w:val="115"/>
        </w:rPr>
        <w:t> </w:t>
      </w:r>
      <w:r>
        <w:rPr>
          <w:w w:val="115"/>
        </w:rPr>
        <w:t>de las</w:t>
      </w:r>
      <w:r>
        <w:rPr>
          <w:spacing w:val="-27"/>
          <w:w w:val="115"/>
        </w:rPr>
        <w:t> </w:t>
      </w:r>
      <w:r>
        <w:rPr>
          <w:w w:val="115"/>
        </w:rPr>
        <w:t>américas,</w:t>
      </w:r>
      <w:r>
        <w:rPr>
          <w:spacing w:val="-27"/>
          <w:w w:val="115"/>
        </w:rPr>
        <w:t> </w:t>
      </w:r>
      <w:r>
        <w:rPr>
          <w:w w:val="115"/>
        </w:rPr>
        <w:t>2014).</w:t>
      </w:r>
    </w:p>
    <w:p>
      <w:pPr>
        <w:pStyle w:val="BodyText"/>
        <w:spacing w:line="252" w:lineRule="auto"/>
        <w:ind w:left="100" w:right="327" w:firstLine="396"/>
        <w:jc w:val="both"/>
      </w:pPr>
      <w:r>
        <w:rPr>
          <w:w w:val="120"/>
        </w:rPr>
        <w:t>Previamente, el actual Jefe del soutHCoM, general John Ke- </w:t>
      </w:r>
      <w:r>
        <w:rPr>
          <w:spacing w:val="-6"/>
          <w:w w:val="120"/>
        </w:rPr>
        <w:t>lly,</w:t>
      </w:r>
      <w:r>
        <w:rPr>
          <w:spacing w:val="-19"/>
          <w:w w:val="120"/>
        </w:rPr>
        <w:t> </w:t>
      </w:r>
      <w:r>
        <w:rPr>
          <w:w w:val="120"/>
        </w:rPr>
        <w:t>le</w:t>
      </w:r>
      <w:r>
        <w:rPr>
          <w:spacing w:val="-19"/>
          <w:w w:val="120"/>
        </w:rPr>
        <w:t> </w:t>
      </w:r>
      <w:r>
        <w:rPr>
          <w:w w:val="120"/>
        </w:rPr>
        <w:t>había</w:t>
      </w:r>
      <w:r>
        <w:rPr>
          <w:spacing w:val="-19"/>
          <w:w w:val="120"/>
        </w:rPr>
        <w:t> </w:t>
      </w:r>
      <w:r>
        <w:rPr>
          <w:w w:val="120"/>
        </w:rPr>
        <w:t>demandado</w:t>
      </w:r>
      <w:r>
        <w:rPr>
          <w:spacing w:val="-19"/>
          <w:w w:val="120"/>
        </w:rPr>
        <w:t> </w:t>
      </w:r>
      <w:r>
        <w:rPr>
          <w:w w:val="120"/>
        </w:rPr>
        <w:t>a</w:t>
      </w:r>
      <w:r>
        <w:rPr>
          <w:spacing w:val="-19"/>
          <w:w w:val="120"/>
        </w:rPr>
        <w:t> </w:t>
      </w:r>
      <w:r>
        <w:rPr>
          <w:w w:val="120"/>
        </w:rPr>
        <w:t>los</w:t>
      </w:r>
      <w:r>
        <w:rPr>
          <w:spacing w:val="-19"/>
          <w:w w:val="120"/>
        </w:rPr>
        <w:t> </w:t>
      </w:r>
      <w:r>
        <w:rPr>
          <w:w w:val="120"/>
        </w:rPr>
        <w:t>integrantes</w:t>
      </w:r>
      <w:r>
        <w:rPr>
          <w:spacing w:val="-19"/>
          <w:w w:val="120"/>
        </w:rPr>
        <w:t> </w:t>
      </w:r>
      <w:r>
        <w:rPr>
          <w:w w:val="120"/>
        </w:rPr>
        <w:t>del</w:t>
      </w:r>
      <w:r>
        <w:rPr>
          <w:spacing w:val="-19"/>
          <w:w w:val="120"/>
        </w:rPr>
        <w:t> </w:t>
      </w:r>
      <w:r>
        <w:rPr>
          <w:w w:val="120"/>
        </w:rPr>
        <w:t>Comité</w:t>
      </w:r>
      <w:r>
        <w:rPr>
          <w:spacing w:val="-19"/>
          <w:w w:val="120"/>
        </w:rPr>
        <w:t> </w:t>
      </w:r>
      <w:r>
        <w:rPr>
          <w:w w:val="120"/>
        </w:rPr>
        <w:t>de</w:t>
      </w:r>
      <w:r>
        <w:rPr>
          <w:spacing w:val="-19"/>
          <w:w w:val="120"/>
        </w:rPr>
        <w:t> </w:t>
      </w:r>
      <w:r>
        <w:rPr>
          <w:w w:val="120"/>
        </w:rPr>
        <w:t>las</w:t>
      </w:r>
      <w:r>
        <w:rPr>
          <w:spacing w:val="-19"/>
          <w:w w:val="120"/>
        </w:rPr>
        <w:t> </w:t>
      </w:r>
      <w:r>
        <w:rPr>
          <w:w w:val="120"/>
        </w:rPr>
        <w:t>Fuerzas </w:t>
      </w:r>
      <w:r>
        <w:rPr>
          <w:w w:val="115"/>
        </w:rPr>
        <w:t>amadas del senado estadounidense que colocaran su atención en</w:t>
      </w:r>
      <w:r>
        <w:rPr>
          <w:spacing w:val="-7"/>
          <w:w w:val="115"/>
        </w:rPr>
        <w:t> </w:t>
      </w:r>
      <w:r>
        <w:rPr>
          <w:w w:val="115"/>
        </w:rPr>
        <w:t>la actual situación venezolana, ya que –a su criterio– “se está cayendo a</w:t>
      </w:r>
      <w:r>
        <w:rPr>
          <w:spacing w:val="-8"/>
          <w:w w:val="115"/>
        </w:rPr>
        <w:t> </w:t>
      </w:r>
      <w:r>
        <w:rPr>
          <w:w w:val="115"/>
        </w:rPr>
        <w:t>pedazos</w:t>
      </w:r>
      <w:r>
        <w:rPr>
          <w:spacing w:val="-8"/>
          <w:w w:val="115"/>
        </w:rPr>
        <w:t> </w:t>
      </w:r>
      <w:r>
        <w:rPr>
          <w:w w:val="115"/>
        </w:rPr>
        <w:t>delante</w:t>
      </w:r>
      <w:r>
        <w:rPr>
          <w:spacing w:val="-8"/>
          <w:w w:val="115"/>
        </w:rPr>
        <w:t> </w:t>
      </w:r>
      <w:r>
        <w:rPr>
          <w:w w:val="115"/>
        </w:rPr>
        <w:t>de</w:t>
      </w:r>
      <w:r>
        <w:rPr>
          <w:spacing w:val="-8"/>
          <w:w w:val="115"/>
        </w:rPr>
        <w:t> </w:t>
      </w:r>
      <w:r>
        <w:rPr>
          <w:w w:val="115"/>
        </w:rPr>
        <w:t>nosotros</w:t>
      </w:r>
      <w:r>
        <w:rPr>
          <w:spacing w:val="-8"/>
          <w:w w:val="115"/>
        </w:rPr>
        <w:t> </w:t>
      </w:r>
      <w:r>
        <w:rPr>
          <w:spacing w:val="-11"/>
          <w:w w:val="115"/>
        </w:rPr>
        <w:t>y,</w:t>
      </w:r>
      <w:r>
        <w:rPr>
          <w:spacing w:val="-8"/>
          <w:w w:val="115"/>
        </w:rPr>
        <w:t> </w:t>
      </w:r>
      <w:r>
        <w:rPr>
          <w:w w:val="115"/>
        </w:rPr>
        <w:t>salvo</w:t>
      </w:r>
      <w:r>
        <w:rPr>
          <w:spacing w:val="-8"/>
          <w:w w:val="115"/>
        </w:rPr>
        <w:t> </w:t>
      </w:r>
      <w:r>
        <w:rPr>
          <w:w w:val="115"/>
        </w:rPr>
        <w:t>que</w:t>
      </w:r>
      <w:r>
        <w:rPr>
          <w:spacing w:val="-8"/>
          <w:w w:val="115"/>
        </w:rPr>
        <w:t> </w:t>
      </w:r>
      <w:r>
        <w:rPr>
          <w:w w:val="115"/>
        </w:rPr>
        <w:t>no</w:t>
      </w:r>
      <w:r>
        <w:rPr>
          <w:spacing w:val="-8"/>
          <w:w w:val="115"/>
        </w:rPr>
        <w:t> </w:t>
      </w:r>
      <w:r>
        <w:rPr>
          <w:w w:val="115"/>
        </w:rPr>
        <w:t>ocurra</w:t>
      </w:r>
      <w:r>
        <w:rPr>
          <w:spacing w:val="-8"/>
          <w:w w:val="115"/>
        </w:rPr>
        <w:t> </w:t>
      </w:r>
      <w:r>
        <w:rPr>
          <w:w w:val="115"/>
        </w:rPr>
        <w:t>un</w:t>
      </w:r>
      <w:r>
        <w:rPr>
          <w:spacing w:val="-8"/>
          <w:w w:val="115"/>
        </w:rPr>
        <w:t> </w:t>
      </w:r>
      <w:r>
        <w:rPr>
          <w:w w:val="115"/>
        </w:rPr>
        <w:t>milagro</w:t>
      </w:r>
      <w:r>
        <w:rPr>
          <w:spacing w:val="-8"/>
          <w:w w:val="115"/>
        </w:rPr>
        <w:t> </w:t>
      </w:r>
      <w:r>
        <w:rPr>
          <w:w w:val="115"/>
        </w:rPr>
        <w:t>que provoque</w:t>
      </w:r>
      <w:r>
        <w:rPr>
          <w:spacing w:val="-15"/>
          <w:w w:val="115"/>
        </w:rPr>
        <w:t> </w:t>
      </w:r>
      <w:r>
        <w:rPr>
          <w:w w:val="115"/>
        </w:rPr>
        <w:t>que</w:t>
      </w:r>
      <w:r>
        <w:rPr>
          <w:spacing w:val="-15"/>
          <w:w w:val="115"/>
        </w:rPr>
        <w:t> </w:t>
      </w:r>
      <w:r>
        <w:rPr>
          <w:w w:val="115"/>
        </w:rPr>
        <w:t>la</w:t>
      </w:r>
      <w:r>
        <w:rPr>
          <w:spacing w:val="-15"/>
          <w:w w:val="115"/>
        </w:rPr>
        <w:t> </w:t>
      </w:r>
      <w:r>
        <w:rPr>
          <w:w w:val="115"/>
        </w:rPr>
        <w:t>oposición</w:t>
      </w:r>
      <w:r>
        <w:rPr>
          <w:spacing w:val="-15"/>
          <w:w w:val="115"/>
        </w:rPr>
        <w:t> </w:t>
      </w:r>
      <w:r>
        <w:rPr>
          <w:w w:val="115"/>
        </w:rPr>
        <w:t>o</w:t>
      </w:r>
      <w:r>
        <w:rPr>
          <w:spacing w:val="-15"/>
          <w:w w:val="115"/>
        </w:rPr>
        <w:t> </w:t>
      </w:r>
      <w:r>
        <w:rPr>
          <w:w w:val="115"/>
        </w:rPr>
        <w:t>el</w:t>
      </w:r>
      <w:r>
        <w:rPr>
          <w:spacing w:val="-15"/>
          <w:w w:val="115"/>
        </w:rPr>
        <w:t> </w:t>
      </w:r>
      <w:r>
        <w:rPr>
          <w:w w:val="115"/>
        </w:rPr>
        <w:t>gobierno</w:t>
      </w:r>
      <w:r>
        <w:rPr>
          <w:spacing w:val="-15"/>
          <w:w w:val="115"/>
        </w:rPr>
        <w:t> </w:t>
      </w:r>
      <w:r>
        <w:rPr>
          <w:w w:val="115"/>
        </w:rPr>
        <w:t>de</w:t>
      </w:r>
      <w:r>
        <w:rPr>
          <w:spacing w:val="-15"/>
          <w:w w:val="115"/>
        </w:rPr>
        <w:t> </w:t>
      </w:r>
      <w:r>
        <w:rPr>
          <w:w w:val="115"/>
        </w:rPr>
        <w:t>Maduro</w:t>
      </w:r>
      <w:r>
        <w:rPr>
          <w:spacing w:val="-15"/>
          <w:w w:val="115"/>
        </w:rPr>
        <w:t> </w:t>
      </w:r>
      <w:r>
        <w:rPr>
          <w:w w:val="115"/>
        </w:rPr>
        <w:t>se</w:t>
      </w:r>
      <w:r>
        <w:rPr>
          <w:spacing w:val="-15"/>
          <w:w w:val="115"/>
        </w:rPr>
        <w:t> </w:t>
      </w:r>
      <w:r>
        <w:rPr>
          <w:w w:val="115"/>
        </w:rPr>
        <w:t>replieguen,</w:t>
      </w:r>
      <w:r>
        <w:rPr>
          <w:spacing w:val="-15"/>
          <w:w w:val="115"/>
        </w:rPr>
        <w:t> </w:t>
      </w:r>
      <w:r>
        <w:rPr>
          <w:w w:val="115"/>
        </w:rPr>
        <w:t>va a precipitarse hacia la catástrofe económica y democrática”. de</w:t>
      </w:r>
      <w:r>
        <w:rPr>
          <w:spacing w:val="-12"/>
          <w:w w:val="115"/>
        </w:rPr>
        <w:t> </w:t>
      </w:r>
      <w:r>
        <w:rPr>
          <w:w w:val="115"/>
        </w:rPr>
        <w:t>ma-</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8"/>
        <w:jc w:val="both"/>
      </w:pPr>
      <w:r>
        <w:rPr>
          <w:w w:val="110"/>
        </w:rPr>
        <w:t>nera coincidente, en ambas cámaras del Congreso de Estados unidos se presentaron sendos proyectos de ley elaborados por senadores o representantes de la derecha de los partidos demócrata y republicano dirigidas a imponer “diversas sanciones contra aquellos funcionarios del gobierno venezolano que hayan sido acusados de estar involucra- dos en los episodios de violencia” (</w:t>
      </w:r>
      <w:r>
        <w:rPr>
          <w:i/>
          <w:w w:val="110"/>
        </w:rPr>
        <w:t>Público</w:t>
      </w:r>
      <w:r>
        <w:rPr>
          <w:w w:val="110"/>
        </w:rPr>
        <w:t>, 2014).</w:t>
      </w:r>
    </w:p>
    <w:p>
      <w:pPr>
        <w:pStyle w:val="BodyText"/>
        <w:spacing w:line="252" w:lineRule="auto"/>
        <w:ind w:left="330" w:right="116" w:firstLine="396"/>
        <w:jc w:val="both"/>
      </w:pPr>
      <w:r>
        <w:rPr>
          <w:w w:val="110"/>
        </w:rPr>
        <w:t>aunque la aplicación de esas sanciones ha quedado en suspenso   a causa de la decisión de la Casa blanca de “congelar” su discusión     en el senado, sin dudas continuarán siendo una amenaza latente contra la revolución bolivariana. Mucho más porque, utilizando las dificultades que ha venido enfrentando y el futuro previsible, tendrá que afrontar la economía venezolana y en consuno con sus “aliados” de la Mud, la maquinaria de la política exterior y de seguridad de      los Estados unidos continuará respaldando diversas acciones (pú- blicas, encubiertas o secretas) dirigidas a lograr la revocación del actual presidente venezolano, Nicolás Maduro,  cuando  se  cumplan los plazos establecidos por la actual Constitución de la república bolivariana  de</w:t>
      </w:r>
      <w:r>
        <w:rPr>
          <w:spacing w:val="22"/>
          <w:w w:val="110"/>
        </w:rPr>
        <w:t> </w:t>
      </w:r>
      <w:r>
        <w:rPr>
          <w:w w:val="110"/>
        </w:rPr>
        <w:t>Venezuela.</w:t>
      </w:r>
    </w:p>
    <w:p>
      <w:pPr>
        <w:pStyle w:val="BodyText"/>
        <w:spacing w:line="252" w:lineRule="auto"/>
        <w:ind w:left="330" w:right="117" w:firstLine="396"/>
        <w:jc w:val="both"/>
      </w:pPr>
      <w:r>
        <w:rPr>
          <w:w w:val="110"/>
        </w:rPr>
        <w:t>sobre todo porque en diferentes sectores del sistema político, de la burocracia político-militar y de la “comunidad de inteligencia” es- tadounidense se ha venido arraigando la percepción de que la derrota de la revolución bolivariana contribuirá a contener o revertir la sos- tenida erosión del “liderazgo estadounidense” en el sur político del continente americano. Como han expresado sin tapujos diversos vo- ceros de “la derecha” estadounidense y de su congéneres venezolanos y cubano-americanos, la derrota de la revolución bolivariana signi- ficará un duro golpe para los otros procesos de cambios favorables a los intereses nacionales, populares, latinoamericanos y caribeños que </w:t>
      </w:r>
      <w:r>
        <w:rPr>
          <w:w w:val="108"/>
        </w:rPr>
        <w:t>en</w:t>
      </w:r>
      <w:r>
        <w:rPr/>
        <w:t> </w:t>
      </w:r>
      <w:r>
        <w:rPr>
          <w:w w:val="111"/>
        </w:rPr>
        <w:t>la</w:t>
      </w:r>
      <w:r>
        <w:rPr/>
        <w:t> </w:t>
      </w:r>
      <w:r>
        <w:rPr>
          <w:w w:val="111"/>
        </w:rPr>
        <w:t>actualidad</w:t>
      </w:r>
      <w:r>
        <w:rPr/>
        <w:t> </w:t>
      </w:r>
      <w:r>
        <w:rPr>
          <w:w w:val="105"/>
        </w:rPr>
        <w:t>se</w:t>
      </w:r>
      <w:r>
        <w:rPr/>
        <w:t> </w:t>
      </w:r>
      <w:r>
        <w:rPr>
          <w:w w:val="108"/>
        </w:rPr>
        <w:t>están</w:t>
      </w:r>
      <w:r>
        <w:rPr/>
        <w:t> </w:t>
      </w:r>
      <w:r>
        <w:rPr>
          <w:w w:val="108"/>
        </w:rPr>
        <w:t>desplegando</w:t>
      </w:r>
      <w:r>
        <w:rPr/>
        <w:t> </w:t>
      </w:r>
      <w:r>
        <w:rPr>
          <w:w w:val="108"/>
        </w:rPr>
        <w:t>en</w:t>
      </w:r>
      <w:r>
        <w:rPr/>
        <w:t> </w:t>
      </w:r>
      <w:r>
        <w:rPr>
          <w:w w:val="139"/>
        </w:rPr>
        <w:t>a</w:t>
      </w:r>
      <w:r>
        <w:rPr>
          <w:w w:val="111"/>
        </w:rPr>
        <w:t>mérica</w:t>
      </w:r>
      <w:r>
        <w:rPr/>
        <w:t> </w:t>
      </w:r>
      <w:r>
        <w:rPr>
          <w:w w:val="243"/>
        </w:rPr>
        <w:t>l</w:t>
      </w:r>
      <w:r>
        <w:rPr>
          <w:w w:val="111"/>
        </w:rPr>
        <w:t>atina</w:t>
      </w:r>
      <w:r>
        <w:rPr/>
        <w:t> </w:t>
      </w:r>
      <w:r>
        <w:rPr>
          <w:w w:val="105"/>
        </w:rPr>
        <w:t>y</w:t>
      </w:r>
      <w:r>
        <w:rPr/>
        <w:t> </w:t>
      </w:r>
      <w:r>
        <w:rPr>
          <w:w w:val="107"/>
        </w:rPr>
        <w:t>el</w:t>
      </w:r>
      <w:r>
        <w:rPr/>
        <w:t> </w:t>
      </w:r>
      <w:r>
        <w:rPr>
          <w:w w:val="114"/>
        </w:rPr>
        <w:t>Caribe,</w:t>
      </w:r>
      <w:r>
        <w:rPr/>
        <w:t> </w:t>
      </w:r>
      <w:r>
        <w:rPr>
          <w:w w:val="105"/>
        </w:rPr>
        <w:t>y </w:t>
      </w:r>
      <w:r>
        <w:rPr>
          <w:w w:val="110"/>
        </w:rPr>
        <w:t>en particular para la revolución   Cubana.</w:t>
      </w:r>
    </w:p>
    <w:p>
      <w:pPr>
        <w:pStyle w:val="BodyText"/>
        <w:spacing w:line="252" w:lineRule="auto"/>
        <w:ind w:left="330" w:right="117" w:firstLine="396"/>
        <w:jc w:val="both"/>
      </w:pPr>
      <w:r>
        <w:rPr>
          <w:w w:val="115"/>
        </w:rPr>
        <w:t>aunque públicamente el actual gobierno de los Estados unidos no se ha hecho eco de esas afirmaciones, no ha abandonado su</w:t>
      </w:r>
      <w:r>
        <w:rPr>
          <w:spacing w:val="-9"/>
          <w:w w:val="115"/>
        </w:rPr>
        <w:t> </w:t>
      </w:r>
      <w:r>
        <w:rPr>
          <w:w w:val="115"/>
        </w:rPr>
        <w:t>pro- pósito</w:t>
      </w:r>
      <w:r>
        <w:rPr>
          <w:spacing w:val="-14"/>
          <w:w w:val="115"/>
        </w:rPr>
        <w:t> </w:t>
      </w:r>
      <w:r>
        <w:rPr>
          <w:w w:val="115"/>
        </w:rPr>
        <w:t>de</w:t>
      </w:r>
      <w:r>
        <w:rPr>
          <w:spacing w:val="-14"/>
          <w:w w:val="115"/>
        </w:rPr>
        <w:t> </w:t>
      </w:r>
      <w:r>
        <w:rPr>
          <w:spacing w:val="-3"/>
          <w:w w:val="115"/>
        </w:rPr>
        <w:t>producir,</w:t>
      </w:r>
      <w:r>
        <w:rPr>
          <w:spacing w:val="-14"/>
          <w:w w:val="115"/>
        </w:rPr>
        <w:t> </w:t>
      </w:r>
      <w:r>
        <w:rPr>
          <w:w w:val="115"/>
        </w:rPr>
        <w:t>en</w:t>
      </w:r>
      <w:r>
        <w:rPr>
          <w:spacing w:val="-14"/>
          <w:w w:val="115"/>
        </w:rPr>
        <w:t> </w:t>
      </w:r>
      <w:r>
        <w:rPr>
          <w:w w:val="115"/>
        </w:rPr>
        <w:t>los</w:t>
      </w:r>
      <w:r>
        <w:rPr>
          <w:spacing w:val="-14"/>
          <w:w w:val="115"/>
        </w:rPr>
        <w:t> </w:t>
      </w:r>
      <w:r>
        <w:rPr>
          <w:w w:val="115"/>
        </w:rPr>
        <w:t>menores</w:t>
      </w:r>
      <w:r>
        <w:rPr>
          <w:spacing w:val="-14"/>
          <w:w w:val="115"/>
        </w:rPr>
        <w:t> </w:t>
      </w:r>
      <w:r>
        <w:rPr>
          <w:w w:val="115"/>
        </w:rPr>
        <w:t>plazos</w:t>
      </w:r>
      <w:r>
        <w:rPr>
          <w:spacing w:val="-14"/>
          <w:w w:val="115"/>
        </w:rPr>
        <w:t> </w:t>
      </w:r>
      <w:r>
        <w:rPr>
          <w:w w:val="115"/>
        </w:rPr>
        <w:t>posibles,</w:t>
      </w:r>
      <w:r>
        <w:rPr>
          <w:spacing w:val="-14"/>
          <w:w w:val="115"/>
        </w:rPr>
        <w:t> </w:t>
      </w:r>
      <w:r>
        <w:rPr>
          <w:w w:val="115"/>
        </w:rPr>
        <w:t>el</w:t>
      </w:r>
      <w:r>
        <w:rPr>
          <w:spacing w:val="-14"/>
          <w:w w:val="115"/>
        </w:rPr>
        <w:t> </w:t>
      </w:r>
      <w:r>
        <w:rPr>
          <w:w w:val="115"/>
        </w:rPr>
        <w:t>“cambio</w:t>
      </w:r>
      <w:r>
        <w:rPr>
          <w:spacing w:val="-14"/>
          <w:w w:val="115"/>
        </w:rPr>
        <w:t> </w:t>
      </w:r>
      <w:r>
        <w:rPr>
          <w:w w:val="115"/>
        </w:rPr>
        <w:t>del</w:t>
      </w:r>
      <w:r>
        <w:rPr>
          <w:spacing w:val="-14"/>
          <w:w w:val="115"/>
        </w:rPr>
        <w:t> </w:t>
      </w:r>
      <w:r>
        <w:rPr>
          <w:w w:val="115"/>
        </w:rPr>
        <w:t>ré- gimen”</w:t>
      </w:r>
      <w:r>
        <w:rPr>
          <w:spacing w:val="-7"/>
          <w:w w:val="115"/>
        </w:rPr>
        <w:t> </w:t>
      </w:r>
      <w:r>
        <w:rPr>
          <w:w w:val="115"/>
        </w:rPr>
        <w:t>cubano.</w:t>
      </w:r>
      <w:r>
        <w:rPr>
          <w:spacing w:val="-7"/>
          <w:w w:val="115"/>
        </w:rPr>
        <w:t> </w:t>
      </w:r>
      <w:r>
        <w:rPr>
          <w:w w:val="115"/>
        </w:rPr>
        <w:t>así</w:t>
      </w:r>
      <w:r>
        <w:rPr>
          <w:spacing w:val="-7"/>
          <w:w w:val="115"/>
        </w:rPr>
        <w:t> </w:t>
      </w:r>
      <w:r>
        <w:rPr>
          <w:w w:val="115"/>
        </w:rPr>
        <w:t>lo</w:t>
      </w:r>
      <w:r>
        <w:rPr>
          <w:spacing w:val="-7"/>
          <w:w w:val="115"/>
        </w:rPr>
        <w:t> </w:t>
      </w:r>
      <w:r>
        <w:rPr>
          <w:w w:val="115"/>
        </w:rPr>
        <w:t>indicó</w:t>
      </w:r>
      <w:r>
        <w:rPr>
          <w:spacing w:val="-7"/>
          <w:w w:val="115"/>
        </w:rPr>
        <w:t> </w:t>
      </w:r>
      <w:r>
        <w:rPr>
          <w:w w:val="115"/>
        </w:rPr>
        <w:t>el</w:t>
      </w:r>
      <w:r>
        <w:rPr>
          <w:spacing w:val="-7"/>
          <w:w w:val="115"/>
        </w:rPr>
        <w:t> </w:t>
      </w:r>
      <w:r>
        <w:rPr>
          <w:w w:val="115"/>
        </w:rPr>
        <w:t>secretario</w:t>
      </w:r>
      <w:r>
        <w:rPr>
          <w:spacing w:val="-7"/>
          <w:w w:val="115"/>
        </w:rPr>
        <w:t> </w:t>
      </w:r>
      <w:r>
        <w:rPr>
          <w:w w:val="115"/>
        </w:rPr>
        <w:t>de</w:t>
      </w:r>
      <w:r>
        <w:rPr>
          <w:spacing w:val="-7"/>
          <w:w w:val="115"/>
        </w:rPr>
        <w:t> </w:t>
      </w:r>
      <w:r>
        <w:rPr>
          <w:w w:val="115"/>
        </w:rPr>
        <w:t>Estado</w:t>
      </w:r>
      <w:r>
        <w:rPr>
          <w:spacing w:val="-7"/>
          <w:w w:val="115"/>
        </w:rPr>
        <w:t> </w:t>
      </w:r>
      <w:r>
        <w:rPr>
          <w:w w:val="115"/>
        </w:rPr>
        <w:t>John</w:t>
      </w:r>
      <w:r>
        <w:rPr>
          <w:spacing w:val="-7"/>
          <w:w w:val="115"/>
        </w:rPr>
        <w:t> </w:t>
      </w:r>
      <w:r>
        <w:rPr>
          <w:w w:val="115"/>
        </w:rPr>
        <w:t>Kerry</w:t>
      </w:r>
      <w:r>
        <w:rPr>
          <w:spacing w:val="-7"/>
          <w:w w:val="115"/>
        </w:rPr>
        <w:t> </w:t>
      </w:r>
      <w:r>
        <w:rPr>
          <w:w w:val="115"/>
        </w:rPr>
        <w:t>en</w:t>
      </w:r>
      <w:r>
        <w:rPr>
          <w:spacing w:val="-7"/>
          <w:w w:val="115"/>
        </w:rPr>
        <w:t> </w:t>
      </w:r>
      <w:r>
        <w:rPr>
          <w:w w:val="115"/>
        </w:rPr>
        <w:t>la referida conferencia que pronunció en la sede de la oEa a</w:t>
      </w:r>
      <w:r>
        <w:rPr>
          <w:spacing w:val="-26"/>
          <w:w w:val="115"/>
        </w:rPr>
        <w:t> </w:t>
      </w:r>
      <w:r>
        <w:rPr>
          <w:w w:val="115"/>
        </w:rPr>
        <w:t>mediados de</w:t>
      </w:r>
      <w:r>
        <w:rPr>
          <w:spacing w:val="-9"/>
          <w:w w:val="115"/>
        </w:rPr>
        <w:t> </w:t>
      </w:r>
      <w:r>
        <w:rPr>
          <w:w w:val="115"/>
        </w:rPr>
        <w:t>noviembre</w:t>
      </w:r>
      <w:r>
        <w:rPr>
          <w:spacing w:val="-9"/>
          <w:w w:val="115"/>
        </w:rPr>
        <w:t> </w:t>
      </w:r>
      <w:r>
        <w:rPr>
          <w:w w:val="115"/>
        </w:rPr>
        <w:t>de</w:t>
      </w:r>
      <w:r>
        <w:rPr>
          <w:spacing w:val="-9"/>
          <w:w w:val="115"/>
        </w:rPr>
        <w:t> </w:t>
      </w:r>
      <w:r>
        <w:rPr>
          <w:w w:val="115"/>
        </w:rPr>
        <w:t>2013.</w:t>
      </w:r>
      <w:r>
        <w:rPr>
          <w:spacing w:val="-9"/>
          <w:w w:val="115"/>
        </w:rPr>
        <w:t> </w:t>
      </w:r>
      <w:r>
        <w:rPr>
          <w:w w:val="115"/>
        </w:rPr>
        <w:t>En</w:t>
      </w:r>
      <w:r>
        <w:rPr>
          <w:spacing w:val="-9"/>
          <w:w w:val="115"/>
        </w:rPr>
        <w:t> </w:t>
      </w:r>
      <w:r>
        <w:rPr>
          <w:w w:val="115"/>
        </w:rPr>
        <w:t>esa</w:t>
      </w:r>
      <w:r>
        <w:rPr>
          <w:spacing w:val="-9"/>
          <w:w w:val="115"/>
        </w:rPr>
        <w:t> </w:t>
      </w:r>
      <w:r>
        <w:rPr>
          <w:w w:val="115"/>
        </w:rPr>
        <w:t>ocasión</w:t>
      </w:r>
      <w:r>
        <w:rPr>
          <w:spacing w:val="-9"/>
          <w:w w:val="115"/>
        </w:rPr>
        <w:t> </w:t>
      </w:r>
      <w:r>
        <w:rPr>
          <w:w w:val="115"/>
        </w:rPr>
        <w:t>señaló,</w:t>
      </w:r>
      <w:r>
        <w:rPr>
          <w:spacing w:val="-9"/>
          <w:w w:val="115"/>
        </w:rPr>
        <w:t> </w:t>
      </w:r>
      <w:r>
        <w:rPr>
          <w:w w:val="115"/>
        </w:rPr>
        <w:t>entre</w:t>
      </w:r>
      <w:r>
        <w:rPr>
          <w:spacing w:val="-9"/>
          <w:w w:val="115"/>
        </w:rPr>
        <w:t> </w:t>
      </w:r>
      <w:r>
        <w:rPr>
          <w:w w:val="115"/>
        </w:rPr>
        <w:t>otras</w:t>
      </w:r>
      <w:r>
        <w:rPr>
          <w:spacing w:val="-9"/>
          <w:w w:val="115"/>
        </w:rPr>
        <w:t> </w:t>
      </w:r>
      <w:r>
        <w:rPr>
          <w:w w:val="115"/>
        </w:rPr>
        <w:t>cosas,</w:t>
      </w:r>
      <w:r>
        <w:rPr>
          <w:spacing w:val="-9"/>
          <w:w w:val="115"/>
        </w:rPr>
        <w:t> </w:t>
      </w:r>
      <w:r>
        <w:rPr>
          <w:w w:val="115"/>
        </w:rPr>
        <w:t>que Cuba</w:t>
      </w:r>
      <w:r>
        <w:rPr>
          <w:spacing w:val="-17"/>
          <w:w w:val="115"/>
        </w:rPr>
        <w:t> </w:t>
      </w:r>
      <w:r>
        <w:rPr>
          <w:w w:val="115"/>
        </w:rPr>
        <w:t>era</w:t>
      </w:r>
      <w:r>
        <w:rPr>
          <w:spacing w:val="-17"/>
          <w:w w:val="115"/>
        </w:rPr>
        <w:t> </w:t>
      </w:r>
      <w:r>
        <w:rPr>
          <w:w w:val="115"/>
        </w:rPr>
        <w:t>“la</w:t>
      </w:r>
      <w:r>
        <w:rPr>
          <w:spacing w:val="-17"/>
          <w:w w:val="115"/>
        </w:rPr>
        <w:t> </w:t>
      </w:r>
      <w:r>
        <w:rPr>
          <w:w w:val="115"/>
        </w:rPr>
        <w:t>única</w:t>
      </w:r>
      <w:r>
        <w:rPr>
          <w:spacing w:val="-17"/>
          <w:w w:val="115"/>
        </w:rPr>
        <w:t> </w:t>
      </w:r>
      <w:r>
        <w:rPr>
          <w:w w:val="115"/>
        </w:rPr>
        <w:t>excepción”</w:t>
      </w:r>
      <w:r>
        <w:rPr>
          <w:spacing w:val="-17"/>
          <w:w w:val="115"/>
        </w:rPr>
        <w:t> </w:t>
      </w:r>
      <w:r>
        <w:rPr>
          <w:w w:val="115"/>
        </w:rPr>
        <w:t>entre</w:t>
      </w:r>
      <w:r>
        <w:rPr>
          <w:spacing w:val="-17"/>
          <w:w w:val="115"/>
        </w:rPr>
        <w:t> </w:t>
      </w:r>
      <w:r>
        <w:rPr>
          <w:w w:val="115"/>
        </w:rPr>
        <w:t>todos</w:t>
      </w:r>
      <w:r>
        <w:rPr>
          <w:spacing w:val="-17"/>
          <w:w w:val="115"/>
        </w:rPr>
        <w:t> </w:t>
      </w:r>
      <w:r>
        <w:rPr>
          <w:w w:val="115"/>
        </w:rPr>
        <w:t>los</w:t>
      </w:r>
      <w:r>
        <w:rPr>
          <w:spacing w:val="-17"/>
          <w:w w:val="115"/>
        </w:rPr>
        <w:t> </w:t>
      </w:r>
      <w:r>
        <w:rPr>
          <w:w w:val="115"/>
        </w:rPr>
        <w:t>Estados</w:t>
      </w:r>
      <w:r>
        <w:rPr>
          <w:spacing w:val="-17"/>
          <w:w w:val="115"/>
        </w:rPr>
        <w:t> </w:t>
      </w:r>
      <w:r>
        <w:rPr>
          <w:w w:val="115"/>
        </w:rPr>
        <w:t>y</w:t>
      </w:r>
      <w:r>
        <w:rPr>
          <w:spacing w:val="-17"/>
          <w:w w:val="115"/>
        </w:rPr>
        <w:t> </w:t>
      </w:r>
      <w:r>
        <w:rPr>
          <w:w w:val="115"/>
        </w:rPr>
        <w:t>gobiernos</w:t>
      </w:r>
      <w:r>
        <w:rPr>
          <w:spacing w:val="-17"/>
          <w:w w:val="115"/>
        </w:rPr>
        <w:t> </w:t>
      </w:r>
      <w:r>
        <w:rPr>
          <w:w w:val="115"/>
        </w:rPr>
        <w:t>del hemisferio</w:t>
      </w:r>
      <w:r>
        <w:rPr>
          <w:spacing w:val="-15"/>
          <w:w w:val="115"/>
        </w:rPr>
        <w:t> </w:t>
      </w:r>
      <w:r>
        <w:rPr>
          <w:w w:val="115"/>
        </w:rPr>
        <w:t>occidental</w:t>
      </w:r>
      <w:r>
        <w:rPr>
          <w:spacing w:val="-15"/>
          <w:w w:val="115"/>
        </w:rPr>
        <w:t> </w:t>
      </w:r>
      <w:r>
        <w:rPr>
          <w:w w:val="115"/>
        </w:rPr>
        <w:t>que</w:t>
      </w:r>
      <w:r>
        <w:rPr>
          <w:spacing w:val="-15"/>
          <w:w w:val="115"/>
        </w:rPr>
        <w:t> </w:t>
      </w:r>
      <w:r>
        <w:rPr>
          <w:w w:val="115"/>
        </w:rPr>
        <w:t>estaban</w:t>
      </w:r>
      <w:r>
        <w:rPr>
          <w:spacing w:val="-15"/>
          <w:w w:val="115"/>
        </w:rPr>
        <w:t> </w:t>
      </w:r>
      <w:r>
        <w:rPr>
          <w:w w:val="115"/>
        </w:rPr>
        <w:t>comprometidos</w:t>
      </w:r>
      <w:r>
        <w:rPr>
          <w:spacing w:val="-15"/>
          <w:w w:val="115"/>
        </w:rPr>
        <w:t> </w:t>
      </w:r>
      <w:r>
        <w:rPr>
          <w:w w:val="115"/>
        </w:rPr>
        <w:t>con</w:t>
      </w:r>
      <w:r>
        <w:rPr>
          <w:spacing w:val="-15"/>
          <w:w w:val="115"/>
        </w:rPr>
        <w:t> </w:t>
      </w:r>
      <w:r>
        <w:rPr>
          <w:w w:val="115"/>
        </w:rPr>
        <w:t>“la</w:t>
      </w:r>
      <w:r>
        <w:rPr>
          <w:spacing w:val="-15"/>
          <w:w w:val="115"/>
        </w:rPr>
        <w:t> </w:t>
      </w:r>
      <w:r>
        <w:rPr>
          <w:w w:val="115"/>
        </w:rPr>
        <w:t>búsqueda de</w:t>
      </w:r>
      <w:r>
        <w:rPr>
          <w:spacing w:val="-29"/>
          <w:w w:val="115"/>
        </w:rPr>
        <w:t> </w:t>
      </w:r>
      <w:r>
        <w:rPr>
          <w:w w:val="115"/>
        </w:rPr>
        <w:t>exitosas</w:t>
      </w:r>
      <w:r>
        <w:rPr>
          <w:spacing w:val="-29"/>
          <w:w w:val="115"/>
        </w:rPr>
        <w:t> </w:t>
      </w:r>
      <w:r>
        <w:rPr>
          <w:w w:val="115"/>
        </w:rPr>
        <w:t>democracias”.</w:t>
      </w:r>
      <w:r>
        <w:rPr>
          <w:spacing w:val="-29"/>
          <w:w w:val="115"/>
        </w:rPr>
        <w:t> </w:t>
      </w:r>
      <w:r>
        <w:rPr>
          <w:spacing w:val="-13"/>
          <w:w w:val="115"/>
        </w:rPr>
        <w:t>Y,</w:t>
      </w:r>
      <w:r>
        <w:rPr>
          <w:spacing w:val="-29"/>
          <w:w w:val="115"/>
        </w:rPr>
        <w:t> </w:t>
      </w:r>
      <w:r>
        <w:rPr>
          <w:w w:val="115"/>
        </w:rPr>
        <w:t>desconociendo</w:t>
      </w:r>
      <w:r>
        <w:rPr>
          <w:spacing w:val="-29"/>
          <w:w w:val="115"/>
        </w:rPr>
        <w:t> </w:t>
      </w:r>
      <w:r>
        <w:rPr>
          <w:w w:val="115"/>
        </w:rPr>
        <w:t>las</w:t>
      </w:r>
      <w:r>
        <w:rPr>
          <w:spacing w:val="-29"/>
          <w:w w:val="115"/>
        </w:rPr>
        <w:t> </w:t>
      </w:r>
      <w:r>
        <w:rPr>
          <w:w w:val="115"/>
        </w:rPr>
        <w:t>multifacéticas</w:t>
      </w:r>
      <w:r>
        <w:rPr>
          <w:spacing w:val="-29"/>
          <w:w w:val="115"/>
        </w:rPr>
        <w:t> </w:t>
      </w:r>
      <w:r>
        <w:rPr>
          <w:w w:val="115"/>
        </w:rPr>
        <w:t>relacio- nes</w:t>
      </w:r>
      <w:r>
        <w:rPr>
          <w:spacing w:val="-29"/>
          <w:w w:val="115"/>
        </w:rPr>
        <w:t> </w:t>
      </w:r>
      <w:r>
        <w:rPr>
          <w:w w:val="115"/>
        </w:rPr>
        <w:t>bilaterales</w:t>
      </w:r>
      <w:r>
        <w:rPr>
          <w:spacing w:val="-29"/>
          <w:w w:val="115"/>
        </w:rPr>
        <w:t> </w:t>
      </w:r>
      <w:r>
        <w:rPr>
          <w:w w:val="115"/>
        </w:rPr>
        <w:t>o</w:t>
      </w:r>
      <w:r>
        <w:rPr>
          <w:spacing w:val="-29"/>
          <w:w w:val="115"/>
        </w:rPr>
        <w:t> </w:t>
      </w:r>
      <w:r>
        <w:rPr>
          <w:w w:val="115"/>
        </w:rPr>
        <w:t>multilaterales</w:t>
      </w:r>
      <w:r>
        <w:rPr>
          <w:spacing w:val="-29"/>
          <w:w w:val="115"/>
        </w:rPr>
        <w:t> </w:t>
      </w:r>
      <w:r>
        <w:rPr>
          <w:w w:val="115"/>
        </w:rPr>
        <w:t>que</w:t>
      </w:r>
      <w:r>
        <w:rPr>
          <w:spacing w:val="-29"/>
          <w:w w:val="115"/>
        </w:rPr>
        <w:t> </w:t>
      </w:r>
      <w:r>
        <w:rPr>
          <w:w w:val="115"/>
        </w:rPr>
        <w:t>se</w:t>
      </w:r>
      <w:r>
        <w:rPr>
          <w:spacing w:val="-29"/>
          <w:w w:val="115"/>
        </w:rPr>
        <w:t> </w:t>
      </w:r>
      <w:r>
        <w:rPr>
          <w:w w:val="115"/>
        </w:rPr>
        <w:t>han</w:t>
      </w:r>
      <w:r>
        <w:rPr>
          <w:spacing w:val="-29"/>
          <w:w w:val="115"/>
        </w:rPr>
        <w:t> </w:t>
      </w:r>
      <w:r>
        <w:rPr>
          <w:w w:val="115"/>
        </w:rPr>
        <w:t>venido</w:t>
      </w:r>
      <w:r>
        <w:rPr>
          <w:spacing w:val="-29"/>
          <w:w w:val="115"/>
        </w:rPr>
        <w:t> </w:t>
      </w:r>
      <w:r>
        <w:rPr>
          <w:w w:val="115"/>
        </w:rPr>
        <w:t>desarrollando</w:t>
      </w:r>
      <w:r>
        <w:rPr>
          <w:spacing w:val="-29"/>
          <w:w w:val="115"/>
        </w:rPr>
        <w:t> </w:t>
      </w:r>
      <w:r>
        <w:rPr>
          <w:w w:val="115"/>
        </w:rPr>
        <w:t>entre el</w:t>
      </w:r>
      <w:r>
        <w:rPr>
          <w:spacing w:val="-9"/>
          <w:w w:val="115"/>
        </w:rPr>
        <w:t> </w:t>
      </w:r>
      <w:r>
        <w:rPr>
          <w:w w:val="115"/>
        </w:rPr>
        <w:t>gobierno</w:t>
      </w:r>
      <w:r>
        <w:rPr>
          <w:spacing w:val="-9"/>
          <w:w w:val="115"/>
        </w:rPr>
        <w:t> </w:t>
      </w:r>
      <w:r>
        <w:rPr>
          <w:w w:val="115"/>
        </w:rPr>
        <w:t>cubano</w:t>
      </w:r>
      <w:r>
        <w:rPr>
          <w:spacing w:val="-9"/>
          <w:w w:val="115"/>
        </w:rPr>
        <w:t> </w:t>
      </w:r>
      <w:r>
        <w:rPr>
          <w:w w:val="115"/>
        </w:rPr>
        <w:t>y</w:t>
      </w:r>
      <w:r>
        <w:rPr>
          <w:spacing w:val="-9"/>
          <w:w w:val="115"/>
        </w:rPr>
        <w:t> </w:t>
      </w:r>
      <w:r>
        <w:rPr>
          <w:w w:val="115"/>
        </w:rPr>
        <w:t>la</w:t>
      </w:r>
      <w:r>
        <w:rPr>
          <w:spacing w:val="-9"/>
          <w:w w:val="115"/>
        </w:rPr>
        <w:t> </w:t>
      </w:r>
      <w:r>
        <w:rPr>
          <w:w w:val="115"/>
        </w:rPr>
        <w:t>absoluta</w:t>
      </w:r>
      <w:r>
        <w:rPr>
          <w:spacing w:val="-9"/>
          <w:w w:val="115"/>
        </w:rPr>
        <w:t> </w:t>
      </w:r>
      <w:r>
        <w:rPr>
          <w:w w:val="115"/>
        </w:rPr>
        <w:t>mayoría</w:t>
      </w:r>
      <w:r>
        <w:rPr>
          <w:spacing w:val="-9"/>
          <w:w w:val="115"/>
        </w:rPr>
        <w:t> </w:t>
      </w:r>
      <w:r>
        <w:rPr>
          <w:w w:val="115"/>
        </w:rPr>
        <w:t>de</w:t>
      </w:r>
      <w:r>
        <w:rPr>
          <w:spacing w:val="-9"/>
          <w:w w:val="115"/>
        </w:rPr>
        <w:t> </w:t>
      </w:r>
      <w:r>
        <w:rPr>
          <w:w w:val="115"/>
        </w:rPr>
        <w:t>los</w:t>
      </w:r>
      <w:r>
        <w:rPr>
          <w:spacing w:val="-9"/>
          <w:w w:val="115"/>
        </w:rPr>
        <w:t> </w:t>
      </w:r>
      <w:r>
        <w:rPr>
          <w:w w:val="115"/>
        </w:rPr>
        <w:t>demás</w:t>
      </w:r>
      <w:r>
        <w:rPr>
          <w:spacing w:val="-9"/>
          <w:w w:val="115"/>
        </w:rPr>
        <w:t> </w:t>
      </w:r>
      <w:r>
        <w:rPr>
          <w:w w:val="115"/>
        </w:rPr>
        <w:t>gobiernos</w:t>
      </w:r>
      <w:r>
        <w:rPr>
          <w:spacing w:val="-9"/>
          <w:w w:val="115"/>
        </w:rPr>
        <w:t> </w:t>
      </w:r>
      <w:r>
        <w:rPr>
          <w:w w:val="115"/>
        </w:rPr>
        <w:t>de </w:t>
      </w:r>
      <w:r>
        <w:rPr>
          <w:w w:val="139"/>
        </w:rPr>
        <w:t>a</w:t>
      </w:r>
      <w:r>
        <w:rPr>
          <w:w w:val="111"/>
        </w:rPr>
        <w:t>mérica</w:t>
      </w:r>
      <w:r>
        <w:rPr/>
        <w:t> </w:t>
      </w:r>
      <w:r>
        <w:rPr>
          <w:spacing w:val="-12"/>
        </w:rPr>
        <w:t> </w:t>
      </w:r>
      <w:r>
        <w:rPr>
          <w:w w:val="243"/>
        </w:rPr>
        <w:t>l</w:t>
      </w:r>
      <w:r>
        <w:rPr>
          <w:w w:val="111"/>
        </w:rPr>
        <w:t>atina</w:t>
      </w:r>
      <w:r>
        <w:rPr/>
        <w:t> </w:t>
      </w:r>
      <w:r>
        <w:rPr>
          <w:spacing w:val="-12"/>
        </w:rPr>
        <w:t> </w:t>
      </w:r>
      <w:r>
        <w:rPr>
          <w:w w:val="105"/>
        </w:rPr>
        <w:t>y</w:t>
      </w:r>
      <w:r>
        <w:rPr/>
        <w:t> </w:t>
      </w:r>
      <w:r>
        <w:rPr>
          <w:spacing w:val="-12"/>
        </w:rPr>
        <w:t> </w:t>
      </w:r>
      <w:r>
        <w:rPr>
          <w:w w:val="107"/>
        </w:rPr>
        <w:t>el</w:t>
      </w:r>
      <w:r>
        <w:rPr/>
        <w:t> </w:t>
      </w:r>
      <w:r>
        <w:rPr>
          <w:spacing w:val="-12"/>
        </w:rPr>
        <w:t> </w:t>
      </w:r>
      <w:r>
        <w:rPr>
          <w:w w:val="114"/>
        </w:rPr>
        <w:t>Caribe,</w:t>
      </w:r>
      <w:r>
        <w:rPr/>
        <w:t> </w:t>
      </w:r>
      <w:r>
        <w:rPr>
          <w:spacing w:val="-12"/>
        </w:rPr>
        <w:t> </w:t>
      </w:r>
      <w:r>
        <w:rPr>
          <w:w w:val="111"/>
        </w:rPr>
        <w:t>al</w:t>
      </w:r>
      <w:r>
        <w:rPr/>
        <w:t> </w:t>
      </w:r>
      <w:r>
        <w:rPr>
          <w:spacing w:val="-12"/>
        </w:rPr>
        <w:t> </w:t>
      </w:r>
      <w:r>
        <w:rPr>
          <w:w w:val="112"/>
        </w:rPr>
        <w:t>igual</w:t>
      </w:r>
      <w:r>
        <w:rPr/>
        <w:t> </w:t>
      </w:r>
      <w:r>
        <w:rPr>
          <w:spacing w:val="-12"/>
        </w:rPr>
        <w:t> </w:t>
      </w:r>
      <w:r>
        <w:rPr>
          <w:w w:val="108"/>
        </w:rPr>
        <w:t>que</w:t>
      </w:r>
      <w:r>
        <w:rPr/>
        <w:t> </w:t>
      </w:r>
      <w:r>
        <w:rPr>
          <w:spacing w:val="-12"/>
        </w:rPr>
        <w:t> </w:t>
      </w:r>
      <w:r>
        <w:rPr>
          <w:w w:val="109"/>
        </w:rPr>
        <w:t>las</w:t>
      </w:r>
      <w:r>
        <w:rPr/>
        <w:t> </w:t>
      </w:r>
      <w:r>
        <w:rPr>
          <w:spacing w:val="-12"/>
        </w:rPr>
        <w:t> </w:t>
      </w:r>
      <w:r>
        <w:rPr>
          <w:w w:val="107"/>
        </w:rPr>
        <w:t>reiteradas</w:t>
      </w:r>
      <w:r>
        <w:rPr/>
        <w:t> </w:t>
      </w:r>
      <w:r>
        <w:rPr>
          <w:spacing w:val="-12"/>
        </w:rPr>
        <w:t> </w:t>
      </w:r>
      <w:r>
        <w:rPr>
          <w:w w:val="110"/>
        </w:rPr>
        <w:t>demandas</w:t>
      </w:r>
      <w:r>
        <w:rPr/>
        <w:t> </w:t>
      </w:r>
      <w:r>
        <w:rPr>
          <w:spacing w:val="-12"/>
        </w:rPr>
        <w:t> </w:t>
      </w:r>
      <w:r>
        <w:rPr>
          <w:w w:val="107"/>
        </w:rPr>
        <w:t>de </w:t>
      </w:r>
      <w:r>
        <w:rPr>
          <w:w w:val="115"/>
        </w:rPr>
        <w:t>esos</w:t>
      </w:r>
      <w:r>
        <w:rPr>
          <w:spacing w:val="-27"/>
          <w:w w:val="115"/>
        </w:rPr>
        <w:t> </w:t>
      </w:r>
      <w:r>
        <w:rPr>
          <w:w w:val="115"/>
        </w:rPr>
        <w:t>gobiernos</w:t>
      </w:r>
      <w:r>
        <w:rPr>
          <w:spacing w:val="-27"/>
          <w:w w:val="115"/>
        </w:rPr>
        <w:t> </w:t>
      </w:r>
      <w:r>
        <w:rPr>
          <w:w w:val="115"/>
        </w:rPr>
        <w:t>de</w:t>
      </w:r>
      <w:r>
        <w:rPr>
          <w:spacing w:val="-27"/>
          <w:w w:val="115"/>
        </w:rPr>
        <w:t> </w:t>
      </w:r>
      <w:r>
        <w:rPr>
          <w:w w:val="115"/>
        </w:rPr>
        <w:t>que</w:t>
      </w:r>
      <w:r>
        <w:rPr>
          <w:spacing w:val="-27"/>
          <w:w w:val="115"/>
        </w:rPr>
        <w:t> </w:t>
      </w:r>
      <w:r>
        <w:rPr>
          <w:w w:val="115"/>
        </w:rPr>
        <w:t>la</w:t>
      </w:r>
      <w:r>
        <w:rPr>
          <w:spacing w:val="-27"/>
          <w:w w:val="115"/>
        </w:rPr>
        <w:t> </w:t>
      </w:r>
      <w:r>
        <w:rPr>
          <w:w w:val="115"/>
        </w:rPr>
        <w:t>actual</w:t>
      </w:r>
      <w:r>
        <w:rPr>
          <w:spacing w:val="-27"/>
          <w:w w:val="115"/>
        </w:rPr>
        <w:t> </w:t>
      </w:r>
      <w:r>
        <w:rPr>
          <w:w w:val="115"/>
        </w:rPr>
        <w:t>administración</w:t>
      </w:r>
      <w:r>
        <w:rPr>
          <w:spacing w:val="-27"/>
          <w:w w:val="115"/>
        </w:rPr>
        <w:t> </w:t>
      </w:r>
      <w:r>
        <w:rPr>
          <w:w w:val="115"/>
        </w:rPr>
        <w:t>estadounidense</w:t>
      </w:r>
      <w:r>
        <w:rPr>
          <w:spacing w:val="-27"/>
          <w:w w:val="115"/>
        </w:rPr>
        <w:t> </w:t>
      </w:r>
      <w:r>
        <w:rPr>
          <w:w w:val="115"/>
        </w:rPr>
        <w:t>aban-</w:t>
      </w:r>
    </w:p>
    <w:p>
      <w:pPr>
        <w:spacing w:after="0" w:line="252" w:lineRule="auto"/>
        <w:jc w:val="both"/>
        <w:sectPr>
          <w:footerReference w:type="even" r:id="rId475"/>
          <w:footerReference w:type="default" r:id="rId476"/>
          <w:pgSz w:w="8790" w:h="12760"/>
          <w:pgMar w:footer="725" w:header="695" w:top="880" w:bottom="920" w:left="1200" w:right="900"/>
          <w:pgNumType w:start="372"/>
        </w:sectPr>
      </w:pPr>
    </w:p>
    <w:p>
      <w:pPr>
        <w:pStyle w:val="BodyText"/>
        <w:spacing w:before="9"/>
        <w:rPr>
          <w:sz w:val="28"/>
        </w:rPr>
      </w:pPr>
    </w:p>
    <w:p>
      <w:pPr>
        <w:pStyle w:val="BodyText"/>
        <w:spacing w:line="252" w:lineRule="auto" w:before="73"/>
        <w:ind w:left="100" w:right="114"/>
      </w:pPr>
      <w:r>
        <w:rPr>
          <w:w w:val="110"/>
        </w:rPr>
        <w:t>done, al menos, sus políticas más agresivas contra el pueblo y el go- bierno cubanos, agregó:</w:t>
      </w:r>
    </w:p>
    <w:p>
      <w:pPr>
        <w:pStyle w:val="BodyText"/>
        <w:spacing w:before="11"/>
        <w:rPr>
          <w:sz w:val="18"/>
        </w:rPr>
      </w:pPr>
    </w:p>
    <w:p>
      <w:pPr>
        <w:spacing w:before="0"/>
        <w:ind w:left="497" w:right="328" w:firstLine="0"/>
        <w:jc w:val="both"/>
        <w:rPr>
          <w:sz w:val="18"/>
        </w:rPr>
      </w:pPr>
      <w:r>
        <w:rPr>
          <w:w w:val="110"/>
          <w:sz w:val="18"/>
        </w:rPr>
        <w:t>Miramos el día –y tenemos la esperanza que vendrá pronto– cuando el</w:t>
      </w:r>
      <w:r>
        <w:rPr>
          <w:spacing w:val="-4"/>
          <w:w w:val="110"/>
          <w:sz w:val="18"/>
        </w:rPr>
        <w:t> </w:t>
      </w:r>
      <w:r>
        <w:rPr>
          <w:w w:val="110"/>
          <w:sz w:val="18"/>
        </w:rPr>
        <w:t>gobierno</w:t>
      </w:r>
      <w:r>
        <w:rPr>
          <w:spacing w:val="-4"/>
          <w:w w:val="110"/>
          <w:sz w:val="18"/>
        </w:rPr>
        <w:t> </w:t>
      </w:r>
      <w:r>
        <w:rPr>
          <w:w w:val="110"/>
          <w:sz w:val="18"/>
        </w:rPr>
        <w:t>cubano</w:t>
      </w:r>
      <w:r>
        <w:rPr>
          <w:spacing w:val="-4"/>
          <w:w w:val="110"/>
          <w:sz w:val="18"/>
        </w:rPr>
        <w:t> </w:t>
      </w:r>
      <w:r>
        <w:rPr>
          <w:w w:val="110"/>
          <w:sz w:val="18"/>
        </w:rPr>
        <w:t>abra</w:t>
      </w:r>
      <w:r>
        <w:rPr>
          <w:spacing w:val="-4"/>
          <w:w w:val="110"/>
          <w:sz w:val="18"/>
        </w:rPr>
        <w:t> </w:t>
      </w:r>
      <w:r>
        <w:rPr>
          <w:w w:val="110"/>
          <w:sz w:val="18"/>
        </w:rPr>
        <w:t>una</w:t>
      </w:r>
      <w:r>
        <w:rPr>
          <w:spacing w:val="-4"/>
          <w:w w:val="110"/>
          <w:sz w:val="18"/>
        </w:rPr>
        <w:t> </w:t>
      </w:r>
      <w:r>
        <w:rPr>
          <w:w w:val="110"/>
          <w:sz w:val="18"/>
        </w:rPr>
        <w:t>amplia</w:t>
      </w:r>
      <w:r>
        <w:rPr>
          <w:spacing w:val="-4"/>
          <w:w w:val="110"/>
          <w:sz w:val="18"/>
        </w:rPr>
        <w:t> </w:t>
      </w:r>
      <w:r>
        <w:rPr>
          <w:w w:val="110"/>
          <w:sz w:val="18"/>
        </w:rPr>
        <w:t>agenda</w:t>
      </w:r>
      <w:r>
        <w:rPr>
          <w:spacing w:val="-4"/>
          <w:w w:val="110"/>
          <w:sz w:val="18"/>
        </w:rPr>
        <w:t> </w:t>
      </w:r>
      <w:r>
        <w:rPr>
          <w:w w:val="110"/>
          <w:sz w:val="18"/>
        </w:rPr>
        <w:t>de</w:t>
      </w:r>
      <w:r>
        <w:rPr>
          <w:spacing w:val="-4"/>
          <w:w w:val="110"/>
          <w:sz w:val="18"/>
        </w:rPr>
        <w:t> </w:t>
      </w:r>
      <w:r>
        <w:rPr>
          <w:w w:val="110"/>
          <w:sz w:val="18"/>
        </w:rPr>
        <w:t>reforma</w:t>
      </w:r>
      <w:r>
        <w:rPr>
          <w:spacing w:val="-4"/>
          <w:w w:val="110"/>
          <w:sz w:val="18"/>
        </w:rPr>
        <w:t> </w:t>
      </w:r>
      <w:r>
        <w:rPr>
          <w:w w:val="110"/>
          <w:sz w:val="18"/>
        </w:rPr>
        <w:t>política</w:t>
      </w:r>
      <w:r>
        <w:rPr>
          <w:spacing w:val="-4"/>
          <w:w w:val="110"/>
          <w:sz w:val="18"/>
        </w:rPr>
        <w:t> </w:t>
      </w:r>
      <w:r>
        <w:rPr>
          <w:w w:val="110"/>
          <w:sz w:val="18"/>
        </w:rPr>
        <w:t>que</w:t>
      </w:r>
      <w:r>
        <w:rPr>
          <w:spacing w:val="-4"/>
          <w:w w:val="110"/>
          <w:sz w:val="18"/>
        </w:rPr>
        <w:t> </w:t>
      </w:r>
      <w:r>
        <w:rPr>
          <w:w w:val="110"/>
          <w:sz w:val="18"/>
        </w:rPr>
        <w:t>le permita</w:t>
      </w:r>
      <w:r>
        <w:rPr>
          <w:spacing w:val="-12"/>
          <w:w w:val="110"/>
          <w:sz w:val="18"/>
        </w:rPr>
        <w:t> </w:t>
      </w:r>
      <w:r>
        <w:rPr>
          <w:w w:val="110"/>
          <w:sz w:val="18"/>
        </w:rPr>
        <w:t>a</w:t>
      </w:r>
      <w:r>
        <w:rPr>
          <w:spacing w:val="-12"/>
          <w:w w:val="110"/>
          <w:sz w:val="18"/>
        </w:rPr>
        <w:t> </w:t>
      </w:r>
      <w:r>
        <w:rPr>
          <w:w w:val="110"/>
          <w:sz w:val="18"/>
        </w:rPr>
        <w:t>su</w:t>
      </w:r>
      <w:r>
        <w:rPr>
          <w:spacing w:val="-12"/>
          <w:w w:val="110"/>
          <w:sz w:val="18"/>
        </w:rPr>
        <w:t> </w:t>
      </w:r>
      <w:r>
        <w:rPr>
          <w:w w:val="110"/>
          <w:sz w:val="18"/>
        </w:rPr>
        <w:t>pueblo</w:t>
      </w:r>
      <w:r>
        <w:rPr>
          <w:spacing w:val="-12"/>
          <w:w w:val="110"/>
          <w:sz w:val="18"/>
        </w:rPr>
        <w:t> </w:t>
      </w:r>
      <w:r>
        <w:rPr>
          <w:w w:val="110"/>
          <w:sz w:val="18"/>
        </w:rPr>
        <w:t>determinar</w:t>
      </w:r>
      <w:r>
        <w:rPr>
          <w:spacing w:val="-12"/>
          <w:w w:val="110"/>
          <w:sz w:val="18"/>
        </w:rPr>
        <w:t> </w:t>
      </w:r>
      <w:r>
        <w:rPr>
          <w:w w:val="110"/>
          <w:sz w:val="18"/>
        </w:rPr>
        <w:t>libremente</w:t>
      </w:r>
      <w:r>
        <w:rPr>
          <w:spacing w:val="-12"/>
          <w:w w:val="110"/>
          <w:sz w:val="18"/>
        </w:rPr>
        <w:t> </w:t>
      </w:r>
      <w:r>
        <w:rPr>
          <w:w w:val="110"/>
          <w:sz w:val="18"/>
        </w:rPr>
        <w:t>su</w:t>
      </w:r>
      <w:r>
        <w:rPr>
          <w:spacing w:val="-12"/>
          <w:w w:val="110"/>
          <w:sz w:val="18"/>
        </w:rPr>
        <w:t> </w:t>
      </w:r>
      <w:r>
        <w:rPr>
          <w:w w:val="110"/>
          <w:sz w:val="18"/>
        </w:rPr>
        <w:t>propio</w:t>
      </w:r>
      <w:r>
        <w:rPr>
          <w:spacing w:val="-12"/>
          <w:w w:val="110"/>
          <w:sz w:val="18"/>
        </w:rPr>
        <w:t> </w:t>
      </w:r>
      <w:r>
        <w:rPr>
          <w:w w:val="110"/>
          <w:sz w:val="18"/>
        </w:rPr>
        <w:t>futuro.</w:t>
      </w:r>
      <w:r>
        <w:rPr>
          <w:spacing w:val="-12"/>
          <w:w w:val="110"/>
          <w:sz w:val="18"/>
        </w:rPr>
        <w:t> </w:t>
      </w:r>
      <w:r>
        <w:rPr>
          <w:w w:val="110"/>
          <w:sz w:val="18"/>
        </w:rPr>
        <w:t>El</w:t>
      </w:r>
      <w:r>
        <w:rPr>
          <w:spacing w:val="-12"/>
          <w:w w:val="110"/>
          <w:sz w:val="18"/>
        </w:rPr>
        <w:t> </w:t>
      </w:r>
      <w:r>
        <w:rPr>
          <w:w w:val="110"/>
          <w:sz w:val="18"/>
        </w:rPr>
        <w:t>hemis- ferio entero –todos nosotros– tenemos el interés de asegurar que los cubanos desfruten los derechos protegidos por nuestra Carta demo- crática interamericana, y nosotros esperamos que nos mantengamos unidos</w:t>
      </w:r>
      <w:r>
        <w:rPr>
          <w:spacing w:val="-11"/>
          <w:w w:val="110"/>
          <w:sz w:val="18"/>
        </w:rPr>
        <w:t> </w:t>
      </w:r>
      <w:r>
        <w:rPr>
          <w:w w:val="110"/>
          <w:sz w:val="18"/>
        </w:rPr>
        <w:t>en</w:t>
      </w:r>
      <w:r>
        <w:rPr>
          <w:spacing w:val="-11"/>
          <w:w w:val="110"/>
          <w:sz w:val="18"/>
        </w:rPr>
        <w:t> </w:t>
      </w:r>
      <w:r>
        <w:rPr>
          <w:w w:val="110"/>
          <w:sz w:val="18"/>
        </w:rPr>
        <w:t>esa</w:t>
      </w:r>
      <w:r>
        <w:rPr>
          <w:spacing w:val="-11"/>
          <w:w w:val="110"/>
          <w:sz w:val="18"/>
        </w:rPr>
        <w:t> </w:t>
      </w:r>
      <w:r>
        <w:rPr>
          <w:w w:val="110"/>
          <w:sz w:val="18"/>
        </w:rPr>
        <w:t>aspiración</w:t>
      </w:r>
      <w:r>
        <w:rPr>
          <w:spacing w:val="-11"/>
          <w:w w:val="110"/>
          <w:sz w:val="18"/>
        </w:rPr>
        <w:t> </w:t>
      </w:r>
      <w:r>
        <w:rPr>
          <w:spacing w:val="-3"/>
          <w:w w:val="110"/>
          <w:sz w:val="18"/>
        </w:rPr>
        <w:t>(Kerry,</w:t>
      </w:r>
      <w:r>
        <w:rPr>
          <w:spacing w:val="-11"/>
          <w:w w:val="110"/>
          <w:sz w:val="18"/>
        </w:rPr>
        <w:t> </w:t>
      </w:r>
      <w:r>
        <w:rPr>
          <w:w w:val="110"/>
          <w:sz w:val="18"/>
        </w:rPr>
        <w:t>2013).</w:t>
      </w:r>
    </w:p>
    <w:p>
      <w:pPr>
        <w:pStyle w:val="BodyText"/>
        <w:spacing w:before="1"/>
        <w:rPr>
          <w:sz w:val="21"/>
        </w:rPr>
      </w:pPr>
    </w:p>
    <w:p>
      <w:pPr>
        <w:pStyle w:val="BodyText"/>
        <w:spacing w:line="252" w:lineRule="auto"/>
        <w:ind w:left="47" w:right="328"/>
        <w:jc w:val="right"/>
      </w:pPr>
      <w:r>
        <w:rPr>
          <w:spacing w:val="-3"/>
          <w:w w:val="110"/>
        </w:rPr>
        <w:t>Esas afirmaciones fueron repetidas </w:t>
      </w:r>
      <w:r>
        <w:rPr>
          <w:w w:val="110"/>
        </w:rPr>
        <w:t>por la </w:t>
      </w:r>
      <w:r>
        <w:rPr>
          <w:spacing w:val="-3"/>
          <w:w w:val="110"/>
        </w:rPr>
        <w:t>delegación estadounidense</w:t>
      </w:r>
      <w:r>
        <w:rPr>
          <w:spacing w:val="-3"/>
          <w:w w:val="108"/>
        </w:rPr>
        <w:t> </w:t>
      </w:r>
      <w:r>
        <w:rPr>
          <w:w w:val="110"/>
        </w:rPr>
        <w:t>que </w:t>
      </w:r>
      <w:r>
        <w:rPr>
          <w:spacing w:val="-3"/>
          <w:w w:val="110"/>
        </w:rPr>
        <w:t>participó </w:t>
      </w:r>
      <w:r>
        <w:rPr>
          <w:w w:val="110"/>
        </w:rPr>
        <w:t>en la </w:t>
      </w:r>
      <w:r>
        <w:rPr>
          <w:spacing w:val="-3"/>
          <w:w w:val="110"/>
        </w:rPr>
        <w:t>antes referida asamblea General </w:t>
      </w:r>
      <w:r>
        <w:rPr>
          <w:w w:val="110"/>
        </w:rPr>
        <w:t>de la oEa </w:t>
      </w:r>
      <w:r>
        <w:rPr>
          <w:spacing w:val="-3"/>
          <w:w w:val="110"/>
        </w:rPr>
        <w:t>efectuada</w:t>
      </w:r>
      <w:r>
        <w:rPr>
          <w:spacing w:val="-3"/>
          <w:w w:val="110"/>
        </w:rPr>
        <w:t> </w:t>
      </w:r>
      <w:r>
        <w:rPr>
          <w:w w:val="110"/>
        </w:rPr>
        <w:t>en </w:t>
      </w:r>
      <w:r>
        <w:rPr>
          <w:spacing w:val="-6"/>
          <w:w w:val="110"/>
        </w:rPr>
        <w:t>Paraguay. </w:t>
      </w:r>
      <w:r>
        <w:rPr>
          <w:w w:val="110"/>
        </w:rPr>
        <w:t>En </w:t>
      </w:r>
      <w:r>
        <w:rPr>
          <w:spacing w:val="-3"/>
          <w:w w:val="110"/>
        </w:rPr>
        <w:t>ella, </w:t>
      </w:r>
      <w:r>
        <w:rPr>
          <w:w w:val="110"/>
        </w:rPr>
        <w:t>la </w:t>
      </w:r>
      <w:r>
        <w:rPr>
          <w:spacing w:val="-3"/>
          <w:w w:val="110"/>
        </w:rPr>
        <w:t>mayoría </w:t>
      </w:r>
      <w:r>
        <w:rPr>
          <w:w w:val="110"/>
        </w:rPr>
        <w:t>de las </w:t>
      </w:r>
      <w:r>
        <w:rPr>
          <w:spacing w:val="-3"/>
          <w:w w:val="110"/>
        </w:rPr>
        <w:t>delegaciones latinoamericanas </w:t>
      </w:r>
      <w:r>
        <w:rPr>
          <w:w w:val="110"/>
        </w:rPr>
        <w:t>y</w:t>
      </w:r>
      <w:r>
        <w:rPr>
          <w:w w:val="105"/>
        </w:rPr>
        <w:t> </w:t>
      </w:r>
      <w:r>
        <w:rPr>
          <w:spacing w:val="-3"/>
          <w:w w:val="110"/>
        </w:rPr>
        <w:t>caribeñas apoyaron </w:t>
      </w:r>
      <w:r>
        <w:rPr>
          <w:w w:val="110"/>
        </w:rPr>
        <w:t>el </w:t>
      </w:r>
      <w:r>
        <w:rPr>
          <w:spacing w:val="-3"/>
          <w:w w:val="110"/>
        </w:rPr>
        <w:t>anuncio </w:t>
      </w:r>
      <w:r>
        <w:rPr>
          <w:w w:val="110"/>
        </w:rPr>
        <w:t>del </w:t>
      </w:r>
      <w:r>
        <w:rPr>
          <w:spacing w:val="-3"/>
          <w:w w:val="110"/>
        </w:rPr>
        <w:t>representante </w:t>
      </w:r>
      <w:r>
        <w:rPr>
          <w:w w:val="110"/>
        </w:rPr>
        <w:t>de </w:t>
      </w:r>
      <w:r>
        <w:rPr>
          <w:spacing w:val="-3"/>
          <w:w w:val="110"/>
        </w:rPr>
        <w:t>Panamá </w:t>
      </w:r>
      <w:r>
        <w:rPr>
          <w:w w:val="110"/>
        </w:rPr>
        <w:t>de que </w:t>
      </w:r>
      <w:r>
        <w:rPr>
          <w:spacing w:val="-3"/>
          <w:w w:val="110"/>
        </w:rPr>
        <w:t>su</w:t>
      </w:r>
      <w:r>
        <w:rPr>
          <w:spacing w:val="-3"/>
          <w:w w:val="109"/>
        </w:rPr>
        <w:t> </w:t>
      </w:r>
      <w:r>
        <w:rPr>
          <w:spacing w:val="-3"/>
          <w:w w:val="110"/>
        </w:rPr>
        <w:t>gobierno invitará </w:t>
      </w:r>
      <w:r>
        <w:rPr>
          <w:w w:val="110"/>
        </w:rPr>
        <w:t>al </w:t>
      </w:r>
      <w:r>
        <w:rPr>
          <w:spacing w:val="-3"/>
          <w:w w:val="110"/>
        </w:rPr>
        <w:t>presidente cubano, raúl Castro, </w:t>
      </w:r>
      <w:r>
        <w:rPr>
          <w:w w:val="110"/>
        </w:rPr>
        <w:t>a la Vii </w:t>
      </w:r>
      <w:r>
        <w:rPr>
          <w:spacing w:val="-3"/>
          <w:w w:val="110"/>
        </w:rPr>
        <w:t>Cumbre de</w:t>
      </w:r>
      <w:r>
        <w:rPr>
          <w:spacing w:val="-3"/>
          <w:w w:val="107"/>
        </w:rPr>
        <w:t> </w:t>
      </w:r>
      <w:r>
        <w:rPr>
          <w:w w:val="110"/>
        </w:rPr>
        <w:t>las </w:t>
      </w:r>
      <w:r>
        <w:rPr>
          <w:spacing w:val="-3"/>
          <w:w w:val="110"/>
        </w:rPr>
        <w:t>américas </w:t>
      </w:r>
      <w:r>
        <w:rPr>
          <w:w w:val="110"/>
        </w:rPr>
        <w:t>que se </w:t>
      </w:r>
      <w:r>
        <w:rPr>
          <w:spacing w:val="-3"/>
          <w:w w:val="110"/>
        </w:rPr>
        <w:t>realizará </w:t>
      </w:r>
      <w:r>
        <w:rPr>
          <w:w w:val="110"/>
        </w:rPr>
        <w:t>a </w:t>
      </w:r>
      <w:r>
        <w:rPr>
          <w:spacing w:val="-3"/>
          <w:w w:val="110"/>
        </w:rPr>
        <w:t>mediados </w:t>
      </w:r>
      <w:r>
        <w:rPr>
          <w:w w:val="110"/>
        </w:rPr>
        <w:t>de </w:t>
      </w:r>
      <w:r>
        <w:rPr>
          <w:spacing w:val="-3"/>
          <w:w w:val="110"/>
        </w:rPr>
        <w:t>abril </w:t>
      </w:r>
      <w:r>
        <w:rPr>
          <w:w w:val="110"/>
        </w:rPr>
        <w:t>de </w:t>
      </w:r>
      <w:r>
        <w:rPr>
          <w:spacing w:val="-3"/>
          <w:w w:val="110"/>
        </w:rPr>
        <w:t>2015 (</w:t>
      </w:r>
      <w:r>
        <w:rPr>
          <w:i/>
          <w:spacing w:val="-3"/>
          <w:w w:val="110"/>
        </w:rPr>
        <w:t>Notas</w:t>
      </w:r>
      <w:r>
        <w:rPr>
          <w:spacing w:val="-3"/>
          <w:w w:val="110"/>
        </w:rPr>
        <w:t>, 2014).</w:t>
      </w:r>
    </w:p>
    <w:p>
      <w:pPr>
        <w:pStyle w:val="BodyText"/>
        <w:spacing w:line="252" w:lineRule="auto"/>
        <w:ind w:left="100" w:right="328" w:firstLine="396"/>
        <w:jc w:val="both"/>
      </w:pPr>
      <w:r>
        <w:rPr>
          <w:w w:val="115"/>
        </w:rPr>
        <w:t>Como</w:t>
      </w:r>
      <w:r>
        <w:rPr>
          <w:spacing w:val="-19"/>
          <w:w w:val="115"/>
        </w:rPr>
        <w:t> </w:t>
      </w:r>
      <w:r>
        <w:rPr>
          <w:w w:val="115"/>
        </w:rPr>
        <w:t>bien</w:t>
      </w:r>
      <w:r>
        <w:rPr>
          <w:spacing w:val="-19"/>
          <w:w w:val="115"/>
        </w:rPr>
        <w:t> </w:t>
      </w:r>
      <w:r>
        <w:rPr>
          <w:w w:val="115"/>
        </w:rPr>
        <w:t>han</w:t>
      </w:r>
      <w:r>
        <w:rPr>
          <w:spacing w:val="-19"/>
          <w:w w:val="115"/>
        </w:rPr>
        <w:t> </w:t>
      </w:r>
      <w:r>
        <w:rPr>
          <w:w w:val="115"/>
        </w:rPr>
        <w:t>indicado</w:t>
      </w:r>
      <w:r>
        <w:rPr>
          <w:spacing w:val="-19"/>
          <w:w w:val="115"/>
        </w:rPr>
        <w:t> </w:t>
      </w:r>
      <w:r>
        <w:rPr>
          <w:w w:val="115"/>
        </w:rPr>
        <w:t>diversos</w:t>
      </w:r>
      <w:r>
        <w:rPr>
          <w:spacing w:val="-19"/>
          <w:w w:val="115"/>
        </w:rPr>
        <w:t> </w:t>
      </w:r>
      <w:r>
        <w:rPr>
          <w:w w:val="115"/>
        </w:rPr>
        <w:t>especialistas</w:t>
      </w:r>
      <w:r>
        <w:rPr>
          <w:spacing w:val="-19"/>
          <w:w w:val="115"/>
        </w:rPr>
        <w:t> </w:t>
      </w:r>
      <w:r>
        <w:rPr>
          <w:w w:val="115"/>
        </w:rPr>
        <w:t>norteamericanos </w:t>
      </w:r>
      <w:r>
        <w:rPr>
          <w:w w:val="108"/>
        </w:rPr>
        <w:t>en</w:t>
      </w:r>
      <w:r>
        <w:rPr/>
        <w:t> </w:t>
      </w:r>
      <w:r>
        <w:rPr>
          <w:spacing w:val="-1"/>
        </w:rPr>
        <w:t> </w:t>
      </w:r>
      <w:r>
        <w:rPr>
          <w:w w:val="109"/>
        </w:rPr>
        <w:t>las</w:t>
      </w:r>
      <w:r>
        <w:rPr/>
        <w:t> </w:t>
      </w:r>
      <w:r>
        <w:rPr>
          <w:spacing w:val="-1"/>
        </w:rPr>
        <w:t> </w:t>
      </w:r>
      <w:r>
        <w:rPr>
          <w:w w:val="109"/>
        </w:rPr>
        <w:t>relaciones</w:t>
      </w:r>
      <w:r>
        <w:rPr/>
        <w:t> </w:t>
      </w:r>
      <w:r>
        <w:rPr>
          <w:spacing w:val="-1"/>
        </w:rPr>
        <w:t> </w:t>
      </w:r>
      <w:r>
        <w:rPr>
          <w:w w:val="106"/>
        </w:rPr>
        <w:t>entre</w:t>
      </w:r>
      <w:r>
        <w:rPr/>
        <w:t> </w:t>
      </w:r>
      <w:r>
        <w:rPr>
          <w:spacing w:val="-1"/>
        </w:rPr>
        <w:t> </w:t>
      </w:r>
      <w:r>
        <w:rPr>
          <w:w w:val="111"/>
        </w:rPr>
        <w:t>Estados</w:t>
      </w:r>
      <w:r>
        <w:rPr/>
        <w:t> </w:t>
      </w:r>
      <w:r>
        <w:rPr>
          <w:spacing w:val="-1"/>
        </w:rPr>
        <w:t> </w:t>
      </w:r>
      <w:r>
        <w:rPr>
          <w:w w:val="140"/>
        </w:rPr>
        <w:t>u</w:t>
      </w:r>
      <w:r>
        <w:rPr>
          <w:w w:val="110"/>
        </w:rPr>
        <w:t>nidos</w:t>
      </w:r>
      <w:r>
        <w:rPr/>
        <w:t> </w:t>
      </w:r>
      <w:r>
        <w:rPr>
          <w:spacing w:val="-1"/>
        </w:rPr>
        <w:t> </w:t>
      </w:r>
      <w:r>
        <w:rPr>
          <w:w w:val="105"/>
        </w:rPr>
        <w:t>y</w:t>
      </w:r>
      <w:r>
        <w:rPr/>
        <w:t> </w:t>
      </w:r>
      <w:r>
        <w:rPr>
          <w:spacing w:val="-2"/>
        </w:rPr>
        <w:t> </w:t>
      </w:r>
      <w:r>
        <w:rPr>
          <w:w w:val="139"/>
        </w:rPr>
        <w:t>a</w:t>
      </w:r>
      <w:r>
        <w:rPr>
          <w:w w:val="111"/>
        </w:rPr>
        <w:t>mérica</w:t>
      </w:r>
      <w:r>
        <w:rPr/>
        <w:t> </w:t>
      </w:r>
      <w:r>
        <w:rPr>
          <w:spacing w:val="-1"/>
        </w:rPr>
        <w:t> </w:t>
      </w:r>
      <w:r>
        <w:rPr>
          <w:w w:val="243"/>
        </w:rPr>
        <w:t>l</w:t>
      </w:r>
      <w:r>
        <w:rPr>
          <w:w w:val="111"/>
        </w:rPr>
        <w:t>atina</w:t>
      </w:r>
      <w:r>
        <w:rPr/>
        <w:t> </w:t>
      </w:r>
      <w:r>
        <w:rPr>
          <w:spacing w:val="-1"/>
        </w:rPr>
        <w:t> </w:t>
      </w:r>
      <w:r>
        <w:rPr>
          <w:w w:val="105"/>
        </w:rPr>
        <w:t>y</w:t>
      </w:r>
      <w:r>
        <w:rPr/>
        <w:t> </w:t>
      </w:r>
      <w:r>
        <w:rPr>
          <w:spacing w:val="-1"/>
        </w:rPr>
        <w:t> </w:t>
      </w:r>
      <w:r>
        <w:rPr>
          <w:w w:val="107"/>
        </w:rPr>
        <w:t>el</w:t>
      </w:r>
      <w:r>
        <w:rPr/>
        <w:t> </w:t>
      </w:r>
      <w:r>
        <w:rPr>
          <w:spacing w:val="-1"/>
        </w:rPr>
        <w:t> </w:t>
      </w:r>
      <w:r>
        <w:rPr>
          <w:w w:val="115"/>
        </w:rPr>
        <w:t>Cari</w:t>
      </w:r>
      <w:r>
        <w:rPr>
          <w:w w:val="102"/>
        </w:rPr>
        <w:t>- </w:t>
      </w:r>
      <w:r>
        <w:rPr>
          <w:w w:val="120"/>
        </w:rPr>
        <w:t>be (entre ellos Peter Hakim, ray </w:t>
      </w:r>
      <w:r>
        <w:rPr>
          <w:spacing w:val="-5"/>
          <w:w w:val="120"/>
        </w:rPr>
        <w:t>Welser, </w:t>
      </w:r>
      <w:r>
        <w:rPr>
          <w:w w:val="120"/>
        </w:rPr>
        <w:t>Julia buxton y abraham </w:t>
      </w:r>
      <w:r>
        <w:rPr>
          <w:w w:val="243"/>
        </w:rPr>
        <w:t>l</w:t>
      </w:r>
      <w:r>
        <w:rPr>
          <w:w w:val="109"/>
        </w:rPr>
        <w:t>owenthal),</w:t>
      </w:r>
      <w:r>
        <w:rPr/>
        <w:t> </w:t>
      </w:r>
      <w:r>
        <w:rPr>
          <w:spacing w:val="-9"/>
        </w:rPr>
        <w:t> </w:t>
      </w:r>
      <w:r>
        <w:rPr>
          <w:w w:val="107"/>
        </w:rPr>
        <w:t>esa</w:t>
      </w:r>
      <w:r>
        <w:rPr/>
        <w:t> </w:t>
      </w:r>
      <w:r>
        <w:rPr>
          <w:spacing w:val="-9"/>
        </w:rPr>
        <w:t> </w:t>
      </w:r>
      <w:r>
        <w:rPr>
          <w:w w:val="110"/>
        </w:rPr>
        <w:t>decisión</w:t>
      </w:r>
      <w:r>
        <w:rPr/>
        <w:t> </w:t>
      </w:r>
      <w:r>
        <w:rPr>
          <w:spacing w:val="-9"/>
        </w:rPr>
        <w:t> </w:t>
      </w:r>
      <w:r>
        <w:rPr>
          <w:w w:val="112"/>
        </w:rPr>
        <w:t>coloca</w:t>
      </w:r>
      <w:r>
        <w:rPr/>
        <w:t> </w:t>
      </w:r>
      <w:r>
        <w:rPr>
          <w:spacing w:val="-9"/>
        </w:rPr>
        <w:t> </w:t>
      </w:r>
      <w:r>
        <w:rPr>
          <w:w w:val="108"/>
        </w:rPr>
        <w:t>en</w:t>
      </w:r>
      <w:r>
        <w:rPr/>
        <w:t> </w:t>
      </w:r>
      <w:r>
        <w:rPr>
          <w:spacing w:val="-9"/>
        </w:rPr>
        <w:t> </w:t>
      </w:r>
      <w:r>
        <w:rPr>
          <w:w w:val="112"/>
        </w:rPr>
        <w:t>un</w:t>
      </w:r>
      <w:r>
        <w:rPr/>
        <w:t> </w:t>
      </w:r>
      <w:r>
        <w:rPr>
          <w:spacing w:val="-9"/>
        </w:rPr>
        <w:t> </w:t>
      </w:r>
      <w:r>
        <w:rPr>
          <w:w w:val="108"/>
        </w:rPr>
        <w:t>disparadero</w:t>
      </w:r>
      <w:r>
        <w:rPr/>
        <w:t> </w:t>
      </w:r>
      <w:r>
        <w:rPr>
          <w:spacing w:val="-9"/>
        </w:rPr>
        <w:t> </w:t>
      </w:r>
      <w:r>
        <w:rPr>
          <w:w w:val="112"/>
        </w:rPr>
        <w:t>a</w:t>
      </w:r>
      <w:r>
        <w:rPr/>
        <w:t> </w:t>
      </w:r>
      <w:r>
        <w:rPr>
          <w:spacing w:val="-9"/>
        </w:rPr>
        <w:t> </w:t>
      </w:r>
      <w:r>
        <w:rPr>
          <w:w w:val="111"/>
        </w:rPr>
        <w:t>la</w:t>
      </w:r>
      <w:r>
        <w:rPr/>
        <w:t> </w:t>
      </w:r>
      <w:r>
        <w:rPr>
          <w:spacing w:val="-9"/>
        </w:rPr>
        <w:t> </w:t>
      </w:r>
      <w:r>
        <w:rPr>
          <w:w w:val="139"/>
        </w:rPr>
        <w:t>a</w:t>
      </w:r>
      <w:r>
        <w:rPr>
          <w:w w:val="110"/>
        </w:rPr>
        <w:t>dministr</w:t>
      </w:r>
      <w:r>
        <w:rPr>
          <w:spacing w:val="-1"/>
          <w:w w:val="110"/>
        </w:rPr>
        <w:t>a</w:t>
      </w:r>
      <w:r>
        <w:rPr>
          <w:w w:val="102"/>
        </w:rPr>
        <w:t>- </w:t>
      </w:r>
      <w:r>
        <w:rPr>
          <w:w w:val="115"/>
        </w:rPr>
        <w:t>ción</w:t>
      </w:r>
      <w:r>
        <w:rPr>
          <w:spacing w:val="-15"/>
          <w:w w:val="115"/>
        </w:rPr>
        <w:t> </w:t>
      </w:r>
      <w:r>
        <w:rPr>
          <w:w w:val="115"/>
        </w:rPr>
        <w:t>obama</w:t>
      </w:r>
      <w:r>
        <w:rPr>
          <w:spacing w:val="-15"/>
          <w:w w:val="115"/>
        </w:rPr>
        <w:t> </w:t>
      </w:r>
      <w:r>
        <w:rPr>
          <w:w w:val="115"/>
        </w:rPr>
        <w:t>(iad,</w:t>
      </w:r>
      <w:r>
        <w:rPr>
          <w:spacing w:val="-15"/>
          <w:w w:val="115"/>
        </w:rPr>
        <w:t> </w:t>
      </w:r>
      <w:r>
        <w:rPr>
          <w:w w:val="115"/>
        </w:rPr>
        <w:t>2014);</w:t>
      </w:r>
      <w:r>
        <w:rPr>
          <w:spacing w:val="-15"/>
          <w:w w:val="115"/>
        </w:rPr>
        <w:t> </w:t>
      </w:r>
      <w:r>
        <w:rPr>
          <w:w w:val="115"/>
        </w:rPr>
        <w:t>ya</w:t>
      </w:r>
      <w:r>
        <w:rPr>
          <w:spacing w:val="-15"/>
          <w:w w:val="115"/>
        </w:rPr>
        <w:t> </w:t>
      </w:r>
      <w:r>
        <w:rPr>
          <w:w w:val="115"/>
        </w:rPr>
        <w:t>que,</w:t>
      </w:r>
      <w:r>
        <w:rPr>
          <w:spacing w:val="-15"/>
          <w:w w:val="115"/>
        </w:rPr>
        <w:t> </w:t>
      </w:r>
      <w:r>
        <w:rPr>
          <w:w w:val="115"/>
        </w:rPr>
        <w:t>si</w:t>
      </w:r>
      <w:r>
        <w:rPr>
          <w:spacing w:val="-15"/>
          <w:w w:val="115"/>
        </w:rPr>
        <w:t> </w:t>
      </w:r>
      <w:r>
        <w:rPr>
          <w:w w:val="115"/>
        </w:rPr>
        <w:t>mantiene</w:t>
      </w:r>
      <w:r>
        <w:rPr>
          <w:spacing w:val="-15"/>
          <w:w w:val="115"/>
        </w:rPr>
        <w:t> </w:t>
      </w:r>
      <w:r>
        <w:rPr>
          <w:w w:val="115"/>
        </w:rPr>
        <w:t>sus</w:t>
      </w:r>
      <w:r>
        <w:rPr>
          <w:spacing w:val="-15"/>
          <w:w w:val="115"/>
        </w:rPr>
        <w:t> </w:t>
      </w:r>
      <w:r>
        <w:rPr>
          <w:w w:val="115"/>
        </w:rPr>
        <w:t>condicionamientos</w:t>
      </w:r>
      <w:r>
        <w:rPr>
          <w:spacing w:val="-15"/>
          <w:w w:val="115"/>
        </w:rPr>
        <w:t> </w:t>
      </w:r>
      <w:r>
        <w:rPr>
          <w:w w:val="115"/>
        </w:rPr>
        <w:t>a la</w:t>
      </w:r>
      <w:r>
        <w:rPr>
          <w:spacing w:val="-19"/>
          <w:w w:val="115"/>
        </w:rPr>
        <w:t> </w:t>
      </w:r>
      <w:r>
        <w:rPr>
          <w:w w:val="115"/>
        </w:rPr>
        <w:t>participación</w:t>
      </w:r>
      <w:r>
        <w:rPr>
          <w:spacing w:val="-19"/>
          <w:w w:val="115"/>
        </w:rPr>
        <w:t> </w:t>
      </w:r>
      <w:r>
        <w:rPr>
          <w:w w:val="115"/>
        </w:rPr>
        <w:t>del</w:t>
      </w:r>
      <w:r>
        <w:rPr>
          <w:spacing w:val="-19"/>
          <w:w w:val="115"/>
        </w:rPr>
        <w:t> </w:t>
      </w:r>
      <w:r>
        <w:rPr>
          <w:w w:val="115"/>
        </w:rPr>
        <w:t>mandatario</w:t>
      </w:r>
      <w:r>
        <w:rPr>
          <w:spacing w:val="-19"/>
          <w:w w:val="115"/>
        </w:rPr>
        <w:t> </w:t>
      </w:r>
      <w:r>
        <w:rPr>
          <w:w w:val="115"/>
        </w:rPr>
        <w:t>cubano</w:t>
      </w:r>
      <w:r>
        <w:rPr>
          <w:spacing w:val="-19"/>
          <w:w w:val="115"/>
        </w:rPr>
        <w:t> </w:t>
      </w:r>
      <w:r>
        <w:rPr>
          <w:w w:val="115"/>
        </w:rPr>
        <w:t>en</w:t>
      </w:r>
      <w:r>
        <w:rPr>
          <w:spacing w:val="-19"/>
          <w:w w:val="115"/>
        </w:rPr>
        <w:t> </w:t>
      </w:r>
      <w:r>
        <w:rPr>
          <w:w w:val="115"/>
        </w:rPr>
        <w:t>esa</w:t>
      </w:r>
      <w:r>
        <w:rPr>
          <w:spacing w:val="-19"/>
          <w:w w:val="115"/>
        </w:rPr>
        <w:t> </w:t>
      </w:r>
      <w:r>
        <w:rPr>
          <w:w w:val="115"/>
        </w:rPr>
        <w:t>Cumbre,</w:t>
      </w:r>
      <w:r>
        <w:rPr>
          <w:spacing w:val="-19"/>
          <w:w w:val="115"/>
        </w:rPr>
        <w:t> </w:t>
      </w:r>
      <w:r>
        <w:rPr>
          <w:w w:val="115"/>
        </w:rPr>
        <w:t>profundizará </w:t>
      </w:r>
      <w:r>
        <w:rPr>
          <w:w w:val="120"/>
        </w:rPr>
        <w:t>las</w:t>
      </w:r>
      <w:r>
        <w:rPr>
          <w:spacing w:val="-23"/>
          <w:w w:val="120"/>
        </w:rPr>
        <w:t> </w:t>
      </w:r>
      <w:r>
        <w:rPr>
          <w:w w:val="120"/>
        </w:rPr>
        <w:t>diferencias</w:t>
      </w:r>
      <w:r>
        <w:rPr>
          <w:spacing w:val="-23"/>
          <w:w w:val="120"/>
        </w:rPr>
        <w:t> </w:t>
      </w:r>
      <w:r>
        <w:rPr>
          <w:w w:val="120"/>
        </w:rPr>
        <w:t>que</w:t>
      </w:r>
      <w:r>
        <w:rPr>
          <w:spacing w:val="-23"/>
          <w:w w:val="120"/>
        </w:rPr>
        <w:t> </w:t>
      </w:r>
      <w:r>
        <w:rPr>
          <w:w w:val="120"/>
        </w:rPr>
        <w:t>existen</w:t>
      </w:r>
      <w:r>
        <w:rPr>
          <w:spacing w:val="-23"/>
          <w:w w:val="120"/>
        </w:rPr>
        <w:t> </w:t>
      </w:r>
      <w:r>
        <w:rPr>
          <w:w w:val="120"/>
        </w:rPr>
        <w:t>“entre</w:t>
      </w:r>
      <w:r>
        <w:rPr>
          <w:spacing w:val="-23"/>
          <w:w w:val="120"/>
        </w:rPr>
        <w:t> </w:t>
      </w:r>
      <w:r>
        <w:rPr>
          <w:w w:val="120"/>
        </w:rPr>
        <w:t>el</w:t>
      </w:r>
      <w:r>
        <w:rPr>
          <w:spacing w:val="-23"/>
          <w:w w:val="120"/>
        </w:rPr>
        <w:t> </w:t>
      </w:r>
      <w:r>
        <w:rPr>
          <w:w w:val="120"/>
        </w:rPr>
        <w:t>Norte</w:t>
      </w:r>
      <w:r>
        <w:rPr>
          <w:spacing w:val="-23"/>
          <w:w w:val="120"/>
        </w:rPr>
        <w:t> </w:t>
      </w:r>
      <w:r>
        <w:rPr>
          <w:w w:val="120"/>
        </w:rPr>
        <w:t>y</w:t>
      </w:r>
      <w:r>
        <w:rPr>
          <w:spacing w:val="-23"/>
          <w:w w:val="120"/>
        </w:rPr>
        <w:t> </w:t>
      </w:r>
      <w:r>
        <w:rPr>
          <w:w w:val="120"/>
        </w:rPr>
        <w:t>el</w:t>
      </w:r>
      <w:r>
        <w:rPr>
          <w:spacing w:val="-23"/>
          <w:w w:val="120"/>
        </w:rPr>
        <w:t> </w:t>
      </w:r>
      <w:r>
        <w:rPr>
          <w:w w:val="120"/>
        </w:rPr>
        <w:t>sur”</w:t>
      </w:r>
      <w:r>
        <w:rPr>
          <w:spacing w:val="-23"/>
          <w:w w:val="120"/>
        </w:rPr>
        <w:t> </w:t>
      </w:r>
      <w:r>
        <w:rPr>
          <w:w w:val="120"/>
        </w:rPr>
        <w:t>del</w:t>
      </w:r>
      <w:r>
        <w:rPr>
          <w:spacing w:val="-23"/>
          <w:w w:val="120"/>
        </w:rPr>
        <w:t> </w:t>
      </w:r>
      <w:r>
        <w:rPr>
          <w:w w:val="120"/>
        </w:rPr>
        <w:t>hemisferio</w:t>
      </w:r>
      <w:r>
        <w:rPr>
          <w:spacing w:val="-23"/>
          <w:w w:val="120"/>
        </w:rPr>
        <w:t> </w:t>
      </w:r>
      <w:r>
        <w:rPr>
          <w:w w:val="120"/>
        </w:rPr>
        <w:t>y </w:t>
      </w:r>
      <w:r>
        <w:rPr>
          <w:w w:val="115"/>
        </w:rPr>
        <w:t>afectará</w:t>
      </w:r>
      <w:r>
        <w:rPr>
          <w:spacing w:val="-13"/>
          <w:w w:val="115"/>
        </w:rPr>
        <w:t> </w:t>
      </w:r>
      <w:r>
        <w:rPr>
          <w:w w:val="115"/>
        </w:rPr>
        <w:t>“la</w:t>
      </w:r>
      <w:r>
        <w:rPr>
          <w:spacing w:val="-13"/>
          <w:w w:val="115"/>
        </w:rPr>
        <w:t> </w:t>
      </w:r>
      <w:r>
        <w:rPr>
          <w:w w:val="115"/>
        </w:rPr>
        <w:t>legitimidad</w:t>
      </w:r>
      <w:r>
        <w:rPr>
          <w:spacing w:val="-13"/>
          <w:w w:val="115"/>
        </w:rPr>
        <w:t> </w:t>
      </w:r>
      <w:r>
        <w:rPr>
          <w:w w:val="115"/>
        </w:rPr>
        <w:t>de</w:t>
      </w:r>
      <w:r>
        <w:rPr>
          <w:spacing w:val="-13"/>
          <w:w w:val="115"/>
        </w:rPr>
        <w:t> </w:t>
      </w:r>
      <w:r>
        <w:rPr>
          <w:w w:val="115"/>
        </w:rPr>
        <w:t>la</w:t>
      </w:r>
      <w:r>
        <w:rPr>
          <w:spacing w:val="-13"/>
          <w:w w:val="115"/>
        </w:rPr>
        <w:t> </w:t>
      </w:r>
      <w:r>
        <w:rPr>
          <w:w w:val="115"/>
        </w:rPr>
        <w:t>oEa”.</w:t>
      </w:r>
      <w:r>
        <w:rPr>
          <w:spacing w:val="-13"/>
          <w:w w:val="115"/>
        </w:rPr>
        <w:t> </w:t>
      </w:r>
      <w:r>
        <w:rPr>
          <w:w w:val="115"/>
        </w:rPr>
        <w:t>Por</w:t>
      </w:r>
      <w:r>
        <w:rPr>
          <w:spacing w:val="-13"/>
          <w:w w:val="115"/>
        </w:rPr>
        <w:t> </w:t>
      </w:r>
      <w:r>
        <w:rPr>
          <w:w w:val="115"/>
        </w:rPr>
        <w:t>consiguiente,</w:t>
      </w:r>
      <w:r>
        <w:rPr>
          <w:spacing w:val="-13"/>
          <w:w w:val="115"/>
        </w:rPr>
        <w:t> </w:t>
      </w:r>
      <w:r>
        <w:rPr>
          <w:w w:val="115"/>
        </w:rPr>
        <w:t>fortalecerá</w:t>
      </w:r>
      <w:r>
        <w:rPr>
          <w:spacing w:val="-13"/>
          <w:w w:val="115"/>
        </w:rPr>
        <w:t> </w:t>
      </w:r>
      <w:r>
        <w:rPr>
          <w:w w:val="115"/>
        </w:rPr>
        <w:t>a</w:t>
      </w:r>
      <w:r>
        <w:rPr>
          <w:spacing w:val="-13"/>
          <w:w w:val="115"/>
        </w:rPr>
        <w:t> </w:t>
      </w:r>
      <w:r>
        <w:rPr>
          <w:w w:val="115"/>
        </w:rPr>
        <w:t>las </w:t>
      </w:r>
      <w:r>
        <w:rPr>
          <w:w w:val="110"/>
        </w:rPr>
        <w:t>organizaciones</w:t>
      </w:r>
      <w:r>
        <w:rPr>
          <w:spacing w:val="6"/>
        </w:rPr>
        <w:t> </w:t>
      </w:r>
      <w:r>
        <w:rPr>
          <w:w w:val="107"/>
        </w:rPr>
        <w:t>de</w:t>
      </w:r>
      <w:r>
        <w:rPr>
          <w:spacing w:val="6"/>
        </w:rPr>
        <w:t> </w:t>
      </w:r>
      <w:r>
        <w:rPr>
          <w:w w:val="111"/>
        </w:rPr>
        <w:t>concertación</w:t>
      </w:r>
      <w:r>
        <w:rPr>
          <w:spacing w:val="6"/>
        </w:rPr>
        <w:t> </w:t>
      </w:r>
      <w:r>
        <w:rPr>
          <w:w w:val="111"/>
        </w:rPr>
        <w:t>política</w:t>
      </w:r>
      <w:r>
        <w:rPr>
          <w:spacing w:val="6"/>
        </w:rPr>
        <w:t> </w:t>
      </w:r>
      <w:r>
        <w:rPr>
          <w:w w:val="107"/>
        </w:rPr>
        <w:t>de</w:t>
      </w:r>
      <w:r>
        <w:rPr>
          <w:spacing w:val="6"/>
        </w:rPr>
        <w:t> </w:t>
      </w:r>
      <w:r>
        <w:rPr>
          <w:w w:val="139"/>
        </w:rPr>
        <w:t>a</w:t>
      </w:r>
      <w:r>
        <w:rPr>
          <w:w w:val="111"/>
        </w:rPr>
        <w:t>mérica</w:t>
      </w:r>
      <w:r>
        <w:rPr>
          <w:spacing w:val="6"/>
        </w:rPr>
        <w:t> </w:t>
      </w:r>
      <w:r>
        <w:rPr>
          <w:w w:val="243"/>
        </w:rPr>
        <w:t>l</w:t>
      </w:r>
      <w:r>
        <w:rPr>
          <w:w w:val="111"/>
        </w:rPr>
        <w:t>atina</w:t>
      </w:r>
      <w:r>
        <w:rPr>
          <w:spacing w:val="6"/>
        </w:rPr>
        <w:t> </w:t>
      </w:r>
      <w:r>
        <w:rPr>
          <w:w w:val="105"/>
        </w:rPr>
        <w:t>y</w:t>
      </w:r>
      <w:r>
        <w:rPr>
          <w:spacing w:val="6"/>
        </w:rPr>
        <w:t> </w:t>
      </w:r>
      <w:r>
        <w:rPr>
          <w:w w:val="107"/>
        </w:rPr>
        <w:t>el</w:t>
      </w:r>
      <w:r>
        <w:rPr>
          <w:spacing w:val="6"/>
        </w:rPr>
        <w:t> </w:t>
      </w:r>
      <w:r>
        <w:rPr>
          <w:w w:val="112"/>
        </w:rPr>
        <w:t>Caribe </w:t>
      </w:r>
      <w:r>
        <w:rPr>
          <w:w w:val="120"/>
        </w:rPr>
        <w:t>que</w:t>
      </w:r>
      <w:r>
        <w:rPr>
          <w:spacing w:val="-9"/>
          <w:w w:val="120"/>
        </w:rPr>
        <w:t> </w:t>
      </w:r>
      <w:r>
        <w:rPr>
          <w:w w:val="120"/>
        </w:rPr>
        <w:t>se</w:t>
      </w:r>
      <w:r>
        <w:rPr>
          <w:spacing w:val="-9"/>
          <w:w w:val="120"/>
        </w:rPr>
        <w:t> </w:t>
      </w:r>
      <w:r>
        <w:rPr>
          <w:w w:val="120"/>
        </w:rPr>
        <w:t>han</w:t>
      </w:r>
      <w:r>
        <w:rPr>
          <w:spacing w:val="-9"/>
          <w:w w:val="120"/>
        </w:rPr>
        <w:t> </w:t>
      </w:r>
      <w:r>
        <w:rPr>
          <w:w w:val="120"/>
        </w:rPr>
        <w:t>fundado</w:t>
      </w:r>
      <w:r>
        <w:rPr>
          <w:spacing w:val="-9"/>
          <w:w w:val="120"/>
        </w:rPr>
        <w:t> </w:t>
      </w:r>
      <w:r>
        <w:rPr>
          <w:w w:val="120"/>
        </w:rPr>
        <w:t>en</w:t>
      </w:r>
      <w:r>
        <w:rPr>
          <w:spacing w:val="-9"/>
          <w:w w:val="120"/>
        </w:rPr>
        <w:t> </w:t>
      </w:r>
      <w:r>
        <w:rPr>
          <w:w w:val="120"/>
        </w:rPr>
        <w:t>los</w:t>
      </w:r>
      <w:r>
        <w:rPr>
          <w:spacing w:val="-9"/>
          <w:w w:val="120"/>
        </w:rPr>
        <w:t> </w:t>
      </w:r>
      <w:r>
        <w:rPr>
          <w:w w:val="120"/>
        </w:rPr>
        <w:t>años</w:t>
      </w:r>
      <w:r>
        <w:rPr>
          <w:spacing w:val="-9"/>
          <w:w w:val="120"/>
        </w:rPr>
        <w:t> </w:t>
      </w:r>
      <w:r>
        <w:rPr>
          <w:w w:val="120"/>
        </w:rPr>
        <w:t>más</w:t>
      </w:r>
      <w:r>
        <w:rPr>
          <w:spacing w:val="-9"/>
          <w:w w:val="120"/>
        </w:rPr>
        <w:t> </w:t>
      </w:r>
      <w:r>
        <w:rPr>
          <w:w w:val="120"/>
        </w:rPr>
        <w:t>recientes</w:t>
      </w:r>
      <w:r>
        <w:rPr>
          <w:spacing w:val="-9"/>
          <w:w w:val="120"/>
        </w:rPr>
        <w:t> </w:t>
      </w:r>
      <w:r>
        <w:rPr>
          <w:spacing w:val="-11"/>
          <w:w w:val="120"/>
        </w:rPr>
        <w:t>y,</w:t>
      </w:r>
      <w:r>
        <w:rPr>
          <w:spacing w:val="-9"/>
          <w:w w:val="120"/>
        </w:rPr>
        <w:t> </w:t>
      </w:r>
      <w:r>
        <w:rPr>
          <w:w w:val="120"/>
        </w:rPr>
        <w:t>en</w:t>
      </w:r>
      <w:r>
        <w:rPr>
          <w:spacing w:val="-9"/>
          <w:w w:val="120"/>
        </w:rPr>
        <w:t> </w:t>
      </w:r>
      <w:r>
        <w:rPr>
          <w:w w:val="120"/>
        </w:rPr>
        <w:t>particular,</w:t>
      </w:r>
      <w:r>
        <w:rPr>
          <w:spacing w:val="-9"/>
          <w:w w:val="120"/>
        </w:rPr>
        <w:t> </w:t>
      </w:r>
      <w:r>
        <w:rPr>
          <w:w w:val="120"/>
        </w:rPr>
        <w:t>a</w:t>
      </w:r>
      <w:r>
        <w:rPr>
          <w:spacing w:val="-9"/>
          <w:w w:val="120"/>
        </w:rPr>
        <w:t> </w:t>
      </w:r>
      <w:r>
        <w:rPr>
          <w:w w:val="120"/>
        </w:rPr>
        <w:t>la uNasur   y   la</w:t>
      </w:r>
      <w:r>
        <w:rPr>
          <w:spacing w:val="25"/>
          <w:w w:val="120"/>
        </w:rPr>
        <w:t> </w:t>
      </w:r>
      <w:r>
        <w:rPr>
          <w:w w:val="120"/>
        </w:rPr>
        <w:t>CElaC.</w:t>
      </w:r>
    </w:p>
    <w:p>
      <w:pPr>
        <w:pStyle w:val="BodyText"/>
        <w:spacing w:line="252" w:lineRule="auto"/>
        <w:ind w:left="100" w:right="328" w:firstLine="396"/>
        <w:jc w:val="both"/>
      </w:pPr>
      <w:r>
        <w:rPr>
          <w:w w:val="110"/>
        </w:rPr>
        <w:t>Por otra parte, si la administración obama acepta la participa- ción del mandatario cubano en la antes mencionada Cumbre de las américas se agudizarán sus contradicciones con los sectores conser- vadores de los partidos demócrata y republicano. sobre todo porque, en las elecciones intermedias de noviembre de 2014, estos últimos lo- graron mantener la mayoría que tenían en la Cámara de representan- tes y acrecentar sus escaños en el  senado.</w:t>
      </w:r>
    </w:p>
    <w:p>
      <w:pPr>
        <w:pStyle w:val="BodyText"/>
        <w:spacing w:line="252" w:lineRule="auto"/>
        <w:ind w:left="100" w:right="328" w:firstLine="396"/>
        <w:jc w:val="both"/>
      </w:pPr>
      <w:r>
        <w:rPr>
          <w:w w:val="115"/>
        </w:rPr>
        <w:t>a</w:t>
      </w:r>
      <w:r>
        <w:rPr>
          <w:spacing w:val="-16"/>
          <w:w w:val="115"/>
        </w:rPr>
        <w:t> </w:t>
      </w:r>
      <w:r>
        <w:rPr>
          <w:w w:val="115"/>
        </w:rPr>
        <w:t>pesar</w:t>
      </w:r>
      <w:r>
        <w:rPr>
          <w:spacing w:val="-16"/>
          <w:w w:val="115"/>
        </w:rPr>
        <w:t> </w:t>
      </w:r>
      <w:r>
        <w:rPr>
          <w:w w:val="115"/>
        </w:rPr>
        <w:t>de</w:t>
      </w:r>
      <w:r>
        <w:rPr>
          <w:spacing w:val="-16"/>
          <w:w w:val="115"/>
        </w:rPr>
        <w:t> </w:t>
      </w:r>
      <w:r>
        <w:rPr>
          <w:w w:val="115"/>
        </w:rPr>
        <w:t>(o</w:t>
      </w:r>
      <w:r>
        <w:rPr>
          <w:spacing w:val="-16"/>
          <w:w w:val="115"/>
        </w:rPr>
        <w:t> </w:t>
      </w:r>
      <w:r>
        <w:rPr>
          <w:w w:val="115"/>
        </w:rPr>
        <w:t>quizás</w:t>
      </w:r>
      <w:r>
        <w:rPr>
          <w:spacing w:val="-16"/>
          <w:w w:val="115"/>
        </w:rPr>
        <w:t> </w:t>
      </w:r>
      <w:r>
        <w:rPr>
          <w:w w:val="115"/>
        </w:rPr>
        <w:t>por)</w:t>
      </w:r>
      <w:r>
        <w:rPr>
          <w:spacing w:val="-16"/>
          <w:w w:val="115"/>
        </w:rPr>
        <w:t> </w:t>
      </w:r>
      <w:r>
        <w:rPr>
          <w:w w:val="115"/>
        </w:rPr>
        <w:t>esa</w:t>
      </w:r>
      <w:r>
        <w:rPr>
          <w:spacing w:val="-16"/>
          <w:w w:val="115"/>
        </w:rPr>
        <w:t> </w:t>
      </w:r>
      <w:r>
        <w:rPr>
          <w:w w:val="115"/>
        </w:rPr>
        <w:t>derrota</w:t>
      </w:r>
      <w:r>
        <w:rPr>
          <w:spacing w:val="-16"/>
          <w:w w:val="115"/>
        </w:rPr>
        <w:t> </w:t>
      </w:r>
      <w:r>
        <w:rPr>
          <w:w w:val="115"/>
        </w:rPr>
        <w:t>y</w:t>
      </w:r>
      <w:r>
        <w:rPr>
          <w:spacing w:val="-16"/>
          <w:w w:val="115"/>
        </w:rPr>
        <w:t> </w:t>
      </w:r>
      <w:r>
        <w:rPr>
          <w:w w:val="115"/>
        </w:rPr>
        <w:t>luego</w:t>
      </w:r>
      <w:r>
        <w:rPr>
          <w:spacing w:val="-16"/>
          <w:w w:val="115"/>
        </w:rPr>
        <w:t> </w:t>
      </w:r>
      <w:r>
        <w:rPr>
          <w:w w:val="115"/>
        </w:rPr>
        <w:t>de</w:t>
      </w:r>
      <w:r>
        <w:rPr>
          <w:spacing w:val="-16"/>
          <w:w w:val="115"/>
        </w:rPr>
        <w:t> </w:t>
      </w:r>
      <w:r>
        <w:rPr>
          <w:w w:val="115"/>
        </w:rPr>
        <w:t>18</w:t>
      </w:r>
      <w:r>
        <w:rPr>
          <w:spacing w:val="-16"/>
          <w:w w:val="115"/>
        </w:rPr>
        <w:t> </w:t>
      </w:r>
      <w:r>
        <w:rPr>
          <w:w w:val="115"/>
        </w:rPr>
        <w:t>meses</w:t>
      </w:r>
      <w:r>
        <w:rPr>
          <w:spacing w:val="-16"/>
          <w:w w:val="115"/>
        </w:rPr>
        <w:t> </w:t>
      </w:r>
      <w:r>
        <w:rPr>
          <w:w w:val="115"/>
        </w:rPr>
        <w:t>de</w:t>
      </w:r>
      <w:r>
        <w:rPr>
          <w:spacing w:val="-16"/>
          <w:w w:val="115"/>
        </w:rPr>
        <w:t> </w:t>
      </w:r>
      <w:r>
        <w:rPr>
          <w:w w:val="115"/>
        </w:rPr>
        <w:t>con- versaciones secretas de alto nivel realizadas en Canadá, de manera </w:t>
      </w:r>
      <w:r>
        <w:rPr>
          <w:w w:val="110"/>
        </w:rPr>
        <w:t>sorpresiva</w:t>
      </w:r>
      <w:r>
        <w:rPr>
          <w:spacing w:val="-11"/>
          <w:w w:val="110"/>
        </w:rPr>
        <w:t> </w:t>
      </w:r>
      <w:r>
        <w:rPr>
          <w:w w:val="110"/>
        </w:rPr>
        <w:t>el</w:t>
      </w:r>
      <w:r>
        <w:rPr>
          <w:spacing w:val="-11"/>
          <w:w w:val="110"/>
        </w:rPr>
        <w:t> </w:t>
      </w:r>
      <w:r>
        <w:rPr>
          <w:w w:val="110"/>
        </w:rPr>
        <w:t>17</w:t>
      </w:r>
      <w:r>
        <w:rPr>
          <w:spacing w:val="-11"/>
          <w:w w:val="110"/>
        </w:rPr>
        <w:t> </w:t>
      </w:r>
      <w:r>
        <w:rPr>
          <w:w w:val="110"/>
        </w:rPr>
        <w:t>de</w:t>
      </w:r>
      <w:r>
        <w:rPr>
          <w:spacing w:val="-11"/>
          <w:w w:val="110"/>
        </w:rPr>
        <w:t> </w:t>
      </w:r>
      <w:r>
        <w:rPr>
          <w:w w:val="110"/>
        </w:rPr>
        <w:t>diciembre</w:t>
      </w:r>
      <w:r>
        <w:rPr>
          <w:spacing w:val="-11"/>
          <w:w w:val="110"/>
        </w:rPr>
        <w:t> </w:t>
      </w:r>
      <w:r>
        <w:rPr>
          <w:w w:val="110"/>
        </w:rPr>
        <w:t>de</w:t>
      </w:r>
      <w:r>
        <w:rPr>
          <w:spacing w:val="-11"/>
          <w:w w:val="110"/>
        </w:rPr>
        <w:t> </w:t>
      </w:r>
      <w:r>
        <w:rPr>
          <w:w w:val="110"/>
        </w:rPr>
        <w:t>2014</w:t>
      </w:r>
      <w:r>
        <w:rPr>
          <w:spacing w:val="-11"/>
          <w:w w:val="110"/>
        </w:rPr>
        <w:t> </w:t>
      </w:r>
      <w:r>
        <w:rPr>
          <w:w w:val="110"/>
        </w:rPr>
        <w:t>los</w:t>
      </w:r>
      <w:r>
        <w:rPr>
          <w:spacing w:val="-11"/>
          <w:w w:val="110"/>
        </w:rPr>
        <w:t> </w:t>
      </w:r>
      <w:r>
        <w:rPr>
          <w:w w:val="110"/>
        </w:rPr>
        <w:t>actuales</w:t>
      </w:r>
      <w:r>
        <w:rPr>
          <w:spacing w:val="-11"/>
          <w:w w:val="110"/>
        </w:rPr>
        <w:t> </w:t>
      </w:r>
      <w:r>
        <w:rPr>
          <w:w w:val="110"/>
        </w:rPr>
        <w:t>presidentes</w:t>
      </w:r>
      <w:r>
        <w:rPr>
          <w:spacing w:val="-11"/>
          <w:w w:val="110"/>
        </w:rPr>
        <w:t> </w:t>
      </w:r>
      <w:r>
        <w:rPr>
          <w:w w:val="110"/>
        </w:rPr>
        <w:t>de</w:t>
      </w:r>
      <w:r>
        <w:rPr>
          <w:spacing w:val="-11"/>
          <w:w w:val="110"/>
        </w:rPr>
        <w:t> </w:t>
      </w:r>
      <w:r>
        <w:rPr>
          <w:w w:val="110"/>
        </w:rPr>
        <w:t>Cuba </w:t>
      </w:r>
      <w:r>
        <w:rPr>
          <w:w w:val="115"/>
        </w:rPr>
        <w:t>y de los Estados unidos, raúl Castro y barack obama, anunciaron su decisión</w:t>
      </w:r>
      <w:r>
        <w:rPr>
          <w:spacing w:val="-24"/>
          <w:w w:val="115"/>
        </w:rPr>
        <w:t> </w:t>
      </w:r>
      <w:r>
        <w:rPr>
          <w:w w:val="115"/>
        </w:rPr>
        <w:t>de</w:t>
      </w:r>
      <w:r>
        <w:rPr>
          <w:spacing w:val="-24"/>
          <w:w w:val="115"/>
        </w:rPr>
        <w:t> </w:t>
      </w:r>
      <w:r>
        <w:rPr>
          <w:w w:val="115"/>
        </w:rPr>
        <w:t>emprender</w:t>
      </w:r>
      <w:r>
        <w:rPr>
          <w:spacing w:val="-24"/>
          <w:w w:val="115"/>
        </w:rPr>
        <w:t> </w:t>
      </w:r>
      <w:r>
        <w:rPr>
          <w:w w:val="115"/>
        </w:rPr>
        <w:t>de</w:t>
      </w:r>
      <w:r>
        <w:rPr>
          <w:spacing w:val="-24"/>
          <w:w w:val="115"/>
        </w:rPr>
        <w:t> </w:t>
      </w:r>
      <w:r>
        <w:rPr>
          <w:w w:val="115"/>
        </w:rPr>
        <w:t>manera</w:t>
      </w:r>
      <w:r>
        <w:rPr>
          <w:spacing w:val="-24"/>
          <w:w w:val="115"/>
        </w:rPr>
        <w:t> </w:t>
      </w:r>
      <w:r>
        <w:rPr>
          <w:w w:val="115"/>
        </w:rPr>
        <w:t>inmediata</w:t>
      </w:r>
      <w:r>
        <w:rPr>
          <w:spacing w:val="-24"/>
          <w:w w:val="115"/>
        </w:rPr>
        <w:t> </w:t>
      </w:r>
      <w:r>
        <w:rPr>
          <w:w w:val="115"/>
        </w:rPr>
        <w:t>negociaciones</w:t>
      </w:r>
      <w:r>
        <w:rPr>
          <w:spacing w:val="-24"/>
          <w:w w:val="115"/>
        </w:rPr>
        <w:t> </w:t>
      </w:r>
      <w:r>
        <w:rPr>
          <w:w w:val="115"/>
        </w:rPr>
        <w:t>dirigidas a</w:t>
      </w:r>
      <w:r>
        <w:rPr>
          <w:spacing w:val="-6"/>
          <w:w w:val="115"/>
        </w:rPr>
        <w:t> </w:t>
      </w:r>
      <w:r>
        <w:rPr>
          <w:w w:val="115"/>
        </w:rPr>
        <w:t>restablecer</w:t>
      </w:r>
      <w:r>
        <w:rPr>
          <w:spacing w:val="-6"/>
          <w:w w:val="115"/>
        </w:rPr>
        <w:t> </w:t>
      </w:r>
      <w:r>
        <w:rPr>
          <w:w w:val="115"/>
        </w:rPr>
        <w:t>sus</w:t>
      </w:r>
      <w:r>
        <w:rPr>
          <w:spacing w:val="-6"/>
          <w:w w:val="115"/>
        </w:rPr>
        <w:t> </w:t>
      </w:r>
      <w:r>
        <w:rPr>
          <w:w w:val="115"/>
        </w:rPr>
        <w:t>relaciones</w:t>
      </w:r>
      <w:r>
        <w:rPr>
          <w:spacing w:val="-6"/>
          <w:w w:val="115"/>
        </w:rPr>
        <w:t> </w:t>
      </w:r>
      <w:r>
        <w:rPr>
          <w:w w:val="115"/>
        </w:rPr>
        <w:t>diplomáticas,</w:t>
      </w:r>
      <w:r>
        <w:rPr>
          <w:spacing w:val="-6"/>
          <w:w w:val="115"/>
        </w:rPr>
        <w:t> </w:t>
      </w:r>
      <w:r>
        <w:rPr>
          <w:w w:val="115"/>
        </w:rPr>
        <w:t>así</w:t>
      </w:r>
      <w:r>
        <w:rPr>
          <w:spacing w:val="-6"/>
          <w:w w:val="115"/>
        </w:rPr>
        <w:t> </w:t>
      </w:r>
      <w:r>
        <w:rPr>
          <w:w w:val="115"/>
        </w:rPr>
        <w:t>como</w:t>
      </w:r>
      <w:r>
        <w:rPr>
          <w:spacing w:val="-6"/>
          <w:w w:val="115"/>
        </w:rPr>
        <w:t> </w:t>
      </w:r>
      <w:r>
        <w:rPr>
          <w:w w:val="115"/>
        </w:rPr>
        <w:t>a</w:t>
      </w:r>
      <w:r>
        <w:rPr>
          <w:spacing w:val="-6"/>
          <w:w w:val="115"/>
        </w:rPr>
        <w:t> </w:t>
      </w:r>
      <w:r>
        <w:rPr>
          <w:spacing w:val="-3"/>
          <w:w w:val="115"/>
        </w:rPr>
        <w:t>iniciar,</w:t>
      </w:r>
      <w:r>
        <w:rPr>
          <w:spacing w:val="-6"/>
          <w:w w:val="115"/>
        </w:rPr>
        <w:t> </w:t>
      </w:r>
      <w:r>
        <w:rPr>
          <w:w w:val="115"/>
        </w:rPr>
        <w:t>a</w:t>
      </w:r>
      <w:r>
        <w:rPr>
          <w:spacing w:val="-6"/>
          <w:w w:val="115"/>
        </w:rPr>
        <w:t> </w:t>
      </w:r>
      <w:r>
        <w:rPr>
          <w:w w:val="115"/>
        </w:rPr>
        <w:t>partir de ellas, el largo, complejo, difícil </w:t>
      </w:r>
      <w:r>
        <w:rPr>
          <w:spacing w:val="-11"/>
          <w:w w:val="115"/>
        </w:rPr>
        <w:t>y, </w:t>
      </w:r>
      <w:r>
        <w:rPr>
          <w:w w:val="115"/>
        </w:rPr>
        <w:t>en mi opinión, aún incierto ca- mino</w:t>
      </w:r>
      <w:r>
        <w:rPr>
          <w:spacing w:val="-13"/>
          <w:w w:val="115"/>
        </w:rPr>
        <w:t> </w:t>
      </w:r>
      <w:r>
        <w:rPr>
          <w:w w:val="115"/>
        </w:rPr>
        <w:t>que,</w:t>
      </w:r>
      <w:r>
        <w:rPr>
          <w:spacing w:val="-13"/>
          <w:w w:val="115"/>
        </w:rPr>
        <w:t> </w:t>
      </w:r>
      <w:r>
        <w:rPr>
          <w:w w:val="115"/>
        </w:rPr>
        <w:t>algún</w:t>
      </w:r>
      <w:r>
        <w:rPr>
          <w:spacing w:val="-13"/>
          <w:w w:val="115"/>
        </w:rPr>
        <w:t> </w:t>
      </w:r>
      <w:r>
        <w:rPr>
          <w:w w:val="115"/>
        </w:rPr>
        <w:t>día,</w:t>
      </w:r>
      <w:r>
        <w:rPr>
          <w:spacing w:val="-13"/>
          <w:w w:val="115"/>
        </w:rPr>
        <w:t> </w:t>
      </w:r>
      <w:r>
        <w:rPr>
          <w:w w:val="115"/>
        </w:rPr>
        <w:t>conducirá</w:t>
      </w:r>
      <w:r>
        <w:rPr>
          <w:spacing w:val="-13"/>
          <w:w w:val="115"/>
        </w:rPr>
        <w:t> </w:t>
      </w:r>
      <w:r>
        <w:rPr>
          <w:w w:val="115"/>
        </w:rPr>
        <w:t>a</w:t>
      </w:r>
      <w:r>
        <w:rPr>
          <w:spacing w:val="-13"/>
          <w:w w:val="115"/>
        </w:rPr>
        <w:t> </w:t>
      </w:r>
      <w:r>
        <w:rPr>
          <w:w w:val="115"/>
        </w:rPr>
        <w:t>“la</w:t>
      </w:r>
      <w:r>
        <w:rPr>
          <w:spacing w:val="-13"/>
          <w:w w:val="115"/>
        </w:rPr>
        <w:t> </w:t>
      </w:r>
      <w:r>
        <w:rPr>
          <w:w w:val="115"/>
        </w:rPr>
        <w:t>normalización”</w:t>
      </w:r>
      <w:r>
        <w:rPr>
          <w:spacing w:val="-13"/>
          <w:w w:val="115"/>
        </w:rPr>
        <w:t> </w:t>
      </w:r>
      <w:r>
        <w:rPr>
          <w:w w:val="115"/>
        </w:rPr>
        <w:t>de</w:t>
      </w:r>
      <w:r>
        <w:rPr>
          <w:spacing w:val="-13"/>
          <w:w w:val="115"/>
        </w:rPr>
        <w:t> </w:t>
      </w:r>
      <w:r>
        <w:rPr>
          <w:w w:val="115"/>
        </w:rPr>
        <w:t>las</w:t>
      </w:r>
      <w:r>
        <w:rPr>
          <w:spacing w:val="-13"/>
          <w:w w:val="115"/>
        </w:rPr>
        <w:t> </w:t>
      </w:r>
      <w:r>
        <w:rPr>
          <w:w w:val="115"/>
        </w:rPr>
        <w:t>relaciones </w:t>
      </w:r>
      <w:r>
        <w:rPr>
          <w:w w:val="110"/>
        </w:rPr>
        <w:t>oficiales entre ambos</w:t>
      </w:r>
      <w:r>
        <w:rPr>
          <w:spacing w:val="13"/>
          <w:w w:val="110"/>
        </w:rPr>
        <w:t> </w:t>
      </w:r>
      <w:r>
        <w:rPr>
          <w:w w:val="110"/>
        </w:rPr>
        <w:t>países.</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firstLine="396"/>
        <w:jc w:val="both"/>
      </w:pPr>
      <w:r>
        <w:rPr>
          <w:w w:val="110"/>
        </w:rPr>
        <w:t>Mucho más porque tanto en el discurso que pronunció barack obama, como en el comunicado oficial difundido ese mismo día por   la Casa blanca se indicó expresamente que el abandono de los fracasa- dos métodos empleados desde 1959 hasta la actualidad por sucesivas administraciones estadounidenses, no implicaban una modificación de su objetivo de producir el llamado “cambio del régimen  </w:t>
      </w:r>
      <w:r>
        <w:rPr>
          <w:spacing w:val="14"/>
          <w:w w:val="110"/>
        </w:rPr>
        <w:t> </w:t>
      </w:r>
      <w:r>
        <w:rPr>
          <w:w w:val="110"/>
        </w:rPr>
        <w:t>cubano”.</w:t>
      </w:r>
    </w:p>
    <w:p>
      <w:pPr>
        <w:pStyle w:val="BodyText"/>
        <w:spacing w:line="252" w:lineRule="auto"/>
        <w:ind w:left="330" w:right="117" w:firstLine="396"/>
        <w:jc w:val="both"/>
      </w:pPr>
      <w:r>
        <w:rPr>
          <w:w w:val="110"/>
        </w:rPr>
        <w:t>Esa pretensión fue rechazada por raúl Castro en el discurso que pronunció tres días después ante la asamblea Nacional del Poder Po- </w:t>
      </w:r>
      <w:r>
        <w:rPr>
          <w:spacing w:val="-4"/>
          <w:w w:val="110"/>
        </w:rPr>
        <w:t>pular. </w:t>
      </w:r>
      <w:r>
        <w:rPr>
          <w:w w:val="110"/>
        </w:rPr>
        <w:t>En este, junto a saludar “el planteamiento del presidente oba- ma de abrir un nuevo capítulo en los vínculos entre ambas naciones    y de introducir los más significativos cambios en la política estadou- nidense de los últimos 50 años”, así como de reiterar su disposición    a establecer “un dialogo respetuoso y recíproco” sobre las “profundas diferencias” que existen entre su gobierno y el de los Estados unidos indicó</w:t>
      </w:r>
      <w:r>
        <w:rPr>
          <w:spacing w:val="-6"/>
          <w:w w:val="110"/>
        </w:rPr>
        <w:t> </w:t>
      </w:r>
      <w:r>
        <w:rPr>
          <w:w w:val="110"/>
        </w:rPr>
        <w:t>que</w:t>
      </w:r>
      <w:r>
        <w:rPr>
          <w:spacing w:val="-6"/>
          <w:w w:val="110"/>
        </w:rPr>
        <w:t> </w:t>
      </w:r>
      <w:r>
        <w:rPr>
          <w:w w:val="110"/>
        </w:rPr>
        <w:t>este</w:t>
      </w:r>
      <w:r>
        <w:rPr>
          <w:spacing w:val="-6"/>
          <w:w w:val="110"/>
        </w:rPr>
        <w:t> </w:t>
      </w:r>
      <w:r>
        <w:rPr>
          <w:w w:val="110"/>
        </w:rPr>
        <w:t>no</w:t>
      </w:r>
      <w:r>
        <w:rPr>
          <w:spacing w:val="-6"/>
          <w:w w:val="110"/>
        </w:rPr>
        <w:t> </w:t>
      </w:r>
      <w:r>
        <w:rPr>
          <w:w w:val="110"/>
        </w:rPr>
        <w:t>debe</w:t>
      </w:r>
      <w:r>
        <w:rPr>
          <w:spacing w:val="-6"/>
          <w:w w:val="110"/>
        </w:rPr>
        <w:t> </w:t>
      </w:r>
      <w:r>
        <w:rPr>
          <w:w w:val="110"/>
        </w:rPr>
        <w:t>pretender</w:t>
      </w:r>
      <w:r>
        <w:rPr>
          <w:spacing w:val="-6"/>
          <w:w w:val="110"/>
        </w:rPr>
        <w:t> </w:t>
      </w:r>
      <w:r>
        <w:rPr>
          <w:w w:val="110"/>
        </w:rPr>
        <w:t>que</w:t>
      </w:r>
      <w:r>
        <w:rPr>
          <w:spacing w:val="-6"/>
          <w:w w:val="110"/>
        </w:rPr>
        <w:t> </w:t>
      </w:r>
      <w:r>
        <w:rPr>
          <w:w w:val="110"/>
        </w:rPr>
        <w:t>para</w:t>
      </w:r>
      <w:r>
        <w:rPr>
          <w:spacing w:val="-6"/>
          <w:w w:val="110"/>
        </w:rPr>
        <w:t> </w:t>
      </w:r>
      <w:r>
        <w:rPr>
          <w:w w:val="110"/>
        </w:rPr>
        <w:t>mejorar</w:t>
      </w:r>
      <w:r>
        <w:rPr>
          <w:spacing w:val="-6"/>
          <w:w w:val="110"/>
        </w:rPr>
        <w:t> </w:t>
      </w:r>
      <w:r>
        <w:rPr>
          <w:w w:val="110"/>
        </w:rPr>
        <w:t>las</w:t>
      </w:r>
      <w:r>
        <w:rPr>
          <w:spacing w:val="-6"/>
          <w:w w:val="110"/>
        </w:rPr>
        <w:t> </w:t>
      </w:r>
      <w:r>
        <w:rPr>
          <w:w w:val="110"/>
        </w:rPr>
        <w:t>relaciones</w:t>
      </w:r>
      <w:r>
        <w:rPr>
          <w:spacing w:val="-6"/>
          <w:w w:val="110"/>
        </w:rPr>
        <w:t> </w:t>
      </w:r>
      <w:r>
        <w:rPr>
          <w:w w:val="110"/>
        </w:rPr>
        <w:t>mu- tuas, “Cuba renuncie a las ideas por las que ha luchado durante más  de un siglo, por las que su pueblo ha derramado mucha sangre y ha corrido los mayores riesgos” (Castro,</w:t>
      </w:r>
      <w:r>
        <w:rPr>
          <w:spacing w:val="3"/>
          <w:w w:val="110"/>
        </w:rPr>
        <w:t> </w:t>
      </w:r>
      <w:r>
        <w:rPr>
          <w:w w:val="110"/>
        </w:rPr>
        <w:t>2014).</w:t>
      </w:r>
    </w:p>
    <w:p>
      <w:pPr>
        <w:pStyle w:val="BodyText"/>
        <w:spacing w:before="5"/>
      </w:pPr>
    </w:p>
    <w:p>
      <w:pPr>
        <w:pStyle w:val="Heading6"/>
        <w:ind w:left="331"/>
      </w:pPr>
      <w:r>
        <w:rPr>
          <w:w w:val="140"/>
        </w:rPr>
        <w:t>a</w:t>
      </w:r>
      <w:r>
        <w:rPr>
          <w:spacing w:val="-56"/>
          <w:w w:val="140"/>
        </w:rPr>
        <w:t> </w:t>
      </w:r>
      <w:r>
        <w:rPr>
          <w:spacing w:val="2"/>
          <w:w w:val="140"/>
        </w:rPr>
        <w:t>Modo</w:t>
      </w:r>
      <w:r>
        <w:rPr>
          <w:spacing w:val="-56"/>
          <w:w w:val="140"/>
        </w:rPr>
        <w:t> </w:t>
      </w:r>
      <w:r>
        <w:rPr>
          <w:w w:val="140"/>
        </w:rPr>
        <w:t>de</w:t>
      </w:r>
      <w:r>
        <w:rPr>
          <w:spacing w:val="-56"/>
          <w:w w:val="140"/>
        </w:rPr>
        <w:t> </w:t>
      </w:r>
      <w:r>
        <w:rPr>
          <w:w w:val="140"/>
        </w:rPr>
        <w:t>conclusión</w:t>
      </w:r>
    </w:p>
    <w:p>
      <w:pPr>
        <w:pStyle w:val="BodyText"/>
        <w:spacing w:line="252" w:lineRule="auto" w:before="10"/>
        <w:ind w:left="330" w:right="117"/>
        <w:jc w:val="both"/>
      </w:pPr>
      <w:r>
        <w:rPr>
          <w:w w:val="110"/>
        </w:rPr>
        <w:t>Por todo lo dicho en los acápites precedentes y por otros elementos excluidos en beneficio de la síntesis (como las constantes movilizacio- nes contra la política de Estados unidos que despliegan las principa- les redes de los movimientos sociales y la mayoría de los partidos de “la izquierda” latinoamericana y caribeña integrantes del Foro de san Pablo, así como de las crecientes relaciones políticas y económicas  que se han venido desarrollando entre varios gobiernos de américa </w:t>
      </w:r>
      <w:r>
        <w:rPr>
          <w:w w:val="243"/>
        </w:rPr>
        <w:t>l</w:t>
      </w:r>
      <w:r>
        <w:rPr>
          <w:w w:val="111"/>
        </w:rPr>
        <w:t>atina</w:t>
      </w:r>
      <w:r>
        <w:rPr>
          <w:spacing w:val="5"/>
        </w:rPr>
        <w:t> </w:t>
      </w:r>
      <w:r>
        <w:rPr>
          <w:w w:val="105"/>
        </w:rPr>
        <w:t>y</w:t>
      </w:r>
      <w:r>
        <w:rPr>
          <w:spacing w:val="5"/>
        </w:rPr>
        <w:t> </w:t>
      </w:r>
      <w:r>
        <w:rPr>
          <w:w w:val="107"/>
        </w:rPr>
        <w:t>el</w:t>
      </w:r>
      <w:r>
        <w:rPr>
          <w:spacing w:val="5"/>
        </w:rPr>
        <w:t> </w:t>
      </w:r>
      <w:r>
        <w:rPr>
          <w:w w:val="112"/>
        </w:rPr>
        <w:t>Caribe</w:t>
      </w:r>
      <w:r>
        <w:rPr>
          <w:spacing w:val="5"/>
        </w:rPr>
        <w:t> </w:t>
      </w:r>
      <w:r>
        <w:rPr>
          <w:w w:val="112"/>
        </w:rPr>
        <w:t>con</w:t>
      </w:r>
      <w:r>
        <w:rPr>
          <w:spacing w:val="5"/>
        </w:rPr>
        <w:t> </w:t>
      </w:r>
      <w:r>
        <w:rPr>
          <w:w w:val="111"/>
        </w:rPr>
        <w:t>la</w:t>
      </w:r>
      <w:r>
        <w:rPr>
          <w:spacing w:val="5"/>
        </w:rPr>
        <w:t> </w:t>
      </w:r>
      <w:r>
        <w:rPr>
          <w:w w:val="182"/>
        </w:rPr>
        <w:t>r</w:t>
      </w:r>
      <w:r>
        <w:rPr>
          <w:w w:val="111"/>
        </w:rPr>
        <w:t>epública</w:t>
      </w:r>
      <w:r>
        <w:rPr>
          <w:spacing w:val="5"/>
        </w:rPr>
        <w:t> </w:t>
      </w:r>
      <w:r>
        <w:rPr>
          <w:w w:val="110"/>
        </w:rPr>
        <w:t>Popular</w:t>
      </w:r>
      <w:r>
        <w:rPr>
          <w:spacing w:val="5"/>
        </w:rPr>
        <w:t> </w:t>
      </w:r>
      <w:r>
        <w:rPr>
          <w:w w:val="115"/>
        </w:rPr>
        <w:t>China</w:t>
      </w:r>
      <w:r>
        <w:rPr>
          <w:spacing w:val="5"/>
        </w:rPr>
        <w:t> </w:t>
      </w:r>
      <w:r>
        <w:rPr>
          <w:w w:val="105"/>
        </w:rPr>
        <w:t>y</w:t>
      </w:r>
      <w:r>
        <w:rPr>
          <w:spacing w:val="5"/>
        </w:rPr>
        <w:t> </w:t>
      </w:r>
      <w:r>
        <w:rPr>
          <w:w w:val="112"/>
        </w:rPr>
        <w:t>con</w:t>
      </w:r>
      <w:r>
        <w:rPr>
          <w:spacing w:val="5"/>
        </w:rPr>
        <w:t> </w:t>
      </w:r>
      <w:r>
        <w:rPr>
          <w:w w:val="111"/>
        </w:rPr>
        <w:t>la</w:t>
      </w:r>
      <w:r>
        <w:rPr>
          <w:spacing w:val="5"/>
        </w:rPr>
        <w:t> </w:t>
      </w:r>
      <w:r>
        <w:rPr>
          <w:w w:val="110"/>
        </w:rPr>
        <w:t>Federación </w:t>
      </w:r>
      <w:r>
        <w:rPr>
          <w:w w:val="110"/>
        </w:rPr>
        <w:t>rusa) considero que durante los años que le quedan a la segunda pre- sidencia de barack obama se le presentarán grandes obstáculos para el cumplimiento de los principales objetivos generales mencionados en este</w:t>
      </w:r>
      <w:r>
        <w:rPr>
          <w:spacing w:val="-2"/>
          <w:w w:val="110"/>
        </w:rPr>
        <w:t> </w:t>
      </w:r>
      <w:r>
        <w:rPr>
          <w:w w:val="110"/>
        </w:rPr>
        <w:t>ensayo.</w:t>
      </w:r>
    </w:p>
    <w:p>
      <w:pPr>
        <w:pStyle w:val="BodyText"/>
        <w:spacing w:line="252" w:lineRule="auto"/>
        <w:ind w:left="330" w:right="118" w:firstLine="396"/>
        <w:jc w:val="both"/>
      </w:pPr>
      <w:r>
        <w:rPr>
          <w:w w:val="115"/>
        </w:rPr>
        <w:t>Como</w:t>
      </w:r>
      <w:r>
        <w:rPr>
          <w:spacing w:val="-23"/>
          <w:w w:val="115"/>
        </w:rPr>
        <w:t> </w:t>
      </w:r>
      <w:r>
        <w:rPr>
          <w:w w:val="115"/>
        </w:rPr>
        <w:t>ya</w:t>
      </w:r>
      <w:r>
        <w:rPr>
          <w:spacing w:val="-23"/>
          <w:w w:val="115"/>
        </w:rPr>
        <w:t> </w:t>
      </w:r>
      <w:r>
        <w:rPr>
          <w:w w:val="115"/>
        </w:rPr>
        <w:t>se</w:t>
      </w:r>
      <w:r>
        <w:rPr>
          <w:spacing w:val="-23"/>
          <w:w w:val="115"/>
        </w:rPr>
        <w:t> </w:t>
      </w:r>
      <w:r>
        <w:rPr>
          <w:w w:val="115"/>
        </w:rPr>
        <w:t>ha</w:t>
      </w:r>
      <w:r>
        <w:rPr>
          <w:spacing w:val="-23"/>
          <w:w w:val="115"/>
        </w:rPr>
        <w:t> </w:t>
      </w:r>
      <w:r>
        <w:rPr>
          <w:w w:val="115"/>
        </w:rPr>
        <w:t>visto</w:t>
      </w:r>
      <w:r>
        <w:rPr>
          <w:spacing w:val="-23"/>
          <w:w w:val="115"/>
        </w:rPr>
        <w:t> </w:t>
      </w:r>
      <w:r>
        <w:rPr>
          <w:w w:val="115"/>
        </w:rPr>
        <w:t>en</w:t>
      </w:r>
      <w:r>
        <w:rPr>
          <w:spacing w:val="-23"/>
          <w:w w:val="115"/>
        </w:rPr>
        <w:t> </w:t>
      </w:r>
      <w:r>
        <w:rPr>
          <w:w w:val="115"/>
        </w:rPr>
        <w:t>las</w:t>
      </w:r>
      <w:r>
        <w:rPr>
          <w:spacing w:val="-23"/>
          <w:w w:val="115"/>
        </w:rPr>
        <w:t> </w:t>
      </w:r>
      <w:r>
        <w:rPr>
          <w:w w:val="115"/>
        </w:rPr>
        <w:t>más</w:t>
      </w:r>
      <w:r>
        <w:rPr>
          <w:spacing w:val="-23"/>
          <w:w w:val="115"/>
        </w:rPr>
        <w:t> </w:t>
      </w:r>
      <w:r>
        <w:rPr>
          <w:w w:val="115"/>
        </w:rPr>
        <w:t>recientes</w:t>
      </w:r>
      <w:r>
        <w:rPr>
          <w:spacing w:val="-23"/>
          <w:w w:val="115"/>
        </w:rPr>
        <w:t> </w:t>
      </w:r>
      <w:r>
        <w:rPr>
          <w:w w:val="115"/>
        </w:rPr>
        <w:t>Cumbres</w:t>
      </w:r>
      <w:r>
        <w:rPr>
          <w:spacing w:val="-23"/>
          <w:w w:val="115"/>
        </w:rPr>
        <w:t> </w:t>
      </w:r>
      <w:r>
        <w:rPr>
          <w:w w:val="115"/>
        </w:rPr>
        <w:t>de</w:t>
      </w:r>
      <w:r>
        <w:rPr>
          <w:spacing w:val="-23"/>
          <w:w w:val="115"/>
        </w:rPr>
        <w:t> </w:t>
      </w:r>
      <w:r>
        <w:rPr>
          <w:w w:val="115"/>
        </w:rPr>
        <w:t>las</w:t>
      </w:r>
      <w:r>
        <w:rPr>
          <w:spacing w:val="-23"/>
          <w:w w:val="115"/>
        </w:rPr>
        <w:t> </w:t>
      </w:r>
      <w:r>
        <w:rPr>
          <w:w w:val="115"/>
        </w:rPr>
        <w:t>américas y</w:t>
      </w:r>
      <w:r>
        <w:rPr>
          <w:spacing w:val="-26"/>
          <w:w w:val="115"/>
        </w:rPr>
        <w:t> </w:t>
      </w:r>
      <w:r>
        <w:rPr>
          <w:w w:val="115"/>
        </w:rPr>
        <w:t>en</w:t>
      </w:r>
      <w:r>
        <w:rPr>
          <w:spacing w:val="-26"/>
          <w:w w:val="115"/>
        </w:rPr>
        <w:t> </w:t>
      </w:r>
      <w:r>
        <w:rPr>
          <w:w w:val="115"/>
        </w:rPr>
        <w:t>las</w:t>
      </w:r>
      <w:r>
        <w:rPr>
          <w:spacing w:val="-26"/>
          <w:w w:val="115"/>
        </w:rPr>
        <w:t> </w:t>
      </w:r>
      <w:r>
        <w:rPr>
          <w:w w:val="115"/>
        </w:rPr>
        <w:t>diversas</w:t>
      </w:r>
      <w:r>
        <w:rPr>
          <w:spacing w:val="-26"/>
          <w:w w:val="115"/>
        </w:rPr>
        <w:t> </w:t>
      </w:r>
      <w:r>
        <w:rPr>
          <w:w w:val="115"/>
        </w:rPr>
        <w:t>asambleas</w:t>
      </w:r>
      <w:r>
        <w:rPr>
          <w:spacing w:val="-26"/>
          <w:w w:val="115"/>
        </w:rPr>
        <w:t> </w:t>
      </w:r>
      <w:r>
        <w:rPr>
          <w:w w:val="115"/>
        </w:rPr>
        <w:t>Generales</w:t>
      </w:r>
      <w:r>
        <w:rPr>
          <w:spacing w:val="-26"/>
          <w:w w:val="115"/>
        </w:rPr>
        <w:t> </w:t>
      </w:r>
      <w:r>
        <w:rPr>
          <w:w w:val="115"/>
        </w:rPr>
        <w:t>de</w:t>
      </w:r>
      <w:r>
        <w:rPr>
          <w:spacing w:val="-26"/>
          <w:w w:val="115"/>
        </w:rPr>
        <w:t> </w:t>
      </w:r>
      <w:r>
        <w:rPr>
          <w:w w:val="115"/>
        </w:rPr>
        <w:t>la</w:t>
      </w:r>
      <w:r>
        <w:rPr>
          <w:spacing w:val="-26"/>
          <w:w w:val="115"/>
        </w:rPr>
        <w:t> </w:t>
      </w:r>
      <w:r>
        <w:rPr>
          <w:w w:val="125"/>
        </w:rPr>
        <w:t>oEa</w:t>
      </w:r>
      <w:r>
        <w:rPr>
          <w:spacing w:val="-30"/>
          <w:w w:val="125"/>
        </w:rPr>
        <w:t> </w:t>
      </w:r>
      <w:r>
        <w:rPr>
          <w:w w:val="115"/>
        </w:rPr>
        <w:t>–incluidas</w:t>
      </w:r>
      <w:r>
        <w:rPr>
          <w:spacing w:val="-26"/>
          <w:w w:val="115"/>
        </w:rPr>
        <w:t> </w:t>
      </w:r>
      <w:r>
        <w:rPr>
          <w:w w:val="115"/>
        </w:rPr>
        <w:t>las</w:t>
      </w:r>
      <w:r>
        <w:rPr>
          <w:spacing w:val="-26"/>
          <w:w w:val="115"/>
        </w:rPr>
        <w:t> </w:t>
      </w:r>
      <w:r>
        <w:rPr>
          <w:w w:val="115"/>
        </w:rPr>
        <w:t>que</w:t>
      </w:r>
      <w:r>
        <w:rPr>
          <w:spacing w:val="-26"/>
          <w:w w:val="115"/>
        </w:rPr>
        <w:t> </w:t>
      </w:r>
      <w:r>
        <w:rPr>
          <w:w w:val="115"/>
        </w:rPr>
        <w:t>dis- cutieron</w:t>
      </w:r>
      <w:r>
        <w:rPr>
          <w:spacing w:val="-9"/>
          <w:w w:val="115"/>
        </w:rPr>
        <w:t> </w:t>
      </w:r>
      <w:r>
        <w:rPr>
          <w:w w:val="115"/>
        </w:rPr>
        <w:t>las</w:t>
      </w:r>
      <w:r>
        <w:rPr>
          <w:spacing w:val="-9"/>
          <w:w w:val="115"/>
        </w:rPr>
        <w:t> </w:t>
      </w:r>
      <w:r>
        <w:rPr>
          <w:w w:val="115"/>
        </w:rPr>
        <w:t>reformas</w:t>
      </w:r>
      <w:r>
        <w:rPr>
          <w:spacing w:val="-9"/>
          <w:w w:val="115"/>
        </w:rPr>
        <w:t> </w:t>
      </w:r>
      <w:r>
        <w:rPr>
          <w:w w:val="115"/>
        </w:rPr>
        <w:t>a</w:t>
      </w:r>
      <w:r>
        <w:rPr>
          <w:spacing w:val="-9"/>
          <w:w w:val="115"/>
        </w:rPr>
        <w:t> </w:t>
      </w:r>
      <w:r>
        <w:rPr>
          <w:w w:val="115"/>
        </w:rPr>
        <w:t>su</w:t>
      </w:r>
      <w:r>
        <w:rPr>
          <w:spacing w:val="-9"/>
          <w:w w:val="115"/>
        </w:rPr>
        <w:t> </w:t>
      </w:r>
      <w:r>
        <w:rPr>
          <w:w w:val="115"/>
        </w:rPr>
        <w:t>Comisión</w:t>
      </w:r>
      <w:r>
        <w:rPr>
          <w:spacing w:val="-9"/>
          <w:w w:val="115"/>
        </w:rPr>
        <w:t> </w:t>
      </w:r>
      <w:r>
        <w:rPr>
          <w:w w:val="115"/>
        </w:rPr>
        <w:t>de</w:t>
      </w:r>
      <w:r>
        <w:rPr>
          <w:spacing w:val="-9"/>
          <w:w w:val="115"/>
        </w:rPr>
        <w:t> </w:t>
      </w:r>
      <w:r>
        <w:rPr>
          <w:w w:val="115"/>
        </w:rPr>
        <w:t>derechos</w:t>
      </w:r>
      <w:r>
        <w:rPr>
          <w:spacing w:val="-9"/>
          <w:w w:val="115"/>
        </w:rPr>
        <w:t> </w:t>
      </w:r>
      <w:r>
        <w:rPr>
          <w:w w:val="115"/>
        </w:rPr>
        <w:t>Humanos</w:t>
      </w:r>
      <w:r>
        <w:rPr>
          <w:spacing w:val="-9"/>
          <w:w w:val="115"/>
        </w:rPr>
        <w:t> </w:t>
      </w:r>
      <w:r>
        <w:rPr>
          <w:w w:val="115"/>
        </w:rPr>
        <w:t>impulsa- das</w:t>
      </w:r>
      <w:r>
        <w:rPr>
          <w:spacing w:val="-18"/>
          <w:w w:val="115"/>
        </w:rPr>
        <w:t> </w:t>
      </w:r>
      <w:r>
        <w:rPr>
          <w:w w:val="115"/>
        </w:rPr>
        <w:t>por</w:t>
      </w:r>
      <w:r>
        <w:rPr>
          <w:spacing w:val="-18"/>
          <w:w w:val="115"/>
        </w:rPr>
        <w:t> </w:t>
      </w:r>
      <w:r>
        <w:rPr>
          <w:w w:val="115"/>
        </w:rPr>
        <w:t>los</w:t>
      </w:r>
      <w:r>
        <w:rPr>
          <w:spacing w:val="-18"/>
          <w:w w:val="115"/>
        </w:rPr>
        <w:t> </w:t>
      </w:r>
      <w:r>
        <w:rPr>
          <w:w w:val="115"/>
        </w:rPr>
        <w:t>gobiernos</w:t>
      </w:r>
      <w:r>
        <w:rPr>
          <w:spacing w:val="-18"/>
          <w:w w:val="115"/>
        </w:rPr>
        <w:t> </w:t>
      </w:r>
      <w:r>
        <w:rPr>
          <w:w w:val="115"/>
        </w:rPr>
        <w:t>de</w:t>
      </w:r>
      <w:r>
        <w:rPr>
          <w:spacing w:val="-18"/>
          <w:w w:val="115"/>
        </w:rPr>
        <w:t> </w:t>
      </w:r>
      <w:r>
        <w:rPr>
          <w:w w:val="115"/>
        </w:rPr>
        <w:t>los</w:t>
      </w:r>
      <w:r>
        <w:rPr>
          <w:spacing w:val="-18"/>
          <w:w w:val="115"/>
        </w:rPr>
        <w:t> </w:t>
      </w:r>
      <w:r>
        <w:rPr>
          <w:w w:val="115"/>
        </w:rPr>
        <w:t>Estados</w:t>
      </w:r>
      <w:r>
        <w:rPr>
          <w:spacing w:val="-18"/>
          <w:w w:val="115"/>
        </w:rPr>
        <w:t> </w:t>
      </w:r>
      <w:r>
        <w:rPr>
          <w:w w:val="115"/>
        </w:rPr>
        <w:t>integrantes</w:t>
      </w:r>
      <w:r>
        <w:rPr>
          <w:spacing w:val="-18"/>
          <w:w w:val="115"/>
        </w:rPr>
        <w:t> </w:t>
      </w:r>
      <w:r>
        <w:rPr>
          <w:w w:val="115"/>
        </w:rPr>
        <w:t>del</w:t>
      </w:r>
      <w:r>
        <w:rPr>
          <w:spacing w:val="-18"/>
          <w:w w:val="115"/>
        </w:rPr>
        <w:t> </w:t>
      </w:r>
      <w:r>
        <w:rPr>
          <w:w w:val="125"/>
        </w:rPr>
        <w:t>alba-tCP</w:t>
      </w:r>
      <w:r>
        <w:rPr>
          <w:spacing w:val="-22"/>
          <w:w w:val="125"/>
        </w:rPr>
        <w:t> </w:t>
      </w:r>
      <w:r>
        <w:rPr>
          <w:w w:val="115"/>
        </w:rPr>
        <w:t>y</w:t>
      </w:r>
      <w:r>
        <w:rPr>
          <w:spacing w:val="-18"/>
          <w:w w:val="115"/>
        </w:rPr>
        <w:t> </w:t>
      </w:r>
      <w:r>
        <w:rPr>
          <w:w w:val="115"/>
        </w:rPr>
        <w:t>espe- cialmente</w:t>
      </w:r>
      <w:r>
        <w:rPr>
          <w:spacing w:val="-28"/>
          <w:w w:val="115"/>
        </w:rPr>
        <w:t> </w:t>
      </w:r>
      <w:r>
        <w:rPr>
          <w:w w:val="115"/>
        </w:rPr>
        <w:t>por</w:t>
      </w:r>
      <w:r>
        <w:rPr>
          <w:spacing w:val="-28"/>
          <w:w w:val="115"/>
        </w:rPr>
        <w:t> </w:t>
      </w:r>
      <w:r>
        <w:rPr>
          <w:w w:val="115"/>
        </w:rPr>
        <w:t>el</w:t>
      </w:r>
      <w:r>
        <w:rPr>
          <w:spacing w:val="-28"/>
          <w:w w:val="115"/>
        </w:rPr>
        <w:t> </w:t>
      </w:r>
      <w:r>
        <w:rPr>
          <w:w w:val="115"/>
        </w:rPr>
        <w:t>gobierno</w:t>
      </w:r>
      <w:r>
        <w:rPr>
          <w:spacing w:val="-28"/>
          <w:w w:val="115"/>
        </w:rPr>
        <w:t> </w:t>
      </w:r>
      <w:r>
        <w:rPr>
          <w:w w:val="115"/>
        </w:rPr>
        <w:t>de</w:t>
      </w:r>
      <w:r>
        <w:rPr>
          <w:spacing w:val="-28"/>
          <w:w w:val="115"/>
        </w:rPr>
        <w:t> </w:t>
      </w:r>
      <w:r>
        <w:rPr>
          <w:w w:val="115"/>
        </w:rPr>
        <w:t>Ecuador</w:t>
      </w:r>
      <w:r>
        <w:rPr>
          <w:spacing w:val="-28"/>
          <w:w w:val="115"/>
        </w:rPr>
        <w:t> </w:t>
      </w:r>
      <w:r>
        <w:rPr>
          <w:w w:val="115"/>
        </w:rPr>
        <w:t>(aportes,</w:t>
      </w:r>
      <w:r>
        <w:rPr>
          <w:spacing w:val="-28"/>
          <w:w w:val="115"/>
        </w:rPr>
        <w:t> </w:t>
      </w:r>
      <w:r>
        <w:rPr>
          <w:w w:val="115"/>
        </w:rPr>
        <w:t>2014)–</w:t>
      </w:r>
      <w:r>
        <w:rPr>
          <w:spacing w:val="-28"/>
          <w:w w:val="115"/>
        </w:rPr>
        <w:t> </w:t>
      </w:r>
      <w:r>
        <w:rPr>
          <w:w w:val="115"/>
        </w:rPr>
        <w:t>las</w:t>
      </w:r>
      <w:r>
        <w:rPr>
          <w:spacing w:val="-28"/>
          <w:w w:val="115"/>
        </w:rPr>
        <w:t> </w:t>
      </w:r>
      <w:r>
        <w:rPr>
          <w:w w:val="115"/>
        </w:rPr>
        <w:t>diferencias </w:t>
      </w:r>
      <w:r>
        <w:rPr>
          <w:w w:val="110"/>
        </w:rPr>
        <w:t>existentes</w:t>
      </w:r>
      <w:r>
        <w:rPr>
          <w:spacing w:val="-13"/>
          <w:w w:val="110"/>
        </w:rPr>
        <w:t> </w:t>
      </w:r>
      <w:r>
        <w:rPr>
          <w:w w:val="110"/>
        </w:rPr>
        <w:t>entre</w:t>
      </w:r>
      <w:r>
        <w:rPr>
          <w:spacing w:val="-13"/>
          <w:w w:val="110"/>
        </w:rPr>
        <w:t> </w:t>
      </w:r>
      <w:r>
        <w:rPr>
          <w:w w:val="110"/>
        </w:rPr>
        <w:t>el</w:t>
      </w:r>
      <w:r>
        <w:rPr>
          <w:spacing w:val="-13"/>
          <w:w w:val="110"/>
        </w:rPr>
        <w:t> </w:t>
      </w:r>
      <w:r>
        <w:rPr>
          <w:w w:val="110"/>
        </w:rPr>
        <w:t>actual</w:t>
      </w:r>
      <w:r>
        <w:rPr>
          <w:spacing w:val="-13"/>
          <w:w w:val="110"/>
        </w:rPr>
        <w:t> </w:t>
      </w:r>
      <w:r>
        <w:rPr>
          <w:w w:val="110"/>
        </w:rPr>
        <w:t>gobierno</w:t>
      </w:r>
      <w:r>
        <w:rPr>
          <w:spacing w:val="-13"/>
          <w:w w:val="110"/>
        </w:rPr>
        <w:t> </w:t>
      </w:r>
      <w:r>
        <w:rPr>
          <w:w w:val="110"/>
        </w:rPr>
        <w:t>estadounidense</w:t>
      </w:r>
      <w:r>
        <w:rPr>
          <w:spacing w:val="-13"/>
          <w:w w:val="110"/>
        </w:rPr>
        <w:t> </w:t>
      </w:r>
      <w:r>
        <w:rPr>
          <w:w w:val="110"/>
        </w:rPr>
        <w:t>y</w:t>
      </w:r>
      <w:r>
        <w:rPr>
          <w:spacing w:val="-13"/>
          <w:w w:val="110"/>
        </w:rPr>
        <w:t> </w:t>
      </w:r>
      <w:r>
        <w:rPr>
          <w:w w:val="110"/>
        </w:rPr>
        <w:t>los</w:t>
      </w:r>
      <w:r>
        <w:rPr>
          <w:spacing w:val="-13"/>
          <w:w w:val="110"/>
        </w:rPr>
        <w:t> </w:t>
      </w:r>
      <w:r>
        <w:rPr>
          <w:w w:val="110"/>
        </w:rPr>
        <w:t>de</w:t>
      </w:r>
      <w:r>
        <w:rPr>
          <w:spacing w:val="-13"/>
          <w:w w:val="110"/>
        </w:rPr>
        <w:t> </w:t>
      </w:r>
      <w:r>
        <w:rPr>
          <w:w w:val="110"/>
        </w:rPr>
        <w:t>buena</w:t>
      </w:r>
      <w:r>
        <w:rPr>
          <w:spacing w:val="-13"/>
          <w:w w:val="110"/>
        </w:rPr>
        <w:t> </w:t>
      </w:r>
      <w:r>
        <w:rPr>
          <w:w w:val="110"/>
        </w:rPr>
        <w:t>parte </w:t>
      </w:r>
      <w:r>
        <w:rPr>
          <w:spacing w:val="-1"/>
          <w:w w:val="107"/>
        </w:rPr>
        <w:t>d</w:t>
      </w:r>
      <w:r>
        <w:rPr>
          <w:w w:val="107"/>
        </w:rPr>
        <w:t>e</w:t>
      </w:r>
      <w:r>
        <w:rPr>
          <w:spacing w:val="14"/>
        </w:rPr>
        <w:t> </w:t>
      </w:r>
      <w:r>
        <w:rPr>
          <w:spacing w:val="-1"/>
          <w:w w:val="108"/>
        </w:rPr>
        <w:t>lo</w:t>
      </w:r>
      <w:r>
        <w:rPr>
          <w:w w:val="108"/>
        </w:rPr>
        <w:t>s</w:t>
      </w:r>
      <w:r>
        <w:rPr>
          <w:spacing w:val="14"/>
        </w:rPr>
        <w:t> </w:t>
      </w:r>
      <w:r>
        <w:rPr>
          <w:spacing w:val="-1"/>
          <w:w w:val="102"/>
        </w:rPr>
        <w:t>3</w:t>
      </w:r>
      <w:r>
        <w:rPr>
          <w:w w:val="102"/>
        </w:rPr>
        <w:t>2</w:t>
      </w:r>
      <w:r>
        <w:rPr>
          <w:spacing w:val="14"/>
        </w:rPr>
        <w:t> </w:t>
      </w:r>
      <w:r>
        <w:rPr>
          <w:spacing w:val="-1"/>
          <w:w w:val="111"/>
        </w:rPr>
        <w:t>Estado</w:t>
      </w:r>
      <w:r>
        <w:rPr>
          <w:w w:val="111"/>
        </w:rPr>
        <w:t>s</w:t>
      </w:r>
      <w:r>
        <w:rPr>
          <w:spacing w:val="14"/>
        </w:rPr>
        <w:t> </w:t>
      </w:r>
      <w:r>
        <w:rPr>
          <w:spacing w:val="-1"/>
          <w:w w:val="107"/>
        </w:rPr>
        <w:t>d</w:t>
      </w:r>
      <w:r>
        <w:rPr>
          <w:w w:val="107"/>
        </w:rPr>
        <w:t>e</w:t>
      </w:r>
      <w:r>
        <w:rPr>
          <w:spacing w:val="14"/>
        </w:rPr>
        <w:t> </w:t>
      </w:r>
      <w:r>
        <w:rPr>
          <w:spacing w:val="-1"/>
          <w:w w:val="139"/>
        </w:rPr>
        <w:t>a</w:t>
      </w:r>
      <w:r>
        <w:rPr>
          <w:spacing w:val="-1"/>
          <w:w w:val="111"/>
        </w:rPr>
        <w:t>méric</w:t>
      </w:r>
      <w:r>
        <w:rPr>
          <w:w w:val="111"/>
        </w:rPr>
        <w:t>a</w:t>
      </w:r>
      <w:r>
        <w:rPr>
          <w:spacing w:val="14"/>
        </w:rPr>
        <w:t> </w:t>
      </w:r>
      <w:r>
        <w:rPr>
          <w:spacing w:val="-1"/>
          <w:w w:val="243"/>
        </w:rPr>
        <w:t>l</w:t>
      </w:r>
      <w:r>
        <w:rPr>
          <w:spacing w:val="-1"/>
          <w:w w:val="111"/>
        </w:rPr>
        <w:t>atin</w:t>
      </w:r>
      <w:r>
        <w:rPr>
          <w:w w:val="111"/>
        </w:rPr>
        <w:t>a</w:t>
      </w:r>
      <w:r>
        <w:rPr>
          <w:spacing w:val="14"/>
        </w:rPr>
        <w:t> </w:t>
      </w:r>
      <w:r>
        <w:rPr>
          <w:w w:val="105"/>
        </w:rPr>
        <w:t>y</w:t>
      </w:r>
      <w:r>
        <w:rPr>
          <w:spacing w:val="14"/>
        </w:rPr>
        <w:t> </w:t>
      </w:r>
      <w:r>
        <w:rPr>
          <w:spacing w:val="-1"/>
          <w:w w:val="107"/>
        </w:rPr>
        <w:t>e</w:t>
      </w:r>
      <w:r>
        <w:rPr>
          <w:w w:val="107"/>
        </w:rPr>
        <w:t>l</w:t>
      </w:r>
      <w:r>
        <w:rPr>
          <w:spacing w:val="14"/>
        </w:rPr>
        <w:t> </w:t>
      </w:r>
      <w:r>
        <w:rPr>
          <w:spacing w:val="-1"/>
          <w:w w:val="112"/>
        </w:rPr>
        <w:t>Carib</w:t>
      </w:r>
      <w:r>
        <w:rPr>
          <w:w w:val="112"/>
        </w:rPr>
        <w:t>e</w:t>
      </w:r>
      <w:r>
        <w:rPr>
          <w:spacing w:val="14"/>
        </w:rPr>
        <w:t> </w:t>
      </w:r>
      <w:r>
        <w:rPr>
          <w:spacing w:val="-1"/>
          <w:w w:val="108"/>
        </w:rPr>
        <w:t>qu</w:t>
      </w:r>
      <w:r>
        <w:rPr>
          <w:w w:val="108"/>
        </w:rPr>
        <w:t>e</w:t>
      </w:r>
      <w:r>
        <w:rPr>
          <w:spacing w:val="14"/>
        </w:rPr>
        <w:t> </w:t>
      </w:r>
      <w:r>
        <w:rPr>
          <w:spacing w:val="-1"/>
          <w:w w:val="111"/>
        </w:rPr>
        <w:t>participa</w:t>
      </w:r>
      <w:r>
        <w:rPr>
          <w:w w:val="111"/>
        </w:rPr>
        <w:t>n</w:t>
      </w:r>
      <w:r>
        <w:rPr>
          <w:spacing w:val="14"/>
        </w:rPr>
        <w:t> </w:t>
      </w:r>
      <w:r>
        <w:rPr>
          <w:spacing w:val="-1"/>
          <w:w w:val="108"/>
        </w:rPr>
        <w:t>e</w:t>
      </w:r>
      <w:r>
        <w:rPr>
          <w:w w:val="108"/>
        </w:rPr>
        <w:t>n</w:t>
      </w:r>
      <w:r>
        <w:rPr>
          <w:spacing w:val="14"/>
        </w:rPr>
        <w:t> </w:t>
      </w:r>
      <w:r>
        <w:rPr>
          <w:spacing w:val="-1"/>
          <w:w w:val="107"/>
        </w:rPr>
        <w:t>esa </w:t>
      </w:r>
      <w:r>
        <w:rPr>
          <w:w w:val="110"/>
        </w:rPr>
        <w:t>organización continuarán reflejándose en el funcionamiento cotidiano de los principales órganos políticos y militares del sistema</w:t>
      </w:r>
      <w:r>
        <w:rPr>
          <w:spacing w:val="-30"/>
          <w:w w:val="110"/>
        </w:rPr>
        <w:t> </w:t>
      </w:r>
      <w:r>
        <w:rPr>
          <w:w w:val="110"/>
        </w:rPr>
        <w:t>interameri- </w:t>
      </w:r>
      <w:r>
        <w:rPr>
          <w:w w:val="115"/>
        </w:rPr>
        <w:t>cano.</w:t>
      </w:r>
      <w:r>
        <w:rPr>
          <w:spacing w:val="-22"/>
          <w:w w:val="115"/>
        </w:rPr>
        <w:t> </w:t>
      </w:r>
      <w:r>
        <w:rPr>
          <w:spacing w:val="-4"/>
          <w:w w:val="115"/>
        </w:rPr>
        <w:t>también</w:t>
      </w:r>
      <w:r>
        <w:rPr>
          <w:spacing w:val="-22"/>
          <w:w w:val="115"/>
        </w:rPr>
        <w:t> </w:t>
      </w:r>
      <w:r>
        <w:rPr>
          <w:w w:val="115"/>
        </w:rPr>
        <w:t>se</w:t>
      </w:r>
      <w:r>
        <w:rPr>
          <w:spacing w:val="-22"/>
          <w:w w:val="115"/>
        </w:rPr>
        <w:t> </w:t>
      </w:r>
      <w:r>
        <w:rPr>
          <w:w w:val="115"/>
        </w:rPr>
        <w:t>reflejarán</w:t>
      </w:r>
      <w:r>
        <w:rPr>
          <w:spacing w:val="-22"/>
          <w:w w:val="115"/>
        </w:rPr>
        <w:t> </w:t>
      </w:r>
      <w:r>
        <w:rPr>
          <w:w w:val="115"/>
        </w:rPr>
        <w:t>en</w:t>
      </w:r>
      <w:r>
        <w:rPr>
          <w:spacing w:val="-22"/>
          <w:w w:val="115"/>
        </w:rPr>
        <w:t> </w:t>
      </w:r>
      <w:r>
        <w:rPr>
          <w:w w:val="115"/>
        </w:rPr>
        <w:t>la</w:t>
      </w:r>
      <w:r>
        <w:rPr>
          <w:spacing w:val="-22"/>
          <w:w w:val="115"/>
        </w:rPr>
        <w:t> </w:t>
      </w:r>
      <w:r>
        <w:rPr>
          <w:w w:val="115"/>
        </w:rPr>
        <w:t>próxima</w:t>
      </w:r>
      <w:r>
        <w:rPr>
          <w:spacing w:val="-22"/>
          <w:w w:val="115"/>
        </w:rPr>
        <w:t> </w:t>
      </w:r>
      <w:r>
        <w:rPr>
          <w:w w:val="115"/>
        </w:rPr>
        <w:t>Cumbre</w:t>
      </w:r>
      <w:r>
        <w:rPr>
          <w:spacing w:val="-22"/>
          <w:w w:val="115"/>
        </w:rPr>
        <w:t> </w:t>
      </w:r>
      <w:r>
        <w:rPr>
          <w:w w:val="115"/>
        </w:rPr>
        <w:t>de</w:t>
      </w:r>
      <w:r>
        <w:rPr>
          <w:spacing w:val="-22"/>
          <w:w w:val="115"/>
        </w:rPr>
        <w:t> </w:t>
      </w:r>
      <w:r>
        <w:rPr>
          <w:w w:val="115"/>
        </w:rPr>
        <w:t>las</w:t>
      </w:r>
      <w:r>
        <w:rPr>
          <w:spacing w:val="-22"/>
          <w:w w:val="115"/>
        </w:rPr>
        <w:t> </w:t>
      </w:r>
      <w:r>
        <w:rPr>
          <w:w w:val="115"/>
        </w:rPr>
        <w:t>américas</w:t>
      </w:r>
      <w:r>
        <w:rPr>
          <w:spacing w:val="-22"/>
          <w:w w:val="115"/>
        </w:rPr>
        <w:t> </w:t>
      </w:r>
      <w:r>
        <w:rPr>
          <w:w w:val="115"/>
        </w:rPr>
        <w:t>que se</w:t>
      </w:r>
      <w:r>
        <w:rPr>
          <w:spacing w:val="-22"/>
          <w:w w:val="115"/>
        </w:rPr>
        <w:t> </w:t>
      </w:r>
      <w:r>
        <w:rPr>
          <w:w w:val="115"/>
        </w:rPr>
        <w:t>realizará</w:t>
      </w:r>
      <w:r>
        <w:rPr>
          <w:spacing w:val="-22"/>
          <w:w w:val="115"/>
        </w:rPr>
        <w:t> </w:t>
      </w:r>
      <w:r>
        <w:rPr>
          <w:w w:val="115"/>
        </w:rPr>
        <w:t>en</w:t>
      </w:r>
      <w:r>
        <w:rPr>
          <w:spacing w:val="-22"/>
          <w:w w:val="115"/>
        </w:rPr>
        <w:t> </w:t>
      </w:r>
      <w:r>
        <w:rPr>
          <w:w w:val="115"/>
        </w:rPr>
        <w:t>Panamá</w:t>
      </w:r>
      <w:r>
        <w:rPr>
          <w:spacing w:val="-22"/>
          <w:w w:val="115"/>
        </w:rPr>
        <w:t> </w:t>
      </w:r>
      <w:r>
        <w:rPr>
          <w:w w:val="115"/>
        </w:rPr>
        <w:t>entre</w:t>
      </w:r>
      <w:r>
        <w:rPr>
          <w:spacing w:val="-22"/>
          <w:w w:val="115"/>
        </w:rPr>
        <w:t> </w:t>
      </w:r>
      <w:r>
        <w:rPr>
          <w:w w:val="115"/>
        </w:rPr>
        <w:t>el</w:t>
      </w:r>
      <w:r>
        <w:rPr>
          <w:spacing w:val="-22"/>
          <w:w w:val="115"/>
        </w:rPr>
        <w:t> </w:t>
      </w:r>
      <w:r>
        <w:rPr>
          <w:w w:val="115"/>
        </w:rPr>
        <w:t>10</w:t>
      </w:r>
      <w:r>
        <w:rPr>
          <w:spacing w:val="-22"/>
          <w:w w:val="115"/>
        </w:rPr>
        <w:t> </w:t>
      </w:r>
      <w:r>
        <w:rPr>
          <w:w w:val="115"/>
        </w:rPr>
        <w:t>y</w:t>
      </w:r>
      <w:r>
        <w:rPr>
          <w:spacing w:val="-22"/>
          <w:w w:val="115"/>
        </w:rPr>
        <w:t> </w:t>
      </w:r>
      <w:r>
        <w:rPr>
          <w:w w:val="115"/>
        </w:rPr>
        <w:t>el</w:t>
      </w:r>
      <w:r>
        <w:rPr>
          <w:spacing w:val="-22"/>
          <w:w w:val="115"/>
        </w:rPr>
        <w:t> </w:t>
      </w:r>
      <w:r>
        <w:rPr>
          <w:w w:val="115"/>
        </w:rPr>
        <w:t>11</w:t>
      </w:r>
      <w:r>
        <w:rPr>
          <w:spacing w:val="-22"/>
          <w:w w:val="115"/>
        </w:rPr>
        <w:t> </w:t>
      </w:r>
      <w:r>
        <w:rPr>
          <w:w w:val="115"/>
        </w:rPr>
        <w:t>de</w:t>
      </w:r>
      <w:r>
        <w:rPr>
          <w:spacing w:val="-22"/>
          <w:w w:val="115"/>
        </w:rPr>
        <w:t> </w:t>
      </w:r>
      <w:r>
        <w:rPr>
          <w:w w:val="115"/>
        </w:rPr>
        <w:t>abril</w:t>
      </w:r>
      <w:r>
        <w:rPr>
          <w:spacing w:val="-22"/>
          <w:w w:val="115"/>
        </w:rPr>
        <w:t> </w:t>
      </w:r>
      <w:r>
        <w:rPr>
          <w:w w:val="115"/>
        </w:rPr>
        <w:t>de</w:t>
      </w:r>
      <w:r>
        <w:rPr>
          <w:spacing w:val="-22"/>
          <w:w w:val="115"/>
        </w:rPr>
        <w:t> </w:t>
      </w:r>
      <w:r>
        <w:rPr>
          <w:w w:val="115"/>
        </w:rPr>
        <w:t>2015.</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00" w:right="328" w:firstLine="396"/>
        <w:jc w:val="both"/>
      </w:pPr>
      <w:r>
        <w:rPr>
          <w:w w:val="110"/>
        </w:rPr>
        <w:t>Por consiguiente, la segunda presidencia de barack obama no podrá cumplir su reiterado propósito de “renovar” y “prolongar a lo largo de siglo </w:t>
      </w:r>
      <w:r>
        <w:rPr>
          <w:w w:val="130"/>
        </w:rPr>
        <w:t>xxi </w:t>
      </w:r>
      <w:r>
        <w:rPr>
          <w:w w:val="110"/>
        </w:rPr>
        <w:t>el liderazgo de su país en el hemisferio occiden-  tal”. sin embargo, esos objetivos estratégicos, al igual que los objeti- vos generales planteados o no en las páginas anteriores, continuarán guiando las estrategias que en el futuro previsiblemente desplegará el gobierno permanente de los Estados unidos </w:t>
      </w:r>
      <w:r>
        <w:rPr>
          <w:spacing w:val="-11"/>
          <w:w w:val="110"/>
        </w:rPr>
        <w:t>y, </w:t>
      </w:r>
      <w:r>
        <w:rPr>
          <w:w w:val="110"/>
        </w:rPr>
        <w:t>por tanto, serán rea- sumidos, con los ajustes que considere necesarios, por el mandatario demócrata o republicano que finalmente resulte electo en los</w:t>
      </w:r>
      <w:r>
        <w:rPr>
          <w:spacing w:val="-30"/>
          <w:w w:val="110"/>
        </w:rPr>
        <w:t> </w:t>
      </w:r>
      <w:r>
        <w:rPr>
          <w:w w:val="110"/>
        </w:rPr>
        <w:t>comicios presidenciales de noviembre de</w:t>
      </w:r>
      <w:r>
        <w:rPr>
          <w:spacing w:val="-24"/>
          <w:w w:val="110"/>
        </w:rPr>
        <w:t> </w:t>
      </w:r>
      <w:r>
        <w:rPr>
          <w:w w:val="110"/>
        </w:rPr>
        <w:t>2016.</w:t>
      </w:r>
    </w:p>
    <w:p>
      <w:pPr>
        <w:pStyle w:val="BodyText"/>
        <w:spacing w:before="11"/>
      </w:pPr>
    </w:p>
    <w:p>
      <w:pPr>
        <w:pStyle w:val="BodyText"/>
        <w:ind w:left="3044"/>
      </w:pPr>
      <w:r>
        <w:rPr>
          <w:w w:val="243"/>
        </w:rPr>
        <w:t>l</w:t>
      </w:r>
      <w:r>
        <w:rPr>
          <w:w w:val="112"/>
        </w:rPr>
        <w:t>a</w:t>
      </w:r>
      <w:r>
        <w:rPr>
          <w:spacing w:val="12"/>
        </w:rPr>
        <w:t> </w:t>
      </w:r>
      <w:r>
        <w:rPr>
          <w:w w:val="115"/>
        </w:rPr>
        <w:t>Habana,</w:t>
      </w:r>
      <w:r>
        <w:rPr>
          <w:spacing w:val="12"/>
        </w:rPr>
        <w:t> </w:t>
      </w:r>
      <w:r>
        <w:rPr>
          <w:w w:val="102"/>
        </w:rPr>
        <w:t>22</w:t>
      </w:r>
      <w:r>
        <w:rPr>
          <w:spacing w:val="12"/>
        </w:rPr>
        <w:t> </w:t>
      </w:r>
      <w:r>
        <w:rPr>
          <w:w w:val="107"/>
        </w:rPr>
        <w:t>de</w:t>
      </w:r>
      <w:r>
        <w:rPr>
          <w:spacing w:val="12"/>
        </w:rPr>
        <w:t> </w:t>
      </w:r>
      <w:r>
        <w:rPr>
          <w:w w:val="110"/>
        </w:rPr>
        <w:t>diciembre</w:t>
      </w:r>
      <w:r>
        <w:rPr>
          <w:spacing w:val="12"/>
        </w:rPr>
        <w:t> </w:t>
      </w:r>
      <w:r>
        <w:rPr>
          <w:w w:val="107"/>
        </w:rPr>
        <w:t>de</w:t>
      </w:r>
      <w:r>
        <w:rPr>
          <w:spacing w:val="12"/>
        </w:rPr>
        <w:t> </w:t>
      </w:r>
      <w:r>
        <w:rPr>
          <w:w w:val="102"/>
        </w:rPr>
        <w:t>2014</w:t>
      </w:r>
    </w:p>
    <w:p>
      <w:pPr>
        <w:pStyle w:val="BodyText"/>
        <w:spacing w:before="4"/>
        <w:rPr>
          <w:sz w:val="20"/>
        </w:rPr>
      </w:pPr>
    </w:p>
    <w:p>
      <w:pPr>
        <w:pStyle w:val="Heading6"/>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pStyle w:val="BodyText"/>
        <w:spacing w:line="252" w:lineRule="auto" w:before="10"/>
        <w:ind w:left="497" w:right="528" w:hanging="397"/>
      </w:pPr>
      <w:r>
        <w:rPr>
          <w:w w:val="110"/>
        </w:rPr>
        <w:t>américa Economía 2014 “Joe biden visitará Guatemala tras larga divergencia bilateral”, en </w:t>
      </w:r>
      <w:hyperlink r:id="rId477">
        <w:r>
          <w:rPr>
            <w:w w:val="110"/>
          </w:rPr>
          <w:t>&lt;http://goo.gl/r</w:t>
        </w:r>
      </w:hyperlink>
      <w:r>
        <w:rPr>
          <w:w w:val="110"/>
        </w:rPr>
        <w:t>i</w:t>
      </w:r>
      <w:hyperlink r:id="rId477">
        <w:r>
          <w:rPr>
            <w:w w:val="110"/>
          </w:rPr>
          <w:t>kqxl&gt;</w:t>
        </w:r>
      </w:hyperlink>
      <w:r>
        <w:rPr>
          <w:w w:val="110"/>
        </w:rPr>
        <w:t> acceso 29 de julio de 2014.</w:t>
      </w:r>
    </w:p>
    <w:p>
      <w:pPr>
        <w:pStyle w:val="BodyText"/>
        <w:spacing w:before="28"/>
        <w:ind w:left="100"/>
      </w:pPr>
      <w:r>
        <w:rPr>
          <w:w w:val="110"/>
        </w:rPr>
        <w:t>aP 2014 “obama pide ayuda a presidentes centroamericanos”,   en</w:t>
      </w:r>
    </w:p>
    <w:p>
      <w:pPr>
        <w:pStyle w:val="BodyText"/>
        <w:spacing w:before="11"/>
        <w:ind w:left="497"/>
      </w:pPr>
      <w:hyperlink r:id="rId478">
        <w:r>
          <w:rPr>
            <w:w w:val="105"/>
          </w:rPr>
          <w:t>&lt;http://goo.gl/vEPMq0&gt;.</w:t>
        </w:r>
      </w:hyperlink>
    </w:p>
    <w:p>
      <w:pPr>
        <w:spacing w:line="252" w:lineRule="auto" w:before="39"/>
        <w:ind w:left="497" w:right="819" w:hanging="397"/>
        <w:jc w:val="left"/>
        <w:rPr>
          <w:sz w:val="19"/>
        </w:rPr>
      </w:pPr>
      <w:r>
        <w:rPr>
          <w:w w:val="110"/>
          <w:sz w:val="19"/>
        </w:rPr>
        <w:t>aportes 2014 </w:t>
      </w:r>
      <w:r>
        <w:rPr>
          <w:i/>
          <w:w w:val="110"/>
          <w:sz w:val="19"/>
        </w:rPr>
        <w:t>La reforma de la Comisión Interamericana de </w:t>
      </w:r>
      <w:r>
        <w:rPr>
          <w:i/>
          <w:w w:val="110"/>
          <w:sz w:val="19"/>
        </w:rPr>
        <w:t>Derechos Humanos</w:t>
      </w:r>
      <w:r>
        <w:rPr>
          <w:w w:val="110"/>
          <w:sz w:val="19"/>
        </w:rPr>
        <w:t>, en </w:t>
      </w:r>
      <w:r>
        <w:rPr>
          <w:i/>
          <w:w w:val="110"/>
          <w:sz w:val="19"/>
        </w:rPr>
        <w:t>Aportes DPLF</w:t>
      </w:r>
      <w:r>
        <w:rPr>
          <w:w w:val="110"/>
          <w:sz w:val="19"/>
        </w:rPr>
        <w:t>, Nº 19, año 7, Washington, abril de 2014.</w:t>
      </w:r>
    </w:p>
    <w:p>
      <w:pPr>
        <w:pStyle w:val="BodyText"/>
        <w:spacing w:line="252" w:lineRule="auto" w:before="28"/>
        <w:ind w:left="497" w:right="366" w:hanging="397"/>
      </w:pPr>
      <w:r>
        <w:rPr>
          <w:w w:val="115"/>
        </w:rPr>
        <w:t>biden,</w:t>
      </w:r>
      <w:r>
        <w:rPr>
          <w:spacing w:val="-4"/>
          <w:w w:val="115"/>
        </w:rPr>
        <w:t> </w:t>
      </w:r>
      <w:r>
        <w:rPr>
          <w:w w:val="115"/>
        </w:rPr>
        <w:t>Joe</w:t>
      </w:r>
      <w:r>
        <w:rPr>
          <w:spacing w:val="-4"/>
          <w:w w:val="115"/>
        </w:rPr>
        <w:t> </w:t>
      </w:r>
      <w:r>
        <w:rPr>
          <w:w w:val="115"/>
        </w:rPr>
        <w:t>2013</w:t>
      </w:r>
      <w:r>
        <w:rPr>
          <w:spacing w:val="-4"/>
          <w:w w:val="115"/>
        </w:rPr>
        <w:t> </w:t>
      </w:r>
      <w:r>
        <w:rPr>
          <w:w w:val="115"/>
        </w:rPr>
        <w:t>“u.s.</w:t>
      </w:r>
      <w:r>
        <w:rPr>
          <w:spacing w:val="-4"/>
          <w:w w:val="115"/>
        </w:rPr>
        <w:t> </w:t>
      </w:r>
      <w:r>
        <w:rPr>
          <w:w w:val="115"/>
        </w:rPr>
        <w:t>Priorities</w:t>
      </w:r>
      <w:r>
        <w:rPr>
          <w:spacing w:val="-4"/>
          <w:w w:val="115"/>
        </w:rPr>
        <w:t> </w:t>
      </w:r>
      <w:r>
        <w:rPr>
          <w:w w:val="115"/>
        </w:rPr>
        <w:t>for</w:t>
      </w:r>
      <w:r>
        <w:rPr>
          <w:spacing w:val="-4"/>
          <w:w w:val="115"/>
        </w:rPr>
        <w:t> </w:t>
      </w:r>
      <w:r>
        <w:rPr>
          <w:w w:val="115"/>
        </w:rPr>
        <w:t>the</w:t>
      </w:r>
      <w:r>
        <w:rPr>
          <w:spacing w:val="-4"/>
          <w:w w:val="115"/>
        </w:rPr>
        <w:t> </w:t>
      </w:r>
      <w:r>
        <w:rPr>
          <w:w w:val="115"/>
        </w:rPr>
        <w:t>americas”</w:t>
      </w:r>
      <w:r>
        <w:rPr>
          <w:spacing w:val="-4"/>
          <w:w w:val="115"/>
        </w:rPr>
        <w:t> </w:t>
      </w:r>
      <w:r>
        <w:rPr>
          <w:w w:val="115"/>
        </w:rPr>
        <w:t>(remarks:</w:t>
      </w:r>
      <w:r>
        <w:rPr>
          <w:spacing w:val="-4"/>
          <w:w w:val="115"/>
        </w:rPr>
        <w:t> </w:t>
      </w:r>
      <w:r>
        <w:rPr>
          <w:w w:val="115"/>
        </w:rPr>
        <w:t>u.s.</w:t>
      </w:r>
      <w:r>
        <w:rPr>
          <w:spacing w:val="-4"/>
          <w:w w:val="115"/>
        </w:rPr>
        <w:t> </w:t>
      </w:r>
      <w:r>
        <w:rPr>
          <w:spacing w:val="-5"/>
          <w:w w:val="115"/>
        </w:rPr>
        <w:t>Vice </w:t>
      </w:r>
      <w:r>
        <w:rPr>
          <w:w w:val="115"/>
        </w:rPr>
        <w:t>President Joe biden at the 43rd </w:t>
      </w:r>
      <w:r>
        <w:rPr>
          <w:spacing w:val="-3"/>
          <w:w w:val="115"/>
        </w:rPr>
        <w:t>Washington </w:t>
      </w:r>
      <w:r>
        <w:rPr>
          <w:w w:val="115"/>
        </w:rPr>
        <w:t>Conference on </w:t>
      </w:r>
      <w:r>
        <w:rPr>
          <w:spacing w:val="-2"/>
          <w:w w:val="115"/>
        </w:rPr>
        <w:t>the </w:t>
      </w:r>
      <w:r>
        <w:rPr>
          <w:w w:val="110"/>
        </w:rPr>
        <w:t>americas),</w:t>
      </w:r>
      <w:r>
        <w:rPr>
          <w:spacing w:val="-17"/>
          <w:w w:val="110"/>
        </w:rPr>
        <w:t> </w:t>
      </w:r>
      <w:r>
        <w:rPr>
          <w:w w:val="110"/>
        </w:rPr>
        <w:t>en</w:t>
      </w:r>
      <w:r>
        <w:rPr>
          <w:spacing w:val="-17"/>
          <w:w w:val="110"/>
        </w:rPr>
        <w:t> </w:t>
      </w:r>
      <w:hyperlink r:id="rId479">
        <w:r>
          <w:rPr>
            <w:w w:val="110"/>
          </w:rPr>
          <w:t>&lt;http://goo.gl/ofY</w:t>
        </w:r>
      </w:hyperlink>
      <w:r>
        <w:rPr>
          <w:w w:val="110"/>
        </w:rPr>
        <w:t>r</w:t>
      </w:r>
      <w:hyperlink r:id="rId479">
        <w:r>
          <w:rPr>
            <w:w w:val="110"/>
          </w:rPr>
          <w:t>uw&gt;</w:t>
        </w:r>
      </w:hyperlink>
      <w:r>
        <w:rPr>
          <w:spacing w:val="-17"/>
          <w:w w:val="110"/>
        </w:rPr>
        <w:t> </w:t>
      </w:r>
      <w:r>
        <w:rPr>
          <w:w w:val="110"/>
        </w:rPr>
        <w:t>acceso</w:t>
      </w:r>
      <w:r>
        <w:rPr>
          <w:spacing w:val="-17"/>
          <w:w w:val="110"/>
        </w:rPr>
        <w:t> </w:t>
      </w:r>
      <w:r>
        <w:rPr>
          <w:w w:val="110"/>
        </w:rPr>
        <w:t>25</w:t>
      </w:r>
      <w:r>
        <w:rPr>
          <w:spacing w:val="-17"/>
          <w:w w:val="110"/>
        </w:rPr>
        <w:t> </w:t>
      </w:r>
      <w:r>
        <w:rPr>
          <w:w w:val="110"/>
        </w:rPr>
        <w:t>de</w:t>
      </w:r>
      <w:r>
        <w:rPr>
          <w:spacing w:val="-17"/>
          <w:w w:val="110"/>
        </w:rPr>
        <w:t> </w:t>
      </w:r>
      <w:r>
        <w:rPr>
          <w:w w:val="110"/>
        </w:rPr>
        <w:t>mayo</w:t>
      </w:r>
      <w:r>
        <w:rPr>
          <w:spacing w:val="-17"/>
          <w:w w:val="110"/>
        </w:rPr>
        <w:t> </w:t>
      </w:r>
      <w:r>
        <w:rPr>
          <w:w w:val="110"/>
        </w:rPr>
        <w:t>de</w:t>
      </w:r>
      <w:r>
        <w:rPr>
          <w:spacing w:val="-17"/>
          <w:w w:val="110"/>
        </w:rPr>
        <w:t> </w:t>
      </w:r>
      <w:r>
        <w:rPr>
          <w:w w:val="110"/>
        </w:rPr>
        <w:t>2013.</w:t>
      </w:r>
    </w:p>
    <w:p>
      <w:pPr>
        <w:spacing w:line="252" w:lineRule="auto" w:before="28"/>
        <w:ind w:left="497" w:right="1499" w:hanging="397"/>
        <w:jc w:val="left"/>
        <w:rPr>
          <w:sz w:val="19"/>
        </w:rPr>
      </w:pPr>
      <w:r>
        <w:rPr>
          <w:w w:val="115"/>
          <w:sz w:val="19"/>
        </w:rPr>
        <w:t>borón,</w:t>
      </w:r>
      <w:r>
        <w:rPr>
          <w:spacing w:val="-15"/>
          <w:w w:val="115"/>
          <w:sz w:val="19"/>
        </w:rPr>
        <w:t> </w:t>
      </w:r>
      <w:r>
        <w:rPr>
          <w:w w:val="115"/>
          <w:sz w:val="19"/>
        </w:rPr>
        <w:t>atilio</w:t>
      </w:r>
      <w:r>
        <w:rPr>
          <w:spacing w:val="-15"/>
          <w:w w:val="115"/>
          <w:sz w:val="19"/>
        </w:rPr>
        <w:t> </w:t>
      </w:r>
      <w:r>
        <w:rPr>
          <w:w w:val="115"/>
          <w:sz w:val="19"/>
        </w:rPr>
        <w:t>a.</w:t>
      </w:r>
      <w:r>
        <w:rPr>
          <w:spacing w:val="-15"/>
          <w:w w:val="115"/>
          <w:sz w:val="19"/>
        </w:rPr>
        <w:t> </w:t>
      </w:r>
      <w:r>
        <w:rPr>
          <w:w w:val="115"/>
          <w:sz w:val="19"/>
        </w:rPr>
        <w:t>2012</w:t>
      </w:r>
      <w:r>
        <w:rPr>
          <w:spacing w:val="-15"/>
          <w:w w:val="115"/>
          <w:sz w:val="19"/>
        </w:rPr>
        <w:t> </w:t>
      </w:r>
      <w:r>
        <w:rPr>
          <w:i/>
          <w:w w:val="115"/>
          <w:sz w:val="19"/>
        </w:rPr>
        <w:t>América</w:t>
      </w:r>
      <w:r>
        <w:rPr>
          <w:i/>
          <w:spacing w:val="-15"/>
          <w:w w:val="115"/>
          <w:sz w:val="19"/>
        </w:rPr>
        <w:t> </w:t>
      </w:r>
      <w:r>
        <w:rPr>
          <w:i/>
          <w:w w:val="115"/>
          <w:sz w:val="19"/>
        </w:rPr>
        <w:t>Latina</w:t>
      </w:r>
      <w:r>
        <w:rPr>
          <w:i/>
          <w:spacing w:val="-15"/>
          <w:w w:val="115"/>
          <w:sz w:val="19"/>
        </w:rPr>
        <w:t> </w:t>
      </w:r>
      <w:r>
        <w:rPr>
          <w:i/>
          <w:w w:val="115"/>
          <w:sz w:val="19"/>
        </w:rPr>
        <w:t>en</w:t>
      </w:r>
      <w:r>
        <w:rPr>
          <w:i/>
          <w:spacing w:val="-15"/>
          <w:w w:val="115"/>
          <w:sz w:val="19"/>
        </w:rPr>
        <w:t> </w:t>
      </w:r>
      <w:r>
        <w:rPr>
          <w:i/>
          <w:w w:val="115"/>
          <w:sz w:val="19"/>
        </w:rPr>
        <w:t>la</w:t>
      </w:r>
      <w:r>
        <w:rPr>
          <w:i/>
          <w:spacing w:val="-15"/>
          <w:w w:val="115"/>
          <w:sz w:val="19"/>
        </w:rPr>
        <w:t> </w:t>
      </w:r>
      <w:r>
        <w:rPr>
          <w:i/>
          <w:w w:val="115"/>
          <w:sz w:val="19"/>
        </w:rPr>
        <w:t>geopolítica</w:t>
      </w:r>
      <w:r>
        <w:rPr>
          <w:i/>
          <w:spacing w:val="-15"/>
          <w:w w:val="115"/>
          <w:sz w:val="19"/>
        </w:rPr>
        <w:t> </w:t>
      </w:r>
      <w:r>
        <w:rPr>
          <w:i/>
          <w:w w:val="115"/>
          <w:sz w:val="19"/>
        </w:rPr>
        <w:t>del </w:t>
      </w:r>
      <w:r>
        <w:rPr>
          <w:i/>
          <w:w w:val="111"/>
          <w:sz w:val="19"/>
        </w:rPr>
        <w:t>imperialismo</w:t>
      </w:r>
      <w:r>
        <w:rPr>
          <w:i/>
          <w:spacing w:val="12"/>
          <w:sz w:val="19"/>
        </w:rPr>
        <w:t> </w:t>
      </w:r>
      <w:r>
        <w:rPr>
          <w:w w:val="98"/>
          <w:sz w:val="19"/>
        </w:rPr>
        <w:t>(</w:t>
      </w:r>
      <w:r>
        <w:rPr>
          <w:w w:val="134"/>
          <w:sz w:val="19"/>
        </w:rPr>
        <w:t>b</w:t>
      </w:r>
      <w:r>
        <w:rPr>
          <w:w w:val="109"/>
          <w:sz w:val="19"/>
        </w:rPr>
        <w:t>uenos</w:t>
      </w:r>
      <w:r>
        <w:rPr>
          <w:spacing w:val="12"/>
          <w:sz w:val="19"/>
        </w:rPr>
        <w:t> </w:t>
      </w:r>
      <w:r>
        <w:rPr>
          <w:w w:val="139"/>
          <w:sz w:val="19"/>
        </w:rPr>
        <w:t>a</w:t>
      </w:r>
      <w:r>
        <w:rPr>
          <w:w w:val="107"/>
          <w:sz w:val="19"/>
        </w:rPr>
        <w:t>ires:</w:t>
      </w:r>
      <w:r>
        <w:rPr>
          <w:spacing w:val="12"/>
          <w:sz w:val="19"/>
        </w:rPr>
        <w:t> </w:t>
      </w:r>
      <w:r>
        <w:rPr>
          <w:w w:val="243"/>
          <w:sz w:val="19"/>
        </w:rPr>
        <w:t>l</w:t>
      </w:r>
      <w:r>
        <w:rPr>
          <w:w w:val="110"/>
          <w:sz w:val="19"/>
        </w:rPr>
        <w:t>uxemburg).</w:t>
      </w:r>
    </w:p>
    <w:p>
      <w:pPr>
        <w:spacing w:line="252" w:lineRule="auto" w:before="28"/>
        <w:ind w:left="497" w:right="114" w:hanging="397"/>
        <w:jc w:val="left"/>
        <w:rPr>
          <w:sz w:val="19"/>
        </w:rPr>
      </w:pPr>
      <w:r>
        <w:rPr>
          <w:w w:val="110"/>
          <w:sz w:val="19"/>
        </w:rPr>
        <w:t>bruckmann, Mónica 2012 </w:t>
      </w:r>
      <w:r>
        <w:rPr>
          <w:i/>
          <w:w w:val="110"/>
          <w:sz w:val="19"/>
        </w:rPr>
        <w:t>Recursos Naturales y la Geopolítica de la </w:t>
      </w:r>
      <w:r>
        <w:rPr>
          <w:i/>
          <w:w w:val="108"/>
          <w:sz w:val="19"/>
        </w:rPr>
        <w:t>Integración</w:t>
      </w:r>
      <w:r>
        <w:rPr>
          <w:i/>
          <w:sz w:val="19"/>
        </w:rPr>
        <w:t> </w:t>
      </w:r>
      <w:r>
        <w:rPr>
          <w:i/>
          <w:w w:val="111"/>
          <w:sz w:val="19"/>
        </w:rPr>
        <w:t>Sudamericana</w:t>
      </w:r>
      <w:r>
        <w:rPr>
          <w:i/>
          <w:sz w:val="19"/>
        </w:rPr>
        <w:t> </w:t>
      </w:r>
      <w:r>
        <w:rPr>
          <w:w w:val="98"/>
          <w:sz w:val="19"/>
        </w:rPr>
        <w:t>(</w:t>
      </w:r>
      <w:r>
        <w:rPr>
          <w:w w:val="243"/>
          <w:sz w:val="19"/>
        </w:rPr>
        <w:t>l</w:t>
      </w:r>
      <w:r>
        <w:rPr>
          <w:w w:val="112"/>
          <w:sz w:val="19"/>
        </w:rPr>
        <w:t>ima:</w:t>
      </w:r>
      <w:r>
        <w:rPr>
          <w:sz w:val="19"/>
        </w:rPr>
        <w:t> </w:t>
      </w:r>
      <w:r>
        <w:rPr>
          <w:w w:val="142"/>
          <w:sz w:val="19"/>
        </w:rPr>
        <w:t>i</w:t>
      </w:r>
      <w:r>
        <w:rPr>
          <w:w w:val="109"/>
          <w:sz w:val="19"/>
        </w:rPr>
        <w:t>nstituto</w:t>
      </w:r>
      <w:r>
        <w:rPr>
          <w:sz w:val="19"/>
        </w:rPr>
        <w:t> </w:t>
      </w:r>
      <w:r>
        <w:rPr>
          <w:w w:val="107"/>
          <w:sz w:val="19"/>
        </w:rPr>
        <w:t>de</w:t>
      </w:r>
      <w:r>
        <w:rPr>
          <w:sz w:val="19"/>
        </w:rPr>
        <w:t> </w:t>
      </w:r>
      <w:r>
        <w:rPr>
          <w:w w:val="142"/>
          <w:sz w:val="19"/>
        </w:rPr>
        <w:t>i</w:t>
      </w:r>
      <w:r>
        <w:rPr>
          <w:w w:val="109"/>
          <w:sz w:val="19"/>
        </w:rPr>
        <w:t>nvestigaciones </w:t>
      </w:r>
      <w:r>
        <w:rPr>
          <w:w w:val="110"/>
          <w:sz w:val="19"/>
        </w:rPr>
        <w:t>sociales Perumundo-Fondo Editorial José Carlos    Mariátegui).</w:t>
      </w:r>
    </w:p>
    <w:p>
      <w:pPr>
        <w:pStyle w:val="BodyText"/>
        <w:spacing w:line="252" w:lineRule="auto" w:before="28"/>
        <w:ind w:left="497" w:right="323" w:hanging="397"/>
      </w:pPr>
      <w:r>
        <w:rPr>
          <w:spacing w:val="-3"/>
          <w:w w:val="126"/>
        </w:rPr>
        <w:t>CE</w:t>
      </w:r>
      <w:r>
        <w:rPr>
          <w:spacing w:val="-3"/>
          <w:w w:val="176"/>
        </w:rPr>
        <w:t>la</w:t>
      </w:r>
      <w:r>
        <w:rPr>
          <w:w w:val="124"/>
        </w:rPr>
        <w:t>C</w:t>
      </w:r>
      <w:r>
        <w:rPr>
          <w:spacing w:val="6"/>
        </w:rPr>
        <w:t> </w:t>
      </w:r>
      <w:r>
        <w:rPr>
          <w:spacing w:val="-3"/>
          <w:w w:val="102"/>
        </w:rPr>
        <w:t>201</w:t>
      </w:r>
      <w:r>
        <w:rPr>
          <w:w w:val="102"/>
        </w:rPr>
        <w:t>4</w:t>
      </w:r>
      <w:r>
        <w:rPr>
          <w:spacing w:val="6"/>
        </w:rPr>
        <w:t> </w:t>
      </w:r>
      <w:r>
        <w:rPr>
          <w:spacing w:val="-3"/>
          <w:w w:val="112"/>
        </w:rPr>
        <w:t>“Proclam</w:t>
      </w:r>
      <w:r>
        <w:rPr>
          <w:w w:val="112"/>
        </w:rPr>
        <w:t>a</w:t>
      </w:r>
      <w:r>
        <w:rPr>
          <w:spacing w:val="6"/>
        </w:rPr>
        <w:t> </w:t>
      </w:r>
      <w:r>
        <w:rPr>
          <w:spacing w:val="-3"/>
          <w:w w:val="107"/>
        </w:rPr>
        <w:t>d</w:t>
      </w:r>
      <w:r>
        <w:rPr>
          <w:w w:val="107"/>
        </w:rPr>
        <w:t>e</w:t>
      </w:r>
      <w:r>
        <w:rPr>
          <w:spacing w:val="6"/>
        </w:rPr>
        <w:t> </w:t>
      </w:r>
      <w:r>
        <w:rPr>
          <w:spacing w:val="-3"/>
          <w:w w:val="139"/>
        </w:rPr>
        <w:t>a</w:t>
      </w:r>
      <w:r>
        <w:rPr>
          <w:spacing w:val="-3"/>
          <w:w w:val="111"/>
        </w:rPr>
        <w:t>méric</w:t>
      </w:r>
      <w:r>
        <w:rPr>
          <w:w w:val="111"/>
        </w:rPr>
        <w:t>a</w:t>
      </w:r>
      <w:r>
        <w:rPr>
          <w:spacing w:val="6"/>
        </w:rPr>
        <w:t> </w:t>
      </w:r>
      <w:r>
        <w:rPr>
          <w:spacing w:val="-3"/>
          <w:w w:val="243"/>
        </w:rPr>
        <w:t>l</w:t>
      </w:r>
      <w:r>
        <w:rPr>
          <w:spacing w:val="-3"/>
          <w:w w:val="111"/>
        </w:rPr>
        <w:t>atin</w:t>
      </w:r>
      <w:r>
        <w:rPr>
          <w:w w:val="111"/>
        </w:rPr>
        <w:t>a</w:t>
      </w:r>
      <w:r>
        <w:rPr>
          <w:spacing w:val="6"/>
        </w:rPr>
        <w:t> </w:t>
      </w:r>
      <w:r>
        <w:rPr>
          <w:w w:val="105"/>
        </w:rPr>
        <w:t>y</w:t>
      </w:r>
      <w:r>
        <w:rPr>
          <w:spacing w:val="6"/>
        </w:rPr>
        <w:t> </w:t>
      </w:r>
      <w:r>
        <w:rPr>
          <w:spacing w:val="-3"/>
          <w:w w:val="107"/>
        </w:rPr>
        <w:t>e</w:t>
      </w:r>
      <w:r>
        <w:rPr>
          <w:w w:val="107"/>
        </w:rPr>
        <w:t>l</w:t>
      </w:r>
      <w:r>
        <w:rPr>
          <w:spacing w:val="6"/>
        </w:rPr>
        <w:t> </w:t>
      </w:r>
      <w:r>
        <w:rPr>
          <w:spacing w:val="-3"/>
          <w:w w:val="112"/>
        </w:rPr>
        <w:t>Carib</w:t>
      </w:r>
      <w:r>
        <w:rPr>
          <w:w w:val="112"/>
        </w:rPr>
        <w:t>e</w:t>
      </w:r>
      <w:r>
        <w:rPr>
          <w:spacing w:val="6"/>
        </w:rPr>
        <w:t> </w:t>
      </w:r>
      <w:r>
        <w:rPr>
          <w:spacing w:val="-3"/>
          <w:w w:val="112"/>
        </w:rPr>
        <w:t>com</w:t>
      </w:r>
      <w:r>
        <w:rPr>
          <w:w w:val="112"/>
        </w:rPr>
        <w:t>o</w:t>
      </w:r>
      <w:r>
        <w:rPr>
          <w:spacing w:val="6"/>
        </w:rPr>
        <w:t> </w:t>
      </w:r>
      <w:r>
        <w:rPr>
          <w:spacing w:val="-3"/>
          <w:w w:val="114"/>
        </w:rPr>
        <w:t>Zon</w:t>
      </w:r>
      <w:r>
        <w:rPr>
          <w:w w:val="114"/>
        </w:rPr>
        <w:t>a</w:t>
      </w:r>
      <w:r>
        <w:rPr>
          <w:spacing w:val="6"/>
        </w:rPr>
        <w:t> </w:t>
      </w:r>
      <w:r>
        <w:rPr>
          <w:spacing w:val="-3"/>
          <w:w w:val="107"/>
        </w:rPr>
        <w:t>de </w:t>
      </w:r>
      <w:r>
        <w:rPr>
          <w:w w:val="120"/>
        </w:rPr>
        <w:t>Paz</w:t>
      </w:r>
      <w:r>
        <w:rPr>
          <w:spacing w:val="-35"/>
          <w:w w:val="120"/>
        </w:rPr>
        <w:t> </w:t>
      </w:r>
      <w:r>
        <w:rPr>
          <w:spacing w:val="-3"/>
          <w:w w:val="120"/>
        </w:rPr>
        <w:t>(original</w:t>
      </w:r>
      <w:r>
        <w:rPr>
          <w:spacing w:val="-35"/>
          <w:w w:val="120"/>
        </w:rPr>
        <w:t> </w:t>
      </w:r>
      <w:r>
        <w:rPr>
          <w:spacing w:val="-3"/>
          <w:w w:val="120"/>
        </w:rPr>
        <w:t>firmado</w:t>
      </w:r>
      <w:r>
        <w:rPr>
          <w:spacing w:val="-35"/>
          <w:w w:val="120"/>
        </w:rPr>
        <w:t> </w:t>
      </w:r>
      <w:r>
        <w:rPr>
          <w:w w:val="120"/>
        </w:rPr>
        <w:t>por</w:t>
      </w:r>
      <w:r>
        <w:rPr>
          <w:spacing w:val="-35"/>
          <w:w w:val="120"/>
        </w:rPr>
        <w:t> </w:t>
      </w:r>
      <w:r>
        <w:rPr>
          <w:w w:val="120"/>
        </w:rPr>
        <w:t>las</w:t>
      </w:r>
      <w:r>
        <w:rPr>
          <w:spacing w:val="-35"/>
          <w:w w:val="120"/>
        </w:rPr>
        <w:t> </w:t>
      </w:r>
      <w:r>
        <w:rPr>
          <w:spacing w:val="-3"/>
          <w:w w:val="120"/>
        </w:rPr>
        <w:t>Jefas</w:t>
      </w:r>
      <w:r>
        <w:rPr>
          <w:spacing w:val="-35"/>
          <w:w w:val="120"/>
        </w:rPr>
        <w:t> </w:t>
      </w:r>
      <w:r>
        <w:rPr>
          <w:w w:val="120"/>
        </w:rPr>
        <w:t>y</w:t>
      </w:r>
      <w:r>
        <w:rPr>
          <w:spacing w:val="-35"/>
          <w:w w:val="120"/>
        </w:rPr>
        <w:t> </w:t>
      </w:r>
      <w:r>
        <w:rPr>
          <w:spacing w:val="-3"/>
          <w:w w:val="120"/>
        </w:rPr>
        <w:t>Jefes</w:t>
      </w:r>
      <w:r>
        <w:rPr>
          <w:spacing w:val="-35"/>
          <w:w w:val="120"/>
        </w:rPr>
        <w:t> </w:t>
      </w:r>
      <w:r>
        <w:rPr>
          <w:w w:val="120"/>
        </w:rPr>
        <w:t>de</w:t>
      </w:r>
      <w:r>
        <w:rPr>
          <w:spacing w:val="-35"/>
          <w:w w:val="120"/>
        </w:rPr>
        <w:t> </w:t>
      </w:r>
      <w:r>
        <w:rPr>
          <w:spacing w:val="-3"/>
          <w:w w:val="120"/>
        </w:rPr>
        <w:t>Estado</w:t>
      </w:r>
      <w:r>
        <w:rPr>
          <w:spacing w:val="-35"/>
          <w:w w:val="120"/>
        </w:rPr>
        <w:t> </w:t>
      </w:r>
      <w:r>
        <w:rPr>
          <w:w w:val="120"/>
        </w:rPr>
        <w:t>y</w:t>
      </w:r>
      <w:r>
        <w:rPr>
          <w:spacing w:val="-35"/>
          <w:w w:val="120"/>
        </w:rPr>
        <w:t> </w:t>
      </w:r>
      <w:r>
        <w:rPr>
          <w:w w:val="120"/>
        </w:rPr>
        <w:t>de</w:t>
      </w:r>
      <w:r>
        <w:rPr>
          <w:spacing w:val="-35"/>
          <w:w w:val="120"/>
        </w:rPr>
        <w:t> </w:t>
      </w:r>
      <w:r>
        <w:rPr>
          <w:spacing w:val="-3"/>
          <w:w w:val="120"/>
        </w:rPr>
        <w:t>Gobierno </w:t>
      </w:r>
      <w:r>
        <w:rPr>
          <w:spacing w:val="-3"/>
          <w:w w:val="107"/>
        </w:rPr>
        <w:t>d</w:t>
      </w:r>
      <w:r>
        <w:rPr>
          <w:w w:val="107"/>
        </w:rPr>
        <w:t>e</w:t>
      </w:r>
      <w:r>
        <w:rPr>
          <w:spacing w:val="6"/>
        </w:rPr>
        <w:t> </w:t>
      </w:r>
      <w:r>
        <w:rPr>
          <w:spacing w:val="-3"/>
          <w:w w:val="111"/>
        </w:rPr>
        <w:t>l</w:t>
      </w:r>
      <w:r>
        <w:rPr>
          <w:w w:val="111"/>
        </w:rPr>
        <w:t>a</w:t>
      </w:r>
      <w:r>
        <w:rPr>
          <w:spacing w:val="6"/>
        </w:rPr>
        <w:t> </w:t>
      </w:r>
      <w:r>
        <w:rPr>
          <w:spacing w:val="-3"/>
          <w:w w:val="113"/>
        </w:rPr>
        <w:t>Comunida</w:t>
      </w:r>
      <w:r>
        <w:rPr>
          <w:w w:val="113"/>
        </w:rPr>
        <w:t>d</w:t>
      </w:r>
      <w:r>
        <w:rPr>
          <w:spacing w:val="6"/>
        </w:rPr>
        <w:t> </w:t>
      </w:r>
      <w:r>
        <w:rPr>
          <w:spacing w:val="-3"/>
          <w:w w:val="107"/>
        </w:rPr>
        <w:t>d</w:t>
      </w:r>
      <w:r>
        <w:rPr>
          <w:w w:val="107"/>
        </w:rPr>
        <w:t>e</w:t>
      </w:r>
      <w:r>
        <w:rPr>
          <w:spacing w:val="6"/>
        </w:rPr>
        <w:t> </w:t>
      </w:r>
      <w:r>
        <w:rPr>
          <w:spacing w:val="-3"/>
          <w:w w:val="111"/>
        </w:rPr>
        <w:t>Estado</w:t>
      </w:r>
      <w:r>
        <w:rPr>
          <w:w w:val="111"/>
        </w:rPr>
        <w:t>s</w:t>
      </w:r>
      <w:r>
        <w:rPr>
          <w:spacing w:val="6"/>
        </w:rPr>
        <w:t> </w:t>
      </w:r>
      <w:r>
        <w:rPr>
          <w:spacing w:val="-3"/>
          <w:w w:val="243"/>
        </w:rPr>
        <w:t>l</w:t>
      </w:r>
      <w:r>
        <w:rPr>
          <w:spacing w:val="-3"/>
          <w:w w:val="110"/>
        </w:rPr>
        <w:t>atinoamericano</w:t>
      </w:r>
      <w:r>
        <w:rPr>
          <w:w w:val="110"/>
        </w:rPr>
        <w:t>s</w:t>
      </w:r>
      <w:r>
        <w:rPr>
          <w:spacing w:val="6"/>
        </w:rPr>
        <w:t> </w:t>
      </w:r>
      <w:r>
        <w:rPr>
          <w:w w:val="105"/>
        </w:rPr>
        <w:t>y</w:t>
      </w:r>
      <w:r>
        <w:rPr>
          <w:spacing w:val="6"/>
        </w:rPr>
        <w:t> </w:t>
      </w:r>
      <w:r>
        <w:rPr>
          <w:spacing w:val="-3"/>
          <w:w w:val="112"/>
        </w:rPr>
        <w:t>Caribeños</w:t>
      </w:r>
      <w:r>
        <w:rPr>
          <w:w w:val="112"/>
        </w:rPr>
        <w:t>,</w:t>
      </w:r>
      <w:r>
        <w:rPr>
          <w:spacing w:val="6"/>
        </w:rPr>
        <w:t> </w:t>
      </w:r>
      <w:r>
        <w:rPr>
          <w:spacing w:val="-3"/>
          <w:w w:val="108"/>
        </w:rPr>
        <w:t>en</w:t>
      </w:r>
    </w:p>
    <w:p>
      <w:pPr>
        <w:pStyle w:val="BodyText"/>
        <w:ind w:left="497"/>
      </w:pPr>
      <w:hyperlink r:id="rId480">
        <w:r>
          <w:rPr>
            <w:w w:val="110"/>
          </w:rPr>
          <w:t>&lt;http://goo.gl/xrHclK&gt;</w:t>
        </w:r>
      </w:hyperlink>
      <w:r>
        <w:rPr>
          <w:w w:val="110"/>
        </w:rPr>
        <w:t> acceso 16 de marzo de 2014.</w:t>
      </w:r>
    </w:p>
    <w:p>
      <w:pPr>
        <w:pStyle w:val="BodyText"/>
        <w:spacing w:line="252" w:lineRule="auto" w:before="39"/>
        <w:ind w:left="497" w:right="819" w:hanging="397"/>
      </w:pPr>
      <w:r>
        <w:rPr>
          <w:w w:val="126"/>
        </w:rPr>
        <w:t>CE</w:t>
      </w:r>
      <w:r>
        <w:rPr>
          <w:w w:val="176"/>
        </w:rPr>
        <w:t>la</w:t>
      </w:r>
      <w:r>
        <w:rPr>
          <w:w w:val="124"/>
        </w:rPr>
        <w:t>C</w:t>
      </w:r>
      <w:r>
        <w:rPr/>
        <w:t> </w:t>
      </w:r>
      <w:r>
        <w:rPr>
          <w:w w:val="104"/>
        </w:rPr>
        <w:t>2014a</w:t>
      </w:r>
      <w:r>
        <w:rPr/>
        <w:t> </w:t>
      </w:r>
      <w:r>
        <w:rPr>
          <w:w w:val="115"/>
        </w:rPr>
        <w:t>“</w:t>
      </w:r>
      <w:r>
        <w:rPr>
          <w:w w:val="139"/>
        </w:rPr>
        <w:t>d</w:t>
      </w:r>
      <w:r>
        <w:rPr>
          <w:w w:val="111"/>
        </w:rPr>
        <w:t>eclaración</w:t>
      </w:r>
      <w:r>
        <w:rPr/>
        <w:t> </w:t>
      </w:r>
      <w:r>
        <w:rPr>
          <w:w w:val="107"/>
        </w:rPr>
        <w:t>de</w:t>
      </w:r>
      <w:r>
        <w:rPr/>
        <w:t> </w:t>
      </w:r>
      <w:r>
        <w:rPr>
          <w:w w:val="243"/>
        </w:rPr>
        <w:t>l</w:t>
      </w:r>
      <w:r>
        <w:rPr>
          <w:w w:val="112"/>
        </w:rPr>
        <w:t>a</w:t>
      </w:r>
      <w:r>
        <w:rPr/>
        <w:t> </w:t>
      </w:r>
      <w:r>
        <w:rPr>
          <w:w w:val="114"/>
        </w:rPr>
        <w:t>Habana</w:t>
      </w:r>
      <w:r>
        <w:rPr/>
        <w:t> </w:t>
      </w:r>
      <w:r>
        <w:rPr>
          <w:w w:val="107"/>
        </w:rPr>
        <w:t>de</w:t>
      </w:r>
      <w:r>
        <w:rPr/>
        <w:t> </w:t>
      </w:r>
      <w:r>
        <w:rPr>
          <w:w w:val="111"/>
        </w:rPr>
        <w:t>la</w:t>
      </w:r>
      <w:r>
        <w:rPr/>
        <w:t> </w:t>
      </w:r>
      <w:r>
        <w:rPr>
          <w:w w:val="142"/>
        </w:rPr>
        <w:t>ii</w:t>
      </w:r>
      <w:r>
        <w:rPr/>
        <w:t> </w:t>
      </w:r>
      <w:r>
        <w:rPr>
          <w:w w:val="112"/>
        </w:rPr>
        <w:t>Cumbre</w:t>
      </w:r>
      <w:r>
        <w:rPr/>
        <w:t> </w:t>
      </w:r>
      <w:r>
        <w:rPr>
          <w:w w:val="107"/>
        </w:rPr>
        <w:t>de</w:t>
      </w:r>
      <w:r>
        <w:rPr/>
        <w:t> </w:t>
      </w:r>
      <w:r>
        <w:rPr>
          <w:w w:val="111"/>
        </w:rPr>
        <w:t>la </w:t>
      </w:r>
      <w:r>
        <w:rPr>
          <w:w w:val="125"/>
        </w:rPr>
        <w:t>CElaC”, </w:t>
      </w:r>
      <w:r>
        <w:rPr>
          <w:w w:val="120"/>
        </w:rPr>
        <w:t>en </w:t>
      </w:r>
      <w:r>
        <w:rPr>
          <w:i/>
          <w:w w:val="120"/>
        </w:rPr>
        <w:t>Cubadebate</w:t>
      </w:r>
      <w:r>
        <w:rPr>
          <w:w w:val="120"/>
        </w:rPr>
        <w:t>, 30 de enero.</w:t>
      </w:r>
    </w:p>
    <w:p>
      <w:pPr>
        <w:spacing w:line="283" w:lineRule="auto" w:before="28"/>
        <w:ind w:left="100" w:right="0" w:firstLine="0"/>
        <w:jc w:val="left"/>
        <w:rPr>
          <w:i/>
          <w:sz w:val="19"/>
        </w:rPr>
      </w:pPr>
      <w:r>
        <w:rPr>
          <w:w w:val="110"/>
          <w:sz w:val="19"/>
        </w:rPr>
        <w:t>Clinton, Hillary 2014 </w:t>
      </w:r>
      <w:r>
        <w:rPr>
          <w:i/>
          <w:w w:val="110"/>
          <w:sz w:val="19"/>
        </w:rPr>
        <w:t>Hard Choises </w:t>
      </w:r>
      <w:r>
        <w:rPr>
          <w:w w:val="110"/>
          <w:sz w:val="19"/>
        </w:rPr>
        <w:t>(Nueva York: simon &amp; schuster). Congress of the united states of america 2013 </w:t>
      </w:r>
      <w:r>
        <w:rPr>
          <w:i/>
          <w:w w:val="110"/>
          <w:sz w:val="19"/>
        </w:rPr>
        <w:t>organization    of</w:t>
      </w:r>
    </w:p>
    <w:p>
      <w:pPr>
        <w:spacing w:line="194" w:lineRule="exact" w:before="0"/>
        <w:ind w:left="497" w:right="0" w:firstLine="0"/>
        <w:jc w:val="left"/>
        <w:rPr>
          <w:sz w:val="19"/>
        </w:rPr>
      </w:pPr>
      <w:r>
        <w:rPr>
          <w:i/>
          <w:w w:val="110"/>
          <w:sz w:val="19"/>
        </w:rPr>
        <w:t>American States Revitalization and Reform Act of  2013</w:t>
      </w:r>
      <w:r>
        <w:rPr>
          <w:w w:val="110"/>
          <w:sz w:val="19"/>
        </w:rPr>
        <w:t>.</w:t>
      </w:r>
    </w:p>
    <w:p>
      <w:pPr>
        <w:pStyle w:val="BodyText"/>
        <w:spacing w:line="252" w:lineRule="auto" w:before="39"/>
        <w:ind w:left="497" w:right="616" w:hanging="397"/>
      </w:pPr>
      <w:r>
        <w:rPr>
          <w:w w:val="115"/>
        </w:rPr>
        <w:t>Ed 2012 “Joint Press release on the united states-Colombia action Plan on regional security Cooperation” (Washington: </w:t>
      </w:r>
      <w:r>
        <w:rPr>
          <w:w w:val="110"/>
        </w:rPr>
        <w:t>department of state), en </w:t>
      </w:r>
      <w:hyperlink r:id="rId481">
        <w:r>
          <w:rPr>
            <w:w w:val="110"/>
          </w:rPr>
          <w:t>&lt;http://goo.gl/7K8tCF&gt;.</w:t>
        </w:r>
      </w:hyperlink>
    </w:p>
    <w:p>
      <w:pPr>
        <w:spacing w:after="0" w:line="252" w:lineRule="auto"/>
        <w:sectPr>
          <w:pgSz w:w="8790" w:h="12760"/>
          <w:pgMar w:header="697" w:footer="723" w:top="880" w:bottom="920" w:left="920" w:right="1200"/>
        </w:sectPr>
      </w:pPr>
    </w:p>
    <w:p>
      <w:pPr>
        <w:pStyle w:val="BodyText"/>
        <w:spacing w:before="7"/>
        <w:rPr>
          <w:sz w:val="28"/>
        </w:rPr>
      </w:pPr>
    </w:p>
    <w:p>
      <w:pPr>
        <w:pStyle w:val="BodyText"/>
        <w:spacing w:line="252" w:lineRule="auto" w:before="73"/>
        <w:ind w:left="727" w:right="187" w:hanging="397"/>
      </w:pPr>
      <w:r>
        <w:rPr>
          <w:w w:val="110"/>
        </w:rPr>
        <w:t>EFE 2014 “Viaje del Ministro de defensa colombiano: Colombia   filtra ‘por error’ temas que planteará en EE.uu.”, en </w:t>
      </w:r>
      <w:hyperlink r:id="rId170">
        <w:r>
          <w:rPr>
            <w:w w:val="110"/>
          </w:rPr>
          <w:t>&lt;http://goo.</w:t>
        </w:r>
      </w:hyperlink>
      <w:r>
        <w:rPr>
          <w:w w:val="110"/>
        </w:rPr>
        <w:t> gl/od8445&gt;</w:t>
      </w:r>
      <w:r>
        <w:rPr>
          <w:spacing w:val="-12"/>
          <w:w w:val="110"/>
        </w:rPr>
        <w:t> </w:t>
      </w:r>
      <w:r>
        <w:rPr>
          <w:w w:val="110"/>
        </w:rPr>
        <w:t>acceso</w:t>
      </w:r>
      <w:r>
        <w:rPr>
          <w:spacing w:val="-12"/>
          <w:w w:val="110"/>
        </w:rPr>
        <w:t> </w:t>
      </w:r>
      <w:r>
        <w:rPr>
          <w:w w:val="110"/>
        </w:rPr>
        <w:t>16</w:t>
      </w:r>
      <w:r>
        <w:rPr>
          <w:spacing w:val="-12"/>
          <w:w w:val="110"/>
        </w:rPr>
        <w:t> </w:t>
      </w:r>
      <w:r>
        <w:rPr>
          <w:w w:val="110"/>
        </w:rPr>
        <w:t>de</w:t>
      </w:r>
      <w:r>
        <w:rPr>
          <w:spacing w:val="-12"/>
          <w:w w:val="110"/>
        </w:rPr>
        <w:t> </w:t>
      </w:r>
      <w:r>
        <w:rPr>
          <w:w w:val="110"/>
        </w:rPr>
        <w:t>marzo</w:t>
      </w:r>
      <w:r>
        <w:rPr>
          <w:spacing w:val="-12"/>
          <w:w w:val="110"/>
        </w:rPr>
        <w:t> </w:t>
      </w:r>
      <w:r>
        <w:rPr>
          <w:w w:val="110"/>
        </w:rPr>
        <w:t>de</w:t>
      </w:r>
      <w:r>
        <w:rPr>
          <w:spacing w:val="-12"/>
          <w:w w:val="110"/>
        </w:rPr>
        <w:t> </w:t>
      </w:r>
      <w:r>
        <w:rPr>
          <w:w w:val="110"/>
        </w:rPr>
        <w:t>2014.</w:t>
      </w:r>
    </w:p>
    <w:p>
      <w:pPr>
        <w:pStyle w:val="BodyText"/>
        <w:spacing w:line="252" w:lineRule="auto" w:before="28"/>
        <w:ind w:left="727" w:hanging="397"/>
      </w:pPr>
      <w:r>
        <w:rPr>
          <w:i/>
          <w:w w:val="120"/>
        </w:rPr>
        <w:t>El</w:t>
      </w:r>
      <w:r>
        <w:rPr>
          <w:i/>
        </w:rPr>
        <w:t> </w:t>
      </w:r>
      <w:r>
        <w:rPr>
          <w:i/>
          <w:w w:val="113"/>
        </w:rPr>
        <w:t>Día</w:t>
      </w:r>
      <w:r>
        <w:rPr>
          <w:i/>
        </w:rPr>
        <w:t> </w:t>
      </w:r>
      <w:r>
        <w:rPr>
          <w:w w:val="102"/>
        </w:rPr>
        <w:t>2014</w:t>
      </w:r>
      <w:r>
        <w:rPr/>
        <w:t> </w:t>
      </w:r>
      <w:r>
        <w:rPr>
          <w:w w:val="111"/>
        </w:rPr>
        <w:t>“Corte</w:t>
      </w:r>
      <w:r>
        <w:rPr/>
        <w:t> </w:t>
      </w:r>
      <w:r>
        <w:rPr>
          <w:w w:val="112"/>
        </w:rPr>
        <w:t>colombiana</w:t>
      </w:r>
      <w:r>
        <w:rPr/>
        <w:t> </w:t>
      </w:r>
      <w:r>
        <w:rPr>
          <w:w w:val="110"/>
        </w:rPr>
        <w:t>dice</w:t>
      </w:r>
      <w:r>
        <w:rPr/>
        <w:t> </w:t>
      </w:r>
      <w:r>
        <w:rPr>
          <w:w w:val="108"/>
        </w:rPr>
        <w:t>que</w:t>
      </w:r>
      <w:r>
        <w:rPr/>
        <w:t> </w:t>
      </w:r>
      <w:r>
        <w:rPr>
          <w:w w:val="243"/>
        </w:rPr>
        <w:t>l</w:t>
      </w:r>
      <w:r>
        <w:rPr>
          <w:w w:val="112"/>
        </w:rPr>
        <w:t>a</w:t>
      </w:r>
      <w:r>
        <w:rPr/>
        <w:t> </w:t>
      </w:r>
      <w:r>
        <w:rPr>
          <w:w w:val="114"/>
        </w:rPr>
        <w:t>Haya</w:t>
      </w:r>
      <w:r>
        <w:rPr/>
        <w:t> </w:t>
      </w:r>
      <w:r>
        <w:rPr>
          <w:w w:val="111"/>
        </w:rPr>
        <w:t>no</w:t>
      </w:r>
      <w:r>
        <w:rPr/>
        <w:t> </w:t>
      </w:r>
      <w:r>
        <w:rPr>
          <w:w w:val="108"/>
        </w:rPr>
        <w:t>puede</w:t>
      </w:r>
      <w:r>
        <w:rPr/>
        <w:t> </w:t>
      </w:r>
      <w:r>
        <w:rPr>
          <w:w w:val="110"/>
        </w:rPr>
        <w:t>modificar </w:t>
      </w:r>
      <w:r>
        <w:rPr>
          <w:w w:val="115"/>
        </w:rPr>
        <w:t>límites de un país”, en </w:t>
      </w:r>
      <w:hyperlink r:id="rId482">
        <w:r>
          <w:rPr>
            <w:w w:val="115"/>
          </w:rPr>
          <w:t>&lt;http://goo.gl/msqxu</w:t>
        </w:r>
      </w:hyperlink>
      <w:r>
        <w:rPr>
          <w:w w:val="115"/>
        </w:rPr>
        <w:t>Y&gt; acceso 4 de </w:t>
      </w:r>
      <w:r>
        <w:rPr>
          <w:w w:val="110"/>
        </w:rPr>
        <w:t>agosto de 2014.</w:t>
      </w:r>
    </w:p>
    <w:p>
      <w:pPr>
        <w:pStyle w:val="BodyText"/>
        <w:spacing w:line="252" w:lineRule="auto" w:before="28"/>
        <w:ind w:left="727" w:hanging="397"/>
      </w:pPr>
      <w:r>
        <w:rPr>
          <w:w w:val="110"/>
        </w:rPr>
        <w:t>Faus, Joan 2014 “biden visita brasil en busca de reconciliación definitiva con rousseff”, en </w:t>
      </w:r>
      <w:r>
        <w:rPr>
          <w:i/>
          <w:w w:val="110"/>
        </w:rPr>
        <w:t>El País</w:t>
      </w:r>
      <w:r>
        <w:rPr>
          <w:w w:val="110"/>
        </w:rPr>
        <w:t>, 14 de junio de   2014.</w:t>
      </w:r>
    </w:p>
    <w:p>
      <w:pPr>
        <w:pStyle w:val="BodyText"/>
        <w:spacing w:line="252" w:lineRule="auto" w:before="28"/>
        <w:ind w:left="727" w:right="132" w:hanging="397"/>
      </w:pPr>
      <w:r>
        <w:rPr>
          <w:w w:val="110"/>
        </w:rPr>
        <w:t>iad 2014 </w:t>
      </w:r>
      <w:r>
        <w:rPr>
          <w:spacing w:val="-4"/>
          <w:w w:val="110"/>
        </w:rPr>
        <w:t>“Will </w:t>
      </w:r>
      <w:r>
        <w:rPr>
          <w:w w:val="110"/>
        </w:rPr>
        <w:t>Cuba get an invitation to the summit of </w:t>
      </w:r>
      <w:r>
        <w:rPr>
          <w:spacing w:val="-2"/>
          <w:w w:val="110"/>
        </w:rPr>
        <w:t>the   </w:t>
      </w:r>
      <w:r>
        <w:rPr>
          <w:w w:val="110"/>
        </w:rPr>
        <w:t>americas?”, en </w:t>
      </w:r>
      <w:hyperlink r:id="rId483">
        <w:r>
          <w:rPr>
            <w:spacing w:val="-3"/>
            <w:w w:val="110"/>
          </w:rPr>
          <w:t>&lt;www.thedialogue.org&gt;</w:t>
        </w:r>
      </w:hyperlink>
      <w:r>
        <w:rPr>
          <w:spacing w:val="-3"/>
          <w:w w:val="110"/>
        </w:rPr>
        <w:t> </w:t>
      </w:r>
      <w:r>
        <w:rPr>
          <w:w w:val="110"/>
        </w:rPr>
        <w:t>acceso 4 de junio de</w:t>
      </w:r>
      <w:r>
        <w:rPr>
          <w:spacing w:val="5"/>
          <w:w w:val="110"/>
        </w:rPr>
        <w:t> </w:t>
      </w:r>
      <w:r>
        <w:rPr>
          <w:w w:val="110"/>
        </w:rPr>
        <w:t>2014.</w:t>
      </w:r>
    </w:p>
    <w:p>
      <w:pPr>
        <w:pStyle w:val="BodyText"/>
        <w:spacing w:line="283" w:lineRule="auto" w:before="28"/>
        <w:ind w:left="330"/>
      </w:pPr>
      <w:r>
        <w:rPr>
          <w:w w:val="110"/>
        </w:rPr>
        <w:t>iNFobaE 2014 En </w:t>
      </w:r>
      <w:hyperlink r:id="rId484">
        <w:r>
          <w:rPr>
            <w:w w:val="110"/>
          </w:rPr>
          <w:t>&lt;http://goo.gl/</w:t>
        </w:r>
      </w:hyperlink>
      <w:r>
        <w:rPr>
          <w:w w:val="110"/>
        </w:rPr>
        <w:t>a</w:t>
      </w:r>
      <w:hyperlink r:id="rId484">
        <w:r>
          <w:rPr>
            <w:w w:val="110"/>
          </w:rPr>
          <w:t>Fn2ot</w:t>
        </w:r>
      </w:hyperlink>
      <w:r>
        <w:rPr>
          <w:w w:val="110"/>
        </w:rPr>
        <w:t>&gt; acceso 20 de junio de 2014. isacson, adam 2012 “Consolidating ‘consolidation’:   Colombia’s</w:t>
      </w:r>
    </w:p>
    <w:p>
      <w:pPr>
        <w:pStyle w:val="BodyText"/>
        <w:spacing w:line="194" w:lineRule="exact"/>
        <w:ind w:left="727"/>
      </w:pPr>
      <w:r>
        <w:rPr>
          <w:w w:val="110"/>
        </w:rPr>
        <w:t>‘security and development’ zones await a civilian  handoff,</w:t>
      </w:r>
    </w:p>
    <w:p>
      <w:pPr>
        <w:pStyle w:val="BodyText"/>
        <w:spacing w:line="252" w:lineRule="auto" w:before="11"/>
        <w:ind w:left="727"/>
      </w:pPr>
      <w:r>
        <w:rPr>
          <w:w w:val="110"/>
        </w:rPr>
        <w:t>while Washington backs away from de concept”, en </w:t>
      </w:r>
      <w:r>
        <w:rPr>
          <w:i/>
          <w:w w:val="110"/>
        </w:rPr>
        <w:t>WoLA</w:t>
      </w:r>
      <w:r>
        <w:rPr>
          <w:w w:val="110"/>
        </w:rPr>
        <w:t>, Washington, diciembre.</w:t>
      </w:r>
    </w:p>
    <w:p>
      <w:pPr>
        <w:spacing w:line="252" w:lineRule="auto" w:before="28"/>
        <w:ind w:left="727" w:right="294" w:hanging="397"/>
        <w:jc w:val="left"/>
        <w:rPr>
          <w:sz w:val="19"/>
        </w:rPr>
      </w:pPr>
      <w:r>
        <w:rPr>
          <w:w w:val="115"/>
          <w:sz w:val="19"/>
        </w:rPr>
        <w:t>isacson, adam y Mauren Meyer 2012 </w:t>
      </w:r>
      <w:r>
        <w:rPr>
          <w:i/>
          <w:w w:val="115"/>
          <w:sz w:val="19"/>
        </w:rPr>
        <w:t>Beyond the Border Buildup: </w:t>
      </w:r>
      <w:r>
        <w:rPr>
          <w:i/>
          <w:w w:val="115"/>
          <w:sz w:val="19"/>
        </w:rPr>
        <w:t>Security</w:t>
      </w:r>
      <w:r>
        <w:rPr>
          <w:i/>
          <w:spacing w:val="-26"/>
          <w:w w:val="115"/>
          <w:sz w:val="19"/>
        </w:rPr>
        <w:t> </w:t>
      </w:r>
      <w:r>
        <w:rPr>
          <w:i/>
          <w:w w:val="115"/>
          <w:sz w:val="19"/>
        </w:rPr>
        <w:t>and</w:t>
      </w:r>
      <w:r>
        <w:rPr>
          <w:i/>
          <w:spacing w:val="-26"/>
          <w:w w:val="115"/>
          <w:sz w:val="19"/>
        </w:rPr>
        <w:t> </w:t>
      </w:r>
      <w:r>
        <w:rPr>
          <w:i/>
          <w:w w:val="115"/>
          <w:sz w:val="19"/>
        </w:rPr>
        <w:t>migrants</w:t>
      </w:r>
      <w:r>
        <w:rPr>
          <w:i/>
          <w:spacing w:val="-26"/>
          <w:w w:val="115"/>
          <w:sz w:val="19"/>
        </w:rPr>
        <w:t> </w:t>
      </w:r>
      <w:r>
        <w:rPr>
          <w:i/>
          <w:w w:val="115"/>
          <w:sz w:val="19"/>
        </w:rPr>
        <w:t>along</w:t>
      </w:r>
      <w:r>
        <w:rPr>
          <w:i/>
          <w:spacing w:val="-26"/>
          <w:w w:val="115"/>
          <w:sz w:val="19"/>
        </w:rPr>
        <w:t> </w:t>
      </w:r>
      <w:r>
        <w:rPr>
          <w:i/>
          <w:w w:val="115"/>
          <w:sz w:val="19"/>
        </w:rPr>
        <w:t>tue</w:t>
      </w:r>
      <w:r>
        <w:rPr>
          <w:i/>
          <w:spacing w:val="-26"/>
          <w:w w:val="115"/>
          <w:sz w:val="19"/>
        </w:rPr>
        <w:t> </w:t>
      </w:r>
      <w:r>
        <w:rPr>
          <w:i/>
          <w:w w:val="115"/>
          <w:sz w:val="19"/>
        </w:rPr>
        <w:t>US-Mexico</w:t>
      </w:r>
      <w:r>
        <w:rPr>
          <w:i/>
          <w:spacing w:val="-26"/>
          <w:w w:val="115"/>
          <w:sz w:val="19"/>
        </w:rPr>
        <w:t> </w:t>
      </w:r>
      <w:r>
        <w:rPr>
          <w:i/>
          <w:w w:val="115"/>
          <w:sz w:val="19"/>
        </w:rPr>
        <w:t>Border</w:t>
      </w:r>
      <w:r>
        <w:rPr>
          <w:w w:val="115"/>
          <w:sz w:val="19"/>
        </w:rPr>
        <w:t>,</w:t>
      </w:r>
      <w:r>
        <w:rPr>
          <w:spacing w:val="-26"/>
          <w:w w:val="115"/>
          <w:sz w:val="19"/>
        </w:rPr>
        <w:t> </w:t>
      </w:r>
      <w:r>
        <w:rPr>
          <w:w w:val="115"/>
          <w:sz w:val="19"/>
        </w:rPr>
        <w:t>Washington </w:t>
      </w:r>
      <w:r>
        <w:rPr>
          <w:w w:val="149"/>
          <w:sz w:val="19"/>
        </w:rPr>
        <w:t>o</w:t>
      </w:r>
      <w:r>
        <w:rPr>
          <w:spacing w:val="-4"/>
          <w:w w:val="118"/>
          <w:sz w:val="19"/>
        </w:rPr>
        <w:t>f</w:t>
      </w:r>
      <w:r>
        <w:rPr>
          <w:w w:val="107"/>
          <w:sz w:val="19"/>
        </w:rPr>
        <w:t>fice</w:t>
      </w:r>
      <w:r>
        <w:rPr>
          <w:spacing w:val="12"/>
          <w:sz w:val="19"/>
        </w:rPr>
        <w:t> </w:t>
      </w:r>
      <w:r>
        <w:rPr>
          <w:w w:val="111"/>
          <w:sz w:val="19"/>
        </w:rPr>
        <w:t>on</w:t>
      </w:r>
      <w:r>
        <w:rPr>
          <w:spacing w:val="12"/>
          <w:sz w:val="19"/>
        </w:rPr>
        <w:t> </w:t>
      </w:r>
      <w:r>
        <w:rPr>
          <w:w w:val="243"/>
          <w:sz w:val="19"/>
        </w:rPr>
        <w:t>l</w:t>
      </w:r>
      <w:r>
        <w:rPr>
          <w:w w:val="111"/>
          <w:sz w:val="19"/>
        </w:rPr>
        <w:t>atin</w:t>
      </w:r>
      <w:r>
        <w:rPr>
          <w:spacing w:val="12"/>
          <w:sz w:val="19"/>
        </w:rPr>
        <w:t> </w:t>
      </w:r>
      <w:r>
        <w:rPr>
          <w:w w:val="139"/>
          <w:sz w:val="19"/>
        </w:rPr>
        <w:t>a</w:t>
      </w:r>
      <w:r>
        <w:rPr>
          <w:w w:val="113"/>
          <w:sz w:val="19"/>
        </w:rPr>
        <w:t>merica,</w:t>
      </w:r>
      <w:r>
        <w:rPr>
          <w:spacing w:val="12"/>
          <w:sz w:val="19"/>
        </w:rPr>
        <w:t> </w:t>
      </w:r>
      <w:r>
        <w:rPr>
          <w:w w:val="110"/>
          <w:sz w:val="19"/>
        </w:rPr>
        <w:t>abril</w:t>
      </w:r>
      <w:r>
        <w:rPr>
          <w:spacing w:val="12"/>
          <w:sz w:val="19"/>
        </w:rPr>
        <w:t> </w:t>
      </w:r>
      <w:r>
        <w:rPr>
          <w:w w:val="107"/>
          <w:sz w:val="19"/>
        </w:rPr>
        <w:t>de</w:t>
      </w:r>
      <w:r>
        <w:rPr>
          <w:spacing w:val="12"/>
          <w:sz w:val="19"/>
        </w:rPr>
        <w:t> </w:t>
      </w:r>
      <w:r>
        <w:rPr>
          <w:w w:val="105"/>
          <w:sz w:val="19"/>
        </w:rPr>
        <w:t>2012.</w:t>
      </w:r>
    </w:p>
    <w:p>
      <w:pPr>
        <w:spacing w:line="252" w:lineRule="auto" w:before="28"/>
        <w:ind w:left="727" w:right="0" w:hanging="397"/>
        <w:jc w:val="left"/>
        <w:rPr>
          <w:sz w:val="19"/>
        </w:rPr>
      </w:pPr>
      <w:r>
        <w:rPr>
          <w:w w:val="142"/>
          <w:sz w:val="19"/>
        </w:rPr>
        <w:t>i</w:t>
      </w:r>
      <w:r>
        <w:rPr>
          <w:w w:val="112"/>
          <w:sz w:val="19"/>
        </w:rPr>
        <w:t>sacson,</w:t>
      </w:r>
      <w:r>
        <w:rPr>
          <w:sz w:val="19"/>
        </w:rPr>
        <w:t> </w:t>
      </w:r>
      <w:r>
        <w:rPr>
          <w:w w:val="139"/>
          <w:sz w:val="19"/>
        </w:rPr>
        <w:t>a</w:t>
      </w:r>
      <w:r>
        <w:rPr>
          <w:w w:val="111"/>
          <w:sz w:val="19"/>
        </w:rPr>
        <w:t>dam;</w:t>
      </w:r>
      <w:r>
        <w:rPr>
          <w:sz w:val="19"/>
        </w:rPr>
        <w:t> </w:t>
      </w:r>
      <w:r>
        <w:rPr>
          <w:w w:val="243"/>
          <w:sz w:val="19"/>
        </w:rPr>
        <w:t>l</w:t>
      </w:r>
      <w:r>
        <w:rPr>
          <w:w w:val="110"/>
          <w:sz w:val="19"/>
        </w:rPr>
        <w:t>isa</w:t>
      </w:r>
      <w:r>
        <w:rPr>
          <w:sz w:val="19"/>
        </w:rPr>
        <w:t> </w:t>
      </w:r>
      <w:r>
        <w:rPr>
          <w:w w:val="112"/>
          <w:sz w:val="19"/>
        </w:rPr>
        <w:t>Haugaard;</w:t>
      </w:r>
      <w:r>
        <w:rPr>
          <w:sz w:val="19"/>
        </w:rPr>
        <w:t> </w:t>
      </w:r>
      <w:r>
        <w:rPr>
          <w:w w:val="139"/>
          <w:sz w:val="19"/>
        </w:rPr>
        <w:t>a</w:t>
      </w:r>
      <w:r>
        <w:rPr>
          <w:w w:val="112"/>
          <w:sz w:val="19"/>
        </w:rPr>
        <w:t>bigail</w:t>
      </w:r>
      <w:r>
        <w:rPr>
          <w:sz w:val="19"/>
        </w:rPr>
        <w:t> </w:t>
      </w:r>
      <w:r>
        <w:rPr>
          <w:w w:val="109"/>
          <w:sz w:val="19"/>
        </w:rPr>
        <w:t>Poe;</w:t>
      </w:r>
      <w:r>
        <w:rPr>
          <w:sz w:val="19"/>
        </w:rPr>
        <w:t> </w:t>
      </w:r>
      <w:r>
        <w:rPr>
          <w:w w:val="149"/>
          <w:sz w:val="19"/>
        </w:rPr>
        <w:t>s</w:t>
      </w:r>
      <w:r>
        <w:rPr>
          <w:w w:val="110"/>
          <w:sz w:val="19"/>
        </w:rPr>
        <w:t>arah</w:t>
      </w:r>
      <w:r>
        <w:rPr>
          <w:sz w:val="19"/>
        </w:rPr>
        <w:t> </w:t>
      </w:r>
      <w:r>
        <w:rPr>
          <w:w w:val="113"/>
          <w:sz w:val="19"/>
        </w:rPr>
        <w:t>Kinosian</w:t>
      </w:r>
      <w:r>
        <w:rPr>
          <w:sz w:val="19"/>
        </w:rPr>
        <w:t> </w:t>
      </w:r>
      <w:r>
        <w:rPr>
          <w:w w:val="105"/>
          <w:sz w:val="19"/>
        </w:rPr>
        <w:t>y</w:t>
      </w:r>
      <w:r>
        <w:rPr>
          <w:sz w:val="19"/>
        </w:rPr>
        <w:t> </w:t>
      </w:r>
      <w:r>
        <w:rPr>
          <w:w w:val="111"/>
          <w:sz w:val="19"/>
        </w:rPr>
        <w:t>George </w:t>
      </w:r>
      <w:r>
        <w:rPr>
          <w:w w:val="120"/>
          <w:sz w:val="19"/>
        </w:rPr>
        <w:t>Withers 2013 </w:t>
      </w:r>
      <w:r>
        <w:rPr>
          <w:i/>
          <w:w w:val="120"/>
          <w:sz w:val="19"/>
        </w:rPr>
        <w:t>Hora de Escuchar: Tendencias en Asistencia de </w:t>
      </w:r>
      <w:r>
        <w:rPr>
          <w:i/>
          <w:w w:val="108"/>
          <w:sz w:val="19"/>
        </w:rPr>
        <w:t>Seguridad</w:t>
      </w:r>
      <w:r>
        <w:rPr>
          <w:i/>
          <w:sz w:val="19"/>
        </w:rPr>
        <w:t> </w:t>
      </w:r>
      <w:r>
        <w:rPr>
          <w:i/>
          <w:w w:val="104"/>
          <w:sz w:val="19"/>
        </w:rPr>
        <w:t>de</w:t>
      </w:r>
      <w:r>
        <w:rPr>
          <w:i/>
          <w:sz w:val="19"/>
        </w:rPr>
        <w:t> </w:t>
      </w:r>
      <w:r>
        <w:rPr>
          <w:i/>
          <w:w w:val="112"/>
          <w:sz w:val="19"/>
        </w:rPr>
        <w:t>los</w:t>
      </w:r>
      <w:r>
        <w:rPr>
          <w:i/>
          <w:sz w:val="19"/>
        </w:rPr>
        <w:t> </w:t>
      </w:r>
      <w:r>
        <w:rPr>
          <w:i/>
          <w:w w:val="126"/>
          <w:sz w:val="19"/>
        </w:rPr>
        <w:t>EE.UU.</w:t>
      </w:r>
      <w:r>
        <w:rPr>
          <w:i/>
          <w:sz w:val="19"/>
        </w:rPr>
        <w:t> </w:t>
      </w:r>
      <w:r>
        <w:rPr>
          <w:i/>
          <w:w w:val="110"/>
          <w:sz w:val="19"/>
        </w:rPr>
        <w:t>hacia</w:t>
      </w:r>
      <w:r>
        <w:rPr>
          <w:i/>
          <w:sz w:val="19"/>
        </w:rPr>
        <w:t> </w:t>
      </w:r>
      <w:r>
        <w:rPr>
          <w:i/>
          <w:w w:val="109"/>
          <w:sz w:val="19"/>
        </w:rPr>
        <w:t>América</w:t>
      </w:r>
      <w:r>
        <w:rPr>
          <w:i/>
          <w:sz w:val="19"/>
        </w:rPr>
        <w:t> </w:t>
      </w:r>
      <w:r>
        <w:rPr>
          <w:i/>
          <w:w w:val="110"/>
          <w:sz w:val="19"/>
        </w:rPr>
        <w:t>Latina</w:t>
      </w:r>
      <w:r>
        <w:rPr>
          <w:i/>
          <w:sz w:val="19"/>
        </w:rPr>
        <w:t> </w:t>
      </w:r>
      <w:r>
        <w:rPr>
          <w:i/>
          <w:w w:val="106"/>
          <w:sz w:val="19"/>
        </w:rPr>
        <w:t>y</w:t>
      </w:r>
      <w:r>
        <w:rPr>
          <w:i/>
          <w:sz w:val="19"/>
        </w:rPr>
        <w:t> </w:t>
      </w:r>
      <w:r>
        <w:rPr>
          <w:i/>
          <w:w w:val="101"/>
          <w:sz w:val="19"/>
        </w:rPr>
        <w:t>el</w:t>
      </w:r>
      <w:r>
        <w:rPr>
          <w:i/>
          <w:sz w:val="19"/>
        </w:rPr>
        <w:t> </w:t>
      </w:r>
      <w:r>
        <w:rPr>
          <w:i/>
          <w:w w:val="109"/>
          <w:sz w:val="19"/>
        </w:rPr>
        <w:t>Caribe</w:t>
      </w:r>
      <w:r>
        <w:rPr>
          <w:w w:val="138"/>
          <w:sz w:val="19"/>
        </w:rPr>
        <w:t>,</w:t>
      </w:r>
      <w:r>
        <w:rPr>
          <w:sz w:val="19"/>
        </w:rPr>
        <w:t> </w:t>
      </w:r>
      <w:r>
        <w:rPr>
          <w:w w:val="243"/>
          <w:sz w:val="19"/>
        </w:rPr>
        <w:t>l</w:t>
      </w:r>
      <w:r>
        <w:rPr>
          <w:w w:val="111"/>
          <w:sz w:val="19"/>
        </w:rPr>
        <w:t>atin </w:t>
      </w:r>
      <w:r>
        <w:rPr>
          <w:w w:val="115"/>
          <w:sz w:val="19"/>
        </w:rPr>
        <w:t>america Working Group Education Fund (laWGEF), Center</w:t>
      </w:r>
    </w:p>
    <w:p>
      <w:pPr>
        <w:pStyle w:val="BodyText"/>
        <w:spacing w:line="252" w:lineRule="auto"/>
        <w:ind w:left="727"/>
      </w:pPr>
      <w:r>
        <w:rPr>
          <w:w w:val="110"/>
        </w:rPr>
        <w:t>for</w:t>
      </w:r>
      <w:r>
        <w:rPr/>
        <w:t> </w:t>
      </w:r>
      <w:r>
        <w:rPr>
          <w:w w:val="142"/>
        </w:rPr>
        <w:t>i</w:t>
      </w:r>
      <w:r>
        <w:rPr>
          <w:w w:val="110"/>
        </w:rPr>
        <w:t>nternational</w:t>
      </w:r>
      <w:r>
        <w:rPr/>
        <w:t> </w:t>
      </w:r>
      <w:r>
        <w:rPr>
          <w:w w:val="111"/>
        </w:rPr>
        <w:t>Policy</w:t>
      </w:r>
      <w:r>
        <w:rPr/>
        <w:t> </w:t>
      </w:r>
      <w:r>
        <w:rPr>
          <w:w w:val="114"/>
        </w:rPr>
        <w:t>(C</w:t>
      </w:r>
      <w:r>
        <w:rPr>
          <w:w w:val="142"/>
        </w:rPr>
        <w:t>i</w:t>
      </w:r>
      <w:r>
        <w:rPr>
          <w:w w:val="107"/>
        </w:rPr>
        <w:t>P)</w:t>
      </w:r>
      <w:r>
        <w:rPr/>
        <w:t> </w:t>
      </w:r>
      <w:r>
        <w:rPr>
          <w:w w:val="121"/>
        </w:rPr>
        <w:t>&amp;</w:t>
      </w:r>
      <w:r>
        <w:rPr/>
        <w:t> </w:t>
      </w:r>
      <w:r>
        <w:rPr>
          <w:w w:val="110"/>
        </w:rPr>
        <w:t>W</w:t>
      </w:r>
      <w:r>
        <w:rPr>
          <w:w w:val="110"/>
        </w:rPr>
        <w:t>ashington</w:t>
      </w:r>
      <w:r>
        <w:rPr/>
        <w:t> </w:t>
      </w:r>
      <w:r>
        <w:rPr>
          <w:w w:val="149"/>
        </w:rPr>
        <w:t>o</w:t>
      </w:r>
      <w:r>
        <w:rPr>
          <w:w w:val="118"/>
        </w:rPr>
        <w:t>f</w:t>
      </w:r>
      <w:r>
        <w:rPr>
          <w:w w:val="107"/>
        </w:rPr>
        <w:t>fice</w:t>
      </w:r>
      <w:r>
        <w:rPr/>
        <w:t> </w:t>
      </w:r>
      <w:r>
        <w:rPr>
          <w:w w:val="111"/>
        </w:rPr>
        <w:t>on</w:t>
      </w:r>
      <w:r>
        <w:rPr/>
        <w:t> </w:t>
      </w:r>
      <w:r>
        <w:rPr>
          <w:w w:val="243"/>
        </w:rPr>
        <w:t>l</w:t>
      </w:r>
      <w:r>
        <w:rPr>
          <w:w w:val="111"/>
        </w:rPr>
        <w:t>atin </w:t>
      </w:r>
      <w:r>
        <w:rPr>
          <w:w w:val="115"/>
        </w:rPr>
        <w:t>american (Wola), 13 de septiembre de 2013.</w:t>
      </w:r>
    </w:p>
    <w:p>
      <w:pPr>
        <w:pStyle w:val="BodyText"/>
        <w:spacing w:line="252" w:lineRule="auto" w:before="28"/>
        <w:ind w:left="727" w:hanging="397"/>
      </w:pPr>
      <w:r>
        <w:rPr>
          <w:w w:val="115"/>
        </w:rPr>
        <w:t>Jid 2014 “Presidente del Consejo de delegados participó en CaNsEC 2014”, Junta interamericana de defensa, Washington, 11 de </w:t>
      </w:r>
      <w:r>
        <w:rPr>
          <w:w w:val="110"/>
        </w:rPr>
        <w:t>febrero de 2014.</w:t>
      </w:r>
    </w:p>
    <w:p>
      <w:pPr>
        <w:pStyle w:val="BodyText"/>
        <w:spacing w:line="252" w:lineRule="auto" w:before="28"/>
        <w:ind w:left="727" w:right="114" w:hanging="397"/>
      </w:pPr>
      <w:r>
        <w:rPr>
          <w:w w:val="110"/>
        </w:rPr>
        <w:t>Joint statement 2012 “Joint statement from the Fourth u.s.-brazil Global Partnership dialogue”, en </w:t>
      </w:r>
      <w:r>
        <w:rPr>
          <w:i/>
          <w:w w:val="110"/>
        </w:rPr>
        <w:t>Media Note</w:t>
      </w:r>
      <w:r>
        <w:rPr>
          <w:w w:val="110"/>
        </w:rPr>
        <w:t>, office of the spokesperson, Washington, 24 de  octubre.</w:t>
      </w:r>
    </w:p>
    <w:p>
      <w:pPr>
        <w:spacing w:line="252" w:lineRule="auto" w:before="28"/>
        <w:ind w:left="727" w:right="194" w:hanging="397"/>
        <w:jc w:val="left"/>
        <w:rPr>
          <w:sz w:val="19"/>
        </w:rPr>
      </w:pPr>
      <w:r>
        <w:rPr>
          <w:w w:val="110"/>
          <w:sz w:val="19"/>
        </w:rPr>
        <w:t>Karg, Juan Manuel 2014 “alianza del Pacífico: ¿integración o dependencia?”, en </w:t>
      </w:r>
      <w:r>
        <w:rPr>
          <w:i/>
          <w:w w:val="110"/>
          <w:sz w:val="19"/>
        </w:rPr>
        <w:t>Servicio Informativo “Alai-amlatina”</w:t>
      </w:r>
      <w:r>
        <w:rPr>
          <w:w w:val="110"/>
          <w:sz w:val="19"/>
        </w:rPr>
        <w:t>, 6 de enero de 2014.</w:t>
      </w:r>
    </w:p>
    <w:p>
      <w:pPr>
        <w:pStyle w:val="BodyText"/>
        <w:spacing w:line="252" w:lineRule="auto" w:before="28"/>
        <w:ind w:left="727" w:right="361" w:hanging="397"/>
      </w:pPr>
      <w:r>
        <w:rPr>
          <w:spacing w:val="-4"/>
          <w:w w:val="120"/>
        </w:rPr>
        <w:t>Kerry, </w:t>
      </w:r>
      <w:r>
        <w:rPr>
          <w:w w:val="120"/>
        </w:rPr>
        <w:t>John 2013 “remarks on u.s. Policy in the Western </w:t>
      </w:r>
      <w:r>
        <w:rPr>
          <w:w w:val="115"/>
        </w:rPr>
        <w:t>Hemisphere”,</w:t>
      </w:r>
      <w:r>
        <w:rPr>
          <w:spacing w:val="-15"/>
          <w:w w:val="115"/>
        </w:rPr>
        <w:t> </w:t>
      </w:r>
      <w:r>
        <w:rPr>
          <w:w w:val="115"/>
        </w:rPr>
        <w:t>oEa,</w:t>
      </w:r>
      <w:r>
        <w:rPr>
          <w:spacing w:val="-15"/>
          <w:w w:val="115"/>
        </w:rPr>
        <w:t> </w:t>
      </w:r>
      <w:r>
        <w:rPr>
          <w:w w:val="115"/>
        </w:rPr>
        <w:t>Washington,</w:t>
      </w:r>
      <w:r>
        <w:rPr>
          <w:spacing w:val="-15"/>
          <w:w w:val="115"/>
        </w:rPr>
        <w:t> </w:t>
      </w:r>
      <w:r>
        <w:rPr>
          <w:w w:val="115"/>
        </w:rPr>
        <w:t>18</w:t>
      </w:r>
      <w:r>
        <w:rPr>
          <w:spacing w:val="-15"/>
          <w:w w:val="115"/>
        </w:rPr>
        <w:t> </w:t>
      </w:r>
      <w:r>
        <w:rPr>
          <w:w w:val="115"/>
        </w:rPr>
        <w:t>de</w:t>
      </w:r>
      <w:r>
        <w:rPr>
          <w:spacing w:val="-15"/>
          <w:w w:val="115"/>
        </w:rPr>
        <w:t> </w:t>
      </w:r>
      <w:r>
        <w:rPr>
          <w:w w:val="115"/>
        </w:rPr>
        <w:t>noviembre</w:t>
      </w:r>
      <w:r>
        <w:rPr>
          <w:spacing w:val="-15"/>
          <w:w w:val="115"/>
        </w:rPr>
        <w:t> </w:t>
      </w:r>
      <w:r>
        <w:rPr>
          <w:w w:val="115"/>
        </w:rPr>
        <w:t>de</w:t>
      </w:r>
      <w:r>
        <w:rPr>
          <w:spacing w:val="-15"/>
          <w:w w:val="115"/>
        </w:rPr>
        <w:t> </w:t>
      </w:r>
      <w:r>
        <w:rPr>
          <w:w w:val="115"/>
        </w:rPr>
        <w:t>2013,</w:t>
      </w:r>
      <w:r>
        <w:rPr>
          <w:spacing w:val="-15"/>
          <w:w w:val="115"/>
        </w:rPr>
        <w:t> </w:t>
      </w:r>
      <w:r>
        <w:rPr>
          <w:w w:val="115"/>
        </w:rPr>
        <w:t>en</w:t>
      </w:r>
    </w:p>
    <w:p>
      <w:pPr>
        <w:pStyle w:val="BodyText"/>
        <w:ind w:left="727"/>
      </w:pPr>
      <w:hyperlink r:id="rId485">
        <w:r>
          <w:rPr>
            <w:w w:val="105"/>
          </w:rPr>
          <w:t>&lt;http://goo.gl/fNho11&gt;</w:t>
        </w:r>
      </w:hyperlink>
      <w:r>
        <w:rPr>
          <w:w w:val="105"/>
        </w:rPr>
        <w:t> acceso 22 de noviembre de   2013.</w:t>
      </w:r>
    </w:p>
    <w:p>
      <w:pPr>
        <w:pStyle w:val="BodyText"/>
        <w:spacing w:line="252" w:lineRule="auto" w:before="39"/>
        <w:ind w:left="727" w:right="102" w:hanging="397"/>
      </w:pPr>
      <w:r>
        <w:rPr>
          <w:i/>
          <w:w w:val="110"/>
        </w:rPr>
        <w:t>La Estrella </w:t>
      </w:r>
      <w:r>
        <w:rPr>
          <w:w w:val="110"/>
        </w:rPr>
        <w:t>2014 “Mandatarios centroamericanos discuten con Kerry la situación de los niños migrantes”, en </w:t>
      </w:r>
      <w:hyperlink r:id="rId486">
        <w:r>
          <w:rPr>
            <w:w w:val="110"/>
          </w:rPr>
          <w:t>&lt;http://goo.gl/MNFQ5x&gt;.</w:t>
        </w:r>
      </w:hyperlink>
    </w:p>
    <w:p>
      <w:pPr>
        <w:pStyle w:val="BodyText"/>
        <w:spacing w:line="252" w:lineRule="auto" w:before="28"/>
        <w:ind w:left="727" w:right="194" w:hanging="397"/>
      </w:pPr>
      <w:r>
        <w:rPr>
          <w:w w:val="243"/>
        </w:rPr>
        <w:t>l</w:t>
      </w:r>
      <w:r>
        <w:rPr>
          <w:w w:val="110"/>
        </w:rPr>
        <w:t>egañoa</w:t>
      </w:r>
      <w:r>
        <w:rPr/>
        <w:t> </w:t>
      </w:r>
      <w:r>
        <w:rPr>
          <w:w w:val="139"/>
        </w:rPr>
        <w:t>a</w:t>
      </w:r>
      <w:r>
        <w:rPr>
          <w:w w:val="112"/>
        </w:rPr>
        <w:t>lonso,</w:t>
      </w:r>
      <w:r>
        <w:rPr/>
        <w:t> </w:t>
      </w:r>
      <w:r>
        <w:rPr>
          <w:w w:val="114"/>
        </w:rPr>
        <w:t>Jorge</w:t>
      </w:r>
      <w:r>
        <w:rPr/>
        <w:t> </w:t>
      </w:r>
      <w:r>
        <w:rPr>
          <w:w w:val="102"/>
        </w:rPr>
        <w:t>2014</w:t>
      </w:r>
      <w:r>
        <w:rPr/>
        <w:t> </w:t>
      </w:r>
      <w:r>
        <w:rPr>
          <w:w w:val="113"/>
        </w:rPr>
        <w:t>“Nicolás</w:t>
      </w:r>
      <w:r>
        <w:rPr/>
        <w:t> </w:t>
      </w:r>
      <w:r>
        <w:rPr>
          <w:w w:val="112"/>
        </w:rPr>
        <w:t>Maduro:</w:t>
      </w:r>
      <w:r>
        <w:rPr/>
        <w:t> </w:t>
      </w:r>
      <w:r>
        <w:rPr>
          <w:w w:val="122"/>
        </w:rPr>
        <w:t>El</w:t>
      </w:r>
      <w:r>
        <w:rPr/>
        <w:t> </w:t>
      </w:r>
      <w:r>
        <w:rPr>
          <w:w w:val="113"/>
        </w:rPr>
        <w:t>camino</w:t>
      </w:r>
      <w:r>
        <w:rPr/>
        <w:t> </w:t>
      </w:r>
      <w:r>
        <w:rPr>
          <w:w w:val="107"/>
        </w:rPr>
        <w:t>de</w:t>
      </w:r>
      <w:r>
        <w:rPr/>
        <w:t> </w:t>
      </w:r>
      <w:r>
        <w:rPr>
          <w:w w:val="108"/>
        </w:rPr>
        <w:t>los </w:t>
      </w:r>
      <w:r>
        <w:rPr>
          <w:w w:val="108"/>
        </w:rPr>
        <w:t>libertadores</w:t>
      </w:r>
      <w:r>
        <w:rPr/>
        <w:t> </w:t>
      </w:r>
      <w:r>
        <w:rPr>
          <w:w w:val="105"/>
        </w:rPr>
        <w:t>se</w:t>
      </w:r>
      <w:r>
        <w:rPr/>
        <w:t> </w:t>
      </w:r>
      <w:r>
        <w:rPr>
          <w:w w:val="110"/>
        </w:rPr>
        <w:t>consolidó</w:t>
      </w:r>
      <w:r>
        <w:rPr/>
        <w:t> </w:t>
      </w:r>
      <w:r>
        <w:rPr>
          <w:w w:val="108"/>
        </w:rPr>
        <w:t>en</w:t>
      </w:r>
      <w:r>
        <w:rPr/>
        <w:t> </w:t>
      </w:r>
      <w:r>
        <w:rPr>
          <w:w w:val="243"/>
        </w:rPr>
        <w:t>l</w:t>
      </w:r>
      <w:r>
        <w:rPr>
          <w:w w:val="112"/>
        </w:rPr>
        <w:t>a</w:t>
      </w:r>
      <w:r>
        <w:rPr/>
        <w:t> </w:t>
      </w:r>
      <w:r>
        <w:rPr>
          <w:w w:val="115"/>
        </w:rPr>
        <w:t>Habana,</w:t>
      </w:r>
      <w:r>
        <w:rPr/>
        <w:t> </w:t>
      </w:r>
      <w:r>
        <w:rPr>
          <w:w w:val="108"/>
        </w:rPr>
        <w:t>en</w:t>
      </w:r>
      <w:r>
        <w:rPr/>
        <w:t> </w:t>
      </w:r>
      <w:hyperlink r:id="rId108">
        <w:r>
          <w:rPr>
            <w:w w:val="99"/>
          </w:rPr>
          <w:t>&lt;http://goo.gl/</w:t>
        </w:r>
      </w:hyperlink>
      <w:r>
        <w:rPr>
          <w:w w:val="99"/>
        </w:rPr>
        <w:t> </w:t>
      </w:r>
      <w:r>
        <w:rPr>
          <w:w w:val="115"/>
        </w:rPr>
        <w:t>eiuusY&gt; </w:t>
      </w:r>
      <w:r>
        <w:rPr>
          <w:w w:val="110"/>
        </w:rPr>
        <w:t>acceso 3 de febrero de  2014.</w:t>
      </w:r>
    </w:p>
    <w:p>
      <w:pPr>
        <w:spacing w:after="0" w:line="252" w:lineRule="auto"/>
        <w:sectPr>
          <w:pgSz w:w="8790" w:h="12760"/>
          <w:pgMar w:header="695" w:footer="725" w:top="880" w:bottom="920" w:left="1200" w:right="920"/>
        </w:sectPr>
      </w:pPr>
    </w:p>
    <w:p>
      <w:pPr>
        <w:pStyle w:val="BodyText"/>
        <w:spacing w:before="9"/>
        <w:rPr>
          <w:sz w:val="28"/>
        </w:rPr>
      </w:pPr>
    </w:p>
    <w:p>
      <w:pPr>
        <w:spacing w:line="252" w:lineRule="auto" w:before="73"/>
        <w:ind w:left="497" w:right="271" w:hanging="397"/>
        <w:jc w:val="left"/>
        <w:rPr>
          <w:sz w:val="19"/>
        </w:rPr>
      </w:pPr>
      <w:r>
        <w:rPr>
          <w:w w:val="120"/>
          <w:sz w:val="19"/>
        </w:rPr>
        <w:t>Main, alexander 2014 “the u.s. re-militarization of Central </w:t>
      </w:r>
      <w:r>
        <w:rPr>
          <w:w w:val="115"/>
          <w:sz w:val="19"/>
        </w:rPr>
        <w:t>america and Mexico”, en </w:t>
      </w:r>
      <w:r>
        <w:rPr>
          <w:i/>
          <w:w w:val="115"/>
          <w:sz w:val="19"/>
        </w:rPr>
        <w:t>The North American Congress on Latin </w:t>
      </w:r>
      <w:r>
        <w:rPr>
          <w:i/>
          <w:w w:val="115"/>
          <w:sz w:val="19"/>
        </w:rPr>
        <w:t>America</w:t>
      </w:r>
      <w:r>
        <w:rPr>
          <w:w w:val="115"/>
          <w:sz w:val="19"/>
        </w:rPr>
        <w:t>, summer.</w:t>
      </w:r>
    </w:p>
    <w:p>
      <w:pPr>
        <w:pStyle w:val="BodyText"/>
        <w:spacing w:line="252" w:lineRule="auto" w:before="28"/>
        <w:ind w:left="497" w:right="271" w:hanging="397"/>
      </w:pPr>
      <w:r>
        <w:rPr>
          <w:w w:val="115"/>
        </w:rPr>
        <w:t>Maye Primera 2013 “EE.uu., a la reconquista del Caribe: biden viaja a trinidad y tobago para apuntalar la sociedad con los países</w:t>
      </w:r>
    </w:p>
    <w:p>
      <w:pPr>
        <w:pStyle w:val="BodyText"/>
        <w:spacing w:line="252" w:lineRule="auto"/>
        <w:ind w:left="497" w:right="819"/>
      </w:pPr>
      <w:r>
        <w:rPr>
          <w:w w:val="110"/>
        </w:rPr>
        <w:t>de la </w:t>
      </w:r>
      <w:r>
        <w:rPr>
          <w:w w:val="120"/>
        </w:rPr>
        <w:t>CariCoM </w:t>
      </w:r>
      <w:r>
        <w:rPr>
          <w:w w:val="110"/>
        </w:rPr>
        <w:t>frente a la influencia de Venezuela”, en </w:t>
      </w:r>
      <w:r>
        <w:rPr>
          <w:i/>
          <w:w w:val="110"/>
        </w:rPr>
        <w:t>Maye </w:t>
      </w:r>
      <w:r>
        <w:rPr>
          <w:i/>
          <w:w w:val="110"/>
        </w:rPr>
        <w:t>Primera</w:t>
      </w:r>
      <w:r>
        <w:rPr>
          <w:w w:val="110"/>
        </w:rPr>
        <w:t>, Miami, 29 de  mayo.</w:t>
      </w:r>
    </w:p>
    <w:p>
      <w:pPr>
        <w:pStyle w:val="BodyText"/>
        <w:spacing w:before="28"/>
        <w:ind w:left="100"/>
      </w:pPr>
      <w:r>
        <w:rPr>
          <w:w w:val="110"/>
        </w:rPr>
        <w:t>Marroquín Cabrera, Marcela 2014 acceso 29 de julio de  2014.</w:t>
      </w:r>
    </w:p>
    <w:p>
      <w:pPr>
        <w:pStyle w:val="BodyText"/>
        <w:spacing w:line="252" w:lineRule="auto" w:before="39"/>
        <w:ind w:left="497" w:hanging="397"/>
      </w:pPr>
      <w:r>
        <w:rPr>
          <w:w w:val="113"/>
        </w:rPr>
        <w:t>Mendoza,</w:t>
      </w:r>
      <w:r>
        <w:rPr/>
        <w:t> </w:t>
      </w:r>
      <w:r>
        <w:rPr>
          <w:w w:val="112"/>
        </w:rPr>
        <w:t>Martha</w:t>
      </w:r>
      <w:r>
        <w:rPr/>
        <w:t> </w:t>
      </w:r>
      <w:r>
        <w:rPr>
          <w:w w:val="102"/>
        </w:rPr>
        <w:t>2013</w:t>
      </w:r>
      <w:r>
        <w:rPr/>
        <w:t> </w:t>
      </w:r>
      <w:r>
        <w:rPr>
          <w:w w:val="115"/>
        </w:rPr>
        <w:t>“</w:t>
      </w:r>
      <w:r>
        <w:rPr>
          <w:w w:val="144"/>
        </w:rPr>
        <w:t>us</w:t>
      </w:r>
      <w:r>
        <w:rPr/>
        <w:t> </w:t>
      </w:r>
      <w:r>
        <w:rPr>
          <w:w w:val="110"/>
        </w:rPr>
        <w:t>military</w:t>
      </w:r>
      <w:r>
        <w:rPr/>
        <w:t> </w:t>
      </w:r>
      <w:r>
        <w:rPr>
          <w:w w:val="108"/>
        </w:rPr>
        <w:t>expands</w:t>
      </w:r>
      <w:r>
        <w:rPr/>
        <w:t> </w:t>
      </w:r>
      <w:r>
        <w:rPr>
          <w:w w:val="108"/>
        </w:rPr>
        <w:t>its</w:t>
      </w:r>
      <w:r>
        <w:rPr/>
        <w:t> </w:t>
      </w:r>
      <w:r>
        <w:rPr>
          <w:w w:val="109"/>
        </w:rPr>
        <w:t>drug</w:t>
      </w:r>
      <w:r>
        <w:rPr/>
        <w:t> </w:t>
      </w:r>
      <w:r>
        <w:rPr>
          <w:w w:val="107"/>
        </w:rPr>
        <w:t>war</w:t>
      </w:r>
      <w:r>
        <w:rPr/>
        <w:t> </w:t>
      </w:r>
      <w:r>
        <w:rPr>
          <w:w w:val="113"/>
        </w:rPr>
        <w:t>in</w:t>
      </w:r>
      <w:r>
        <w:rPr/>
        <w:t> </w:t>
      </w:r>
      <w:r>
        <w:rPr>
          <w:w w:val="243"/>
        </w:rPr>
        <w:t>l</w:t>
      </w:r>
      <w:r>
        <w:rPr>
          <w:w w:val="111"/>
        </w:rPr>
        <w:t>atin </w:t>
      </w:r>
      <w:r>
        <w:rPr>
          <w:w w:val="115"/>
        </w:rPr>
        <w:t>america”, en </w:t>
      </w:r>
      <w:r>
        <w:rPr>
          <w:i/>
          <w:w w:val="115"/>
        </w:rPr>
        <w:t>Associated Press</w:t>
      </w:r>
      <w:r>
        <w:rPr>
          <w:w w:val="115"/>
        </w:rPr>
        <w:t>, 3 de febrero de 2013.</w:t>
      </w:r>
    </w:p>
    <w:p>
      <w:pPr>
        <w:pStyle w:val="BodyText"/>
        <w:spacing w:line="252" w:lineRule="auto" w:before="28"/>
        <w:ind w:left="497" w:right="645" w:hanging="397"/>
      </w:pPr>
      <w:r>
        <w:rPr>
          <w:w w:val="120"/>
        </w:rPr>
        <w:t>M</w:t>
      </w:r>
      <w:r>
        <w:rPr>
          <w:w w:val="142"/>
        </w:rPr>
        <w:t>i</w:t>
      </w:r>
      <w:r>
        <w:rPr>
          <w:w w:val="119"/>
        </w:rPr>
        <w:t>N</w:t>
      </w:r>
      <w:r>
        <w:rPr>
          <w:w w:val="182"/>
        </w:rPr>
        <w:t>r</w:t>
      </w:r>
      <w:r>
        <w:rPr>
          <w:w w:val="128"/>
        </w:rPr>
        <w:t>E</w:t>
      </w:r>
      <w:r>
        <w:rPr>
          <w:w w:val="243"/>
        </w:rPr>
        <w:t>l</w:t>
      </w:r>
      <w:r>
        <w:rPr/>
        <w:t> </w:t>
      </w:r>
      <w:r>
        <w:rPr>
          <w:w w:val="102"/>
        </w:rPr>
        <w:t>2013</w:t>
      </w:r>
      <w:r>
        <w:rPr/>
        <w:t> </w:t>
      </w:r>
      <w:r>
        <w:rPr>
          <w:w w:val="139"/>
        </w:rPr>
        <w:t>d</w:t>
      </w:r>
      <w:r>
        <w:rPr>
          <w:w w:val="111"/>
        </w:rPr>
        <w:t>eclaración</w:t>
      </w:r>
      <w:r>
        <w:rPr/>
        <w:t> </w:t>
      </w:r>
      <w:r>
        <w:rPr>
          <w:w w:val="112"/>
        </w:rPr>
        <w:t>con</w:t>
      </w:r>
      <w:r>
        <w:rPr/>
        <w:t> </w:t>
      </w:r>
      <w:r>
        <w:rPr>
          <w:w w:val="111"/>
        </w:rPr>
        <w:t>ocasión</w:t>
      </w:r>
      <w:r>
        <w:rPr/>
        <w:t> </w:t>
      </w:r>
      <w:r>
        <w:rPr>
          <w:w w:val="107"/>
        </w:rPr>
        <w:t>de</w:t>
      </w:r>
      <w:r>
        <w:rPr/>
        <w:t> </w:t>
      </w:r>
      <w:r>
        <w:rPr>
          <w:w w:val="111"/>
        </w:rPr>
        <w:t>la</w:t>
      </w:r>
      <w:r>
        <w:rPr/>
        <w:t> </w:t>
      </w:r>
      <w:r>
        <w:rPr>
          <w:w w:val="108"/>
        </w:rPr>
        <w:t>visita</w:t>
      </w:r>
      <w:r>
        <w:rPr/>
        <w:t> </w:t>
      </w:r>
      <w:r>
        <w:rPr>
          <w:w w:val="107"/>
        </w:rPr>
        <w:t>del</w:t>
      </w:r>
      <w:r>
        <w:rPr/>
        <w:t> </w:t>
      </w:r>
      <w:r>
        <w:rPr>
          <w:w w:val="108"/>
        </w:rPr>
        <w:t>Presidente </w:t>
      </w:r>
      <w:r>
        <w:rPr>
          <w:w w:val="110"/>
        </w:rPr>
        <w:t>sebastián Piñera a Washington d.C., Estados unidos de américa, 3-4 de junio de 2013, en </w:t>
      </w:r>
      <w:hyperlink r:id="rId487">
        <w:r>
          <w:rPr>
            <w:w w:val="110"/>
          </w:rPr>
          <w:t>&lt;http://goo.gl/ludp</w:t>
        </w:r>
      </w:hyperlink>
      <w:r>
        <w:rPr>
          <w:w w:val="110"/>
        </w:rPr>
        <w:t>r</w:t>
      </w:r>
      <w:hyperlink r:id="rId487">
        <w:r>
          <w:rPr>
            <w:w w:val="110"/>
          </w:rPr>
          <w:t>m&gt;</w:t>
        </w:r>
      </w:hyperlink>
      <w:r>
        <w:rPr>
          <w:w w:val="110"/>
        </w:rPr>
        <w:t> acceso 13 de marzo de 2014.</w:t>
      </w:r>
    </w:p>
    <w:p>
      <w:pPr>
        <w:spacing w:line="252" w:lineRule="auto" w:before="28"/>
        <w:ind w:left="497" w:right="317" w:hanging="397"/>
        <w:jc w:val="left"/>
        <w:rPr>
          <w:sz w:val="19"/>
        </w:rPr>
      </w:pPr>
      <w:r>
        <w:rPr>
          <w:w w:val="115"/>
          <w:sz w:val="19"/>
        </w:rPr>
        <w:t>Mojica, Francisco José 2000 “determinismo y construcción del </w:t>
      </w:r>
      <w:r>
        <w:rPr>
          <w:w w:val="113"/>
          <w:sz w:val="19"/>
        </w:rPr>
        <w:t>futuro”,</w:t>
      </w:r>
      <w:r>
        <w:rPr>
          <w:sz w:val="19"/>
        </w:rPr>
        <w:t> </w:t>
      </w:r>
      <w:r>
        <w:rPr>
          <w:w w:val="108"/>
          <w:sz w:val="19"/>
        </w:rPr>
        <w:t>en</w:t>
      </w:r>
      <w:r>
        <w:rPr>
          <w:sz w:val="19"/>
        </w:rPr>
        <w:t> </w:t>
      </w:r>
      <w:r>
        <w:rPr>
          <w:w w:val="112"/>
          <w:sz w:val="19"/>
        </w:rPr>
        <w:t>Francisco</w:t>
      </w:r>
      <w:r>
        <w:rPr>
          <w:sz w:val="19"/>
        </w:rPr>
        <w:t> </w:t>
      </w:r>
      <w:r>
        <w:rPr>
          <w:w w:val="243"/>
          <w:sz w:val="19"/>
        </w:rPr>
        <w:t>l</w:t>
      </w:r>
      <w:r>
        <w:rPr>
          <w:w w:val="109"/>
          <w:sz w:val="19"/>
        </w:rPr>
        <w:t>ópez</w:t>
      </w:r>
      <w:r>
        <w:rPr>
          <w:sz w:val="19"/>
        </w:rPr>
        <w:t> </w:t>
      </w:r>
      <w:r>
        <w:rPr>
          <w:w w:val="149"/>
          <w:sz w:val="19"/>
        </w:rPr>
        <w:t>s</w:t>
      </w:r>
      <w:r>
        <w:rPr>
          <w:w w:val="107"/>
          <w:sz w:val="19"/>
        </w:rPr>
        <w:t>egrera</w:t>
      </w:r>
      <w:r>
        <w:rPr>
          <w:sz w:val="19"/>
        </w:rPr>
        <w:t> </w:t>
      </w:r>
      <w:r>
        <w:rPr>
          <w:w w:val="105"/>
          <w:sz w:val="19"/>
        </w:rPr>
        <w:t>y</w:t>
      </w:r>
      <w:r>
        <w:rPr>
          <w:sz w:val="19"/>
        </w:rPr>
        <w:t> </w:t>
      </w:r>
      <w:r>
        <w:rPr>
          <w:w w:val="139"/>
          <w:sz w:val="19"/>
        </w:rPr>
        <w:t>d</w:t>
      </w:r>
      <w:r>
        <w:rPr>
          <w:w w:val="110"/>
          <w:sz w:val="19"/>
        </w:rPr>
        <w:t>aniel</w:t>
      </w:r>
      <w:r>
        <w:rPr>
          <w:sz w:val="19"/>
        </w:rPr>
        <w:t> </w:t>
      </w:r>
      <w:r>
        <w:rPr>
          <w:w w:val="113"/>
          <w:sz w:val="19"/>
        </w:rPr>
        <w:t>Filmus</w:t>
      </w:r>
      <w:r>
        <w:rPr>
          <w:sz w:val="19"/>
        </w:rPr>
        <w:t> </w:t>
      </w:r>
      <w:r>
        <w:rPr>
          <w:w w:val="108"/>
          <w:sz w:val="19"/>
        </w:rPr>
        <w:t>(coords.) </w:t>
      </w:r>
      <w:r>
        <w:rPr>
          <w:i/>
          <w:w w:val="110"/>
          <w:sz w:val="19"/>
        </w:rPr>
        <w:t>América Latina 2020: Escenarios, alternativas, estrategias </w:t>
      </w:r>
      <w:r>
        <w:rPr>
          <w:w w:val="110"/>
          <w:sz w:val="19"/>
        </w:rPr>
        <w:t>(buenos </w:t>
      </w:r>
      <w:r>
        <w:rPr>
          <w:w w:val="115"/>
          <w:sz w:val="19"/>
        </w:rPr>
        <w:t>aires: Grupo Editorial sri), </w:t>
      </w:r>
      <w:r>
        <w:rPr>
          <w:i/>
          <w:w w:val="120"/>
          <w:sz w:val="19"/>
        </w:rPr>
        <w:t>op. </w:t>
      </w:r>
      <w:r>
        <w:rPr>
          <w:i/>
          <w:w w:val="115"/>
          <w:sz w:val="19"/>
        </w:rPr>
        <w:t>cit.</w:t>
      </w:r>
      <w:r>
        <w:rPr>
          <w:w w:val="115"/>
          <w:sz w:val="19"/>
        </w:rPr>
        <w:t>, pp.  111-125.</w:t>
      </w:r>
    </w:p>
    <w:p>
      <w:pPr>
        <w:pStyle w:val="BodyText"/>
        <w:spacing w:line="252" w:lineRule="auto" w:before="28"/>
        <w:ind w:left="497" w:right="402" w:hanging="397"/>
      </w:pPr>
      <w:r>
        <w:rPr>
          <w:w w:val="110"/>
        </w:rPr>
        <w:t>Notas  2014  “Cumbre  de  la  oEa:  otra  derrota  diplomática  de EE.uu.”, en </w:t>
      </w:r>
      <w:hyperlink r:id="rId488">
        <w:r>
          <w:rPr>
            <w:w w:val="110"/>
          </w:rPr>
          <w:t>&lt;http://goo.gl/</w:t>
        </w:r>
      </w:hyperlink>
      <w:r>
        <w:rPr>
          <w:w w:val="110"/>
        </w:rPr>
        <w:t>u</w:t>
      </w:r>
      <w:hyperlink r:id="rId488">
        <w:r>
          <w:rPr>
            <w:w w:val="110"/>
          </w:rPr>
          <w:t>QniYP&gt;</w:t>
        </w:r>
      </w:hyperlink>
      <w:r>
        <w:rPr>
          <w:w w:val="110"/>
        </w:rPr>
        <w:t> acceso 4 de agosto de   2014.</w:t>
      </w:r>
    </w:p>
    <w:p>
      <w:pPr>
        <w:pStyle w:val="BodyText"/>
        <w:spacing w:line="252" w:lineRule="auto" w:before="28"/>
        <w:ind w:left="497" w:right="509" w:hanging="397"/>
      </w:pPr>
      <w:r>
        <w:rPr>
          <w:w w:val="110"/>
        </w:rPr>
        <w:t>Noticias.terra 2013 declaración de la séptima Cumbre de Jefes </w:t>
      </w:r>
      <w:r>
        <w:rPr>
          <w:spacing w:val="2"/>
          <w:w w:val="107"/>
        </w:rPr>
        <w:t>d</w:t>
      </w:r>
      <w:r>
        <w:rPr>
          <w:w w:val="107"/>
        </w:rPr>
        <w:t>e</w:t>
      </w:r>
      <w:r>
        <w:rPr>
          <w:spacing w:val="17"/>
        </w:rPr>
        <w:t> </w:t>
      </w:r>
      <w:r>
        <w:rPr>
          <w:spacing w:val="2"/>
          <w:w w:val="112"/>
        </w:rPr>
        <w:t>Estad</w:t>
      </w:r>
      <w:r>
        <w:rPr>
          <w:w w:val="112"/>
        </w:rPr>
        <w:t>o</w:t>
      </w:r>
      <w:r>
        <w:rPr>
          <w:spacing w:val="17"/>
        </w:rPr>
        <w:t> </w:t>
      </w:r>
      <w:r>
        <w:rPr>
          <w:w w:val="105"/>
        </w:rPr>
        <w:t>y</w:t>
      </w:r>
      <w:r>
        <w:rPr>
          <w:spacing w:val="17"/>
        </w:rPr>
        <w:t> </w:t>
      </w:r>
      <w:r>
        <w:rPr>
          <w:spacing w:val="2"/>
          <w:w w:val="107"/>
        </w:rPr>
        <w:t>d</w:t>
      </w:r>
      <w:r>
        <w:rPr>
          <w:w w:val="107"/>
        </w:rPr>
        <w:t>e</w:t>
      </w:r>
      <w:r>
        <w:rPr>
          <w:spacing w:val="17"/>
        </w:rPr>
        <w:t> </w:t>
      </w:r>
      <w:r>
        <w:rPr>
          <w:spacing w:val="2"/>
          <w:w w:val="112"/>
        </w:rPr>
        <w:t>Gobiern</w:t>
      </w:r>
      <w:r>
        <w:rPr>
          <w:w w:val="112"/>
        </w:rPr>
        <w:t>o</w:t>
      </w:r>
      <w:r>
        <w:rPr>
          <w:spacing w:val="17"/>
        </w:rPr>
        <w:t> </w:t>
      </w:r>
      <w:r>
        <w:rPr>
          <w:spacing w:val="2"/>
          <w:w w:val="107"/>
        </w:rPr>
        <w:t>d</w:t>
      </w:r>
      <w:r>
        <w:rPr>
          <w:w w:val="107"/>
        </w:rPr>
        <w:t>e</w:t>
      </w:r>
      <w:r>
        <w:rPr>
          <w:spacing w:val="17"/>
        </w:rPr>
        <w:t> </w:t>
      </w:r>
      <w:r>
        <w:rPr>
          <w:spacing w:val="2"/>
          <w:w w:val="139"/>
        </w:rPr>
        <w:t>a</w:t>
      </w:r>
      <w:r>
        <w:rPr>
          <w:spacing w:val="2"/>
          <w:w w:val="111"/>
        </w:rPr>
        <w:t>méric</w:t>
      </w:r>
      <w:r>
        <w:rPr>
          <w:w w:val="111"/>
        </w:rPr>
        <w:t>a</w:t>
      </w:r>
      <w:r>
        <w:rPr>
          <w:spacing w:val="17"/>
        </w:rPr>
        <w:t> </w:t>
      </w:r>
      <w:r>
        <w:rPr>
          <w:spacing w:val="2"/>
          <w:w w:val="107"/>
        </w:rPr>
        <w:t>de</w:t>
      </w:r>
      <w:r>
        <w:rPr>
          <w:w w:val="107"/>
        </w:rPr>
        <w:t>l</w:t>
      </w:r>
      <w:r>
        <w:rPr>
          <w:spacing w:val="17"/>
        </w:rPr>
        <w:t> </w:t>
      </w:r>
      <w:r>
        <w:rPr>
          <w:spacing w:val="2"/>
          <w:w w:val="110"/>
        </w:rPr>
        <w:t>Norte</w:t>
      </w:r>
      <w:r>
        <w:rPr>
          <w:w w:val="110"/>
        </w:rPr>
        <w:t>:</w:t>
      </w:r>
      <w:r>
        <w:rPr>
          <w:spacing w:val="17"/>
        </w:rPr>
        <w:t> </w:t>
      </w:r>
      <w:r>
        <w:rPr>
          <w:spacing w:val="2"/>
          <w:w w:val="115"/>
        </w:rPr>
        <w:t>“</w:t>
      </w:r>
      <w:r>
        <w:rPr>
          <w:spacing w:val="2"/>
          <w:w w:val="243"/>
        </w:rPr>
        <w:t>l</w:t>
      </w:r>
      <w:r>
        <w:rPr>
          <w:w w:val="112"/>
        </w:rPr>
        <w:t>a </w:t>
      </w:r>
      <w:r>
        <w:rPr>
          <w:w w:val="110"/>
        </w:rPr>
        <w:t>Norteamérica  del  siglo  </w:t>
      </w:r>
      <w:r>
        <w:rPr>
          <w:w w:val="130"/>
        </w:rPr>
        <w:t>xxi: </w:t>
      </w:r>
      <w:r>
        <w:rPr>
          <w:w w:val="110"/>
        </w:rPr>
        <w:t>crear  la  región  más  competitiva y dinámica del mundo”, en </w:t>
      </w:r>
      <w:hyperlink r:id="rId489">
        <w:r>
          <w:rPr>
            <w:w w:val="110"/>
          </w:rPr>
          <w:t>&lt;www.noticias.terra.com&gt;</w:t>
        </w:r>
      </w:hyperlink>
      <w:r>
        <w:rPr>
          <w:w w:val="110"/>
        </w:rPr>
        <w:t> </w:t>
      </w:r>
      <w:r>
        <w:rPr>
          <w:spacing w:val="2"/>
          <w:w w:val="110"/>
        </w:rPr>
        <w:t>acceso </w:t>
      </w:r>
      <w:r>
        <w:rPr>
          <w:w w:val="110"/>
        </w:rPr>
        <w:t>13 de marzo de</w:t>
      </w:r>
      <w:r>
        <w:rPr>
          <w:spacing w:val="33"/>
          <w:w w:val="110"/>
        </w:rPr>
        <w:t> </w:t>
      </w:r>
      <w:r>
        <w:rPr>
          <w:w w:val="110"/>
        </w:rPr>
        <w:t>2013.</w:t>
      </w:r>
    </w:p>
    <w:p>
      <w:pPr>
        <w:pStyle w:val="BodyText"/>
        <w:spacing w:before="28"/>
        <w:ind w:left="100"/>
      </w:pPr>
      <w:r>
        <w:rPr>
          <w:w w:val="115"/>
        </w:rPr>
        <w:t>NY1 Noticias 2014 “Joe biden visita república dominicana”, en</w:t>
      </w:r>
    </w:p>
    <w:p>
      <w:pPr>
        <w:spacing w:line="283" w:lineRule="auto" w:before="11"/>
        <w:ind w:left="100" w:right="819" w:firstLine="396"/>
        <w:jc w:val="left"/>
        <w:rPr>
          <w:i/>
          <w:sz w:val="19"/>
        </w:rPr>
      </w:pPr>
      <w:hyperlink r:id="rId490">
        <w:r>
          <w:rPr>
            <w:w w:val="110"/>
            <w:sz w:val="19"/>
          </w:rPr>
          <w:t>&lt;http://goo.gl/QuG2WE&gt;</w:t>
        </w:r>
      </w:hyperlink>
      <w:r>
        <w:rPr>
          <w:w w:val="110"/>
          <w:sz w:val="19"/>
        </w:rPr>
        <w:t> acceso 29 de julio de 2014. obama, barack 2008 </w:t>
      </w:r>
      <w:r>
        <w:rPr>
          <w:i/>
          <w:w w:val="110"/>
          <w:sz w:val="19"/>
        </w:rPr>
        <w:t>Renewing U.S. Leadership in the    Americas</w:t>
      </w:r>
    </w:p>
    <w:p>
      <w:pPr>
        <w:pStyle w:val="BodyText"/>
        <w:spacing w:line="194" w:lineRule="exact"/>
        <w:ind w:left="497"/>
      </w:pPr>
      <w:r>
        <w:rPr>
          <w:w w:val="115"/>
        </w:rPr>
        <w:t>(Washington: obama for america).</w:t>
      </w:r>
    </w:p>
    <w:p>
      <w:pPr>
        <w:pStyle w:val="BodyText"/>
        <w:spacing w:line="252" w:lineRule="auto" w:before="39"/>
        <w:ind w:left="497" w:right="437" w:hanging="397"/>
      </w:pPr>
      <w:r>
        <w:rPr>
          <w:w w:val="115"/>
        </w:rPr>
        <w:t>obama, barack 2009 “discurso pronunciado en la Quinta Cumbre </w:t>
      </w:r>
      <w:r>
        <w:rPr>
          <w:w w:val="107"/>
        </w:rPr>
        <w:t>de</w:t>
      </w:r>
      <w:r>
        <w:rPr/>
        <w:t> </w:t>
      </w:r>
      <w:r>
        <w:rPr>
          <w:w w:val="109"/>
        </w:rPr>
        <w:t>las</w:t>
      </w:r>
      <w:r>
        <w:rPr/>
        <w:t> </w:t>
      </w:r>
      <w:r>
        <w:rPr>
          <w:w w:val="139"/>
        </w:rPr>
        <w:t>a</w:t>
      </w:r>
      <w:r>
        <w:rPr>
          <w:w w:val="112"/>
        </w:rPr>
        <w:t>méricas,</w:t>
      </w:r>
      <w:r>
        <w:rPr/>
        <w:t> </w:t>
      </w:r>
      <w:r>
        <w:rPr>
          <w:w w:val="109"/>
        </w:rPr>
        <w:t>Puerto</w:t>
      </w:r>
      <w:r>
        <w:rPr/>
        <w:t> </w:t>
      </w:r>
      <w:r>
        <w:rPr>
          <w:w w:val="115"/>
        </w:rPr>
        <w:t>España,</w:t>
      </w:r>
      <w:r>
        <w:rPr/>
        <w:t> </w:t>
      </w:r>
      <w:r>
        <w:rPr>
          <w:w w:val="102"/>
        </w:rPr>
        <w:t>17</w:t>
      </w:r>
      <w:r>
        <w:rPr/>
        <w:t> </w:t>
      </w:r>
      <w:r>
        <w:rPr>
          <w:w w:val="107"/>
        </w:rPr>
        <w:t>de</w:t>
      </w:r>
      <w:r>
        <w:rPr/>
        <w:t> </w:t>
      </w:r>
      <w:r>
        <w:rPr>
          <w:w w:val="110"/>
        </w:rPr>
        <w:t>abril</w:t>
      </w:r>
      <w:r>
        <w:rPr/>
        <w:t> </w:t>
      </w:r>
      <w:r>
        <w:rPr>
          <w:w w:val="107"/>
        </w:rPr>
        <w:t>de</w:t>
      </w:r>
      <w:r>
        <w:rPr/>
        <w:t> </w:t>
      </w:r>
      <w:r>
        <w:rPr>
          <w:w w:val="106"/>
        </w:rPr>
        <w:t>2009”,</w:t>
      </w:r>
      <w:r>
        <w:rPr/>
        <w:t> </w:t>
      </w:r>
      <w:r>
        <w:rPr>
          <w:i/>
          <w:w w:val="112"/>
        </w:rPr>
        <w:t>mimeo</w:t>
      </w:r>
      <w:r>
        <w:rPr>
          <w:w w:val="138"/>
        </w:rPr>
        <w:t>,</w:t>
      </w:r>
      <w:r>
        <w:rPr/>
        <w:t> </w:t>
      </w:r>
      <w:r>
        <w:rPr>
          <w:w w:val="243"/>
        </w:rPr>
        <w:t>l</w:t>
      </w:r>
      <w:r>
        <w:rPr>
          <w:w w:val="112"/>
        </w:rPr>
        <w:t>a </w:t>
      </w:r>
      <w:r>
        <w:rPr>
          <w:w w:val="115"/>
        </w:rPr>
        <w:t>Habana.</w:t>
      </w:r>
    </w:p>
    <w:p>
      <w:pPr>
        <w:pStyle w:val="BodyText"/>
        <w:spacing w:line="252" w:lineRule="auto" w:before="28"/>
        <w:ind w:left="497" w:right="528" w:hanging="397"/>
      </w:pPr>
      <w:r>
        <w:rPr>
          <w:w w:val="110"/>
        </w:rPr>
        <w:t>obama, barack 2013 “declaración del presidente de Estados unidos, durante la visita a Estados unidos del presidente de Colombia, Juan Manuel santos”, en </w:t>
      </w:r>
      <w:r>
        <w:rPr>
          <w:i/>
          <w:w w:val="110"/>
        </w:rPr>
        <w:t>Infolatam</w:t>
      </w:r>
      <w:r>
        <w:rPr>
          <w:w w:val="110"/>
        </w:rPr>
        <w:t>, Washington dC., 3 de diciembre de 2013, en </w:t>
      </w:r>
      <w:hyperlink r:id="rId491">
        <w:r>
          <w:rPr>
            <w:w w:val="110"/>
          </w:rPr>
          <w:t>&lt;www.infolatam.com/&gt;</w:t>
        </w:r>
      </w:hyperlink>
      <w:r>
        <w:rPr>
          <w:w w:val="110"/>
        </w:rPr>
        <w:t> acceso 16 de marzo de 2014.</w:t>
      </w:r>
    </w:p>
    <w:p>
      <w:pPr>
        <w:pStyle w:val="BodyText"/>
        <w:spacing w:line="252" w:lineRule="auto" w:before="28"/>
        <w:ind w:left="497" w:right="580" w:hanging="397"/>
      </w:pPr>
      <w:r>
        <w:rPr>
          <w:w w:val="115"/>
        </w:rPr>
        <w:t>oficina del Vicepresidente 2013 “declaraciones a la prensa del vicepresidente</w:t>
      </w:r>
      <w:r>
        <w:rPr>
          <w:spacing w:val="-14"/>
          <w:w w:val="115"/>
        </w:rPr>
        <w:t> </w:t>
      </w:r>
      <w:r>
        <w:rPr>
          <w:w w:val="115"/>
        </w:rPr>
        <w:t>Joe</w:t>
      </w:r>
      <w:r>
        <w:rPr>
          <w:spacing w:val="-14"/>
          <w:w w:val="115"/>
        </w:rPr>
        <w:t> </w:t>
      </w:r>
      <w:r>
        <w:rPr>
          <w:w w:val="115"/>
        </w:rPr>
        <w:t>biden</w:t>
      </w:r>
      <w:r>
        <w:rPr>
          <w:spacing w:val="-14"/>
          <w:w w:val="115"/>
        </w:rPr>
        <w:t> </w:t>
      </w:r>
      <w:r>
        <w:rPr>
          <w:w w:val="115"/>
        </w:rPr>
        <w:t>y</w:t>
      </w:r>
      <w:r>
        <w:rPr>
          <w:spacing w:val="-14"/>
          <w:w w:val="115"/>
        </w:rPr>
        <w:t> </w:t>
      </w:r>
      <w:r>
        <w:rPr>
          <w:w w:val="115"/>
        </w:rPr>
        <w:t>del</w:t>
      </w:r>
      <w:r>
        <w:rPr>
          <w:spacing w:val="-14"/>
          <w:w w:val="115"/>
        </w:rPr>
        <w:t> </w:t>
      </w:r>
      <w:r>
        <w:rPr>
          <w:w w:val="115"/>
        </w:rPr>
        <w:t>presidente</w:t>
      </w:r>
      <w:r>
        <w:rPr>
          <w:spacing w:val="-14"/>
          <w:w w:val="115"/>
        </w:rPr>
        <w:t> </w:t>
      </w:r>
      <w:r>
        <w:rPr>
          <w:w w:val="115"/>
        </w:rPr>
        <w:t>de</w:t>
      </w:r>
      <w:r>
        <w:rPr>
          <w:spacing w:val="-14"/>
          <w:w w:val="115"/>
        </w:rPr>
        <w:t> </w:t>
      </w:r>
      <w:r>
        <w:rPr>
          <w:w w:val="115"/>
        </w:rPr>
        <w:t>Panamá,</w:t>
      </w:r>
      <w:r>
        <w:rPr>
          <w:spacing w:val="-14"/>
          <w:w w:val="115"/>
        </w:rPr>
        <w:t> </w:t>
      </w:r>
      <w:r>
        <w:rPr>
          <w:w w:val="115"/>
        </w:rPr>
        <w:t>ricardo </w:t>
      </w:r>
      <w:r>
        <w:rPr>
          <w:w w:val="113"/>
        </w:rPr>
        <w:t>Martinelli”,</w:t>
      </w:r>
      <w:r>
        <w:rPr>
          <w:spacing w:val="12"/>
        </w:rPr>
        <w:t> </w:t>
      </w:r>
      <w:r>
        <w:rPr>
          <w:w w:val="149"/>
        </w:rPr>
        <w:t>o</w:t>
      </w:r>
      <w:r>
        <w:rPr>
          <w:w w:val="111"/>
        </w:rPr>
        <w:t>ficina</w:t>
      </w:r>
      <w:r>
        <w:rPr>
          <w:spacing w:val="12"/>
        </w:rPr>
        <w:t> </w:t>
      </w:r>
      <w:r>
        <w:rPr>
          <w:w w:val="107"/>
        </w:rPr>
        <w:t>del</w:t>
      </w:r>
      <w:r>
        <w:rPr>
          <w:spacing w:val="12"/>
        </w:rPr>
        <w:t> </w:t>
      </w:r>
      <w:r>
        <w:rPr>
          <w:w w:val="108"/>
        </w:rPr>
        <w:t>vicepresidente,</w:t>
      </w:r>
      <w:r>
        <w:rPr>
          <w:spacing w:val="15"/>
        </w:rPr>
        <w:t> </w:t>
      </w:r>
      <w:r>
        <w:rPr>
          <w:w w:val="243"/>
        </w:rPr>
        <w:t>l</w:t>
      </w:r>
      <w:r>
        <w:rPr>
          <w:w w:val="112"/>
        </w:rPr>
        <w:t>a</w:t>
      </w:r>
      <w:r>
        <w:rPr>
          <w:spacing w:val="12"/>
        </w:rPr>
        <w:t> </w:t>
      </w:r>
      <w:r>
        <w:rPr>
          <w:w w:val="114"/>
        </w:rPr>
        <w:t>Casa</w:t>
      </w:r>
      <w:r>
        <w:rPr>
          <w:spacing w:val="12"/>
        </w:rPr>
        <w:t> </w:t>
      </w:r>
      <w:r>
        <w:rPr>
          <w:w w:val="134"/>
        </w:rPr>
        <w:t>b</w:t>
      </w:r>
      <w:r>
        <w:rPr>
          <w:w w:val="114"/>
        </w:rPr>
        <w:t>lanca, </w:t>
      </w:r>
      <w:r>
        <w:rPr>
          <w:w w:val="110"/>
        </w:rPr>
        <w:t>Washington, 21 noviembre de</w:t>
      </w:r>
      <w:r>
        <w:rPr>
          <w:spacing w:val="-13"/>
          <w:w w:val="110"/>
        </w:rPr>
        <w:t> </w:t>
      </w:r>
      <w:r>
        <w:rPr>
          <w:w w:val="110"/>
        </w:rPr>
        <w:t>2013.</w:t>
      </w:r>
    </w:p>
    <w:p>
      <w:pPr>
        <w:spacing w:after="0" w:line="252" w:lineRule="auto"/>
        <w:sectPr>
          <w:pgSz w:w="8790" w:h="12760"/>
          <w:pgMar w:header="697" w:footer="723" w:top="880" w:bottom="920" w:left="920" w:right="1200"/>
        </w:sectPr>
      </w:pPr>
    </w:p>
    <w:p>
      <w:pPr>
        <w:pStyle w:val="BodyText"/>
        <w:spacing w:before="7"/>
        <w:rPr>
          <w:sz w:val="28"/>
        </w:rPr>
      </w:pPr>
    </w:p>
    <w:p>
      <w:pPr>
        <w:pStyle w:val="BodyText"/>
        <w:spacing w:line="252" w:lineRule="auto" w:before="73"/>
        <w:ind w:left="727" w:right="179" w:hanging="397"/>
      </w:pPr>
      <w:r>
        <w:rPr>
          <w:w w:val="115"/>
        </w:rPr>
        <w:t>oficina del Vicepresidente 2014 “resumen del viaje del </w:t>
      </w:r>
      <w:r>
        <w:rPr>
          <w:w w:val="107"/>
        </w:rPr>
        <w:t>vicepresidente</w:t>
      </w:r>
      <w:r>
        <w:rPr/>
        <w:t> </w:t>
      </w:r>
      <w:r>
        <w:rPr>
          <w:w w:val="134"/>
        </w:rPr>
        <w:t>b</w:t>
      </w:r>
      <w:r>
        <w:rPr>
          <w:w w:val="109"/>
        </w:rPr>
        <w:t>iden</w:t>
      </w:r>
      <w:r>
        <w:rPr/>
        <w:t> </w:t>
      </w:r>
      <w:r>
        <w:rPr>
          <w:w w:val="112"/>
        </w:rPr>
        <w:t>a</w:t>
      </w:r>
      <w:r>
        <w:rPr/>
        <w:t> </w:t>
      </w:r>
      <w:r>
        <w:rPr>
          <w:w w:val="116"/>
        </w:rPr>
        <w:t>Chile”,</w:t>
      </w:r>
      <w:r>
        <w:rPr/>
        <w:t> </w:t>
      </w:r>
      <w:r>
        <w:rPr>
          <w:w w:val="243"/>
        </w:rPr>
        <w:t>l</w:t>
      </w:r>
      <w:r>
        <w:rPr>
          <w:w w:val="112"/>
        </w:rPr>
        <w:t>a</w:t>
      </w:r>
      <w:r>
        <w:rPr/>
        <w:t> </w:t>
      </w:r>
      <w:r>
        <w:rPr>
          <w:w w:val="114"/>
        </w:rPr>
        <w:t>Casa</w:t>
      </w:r>
      <w:r>
        <w:rPr/>
        <w:t> </w:t>
      </w:r>
      <w:r>
        <w:rPr>
          <w:w w:val="134"/>
        </w:rPr>
        <w:t>b</w:t>
      </w:r>
      <w:r>
        <w:rPr>
          <w:w w:val="114"/>
        </w:rPr>
        <w:t>lanca,</w:t>
      </w:r>
      <w:r>
        <w:rPr/>
        <w:t> </w:t>
      </w:r>
      <w:r>
        <w:rPr>
          <w:w w:val="149"/>
        </w:rPr>
        <w:t>o</w:t>
      </w:r>
      <w:r>
        <w:rPr>
          <w:w w:val="111"/>
        </w:rPr>
        <w:t>ficina</w:t>
      </w:r>
      <w:r>
        <w:rPr/>
        <w:t> </w:t>
      </w:r>
      <w:r>
        <w:rPr>
          <w:w w:val="107"/>
        </w:rPr>
        <w:t>del </w:t>
      </w:r>
      <w:r>
        <w:rPr>
          <w:w w:val="110"/>
        </w:rPr>
        <w:t>Vicepresidente, Washington, 11 de marzo de 2014.</w:t>
      </w:r>
    </w:p>
    <w:p>
      <w:pPr>
        <w:pStyle w:val="BodyText"/>
        <w:spacing w:line="252" w:lineRule="auto" w:before="28"/>
        <w:ind w:left="727" w:right="332" w:hanging="397"/>
      </w:pPr>
      <w:r>
        <w:rPr>
          <w:w w:val="110"/>
        </w:rPr>
        <w:t>oEa 2014 resolución aprobada por la asamblea General Extraordinaria sobre la Visión Estratégica de la oEa “orientaciones y objetivos de la Visión Estratégica de la organización de los Estados americanos (oEa)”, Washington,  12 de</w:t>
      </w:r>
      <w:r>
        <w:rPr>
          <w:spacing w:val="-12"/>
          <w:w w:val="110"/>
        </w:rPr>
        <w:t> </w:t>
      </w:r>
      <w:r>
        <w:rPr>
          <w:w w:val="110"/>
        </w:rPr>
        <w:t>septiembre.</w:t>
      </w:r>
    </w:p>
    <w:p>
      <w:pPr>
        <w:pStyle w:val="BodyText"/>
        <w:spacing w:line="252" w:lineRule="auto" w:before="28"/>
        <w:ind w:left="727" w:right="100" w:hanging="397"/>
      </w:pPr>
      <w:r>
        <w:rPr>
          <w:w w:val="115"/>
        </w:rPr>
        <w:t>oEa 2014a Proyecto de resolución “Visión estratégica de la organización</w:t>
      </w:r>
      <w:r>
        <w:rPr>
          <w:spacing w:val="-11"/>
          <w:w w:val="115"/>
        </w:rPr>
        <w:t> </w:t>
      </w:r>
      <w:r>
        <w:rPr>
          <w:w w:val="115"/>
        </w:rPr>
        <w:t>de</w:t>
      </w:r>
      <w:r>
        <w:rPr>
          <w:spacing w:val="-11"/>
          <w:w w:val="115"/>
        </w:rPr>
        <w:t> </w:t>
      </w:r>
      <w:r>
        <w:rPr>
          <w:w w:val="115"/>
        </w:rPr>
        <w:t>los</w:t>
      </w:r>
      <w:r>
        <w:rPr>
          <w:spacing w:val="-11"/>
          <w:w w:val="115"/>
        </w:rPr>
        <w:t> </w:t>
      </w:r>
      <w:r>
        <w:rPr>
          <w:w w:val="115"/>
        </w:rPr>
        <w:t>Estados</w:t>
      </w:r>
      <w:r>
        <w:rPr>
          <w:spacing w:val="-11"/>
          <w:w w:val="115"/>
        </w:rPr>
        <w:t> </w:t>
      </w:r>
      <w:r>
        <w:rPr>
          <w:w w:val="115"/>
        </w:rPr>
        <w:t>americanos”,</w:t>
      </w:r>
      <w:r>
        <w:rPr>
          <w:spacing w:val="-11"/>
          <w:w w:val="115"/>
        </w:rPr>
        <w:t> </w:t>
      </w:r>
      <w:r>
        <w:rPr>
          <w:w w:val="115"/>
        </w:rPr>
        <w:t>acceso</w:t>
      </w:r>
      <w:r>
        <w:rPr>
          <w:spacing w:val="-11"/>
          <w:w w:val="115"/>
        </w:rPr>
        <w:t> </w:t>
      </w:r>
      <w:r>
        <w:rPr>
          <w:w w:val="115"/>
        </w:rPr>
        <w:t>24</w:t>
      </w:r>
      <w:r>
        <w:rPr>
          <w:spacing w:val="-11"/>
          <w:w w:val="115"/>
        </w:rPr>
        <w:t> </w:t>
      </w:r>
      <w:r>
        <w:rPr>
          <w:w w:val="115"/>
        </w:rPr>
        <w:t>de</w:t>
      </w:r>
      <w:r>
        <w:rPr>
          <w:spacing w:val="-11"/>
          <w:w w:val="115"/>
        </w:rPr>
        <w:t> </w:t>
      </w:r>
      <w:r>
        <w:rPr>
          <w:w w:val="115"/>
        </w:rPr>
        <w:t>mayo</w:t>
      </w:r>
      <w:r>
        <w:rPr>
          <w:spacing w:val="-11"/>
          <w:w w:val="115"/>
        </w:rPr>
        <w:t> </w:t>
      </w:r>
      <w:r>
        <w:rPr>
          <w:w w:val="115"/>
        </w:rPr>
        <w:t>de 2014.</w:t>
      </w:r>
    </w:p>
    <w:p>
      <w:pPr>
        <w:spacing w:line="252" w:lineRule="auto" w:before="28"/>
        <w:ind w:left="727" w:right="200" w:hanging="397"/>
        <w:jc w:val="left"/>
        <w:rPr>
          <w:sz w:val="19"/>
        </w:rPr>
      </w:pPr>
      <w:r>
        <w:rPr>
          <w:w w:val="111"/>
          <w:sz w:val="19"/>
        </w:rPr>
        <w:t>Panetta,</w:t>
      </w:r>
      <w:r>
        <w:rPr>
          <w:sz w:val="19"/>
        </w:rPr>
        <w:t> </w:t>
      </w:r>
      <w:r>
        <w:rPr>
          <w:w w:val="243"/>
          <w:sz w:val="19"/>
        </w:rPr>
        <w:t>l</w:t>
      </w:r>
      <w:r>
        <w:rPr>
          <w:w w:val="109"/>
          <w:sz w:val="19"/>
        </w:rPr>
        <w:t>eon</w:t>
      </w:r>
      <w:r>
        <w:rPr>
          <w:sz w:val="19"/>
        </w:rPr>
        <w:t> </w:t>
      </w:r>
      <w:r>
        <w:rPr>
          <w:w w:val="102"/>
          <w:sz w:val="19"/>
        </w:rPr>
        <w:t>2012</w:t>
      </w:r>
      <w:r>
        <w:rPr>
          <w:sz w:val="19"/>
        </w:rPr>
        <w:t> </w:t>
      </w:r>
      <w:r>
        <w:rPr>
          <w:i/>
          <w:w w:val="111"/>
          <w:sz w:val="19"/>
        </w:rPr>
        <w:t>La</w:t>
      </w:r>
      <w:r>
        <w:rPr>
          <w:i/>
          <w:sz w:val="19"/>
        </w:rPr>
        <w:t> </w:t>
      </w:r>
      <w:r>
        <w:rPr>
          <w:i/>
          <w:w w:val="109"/>
          <w:sz w:val="19"/>
        </w:rPr>
        <w:t>política</w:t>
      </w:r>
      <w:r>
        <w:rPr>
          <w:i/>
          <w:sz w:val="19"/>
        </w:rPr>
        <w:t> </w:t>
      </w:r>
      <w:r>
        <w:rPr>
          <w:i/>
          <w:w w:val="104"/>
          <w:sz w:val="19"/>
        </w:rPr>
        <w:t>de</w:t>
      </w:r>
      <w:r>
        <w:rPr>
          <w:i/>
          <w:sz w:val="19"/>
        </w:rPr>
        <w:t> </w:t>
      </w:r>
      <w:r>
        <w:rPr>
          <w:i/>
          <w:w w:val="107"/>
          <w:sz w:val="19"/>
        </w:rPr>
        <w:t>defensa</w:t>
      </w:r>
      <w:r>
        <w:rPr>
          <w:i/>
          <w:sz w:val="19"/>
        </w:rPr>
        <w:t> </w:t>
      </w:r>
      <w:r>
        <w:rPr>
          <w:i/>
          <w:w w:val="103"/>
          <w:sz w:val="19"/>
        </w:rPr>
        <w:t>para</w:t>
      </w:r>
      <w:r>
        <w:rPr>
          <w:i/>
          <w:sz w:val="19"/>
        </w:rPr>
        <w:t> </w:t>
      </w:r>
      <w:r>
        <w:rPr>
          <w:i/>
          <w:w w:val="101"/>
          <w:sz w:val="19"/>
        </w:rPr>
        <w:t>el</w:t>
      </w:r>
      <w:r>
        <w:rPr>
          <w:i/>
          <w:sz w:val="19"/>
        </w:rPr>
        <w:t> </w:t>
      </w:r>
      <w:r>
        <w:rPr>
          <w:i/>
          <w:w w:val="111"/>
          <w:sz w:val="19"/>
        </w:rPr>
        <w:t>Hemisferio</w:t>
      </w:r>
      <w:r>
        <w:rPr>
          <w:i/>
          <w:w w:val="111"/>
          <w:sz w:val="19"/>
        </w:rPr>
        <w:t> </w:t>
      </w:r>
      <w:r>
        <w:rPr>
          <w:i/>
          <w:w w:val="115"/>
          <w:sz w:val="19"/>
        </w:rPr>
        <w:t>occidental </w:t>
      </w:r>
      <w:r>
        <w:rPr>
          <w:w w:val="115"/>
          <w:sz w:val="19"/>
        </w:rPr>
        <w:t>(Washington: department of defense, united states of america).</w:t>
      </w:r>
    </w:p>
    <w:p>
      <w:pPr>
        <w:pStyle w:val="BodyText"/>
        <w:spacing w:line="252" w:lineRule="auto" w:before="28"/>
        <w:ind w:left="727" w:right="179" w:hanging="397"/>
      </w:pPr>
      <w:r>
        <w:rPr>
          <w:w w:val="110"/>
        </w:rPr>
        <w:t>Priest,</w:t>
      </w:r>
      <w:r>
        <w:rPr/>
        <w:t> </w:t>
      </w:r>
      <w:r>
        <w:rPr>
          <w:w w:val="139"/>
        </w:rPr>
        <w:t>d</w:t>
      </w:r>
      <w:r>
        <w:rPr>
          <w:w w:val="112"/>
        </w:rPr>
        <w:t>ana</w:t>
      </w:r>
      <w:r>
        <w:rPr/>
        <w:t> </w:t>
      </w:r>
      <w:r>
        <w:rPr>
          <w:w w:val="102"/>
        </w:rPr>
        <w:t>2013</w:t>
      </w:r>
      <w:r>
        <w:rPr/>
        <w:t> </w:t>
      </w:r>
      <w:r>
        <w:rPr>
          <w:w w:val="115"/>
        </w:rPr>
        <w:t>“</w:t>
      </w:r>
      <w:r>
        <w:rPr>
          <w:w w:val="243"/>
        </w:rPr>
        <w:t>l</w:t>
      </w:r>
      <w:r>
        <w:rPr>
          <w:w w:val="112"/>
        </w:rPr>
        <w:t>a</w:t>
      </w:r>
      <w:r>
        <w:rPr/>
        <w:t> </w:t>
      </w:r>
      <w:r>
        <w:rPr>
          <w:w w:val="113"/>
        </w:rPr>
        <w:t>acción</w:t>
      </w:r>
      <w:r>
        <w:rPr/>
        <w:t> </w:t>
      </w:r>
      <w:r>
        <w:rPr>
          <w:w w:val="109"/>
        </w:rPr>
        <w:t>encubierta</w:t>
      </w:r>
      <w:r>
        <w:rPr/>
        <w:t> </w:t>
      </w:r>
      <w:r>
        <w:rPr>
          <w:w w:val="108"/>
        </w:rPr>
        <w:t>en</w:t>
      </w:r>
      <w:r>
        <w:rPr/>
        <w:t> </w:t>
      </w:r>
      <w:r>
        <w:rPr>
          <w:w w:val="114"/>
        </w:rPr>
        <w:t>Colombia”,</w:t>
      </w:r>
      <w:r>
        <w:rPr/>
        <w:t> </w:t>
      </w:r>
      <w:r>
        <w:rPr>
          <w:w w:val="108"/>
        </w:rPr>
        <w:t>en</w:t>
      </w:r>
      <w:r>
        <w:rPr/>
        <w:t> </w:t>
      </w:r>
      <w:r>
        <w:rPr>
          <w:i/>
          <w:w w:val="107"/>
        </w:rPr>
        <w:t>The</w:t>
      </w:r>
      <w:r>
        <w:rPr>
          <w:i/>
          <w:w w:val="107"/>
        </w:rPr>
        <w:t> </w:t>
      </w:r>
      <w:r>
        <w:rPr>
          <w:i/>
          <w:w w:val="115"/>
        </w:rPr>
        <w:t>Washington Post</w:t>
      </w:r>
      <w:r>
        <w:rPr>
          <w:w w:val="115"/>
        </w:rPr>
        <w:t>, 21 de diciembre de 2013.</w:t>
      </w:r>
    </w:p>
    <w:p>
      <w:pPr>
        <w:pStyle w:val="BodyText"/>
        <w:spacing w:line="252" w:lineRule="auto" w:before="28"/>
        <w:ind w:left="727" w:right="94" w:hanging="397"/>
      </w:pPr>
      <w:r>
        <w:rPr>
          <w:w w:val="125"/>
        </w:rPr>
        <w:t>Prensa</w:t>
      </w:r>
      <w:r>
        <w:rPr>
          <w:spacing w:val="-23"/>
          <w:w w:val="125"/>
        </w:rPr>
        <w:t> </w:t>
      </w:r>
      <w:r>
        <w:rPr>
          <w:w w:val="125"/>
        </w:rPr>
        <w:t>uNasur</w:t>
      </w:r>
      <w:r>
        <w:rPr>
          <w:spacing w:val="-23"/>
          <w:w w:val="125"/>
        </w:rPr>
        <w:t> </w:t>
      </w:r>
      <w:r>
        <w:rPr>
          <w:w w:val="125"/>
        </w:rPr>
        <w:t>2014</w:t>
      </w:r>
      <w:r>
        <w:rPr>
          <w:spacing w:val="-23"/>
          <w:w w:val="125"/>
        </w:rPr>
        <w:t> </w:t>
      </w:r>
      <w:r>
        <w:rPr>
          <w:w w:val="125"/>
        </w:rPr>
        <w:t>“uNasur/CMrE/rEsoluCiÓN</w:t>
      </w:r>
      <w:r>
        <w:rPr>
          <w:spacing w:val="-23"/>
          <w:w w:val="125"/>
        </w:rPr>
        <w:t> </w:t>
      </w:r>
      <w:r>
        <w:rPr>
          <w:w w:val="125"/>
        </w:rPr>
        <w:t>N°/2014”,</w:t>
      </w:r>
      <w:r>
        <w:rPr>
          <w:spacing w:val="-23"/>
          <w:w w:val="125"/>
        </w:rPr>
        <w:t> </w:t>
      </w:r>
      <w:r>
        <w:rPr>
          <w:w w:val="125"/>
        </w:rPr>
        <w:t>12 </w:t>
      </w:r>
      <w:r>
        <w:rPr>
          <w:w w:val="115"/>
        </w:rPr>
        <w:t>de</w:t>
      </w:r>
      <w:r>
        <w:rPr>
          <w:spacing w:val="-26"/>
          <w:w w:val="115"/>
        </w:rPr>
        <w:t> </w:t>
      </w:r>
      <w:r>
        <w:rPr>
          <w:w w:val="115"/>
        </w:rPr>
        <w:t>marzo</w:t>
      </w:r>
      <w:r>
        <w:rPr>
          <w:spacing w:val="-26"/>
          <w:w w:val="115"/>
        </w:rPr>
        <w:t> </w:t>
      </w:r>
      <w:r>
        <w:rPr>
          <w:w w:val="115"/>
        </w:rPr>
        <w:t>de</w:t>
      </w:r>
      <w:r>
        <w:rPr>
          <w:spacing w:val="-26"/>
          <w:w w:val="115"/>
        </w:rPr>
        <w:t> </w:t>
      </w:r>
      <w:r>
        <w:rPr>
          <w:w w:val="115"/>
        </w:rPr>
        <w:t>2014.</w:t>
      </w:r>
    </w:p>
    <w:p>
      <w:pPr>
        <w:pStyle w:val="BodyText"/>
        <w:spacing w:line="252" w:lineRule="auto" w:before="28"/>
        <w:ind w:left="727" w:right="330" w:hanging="397"/>
        <w:jc w:val="both"/>
      </w:pPr>
      <w:r>
        <w:rPr>
          <w:w w:val="105"/>
        </w:rPr>
        <w:t>Público 2014  “Estados  unidos  amenaza  económica  y  militarmente  a Venezuela”, en </w:t>
      </w:r>
      <w:hyperlink r:id="rId492">
        <w:r>
          <w:rPr>
            <w:w w:val="105"/>
          </w:rPr>
          <w:t>&lt;http://goo.gl/Pci7Fo&gt;</w:t>
        </w:r>
      </w:hyperlink>
      <w:r>
        <w:rPr>
          <w:w w:val="105"/>
        </w:rPr>
        <w:t> acceso 15 de marzo de 2014.</w:t>
      </w:r>
    </w:p>
    <w:p>
      <w:pPr>
        <w:pStyle w:val="BodyText"/>
        <w:spacing w:line="252" w:lineRule="auto" w:before="28"/>
        <w:ind w:left="727" w:right="282" w:hanging="397"/>
      </w:pPr>
      <w:r>
        <w:rPr>
          <w:w w:val="110"/>
        </w:rPr>
        <w:t>sabatini, Christopher 2013 “aQ entrevista al Presidente de los Estados unidos barack obama sobre su próximo viaje a México   y Costa rica”, en </w:t>
      </w:r>
      <w:r>
        <w:rPr>
          <w:i/>
          <w:w w:val="110"/>
        </w:rPr>
        <w:t>Americas Quarterly</w:t>
      </w:r>
      <w:r>
        <w:rPr>
          <w:w w:val="110"/>
        </w:rPr>
        <w:t>, Washington, 29 de   </w:t>
      </w:r>
      <w:r>
        <w:rPr>
          <w:spacing w:val="16"/>
          <w:w w:val="110"/>
        </w:rPr>
        <w:t> </w:t>
      </w:r>
      <w:r>
        <w:rPr>
          <w:w w:val="110"/>
        </w:rPr>
        <w:t>abril.</w:t>
      </w:r>
    </w:p>
    <w:p>
      <w:pPr>
        <w:pStyle w:val="BodyText"/>
        <w:spacing w:line="252" w:lineRule="auto" w:before="28"/>
        <w:ind w:left="727" w:right="99" w:hanging="397"/>
        <w:jc w:val="both"/>
      </w:pPr>
      <w:r>
        <w:rPr>
          <w:w w:val="110"/>
        </w:rPr>
        <w:t>sánchez-bustamante, Claudia 2013 “El Comando sur de los Estados unidos y trinidad y tobago fortalecen sus relaciones”, en </w:t>
      </w:r>
      <w:hyperlink r:id="rId139">
        <w:r>
          <w:rPr>
            <w:w w:val="110"/>
          </w:rPr>
          <w:t>&lt;www</w:t>
        </w:r>
      </w:hyperlink>
      <w:r>
        <w:rPr>
          <w:w w:val="110"/>
        </w:rPr>
        <w:t>. dialogo-americas.com&gt; acceso 7 de octubre de 2013.</w:t>
      </w:r>
    </w:p>
    <w:p>
      <w:pPr>
        <w:pStyle w:val="BodyText"/>
        <w:spacing w:line="252" w:lineRule="auto" w:before="28"/>
        <w:ind w:left="727" w:right="292" w:hanging="397"/>
        <w:jc w:val="both"/>
      </w:pPr>
      <w:r>
        <w:rPr>
          <w:w w:val="115"/>
        </w:rPr>
        <w:t>sánchez-Parodi</w:t>
      </w:r>
      <w:r>
        <w:rPr>
          <w:spacing w:val="-6"/>
          <w:w w:val="115"/>
        </w:rPr>
        <w:t> </w:t>
      </w:r>
      <w:r>
        <w:rPr>
          <w:w w:val="115"/>
        </w:rPr>
        <w:t>Montoto,</w:t>
      </w:r>
      <w:r>
        <w:rPr>
          <w:spacing w:val="-6"/>
          <w:w w:val="115"/>
        </w:rPr>
        <w:t> </w:t>
      </w:r>
      <w:r>
        <w:rPr>
          <w:w w:val="115"/>
        </w:rPr>
        <w:t>ramón</w:t>
      </w:r>
      <w:r>
        <w:rPr>
          <w:spacing w:val="-6"/>
          <w:w w:val="115"/>
        </w:rPr>
        <w:t> </w:t>
      </w:r>
      <w:r>
        <w:rPr>
          <w:w w:val="115"/>
        </w:rPr>
        <w:t>2013</w:t>
      </w:r>
      <w:r>
        <w:rPr>
          <w:spacing w:val="-6"/>
          <w:w w:val="115"/>
        </w:rPr>
        <w:t> </w:t>
      </w:r>
      <w:r>
        <w:rPr>
          <w:w w:val="115"/>
        </w:rPr>
        <w:t>“¿Qué</w:t>
      </w:r>
      <w:r>
        <w:rPr>
          <w:spacing w:val="-6"/>
          <w:w w:val="115"/>
        </w:rPr>
        <w:t> </w:t>
      </w:r>
      <w:r>
        <w:rPr>
          <w:w w:val="115"/>
        </w:rPr>
        <w:t>cambia</w:t>
      </w:r>
      <w:r>
        <w:rPr>
          <w:spacing w:val="-6"/>
          <w:w w:val="115"/>
        </w:rPr>
        <w:t> </w:t>
      </w:r>
      <w:r>
        <w:rPr>
          <w:w w:val="115"/>
        </w:rPr>
        <w:t>en</w:t>
      </w:r>
      <w:r>
        <w:rPr>
          <w:spacing w:val="-6"/>
          <w:w w:val="115"/>
        </w:rPr>
        <w:t> </w:t>
      </w:r>
      <w:r>
        <w:rPr>
          <w:w w:val="115"/>
        </w:rPr>
        <w:t>la</w:t>
      </w:r>
      <w:r>
        <w:rPr>
          <w:spacing w:val="-6"/>
          <w:w w:val="115"/>
        </w:rPr>
        <w:t> </w:t>
      </w:r>
      <w:r>
        <w:rPr>
          <w:w w:val="115"/>
        </w:rPr>
        <w:t>política actual de los EE.uu. hacia Cuba”, en </w:t>
      </w:r>
      <w:r>
        <w:rPr>
          <w:i/>
          <w:w w:val="115"/>
        </w:rPr>
        <w:t>Por Cuba</w:t>
      </w:r>
      <w:r>
        <w:rPr>
          <w:w w:val="115"/>
        </w:rPr>
        <w:t>, año 11, Nº 74, </w:t>
      </w:r>
      <w:r>
        <w:rPr>
          <w:w w:val="243"/>
        </w:rPr>
        <w:t>l</w:t>
      </w:r>
      <w:r>
        <w:rPr>
          <w:w w:val="112"/>
        </w:rPr>
        <w:t>a</w:t>
      </w:r>
      <w:r>
        <w:rPr>
          <w:spacing w:val="12"/>
        </w:rPr>
        <w:t> </w:t>
      </w:r>
      <w:r>
        <w:rPr>
          <w:w w:val="115"/>
        </w:rPr>
        <w:t>Habana,</w:t>
      </w:r>
      <w:r>
        <w:rPr>
          <w:spacing w:val="12"/>
        </w:rPr>
        <w:t> </w:t>
      </w:r>
      <w:r>
        <w:rPr>
          <w:w w:val="102"/>
        </w:rPr>
        <w:t>20</w:t>
      </w:r>
      <w:r>
        <w:rPr>
          <w:spacing w:val="12"/>
        </w:rPr>
        <w:t> </w:t>
      </w:r>
      <w:r>
        <w:rPr>
          <w:w w:val="107"/>
        </w:rPr>
        <w:t>de</w:t>
      </w:r>
      <w:r>
        <w:rPr>
          <w:spacing w:val="12"/>
        </w:rPr>
        <w:t> </w:t>
      </w:r>
      <w:r>
        <w:rPr>
          <w:w w:val="109"/>
        </w:rPr>
        <w:t>septiembre.</w:t>
      </w:r>
    </w:p>
    <w:p>
      <w:pPr>
        <w:pStyle w:val="BodyText"/>
        <w:spacing w:line="252" w:lineRule="auto" w:before="28"/>
        <w:ind w:left="727" w:right="123" w:hanging="397"/>
      </w:pPr>
      <w:r>
        <w:rPr>
          <w:w w:val="110"/>
        </w:rPr>
        <w:t>santos, Juan M. 2013 “declaración del Presidente Juan Manuel    santos sobre su visita a Washington”, en </w:t>
      </w:r>
      <w:hyperlink r:id="rId491">
        <w:r>
          <w:rPr>
            <w:w w:val="110"/>
          </w:rPr>
          <w:t>&lt;www.infolatam.com/&gt;</w:t>
        </w:r>
      </w:hyperlink>
      <w:r>
        <w:rPr>
          <w:w w:val="110"/>
        </w:rPr>
        <w:t> acceso 16 de marzo de</w:t>
      </w:r>
      <w:r>
        <w:rPr>
          <w:spacing w:val="1"/>
          <w:w w:val="110"/>
        </w:rPr>
        <w:t> </w:t>
      </w:r>
      <w:r>
        <w:rPr>
          <w:w w:val="110"/>
        </w:rPr>
        <w:t>2014.</w:t>
      </w:r>
    </w:p>
    <w:p>
      <w:pPr>
        <w:pStyle w:val="BodyText"/>
        <w:spacing w:line="252" w:lineRule="auto" w:before="28"/>
        <w:ind w:left="727" w:right="179" w:hanging="397"/>
      </w:pPr>
      <w:r>
        <w:rPr>
          <w:w w:val="110"/>
        </w:rPr>
        <w:t>sants, ronald 2013 “Habla ‘brutal’ y la relación Estados unidos- Caribe”, en </w:t>
      </w:r>
      <w:r>
        <w:rPr>
          <w:i/>
          <w:w w:val="110"/>
        </w:rPr>
        <w:t>Guardian Media</w:t>
      </w:r>
      <w:r>
        <w:rPr>
          <w:w w:val="110"/>
        </w:rPr>
        <w:t>, 14 de junio de  2013.</w:t>
      </w:r>
    </w:p>
    <w:p>
      <w:pPr>
        <w:spacing w:line="252" w:lineRule="auto" w:before="28"/>
        <w:ind w:left="727" w:right="282" w:hanging="397"/>
        <w:jc w:val="left"/>
        <w:rPr>
          <w:sz w:val="19"/>
        </w:rPr>
      </w:pPr>
      <w:r>
        <w:rPr>
          <w:spacing w:val="-3"/>
          <w:w w:val="115"/>
          <w:sz w:val="19"/>
        </w:rPr>
        <w:t>shifter,</w:t>
      </w:r>
      <w:r>
        <w:rPr>
          <w:spacing w:val="-12"/>
          <w:w w:val="115"/>
          <w:sz w:val="19"/>
        </w:rPr>
        <w:t> </w:t>
      </w:r>
      <w:r>
        <w:rPr>
          <w:w w:val="115"/>
          <w:sz w:val="19"/>
        </w:rPr>
        <w:t>Michael</w:t>
      </w:r>
      <w:r>
        <w:rPr>
          <w:spacing w:val="-12"/>
          <w:w w:val="115"/>
          <w:sz w:val="19"/>
        </w:rPr>
        <w:t> </w:t>
      </w:r>
      <w:r>
        <w:rPr>
          <w:w w:val="115"/>
          <w:sz w:val="19"/>
        </w:rPr>
        <w:t>2014</w:t>
      </w:r>
      <w:r>
        <w:rPr>
          <w:spacing w:val="-12"/>
          <w:w w:val="115"/>
          <w:sz w:val="19"/>
        </w:rPr>
        <w:t> </w:t>
      </w:r>
      <w:r>
        <w:rPr>
          <w:w w:val="115"/>
          <w:sz w:val="19"/>
        </w:rPr>
        <w:t>“una</w:t>
      </w:r>
      <w:r>
        <w:rPr>
          <w:spacing w:val="-12"/>
          <w:w w:val="115"/>
          <w:sz w:val="19"/>
        </w:rPr>
        <w:t> </w:t>
      </w:r>
      <w:r>
        <w:rPr>
          <w:w w:val="115"/>
          <w:sz w:val="19"/>
        </w:rPr>
        <w:t>relación</w:t>
      </w:r>
      <w:r>
        <w:rPr>
          <w:spacing w:val="-12"/>
          <w:w w:val="115"/>
          <w:sz w:val="19"/>
        </w:rPr>
        <w:t> </w:t>
      </w:r>
      <w:r>
        <w:rPr>
          <w:w w:val="115"/>
          <w:sz w:val="19"/>
        </w:rPr>
        <w:t>paradójica”,</w:t>
      </w:r>
      <w:r>
        <w:rPr>
          <w:spacing w:val="-12"/>
          <w:w w:val="115"/>
          <w:sz w:val="19"/>
        </w:rPr>
        <w:t> </w:t>
      </w:r>
      <w:r>
        <w:rPr>
          <w:w w:val="115"/>
          <w:sz w:val="19"/>
        </w:rPr>
        <w:t>en</w:t>
      </w:r>
      <w:r>
        <w:rPr>
          <w:spacing w:val="-12"/>
          <w:w w:val="115"/>
          <w:sz w:val="19"/>
        </w:rPr>
        <w:t> </w:t>
      </w:r>
      <w:r>
        <w:rPr>
          <w:i/>
          <w:w w:val="115"/>
          <w:sz w:val="19"/>
        </w:rPr>
        <w:t>Foreign</w:t>
      </w:r>
      <w:r>
        <w:rPr>
          <w:i/>
          <w:spacing w:val="-12"/>
          <w:w w:val="115"/>
          <w:sz w:val="19"/>
        </w:rPr>
        <w:t> </w:t>
      </w:r>
      <w:r>
        <w:rPr>
          <w:i/>
          <w:w w:val="115"/>
          <w:sz w:val="19"/>
        </w:rPr>
        <w:t>Affairs </w:t>
      </w:r>
      <w:r>
        <w:rPr>
          <w:i/>
          <w:w w:val="115"/>
          <w:sz w:val="19"/>
        </w:rPr>
        <w:t>Latinoamérica</w:t>
      </w:r>
      <w:r>
        <w:rPr>
          <w:w w:val="115"/>
          <w:sz w:val="19"/>
        </w:rPr>
        <w:t>,</w:t>
      </w:r>
      <w:r>
        <w:rPr>
          <w:spacing w:val="-21"/>
          <w:w w:val="115"/>
          <w:sz w:val="19"/>
        </w:rPr>
        <w:t> </w:t>
      </w:r>
      <w:r>
        <w:rPr>
          <w:spacing w:val="-4"/>
          <w:w w:val="115"/>
          <w:sz w:val="19"/>
        </w:rPr>
        <w:t>Vol.</w:t>
      </w:r>
      <w:r>
        <w:rPr>
          <w:spacing w:val="-21"/>
          <w:w w:val="115"/>
          <w:sz w:val="19"/>
        </w:rPr>
        <w:t> </w:t>
      </w:r>
      <w:r>
        <w:rPr>
          <w:w w:val="115"/>
          <w:sz w:val="19"/>
        </w:rPr>
        <w:t>14,</w:t>
      </w:r>
      <w:r>
        <w:rPr>
          <w:spacing w:val="-21"/>
          <w:w w:val="115"/>
          <w:sz w:val="19"/>
        </w:rPr>
        <w:t> </w:t>
      </w:r>
      <w:r>
        <w:rPr>
          <w:w w:val="115"/>
          <w:sz w:val="19"/>
        </w:rPr>
        <w:t>Nº</w:t>
      </w:r>
      <w:r>
        <w:rPr>
          <w:spacing w:val="-21"/>
          <w:w w:val="115"/>
          <w:sz w:val="19"/>
        </w:rPr>
        <w:t> </w:t>
      </w:r>
      <w:r>
        <w:rPr>
          <w:w w:val="115"/>
          <w:sz w:val="19"/>
        </w:rPr>
        <w:t>2,</w:t>
      </w:r>
      <w:r>
        <w:rPr>
          <w:spacing w:val="-21"/>
          <w:w w:val="115"/>
          <w:sz w:val="19"/>
        </w:rPr>
        <w:t> </w:t>
      </w:r>
      <w:r>
        <w:rPr>
          <w:w w:val="115"/>
          <w:sz w:val="19"/>
        </w:rPr>
        <w:t>pp.</w:t>
      </w:r>
      <w:r>
        <w:rPr>
          <w:spacing w:val="-21"/>
          <w:w w:val="115"/>
          <w:sz w:val="19"/>
        </w:rPr>
        <w:t> </w:t>
      </w:r>
      <w:r>
        <w:rPr>
          <w:w w:val="115"/>
          <w:sz w:val="19"/>
        </w:rPr>
        <w:t>82-88,</w:t>
      </w:r>
      <w:r>
        <w:rPr>
          <w:spacing w:val="-21"/>
          <w:w w:val="115"/>
          <w:sz w:val="19"/>
        </w:rPr>
        <w:t> </w:t>
      </w:r>
      <w:r>
        <w:rPr>
          <w:w w:val="115"/>
          <w:sz w:val="19"/>
        </w:rPr>
        <w:t>en</w:t>
      </w:r>
      <w:r>
        <w:rPr>
          <w:spacing w:val="-21"/>
          <w:w w:val="115"/>
          <w:sz w:val="19"/>
        </w:rPr>
        <w:t> </w:t>
      </w:r>
      <w:hyperlink r:id="rId493">
        <w:r>
          <w:rPr>
            <w:w w:val="115"/>
            <w:sz w:val="19"/>
          </w:rPr>
          <w:t>&lt;www.fal.itam.mx&gt;.</w:t>
        </w:r>
      </w:hyperlink>
    </w:p>
    <w:p>
      <w:pPr>
        <w:spacing w:line="252" w:lineRule="auto" w:before="28"/>
        <w:ind w:left="727" w:right="298" w:hanging="397"/>
        <w:jc w:val="left"/>
        <w:rPr>
          <w:sz w:val="19"/>
        </w:rPr>
      </w:pPr>
      <w:r>
        <w:rPr>
          <w:w w:val="149"/>
          <w:sz w:val="19"/>
        </w:rPr>
        <w:t>s</w:t>
      </w:r>
      <w:r>
        <w:rPr>
          <w:w w:val="109"/>
          <w:sz w:val="19"/>
        </w:rPr>
        <w:t>uárez</w:t>
      </w:r>
      <w:r>
        <w:rPr>
          <w:spacing w:val="12"/>
          <w:sz w:val="19"/>
        </w:rPr>
        <w:t> </w:t>
      </w:r>
      <w:r>
        <w:rPr>
          <w:w w:val="149"/>
          <w:sz w:val="19"/>
        </w:rPr>
        <w:t>s</w:t>
      </w:r>
      <w:r>
        <w:rPr>
          <w:w w:val="112"/>
          <w:sz w:val="19"/>
        </w:rPr>
        <w:t>alaza</w:t>
      </w:r>
      <w:r>
        <w:rPr>
          <w:spacing w:val="-22"/>
          <w:w w:val="105"/>
          <w:sz w:val="19"/>
        </w:rPr>
        <w:t>r</w:t>
      </w:r>
      <w:r>
        <w:rPr>
          <w:w w:val="138"/>
          <w:sz w:val="19"/>
        </w:rPr>
        <w:t>,</w:t>
      </w:r>
      <w:r>
        <w:rPr>
          <w:spacing w:val="12"/>
          <w:sz w:val="19"/>
        </w:rPr>
        <w:t> </w:t>
      </w:r>
      <w:r>
        <w:rPr>
          <w:w w:val="243"/>
          <w:sz w:val="19"/>
        </w:rPr>
        <w:t>l</w:t>
      </w:r>
      <w:r>
        <w:rPr>
          <w:w w:val="111"/>
          <w:sz w:val="19"/>
        </w:rPr>
        <w:t>uis</w:t>
      </w:r>
      <w:r>
        <w:rPr>
          <w:spacing w:val="12"/>
          <w:sz w:val="19"/>
        </w:rPr>
        <w:t> </w:t>
      </w:r>
      <w:r>
        <w:rPr>
          <w:w w:val="102"/>
          <w:sz w:val="19"/>
        </w:rPr>
        <w:t>2003</w:t>
      </w:r>
      <w:r>
        <w:rPr>
          <w:spacing w:val="12"/>
          <w:sz w:val="19"/>
        </w:rPr>
        <w:t> </w:t>
      </w:r>
      <w:r>
        <w:rPr>
          <w:i/>
          <w:w w:val="107"/>
          <w:sz w:val="19"/>
        </w:rPr>
        <w:t>Madre</w:t>
      </w:r>
      <w:r>
        <w:rPr>
          <w:i/>
          <w:spacing w:val="12"/>
          <w:sz w:val="19"/>
        </w:rPr>
        <w:t> </w:t>
      </w:r>
      <w:r>
        <w:rPr>
          <w:i/>
          <w:w w:val="109"/>
          <w:sz w:val="19"/>
        </w:rPr>
        <w:t>América:</w:t>
      </w:r>
      <w:r>
        <w:rPr>
          <w:i/>
          <w:spacing w:val="12"/>
          <w:sz w:val="19"/>
        </w:rPr>
        <w:t> </w:t>
      </w:r>
      <w:r>
        <w:rPr>
          <w:i/>
          <w:w w:val="119"/>
          <w:sz w:val="19"/>
        </w:rPr>
        <w:t>Un</w:t>
      </w:r>
      <w:r>
        <w:rPr>
          <w:i/>
          <w:spacing w:val="12"/>
          <w:sz w:val="19"/>
        </w:rPr>
        <w:t> </w:t>
      </w:r>
      <w:r>
        <w:rPr>
          <w:i/>
          <w:w w:val="108"/>
          <w:sz w:val="19"/>
        </w:rPr>
        <w:t>siglo</w:t>
      </w:r>
      <w:r>
        <w:rPr>
          <w:i/>
          <w:spacing w:val="12"/>
          <w:sz w:val="19"/>
        </w:rPr>
        <w:t> </w:t>
      </w:r>
      <w:r>
        <w:rPr>
          <w:i/>
          <w:w w:val="104"/>
          <w:sz w:val="19"/>
        </w:rPr>
        <w:t>de</w:t>
      </w:r>
      <w:r>
        <w:rPr>
          <w:i/>
          <w:spacing w:val="12"/>
          <w:sz w:val="19"/>
        </w:rPr>
        <w:t> </w:t>
      </w:r>
      <w:r>
        <w:rPr>
          <w:i/>
          <w:w w:val="111"/>
          <w:sz w:val="19"/>
        </w:rPr>
        <w:t>violencia</w:t>
      </w:r>
      <w:r>
        <w:rPr>
          <w:i/>
          <w:spacing w:val="12"/>
          <w:sz w:val="19"/>
        </w:rPr>
        <w:t> </w:t>
      </w:r>
      <w:r>
        <w:rPr>
          <w:i/>
          <w:w w:val="106"/>
          <w:sz w:val="19"/>
        </w:rPr>
        <w:t>y</w:t>
      </w:r>
      <w:r>
        <w:rPr>
          <w:i/>
          <w:w w:val="106"/>
          <w:sz w:val="19"/>
        </w:rPr>
        <w:t> </w:t>
      </w:r>
      <w:r>
        <w:rPr>
          <w:i/>
          <w:w w:val="107"/>
          <w:sz w:val="19"/>
        </w:rPr>
        <w:t>dolor</w:t>
      </w:r>
      <w:r>
        <w:rPr>
          <w:i/>
          <w:spacing w:val="12"/>
          <w:sz w:val="19"/>
        </w:rPr>
        <w:t> </w:t>
      </w:r>
      <w:r>
        <w:rPr>
          <w:i/>
          <w:w w:val="107"/>
          <w:sz w:val="19"/>
        </w:rPr>
        <w:t>(1898-1998)</w:t>
      </w:r>
      <w:r>
        <w:rPr>
          <w:i/>
          <w:spacing w:val="12"/>
          <w:sz w:val="19"/>
        </w:rPr>
        <w:t> </w:t>
      </w:r>
      <w:r>
        <w:rPr>
          <w:w w:val="98"/>
          <w:sz w:val="19"/>
        </w:rPr>
        <w:t>(</w:t>
      </w:r>
      <w:r>
        <w:rPr>
          <w:w w:val="243"/>
          <w:sz w:val="19"/>
        </w:rPr>
        <w:t>l</w:t>
      </w:r>
      <w:r>
        <w:rPr>
          <w:w w:val="112"/>
          <w:sz w:val="19"/>
        </w:rPr>
        <w:t>a</w:t>
      </w:r>
      <w:r>
        <w:rPr>
          <w:spacing w:val="12"/>
          <w:sz w:val="19"/>
        </w:rPr>
        <w:t> </w:t>
      </w:r>
      <w:r>
        <w:rPr>
          <w:w w:val="113"/>
          <w:sz w:val="19"/>
        </w:rPr>
        <w:t>Habana:</w:t>
      </w:r>
      <w:r>
        <w:rPr>
          <w:spacing w:val="12"/>
          <w:sz w:val="19"/>
        </w:rPr>
        <w:t> </w:t>
      </w:r>
      <w:r>
        <w:rPr>
          <w:w w:val="113"/>
          <w:sz w:val="19"/>
        </w:rPr>
        <w:t>Editorial</w:t>
      </w:r>
      <w:r>
        <w:rPr>
          <w:spacing w:val="12"/>
          <w:sz w:val="19"/>
        </w:rPr>
        <w:t> </w:t>
      </w:r>
      <w:r>
        <w:rPr>
          <w:w w:val="107"/>
          <w:sz w:val="19"/>
        </w:rPr>
        <w:t>de</w:t>
      </w:r>
      <w:r>
        <w:rPr>
          <w:spacing w:val="12"/>
          <w:sz w:val="19"/>
        </w:rPr>
        <w:t> </w:t>
      </w:r>
      <w:r>
        <w:rPr>
          <w:w w:val="113"/>
          <w:sz w:val="19"/>
        </w:rPr>
        <w:t>Ciencias</w:t>
      </w:r>
      <w:r>
        <w:rPr>
          <w:spacing w:val="12"/>
          <w:sz w:val="19"/>
        </w:rPr>
        <w:t> </w:t>
      </w:r>
      <w:r>
        <w:rPr>
          <w:w w:val="149"/>
          <w:sz w:val="19"/>
        </w:rPr>
        <w:t>s</w:t>
      </w:r>
      <w:r>
        <w:rPr>
          <w:w w:val="110"/>
          <w:sz w:val="19"/>
        </w:rPr>
        <w:t>ociales).</w:t>
      </w:r>
    </w:p>
    <w:p>
      <w:pPr>
        <w:spacing w:before="28"/>
        <w:ind w:left="330" w:right="179" w:firstLine="0"/>
        <w:jc w:val="left"/>
        <w:rPr>
          <w:i/>
          <w:sz w:val="19"/>
        </w:rPr>
      </w:pPr>
      <w:r>
        <w:rPr>
          <w:w w:val="149"/>
          <w:sz w:val="19"/>
        </w:rPr>
        <w:t>s</w:t>
      </w:r>
      <w:r>
        <w:rPr>
          <w:w w:val="109"/>
          <w:sz w:val="19"/>
        </w:rPr>
        <w:t>uárez</w:t>
      </w:r>
      <w:r>
        <w:rPr>
          <w:spacing w:val="14"/>
          <w:sz w:val="19"/>
        </w:rPr>
        <w:t> </w:t>
      </w:r>
      <w:r>
        <w:rPr>
          <w:w w:val="149"/>
          <w:sz w:val="19"/>
        </w:rPr>
        <w:t>s</w:t>
      </w:r>
      <w:r>
        <w:rPr>
          <w:w w:val="112"/>
          <w:sz w:val="19"/>
        </w:rPr>
        <w:t>alaza</w:t>
      </w:r>
      <w:r>
        <w:rPr>
          <w:spacing w:val="-21"/>
          <w:w w:val="105"/>
          <w:sz w:val="19"/>
        </w:rPr>
        <w:t>r</w:t>
      </w:r>
      <w:r>
        <w:rPr>
          <w:w w:val="138"/>
          <w:sz w:val="19"/>
        </w:rPr>
        <w:t>,</w:t>
      </w:r>
      <w:r>
        <w:rPr>
          <w:spacing w:val="14"/>
          <w:sz w:val="19"/>
        </w:rPr>
        <w:t> </w:t>
      </w:r>
      <w:r>
        <w:rPr>
          <w:w w:val="243"/>
          <w:sz w:val="19"/>
        </w:rPr>
        <w:t>l</w:t>
      </w:r>
      <w:r>
        <w:rPr>
          <w:w w:val="111"/>
          <w:sz w:val="19"/>
        </w:rPr>
        <w:t>uis</w:t>
      </w:r>
      <w:r>
        <w:rPr>
          <w:spacing w:val="14"/>
          <w:sz w:val="19"/>
        </w:rPr>
        <w:t> </w:t>
      </w:r>
      <w:r>
        <w:rPr>
          <w:w w:val="102"/>
          <w:sz w:val="19"/>
        </w:rPr>
        <w:t>2006</w:t>
      </w:r>
      <w:r>
        <w:rPr>
          <w:spacing w:val="14"/>
          <w:sz w:val="19"/>
        </w:rPr>
        <w:t> </w:t>
      </w:r>
      <w:r>
        <w:rPr>
          <w:i/>
          <w:w w:val="119"/>
          <w:sz w:val="19"/>
        </w:rPr>
        <w:t>Un</w:t>
      </w:r>
      <w:r>
        <w:rPr>
          <w:i/>
          <w:spacing w:val="14"/>
          <w:sz w:val="19"/>
        </w:rPr>
        <w:t> </w:t>
      </w:r>
      <w:r>
        <w:rPr>
          <w:i/>
          <w:w w:val="108"/>
          <w:sz w:val="19"/>
        </w:rPr>
        <w:t>siglo</w:t>
      </w:r>
      <w:r>
        <w:rPr>
          <w:i/>
          <w:spacing w:val="14"/>
          <w:sz w:val="19"/>
        </w:rPr>
        <w:t> </w:t>
      </w:r>
      <w:r>
        <w:rPr>
          <w:i/>
          <w:w w:val="104"/>
          <w:sz w:val="19"/>
        </w:rPr>
        <w:t>de</w:t>
      </w:r>
      <w:r>
        <w:rPr>
          <w:i/>
          <w:spacing w:val="14"/>
          <w:sz w:val="19"/>
        </w:rPr>
        <w:t> </w:t>
      </w:r>
      <w:r>
        <w:rPr>
          <w:i/>
          <w:w w:val="100"/>
          <w:sz w:val="19"/>
        </w:rPr>
        <w:t>terror</w:t>
      </w:r>
      <w:r>
        <w:rPr>
          <w:i/>
          <w:spacing w:val="14"/>
          <w:sz w:val="19"/>
        </w:rPr>
        <w:t> </w:t>
      </w:r>
      <w:r>
        <w:rPr>
          <w:i/>
          <w:w w:val="108"/>
          <w:sz w:val="19"/>
        </w:rPr>
        <w:t>en</w:t>
      </w:r>
      <w:r>
        <w:rPr>
          <w:i/>
          <w:spacing w:val="14"/>
          <w:sz w:val="19"/>
        </w:rPr>
        <w:t> </w:t>
      </w:r>
      <w:r>
        <w:rPr>
          <w:i/>
          <w:w w:val="109"/>
          <w:sz w:val="19"/>
        </w:rPr>
        <w:t>América</w:t>
      </w:r>
      <w:r>
        <w:rPr>
          <w:i/>
          <w:spacing w:val="14"/>
          <w:sz w:val="19"/>
        </w:rPr>
        <w:t> </w:t>
      </w:r>
      <w:r>
        <w:rPr>
          <w:i/>
          <w:w w:val="110"/>
          <w:sz w:val="19"/>
        </w:rPr>
        <w:t>Latina</w:t>
      </w:r>
    </w:p>
    <w:p>
      <w:pPr>
        <w:pStyle w:val="BodyText"/>
        <w:spacing w:before="11"/>
        <w:ind w:left="727" w:right="179"/>
      </w:pPr>
      <w:r>
        <w:rPr>
          <w:w w:val="115"/>
        </w:rPr>
        <w:t>(ocean sur).</w:t>
      </w:r>
    </w:p>
    <w:p>
      <w:pPr>
        <w:spacing w:after="0"/>
        <w:sectPr>
          <w:pgSz w:w="8790" w:h="12760"/>
          <w:pgMar w:header="695" w:footer="725" w:top="880" w:bottom="920" w:left="1200" w:right="940"/>
        </w:sectPr>
      </w:pPr>
    </w:p>
    <w:p>
      <w:pPr>
        <w:pStyle w:val="BodyText"/>
        <w:spacing w:before="9"/>
        <w:rPr>
          <w:sz w:val="28"/>
        </w:rPr>
      </w:pPr>
    </w:p>
    <w:p>
      <w:pPr>
        <w:spacing w:before="73"/>
        <w:ind w:left="100" w:right="0" w:firstLine="0"/>
        <w:jc w:val="left"/>
        <w:rPr>
          <w:i/>
          <w:sz w:val="19"/>
        </w:rPr>
      </w:pPr>
      <w:r>
        <w:rPr>
          <w:w w:val="149"/>
          <w:sz w:val="19"/>
        </w:rPr>
        <w:t>s</w:t>
      </w:r>
      <w:r>
        <w:rPr>
          <w:w w:val="109"/>
          <w:sz w:val="19"/>
        </w:rPr>
        <w:t>uárez</w:t>
      </w:r>
      <w:r>
        <w:rPr>
          <w:spacing w:val="12"/>
          <w:sz w:val="19"/>
        </w:rPr>
        <w:t> </w:t>
      </w:r>
      <w:r>
        <w:rPr>
          <w:w w:val="149"/>
          <w:sz w:val="19"/>
        </w:rPr>
        <w:t>s</w:t>
      </w:r>
      <w:r>
        <w:rPr>
          <w:w w:val="112"/>
          <w:sz w:val="19"/>
        </w:rPr>
        <w:t>alaza</w:t>
      </w:r>
      <w:r>
        <w:rPr>
          <w:spacing w:val="-22"/>
          <w:w w:val="105"/>
          <w:sz w:val="19"/>
        </w:rPr>
        <w:t>r</w:t>
      </w:r>
      <w:r>
        <w:rPr>
          <w:w w:val="138"/>
          <w:sz w:val="19"/>
        </w:rPr>
        <w:t>,</w:t>
      </w:r>
      <w:r>
        <w:rPr>
          <w:spacing w:val="12"/>
          <w:sz w:val="19"/>
        </w:rPr>
        <w:t> </w:t>
      </w:r>
      <w:r>
        <w:rPr>
          <w:w w:val="243"/>
          <w:sz w:val="19"/>
        </w:rPr>
        <w:t>l</w:t>
      </w:r>
      <w:r>
        <w:rPr>
          <w:w w:val="111"/>
          <w:sz w:val="19"/>
        </w:rPr>
        <w:t>uis</w:t>
      </w:r>
      <w:r>
        <w:rPr>
          <w:spacing w:val="12"/>
          <w:sz w:val="19"/>
        </w:rPr>
        <w:t> </w:t>
      </w:r>
      <w:r>
        <w:rPr>
          <w:w w:val="102"/>
          <w:sz w:val="19"/>
        </w:rPr>
        <w:t>2010</w:t>
      </w:r>
      <w:r>
        <w:rPr>
          <w:spacing w:val="12"/>
          <w:sz w:val="19"/>
        </w:rPr>
        <w:t> </w:t>
      </w:r>
      <w:r>
        <w:rPr>
          <w:i/>
          <w:w w:val="156"/>
          <w:sz w:val="19"/>
        </w:rPr>
        <w:t>o</w:t>
      </w:r>
      <w:r>
        <w:rPr>
          <w:i/>
          <w:w w:val="109"/>
          <w:sz w:val="19"/>
        </w:rPr>
        <w:t>bama:</w:t>
      </w:r>
      <w:r>
        <w:rPr>
          <w:i/>
          <w:spacing w:val="12"/>
          <w:sz w:val="19"/>
        </w:rPr>
        <w:t> </w:t>
      </w:r>
      <w:r>
        <w:rPr>
          <w:i/>
          <w:w w:val="111"/>
          <w:sz w:val="19"/>
        </w:rPr>
        <w:t>La</w:t>
      </w:r>
      <w:r>
        <w:rPr>
          <w:i/>
          <w:spacing w:val="12"/>
          <w:sz w:val="19"/>
        </w:rPr>
        <w:t> </w:t>
      </w:r>
      <w:r>
        <w:rPr>
          <w:i/>
          <w:w w:val="108"/>
          <w:sz w:val="19"/>
        </w:rPr>
        <w:t>máscara</w:t>
      </w:r>
      <w:r>
        <w:rPr>
          <w:i/>
          <w:spacing w:val="12"/>
          <w:sz w:val="19"/>
        </w:rPr>
        <w:t> </w:t>
      </w:r>
      <w:r>
        <w:rPr>
          <w:i/>
          <w:w w:val="104"/>
          <w:sz w:val="19"/>
        </w:rPr>
        <w:t>del</w:t>
      </w:r>
      <w:r>
        <w:rPr>
          <w:i/>
          <w:spacing w:val="12"/>
          <w:sz w:val="19"/>
        </w:rPr>
        <w:t> </w:t>
      </w:r>
      <w:r>
        <w:rPr>
          <w:i/>
          <w:w w:val="106"/>
          <w:sz w:val="19"/>
        </w:rPr>
        <w:t>“poder</w:t>
      </w:r>
      <w:r>
        <w:rPr>
          <w:i/>
          <w:spacing w:val="12"/>
          <w:sz w:val="19"/>
        </w:rPr>
        <w:t> </w:t>
      </w:r>
      <w:r>
        <w:rPr>
          <w:i/>
          <w:w w:val="106"/>
          <w:sz w:val="19"/>
        </w:rPr>
        <w:t>inteligente”</w:t>
      </w:r>
    </w:p>
    <w:p>
      <w:pPr>
        <w:pStyle w:val="BodyText"/>
        <w:spacing w:before="11"/>
        <w:ind w:left="497"/>
      </w:pPr>
      <w:r>
        <w:rPr>
          <w:w w:val="98"/>
        </w:rPr>
        <w:t>(</w:t>
      </w:r>
      <w:r>
        <w:rPr>
          <w:w w:val="243"/>
        </w:rPr>
        <w:t>l</w:t>
      </w:r>
      <w:r>
        <w:rPr>
          <w:w w:val="112"/>
        </w:rPr>
        <w:t>a</w:t>
      </w:r>
      <w:r>
        <w:rPr>
          <w:spacing w:val="12"/>
        </w:rPr>
        <w:t> </w:t>
      </w:r>
      <w:r>
        <w:rPr>
          <w:w w:val="113"/>
        </w:rPr>
        <w:t>Habana:</w:t>
      </w:r>
      <w:r>
        <w:rPr>
          <w:spacing w:val="12"/>
        </w:rPr>
        <w:t> </w:t>
      </w:r>
      <w:r>
        <w:rPr>
          <w:w w:val="113"/>
        </w:rPr>
        <w:t>Editorial</w:t>
      </w:r>
      <w:r>
        <w:rPr>
          <w:spacing w:val="12"/>
        </w:rPr>
        <w:t> </w:t>
      </w:r>
      <w:r>
        <w:rPr>
          <w:w w:val="107"/>
        </w:rPr>
        <w:t>de</w:t>
      </w:r>
      <w:r>
        <w:rPr>
          <w:spacing w:val="12"/>
        </w:rPr>
        <w:t> </w:t>
      </w:r>
      <w:r>
        <w:rPr>
          <w:w w:val="113"/>
        </w:rPr>
        <w:t>Ciencias</w:t>
      </w:r>
      <w:r>
        <w:rPr>
          <w:spacing w:val="12"/>
        </w:rPr>
        <w:t> </w:t>
      </w:r>
      <w:r>
        <w:rPr>
          <w:w w:val="149"/>
        </w:rPr>
        <w:t>s</w:t>
      </w:r>
      <w:r>
        <w:rPr>
          <w:w w:val="110"/>
        </w:rPr>
        <w:t>ociales).</w:t>
      </w:r>
    </w:p>
    <w:p>
      <w:pPr>
        <w:spacing w:line="252" w:lineRule="auto" w:before="39"/>
        <w:ind w:left="497" w:right="502" w:hanging="397"/>
        <w:jc w:val="left"/>
        <w:rPr>
          <w:sz w:val="19"/>
        </w:rPr>
      </w:pPr>
      <w:r>
        <w:rPr>
          <w:w w:val="149"/>
          <w:sz w:val="19"/>
        </w:rPr>
        <w:t>s</w:t>
      </w:r>
      <w:r>
        <w:rPr>
          <w:w w:val="109"/>
          <w:sz w:val="19"/>
        </w:rPr>
        <w:t>uárez</w:t>
      </w:r>
      <w:r>
        <w:rPr>
          <w:spacing w:val="12"/>
          <w:sz w:val="19"/>
        </w:rPr>
        <w:t> </w:t>
      </w:r>
      <w:r>
        <w:rPr>
          <w:w w:val="149"/>
          <w:sz w:val="19"/>
        </w:rPr>
        <w:t>s</w:t>
      </w:r>
      <w:r>
        <w:rPr>
          <w:w w:val="112"/>
          <w:sz w:val="19"/>
        </w:rPr>
        <w:t>alaza</w:t>
      </w:r>
      <w:r>
        <w:rPr>
          <w:spacing w:val="-22"/>
          <w:w w:val="105"/>
          <w:sz w:val="19"/>
        </w:rPr>
        <w:t>r</w:t>
      </w:r>
      <w:r>
        <w:rPr>
          <w:w w:val="138"/>
          <w:sz w:val="19"/>
        </w:rPr>
        <w:t>,</w:t>
      </w:r>
      <w:r>
        <w:rPr>
          <w:spacing w:val="12"/>
          <w:sz w:val="19"/>
        </w:rPr>
        <w:t> </w:t>
      </w:r>
      <w:r>
        <w:rPr>
          <w:w w:val="243"/>
          <w:sz w:val="19"/>
        </w:rPr>
        <w:t>l</w:t>
      </w:r>
      <w:r>
        <w:rPr>
          <w:w w:val="111"/>
          <w:sz w:val="19"/>
        </w:rPr>
        <w:t>uis</w:t>
      </w:r>
      <w:r>
        <w:rPr>
          <w:spacing w:val="12"/>
          <w:sz w:val="19"/>
        </w:rPr>
        <w:t> </w:t>
      </w:r>
      <w:r>
        <w:rPr>
          <w:w w:val="104"/>
          <w:sz w:val="19"/>
        </w:rPr>
        <w:t>2010a</w:t>
      </w:r>
      <w:r>
        <w:rPr>
          <w:spacing w:val="12"/>
          <w:sz w:val="19"/>
        </w:rPr>
        <w:t> </w:t>
      </w:r>
      <w:r>
        <w:rPr>
          <w:w w:val="115"/>
          <w:sz w:val="19"/>
        </w:rPr>
        <w:t>“</w:t>
      </w:r>
      <w:r>
        <w:rPr>
          <w:w w:val="149"/>
          <w:sz w:val="19"/>
        </w:rPr>
        <w:t>o</w:t>
      </w:r>
      <w:r>
        <w:rPr>
          <w:w w:val="112"/>
          <w:sz w:val="19"/>
        </w:rPr>
        <w:t>bama</w:t>
      </w:r>
      <w:r>
        <w:rPr>
          <w:spacing w:val="12"/>
          <w:sz w:val="19"/>
        </w:rPr>
        <w:t> </w:t>
      </w:r>
      <w:r>
        <w:rPr>
          <w:w w:val="110"/>
          <w:sz w:val="19"/>
        </w:rPr>
        <w:t>contra</w:t>
      </w:r>
      <w:r>
        <w:rPr>
          <w:spacing w:val="12"/>
          <w:sz w:val="19"/>
        </w:rPr>
        <w:t> </w:t>
      </w:r>
      <w:r>
        <w:rPr>
          <w:w w:val="110"/>
          <w:sz w:val="19"/>
        </w:rPr>
        <w:t>Nuestra</w:t>
      </w:r>
      <w:r>
        <w:rPr>
          <w:spacing w:val="12"/>
          <w:sz w:val="19"/>
        </w:rPr>
        <w:t> </w:t>
      </w:r>
      <w:r>
        <w:rPr>
          <w:w w:val="139"/>
          <w:sz w:val="19"/>
        </w:rPr>
        <w:t>a</w:t>
      </w:r>
      <w:r>
        <w:rPr>
          <w:w w:val="110"/>
          <w:sz w:val="19"/>
        </w:rPr>
        <w:t>mérica:</w:t>
      </w:r>
      <w:r>
        <w:rPr>
          <w:spacing w:val="12"/>
          <w:sz w:val="19"/>
        </w:rPr>
        <w:t> </w:t>
      </w:r>
      <w:r>
        <w:rPr>
          <w:i/>
          <w:w w:val="110"/>
          <w:sz w:val="19"/>
        </w:rPr>
        <w:t>lo</w:t>
      </w:r>
      <w:r>
        <w:rPr>
          <w:i/>
          <w:w w:val="110"/>
          <w:sz w:val="19"/>
        </w:rPr>
        <w:t> </w:t>
      </w:r>
      <w:r>
        <w:rPr>
          <w:i/>
          <w:w w:val="120"/>
          <w:sz w:val="19"/>
        </w:rPr>
        <w:t>nuevo </w:t>
      </w:r>
      <w:r>
        <w:rPr>
          <w:w w:val="120"/>
          <w:sz w:val="19"/>
        </w:rPr>
        <w:t>y </w:t>
      </w:r>
      <w:r>
        <w:rPr>
          <w:i/>
          <w:w w:val="120"/>
          <w:sz w:val="19"/>
        </w:rPr>
        <w:t>lo viejo</w:t>
      </w:r>
      <w:r>
        <w:rPr>
          <w:w w:val="120"/>
          <w:sz w:val="19"/>
        </w:rPr>
        <w:t>”, en dídimo Castillo Fernández y Marcos a. </w:t>
      </w:r>
      <w:r>
        <w:rPr>
          <w:w w:val="115"/>
          <w:sz w:val="19"/>
        </w:rPr>
        <w:t>Gandásegui</w:t>
      </w:r>
      <w:r>
        <w:rPr>
          <w:spacing w:val="-17"/>
          <w:w w:val="115"/>
          <w:sz w:val="19"/>
        </w:rPr>
        <w:t> </w:t>
      </w:r>
      <w:r>
        <w:rPr>
          <w:w w:val="115"/>
          <w:sz w:val="19"/>
        </w:rPr>
        <w:t>(coords.)</w:t>
      </w:r>
      <w:r>
        <w:rPr>
          <w:spacing w:val="-17"/>
          <w:w w:val="115"/>
          <w:sz w:val="19"/>
        </w:rPr>
        <w:t> </w:t>
      </w:r>
      <w:r>
        <w:rPr>
          <w:w w:val="115"/>
          <w:sz w:val="19"/>
        </w:rPr>
        <w:t>2010</w:t>
      </w:r>
      <w:r>
        <w:rPr>
          <w:spacing w:val="-17"/>
          <w:w w:val="115"/>
          <w:sz w:val="19"/>
        </w:rPr>
        <w:t> </w:t>
      </w:r>
      <w:r>
        <w:rPr>
          <w:i/>
          <w:w w:val="115"/>
          <w:sz w:val="19"/>
        </w:rPr>
        <w:t>Estados</w:t>
      </w:r>
      <w:r>
        <w:rPr>
          <w:i/>
          <w:spacing w:val="-17"/>
          <w:w w:val="115"/>
          <w:sz w:val="19"/>
        </w:rPr>
        <w:t> </w:t>
      </w:r>
      <w:r>
        <w:rPr>
          <w:i/>
          <w:w w:val="115"/>
          <w:sz w:val="19"/>
        </w:rPr>
        <w:t>Unidos:</w:t>
      </w:r>
      <w:r>
        <w:rPr>
          <w:i/>
          <w:spacing w:val="-17"/>
          <w:w w:val="115"/>
          <w:sz w:val="19"/>
        </w:rPr>
        <w:t> </w:t>
      </w:r>
      <w:r>
        <w:rPr>
          <w:i/>
          <w:w w:val="115"/>
          <w:sz w:val="19"/>
        </w:rPr>
        <w:t>más</w:t>
      </w:r>
      <w:r>
        <w:rPr>
          <w:i/>
          <w:spacing w:val="-17"/>
          <w:w w:val="115"/>
          <w:sz w:val="19"/>
        </w:rPr>
        <w:t> </w:t>
      </w:r>
      <w:r>
        <w:rPr>
          <w:i/>
          <w:w w:val="115"/>
          <w:sz w:val="19"/>
        </w:rPr>
        <w:t>allá</w:t>
      </w:r>
      <w:r>
        <w:rPr>
          <w:i/>
          <w:spacing w:val="-17"/>
          <w:w w:val="115"/>
          <w:sz w:val="19"/>
        </w:rPr>
        <w:t> </w:t>
      </w:r>
      <w:r>
        <w:rPr>
          <w:i/>
          <w:w w:val="115"/>
          <w:sz w:val="19"/>
        </w:rPr>
        <w:t>de</w:t>
      </w:r>
      <w:r>
        <w:rPr>
          <w:i/>
          <w:spacing w:val="-17"/>
          <w:w w:val="115"/>
          <w:sz w:val="19"/>
        </w:rPr>
        <w:t> </w:t>
      </w:r>
      <w:r>
        <w:rPr>
          <w:i/>
          <w:w w:val="115"/>
          <w:sz w:val="19"/>
        </w:rPr>
        <w:t>la</w:t>
      </w:r>
      <w:r>
        <w:rPr>
          <w:i/>
          <w:spacing w:val="-17"/>
          <w:w w:val="115"/>
          <w:sz w:val="19"/>
        </w:rPr>
        <w:t> </w:t>
      </w:r>
      <w:r>
        <w:rPr>
          <w:i/>
          <w:w w:val="115"/>
          <w:sz w:val="19"/>
        </w:rPr>
        <w:t>crisis </w:t>
      </w:r>
      <w:r>
        <w:rPr>
          <w:w w:val="120"/>
          <w:sz w:val="19"/>
        </w:rPr>
        <w:t>(México:  ClaCso-siglo  </w:t>
      </w:r>
      <w:r>
        <w:rPr>
          <w:w w:val="135"/>
          <w:sz w:val="19"/>
        </w:rPr>
        <w:t>xxi </w:t>
      </w:r>
      <w:r>
        <w:rPr>
          <w:w w:val="120"/>
          <w:sz w:val="19"/>
        </w:rPr>
        <w:t>Editores-FCPys</w:t>
      </w:r>
      <w:r>
        <w:rPr>
          <w:spacing w:val="8"/>
          <w:w w:val="120"/>
          <w:sz w:val="19"/>
        </w:rPr>
        <w:t> </w:t>
      </w:r>
      <w:r>
        <w:rPr>
          <w:w w:val="120"/>
          <w:sz w:val="19"/>
        </w:rPr>
        <w:t>uaEM).</w:t>
      </w:r>
    </w:p>
    <w:p>
      <w:pPr>
        <w:spacing w:line="252" w:lineRule="auto" w:before="28"/>
        <w:ind w:left="497" w:right="862" w:hanging="397"/>
        <w:jc w:val="left"/>
        <w:rPr>
          <w:sz w:val="19"/>
        </w:rPr>
      </w:pPr>
      <w:r>
        <w:rPr>
          <w:w w:val="149"/>
          <w:sz w:val="19"/>
        </w:rPr>
        <w:t>s</w:t>
      </w:r>
      <w:r>
        <w:rPr>
          <w:w w:val="109"/>
          <w:sz w:val="19"/>
        </w:rPr>
        <w:t>uárez</w:t>
      </w:r>
      <w:r>
        <w:rPr>
          <w:spacing w:val="12"/>
          <w:sz w:val="19"/>
        </w:rPr>
        <w:t> </w:t>
      </w:r>
      <w:r>
        <w:rPr>
          <w:w w:val="149"/>
          <w:sz w:val="19"/>
        </w:rPr>
        <w:t>s</w:t>
      </w:r>
      <w:r>
        <w:rPr>
          <w:w w:val="112"/>
          <w:sz w:val="19"/>
        </w:rPr>
        <w:t>alaza</w:t>
      </w:r>
      <w:r>
        <w:rPr>
          <w:spacing w:val="-22"/>
          <w:w w:val="105"/>
          <w:sz w:val="19"/>
        </w:rPr>
        <w:t>r</w:t>
      </w:r>
      <w:r>
        <w:rPr>
          <w:w w:val="138"/>
          <w:sz w:val="19"/>
        </w:rPr>
        <w:t>,</w:t>
      </w:r>
      <w:r>
        <w:rPr>
          <w:spacing w:val="12"/>
          <w:sz w:val="19"/>
        </w:rPr>
        <w:t> </w:t>
      </w:r>
      <w:r>
        <w:rPr>
          <w:w w:val="243"/>
          <w:sz w:val="19"/>
        </w:rPr>
        <w:t>l</w:t>
      </w:r>
      <w:r>
        <w:rPr>
          <w:w w:val="111"/>
          <w:sz w:val="19"/>
        </w:rPr>
        <w:t>uis</w:t>
      </w:r>
      <w:r>
        <w:rPr>
          <w:spacing w:val="12"/>
          <w:sz w:val="19"/>
        </w:rPr>
        <w:t> </w:t>
      </w:r>
      <w:r>
        <w:rPr>
          <w:w w:val="102"/>
          <w:sz w:val="19"/>
        </w:rPr>
        <w:t>2011</w:t>
      </w:r>
      <w:r>
        <w:rPr>
          <w:spacing w:val="12"/>
          <w:sz w:val="19"/>
        </w:rPr>
        <w:t> </w:t>
      </w:r>
      <w:r>
        <w:rPr>
          <w:w w:val="115"/>
          <w:sz w:val="19"/>
        </w:rPr>
        <w:t>“</w:t>
      </w:r>
      <w:r>
        <w:rPr>
          <w:w w:val="243"/>
          <w:sz w:val="19"/>
        </w:rPr>
        <w:t>l</w:t>
      </w:r>
      <w:r>
        <w:rPr>
          <w:w w:val="112"/>
          <w:sz w:val="19"/>
        </w:rPr>
        <w:t>a</w:t>
      </w:r>
      <w:r>
        <w:rPr>
          <w:spacing w:val="12"/>
          <w:sz w:val="19"/>
        </w:rPr>
        <w:t> </w:t>
      </w:r>
      <w:r>
        <w:rPr>
          <w:w w:val="109"/>
          <w:sz w:val="19"/>
        </w:rPr>
        <w:t>contraofensiva</w:t>
      </w:r>
      <w:r>
        <w:rPr>
          <w:spacing w:val="12"/>
          <w:sz w:val="19"/>
        </w:rPr>
        <w:t> </w:t>
      </w:r>
      <w:r>
        <w:rPr>
          <w:w w:val="110"/>
          <w:sz w:val="19"/>
        </w:rPr>
        <w:t>plutocrática- </w:t>
      </w:r>
      <w:r>
        <w:rPr>
          <w:w w:val="115"/>
          <w:sz w:val="19"/>
        </w:rPr>
        <w:t>imperialista contra las naciones y los pueblos de nuestra </w:t>
      </w:r>
      <w:r>
        <w:rPr>
          <w:i/>
          <w:w w:val="115"/>
          <w:sz w:val="19"/>
        </w:rPr>
        <w:t>mayúscula</w:t>
      </w:r>
      <w:r>
        <w:rPr>
          <w:i/>
          <w:spacing w:val="-25"/>
          <w:w w:val="115"/>
          <w:sz w:val="19"/>
        </w:rPr>
        <w:t> </w:t>
      </w:r>
      <w:r>
        <w:rPr>
          <w:i/>
          <w:w w:val="115"/>
          <w:sz w:val="19"/>
        </w:rPr>
        <w:t>América</w:t>
      </w:r>
      <w:r>
        <w:rPr>
          <w:w w:val="115"/>
          <w:sz w:val="19"/>
        </w:rPr>
        <w:t>:</w:t>
      </w:r>
      <w:r>
        <w:rPr>
          <w:spacing w:val="-25"/>
          <w:w w:val="115"/>
          <w:sz w:val="19"/>
        </w:rPr>
        <w:t> </w:t>
      </w:r>
      <w:r>
        <w:rPr>
          <w:w w:val="115"/>
          <w:sz w:val="19"/>
        </w:rPr>
        <w:t>algunas</w:t>
      </w:r>
      <w:r>
        <w:rPr>
          <w:spacing w:val="-25"/>
          <w:w w:val="115"/>
          <w:sz w:val="19"/>
        </w:rPr>
        <w:t> </w:t>
      </w:r>
      <w:r>
        <w:rPr>
          <w:w w:val="115"/>
          <w:sz w:val="19"/>
        </w:rPr>
        <w:t>anticipaciones”,</w:t>
      </w:r>
      <w:r>
        <w:rPr>
          <w:spacing w:val="-24"/>
          <w:w w:val="115"/>
          <w:sz w:val="19"/>
        </w:rPr>
        <w:t> </w:t>
      </w:r>
      <w:r>
        <w:rPr>
          <w:w w:val="115"/>
          <w:sz w:val="19"/>
        </w:rPr>
        <w:t>en</w:t>
      </w:r>
      <w:r>
        <w:rPr>
          <w:spacing w:val="-25"/>
          <w:w w:val="115"/>
          <w:sz w:val="19"/>
        </w:rPr>
        <w:t> </w:t>
      </w:r>
      <w:r>
        <w:rPr>
          <w:i/>
          <w:w w:val="115"/>
          <w:sz w:val="19"/>
        </w:rPr>
        <w:t>Cuadernos </w:t>
      </w:r>
      <w:r>
        <w:rPr>
          <w:i/>
          <w:w w:val="115"/>
          <w:sz w:val="19"/>
        </w:rPr>
        <w:t>de</w:t>
      </w:r>
      <w:r>
        <w:rPr>
          <w:i/>
          <w:spacing w:val="-21"/>
          <w:w w:val="115"/>
          <w:sz w:val="19"/>
        </w:rPr>
        <w:t> </w:t>
      </w:r>
      <w:r>
        <w:rPr>
          <w:i/>
          <w:spacing w:val="-4"/>
          <w:w w:val="115"/>
          <w:sz w:val="19"/>
        </w:rPr>
        <w:t>Textos:</w:t>
      </w:r>
      <w:r>
        <w:rPr>
          <w:i/>
          <w:spacing w:val="-21"/>
          <w:w w:val="115"/>
          <w:sz w:val="19"/>
        </w:rPr>
        <w:t> </w:t>
      </w:r>
      <w:r>
        <w:rPr>
          <w:i/>
          <w:w w:val="115"/>
          <w:sz w:val="19"/>
        </w:rPr>
        <w:t>Historia</w:t>
      </w:r>
      <w:r>
        <w:rPr>
          <w:i/>
          <w:spacing w:val="-21"/>
          <w:w w:val="115"/>
          <w:sz w:val="19"/>
        </w:rPr>
        <w:t> </w:t>
      </w:r>
      <w:r>
        <w:rPr>
          <w:i/>
          <w:w w:val="115"/>
          <w:sz w:val="19"/>
        </w:rPr>
        <w:t>política</w:t>
      </w:r>
      <w:r>
        <w:rPr>
          <w:i/>
          <w:spacing w:val="-21"/>
          <w:w w:val="115"/>
          <w:sz w:val="19"/>
        </w:rPr>
        <w:t> </w:t>
      </w:r>
      <w:r>
        <w:rPr>
          <w:i/>
          <w:w w:val="115"/>
          <w:sz w:val="19"/>
        </w:rPr>
        <w:t>y</w:t>
      </w:r>
      <w:r>
        <w:rPr>
          <w:i/>
          <w:spacing w:val="-21"/>
          <w:w w:val="115"/>
          <w:sz w:val="19"/>
        </w:rPr>
        <w:t> </w:t>
      </w:r>
      <w:r>
        <w:rPr>
          <w:i/>
          <w:w w:val="115"/>
          <w:sz w:val="19"/>
        </w:rPr>
        <w:t>económica</w:t>
      </w:r>
      <w:r>
        <w:rPr>
          <w:i/>
          <w:spacing w:val="-21"/>
          <w:w w:val="115"/>
          <w:sz w:val="19"/>
        </w:rPr>
        <w:t> </w:t>
      </w:r>
      <w:r>
        <w:rPr>
          <w:i/>
          <w:w w:val="115"/>
          <w:sz w:val="19"/>
        </w:rPr>
        <w:t>de</w:t>
      </w:r>
      <w:r>
        <w:rPr>
          <w:i/>
          <w:spacing w:val="-21"/>
          <w:w w:val="115"/>
          <w:sz w:val="19"/>
        </w:rPr>
        <w:t> </w:t>
      </w:r>
      <w:r>
        <w:rPr>
          <w:i/>
          <w:w w:val="115"/>
          <w:sz w:val="19"/>
        </w:rPr>
        <w:t>América</w:t>
      </w:r>
      <w:r>
        <w:rPr>
          <w:i/>
          <w:spacing w:val="-21"/>
          <w:w w:val="115"/>
          <w:sz w:val="19"/>
        </w:rPr>
        <w:t> </w:t>
      </w:r>
      <w:r>
        <w:rPr>
          <w:i/>
          <w:w w:val="115"/>
          <w:sz w:val="19"/>
        </w:rPr>
        <w:t>Latina</w:t>
      </w:r>
      <w:r>
        <w:rPr>
          <w:w w:val="115"/>
          <w:sz w:val="19"/>
        </w:rPr>
        <w:t>,</w:t>
      </w:r>
    </w:p>
    <w:p>
      <w:pPr>
        <w:pStyle w:val="BodyText"/>
        <w:spacing w:line="252" w:lineRule="auto"/>
        <w:ind w:left="497" w:right="194"/>
      </w:pPr>
      <w:r>
        <w:rPr>
          <w:w w:val="110"/>
        </w:rPr>
        <w:t>Ministerio del Poder Popular para las Comunas y la Protección social de la república bolivariana de Venezuela, Caracas.</w:t>
      </w:r>
    </w:p>
    <w:p>
      <w:pPr>
        <w:pStyle w:val="BodyText"/>
        <w:spacing w:line="252" w:lineRule="auto" w:before="28"/>
        <w:ind w:left="497" w:right="375" w:hanging="397"/>
      </w:pPr>
      <w:r>
        <w:rPr>
          <w:w w:val="149"/>
        </w:rPr>
        <w:t>s</w:t>
      </w:r>
      <w:r>
        <w:rPr>
          <w:w w:val="109"/>
        </w:rPr>
        <w:t>uárez</w:t>
      </w:r>
      <w:r>
        <w:rPr>
          <w:spacing w:val="12"/>
        </w:rPr>
        <w:t> </w:t>
      </w:r>
      <w:r>
        <w:rPr>
          <w:w w:val="149"/>
        </w:rPr>
        <w:t>s</w:t>
      </w:r>
      <w:r>
        <w:rPr>
          <w:w w:val="112"/>
        </w:rPr>
        <w:t>alaza</w:t>
      </w:r>
      <w:r>
        <w:rPr>
          <w:spacing w:val="-22"/>
          <w:w w:val="105"/>
        </w:rPr>
        <w:t>r</w:t>
      </w:r>
      <w:r>
        <w:rPr>
          <w:w w:val="138"/>
        </w:rPr>
        <w:t>,</w:t>
      </w:r>
      <w:r>
        <w:rPr>
          <w:spacing w:val="12"/>
        </w:rPr>
        <w:t> </w:t>
      </w:r>
      <w:r>
        <w:rPr>
          <w:w w:val="243"/>
        </w:rPr>
        <w:t>l</w:t>
      </w:r>
      <w:r>
        <w:rPr>
          <w:w w:val="111"/>
        </w:rPr>
        <w:t>uis</w:t>
      </w:r>
      <w:r>
        <w:rPr>
          <w:spacing w:val="12"/>
        </w:rPr>
        <w:t> </w:t>
      </w:r>
      <w:r>
        <w:rPr>
          <w:w w:val="102"/>
        </w:rPr>
        <w:t>2012</w:t>
      </w:r>
      <w:r>
        <w:rPr>
          <w:spacing w:val="12"/>
        </w:rPr>
        <w:t> </w:t>
      </w:r>
      <w:r>
        <w:rPr>
          <w:w w:val="115"/>
        </w:rPr>
        <w:t>“</w:t>
      </w:r>
      <w:r>
        <w:rPr>
          <w:w w:val="243"/>
        </w:rPr>
        <w:t>l</w:t>
      </w:r>
      <w:r>
        <w:rPr>
          <w:w w:val="112"/>
        </w:rPr>
        <w:t>a</w:t>
      </w:r>
      <w:r>
        <w:rPr>
          <w:spacing w:val="12"/>
        </w:rPr>
        <w:t> </w:t>
      </w:r>
      <w:r>
        <w:rPr>
          <w:w w:val="109"/>
        </w:rPr>
        <w:t>contraofensiva</w:t>
      </w:r>
      <w:r>
        <w:rPr>
          <w:spacing w:val="12"/>
        </w:rPr>
        <w:t> </w:t>
      </w:r>
      <w:r>
        <w:rPr>
          <w:w w:val="110"/>
        </w:rPr>
        <w:t>plutocrática- </w:t>
      </w:r>
      <w:r>
        <w:rPr>
          <w:w w:val="120"/>
        </w:rPr>
        <w:t>imperialista contra las naciones y los pueblos de nuestra </w:t>
      </w:r>
      <w:r>
        <w:rPr>
          <w:i/>
          <w:w w:val="115"/>
        </w:rPr>
        <w:t>mayúscula</w:t>
      </w:r>
      <w:r>
        <w:rPr>
          <w:i/>
          <w:spacing w:val="-21"/>
          <w:w w:val="115"/>
        </w:rPr>
        <w:t> </w:t>
      </w:r>
      <w:r>
        <w:rPr>
          <w:i/>
          <w:w w:val="115"/>
        </w:rPr>
        <w:t>América</w:t>
      </w:r>
      <w:r>
        <w:rPr>
          <w:w w:val="115"/>
        </w:rPr>
        <w:t>:</w:t>
      </w:r>
      <w:r>
        <w:rPr>
          <w:spacing w:val="-21"/>
          <w:w w:val="115"/>
        </w:rPr>
        <w:t> </w:t>
      </w:r>
      <w:r>
        <w:rPr>
          <w:w w:val="115"/>
        </w:rPr>
        <w:t>apuntes</w:t>
      </w:r>
      <w:r>
        <w:rPr>
          <w:spacing w:val="-21"/>
          <w:w w:val="115"/>
        </w:rPr>
        <w:t> </w:t>
      </w:r>
      <w:r>
        <w:rPr>
          <w:w w:val="115"/>
        </w:rPr>
        <w:t>para</w:t>
      </w:r>
      <w:r>
        <w:rPr>
          <w:spacing w:val="-21"/>
          <w:w w:val="115"/>
        </w:rPr>
        <w:t> </w:t>
      </w:r>
      <w:r>
        <w:rPr>
          <w:w w:val="115"/>
        </w:rPr>
        <w:t>una</w:t>
      </w:r>
      <w:r>
        <w:rPr>
          <w:spacing w:val="-21"/>
          <w:w w:val="115"/>
        </w:rPr>
        <w:t> </w:t>
      </w:r>
      <w:r>
        <w:rPr>
          <w:w w:val="115"/>
        </w:rPr>
        <w:t>actualización”,</w:t>
      </w:r>
      <w:r>
        <w:rPr>
          <w:spacing w:val="-21"/>
          <w:w w:val="115"/>
        </w:rPr>
        <w:t> </w:t>
      </w:r>
      <w:r>
        <w:rPr>
          <w:w w:val="115"/>
        </w:rPr>
        <w:t>en</w:t>
      </w:r>
      <w:r>
        <w:rPr>
          <w:spacing w:val="-21"/>
          <w:w w:val="115"/>
        </w:rPr>
        <w:t> </w:t>
      </w:r>
      <w:r>
        <w:rPr>
          <w:i/>
          <w:w w:val="115"/>
        </w:rPr>
        <w:t>Política </w:t>
      </w:r>
      <w:r>
        <w:rPr>
          <w:i/>
          <w:w w:val="110"/>
        </w:rPr>
        <w:t>Internacional</w:t>
      </w:r>
      <w:r>
        <w:rPr>
          <w:i/>
          <w:spacing w:val="12"/>
        </w:rPr>
        <w:t> </w:t>
      </w:r>
      <w:r>
        <w:rPr>
          <w:w w:val="98"/>
        </w:rPr>
        <w:t>(</w:t>
      </w:r>
      <w:r>
        <w:rPr>
          <w:w w:val="243"/>
        </w:rPr>
        <w:t>l</w:t>
      </w:r>
      <w:r>
        <w:rPr>
          <w:w w:val="112"/>
        </w:rPr>
        <w:t>a</w:t>
      </w:r>
      <w:r>
        <w:rPr>
          <w:spacing w:val="12"/>
        </w:rPr>
        <w:t> </w:t>
      </w:r>
      <w:r>
        <w:rPr>
          <w:w w:val="113"/>
        </w:rPr>
        <w:t>Habana:</w:t>
      </w:r>
      <w:r>
        <w:rPr>
          <w:spacing w:val="12"/>
        </w:rPr>
        <w:t> </w:t>
      </w:r>
      <w:r>
        <w:rPr>
          <w:w w:val="156"/>
        </w:rPr>
        <w:t>isri</w:t>
      </w:r>
      <w:r>
        <w:rPr>
          <w:w w:val="112"/>
        </w:rPr>
        <w:t>).</w:t>
      </w:r>
    </w:p>
    <w:p>
      <w:pPr>
        <w:pStyle w:val="BodyText"/>
        <w:spacing w:line="252" w:lineRule="auto" w:before="28"/>
        <w:ind w:left="497" w:right="528" w:hanging="397"/>
      </w:pPr>
      <w:r>
        <w:rPr>
          <w:w w:val="149"/>
        </w:rPr>
        <w:t>s</w:t>
      </w:r>
      <w:r>
        <w:rPr>
          <w:w w:val="109"/>
        </w:rPr>
        <w:t>uárez</w:t>
      </w:r>
      <w:r>
        <w:rPr/>
        <w:t> </w:t>
      </w:r>
      <w:r>
        <w:rPr>
          <w:w w:val="149"/>
        </w:rPr>
        <w:t>s</w:t>
      </w:r>
      <w:r>
        <w:rPr>
          <w:w w:val="112"/>
        </w:rPr>
        <w:t>alaza</w:t>
      </w:r>
      <w:r>
        <w:rPr>
          <w:w w:val="105"/>
        </w:rPr>
        <w:t>r</w:t>
      </w:r>
      <w:r>
        <w:rPr>
          <w:w w:val="138"/>
        </w:rPr>
        <w:t>,</w:t>
      </w:r>
      <w:r>
        <w:rPr/>
        <w:t> </w:t>
      </w:r>
      <w:r>
        <w:rPr>
          <w:w w:val="243"/>
        </w:rPr>
        <w:t>l</w:t>
      </w:r>
      <w:r>
        <w:rPr>
          <w:w w:val="111"/>
        </w:rPr>
        <w:t>uis</w:t>
      </w:r>
      <w:r>
        <w:rPr/>
        <w:t> </w:t>
      </w:r>
      <w:r>
        <w:rPr>
          <w:w w:val="102"/>
        </w:rPr>
        <w:t>2014</w:t>
      </w:r>
      <w:r>
        <w:rPr/>
        <w:t> </w:t>
      </w:r>
      <w:r>
        <w:rPr>
          <w:w w:val="115"/>
        </w:rPr>
        <w:t>“</w:t>
      </w:r>
      <w:r>
        <w:rPr>
          <w:w w:val="243"/>
        </w:rPr>
        <w:t>l</w:t>
      </w:r>
      <w:r>
        <w:rPr>
          <w:w w:val="109"/>
        </w:rPr>
        <w:t>as</w:t>
      </w:r>
      <w:r>
        <w:rPr/>
        <w:t> </w:t>
      </w:r>
      <w:r>
        <w:rPr>
          <w:w w:val="109"/>
        </w:rPr>
        <w:t>relaciones</w:t>
      </w:r>
      <w:r>
        <w:rPr/>
        <w:t> </w:t>
      </w:r>
      <w:r>
        <w:rPr>
          <w:w w:val="109"/>
        </w:rPr>
        <w:t>oficiales</w:t>
      </w:r>
      <w:r>
        <w:rPr/>
        <w:t> </w:t>
      </w:r>
      <w:r>
        <w:rPr>
          <w:w w:val="106"/>
        </w:rPr>
        <w:t>entre</w:t>
      </w:r>
      <w:r>
        <w:rPr/>
        <w:t> </w:t>
      </w:r>
      <w:r>
        <w:rPr>
          <w:w w:val="115"/>
        </w:rPr>
        <w:t>Cuba</w:t>
      </w:r>
      <w:r>
        <w:rPr/>
        <w:t> </w:t>
      </w:r>
      <w:r>
        <w:rPr>
          <w:w w:val="105"/>
        </w:rPr>
        <w:t>y</w:t>
      </w:r>
      <w:r>
        <w:rPr/>
        <w:t> </w:t>
      </w:r>
      <w:r>
        <w:rPr>
          <w:w w:val="108"/>
        </w:rPr>
        <w:t>los </w:t>
      </w:r>
      <w:r>
        <w:rPr>
          <w:w w:val="110"/>
        </w:rPr>
        <w:t>Estados unidos entre 2014 y 2017: una mirada prospectiva y sudhemisférica”, ponencia presentada en el panel “Múltiples perspectivas sobre el pasado, el presente y el futuro de las relaciones entre Cuba y los Estados unidos” que se realizó en </w:t>
      </w:r>
      <w:r>
        <w:rPr>
          <w:w w:val="130"/>
        </w:rPr>
        <w:t>lasa,  </w:t>
      </w:r>
      <w:r>
        <w:rPr>
          <w:w w:val="110"/>
        </w:rPr>
        <w:t>Chicago,  2014.</w:t>
      </w:r>
    </w:p>
    <w:p>
      <w:pPr>
        <w:spacing w:line="252" w:lineRule="auto" w:before="28"/>
        <w:ind w:left="497" w:right="790" w:hanging="397"/>
        <w:jc w:val="left"/>
        <w:rPr>
          <w:sz w:val="19"/>
        </w:rPr>
      </w:pPr>
      <w:r>
        <w:rPr>
          <w:w w:val="115"/>
          <w:sz w:val="19"/>
        </w:rPr>
        <w:t>tickner, arelene 2014 </w:t>
      </w:r>
      <w:r>
        <w:rPr>
          <w:i/>
          <w:w w:val="115"/>
          <w:sz w:val="19"/>
        </w:rPr>
        <w:t>Colombia, the United States, and Security </w:t>
      </w:r>
      <w:r>
        <w:rPr>
          <w:i/>
          <w:w w:val="109"/>
          <w:sz w:val="19"/>
        </w:rPr>
        <w:t>Cooperation</w:t>
      </w:r>
      <w:r>
        <w:rPr>
          <w:i/>
          <w:sz w:val="19"/>
        </w:rPr>
        <w:t> </w:t>
      </w:r>
      <w:r>
        <w:rPr>
          <w:i/>
          <w:w w:val="107"/>
          <w:sz w:val="19"/>
        </w:rPr>
        <w:t>by</w:t>
      </w:r>
      <w:r>
        <w:rPr>
          <w:i/>
          <w:sz w:val="19"/>
        </w:rPr>
        <w:t> </w:t>
      </w:r>
      <w:r>
        <w:rPr>
          <w:i/>
          <w:w w:val="109"/>
          <w:sz w:val="19"/>
        </w:rPr>
        <w:t>Proxy</w:t>
      </w:r>
      <w:r>
        <w:rPr>
          <w:w w:val="138"/>
          <w:sz w:val="19"/>
        </w:rPr>
        <w:t>,</w:t>
      </w:r>
      <w:r>
        <w:rPr>
          <w:sz w:val="19"/>
        </w:rPr>
        <w:t> </w:t>
      </w:r>
      <w:r>
        <w:rPr>
          <w:w w:val="110"/>
          <w:sz w:val="19"/>
        </w:rPr>
        <w:t>W</w:t>
      </w:r>
      <w:r>
        <w:rPr>
          <w:w w:val="110"/>
          <w:sz w:val="19"/>
        </w:rPr>
        <w:t>ashington</w:t>
      </w:r>
      <w:r>
        <w:rPr>
          <w:sz w:val="19"/>
        </w:rPr>
        <w:t> </w:t>
      </w:r>
      <w:r>
        <w:rPr>
          <w:w w:val="149"/>
          <w:sz w:val="19"/>
        </w:rPr>
        <w:t>o</w:t>
      </w:r>
      <w:r>
        <w:rPr>
          <w:w w:val="118"/>
          <w:sz w:val="19"/>
        </w:rPr>
        <w:t>f</w:t>
      </w:r>
      <w:r>
        <w:rPr>
          <w:w w:val="107"/>
          <w:sz w:val="19"/>
        </w:rPr>
        <w:t>fice</w:t>
      </w:r>
      <w:r>
        <w:rPr>
          <w:sz w:val="19"/>
        </w:rPr>
        <w:t> </w:t>
      </w:r>
      <w:r>
        <w:rPr>
          <w:w w:val="111"/>
          <w:sz w:val="19"/>
        </w:rPr>
        <w:t>on</w:t>
      </w:r>
      <w:r>
        <w:rPr>
          <w:sz w:val="19"/>
        </w:rPr>
        <w:t> </w:t>
      </w:r>
      <w:r>
        <w:rPr>
          <w:w w:val="243"/>
          <w:sz w:val="19"/>
        </w:rPr>
        <w:t>l</w:t>
      </w:r>
      <w:r>
        <w:rPr>
          <w:w w:val="111"/>
          <w:sz w:val="19"/>
        </w:rPr>
        <w:t>atin</w:t>
      </w:r>
      <w:r>
        <w:rPr>
          <w:sz w:val="19"/>
        </w:rPr>
        <w:t> </w:t>
      </w:r>
      <w:r>
        <w:rPr>
          <w:w w:val="139"/>
          <w:sz w:val="19"/>
        </w:rPr>
        <w:t>a</w:t>
      </w:r>
      <w:r>
        <w:rPr>
          <w:w w:val="113"/>
          <w:sz w:val="19"/>
        </w:rPr>
        <w:t>merica, </w:t>
      </w:r>
      <w:r>
        <w:rPr>
          <w:w w:val="110"/>
          <w:sz w:val="19"/>
        </w:rPr>
        <w:t>marzo de 2014.</w:t>
      </w:r>
    </w:p>
    <w:p>
      <w:pPr>
        <w:pStyle w:val="BodyText"/>
        <w:spacing w:line="252" w:lineRule="auto" w:before="28"/>
        <w:ind w:left="497" w:right="528" w:hanging="397"/>
      </w:pPr>
      <w:r>
        <w:rPr>
          <w:w w:val="125"/>
        </w:rPr>
        <w:t>us </w:t>
      </w:r>
      <w:r>
        <w:rPr>
          <w:w w:val="110"/>
        </w:rPr>
        <w:t>Embassy 2013 declaración conjunta de los presidentes de Estados unidos y Perú: Hacia una alianza estratégica para el siglo </w:t>
      </w:r>
      <w:r>
        <w:rPr>
          <w:w w:val="125"/>
        </w:rPr>
        <w:t>xxi, </w:t>
      </w:r>
      <w:r>
        <w:rPr>
          <w:w w:val="110"/>
        </w:rPr>
        <w:t>Washington, 11 de junio de 2013, en </w:t>
      </w:r>
      <w:hyperlink r:id="rId108">
        <w:r>
          <w:rPr>
            <w:w w:val="110"/>
          </w:rPr>
          <w:t>&lt;http://goo.gl/</w:t>
        </w:r>
      </w:hyperlink>
      <w:r>
        <w:rPr>
          <w:w w:val="110"/>
        </w:rPr>
        <w:t> Wwduio&gt; acceso 13 de marzo de  2014.</w:t>
      </w:r>
    </w:p>
    <w:p>
      <w:pPr>
        <w:spacing w:line="252" w:lineRule="auto" w:before="28"/>
        <w:ind w:left="497" w:right="1193" w:hanging="397"/>
        <w:jc w:val="left"/>
        <w:rPr>
          <w:sz w:val="19"/>
        </w:rPr>
      </w:pPr>
      <w:r>
        <w:rPr>
          <w:i/>
          <w:spacing w:val="-5"/>
          <w:w w:val="115"/>
          <w:sz w:val="19"/>
        </w:rPr>
        <w:t>Voz</w:t>
      </w:r>
      <w:r>
        <w:rPr>
          <w:i/>
          <w:spacing w:val="-16"/>
          <w:w w:val="115"/>
          <w:sz w:val="19"/>
        </w:rPr>
        <w:t> </w:t>
      </w:r>
      <w:r>
        <w:rPr>
          <w:i/>
          <w:w w:val="115"/>
          <w:sz w:val="19"/>
        </w:rPr>
        <w:t>de</w:t>
      </w:r>
      <w:r>
        <w:rPr>
          <w:i/>
          <w:spacing w:val="-16"/>
          <w:w w:val="115"/>
          <w:sz w:val="19"/>
        </w:rPr>
        <w:t> </w:t>
      </w:r>
      <w:r>
        <w:rPr>
          <w:i/>
          <w:w w:val="115"/>
          <w:sz w:val="19"/>
        </w:rPr>
        <w:t>América</w:t>
      </w:r>
      <w:r>
        <w:rPr>
          <w:i/>
          <w:spacing w:val="-16"/>
          <w:w w:val="115"/>
          <w:sz w:val="19"/>
        </w:rPr>
        <w:t> </w:t>
      </w:r>
      <w:r>
        <w:rPr>
          <w:w w:val="115"/>
          <w:sz w:val="19"/>
        </w:rPr>
        <w:t>2014</w:t>
      </w:r>
      <w:r>
        <w:rPr>
          <w:spacing w:val="-16"/>
          <w:w w:val="115"/>
          <w:sz w:val="19"/>
        </w:rPr>
        <w:t> </w:t>
      </w:r>
      <w:r>
        <w:rPr>
          <w:w w:val="115"/>
          <w:sz w:val="19"/>
        </w:rPr>
        <w:t>“EE.uu.:</w:t>
      </w:r>
      <w:r>
        <w:rPr>
          <w:spacing w:val="-16"/>
          <w:w w:val="115"/>
          <w:sz w:val="19"/>
        </w:rPr>
        <w:t> </w:t>
      </w:r>
      <w:r>
        <w:rPr>
          <w:w w:val="115"/>
          <w:sz w:val="19"/>
        </w:rPr>
        <w:t>Venezuela</w:t>
      </w:r>
      <w:r>
        <w:rPr>
          <w:spacing w:val="-16"/>
          <w:w w:val="115"/>
          <w:sz w:val="19"/>
        </w:rPr>
        <w:t> </w:t>
      </w:r>
      <w:r>
        <w:rPr>
          <w:w w:val="115"/>
          <w:sz w:val="19"/>
        </w:rPr>
        <w:t>necesita</w:t>
      </w:r>
      <w:r>
        <w:rPr>
          <w:spacing w:val="-16"/>
          <w:w w:val="115"/>
          <w:sz w:val="19"/>
        </w:rPr>
        <w:t> </w:t>
      </w:r>
      <w:r>
        <w:rPr>
          <w:w w:val="115"/>
          <w:sz w:val="19"/>
        </w:rPr>
        <w:t>mediador imparcial”,</w:t>
      </w:r>
      <w:r>
        <w:rPr>
          <w:spacing w:val="-18"/>
          <w:w w:val="115"/>
          <w:sz w:val="19"/>
        </w:rPr>
        <w:t> </w:t>
      </w:r>
      <w:r>
        <w:rPr>
          <w:w w:val="115"/>
          <w:sz w:val="19"/>
        </w:rPr>
        <w:t>en</w:t>
      </w:r>
      <w:r>
        <w:rPr>
          <w:spacing w:val="-18"/>
          <w:w w:val="115"/>
          <w:sz w:val="19"/>
        </w:rPr>
        <w:t> </w:t>
      </w:r>
      <w:r>
        <w:rPr>
          <w:i/>
          <w:spacing w:val="-5"/>
          <w:w w:val="115"/>
          <w:sz w:val="19"/>
        </w:rPr>
        <w:t>Voz</w:t>
      </w:r>
      <w:r>
        <w:rPr>
          <w:i/>
          <w:spacing w:val="-18"/>
          <w:w w:val="115"/>
          <w:sz w:val="19"/>
        </w:rPr>
        <w:t> </w:t>
      </w:r>
      <w:r>
        <w:rPr>
          <w:i/>
          <w:w w:val="115"/>
          <w:sz w:val="19"/>
        </w:rPr>
        <w:t>de</w:t>
      </w:r>
      <w:r>
        <w:rPr>
          <w:i/>
          <w:spacing w:val="-18"/>
          <w:w w:val="115"/>
          <w:sz w:val="19"/>
        </w:rPr>
        <w:t> </w:t>
      </w:r>
      <w:r>
        <w:rPr>
          <w:i/>
          <w:w w:val="115"/>
          <w:sz w:val="19"/>
        </w:rPr>
        <w:t>América</w:t>
      </w:r>
      <w:r>
        <w:rPr>
          <w:w w:val="115"/>
          <w:sz w:val="19"/>
        </w:rPr>
        <w:t>,</w:t>
      </w:r>
      <w:r>
        <w:rPr>
          <w:spacing w:val="-18"/>
          <w:w w:val="115"/>
          <w:sz w:val="19"/>
        </w:rPr>
        <w:t> </w:t>
      </w:r>
      <w:r>
        <w:rPr>
          <w:w w:val="115"/>
          <w:sz w:val="19"/>
        </w:rPr>
        <w:t>18</w:t>
      </w:r>
      <w:r>
        <w:rPr>
          <w:spacing w:val="-18"/>
          <w:w w:val="115"/>
          <w:sz w:val="19"/>
        </w:rPr>
        <w:t> </w:t>
      </w:r>
      <w:r>
        <w:rPr>
          <w:w w:val="115"/>
          <w:sz w:val="19"/>
        </w:rPr>
        <w:t>de</w:t>
      </w:r>
      <w:r>
        <w:rPr>
          <w:spacing w:val="-18"/>
          <w:w w:val="115"/>
          <w:sz w:val="19"/>
        </w:rPr>
        <w:t> </w:t>
      </w:r>
      <w:r>
        <w:rPr>
          <w:w w:val="115"/>
          <w:sz w:val="19"/>
        </w:rPr>
        <w:t>marzo</w:t>
      </w:r>
      <w:r>
        <w:rPr>
          <w:spacing w:val="-18"/>
          <w:w w:val="115"/>
          <w:sz w:val="19"/>
        </w:rPr>
        <w:t> </w:t>
      </w:r>
      <w:r>
        <w:rPr>
          <w:w w:val="115"/>
          <w:sz w:val="19"/>
        </w:rPr>
        <w:t>de</w:t>
      </w:r>
      <w:r>
        <w:rPr>
          <w:spacing w:val="-18"/>
          <w:w w:val="115"/>
          <w:sz w:val="19"/>
        </w:rPr>
        <w:t> </w:t>
      </w:r>
      <w:r>
        <w:rPr>
          <w:w w:val="115"/>
          <w:sz w:val="19"/>
        </w:rPr>
        <w:t>2014.</w:t>
      </w:r>
    </w:p>
    <w:p>
      <w:pPr>
        <w:pStyle w:val="BodyText"/>
        <w:spacing w:line="252" w:lineRule="auto" w:before="28"/>
        <w:ind w:left="497" w:hanging="397"/>
      </w:pPr>
      <w:r>
        <w:rPr>
          <w:w w:val="130"/>
        </w:rPr>
        <w:t>Wola </w:t>
      </w:r>
      <w:r>
        <w:rPr>
          <w:w w:val="110"/>
        </w:rPr>
        <w:t>2014 “seguridad, migración y la crisis humanitaria en la otra frontera de México”, 17 de junio de 2014.</w:t>
      </w:r>
    </w:p>
    <w:p>
      <w:pPr>
        <w:spacing w:line="252" w:lineRule="auto" w:before="28"/>
        <w:ind w:left="497" w:right="114" w:hanging="397"/>
        <w:jc w:val="left"/>
        <w:rPr>
          <w:sz w:val="19"/>
        </w:rPr>
      </w:pPr>
      <w:r>
        <w:rPr>
          <w:w w:val="110"/>
          <w:sz w:val="19"/>
        </w:rPr>
        <w:t>Zibechi, raúl 2012 </w:t>
      </w:r>
      <w:r>
        <w:rPr>
          <w:i/>
          <w:w w:val="110"/>
          <w:sz w:val="19"/>
        </w:rPr>
        <w:t>Brasil potencia: entre la integración regional y un </w:t>
      </w:r>
      <w:r>
        <w:rPr>
          <w:i/>
          <w:w w:val="110"/>
          <w:sz w:val="19"/>
        </w:rPr>
        <w:t>nuevo imperialismo </w:t>
      </w:r>
      <w:r>
        <w:rPr>
          <w:w w:val="110"/>
          <w:sz w:val="19"/>
        </w:rPr>
        <w:t>(bogotá: Ediciones desde   abajo).</w:t>
      </w:r>
    </w:p>
    <w:p>
      <w:pPr>
        <w:spacing w:after="0" w:line="252" w:lineRule="auto"/>
        <w:jc w:val="left"/>
        <w:rPr>
          <w:sz w:val="19"/>
        </w:rPr>
        <w:sectPr>
          <w:pgSz w:w="8790" w:h="12760"/>
          <w:pgMar w:header="697" w:footer="723" w:top="880" w:bottom="920" w:left="920" w:right="1200"/>
        </w:sectPr>
      </w:pPr>
    </w:p>
    <w:p>
      <w:pPr>
        <w:pStyle w:val="BodyText"/>
        <w:spacing w:before="4"/>
        <w:rPr>
          <w:rFonts w:ascii="Times New Roman"/>
          <w:sz w:val="17"/>
        </w:rPr>
      </w:pPr>
    </w:p>
    <w:p>
      <w:pPr>
        <w:spacing w:after="0"/>
        <w:rPr>
          <w:rFonts w:ascii="Times New Roman"/>
          <w:sz w:val="17"/>
        </w:rPr>
        <w:sectPr>
          <w:headerReference w:type="default" r:id="rId494"/>
          <w:footerReference w:type="default" r:id="rId495"/>
          <w:pgSz w:w="8790" w:h="12760"/>
          <w:pgMar w:header="0" w:footer="0" w:top="1180" w:bottom="280" w:left="1200" w:right="12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pStyle w:val="Heading3"/>
      </w:pPr>
      <w:r>
        <w:rPr/>
        <w:t>Leandro Morgenfeld*</w:t>
      </w:r>
    </w:p>
    <w:p>
      <w:pPr>
        <w:pStyle w:val="BodyText"/>
        <w:spacing w:before="9"/>
        <w:rPr>
          <w:sz w:val="20"/>
        </w:rPr>
      </w:pPr>
    </w:p>
    <w:p>
      <w:pPr>
        <w:spacing w:line="340" w:lineRule="exact" w:before="0"/>
        <w:ind w:left="145" w:right="370" w:firstLine="0"/>
        <w:jc w:val="center"/>
        <w:rPr>
          <w:rFonts w:ascii="Times New Roman" w:hAnsi="Times New Roman"/>
          <w:b/>
          <w:sz w:val="30"/>
        </w:rPr>
      </w:pPr>
      <w:r>
        <w:rPr>
          <w:rFonts w:ascii="Times New Roman" w:hAnsi="Times New Roman"/>
          <w:b/>
          <w:w w:val="140"/>
          <w:sz w:val="30"/>
        </w:rPr>
        <w:t>estados</w:t>
      </w:r>
      <w:r>
        <w:rPr>
          <w:rFonts w:ascii="Times New Roman" w:hAnsi="Times New Roman"/>
          <w:b/>
          <w:spacing w:val="-60"/>
          <w:w w:val="140"/>
          <w:sz w:val="30"/>
        </w:rPr>
        <w:t> </w:t>
      </w:r>
      <w:r>
        <w:rPr>
          <w:rFonts w:ascii="Times New Roman" w:hAnsi="Times New Roman"/>
          <w:b/>
          <w:spacing w:val="3"/>
          <w:w w:val="140"/>
          <w:sz w:val="30"/>
        </w:rPr>
        <w:t>unidos</w:t>
      </w:r>
      <w:r>
        <w:rPr>
          <w:rFonts w:ascii="Times New Roman" w:hAnsi="Times New Roman"/>
          <w:b/>
          <w:spacing w:val="-60"/>
          <w:w w:val="140"/>
          <w:sz w:val="30"/>
        </w:rPr>
        <w:t> </w:t>
      </w:r>
      <w:r>
        <w:rPr>
          <w:rFonts w:ascii="Times New Roman" w:hAnsi="Times New Roman"/>
          <w:b/>
          <w:w w:val="140"/>
          <w:sz w:val="30"/>
        </w:rPr>
        <w:t>y</w:t>
      </w:r>
      <w:r>
        <w:rPr>
          <w:rFonts w:ascii="Times New Roman" w:hAnsi="Times New Roman"/>
          <w:b/>
          <w:spacing w:val="-60"/>
          <w:w w:val="140"/>
          <w:sz w:val="30"/>
        </w:rPr>
        <w:t> </w:t>
      </w:r>
      <w:r>
        <w:rPr>
          <w:rFonts w:ascii="Times New Roman" w:hAnsi="Times New Roman"/>
          <w:b/>
          <w:w w:val="140"/>
          <w:sz w:val="30"/>
        </w:rPr>
        <w:t>sus</w:t>
      </w:r>
      <w:r>
        <w:rPr>
          <w:rFonts w:ascii="Times New Roman" w:hAnsi="Times New Roman"/>
          <w:b/>
          <w:spacing w:val="-60"/>
          <w:w w:val="140"/>
          <w:sz w:val="30"/>
        </w:rPr>
        <w:t> </w:t>
      </w:r>
      <w:r>
        <w:rPr>
          <w:rFonts w:ascii="Times New Roman" w:hAnsi="Times New Roman"/>
          <w:b/>
          <w:spacing w:val="2"/>
          <w:w w:val="140"/>
          <w:sz w:val="30"/>
        </w:rPr>
        <w:t>vecinos</w:t>
      </w:r>
      <w:r>
        <w:rPr>
          <w:rFonts w:ascii="Times New Roman" w:hAnsi="Times New Roman"/>
          <w:b/>
          <w:spacing w:val="-60"/>
          <w:w w:val="140"/>
          <w:sz w:val="30"/>
        </w:rPr>
        <w:t> </w:t>
      </w:r>
      <w:r>
        <w:rPr>
          <w:rFonts w:ascii="Times New Roman" w:hAnsi="Times New Roman"/>
          <w:b/>
          <w:spacing w:val="2"/>
          <w:w w:val="140"/>
          <w:sz w:val="30"/>
        </w:rPr>
        <w:t>del</w:t>
      </w:r>
      <w:r>
        <w:rPr>
          <w:rFonts w:ascii="Times New Roman" w:hAnsi="Times New Roman"/>
          <w:b/>
          <w:spacing w:val="-60"/>
          <w:w w:val="140"/>
          <w:sz w:val="30"/>
        </w:rPr>
        <w:t> </w:t>
      </w:r>
      <w:r>
        <w:rPr>
          <w:rFonts w:ascii="Times New Roman" w:hAnsi="Times New Roman"/>
          <w:b/>
          <w:spacing w:val="2"/>
          <w:w w:val="140"/>
          <w:sz w:val="30"/>
        </w:rPr>
        <w:t>sur </w:t>
      </w:r>
      <w:r>
        <w:rPr>
          <w:rFonts w:ascii="Times New Roman" w:hAnsi="Times New Roman"/>
          <w:b/>
          <w:w w:val="135"/>
          <w:sz w:val="30"/>
        </w:rPr>
        <w:t>en</w:t>
      </w:r>
      <w:r>
        <w:rPr>
          <w:rFonts w:ascii="Times New Roman" w:hAnsi="Times New Roman"/>
          <w:b/>
          <w:spacing w:val="-76"/>
          <w:w w:val="135"/>
          <w:sz w:val="30"/>
        </w:rPr>
        <w:t> </w:t>
      </w:r>
      <w:r>
        <w:rPr>
          <w:rFonts w:ascii="Times New Roman" w:hAnsi="Times New Roman"/>
          <w:b/>
          <w:spacing w:val="4"/>
          <w:w w:val="135"/>
          <w:sz w:val="30"/>
        </w:rPr>
        <w:t>las</w:t>
      </w:r>
      <w:r>
        <w:rPr>
          <w:rFonts w:ascii="Times New Roman" w:hAnsi="Times New Roman"/>
          <w:b/>
          <w:spacing w:val="-76"/>
          <w:w w:val="135"/>
          <w:sz w:val="30"/>
        </w:rPr>
        <w:t> </w:t>
      </w:r>
      <w:r>
        <w:rPr>
          <w:rFonts w:ascii="Times New Roman" w:hAnsi="Times New Roman"/>
          <w:b/>
          <w:spacing w:val="2"/>
          <w:w w:val="135"/>
          <w:sz w:val="30"/>
        </w:rPr>
        <w:t>cuMBres</w:t>
      </w:r>
      <w:r>
        <w:rPr>
          <w:rFonts w:ascii="Times New Roman" w:hAnsi="Times New Roman"/>
          <w:b/>
          <w:spacing w:val="-76"/>
          <w:w w:val="135"/>
          <w:sz w:val="30"/>
        </w:rPr>
        <w:t> </w:t>
      </w:r>
      <w:r>
        <w:rPr>
          <w:rFonts w:ascii="Times New Roman" w:hAnsi="Times New Roman"/>
          <w:b/>
          <w:w w:val="135"/>
          <w:sz w:val="30"/>
        </w:rPr>
        <w:t>de</w:t>
      </w:r>
      <w:r>
        <w:rPr>
          <w:rFonts w:ascii="Times New Roman" w:hAnsi="Times New Roman"/>
          <w:b/>
          <w:spacing w:val="-76"/>
          <w:w w:val="135"/>
          <w:sz w:val="30"/>
        </w:rPr>
        <w:t> </w:t>
      </w:r>
      <w:r>
        <w:rPr>
          <w:rFonts w:ascii="Times New Roman" w:hAnsi="Times New Roman"/>
          <w:b/>
          <w:spacing w:val="4"/>
          <w:w w:val="135"/>
          <w:sz w:val="30"/>
        </w:rPr>
        <w:t>las</w:t>
      </w:r>
      <w:r>
        <w:rPr>
          <w:rFonts w:ascii="Times New Roman" w:hAnsi="Times New Roman"/>
          <w:b/>
          <w:spacing w:val="-76"/>
          <w:w w:val="135"/>
          <w:sz w:val="30"/>
        </w:rPr>
        <w:t> </w:t>
      </w:r>
      <w:r>
        <w:rPr>
          <w:rFonts w:ascii="Times New Roman" w:hAnsi="Times New Roman"/>
          <w:b/>
          <w:spacing w:val="3"/>
          <w:w w:val="135"/>
          <w:sz w:val="30"/>
        </w:rPr>
        <w:t>aMéricas</w:t>
      </w:r>
    </w:p>
    <w:p>
      <w:pPr>
        <w:pStyle w:val="Heading4"/>
        <w:ind w:left="1160"/>
        <w:rPr>
          <w:rFonts w:ascii="Times New Roman" w:hAnsi="Times New Roman"/>
        </w:rPr>
      </w:pPr>
      <w:r>
        <w:rPr>
          <w:rFonts w:ascii="Times New Roman" w:hAnsi="Times New Roman"/>
          <w:w w:val="140"/>
        </w:rPr>
        <w:t>de</w:t>
      </w:r>
      <w:r>
        <w:rPr>
          <w:rFonts w:ascii="Times New Roman" w:hAnsi="Times New Roman"/>
          <w:spacing w:val="-59"/>
          <w:w w:val="140"/>
        </w:rPr>
        <w:t> </w:t>
      </w:r>
      <w:r>
        <w:rPr>
          <w:rFonts w:ascii="Times New Roman" w:hAnsi="Times New Roman"/>
          <w:spacing w:val="4"/>
          <w:w w:val="140"/>
        </w:rPr>
        <w:t>la</w:t>
      </w:r>
      <w:r>
        <w:rPr>
          <w:rFonts w:ascii="Times New Roman" w:hAnsi="Times New Roman"/>
          <w:spacing w:val="-59"/>
          <w:w w:val="140"/>
        </w:rPr>
        <w:t> </w:t>
      </w:r>
      <w:r>
        <w:rPr>
          <w:rFonts w:ascii="Times New Roman" w:hAnsi="Times New Roman"/>
          <w:w w:val="140"/>
        </w:rPr>
        <w:t>suBordinación</w:t>
      </w:r>
      <w:r>
        <w:rPr>
          <w:rFonts w:ascii="Times New Roman" w:hAnsi="Times New Roman"/>
          <w:spacing w:val="-59"/>
          <w:w w:val="140"/>
        </w:rPr>
        <w:t> </w:t>
      </w:r>
      <w:r>
        <w:rPr>
          <w:rFonts w:ascii="Times New Roman" w:hAnsi="Times New Roman"/>
          <w:w w:val="140"/>
        </w:rPr>
        <w:t>al</w:t>
      </w:r>
      <w:r>
        <w:rPr>
          <w:rFonts w:ascii="Times New Roman" w:hAnsi="Times New Roman"/>
          <w:spacing w:val="-59"/>
          <w:w w:val="140"/>
        </w:rPr>
        <w:t> </w:t>
      </w:r>
      <w:r>
        <w:rPr>
          <w:rFonts w:ascii="Times New Roman" w:hAnsi="Times New Roman"/>
          <w:w w:val="140"/>
        </w:rPr>
        <w:t>desafÍo</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spacing w:before="9"/>
        <w:rPr>
          <w:rFonts w:ascii="Times New Roman"/>
          <w:b/>
          <w:sz w:val="20"/>
        </w:rPr>
      </w:pPr>
    </w:p>
    <w:p>
      <w:pPr>
        <w:pStyle w:val="Heading6"/>
      </w:pPr>
      <w:r>
        <w:rPr>
          <w:w w:val="140"/>
        </w:rPr>
        <w:t>introducción</w:t>
      </w:r>
    </w:p>
    <w:p>
      <w:pPr>
        <w:pStyle w:val="BodyText"/>
        <w:spacing w:line="252" w:lineRule="auto" w:before="10"/>
        <w:ind w:left="100" w:right="328"/>
        <w:jc w:val="both"/>
      </w:pPr>
      <w:r>
        <w:rPr>
          <w:w w:val="243"/>
        </w:rPr>
        <w:t>l</w:t>
      </w:r>
      <w:r>
        <w:rPr>
          <w:w w:val="109"/>
        </w:rPr>
        <w:t>uego</w:t>
      </w:r>
      <w:r>
        <w:rPr>
          <w:spacing w:val="9"/>
        </w:rPr>
        <w:t> </w:t>
      </w:r>
      <w:r>
        <w:rPr>
          <w:w w:val="107"/>
        </w:rPr>
        <w:t>de</w:t>
      </w:r>
      <w:r>
        <w:rPr>
          <w:spacing w:val="9"/>
        </w:rPr>
        <w:t> </w:t>
      </w:r>
      <w:r>
        <w:rPr>
          <w:w w:val="111"/>
        </w:rPr>
        <w:t>la</w:t>
      </w:r>
      <w:r>
        <w:rPr>
          <w:spacing w:val="9"/>
        </w:rPr>
        <w:t> </w:t>
      </w:r>
      <w:r>
        <w:rPr>
          <w:w w:val="149"/>
        </w:rPr>
        <w:t>s</w:t>
      </w:r>
      <w:r>
        <w:rPr>
          <w:w w:val="110"/>
        </w:rPr>
        <w:t>egunda</w:t>
      </w:r>
      <w:r>
        <w:rPr>
          <w:spacing w:val="9"/>
        </w:rPr>
        <w:t> </w:t>
      </w:r>
      <w:r>
        <w:rPr>
          <w:w w:val="112"/>
        </w:rPr>
        <w:t>Guerra</w:t>
      </w:r>
      <w:r>
        <w:rPr>
          <w:spacing w:val="9"/>
        </w:rPr>
        <w:t> </w:t>
      </w:r>
      <w:r>
        <w:rPr>
          <w:w w:val="115"/>
        </w:rPr>
        <w:t>Mundial,</w:t>
      </w:r>
      <w:r>
        <w:rPr>
          <w:spacing w:val="9"/>
        </w:rPr>
        <w:t> </w:t>
      </w:r>
      <w:r>
        <w:rPr>
          <w:w w:val="111"/>
        </w:rPr>
        <w:t>Estados</w:t>
      </w:r>
      <w:r>
        <w:rPr>
          <w:spacing w:val="9"/>
        </w:rPr>
        <w:t> </w:t>
      </w:r>
      <w:r>
        <w:rPr>
          <w:w w:val="140"/>
        </w:rPr>
        <w:t>u</w:t>
      </w:r>
      <w:r>
        <w:rPr>
          <w:w w:val="110"/>
        </w:rPr>
        <w:t>nidos</w:t>
      </w:r>
      <w:r>
        <w:rPr>
          <w:spacing w:val="9"/>
        </w:rPr>
        <w:t> </w:t>
      </w:r>
      <w:r>
        <w:rPr>
          <w:w w:val="109"/>
        </w:rPr>
        <w:t>logró</w:t>
      </w:r>
      <w:r>
        <w:rPr>
          <w:spacing w:val="9"/>
        </w:rPr>
        <w:t> </w:t>
      </w:r>
      <w:r>
        <w:rPr>
          <w:w w:val="109"/>
        </w:rPr>
        <w:t>terminar </w:t>
      </w:r>
      <w:r>
        <w:rPr>
          <w:w w:val="115"/>
        </w:rPr>
        <w:t>de</w:t>
      </w:r>
      <w:r>
        <w:rPr>
          <w:spacing w:val="-12"/>
          <w:w w:val="115"/>
        </w:rPr>
        <w:t> </w:t>
      </w:r>
      <w:r>
        <w:rPr>
          <w:w w:val="115"/>
        </w:rPr>
        <w:t>desplazar</w:t>
      </w:r>
      <w:r>
        <w:rPr>
          <w:spacing w:val="-12"/>
          <w:w w:val="115"/>
        </w:rPr>
        <w:t> </w:t>
      </w:r>
      <w:r>
        <w:rPr>
          <w:w w:val="115"/>
        </w:rPr>
        <w:t>a</w:t>
      </w:r>
      <w:r>
        <w:rPr>
          <w:spacing w:val="-12"/>
          <w:w w:val="115"/>
        </w:rPr>
        <w:t> </w:t>
      </w:r>
      <w:r>
        <w:rPr>
          <w:w w:val="115"/>
        </w:rPr>
        <w:t>las</w:t>
      </w:r>
      <w:r>
        <w:rPr>
          <w:spacing w:val="-12"/>
          <w:w w:val="115"/>
        </w:rPr>
        <w:t> </w:t>
      </w:r>
      <w:r>
        <w:rPr>
          <w:w w:val="115"/>
        </w:rPr>
        <w:t>potencias</w:t>
      </w:r>
      <w:r>
        <w:rPr>
          <w:spacing w:val="-12"/>
          <w:w w:val="115"/>
        </w:rPr>
        <w:t> </w:t>
      </w:r>
      <w:r>
        <w:rPr>
          <w:w w:val="115"/>
        </w:rPr>
        <w:t>europeas</w:t>
      </w:r>
      <w:r>
        <w:rPr>
          <w:spacing w:val="-12"/>
          <w:w w:val="115"/>
        </w:rPr>
        <w:t> </w:t>
      </w:r>
      <w:r>
        <w:rPr>
          <w:w w:val="115"/>
        </w:rPr>
        <w:t>y</w:t>
      </w:r>
      <w:r>
        <w:rPr>
          <w:spacing w:val="-12"/>
          <w:w w:val="115"/>
        </w:rPr>
        <w:t> </w:t>
      </w:r>
      <w:r>
        <w:rPr>
          <w:w w:val="115"/>
        </w:rPr>
        <w:t>erigirse</w:t>
      </w:r>
      <w:r>
        <w:rPr>
          <w:spacing w:val="-12"/>
          <w:w w:val="115"/>
        </w:rPr>
        <w:t> </w:t>
      </w:r>
      <w:r>
        <w:rPr>
          <w:w w:val="115"/>
        </w:rPr>
        <w:t>como</w:t>
      </w:r>
      <w:r>
        <w:rPr>
          <w:spacing w:val="-12"/>
          <w:w w:val="115"/>
        </w:rPr>
        <w:t> </w:t>
      </w:r>
      <w:r>
        <w:rPr>
          <w:w w:val="115"/>
        </w:rPr>
        <w:t>el</w:t>
      </w:r>
      <w:r>
        <w:rPr>
          <w:spacing w:val="-12"/>
          <w:w w:val="115"/>
        </w:rPr>
        <w:t> </w:t>
      </w:r>
      <w:r>
        <w:rPr>
          <w:w w:val="115"/>
        </w:rPr>
        <w:t>poder</w:t>
      </w:r>
      <w:r>
        <w:rPr>
          <w:spacing w:val="-12"/>
          <w:w w:val="115"/>
        </w:rPr>
        <w:t> </w:t>
      </w:r>
      <w:r>
        <w:rPr>
          <w:w w:val="115"/>
        </w:rPr>
        <w:t>hege- mónico en américa. Consiguió fortalecer el sistema</w:t>
      </w:r>
      <w:r>
        <w:rPr>
          <w:spacing w:val="-19"/>
          <w:w w:val="115"/>
        </w:rPr>
        <w:t> </w:t>
      </w:r>
      <w:r>
        <w:rPr>
          <w:w w:val="115"/>
        </w:rPr>
        <w:t>interamericano, </w:t>
      </w:r>
      <w:r>
        <w:rPr>
          <w:w w:val="120"/>
        </w:rPr>
        <w:t>acordar</w:t>
      </w:r>
      <w:r>
        <w:rPr>
          <w:spacing w:val="-21"/>
          <w:w w:val="120"/>
        </w:rPr>
        <w:t> </w:t>
      </w:r>
      <w:r>
        <w:rPr>
          <w:w w:val="120"/>
        </w:rPr>
        <w:t>en</w:t>
      </w:r>
      <w:r>
        <w:rPr>
          <w:spacing w:val="-21"/>
          <w:w w:val="120"/>
        </w:rPr>
        <w:t> </w:t>
      </w:r>
      <w:r>
        <w:rPr>
          <w:w w:val="120"/>
        </w:rPr>
        <w:t>1947</w:t>
      </w:r>
      <w:r>
        <w:rPr>
          <w:spacing w:val="-21"/>
          <w:w w:val="120"/>
        </w:rPr>
        <w:t> </w:t>
      </w:r>
      <w:r>
        <w:rPr>
          <w:w w:val="120"/>
        </w:rPr>
        <w:t>el</w:t>
      </w:r>
      <w:r>
        <w:rPr>
          <w:spacing w:val="-21"/>
          <w:w w:val="120"/>
        </w:rPr>
        <w:t> </w:t>
      </w:r>
      <w:r>
        <w:rPr>
          <w:spacing w:val="-3"/>
          <w:w w:val="120"/>
        </w:rPr>
        <w:t>tratado</w:t>
      </w:r>
      <w:r>
        <w:rPr>
          <w:spacing w:val="-21"/>
          <w:w w:val="120"/>
        </w:rPr>
        <w:t> </w:t>
      </w:r>
      <w:r>
        <w:rPr>
          <w:w w:val="120"/>
        </w:rPr>
        <w:t>interamericano</w:t>
      </w:r>
      <w:r>
        <w:rPr>
          <w:spacing w:val="-21"/>
          <w:w w:val="120"/>
        </w:rPr>
        <w:t> </w:t>
      </w:r>
      <w:r>
        <w:rPr>
          <w:w w:val="120"/>
        </w:rPr>
        <w:t>de</w:t>
      </w:r>
      <w:r>
        <w:rPr>
          <w:spacing w:val="-21"/>
          <w:w w:val="120"/>
        </w:rPr>
        <w:t> </w:t>
      </w:r>
      <w:r>
        <w:rPr>
          <w:w w:val="120"/>
        </w:rPr>
        <w:t>asistencia</w:t>
      </w:r>
      <w:r>
        <w:rPr>
          <w:spacing w:val="-21"/>
          <w:w w:val="120"/>
        </w:rPr>
        <w:t> </w:t>
      </w:r>
      <w:r>
        <w:rPr>
          <w:w w:val="120"/>
        </w:rPr>
        <w:t>recíproca (tiar) </w:t>
      </w:r>
      <w:r>
        <w:rPr>
          <w:spacing w:val="-11"/>
          <w:w w:val="120"/>
        </w:rPr>
        <w:t>y, </w:t>
      </w:r>
      <w:r>
        <w:rPr>
          <w:w w:val="120"/>
        </w:rPr>
        <w:t>un año más tarde, conformar la organización de Estados americanos</w:t>
      </w:r>
      <w:r>
        <w:rPr>
          <w:spacing w:val="-25"/>
          <w:w w:val="120"/>
        </w:rPr>
        <w:t> </w:t>
      </w:r>
      <w:r>
        <w:rPr>
          <w:w w:val="120"/>
        </w:rPr>
        <w:t>(oEa).</w:t>
      </w:r>
      <w:r>
        <w:rPr>
          <w:spacing w:val="-25"/>
          <w:w w:val="120"/>
        </w:rPr>
        <w:t> </w:t>
      </w:r>
      <w:r>
        <w:rPr>
          <w:w w:val="120"/>
        </w:rPr>
        <w:t>Esto</w:t>
      </w:r>
      <w:r>
        <w:rPr>
          <w:spacing w:val="-25"/>
          <w:w w:val="120"/>
        </w:rPr>
        <w:t> </w:t>
      </w:r>
      <w:r>
        <w:rPr>
          <w:w w:val="120"/>
        </w:rPr>
        <w:t>lo</w:t>
      </w:r>
      <w:r>
        <w:rPr>
          <w:spacing w:val="-25"/>
          <w:w w:val="120"/>
        </w:rPr>
        <w:t> </w:t>
      </w:r>
      <w:r>
        <w:rPr>
          <w:w w:val="120"/>
        </w:rPr>
        <w:t>logró</w:t>
      </w:r>
      <w:r>
        <w:rPr>
          <w:spacing w:val="-25"/>
          <w:w w:val="120"/>
        </w:rPr>
        <w:t> </w:t>
      </w:r>
      <w:r>
        <w:rPr>
          <w:w w:val="120"/>
        </w:rPr>
        <w:t>con</w:t>
      </w:r>
      <w:r>
        <w:rPr>
          <w:spacing w:val="-25"/>
          <w:w w:val="120"/>
        </w:rPr>
        <w:t> </w:t>
      </w:r>
      <w:r>
        <w:rPr>
          <w:w w:val="120"/>
        </w:rPr>
        <w:t>promesas</w:t>
      </w:r>
      <w:r>
        <w:rPr>
          <w:spacing w:val="-25"/>
          <w:w w:val="120"/>
        </w:rPr>
        <w:t> </w:t>
      </w:r>
      <w:r>
        <w:rPr>
          <w:w w:val="120"/>
        </w:rPr>
        <w:t>de</w:t>
      </w:r>
      <w:r>
        <w:rPr>
          <w:spacing w:val="-25"/>
          <w:w w:val="120"/>
        </w:rPr>
        <w:t> </w:t>
      </w:r>
      <w:r>
        <w:rPr>
          <w:w w:val="120"/>
        </w:rPr>
        <w:t>ayuda</w:t>
      </w:r>
      <w:r>
        <w:rPr>
          <w:spacing w:val="-25"/>
          <w:w w:val="120"/>
        </w:rPr>
        <w:t> </w:t>
      </w:r>
      <w:r>
        <w:rPr>
          <w:w w:val="120"/>
        </w:rPr>
        <w:t>económica </w:t>
      </w:r>
      <w:r>
        <w:rPr>
          <w:w w:val="110"/>
        </w:rPr>
        <w:t>(mandatarios regionales reclamaban una suerte de </w:t>
      </w:r>
      <w:r>
        <w:rPr>
          <w:i/>
          <w:w w:val="110"/>
        </w:rPr>
        <w:t>Plan Marshall</w:t>
      </w:r>
      <w:r>
        <w:rPr>
          <w:i/>
          <w:spacing w:val="-20"/>
          <w:w w:val="110"/>
        </w:rPr>
        <w:t> </w:t>
      </w:r>
      <w:r>
        <w:rPr>
          <w:i/>
          <w:w w:val="110"/>
        </w:rPr>
        <w:t>para </w:t>
      </w:r>
      <w:r>
        <w:rPr>
          <w:i/>
          <w:w w:val="115"/>
        </w:rPr>
        <w:t>América</w:t>
      </w:r>
      <w:r>
        <w:rPr>
          <w:i/>
          <w:spacing w:val="-14"/>
          <w:w w:val="115"/>
        </w:rPr>
        <w:t> </w:t>
      </w:r>
      <w:r>
        <w:rPr>
          <w:i/>
          <w:w w:val="115"/>
        </w:rPr>
        <w:t>Latina</w:t>
      </w:r>
      <w:r>
        <w:rPr>
          <w:w w:val="115"/>
        </w:rPr>
        <w:t>),</w:t>
      </w:r>
      <w:r>
        <w:rPr>
          <w:spacing w:val="-14"/>
          <w:w w:val="115"/>
        </w:rPr>
        <w:t> </w:t>
      </w:r>
      <w:r>
        <w:rPr>
          <w:w w:val="115"/>
        </w:rPr>
        <w:t>cuya</w:t>
      </w:r>
      <w:r>
        <w:rPr>
          <w:spacing w:val="-14"/>
          <w:w w:val="115"/>
        </w:rPr>
        <w:t> </w:t>
      </w:r>
      <w:r>
        <w:rPr>
          <w:w w:val="115"/>
        </w:rPr>
        <w:t>concreción</w:t>
      </w:r>
      <w:r>
        <w:rPr>
          <w:spacing w:val="-14"/>
          <w:w w:val="115"/>
        </w:rPr>
        <w:t> </w:t>
      </w:r>
      <w:r>
        <w:rPr>
          <w:w w:val="115"/>
        </w:rPr>
        <w:t>se</w:t>
      </w:r>
      <w:r>
        <w:rPr>
          <w:spacing w:val="-14"/>
          <w:w w:val="115"/>
        </w:rPr>
        <w:t> </w:t>
      </w:r>
      <w:r>
        <w:rPr>
          <w:w w:val="115"/>
        </w:rPr>
        <w:t>fue</w:t>
      </w:r>
      <w:r>
        <w:rPr>
          <w:spacing w:val="-14"/>
          <w:w w:val="115"/>
        </w:rPr>
        <w:t> </w:t>
      </w:r>
      <w:r>
        <w:rPr>
          <w:w w:val="115"/>
        </w:rPr>
        <w:t>postergando</w:t>
      </w:r>
      <w:r>
        <w:rPr>
          <w:spacing w:val="-14"/>
          <w:w w:val="115"/>
        </w:rPr>
        <w:t> </w:t>
      </w:r>
      <w:r>
        <w:rPr>
          <w:w w:val="115"/>
        </w:rPr>
        <w:t>hasta</w:t>
      </w:r>
      <w:r>
        <w:rPr>
          <w:spacing w:val="-14"/>
          <w:w w:val="115"/>
        </w:rPr>
        <w:t> </w:t>
      </w:r>
      <w:r>
        <w:rPr>
          <w:w w:val="115"/>
        </w:rPr>
        <w:t>que</w:t>
      </w:r>
      <w:r>
        <w:rPr>
          <w:spacing w:val="-14"/>
          <w:w w:val="115"/>
        </w:rPr>
        <w:t> </w:t>
      </w:r>
      <w:r>
        <w:rPr>
          <w:w w:val="115"/>
        </w:rPr>
        <w:t>la</w:t>
      </w:r>
      <w:r>
        <w:rPr>
          <w:spacing w:val="-14"/>
          <w:w w:val="115"/>
        </w:rPr>
        <w:t> </w:t>
      </w:r>
      <w:r>
        <w:rPr>
          <w:w w:val="115"/>
        </w:rPr>
        <w:t>re- volución Cubana instaló la Guerra Fría en la retaguardia estadouni- </w:t>
      </w:r>
      <w:r>
        <w:rPr>
          <w:w w:val="110"/>
        </w:rPr>
        <w:t>dense</w:t>
      </w:r>
      <w:r>
        <w:rPr>
          <w:spacing w:val="-7"/>
          <w:w w:val="110"/>
        </w:rPr>
        <w:t> </w:t>
      </w:r>
      <w:r>
        <w:rPr>
          <w:w w:val="110"/>
        </w:rPr>
        <w:t>(aunque</w:t>
      </w:r>
      <w:r>
        <w:rPr>
          <w:spacing w:val="-7"/>
          <w:w w:val="110"/>
        </w:rPr>
        <w:t> </w:t>
      </w:r>
      <w:r>
        <w:rPr>
          <w:w w:val="110"/>
        </w:rPr>
        <w:t>Washington</w:t>
      </w:r>
      <w:r>
        <w:rPr>
          <w:spacing w:val="-7"/>
          <w:w w:val="110"/>
        </w:rPr>
        <w:t> </w:t>
      </w:r>
      <w:r>
        <w:rPr>
          <w:w w:val="110"/>
        </w:rPr>
        <w:t>ya</w:t>
      </w:r>
      <w:r>
        <w:rPr>
          <w:spacing w:val="-7"/>
          <w:w w:val="110"/>
        </w:rPr>
        <w:t> </w:t>
      </w:r>
      <w:r>
        <w:rPr>
          <w:w w:val="110"/>
        </w:rPr>
        <w:t>había</w:t>
      </w:r>
      <w:r>
        <w:rPr>
          <w:spacing w:val="-7"/>
          <w:w w:val="110"/>
        </w:rPr>
        <w:t> </w:t>
      </w:r>
      <w:r>
        <w:rPr>
          <w:w w:val="110"/>
        </w:rPr>
        <w:t>utilizado</w:t>
      </w:r>
      <w:r>
        <w:rPr>
          <w:spacing w:val="-7"/>
          <w:w w:val="110"/>
        </w:rPr>
        <w:t> </w:t>
      </w:r>
      <w:r>
        <w:rPr>
          <w:w w:val="110"/>
        </w:rPr>
        <w:t>la</w:t>
      </w:r>
      <w:r>
        <w:rPr>
          <w:spacing w:val="-7"/>
          <w:w w:val="110"/>
        </w:rPr>
        <w:t> </w:t>
      </w:r>
      <w:r>
        <w:rPr>
          <w:w w:val="110"/>
        </w:rPr>
        <w:t>excusa</w:t>
      </w:r>
      <w:r>
        <w:rPr>
          <w:spacing w:val="-7"/>
          <w:w w:val="110"/>
        </w:rPr>
        <w:t> </w:t>
      </w:r>
      <w:r>
        <w:rPr>
          <w:w w:val="110"/>
        </w:rPr>
        <w:t>del</w:t>
      </w:r>
      <w:r>
        <w:rPr>
          <w:spacing w:val="-7"/>
          <w:w w:val="110"/>
        </w:rPr>
        <w:t> </w:t>
      </w:r>
      <w:r>
        <w:rPr>
          <w:i/>
          <w:w w:val="110"/>
        </w:rPr>
        <w:t>peligro</w:t>
      </w:r>
      <w:r>
        <w:rPr>
          <w:i/>
          <w:spacing w:val="-7"/>
          <w:w w:val="110"/>
        </w:rPr>
        <w:t> </w:t>
      </w:r>
      <w:r>
        <w:rPr>
          <w:i/>
          <w:w w:val="110"/>
        </w:rPr>
        <w:t>rojo </w:t>
      </w:r>
      <w:r>
        <w:rPr>
          <w:w w:val="120"/>
        </w:rPr>
        <w:t>para</w:t>
      </w:r>
      <w:r>
        <w:rPr>
          <w:spacing w:val="-25"/>
          <w:w w:val="120"/>
        </w:rPr>
        <w:t> </w:t>
      </w:r>
      <w:r>
        <w:rPr>
          <w:w w:val="120"/>
        </w:rPr>
        <w:t>apoyar</w:t>
      </w:r>
      <w:r>
        <w:rPr>
          <w:spacing w:val="-25"/>
          <w:w w:val="120"/>
        </w:rPr>
        <w:t> </w:t>
      </w:r>
      <w:r>
        <w:rPr>
          <w:w w:val="120"/>
        </w:rPr>
        <w:t>el</w:t>
      </w:r>
      <w:r>
        <w:rPr>
          <w:spacing w:val="-25"/>
          <w:w w:val="120"/>
        </w:rPr>
        <w:t> </w:t>
      </w:r>
      <w:r>
        <w:rPr>
          <w:w w:val="120"/>
        </w:rPr>
        <w:t>golpe</w:t>
      </w:r>
      <w:r>
        <w:rPr>
          <w:spacing w:val="-25"/>
          <w:w w:val="120"/>
        </w:rPr>
        <w:t> </w:t>
      </w:r>
      <w:r>
        <w:rPr>
          <w:w w:val="120"/>
        </w:rPr>
        <w:t>contra</w:t>
      </w:r>
      <w:r>
        <w:rPr>
          <w:spacing w:val="-25"/>
          <w:w w:val="120"/>
        </w:rPr>
        <w:t> </w:t>
      </w:r>
      <w:r>
        <w:rPr>
          <w:w w:val="120"/>
        </w:rPr>
        <w:t>Jacobo</w:t>
      </w:r>
      <w:r>
        <w:rPr>
          <w:spacing w:val="-25"/>
          <w:w w:val="120"/>
        </w:rPr>
        <w:t> </w:t>
      </w:r>
      <w:r>
        <w:rPr>
          <w:w w:val="120"/>
        </w:rPr>
        <w:t>arbenz</w:t>
      </w:r>
      <w:r>
        <w:rPr>
          <w:spacing w:val="-25"/>
          <w:w w:val="120"/>
        </w:rPr>
        <w:t> </w:t>
      </w:r>
      <w:r>
        <w:rPr>
          <w:w w:val="120"/>
        </w:rPr>
        <w:t>en</w:t>
      </w:r>
      <w:r>
        <w:rPr>
          <w:spacing w:val="-25"/>
          <w:w w:val="120"/>
        </w:rPr>
        <w:t> </w:t>
      </w:r>
      <w:r>
        <w:rPr>
          <w:w w:val="120"/>
        </w:rPr>
        <w:t>Guatemala,</w:t>
      </w:r>
      <w:r>
        <w:rPr>
          <w:spacing w:val="-25"/>
          <w:w w:val="120"/>
        </w:rPr>
        <w:t> </w:t>
      </w:r>
      <w:r>
        <w:rPr>
          <w:w w:val="120"/>
        </w:rPr>
        <w:t>en</w:t>
      </w:r>
      <w:r>
        <w:rPr>
          <w:spacing w:val="-25"/>
          <w:w w:val="120"/>
        </w:rPr>
        <w:t> </w:t>
      </w:r>
      <w:r>
        <w:rPr>
          <w:w w:val="120"/>
        </w:rPr>
        <w:t>1954). </w:t>
      </w:r>
      <w:r>
        <w:rPr>
          <w:w w:val="115"/>
        </w:rPr>
        <w:t>En</w:t>
      </w:r>
      <w:r>
        <w:rPr>
          <w:spacing w:val="-11"/>
          <w:w w:val="115"/>
        </w:rPr>
        <w:t> </w:t>
      </w:r>
      <w:r>
        <w:rPr>
          <w:w w:val="115"/>
        </w:rPr>
        <w:t>los</w:t>
      </w:r>
      <w:r>
        <w:rPr>
          <w:spacing w:val="-11"/>
          <w:w w:val="115"/>
        </w:rPr>
        <w:t> </w:t>
      </w:r>
      <w:r>
        <w:rPr>
          <w:w w:val="115"/>
        </w:rPr>
        <w:t>años</w:t>
      </w:r>
      <w:r>
        <w:rPr>
          <w:spacing w:val="-11"/>
          <w:w w:val="115"/>
        </w:rPr>
        <w:t> </w:t>
      </w:r>
      <w:r>
        <w:rPr>
          <w:w w:val="115"/>
        </w:rPr>
        <w:t>sesenta,</w:t>
      </w:r>
      <w:r>
        <w:rPr>
          <w:spacing w:val="-11"/>
          <w:w w:val="115"/>
        </w:rPr>
        <w:t> </w:t>
      </w:r>
      <w:r>
        <w:rPr>
          <w:w w:val="115"/>
        </w:rPr>
        <w:t>Estados</w:t>
      </w:r>
      <w:r>
        <w:rPr>
          <w:spacing w:val="-11"/>
          <w:w w:val="115"/>
        </w:rPr>
        <w:t> </w:t>
      </w:r>
      <w:r>
        <w:rPr>
          <w:w w:val="115"/>
        </w:rPr>
        <w:t>unidos</w:t>
      </w:r>
      <w:r>
        <w:rPr>
          <w:spacing w:val="-11"/>
          <w:w w:val="115"/>
        </w:rPr>
        <w:t> </w:t>
      </w:r>
      <w:r>
        <w:rPr>
          <w:w w:val="115"/>
        </w:rPr>
        <w:t>desplegó</w:t>
      </w:r>
      <w:r>
        <w:rPr>
          <w:spacing w:val="-11"/>
          <w:w w:val="115"/>
        </w:rPr>
        <w:t> </w:t>
      </w:r>
      <w:r>
        <w:rPr>
          <w:w w:val="115"/>
        </w:rPr>
        <w:t>hacia</w:t>
      </w:r>
      <w:r>
        <w:rPr>
          <w:spacing w:val="-11"/>
          <w:w w:val="115"/>
        </w:rPr>
        <w:t> </w:t>
      </w:r>
      <w:r>
        <w:rPr>
          <w:w w:val="115"/>
        </w:rPr>
        <w:t>la</w:t>
      </w:r>
      <w:r>
        <w:rPr>
          <w:spacing w:val="-11"/>
          <w:w w:val="115"/>
        </w:rPr>
        <w:t> </w:t>
      </w:r>
      <w:r>
        <w:rPr>
          <w:w w:val="115"/>
        </w:rPr>
        <w:t>región</w:t>
      </w:r>
      <w:r>
        <w:rPr>
          <w:spacing w:val="-11"/>
          <w:w w:val="115"/>
        </w:rPr>
        <w:t> </w:t>
      </w:r>
      <w:r>
        <w:rPr>
          <w:w w:val="115"/>
        </w:rPr>
        <w:t>una</w:t>
      </w:r>
      <w:r>
        <w:rPr>
          <w:spacing w:val="-11"/>
          <w:w w:val="115"/>
        </w:rPr>
        <w:t> </w:t>
      </w:r>
      <w:r>
        <w:rPr>
          <w:w w:val="115"/>
        </w:rPr>
        <w:t>po- lítica</w:t>
      </w:r>
      <w:r>
        <w:rPr>
          <w:spacing w:val="-5"/>
          <w:w w:val="115"/>
        </w:rPr>
        <w:t> </w:t>
      </w:r>
      <w:r>
        <w:rPr>
          <w:w w:val="115"/>
        </w:rPr>
        <w:t>bifronte:</w:t>
      </w:r>
      <w:r>
        <w:rPr>
          <w:spacing w:val="-5"/>
          <w:w w:val="115"/>
        </w:rPr>
        <w:t> </w:t>
      </w:r>
      <w:r>
        <w:rPr>
          <w:w w:val="115"/>
        </w:rPr>
        <w:t>el</w:t>
      </w:r>
      <w:r>
        <w:rPr>
          <w:spacing w:val="-5"/>
          <w:w w:val="115"/>
        </w:rPr>
        <w:t> </w:t>
      </w:r>
      <w:r>
        <w:rPr>
          <w:w w:val="115"/>
        </w:rPr>
        <w:t>ambicioso</w:t>
      </w:r>
      <w:r>
        <w:rPr>
          <w:spacing w:val="-5"/>
          <w:w w:val="115"/>
        </w:rPr>
        <w:t> </w:t>
      </w:r>
      <w:r>
        <w:rPr>
          <w:w w:val="115"/>
        </w:rPr>
        <w:t>programa</w:t>
      </w:r>
      <w:r>
        <w:rPr>
          <w:spacing w:val="-5"/>
          <w:w w:val="115"/>
        </w:rPr>
        <w:t> </w:t>
      </w:r>
      <w:r>
        <w:rPr>
          <w:w w:val="115"/>
        </w:rPr>
        <w:t>de</w:t>
      </w:r>
      <w:r>
        <w:rPr>
          <w:spacing w:val="-5"/>
          <w:w w:val="115"/>
        </w:rPr>
        <w:t> </w:t>
      </w:r>
      <w:r>
        <w:rPr>
          <w:w w:val="115"/>
        </w:rPr>
        <w:t>la</w:t>
      </w:r>
      <w:r>
        <w:rPr>
          <w:spacing w:val="-5"/>
          <w:w w:val="115"/>
        </w:rPr>
        <w:t> </w:t>
      </w:r>
      <w:r>
        <w:rPr>
          <w:w w:val="115"/>
        </w:rPr>
        <w:t>alianza</w:t>
      </w:r>
      <w:r>
        <w:rPr>
          <w:spacing w:val="-5"/>
          <w:w w:val="115"/>
        </w:rPr>
        <w:t> </w:t>
      </w:r>
      <w:r>
        <w:rPr>
          <w:w w:val="115"/>
        </w:rPr>
        <w:t>para</w:t>
      </w:r>
      <w:r>
        <w:rPr>
          <w:spacing w:val="-5"/>
          <w:w w:val="115"/>
        </w:rPr>
        <w:t> </w:t>
      </w:r>
      <w:r>
        <w:rPr>
          <w:w w:val="115"/>
        </w:rPr>
        <w:t>el</w:t>
      </w:r>
      <w:r>
        <w:rPr>
          <w:spacing w:val="-5"/>
          <w:w w:val="115"/>
        </w:rPr>
        <w:t> </w:t>
      </w:r>
      <w:r>
        <w:rPr>
          <w:w w:val="115"/>
        </w:rPr>
        <w:t>Progreso </w:t>
      </w:r>
      <w:r>
        <w:rPr>
          <w:w w:val="120"/>
        </w:rPr>
        <w:t>(una</w:t>
      </w:r>
      <w:r>
        <w:rPr>
          <w:spacing w:val="-21"/>
          <w:w w:val="120"/>
        </w:rPr>
        <w:t> </w:t>
      </w:r>
      <w:r>
        <w:rPr>
          <w:w w:val="120"/>
        </w:rPr>
        <w:t>promesa</w:t>
      </w:r>
      <w:r>
        <w:rPr>
          <w:spacing w:val="-21"/>
          <w:w w:val="120"/>
        </w:rPr>
        <w:t> </w:t>
      </w:r>
      <w:r>
        <w:rPr>
          <w:w w:val="120"/>
        </w:rPr>
        <w:t>de</w:t>
      </w:r>
      <w:r>
        <w:rPr>
          <w:spacing w:val="-21"/>
          <w:w w:val="120"/>
        </w:rPr>
        <w:t> </w:t>
      </w:r>
      <w:r>
        <w:rPr>
          <w:w w:val="120"/>
        </w:rPr>
        <w:t>ayuda</w:t>
      </w:r>
      <w:r>
        <w:rPr>
          <w:spacing w:val="-21"/>
          <w:w w:val="120"/>
        </w:rPr>
        <w:t> </w:t>
      </w:r>
      <w:r>
        <w:rPr>
          <w:w w:val="120"/>
        </w:rPr>
        <w:t>por</w:t>
      </w:r>
      <w:r>
        <w:rPr>
          <w:spacing w:val="-21"/>
          <w:w w:val="120"/>
        </w:rPr>
        <w:t> </w:t>
      </w:r>
      <w:r>
        <w:rPr>
          <w:w w:val="120"/>
        </w:rPr>
        <w:t>20</w:t>
      </w:r>
      <w:r>
        <w:rPr>
          <w:spacing w:val="-21"/>
          <w:w w:val="120"/>
        </w:rPr>
        <w:t> </w:t>
      </w:r>
      <w:r>
        <w:rPr>
          <w:w w:val="120"/>
        </w:rPr>
        <w:t>mil</w:t>
      </w:r>
      <w:r>
        <w:rPr>
          <w:spacing w:val="-21"/>
          <w:w w:val="120"/>
        </w:rPr>
        <w:t> </w:t>
      </w:r>
      <w:r>
        <w:rPr>
          <w:w w:val="120"/>
        </w:rPr>
        <w:t>millones</w:t>
      </w:r>
      <w:r>
        <w:rPr>
          <w:spacing w:val="-21"/>
          <w:w w:val="120"/>
        </w:rPr>
        <w:t> </w:t>
      </w:r>
      <w:r>
        <w:rPr>
          <w:w w:val="120"/>
        </w:rPr>
        <w:t>de</w:t>
      </w:r>
      <w:r>
        <w:rPr>
          <w:spacing w:val="-21"/>
          <w:w w:val="120"/>
        </w:rPr>
        <w:t> </w:t>
      </w:r>
      <w:r>
        <w:rPr>
          <w:w w:val="120"/>
        </w:rPr>
        <w:t>dólares)</w:t>
      </w:r>
      <w:r>
        <w:rPr>
          <w:spacing w:val="-21"/>
          <w:w w:val="120"/>
        </w:rPr>
        <w:t> </w:t>
      </w:r>
      <w:r>
        <w:rPr>
          <w:w w:val="120"/>
        </w:rPr>
        <w:t>y</w:t>
      </w:r>
      <w:r>
        <w:rPr>
          <w:spacing w:val="-21"/>
          <w:w w:val="120"/>
        </w:rPr>
        <w:t> </w:t>
      </w:r>
      <w:r>
        <w:rPr>
          <w:w w:val="120"/>
        </w:rPr>
        <w:t>a</w:t>
      </w:r>
      <w:r>
        <w:rPr>
          <w:spacing w:val="-21"/>
          <w:w w:val="120"/>
        </w:rPr>
        <w:t> </w:t>
      </w:r>
      <w:r>
        <w:rPr>
          <w:w w:val="120"/>
        </w:rPr>
        <w:t>la</w:t>
      </w:r>
      <w:r>
        <w:rPr>
          <w:spacing w:val="-21"/>
          <w:w w:val="120"/>
        </w:rPr>
        <w:t> </w:t>
      </w:r>
      <w:r>
        <w:rPr>
          <w:w w:val="120"/>
        </w:rPr>
        <w:t>vez</w:t>
      </w:r>
      <w:r>
        <w:rPr>
          <w:spacing w:val="-21"/>
          <w:w w:val="120"/>
        </w:rPr>
        <w:t> </w:t>
      </w:r>
      <w:r>
        <w:rPr>
          <w:w w:val="120"/>
        </w:rPr>
        <w:t>el </w:t>
      </w:r>
      <w:r>
        <w:rPr>
          <w:w w:val="115"/>
        </w:rPr>
        <w:t>clásico</w:t>
      </w:r>
      <w:r>
        <w:rPr>
          <w:spacing w:val="-15"/>
          <w:w w:val="115"/>
        </w:rPr>
        <w:t> </w:t>
      </w:r>
      <w:r>
        <w:rPr>
          <w:w w:val="115"/>
        </w:rPr>
        <w:t>intervencionismo</w:t>
      </w:r>
      <w:r>
        <w:rPr>
          <w:spacing w:val="-15"/>
          <w:w w:val="115"/>
        </w:rPr>
        <w:t> </w:t>
      </w:r>
      <w:r>
        <w:rPr>
          <w:spacing w:val="-3"/>
          <w:w w:val="115"/>
        </w:rPr>
        <w:t>militar,</w:t>
      </w:r>
      <w:r>
        <w:rPr>
          <w:spacing w:val="-15"/>
          <w:w w:val="115"/>
        </w:rPr>
        <w:t> </w:t>
      </w:r>
      <w:r>
        <w:rPr>
          <w:w w:val="115"/>
        </w:rPr>
        <w:t>que</w:t>
      </w:r>
      <w:r>
        <w:rPr>
          <w:spacing w:val="-15"/>
          <w:w w:val="115"/>
        </w:rPr>
        <w:t> </w:t>
      </w:r>
      <w:r>
        <w:rPr>
          <w:w w:val="115"/>
        </w:rPr>
        <w:t>incluyó</w:t>
      </w:r>
      <w:r>
        <w:rPr>
          <w:spacing w:val="-15"/>
          <w:w w:val="115"/>
        </w:rPr>
        <w:t> </w:t>
      </w:r>
      <w:r>
        <w:rPr>
          <w:w w:val="115"/>
        </w:rPr>
        <w:t>un</w:t>
      </w:r>
      <w:r>
        <w:rPr>
          <w:spacing w:val="-15"/>
          <w:w w:val="115"/>
        </w:rPr>
        <w:t> </w:t>
      </w:r>
      <w:r>
        <w:rPr>
          <w:w w:val="115"/>
        </w:rPr>
        <w:t>variado</w:t>
      </w:r>
      <w:r>
        <w:rPr>
          <w:spacing w:val="-15"/>
          <w:w w:val="115"/>
        </w:rPr>
        <w:t> </w:t>
      </w:r>
      <w:r>
        <w:rPr>
          <w:w w:val="115"/>
        </w:rPr>
        <w:t>menú:</w:t>
      </w:r>
      <w:r>
        <w:rPr>
          <w:spacing w:val="-15"/>
          <w:w w:val="115"/>
        </w:rPr>
        <w:t> </w:t>
      </w:r>
      <w:r>
        <w:rPr>
          <w:w w:val="115"/>
        </w:rPr>
        <w:t>inva- sión</w:t>
      </w:r>
      <w:r>
        <w:rPr>
          <w:spacing w:val="-20"/>
          <w:w w:val="115"/>
        </w:rPr>
        <w:t> </w:t>
      </w:r>
      <w:r>
        <w:rPr>
          <w:w w:val="115"/>
        </w:rPr>
        <w:t>a</w:t>
      </w:r>
      <w:r>
        <w:rPr>
          <w:spacing w:val="-20"/>
          <w:w w:val="115"/>
        </w:rPr>
        <w:t> </w:t>
      </w:r>
      <w:r>
        <w:rPr>
          <w:w w:val="115"/>
        </w:rPr>
        <w:t>bahía</w:t>
      </w:r>
      <w:r>
        <w:rPr>
          <w:spacing w:val="-20"/>
          <w:w w:val="115"/>
        </w:rPr>
        <w:t> </w:t>
      </w:r>
      <w:r>
        <w:rPr>
          <w:w w:val="115"/>
        </w:rPr>
        <w:t>de</w:t>
      </w:r>
      <w:r>
        <w:rPr>
          <w:spacing w:val="-20"/>
          <w:w w:val="115"/>
        </w:rPr>
        <w:t> </w:t>
      </w:r>
      <w:r>
        <w:rPr>
          <w:w w:val="115"/>
        </w:rPr>
        <w:t>Cochinos,</w:t>
      </w:r>
      <w:r>
        <w:rPr>
          <w:spacing w:val="-20"/>
          <w:w w:val="115"/>
        </w:rPr>
        <w:t> </w:t>
      </w:r>
      <w:r>
        <w:rPr>
          <w:w w:val="115"/>
        </w:rPr>
        <w:t>terrorismo</w:t>
      </w:r>
      <w:r>
        <w:rPr>
          <w:spacing w:val="-20"/>
          <w:w w:val="115"/>
        </w:rPr>
        <w:t> </w:t>
      </w:r>
      <w:r>
        <w:rPr>
          <w:w w:val="115"/>
        </w:rPr>
        <w:t>y</w:t>
      </w:r>
      <w:r>
        <w:rPr>
          <w:spacing w:val="-20"/>
          <w:w w:val="115"/>
        </w:rPr>
        <w:t> </w:t>
      </w:r>
      <w:r>
        <w:rPr>
          <w:w w:val="115"/>
        </w:rPr>
        <w:t>desestabilización</w:t>
      </w:r>
      <w:r>
        <w:rPr>
          <w:spacing w:val="-20"/>
          <w:w w:val="115"/>
        </w:rPr>
        <w:t> </w:t>
      </w:r>
      <w:r>
        <w:rPr>
          <w:w w:val="115"/>
        </w:rPr>
        <w:t>en</w:t>
      </w:r>
      <w:r>
        <w:rPr>
          <w:spacing w:val="-20"/>
          <w:w w:val="115"/>
        </w:rPr>
        <w:t> </w:t>
      </w:r>
      <w:r>
        <w:rPr>
          <w:w w:val="115"/>
        </w:rPr>
        <w:t>Cuba,</w:t>
      </w:r>
      <w:r>
        <w:rPr>
          <w:spacing w:val="-20"/>
          <w:w w:val="115"/>
        </w:rPr>
        <w:t> </w:t>
      </w:r>
      <w:r>
        <w:rPr>
          <w:w w:val="115"/>
        </w:rPr>
        <w:t>con intentos</w:t>
      </w:r>
      <w:r>
        <w:rPr>
          <w:spacing w:val="-25"/>
          <w:w w:val="115"/>
        </w:rPr>
        <w:t> </w:t>
      </w:r>
      <w:r>
        <w:rPr>
          <w:w w:val="115"/>
        </w:rPr>
        <w:t>de</w:t>
      </w:r>
      <w:r>
        <w:rPr>
          <w:spacing w:val="-25"/>
          <w:w w:val="115"/>
        </w:rPr>
        <w:t> </w:t>
      </w:r>
      <w:r>
        <w:rPr>
          <w:w w:val="115"/>
        </w:rPr>
        <w:t>magnicidios,</w:t>
      </w:r>
      <w:r>
        <w:rPr>
          <w:spacing w:val="-25"/>
          <w:w w:val="115"/>
        </w:rPr>
        <w:t> </w:t>
      </w:r>
      <w:r>
        <w:rPr>
          <w:w w:val="115"/>
        </w:rPr>
        <w:t>apoyo</w:t>
      </w:r>
      <w:r>
        <w:rPr>
          <w:spacing w:val="-25"/>
          <w:w w:val="115"/>
        </w:rPr>
        <w:t> </w:t>
      </w:r>
      <w:r>
        <w:rPr>
          <w:w w:val="115"/>
        </w:rPr>
        <w:t>a</w:t>
      </w:r>
      <w:r>
        <w:rPr>
          <w:spacing w:val="-25"/>
          <w:w w:val="115"/>
        </w:rPr>
        <w:t> </w:t>
      </w:r>
      <w:r>
        <w:rPr>
          <w:w w:val="115"/>
        </w:rPr>
        <w:t>golpes</w:t>
      </w:r>
      <w:r>
        <w:rPr>
          <w:spacing w:val="-25"/>
          <w:w w:val="115"/>
        </w:rPr>
        <w:t> </w:t>
      </w:r>
      <w:r>
        <w:rPr>
          <w:w w:val="115"/>
        </w:rPr>
        <w:t>de</w:t>
      </w:r>
      <w:r>
        <w:rPr>
          <w:spacing w:val="-25"/>
          <w:w w:val="115"/>
        </w:rPr>
        <w:t> </w:t>
      </w:r>
      <w:r>
        <w:rPr>
          <w:w w:val="115"/>
        </w:rPr>
        <w:t>Estado</w:t>
      </w:r>
      <w:r>
        <w:rPr>
          <w:spacing w:val="-25"/>
          <w:w w:val="115"/>
        </w:rPr>
        <w:t> </w:t>
      </w:r>
      <w:r>
        <w:rPr>
          <w:w w:val="115"/>
        </w:rPr>
        <w:t>(el</w:t>
      </w:r>
      <w:r>
        <w:rPr>
          <w:spacing w:val="-25"/>
          <w:w w:val="115"/>
        </w:rPr>
        <w:t> </w:t>
      </w:r>
      <w:r>
        <w:rPr>
          <w:w w:val="115"/>
        </w:rPr>
        <w:t>encabezado</w:t>
      </w:r>
      <w:r>
        <w:rPr>
          <w:spacing w:val="-25"/>
          <w:w w:val="115"/>
        </w:rPr>
        <w:t> </w:t>
      </w:r>
      <w:r>
        <w:rPr>
          <w:w w:val="115"/>
        </w:rPr>
        <w:t>por Castelo</w:t>
      </w:r>
      <w:r>
        <w:rPr>
          <w:spacing w:val="-5"/>
          <w:w w:val="115"/>
        </w:rPr>
        <w:t> </w:t>
      </w:r>
      <w:r>
        <w:rPr>
          <w:w w:val="115"/>
        </w:rPr>
        <w:t>branco</w:t>
      </w:r>
      <w:r>
        <w:rPr>
          <w:spacing w:val="-5"/>
          <w:w w:val="115"/>
        </w:rPr>
        <w:t> </w:t>
      </w:r>
      <w:r>
        <w:rPr>
          <w:w w:val="115"/>
        </w:rPr>
        <w:t>en</w:t>
      </w:r>
      <w:r>
        <w:rPr>
          <w:spacing w:val="-5"/>
          <w:w w:val="115"/>
        </w:rPr>
        <w:t> </w:t>
      </w:r>
      <w:r>
        <w:rPr>
          <w:w w:val="115"/>
        </w:rPr>
        <w:t>brasil,</w:t>
      </w:r>
      <w:r>
        <w:rPr>
          <w:spacing w:val="-5"/>
          <w:w w:val="115"/>
        </w:rPr>
        <w:t> </w:t>
      </w:r>
      <w:r>
        <w:rPr>
          <w:w w:val="115"/>
        </w:rPr>
        <w:t>en</w:t>
      </w:r>
      <w:r>
        <w:rPr>
          <w:spacing w:val="-5"/>
          <w:w w:val="115"/>
        </w:rPr>
        <w:t> </w:t>
      </w:r>
      <w:r>
        <w:rPr>
          <w:w w:val="115"/>
        </w:rPr>
        <w:t>1964,</w:t>
      </w:r>
      <w:r>
        <w:rPr>
          <w:spacing w:val="-5"/>
          <w:w w:val="115"/>
        </w:rPr>
        <w:t> </w:t>
      </w:r>
      <w:r>
        <w:rPr>
          <w:w w:val="115"/>
        </w:rPr>
        <w:t>fue</w:t>
      </w:r>
      <w:r>
        <w:rPr>
          <w:spacing w:val="-5"/>
          <w:w w:val="115"/>
        </w:rPr>
        <w:t> </w:t>
      </w:r>
      <w:r>
        <w:rPr>
          <w:w w:val="115"/>
        </w:rPr>
        <w:t>el</w:t>
      </w:r>
      <w:r>
        <w:rPr>
          <w:spacing w:val="-5"/>
          <w:w w:val="115"/>
        </w:rPr>
        <w:t> </w:t>
      </w:r>
      <w:r>
        <w:rPr>
          <w:w w:val="115"/>
        </w:rPr>
        <w:t>más</w:t>
      </w:r>
      <w:r>
        <w:rPr>
          <w:spacing w:val="-5"/>
          <w:w w:val="115"/>
        </w:rPr>
        <w:t> </w:t>
      </w:r>
      <w:r>
        <w:rPr>
          <w:w w:val="115"/>
        </w:rPr>
        <w:t>significativo)</w:t>
      </w:r>
      <w:r>
        <w:rPr>
          <w:spacing w:val="-5"/>
          <w:w w:val="115"/>
        </w:rPr>
        <w:t> </w:t>
      </w:r>
      <w:r>
        <w:rPr>
          <w:w w:val="115"/>
        </w:rPr>
        <w:t>y</w:t>
      </w:r>
      <w:r>
        <w:rPr>
          <w:spacing w:val="-5"/>
          <w:w w:val="115"/>
        </w:rPr>
        <w:t> </w:t>
      </w:r>
      <w:r>
        <w:rPr>
          <w:w w:val="115"/>
        </w:rPr>
        <w:t>desem-</w:t>
      </w:r>
    </w:p>
    <w:p>
      <w:pPr>
        <w:pStyle w:val="BodyText"/>
        <w:spacing w:before="5"/>
      </w:pPr>
    </w:p>
    <w:p>
      <w:pPr>
        <w:spacing w:before="0"/>
        <w:ind w:left="100" w:right="0" w:firstLine="0"/>
        <w:jc w:val="both"/>
        <w:rPr>
          <w:sz w:val="16"/>
        </w:rPr>
      </w:pPr>
      <w:r>
        <w:rPr>
          <w:w w:val="115"/>
          <w:sz w:val="16"/>
        </w:rPr>
        <w:t>* docente en la universidad de buenos aires e investigador del idEHEsi-CoNiCEt.</w:t>
      </w:r>
    </w:p>
    <w:p>
      <w:pPr>
        <w:pStyle w:val="BodyText"/>
        <w:rPr>
          <w:sz w:val="20"/>
        </w:rPr>
      </w:pPr>
    </w:p>
    <w:p>
      <w:pPr>
        <w:pStyle w:val="BodyText"/>
        <w:spacing w:before="10"/>
        <w:rPr>
          <w:sz w:val="16"/>
        </w:rPr>
      </w:pPr>
    </w:p>
    <w:p>
      <w:pPr>
        <w:pStyle w:val="Heading7"/>
        <w:spacing w:line="240" w:lineRule="auto" w:before="1"/>
        <w:ind w:left="789" w:right="1017"/>
        <w:jc w:val="center"/>
      </w:pPr>
      <w:r>
        <w:rPr/>
        <w:t>381</w:t>
      </w:r>
    </w:p>
    <w:p>
      <w:pPr>
        <w:spacing w:after="0" w:line="240" w:lineRule="auto"/>
        <w:jc w:val="center"/>
        <w:sectPr>
          <w:headerReference w:type="even" r:id="rId496"/>
          <w:footerReference w:type="even" r:id="rId497"/>
          <w:pgSz w:w="8790" w:h="12760"/>
          <w:pgMar w:header="0" w:footer="0" w:top="1180" w:bottom="280" w:left="920" w:right="1200"/>
        </w:sectPr>
      </w:pPr>
    </w:p>
    <w:p>
      <w:pPr>
        <w:pStyle w:val="BodyText"/>
        <w:spacing w:before="7"/>
        <w:rPr>
          <w:sz w:val="28"/>
        </w:rPr>
      </w:pPr>
    </w:p>
    <w:p>
      <w:pPr>
        <w:pStyle w:val="BodyText"/>
        <w:spacing w:line="252" w:lineRule="auto" w:before="73"/>
        <w:ind w:left="330" w:right="117"/>
        <w:jc w:val="both"/>
      </w:pPr>
      <w:r>
        <w:rPr>
          <w:w w:val="110"/>
        </w:rPr>
        <w:t>barco</w:t>
      </w:r>
      <w:r>
        <w:rPr/>
        <w:t> </w:t>
      </w:r>
      <w:r>
        <w:rPr>
          <w:spacing w:val="-7"/>
        </w:rPr>
        <w:t> </w:t>
      </w:r>
      <w:r>
        <w:rPr>
          <w:w w:val="107"/>
        </w:rPr>
        <w:t>de</w:t>
      </w:r>
      <w:r>
        <w:rPr/>
        <w:t> </w:t>
      </w:r>
      <w:r>
        <w:rPr>
          <w:spacing w:val="-7"/>
        </w:rPr>
        <w:t> </w:t>
      </w:r>
      <w:r>
        <w:rPr>
          <w:i/>
          <w:w w:val="110"/>
        </w:rPr>
        <w:t>marines</w:t>
      </w:r>
      <w:r>
        <w:rPr>
          <w:i/>
        </w:rPr>
        <w:t> </w:t>
      </w:r>
      <w:r>
        <w:rPr>
          <w:i/>
          <w:spacing w:val="-7"/>
        </w:rPr>
        <w:t> </w:t>
      </w:r>
      <w:r>
        <w:rPr>
          <w:w w:val="98"/>
        </w:rPr>
        <w:t>(</w:t>
      </w:r>
      <w:r>
        <w:rPr>
          <w:w w:val="149"/>
        </w:rPr>
        <w:t>s</w:t>
      </w:r>
      <w:r>
        <w:rPr>
          <w:w w:val="110"/>
        </w:rPr>
        <w:t>anto</w:t>
      </w:r>
      <w:r>
        <w:rPr/>
        <w:t> </w:t>
      </w:r>
      <w:r>
        <w:rPr>
          <w:spacing w:val="-7"/>
        </w:rPr>
        <w:t> </w:t>
      </w:r>
      <w:r>
        <w:rPr>
          <w:w w:val="139"/>
        </w:rPr>
        <w:t>d</w:t>
      </w:r>
      <w:r>
        <w:rPr>
          <w:w w:val="113"/>
        </w:rPr>
        <w:t>omingo,</w:t>
      </w:r>
      <w:r>
        <w:rPr/>
        <w:t> </w:t>
      </w:r>
      <w:r>
        <w:rPr>
          <w:spacing w:val="-7"/>
        </w:rPr>
        <w:t> </w:t>
      </w:r>
      <w:r>
        <w:rPr>
          <w:w w:val="104"/>
        </w:rPr>
        <w:t>1965).</w:t>
      </w:r>
      <w:r>
        <w:rPr/>
        <w:t> </w:t>
      </w:r>
      <w:r>
        <w:rPr>
          <w:spacing w:val="-7"/>
        </w:rPr>
        <w:t> </w:t>
      </w:r>
      <w:r>
        <w:rPr>
          <w:w w:val="243"/>
        </w:rPr>
        <w:t>l</w:t>
      </w:r>
      <w:r>
        <w:rPr>
          <w:w w:val="112"/>
        </w:rPr>
        <w:t>a</w:t>
      </w:r>
      <w:r>
        <w:rPr/>
        <w:t> </w:t>
      </w:r>
      <w:r>
        <w:rPr>
          <w:spacing w:val="-7"/>
        </w:rPr>
        <w:t> </w:t>
      </w:r>
      <w:r>
        <w:rPr>
          <w:i/>
          <w:w w:val="110"/>
        </w:rPr>
        <w:t>Doctrina</w:t>
      </w:r>
      <w:r>
        <w:rPr>
          <w:i/>
        </w:rPr>
        <w:t> </w:t>
      </w:r>
      <w:r>
        <w:rPr>
          <w:i/>
          <w:spacing w:val="-7"/>
        </w:rPr>
        <w:t> </w:t>
      </w:r>
      <w:r>
        <w:rPr>
          <w:i/>
          <w:w w:val="104"/>
        </w:rPr>
        <w:t>de</w:t>
      </w:r>
      <w:r>
        <w:rPr>
          <w:i/>
        </w:rPr>
        <w:t> </w:t>
      </w:r>
      <w:r>
        <w:rPr>
          <w:i/>
          <w:spacing w:val="-7"/>
        </w:rPr>
        <w:t> </w:t>
      </w:r>
      <w:r>
        <w:rPr>
          <w:i/>
          <w:w w:val="108"/>
        </w:rPr>
        <w:t>Seguridad</w:t>
      </w:r>
      <w:r>
        <w:rPr>
          <w:i/>
          <w:w w:val="108"/>
        </w:rPr>
        <w:t> </w:t>
      </w:r>
      <w:r>
        <w:rPr>
          <w:i/>
          <w:w w:val="110"/>
        </w:rPr>
        <w:t>Nacional </w:t>
      </w:r>
      <w:r>
        <w:rPr>
          <w:w w:val="110"/>
        </w:rPr>
        <w:t>y las alianzas con militares golpistas fueron una constante  en los años siguientes. </w:t>
      </w:r>
      <w:r>
        <w:rPr>
          <w:spacing w:val="-9"/>
          <w:w w:val="110"/>
        </w:rPr>
        <w:t>Ya </w:t>
      </w:r>
      <w:r>
        <w:rPr>
          <w:w w:val="110"/>
        </w:rPr>
        <w:t>en la era reagan, la Casa blanca logró el apoyo de dictaduras latinoamericanas para la lucha contrainsurgente </w:t>
      </w:r>
      <w:r>
        <w:rPr>
          <w:w w:val="108"/>
        </w:rPr>
        <w:t>en</w:t>
      </w:r>
      <w:r>
        <w:rPr/>
        <w:t> </w:t>
      </w:r>
      <w:r>
        <w:rPr>
          <w:spacing w:val="-6"/>
        </w:rPr>
        <w:t> </w:t>
      </w:r>
      <w:r>
        <w:rPr>
          <w:w w:val="112"/>
        </w:rPr>
        <w:t>Centroamérica.</w:t>
      </w:r>
      <w:r>
        <w:rPr/>
        <w:t> </w:t>
      </w:r>
      <w:r>
        <w:rPr>
          <w:spacing w:val="-6"/>
        </w:rPr>
        <w:t> </w:t>
      </w:r>
      <w:r>
        <w:rPr>
          <w:w w:val="243"/>
        </w:rPr>
        <w:t>l</w:t>
      </w:r>
      <w:r>
        <w:rPr>
          <w:w w:val="112"/>
        </w:rPr>
        <w:t>a</w:t>
      </w:r>
      <w:r>
        <w:rPr/>
        <w:t> </w:t>
      </w:r>
      <w:r>
        <w:rPr>
          <w:spacing w:val="-6"/>
        </w:rPr>
        <w:t> </w:t>
      </w:r>
      <w:r>
        <w:rPr>
          <w:w w:val="112"/>
        </w:rPr>
        <w:t>caída</w:t>
      </w:r>
      <w:r>
        <w:rPr/>
        <w:t> </w:t>
      </w:r>
      <w:r>
        <w:rPr>
          <w:spacing w:val="-6"/>
        </w:rPr>
        <w:t> </w:t>
      </w:r>
      <w:r>
        <w:rPr>
          <w:w w:val="107"/>
        </w:rPr>
        <w:t>del</w:t>
      </w:r>
      <w:r>
        <w:rPr/>
        <w:t> </w:t>
      </w:r>
      <w:r>
        <w:rPr>
          <w:spacing w:val="-6"/>
        </w:rPr>
        <w:t> </w:t>
      </w:r>
      <w:r>
        <w:rPr>
          <w:w w:val="113"/>
        </w:rPr>
        <w:t>Muro</w:t>
      </w:r>
      <w:r>
        <w:rPr/>
        <w:t> </w:t>
      </w:r>
      <w:r>
        <w:rPr>
          <w:spacing w:val="-6"/>
        </w:rPr>
        <w:t> </w:t>
      </w:r>
      <w:r>
        <w:rPr>
          <w:w w:val="107"/>
        </w:rPr>
        <w:t>de</w:t>
      </w:r>
      <w:r>
        <w:rPr/>
        <w:t> </w:t>
      </w:r>
      <w:r>
        <w:rPr>
          <w:spacing w:val="-7"/>
        </w:rPr>
        <w:t> </w:t>
      </w:r>
      <w:r>
        <w:rPr>
          <w:w w:val="134"/>
        </w:rPr>
        <w:t>b</w:t>
      </w:r>
      <w:r>
        <w:rPr>
          <w:w w:val="111"/>
        </w:rPr>
        <w:t>erlín,</w:t>
      </w:r>
      <w:r>
        <w:rPr/>
        <w:t> </w:t>
      </w:r>
      <w:r>
        <w:rPr>
          <w:spacing w:val="-6"/>
        </w:rPr>
        <w:t> </w:t>
      </w:r>
      <w:r>
        <w:rPr>
          <w:w w:val="111"/>
        </w:rPr>
        <w:t>la</w:t>
      </w:r>
      <w:r>
        <w:rPr/>
        <w:t> </w:t>
      </w:r>
      <w:r>
        <w:rPr>
          <w:spacing w:val="-6"/>
        </w:rPr>
        <w:t> </w:t>
      </w:r>
      <w:r>
        <w:rPr>
          <w:w w:val="111"/>
        </w:rPr>
        <w:t>disolución</w:t>
      </w:r>
      <w:r>
        <w:rPr/>
        <w:t> </w:t>
      </w:r>
      <w:r>
        <w:rPr>
          <w:spacing w:val="-6"/>
        </w:rPr>
        <w:t> </w:t>
      </w:r>
      <w:r>
        <w:rPr>
          <w:w w:val="107"/>
        </w:rPr>
        <w:t>de</w:t>
      </w:r>
      <w:r>
        <w:rPr/>
        <w:t> </w:t>
      </w:r>
      <w:r>
        <w:rPr>
          <w:spacing w:val="-6"/>
        </w:rPr>
        <w:t> </w:t>
      </w:r>
      <w:r>
        <w:rPr>
          <w:w w:val="111"/>
        </w:rPr>
        <w:t>la </w:t>
      </w:r>
      <w:r>
        <w:rPr>
          <w:w w:val="110"/>
        </w:rPr>
        <w:t>unión soviética y el consecuente fin de la Guerra Fría provocaron un cambio en el vínculo con los demás países del continente. reforza-     do el poder de Estados unidos como gendarme planetario –aunque    el mundo unipolar augurado por Fukuyama fue una ilusión que se desvaneció rápidamente– Washington procuró la consolidación de su hegemonía hemisférica. El presidente George bush lanzó, en 1990, la </w:t>
      </w:r>
      <w:r>
        <w:rPr>
          <w:i/>
          <w:w w:val="110"/>
        </w:rPr>
        <w:t>Iniciativa para las Américas</w:t>
      </w:r>
      <w:r>
        <w:rPr>
          <w:w w:val="110"/>
        </w:rPr>
        <w:t>. </w:t>
      </w:r>
      <w:r>
        <w:rPr>
          <w:spacing w:val="-5"/>
          <w:w w:val="110"/>
        </w:rPr>
        <w:t>tres </w:t>
      </w:r>
      <w:r>
        <w:rPr>
          <w:w w:val="110"/>
        </w:rPr>
        <w:t>años más tarde, su sucesor bill Clin- ton concretaría este proyecto con la primera Cumbre interamericana de Jefes de </w:t>
      </w:r>
      <w:r>
        <w:rPr>
          <w:spacing w:val="9"/>
          <w:w w:val="110"/>
        </w:rPr>
        <w:t> </w:t>
      </w:r>
      <w:r>
        <w:rPr>
          <w:w w:val="110"/>
        </w:rPr>
        <w:t>Estado.</w:t>
      </w:r>
    </w:p>
    <w:p>
      <w:pPr>
        <w:pStyle w:val="BodyText"/>
        <w:spacing w:line="252" w:lineRule="auto"/>
        <w:ind w:left="330" w:right="117" w:firstLine="396"/>
        <w:jc w:val="right"/>
      </w:pPr>
      <w:r>
        <w:rPr>
          <w:w w:val="115"/>
        </w:rPr>
        <w:t>En</w:t>
      </w:r>
      <w:r>
        <w:rPr>
          <w:spacing w:val="-5"/>
          <w:w w:val="115"/>
        </w:rPr>
        <w:t> </w:t>
      </w:r>
      <w:r>
        <w:rPr>
          <w:w w:val="115"/>
        </w:rPr>
        <w:t>el</w:t>
      </w:r>
      <w:r>
        <w:rPr>
          <w:spacing w:val="-5"/>
          <w:w w:val="115"/>
        </w:rPr>
        <w:t> </w:t>
      </w:r>
      <w:r>
        <w:rPr>
          <w:w w:val="115"/>
        </w:rPr>
        <w:t>marco</w:t>
      </w:r>
      <w:r>
        <w:rPr>
          <w:spacing w:val="-5"/>
          <w:w w:val="115"/>
        </w:rPr>
        <w:t> </w:t>
      </w:r>
      <w:r>
        <w:rPr>
          <w:w w:val="115"/>
        </w:rPr>
        <w:t>del</w:t>
      </w:r>
      <w:r>
        <w:rPr>
          <w:spacing w:val="-5"/>
          <w:w w:val="115"/>
        </w:rPr>
        <w:t> </w:t>
      </w:r>
      <w:r>
        <w:rPr>
          <w:i/>
          <w:w w:val="115"/>
        </w:rPr>
        <w:t>Consenso</w:t>
      </w:r>
      <w:r>
        <w:rPr>
          <w:i/>
          <w:spacing w:val="-5"/>
          <w:w w:val="115"/>
        </w:rPr>
        <w:t> </w:t>
      </w:r>
      <w:r>
        <w:rPr>
          <w:i/>
          <w:w w:val="115"/>
        </w:rPr>
        <w:t>de</w:t>
      </w:r>
      <w:r>
        <w:rPr>
          <w:i/>
          <w:spacing w:val="-5"/>
          <w:w w:val="115"/>
        </w:rPr>
        <w:t> </w:t>
      </w:r>
      <w:r>
        <w:rPr>
          <w:i/>
          <w:spacing w:val="-3"/>
          <w:w w:val="115"/>
        </w:rPr>
        <w:t>Washington</w:t>
      </w:r>
      <w:r>
        <w:rPr>
          <w:spacing w:val="-3"/>
          <w:w w:val="115"/>
        </w:rPr>
        <w:t>,</w:t>
      </w:r>
      <w:r>
        <w:rPr>
          <w:spacing w:val="-5"/>
          <w:w w:val="115"/>
        </w:rPr>
        <w:t> </w:t>
      </w:r>
      <w:r>
        <w:rPr>
          <w:w w:val="115"/>
        </w:rPr>
        <w:t>Estados</w:t>
      </w:r>
      <w:r>
        <w:rPr>
          <w:spacing w:val="-5"/>
          <w:w w:val="115"/>
        </w:rPr>
        <w:t> </w:t>
      </w:r>
      <w:r>
        <w:rPr>
          <w:w w:val="115"/>
        </w:rPr>
        <w:t>unidos</w:t>
      </w:r>
      <w:r>
        <w:rPr>
          <w:spacing w:val="-5"/>
          <w:w w:val="115"/>
        </w:rPr>
        <w:t> </w:t>
      </w:r>
      <w:r>
        <w:rPr>
          <w:w w:val="115"/>
        </w:rPr>
        <w:t>impul-</w:t>
      </w:r>
      <w:r>
        <w:rPr>
          <w:w w:val="102"/>
        </w:rPr>
        <w:t> </w:t>
      </w:r>
      <w:r>
        <w:rPr>
          <w:spacing w:val="-2"/>
          <w:w w:val="110"/>
        </w:rPr>
        <w:t>sab</w:t>
      </w:r>
      <w:r>
        <w:rPr>
          <w:w w:val="110"/>
        </w:rPr>
        <w:t>a</w:t>
      </w:r>
      <w:r>
        <w:rPr>
          <w:spacing w:val="15"/>
        </w:rPr>
        <w:t> </w:t>
      </w:r>
      <w:r>
        <w:rPr>
          <w:spacing w:val="-2"/>
          <w:w w:val="107"/>
        </w:rPr>
        <w:t>e</w:t>
      </w:r>
      <w:r>
        <w:rPr>
          <w:w w:val="107"/>
        </w:rPr>
        <w:t>l</w:t>
      </w:r>
      <w:r>
        <w:rPr>
          <w:spacing w:val="14"/>
        </w:rPr>
        <w:t> </w:t>
      </w:r>
      <w:r>
        <w:rPr>
          <w:spacing w:val="-2"/>
          <w:w w:val="108"/>
        </w:rPr>
        <w:t>Áre</w:t>
      </w:r>
      <w:r>
        <w:rPr>
          <w:w w:val="108"/>
        </w:rPr>
        <w:t>a</w:t>
      </w:r>
      <w:r>
        <w:rPr>
          <w:spacing w:val="15"/>
        </w:rPr>
        <w:t> </w:t>
      </w:r>
      <w:r>
        <w:rPr>
          <w:spacing w:val="-2"/>
          <w:w w:val="107"/>
        </w:rPr>
        <w:t>d</w:t>
      </w:r>
      <w:r>
        <w:rPr>
          <w:w w:val="107"/>
        </w:rPr>
        <w:t>e</w:t>
      </w:r>
      <w:r>
        <w:rPr>
          <w:spacing w:val="15"/>
        </w:rPr>
        <w:t> </w:t>
      </w:r>
      <w:r>
        <w:rPr>
          <w:spacing w:val="-2"/>
          <w:w w:val="243"/>
        </w:rPr>
        <w:t>l</w:t>
      </w:r>
      <w:r>
        <w:rPr>
          <w:spacing w:val="-2"/>
          <w:w w:val="108"/>
        </w:rPr>
        <w:t>ibr</w:t>
      </w:r>
      <w:r>
        <w:rPr>
          <w:w w:val="108"/>
        </w:rPr>
        <w:t>e</w:t>
      </w:r>
      <w:r>
        <w:rPr>
          <w:spacing w:val="15"/>
        </w:rPr>
        <w:t> </w:t>
      </w:r>
      <w:r>
        <w:rPr>
          <w:spacing w:val="-2"/>
          <w:w w:val="112"/>
        </w:rPr>
        <w:t>Comerci</w:t>
      </w:r>
      <w:r>
        <w:rPr>
          <w:w w:val="112"/>
        </w:rPr>
        <w:t>o</w:t>
      </w:r>
      <w:r>
        <w:rPr>
          <w:spacing w:val="15"/>
        </w:rPr>
        <w:t> </w:t>
      </w:r>
      <w:r>
        <w:rPr>
          <w:spacing w:val="-2"/>
          <w:w w:val="107"/>
        </w:rPr>
        <w:t>d</w:t>
      </w:r>
      <w:r>
        <w:rPr>
          <w:w w:val="107"/>
        </w:rPr>
        <w:t>e</w:t>
      </w:r>
      <w:r>
        <w:rPr>
          <w:spacing w:val="15"/>
        </w:rPr>
        <w:t> </w:t>
      </w:r>
      <w:r>
        <w:rPr>
          <w:spacing w:val="-2"/>
          <w:w w:val="109"/>
        </w:rPr>
        <w:t>la</w:t>
      </w:r>
      <w:r>
        <w:rPr>
          <w:w w:val="109"/>
        </w:rPr>
        <w:t>s</w:t>
      </w:r>
      <w:r>
        <w:rPr>
          <w:spacing w:val="14"/>
        </w:rPr>
        <w:t> </w:t>
      </w:r>
      <w:r>
        <w:rPr>
          <w:spacing w:val="-2"/>
          <w:w w:val="139"/>
        </w:rPr>
        <w:t>a</w:t>
      </w:r>
      <w:r>
        <w:rPr>
          <w:spacing w:val="-2"/>
          <w:w w:val="110"/>
        </w:rPr>
        <w:t>mérica</w:t>
      </w:r>
      <w:r>
        <w:rPr>
          <w:w w:val="110"/>
        </w:rPr>
        <w:t>s</w:t>
      </w:r>
      <w:r>
        <w:rPr>
          <w:spacing w:val="15"/>
        </w:rPr>
        <w:t> </w:t>
      </w:r>
      <w:r>
        <w:rPr>
          <w:spacing w:val="-2"/>
          <w:w w:val="98"/>
        </w:rPr>
        <w:t>(</w:t>
      </w:r>
      <w:r>
        <w:rPr>
          <w:spacing w:val="-2"/>
          <w:w w:val="176"/>
        </w:rPr>
        <w:t>al</w:t>
      </w:r>
      <w:r>
        <w:rPr>
          <w:spacing w:val="-2"/>
          <w:w w:val="124"/>
        </w:rPr>
        <w:t>C</w:t>
      </w:r>
      <w:r>
        <w:rPr>
          <w:spacing w:val="-2"/>
          <w:w w:val="139"/>
        </w:rPr>
        <w:t>a</w:t>
      </w:r>
      <w:r>
        <w:rPr>
          <w:w w:val="98"/>
        </w:rPr>
        <w:t>)</w:t>
      </w:r>
      <w:r>
        <w:rPr>
          <w:spacing w:val="15"/>
        </w:rPr>
        <w:t> </w:t>
      </w:r>
      <w:r>
        <w:rPr>
          <w:spacing w:val="-24"/>
          <w:w w:val="105"/>
        </w:rPr>
        <w:t>y</w:t>
      </w:r>
      <w:r>
        <w:rPr>
          <w:w w:val="138"/>
        </w:rPr>
        <w:t>,</w:t>
      </w:r>
      <w:r>
        <w:rPr>
          <w:spacing w:val="14"/>
        </w:rPr>
        <w:t> </w:t>
      </w:r>
      <w:r>
        <w:rPr>
          <w:spacing w:val="-2"/>
          <w:w w:val="109"/>
        </w:rPr>
        <w:t>par</w:t>
      </w:r>
      <w:r>
        <w:rPr>
          <w:w w:val="109"/>
        </w:rPr>
        <w:t>a</w:t>
      </w:r>
      <w:r>
        <w:rPr>
          <w:spacing w:val="15"/>
        </w:rPr>
        <w:t> </w:t>
      </w:r>
      <w:r>
        <w:rPr>
          <w:spacing w:val="-2"/>
          <w:w w:val="109"/>
        </w:rPr>
        <w:t>instr</w:t>
      </w:r>
      <w:r>
        <w:rPr>
          <w:spacing w:val="-3"/>
          <w:w w:val="109"/>
        </w:rPr>
        <w:t>u</w:t>
      </w:r>
      <w:r>
        <w:rPr>
          <w:w w:val="102"/>
        </w:rPr>
        <w:t>- </w:t>
      </w:r>
      <w:r>
        <w:rPr>
          <w:w w:val="110"/>
        </w:rPr>
        <w:t>mentar ese proyecto hegemónico, propuso realizar</w:t>
      </w:r>
      <w:r>
        <w:rPr>
          <w:spacing w:val="-25"/>
          <w:w w:val="110"/>
        </w:rPr>
        <w:t> </w:t>
      </w:r>
      <w:r>
        <w:rPr>
          <w:w w:val="110"/>
        </w:rPr>
        <w:t>cumbres</w:t>
      </w:r>
      <w:r>
        <w:rPr>
          <w:spacing w:val="-5"/>
          <w:w w:val="110"/>
        </w:rPr>
        <w:t> </w:t>
      </w:r>
      <w:r>
        <w:rPr>
          <w:w w:val="110"/>
        </w:rPr>
        <w:t>presiden-</w:t>
      </w:r>
      <w:r>
        <w:rPr>
          <w:w w:val="102"/>
        </w:rPr>
        <w:t> </w:t>
      </w:r>
      <w:r>
        <w:rPr>
          <w:w w:val="115"/>
        </w:rPr>
        <w:t>ciales,</w:t>
      </w:r>
      <w:r>
        <w:rPr>
          <w:spacing w:val="-34"/>
          <w:w w:val="115"/>
        </w:rPr>
        <w:t> </w:t>
      </w:r>
      <w:r>
        <w:rPr>
          <w:w w:val="115"/>
        </w:rPr>
        <w:t>incluyendo</w:t>
      </w:r>
      <w:r>
        <w:rPr>
          <w:spacing w:val="-34"/>
          <w:w w:val="115"/>
        </w:rPr>
        <w:t> </w:t>
      </w:r>
      <w:r>
        <w:rPr>
          <w:w w:val="115"/>
        </w:rPr>
        <w:t>a</w:t>
      </w:r>
      <w:r>
        <w:rPr>
          <w:spacing w:val="-34"/>
          <w:w w:val="115"/>
        </w:rPr>
        <w:t> </w:t>
      </w:r>
      <w:r>
        <w:rPr>
          <w:w w:val="115"/>
        </w:rPr>
        <w:t>los</w:t>
      </w:r>
      <w:r>
        <w:rPr>
          <w:spacing w:val="-34"/>
          <w:w w:val="115"/>
        </w:rPr>
        <w:t> </w:t>
      </w:r>
      <w:r>
        <w:rPr>
          <w:w w:val="115"/>
        </w:rPr>
        <w:t>34</w:t>
      </w:r>
      <w:r>
        <w:rPr>
          <w:spacing w:val="-34"/>
          <w:w w:val="115"/>
        </w:rPr>
        <w:t> </w:t>
      </w:r>
      <w:r>
        <w:rPr>
          <w:w w:val="115"/>
        </w:rPr>
        <w:t>países</w:t>
      </w:r>
      <w:r>
        <w:rPr>
          <w:spacing w:val="-34"/>
          <w:w w:val="115"/>
        </w:rPr>
        <w:t> </w:t>
      </w:r>
      <w:r>
        <w:rPr>
          <w:w w:val="115"/>
        </w:rPr>
        <w:t>que</w:t>
      </w:r>
      <w:r>
        <w:rPr>
          <w:spacing w:val="-34"/>
          <w:w w:val="115"/>
        </w:rPr>
        <w:t> </w:t>
      </w:r>
      <w:r>
        <w:rPr>
          <w:w w:val="115"/>
        </w:rPr>
        <w:t>constituían</w:t>
      </w:r>
      <w:r>
        <w:rPr>
          <w:spacing w:val="-34"/>
          <w:w w:val="115"/>
        </w:rPr>
        <w:t> </w:t>
      </w:r>
      <w:r>
        <w:rPr>
          <w:w w:val="115"/>
        </w:rPr>
        <w:t>la</w:t>
      </w:r>
      <w:r>
        <w:rPr>
          <w:spacing w:val="-34"/>
          <w:w w:val="115"/>
        </w:rPr>
        <w:t> </w:t>
      </w:r>
      <w:r>
        <w:rPr>
          <w:w w:val="115"/>
        </w:rPr>
        <w:t>organización</w:t>
      </w:r>
      <w:r>
        <w:rPr>
          <w:spacing w:val="-34"/>
          <w:w w:val="115"/>
        </w:rPr>
        <w:t> </w:t>
      </w:r>
      <w:r>
        <w:rPr>
          <w:w w:val="115"/>
        </w:rPr>
        <w:t>de</w:t>
      </w:r>
      <w:r>
        <w:rPr>
          <w:spacing w:val="-34"/>
          <w:w w:val="115"/>
        </w:rPr>
        <w:t> </w:t>
      </w:r>
      <w:r>
        <w:rPr>
          <w:spacing w:val="-2"/>
          <w:w w:val="115"/>
        </w:rPr>
        <w:t>los</w:t>
      </w:r>
      <w:r>
        <w:rPr>
          <w:spacing w:val="-2"/>
          <w:w w:val="108"/>
        </w:rPr>
        <w:t> </w:t>
      </w:r>
      <w:r>
        <w:rPr>
          <w:w w:val="115"/>
        </w:rPr>
        <w:t>Estados americanos (oEa) y dejando expresamente excluida</w:t>
      </w:r>
      <w:r>
        <w:rPr>
          <w:spacing w:val="-21"/>
          <w:w w:val="115"/>
        </w:rPr>
        <w:t> </w:t>
      </w:r>
      <w:r>
        <w:rPr>
          <w:w w:val="115"/>
        </w:rPr>
        <w:t>a</w:t>
      </w:r>
      <w:r>
        <w:rPr>
          <w:spacing w:val="-3"/>
          <w:w w:val="115"/>
        </w:rPr>
        <w:t> </w:t>
      </w:r>
      <w:r>
        <w:rPr>
          <w:w w:val="115"/>
        </w:rPr>
        <w:t>Cuba</w:t>
      </w:r>
      <w:r>
        <w:rPr>
          <w:spacing w:val="-2"/>
          <w:w w:val="115"/>
        </w:rPr>
        <w:t> </w:t>
      </w:r>
      <w:r>
        <w:rPr>
          <w:w w:val="110"/>
        </w:rPr>
        <w:t>(apartada</w:t>
      </w:r>
      <w:r>
        <w:rPr>
          <w:spacing w:val="-10"/>
          <w:w w:val="110"/>
        </w:rPr>
        <w:t> </w:t>
      </w:r>
      <w:r>
        <w:rPr>
          <w:w w:val="110"/>
        </w:rPr>
        <w:t>de</w:t>
      </w:r>
      <w:r>
        <w:rPr>
          <w:spacing w:val="-10"/>
          <w:w w:val="110"/>
        </w:rPr>
        <w:t> </w:t>
      </w:r>
      <w:r>
        <w:rPr>
          <w:w w:val="110"/>
        </w:rPr>
        <w:t>esa</w:t>
      </w:r>
      <w:r>
        <w:rPr>
          <w:spacing w:val="-10"/>
          <w:w w:val="110"/>
        </w:rPr>
        <w:t> </w:t>
      </w:r>
      <w:r>
        <w:rPr>
          <w:w w:val="110"/>
        </w:rPr>
        <w:t>institución</w:t>
      </w:r>
      <w:r>
        <w:rPr>
          <w:spacing w:val="-10"/>
          <w:w w:val="110"/>
        </w:rPr>
        <w:t> </w:t>
      </w:r>
      <w:r>
        <w:rPr>
          <w:w w:val="110"/>
        </w:rPr>
        <w:t>en</w:t>
      </w:r>
      <w:r>
        <w:rPr>
          <w:spacing w:val="-10"/>
          <w:w w:val="110"/>
        </w:rPr>
        <w:t> </w:t>
      </w:r>
      <w:r>
        <w:rPr>
          <w:w w:val="110"/>
        </w:rPr>
        <w:t>enero</w:t>
      </w:r>
      <w:r>
        <w:rPr>
          <w:spacing w:val="-10"/>
          <w:w w:val="110"/>
        </w:rPr>
        <w:t> </w:t>
      </w:r>
      <w:r>
        <w:rPr>
          <w:w w:val="110"/>
        </w:rPr>
        <w:t>de</w:t>
      </w:r>
      <w:r>
        <w:rPr>
          <w:spacing w:val="-10"/>
          <w:w w:val="110"/>
        </w:rPr>
        <w:t> </w:t>
      </w:r>
      <w:r>
        <w:rPr>
          <w:w w:val="110"/>
        </w:rPr>
        <w:t>1962,</w:t>
      </w:r>
      <w:r>
        <w:rPr>
          <w:spacing w:val="-10"/>
          <w:w w:val="110"/>
        </w:rPr>
        <w:t> </w:t>
      </w:r>
      <w:r>
        <w:rPr>
          <w:w w:val="110"/>
        </w:rPr>
        <w:t>con</w:t>
      </w:r>
      <w:r>
        <w:rPr>
          <w:spacing w:val="-10"/>
          <w:w w:val="110"/>
        </w:rPr>
        <w:t> </w:t>
      </w:r>
      <w:r>
        <w:rPr>
          <w:w w:val="110"/>
        </w:rPr>
        <w:t>los</w:t>
      </w:r>
      <w:r>
        <w:rPr>
          <w:spacing w:val="-10"/>
          <w:w w:val="110"/>
        </w:rPr>
        <w:t> </w:t>
      </w:r>
      <w:r>
        <w:rPr>
          <w:w w:val="110"/>
        </w:rPr>
        <w:t>votos</w:t>
      </w:r>
      <w:r>
        <w:rPr>
          <w:spacing w:val="-10"/>
          <w:w w:val="110"/>
        </w:rPr>
        <w:t> </w:t>
      </w:r>
      <w:r>
        <w:rPr>
          <w:w w:val="110"/>
        </w:rPr>
        <w:t>de</w:t>
      </w:r>
      <w:r>
        <w:rPr>
          <w:spacing w:val="-10"/>
          <w:w w:val="110"/>
        </w:rPr>
        <w:t> </w:t>
      </w:r>
      <w:r>
        <w:rPr>
          <w:w w:val="110"/>
        </w:rPr>
        <w:t>Estados</w:t>
      </w:r>
      <w:r>
        <w:rPr>
          <w:spacing w:val="-2"/>
          <w:w w:val="111"/>
        </w:rPr>
        <w:t> </w:t>
      </w:r>
      <w:r>
        <w:rPr>
          <w:spacing w:val="-2"/>
          <w:w w:val="140"/>
        </w:rPr>
        <w:t>u</w:t>
      </w:r>
      <w:r>
        <w:rPr>
          <w:spacing w:val="-2"/>
          <w:w w:val="110"/>
        </w:rPr>
        <w:t>nido</w:t>
      </w:r>
      <w:r>
        <w:rPr>
          <w:w w:val="110"/>
        </w:rPr>
        <w:t>s</w:t>
      </w:r>
      <w:r>
        <w:rPr>
          <w:spacing w:val="15"/>
        </w:rPr>
        <w:t> </w:t>
      </w:r>
      <w:r>
        <w:rPr>
          <w:w w:val="105"/>
        </w:rPr>
        <w:t>y</w:t>
      </w:r>
      <w:r>
        <w:rPr>
          <w:spacing w:val="15"/>
        </w:rPr>
        <w:t> </w:t>
      </w:r>
      <w:r>
        <w:rPr>
          <w:spacing w:val="-2"/>
          <w:w w:val="107"/>
        </w:rPr>
        <w:t>otro</w:t>
      </w:r>
      <w:r>
        <w:rPr>
          <w:w w:val="107"/>
        </w:rPr>
        <w:t>s</w:t>
      </w:r>
      <w:r>
        <w:rPr>
          <w:spacing w:val="15"/>
        </w:rPr>
        <w:t> </w:t>
      </w:r>
      <w:r>
        <w:rPr>
          <w:spacing w:val="-2"/>
          <w:w w:val="102"/>
        </w:rPr>
        <w:t>1</w:t>
      </w:r>
      <w:r>
        <w:rPr>
          <w:w w:val="102"/>
        </w:rPr>
        <w:t>3</w:t>
      </w:r>
      <w:r>
        <w:rPr>
          <w:spacing w:val="15"/>
        </w:rPr>
        <w:t> </w:t>
      </w:r>
      <w:r>
        <w:rPr>
          <w:spacing w:val="-2"/>
          <w:w w:val="108"/>
        </w:rPr>
        <w:t>paíse</w:t>
      </w:r>
      <w:r>
        <w:rPr>
          <w:w w:val="108"/>
        </w:rPr>
        <w:t>s</w:t>
      </w:r>
      <w:r>
        <w:rPr>
          <w:spacing w:val="15"/>
        </w:rPr>
        <w:t> </w:t>
      </w:r>
      <w:r>
        <w:rPr>
          <w:spacing w:val="-2"/>
          <w:w w:val="107"/>
        </w:rPr>
        <w:t>d</w:t>
      </w:r>
      <w:r>
        <w:rPr>
          <w:w w:val="107"/>
        </w:rPr>
        <w:t>e</w:t>
      </w:r>
      <w:r>
        <w:rPr>
          <w:spacing w:val="15"/>
        </w:rPr>
        <w:t> </w:t>
      </w:r>
      <w:r>
        <w:rPr>
          <w:spacing w:val="-2"/>
          <w:w w:val="111"/>
        </w:rPr>
        <w:t>l</w:t>
      </w:r>
      <w:r>
        <w:rPr>
          <w:w w:val="111"/>
        </w:rPr>
        <w:t>a</w:t>
      </w:r>
      <w:r>
        <w:rPr>
          <w:spacing w:val="15"/>
        </w:rPr>
        <w:t> </w:t>
      </w:r>
      <w:r>
        <w:rPr>
          <w:spacing w:val="-2"/>
          <w:w w:val="110"/>
        </w:rPr>
        <w:t>región)</w:t>
      </w:r>
      <w:r>
        <w:rPr>
          <w:w w:val="110"/>
        </w:rPr>
        <w:t>.</w:t>
      </w:r>
      <w:r>
        <w:rPr>
          <w:spacing w:val="15"/>
        </w:rPr>
        <w:t> </w:t>
      </w:r>
      <w:r>
        <w:rPr>
          <w:spacing w:val="-2"/>
          <w:w w:val="243"/>
        </w:rPr>
        <w:t>l</w:t>
      </w:r>
      <w:r>
        <w:rPr>
          <w:w w:val="112"/>
        </w:rPr>
        <w:t>a</w:t>
      </w:r>
      <w:r>
        <w:rPr>
          <w:spacing w:val="15"/>
        </w:rPr>
        <w:t> </w:t>
      </w:r>
      <w:r>
        <w:rPr>
          <w:spacing w:val="-2"/>
          <w:w w:val="111"/>
        </w:rPr>
        <w:t>primera</w:t>
      </w:r>
      <w:r>
        <w:rPr>
          <w:w w:val="111"/>
        </w:rPr>
        <w:t>,</w:t>
      </w:r>
      <w:r>
        <w:rPr>
          <w:spacing w:val="15"/>
        </w:rPr>
        <w:t> </w:t>
      </w:r>
      <w:r>
        <w:rPr>
          <w:spacing w:val="-2"/>
          <w:w w:val="111"/>
        </w:rPr>
        <w:t>n</w:t>
      </w:r>
      <w:r>
        <w:rPr>
          <w:w w:val="111"/>
        </w:rPr>
        <w:t>o</w:t>
      </w:r>
      <w:r>
        <w:rPr>
          <w:spacing w:val="15"/>
        </w:rPr>
        <w:t> </w:t>
      </w:r>
      <w:r>
        <w:rPr>
          <w:spacing w:val="-2"/>
          <w:w w:val="111"/>
        </w:rPr>
        <w:t>casualmente</w:t>
      </w:r>
      <w:r>
        <w:rPr>
          <w:w w:val="111"/>
        </w:rPr>
        <w:t>,</w:t>
      </w:r>
      <w:r>
        <w:rPr>
          <w:spacing w:val="15"/>
        </w:rPr>
        <w:t> </w:t>
      </w:r>
      <w:r>
        <w:rPr>
          <w:spacing w:val="-2"/>
          <w:w w:val="105"/>
        </w:rPr>
        <w:t>se </w:t>
      </w:r>
      <w:r>
        <w:rPr>
          <w:spacing w:val="-2"/>
          <w:w w:val="109"/>
        </w:rPr>
        <w:t>realiz</w:t>
      </w:r>
      <w:r>
        <w:rPr>
          <w:w w:val="109"/>
        </w:rPr>
        <w:t>ó</w:t>
      </w:r>
      <w:r>
        <w:rPr>
          <w:spacing w:val="20"/>
        </w:rPr>
        <w:t> </w:t>
      </w:r>
      <w:r>
        <w:rPr>
          <w:spacing w:val="-2"/>
          <w:w w:val="108"/>
        </w:rPr>
        <w:t>e</w:t>
      </w:r>
      <w:r>
        <w:rPr>
          <w:w w:val="108"/>
        </w:rPr>
        <w:t>n</w:t>
      </w:r>
      <w:r>
        <w:rPr>
          <w:spacing w:val="20"/>
        </w:rPr>
        <w:t> </w:t>
      </w:r>
      <w:r>
        <w:rPr>
          <w:spacing w:val="-2"/>
          <w:w w:val="117"/>
        </w:rPr>
        <w:t>Miami</w:t>
      </w:r>
      <w:r>
        <w:rPr>
          <w:w w:val="117"/>
        </w:rPr>
        <w:t>,</w:t>
      </w:r>
      <w:r>
        <w:rPr>
          <w:spacing w:val="20"/>
        </w:rPr>
        <w:t> </w:t>
      </w:r>
      <w:r>
        <w:rPr>
          <w:spacing w:val="-2"/>
          <w:w w:val="108"/>
        </w:rPr>
        <w:t>e</w:t>
      </w:r>
      <w:r>
        <w:rPr>
          <w:w w:val="108"/>
        </w:rPr>
        <w:t>n</w:t>
      </w:r>
      <w:r>
        <w:rPr>
          <w:spacing w:val="20"/>
        </w:rPr>
        <w:t> </w:t>
      </w:r>
      <w:r>
        <w:rPr>
          <w:spacing w:val="-2"/>
          <w:w w:val="105"/>
        </w:rPr>
        <w:t>1994</w:t>
      </w:r>
      <w:r>
        <w:rPr>
          <w:w w:val="105"/>
        </w:rPr>
        <w:t>.</w:t>
      </w:r>
      <w:r>
        <w:rPr>
          <w:spacing w:val="20"/>
        </w:rPr>
        <w:t> </w:t>
      </w:r>
      <w:r>
        <w:rPr>
          <w:spacing w:val="-2"/>
          <w:w w:val="243"/>
        </w:rPr>
        <w:t>l</w:t>
      </w:r>
      <w:r>
        <w:rPr>
          <w:spacing w:val="-2"/>
          <w:w w:val="109"/>
        </w:rPr>
        <w:t>ueg</w:t>
      </w:r>
      <w:r>
        <w:rPr>
          <w:w w:val="109"/>
        </w:rPr>
        <w:t>o</w:t>
      </w:r>
      <w:r>
        <w:rPr>
          <w:spacing w:val="20"/>
        </w:rPr>
        <w:t> </w:t>
      </w:r>
      <w:r>
        <w:rPr>
          <w:spacing w:val="-2"/>
          <w:w w:val="111"/>
        </w:rPr>
        <w:t>hub</w:t>
      </w:r>
      <w:r>
        <w:rPr>
          <w:w w:val="111"/>
        </w:rPr>
        <w:t>o</w:t>
      </w:r>
      <w:r>
        <w:rPr>
          <w:spacing w:val="20"/>
        </w:rPr>
        <w:t> </w:t>
      </w:r>
      <w:r>
        <w:rPr>
          <w:spacing w:val="-2"/>
          <w:w w:val="108"/>
        </w:rPr>
        <w:t>sucesiva</w:t>
      </w:r>
      <w:r>
        <w:rPr>
          <w:w w:val="108"/>
        </w:rPr>
        <w:t>s</w:t>
      </w:r>
      <w:r>
        <w:rPr>
          <w:spacing w:val="20"/>
        </w:rPr>
        <w:t> </w:t>
      </w:r>
      <w:r>
        <w:rPr>
          <w:spacing w:val="-2"/>
          <w:w w:val="109"/>
        </w:rPr>
        <w:t>reunione</w:t>
      </w:r>
      <w:r>
        <w:rPr>
          <w:w w:val="109"/>
        </w:rPr>
        <w:t>s</w:t>
      </w:r>
      <w:r>
        <w:rPr>
          <w:spacing w:val="20"/>
        </w:rPr>
        <w:t> </w:t>
      </w:r>
      <w:r>
        <w:rPr>
          <w:spacing w:val="-2"/>
          <w:w w:val="107"/>
        </w:rPr>
        <w:t>d</w:t>
      </w:r>
      <w:r>
        <w:rPr>
          <w:w w:val="107"/>
        </w:rPr>
        <w:t>e</w:t>
      </w:r>
      <w:r>
        <w:rPr>
          <w:spacing w:val="20"/>
        </w:rPr>
        <w:t> </w:t>
      </w:r>
      <w:r>
        <w:rPr>
          <w:spacing w:val="-2"/>
          <w:w w:val="108"/>
        </w:rPr>
        <w:t>jefe</w:t>
      </w:r>
      <w:r>
        <w:rPr>
          <w:w w:val="108"/>
        </w:rPr>
        <w:t>s</w:t>
      </w:r>
      <w:r>
        <w:rPr>
          <w:spacing w:val="20"/>
        </w:rPr>
        <w:t> </w:t>
      </w:r>
      <w:r>
        <w:rPr>
          <w:w w:val="105"/>
        </w:rPr>
        <w:t>y </w:t>
      </w:r>
      <w:r>
        <w:rPr>
          <w:w w:val="115"/>
        </w:rPr>
        <w:t>jefas</w:t>
      </w:r>
      <w:r>
        <w:rPr>
          <w:spacing w:val="-5"/>
          <w:w w:val="115"/>
        </w:rPr>
        <w:t> </w:t>
      </w:r>
      <w:r>
        <w:rPr>
          <w:w w:val="115"/>
        </w:rPr>
        <w:t>de</w:t>
      </w:r>
      <w:r>
        <w:rPr>
          <w:spacing w:val="-5"/>
          <w:w w:val="115"/>
        </w:rPr>
        <w:t> </w:t>
      </w:r>
      <w:r>
        <w:rPr>
          <w:w w:val="115"/>
        </w:rPr>
        <w:t>Estado</w:t>
      </w:r>
      <w:r>
        <w:rPr>
          <w:spacing w:val="-5"/>
          <w:w w:val="115"/>
        </w:rPr>
        <w:t> </w:t>
      </w:r>
      <w:r>
        <w:rPr>
          <w:w w:val="115"/>
        </w:rPr>
        <w:t>en</w:t>
      </w:r>
      <w:r>
        <w:rPr>
          <w:spacing w:val="-5"/>
          <w:w w:val="115"/>
        </w:rPr>
        <w:t> </w:t>
      </w:r>
      <w:r>
        <w:rPr>
          <w:w w:val="115"/>
        </w:rPr>
        <w:t>santiago</w:t>
      </w:r>
      <w:r>
        <w:rPr>
          <w:spacing w:val="-5"/>
          <w:w w:val="115"/>
        </w:rPr>
        <w:t> </w:t>
      </w:r>
      <w:r>
        <w:rPr>
          <w:w w:val="115"/>
        </w:rPr>
        <w:t>de</w:t>
      </w:r>
      <w:r>
        <w:rPr>
          <w:spacing w:val="-5"/>
          <w:w w:val="115"/>
        </w:rPr>
        <w:t> </w:t>
      </w:r>
      <w:r>
        <w:rPr>
          <w:w w:val="115"/>
        </w:rPr>
        <w:t>Chile</w:t>
      </w:r>
      <w:r>
        <w:rPr>
          <w:spacing w:val="-5"/>
          <w:w w:val="115"/>
        </w:rPr>
        <w:t> </w:t>
      </w:r>
      <w:r>
        <w:rPr>
          <w:w w:val="115"/>
        </w:rPr>
        <w:t>(1998),</w:t>
      </w:r>
      <w:r>
        <w:rPr>
          <w:spacing w:val="-5"/>
          <w:w w:val="115"/>
        </w:rPr>
        <w:t> </w:t>
      </w:r>
      <w:r>
        <w:rPr>
          <w:w w:val="115"/>
        </w:rPr>
        <w:t>Québec</w:t>
      </w:r>
      <w:r>
        <w:rPr>
          <w:spacing w:val="-5"/>
          <w:w w:val="115"/>
        </w:rPr>
        <w:t> </w:t>
      </w:r>
      <w:r>
        <w:rPr>
          <w:w w:val="115"/>
        </w:rPr>
        <w:t>(2001),</w:t>
      </w:r>
      <w:r>
        <w:rPr>
          <w:spacing w:val="-5"/>
          <w:w w:val="115"/>
        </w:rPr>
        <w:t> </w:t>
      </w:r>
      <w:r>
        <w:rPr>
          <w:w w:val="115"/>
        </w:rPr>
        <w:t>Mar</w:t>
      </w:r>
      <w:r>
        <w:rPr>
          <w:spacing w:val="-5"/>
          <w:w w:val="115"/>
        </w:rPr>
        <w:t> </w:t>
      </w:r>
      <w:r>
        <w:rPr>
          <w:spacing w:val="-2"/>
          <w:w w:val="115"/>
        </w:rPr>
        <w:t>del</w:t>
      </w:r>
      <w:r>
        <w:rPr>
          <w:spacing w:val="-2"/>
          <w:w w:val="107"/>
        </w:rPr>
        <w:t> </w:t>
      </w:r>
      <w:r>
        <w:rPr>
          <w:w w:val="110"/>
        </w:rPr>
        <w:t>Plata</w:t>
      </w:r>
      <w:r>
        <w:rPr>
          <w:spacing w:val="-26"/>
          <w:w w:val="110"/>
        </w:rPr>
        <w:t> </w:t>
      </w:r>
      <w:r>
        <w:rPr>
          <w:w w:val="110"/>
        </w:rPr>
        <w:t>(2005),</w:t>
      </w:r>
      <w:r>
        <w:rPr>
          <w:spacing w:val="-26"/>
          <w:w w:val="110"/>
        </w:rPr>
        <w:t> </w:t>
      </w:r>
      <w:r>
        <w:rPr>
          <w:w w:val="110"/>
        </w:rPr>
        <w:t>Puerto</w:t>
      </w:r>
      <w:r>
        <w:rPr>
          <w:spacing w:val="-26"/>
          <w:w w:val="110"/>
        </w:rPr>
        <w:t> </w:t>
      </w:r>
      <w:r>
        <w:rPr>
          <w:w w:val="110"/>
        </w:rPr>
        <w:t>España</w:t>
      </w:r>
      <w:r>
        <w:rPr>
          <w:spacing w:val="-26"/>
          <w:w w:val="110"/>
        </w:rPr>
        <w:t> </w:t>
      </w:r>
      <w:r>
        <w:rPr>
          <w:w w:val="110"/>
        </w:rPr>
        <w:t>(2009),</w:t>
      </w:r>
      <w:r>
        <w:rPr>
          <w:spacing w:val="-26"/>
          <w:w w:val="110"/>
        </w:rPr>
        <w:t> </w:t>
      </w:r>
      <w:r>
        <w:rPr>
          <w:w w:val="110"/>
        </w:rPr>
        <w:t>Cartagena</w:t>
      </w:r>
      <w:r>
        <w:rPr>
          <w:spacing w:val="-26"/>
          <w:w w:val="110"/>
        </w:rPr>
        <w:t> </w:t>
      </w:r>
      <w:r>
        <w:rPr>
          <w:w w:val="110"/>
        </w:rPr>
        <w:t>(2012)</w:t>
      </w:r>
      <w:r>
        <w:rPr>
          <w:spacing w:val="-26"/>
          <w:w w:val="110"/>
        </w:rPr>
        <w:t> </w:t>
      </w:r>
      <w:r>
        <w:rPr>
          <w:w w:val="110"/>
        </w:rPr>
        <w:t>y</w:t>
      </w:r>
      <w:r>
        <w:rPr>
          <w:spacing w:val="-26"/>
          <w:w w:val="110"/>
        </w:rPr>
        <w:t> </w:t>
      </w:r>
      <w:r>
        <w:rPr>
          <w:w w:val="110"/>
        </w:rPr>
        <w:t>Panamá</w:t>
      </w:r>
      <w:r>
        <w:rPr>
          <w:spacing w:val="-26"/>
          <w:w w:val="110"/>
        </w:rPr>
        <w:t> </w:t>
      </w:r>
      <w:r>
        <w:rPr>
          <w:w w:val="110"/>
        </w:rPr>
        <w:t>(2015).</w:t>
      </w:r>
      <w:r>
        <w:rPr>
          <w:spacing w:val="-2"/>
          <w:w w:val="103"/>
        </w:rPr>
        <w:t> </w:t>
      </w:r>
      <w:r>
        <w:rPr>
          <w:w w:val="115"/>
        </w:rPr>
        <w:t>El</w:t>
      </w:r>
      <w:r>
        <w:rPr>
          <w:spacing w:val="-6"/>
          <w:w w:val="115"/>
        </w:rPr>
        <w:t> </w:t>
      </w:r>
      <w:r>
        <w:rPr>
          <w:w w:val="115"/>
        </w:rPr>
        <w:t>proyecto</w:t>
      </w:r>
      <w:r>
        <w:rPr>
          <w:spacing w:val="-6"/>
          <w:w w:val="115"/>
        </w:rPr>
        <w:t> </w:t>
      </w:r>
      <w:r>
        <w:rPr>
          <w:w w:val="115"/>
        </w:rPr>
        <w:t>del</w:t>
      </w:r>
      <w:r>
        <w:rPr>
          <w:spacing w:val="-6"/>
          <w:w w:val="115"/>
        </w:rPr>
        <w:t> </w:t>
      </w:r>
      <w:r>
        <w:rPr>
          <w:w w:val="150"/>
        </w:rPr>
        <w:t>alCa</w:t>
      </w:r>
      <w:r>
        <w:rPr>
          <w:spacing w:val="-21"/>
          <w:w w:val="150"/>
        </w:rPr>
        <w:t> </w:t>
      </w:r>
      <w:r>
        <w:rPr>
          <w:w w:val="115"/>
        </w:rPr>
        <w:t>avanzó</w:t>
      </w:r>
      <w:r>
        <w:rPr>
          <w:spacing w:val="-6"/>
          <w:w w:val="115"/>
        </w:rPr>
        <w:t> </w:t>
      </w:r>
      <w:r>
        <w:rPr>
          <w:w w:val="115"/>
        </w:rPr>
        <w:t>sin</w:t>
      </w:r>
      <w:r>
        <w:rPr>
          <w:spacing w:val="-6"/>
          <w:w w:val="115"/>
        </w:rPr>
        <w:t> </w:t>
      </w:r>
      <w:r>
        <w:rPr>
          <w:w w:val="115"/>
        </w:rPr>
        <w:t>demasiadas</w:t>
      </w:r>
      <w:r>
        <w:rPr>
          <w:spacing w:val="-6"/>
          <w:w w:val="115"/>
        </w:rPr>
        <w:t> </w:t>
      </w:r>
      <w:r>
        <w:rPr>
          <w:w w:val="115"/>
        </w:rPr>
        <w:t>oposiciones</w:t>
      </w:r>
      <w:r>
        <w:rPr>
          <w:spacing w:val="-6"/>
          <w:w w:val="115"/>
        </w:rPr>
        <w:t> </w:t>
      </w:r>
      <w:r>
        <w:rPr>
          <w:w w:val="115"/>
        </w:rPr>
        <w:t>en</w:t>
      </w:r>
      <w:r>
        <w:rPr>
          <w:spacing w:val="-6"/>
          <w:w w:val="115"/>
        </w:rPr>
        <w:t> </w:t>
      </w:r>
      <w:r>
        <w:rPr>
          <w:w w:val="115"/>
        </w:rPr>
        <w:t>los</w:t>
      </w:r>
      <w:r>
        <w:rPr>
          <w:w w:val="108"/>
        </w:rPr>
        <w:t> </w:t>
      </w:r>
      <w:r>
        <w:rPr>
          <w:w w:val="110"/>
        </w:rPr>
        <w:t>primeros cónclaves continentales, hasta que en 2001 emergió,</w:t>
      </w:r>
      <w:r>
        <w:rPr>
          <w:spacing w:val="-32"/>
          <w:w w:val="110"/>
        </w:rPr>
        <w:t> </w:t>
      </w:r>
      <w:r>
        <w:rPr>
          <w:w w:val="110"/>
        </w:rPr>
        <w:t>por</w:t>
      </w:r>
      <w:r>
        <w:rPr>
          <w:spacing w:val="-4"/>
          <w:w w:val="110"/>
        </w:rPr>
        <w:t> </w:t>
      </w:r>
      <w:r>
        <w:rPr>
          <w:w w:val="110"/>
        </w:rPr>
        <w:t>pri-</w:t>
      </w:r>
      <w:r>
        <w:rPr>
          <w:w w:val="102"/>
        </w:rPr>
        <w:t> </w:t>
      </w:r>
      <w:r>
        <w:rPr>
          <w:w w:val="115"/>
        </w:rPr>
        <w:t>mera</w:t>
      </w:r>
      <w:r>
        <w:rPr>
          <w:spacing w:val="-30"/>
          <w:w w:val="115"/>
        </w:rPr>
        <w:t> </w:t>
      </w:r>
      <w:r>
        <w:rPr>
          <w:w w:val="115"/>
        </w:rPr>
        <w:t>vez,</w:t>
      </w:r>
      <w:r>
        <w:rPr>
          <w:spacing w:val="-30"/>
          <w:w w:val="115"/>
        </w:rPr>
        <w:t> </w:t>
      </w:r>
      <w:r>
        <w:rPr>
          <w:w w:val="115"/>
        </w:rPr>
        <w:t>una</w:t>
      </w:r>
      <w:r>
        <w:rPr>
          <w:spacing w:val="-30"/>
          <w:w w:val="115"/>
        </w:rPr>
        <w:t> </w:t>
      </w:r>
      <w:r>
        <w:rPr>
          <w:w w:val="115"/>
        </w:rPr>
        <w:t>voz</w:t>
      </w:r>
      <w:r>
        <w:rPr>
          <w:spacing w:val="-30"/>
          <w:w w:val="115"/>
        </w:rPr>
        <w:t> </w:t>
      </w:r>
      <w:r>
        <w:rPr>
          <w:w w:val="115"/>
        </w:rPr>
        <w:t>claramente</w:t>
      </w:r>
      <w:r>
        <w:rPr>
          <w:spacing w:val="-30"/>
          <w:w w:val="115"/>
        </w:rPr>
        <w:t> </w:t>
      </w:r>
      <w:r>
        <w:rPr>
          <w:w w:val="115"/>
        </w:rPr>
        <w:t>disonante,</w:t>
      </w:r>
      <w:r>
        <w:rPr>
          <w:spacing w:val="-30"/>
          <w:w w:val="115"/>
        </w:rPr>
        <w:t> </w:t>
      </w:r>
      <w:r>
        <w:rPr>
          <w:w w:val="115"/>
        </w:rPr>
        <w:t>la</w:t>
      </w:r>
      <w:r>
        <w:rPr>
          <w:spacing w:val="-30"/>
          <w:w w:val="115"/>
        </w:rPr>
        <w:t> </w:t>
      </w:r>
      <w:r>
        <w:rPr>
          <w:w w:val="115"/>
        </w:rPr>
        <w:t>del</w:t>
      </w:r>
      <w:r>
        <w:rPr>
          <w:spacing w:val="-30"/>
          <w:w w:val="115"/>
        </w:rPr>
        <w:t> </w:t>
      </w:r>
      <w:r>
        <w:rPr>
          <w:w w:val="115"/>
        </w:rPr>
        <w:t>presidente</w:t>
      </w:r>
      <w:r>
        <w:rPr>
          <w:spacing w:val="-30"/>
          <w:w w:val="115"/>
        </w:rPr>
        <w:t> </w:t>
      </w:r>
      <w:r>
        <w:rPr>
          <w:w w:val="115"/>
        </w:rPr>
        <w:t>venezolano</w:t>
      </w:r>
      <w:r>
        <w:rPr>
          <w:w w:val="109"/>
        </w:rPr>
        <w:t> </w:t>
      </w:r>
      <w:r>
        <w:rPr>
          <w:w w:val="115"/>
        </w:rPr>
        <w:t>Hugo</w:t>
      </w:r>
      <w:r>
        <w:rPr>
          <w:spacing w:val="-13"/>
          <w:w w:val="115"/>
        </w:rPr>
        <w:t> </w:t>
      </w:r>
      <w:r>
        <w:rPr>
          <w:w w:val="115"/>
        </w:rPr>
        <w:t>Chávez,</w:t>
      </w:r>
      <w:r>
        <w:rPr>
          <w:spacing w:val="-13"/>
          <w:w w:val="115"/>
        </w:rPr>
        <w:t> </w:t>
      </w:r>
      <w:r>
        <w:rPr>
          <w:w w:val="115"/>
        </w:rPr>
        <w:t>quien</w:t>
      </w:r>
      <w:r>
        <w:rPr>
          <w:spacing w:val="-13"/>
          <w:w w:val="115"/>
        </w:rPr>
        <w:t> </w:t>
      </w:r>
      <w:r>
        <w:rPr>
          <w:w w:val="115"/>
        </w:rPr>
        <w:t>cuestionó,</w:t>
      </w:r>
      <w:r>
        <w:rPr>
          <w:spacing w:val="-13"/>
          <w:w w:val="115"/>
        </w:rPr>
        <w:t> </w:t>
      </w:r>
      <w:r>
        <w:rPr>
          <w:w w:val="115"/>
        </w:rPr>
        <w:t>casi</w:t>
      </w:r>
      <w:r>
        <w:rPr>
          <w:spacing w:val="-13"/>
          <w:w w:val="115"/>
        </w:rPr>
        <w:t> </w:t>
      </w:r>
      <w:r>
        <w:rPr>
          <w:w w:val="115"/>
        </w:rPr>
        <w:t>en</w:t>
      </w:r>
      <w:r>
        <w:rPr>
          <w:spacing w:val="-13"/>
          <w:w w:val="115"/>
        </w:rPr>
        <w:t> </w:t>
      </w:r>
      <w:r>
        <w:rPr>
          <w:w w:val="115"/>
        </w:rPr>
        <w:t>soledad,</w:t>
      </w:r>
      <w:r>
        <w:rPr>
          <w:spacing w:val="-13"/>
          <w:w w:val="115"/>
        </w:rPr>
        <w:t> </w:t>
      </w:r>
      <w:r>
        <w:rPr>
          <w:w w:val="115"/>
        </w:rPr>
        <w:t>la</w:t>
      </w:r>
      <w:r>
        <w:rPr>
          <w:spacing w:val="-13"/>
          <w:w w:val="115"/>
        </w:rPr>
        <w:t> </w:t>
      </w:r>
      <w:r>
        <w:rPr>
          <w:w w:val="115"/>
        </w:rPr>
        <w:t>iniciativa</w:t>
      </w:r>
      <w:r>
        <w:rPr>
          <w:spacing w:val="-13"/>
          <w:w w:val="115"/>
        </w:rPr>
        <w:t> </w:t>
      </w:r>
      <w:r>
        <w:rPr>
          <w:w w:val="115"/>
        </w:rPr>
        <w:t>de</w:t>
      </w:r>
      <w:r>
        <w:rPr>
          <w:spacing w:val="-13"/>
          <w:w w:val="115"/>
        </w:rPr>
        <w:t> </w:t>
      </w:r>
      <w:r>
        <w:rPr>
          <w:spacing w:val="-3"/>
          <w:w w:val="115"/>
        </w:rPr>
        <w:t>Wash-</w:t>
      </w:r>
      <w:r>
        <w:rPr>
          <w:w w:val="102"/>
        </w:rPr>
        <w:t> </w:t>
      </w:r>
      <w:r>
        <w:rPr>
          <w:w w:val="115"/>
        </w:rPr>
        <w:t>ington.</w:t>
      </w:r>
      <w:r>
        <w:rPr>
          <w:spacing w:val="-15"/>
          <w:w w:val="115"/>
        </w:rPr>
        <w:t> </w:t>
      </w:r>
      <w:r>
        <w:rPr>
          <w:w w:val="115"/>
        </w:rPr>
        <w:t>Pocos</w:t>
      </w:r>
      <w:r>
        <w:rPr>
          <w:spacing w:val="-15"/>
          <w:w w:val="115"/>
        </w:rPr>
        <w:t> </w:t>
      </w:r>
      <w:r>
        <w:rPr>
          <w:w w:val="115"/>
        </w:rPr>
        <w:t>meses</w:t>
      </w:r>
      <w:r>
        <w:rPr>
          <w:spacing w:val="-15"/>
          <w:w w:val="115"/>
        </w:rPr>
        <w:t> </w:t>
      </w:r>
      <w:r>
        <w:rPr>
          <w:w w:val="115"/>
        </w:rPr>
        <w:t>antes</w:t>
      </w:r>
      <w:r>
        <w:rPr>
          <w:spacing w:val="-15"/>
          <w:w w:val="115"/>
        </w:rPr>
        <w:t> </w:t>
      </w:r>
      <w:r>
        <w:rPr>
          <w:w w:val="115"/>
        </w:rPr>
        <w:t>se</w:t>
      </w:r>
      <w:r>
        <w:rPr>
          <w:spacing w:val="-15"/>
          <w:w w:val="115"/>
        </w:rPr>
        <w:t> </w:t>
      </w:r>
      <w:r>
        <w:rPr>
          <w:w w:val="115"/>
        </w:rPr>
        <w:t>realizaba</w:t>
      </w:r>
      <w:r>
        <w:rPr>
          <w:spacing w:val="-15"/>
          <w:w w:val="115"/>
        </w:rPr>
        <w:t> </w:t>
      </w:r>
      <w:r>
        <w:rPr>
          <w:w w:val="115"/>
        </w:rPr>
        <w:t>el</w:t>
      </w:r>
      <w:r>
        <w:rPr>
          <w:spacing w:val="-15"/>
          <w:w w:val="115"/>
        </w:rPr>
        <w:t> </w:t>
      </w:r>
      <w:r>
        <w:rPr>
          <w:w w:val="115"/>
        </w:rPr>
        <w:t>primer</w:t>
      </w:r>
      <w:r>
        <w:rPr>
          <w:spacing w:val="-15"/>
          <w:w w:val="115"/>
        </w:rPr>
        <w:t> </w:t>
      </w:r>
      <w:r>
        <w:rPr>
          <w:w w:val="115"/>
        </w:rPr>
        <w:t>Foro</w:t>
      </w:r>
      <w:r>
        <w:rPr>
          <w:spacing w:val="-15"/>
          <w:w w:val="115"/>
        </w:rPr>
        <w:t> </w:t>
      </w:r>
      <w:r>
        <w:rPr>
          <w:w w:val="115"/>
        </w:rPr>
        <w:t>social</w:t>
      </w:r>
      <w:r>
        <w:rPr>
          <w:spacing w:val="-15"/>
          <w:w w:val="115"/>
        </w:rPr>
        <w:t> </w:t>
      </w:r>
      <w:r>
        <w:rPr>
          <w:w w:val="115"/>
        </w:rPr>
        <w:t>Mundial</w:t>
      </w:r>
      <w:r>
        <w:rPr>
          <w:w w:val="113"/>
        </w:rPr>
        <w:t> </w:t>
      </w:r>
      <w:r>
        <w:rPr>
          <w:w w:val="115"/>
        </w:rPr>
        <w:t>en</w:t>
      </w:r>
      <w:r>
        <w:rPr>
          <w:spacing w:val="-12"/>
          <w:w w:val="115"/>
        </w:rPr>
        <w:t> </w:t>
      </w:r>
      <w:r>
        <w:rPr>
          <w:w w:val="115"/>
        </w:rPr>
        <w:t>Porto</w:t>
      </w:r>
      <w:r>
        <w:rPr>
          <w:spacing w:val="-12"/>
          <w:w w:val="115"/>
        </w:rPr>
        <w:t> </w:t>
      </w:r>
      <w:r>
        <w:rPr>
          <w:w w:val="115"/>
        </w:rPr>
        <w:t>alegre,</w:t>
      </w:r>
      <w:r>
        <w:rPr>
          <w:spacing w:val="-12"/>
          <w:w w:val="115"/>
        </w:rPr>
        <w:t> </w:t>
      </w:r>
      <w:r>
        <w:rPr>
          <w:w w:val="115"/>
        </w:rPr>
        <w:t>que</w:t>
      </w:r>
      <w:r>
        <w:rPr>
          <w:spacing w:val="-12"/>
          <w:w w:val="115"/>
        </w:rPr>
        <w:t> </w:t>
      </w:r>
      <w:r>
        <w:rPr>
          <w:w w:val="115"/>
        </w:rPr>
        <w:t>se</w:t>
      </w:r>
      <w:r>
        <w:rPr>
          <w:spacing w:val="-12"/>
          <w:w w:val="115"/>
        </w:rPr>
        <w:t> </w:t>
      </w:r>
      <w:r>
        <w:rPr>
          <w:w w:val="115"/>
        </w:rPr>
        <w:t>transformaría</w:t>
      </w:r>
      <w:r>
        <w:rPr>
          <w:spacing w:val="-12"/>
          <w:w w:val="115"/>
        </w:rPr>
        <w:t> </w:t>
      </w:r>
      <w:r>
        <w:rPr>
          <w:w w:val="115"/>
        </w:rPr>
        <w:t>en</w:t>
      </w:r>
      <w:r>
        <w:rPr>
          <w:spacing w:val="-12"/>
          <w:w w:val="115"/>
        </w:rPr>
        <w:t> </w:t>
      </w:r>
      <w:r>
        <w:rPr>
          <w:w w:val="115"/>
        </w:rPr>
        <w:t>un</w:t>
      </w:r>
      <w:r>
        <w:rPr>
          <w:spacing w:val="-12"/>
          <w:w w:val="115"/>
        </w:rPr>
        <w:t> </w:t>
      </w:r>
      <w:r>
        <w:rPr>
          <w:w w:val="115"/>
        </w:rPr>
        <w:t>espacio</w:t>
      </w:r>
      <w:r>
        <w:rPr>
          <w:spacing w:val="-12"/>
          <w:w w:val="115"/>
        </w:rPr>
        <w:t> </w:t>
      </w:r>
      <w:r>
        <w:rPr>
          <w:w w:val="115"/>
        </w:rPr>
        <w:t>vital</w:t>
      </w:r>
      <w:r>
        <w:rPr>
          <w:spacing w:val="-12"/>
          <w:w w:val="115"/>
        </w:rPr>
        <w:t> </w:t>
      </w:r>
      <w:r>
        <w:rPr>
          <w:w w:val="115"/>
        </w:rPr>
        <w:t>de</w:t>
      </w:r>
      <w:r>
        <w:rPr>
          <w:spacing w:val="-12"/>
          <w:w w:val="115"/>
        </w:rPr>
        <w:t> </w:t>
      </w:r>
      <w:r>
        <w:rPr>
          <w:w w:val="115"/>
        </w:rPr>
        <w:t>articula-</w:t>
      </w:r>
      <w:r>
        <w:rPr>
          <w:w w:val="102"/>
        </w:rPr>
        <w:t> </w:t>
      </w:r>
      <w:r>
        <w:rPr>
          <w:w w:val="115"/>
        </w:rPr>
        <w:t>ción</w:t>
      </w:r>
      <w:r>
        <w:rPr>
          <w:spacing w:val="-18"/>
          <w:w w:val="115"/>
        </w:rPr>
        <w:t> </w:t>
      </w:r>
      <w:r>
        <w:rPr>
          <w:w w:val="115"/>
        </w:rPr>
        <w:t>en</w:t>
      </w:r>
      <w:r>
        <w:rPr>
          <w:spacing w:val="-18"/>
          <w:w w:val="115"/>
        </w:rPr>
        <w:t> </w:t>
      </w:r>
      <w:r>
        <w:rPr>
          <w:w w:val="115"/>
        </w:rPr>
        <w:t>la</w:t>
      </w:r>
      <w:r>
        <w:rPr>
          <w:spacing w:val="-18"/>
          <w:w w:val="115"/>
        </w:rPr>
        <w:t> </w:t>
      </w:r>
      <w:r>
        <w:rPr>
          <w:w w:val="115"/>
        </w:rPr>
        <w:t>lucha</w:t>
      </w:r>
      <w:r>
        <w:rPr>
          <w:spacing w:val="-18"/>
          <w:w w:val="115"/>
        </w:rPr>
        <w:t> </w:t>
      </w:r>
      <w:r>
        <w:rPr>
          <w:w w:val="115"/>
        </w:rPr>
        <w:t>contra</w:t>
      </w:r>
      <w:r>
        <w:rPr>
          <w:spacing w:val="-18"/>
          <w:w w:val="115"/>
        </w:rPr>
        <w:t> </w:t>
      </w:r>
      <w:r>
        <w:rPr>
          <w:w w:val="115"/>
        </w:rPr>
        <w:t>el</w:t>
      </w:r>
      <w:r>
        <w:rPr>
          <w:spacing w:val="-18"/>
          <w:w w:val="115"/>
        </w:rPr>
        <w:t> </w:t>
      </w:r>
      <w:r>
        <w:rPr>
          <w:w w:val="150"/>
        </w:rPr>
        <w:t>alCa.</w:t>
      </w:r>
      <w:r>
        <w:rPr>
          <w:spacing w:val="-33"/>
          <w:w w:val="150"/>
        </w:rPr>
        <w:t> </w:t>
      </w:r>
      <w:r>
        <w:rPr>
          <w:w w:val="115"/>
        </w:rPr>
        <w:t>En</w:t>
      </w:r>
      <w:r>
        <w:rPr>
          <w:spacing w:val="-18"/>
          <w:w w:val="115"/>
        </w:rPr>
        <w:t> </w:t>
      </w:r>
      <w:r>
        <w:rPr>
          <w:w w:val="115"/>
        </w:rPr>
        <w:t>los</w:t>
      </w:r>
      <w:r>
        <w:rPr>
          <w:spacing w:val="-18"/>
          <w:w w:val="115"/>
        </w:rPr>
        <w:t> </w:t>
      </w:r>
      <w:r>
        <w:rPr>
          <w:w w:val="115"/>
        </w:rPr>
        <w:t>años</w:t>
      </w:r>
      <w:r>
        <w:rPr>
          <w:spacing w:val="-18"/>
          <w:w w:val="115"/>
        </w:rPr>
        <w:t> </w:t>
      </w:r>
      <w:r>
        <w:rPr>
          <w:w w:val="115"/>
        </w:rPr>
        <w:t>siguientes</w:t>
      </w:r>
      <w:r>
        <w:rPr>
          <w:spacing w:val="-18"/>
          <w:w w:val="115"/>
        </w:rPr>
        <w:t> </w:t>
      </w:r>
      <w:r>
        <w:rPr>
          <w:w w:val="115"/>
        </w:rPr>
        <w:t>fue</w:t>
      </w:r>
      <w:r>
        <w:rPr>
          <w:spacing w:val="-18"/>
          <w:w w:val="115"/>
        </w:rPr>
        <w:t> </w:t>
      </w:r>
      <w:r>
        <w:rPr>
          <w:w w:val="115"/>
        </w:rPr>
        <w:t>cambiando</w:t>
      </w:r>
      <w:r>
        <w:rPr>
          <w:w w:val="112"/>
        </w:rPr>
        <w:t> </w:t>
      </w:r>
      <w:r>
        <w:rPr>
          <w:w w:val="111"/>
        </w:rPr>
        <w:t>la</w:t>
      </w:r>
      <w:r>
        <w:rPr>
          <w:spacing w:val="12"/>
        </w:rPr>
        <w:t> </w:t>
      </w:r>
      <w:r>
        <w:rPr>
          <w:w w:val="110"/>
        </w:rPr>
        <w:t>correlación</w:t>
      </w:r>
      <w:r>
        <w:rPr>
          <w:spacing w:val="12"/>
        </w:rPr>
        <w:t> </w:t>
      </w:r>
      <w:r>
        <w:rPr>
          <w:w w:val="107"/>
        </w:rPr>
        <w:t>de</w:t>
      </w:r>
      <w:r>
        <w:rPr>
          <w:spacing w:val="12"/>
        </w:rPr>
        <w:t> </w:t>
      </w:r>
      <w:r>
        <w:rPr>
          <w:w w:val="109"/>
        </w:rPr>
        <w:t>fuerzas</w:t>
      </w:r>
      <w:r>
        <w:rPr>
          <w:spacing w:val="12"/>
        </w:rPr>
        <w:t> </w:t>
      </w:r>
      <w:r>
        <w:rPr>
          <w:w w:val="108"/>
        </w:rPr>
        <w:t>en</w:t>
      </w:r>
      <w:r>
        <w:rPr>
          <w:spacing w:val="12"/>
        </w:rPr>
        <w:t> </w:t>
      </w:r>
      <w:r>
        <w:rPr>
          <w:w w:val="139"/>
        </w:rPr>
        <w:t>a</w:t>
      </w:r>
      <w:r>
        <w:rPr>
          <w:w w:val="111"/>
        </w:rPr>
        <w:t>mérica</w:t>
      </w:r>
      <w:r>
        <w:rPr>
          <w:spacing w:val="12"/>
        </w:rPr>
        <w:t> </w:t>
      </w:r>
      <w:r>
        <w:rPr>
          <w:w w:val="243"/>
        </w:rPr>
        <w:t>l</w:t>
      </w:r>
      <w:r>
        <w:rPr>
          <w:w w:val="113"/>
        </w:rPr>
        <w:t>atina,</w:t>
      </w:r>
      <w:r>
        <w:rPr>
          <w:spacing w:val="12"/>
        </w:rPr>
        <w:t> </w:t>
      </w:r>
      <w:r>
        <w:rPr>
          <w:w w:val="112"/>
        </w:rPr>
        <w:t>a</w:t>
      </w:r>
      <w:r>
        <w:rPr>
          <w:spacing w:val="12"/>
        </w:rPr>
        <w:t> </w:t>
      </w:r>
      <w:r>
        <w:rPr>
          <w:w w:val="111"/>
        </w:rPr>
        <w:t>la</w:t>
      </w:r>
      <w:r>
        <w:rPr>
          <w:spacing w:val="12"/>
        </w:rPr>
        <w:t> </w:t>
      </w:r>
      <w:r>
        <w:rPr>
          <w:w w:val="105"/>
        </w:rPr>
        <w:t>vez</w:t>
      </w:r>
      <w:r>
        <w:rPr>
          <w:spacing w:val="12"/>
        </w:rPr>
        <w:t> </w:t>
      </w:r>
      <w:r>
        <w:rPr>
          <w:w w:val="108"/>
        </w:rPr>
        <w:t>que</w:t>
      </w:r>
      <w:r>
        <w:rPr>
          <w:spacing w:val="12"/>
        </w:rPr>
        <w:t> </w:t>
      </w:r>
      <w:r>
        <w:rPr>
          <w:w w:val="112"/>
        </w:rPr>
        <w:t>muchos</w:t>
      </w:r>
      <w:r>
        <w:rPr>
          <w:spacing w:val="12"/>
        </w:rPr>
        <w:t> </w:t>
      </w:r>
      <w:r>
        <w:rPr>
          <w:w w:val="111"/>
        </w:rPr>
        <w:t>pa</w:t>
      </w:r>
      <w:r>
        <w:rPr>
          <w:spacing w:val="-1"/>
          <w:w w:val="111"/>
        </w:rPr>
        <w:t>í</w:t>
      </w:r>
      <w:r>
        <w:rPr>
          <w:w w:val="102"/>
        </w:rPr>
        <w:t>- </w:t>
      </w:r>
      <w:r>
        <w:rPr>
          <w:w w:val="115"/>
        </w:rPr>
        <w:t>ses</w:t>
      </w:r>
      <w:r>
        <w:rPr>
          <w:spacing w:val="-18"/>
          <w:w w:val="115"/>
        </w:rPr>
        <w:t> </w:t>
      </w:r>
      <w:r>
        <w:rPr>
          <w:w w:val="115"/>
        </w:rPr>
        <w:t>exportadores</w:t>
      </w:r>
      <w:r>
        <w:rPr>
          <w:spacing w:val="-18"/>
          <w:w w:val="115"/>
        </w:rPr>
        <w:t> </w:t>
      </w:r>
      <w:r>
        <w:rPr>
          <w:w w:val="115"/>
        </w:rPr>
        <w:t>de</w:t>
      </w:r>
      <w:r>
        <w:rPr>
          <w:spacing w:val="-18"/>
          <w:w w:val="115"/>
        </w:rPr>
        <w:t> </w:t>
      </w:r>
      <w:r>
        <w:rPr>
          <w:w w:val="115"/>
        </w:rPr>
        <w:t>bienes</w:t>
      </w:r>
      <w:r>
        <w:rPr>
          <w:spacing w:val="-18"/>
          <w:w w:val="115"/>
        </w:rPr>
        <w:t> </w:t>
      </w:r>
      <w:r>
        <w:rPr>
          <w:w w:val="115"/>
        </w:rPr>
        <w:t>agropecuarios,</w:t>
      </w:r>
      <w:r>
        <w:rPr>
          <w:spacing w:val="-18"/>
          <w:w w:val="115"/>
        </w:rPr>
        <w:t> </w:t>
      </w:r>
      <w:r>
        <w:rPr>
          <w:w w:val="115"/>
        </w:rPr>
        <w:t>en</w:t>
      </w:r>
      <w:r>
        <w:rPr>
          <w:spacing w:val="-18"/>
          <w:w w:val="115"/>
        </w:rPr>
        <w:t> </w:t>
      </w:r>
      <w:r>
        <w:rPr>
          <w:w w:val="115"/>
        </w:rPr>
        <w:t>todo</w:t>
      </w:r>
      <w:r>
        <w:rPr>
          <w:spacing w:val="-18"/>
          <w:w w:val="115"/>
        </w:rPr>
        <w:t> </w:t>
      </w:r>
      <w:r>
        <w:rPr>
          <w:w w:val="115"/>
        </w:rPr>
        <w:t>el</w:t>
      </w:r>
      <w:r>
        <w:rPr>
          <w:spacing w:val="-18"/>
          <w:w w:val="115"/>
        </w:rPr>
        <w:t> </w:t>
      </w:r>
      <w:r>
        <w:rPr>
          <w:w w:val="115"/>
        </w:rPr>
        <w:t>mundo,</w:t>
      </w:r>
      <w:r>
        <w:rPr>
          <w:spacing w:val="-18"/>
          <w:w w:val="115"/>
        </w:rPr>
        <w:t> </w:t>
      </w:r>
      <w:r>
        <w:rPr>
          <w:w w:val="115"/>
        </w:rPr>
        <w:t>exigían</w:t>
      </w:r>
      <w:r>
        <w:rPr>
          <w:w w:val="110"/>
        </w:rPr>
        <w:t> </w:t>
      </w:r>
      <w:r>
        <w:rPr>
          <w:w w:val="115"/>
        </w:rPr>
        <w:t>a Estados unidos, la unión Europea y Japón que la</w:t>
      </w:r>
      <w:r>
        <w:rPr>
          <w:spacing w:val="-15"/>
          <w:w w:val="115"/>
        </w:rPr>
        <w:t> </w:t>
      </w:r>
      <w:r>
        <w:rPr>
          <w:w w:val="115"/>
        </w:rPr>
        <w:t>liberalización</w:t>
      </w:r>
      <w:r>
        <w:rPr>
          <w:spacing w:val="-2"/>
          <w:w w:val="115"/>
        </w:rPr>
        <w:t> </w:t>
      </w:r>
      <w:r>
        <w:rPr>
          <w:w w:val="115"/>
        </w:rPr>
        <w:t>del</w:t>
      </w:r>
      <w:r>
        <w:rPr>
          <w:w w:val="107"/>
        </w:rPr>
        <w:t> </w:t>
      </w:r>
      <w:r>
        <w:rPr>
          <w:w w:val="115"/>
        </w:rPr>
        <w:t>comercio</w:t>
      </w:r>
      <w:r>
        <w:rPr>
          <w:spacing w:val="-20"/>
          <w:w w:val="115"/>
        </w:rPr>
        <w:t> </w:t>
      </w:r>
      <w:r>
        <w:rPr>
          <w:w w:val="115"/>
        </w:rPr>
        <w:t>incluyera</w:t>
      </w:r>
      <w:r>
        <w:rPr>
          <w:spacing w:val="-20"/>
          <w:w w:val="115"/>
        </w:rPr>
        <w:t> </w:t>
      </w:r>
      <w:r>
        <w:rPr>
          <w:w w:val="115"/>
        </w:rPr>
        <w:t>también</w:t>
      </w:r>
      <w:r>
        <w:rPr>
          <w:spacing w:val="-20"/>
          <w:w w:val="115"/>
        </w:rPr>
        <w:t> </w:t>
      </w:r>
      <w:r>
        <w:rPr>
          <w:w w:val="115"/>
        </w:rPr>
        <w:t>a</w:t>
      </w:r>
      <w:r>
        <w:rPr>
          <w:spacing w:val="-20"/>
          <w:w w:val="115"/>
        </w:rPr>
        <w:t> </w:t>
      </w:r>
      <w:r>
        <w:rPr>
          <w:w w:val="115"/>
        </w:rPr>
        <w:t>los</w:t>
      </w:r>
      <w:r>
        <w:rPr>
          <w:spacing w:val="-20"/>
          <w:w w:val="115"/>
        </w:rPr>
        <w:t> </w:t>
      </w:r>
      <w:r>
        <w:rPr>
          <w:w w:val="115"/>
        </w:rPr>
        <w:t>productos</w:t>
      </w:r>
      <w:r>
        <w:rPr>
          <w:spacing w:val="-20"/>
          <w:w w:val="115"/>
        </w:rPr>
        <w:t> </w:t>
      </w:r>
      <w:r>
        <w:rPr>
          <w:w w:val="115"/>
        </w:rPr>
        <w:t>agrícolas,</w:t>
      </w:r>
      <w:r>
        <w:rPr>
          <w:spacing w:val="-20"/>
          <w:w w:val="115"/>
        </w:rPr>
        <w:t> </w:t>
      </w:r>
      <w:r>
        <w:rPr>
          <w:w w:val="115"/>
        </w:rPr>
        <w:t>que</w:t>
      </w:r>
      <w:r>
        <w:rPr>
          <w:spacing w:val="-20"/>
          <w:w w:val="115"/>
        </w:rPr>
        <w:t> </w:t>
      </w:r>
      <w:r>
        <w:rPr>
          <w:w w:val="115"/>
        </w:rPr>
        <w:t>sufrían</w:t>
      </w:r>
      <w:r>
        <w:rPr>
          <w:spacing w:val="-20"/>
          <w:w w:val="115"/>
        </w:rPr>
        <w:t> </w:t>
      </w:r>
      <w:r>
        <w:rPr>
          <w:w w:val="115"/>
        </w:rPr>
        <w:t>di-</w:t>
      </w:r>
      <w:r>
        <w:rPr>
          <w:w w:val="102"/>
        </w:rPr>
        <w:t> </w:t>
      </w:r>
      <w:r>
        <w:rPr>
          <w:w w:val="115"/>
        </w:rPr>
        <w:t>ferentes</w:t>
      </w:r>
      <w:r>
        <w:rPr>
          <w:spacing w:val="-21"/>
          <w:w w:val="115"/>
        </w:rPr>
        <w:t> </w:t>
      </w:r>
      <w:r>
        <w:rPr>
          <w:w w:val="115"/>
        </w:rPr>
        <w:t>restricciones</w:t>
      </w:r>
      <w:r>
        <w:rPr>
          <w:spacing w:val="-21"/>
          <w:w w:val="115"/>
        </w:rPr>
        <w:t> </w:t>
      </w:r>
      <w:r>
        <w:rPr>
          <w:w w:val="115"/>
        </w:rPr>
        <w:t>y</w:t>
      </w:r>
      <w:r>
        <w:rPr>
          <w:spacing w:val="-21"/>
          <w:w w:val="115"/>
        </w:rPr>
        <w:t> </w:t>
      </w:r>
      <w:r>
        <w:rPr>
          <w:w w:val="115"/>
        </w:rPr>
        <w:t>protecciones</w:t>
      </w:r>
      <w:r>
        <w:rPr>
          <w:spacing w:val="-21"/>
          <w:w w:val="115"/>
        </w:rPr>
        <w:t> </w:t>
      </w:r>
      <w:r>
        <w:rPr>
          <w:w w:val="115"/>
        </w:rPr>
        <w:t>no</w:t>
      </w:r>
      <w:r>
        <w:rPr>
          <w:spacing w:val="-21"/>
          <w:w w:val="115"/>
        </w:rPr>
        <w:t> </w:t>
      </w:r>
      <w:r>
        <w:rPr>
          <w:w w:val="115"/>
        </w:rPr>
        <w:t>arancelarias</w:t>
      </w:r>
      <w:r>
        <w:rPr>
          <w:spacing w:val="-21"/>
          <w:w w:val="115"/>
        </w:rPr>
        <w:t> </w:t>
      </w:r>
      <w:r>
        <w:rPr>
          <w:w w:val="115"/>
        </w:rPr>
        <w:t>por</w:t>
      </w:r>
      <w:r>
        <w:rPr>
          <w:spacing w:val="-21"/>
          <w:w w:val="115"/>
        </w:rPr>
        <w:t> </w:t>
      </w:r>
      <w:r>
        <w:rPr>
          <w:w w:val="115"/>
        </w:rPr>
        <w:t>parte</w:t>
      </w:r>
      <w:r>
        <w:rPr>
          <w:spacing w:val="-21"/>
          <w:w w:val="115"/>
        </w:rPr>
        <w:t> </w:t>
      </w:r>
      <w:r>
        <w:rPr>
          <w:w w:val="115"/>
        </w:rPr>
        <w:t>de</w:t>
      </w:r>
      <w:r>
        <w:rPr>
          <w:spacing w:val="-21"/>
          <w:w w:val="115"/>
        </w:rPr>
        <w:t> </w:t>
      </w:r>
      <w:r>
        <w:rPr>
          <w:w w:val="115"/>
        </w:rPr>
        <w:t>las</w:t>
      </w:r>
      <w:r>
        <w:rPr>
          <w:w w:val="109"/>
        </w:rPr>
        <w:t> </w:t>
      </w:r>
      <w:r>
        <w:rPr>
          <w:w w:val="115"/>
        </w:rPr>
        <w:t>potencias. En la cumbre de la organización Mundial</w:t>
      </w:r>
      <w:r>
        <w:rPr>
          <w:spacing w:val="14"/>
          <w:w w:val="115"/>
        </w:rPr>
        <w:t> </w:t>
      </w:r>
      <w:r>
        <w:rPr>
          <w:w w:val="115"/>
        </w:rPr>
        <w:t>del</w:t>
      </w:r>
      <w:r>
        <w:rPr>
          <w:spacing w:val="19"/>
          <w:w w:val="115"/>
        </w:rPr>
        <w:t> </w:t>
      </w:r>
      <w:r>
        <w:rPr>
          <w:w w:val="115"/>
        </w:rPr>
        <w:t>Comercio</w:t>
      </w:r>
      <w:r>
        <w:rPr>
          <w:w w:val="112"/>
        </w:rPr>
        <w:t> </w:t>
      </w:r>
      <w:r>
        <w:rPr>
          <w:w w:val="115"/>
        </w:rPr>
        <w:t>(oMC)</w:t>
      </w:r>
      <w:r>
        <w:rPr>
          <w:spacing w:val="-6"/>
          <w:w w:val="115"/>
        </w:rPr>
        <w:t> </w:t>
      </w:r>
      <w:r>
        <w:rPr>
          <w:w w:val="115"/>
        </w:rPr>
        <w:t>de</w:t>
      </w:r>
      <w:r>
        <w:rPr>
          <w:spacing w:val="-6"/>
          <w:w w:val="115"/>
        </w:rPr>
        <w:t> </w:t>
      </w:r>
      <w:r>
        <w:rPr>
          <w:w w:val="115"/>
        </w:rPr>
        <w:t>Cancún</w:t>
      </w:r>
      <w:r>
        <w:rPr>
          <w:spacing w:val="-6"/>
          <w:w w:val="115"/>
        </w:rPr>
        <w:t> </w:t>
      </w:r>
      <w:r>
        <w:rPr>
          <w:w w:val="115"/>
        </w:rPr>
        <w:t>(2003)</w:t>
      </w:r>
      <w:r>
        <w:rPr>
          <w:spacing w:val="-6"/>
          <w:w w:val="115"/>
        </w:rPr>
        <w:t> </w:t>
      </w:r>
      <w:r>
        <w:rPr>
          <w:w w:val="115"/>
        </w:rPr>
        <w:t>se</w:t>
      </w:r>
      <w:r>
        <w:rPr>
          <w:spacing w:val="-6"/>
          <w:w w:val="115"/>
        </w:rPr>
        <w:t> </w:t>
      </w:r>
      <w:r>
        <w:rPr>
          <w:w w:val="115"/>
        </w:rPr>
        <w:t>paralizaron</w:t>
      </w:r>
      <w:r>
        <w:rPr>
          <w:spacing w:val="-6"/>
          <w:w w:val="115"/>
        </w:rPr>
        <w:t> </w:t>
      </w:r>
      <w:r>
        <w:rPr>
          <w:w w:val="115"/>
        </w:rPr>
        <w:t>las</w:t>
      </w:r>
      <w:r>
        <w:rPr>
          <w:spacing w:val="-6"/>
          <w:w w:val="115"/>
        </w:rPr>
        <w:t> </w:t>
      </w:r>
      <w:r>
        <w:rPr>
          <w:w w:val="115"/>
        </w:rPr>
        <w:t>negociaciones</w:t>
      </w:r>
      <w:r>
        <w:rPr>
          <w:spacing w:val="-6"/>
          <w:w w:val="115"/>
        </w:rPr>
        <w:t> </w:t>
      </w:r>
      <w:r>
        <w:rPr>
          <w:w w:val="115"/>
        </w:rPr>
        <w:t>para</w:t>
      </w:r>
      <w:r>
        <w:rPr>
          <w:spacing w:val="-6"/>
          <w:w w:val="115"/>
        </w:rPr>
        <w:t> </w:t>
      </w:r>
      <w:r>
        <w:rPr>
          <w:w w:val="115"/>
        </w:rPr>
        <w:t>libe-</w:t>
      </w:r>
      <w:r>
        <w:rPr>
          <w:w w:val="102"/>
        </w:rPr>
        <w:t> </w:t>
      </w:r>
      <w:r>
        <w:rPr>
          <w:w w:val="115"/>
        </w:rPr>
        <w:t>ralizar todavía más el comercio mundial. Y algo similar</w:t>
      </w:r>
      <w:r>
        <w:rPr>
          <w:spacing w:val="20"/>
          <w:w w:val="115"/>
        </w:rPr>
        <w:t> </w:t>
      </w:r>
      <w:r>
        <w:rPr>
          <w:w w:val="115"/>
        </w:rPr>
        <w:t>ocurrió</w:t>
      </w:r>
      <w:r>
        <w:rPr>
          <w:spacing w:val="2"/>
          <w:w w:val="115"/>
        </w:rPr>
        <w:t> </w:t>
      </w:r>
      <w:r>
        <w:rPr>
          <w:w w:val="115"/>
        </w:rPr>
        <w:t>con</w:t>
      </w:r>
      <w:r>
        <w:rPr>
          <w:w w:val="112"/>
        </w:rPr>
        <w:t> </w:t>
      </w:r>
      <w:r>
        <w:rPr>
          <w:w w:val="115"/>
        </w:rPr>
        <w:t>el</w:t>
      </w:r>
      <w:r>
        <w:rPr>
          <w:spacing w:val="-9"/>
          <w:w w:val="115"/>
        </w:rPr>
        <w:t> </w:t>
      </w:r>
      <w:r>
        <w:rPr>
          <w:w w:val="150"/>
        </w:rPr>
        <w:t>alCa,</w:t>
      </w:r>
      <w:r>
        <w:rPr>
          <w:spacing w:val="-23"/>
          <w:w w:val="150"/>
        </w:rPr>
        <w:t> </w:t>
      </w:r>
      <w:r>
        <w:rPr>
          <w:w w:val="115"/>
        </w:rPr>
        <w:t>que</w:t>
      </w:r>
      <w:r>
        <w:rPr>
          <w:spacing w:val="-9"/>
          <w:w w:val="115"/>
        </w:rPr>
        <w:t> </w:t>
      </w:r>
      <w:r>
        <w:rPr>
          <w:w w:val="115"/>
        </w:rPr>
        <w:t>fracasó</w:t>
      </w:r>
      <w:r>
        <w:rPr>
          <w:spacing w:val="-9"/>
          <w:w w:val="115"/>
        </w:rPr>
        <w:t> </w:t>
      </w:r>
      <w:r>
        <w:rPr>
          <w:w w:val="115"/>
        </w:rPr>
        <w:t>en</w:t>
      </w:r>
      <w:r>
        <w:rPr>
          <w:spacing w:val="-9"/>
          <w:w w:val="115"/>
        </w:rPr>
        <w:t> </w:t>
      </w:r>
      <w:r>
        <w:rPr>
          <w:w w:val="115"/>
        </w:rPr>
        <w:t>la</w:t>
      </w:r>
      <w:r>
        <w:rPr>
          <w:spacing w:val="-9"/>
          <w:w w:val="115"/>
        </w:rPr>
        <w:t> </w:t>
      </w:r>
      <w:r>
        <w:rPr>
          <w:w w:val="115"/>
        </w:rPr>
        <w:t>célebre</w:t>
      </w:r>
      <w:r>
        <w:rPr>
          <w:spacing w:val="-9"/>
          <w:w w:val="115"/>
        </w:rPr>
        <w:t> </w:t>
      </w:r>
      <w:r>
        <w:rPr>
          <w:w w:val="115"/>
        </w:rPr>
        <w:t>reunión</w:t>
      </w:r>
      <w:r>
        <w:rPr>
          <w:spacing w:val="-9"/>
          <w:w w:val="115"/>
        </w:rPr>
        <w:t> </w:t>
      </w:r>
      <w:r>
        <w:rPr>
          <w:w w:val="115"/>
        </w:rPr>
        <w:t>de</w:t>
      </w:r>
      <w:r>
        <w:rPr>
          <w:spacing w:val="-9"/>
          <w:w w:val="115"/>
        </w:rPr>
        <w:t> </w:t>
      </w:r>
      <w:r>
        <w:rPr>
          <w:w w:val="115"/>
        </w:rPr>
        <w:t>Mar</w:t>
      </w:r>
      <w:r>
        <w:rPr>
          <w:spacing w:val="-9"/>
          <w:w w:val="115"/>
        </w:rPr>
        <w:t> </w:t>
      </w:r>
      <w:r>
        <w:rPr>
          <w:w w:val="115"/>
        </w:rPr>
        <w:t>del</w:t>
      </w:r>
      <w:r>
        <w:rPr>
          <w:spacing w:val="-9"/>
          <w:w w:val="115"/>
        </w:rPr>
        <w:t> </w:t>
      </w:r>
      <w:r>
        <w:rPr>
          <w:w w:val="115"/>
        </w:rPr>
        <w:t>Plata</w:t>
      </w:r>
      <w:r>
        <w:rPr>
          <w:spacing w:val="-9"/>
          <w:w w:val="115"/>
        </w:rPr>
        <w:t> </w:t>
      </w:r>
      <w:r>
        <w:rPr>
          <w:w w:val="115"/>
        </w:rPr>
        <w:t>dos</w:t>
      </w:r>
      <w:r>
        <w:rPr>
          <w:spacing w:val="-9"/>
          <w:w w:val="115"/>
        </w:rPr>
        <w:t> </w:t>
      </w:r>
      <w:r>
        <w:rPr>
          <w:w w:val="115"/>
        </w:rPr>
        <w:t>años</w:t>
      </w:r>
      <w:r>
        <w:rPr>
          <w:w w:val="110"/>
        </w:rPr>
        <w:t> </w:t>
      </w:r>
      <w:r>
        <w:rPr>
          <w:w w:val="115"/>
        </w:rPr>
        <w:t>más tarde, cuando los cuatro países del </w:t>
      </w:r>
      <w:r>
        <w:rPr>
          <w:spacing w:val="-3"/>
          <w:w w:val="115"/>
        </w:rPr>
        <w:t>Mercosur, </w:t>
      </w:r>
      <w:r>
        <w:rPr>
          <w:w w:val="115"/>
        </w:rPr>
        <w:t>junto</w:t>
      </w:r>
      <w:r>
        <w:rPr>
          <w:spacing w:val="25"/>
          <w:w w:val="115"/>
        </w:rPr>
        <w:t> </w:t>
      </w:r>
      <w:r>
        <w:rPr>
          <w:w w:val="115"/>
        </w:rPr>
        <w:t>a</w:t>
      </w:r>
      <w:r>
        <w:rPr>
          <w:spacing w:val="2"/>
          <w:w w:val="115"/>
        </w:rPr>
        <w:t> </w:t>
      </w:r>
      <w:r>
        <w:rPr>
          <w:w w:val="115"/>
        </w:rPr>
        <w:t>Venezue-</w:t>
      </w:r>
      <w:r>
        <w:rPr>
          <w:w w:val="102"/>
        </w:rPr>
        <w:t> </w:t>
      </w:r>
      <w:r>
        <w:rPr>
          <w:w w:val="115"/>
        </w:rPr>
        <w:t>la,</w:t>
      </w:r>
      <w:r>
        <w:rPr>
          <w:spacing w:val="-14"/>
          <w:w w:val="115"/>
        </w:rPr>
        <w:t> </w:t>
      </w:r>
      <w:r>
        <w:rPr>
          <w:w w:val="115"/>
        </w:rPr>
        <w:t>rechazaron</w:t>
      </w:r>
      <w:r>
        <w:rPr>
          <w:spacing w:val="-14"/>
          <w:w w:val="115"/>
        </w:rPr>
        <w:t> </w:t>
      </w:r>
      <w:r>
        <w:rPr>
          <w:w w:val="115"/>
        </w:rPr>
        <w:t>la</w:t>
      </w:r>
      <w:r>
        <w:rPr>
          <w:spacing w:val="-14"/>
          <w:w w:val="115"/>
        </w:rPr>
        <w:t> </w:t>
      </w:r>
      <w:r>
        <w:rPr>
          <w:w w:val="115"/>
        </w:rPr>
        <w:t>iniciativa</w:t>
      </w:r>
      <w:r>
        <w:rPr>
          <w:spacing w:val="-14"/>
          <w:w w:val="115"/>
        </w:rPr>
        <w:t> </w:t>
      </w:r>
      <w:r>
        <w:rPr>
          <w:w w:val="115"/>
        </w:rPr>
        <w:t>(Morgenfeld,</w:t>
      </w:r>
      <w:r>
        <w:rPr>
          <w:spacing w:val="-14"/>
          <w:w w:val="115"/>
        </w:rPr>
        <w:t> </w:t>
      </w:r>
      <w:r>
        <w:rPr>
          <w:w w:val="115"/>
        </w:rPr>
        <w:t>2006).</w:t>
      </w:r>
      <w:r>
        <w:rPr>
          <w:spacing w:val="-14"/>
          <w:w w:val="115"/>
        </w:rPr>
        <w:t> </w:t>
      </w:r>
      <w:r>
        <w:rPr>
          <w:w w:val="115"/>
        </w:rPr>
        <w:t>ante</w:t>
      </w:r>
      <w:r>
        <w:rPr>
          <w:spacing w:val="-14"/>
          <w:w w:val="115"/>
        </w:rPr>
        <w:t> </w:t>
      </w:r>
      <w:r>
        <w:rPr>
          <w:w w:val="115"/>
        </w:rPr>
        <w:t>la</w:t>
      </w:r>
      <w:r>
        <w:rPr>
          <w:spacing w:val="-14"/>
          <w:w w:val="115"/>
        </w:rPr>
        <w:t> </w:t>
      </w:r>
      <w:r>
        <w:rPr>
          <w:w w:val="115"/>
        </w:rPr>
        <w:t>resistencia</w:t>
      </w:r>
      <w:r>
        <w:rPr>
          <w:spacing w:val="-14"/>
          <w:w w:val="115"/>
        </w:rPr>
        <w:t> </w:t>
      </w:r>
      <w:r>
        <w:rPr>
          <w:w w:val="115"/>
        </w:rPr>
        <w:t>de</w:t>
      </w:r>
      <w:r>
        <w:rPr>
          <w:w w:val="107"/>
        </w:rPr>
        <w:t> </w:t>
      </w:r>
      <w:r>
        <w:rPr>
          <w:w w:val="115"/>
        </w:rPr>
        <w:t>múltiples</w:t>
      </w:r>
      <w:r>
        <w:rPr>
          <w:spacing w:val="-17"/>
          <w:w w:val="115"/>
        </w:rPr>
        <w:t> </w:t>
      </w:r>
      <w:r>
        <w:rPr>
          <w:w w:val="115"/>
        </w:rPr>
        <w:t>sindicatos</w:t>
      </w:r>
      <w:r>
        <w:rPr>
          <w:spacing w:val="-17"/>
          <w:w w:val="115"/>
        </w:rPr>
        <w:t> </w:t>
      </w:r>
      <w:r>
        <w:rPr>
          <w:w w:val="115"/>
        </w:rPr>
        <w:t>y</w:t>
      </w:r>
      <w:r>
        <w:rPr>
          <w:spacing w:val="-17"/>
          <w:w w:val="115"/>
        </w:rPr>
        <w:t> </w:t>
      </w:r>
      <w:r>
        <w:rPr>
          <w:w w:val="115"/>
        </w:rPr>
        <w:t>movimientos</w:t>
      </w:r>
      <w:r>
        <w:rPr>
          <w:spacing w:val="-17"/>
          <w:w w:val="115"/>
        </w:rPr>
        <w:t> </w:t>
      </w:r>
      <w:r>
        <w:rPr>
          <w:w w:val="115"/>
        </w:rPr>
        <w:t>sociales</w:t>
      </w:r>
      <w:r>
        <w:rPr>
          <w:spacing w:val="-17"/>
          <w:w w:val="115"/>
        </w:rPr>
        <w:t> </w:t>
      </w:r>
      <w:r>
        <w:rPr>
          <w:w w:val="115"/>
        </w:rPr>
        <w:t>–a</w:t>
      </w:r>
      <w:r>
        <w:rPr>
          <w:spacing w:val="-17"/>
          <w:w w:val="115"/>
        </w:rPr>
        <w:t> </w:t>
      </w:r>
      <w:r>
        <w:rPr>
          <w:w w:val="115"/>
        </w:rPr>
        <w:t>través</w:t>
      </w:r>
      <w:r>
        <w:rPr>
          <w:spacing w:val="-17"/>
          <w:w w:val="115"/>
        </w:rPr>
        <w:t> </w:t>
      </w:r>
      <w:r>
        <w:rPr>
          <w:w w:val="115"/>
        </w:rPr>
        <w:t>del</w:t>
      </w:r>
      <w:r>
        <w:rPr>
          <w:spacing w:val="-17"/>
          <w:w w:val="115"/>
        </w:rPr>
        <w:t> </w:t>
      </w:r>
      <w:r>
        <w:rPr>
          <w:w w:val="115"/>
        </w:rPr>
        <w:t>Foro</w:t>
      </w:r>
      <w:r>
        <w:rPr>
          <w:spacing w:val="-17"/>
          <w:w w:val="115"/>
        </w:rPr>
        <w:t> </w:t>
      </w:r>
      <w:r>
        <w:rPr>
          <w:w w:val="115"/>
        </w:rPr>
        <w:t>social</w:t>
      </w:r>
    </w:p>
    <w:p>
      <w:pPr>
        <w:spacing w:after="0" w:line="252" w:lineRule="auto"/>
        <w:jc w:val="right"/>
        <w:sectPr>
          <w:headerReference w:type="default" r:id="rId498"/>
          <w:headerReference w:type="even" r:id="rId499"/>
          <w:footerReference w:type="default" r:id="rId500"/>
          <w:footerReference w:type="even" r:id="rId501"/>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w w:val="115"/>
        </w:rPr>
        <w:t>Mundial, la alianza social Continental y las Contra-cumbres de los Pueblos– que lograron articular una oposición popular al </w:t>
      </w:r>
      <w:r>
        <w:rPr>
          <w:w w:val="130"/>
        </w:rPr>
        <w:t>alCa, </w:t>
      </w:r>
      <w:r>
        <w:rPr>
          <w:w w:val="115"/>
        </w:rPr>
        <w:t>y el rechazo de los gobiernos de brasil, argentina, </w:t>
      </w:r>
      <w:r>
        <w:rPr>
          <w:spacing w:val="-3"/>
          <w:w w:val="115"/>
        </w:rPr>
        <w:t>uruguay, </w:t>
      </w:r>
      <w:r>
        <w:rPr>
          <w:w w:val="115"/>
        </w:rPr>
        <w:t>Paraguay y Venezuela,</w:t>
      </w:r>
      <w:r>
        <w:rPr>
          <w:spacing w:val="-29"/>
          <w:w w:val="115"/>
        </w:rPr>
        <w:t> </w:t>
      </w:r>
      <w:r>
        <w:rPr>
          <w:w w:val="115"/>
        </w:rPr>
        <w:t>Estados</w:t>
      </w:r>
      <w:r>
        <w:rPr>
          <w:spacing w:val="-29"/>
          <w:w w:val="115"/>
        </w:rPr>
        <w:t> </w:t>
      </w:r>
      <w:r>
        <w:rPr>
          <w:w w:val="115"/>
        </w:rPr>
        <w:t>unidos</w:t>
      </w:r>
      <w:r>
        <w:rPr>
          <w:spacing w:val="-29"/>
          <w:w w:val="115"/>
        </w:rPr>
        <w:t> </w:t>
      </w:r>
      <w:r>
        <w:rPr>
          <w:w w:val="115"/>
        </w:rPr>
        <w:t>debió</w:t>
      </w:r>
      <w:r>
        <w:rPr>
          <w:spacing w:val="-29"/>
          <w:w w:val="115"/>
        </w:rPr>
        <w:t> </w:t>
      </w:r>
      <w:r>
        <w:rPr>
          <w:w w:val="115"/>
        </w:rPr>
        <w:t>abandonar</w:t>
      </w:r>
      <w:r>
        <w:rPr>
          <w:spacing w:val="-29"/>
          <w:w w:val="115"/>
        </w:rPr>
        <w:t> </w:t>
      </w:r>
      <w:r>
        <w:rPr>
          <w:w w:val="115"/>
        </w:rPr>
        <w:t>esa</w:t>
      </w:r>
      <w:r>
        <w:rPr>
          <w:spacing w:val="-29"/>
          <w:w w:val="115"/>
        </w:rPr>
        <w:t> </w:t>
      </w:r>
      <w:r>
        <w:rPr>
          <w:w w:val="115"/>
        </w:rPr>
        <w:t>estrategia</w:t>
      </w:r>
      <w:r>
        <w:rPr>
          <w:spacing w:val="-29"/>
          <w:w w:val="115"/>
        </w:rPr>
        <w:t> </w:t>
      </w:r>
      <w:r>
        <w:rPr>
          <w:w w:val="115"/>
        </w:rPr>
        <w:t>e</w:t>
      </w:r>
      <w:r>
        <w:rPr>
          <w:spacing w:val="-29"/>
          <w:w w:val="115"/>
        </w:rPr>
        <w:t> </w:t>
      </w:r>
      <w:r>
        <w:rPr>
          <w:w w:val="115"/>
        </w:rPr>
        <w:t>impulsar </w:t>
      </w:r>
      <w:r>
        <w:rPr>
          <w:spacing w:val="-18"/>
          <w:w w:val="195"/>
        </w:rPr>
        <w:t>t</w:t>
      </w:r>
      <w:r>
        <w:rPr>
          <w:w w:val="109"/>
        </w:rPr>
        <w:t>ratados</w:t>
      </w:r>
      <w:r>
        <w:rPr>
          <w:spacing w:val="12"/>
        </w:rPr>
        <w:t> </w:t>
      </w:r>
      <w:r>
        <w:rPr>
          <w:w w:val="107"/>
        </w:rPr>
        <w:t>de</w:t>
      </w:r>
      <w:r>
        <w:rPr>
          <w:spacing w:val="12"/>
        </w:rPr>
        <w:t> </w:t>
      </w:r>
      <w:r>
        <w:rPr>
          <w:w w:val="243"/>
        </w:rPr>
        <w:t>l</w:t>
      </w:r>
      <w:r>
        <w:rPr>
          <w:w w:val="108"/>
        </w:rPr>
        <w:t>ibre</w:t>
      </w:r>
      <w:r>
        <w:rPr>
          <w:spacing w:val="12"/>
        </w:rPr>
        <w:t> </w:t>
      </w:r>
      <w:r>
        <w:rPr>
          <w:w w:val="112"/>
        </w:rPr>
        <w:t>Comercio</w:t>
      </w:r>
      <w:r>
        <w:rPr>
          <w:spacing w:val="12"/>
        </w:rPr>
        <w:t> </w:t>
      </w:r>
      <w:r>
        <w:rPr>
          <w:w w:val="108"/>
        </w:rPr>
        <w:t>bilaterales</w:t>
      </w:r>
      <w:r>
        <w:rPr>
          <w:spacing w:val="12"/>
        </w:rPr>
        <w:t> </w:t>
      </w:r>
      <w:r>
        <w:rPr>
          <w:w w:val="111"/>
        </w:rPr>
        <w:t>(Morgenfeld,</w:t>
      </w:r>
      <w:r>
        <w:rPr>
          <w:spacing w:val="12"/>
        </w:rPr>
        <w:t> </w:t>
      </w:r>
      <w:r>
        <w:rPr>
          <w:w w:val="104"/>
        </w:rPr>
        <w:t>2013).</w:t>
      </w:r>
    </w:p>
    <w:p>
      <w:pPr>
        <w:pStyle w:val="BodyText"/>
        <w:spacing w:line="252" w:lineRule="auto"/>
        <w:ind w:left="120" w:right="328" w:firstLine="397"/>
        <w:jc w:val="both"/>
      </w:pPr>
      <w:r>
        <w:rPr>
          <w:w w:val="115"/>
        </w:rPr>
        <w:t>En esos años avanzó la integración latinoamericana:</w:t>
      </w:r>
      <w:r>
        <w:rPr>
          <w:spacing w:val="-13"/>
          <w:w w:val="115"/>
        </w:rPr>
        <w:t> </w:t>
      </w:r>
      <w:r>
        <w:rPr>
          <w:w w:val="115"/>
        </w:rPr>
        <w:t>expansión </w:t>
      </w:r>
      <w:r>
        <w:rPr>
          <w:w w:val="120"/>
        </w:rPr>
        <w:t>económica</w:t>
      </w:r>
      <w:r>
        <w:rPr>
          <w:spacing w:val="-26"/>
          <w:w w:val="120"/>
        </w:rPr>
        <w:t> </w:t>
      </w:r>
      <w:r>
        <w:rPr>
          <w:w w:val="120"/>
        </w:rPr>
        <w:t>y</w:t>
      </w:r>
      <w:r>
        <w:rPr>
          <w:spacing w:val="-26"/>
          <w:w w:val="120"/>
        </w:rPr>
        <w:t> </w:t>
      </w:r>
      <w:r>
        <w:rPr>
          <w:w w:val="120"/>
        </w:rPr>
        <w:t>política</w:t>
      </w:r>
      <w:r>
        <w:rPr>
          <w:spacing w:val="-26"/>
          <w:w w:val="120"/>
        </w:rPr>
        <w:t> </w:t>
      </w:r>
      <w:r>
        <w:rPr>
          <w:w w:val="120"/>
        </w:rPr>
        <w:t>del</w:t>
      </w:r>
      <w:r>
        <w:rPr>
          <w:spacing w:val="-26"/>
          <w:w w:val="120"/>
        </w:rPr>
        <w:t> </w:t>
      </w:r>
      <w:r>
        <w:rPr>
          <w:spacing w:val="-3"/>
          <w:w w:val="120"/>
        </w:rPr>
        <w:t>Mercosur,</w:t>
      </w:r>
      <w:r>
        <w:rPr>
          <w:spacing w:val="-26"/>
          <w:w w:val="120"/>
        </w:rPr>
        <w:t> </w:t>
      </w:r>
      <w:r>
        <w:rPr>
          <w:w w:val="120"/>
        </w:rPr>
        <w:t>aparición</w:t>
      </w:r>
      <w:r>
        <w:rPr>
          <w:spacing w:val="-26"/>
          <w:w w:val="120"/>
        </w:rPr>
        <w:t> </w:t>
      </w:r>
      <w:r>
        <w:rPr>
          <w:w w:val="120"/>
        </w:rPr>
        <w:t>de</w:t>
      </w:r>
      <w:r>
        <w:rPr>
          <w:spacing w:val="-26"/>
          <w:w w:val="120"/>
        </w:rPr>
        <w:t> </w:t>
      </w:r>
      <w:r>
        <w:rPr>
          <w:w w:val="120"/>
        </w:rPr>
        <w:t>la</w:t>
      </w:r>
      <w:r>
        <w:rPr>
          <w:spacing w:val="-26"/>
          <w:w w:val="120"/>
        </w:rPr>
        <w:t> </w:t>
      </w:r>
      <w:r>
        <w:rPr>
          <w:w w:val="120"/>
        </w:rPr>
        <w:t>Comunidad</w:t>
      </w:r>
      <w:r>
        <w:rPr>
          <w:spacing w:val="-26"/>
          <w:w w:val="120"/>
        </w:rPr>
        <w:t> </w:t>
      </w:r>
      <w:r>
        <w:rPr>
          <w:w w:val="120"/>
        </w:rPr>
        <w:t>sud- americana de Naciones, luego unión de Naciones suramericanas </w:t>
      </w:r>
      <w:r>
        <w:rPr>
          <w:w w:val="125"/>
        </w:rPr>
        <w:t>(uNasur), </w:t>
      </w:r>
      <w:r>
        <w:rPr>
          <w:w w:val="120"/>
        </w:rPr>
        <w:t>creación de la alianza bolivariana para los Pueblos de </w:t>
      </w:r>
      <w:r>
        <w:rPr>
          <w:w w:val="115"/>
        </w:rPr>
        <w:t>Nuestra américa-tratado de Comercio entre los Pueblos (alba-tCP). </w:t>
      </w:r>
      <w:r>
        <w:rPr>
          <w:w w:val="120"/>
        </w:rPr>
        <w:t>En</w:t>
      </w:r>
      <w:r>
        <w:rPr>
          <w:spacing w:val="-6"/>
          <w:w w:val="120"/>
        </w:rPr>
        <w:t> </w:t>
      </w:r>
      <w:r>
        <w:rPr>
          <w:w w:val="120"/>
        </w:rPr>
        <w:t>forma</w:t>
      </w:r>
      <w:r>
        <w:rPr>
          <w:spacing w:val="-6"/>
          <w:w w:val="120"/>
        </w:rPr>
        <w:t> </w:t>
      </w:r>
      <w:r>
        <w:rPr>
          <w:w w:val="120"/>
        </w:rPr>
        <w:t>paralela,</w:t>
      </w:r>
      <w:r>
        <w:rPr>
          <w:spacing w:val="-6"/>
          <w:w w:val="120"/>
        </w:rPr>
        <w:t> </w:t>
      </w:r>
      <w:r>
        <w:rPr>
          <w:w w:val="120"/>
        </w:rPr>
        <w:t>la</w:t>
      </w:r>
      <w:r>
        <w:rPr>
          <w:spacing w:val="-6"/>
          <w:w w:val="120"/>
        </w:rPr>
        <w:t> </w:t>
      </w:r>
      <w:r>
        <w:rPr>
          <w:w w:val="120"/>
        </w:rPr>
        <w:t>oEa,</w:t>
      </w:r>
      <w:r>
        <w:rPr>
          <w:spacing w:val="-6"/>
          <w:w w:val="120"/>
        </w:rPr>
        <w:t> </w:t>
      </w:r>
      <w:r>
        <w:rPr>
          <w:w w:val="120"/>
        </w:rPr>
        <w:t>escenario</w:t>
      </w:r>
      <w:r>
        <w:rPr>
          <w:spacing w:val="-6"/>
          <w:w w:val="120"/>
        </w:rPr>
        <w:t> </w:t>
      </w:r>
      <w:r>
        <w:rPr>
          <w:w w:val="120"/>
        </w:rPr>
        <w:t>de</w:t>
      </w:r>
      <w:r>
        <w:rPr>
          <w:spacing w:val="-6"/>
          <w:w w:val="120"/>
        </w:rPr>
        <w:t> </w:t>
      </w:r>
      <w:r>
        <w:rPr>
          <w:w w:val="120"/>
        </w:rPr>
        <w:t>las</w:t>
      </w:r>
      <w:r>
        <w:rPr>
          <w:spacing w:val="-6"/>
          <w:w w:val="120"/>
        </w:rPr>
        <w:t> </w:t>
      </w:r>
      <w:r>
        <w:rPr>
          <w:w w:val="120"/>
        </w:rPr>
        <w:t>relaciones</w:t>
      </w:r>
      <w:r>
        <w:rPr>
          <w:spacing w:val="-6"/>
          <w:w w:val="120"/>
        </w:rPr>
        <w:t> </w:t>
      </w:r>
      <w:r>
        <w:rPr>
          <w:w w:val="120"/>
        </w:rPr>
        <w:t>interameri- </w:t>
      </w:r>
      <w:r>
        <w:rPr>
          <w:w w:val="115"/>
        </w:rPr>
        <w:t>canas</w:t>
      </w:r>
      <w:r>
        <w:rPr>
          <w:spacing w:val="-6"/>
          <w:w w:val="115"/>
        </w:rPr>
        <w:t> </w:t>
      </w:r>
      <w:r>
        <w:rPr>
          <w:w w:val="115"/>
        </w:rPr>
        <w:t>dominado</w:t>
      </w:r>
      <w:r>
        <w:rPr>
          <w:spacing w:val="-6"/>
          <w:w w:val="115"/>
        </w:rPr>
        <w:t> </w:t>
      </w:r>
      <w:r>
        <w:rPr>
          <w:w w:val="115"/>
        </w:rPr>
        <w:t>por</w:t>
      </w:r>
      <w:r>
        <w:rPr>
          <w:spacing w:val="-6"/>
          <w:w w:val="115"/>
        </w:rPr>
        <w:t> </w:t>
      </w:r>
      <w:r>
        <w:rPr>
          <w:w w:val="115"/>
        </w:rPr>
        <w:t>Washington</w:t>
      </w:r>
      <w:r>
        <w:rPr>
          <w:spacing w:val="-6"/>
          <w:w w:val="115"/>
        </w:rPr>
        <w:t> </w:t>
      </w:r>
      <w:r>
        <w:rPr>
          <w:w w:val="115"/>
        </w:rPr>
        <w:t>desde</w:t>
      </w:r>
      <w:r>
        <w:rPr>
          <w:spacing w:val="-6"/>
          <w:w w:val="115"/>
        </w:rPr>
        <w:t> </w:t>
      </w:r>
      <w:r>
        <w:rPr>
          <w:w w:val="115"/>
        </w:rPr>
        <w:t>la</w:t>
      </w:r>
      <w:r>
        <w:rPr>
          <w:spacing w:val="-6"/>
          <w:w w:val="115"/>
        </w:rPr>
        <w:t> </w:t>
      </w:r>
      <w:r>
        <w:rPr>
          <w:w w:val="115"/>
        </w:rPr>
        <w:t>posguerra,</w:t>
      </w:r>
      <w:r>
        <w:rPr>
          <w:spacing w:val="-6"/>
          <w:w w:val="115"/>
        </w:rPr>
        <w:t> </w:t>
      </w:r>
      <w:r>
        <w:rPr>
          <w:w w:val="115"/>
        </w:rPr>
        <w:t>fue</w:t>
      </w:r>
      <w:r>
        <w:rPr>
          <w:spacing w:val="-6"/>
          <w:w w:val="115"/>
        </w:rPr>
        <w:t> </w:t>
      </w:r>
      <w:r>
        <w:rPr>
          <w:w w:val="115"/>
        </w:rPr>
        <w:t>perdiendo </w:t>
      </w:r>
      <w:r>
        <w:rPr>
          <w:w w:val="120"/>
        </w:rPr>
        <w:t>influencia.</w:t>
      </w:r>
      <w:r>
        <w:rPr>
          <w:spacing w:val="-10"/>
          <w:w w:val="120"/>
        </w:rPr>
        <w:t> </w:t>
      </w:r>
      <w:r>
        <w:rPr>
          <w:w w:val="120"/>
        </w:rPr>
        <w:t>Hasta</w:t>
      </w:r>
      <w:r>
        <w:rPr>
          <w:spacing w:val="-10"/>
          <w:w w:val="120"/>
        </w:rPr>
        <w:t> </w:t>
      </w:r>
      <w:r>
        <w:rPr>
          <w:w w:val="120"/>
        </w:rPr>
        <w:t>debió</w:t>
      </w:r>
      <w:r>
        <w:rPr>
          <w:spacing w:val="-10"/>
          <w:w w:val="120"/>
        </w:rPr>
        <w:t> </w:t>
      </w:r>
      <w:r>
        <w:rPr>
          <w:w w:val="120"/>
        </w:rPr>
        <w:t>revocar</w:t>
      </w:r>
      <w:r>
        <w:rPr>
          <w:spacing w:val="-10"/>
          <w:w w:val="120"/>
        </w:rPr>
        <w:t> </w:t>
      </w:r>
      <w:r>
        <w:rPr>
          <w:w w:val="120"/>
        </w:rPr>
        <w:t>la</w:t>
      </w:r>
      <w:r>
        <w:rPr>
          <w:spacing w:val="-10"/>
          <w:w w:val="120"/>
        </w:rPr>
        <w:t> </w:t>
      </w:r>
      <w:r>
        <w:rPr>
          <w:w w:val="120"/>
        </w:rPr>
        <w:t>expulsión</w:t>
      </w:r>
      <w:r>
        <w:rPr>
          <w:spacing w:val="-10"/>
          <w:w w:val="120"/>
        </w:rPr>
        <w:t> </w:t>
      </w:r>
      <w:r>
        <w:rPr>
          <w:w w:val="120"/>
        </w:rPr>
        <w:t>de</w:t>
      </w:r>
      <w:r>
        <w:rPr>
          <w:spacing w:val="-10"/>
          <w:w w:val="120"/>
        </w:rPr>
        <w:t> </w:t>
      </w:r>
      <w:r>
        <w:rPr>
          <w:w w:val="120"/>
        </w:rPr>
        <w:t>Cuba</w:t>
      </w:r>
      <w:r>
        <w:rPr>
          <w:spacing w:val="-10"/>
          <w:w w:val="120"/>
        </w:rPr>
        <w:t> </w:t>
      </w:r>
      <w:r>
        <w:rPr>
          <w:w w:val="120"/>
        </w:rPr>
        <w:t>luego</w:t>
      </w:r>
      <w:r>
        <w:rPr>
          <w:spacing w:val="-10"/>
          <w:w w:val="120"/>
        </w:rPr>
        <w:t> </w:t>
      </w:r>
      <w:r>
        <w:rPr>
          <w:w w:val="120"/>
        </w:rPr>
        <w:t>de</w:t>
      </w:r>
      <w:r>
        <w:rPr>
          <w:spacing w:val="-10"/>
          <w:w w:val="120"/>
        </w:rPr>
        <w:t> </w:t>
      </w:r>
      <w:r>
        <w:rPr>
          <w:w w:val="120"/>
        </w:rPr>
        <w:t>que los</w:t>
      </w:r>
      <w:r>
        <w:rPr>
          <w:spacing w:val="-20"/>
          <w:w w:val="120"/>
        </w:rPr>
        <w:t> </w:t>
      </w:r>
      <w:r>
        <w:rPr>
          <w:w w:val="120"/>
        </w:rPr>
        <w:t>países</w:t>
      </w:r>
      <w:r>
        <w:rPr>
          <w:spacing w:val="-20"/>
          <w:w w:val="120"/>
        </w:rPr>
        <w:t> </w:t>
      </w:r>
      <w:r>
        <w:rPr>
          <w:w w:val="120"/>
        </w:rPr>
        <w:t>latinoamericanos</w:t>
      </w:r>
      <w:r>
        <w:rPr>
          <w:spacing w:val="-20"/>
          <w:w w:val="120"/>
        </w:rPr>
        <w:t> </w:t>
      </w:r>
      <w:r>
        <w:rPr>
          <w:w w:val="120"/>
        </w:rPr>
        <w:t>presionaran</w:t>
      </w:r>
      <w:r>
        <w:rPr>
          <w:spacing w:val="-20"/>
          <w:w w:val="120"/>
        </w:rPr>
        <w:t> </w:t>
      </w:r>
      <w:r>
        <w:rPr>
          <w:w w:val="120"/>
        </w:rPr>
        <w:t>a</w:t>
      </w:r>
      <w:r>
        <w:rPr>
          <w:spacing w:val="-20"/>
          <w:w w:val="120"/>
        </w:rPr>
        <w:t> </w:t>
      </w:r>
      <w:r>
        <w:rPr>
          <w:w w:val="120"/>
        </w:rPr>
        <w:t>obama</w:t>
      </w:r>
      <w:r>
        <w:rPr>
          <w:spacing w:val="-20"/>
          <w:w w:val="120"/>
        </w:rPr>
        <w:t> </w:t>
      </w:r>
      <w:r>
        <w:rPr>
          <w:w w:val="120"/>
        </w:rPr>
        <w:t>en</w:t>
      </w:r>
      <w:r>
        <w:rPr>
          <w:spacing w:val="-20"/>
          <w:w w:val="120"/>
        </w:rPr>
        <w:t> </w:t>
      </w:r>
      <w:r>
        <w:rPr>
          <w:w w:val="120"/>
        </w:rPr>
        <w:t>la</w:t>
      </w:r>
      <w:r>
        <w:rPr>
          <w:spacing w:val="-20"/>
          <w:w w:val="120"/>
        </w:rPr>
        <w:t> </w:t>
      </w:r>
      <w:r>
        <w:rPr>
          <w:w w:val="120"/>
        </w:rPr>
        <w:t>Cumbre</w:t>
      </w:r>
      <w:r>
        <w:rPr>
          <w:spacing w:val="-20"/>
          <w:w w:val="120"/>
        </w:rPr>
        <w:t> </w:t>
      </w:r>
      <w:r>
        <w:rPr>
          <w:w w:val="120"/>
        </w:rPr>
        <w:t>de </w:t>
      </w:r>
      <w:r>
        <w:rPr>
          <w:w w:val="115"/>
        </w:rPr>
        <w:t>las</w:t>
      </w:r>
      <w:r>
        <w:rPr>
          <w:spacing w:val="-7"/>
          <w:w w:val="115"/>
        </w:rPr>
        <w:t> </w:t>
      </w:r>
      <w:r>
        <w:rPr>
          <w:w w:val="115"/>
        </w:rPr>
        <w:t>américas</w:t>
      </w:r>
      <w:r>
        <w:rPr>
          <w:spacing w:val="-7"/>
          <w:w w:val="115"/>
        </w:rPr>
        <w:t> </w:t>
      </w:r>
      <w:r>
        <w:rPr>
          <w:w w:val="115"/>
        </w:rPr>
        <w:t>de</w:t>
      </w:r>
      <w:r>
        <w:rPr>
          <w:spacing w:val="-7"/>
          <w:w w:val="115"/>
        </w:rPr>
        <w:t> </w:t>
      </w:r>
      <w:r>
        <w:rPr>
          <w:w w:val="115"/>
        </w:rPr>
        <w:t>2009.</w:t>
      </w:r>
      <w:r>
        <w:rPr>
          <w:spacing w:val="-7"/>
          <w:w w:val="115"/>
        </w:rPr>
        <w:t> </w:t>
      </w:r>
      <w:r>
        <w:rPr>
          <w:w w:val="115"/>
        </w:rPr>
        <w:t>Pocos</w:t>
      </w:r>
      <w:r>
        <w:rPr>
          <w:spacing w:val="-7"/>
          <w:w w:val="115"/>
        </w:rPr>
        <w:t> </w:t>
      </w:r>
      <w:r>
        <w:rPr>
          <w:w w:val="115"/>
        </w:rPr>
        <w:t>meses</w:t>
      </w:r>
      <w:r>
        <w:rPr>
          <w:spacing w:val="-7"/>
          <w:w w:val="115"/>
        </w:rPr>
        <w:t> </w:t>
      </w:r>
      <w:r>
        <w:rPr>
          <w:w w:val="115"/>
        </w:rPr>
        <w:t>más</w:t>
      </w:r>
      <w:r>
        <w:rPr>
          <w:spacing w:val="-7"/>
          <w:w w:val="115"/>
        </w:rPr>
        <w:t> </w:t>
      </w:r>
      <w:r>
        <w:rPr>
          <w:w w:val="115"/>
        </w:rPr>
        <w:t>tarde,</w:t>
      </w:r>
      <w:r>
        <w:rPr>
          <w:spacing w:val="-7"/>
          <w:w w:val="115"/>
        </w:rPr>
        <w:t> </w:t>
      </w:r>
      <w:r>
        <w:rPr>
          <w:w w:val="115"/>
        </w:rPr>
        <w:t>hubo</w:t>
      </w:r>
      <w:r>
        <w:rPr>
          <w:spacing w:val="-7"/>
          <w:w w:val="115"/>
        </w:rPr>
        <w:t> </w:t>
      </w:r>
      <w:r>
        <w:rPr>
          <w:w w:val="115"/>
        </w:rPr>
        <w:t>una</w:t>
      </w:r>
      <w:r>
        <w:rPr>
          <w:spacing w:val="-7"/>
          <w:w w:val="115"/>
        </w:rPr>
        <w:t> </w:t>
      </w:r>
      <w:r>
        <w:rPr>
          <w:w w:val="115"/>
        </w:rPr>
        <w:t>reacción</w:t>
      </w:r>
      <w:r>
        <w:rPr>
          <w:spacing w:val="-7"/>
          <w:w w:val="115"/>
        </w:rPr>
        <w:t> </w:t>
      </w:r>
      <w:r>
        <w:rPr>
          <w:w w:val="115"/>
        </w:rPr>
        <w:t>la- </w:t>
      </w:r>
      <w:r>
        <w:rPr>
          <w:w w:val="111"/>
        </w:rPr>
        <w:t>tinoamericana</w:t>
      </w:r>
      <w:r>
        <w:rPr/>
        <w:t> </w:t>
      </w:r>
      <w:r>
        <w:rPr>
          <w:spacing w:val="5"/>
        </w:rPr>
        <w:t> </w:t>
      </w:r>
      <w:r>
        <w:rPr>
          <w:w w:val="111"/>
        </w:rPr>
        <w:t>conjunta</w:t>
      </w:r>
      <w:r>
        <w:rPr/>
        <w:t> </w:t>
      </w:r>
      <w:r>
        <w:rPr>
          <w:spacing w:val="5"/>
        </w:rPr>
        <w:t> </w:t>
      </w:r>
      <w:r>
        <w:rPr>
          <w:w w:val="108"/>
        </w:rPr>
        <w:t>frente</w:t>
      </w:r>
      <w:r>
        <w:rPr/>
        <w:t> </w:t>
      </w:r>
      <w:r>
        <w:rPr>
          <w:spacing w:val="5"/>
        </w:rPr>
        <w:t> </w:t>
      </w:r>
      <w:r>
        <w:rPr>
          <w:w w:val="111"/>
        </w:rPr>
        <w:t>al</w:t>
      </w:r>
      <w:r>
        <w:rPr/>
        <w:t> </w:t>
      </w:r>
      <w:r>
        <w:rPr>
          <w:spacing w:val="5"/>
        </w:rPr>
        <w:t> </w:t>
      </w:r>
      <w:r>
        <w:rPr>
          <w:w w:val="109"/>
        </w:rPr>
        <w:t>golpe</w:t>
      </w:r>
      <w:r>
        <w:rPr/>
        <w:t> </w:t>
      </w:r>
      <w:r>
        <w:rPr>
          <w:spacing w:val="5"/>
        </w:rPr>
        <w:t> </w:t>
      </w:r>
      <w:r>
        <w:rPr>
          <w:w w:val="108"/>
        </w:rPr>
        <w:t>en</w:t>
      </w:r>
      <w:r>
        <w:rPr/>
        <w:t> </w:t>
      </w:r>
      <w:r>
        <w:rPr>
          <w:spacing w:val="5"/>
        </w:rPr>
        <w:t> </w:t>
      </w:r>
      <w:r>
        <w:rPr>
          <w:w w:val="113"/>
        </w:rPr>
        <w:t>Honduras.</w:t>
      </w:r>
      <w:r>
        <w:rPr/>
        <w:t> </w:t>
      </w:r>
      <w:r>
        <w:rPr>
          <w:spacing w:val="5"/>
        </w:rPr>
        <w:t> </w:t>
      </w:r>
      <w:r>
        <w:rPr>
          <w:w w:val="243"/>
        </w:rPr>
        <w:t>l</w:t>
      </w:r>
      <w:r>
        <w:rPr>
          <w:w w:val="112"/>
        </w:rPr>
        <w:t>a</w:t>
      </w:r>
      <w:r>
        <w:rPr/>
        <w:t> </w:t>
      </w:r>
      <w:r>
        <w:rPr>
          <w:spacing w:val="5"/>
        </w:rPr>
        <w:t> </w:t>
      </w:r>
      <w:r>
        <w:rPr>
          <w:w w:val="140"/>
        </w:rPr>
        <w:t>u</w:t>
      </w:r>
      <w:r>
        <w:rPr>
          <w:w w:val="119"/>
        </w:rPr>
        <w:t>N</w:t>
      </w:r>
      <w:r>
        <w:rPr>
          <w:w w:val="151"/>
        </w:rPr>
        <w:t>asur </w:t>
      </w:r>
      <w:r>
        <w:rPr>
          <w:w w:val="115"/>
        </w:rPr>
        <w:t>también</w:t>
      </w:r>
      <w:r>
        <w:rPr>
          <w:spacing w:val="-16"/>
          <w:w w:val="115"/>
        </w:rPr>
        <w:t> </w:t>
      </w:r>
      <w:r>
        <w:rPr>
          <w:w w:val="115"/>
        </w:rPr>
        <w:t>actuó</w:t>
      </w:r>
      <w:r>
        <w:rPr>
          <w:spacing w:val="-16"/>
          <w:w w:val="115"/>
        </w:rPr>
        <w:t> </w:t>
      </w:r>
      <w:r>
        <w:rPr>
          <w:w w:val="115"/>
        </w:rPr>
        <w:t>rápidamente</w:t>
      </w:r>
      <w:r>
        <w:rPr>
          <w:spacing w:val="-16"/>
          <w:w w:val="115"/>
        </w:rPr>
        <w:t> </w:t>
      </w:r>
      <w:r>
        <w:rPr>
          <w:w w:val="115"/>
        </w:rPr>
        <w:t>ante</w:t>
      </w:r>
      <w:r>
        <w:rPr>
          <w:spacing w:val="-16"/>
          <w:w w:val="115"/>
        </w:rPr>
        <w:t> </w:t>
      </w:r>
      <w:r>
        <w:rPr>
          <w:w w:val="115"/>
        </w:rPr>
        <w:t>el</w:t>
      </w:r>
      <w:r>
        <w:rPr>
          <w:spacing w:val="-16"/>
          <w:w w:val="115"/>
        </w:rPr>
        <w:t> </w:t>
      </w:r>
      <w:r>
        <w:rPr>
          <w:w w:val="115"/>
        </w:rPr>
        <w:t>intento</w:t>
      </w:r>
      <w:r>
        <w:rPr>
          <w:spacing w:val="-16"/>
          <w:w w:val="115"/>
        </w:rPr>
        <w:t> </w:t>
      </w:r>
      <w:r>
        <w:rPr>
          <w:w w:val="115"/>
        </w:rPr>
        <w:t>separatista</w:t>
      </w:r>
      <w:r>
        <w:rPr>
          <w:spacing w:val="-16"/>
          <w:w w:val="115"/>
        </w:rPr>
        <w:t> </w:t>
      </w:r>
      <w:r>
        <w:rPr>
          <w:w w:val="115"/>
        </w:rPr>
        <w:t>en</w:t>
      </w:r>
      <w:r>
        <w:rPr>
          <w:spacing w:val="-16"/>
          <w:w w:val="115"/>
        </w:rPr>
        <w:t> </w:t>
      </w:r>
      <w:r>
        <w:rPr>
          <w:w w:val="115"/>
        </w:rPr>
        <w:t>bolivia</w:t>
      </w:r>
      <w:r>
        <w:rPr>
          <w:spacing w:val="-16"/>
          <w:w w:val="115"/>
        </w:rPr>
        <w:t> </w:t>
      </w:r>
      <w:r>
        <w:rPr>
          <w:w w:val="115"/>
        </w:rPr>
        <w:t>y</w:t>
      </w:r>
      <w:r>
        <w:rPr>
          <w:spacing w:val="-16"/>
          <w:w w:val="115"/>
        </w:rPr>
        <w:t> </w:t>
      </w:r>
      <w:r>
        <w:rPr>
          <w:w w:val="115"/>
        </w:rPr>
        <w:t>el </w:t>
      </w:r>
      <w:r>
        <w:rPr>
          <w:w w:val="120"/>
        </w:rPr>
        <w:t>levantamiento</w:t>
      </w:r>
      <w:r>
        <w:rPr>
          <w:spacing w:val="-24"/>
          <w:w w:val="120"/>
        </w:rPr>
        <w:t> </w:t>
      </w:r>
      <w:r>
        <w:rPr>
          <w:w w:val="120"/>
        </w:rPr>
        <w:t>policial</w:t>
      </w:r>
      <w:r>
        <w:rPr>
          <w:spacing w:val="-24"/>
          <w:w w:val="120"/>
        </w:rPr>
        <w:t> </w:t>
      </w:r>
      <w:r>
        <w:rPr>
          <w:w w:val="120"/>
        </w:rPr>
        <w:t>contra</w:t>
      </w:r>
      <w:r>
        <w:rPr>
          <w:spacing w:val="-24"/>
          <w:w w:val="120"/>
        </w:rPr>
        <w:t> </w:t>
      </w:r>
      <w:r>
        <w:rPr>
          <w:w w:val="120"/>
        </w:rPr>
        <w:t>rafael</w:t>
      </w:r>
      <w:r>
        <w:rPr>
          <w:spacing w:val="-24"/>
          <w:w w:val="120"/>
        </w:rPr>
        <w:t> </w:t>
      </w:r>
      <w:r>
        <w:rPr>
          <w:w w:val="120"/>
        </w:rPr>
        <w:t>Correa</w:t>
      </w:r>
      <w:r>
        <w:rPr>
          <w:spacing w:val="-24"/>
          <w:w w:val="120"/>
        </w:rPr>
        <w:t> </w:t>
      </w:r>
      <w:r>
        <w:rPr>
          <w:w w:val="120"/>
        </w:rPr>
        <w:t>en</w:t>
      </w:r>
      <w:r>
        <w:rPr>
          <w:spacing w:val="-24"/>
          <w:w w:val="120"/>
        </w:rPr>
        <w:t> </w:t>
      </w:r>
      <w:r>
        <w:rPr>
          <w:spacing w:val="-3"/>
          <w:w w:val="120"/>
        </w:rPr>
        <w:t>Ecuador.</w:t>
      </w:r>
      <w:r>
        <w:rPr>
          <w:spacing w:val="-24"/>
          <w:w w:val="120"/>
        </w:rPr>
        <w:t> </w:t>
      </w:r>
      <w:r>
        <w:rPr>
          <w:w w:val="120"/>
        </w:rPr>
        <w:t>En</w:t>
      </w:r>
      <w:r>
        <w:rPr>
          <w:spacing w:val="-24"/>
          <w:w w:val="120"/>
        </w:rPr>
        <w:t> </w:t>
      </w:r>
      <w:r>
        <w:rPr>
          <w:w w:val="120"/>
        </w:rPr>
        <w:t>febrero </w:t>
      </w:r>
      <w:r>
        <w:rPr>
          <w:w w:val="107"/>
        </w:rPr>
        <w:t>de</w:t>
      </w:r>
      <w:r>
        <w:rPr>
          <w:spacing w:val="8"/>
        </w:rPr>
        <w:t> </w:t>
      </w:r>
      <w:r>
        <w:rPr>
          <w:w w:val="105"/>
        </w:rPr>
        <w:t>2010,</w:t>
      </w:r>
      <w:r>
        <w:rPr>
          <w:spacing w:val="8"/>
        </w:rPr>
        <w:t> </w:t>
      </w:r>
      <w:r>
        <w:rPr>
          <w:w w:val="111"/>
        </w:rPr>
        <w:t>además,</w:t>
      </w:r>
      <w:r>
        <w:rPr>
          <w:spacing w:val="8"/>
        </w:rPr>
        <w:t> </w:t>
      </w:r>
      <w:r>
        <w:rPr>
          <w:w w:val="105"/>
        </w:rPr>
        <w:t>se</w:t>
      </w:r>
      <w:r>
        <w:rPr>
          <w:spacing w:val="8"/>
        </w:rPr>
        <w:t> </w:t>
      </w:r>
      <w:r>
        <w:rPr>
          <w:w w:val="109"/>
        </w:rPr>
        <w:t>creó</w:t>
      </w:r>
      <w:r>
        <w:rPr>
          <w:spacing w:val="8"/>
        </w:rPr>
        <w:t> </w:t>
      </w:r>
      <w:r>
        <w:rPr>
          <w:w w:val="111"/>
        </w:rPr>
        <w:t>la</w:t>
      </w:r>
      <w:r>
        <w:rPr>
          <w:spacing w:val="8"/>
        </w:rPr>
        <w:t> </w:t>
      </w:r>
      <w:r>
        <w:rPr>
          <w:w w:val="113"/>
        </w:rPr>
        <w:t>Comunidad</w:t>
      </w:r>
      <w:r>
        <w:rPr>
          <w:spacing w:val="8"/>
        </w:rPr>
        <w:t> </w:t>
      </w:r>
      <w:r>
        <w:rPr>
          <w:w w:val="107"/>
        </w:rPr>
        <w:t>de</w:t>
      </w:r>
      <w:r>
        <w:rPr>
          <w:spacing w:val="8"/>
        </w:rPr>
        <w:t> </w:t>
      </w:r>
      <w:r>
        <w:rPr>
          <w:w w:val="111"/>
        </w:rPr>
        <w:t>Estados</w:t>
      </w:r>
      <w:r>
        <w:rPr>
          <w:spacing w:val="8"/>
        </w:rPr>
        <w:t> </w:t>
      </w:r>
      <w:r>
        <w:rPr>
          <w:w w:val="243"/>
        </w:rPr>
        <w:t>l</w:t>
      </w:r>
      <w:r>
        <w:rPr>
          <w:w w:val="110"/>
        </w:rPr>
        <w:t>atinoamericanos </w:t>
      </w:r>
      <w:r>
        <w:rPr>
          <w:w w:val="120"/>
        </w:rPr>
        <w:t>y</w:t>
      </w:r>
      <w:r>
        <w:rPr>
          <w:spacing w:val="-14"/>
          <w:w w:val="120"/>
        </w:rPr>
        <w:t> </w:t>
      </w:r>
      <w:r>
        <w:rPr>
          <w:w w:val="120"/>
        </w:rPr>
        <w:t>Caribeños</w:t>
      </w:r>
      <w:r>
        <w:rPr>
          <w:spacing w:val="-14"/>
          <w:w w:val="120"/>
        </w:rPr>
        <w:t> </w:t>
      </w:r>
      <w:r>
        <w:rPr>
          <w:w w:val="125"/>
        </w:rPr>
        <w:t>(CElaC),</w:t>
      </w:r>
      <w:r>
        <w:rPr>
          <w:spacing w:val="-16"/>
          <w:w w:val="125"/>
        </w:rPr>
        <w:t> </w:t>
      </w:r>
      <w:r>
        <w:rPr>
          <w:w w:val="120"/>
        </w:rPr>
        <w:t>una</w:t>
      </w:r>
      <w:r>
        <w:rPr>
          <w:spacing w:val="-14"/>
          <w:w w:val="120"/>
        </w:rPr>
        <w:t> </w:t>
      </w:r>
      <w:r>
        <w:rPr>
          <w:w w:val="120"/>
        </w:rPr>
        <w:t>asociación</w:t>
      </w:r>
      <w:r>
        <w:rPr>
          <w:spacing w:val="-14"/>
          <w:w w:val="120"/>
        </w:rPr>
        <w:t> </w:t>
      </w:r>
      <w:r>
        <w:rPr>
          <w:w w:val="120"/>
        </w:rPr>
        <w:t>continental</w:t>
      </w:r>
      <w:r>
        <w:rPr>
          <w:spacing w:val="-14"/>
          <w:w w:val="120"/>
        </w:rPr>
        <w:t> </w:t>
      </w:r>
      <w:r>
        <w:rPr>
          <w:w w:val="120"/>
        </w:rPr>
        <w:t>que</w:t>
      </w:r>
      <w:r>
        <w:rPr>
          <w:spacing w:val="-14"/>
          <w:w w:val="120"/>
        </w:rPr>
        <w:t> </w:t>
      </w:r>
      <w:r>
        <w:rPr>
          <w:w w:val="120"/>
        </w:rPr>
        <w:t>excluye</w:t>
      </w:r>
      <w:r>
        <w:rPr>
          <w:spacing w:val="-14"/>
          <w:w w:val="120"/>
        </w:rPr>
        <w:t> </w:t>
      </w:r>
      <w:r>
        <w:rPr>
          <w:w w:val="120"/>
        </w:rPr>
        <w:t>a</w:t>
      </w:r>
      <w:r>
        <w:rPr>
          <w:spacing w:val="-14"/>
          <w:w w:val="120"/>
        </w:rPr>
        <w:t> </w:t>
      </w:r>
      <w:r>
        <w:rPr>
          <w:w w:val="120"/>
        </w:rPr>
        <w:t>Es- tados</w:t>
      </w:r>
      <w:r>
        <w:rPr>
          <w:spacing w:val="-23"/>
          <w:w w:val="120"/>
        </w:rPr>
        <w:t> </w:t>
      </w:r>
      <w:r>
        <w:rPr>
          <w:w w:val="120"/>
        </w:rPr>
        <w:t>unidos</w:t>
      </w:r>
      <w:r>
        <w:rPr>
          <w:spacing w:val="-23"/>
          <w:w w:val="120"/>
        </w:rPr>
        <w:t> </w:t>
      </w:r>
      <w:r>
        <w:rPr>
          <w:w w:val="120"/>
        </w:rPr>
        <w:t>y</w:t>
      </w:r>
      <w:r>
        <w:rPr>
          <w:spacing w:val="-23"/>
          <w:w w:val="120"/>
        </w:rPr>
        <w:t> </w:t>
      </w:r>
      <w:r>
        <w:rPr>
          <w:w w:val="120"/>
        </w:rPr>
        <w:t>Canadá.</w:t>
      </w:r>
      <w:r>
        <w:rPr>
          <w:spacing w:val="-23"/>
          <w:w w:val="120"/>
        </w:rPr>
        <w:t> </w:t>
      </w:r>
      <w:r>
        <w:rPr>
          <w:w w:val="120"/>
        </w:rPr>
        <w:t>impulsada</w:t>
      </w:r>
      <w:r>
        <w:rPr>
          <w:spacing w:val="-23"/>
          <w:w w:val="120"/>
        </w:rPr>
        <w:t> </w:t>
      </w:r>
      <w:r>
        <w:rPr>
          <w:w w:val="120"/>
        </w:rPr>
        <w:t>por</w:t>
      </w:r>
      <w:r>
        <w:rPr>
          <w:spacing w:val="-23"/>
          <w:w w:val="120"/>
        </w:rPr>
        <w:t> </w:t>
      </w:r>
      <w:r>
        <w:rPr>
          <w:w w:val="120"/>
        </w:rPr>
        <w:t>el</w:t>
      </w:r>
      <w:r>
        <w:rPr>
          <w:spacing w:val="-23"/>
          <w:w w:val="120"/>
        </w:rPr>
        <w:t> </w:t>
      </w:r>
      <w:r>
        <w:rPr>
          <w:w w:val="120"/>
        </w:rPr>
        <w:t>eje</w:t>
      </w:r>
      <w:r>
        <w:rPr>
          <w:spacing w:val="-23"/>
          <w:w w:val="120"/>
        </w:rPr>
        <w:t> </w:t>
      </w:r>
      <w:r>
        <w:rPr>
          <w:w w:val="120"/>
        </w:rPr>
        <w:t>bolivariano</w:t>
      </w:r>
      <w:r>
        <w:rPr>
          <w:spacing w:val="-23"/>
          <w:w w:val="120"/>
        </w:rPr>
        <w:t> </w:t>
      </w:r>
      <w:r>
        <w:rPr>
          <w:w w:val="120"/>
        </w:rPr>
        <w:t>y</w:t>
      </w:r>
      <w:r>
        <w:rPr>
          <w:spacing w:val="-23"/>
          <w:w w:val="120"/>
        </w:rPr>
        <w:t> </w:t>
      </w:r>
      <w:r>
        <w:rPr>
          <w:w w:val="120"/>
        </w:rPr>
        <w:t>resistida por</w:t>
      </w:r>
      <w:r>
        <w:rPr>
          <w:spacing w:val="-13"/>
          <w:w w:val="120"/>
        </w:rPr>
        <w:t> </w:t>
      </w:r>
      <w:r>
        <w:rPr>
          <w:w w:val="120"/>
        </w:rPr>
        <w:t>el</w:t>
      </w:r>
      <w:r>
        <w:rPr>
          <w:spacing w:val="-13"/>
          <w:w w:val="120"/>
        </w:rPr>
        <w:t> </w:t>
      </w:r>
      <w:r>
        <w:rPr>
          <w:w w:val="120"/>
        </w:rPr>
        <w:t>departamento</w:t>
      </w:r>
      <w:r>
        <w:rPr>
          <w:spacing w:val="-13"/>
          <w:w w:val="120"/>
        </w:rPr>
        <w:t> </w:t>
      </w:r>
      <w:r>
        <w:rPr>
          <w:w w:val="120"/>
        </w:rPr>
        <w:t>de</w:t>
      </w:r>
      <w:r>
        <w:rPr>
          <w:spacing w:val="-13"/>
          <w:w w:val="120"/>
        </w:rPr>
        <w:t> </w:t>
      </w:r>
      <w:r>
        <w:rPr>
          <w:w w:val="120"/>
        </w:rPr>
        <w:t>Estado,</w:t>
      </w:r>
      <w:r>
        <w:rPr>
          <w:spacing w:val="-13"/>
          <w:w w:val="120"/>
        </w:rPr>
        <w:t> </w:t>
      </w:r>
      <w:r>
        <w:rPr>
          <w:w w:val="120"/>
        </w:rPr>
        <w:t>la</w:t>
      </w:r>
      <w:r>
        <w:rPr>
          <w:spacing w:val="-13"/>
          <w:w w:val="120"/>
        </w:rPr>
        <w:t> </w:t>
      </w:r>
      <w:r>
        <w:rPr>
          <w:w w:val="125"/>
        </w:rPr>
        <w:t>CElaC</w:t>
      </w:r>
      <w:r>
        <w:rPr>
          <w:spacing w:val="-15"/>
          <w:w w:val="125"/>
        </w:rPr>
        <w:t> </w:t>
      </w:r>
      <w:r>
        <w:rPr>
          <w:w w:val="120"/>
        </w:rPr>
        <w:t>podría</w:t>
      </w:r>
      <w:r>
        <w:rPr>
          <w:spacing w:val="-13"/>
          <w:w w:val="120"/>
        </w:rPr>
        <w:t> </w:t>
      </w:r>
      <w:r>
        <w:rPr>
          <w:w w:val="120"/>
        </w:rPr>
        <w:t>convertirse</w:t>
      </w:r>
      <w:r>
        <w:rPr>
          <w:spacing w:val="-13"/>
          <w:w w:val="120"/>
        </w:rPr>
        <w:t> </w:t>
      </w:r>
      <w:r>
        <w:rPr>
          <w:w w:val="120"/>
        </w:rPr>
        <w:t>en</w:t>
      </w:r>
      <w:r>
        <w:rPr>
          <w:spacing w:val="-13"/>
          <w:w w:val="120"/>
        </w:rPr>
        <w:t> </w:t>
      </w:r>
      <w:r>
        <w:rPr>
          <w:w w:val="120"/>
        </w:rPr>
        <w:t>un </w:t>
      </w:r>
      <w:r>
        <w:rPr>
          <w:w w:val="115"/>
        </w:rPr>
        <w:t>instrumento</w:t>
      </w:r>
      <w:r>
        <w:rPr>
          <w:spacing w:val="-22"/>
          <w:w w:val="115"/>
        </w:rPr>
        <w:t> </w:t>
      </w:r>
      <w:r>
        <w:rPr>
          <w:w w:val="115"/>
        </w:rPr>
        <w:t>inédito</w:t>
      </w:r>
      <w:r>
        <w:rPr>
          <w:spacing w:val="-22"/>
          <w:w w:val="115"/>
        </w:rPr>
        <w:t> </w:t>
      </w:r>
      <w:r>
        <w:rPr>
          <w:w w:val="115"/>
        </w:rPr>
        <w:t>e</w:t>
      </w:r>
      <w:r>
        <w:rPr>
          <w:spacing w:val="-22"/>
          <w:w w:val="115"/>
        </w:rPr>
        <w:t> </w:t>
      </w:r>
      <w:r>
        <w:rPr>
          <w:w w:val="115"/>
        </w:rPr>
        <w:t>histórico</w:t>
      </w:r>
      <w:r>
        <w:rPr>
          <w:spacing w:val="-22"/>
          <w:w w:val="115"/>
        </w:rPr>
        <w:t> </w:t>
      </w:r>
      <w:r>
        <w:rPr>
          <w:w w:val="115"/>
        </w:rPr>
        <w:t>de</w:t>
      </w:r>
      <w:r>
        <w:rPr>
          <w:spacing w:val="-22"/>
          <w:w w:val="115"/>
        </w:rPr>
        <w:t> </w:t>
      </w:r>
      <w:r>
        <w:rPr>
          <w:w w:val="115"/>
        </w:rPr>
        <w:t>coordinación</w:t>
      </w:r>
      <w:r>
        <w:rPr>
          <w:spacing w:val="-22"/>
          <w:w w:val="115"/>
        </w:rPr>
        <w:t> </w:t>
      </w:r>
      <w:r>
        <w:rPr>
          <w:w w:val="115"/>
        </w:rPr>
        <w:t>latinoamericana</w:t>
      </w:r>
      <w:r>
        <w:rPr>
          <w:spacing w:val="-22"/>
          <w:w w:val="115"/>
        </w:rPr>
        <w:t> </w:t>
      </w:r>
      <w:r>
        <w:rPr>
          <w:w w:val="115"/>
        </w:rPr>
        <w:t>por </w:t>
      </w:r>
      <w:r>
        <w:rPr>
          <w:w w:val="110"/>
        </w:rPr>
        <w:t>fuera</w:t>
      </w:r>
      <w:r>
        <w:rPr/>
        <w:t> </w:t>
      </w:r>
      <w:r>
        <w:rPr>
          <w:spacing w:val="-13"/>
        </w:rPr>
        <w:t> </w:t>
      </w:r>
      <w:r>
        <w:rPr>
          <w:w w:val="107"/>
        </w:rPr>
        <w:t>del</w:t>
      </w:r>
      <w:r>
        <w:rPr/>
        <w:t> </w:t>
      </w:r>
      <w:r>
        <w:rPr>
          <w:spacing w:val="-13"/>
        </w:rPr>
        <w:t> </w:t>
      </w:r>
      <w:r>
        <w:rPr>
          <w:w w:val="110"/>
        </w:rPr>
        <w:t>control</w:t>
      </w:r>
      <w:r>
        <w:rPr/>
        <w:t> </w:t>
      </w:r>
      <w:r>
        <w:rPr>
          <w:spacing w:val="-13"/>
        </w:rPr>
        <w:t> </w:t>
      </w:r>
      <w:r>
        <w:rPr>
          <w:w w:val="107"/>
        </w:rPr>
        <w:t>de</w:t>
      </w:r>
      <w:r>
        <w:rPr/>
        <w:t> </w:t>
      </w:r>
      <w:r>
        <w:rPr>
          <w:spacing w:val="-13"/>
        </w:rPr>
        <w:t> </w:t>
      </w:r>
      <w:r>
        <w:rPr>
          <w:spacing w:val="-11"/>
          <w:w w:val="110"/>
        </w:rPr>
        <w:t>W</w:t>
      </w:r>
      <w:r>
        <w:rPr>
          <w:w w:val="112"/>
        </w:rPr>
        <w:t>ashington.</w:t>
      </w:r>
      <w:r>
        <w:rPr/>
        <w:t> </w:t>
      </w:r>
      <w:r>
        <w:rPr>
          <w:spacing w:val="-13"/>
        </w:rPr>
        <w:t> </w:t>
      </w:r>
      <w:r>
        <w:rPr>
          <w:w w:val="243"/>
        </w:rPr>
        <w:t>l</w:t>
      </w:r>
      <w:r>
        <w:rPr>
          <w:w w:val="112"/>
        </w:rPr>
        <w:t>a</w:t>
      </w:r>
      <w:r>
        <w:rPr/>
        <w:t> </w:t>
      </w:r>
      <w:r>
        <w:rPr>
          <w:spacing w:val="-13"/>
        </w:rPr>
        <w:t> </w:t>
      </w:r>
      <w:r>
        <w:rPr>
          <w:w w:val="110"/>
        </w:rPr>
        <w:t>cumbre</w:t>
      </w:r>
      <w:r>
        <w:rPr/>
        <w:t> </w:t>
      </w:r>
      <w:r>
        <w:rPr>
          <w:spacing w:val="-13"/>
        </w:rPr>
        <w:t> </w:t>
      </w:r>
      <w:r>
        <w:rPr>
          <w:w w:val="111"/>
        </w:rPr>
        <w:t>inaugural</w:t>
      </w:r>
      <w:r>
        <w:rPr/>
        <w:t> </w:t>
      </w:r>
      <w:r>
        <w:rPr>
          <w:spacing w:val="-13"/>
        </w:rPr>
        <w:t> </w:t>
      </w:r>
      <w:r>
        <w:rPr>
          <w:w w:val="105"/>
        </w:rPr>
        <w:t>se</w:t>
      </w:r>
      <w:r>
        <w:rPr/>
        <w:t> </w:t>
      </w:r>
      <w:r>
        <w:rPr>
          <w:spacing w:val="-13"/>
        </w:rPr>
        <w:t> </w:t>
      </w:r>
      <w:r>
        <w:rPr>
          <w:w w:val="109"/>
        </w:rPr>
        <w:t>realizó</w:t>
      </w:r>
      <w:r>
        <w:rPr/>
        <w:t> </w:t>
      </w:r>
      <w:r>
        <w:rPr>
          <w:spacing w:val="-13"/>
        </w:rPr>
        <w:t> </w:t>
      </w:r>
      <w:r>
        <w:rPr>
          <w:w w:val="108"/>
        </w:rPr>
        <w:t>en </w:t>
      </w:r>
      <w:r>
        <w:rPr>
          <w:w w:val="110"/>
        </w:rPr>
        <w:t>Caracas</w:t>
      </w:r>
      <w:r>
        <w:rPr>
          <w:spacing w:val="-8"/>
          <w:w w:val="110"/>
        </w:rPr>
        <w:t> </w:t>
      </w:r>
      <w:r>
        <w:rPr>
          <w:w w:val="110"/>
        </w:rPr>
        <w:t>(diciembre</w:t>
      </w:r>
      <w:r>
        <w:rPr>
          <w:spacing w:val="-8"/>
          <w:w w:val="110"/>
        </w:rPr>
        <w:t> </w:t>
      </w:r>
      <w:r>
        <w:rPr>
          <w:w w:val="110"/>
        </w:rPr>
        <w:t>de</w:t>
      </w:r>
      <w:r>
        <w:rPr>
          <w:spacing w:val="-8"/>
          <w:w w:val="110"/>
        </w:rPr>
        <w:t> </w:t>
      </w:r>
      <w:r>
        <w:rPr>
          <w:w w:val="110"/>
        </w:rPr>
        <w:t>2011)</w:t>
      </w:r>
      <w:r>
        <w:rPr>
          <w:spacing w:val="-8"/>
          <w:w w:val="110"/>
        </w:rPr>
        <w:t> </w:t>
      </w:r>
      <w:r>
        <w:rPr>
          <w:w w:val="110"/>
        </w:rPr>
        <w:t>y</w:t>
      </w:r>
      <w:r>
        <w:rPr>
          <w:spacing w:val="-8"/>
          <w:w w:val="110"/>
        </w:rPr>
        <w:t> </w:t>
      </w:r>
      <w:r>
        <w:rPr>
          <w:w w:val="110"/>
        </w:rPr>
        <w:t>luego</w:t>
      </w:r>
      <w:r>
        <w:rPr>
          <w:spacing w:val="-8"/>
          <w:w w:val="110"/>
        </w:rPr>
        <w:t> </w:t>
      </w:r>
      <w:r>
        <w:rPr>
          <w:w w:val="110"/>
        </w:rPr>
        <w:t>hubo</w:t>
      </w:r>
      <w:r>
        <w:rPr>
          <w:spacing w:val="-8"/>
          <w:w w:val="110"/>
        </w:rPr>
        <w:t> </w:t>
      </w:r>
      <w:r>
        <w:rPr>
          <w:w w:val="110"/>
        </w:rPr>
        <w:t>reuniones</w:t>
      </w:r>
      <w:r>
        <w:rPr>
          <w:spacing w:val="-8"/>
          <w:w w:val="110"/>
        </w:rPr>
        <w:t> </w:t>
      </w:r>
      <w:r>
        <w:rPr>
          <w:w w:val="110"/>
        </w:rPr>
        <w:t>presidenciales</w:t>
      </w:r>
      <w:r>
        <w:rPr>
          <w:spacing w:val="-8"/>
          <w:w w:val="110"/>
        </w:rPr>
        <w:t> </w:t>
      </w:r>
      <w:r>
        <w:rPr>
          <w:w w:val="110"/>
        </w:rPr>
        <w:t>en </w:t>
      </w:r>
      <w:r>
        <w:rPr>
          <w:w w:val="149"/>
        </w:rPr>
        <w:t>s</w:t>
      </w:r>
      <w:r>
        <w:rPr>
          <w:w w:val="111"/>
        </w:rPr>
        <w:t>antiago</w:t>
      </w:r>
      <w:r>
        <w:rPr>
          <w:spacing w:val="19"/>
        </w:rPr>
        <w:t> </w:t>
      </w:r>
      <w:r>
        <w:rPr>
          <w:w w:val="107"/>
        </w:rPr>
        <w:t>de</w:t>
      </w:r>
      <w:r>
        <w:rPr>
          <w:spacing w:val="19"/>
        </w:rPr>
        <w:t> </w:t>
      </w:r>
      <w:r>
        <w:rPr>
          <w:w w:val="114"/>
        </w:rPr>
        <w:t>Chile</w:t>
      </w:r>
      <w:r>
        <w:rPr>
          <w:spacing w:val="19"/>
        </w:rPr>
        <w:t> </w:t>
      </w:r>
      <w:r>
        <w:rPr>
          <w:w w:val="106"/>
        </w:rPr>
        <w:t>(enero</w:t>
      </w:r>
      <w:r>
        <w:rPr>
          <w:spacing w:val="19"/>
        </w:rPr>
        <w:t> </w:t>
      </w:r>
      <w:r>
        <w:rPr>
          <w:w w:val="107"/>
        </w:rPr>
        <w:t>de</w:t>
      </w:r>
      <w:r>
        <w:rPr>
          <w:spacing w:val="19"/>
        </w:rPr>
        <w:t> </w:t>
      </w:r>
      <w:r>
        <w:rPr>
          <w:w w:val="104"/>
        </w:rPr>
        <w:t>2013),</w:t>
      </w:r>
      <w:r>
        <w:rPr>
          <w:spacing w:val="19"/>
        </w:rPr>
        <w:t> </w:t>
      </w:r>
      <w:r>
        <w:rPr>
          <w:w w:val="243"/>
        </w:rPr>
        <w:t>l</w:t>
      </w:r>
      <w:r>
        <w:rPr>
          <w:w w:val="112"/>
        </w:rPr>
        <w:t>a</w:t>
      </w:r>
      <w:r>
        <w:rPr>
          <w:spacing w:val="19"/>
        </w:rPr>
        <w:t> </w:t>
      </w:r>
      <w:r>
        <w:rPr>
          <w:w w:val="114"/>
        </w:rPr>
        <w:t>Habana</w:t>
      </w:r>
      <w:r>
        <w:rPr>
          <w:spacing w:val="19"/>
        </w:rPr>
        <w:t> </w:t>
      </w:r>
      <w:r>
        <w:rPr>
          <w:w w:val="106"/>
        </w:rPr>
        <w:t>(enero</w:t>
      </w:r>
      <w:r>
        <w:rPr>
          <w:spacing w:val="19"/>
        </w:rPr>
        <w:t> </w:t>
      </w:r>
      <w:r>
        <w:rPr>
          <w:w w:val="107"/>
        </w:rPr>
        <w:t>de</w:t>
      </w:r>
      <w:r>
        <w:rPr>
          <w:spacing w:val="19"/>
        </w:rPr>
        <w:t> </w:t>
      </w:r>
      <w:r>
        <w:rPr>
          <w:w w:val="101"/>
        </w:rPr>
        <w:t>2014)</w:t>
      </w:r>
      <w:r>
        <w:rPr>
          <w:spacing w:val="19"/>
        </w:rPr>
        <w:t> </w:t>
      </w:r>
      <w:r>
        <w:rPr>
          <w:w w:val="105"/>
        </w:rPr>
        <w:t>y</w:t>
      </w:r>
      <w:r>
        <w:rPr>
          <w:spacing w:val="19"/>
        </w:rPr>
        <w:t> </w:t>
      </w:r>
      <w:r>
        <w:rPr>
          <w:w w:val="149"/>
        </w:rPr>
        <w:t>s</w:t>
      </w:r>
      <w:r>
        <w:rPr>
          <w:w w:val="112"/>
        </w:rPr>
        <w:t>an </w:t>
      </w:r>
      <w:r>
        <w:rPr>
          <w:w w:val="115"/>
        </w:rPr>
        <w:t>José</w:t>
      </w:r>
      <w:r>
        <w:rPr>
          <w:spacing w:val="-10"/>
          <w:w w:val="115"/>
        </w:rPr>
        <w:t> </w:t>
      </w:r>
      <w:r>
        <w:rPr>
          <w:w w:val="115"/>
        </w:rPr>
        <w:t>de</w:t>
      </w:r>
      <w:r>
        <w:rPr>
          <w:spacing w:val="-10"/>
          <w:w w:val="115"/>
        </w:rPr>
        <w:t> </w:t>
      </w:r>
      <w:r>
        <w:rPr>
          <w:w w:val="115"/>
        </w:rPr>
        <w:t>Costa</w:t>
      </w:r>
      <w:r>
        <w:rPr>
          <w:spacing w:val="-10"/>
          <w:w w:val="115"/>
        </w:rPr>
        <w:t> </w:t>
      </w:r>
      <w:r>
        <w:rPr>
          <w:w w:val="115"/>
        </w:rPr>
        <w:t>rica</w:t>
      </w:r>
      <w:r>
        <w:rPr>
          <w:spacing w:val="-10"/>
          <w:w w:val="115"/>
        </w:rPr>
        <w:t> </w:t>
      </w:r>
      <w:r>
        <w:rPr>
          <w:w w:val="115"/>
        </w:rPr>
        <w:t>(enero</w:t>
      </w:r>
      <w:r>
        <w:rPr>
          <w:spacing w:val="-10"/>
          <w:w w:val="115"/>
        </w:rPr>
        <w:t> </w:t>
      </w:r>
      <w:r>
        <w:rPr>
          <w:w w:val="115"/>
        </w:rPr>
        <w:t>de</w:t>
      </w:r>
      <w:r>
        <w:rPr>
          <w:spacing w:val="-10"/>
          <w:w w:val="115"/>
        </w:rPr>
        <w:t> </w:t>
      </w:r>
      <w:r>
        <w:rPr>
          <w:w w:val="115"/>
        </w:rPr>
        <w:t>2015).</w:t>
      </w:r>
    </w:p>
    <w:p>
      <w:pPr>
        <w:pStyle w:val="BodyText"/>
        <w:spacing w:line="252" w:lineRule="auto"/>
        <w:ind w:left="120" w:right="327" w:firstLine="396"/>
        <w:jc w:val="both"/>
      </w:pPr>
      <w:r>
        <w:rPr>
          <w:w w:val="243"/>
        </w:rPr>
        <w:t>l</w:t>
      </w:r>
      <w:r>
        <w:rPr>
          <w:w w:val="112"/>
        </w:rPr>
        <w:t>a</w:t>
      </w:r>
      <w:r>
        <w:rPr/>
        <w:t> </w:t>
      </w:r>
      <w:r>
        <w:rPr>
          <w:spacing w:val="-11"/>
        </w:rPr>
        <w:t> </w:t>
      </w:r>
      <w:r>
        <w:rPr>
          <w:w w:val="112"/>
        </w:rPr>
        <w:t>Cumbre</w:t>
      </w:r>
      <w:r>
        <w:rPr/>
        <w:t> </w:t>
      </w:r>
      <w:r>
        <w:rPr>
          <w:spacing w:val="-11"/>
        </w:rPr>
        <w:t> </w:t>
      </w:r>
      <w:r>
        <w:rPr>
          <w:w w:val="107"/>
        </w:rPr>
        <w:t>de</w:t>
      </w:r>
      <w:r>
        <w:rPr/>
        <w:t> </w:t>
      </w:r>
      <w:r>
        <w:rPr>
          <w:spacing w:val="-11"/>
        </w:rPr>
        <w:t> </w:t>
      </w:r>
      <w:r>
        <w:rPr>
          <w:w w:val="109"/>
        </w:rPr>
        <w:t>las</w:t>
      </w:r>
      <w:r>
        <w:rPr/>
        <w:t> </w:t>
      </w:r>
      <w:r>
        <w:rPr>
          <w:spacing w:val="-11"/>
        </w:rPr>
        <w:t> </w:t>
      </w:r>
      <w:r>
        <w:rPr>
          <w:w w:val="139"/>
        </w:rPr>
        <w:t>a</w:t>
      </w:r>
      <w:r>
        <w:rPr>
          <w:w w:val="110"/>
        </w:rPr>
        <w:t>méricas</w:t>
      </w:r>
      <w:r>
        <w:rPr/>
        <w:t> </w:t>
      </w:r>
      <w:r>
        <w:rPr>
          <w:spacing w:val="-11"/>
        </w:rPr>
        <w:t> </w:t>
      </w:r>
      <w:r>
        <w:rPr>
          <w:w w:val="107"/>
        </w:rPr>
        <w:t>de</w:t>
      </w:r>
      <w:r>
        <w:rPr/>
        <w:t> </w:t>
      </w:r>
      <w:r>
        <w:rPr>
          <w:spacing w:val="-11"/>
        </w:rPr>
        <w:t> </w:t>
      </w:r>
      <w:r>
        <w:rPr>
          <w:w w:val="112"/>
        </w:rPr>
        <w:t>Cartagena,</w:t>
      </w:r>
      <w:r>
        <w:rPr/>
        <w:t> </w:t>
      </w:r>
      <w:r>
        <w:rPr>
          <w:spacing w:val="-11"/>
        </w:rPr>
        <w:t> </w:t>
      </w:r>
      <w:r>
        <w:rPr>
          <w:w w:val="110"/>
        </w:rPr>
        <w:t>realizada</w:t>
      </w:r>
      <w:r>
        <w:rPr/>
        <w:t> </w:t>
      </w:r>
      <w:r>
        <w:rPr>
          <w:spacing w:val="-11"/>
        </w:rPr>
        <w:t> </w:t>
      </w:r>
      <w:r>
        <w:rPr>
          <w:w w:val="108"/>
        </w:rPr>
        <w:t>en</w:t>
      </w:r>
      <w:r>
        <w:rPr/>
        <w:t> </w:t>
      </w:r>
      <w:r>
        <w:rPr>
          <w:spacing w:val="-11"/>
        </w:rPr>
        <w:t> </w:t>
      </w:r>
      <w:r>
        <w:rPr>
          <w:w w:val="110"/>
        </w:rPr>
        <w:t>abril</w:t>
      </w:r>
      <w:r>
        <w:rPr/>
        <w:t> </w:t>
      </w:r>
      <w:r>
        <w:rPr>
          <w:spacing w:val="-11"/>
        </w:rPr>
        <w:t> </w:t>
      </w:r>
      <w:r>
        <w:rPr>
          <w:w w:val="107"/>
        </w:rPr>
        <w:t>de </w:t>
      </w:r>
      <w:r>
        <w:rPr>
          <w:w w:val="110"/>
        </w:rPr>
        <w:t>2012, se llevó adelante en este novedoso contexto regional, al que se le sumaron condimentos especiales: la crítica situación económica in- ternacional y el complejo panorama político en Estados unidos, que vivía un año de elecciones presidenciales. Por lo tanto, la Casa blanca debió transitar un muy delicado equilibrio entre las necesidades es- tratégicas del departamento de Estado y el Pentágono, las presiones ejercidas por poderosos </w:t>
      </w:r>
      <w:r>
        <w:rPr>
          <w:i/>
          <w:w w:val="110"/>
        </w:rPr>
        <w:t>lobbies </w:t>
      </w:r>
      <w:r>
        <w:rPr>
          <w:w w:val="110"/>
        </w:rPr>
        <w:t>estadounidenses y las aspiraciones electorales de obama (Morgenfeld, 2012b;</w:t>
      </w:r>
      <w:r>
        <w:rPr>
          <w:spacing w:val="21"/>
          <w:w w:val="110"/>
        </w:rPr>
        <w:t> </w:t>
      </w:r>
      <w:r>
        <w:rPr>
          <w:w w:val="110"/>
        </w:rPr>
        <w:t>2014b).</w:t>
      </w:r>
    </w:p>
    <w:p>
      <w:pPr>
        <w:pStyle w:val="BodyText"/>
        <w:spacing w:line="252" w:lineRule="auto"/>
        <w:ind w:left="120" w:right="328" w:firstLine="396"/>
        <w:jc w:val="both"/>
        <w:rPr>
          <w:sz w:val="11"/>
        </w:rPr>
      </w:pPr>
      <w:r>
        <w:rPr>
          <w:w w:val="110"/>
        </w:rPr>
        <w:t>En este trabajo, analizamos el devenir de las relaciones interame- ricanas en las cumbres presidenciales, focalizándonos, primero, en la mutación de las relaciones entre Estados unidos y Nuestra américa</w:t>
      </w:r>
      <w:r>
        <w:rPr>
          <w:w w:val="110"/>
          <w:position w:val="6"/>
          <w:sz w:val="11"/>
        </w:rPr>
        <w:t>1</w:t>
      </w:r>
    </w:p>
    <w:p>
      <w:pPr>
        <w:pStyle w:val="BodyText"/>
        <w:spacing w:before="1"/>
        <w:rPr>
          <w:sz w:val="23"/>
        </w:rPr>
      </w:pPr>
      <w:r>
        <w:rPr/>
        <w:pict>
          <v:line style="position:absolute;mso-position-horizontal-relative:page;mso-position-vertical-relative:paragraph;z-index:7960;mso-wrap-distance-left:0;mso-wrap-distance-right:0" from="51.023602pt,15.76003pt" to="79.369602pt,15.76003pt" stroked="true" strokeweight=".5pt" strokecolor="#000000">
            <w10:wrap type="topAndBottom"/>
          </v:line>
        </w:pict>
      </w:r>
    </w:p>
    <w:p>
      <w:pPr>
        <w:spacing w:line="242" w:lineRule="auto" w:before="89"/>
        <w:ind w:left="120" w:right="328" w:firstLine="0"/>
        <w:jc w:val="both"/>
        <w:rPr>
          <w:sz w:val="16"/>
        </w:rPr>
      </w:pPr>
      <w:r>
        <w:rPr>
          <w:w w:val="100"/>
          <w:sz w:val="16"/>
        </w:rPr>
        <w:t>1</w:t>
      </w:r>
      <w:r>
        <w:rPr>
          <w:sz w:val="16"/>
        </w:rPr>
        <w:t>     </w:t>
      </w:r>
      <w:r>
        <w:rPr>
          <w:w w:val="191"/>
          <w:sz w:val="16"/>
        </w:rPr>
        <w:t>t</w:t>
      </w:r>
      <w:r>
        <w:rPr>
          <w:w w:val="108"/>
          <w:sz w:val="16"/>
        </w:rPr>
        <w:t>anto</w:t>
      </w:r>
      <w:r>
        <w:rPr>
          <w:sz w:val="16"/>
        </w:rPr>
        <w:t> </w:t>
      </w:r>
      <w:r>
        <w:rPr>
          <w:w w:val="109"/>
          <w:sz w:val="16"/>
        </w:rPr>
        <w:t>la</w:t>
      </w:r>
      <w:r>
        <w:rPr>
          <w:sz w:val="16"/>
        </w:rPr>
        <w:t> </w:t>
      </w:r>
      <w:r>
        <w:rPr>
          <w:w w:val="106"/>
          <w:sz w:val="16"/>
        </w:rPr>
        <w:t>expresión</w:t>
      </w:r>
      <w:r>
        <w:rPr>
          <w:sz w:val="16"/>
        </w:rPr>
        <w:t> </w:t>
      </w:r>
      <w:r>
        <w:rPr>
          <w:w w:val="108"/>
          <w:sz w:val="16"/>
        </w:rPr>
        <w:t>Nuestra</w:t>
      </w:r>
      <w:r>
        <w:rPr>
          <w:sz w:val="16"/>
        </w:rPr>
        <w:t> </w:t>
      </w:r>
      <w:r>
        <w:rPr>
          <w:w w:val="136"/>
          <w:sz w:val="16"/>
        </w:rPr>
        <w:t>a</w:t>
      </w:r>
      <w:r>
        <w:rPr>
          <w:w w:val="108"/>
          <w:sz w:val="16"/>
        </w:rPr>
        <w:t>mérica</w:t>
      </w:r>
      <w:r>
        <w:rPr>
          <w:sz w:val="16"/>
        </w:rPr>
        <w:t> </w:t>
      </w:r>
      <w:r>
        <w:rPr>
          <w:w w:val="110"/>
          <w:sz w:val="16"/>
        </w:rPr>
        <w:t>como</w:t>
      </w:r>
      <w:r>
        <w:rPr>
          <w:sz w:val="16"/>
        </w:rPr>
        <w:t> </w:t>
      </w:r>
      <w:r>
        <w:rPr>
          <w:w w:val="136"/>
          <w:sz w:val="16"/>
        </w:rPr>
        <w:t>a</w:t>
      </w:r>
      <w:r>
        <w:rPr>
          <w:w w:val="108"/>
          <w:sz w:val="16"/>
        </w:rPr>
        <w:t>mérica</w:t>
      </w:r>
      <w:r>
        <w:rPr>
          <w:sz w:val="16"/>
        </w:rPr>
        <w:t> </w:t>
      </w:r>
      <w:r>
        <w:rPr>
          <w:w w:val="238"/>
          <w:sz w:val="16"/>
        </w:rPr>
        <w:t>l</w:t>
      </w:r>
      <w:r>
        <w:rPr>
          <w:w w:val="109"/>
          <w:sz w:val="16"/>
        </w:rPr>
        <w:t>atina</w:t>
      </w:r>
      <w:r>
        <w:rPr>
          <w:sz w:val="16"/>
        </w:rPr>
        <w:t> </w:t>
      </w:r>
      <w:r>
        <w:rPr>
          <w:w w:val="103"/>
          <w:sz w:val="16"/>
        </w:rPr>
        <w:t>refieren</w:t>
      </w:r>
      <w:r>
        <w:rPr>
          <w:sz w:val="16"/>
        </w:rPr>
        <w:t> </w:t>
      </w:r>
      <w:r>
        <w:rPr>
          <w:w w:val="106"/>
          <w:sz w:val="16"/>
        </w:rPr>
        <w:t>en</w:t>
      </w:r>
      <w:r>
        <w:rPr>
          <w:sz w:val="16"/>
        </w:rPr>
        <w:t> </w:t>
      </w:r>
      <w:r>
        <w:rPr>
          <w:w w:val="103"/>
          <w:sz w:val="16"/>
        </w:rPr>
        <w:t>este</w:t>
      </w:r>
      <w:r>
        <w:rPr>
          <w:sz w:val="16"/>
        </w:rPr>
        <w:t> </w:t>
      </w:r>
      <w:r>
        <w:rPr>
          <w:w w:val="105"/>
          <w:sz w:val="16"/>
        </w:rPr>
        <w:t>texto</w:t>
      </w:r>
      <w:r>
        <w:rPr>
          <w:sz w:val="16"/>
        </w:rPr>
        <w:t> </w:t>
      </w:r>
      <w:r>
        <w:rPr>
          <w:w w:val="109"/>
          <w:sz w:val="16"/>
        </w:rPr>
        <w:t>al </w:t>
      </w:r>
      <w:r>
        <w:rPr>
          <w:w w:val="109"/>
          <w:sz w:val="16"/>
        </w:rPr>
        <w:t>conjunto</w:t>
      </w:r>
      <w:r>
        <w:rPr>
          <w:sz w:val="16"/>
        </w:rPr>
        <w:t> </w:t>
      </w:r>
      <w:r>
        <w:rPr>
          <w:w w:val="104"/>
          <w:sz w:val="16"/>
        </w:rPr>
        <w:t>de</w:t>
      </w:r>
      <w:r>
        <w:rPr>
          <w:sz w:val="16"/>
        </w:rPr>
        <w:t> </w:t>
      </w:r>
      <w:r>
        <w:rPr>
          <w:w w:val="106"/>
          <w:sz w:val="16"/>
        </w:rPr>
        <w:t>los</w:t>
      </w:r>
      <w:r>
        <w:rPr>
          <w:sz w:val="16"/>
        </w:rPr>
        <w:t> </w:t>
      </w:r>
      <w:r>
        <w:rPr>
          <w:w w:val="106"/>
          <w:sz w:val="16"/>
        </w:rPr>
        <w:t>países</w:t>
      </w:r>
      <w:r>
        <w:rPr>
          <w:sz w:val="16"/>
        </w:rPr>
        <w:t> </w:t>
      </w:r>
      <w:r>
        <w:rPr>
          <w:w w:val="104"/>
          <w:sz w:val="16"/>
        </w:rPr>
        <w:t>de</w:t>
      </w:r>
      <w:r>
        <w:rPr>
          <w:sz w:val="16"/>
        </w:rPr>
        <w:t> </w:t>
      </w:r>
      <w:r>
        <w:rPr>
          <w:w w:val="136"/>
          <w:sz w:val="16"/>
        </w:rPr>
        <w:t>a</w:t>
      </w:r>
      <w:r>
        <w:rPr>
          <w:w w:val="108"/>
          <w:sz w:val="16"/>
        </w:rPr>
        <w:t>mérica</w:t>
      </w:r>
      <w:r>
        <w:rPr>
          <w:sz w:val="16"/>
        </w:rPr>
        <w:t> </w:t>
      </w:r>
      <w:r>
        <w:rPr>
          <w:w w:val="238"/>
          <w:sz w:val="16"/>
        </w:rPr>
        <w:t>l</w:t>
      </w:r>
      <w:r>
        <w:rPr>
          <w:w w:val="109"/>
          <w:sz w:val="16"/>
        </w:rPr>
        <w:t>atina</w:t>
      </w:r>
      <w:r>
        <w:rPr>
          <w:sz w:val="16"/>
        </w:rPr>
        <w:t> </w:t>
      </w:r>
      <w:r>
        <w:rPr>
          <w:w w:val="102"/>
          <w:sz w:val="16"/>
        </w:rPr>
        <w:t>y</w:t>
      </w:r>
      <w:r>
        <w:rPr>
          <w:sz w:val="16"/>
        </w:rPr>
        <w:t> </w:t>
      </w:r>
      <w:r>
        <w:rPr>
          <w:w w:val="104"/>
          <w:sz w:val="16"/>
        </w:rPr>
        <w:t>el</w:t>
      </w:r>
      <w:r>
        <w:rPr>
          <w:sz w:val="16"/>
        </w:rPr>
        <w:t> </w:t>
      </w:r>
      <w:r>
        <w:rPr>
          <w:w w:val="111"/>
          <w:sz w:val="16"/>
        </w:rPr>
        <w:t>Caribe,</w:t>
      </w:r>
      <w:r>
        <w:rPr>
          <w:sz w:val="16"/>
        </w:rPr>
        <w:t> </w:t>
      </w:r>
      <w:r>
        <w:rPr>
          <w:w w:val="102"/>
          <w:sz w:val="16"/>
        </w:rPr>
        <w:t>es</w:t>
      </w:r>
      <w:r>
        <w:rPr>
          <w:sz w:val="16"/>
        </w:rPr>
        <w:t> </w:t>
      </w:r>
      <w:r>
        <w:rPr>
          <w:w w:val="107"/>
          <w:sz w:val="16"/>
        </w:rPr>
        <w:t>decir</w:t>
      </w:r>
      <w:r>
        <w:rPr>
          <w:sz w:val="16"/>
        </w:rPr>
        <w:t> </w:t>
      </w:r>
      <w:r>
        <w:rPr>
          <w:w w:val="106"/>
          <w:sz w:val="16"/>
        </w:rPr>
        <w:t>los</w:t>
      </w:r>
      <w:r>
        <w:rPr>
          <w:sz w:val="16"/>
        </w:rPr>
        <w:t> </w:t>
      </w:r>
      <w:r>
        <w:rPr>
          <w:w w:val="100"/>
          <w:sz w:val="16"/>
        </w:rPr>
        <w:t>33</w:t>
      </w:r>
      <w:r>
        <w:rPr>
          <w:sz w:val="16"/>
        </w:rPr>
        <w:t> </w:t>
      </w:r>
      <w:r>
        <w:rPr>
          <w:w w:val="106"/>
          <w:sz w:val="16"/>
        </w:rPr>
        <w:t>países</w:t>
      </w:r>
      <w:r>
        <w:rPr>
          <w:sz w:val="16"/>
        </w:rPr>
        <w:t> </w:t>
      </w:r>
      <w:r>
        <w:rPr>
          <w:w w:val="105"/>
          <w:sz w:val="16"/>
        </w:rPr>
        <w:t>del</w:t>
      </w:r>
      <w:r>
        <w:rPr>
          <w:sz w:val="16"/>
        </w:rPr>
        <w:t> </w:t>
      </w:r>
      <w:r>
        <w:rPr>
          <w:w w:val="109"/>
          <w:sz w:val="16"/>
        </w:rPr>
        <w:t>conti</w:t>
      </w:r>
      <w:r>
        <w:rPr>
          <w:w w:val="100"/>
          <w:sz w:val="16"/>
        </w:rPr>
        <w:t>- </w:t>
      </w:r>
      <w:r>
        <w:rPr>
          <w:w w:val="110"/>
          <w:sz w:val="16"/>
        </w:rPr>
        <w:t>nente que no son ni Estados unidos ni  Canadá.</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desde el fin de la Guerra Fría; segundo, cuando se planteó el proyecto del </w:t>
      </w:r>
      <w:r>
        <w:rPr>
          <w:w w:val="125"/>
        </w:rPr>
        <w:t>alCa; </w:t>
      </w:r>
      <w:r>
        <w:rPr>
          <w:w w:val="110"/>
        </w:rPr>
        <w:t>y, tercero, en los momentos de esperanza y decepción susci- tados en la región a partir de la llegada de obama a la Casa blanca, en </w:t>
      </w:r>
      <w:r>
        <w:rPr>
          <w:w w:val="113"/>
        </w:rPr>
        <w:t>función</w:t>
      </w:r>
      <w:r>
        <w:rPr/>
        <w:t> </w:t>
      </w:r>
      <w:r>
        <w:rPr>
          <w:w w:val="107"/>
        </w:rPr>
        <w:t>de</w:t>
      </w:r>
      <w:r>
        <w:rPr/>
        <w:t> </w:t>
      </w:r>
      <w:r>
        <w:rPr>
          <w:w w:val="109"/>
        </w:rPr>
        <w:t>las</w:t>
      </w:r>
      <w:r>
        <w:rPr/>
        <w:t> </w:t>
      </w:r>
      <w:r>
        <w:rPr>
          <w:w w:val="110"/>
        </w:rPr>
        <w:t>continuidades</w:t>
      </w:r>
      <w:r>
        <w:rPr/>
        <w:t> </w:t>
      </w:r>
      <w:r>
        <w:rPr>
          <w:w w:val="107"/>
        </w:rPr>
        <w:t>de</w:t>
      </w:r>
      <w:r>
        <w:rPr/>
        <w:t> </w:t>
      </w:r>
      <w:r>
        <w:rPr>
          <w:w w:val="109"/>
        </w:rPr>
        <w:t>su</w:t>
      </w:r>
      <w:r>
        <w:rPr/>
        <w:t> </w:t>
      </w:r>
      <w:r>
        <w:rPr>
          <w:w w:val="111"/>
        </w:rPr>
        <w:t>política</w:t>
      </w:r>
      <w:r>
        <w:rPr/>
        <w:t> </w:t>
      </w:r>
      <w:r>
        <w:rPr>
          <w:w w:val="113"/>
        </w:rPr>
        <w:t>hacia</w:t>
      </w:r>
      <w:r>
        <w:rPr/>
        <w:t> </w:t>
      </w:r>
      <w:r>
        <w:rPr>
          <w:w w:val="139"/>
        </w:rPr>
        <w:t>a</w:t>
      </w:r>
      <w:r>
        <w:rPr>
          <w:w w:val="111"/>
        </w:rPr>
        <w:t>mérica</w:t>
      </w:r>
      <w:r>
        <w:rPr/>
        <w:t> </w:t>
      </w:r>
      <w:r>
        <w:rPr>
          <w:w w:val="243"/>
        </w:rPr>
        <w:t>l</w:t>
      </w:r>
      <w:r>
        <w:rPr>
          <w:w w:val="113"/>
        </w:rPr>
        <w:t>atina,</w:t>
      </w:r>
      <w:r>
        <w:rPr/>
        <w:t> </w:t>
      </w:r>
      <w:r>
        <w:rPr>
          <w:w w:val="105"/>
        </w:rPr>
        <w:t>res</w:t>
      </w:r>
      <w:r>
        <w:rPr>
          <w:w w:val="102"/>
        </w:rPr>
        <w:t>- </w:t>
      </w:r>
      <w:r>
        <w:rPr>
          <w:w w:val="110"/>
        </w:rPr>
        <w:t>pecto de su repudiado antecesor, George bush (hijo). Por último, ana- lizamos los anuncios realizados por obama y raúl Castro en diciem- bre de 2014, en el que plantearon la distensión del vínculo bilateral y el inicio de negociaciones, a la vez que la participación del gobierno cubano en la Vii Cumbre de las américas, situación que modificó, en parte, el devenir de estos encuentros</w:t>
      </w:r>
      <w:r>
        <w:rPr>
          <w:w w:val="110"/>
          <w:position w:val="6"/>
          <w:sz w:val="11"/>
        </w:rPr>
        <w:t>2</w:t>
      </w:r>
      <w:r>
        <w:rPr>
          <w:w w:val="110"/>
        </w:rPr>
        <w:t>.</w:t>
      </w:r>
    </w:p>
    <w:p>
      <w:pPr>
        <w:pStyle w:val="BodyText"/>
        <w:spacing w:line="252" w:lineRule="auto"/>
        <w:ind w:left="330" w:right="115" w:firstLine="396"/>
        <w:jc w:val="both"/>
      </w:pPr>
      <w:r>
        <w:rPr>
          <w:w w:val="110"/>
        </w:rPr>
        <w:t>Esta investigación se enmarca en  una  mayor  que  iniciamos  hace una década, analizando la manifestación de las relaciones regionales en las conferencias panamericanas (Morgenfeld, </w:t>
      </w:r>
      <w:r>
        <w:rPr>
          <w:spacing w:val="2"/>
          <w:w w:val="110"/>
        </w:rPr>
        <w:t>2011). </w:t>
      </w:r>
      <w:r>
        <w:rPr>
          <w:w w:val="110"/>
        </w:rPr>
        <w:t>Entendemos que las cumbres de mandatarios regionales son un es- cenario privilegiado para analizar las etapas de las relaciones entre los gobiernos de Estados unidos y  sus  pares  latinoamericanos  ya que allí se manifiestan las distintas contradicciones entre proyectos alternativos de integración regional, que son a su vez la expresión, mediada, de las contradicciones entre capital y trabajo, entre </w:t>
      </w:r>
      <w:r>
        <w:rPr>
          <w:spacing w:val="2"/>
          <w:w w:val="110"/>
        </w:rPr>
        <w:t>las </w:t>
      </w:r>
      <w:r>
        <w:rPr>
          <w:w w:val="110"/>
        </w:rPr>
        <w:t>distintas potencias que se disputan sus intereses en la región y entre éstas y los países dependientes de Nuestra américa. El  contraste  entre</w:t>
      </w:r>
      <w:r>
        <w:rPr>
          <w:spacing w:val="23"/>
          <w:w w:val="110"/>
        </w:rPr>
        <w:t> </w:t>
      </w:r>
      <w:r>
        <w:rPr>
          <w:w w:val="110"/>
        </w:rPr>
        <w:t>la</w:t>
      </w:r>
      <w:r>
        <w:rPr>
          <w:spacing w:val="23"/>
          <w:w w:val="110"/>
        </w:rPr>
        <w:t> </w:t>
      </w:r>
      <w:r>
        <w:rPr>
          <w:w w:val="110"/>
        </w:rPr>
        <w:t>importancia</w:t>
      </w:r>
      <w:r>
        <w:rPr>
          <w:spacing w:val="23"/>
          <w:w w:val="110"/>
        </w:rPr>
        <w:t> </w:t>
      </w:r>
      <w:r>
        <w:rPr>
          <w:w w:val="110"/>
        </w:rPr>
        <w:t>de</w:t>
      </w:r>
      <w:r>
        <w:rPr>
          <w:spacing w:val="23"/>
          <w:w w:val="110"/>
        </w:rPr>
        <w:t> </w:t>
      </w:r>
      <w:r>
        <w:rPr>
          <w:w w:val="110"/>
        </w:rPr>
        <w:t>los</w:t>
      </w:r>
      <w:r>
        <w:rPr>
          <w:spacing w:val="23"/>
          <w:w w:val="110"/>
        </w:rPr>
        <w:t> </w:t>
      </w:r>
      <w:r>
        <w:rPr>
          <w:w w:val="110"/>
        </w:rPr>
        <w:t>debates</w:t>
      </w:r>
      <w:r>
        <w:rPr>
          <w:spacing w:val="23"/>
          <w:w w:val="110"/>
        </w:rPr>
        <w:t> </w:t>
      </w:r>
      <w:r>
        <w:rPr>
          <w:w w:val="110"/>
        </w:rPr>
        <w:t>en</w:t>
      </w:r>
      <w:r>
        <w:rPr>
          <w:spacing w:val="23"/>
          <w:w w:val="110"/>
        </w:rPr>
        <w:t> </w:t>
      </w:r>
      <w:r>
        <w:rPr>
          <w:w w:val="110"/>
        </w:rPr>
        <w:t>las</w:t>
      </w:r>
      <w:r>
        <w:rPr>
          <w:spacing w:val="23"/>
          <w:w w:val="110"/>
        </w:rPr>
        <w:t> </w:t>
      </w:r>
      <w:r>
        <w:rPr>
          <w:w w:val="110"/>
        </w:rPr>
        <w:t>Cumbres</w:t>
      </w:r>
      <w:r>
        <w:rPr>
          <w:spacing w:val="23"/>
          <w:w w:val="110"/>
        </w:rPr>
        <w:t> </w:t>
      </w:r>
      <w:r>
        <w:rPr>
          <w:w w:val="110"/>
        </w:rPr>
        <w:t>de</w:t>
      </w:r>
      <w:r>
        <w:rPr>
          <w:spacing w:val="23"/>
          <w:w w:val="110"/>
        </w:rPr>
        <w:t> </w:t>
      </w:r>
      <w:r>
        <w:rPr>
          <w:w w:val="110"/>
        </w:rPr>
        <w:t>las</w:t>
      </w:r>
      <w:r>
        <w:rPr>
          <w:spacing w:val="23"/>
          <w:w w:val="110"/>
        </w:rPr>
        <w:t> </w:t>
      </w:r>
      <w:r>
        <w:rPr>
          <w:w w:val="110"/>
        </w:rPr>
        <w:t>américas</w:t>
      </w:r>
    </w:p>
    <w:p>
      <w:pPr>
        <w:pStyle w:val="BodyText"/>
        <w:spacing w:line="252" w:lineRule="auto"/>
        <w:ind w:left="330" w:right="115"/>
        <w:jc w:val="both"/>
      </w:pPr>
      <w:r>
        <w:rPr>
          <w:w w:val="110"/>
        </w:rPr>
        <w:t>–como particular manifestación y escenario de la lucha entre </w:t>
      </w:r>
      <w:r>
        <w:rPr>
          <w:spacing w:val="2"/>
          <w:w w:val="110"/>
        </w:rPr>
        <w:t>las </w:t>
      </w:r>
      <w:r>
        <w:rPr>
          <w:spacing w:val="2"/>
          <w:w w:val="110"/>
        </w:rPr>
        <w:t>potencia</w:t>
      </w:r>
      <w:r>
        <w:rPr>
          <w:w w:val="110"/>
        </w:rPr>
        <w:t>s</w:t>
      </w:r>
      <w:r>
        <w:rPr>
          <w:spacing w:val="13"/>
        </w:rPr>
        <w:t> </w:t>
      </w:r>
      <w:r>
        <w:rPr>
          <w:spacing w:val="2"/>
          <w:w w:val="108"/>
        </w:rPr>
        <w:t>po</w:t>
      </w:r>
      <w:r>
        <w:rPr>
          <w:w w:val="108"/>
        </w:rPr>
        <w:t>r</w:t>
      </w:r>
      <w:r>
        <w:rPr>
          <w:spacing w:val="13"/>
        </w:rPr>
        <w:t> </w:t>
      </w:r>
      <w:r>
        <w:rPr>
          <w:spacing w:val="2"/>
          <w:w w:val="109"/>
        </w:rPr>
        <w:t>posicionars</w:t>
      </w:r>
      <w:r>
        <w:rPr>
          <w:w w:val="109"/>
        </w:rPr>
        <w:t>e</w:t>
      </w:r>
      <w:r>
        <w:rPr>
          <w:spacing w:val="13"/>
        </w:rPr>
        <w:t> </w:t>
      </w:r>
      <w:r>
        <w:rPr>
          <w:spacing w:val="2"/>
          <w:w w:val="108"/>
        </w:rPr>
        <w:t>e</w:t>
      </w:r>
      <w:r>
        <w:rPr>
          <w:w w:val="108"/>
        </w:rPr>
        <w:t>n</w:t>
      </w:r>
      <w:r>
        <w:rPr>
          <w:spacing w:val="13"/>
        </w:rPr>
        <w:t> </w:t>
      </w:r>
      <w:r>
        <w:rPr>
          <w:spacing w:val="2"/>
          <w:w w:val="139"/>
        </w:rPr>
        <w:t>a</w:t>
      </w:r>
      <w:r>
        <w:rPr>
          <w:spacing w:val="2"/>
          <w:w w:val="111"/>
        </w:rPr>
        <w:t>méric</w:t>
      </w:r>
      <w:r>
        <w:rPr>
          <w:w w:val="111"/>
        </w:rPr>
        <w:t>a</w:t>
      </w:r>
      <w:r>
        <w:rPr>
          <w:spacing w:val="13"/>
        </w:rPr>
        <w:t> </w:t>
      </w:r>
      <w:r>
        <w:rPr>
          <w:spacing w:val="2"/>
          <w:w w:val="243"/>
        </w:rPr>
        <w:t>l</w:t>
      </w:r>
      <w:r>
        <w:rPr>
          <w:spacing w:val="2"/>
          <w:w w:val="111"/>
        </w:rPr>
        <w:t>atin</w:t>
      </w:r>
      <w:r>
        <w:rPr>
          <w:w w:val="111"/>
        </w:rPr>
        <w:t>a</w:t>
      </w:r>
      <w:r>
        <w:rPr>
          <w:spacing w:val="13"/>
        </w:rPr>
        <w:t> </w:t>
      </w:r>
      <w:r>
        <w:rPr>
          <w:w w:val="105"/>
        </w:rPr>
        <w:t>y</w:t>
      </w:r>
      <w:r>
        <w:rPr>
          <w:spacing w:val="13"/>
        </w:rPr>
        <w:t> </w:t>
      </w:r>
      <w:r>
        <w:rPr>
          <w:spacing w:val="2"/>
          <w:w w:val="107"/>
        </w:rPr>
        <w:t>d</w:t>
      </w:r>
      <w:r>
        <w:rPr>
          <w:w w:val="107"/>
        </w:rPr>
        <w:t>e</w:t>
      </w:r>
      <w:r>
        <w:rPr>
          <w:spacing w:val="13"/>
        </w:rPr>
        <w:t> </w:t>
      </w:r>
      <w:r>
        <w:rPr>
          <w:spacing w:val="2"/>
          <w:w w:val="109"/>
        </w:rPr>
        <w:t>la</w:t>
      </w:r>
      <w:r>
        <w:rPr>
          <w:w w:val="109"/>
        </w:rPr>
        <w:t>s</w:t>
      </w:r>
      <w:r>
        <w:rPr>
          <w:spacing w:val="13"/>
        </w:rPr>
        <w:t> </w:t>
      </w:r>
      <w:r>
        <w:rPr>
          <w:spacing w:val="2"/>
          <w:w w:val="111"/>
        </w:rPr>
        <w:t>contradiccio</w:t>
      </w:r>
      <w:r>
        <w:rPr>
          <w:w w:val="102"/>
        </w:rPr>
        <w:t>- </w:t>
      </w:r>
      <w:r>
        <w:rPr>
          <w:w w:val="110"/>
        </w:rPr>
        <w:t>nes entre los países imperialistas y dependientes– y la relativamente escasa atención que se le dio en la historiografía de las relaciones internacionales lo transforman en un campo de  investigación  de  gran</w:t>
      </w:r>
      <w:r>
        <w:rPr>
          <w:spacing w:val="45"/>
          <w:w w:val="110"/>
        </w:rPr>
        <w:t> </w:t>
      </w:r>
      <w:r>
        <w:rPr>
          <w:w w:val="110"/>
        </w:rPr>
        <w:t>relevancia.</w:t>
      </w:r>
    </w:p>
    <w:p>
      <w:pPr>
        <w:pStyle w:val="BodyText"/>
        <w:spacing w:before="5"/>
      </w:pPr>
    </w:p>
    <w:p>
      <w:pPr>
        <w:pStyle w:val="Heading6"/>
        <w:spacing w:line="244" w:lineRule="auto"/>
        <w:ind w:left="331" w:right="1068"/>
        <w:jc w:val="left"/>
      </w:pPr>
      <w:r>
        <w:rPr>
          <w:w w:val="140"/>
        </w:rPr>
        <w:t>el</w:t>
      </w:r>
      <w:r>
        <w:rPr>
          <w:spacing w:val="-38"/>
          <w:w w:val="140"/>
        </w:rPr>
        <w:t> </w:t>
      </w:r>
      <w:r>
        <w:rPr>
          <w:w w:val="135"/>
        </w:rPr>
        <w:t>Proyecto</w:t>
      </w:r>
      <w:r>
        <w:rPr>
          <w:spacing w:val="-36"/>
          <w:w w:val="135"/>
        </w:rPr>
        <w:t> </w:t>
      </w:r>
      <w:r>
        <w:rPr>
          <w:w w:val="135"/>
        </w:rPr>
        <w:t>del</w:t>
      </w:r>
      <w:r>
        <w:rPr>
          <w:spacing w:val="-36"/>
          <w:w w:val="135"/>
        </w:rPr>
        <w:t> </w:t>
      </w:r>
      <w:r>
        <w:rPr>
          <w:w w:val="135"/>
        </w:rPr>
        <w:t>alca:</w:t>
      </w:r>
      <w:r>
        <w:rPr>
          <w:spacing w:val="-37"/>
          <w:w w:val="135"/>
        </w:rPr>
        <w:t> </w:t>
      </w:r>
      <w:r>
        <w:rPr>
          <w:spacing w:val="2"/>
          <w:w w:val="135"/>
        </w:rPr>
        <w:t>las</w:t>
      </w:r>
      <w:r>
        <w:rPr>
          <w:spacing w:val="-36"/>
          <w:w w:val="135"/>
        </w:rPr>
        <w:t> </w:t>
      </w:r>
      <w:r>
        <w:rPr>
          <w:w w:val="135"/>
        </w:rPr>
        <w:t>PriMeras</w:t>
      </w:r>
      <w:r>
        <w:rPr>
          <w:spacing w:val="-36"/>
          <w:w w:val="135"/>
        </w:rPr>
        <w:t> </w:t>
      </w:r>
      <w:r>
        <w:rPr>
          <w:spacing w:val="2"/>
          <w:w w:val="135"/>
        </w:rPr>
        <w:t>dos</w:t>
      </w:r>
      <w:r>
        <w:rPr>
          <w:spacing w:val="-36"/>
          <w:w w:val="135"/>
        </w:rPr>
        <w:t> </w:t>
      </w:r>
      <w:r>
        <w:rPr>
          <w:w w:val="135"/>
        </w:rPr>
        <w:t>cuMBres, </w:t>
      </w:r>
      <w:r>
        <w:rPr>
          <w:w w:val="96"/>
        </w:rPr>
        <w:t>B</w:t>
      </w:r>
      <w:r>
        <w:rPr>
          <w:spacing w:val="2"/>
          <w:w w:val="129"/>
        </w:rPr>
        <w:t>a</w:t>
      </w:r>
      <w:r>
        <w:rPr>
          <w:spacing w:val="2"/>
          <w:w w:val="71"/>
        </w:rPr>
        <w:t>J</w:t>
      </w:r>
      <w:r>
        <w:rPr>
          <w:w w:val="145"/>
        </w:rPr>
        <w:t>o</w:t>
      </w:r>
      <w:r>
        <w:rPr>
          <w:spacing w:val="-8"/>
        </w:rPr>
        <w:t> </w:t>
      </w:r>
      <w:r>
        <w:rPr>
          <w:spacing w:val="3"/>
          <w:w w:val="134"/>
        </w:rPr>
        <w:t>e</w:t>
      </w:r>
      <w:r>
        <w:rPr>
          <w:w w:val="201"/>
        </w:rPr>
        <w:t>l</w:t>
      </w:r>
      <w:r>
        <w:rPr>
          <w:spacing w:val="-8"/>
        </w:rPr>
        <w:t> </w:t>
      </w:r>
      <w:r>
        <w:rPr>
          <w:spacing w:val="2"/>
          <w:w w:val="92"/>
        </w:rPr>
        <w:t>M</w:t>
      </w:r>
      <w:r>
        <w:rPr>
          <w:spacing w:val="1"/>
          <w:w w:val="129"/>
        </w:rPr>
        <w:t>a</w:t>
      </w:r>
      <w:r>
        <w:rPr>
          <w:spacing w:val="2"/>
          <w:w w:val="89"/>
        </w:rPr>
        <w:t>G</w:t>
      </w:r>
      <w:r>
        <w:rPr>
          <w:spacing w:val="2"/>
          <w:w w:val="130"/>
        </w:rPr>
        <w:t>n</w:t>
      </w:r>
      <w:r>
        <w:rPr>
          <w:spacing w:val="1"/>
          <w:w w:val="130"/>
        </w:rPr>
        <w:t>e</w:t>
      </w:r>
      <w:r>
        <w:rPr>
          <w:spacing w:val="2"/>
          <w:w w:val="148"/>
        </w:rPr>
        <w:t>tis</w:t>
      </w:r>
      <w:r>
        <w:rPr>
          <w:spacing w:val="2"/>
          <w:w w:val="92"/>
        </w:rPr>
        <w:t>M</w:t>
      </w:r>
      <w:r>
        <w:rPr>
          <w:w w:val="145"/>
        </w:rPr>
        <w:t>o</w:t>
      </w:r>
      <w:r>
        <w:rPr>
          <w:spacing w:val="-8"/>
        </w:rPr>
        <w:t> </w:t>
      </w:r>
      <w:r>
        <w:rPr>
          <w:spacing w:val="2"/>
          <w:w w:val="132"/>
        </w:rPr>
        <w:t>d</w:t>
      </w:r>
      <w:r>
        <w:rPr>
          <w:w w:val="132"/>
        </w:rPr>
        <w:t>e</w:t>
      </w:r>
      <w:r>
        <w:rPr>
          <w:spacing w:val="-8"/>
        </w:rPr>
        <w:t> </w:t>
      </w:r>
      <w:r>
        <w:rPr>
          <w:spacing w:val="2"/>
          <w:w w:val="147"/>
        </w:rPr>
        <w:t>c</w:t>
      </w:r>
      <w:r>
        <w:rPr>
          <w:spacing w:val="2"/>
          <w:w w:val="201"/>
        </w:rPr>
        <w:t>l</w:t>
      </w:r>
      <w:r>
        <w:rPr>
          <w:spacing w:val="2"/>
          <w:w w:val="128"/>
        </w:rPr>
        <w:t>i</w:t>
      </w:r>
      <w:r>
        <w:rPr>
          <w:spacing w:val="3"/>
          <w:w w:val="128"/>
        </w:rPr>
        <w:t>n</w:t>
      </w:r>
      <w:r>
        <w:rPr>
          <w:spacing w:val="2"/>
          <w:w w:val="180"/>
        </w:rPr>
        <w:t>t</w:t>
      </w:r>
      <w:r>
        <w:rPr>
          <w:spacing w:val="2"/>
          <w:w w:val="136"/>
        </w:rPr>
        <w:t>on</w:t>
      </w:r>
    </w:p>
    <w:p>
      <w:pPr>
        <w:pStyle w:val="BodyText"/>
        <w:spacing w:line="252" w:lineRule="auto" w:before="5"/>
        <w:ind w:left="330" w:right="117"/>
        <w:jc w:val="both"/>
      </w:pPr>
      <w:r>
        <w:rPr>
          <w:w w:val="115"/>
        </w:rPr>
        <w:t>El</w:t>
      </w:r>
      <w:r>
        <w:rPr>
          <w:spacing w:val="-13"/>
          <w:w w:val="115"/>
        </w:rPr>
        <w:t> </w:t>
      </w:r>
      <w:r>
        <w:rPr>
          <w:w w:val="115"/>
        </w:rPr>
        <w:t>27</w:t>
      </w:r>
      <w:r>
        <w:rPr>
          <w:spacing w:val="-13"/>
          <w:w w:val="115"/>
        </w:rPr>
        <w:t> </w:t>
      </w:r>
      <w:r>
        <w:rPr>
          <w:w w:val="115"/>
        </w:rPr>
        <w:t>de</w:t>
      </w:r>
      <w:r>
        <w:rPr>
          <w:spacing w:val="-13"/>
          <w:w w:val="115"/>
        </w:rPr>
        <w:t> </w:t>
      </w:r>
      <w:r>
        <w:rPr>
          <w:w w:val="115"/>
        </w:rPr>
        <w:t>junio</w:t>
      </w:r>
      <w:r>
        <w:rPr>
          <w:spacing w:val="-13"/>
          <w:w w:val="115"/>
        </w:rPr>
        <w:t> </w:t>
      </w:r>
      <w:r>
        <w:rPr>
          <w:w w:val="115"/>
        </w:rPr>
        <w:t>de</w:t>
      </w:r>
      <w:r>
        <w:rPr>
          <w:spacing w:val="-13"/>
          <w:w w:val="115"/>
        </w:rPr>
        <w:t> </w:t>
      </w:r>
      <w:r>
        <w:rPr>
          <w:w w:val="115"/>
        </w:rPr>
        <w:t>1990,</w:t>
      </w:r>
      <w:r>
        <w:rPr>
          <w:spacing w:val="-13"/>
          <w:w w:val="115"/>
        </w:rPr>
        <w:t> </w:t>
      </w:r>
      <w:r>
        <w:rPr>
          <w:w w:val="115"/>
        </w:rPr>
        <w:t>el</w:t>
      </w:r>
      <w:r>
        <w:rPr>
          <w:spacing w:val="-13"/>
          <w:w w:val="115"/>
        </w:rPr>
        <w:t> </w:t>
      </w:r>
      <w:r>
        <w:rPr>
          <w:w w:val="115"/>
        </w:rPr>
        <w:t>presidente</w:t>
      </w:r>
      <w:r>
        <w:rPr>
          <w:spacing w:val="-13"/>
          <w:w w:val="115"/>
        </w:rPr>
        <w:t> </w:t>
      </w:r>
      <w:r>
        <w:rPr>
          <w:w w:val="115"/>
        </w:rPr>
        <w:t>bush</w:t>
      </w:r>
      <w:r>
        <w:rPr>
          <w:spacing w:val="-13"/>
          <w:w w:val="115"/>
        </w:rPr>
        <w:t> </w:t>
      </w:r>
      <w:r>
        <w:rPr>
          <w:w w:val="115"/>
        </w:rPr>
        <w:t>presentó</w:t>
      </w:r>
      <w:r>
        <w:rPr>
          <w:spacing w:val="-13"/>
          <w:w w:val="115"/>
        </w:rPr>
        <w:t> </w:t>
      </w:r>
      <w:r>
        <w:rPr>
          <w:w w:val="115"/>
        </w:rPr>
        <w:t>la</w:t>
      </w:r>
      <w:r>
        <w:rPr>
          <w:spacing w:val="-13"/>
          <w:w w:val="115"/>
        </w:rPr>
        <w:t> </w:t>
      </w:r>
      <w:r>
        <w:rPr>
          <w:i/>
          <w:w w:val="115"/>
        </w:rPr>
        <w:t>Iniciativa</w:t>
      </w:r>
      <w:r>
        <w:rPr>
          <w:i/>
          <w:spacing w:val="-13"/>
          <w:w w:val="115"/>
        </w:rPr>
        <w:t> </w:t>
      </w:r>
      <w:r>
        <w:rPr>
          <w:i/>
          <w:w w:val="115"/>
        </w:rPr>
        <w:t>para </w:t>
      </w:r>
      <w:r>
        <w:rPr>
          <w:i/>
          <w:w w:val="115"/>
        </w:rPr>
        <w:t>las Américas</w:t>
      </w:r>
      <w:r>
        <w:rPr>
          <w:w w:val="115"/>
        </w:rPr>
        <w:t>, origen de lo que fue el proyecto del </w:t>
      </w:r>
      <w:r>
        <w:rPr>
          <w:w w:val="150"/>
        </w:rPr>
        <w:t>alCa. </w:t>
      </w:r>
      <w:r>
        <w:rPr>
          <w:spacing w:val="-4"/>
          <w:w w:val="115"/>
        </w:rPr>
        <w:t>tenía </w:t>
      </w:r>
      <w:r>
        <w:rPr>
          <w:w w:val="115"/>
        </w:rPr>
        <w:t>como objeto</w:t>
      </w:r>
      <w:r>
        <w:rPr>
          <w:spacing w:val="-23"/>
          <w:w w:val="115"/>
        </w:rPr>
        <w:t> </w:t>
      </w:r>
      <w:r>
        <w:rPr>
          <w:w w:val="115"/>
        </w:rPr>
        <w:t>neutralizar</w:t>
      </w:r>
      <w:r>
        <w:rPr>
          <w:spacing w:val="-23"/>
          <w:w w:val="115"/>
        </w:rPr>
        <w:t> </w:t>
      </w:r>
      <w:r>
        <w:rPr>
          <w:w w:val="115"/>
        </w:rPr>
        <w:t>el</w:t>
      </w:r>
      <w:r>
        <w:rPr>
          <w:spacing w:val="-23"/>
          <w:w w:val="115"/>
        </w:rPr>
        <w:t> </w:t>
      </w:r>
      <w:r>
        <w:rPr>
          <w:w w:val="115"/>
        </w:rPr>
        <w:t>intento</w:t>
      </w:r>
      <w:r>
        <w:rPr>
          <w:spacing w:val="-23"/>
          <w:w w:val="115"/>
        </w:rPr>
        <w:t> </w:t>
      </w:r>
      <w:r>
        <w:rPr>
          <w:w w:val="115"/>
        </w:rPr>
        <w:t>de</w:t>
      </w:r>
      <w:r>
        <w:rPr>
          <w:spacing w:val="-23"/>
          <w:w w:val="115"/>
        </w:rPr>
        <w:t> </w:t>
      </w:r>
      <w:r>
        <w:rPr>
          <w:w w:val="115"/>
        </w:rPr>
        <w:t>Europa</w:t>
      </w:r>
      <w:r>
        <w:rPr>
          <w:spacing w:val="-23"/>
          <w:w w:val="115"/>
        </w:rPr>
        <w:t> </w:t>
      </w:r>
      <w:r>
        <w:rPr>
          <w:w w:val="115"/>
        </w:rPr>
        <w:t>de</w:t>
      </w:r>
      <w:r>
        <w:rPr>
          <w:spacing w:val="-23"/>
          <w:w w:val="115"/>
        </w:rPr>
        <w:t> </w:t>
      </w:r>
      <w:r>
        <w:rPr>
          <w:w w:val="115"/>
        </w:rPr>
        <w:t>reposicionarse</w:t>
      </w:r>
      <w:r>
        <w:rPr>
          <w:spacing w:val="-23"/>
          <w:w w:val="115"/>
        </w:rPr>
        <w:t> </w:t>
      </w:r>
      <w:r>
        <w:rPr>
          <w:w w:val="115"/>
        </w:rPr>
        <w:t>en</w:t>
      </w:r>
      <w:r>
        <w:rPr>
          <w:spacing w:val="-23"/>
          <w:w w:val="115"/>
        </w:rPr>
        <w:t> </w:t>
      </w:r>
      <w:r>
        <w:rPr>
          <w:w w:val="115"/>
        </w:rPr>
        <w:t>la</w:t>
      </w:r>
      <w:r>
        <w:rPr>
          <w:spacing w:val="-23"/>
          <w:w w:val="115"/>
        </w:rPr>
        <w:t> </w:t>
      </w:r>
      <w:r>
        <w:rPr>
          <w:w w:val="115"/>
        </w:rPr>
        <w:t>región (ese</w:t>
      </w:r>
      <w:r>
        <w:rPr>
          <w:spacing w:val="-18"/>
          <w:w w:val="115"/>
        </w:rPr>
        <w:t> </w:t>
      </w:r>
      <w:r>
        <w:rPr>
          <w:w w:val="115"/>
        </w:rPr>
        <w:t>año</w:t>
      </w:r>
      <w:r>
        <w:rPr>
          <w:spacing w:val="-18"/>
          <w:w w:val="115"/>
        </w:rPr>
        <w:t> </w:t>
      </w:r>
      <w:r>
        <w:rPr>
          <w:w w:val="115"/>
        </w:rPr>
        <w:t>España</w:t>
      </w:r>
      <w:r>
        <w:rPr>
          <w:spacing w:val="-18"/>
          <w:w w:val="115"/>
        </w:rPr>
        <w:t> </w:t>
      </w:r>
      <w:r>
        <w:rPr>
          <w:w w:val="115"/>
        </w:rPr>
        <w:t>lanzó</w:t>
      </w:r>
      <w:r>
        <w:rPr>
          <w:spacing w:val="-18"/>
          <w:w w:val="115"/>
        </w:rPr>
        <w:t> </w:t>
      </w:r>
      <w:r>
        <w:rPr>
          <w:w w:val="115"/>
        </w:rPr>
        <w:t>las</w:t>
      </w:r>
      <w:r>
        <w:rPr>
          <w:spacing w:val="-18"/>
          <w:w w:val="115"/>
        </w:rPr>
        <w:t> </w:t>
      </w:r>
      <w:r>
        <w:rPr>
          <w:w w:val="115"/>
        </w:rPr>
        <w:t>Cumbres</w:t>
      </w:r>
      <w:r>
        <w:rPr>
          <w:spacing w:val="-18"/>
          <w:w w:val="115"/>
        </w:rPr>
        <w:t> </w:t>
      </w:r>
      <w:r>
        <w:rPr>
          <w:w w:val="115"/>
        </w:rPr>
        <w:t>iberoamericanas,</w:t>
      </w:r>
      <w:r>
        <w:rPr>
          <w:spacing w:val="-18"/>
          <w:w w:val="115"/>
        </w:rPr>
        <w:t> </w:t>
      </w:r>
      <w:r>
        <w:rPr>
          <w:w w:val="115"/>
        </w:rPr>
        <w:t>preparando</w:t>
      </w:r>
      <w:r>
        <w:rPr>
          <w:spacing w:val="-18"/>
          <w:w w:val="115"/>
        </w:rPr>
        <w:t> </w:t>
      </w:r>
      <w:r>
        <w:rPr>
          <w:w w:val="115"/>
        </w:rPr>
        <w:t>los festejos del Quinto Centenario del desembarco de Colón) y</w:t>
      </w:r>
      <w:r>
        <w:rPr>
          <w:spacing w:val="-19"/>
          <w:w w:val="115"/>
        </w:rPr>
        <w:t> </w:t>
      </w:r>
      <w:r>
        <w:rPr>
          <w:w w:val="115"/>
        </w:rPr>
        <w:t>también evitar que el </w:t>
      </w:r>
      <w:r>
        <w:rPr>
          <w:spacing w:val="-3"/>
          <w:w w:val="115"/>
        </w:rPr>
        <w:t>Mercosur, </w:t>
      </w:r>
      <w:r>
        <w:rPr>
          <w:w w:val="115"/>
        </w:rPr>
        <w:t>que se constituyó en marzo de 1991 con la firma del </w:t>
      </w:r>
      <w:r>
        <w:rPr>
          <w:spacing w:val="-3"/>
          <w:w w:val="115"/>
        </w:rPr>
        <w:t>tratado </w:t>
      </w:r>
      <w:r>
        <w:rPr>
          <w:w w:val="115"/>
        </w:rPr>
        <w:t>de asunción, pudiera ser el puntapié para una in- tegración</w:t>
      </w:r>
      <w:r>
        <w:rPr>
          <w:spacing w:val="-23"/>
          <w:w w:val="115"/>
        </w:rPr>
        <w:t> </w:t>
      </w:r>
      <w:r>
        <w:rPr>
          <w:w w:val="115"/>
        </w:rPr>
        <w:t>latinoamericana</w:t>
      </w:r>
      <w:r>
        <w:rPr>
          <w:spacing w:val="-23"/>
          <w:w w:val="115"/>
        </w:rPr>
        <w:t> </w:t>
      </w:r>
      <w:r>
        <w:rPr>
          <w:w w:val="115"/>
        </w:rPr>
        <w:t>que</w:t>
      </w:r>
      <w:r>
        <w:rPr>
          <w:spacing w:val="-23"/>
          <w:w w:val="115"/>
        </w:rPr>
        <w:t> </w:t>
      </w:r>
      <w:r>
        <w:rPr>
          <w:w w:val="115"/>
        </w:rPr>
        <w:t>venía</w:t>
      </w:r>
      <w:r>
        <w:rPr>
          <w:spacing w:val="-23"/>
          <w:w w:val="115"/>
        </w:rPr>
        <w:t> </w:t>
      </w:r>
      <w:r>
        <w:rPr>
          <w:w w:val="115"/>
        </w:rPr>
        <w:t>fracasando</w:t>
      </w:r>
      <w:r>
        <w:rPr>
          <w:spacing w:val="-23"/>
          <w:w w:val="115"/>
        </w:rPr>
        <w:t> </w:t>
      </w:r>
      <w:r>
        <w:rPr>
          <w:w w:val="115"/>
        </w:rPr>
        <w:t>desde</w:t>
      </w:r>
      <w:r>
        <w:rPr>
          <w:spacing w:val="-23"/>
          <w:w w:val="115"/>
        </w:rPr>
        <w:t> </w:t>
      </w:r>
      <w:r>
        <w:rPr>
          <w:w w:val="115"/>
        </w:rPr>
        <w:t>principios</w:t>
      </w:r>
      <w:r>
        <w:rPr>
          <w:spacing w:val="-23"/>
          <w:w w:val="115"/>
        </w:rPr>
        <w:t> </w:t>
      </w:r>
      <w:r>
        <w:rPr>
          <w:w w:val="115"/>
        </w:rPr>
        <w:t>del </w:t>
      </w:r>
      <w:r>
        <w:rPr>
          <w:w w:val="110"/>
        </w:rPr>
        <w:t>siglo</w:t>
      </w:r>
      <w:r>
        <w:rPr>
          <w:spacing w:val="1"/>
        </w:rPr>
        <w:t> </w:t>
      </w:r>
      <w:r>
        <w:rPr>
          <w:w w:val="156"/>
        </w:rPr>
        <w:t>xix</w:t>
      </w:r>
      <w:r>
        <w:rPr>
          <w:w w:val="138"/>
        </w:rPr>
        <w:t>.</w:t>
      </w:r>
      <w:r>
        <w:rPr>
          <w:spacing w:val="1"/>
        </w:rPr>
        <w:t> </w:t>
      </w:r>
      <w:r>
        <w:rPr>
          <w:w w:val="243"/>
        </w:rPr>
        <w:t>l</w:t>
      </w:r>
      <w:r>
        <w:rPr>
          <w:w w:val="112"/>
        </w:rPr>
        <w:t>a</w:t>
      </w:r>
      <w:r>
        <w:rPr>
          <w:spacing w:val="1"/>
        </w:rPr>
        <w:t> </w:t>
      </w:r>
      <w:r>
        <w:rPr>
          <w:w w:val="108"/>
        </w:rPr>
        <w:t>estrategia</w:t>
      </w:r>
      <w:r>
        <w:rPr>
          <w:spacing w:val="1"/>
        </w:rPr>
        <w:t> </w:t>
      </w:r>
      <w:r>
        <w:rPr>
          <w:w w:val="107"/>
        </w:rPr>
        <w:t>de</w:t>
      </w:r>
      <w:r>
        <w:rPr>
          <w:spacing w:val="1"/>
        </w:rPr>
        <w:t> </w:t>
      </w:r>
      <w:r>
        <w:rPr>
          <w:spacing w:val="-11"/>
          <w:w w:val="110"/>
        </w:rPr>
        <w:t>W</w:t>
      </w:r>
      <w:r>
        <w:rPr>
          <w:w w:val="110"/>
        </w:rPr>
        <w:t>ashington</w:t>
      </w:r>
      <w:r>
        <w:rPr>
          <w:spacing w:val="1"/>
        </w:rPr>
        <w:t> </w:t>
      </w:r>
      <w:r>
        <w:rPr>
          <w:w w:val="107"/>
        </w:rPr>
        <w:t>de</w:t>
      </w:r>
      <w:r>
        <w:rPr>
          <w:spacing w:val="1"/>
        </w:rPr>
        <w:t> </w:t>
      </w:r>
      <w:r>
        <w:rPr>
          <w:w w:val="110"/>
        </w:rPr>
        <w:t>impulsar</w:t>
      </w:r>
      <w:r>
        <w:rPr>
          <w:spacing w:val="1"/>
        </w:rPr>
        <w:t> </w:t>
      </w:r>
      <w:r>
        <w:rPr>
          <w:w w:val="109"/>
        </w:rPr>
        <w:t>acuerdos</w:t>
      </w:r>
      <w:r>
        <w:rPr>
          <w:spacing w:val="1"/>
        </w:rPr>
        <w:t> </w:t>
      </w:r>
      <w:r>
        <w:rPr>
          <w:w w:val="110"/>
        </w:rPr>
        <w:t>paname</w:t>
      </w:r>
      <w:r>
        <w:rPr>
          <w:w w:val="102"/>
        </w:rPr>
        <w:t>-</w:t>
      </w:r>
    </w:p>
    <w:p>
      <w:pPr>
        <w:pStyle w:val="BodyText"/>
        <w:spacing w:before="4"/>
      </w:pPr>
      <w:r>
        <w:rPr/>
        <w:pict>
          <v:line style="position:absolute;mso-position-horizontal-relative:page;mso-position-vertical-relative:paragraph;z-index:7984;mso-wrap-distance-left:0;mso-wrap-distance-right:0" from="76.5354pt,13.560033pt" to="104.8814pt,13.560033pt" stroked="true" strokeweight=".5pt" strokecolor="#000000">
            <w10:wrap type="topAndBottom"/>
          </v:line>
        </w:pict>
      </w:r>
    </w:p>
    <w:p>
      <w:pPr>
        <w:spacing w:line="242" w:lineRule="auto" w:before="89"/>
        <w:ind w:left="330" w:right="41" w:firstLine="0"/>
        <w:jc w:val="left"/>
        <w:rPr>
          <w:sz w:val="16"/>
        </w:rPr>
      </w:pPr>
      <w:r>
        <w:rPr>
          <w:w w:val="110"/>
          <w:sz w:val="16"/>
        </w:rPr>
        <w:t>2 analizamos en detalle las negociaciones entre Estados unidos y Cuba y sus impli- </w:t>
      </w:r>
      <w:r>
        <w:rPr>
          <w:w w:val="110"/>
          <w:sz w:val="16"/>
        </w:rPr>
        <w:t>cancias</w:t>
      </w:r>
      <w:r>
        <w:rPr>
          <w:sz w:val="16"/>
        </w:rPr>
        <w:t> </w:t>
      </w:r>
      <w:r>
        <w:rPr>
          <w:w w:val="107"/>
          <w:sz w:val="16"/>
        </w:rPr>
        <w:t>para</w:t>
      </w:r>
      <w:r>
        <w:rPr>
          <w:sz w:val="16"/>
        </w:rPr>
        <w:t> </w:t>
      </w:r>
      <w:r>
        <w:rPr>
          <w:w w:val="136"/>
          <w:sz w:val="16"/>
        </w:rPr>
        <w:t>a</w:t>
      </w:r>
      <w:r>
        <w:rPr>
          <w:w w:val="108"/>
          <w:sz w:val="16"/>
        </w:rPr>
        <w:t>mérica</w:t>
      </w:r>
      <w:r>
        <w:rPr>
          <w:sz w:val="16"/>
        </w:rPr>
        <w:t> </w:t>
      </w:r>
      <w:r>
        <w:rPr>
          <w:w w:val="238"/>
          <w:sz w:val="16"/>
        </w:rPr>
        <w:t>l</w:t>
      </w:r>
      <w:r>
        <w:rPr>
          <w:w w:val="109"/>
          <w:sz w:val="16"/>
        </w:rPr>
        <w:t>atina</w:t>
      </w:r>
      <w:r>
        <w:rPr>
          <w:sz w:val="16"/>
        </w:rPr>
        <w:t> </w:t>
      </w:r>
      <w:r>
        <w:rPr>
          <w:w w:val="106"/>
          <w:sz w:val="16"/>
        </w:rPr>
        <w:t>en</w:t>
      </w:r>
      <w:r>
        <w:rPr>
          <w:sz w:val="16"/>
        </w:rPr>
        <w:t> </w:t>
      </w:r>
      <w:r>
        <w:rPr>
          <w:w w:val="108"/>
          <w:sz w:val="16"/>
        </w:rPr>
        <w:t>Morgenfeld</w:t>
      </w:r>
      <w:r>
        <w:rPr>
          <w:sz w:val="16"/>
        </w:rPr>
        <w:t> </w:t>
      </w:r>
      <w:r>
        <w:rPr>
          <w:w w:val="102"/>
          <w:sz w:val="16"/>
        </w:rPr>
        <w:t>(2015a).</w:t>
      </w:r>
    </w:p>
    <w:p>
      <w:pPr>
        <w:spacing w:after="0" w:line="242" w:lineRule="auto"/>
        <w:jc w:val="left"/>
        <w:rPr>
          <w:sz w:val="16"/>
        </w:rPr>
        <w:sectPr>
          <w:footerReference w:type="even" r:id="rId502"/>
          <w:footerReference w:type="default" r:id="rId503"/>
          <w:pgSz w:w="8790" w:h="12760"/>
          <w:pgMar w:footer="725" w:header="695" w:top="880" w:bottom="920" w:left="1200" w:right="900"/>
          <w:pgNumType w:start="384"/>
        </w:sectPr>
      </w:pPr>
    </w:p>
    <w:p>
      <w:pPr>
        <w:pStyle w:val="BodyText"/>
        <w:spacing w:before="9"/>
        <w:rPr>
          <w:sz w:val="28"/>
        </w:rPr>
      </w:pPr>
    </w:p>
    <w:p>
      <w:pPr>
        <w:pStyle w:val="BodyText"/>
        <w:spacing w:line="252" w:lineRule="auto" w:before="73"/>
        <w:ind w:left="120" w:right="321"/>
      </w:pPr>
      <w:r>
        <w:rPr>
          <w:w w:val="110"/>
        </w:rPr>
        <w:t>ricanos, como en 1889, tenía que ver con evitar tanto la integración iberoamericana  como  la latinoamericana</w:t>
      </w:r>
      <w:r>
        <w:rPr>
          <w:w w:val="110"/>
          <w:position w:val="6"/>
          <w:sz w:val="11"/>
        </w:rPr>
        <w:t>3</w:t>
      </w:r>
      <w:r>
        <w:rPr>
          <w:w w:val="110"/>
        </w:rPr>
        <w:t>.</w:t>
      </w:r>
    </w:p>
    <w:p>
      <w:pPr>
        <w:pStyle w:val="BodyText"/>
        <w:spacing w:line="252" w:lineRule="auto"/>
        <w:ind w:left="120" w:right="327" w:firstLine="396"/>
        <w:jc w:val="both"/>
      </w:pPr>
      <w:r>
        <w:rPr>
          <w:w w:val="110"/>
        </w:rPr>
        <w:t>El </w:t>
      </w:r>
      <w:r>
        <w:rPr>
          <w:w w:val="135"/>
        </w:rPr>
        <w:t>alCa, </w:t>
      </w:r>
      <w:r>
        <w:rPr>
          <w:w w:val="110"/>
        </w:rPr>
        <w:t>que se empezó a discutir en la Primera Cumbre de las américas (Miami, 1994), ya bajo el mandato de Clinton, pretendía consolidar el dominio económico de Estados unidos en el continente, dar mejores condiciones a los capitales de ese país para avanzar en la apropiación de empresas y bienes que todavía estaban en manos de los Estados latinoamericanos y competir en mejores condiciones con los capitales europeos y asiáticos. además, era parte de la ofensiva del capital contra el trabajo. Ya el </w:t>
      </w:r>
      <w:r>
        <w:rPr>
          <w:w w:val="135"/>
        </w:rPr>
        <w:t>tlCaN, </w:t>
      </w:r>
      <w:r>
        <w:rPr>
          <w:w w:val="110"/>
        </w:rPr>
        <w:t>que entró en vigencia el 1º de enero de 1994, había permitido a muchas empresas estadounidenses amenazar a sus trabajadores con trasladarse a México si no aceptaban las condiciones de trabajo que requería el gran capital (México se po- bló de </w:t>
      </w:r>
      <w:r>
        <w:rPr>
          <w:i/>
          <w:w w:val="110"/>
        </w:rPr>
        <w:t>maquilas</w:t>
      </w:r>
      <w:r>
        <w:rPr>
          <w:w w:val="110"/>
        </w:rPr>
        <w:t>, es decir de simples ensambladoras, para aprovechar la baratura de su fuerza de trabajo)</w:t>
      </w:r>
      <w:r>
        <w:rPr>
          <w:w w:val="110"/>
          <w:position w:val="6"/>
          <w:sz w:val="11"/>
        </w:rPr>
        <w:t>4</w:t>
      </w:r>
      <w:r>
        <w:rPr>
          <w:w w:val="110"/>
        </w:rPr>
        <w:t>. Este tipo de tratados de libre co- mercio permitían la libre movilidad de los capitales y las mercancías, pero no así de las personas. Eso explica que numerosos sindicatos y movimientos sociales de todo el continente los denunciaran como un mecanismo para lograr una mayor explotación de los  trabajadores.</w:t>
      </w:r>
    </w:p>
    <w:p>
      <w:pPr>
        <w:pStyle w:val="BodyText"/>
        <w:spacing w:line="252" w:lineRule="auto"/>
        <w:ind w:left="120" w:right="327" w:firstLine="397"/>
        <w:jc w:val="both"/>
      </w:pPr>
      <w:r>
        <w:rPr>
          <w:w w:val="110"/>
        </w:rPr>
        <w:t>El proyecto del </w:t>
      </w:r>
      <w:r>
        <w:rPr>
          <w:w w:val="130"/>
        </w:rPr>
        <w:t>alCa, </w:t>
      </w:r>
      <w:r>
        <w:rPr>
          <w:w w:val="110"/>
        </w:rPr>
        <w:t>que avanzó sin demasiados obstáculos en  la segunda Cumbre de las américas (santiago de Chile, 1998), se ins- cribía, por un lado, en una estrategia histórica por parte de Estados unidos para consolidar su dominio en la región, que se inició con la denominada doctrina Monroe (1823). Por otro lado, respondía a la necesidad de Estados unidos de contrarrestar el proceso de </w:t>
      </w:r>
      <w:r>
        <w:rPr>
          <w:spacing w:val="-3"/>
          <w:w w:val="110"/>
        </w:rPr>
        <w:t>confor- </w:t>
      </w:r>
      <w:r>
        <w:rPr>
          <w:w w:val="110"/>
        </w:rPr>
        <w:t>mación de bloques en Europa y asia, estableciendo un área donde su poder sea hegemónico. Como lo expresó con franqueza el entonces secretario de Estado Colin Powell, “nuestro objetivo con el </w:t>
      </w:r>
      <w:r>
        <w:rPr>
          <w:w w:val="130"/>
        </w:rPr>
        <w:t>alCa </w:t>
      </w:r>
      <w:r>
        <w:rPr>
          <w:w w:val="110"/>
        </w:rPr>
        <w:t>es garantizar a las empresas estadounidenses el control de un territorio que va del Polo Ártico hasta la antártida, y el libre acceso, sin ningún obstáculo o dificultad para nuestros productos, servicios, tecnología    y capital en todo el hemisferio”</w:t>
      </w:r>
      <w:r>
        <w:rPr>
          <w:w w:val="110"/>
          <w:position w:val="6"/>
          <w:sz w:val="11"/>
        </w:rPr>
        <w:t>5</w:t>
      </w:r>
      <w:r>
        <w:rPr>
          <w:w w:val="110"/>
        </w:rPr>
        <w:t>. </w:t>
      </w:r>
      <w:r>
        <w:rPr>
          <w:spacing w:val="-3"/>
          <w:w w:val="110"/>
        </w:rPr>
        <w:t>también </w:t>
      </w:r>
      <w:r>
        <w:rPr>
          <w:w w:val="110"/>
        </w:rPr>
        <w:t>fue la reacción frente al intento de integración del Cono sur a partir del acercamiento de bra- sil y argentina desde los diálogos alfonsín-sarney en 1985. El </w:t>
      </w:r>
      <w:r>
        <w:rPr>
          <w:w w:val="130"/>
        </w:rPr>
        <w:t>alCa </w:t>
      </w:r>
      <w:r>
        <w:rPr>
          <w:w w:val="110"/>
        </w:rPr>
        <w:t>respondía, entonces, a las necesidades del capital estadounidense   </w:t>
      </w:r>
      <w:r>
        <w:rPr>
          <w:spacing w:val="8"/>
          <w:w w:val="110"/>
        </w:rPr>
        <w:t> </w:t>
      </w:r>
      <w:r>
        <w:rPr>
          <w:w w:val="110"/>
        </w:rPr>
        <w:t>de</w:t>
      </w:r>
    </w:p>
    <w:p>
      <w:pPr>
        <w:pStyle w:val="BodyText"/>
        <w:spacing w:before="5"/>
        <w:rPr>
          <w:sz w:val="28"/>
        </w:rPr>
      </w:pPr>
      <w:r>
        <w:rPr/>
        <w:pict>
          <v:line style="position:absolute;mso-position-horizontal-relative:page;mso-position-vertical-relative:paragraph;z-index:8008;mso-wrap-distance-left:0;mso-wrap-distance-right:0" from="51.023602pt,18.890724pt" to="79.369602pt,18.890724pt" stroked="true" strokeweight=".5pt" strokecolor="#000000">
            <w10:wrap type="topAndBottom"/>
          </v:line>
        </w:pict>
      </w:r>
    </w:p>
    <w:p>
      <w:pPr>
        <w:pStyle w:val="ListParagraph"/>
        <w:numPr>
          <w:ilvl w:val="0"/>
          <w:numId w:val="33"/>
        </w:numPr>
        <w:tabs>
          <w:tab w:pos="376" w:val="left" w:leader="none"/>
        </w:tabs>
        <w:spacing w:line="242" w:lineRule="auto" w:before="89" w:after="0"/>
        <w:ind w:left="120" w:right="329" w:firstLine="0"/>
        <w:jc w:val="both"/>
        <w:rPr>
          <w:sz w:val="16"/>
        </w:rPr>
      </w:pPr>
      <w:r>
        <w:rPr>
          <w:w w:val="110"/>
          <w:sz w:val="16"/>
        </w:rPr>
        <w:t>Para</w:t>
      </w:r>
      <w:r>
        <w:rPr>
          <w:spacing w:val="-13"/>
          <w:w w:val="110"/>
          <w:sz w:val="16"/>
        </w:rPr>
        <w:t> </w:t>
      </w:r>
      <w:r>
        <w:rPr>
          <w:w w:val="110"/>
          <w:sz w:val="16"/>
        </w:rPr>
        <w:t>una</w:t>
      </w:r>
      <w:r>
        <w:rPr>
          <w:spacing w:val="-13"/>
          <w:w w:val="110"/>
          <w:sz w:val="16"/>
        </w:rPr>
        <w:t> </w:t>
      </w:r>
      <w:r>
        <w:rPr>
          <w:w w:val="110"/>
          <w:sz w:val="16"/>
        </w:rPr>
        <w:t>visión</w:t>
      </w:r>
      <w:r>
        <w:rPr>
          <w:spacing w:val="-13"/>
          <w:w w:val="110"/>
          <w:sz w:val="16"/>
        </w:rPr>
        <w:t> </w:t>
      </w:r>
      <w:r>
        <w:rPr>
          <w:w w:val="110"/>
          <w:sz w:val="16"/>
        </w:rPr>
        <w:t>sobre</w:t>
      </w:r>
      <w:r>
        <w:rPr>
          <w:spacing w:val="-13"/>
          <w:w w:val="110"/>
          <w:sz w:val="16"/>
        </w:rPr>
        <w:t> </w:t>
      </w:r>
      <w:r>
        <w:rPr>
          <w:w w:val="110"/>
          <w:sz w:val="16"/>
        </w:rPr>
        <w:t>las</w:t>
      </w:r>
      <w:r>
        <w:rPr>
          <w:spacing w:val="-13"/>
          <w:w w:val="110"/>
          <w:sz w:val="16"/>
        </w:rPr>
        <w:t> </w:t>
      </w:r>
      <w:r>
        <w:rPr>
          <w:w w:val="110"/>
          <w:sz w:val="16"/>
        </w:rPr>
        <w:t>relaciones</w:t>
      </w:r>
      <w:r>
        <w:rPr>
          <w:spacing w:val="-13"/>
          <w:w w:val="110"/>
          <w:sz w:val="16"/>
        </w:rPr>
        <w:t> </w:t>
      </w:r>
      <w:r>
        <w:rPr>
          <w:w w:val="110"/>
          <w:sz w:val="16"/>
        </w:rPr>
        <w:t>interamericanas</w:t>
      </w:r>
      <w:r>
        <w:rPr>
          <w:spacing w:val="-13"/>
          <w:w w:val="110"/>
          <w:sz w:val="16"/>
        </w:rPr>
        <w:t> </w:t>
      </w:r>
      <w:r>
        <w:rPr>
          <w:w w:val="110"/>
          <w:sz w:val="16"/>
        </w:rPr>
        <w:t>en</w:t>
      </w:r>
      <w:r>
        <w:rPr>
          <w:spacing w:val="-13"/>
          <w:w w:val="110"/>
          <w:sz w:val="16"/>
        </w:rPr>
        <w:t> </w:t>
      </w:r>
      <w:r>
        <w:rPr>
          <w:w w:val="110"/>
          <w:sz w:val="16"/>
        </w:rPr>
        <w:t>las</w:t>
      </w:r>
      <w:r>
        <w:rPr>
          <w:spacing w:val="-13"/>
          <w:w w:val="110"/>
          <w:sz w:val="16"/>
        </w:rPr>
        <w:t> </w:t>
      </w:r>
      <w:r>
        <w:rPr>
          <w:w w:val="110"/>
          <w:sz w:val="16"/>
        </w:rPr>
        <w:t>década</w:t>
      </w:r>
      <w:r>
        <w:rPr>
          <w:spacing w:val="-13"/>
          <w:w w:val="110"/>
          <w:sz w:val="16"/>
        </w:rPr>
        <w:t> </w:t>
      </w:r>
      <w:r>
        <w:rPr>
          <w:w w:val="110"/>
          <w:sz w:val="16"/>
        </w:rPr>
        <w:t>de</w:t>
      </w:r>
      <w:r>
        <w:rPr>
          <w:spacing w:val="-13"/>
          <w:w w:val="110"/>
          <w:sz w:val="16"/>
        </w:rPr>
        <w:t> </w:t>
      </w:r>
      <w:r>
        <w:rPr>
          <w:w w:val="110"/>
          <w:sz w:val="16"/>
        </w:rPr>
        <w:t>1990,</w:t>
      </w:r>
      <w:r>
        <w:rPr>
          <w:spacing w:val="-13"/>
          <w:w w:val="110"/>
          <w:sz w:val="16"/>
        </w:rPr>
        <w:t> </w:t>
      </w:r>
      <w:r>
        <w:rPr>
          <w:w w:val="110"/>
          <w:sz w:val="16"/>
        </w:rPr>
        <w:t>véase </w:t>
      </w:r>
      <w:r>
        <w:rPr>
          <w:w w:val="146"/>
          <w:sz w:val="16"/>
        </w:rPr>
        <w:t>s</w:t>
      </w:r>
      <w:r>
        <w:rPr>
          <w:w w:val="107"/>
          <w:sz w:val="16"/>
        </w:rPr>
        <w:t>uárez</w:t>
      </w:r>
      <w:r>
        <w:rPr>
          <w:spacing w:val="9"/>
          <w:sz w:val="16"/>
        </w:rPr>
        <w:t> </w:t>
      </w:r>
      <w:r>
        <w:rPr>
          <w:w w:val="146"/>
          <w:sz w:val="16"/>
        </w:rPr>
        <w:t>s</w:t>
      </w:r>
      <w:r>
        <w:rPr>
          <w:w w:val="108"/>
          <w:sz w:val="16"/>
        </w:rPr>
        <w:t>alazar</w:t>
      </w:r>
      <w:r>
        <w:rPr>
          <w:spacing w:val="9"/>
          <w:sz w:val="16"/>
        </w:rPr>
        <w:t> </w:t>
      </w:r>
      <w:r>
        <w:rPr>
          <w:w w:val="102"/>
          <w:sz w:val="16"/>
        </w:rPr>
        <w:t>y</w:t>
      </w:r>
      <w:r>
        <w:rPr>
          <w:spacing w:val="9"/>
          <w:sz w:val="16"/>
        </w:rPr>
        <w:t> </w:t>
      </w:r>
      <w:r>
        <w:rPr>
          <w:w w:val="113"/>
          <w:sz w:val="16"/>
        </w:rPr>
        <w:t>García</w:t>
      </w:r>
      <w:r>
        <w:rPr>
          <w:spacing w:val="9"/>
          <w:sz w:val="16"/>
        </w:rPr>
        <w:t> </w:t>
      </w:r>
      <w:r>
        <w:rPr>
          <w:w w:val="238"/>
          <w:sz w:val="16"/>
        </w:rPr>
        <w:t>l</w:t>
      </w:r>
      <w:r>
        <w:rPr>
          <w:w w:val="107"/>
          <w:sz w:val="16"/>
        </w:rPr>
        <w:t>orenzo</w:t>
      </w:r>
      <w:r>
        <w:rPr>
          <w:spacing w:val="9"/>
          <w:sz w:val="16"/>
        </w:rPr>
        <w:t> </w:t>
      </w:r>
      <w:r>
        <w:rPr>
          <w:w w:val="100"/>
          <w:sz w:val="16"/>
        </w:rPr>
        <w:t>(2008:</w:t>
      </w:r>
      <w:r>
        <w:rPr>
          <w:spacing w:val="9"/>
          <w:sz w:val="16"/>
        </w:rPr>
        <w:t> </w:t>
      </w:r>
      <w:r>
        <w:rPr>
          <w:w w:val="100"/>
          <w:sz w:val="16"/>
        </w:rPr>
        <w:t>127-140</w:t>
      </w:r>
      <w:r>
        <w:rPr>
          <w:w w:val="110"/>
          <w:sz w:val="16"/>
        </w:rPr>
        <w:t>).</w:t>
      </w:r>
    </w:p>
    <w:p>
      <w:pPr>
        <w:pStyle w:val="ListParagraph"/>
        <w:numPr>
          <w:ilvl w:val="0"/>
          <w:numId w:val="33"/>
        </w:numPr>
        <w:tabs>
          <w:tab w:pos="376" w:val="left" w:leader="none"/>
        </w:tabs>
        <w:spacing w:line="242" w:lineRule="auto" w:before="57" w:after="0"/>
        <w:ind w:left="120" w:right="328" w:firstLine="0"/>
        <w:jc w:val="both"/>
        <w:rPr>
          <w:sz w:val="16"/>
        </w:rPr>
      </w:pPr>
      <w:r>
        <w:rPr>
          <w:w w:val="110"/>
          <w:sz w:val="16"/>
        </w:rPr>
        <w:t>recientemente, y desde una perspectiva crítica, se realizaron sendos balances del </w:t>
      </w:r>
      <w:r>
        <w:rPr>
          <w:w w:val="140"/>
          <w:sz w:val="16"/>
        </w:rPr>
        <w:t>tlCaN </w:t>
      </w:r>
      <w:r>
        <w:rPr>
          <w:w w:val="110"/>
          <w:sz w:val="16"/>
        </w:rPr>
        <w:t>en el seminario internacional “subordinación de México bajo Estados </w:t>
      </w:r>
      <w:r>
        <w:rPr>
          <w:w w:val="137"/>
          <w:sz w:val="16"/>
        </w:rPr>
        <w:t>u</w:t>
      </w:r>
      <w:r>
        <w:rPr>
          <w:w w:val="107"/>
          <w:sz w:val="16"/>
        </w:rPr>
        <w:t>nidos</w:t>
      </w:r>
      <w:r>
        <w:rPr>
          <w:spacing w:val="4"/>
          <w:sz w:val="16"/>
        </w:rPr>
        <w:t> </w:t>
      </w:r>
      <w:r>
        <w:rPr>
          <w:w w:val="106"/>
          <w:sz w:val="16"/>
        </w:rPr>
        <w:t>en</w:t>
      </w:r>
      <w:r>
        <w:rPr>
          <w:spacing w:val="4"/>
          <w:sz w:val="16"/>
        </w:rPr>
        <w:t> </w:t>
      </w:r>
      <w:r>
        <w:rPr>
          <w:w w:val="104"/>
          <w:sz w:val="16"/>
        </w:rPr>
        <w:t>el</w:t>
      </w:r>
      <w:r>
        <w:rPr>
          <w:spacing w:val="4"/>
          <w:sz w:val="16"/>
        </w:rPr>
        <w:t> </w:t>
      </w:r>
      <w:r>
        <w:rPr>
          <w:w w:val="109"/>
          <w:sz w:val="16"/>
        </w:rPr>
        <w:t>marco</w:t>
      </w:r>
      <w:r>
        <w:rPr>
          <w:spacing w:val="4"/>
          <w:sz w:val="16"/>
        </w:rPr>
        <w:t> </w:t>
      </w:r>
      <w:r>
        <w:rPr>
          <w:w w:val="105"/>
          <w:sz w:val="16"/>
        </w:rPr>
        <w:t>del</w:t>
      </w:r>
      <w:r>
        <w:rPr>
          <w:spacing w:val="4"/>
          <w:sz w:val="16"/>
        </w:rPr>
        <w:t> </w:t>
      </w:r>
      <w:r>
        <w:rPr>
          <w:spacing w:val="-15"/>
          <w:w w:val="191"/>
          <w:sz w:val="16"/>
        </w:rPr>
        <w:t>t</w:t>
      </w:r>
      <w:r>
        <w:rPr>
          <w:w w:val="107"/>
          <w:sz w:val="16"/>
        </w:rPr>
        <w:t>ratado</w:t>
      </w:r>
      <w:r>
        <w:rPr>
          <w:spacing w:val="4"/>
          <w:sz w:val="16"/>
        </w:rPr>
        <w:t> </w:t>
      </w:r>
      <w:r>
        <w:rPr>
          <w:w w:val="104"/>
          <w:sz w:val="16"/>
        </w:rPr>
        <w:t>de</w:t>
      </w:r>
      <w:r>
        <w:rPr>
          <w:spacing w:val="4"/>
          <w:sz w:val="16"/>
        </w:rPr>
        <w:t> </w:t>
      </w:r>
      <w:r>
        <w:rPr>
          <w:w w:val="238"/>
          <w:sz w:val="16"/>
        </w:rPr>
        <w:t>l</w:t>
      </w:r>
      <w:r>
        <w:rPr>
          <w:w w:val="106"/>
          <w:sz w:val="16"/>
        </w:rPr>
        <w:t>ibre</w:t>
      </w:r>
      <w:r>
        <w:rPr>
          <w:spacing w:val="4"/>
          <w:sz w:val="16"/>
        </w:rPr>
        <w:t> </w:t>
      </w:r>
      <w:r>
        <w:rPr>
          <w:w w:val="111"/>
          <w:sz w:val="16"/>
        </w:rPr>
        <w:t>Comercio,</w:t>
      </w:r>
      <w:r>
        <w:rPr>
          <w:spacing w:val="4"/>
          <w:sz w:val="16"/>
        </w:rPr>
        <w:t> </w:t>
      </w:r>
      <w:r>
        <w:rPr>
          <w:w w:val="108"/>
          <w:sz w:val="16"/>
        </w:rPr>
        <w:t>despojo,</w:t>
      </w:r>
      <w:r>
        <w:rPr>
          <w:spacing w:val="4"/>
          <w:sz w:val="16"/>
        </w:rPr>
        <w:t> </w:t>
      </w:r>
      <w:r>
        <w:rPr>
          <w:w w:val="106"/>
          <w:sz w:val="16"/>
        </w:rPr>
        <w:t>guerra</w:t>
      </w:r>
      <w:r>
        <w:rPr>
          <w:spacing w:val="4"/>
          <w:sz w:val="16"/>
        </w:rPr>
        <w:t> </w:t>
      </w:r>
      <w:r>
        <w:rPr>
          <w:w w:val="109"/>
          <w:sz w:val="16"/>
        </w:rPr>
        <w:t>social</w:t>
      </w:r>
      <w:r>
        <w:rPr>
          <w:spacing w:val="4"/>
          <w:sz w:val="16"/>
        </w:rPr>
        <w:t> </w:t>
      </w:r>
      <w:r>
        <w:rPr>
          <w:w w:val="102"/>
          <w:sz w:val="16"/>
        </w:rPr>
        <w:t>y</w:t>
      </w:r>
      <w:r>
        <w:rPr>
          <w:spacing w:val="4"/>
          <w:sz w:val="16"/>
        </w:rPr>
        <w:t> </w:t>
      </w:r>
      <w:r>
        <w:rPr>
          <w:w w:val="108"/>
          <w:sz w:val="16"/>
        </w:rPr>
        <w:t>violación </w:t>
      </w:r>
      <w:r>
        <w:rPr>
          <w:w w:val="110"/>
          <w:sz w:val="16"/>
        </w:rPr>
        <w:t>masiva de derechos humanos”, uNaM, México, 1 y 2 de septiembre de</w:t>
      </w:r>
      <w:r>
        <w:rPr>
          <w:spacing w:val="19"/>
          <w:w w:val="110"/>
          <w:sz w:val="16"/>
        </w:rPr>
        <w:t> </w:t>
      </w:r>
      <w:r>
        <w:rPr>
          <w:w w:val="110"/>
          <w:sz w:val="16"/>
        </w:rPr>
        <w:t>2014.</w:t>
      </w:r>
    </w:p>
    <w:p>
      <w:pPr>
        <w:pStyle w:val="ListParagraph"/>
        <w:numPr>
          <w:ilvl w:val="0"/>
          <w:numId w:val="33"/>
        </w:numPr>
        <w:tabs>
          <w:tab w:pos="376" w:val="left" w:leader="none"/>
        </w:tabs>
        <w:spacing w:line="240" w:lineRule="auto" w:before="57" w:after="0"/>
        <w:ind w:left="375" w:right="0" w:hanging="255"/>
        <w:jc w:val="both"/>
        <w:rPr>
          <w:sz w:val="16"/>
        </w:rPr>
      </w:pPr>
      <w:r>
        <w:rPr>
          <w:i/>
          <w:w w:val="110"/>
          <w:sz w:val="16"/>
        </w:rPr>
        <w:t>El Tiempo </w:t>
      </w:r>
      <w:r>
        <w:rPr>
          <w:w w:val="110"/>
          <w:sz w:val="16"/>
        </w:rPr>
        <w:t>(bogotá), 11 de junio de</w:t>
      </w:r>
      <w:r>
        <w:rPr>
          <w:spacing w:val="-25"/>
          <w:w w:val="110"/>
          <w:sz w:val="16"/>
        </w:rPr>
        <w:t> </w:t>
      </w:r>
      <w:r>
        <w:rPr>
          <w:w w:val="110"/>
          <w:sz w:val="16"/>
        </w:rPr>
        <w:t>2003.</w:t>
      </w:r>
    </w:p>
    <w:p>
      <w:pPr>
        <w:spacing w:after="0" w:line="240"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92"/>
      </w:pPr>
      <w:r>
        <w:rPr>
          <w:w w:val="110"/>
        </w:rPr>
        <w:t>consolidar y ampliar su </w:t>
      </w:r>
      <w:r>
        <w:rPr>
          <w:i/>
          <w:w w:val="110"/>
        </w:rPr>
        <w:t>patio trasero</w:t>
      </w:r>
      <w:r>
        <w:rPr>
          <w:w w:val="110"/>
        </w:rPr>
        <w:t>, amenazado por otros centros del</w:t>
      </w:r>
      <w:r>
        <w:rPr>
          <w:spacing w:val="16"/>
          <w:w w:val="110"/>
        </w:rPr>
        <w:t> </w:t>
      </w:r>
      <w:r>
        <w:rPr>
          <w:w w:val="110"/>
        </w:rPr>
        <w:t>capitalismo</w:t>
      </w:r>
      <w:r>
        <w:rPr>
          <w:spacing w:val="16"/>
          <w:w w:val="110"/>
        </w:rPr>
        <w:t> </w:t>
      </w:r>
      <w:r>
        <w:rPr>
          <w:w w:val="110"/>
        </w:rPr>
        <w:t>mundial</w:t>
      </w:r>
      <w:r>
        <w:rPr>
          <w:spacing w:val="16"/>
          <w:w w:val="110"/>
        </w:rPr>
        <w:t> </w:t>
      </w:r>
      <w:r>
        <w:rPr>
          <w:w w:val="110"/>
        </w:rPr>
        <w:t>y</w:t>
      </w:r>
      <w:r>
        <w:rPr>
          <w:spacing w:val="16"/>
          <w:w w:val="110"/>
        </w:rPr>
        <w:t> </w:t>
      </w:r>
      <w:r>
        <w:rPr>
          <w:w w:val="110"/>
        </w:rPr>
        <w:t>por</w:t>
      </w:r>
      <w:r>
        <w:rPr>
          <w:spacing w:val="16"/>
          <w:w w:val="110"/>
        </w:rPr>
        <w:t> </w:t>
      </w:r>
      <w:r>
        <w:rPr>
          <w:w w:val="110"/>
        </w:rPr>
        <w:t>la</w:t>
      </w:r>
      <w:r>
        <w:rPr>
          <w:spacing w:val="16"/>
          <w:w w:val="110"/>
        </w:rPr>
        <w:t> </w:t>
      </w:r>
      <w:r>
        <w:rPr>
          <w:w w:val="110"/>
        </w:rPr>
        <w:t>potencial</w:t>
      </w:r>
      <w:r>
        <w:rPr>
          <w:spacing w:val="16"/>
          <w:w w:val="110"/>
        </w:rPr>
        <w:t> </w:t>
      </w:r>
      <w:r>
        <w:rPr>
          <w:w w:val="110"/>
        </w:rPr>
        <w:t>integración</w:t>
      </w:r>
      <w:r>
        <w:rPr>
          <w:spacing w:val="16"/>
          <w:w w:val="110"/>
        </w:rPr>
        <w:t> </w:t>
      </w:r>
      <w:r>
        <w:rPr>
          <w:w w:val="110"/>
        </w:rPr>
        <w:t>del</w:t>
      </w:r>
      <w:r>
        <w:rPr>
          <w:spacing w:val="16"/>
          <w:w w:val="110"/>
        </w:rPr>
        <w:t> </w:t>
      </w:r>
      <w:r>
        <w:rPr>
          <w:w w:val="110"/>
        </w:rPr>
        <w:t>Cono</w:t>
      </w:r>
      <w:r>
        <w:rPr>
          <w:spacing w:val="16"/>
          <w:w w:val="110"/>
        </w:rPr>
        <w:t> </w:t>
      </w:r>
      <w:r>
        <w:rPr>
          <w:spacing w:val="-6"/>
          <w:w w:val="110"/>
        </w:rPr>
        <w:t>sur.</w:t>
      </w:r>
    </w:p>
    <w:p>
      <w:pPr>
        <w:pStyle w:val="BodyText"/>
        <w:spacing w:line="252" w:lineRule="auto"/>
        <w:ind w:left="330" w:right="117" w:firstLine="396"/>
        <w:jc w:val="both"/>
      </w:pPr>
      <w:r>
        <w:rPr>
          <w:spacing w:val="-3"/>
          <w:w w:val="115"/>
        </w:rPr>
        <w:t>Veamos,</w:t>
      </w:r>
      <w:r>
        <w:rPr>
          <w:spacing w:val="-5"/>
          <w:w w:val="115"/>
        </w:rPr>
        <w:t> </w:t>
      </w:r>
      <w:r>
        <w:rPr>
          <w:w w:val="115"/>
        </w:rPr>
        <w:t>ahora,</w:t>
      </w:r>
      <w:r>
        <w:rPr>
          <w:spacing w:val="-5"/>
          <w:w w:val="115"/>
        </w:rPr>
        <w:t> </w:t>
      </w:r>
      <w:r>
        <w:rPr>
          <w:w w:val="115"/>
        </w:rPr>
        <w:t>las</w:t>
      </w:r>
      <w:r>
        <w:rPr>
          <w:spacing w:val="-5"/>
          <w:w w:val="115"/>
        </w:rPr>
        <w:t> </w:t>
      </w:r>
      <w:r>
        <w:rPr>
          <w:w w:val="115"/>
        </w:rPr>
        <w:t>alternativas</w:t>
      </w:r>
      <w:r>
        <w:rPr>
          <w:spacing w:val="-5"/>
          <w:w w:val="115"/>
        </w:rPr>
        <w:t> </w:t>
      </w:r>
      <w:r>
        <w:rPr>
          <w:w w:val="115"/>
        </w:rPr>
        <w:t>de</w:t>
      </w:r>
      <w:r>
        <w:rPr>
          <w:spacing w:val="-5"/>
          <w:w w:val="115"/>
        </w:rPr>
        <w:t> </w:t>
      </w:r>
      <w:r>
        <w:rPr>
          <w:w w:val="115"/>
        </w:rPr>
        <w:t>las</w:t>
      </w:r>
      <w:r>
        <w:rPr>
          <w:spacing w:val="-5"/>
          <w:w w:val="115"/>
        </w:rPr>
        <w:t> </w:t>
      </w:r>
      <w:r>
        <w:rPr>
          <w:w w:val="115"/>
        </w:rPr>
        <w:t>dos</w:t>
      </w:r>
      <w:r>
        <w:rPr>
          <w:spacing w:val="-5"/>
          <w:w w:val="115"/>
        </w:rPr>
        <w:t> </w:t>
      </w:r>
      <w:r>
        <w:rPr>
          <w:w w:val="115"/>
        </w:rPr>
        <w:t>primeras</w:t>
      </w:r>
      <w:r>
        <w:rPr>
          <w:spacing w:val="-5"/>
          <w:w w:val="115"/>
        </w:rPr>
        <w:t> </w:t>
      </w:r>
      <w:r>
        <w:rPr>
          <w:w w:val="115"/>
        </w:rPr>
        <w:t>Cumbres</w:t>
      </w:r>
      <w:r>
        <w:rPr>
          <w:spacing w:val="-5"/>
          <w:w w:val="115"/>
        </w:rPr>
        <w:t> </w:t>
      </w:r>
      <w:r>
        <w:rPr>
          <w:w w:val="115"/>
        </w:rPr>
        <w:t>de las américas, realizadas ambas durante la administración Clinton </w:t>
      </w:r>
      <w:r>
        <w:rPr>
          <w:w w:val="110"/>
        </w:rPr>
        <w:t>(1993-2001),</w:t>
      </w:r>
      <w:r>
        <w:rPr>
          <w:spacing w:val="-8"/>
          <w:w w:val="110"/>
        </w:rPr>
        <w:t> </w:t>
      </w:r>
      <w:r>
        <w:rPr>
          <w:w w:val="110"/>
        </w:rPr>
        <w:t>quien</w:t>
      </w:r>
      <w:r>
        <w:rPr>
          <w:spacing w:val="-8"/>
          <w:w w:val="110"/>
        </w:rPr>
        <w:t> </w:t>
      </w:r>
      <w:r>
        <w:rPr>
          <w:w w:val="110"/>
        </w:rPr>
        <w:t>tenía</w:t>
      </w:r>
      <w:r>
        <w:rPr>
          <w:spacing w:val="-8"/>
          <w:w w:val="110"/>
        </w:rPr>
        <w:t> </w:t>
      </w:r>
      <w:r>
        <w:rPr>
          <w:w w:val="110"/>
        </w:rPr>
        <w:t>un</w:t>
      </w:r>
      <w:r>
        <w:rPr>
          <w:spacing w:val="-8"/>
          <w:w w:val="110"/>
        </w:rPr>
        <w:t> </w:t>
      </w:r>
      <w:r>
        <w:rPr>
          <w:w w:val="110"/>
        </w:rPr>
        <w:t>gran</w:t>
      </w:r>
      <w:r>
        <w:rPr>
          <w:spacing w:val="-8"/>
          <w:w w:val="110"/>
        </w:rPr>
        <w:t> </w:t>
      </w:r>
      <w:r>
        <w:rPr>
          <w:w w:val="110"/>
        </w:rPr>
        <w:t>ascendente</w:t>
      </w:r>
      <w:r>
        <w:rPr>
          <w:spacing w:val="-8"/>
          <w:w w:val="110"/>
        </w:rPr>
        <w:t> </w:t>
      </w:r>
      <w:r>
        <w:rPr>
          <w:w w:val="110"/>
        </w:rPr>
        <w:t>entre</w:t>
      </w:r>
      <w:r>
        <w:rPr>
          <w:spacing w:val="-8"/>
          <w:w w:val="110"/>
        </w:rPr>
        <w:t> </w:t>
      </w:r>
      <w:r>
        <w:rPr>
          <w:w w:val="110"/>
        </w:rPr>
        <w:t>los</w:t>
      </w:r>
      <w:r>
        <w:rPr>
          <w:spacing w:val="-8"/>
          <w:w w:val="110"/>
        </w:rPr>
        <w:t> </w:t>
      </w:r>
      <w:r>
        <w:rPr>
          <w:w w:val="110"/>
        </w:rPr>
        <w:t>mandatarios</w:t>
      </w:r>
      <w:r>
        <w:rPr>
          <w:spacing w:val="-8"/>
          <w:w w:val="110"/>
        </w:rPr>
        <w:t> </w:t>
      </w:r>
      <w:r>
        <w:rPr>
          <w:w w:val="110"/>
        </w:rPr>
        <w:t>de </w:t>
      </w:r>
      <w:r>
        <w:rPr>
          <w:w w:val="111"/>
        </w:rPr>
        <w:t>la</w:t>
      </w:r>
      <w:r>
        <w:rPr/>
        <w:t> </w:t>
      </w:r>
      <w:r>
        <w:rPr>
          <w:spacing w:val="-15"/>
        </w:rPr>
        <w:t> </w:t>
      </w:r>
      <w:r>
        <w:rPr>
          <w:w w:val="111"/>
        </w:rPr>
        <w:t>región.</w:t>
      </w:r>
      <w:r>
        <w:rPr/>
        <w:t> </w:t>
      </w:r>
      <w:r>
        <w:rPr>
          <w:spacing w:val="-15"/>
        </w:rPr>
        <w:t> </w:t>
      </w:r>
      <w:r>
        <w:rPr>
          <w:w w:val="243"/>
        </w:rPr>
        <w:t>l</w:t>
      </w:r>
      <w:r>
        <w:rPr>
          <w:w w:val="112"/>
        </w:rPr>
        <w:t>a</w:t>
      </w:r>
      <w:r>
        <w:rPr/>
        <w:t> </w:t>
      </w:r>
      <w:r>
        <w:rPr>
          <w:spacing w:val="-15"/>
        </w:rPr>
        <w:t> </w:t>
      </w:r>
      <w:r>
        <w:rPr>
          <w:w w:val="110"/>
        </w:rPr>
        <w:t>reunión</w:t>
      </w:r>
      <w:r>
        <w:rPr/>
        <w:t> </w:t>
      </w:r>
      <w:r>
        <w:rPr>
          <w:spacing w:val="-15"/>
        </w:rPr>
        <w:t> </w:t>
      </w:r>
      <w:r>
        <w:rPr>
          <w:w w:val="112"/>
        </w:rPr>
        <w:t>fundacional</w:t>
      </w:r>
      <w:r>
        <w:rPr/>
        <w:t> </w:t>
      </w:r>
      <w:r>
        <w:rPr>
          <w:spacing w:val="-15"/>
        </w:rPr>
        <w:t> </w:t>
      </w:r>
      <w:r>
        <w:rPr>
          <w:w w:val="105"/>
        </w:rPr>
        <w:t>se</w:t>
      </w:r>
      <w:r>
        <w:rPr/>
        <w:t> </w:t>
      </w:r>
      <w:r>
        <w:rPr>
          <w:spacing w:val="-15"/>
        </w:rPr>
        <w:t> </w:t>
      </w:r>
      <w:r>
        <w:rPr>
          <w:w w:val="108"/>
        </w:rPr>
        <w:t>celebró</w:t>
      </w:r>
      <w:r>
        <w:rPr/>
        <w:t> </w:t>
      </w:r>
      <w:r>
        <w:rPr>
          <w:spacing w:val="-15"/>
        </w:rPr>
        <w:t> </w:t>
      </w:r>
      <w:r>
        <w:rPr>
          <w:w w:val="108"/>
        </w:rPr>
        <w:t>en</w:t>
      </w:r>
      <w:r>
        <w:rPr/>
        <w:t> </w:t>
      </w:r>
      <w:r>
        <w:rPr>
          <w:spacing w:val="-15"/>
        </w:rPr>
        <w:t> </w:t>
      </w:r>
      <w:r>
        <w:rPr>
          <w:w w:val="111"/>
        </w:rPr>
        <w:t>la</w:t>
      </w:r>
      <w:r>
        <w:rPr/>
        <w:t> </w:t>
      </w:r>
      <w:r>
        <w:rPr>
          <w:spacing w:val="-15"/>
        </w:rPr>
        <w:t> </w:t>
      </w:r>
      <w:r>
        <w:rPr>
          <w:w w:val="111"/>
        </w:rPr>
        <w:t>capital</w:t>
      </w:r>
      <w:r>
        <w:rPr/>
        <w:t> </w:t>
      </w:r>
      <w:r>
        <w:rPr>
          <w:spacing w:val="-15"/>
        </w:rPr>
        <w:t> </w:t>
      </w:r>
      <w:r>
        <w:rPr>
          <w:w w:val="107"/>
        </w:rPr>
        <w:t>del</w:t>
      </w:r>
      <w:r>
        <w:rPr/>
        <w:t> </w:t>
      </w:r>
      <w:r>
        <w:rPr>
          <w:spacing w:val="-15"/>
        </w:rPr>
        <w:t> </w:t>
      </w:r>
      <w:r>
        <w:rPr>
          <w:w w:val="108"/>
        </w:rPr>
        <w:t>estado </w:t>
      </w:r>
      <w:r>
        <w:rPr>
          <w:w w:val="115"/>
        </w:rPr>
        <w:t>de Florida, Miami, entre el 9 y el 11 de diciembre de 1994 y allí se aprobaron dos documentos clave: la declaración de Principios y el Plan de acción para el desarrollo y la prosperidad de las américas</w:t>
      </w:r>
      <w:r>
        <w:rPr>
          <w:w w:val="115"/>
          <w:position w:val="6"/>
          <w:sz w:val="11"/>
        </w:rPr>
        <w:t>6</w:t>
      </w:r>
      <w:r>
        <w:rPr>
          <w:w w:val="115"/>
        </w:rPr>
        <w:t>. Entre</w:t>
      </w:r>
      <w:r>
        <w:rPr>
          <w:spacing w:val="-16"/>
          <w:w w:val="115"/>
        </w:rPr>
        <w:t> </w:t>
      </w:r>
      <w:r>
        <w:rPr>
          <w:w w:val="115"/>
        </w:rPr>
        <w:t>los</w:t>
      </w:r>
      <w:r>
        <w:rPr>
          <w:spacing w:val="-16"/>
          <w:w w:val="115"/>
        </w:rPr>
        <w:t> </w:t>
      </w:r>
      <w:r>
        <w:rPr>
          <w:w w:val="115"/>
        </w:rPr>
        <w:t>objetivos</w:t>
      </w:r>
      <w:r>
        <w:rPr>
          <w:spacing w:val="-16"/>
          <w:w w:val="115"/>
        </w:rPr>
        <w:t> </w:t>
      </w:r>
      <w:r>
        <w:rPr>
          <w:w w:val="115"/>
        </w:rPr>
        <w:t>allí</w:t>
      </w:r>
      <w:r>
        <w:rPr>
          <w:spacing w:val="-16"/>
          <w:w w:val="115"/>
        </w:rPr>
        <w:t> </w:t>
      </w:r>
      <w:r>
        <w:rPr>
          <w:w w:val="115"/>
        </w:rPr>
        <w:t>trazados,</w:t>
      </w:r>
      <w:r>
        <w:rPr>
          <w:spacing w:val="-16"/>
          <w:w w:val="115"/>
        </w:rPr>
        <w:t> </w:t>
      </w:r>
      <w:r>
        <w:rPr>
          <w:w w:val="115"/>
        </w:rPr>
        <w:t>se</w:t>
      </w:r>
      <w:r>
        <w:rPr>
          <w:spacing w:val="-16"/>
          <w:w w:val="115"/>
        </w:rPr>
        <w:t> </w:t>
      </w:r>
      <w:r>
        <w:rPr>
          <w:w w:val="115"/>
        </w:rPr>
        <w:t>planteó</w:t>
      </w:r>
      <w:r>
        <w:rPr>
          <w:spacing w:val="-16"/>
          <w:w w:val="115"/>
        </w:rPr>
        <w:t> </w:t>
      </w:r>
      <w:r>
        <w:rPr>
          <w:w w:val="115"/>
        </w:rPr>
        <w:t>el</w:t>
      </w:r>
      <w:r>
        <w:rPr>
          <w:spacing w:val="-16"/>
          <w:w w:val="115"/>
        </w:rPr>
        <w:t> </w:t>
      </w:r>
      <w:r>
        <w:rPr>
          <w:w w:val="115"/>
        </w:rPr>
        <w:t>de</w:t>
      </w:r>
      <w:r>
        <w:rPr>
          <w:spacing w:val="-16"/>
          <w:w w:val="115"/>
        </w:rPr>
        <w:t> </w:t>
      </w:r>
      <w:r>
        <w:rPr>
          <w:w w:val="115"/>
        </w:rPr>
        <w:t>erradicar</w:t>
      </w:r>
      <w:r>
        <w:rPr>
          <w:spacing w:val="-16"/>
          <w:w w:val="115"/>
        </w:rPr>
        <w:t> </w:t>
      </w:r>
      <w:r>
        <w:rPr>
          <w:w w:val="115"/>
        </w:rPr>
        <w:t>la</w:t>
      </w:r>
      <w:r>
        <w:rPr>
          <w:spacing w:val="-16"/>
          <w:w w:val="115"/>
        </w:rPr>
        <w:t> </w:t>
      </w:r>
      <w:r>
        <w:rPr>
          <w:w w:val="115"/>
        </w:rPr>
        <w:t>pobreza y</w:t>
      </w:r>
      <w:r>
        <w:rPr>
          <w:spacing w:val="-26"/>
          <w:w w:val="115"/>
        </w:rPr>
        <w:t> </w:t>
      </w:r>
      <w:r>
        <w:rPr>
          <w:w w:val="115"/>
        </w:rPr>
        <w:t>la</w:t>
      </w:r>
      <w:r>
        <w:rPr>
          <w:spacing w:val="-26"/>
          <w:w w:val="115"/>
        </w:rPr>
        <w:t> </w:t>
      </w:r>
      <w:r>
        <w:rPr>
          <w:w w:val="115"/>
        </w:rPr>
        <w:t>discriminación,</w:t>
      </w:r>
      <w:r>
        <w:rPr>
          <w:spacing w:val="-26"/>
          <w:w w:val="115"/>
        </w:rPr>
        <w:t> </w:t>
      </w:r>
      <w:r>
        <w:rPr>
          <w:w w:val="115"/>
        </w:rPr>
        <w:t>a</w:t>
      </w:r>
      <w:r>
        <w:rPr>
          <w:spacing w:val="-26"/>
          <w:w w:val="115"/>
        </w:rPr>
        <w:t> </w:t>
      </w:r>
      <w:r>
        <w:rPr>
          <w:w w:val="115"/>
        </w:rPr>
        <w:t>través</w:t>
      </w:r>
      <w:r>
        <w:rPr>
          <w:spacing w:val="-26"/>
          <w:w w:val="115"/>
        </w:rPr>
        <w:t> </w:t>
      </w:r>
      <w:r>
        <w:rPr>
          <w:w w:val="115"/>
        </w:rPr>
        <w:t>de</w:t>
      </w:r>
      <w:r>
        <w:rPr>
          <w:spacing w:val="-26"/>
          <w:w w:val="115"/>
        </w:rPr>
        <w:t> </w:t>
      </w:r>
      <w:r>
        <w:rPr>
          <w:w w:val="115"/>
        </w:rPr>
        <w:t>la</w:t>
      </w:r>
      <w:r>
        <w:rPr>
          <w:spacing w:val="-26"/>
          <w:w w:val="115"/>
        </w:rPr>
        <w:t> </w:t>
      </w:r>
      <w:r>
        <w:rPr>
          <w:w w:val="115"/>
        </w:rPr>
        <w:t>creación</w:t>
      </w:r>
      <w:r>
        <w:rPr>
          <w:spacing w:val="-26"/>
          <w:w w:val="115"/>
        </w:rPr>
        <w:t> </w:t>
      </w:r>
      <w:r>
        <w:rPr>
          <w:w w:val="115"/>
        </w:rPr>
        <w:t>del</w:t>
      </w:r>
      <w:r>
        <w:rPr>
          <w:spacing w:val="-26"/>
          <w:w w:val="115"/>
        </w:rPr>
        <w:t> </w:t>
      </w:r>
      <w:r>
        <w:rPr>
          <w:w w:val="115"/>
        </w:rPr>
        <w:t>mayor</w:t>
      </w:r>
      <w:r>
        <w:rPr>
          <w:spacing w:val="-26"/>
          <w:w w:val="115"/>
        </w:rPr>
        <w:t> </w:t>
      </w:r>
      <w:r>
        <w:rPr>
          <w:w w:val="115"/>
        </w:rPr>
        <w:t>mercado</w:t>
      </w:r>
      <w:r>
        <w:rPr>
          <w:spacing w:val="-26"/>
          <w:w w:val="115"/>
        </w:rPr>
        <w:t> </w:t>
      </w:r>
      <w:r>
        <w:rPr>
          <w:w w:val="115"/>
        </w:rPr>
        <w:t>de</w:t>
      </w:r>
      <w:r>
        <w:rPr>
          <w:spacing w:val="-26"/>
          <w:w w:val="115"/>
        </w:rPr>
        <w:t> </w:t>
      </w:r>
      <w:r>
        <w:rPr>
          <w:w w:val="115"/>
        </w:rPr>
        <w:t>libre comercio</w:t>
      </w:r>
      <w:r>
        <w:rPr>
          <w:spacing w:val="-17"/>
          <w:w w:val="115"/>
        </w:rPr>
        <w:t> </w:t>
      </w:r>
      <w:r>
        <w:rPr>
          <w:w w:val="115"/>
        </w:rPr>
        <w:t>a</w:t>
      </w:r>
      <w:r>
        <w:rPr>
          <w:spacing w:val="-17"/>
          <w:w w:val="115"/>
        </w:rPr>
        <w:t> </w:t>
      </w:r>
      <w:r>
        <w:rPr>
          <w:w w:val="115"/>
        </w:rPr>
        <w:t>nivel</w:t>
      </w:r>
      <w:r>
        <w:rPr>
          <w:spacing w:val="-17"/>
          <w:w w:val="115"/>
        </w:rPr>
        <w:t> </w:t>
      </w:r>
      <w:r>
        <w:rPr>
          <w:w w:val="115"/>
        </w:rPr>
        <w:t>mundial,</w:t>
      </w:r>
      <w:r>
        <w:rPr>
          <w:spacing w:val="-17"/>
          <w:w w:val="115"/>
        </w:rPr>
        <w:t> </w:t>
      </w:r>
      <w:r>
        <w:rPr>
          <w:w w:val="115"/>
        </w:rPr>
        <w:t>que</w:t>
      </w:r>
      <w:r>
        <w:rPr>
          <w:spacing w:val="-17"/>
          <w:w w:val="115"/>
        </w:rPr>
        <w:t> </w:t>
      </w:r>
      <w:r>
        <w:rPr>
          <w:w w:val="115"/>
        </w:rPr>
        <w:t>abarcaría</w:t>
      </w:r>
      <w:r>
        <w:rPr>
          <w:spacing w:val="-17"/>
          <w:w w:val="115"/>
        </w:rPr>
        <w:t> </w:t>
      </w:r>
      <w:r>
        <w:rPr>
          <w:w w:val="115"/>
        </w:rPr>
        <w:t>más</w:t>
      </w:r>
      <w:r>
        <w:rPr>
          <w:spacing w:val="-17"/>
          <w:w w:val="115"/>
        </w:rPr>
        <w:t> </w:t>
      </w:r>
      <w:r>
        <w:rPr>
          <w:w w:val="115"/>
        </w:rPr>
        <w:t>de</w:t>
      </w:r>
      <w:r>
        <w:rPr>
          <w:spacing w:val="-17"/>
          <w:w w:val="115"/>
        </w:rPr>
        <w:t> </w:t>
      </w:r>
      <w:r>
        <w:rPr>
          <w:w w:val="115"/>
        </w:rPr>
        <w:t>850</w:t>
      </w:r>
      <w:r>
        <w:rPr>
          <w:spacing w:val="-17"/>
          <w:w w:val="115"/>
        </w:rPr>
        <w:t> </w:t>
      </w:r>
      <w:r>
        <w:rPr>
          <w:w w:val="115"/>
        </w:rPr>
        <w:t>millones</w:t>
      </w:r>
      <w:r>
        <w:rPr>
          <w:spacing w:val="-17"/>
          <w:w w:val="115"/>
        </w:rPr>
        <w:t> </w:t>
      </w:r>
      <w:r>
        <w:rPr>
          <w:w w:val="115"/>
        </w:rPr>
        <w:t>de</w:t>
      </w:r>
      <w:r>
        <w:rPr>
          <w:spacing w:val="-17"/>
          <w:w w:val="115"/>
        </w:rPr>
        <w:t> </w:t>
      </w:r>
      <w:r>
        <w:rPr>
          <w:w w:val="115"/>
        </w:rPr>
        <w:t>con- sumidores</w:t>
      </w:r>
      <w:r>
        <w:rPr>
          <w:spacing w:val="-22"/>
          <w:w w:val="115"/>
        </w:rPr>
        <w:t> </w:t>
      </w:r>
      <w:r>
        <w:rPr>
          <w:w w:val="115"/>
        </w:rPr>
        <w:t>cuando</w:t>
      </w:r>
      <w:r>
        <w:rPr>
          <w:spacing w:val="-22"/>
          <w:w w:val="115"/>
        </w:rPr>
        <w:t> </w:t>
      </w:r>
      <w:r>
        <w:rPr>
          <w:w w:val="115"/>
        </w:rPr>
        <w:t>entrara</w:t>
      </w:r>
      <w:r>
        <w:rPr>
          <w:spacing w:val="-22"/>
          <w:w w:val="115"/>
        </w:rPr>
        <w:t> </w:t>
      </w:r>
      <w:r>
        <w:rPr>
          <w:w w:val="115"/>
        </w:rPr>
        <w:t>en</w:t>
      </w:r>
      <w:r>
        <w:rPr>
          <w:spacing w:val="-22"/>
          <w:w w:val="115"/>
        </w:rPr>
        <w:t> </w:t>
      </w:r>
      <w:r>
        <w:rPr>
          <w:w w:val="115"/>
        </w:rPr>
        <w:t>vigencia,</w:t>
      </w:r>
      <w:r>
        <w:rPr>
          <w:spacing w:val="-22"/>
          <w:w w:val="115"/>
        </w:rPr>
        <w:t> </w:t>
      </w:r>
      <w:r>
        <w:rPr>
          <w:w w:val="115"/>
        </w:rPr>
        <w:t>una</w:t>
      </w:r>
      <w:r>
        <w:rPr>
          <w:spacing w:val="-22"/>
          <w:w w:val="115"/>
        </w:rPr>
        <w:t> </w:t>
      </w:r>
      <w:r>
        <w:rPr>
          <w:w w:val="115"/>
        </w:rPr>
        <w:t>década</w:t>
      </w:r>
      <w:r>
        <w:rPr>
          <w:spacing w:val="-22"/>
          <w:w w:val="115"/>
        </w:rPr>
        <w:t> </w:t>
      </w:r>
      <w:r>
        <w:rPr>
          <w:w w:val="115"/>
        </w:rPr>
        <w:t>más</w:t>
      </w:r>
      <w:r>
        <w:rPr>
          <w:spacing w:val="-22"/>
          <w:w w:val="115"/>
        </w:rPr>
        <w:t> </w:t>
      </w:r>
      <w:r>
        <w:rPr>
          <w:w w:val="115"/>
        </w:rPr>
        <w:t>tarde.</w:t>
      </w:r>
      <w:r>
        <w:rPr>
          <w:spacing w:val="-22"/>
          <w:w w:val="115"/>
        </w:rPr>
        <w:t> </w:t>
      </w:r>
      <w:r>
        <w:rPr>
          <w:w w:val="115"/>
        </w:rPr>
        <w:t>En</w:t>
      </w:r>
      <w:r>
        <w:rPr>
          <w:spacing w:val="-22"/>
          <w:w w:val="115"/>
        </w:rPr>
        <w:t> </w:t>
      </w:r>
      <w:r>
        <w:rPr>
          <w:w w:val="115"/>
        </w:rPr>
        <w:t>este primer</w:t>
      </w:r>
      <w:r>
        <w:rPr>
          <w:spacing w:val="-13"/>
          <w:w w:val="115"/>
        </w:rPr>
        <w:t> </w:t>
      </w:r>
      <w:r>
        <w:rPr>
          <w:w w:val="115"/>
        </w:rPr>
        <w:t>encuentro</w:t>
      </w:r>
      <w:r>
        <w:rPr>
          <w:spacing w:val="-13"/>
          <w:w w:val="115"/>
        </w:rPr>
        <w:t> </w:t>
      </w:r>
      <w:r>
        <w:rPr>
          <w:w w:val="115"/>
        </w:rPr>
        <w:t>se</w:t>
      </w:r>
      <w:r>
        <w:rPr>
          <w:spacing w:val="-13"/>
          <w:w w:val="115"/>
        </w:rPr>
        <w:t> </w:t>
      </w:r>
      <w:r>
        <w:rPr>
          <w:w w:val="115"/>
        </w:rPr>
        <w:t>institucionalizaron</w:t>
      </w:r>
      <w:r>
        <w:rPr>
          <w:spacing w:val="-13"/>
          <w:w w:val="115"/>
        </w:rPr>
        <w:t> </w:t>
      </w:r>
      <w:r>
        <w:rPr>
          <w:w w:val="115"/>
        </w:rPr>
        <w:t>las</w:t>
      </w:r>
      <w:r>
        <w:rPr>
          <w:spacing w:val="-13"/>
          <w:w w:val="115"/>
        </w:rPr>
        <w:t> </w:t>
      </w:r>
      <w:r>
        <w:rPr>
          <w:w w:val="115"/>
        </w:rPr>
        <w:t>cumbres</w:t>
      </w:r>
      <w:r>
        <w:rPr>
          <w:spacing w:val="-13"/>
          <w:w w:val="115"/>
        </w:rPr>
        <w:t> </w:t>
      </w:r>
      <w:r>
        <w:rPr>
          <w:w w:val="115"/>
        </w:rPr>
        <w:t>presidenciales, que</w:t>
      </w:r>
      <w:r>
        <w:rPr>
          <w:spacing w:val="-14"/>
          <w:w w:val="115"/>
        </w:rPr>
        <w:t> </w:t>
      </w:r>
      <w:r>
        <w:rPr>
          <w:w w:val="115"/>
        </w:rPr>
        <w:t>se</w:t>
      </w:r>
      <w:r>
        <w:rPr>
          <w:spacing w:val="-14"/>
          <w:w w:val="115"/>
        </w:rPr>
        <w:t> </w:t>
      </w:r>
      <w:r>
        <w:rPr>
          <w:w w:val="115"/>
        </w:rPr>
        <w:t>realizarán</w:t>
      </w:r>
      <w:r>
        <w:rPr>
          <w:spacing w:val="-14"/>
          <w:w w:val="115"/>
        </w:rPr>
        <w:t> </w:t>
      </w:r>
      <w:r>
        <w:rPr>
          <w:w w:val="115"/>
        </w:rPr>
        <w:t>cada</w:t>
      </w:r>
      <w:r>
        <w:rPr>
          <w:spacing w:val="-14"/>
          <w:w w:val="115"/>
        </w:rPr>
        <w:t> </w:t>
      </w:r>
      <w:r>
        <w:rPr>
          <w:w w:val="115"/>
        </w:rPr>
        <w:t>tres</w:t>
      </w:r>
      <w:r>
        <w:rPr>
          <w:spacing w:val="-14"/>
          <w:w w:val="115"/>
        </w:rPr>
        <w:t> </w:t>
      </w:r>
      <w:r>
        <w:rPr>
          <w:w w:val="115"/>
        </w:rPr>
        <w:t>o</w:t>
      </w:r>
      <w:r>
        <w:rPr>
          <w:spacing w:val="-14"/>
          <w:w w:val="115"/>
        </w:rPr>
        <w:t> </w:t>
      </w:r>
      <w:r>
        <w:rPr>
          <w:w w:val="115"/>
        </w:rPr>
        <w:t>cuatro</w:t>
      </w:r>
      <w:r>
        <w:rPr>
          <w:spacing w:val="-14"/>
          <w:w w:val="115"/>
        </w:rPr>
        <w:t> </w:t>
      </w:r>
      <w:r>
        <w:rPr>
          <w:w w:val="115"/>
        </w:rPr>
        <w:t>años.</w:t>
      </w:r>
      <w:r>
        <w:rPr>
          <w:spacing w:val="-14"/>
          <w:w w:val="115"/>
        </w:rPr>
        <w:t> </w:t>
      </w:r>
      <w:r>
        <w:rPr>
          <w:w w:val="115"/>
        </w:rPr>
        <w:t>En</w:t>
      </w:r>
      <w:r>
        <w:rPr>
          <w:spacing w:val="-14"/>
          <w:w w:val="115"/>
        </w:rPr>
        <w:t> </w:t>
      </w:r>
      <w:r>
        <w:rPr>
          <w:w w:val="115"/>
        </w:rPr>
        <w:t>la</w:t>
      </w:r>
      <w:r>
        <w:rPr>
          <w:spacing w:val="-14"/>
          <w:w w:val="115"/>
        </w:rPr>
        <w:t> </w:t>
      </w:r>
      <w:r>
        <w:rPr>
          <w:w w:val="115"/>
        </w:rPr>
        <w:t>segunda,</w:t>
      </w:r>
      <w:r>
        <w:rPr>
          <w:spacing w:val="-14"/>
          <w:w w:val="115"/>
        </w:rPr>
        <w:t> </w:t>
      </w:r>
      <w:r>
        <w:rPr>
          <w:w w:val="115"/>
        </w:rPr>
        <w:t>realizada</w:t>
      </w:r>
      <w:r>
        <w:rPr>
          <w:spacing w:val="-14"/>
          <w:w w:val="115"/>
        </w:rPr>
        <w:t> </w:t>
      </w:r>
      <w:r>
        <w:rPr>
          <w:w w:val="115"/>
        </w:rPr>
        <w:t>en santiago</w:t>
      </w:r>
      <w:r>
        <w:rPr>
          <w:spacing w:val="-5"/>
          <w:w w:val="115"/>
        </w:rPr>
        <w:t> </w:t>
      </w:r>
      <w:r>
        <w:rPr>
          <w:w w:val="115"/>
        </w:rPr>
        <w:t>de</w:t>
      </w:r>
      <w:r>
        <w:rPr>
          <w:spacing w:val="-5"/>
          <w:w w:val="115"/>
        </w:rPr>
        <w:t> </w:t>
      </w:r>
      <w:r>
        <w:rPr>
          <w:w w:val="115"/>
        </w:rPr>
        <w:t>Chile</w:t>
      </w:r>
      <w:r>
        <w:rPr>
          <w:spacing w:val="-5"/>
          <w:w w:val="115"/>
        </w:rPr>
        <w:t> </w:t>
      </w:r>
      <w:r>
        <w:rPr>
          <w:w w:val="115"/>
        </w:rPr>
        <w:t>en</w:t>
      </w:r>
      <w:r>
        <w:rPr>
          <w:spacing w:val="-5"/>
          <w:w w:val="115"/>
        </w:rPr>
        <w:t> </w:t>
      </w:r>
      <w:r>
        <w:rPr>
          <w:w w:val="115"/>
        </w:rPr>
        <w:t>1998,</w:t>
      </w:r>
      <w:r>
        <w:rPr>
          <w:spacing w:val="-5"/>
          <w:w w:val="115"/>
        </w:rPr>
        <w:t> </w:t>
      </w:r>
      <w:r>
        <w:rPr>
          <w:w w:val="115"/>
        </w:rPr>
        <w:t>se</w:t>
      </w:r>
      <w:r>
        <w:rPr>
          <w:spacing w:val="-5"/>
          <w:w w:val="115"/>
        </w:rPr>
        <w:t> </w:t>
      </w:r>
      <w:r>
        <w:rPr>
          <w:w w:val="115"/>
        </w:rPr>
        <w:t>resolvió</w:t>
      </w:r>
      <w:r>
        <w:rPr>
          <w:spacing w:val="-5"/>
          <w:w w:val="115"/>
        </w:rPr>
        <w:t> </w:t>
      </w:r>
      <w:r>
        <w:rPr>
          <w:w w:val="115"/>
        </w:rPr>
        <w:t>encomendar</w:t>
      </w:r>
      <w:r>
        <w:rPr>
          <w:spacing w:val="-5"/>
          <w:w w:val="115"/>
        </w:rPr>
        <w:t> </w:t>
      </w:r>
      <w:r>
        <w:rPr>
          <w:w w:val="115"/>
        </w:rPr>
        <w:t>a</w:t>
      </w:r>
      <w:r>
        <w:rPr>
          <w:spacing w:val="-5"/>
          <w:w w:val="115"/>
        </w:rPr>
        <w:t> </w:t>
      </w:r>
      <w:r>
        <w:rPr>
          <w:w w:val="115"/>
        </w:rPr>
        <w:t>la</w:t>
      </w:r>
      <w:r>
        <w:rPr>
          <w:spacing w:val="-5"/>
          <w:w w:val="115"/>
        </w:rPr>
        <w:t> </w:t>
      </w:r>
      <w:r>
        <w:rPr>
          <w:w w:val="115"/>
        </w:rPr>
        <w:t>oEa</w:t>
      </w:r>
      <w:r>
        <w:rPr>
          <w:spacing w:val="-5"/>
          <w:w w:val="115"/>
        </w:rPr>
        <w:t> </w:t>
      </w:r>
      <w:r>
        <w:rPr>
          <w:w w:val="115"/>
        </w:rPr>
        <w:t>el</w:t>
      </w:r>
      <w:r>
        <w:rPr>
          <w:spacing w:val="-5"/>
          <w:w w:val="115"/>
        </w:rPr>
        <w:t> </w:t>
      </w:r>
      <w:r>
        <w:rPr>
          <w:w w:val="115"/>
        </w:rPr>
        <w:t>segui- miento del proceso entre cada encuentro de jefes y jefas de Estado, estableciendo</w:t>
      </w:r>
      <w:r>
        <w:rPr>
          <w:spacing w:val="-15"/>
          <w:w w:val="115"/>
        </w:rPr>
        <w:t> </w:t>
      </w:r>
      <w:r>
        <w:rPr>
          <w:w w:val="115"/>
        </w:rPr>
        <w:t>la</w:t>
      </w:r>
      <w:r>
        <w:rPr>
          <w:spacing w:val="-15"/>
          <w:w w:val="115"/>
        </w:rPr>
        <w:t> </w:t>
      </w:r>
      <w:r>
        <w:rPr>
          <w:w w:val="115"/>
        </w:rPr>
        <w:t>necesidad</w:t>
      </w:r>
      <w:r>
        <w:rPr>
          <w:spacing w:val="-15"/>
          <w:w w:val="115"/>
        </w:rPr>
        <w:t> </w:t>
      </w:r>
      <w:r>
        <w:rPr>
          <w:w w:val="115"/>
        </w:rPr>
        <w:t>de</w:t>
      </w:r>
      <w:r>
        <w:rPr>
          <w:spacing w:val="-15"/>
          <w:w w:val="115"/>
        </w:rPr>
        <w:t> </w:t>
      </w:r>
      <w:r>
        <w:rPr>
          <w:w w:val="115"/>
        </w:rPr>
        <w:t>reuniones</w:t>
      </w:r>
      <w:r>
        <w:rPr>
          <w:spacing w:val="-15"/>
          <w:w w:val="115"/>
        </w:rPr>
        <w:t> </w:t>
      </w:r>
      <w:r>
        <w:rPr>
          <w:w w:val="115"/>
        </w:rPr>
        <w:t>ministeriales</w:t>
      </w:r>
      <w:r>
        <w:rPr>
          <w:spacing w:val="-15"/>
          <w:w w:val="115"/>
        </w:rPr>
        <w:t> </w:t>
      </w:r>
      <w:r>
        <w:rPr>
          <w:w w:val="115"/>
        </w:rPr>
        <w:t>que</w:t>
      </w:r>
      <w:r>
        <w:rPr>
          <w:spacing w:val="-15"/>
          <w:w w:val="115"/>
        </w:rPr>
        <w:t> </w:t>
      </w:r>
      <w:r>
        <w:rPr>
          <w:w w:val="115"/>
        </w:rPr>
        <w:t>dieran</w:t>
      </w:r>
      <w:r>
        <w:rPr>
          <w:spacing w:val="-15"/>
          <w:w w:val="115"/>
        </w:rPr>
        <w:t> </w:t>
      </w:r>
      <w:r>
        <w:rPr>
          <w:w w:val="115"/>
        </w:rPr>
        <w:t>un soporte</w:t>
      </w:r>
      <w:r>
        <w:rPr>
          <w:spacing w:val="-21"/>
          <w:w w:val="115"/>
        </w:rPr>
        <w:t> </w:t>
      </w:r>
      <w:r>
        <w:rPr>
          <w:w w:val="115"/>
        </w:rPr>
        <w:t>técnico</w:t>
      </w:r>
      <w:r>
        <w:rPr>
          <w:spacing w:val="-21"/>
          <w:w w:val="115"/>
        </w:rPr>
        <w:t> </w:t>
      </w:r>
      <w:r>
        <w:rPr>
          <w:w w:val="115"/>
        </w:rPr>
        <w:t>al</w:t>
      </w:r>
      <w:r>
        <w:rPr>
          <w:spacing w:val="-21"/>
          <w:w w:val="115"/>
        </w:rPr>
        <w:t> </w:t>
      </w:r>
      <w:r>
        <w:rPr>
          <w:w w:val="115"/>
        </w:rPr>
        <w:t>mismo.</w:t>
      </w:r>
    </w:p>
    <w:p>
      <w:pPr>
        <w:pStyle w:val="BodyText"/>
        <w:spacing w:line="252" w:lineRule="auto"/>
        <w:ind w:left="330" w:right="116" w:firstLine="396"/>
        <w:jc w:val="both"/>
      </w:pPr>
      <w:r>
        <w:rPr>
          <w:w w:val="110"/>
        </w:rPr>
        <w:t>Como parte de este proceso, además de las 7 cumbres ordinarias, se realizaron dos cumbres extraordinarias: la de santa Cruz de la sie- rra, bolivia (1996), en la cual se ratificaron los acuerdos de la Cumbre de la </w:t>
      </w:r>
      <w:r>
        <w:rPr>
          <w:spacing w:val="-3"/>
          <w:w w:val="110"/>
        </w:rPr>
        <w:t>tierra </w:t>
      </w:r>
      <w:r>
        <w:rPr>
          <w:w w:val="110"/>
        </w:rPr>
        <w:t>(1992) de la oNu sobre temas medioambientales, y la de </w:t>
      </w:r>
      <w:r>
        <w:rPr>
          <w:spacing w:val="-3"/>
          <w:w w:val="110"/>
        </w:rPr>
        <w:t>Monterrey, </w:t>
      </w:r>
      <w:r>
        <w:rPr>
          <w:w w:val="110"/>
        </w:rPr>
        <w:t>México (2004), a pedido del gobierno de Canadá y frente   a las dificultades para avanzar en el proceso de liberalización </w:t>
      </w:r>
      <w:r>
        <w:rPr>
          <w:spacing w:val="-3"/>
          <w:w w:val="110"/>
        </w:rPr>
        <w:t>comer- </w:t>
      </w:r>
      <w:r>
        <w:rPr>
          <w:w w:val="110"/>
        </w:rPr>
        <w:t>cial</w:t>
      </w:r>
      <w:r>
        <w:rPr>
          <w:spacing w:val="38"/>
          <w:w w:val="110"/>
        </w:rPr>
        <w:t> </w:t>
      </w:r>
      <w:r>
        <w:rPr>
          <w:w w:val="110"/>
        </w:rPr>
        <w:t>continental.</w:t>
      </w:r>
    </w:p>
    <w:p>
      <w:pPr>
        <w:pStyle w:val="BodyText"/>
        <w:spacing w:line="252" w:lineRule="auto"/>
        <w:ind w:left="330" w:right="117" w:firstLine="397"/>
        <w:jc w:val="both"/>
      </w:pPr>
      <w:r>
        <w:rPr>
          <w:w w:val="115"/>
        </w:rPr>
        <w:t>En</w:t>
      </w:r>
      <w:r>
        <w:rPr>
          <w:spacing w:val="-17"/>
          <w:w w:val="115"/>
        </w:rPr>
        <w:t> </w:t>
      </w:r>
      <w:r>
        <w:rPr>
          <w:w w:val="115"/>
        </w:rPr>
        <w:t>la</w:t>
      </w:r>
      <w:r>
        <w:rPr>
          <w:spacing w:val="-17"/>
          <w:w w:val="115"/>
        </w:rPr>
        <w:t> </w:t>
      </w:r>
      <w:r>
        <w:rPr>
          <w:w w:val="115"/>
        </w:rPr>
        <w:t>cumbre</w:t>
      </w:r>
      <w:r>
        <w:rPr>
          <w:spacing w:val="-17"/>
          <w:w w:val="115"/>
        </w:rPr>
        <w:t> </w:t>
      </w:r>
      <w:r>
        <w:rPr>
          <w:w w:val="115"/>
        </w:rPr>
        <w:t>inaugural</w:t>
      </w:r>
      <w:r>
        <w:rPr>
          <w:spacing w:val="-17"/>
          <w:w w:val="115"/>
        </w:rPr>
        <w:t> </w:t>
      </w:r>
      <w:r>
        <w:rPr>
          <w:w w:val="115"/>
        </w:rPr>
        <w:t>de</w:t>
      </w:r>
      <w:r>
        <w:rPr>
          <w:spacing w:val="-17"/>
          <w:w w:val="115"/>
        </w:rPr>
        <w:t> </w:t>
      </w:r>
      <w:r>
        <w:rPr>
          <w:w w:val="115"/>
        </w:rPr>
        <w:t>Miami</w:t>
      </w:r>
      <w:r>
        <w:rPr>
          <w:spacing w:val="-17"/>
          <w:w w:val="115"/>
        </w:rPr>
        <w:t> </w:t>
      </w:r>
      <w:r>
        <w:rPr>
          <w:w w:val="115"/>
        </w:rPr>
        <w:t>se</w:t>
      </w:r>
      <w:r>
        <w:rPr>
          <w:spacing w:val="-17"/>
          <w:w w:val="115"/>
        </w:rPr>
        <w:t> </w:t>
      </w:r>
      <w:r>
        <w:rPr>
          <w:w w:val="115"/>
        </w:rPr>
        <w:t>establecieron</w:t>
      </w:r>
      <w:r>
        <w:rPr>
          <w:spacing w:val="-17"/>
          <w:w w:val="115"/>
        </w:rPr>
        <w:t> </w:t>
      </w:r>
      <w:r>
        <w:rPr>
          <w:w w:val="115"/>
        </w:rPr>
        <w:t>como</w:t>
      </w:r>
      <w:r>
        <w:rPr>
          <w:spacing w:val="-17"/>
          <w:w w:val="115"/>
        </w:rPr>
        <w:t> </w:t>
      </w:r>
      <w:r>
        <w:rPr>
          <w:w w:val="115"/>
        </w:rPr>
        <w:t>grandes objetivos</w:t>
      </w:r>
      <w:r>
        <w:rPr>
          <w:spacing w:val="-24"/>
          <w:w w:val="115"/>
        </w:rPr>
        <w:t> </w:t>
      </w:r>
      <w:r>
        <w:rPr>
          <w:w w:val="115"/>
        </w:rPr>
        <w:t>comunes</w:t>
      </w:r>
      <w:r>
        <w:rPr>
          <w:spacing w:val="-24"/>
          <w:w w:val="115"/>
        </w:rPr>
        <w:t> </w:t>
      </w:r>
      <w:r>
        <w:rPr>
          <w:w w:val="115"/>
        </w:rPr>
        <w:t>el</w:t>
      </w:r>
      <w:r>
        <w:rPr>
          <w:spacing w:val="-24"/>
          <w:w w:val="115"/>
        </w:rPr>
        <w:t> </w:t>
      </w:r>
      <w:r>
        <w:rPr>
          <w:w w:val="115"/>
        </w:rPr>
        <w:t>fortalecimiento</w:t>
      </w:r>
      <w:r>
        <w:rPr>
          <w:spacing w:val="-24"/>
          <w:w w:val="115"/>
        </w:rPr>
        <w:t> </w:t>
      </w:r>
      <w:r>
        <w:rPr>
          <w:w w:val="115"/>
        </w:rPr>
        <w:t>de</w:t>
      </w:r>
      <w:r>
        <w:rPr>
          <w:spacing w:val="-24"/>
          <w:w w:val="115"/>
        </w:rPr>
        <w:t> </w:t>
      </w:r>
      <w:r>
        <w:rPr>
          <w:w w:val="115"/>
        </w:rPr>
        <w:t>la</w:t>
      </w:r>
      <w:r>
        <w:rPr>
          <w:spacing w:val="-24"/>
          <w:w w:val="115"/>
        </w:rPr>
        <w:t> </w:t>
      </w:r>
      <w:r>
        <w:rPr>
          <w:w w:val="115"/>
        </w:rPr>
        <w:t>democracia,</w:t>
      </w:r>
      <w:r>
        <w:rPr>
          <w:spacing w:val="-24"/>
          <w:w w:val="115"/>
        </w:rPr>
        <w:t> </w:t>
      </w:r>
      <w:r>
        <w:rPr>
          <w:w w:val="115"/>
        </w:rPr>
        <w:t>la</w:t>
      </w:r>
      <w:r>
        <w:rPr>
          <w:spacing w:val="-24"/>
          <w:w w:val="115"/>
        </w:rPr>
        <w:t> </w:t>
      </w:r>
      <w:r>
        <w:rPr>
          <w:w w:val="115"/>
        </w:rPr>
        <w:t>integración </w:t>
      </w:r>
      <w:r>
        <w:rPr>
          <w:w w:val="112"/>
        </w:rPr>
        <w:t>económica</w:t>
      </w:r>
      <w:r>
        <w:rPr/>
        <w:t> </w:t>
      </w:r>
      <w:r>
        <w:rPr>
          <w:spacing w:val="-8"/>
        </w:rPr>
        <w:t> </w:t>
      </w:r>
      <w:r>
        <w:rPr>
          <w:w w:val="112"/>
        </w:rPr>
        <w:t>a</w:t>
      </w:r>
      <w:r>
        <w:rPr/>
        <w:t> </w:t>
      </w:r>
      <w:r>
        <w:rPr>
          <w:spacing w:val="-8"/>
        </w:rPr>
        <w:t> </w:t>
      </w:r>
      <w:r>
        <w:rPr>
          <w:w w:val="105"/>
        </w:rPr>
        <w:t>través</w:t>
      </w:r>
      <w:r>
        <w:rPr/>
        <w:t> </w:t>
      </w:r>
      <w:r>
        <w:rPr>
          <w:spacing w:val="-8"/>
        </w:rPr>
        <w:t> </w:t>
      </w:r>
      <w:r>
        <w:rPr>
          <w:w w:val="107"/>
        </w:rPr>
        <w:t>del</w:t>
      </w:r>
      <w:r>
        <w:rPr/>
        <w:t> </w:t>
      </w:r>
      <w:r>
        <w:rPr>
          <w:spacing w:val="-8"/>
        </w:rPr>
        <w:t> </w:t>
      </w:r>
      <w:r>
        <w:rPr>
          <w:w w:val="108"/>
        </w:rPr>
        <w:t>libre</w:t>
      </w:r>
      <w:r>
        <w:rPr/>
        <w:t> </w:t>
      </w:r>
      <w:r>
        <w:rPr>
          <w:spacing w:val="-8"/>
        </w:rPr>
        <w:t> </w:t>
      </w:r>
      <w:r>
        <w:rPr>
          <w:w w:val="111"/>
        </w:rPr>
        <w:t>comercio</w:t>
      </w:r>
      <w:r>
        <w:rPr/>
        <w:t> </w:t>
      </w:r>
      <w:r>
        <w:rPr>
          <w:spacing w:val="-8"/>
        </w:rPr>
        <w:t> </w:t>
      </w:r>
      <w:r>
        <w:rPr>
          <w:w w:val="105"/>
        </w:rPr>
        <w:t>y</w:t>
      </w:r>
      <w:r>
        <w:rPr/>
        <w:t> </w:t>
      </w:r>
      <w:r>
        <w:rPr>
          <w:spacing w:val="-8"/>
        </w:rPr>
        <w:t> </w:t>
      </w:r>
      <w:r>
        <w:rPr>
          <w:w w:val="107"/>
        </w:rPr>
        <w:t>el</w:t>
      </w:r>
      <w:r>
        <w:rPr/>
        <w:t> </w:t>
      </w:r>
      <w:r>
        <w:rPr>
          <w:spacing w:val="-8"/>
        </w:rPr>
        <w:t> </w:t>
      </w:r>
      <w:r>
        <w:rPr>
          <w:w w:val="108"/>
        </w:rPr>
        <w:t>desarrollo</w:t>
      </w:r>
      <w:r>
        <w:rPr/>
        <w:t> </w:t>
      </w:r>
      <w:r>
        <w:rPr>
          <w:spacing w:val="-8"/>
        </w:rPr>
        <w:t> </w:t>
      </w:r>
      <w:r>
        <w:rPr>
          <w:w w:val="109"/>
        </w:rPr>
        <w:t>sostenible.</w:t>
      </w:r>
      <w:r>
        <w:rPr/>
        <w:t> </w:t>
      </w:r>
      <w:r>
        <w:rPr>
          <w:spacing w:val="-8"/>
        </w:rPr>
        <w:t> </w:t>
      </w:r>
      <w:r>
        <w:rPr>
          <w:w w:val="243"/>
        </w:rPr>
        <w:t>l</w:t>
      </w:r>
      <w:r>
        <w:rPr>
          <w:w w:val="112"/>
        </w:rPr>
        <w:t>a </w:t>
      </w:r>
      <w:r>
        <w:rPr>
          <w:w w:val="115"/>
        </w:rPr>
        <w:t>impronta neoliberal estaba explícitamente planteada en la declara- ción</w:t>
      </w:r>
      <w:r>
        <w:rPr>
          <w:spacing w:val="-11"/>
          <w:w w:val="115"/>
        </w:rPr>
        <w:t> </w:t>
      </w:r>
      <w:r>
        <w:rPr>
          <w:w w:val="115"/>
        </w:rPr>
        <w:t>fundacional</w:t>
      </w:r>
      <w:r>
        <w:rPr>
          <w:w w:val="115"/>
          <w:position w:val="6"/>
          <w:sz w:val="11"/>
        </w:rPr>
        <w:t>7</w:t>
      </w:r>
      <w:r>
        <w:rPr>
          <w:w w:val="115"/>
        </w:rPr>
        <w:t>.</w:t>
      </w:r>
      <w:r>
        <w:rPr>
          <w:spacing w:val="-11"/>
          <w:w w:val="115"/>
        </w:rPr>
        <w:t> </w:t>
      </w:r>
      <w:r>
        <w:rPr>
          <w:w w:val="115"/>
        </w:rPr>
        <w:t>se</w:t>
      </w:r>
      <w:r>
        <w:rPr>
          <w:spacing w:val="-11"/>
          <w:w w:val="115"/>
        </w:rPr>
        <w:t> </w:t>
      </w:r>
      <w:r>
        <w:rPr>
          <w:i/>
          <w:w w:val="115"/>
        </w:rPr>
        <w:t>panamericanizaba</w:t>
      </w:r>
      <w:r>
        <w:rPr>
          <w:i/>
          <w:spacing w:val="-11"/>
          <w:w w:val="115"/>
        </w:rPr>
        <w:t> </w:t>
      </w:r>
      <w:r>
        <w:rPr>
          <w:w w:val="115"/>
        </w:rPr>
        <w:t>la</w:t>
      </w:r>
      <w:r>
        <w:rPr>
          <w:spacing w:val="-11"/>
          <w:w w:val="115"/>
        </w:rPr>
        <w:t> </w:t>
      </w:r>
      <w:r>
        <w:rPr>
          <w:w w:val="115"/>
        </w:rPr>
        <w:t>iniciativa</w:t>
      </w:r>
      <w:r>
        <w:rPr>
          <w:spacing w:val="-11"/>
          <w:w w:val="115"/>
        </w:rPr>
        <w:t> </w:t>
      </w:r>
      <w:r>
        <w:rPr>
          <w:w w:val="115"/>
        </w:rPr>
        <w:t>estadounidense del </w:t>
      </w:r>
      <w:r>
        <w:rPr>
          <w:w w:val="160"/>
        </w:rPr>
        <w:t>alCa </w:t>
      </w:r>
      <w:r>
        <w:rPr>
          <w:w w:val="115"/>
        </w:rPr>
        <w:t>y se reivindicaban los </w:t>
      </w:r>
      <w:r>
        <w:rPr>
          <w:w w:val="160"/>
        </w:rPr>
        <w:t>tlC </w:t>
      </w:r>
      <w:r>
        <w:rPr>
          <w:w w:val="115"/>
        </w:rPr>
        <w:t>vigentes, como el </w:t>
      </w:r>
      <w:r>
        <w:rPr>
          <w:w w:val="160"/>
        </w:rPr>
        <w:t>tlCaN,</w:t>
      </w:r>
      <w:r>
        <w:rPr>
          <w:spacing w:val="-34"/>
          <w:w w:val="160"/>
        </w:rPr>
        <w:t> </w:t>
      </w:r>
      <w:r>
        <w:rPr>
          <w:w w:val="115"/>
        </w:rPr>
        <w:t>que había</w:t>
      </w:r>
      <w:r>
        <w:rPr>
          <w:spacing w:val="-15"/>
          <w:w w:val="115"/>
        </w:rPr>
        <w:t> </w:t>
      </w:r>
      <w:r>
        <w:rPr>
          <w:w w:val="115"/>
        </w:rPr>
        <w:t>entrado</w:t>
      </w:r>
      <w:r>
        <w:rPr>
          <w:spacing w:val="-15"/>
          <w:w w:val="115"/>
        </w:rPr>
        <w:t> </w:t>
      </w:r>
      <w:r>
        <w:rPr>
          <w:w w:val="115"/>
        </w:rPr>
        <w:t>en</w:t>
      </w:r>
      <w:r>
        <w:rPr>
          <w:spacing w:val="-15"/>
          <w:w w:val="115"/>
        </w:rPr>
        <w:t> </w:t>
      </w:r>
      <w:r>
        <w:rPr>
          <w:w w:val="115"/>
        </w:rPr>
        <w:t>vigencia</w:t>
      </w:r>
      <w:r>
        <w:rPr>
          <w:spacing w:val="-15"/>
          <w:w w:val="115"/>
        </w:rPr>
        <w:t> </w:t>
      </w:r>
      <w:r>
        <w:rPr>
          <w:w w:val="115"/>
        </w:rPr>
        <w:t>el</w:t>
      </w:r>
      <w:r>
        <w:rPr>
          <w:spacing w:val="-15"/>
          <w:w w:val="115"/>
        </w:rPr>
        <w:t> </w:t>
      </w:r>
      <w:r>
        <w:rPr>
          <w:w w:val="115"/>
        </w:rPr>
        <w:t>1º</w:t>
      </w:r>
      <w:r>
        <w:rPr>
          <w:spacing w:val="-15"/>
          <w:w w:val="115"/>
        </w:rPr>
        <w:t> </w:t>
      </w:r>
      <w:r>
        <w:rPr>
          <w:w w:val="115"/>
        </w:rPr>
        <w:t>de</w:t>
      </w:r>
      <w:r>
        <w:rPr>
          <w:spacing w:val="-15"/>
          <w:w w:val="115"/>
        </w:rPr>
        <w:t> </w:t>
      </w:r>
      <w:r>
        <w:rPr>
          <w:w w:val="115"/>
        </w:rPr>
        <w:t>enero</w:t>
      </w:r>
      <w:r>
        <w:rPr>
          <w:spacing w:val="-15"/>
          <w:w w:val="115"/>
        </w:rPr>
        <w:t> </w:t>
      </w:r>
      <w:r>
        <w:rPr>
          <w:w w:val="115"/>
        </w:rPr>
        <w:t>de</w:t>
      </w:r>
      <w:r>
        <w:rPr>
          <w:spacing w:val="-15"/>
          <w:w w:val="115"/>
        </w:rPr>
        <w:t> </w:t>
      </w:r>
      <w:r>
        <w:rPr>
          <w:w w:val="115"/>
        </w:rPr>
        <w:t>ese</w:t>
      </w:r>
      <w:r>
        <w:rPr>
          <w:spacing w:val="-15"/>
          <w:w w:val="115"/>
        </w:rPr>
        <w:t> </w:t>
      </w:r>
      <w:r>
        <w:rPr>
          <w:w w:val="115"/>
        </w:rPr>
        <w:t>año.</w:t>
      </w:r>
      <w:r>
        <w:rPr>
          <w:spacing w:val="-15"/>
          <w:w w:val="115"/>
        </w:rPr>
        <w:t> </w:t>
      </w:r>
      <w:r>
        <w:rPr>
          <w:w w:val="115"/>
        </w:rPr>
        <w:t>allí</w:t>
      </w:r>
      <w:r>
        <w:rPr>
          <w:spacing w:val="-15"/>
          <w:w w:val="115"/>
        </w:rPr>
        <w:t> </w:t>
      </w:r>
      <w:r>
        <w:rPr>
          <w:w w:val="115"/>
        </w:rPr>
        <w:t>se</w:t>
      </w:r>
      <w:r>
        <w:rPr>
          <w:spacing w:val="-15"/>
          <w:w w:val="115"/>
        </w:rPr>
        <w:t> </w:t>
      </w:r>
      <w:r>
        <w:rPr>
          <w:w w:val="115"/>
        </w:rPr>
        <w:t>estableció, además,</w:t>
      </w:r>
      <w:r>
        <w:rPr>
          <w:spacing w:val="-19"/>
          <w:w w:val="115"/>
        </w:rPr>
        <w:t> </w:t>
      </w:r>
      <w:r>
        <w:rPr>
          <w:w w:val="115"/>
        </w:rPr>
        <w:t>un</w:t>
      </w:r>
      <w:r>
        <w:rPr>
          <w:spacing w:val="-19"/>
          <w:w w:val="115"/>
        </w:rPr>
        <w:t> </w:t>
      </w:r>
      <w:r>
        <w:rPr>
          <w:w w:val="115"/>
        </w:rPr>
        <w:t>plan</w:t>
      </w:r>
      <w:r>
        <w:rPr>
          <w:spacing w:val="-19"/>
          <w:w w:val="115"/>
        </w:rPr>
        <w:t> </w:t>
      </w:r>
      <w:r>
        <w:rPr>
          <w:w w:val="115"/>
        </w:rPr>
        <w:t>de</w:t>
      </w:r>
      <w:r>
        <w:rPr>
          <w:spacing w:val="-19"/>
          <w:w w:val="115"/>
        </w:rPr>
        <w:t> </w:t>
      </w:r>
      <w:r>
        <w:rPr>
          <w:w w:val="115"/>
        </w:rPr>
        <w:t>acción</w:t>
      </w:r>
      <w:r>
        <w:rPr>
          <w:spacing w:val="-19"/>
          <w:w w:val="115"/>
        </w:rPr>
        <w:t> </w:t>
      </w:r>
      <w:r>
        <w:rPr>
          <w:w w:val="115"/>
        </w:rPr>
        <w:t>para</w:t>
      </w:r>
      <w:r>
        <w:rPr>
          <w:spacing w:val="-19"/>
          <w:w w:val="115"/>
        </w:rPr>
        <w:t> </w:t>
      </w:r>
      <w:r>
        <w:rPr>
          <w:w w:val="115"/>
        </w:rPr>
        <w:t>lograr</w:t>
      </w:r>
      <w:r>
        <w:rPr>
          <w:spacing w:val="-19"/>
          <w:w w:val="115"/>
        </w:rPr>
        <w:t> </w:t>
      </w:r>
      <w:r>
        <w:rPr>
          <w:w w:val="115"/>
        </w:rPr>
        <w:t>los</w:t>
      </w:r>
      <w:r>
        <w:rPr>
          <w:spacing w:val="-19"/>
          <w:w w:val="115"/>
        </w:rPr>
        <w:t> </w:t>
      </w:r>
      <w:r>
        <w:rPr>
          <w:w w:val="115"/>
        </w:rPr>
        <w:t>objetivos</w:t>
      </w:r>
      <w:r>
        <w:rPr>
          <w:spacing w:val="-19"/>
          <w:w w:val="115"/>
        </w:rPr>
        <w:t> </w:t>
      </w:r>
      <w:r>
        <w:rPr>
          <w:w w:val="115"/>
        </w:rPr>
        <w:t>planteados.</w:t>
      </w:r>
    </w:p>
    <w:p>
      <w:pPr>
        <w:pStyle w:val="BodyText"/>
        <w:spacing w:line="252" w:lineRule="auto"/>
        <w:ind w:left="330" w:right="117" w:firstLine="396"/>
        <w:jc w:val="both"/>
      </w:pPr>
      <w:r>
        <w:rPr>
          <w:w w:val="110"/>
        </w:rPr>
        <w:t>En la siguiente reunión, cuatro años más tarde, se iniciaron las negociaciones oficiales para establecer el </w:t>
      </w:r>
      <w:r>
        <w:rPr>
          <w:w w:val="125"/>
        </w:rPr>
        <w:t>alCa </w:t>
      </w:r>
      <w:r>
        <w:rPr>
          <w:w w:val="110"/>
        </w:rPr>
        <w:t>y se aprobó un plan</w:t>
      </w:r>
    </w:p>
    <w:p>
      <w:pPr>
        <w:pStyle w:val="BodyText"/>
        <w:rPr>
          <w:sz w:val="20"/>
        </w:rPr>
      </w:pPr>
    </w:p>
    <w:p>
      <w:pPr>
        <w:pStyle w:val="BodyText"/>
        <w:spacing w:before="9"/>
        <w:rPr>
          <w:sz w:val="25"/>
        </w:rPr>
      </w:pPr>
      <w:r>
        <w:rPr/>
        <w:pict>
          <v:line style="position:absolute;mso-position-horizontal-relative:page;mso-position-vertical-relative:paragraph;z-index:8032;mso-wrap-distance-left:0;mso-wrap-distance-right:0" from="76.5355pt,17.308998pt" to="104.8815pt,17.308998pt" stroked="true" strokeweight=".5pt" strokecolor="#000000">
            <w10:wrap type="topAndBottom"/>
          </v:line>
        </w:pict>
      </w:r>
    </w:p>
    <w:p>
      <w:pPr>
        <w:pStyle w:val="ListParagraph"/>
        <w:numPr>
          <w:ilvl w:val="0"/>
          <w:numId w:val="33"/>
        </w:numPr>
        <w:tabs>
          <w:tab w:pos="586" w:val="left" w:leader="none"/>
        </w:tabs>
        <w:spacing w:line="242" w:lineRule="auto" w:before="89" w:after="0"/>
        <w:ind w:left="330" w:right="118" w:firstLine="0"/>
        <w:jc w:val="both"/>
        <w:rPr>
          <w:sz w:val="16"/>
        </w:rPr>
      </w:pPr>
      <w:r>
        <w:rPr>
          <w:spacing w:val="-3"/>
          <w:w w:val="110"/>
          <w:sz w:val="16"/>
        </w:rPr>
        <w:t>Véase</w:t>
      </w:r>
      <w:r>
        <w:rPr>
          <w:spacing w:val="-11"/>
          <w:w w:val="110"/>
          <w:sz w:val="16"/>
        </w:rPr>
        <w:t> </w:t>
      </w:r>
      <w:r>
        <w:rPr>
          <w:w w:val="110"/>
          <w:sz w:val="16"/>
        </w:rPr>
        <w:t>la</w:t>
      </w:r>
      <w:r>
        <w:rPr>
          <w:spacing w:val="-11"/>
          <w:w w:val="110"/>
          <w:sz w:val="16"/>
        </w:rPr>
        <w:t> </w:t>
      </w:r>
      <w:r>
        <w:rPr>
          <w:w w:val="110"/>
          <w:sz w:val="16"/>
        </w:rPr>
        <w:t>página</w:t>
      </w:r>
      <w:r>
        <w:rPr>
          <w:spacing w:val="-11"/>
          <w:w w:val="110"/>
          <w:sz w:val="16"/>
        </w:rPr>
        <w:t> </w:t>
      </w:r>
      <w:r>
        <w:rPr>
          <w:w w:val="110"/>
          <w:sz w:val="16"/>
        </w:rPr>
        <w:t>web</w:t>
      </w:r>
      <w:r>
        <w:rPr>
          <w:spacing w:val="-11"/>
          <w:w w:val="110"/>
          <w:sz w:val="16"/>
        </w:rPr>
        <w:t> </w:t>
      </w:r>
      <w:r>
        <w:rPr>
          <w:w w:val="110"/>
          <w:sz w:val="16"/>
        </w:rPr>
        <w:t>oficial</w:t>
      </w:r>
      <w:r>
        <w:rPr>
          <w:spacing w:val="-11"/>
          <w:w w:val="110"/>
          <w:sz w:val="16"/>
        </w:rPr>
        <w:t> </w:t>
      </w:r>
      <w:r>
        <w:rPr>
          <w:w w:val="110"/>
          <w:sz w:val="16"/>
        </w:rPr>
        <w:t>de</w:t>
      </w:r>
      <w:r>
        <w:rPr>
          <w:spacing w:val="-11"/>
          <w:w w:val="110"/>
          <w:sz w:val="16"/>
        </w:rPr>
        <w:t> </w:t>
      </w:r>
      <w:r>
        <w:rPr>
          <w:w w:val="110"/>
          <w:sz w:val="16"/>
        </w:rPr>
        <w:t>la</w:t>
      </w:r>
      <w:r>
        <w:rPr>
          <w:spacing w:val="-11"/>
          <w:w w:val="110"/>
          <w:sz w:val="16"/>
        </w:rPr>
        <w:t> </w:t>
      </w:r>
      <w:r>
        <w:rPr>
          <w:w w:val="110"/>
          <w:sz w:val="16"/>
        </w:rPr>
        <w:t>i</w:t>
      </w:r>
      <w:r>
        <w:rPr>
          <w:spacing w:val="-11"/>
          <w:w w:val="110"/>
          <w:sz w:val="16"/>
        </w:rPr>
        <w:t> </w:t>
      </w:r>
      <w:r>
        <w:rPr>
          <w:w w:val="110"/>
          <w:sz w:val="16"/>
        </w:rPr>
        <w:t>Cumbre:</w:t>
      </w:r>
      <w:r>
        <w:rPr>
          <w:spacing w:val="-11"/>
          <w:w w:val="110"/>
          <w:sz w:val="16"/>
        </w:rPr>
        <w:t> </w:t>
      </w:r>
      <w:hyperlink r:id="rId504">
        <w:r>
          <w:rPr>
            <w:w w:val="110"/>
            <w:sz w:val="16"/>
          </w:rPr>
          <w:t>&lt;http://www.summit-americas.org/i_</w:t>
        </w:r>
      </w:hyperlink>
      <w:r>
        <w:rPr>
          <w:w w:val="110"/>
          <w:sz w:val="16"/>
        </w:rPr>
        <w:t> summit_sp.html&gt;. se aprobaron allí 59 mandatos vinculados a los 23 temas presen- tes en el</w:t>
      </w:r>
      <w:r>
        <w:rPr>
          <w:spacing w:val="-15"/>
          <w:w w:val="110"/>
          <w:sz w:val="16"/>
        </w:rPr>
        <w:t> </w:t>
      </w:r>
      <w:r>
        <w:rPr>
          <w:w w:val="110"/>
          <w:sz w:val="16"/>
        </w:rPr>
        <w:t>programa.</w:t>
      </w:r>
    </w:p>
    <w:p>
      <w:pPr>
        <w:pStyle w:val="ListParagraph"/>
        <w:numPr>
          <w:ilvl w:val="0"/>
          <w:numId w:val="33"/>
        </w:numPr>
        <w:tabs>
          <w:tab w:pos="586" w:val="left" w:leader="none"/>
        </w:tabs>
        <w:spacing w:line="242" w:lineRule="auto" w:before="57" w:after="0"/>
        <w:ind w:left="330" w:right="118" w:firstLine="0"/>
        <w:jc w:val="both"/>
        <w:rPr>
          <w:sz w:val="16"/>
        </w:rPr>
      </w:pPr>
      <w:r>
        <w:rPr>
          <w:w w:val="110"/>
          <w:sz w:val="16"/>
        </w:rPr>
        <w:t>declaración de Principios, en &lt;</w:t>
      </w:r>
      <w:hyperlink r:id="rId505">
        <w:r>
          <w:rPr>
            <w:w w:val="110"/>
            <w:sz w:val="16"/>
          </w:rPr>
          <w:t>http://www.summit-americas.org/i_summit/i_</w:t>
        </w:r>
      </w:hyperlink>
      <w:r>
        <w:rPr>
          <w:w w:val="110"/>
          <w:sz w:val="16"/>
        </w:rPr>
        <w:t> summit_dec_sp.pdf&gt;.</w:t>
      </w:r>
    </w:p>
    <w:p>
      <w:pPr>
        <w:spacing w:after="0" w:line="242" w:lineRule="auto"/>
        <w:jc w:val="both"/>
        <w:rPr>
          <w:sz w:val="16"/>
        </w:rPr>
        <w:sectPr>
          <w:pgSz w:w="8790" w:h="12760"/>
          <w:pgMar w:header="695" w:footer="725" w:top="880" w:bottom="920" w:left="1200" w:right="900"/>
        </w:sectPr>
      </w:pPr>
    </w:p>
    <w:p>
      <w:pPr>
        <w:pStyle w:val="BodyText"/>
        <w:spacing w:before="8"/>
        <w:rPr>
          <w:sz w:val="28"/>
        </w:rPr>
      </w:pPr>
    </w:p>
    <w:p>
      <w:pPr>
        <w:pStyle w:val="BodyText"/>
        <w:spacing w:line="252" w:lineRule="auto" w:before="74"/>
        <w:ind w:left="120" w:right="327"/>
        <w:jc w:val="both"/>
      </w:pPr>
      <w:r>
        <w:rPr>
          <w:w w:val="115"/>
        </w:rPr>
        <w:t>con</w:t>
      </w:r>
      <w:r>
        <w:rPr>
          <w:spacing w:val="-23"/>
          <w:w w:val="115"/>
        </w:rPr>
        <w:t> </w:t>
      </w:r>
      <w:r>
        <w:rPr>
          <w:w w:val="115"/>
        </w:rPr>
        <w:t>27</w:t>
      </w:r>
      <w:r>
        <w:rPr>
          <w:spacing w:val="-23"/>
          <w:w w:val="115"/>
        </w:rPr>
        <w:t> </w:t>
      </w:r>
      <w:r>
        <w:rPr>
          <w:w w:val="115"/>
        </w:rPr>
        <w:t>iniciativas</w:t>
      </w:r>
      <w:r>
        <w:rPr>
          <w:spacing w:val="-23"/>
          <w:w w:val="115"/>
        </w:rPr>
        <w:t> </w:t>
      </w:r>
      <w:r>
        <w:rPr>
          <w:w w:val="115"/>
        </w:rPr>
        <w:t>vinculadas</w:t>
      </w:r>
      <w:r>
        <w:rPr>
          <w:spacing w:val="-23"/>
          <w:w w:val="115"/>
        </w:rPr>
        <w:t> </w:t>
      </w:r>
      <w:r>
        <w:rPr>
          <w:w w:val="115"/>
        </w:rPr>
        <w:t>mayormente</w:t>
      </w:r>
      <w:r>
        <w:rPr>
          <w:spacing w:val="-23"/>
          <w:w w:val="115"/>
        </w:rPr>
        <w:t> </w:t>
      </w:r>
      <w:r>
        <w:rPr>
          <w:w w:val="115"/>
        </w:rPr>
        <w:t>al</w:t>
      </w:r>
      <w:r>
        <w:rPr>
          <w:spacing w:val="-23"/>
          <w:w w:val="115"/>
        </w:rPr>
        <w:t> </w:t>
      </w:r>
      <w:r>
        <w:rPr>
          <w:w w:val="115"/>
        </w:rPr>
        <w:t>ámbito</w:t>
      </w:r>
      <w:r>
        <w:rPr>
          <w:spacing w:val="-23"/>
          <w:w w:val="115"/>
        </w:rPr>
        <w:t> </w:t>
      </w:r>
      <w:r>
        <w:rPr>
          <w:w w:val="115"/>
        </w:rPr>
        <w:t>de</w:t>
      </w:r>
      <w:r>
        <w:rPr>
          <w:spacing w:val="-23"/>
          <w:w w:val="115"/>
        </w:rPr>
        <w:t> </w:t>
      </w:r>
      <w:r>
        <w:rPr>
          <w:w w:val="115"/>
        </w:rPr>
        <w:t>la</w:t>
      </w:r>
      <w:r>
        <w:rPr>
          <w:spacing w:val="-23"/>
          <w:w w:val="115"/>
        </w:rPr>
        <w:t> </w:t>
      </w:r>
      <w:r>
        <w:rPr>
          <w:w w:val="115"/>
        </w:rPr>
        <w:t>educación</w:t>
      </w:r>
      <w:r>
        <w:rPr>
          <w:w w:val="115"/>
          <w:position w:val="6"/>
          <w:sz w:val="11"/>
        </w:rPr>
        <w:t>8</w:t>
      </w:r>
      <w:r>
        <w:rPr>
          <w:w w:val="115"/>
        </w:rPr>
        <w:t>. En</w:t>
      </w:r>
      <w:r>
        <w:rPr>
          <w:spacing w:val="-8"/>
          <w:w w:val="115"/>
        </w:rPr>
        <w:t> </w:t>
      </w:r>
      <w:r>
        <w:rPr>
          <w:w w:val="115"/>
        </w:rPr>
        <w:t>la</w:t>
      </w:r>
      <w:r>
        <w:rPr>
          <w:spacing w:val="-8"/>
          <w:w w:val="115"/>
        </w:rPr>
        <w:t> </w:t>
      </w:r>
      <w:r>
        <w:rPr>
          <w:w w:val="115"/>
        </w:rPr>
        <w:t>declaración</w:t>
      </w:r>
      <w:r>
        <w:rPr>
          <w:spacing w:val="-8"/>
          <w:w w:val="115"/>
        </w:rPr>
        <w:t> </w:t>
      </w:r>
      <w:r>
        <w:rPr>
          <w:w w:val="115"/>
        </w:rPr>
        <w:t>de</w:t>
      </w:r>
      <w:r>
        <w:rPr>
          <w:spacing w:val="-8"/>
          <w:w w:val="115"/>
        </w:rPr>
        <w:t> </w:t>
      </w:r>
      <w:r>
        <w:rPr>
          <w:w w:val="115"/>
        </w:rPr>
        <w:t>Principios,</w:t>
      </w:r>
      <w:r>
        <w:rPr>
          <w:spacing w:val="-8"/>
          <w:w w:val="115"/>
        </w:rPr>
        <w:t> </w:t>
      </w:r>
      <w:r>
        <w:rPr>
          <w:w w:val="115"/>
        </w:rPr>
        <w:t>votada</w:t>
      </w:r>
      <w:r>
        <w:rPr>
          <w:spacing w:val="-8"/>
          <w:w w:val="115"/>
        </w:rPr>
        <w:t> </w:t>
      </w:r>
      <w:r>
        <w:rPr>
          <w:w w:val="115"/>
        </w:rPr>
        <w:t>el</w:t>
      </w:r>
      <w:r>
        <w:rPr>
          <w:spacing w:val="-8"/>
          <w:w w:val="115"/>
        </w:rPr>
        <w:t> </w:t>
      </w:r>
      <w:r>
        <w:rPr>
          <w:w w:val="115"/>
        </w:rPr>
        <w:t>19</w:t>
      </w:r>
      <w:r>
        <w:rPr>
          <w:spacing w:val="-8"/>
          <w:w w:val="115"/>
        </w:rPr>
        <w:t> </w:t>
      </w:r>
      <w:r>
        <w:rPr>
          <w:w w:val="115"/>
        </w:rPr>
        <w:t>de</w:t>
      </w:r>
      <w:r>
        <w:rPr>
          <w:spacing w:val="-8"/>
          <w:w w:val="115"/>
        </w:rPr>
        <w:t> </w:t>
      </w:r>
      <w:r>
        <w:rPr>
          <w:w w:val="115"/>
        </w:rPr>
        <w:t>abril</w:t>
      </w:r>
      <w:r>
        <w:rPr>
          <w:spacing w:val="-8"/>
          <w:w w:val="115"/>
        </w:rPr>
        <w:t> </w:t>
      </w:r>
      <w:r>
        <w:rPr>
          <w:w w:val="115"/>
        </w:rPr>
        <w:t>de</w:t>
      </w:r>
      <w:r>
        <w:rPr>
          <w:spacing w:val="-8"/>
          <w:w w:val="115"/>
        </w:rPr>
        <w:t> </w:t>
      </w:r>
      <w:r>
        <w:rPr>
          <w:w w:val="115"/>
        </w:rPr>
        <w:t>1998,</w:t>
      </w:r>
      <w:r>
        <w:rPr>
          <w:spacing w:val="-8"/>
          <w:w w:val="115"/>
        </w:rPr>
        <w:t> </w:t>
      </w:r>
      <w:r>
        <w:rPr>
          <w:w w:val="115"/>
        </w:rPr>
        <w:t>volvía a</w:t>
      </w:r>
      <w:r>
        <w:rPr>
          <w:spacing w:val="-13"/>
          <w:w w:val="115"/>
        </w:rPr>
        <w:t> </w:t>
      </w:r>
      <w:r>
        <w:rPr>
          <w:w w:val="115"/>
        </w:rPr>
        <w:t>reafirmarse</w:t>
      </w:r>
      <w:r>
        <w:rPr>
          <w:spacing w:val="-13"/>
          <w:w w:val="115"/>
        </w:rPr>
        <w:t> </w:t>
      </w:r>
      <w:r>
        <w:rPr>
          <w:w w:val="115"/>
        </w:rPr>
        <w:t>la</w:t>
      </w:r>
      <w:r>
        <w:rPr>
          <w:spacing w:val="-13"/>
          <w:w w:val="115"/>
        </w:rPr>
        <w:t> </w:t>
      </w:r>
      <w:r>
        <w:rPr>
          <w:w w:val="115"/>
        </w:rPr>
        <w:t>impronta</w:t>
      </w:r>
      <w:r>
        <w:rPr>
          <w:spacing w:val="-13"/>
          <w:w w:val="115"/>
        </w:rPr>
        <w:t> </w:t>
      </w:r>
      <w:r>
        <w:rPr>
          <w:w w:val="115"/>
        </w:rPr>
        <w:t>neoliberal</w:t>
      </w:r>
      <w:r>
        <w:rPr>
          <w:spacing w:val="-13"/>
          <w:w w:val="115"/>
        </w:rPr>
        <w:t> </w:t>
      </w:r>
      <w:r>
        <w:rPr>
          <w:w w:val="115"/>
        </w:rPr>
        <w:t>y</w:t>
      </w:r>
      <w:r>
        <w:rPr>
          <w:spacing w:val="-13"/>
          <w:w w:val="115"/>
        </w:rPr>
        <w:t> </w:t>
      </w:r>
      <w:r>
        <w:rPr>
          <w:w w:val="115"/>
        </w:rPr>
        <w:t>a</w:t>
      </w:r>
      <w:r>
        <w:rPr>
          <w:spacing w:val="-13"/>
          <w:w w:val="115"/>
        </w:rPr>
        <w:t> </w:t>
      </w:r>
      <w:r>
        <w:rPr>
          <w:w w:val="115"/>
        </w:rPr>
        <w:t>favor</w:t>
      </w:r>
      <w:r>
        <w:rPr>
          <w:spacing w:val="-13"/>
          <w:w w:val="115"/>
        </w:rPr>
        <w:t> </w:t>
      </w:r>
      <w:r>
        <w:rPr>
          <w:w w:val="115"/>
        </w:rPr>
        <w:t>de</w:t>
      </w:r>
      <w:r>
        <w:rPr>
          <w:spacing w:val="-13"/>
          <w:w w:val="115"/>
        </w:rPr>
        <w:t> </w:t>
      </w:r>
      <w:r>
        <w:rPr>
          <w:w w:val="115"/>
        </w:rPr>
        <w:t>la</w:t>
      </w:r>
      <w:r>
        <w:rPr>
          <w:spacing w:val="-13"/>
          <w:w w:val="115"/>
        </w:rPr>
        <w:t> </w:t>
      </w:r>
      <w:r>
        <w:rPr>
          <w:w w:val="115"/>
        </w:rPr>
        <w:t>liberalización</w:t>
      </w:r>
      <w:r>
        <w:rPr>
          <w:spacing w:val="-13"/>
          <w:w w:val="115"/>
        </w:rPr>
        <w:t> </w:t>
      </w:r>
      <w:r>
        <w:rPr>
          <w:w w:val="115"/>
        </w:rPr>
        <w:t>del comercio. se estableció el “Grupo de revisión de la implementación de Cumbres” (GriC), dependiente de los Ministros de relaciones</w:t>
      </w:r>
      <w:r>
        <w:rPr>
          <w:spacing w:val="-13"/>
          <w:w w:val="115"/>
        </w:rPr>
        <w:t> </w:t>
      </w:r>
      <w:r>
        <w:rPr>
          <w:w w:val="115"/>
        </w:rPr>
        <w:t>Ex- teriores,</w:t>
      </w:r>
      <w:r>
        <w:rPr>
          <w:spacing w:val="-17"/>
          <w:w w:val="115"/>
        </w:rPr>
        <w:t> </w:t>
      </w:r>
      <w:r>
        <w:rPr>
          <w:w w:val="115"/>
        </w:rPr>
        <w:t>que</w:t>
      </w:r>
      <w:r>
        <w:rPr>
          <w:spacing w:val="-17"/>
          <w:w w:val="115"/>
        </w:rPr>
        <w:t> </w:t>
      </w:r>
      <w:r>
        <w:rPr>
          <w:w w:val="115"/>
        </w:rPr>
        <w:t>se</w:t>
      </w:r>
      <w:r>
        <w:rPr>
          <w:spacing w:val="-17"/>
          <w:w w:val="115"/>
        </w:rPr>
        <w:t> </w:t>
      </w:r>
      <w:r>
        <w:rPr>
          <w:w w:val="115"/>
        </w:rPr>
        <w:t>reuniría</w:t>
      </w:r>
      <w:r>
        <w:rPr>
          <w:spacing w:val="-17"/>
          <w:w w:val="115"/>
        </w:rPr>
        <w:t> </w:t>
      </w:r>
      <w:r>
        <w:rPr>
          <w:w w:val="115"/>
        </w:rPr>
        <w:t>dos</w:t>
      </w:r>
      <w:r>
        <w:rPr>
          <w:spacing w:val="-17"/>
          <w:w w:val="115"/>
        </w:rPr>
        <w:t> </w:t>
      </w:r>
      <w:r>
        <w:rPr>
          <w:w w:val="115"/>
        </w:rPr>
        <w:t>o</w:t>
      </w:r>
      <w:r>
        <w:rPr>
          <w:spacing w:val="-17"/>
          <w:w w:val="115"/>
        </w:rPr>
        <w:t> </w:t>
      </w:r>
      <w:r>
        <w:rPr>
          <w:w w:val="115"/>
        </w:rPr>
        <w:t>tres</w:t>
      </w:r>
      <w:r>
        <w:rPr>
          <w:spacing w:val="-17"/>
          <w:w w:val="115"/>
        </w:rPr>
        <w:t> </w:t>
      </w:r>
      <w:r>
        <w:rPr>
          <w:w w:val="115"/>
        </w:rPr>
        <w:t>veces</w:t>
      </w:r>
      <w:r>
        <w:rPr>
          <w:spacing w:val="-17"/>
          <w:w w:val="115"/>
        </w:rPr>
        <w:t> </w:t>
      </w:r>
      <w:r>
        <w:rPr>
          <w:w w:val="115"/>
        </w:rPr>
        <w:t>por</w:t>
      </w:r>
      <w:r>
        <w:rPr>
          <w:spacing w:val="-17"/>
          <w:w w:val="115"/>
        </w:rPr>
        <w:t> </w:t>
      </w:r>
      <w:r>
        <w:rPr>
          <w:w w:val="115"/>
        </w:rPr>
        <w:t>año,</w:t>
      </w:r>
      <w:r>
        <w:rPr>
          <w:spacing w:val="-17"/>
          <w:w w:val="115"/>
        </w:rPr>
        <w:t> </w:t>
      </w:r>
      <w:r>
        <w:rPr>
          <w:w w:val="115"/>
        </w:rPr>
        <w:t>para</w:t>
      </w:r>
      <w:r>
        <w:rPr>
          <w:spacing w:val="-17"/>
          <w:w w:val="115"/>
        </w:rPr>
        <w:t> </w:t>
      </w:r>
      <w:r>
        <w:rPr>
          <w:w w:val="115"/>
        </w:rPr>
        <w:t>darle</w:t>
      </w:r>
      <w:r>
        <w:rPr>
          <w:spacing w:val="-17"/>
          <w:w w:val="115"/>
        </w:rPr>
        <w:t> </w:t>
      </w:r>
      <w:r>
        <w:rPr>
          <w:w w:val="115"/>
        </w:rPr>
        <w:t>dinamis- mo al</w:t>
      </w:r>
      <w:r>
        <w:rPr>
          <w:spacing w:val="-31"/>
          <w:w w:val="115"/>
        </w:rPr>
        <w:t> </w:t>
      </w:r>
      <w:r>
        <w:rPr>
          <w:w w:val="115"/>
        </w:rPr>
        <w:t>proceso.</w:t>
      </w:r>
    </w:p>
    <w:p>
      <w:pPr>
        <w:pStyle w:val="BodyText"/>
        <w:spacing w:line="252" w:lineRule="auto"/>
        <w:ind w:left="120" w:right="327" w:firstLine="396"/>
        <w:jc w:val="both"/>
      </w:pPr>
      <w:r>
        <w:rPr>
          <w:w w:val="110"/>
        </w:rPr>
        <w:t>Pocos meses más tarde, el 6 de diciembre, Hugo Chávez resultaba electo presidente de Venezuela con el 56% de los votos. Este aconte- cimiento político marcaría el inicio del cambio en la correlación de fuerzas en el continente, y un obstáculo para los planes estadouniden- ses de cumplir el objetivo trazado en santiago de Chile: que el </w:t>
      </w:r>
      <w:r>
        <w:rPr>
          <w:w w:val="125"/>
        </w:rPr>
        <w:t>alCa </w:t>
      </w:r>
      <w:r>
        <w:rPr>
          <w:w w:val="110"/>
        </w:rPr>
        <w:t>entrara en vigencia en el año 2005.</w:t>
      </w:r>
    </w:p>
    <w:p>
      <w:pPr>
        <w:pStyle w:val="BodyText"/>
        <w:spacing w:before="5"/>
      </w:pPr>
    </w:p>
    <w:p>
      <w:pPr>
        <w:pStyle w:val="Heading6"/>
        <w:spacing w:line="244" w:lineRule="auto"/>
        <w:ind w:left="121" w:right="1553" w:hanging="1"/>
        <w:jc w:val="left"/>
      </w:pPr>
      <w:r>
        <w:rPr>
          <w:spacing w:val="3"/>
          <w:w w:val="135"/>
        </w:rPr>
        <w:t>la</w:t>
      </w:r>
      <w:r>
        <w:rPr>
          <w:spacing w:val="-28"/>
          <w:w w:val="135"/>
        </w:rPr>
        <w:t> </w:t>
      </w:r>
      <w:r>
        <w:rPr>
          <w:spacing w:val="2"/>
          <w:w w:val="135"/>
        </w:rPr>
        <w:t>PrePotencia</w:t>
      </w:r>
      <w:r>
        <w:rPr>
          <w:spacing w:val="-28"/>
          <w:w w:val="135"/>
        </w:rPr>
        <w:t> </w:t>
      </w:r>
      <w:r>
        <w:rPr>
          <w:w w:val="135"/>
        </w:rPr>
        <w:t>de</w:t>
      </w:r>
      <w:r>
        <w:rPr>
          <w:spacing w:val="-28"/>
          <w:w w:val="135"/>
        </w:rPr>
        <w:t> </w:t>
      </w:r>
      <w:r>
        <w:rPr>
          <w:w w:val="135"/>
        </w:rPr>
        <w:t>BusH</w:t>
      </w:r>
      <w:r>
        <w:rPr>
          <w:spacing w:val="-28"/>
          <w:w w:val="135"/>
        </w:rPr>
        <w:t> </w:t>
      </w:r>
      <w:r>
        <w:rPr>
          <w:w w:val="135"/>
        </w:rPr>
        <w:t>y</w:t>
      </w:r>
      <w:r>
        <w:rPr>
          <w:spacing w:val="-28"/>
          <w:w w:val="135"/>
        </w:rPr>
        <w:t> </w:t>
      </w:r>
      <w:r>
        <w:rPr>
          <w:spacing w:val="3"/>
          <w:w w:val="135"/>
        </w:rPr>
        <w:t>la</w:t>
      </w:r>
      <w:r>
        <w:rPr>
          <w:spacing w:val="-28"/>
          <w:w w:val="135"/>
        </w:rPr>
        <w:t> </w:t>
      </w:r>
      <w:r>
        <w:rPr>
          <w:w w:val="135"/>
        </w:rPr>
        <w:t>derrota</w:t>
      </w:r>
      <w:r>
        <w:rPr>
          <w:spacing w:val="-28"/>
          <w:w w:val="135"/>
        </w:rPr>
        <w:t> </w:t>
      </w:r>
      <w:r>
        <w:rPr>
          <w:w w:val="140"/>
        </w:rPr>
        <w:t>del</w:t>
      </w:r>
      <w:r>
        <w:rPr>
          <w:spacing w:val="-31"/>
          <w:w w:val="140"/>
        </w:rPr>
        <w:t> </w:t>
      </w:r>
      <w:r>
        <w:rPr>
          <w:w w:val="135"/>
        </w:rPr>
        <w:t>alca: </w:t>
      </w:r>
      <w:r>
        <w:rPr>
          <w:spacing w:val="2"/>
          <w:w w:val="131"/>
        </w:rPr>
        <w:t>d</w:t>
      </w:r>
      <w:r>
        <w:rPr>
          <w:w w:val="134"/>
        </w:rPr>
        <w:t>e</w:t>
      </w:r>
      <w:r>
        <w:rPr>
          <w:spacing w:val="-8"/>
        </w:rPr>
        <w:t> </w:t>
      </w:r>
      <w:r>
        <w:rPr>
          <w:spacing w:val="2"/>
          <w:w w:val="130"/>
        </w:rPr>
        <w:t>q</w:t>
      </w:r>
      <w:r>
        <w:rPr>
          <w:spacing w:val="2"/>
          <w:w w:val="131"/>
        </w:rPr>
        <w:t>u</w:t>
      </w:r>
      <w:r>
        <w:rPr>
          <w:spacing w:val="3"/>
          <w:w w:val="134"/>
        </w:rPr>
        <w:t>é</w:t>
      </w:r>
      <w:r>
        <w:rPr>
          <w:spacing w:val="1"/>
          <w:w w:val="96"/>
        </w:rPr>
        <w:t>B</w:t>
      </w:r>
      <w:r>
        <w:rPr>
          <w:spacing w:val="3"/>
          <w:w w:val="134"/>
        </w:rPr>
        <w:t>e</w:t>
      </w:r>
      <w:r>
        <w:rPr>
          <w:w w:val="147"/>
        </w:rPr>
        <w:t>c</w:t>
      </w:r>
      <w:r>
        <w:rPr>
          <w:spacing w:val="-8"/>
        </w:rPr>
        <w:t> </w:t>
      </w:r>
      <w:r>
        <w:rPr>
          <w:w w:val="129"/>
        </w:rPr>
        <w:t>a</w:t>
      </w:r>
      <w:r>
        <w:rPr>
          <w:spacing w:val="-8"/>
        </w:rPr>
        <w:t> </w:t>
      </w:r>
      <w:r>
        <w:rPr>
          <w:spacing w:val="2"/>
          <w:w w:val="92"/>
        </w:rPr>
        <w:t>M</w:t>
      </w:r>
      <w:r>
        <w:rPr>
          <w:spacing w:val="2"/>
          <w:w w:val="129"/>
        </w:rPr>
        <w:t>a</w:t>
      </w:r>
      <w:r>
        <w:rPr>
          <w:w w:val="145"/>
        </w:rPr>
        <w:t>r</w:t>
      </w:r>
      <w:r>
        <w:rPr>
          <w:spacing w:val="-8"/>
        </w:rPr>
        <w:t> </w:t>
      </w:r>
      <w:r>
        <w:rPr>
          <w:spacing w:val="2"/>
          <w:w w:val="131"/>
        </w:rPr>
        <w:t>d</w:t>
      </w:r>
      <w:r>
        <w:rPr>
          <w:spacing w:val="3"/>
          <w:w w:val="134"/>
        </w:rPr>
        <w:t>e</w:t>
      </w:r>
      <w:r>
        <w:rPr>
          <w:w w:val="201"/>
        </w:rPr>
        <w:t>l</w:t>
      </w:r>
      <w:r>
        <w:rPr>
          <w:spacing w:val="-8"/>
        </w:rPr>
        <w:t> </w:t>
      </w:r>
      <w:r>
        <w:rPr>
          <w:spacing w:val="2"/>
          <w:w w:val="99"/>
        </w:rPr>
        <w:t>P</w:t>
      </w:r>
      <w:r>
        <w:rPr>
          <w:spacing w:val="7"/>
          <w:w w:val="201"/>
        </w:rPr>
        <w:t>l</w:t>
      </w:r>
      <w:r>
        <w:rPr>
          <w:spacing w:val="-10"/>
          <w:w w:val="129"/>
        </w:rPr>
        <w:t>a</w:t>
      </w:r>
      <w:r>
        <w:rPr>
          <w:spacing w:val="-10"/>
          <w:w w:val="180"/>
        </w:rPr>
        <w:t>t</w:t>
      </w:r>
      <w:r>
        <w:rPr>
          <w:w w:val="129"/>
        </w:rPr>
        <w:t>a</w:t>
      </w:r>
    </w:p>
    <w:p>
      <w:pPr>
        <w:pStyle w:val="BodyText"/>
        <w:spacing w:line="252" w:lineRule="auto" w:before="5"/>
        <w:ind w:left="120" w:right="327"/>
        <w:jc w:val="both"/>
      </w:pPr>
      <w:r>
        <w:rPr>
          <w:w w:val="243"/>
        </w:rPr>
        <w:t>l</w:t>
      </w:r>
      <w:r>
        <w:rPr>
          <w:w w:val="109"/>
        </w:rPr>
        <w:t>uego</w:t>
      </w:r>
      <w:r>
        <w:rPr/>
        <w:t> </w:t>
      </w:r>
      <w:r>
        <w:rPr>
          <w:spacing w:val="4"/>
        </w:rPr>
        <w:t> </w:t>
      </w:r>
      <w:r>
        <w:rPr>
          <w:w w:val="107"/>
        </w:rPr>
        <w:t>de</w:t>
      </w:r>
      <w:r>
        <w:rPr/>
        <w:t> </w:t>
      </w:r>
      <w:r>
        <w:rPr>
          <w:spacing w:val="4"/>
        </w:rPr>
        <w:t> </w:t>
      </w:r>
      <w:r>
        <w:rPr>
          <w:w w:val="109"/>
        </w:rPr>
        <w:t>las</w:t>
      </w:r>
      <w:r>
        <w:rPr/>
        <w:t> </w:t>
      </w:r>
      <w:r>
        <w:rPr>
          <w:spacing w:val="4"/>
        </w:rPr>
        <w:t> </w:t>
      </w:r>
      <w:r>
        <w:rPr>
          <w:w w:val="110"/>
        </w:rPr>
        <w:t>polémicas</w:t>
      </w:r>
      <w:r>
        <w:rPr/>
        <w:t> </w:t>
      </w:r>
      <w:r>
        <w:rPr>
          <w:spacing w:val="4"/>
        </w:rPr>
        <w:t> </w:t>
      </w:r>
      <w:r>
        <w:rPr>
          <w:w w:val="109"/>
        </w:rPr>
        <w:t>elecciones</w:t>
      </w:r>
      <w:r>
        <w:rPr/>
        <w:t> </w:t>
      </w:r>
      <w:r>
        <w:rPr>
          <w:spacing w:val="4"/>
        </w:rPr>
        <w:t> </w:t>
      </w:r>
      <w:r>
        <w:rPr>
          <w:w w:val="108"/>
        </w:rPr>
        <w:t>definidas</w:t>
      </w:r>
      <w:r>
        <w:rPr/>
        <w:t> </w:t>
      </w:r>
      <w:r>
        <w:rPr>
          <w:spacing w:val="4"/>
        </w:rPr>
        <w:t> </w:t>
      </w:r>
      <w:r>
        <w:rPr>
          <w:w w:val="108"/>
        </w:rPr>
        <w:t>por</w:t>
      </w:r>
      <w:r>
        <w:rPr/>
        <w:t> </w:t>
      </w:r>
      <w:r>
        <w:rPr>
          <w:spacing w:val="4"/>
        </w:rPr>
        <w:t> </w:t>
      </w:r>
      <w:r>
        <w:rPr>
          <w:w w:val="111"/>
        </w:rPr>
        <w:t>la</w:t>
      </w:r>
      <w:r>
        <w:rPr/>
        <w:t> </w:t>
      </w:r>
      <w:r>
        <w:rPr>
          <w:spacing w:val="4"/>
        </w:rPr>
        <w:t> </w:t>
      </w:r>
      <w:r>
        <w:rPr>
          <w:w w:val="111"/>
        </w:rPr>
        <w:t>Corte</w:t>
      </w:r>
      <w:r>
        <w:rPr/>
        <w:t> </w:t>
      </w:r>
      <w:r>
        <w:rPr>
          <w:spacing w:val="4"/>
        </w:rPr>
        <w:t> </w:t>
      </w:r>
      <w:r>
        <w:rPr>
          <w:w w:val="149"/>
        </w:rPr>
        <w:t>s</w:t>
      </w:r>
      <w:r>
        <w:rPr>
          <w:w w:val="110"/>
        </w:rPr>
        <w:t>uprema </w:t>
      </w:r>
      <w:r>
        <w:rPr>
          <w:w w:val="109"/>
        </w:rPr>
        <w:t>ante</w:t>
      </w:r>
      <w:r>
        <w:rPr>
          <w:spacing w:val="15"/>
        </w:rPr>
        <w:t> </w:t>
      </w:r>
      <w:r>
        <w:rPr>
          <w:w w:val="108"/>
        </w:rPr>
        <w:t>gruesas</w:t>
      </w:r>
      <w:r>
        <w:rPr>
          <w:spacing w:val="15"/>
        </w:rPr>
        <w:t> </w:t>
      </w:r>
      <w:r>
        <w:rPr>
          <w:w w:val="109"/>
        </w:rPr>
        <w:t>irregularidades</w:t>
      </w:r>
      <w:r>
        <w:rPr>
          <w:spacing w:val="15"/>
        </w:rPr>
        <w:t> </w:t>
      </w:r>
      <w:r>
        <w:rPr>
          <w:w w:val="108"/>
        </w:rPr>
        <w:t>en</w:t>
      </w:r>
      <w:r>
        <w:rPr>
          <w:spacing w:val="15"/>
        </w:rPr>
        <w:t> </w:t>
      </w:r>
      <w:r>
        <w:rPr>
          <w:w w:val="243"/>
        </w:rPr>
        <w:t>l</w:t>
      </w:r>
      <w:r>
        <w:rPr>
          <w:w w:val="112"/>
        </w:rPr>
        <w:t>a</w:t>
      </w:r>
      <w:r>
        <w:rPr>
          <w:spacing w:val="15"/>
        </w:rPr>
        <w:t> </w:t>
      </w:r>
      <w:r>
        <w:rPr>
          <w:w w:val="113"/>
        </w:rPr>
        <w:t>Florida,</w:t>
      </w:r>
      <w:r>
        <w:rPr>
          <w:spacing w:val="15"/>
        </w:rPr>
        <w:t> </w:t>
      </w:r>
      <w:r>
        <w:rPr>
          <w:w w:val="108"/>
        </w:rPr>
        <w:t>en</w:t>
      </w:r>
      <w:r>
        <w:rPr>
          <w:spacing w:val="15"/>
        </w:rPr>
        <w:t> </w:t>
      </w:r>
      <w:r>
        <w:rPr>
          <w:w w:val="107"/>
        </w:rPr>
        <w:t>enero</w:t>
      </w:r>
      <w:r>
        <w:rPr>
          <w:spacing w:val="15"/>
        </w:rPr>
        <w:t> </w:t>
      </w:r>
      <w:r>
        <w:rPr>
          <w:w w:val="107"/>
        </w:rPr>
        <w:t>de</w:t>
      </w:r>
      <w:r>
        <w:rPr>
          <w:spacing w:val="15"/>
        </w:rPr>
        <w:t> </w:t>
      </w:r>
      <w:r>
        <w:rPr>
          <w:w w:val="102"/>
        </w:rPr>
        <w:t>2001</w:t>
      </w:r>
      <w:r>
        <w:rPr>
          <w:spacing w:val="15"/>
        </w:rPr>
        <w:t> </w:t>
      </w:r>
      <w:r>
        <w:rPr>
          <w:w w:val="110"/>
        </w:rPr>
        <w:t>asumie</w:t>
      </w:r>
      <w:r>
        <w:rPr>
          <w:w w:val="102"/>
        </w:rPr>
        <w:t>- </w:t>
      </w:r>
      <w:r>
        <w:rPr>
          <w:w w:val="109"/>
        </w:rPr>
        <w:t>ron</w:t>
      </w:r>
      <w:r>
        <w:rPr/>
        <w:t> </w:t>
      </w:r>
      <w:r>
        <w:rPr>
          <w:spacing w:val="-9"/>
        </w:rPr>
        <w:t> </w:t>
      </w:r>
      <w:r>
        <w:rPr>
          <w:w w:val="108"/>
        </w:rPr>
        <w:t>nuevamente</w:t>
      </w:r>
      <w:r>
        <w:rPr/>
        <w:t> </w:t>
      </w:r>
      <w:r>
        <w:rPr>
          <w:spacing w:val="-9"/>
        </w:rPr>
        <w:t> </w:t>
      </w:r>
      <w:r>
        <w:rPr>
          <w:w w:val="108"/>
        </w:rPr>
        <w:t>los</w:t>
      </w:r>
      <w:r>
        <w:rPr/>
        <w:t> </w:t>
      </w:r>
      <w:r>
        <w:rPr>
          <w:spacing w:val="-9"/>
        </w:rPr>
        <w:t> </w:t>
      </w:r>
      <w:r>
        <w:rPr>
          <w:w w:val="111"/>
        </w:rPr>
        <w:t>republicanos.</w:t>
      </w:r>
      <w:r>
        <w:rPr/>
        <w:t> </w:t>
      </w:r>
      <w:r>
        <w:rPr>
          <w:spacing w:val="-9"/>
        </w:rPr>
        <w:t> </w:t>
      </w:r>
      <w:r>
        <w:rPr>
          <w:w w:val="243"/>
        </w:rPr>
        <w:t>l</w:t>
      </w:r>
      <w:r>
        <w:rPr>
          <w:w w:val="112"/>
        </w:rPr>
        <w:t>a</w:t>
      </w:r>
      <w:r>
        <w:rPr/>
        <w:t> </w:t>
      </w:r>
      <w:r>
        <w:rPr>
          <w:spacing w:val="-9"/>
        </w:rPr>
        <w:t> </w:t>
      </w:r>
      <w:r>
        <w:rPr>
          <w:w w:val="110"/>
        </w:rPr>
        <w:t>llegada</w:t>
      </w:r>
      <w:r>
        <w:rPr/>
        <w:t> </w:t>
      </w:r>
      <w:r>
        <w:rPr>
          <w:spacing w:val="-9"/>
        </w:rPr>
        <w:t> </w:t>
      </w:r>
      <w:r>
        <w:rPr>
          <w:w w:val="107"/>
        </w:rPr>
        <w:t>de</w:t>
      </w:r>
      <w:r>
        <w:rPr/>
        <w:t> </w:t>
      </w:r>
      <w:r>
        <w:rPr>
          <w:spacing w:val="-9"/>
        </w:rPr>
        <w:t> </w:t>
      </w:r>
      <w:r>
        <w:rPr>
          <w:w w:val="111"/>
        </w:rPr>
        <w:t>George</w:t>
      </w:r>
      <w:r>
        <w:rPr/>
        <w:t> </w:t>
      </w:r>
      <w:r>
        <w:rPr>
          <w:spacing w:val="-9"/>
        </w:rPr>
        <w:t> </w:t>
      </w:r>
      <w:r>
        <w:rPr>
          <w:w w:val="134"/>
        </w:rPr>
        <w:t>b</w:t>
      </w:r>
      <w:r>
        <w:rPr>
          <w:w w:val="110"/>
        </w:rPr>
        <w:t>ush</w:t>
      </w:r>
      <w:r>
        <w:rPr/>
        <w:t> </w:t>
      </w:r>
      <w:r>
        <w:rPr>
          <w:spacing w:val="-9"/>
        </w:rPr>
        <w:t> </w:t>
      </w:r>
      <w:r>
        <w:rPr>
          <w:w w:val="108"/>
        </w:rPr>
        <w:t>(hijo) </w:t>
      </w:r>
      <w:r>
        <w:rPr>
          <w:w w:val="115"/>
        </w:rPr>
        <w:t>significó el regreso de la ofensiva neoconservadora. al inicio del si- glo </w:t>
      </w:r>
      <w:r>
        <w:rPr>
          <w:w w:val="150"/>
        </w:rPr>
        <w:t>xxi, </w:t>
      </w:r>
      <w:r>
        <w:rPr>
          <w:w w:val="115"/>
        </w:rPr>
        <w:t>el país del Norte, pese a ser la principal potencia mundial, se encontraba en una situación crítica y en una encrucijada. No iba a poder seguir financiando indefinidamente su déficit comercial</w:t>
      </w:r>
      <w:r>
        <w:rPr>
          <w:spacing w:val="-21"/>
          <w:w w:val="115"/>
        </w:rPr>
        <w:t> </w:t>
      </w:r>
      <w:r>
        <w:rPr>
          <w:w w:val="115"/>
        </w:rPr>
        <w:t>vía </w:t>
      </w:r>
      <w:r>
        <w:rPr>
          <w:w w:val="110"/>
        </w:rPr>
        <w:t>endeudamiento.</w:t>
      </w:r>
      <w:r>
        <w:rPr>
          <w:spacing w:val="18"/>
        </w:rPr>
        <w:t> </w:t>
      </w:r>
      <w:r>
        <w:rPr>
          <w:w w:val="243"/>
        </w:rPr>
        <w:t>l</w:t>
      </w:r>
      <w:r>
        <w:rPr>
          <w:w w:val="112"/>
        </w:rPr>
        <w:t>a</w:t>
      </w:r>
      <w:r>
        <w:rPr>
          <w:spacing w:val="18"/>
        </w:rPr>
        <w:t> </w:t>
      </w:r>
      <w:r>
        <w:rPr>
          <w:w w:val="111"/>
        </w:rPr>
        <w:t>balanza</w:t>
      </w:r>
      <w:r>
        <w:rPr>
          <w:spacing w:val="18"/>
        </w:rPr>
        <w:t> </w:t>
      </w:r>
      <w:r>
        <w:rPr>
          <w:w w:val="111"/>
        </w:rPr>
        <w:t>comercial</w:t>
      </w:r>
      <w:r>
        <w:rPr>
          <w:spacing w:val="18"/>
        </w:rPr>
        <w:t> </w:t>
      </w:r>
      <w:r>
        <w:rPr>
          <w:w w:val="107"/>
        </w:rPr>
        <w:t>de</w:t>
      </w:r>
      <w:r>
        <w:rPr>
          <w:spacing w:val="18"/>
        </w:rPr>
        <w:t> </w:t>
      </w:r>
      <w:r>
        <w:rPr>
          <w:w w:val="111"/>
        </w:rPr>
        <w:t>Estados</w:t>
      </w:r>
      <w:r>
        <w:rPr>
          <w:spacing w:val="18"/>
        </w:rPr>
        <w:t> </w:t>
      </w:r>
      <w:r>
        <w:rPr>
          <w:w w:val="140"/>
        </w:rPr>
        <w:t>u</w:t>
      </w:r>
      <w:r>
        <w:rPr>
          <w:w w:val="110"/>
        </w:rPr>
        <w:t>nidos</w:t>
      </w:r>
      <w:r>
        <w:rPr>
          <w:spacing w:val="18"/>
        </w:rPr>
        <w:t> </w:t>
      </w:r>
      <w:r>
        <w:rPr>
          <w:w w:val="108"/>
        </w:rPr>
        <w:t>venía</w:t>
      </w:r>
      <w:r>
        <w:rPr>
          <w:spacing w:val="18"/>
        </w:rPr>
        <w:t> </w:t>
      </w:r>
      <w:r>
        <w:rPr>
          <w:w w:val="106"/>
        </w:rPr>
        <w:t>det</w:t>
      </w:r>
      <w:r>
        <w:rPr>
          <w:spacing w:val="-1"/>
          <w:w w:val="106"/>
        </w:rPr>
        <w:t>e</w:t>
      </w:r>
      <w:r>
        <w:rPr>
          <w:w w:val="102"/>
        </w:rPr>
        <w:t>- </w:t>
      </w:r>
      <w:r>
        <w:rPr>
          <w:w w:val="115"/>
        </w:rPr>
        <w:t>riorándose</w:t>
      </w:r>
      <w:r>
        <w:rPr>
          <w:spacing w:val="-22"/>
          <w:w w:val="115"/>
        </w:rPr>
        <w:t> </w:t>
      </w:r>
      <w:r>
        <w:rPr>
          <w:w w:val="115"/>
        </w:rPr>
        <w:t>en</w:t>
      </w:r>
      <w:r>
        <w:rPr>
          <w:spacing w:val="-22"/>
          <w:w w:val="115"/>
        </w:rPr>
        <w:t> </w:t>
      </w:r>
      <w:r>
        <w:rPr>
          <w:w w:val="115"/>
        </w:rPr>
        <w:t>los</w:t>
      </w:r>
      <w:r>
        <w:rPr>
          <w:spacing w:val="-22"/>
          <w:w w:val="115"/>
        </w:rPr>
        <w:t> </w:t>
      </w:r>
      <w:r>
        <w:rPr>
          <w:w w:val="115"/>
        </w:rPr>
        <w:t>últimos</w:t>
      </w:r>
      <w:r>
        <w:rPr>
          <w:spacing w:val="-22"/>
          <w:w w:val="115"/>
        </w:rPr>
        <w:t> </w:t>
      </w:r>
      <w:r>
        <w:rPr>
          <w:w w:val="115"/>
        </w:rPr>
        <w:t>años.</w:t>
      </w:r>
      <w:r>
        <w:rPr>
          <w:spacing w:val="-22"/>
          <w:w w:val="115"/>
        </w:rPr>
        <w:t> </w:t>
      </w:r>
      <w:r>
        <w:rPr>
          <w:w w:val="115"/>
        </w:rPr>
        <w:t>Mientras</w:t>
      </w:r>
      <w:r>
        <w:rPr>
          <w:spacing w:val="-22"/>
          <w:w w:val="115"/>
        </w:rPr>
        <w:t> </w:t>
      </w:r>
      <w:r>
        <w:rPr>
          <w:w w:val="115"/>
        </w:rPr>
        <w:t>que</w:t>
      </w:r>
      <w:r>
        <w:rPr>
          <w:spacing w:val="-22"/>
          <w:w w:val="115"/>
        </w:rPr>
        <w:t> </w:t>
      </w:r>
      <w:r>
        <w:rPr>
          <w:w w:val="115"/>
        </w:rPr>
        <w:t>hacia</w:t>
      </w:r>
      <w:r>
        <w:rPr>
          <w:spacing w:val="-22"/>
          <w:w w:val="115"/>
        </w:rPr>
        <w:t> </w:t>
      </w:r>
      <w:r>
        <w:rPr>
          <w:w w:val="115"/>
        </w:rPr>
        <w:t>1980</w:t>
      </w:r>
      <w:r>
        <w:rPr>
          <w:spacing w:val="-22"/>
          <w:w w:val="115"/>
        </w:rPr>
        <w:t> </w:t>
      </w:r>
      <w:r>
        <w:rPr>
          <w:w w:val="115"/>
        </w:rPr>
        <w:t>el</w:t>
      </w:r>
      <w:r>
        <w:rPr>
          <w:spacing w:val="-22"/>
          <w:w w:val="115"/>
        </w:rPr>
        <w:t> </w:t>
      </w:r>
      <w:r>
        <w:rPr>
          <w:w w:val="115"/>
        </w:rPr>
        <w:t>saldo</w:t>
      </w:r>
      <w:r>
        <w:rPr>
          <w:spacing w:val="-22"/>
          <w:w w:val="115"/>
        </w:rPr>
        <w:t> </w:t>
      </w:r>
      <w:r>
        <w:rPr>
          <w:w w:val="115"/>
        </w:rPr>
        <w:t>de</w:t>
      </w:r>
      <w:r>
        <w:rPr>
          <w:spacing w:val="-22"/>
          <w:w w:val="115"/>
        </w:rPr>
        <w:t> </w:t>
      </w:r>
      <w:r>
        <w:rPr>
          <w:w w:val="115"/>
        </w:rPr>
        <w:t>la misma</w:t>
      </w:r>
      <w:r>
        <w:rPr>
          <w:spacing w:val="-13"/>
          <w:w w:val="115"/>
        </w:rPr>
        <w:t> </w:t>
      </w:r>
      <w:r>
        <w:rPr>
          <w:w w:val="115"/>
        </w:rPr>
        <w:t>era</w:t>
      </w:r>
      <w:r>
        <w:rPr>
          <w:spacing w:val="-13"/>
          <w:w w:val="115"/>
        </w:rPr>
        <w:t> </w:t>
      </w:r>
      <w:r>
        <w:rPr>
          <w:w w:val="115"/>
        </w:rPr>
        <w:t>negativo</w:t>
      </w:r>
      <w:r>
        <w:rPr>
          <w:spacing w:val="-13"/>
          <w:w w:val="115"/>
        </w:rPr>
        <w:t> </w:t>
      </w:r>
      <w:r>
        <w:rPr>
          <w:w w:val="115"/>
        </w:rPr>
        <w:t>por</w:t>
      </w:r>
      <w:r>
        <w:rPr>
          <w:spacing w:val="-13"/>
          <w:w w:val="115"/>
        </w:rPr>
        <w:t> </w:t>
      </w:r>
      <w:r>
        <w:rPr>
          <w:w w:val="115"/>
        </w:rPr>
        <w:t>un</w:t>
      </w:r>
      <w:r>
        <w:rPr>
          <w:spacing w:val="-13"/>
          <w:w w:val="115"/>
        </w:rPr>
        <w:t> </w:t>
      </w:r>
      <w:r>
        <w:rPr>
          <w:w w:val="115"/>
        </w:rPr>
        <w:t>monto</w:t>
      </w:r>
      <w:r>
        <w:rPr>
          <w:spacing w:val="-13"/>
          <w:w w:val="115"/>
        </w:rPr>
        <w:t> </w:t>
      </w:r>
      <w:r>
        <w:rPr>
          <w:w w:val="115"/>
        </w:rPr>
        <w:t>de</w:t>
      </w:r>
      <w:r>
        <w:rPr>
          <w:spacing w:val="-13"/>
          <w:w w:val="115"/>
        </w:rPr>
        <w:t> </w:t>
      </w:r>
      <w:r>
        <w:rPr>
          <w:w w:val="115"/>
        </w:rPr>
        <w:t>casi</w:t>
      </w:r>
      <w:r>
        <w:rPr>
          <w:spacing w:val="-13"/>
          <w:w w:val="115"/>
        </w:rPr>
        <w:t> </w:t>
      </w:r>
      <w:r>
        <w:rPr>
          <w:w w:val="115"/>
        </w:rPr>
        <w:t>36</w:t>
      </w:r>
      <w:r>
        <w:rPr>
          <w:spacing w:val="-13"/>
          <w:w w:val="115"/>
        </w:rPr>
        <w:t> </w:t>
      </w:r>
      <w:r>
        <w:rPr>
          <w:w w:val="115"/>
        </w:rPr>
        <w:t>mil</w:t>
      </w:r>
      <w:r>
        <w:rPr>
          <w:spacing w:val="-13"/>
          <w:w w:val="115"/>
        </w:rPr>
        <w:t> </w:t>
      </w:r>
      <w:r>
        <w:rPr>
          <w:w w:val="115"/>
        </w:rPr>
        <w:t>millones</w:t>
      </w:r>
      <w:r>
        <w:rPr>
          <w:spacing w:val="-13"/>
          <w:w w:val="115"/>
        </w:rPr>
        <w:t> </w:t>
      </w:r>
      <w:r>
        <w:rPr>
          <w:w w:val="115"/>
        </w:rPr>
        <w:t>de</w:t>
      </w:r>
      <w:r>
        <w:rPr>
          <w:spacing w:val="-13"/>
          <w:w w:val="115"/>
        </w:rPr>
        <w:t> </w:t>
      </w:r>
      <w:r>
        <w:rPr>
          <w:w w:val="115"/>
        </w:rPr>
        <w:t>dólares, hacia</w:t>
      </w:r>
      <w:r>
        <w:rPr>
          <w:spacing w:val="-27"/>
          <w:w w:val="115"/>
        </w:rPr>
        <w:t> </w:t>
      </w:r>
      <w:r>
        <w:rPr>
          <w:w w:val="115"/>
        </w:rPr>
        <w:t>2000</w:t>
      </w:r>
      <w:r>
        <w:rPr>
          <w:spacing w:val="-27"/>
          <w:w w:val="115"/>
        </w:rPr>
        <w:t> </w:t>
      </w:r>
      <w:r>
        <w:rPr>
          <w:w w:val="115"/>
        </w:rPr>
        <w:t>este</w:t>
      </w:r>
      <w:r>
        <w:rPr>
          <w:spacing w:val="-27"/>
          <w:w w:val="115"/>
        </w:rPr>
        <w:t> </w:t>
      </w:r>
      <w:r>
        <w:rPr>
          <w:w w:val="115"/>
        </w:rPr>
        <w:t>déficit</w:t>
      </w:r>
      <w:r>
        <w:rPr>
          <w:spacing w:val="-27"/>
          <w:w w:val="115"/>
        </w:rPr>
        <w:t> </w:t>
      </w:r>
      <w:r>
        <w:rPr>
          <w:w w:val="115"/>
        </w:rPr>
        <w:t>superaba</w:t>
      </w:r>
      <w:r>
        <w:rPr>
          <w:spacing w:val="-27"/>
          <w:w w:val="115"/>
        </w:rPr>
        <w:t> </w:t>
      </w:r>
      <w:r>
        <w:rPr>
          <w:w w:val="115"/>
        </w:rPr>
        <w:t>la</w:t>
      </w:r>
      <w:r>
        <w:rPr>
          <w:spacing w:val="-27"/>
          <w:w w:val="115"/>
        </w:rPr>
        <w:t> </w:t>
      </w:r>
      <w:r>
        <w:rPr>
          <w:w w:val="115"/>
        </w:rPr>
        <w:t>astronómica</w:t>
      </w:r>
      <w:r>
        <w:rPr>
          <w:spacing w:val="-27"/>
          <w:w w:val="115"/>
        </w:rPr>
        <w:t> </w:t>
      </w:r>
      <w:r>
        <w:rPr>
          <w:w w:val="115"/>
        </w:rPr>
        <w:t>cifra</w:t>
      </w:r>
      <w:r>
        <w:rPr>
          <w:spacing w:val="-27"/>
          <w:w w:val="115"/>
        </w:rPr>
        <w:t> </w:t>
      </w:r>
      <w:r>
        <w:rPr>
          <w:w w:val="115"/>
        </w:rPr>
        <w:t>de</w:t>
      </w:r>
      <w:r>
        <w:rPr>
          <w:spacing w:val="-27"/>
          <w:w w:val="115"/>
        </w:rPr>
        <w:t> </w:t>
      </w:r>
      <w:r>
        <w:rPr>
          <w:w w:val="115"/>
        </w:rPr>
        <w:t>450</w:t>
      </w:r>
      <w:r>
        <w:rPr>
          <w:spacing w:val="-27"/>
          <w:w w:val="115"/>
        </w:rPr>
        <w:t> </w:t>
      </w:r>
      <w:r>
        <w:rPr>
          <w:w w:val="115"/>
        </w:rPr>
        <w:t>mil</w:t>
      </w:r>
      <w:r>
        <w:rPr>
          <w:spacing w:val="-27"/>
          <w:w w:val="115"/>
        </w:rPr>
        <w:t> </w:t>
      </w:r>
      <w:r>
        <w:rPr>
          <w:w w:val="115"/>
        </w:rPr>
        <w:t>millo- nes</w:t>
      </w:r>
      <w:r>
        <w:rPr>
          <w:spacing w:val="-14"/>
          <w:w w:val="115"/>
        </w:rPr>
        <w:t> </w:t>
      </w:r>
      <w:r>
        <w:rPr>
          <w:w w:val="115"/>
        </w:rPr>
        <w:t>de</w:t>
      </w:r>
      <w:r>
        <w:rPr>
          <w:spacing w:val="-14"/>
          <w:w w:val="115"/>
        </w:rPr>
        <w:t> </w:t>
      </w:r>
      <w:r>
        <w:rPr>
          <w:w w:val="115"/>
        </w:rPr>
        <w:t>dólares.</w:t>
      </w:r>
      <w:r>
        <w:rPr>
          <w:spacing w:val="-14"/>
          <w:w w:val="115"/>
        </w:rPr>
        <w:t> </w:t>
      </w:r>
      <w:r>
        <w:rPr>
          <w:w w:val="115"/>
        </w:rPr>
        <w:t>Cuatro</w:t>
      </w:r>
      <w:r>
        <w:rPr>
          <w:spacing w:val="-14"/>
          <w:w w:val="115"/>
        </w:rPr>
        <w:t> </w:t>
      </w:r>
      <w:r>
        <w:rPr>
          <w:w w:val="115"/>
        </w:rPr>
        <w:t>años</w:t>
      </w:r>
      <w:r>
        <w:rPr>
          <w:spacing w:val="-14"/>
          <w:w w:val="115"/>
        </w:rPr>
        <w:t> </w:t>
      </w:r>
      <w:r>
        <w:rPr>
          <w:w w:val="115"/>
        </w:rPr>
        <w:t>más</w:t>
      </w:r>
      <w:r>
        <w:rPr>
          <w:spacing w:val="-14"/>
          <w:w w:val="115"/>
        </w:rPr>
        <w:t> </w:t>
      </w:r>
      <w:r>
        <w:rPr>
          <w:w w:val="115"/>
        </w:rPr>
        <w:t>tarde,</w:t>
      </w:r>
      <w:r>
        <w:rPr>
          <w:spacing w:val="-14"/>
          <w:w w:val="115"/>
        </w:rPr>
        <w:t> </w:t>
      </w:r>
      <w:r>
        <w:rPr>
          <w:w w:val="115"/>
        </w:rPr>
        <w:t>cuando</w:t>
      </w:r>
      <w:r>
        <w:rPr>
          <w:spacing w:val="-14"/>
          <w:w w:val="115"/>
        </w:rPr>
        <w:t> </w:t>
      </w:r>
      <w:r>
        <w:rPr>
          <w:w w:val="115"/>
        </w:rPr>
        <w:t>debía</w:t>
      </w:r>
      <w:r>
        <w:rPr>
          <w:spacing w:val="-14"/>
          <w:w w:val="115"/>
        </w:rPr>
        <w:t> </w:t>
      </w:r>
      <w:r>
        <w:rPr>
          <w:w w:val="115"/>
        </w:rPr>
        <w:t>instrumentarse el</w:t>
      </w:r>
      <w:r>
        <w:rPr>
          <w:spacing w:val="-29"/>
          <w:w w:val="115"/>
        </w:rPr>
        <w:t> </w:t>
      </w:r>
      <w:r>
        <w:rPr>
          <w:w w:val="150"/>
        </w:rPr>
        <w:t>alCa,</w:t>
      </w:r>
      <w:r>
        <w:rPr>
          <w:spacing w:val="-44"/>
          <w:w w:val="150"/>
        </w:rPr>
        <w:t> </w:t>
      </w:r>
      <w:r>
        <w:rPr>
          <w:w w:val="115"/>
        </w:rPr>
        <w:t>pasaba</w:t>
      </w:r>
      <w:r>
        <w:rPr>
          <w:spacing w:val="-29"/>
          <w:w w:val="115"/>
        </w:rPr>
        <w:t> </w:t>
      </w:r>
      <w:r>
        <w:rPr>
          <w:w w:val="115"/>
        </w:rPr>
        <w:t>los</w:t>
      </w:r>
      <w:r>
        <w:rPr>
          <w:spacing w:val="-29"/>
          <w:w w:val="115"/>
        </w:rPr>
        <w:t> </w:t>
      </w:r>
      <w:r>
        <w:rPr>
          <w:w w:val="115"/>
        </w:rPr>
        <w:t>700</w:t>
      </w:r>
      <w:r>
        <w:rPr>
          <w:spacing w:val="-29"/>
          <w:w w:val="115"/>
        </w:rPr>
        <w:t> </w:t>
      </w:r>
      <w:r>
        <w:rPr>
          <w:w w:val="115"/>
        </w:rPr>
        <w:t>mil</w:t>
      </w:r>
      <w:r>
        <w:rPr>
          <w:spacing w:val="-29"/>
          <w:w w:val="115"/>
        </w:rPr>
        <w:t> </w:t>
      </w:r>
      <w:r>
        <w:rPr>
          <w:w w:val="115"/>
        </w:rPr>
        <w:t>millones</w:t>
      </w:r>
      <w:r>
        <w:rPr>
          <w:spacing w:val="-29"/>
          <w:w w:val="115"/>
        </w:rPr>
        <w:t> </w:t>
      </w:r>
      <w:r>
        <w:rPr>
          <w:w w:val="115"/>
        </w:rPr>
        <w:t>de</w:t>
      </w:r>
      <w:r>
        <w:rPr>
          <w:spacing w:val="-29"/>
          <w:w w:val="115"/>
        </w:rPr>
        <w:t> </w:t>
      </w:r>
      <w:r>
        <w:rPr>
          <w:w w:val="115"/>
        </w:rPr>
        <w:t>dólares</w:t>
      </w:r>
      <w:r>
        <w:rPr>
          <w:spacing w:val="-29"/>
          <w:w w:val="115"/>
        </w:rPr>
        <w:t> </w:t>
      </w:r>
      <w:r>
        <w:rPr>
          <w:w w:val="115"/>
        </w:rPr>
        <w:t>(Morgenfeld,</w:t>
      </w:r>
      <w:r>
        <w:rPr>
          <w:spacing w:val="-29"/>
          <w:w w:val="115"/>
        </w:rPr>
        <w:t> </w:t>
      </w:r>
      <w:r>
        <w:rPr>
          <w:w w:val="115"/>
        </w:rPr>
        <w:t>2006a)</w:t>
      </w:r>
      <w:r>
        <w:rPr>
          <w:w w:val="115"/>
          <w:position w:val="6"/>
          <w:sz w:val="11"/>
        </w:rPr>
        <w:t>9</w:t>
      </w:r>
      <w:r>
        <w:rPr>
          <w:w w:val="115"/>
        </w:rPr>
        <w:t>. a esto debía sumársele un déficit fiscal alarmante y una deuda pú- blica que había traspasado el límite permitido legalmente, llegando a los 7,4 billones de dólares</w:t>
      </w:r>
      <w:r>
        <w:rPr>
          <w:w w:val="115"/>
          <w:position w:val="6"/>
          <w:sz w:val="11"/>
        </w:rPr>
        <w:t>10</w:t>
      </w:r>
      <w:r>
        <w:rPr>
          <w:w w:val="115"/>
        </w:rPr>
        <w:t>. El cuadro era aún más complicado si se</w:t>
      </w:r>
      <w:r>
        <w:rPr>
          <w:spacing w:val="-12"/>
          <w:w w:val="115"/>
        </w:rPr>
        <w:t> </w:t>
      </w:r>
      <w:r>
        <w:rPr>
          <w:w w:val="115"/>
        </w:rPr>
        <w:t>tienen</w:t>
      </w:r>
      <w:r>
        <w:rPr>
          <w:spacing w:val="-12"/>
          <w:w w:val="115"/>
        </w:rPr>
        <w:t> </w:t>
      </w:r>
      <w:r>
        <w:rPr>
          <w:w w:val="115"/>
        </w:rPr>
        <w:t>en</w:t>
      </w:r>
      <w:r>
        <w:rPr>
          <w:spacing w:val="-12"/>
          <w:w w:val="115"/>
        </w:rPr>
        <w:t> </w:t>
      </w:r>
      <w:r>
        <w:rPr>
          <w:w w:val="115"/>
        </w:rPr>
        <w:t>cuenta</w:t>
      </w:r>
      <w:r>
        <w:rPr>
          <w:spacing w:val="-12"/>
          <w:w w:val="115"/>
        </w:rPr>
        <w:t> </w:t>
      </w:r>
      <w:r>
        <w:rPr>
          <w:w w:val="115"/>
        </w:rPr>
        <w:t>los</w:t>
      </w:r>
      <w:r>
        <w:rPr>
          <w:spacing w:val="-12"/>
          <w:w w:val="115"/>
        </w:rPr>
        <w:t> </w:t>
      </w:r>
      <w:r>
        <w:rPr>
          <w:w w:val="115"/>
        </w:rPr>
        <w:t>escándalos</w:t>
      </w:r>
      <w:r>
        <w:rPr>
          <w:spacing w:val="-12"/>
          <w:w w:val="115"/>
        </w:rPr>
        <w:t> </w:t>
      </w:r>
      <w:r>
        <w:rPr>
          <w:w w:val="115"/>
        </w:rPr>
        <w:t>financieros</w:t>
      </w:r>
      <w:r>
        <w:rPr>
          <w:spacing w:val="-12"/>
          <w:w w:val="115"/>
        </w:rPr>
        <w:t> </w:t>
      </w:r>
      <w:r>
        <w:rPr>
          <w:w w:val="115"/>
        </w:rPr>
        <w:t>de</w:t>
      </w:r>
      <w:r>
        <w:rPr>
          <w:spacing w:val="-12"/>
          <w:w w:val="115"/>
        </w:rPr>
        <w:t> </w:t>
      </w:r>
      <w:r>
        <w:rPr>
          <w:w w:val="115"/>
        </w:rPr>
        <w:t>principios</w:t>
      </w:r>
      <w:r>
        <w:rPr>
          <w:spacing w:val="-12"/>
          <w:w w:val="115"/>
        </w:rPr>
        <w:t> </w:t>
      </w:r>
      <w:r>
        <w:rPr>
          <w:w w:val="115"/>
        </w:rPr>
        <w:t>del</w:t>
      </w:r>
      <w:r>
        <w:rPr>
          <w:spacing w:val="-12"/>
          <w:w w:val="115"/>
        </w:rPr>
        <w:t> </w:t>
      </w:r>
      <w:r>
        <w:rPr>
          <w:w w:val="115"/>
        </w:rPr>
        <w:t>siglo </w:t>
      </w:r>
      <w:r>
        <w:rPr>
          <w:w w:val="150"/>
        </w:rPr>
        <w:t>xxi, </w:t>
      </w:r>
      <w:r>
        <w:rPr>
          <w:w w:val="115"/>
        </w:rPr>
        <w:t>que pusieron un cono de sombra sobre los análisis optimistas que hablaban de una recuperación de la </w:t>
      </w:r>
      <w:r>
        <w:rPr>
          <w:i/>
          <w:w w:val="115"/>
        </w:rPr>
        <w:t>locomotora </w:t>
      </w:r>
      <w:r>
        <w:rPr>
          <w:w w:val="115"/>
        </w:rPr>
        <w:t>del</w:t>
      </w:r>
      <w:r>
        <w:rPr>
          <w:spacing w:val="-29"/>
          <w:w w:val="115"/>
        </w:rPr>
        <w:t> </w:t>
      </w:r>
      <w:r>
        <w:rPr>
          <w:w w:val="115"/>
        </w:rPr>
        <w:t>capitalismo</w:t>
      </w:r>
    </w:p>
    <w:p>
      <w:pPr>
        <w:pStyle w:val="BodyText"/>
        <w:rPr>
          <w:sz w:val="20"/>
        </w:rPr>
      </w:pPr>
    </w:p>
    <w:p>
      <w:pPr>
        <w:pStyle w:val="BodyText"/>
        <w:spacing w:before="4"/>
        <w:rPr>
          <w:sz w:val="16"/>
        </w:rPr>
      </w:pPr>
    </w:p>
    <w:p>
      <w:pPr>
        <w:pStyle w:val="ListParagraph"/>
        <w:numPr>
          <w:ilvl w:val="0"/>
          <w:numId w:val="33"/>
        </w:numPr>
        <w:tabs>
          <w:tab w:pos="376" w:val="left" w:leader="none"/>
        </w:tabs>
        <w:spacing w:line="242" w:lineRule="auto" w:before="75" w:after="0"/>
        <w:ind w:left="120" w:right="328" w:firstLine="0"/>
        <w:jc w:val="both"/>
        <w:rPr>
          <w:sz w:val="16"/>
        </w:rPr>
      </w:pPr>
      <w:r>
        <w:rPr>
          <w:spacing w:val="-3"/>
          <w:w w:val="110"/>
          <w:sz w:val="16"/>
        </w:rPr>
        <w:t>Véase </w:t>
      </w:r>
      <w:r>
        <w:rPr>
          <w:w w:val="110"/>
          <w:sz w:val="16"/>
        </w:rPr>
        <w:t>la página web oficial de la ii Cumbre:</w:t>
      </w:r>
      <w:r>
        <w:rPr>
          <w:spacing w:val="-26"/>
          <w:w w:val="110"/>
          <w:sz w:val="16"/>
        </w:rPr>
        <w:t> </w:t>
      </w:r>
      <w:hyperlink r:id="rId508">
        <w:r>
          <w:rPr>
            <w:w w:val="110"/>
            <w:sz w:val="16"/>
          </w:rPr>
          <w:t>&lt;http://www.summit-americas.org/</w:t>
        </w:r>
      </w:hyperlink>
      <w:r>
        <w:rPr>
          <w:w w:val="110"/>
          <w:sz w:val="16"/>
        </w:rPr>
        <w:t> ii_summit_sp.html&gt;.</w:t>
      </w:r>
    </w:p>
    <w:p>
      <w:pPr>
        <w:pStyle w:val="ListParagraph"/>
        <w:numPr>
          <w:ilvl w:val="0"/>
          <w:numId w:val="33"/>
        </w:numPr>
        <w:tabs>
          <w:tab w:pos="376" w:val="left" w:leader="none"/>
        </w:tabs>
        <w:spacing w:line="242" w:lineRule="auto" w:before="57" w:after="0"/>
        <w:ind w:left="120" w:right="328" w:firstLine="0"/>
        <w:jc w:val="both"/>
        <w:rPr>
          <w:sz w:val="16"/>
        </w:rPr>
      </w:pPr>
      <w:r>
        <w:rPr>
          <w:w w:val="110"/>
          <w:sz w:val="16"/>
        </w:rPr>
        <w:t>Para</w:t>
      </w:r>
      <w:r>
        <w:rPr>
          <w:spacing w:val="-8"/>
          <w:w w:val="110"/>
          <w:sz w:val="16"/>
        </w:rPr>
        <w:t> </w:t>
      </w:r>
      <w:r>
        <w:rPr>
          <w:w w:val="110"/>
          <w:sz w:val="16"/>
        </w:rPr>
        <w:t>una</w:t>
      </w:r>
      <w:r>
        <w:rPr>
          <w:spacing w:val="-8"/>
          <w:w w:val="110"/>
          <w:sz w:val="16"/>
        </w:rPr>
        <w:t> </w:t>
      </w:r>
      <w:r>
        <w:rPr>
          <w:w w:val="110"/>
          <w:sz w:val="16"/>
        </w:rPr>
        <w:t>visión</w:t>
      </w:r>
      <w:r>
        <w:rPr>
          <w:spacing w:val="-8"/>
          <w:w w:val="110"/>
          <w:sz w:val="16"/>
        </w:rPr>
        <w:t> </w:t>
      </w:r>
      <w:r>
        <w:rPr>
          <w:w w:val="110"/>
          <w:sz w:val="16"/>
        </w:rPr>
        <w:t>general</w:t>
      </w:r>
      <w:r>
        <w:rPr>
          <w:spacing w:val="-8"/>
          <w:w w:val="110"/>
          <w:sz w:val="16"/>
        </w:rPr>
        <w:t> </w:t>
      </w:r>
      <w:r>
        <w:rPr>
          <w:w w:val="110"/>
          <w:sz w:val="16"/>
        </w:rPr>
        <w:t>sobre</w:t>
      </w:r>
      <w:r>
        <w:rPr>
          <w:spacing w:val="-8"/>
          <w:w w:val="110"/>
          <w:sz w:val="16"/>
        </w:rPr>
        <w:t> </w:t>
      </w:r>
      <w:r>
        <w:rPr>
          <w:w w:val="110"/>
          <w:sz w:val="16"/>
        </w:rPr>
        <w:t>las</w:t>
      </w:r>
      <w:r>
        <w:rPr>
          <w:spacing w:val="-8"/>
          <w:w w:val="110"/>
          <w:sz w:val="16"/>
        </w:rPr>
        <w:t> </w:t>
      </w:r>
      <w:r>
        <w:rPr>
          <w:w w:val="110"/>
          <w:sz w:val="16"/>
        </w:rPr>
        <w:t>relaciones</w:t>
      </w:r>
      <w:r>
        <w:rPr>
          <w:spacing w:val="-8"/>
          <w:w w:val="110"/>
          <w:sz w:val="16"/>
        </w:rPr>
        <w:t> </w:t>
      </w:r>
      <w:r>
        <w:rPr>
          <w:w w:val="110"/>
          <w:sz w:val="16"/>
        </w:rPr>
        <w:t>interamericanas</w:t>
      </w:r>
      <w:r>
        <w:rPr>
          <w:spacing w:val="-8"/>
          <w:w w:val="110"/>
          <w:sz w:val="16"/>
        </w:rPr>
        <w:t> </w:t>
      </w:r>
      <w:r>
        <w:rPr>
          <w:w w:val="110"/>
          <w:sz w:val="16"/>
        </w:rPr>
        <w:t>durante</w:t>
      </w:r>
      <w:r>
        <w:rPr>
          <w:spacing w:val="-8"/>
          <w:w w:val="110"/>
          <w:sz w:val="16"/>
        </w:rPr>
        <w:t> </w:t>
      </w:r>
      <w:r>
        <w:rPr>
          <w:w w:val="110"/>
          <w:sz w:val="16"/>
        </w:rPr>
        <w:t>la</w:t>
      </w:r>
      <w:r>
        <w:rPr>
          <w:spacing w:val="-8"/>
          <w:w w:val="110"/>
          <w:sz w:val="16"/>
        </w:rPr>
        <w:t> </w:t>
      </w:r>
      <w:r>
        <w:rPr>
          <w:w w:val="110"/>
          <w:sz w:val="16"/>
        </w:rPr>
        <w:t>adminis- </w:t>
      </w:r>
      <w:r>
        <w:rPr>
          <w:w w:val="108"/>
          <w:sz w:val="16"/>
        </w:rPr>
        <w:t>tración</w:t>
      </w:r>
      <w:r>
        <w:rPr>
          <w:spacing w:val="9"/>
          <w:sz w:val="16"/>
        </w:rPr>
        <w:t> </w:t>
      </w:r>
      <w:r>
        <w:rPr>
          <w:w w:val="131"/>
          <w:sz w:val="16"/>
        </w:rPr>
        <w:t>b</w:t>
      </w:r>
      <w:r>
        <w:rPr>
          <w:w w:val="111"/>
          <w:sz w:val="16"/>
        </w:rPr>
        <w:t>ush,</w:t>
      </w:r>
      <w:r>
        <w:rPr>
          <w:spacing w:val="9"/>
          <w:sz w:val="16"/>
        </w:rPr>
        <w:t> </w:t>
      </w:r>
      <w:r>
        <w:rPr>
          <w:w w:val="103"/>
          <w:sz w:val="16"/>
        </w:rPr>
        <w:t>véase</w:t>
      </w:r>
      <w:r>
        <w:rPr>
          <w:spacing w:val="9"/>
          <w:sz w:val="16"/>
        </w:rPr>
        <w:t> </w:t>
      </w:r>
      <w:r>
        <w:rPr>
          <w:w w:val="146"/>
          <w:sz w:val="16"/>
        </w:rPr>
        <w:t>s</w:t>
      </w:r>
      <w:r>
        <w:rPr>
          <w:w w:val="107"/>
          <w:sz w:val="16"/>
        </w:rPr>
        <w:t>uárez</w:t>
      </w:r>
      <w:r>
        <w:rPr>
          <w:spacing w:val="9"/>
          <w:sz w:val="16"/>
        </w:rPr>
        <w:t> </w:t>
      </w:r>
      <w:r>
        <w:rPr>
          <w:w w:val="146"/>
          <w:sz w:val="16"/>
        </w:rPr>
        <w:t>s</w:t>
      </w:r>
      <w:r>
        <w:rPr>
          <w:w w:val="108"/>
          <w:sz w:val="16"/>
        </w:rPr>
        <w:t>alazar</w:t>
      </w:r>
      <w:r>
        <w:rPr>
          <w:spacing w:val="9"/>
          <w:sz w:val="16"/>
        </w:rPr>
        <w:t> </w:t>
      </w:r>
      <w:r>
        <w:rPr>
          <w:w w:val="102"/>
          <w:sz w:val="16"/>
        </w:rPr>
        <w:t>y</w:t>
      </w:r>
      <w:r>
        <w:rPr>
          <w:spacing w:val="9"/>
          <w:sz w:val="16"/>
        </w:rPr>
        <w:t> </w:t>
      </w:r>
      <w:r>
        <w:rPr>
          <w:w w:val="113"/>
          <w:sz w:val="16"/>
        </w:rPr>
        <w:t>García</w:t>
      </w:r>
      <w:r>
        <w:rPr>
          <w:spacing w:val="9"/>
          <w:sz w:val="16"/>
        </w:rPr>
        <w:t> </w:t>
      </w:r>
      <w:r>
        <w:rPr>
          <w:w w:val="238"/>
          <w:sz w:val="16"/>
        </w:rPr>
        <w:t>l</w:t>
      </w:r>
      <w:r>
        <w:rPr>
          <w:w w:val="107"/>
          <w:sz w:val="16"/>
        </w:rPr>
        <w:t>orenzo</w:t>
      </w:r>
      <w:r>
        <w:rPr>
          <w:spacing w:val="9"/>
          <w:sz w:val="16"/>
        </w:rPr>
        <w:t> </w:t>
      </w:r>
      <w:r>
        <w:rPr>
          <w:w w:val="100"/>
          <w:sz w:val="16"/>
        </w:rPr>
        <w:t>(2008:</w:t>
      </w:r>
      <w:r>
        <w:rPr>
          <w:spacing w:val="9"/>
          <w:sz w:val="16"/>
        </w:rPr>
        <w:t> </w:t>
      </w:r>
      <w:r>
        <w:rPr>
          <w:w w:val="100"/>
          <w:sz w:val="16"/>
        </w:rPr>
        <w:t>141-154</w:t>
      </w:r>
      <w:r>
        <w:rPr>
          <w:w w:val="96"/>
          <w:sz w:val="16"/>
        </w:rPr>
        <w:t>)</w:t>
      </w:r>
      <w:r>
        <w:rPr>
          <w:w w:val="135"/>
          <w:sz w:val="16"/>
        </w:rPr>
        <w:t>.</w:t>
      </w:r>
    </w:p>
    <w:p>
      <w:pPr>
        <w:pStyle w:val="ListParagraph"/>
        <w:numPr>
          <w:ilvl w:val="0"/>
          <w:numId w:val="33"/>
        </w:numPr>
        <w:tabs>
          <w:tab w:pos="376" w:val="left" w:leader="none"/>
        </w:tabs>
        <w:spacing w:line="242" w:lineRule="auto" w:before="57" w:after="0"/>
        <w:ind w:left="120" w:right="329" w:firstLine="0"/>
        <w:jc w:val="both"/>
        <w:rPr>
          <w:sz w:val="16"/>
        </w:rPr>
      </w:pPr>
      <w:r>
        <w:rPr>
          <w:i/>
          <w:w w:val="110"/>
          <w:sz w:val="16"/>
        </w:rPr>
        <w:t>Clarín</w:t>
      </w:r>
      <w:r>
        <w:rPr>
          <w:w w:val="110"/>
          <w:sz w:val="16"/>
        </w:rPr>
        <w:t>, buenos aires, 15 de agosto de 2004. En los años siguientes el endeuda- miento público siguió profundizándose, llegando en 2012 a 16 billones de dólares</w:t>
      </w:r>
      <w:r>
        <w:rPr>
          <w:spacing w:val="-6"/>
          <w:w w:val="110"/>
          <w:sz w:val="16"/>
        </w:rPr>
        <w:t> </w:t>
      </w:r>
      <w:r>
        <w:rPr>
          <w:w w:val="110"/>
          <w:sz w:val="16"/>
        </w:rPr>
        <w:t>y superando el Pbi anual de Estados </w:t>
      </w:r>
      <w:r>
        <w:rPr>
          <w:spacing w:val="12"/>
          <w:w w:val="110"/>
          <w:sz w:val="16"/>
        </w:rPr>
        <w:t> </w:t>
      </w:r>
      <w:r>
        <w:rPr>
          <w:w w:val="110"/>
          <w:sz w:val="16"/>
        </w:rPr>
        <w:t>unidos.</w:t>
      </w:r>
    </w:p>
    <w:p>
      <w:pPr>
        <w:spacing w:after="0" w:line="242" w:lineRule="auto"/>
        <w:jc w:val="both"/>
        <w:rPr>
          <w:sz w:val="16"/>
        </w:rPr>
        <w:sectPr>
          <w:footerReference w:type="even" r:id="rId506"/>
          <w:footerReference w:type="default" r:id="rId507"/>
          <w:pgSz w:w="8790" w:h="12760"/>
          <w:pgMar w:footer="1061" w:header="695" w:top="880" w:bottom="1260" w:left="900" w:right="1200"/>
        </w:sectPr>
      </w:pPr>
    </w:p>
    <w:p>
      <w:pPr>
        <w:pStyle w:val="BodyText"/>
        <w:spacing w:before="7"/>
        <w:rPr>
          <w:sz w:val="28"/>
        </w:rPr>
      </w:pPr>
    </w:p>
    <w:p>
      <w:pPr>
        <w:pStyle w:val="BodyText"/>
        <w:spacing w:line="252" w:lineRule="auto" w:before="73"/>
        <w:ind w:left="330" w:right="118"/>
        <w:jc w:val="both"/>
      </w:pPr>
      <w:r>
        <w:rPr>
          <w:w w:val="113"/>
        </w:rPr>
        <w:t>mundial.</w:t>
      </w:r>
      <w:r>
        <w:rPr/>
        <w:t> </w:t>
      </w:r>
      <w:r>
        <w:rPr>
          <w:w w:val="243"/>
        </w:rPr>
        <w:t>l</w:t>
      </w:r>
      <w:r>
        <w:rPr>
          <w:w w:val="108"/>
        </w:rPr>
        <w:t>os</w:t>
      </w:r>
      <w:r>
        <w:rPr/>
        <w:t> </w:t>
      </w:r>
      <w:r>
        <w:rPr>
          <w:w w:val="109"/>
        </w:rPr>
        <w:t>fraudes</w:t>
      </w:r>
      <w:r>
        <w:rPr/>
        <w:t> </w:t>
      </w:r>
      <w:r>
        <w:rPr>
          <w:w w:val="108"/>
        </w:rPr>
        <w:t>por</w:t>
      </w:r>
      <w:r>
        <w:rPr/>
        <w:t> </w:t>
      </w:r>
      <w:r>
        <w:rPr>
          <w:w w:val="110"/>
        </w:rPr>
        <w:t>miles</w:t>
      </w:r>
      <w:r>
        <w:rPr/>
        <w:t> </w:t>
      </w:r>
      <w:r>
        <w:rPr>
          <w:w w:val="107"/>
        </w:rPr>
        <w:t>de</w:t>
      </w:r>
      <w:r>
        <w:rPr/>
        <w:t> </w:t>
      </w:r>
      <w:r>
        <w:rPr>
          <w:w w:val="110"/>
        </w:rPr>
        <w:t>millones</w:t>
      </w:r>
      <w:r>
        <w:rPr/>
        <w:t> </w:t>
      </w:r>
      <w:r>
        <w:rPr>
          <w:w w:val="107"/>
        </w:rPr>
        <w:t>de</w:t>
      </w:r>
      <w:r>
        <w:rPr/>
        <w:t> </w:t>
      </w:r>
      <w:r>
        <w:rPr>
          <w:w w:val="108"/>
        </w:rPr>
        <w:t>dólares</w:t>
      </w:r>
      <w:r>
        <w:rPr/>
        <w:t> </w:t>
      </w:r>
      <w:r>
        <w:rPr>
          <w:w w:val="110"/>
        </w:rPr>
        <w:t>afectaron</w:t>
      </w:r>
      <w:r>
        <w:rPr/>
        <w:t> </w:t>
      </w:r>
      <w:r>
        <w:rPr>
          <w:w w:val="112"/>
        </w:rPr>
        <w:t>a</w:t>
      </w:r>
      <w:r>
        <w:rPr/>
        <w:t> </w:t>
      </w:r>
      <w:r>
        <w:rPr>
          <w:w w:val="109"/>
        </w:rPr>
        <w:t>po</w:t>
      </w:r>
      <w:r>
        <w:rPr>
          <w:w w:val="102"/>
        </w:rPr>
        <w:t>- </w:t>
      </w:r>
      <w:r>
        <w:rPr>
          <w:w w:val="115"/>
        </w:rPr>
        <w:t>derosos grupos como WorldCom, el Citigroup, Enron, duke  </w:t>
      </w:r>
      <w:r>
        <w:rPr>
          <w:spacing w:val="-4"/>
          <w:w w:val="115"/>
        </w:rPr>
        <w:t>Energy,</w:t>
      </w:r>
    </w:p>
    <w:p>
      <w:pPr>
        <w:pStyle w:val="BodyText"/>
        <w:spacing w:line="252" w:lineRule="auto"/>
        <w:ind w:left="330" w:right="118"/>
        <w:jc w:val="both"/>
      </w:pPr>
      <w:r>
        <w:rPr>
          <w:w w:val="110"/>
        </w:rPr>
        <w:t>J.P. Morgan y Halliburton, entre otros. a esto debían sumársele los despidos de miles de trabajadores, anunciados a finales de 2005 por Ford y General  Motors.</w:t>
      </w:r>
    </w:p>
    <w:p>
      <w:pPr>
        <w:pStyle w:val="BodyText"/>
        <w:spacing w:line="252" w:lineRule="auto"/>
        <w:ind w:left="330" w:right="117" w:firstLine="397"/>
        <w:jc w:val="right"/>
      </w:pPr>
      <w:r>
        <w:rPr>
          <w:w w:val="110"/>
        </w:rPr>
        <w:t>dentro de este complejo panorama, el tema comercial</w:t>
      </w:r>
      <w:r>
        <w:rPr>
          <w:spacing w:val="41"/>
          <w:w w:val="110"/>
        </w:rPr>
        <w:t> </w:t>
      </w:r>
      <w:r>
        <w:rPr>
          <w:w w:val="110"/>
        </w:rPr>
        <w:t>era</w:t>
      </w:r>
      <w:r>
        <w:rPr>
          <w:spacing w:val="5"/>
          <w:w w:val="110"/>
        </w:rPr>
        <w:t> </w:t>
      </w:r>
      <w:r>
        <w:rPr>
          <w:w w:val="110"/>
        </w:rPr>
        <w:t>crucial.</w:t>
      </w:r>
      <w:r>
        <w:rPr>
          <w:w w:val="114"/>
        </w:rPr>
        <w:t> </w:t>
      </w:r>
      <w:r>
        <w:rPr>
          <w:w w:val="243"/>
        </w:rPr>
        <w:t>l</w:t>
      </w:r>
      <w:r>
        <w:rPr>
          <w:w w:val="112"/>
        </w:rPr>
        <w:t>a</w:t>
      </w:r>
      <w:r>
        <w:rPr/>
        <w:t> </w:t>
      </w:r>
      <w:r>
        <w:rPr>
          <w:spacing w:val="1"/>
        </w:rPr>
        <w:t> </w:t>
      </w:r>
      <w:r>
        <w:rPr>
          <w:w w:val="109"/>
        </w:rPr>
        <w:t>necesidad</w:t>
      </w:r>
      <w:r>
        <w:rPr/>
        <w:t> </w:t>
      </w:r>
      <w:r>
        <w:rPr>
          <w:spacing w:val="1"/>
        </w:rPr>
        <w:t> </w:t>
      </w:r>
      <w:r>
        <w:rPr>
          <w:w w:val="107"/>
        </w:rPr>
        <w:t>del</w:t>
      </w:r>
      <w:r>
        <w:rPr/>
        <w:t> </w:t>
      </w:r>
      <w:r>
        <w:rPr>
          <w:spacing w:val="1"/>
        </w:rPr>
        <w:t> </w:t>
      </w:r>
      <w:r>
        <w:rPr>
          <w:w w:val="176"/>
        </w:rPr>
        <w:t>al</w:t>
      </w:r>
      <w:r>
        <w:rPr>
          <w:w w:val="124"/>
        </w:rPr>
        <w:t>C</w:t>
      </w:r>
      <w:r>
        <w:rPr>
          <w:w w:val="139"/>
        </w:rPr>
        <w:t>a</w:t>
      </w:r>
      <w:r>
        <w:rPr/>
        <w:t> </w:t>
      </w:r>
      <w:r>
        <w:rPr>
          <w:spacing w:val="1"/>
        </w:rPr>
        <w:t> </w:t>
      </w:r>
      <w:r>
        <w:rPr>
          <w:w w:val="109"/>
        </w:rPr>
        <w:t>para</w:t>
      </w:r>
      <w:r>
        <w:rPr/>
        <w:t> </w:t>
      </w:r>
      <w:r>
        <w:rPr>
          <w:spacing w:val="1"/>
        </w:rPr>
        <w:t> </w:t>
      </w:r>
      <w:r>
        <w:rPr>
          <w:w w:val="109"/>
        </w:rPr>
        <w:t>empezar</w:t>
      </w:r>
      <w:r>
        <w:rPr/>
        <w:t> </w:t>
      </w:r>
      <w:r>
        <w:rPr>
          <w:spacing w:val="1"/>
        </w:rPr>
        <w:t> </w:t>
      </w:r>
      <w:r>
        <w:rPr>
          <w:w w:val="112"/>
        </w:rPr>
        <w:t>a</w:t>
      </w:r>
      <w:r>
        <w:rPr/>
        <w:t> </w:t>
      </w:r>
      <w:r>
        <w:rPr>
          <w:spacing w:val="1"/>
        </w:rPr>
        <w:t> </w:t>
      </w:r>
      <w:r>
        <w:rPr>
          <w:w w:val="105"/>
        </w:rPr>
        <w:t>revertir</w:t>
      </w:r>
      <w:r>
        <w:rPr/>
        <w:t> </w:t>
      </w:r>
      <w:r>
        <w:rPr>
          <w:spacing w:val="1"/>
        </w:rPr>
        <w:t> </w:t>
      </w:r>
      <w:r>
        <w:rPr>
          <w:w w:val="107"/>
        </w:rPr>
        <w:t>el</w:t>
      </w:r>
      <w:r>
        <w:rPr/>
        <w:t> </w:t>
      </w:r>
      <w:r>
        <w:rPr>
          <w:spacing w:val="1"/>
        </w:rPr>
        <w:t> </w:t>
      </w:r>
      <w:r>
        <w:rPr>
          <w:w w:val="109"/>
        </w:rPr>
        <w:t>creciente</w:t>
      </w:r>
      <w:r>
        <w:rPr/>
        <w:t> </w:t>
      </w:r>
      <w:r>
        <w:rPr>
          <w:spacing w:val="1"/>
        </w:rPr>
        <w:t> </w:t>
      </w:r>
      <w:r>
        <w:rPr>
          <w:w w:val="108"/>
        </w:rPr>
        <w:t>déficit </w:t>
      </w:r>
      <w:r>
        <w:rPr>
          <w:w w:val="110"/>
        </w:rPr>
        <w:t>comercial</w:t>
      </w:r>
      <w:r>
        <w:rPr>
          <w:spacing w:val="30"/>
          <w:w w:val="110"/>
        </w:rPr>
        <w:t> </w:t>
      </w:r>
      <w:r>
        <w:rPr>
          <w:w w:val="110"/>
        </w:rPr>
        <w:t>estadounidense</w:t>
      </w:r>
      <w:r>
        <w:rPr>
          <w:spacing w:val="30"/>
          <w:w w:val="110"/>
        </w:rPr>
        <w:t> </w:t>
      </w:r>
      <w:r>
        <w:rPr>
          <w:w w:val="110"/>
        </w:rPr>
        <w:t>estaba</w:t>
      </w:r>
      <w:r>
        <w:rPr>
          <w:spacing w:val="30"/>
          <w:w w:val="110"/>
        </w:rPr>
        <w:t> </w:t>
      </w:r>
      <w:r>
        <w:rPr>
          <w:w w:val="110"/>
        </w:rPr>
        <w:t>fuera</w:t>
      </w:r>
      <w:r>
        <w:rPr>
          <w:spacing w:val="30"/>
          <w:w w:val="110"/>
        </w:rPr>
        <w:t> </w:t>
      </w:r>
      <w:r>
        <w:rPr>
          <w:w w:val="110"/>
        </w:rPr>
        <w:t>de</w:t>
      </w:r>
      <w:r>
        <w:rPr>
          <w:spacing w:val="30"/>
          <w:w w:val="110"/>
        </w:rPr>
        <w:t> </w:t>
      </w:r>
      <w:r>
        <w:rPr>
          <w:w w:val="110"/>
        </w:rPr>
        <w:t>toda</w:t>
      </w:r>
      <w:r>
        <w:rPr>
          <w:spacing w:val="30"/>
          <w:w w:val="110"/>
        </w:rPr>
        <w:t> </w:t>
      </w:r>
      <w:r>
        <w:rPr>
          <w:w w:val="110"/>
        </w:rPr>
        <w:t>duda.</w:t>
      </w:r>
      <w:r>
        <w:rPr>
          <w:spacing w:val="30"/>
          <w:w w:val="110"/>
        </w:rPr>
        <w:t> </w:t>
      </w:r>
      <w:r>
        <w:rPr>
          <w:w w:val="110"/>
        </w:rPr>
        <w:t>Como</w:t>
      </w:r>
      <w:r>
        <w:rPr>
          <w:spacing w:val="30"/>
          <w:w w:val="110"/>
        </w:rPr>
        <w:t> </w:t>
      </w:r>
      <w:r>
        <w:rPr>
          <w:w w:val="110"/>
        </w:rPr>
        <w:t>declaró</w:t>
      </w:r>
      <w:r>
        <w:rPr>
          <w:w w:val="109"/>
        </w:rPr>
        <w:t> </w:t>
      </w:r>
      <w:r>
        <w:rPr>
          <w:w w:val="110"/>
        </w:rPr>
        <w:t>robert Zoellick, el entonces representante comercial de</w:t>
      </w:r>
      <w:r>
        <w:rPr>
          <w:spacing w:val="16"/>
          <w:w w:val="110"/>
        </w:rPr>
        <w:t> </w:t>
      </w:r>
      <w:r>
        <w:rPr>
          <w:w w:val="110"/>
        </w:rPr>
        <w:t>Estados</w:t>
      </w:r>
      <w:r>
        <w:rPr>
          <w:spacing w:val="22"/>
          <w:w w:val="110"/>
        </w:rPr>
        <w:t> </w:t>
      </w:r>
      <w:r>
        <w:rPr>
          <w:w w:val="110"/>
        </w:rPr>
        <w:t>uni-</w:t>
      </w:r>
      <w:r>
        <w:rPr>
          <w:w w:val="102"/>
        </w:rPr>
        <w:t> </w:t>
      </w:r>
      <w:r>
        <w:rPr>
          <w:w w:val="110"/>
        </w:rPr>
        <w:t>dos y principal negociador a favor del </w:t>
      </w:r>
      <w:r>
        <w:rPr>
          <w:w w:val="150"/>
        </w:rPr>
        <w:t>alCa, </w:t>
      </w:r>
      <w:r>
        <w:rPr>
          <w:w w:val="110"/>
        </w:rPr>
        <w:t>“El segundo</w:t>
      </w:r>
      <w:r>
        <w:rPr>
          <w:spacing w:val="38"/>
          <w:w w:val="110"/>
        </w:rPr>
        <w:t> </w:t>
      </w:r>
      <w:r>
        <w:rPr>
          <w:w w:val="110"/>
        </w:rPr>
        <w:t>mandato</w:t>
      </w:r>
      <w:r>
        <w:rPr>
          <w:spacing w:val="5"/>
          <w:w w:val="110"/>
        </w:rPr>
        <w:t> </w:t>
      </w:r>
      <w:r>
        <w:rPr>
          <w:w w:val="110"/>
        </w:rPr>
        <w:t>de</w:t>
      </w:r>
      <w:r>
        <w:rPr>
          <w:w w:val="107"/>
        </w:rPr>
        <w:t> </w:t>
      </w:r>
      <w:r>
        <w:rPr>
          <w:w w:val="111"/>
        </w:rPr>
        <w:t>George</w:t>
      </w:r>
      <w:r>
        <w:rPr/>
        <w:t> </w:t>
      </w:r>
      <w:r>
        <w:rPr>
          <w:spacing w:val="-8"/>
        </w:rPr>
        <w:t> </w:t>
      </w:r>
      <w:r>
        <w:rPr>
          <w:w w:val="134"/>
        </w:rPr>
        <w:t>b</w:t>
      </w:r>
      <w:r>
        <w:rPr>
          <w:w w:val="110"/>
        </w:rPr>
        <w:t>ush</w:t>
      </w:r>
      <w:r>
        <w:rPr/>
        <w:t> </w:t>
      </w:r>
      <w:r>
        <w:rPr>
          <w:spacing w:val="-8"/>
        </w:rPr>
        <w:t> </w:t>
      </w:r>
      <w:r>
        <w:rPr>
          <w:w w:val="109"/>
        </w:rPr>
        <w:t>planteará</w:t>
      </w:r>
      <w:r>
        <w:rPr/>
        <w:t> </w:t>
      </w:r>
      <w:r>
        <w:rPr>
          <w:spacing w:val="-8"/>
        </w:rPr>
        <w:t> </w:t>
      </w:r>
      <w:r>
        <w:rPr>
          <w:w w:val="112"/>
        </w:rPr>
        <w:t>una</w:t>
      </w:r>
      <w:r>
        <w:rPr/>
        <w:t> </w:t>
      </w:r>
      <w:r>
        <w:rPr>
          <w:spacing w:val="-8"/>
        </w:rPr>
        <w:t> </w:t>
      </w:r>
      <w:r>
        <w:rPr>
          <w:w w:val="107"/>
        </w:rPr>
        <w:t>voz</w:t>
      </w:r>
      <w:r>
        <w:rPr/>
        <w:t> </w:t>
      </w:r>
      <w:r>
        <w:rPr>
          <w:spacing w:val="-8"/>
        </w:rPr>
        <w:t> </w:t>
      </w:r>
      <w:r>
        <w:rPr>
          <w:w w:val="113"/>
        </w:rPr>
        <w:t>clara.</w:t>
      </w:r>
      <w:r>
        <w:rPr/>
        <w:t> </w:t>
      </w:r>
      <w:r>
        <w:rPr>
          <w:spacing w:val="-8"/>
        </w:rPr>
        <w:t> </w:t>
      </w:r>
      <w:r>
        <w:rPr>
          <w:w w:val="243"/>
        </w:rPr>
        <w:t>l</w:t>
      </w:r>
      <w:r>
        <w:rPr>
          <w:w w:val="108"/>
        </w:rPr>
        <w:t>levaremos</w:t>
      </w:r>
      <w:r>
        <w:rPr/>
        <w:t> </w:t>
      </w:r>
      <w:r>
        <w:rPr>
          <w:spacing w:val="-8"/>
        </w:rPr>
        <w:t> </w:t>
      </w:r>
      <w:r>
        <w:rPr>
          <w:w w:val="107"/>
        </w:rPr>
        <w:t>el</w:t>
      </w:r>
      <w:r>
        <w:rPr/>
        <w:t> </w:t>
      </w:r>
      <w:r>
        <w:rPr>
          <w:spacing w:val="-8"/>
        </w:rPr>
        <w:t> </w:t>
      </w:r>
      <w:r>
        <w:rPr>
          <w:w w:val="108"/>
        </w:rPr>
        <w:t>libre</w:t>
      </w:r>
      <w:r>
        <w:rPr/>
        <w:t> </w:t>
      </w:r>
      <w:r>
        <w:rPr>
          <w:spacing w:val="-8"/>
        </w:rPr>
        <w:t> </w:t>
      </w:r>
      <w:r>
        <w:rPr>
          <w:w w:val="111"/>
        </w:rPr>
        <w:t>comercio </w:t>
      </w:r>
      <w:r>
        <w:rPr>
          <w:w w:val="110"/>
        </w:rPr>
        <w:t>(como lo entiende Washington, cabe aclarar) a todo el</w:t>
      </w:r>
      <w:r>
        <w:rPr>
          <w:spacing w:val="1"/>
          <w:w w:val="110"/>
        </w:rPr>
        <w:t> </w:t>
      </w:r>
      <w:r>
        <w:rPr>
          <w:w w:val="110"/>
        </w:rPr>
        <w:t>mundo,</w:t>
      </w:r>
      <w:r>
        <w:rPr>
          <w:spacing w:val="5"/>
          <w:w w:val="110"/>
        </w:rPr>
        <w:t> </w:t>
      </w:r>
      <w:r>
        <w:rPr>
          <w:w w:val="110"/>
        </w:rPr>
        <w:t>abrire-</w:t>
      </w:r>
      <w:r>
        <w:rPr>
          <w:w w:val="102"/>
        </w:rPr>
        <w:t> </w:t>
      </w:r>
      <w:r>
        <w:rPr>
          <w:w w:val="110"/>
        </w:rPr>
        <w:t>mos mercados, en especial tras nuestra victoria en</w:t>
      </w:r>
      <w:r>
        <w:rPr>
          <w:spacing w:val="19"/>
          <w:w w:val="110"/>
        </w:rPr>
        <w:t> </w:t>
      </w:r>
      <w:r>
        <w:rPr>
          <w:w w:val="110"/>
        </w:rPr>
        <w:t>estas</w:t>
      </w:r>
      <w:r>
        <w:rPr>
          <w:spacing w:val="2"/>
          <w:w w:val="110"/>
        </w:rPr>
        <w:t> </w:t>
      </w:r>
      <w:r>
        <w:rPr>
          <w:w w:val="110"/>
        </w:rPr>
        <w:t>elecciones”</w:t>
      </w:r>
      <w:r>
        <w:rPr>
          <w:w w:val="110"/>
          <w:position w:val="6"/>
          <w:sz w:val="11"/>
        </w:rPr>
        <w:t>11</w:t>
      </w:r>
      <w:r>
        <w:rPr>
          <w:w w:val="110"/>
        </w:rPr>
        <w:t>.</w:t>
      </w:r>
      <w:r>
        <w:rPr>
          <w:w w:val="138"/>
        </w:rPr>
        <w:t> </w:t>
      </w:r>
      <w:r>
        <w:rPr>
          <w:w w:val="110"/>
        </w:rPr>
        <w:t>En caso de que el </w:t>
      </w:r>
      <w:r>
        <w:rPr>
          <w:w w:val="150"/>
        </w:rPr>
        <w:t>alCa </w:t>
      </w:r>
      <w:r>
        <w:rPr>
          <w:w w:val="110"/>
        </w:rPr>
        <w:t>se hubiera constituido, hubiera</w:t>
      </w:r>
      <w:r>
        <w:rPr>
          <w:spacing w:val="22"/>
          <w:w w:val="110"/>
        </w:rPr>
        <w:t> </w:t>
      </w:r>
      <w:r>
        <w:rPr>
          <w:w w:val="110"/>
        </w:rPr>
        <w:t>sido</w:t>
      </w:r>
      <w:r>
        <w:rPr>
          <w:spacing w:val="17"/>
          <w:w w:val="110"/>
        </w:rPr>
        <w:t> </w:t>
      </w:r>
      <w:r>
        <w:rPr>
          <w:w w:val="110"/>
        </w:rPr>
        <w:t>un</w:t>
      </w:r>
      <w:r>
        <w:rPr>
          <w:w w:val="112"/>
        </w:rPr>
        <w:t> </w:t>
      </w:r>
      <w:r>
        <w:rPr>
          <w:w w:val="110"/>
        </w:rPr>
        <w:t>impulso</w:t>
      </w:r>
      <w:r>
        <w:rPr>
          <w:spacing w:val="24"/>
          <w:w w:val="110"/>
        </w:rPr>
        <w:t> </w:t>
      </w:r>
      <w:r>
        <w:rPr>
          <w:w w:val="110"/>
        </w:rPr>
        <w:t>para</w:t>
      </w:r>
      <w:r>
        <w:rPr>
          <w:spacing w:val="24"/>
          <w:w w:val="110"/>
        </w:rPr>
        <w:t> </w:t>
      </w:r>
      <w:r>
        <w:rPr>
          <w:w w:val="110"/>
        </w:rPr>
        <w:t>el</w:t>
      </w:r>
      <w:r>
        <w:rPr>
          <w:spacing w:val="24"/>
          <w:w w:val="110"/>
        </w:rPr>
        <w:t> </w:t>
      </w:r>
      <w:r>
        <w:rPr>
          <w:w w:val="110"/>
        </w:rPr>
        <w:t>proceso</w:t>
      </w:r>
      <w:r>
        <w:rPr>
          <w:spacing w:val="24"/>
          <w:w w:val="110"/>
        </w:rPr>
        <w:t> </w:t>
      </w:r>
      <w:r>
        <w:rPr>
          <w:w w:val="110"/>
        </w:rPr>
        <w:t>de</w:t>
      </w:r>
      <w:r>
        <w:rPr>
          <w:spacing w:val="24"/>
          <w:w w:val="110"/>
        </w:rPr>
        <w:t> </w:t>
      </w:r>
      <w:r>
        <w:rPr>
          <w:w w:val="110"/>
        </w:rPr>
        <w:t>concentración</w:t>
      </w:r>
      <w:r>
        <w:rPr>
          <w:spacing w:val="24"/>
          <w:w w:val="110"/>
        </w:rPr>
        <w:t> </w:t>
      </w:r>
      <w:r>
        <w:rPr>
          <w:w w:val="110"/>
        </w:rPr>
        <w:t>y</w:t>
      </w:r>
      <w:r>
        <w:rPr>
          <w:spacing w:val="24"/>
          <w:w w:val="110"/>
        </w:rPr>
        <w:t> </w:t>
      </w:r>
      <w:r>
        <w:rPr>
          <w:w w:val="110"/>
        </w:rPr>
        <w:t>centralización</w:t>
      </w:r>
      <w:r>
        <w:rPr>
          <w:spacing w:val="24"/>
          <w:w w:val="110"/>
        </w:rPr>
        <w:t> </w:t>
      </w:r>
      <w:r>
        <w:rPr>
          <w:w w:val="110"/>
        </w:rPr>
        <w:t>del</w:t>
      </w:r>
      <w:r>
        <w:rPr>
          <w:spacing w:val="24"/>
          <w:w w:val="110"/>
        </w:rPr>
        <w:t> </w:t>
      </w:r>
      <w:r>
        <w:rPr>
          <w:w w:val="110"/>
        </w:rPr>
        <w:t>capi-</w:t>
      </w:r>
      <w:r>
        <w:rPr>
          <w:w w:val="102"/>
        </w:rPr>
        <w:t> </w:t>
      </w:r>
      <w:r>
        <w:rPr>
          <w:w w:val="110"/>
        </w:rPr>
        <w:t>tal</w:t>
      </w:r>
      <w:r>
        <w:rPr>
          <w:spacing w:val="33"/>
          <w:w w:val="110"/>
        </w:rPr>
        <w:t> </w:t>
      </w:r>
      <w:r>
        <w:rPr>
          <w:w w:val="110"/>
        </w:rPr>
        <w:t>ya</w:t>
      </w:r>
      <w:r>
        <w:rPr>
          <w:spacing w:val="33"/>
          <w:w w:val="110"/>
        </w:rPr>
        <w:t> </w:t>
      </w:r>
      <w:r>
        <w:rPr>
          <w:w w:val="110"/>
        </w:rPr>
        <w:t>existente,</w:t>
      </w:r>
      <w:r>
        <w:rPr>
          <w:spacing w:val="33"/>
          <w:w w:val="110"/>
        </w:rPr>
        <w:t> </w:t>
      </w:r>
      <w:r>
        <w:rPr>
          <w:w w:val="110"/>
        </w:rPr>
        <w:t>en</w:t>
      </w:r>
      <w:r>
        <w:rPr>
          <w:spacing w:val="33"/>
          <w:w w:val="110"/>
        </w:rPr>
        <w:t> </w:t>
      </w:r>
      <w:r>
        <w:rPr>
          <w:w w:val="110"/>
        </w:rPr>
        <w:t>el</w:t>
      </w:r>
      <w:r>
        <w:rPr>
          <w:spacing w:val="33"/>
          <w:w w:val="110"/>
        </w:rPr>
        <w:t> </w:t>
      </w:r>
      <w:r>
        <w:rPr>
          <w:w w:val="110"/>
        </w:rPr>
        <w:t>cual</w:t>
      </w:r>
      <w:r>
        <w:rPr>
          <w:spacing w:val="33"/>
          <w:w w:val="110"/>
        </w:rPr>
        <w:t> </w:t>
      </w:r>
      <w:r>
        <w:rPr>
          <w:w w:val="110"/>
        </w:rPr>
        <w:t>Estados</w:t>
      </w:r>
      <w:r>
        <w:rPr>
          <w:spacing w:val="33"/>
          <w:w w:val="110"/>
        </w:rPr>
        <w:t> </w:t>
      </w:r>
      <w:r>
        <w:rPr>
          <w:w w:val="110"/>
        </w:rPr>
        <w:t>unidos</w:t>
      </w:r>
      <w:r>
        <w:rPr>
          <w:spacing w:val="33"/>
          <w:w w:val="110"/>
        </w:rPr>
        <w:t> </w:t>
      </w:r>
      <w:r>
        <w:rPr>
          <w:w w:val="110"/>
        </w:rPr>
        <w:t>era</w:t>
      </w:r>
      <w:r>
        <w:rPr>
          <w:spacing w:val="33"/>
          <w:w w:val="110"/>
        </w:rPr>
        <w:t> </w:t>
      </w:r>
      <w:r>
        <w:rPr>
          <w:w w:val="110"/>
        </w:rPr>
        <w:t>protagonista</w:t>
      </w:r>
      <w:r>
        <w:rPr>
          <w:spacing w:val="33"/>
          <w:w w:val="110"/>
        </w:rPr>
        <w:t> </w:t>
      </w:r>
      <w:r>
        <w:rPr>
          <w:w w:val="110"/>
        </w:rPr>
        <w:t>a</w:t>
      </w:r>
      <w:r>
        <w:rPr>
          <w:spacing w:val="33"/>
          <w:w w:val="110"/>
        </w:rPr>
        <w:t> </w:t>
      </w:r>
      <w:r>
        <w:rPr>
          <w:w w:val="110"/>
        </w:rPr>
        <w:t>nivel</w:t>
      </w:r>
      <w:r>
        <w:rPr>
          <w:w w:val="108"/>
        </w:rPr>
        <w:t> </w:t>
      </w:r>
      <w:r>
        <w:rPr>
          <w:w w:val="110"/>
        </w:rPr>
        <w:t>mundial. Hacia principios del siglo  </w:t>
      </w:r>
      <w:r>
        <w:rPr>
          <w:w w:val="150"/>
        </w:rPr>
        <w:t>xxi, </w:t>
      </w:r>
      <w:r>
        <w:rPr>
          <w:w w:val="110"/>
        </w:rPr>
        <w:t>aproximadamente</w:t>
      </w:r>
      <w:r>
        <w:rPr>
          <w:spacing w:val="32"/>
          <w:w w:val="110"/>
        </w:rPr>
        <w:t> </w:t>
      </w:r>
      <w:r>
        <w:rPr>
          <w:w w:val="110"/>
        </w:rPr>
        <w:t>el</w:t>
      </w:r>
      <w:r>
        <w:rPr>
          <w:spacing w:val="39"/>
          <w:w w:val="110"/>
        </w:rPr>
        <w:t> </w:t>
      </w:r>
      <w:r>
        <w:rPr>
          <w:w w:val="110"/>
        </w:rPr>
        <w:t>90%</w:t>
      </w:r>
      <w:r>
        <w:rPr>
          <w:w w:val="102"/>
        </w:rPr>
        <w:t> </w:t>
      </w:r>
      <w:r>
        <w:rPr>
          <w:w w:val="110"/>
        </w:rPr>
        <w:t>de las 500 principales empresas del mundo estaban situadas</w:t>
      </w:r>
      <w:r>
        <w:rPr>
          <w:spacing w:val="29"/>
          <w:w w:val="110"/>
        </w:rPr>
        <w:t> </w:t>
      </w:r>
      <w:r>
        <w:rPr>
          <w:w w:val="110"/>
        </w:rPr>
        <w:t>en</w:t>
      </w:r>
      <w:r>
        <w:rPr>
          <w:spacing w:val="3"/>
          <w:w w:val="110"/>
        </w:rPr>
        <w:t> </w:t>
      </w:r>
      <w:r>
        <w:rPr>
          <w:w w:val="110"/>
        </w:rPr>
        <w:t>Esta-</w:t>
      </w:r>
      <w:r>
        <w:rPr>
          <w:w w:val="102"/>
        </w:rPr>
        <w:t> </w:t>
      </w:r>
      <w:r>
        <w:rPr>
          <w:w w:val="110"/>
        </w:rPr>
        <w:t>dos</w:t>
      </w:r>
      <w:r>
        <w:rPr>
          <w:spacing w:val="19"/>
          <w:w w:val="110"/>
        </w:rPr>
        <w:t> </w:t>
      </w:r>
      <w:r>
        <w:rPr>
          <w:w w:val="110"/>
        </w:rPr>
        <w:t>unidos,</w:t>
      </w:r>
      <w:r>
        <w:rPr>
          <w:spacing w:val="19"/>
          <w:w w:val="110"/>
        </w:rPr>
        <w:t> </w:t>
      </w:r>
      <w:r>
        <w:rPr>
          <w:w w:val="110"/>
        </w:rPr>
        <w:t>Europa</w:t>
      </w:r>
      <w:r>
        <w:rPr>
          <w:spacing w:val="19"/>
          <w:w w:val="110"/>
        </w:rPr>
        <w:t> </w:t>
      </w:r>
      <w:r>
        <w:rPr>
          <w:w w:val="110"/>
        </w:rPr>
        <w:t>occidental</w:t>
      </w:r>
      <w:r>
        <w:rPr>
          <w:spacing w:val="19"/>
          <w:w w:val="110"/>
        </w:rPr>
        <w:t> </w:t>
      </w:r>
      <w:r>
        <w:rPr>
          <w:w w:val="110"/>
        </w:rPr>
        <w:t>y</w:t>
      </w:r>
      <w:r>
        <w:rPr>
          <w:spacing w:val="19"/>
          <w:w w:val="110"/>
        </w:rPr>
        <w:t> </w:t>
      </w:r>
      <w:r>
        <w:rPr>
          <w:w w:val="110"/>
        </w:rPr>
        <w:t>Japón;</w:t>
      </w:r>
      <w:r>
        <w:rPr>
          <w:spacing w:val="19"/>
          <w:w w:val="110"/>
        </w:rPr>
        <w:t> </w:t>
      </w:r>
      <w:r>
        <w:rPr>
          <w:w w:val="110"/>
        </w:rPr>
        <w:t>de</w:t>
      </w:r>
      <w:r>
        <w:rPr>
          <w:spacing w:val="19"/>
          <w:w w:val="110"/>
        </w:rPr>
        <w:t> </w:t>
      </w:r>
      <w:r>
        <w:rPr>
          <w:w w:val="110"/>
        </w:rPr>
        <w:t>las</w:t>
      </w:r>
      <w:r>
        <w:rPr>
          <w:spacing w:val="19"/>
          <w:w w:val="110"/>
        </w:rPr>
        <w:t> </w:t>
      </w:r>
      <w:r>
        <w:rPr>
          <w:w w:val="110"/>
        </w:rPr>
        <w:t>10</w:t>
      </w:r>
      <w:r>
        <w:rPr>
          <w:spacing w:val="19"/>
          <w:w w:val="110"/>
        </w:rPr>
        <w:t> </w:t>
      </w:r>
      <w:r>
        <w:rPr>
          <w:w w:val="110"/>
        </w:rPr>
        <w:t>principales,</w:t>
      </w:r>
      <w:r>
        <w:rPr>
          <w:spacing w:val="19"/>
          <w:w w:val="110"/>
        </w:rPr>
        <w:t> </w:t>
      </w:r>
      <w:r>
        <w:rPr>
          <w:w w:val="110"/>
        </w:rPr>
        <w:t>9</w:t>
      </w:r>
      <w:r>
        <w:rPr>
          <w:spacing w:val="19"/>
          <w:w w:val="110"/>
        </w:rPr>
        <w:t> </w:t>
      </w:r>
      <w:r>
        <w:rPr>
          <w:w w:val="110"/>
        </w:rPr>
        <w:t>eran</w:t>
      </w:r>
      <w:r>
        <w:rPr>
          <w:w w:val="108"/>
        </w:rPr>
        <w:t> </w:t>
      </w:r>
      <w:r>
        <w:rPr>
          <w:w w:val="110"/>
        </w:rPr>
        <w:t>estadounidenses; de las 100 más importantes, 57 eran de</w:t>
      </w:r>
      <w:r>
        <w:rPr>
          <w:spacing w:val="7"/>
          <w:w w:val="110"/>
        </w:rPr>
        <w:t> </w:t>
      </w:r>
      <w:r>
        <w:rPr>
          <w:w w:val="110"/>
        </w:rPr>
        <w:t>ese</w:t>
      </w:r>
      <w:r>
        <w:rPr>
          <w:spacing w:val="16"/>
          <w:w w:val="110"/>
        </w:rPr>
        <w:t> </w:t>
      </w:r>
      <w:r>
        <w:rPr>
          <w:w w:val="110"/>
        </w:rPr>
        <w:t>país</w:t>
      </w:r>
      <w:r>
        <w:rPr>
          <w:w w:val="110"/>
          <w:position w:val="6"/>
          <w:sz w:val="11"/>
        </w:rPr>
        <w:t>12</w:t>
      </w:r>
      <w:r>
        <w:rPr>
          <w:w w:val="110"/>
        </w:rPr>
        <w:t>.</w:t>
      </w:r>
      <w:r>
        <w:rPr>
          <w:w w:val="138"/>
        </w:rPr>
        <w:t> </w:t>
      </w:r>
      <w:r>
        <w:rPr>
          <w:w w:val="110"/>
        </w:rPr>
        <w:t>Con el desarrollo desigual y asimétrico que existe en américa,</w:t>
      </w:r>
      <w:r>
        <w:rPr>
          <w:spacing w:val="38"/>
          <w:w w:val="110"/>
        </w:rPr>
        <w:t> </w:t>
      </w:r>
      <w:r>
        <w:rPr>
          <w:w w:val="110"/>
        </w:rPr>
        <w:t>la</w:t>
      </w:r>
      <w:r>
        <w:rPr>
          <w:spacing w:val="8"/>
          <w:w w:val="110"/>
        </w:rPr>
        <w:t> </w:t>
      </w:r>
      <w:r>
        <w:rPr>
          <w:w w:val="110"/>
        </w:rPr>
        <w:t>pro-</w:t>
      </w:r>
      <w:r>
        <w:rPr>
          <w:w w:val="102"/>
        </w:rPr>
        <w:t> </w:t>
      </w:r>
      <w:r>
        <w:rPr>
          <w:w w:val="110"/>
        </w:rPr>
        <w:t>fundización del libre comercio sólo hubiera permitido el</w:t>
      </w:r>
      <w:r>
        <w:rPr>
          <w:spacing w:val="41"/>
          <w:w w:val="110"/>
        </w:rPr>
        <w:t> </w:t>
      </w:r>
      <w:r>
        <w:rPr>
          <w:w w:val="110"/>
        </w:rPr>
        <w:t>avance</w:t>
      </w:r>
      <w:r>
        <w:rPr>
          <w:spacing w:val="22"/>
          <w:w w:val="110"/>
        </w:rPr>
        <w:t> </w:t>
      </w:r>
      <w:r>
        <w:rPr>
          <w:w w:val="110"/>
        </w:rPr>
        <w:t>del</w:t>
      </w:r>
      <w:r>
        <w:rPr>
          <w:w w:val="107"/>
        </w:rPr>
        <w:t> </w:t>
      </w:r>
      <w:r>
        <w:rPr>
          <w:w w:val="110"/>
        </w:rPr>
        <w:t>capital más concentrado sobre capitales menores y sobre</w:t>
      </w:r>
      <w:r>
        <w:rPr>
          <w:spacing w:val="9"/>
          <w:w w:val="110"/>
        </w:rPr>
        <w:t> </w:t>
      </w:r>
      <w:r>
        <w:rPr>
          <w:w w:val="110"/>
        </w:rPr>
        <w:t>el</w:t>
      </w:r>
      <w:r>
        <w:rPr>
          <w:spacing w:val="18"/>
          <w:w w:val="110"/>
        </w:rPr>
        <w:t> </w:t>
      </w:r>
      <w:r>
        <w:rPr>
          <w:w w:val="110"/>
        </w:rPr>
        <w:t>trabajo,</w:t>
      </w:r>
      <w:r>
        <w:rPr>
          <w:w w:val="111"/>
        </w:rPr>
        <w:t> </w:t>
      </w:r>
      <w:r>
        <w:rPr>
          <w:w w:val="110"/>
        </w:rPr>
        <w:t>que se hubiera visto en peores condiciones objetivas para pelear </w:t>
      </w:r>
      <w:r>
        <w:rPr>
          <w:spacing w:val="42"/>
          <w:w w:val="110"/>
        </w:rPr>
        <w:t> </w:t>
      </w:r>
      <w:r>
        <w:rPr>
          <w:w w:val="110"/>
        </w:rPr>
        <w:t>por</w:t>
      </w:r>
    </w:p>
    <w:p>
      <w:pPr>
        <w:pStyle w:val="BodyText"/>
        <w:ind w:left="330"/>
        <w:jc w:val="both"/>
      </w:pPr>
      <w:r>
        <w:rPr>
          <w:w w:val="110"/>
        </w:rPr>
        <w:t>sus derechos.</w:t>
      </w:r>
    </w:p>
    <w:p>
      <w:pPr>
        <w:pStyle w:val="BodyText"/>
        <w:spacing w:line="252" w:lineRule="auto" w:before="11"/>
        <w:ind w:left="330" w:right="118" w:firstLine="396"/>
        <w:jc w:val="both"/>
      </w:pPr>
      <w:r>
        <w:rPr>
          <w:w w:val="110"/>
        </w:rPr>
        <w:t>El proyecto del </w:t>
      </w:r>
      <w:r>
        <w:rPr>
          <w:w w:val="130"/>
        </w:rPr>
        <w:t>alCa, </w:t>
      </w:r>
      <w:r>
        <w:rPr>
          <w:w w:val="110"/>
        </w:rPr>
        <w:t>como ya señalamos, respondía a la nece- sidad de Estados unidos de ejercer un dominio más acabado. Para lograr consolidar su amplio </w:t>
      </w:r>
      <w:r>
        <w:rPr>
          <w:i/>
          <w:w w:val="110"/>
        </w:rPr>
        <w:t>patio trasero</w:t>
      </w:r>
      <w:r>
        <w:rPr>
          <w:w w:val="110"/>
        </w:rPr>
        <w:t>, precisaba avanzar en el vie- jo proyecto de unión aduanera –esbozado en 1889– </w:t>
      </w:r>
      <w:r>
        <w:rPr>
          <w:spacing w:val="-11"/>
          <w:w w:val="110"/>
        </w:rPr>
        <w:t>y, </w:t>
      </w:r>
      <w:r>
        <w:rPr>
          <w:w w:val="110"/>
        </w:rPr>
        <w:t>fundamental- mente, obturar cualquier proceso de integración alternativa como el Mercosur o el Pacto andino. sin embargo, ya en la </w:t>
      </w:r>
      <w:r>
        <w:rPr>
          <w:spacing w:val="-3"/>
          <w:w w:val="110"/>
        </w:rPr>
        <w:t>tercera  </w:t>
      </w:r>
      <w:r>
        <w:rPr>
          <w:w w:val="110"/>
        </w:rPr>
        <w:t>Cumbre     de las américas (Québec, 2001), aparecerían los primeros obstáculos, </w:t>
      </w:r>
      <w:r>
        <w:rPr>
          <w:w w:val="110"/>
        </w:rPr>
        <w:t>producto</w:t>
      </w:r>
      <w:r>
        <w:rPr>
          <w:spacing w:val="12"/>
        </w:rPr>
        <w:t> </w:t>
      </w:r>
      <w:r>
        <w:rPr>
          <w:w w:val="107"/>
        </w:rPr>
        <w:t>de</w:t>
      </w:r>
      <w:r>
        <w:rPr>
          <w:spacing w:val="12"/>
        </w:rPr>
        <w:t> </w:t>
      </w:r>
      <w:r>
        <w:rPr>
          <w:w w:val="111"/>
        </w:rPr>
        <w:t>la</w:t>
      </w:r>
      <w:r>
        <w:rPr>
          <w:spacing w:val="12"/>
        </w:rPr>
        <w:t> </w:t>
      </w:r>
      <w:r>
        <w:rPr>
          <w:w w:val="109"/>
        </w:rPr>
        <w:t>oleada</w:t>
      </w:r>
      <w:r>
        <w:rPr>
          <w:spacing w:val="12"/>
        </w:rPr>
        <w:t> </w:t>
      </w:r>
      <w:r>
        <w:rPr>
          <w:w w:val="110"/>
        </w:rPr>
        <w:t>popular</w:t>
      </w:r>
      <w:r>
        <w:rPr>
          <w:spacing w:val="12"/>
        </w:rPr>
        <w:t> </w:t>
      </w:r>
      <w:r>
        <w:rPr>
          <w:w w:val="109"/>
        </w:rPr>
        <w:t>anti-neoliberal</w:t>
      </w:r>
      <w:r>
        <w:rPr>
          <w:spacing w:val="12"/>
        </w:rPr>
        <w:t> </w:t>
      </w:r>
      <w:r>
        <w:rPr>
          <w:w w:val="108"/>
        </w:rPr>
        <w:t>en</w:t>
      </w:r>
      <w:r>
        <w:rPr>
          <w:spacing w:val="12"/>
        </w:rPr>
        <w:t> </w:t>
      </w:r>
      <w:r>
        <w:rPr>
          <w:w w:val="139"/>
        </w:rPr>
        <w:t>a</w:t>
      </w:r>
      <w:r>
        <w:rPr>
          <w:w w:val="111"/>
        </w:rPr>
        <w:t>mérica</w:t>
      </w:r>
      <w:r>
        <w:rPr>
          <w:spacing w:val="12"/>
        </w:rPr>
        <w:t> </w:t>
      </w:r>
      <w:r>
        <w:rPr>
          <w:w w:val="243"/>
        </w:rPr>
        <w:t>l</w:t>
      </w:r>
      <w:r>
        <w:rPr>
          <w:w w:val="113"/>
        </w:rPr>
        <w:t>atina.</w:t>
      </w:r>
    </w:p>
    <w:p>
      <w:pPr>
        <w:pStyle w:val="BodyText"/>
        <w:spacing w:line="252" w:lineRule="auto"/>
        <w:ind w:left="330" w:right="117" w:firstLine="396"/>
        <w:jc w:val="both"/>
      </w:pPr>
      <w:r>
        <w:rPr>
          <w:w w:val="115"/>
        </w:rPr>
        <w:t>El ascenso de Chávez en Venezuela, su radicalización política y su insistencia en retomar el viejo proyecto de </w:t>
      </w:r>
      <w:r>
        <w:rPr>
          <w:spacing w:val="-3"/>
          <w:w w:val="115"/>
        </w:rPr>
        <w:t>bolívar, </w:t>
      </w:r>
      <w:r>
        <w:rPr>
          <w:w w:val="115"/>
        </w:rPr>
        <w:t>a partir de la propuesta</w:t>
      </w:r>
      <w:r>
        <w:rPr>
          <w:spacing w:val="-18"/>
          <w:w w:val="115"/>
        </w:rPr>
        <w:t> </w:t>
      </w:r>
      <w:r>
        <w:rPr>
          <w:w w:val="115"/>
        </w:rPr>
        <w:t>de</w:t>
      </w:r>
      <w:r>
        <w:rPr>
          <w:spacing w:val="-18"/>
          <w:w w:val="115"/>
        </w:rPr>
        <w:t> </w:t>
      </w:r>
      <w:r>
        <w:rPr>
          <w:w w:val="115"/>
        </w:rPr>
        <w:t>la</w:t>
      </w:r>
      <w:r>
        <w:rPr>
          <w:spacing w:val="-18"/>
          <w:w w:val="115"/>
        </w:rPr>
        <w:t> </w:t>
      </w:r>
      <w:r>
        <w:rPr>
          <w:w w:val="115"/>
        </w:rPr>
        <w:t>alianza</w:t>
      </w:r>
      <w:r>
        <w:rPr>
          <w:spacing w:val="-18"/>
          <w:w w:val="115"/>
        </w:rPr>
        <w:t> </w:t>
      </w:r>
      <w:r>
        <w:rPr>
          <w:w w:val="115"/>
        </w:rPr>
        <w:t>bolivariana</w:t>
      </w:r>
      <w:r>
        <w:rPr>
          <w:spacing w:val="-18"/>
          <w:w w:val="115"/>
        </w:rPr>
        <w:t> </w:t>
      </w:r>
      <w:r>
        <w:rPr>
          <w:w w:val="115"/>
        </w:rPr>
        <w:t>para</w:t>
      </w:r>
      <w:r>
        <w:rPr>
          <w:spacing w:val="-18"/>
          <w:w w:val="115"/>
        </w:rPr>
        <w:t> </w:t>
      </w:r>
      <w:r>
        <w:rPr>
          <w:w w:val="115"/>
        </w:rPr>
        <w:t>los</w:t>
      </w:r>
      <w:r>
        <w:rPr>
          <w:spacing w:val="-18"/>
          <w:w w:val="115"/>
        </w:rPr>
        <w:t> </w:t>
      </w:r>
      <w:r>
        <w:rPr>
          <w:w w:val="115"/>
        </w:rPr>
        <w:t>Pueblos</w:t>
      </w:r>
      <w:r>
        <w:rPr>
          <w:spacing w:val="-18"/>
          <w:w w:val="115"/>
        </w:rPr>
        <w:t> </w:t>
      </w:r>
      <w:r>
        <w:rPr>
          <w:w w:val="115"/>
        </w:rPr>
        <w:t>de</w:t>
      </w:r>
      <w:r>
        <w:rPr>
          <w:spacing w:val="-18"/>
          <w:w w:val="115"/>
        </w:rPr>
        <w:t> </w:t>
      </w:r>
      <w:r>
        <w:rPr>
          <w:w w:val="115"/>
        </w:rPr>
        <w:t>Nuestra</w:t>
      </w:r>
      <w:r>
        <w:rPr>
          <w:spacing w:val="-18"/>
          <w:w w:val="115"/>
        </w:rPr>
        <w:t> </w:t>
      </w:r>
      <w:r>
        <w:rPr>
          <w:w w:val="115"/>
        </w:rPr>
        <w:t>amé- rica</w:t>
      </w:r>
      <w:r>
        <w:rPr>
          <w:spacing w:val="-11"/>
          <w:w w:val="115"/>
        </w:rPr>
        <w:t> </w:t>
      </w:r>
      <w:r>
        <w:rPr>
          <w:w w:val="115"/>
        </w:rPr>
        <w:t>(alba),</w:t>
      </w:r>
      <w:r>
        <w:rPr>
          <w:spacing w:val="-11"/>
          <w:w w:val="115"/>
        </w:rPr>
        <w:t> </w:t>
      </w:r>
      <w:r>
        <w:rPr>
          <w:w w:val="115"/>
        </w:rPr>
        <w:t>encendieron</w:t>
      </w:r>
      <w:r>
        <w:rPr>
          <w:spacing w:val="-11"/>
          <w:w w:val="115"/>
        </w:rPr>
        <w:t> </w:t>
      </w:r>
      <w:r>
        <w:rPr>
          <w:w w:val="115"/>
        </w:rPr>
        <w:t>una</w:t>
      </w:r>
      <w:r>
        <w:rPr>
          <w:spacing w:val="-11"/>
          <w:w w:val="115"/>
        </w:rPr>
        <w:t> </w:t>
      </w:r>
      <w:r>
        <w:rPr>
          <w:w w:val="115"/>
        </w:rPr>
        <w:t>luz</w:t>
      </w:r>
      <w:r>
        <w:rPr>
          <w:spacing w:val="-11"/>
          <w:w w:val="115"/>
        </w:rPr>
        <w:t> </w:t>
      </w:r>
      <w:r>
        <w:rPr>
          <w:w w:val="115"/>
        </w:rPr>
        <w:t>de</w:t>
      </w:r>
      <w:r>
        <w:rPr>
          <w:spacing w:val="-11"/>
          <w:w w:val="115"/>
        </w:rPr>
        <w:t> </w:t>
      </w:r>
      <w:r>
        <w:rPr>
          <w:w w:val="115"/>
        </w:rPr>
        <w:t>alarma</w:t>
      </w:r>
      <w:r>
        <w:rPr>
          <w:spacing w:val="-11"/>
          <w:w w:val="115"/>
        </w:rPr>
        <w:t> </w:t>
      </w:r>
      <w:r>
        <w:rPr>
          <w:w w:val="115"/>
        </w:rPr>
        <w:t>en</w:t>
      </w:r>
      <w:r>
        <w:rPr>
          <w:spacing w:val="-11"/>
          <w:w w:val="115"/>
        </w:rPr>
        <w:t> </w:t>
      </w:r>
      <w:r>
        <w:rPr>
          <w:w w:val="115"/>
        </w:rPr>
        <w:t>el</w:t>
      </w:r>
      <w:r>
        <w:rPr>
          <w:spacing w:val="-11"/>
          <w:w w:val="115"/>
        </w:rPr>
        <w:t> </w:t>
      </w:r>
      <w:r>
        <w:rPr>
          <w:w w:val="115"/>
        </w:rPr>
        <w:t>gobierno</w:t>
      </w:r>
      <w:r>
        <w:rPr>
          <w:spacing w:val="-11"/>
          <w:w w:val="115"/>
        </w:rPr>
        <w:t> </w:t>
      </w:r>
      <w:r>
        <w:rPr>
          <w:w w:val="115"/>
        </w:rPr>
        <w:t>estadouni- dense.</w:t>
      </w:r>
      <w:r>
        <w:rPr>
          <w:spacing w:val="-4"/>
          <w:w w:val="115"/>
        </w:rPr>
        <w:t> </w:t>
      </w:r>
      <w:r>
        <w:rPr>
          <w:w w:val="115"/>
        </w:rPr>
        <w:t>Más</w:t>
      </w:r>
      <w:r>
        <w:rPr>
          <w:spacing w:val="-4"/>
          <w:w w:val="115"/>
        </w:rPr>
        <w:t> </w:t>
      </w:r>
      <w:r>
        <w:rPr>
          <w:w w:val="115"/>
        </w:rPr>
        <w:t>aún</w:t>
      </w:r>
      <w:r>
        <w:rPr>
          <w:spacing w:val="-4"/>
          <w:w w:val="115"/>
        </w:rPr>
        <w:t> </w:t>
      </w:r>
      <w:r>
        <w:rPr>
          <w:w w:val="115"/>
        </w:rPr>
        <w:t>cuando,</w:t>
      </w:r>
      <w:r>
        <w:rPr>
          <w:spacing w:val="-4"/>
          <w:w w:val="115"/>
        </w:rPr>
        <w:t> </w:t>
      </w:r>
      <w:r>
        <w:rPr>
          <w:w w:val="115"/>
        </w:rPr>
        <w:t>en</w:t>
      </w:r>
      <w:r>
        <w:rPr>
          <w:spacing w:val="-4"/>
          <w:w w:val="115"/>
        </w:rPr>
        <w:t> </w:t>
      </w:r>
      <w:r>
        <w:rPr>
          <w:w w:val="115"/>
        </w:rPr>
        <w:t>la</w:t>
      </w:r>
      <w:r>
        <w:rPr>
          <w:spacing w:val="-4"/>
          <w:w w:val="115"/>
        </w:rPr>
        <w:t> </w:t>
      </w:r>
      <w:r>
        <w:rPr>
          <w:w w:val="115"/>
        </w:rPr>
        <w:t>xV</w:t>
      </w:r>
      <w:r>
        <w:rPr>
          <w:spacing w:val="-4"/>
          <w:w w:val="115"/>
        </w:rPr>
        <w:t> </w:t>
      </w:r>
      <w:r>
        <w:rPr>
          <w:w w:val="115"/>
        </w:rPr>
        <w:t>Cumbre</w:t>
      </w:r>
      <w:r>
        <w:rPr>
          <w:spacing w:val="-4"/>
          <w:w w:val="115"/>
        </w:rPr>
        <w:t> </w:t>
      </w:r>
      <w:r>
        <w:rPr>
          <w:w w:val="115"/>
        </w:rPr>
        <w:t>iberoamericana</w:t>
      </w:r>
      <w:r>
        <w:rPr>
          <w:spacing w:val="-4"/>
          <w:w w:val="115"/>
        </w:rPr>
        <w:t> </w:t>
      </w:r>
      <w:r>
        <w:rPr>
          <w:w w:val="115"/>
        </w:rPr>
        <w:t>(2005),</w:t>
      </w:r>
      <w:r>
        <w:rPr>
          <w:spacing w:val="-4"/>
          <w:w w:val="115"/>
        </w:rPr>
        <w:t> </w:t>
      </w:r>
      <w:r>
        <w:rPr>
          <w:w w:val="115"/>
        </w:rPr>
        <w:t>se anunció la futura incorporación de Venezuela como miembro</w:t>
      </w:r>
      <w:r>
        <w:rPr>
          <w:spacing w:val="-31"/>
          <w:w w:val="115"/>
        </w:rPr>
        <w:t> </w:t>
      </w:r>
      <w:r>
        <w:rPr>
          <w:w w:val="115"/>
        </w:rPr>
        <w:t>pleno del</w:t>
      </w:r>
      <w:r>
        <w:rPr>
          <w:spacing w:val="-20"/>
          <w:w w:val="115"/>
        </w:rPr>
        <w:t> </w:t>
      </w:r>
      <w:r>
        <w:rPr>
          <w:spacing w:val="-3"/>
          <w:w w:val="115"/>
        </w:rPr>
        <w:t>Mercosur.</w:t>
      </w:r>
      <w:r>
        <w:rPr>
          <w:spacing w:val="-20"/>
          <w:w w:val="115"/>
        </w:rPr>
        <w:t> </w:t>
      </w:r>
      <w:r>
        <w:rPr>
          <w:w w:val="115"/>
        </w:rPr>
        <w:t>Como</w:t>
      </w:r>
      <w:r>
        <w:rPr>
          <w:spacing w:val="-20"/>
          <w:w w:val="115"/>
        </w:rPr>
        <w:t> </w:t>
      </w:r>
      <w:r>
        <w:rPr>
          <w:w w:val="115"/>
        </w:rPr>
        <w:t>en</w:t>
      </w:r>
      <w:r>
        <w:rPr>
          <w:spacing w:val="-20"/>
          <w:w w:val="115"/>
        </w:rPr>
        <w:t> </w:t>
      </w:r>
      <w:r>
        <w:rPr>
          <w:w w:val="115"/>
        </w:rPr>
        <w:t>los</w:t>
      </w:r>
      <w:r>
        <w:rPr>
          <w:spacing w:val="-20"/>
          <w:w w:val="115"/>
        </w:rPr>
        <w:t> </w:t>
      </w:r>
      <w:r>
        <w:rPr>
          <w:w w:val="115"/>
        </w:rPr>
        <w:t>últimos</w:t>
      </w:r>
      <w:r>
        <w:rPr>
          <w:spacing w:val="-20"/>
          <w:w w:val="115"/>
        </w:rPr>
        <w:t> </w:t>
      </w:r>
      <w:r>
        <w:rPr>
          <w:w w:val="115"/>
        </w:rPr>
        <w:t>dos</w:t>
      </w:r>
      <w:r>
        <w:rPr>
          <w:spacing w:val="-20"/>
          <w:w w:val="115"/>
        </w:rPr>
        <w:t> </w:t>
      </w:r>
      <w:r>
        <w:rPr>
          <w:w w:val="115"/>
        </w:rPr>
        <w:t>siglos,</w:t>
      </w:r>
      <w:r>
        <w:rPr>
          <w:spacing w:val="-20"/>
          <w:w w:val="115"/>
        </w:rPr>
        <w:t> </w:t>
      </w:r>
      <w:r>
        <w:rPr>
          <w:w w:val="115"/>
        </w:rPr>
        <w:t>la</w:t>
      </w:r>
      <w:r>
        <w:rPr>
          <w:spacing w:val="-20"/>
          <w:w w:val="115"/>
        </w:rPr>
        <w:t> </w:t>
      </w:r>
      <w:r>
        <w:rPr>
          <w:w w:val="115"/>
        </w:rPr>
        <w:t>capacidad</w:t>
      </w:r>
      <w:r>
        <w:rPr>
          <w:spacing w:val="-20"/>
          <w:w w:val="115"/>
        </w:rPr>
        <w:t> </w:t>
      </w:r>
      <w:r>
        <w:rPr>
          <w:w w:val="115"/>
        </w:rPr>
        <w:t>de</w:t>
      </w:r>
      <w:r>
        <w:rPr>
          <w:spacing w:val="-20"/>
          <w:w w:val="115"/>
        </w:rPr>
        <w:t> </w:t>
      </w:r>
      <w:r>
        <w:rPr>
          <w:w w:val="115"/>
        </w:rPr>
        <w:t>Estados</w:t>
      </w:r>
    </w:p>
    <w:p>
      <w:pPr>
        <w:pStyle w:val="BodyText"/>
        <w:spacing w:before="6"/>
        <w:rPr>
          <w:sz w:val="14"/>
        </w:rPr>
      </w:pPr>
      <w:r>
        <w:rPr/>
        <w:pict>
          <v:line style="position:absolute;mso-position-horizontal-relative:page;mso-position-vertical-relative:paragraph;z-index:8056;mso-wrap-distance-left:0;mso-wrap-distance-right:0" from="76.5354pt,10.727233pt" to="104.8814pt,10.727233pt" stroked="true" strokeweight=".5pt" strokecolor="#000000">
            <w10:wrap type="topAndBottom"/>
          </v:line>
        </w:pict>
      </w:r>
    </w:p>
    <w:p>
      <w:pPr>
        <w:pStyle w:val="ListParagraph"/>
        <w:numPr>
          <w:ilvl w:val="0"/>
          <w:numId w:val="33"/>
        </w:numPr>
        <w:tabs>
          <w:tab w:pos="586" w:val="left" w:leader="none"/>
        </w:tabs>
        <w:spacing w:line="316" w:lineRule="auto" w:before="89" w:after="0"/>
        <w:ind w:left="330" w:right="1810" w:firstLine="0"/>
        <w:jc w:val="left"/>
        <w:rPr>
          <w:sz w:val="16"/>
        </w:rPr>
      </w:pPr>
      <w:r>
        <w:rPr>
          <w:w w:val="105"/>
          <w:sz w:val="16"/>
        </w:rPr>
        <w:t>Citado en </w:t>
      </w:r>
      <w:r>
        <w:rPr>
          <w:i/>
          <w:w w:val="105"/>
          <w:sz w:val="16"/>
        </w:rPr>
        <w:t>Clarín</w:t>
      </w:r>
      <w:r>
        <w:rPr>
          <w:w w:val="105"/>
          <w:sz w:val="16"/>
        </w:rPr>
        <w:t>, buenos aires, 19 de noviembre de 2004. </w:t>
      </w:r>
      <w:r>
        <w:rPr>
          <w:w w:val="100"/>
          <w:sz w:val="16"/>
        </w:rPr>
        <w:t>12</w:t>
      </w:r>
      <w:r>
        <w:rPr>
          <w:sz w:val="16"/>
        </w:rPr>
        <w:t> </w:t>
      </w:r>
      <w:r>
        <w:rPr>
          <w:spacing w:val="6"/>
          <w:sz w:val="16"/>
        </w:rPr>
        <w:t> </w:t>
      </w:r>
      <w:r>
        <w:rPr>
          <w:w w:val="111"/>
          <w:sz w:val="16"/>
        </w:rPr>
        <w:t>Citado</w:t>
      </w:r>
      <w:r>
        <w:rPr>
          <w:spacing w:val="9"/>
          <w:sz w:val="16"/>
        </w:rPr>
        <w:t> </w:t>
      </w:r>
      <w:r>
        <w:rPr>
          <w:w w:val="106"/>
          <w:sz w:val="16"/>
        </w:rPr>
        <w:t>en</w:t>
      </w:r>
      <w:r>
        <w:rPr>
          <w:spacing w:val="9"/>
          <w:sz w:val="16"/>
        </w:rPr>
        <w:t> </w:t>
      </w:r>
      <w:r>
        <w:rPr>
          <w:i/>
          <w:w w:val="110"/>
          <w:sz w:val="16"/>
        </w:rPr>
        <w:t>Financial</w:t>
      </w:r>
      <w:r>
        <w:rPr>
          <w:i/>
          <w:spacing w:val="9"/>
          <w:sz w:val="16"/>
        </w:rPr>
        <w:t> </w:t>
      </w:r>
      <w:r>
        <w:rPr>
          <w:i/>
          <w:spacing w:val="-8"/>
          <w:w w:val="106"/>
          <w:sz w:val="16"/>
        </w:rPr>
        <w:t>T</w:t>
      </w:r>
      <w:r>
        <w:rPr>
          <w:i/>
          <w:w w:val="110"/>
          <w:sz w:val="16"/>
        </w:rPr>
        <w:t>imes</w:t>
      </w:r>
      <w:r>
        <w:rPr>
          <w:w w:val="135"/>
          <w:sz w:val="16"/>
        </w:rPr>
        <w:t>,</w:t>
      </w:r>
      <w:r>
        <w:rPr>
          <w:spacing w:val="9"/>
          <w:sz w:val="16"/>
        </w:rPr>
        <w:t> </w:t>
      </w:r>
      <w:r>
        <w:rPr>
          <w:w w:val="238"/>
          <w:sz w:val="16"/>
        </w:rPr>
        <w:t>l</w:t>
      </w:r>
      <w:r>
        <w:rPr>
          <w:w w:val="107"/>
          <w:sz w:val="16"/>
        </w:rPr>
        <w:t>ondres,</w:t>
      </w:r>
      <w:r>
        <w:rPr>
          <w:spacing w:val="9"/>
          <w:sz w:val="16"/>
        </w:rPr>
        <w:t> </w:t>
      </w:r>
      <w:r>
        <w:rPr>
          <w:w w:val="100"/>
          <w:sz w:val="16"/>
        </w:rPr>
        <w:t>10</w:t>
      </w:r>
      <w:r>
        <w:rPr>
          <w:spacing w:val="9"/>
          <w:sz w:val="16"/>
        </w:rPr>
        <w:t> </w:t>
      </w:r>
      <w:r>
        <w:rPr>
          <w:w w:val="104"/>
          <w:sz w:val="16"/>
        </w:rPr>
        <w:t>de</w:t>
      </w:r>
      <w:r>
        <w:rPr>
          <w:spacing w:val="9"/>
          <w:sz w:val="16"/>
        </w:rPr>
        <w:t> </w:t>
      </w:r>
      <w:r>
        <w:rPr>
          <w:w w:val="107"/>
          <w:sz w:val="16"/>
        </w:rPr>
        <w:t>agosto</w:t>
      </w:r>
      <w:r>
        <w:rPr>
          <w:spacing w:val="9"/>
          <w:sz w:val="16"/>
        </w:rPr>
        <w:t> </w:t>
      </w:r>
      <w:r>
        <w:rPr>
          <w:w w:val="104"/>
          <w:sz w:val="16"/>
        </w:rPr>
        <w:t>de</w:t>
      </w:r>
      <w:r>
        <w:rPr>
          <w:spacing w:val="9"/>
          <w:sz w:val="16"/>
        </w:rPr>
        <w:t> </w:t>
      </w:r>
      <w:r>
        <w:rPr>
          <w:w w:val="103"/>
          <w:sz w:val="16"/>
        </w:rPr>
        <w:t>2002.</w:t>
      </w:r>
    </w:p>
    <w:p>
      <w:pPr>
        <w:spacing w:after="0" w:line="316" w:lineRule="auto"/>
        <w:jc w:val="left"/>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w w:val="140"/>
        </w:rPr>
        <w:t>u</w:t>
      </w:r>
      <w:r>
        <w:rPr>
          <w:w w:val="110"/>
        </w:rPr>
        <w:t>nidos</w:t>
      </w:r>
      <w:r>
        <w:rPr/>
        <w:t> </w:t>
      </w:r>
      <w:r>
        <w:rPr>
          <w:spacing w:val="-3"/>
        </w:rPr>
        <w:t> </w:t>
      </w:r>
      <w:r>
        <w:rPr>
          <w:w w:val="109"/>
        </w:rPr>
        <w:t>para</w:t>
      </w:r>
      <w:r>
        <w:rPr/>
        <w:t> </w:t>
      </w:r>
      <w:r>
        <w:rPr>
          <w:spacing w:val="-3"/>
        </w:rPr>
        <w:t> </w:t>
      </w:r>
      <w:r>
        <w:rPr>
          <w:w w:val="108"/>
        </w:rPr>
        <w:t>establecer</w:t>
      </w:r>
      <w:r>
        <w:rPr/>
        <w:t> </w:t>
      </w:r>
      <w:r>
        <w:rPr>
          <w:spacing w:val="-3"/>
        </w:rPr>
        <w:t> </w:t>
      </w:r>
      <w:r>
        <w:rPr>
          <w:w w:val="112"/>
        </w:rPr>
        <w:t>un</w:t>
      </w:r>
      <w:r>
        <w:rPr/>
        <w:t> </w:t>
      </w:r>
      <w:r>
        <w:rPr>
          <w:spacing w:val="-3"/>
        </w:rPr>
        <w:t> </w:t>
      </w:r>
      <w:r>
        <w:rPr>
          <w:w w:val="112"/>
        </w:rPr>
        <w:t>dominio</w:t>
      </w:r>
      <w:r>
        <w:rPr/>
        <w:t> </w:t>
      </w:r>
      <w:r>
        <w:rPr>
          <w:spacing w:val="-3"/>
        </w:rPr>
        <w:t> </w:t>
      </w:r>
      <w:r>
        <w:rPr>
          <w:w w:val="107"/>
        </w:rPr>
        <w:t>sobre</w:t>
      </w:r>
      <w:r>
        <w:rPr/>
        <w:t> </w:t>
      </w:r>
      <w:r>
        <w:rPr>
          <w:spacing w:val="-3"/>
        </w:rPr>
        <w:t> </w:t>
      </w:r>
      <w:r>
        <w:rPr>
          <w:w w:val="139"/>
        </w:rPr>
        <w:t>a</w:t>
      </w:r>
      <w:r>
        <w:rPr>
          <w:w w:val="111"/>
        </w:rPr>
        <w:t>mérica</w:t>
      </w:r>
      <w:r>
        <w:rPr/>
        <w:t> </w:t>
      </w:r>
      <w:r>
        <w:rPr>
          <w:spacing w:val="-3"/>
        </w:rPr>
        <w:t> </w:t>
      </w:r>
      <w:r>
        <w:rPr>
          <w:w w:val="243"/>
        </w:rPr>
        <w:t>l</w:t>
      </w:r>
      <w:r>
        <w:rPr>
          <w:w w:val="111"/>
        </w:rPr>
        <w:t>atina</w:t>
      </w:r>
      <w:r>
        <w:rPr/>
        <w:t> </w:t>
      </w:r>
      <w:r>
        <w:rPr>
          <w:spacing w:val="-3"/>
        </w:rPr>
        <w:t> </w:t>
      </w:r>
      <w:r>
        <w:rPr>
          <w:w w:val="109"/>
        </w:rPr>
        <w:t>dependía </w:t>
      </w:r>
      <w:r>
        <w:rPr>
          <w:w w:val="115"/>
        </w:rPr>
        <w:t>de que no se constituyera una integración regional independiente</w:t>
      </w:r>
      <w:r>
        <w:rPr>
          <w:spacing w:val="-27"/>
          <w:w w:val="115"/>
        </w:rPr>
        <w:t> </w:t>
      </w:r>
      <w:r>
        <w:rPr>
          <w:w w:val="115"/>
        </w:rPr>
        <w:t>y autónoma</w:t>
      </w:r>
      <w:r>
        <w:rPr>
          <w:spacing w:val="-6"/>
          <w:w w:val="115"/>
        </w:rPr>
        <w:t> </w:t>
      </w:r>
      <w:r>
        <w:rPr>
          <w:w w:val="115"/>
        </w:rPr>
        <w:t>de</w:t>
      </w:r>
      <w:r>
        <w:rPr>
          <w:spacing w:val="-6"/>
          <w:w w:val="115"/>
        </w:rPr>
        <w:t> </w:t>
      </w:r>
      <w:r>
        <w:rPr>
          <w:w w:val="115"/>
        </w:rPr>
        <w:t>los</w:t>
      </w:r>
      <w:r>
        <w:rPr>
          <w:spacing w:val="-6"/>
          <w:w w:val="115"/>
        </w:rPr>
        <w:t> </w:t>
      </w:r>
      <w:r>
        <w:rPr>
          <w:w w:val="115"/>
        </w:rPr>
        <w:t>mandatos</w:t>
      </w:r>
      <w:r>
        <w:rPr>
          <w:spacing w:val="-6"/>
          <w:w w:val="115"/>
        </w:rPr>
        <w:t> </w:t>
      </w:r>
      <w:r>
        <w:rPr>
          <w:w w:val="115"/>
        </w:rPr>
        <w:t>de</w:t>
      </w:r>
      <w:r>
        <w:rPr>
          <w:spacing w:val="-6"/>
          <w:w w:val="115"/>
        </w:rPr>
        <w:t> </w:t>
      </w:r>
      <w:r>
        <w:rPr>
          <w:w w:val="115"/>
        </w:rPr>
        <w:t>la</w:t>
      </w:r>
      <w:r>
        <w:rPr>
          <w:spacing w:val="-6"/>
          <w:w w:val="115"/>
        </w:rPr>
        <w:t> </w:t>
      </w:r>
      <w:r>
        <w:rPr>
          <w:w w:val="115"/>
        </w:rPr>
        <w:t>potencia</w:t>
      </w:r>
      <w:r>
        <w:rPr>
          <w:spacing w:val="-6"/>
          <w:w w:val="115"/>
        </w:rPr>
        <w:t> </w:t>
      </w:r>
      <w:r>
        <w:rPr>
          <w:w w:val="115"/>
        </w:rPr>
        <w:t>del</w:t>
      </w:r>
      <w:r>
        <w:rPr>
          <w:spacing w:val="-6"/>
          <w:w w:val="115"/>
        </w:rPr>
        <w:t> </w:t>
      </w:r>
      <w:r>
        <w:rPr>
          <w:w w:val="115"/>
        </w:rPr>
        <w:t>Norte.</w:t>
      </w:r>
      <w:r>
        <w:rPr>
          <w:spacing w:val="-6"/>
          <w:w w:val="115"/>
        </w:rPr>
        <w:t> </w:t>
      </w:r>
      <w:r>
        <w:rPr>
          <w:w w:val="115"/>
        </w:rPr>
        <w:t>El</w:t>
      </w:r>
      <w:r>
        <w:rPr>
          <w:spacing w:val="-7"/>
          <w:w w:val="115"/>
        </w:rPr>
        <w:t> </w:t>
      </w:r>
      <w:r>
        <w:rPr>
          <w:w w:val="125"/>
        </w:rPr>
        <w:t>alCa</w:t>
      </w:r>
      <w:r>
        <w:rPr>
          <w:spacing w:val="-10"/>
          <w:w w:val="125"/>
        </w:rPr>
        <w:t> </w:t>
      </w:r>
      <w:r>
        <w:rPr>
          <w:w w:val="115"/>
        </w:rPr>
        <w:t>hubiera sido</w:t>
      </w:r>
      <w:r>
        <w:rPr>
          <w:spacing w:val="-19"/>
          <w:w w:val="115"/>
        </w:rPr>
        <w:t> </w:t>
      </w:r>
      <w:r>
        <w:rPr>
          <w:w w:val="115"/>
        </w:rPr>
        <w:t>un</w:t>
      </w:r>
      <w:r>
        <w:rPr>
          <w:spacing w:val="-19"/>
          <w:w w:val="115"/>
        </w:rPr>
        <w:t> </w:t>
      </w:r>
      <w:r>
        <w:rPr>
          <w:w w:val="115"/>
        </w:rPr>
        <w:t>instrumento</w:t>
      </w:r>
      <w:r>
        <w:rPr>
          <w:spacing w:val="-19"/>
          <w:w w:val="115"/>
        </w:rPr>
        <w:t> </w:t>
      </w:r>
      <w:r>
        <w:rPr>
          <w:w w:val="115"/>
        </w:rPr>
        <w:t>fundamental</w:t>
      </w:r>
      <w:r>
        <w:rPr>
          <w:spacing w:val="-19"/>
          <w:w w:val="115"/>
        </w:rPr>
        <w:t> </w:t>
      </w:r>
      <w:r>
        <w:rPr>
          <w:w w:val="115"/>
        </w:rPr>
        <w:t>para</w:t>
      </w:r>
      <w:r>
        <w:rPr>
          <w:spacing w:val="-19"/>
          <w:w w:val="115"/>
        </w:rPr>
        <w:t> </w:t>
      </w:r>
      <w:r>
        <w:rPr>
          <w:w w:val="115"/>
        </w:rPr>
        <w:t>abortar</w:t>
      </w:r>
      <w:r>
        <w:rPr>
          <w:spacing w:val="-19"/>
          <w:w w:val="115"/>
        </w:rPr>
        <w:t> </w:t>
      </w:r>
      <w:r>
        <w:rPr>
          <w:w w:val="115"/>
        </w:rPr>
        <w:t>esa</w:t>
      </w:r>
      <w:r>
        <w:rPr>
          <w:spacing w:val="-19"/>
          <w:w w:val="115"/>
        </w:rPr>
        <w:t> </w:t>
      </w:r>
      <w:r>
        <w:rPr>
          <w:w w:val="115"/>
        </w:rPr>
        <w:t>alternativa</w:t>
      </w:r>
      <w:r>
        <w:rPr>
          <w:spacing w:val="-19"/>
          <w:w w:val="115"/>
        </w:rPr>
        <w:t> </w:t>
      </w:r>
      <w:r>
        <w:rPr>
          <w:w w:val="115"/>
        </w:rPr>
        <w:t>y</w:t>
      </w:r>
      <w:r>
        <w:rPr>
          <w:spacing w:val="-19"/>
          <w:w w:val="115"/>
        </w:rPr>
        <w:t> </w:t>
      </w:r>
      <w:r>
        <w:rPr>
          <w:w w:val="115"/>
        </w:rPr>
        <w:t>para aislar</w:t>
      </w:r>
      <w:r>
        <w:rPr>
          <w:spacing w:val="-15"/>
          <w:w w:val="115"/>
        </w:rPr>
        <w:t> </w:t>
      </w:r>
      <w:r>
        <w:rPr>
          <w:w w:val="115"/>
        </w:rPr>
        <w:t>a</w:t>
      </w:r>
      <w:r>
        <w:rPr>
          <w:spacing w:val="-15"/>
          <w:w w:val="115"/>
        </w:rPr>
        <w:t> </w:t>
      </w:r>
      <w:r>
        <w:rPr>
          <w:w w:val="115"/>
        </w:rPr>
        <w:t>Venezuela</w:t>
      </w:r>
      <w:r>
        <w:rPr>
          <w:spacing w:val="-15"/>
          <w:w w:val="115"/>
        </w:rPr>
        <w:t> </w:t>
      </w:r>
      <w:r>
        <w:rPr>
          <w:w w:val="115"/>
        </w:rPr>
        <w:t>y</w:t>
      </w:r>
      <w:r>
        <w:rPr>
          <w:spacing w:val="-15"/>
          <w:w w:val="115"/>
        </w:rPr>
        <w:t> </w:t>
      </w:r>
      <w:r>
        <w:rPr>
          <w:w w:val="115"/>
        </w:rPr>
        <w:t>Cuba,</w:t>
      </w:r>
      <w:r>
        <w:rPr>
          <w:spacing w:val="-15"/>
          <w:w w:val="115"/>
        </w:rPr>
        <w:t> </w:t>
      </w:r>
      <w:r>
        <w:rPr>
          <w:w w:val="115"/>
        </w:rPr>
        <w:t>consolidando</w:t>
      </w:r>
      <w:r>
        <w:rPr>
          <w:spacing w:val="-15"/>
          <w:w w:val="115"/>
        </w:rPr>
        <w:t> </w:t>
      </w:r>
      <w:r>
        <w:rPr>
          <w:w w:val="115"/>
        </w:rPr>
        <w:t>la</w:t>
      </w:r>
      <w:r>
        <w:rPr>
          <w:spacing w:val="-15"/>
          <w:w w:val="115"/>
        </w:rPr>
        <w:t> </w:t>
      </w:r>
      <w:r>
        <w:rPr>
          <w:w w:val="115"/>
        </w:rPr>
        <w:t>dependencia</w:t>
      </w:r>
      <w:r>
        <w:rPr>
          <w:spacing w:val="-15"/>
          <w:w w:val="115"/>
        </w:rPr>
        <w:t> </w:t>
      </w:r>
      <w:r>
        <w:rPr>
          <w:w w:val="115"/>
        </w:rPr>
        <w:t>de</w:t>
      </w:r>
      <w:r>
        <w:rPr>
          <w:spacing w:val="-15"/>
          <w:w w:val="115"/>
        </w:rPr>
        <w:t> </w:t>
      </w:r>
      <w:r>
        <w:rPr>
          <w:w w:val="115"/>
        </w:rPr>
        <w:t>los</w:t>
      </w:r>
      <w:r>
        <w:rPr>
          <w:spacing w:val="-15"/>
          <w:w w:val="115"/>
        </w:rPr>
        <w:t> </w:t>
      </w:r>
      <w:r>
        <w:rPr>
          <w:w w:val="115"/>
        </w:rPr>
        <w:t>países latinoamericanos.</w:t>
      </w:r>
    </w:p>
    <w:p>
      <w:pPr>
        <w:pStyle w:val="BodyText"/>
        <w:spacing w:line="252" w:lineRule="auto"/>
        <w:ind w:left="120" w:right="326" w:firstLine="396"/>
        <w:jc w:val="both"/>
      </w:pPr>
      <w:r>
        <w:rPr>
          <w:w w:val="115"/>
        </w:rPr>
        <w:t>El estancamiento en las negociaciones para establecer este</w:t>
      </w:r>
      <w:r>
        <w:rPr>
          <w:spacing w:val="-32"/>
          <w:w w:val="115"/>
        </w:rPr>
        <w:t> </w:t>
      </w:r>
      <w:r>
        <w:rPr>
          <w:w w:val="115"/>
        </w:rPr>
        <w:t>tra- tado</w:t>
      </w:r>
      <w:r>
        <w:rPr>
          <w:spacing w:val="-17"/>
          <w:w w:val="115"/>
        </w:rPr>
        <w:t> </w:t>
      </w:r>
      <w:r>
        <w:rPr>
          <w:w w:val="115"/>
        </w:rPr>
        <w:t>de</w:t>
      </w:r>
      <w:r>
        <w:rPr>
          <w:spacing w:val="-17"/>
          <w:w w:val="115"/>
        </w:rPr>
        <w:t> </w:t>
      </w:r>
      <w:r>
        <w:rPr>
          <w:w w:val="115"/>
        </w:rPr>
        <w:t>libre</w:t>
      </w:r>
      <w:r>
        <w:rPr>
          <w:spacing w:val="-17"/>
          <w:w w:val="115"/>
        </w:rPr>
        <w:t> </w:t>
      </w:r>
      <w:r>
        <w:rPr>
          <w:w w:val="115"/>
        </w:rPr>
        <w:t>comercio</w:t>
      </w:r>
      <w:r>
        <w:rPr>
          <w:spacing w:val="-17"/>
          <w:w w:val="115"/>
        </w:rPr>
        <w:t> </w:t>
      </w:r>
      <w:r>
        <w:rPr>
          <w:w w:val="115"/>
        </w:rPr>
        <w:t>no</w:t>
      </w:r>
      <w:r>
        <w:rPr>
          <w:spacing w:val="-17"/>
          <w:w w:val="115"/>
        </w:rPr>
        <w:t> </w:t>
      </w:r>
      <w:r>
        <w:rPr>
          <w:w w:val="115"/>
        </w:rPr>
        <w:t>se</w:t>
      </w:r>
      <w:r>
        <w:rPr>
          <w:spacing w:val="-17"/>
          <w:w w:val="115"/>
        </w:rPr>
        <w:t> </w:t>
      </w:r>
      <w:r>
        <w:rPr>
          <w:w w:val="115"/>
        </w:rPr>
        <w:t>explica</w:t>
      </w:r>
      <w:r>
        <w:rPr>
          <w:spacing w:val="-17"/>
          <w:w w:val="115"/>
        </w:rPr>
        <w:t> </w:t>
      </w:r>
      <w:r>
        <w:rPr>
          <w:w w:val="115"/>
        </w:rPr>
        <w:t>solamente</w:t>
      </w:r>
      <w:r>
        <w:rPr>
          <w:spacing w:val="-17"/>
          <w:w w:val="115"/>
        </w:rPr>
        <w:t> </w:t>
      </w:r>
      <w:r>
        <w:rPr>
          <w:w w:val="115"/>
        </w:rPr>
        <w:t>a</w:t>
      </w:r>
      <w:r>
        <w:rPr>
          <w:spacing w:val="-17"/>
          <w:w w:val="115"/>
        </w:rPr>
        <w:t> </w:t>
      </w:r>
      <w:r>
        <w:rPr>
          <w:w w:val="115"/>
        </w:rPr>
        <w:t>partir</w:t>
      </w:r>
      <w:r>
        <w:rPr>
          <w:spacing w:val="-17"/>
          <w:w w:val="115"/>
        </w:rPr>
        <w:t> </w:t>
      </w:r>
      <w:r>
        <w:rPr>
          <w:w w:val="115"/>
        </w:rPr>
        <w:t>de</w:t>
      </w:r>
      <w:r>
        <w:rPr>
          <w:spacing w:val="-17"/>
          <w:w w:val="115"/>
        </w:rPr>
        <w:t> </w:t>
      </w:r>
      <w:r>
        <w:rPr>
          <w:w w:val="115"/>
        </w:rPr>
        <w:t>las</w:t>
      </w:r>
      <w:r>
        <w:rPr>
          <w:spacing w:val="-17"/>
          <w:w w:val="115"/>
        </w:rPr>
        <w:t> </w:t>
      </w:r>
      <w:r>
        <w:rPr>
          <w:w w:val="115"/>
        </w:rPr>
        <w:t>contra- dicciones</w:t>
      </w:r>
      <w:r>
        <w:rPr>
          <w:spacing w:val="-28"/>
          <w:w w:val="115"/>
        </w:rPr>
        <w:t> </w:t>
      </w:r>
      <w:r>
        <w:rPr>
          <w:w w:val="115"/>
        </w:rPr>
        <w:t>entre</w:t>
      </w:r>
      <w:r>
        <w:rPr>
          <w:spacing w:val="-28"/>
          <w:w w:val="115"/>
        </w:rPr>
        <w:t> </w:t>
      </w:r>
      <w:r>
        <w:rPr>
          <w:w w:val="115"/>
        </w:rPr>
        <w:t>diferentes</w:t>
      </w:r>
      <w:r>
        <w:rPr>
          <w:spacing w:val="-28"/>
          <w:w w:val="115"/>
        </w:rPr>
        <w:t> </w:t>
      </w:r>
      <w:r>
        <w:rPr>
          <w:w w:val="115"/>
        </w:rPr>
        <w:t>grupos</w:t>
      </w:r>
      <w:r>
        <w:rPr>
          <w:spacing w:val="-28"/>
          <w:w w:val="115"/>
        </w:rPr>
        <w:t> </w:t>
      </w:r>
      <w:r>
        <w:rPr>
          <w:w w:val="115"/>
        </w:rPr>
        <w:t>de</w:t>
      </w:r>
      <w:r>
        <w:rPr>
          <w:spacing w:val="-28"/>
          <w:w w:val="115"/>
        </w:rPr>
        <w:t> </w:t>
      </w:r>
      <w:r>
        <w:rPr>
          <w:w w:val="115"/>
        </w:rPr>
        <w:t>interés</w:t>
      </w:r>
      <w:r>
        <w:rPr>
          <w:spacing w:val="-28"/>
          <w:w w:val="115"/>
        </w:rPr>
        <w:t> </w:t>
      </w:r>
      <w:r>
        <w:rPr>
          <w:w w:val="115"/>
        </w:rPr>
        <w:t>al</w:t>
      </w:r>
      <w:r>
        <w:rPr>
          <w:spacing w:val="-28"/>
          <w:w w:val="115"/>
        </w:rPr>
        <w:t> </w:t>
      </w:r>
      <w:r>
        <w:rPr>
          <w:w w:val="115"/>
        </w:rPr>
        <w:t>interior</w:t>
      </w:r>
      <w:r>
        <w:rPr>
          <w:spacing w:val="-28"/>
          <w:w w:val="115"/>
        </w:rPr>
        <w:t> </w:t>
      </w:r>
      <w:r>
        <w:rPr>
          <w:w w:val="115"/>
        </w:rPr>
        <w:t>de</w:t>
      </w:r>
      <w:r>
        <w:rPr>
          <w:spacing w:val="-28"/>
          <w:w w:val="115"/>
        </w:rPr>
        <w:t> </w:t>
      </w:r>
      <w:r>
        <w:rPr>
          <w:w w:val="115"/>
        </w:rPr>
        <w:t>cada</w:t>
      </w:r>
      <w:r>
        <w:rPr>
          <w:spacing w:val="-28"/>
          <w:w w:val="115"/>
        </w:rPr>
        <w:t> </w:t>
      </w:r>
      <w:r>
        <w:rPr>
          <w:w w:val="115"/>
        </w:rPr>
        <w:t>uno</w:t>
      </w:r>
      <w:r>
        <w:rPr>
          <w:spacing w:val="-28"/>
          <w:w w:val="115"/>
        </w:rPr>
        <w:t> </w:t>
      </w:r>
      <w:r>
        <w:rPr>
          <w:w w:val="115"/>
        </w:rPr>
        <w:t>de los</w:t>
      </w:r>
      <w:r>
        <w:rPr>
          <w:spacing w:val="-14"/>
          <w:w w:val="115"/>
        </w:rPr>
        <w:t> </w:t>
      </w:r>
      <w:r>
        <w:rPr>
          <w:w w:val="115"/>
        </w:rPr>
        <w:t>países</w:t>
      </w:r>
      <w:r>
        <w:rPr>
          <w:spacing w:val="-14"/>
          <w:w w:val="115"/>
        </w:rPr>
        <w:t> </w:t>
      </w:r>
      <w:r>
        <w:rPr>
          <w:w w:val="115"/>
        </w:rPr>
        <w:t>americanos</w:t>
      </w:r>
      <w:r>
        <w:rPr>
          <w:spacing w:val="-14"/>
          <w:w w:val="115"/>
        </w:rPr>
        <w:t> </w:t>
      </w:r>
      <w:r>
        <w:rPr>
          <w:w w:val="115"/>
        </w:rPr>
        <w:t>y</w:t>
      </w:r>
      <w:r>
        <w:rPr>
          <w:spacing w:val="-14"/>
          <w:w w:val="115"/>
        </w:rPr>
        <w:t> </w:t>
      </w:r>
      <w:r>
        <w:rPr>
          <w:w w:val="115"/>
        </w:rPr>
        <w:t>de</w:t>
      </w:r>
      <w:r>
        <w:rPr>
          <w:spacing w:val="-14"/>
          <w:w w:val="115"/>
        </w:rPr>
        <w:t> </w:t>
      </w:r>
      <w:r>
        <w:rPr>
          <w:w w:val="115"/>
        </w:rPr>
        <w:t>la</w:t>
      </w:r>
      <w:r>
        <w:rPr>
          <w:spacing w:val="-14"/>
          <w:w w:val="115"/>
        </w:rPr>
        <w:t> </w:t>
      </w:r>
      <w:r>
        <w:rPr>
          <w:w w:val="115"/>
        </w:rPr>
        <w:t>reticencia</w:t>
      </w:r>
      <w:r>
        <w:rPr>
          <w:spacing w:val="-14"/>
          <w:w w:val="115"/>
        </w:rPr>
        <w:t> </w:t>
      </w:r>
      <w:r>
        <w:rPr>
          <w:w w:val="115"/>
        </w:rPr>
        <w:t>de</w:t>
      </w:r>
      <w:r>
        <w:rPr>
          <w:spacing w:val="-14"/>
          <w:w w:val="115"/>
        </w:rPr>
        <w:t> </w:t>
      </w:r>
      <w:r>
        <w:rPr>
          <w:w w:val="115"/>
        </w:rPr>
        <w:t>Estados</w:t>
      </w:r>
      <w:r>
        <w:rPr>
          <w:spacing w:val="-14"/>
          <w:w w:val="115"/>
        </w:rPr>
        <w:t> </w:t>
      </w:r>
      <w:r>
        <w:rPr>
          <w:w w:val="115"/>
        </w:rPr>
        <w:t>unidos</w:t>
      </w:r>
      <w:r>
        <w:rPr>
          <w:spacing w:val="-14"/>
          <w:w w:val="115"/>
        </w:rPr>
        <w:t> </w:t>
      </w:r>
      <w:r>
        <w:rPr>
          <w:w w:val="115"/>
        </w:rPr>
        <w:t>a</w:t>
      </w:r>
      <w:r>
        <w:rPr>
          <w:spacing w:val="-14"/>
          <w:w w:val="115"/>
        </w:rPr>
        <w:t> </w:t>
      </w:r>
      <w:r>
        <w:rPr>
          <w:w w:val="115"/>
        </w:rPr>
        <w:t>recortar sus</w:t>
      </w:r>
      <w:r>
        <w:rPr>
          <w:spacing w:val="-21"/>
          <w:w w:val="115"/>
        </w:rPr>
        <w:t> </w:t>
      </w:r>
      <w:r>
        <w:rPr>
          <w:w w:val="115"/>
        </w:rPr>
        <w:t>subsidios</w:t>
      </w:r>
      <w:r>
        <w:rPr>
          <w:spacing w:val="-21"/>
          <w:w w:val="115"/>
        </w:rPr>
        <w:t> </w:t>
      </w:r>
      <w:r>
        <w:rPr>
          <w:w w:val="115"/>
        </w:rPr>
        <w:t>agropecuarios,</w:t>
      </w:r>
      <w:r>
        <w:rPr>
          <w:spacing w:val="-21"/>
          <w:w w:val="115"/>
        </w:rPr>
        <w:t> </w:t>
      </w:r>
      <w:r>
        <w:rPr>
          <w:w w:val="115"/>
        </w:rPr>
        <w:t>sino</w:t>
      </w:r>
      <w:r>
        <w:rPr>
          <w:spacing w:val="-21"/>
          <w:w w:val="115"/>
        </w:rPr>
        <w:t> </w:t>
      </w:r>
      <w:r>
        <w:rPr>
          <w:w w:val="115"/>
        </w:rPr>
        <w:t>también</w:t>
      </w:r>
      <w:r>
        <w:rPr>
          <w:spacing w:val="-21"/>
          <w:w w:val="115"/>
        </w:rPr>
        <w:t> </w:t>
      </w:r>
      <w:r>
        <w:rPr>
          <w:w w:val="115"/>
        </w:rPr>
        <w:t>por</w:t>
      </w:r>
      <w:r>
        <w:rPr>
          <w:spacing w:val="-21"/>
          <w:w w:val="115"/>
        </w:rPr>
        <w:t> </w:t>
      </w:r>
      <w:r>
        <w:rPr>
          <w:w w:val="115"/>
        </w:rPr>
        <w:t>la</w:t>
      </w:r>
      <w:r>
        <w:rPr>
          <w:spacing w:val="-21"/>
          <w:w w:val="115"/>
        </w:rPr>
        <w:t> </w:t>
      </w:r>
      <w:r>
        <w:rPr>
          <w:w w:val="115"/>
        </w:rPr>
        <w:t>creciente</w:t>
      </w:r>
      <w:r>
        <w:rPr>
          <w:spacing w:val="-21"/>
          <w:w w:val="115"/>
        </w:rPr>
        <w:t> </w:t>
      </w:r>
      <w:r>
        <w:rPr>
          <w:w w:val="115"/>
        </w:rPr>
        <w:t>oposición </w:t>
      </w:r>
      <w:r>
        <w:rPr>
          <w:w w:val="111"/>
        </w:rPr>
        <w:t>política</w:t>
      </w:r>
      <w:r>
        <w:rPr>
          <w:spacing w:val="18"/>
        </w:rPr>
        <w:t> </w:t>
      </w:r>
      <w:r>
        <w:rPr>
          <w:w w:val="108"/>
        </w:rPr>
        <w:t>en</w:t>
      </w:r>
      <w:r>
        <w:rPr>
          <w:spacing w:val="18"/>
        </w:rPr>
        <w:t> </w:t>
      </w:r>
      <w:r>
        <w:rPr>
          <w:w w:val="139"/>
        </w:rPr>
        <w:t>a</w:t>
      </w:r>
      <w:r>
        <w:rPr>
          <w:w w:val="111"/>
        </w:rPr>
        <w:t>mérica</w:t>
      </w:r>
      <w:r>
        <w:rPr>
          <w:spacing w:val="18"/>
        </w:rPr>
        <w:t> </w:t>
      </w:r>
      <w:r>
        <w:rPr>
          <w:w w:val="243"/>
        </w:rPr>
        <w:t>l</w:t>
      </w:r>
      <w:r>
        <w:rPr>
          <w:w w:val="111"/>
        </w:rPr>
        <w:t>atina:</w:t>
      </w:r>
      <w:r>
        <w:rPr>
          <w:spacing w:val="18"/>
        </w:rPr>
        <w:t> </w:t>
      </w:r>
      <w:r>
        <w:rPr>
          <w:w w:val="112"/>
        </w:rPr>
        <w:t>cambio</w:t>
      </w:r>
      <w:r>
        <w:rPr>
          <w:spacing w:val="18"/>
        </w:rPr>
        <w:t> </w:t>
      </w:r>
      <w:r>
        <w:rPr>
          <w:w w:val="107"/>
        </w:rPr>
        <w:t>de</w:t>
      </w:r>
      <w:r>
        <w:rPr>
          <w:spacing w:val="18"/>
        </w:rPr>
        <w:t> </w:t>
      </w:r>
      <w:r>
        <w:rPr>
          <w:w w:val="110"/>
        </w:rPr>
        <w:t>signo</w:t>
      </w:r>
      <w:r>
        <w:rPr>
          <w:spacing w:val="18"/>
        </w:rPr>
        <w:t> </w:t>
      </w:r>
      <w:r>
        <w:rPr>
          <w:w w:val="107"/>
        </w:rPr>
        <w:t>de</w:t>
      </w:r>
      <w:r>
        <w:rPr>
          <w:spacing w:val="18"/>
        </w:rPr>
        <w:t> </w:t>
      </w:r>
      <w:r>
        <w:rPr>
          <w:w w:val="108"/>
        </w:rPr>
        <w:t>los</w:t>
      </w:r>
      <w:r>
        <w:rPr>
          <w:spacing w:val="18"/>
        </w:rPr>
        <w:t> </w:t>
      </w:r>
      <w:r>
        <w:rPr>
          <w:w w:val="109"/>
        </w:rPr>
        <w:t>gobiernos</w:t>
      </w:r>
      <w:r>
        <w:rPr>
          <w:spacing w:val="18"/>
        </w:rPr>
        <w:t> </w:t>
      </w:r>
      <w:r>
        <w:rPr>
          <w:w w:val="107"/>
        </w:rPr>
        <w:t>de</w:t>
      </w:r>
      <w:r>
        <w:rPr>
          <w:spacing w:val="18"/>
        </w:rPr>
        <w:t> </w:t>
      </w:r>
      <w:r>
        <w:rPr>
          <w:w w:val="109"/>
        </w:rPr>
        <w:t>di</w:t>
      </w:r>
      <w:r>
        <w:rPr>
          <w:spacing w:val="1"/>
          <w:w w:val="109"/>
        </w:rPr>
        <w:t>s</w:t>
      </w:r>
      <w:r>
        <w:rPr>
          <w:w w:val="102"/>
        </w:rPr>
        <w:t>- </w:t>
      </w:r>
      <w:r>
        <w:rPr>
          <w:w w:val="115"/>
        </w:rPr>
        <w:t>tintos países latinoamericanos, sublevaciones populares, creciente movilización anti-alCa (Foro social Mundial, alianza social Con- tinental, Cumbres de los Pueblos), y surgimiento de un proyecto de integración</w:t>
      </w:r>
      <w:r>
        <w:rPr>
          <w:spacing w:val="-8"/>
          <w:w w:val="115"/>
        </w:rPr>
        <w:t> </w:t>
      </w:r>
      <w:r>
        <w:rPr>
          <w:w w:val="115"/>
        </w:rPr>
        <w:t>alternativa,</w:t>
      </w:r>
      <w:r>
        <w:rPr>
          <w:spacing w:val="-8"/>
          <w:w w:val="115"/>
        </w:rPr>
        <w:t> </w:t>
      </w:r>
      <w:r>
        <w:rPr>
          <w:w w:val="115"/>
        </w:rPr>
        <w:t>en</w:t>
      </w:r>
      <w:r>
        <w:rPr>
          <w:spacing w:val="-8"/>
          <w:w w:val="115"/>
        </w:rPr>
        <w:t> </w:t>
      </w:r>
      <w:r>
        <w:rPr>
          <w:w w:val="115"/>
        </w:rPr>
        <w:t>torno</w:t>
      </w:r>
      <w:r>
        <w:rPr>
          <w:spacing w:val="-8"/>
          <w:w w:val="115"/>
        </w:rPr>
        <w:t> </w:t>
      </w:r>
      <w:r>
        <w:rPr>
          <w:w w:val="115"/>
        </w:rPr>
        <w:t>al</w:t>
      </w:r>
      <w:r>
        <w:rPr>
          <w:spacing w:val="-8"/>
          <w:w w:val="115"/>
        </w:rPr>
        <w:t> </w:t>
      </w:r>
      <w:r>
        <w:rPr>
          <w:w w:val="125"/>
        </w:rPr>
        <w:t>alba,</w:t>
      </w:r>
      <w:r>
        <w:rPr>
          <w:spacing w:val="-12"/>
          <w:w w:val="125"/>
        </w:rPr>
        <w:t> </w:t>
      </w:r>
      <w:r>
        <w:rPr>
          <w:w w:val="115"/>
        </w:rPr>
        <w:t>tomado</w:t>
      </w:r>
      <w:r>
        <w:rPr>
          <w:spacing w:val="-8"/>
          <w:w w:val="115"/>
        </w:rPr>
        <w:t> </w:t>
      </w:r>
      <w:r>
        <w:rPr>
          <w:w w:val="115"/>
        </w:rPr>
        <w:t>como</w:t>
      </w:r>
      <w:r>
        <w:rPr>
          <w:spacing w:val="-8"/>
          <w:w w:val="115"/>
        </w:rPr>
        <w:t> </w:t>
      </w:r>
      <w:r>
        <w:rPr>
          <w:w w:val="115"/>
        </w:rPr>
        <w:t>bandera</w:t>
      </w:r>
      <w:r>
        <w:rPr>
          <w:spacing w:val="-8"/>
          <w:w w:val="115"/>
        </w:rPr>
        <w:t> </w:t>
      </w:r>
      <w:r>
        <w:rPr>
          <w:w w:val="115"/>
        </w:rPr>
        <w:t>por los</w:t>
      </w:r>
      <w:r>
        <w:rPr>
          <w:spacing w:val="-6"/>
          <w:w w:val="115"/>
        </w:rPr>
        <w:t> </w:t>
      </w:r>
      <w:r>
        <w:rPr>
          <w:w w:val="115"/>
        </w:rPr>
        <w:t>movimientos</w:t>
      </w:r>
      <w:r>
        <w:rPr>
          <w:spacing w:val="-6"/>
          <w:w w:val="115"/>
        </w:rPr>
        <w:t> </w:t>
      </w:r>
      <w:r>
        <w:rPr>
          <w:w w:val="115"/>
        </w:rPr>
        <w:t>sociales</w:t>
      </w:r>
      <w:r>
        <w:rPr>
          <w:spacing w:val="-6"/>
          <w:w w:val="115"/>
        </w:rPr>
        <w:t> </w:t>
      </w:r>
      <w:r>
        <w:rPr>
          <w:w w:val="115"/>
        </w:rPr>
        <w:t>latinoamericanos.</w:t>
      </w:r>
      <w:r>
        <w:rPr>
          <w:spacing w:val="-6"/>
          <w:w w:val="115"/>
        </w:rPr>
        <w:t> </w:t>
      </w:r>
      <w:r>
        <w:rPr>
          <w:w w:val="115"/>
        </w:rPr>
        <w:t>Cuando</w:t>
      </w:r>
      <w:r>
        <w:rPr>
          <w:spacing w:val="-6"/>
          <w:w w:val="115"/>
        </w:rPr>
        <w:t> </w:t>
      </w:r>
      <w:r>
        <w:rPr>
          <w:w w:val="115"/>
        </w:rPr>
        <w:t>se</w:t>
      </w:r>
      <w:r>
        <w:rPr>
          <w:spacing w:val="-6"/>
          <w:w w:val="115"/>
        </w:rPr>
        <w:t> </w:t>
      </w:r>
      <w:r>
        <w:rPr>
          <w:w w:val="115"/>
        </w:rPr>
        <w:t>estaban</w:t>
      </w:r>
      <w:r>
        <w:rPr>
          <w:spacing w:val="-6"/>
          <w:w w:val="115"/>
        </w:rPr>
        <w:t> </w:t>
      </w:r>
      <w:r>
        <w:rPr>
          <w:w w:val="115"/>
        </w:rPr>
        <w:t>difi- cultando las negociaciones para liberalizar el comercio interameri- cano, brasil impulsó la creación de la Comunidad sudamericana de Naciones (CsN), luego reemplazada por la unión de Naciones suda- mericanas  </w:t>
      </w:r>
      <w:r>
        <w:rPr>
          <w:spacing w:val="26"/>
          <w:w w:val="115"/>
        </w:rPr>
        <w:t> </w:t>
      </w:r>
      <w:r>
        <w:rPr>
          <w:w w:val="115"/>
        </w:rPr>
        <w:t>(uNasur).</w:t>
      </w:r>
    </w:p>
    <w:p>
      <w:pPr>
        <w:pStyle w:val="BodyText"/>
        <w:spacing w:line="252" w:lineRule="auto"/>
        <w:ind w:left="120" w:right="328" w:firstLine="397"/>
        <w:jc w:val="both"/>
      </w:pPr>
      <w:r>
        <w:rPr>
          <w:spacing w:val="-3"/>
          <w:w w:val="120"/>
        </w:rPr>
        <w:t>Veamos,</w:t>
      </w:r>
      <w:r>
        <w:rPr>
          <w:spacing w:val="-20"/>
          <w:w w:val="120"/>
        </w:rPr>
        <w:t> </w:t>
      </w:r>
      <w:r>
        <w:rPr>
          <w:w w:val="120"/>
        </w:rPr>
        <w:t>más</w:t>
      </w:r>
      <w:r>
        <w:rPr>
          <w:spacing w:val="-20"/>
          <w:w w:val="120"/>
        </w:rPr>
        <w:t> </w:t>
      </w:r>
      <w:r>
        <w:rPr>
          <w:w w:val="120"/>
        </w:rPr>
        <w:t>en</w:t>
      </w:r>
      <w:r>
        <w:rPr>
          <w:spacing w:val="-20"/>
          <w:w w:val="120"/>
        </w:rPr>
        <w:t> </w:t>
      </w:r>
      <w:r>
        <w:rPr>
          <w:w w:val="120"/>
        </w:rPr>
        <w:t>detalle,</w:t>
      </w:r>
      <w:r>
        <w:rPr>
          <w:spacing w:val="-20"/>
          <w:w w:val="120"/>
        </w:rPr>
        <w:t> </w:t>
      </w:r>
      <w:r>
        <w:rPr>
          <w:w w:val="120"/>
        </w:rPr>
        <w:t>las</w:t>
      </w:r>
      <w:r>
        <w:rPr>
          <w:spacing w:val="-20"/>
          <w:w w:val="120"/>
        </w:rPr>
        <w:t> </w:t>
      </w:r>
      <w:r>
        <w:rPr>
          <w:w w:val="120"/>
        </w:rPr>
        <w:t>alternativas</w:t>
      </w:r>
      <w:r>
        <w:rPr>
          <w:spacing w:val="-20"/>
          <w:w w:val="120"/>
        </w:rPr>
        <w:t> </w:t>
      </w:r>
      <w:r>
        <w:rPr>
          <w:w w:val="120"/>
        </w:rPr>
        <w:t>de</w:t>
      </w:r>
      <w:r>
        <w:rPr>
          <w:spacing w:val="-20"/>
          <w:w w:val="120"/>
        </w:rPr>
        <w:t> </w:t>
      </w:r>
      <w:r>
        <w:rPr>
          <w:w w:val="120"/>
        </w:rPr>
        <w:t>las</w:t>
      </w:r>
      <w:r>
        <w:rPr>
          <w:spacing w:val="-20"/>
          <w:w w:val="120"/>
        </w:rPr>
        <w:t> </w:t>
      </w:r>
      <w:r>
        <w:rPr>
          <w:w w:val="120"/>
        </w:rPr>
        <w:t>dos</w:t>
      </w:r>
      <w:r>
        <w:rPr>
          <w:spacing w:val="-20"/>
          <w:w w:val="120"/>
        </w:rPr>
        <w:t> </w:t>
      </w:r>
      <w:r>
        <w:rPr>
          <w:w w:val="120"/>
        </w:rPr>
        <w:t>Cumbres</w:t>
      </w:r>
      <w:r>
        <w:rPr>
          <w:spacing w:val="-20"/>
          <w:w w:val="120"/>
        </w:rPr>
        <w:t> </w:t>
      </w:r>
      <w:r>
        <w:rPr>
          <w:w w:val="120"/>
        </w:rPr>
        <w:t>de </w:t>
      </w:r>
      <w:r>
        <w:rPr>
          <w:w w:val="109"/>
        </w:rPr>
        <w:t>las</w:t>
      </w:r>
      <w:r>
        <w:rPr/>
        <w:t> </w:t>
      </w:r>
      <w:r>
        <w:rPr>
          <w:spacing w:val="-13"/>
        </w:rPr>
        <w:t> </w:t>
      </w:r>
      <w:r>
        <w:rPr>
          <w:w w:val="139"/>
        </w:rPr>
        <w:t>a</w:t>
      </w:r>
      <w:r>
        <w:rPr>
          <w:w w:val="110"/>
        </w:rPr>
        <w:t>méricas</w:t>
      </w:r>
      <w:r>
        <w:rPr/>
        <w:t> </w:t>
      </w:r>
      <w:r>
        <w:rPr>
          <w:spacing w:val="-13"/>
        </w:rPr>
        <w:t> </w:t>
      </w:r>
      <w:r>
        <w:rPr>
          <w:w w:val="109"/>
        </w:rPr>
        <w:t>realizadas</w:t>
      </w:r>
      <w:r>
        <w:rPr/>
        <w:t> </w:t>
      </w:r>
      <w:r>
        <w:rPr>
          <w:spacing w:val="-13"/>
        </w:rPr>
        <w:t> </w:t>
      </w:r>
      <w:r>
        <w:rPr>
          <w:w w:val="109"/>
        </w:rPr>
        <w:t>durante</w:t>
      </w:r>
      <w:r>
        <w:rPr/>
        <w:t> </w:t>
      </w:r>
      <w:r>
        <w:rPr>
          <w:spacing w:val="-13"/>
        </w:rPr>
        <w:t> </w:t>
      </w:r>
      <w:r>
        <w:rPr>
          <w:w w:val="111"/>
        </w:rPr>
        <w:t>la</w:t>
      </w:r>
      <w:r>
        <w:rPr/>
        <w:t> </w:t>
      </w:r>
      <w:r>
        <w:rPr>
          <w:spacing w:val="-13"/>
        </w:rPr>
        <w:t> </w:t>
      </w:r>
      <w:r>
        <w:rPr>
          <w:w w:val="139"/>
        </w:rPr>
        <w:t>a</w:t>
      </w:r>
      <w:r>
        <w:rPr>
          <w:w w:val="111"/>
        </w:rPr>
        <w:t>dministración</w:t>
      </w:r>
      <w:r>
        <w:rPr/>
        <w:t> </w:t>
      </w:r>
      <w:r>
        <w:rPr>
          <w:spacing w:val="-13"/>
        </w:rPr>
        <w:t> </w:t>
      </w:r>
      <w:r>
        <w:rPr>
          <w:w w:val="134"/>
        </w:rPr>
        <w:t>b</w:t>
      </w:r>
      <w:r>
        <w:rPr>
          <w:w w:val="114"/>
        </w:rPr>
        <w:t>ush.</w:t>
      </w:r>
      <w:r>
        <w:rPr/>
        <w:t> </w:t>
      </w:r>
      <w:r>
        <w:rPr>
          <w:spacing w:val="-13"/>
        </w:rPr>
        <w:t> </w:t>
      </w:r>
      <w:r>
        <w:rPr>
          <w:w w:val="243"/>
        </w:rPr>
        <w:t>l</w:t>
      </w:r>
      <w:r>
        <w:rPr>
          <w:w w:val="112"/>
        </w:rPr>
        <w:t>a</w:t>
      </w:r>
      <w:r>
        <w:rPr/>
        <w:t> </w:t>
      </w:r>
      <w:r>
        <w:rPr>
          <w:spacing w:val="-13"/>
        </w:rPr>
        <w:t> </w:t>
      </w:r>
      <w:r>
        <w:rPr>
          <w:spacing w:val="-18"/>
          <w:w w:val="195"/>
        </w:rPr>
        <w:t>t</w:t>
      </w:r>
      <w:r>
        <w:rPr>
          <w:w w:val="107"/>
        </w:rPr>
        <w:t>ercera </w:t>
      </w:r>
      <w:r>
        <w:rPr>
          <w:w w:val="115"/>
        </w:rPr>
        <w:t>Cumbre</w:t>
      </w:r>
      <w:r>
        <w:rPr>
          <w:spacing w:val="-22"/>
          <w:w w:val="115"/>
        </w:rPr>
        <w:t> </w:t>
      </w:r>
      <w:r>
        <w:rPr>
          <w:w w:val="115"/>
        </w:rPr>
        <w:t>se</w:t>
      </w:r>
      <w:r>
        <w:rPr>
          <w:spacing w:val="-22"/>
          <w:w w:val="115"/>
        </w:rPr>
        <w:t> </w:t>
      </w:r>
      <w:r>
        <w:rPr>
          <w:w w:val="115"/>
        </w:rPr>
        <w:t>realizó</w:t>
      </w:r>
      <w:r>
        <w:rPr>
          <w:spacing w:val="-22"/>
          <w:w w:val="115"/>
        </w:rPr>
        <w:t> </w:t>
      </w:r>
      <w:r>
        <w:rPr>
          <w:w w:val="115"/>
        </w:rPr>
        <w:t>en</w:t>
      </w:r>
      <w:r>
        <w:rPr>
          <w:spacing w:val="-22"/>
          <w:w w:val="115"/>
        </w:rPr>
        <w:t> </w:t>
      </w:r>
      <w:r>
        <w:rPr>
          <w:w w:val="115"/>
        </w:rPr>
        <w:t>Québec,</w:t>
      </w:r>
      <w:r>
        <w:rPr>
          <w:spacing w:val="-22"/>
          <w:w w:val="115"/>
        </w:rPr>
        <w:t> </w:t>
      </w:r>
      <w:r>
        <w:rPr>
          <w:w w:val="115"/>
        </w:rPr>
        <w:t>entre</w:t>
      </w:r>
      <w:r>
        <w:rPr>
          <w:spacing w:val="-22"/>
          <w:w w:val="115"/>
        </w:rPr>
        <w:t> </w:t>
      </w:r>
      <w:r>
        <w:rPr>
          <w:w w:val="115"/>
        </w:rPr>
        <w:t>el</w:t>
      </w:r>
      <w:r>
        <w:rPr>
          <w:spacing w:val="-22"/>
          <w:w w:val="115"/>
        </w:rPr>
        <w:t> </w:t>
      </w:r>
      <w:r>
        <w:rPr>
          <w:w w:val="115"/>
        </w:rPr>
        <w:t>20</w:t>
      </w:r>
      <w:r>
        <w:rPr>
          <w:spacing w:val="-22"/>
          <w:w w:val="115"/>
        </w:rPr>
        <w:t> </w:t>
      </w:r>
      <w:r>
        <w:rPr>
          <w:w w:val="115"/>
        </w:rPr>
        <w:t>y</w:t>
      </w:r>
      <w:r>
        <w:rPr>
          <w:spacing w:val="-22"/>
          <w:w w:val="115"/>
        </w:rPr>
        <w:t> </w:t>
      </w:r>
      <w:r>
        <w:rPr>
          <w:w w:val="115"/>
        </w:rPr>
        <w:t>el</w:t>
      </w:r>
      <w:r>
        <w:rPr>
          <w:spacing w:val="-22"/>
          <w:w w:val="115"/>
        </w:rPr>
        <w:t> </w:t>
      </w:r>
      <w:r>
        <w:rPr>
          <w:w w:val="115"/>
        </w:rPr>
        <w:t>22</w:t>
      </w:r>
      <w:r>
        <w:rPr>
          <w:spacing w:val="-22"/>
          <w:w w:val="115"/>
        </w:rPr>
        <w:t> </w:t>
      </w:r>
      <w:r>
        <w:rPr>
          <w:w w:val="115"/>
        </w:rPr>
        <w:t>de</w:t>
      </w:r>
      <w:r>
        <w:rPr>
          <w:spacing w:val="-22"/>
          <w:w w:val="115"/>
        </w:rPr>
        <w:t> </w:t>
      </w:r>
      <w:r>
        <w:rPr>
          <w:w w:val="115"/>
        </w:rPr>
        <w:t>abril</w:t>
      </w:r>
      <w:r>
        <w:rPr>
          <w:spacing w:val="-22"/>
          <w:w w:val="115"/>
        </w:rPr>
        <w:t> </w:t>
      </w:r>
      <w:r>
        <w:rPr>
          <w:w w:val="115"/>
        </w:rPr>
        <w:t>de</w:t>
      </w:r>
      <w:r>
        <w:rPr>
          <w:spacing w:val="-22"/>
          <w:w w:val="115"/>
        </w:rPr>
        <w:t> </w:t>
      </w:r>
      <w:r>
        <w:rPr>
          <w:w w:val="115"/>
        </w:rPr>
        <w:t>2001.</w:t>
      </w:r>
      <w:r>
        <w:rPr>
          <w:spacing w:val="-22"/>
          <w:w w:val="115"/>
        </w:rPr>
        <w:t> </w:t>
      </w:r>
      <w:r>
        <w:rPr>
          <w:w w:val="115"/>
        </w:rPr>
        <w:t>En</w:t>
      </w:r>
      <w:r>
        <w:rPr>
          <w:spacing w:val="-22"/>
          <w:w w:val="115"/>
        </w:rPr>
        <w:t> </w:t>
      </w:r>
      <w:r>
        <w:rPr>
          <w:w w:val="115"/>
        </w:rPr>
        <w:t>la agenda</w:t>
      </w:r>
      <w:r>
        <w:rPr>
          <w:spacing w:val="-18"/>
          <w:w w:val="115"/>
        </w:rPr>
        <w:t> </w:t>
      </w:r>
      <w:r>
        <w:rPr>
          <w:w w:val="115"/>
        </w:rPr>
        <w:t>hubo</w:t>
      </w:r>
      <w:r>
        <w:rPr>
          <w:spacing w:val="-18"/>
          <w:w w:val="115"/>
        </w:rPr>
        <w:t> </w:t>
      </w:r>
      <w:r>
        <w:rPr>
          <w:w w:val="115"/>
        </w:rPr>
        <w:t>18</w:t>
      </w:r>
      <w:r>
        <w:rPr>
          <w:spacing w:val="-18"/>
          <w:w w:val="115"/>
        </w:rPr>
        <w:t> </w:t>
      </w:r>
      <w:r>
        <w:rPr>
          <w:w w:val="115"/>
        </w:rPr>
        <w:t>temas</w:t>
      </w:r>
      <w:r>
        <w:rPr>
          <w:spacing w:val="-18"/>
          <w:w w:val="115"/>
        </w:rPr>
        <w:t> </w:t>
      </w:r>
      <w:r>
        <w:rPr>
          <w:w w:val="115"/>
        </w:rPr>
        <w:t>que</w:t>
      </w:r>
      <w:r>
        <w:rPr>
          <w:spacing w:val="-18"/>
          <w:w w:val="115"/>
        </w:rPr>
        <w:t> </w:t>
      </w:r>
      <w:r>
        <w:rPr>
          <w:w w:val="115"/>
        </w:rPr>
        <w:t>se</w:t>
      </w:r>
      <w:r>
        <w:rPr>
          <w:spacing w:val="-18"/>
          <w:w w:val="115"/>
        </w:rPr>
        <w:t> </w:t>
      </w:r>
      <w:r>
        <w:rPr>
          <w:w w:val="115"/>
        </w:rPr>
        <w:t>tradujeron</w:t>
      </w:r>
      <w:r>
        <w:rPr>
          <w:spacing w:val="-18"/>
          <w:w w:val="115"/>
        </w:rPr>
        <w:t> </w:t>
      </w:r>
      <w:r>
        <w:rPr>
          <w:w w:val="115"/>
        </w:rPr>
        <w:t>en</w:t>
      </w:r>
      <w:r>
        <w:rPr>
          <w:spacing w:val="-18"/>
          <w:w w:val="115"/>
        </w:rPr>
        <w:t> </w:t>
      </w:r>
      <w:r>
        <w:rPr>
          <w:w w:val="115"/>
        </w:rPr>
        <w:t>254</w:t>
      </w:r>
      <w:r>
        <w:rPr>
          <w:spacing w:val="-18"/>
          <w:w w:val="115"/>
        </w:rPr>
        <w:t> </w:t>
      </w:r>
      <w:r>
        <w:rPr>
          <w:w w:val="115"/>
        </w:rPr>
        <w:t>mandatos,</w:t>
      </w:r>
      <w:r>
        <w:rPr>
          <w:spacing w:val="-18"/>
          <w:w w:val="115"/>
        </w:rPr>
        <w:t> </w:t>
      </w:r>
      <w:r>
        <w:rPr>
          <w:w w:val="115"/>
        </w:rPr>
        <w:t>incluyen- do</w:t>
      </w:r>
      <w:r>
        <w:rPr>
          <w:spacing w:val="-17"/>
          <w:w w:val="115"/>
        </w:rPr>
        <w:t> </w:t>
      </w:r>
      <w:r>
        <w:rPr>
          <w:w w:val="115"/>
        </w:rPr>
        <w:t>tópicos</w:t>
      </w:r>
      <w:r>
        <w:rPr>
          <w:spacing w:val="-17"/>
          <w:w w:val="115"/>
        </w:rPr>
        <w:t> </w:t>
      </w:r>
      <w:r>
        <w:rPr>
          <w:w w:val="115"/>
        </w:rPr>
        <w:t>como:</w:t>
      </w:r>
      <w:r>
        <w:rPr>
          <w:spacing w:val="-17"/>
          <w:w w:val="115"/>
        </w:rPr>
        <w:t> </w:t>
      </w:r>
      <w:r>
        <w:rPr>
          <w:w w:val="115"/>
        </w:rPr>
        <w:t>democracia,</w:t>
      </w:r>
      <w:r>
        <w:rPr>
          <w:spacing w:val="-17"/>
          <w:w w:val="115"/>
        </w:rPr>
        <w:t> </w:t>
      </w:r>
      <w:r>
        <w:rPr>
          <w:w w:val="115"/>
        </w:rPr>
        <w:t>derechos</w:t>
      </w:r>
      <w:r>
        <w:rPr>
          <w:spacing w:val="-17"/>
          <w:w w:val="115"/>
        </w:rPr>
        <w:t> </w:t>
      </w:r>
      <w:r>
        <w:rPr>
          <w:w w:val="115"/>
        </w:rPr>
        <w:t>humanos,</w:t>
      </w:r>
      <w:r>
        <w:rPr>
          <w:spacing w:val="-17"/>
          <w:w w:val="115"/>
        </w:rPr>
        <w:t> </w:t>
      </w:r>
      <w:r>
        <w:rPr>
          <w:w w:val="115"/>
        </w:rPr>
        <w:t>justicia,</w:t>
      </w:r>
      <w:r>
        <w:rPr>
          <w:spacing w:val="-17"/>
          <w:w w:val="115"/>
        </w:rPr>
        <w:t> </w:t>
      </w:r>
      <w:r>
        <w:rPr>
          <w:w w:val="115"/>
        </w:rPr>
        <w:t>seguridad hemisférica,</w:t>
      </w:r>
      <w:r>
        <w:rPr>
          <w:spacing w:val="-28"/>
          <w:w w:val="115"/>
        </w:rPr>
        <w:t> </w:t>
      </w:r>
      <w:r>
        <w:rPr>
          <w:w w:val="115"/>
        </w:rPr>
        <w:t>sociedad</w:t>
      </w:r>
      <w:r>
        <w:rPr>
          <w:spacing w:val="-28"/>
          <w:w w:val="115"/>
        </w:rPr>
        <w:t> </w:t>
      </w:r>
      <w:r>
        <w:rPr>
          <w:w w:val="115"/>
        </w:rPr>
        <w:t>civil,</w:t>
      </w:r>
      <w:r>
        <w:rPr>
          <w:spacing w:val="-28"/>
          <w:w w:val="115"/>
        </w:rPr>
        <w:t> </w:t>
      </w:r>
      <w:r>
        <w:rPr>
          <w:w w:val="115"/>
        </w:rPr>
        <w:t>comercio,</w:t>
      </w:r>
      <w:r>
        <w:rPr>
          <w:spacing w:val="-28"/>
          <w:w w:val="115"/>
        </w:rPr>
        <w:t> </w:t>
      </w:r>
      <w:r>
        <w:rPr>
          <w:w w:val="115"/>
        </w:rPr>
        <w:t>gestión</w:t>
      </w:r>
      <w:r>
        <w:rPr>
          <w:spacing w:val="-28"/>
          <w:w w:val="115"/>
        </w:rPr>
        <w:t> </w:t>
      </w:r>
      <w:r>
        <w:rPr>
          <w:w w:val="115"/>
        </w:rPr>
        <w:t>de</w:t>
      </w:r>
      <w:r>
        <w:rPr>
          <w:spacing w:val="-28"/>
          <w:w w:val="115"/>
        </w:rPr>
        <w:t> </w:t>
      </w:r>
      <w:r>
        <w:rPr>
          <w:w w:val="115"/>
        </w:rPr>
        <w:t>desastres,</w:t>
      </w:r>
      <w:r>
        <w:rPr>
          <w:spacing w:val="-28"/>
          <w:w w:val="115"/>
        </w:rPr>
        <w:t> </w:t>
      </w:r>
      <w:r>
        <w:rPr>
          <w:w w:val="115"/>
        </w:rPr>
        <w:t>desarrollo sostenible,</w:t>
      </w:r>
      <w:r>
        <w:rPr>
          <w:spacing w:val="-12"/>
          <w:w w:val="115"/>
        </w:rPr>
        <w:t> </w:t>
      </w:r>
      <w:r>
        <w:rPr>
          <w:w w:val="115"/>
        </w:rPr>
        <w:t>desarrollo</w:t>
      </w:r>
      <w:r>
        <w:rPr>
          <w:spacing w:val="-12"/>
          <w:w w:val="115"/>
        </w:rPr>
        <w:t> </w:t>
      </w:r>
      <w:r>
        <w:rPr>
          <w:w w:val="115"/>
        </w:rPr>
        <w:t>rural,</w:t>
      </w:r>
      <w:r>
        <w:rPr>
          <w:spacing w:val="-12"/>
          <w:w w:val="115"/>
        </w:rPr>
        <w:t> </w:t>
      </w:r>
      <w:r>
        <w:rPr>
          <w:w w:val="115"/>
        </w:rPr>
        <w:t>crecimiento</w:t>
      </w:r>
      <w:r>
        <w:rPr>
          <w:spacing w:val="-12"/>
          <w:w w:val="115"/>
        </w:rPr>
        <w:t> </w:t>
      </w:r>
      <w:r>
        <w:rPr>
          <w:w w:val="115"/>
        </w:rPr>
        <w:t>con</w:t>
      </w:r>
      <w:r>
        <w:rPr>
          <w:spacing w:val="-12"/>
          <w:w w:val="115"/>
        </w:rPr>
        <w:t> </w:t>
      </w:r>
      <w:r>
        <w:rPr>
          <w:w w:val="115"/>
        </w:rPr>
        <w:t>equidad,</w:t>
      </w:r>
      <w:r>
        <w:rPr>
          <w:spacing w:val="-12"/>
          <w:w w:val="115"/>
        </w:rPr>
        <w:t> </w:t>
      </w:r>
      <w:r>
        <w:rPr>
          <w:w w:val="115"/>
        </w:rPr>
        <w:t>educación,</w:t>
      </w:r>
      <w:r>
        <w:rPr>
          <w:spacing w:val="-12"/>
          <w:w w:val="115"/>
        </w:rPr>
        <w:t> </w:t>
      </w:r>
      <w:r>
        <w:rPr>
          <w:w w:val="115"/>
        </w:rPr>
        <w:t>sa- lud, igualdad de género, pueblos indígenas, diversidad cultural, ni- </w:t>
      </w:r>
      <w:r>
        <w:rPr>
          <w:w w:val="120"/>
        </w:rPr>
        <w:t>ñez</w:t>
      </w:r>
      <w:r>
        <w:rPr>
          <w:spacing w:val="-19"/>
          <w:w w:val="120"/>
        </w:rPr>
        <w:t> </w:t>
      </w:r>
      <w:r>
        <w:rPr>
          <w:w w:val="120"/>
        </w:rPr>
        <w:t>y</w:t>
      </w:r>
      <w:r>
        <w:rPr>
          <w:spacing w:val="-19"/>
          <w:w w:val="120"/>
        </w:rPr>
        <w:t> </w:t>
      </w:r>
      <w:r>
        <w:rPr>
          <w:w w:val="120"/>
        </w:rPr>
        <w:t>juventud</w:t>
      </w:r>
      <w:r>
        <w:rPr>
          <w:w w:val="120"/>
          <w:position w:val="6"/>
          <w:sz w:val="11"/>
        </w:rPr>
        <w:t>13</w:t>
      </w:r>
      <w:r>
        <w:rPr>
          <w:w w:val="120"/>
        </w:rPr>
        <w:t>.</w:t>
      </w:r>
      <w:r>
        <w:rPr>
          <w:spacing w:val="-19"/>
          <w:w w:val="120"/>
        </w:rPr>
        <w:t> </w:t>
      </w:r>
      <w:r>
        <w:rPr>
          <w:w w:val="120"/>
        </w:rPr>
        <w:t>El</w:t>
      </w:r>
      <w:r>
        <w:rPr>
          <w:spacing w:val="-19"/>
          <w:w w:val="120"/>
        </w:rPr>
        <w:t> </w:t>
      </w:r>
      <w:r>
        <w:rPr>
          <w:w w:val="120"/>
        </w:rPr>
        <w:t>tema</w:t>
      </w:r>
      <w:r>
        <w:rPr>
          <w:spacing w:val="-19"/>
          <w:w w:val="120"/>
        </w:rPr>
        <w:t> </w:t>
      </w:r>
      <w:r>
        <w:rPr>
          <w:w w:val="120"/>
        </w:rPr>
        <w:t>más</w:t>
      </w:r>
      <w:r>
        <w:rPr>
          <w:spacing w:val="-19"/>
          <w:w w:val="120"/>
        </w:rPr>
        <w:t> </w:t>
      </w:r>
      <w:r>
        <w:rPr>
          <w:w w:val="120"/>
        </w:rPr>
        <w:t>destacado</w:t>
      </w:r>
      <w:r>
        <w:rPr>
          <w:spacing w:val="-19"/>
          <w:w w:val="120"/>
        </w:rPr>
        <w:t> </w:t>
      </w:r>
      <w:r>
        <w:rPr>
          <w:w w:val="120"/>
        </w:rPr>
        <w:t>fue</w:t>
      </w:r>
      <w:r>
        <w:rPr>
          <w:spacing w:val="-19"/>
          <w:w w:val="120"/>
        </w:rPr>
        <w:t> </w:t>
      </w:r>
      <w:r>
        <w:rPr>
          <w:w w:val="120"/>
        </w:rPr>
        <w:t>la</w:t>
      </w:r>
      <w:r>
        <w:rPr>
          <w:spacing w:val="-19"/>
          <w:w w:val="120"/>
        </w:rPr>
        <w:t> </w:t>
      </w:r>
      <w:r>
        <w:rPr>
          <w:w w:val="120"/>
        </w:rPr>
        <w:t>declaración</w:t>
      </w:r>
      <w:r>
        <w:rPr>
          <w:spacing w:val="-19"/>
          <w:w w:val="120"/>
        </w:rPr>
        <w:t> </w:t>
      </w:r>
      <w:r>
        <w:rPr>
          <w:w w:val="120"/>
        </w:rPr>
        <w:t>política </w:t>
      </w:r>
      <w:r>
        <w:rPr>
          <w:w w:val="115"/>
        </w:rPr>
        <w:t>que estableció las bases para la Carta democrática interamericana, que</w:t>
      </w:r>
      <w:r>
        <w:rPr>
          <w:spacing w:val="-13"/>
          <w:w w:val="115"/>
        </w:rPr>
        <w:t> </w:t>
      </w:r>
      <w:r>
        <w:rPr>
          <w:w w:val="115"/>
        </w:rPr>
        <w:t>reforzó</w:t>
      </w:r>
      <w:r>
        <w:rPr>
          <w:spacing w:val="-13"/>
          <w:w w:val="115"/>
        </w:rPr>
        <w:t> </w:t>
      </w:r>
      <w:r>
        <w:rPr>
          <w:w w:val="115"/>
        </w:rPr>
        <w:t>los</w:t>
      </w:r>
      <w:r>
        <w:rPr>
          <w:spacing w:val="-13"/>
          <w:w w:val="115"/>
        </w:rPr>
        <w:t> </w:t>
      </w:r>
      <w:r>
        <w:rPr>
          <w:w w:val="115"/>
        </w:rPr>
        <w:t>instrumentos</w:t>
      </w:r>
      <w:r>
        <w:rPr>
          <w:spacing w:val="-13"/>
          <w:w w:val="115"/>
        </w:rPr>
        <w:t> </w:t>
      </w:r>
      <w:r>
        <w:rPr>
          <w:w w:val="115"/>
        </w:rPr>
        <w:t>de</w:t>
      </w:r>
      <w:r>
        <w:rPr>
          <w:spacing w:val="-13"/>
          <w:w w:val="115"/>
        </w:rPr>
        <w:t> </w:t>
      </w:r>
      <w:r>
        <w:rPr>
          <w:w w:val="115"/>
        </w:rPr>
        <w:t>la</w:t>
      </w:r>
      <w:r>
        <w:rPr>
          <w:spacing w:val="-13"/>
          <w:w w:val="115"/>
        </w:rPr>
        <w:t> </w:t>
      </w:r>
      <w:r>
        <w:rPr>
          <w:w w:val="115"/>
        </w:rPr>
        <w:t>oEa</w:t>
      </w:r>
      <w:r>
        <w:rPr>
          <w:spacing w:val="-13"/>
          <w:w w:val="115"/>
        </w:rPr>
        <w:t> </w:t>
      </w:r>
      <w:r>
        <w:rPr>
          <w:w w:val="115"/>
        </w:rPr>
        <w:t>para</w:t>
      </w:r>
      <w:r>
        <w:rPr>
          <w:spacing w:val="-13"/>
          <w:w w:val="115"/>
        </w:rPr>
        <w:t> </w:t>
      </w:r>
      <w:r>
        <w:rPr>
          <w:w w:val="115"/>
        </w:rPr>
        <w:t>defender</w:t>
      </w:r>
      <w:r>
        <w:rPr>
          <w:spacing w:val="-13"/>
          <w:w w:val="115"/>
        </w:rPr>
        <w:t> </w:t>
      </w:r>
      <w:r>
        <w:rPr>
          <w:w w:val="115"/>
        </w:rPr>
        <w:t>activamente</w:t>
      </w:r>
      <w:r>
        <w:rPr>
          <w:spacing w:val="-13"/>
          <w:w w:val="115"/>
        </w:rPr>
        <w:t> </w:t>
      </w:r>
      <w:r>
        <w:rPr>
          <w:w w:val="115"/>
        </w:rPr>
        <w:t>la llamada</w:t>
      </w:r>
      <w:r>
        <w:rPr>
          <w:spacing w:val="-6"/>
          <w:w w:val="115"/>
        </w:rPr>
        <w:t> </w:t>
      </w:r>
      <w:r>
        <w:rPr>
          <w:i/>
          <w:w w:val="115"/>
        </w:rPr>
        <w:t>democracia</w:t>
      </w:r>
      <w:r>
        <w:rPr>
          <w:i/>
          <w:spacing w:val="-6"/>
          <w:w w:val="115"/>
        </w:rPr>
        <w:t> </w:t>
      </w:r>
      <w:r>
        <w:rPr>
          <w:i/>
          <w:w w:val="115"/>
        </w:rPr>
        <w:t>representativa</w:t>
      </w:r>
      <w:r>
        <w:rPr>
          <w:w w:val="115"/>
        </w:rPr>
        <w:t>.</w:t>
      </w:r>
      <w:r>
        <w:rPr>
          <w:spacing w:val="-6"/>
          <w:w w:val="115"/>
        </w:rPr>
        <w:t> </w:t>
      </w:r>
      <w:r>
        <w:rPr>
          <w:w w:val="115"/>
        </w:rPr>
        <w:t>Ésta</w:t>
      </w:r>
      <w:r>
        <w:rPr>
          <w:spacing w:val="-6"/>
          <w:w w:val="115"/>
        </w:rPr>
        <w:t> </w:t>
      </w:r>
      <w:r>
        <w:rPr>
          <w:w w:val="115"/>
        </w:rPr>
        <w:t>fue</w:t>
      </w:r>
      <w:r>
        <w:rPr>
          <w:spacing w:val="-6"/>
          <w:w w:val="115"/>
        </w:rPr>
        <w:t> </w:t>
      </w:r>
      <w:r>
        <w:rPr>
          <w:w w:val="115"/>
        </w:rPr>
        <w:t>finalmente</w:t>
      </w:r>
      <w:r>
        <w:rPr>
          <w:spacing w:val="-6"/>
          <w:w w:val="115"/>
        </w:rPr>
        <w:t> </w:t>
      </w:r>
      <w:r>
        <w:rPr>
          <w:w w:val="115"/>
        </w:rPr>
        <w:t>aprobada</w:t>
      </w:r>
      <w:r>
        <w:rPr>
          <w:spacing w:val="-6"/>
          <w:w w:val="115"/>
        </w:rPr>
        <w:t> </w:t>
      </w:r>
      <w:r>
        <w:rPr>
          <w:w w:val="115"/>
        </w:rPr>
        <w:t>el </w:t>
      </w:r>
      <w:r>
        <w:rPr>
          <w:w w:val="102"/>
        </w:rPr>
        <w:t>11</w:t>
      </w:r>
      <w:r>
        <w:rPr/>
        <w:t> </w:t>
      </w:r>
      <w:r>
        <w:rPr>
          <w:spacing w:val="-12"/>
        </w:rPr>
        <w:t> </w:t>
      </w:r>
      <w:r>
        <w:rPr>
          <w:w w:val="107"/>
        </w:rPr>
        <w:t>de</w:t>
      </w:r>
      <w:r>
        <w:rPr/>
        <w:t> </w:t>
      </w:r>
      <w:r>
        <w:rPr>
          <w:spacing w:val="-12"/>
        </w:rPr>
        <w:t> </w:t>
      </w:r>
      <w:r>
        <w:rPr>
          <w:w w:val="108"/>
        </w:rPr>
        <w:t>septiembre</w:t>
      </w:r>
      <w:r>
        <w:rPr/>
        <w:t> </w:t>
      </w:r>
      <w:r>
        <w:rPr>
          <w:spacing w:val="-12"/>
        </w:rPr>
        <w:t> </w:t>
      </w:r>
      <w:r>
        <w:rPr>
          <w:w w:val="107"/>
        </w:rPr>
        <w:t>de</w:t>
      </w:r>
      <w:r>
        <w:rPr/>
        <w:t> </w:t>
      </w:r>
      <w:r>
        <w:rPr>
          <w:spacing w:val="-12"/>
        </w:rPr>
        <w:t> </w:t>
      </w:r>
      <w:r>
        <w:rPr>
          <w:w w:val="104"/>
        </w:rPr>
        <w:t>ese</w:t>
      </w:r>
      <w:r>
        <w:rPr/>
        <w:t> </w:t>
      </w:r>
      <w:r>
        <w:rPr>
          <w:spacing w:val="-12"/>
        </w:rPr>
        <w:t> </w:t>
      </w:r>
      <w:r>
        <w:rPr>
          <w:w w:val="111"/>
        </w:rPr>
        <w:t>año</w:t>
      </w:r>
      <w:r>
        <w:rPr/>
        <w:t> </w:t>
      </w:r>
      <w:r>
        <w:rPr>
          <w:spacing w:val="-12"/>
        </w:rPr>
        <w:t> </w:t>
      </w:r>
      <w:r>
        <w:rPr>
          <w:w w:val="108"/>
        </w:rPr>
        <w:t>en</w:t>
      </w:r>
      <w:r>
        <w:rPr/>
        <w:t> </w:t>
      </w:r>
      <w:r>
        <w:rPr>
          <w:spacing w:val="-12"/>
        </w:rPr>
        <w:t> </w:t>
      </w:r>
      <w:r>
        <w:rPr>
          <w:w w:val="243"/>
        </w:rPr>
        <w:t>l</w:t>
      </w:r>
      <w:r>
        <w:rPr>
          <w:w w:val="116"/>
        </w:rPr>
        <w:t>ima,</w:t>
      </w:r>
      <w:r>
        <w:rPr/>
        <w:t> </w:t>
      </w:r>
      <w:r>
        <w:rPr>
          <w:spacing w:val="-12"/>
        </w:rPr>
        <w:t> </w:t>
      </w:r>
      <w:r>
        <w:rPr>
          <w:w w:val="108"/>
        </w:rPr>
        <w:t>en</w:t>
      </w:r>
      <w:r>
        <w:rPr/>
        <w:t> </w:t>
      </w:r>
      <w:r>
        <w:rPr>
          <w:spacing w:val="-12"/>
        </w:rPr>
        <w:t> </w:t>
      </w:r>
      <w:r>
        <w:rPr>
          <w:w w:val="112"/>
        </w:rPr>
        <w:t>un</w:t>
      </w:r>
      <w:r>
        <w:rPr/>
        <w:t> </w:t>
      </w:r>
      <w:r>
        <w:rPr>
          <w:spacing w:val="-12"/>
        </w:rPr>
        <w:t> </w:t>
      </w:r>
      <w:r>
        <w:rPr>
          <w:w w:val="108"/>
        </w:rPr>
        <w:t>período</w:t>
      </w:r>
      <w:r>
        <w:rPr/>
        <w:t> </w:t>
      </w:r>
      <w:r>
        <w:rPr>
          <w:spacing w:val="-12"/>
        </w:rPr>
        <w:t> </w:t>
      </w:r>
      <w:r>
        <w:rPr>
          <w:w w:val="109"/>
        </w:rPr>
        <w:t>extraordinario </w:t>
      </w:r>
      <w:r>
        <w:rPr>
          <w:w w:val="120"/>
        </w:rPr>
        <w:t>de</w:t>
      </w:r>
      <w:r>
        <w:rPr>
          <w:spacing w:val="-13"/>
          <w:w w:val="120"/>
        </w:rPr>
        <w:t> </w:t>
      </w:r>
      <w:r>
        <w:rPr>
          <w:w w:val="120"/>
        </w:rPr>
        <w:t>sesiones</w:t>
      </w:r>
      <w:r>
        <w:rPr>
          <w:spacing w:val="-13"/>
          <w:w w:val="120"/>
        </w:rPr>
        <w:t> </w:t>
      </w:r>
      <w:r>
        <w:rPr>
          <w:w w:val="120"/>
        </w:rPr>
        <w:t>de</w:t>
      </w:r>
      <w:r>
        <w:rPr>
          <w:spacing w:val="-13"/>
          <w:w w:val="120"/>
        </w:rPr>
        <w:t> </w:t>
      </w:r>
      <w:r>
        <w:rPr>
          <w:w w:val="120"/>
        </w:rPr>
        <w:t>la</w:t>
      </w:r>
      <w:r>
        <w:rPr>
          <w:spacing w:val="-13"/>
          <w:w w:val="120"/>
        </w:rPr>
        <w:t> </w:t>
      </w:r>
      <w:r>
        <w:rPr>
          <w:w w:val="120"/>
        </w:rPr>
        <w:t>asamblea</w:t>
      </w:r>
      <w:r>
        <w:rPr>
          <w:spacing w:val="-13"/>
          <w:w w:val="120"/>
        </w:rPr>
        <w:t> </w:t>
      </w:r>
      <w:r>
        <w:rPr>
          <w:w w:val="120"/>
        </w:rPr>
        <w:t>General</w:t>
      </w:r>
      <w:r>
        <w:rPr>
          <w:spacing w:val="-13"/>
          <w:w w:val="120"/>
        </w:rPr>
        <w:t> </w:t>
      </w:r>
      <w:r>
        <w:rPr>
          <w:w w:val="120"/>
        </w:rPr>
        <w:t>de</w:t>
      </w:r>
      <w:r>
        <w:rPr>
          <w:spacing w:val="-13"/>
          <w:w w:val="120"/>
        </w:rPr>
        <w:t> </w:t>
      </w:r>
      <w:r>
        <w:rPr>
          <w:w w:val="120"/>
        </w:rPr>
        <w:t>la</w:t>
      </w:r>
      <w:r>
        <w:rPr>
          <w:spacing w:val="-13"/>
          <w:w w:val="120"/>
        </w:rPr>
        <w:t> </w:t>
      </w:r>
      <w:r>
        <w:rPr>
          <w:w w:val="120"/>
        </w:rPr>
        <w:t>oEa.</w:t>
      </w:r>
      <w:r>
        <w:rPr>
          <w:spacing w:val="-13"/>
          <w:w w:val="120"/>
        </w:rPr>
        <w:t> </w:t>
      </w:r>
      <w:r>
        <w:rPr>
          <w:w w:val="120"/>
        </w:rPr>
        <w:t>En</w:t>
      </w:r>
      <w:r>
        <w:rPr>
          <w:spacing w:val="-13"/>
          <w:w w:val="120"/>
        </w:rPr>
        <w:t> </w:t>
      </w:r>
      <w:r>
        <w:rPr>
          <w:w w:val="120"/>
        </w:rPr>
        <w:t>la</w:t>
      </w:r>
      <w:r>
        <w:rPr>
          <w:spacing w:val="-13"/>
          <w:w w:val="120"/>
        </w:rPr>
        <w:t> </w:t>
      </w:r>
      <w:r>
        <w:rPr>
          <w:w w:val="120"/>
        </w:rPr>
        <w:t>declaración,</w:t>
      </w:r>
      <w:r>
        <w:rPr>
          <w:spacing w:val="-13"/>
          <w:w w:val="120"/>
        </w:rPr>
        <w:t> </w:t>
      </w:r>
      <w:r>
        <w:rPr>
          <w:w w:val="120"/>
        </w:rPr>
        <w:t>se aplaudían</w:t>
      </w:r>
      <w:r>
        <w:rPr>
          <w:spacing w:val="-33"/>
          <w:w w:val="120"/>
        </w:rPr>
        <w:t> </w:t>
      </w:r>
      <w:r>
        <w:rPr>
          <w:w w:val="120"/>
        </w:rPr>
        <w:t>los</w:t>
      </w:r>
      <w:r>
        <w:rPr>
          <w:spacing w:val="-33"/>
          <w:w w:val="120"/>
        </w:rPr>
        <w:t> </w:t>
      </w:r>
      <w:r>
        <w:rPr>
          <w:w w:val="120"/>
        </w:rPr>
        <w:t>avances</w:t>
      </w:r>
      <w:r>
        <w:rPr>
          <w:spacing w:val="-33"/>
          <w:w w:val="120"/>
        </w:rPr>
        <w:t> </w:t>
      </w:r>
      <w:r>
        <w:rPr>
          <w:w w:val="120"/>
        </w:rPr>
        <w:t>en</w:t>
      </w:r>
      <w:r>
        <w:rPr>
          <w:spacing w:val="-33"/>
          <w:w w:val="120"/>
        </w:rPr>
        <w:t> </w:t>
      </w:r>
      <w:r>
        <w:rPr>
          <w:w w:val="120"/>
        </w:rPr>
        <w:t>el</w:t>
      </w:r>
      <w:r>
        <w:rPr>
          <w:spacing w:val="-33"/>
          <w:w w:val="120"/>
        </w:rPr>
        <w:t> </w:t>
      </w:r>
      <w:r>
        <w:rPr>
          <w:w w:val="120"/>
        </w:rPr>
        <w:t>proceso</w:t>
      </w:r>
      <w:r>
        <w:rPr>
          <w:spacing w:val="-33"/>
          <w:w w:val="120"/>
        </w:rPr>
        <w:t> </w:t>
      </w:r>
      <w:r>
        <w:rPr>
          <w:w w:val="120"/>
        </w:rPr>
        <w:t>de</w:t>
      </w:r>
      <w:r>
        <w:rPr>
          <w:spacing w:val="-33"/>
          <w:w w:val="120"/>
        </w:rPr>
        <w:t> </w:t>
      </w:r>
      <w:r>
        <w:rPr>
          <w:w w:val="120"/>
        </w:rPr>
        <w:t>negociación</w:t>
      </w:r>
      <w:r>
        <w:rPr>
          <w:spacing w:val="-33"/>
          <w:w w:val="120"/>
        </w:rPr>
        <w:t> </w:t>
      </w:r>
      <w:r>
        <w:rPr>
          <w:w w:val="120"/>
        </w:rPr>
        <w:t>del</w:t>
      </w:r>
      <w:r>
        <w:rPr>
          <w:spacing w:val="-33"/>
          <w:w w:val="120"/>
        </w:rPr>
        <w:t> </w:t>
      </w:r>
      <w:r>
        <w:rPr>
          <w:w w:val="120"/>
        </w:rPr>
        <w:t>alCa</w:t>
      </w:r>
      <w:r>
        <w:rPr>
          <w:w w:val="120"/>
          <w:position w:val="6"/>
          <w:sz w:val="11"/>
        </w:rPr>
        <w:t>14</w:t>
      </w:r>
      <w:r>
        <w:rPr>
          <w:w w:val="120"/>
        </w:rPr>
        <w:t>.</w:t>
      </w:r>
    </w:p>
    <w:p>
      <w:pPr>
        <w:pStyle w:val="BodyText"/>
        <w:spacing w:line="252" w:lineRule="auto"/>
        <w:ind w:left="120" w:right="325" w:firstLine="396"/>
        <w:jc w:val="both"/>
      </w:pPr>
      <w:r>
        <w:rPr>
          <w:w w:val="110"/>
        </w:rPr>
        <w:t>aunque Cuba seguía marginada  del  proceso  de  </w:t>
      </w:r>
      <w:r>
        <w:rPr>
          <w:spacing w:val="2"/>
          <w:w w:val="110"/>
        </w:rPr>
        <w:t>negociación,  </w:t>
      </w:r>
      <w:r>
        <w:rPr>
          <w:w w:val="110"/>
        </w:rPr>
        <w:t>por</w:t>
      </w:r>
      <w:r>
        <w:rPr>
          <w:spacing w:val="32"/>
          <w:w w:val="110"/>
        </w:rPr>
        <w:t> </w:t>
      </w:r>
      <w:r>
        <w:rPr>
          <w:w w:val="110"/>
        </w:rPr>
        <w:t>primera</w:t>
      </w:r>
      <w:r>
        <w:rPr>
          <w:spacing w:val="32"/>
          <w:w w:val="110"/>
        </w:rPr>
        <w:t> </w:t>
      </w:r>
      <w:r>
        <w:rPr>
          <w:w w:val="110"/>
        </w:rPr>
        <w:t>vez</w:t>
      </w:r>
      <w:r>
        <w:rPr>
          <w:spacing w:val="32"/>
          <w:w w:val="110"/>
        </w:rPr>
        <w:t> </w:t>
      </w:r>
      <w:r>
        <w:rPr>
          <w:w w:val="110"/>
        </w:rPr>
        <w:t>la</w:t>
      </w:r>
      <w:r>
        <w:rPr>
          <w:spacing w:val="32"/>
          <w:w w:val="110"/>
        </w:rPr>
        <w:t> </w:t>
      </w:r>
      <w:r>
        <w:rPr>
          <w:w w:val="110"/>
        </w:rPr>
        <w:t>discusión</w:t>
      </w:r>
      <w:r>
        <w:rPr>
          <w:spacing w:val="32"/>
          <w:w w:val="110"/>
        </w:rPr>
        <w:t> </w:t>
      </w:r>
      <w:r>
        <w:rPr>
          <w:w w:val="110"/>
        </w:rPr>
        <w:t>entre</w:t>
      </w:r>
      <w:r>
        <w:rPr>
          <w:spacing w:val="32"/>
          <w:w w:val="110"/>
        </w:rPr>
        <w:t> </w:t>
      </w:r>
      <w:r>
        <w:rPr>
          <w:w w:val="110"/>
        </w:rPr>
        <w:t>jefes</w:t>
      </w:r>
      <w:r>
        <w:rPr>
          <w:spacing w:val="32"/>
          <w:w w:val="110"/>
        </w:rPr>
        <w:t> </w:t>
      </w:r>
      <w:r>
        <w:rPr>
          <w:w w:val="110"/>
        </w:rPr>
        <w:t>de</w:t>
      </w:r>
      <w:r>
        <w:rPr>
          <w:spacing w:val="32"/>
          <w:w w:val="110"/>
        </w:rPr>
        <w:t> </w:t>
      </w:r>
      <w:r>
        <w:rPr>
          <w:w w:val="110"/>
        </w:rPr>
        <w:t>Estado</w:t>
      </w:r>
      <w:r>
        <w:rPr>
          <w:spacing w:val="32"/>
          <w:w w:val="110"/>
        </w:rPr>
        <w:t> </w:t>
      </w:r>
      <w:r>
        <w:rPr>
          <w:w w:val="110"/>
        </w:rPr>
        <w:t>presentaba</w:t>
      </w:r>
      <w:r>
        <w:rPr>
          <w:spacing w:val="32"/>
          <w:w w:val="110"/>
        </w:rPr>
        <w:t> </w:t>
      </w:r>
      <w:r>
        <w:rPr>
          <w:spacing w:val="2"/>
          <w:w w:val="110"/>
        </w:rPr>
        <w:t>una</w:t>
      </w:r>
    </w:p>
    <w:p>
      <w:pPr>
        <w:pStyle w:val="BodyText"/>
        <w:rPr>
          <w:sz w:val="22"/>
        </w:rPr>
      </w:pPr>
      <w:r>
        <w:rPr/>
        <w:pict>
          <v:line style="position:absolute;mso-position-horizontal-relative:page;mso-position-vertical-relative:paragraph;z-index:8080;mso-wrap-distance-left:0;mso-wrap-distance-right:0" from="51.023602pt,15.127234pt" to="79.369602pt,15.127234pt" stroked="true" strokeweight=".5pt" strokecolor="#000000">
            <w10:wrap type="topAndBottom"/>
          </v:line>
        </w:pict>
      </w:r>
    </w:p>
    <w:p>
      <w:pPr>
        <w:pStyle w:val="ListParagraph"/>
        <w:numPr>
          <w:ilvl w:val="0"/>
          <w:numId w:val="34"/>
        </w:numPr>
        <w:tabs>
          <w:tab w:pos="376" w:val="left" w:leader="none"/>
        </w:tabs>
        <w:spacing w:line="242" w:lineRule="auto" w:before="89" w:after="0"/>
        <w:ind w:left="120" w:right="328" w:firstLine="0"/>
        <w:jc w:val="left"/>
        <w:rPr>
          <w:sz w:val="16"/>
        </w:rPr>
      </w:pPr>
      <w:r>
        <w:rPr>
          <w:spacing w:val="-3"/>
          <w:w w:val="110"/>
          <w:sz w:val="16"/>
        </w:rPr>
        <w:t>Véase</w:t>
      </w:r>
      <w:r>
        <w:rPr>
          <w:spacing w:val="-9"/>
          <w:w w:val="110"/>
          <w:sz w:val="16"/>
        </w:rPr>
        <w:t> </w:t>
      </w:r>
      <w:r>
        <w:rPr>
          <w:w w:val="110"/>
          <w:sz w:val="16"/>
        </w:rPr>
        <w:t>la</w:t>
      </w:r>
      <w:r>
        <w:rPr>
          <w:spacing w:val="-9"/>
          <w:w w:val="110"/>
          <w:sz w:val="16"/>
        </w:rPr>
        <w:t> </w:t>
      </w:r>
      <w:r>
        <w:rPr>
          <w:w w:val="110"/>
          <w:sz w:val="16"/>
        </w:rPr>
        <w:t>página</w:t>
      </w:r>
      <w:r>
        <w:rPr>
          <w:spacing w:val="-9"/>
          <w:w w:val="110"/>
          <w:sz w:val="16"/>
        </w:rPr>
        <w:t> </w:t>
      </w:r>
      <w:r>
        <w:rPr>
          <w:w w:val="110"/>
          <w:sz w:val="16"/>
        </w:rPr>
        <w:t>web</w:t>
      </w:r>
      <w:r>
        <w:rPr>
          <w:spacing w:val="-9"/>
          <w:w w:val="110"/>
          <w:sz w:val="16"/>
        </w:rPr>
        <w:t> </w:t>
      </w:r>
      <w:r>
        <w:rPr>
          <w:w w:val="110"/>
          <w:sz w:val="16"/>
        </w:rPr>
        <w:t>oficial</w:t>
      </w:r>
      <w:r>
        <w:rPr>
          <w:spacing w:val="-9"/>
          <w:w w:val="110"/>
          <w:sz w:val="16"/>
        </w:rPr>
        <w:t> </w:t>
      </w:r>
      <w:r>
        <w:rPr>
          <w:w w:val="110"/>
          <w:sz w:val="16"/>
        </w:rPr>
        <w:t>de</w:t>
      </w:r>
      <w:r>
        <w:rPr>
          <w:spacing w:val="-9"/>
          <w:w w:val="110"/>
          <w:sz w:val="16"/>
        </w:rPr>
        <w:t> </w:t>
      </w:r>
      <w:r>
        <w:rPr>
          <w:w w:val="110"/>
          <w:sz w:val="16"/>
        </w:rPr>
        <w:t>la</w:t>
      </w:r>
      <w:r>
        <w:rPr>
          <w:spacing w:val="-9"/>
          <w:w w:val="110"/>
          <w:sz w:val="16"/>
        </w:rPr>
        <w:t> </w:t>
      </w:r>
      <w:r>
        <w:rPr>
          <w:w w:val="110"/>
          <w:sz w:val="16"/>
        </w:rPr>
        <w:t>iii</w:t>
      </w:r>
      <w:r>
        <w:rPr>
          <w:spacing w:val="-9"/>
          <w:w w:val="110"/>
          <w:sz w:val="16"/>
        </w:rPr>
        <w:t> </w:t>
      </w:r>
      <w:r>
        <w:rPr>
          <w:w w:val="110"/>
          <w:sz w:val="16"/>
        </w:rPr>
        <w:t>Cumbre:</w:t>
      </w:r>
      <w:r>
        <w:rPr>
          <w:spacing w:val="-9"/>
          <w:w w:val="110"/>
          <w:sz w:val="16"/>
        </w:rPr>
        <w:t> </w:t>
      </w:r>
      <w:hyperlink r:id="rId508">
        <w:r>
          <w:rPr>
            <w:w w:val="110"/>
            <w:sz w:val="16"/>
          </w:rPr>
          <w:t>&lt;http://www.summit-americas.org/</w:t>
        </w:r>
      </w:hyperlink>
      <w:r>
        <w:rPr>
          <w:w w:val="110"/>
          <w:sz w:val="16"/>
        </w:rPr>
        <w:t> iii_summit_sp.html&gt;.</w:t>
      </w:r>
    </w:p>
    <w:p>
      <w:pPr>
        <w:pStyle w:val="ListParagraph"/>
        <w:numPr>
          <w:ilvl w:val="0"/>
          <w:numId w:val="34"/>
        </w:numPr>
        <w:tabs>
          <w:tab w:pos="376" w:val="left" w:leader="none"/>
        </w:tabs>
        <w:spacing w:line="242" w:lineRule="auto" w:before="57" w:after="0"/>
        <w:ind w:left="120" w:right="328" w:firstLine="0"/>
        <w:jc w:val="left"/>
        <w:rPr>
          <w:sz w:val="16"/>
        </w:rPr>
      </w:pPr>
      <w:r>
        <w:rPr>
          <w:w w:val="110"/>
          <w:sz w:val="16"/>
        </w:rPr>
        <w:t>declaración</w:t>
      </w:r>
      <w:r>
        <w:rPr>
          <w:spacing w:val="-14"/>
          <w:w w:val="110"/>
          <w:sz w:val="16"/>
        </w:rPr>
        <w:t> </w:t>
      </w:r>
      <w:r>
        <w:rPr>
          <w:w w:val="110"/>
          <w:sz w:val="16"/>
        </w:rPr>
        <w:t>de</w:t>
      </w:r>
      <w:r>
        <w:rPr>
          <w:spacing w:val="-14"/>
          <w:w w:val="110"/>
          <w:sz w:val="16"/>
        </w:rPr>
        <w:t> </w:t>
      </w:r>
      <w:r>
        <w:rPr>
          <w:w w:val="110"/>
          <w:sz w:val="16"/>
        </w:rPr>
        <w:t>Principios,</w:t>
      </w:r>
      <w:r>
        <w:rPr>
          <w:spacing w:val="-14"/>
          <w:w w:val="110"/>
          <w:sz w:val="16"/>
        </w:rPr>
        <w:t> </w:t>
      </w:r>
      <w:r>
        <w:rPr>
          <w:w w:val="110"/>
          <w:sz w:val="16"/>
        </w:rPr>
        <w:t>en</w:t>
      </w:r>
      <w:r>
        <w:rPr>
          <w:spacing w:val="-14"/>
          <w:w w:val="110"/>
          <w:sz w:val="16"/>
        </w:rPr>
        <w:t> </w:t>
      </w:r>
      <w:hyperlink r:id="rId511">
        <w:r>
          <w:rPr>
            <w:w w:val="110"/>
            <w:sz w:val="16"/>
          </w:rPr>
          <w:t>&lt;http://www.summit-americas.org/iii_summit/iii_</w:t>
        </w:r>
      </w:hyperlink>
      <w:r>
        <w:rPr>
          <w:w w:val="110"/>
          <w:sz w:val="16"/>
        </w:rPr>
        <w:t> summit_dec_sp.pdf&gt;.</w:t>
      </w:r>
    </w:p>
    <w:p>
      <w:pPr>
        <w:spacing w:after="0" w:line="242" w:lineRule="auto"/>
        <w:jc w:val="left"/>
        <w:rPr>
          <w:sz w:val="16"/>
        </w:rPr>
        <w:sectPr>
          <w:footerReference w:type="even" r:id="rId509"/>
          <w:footerReference w:type="default" r:id="rId510"/>
          <w:pgSz w:w="8790" w:h="12760"/>
          <w:pgMar w:footer="723" w:header="695" w:top="880" w:bottom="920" w:left="900" w:right="1200"/>
        </w:sectPr>
      </w:pPr>
    </w:p>
    <w:p>
      <w:pPr>
        <w:pStyle w:val="BodyText"/>
        <w:spacing w:before="7"/>
        <w:rPr>
          <w:sz w:val="28"/>
        </w:rPr>
      </w:pPr>
    </w:p>
    <w:p>
      <w:pPr>
        <w:pStyle w:val="BodyText"/>
        <w:spacing w:line="252" w:lineRule="auto" w:before="73"/>
        <w:ind w:left="330" w:right="114"/>
        <w:jc w:val="both"/>
      </w:pPr>
      <w:r>
        <w:rPr>
          <w:spacing w:val="2"/>
          <w:w w:val="111"/>
        </w:rPr>
        <w:t>grieta</w:t>
      </w:r>
      <w:r>
        <w:rPr>
          <w:w w:val="111"/>
        </w:rPr>
        <w:t>.</w:t>
      </w:r>
      <w:r>
        <w:rPr/>
        <w:t> </w:t>
      </w:r>
      <w:r>
        <w:rPr>
          <w:spacing w:val="-14"/>
        </w:rPr>
        <w:t> </w:t>
      </w:r>
      <w:r>
        <w:rPr>
          <w:spacing w:val="2"/>
          <w:w w:val="243"/>
        </w:rPr>
        <w:t>l</w:t>
      </w:r>
      <w:r>
        <w:rPr>
          <w:spacing w:val="2"/>
          <w:w w:val="108"/>
        </w:rPr>
        <w:t>o</w:t>
      </w:r>
      <w:r>
        <w:rPr>
          <w:w w:val="108"/>
        </w:rPr>
        <w:t>s</w:t>
      </w:r>
      <w:r>
        <w:rPr/>
        <w:t> </w:t>
      </w:r>
      <w:r>
        <w:rPr>
          <w:spacing w:val="-14"/>
        </w:rPr>
        <w:t> </w:t>
      </w:r>
      <w:r>
        <w:rPr>
          <w:spacing w:val="2"/>
          <w:w w:val="107"/>
        </w:rPr>
        <w:t>representante</w:t>
      </w:r>
      <w:r>
        <w:rPr>
          <w:w w:val="107"/>
        </w:rPr>
        <w:t>s</w:t>
      </w:r>
      <w:r>
        <w:rPr/>
        <w:t> </w:t>
      </w:r>
      <w:r>
        <w:rPr>
          <w:spacing w:val="-14"/>
        </w:rPr>
        <w:t> </w:t>
      </w:r>
      <w:r>
        <w:rPr>
          <w:spacing w:val="2"/>
          <w:w w:val="107"/>
        </w:rPr>
        <w:t>d</w:t>
      </w:r>
      <w:r>
        <w:rPr>
          <w:w w:val="107"/>
        </w:rPr>
        <w:t>e</w:t>
      </w:r>
      <w:r>
        <w:rPr/>
        <w:t> </w:t>
      </w:r>
      <w:r>
        <w:rPr>
          <w:spacing w:val="-14"/>
        </w:rPr>
        <w:t> </w:t>
      </w:r>
      <w:r>
        <w:rPr>
          <w:spacing w:val="-12"/>
          <w:w w:val="119"/>
        </w:rPr>
        <w:t>V</w:t>
      </w:r>
      <w:r>
        <w:rPr>
          <w:spacing w:val="2"/>
          <w:w w:val="109"/>
        </w:rPr>
        <w:t>enezuel</w:t>
      </w:r>
      <w:r>
        <w:rPr>
          <w:w w:val="109"/>
        </w:rPr>
        <w:t>a</w:t>
      </w:r>
      <w:r>
        <w:rPr/>
        <w:t> </w:t>
      </w:r>
      <w:r>
        <w:rPr>
          <w:spacing w:val="-14"/>
        </w:rPr>
        <w:t> </w:t>
      </w:r>
      <w:r>
        <w:rPr>
          <w:spacing w:val="2"/>
          <w:w w:val="108"/>
        </w:rPr>
        <w:t>expresaro</w:t>
      </w:r>
      <w:r>
        <w:rPr>
          <w:w w:val="108"/>
        </w:rPr>
        <w:t>n</w:t>
      </w:r>
      <w:r>
        <w:rPr/>
        <w:t> </w:t>
      </w:r>
      <w:r>
        <w:rPr>
          <w:spacing w:val="-14"/>
        </w:rPr>
        <w:t> </w:t>
      </w:r>
      <w:r>
        <w:rPr>
          <w:spacing w:val="2"/>
          <w:w w:val="108"/>
        </w:rPr>
        <w:t>do</w:t>
      </w:r>
      <w:r>
        <w:rPr>
          <w:w w:val="108"/>
        </w:rPr>
        <w:t>s</w:t>
      </w:r>
      <w:r>
        <w:rPr/>
        <w:t> </w:t>
      </w:r>
      <w:r>
        <w:rPr>
          <w:spacing w:val="-14"/>
        </w:rPr>
        <w:t> </w:t>
      </w:r>
      <w:r>
        <w:rPr>
          <w:spacing w:val="2"/>
          <w:w w:val="107"/>
        </w:rPr>
        <w:t>salvedades </w:t>
      </w:r>
      <w:r>
        <w:rPr>
          <w:w w:val="110"/>
        </w:rPr>
        <w:t>a esta declaración. En primer lugar, el gobierno de Chávez planteó  una objeción a los primeros seis párrafos de la declaración, en tanto no concordaba con la definición limitada de </w:t>
      </w:r>
      <w:r>
        <w:rPr>
          <w:i/>
          <w:w w:val="110"/>
        </w:rPr>
        <w:t>democracia</w:t>
      </w:r>
      <w:r>
        <w:rPr>
          <w:w w:val="110"/>
        </w:rPr>
        <w:t>, plantean-    do en cambio que la misma debía ser entendida en un sentido </w:t>
      </w:r>
      <w:r>
        <w:rPr>
          <w:spacing w:val="2"/>
          <w:w w:val="110"/>
        </w:rPr>
        <w:t>más </w:t>
      </w:r>
      <w:r>
        <w:rPr>
          <w:w w:val="110"/>
        </w:rPr>
        <w:t>amplio y no únicamente  en  su  carácter  representativo.  En  segun- do lugar, la delegación caribeña expresó su reserva en relación al párrafo 15 de la declaración y al párrafo 6-a del Plan de acción</w:t>
      </w:r>
      <w:r>
        <w:rPr>
          <w:w w:val="110"/>
          <w:position w:val="6"/>
          <w:sz w:val="11"/>
        </w:rPr>
        <w:t>15</w:t>
      </w:r>
      <w:r>
        <w:rPr>
          <w:w w:val="110"/>
        </w:rPr>
        <w:t>.   Estos referían a la finalización de las negociaciones del </w:t>
      </w:r>
      <w:r>
        <w:rPr>
          <w:w w:val="125"/>
        </w:rPr>
        <w:t>alCa </w:t>
      </w:r>
      <w:r>
        <w:rPr>
          <w:w w:val="110"/>
        </w:rPr>
        <w:t>para enero de 2005 y su puesta en marcha, a más tardar, en diciembre      de ese año. Venezuela, en cambio, planteaba que subordinaba esto       a la discusión interna que estaba realizando en su país en torno a      los compromisos nacionales que se derivarían de la firma de dicho acuerdo. Era el inicio del fin de la unanimidad en torno al ambicio-     so proyecto impulsado por  </w:t>
      </w:r>
      <w:r>
        <w:rPr>
          <w:spacing w:val="17"/>
          <w:w w:val="110"/>
        </w:rPr>
        <w:t> </w:t>
      </w:r>
      <w:r>
        <w:rPr>
          <w:w w:val="110"/>
        </w:rPr>
        <w:t>Washington.</w:t>
      </w:r>
    </w:p>
    <w:p>
      <w:pPr>
        <w:pStyle w:val="BodyText"/>
        <w:spacing w:line="252" w:lineRule="auto"/>
        <w:ind w:left="330" w:right="117" w:firstLine="396"/>
        <w:jc w:val="both"/>
      </w:pPr>
      <w:r>
        <w:rPr>
          <w:w w:val="243"/>
        </w:rPr>
        <w:t>l</w:t>
      </w:r>
      <w:r>
        <w:rPr>
          <w:w w:val="112"/>
        </w:rPr>
        <w:t>a</w:t>
      </w:r>
      <w:r>
        <w:rPr>
          <w:spacing w:val="2"/>
        </w:rPr>
        <w:t> </w:t>
      </w:r>
      <w:r>
        <w:rPr>
          <w:w w:val="111"/>
        </w:rPr>
        <w:t>paralización</w:t>
      </w:r>
      <w:r>
        <w:rPr>
          <w:spacing w:val="2"/>
        </w:rPr>
        <w:t> </w:t>
      </w:r>
      <w:r>
        <w:rPr>
          <w:w w:val="108"/>
        </w:rPr>
        <w:t>en</w:t>
      </w:r>
      <w:r>
        <w:rPr>
          <w:spacing w:val="2"/>
        </w:rPr>
        <w:t> </w:t>
      </w:r>
      <w:r>
        <w:rPr>
          <w:w w:val="109"/>
        </w:rPr>
        <w:t>las</w:t>
      </w:r>
      <w:r>
        <w:rPr>
          <w:spacing w:val="2"/>
        </w:rPr>
        <w:t> </w:t>
      </w:r>
      <w:r>
        <w:rPr>
          <w:w w:val="110"/>
        </w:rPr>
        <w:t>negociaciones</w:t>
      </w:r>
      <w:r>
        <w:rPr>
          <w:spacing w:val="2"/>
        </w:rPr>
        <w:t> </w:t>
      </w:r>
      <w:r>
        <w:rPr>
          <w:w w:val="108"/>
        </w:rPr>
        <w:t>en</w:t>
      </w:r>
      <w:r>
        <w:rPr>
          <w:spacing w:val="2"/>
        </w:rPr>
        <w:t> </w:t>
      </w:r>
      <w:r>
        <w:rPr>
          <w:w w:val="111"/>
        </w:rPr>
        <w:t>la</w:t>
      </w:r>
      <w:r>
        <w:rPr>
          <w:spacing w:val="2"/>
        </w:rPr>
        <w:t> </w:t>
      </w:r>
      <w:r>
        <w:rPr>
          <w:w w:val="149"/>
        </w:rPr>
        <w:t>o</w:t>
      </w:r>
      <w:r>
        <w:rPr>
          <w:w w:val="122"/>
        </w:rPr>
        <w:t>MC</w:t>
      </w:r>
      <w:r>
        <w:rPr>
          <w:spacing w:val="2"/>
        </w:rPr>
        <w:t> </w:t>
      </w:r>
      <w:r>
        <w:rPr>
          <w:w w:val="105"/>
        </w:rPr>
        <w:t>y</w:t>
      </w:r>
      <w:r>
        <w:rPr>
          <w:spacing w:val="2"/>
        </w:rPr>
        <w:t> </w:t>
      </w:r>
      <w:r>
        <w:rPr>
          <w:w w:val="111"/>
        </w:rPr>
        <w:t>la</w:t>
      </w:r>
      <w:r>
        <w:rPr>
          <w:spacing w:val="2"/>
        </w:rPr>
        <w:t> </w:t>
      </w:r>
      <w:r>
        <w:rPr>
          <w:w w:val="107"/>
        </w:rPr>
        <w:t>derrota</w:t>
      </w:r>
      <w:r>
        <w:rPr>
          <w:spacing w:val="2"/>
        </w:rPr>
        <w:t> </w:t>
      </w:r>
      <w:r>
        <w:rPr>
          <w:w w:val="107"/>
        </w:rPr>
        <w:t>de</w:t>
      </w:r>
      <w:r>
        <w:rPr>
          <w:spacing w:val="2"/>
        </w:rPr>
        <w:t> </w:t>
      </w:r>
      <w:r>
        <w:rPr>
          <w:w w:val="108"/>
        </w:rPr>
        <w:t>los </w:t>
      </w:r>
      <w:r>
        <w:rPr>
          <w:w w:val="115"/>
        </w:rPr>
        <w:t>países</w:t>
      </w:r>
      <w:r>
        <w:rPr>
          <w:spacing w:val="-21"/>
          <w:w w:val="115"/>
        </w:rPr>
        <w:t> </w:t>
      </w:r>
      <w:r>
        <w:rPr>
          <w:w w:val="115"/>
        </w:rPr>
        <w:t>más</w:t>
      </w:r>
      <w:r>
        <w:rPr>
          <w:spacing w:val="-21"/>
          <w:w w:val="115"/>
        </w:rPr>
        <w:t> </w:t>
      </w:r>
      <w:r>
        <w:rPr>
          <w:w w:val="115"/>
        </w:rPr>
        <w:t>desarrollados</w:t>
      </w:r>
      <w:r>
        <w:rPr>
          <w:spacing w:val="-21"/>
          <w:w w:val="115"/>
        </w:rPr>
        <w:t> </w:t>
      </w:r>
      <w:r>
        <w:rPr>
          <w:w w:val="115"/>
        </w:rPr>
        <w:t>en</w:t>
      </w:r>
      <w:r>
        <w:rPr>
          <w:spacing w:val="-21"/>
          <w:w w:val="115"/>
        </w:rPr>
        <w:t> </w:t>
      </w:r>
      <w:r>
        <w:rPr>
          <w:w w:val="115"/>
        </w:rPr>
        <w:t>la</w:t>
      </w:r>
      <w:r>
        <w:rPr>
          <w:spacing w:val="-21"/>
          <w:w w:val="115"/>
        </w:rPr>
        <w:t> </w:t>
      </w:r>
      <w:r>
        <w:rPr>
          <w:w w:val="115"/>
        </w:rPr>
        <w:t>cumbre</w:t>
      </w:r>
      <w:r>
        <w:rPr>
          <w:spacing w:val="-21"/>
          <w:w w:val="115"/>
        </w:rPr>
        <w:t> </w:t>
      </w:r>
      <w:r>
        <w:rPr>
          <w:w w:val="115"/>
        </w:rPr>
        <w:t>ministerial</w:t>
      </w:r>
      <w:r>
        <w:rPr>
          <w:spacing w:val="-21"/>
          <w:w w:val="115"/>
        </w:rPr>
        <w:t> </w:t>
      </w:r>
      <w:r>
        <w:rPr>
          <w:w w:val="115"/>
        </w:rPr>
        <w:t>de</w:t>
      </w:r>
      <w:r>
        <w:rPr>
          <w:spacing w:val="-21"/>
          <w:w w:val="115"/>
        </w:rPr>
        <w:t> </w:t>
      </w:r>
      <w:r>
        <w:rPr>
          <w:w w:val="115"/>
        </w:rPr>
        <w:t>Cancún</w:t>
      </w:r>
      <w:r>
        <w:rPr>
          <w:spacing w:val="-21"/>
          <w:w w:val="115"/>
        </w:rPr>
        <w:t> </w:t>
      </w:r>
      <w:r>
        <w:rPr>
          <w:w w:val="115"/>
        </w:rPr>
        <w:t>(2003), más</w:t>
      </w:r>
      <w:r>
        <w:rPr>
          <w:spacing w:val="-16"/>
          <w:w w:val="115"/>
        </w:rPr>
        <w:t> </w:t>
      </w:r>
      <w:r>
        <w:rPr>
          <w:w w:val="115"/>
        </w:rPr>
        <w:t>el</w:t>
      </w:r>
      <w:r>
        <w:rPr>
          <w:spacing w:val="-16"/>
          <w:w w:val="115"/>
        </w:rPr>
        <w:t> </w:t>
      </w:r>
      <w:r>
        <w:rPr>
          <w:w w:val="115"/>
        </w:rPr>
        <w:t>cambio</w:t>
      </w:r>
      <w:r>
        <w:rPr>
          <w:spacing w:val="-16"/>
          <w:w w:val="115"/>
        </w:rPr>
        <w:t> </w:t>
      </w:r>
      <w:r>
        <w:rPr>
          <w:w w:val="115"/>
        </w:rPr>
        <w:t>de</w:t>
      </w:r>
      <w:r>
        <w:rPr>
          <w:spacing w:val="-16"/>
          <w:w w:val="115"/>
        </w:rPr>
        <w:t> </w:t>
      </w:r>
      <w:r>
        <w:rPr>
          <w:w w:val="115"/>
        </w:rPr>
        <w:t>signo</w:t>
      </w:r>
      <w:r>
        <w:rPr>
          <w:spacing w:val="-16"/>
          <w:w w:val="115"/>
        </w:rPr>
        <w:t> </w:t>
      </w:r>
      <w:r>
        <w:rPr>
          <w:w w:val="115"/>
        </w:rPr>
        <w:t>en</w:t>
      </w:r>
      <w:r>
        <w:rPr>
          <w:spacing w:val="-16"/>
          <w:w w:val="115"/>
        </w:rPr>
        <w:t> </w:t>
      </w:r>
      <w:r>
        <w:rPr>
          <w:w w:val="115"/>
        </w:rPr>
        <w:t>muchos</w:t>
      </w:r>
      <w:r>
        <w:rPr>
          <w:spacing w:val="-16"/>
          <w:w w:val="115"/>
        </w:rPr>
        <w:t> </w:t>
      </w:r>
      <w:r>
        <w:rPr>
          <w:w w:val="115"/>
        </w:rPr>
        <w:t>gobiernos</w:t>
      </w:r>
      <w:r>
        <w:rPr>
          <w:spacing w:val="-16"/>
          <w:w w:val="115"/>
        </w:rPr>
        <w:t> </w:t>
      </w:r>
      <w:r>
        <w:rPr>
          <w:w w:val="115"/>
        </w:rPr>
        <w:t>latinoamericanos,</w:t>
      </w:r>
      <w:r>
        <w:rPr>
          <w:spacing w:val="-16"/>
          <w:w w:val="115"/>
        </w:rPr>
        <w:t> </w:t>
      </w:r>
      <w:r>
        <w:rPr>
          <w:w w:val="115"/>
        </w:rPr>
        <w:t>obli- gó</w:t>
      </w:r>
      <w:r>
        <w:rPr>
          <w:spacing w:val="-21"/>
          <w:w w:val="115"/>
        </w:rPr>
        <w:t> </w:t>
      </w:r>
      <w:r>
        <w:rPr>
          <w:w w:val="115"/>
        </w:rPr>
        <w:t>a</w:t>
      </w:r>
      <w:r>
        <w:rPr>
          <w:spacing w:val="-21"/>
          <w:w w:val="115"/>
        </w:rPr>
        <w:t> </w:t>
      </w:r>
      <w:r>
        <w:rPr>
          <w:w w:val="115"/>
        </w:rPr>
        <w:t>realizar</w:t>
      </w:r>
      <w:r>
        <w:rPr>
          <w:spacing w:val="-21"/>
          <w:w w:val="115"/>
        </w:rPr>
        <w:t> </w:t>
      </w:r>
      <w:r>
        <w:rPr>
          <w:w w:val="115"/>
        </w:rPr>
        <w:t>una</w:t>
      </w:r>
      <w:r>
        <w:rPr>
          <w:spacing w:val="-21"/>
          <w:w w:val="115"/>
        </w:rPr>
        <w:t> </w:t>
      </w:r>
      <w:r>
        <w:rPr>
          <w:w w:val="115"/>
        </w:rPr>
        <w:t>Cumbre</w:t>
      </w:r>
      <w:r>
        <w:rPr>
          <w:spacing w:val="-21"/>
          <w:w w:val="115"/>
        </w:rPr>
        <w:t> </w:t>
      </w:r>
      <w:r>
        <w:rPr>
          <w:w w:val="115"/>
        </w:rPr>
        <w:t>Extraordinaria,</w:t>
      </w:r>
      <w:r>
        <w:rPr>
          <w:spacing w:val="-21"/>
          <w:w w:val="115"/>
        </w:rPr>
        <w:t> </w:t>
      </w:r>
      <w:r>
        <w:rPr>
          <w:w w:val="115"/>
        </w:rPr>
        <w:t>que</w:t>
      </w:r>
      <w:r>
        <w:rPr>
          <w:spacing w:val="-21"/>
          <w:w w:val="115"/>
        </w:rPr>
        <w:t> </w:t>
      </w:r>
      <w:r>
        <w:rPr>
          <w:w w:val="115"/>
        </w:rPr>
        <w:t>se</w:t>
      </w:r>
      <w:r>
        <w:rPr>
          <w:spacing w:val="-21"/>
          <w:w w:val="115"/>
        </w:rPr>
        <w:t> </w:t>
      </w:r>
      <w:r>
        <w:rPr>
          <w:w w:val="115"/>
        </w:rPr>
        <w:t>reunió</w:t>
      </w:r>
      <w:r>
        <w:rPr>
          <w:spacing w:val="-21"/>
          <w:w w:val="115"/>
        </w:rPr>
        <w:t> </w:t>
      </w:r>
      <w:r>
        <w:rPr>
          <w:w w:val="115"/>
        </w:rPr>
        <w:t>en</w:t>
      </w:r>
      <w:r>
        <w:rPr>
          <w:spacing w:val="-21"/>
          <w:w w:val="115"/>
        </w:rPr>
        <w:t> </w:t>
      </w:r>
      <w:r>
        <w:rPr>
          <w:spacing w:val="-3"/>
          <w:w w:val="115"/>
        </w:rPr>
        <w:t>Monterrey, </w:t>
      </w:r>
      <w:r>
        <w:rPr>
          <w:w w:val="120"/>
        </w:rPr>
        <w:t>México,</w:t>
      </w:r>
      <w:r>
        <w:rPr>
          <w:spacing w:val="-16"/>
          <w:w w:val="120"/>
        </w:rPr>
        <w:t> </w:t>
      </w:r>
      <w:r>
        <w:rPr>
          <w:w w:val="120"/>
        </w:rPr>
        <w:t>el</w:t>
      </w:r>
      <w:r>
        <w:rPr>
          <w:spacing w:val="-16"/>
          <w:w w:val="120"/>
        </w:rPr>
        <w:t> </w:t>
      </w:r>
      <w:r>
        <w:rPr>
          <w:w w:val="120"/>
        </w:rPr>
        <w:t>12</w:t>
      </w:r>
      <w:r>
        <w:rPr>
          <w:spacing w:val="-16"/>
          <w:w w:val="120"/>
        </w:rPr>
        <w:t> </w:t>
      </w:r>
      <w:r>
        <w:rPr>
          <w:w w:val="120"/>
        </w:rPr>
        <w:t>y</w:t>
      </w:r>
      <w:r>
        <w:rPr>
          <w:spacing w:val="-16"/>
          <w:w w:val="120"/>
        </w:rPr>
        <w:t> </w:t>
      </w:r>
      <w:r>
        <w:rPr>
          <w:w w:val="120"/>
        </w:rPr>
        <w:t>13</w:t>
      </w:r>
      <w:r>
        <w:rPr>
          <w:spacing w:val="-16"/>
          <w:w w:val="120"/>
        </w:rPr>
        <w:t> </w:t>
      </w:r>
      <w:r>
        <w:rPr>
          <w:w w:val="120"/>
        </w:rPr>
        <w:t>de</w:t>
      </w:r>
      <w:r>
        <w:rPr>
          <w:spacing w:val="-16"/>
          <w:w w:val="120"/>
        </w:rPr>
        <w:t> </w:t>
      </w:r>
      <w:r>
        <w:rPr>
          <w:w w:val="120"/>
        </w:rPr>
        <w:t>enero</w:t>
      </w:r>
      <w:r>
        <w:rPr>
          <w:spacing w:val="-16"/>
          <w:w w:val="120"/>
        </w:rPr>
        <w:t> </w:t>
      </w:r>
      <w:r>
        <w:rPr>
          <w:w w:val="120"/>
        </w:rPr>
        <w:t>de</w:t>
      </w:r>
      <w:r>
        <w:rPr>
          <w:spacing w:val="-16"/>
          <w:w w:val="120"/>
        </w:rPr>
        <w:t> </w:t>
      </w:r>
      <w:r>
        <w:rPr>
          <w:w w:val="120"/>
        </w:rPr>
        <w:t>2004.</w:t>
      </w:r>
      <w:r>
        <w:rPr>
          <w:spacing w:val="-16"/>
          <w:w w:val="120"/>
        </w:rPr>
        <w:t> </w:t>
      </w:r>
      <w:r>
        <w:rPr>
          <w:w w:val="120"/>
        </w:rPr>
        <w:t>allí</w:t>
      </w:r>
      <w:r>
        <w:rPr>
          <w:spacing w:val="-16"/>
          <w:w w:val="120"/>
        </w:rPr>
        <w:t> </w:t>
      </w:r>
      <w:r>
        <w:rPr>
          <w:w w:val="120"/>
        </w:rPr>
        <w:t>se</w:t>
      </w:r>
      <w:r>
        <w:rPr>
          <w:spacing w:val="-16"/>
          <w:w w:val="120"/>
        </w:rPr>
        <w:t> </w:t>
      </w:r>
      <w:r>
        <w:rPr>
          <w:w w:val="120"/>
        </w:rPr>
        <w:t>planteó</w:t>
      </w:r>
      <w:r>
        <w:rPr>
          <w:spacing w:val="-16"/>
          <w:w w:val="120"/>
        </w:rPr>
        <w:t> </w:t>
      </w:r>
      <w:r>
        <w:rPr>
          <w:w w:val="120"/>
        </w:rPr>
        <w:t>la</w:t>
      </w:r>
      <w:r>
        <w:rPr>
          <w:spacing w:val="-16"/>
          <w:w w:val="120"/>
        </w:rPr>
        <w:t> </w:t>
      </w:r>
      <w:r>
        <w:rPr>
          <w:w w:val="120"/>
        </w:rPr>
        <w:t>necesidad</w:t>
      </w:r>
      <w:r>
        <w:rPr>
          <w:spacing w:val="-16"/>
          <w:w w:val="120"/>
        </w:rPr>
        <w:t> </w:t>
      </w:r>
      <w:r>
        <w:rPr>
          <w:w w:val="120"/>
        </w:rPr>
        <w:t>de </w:t>
      </w:r>
      <w:r>
        <w:rPr>
          <w:w w:val="115"/>
        </w:rPr>
        <w:t>avanzar</w:t>
      </w:r>
      <w:r>
        <w:rPr>
          <w:spacing w:val="-13"/>
          <w:w w:val="115"/>
        </w:rPr>
        <w:t> </w:t>
      </w:r>
      <w:r>
        <w:rPr>
          <w:w w:val="115"/>
        </w:rPr>
        <w:t>en</w:t>
      </w:r>
      <w:r>
        <w:rPr>
          <w:spacing w:val="-13"/>
          <w:w w:val="115"/>
        </w:rPr>
        <w:t> </w:t>
      </w:r>
      <w:r>
        <w:rPr>
          <w:w w:val="115"/>
        </w:rPr>
        <w:t>la</w:t>
      </w:r>
      <w:r>
        <w:rPr>
          <w:spacing w:val="-13"/>
          <w:w w:val="115"/>
        </w:rPr>
        <w:t> </w:t>
      </w:r>
      <w:r>
        <w:rPr>
          <w:w w:val="115"/>
        </w:rPr>
        <w:t>implementación</w:t>
      </w:r>
      <w:r>
        <w:rPr>
          <w:spacing w:val="-13"/>
          <w:w w:val="115"/>
        </w:rPr>
        <w:t> </w:t>
      </w:r>
      <w:r>
        <w:rPr>
          <w:w w:val="115"/>
        </w:rPr>
        <w:t>de</w:t>
      </w:r>
      <w:r>
        <w:rPr>
          <w:spacing w:val="-13"/>
          <w:w w:val="115"/>
        </w:rPr>
        <w:t> </w:t>
      </w:r>
      <w:r>
        <w:rPr>
          <w:w w:val="115"/>
        </w:rPr>
        <w:t>medidas</w:t>
      </w:r>
      <w:r>
        <w:rPr>
          <w:spacing w:val="-13"/>
          <w:w w:val="115"/>
        </w:rPr>
        <w:t> </w:t>
      </w:r>
      <w:r>
        <w:rPr>
          <w:w w:val="115"/>
        </w:rPr>
        <w:t>para</w:t>
      </w:r>
      <w:r>
        <w:rPr>
          <w:spacing w:val="-13"/>
          <w:w w:val="115"/>
        </w:rPr>
        <w:t> </w:t>
      </w:r>
      <w:r>
        <w:rPr>
          <w:w w:val="115"/>
        </w:rPr>
        <w:t>combatir</w:t>
      </w:r>
      <w:r>
        <w:rPr>
          <w:spacing w:val="-13"/>
          <w:w w:val="115"/>
        </w:rPr>
        <w:t> </w:t>
      </w:r>
      <w:r>
        <w:rPr>
          <w:w w:val="115"/>
        </w:rPr>
        <w:t>la</w:t>
      </w:r>
      <w:r>
        <w:rPr>
          <w:spacing w:val="-13"/>
          <w:w w:val="115"/>
        </w:rPr>
        <w:t> </w:t>
      </w:r>
      <w:r>
        <w:rPr>
          <w:w w:val="115"/>
        </w:rPr>
        <w:t>pobreza, promover el desarrollo social, lograr el crecimiento económico con equidad y fortalecer la gobernabilidad en las democracias america- </w:t>
      </w:r>
      <w:r>
        <w:rPr>
          <w:w w:val="110"/>
        </w:rPr>
        <w:t>nas</w:t>
      </w:r>
      <w:r>
        <w:rPr>
          <w:w w:val="103"/>
          <w:position w:val="6"/>
          <w:sz w:val="11"/>
        </w:rPr>
        <w:t>16</w:t>
      </w:r>
      <w:r>
        <w:rPr>
          <w:w w:val="138"/>
        </w:rPr>
        <w:t>.</w:t>
      </w:r>
      <w:r>
        <w:rPr/>
        <w:t> </w:t>
      </w:r>
      <w:r>
        <w:rPr>
          <w:spacing w:val="-14"/>
        </w:rPr>
        <w:t> </w:t>
      </w:r>
      <w:r>
        <w:rPr>
          <w:w w:val="243"/>
        </w:rPr>
        <w:t>l</w:t>
      </w:r>
      <w:r>
        <w:rPr>
          <w:w w:val="108"/>
        </w:rPr>
        <w:t>os</w:t>
      </w:r>
      <w:r>
        <w:rPr/>
        <w:t> </w:t>
      </w:r>
      <w:r>
        <w:rPr>
          <w:spacing w:val="-14"/>
        </w:rPr>
        <w:t> </w:t>
      </w:r>
      <w:r>
        <w:rPr>
          <w:w w:val="110"/>
        </w:rPr>
        <w:t>mandatarios</w:t>
      </w:r>
      <w:r>
        <w:rPr/>
        <w:t> </w:t>
      </w:r>
      <w:r>
        <w:rPr>
          <w:spacing w:val="-14"/>
        </w:rPr>
        <w:t> </w:t>
      </w:r>
      <w:r>
        <w:rPr>
          <w:w w:val="109"/>
        </w:rPr>
        <w:t>firmaron</w:t>
      </w:r>
      <w:r>
        <w:rPr/>
        <w:t> </w:t>
      </w:r>
      <w:r>
        <w:rPr>
          <w:spacing w:val="-14"/>
        </w:rPr>
        <w:t> </w:t>
      </w:r>
      <w:r>
        <w:rPr>
          <w:w w:val="111"/>
        </w:rPr>
        <w:t>la</w:t>
      </w:r>
      <w:r>
        <w:rPr/>
        <w:t> </w:t>
      </w:r>
      <w:r>
        <w:rPr>
          <w:spacing w:val="-14"/>
        </w:rPr>
        <w:t> </w:t>
      </w:r>
      <w:r>
        <w:rPr>
          <w:w w:val="139"/>
        </w:rPr>
        <w:t>d</w:t>
      </w:r>
      <w:r>
        <w:rPr>
          <w:w w:val="111"/>
        </w:rPr>
        <w:t>eclaración</w:t>
      </w:r>
      <w:r>
        <w:rPr/>
        <w:t> </w:t>
      </w:r>
      <w:r>
        <w:rPr>
          <w:spacing w:val="-14"/>
        </w:rPr>
        <w:t> </w:t>
      </w:r>
      <w:r>
        <w:rPr>
          <w:w w:val="107"/>
        </w:rPr>
        <w:t>de</w:t>
      </w:r>
      <w:r>
        <w:rPr/>
        <w:t> </w:t>
      </w:r>
      <w:r>
        <w:rPr>
          <w:spacing w:val="-14"/>
        </w:rPr>
        <w:t> </w:t>
      </w:r>
      <w:r>
        <w:rPr>
          <w:w w:val="110"/>
        </w:rPr>
        <w:t>Nuevo</w:t>
      </w:r>
      <w:r>
        <w:rPr/>
        <w:t> </w:t>
      </w:r>
      <w:r>
        <w:rPr>
          <w:spacing w:val="-14"/>
        </w:rPr>
        <w:t> </w:t>
      </w:r>
      <w:r>
        <w:rPr>
          <w:w w:val="243"/>
        </w:rPr>
        <w:t>l</w:t>
      </w:r>
      <w:r>
        <w:rPr>
          <w:w w:val="112"/>
        </w:rPr>
        <w:t>eón,</w:t>
      </w:r>
      <w:r>
        <w:rPr/>
        <w:t> </w:t>
      </w:r>
      <w:r>
        <w:rPr>
          <w:spacing w:val="-14"/>
        </w:rPr>
        <w:t> </w:t>
      </w:r>
      <w:r>
        <w:rPr>
          <w:w w:val="112"/>
        </w:rPr>
        <w:t>con </w:t>
      </w:r>
      <w:r>
        <w:rPr>
          <w:w w:val="115"/>
        </w:rPr>
        <w:t>72 mandatos, que focalizó la atención en el crecimiento económico </w:t>
      </w:r>
      <w:r>
        <w:rPr>
          <w:w w:val="120"/>
        </w:rPr>
        <w:t>con</w:t>
      </w:r>
      <w:r>
        <w:rPr>
          <w:spacing w:val="-24"/>
          <w:w w:val="120"/>
        </w:rPr>
        <w:t> </w:t>
      </w:r>
      <w:r>
        <w:rPr>
          <w:w w:val="120"/>
        </w:rPr>
        <w:t>equidad</w:t>
      </w:r>
      <w:r>
        <w:rPr>
          <w:spacing w:val="-24"/>
          <w:w w:val="120"/>
        </w:rPr>
        <w:t> </w:t>
      </w:r>
      <w:r>
        <w:rPr>
          <w:w w:val="120"/>
        </w:rPr>
        <w:t>para</w:t>
      </w:r>
      <w:r>
        <w:rPr>
          <w:spacing w:val="-24"/>
          <w:w w:val="120"/>
        </w:rPr>
        <w:t> </w:t>
      </w:r>
      <w:r>
        <w:rPr>
          <w:w w:val="120"/>
        </w:rPr>
        <w:t>reducir</w:t>
      </w:r>
      <w:r>
        <w:rPr>
          <w:spacing w:val="-24"/>
          <w:w w:val="120"/>
        </w:rPr>
        <w:t> </w:t>
      </w:r>
      <w:r>
        <w:rPr>
          <w:w w:val="120"/>
        </w:rPr>
        <w:t>la</w:t>
      </w:r>
      <w:r>
        <w:rPr>
          <w:spacing w:val="-24"/>
          <w:w w:val="120"/>
        </w:rPr>
        <w:t> </w:t>
      </w:r>
      <w:r>
        <w:rPr>
          <w:w w:val="120"/>
        </w:rPr>
        <w:t>pobreza,</w:t>
      </w:r>
      <w:r>
        <w:rPr>
          <w:spacing w:val="-24"/>
          <w:w w:val="120"/>
        </w:rPr>
        <w:t> </w:t>
      </w:r>
      <w:r>
        <w:rPr>
          <w:w w:val="120"/>
        </w:rPr>
        <w:t>el</w:t>
      </w:r>
      <w:r>
        <w:rPr>
          <w:spacing w:val="-24"/>
          <w:w w:val="120"/>
        </w:rPr>
        <w:t> </w:t>
      </w:r>
      <w:r>
        <w:rPr>
          <w:w w:val="120"/>
        </w:rPr>
        <w:t>desarrollo</w:t>
      </w:r>
      <w:r>
        <w:rPr>
          <w:spacing w:val="-24"/>
          <w:w w:val="120"/>
        </w:rPr>
        <w:t> </w:t>
      </w:r>
      <w:r>
        <w:rPr>
          <w:w w:val="120"/>
        </w:rPr>
        <w:t>social</w:t>
      </w:r>
      <w:r>
        <w:rPr>
          <w:spacing w:val="-24"/>
          <w:w w:val="120"/>
        </w:rPr>
        <w:t> </w:t>
      </w:r>
      <w:r>
        <w:rPr>
          <w:w w:val="120"/>
        </w:rPr>
        <w:t>y</w:t>
      </w:r>
      <w:r>
        <w:rPr>
          <w:spacing w:val="-24"/>
          <w:w w:val="120"/>
        </w:rPr>
        <w:t> </w:t>
      </w:r>
      <w:r>
        <w:rPr>
          <w:w w:val="120"/>
        </w:rPr>
        <w:t>la</w:t>
      </w:r>
      <w:r>
        <w:rPr>
          <w:spacing w:val="-24"/>
          <w:w w:val="120"/>
        </w:rPr>
        <w:t> </w:t>
      </w:r>
      <w:r>
        <w:rPr>
          <w:spacing w:val="-3"/>
          <w:w w:val="120"/>
        </w:rPr>
        <w:t>gober- </w:t>
      </w:r>
      <w:r>
        <w:rPr>
          <w:w w:val="115"/>
        </w:rPr>
        <w:t>nabilidad</w:t>
      </w:r>
      <w:r>
        <w:rPr>
          <w:spacing w:val="-13"/>
          <w:w w:val="115"/>
        </w:rPr>
        <w:t> </w:t>
      </w:r>
      <w:r>
        <w:rPr>
          <w:w w:val="115"/>
        </w:rPr>
        <w:t>democrática.</w:t>
      </w:r>
      <w:r>
        <w:rPr>
          <w:spacing w:val="-13"/>
          <w:w w:val="115"/>
        </w:rPr>
        <w:t> </w:t>
      </w:r>
      <w:r>
        <w:rPr>
          <w:w w:val="115"/>
        </w:rPr>
        <w:t>En</w:t>
      </w:r>
      <w:r>
        <w:rPr>
          <w:spacing w:val="-13"/>
          <w:w w:val="115"/>
        </w:rPr>
        <w:t> </w:t>
      </w:r>
      <w:r>
        <w:rPr>
          <w:w w:val="115"/>
        </w:rPr>
        <w:t>esta</w:t>
      </w:r>
      <w:r>
        <w:rPr>
          <w:spacing w:val="-13"/>
          <w:w w:val="115"/>
        </w:rPr>
        <w:t> </w:t>
      </w:r>
      <w:r>
        <w:rPr>
          <w:w w:val="115"/>
        </w:rPr>
        <w:t>declaración</w:t>
      </w:r>
      <w:r>
        <w:rPr>
          <w:spacing w:val="-13"/>
          <w:w w:val="115"/>
        </w:rPr>
        <w:t> </w:t>
      </w:r>
      <w:r>
        <w:rPr>
          <w:w w:val="115"/>
        </w:rPr>
        <w:t>aparecía</w:t>
      </w:r>
      <w:r>
        <w:rPr>
          <w:spacing w:val="-13"/>
          <w:w w:val="115"/>
        </w:rPr>
        <w:t> </w:t>
      </w:r>
      <w:r>
        <w:rPr>
          <w:w w:val="115"/>
        </w:rPr>
        <w:t>nuevamente</w:t>
      </w:r>
      <w:r>
        <w:rPr>
          <w:spacing w:val="-13"/>
          <w:w w:val="115"/>
        </w:rPr>
        <w:t> </w:t>
      </w:r>
      <w:r>
        <w:rPr>
          <w:w w:val="115"/>
        </w:rPr>
        <w:t>un </w:t>
      </w:r>
      <w:r>
        <w:rPr>
          <w:w w:val="120"/>
        </w:rPr>
        <w:t>voto</w:t>
      </w:r>
      <w:r>
        <w:rPr>
          <w:spacing w:val="-11"/>
          <w:w w:val="120"/>
        </w:rPr>
        <w:t> </w:t>
      </w:r>
      <w:r>
        <w:rPr>
          <w:w w:val="120"/>
        </w:rPr>
        <w:t>favorable</w:t>
      </w:r>
      <w:r>
        <w:rPr>
          <w:spacing w:val="-11"/>
          <w:w w:val="120"/>
        </w:rPr>
        <w:t> </w:t>
      </w:r>
      <w:r>
        <w:rPr>
          <w:w w:val="120"/>
        </w:rPr>
        <w:t>a</w:t>
      </w:r>
      <w:r>
        <w:rPr>
          <w:spacing w:val="-11"/>
          <w:w w:val="120"/>
        </w:rPr>
        <w:t> </w:t>
      </w:r>
      <w:r>
        <w:rPr>
          <w:w w:val="120"/>
        </w:rPr>
        <w:t>la</w:t>
      </w:r>
      <w:r>
        <w:rPr>
          <w:spacing w:val="-11"/>
          <w:w w:val="120"/>
        </w:rPr>
        <w:t> </w:t>
      </w:r>
      <w:r>
        <w:rPr>
          <w:w w:val="120"/>
        </w:rPr>
        <w:t>implementación</w:t>
      </w:r>
      <w:r>
        <w:rPr>
          <w:spacing w:val="-11"/>
          <w:w w:val="120"/>
        </w:rPr>
        <w:t> </w:t>
      </w:r>
      <w:r>
        <w:rPr>
          <w:w w:val="120"/>
        </w:rPr>
        <w:t>del</w:t>
      </w:r>
      <w:r>
        <w:rPr>
          <w:spacing w:val="-11"/>
          <w:w w:val="120"/>
        </w:rPr>
        <w:t> </w:t>
      </w:r>
      <w:r>
        <w:rPr>
          <w:w w:val="150"/>
        </w:rPr>
        <w:t>alCa,</w:t>
      </w:r>
      <w:r>
        <w:rPr>
          <w:spacing w:val="-24"/>
          <w:w w:val="150"/>
        </w:rPr>
        <w:t> </w:t>
      </w:r>
      <w:r>
        <w:rPr>
          <w:w w:val="120"/>
        </w:rPr>
        <w:t>aunque</w:t>
      </w:r>
      <w:r>
        <w:rPr>
          <w:spacing w:val="-11"/>
          <w:w w:val="120"/>
        </w:rPr>
        <w:t> </w:t>
      </w:r>
      <w:r>
        <w:rPr>
          <w:w w:val="120"/>
        </w:rPr>
        <w:t>ahora</w:t>
      </w:r>
      <w:r>
        <w:rPr>
          <w:spacing w:val="-11"/>
          <w:w w:val="120"/>
        </w:rPr>
        <w:t> </w:t>
      </w:r>
      <w:r>
        <w:rPr>
          <w:w w:val="120"/>
        </w:rPr>
        <w:t>la</w:t>
      </w:r>
      <w:r>
        <w:rPr>
          <w:spacing w:val="-11"/>
          <w:w w:val="120"/>
        </w:rPr>
        <w:t> </w:t>
      </w:r>
      <w:r>
        <w:rPr>
          <w:w w:val="120"/>
        </w:rPr>
        <w:t>re- serva</w:t>
      </w:r>
      <w:r>
        <w:rPr>
          <w:spacing w:val="-24"/>
          <w:w w:val="120"/>
        </w:rPr>
        <w:t> </w:t>
      </w:r>
      <w:r>
        <w:rPr>
          <w:w w:val="120"/>
        </w:rPr>
        <w:t>de</w:t>
      </w:r>
      <w:r>
        <w:rPr>
          <w:spacing w:val="-24"/>
          <w:w w:val="120"/>
        </w:rPr>
        <w:t> </w:t>
      </w:r>
      <w:r>
        <w:rPr>
          <w:w w:val="120"/>
        </w:rPr>
        <w:t>Venezuela</w:t>
      </w:r>
      <w:r>
        <w:rPr>
          <w:spacing w:val="-24"/>
          <w:w w:val="120"/>
        </w:rPr>
        <w:t> </w:t>
      </w:r>
      <w:r>
        <w:rPr>
          <w:w w:val="120"/>
        </w:rPr>
        <w:t>tenía</w:t>
      </w:r>
      <w:r>
        <w:rPr>
          <w:spacing w:val="-24"/>
          <w:w w:val="120"/>
        </w:rPr>
        <w:t> </w:t>
      </w:r>
      <w:r>
        <w:rPr>
          <w:w w:val="120"/>
        </w:rPr>
        <w:t>un</w:t>
      </w:r>
      <w:r>
        <w:rPr>
          <w:spacing w:val="-24"/>
          <w:w w:val="120"/>
        </w:rPr>
        <w:t> </w:t>
      </w:r>
      <w:r>
        <w:rPr>
          <w:w w:val="120"/>
        </w:rPr>
        <w:t>carácter</w:t>
      </w:r>
      <w:r>
        <w:rPr>
          <w:spacing w:val="-24"/>
          <w:w w:val="120"/>
        </w:rPr>
        <w:t> </w:t>
      </w:r>
      <w:r>
        <w:rPr>
          <w:w w:val="120"/>
        </w:rPr>
        <w:t>más</w:t>
      </w:r>
      <w:r>
        <w:rPr>
          <w:spacing w:val="-24"/>
          <w:w w:val="120"/>
        </w:rPr>
        <w:t> </w:t>
      </w:r>
      <w:r>
        <w:rPr>
          <w:w w:val="120"/>
        </w:rPr>
        <w:t>explícito</w:t>
      </w:r>
      <w:r>
        <w:rPr>
          <w:spacing w:val="-24"/>
          <w:w w:val="120"/>
        </w:rPr>
        <w:t> </w:t>
      </w:r>
      <w:r>
        <w:rPr>
          <w:w w:val="120"/>
        </w:rPr>
        <w:t>y</w:t>
      </w:r>
      <w:r>
        <w:rPr>
          <w:spacing w:val="-24"/>
          <w:w w:val="120"/>
        </w:rPr>
        <w:t> </w:t>
      </w:r>
      <w:r>
        <w:rPr>
          <w:w w:val="120"/>
        </w:rPr>
        <w:t>elocuente</w:t>
      </w:r>
      <w:r>
        <w:rPr>
          <w:spacing w:val="-24"/>
          <w:w w:val="120"/>
        </w:rPr>
        <w:t> </w:t>
      </w:r>
      <w:r>
        <w:rPr>
          <w:w w:val="120"/>
        </w:rPr>
        <w:t>que </w:t>
      </w:r>
      <w:r>
        <w:rPr>
          <w:w w:val="115"/>
        </w:rPr>
        <w:t>la</w:t>
      </w:r>
      <w:r>
        <w:rPr>
          <w:spacing w:val="-21"/>
          <w:w w:val="115"/>
        </w:rPr>
        <w:t> </w:t>
      </w:r>
      <w:r>
        <w:rPr>
          <w:w w:val="115"/>
        </w:rPr>
        <w:t>planteada</w:t>
      </w:r>
      <w:r>
        <w:rPr>
          <w:spacing w:val="-21"/>
          <w:w w:val="115"/>
        </w:rPr>
        <w:t> </w:t>
      </w:r>
      <w:r>
        <w:rPr>
          <w:w w:val="115"/>
        </w:rPr>
        <w:t>tres</w:t>
      </w:r>
      <w:r>
        <w:rPr>
          <w:spacing w:val="-21"/>
          <w:w w:val="115"/>
        </w:rPr>
        <w:t> </w:t>
      </w:r>
      <w:r>
        <w:rPr>
          <w:w w:val="115"/>
        </w:rPr>
        <w:t>años</w:t>
      </w:r>
      <w:r>
        <w:rPr>
          <w:spacing w:val="-21"/>
          <w:w w:val="115"/>
        </w:rPr>
        <w:t> </w:t>
      </w:r>
      <w:r>
        <w:rPr>
          <w:w w:val="115"/>
        </w:rPr>
        <w:t>atrás:</w:t>
      </w:r>
      <w:r>
        <w:rPr>
          <w:spacing w:val="-21"/>
          <w:w w:val="115"/>
        </w:rPr>
        <w:t> </w:t>
      </w:r>
      <w:r>
        <w:rPr>
          <w:w w:val="115"/>
        </w:rPr>
        <w:t>“Venezuela</w:t>
      </w:r>
      <w:r>
        <w:rPr>
          <w:spacing w:val="-21"/>
          <w:w w:val="115"/>
        </w:rPr>
        <w:t> </w:t>
      </w:r>
      <w:r>
        <w:rPr>
          <w:w w:val="115"/>
        </w:rPr>
        <w:t>se</w:t>
      </w:r>
      <w:r>
        <w:rPr>
          <w:spacing w:val="-21"/>
          <w:w w:val="115"/>
        </w:rPr>
        <w:t> </w:t>
      </w:r>
      <w:r>
        <w:rPr>
          <w:w w:val="115"/>
        </w:rPr>
        <w:t>reserva</w:t>
      </w:r>
      <w:r>
        <w:rPr>
          <w:spacing w:val="-21"/>
          <w:w w:val="115"/>
        </w:rPr>
        <w:t> </w:t>
      </w:r>
      <w:r>
        <w:rPr>
          <w:w w:val="115"/>
        </w:rPr>
        <w:t>el</w:t>
      </w:r>
      <w:r>
        <w:rPr>
          <w:spacing w:val="-21"/>
          <w:w w:val="115"/>
        </w:rPr>
        <w:t> </w:t>
      </w:r>
      <w:r>
        <w:rPr>
          <w:w w:val="115"/>
        </w:rPr>
        <w:t>párrafo</w:t>
      </w:r>
      <w:r>
        <w:rPr>
          <w:spacing w:val="-21"/>
          <w:w w:val="115"/>
        </w:rPr>
        <w:t> </w:t>
      </w:r>
      <w:r>
        <w:rPr>
          <w:w w:val="115"/>
        </w:rPr>
        <w:t>relativo </w:t>
      </w:r>
      <w:r>
        <w:rPr>
          <w:w w:val="120"/>
        </w:rPr>
        <w:t>al</w:t>
      </w:r>
      <w:r>
        <w:rPr>
          <w:spacing w:val="-30"/>
          <w:w w:val="120"/>
        </w:rPr>
        <w:t> </w:t>
      </w:r>
      <w:r>
        <w:rPr>
          <w:w w:val="125"/>
        </w:rPr>
        <w:t>alCa,</w:t>
      </w:r>
      <w:r>
        <w:rPr>
          <w:spacing w:val="-32"/>
          <w:w w:val="125"/>
        </w:rPr>
        <w:t> </w:t>
      </w:r>
      <w:r>
        <w:rPr>
          <w:w w:val="120"/>
        </w:rPr>
        <w:t>por</w:t>
      </w:r>
      <w:r>
        <w:rPr>
          <w:spacing w:val="-30"/>
          <w:w w:val="120"/>
        </w:rPr>
        <w:t> </w:t>
      </w:r>
      <w:r>
        <w:rPr>
          <w:w w:val="120"/>
        </w:rPr>
        <w:t>motivos</w:t>
      </w:r>
      <w:r>
        <w:rPr>
          <w:spacing w:val="-30"/>
          <w:w w:val="120"/>
        </w:rPr>
        <w:t> </w:t>
      </w:r>
      <w:r>
        <w:rPr>
          <w:w w:val="120"/>
        </w:rPr>
        <w:t>principistas</w:t>
      </w:r>
      <w:r>
        <w:rPr>
          <w:spacing w:val="-30"/>
          <w:w w:val="120"/>
        </w:rPr>
        <w:t> </w:t>
      </w:r>
      <w:r>
        <w:rPr>
          <w:w w:val="120"/>
        </w:rPr>
        <w:t>y</w:t>
      </w:r>
      <w:r>
        <w:rPr>
          <w:spacing w:val="-30"/>
          <w:w w:val="120"/>
        </w:rPr>
        <w:t> </w:t>
      </w:r>
      <w:r>
        <w:rPr>
          <w:w w:val="120"/>
        </w:rPr>
        <w:t>diferencias</w:t>
      </w:r>
      <w:r>
        <w:rPr>
          <w:spacing w:val="-30"/>
          <w:w w:val="120"/>
        </w:rPr>
        <w:t> </w:t>
      </w:r>
      <w:r>
        <w:rPr>
          <w:w w:val="120"/>
        </w:rPr>
        <w:t>profundas</w:t>
      </w:r>
      <w:r>
        <w:rPr>
          <w:spacing w:val="-30"/>
          <w:w w:val="120"/>
        </w:rPr>
        <w:t> </w:t>
      </w:r>
      <w:r>
        <w:rPr>
          <w:w w:val="120"/>
        </w:rPr>
        <w:t>acerca</w:t>
      </w:r>
      <w:r>
        <w:rPr>
          <w:spacing w:val="-30"/>
          <w:w w:val="120"/>
        </w:rPr>
        <w:t> </w:t>
      </w:r>
      <w:r>
        <w:rPr>
          <w:w w:val="120"/>
        </w:rPr>
        <w:t>del </w:t>
      </w:r>
      <w:r>
        <w:rPr>
          <w:w w:val="115"/>
        </w:rPr>
        <w:t>concepto y la filosofía contenidas en el modelo propuesto, así</w:t>
      </w:r>
      <w:r>
        <w:rPr>
          <w:spacing w:val="-10"/>
          <w:w w:val="115"/>
        </w:rPr>
        <w:t> </w:t>
      </w:r>
      <w:r>
        <w:rPr>
          <w:w w:val="115"/>
        </w:rPr>
        <w:t>como por</w:t>
      </w:r>
      <w:r>
        <w:rPr>
          <w:spacing w:val="-13"/>
          <w:w w:val="115"/>
        </w:rPr>
        <w:t> </w:t>
      </w:r>
      <w:r>
        <w:rPr>
          <w:w w:val="115"/>
        </w:rPr>
        <w:t>el</w:t>
      </w:r>
      <w:r>
        <w:rPr>
          <w:spacing w:val="-13"/>
          <w:w w:val="115"/>
        </w:rPr>
        <w:t> </w:t>
      </w:r>
      <w:r>
        <w:rPr>
          <w:w w:val="115"/>
        </w:rPr>
        <w:t>tratamiento</w:t>
      </w:r>
      <w:r>
        <w:rPr>
          <w:spacing w:val="-13"/>
          <w:w w:val="115"/>
        </w:rPr>
        <w:t> </w:t>
      </w:r>
      <w:r>
        <w:rPr>
          <w:w w:val="115"/>
        </w:rPr>
        <w:t>dado</w:t>
      </w:r>
      <w:r>
        <w:rPr>
          <w:spacing w:val="-13"/>
          <w:w w:val="115"/>
        </w:rPr>
        <w:t> </w:t>
      </w:r>
      <w:r>
        <w:rPr>
          <w:w w:val="115"/>
        </w:rPr>
        <w:t>a</w:t>
      </w:r>
      <w:r>
        <w:rPr>
          <w:spacing w:val="-13"/>
          <w:w w:val="115"/>
        </w:rPr>
        <w:t> </w:t>
      </w:r>
      <w:r>
        <w:rPr>
          <w:w w:val="115"/>
        </w:rPr>
        <w:t>las</w:t>
      </w:r>
      <w:r>
        <w:rPr>
          <w:spacing w:val="-13"/>
          <w:w w:val="115"/>
        </w:rPr>
        <w:t> </w:t>
      </w:r>
      <w:r>
        <w:rPr>
          <w:w w:val="115"/>
        </w:rPr>
        <w:t>materias</w:t>
      </w:r>
      <w:r>
        <w:rPr>
          <w:spacing w:val="-13"/>
          <w:w w:val="115"/>
        </w:rPr>
        <w:t> </w:t>
      </w:r>
      <w:r>
        <w:rPr>
          <w:w w:val="115"/>
        </w:rPr>
        <w:t>específicas</w:t>
      </w:r>
      <w:r>
        <w:rPr>
          <w:spacing w:val="-13"/>
          <w:w w:val="115"/>
        </w:rPr>
        <w:t> </w:t>
      </w:r>
      <w:r>
        <w:rPr>
          <w:w w:val="115"/>
        </w:rPr>
        <w:t>y</w:t>
      </w:r>
      <w:r>
        <w:rPr>
          <w:spacing w:val="-13"/>
          <w:w w:val="115"/>
        </w:rPr>
        <w:t> </w:t>
      </w:r>
      <w:r>
        <w:rPr>
          <w:w w:val="115"/>
        </w:rPr>
        <w:t>a</w:t>
      </w:r>
      <w:r>
        <w:rPr>
          <w:spacing w:val="-13"/>
          <w:w w:val="115"/>
        </w:rPr>
        <w:t> </w:t>
      </w:r>
      <w:r>
        <w:rPr>
          <w:w w:val="115"/>
        </w:rPr>
        <w:t>los</w:t>
      </w:r>
      <w:r>
        <w:rPr>
          <w:spacing w:val="-13"/>
          <w:w w:val="115"/>
        </w:rPr>
        <w:t> </w:t>
      </w:r>
      <w:r>
        <w:rPr>
          <w:w w:val="115"/>
        </w:rPr>
        <w:t>plazos</w:t>
      </w:r>
      <w:r>
        <w:rPr>
          <w:spacing w:val="-13"/>
          <w:w w:val="115"/>
        </w:rPr>
        <w:t> </w:t>
      </w:r>
      <w:r>
        <w:rPr>
          <w:w w:val="115"/>
        </w:rPr>
        <w:t>esta- blecidos.</w:t>
      </w:r>
      <w:r>
        <w:rPr>
          <w:spacing w:val="-23"/>
          <w:w w:val="115"/>
        </w:rPr>
        <w:t> </w:t>
      </w:r>
      <w:r>
        <w:rPr>
          <w:w w:val="115"/>
        </w:rPr>
        <w:t>ratificamos</w:t>
      </w:r>
      <w:r>
        <w:rPr>
          <w:spacing w:val="-23"/>
          <w:w w:val="115"/>
        </w:rPr>
        <w:t> </w:t>
      </w:r>
      <w:r>
        <w:rPr>
          <w:w w:val="115"/>
        </w:rPr>
        <w:t>nuestro</w:t>
      </w:r>
      <w:r>
        <w:rPr>
          <w:spacing w:val="-23"/>
          <w:w w:val="115"/>
        </w:rPr>
        <w:t> </w:t>
      </w:r>
      <w:r>
        <w:rPr>
          <w:w w:val="115"/>
        </w:rPr>
        <w:t>compromiso</w:t>
      </w:r>
      <w:r>
        <w:rPr>
          <w:spacing w:val="-23"/>
          <w:w w:val="115"/>
        </w:rPr>
        <w:t> </w:t>
      </w:r>
      <w:r>
        <w:rPr>
          <w:w w:val="115"/>
        </w:rPr>
        <w:t>con</w:t>
      </w:r>
      <w:r>
        <w:rPr>
          <w:spacing w:val="-23"/>
          <w:w w:val="115"/>
        </w:rPr>
        <w:t> </w:t>
      </w:r>
      <w:r>
        <w:rPr>
          <w:w w:val="115"/>
        </w:rPr>
        <w:t>la</w:t>
      </w:r>
      <w:r>
        <w:rPr>
          <w:spacing w:val="-23"/>
          <w:w w:val="115"/>
        </w:rPr>
        <w:t> </w:t>
      </w:r>
      <w:r>
        <w:rPr>
          <w:w w:val="115"/>
        </w:rPr>
        <w:t>consolidación</w:t>
      </w:r>
      <w:r>
        <w:rPr>
          <w:spacing w:val="-23"/>
          <w:w w:val="115"/>
        </w:rPr>
        <w:t> </w:t>
      </w:r>
      <w:r>
        <w:rPr>
          <w:w w:val="115"/>
        </w:rPr>
        <w:t>de</w:t>
      </w:r>
      <w:r>
        <w:rPr>
          <w:spacing w:val="-23"/>
          <w:w w:val="115"/>
        </w:rPr>
        <w:t> </w:t>
      </w:r>
      <w:r>
        <w:rPr>
          <w:w w:val="115"/>
        </w:rPr>
        <w:t>un bloque</w:t>
      </w:r>
      <w:r>
        <w:rPr>
          <w:spacing w:val="-20"/>
          <w:w w:val="115"/>
        </w:rPr>
        <w:t> </w:t>
      </w:r>
      <w:r>
        <w:rPr>
          <w:w w:val="115"/>
        </w:rPr>
        <w:t>regional</w:t>
      </w:r>
      <w:r>
        <w:rPr>
          <w:spacing w:val="-20"/>
          <w:w w:val="115"/>
        </w:rPr>
        <w:t> </w:t>
      </w:r>
      <w:r>
        <w:rPr>
          <w:w w:val="115"/>
        </w:rPr>
        <w:t>y</w:t>
      </w:r>
      <w:r>
        <w:rPr>
          <w:spacing w:val="-20"/>
          <w:w w:val="115"/>
        </w:rPr>
        <w:t> </w:t>
      </w:r>
      <w:r>
        <w:rPr>
          <w:w w:val="115"/>
        </w:rPr>
        <w:t>de</w:t>
      </w:r>
      <w:r>
        <w:rPr>
          <w:spacing w:val="-20"/>
          <w:w w:val="115"/>
        </w:rPr>
        <w:t> </w:t>
      </w:r>
      <w:r>
        <w:rPr>
          <w:w w:val="115"/>
        </w:rPr>
        <w:t>comercio</w:t>
      </w:r>
      <w:r>
        <w:rPr>
          <w:spacing w:val="-20"/>
          <w:w w:val="115"/>
        </w:rPr>
        <w:t> </w:t>
      </w:r>
      <w:r>
        <w:rPr>
          <w:w w:val="115"/>
        </w:rPr>
        <w:t>justo,</w:t>
      </w:r>
      <w:r>
        <w:rPr>
          <w:spacing w:val="-20"/>
          <w:w w:val="115"/>
        </w:rPr>
        <w:t> </w:t>
      </w:r>
      <w:r>
        <w:rPr>
          <w:w w:val="115"/>
        </w:rPr>
        <w:t>como</w:t>
      </w:r>
      <w:r>
        <w:rPr>
          <w:spacing w:val="-20"/>
          <w:w w:val="115"/>
        </w:rPr>
        <w:t> </w:t>
      </w:r>
      <w:r>
        <w:rPr>
          <w:w w:val="115"/>
        </w:rPr>
        <w:t>base</w:t>
      </w:r>
      <w:r>
        <w:rPr>
          <w:spacing w:val="-20"/>
          <w:w w:val="115"/>
        </w:rPr>
        <w:t> </w:t>
      </w:r>
      <w:r>
        <w:rPr>
          <w:w w:val="115"/>
        </w:rPr>
        <w:t>para</w:t>
      </w:r>
      <w:r>
        <w:rPr>
          <w:spacing w:val="-20"/>
          <w:w w:val="115"/>
        </w:rPr>
        <w:t> </w:t>
      </w:r>
      <w:r>
        <w:rPr>
          <w:w w:val="115"/>
        </w:rPr>
        <w:t>fortalecer</w:t>
      </w:r>
      <w:r>
        <w:rPr>
          <w:spacing w:val="-20"/>
          <w:w w:val="115"/>
        </w:rPr>
        <w:t> </w:t>
      </w:r>
      <w:r>
        <w:rPr>
          <w:w w:val="115"/>
        </w:rPr>
        <w:t>los</w:t>
      </w:r>
      <w:r>
        <w:rPr>
          <w:spacing w:val="-20"/>
          <w:w w:val="115"/>
        </w:rPr>
        <w:t> </w:t>
      </w:r>
      <w:r>
        <w:rPr>
          <w:w w:val="115"/>
        </w:rPr>
        <w:t>ni- veles</w:t>
      </w:r>
      <w:r>
        <w:rPr>
          <w:spacing w:val="-30"/>
          <w:w w:val="115"/>
        </w:rPr>
        <w:t> </w:t>
      </w:r>
      <w:r>
        <w:rPr>
          <w:w w:val="115"/>
        </w:rPr>
        <w:t>de</w:t>
      </w:r>
      <w:r>
        <w:rPr>
          <w:spacing w:val="-30"/>
          <w:w w:val="115"/>
        </w:rPr>
        <w:t> </w:t>
      </w:r>
      <w:r>
        <w:rPr>
          <w:w w:val="115"/>
        </w:rPr>
        <w:t>integración.</w:t>
      </w:r>
      <w:r>
        <w:rPr>
          <w:spacing w:val="-30"/>
          <w:w w:val="115"/>
        </w:rPr>
        <w:t> </w:t>
      </w:r>
      <w:r>
        <w:rPr>
          <w:w w:val="115"/>
        </w:rPr>
        <w:t>Este</w:t>
      </w:r>
      <w:r>
        <w:rPr>
          <w:spacing w:val="-30"/>
          <w:w w:val="115"/>
        </w:rPr>
        <w:t> </w:t>
      </w:r>
      <w:r>
        <w:rPr>
          <w:w w:val="115"/>
        </w:rPr>
        <w:t>proceso</w:t>
      </w:r>
      <w:r>
        <w:rPr>
          <w:spacing w:val="-30"/>
          <w:w w:val="115"/>
        </w:rPr>
        <w:t> </w:t>
      </w:r>
      <w:r>
        <w:rPr>
          <w:w w:val="115"/>
        </w:rPr>
        <w:t>debe</w:t>
      </w:r>
      <w:r>
        <w:rPr>
          <w:spacing w:val="-30"/>
          <w:w w:val="115"/>
        </w:rPr>
        <w:t> </w:t>
      </w:r>
      <w:r>
        <w:rPr>
          <w:w w:val="115"/>
        </w:rPr>
        <w:t>considerar</w:t>
      </w:r>
      <w:r>
        <w:rPr>
          <w:spacing w:val="-30"/>
          <w:w w:val="115"/>
        </w:rPr>
        <w:t> </w:t>
      </w:r>
      <w:r>
        <w:rPr>
          <w:w w:val="115"/>
        </w:rPr>
        <w:t>las</w:t>
      </w:r>
      <w:r>
        <w:rPr>
          <w:spacing w:val="-30"/>
          <w:w w:val="115"/>
        </w:rPr>
        <w:t> </w:t>
      </w:r>
      <w:r>
        <w:rPr>
          <w:w w:val="115"/>
        </w:rPr>
        <w:t>especificidades culturales,</w:t>
      </w:r>
      <w:r>
        <w:rPr>
          <w:spacing w:val="-25"/>
          <w:w w:val="115"/>
        </w:rPr>
        <w:t> </w:t>
      </w:r>
      <w:r>
        <w:rPr>
          <w:w w:val="115"/>
        </w:rPr>
        <w:t>sociales</w:t>
      </w:r>
      <w:r>
        <w:rPr>
          <w:spacing w:val="-25"/>
          <w:w w:val="115"/>
        </w:rPr>
        <w:t> </w:t>
      </w:r>
      <w:r>
        <w:rPr>
          <w:w w:val="115"/>
        </w:rPr>
        <w:t>y</w:t>
      </w:r>
      <w:r>
        <w:rPr>
          <w:spacing w:val="-25"/>
          <w:w w:val="115"/>
        </w:rPr>
        <w:t> </w:t>
      </w:r>
      <w:r>
        <w:rPr>
          <w:w w:val="115"/>
        </w:rPr>
        <w:t>políticas</w:t>
      </w:r>
      <w:r>
        <w:rPr>
          <w:spacing w:val="-25"/>
          <w:w w:val="115"/>
        </w:rPr>
        <w:t> </w:t>
      </w:r>
      <w:r>
        <w:rPr>
          <w:w w:val="115"/>
        </w:rPr>
        <w:t>de</w:t>
      </w:r>
      <w:r>
        <w:rPr>
          <w:spacing w:val="-25"/>
          <w:w w:val="115"/>
        </w:rPr>
        <w:t> </w:t>
      </w:r>
      <w:r>
        <w:rPr>
          <w:w w:val="115"/>
        </w:rPr>
        <w:t>cada</w:t>
      </w:r>
      <w:r>
        <w:rPr>
          <w:spacing w:val="-25"/>
          <w:w w:val="115"/>
        </w:rPr>
        <w:t> </w:t>
      </w:r>
      <w:r>
        <w:rPr>
          <w:w w:val="115"/>
        </w:rPr>
        <w:t>país;</w:t>
      </w:r>
      <w:r>
        <w:rPr>
          <w:spacing w:val="-25"/>
          <w:w w:val="115"/>
        </w:rPr>
        <w:t> </w:t>
      </w:r>
      <w:r>
        <w:rPr>
          <w:w w:val="115"/>
        </w:rPr>
        <w:t>la</w:t>
      </w:r>
      <w:r>
        <w:rPr>
          <w:spacing w:val="-25"/>
          <w:w w:val="115"/>
        </w:rPr>
        <w:t> </w:t>
      </w:r>
      <w:r>
        <w:rPr>
          <w:w w:val="115"/>
        </w:rPr>
        <w:t>soberanía</w:t>
      </w:r>
      <w:r>
        <w:rPr>
          <w:spacing w:val="-25"/>
          <w:w w:val="115"/>
        </w:rPr>
        <w:t> </w:t>
      </w:r>
      <w:r>
        <w:rPr>
          <w:w w:val="115"/>
        </w:rPr>
        <w:t>y</w:t>
      </w:r>
      <w:r>
        <w:rPr>
          <w:spacing w:val="-25"/>
          <w:w w:val="115"/>
        </w:rPr>
        <w:t> </w:t>
      </w:r>
      <w:r>
        <w:rPr>
          <w:w w:val="115"/>
        </w:rPr>
        <w:t>constitucio- nalidad;</w:t>
      </w:r>
      <w:r>
        <w:rPr>
          <w:spacing w:val="-12"/>
          <w:w w:val="115"/>
        </w:rPr>
        <w:t> </w:t>
      </w:r>
      <w:r>
        <w:rPr>
          <w:w w:val="115"/>
        </w:rPr>
        <w:t>el</w:t>
      </w:r>
      <w:r>
        <w:rPr>
          <w:spacing w:val="-12"/>
          <w:w w:val="115"/>
        </w:rPr>
        <w:t> </w:t>
      </w:r>
      <w:r>
        <w:rPr>
          <w:w w:val="115"/>
        </w:rPr>
        <w:t>nivel</w:t>
      </w:r>
      <w:r>
        <w:rPr>
          <w:spacing w:val="-12"/>
          <w:w w:val="115"/>
        </w:rPr>
        <w:t> </w:t>
      </w:r>
      <w:r>
        <w:rPr>
          <w:w w:val="115"/>
        </w:rPr>
        <w:t>y</w:t>
      </w:r>
      <w:r>
        <w:rPr>
          <w:spacing w:val="-12"/>
          <w:w w:val="115"/>
        </w:rPr>
        <w:t> </w:t>
      </w:r>
      <w:r>
        <w:rPr>
          <w:w w:val="115"/>
        </w:rPr>
        <w:t>tamaño</w:t>
      </w:r>
      <w:r>
        <w:rPr>
          <w:spacing w:val="-12"/>
          <w:w w:val="115"/>
        </w:rPr>
        <w:t> </w:t>
      </w:r>
      <w:r>
        <w:rPr>
          <w:w w:val="115"/>
        </w:rPr>
        <w:t>de</w:t>
      </w:r>
      <w:r>
        <w:rPr>
          <w:spacing w:val="-12"/>
          <w:w w:val="115"/>
        </w:rPr>
        <w:t> </w:t>
      </w:r>
      <w:r>
        <w:rPr>
          <w:w w:val="115"/>
        </w:rPr>
        <w:t>sus</w:t>
      </w:r>
      <w:r>
        <w:rPr>
          <w:spacing w:val="-12"/>
          <w:w w:val="115"/>
        </w:rPr>
        <w:t> </w:t>
      </w:r>
      <w:r>
        <w:rPr>
          <w:w w:val="115"/>
        </w:rPr>
        <w:t>economías</w:t>
      </w:r>
      <w:r>
        <w:rPr>
          <w:spacing w:val="-12"/>
          <w:w w:val="115"/>
        </w:rPr>
        <w:t> </w:t>
      </w:r>
      <w:r>
        <w:rPr>
          <w:w w:val="115"/>
        </w:rPr>
        <w:t>para</w:t>
      </w:r>
      <w:r>
        <w:rPr>
          <w:spacing w:val="-12"/>
          <w:w w:val="115"/>
        </w:rPr>
        <w:t> </w:t>
      </w:r>
      <w:r>
        <w:rPr>
          <w:w w:val="115"/>
        </w:rPr>
        <w:t>garantizar</w:t>
      </w:r>
      <w:r>
        <w:rPr>
          <w:spacing w:val="-12"/>
          <w:w w:val="115"/>
        </w:rPr>
        <w:t> </w:t>
      </w:r>
      <w:r>
        <w:rPr>
          <w:w w:val="115"/>
        </w:rPr>
        <w:t>un</w:t>
      </w:r>
      <w:r>
        <w:rPr>
          <w:spacing w:val="-12"/>
          <w:w w:val="115"/>
        </w:rPr>
        <w:t> </w:t>
      </w:r>
      <w:r>
        <w:rPr>
          <w:w w:val="115"/>
        </w:rPr>
        <w:t>trato</w:t>
      </w:r>
    </w:p>
    <w:p>
      <w:pPr>
        <w:pStyle w:val="BodyText"/>
        <w:rPr>
          <w:sz w:val="20"/>
        </w:rPr>
      </w:pPr>
    </w:p>
    <w:p>
      <w:pPr>
        <w:pStyle w:val="BodyText"/>
        <w:spacing w:before="2"/>
        <w:rPr>
          <w:sz w:val="18"/>
        </w:rPr>
      </w:pPr>
      <w:r>
        <w:rPr/>
        <w:pict>
          <v:line style="position:absolute;mso-position-horizontal-relative:page;mso-position-vertical-relative:paragraph;z-index:8104;mso-wrap-distance-left:0;mso-wrap-distance-right:0" from="76.5354pt,12.900001pt" to="104.8814pt,12.900001pt" stroked="true" strokeweight=".5pt" strokecolor="#000000">
            <w10:wrap type="topAndBottom"/>
          </v:line>
        </w:pict>
      </w:r>
    </w:p>
    <w:p>
      <w:pPr>
        <w:pStyle w:val="ListParagraph"/>
        <w:numPr>
          <w:ilvl w:val="0"/>
          <w:numId w:val="34"/>
        </w:numPr>
        <w:tabs>
          <w:tab w:pos="586" w:val="left" w:leader="none"/>
        </w:tabs>
        <w:spacing w:line="240" w:lineRule="auto" w:before="89" w:after="0"/>
        <w:ind w:left="585" w:right="0" w:hanging="255"/>
        <w:jc w:val="left"/>
        <w:rPr>
          <w:sz w:val="16"/>
        </w:rPr>
      </w:pPr>
      <w:r>
        <w:rPr>
          <w:spacing w:val="-3"/>
          <w:w w:val="105"/>
          <w:sz w:val="16"/>
        </w:rPr>
        <w:t>disponible </w:t>
      </w:r>
      <w:r>
        <w:rPr>
          <w:w w:val="105"/>
          <w:sz w:val="16"/>
        </w:rPr>
        <w:t>en</w:t>
      </w:r>
      <w:r>
        <w:rPr>
          <w:spacing w:val="14"/>
          <w:w w:val="105"/>
          <w:sz w:val="16"/>
        </w:rPr>
        <w:t> </w:t>
      </w:r>
      <w:hyperlink r:id="rId512">
        <w:r>
          <w:rPr>
            <w:spacing w:val="-4"/>
            <w:w w:val="105"/>
            <w:sz w:val="16"/>
          </w:rPr>
          <w:t>&lt;http://www.summit-americas.org/iii_summit/iii_summit_poa_sp.pdf&gt;.</w:t>
        </w:r>
      </w:hyperlink>
    </w:p>
    <w:p>
      <w:pPr>
        <w:pStyle w:val="ListParagraph"/>
        <w:numPr>
          <w:ilvl w:val="0"/>
          <w:numId w:val="34"/>
        </w:numPr>
        <w:tabs>
          <w:tab w:pos="586" w:val="left" w:leader="none"/>
        </w:tabs>
        <w:spacing w:line="242" w:lineRule="auto" w:before="59" w:after="0"/>
        <w:ind w:left="330" w:right="118" w:firstLine="0"/>
        <w:jc w:val="left"/>
        <w:rPr>
          <w:sz w:val="16"/>
        </w:rPr>
      </w:pPr>
      <w:r>
        <w:rPr>
          <w:spacing w:val="-3"/>
          <w:w w:val="110"/>
          <w:sz w:val="16"/>
        </w:rPr>
        <w:t>Véase </w:t>
      </w:r>
      <w:r>
        <w:rPr>
          <w:w w:val="110"/>
          <w:sz w:val="16"/>
        </w:rPr>
        <w:t>la página web oficial de la Cumbre de Monterrey: &lt;http://www.summit- americas.org/sp_summit_sp.html&gt;.</w:t>
      </w:r>
    </w:p>
    <w:p>
      <w:pPr>
        <w:spacing w:after="0" w:line="242" w:lineRule="auto"/>
        <w:jc w:val="left"/>
        <w:rPr>
          <w:sz w:val="16"/>
        </w:rPr>
        <w:sectPr>
          <w:pgSz w:w="8790" w:h="12760"/>
          <w:pgMar w:header="697" w:footer="725" w:top="880" w:bottom="920" w:left="1200" w:right="900"/>
        </w:sectPr>
      </w:pPr>
    </w:p>
    <w:p>
      <w:pPr>
        <w:pStyle w:val="BodyText"/>
        <w:spacing w:before="8"/>
        <w:rPr>
          <w:sz w:val="28"/>
        </w:rPr>
      </w:pPr>
    </w:p>
    <w:p>
      <w:pPr>
        <w:pStyle w:val="BodyText"/>
        <w:spacing w:line="252" w:lineRule="auto" w:before="74"/>
        <w:ind w:left="120" w:right="328"/>
        <w:jc w:val="both"/>
      </w:pPr>
      <w:r>
        <w:rPr>
          <w:w w:val="110"/>
        </w:rPr>
        <w:t>justo”</w:t>
      </w:r>
      <w:r>
        <w:rPr>
          <w:w w:val="103"/>
          <w:position w:val="6"/>
          <w:sz w:val="11"/>
        </w:rPr>
        <w:t>17</w:t>
      </w:r>
      <w:r>
        <w:rPr>
          <w:w w:val="138"/>
        </w:rPr>
        <w:t>.</w:t>
      </w:r>
      <w:r>
        <w:rPr>
          <w:spacing w:val="11"/>
        </w:rPr>
        <w:t> </w:t>
      </w:r>
      <w:r>
        <w:rPr>
          <w:w w:val="243"/>
        </w:rPr>
        <w:t>l</w:t>
      </w:r>
      <w:r>
        <w:rPr>
          <w:w w:val="108"/>
        </w:rPr>
        <w:t>os</w:t>
      </w:r>
      <w:r>
        <w:rPr>
          <w:spacing w:val="11"/>
        </w:rPr>
        <w:t> </w:t>
      </w:r>
      <w:r>
        <w:rPr>
          <w:w w:val="108"/>
        </w:rPr>
        <w:t>venezolanos</w:t>
      </w:r>
      <w:r>
        <w:rPr>
          <w:spacing w:val="11"/>
        </w:rPr>
        <w:t> </w:t>
      </w:r>
      <w:r>
        <w:rPr>
          <w:w w:val="108"/>
        </w:rPr>
        <w:t>ya</w:t>
      </w:r>
      <w:r>
        <w:rPr>
          <w:spacing w:val="11"/>
        </w:rPr>
        <w:t> </w:t>
      </w:r>
      <w:r>
        <w:rPr>
          <w:w w:val="112"/>
        </w:rPr>
        <w:t>habían</w:t>
      </w:r>
      <w:r>
        <w:rPr>
          <w:spacing w:val="11"/>
        </w:rPr>
        <w:t> </w:t>
      </w:r>
      <w:r>
        <w:rPr>
          <w:w w:val="108"/>
        </w:rPr>
        <w:t>resistido</w:t>
      </w:r>
      <w:r>
        <w:rPr>
          <w:spacing w:val="11"/>
        </w:rPr>
        <w:t> </w:t>
      </w:r>
      <w:r>
        <w:rPr>
          <w:w w:val="109"/>
        </w:rPr>
        <w:t>exitosamente</w:t>
      </w:r>
      <w:r>
        <w:rPr>
          <w:spacing w:val="11"/>
        </w:rPr>
        <w:t> </w:t>
      </w:r>
      <w:r>
        <w:rPr>
          <w:w w:val="107"/>
        </w:rPr>
        <w:t>el</w:t>
      </w:r>
      <w:r>
        <w:rPr>
          <w:spacing w:val="11"/>
        </w:rPr>
        <w:t> </w:t>
      </w:r>
      <w:r>
        <w:rPr>
          <w:w w:val="109"/>
        </w:rPr>
        <w:t>golpe</w:t>
      </w:r>
      <w:r>
        <w:rPr>
          <w:spacing w:val="11"/>
        </w:rPr>
        <w:t> </w:t>
      </w:r>
      <w:r>
        <w:rPr>
          <w:w w:val="107"/>
        </w:rPr>
        <w:t>de </w:t>
      </w:r>
      <w:r>
        <w:rPr>
          <w:w w:val="115"/>
        </w:rPr>
        <w:t>estado</w:t>
      </w:r>
      <w:r>
        <w:rPr>
          <w:spacing w:val="-22"/>
          <w:w w:val="115"/>
        </w:rPr>
        <w:t> </w:t>
      </w:r>
      <w:r>
        <w:rPr>
          <w:w w:val="115"/>
        </w:rPr>
        <w:t>de</w:t>
      </w:r>
      <w:r>
        <w:rPr>
          <w:spacing w:val="-22"/>
          <w:w w:val="115"/>
        </w:rPr>
        <w:t> </w:t>
      </w:r>
      <w:r>
        <w:rPr>
          <w:w w:val="115"/>
        </w:rPr>
        <w:t>abril</w:t>
      </w:r>
      <w:r>
        <w:rPr>
          <w:spacing w:val="-22"/>
          <w:w w:val="115"/>
        </w:rPr>
        <w:t> </w:t>
      </w:r>
      <w:r>
        <w:rPr>
          <w:w w:val="115"/>
        </w:rPr>
        <w:t>de</w:t>
      </w:r>
      <w:r>
        <w:rPr>
          <w:spacing w:val="-22"/>
          <w:w w:val="115"/>
        </w:rPr>
        <w:t> </w:t>
      </w:r>
      <w:r>
        <w:rPr>
          <w:w w:val="115"/>
        </w:rPr>
        <w:t>2002</w:t>
      </w:r>
      <w:r>
        <w:rPr>
          <w:spacing w:val="-22"/>
          <w:w w:val="115"/>
        </w:rPr>
        <w:t> </w:t>
      </w:r>
      <w:r>
        <w:rPr>
          <w:w w:val="115"/>
        </w:rPr>
        <w:t>y</w:t>
      </w:r>
      <w:r>
        <w:rPr>
          <w:spacing w:val="-22"/>
          <w:w w:val="115"/>
        </w:rPr>
        <w:t> </w:t>
      </w:r>
      <w:r>
        <w:rPr>
          <w:w w:val="115"/>
        </w:rPr>
        <w:t>el</w:t>
      </w:r>
      <w:r>
        <w:rPr>
          <w:spacing w:val="-22"/>
          <w:w w:val="115"/>
        </w:rPr>
        <w:t> </w:t>
      </w:r>
      <w:r>
        <w:rPr>
          <w:w w:val="115"/>
        </w:rPr>
        <w:t>proceso</w:t>
      </w:r>
      <w:r>
        <w:rPr>
          <w:spacing w:val="-22"/>
          <w:w w:val="115"/>
        </w:rPr>
        <w:t> </w:t>
      </w:r>
      <w:r>
        <w:rPr>
          <w:w w:val="115"/>
        </w:rPr>
        <w:t>liderado</w:t>
      </w:r>
      <w:r>
        <w:rPr>
          <w:spacing w:val="-22"/>
          <w:w w:val="115"/>
        </w:rPr>
        <w:t> </w:t>
      </w:r>
      <w:r>
        <w:rPr>
          <w:w w:val="115"/>
        </w:rPr>
        <w:t>por</w:t>
      </w:r>
      <w:r>
        <w:rPr>
          <w:spacing w:val="-22"/>
          <w:w w:val="115"/>
        </w:rPr>
        <w:t> </w:t>
      </w:r>
      <w:r>
        <w:rPr>
          <w:w w:val="115"/>
        </w:rPr>
        <w:t>Chávez</w:t>
      </w:r>
      <w:r>
        <w:rPr>
          <w:spacing w:val="-22"/>
          <w:w w:val="115"/>
        </w:rPr>
        <w:t> </w:t>
      </w:r>
      <w:r>
        <w:rPr>
          <w:w w:val="115"/>
        </w:rPr>
        <w:t>adquiría</w:t>
      </w:r>
      <w:r>
        <w:rPr>
          <w:spacing w:val="-22"/>
          <w:w w:val="115"/>
        </w:rPr>
        <w:t> </w:t>
      </w:r>
      <w:r>
        <w:rPr>
          <w:w w:val="115"/>
        </w:rPr>
        <w:t>una orientación</w:t>
      </w:r>
      <w:r>
        <w:rPr>
          <w:spacing w:val="-16"/>
          <w:w w:val="115"/>
        </w:rPr>
        <w:t> </w:t>
      </w:r>
      <w:r>
        <w:rPr>
          <w:w w:val="115"/>
        </w:rPr>
        <w:t>incompatible</w:t>
      </w:r>
      <w:r>
        <w:rPr>
          <w:spacing w:val="-16"/>
          <w:w w:val="115"/>
        </w:rPr>
        <w:t> </w:t>
      </w:r>
      <w:r>
        <w:rPr>
          <w:w w:val="115"/>
        </w:rPr>
        <w:t>con</w:t>
      </w:r>
      <w:r>
        <w:rPr>
          <w:spacing w:val="-16"/>
          <w:w w:val="115"/>
        </w:rPr>
        <w:t> </w:t>
      </w:r>
      <w:r>
        <w:rPr>
          <w:w w:val="115"/>
        </w:rPr>
        <w:t>el</w:t>
      </w:r>
      <w:r>
        <w:rPr>
          <w:spacing w:val="-16"/>
          <w:w w:val="115"/>
        </w:rPr>
        <w:t> </w:t>
      </w:r>
      <w:r>
        <w:rPr>
          <w:w w:val="115"/>
        </w:rPr>
        <w:t>proyecto</w:t>
      </w:r>
      <w:r>
        <w:rPr>
          <w:spacing w:val="-16"/>
          <w:w w:val="115"/>
        </w:rPr>
        <w:t> </w:t>
      </w:r>
      <w:r>
        <w:rPr>
          <w:w w:val="115"/>
        </w:rPr>
        <w:t>de</w:t>
      </w:r>
      <w:r>
        <w:rPr>
          <w:spacing w:val="-16"/>
          <w:w w:val="115"/>
        </w:rPr>
        <w:t> </w:t>
      </w:r>
      <w:r>
        <w:rPr>
          <w:w w:val="115"/>
        </w:rPr>
        <w:t>libre</w:t>
      </w:r>
      <w:r>
        <w:rPr>
          <w:spacing w:val="-16"/>
          <w:w w:val="115"/>
        </w:rPr>
        <w:t> </w:t>
      </w:r>
      <w:r>
        <w:rPr>
          <w:w w:val="115"/>
        </w:rPr>
        <w:t>comercio</w:t>
      </w:r>
      <w:r>
        <w:rPr>
          <w:spacing w:val="-16"/>
          <w:w w:val="115"/>
        </w:rPr>
        <w:t> </w:t>
      </w:r>
      <w:r>
        <w:rPr>
          <w:w w:val="115"/>
        </w:rPr>
        <w:t>impulsa- do por la administración</w:t>
      </w:r>
      <w:r>
        <w:rPr>
          <w:spacing w:val="-13"/>
          <w:w w:val="115"/>
        </w:rPr>
        <w:t> </w:t>
      </w:r>
      <w:r>
        <w:rPr>
          <w:w w:val="115"/>
        </w:rPr>
        <w:t>bush.</w:t>
      </w:r>
    </w:p>
    <w:p>
      <w:pPr>
        <w:pStyle w:val="BodyText"/>
        <w:spacing w:line="252" w:lineRule="auto"/>
        <w:ind w:left="83" w:right="327" w:firstLine="396"/>
        <w:jc w:val="right"/>
      </w:pPr>
      <w:r>
        <w:rPr>
          <w:w w:val="243"/>
        </w:rPr>
        <w:t>l</w:t>
      </w:r>
      <w:r>
        <w:rPr>
          <w:w w:val="112"/>
        </w:rPr>
        <w:t>a</w:t>
      </w:r>
      <w:r>
        <w:rPr/>
        <w:t> </w:t>
      </w:r>
      <w:r>
        <w:rPr>
          <w:w w:val="113"/>
        </w:rPr>
        <w:t>Cuarta</w:t>
      </w:r>
      <w:r>
        <w:rPr/>
        <w:t> </w:t>
      </w:r>
      <w:r>
        <w:rPr>
          <w:w w:val="112"/>
        </w:rPr>
        <w:t>Cumbre</w:t>
      </w:r>
      <w:r>
        <w:rPr/>
        <w:t> </w:t>
      </w:r>
      <w:r>
        <w:rPr>
          <w:w w:val="105"/>
        </w:rPr>
        <w:t>se</w:t>
      </w:r>
      <w:r>
        <w:rPr/>
        <w:t> </w:t>
      </w:r>
      <w:r>
        <w:rPr>
          <w:w w:val="109"/>
        </w:rPr>
        <w:t>realizó</w:t>
      </w:r>
      <w:r>
        <w:rPr/>
        <w:t> </w:t>
      </w:r>
      <w:r>
        <w:rPr>
          <w:w w:val="108"/>
        </w:rPr>
        <w:t>en</w:t>
      </w:r>
      <w:r>
        <w:rPr/>
        <w:t> </w:t>
      </w:r>
      <w:r>
        <w:rPr>
          <w:w w:val="114"/>
        </w:rPr>
        <w:t>Mar</w:t>
      </w:r>
      <w:r>
        <w:rPr/>
        <w:t> </w:t>
      </w:r>
      <w:r>
        <w:rPr>
          <w:w w:val="107"/>
        </w:rPr>
        <w:t>del</w:t>
      </w:r>
      <w:r>
        <w:rPr/>
        <w:t> </w:t>
      </w:r>
      <w:r>
        <w:rPr>
          <w:w w:val="111"/>
        </w:rPr>
        <w:t>Plata</w:t>
      </w:r>
      <w:r>
        <w:rPr/>
        <w:t> </w:t>
      </w:r>
      <w:r>
        <w:rPr>
          <w:w w:val="107"/>
        </w:rPr>
        <w:t>el</w:t>
      </w:r>
      <w:r>
        <w:rPr/>
        <w:t> </w:t>
      </w:r>
      <w:r>
        <w:rPr>
          <w:w w:val="102"/>
        </w:rPr>
        <w:t>4</w:t>
      </w:r>
      <w:r>
        <w:rPr/>
        <w:t> </w:t>
      </w:r>
      <w:r>
        <w:rPr>
          <w:w w:val="105"/>
        </w:rPr>
        <w:t>y</w:t>
      </w:r>
      <w:r>
        <w:rPr/>
        <w:t> </w:t>
      </w:r>
      <w:r>
        <w:rPr>
          <w:w w:val="102"/>
        </w:rPr>
        <w:t>5</w:t>
      </w:r>
      <w:r>
        <w:rPr/>
        <w:t> </w:t>
      </w:r>
      <w:r>
        <w:rPr>
          <w:w w:val="107"/>
        </w:rPr>
        <w:t>de</w:t>
      </w:r>
      <w:r>
        <w:rPr/>
        <w:t> </w:t>
      </w:r>
      <w:r>
        <w:rPr>
          <w:w w:val="109"/>
        </w:rPr>
        <w:t>noviem</w:t>
      </w:r>
      <w:r>
        <w:rPr>
          <w:w w:val="102"/>
        </w:rPr>
        <w:t>- </w:t>
      </w:r>
      <w:r>
        <w:rPr>
          <w:w w:val="110"/>
        </w:rPr>
        <w:t>bre de 2005</w:t>
      </w:r>
      <w:r>
        <w:rPr>
          <w:w w:val="110"/>
          <w:position w:val="6"/>
          <w:sz w:val="11"/>
        </w:rPr>
        <w:t>18 </w:t>
      </w:r>
      <w:r>
        <w:rPr>
          <w:w w:val="110"/>
        </w:rPr>
        <w:t>en un contexto crítico que signó la derrota del </w:t>
      </w:r>
      <w:r>
        <w:rPr>
          <w:w w:val="150"/>
        </w:rPr>
        <w:t>alCa. </w:t>
      </w:r>
      <w:r>
        <w:rPr>
          <w:w w:val="110"/>
        </w:rPr>
        <w:t>allí</w:t>
      </w:r>
      <w:r>
        <w:rPr>
          <w:w w:val="112"/>
        </w:rPr>
        <w:t> </w:t>
      </w:r>
      <w:r>
        <w:rPr>
          <w:w w:val="110"/>
        </w:rPr>
        <w:t>se expresaron, en principio, dos bloques. Por un lado, los países que</w:t>
      </w:r>
      <w:r>
        <w:rPr>
          <w:w w:val="108"/>
        </w:rPr>
        <w:t> </w:t>
      </w:r>
      <w:r>
        <w:rPr>
          <w:w w:val="110"/>
        </w:rPr>
        <w:t>alentaban la propuesta de declaración apoyada por Estados unidos,</w:t>
      </w:r>
      <w:r>
        <w:rPr>
          <w:w w:val="112"/>
        </w:rPr>
        <w:t> </w:t>
      </w:r>
      <w:r>
        <w:rPr>
          <w:w w:val="110"/>
        </w:rPr>
        <w:t>que planteaba avanzar para concretar este acuerdo de libre comercio.</w:t>
      </w:r>
      <w:r>
        <w:rPr>
          <w:w w:val="112"/>
        </w:rPr>
        <w:t> </w:t>
      </w:r>
      <w:r>
        <w:rPr>
          <w:w w:val="110"/>
        </w:rPr>
        <w:t>Por otra parte, brasil, argentina, uruguay, Paraguay y Venezuela, que</w:t>
      </w:r>
      <w:r>
        <w:rPr>
          <w:w w:val="108"/>
        </w:rPr>
        <w:t> </w:t>
      </w:r>
      <w:r>
        <w:rPr>
          <w:w w:val="110"/>
        </w:rPr>
        <w:t>se unieron para forzar una declaración final que no incluyera al </w:t>
      </w:r>
      <w:r>
        <w:rPr>
          <w:w w:val="150"/>
        </w:rPr>
        <w:t>alCa.</w:t>
      </w:r>
      <w:r>
        <w:rPr>
          <w:w w:val="138"/>
        </w:rPr>
        <w:t> </w:t>
      </w:r>
      <w:r>
        <w:rPr>
          <w:w w:val="110"/>
        </w:rPr>
        <w:t>si bien el tema del </w:t>
      </w:r>
      <w:r>
        <w:rPr>
          <w:w w:val="150"/>
        </w:rPr>
        <w:t>alCa </w:t>
      </w:r>
      <w:r>
        <w:rPr>
          <w:w w:val="110"/>
        </w:rPr>
        <w:t>no estaba formalmente en la agenda</w:t>
      </w:r>
    </w:p>
    <w:p>
      <w:pPr>
        <w:pStyle w:val="BodyText"/>
        <w:spacing w:line="252" w:lineRule="auto"/>
        <w:ind w:left="120" w:right="328"/>
        <w:jc w:val="both"/>
      </w:pPr>
      <w:r>
        <w:rPr>
          <w:w w:val="110"/>
        </w:rPr>
        <w:t>de la reunión, el jefe del gobierno de Canadá intentó incluirlo, luego del discurso de apertura de Néstor </w:t>
      </w:r>
      <w:r>
        <w:rPr>
          <w:spacing w:val="-3"/>
          <w:w w:val="110"/>
        </w:rPr>
        <w:t>Kirchner,  </w:t>
      </w:r>
      <w:r>
        <w:rPr>
          <w:w w:val="110"/>
        </w:rPr>
        <w:t>que había sido crítico  del neoliberalismo y del </w:t>
      </w:r>
      <w:r>
        <w:rPr>
          <w:i/>
          <w:w w:val="110"/>
        </w:rPr>
        <w:t>Consenso de Washington</w:t>
      </w:r>
      <w:r>
        <w:rPr>
          <w:w w:val="110"/>
        </w:rPr>
        <w:t>. El fuerte apoyo de bush, Fox y otros mandatarios no alcanzó para torcer la voluntad de </w:t>
      </w:r>
      <w:r>
        <w:rPr>
          <w:w w:val="108"/>
        </w:rPr>
        <w:t>los</w:t>
      </w:r>
      <w:r>
        <w:rPr/>
        <w:t> </w:t>
      </w:r>
      <w:r>
        <w:rPr>
          <w:spacing w:val="-4"/>
        </w:rPr>
        <w:t> </w:t>
      </w:r>
      <w:r>
        <w:rPr>
          <w:w w:val="108"/>
        </w:rPr>
        <w:t>mayores</w:t>
      </w:r>
      <w:r>
        <w:rPr/>
        <w:t> </w:t>
      </w:r>
      <w:r>
        <w:rPr>
          <w:spacing w:val="-4"/>
        </w:rPr>
        <w:t> </w:t>
      </w:r>
      <w:r>
        <w:rPr>
          <w:w w:val="108"/>
        </w:rPr>
        <w:t>países</w:t>
      </w:r>
      <w:r>
        <w:rPr/>
        <w:t> </w:t>
      </w:r>
      <w:r>
        <w:rPr>
          <w:spacing w:val="-4"/>
        </w:rPr>
        <w:t> </w:t>
      </w:r>
      <w:r>
        <w:rPr>
          <w:w w:val="107"/>
        </w:rPr>
        <w:t>de</w:t>
      </w:r>
      <w:r>
        <w:rPr/>
        <w:t> </w:t>
      </w:r>
      <w:r>
        <w:rPr>
          <w:spacing w:val="-4"/>
        </w:rPr>
        <w:t> </w:t>
      </w:r>
      <w:r>
        <w:rPr>
          <w:w w:val="139"/>
        </w:rPr>
        <w:t>a</w:t>
      </w:r>
      <w:r>
        <w:rPr>
          <w:w w:val="111"/>
        </w:rPr>
        <w:t>mérica</w:t>
      </w:r>
      <w:r>
        <w:rPr/>
        <w:t> </w:t>
      </w:r>
      <w:r>
        <w:rPr>
          <w:spacing w:val="-4"/>
        </w:rPr>
        <w:t> </w:t>
      </w:r>
      <w:r>
        <w:rPr>
          <w:w w:val="107"/>
        </w:rPr>
        <w:t>del</w:t>
      </w:r>
      <w:r>
        <w:rPr/>
        <w:t> </w:t>
      </w:r>
      <w:r>
        <w:rPr>
          <w:spacing w:val="-4"/>
        </w:rPr>
        <w:t> </w:t>
      </w:r>
      <w:r>
        <w:rPr>
          <w:w w:val="149"/>
        </w:rPr>
        <w:t>s</w:t>
      </w:r>
      <w:r>
        <w:rPr>
          <w:w w:val="112"/>
        </w:rPr>
        <w:t>u</w:t>
      </w:r>
      <w:r>
        <w:rPr>
          <w:spacing w:val="-22"/>
          <w:w w:val="105"/>
        </w:rPr>
        <w:t>r</w:t>
      </w:r>
      <w:r>
        <w:rPr>
          <w:w w:val="138"/>
        </w:rPr>
        <w:t>.</w:t>
      </w:r>
      <w:r>
        <w:rPr/>
        <w:t> </w:t>
      </w:r>
      <w:r>
        <w:rPr>
          <w:spacing w:val="-4"/>
        </w:rPr>
        <w:t> </w:t>
      </w:r>
      <w:r>
        <w:rPr>
          <w:w w:val="122"/>
        </w:rPr>
        <w:t>El</w:t>
      </w:r>
      <w:r>
        <w:rPr/>
        <w:t> </w:t>
      </w:r>
      <w:r>
        <w:rPr>
          <w:spacing w:val="-4"/>
        </w:rPr>
        <w:t> </w:t>
      </w:r>
      <w:r>
        <w:rPr>
          <w:w w:val="107"/>
        </w:rPr>
        <w:t>presidente</w:t>
      </w:r>
      <w:r>
        <w:rPr/>
        <w:t> </w:t>
      </w:r>
      <w:r>
        <w:rPr>
          <w:spacing w:val="-4"/>
        </w:rPr>
        <w:t> </w:t>
      </w:r>
      <w:r>
        <w:rPr>
          <w:w w:val="243"/>
        </w:rPr>
        <w:t>l</w:t>
      </w:r>
      <w:r>
        <w:rPr>
          <w:w w:val="112"/>
        </w:rPr>
        <w:t>ula</w:t>
      </w:r>
      <w:r>
        <w:rPr/>
        <w:t> </w:t>
      </w:r>
      <w:r>
        <w:rPr>
          <w:spacing w:val="-4"/>
        </w:rPr>
        <w:t> </w:t>
      </w:r>
      <w:r>
        <w:rPr>
          <w:w w:val="110"/>
        </w:rPr>
        <w:t>también </w:t>
      </w:r>
      <w:r>
        <w:rPr>
          <w:w w:val="110"/>
        </w:rPr>
        <w:t>lanzó un encendido ataque contra el </w:t>
      </w:r>
      <w:r>
        <w:rPr>
          <w:w w:val="150"/>
        </w:rPr>
        <w:t>alCa </w:t>
      </w:r>
      <w:r>
        <w:rPr>
          <w:w w:val="110"/>
        </w:rPr>
        <w:t>y contra el avance del libre comercio, en tanto los países centrales mantuvieran diversas formas </w:t>
      </w:r>
      <w:r>
        <w:rPr>
          <w:w w:val="107"/>
        </w:rPr>
        <w:t>de</w:t>
      </w:r>
      <w:r>
        <w:rPr>
          <w:spacing w:val="2"/>
        </w:rPr>
        <w:t> </w:t>
      </w:r>
      <w:r>
        <w:rPr>
          <w:w w:val="110"/>
        </w:rPr>
        <w:t>proteccionismo</w:t>
      </w:r>
      <w:r>
        <w:rPr>
          <w:spacing w:val="2"/>
        </w:rPr>
        <w:t> </w:t>
      </w:r>
      <w:r>
        <w:rPr>
          <w:w w:val="111"/>
        </w:rPr>
        <w:t>no</w:t>
      </w:r>
      <w:r>
        <w:rPr>
          <w:spacing w:val="2"/>
        </w:rPr>
        <w:t> </w:t>
      </w:r>
      <w:r>
        <w:rPr>
          <w:w w:val="111"/>
        </w:rPr>
        <w:t>arancelario.</w:t>
      </w:r>
      <w:r>
        <w:rPr>
          <w:spacing w:val="2"/>
        </w:rPr>
        <w:t> </w:t>
      </w:r>
      <w:r>
        <w:rPr>
          <w:w w:val="243"/>
        </w:rPr>
        <w:t>l</w:t>
      </w:r>
      <w:r>
        <w:rPr>
          <w:w w:val="112"/>
        </w:rPr>
        <w:t>a</w:t>
      </w:r>
      <w:r>
        <w:rPr>
          <w:spacing w:val="2"/>
        </w:rPr>
        <w:t> </w:t>
      </w:r>
      <w:r>
        <w:rPr>
          <w:w w:val="110"/>
        </w:rPr>
        <w:t>línea</w:t>
      </w:r>
      <w:r>
        <w:rPr>
          <w:spacing w:val="2"/>
        </w:rPr>
        <w:t> </w:t>
      </w:r>
      <w:r>
        <w:rPr>
          <w:w w:val="107"/>
        </w:rPr>
        <w:t>de</w:t>
      </w:r>
      <w:r>
        <w:rPr>
          <w:spacing w:val="2"/>
        </w:rPr>
        <w:t> </w:t>
      </w:r>
      <w:r>
        <w:rPr>
          <w:w w:val="109"/>
        </w:rPr>
        <w:t>intervención</w:t>
      </w:r>
      <w:r>
        <w:rPr>
          <w:spacing w:val="2"/>
        </w:rPr>
        <w:t> </w:t>
      </w:r>
      <w:r>
        <w:rPr>
          <w:w w:val="111"/>
        </w:rPr>
        <w:t>fue</w:t>
      </w:r>
      <w:r>
        <w:rPr>
          <w:spacing w:val="2"/>
        </w:rPr>
        <w:t> </w:t>
      </w:r>
      <w:r>
        <w:rPr>
          <w:w w:val="111"/>
        </w:rPr>
        <w:t>similar </w:t>
      </w:r>
      <w:r>
        <w:rPr>
          <w:w w:val="110"/>
        </w:rPr>
        <w:t>a la desplegada en la Cumbre de la oMC realizada en Cancún dos años antes. En el acta final debió expresarse esa divergencia entre quienes querían retomar las negociaciones para establecer el </w:t>
      </w:r>
      <w:r>
        <w:rPr>
          <w:w w:val="150"/>
        </w:rPr>
        <w:t>alCa </w:t>
      </w:r>
      <w:r>
        <w:rPr>
          <w:w w:val="110"/>
        </w:rPr>
        <w:t>y quienes pretendían descartar el proyecto. En los hechos, nunca más volvió a discutirse un acuerdo macro de esa</w:t>
      </w:r>
      <w:r>
        <w:rPr>
          <w:spacing w:val="38"/>
          <w:w w:val="110"/>
        </w:rPr>
        <w:t> </w:t>
      </w:r>
      <w:r>
        <w:rPr>
          <w:w w:val="110"/>
        </w:rPr>
        <w:t>envergadura.</w:t>
      </w:r>
    </w:p>
    <w:p>
      <w:pPr>
        <w:pStyle w:val="BodyText"/>
        <w:spacing w:line="252" w:lineRule="auto"/>
        <w:ind w:left="120" w:right="328" w:firstLine="397"/>
        <w:jc w:val="both"/>
      </w:pPr>
      <w:r>
        <w:rPr>
          <w:w w:val="110"/>
        </w:rPr>
        <w:t>Pese al intento de diversos actores por presentar la postura de</w:t>
      </w:r>
      <w:r>
        <w:rPr>
          <w:spacing w:val="-17"/>
          <w:w w:val="110"/>
        </w:rPr>
        <w:t> </w:t>
      </w:r>
      <w:r>
        <w:rPr>
          <w:spacing w:val="-5"/>
          <w:w w:val="110"/>
        </w:rPr>
        <w:t>ar- </w:t>
      </w:r>
      <w:r>
        <w:rPr>
          <w:w w:val="110"/>
        </w:rPr>
        <w:t>gentina, brasil, </w:t>
      </w:r>
      <w:r>
        <w:rPr>
          <w:spacing w:val="-3"/>
          <w:w w:val="110"/>
        </w:rPr>
        <w:t>uruguay, </w:t>
      </w:r>
      <w:r>
        <w:rPr>
          <w:w w:val="110"/>
        </w:rPr>
        <w:t>Paraguay y Venezuela como un sólido </w:t>
      </w:r>
      <w:r>
        <w:rPr>
          <w:i/>
          <w:w w:val="110"/>
        </w:rPr>
        <w:t>bloque </w:t>
      </w:r>
      <w:r>
        <w:rPr>
          <w:i/>
          <w:w w:val="110"/>
        </w:rPr>
        <w:t>antiimperialista </w:t>
      </w:r>
      <w:r>
        <w:rPr>
          <w:w w:val="110"/>
        </w:rPr>
        <w:t>que defendía los intereses de las mayorías populares latinoamericanas, en realidad había diferencias entre las posturas de Venezuela y de los países del </w:t>
      </w:r>
      <w:r>
        <w:rPr>
          <w:spacing w:val="-3"/>
          <w:w w:val="110"/>
        </w:rPr>
        <w:t>Mercosur. </w:t>
      </w:r>
      <w:r>
        <w:rPr>
          <w:w w:val="110"/>
        </w:rPr>
        <w:t>Mientras que el país caribe-  ño planteaba la necesidad de una abierta confrontación con Estados unidos, tanto brasil como argentina, al igual que en la organización Mundial del Comercio (oMC), pretendían en las negociaciones conti- nentales presionar para que Estados unidos (y a nivel global también Europa y Japón), disminuyeran los subsidios y protecciones a sus pro- ductores agropecuarios, logrando así una liberalización más radical del comercio internacional. si se les exigía la apertura de sus merca- dos internos, planteaban los representantes brasileños y   </w:t>
      </w:r>
      <w:r>
        <w:rPr>
          <w:spacing w:val="22"/>
          <w:w w:val="110"/>
        </w:rPr>
        <w:t> </w:t>
      </w:r>
      <w:r>
        <w:rPr>
          <w:w w:val="110"/>
        </w:rPr>
        <w:t>argentinos,</w:t>
      </w:r>
    </w:p>
    <w:p>
      <w:pPr>
        <w:pStyle w:val="BodyText"/>
        <w:spacing w:before="11"/>
        <w:rPr>
          <w:sz w:val="29"/>
        </w:rPr>
      </w:pPr>
    </w:p>
    <w:p>
      <w:pPr>
        <w:pStyle w:val="ListParagraph"/>
        <w:numPr>
          <w:ilvl w:val="0"/>
          <w:numId w:val="34"/>
        </w:numPr>
        <w:tabs>
          <w:tab w:pos="376" w:val="left" w:leader="none"/>
        </w:tabs>
        <w:spacing w:line="242" w:lineRule="auto" w:before="74" w:after="0"/>
        <w:ind w:left="120" w:right="328" w:firstLine="0"/>
        <w:jc w:val="left"/>
        <w:rPr>
          <w:sz w:val="16"/>
        </w:rPr>
      </w:pPr>
      <w:r>
        <w:rPr>
          <w:w w:val="136"/>
          <w:sz w:val="16"/>
        </w:rPr>
        <w:t>d</w:t>
      </w:r>
      <w:r>
        <w:rPr>
          <w:w w:val="109"/>
          <w:sz w:val="16"/>
        </w:rPr>
        <w:t>eclaración</w:t>
      </w:r>
      <w:r>
        <w:rPr>
          <w:sz w:val="16"/>
        </w:rPr>
        <w:t> </w:t>
      </w:r>
      <w:r>
        <w:rPr>
          <w:spacing w:val="12"/>
          <w:sz w:val="16"/>
        </w:rPr>
        <w:t> </w:t>
      </w:r>
      <w:r>
        <w:rPr>
          <w:w w:val="104"/>
          <w:sz w:val="16"/>
        </w:rPr>
        <w:t>de</w:t>
      </w:r>
      <w:r>
        <w:rPr>
          <w:sz w:val="16"/>
        </w:rPr>
        <w:t> </w:t>
      </w:r>
      <w:r>
        <w:rPr>
          <w:spacing w:val="12"/>
          <w:sz w:val="16"/>
        </w:rPr>
        <w:t> </w:t>
      </w:r>
      <w:r>
        <w:rPr>
          <w:w w:val="108"/>
          <w:sz w:val="16"/>
        </w:rPr>
        <w:t>Nueva</w:t>
      </w:r>
      <w:r>
        <w:rPr>
          <w:sz w:val="16"/>
        </w:rPr>
        <w:t> </w:t>
      </w:r>
      <w:r>
        <w:rPr>
          <w:spacing w:val="12"/>
          <w:sz w:val="16"/>
        </w:rPr>
        <w:t> </w:t>
      </w:r>
      <w:r>
        <w:rPr>
          <w:w w:val="238"/>
          <w:sz w:val="16"/>
        </w:rPr>
        <w:t>l</w:t>
      </w:r>
      <w:r>
        <w:rPr>
          <w:w w:val="110"/>
          <w:sz w:val="16"/>
        </w:rPr>
        <w:t>eón,</w:t>
      </w:r>
      <w:r>
        <w:rPr>
          <w:sz w:val="16"/>
        </w:rPr>
        <w:t> </w:t>
      </w:r>
      <w:r>
        <w:rPr>
          <w:spacing w:val="12"/>
          <w:sz w:val="16"/>
        </w:rPr>
        <w:t> </w:t>
      </w:r>
      <w:r>
        <w:rPr>
          <w:w w:val="106"/>
          <w:sz w:val="16"/>
        </w:rPr>
        <w:t>en</w:t>
      </w:r>
      <w:r>
        <w:rPr>
          <w:sz w:val="16"/>
        </w:rPr>
        <w:t> </w:t>
      </w:r>
      <w:r>
        <w:rPr>
          <w:spacing w:val="12"/>
          <w:sz w:val="16"/>
        </w:rPr>
        <w:t> </w:t>
      </w:r>
      <w:hyperlink r:id="rId515">
        <w:r>
          <w:rPr>
            <w:w w:val="97"/>
            <w:sz w:val="16"/>
          </w:rPr>
          <w:t>&lt;http://ww</w:t>
        </w:r>
        <w:r>
          <w:rPr>
            <w:spacing w:val="-15"/>
            <w:w w:val="97"/>
            <w:sz w:val="16"/>
          </w:rPr>
          <w:t>w</w:t>
        </w:r>
        <w:r>
          <w:rPr>
            <w:w w:val="106"/>
            <w:sz w:val="16"/>
          </w:rPr>
          <w:t>.summit-americas.org/sp_summit/</w:t>
        </w:r>
      </w:hyperlink>
      <w:r>
        <w:rPr>
          <w:w w:val="106"/>
          <w:sz w:val="16"/>
        </w:rPr>
        <w:t> </w:t>
      </w:r>
      <w:r>
        <w:rPr>
          <w:w w:val="110"/>
          <w:sz w:val="16"/>
        </w:rPr>
        <w:t>sp_summit_dec_sp.pdf&gt;.</w:t>
      </w:r>
    </w:p>
    <w:p>
      <w:pPr>
        <w:pStyle w:val="ListParagraph"/>
        <w:numPr>
          <w:ilvl w:val="0"/>
          <w:numId w:val="34"/>
        </w:numPr>
        <w:tabs>
          <w:tab w:pos="376" w:val="left" w:leader="none"/>
        </w:tabs>
        <w:spacing w:line="242" w:lineRule="auto" w:before="57" w:after="0"/>
        <w:ind w:left="120" w:right="328" w:firstLine="0"/>
        <w:jc w:val="left"/>
        <w:rPr>
          <w:sz w:val="16"/>
        </w:rPr>
      </w:pPr>
      <w:r>
        <w:rPr>
          <w:spacing w:val="-3"/>
          <w:w w:val="105"/>
          <w:sz w:val="16"/>
        </w:rPr>
        <w:t>Véase </w:t>
      </w:r>
      <w:r>
        <w:rPr>
          <w:w w:val="105"/>
          <w:sz w:val="16"/>
        </w:rPr>
        <w:t>la página web oficial de la iV Cumbre: </w:t>
      </w:r>
      <w:hyperlink r:id="rId508">
        <w:r>
          <w:rPr>
            <w:w w:val="105"/>
            <w:sz w:val="16"/>
          </w:rPr>
          <w:t>&lt;http://www.summit-americas.org/</w:t>
        </w:r>
      </w:hyperlink>
      <w:r>
        <w:rPr>
          <w:w w:val="105"/>
          <w:sz w:val="16"/>
        </w:rPr>
        <w:t> iv_summit_sp.html&gt;.</w:t>
      </w:r>
    </w:p>
    <w:p>
      <w:pPr>
        <w:spacing w:after="0" w:line="242" w:lineRule="auto"/>
        <w:jc w:val="left"/>
        <w:rPr>
          <w:sz w:val="16"/>
        </w:rPr>
        <w:sectPr>
          <w:footerReference w:type="even" r:id="rId513"/>
          <w:footerReference w:type="default" r:id="rId514"/>
          <w:pgSz w:w="8790" w:h="12760"/>
          <w:pgMar w:footer="1061" w:header="695" w:top="880" w:bottom="1260" w:left="900" w:right="1200"/>
        </w:sectPr>
      </w:pPr>
    </w:p>
    <w:p>
      <w:pPr>
        <w:pStyle w:val="BodyText"/>
        <w:spacing w:before="7"/>
        <w:rPr>
          <w:sz w:val="28"/>
        </w:rPr>
      </w:pPr>
    </w:p>
    <w:p>
      <w:pPr>
        <w:pStyle w:val="BodyText"/>
        <w:spacing w:line="252" w:lineRule="auto" w:before="73"/>
        <w:ind w:left="330" w:right="117"/>
        <w:jc w:val="both"/>
      </w:pPr>
      <w:r>
        <w:rPr>
          <w:w w:val="110"/>
        </w:rPr>
        <w:t>era indispensable que hubiera una contraprestación: que se abrieran los</w:t>
      </w:r>
      <w:r>
        <w:rPr>
          <w:spacing w:val="-9"/>
          <w:w w:val="110"/>
        </w:rPr>
        <w:t> </w:t>
      </w:r>
      <w:r>
        <w:rPr>
          <w:w w:val="110"/>
        </w:rPr>
        <w:t>mercados</w:t>
      </w:r>
      <w:r>
        <w:rPr>
          <w:spacing w:val="-9"/>
          <w:w w:val="110"/>
        </w:rPr>
        <w:t> </w:t>
      </w:r>
      <w:r>
        <w:rPr>
          <w:w w:val="110"/>
        </w:rPr>
        <w:t>europeos</w:t>
      </w:r>
      <w:r>
        <w:rPr>
          <w:spacing w:val="-9"/>
          <w:w w:val="110"/>
        </w:rPr>
        <w:t> </w:t>
      </w:r>
      <w:r>
        <w:rPr>
          <w:w w:val="110"/>
        </w:rPr>
        <w:t>y</w:t>
      </w:r>
      <w:r>
        <w:rPr>
          <w:spacing w:val="-9"/>
          <w:w w:val="110"/>
        </w:rPr>
        <w:t> </w:t>
      </w:r>
      <w:r>
        <w:rPr>
          <w:w w:val="110"/>
        </w:rPr>
        <w:t>estadounidenses</w:t>
      </w:r>
      <w:r>
        <w:rPr>
          <w:spacing w:val="-9"/>
          <w:w w:val="110"/>
        </w:rPr>
        <w:t> </w:t>
      </w:r>
      <w:r>
        <w:rPr>
          <w:w w:val="110"/>
        </w:rPr>
        <w:t>para</w:t>
      </w:r>
      <w:r>
        <w:rPr>
          <w:spacing w:val="-9"/>
          <w:w w:val="110"/>
        </w:rPr>
        <w:t> </w:t>
      </w:r>
      <w:r>
        <w:rPr>
          <w:w w:val="110"/>
        </w:rPr>
        <w:t>las</w:t>
      </w:r>
      <w:r>
        <w:rPr>
          <w:spacing w:val="-9"/>
          <w:w w:val="110"/>
        </w:rPr>
        <w:t> </w:t>
      </w:r>
      <w:r>
        <w:rPr>
          <w:w w:val="110"/>
        </w:rPr>
        <w:t>exportaciones</w:t>
      </w:r>
      <w:r>
        <w:rPr>
          <w:spacing w:val="-9"/>
          <w:w w:val="110"/>
        </w:rPr>
        <w:t> </w:t>
      </w:r>
      <w:r>
        <w:rPr>
          <w:w w:val="110"/>
        </w:rPr>
        <w:t>–ma- yoritariamente primarias o agroindustriales– de estos</w:t>
      </w:r>
      <w:r>
        <w:rPr>
          <w:spacing w:val="2"/>
          <w:w w:val="110"/>
        </w:rPr>
        <w:t> </w:t>
      </w:r>
      <w:r>
        <w:rPr>
          <w:w w:val="110"/>
        </w:rPr>
        <w:t>países</w:t>
      </w:r>
      <w:r>
        <w:rPr>
          <w:w w:val="110"/>
          <w:position w:val="6"/>
          <w:sz w:val="11"/>
        </w:rPr>
        <w:t>19</w:t>
      </w:r>
      <w:r>
        <w:rPr>
          <w:w w:val="110"/>
        </w:rPr>
        <w:t>.</w:t>
      </w:r>
    </w:p>
    <w:p>
      <w:pPr>
        <w:pStyle w:val="BodyText"/>
        <w:spacing w:line="252" w:lineRule="auto"/>
        <w:ind w:left="330" w:right="117" w:firstLine="396"/>
        <w:jc w:val="both"/>
      </w:pPr>
      <w:r>
        <w:rPr>
          <w:w w:val="115"/>
        </w:rPr>
        <w:t>después</w:t>
      </w:r>
      <w:r>
        <w:rPr>
          <w:spacing w:val="-10"/>
          <w:w w:val="115"/>
        </w:rPr>
        <w:t> </w:t>
      </w:r>
      <w:r>
        <w:rPr>
          <w:w w:val="115"/>
        </w:rPr>
        <w:t>del</w:t>
      </w:r>
      <w:r>
        <w:rPr>
          <w:spacing w:val="-10"/>
          <w:w w:val="115"/>
        </w:rPr>
        <w:t> </w:t>
      </w:r>
      <w:r>
        <w:rPr>
          <w:w w:val="115"/>
        </w:rPr>
        <w:t>traspié</w:t>
      </w:r>
      <w:r>
        <w:rPr>
          <w:spacing w:val="-10"/>
          <w:w w:val="115"/>
        </w:rPr>
        <w:t> </w:t>
      </w:r>
      <w:r>
        <w:rPr>
          <w:w w:val="115"/>
        </w:rPr>
        <w:t>en</w:t>
      </w:r>
      <w:r>
        <w:rPr>
          <w:spacing w:val="-10"/>
          <w:w w:val="115"/>
        </w:rPr>
        <w:t> </w:t>
      </w:r>
      <w:r>
        <w:rPr>
          <w:w w:val="115"/>
        </w:rPr>
        <w:t>Mar</w:t>
      </w:r>
      <w:r>
        <w:rPr>
          <w:spacing w:val="-10"/>
          <w:w w:val="115"/>
        </w:rPr>
        <w:t> </w:t>
      </w:r>
      <w:r>
        <w:rPr>
          <w:w w:val="115"/>
        </w:rPr>
        <w:t>del</w:t>
      </w:r>
      <w:r>
        <w:rPr>
          <w:spacing w:val="-10"/>
          <w:w w:val="115"/>
        </w:rPr>
        <w:t> </w:t>
      </w:r>
      <w:r>
        <w:rPr>
          <w:w w:val="115"/>
        </w:rPr>
        <w:t>Plata,</w:t>
      </w:r>
      <w:r>
        <w:rPr>
          <w:spacing w:val="-10"/>
          <w:w w:val="115"/>
        </w:rPr>
        <w:t> </w:t>
      </w:r>
      <w:r>
        <w:rPr>
          <w:w w:val="115"/>
        </w:rPr>
        <w:t>Estados</w:t>
      </w:r>
      <w:r>
        <w:rPr>
          <w:spacing w:val="-10"/>
          <w:w w:val="115"/>
        </w:rPr>
        <w:t> </w:t>
      </w:r>
      <w:r>
        <w:rPr>
          <w:w w:val="115"/>
        </w:rPr>
        <w:t>unidos</w:t>
      </w:r>
      <w:r>
        <w:rPr>
          <w:spacing w:val="-10"/>
          <w:w w:val="115"/>
        </w:rPr>
        <w:t> </w:t>
      </w:r>
      <w:r>
        <w:rPr>
          <w:w w:val="115"/>
        </w:rPr>
        <w:t>debió</w:t>
      </w:r>
      <w:r>
        <w:rPr>
          <w:spacing w:val="-10"/>
          <w:w w:val="115"/>
        </w:rPr>
        <w:t> </w:t>
      </w:r>
      <w:r>
        <w:rPr>
          <w:w w:val="115"/>
        </w:rPr>
        <w:t>ajus- </w:t>
      </w:r>
      <w:r>
        <w:rPr>
          <w:w w:val="108"/>
        </w:rPr>
        <w:t>tar</w:t>
      </w:r>
      <w:r>
        <w:rPr>
          <w:spacing w:val="14"/>
        </w:rPr>
        <w:t> </w:t>
      </w:r>
      <w:r>
        <w:rPr>
          <w:w w:val="109"/>
        </w:rPr>
        <w:t>su</w:t>
      </w:r>
      <w:r>
        <w:rPr>
          <w:spacing w:val="14"/>
        </w:rPr>
        <w:t> </w:t>
      </w:r>
      <w:r>
        <w:rPr>
          <w:w w:val="108"/>
        </w:rPr>
        <w:t>estrategia</w:t>
      </w:r>
      <w:r>
        <w:rPr>
          <w:spacing w:val="14"/>
        </w:rPr>
        <w:t> </w:t>
      </w:r>
      <w:r>
        <w:rPr>
          <w:w w:val="105"/>
        </w:rPr>
        <w:t>y</w:t>
      </w:r>
      <w:r>
        <w:rPr>
          <w:spacing w:val="14"/>
        </w:rPr>
        <w:t> </w:t>
      </w:r>
      <w:r>
        <w:rPr>
          <w:w w:val="109"/>
        </w:rPr>
        <w:t>optó</w:t>
      </w:r>
      <w:r>
        <w:rPr>
          <w:spacing w:val="14"/>
        </w:rPr>
        <w:t> </w:t>
      </w:r>
      <w:r>
        <w:rPr>
          <w:w w:val="108"/>
        </w:rPr>
        <w:t>por</w:t>
      </w:r>
      <w:r>
        <w:rPr>
          <w:spacing w:val="14"/>
        </w:rPr>
        <w:t> </w:t>
      </w:r>
      <w:r>
        <w:rPr>
          <w:w w:val="109"/>
        </w:rPr>
        <w:t>avanzar</w:t>
      </w:r>
      <w:r>
        <w:rPr>
          <w:spacing w:val="14"/>
        </w:rPr>
        <w:t> </w:t>
      </w:r>
      <w:r>
        <w:rPr>
          <w:w w:val="112"/>
        </w:rPr>
        <w:t>con</w:t>
      </w:r>
      <w:r>
        <w:rPr>
          <w:spacing w:val="14"/>
        </w:rPr>
        <w:t> </w:t>
      </w:r>
      <w:r>
        <w:rPr>
          <w:w w:val="108"/>
        </w:rPr>
        <w:t>los</w:t>
      </w:r>
      <w:r>
        <w:rPr>
          <w:spacing w:val="14"/>
        </w:rPr>
        <w:t> </w:t>
      </w:r>
      <w:r>
        <w:rPr>
          <w:spacing w:val="-18"/>
          <w:w w:val="195"/>
        </w:rPr>
        <w:t>t</w:t>
      </w:r>
      <w:r>
        <w:rPr>
          <w:w w:val="109"/>
        </w:rPr>
        <w:t>ratados</w:t>
      </w:r>
      <w:r>
        <w:rPr>
          <w:spacing w:val="14"/>
        </w:rPr>
        <w:t> </w:t>
      </w:r>
      <w:r>
        <w:rPr>
          <w:w w:val="107"/>
        </w:rPr>
        <w:t>de</w:t>
      </w:r>
      <w:r>
        <w:rPr>
          <w:spacing w:val="14"/>
        </w:rPr>
        <w:t> </w:t>
      </w:r>
      <w:r>
        <w:rPr>
          <w:w w:val="243"/>
        </w:rPr>
        <w:t>l</w:t>
      </w:r>
      <w:r>
        <w:rPr>
          <w:w w:val="108"/>
        </w:rPr>
        <w:t>ibre</w:t>
      </w:r>
      <w:r>
        <w:rPr>
          <w:spacing w:val="14"/>
        </w:rPr>
        <w:t> </w:t>
      </w:r>
      <w:r>
        <w:rPr>
          <w:w w:val="112"/>
        </w:rPr>
        <w:t>Come</w:t>
      </w:r>
      <w:r>
        <w:rPr>
          <w:spacing w:val="-15"/>
          <w:w w:val="112"/>
        </w:rPr>
        <w:t>r</w:t>
      </w:r>
      <w:r>
        <w:rPr>
          <w:w w:val="102"/>
        </w:rPr>
        <w:t>- </w:t>
      </w:r>
      <w:r>
        <w:rPr>
          <w:w w:val="113"/>
        </w:rPr>
        <w:t>cio</w:t>
      </w:r>
      <w:r>
        <w:rPr/>
        <w:t> </w:t>
      </w:r>
      <w:r>
        <w:rPr>
          <w:spacing w:val="-20"/>
        </w:rPr>
        <w:t> </w:t>
      </w:r>
      <w:r>
        <w:rPr>
          <w:w w:val="98"/>
        </w:rPr>
        <w:t>(</w:t>
      </w:r>
      <w:r>
        <w:rPr>
          <w:w w:val="216"/>
        </w:rPr>
        <w:t>tl</w:t>
      </w:r>
      <w:r>
        <w:rPr>
          <w:w w:val="114"/>
        </w:rPr>
        <w:t>C)</w:t>
      </w:r>
      <w:r>
        <w:rPr/>
        <w:t> </w:t>
      </w:r>
      <w:r>
        <w:rPr>
          <w:spacing w:val="-20"/>
        </w:rPr>
        <w:t> </w:t>
      </w:r>
      <w:r>
        <w:rPr>
          <w:w w:val="110"/>
        </w:rPr>
        <w:t>bilaterales,</w:t>
      </w:r>
      <w:r>
        <w:rPr/>
        <w:t> </w:t>
      </w:r>
      <w:r>
        <w:rPr>
          <w:spacing w:val="-20"/>
        </w:rPr>
        <w:t> </w:t>
      </w:r>
      <w:r>
        <w:rPr>
          <w:w w:val="110"/>
        </w:rPr>
        <w:t>negociados</w:t>
      </w:r>
      <w:r>
        <w:rPr/>
        <w:t> </w:t>
      </w:r>
      <w:r>
        <w:rPr>
          <w:spacing w:val="-20"/>
        </w:rPr>
        <w:t> </w:t>
      </w:r>
      <w:r>
        <w:rPr>
          <w:w w:val="108"/>
        </w:rPr>
        <w:t>en</w:t>
      </w:r>
      <w:r>
        <w:rPr/>
        <w:t> </w:t>
      </w:r>
      <w:r>
        <w:rPr>
          <w:spacing w:val="-20"/>
        </w:rPr>
        <w:t> </w:t>
      </w:r>
      <w:r>
        <w:rPr>
          <w:w w:val="111"/>
        </w:rPr>
        <w:t>forma</w:t>
      </w:r>
      <w:r>
        <w:rPr/>
        <w:t> </w:t>
      </w:r>
      <w:r>
        <w:rPr>
          <w:spacing w:val="-20"/>
        </w:rPr>
        <w:t> </w:t>
      </w:r>
      <w:r>
        <w:rPr>
          <w:w w:val="110"/>
        </w:rPr>
        <w:t>individual</w:t>
      </w:r>
      <w:r>
        <w:rPr/>
        <w:t> </w:t>
      </w:r>
      <w:r>
        <w:rPr>
          <w:spacing w:val="-20"/>
        </w:rPr>
        <w:t> </w:t>
      </w:r>
      <w:r>
        <w:rPr>
          <w:w w:val="112"/>
        </w:rPr>
        <w:t>con</w:t>
      </w:r>
      <w:r>
        <w:rPr/>
        <w:t> </w:t>
      </w:r>
      <w:r>
        <w:rPr>
          <w:spacing w:val="-20"/>
        </w:rPr>
        <w:t> </w:t>
      </w:r>
      <w:r>
        <w:rPr>
          <w:w w:val="108"/>
        </w:rPr>
        <w:t>los</w:t>
      </w:r>
      <w:r>
        <w:rPr/>
        <w:t> </w:t>
      </w:r>
      <w:r>
        <w:rPr>
          <w:spacing w:val="-20"/>
        </w:rPr>
        <w:t> </w:t>
      </w:r>
      <w:r>
        <w:rPr>
          <w:w w:val="109"/>
        </w:rPr>
        <w:t>gobie</w:t>
      </w:r>
      <w:r>
        <w:rPr>
          <w:spacing w:val="-15"/>
          <w:w w:val="109"/>
        </w:rPr>
        <w:t>r</w:t>
      </w:r>
      <w:r>
        <w:rPr>
          <w:w w:val="102"/>
        </w:rPr>
        <w:t>- </w:t>
      </w:r>
      <w:r>
        <w:rPr>
          <w:w w:val="115"/>
        </w:rPr>
        <w:t>nos</w:t>
      </w:r>
      <w:r>
        <w:rPr>
          <w:spacing w:val="-19"/>
          <w:w w:val="115"/>
        </w:rPr>
        <w:t> </w:t>
      </w:r>
      <w:r>
        <w:rPr>
          <w:w w:val="115"/>
        </w:rPr>
        <w:t>afines</w:t>
      </w:r>
      <w:r>
        <w:rPr>
          <w:spacing w:val="-19"/>
          <w:w w:val="115"/>
        </w:rPr>
        <w:t> </w:t>
      </w:r>
      <w:r>
        <w:rPr>
          <w:w w:val="115"/>
        </w:rPr>
        <w:t>(Katz,</w:t>
      </w:r>
      <w:r>
        <w:rPr>
          <w:spacing w:val="-19"/>
          <w:w w:val="115"/>
        </w:rPr>
        <w:t> </w:t>
      </w:r>
      <w:r>
        <w:rPr>
          <w:w w:val="115"/>
        </w:rPr>
        <w:t>2006).</w:t>
      </w:r>
      <w:r>
        <w:rPr>
          <w:spacing w:val="-19"/>
          <w:w w:val="115"/>
        </w:rPr>
        <w:t> </w:t>
      </w:r>
      <w:r>
        <w:rPr>
          <w:w w:val="115"/>
        </w:rPr>
        <w:t>Quedó</w:t>
      </w:r>
      <w:r>
        <w:rPr>
          <w:spacing w:val="-19"/>
          <w:w w:val="115"/>
        </w:rPr>
        <w:t> </w:t>
      </w:r>
      <w:r>
        <w:rPr>
          <w:w w:val="115"/>
        </w:rPr>
        <w:t>como</w:t>
      </w:r>
      <w:r>
        <w:rPr>
          <w:spacing w:val="-19"/>
          <w:w w:val="115"/>
        </w:rPr>
        <w:t> </w:t>
      </w:r>
      <w:r>
        <w:rPr>
          <w:w w:val="115"/>
        </w:rPr>
        <w:t>tarea</w:t>
      </w:r>
      <w:r>
        <w:rPr>
          <w:spacing w:val="-19"/>
          <w:w w:val="115"/>
        </w:rPr>
        <w:t> </w:t>
      </w:r>
      <w:r>
        <w:rPr>
          <w:w w:val="115"/>
        </w:rPr>
        <w:t>para</w:t>
      </w:r>
      <w:r>
        <w:rPr>
          <w:spacing w:val="-19"/>
          <w:w w:val="115"/>
        </w:rPr>
        <w:t> </w:t>
      </w:r>
      <w:r>
        <w:rPr>
          <w:w w:val="115"/>
        </w:rPr>
        <w:t>un</w:t>
      </w:r>
      <w:r>
        <w:rPr>
          <w:spacing w:val="-19"/>
          <w:w w:val="115"/>
        </w:rPr>
        <w:t> </w:t>
      </w:r>
      <w:r>
        <w:rPr>
          <w:w w:val="115"/>
        </w:rPr>
        <w:t>nuevo</w:t>
      </w:r>
      <w:r>
        <w:rPr>
          <w:spacing w:val="-19"/>
          <w:w w:val="115"/>
        </w:rPr>
        <w:t> </w:t>
      </w:r>
      <w:r>
        <w:rPr>
          <w:w w:val="115"/>
        </w:rPr>
        <w:t>presidente, obama, intentar reconstruir los lazos con la región. Pero américa </w:t>
      </w:r>
      <w:r>
        <w:rPr>
          <w:w w:val="243"/>
        </w:rPr>
        <w:t>l</w:t>
      </w:r>
      <w:r>
        <w:rPr>
          <w:w w:val="111"/>
        </w:rPr>
        <w:t>atina</w:t>
      </w:r>
      <w:r>
        <w:rPr/>
        <w:t> </w:t>
      </w:r>
      <w:r>
        <w:rPr>
          <w:spacing w:val="-16"/>
        </w:rPr>
        <w:t> </w:t>
      </w:r>
      <w:r>
        <w:rPr>
          <w:w w:val="110"/>
        </w:rPr>
        <w:t>pareció</w:t>
      </w:r>
      <w:r>
        <w:rPr/>
        <w:t> </w:t>
      </w:r>
      <w:r>
        <w:rPr>
          <w:spacing w:val="-16"/>
        </w:rPr>
        <w:t> </w:t>
      </w:r>
      <w:r>
        <w:rPr>
          <w:w w:val="107"/>
        </w:rPr>
        <w:t>proponerse</w:t>
      </w:r>
      <w:r>
        <w:rPr/>
        <w:t> </w:t>
      </w:r>
      <w:r>
        <w:rPr>
          <w:spacing w:val="-16"/>
        </w:rPr>
        <w:t> </w:t>
      </w:r>
      <w:r>
        <w:rPr>
          <w:w w:val="112"/>
        </w:rPr>
        <w:t>un</w:t>
      </w:r>
      <w:r>
        <w:rPr/>
        <w:t> </w:t>
      </w:r>
      <w:r>
        <w:rPr>
          <w:spacing w:val="-16"/>
        </w:rPr>
        <w:t> </w:t>
      </w:r>
      <w:r>
        <w:rPr>
          <w:w w:val="108"/>
        </w:rPr>
        <w:t>nuevo</w:t>
      </w:r>
      <w:r>
        <w:rPr/>
        <w:t> </w:t>
      </w:r>
      <w:r>
        <w:rPr>
          <w:spacing w:val="-16"/>
        </w:rPr>
        <w:t> </w:t>
      </w:r>
      <w:r>
        <w:rPr>
          <w:w w:val="108"/>
        </w:rPr>
        <w:t>objetivo:</w:t>
      </w:r>
      <w:r>
        <w:rPr/>
        <w:t> </w:t>
      </w:r>
      <w:r>
        <w:rPr>
          <w:spacing w:val="-16"/>
        </w:rPr>
        <w:t> </w:t>
      </w:r>
      <w:r>
        <w:rPr>
          <w:w w:val="109"/>
        </w:rPr>
        <w:t>avanzar</w:t>
      </w:r>
      <w:r>
        <w:rPr/>
        <w:t> </w:t>
      </w:r>
      <w:r>
        <w:rPr>
          <w:spacing w:val="-16"/>
        </w:rPr>
        <w:t> </w:t>
      </w:r>
      <w:r>
        <w:rPr>
          <w:w w:val="108"/>
        </w:rPr>
        <w:t>en</w:t>
      </w:r>
      <w:r>
        <w:rPr/>
        <w:t> </w:t>
      </w:r>
      <w:r>
        <w:rPr>
          <w:spacing w:val="-16"/>
        </w:rPr>
        <w:t> </w:t>
      </w:r>
      <w:r>
        <w:rPr>
          <w:w w:val="111"/>
        </w:rPr>
        <w:t>la</w:t>
      </w:r>
      <w:r>
        <w:rPr/>
        <w:t> </w:t>
      </w:r>
      <w:r>
        <w:rPr>
          <w:spacing w:val="-16"/>
        </w:rPr>
        <w:t> </w:t>
      </w:r>
      <w:r>
        <w:rPr>
          <w:w w:val="108"/>
        </w:rPr>
        <w:t>siempre </w:t>
      </w:r>
      <w:r>
        <w:rPr>
          <w:w w:val="115"/>
        </w:rPr>
        <w:t>postergada</w:t>
      </w:r>
      <w:r>
        <w:rPr>
          <w:spacing w:val="-8"/>
          <w:w w:val="115"/>
        </w:rPr>
        <w:t> </w:t>
      </w:r>
      <w:r>
        <w:rPr>
          <w:w w:val="115"/>
        </w:rPr>
        <w:t>integración</w:t>
      </w:r>
      <w:r>
        <w:rPr>
          <w:spacing w:val="-8"/>
          <w:w w:val="115"/>
        </w:rPr>
        <w:t> </w:t>
      </w:r>
      <w:r>
        <w:rPr>
          <w:w w:val="115"/>
        </w:rPr>
        <w:t>regional,</w:t>
      </w:r>
      <w:r>
        <w:rPr>
          <w:spacing w:val="-8"/>
          <w:w w:val="115"/>
        </w:rPr>
        <w:t> </w:t>
      </w:r>
      <w:r>
        <w:rPr>
          <w:w w:val="115"/>
        </w:rPr>
        <w:t>por</w:t>
      </w:r>
      <w:r>
        <w:rPr>
          <w:spacing w:val="-8"/>
          <w:w w:val="115"/>
        </w:rPr>
        <w:t> </w:t>
      </w:r>
      <w:r>
        <w:rPr>
          <w:w w:val="115"/>
        </w:rPr>
        <w:t>fuera</w:t>
      </w:r>
      <w:r>
        <w:rPr>
          <w:spacing w:val="-8"/>
          <w:w w:val="115"/>
        </w:rPr>
        <w:t> </w:t>
      </w:r>
      <w:r>
        <w:rPr>
          <w:w w:val="115"/>
        </w:rPr>
        <w:t>del</w:t>
      </w:r>
      <w:r>
        <w:rPr>
          <w:spacing w:val="-8"/>
          <w:w w:val="115"/>
        </w:rPr>
        <w:t> </w:t>
      </w:r>
      <w:r>
        <w:rPr>
          <w:w w:val="115"/>
        </w:rPr>
        <w:t>mandato</w:t>
      </w:r>
      <w:r>
        <w:rPr>
          <w:spacing w:val="-8"/>
          <w:w w:val="115"/>
        </w:rPr>
        <w:t> </w:t>
      </w:r>
      <w:r>
        <w:rPr>
          <w:w w:val="115"/>
        </w:rPr>
        <w:t>y</w:t>
      </w:r>
      <w:r>
        <w:rPr>
          <w:spacing w:val="-8"/>
          <w:w w:val="115"/>
        </w:rPr>
        <w:t> </w:t>
      </w:r>
      <w:r>
        <w:rPr>
          <w:w w:val="115"/>
        </w:rPr>
        <w:t>control</w:t>
      </w:r>
      <w:r>
        <w:rPr>
          <w:spacing w:val="-8"/>
          <w:w w:val="115"/>
        </w:rPr>
        <w:t> </w:t>
      </w:r>
      <w:r>
        <w:rPr>
          <w:w w:val="115"/>
        </w:rPr>
        <w:t>de Washington.</w:t>
      </w:r>
    </w:p>
    <w:p>
      <w:pPr>
        <w:pStyle w:val="BodyText"/>
        <w:spacing w:before="5"/>
      </w:pPr>
    </w:p>
    <w:p>
      <w:pPr>
        <w:pStyle w:val="Heading6"/>
        <w:ind w:left="331"/>
      </w:pPr>
      <w:r>
        <w:rPr>
          <w:spacing w:val="2"/>
          <w:w w:val="117"/>
        </w:rPr>
        <w:t>o</w:t>
      </w:r>
      <w:r>
        <w:rPr>
          <w:w w:val="117"/>
        </w:rPr>
        <w:t>B</w:t>
      </w:r>
      <w:r>
        <w:rPr>
          <w:spacing w:val="2"/>
          <w:w w:val="129"/>
        </w:rPr>
        <w:t>a</w:t>
      </w:r>
      <w:r>
        <w:rPr>
          <w:spacing w:val="2"/>
          <w:w w:val="92"/>
        </w:rPr>
        <w:t>M</w:t>
      </w:r>
      <w:r>
        <w:rPr>
          <w:w w:val="129"/>
        </w:rPr>
        <w:t>a</w:t>
      </w:r>
      <w:r>
        <w:rPr>
          <w:spacing w:val="-8"/>
        </w:rPr>
        <w:t> </w:t>
      </w:r>
      <w:r>
        <w:rPr>
          <w:w w:val="119"/>
        </w:rPr>
        <w:t>y</w:t>
      </w:r>
      <w:r>
        <w:rPr>
          <w:spacing w:val="-8"/>
        </w:rPr>
        <w:t> </w:t>
      </w:r>
      <w:r>
        <w:rPr>
          <w:spacing w:val="7"/>
          <w:w w:val="201"/>
        </w:rPr>
        <w:t>l</w:t>
      </w:r>
      <w:r>
        <w:rPr>
          <w:w w:val="129"/>
        </w:rPr>
        <w:t>a</w:t>
      </w:r>
      <w:r>
        <w:rPr>
          <w:spacing w:val="-8"/>
        </w:rPr>
        <w:t> </w:t>
      </w:r>
      <w:r>
        <w:rPr>
          <w:spacing w:val="3"/>
          <w:w w:val="134"/>
        </w:rPr>
        <w:t>e</w:t>
      </w:r>
      <w:r>
        <w:rPr>
          <w:spacing w:val="2"/>
          <w:w w:val="136"/>
        </w:rPr>
        <w:t>s</w:t>
      </w:r>
      <w:r>
        <w:rPr>
          <w:spacing w:val="2"/>
          <w:w w:val="99"/>
        </w:rPr>
        <w:t>P</w:t>
      </w:r>
      <w:r>
        <w:rPr>
          <w:spacing w:val="3"/>
          <w:w w:val="134"/>
        </w:rPr>
        <w:t>e</w:t>
      </w:r>
      <w:r>
        <w:rPr>
          <w:spacing w:val="2"/>
          <w:w w:val="145"/>
        </w:rPr>
        <w:t>r</w:t>
      </w:r>
      <w:r>
        <w:rPr>
          <w:spacing w:val="2"/>
          <w:w w:val="128"/>
        </w:rPr>
        <w:t>a</w:t>
      </w:r>
      <w:r>
        <w:rPr>
          <w:spacing w:val="3"/>
          <w:w w:val="128"/>
        </w:rPr>
        <w:t>n</w:t>
      </w:r>
      <w:r>
        <w:rPr>
          <w:spacing w:val="6"/>
          <w:w w:val="132"/>
        </w:rPr>
        <w:t>z</w:t>
      </w:r>
      <w:r>
        <w:rPr>
          <w:w w:val="129"/>
        </w:rPr>
        <w:t>a</w:t>
      </w:r>
      <w:r>
        <w:rPr>
          <w:spacing w:val="-8"/>
        </w:rPr>
        <w:t> </w:t>
      </w:r>
      <w:r>
        <w:rPr>
          <w:spacing w:val="2"/>
          <w:w w:val="139"/>
        </w:rPr>
        <w:t>r</w:t>
      </w:r>
      <w:r>
        <w:rPr>
          <w:spacing w:val="3"/>
          <w:w w:val="139"/>
        </w:rPr>
        <w:t>e</w:t>
      </w:r>
      <w:r>
        <w:rPr>
          <w:spacing w:val="2"/>
          <w:w w:val="89"/>
        </w:rPr>
        <w:t>G</w:t>
      </w:r>
      <w:r>
        <w:rPr>
          <w:spacing w:val="2"/>
          <w:w w:val="134"/>
        </w:rPr>
        <w:t>io</w:t>
      </w:r>
      <w:r>
        <w:rPr>
          <w:spacing w:val="-1"/>
          <w:w w:val="134"/>
        </w:rPr>
        <w:t>n</w:t>
      </w:r>
      <w:r>
        <w:rPr>
          <w:spacing w:val="2"/>
          <w:w w:val="155"/>
        </w:rPr>
        <w:t>a</w:t>
      </w:r>
      <w:r>
        <w:rPr>
          <w:w w:val="155"/>
        </w:rPr>
        <w:t>l</w:t>
      </w:r>
      <w:r>
        <w:rPr>
          <w:spacing w:val="-8"/>
        </w:rPr>
        <w:t> </w:t>
      </w:r>
      <w:r>
        <w:rPr>
          <w:spacing w:val="3"/>
          <w:w w:val="134"/>
        </w:rPr>
        <w:t>e</w:t>
      </w:r>
      <w:r>
        <w:rPr>
          <w:w w:val="128"/>
        </w:rPr>
        <w:t>n</w:t>
      </w:r>
      <w:r>
        <w:rPr>
          <w:spacing w:val="-8"/>
        </w:rPr>
        <w:t> </w:t>
      </w:r>
      <w:r>
        <w:rPr>
          <w:spacing w:val="2"/>
          <w:w w:val="180"/>
        </w:rPr>
        <w:t>t</w:t>
      </w:r>
      <w:r>
        <w:rPr>
          <w:spacing w:val="2"/>
          <w:w w:val="132"/>
        </w:rPr>
        <w:t>rini</w:t>
      </w:r>
      <w:r>
        <w:rPr>
          <w:spacing w:val="1"/>
          <w:w w:val="132"/>
        </w:rPr>
        <w:t>d</w:t>
      </w:r>
      <w:r>
        <w:rPr>
          <w:spacing w:val="2"/>
          <w:w w:val="130"/>
        </w:rPr>
        <w:t>a</w:t>
      </w:r>
      <w:r>
        <w:rPr>
          <w:w w:val="130"/>
        </w:rPr>
        <w:t>d</w:t>
      </w:r>
      <w:r>
        <w:rPr>
          <w:spacing w:val="-8"/>
        </w:rPr>
        <w:t> </w:t>
      </w:r>
      <w:r>
        <w:rPr>
          <w:w w:val="119"/>
        </w:rPr>
        <w:t>y</w:t>
      </w:r>
      <w:r>
        <w:rPr>
          <w:spacing w:val="-8"/>
        </w:rPr>
        <w:t> </w:t>
      </w:r>
      <w:r>
        <w:rPr>
          <w:spacing w:val="2"/>
          <w:w w:val="180"/>
        </w:rPr>
        <w:t>t</w:t>
      </w:r>
      <w:r>
        <w:rPr>
          <w:spacing w:val="2"/>
          <w:w w:val="145"/>
        </w:rPr>
        <w:t>o</w:t>
      </w:r>
      <w:r>
        <w:rPr>
          <w:w w:val="96"/>
        </w:rPr>
        <w:t>B</w:t>
      </w:r>
      <w:r>
        <w:rPr>
          <w:spacing w:val="1"/>
          <w:w w:val="129"/>
        </w:rPr>
        <w:t>a</w:t>
      </w:r>
      <w:r>
        <w:rPr>
          <w:spacing w:val="5"/>
          <w:w w:val="89"/>
        </w:rPr>
        <w:t>G</w:t>
      </w:r>
      <w:r>
        <w:rPr>
          <w:w w:val="145"/>
        </w:rPr>
        <w:t>o</w:t>
      </w:r>
    </w:p>
    <w:p>
      <w:pPr>
        <w:pStyle w:val="BodyText"/>
        <w:spacing w:line="252" w:lineRule="auto" w:before="10"/>
        <w:ind w:left="330" w:right="116"/>
        <w:jc w:val="both"/>
      </w:pPr>
      <w:r>
        <w:rPr>
          <w:w w:val="243"/>
        </w:rPr>
        <w:t>l</w:t>
      </w:r>
      <w:r>
        <w:rPr>
          <w:w w:val="112"/>
        </w:rPr>
        <w:t>a</w:t>
      </w:r>
      <w:r>
        <w:rPr/>
        <w:t> </w:t>
      </w:r>
      <w:r>
        <w:rPr>
          <w:spacing w:val="-20"/>
        </w:rPr>
        <w:t> </w:t>
      </w:r>
      <w:r>
        <w:rPr>
          <w:w w:val="119"/>
        </w:rPr>
        <w:t>V</w:t>
      </w:r>
      <w:r>
        <w:rPr/>
        <w:t> </w:t>
      </w:r>
      <w:r>
        <w:rPr>
          <w:spacing w:val="-20"/>
        </w:rPr>
        <w:t> </w:t>
      </w:r>
      <w:r>
        <w:rPr>
          <w:w w:val="112"/>
        </w:rPr>
        <w:t>Cumbre</w:t>
      </w:r>
      <w:r>
        <w:rPr/>
        <w:t> </w:t>
      </w:r>
      <w:r>
        <w:rPr>
          <w:spacing w:val="-20"/>
        </w:rPr>
        <w:t> </w:t>
      </w:r>
      <w:r>
        <w:rPr>
          <w:w w:val="107"/>
        </w:rPr>
        <w:t>de</w:t>
      </w:r>
      <w:r>
        <w:rPr/>
        <w:t> </w:t>
      </w:r>
      <w:r>
        <w:rPr>
          <w:spacing w:val="-20"/>
        </w:rPr>
        <w:t> </w:t>
      </w:r>
      <w:r>
        <w:rPr>
          <w:w w:val="109"/>
        </w:rPr>
        <w:t>las</w:t>
      </w:r>
      <w:r>
        <w:rPr/>
        <w:t> </w:t>
      </w:r>
      <w:r>
        <w:rPr>
          <w:spacing w:val="-20"/>
        </w:rPr>
        <w:t> </w:t>
      </w:r>
      <w:r>
        <w:rPr>
          <w:w w:val="139"/>
        </w:rPr>
        <w:t>a</w:t>
      </w:r>
      <w:r>
        <w:rPr>
          <w:w w:val="110"/>
        </w:rPr>
        <w:t>méricas</w:t>
      </w:r>
      <w:r>
        <w:rPr/>
        <w:t> </w:t>
      </w:r>
      <w:r>
        <w:rPr>
          <w:spacing w:val="-20"/>
        </w:rPr>
        <w:t> </w:t>
      </w:r>
      <w:r>
        <w:rPr>
          <w:w w:val="105"/>
        </w:rPr>
        <w:t>se</w:t>
      </w:r>
      <w:r>
        <w:rPr/>
        <w:t> </w:t>
      </w:r>
      <w:r>
        <w:rPr>
          <w:spacing w:val="-20"/>
        </w:rPr>
        <w:t> </w:t>
      </w:r>
      <w:r>
        <w:rPr>
          <w:w w:val="109"/>
        </w:rPr>
        <w:t>realizó</w:t>
      </w:r>
      <w:r>
        <w:rPr/>
        <w:t> </w:t>
      </w:r>
      <w:r>
        <w:rPr>
          <w:spacing w:val="-20"/>
        </w:rPr>
        <w:t> </w:t>
      </w:r>
      <w:r>
        <w:rPr>
          <w:w w:val="108"/>
        </w:rPr>
        <w:t>en</w:t>
      </w:r>
      <w:r>
        <w:rPr/>
        <w:t> </w:t>
      </w:r>
      <w:r>
        <w:rPr>
          <w:spacing w:val="-20"/>
        </w:rPr>
        <w:t> </w:t>
      </w:r>
      <w:r>
        <w:rPr>
          <w:w w:val="109"/>
        </w:rPr>
        <w:t>Puerto</w:t>
      </w:r>
      <w:r>
        <w:rPr/>
        <w:t> </w:t>
      </w:r>
      <w:r>
        <w:rPr>
          <w:spacing w:val="-20"/>
        </w:rPr>
        <w:t> </w:t>
      </w:r>
      <w:r>
        <w:rPr>
          <w:w w:val="115"/>
        </w:rPr>
        <w:t>España,</w:t>
      </w:r>
      <w:r>
        <w:rPr/>
        <w:t> </w:t>
      </w:r>
      <w:r>
        <w:rPr>
          <w:spacing w:val="-20"/>
        </w:rPr>
        <w:t> </w:t>
      </w:r>
      <w:r>
        <w:rPr>
          <w:spacing w:val="-17"/>
          <w:w w:val="195"/>
        </w:rPr>
        <w:t>t</w:t>
      </w:r>
      <w:r>
        <w:rPr>
          <w:w w:val="110"/>
        </w:rPr>
        <w:t>rinidad </w:t>
      </w:r>
      <w:r>
        <w:rPr>
          <w:w w:val="110"/>
        </w:rPr>
        <w:t>y </w:t>
      </w:r>
      <w:r>
        <w:rPr>
          <w:spacing w:val="-3"/>
          <w:w w:val="110"/>
        </w:rPr>
        <w:t>tobago, </w:t>
      </w:r>
      <w:r>
        <w:rPr>
          <w:w w:val="110"/>
        </w:rPr>
        <w:t>entre el 17 y el 19 de abril de 2009</w:t>
      </w:r>
      <w:r>
        <w:rPr>
          <w:w w:val="110"/>
          <w:position w:val="6"/>
          <w:sz w:val="11"/>
        </w:rPr>
        <w:t>20</w:t>
      </w:r>
      <w:r>
        <w:rPr>
          <w:w w:val="110"/>
        </w:rPr>
        <w:t>, apenas tres meses después de la asunción de obama. En su intervención, el flamante mandatario estadounidense realizó un primer intento por afianzar  los lazos interamericanos después del traspié de bush en  Mar  del Plata y ahuyentar los temores derivados de las agresivas políticas mi- litaristas de su antecesor</w:t>
      </w:r>
      <w:r>
        <w:rPr>
          <w:w w:val="110"/>
          <w:position w:val="6"/>
          <w:sz w:val="11"/>
        </w:rPr>
        <w:t>21</w:t>
      </w:r>
      <w:r>
        <w:rPr>
          <w:w w:val="110"/>
        </w:rPr>
        <w:t>. recién asumido, señaló que pretendía re- lacionarse con la región en otros términos, estableciendo una </w:t>
      </w:r>
      <w:r>
        <w:rPr>
          <w:i/>
          <w:w w:val="110"/>
        </w:rPr>
        <w:t>alianza </w:t>
      </w:r>
      <w:r>
        <w:rPr>
          <w:i/>
          <w:w w:val="110"/>
        </w:rPr>
        <w:t>entre</w:t>
      </w:r>
      <w:r>
        <w:rPr>
          <w:i/>
          <w:spacing w:val="-20"/>
          <w:w w:val="110"/>
        </w:rPr>
        <w:t> </w:t>
      </w:r>
      <w:r>
        <w:rPr>
          <w:i/>
          <w:w w:val="110"/>
        </w:rPr>
        <w:t>iguales</w:t>
      </w:r>
      <w:r>
        <w:rPr>
          <w:w w:val="110"/>
        </w:rPr>
        <w:t>.</w:t>
      </w:r>
    </w:p>
    <w:p>
      <w:pPr>
        <w:pStyle w:val="BodyText"/>
        <w:spacing w:line="252" w:lineRule="auto"/>
        <w:ind w:left="330" w:right="117" w:firstLine="396"/>
        <w:jc w:val="both"/>
      </w:pPr>
      <w:r>
        <w:rPr>
          <w:w w:val="243"/>
        </w:rPr>
        <w:t>l</w:t>
      </w:r>
      <w:r>
        <w:rPr>
          <w:w w:val="112"/>
        </w:rPr>
        <w:t>a</w:t>
      </w:r>
      <w:r>
        <w:rPr/>
        <w:t> </w:t>
      </w:r>
      <w:r>
        <w:rPr>
          <w:spacing w:val="13"/>
        </w:rPr>
        <w:t> </w:t>
      </w:r>
      <w:r>
        <w:rPr>
          <w:w w:val="110"/>
        </w:rPr>
        <w:t>reunión</w:t>
      </w:r>
      <w:r>
        <w:rPr/>
        <w:t> </w:t>
      </w:r>
      <w:r>
        <w:rPr>
          <w:spacing w:val="13"/>
        </w:rPr>
        <w:t> </w:t>
      </w:r>
      <w:r>
        <w:rPr>
          <w:w w:val="110"/>
        </w:rPr>
        <w:t>realizada</w:t>
      </w:r>
      <w:r>
        <w:rPr/>
        <w:t> </w:t>
      </w:r>
      <w:r>
        <w:rPr>
          <w:spacing w:val="13"/>
        </w:rPr>
        <w:t> </w:t>
      </w:r>
      <w:r>
        <w:rPr>
          <w:w w:val="108"/>
        </w:rPr>
        <w:t>en</w:t>
      </w:r>
      <w:r>
        <w:rPr/>
        <w:t> </w:t>
      </w:r>
      <w:r>
        <w:rPr>
          <w:spacing w:val="13"/>
        </w:rPr>
        <w:t> </w:t>
      </w:r>
      <w:r>
        <w:rPr>
          <w:w w:val="109"/>
        </w:rPr>
        <w:t>Puerto</w:t>
      </w:r>
      <w:r>
        <w:rPr/>
        <w:t> </w:t>
      </w:r>
      <w:r>
        <w:rPr>
          <w:spacing w:val="13"/>
        </w:rPr>
        <w:t> </w:t>
      </w:r>
      <w:r>
        <w:rPr>
          <w:w w:val="113"/>
        </w:rPr>
        <w:t>España</w:t>
      </w:r>
      <w:r>
        <w:rPr/>
        <w:t> </w:t>
      </w:r>
      <w:r>
        <w:rPr>
          <w:spacing w:val="13"/>
        </w:rPr>
        <w:t> </w:t>
      </w:r>
      <w:r>
        <w:rPr>
          <w:w w:val="107"/>
        </w:rPr>
        <w:t>revistió</w:t>
      </w:r>
      <w:r>
        <w:rPr/>
        <w:t> </w:t>
      </w:r>
      <w:r>
        <w:rPr>
          <w:spacing w:val="13"/>
        </w:rPr>
        <w:t> </w:t>
      </w:r>
      <w:r>
        <w:rPr>
          <w:w w:val="112"/>
        </w:rPr>
        <w:t>una</w:t>
      </w:r>
      <w:r>
        <w:rPr/>
        <w:t> </w:t>
      </w:r>
      <w:r>
        <w:rPr>
          <w:spacing w:val="13"/>
        </w:rPr>
        <w:t> </w:t>
      </w:r>
      <w:r>
        <w:rPr>
          <w:w w:val="110"/>
        </w:rPr>
        <w:t>gran</w:t>
      </w:r>
      <w:r>
        <w:rPr/>
        <w:t> </w:t>
      </w:r>
      <w:r>
        <w:rPr>
          <w:spacing w:val="13"/>
        </w:rPr>
        <w:t> </w:t>
      </w:r>
      <w:r>
        <w:rPr>
          <w:w w:val="114"/>
        </w:rPr>
        <w:t>i</w:t>
      </w:r>
      <w:r>
        <w:rPr>
          <w:spacing w:val="-1"/>
          <w:w w:val="114"/>
        </w:rPr>
        <w:t>m</w:t>
      </w:r>
      <w:r>
        <w:rPr>
          <w:w w:val="102"/>
        </w:rPr>
        <w:t>- </w:t>
      </w:r>
      <w:r>
        <w:rPr>
          <w:w w:val="110"/>
        </w:rPr>
        <w:t>portancia, siendo la primera luego del rechazo al </w:t>
      </w:r>
      <w:r>
        <w:rPr>
          <w:w w:val="150"/>
        </w:rPr>
        <w:t>alCa </w:t>
      </w:r>
      <w:r>
        <w:rPr>
          <w:w w:val="110"/>
        </w:rPr>
        <w:t>y con oba-   ma como  presidente.  </w:t>
      </w:r>
      <w:r>
        <w:rPr>
          <w:spacing w:val="-4"/>
          <w:w w:val="110"/>
        </w:rPr>
        <w:t>todos  </w:t>
      </w:r>
      <w:r>
        <w:rPr>
          <w:w w:val="110"/>
        </w:rPr>
        <w:t>los  mandatarios  buscaban  la  foto  con  el primer presidente estadounidense afrodescendiente. Hasta Hugo Chávez tuvo su encuentro cara a cara, que aprovechó para regalarle un ejemplar de </w:t>
      </w:r>
      <w:r>
        <w:rPr>
          <w:i/>
          <w:w w:val="110"/>
        </w:rPr>
        <w:t>Las venas abiertas de América Latina</w:t>
      </w:r>
      <w:r>
        <w:rPr>
          <w:w w:val="110"/>
        </w:rPr>
        <w:t>, el célebre libro del uruguayo Eduardo Galeano. aunque se preveían chispazos entre los países de la alianza bolivariana de los Pueblos de Nuestra américa (alba)</w:t>
      </w:r>
      <w:r>
        <w:rPr>
          <w:w w:val="110"/>
          <w:position w:val="6"/>
          <w:sz w:val="11"/>
        </w:rPr>
        <w:t>22 </w:t>
      </w:r>
      <w:r>
        <w:rPr>
          <w:w w:val="110"/>
        </w:rPr>
        <w:t>y el nuevo ocupante de la Casa blanca, la cumbre mostró un inusual escenario distendido con elogios cruzados y un ambiente de cuidada</w:t>
      </w:r>
      <w:r>
        <w:rPr>
          <w:spacing w:val="25"/>
          <w:w w:val="110"/>
        </w:rPr>
        <w:t> </w:t>
      </w:r>
      <w:r>
        <w:rPr>
          <w:w w:val="110"/>
        </w:rPr>
        <w:t>fraternidad.</w:t>
      </w:r>
      <w:r>
        <w:rPr>
          <w:spacing w:val="25"/>
          <w:w w:val="110"/>
        </w:rPr>
        <w:t> </w:t>
      </w:r>
      <w:r>
        <w:rPr>
          <w:w w:val="110"/>
        </w:rPr>
        <w:t>Más</w:t>
      </w:r>
      <w:r>
        <w:rPr>
          <w:spacing w:val="25"/>
          <w:w w:val="110"/>
        </w:rPr>
        <w:t> </w:t>
      </w:r>
      <w:r>
        <w:rPr>
          <w:w w:val="110"/>
        </w:rPr>
        <w:t>allá</w:t>
      </w:r>
      <w:r>
        <w:rPr>
          <w:spacing w:val="25"/>
          <w:w w:val="110"/>
        </w:rPr>
        <w:t> </w:t>
      </w:r>
      <w:r>
        <w:rPr>
          <w:w w:val="110"/>
        </w:rPr>
        <w:t>de</w:t>
      </w:r>
      <w:r>
        <w:rPr>
          <w:spacing w:val="25"/>
          <w:w w:val="110"/>
        </w:rPr>
        <w:t> </w:t>
      </w:r>
      <w:r>
        <w:rPr>
          <w:w w:val="110"/>
        </w:rPr>
        <w:t>estos</w:t>
      </w:r>
      <w:r>
        <w:rPr>
          <w:spacing w:val="25"/>
          <w:w w:val="110"/>
        </w:rPr>
        <w:t> </w:t>
      </w:r>
      <w:r>
        <w:rPr>
          <w:w w:val="110"/>
        </w:rPr>
        <w:t>gestos,</w:t>
      </w:r>
      <w:r>
        <w:rPr>
          <w:spacing w:val="25"/>
          <w:w w:val="110"/>
        </w:rPr>
        <w:t> </w:t>
      </w:r>
      <w:r>
        <w:rPr>
          <w:w w:val="110"/>
        </w:rPr>
        <w:t>no</w:t>
      </w:r>
      <w:r>
        <w:rPr>
          <w:spacing w:val="25"/>
          <w:w w:val="110"/>
        </w:rPr>
        <w:t> </w:t>
      </w:r>
      <w:r>
        <w:rPr>
          <w:w w:val="110"/>
        </w:rPr>
        <w:t>hubo</w:t>
      </w:r>
      <w:r>
        <w:rPr>
          <w:spacing w:val="25"/>
          <w:w w:val="110"/>
        </w:rPr>
        <w:t> </w:t>
      </w:r>
      <w:r>
        <w:rPr>
          <w:w w:val="110"/>
        </w:rPr>
        <w:t>avances</w:t>
      </w:r>
      <w:r>
        <w:rPr>
          <w:spacing w:val="25"/>
          <w:w w:val="110"/>
        </w:rPr>
        <w:t> </w:t>
      </w:r>
      <w:r>
        <w:rPr>
          <w:w w:val="110"/>
        </w:rPr>
        <w:t>con-</w:t>
      </w:r>
    </w:p>
    <w:p>
      <w:pPr>
        <w:pStyle w:val="BodyText"/>
        <w:spacing w:before="11"/>
        <w:rPr>
          <w:sz w:val="14"/>
        </w:rPr>
      </w:pPr>
      <w:r>
        <w:rPr/>
        <w:pict>
          <v:line style="position:absolute;mso-position-horizontal-relative:page;mso-position-vertical-relative:paragraph;z-index:8128;mso-wrap-distance-left:0;mso-wrap-distance-right:0" from="76.5354pt,10.957834pt" to="104.8814pt,10.957834pt" stroked="true" strokeweight=".5pt" strokecolor="#000000">
            <w10:wrap type="topAndBottom"/>
          </v:line>
        </w:pict>
      </w:r>
    </w:p>
    <w:p>
      <w:pPr>
        <w:pStyle w:val="ListParagraph"/>
        <w:numPr>
          <w:ilvl w:val="0"/>
          <w:numId w:val="34"/>
        </w:numPr>
        <w:tabs>
          <w:tab w:pos="586" w:val="left" w:leader="none"/>
        </w:tabs>
        <w:spacing w:line="242" w:lineRule="auto" w:before="89" w:after="0"/>
        <w:ind w:left="330" w:right="118" w:firstLine="0"/>
        <w:jc w:val="both"/>
        <w:rPr>
          <w:sz w:val="16"/>
        </w:rPr>
      </w:pPr>
      <w:r>
        <w:rPr>
          <w:w w:val="110"/>
          <w:sz w:val="16"/>
        </w:rPr>
        <w:t>un ejemplo de estas posiciones lo expresa el entonces canciller argentino bielsa (2005).</w:t>
      </w:r>
    </w:p>
    <w:p>
      <w:pPr>
        <w:pStyle w:val="ListParagraph"/>
        <w:numPr>
          <w:ilvl w:val="0"/>
          <w:numId w:val="34"/>
        </w:numPr>
        <w:tabs>
          <w:tab w:pos="586" w:val="left" w:leader="none"/>
        </w:tabs>
        <w:spacing w:line="242" w:lineRule="auto" w:before="57" w:after="0"/>
        <w:ind w:left="330" w:right="118" w:firstLine="0"/>
        <w:jc w:val="both"/>
        <w:rPr>
          <w:sz w:val="16"/>
        </w:rPr>
      </w:pPr>
      <w:r>
        <w:rPr>
          <w:spacing w:val="-3"/>
          <w:w w:val="105"/>
          <w:sz w:val="16"/>
        </w:rPr>
        <w:t>Véase </w:t>
      </w:r>
      <w:r>
        <w:rPr>
          <w:w w:val="105"/>
          <w:sz w:val="16"/>
        </w:rPr>
        <w:t>la página web oficial de la V Cumbre: </w:t>
      </w:r>
      <w:hyperlink r:id="rId516">
        <w:r>
          <w:rPr>
            <w:w w:val="105"/>
            <w:sz w:val="16"/>
          </w:rPr>
          <w:t>&lt;http://www.summit-americas.org/v_</w:t>
        </w:r>
      </w:hyperlink>
      <w:r>
        <w:rPr>
          <w:w w:val="105"/>
          <w:sz w:val="16"/>
        </w:rPr>
        <w:t> summit_sp.html&gt;.</w:t>
      </w:r>
    </w:p>
    <w:p>
      <w:pPr>
        <w:pStyle w:val="ListParagraph"/>
        <w:numPr>
          <w:ilvl w:val="0"/>
          <w:numId w:val="34"/>
        </w:numPr>
        <w:tabs>
          <w:tab w:pos="586" w:val="left" w:leader="none"/>
        </w:tabs>
        <w:spacing w:line="242" w:lineRule="auto" w:before="57" w:after="0"/>
        <w:ind w:left="330" w:right="118" w:firstLine="0"/>
        <w:jc w:val="both"/>
        <w:rPr>
          <w:sz w:val="16"/>
        </w:rPr>
      </w:pPr>
      <w:r>
        <w:rPr>
          <w:w w:val="110"/>
          <w:sz w:val="16"/>
        </w:rPr>
        <w:t>Para un análisis de la política exterior de obama en su primer mandato, véase </w:t>
      </w:r>
      <w:r>
        <w:rPr>
          <w:w w:val="105"/>
          <w:sz w:val="16"/>
        </w:rPr>
        <w:t>Ezcurra</w:t>
      </w:r>
      <w:r>
        <w:rPr>
          <w:spacing w:val="25"/>
          <w:w w:val="105"/>
          <w:sz w:val="16"/>
        </w:rPr>
        <w:t> </w:t>
      </w:r>
      <w:r>
        <w:rPr>
          <w:w w:val="105"/>
          <w:sz w:val="16"/>
        </w:rPr>
        <w:t>(2013).</w:t>
      </w:r>
    </w:p>
    <w:p>
      <w:pPr>
        <w:pStyle w:val="ListParagraph"/>
        <w:numPr>
          <w:ilvl w:val="0"/>
          <w:numId w:val="34"/>
        </w:numPr>
        <w:tabs>
          <w:tab w:pos="586" w:val="left" w:leader="none"/>
        </w:tabs>
        <w:spacing w:line="242" w:lineRule="auto" w:before="57" w:after="0"/>
        <w:ind w:left="330" w:right="114" w:firstLine="0"/>
        <w:jc w:val="both"/>
        <w:rPr>
          <w:sz w:val="16"/>
        </w:rPr>
      </w:pPr>
      <w:r>
        <w:rPr>
          <w:spacing w:val="2"/>
          <w:w w:val="110"/>
          <w:sz w:val="16"/>
        </w:rPr>
        <w:t>Pocos días antes, </w:t>
      </w:r>
      <w:r>
        <w:rPr>
          <w:w w:val="110"/>
          <w:sz w:val="16"/>
        </w:rPr>
        <w:t>el 17 de </w:t>
      </w:r>
      <w:r>
        <w:rPr>
          <w:spacing w:val="2"/>
          <w:w w:val="110"/>
          <w:sz w:val="16"/>
        </w:rPr>
        <w:t>abril, </w:t>
      </w:r>
      <w:r>
        <w:rPr>
          <w:w w:val="110"/>
          <w:sz w:val="16"/>
        </w:rPr>
        <w:t>se </w:t>
      </w:r>
      <w:r>
        <w:rPr>
          <w:spacing w:val="2"/>
          <w:w w:val="110"/>
          <w:sz w:val="16"/>
        </w:rPr>
        <w:t>produjo </w:t>
      </w:r>
      <w:r>
        <w:rPr>
          <w:w w:val="110"/>
          <w:sz w:val="16"/>
        </w:rPr>
        <w:t>en </w:t>
      </w:r>
      <w:r>
        <w:rPr>
          <w:spacing w:val="2"/>
          <w:w w:val="110"/>
          <w:sz w:val="16"/>
        </w:rPr>
        <w:t>Cumaná </w:t>
      </w:r>
      <w:r>
        <w:rPr>
          <w:w w:val="110"/>
          <w:sz w:val="16"/>
        </w:rPr>
        <w:t>(Venezuela) una </w:t>
      </w:r>
      <w:r>
        <w:rPr>
          <w:spacing w:val="2"/>
          <w:w w:val="110"/>
          <w:sz w:val="16"/>
        </w:rPr>
        <w:t>Cum- </w:t>
      </w:r>
      <w:r>
        <w:rPr>
          <w:w w:val="110"/>
          <w:sz w:val="16"/>
        </w:rPr>
        <w:t>bre del </w:t>
      </w:r>
      <w:r>
        <w:rPr>
          <w:spacing w:val="2"/>
          <w:w w:val="125"/>
          <w:sz w:val="16"/>
        </w:rPr>
        <w:t>alba, </w:t>
      </w:r>
      <w:r>
        <w:rPr>
          <w:w w:val="110"/>
          <w:sz w:val="16"/>
        </w:rPr>
        <w:t>en la </w:t>
      </w:r>
      <w:r>
        <w:rPr>
          <w:spacing w:val="2"/>
          <w:w w:val="110"/>
          <w:sz w:val="16"/>
        </w:rPr>
        <w:t>cual, entre otras cuestiones, </w:t>
      </w:r>
      <w:r>
        <w:rPr>
          <w:w w:val="110"/>
          <w:sz w:val="16"/>
        </w:rPr>
        <w:t>se </w:t>
      </w:r>
      <w:r>
        <w:rPr>
          <w:spacing w:val="2"/>
          <w:w w:val="110"/>
          <w:sz w:val="16"/>
        </w:rPr>
        <w:t>ratificó </w:t>
      </w:r>
      <w:r>
        <w:rPr>
          <w:w w:val="110"/>
          <w:sz w:val="16"/>
        </w:rPr>
        <w:t>la </w:t>
      </w:r>
      <w:r>
        <w:rPr>
          <w:spacing w:val="2"/>
          <w:w w:val="110"/>
          <w:sz w:val="16"/>
        </w:rPr>
        <w:t>negativa </w:t>
      </w:r>
      <w:r>
        <w:rPr>
          <w:w w:val="110"/>
          <w:sz w:val="16"/>
        </w:rPr>
        <w:t>de los </w:t>
      </w:r>
      <w:r>
        <w:rPr>
          <w:spacing w:val="2"/>
          <w:w w:val="110"/>
          <w:sz w:val="16"/>
        </w:rPr>
        <w:t>paí- </w:t>
      </w:r>
      <w:r>
        <w:rPr>
          <w:w w:val="110"/>
          <w:sz w:val="16"/>
        </w:rPr>
        <w:t>ses que </w:t>
      </w:r>
      <w:r>
        <w:rPr>
          <w:spacing w:val="2"/>
          <w:w w:val="110"/>
          <w:sz w:val="16"/>
        </w:rPr>
        <w:t>integraban esta asociación </w:t>
      </w:r>
      <w:r>
        <w:rPr>
          <w:w w:val="110"/>
          <w:sz w:val="16"/>
        </w:rPr>
        <w:t>a firmar la </w:t>
      </w:r>
      <w:r>
        <w:rPr>
          <w:spacing w:val="2"/>
          <w:w w:val="110"/>
          <w:sz w:val="16"/>
        </w:rPr>
        <w:t>declaración </w:t>
      </w:r>
      <w:r>
        <w:rPr>
          <w:w w:val="110"/>
          <w:sz w:val="16"/>
        </w:rPr>
        <w:t>final de la V </w:t>
      </w:r>
      <w:r>
        <w:rPr>
          <w:spacing w:val="2"/>
          <w:w w:val="110"/>
          <w:sz w:val="16"/>
        </w:rPr>
        <w:t>Cumbre </w:t>
      </w:r>
      <w:r>
        <w:rPr>
          <w:spacing w:val="3"/>
          <w:w w:val="110"/>
          <w:sz w:val="16"/>
        </w:rPr>
        <w:t>de </w:t>
      </w:r>
      <w:r>
        <w:rPr>
          <w:w w:val="110"/>
          <w:sz w:val="16"/>
        </w:rPr>
        <w:t>las</w:t>
      </w:r>
      <w:r>
        <w:rPr>
          <w:spacing w:val="32"/>
          <w:w w:val="110"/>
          <w:sz w:val="16"/>
        </w:rPr>
        <w:t> </w:t>
      </w:r>
      <w:r>
        <w:rPr>
          <w:spacing w:val="3"/>
          <w:w w:val="110"/>
          <w:sz w:val="16"/>
        </w:rPr>
        <w:t>américas.</w:t>
      </w:r>
    </w:p>
    <w:p>
      <w:pPr>
        <w:spacing w:after="0" w:line="242" w:lineRule="auto"/>
        <w:jc w:val="both"/>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w w:val="110"/>
        </w:rPr>
        <w:t>cretos y no se logró firmar una declaración final, entre otros motivos por diferencias en relación a la persistencia de la exclusión de Cuba,    a las políticas sobre biocombustibles y a las acciones frente a la crisis económica </w:t>
      </w:r>
      <w:r>
        <w:rPr>
          <w:spacing w:val="7"/>
          <w:w w:val="110"/>
        </w:rPr>
        <w:t> </w:t>
      </w:r>
      <w:r>
        <w:rPr>
          <w:w w:val="110"/>
        </w:rPr>
        <w:t>mundial.</w:t>
      </w:r>
    </w:p>
    <w:p>
      <w:pPr>
        <w:pStyle w:val="BodyText"/>
        <w:spacing w:line="252" w:lineRule="auto"/>
        <w:ind w:left="120" w:right="328" w:firstLine="396"/>
        <w:jc w:val="both"/>
      </w:pPr>
      <w:r>
        <w:rPr>
          <w:w w:val="243"/>
        </w:rPr>
        <w:t>l</w:t>
      </w:r>
      <w:r>
        <w:rPr>
          <w:w w:val="112"/>
        </w:rPr>
        <w:t>a</w:t>
      </w:r>
      <w:r>
        <w:rPr>
          <w:spacing w:val="2"/>
        </w:rPr>
        <w:t> </w:t>
      </w:r>
      <w:r>
        <w:rPr>
          <w:w w:val="114"/>
        </w:rPr>
        <w:t>Casa</w:t>
      </w:r>
      <w:r>
        <w:rPr>
          <w:spacing w:val="2"/>
        </w:rPr>
        <w:t> </w:t>
      </w:r>
      <w:r>
        <w:rPr>
          <w:w w:val="134"/>
        </w:rPr>
        <w:t>b</w:t>
      </w:r>
      <w:r>
        <w:rPr>
          <w:w w:val="112"/>
        </w:rPr>
        <w:t>lanca</w:t>
      </w:r>
      <w:r>
        <w:rPr>
          <w:spacing w:val="2"/>
        </w:rPr>
        <w:t> </w:t>
      </w:r>
      <w:r>
        <w:rPr>
          <w:w w:val="109"/>
        </w:rPr>
        <w:t>logró</w:t>
      </w:r>
      <w:r>
        <w:rPr>
          <w:spacing w:val="2"/>
        </w:rPr>
        <w:t> </w:t>
      </w:r>
      <w:r>
        <w:rPr>
          <w:w w:val="111"/>
        </w:rPr>
        <w:t>inicialmente</w:t>
      </w:r>
      <w:r>
        <w:rPr>
          <w:spacing w:val="2"/>
        </w:rPr>
        <w:t> </w:t>
      </w:r>
      <w:r>
        <w:rPr>
          <w:w w:val="108"/>
        </w:rPr>
        <w:t>relajar</w:t>
      </w:r>
      <w:r>
        <w:rPr>
          <w:spacing w:val="2"/>
        </w:rPr>
        <w:t> </w:t>
      </w:r>
      <w:r>
        <w:rPr>
          <w:w w:val="109"/>
        </w:rPr>
        <w:t>las</w:t>
      </w:r>
      <w:r>
        <w:rPr>
          <w:spacing w:val="2"/>
        </w:rPr>
        <w:t> </w:t>
      </w:r>
      <w:r>
        <w:rPr>
          <w:w w:val="109"/>
        </w:rPr>
        <w:t>relaciones</w:t>
      </w:r>
      <w:r>
        <w:rPr>
          <w:spacing w:val="2"/>
        </w:rPr>
        <w:t> </w:t>
      </w:r>
      <w:r>
        <w:rPr>
          <w:w w:val="109"/>
        </w:rPr>
        <w:t>interame</w:t>
      </w:r>
      <w:r>
        <w:rPr>
          <w:w w:val="102"/>
        </w:rPr>
        <w:t>- </w:t>
      </w:r>
      <w:r>
        <w:rPr>
          <w:w w:val="110"/>
        </w:rPr>
        <w:t>ricanas, luego del revés recibido por bush en Mar del Plata, y planteó la importancia de la región para la política exterior de Washington. El encuentro personal de obama con Chávez significó, para muchos, el reconocimiento del liderazgo de su par latinoamericano y una clara muestra del intento de dar una vuelta de página frente a la prepoten- cia de su </w:t>
      </w:r>
      <w:r>
        <w:rPr>
          <w:spacing w:val="-3"/>
          <w:w w:val="110"/>
        </w:rPr>
        <w:t>antecesor. también </w:t>
      </w:r>
      <w:r>
        <w:rPr>
          <w:w w:val="110"/>
        </w:rPr>
        <w:t>hubo un saludo cordial con Evo Morales   y daniel ortega, dos críticos del imperialismo estadounidense en la región. Más allá de los gestos, obama debió enfrentar la posición cada vez más uniforme del resto de los países de la región en cuanto al re- chazo a la exclusión de Cuba del sistema interamericano. El gobierno de raúl Castro obtuvo una gran solidaridad de muchos mandatarios  en  </w:t>
      </w:r>
      <w:r>
        <w:rPr>
          <w:spacing w:val="-3"/>
          <w:w w:val="110"/>
        </w:rPr>
        <w:t>trinidad  </w:t>
      </w:r>
      <w:r>
        <w:rPr>
          <w:w w:val="110"/>
        </w:rPr>
        <w:t>y </w:t>
      </w:r>
      <w:r>
        <w:rPr>
          <w:spacing w:val="22"/>
          <w:w w:val="110"/>
        </w:rPr>
        <w:t> </w:t>
      </w:r>
      <w:r>
        <w:rPr>
          <w:spacing w:val="-3"/>
          <w:w w:val="110"/>
        </w:rPr>
        <w:t>tobago.</w:t>
      </w:r>
    </w:p>
    <w:p>
      <w:pPr>
        <w:pStyle w:val="BodyText"/>
        <w:spacing w:line="252" w:lineRule="auto"/>
        <w:ind w:left="120" w:right="328" w:firstLine="396"/>
        <w:jc w:val="both"/>
      </w:pPr>
      <w:r>
        <w:rPr>
          <w:w w:val="110"/>
        </w:rPr>
        <w:t>Como señal de distensión hacia Caracas, obama anunció el nom- bramiento de un nuevo embajador en Venezuela, a la vez que Chávez manifestó que nombraría a roy Chaderton, ex ministro de relacio-   nes Exteriores y por entonces embajador venezolano ante la oEa, como representante en Washington. Esta nueva política regional, o más bien su escenificación en esta reunión cumbre, fue criticada por los sectores conservadores estadounidenses, que demonizan a líderes caracterizados como izquierdistas y populistas y defienden una línea intervencionista sin demasiados reparos. Muchos mandatarios lati- noamericanos mostraron en la V Cumbre su confianza y expectativas en el nuevo presidente estadounidense, a quien consideraban capaz de revertir las políticas de su</w:t>
      </w:r>
      <w:r>
        <w:rPr>
          <w:spacing w:val="20"/>
          <w:w w:val="110"/>
        </w:rPr>
        <w:t> </w:t>
      </w:r>
      <w:r>
        <w:rPr>
          <w:spacing w:val="-3"/>
          <w:w w:val="110"/>
        </w:rPr>
        <w:t>antecesor.</w:t>
      </w:r>
    </w:p>
    <w:p>
      <w:pPr>
        <w:pStyle w:val="BodyText"/>
        <w:spacing w:line="252" w:lineRule="auto"/>
        <w:ind w:left="120" w:right="328" w:firstLine="397"/>
        <w:jc w:val="both"/>
      </w:pPr>
      <w:r>
        <w:rPr>
          <w:w w:val="110"/>
        </w:rPr>
        <w:t>Más allá de los gestos, los países de la región –y en especial el    eje bolivariano– mostraron que no estaban dispuestos a que Estados unidos siguiera marcando la agenda. No alcanzaba con la derrota del </w:t>
      </w:r>
      <w:r>
        <w:rPr>
          <w:w w:val="125"/>
        </w:rPr>
        <w:t>alCa. </w:t>
      </w:r>
      <w:r>
        <w:rPr>
          <w:w w:val="110"/>
        </w:rPr>
        <w:t>El tema de la exclusión de Cuba volvía a ser uno de los ejes. En la sesión de clausura de la Cumbre, el entonces canciller brasileño, </w:t>
      </w:r>
      <w:r>
        <w:rPr>
          <w:w w:val="111"/>
        </w:rPr>
        <w:t>Celso</w:t>
      </w:r>
      <w:r>
        <w:rPr>
          <w:spacing w:val="13"/>
        </w:rPr>
        <w:t> </w:t>
      </w:r>
      <w:r>
        <w:rPr>
          <w:w w:val="139"/>
        </w:rPr>
        <w:t>a</w:t>
      </w:r>
      <w:r>
        <w:rPr>
          <w:w w:val="113"/>
        </w:rPr>
        <w:t>morim,</w:t>
      </w:r>
      <w:r>
        <w:rPr>
          <w:spacing w:val="13"/>
        </w:rPr>
        <w:t> </w:t>
      </w:r>
      <w:r>
        <w:rPr>
          <w:w w:val="107"/>
        </w:rPr>
        <w:t>sostuvo</w:t>
      </w:r>
      <w:r>
        <w:rPr>
          <w:spacing w:val="13"/>
        </w:rPr>
        <w:t> </w:t>
      </w:r>
      <w:r>
        <w:rPr>
          <w:w w:val="108"/>
        </w:rPr>
        <w:t>que</w:t>
      </w:r>
      <w:r>
        <w:rPr>
          <w:spacing w:val="13"/>
        </w:rPr>
        <w:t> </w:t>
      </w:r>
      <w:r>
        <w:rPr>
          <w:w w:val="243"/>
        </w:rPr>
        <w:t>l</w:t>
      </w:r>
      <w:r>
        <w:rPr>
          <w:w w:val="112"/>
        </w:rPr>
        <w:t>ula</w:t>
      </w:r>
      <w:r>
        <w:rPr>
          <w:spacing w:val="13"/>
        </w:rPr>
        <w:t> </w:t>
      </w:r>
      <w:r>
        <w:rPr>
          <w:w w:val="112"/>
        </w:rPr>
        <w:t>juzgaba</w:t>
      </w:r>
      <w:r>
        <w:rPr>
          <w:spacing w:val="13"/>
        </w:rPr>
        <w:t> </w:t>
      </w:r>
      <w:r>
        <w:rPr>
          <w:w w:val="111"/>
        </w:rPr>
        <w:t>“muy</w:t>
      </w:r>
      <w:r>
        <w:rPr>
          <w:spacing w:val="13"/>
        </w:rPr>
        <w:t> </w:t>
      </w:r>
      <w:r>
        <w:rPr>
          <w:w w:val="114"/>
        </w:rPr>
        <w:t>difícil</w:t>
      </w:r>
      <w:r>
        <w:rPr>
          <w:spacing w:val="13"/>
        </w:rPr>
        <w:t> </w:t>
      </w:r>
      <w:r>
        <w:rPr>
          <w:w w:val="108"/>
        </w:rPr>
        <w:t>que</w:t>
      </w:r>
      <w:r>
        <w:rPr>
          <w:spacing w:val="13"/>
        </w:rPr>
        <w:t> </w:t>
      </w:r>
      <w:r>
        <w:rPr>
          <w:w w:val="109"/>
        </w:rPr>
        <w:t>tenga</w:t>
      </w:r>
      <w:r>
        <w:rPr>
          <w:spacing w:val="13"/>
        </w:rPr>
        <w:t> </w:t>
      </w:r>
      <w:r>
        <w:rPr>
          <w:w w:val="110"/>
        </w:rPr>
        <w:t>lugar </w:t>
      </w:r>
      <w:r>
        <w:rPr>
          <w:w w:val="110"/>
        </w:rPr>
        <w:t>una nueva Cumbre de las américas sin la presencia de Cuba”</w:t>
      </w:r>
      <w:r>
        <w:rPr>
          <w:w w:val="110"/>
          <w:position w:val="6"/>
          <w:sz w:val="11"/>
        </w:rPr>
        <w:t>23</w:t>
      </w:r>
      <w:r>
        <w:rPr>
          <w:w w:val="110"/>
        </w:rPr>
        <w:t>. Este tema obstaculizó la rúbrica conjunta de una declaración final: “de hecho, no ha habido consenso alguno sobre el documento final de      la Cumbre de las américas –la ‘declaración de Compromiso de Port- of-spain’– ya que los miembros del </w:t>
      </w:r>
      <w:r>
        <w:rPr>
          <w:w w:val="125"/>
        </w:rPr>
        <w:t>alba, </w:t>
      </w:r>
      <w:r>
        <w:rPr>
          <w:w w:val="110"/>
        </w:rPr>
        <w:t>con el apoyo unánime del conjunto</w:t>
      </w:r>
      <w:r>
        <w:rPr>
          <w:spacing w:val="36"/>
          <w:w w:val="110"/>
        </w:rPr>
        <w:t> </w:t>
      </w:r>
      <w:r>
        <w:rPr>
          <w:w w:val="110"/>
        </w:rPr>
        <w:t>de</w:t>
      </w:r>
      <w:r>
        <w:rPr>
          <w:spacing w:val="36"/>
          <w:w w:val="110"/>
        </w:rPr>
        <w:t> </w:t>
      </w:r>
      <w:r>
        <w:rPr>
          <w:w w:val="110"/>
        </w:rPr>
        <w:t>los</w:t>
      </w:r>
      <w:r>
        <w:rPr>
          <w:spacing w:val="36"/>
          <w:w w:val="110"/>
        </w:rPr>
        <w:t> </w:t>
      </w:r>
      <w:r>
        <w:rPr>
          <w:w w:val="110"/>
        </w:rPr>
        <w:t>países</w:t>
      </w:r>
      <w:r>
        <w:rPr>
          <w:spacing w:val="36"/>
          <w:w w:val="110"/>
        </w:rPr>
        <w:t> </w:t>
      </w:r>
      <w:r>
        <w:rPr>
          <w:w w:val="110"/>
        </w:rPr>
        <w:t>latinoamericanos</w:t>
      </w:r>
      <w:r>
        <w:rPr>
          <w:spacing w:val="36"/>
          <w:w w:val="110"/>
        </w:rPr>
        <w:t> </w:t>
      </w:r>
      <w:r>
        <w:rPr>
          <w:w w:val="110"/>
        </w:rPr>
        <w:t>y</w:t>
      </w:r>
      <w:r>
        <w:rPr>
          <w:spacing w:val="36"/>
          <w:w w:val="110"/>
        </w:rPr>
        <w:t> </w:t>
      </w:r>
      <w:r>
        <w:rPr>
          <w:w w:val="110"/>
        </w:rPr>
        <w:t>del</w:t>
      </w:r>
      <w:r>
        <w:rPr>
          <w:spacing w:val="36"/>
          <w:w w:val="110"/>
        </w:rPr>
        <w:t> </w:t>
      </w:r>
      <w:r>
        <w:rPr>
          <w:w w:val="110"/>
        </w:rPr>
        <w:t>Caribe,</w:t>
      </w:r>
      <w:r>
        <w:rPr>
          <w:spacing w:val="36"/>
          <w:w w:val="110"/>
        </w:rPr>
        <w:t> </w:t>
      </w:r>
      <w:r>
        <w:rPr>
          <w:w w:val="110"/>
        </w:rPr>
        <w:t>se</w:t>
      </w:r>
      <w:r>
        <w:rPr>
          <w:spacing w:val="36"/>
          <w:w w:val="110"/>
        </w:rPr>
        <w:t> </w:t>
      </w:r>
      <w:r>
        <w:rPr>
          <w:w w:val="110"/>
        </w:rPr>
        <w:t>negaron</w:t>
      </w:r>
      <w:r>
        <w:rPr>
          <w:spacing w:val="36"/>
          <w:w w:val="110"/>
        </w:rPr>
        <w:t> </w:t>
      </w:r>
      <w:r>
        <w:rPr>
          <w:w w:val="110"/>
        </w:rPr>
        <w:t>a</w:t>
      </w:r>
    </w:p>
    <w:p>
      <w:pPr>
        <w:pStyle w:val="BodyText"/>
        <w:spacing w:before="7"/>
        <w:rPr>
          <w:sz w:val="15"/>
        </w:rPr>
      </w:pPr>
      <w:r>
        <w:rPr/>
        <w:pict>
          <v:line style="position:absolute;mso-position-horizontal-relative:page;mso-position-vertical-relative:paragraph;z-index:8152;mso-wrap-distance-left:0;mso-wrap-distance-right:0" from="51.023602pt,11.36723pt" to="79.369602pt,11.36723pt" stroked="true" strokeweight=".5pt" strokecolor="#000000">
            <w10:wrap type="topAndBottom"/>
          </v:line>
        </w:pict>
      </w:r>
    </w:p>
    <w:p>
      <w:pPr>
        <w:pStyle w:val="ListParagraph"/>
        <w:numPr>
          <w:ilvl w:val="0"/>
          <w:numId w:val="34"/>
        </w:numPr>
        <w:tabs>
          <w:tab w:pos="376" w:val="left" w:leader="none"/>
        </w:tabs>
        <w:spacing w:line="240" w:lineRule="auto" w:before="89" w:after="0"/>
        <w:ind w:left="375" w:right="0" w:hanging="255"/>
        <w:jc w:val="left"/>
        <w:rPr>
          <w:sz w:val="16"/>
        </w:rPr>
      </w:pPr>
      <w:r>
        <w:rPr>
          <w:i/>
          <w:w w:val="110"/>
          <w:sz w:val="16"/>
        </w:rPr>
        <w:t>BBC Mundo</w:t>
      </w:r>
      <w:r>
        <w:rPr>
          <w:w w:val="110"/>
          <w:sz w:val="16"/>
        </w:rPr>
        <w:t>, 18 de abril de</w:t>
      </w:r>
      <w:r>
        <w:rPr>
          <w:spacing w:val="12"/>
          <w:w w:val="110"/>
          <w:sz w:val="16"/>
        </w:rPr>
        <w:t> </w:t>
      </w:r>
      <w:r>
        <w:rPr>
          <w:w w:val="110"/>
          <w:sz w:val="16"/>
        </w:rPr>
        <w:t>2009.</w:t>
      </w:r>
    </w:p>
    <w:p>
      <w:pPr>
        <w:spacing w:after="0" w:line="240" w:lineRule="auto"/>
        <w:jc w:val="left"/>
        <w:rPr>
          <w:sz w:val="16"/>
        </w:rPr>
        <w:sectPr>
          <w:footerReference w:type="default" r:id="rId517"/>
          <w:footerReference w:type="even" r:id="rId518"/>
          <w:pgSz w:w="8790" w:h="12760"/>
          <w:pgMar w:footer="723" w:header="697" w:top="880" w:bottom="920" w:left="900" w:right="1200"/>
          <w:pgNumType w:start="393"/>
        </w:sectPr>
      </w:pPr>
    </w:p>
    <w:p>
      <w:pPr>
        <w:pStyle w:val="BodyText"/>
        <w:spacing w:before="7"/>
        <w:rPr>
          <w:sz w:val="28"/>
        </w:rPr>
      </w:pPr>
    </w:p>
    <w:p>
      <w:pPr>
        <w:pStyle w:val="BodyText"/>
        <w:spacing w:line="252" w:lineRule="auto" w:before="73"/>
        <w:ind w:left="330" w:right="118"/>
        <w:jc w:val="both"/>
      </w:pPr>
      <w:r>
        <w:rPr>
          <w:w w:val="110"/>
        </w:rPr>
        <w:t>avalar un texto que no pedía el levantamiento del embargo impuesto </w:t>
      </w:r>
      <w:r>
        <w:rPr>
          <w:w w:val="112"/>
        </w:rPr>
        <w:t>a</w:t>
      </w:r>
      <w:r>
        <w:rPr>
          <w:spacing w:val="7"/>
        </w:rPr>
        <w:t> </w:t>
      </w:r>
      <w:r>
        <w:rPr>
          <w:w w:val="117"/>
        </w:rPr>
        <w:t>Cuba.</w:t>
      </w:r>
      <w:r>
        <w:rPr>
          <w:spacing w:val="7"/>
        </w:rPr>
        <w:t> </w:t>
      </w:r>
      <w:r>
        <w:rPr>
          <w:w w:val="243"/>
        </w:rPr>
        <w:t>l</w:t>
      </w:r>
      <w:r>
        <w:rPr>
          <w:w w:val="108"/>
        </w:rPr>
        <w:t>os</w:t>
      </w:r>
      <w:r>
        <w:rPr>
          <w:spacing w:val="7"/>
        </w:rPr>
        <w:t> </w:t>
      </w:r>
      <w:r>
        <w:rPr>
          <w:w w:val="107"/>
        </w:rPr>
        <w:t>presidentes</w:t>
      </w:r>
      <w:r>
        <w:rPr>
          <w:spacing w:val="7"/>
        </w:rPr>
        <w:t> </w:t>
      </w:r>
      <w:r>
        <w:rPr>
          <w:w w:val="111"/>
        </w:rPr>
        <w:t>anularon</w:t>
      </w:r>
      <w:r>
        <w:rPr>
          <w:spacing w:val="7"/>
        </w:rPr>
        <w:t> </w:t>
      </w:r>
      <w:r>
        <w:rPr>
          <w:w w:val="111"/>
        </w:rPr>
        <w:t>la</w:t>
      </w:r>
      <w:r>
        <w:rPr>
          <w:spacing w:val="7"/>
        </w:rPr>
        <w:t> </w:t>
      </w:r>
      <w:r>
        <w:rPr>
          <w:w w:val="110"/>
        </w:rPr>
        <w:t>ceremonia</w:t>
      </w:r>
      <w:r>
        <w:rPr>
          <w:spacing w:val="7"/>
        </w:rPr>
        <w:t> </w:t>
      </w:r>
      <w:r>
        <w:rPr>
          <w:w w:val="107"/>
        </w:rPr>
        <w:t>de</w:t>
      </w:r>
      <w:r>
        <w:rPr>
          <w:spacing w:val="7"/>
        </w:rPr>
        <w:t> </w:t>
      </w:r>
      <w:r>
        <w:rPr>
          <w:w w:val="109"/>
        </w:rPr>
        <w:t>firma</w:t>
      </w:r>
      <w:r>
        <w:rPr>
          <w:spacing w:val="7"/>
        </w:rPr>
        <w:t> </w:t>
      </w:r>
      <w:r>
        <w:rPr>
          <w:w w:val="107"/>
        </w:rPr>
        <w:t>de</w:t>
      </w:r>
      <w:r>
        <w:rPr>
          <w:spacing w:val="7"/>
        </w:rPr>
        <w:t> </w:t>
      </w:r>
      <w:r>
        <w:rPr>
          <w:w w:val="111"/>
        </w:rPr>
        <w:t>la</w:t>
      </w:r>
      <w:r>
        <w:rPr>
          <w:spacing w:val="7"/>
        </w:rPr>
        <w:t> </w:t>
      </w:r>
      <w:r>
        <w:rPr>
          <w:w w:val="110"/>
        </w:rPr>
        <w:t>declar</w:t>
      </w:r>
      <w:r>
        <w:rPr>
          <w:spacing w:val="-1"/>
          <w:w w:val="110"/>
        </w:rPr>
        <w:t>a</w:t>
      </w:r>
      <w:r>
        <w:rPr>
          <w:w w:val="102"/>
        </w:rPr>
        <w:t>- </w:t>
      </w:r>
      <w:r>
        <w:rPr>
          <w:w w:val="110"/>
        </w:rPr>
        <w:t>ción final y para salvar las apariencias el texto sólo fue rubricado por Patrick Manning, primer ministro del país de acogida </w:t>
      </w:r>
      <w:r>
        <w:rPr>
          <w:spacing w:val="-11"/>
          <w:w w:val="110"/>
        </w:rPr>
        <w:t>y, </w:t>
      </w:r>
      <w:r>
        <w:rPr>
          <w:w w:val="110"/>
        </w:rPr>
        <w:t>a ese título, </w:t>
      </w:r>
      <w:r>
        <w:rPr>
          <w:w w:val="107"/>
        </w:rPr>
        <w:t>presidente</w:t>
      </w:r>
      <w:r>
        <w:rPr/>
        <w:t> </w:t>
      </w:r>
      <w:r>
        <w:rPr>
          <w:spacing w:val="-14"/>
        </w:rPr>
        <w:t> </w:t>
      </w:r>
      <w:r>
        <w:rPr>
          <w:w w:val="107"/>
        </w:rPr>
        <w:t>de</w:t>
      </w:r>
      <w:r>
        <w:rPr/>
        <w:t> </w:t>
      </w:r>
      <w:r>
        <w:rPr>
          <w:spacing w:val="-14"/>
        </w:rPr>
        <w:t> </w:t>
      </w:r>
      <w:r>
        <w:rPr>
          <w:w w:val="111"/>
        </w:rPr>
        <w:t>la</w:t>
      </w:r>
      <w:r>
        <w:rPr/>
        <w:t> </w:t>
      </w:r>
      <w:r>
        <w:rPr>
          <w:spacing w:val="-14"/>
        </w:rPr>
        <w:t> </w:t>
      </w:r>
      <w:r>
        <w:rPr>
          <w:w w:val="112"/>
        </w:rPr>
        <w:t>Cumbre”</w:t>
      </w:r>
      <w:r>
        <w:rPr/>
        <w:t> </w:t>
      </w:r>
      <w:r>
        <w:rPr>
          <w:spacing w:val="-14"/>
        </w:rPr>
        <w:t> </w:t>
      </w:r>
      <w:r>
        <w:rPr>
          <w:w w:val="98"/>
        </w:rPr>
        <w:t>(</w:t>
      </w:r>
      <w:r>
        <w:rPr>
          <w:w w:val="243"/>
        </w:rPr>
        <w:t>l</w:t>
      </w:r>
      <w:r>
        <w:rPr>
          <w:w w:val="111"/>
        </w:rPr>
        <w:t>emoine,</w:t>
      </w:r>
      <w:r>
        <w:rPr/>
        <w:t> </w:t>
      </w:r>
      <w:r>
        <w:rPr>
          <w:spacing w:val="-14"/>
        </w:rPr>
        <w:t> </w:t>
      </w:r>
      <w:r>
        <w:rPr>
          <w:w w:val="104"/>
        </w:rPr>
        <w:t>2009).</w:t>
      </w:r>
      <w:r>
        <w:rPr/>
        <w:t> </w:t>
      </w:r>
      <w:r>
        <w:rPr>
          <w:spacing w:val="-14"/>
        </w:rPr>
        <w:t> </w:t>
      </w:r>
      <w:r>
        <w:rPr>
          <w:spacing w:val="-18"/>
          <w:w w:val="195"/>
        </w:rPr>
        <w:t>t</w:t>
      </w:r>
      <w:r>
        <w:rPr>
          <w:w w:val="111"/>
        </w:rPr>
        <w:t>ambién</w:t>
      </w:r>
      <w:r>
        <w:rPr/>
        <w:t> </w:t>
      </w:r>
      <w:r>
        <w:rPr>
          <w:spacing w:val="-14"/>
        </w:rPr>
        <w:t> </w:t>
      </w:r>
      <w:r>
        <w:rPr>
          <w:w w:val="111"/>
        </w:rPr>
        <w:t>hubo</w:t>
      </w:r>
      <w:r>
        <w:rPr/>
        <w:t> </w:t>
      </w:r>
      <w:r>
        <w:rPr>
          <w:spacing w:val="-14"/>
        </w:rPr>
        <w:t> </w:t>
      </w:r>
      <w:r>
        <w:rPr>
          <w:w w:val="107"/>
        </w:rPr>
        <w:t>divergen</w:t>
      </w:r>
      <w:r>
        <w:rPr>
          <w:w w:val="102"/>
        </w:rPr>
        <w:t>- </w:t>
      </w:r>
      <w:r>
        <w:rPr>
          <w:w w:val="110"/>
        </w:rPr>
        <w:t>cias en cuanto a cómo debía enfrentarse la crisis global iniciada en 2008 y críticas a la decisión de circunscribir al G-20 el ámbito para debatir cómo salir de la </w:t>
      </w:r>
      <w:r>
        <w:rPr>
          <w:spacing w:val="17"/>
          <w:w w:val="110"/>
        </w:rPr>
        <w:t> </w:t>
      </w:r>
      <w:r>
        <w:rPr>
          <w:w w:val="110"/>
        </w:rPr>
        <w:t>misma.</w:t>
      </w:r>
    </w:p>
    <w:p>
      <w:pPr>
        <w:pStyle w:val="BodyText"/>
        <w:spacing w:line="252" w:lineRule="auto"/>
        <w:ind w:left="330" w:right="117" w:firstLine="396"/>
        <w:jc w:val="both"/>
      </w:pPr>
      <w:r>
        <w:rPr>
          <w:w w:val="110"/>
        </w:rPr>
        <w:t>En los meses siguientes, las expectativas que había generado la </w:t>
      </w:r>
      <w:r>
        <w:rPr>
          <w:w w:val="111"/>
        </w:rPr>
        <w:t>asunción</w:t>
      </w:r>
      <w:r>
        <w:rPr/>
        <w:t> </w:t>
      </w:r>
      <w:r>
        <w:rPr>
          <w:spacing w:val="-21"/>
        </w:rPr>
        <w:t> </w:t>
      </w:r>
      <w:r>
        <w:rPr>
          <w:w w:val="107"/>
        </w:rPr>
        <w:t>de</w:t>
      </w:r>
      <w:r>
        <w:rPr/>
        <w:t> </w:t>
      </w:r>
      <w:r>
        <w:rPr>
          <w:spacing w:val="-21"/>
        </w:rPr>
        <w:t> </w:t>
      </w:r>
      <w:r>
        <w:rPr>
          <w:w w:val="149"/>
        </w:rPr>
        <w:t>o</w:t>
      </w:r>
      <w:r>
        <w:rPr>
          <w:w w:val="112"/>
        </w:rPr>
        <w:t>bama</w:t>
      </w:r>
      <w:r>
        <w:rPr/>
        <w:t> </w:t>
      </w:r>
      <w:r>
        <w:rPr>
          <w:spacing w:val="-21"/>
        </w:rPr>
        <w:t> </w:t>
      </w:r>
      <w:r>
        <w:rPr>
          <w:w w:val="105"/>
        </w:rPr>
        <w:t>se</w:t>
      </w:r>
      <w:r>
        <w:rPr/>
        <w:t> </w:t>
      </w:r>
      <w:r>
        <w:rPr>
          <w:spacing w:val="-21"/>
        </w:rPr>
        <w:t> </w:t>
      </w:r>
      <w:r>
        <w:rPr>
          <w:w w:val="110"/>
        </w:rPr>
        <w:t>transformaron</w:t>
      </w:r>
      <w:r>
        <w:rPr/>
        <w:t> </w:t>
      </w:r>
      <w:r>
        <w:rPr>
          <w:spacing w:val="-21"/>
        </w:rPr>
        <w:t> </w:t>
      </w:r>
      <w:r>
        <w:rPr>
          <w:w w:val="109"/>
        </w:rPr>
        <w:t>rápidamente</w:t>
      </w:r>
      <w:r>
        <w:rPr/>
        <w:t> </w:t>
      </w:r>
      <w:r>
        <w:rPr>
          <w:spacing w:val="-21"/>
        </w:rPr>
        <w:t> </w:t>
      </w:r>
      <w:r>
        <w:rPr>
          <w:w w:val="108"/>
        </w:rPr>
        <w:t>en</w:t>
      </w:r>
      <w:r>
        <w:rPr/>
        <w:t> </w:t>
      </w:r>
      <w:r>
        <w:rPr>
          <w:spacing w:val="-21"/>
        </w:rPr>
        <w:t> </w:t>
      </w:r>
      <w:r>
        <w:rPr>
          <w:w w:val="111"/>
        </w:rPr>
        <w:t>decepción.</w:t>
      </w:r>
      <w:r>
        <w:rPr/>
        <w:t> </w:t>
      </w:r>
      <w:r>
        <w:rPr>
          <w:spacing w:val="-21"/>
        </w:rPr>
        <w:t> </w:t>
      </w:r>
      <w:r>
        <w:rPr>
          <w:w w:val="243"/>
        </w:rPr>
        <w:t>l</w:t>
      </w:r>
      <w:r>
        <w:rPr>
          <w:w w:val="112"/>
        </w:rPr>
        <w:t>a </w:t>
      </w:r>
      <w:r>
        <w:rPr>
          <w:w w:val="110"/>
        </w:rPr>
        <w:t>continuidad de la iV Flota del Comando sur –reinstalada por bush     en 2008, luego de 50 años, para patrullar las aguas del atlántico sur–, la ratificación del bloqueo económico a Cuba, el mantenimiento de     la cárcel de Guantánamo –a pesar de que obama se comprometió a desmantelarla ni bien asumió–, la ausencia de progresos en cuestio- nes migratorias y la no ratificación, al menos durante varios meses,  de</w:t>
      </w:r>
      <w:r>
        <w:rPr>
          <w:spacing w:val="-4"/>
          <w:w w:val="110"/>
        </w:rPr>
        <w:t> </w:t>
      </w:r>
      <w:r>
        <w:rPr>
          <w:w w:val="110"/>
        </w:rPr>
        <w:t>tratados</w:t>
      </w:r>
      <w:r>
        <w:rPr>
          <w:spacing w:val="-4"/>
          <w:w w:val="110"/>
        </w:rPr>
        <w:t> </w:t>
      </w:r>
      <w:r>
        <w:rPr>
          <w:w w:val="110"/>
        </w:rPr>
        <w:t>de</w:t>
      </w:r>
      <w:r>
        <w:rPr>
          <w:spacing w:val="-4"/>
          <w:w w:val="110"/>
        </w:rPr>
        <w:t> </w:t>
      </w:r>
      <w:r>
        <w:rPr>
          <w:w w:val="110"/>
        </w:rPr>
        <w:t>libre</w:t>
      </w:r>
      <w:r>
        <w:rPr>
          <w:spacing w:val="-4"/>
          <w:w w:val="110"/>
        </w:rPr>
        <w:t> </w:t>
      </w:r>
      <w:r>
        <w:rPr>
          <w:w w:val="110"/>
        </w:rPr>
        <w:t>comercio</w:t>
      </w:r>
      <w:r>
        <w:rPr>
          <w:spacing w:val="-4"/>
          <w:w w:val="110"/>
        </w:rPr>
        <w:t> </w:t>
      </w:r>
      <w:r>
        <w:rPr>
          <w:w w:val="110"/>
        </w:rPr>
        <w:t>bilaterales</w:t>
      </w:r>
      <w:r>
        <w:rPr>
          <w:spacing w:val="-4"/>
          <w:w w:val="110"/>
        </w:rPr>
        <w:t> </w:t>
      </w:r>
      <w:r>
        <w:rPr>
          <w:w w:val="110"/>
        </w:rPr>
        <w:t>ya</w:t>
      </w:r>
      <w:r>
        <w:rPr>
          <w:spacing w:val="-4"/>
          <w:w w:val="110"/>
        </w:rPr>
        <w:t> </w:t>
      </w:r>
      <w:r>
        <w:rPr>
          <w:w w:val="110"/>
        </w:rPr>
        <w:t>firmados</w:t>
      </w:r>
      <w:r>
        <w:rPr>
          <w:spacing w:val="-4"/>
          <w:w w:val="110"/>
        </w:rPr>
        <w:t> </w:t>
      </w:r>
      <w:r>
        <w:rPr>
          <w:w w:val="110"/>
        </w:rPr>
        <w:t>(por</w:t>
      </w:r>
      <w:r>
        <w:rPr>
          <w:spacing w:val="-4"/>
          <w:w w:val="110"/>
        </w:rPr>
        <w:t> </w:t>
      </w:r>
      <w:r>
        <w:rPr>
          <w:w w:val="110"/>
        </w:rPr>
        <w:t>ejemplo</w:t>
      </w:r>
      <w:r>
        <w:rPr>
          <w:spacing w:val="-4"/>
          <w:w w:val="110"/>
        </w:rPr>
        <w:t> </w:t>
      </w:r>
      <w:r>
        <w:rPr>
          <w:w w:val="110"/>
        </w:rPr>
        <w:t>con Colombia, que entró en vigencia recién hacia 2012), provocaron de- cepción en muchos </w:t>
      </w:r>
      <w:r>
        <w:rPr>
          <w:spacing w:val="2"/>
          <w:w w:val="110"/>
        </w:rPr>
        <w:t> </w:t>
      </w:r>
      <w:r>
        <w:rPr>
          <w:w w:val="110"/>
        </w:rPr>
        <w:t>gobiernos.</w:t>
      </w:r>
    </w:p>
    <w:p>
      <w:pPr>
        <w:pStyle w:val="BodyText"/>
        <w:spacing w:before="5"/>
      </w:pPr>
    </w:p>
    <w:p>
      <w:pPr>
        <w:pStyle w:val="Heading6"/>
        <w:spacing w:line="244" w:lineRule="auto"/>
        <w:ind w:left="331" w:right="1408" w:hanging="1"/>
        <w:jc w:val="left"/>
      </w:pPr>
      <w:r>
        <w:rPr>
          <w:w w:val="130"/>
        </w:rPr>
        <w:t>oBaMa</w:t>
      </w:r>
      <w:r>
        <w:rPr>
          <w:spacing w:val="-46"/>
          <w:w w:val="130"/>
        </w:rPr>
        <w:t> </w:t>
      </w:r>
      <w:r>
        <w:rPr>
          <w:w w:val="130"/>
        </w:rPr>
        <w:t>y</w:t>
      </w:r>
      <w:r>
        <w:rPr>
          <w:spacing w:val="-46"/>
          <w:w w:val="130"/>
        </w:rPr>
        <w:t> </w:t>
      </w:r>
      <w:r>
        <w:rPr>
          <w:spacing w:val="3"/>
          <w:w w:val="130"/>
        </w:rPr>
        <w:t>la</w:t>
      </w:r>
      <w:r>
        <w:rPr>
          <w:spacing w:val="-46"/>
          <w:w w:val="130"/>
        </w:rPr>
        <w:t> </w:t>
      </w:r>
      <w:r>
        <w:rPr>
          <w:spacing w:val="2"/>
          <w:w w:val="130"/>
        </w:rPr>
        <w:t>decePción:</w:t>
      </w:r>
      <w:r>
        <w:rPr>
          <w:spacing w:val="-46"/>
          <w:w w:val="130"/>
        </w:rPr>
        <w:t> </w:t>
      </w:r>
      <w:r>
        <w:rPr>
          <w:spacing w:val="2"/>
          <w:w w:val="130"/>
        </w:rPr>
        <w:t>aMérica</w:t>
      </w:r>
      <w:r>
        <w:rPr>
          <w:spacing w:val="-46"/>
          <w:w w:val="130"/>
        </w:rPr>
        <w:t> </w:t>
      </w:r>
      <w:r>
        <w:rPr>
          <w:w w:val="130"/>
        </w:rPr>
        <w:t>latina</w:t>
      </w:r>
      <w:r>
        <w:rPr>
          <w:spacing w:val="-46"/>
          <w:w w:val="130"/>
        </w:rPr>
        <w:t> </w:t>
      </w:r>
      <w:r>
        <w:rPr>
          <w:spacing w:val="2"/>
          <w:w w:val="130"/>
        </w:rPr>
        <w:t>iMPone </w:t>
      </w:r>
      <w:r>
        <w:rPr>
          <w:spacing w:val="7"/>
          <w:w w:val="201"/>
        </w:rPr>
        <w:t>l</w:t>
      </w:r>
      <w:r>
        <w:rPr>
          <w:w w:val="129"/>
        </w:rPr>
        <w:t>a</w:t>
      </w:r>
      <w:r>
        <w:rPr>
          <w:spacing w:val="-8"/>
        </w:rPr>
        <w:t> </w:t>
      </w:r>
      <w:r>
        <w:rPr>
          <w:spacing w:val="1"/>
          <w:w w:val="129"/>
        </w:rPr>
        <w:t>a</w:t>
      </w:r>
      <w:r>
        <w:rPr>
          <w:spacing w:val="2"/>
          <w:w w:val="89"/>
        </w:rPr>
        <w:t>G</w:t>
      </w:r>
      <w:r>
        <w:rPr>
          <w:spacing w:val="3"/>
          <w:w w:val="134"/>
        </w:rPr>
        <w:t>e</w:t>
      </w:r>
      <w:r>
        <w:rPr>
          <w:spacing w:val="2"/>
          <w:w w:val="128"/>
        </w:rPr>
        <w:t>n</w:t>
      </w:r>
      <w:r>
        <w:rPr>
          <w:spacing w:val="1"/>
          <w:w w:val="130"/>
        </w:rPr>
        <w:t>d</w:t>
      </w:r>
      <w:r>
        <w:rPr>
          <w:w w:val="130"/>
        </w:rPr>
        <w:t>a</w:t>
      </w:r>
      <w:r>
        <w:rPr>
          <w:spacing w:val="-8"/>
        </w:rPr>
        <w:t> </w:t>
      </w:r>
      <w:r>
        <w:rPr>
          <w:spacing w:val="3"/>
          <w:w w:val="134"/>
        </w:rPr>
        <w:t>e</w:t>
      </w:r>
      <w:r>
        <w:rPr>
          <w:w w:val="128"/>
        </w:rPr>
        <w:t>n</w:t>
      </w:r>
      <w:r>
        <w:rPr>
          <w:spacing w:val="-8"/>
        </w:rPr>
        <w:t> </w:t>
      </w:r>
      <w:r>
        <w:rPr>
          <w:spacing w:val="7"/>
          <w:w w:val="201"/>
        </w:rPr>
        <w:t>l</w:t>
      </w:r>
      <w:r>
        <w:rPr>
          <w:w w:val="129"/>
        </w:rPr>
        <w:t>a</w:t>
      </w:r>
      <w:r>
        <w:rPr>
          <w:spacing w:val="-8"/>
        </w:rPr>
        <w:t> </w:t>
      </w:r>
      <w:r>
        <w:rPr>
          <w:spacing w:val="2"/>
          <w:w w:val="147"/>
        </w:rPr>
        <w:t>c</w:t>
      </w:r>
      <w:r>
        <w:rPr>
          <w:spacing w:val="2"/>
          <w:w w:val="131"/>
        </w:rPr>
        <w:t>u</w:t>
      </w:r>
      <w:r>
        <w:rPr>
          <w:spacing w:val="2"/>
          <w:w w:val="92"/>
        </w:rPr>
        <w:t>M</w:t>
      </w:r>
      <w:r>
        <w:rPr>
          <w:spacing w:val="1"/>
          <w:w w:val="96"/>
        </w:rPr>
        <w:t>B</w:t>
      </w:r>
      <w:r>
        <w:rPr>
          <w:spacing w:val="2"/>
          <w:w w:val="145"/>
        </w:rPr>
        <w:t>r</w:t>
      </w:r>
      <w:r>
        <w:rPr>
          <w:w w:val="134"/>
        </w:rPr>
        <w:t>e</w:t>
      </w:r>
      <w:r>
        <w:rPr>
          <w:spacing w:val="-8"/>
        </w:rPr>
        <w:t> </w:t>
      </w:r>
      <w:r>
        <w:rPr>
          <w:spacing w:val="2"/>
          <w:w w:val="131"/>
        </w:rPr>
        <w:t>d</w:t>
      </w:r>
      <w:r>
        <w:rPr>
          <w:w w:val="134"/>
        </w:rPr>
        <w:t>e</w:t>
      </w:r>
      <w:r>
        <w:rPr>
          <w:spacing w:val="-8"/>
        </w:rPr>
        <w:t> </w:t>
      </w:r>
      <w:r>
        <w:rPr>
          <w:spacing w:val="4"/>
          <w:w w:val="147"/>
        </w:rPr>
        <w:t>c</w:t>
      </w:r>
      <w:r>
        <w:rPr>
          <w:spacing w:val="2"/>
          <w:w w:val="129"/>
        </w:rPr>
        <w:t>a</w:t>
      </w:r>
      <w:r>
        <w:rPr>
          <w:spacing w:val="-1"/>
          <w:w w:val="145"/>
        </w:rPr>
        <w:t>r</w:t>
      </w:r>
      <w:r>
        <w:rPr>
          <w:spacing w:val="-10"/>
          <w:w w:val="180"/>
        </w:rPr>
        <w:t>t</w:t>
      </w:r>
      <w:r>
        <w:rPr>
          <w:spacing w:val="1"/>
          <w:w w:val="129"/>
        </w:rPr>
        <w:t>a</w:t>
      </w:r>
      <w:r>
        <w:rPr>
          <w:spacing w:val="2"/>
          <w:w w:val="89"/>
        </w:rPr>
        <w:t>G</w:t>
      </w:r>
      <w:r>
        <w:rPr>
          <w:spacing w:val="3"/>
          <w:w w:val="134"/>
        </w:rPr>
        <w:t>e</w:t>
      </w:r>
      <w:r>
        <w:rPr>
          <w:spacing w:val="-1"/>
          <w:w w:val="128"/>
        </w:rPr>
        <w:t>n</w:t>
      </w:r>
      <w:r>
        <w:rPr>
          <w:w w:val="129"/>
        </w:rPr>
        <w:t>a</w:t>
      </w:r>
    </w:p>
    <w:p>
      <w:pPr>
        <w:pStyle w:val="BodyText"/>
        <w:spacing w:line="252" w:lineRule="auto" w:before="5"/>
        <w:ind w:left="330" w:right="117"/>
        <w:jc w:val="both"/>
      </w:pPr>
      <w:r>
        <w:rPr>
          <w:w w:val="243"/>
        </w:rPr>
        <w:t>l</w:t>
      </w:r>
      <w:r>
        <w:rPr>
          <w:w w:val="112"/>
        </w:rPr>
        <w:t>a</w:t>
      </w:r>
      <w:r>
        <w:rPr>
          <w:spacing w:val="13"/>
        </w:rPr>
        <w:t> </w:t>
      </w:r>
      <w:r>
        <w:rPr>
          <w:w w:val="119"/>
        </w:rPr>
        <w:t>V</w:t>
      </w:r>
      <w:r>
        <w:rPr>
          <w:w w:val="142"/>
        </w:rPr>
        <w:t>i</w:t>
      </w:r>
      <w:r>
        <w:rPr>
          <w:spacing w:val="13"/>
        </w:rPr>
        <w:t> </w:t>
      </w:r>
      <w:r>
        <w:rPr>
          <w:w w:val="112"/>
        </w:rPr>
        <w:t>Cumbre</w:t>
      </w:r>
      <w:r>
        <w:rPr>
          <w:spacing w:val="13"/>
        </w:rPr>
        <w:t> </w:t>
      </w:r>
      <w:r>
        <w:rPr>
          <w:w w:val="107"/>
        </w:rPr>
        <w:t>de</w:t>
      </w:r>
      <w:r>
        <w:rPr>
          <w:spacing w:val="13"/>
        </w:rPr>
        <w:t> </w:t>
      </w:r>
      <w:r>
        <w:rPr>
          <w:w w:val="109"/>
        </w:rPr>
        <w:t>las</w:t>
      </w:r>
      <w:r>
        <w:rPr>
          <w:spacing w:val="13"/>
        </w:rPr>
        <w:t> </w:t>
      </w:r>
      <w:r>
        <w:rPr>
          <w:w w:val="139"/>
        </w:rPr>
        <w:t>a</w:t>
      </w:r>
      <w:r>
        <w:rPr>
          <w:w w:val="110"/>
        </w:rPr>
        <w:t>méricas</w:t>
      </w:r>
      <w:r>
        <w:rPr>
          <w:spacing w:val="13"/>
        </w:rPr>
        <w:t> </w:t>
      </w:r>
      <w:r>
        <w:rPr>
          <w:w w:val="105"/>
        </w:rPr>
        <w:t>se</w:t>
      </w:r>
      <w:r>
        <w:rPr>
          <w:spacing w:val="13"/>
        </w:rPr>
        <w:t> </w:t>
      </w:r>
      <w:r>
        <w:rPr>
          <w:w w:val="109"/>
        </w:rPr>
        <w:t>realizó</w:t>
      </w:r>
      <w:r>
        <w:rPr>
          <w:spacing w:val="13"/>
        </w:rPr>
        <w:t> </w:t>
      </w:r>
      <w:r>
        <w:rPr>
          <w:w w:val="108"/>
        </w:rPr>
        <w:t>en</w:t>
      </w:r>
      <w:r>
        <w:rPr>
          <w:spacing w:val="13"/>
        </w:rPr>
        <w:t> </w:t>
      </w:r>
      <w:r>
        <w:rPr>
          <w:w w:val="112"/>
        </w:rPr>
        <w:t>Cartagena,</w:t>
      </w:r>
      <w:r>
        <w:rPr>
          <w:spacing w:val="13"/>
        </w:rPr>
        <w:t> </w:t>
      </w:r>
      <w:r>
        <w:rPr>
          <w:w w:val="114"/>
        </w:rPr>
        <w:t>Colombia,</w:t>
      </w:r>
      <w:r>
        <w:rPr>
          <w:spacing w:val="13"/>
        </w:rPr>
        <w:t> </w:t>
      </w:r>
      <w:r>
        <w:rPr>
          <w:w w:val="108"/>
        </w:rPr>
        <w:t>los </w:t>
      </w:r>
      <w:r>
        <w:rPr>
          <w:w w:val="115"/>
        </w:rPr>
        <w:t>días 14 y 15 de abril de 2012. Para el gobierno estadounidense, la reunión</w:t>
      </w:r>
      <w:r>
        <w:rPr>
          <w:spacing w:val="-12"/>
          <w:w w:val="115"/>
        </w:rPr>
        <w:t> </w:t>
      </w:r>
      <w:r>
        <w:rPr>
          <w:w w:val="115"/>
        </w:rPr>
        <w:t>de</w:t>
      </w:r>
      <w:r>
        <w:rPr>
          <w:spacing w:val="-12"/>
          <w:w w:val="115"/>
        </w:rPr>
        <w:t> </w:t>
      </w:r>
      <w:r>
        <w:rPr>
          <w:w w:val="115"/>
        </w:rPr>
        <w:t>Cartagena</w:t>
      </w:r>
      <w:r>
        <w:rPr>
          <w:spacing w:val="-12"/>
          <w:w w:val="115"/>
        </w:rPr>
        <w:t> </w:t>
      </w:r>
      <w:r>
        <w:rPr>
          <w:w w:val="115"/>
        </w:rPr>
        <w:t>era</w:t>
      </w:r>
      <w:r>
        <w:rPr>
          <w:spacing w:val="-12"/>
          <w:w w:val="115"/>
        </w:rPr>
        <w:t> </w:t>
      </w:r>
      <w:r>
        <w:rPr>
          <w:w w:val="115"/>
        </w:rPr>
        <w:t>estratégica</w:t>
      </w:r>
      <w:r>
        <w:rPr>
          <w:spacing w:val="-12"/>
          <w:w w:val="115"/>
        </w:rPr>
        <w:t> </w:t>
      </w:r>
      <w:r>
        <w:rPr>
          <w:w w:val="115"/>
        </w:rPr>
        <w:t>porque</w:t>
      </w:r>
      <w:r>
        <w:rPr>
          <w:spacing w:val="-12"/>
          <w:w w:val="115"/>
        </w:rPr>
        <w:t> </w:t>
      </w:r>
      <w:r>
        <w:rPr>
          <w:w w:val="115"/>
        </w:rPr>
        <w:t>necesitaba</w:t>
      </w:r>
      <w:r>
        <w:rPr>
          <w:spacing w:val="-12"/>
          <w:w w:val="115"/>
        </w:rPr>
        <w:t> </w:t>
      </w:r>
      <w:r>
        <w:rPr>
          <w:w w:val="115"/>
        </w:rPr>
        <w:t>relanzar</w:t>
      </w:r>
      <w:r>
        <w:rPr>
          <w:spacing w:val="-12"/>
          <w:w w:val="115"/>
        </w:rPr>
        <w:t> </w:t>
      </w:r>
      <w:r>
        <w:rPr>
          <w:w w:val="115"/>
        </w:rPr>
        <w:t>las </w:t>
      </w:r>
      <w:r>
        <w:rPr>
          <w:w w:val="109"/>
        </w:rPr>
        <w:t>relaciones</w:t>
      </w:r>
      <w:r>
        <w:rPr>
          <w:spacing w:val="7"/>
        </w:rPr>
        <w:t> </w:t>
      </w:r>
      <w:r>
        <w:rPr>
          <w:w w:val="112"/>
        </w:rPr>
        <w:t>con</w:t>
      </w:r>
      <w:r>
        <w:rPr>
          <w:spacing w:val="7"/>
        </w:rPr>
        <w:t> </w:t>
      </w:r>
      <w:r>
        <w:rPr>
          <w:w w:val="139"/>
        </w:rPr>
        <w:t>a</w:t>
      </w:r>
      <w:r>
        <w:rPr>
          <w:w w:val="111"/>
        </w:rPr>
        <w:t>mérica</w:t>
      </w:r>
      <w:r>
        <w:rPr>
          <w:spacing w:val="7"/>
        </w:rPr>
        <w:t> </w:t>
      </w:r>
      <w:r>
        <w:rPr>
          <w:w w:val="243"/>
        </w:rPr>
        <w:t>l</w:t>
      </w:r>
      <w:r>
        <w:rPr>
          <w:w w:val="113"/>
        </w:rPr>
        <w:t>atina.</w:t>
      </w:r>
      <w:r>
        <w:rPr>
          <w:spacing w:val="7"/>
        </w:rPr>
        <w:t> </w:t>
      </w:r>
      <w:r>
        <w:rPr>
          <w:w w:val="120"/>
        </w:rPr>
        <w:t>En</w:t>
      </w:r>
      <w:r>
        <w:rPr>
          <w:spacing w:val="7"/>
        </w:rPr>
        <w:t> </w:t>
      </w:r>
      <w:r>
        <w:rPr>
          <w:w w:val="108"/>
        </w:rPr>
        <w:t>los</w:t>
      </w:r>
      <w:r>
        <w:rPr>
          <w:spacing w:val="7"/>
        </w:rPr>
        <w:t> </w:t>
      </w:r>
      <w:r>
        <w:rPr>
          <w:w w:val="111"/>
        </w:rPr>
        <w:t>últimos</w:t>
      </w:r>
      <w:r>
        <w:rPr>
          <w:spacing w:val="7"/>
        </w:rPr>
        <w:t> </w:t>
      </w:r>
      <w:r>
        <w:rPr>
          <w:w w:val="112"/>
        </w:rPr>
        <w:t>años,</w:t>
      </w:r>
      <w:r>
        <w:rPr>
          <w:spacing w:val="7"/>
        </w:rPr>
        <w:t> </w:t>
      </w:r>
      <w:r>
        <w:rPr>
          <w:w w:val="108"/>
        </w:rPr>
        <w:t>los</w:t>
      </w:r>
      <w:r>
        <w:rPr>
          <w:spacing w:val="7"/>
        </w:rPr>
        <w:t> </w:t>
      </w:r>
      <w:r>
        <w:rPr>
          <w:w w:val="108"/>
        </w:rPr>
        <w:t>países</w:t>
      </w:r>
      <w:r>
        <w:rPr>
          <w:spacing w:val="7"/>
        </w:rPr>
        <w:t> </w:t>
      </w:r>
      <w:r>
        <w:rPr>
          <w:w w:val="107"/>
        </w:rPr>
        <w:t>del</w:t>
      </w:r>
      <w:r>
        <w:rPr>
          <w:spacing w:val="7"/>
        </w:rPr>
        <w:t> </w:t>
      </w:r>
      <w:r>
        <w:rPr>
          <w:w w:val="149"/>
        </w:rPr>
        <w:t>s</w:t>
      </w:r>
      <w:r>
        <w:rPr>
          <w:w w:val="109"/>
        </w:rPr>
        <w:t>ur </w:t>
      </w:r>
      <w:r>
        <w:rPr>
          <w:w w:val="115"/>
        </w:rPr>
        <w:t>fueron</w:t>
      </w:r>
      <w:r>
        <w:rPr>
          <w:spacing w:val="-22"/>
          <w:w w:val="115"/>
        </w:rPr>
        <w:t> </w:t>
      </w:r>
      <w:r>
        <w:rPr>
          <w:w w:val="115"/>
        </w:rPr>
        <w:t>mostrando</w:t>
      </w:r>
      <w:r>
        <w:rPr>
          <w:spacing w:val="-22"/>
          <w:w w:val="115"/>
        </w:rPr>
        <w:t> </w:t>
      </w:r>
      <w:r>
        <w:rPr>
          <w:w w:val="115"/>
        </w:rPr>
        <w:t>una</w:t>
      </w:r>
      <w:r>
        <w:rPr>
          <w:spacing w:val="-22"/>
          <w:w w:val="115"/>
        </w:rPr>
        <w:t> </w:t>
      </w:r>
      <w:r>
        <w:rPr>
          <w:w w:val="115"/>
        </w:rPr>
        <w:t>creciente</w:t>
      </w:r>
      <w:r>
        <w:rPr>
          <w:spacing w:val="-22"/>
          <w:w w:val="115"/>
        </w:rPr>
        <w:t> </w:t>
      </w:r>
      <w:r>
        <w:rPr>
          <w:w w:val="115"/>
        </w:rPr>
        <w:t>reticencia</w:t>
      </w:r>
      <w:r>
        <w:rPr>
          <w:spacing w:val="-22"/>
          <w:w w:val="115"/>
        </w:rPr>
        <w:t> </w:t>
      </w:r>
      <w:r>
        <w:rPr>
          <w:w w:val="115"/>
        </w:rPr>
        <w:t>a</w:t>
      </w:r>
      <w:r>
        <w:rPr>
          <w:spacing w:val="-22"/>
          <w:w w:val="115"/>
        </w:rPr>
        <w:t> </w:t>
      </w:r>
      <w:r>
        <w:rPr>
          <w:w w:val="115"/>
        </w:rPr>
        <w:t>aceptar</w:t>
      </w:r>
      <w:r>
        <w:rPr>
          <w:spacing w:val="-22"/>
          <w:w w:val="115"/>
        </w:rPr>
        <w:t> </w:t>
      </w:r>
      <w:r>
        <w:rPr>
          <w:w w:val="115"/>
        </w:rPr>
        <w:t>los</w:t>
      </w:r>
      <w:r>
        <w:rPr>
          <w:spacing w:val="-22"/>
          <w:w w:val="115"/>
        </w:rPr>
        <w:t> </w:t>
      </w:r>
      <w:r>
        <w:rPr>
          <w:w w:val="115"/>
        </w:rPr>
        <w:t>mandatos</w:t>
      </w:r>
      <w:r>
        <w:rPr>
          <w:spacing w:val="-22"/>
          <w:w w:val="115"/>
        </w:rPr>
        <w:t> </w:t>
      </w:r>
      <w:r>
        <w:rPr>
          <w:w w:val="115"/>
        </w:rPr>
        <w:t>de Washington.</w:t>
      </w:r>
      <w:r>
        <w:rPr>
          <w:spacing w:val="-13"/>
          <w:w w:val="115"/>
        </w:rPr>
        <w:t> </w:t>
      </w:r>
      <w:r>
        <w:rPr>
          <w:spacing w:val="-9"/>
          <w:w w:val="115"/>
        </w:rPr>
        <w:t>Ya</w:t>
      </w:r>
      <w:r>
        <w:rPr>
          <w:spacing w:val="-13"/>
          <w:w w:val="115"/>
        </w:rPr>
        <w:t> </w:t>
      </w:r>
      <w:r>
        <w:rPr>
          <w:w w:val="115"/>
        </w:rPr>
        <w:t>sea</w:t>
      </w:r>
      <w:r>
        <w:rPr>
          <w:spacing w:val="-13"/>
          <w:w w:val="115"/>
        </w:rPr>
        <w:t> </w:t>
      </w:r>
      <w:r>
        <w:rPr>
          <w:w w:val="115"/>
        </w:rPr>
        <w:t>por</w:t>
      </w:r>
      <w:r>
        <w:rPr>
          <w:spacing w:val="-13"/>
          <w:w w:val="115"/>
        </w:rPr>
        <w:t> </w:t>
      </w:r>
      <w:r>
        <w:rPr>
          <w:w w:val="115"/>
        </w:rPr>
        <w:t>su</w:t>
      </w:r>
      <w:r>
        <w:rPr>
          <w:spacing w:val="-13"/>
          <w:w w:val="115"/>
        </w:rPr>
        <w:t> </w:t>
      </w:r>
      <w:r>
        <w:rPr>
          <w:w w:val="115"/>
        </w:rPr>
        <w:t>responsabilidad</w:t>
      </w:r>
      <w:r>
        <w:rPr>
          <w:spacing w:val="-13"/>
          <w:w w:val="115"/>
        </w:rPr>
        <w:t> </w:t>
      </w:r>
      <w:r>
        <w:rPr>
          <w:w w:val="115"/>
        </w:rPr>
        <w:t>en</w:t>
      </w:r>
      <w:r>
        <w:rPr>
          <w:spacing w:val="-13"/>
          <w:w w:val="115"/>
        </w:rPr>
        <w:t> </w:t>
      </w:r>
      <w:r>
        <w:rPr>
          <w:w w:val="115"/>
        </w:rPr>
        <w:t>la</w:t>
      </w:r>
      <w:r>
        <w:rPr>
          <w:spacing w:val="-13"/>
          <w:w w:val="115"/>
        </w:rPr>
        <w:t> </w:t>
      </w:r>
      <w:r>
        <w:rPr>
          <w:w w:val="115"/>
        </w:rPr>
        <w:t>crisis</w:t>
      </w:r>
      <w:r>
        <w:rPr>
          <w:spacing w:val="-13"/>
          <w:w w:val="115"/>
        </w:rPr>
        <w:t> </w:t>
      </w:r>
      <w:r>
        <w:rPr>
          <w:w w:val="115"/>
        </w:rPr>
        <w:t>financiera</w:t>
      </w:r>
      <w:r>
        <w:rPr>
          <w:spacing w:val="-13"/>
          <w:w w:val="115"/>
        </w:rPr>
        <w:t> </w:t>
      </w:r>
      <w:r>
        <w:rPr>
          <w:w w:val="115"/>
        </w:rPr>
        <w:t>ini- ciada</w:t>
      </w:r>
      <w:r>
        <w:rPr>
          <w:spacing w:val="-6"/>
          <w:w w:val="115"/>
        </w:rPr>
        <w:t> </w:t>
      </w:r>
      <w:r>
        <w:rPr>
          <w:w w:val="115"/>
        </w:rPr>
        <w:t>en</w:t>
      </w:r>
      <w:r>
        <w:rPr>
          <w:spacing w:val="-6"/>
          <w:w w:val="115"/>
        </w:rPr>
        <w:t> </w:t>
      </w:r>
      <w:r>
        <w:rPr>
          <w:w w:val="115"/>
        </w:rPr>
        <w:t>2008,</w:t>
      </w:r>
      <w:r>
        <w:rPr>
          <w:spacing w:val="-6"/>
          <w:w w:val="115"/>
        </w:rPr>
        <w:t> </w:t>
      </w:r>
      <w:r>
        <w:rPr>
          <w:w w:val="115"/>
        </w:rPr>
        <w:t>la</w:t>
      </w:r>
      <w:r>
        <w:rPr>
          <w:spacing w:val="-6"/>
          <w:w w:val="115"/>
        </w:rPr>
        <w:t> </w:t>
      </w:r>
      <w:r>
        <w:rPr>
          <w:w w:val="115"/>
        </w:rPr>
        <w:t>persistencia</w:t>
      </w:r>
      <w:r>
        <w:rPr>
          <w:spacing w:val="-6"/>
          <w:w w:val="115"/>
        </w:rPr>
        <w:t> </w:t>
      </w:r>
      <w:r>
        <w:rPr>
          <w:w w:val="115"/>
        </w:rPr>
        <w:t>de</w:t>
      </w:r>
      <w:r>
        <w:rPr>
          <w:spacing w:val="-6"/>
          <w:w w:val="115"/>
        </w:rPr>
        <w:t> </w:t>
      </w:r>
      <w:r>
        <w:rPr>
          <w:w w:val="115"/>
        </w:rPr>
        <w:t>las</w:t>
      </w:r>
      <w:r>
        <w:rPr>
          <w:spacing w:val="-6"/>
          <w:w w:val="115"/>
        </w:rPr>
        <w:t> </w:t>
      </w:r>
      <w:r>
        <w:rPr>
          <w:w w:val="115"/>
        </w:rPr>
        <w:t>sanciones</w:t>
      </w:r>
      <w:r>
        <w:rPr>
          <w:spacing w:val="-6"/>
          <w:w w:val="115"/>
        </w:rPr>
        <w:t> </w:t>
      </w:r>
      <w:r>
        <w:rPr>
          <w:w w:val="115"/>
        </w:rPr>
        <w:t>contra</w:t>
      </w:r>
      <w:r>
        <w:rPr>
          <w:spacing w:val="-6"/>
          <w:w w:val="115"/>
        </w:rPr>
        <w:t> </w:t>
      </w:r>
      <w:r>
        <w:rPr>
          <w:w w:val="115"/>
        </w:rPr>
        <w:t>Cuba,</w:t>
      </w:r>
      <w:r>
        <w:rPr>
          <w:spacing w:val="-6"/>
          <w:w w:val="115"/>
        </w:rPr>
        <w:t> </w:t>
      </w:r>
      <w:r>
        <w:rPr>
          <w:w w:val="115"/>
        </w:rPr>
        <w:t>las</w:t>
      </w:r>
      <w:r>
        <w:rPr>
          <w:spacing w:val="-6"/>
          <w:w w:val="115"/>
        </w:rPr>
        <w:t> </w:t>
      </w:r>
      <w:r>
        <w:rPr>
          <w:w w:val="115"/>
        </w:rPr>
        <w:t>polí- ticas</w:t>
      </w:r>
      <w:r>
        <w:rPr>
          <w:spacing w:val="-6"/>
          <w:w w:val="115"/>
        </w:rPr>
        <w:t> </w:t>
      </w:r>
      <w:r>
        <w:rPr>
          <w:w w:val="115"/>
        </w:rPr>
        <w:t>duras</w:t>
      </w:r>
      <w:r>
        <w:rPr>
          <w:spacing w:val="-6"/>
          <w:w w:val="115"/>
        </w:rPr>
        <w:t> </w:t>
      </w:r>
      <w:r>
        <w:rPr>
          <w:w w:val="115"/>
        </w:rPr>
        <w:t>contra</w:t>
      </w:r>
      <w:r>
        <w:rPr>
          <w:spacing w:val="-6"/>
          <w:w w:val="115"/>
        </w:rPr>
        <w:t> </w:t>
      </w:r>
      <w:r>
        <w:rPr>
          <w:w w:val="115"/>
        </w:rPr>
        <w:t>los</w:t>
      </w:r>
      <w:r>
        <w:rPr>
          <w:spacing w:val="-6"/>
          <w:w w:val="115"/>
        </w:rPr>
        <w:t> </w:t>
      </w:r>
      <w:r>
        <w:rPr>
          <w:w w:val="115"/>
        </w:rPr>
        <w:t>inmigrantes</w:t>
      </w:r>
      <w:r>
        <w:rPr>
          <w:spacing w:val="-6"/>
          <w:w w:val="115"/>
        </w:rPr>
        <w:t> </w:t>
      </w:r>
      <w:r>
        <w:rPr>
          <w:w w:val="115"/>
        </w:rPr>
        <w:t>latinos</w:t>
      </w:r>
      <w:r>
        <w:rPr>
          <w:spacing w:val="-6"/>
          <w:w w:val="115"/>
        </w:rPr>
        <w:t> </w:t>
      </w:r>
      <w:r>
        <w:rPr>
          <w:w w:val="115"/>
        </w:rPr>
        <w:t>–incluyendo</w:t>
      </w:r>
      <w:r>
        <w:rPr>
          <w:spacing w:val="-6"/>
          <w:w w:val="115"/>
        </w:rPr>
        <w:t> </w:t>
      </w:r>
      <w:r>
        <w:rPr>
          <w:w w:val="115"/>
        </w:rPr>
        <w:t>el</w:t>
      </w:r>
      <w:r>
        <w:rPr>
          <w:spacing w:val="-6"/>
          <w:w w:val="115"/>
        </w:rPr>
        <w:t> </w:t>
      </w:r>
      <w:r>
        <w:rPr>
          <w:w w:val="115"/>
        </w:rPr>
        <w:t>muro</w:t>
      </w:r>
      <w:r>
        <w:rPr>
          <w:spacing w:val="-6"/>
          <w:w w:val="115"/>
        </w:rPr>
        <w:t> </w:t>
      </w:r>
      <w:r>
        <w:rPr>
          <w:w w:val="115"/>
        </w:rPr>
        <w:t>en</w:t>
      </w:r>
      <w:r>
        <w:rPr>
          <w:spacing w:val="-6"/>
          <w:w w:val="115"/>
        </w:rPr>
        <w:t> </w:t>
      </w:r>
      <w:r>
        <w:rPr>
          <w:w w:val="115"/>
        </w:rPr>
        <w:t>la frontera con México–, las restricciones al ingreso de las</w:t>
      </w:r>
      <w:r>
        <w:rPr>
          <w:spacing w:val="-5"/>
          <w:w w:val="115"/>
        </w:rPr>
        <w:t> </w:t>
      </w:r>
      <w:r>
        <w:rPr>
          <w:w w:val="115"/>
        </w:rPr>
        <w:t>exportacio- nes</w:t>
      </w:r>
      <w:r>
        <w:rPr>
          <w:spacing w:val="-23"/>
          <w:w w:val="115"/>
        </w:rPr>
        <w:t> </w:t>
      </w:r>
      <w:r>
        <w:rPr>
          <w:w w:val="115"/>
        </w:rPr>
        <w:t>latinoamericanas</w:t>
      </w:r>
      <w:r>
        <w:rPr>
          <w:spacing w:val="-23"/>
          <w:w w:val="115"/>
        </w:rPr>
        <w:t> </w:t>
      </w:r>
      <w:r>
        <w:rPr>
          <w:w w:val="115"/>
        </w:rPr>
        <w:t>(vía</w:t>
      </w:r>
      <w:r>
        <w:rPr>
          <w:spacing w:val="-23"/>
          <w:w w:val="115"/>
        </w:rPr>
        <w:t> </w:t>
      </w:r>
      <w:r>
        <w:rPr>
          <w:w w:val="115"/>
        </w:rPr>
        <w:t>subsidios</w:t>
      </w:r>
      <w:r>
        <w:rPr>
          <w:spacing w:val="-23"/>
          <w:w w:val="115"/>
        </w:rPr>
        <w:t> </w:t>
      </w:r>
      <w:r>
        <w:rPr>
          <w:w w:val="115"/>
        </w:rPr>
        <w:t>y</w:t>
      </w:r>
      <w:r>
        <w:rPr>
          <w:spacing w:val="-23"/>
          <w:w w:val="115"/>
        </w:rPr>
        <w:t> </w:t>
      </w:r>
      <w:r>
        <w:rPr>
          <w:w w:val="115"/>
        </w:rPr>
        <w:t>otros</w:t>
      </w:r>
      <w:r>
        <w:rPr>
          <w:spacing w:val="-23"/>
          <w:w w:val="115"/>
        </w:rPr>
        <w:t> </w:t>
      </w:r>
      <w:r>
        <w:rPr>
          <w:w w:val="115"/>
        </w:rPr>
        <w:t>mecanismos</w:t>
      </w:r>
      <w:r>
        <w:rPr>
          <w:spacing w:val="-23"/>
          <w:w w:val="115"/>
        </w:rPr>
        <w:t> </w:t>
      </w:r>
      <w:r>
        <w:rPr>
          <w:w w:val="115"/>
        </w:rPr>
        <w:t>paraarance- larios), o el histórico intervencionismo (actualizado tras el golpe</w:t>
      </w:r>
      <w:r>
        <w:rPr>
          <w:spacing w:val="-22"/>
          <w:w w:val="115"/>
        </w:rPr>
        <w:t> </w:t>
      </w:r>
      <w:r>
        <w:rPr>
          <w:w w:val="115"/>
        </w:rPr>
        <w:t>de Honduras</w:t>
      </w:r>
      <w:r>
        <w:rPr>
          <w:spacing w:val="-22"/>
          <w:w w:val="115"/>
        </w:rPr>
        <w:t> </w:t>
      </w:r>
      <w:r>
        <w:rPr>
          <w:w w:val="115"/>
        </w:rPr>
        <w:t>a</w:t>
      </w:r>
      <w:r>
        <w:rPr>
          <w:spacing w:val="-22"/>
          <w:w w:val="115"/>
        </w:rPr>
        <w:t> </w:t>
      </w:r>
      <w:r>
        <w:rPr>
          <w:w w:val="115"/>
        </w:rPr>
        <w:t>mediados</w:t>
      </w:r>
      <w:r>
        <w:rPr>
          <w:spacing w:val="-22"/>
          <w:w w:val="115"/>
        </w:rPr>
        <w:t> </w:t>
      </w:r>
      <w:r>
        <w:rPr>
          <w:w w:val="115"/>
        </w:rPr>
        <w:t>de</w:t>
      </w:r>
      <w:r>
        <w:rPr>
          <w:spacing w:val="-22"/>
          <w:w w:val="115"/>
        </w:rPr>
        <w:t> </w:t>
      </w:r>
      <w:r>
        <w:rPr>
          <w:w w:val="115"/>
        </w:rPr>
        <w:t>2009),</w:t>
      </w:r>
      <w:r>
        <w:rPr>
          <w:spacing w:val="-22"/>
          <w:w w:val="115"/>
        </w:rPr>
        <w:t> </w:t>
      </w:r>
      <w:r>
        <w:rPr>
          <w:w w:val="115"/>
        </w:rPr>
        <w:t>persistía</w:t>
      </w:r>
      <w:r>
        <w:rPr>
          <w:spacing w:val="-22"/>
          <w:w w:val="115"/>
        </w:rPr>
        <w:t> </w:t>
      </w:r>
      <w:r>
        <w:rPr>
          <w:w w:val="115"/>
        </w:rPr>
        <w:t>un</w:t>
      </w:r>
      <w:r>
        <w:rPr>
          <w:spacing w:val="-22"/>
          <w:w w:val="115"/>
        </w:rPr>
        <w:t> </w:t>
      </w:r>
      <w:r>
        <w:rPr>
          <w:w w:val="115"/>
        </w:rPr>
        <w:t>generalizado</w:t>
      </w:r>
      <w:r>
        <w:rPr>
          <w:spacing w:val="-22"/>
          <w:w w:val="115"/>
        </w:rPr>
        <w:t> </w:t>
      </w:r>
      <w:r>
        <w:rPr>
          <w:w w:val="115"/>
        </w:rPr>
        <w:t>sentimien- to</w:t>
      </w:r>
      <w:r>
        <w:rPr>
          <w:spacing w:val="-10"/>
          <w:w w:val="115"/>
        </w:rPr>
        <w:t> </w:t>
      </w:r>
      <w:r>
        <w:rPr>
          <w:i/>
          <w:w w:val="115"/>
        </w:rPr>
        <w:t>antiyanqui</w:t>
      </w:r>
      <w:r>
        <w:rPr>
          <w:i/>
          <w:spacing w:val="-10"/>
          <w:w w:val="115"/>
        </w:rPr>
        <w:t> </w:t>
      </w:r>
      <w:r>
        <w:rPr>
          <w:w w:val="115"/>
        </w:rPr>
        <w:t>que</w:t>
      </w:r>
      <w:r>
        <w:rPr>
          <w:spacing w:val="-10"/>
          <w:w w:val="115"/>
        </w:rPr>
        <w:t> </w:t>
      </w:r>
      <w:r>
        <w:rPr>
          <w:w w:val="115"/>
        </w:rPr>
        <w:t>había</w:t>
      </w:r>
      <w:r>
        <w:rPr>
          <w:spacing w:val="-10"/>
          <w:w w:val="115"/>
        </w:rPr>
        <w:t> </w:t>
      </w:r>
      <w:r>
        <w:rPr>
          <w:w w:val="115"/>
        </w:rPr>
        <w:t>alcanzado</w:t>
      </w:r>
      <w:r>
        <w:rPr>
          <w:spacing w:val="-10"/>
          <w:w w:val="115"/>
        </w:rPr>
        <w:t> </w:t>
      </w:r>
      <w:r>
        <w:rPr>
          <w:w w:val="115"/>
        </w:rPr>
        <w:t>su</w:t>
      </w:r>
      <w:r>
        <w:rPr>
          <w:spacing w:val="-10"/>
          <w:w w:val="115"/>
        </w:rPr>
        <w:t> </w:t>
      </w:r>
      <w:r>
        <w:rPr>
          <w:w w:val="115"/>
        </w:rPr>
        <w:t>auge</w:t>
      </w:r>
      <w:r>
        <w:rPr>
          <w:spacing w:val="-10"/>
          <w:w w:val="115"/>
        </w:rPr>
        <w:t> </w:t>
      </w:r>
      <w:r>
        <w:rPr>
          <w:w w:val="115"/>
        </w:rPr>
        <w:t>durante</w:t>
      </w:r>
      <w:r>
        <w:rPr>
          <w:spacing w:val="-10"/>
          <w:w w:val="115"/>
        </w:rPr>
        <w:t> </w:t>
      </w:r>
      <w:r>
        <w:rPr>
          <w:w w:val="115"/>
        </w:rPr>
        <w:t>la</w:t>
      </w:r>
      <w:r>
        <w:rPr>
          <w:spacing w:val="-10"/>
          <w:w w:val="115"/>
        </w:rPr>
        <w:t> </w:t>
      </w:r>
      <w:r>
        <w:rPr>
          <w:w w:val="115"/>
        </w:rPr>
        <w:t>presidencia</w:t>
      </w:r>
      <w:r>
        <w:rPr>
          <w:spacing w:val="-10"/>
          <w:w w:val="115"/>
        </w:rPr>
        <w:t> </w:t>
      </w:r>
      <w:r>
        <w:rPr>
          <w:w w:val="115"/>
        </w:rPr>
        <w:t>de George</w:t>
      </w:r>
      <w:r>
        <w:rPr>
          <w:spacing w:val="-21"/>
          <w:w w:val="115"/>
        </w:rPr>
        <w:t> </w:t>
      </w:r>
      <w:r>
        <w:rPr>
          <w:spacing w:val="-11"/>
          <w:w w:val="115"/>
        </w:rPr>
        <w:t>W.</w:t>
      </w:r>
      <w:r>
        <w:rPr>
          <w:spacing w:val="-21"/>
          <w:w w:val="115"/>
        </w:rPr>
        <w:t> </w:t>
      </w:r>
      <w:r>
        <w:rPr>
          <w:w w:val="115"/>
        </w:rPr>
        <w:t>bush,</w:t>
      </w:r>
      <w:r>
        <w:rPr>
          <w:spacing w:val="-21"/>
          <w:w w:val="115"/>
        </w:rPr>
        <w:t> </w:t>
      </w:r>
      <w:r>
        <w:rPr>
          <w:w w:val="115"/>
        </w:rPr>
        <w:t>pero</w:t>
      </w:r>
      <w:r>
        <w:rPr>
          <w:spacing w:val="-21"/>
          <w:w w:val="115"/>
        </w:rPr>
        <w:t> </w:t>
      </w:r>
      <w:r>
        <w:rPr>
          <w:w w:val="115"/>
        </w:rPr>
        <w:t>que</w:t>
      </w:r>
      <w:r>
        <w:rPr>
          <w:spacing w:val="-21"/>
          <w:w w:val="115"/>
        </w:rPr>
        <w:t> </w:t>
      </w:r>
      <w:r>
        <w:rPr>
          <w:w w:val="115"/>
        </w:rPr>
        <w:t>no</w:t>
      </w:r>
      <w:r>
        <w:rPr>
          <w:spacing w:val="-21"/>
          <w:w w:val="115"/>
        </w:rPr>
        <w:t> </w:t>
      </w:r>
      <w:r>
        <w:rPr>
          <w:w w:val="115"/>
        </w:rPr>
        <w:t>desaparecía</w:t>
      </w:r>
      <w:r>
        <w:rPr>
          <w:spacing w:val="-21"/>
          <w:w w:val="115"/>
        </w:rPr>
        <w:t> </w:t>
      </w:r>
      <w:r>
        <w:rPr>
          <w:w w:val="115"/>
        </w:rPr>
        <w:t>(Morgenfeld,</w:t>
      </w:r>
      <w:r>
        <w:rPr>
          <w:spacing w:val="-21"/>
          <w:w w:val="115"/>
        </w:rPr>
        <w:t> </w:t>
      </w:r>
      <w:r>
        <w:rPr>
          <w:w w:val="115"/>
        </w:rPr>
        <w:t>2014b).</w:t>
      </w:r>
    </w:p>
    <w:p>
      <w:pPr>
        <w:pStyle w:val="BodyText"/>
        <w:spacing w:line="252" w:lineRule="auto"/>
        <w:ind w:left="330" w:right="116" w:firstLine="396"/>
        <w:jc w:val="both"/>
      </w:pPr>
      <w:r>
        <w:rPr>
          <w:w w:val="110"/>
        </w:rPr>
        <w:t>En su intervención en la Cumbre de 2009, como describimos más arriba, obama había realizado un primer intento por afianzar los la- zos interamericanos después del traspié de bush en Mar del Plata, y ahuyentar los temores derivados de las agresivas políticas militaristas de su antecesor. El segundo intento se produjo en la gira presidencial de marzo de 2011 por brasil, Chile y El salvador. Pero allí sólo hubo anuncios acotados, relativos a intercambios académicos, y ninguna</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7"/>
        <w:jc w:val="both"/>
      </w:pPr>
      <w:r>
        <w:rPr>
          <w:w w:val="110"/>
        </w:rPr>
        <w:t>mención a las concesiones comerciales reclamadas, por ejemplo, por brasil. El tercer intento del líder demócrata fue precisamente en el cónclave de Cartagena. Esta  reunión  crucial  se  dio  en  el  contexto de un constante retroceso del comercio entre Estados unidos y sus vecinos del sur (del total de las importaciones estadounidenses, las  de origen latinoamericano disminuyeron del 51 al 33% entre 2000 y </w:t>
      </w:r>
      <w:r>
        <w:rPr>
          <w:w w:val="102"/>
        </w:rPr>
        <w:t>2011)</w:t>
      </w:r>
      <w:r>
        <w:rPr/>
        <w:t> </w:t>
      </w:r>
      <w:r>
        <w:rPr>
          <w:spacing w:val="-2"/>
        </w:rPr>
        <w:t> </w:t>
      </w:r>
      <w:r>
        <w:rPr>
          <w:w w:val="98"/>
        </w:rPr>
        <w:t>(</w:t>
      </w:r>
      <w:r>
        <w:rPr>
          <w:w w:val="149"/>
        </w:rPr>
        <w:t>o</w:t>
      </w:r>
      <w:r>
        <w:rPr>
          <w:w w:val="109"/>
        </w:rPr>
        <w:t>ppenheime</w:t>
      </w:r>
      <w:r>
        <w:rPr>
          <w:spacing w:val="-21"/>
          <w:w w:val="105"/>
        </w:rPr>
        <w:t>r</w:t>
      </w:r>
      <w:r>
        <w:rPr>
          <w:w w:val="138"/>
        </w:rPr>
        <w:t>,</w:t>
      </w:r>
      <w:r>
        <w:rPr/>
        <w:t> </w:t>
      </w:r>
      <w:r>
        <w:rPr>
          <w:spacing w:val="-2"/>
        </w:rPr>
        <w:t> </w:t>
      </w:r>
      <w:r>
        <w:rPr>
          <w:w w:val="104"/>
        </w:rPr>
        <w:t>2012).</w:t>
      </w:r>
      <w:r>
        <w:rPr/>
        <w:t> </w:t>
      </w:r>
      <w:r>
        <w:rPr>
          <w:spacing w:val="-2"/>
        </w:rPr>
        <w:t> </w:t>
      </w:r>
      <w:r>
        <w:rPr>
          <w:w w:val="243"/>
        </w:rPr>
        <w:t>l</w:t>
      </w:r>
      <w:r>
        <w:rPr>
          <w:w w:val="112"/>
        </w:rPr>
        <w:t>a</w:t>
      </w:r>
      <w:r>
        <w:rPr/>
        <w:t> </w:t>
      </w:r>
      <w:r>
        <w:rPr>
          <w:spacing w:val="-2"/>
        </w:rPr>
        <w:t> </w:t>
      </w:r>
      <w:r>
        <w:rPr>
          <w:w w:val="110"/>
        </w:rPr>
        <w:t>contracara</w:t>
      </w:r>
      <w:r>
        <w:rPr/>
        <w:t> </w:t>
      </w:r>
      <w:r>
        <w:rPr>
          <w:spacing w:val="-2"/>
        </w:rPr>
        <w:t> </w:t>
      </w:r>
      <w:r>
        <w:rPr>
          <w:w w:val="107"/>
        </w:rPr>
        <w:t>era</w:t>
      </w:r>
      <w:r>
        <w:rPr/>
        <w:t> </w:t>
      </w:r>
      <w:r>
        <w:rPr>
          <w:spacing w:val="-2"/>
        </w:rPr>
        <w:t> </w:t>
      </w:r>
      <w:r>
        <w:rPr>
          <w:w w:val="107"/>
        </w:rPr>
        <w:t>el</w:t>
      </w:r>
      <w:r>
        <w:rPr/>
        <w:t> </w:t>
      </w:r>
      <w:r>
        <w:rPr>
          <w:spacing w:val="-2"/>
        </w:rPr>
        <w:t> </w:t>
      </w:r>
      <w:r>
        <w:rPr>
          <w:w w:val="109"/>
        </w:rPr>
        <w:t>avance</w:t>
      </w:r>
      <w:r>
        <w:rPr/>
        <w:t> </w:t>
      </w:r>
      <w:r>
        <w:rPr>
          <w:spacing w:val="-2"/>
        </w:rPr>
        <w:t> </w:t>
      </w:r>
      <w:r>
        <w:rPr>
          <w:w w:val="107"/>
        </w:rPr>
        <w:t>de</w:t>
      </w:r>
      <w:r>
        <w:rPr/>
        <w:t> </w:t>
      </w:r>
      <w:r>
        <w:rPr>
          <w:spacing w:val="-2"/>
        </w:rPr>
        <w:t> </w:t>
      </w:r>
      <w:r>
        <w:rPr>
          <w:w w:val="117"/>
        </w:rPr>
        <w:t>China, </w:t>
      </w:r>
      <w:r>
        <w:rPr>
          <w:w w:val="110"/>
        </w:rPr>
        <w:t>constituido en un socio comercial fundamental para los principales países de la región además de un creciente inversor; para 2020 la </w:t>
      </w:r>
      <w:r>
        <w:rPr>
          <w:spacing w:val="-3"/>
          <w:w w:val="150"/>
        </w:rPr>
        <w:t>CEPal </w:t>
      </w:r>
      <w:r>
        <w:rPr>
          <w:w w:val="110"/>
        </w:rPr>
        <w:t>calcula que el 20% de las exportaciones latinoamericanas se dirigirán hacia el gigante asiático. Esto ha producido cambios signi- ficativos en la relación de Estados unidos con lo que históricamente consideró su </w:t>
      </w:r>
      <w:r>
        <w:rPr>
          <w:i/>
          <w:w w:val="110"/>
        </w:rPr>
        <w:t>patio</w:t>
      </w:r>
      <w:r>
        <w:rPr>
          <w:i/>
          <w:spacing w:val="-6"/>
          <w:w w:val="110"/>
        </w:rPr>
        <w:t> </w:t>
      </w:r>
      <w:r>
        <w:rPr>
          <w:i/>
          <w:w w:val="110"/>
        </w:rPr>
        <w:t>trasero</w:t>
      </w:r>
      <w:r>
        <w:rPr>
          <w:w w:val="110"/>
        </w:rPr>
        <w:t>.</w:t>
      </w:r>
    </w:p>
    <w:p>
      <w:pPr>
        <w:pStyle w:val="BodyText"/>
        <w:spacing w:line="252" w:lineRule="auto"/>
        <w:ind w:left="120" w:right="328" w:firstLine="396"/>
        <w:jc w:val="both"/>
      </w:pPr>
      <w:r>
        <w:rPr>
          <w:w w:val="110"/>
        </w:rPr>
        <w:t>¿Cuáles eran las necesidades geoestratégicas del departamento de Estado para la reunión de Cartagena? alentar la </w:t>
      </w:r>
      <w:r>
        <w:rPr>
          <w:i/>
          <w:w w:val="110"/>
        </w:rPr>
        <w:t>balcanización </w:t>
      </w:r>
      <w:r>
        <w:rPr>
          <w:w w:val="110"/>
        </w:rPr>
        <w:t>la- tinoamericana –ninguneando organismos como la </w:t>
      </w:r>
      <w:r>
        <w:rPr>
          <w:w w:val="125"/>
        </w:rPr>
        <w:t>CElaC </w:t>
      </w:r>
      <w:r>
        <w:rPr>
          <w:w w:val="110"/>
        </w:rPr>
        <w:t>y tratando de reposicionar a la oEa–; morigerar el avance chino, ruso, indio e iraní –el énfasis estaba puesto en los crecientes vínculos del por en- tonces presidente iraní Mahmud ahmadinejad con Venezuela, Cuba, Nicaragua y Ecuador (Klich, 2010)– y debilitar el eje bolivariano –la estrategia de la Casa blanca incluía una aproximación a brasil y </w:t>
      </w:r>
      <w:r>
        <w:rPr>
          <w:spacing w:val="-5"/>
          <w:w w:val="110"/>
        </w:rPr>
        <w:t>ar- </w:t>
      </w:r>
      <w:r>
        <w:rPr>
          <w:w w:val="110"/>
        </w:rPr>
        <w:t>gentina para intentar contener la influencia de Chávez en la región</w:t>
      </w:r>
      <w:r>
        <w:rPr>
          <w:w w:val="110"/>
          <w:position w:val="6"/>
          <w:sz w:val="11"/>
        </w:rPr>
        <w:t>24</w:t>
      </w:r>
      <w:r>
        <w:rPr>
          <w:w w:val="110"/>
        </w:rPr>
        <w:t>. Pero también existían necesidades económicas, potenciadas por la</w:t>
      </w:r>
      <w:r>
        <w:rPr>
          <w:spacing w:val="-22"/>
          <w:w w:val="110"/>
        </w:rPr>
        <w:t> </w:t>
      </w:r>
      <w:r>
        <w:rPr>
          <w:w w:val="110"/>
        </w:rPr>
        <w:t>cri- sis estadounidense, que llevó el desempleo al 9%. Como señaló obama en reiteradas oportunidades, un objetivo de su política exterior es ex- </w:t>
      </w:r>
      <w:r>
        <w:rPr>
          <w:w w:val="108"/>
        </w:rPr>
        <w:t>portar</w:t>
      </w:r>
      <w:r>
        <w:rPr>
          <w:spacing w:val="6"/>
        </w:rPr>
        <w:t> </w:t>
      </w:r>
      <w:r>
        <w:rPr>
          <w:w w:val="111"/>
        </w:rPr>
        <w:t>más</w:t>
      </w:r>
      <w:r>
        <w:rPr>
          <w:spacing w:val="6"/>
        </w:rPr>
        <w:t> </w:t>
      </w:r>
      <w:r>
        <w:rPr>
          <w:w w:val="113"/>
        </w:rPr>
        <w:t>hacia</w:t>
      </w:r>
      <w:r>
        <w:rPr>
          <w:spacing w:val="6"/>
        </w:rPr>
        <w:t> </w:t>
      </w:r>
      <w:r>
        <w:rPr>
          <w:w w:val="139"/>
        </w:rPr>
        <w:t>a</w:t>
      </w:r>
      <w:r>
        <w:rPr>
          <w:w w:val="111"/>
        </w:rPr>
        <w:t>mérica</w:t>
      </w:r>
      <w:r>
        <w:rPr>
          <w:spacing w:val="6"/>
        </w:rPr>
        <w:t> </w:t>
      </w:r>
      <w:r>
        <w:rPr>
          <w:w w:val="243"/>
        </w:rPr>
        <w:t>l</w:t>
      </w:r>
      <w:r>
        <w:rPr>
          <w:w w:val="113"/>
        </w:rPr>
        <w:t>atina,</w:t>
      </w:r>
      <w:r>
        <w:rPr>
          <w:spacing w:val="6"/>
        </w:rPr>
        <w:t> </w:t>
      </w:r>
      <w:r>
        <w:rPr>
          <w:w w:val="109"/>
        </w:rPr>
        <w:t>para</w:t>
      </w:r>
      <w:r>
        <w:rPr>
          <w:spacing w:val="6"/>
        </w:rPr>
        <w:t> </w:t>
      </w:r>
      <w:r>
        <w:rPr>
          <w:w w:val="109"/>
        </w:rPr>
        <w:t>ayudar</w:t>
      </w:r>
      <w:r>
        <w:rPr>
          <w:spacing w:val="6"/>
        </w:rPr>
        <w:t> </w:t>
      </w:r>
      <w:r>
        <w:rPr>
          <w:w w:val="112"/>
        </w:rPr>
        <w:t>a</w:t>
      </w:r>
      <w:r>
        <w:rPr>
          <w:spacing w:val="6"/>
        </w:rPr>
        <w:t> </w:t>
      </w:r>
      <w:r>
        <w:rPr>
          <w:w w:val="109"/>
        </w:rPr>
        <w:t>equilibrar</w:t>
      </w:r>
      <w:r>
        <w:rPr>
          <w:spacing w:val="6"/>
        </w:rPr>
        <w:t> </w:t>
      </w:r>
      <w:r>
        <w:rPr>
          <w:w w:val="111"/>
        </w:rPr>
        <w:t>la</w:t>
      </w:r>
      <w:r>
        <w:rPr>
          <w:spacing w:val="6"/>
        </w:rPr>
        <w:t> </w:t>
      </w:r>
      <w:r>
        <w:rPr>
          <w:w w:val="112"/>
        </w:rPr>
        <w:t>cada</w:t>
      </w:r>
      <w:r>
        <w:rPr>
          <w:spacing w:val="6"/>
        </w:rPr>
        <w:t> </w:t>
      </w:r>
      <w:r>
        <w:rPr>
          <w:w w:val="105"/>
        </w:rPr>
        <w:t>vez </w:t>
      </w:r>
      <w:r>
        <w:rPr>
          <w:w w:val="110"/>
        </w:rPr>
        <w:t>más deficitaria balanza comercial estadounidense (obama, </w:t>
      </w:r>
      <w:r>
        <w:rPr>
          <w:spacing w:val="28"/>
          <w:w w:val="110"/>
        </w:rPr>
        <w:t> </w:t>
      </w:r>
      <w:r>
        <w:rPr>
          <w:w w:val="110"/>
        </w:rPr>
        <w:t>2011)</w:t>
      </w:r>
      <w:r>
        <w:rPr>
          <w:w w:val="110"/>
          <w:position w:val="6"/>
          <w:sz w:val="11"/>
        </w:rPr>
        <w:t>25</w:t>
      </w:r>
      <w:r>
        <w:rPr>
          <w:w w:val="110"/>
        </w:rPr>
        <w:t>.</w:t>
      </w:r>
    </w:p>
    <w:p>
      <w:pPr>
        <w:pStyle w:val="BodyText"/>
        <w:spacing w:line="252" w:lineRule="auto"/>
        <w:ind w:left="120" w:right="328" w:firstLine="396"/>
        <w:jc w:val="both"/>
      </w:pPr>
      <w:r>
        <w:rPr>
          <w:w w:val="110"/>
        </w:rPr>
        <w:t>asimismo, por razones electorales, el líder demócrata necesitaba volver a enfocar su atención en el sur: sus aspiraciones</w:t>
      </w:r>
      <w:r>
        <w:rPr>
          <w:spacing w:val="-21"/>
          <w:w w:val="110"/>
        </w:rPr>
        <w:t> </w:t>
      </w:r>
      <w:r>
        <w:rPr>
          <w:w w:val="110"/>
        </w:rPr>
        <w:t>reeleccionistas lo obligaban a pelear por el voto latino. sin embargo, el electorado de ese origen no es uniforme. obama debió </w:t>
      </w:r>
      <w:r>
        <w:rPr>
          <w:spacing w:val="-3"/>
          <w:w w:val="110"/>
        </w:rPr>
        <w:t>transitar,  </w:t>
      </w:r>
      <w:r>
        <w:rPr>
          <w:w w:val="110"/>
        </w:rPr>
        <w:t>en consecuencia,  un equilibrio poco coherente. Por un lado sobreactuaba las políticas duras hacia Cuba y Venezuela (para generar simpatías, por ejemplo, en el electorado anticastrista de Miami), por otro pretendía mostrarse en sintonía con los demás países de la región, que desplegaron una activa campaña en contra del bloqueo a Cuba y de su exclusión de    las cumbres interamericanas. Como la población latina crece ince- santemente en Estados unidos, se transforma en un claro objetivo  </w:t>
      </w:r>
      <w:r>
        <w:rPr>
          <w:spacing w:val="22"/>
          <w:w w:val="110"/>
        </w:rPr>
        <w:t> </w:t>
      </w:r>
      <w:r>
        <w:rPr>
          <w:w w:val="110"/>
        </w:rPr>
        <w:t>de</w:t>
      </w:r>
    </w:p>
    <w:p>
      <w:pPr>
        <w:pStyle w:val="BodyText"/>
        <w:rPr>
          <w:sz w:val="22"/>
        </w:rPr>
      </w:pPr>
      <w:r>
        <w:rPr/>
        <w:pict>
          <v:line style="position:absolute;mso-position-horizontal-relative:page;mso-position-vertical-relative:paragraph;z-index:8176;mso-wrap-distance-left:0;mso-wrap-distance-right:0" from="51.023602pt,15.123633pt" to="79.369602pt,15.123633pt" stroked="true" strokeweight=".5pt" strokecolor="#000000">
            <w10:wrap type="topAndBottom"/>
          </v:line>
        </w:pict>
      </w:r>
    </w:p>
    <w:p>
      <w:pPr>
        <w:pStyle w:val="ListParagraph"/>
        <w:numPr>
          <w:ilvl w:val="0"/>
          <w:numId w:val="34"/>
        </w:numPr>
        <w:tabs>
          <w:tab w:pos="376" w:val="left" w:leader="none"/>
        </w:tabs>
        <w:spacing w:line="242" w:lineRule="auto" w:before="89" w:after="0"/>
        <w:ind w:left="120" w:right="328" w:firstLine="0"/>
        <w:jc w:val="both"/>
        <w:rPr>
          <w:sz w:val="16"/>
        </w:rPr>
      </w:pPr>
      <w:r>
        <w:rPr>
          <w:w w:val="110"/>
          <w:sz w:val="16"/>
        </w:rPr>
        <w:t>obama se entrevistó con Cristina Fernández de Kirchner en la Cumbre del G-20 de Cannes (noviembre de 2011) y recibió a dilma rousseff en Washington el 9 de abril,</w:t>
      </w:r>
      <w:r>
        <w:rPr>
          <w:spacing w:val="-5"/>
          <w:w w:val="110"/>
          <w:sz w:val="16"/>
        </w:rPr>
        <w:t> </w:t>
      </w:r>
      <w:r>
        <w:rPr>
          <w:w w:val="110"/>
          <w:sz w:val="16"/>
        </w:rPr>
        <w:t>para</w:t>
      </w:r>
      <w:r>
        <w:rPr>
          <w:spacing w:val="-5"/>
          <w:w w:val="110"/>
          <w:sz w:val="16"/>
        </w:rPr>
        <w:t> </w:t>
      </w:r>
      <w:r>
        <w:rPr>
          <w:w w:val="110"/>
          <w:sz w:val="16"/>
        </w:rPr>
        <w:t>discutir</w:t>
      </w:r>
      <w:r>
        <w:rPr>
          <w:spacing w:val="-5"/>
          <w:w w:val="110"/>
          <w:sz w:val="16"/>
        </w:rPr>
        <w:t> </w:t>
      </w:r>
      <w:r>
        <w:rPr>
          <w:w w:val="110"/>
          <w:sz w:val="16"/>
        </w:rPr>
        <w:t>el</w:t>
      </w:r>
      <w:r>
        <w:rPr>
          <w:spacing w:val="-5"/>
          <w:w w:val="110"/>
          <w:sz w:val="16"/>
        </w:rPr>
        <w:t> </w:t>
      </w:r>
      <w:r>
        <w:rPr>
          <w:w w:val="110"/>
          <w:sz w:val="16"/>
        </w:rPr>
        <w:t>fortalecimiento</w:t>
      </w:r>
      <w:r>
        <w:rPr>
          <w:spacing w:val="-5"/>
          <w:w w:val="110"/>
          <w:sz w:val="16"/>
        </w:rPr>
        <w:t> </w:t>
      </w:r>
      <w:r>
        <w:rPr>
          <w:w w:val="110"/>
          <w:sz w:val="16"/>
        </w:rPr>
        <w:t>del</w:t>
      </w:r>
      <w:r>
        <w:rPr>
          <w:spacing w:val="-5"/>
          <w:w w:val="110"/>
          <w:sz w:val="16"/>
        </w:rPr>
        <w:t> </w:t>
      </w:r>
      <w:r>
        <w:rPr>
          <w:w w:val="110"/>
          <w:sz w:val="16"/>
        </w:rPr>
        <w:t>sistema</w:t>
      </w:r>
      <w:r>
        <w:rPr>
          <w:spacing w:val="-5"/>
          <w:w w:val="110"/>
          <w:sz w:val="16"/>
        </w:rPr>
        <w:t> </w:t>
      </w:r>
      <w:r>
        <w:rPr>
          <w:w w:val="110"/>
          <w:sz w:val="16"/>
        </w:rPr>
        <w:t>interamericano.</w:t>
      </w:r>
    </w:p>
    <w:p>
      <w:pPr>
        <w:pStyle w:val="ListParagraph"/>
        <w:numPr>
          <w:ilvl w:val="0"/>
          <w:numId w:val="34"/>
        </w:numPr>
        <w:tabs>
          <w:tab w:pos="376" w:val="left" w:leader="none"/>
        </w:tabs>
        <w:spacing w:line="240" w:lineRule="auto" w:before="57" w:after="0"/>
        <w:ind w:left="375" w:right="0" w:hanging="255"/>
        <w:jc w:val="both"/>
        <w:rPr>
          <w:sz w:val="16"/>
        </w:rPr>
      </w:pPr>
      <w:r>
        <w:rPr>
          <w:w w:val="110"/>
          <w:sz w:val="16"/>
        </w:rPr>
        <w:t>sobre la política de obama hacia Nuestra américa, véase suárez salazar (2014b).</w:t>
      </w:r>
    </w:p>
    <w:p>
      <w:pPr>
        <w:spacing w:after="0" w:line="240"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8"/>
        <w:jc w:val="both"/>
      </w:pPr>
      <w:r>
        <w:rPr>
          <w:w w:val="110"/>
        </w:rPr>
        <w:t>demócratas y republicanos. Estos últimos, criticaban a obama por haber descuidado la región, mostrarse demasiado blando con los Cas- tro y Chávez, y haber permitido el avance del eje bolivariano. El pre- sidente tenía pocos éxitos para mostrar en su relación con la región, por eso era clave la Cumbre de Cartagena, que se realizó apenas seis meses antes de las elecciones presidenciales.</w:t>
      </w:r>
    </w:p>
    <w:p>
      <w:pPr>
        <w:pStyle w:val="BodyText"/>
        <w:spacing w:line="252" w:lineRule="auto"/>
        <w:ind w:left="330" w:right="117" w:firstLine="396"/>
        <w:jc w:val="both"/>
      </w:pPr>
      <w:r>
        <w:rPr>
          <w:w w:val="110"/>
        </w:rPr>
        <w:t>del</w:t>
      </w:r>
      <w:r>
        <w:rPr>
          <w:spacing w:val="-4"/>
          <w:w w:val="110"/>
        </w:rPr>
        <w:t> </w:t>
      </w:r>
      <w:r>
        <w:rPr>
          <w:w w:val="110"/>
        </w:rPr>
        <w:t>lado</w:t>
      </w:r>
      <w:r>
        <w:rPr>
          <w:spacing w:val="-4"/>
          <w:w w:val="110"/>
        </w:rPr>
        <w:t> </w:t>
      </w:r>
      <w:r>
        <w:rPr>
          <w:w w:val="110"/>
        </w:rPr>
        <w:t>latinoamericano,</w:t>
      </w:r>
      <w:r>
        <w:rPr>
          <w:spacing w:val="-4"/>
          <w:w w:val="110"/>
        </w:rPr>
        <w:t> </w:t>
      </w:r>
      <w:r>
        <w:rPr>
          <w:w w:val="110"/>
        </w:rPr>
        <w:t>la</w:t>
      </w:r>
      <w:r>
        <w:rPr>
          <w:spacing w:val="-4"/>
          <w:w w:val="110"/>
        </w:rPr>
        <w:t> </w:t>
      </w:r>
      <w:r>
        <w:rPr>
          <w:w w:val="110"/>
        </w:rPr>
        <w:t>antesala</w:t>
      </w:r>
      <w:r>
        <w:rPr>
          <w:spacing w:val="-4"/>
          <w:w w:val="110"/>
        </w:rPr>
        <w:t> </w:t>
      </w:r>
      <w:r>
        <w:rPr>
          <w:w w:val="110"/>
        </w:rPr>
        <w:t>de</w:t>
      </w:r>
      <w:r>
        <w:rPr>
          <w:spacing w:val="-4"/>
          <w:w w:val="110"/>
        </w:rPr>
        <w:t> </w:t>
      </w:r>
      <w:r>
        <w:rPr>
          <w:w w:val="110"/>
        </w:rPr>
        <w:t>la</w:t>
      </w:r>
      <w:r>
        <w:rPr>
          <w:spacing w:val="-4"/>
          <w:w w:val="110"/>
        </w:rPr>
        <w:t> </w:t>
      </w:r>
      <w:r>
        <w:rPr>
          <w:w w:val="110"/>
        </w:rPr>
        <w:t>cumbre</w:t>
      </w:r>
      <w:r>
        <w:rPr>
          <w:spacing w:val="-4"/>
          <w:w w:val="110"/>
        </w:rPr>
        <w:t> </w:t>
      </w:r>
      <w:r>
        <w:rPr>
          <w:w w:val="110"/>
        </w:rPr>
        <w:t>mostró</w:t>
      </w:r>
      <w:r>
        <w:rPr>
          <w:spacing w:val="-4"/>
          <w:w w:val="110"/>
        </w:rPr>
        <w:t> </w:t>
      </w:r>
      <w:r>
        <w:rPr>
          <w:w w:val="110"/>
        </w:rPr>
        <w:t>las</w:t>
      </w:r>
      <w:r>
        <w:rPr>
          <w:spacing w:val="-4"/>
          <w:w w:val="110"/>
        </w:rPr>
        <w:t> </w:t>
      </w:r>
      <w:r>
        <w:rPr>
          <w:w w:val="110"/>
        </w:rPr>
        <w:t>con- tradicciones</w:t>
      </w:r>
      <w:r>
        <w:rPr>
          <w:spacing w:val="-6"/>
          <w:w w:val="110"/>
        </w:rPr>
        <w:t> </w:t>
      </w:r>
      <w:r>
        <w:rPr>
          <w:w w:val="110"/>
        </w:rPr>
        <w:t>existentes</w:t>
      </w:r>
      <w:r>
        <w:rPr>
          <w:spacing w:val="-6"/>
          <w:w w:val="110"/>
        </w:rPr>
        <w:t> </w:t>
      </w:r>
      <w:r>
        <w:rPr>
          <w:w w:val="110"/>
        </w:rPr>
        <w:t>entre</w:t>
      </w:r>
      <w:r>
        <w:rPr>
          <w:spacing w:val="-6"/>
          <w:w w:val="110"/>
        </w:rPr>
        <w:t> </w:t>
      </w:r>
      <w:r>
        <w:rPr>
          <w:w w:val="110"/>
        </w:rPr>
        <w:t>los</w:t>
      </w:r>
      <w:r>
        <w:rPr>
          <w:spacing w:val="-6"/>
          <w:w w:val="110"/>
        </w:rPr>
        <w:t> </w:t>
      </w:r>
      <w:r>
        <w:rPr>
          <w:w w:val="110"/>
        </w:rPr>
        <w:t>países</w:t>
      </w:r>
      <w:r>
        <w:rPr>
          <w:spacing w:val="-6"/>
          <w:w w:val="110"/>
        </w:rPr>
        <w:t> </w:t>
      </w:r>
      <w:r>
        <w:rPr>
          <w:w w:val="110"/>
        </w:rPr>
        <w:t>de</w:t>
      </w:r>
      <w:r>
        <w:rPr>
          <w:spacing w:val="-6"/>
          <w:w w:val="110"/>
        </w:rPr>
        <w:t> </w:t>
      </w:r>
      <w:r>
        <w:rPr>
          <w:w w:val="110"/>
        </w:rPr>
        <w:t>la</w:t>
      </w:r>
      <w:r>
        <w:rPr>
          <w:spacing w:val="-6"/>
          <w:w w:val="110"/>
        </w:rPr>
        <w:t> </w:t>
      </w:r>
      <w:r>
        <w:rPr>
          <w:w w:val="110"/>
        </w:rPr>
        <w:t>región.</w:t>
      </w:r>
      <w:r>
        <w:rPr>
          <w:spacing w:val="-6"/>
          <w:w w:val="110"/>
        </w:rPr>
        <w:t> </w:t>
      </w:r>
      <w:r>
        <w:rPr>
          <w:w w:val="110"/>
        </w:rPr>
        <w:t>Por</w:t>
      </w:r>
      <w:r>
        <w:rPr>
          <w:spacing w:val="-6"/>
          <w:w w:val="110"/>
        </w:rPr>
        <w:t> </w:t>
      </w:r>
      <w:r>
        <w:rPr>
          <w:w w:val="110"/>
        </w:rPr>
        <w:t>un</w:t>
      </w:r>
      <w:r>
        <w:rPr>
          <w:spacing w:val="-6"/>
          <w:w w:val="110"/>
        </w:rPr>
        <w:t> </w:t>
      </w:r>
      <w:r>
        <w:rPr>
          <w:w w:val="110"/>
        </w:rPr>
        <w:t>lado,</w:t>
      </w:r>
      <w:r>
        <w:rPr>
          <w:spacing w:val="-6"/>
          <w:w w:val="110"/>
        </w:rPr>
        <w:t> </w:t>
      </w:r>
      <w:r>
        <w:rPr>
          <w:w w:val="110"/>
        </w:rPr>
        <w:t>se</w:t>
      </w:r>
      <w:r>
        <w:rPr>
          <w:spacing w:val="-6"/>
          <w:w w:val="110"/>
        </w:rPr>
        <w:t> </w:t>
      </w:r>
      <w:r>
        <w:rPr>
          <w:w w:val="110"/>
        </w:rPr>
        <w:t>en- contraban los gobiernos más afines a Washington (México, Honduras, Colombia, Chile y Costa rica). son los que más dependen de Estados unidos. sus gobiernos, con matices, despliegan políticas económicas neoliberales; quieren ampliar el comercio con Estados unidos a través del acuerdo Estratégico transpacífico de asociación Económica e im- pulsan la alianza del Pacífico, un engendro neoliberal aplaudido por Estados unidos. Pero la sujeción a Washington es más sutil y matiza- da que hace una década. En las antípodas, se ubica el eje bolivariano </w:t>
      </w:r>
      <w:r>
        <w:rPr>
          <w:w w:val="111"/>
        </w:rPr>
        <w:t>impulsado</w:t>
      </w:r>
      <w:r>
        <w:rPr/>
        <w:t> </w:t>
      </w:r>
      <w:r>
        <w:rPr>
          <w:spacing w:val="-3"/>
        </w:rPr>
        <w:t> </w:t>
      </w:r>
      <w:r>
        <w:rPr>
          <w:w w:val="108"/>
        </w:rPr>
        <w:t>por</w:t>
      </w:r>
      <w:r>
        <w:rPr/>
        <w:t> </w:t>
      </w:r>
      <w:r>
        <w:rPr>
          <w:spacing w:val="-3"/>
        </w:rPr>
        <w:t> </w:t>
      </w:r>
      <w:r>
        <w:rPr>
          <w:spacing w:val="-15"/>
          <w:w w:val="119"/>
        </w:rPr>
        <w:t>V</w:t>
      </w:r>
      <w:r>
        <w:rPr>
          <w:w w:val="110"/>
        </w:rPr>
        <w:t>enezuela,</w:t>
      </w:r>
      <w:r>
        <w:rPr/>
        <w:t> </w:t>
      </w:r>
      <w:r>
        <w:rPr>
          <w:spacing w:val="-3"/>
        </w:rPr>
        <w:t> </w:t>
      </w:r>
      <w:r>
        <w:rPr>
          <w:w w:val="117"/>
        </w:rPr>
        <w:t>Cuba,</w:t>
      </w:r>
      <w:r>
        <w:rPr/>
        <w:t> </w:t>
      </w:r>
      <w:r>
        <w:rPr>
          <w:spacing w:val="-3"/>
        </w:rPr>
        <w:t> </w:t>
      </w:r>
      <w:r>
        <w:rPr>
          <w:w w:val="114"/>
        </w:rPr>
        <w:t>Ecuado</w:t>
      </w:r>
      <w:r>
        <w:rPr>
          <w:spacing w:val="-22"/>
          <w:w w:val="105"/>
        </w:rPr>
        <w:t>r</w:t>
      </w:r>
      <w:r>
        <w:rPr>
          <w:w w:val="138"/>
        </w:rPr>
        <w:t>,</w:t>
      </w:r>
      <w:r>
        <w:rPr/>
        <w:t> </w:t>
      </w:r>
      <w:r>
        <w:rPr>
          <w:spacing w:val="-3"/>
        </w:rPr>
        <w:t> </w:t>
      </w:r>
      <w:r>
        <w:rPr>
          <w:w w:val="134"/>
        </w:rPr>
        <w:t>b</w:t>
      </w:r>
      <w:r>
        <w:rPr>
          <w:w w:val="110"/>
        </w:rPr>
        <w:t>olivia</w:t>
      </w:r>
      <w:r>
        <w:rPr/>
        <w:t> </w:t>
      </w:r>
      <w:r>
        <w:rPr>
          <w:spacing w:val="-3"/>
        </w:rPr>
        <w:t> </w:t>
      </w:r>
      <w:r>
        <w:rPr>
          <w:w w:val="105"/>
        </w:rPr>
        <w:t>y</w:t>
      </w:r>
      <w:r>
        <w:rPr/>
        <w:t> </w:t>
      </w:r>
      <w:r>
        <w:rPr>
          <w:spacing w:val="-3"/>
        </w:rPr>
        <w:t> </w:t>
      </w:r>
      <w:r>
        <w:rPr>
          <w:w w:val="114"/>
        </w:rPr>
        <w:t>Nicaragua.</w:t>
      </w:r>
      <w:r>
        <w:rPr/>
        <w:t> </w:t>
      </w:r>
      <w:r>
        <w:rPr>
          <w:spacing w:val="-3"/>
        </w:rPr>
        <w:t> </w:t>
      </w:r>
      <w:r>
        <w:rPr>
          <w:w w:val="243"/>
        </w:rPr>
        <w:t>l</w:t>
      </w:r>
      <w:r>
        <w:rPr>
          <w:w w:val="108"/>
        </w:rPr>
        <w:t>os </w:t>
      </w:r>
      <w:r>
        <w:rPr>
          <w:w w:val="110"/>
        </w:rPr>
        <w:t>países del </w:t>
      </w:r>
      <w:r>
        <w:rPr>
          <w:w w:val="125"/>
        </w:rPr>
        <w:t>alba </w:t>
      </w:r>
      <w:r>
        <w:rPr>
          <w:w w:val="110"/>
        </w:rPr>
        <w:t>plantearon como impostergable la inclusión de Cuba   y pugnaron, junto a aliados clave como brasil y argentina, para que   en Cartagena se debatiese sobre el bloqueo estadounidense a la isla, así como sobre la cuestión de las islas Malvinas, consideradas como </w:t>
      </w:r>
      <w:r>
        <w:rPr>
          <w:w w:val="112"/>
        </w:rPr>
        <w:t>un</w:t>
      </w:r>
      <w:r>
        <w:rPr>
          <w:spacing w:val="12"/>
        </w:rPr>
        <w:t> </w:t>
      </w:r>
      <w:r>
        <w:rPr>
          <w:w w:val="108"/>
        </w:rPr>
        <w:t>resabio</w:t>
      </w:r>
      <w:r>
        <w:rPr>
          <w:spacing w:val="12"/>
        </w:rPr>
        <w:t> </w:t>
      </w:r>
      <w:r>
        <w:rPr>
          <w:w w:val="112"/>
        </w:rPr>
        <w:t>colonial</w:t>
      </w:r>
      <w:r>
        <w:rPr>
          <w:spacing w:val="12"/>
        </w:rPr>
        <w:t> </w:t>
      </w:r>
      <w:r>
        <w:rPr>
          <w:w w:val="110"/>
        </w:rPr>
        <w:t>inaceptable</w:t>
      </w:r>
      <w:r>
        <w:rPr>
          <w:spacing w:val="12"/>
        </w:rPr>
        <w:t> </w:t>
      </w:r>
      <w:r>
        <w:rPr>
          <w:w w:val="108"/>
        </w:rPr>
        <w:t>en</w:t>
      </w:r>
      <w:r>
        <w:rPr>
          <w:spacing w:val="12"/>
        </w:rPr>
        <w:t> </w:t>
      </w:r>
      <w:r>
        <w:rPr>
          <w:w w:val="139"/>
        </w:rPr>
        <w:t>a</w:t>
      </w:r>
      <w:r>
        <w:rPr>
          <w:w w:val="111"/>
        </w:rPr>
        <w:t>mérica</w:t>
      </w:r>
      <w:r>
        <w:rPr>
          <w:spacing w:val="12"/>
        </w:rPr>
        <w:t> </w:t>
      </w:r>
      <w:r>
        <w:rPr>
          <w:w w:val="243"/>
        </w:rPr>
        <w:t>l</w:t>
      </w:r>
      <w:r>
        <w:rPr>
          <w:w w:val="113"/>
        </w:rPr>
        <w:t>atina.</w:t>
      </w:r>
    </w:p>
    <w:p>
      <w:pPr>
        <w:pStyle w:val="BodyText"/>
        <w:spacing w:line="252" w:lineRule="auto"/>
        <w:ind w:left="330" w:right="117" w:firstLine="396"/>
        <w:jc w:val="both"/>
      </w:pPr>
      <w:r>
        <w:rPr>
          <w:w w:val="110"/>
        </w:rPr>
        <w:t>un tercer grupo lo conformaban los países del </w:t>
      </w:r>
      <w:r>
        <w:rPr>
          <w:spacing w:val="-3"/>
          <w:w w:val="110"/>
        </w:rPr>
        <w:t>Mercosur, </w:t>
      </w:r>
      <w:r>
        <w:rPr>
          <w:w w:val="110"/>
        </w:rPr>
        <w:t>con brasil a la cabeza. apuestan a la integración a través de la </w:t>
      </w:r>
      <w:r>
        <w:rPr>
          <w:w w:val="150"/>
        </w:rPr>
        <w:t>uNasur, </w:t>
      </w:r>
      <w:r>
        <w:rPr>
          <w:w w:val="110"/>
        </w:rPr>
        <w:t>pero no confrontan abiertamente con Estados unidos. asumen una </w:t>
      </w:r>
      <w:r>
        <w:rPr>
          <w:w w:val="111"/>
        </w:rPr>
        <w:t>posición</w:t>
      </w:r>
      <w:r>
        <w:rPr/>
        <w:t> </w:t>
      </w:r>
      <w:r>
        <w:rPr>
          <w:spacing w:val="-8"/>
        </w:rPr>
        <w:t> </w:t>
      </w:r>
      <w:r>
        <w:rPr>
          <w:w w:val="110"/>
        </w:rPr>
        <w:t>distinta</w:t>
      </w:r>
      <w:r>
        <w:rPr/>
        <w:t> </w:t>
      </w:r>
      <w:r>
        <w:rPr>
          <w:spacing w:val="-8"/>
        </w:rPr>
        <w:t> </w:t>
      </w:r>
      <w:r>
        <w:rPr>
          <w:w w:val="112"/>
        </w:rPr>
        <w:t>a</w:t>
      </w:r>
      <w:r>
        <w:rPr/>
        <w:t> </w:t>
      </w:r>
      <w:r>
        <w:rPr>
          <w:spacing w:val="-8"/>
        </w:rPr>
        <w:t> </w:t>
      </w:r>
      <w:r>
        <w:rPr>
          <w:w w:val="111"/>
        </w:rPr>
        <w:t>la</w:t>
      </w:r>
      <w:r>
        <w:rPr/>
        <w:t> </w:t>
      </w:r>
      <w:r>
        <w:rPr>
          <w:spacing w:val="-8"/>
        </w:rPr>
        <w:t> </w:t>
      </w:r>
      <w:r>
        <w:rPr>
          <w:w w:val="107"/>
        </w:rPr>
        <w:t>de</w:t>
      </w:r>
      <w:r>
        <w:rPr/>
        <w:t> </w:t>
      </w:r>
      <w:r>
        <w:rPr>
          <w:spacing w:val="-8"/>
        </w:rPr>
        <w:t> </w:t>
      </w:r>
      <w:r>
        <w:rPr>
          <w:w w:val="108"/>
        </w:rPr>
        <w:t>los</w:t>
      </w:r>
      <w:r>
        <w:rPr/>
        <w:t> </w:t>
      </w:r>
      <w:r>
        <w:rPr>
          <w:spacing w:val="-8"/>
        </w:rPr>
        <w:t> </w:t>
      </w:r>
      <w:r>
        <w:rPr>
          <w:w w:val="108"/>
        </w:rPr>
        <w:t>dos</w:t>
      </w:r>
      <w:r>
        <w:rPr/>
        <w:t> </w:t>
      </w:r>
      <w:r>
        <w:rPr>
          <w:spacing w:val="-8"/>
        </w:rPr>
        <w:t> </w:t>
      </w:r>
      <w:r>
        <w:rPr>
          <w:w w:val="108"/>
        </w:rPr>
        <w:t>primeros</w:t>
      </w:r>
      <w:r>
        <w:rPr/>
        <w:t> </w:t>
      </w:r>
      <w:r>
        <w:rPr>
          <w:spacing w:val="-8"/>
        </w:rPr>
        <w:t> </w:t>
      </w:r>
      <w:r>
        <w:rPr>
          <w:w w:val="111"/>
        </w:rPr>
        <w:t>grupos.</w:t>
      </w:r>
      <w:r>
        <w:rPr/>
        <w:t> </w:t>
      </w:r>
      <w:r>
        <w:rPr>
          <w:spacing w:val="-8"/>
        </w:rPr>
        <w:t> </w:t>
      </w:r>
      <w:r>
        <w:rPr>
          <w:w w:val="243"/>
        </w:rPr>
        <w:t>l</w:t>
      </w:r>
      <w:r>
        <w:rPr>
          <w:w w:val="108"/>
        </w:rPr>
        <w:t>os</w:t>
      </w:r>
      <w:r>
        <w:rPr/>
        <w:t> </w:t>
      </w:r>
      <w:r>
        <w:rPr>
          <w:spacing w:val="-8"/>
        </w:rPr>
        <w:t> </w:t>
      </w:r>
      <w:r>
        <w:rPr>
          <w:w w:val="109"/>
        </w:rPr>
        <w:t>gobiernos</w:t>
      </w:r>
      <w:r>
        <w:rPr/>
        <w:t> </w:t>
      </w:r>
      <w:r>
        <w:rPr>
          <w:spacing w:val="-8"/>
        </w:rPr>
        <w:t> </w:t>
      </w:r>
      <w:r>
        <w:rPr>
          <w:w w:val="107"/>
        </w:rPr>
        <w:t>de </w:t>
      </w:r>
      <w:r>
        <w:rPr>
          <w:w w:val="110"/>
        </w:rPr>
        <w:t>estos países tienen acuerdos y tensiones con Estados unidos. No se sumaron a los países del </w:t>
      </w:r>
      <w:r>
        <w:rPr>
          <w:w w:val="150"/>
        </w:rPr>
        <w:t>alba </w:t>
      </w:r>
      <w:r>
        <w:rPr>
          <w:w w:val="110"/>
        </w:rPr>
        <w:t>en su reclamo explícito de incluir a Cuba en Cartagena, pero a la vez participaron en distintas instancias </w:t>
      </w:r>
      <w:r>
        <w:rPr>
          <w:w w:val="107"/>
        </w:rPr>
        <w:t>de</w:t>
      </w:r>
      <w:r>
        <w:rPr/>
        <w:t> </w:t>
      </w:r>
      <w:r>
        <w:rPr>
          <w:spacing w:val="-13"/>
        </w:rPr>
        <w:t> </w:t>
      </w:r>
      <w:r>
        <w:rPr>
          <w:w w:val="110"/>
        </w:rPr>
        <w:t>integración</w:t>
      </w:r>
      <w:r>
        <w:rPr/>
        <w:t> </w:t>
      </w:r>
      <w:r>
        <w:rPr>
          <w:spacing w:val="-13"/>
        </w:rPr>
        <w:t> </w:t>
      </w:r>
      <w:r>
        <w:rPr>
          <w:w w:val="110"/>
        </w:rPr>
        <w:t>regional</w:t>
      </w:r>
      <w:r>
        <w:rPr/>
        <w:t> </w:t>
      </w:r>
      <w:r>
        <w:rPr>
          <w:spacing w:val="-13"/>
        </w:rPr>
        <w:t> </w:t>
      </w:r>
      <w:r>
        <w:rPr>
          <w:w w:val="112"/>
        </w:rPr>
        <w:t>con</w:t>
      </w:r>
      <w:r>
        <w:rPr/>
        <w:t> </w:t>
      </w:r>
      <w:r>
        <w:rPr>
          <w:spacing w:val="-13"/>
        </w:rPr>
        <w:t> </w:t>
      </w:r>
      <w:r>
        <w:rPr>
          <w:w w:val="107"/>
        </w:rPr>
        <w:t>el</w:t>
      </w:r>
      <w:r>
        <w:rPr/>
        <w:t> </w:t>
      </w:r>
      <w:r>
        <w:rPr>
          <w:spacing w:val="-13"/>
        </w:rPr>
        <w:t> </w:t>
      </w:r>
      <w:r>
        <w:rPr>
          <w:w w:val="109"/>
        </w:rPr>
        <w:t>gobierno</w:t>
      </w:r>
      <w:r>
        <w:rPr/>
        <w:t> </w:t>
      </w:r>
      <w:r>
        <w:rPr>
          <w:spacing w:val="-13"/>
        </w:rPr>
        <w:t> </w:t>
      </w:r>
      <w:r>
        <w:rPr>
          <w:w w:val="107"/>
        </w:rPr>
        <w:t>de</w:t>
      </w:r>
      <w:r>
        <w:rPr/>
        <w:t> </w:t>
      </w:r>
      <w:r>
        <w:rPr>
          <w:spacing w:val="-13"/>
        </w:rPr>
        <w:t> </w:t>
      </w:r>
      <w:r>
        <w:rPr>
          <w:w w:val="243"/>
        </w:rPr>
        <w:t>l</w:t>
      </w:r>
      <w:r>
        <w:rPr>
          <w:w w:val="112"/>
        </w:rPr>
        <w:t>a</w:t>
      </w:r>
      <w:r>
        <w:rPr/>
        <w:t> </w:t>
      </w:r>
      <w:r>
        <w:rPr>
          <w:spacing w:val="-13"/>
        </w:rPr>
        <w:t> </w:t>
      </w:r>
      <w:r>
        <w:rPr>
          <w:w w:val="114"/>
        </w:rPr>
        <w:t>Habana</w:t>
      </w:r>
      <w:r>
        <w:rPr/>
        <w:t> </w:t>
      </w:r>
      <w:r>
        <w:rPr>
          <w:spacing w:val="-13"/>
        </w:rPr>
        <w:t> </w:t>
      </w:r>
      <w:r>
        <w:rPr>
          <w:w w:val="105"/>
        </w:rPr>
        <w:t>y</w:t>
      </w:r>
      <w:r>
        <w:rPr/>
        <w:t> </w:t>
      </w:r>
      <w:r>
        <w:rPr>
          <w:spacing w:val="-13"/>
        </w:rPr>
        <w:t> </w:t>
      </w:r>
      <w:r>
        <w:rPr>
          <w:w w:val="105"/>
        </w:rPr>
        <w:t>se</w:t>
      </w:r>
      <w:r>
        <w:rPr/>
        <w:t> </w:t>
      </w:r>
      <w:r>
        <w:rPr>
          <w:spacing w:val="-13"/>
        </w:rPr>
        <w:t> </w:t>
      </w:r>
      <w:r>
        <w:rPr>
          <w:w w:val="111"/>
        </w:rPr>
        <w:t>unieron, </w:t>
      </w:r>
      <w:r>
        <w:rPr>
          <w:w w:val="110"/>
        </w:rPr>
        <w:t>ya en Cartagena, al reclamo general para terminar con el aislamiento del régimen castrista. su intervención en esta cumbre fue clave para dirimir el rumbo de la misma. un dato fundamental es que ésta fue la primera Cumbre de las américas que se realizó tras el establecimiento efectivo de la </w:t>
      </w:r>
      <w:r>
        <w:rPr>
          <w:w w:val="150"/>
        </w:rPr>
        <w:t>uNasur </w:t>
      </w:r>
      <w:r>
        <w:rPr>
          <w:w w:val="110"/>
        </w:rPr>
        <w:t>y de la </w:t>
      </w:r>
      <w:r>
        <w:rPr>
          <w:w w:val="150"/>
        </w:rPr>
        <w:t>CElaC. </w:t>
      </w:r>
      <w:r>
        <w:rPr>
          <w:w w:val="110"/>
        </w:rPr>
        <w:t>Muchos países de la región, que no atravesaban las crisis económicas y políticas de Europa y Esta- dos unidos, pretendieron (y en parte lograron) que se manifestase en la reunión esta nueva correlación de fuerzas </w:t>
      </w:r>
      <w:r>
        <w:rPr>
          <w:spacing w:val="15"/>
          <w:w w:val="110"/>
        </w:rPr>
        <w:t> </w:t>
      </w:r>
      <w:r>
        <w:rPr>
          <w:w w:val="110"/>
        </w:rPr>
        <w:t>continental.</w:t>
      </w:r>
    </w:p>
    <w:p>
      <w:pPr>
        <w:pStyle w:val="BodyText"/>
        <w:spacing w:line="252" w:lineRule="auto"/>
        <w:ind w:left="330" w:right="117" w:firstLine="396"/>
        <w:jc w:val="both"/>
      </w:pPr>
      <w:r>
        <w:rPr>
          <w:w w:val="243"/>
        </w:rPr>
        <w:t>l</w:t>
      </w:r>
      <w:r>
        <w:rPr>
          <w:w w:val="112"/>
        </w:rPr>
        <w:t>a</w:t>
      </w:r>
      <w:r>
        <w:rPr/>
        <w:t> </w:t>
      </w:r>
      <w:r>
        <w:rPr>
          <w:spacing w:val="-20"/>
        </w:rPr>
        <w:t> </w:t>
      </w:r>
      <w:r>
        <w:rPr>
          <w:i/>
          <w:w w:val="111"/>
        </w:rPr>
        <w:t>cubanización</w:t>
      </w:r>
      <w:r>
        <w:rPr>
          <w:i/>
        </w:rPr>
        <w:t> </w:t>
      </w:r>
      <w:r>
        <w:rPr>
          <w:i/>
          <w:spacing w:val="-20"/>
        </w:rPr>
        <w:t> </w:t>
      </w:r>
      <w:r>
        <w:rPr>
          <w:w w:val="107"/>
        </w:rPr>
        <w:t>previa</w:t>
      </w:r>
      <w:r>
        <w:rPr/>
        <w:t> </w:t>
      </w:r>
      <w:r>
        <w:rPr>
          <w:spacing w:val="-20"/>
        </w:rPr>
        <w:t> </w:t>
      </w:r>
      <w:r>
        <w:rPr>
          <w:w w:val="112"/>
        </w:rPr>
        <w:t>a</w:t>
      </w:r>
      <w:r>
        <w:rPr/>
        <w:t> </w:t>
      </w:r>
      <w:r>
        <w:rPr>
          <w:spacing w:val="-20"/>
        </w:rPr>
        <w:t> </w:t>
      </w:r>
      <w:r>
        <w:rPr>
          <w:w w:val="111"/>
        </w:rPr>
        <w:t>la</w:t>
      </w:r>
      <w:r>
        <w:rPr/>
        <w:t> </w:t>
      </w:r>
      <w:r>
        <w:rPr>
          <w:spacing w:val="-20"/>
        </w:rPr>
        <w:t> </w:t>
      </w:r>
      <w:r>
        <w:rPr>
          <w:w w:val="112"/>
        </w:rPr>
        <w:t>Cumbre</w:t>
      </w:r>
      <w:r>
        <w:rPr/>
        <w:t> </w:t>
      </w:r>
      <w:r>
        <w:rPr>
          <w:spacing w:val="-20"/>
        </w:rPr>
        <w:t> </w:t>
      </w:r>
      <w:r>
        <w:rPr>
          <w:w w:val="109"/>
        </w:rPr>
        <w:t>trastocó</w:t>
      </w:r>
      <w:r>
        <w:rPr/>
        <w:t> </w:t>
      </w:r>
      <w:r>
        <w:rPr>
          <w:spacing w:val="-20"/>
        </w:rPr>
        <w:t> </w:t>
      </w:r>
      <w:r>
        <w:rPr>
          <w:w w:val="108"/>
        </w:rPr>
        <w:t>los</w:t>
      </w:r>
      <w:r>
        <w:rPr/>
        <w:t> </w:t>
      </w:r>
      <w:r>
        <w:rPr>
          <w:spacing w:val="-20"/>
        </w:rPr>
        <w:t> </w:t>
      </w:r>
      <w:r>
        <w:rPr>
          <w:w w:val="109"/>
        </w:rPr>
        <w:t>planes</w:t>
      </w:r>
      <w:r>
        <w:rPr/>
        <w:t> </w:t>
      </w:r>
      <w:r>
        <w:rPr>
          <w:spacing w:val="-20"/>
        </w:rPr>
        <w:t> </w:t>
      </w:r>
      <w:r>
        <w:rPr>
          <w:w w:val="107"/>
        </w:rPr>
        <w:t>de</w:t>
      </w:r>
      <w:r>
        <w:rPr/>
        <w:t> </w:t>
      </w:r>
      <w:r>
        <w:rPr>
          <w:spacing w:val="-20"/>
        </w:rPr>
        <w:t> </w:t>
      </w:r>
      <w:r>
        <w:rPr>
          <w:w w:val="114"/>
        </w:rPr>
        <w:t>Esta</w:t>
      </w:r>
      <w:r>
        <w:rPr>
          <w:w w:val="102"/>
        </w:rPr>
        <w:t>- </w:t>
      </w:r>
      <w:r>
        <w:rPr>
          <w:w w:val="108"/>
        </w:rPr>
        <w:t>dos</w:t>
      </w:r>
      <w:r>
        <w:rPr>
          <w:spacing w:val="18"/>
        </w:rPr>
        <w:t> </w:t>
      </w:r>
      <w:r>
        <w:rPr>
          <w:w w:val="140"/>
        </w:rPr>
        <w:t>u</w:t>
      </w:r>
      <w:r>
        <w:rPr>
          <w:w w:val="110"/>
        </w:rPr>
        <w:t>nidos</w:t>
      </w:r>
      <w:r>
        <w:rPr>
          <w:spacing w:val="18"/>
        </w:rPr>
        <w:t> </w:t>
      </w:r>
      <w:r>
        <w:rPr>
          <w:w w:val="105"/>
        </w:rPr>
        <w:t>y</w:t>
      </w:r>
      <w:r>
        <w:rPr>
          <w:spacing w:val="18"/>
        </w:rPr>
        <w:t> </w:t>
      </w:r>
      <w:r>
        <w:rPr>
          <w:w w:val="107"/>
        </w:rPr>
        <w:t>del</w:t>
      </w:r>
      <w:r>
        <w:rPr>
          <w:spacing w:val="18"/>
        </w:rPr>
        <w:t> </w:t>
      </w:r>
      <w:r>
        <w:rPr>
          <w:w w:val="110"/>
        </w:rPr>
        <w:t>país</w:t>
      </w:r>
      <w:r>
        <w:rPr>
          <w:spacing w:val="18"/>
        </w:rPr>
        <w:t> </w:t>
      </w:r>
      <w:r>
        <w:rPr>
          <w:w w:val="111"/>
        </w:rPr>
        <w:t>anfitrión,</w:t>
      </w:r>
      <w:r>
        <w:rPr>
          <w:spacing w:val="18"/>
        </w:rPr>
        <w:t> </w:t>
      </w:r>
      <w:r>
        <w:rPr>
          <w:w w:val="114"/>
        </w:rPr>
        <w:t>Colombia.</w:t>
      </w:r>
      <w:r>
        <w:rPr>
          <w:spacing w:val="18"/>
        </w:rPr>
        <w:t> </w:t>
      </w:r>
      <w:r>
        <w:rPr>
          <w:w w:val="243"/>
        </w:rPr>
        <w:t>l</w:t>
      </w:r>
      <w:r>
        <w:rPr>
          <w:w w:val="108"/>
        </w:rPr>
        <w:t>os</w:t>
      </w:r>
      <w:r>
        <w:rPr>
          <w:spacing w:val="18"/>
        </w:rPr>
        <w:t> </w:t>
      </w:r>
      <w:r>
        <w:rPr>
          <w:w w:val="108"/>
        </w:rPr>
        <w:t>países</w:t>
      </w:r>
      <w:r>
        <w:rPr>
          <w:spacing w:val="18"/>
        </w:rPr>
        <w:t> </w:t>
      </w:r>
      <w:r>
        <w:rPr>
          <w:w w:val="107"/>
        </w:rPr>
        <w:t>del</w:t>
      </w:r>
      <w:r>
        <w:rPr>
          <w:spacing w:val="17"/>
        </w:rPr>
        <w:t> </w:t>
      </w:r>
      <w:r>
        <w:rPr>
          <w:w w:val="153"/>
        </w:rPr>
        <w:t>alba</w:t>
      </w:r>
      <w:r>
        <w:rPr>
          <w:spacing w:val="18"/>
        </w:rPr>
        <w:t> </w:t>
      </w:r>
      <w:r>
        <w:rPr>
          <w:w w:val="110"/>
        </w:rPr>
        <w:t>plan</w:t>
      </w:r>
      <w:r>
        <w:rPr>
          <w:w w:val="102"/>
        </w:rPr>
        <w:t>- </w:t>
      </w:r>
      <w:r>
        <w:rPr>
          <w:w w:val="120"/>
        </w:rPr>
        <w:t>tearon</w:t>
      </w:r>
      <w:r>
        <w:rPr>
          <w:spacing w:val="-16"/>
          <w:w w:val="120"/>
        </w:rPr>
        <w:t> </w:t>
      </w:r>
      <w:r>
        <w:rPr>
          <w:w w:val="120"/>
        </w:rPr>
        <w:t>al</w:t>
      </w:r>
      <w:r>
        <w:rPr>
          <w:spacing w:val="-16"/>
          <w:w w:val="120"/>
        </w:rPr>
        <w:t> </w:t>
      </w:r>
      <w:r>
        <w:rPr>
          <w:w w:val="120"/>
        </w:rPr>
        <w:t>gobierno</w:t>
      </w:r>
      <w:r>
        <w:rPr>
          <w:spacing w:val="-16"/>
          <w:w w:val="120"/>
        </w:rPr>
        <w:t> </w:t>
      </w:r>
      <w:r>
        <w:rPr>
          <w:w w:val="120"/>
        </w:rPr>
        <w:t>colombiano,</w:t>
      </w:r>
      <w:r>
        <w:rPr>
          <w:spacing w:val="-16"/>
          <w:w w:val="120"/>
        </w:rPr>
        <w:t> </w:t>
      </w:r>
      <w:r>
        <w:rPr>
          <w:w w:val="120"/>
        </w:rPr>
        <w:t>el</w:t>
      </w:r>
      <w:r>
        <w:rPr>
          <w:spacing w:val="-16"/>
          <w:w w:val="120"/>
        </w:rPr>
        <w:t> </w:t>
      </w:r>
      <w:r>
        <w:rPr>
          <w:w w:val="120"/>
        </w:rPr>
        <w:t>7</w:t>
      </w:r>
      <w:r>
        <w:rPr>
          <w:spacing w:val="-16"/>
          <w:w w:val="120"/>
        </w:rPr>
        <w:t> </w:t>
      </w:r>
      <w:r>
        <w:rPr>
          <w:w w:val="120"/>
        </w:rPr>
        <w:t>de</w:t>
      </w:r>
      <w:r>
        <w:rPr>
          <w:spacing w:val="-16"/>
          <w:w w:val="120"/>
        </w:rPr>
        <w:t> </w:t>
      </w:r>
      <w:r>
        <w:rPr>
          <w:w w:val="120"/>
        </w:rPr>
        <w:t>febrero,</w:t>
      </w:r>
      <w:r>
        <w:rPr>
          <w:spacing w:val="-16"/>
          <w:w w:val="120"/>
        </w:rPr>
        <w:t> </w:t>
      </w:r>
      <w:r>
        <w:rPr>
          <w:w w:val="120"/>
        </w:rPr>
        <w:t>que</w:t>
      </w:r>
      <w:r>
        <w:rPr>
          <w:spacing w:val="-16"/>
          <w:w w:val="120"/>
        </w:rPr>
        <w:t> </w:t>
      </w:r>
      <w:r>
        <w:rPr>
          <w:w w:val="120"/>
        </w:rPr>
        <w:t>debía</w:t>
      </w:r>
      <w:r>
        <w:rPr>
          <w:spacing w:val="-16"/>
          <w:w w:val="120"/>
        </w:rPr>
        <w:t> </w:t>
      </w:r>
      <w:r>
        <w:rPr>
          <w:w w:val="120"/>
        </w:rPr>
        <w:t>invitar</w:t>
      </w:r>
      <w:r>
        <w:rPr>
          <w:spacing w:val="-16"/>
          <w:w w:val="120"/>
        </w:rPr>
        <w:t> </w:t>
      </w:r>
      <w:r>
        <w:rPr>
          <w:w w:val="120"/>
        </w:rPr>
        <w:t>a </w:t>
      </w:r>
      <w:r>
        <w:rPr>
          <w:w w:val="117"/>
        </w:rPr>
        <w:t>Cuba.</w:t>
      </w:r>
      <w:r>
        <w:rPr>
          <w:spacing w:val="1"/>
        </w:rPr>
        <w:t> </w:t>
      </w:r>
      <w:r>
        <w:rPr>
          <w:w w:val="139"/>
        </w:rPr>
        <w:t>a</w:t>
      </w:r>
      <w:r>
        <w:rPr>
          <w:w w:val="110"/>
        </w:rPr>
        <w:t>unque</w:t>
      </w:r>
      <w:r>
        <w:rPr>
          <w:spacing w:val="1"/>
        </w:rPr>
        <w:t> </w:t>
      </w:r>
      <w:r>
        <w:rPr>
          <w:w w:val="107"/>
        </w:rPr>
        <w:t>el</w:t>
      </w:r>
      <w:r>
        <w:rPr>
          <w:spacing w:val="1"/>
        </w:rPr>
        <w:t> </w:t>
      </w:r>
      <w:r>
        <w:rPr>
          <w:w w:val="109"/>
        </w:rPr>
        <w:t>gobierno</w:t>
      </w:r>
      <w:r>
        <w:rPr>
          <w:spacing w:val="1"/>
        </w:rPr>
        <w:t> </w:t>
      </w:r>
      <w:r>
        <w:rPr>
          <w:w w:val="107"/>
        </w:rPr>
        <w:t>de</w:t>
      </w:r>
      <w:r>
        <w:rPr>
          <w:spacing w:val="1"/>
        </w:rPr>
        <w:t> </w:t>
      </w:r>
      <w:r>
        <w:rPr>
          <w:w w:val="243"/>
        </w:rPr>
        <w:t>l</w:t>
      </w:r>
      <w:r>
        <w:rPr>
          <w:w w:val="112"/>
        </w:rPr>
        <w:t>a</w:t>
      </w:r>
      <w:r>
        <w:rPr>
          <w:spacing w:val="1"/>
        </w:rPr>
        <w:t> </w:t>
      </w:r>
      <w:r>
        <w:rPr>
          <w:w w:val="114"/>
        </w:rPr>
        <w:t>Habana</w:t>
      </w:r>
      <w:r>
        <w:rPr>
          <w:spacing w:val="1"/>
        </w:rPr>
        <w:t> </w:t>
      </w:r>
      <w:r>
        <w:rPr>
          <w:w w:val="106"/>
        </w:rPr>
        <w:t>viene</w:t>
      </w:r>
      <w:r>
        <w:rPr>
          <w:spacing w:val="1"/>
        </w:rPr>
        <w:t> </w:t>
      </w:r>
      <w:r>
        <w:rPr>
          <w:w w:val="108"/>
        </w:rPr>
        <w:t>sosteniendo</w:t>
      </w:r>
      <w:r>
        <w:rPr>
          <w:spacing w:val="1"/>
        </w:rPr>
        <w:t> </w:t>
      </w:r>
      <w:r>
        <w:rPr>
          <w:w w:val="106"/>
        </w:rPr>
        <w:t>desde</w:t>
      </w:r>
      <w:r>
        <w:rPr>
          <w:spacing w:val="1"/>
        </w:rPr>
        <w:t> </w:t>
      </w:r>
      <w:r>
        <w:rPr>
          <w:w w:val="102"/>
        </w:rPr>
        <w:t>2009 </w:t>
      </w:r>
      <w:r>
        <w:rPr>
          <w:w w:val="120"/>
        </w:rPr>
        <w:t>que</w:t>
      </w:r>
      <w:r>
        <w:rPr>
          <w:spacing w:val="-7"/>
          <w:w w:val="120"/>
        </w:rPr>
        <w:t> </w:t>
      </w:r>
      <w:r>
        <w:rPr>
          <w:w w:val="120"/>
        </w:rPr>
        <w:t>no</w:t>
      </w:r>
      <w:r>
        <w:rPr>
          <w:spacing w:val="-7"/>
          <w:w w:val="120"/>
        </w:rPr>
        <w:t> </w:t>
      </w:r>
      <w:r>
        <w:rPr>
          <w:w w:val="120"/>
        </w:rPr>
        <w:t>volverá</w:t>
      </w:r>
      <w:r>
        <w:rPr>
          <w:spacing w:val="-7"/>
          <w:w w:val="120"/>
        </w:rPr>
        <w:t> </w:t>
      </w:r>
      <w:r>
        <w:rPr>
          <w:w w:val="120"/>
        </w:rPr>
        <w:t>a</w:t>
      </w:r>
      <w:r>
        <w:rPr>
          <w:spacing w:val="-7"/>
          <w:w w:val="120"/>
        </w:rPr>
        <w:t> </w:t>
      </w:r>
      <w:r>
        <w:rPr>
          <w:w w:val="120"/>
        </w:rPr>
        <w:t>la</w:t>
      </w:r>
      <w:r>
        <w:rPr>
          <w:spacing w:val="-7"/>
          <w:w w:val="120"/>
        </w:rPr>
        <w:t> </w:t>
      </w:r>
      <w:r>
        <w:rPr>
          <w:w w:val="120"/>
        </w:rPr>
        <w:t>oEa,</w:t>
      </w:r>
      <w:r>
        <w:rPr>
          <w:spacing w:val="-7"/>
          <w:w w:val="120"/>
        </w:rPr>
        <w:t> </w:t>
      </w:r>
      <w:r>
        <w:rPr>
          <w:w w:val="120"/>
        </w:rPr>
        <w:t>sí</w:t>
      </w:r>
      <w:r>
        <w:rPr>
          <w:spacing w:val="-7"/>
          <w:w w:val="120"/>
        </w:rPr>
        <w:t> </w:t>
      </w:r>
      <w:r>
        <w:rPr>
          <w:w w:val="120"/>
        </w:rPr>
        <w:t>declaró</w:t>
      </w:r>
      <w:r>
        <w:rPr>
          <w:spacing w:val="-7"/>
          <w:w w:val="120"/>
        </w:rPr>
        <w:t> </w:t>
      </w:r>
      <w:r>
        <w:rPr>
          <w:w w:val="120"/>
        </w:rPr>
        <w:t>que</w:t>
      </w:r>
      <w:r>
        <w:rPr>
          <w:spacing w:val="-7"/>
          <w:w w:val="120"/>
        </w:rPr>
        <w:t> </w:t>
      </w:r>
      <w:r>
        <w:rPr>
          <w:w w:val="120"/>
        </w:rPr>
        <w:t>pretendía</w:t>
      </w:r>
      <w:r>
        <w:rPr>
          <w:spacing w:val="-7"/>
          <w:w w:val="120"/>
        </w:rPr>
        <w:t> </w:t>
      </w:r>
      <w:r>
        <w:rPr>
          <w:w w:val="120"/>
        </w:rPr>
        <w:t>participar</w:t>
      </w:r>
      <w:r>
        <w:rPr>
          <w:spacing w:val="-7"/>
          <w:w w:val="120"/>
        </w:rPr>
        <w:t> </w:t>
      </w:r>
      <w:r>
        <w:rPr>
          <w:w w:val="120"/>
        </w:rPr>
        <w:t>de</w:t>
      </w:r>
      <w:r>
        <w:rPr>
          <w:spacing w:val="-7"/>
          <w:w w:val="120"/>
        </w:rPr>
        <w:t> </w:t>
      </w:r>
      <w:r>
        <w:rPr>
          <w:w w:val="120"/>
        </w:rPr>
        <w:t>las</w:t>
      </w:r>
    </w:p>
    <w:p>
      <w:pPr>
        <w:spacing w:after="0" w:line="252" w:lineRule="auto"/>
        <w:jc w:val="both"/>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8"/>
        <w:jc w:val="both"/>
      </w:pPr>
      <w:r>
        <w:rPr>
          <w:w w:val="115"/>
        </w:rPr>
        <w:t>Cumbres</w:t>
      </w:r>
      <w:r>
        <w:rPr>
          <w:spacing w:val="-9"/>
          <w:w w:val="115"/>
        </w:rPr>
        <w:t> </w:t>
      </w:r>
      <w:r>
        <w:rPr>
          <w:w w:val="115"/>
        </w:rPr>
        <w:t>de</w:t>
      </w:r>
      <w:r>
        <w:rPr>
          <w:spacing w:val="-9"/>
          <w:w w:val="115"/>
        </w:rPr>
        <w:t> </w:t>
      </w:r>
      <w:r>
        <w:rPr>
          <w:w w:val="115"/>
        </w:rPr>
        <w:t>las</w:t>
      </w:r>
      <w:r>
        <w:rPr>
          <w:spacing w:val="-9"/>
          <w:w w:val="115"/>
        </w:rPr>
        <w:t> </w:t>
      </w:r>
      <w:r>
        <w:rPr>
          <w:w w:val="115"/>
        </w:rPr>
        <w:t>américas.</w:t>
      </w:r>
      <w:r>
        <w:rPr>
          <w:spacing w:val="-9"/>
          <w:w w:val="115"/>
        </w:rPr>
        <w:t> </w:t>
      </w:r>
      <w:r>
        <w:rPr>
          <w:w w:val="115"/>
        </w:rPr>
        <w:t>El</w:t>
      </w:r>
      <w:r>
        <w:rPr>
          <w:spacing w:val="-9"/>
          <w:w w:val="115"/>
        </w:rPr>
        <w:t> </w:t>
      </w:r>
      <w:r>
        <w:rPr>
          <w:w w:val="115"/>
        </w:rPr>
        <w:t>departamento</w:t>
      </w:r>
      <w:r>
        <w:rPr>
          <w:spacing w:val="-9"/>
          <w:w w:val="115"/>
        </w:rPr>
        <w:t> </w:t>
      </w:r>
      <w:r>
        <w:rPr>
          <w:w w:val="115"/>
        </w:rPr>
        <w:t>de</w:t>
      </w:r>
      <w:r>
        <w:rPr>
          <w:spacing w:val="-9"/>
          <w:w w:val="115"/>
        </w:rPr>
        <w:t> </w:t>
      </w:r>
      <w:r>
        <w:rPr>
          <w:w w:val="115"/>
        </w:rPr>
        <w:t>Estado</w:t>
      </w:r>
      <w:r>
        <w:rPr>
          <w:spacing w:val="-9"/>
          <w:w w:val="115"/>
        </w:rPr>
        <w:t> </w:t>
      </w:r>
      <w:r>
        <w:rPr>
          <w:w w:val="115"/>
        </w:rPr>
        <w:t>insistió</w:t>
      </w:r>
      <w:r>
        <w:rPr>
          <w:spacing w:val="-9"/>
          <w:w w:val="115"/>
        </w:rPr>
        <w:t> </w:t>
      </w:r>
      <w:r>
        <w:rPr>
          <w:w w:val="115"/>
        </w:rPr>
        <w:t>en</w:t>
      </w:r>
      <w:r>
        <w:rPr>
          <w:spacing w:val="-9"/>
          <w:w w:val="115"/>
        </w:rPr>
        <w:t> </w:t>
      </w:r>
      <w:r>
        <w:rPr>
          <w:w w:val="115"/>
        </w:rPr>
        <w:t>que Cuba</w:t>
      </w:r>
      <w:r>
        <w:rPr>
          <w:spacing w:val="-10"/>
          <w:w w:val="115"/>
        </w:rPr>
        <w:t> </w:t>
      </w:r>
      <w:r>
        <w:rPr>
          <w:w w:val="115"/>
        </w:rPr>
        <w:t>debía</w:t>
      </w:r>
      <w:r>
        <w:rPr>
          <w:spacing w:val="-10"/>
          <w:w w:val="115"/>
        </w:rPr>
        <w:t> </w:t>
      </w:r>
      <w:r>
        <w:rPr>
          <w:w w:val="115"/>
        </w:rPr>
        <w:t>realizar</w:t>
      </w:r>
      <w:r>
        <w:rPr>
          <w:spacing w:val="-10"/>
          <w:w w:val="115"/>
        </w:rPr>
        <w:t> </w:t>
      </w:r>
      <w:r>
        <w:rPr>
          <w:w w:val="115"/>
        </w:rPr>
        <w:t>reformas</w:t>
      </w:r>
      <w:r>
        <w:rPr>
          <w:spacing w:val="-10"/>
          <w:w w:val="115"/>
        </w:rPr>
        <w:t> </w:t>
      </w:r>
      <w:r>
        <w:rPr>
          <w:i/>
          <w:w w:val="115"/>
        </w:rPr>
        <w:t>democráticas</w:t>
      </w:r>
      <w:r>
        <w:rPr>
          <w:i/>
          <w:spacing w:val="-10"/>
          <w:w w:val="115"/>
        </w:rPr>
        <w:t> </w:t>
      </w:r>
      <w:r>
        <w:rPr>
          <w:w w:val="115"/>
        </w:rPr>
        <w:t>antes</w:t>
      </w:r>
      <w:r>
        <w:rPr>
          <w:spacing w:val="-10"/>
          <w:w w:val="115"/>
        </w:rPr>
        <w:t> </w:t>
      </w:r>
      <w:r>
        <w:rPr>
          <w:w w:val="115"/>
        </w:rPr>
        <w:t>de</w:t>
      </w:r>
      <w:r>
        <w:rPr>
          <w:spacing w:val="-10"/>
          <w:w w:val="115"/>
        </w:rPr>
        <w:t> </w:t>
      </w:r>
      <w:r>
        <w:rPr>
          <w:w w:val="115"/>
        </w:rPr>
        <w:t>reincorporarse. Fundamentó</w:t>
      </w:r>
      <w:r>
        <w:rPr>
          <w:spacing w:val="-17"/>
          <w:w w:val="115"/>
        </w:rPr>
        <w:t> </w:t>
      </w:r>
      <w:r>
        <w:rPr>
          <w:w w:val="115"/>
        </w:rPr>
        <w:t>la</w:t>
      </w:r>
      <w:r>
        <w:rPr>
          <w:spacing w:val="-17"/>
          <w:w w:val="115"/>
        </w:rPr>
        <w:t> </w:t>
      </w:r>
      <w:r>
        <w:rPr>
          <w:w w:val="115"/>
        </w:rPr>
        <w:t>negativa</w:t>
      </w:r>
      <w:r>
        <w:rPr>
          <w:spacing w:val="-17"/>
          <w:w w:val="115"/>
        </w:rPr>
        <w:t> </w:t>
      </w:r>
      <w:r>
        <w:rPr>
          <w:w w:val="115"/>
        </w:rPr>
        <w:t>a</w:t>
      </w:r>
      <w:r>
        <w:rPr>
          <w:spacing w:val="-17"/>
          <w:w w:val="115"/>
        </w:rPr>
        <w:t> </w:t>
      </w:r>
      <w:r>
        <w:rPr>
          <w:w w:val="115"/>
        </w:rPr>
        <w:t>incluir</w:t>
      </w:r>
      <w:r>
        <w:rPr>
          <w:spacing w:val="-17"/>
          <w:w w:val="115"/>
        </w:rPr>
        <w:t> </w:t>
      </w:r>
      <w:r>
        <w:rPr>
          <w:w w:val="115"/>
        </w:rPr>
        <w:t>a</w:t>
      </w:r>
      <w:r>
        <w:rPr>
          <w:spacing w:val="-17"/>
          <w:w w:val="115"/>
        </w:rPr>
        <w:t> </w:t>
      </w:r>
      <w:r>
        <w:rPr>
          <w:w w:val="115"/>
        </w:rPr>
        <w:t>Cuba</w:t>
      </w:r>
      <w:r>
        <w:rPr>
          <w:spacing w:val="-17"/>
          <w:w w:val="115"/>
        </w:rPr>
        <w:t> </w:t>
      </w:r>
      <w:r>
        <w:rPr>
          <w:w w:val="115"/>
        </w:rPr>
        <w:t>en</w:t>
      </w:r>
      <w:r>
        <w:rPr>
          <w:spacing w:val="-17"/>
          <w:w w:val="115"/>
        </w:rPr>
        <w:t> </w:t>
      </w:r>
      <w:r>
        <w:rPr>
          <w:w w:val="115"/>
        </w:rPr>
        <w:t>una</w:t>
      </w:r>
      <w:r>
        <w:rPr>
          <w:spacing w:val="-17"/>
          <w:w w:val="115"/>
        </w:rPr>
        <w:t> </w:t>
      </w:r>
      <w:r>
        <w:rPr>
          <w:i/>
          <w:w w:val="115"/>
        </w:rPr>
        <w:t>cláusula</w:t>
      </w:r>
      <w:r>
        <w:rPr>
          <w:i/>
          <w:spacing w:val="-17"/>
          <w:w w:val="115"/>
        </w:rPr>
        <w:t> </w:t>
      </w:r>
      <w:r>
        <w:rPr>
          <w:i/>
          <w:w w:val="115"/>
        </w:rPr>
        <w:t>democrática </w:t>
      </w:r>
      <w:r>
        <w:rPr>
          <w:w w:val="110"/>
        </w:rPr>
        <w:t>aprobada</w:t>
      </w:r>
      <w:r>
        <w:rPr>
          <w:spacing w:val="4"/>
        </w:rPr>
        <w:t> </w:t>
      </w:r>
      <w:r>
        <w:rPr>
          <w:w w:val="108"/>
        </w:rPr>
        <w:t>en</w:t>
      </w:r>
      <w:r>
        <w:rPr>
          <w:spacing w:val="4"/>
        </w:rPr>
        <w:t> </w:t>
      </w:r>
      <w:r>
        <w:rPr>
          <w:w w:val="111"/>
        </w:rPr>
        <w:t>la</w:t>
      </w:r>
      <w:r>
        <w:rPr>
          <w:spacing w:val="4"/>
        </w:rPr>
        <w:t> </w:t>
      </w:r>
      <w:r>
        <w:rPr>
          <w:w w:val="142"/>
        </w:rPr>
        <w:t>iii</w:t>
      </w:r>
      <w:r>
        <w:rPr>
          <w:spacing w:val="4"/>
        </w:rPr>
        <w:t> </w:t>
      </w:r>
      <w:r>
        <w:rPr>
          <w:w w:val="113"/>
        </w:rPr>
        <w:t>Cumbre,</w:t>
      </w:r>
      <w:r>
        <w:rPr>
          <w:spacing w:val="4"/>
        </w:rPr>
        <w:t> </w:t>
      </w:r>
      <w:r>
        <w:rPr>
          <w:w w:val="108"/>
        </w:rPr>
        <w:t>en</w:t>
      </w:r>
      <w:r>
        <w:rPr>
          <w:spacing w:val="4"/>
        </w:rPr>
        <w:t> </w:t>
      </w:r>
      <w:r>
        <w:rPr>
          <w:w w:val="105"/>
        </w:rPr>
        <w:t>2001.</w:t>
      </w:r>
      <w:r>
        <w:rPr>
          <w:spacing w:val="4"/>
        </w:rPr>
        <w:t> </w:t>
      </w:r>
      <w:r>
        <w:rPr>
          <w:w w:val="243"/>
        </w:rPr>
        <w:t>l</w:t>
      </w:r>
      <w:r>
        <w:rPr>
          <w:w w:val="112"/>
        </w:rPr>
        <w:t>a</w:t>
      </w:r>
      <w:r>
        <w:rPr>
          <w:spacing w:val="4"/>
        </w:rPr>
        <w:t> </w:t>
      </w:r>
      <w:r>
        <w:rPr>
          <w:w w:val="108"/>
        </w:rPr>
        <w:t>líder</w:t>
      </w:r>
      <w:r>
        <w:rPr>
          <w:spacing w:val="4"/>
        </w:rPr>
        <w:t> </w:t>
      </w:r>
      <w:r>
        <w:rPr>
          <w:w w:val="109"/>
        </w:rPr>
        <w:t>ultraconservadora</w:t>
      </w:r>
      <w:r>
        <w:rPr>
          <w:spacing w:val="4"/>
        </w:rPr>
        <w:t> </w:t>
      </w:r>
      <w:r>
        <w:rPr>
          <w:w w:val="142"/>
        </w:rPr>
        <w:t>i</w:t>
      </w:r>
      <w:r>
        <w:rPr>
          <w:w w:val="110"/>
        </w:rPr>
        <w:t>leana </w:t>
      </w:r>
      <w:r>
        <w:rPr>
          <w:w w:val="182"/>
        </w:rPr>
        <w:t>r</w:t>
      </w:r>
      <w:r>
        <w:rPr>
          <w:w w:val="106"/>
        </w:rPr>
        <w:t>os-</w:t>
      </w:r>
      <w:r>
        <w:rPr>
          <w:w w:val="243"/>
        </w:rPr>
        <w:t>l</w:t>
      </w:r>
      <w:r>
        <w:rPr>
          <w:w w:val="109"/>
        </w:rPr>
        <w:t>ehtinen</w:t>
      </w:r>
      <w:r>
        <w:rPr>
          <w:spacing w:val="14"/>
        </w:rPr>
        <w:t> </w:t>
      </w:r>
      <w:r>
        <w:rPr>
          <w:w w:val="108"/>
        </w:rPr>
        <w:t>–senadora</w:t>
      </w:r>
      <w:r>
        <w:rPr>
          <w:spacing w:val="14"/>
        </w:rPr>
        <w:t> </w:t>
      </w:r>
      <w:r>
        <w:rPr>
          <w:w w:val="108"/>
        </w:rPr>
        <w:t>por</w:t>
      </w:r>
      <w:r>
        <w:rPr>
          <w:spacing w:val="14"/>
        </w:rPr>
        <w:t> </w:t>
      </w:r>
      <w:r>
        <w:rPr>
          <w:w w:val="111"/>
        </w:rPr>
        <w:t>Florida</w:t>
      </w:r>
      <w:r>
        <w:rPr>
          <w:spacing w:val="14"/>
        </w:rPr>
        <w:t> </w:t>
      </w:r>
      <w:r>
        <w:rPr>
          <w:w w:val="105"/>
        </w:rPr>
        <w:t>y</w:t>
      </w:r>
      <w:r>
        <w:rPr>
          <w:spacing w:val="14"/>
        </w:rPr>
        <w:t> </w:t>
      </w:r>
      <w:r>
        <w:rPr>
          <w:w w:val="108"/>
        </w:rPr>
        <w:t>presidenta</w:t>
      </w:r>
      <w:r>
        <w:rPr>
          <w:spacing w:val="14"/>
        </w:rPr>
        <w:t> </w:t>
      </w:r>
      <w:r>
        <w:rPr>
          <w:w w:val="107"/>
        </w:rPr>
        <w:t>del</w:t>
      </w:r>
      <w:r>
        <w:rPr>
          <w:spacing w:val="14"/>
        </w:rPr>
        <w:t> </w:t>
      </w:r>
      <w:r>
        <w:rPr>
          <w:w w:val="112"/>
        </w:rPr>
        <w:t>Comité</w:t>
      </w:r>
      <w:r>
        <w:rPr>
          <w:spacing w:val="14"/>
        </w:rPr>
        <w:t> </w:t>
      </w:r>
      <w:r>
        <w:rPr>
          <w:w w:val="107"/>
        </w:rPr>
        <w:t>de</w:t>
      </w:r>
      <w:r>
        <w:rPr>
          <w:spacing w:val="14"/>
        </w:rPr>
        <w:t> </w:t>
      </w:r>
      <w:r>
        <w:rPr>
          <w:w w:val="182"/>
        </w:rPr>
        <w:t>r</w:t>
      </w:r>
      <w:r>
        <w:rPr>
          <w:w w:val="109"/>
        </w:rPr>
        <w:t>el</w:t>
      </w:r>
      <w:r>
        <w:rPr>
          <w:spacing w:val="-1"/>
          <w:w w:val="109"/>
        </w:rPr>
        <w:t>a</w:t>
      </w:r>
      <w:r>
        <w:rPr>
          <w:w w:val="102"/>
        </w:rPr>
        <w:t>- </w:t>
      </w:r>
      <w:r>
        <w:rPr>
          <w:w w:val="115"/>
        </w:rPr>
        <w:t>ciones</w:t>
      </w:r>
      <w:r>
        <w:rPr>
          <w:spacing w:val="-21"/>
          <w:w w:val="115"/>
        </w:rPr>
        <w:t> </w:t>
      </w:r>
      <w:r>
        <w:rPr>
          <w:w w:val="115"/>
        </w:rPr>
        <w:t>Exteriores</w:t>
      </w:r>
      <w:r>
        <w:rPr>
          <w:spacing w:val="-21"/>
          <w:w w:val="115"/>
        </w:rPr>
        <w:t> </w:t>
      </w:r>
      <w:r>
        <w:rPr>
          <w:w w:val="115"/>
        </w:rPr>
        <w:t>de</w:t>
      </w:r>
      <w:r>
        <w:rPr>
          <w:spacing w:val="-21"/>
          <w:w w:val="115"/>
        </w:rPr>
        <w:t> </w:t>
      </w:r>
      <w:r>
        <w:rPr>
          <w:w w:val="115"/>
        </w:rPr>
        <w:t>la</w:t>
      </w:r>
      <w:r>
        <w:rPr>
          <w:spacing w:val="-21"/>
          <w:w w:val="115"/>
        </w:rPr>
        <w:t> </w:t>
      </w:r>
      <w:r>
        <w:rPr>
          <w:w w:val="115"/>
        </w:rPr>
        <w:t>Cámara</w:t>
      </w:r>
      <w:r>
        <w:rPr>
          <w:spacing w:val="-21"/>
          <w:w w:val="115"/>
        </w:rPr>
        <w:t> </w:t>
      </w:r>
      <w:r>
        <w:rPr>
          <w:w w:val="115"/>
        </w:rPr>
        <w:t>alta–</w:t>
      </w:r>
      <w:r>
        <w:rPr>
          <w:spacing w:val="-21"/>
          <w:w w:val="115"/>
        </w:rPr>
        <w:t> </w:t>
      </w:r>
      <w:r>
        <w:rPr>
          <w:w w:val="115"/>
        </w:rPr>
        <w:t>exigió</w:t>
      </w:r>
      <w:r>
        <w:rPr>
          <w:spacing w:val="-21"/>
          <w:w w:val="115"/>
        </w:rPr>
        <w:t> </w:t>
      </w:r>
      <w:r>
        <w:rPr>
          <w:w w:val="115"/>
        </w:rPr>
        <w:t>a</w:t>
      </w:r>
      <w:r>
        <w:rPr>
          <w:spacing w:val="-21"/>
          <w:w w:val="115"/>
        </w:rPr>
        <w:t> </w:t>
      </w:r>
      <w:r>
        <w:rPr>
          <w:w w:val="115"/>
        </w:rPr>
        <w:t>obama</w:t>
      </w:r>
      <w:r>
        <w:rPr>
          <w:spacing w:val="-21"/>
          <w:w w:val="115"/>
        </w:rPr>
        <w:t> </w:t>
      </w:r>
      <w:r>
        <w:rPr>
          <w:w w:val="115"/>
        </w:rPr>
        <w:t>que</w:t>
      </w:r>
      <w:r>
        <w:rPr>
          <w:spacing w:val="-21"/>
          <w:w w:val="115"/>
        </w:rPr>
        <w:t> </w:t>
      </w:r>
      <w:r>
        <w:rPr>
          <w:w w:val="115"/>
        </w:rPr>
        <w:t>boicoteara</w:t>
      </w:r>
      <w:r>
        <w:rPr>
          <w:spacing w:val="-21"/>
          <w:w w:val="115"/>
        </w:rPr>
        <w:t> </w:t>
      </w:r>
      <w:r>
        <w:rPr>
          <w:w w:val="115"/>
        </w:rPr>
        <w:t>la Cumbre</w:t>
      </w:r>
      <w:r>
        <w:rPr>
          <w:spacing w:val="-11"/>
          <w:w w:val="115"/>
        </w:rPr>
        <w:t> </w:t>
      </w:r>
      <w:r>
        <w:rPr>
          <w:w w:val="115"/>
        </w:rPr>
        <w:t>en</w:t>
      </w:r>
      <w:r>
        <w:rPr>
          <w:spacing w:val="-11"/>
          <w:w w:val="115"/>
        </w:rPr>
        <w:t> </w:t>
      </w:r>
      <w:r>
        <w:rPr>
          <w:w w:val="115"/>
        </w:rPr>
        <w:t>caso</w:t>
      </w:r>
      <w:r>
        <w:rPr>
          <w:spacing w:val="-11"/>
          <w:w w:val="115"/>
        </w:rPr>
        <w:t> </w:t>
      </w:r>
      <w:r>
        <w:rPr>
          <w:w w:val="115"/>
        </w:rPr>
        <w:t>de</w:t>
      </w:r>
      <w:r>
        <w:rPr>
          <w:spacing w:val="-11"/>
          <w:w w:val="115"/>
        </w:rPr>
        <w:t> </w:t>
      </w:r>
      <w:r>
        <w:rPr>
          <w:w w:val="115"/>
        </w:rPr>
        <w:t>que</w:t>
      </w:r>
      <w:r>
        <w:rPr>
          <w:spacing w:val="-11"/>
          <w:w w:val="115"/>
        </w:rPr>
        <w:t> </w:t>
      </w:r>
      <w:r>
        <w:rPr>
          <w:w w:val="115"/>
        </w:rPr>
        <w:t>Colombia</w:t>
      </w:r>
      <w:r>
        <w:rPr>
          <w:spacing w:val="-11"/>
          <w:w w:val="115"/>
        </w:rPr>
        <w:t> </w:t>
      </w:r>
      <w:r>
        <w:rPr>
          <w:w w:val="115"/>
        </w:rPr>
        <w:t>optara</w:t>
      </w:r>
      <w:r>
        <w:rPr>
          <w:spacing w:val="-11"/>
          <w:w w:val="115"/>
        </w:rPr>
        <w:t> </w:t>
      </w:r>
      <w:r>
        <w:rPr>
          <w:w w:val="115"/>
        </w:rPr>
        <w:t>por</w:t>
      </w:r>
      <w:r>
        <w:rPr>
          <w:spacing w:val="-11"/>
          <w:w w:val="115"/>
        </w:rPr>
        <w:t> </w:t>
      </w:r>
      <w:r>
        <w:rPr>
          <w:w w:val="115"/>
        </w:rPr>
        <w:t>invitar</w:t>
      </w:r>
      <w:r>
        <w:rPr>
          <w:spacing w:val="-11"/>
          <w:w w:val="115"/>
        </w:rPr>
        <w:t> </w:t>
      </w:r>
      <w:r>
        <w:rPr>
          <w:w w:val="115"/>
        </w:rPr>
        <w:t>a</w:t>
      </w:r>
      <w:r>
        <w:rPr>
          <w:spacing w:val="-11"/>
          <w:w w:val="115"/>
        </w:rPr>
        <w:t> </w:t>
      </w:r>
      <w:r>
        <w:rPr>
          <w:w w:val="115"/>
        </w:rPr>
        <w:t>Cuba</w:t>
      </w:r>
      <w:r>
        <w:rPr>
          <w:w w:val="115"/>
          <w:position w:val="6"/>
          <w:sz w:val="11"/>
        </w:rPr>
        <w:t>26</w:t>
      </w:r>
      <w:r>
        <w:rPr>
          <w:w w:val="115"/>
        </w:rPr>
        <w:t>.</w:t>
      </w:r>
      <w:r>
        <w:rPr>
          <w:spacing w:val="-11"/>
          <w:w w:val="115"/>
        </w:rPr>
        <w:t> </w:t>
      </w:r>
      <w:r>
        <w:rPr>
          <w:w w:val="115"/>
        </w:rPr>
        <w:t>santos, por</w:t>
      </w:r>
      <w:r>
        <w:rPr>
          <w:spacing w:val="-14"/>
          <w:w w:val="115"/>
        </w:rPr>
        <w:t> </w:t>
      </w:r>
      <w:r>
        <w:rPr>
          <w:w w:val="115"/>
        </w:rPr>
        <w:t>su</w:t>
      </w:r>
      <w:r>
        <w:rPr>
          <w:spacing w:val="-14"/>
          <w:w w:val="115"/>
        </w:rPr>
        <w:t> </w:t>
      </w:r>
      <w:r>
        <w:rPr>
          <w:w w:val="115"/>
        </w:rPr>
        <w:t>parte,</w:t>
      </w:r>
      <w:r>
        <w:rPr>
          <w:spacing w:val="-14"/>
          <w:w w:val="115"/>
        </w:rPr>
        <w:t> </w:t>
      </w:r>
      <w:r>
        <w:rPr>
          <w:w w:val="115"/>
        </w:rPr>
        <w:t>resolvió</w:t>
      </w:r>
      <w:r>
        <w:rPr>
          <w:spacing w:val="-14"/>
          <w:w w:val="115"/>
        </w:rPr>
        <w:t> </w:t>
      </w:r>
      <w:r>
        <w:rPr>
          <w:w w:val="115"/>
        </w:rPr>
        <w:t>viajar</w:t>
      </w:r>
      <w:r>
        <w:rPr>
          <w:spacing w:val="-14"/>
          <w:w w:val="115"/>
        </w:rPr>
        <w:t> </w:t>
      </w:r>
      <w:r>
        <w:rPr>
          <w:w w:val="115"/>
        </w:rPr>
        <w:t>a</w:t>
      </w:r>
      <w:r>
        <w:rPr>
          <w:spacing w:val="-14"/>
          <w:w w:val="115"/>
        </w:rPr>
        <w:t> </w:t>
      </w:r>
      <w:r>
        <w:rPr>
          <w:w w:val="115"/>
        </w:rPr>
        <w:t>la</w:t>
      </w:r>
      <w:r>
        <w:rPr>
          <w:spacing w:val="-14"/>
          <w:w w:val="115"/>
        </w:rPr>
        <w:t> </w:t>
      </w:r>
      <w:r>
        <w:rPr>
          <w:w w:val="115"/>
        </w:rPr>
        <w:t>isla</w:t>
      </w:r>
      <w:r>
        <w:rPr>
          <w:spacing w:val="-14"/>
          <w:w w:val="115"/>
        </w:rPr>
        <w:t> </w:t>
      </w:r>
      <w:r>
        <w:rPr>
          <w:w w:val="115"/>
        </w:rPr>
        <w:t>el</w:t>
      </w:r>
      <w:r>
        <w:rPr>
          <w:spacing w:val="-14"/>
          <w:w w:val="115"/>
        </w:rPr>
        <w:t> </w:t>
      </w:r>
      <w:r>
        <w:rPr>
          <w:w w:val="115"/>
        </w:rPr>
        <w:t>7</w:t>
      </w:r>
      <w:r>
        <w:rPr>
          <w:spacing w:val="-14"/>
          <w:w w:val="115"/>
        </w:rPr>
        <w:t> </w:t>
      </w:r>
      <w:r>
        <w:rPr>
          <w:w w:val="115"/>
        </w:rPr>
        <w:t>de</w:t>
      </w:r>
      <w:r>
        <w:rPr>
          <w:spacing w:val="-14"/>
          <w:w w:val="115"/>
        </w:rPr>
        <w:t> </w:t>
      </w:r>
      <w:r>
        <w:rPr>
          <w:w w:val="115"/>
        </w:rPr>
        <w:t>marzo,</w:t>
      </w:r>
      <w:r>
        <w:rPr>
          <w:spacing w:val="-14"/>
          <w:w w:val="115"/>
        </w:rPr>
        <w:t> </w:t>
      </w:r>
      <w:r>
        <w:rPr>
          <w:w w:val="115"/>
        </w:rPr>
        <w:t>para</w:t>
      </w:r>
      <w:r>
        <w:rPr>
          <w:spacing w:val="-14"/>
          <w:w w:val="115"/>
        </w:rPr>
        <w:t> </w:t>
      </w:r>
      <w:r>
        <w:rPr>
          <w:w w:val="115"/>
        </w:rPr>
        <w:t>entrevistarse con</w:t>
      </w:r>
      <w:r>
        <w:rPr>
          <w:spacing w:val="-19"/>
          <w:w w:val="115"/>
        </w:rPr>
        <w:t> </w:t>
      </w:r>
      <w:r>
        <w:rPr>
          <w:w w:val="115"/>
        </w:rPr>
        <w:t>raúl</w:t>
      </w:r>
      <w:r>
        <w:rPr>
          <w:spacing w:val="-19"/>
          <w:w w:val="115"/>
        </w:rPr>
        <w:t> </w:t>
      </w:r>
      <w:r>
        <w:rPr>
          <w:w w:val="115"/>
        </w:rPr>
        <w:t>Castro</w:t>
      </w:r>
      <w:r>
        <w:rPr>
          <w:spacing w:val="-19"/>
          <w:w w:val="115"/>
        </w:rPr>
        <w:t> </w:t>
      </w:r>
      <w:r>
        <w:rPr>
          <w:w w:val="115"/>
        </w:rPr>
        <w:t>y</w:t>
      </w:r>
      <w:r>
        <w:rPr>
          <w:spacing w:val="-19"/>
          <w:w w:val="115"/>
        </w:rPr>
        <w:t> </w:t>
      </w:r>
      <w:r>
        <w:rPr>
          <w:w w:val="115"/>
        </w:rPr>
        <w:t>con</w:t>
      </w:r>
      <w:r>
        <w:rPr>
          <w:spacing w:val="-19"/>
          <w:w w:val="115"/>
        </w:rPr>
        <w:t> </w:t>
      </w:r>
      <w:r>
        <w:rPr>
          <w:w w:val="115"/>
        </w:rPr>
        <w:t>Chávez,</w:t>
      </w:r>
      <w:r>
        <w:rPr>
          <w:spacing w:val="-19"/>
          <w:w w:val="115"/>
        </w:rPr>
        <w:t> </w:t>
      </w:r>
      <w:r>
        <w:rPr>
          <w:w w:val="115"/>
        </w:rPr>
        <w:t>en</w:t>
      </w:r>
      <w:r>
        <w:rPr>
          <w:spacing w:val="-19"/>
          <w:w w:val="115"/>
        </w:rPr>
        <w:t> </w:t>
      </w:r>
      <w:r>
        <w:rPr>
          <w:w w:val="115"/>
        </w:rPr>
        <w:t>vistas</w:t>
      </w:r>
      <w:r>
        <w:rPr>
          <w:spacing w:val="-19"/>
          <w:w w:val="115"/>
        </w:rPr>
        <w:t> </w:t>
      </w:r>
      <w:r>
        <w:rPr>
          <w:w w:val="115"/>
        </w:rPr>
        <w:t>de</w:t>
      </w:r>
      <w:r>
        <w:rPr>
          <w:spacing w:val="-19"/>
          <w:w w:val="115"/>
        </w:rPr>
        <w:t> </w:t>
      </w:r>
      <w:r>
        <w:rPr>
          <w:w w:val="115"/>
        </w:rPr>
        <w:t>hallar</w:t>
      </w:r>
      <w:r>
        <w:rPr>
          <w:spacing w:val="-19"/>
          <w:w w:val="115"/>
        </w:rPr>
        <w:t> </w:t>
      </w:r>
      <w:r>
        <w:rPr>
          <w:w w:val="115"/>
        </w:rPr>
        <w:t>una</w:t>
      </w:r>
      <w:r>
        <w:rPr>
          <w:spacing w:val="-19"/>
          <w:w w:val="115"/>
        </w:rPr>
        <w:t> </w:t>
      </w:r>
      <w:r>
        <w:rPr>
          <w:w w:val="115"/>
        </w:rPr>
        <w:t>solución</w:t>
      </w:r>
      <w:r>
        <w:rPr>
          <w:spacing w:val="-19"/>
          <w:w w:val="115"/>
        </w:rPr>
        <w:t> </w:t>
      </w:r>
      <w:r>
        <w:rPr>
          <w:w w:val="115"/>
        </w:rPr>
        <w:t>que</w:t>
      </w:r>
      <w:r>
        <w:rPr>
          <w:spacing w:val="-19"/>
          <w:w w:val="115"/>
        </w:rPr>
        <w:t> </w:t>
      </w:r>
      <w:r>
        <w:rPr>
          <w:w w:val="115"/>
        </w:rPr>
        <w:t>evi- tara</w:t>
      </w:r>
      <w:r>
        <w:rPr>
          <w:spacing w:val="-13"/>
          <w:w w:val="115"/>
        </w:rPr>
        <w:t> </w:t>
      </w:r>
      <w:r>
        <w:rPr>
          <w:w w:val="115"/>
        </w:rPr>
        <w:t>el</w:t>
      </w:r>
      <w:r>
        <w:rPr>
          <w:spacing w:val="-13"/>
          <w:w w:val="115"/>
        </w:rPr>
        <w:t> </w:t>
      </w:r>
      <w:r>
        <w:rPr>
          <w:w w:val="115"/>
        </w:rPr>
        <w:t>naufragio</w:t>
      </w:r>
      <w:r>
        <w:rPr>
          <w:spacing w:val="-13"/>
          <w:w w:val="115"/>
        </w:rPr>
        <w:t> </w:t>
      </w:r>
      <w:r>
        <w:rPr>
          <w:w w:val="115"/>
        </w:rPr>
        <w:t>de</w:t>
      </w:r>
      <w:r>
        <w:rPr>
          <w:spacing w:val="-13"/>
          <w:w w:val="115"/>
        </w:rPr>
        <w:t> </w:t>
      </w:r>
      <w:r>
        <w:rPr>
          <w:w w:val="115"/>
        </w:rPr>
        <w:t>la</w:t>
      </w:r>
      <w:r>
        <w:rPr>
          <w:spacing w:val="-13"/>
          <w:w w:val="115"/>
        </w:rPr>
        <w:t> </w:t>
      </w:r>
      <w:r>
        <w:rPr>
          <w:w w:val="115"/>
        </w:rPr>
        <w:t>reunión.</w:t>
      </w:r>
      <w:r>
        <w:rPr>
          <w:spacing w:val="-13"/>
          <w:w w:val="115"/>
        </w:rPr>
        <w:t> </w:t>
      </w:r>
      <w:r>
        <w:rPr>
          <w:w w:val="115"/>
        </w:rPr>
        <w:t>allí</w:t>
      </w:r>
      <w:r>
        <w:rPr>
          <w:spacing w:val="-13"/>
          <w:w w:val="115"/>
        </w:rPr>
        <w:t> </w:t>
      </w:r>
      <w:r>
        <w:rPr>
          <w:w w:val="115"/>
        </w:rPr>
        <w:t>anunció</w:t>
      </w:r>
      <w:r>
        <w:rPr>
          <w:spacing w:val="-13"/>
          <w:w w:val="115"/>
        </w:rPr>
        <w:t> </w:t>
      </w:r>
      <w:r>
        <w:rPr>
          <w:w w:val="115"/>
        </w:rPr>
        <w:t>que</w:t>
      </w:r>
      <w:r>
        <w:rPr>
          <w:spacing w:val="-13"/>
          <w:w w:val="115"/>
        </w:rPr>
        <w:t> </w:t>
      </w:r>
      <w:r>
        <w:rPr>
          <w:w w:val="115"/>
        </w:rPr>
        <w:t>Cuba</w:t>
      </w:r>
      <w:r>
        <w:rPr>
          <w:spacing w:val="-13"/>
          <w:w w:val="115"/>
        </w:rPr>
        <w:t> </w:t>
      </w:r>
      <w:r>
        <w:rPr>
          <w:w w:val="115"/>
        </w:rPr>
        <w:t>no</w:t>
      </w:r>
      <w:r>
        <w:rPr>
          <w:spacing w:val="-13"/>
          <w:w w:val="115"/>
        </w:rPr>
        <w:t> </w:t>
      </w:r>
      <w:r>
        <w:rPr>
          <w:w w:val="115"/>
        </w:rPr>
        <w:t>participaría, </w:t>
      </w:r>
      <w:r>
        <w:rPr>
          <w:w w:val="110"/>
        </w:rPr>
        <w:t>pero que se entablarían negociaciones para garantizar su presencia</w:t>
      </w:r>
      <w:r>
        <w:rPr>
          <w:spacing w:val="-19"/>
          <w:w w:val="110"/>
        </w:rPr>
        <w:t> </w:t>
      </w:r>
      <w:r>
        <w:rPr>
          <w:w w:val="110"/>
        </w:rPr>
        <w:t>en </w:t>
      </w:r>
      <w:r>
        <w:rPr>
          <w:w w:val="115"/>
        </w:rPr>
        <w:t>la</w:t>
      </w:r>
      <w:r>
        <w:rPr>
          <w:spacing w:val="-11"/>
          <w:w w:val="115"/>
        </w:rPr>
        <w:t> </w:t>
      </w:r>
      <w:r>
        <w:rPr>
          <w:w w:val="115"/>
        </w:rPr>
        <w:t>siguiente</w:t>
      </w:r>
      <w:r>
        <w:rPr>
          <w:spacing w:val="-11"/>
          <w:w w:val="115"/>
        </w:rPr>
        <w:t> </w:t>
      </w:r>
      <w:r>
        <w:rPr>
          <w:w w:val="115"/>
        </w:rPr>
        <w:t>Cumbre</w:t>
      </w:r>
      <w:r>
        <w:rPr>
          <w:spacing w:val="-11"/>
          <w:w w:val="115"/>
        </w:rPr>
        <w:t> </w:t>
      </w:r>
      <w:r>
        <w:rPr>
          <w:w w:val="115"/>
        </w:rPr>
        <w:t>(Panamá,</w:t>
      </w:r>
      <w:r>
        <w:rPr>
          <w:spacing w:val="-11"/>
          <w:w w:val="115"/>
        </w:rPr>
        <w:t> </w:t>
      </w:r>
      <w:r>
        <w:rPr>
          <w:w w:val="115"/>
        </w:rPr>
        <w:t>2015).</w:t>
      </w:r>
      <w:r>
        <w:rPr>
          <w:spacing w:val="-11"/>
          <w:w w:val="115"/>
        </w:rPr>
        <w:t> </w:t>
      </w:r>
      <w:r>
        <w:rPr>
          <w:w w:val="115"/>
        </w:rPr>
        <w:t>a</w:t>
      </w:r>
      <w:r>
        <w:rPr>
          <w:spacing w:val="-11"/>
          <w:w w:val="115"/>
        </w:rPr>
        <w:t> </w:t>
      </w:r>
      <w:r>
        <w:rPr>
          <w:w w:val="115"/>
        </w:rPr>
        <w:t>poco</w:t>
      </w:r>
      <w:r>
        <w:rPr>
          <w:spacing w:val="-11"/>
          <w:w w:val="115"/>
        </w:rPr>
        <w:t> </w:t>
      </w:r>
      <w:r>
        <w:rPr>
          <w:w w:val="115"/>
        </w:rPr>
        <w:t>de</w:t>
      </w:r>
      <w:r>
        <w:rPr>
          <w:spacing w:val="-11"/>
          <w:w w:val="115"/>
        </w:rPr>
        <w:t> </w:t>
      </w:r>
      <w:r>
        <w:rPr>
          <w:w w:val="115"/>
        </w:rPr>
        <w:t>iniciarse</w:t>
      </w:r>
      <w:r>
        <w:rPr>
          <w:spacing w:val="-11"/>
          <w:w w:val="115"/>
        </w:rPr>
        <w:t> </w:t>
      </w:r>
      <w:r>
        <w:rPr>
          <w:w w:val="115"/>
        </w:rPr>
        <w:t>el</w:t>
      </w:r>
      <w:r>
        <w:rPr>
          <w:spacing w:val="-11"/>
          <w:w w:val="115"/>
        </w:rPr>
        <w:t> </w:t>
      </w:r>
      <w:r>
        <w:rPr>
          <w:w w:val="115"/>
        </w:rPr>
        <w:t>cónclave, y</w:t>
      </w:r>
      <w:r>
        <w:rPr>
          <w:spacing w:val="-11"/>
          <w:w w:val="115"/>
        </w:rPr>
        <w:t> </w:t>
      </w:r>
      <w:r>
        <w:rPr>
          <w:w w:val="115"/>
        </w:rPr>
        <w:t>más</w:t>
      </w:r>
      <w:r>
        <w:rPr>
          <w:spacing w:val="-11"/>
          <w:w w:val="115"/>
        </w:rPr>
        <w:t> </w:t>
      </w:r>
      <w:r>
        <w:rPr>
          <w:w w:val="115"/>
        </w:rPr>
        <w:t>allá</w:t>
      </w:r>
      <w:r>
        <w:rPr>
          <w:spacing w:val="-11"/>
          <w:w w:val="115"/>
        </w:rPr>
        <w:t> </w:t>
      </w:r>
      <w:r>
        <w:rPr>
          <w:w w:val="115"/>
        </w:rPr>
        <w:t>de</w:t>
      </w:r>
      <w:r>
        <w:rPr>
          <w:spacing w:val="-11"/>
          <w:w w:val="115"/>
        </w:rPr>
        <w:t> </w:t>
      </w:r>
      <w:r>
        <w:rPr>
          <w:w w:val="115"/>
        </w:rPr>
        <w:t>la</w:t>
      </w:r>
      <w:r>
        <w:rPr>
          <w:spacing w:val="-11"/>
          <w:w w:val="115"/>
        </w:rPr>
        <w:t> </w:t>
      </w:r>
      <w:r>
        <w:rPr>
          <w:w w:val="115"/>
        </w:rPr>
        <w:t>(no)</w:t>
      </w:r>
      <w:r>
        <w:rPr>
          <w:spacing w:val="-11"/>
          <w:w w:val="115"/>
        </w:rPr>
        <w:t> </w:t>
      </w:r>
      <w:r>
        <w:rPr>
          <w:w w:val="115"/>
        </w:rPr>
        <w:t>asistencia</w:t>
      </w:r>
      <w:r>
        <w:rPr>
          <w:spacing w:val="-11"/>
          <w:w w:val="115"/>
        </w:rPr>
        <w:t> </w:t>
      </w:r>
      <w:r>
        <w:rPr>
          <w:w w:val="115"/>
        </w:rPr>
        <w:t>de</w:t>
      </w:r>
      <w:r>
        <w:rPr>
          <w:spacing w:val="-11"/>
          <w:w w:val="115"/>
        </w:rPr>
        <w:t> </w:t>
      </w:r>
      <w:r>
        <w:rPr>
          <w:w w:val="115"/>
        </w:rPr>
        <w:t>Castro,</w:t>
      </w:r>
      <w:r>
        <w:rPr>
          <w:spacing w:val="-11"/>
          <w:w w:val="115"/>
        </w:rPr>
        <w:t> </w:t>
      </w:r>
      <w:r>
        <w:rPr>
          <w:w w:val="115"/>
        </w:rPr>
        <w:t>el</w:t>
      </w:r>
      <w:r>
        <w:rPr>
          <w:spacing w:val="-11"/>
          <w:w w:val="115"/>
        </w:rPr>
        <w:t> </w:t>
      </w:r>
      <w:r>
        <w:rPr>
          <w:w w:val="115"/>
        </w:rPr>
        <w:t>departamento</w:t>
      </w:r>
      <w:r>
        <w:rPr>
          <w:spacing w:val="-11"/>
          <w:w w:val="115"/>
        </w:rPr>
        <w:t> </w:t>
      </w:r>
      <w:r>
        <w:rPr>
          <w:w w:val="115"/>
        </w:rPr>
        <w:t>de</w:t>
      </w:r>
      <w:r>
        <w:rPr>
          <w:spacing w:val="-11"/>
          <w:w w:val="115"/>
        </w:rPr>
        <w:t> </w:t>
      </w:r>
      <w:r>
        <w:rPr>
          <w:w w:val="115"/>
        </w:rPr>
        <w:t>Estado y</w:t>
      </w:r>
      <w:r>
        <w:rPr>
          <w:spacing w:val="-16"/>
          <w:w w:val="115"/>
        </w:rPr>
        <w:t> </w:t>
      </w:r>
      <w:r>
        <w:rPr>
          <w:w w:val="115"/>
        </w:rPr>
        <w:t>la</w:t>
      </w:r>
      <w:r>
        <w:rPr>
          <w:spacing w:val="-16"/>
          <w:w w:val="115"/>
        </w:rPr>
        <w:t> </w:t>
      </w:r>
      <w:r>
        <w:rPr>
          <w:w w:val="115"/>
        </w:rPr>
        <w:t>cancillería</w:t>
      </w:r>
      <w:r>
        <w:rPr>
          <w:spacing w:val="-16"/>
          <w:w w:val="115"/>
        </w:rPr>
        <w:t> </w:t>
      </w:r>
      <w:r>
        <w:rPr>
          <w:w w:val="115"/>
        </w:rPr>
        <w:t>colombiana</w:t>
      </w:r>
      <w:r>
        <w:rPr>
          <w:spacing w:val="-16"/>
          <w:w w:val="115"/>
        </w:rPr>
        <w:t> </w:t>
      </w:r>
      <w:r>
        <w:rPr>
          <w:w w:val="115"/>
        </w:rPr>
        <w:t>temían</w:t>
      </w:r>
      <w:r>
        <w:rPr>
          <w:spacing w:val="-16"/>
          <w:w w:val="115"/>
        </w:rPr>
        <w:t> </w:t>
      </w:r>
      <w:r>
        <w:rPr>
          <w:w w:val="115"/>
        </w:rPr>
        <w:t>que</w:t>
      </w:r>
      <w:r>
        <w:rPr>
          <w:spacing w:val="-16"/>
          <w:w w:val="115"/>
        </w:rPr>
        <w:t> </w:t>
      </w:r>
      <w:r>
        <w:rPr>
          <w:w w:val="115"/>
        </w:rPr>
        <w:t>el</w:t>
      </w:r>
      <w:r>
        <w:rPr>
          <w:spacing w:val="-16"/>
          <w:w w:val="115"/>
        </w:rPr>
        <w:t> </w:t>
      </w:r>
      <w:r>
        <w:rPr>
          <w:i/>
          <w:w w:val="115"/>
        </w:rPr>
        <w:t>caso</w:t>
      </w:r>
      <w:r>
        <w:rPr>
          <w:i/>
          <w:spacing w:val="-16"/>
          <w:w w:val="115"/>
        </w:rPr>
        <w:t> </w:t>
      </w:r>
      <w:r>
        <w:rPr>
          <w:i/>
          <w:w w:val="115"/>
        </w:rPr>
        <w:t>Cuba</w:t>
      </w:r>
      <w:r>
        <w:rPr>
          <w:i/>
          <w:spacing w:val="-16"/>
          <w:w w:val="115"/>
        </w:rPr>
        <w:t> </w:t>
      </w:r>
      <w:r>
        <w:rPr>
          <w:w w:val="115"/>
        </w:rPr>
        <w:t>acaparase</w:t>
      </w:r>
      <w:r>
        <w:rPr>
          <w:spacing w:val="-16"/>
          <w:w w:val="115"/>
        </w:rPr>
        <w:t> </w:t>
      </w:r>
      <w:r>
        <w:rPr>
          <w:w w:val="115"/>
        </w:rPr>
        <w:t>toda</w:t>
      </w:r>
      <w:r>
        <w:rPr>
          <w:spacing w:val="-16"/>
          <w:w w:val="115"/>
        </w:rPr>
        <w:t> </w:t>
      </w:r>
      <w:r>
        <w:rPr>
          <w:w w:val="115"/>
        </w:rPr>
        <w:t>la </w:t>
      </w:r>
      <w:r>
        <w:rPr>
          <w:w w:val="120"/>
        </w:rPr>
        <w:t>atención,</w:t>
      </w:r>
      <w:r>
        <w:rPr>
          <w:spacing w:val="-27"/>
          <w:w w:val="120"/>
        </w:rPr>
        <w:t> </w:t>
      </w:r>
      <w:r>
        <w:rPr>
          <w:w w:val="120"/>
        </w:rPr>
        <w:t>como</w:t>
      </w:r>
      <w:r>
        <w:rPr>
          <w:spacing w:val="-27"/>
          <w:w w:val="120"/>
        </w:rPr>
        <w:t> </w:t>
      </w:r>
      <w:r>
        <w:rPr>
          <w:w w:val="120"/>
        </w:rPr>
        <w:t>en</w:t>
      </w:r>
      <w:r>
        <w:rPr>
          <w:spacing w:val="-27"/>
          <w:w w:val="120"/>
        </w:rPr>
        <w:t> </w:t>
      </w:r>
      <w:r>
        <w:rPr>
          <w:w w:val="120"/>
        </w:rPr>
        <w:t>buena</w:t>
      </w:r>
      <w:r>
        <w:rPr>
          <w:spacing w:val="-27"/>
          <w:w w:val="120"/>
        </w:rPr>
        <w:t> </w:t>
      </w:r>
      <w:r>
        <w:rPr>
          <w:w w:val="120"/>
        </w:rPr>
        <w:t>medida</w:t>
      </w:r>
      <w:r>
        <w:rPr>
          <w:spacing w:val="-27"/>
          <w:w w:val="120"/>
        </w:rPr>
        <w:t> </w:t>
      </w:r>
      <w:r>
        <w:rPr>
          <w:w w:val="120"/>
        </w:rPr>
        <w:t>ya</w:t>
      </w:r>
      <w:r>
        <w:rPr>
          <w:spacing w:val="-27"/>
          <w:w w:val="120"/>
        </w:rPr>
        <w:t> </w:t>
      </w:r>
      <w:r>
        <w:rPr>
          <w:w w:val="120"/>
        </w:rPr>
        <w:t>había</w:t>
      </w:r>
      <w:r>
        <w:rPr>
          <w:spacing w:val="-27"/>
          <w:w w:val="120"/>
        </w:rPr>
        <w:t> </w:t>
      </w:r>
      <w:r>
        <w:rPr>
          <w:w w:val="120"/>
        </w:rPr>
        <w:t>ocurrido</w:t>
      </w:r>
      <w:r>
        <w:rPr>
          <w:spacing w:val="-27"/>
          <w:w w:val="120"/>
        </w:rPr>
        <w:t> </w:t>
      </w:r>
      <w:r>
        <w:rPr>
          <w:w w:val="120"/>
        </w:rPr>
        <w:t>en</w:t>
      </w:r>
      <w:r>
        <w:rPr>
          <w:spacing w:val="-27"/>
          <w:w w:val="120"/>
        </w:rPr>
        <w:t> </w:t>
      </w:r>
      <w:r>
        <w:rPr>
          <w:spacing w:val="-3"/>
          <w:w w:val="120"/>
        </w:rPr>
        <w:t>trinidad</w:t>
      </w:r>
      <w:r>
        <w:rPr>
          <w:spacing w:val="-27"/>
          <w:w w:val="120"/>
        </w:rPr>
        <w:t> </w:t>
      </w:r>
      <w:r>
        <w:rPr>
          <w:w w:val="120"/>
        </w:rPr>
        <w:t>y</w:t>
      </w:r>
      <w:r>
        <w:rPr>
          <w:spacing w:val="-27"/>
          <w:w w:val="120"/>
        </w:rPr>
        <w:t> </w:t>
      </w:r>
      <w:r>
        <w:rPr>
          <w:spacing w:val="-6"/>
          <w:w w:val="120"/>
        </w:rPr>
        <w:t>to- </w:t>
      </w:r>
      <w:r>
        <w:rPr>
          <w:w w:val="115"/>
        </w:rPr>
        <w:t>bago</w:t>
      </w:r>
      <w:r>
        <w:rPr>
          <w:spacing w:val="-13"/>
          <w:w w:val="115"/>
        </w:rPr>
        <w:t> </w:t>
      </w:r>
      <w:r>
        <w:rPr>
          <w:w w:val="115"/>
        </w:rPr>
        <w:t>en</w:t>
      </w:r>
      <w:r>
        <w:rPr>
          <w:spacing w:val="-13"/>
          <w:w w:val="115"/>
        </w:rPr>
        <w:t> </w:t>
      </w:r>
      <w:r>
        <w:rPr>
          <w:w w:val="115"/>
        </w:rPr>
        <w:t>2009.</w:t>
      </w:r>
      <w:r>
        <w:rPr>
          <w:spacing w:val="-13"/>
          <w:w w:val="115"/>
        </w:rPr>
        <w:t> </w:t>
      </w:r>
      <w:r>
        <w:rPr>
          <w:w w:val="115"/>
        </w:rPr>
        <w:t>aunque</w:t>
      </w:r>
      <w:r>
        <w:rPr>
          <w:spacing w:val="-13"/>
          <w:w w:val="115"/>
        </w:rPr>
        <w:t> </w:t>
      </w:r>
      <w:r>
        <w:rPr>
          <w:w w:val="115"/>
        </w:rPr>
        <w:t>en</w:t>
      </w:r>
      <w:r>
        <w:rPr>
          <w:spacing w:val="-13"/>
          <w:w w:val="115"/>
        </w:rPr>
        <w:t> </w:t>
      </w:r>
      <w:r>
        <w:rPr>
          <w:w w:val="115"/>
        </w:rPr>
        <w:t>esa</w:t>
      </w:r>
      <w:r>
        <w:rPr>
          <w:spacing w:val="-13"/>
          <w:w w:val="115"/>
        </w:rPr>
        <w:t> </w:t>
      </w:r>
      <w:r>
        <w:rPr>
          <w:w w:val="115"/>
        </w:rPr>
        <w:t>oportunidad</w:t>
      </w:r>
      <w:r>
        <w:rPr>
          <w:spacing w:val="-13"/>
          <w:w w:val="115"/>
        </w:rPr>
        <w:t> </w:t>
      </w:r>
      <w:r>
        <w:rPr>
          <w:w w:val="115"/>
        </w:rPr>
        <w:t>obama</w:t>
      </w:r>
      <w:r>
        <w:rPr>
          <w:spacing w:val="-13"/>
          <w:w w:val="115"/>
        </w:rPr>
        <w:t> </w:t>
      </w:r>
      <w:r>
        <w:rPr>
          <w:w w:val="115"/>
        </w:rPr>
        <w:t>acababa</w:t>
      </w:r>
      <w:r>
        <w:rPr>
          <w:spacing w:val="-13"/>
          <w:w w:val="115"/>
        </w:rPr>
        <w:t> </w:t>
      </w:r>
      <w:r>
        <w:rPr>
          <w:w w:val="115"/>
        </w:rPr>
        <w:t>de</w:t>
      </w:r>
      <w:r>
        <w:rPr>
          <w:spacing w:val="-13"/>
          <w:w w:val="115"/>
        </w:rPr>
        <w:t> </w:t>
      </w:r>
      <w:r>
        <w:rPr>
          <w:w w:val="115"/>
        </w:rPr>
        <w:t>asumir y</w:t>
      </w:r>
      <w:r>
        <w:rPr>
          <w:spacing w:val="-11"/>
          <w:w w:val="115"/>
        </w:rPr>
        <w:t> </w:t>
      </w:r>
      <w:r>
        <w:rPr>
          <w:w w:val="115"/>
        </w:rPr>
        <w:t>todavía</w:t>
      </w:r>
      <w:r>
        <w:rPr>
          <w:spacing w:val="-11"/>
          <w:w w:val="115"/>
        </w:rPr>
        <w:t> </w:t>
      </w:r>
      <w:r>
        <w:rPr>
          <w:w w:val="115"/>
        </w:rPr>
        <w:t>había</w:t>
      </w:r>
      <w:r>
        <w:rPr>
          <w:spacing w:val="-11"/>
          <w:w w:val="115"/>
        </w:rPr>
        <w:t> </w:t>
      </w:r>
      <w:r>
        <w:rPr>
          <w:w w:val="115"/>
        </w:rPr>
        <w:t>esperanzas</w:t>
      </w:r>
      <w:r>
        <w:rPr>
          <w:spacing w:val="-11"/>
          <w:w w:val="115"/>
        </w:rPr>
        <w:t> </w:t>
      </w:r>
      <w:r>
        <w:rPr>
          <w:w w:val="115"/>
        </w:rPr>
        <w:t>en</w:t>
      </w:r>
      <w:r>
        <w:rPr>
          <w:spacing w:val="-11"/>
          <w:w w:val="115"/>
        </w:rPr>
        <w:t> </w:t>
      </w:r>
      <w:r>
        <w:rPr>
          <w:w w:val="115"/>
        </w:rPr>
        <w:t>algunos</w:t>
      </w:r>
      <w:r>
        <w:rPr>
          <w:spacing w:val="-11"/>
          <w:w w:val="115"/>
        </w:rPr>
        <w:t> </w:t>
      </w:r>
      <w:r>
        <w:rPr>
          <w:w w:val="115"/>
        </w:rPr>
        <w:t>gobiernos</w:t>
      </w:r>
      <w:r>
        <w:rPr>
          <w:spacing w:val="-11"/>
          <w:w w:val="115"/>
        </w:rPr>
        <w:t> </w:t>
      </w:r>
      <w:r>
        <w:rPr>
          <w:w w:val="115"/>
        </w:rPr>
        <w:t>de</w:t>
      </w:r>
      <w:r>
        <w:rPr>
          <w:spacing w:val="-11"/>
          <w:w w:val="115"/>
        </w:rPr>
        <w:t> </w:t>
      </w:r>
      <w:r>
        <w:rPr>
          <w:w w:val="115"/>
        </w:rPr>
        <w:t>la</w:t>
      </w:r>
      <w:r>
        <w:rPr>
          <w:spacing w:val="-11"/>
          <w:w w:val="115"/>
        </w:rPr>
        <w:t> </w:t>
      </w:r>
      <w:r>
        <w:rPr>
          <w:w w:val="115"/>
        </w:rPr>
        <w:t>región</w:t>
      </w:r>
      <w:r>
        <w:rPr>
          <w:spacing w:val="-11"/>
          <w:w w:val="115"/>
        </w:rPr>
        <w:t> </w:t>
      </w:r>
      <w:r>
        <w:rPr>
          <w:w w:val="115"/>
        </w:rPr>
        <w:t>de</w:t>
      </w:r>
      <w:r>
        <w:rPr>
          <w:spacing w:val="-11"/>
          <w:w w:val="115"/>
        </w:rPr>
        <w:t> </w:t>
      </w:r>
      <w:r>
        <w:rPr>
          <w:w w:val="115"/>
        </w:rPr>
        <w:t>que </w:t>
      </w:r>
      <w:r>
        <w:rPr>
          <w:w w:val="110"/>
        </w:rPr>
        <w:t>flexibilizara</w:t>
      </w:r>
      <w:r>
        <w:rPr>
          <w:spacing w:val="13"/>
        </w:rPr>
        <w:t> </w:t>
      </w:r>
      <w:r>
        <w:rPr>
          <w:w w:val="109"/>
        </w:rPr>
        <w:t>su</w:t>
      </w:r>
      <w:r>
        <w:rPr>
          <w:spacing w:val="13"/>
        </w:rPr>
        <w:t> </w:t>
      </w:r>
      <w:r>
        <w:rPr>
          <w:w w:val="111"/>
        </w:rPr>
        <w:t>política</w:t>
      </w:r>
      <w:r>
        <w:rPr>
          <w:spacing w:val="13"/>
        </w:rPr>
        <w:t> </w:t>
      </w:r>
      <w:r>
        <w:rPr>
          <w:w w:val="113"/>
        </w:rPr>
        <w:t>hacia</w:t>
      </w:r>
      <w:r>
        <w:rPr>
          <w:spacing w:val="13"/>
        </w:rPr>
        <w:t> </w:t>
      </w:r>
      <w:r>
        <w:rPr>
          <w:w w:val="243"/>
        </w:rPr>
        <w:t>l</w:t>
      </w:r>
      <w:r>
        <w:rPr>
          <w:w w:val="112"/>
        </w:rPr>
        <w:t>a</w:t>
      </w:r>
      <w:r>
        <w:rPr>
          <w:spacing w:val="13"/>
        </w:rPr>
        <w:t> </w:t>
      </w:r>
      <w:r>
        <w:rPr>
          <w:w w:val="115"/>
        </w:rPr>
        <w:t>Habana,</w:t>
      </w:r>
      <w:r>
        <w:rPr>
          <w:spacing w:val="13"/>
        </w:rPr>
        <w:t> </w:t>
      </w:r>
      <w:r>
        <w:rPr>
          <w:w w:val="110"/>
        </w:rPr>
        <w:t>lo</w:t>
      </w:r>
      <w:r>
        <w:rPr>
          <w:spacing w:val="13"/>
        </w:rPr>
        <w:t> </w:t>
      </w:r>
      <w:r>
        <w:rPr>
          <w:w w:val="113"/>
        </w:rPr>
        <w:t>cual</w:t>
      </w:r>
      <w:r>
        <w:rPr>
          <w:spacing w:val="13"/>
        </w:rPr>
        <w:t> </w:t>
      </w:r>
      <w:r>
        <w:rPr>
          <w:w w:val="108"/>
        </w:rPr>
        <w:t>operó</w:t>
      </w:r>
      <w:r>
        <w:rPr>
          <w:spacing w:val="13"/>
        </w:rPr>
        <w:t> </w:t>
      </w:r>
      <w:r>
        <w:rPr>
          <w:w w:val="112"/>
        </w:rPr>
        <w:t>como</w:t>
      </w:r>
      <w:r>
        <w:rPr>
          <w:spacing w:val="13"/>
        </w:rPr>
        <w:t> </w:t>
      </w:r>
      <w:r>
        <w:rPr>
          <w:w w:val="110"/>
        </w:rPr>
        <w:t>línea</w:t>
      </w:r>
      <w:r>
        <w:rPr>
          <w:spacing w:val="13"/>
        </w:rPr>
        <w:t> </w:t>
      </w:r>
      <w:r>
        <w:rPr>
          <w:w w:val="107"/>
        </w:rPr>
        <w:t>de </w:t>
      </w:r>
      <w:r>
        <w:rPr>
          <w:w w:val="115"/>
        </w:rPr>
        <w:t>fuga</w:t>
      </w:r>
      <w:r>
        <w:rPr>
          <w:spacing w:val="-30"/>
          <w:w w:val="115"/>
        </w:rPr>
        <w:t> </w:t>
      </w:r>
      <w:r>
        <w:rPr>
          <w:w w:val="115"/>
        </w:rPr>
        <w:t>de</w:t>
      </w:r>
      <w:r>
        <w:rPr>
          <w:spacing w:val="-30"/>
          <w:w w:val="115"/>
        </w:rPr>
        <w:t> </w:t>
      </w:r>
      <w:r>
        <w:rPr>
          <w:w w:val="115"/>
        </w:rPr>
        <w:t>las</w:t>
      </w:r>
      <w:r>
        <w:rPr>
          <w:spacing w:val="-30"/>
          <w:w w:val="115"/>
        </w:rPr>
        <w:t> </w:t>
      </w:r>
      <w:r>
        <w:rPr>
          <w:w w:val="115"/>
        </w:rPr>
        <w:t>tensiones</w:t>
      </w:r>
      <w:r>
        <w:rPr>
          <w:spacing w:val="-30"/>
          <w:w w:val="115"/>
        </w:rPr>
        <w:t> </w:t>
      </w:r>
      <w:r>
        <w:rPr>
          <w:w w:val="115"/>
        </w:rPr>
        <w:t>interamericanas.</w:t>
      </w:r>
    </w:p>
    <w:p>
      <w:pPr>
        <w:pStyle w:val="BodyText"/>
        <w:spacing w:line="252" w:lineRule="auto"/>
        <w:ind w:left="120" w:right="327" w:firstLine="396"/>
        <w:jc w:val="both"/>
      </w:pPr>
      <w:r>
        <w:rPr>
          <w:w w:val="110"/>
        </w:rPr>
        <w:t>Más allá de la resolución final, el eje bolivariano se anotó un triunfo de entrada. al lograr </w:t>
      </w:r>
      <w:r>
        <w:rPr>
          <w:i/>
          <w:w w:val="110"/>
        </w:rPr>
        <w:t>cubanizar </w:t>
      </w:r>
      <w:r>
        <w:rPr>
          <w:w w:val="110"/>
        </w:rPr>
        <w:t>todos los debates previos a la cumbre, logró justo lo contrario de lo que Estados unidos necesitaba: el bloqueo, la base en Guantánamo y la exclusión de la isla del sistema interamericano son temas que necesariamente alejan a Washington de los países</w:t>
      </w:r>
      <w:r>
        <w:rPr>
          <w:spacing w:val="31"/>
          <w:w w:val="110"/>
        </w:rPr>
        <w:t> </w:t>
      </w:r>
      <w:r>
        <w:rPr>
          <w:w w:val="110"/>
        </w:rPr>
        <w:t>latinoamericanos.</w:t>
      </w:r>
    </w:p>
    <w:p>
      <w:pPr>
        <w:pStyle w:val="BodyText"/>
        <w:spacing w:line="252" w:lineRule="auto"/>
        <w:ind w:left="120" w:right="328" w:firstLine="397"/>
        <w:jc w:val="both"/>
      </w:pPr>
      <w:r>
        <w:rPr>
          <w:w w:val="110"/>
        </w:rPr>
        <w:t>El temario formal de la reunión abarcaba los siguientes puntos: seguridad; acceso y utilización de tecnologías; desastres naturales; reducción de la pobreza y las inequidades; cooperación solidaria; in- tegración física de las américas</w:t>
      </w:r>
      <w:r>
        <w:rPr>
          <w:w w:val="110"/>
          <w:position w:val="6"/>
          <w:sz w:val="11"/>
        </w:rPr>
        <w:t>27</w:t>
      </w:r>
      <w:r>
        <w:rPr>
          <w:w w:val="110"/>
        </w:rPr>
        <w:t>. En su convocatoria, la cancillería colombiana</w:t>
      </w:r>
      <w:r>
        <w:rPr>
          <w:spacing w:val="-5"/>
          <w:w w:val="110"/>
        </w:rPr>
        <w:t> </w:t>
      </w:r>
      <w:r>
        <w:rPr>
          <w:w w:val="110"/>
        </w:rPr>
        <w:t>insistió</w:t>
      </w:r>
      <w:r>
        <w:rPr>
          <w:spacing w:val="-5"/>
          <w:w w:val="110"/>
        </w:rPr>
        <w:t> </w:t>
      </w:r>
      <w:r>
        <w:rPr>
          <w:w w:val="110"/>
        </w:rPr>
        <w:t>en</w:t>
      </w:r>
      <w:r>
        <w:rPr>
          <w:spacing w:val="-5"/>
          <w:w w:val="110"/>
        </w:rPr>
        <w:t> </w:t>
      </w:r>
      <w:r>
        <w:rPr>
          <w:w w:val="110"/>
        </w:rPr>
        <w:t>reiteradas</w:t>
      </w:r>
      <w:r>
        <w:rPr>
          <w:spacing w:val="-5"/>
          <w:w w:val="110"/>
        </w:rPr>
        <w:t> </w:t>
      </w:r>
      <w:r>
        <w:rPr>
          <w:w w:val="110"/>
        </w:rPr>
        <w:t>oportunidades</w:t>
      </w:r>
      <w:r>
        <w:rPr>
          <w:spacing w:val="-5"/>
          <w:w w:val="110"/>
        </w:rPr>
        <w:t> </w:t>
      </w:r>
      <w:r>
        <w:rPr>
          <w:w w:val="110"/>
        </w:rPr>
        <w:t>en</w:t>
      </w:r>
      <w:r>
        <w:rPr>
          <w:spacing w:val="-5"/>
          <w:w w:val="110"/>
        </w:rPr>
        <w:t> </w:t>
      </w:r>
      <w:r>
        <w:rPr>
          <w:w w:val="110"/>
        </w:rPr>
        <w:t>que</w:t>
      </w:r>
      <w:r>
        <w:rPr>
          <w:spacing w:val="-5"/>
          <w:w w:val="110"/>
        </w:rPr>
        <w:t> </w:t>
      </w:r>
      <w:r>
        <w:rPr>
          <w:w w:val="110"/>
        </w:rPr>
        <w:t>el</w:t>
      </w:r>
      <w:r>
        <w:rPr>
          <w:spacing w:val="-5"/>
          <w:w w:val="110"/>
        </w:rPr>
        <w:t> </w:t>
      </w:r>
      <w:r>
        <w:rPr>
          <w:w w:val="110"/>
        </w:rPr>
        <w:t>objetivo</w:t>
      </w:r>
      <w:r>
        <w:rPr>
          <w:spacing w:val="-5"/>
          <w:w w:val="110"/>
        </w:rPr>
        <w:t> </w:t>
      </w:r>
      <w:r>
        <w:rPr>
          <w:w w:val="110"/>
        </w:rPr>
        <w:t>era arribar a resultados tangibles y concretos. Este énfasis tenía que ver con una apreciación bastante generalizada, incluso al interior de los cuerpos diplomáticos, de lo poco fructíferas que son estas reuniones en términos de avances reales en cuestiones de integración, infraes- tructura, desarrollo tecnológico conjunto y comercio. Hasta ahora, las cumbres constituyeron más bien ámbitos de debate </w:t>
      </w:r>
      <w:r>
        <w:rPr>
          <w:spacing w:val="18"/>
          <w:w w:val="110"/>
        </w:rPr>
        <w:t> </w:t>
      </w:r>
      <w:r>
        <w:rPr>
          <w:w w:val="110"/>
        </w:rPr>
        <w:t>político.</w:t>
      </w:r>
    </w:p>
    <w:p>
      <w:pPr>
        <w:pStyle w:val="BodyText"/>
        <w:spacing w:line="252" w:lineRule="auto"/>
        <w:ind w:left="120" w:right="328" w:firstLine="396"/>
        <w:jc w:val="both"/>
      </w:pPr>
      <w:r>
        <w:rPr>
          <w:w w:val="110"/>
        </w:rPr>
        <w:t>así, si bien estaba prevista la realización de cuatro foros entre el  9 y el 13 de abril (jóvenes emprendedores, pueblos indígenas y afro- colombianos, sector laboral y sector civil) y de diversos foros</w:t>
      </w:r>
      <w:r>
        <w:rPr>
          <w:spacing w:val="-21"/>
          <w:w w:val="110"/>
        </w:rPr>
        <w:t> </w:t>
      </w:r>
      <w:r>
        <w:rPr>
          <w:w w:val="110"/>
        </w:rPr>
        <w:t>prepara-</w:t>
      </w:r>
    </w:p>
    <w:p>
      <w:pPr>
        <w:pStyle w:val="BodyText"/>
        <w:spacing w:before="3"/>
        <w:rPr>
          <w:sz w:val="18"/>
        </w:rPr>
      </w:pPr>
      <w:r>
        <w:rPr/>
        <w:pict>
          <v:line style="position:absolute;mso-position-horizontal-relative:page;mso-position-vertical-relative:paragraph;z-index:8200;mso-wrap-distance-left:0;mso-wrap-distance-right:0" from="51.023602pt,12.930831pt" to="79.369602pt,12.930831pt" stroked="true" strokeweight=".5pt" strokecolor="#000000">
            <w10:wrap type="topAndBottom"/>
          </v:line>
        </w:pict>
      </w:r>
    </w:p>
    <w:p>
      <w:pPr>
        <w:pStyle w:val="ListParagraph"/>
        <w:numPr>
          <w:ilvl w:val="0"/>
          <w:numId w:val="34"/>
        </w:numPr>
        <w:tabs>
          <w:tab w:pos="376" w:val="left" w:leader="none"/>
        </w:tabs>
        <w:spacing w:line="240" w:lineRule="auto" w:before="89" w:after="0"/>
        <w:ind w:left="375" w:right="0" w:hanging="255"/>
        <w:jc w:val="left"/>
        <w:rPr>
          <w:sz w:val="16"/>
        </w:rPr>
      </w:pPr>
      <w:r>
        <w:rPr>
          <w:i/>
          <w:w w:val="110"/>
          <w:sz w:val="16"/>
        </w:rPr>
        <w:t>El nuevo Herald</w:t>
      </w:r>
      <w:r>
        <w:rPr>
          <w:w w:val="110"/>
          <w:sz w:val="16"/>
        </w:rPr>
        <w:t>, Miami, 22 de febrero de</w:t>
      </w:r>
      <w:r>
        <w:rPr>
          <w:spacing w:val="-11"/>
          <w:w w:val="110"/>
          <w:sz w:val="16"/>
        </w:rPr>
        <w:t> </w:t>
      </w:r>
      <w:r>
        <w:rPr>
          <w:w w:val="110"/>
          <w:sz w:val="16"/>
        </w:rPr>
        <w:t>2012.</w:t>
      </w:r>
    </w:p>
    <w:p>
      <w:pPr>
        <w:pStyle w:val="ListParagraph"/>
        <w:numPr>
          <w:ilvl w:val="0"/>
          <w:numId w:val="34"/>
        </w:numPr>
        <w:tabs>
          <w:tab w:pos="376" w:val="left" w:leader="none"/>
        </w:tabs>
        <w:spacing w:line="242" w:lineRule="auto" w:before="59" w:after="0"/>
        <w:ind w:left="120" w:right="328" w:firstLine="0"/>
        <w:jc w:val="left"/>
        <w:rPr>
          <w:sz w:val="16"/>
        </w:rPr>
      </w:pPr>
      <w:r>
        <w:rPr>
          <w:spacing w:val="-3"/>
          <w:w w:val="105"/>
          <w:sz w:val="16"/>
        </w:rPr>
        <w:t>Véase </w:t>
      </w:r>
      <w:r>
        <w:rPr>
          <w:w w:val="105"/>
          <w:sz w:val="16"/>
        </w:rPr>
        <w:t>la página web oficial de la Vi Cumbre: </w:t>
      </w:r>
      <w:hyperlink r:id="rId508">
        <w:r>
          <w:rPr>
            <w:w w:val="105"/>
            <w:sz w:val="16"/>
          </w:rPr>
          <w:t>&lt;http://www.summit-americas.org/</w:t>
        </w:r>
      </w:hyperlink>
      <w:r>
        <w:rPr>
          <w:w w:val="105"/>
          <w:sz w:val="16"/>
        </w:rPr>
        <w:t> vi_summit_es.html&gt;.</w:t>
      </w:r>
    </w:p>
    <w:p>
      <w:pPr>
        <w:spacing w:after="0" w:line="242" w:lineRule="auto"/>
        <w:jc w:val="left"/>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torios de actores sociales, lo cierto es que la atención general estuvo centrada en los debates presidenciales que se realizaron el 14 y 15   de abril (el último día, los mandatarios tuvieron una extensa reunión confidencial con agenda</w:t>
      </w:r>
      <w:r>
        <w:rPr>
          <w:spacing w:val="39"/>
          <w:w w:val="110"/>
        </w:rPr>
        <w:t> </w:t>
      </w:r>
      <w:r>
        <w:rPr>
          <w:w w:val="110"/>
        </w:rPr>
        <w:t>abierta).</w:t>
      </w:r>
    </w:p>
    <w:p>
      <w:pPr>
        <w:pStyle w:val="BodyText"/>
        <w:spacing w:line="252" w:lineRule="auto"/>
        <w:ind w:left="330" w:right="117" w:firstLine="396"/>
        <w:jc w:val="both"/>
      </w:pPr>
      <w:r>
        <w:rPr>
          <w:w w:val="110"/>
        </w:rPr>
        <w:t>además del bloqueo económico y exclusión de Cuba del sistema interamericano, los préstamos, las restricciones comerciales y el re- clamo argentino por Malvinas, la cuestión del narcotráfico se planteó como una problemática central. En las semanas previas a la Cumbre, los gobiernos colombiano y guatemalteco plantearon la necesidad de legalizar y regular el comercio de algunas drogas. El fracaso de la </w:t>
      </w:r>
      <w:r>
        <w:rPr>
          <w:i/>
          <w:w w:val="110"/>
        </w:rPr>
        <w:t>gue- </w:t>
      </w:r>
      <w:r>
        <w:rPr>
          <w:i/>
          <w:w w:val="110"/>
        </w:rPr>
        <w:t>rra contra las drogas </w:t>
      </w:r>
      <w:r>
        <w:rPr>
          <w:w w:val="110"/>
        </w:rPr>
        <w:t>impulsada por Estados unidos desde el gobierno de Nixon llevó a los países de la región a proponer un cambio de para- </w:t>
      </w:r>
      <w:r>
        <w:rPr>
          <w:w w:val="114"/>
        </w:rPr>
        <w:t>digma.</w:t>
      </w:r>
      <w:r>
        <w:rPr/>
        <w:t> </w:t>
      </w:r>
      <w:r>
        <w:rPr>
          <w:spacing w:val="-21"/>
        </w:rPr>
        <w:t> </w:t>
      </w:r>
      <w:r>
        <w:rPr>
          <w:w w:val="243"/>
        </w:rPr>
        <w:t>l</w:t>
      </w:r>
      <w:r>
        <w:rPr>
          <w:w w:val="112"/>
        </w:rPr>
        <w:t>a</w:t>
      </w:r>
      <w:r>
        <w:rPr/>
        <w:t> </w:t>
      </w:r>
      <w:r>
        <w:rPr>
          <w:spacing w:val="-21"/>
        </w:rPr>
        <w:t> </w:t>
      </w:r>
      <w:r>
        <w:rPr>
          <w:w w:val="140"/>
        </w:rPr>
        <w:t>u</w:t>
      </w:r>
      <w:r>
        <w:rPr>
          <w:w w:val="119"/>
        </w:rPr>
        <w:t>N</w:t>
      </w:r>
      <w:r>
        <w:rPr>
          <w:w w:val="151"/>
        </w:rPr>
        <w:t>asur</w:t>
      </w:r>
      <w:r>
        <w:rPr/>
        <w:t> </w:t>
      </w:r>
      <w:r>
        <w:rPr>
          <w:spacing w:val="-21"/>
        </w:rPr>
        <w:t> </w:t>
      </w:r>
      <w:r>
        <w:rPr>
          <w:w w:val="112"/>
        </w:rPr>
        <w:t>anunció</w:t>
      </w:r>
      <w:r>
        <w:rPr/>
        <w:t> </w:t>
      </w:r>
      <w:r>
        <w:rPr>
          <w:spacing w:val="-21"/>
        </w:rPr>
        <w:t> </w:t>
      </w:r>
      <w:r>
        <w:rPr>
          <w:w w:val="108"/>
        </w:rPr>
        <w:t>que</w:t>
      </w:r>
      <w:r>
        <w:rPr/>
        <w:t> </w:t>
      </w:r>
      <w:r>
        <w:rPr>
          <w:spacing w:val="-21"/>
        </w:rPr>
        <w:t> </w:t>
      </w:r>
      <w:r>
        <w:rPr>
          <w:w w:val="108"/>
        </w:rPr>
        <w:t>en</w:t>
      </w:r>
      <w:r>
        <w:rPr/>
        <w:t> </w:t>
      </w:r>
      <w:r>
        <w:rPr>
          <w:spacing w:val="-21"/>
        </w:rPr>
        <w:t> </w:t>
      </w:r>
      <w:r>
        <w:rPr>
          <w:w w:val="111"/>
        </w:rPr>
        <w:t>la</w:t>
      </w:r>
      <w:r>
        <w:rPr/>
        <w:t> </w:t>
      </w:r>
      <w:r>
        <w:rPr>
          <w:spacing w:val="-21"/>
        </w:rPr>
        <w:t> </w:t>
      </w:r>
      <w:r>
        <w:rPr>
          <w:w w:val="110"/>
        </w:rPr>
        <w:t>reunión</w:t>
      </w:r>
      <w:r>
        <w:rPr/>
        <w:t> </w:t>
      </w:r>
      <w:r>
        <w:rPr>
          <w:spacing w:val="-21"/>
        </w:rPr>
        <w:t> </w:t>
      </w:r>
      <w:r>
        <w:rPr>
          <w:w w:val="110"/>
        </w:rPr>
        <w:t>ministerial</w:t>
      </w:r>
      <w:r>
        <w:rPr/>
        <w:t> </w:t>
      </w:r>
      <w:r>
        <w:rPr>
          <w:spacing w:val="-21"/>
        </w:rPr>
        <w:t> </w:t>
      </w:r>
      <w:r>
        <w:rPr>
          <w:w w:val="108"/>
        </w:rPr>
        <w:t>que</w:t>
      </w:r>
      <w:r>
        <w:rPr/>
        <w:t> </w:t>
      </w:r>
      <w:r>
        <w:rPr>
          <w:spacing w:val="-21"/>
        </w:rPr>
        <w:t> </w:t>
      </w:r>
      <w:r>
        <w:rPr>
          <w:w w:val="109"/>
        </w:rPr>
        <w:t>real</w:t>
      </w:r>
      <w:r>
        <w:rPr>
          <w:spacing w:val="-1"/>
          <w:w w:val="109"/>
        </w:rPr>
        <w:t>i</w:t>
      </w:r>
      <w:r>
        <w:rPr>
          <w:w w:val="102"/>
        </w:rPr>
        <w:t>- </w:t>
      </w:r>
      <w:r>
        <w:rPr>
          <w:w w:val="110"/>
        </w:rPr>
        <w:t>zaría al mes siguiente, en mayo, discutiría alternativas para abordar la problemática. El departamento de Estado debió resignarse a aceptar la inclusión de este debate en Cartagena, aunque su vocero –Michael Hammer– declaró que la despenalización es un camino al que </w:t>
      </w:r>
      <w:r>
        <w:rPr>
          <w:spacing w:val="-3"/>
          <w:w w:val="110"/>
        </w:rPr>
        <w:t>Wash- </w:t>
      </w:r>
      <w:r>
        <w:rPr>
          <w:w w:val="110"/>
        </w:rPr>
        <w:t>ington se opone (tokatlian,</w:t>
      </w:r>
      <w:r>
        <w:rPr>
          <w:spacing w:val="42"/>
          <w:w w:val="110"/>
        </w:rPr>
        <w:t> </w:t>
      </w:r>
      <w:r>
        <w:rPr>
          <w:w w:val="110"/>
        </w:rPr>
        <w:t>2012).</w:t>
      </w:r>
    </w:p>
    <w:p>
      <w:pPr>
        <w:pStyle w:val="BodyText"/>
        <w:spacing w:line="252" w:lineRule="auto"/>
        <w:ind w:left="330" w:right="117" w:firstLine="396"/>
        <w:jc w:val="both"/>
      </w:pPr>
      <w:r>
        <w:rPr>
          <w:w w:val="110"/>
        </w:rPr>
        <w:t>Entre el 12 y el 14 de abril se llevó a cabo la Cumbre de los Pue- blos, una reunión alternativa organizada por diversos movimientos sociales, y que desarrolló una agenda totalmente distinta a la del en- cuentro oficial. sin el despliegue que tuvo la contra-cumbre de Mar  del Plata, en 2005, esta reunión profundizó los debates sobre la otra integración</w:t>
      </w:r>
      <w:r>
        <w:rPr>
          <w:spacing w:val="11"/>
          <w:w w:val="110"/>
        </w:rPr>
        <w:t> </w:t>
      </w:r>
      <w:r>
        <w:rPr>
          <w:w w:val="110"/>
        </w:rPr>
        <w:t>posible</w:t>
      </w:r>
      <w:r>
        <w:rPr>
          <w:w w:val="110"/>
          <w:position w:val="6"/>
          <w:sz w:val="11"/>
        </w:rPr>
        <w:t>28</w:t>
      </w:r>
      <w:r>
        <w:rPr>
          <w:w w:val="110"/>
        </w:rPr>
        <w:t>.</w:t>
      </w:r>
    </w:p>
    <w:p>
      <w:pPr>
        <w:pStyle w:val="BodyText"/>
        <w:spacing w:line="252" w:lineRule="auto"/>
        <w:ind w:left="330" w:right="117" w:firstLine="396"/>
        <w:jc w:val="both"/>
      </w:pPr>
      <w:r>
        <w:rPr>
          <w:i/>
          <w:w w:val="110"/>
        </w:rPr>
        <w:t>¿</w:t>
      </w:r>
      <w:r>
        <w:rPr>
          <w:w w:val="110"/>
        </w:rPr>
        <w:t>Cuál fue el saldo de la Cumbre de Cartagena? Fue la tercera con- secutiva en la que no hubo consenso para firmar la declaración final. Fue el cónclave al que más jefes de Estado faltaron (Correa, Chávez, ortega y Martelly). Quedó claro que Washington ya no domina como antes: los tres temas principales de debate fueron planteados por los países latinoamericanos, a pesar de los deseos de la Casa blanca. En dos temas prioritarios hubo consenso de 32 países: Cuba y Malvinas. Mientras los mandatarios latinoamericanos se pronunciaron por el   fin</w:t>
      </w:r>
      <w:r>
        <w:rPr>
          <w:spacing w:val="17"/>
          <w:w w:val="110"/>
        </w:rPr>
        <w:t> </w:t>
      </w:r>
      <w:r>
        <w:rPr>
          <w:w w:val="110"/>
        </w:rPr>
        <w:t>del</w:t>
      </w:r>
      <w:r>
        <w:rPr>
          <w:spacing w:val="17"/>
          <w:w w:val="110"/>
        </w:rPr>
        <w:t> </w:t>
      </w:r>
      <w:r>
        <w:rPr>
          <w:w w:val="110"/>
        </w:rPr>
        <w:t>bloqueo</w:t>
      </w:r>
      <w:r>
        <w:rPr>
          <w:spacing w:val="17"/>
          <w:w w:val="110"/>
        </w:rPr>
        <w:t> </w:t>
      </w:r>
      <w:r>
        <w:rPr>
          <w:w w:val="110"/>
        </w:rPr>
        <w:t>y</w:t>
      </w:r>
      <w:r>
        <w:rPr>
          <w:spacing w:val="17"/>
          <w:w w:val="110"/>
        </w:rPr>
        <w:t> </w:t>
      </w:r>
      <w:r>
        <w:rPr>
          <w:w w:val="110"/>
        </w:rPr>
        <w:t>la</w:t>
      </w:r>
      <w:r>
        <w:rPr>
          <w:spacing w:val="17"/>
          <w:w w:val="110"/>
        </w:rPr>
        <w:t> </w:t>
      </w:r>
      <w:r>
        <w:rPr>
          <w:w w:val="110"/>
        </w:rPr>
        <w:t>exclusión</w:t>
      </w:r>
      <w:r>
        <w:rPr>
          <w:spacing w:val="17"/>
          <w:w w:val="110"/>
        </w:rPr>
        <w:t> </w:t>
      </w:r>
      <w:r>
        <w:rPr>
          <w:w w:val="110"/>
        </w:rPr>
        <w:t>de</w:t>
      </w:r>
      <w:r>
        <w:rPr>
          <w:spacing w:val="17"/>
          <w:w w:val="110"/>
        </w:rPr>
        <w:t> </w:t>
      </w:r>
      <w:r>
        <w:rPr>
          <w:w w:val="110"/>
        </w:rPr>
        <w:t>Cuba</w:t>
      </w:r>
      <w:r>
        <w:rPr>
          <w:spacing w:val="17"/>
          <w:w w:val="110"/>
        </w:rPr>
        <w:t> </w:t>
      </w:r>
      <w:r>
        <w:rPr>
          <w:w w:val="110"/>
        </w:rPr>
        <w:t>y</w:t>
      </w:r>
      <w:r>
        <w:rPr>
          <w:spacing w:val="17"/>
          <w:w w:val="110"/>
        </w:rPr>
        <w:t> </w:t>
      </w:r>
      <w:r>
        <w:rPr>
          <w:w w:val="110"/>
        </w:rPr>
        <w:t>por</w:t>
      </w:r>
      <w:r>
        <w:rPr>
          <w:spacing w:val="17"/>
          <w:w w:val="110"/>
        </w:rPr>
        <w:t> </w:t>
      </w:r>
      <w:r>
        <w:rPr>
          <w:w w:val="110"/>
        </w:rPr>
        <w:t>los</w:t>
      </w:r>
      <w:r>
        <w:rPr>
          <w:spacing w:val="17"/>
          <w:w w:val="110"/>
        </w:rPr>
        <w:t> </w:t>
      </w:r>
      <w:r>
        <w:rPr>
          <w:w w:val="110"/>
        </w:rPr>
        <w:t>reclamos</w:t>
      </w:r>
      <w:r>
        <w:rPr>
          <w:spacing w:val="17"/>
          <w:w w:val="110"/>
        </w:rPr>
        <w:t> </w:t>
      </w:r>
      <w:r>
        <w:rPr>
          <w:w w:val="110"/>
        </w:rPr>
        <w:t>argentinos</w:t>
      </w:r>
    </w:p>
    <w:p>
      <w:pPr>
        <w:pStyle w:val="BodyText"/>
        <w:spacing w:before="5"/>
        <w:rPr>
          <w:sz w:val="29"/>
        </w:rPr>
      </w:pPr>
      <w:r>
        <w:rPr/>
        <w:pict>
          <v:line style="position:absolute;mso-position-horizontal-relative:page;mso-position-vertical-relative:paragraph;z-index:8224;mso-wrap-distance-left:0;mso-wrap-distance-right:0" from="76.5354pt,19.470837pt" to="104.8814pt,19.470837pt" stroked="true" strokeweight=".5pt" strokecolor="#000000">
            <w10:wrap type="topAndBottom"/>
          </v:line>
        </w:pict>
      </w:r>
    </w:p>
    <w:p>
      <w:pPr>
        <w:pStyle w:val="ListParagraph"/>
        <w:numPr>
          <w:ilvl w:val="0"/>
          <w:numId w:val="34"/>
        </w:numPr>
        <w:tabs>
          <w:tab w:pos="586" w:val="left" w:leader="none"/>
        </w:tabs>
        <w:spacing w:line="242" w:lineRule="auto" w:before="89" w:after="0"/>
        <w:ind w:left="330" w:right="117" w:firstLine="0"/>
        <w:jc w:val="both"/>
        <w:rPr>
          <w:sz w:val="16"/>
        </w:rPr>
      </w:pPr>
      <w:r>
        <w:rPr>
          <w:w w:val="136"/>
          <w:sz w:val="16"/>
        </w:rPr>
        <w:t>d</w:t>
      </w:r>
      <w:r>
        <w:rPr>
          <w:w w:val="107"/>
          <w:sz w:val="16"/>
        </w:rPr>
        <w:t>esarrollamos</w:t>
      </w:r>
      <w:r>
        <w:rPr>
          <w:sz w:val="16"/>
        </w:rPr>
        <w:t> </w:t>
      </w:r>
      <w:r>
        <w:rPr>
          <w:spacing w:val="-14"/>
          <w:sz w:val="16"/>
        </w:rPr>
        <w:t> </w:t>
      </w:r>
      <w:r>
        <w:rPr>
          <w:w w:val="104"/>
          <w:sz w:val="16"/>
        </w:rPr>
        <w:t>el</w:t>
      </w:r>
      <w:r>
        <w:rPr>
          <w:sz w:val="16"/>
        </w:rPr>
        <w:t> </w:t>
      </w:r>
      <w:r>
        <w:rPr>
          <w:spacing w:val="-14"/>
          <w:sz w:val="16"/>
        </w:rPr>
        <w:t> </w:t>
      </w:r>
      <w:r>
        <w:rPr>
          <w:w w:val="107"/>
          <w:sz w:val="16"/>
        </w:rPr>
        <w:t>temario</w:t>
      </w:r>
      <w:r>
        <w:rPr>
          <w:sz w:val="16"/>
        </w:rPr>
        <w:t> </w:t>
      </w:r>
      <w:r>
        <w:rPr>
          <w:spacing w:val="-14"/>
          <w:sz w:val="16"/>
        </w:rPr>
        <w:t> </w:t>
      </w:r>
      <w:r>
        <w:rPr>
          <w:w w:val="104"/>
          <w:sz w:val="16"/>
        </w:rPr>
        <w:t>de</w:t>
      </w:r>
      <w:r>
        <w:rPr>
          <w:sz w:val="16"/>
        </w:rPr>
        <w:t> </w:t>
      </w:r>
      <w:r>
        <w:rPr>
          <w:spacing w:val="-14"/>
          <w:sz w:val="16"/>
        </w:rPr>
        <w:t> </w:t>
      </w:r>
      <w:r>
        <w:rPr>
          <w:w w:val="103"/>
          <w:sz w:val="16"/>
        </w:rPr>
        <w:t>este</w:t>
      </w:r>
      <w:r>
        <w:rPr>
          <w:sz w:val="16"/>
        </w:rPr>
        <w:t> </w:t>
      </w:r>
      <w:r>
        <w:rPr>
          <w:spacing w:val="-14"/>
          <w:sz w:val="16"/>
        </w:rPr>
        <w:t> </w:t>
      </w:r>
      <w:r>
        <w:rPr>
          <w:w w:val="107"/>
          <w:sz w:val="16"/>
        </w:rPr>
        <w:t>encuentro</w:t>
      </w:r>
      <w:r>
        <w:rPr>
          <w:sz w:val="16"/>
        </w:rPr>
        <w:t> </w:t>
      </w:r>
      <w:r>
        <w:rPr>
          <w:spacing w:val="-14"/>
          <w:sz w:val="16"/>
        </w:rPr>
        <w:t> </w:t>
      </w:r>
      <w:r>
        <w:rPr>
          <w:w w:val="106"/>
          <w:sz w:val="16"/>
        </w:rPr>
        <w:t>en</w:t>
      </w:r>
      <w:r>
        <w:rPr>
          <w:sz w:val="16"/>
        </w:rPr>
        <w:t> </w:t>
      </w:r>
      <w:r>
        <w:rPr>
          <w:spacing w:val="-14"/>
          <w:sz w:val="16"/>
        </w:rPr>
        <w:t> </w:t>
      </w:r>
      <w:r>
        <w:rPr>
          <w:w w:val="108"/>
          <w:sz w:val="16"/>
        </w:rPr>
        <w:t>Morgenfeld</w:t>
      </w:r>
      <w:r>
        <w:rPr>
          <w:sz w:val="16"/>
        </w:rPr>
        <w:t> </w:t>
      </w:r>
      <w:r>
        <w:rPr>
          <w:spacing w:val="-14"/>
          <w:sz w:val="16"/>
        </w:rPr>
        <w:t> </w:t>
      </w:r>
      <w:r>
        <w:rPr>
          <w:w w:val="103"/>
          <w:sz w:val="16"/>
        </w:rPr>
        <w:t>(2012c).</w:t>
      </w:r>
      <w:r>
        <w:rPr>
          <w:sz w:val="16"/>
        </w:rPr>
        <w:t> </w:t>
      </w:r>
      <w:r>
        <w:rPr>
          <w:spacing w:val="-14"/>
          <w:sz w:val="16"/>
        </w:rPr>
        <w:t> </w:t>
      </w:r>
      <w:r>
        <w:rPr>
          <w:w w:val="238"/>
          <w:sz w:val="16"/>
        </w:rPr>
        <w:t>l</w:t>
      </w:r>
      <w:r>
        <w:rPr>
          <w:w w:val="109"/>
          <w:sz w:val="16"/>
        </w:rPr>
        <w:t>a</w:t>
      </w:r>
      <w:r>
        <w:rPr>
          <w:sz w:val="16"/>
        </w:rPr>
        <w:t> </w:t>
      </w:r>
      <w:r>
        <w:rPr>
          <w:spacing w:val="-14"/>
          <w:sz w:val="16"/>
        </w:rPr>
        <w:t> </w:t>
      </w:r>
      <w:r>
        <w:rPr>
          <w:w w:val="107"/>
          <w:sz w:val="16"/>
        </w:rPr>
        <w:t>primera </w:t>
      </w:r>
      <w:r>
        <w:rPr>
          <w:w w:val="110"/>
          <w:sz w:val="16"/>
        </w:rPr>
        <w:t>Cumbre de los Pueblos se realizó en santiago de Chile en 1998, con una agenda</w:t>
      </w:r>
      <w:r>
        <w:rPr>
          <w:spacing w:val="-24"/>
          <w:w w:val="110"/>
          <w:sz w:val="16"/>
        </w:rPr>
        <w:t> </w:t>
      </w:r>
      <w:r>
        <w:rPr>
          <w:w w:val="110"/>
          <w:sz w:val="16"/>
        </w:rPr>
        <w:t>pro- pia, y una explícita oposición al </w:t>
      </w:r>
      <w:r>
        <w:rPr>
          <w:w w:val="145"/>
          <w:sz w:val="16"/>
        </w:rPr>
        <w:t>alCa, </w:t>
      </w:r>
      <w:r>
        <w:rPr>
          <w:w w:val="110"/>
          <w:sz w:val="16"/>
        </w:rPr>
        <w:t>los tratados de libre comercio, el pago de la deuda</w:t>
      </w:r>
      <w:r>
        <w:rPr>
          <w:spacing w:val="-14"/>
          <w:w w:val="110"/>
          <w:sz w:val="16"/>
        </w:rPr>
        <w:t> </w:t>
      </w:r>
      <w:r>
        <w:rPr>
          <w:w w:val="110"/>
          <w:sz w:val="16"/>
        </w:rPr>
        <w:t>externa,</w:t>
      </w:r>
      <w:r>
        <w:rPr>
          <w:spacing w:val="-14"/>
          <w:w w:val="110"/>
          <w:sz w:val="16"/>
        </w:rPr>
        <w:t> </w:t>
      </w:r>
      <w:r>
        <w:rPr>
          <w:w w:val="110"/>
          <w:sz w:val="16"/>
        </w:rPr>
        <w:t>la</w:t>
      </w:r>
      <w:r>
        <w:rPr>
          <w:spacing w:val="-14"/>
          <w:w w:val="110"/>
          <w:sz w:val="16"/>
        </w:rPr>
        <w:t> </w:t>
      </w:r>
      <w:r>
        <w:rPr>
          <w:w w:val="110"/>
          <w:sz w:val="16"/>
        </w:rPr>
        <w:t>militarización</w:t>
      </w:r>
      <w:r>
        <w:rPr>
          <w:spacing w:val="-14"/>
          <w:w w:val="110"/>
          <w:sz w:val="16"/>
        </w:rPr>
        <w:t> </w:t>
      </w:r>
      <w:r>
        <w:rPr>
          <w:w w:val="110"/>
          <w:sz w:val="16"/>
        </w:rPr>
        <w:t>continental,</w:t>
      </w:r>
      <w:r>
        <w:rPr>
          <w:spacing w:val="-14"/>
          <w:w w:val="110"/>
          <w:sz w:val="16"/>
        </w:rPr>
        <w:t> </w:t>
      </w:r>
      <w:r>
        <w:rPr>
          <w:w w:val="110"/>
          <w:sz w:val="16"/>
        </w:rPr>
        <w:t>las</w:t>
      </w:r>
      <w:r>
        <w:rPr>
          <w:spacing w:val="-14"/>
          <w:w w:val="110"/>
          <w:sz w:val="16"/>
        </w:rPr>
        <w:t> </w:t>
      </w:r>
      <w:r>
        <w:rPr>
          <w:w w:val="110"/>
          <w:sz w:val="16"/>
        </w:rPr>
        <w:t>políticas</w:t>
      </w:r>
      <w:r>
        <w:rPr>
          <w:spacing w:val="-14"/>
          <w:w w:val="110"/>
          <w:sz w:val="16"/>
        </w:rPr>
        <w:t> </w:t>
      </w:r>
      <w:r>
        <w:rPr>
          <w:w w:val="110"/>
          <w:sz w:val="16"/>
        </w:rPr>
        <w:t>neoliberales</w:t>
      </w:r>
      <w:r>
        <w:rPr>
          <w:spacing w:val="-14"/>
          <w:w w:val="110"/>
          <w:sz w:val="16"/>
        </w:rPr>
        <w:t> </w:t>
      </w:r>
      <w:r>
        <w:rPr>
          <w:w w:val="110"/>
          <w:sz w:val="16"/>
        </w:rPr>
        <w:t>y</w:t>
      </w:r>
      <w:r>
        <w:rPr>
          <w:spacing w:val="-14"/>
          <w:w w:val="110"/>
          <w:sz w:val="16"/>
        </w:rPr>
        <w:t> </w:t>
      </w:r>
      <w:r>
        <w:rPr>
          <w:w w:val="110"/>
          <w:sz w:val="16"/>
        </w:rPr>
        <w:t>el</w:t>
      </w:r>
      <w:r>
        <w:rPr>
          <w:spacing w:val="-14"/>
          <w:w w:val="110"/>
          <w:sz w:val="16"/>
        </w:rPr>
        <w:t> </w:t>
      </w:r>
      <w:r>
        <w:rPr>
          <w:w w:val="110"/>
          <w:sz w:val="16"/>
        </w:rPr>
        <w:t>consecuen- </w:t>
      </w:r>
      <w:r>
        <w:rPr>
          <w:w w:val="103"/>
          <w:sz w:val="16"/>
        </w:rPr>
        <w:t>te</w:t>
      </w:r>
      <w:r>
        <w:rPr>
          <w:spacing w:val="4"/>
          <w:sz w:val="16"/>
        </w:rPr>
        <w:t> </w:t>
      </w:r>
      <w:r>
        <w:rPr>
          <w:w w:val="108"/>
          <w:sz w:val="16"/>
        </w:rPr>
        <w:t>aumento</w:t>
      </w:r>
      <w:r>
        <w:rPr>
          <w:spacing w:val="4"/>
          <w:sz w:val="16"/>
        </w:rPr>
        <w:t> </w:t>
      </w:r>
      <w:r>
        <w:rPr>
          <w:w w:val="104"/>
          <w:sz w:val="16"/>
        </w:rPr>
        <w:t>de</w:t>
      </w:r>
      <w:r>
        <w:rPr>
          <w:spacing w:val="4"/>
          <w:sz w:val="16"/>
        </w:rPr>
        <w:t> </w:t>
      </w:r>
      <w:r>
        <w:rPr>
          <w:w w:val="109"/>
          <w:sz w:val="16"/>
        </w:rPr>
        <w:t>la</w:t>
      </w:r>
      <w:r>
        <w:rPr>
          <w:spacing w:val="4"/>
          <w:sz w:val="16"/>
        </w:rPr>
        <w:t> </w:t>
      </w:r>
      <w:r>
        <w:rPr>
          <w:w w:val="107"/>
          <w:sz w:val="16"/>
        </w:rPr>
        <w:t>pobreza</w:t>
      </w:r>
      <w:r>
        <w:rPr>
          <w:spacing w:val="4"/>
          <w:sz w:val="16"/>
        </w:rPr>
        <w:t> </w:t>
      </w:r>
      <w:r>
        <w:rPr>
          <w:w w:val="106"/>
          <w:sz w:val="16"/>
        </w:rPr>
        <w:t>en</w:t>
      </w:r>
      <w:r>
        <w:rPr>
          <w:spacing w:val="4"/>
          <w:sz w:val="16"/>
        </w:rPr>
        <w:t> </w:t>
      </w:r>
      <w:r>
        <w:rPr>
          <w:w w:val="136"/>
          <w:sz w:val="16"/>
        </w:rPr>
        <w:t>a</w:t>
      </w:r>
      <w:r>
        <w:rPr>
          <w:w w:val="108"/>
          <w:sz w:val="16"/>
        </w:rPr>
        <w:t>mérica</w:t>
      </w:r>
      <w:r>
        <w:rPr>
          <w:spacing w:val="4"/>
          <w:sz w:val="16"/>
        </w:rPr>
        <w:t> </w:t>
      </w:r>
      <w:r>
        <w:rPr>
          <w:w w:val="238"/>
          <w:sz w:val="16"/>
        </w:rPr>
        <w:t>l</w:t>
      </w:r>
      <w:r>
        <w:rPr>
          <w:w w:val="111"/>
          <w:sz w:val="16"/>
        </w:rPr>
        <w:t>atina.</w:t>
      </w:r>
      <w:r>
        <w:rPr>
          <w:spacing w:val="4"/>
          <w:sz w:val="16"/>
        </w:rPr>
        <w:t> </w:t>
      </w:r>
      <w:r>
        <w:rPr>
          <w:w w:val="110"/>
          <w:sz w:val="16"/>
        </w:rPr>
        <w:t>Estas</w:t>
      </w:r>
      <w:r>
        <w:rPr>
          <w:spacing w:val="4"/>
          <w:sz w:val="16"/>
        </w:rPr>
        <w:t> </w:t>
      </w:r>
      <w:r>
        <w:rPr>
          <w:w w:val="108"/>
          <w:sz w:val="16"/>
        </w:rPr>
        <w:t>cumbres</w:t>
      </w:r>
      <w:r>
        <w:rPr>
          <w:spacing w:val="4"/>
          <w:sz w:val="16"/>
        </w:rPr>
        <w:t> </w:t>
      </w:r>
      <w:r>
        <w:rPr>
          <w:w w:val="106"/>
          <w:sz w:val="16"/>
        </w:rPr>
        <w:t>populares</w:t>
      </w:r>
      <w:r>
        <w:rPr>
          <w:spacing w:val="4"/>
          <w:sz w:val="16"/>
        </w:rPr>
        <w:t> </w:t>
      </w:r>
      <w:r>
        <w:rPr>
          <w:w w:val="102"/>
          <w:sz w:val="16"/>
        </w:rPr>
        <w:t>se</w:t>
      </w:r>
      <w:r>
        <w:rPr>
          <w:spacing w:val="4"/>
          <w:sz w:val="16"/>
        </w:rPr>
        <w:t> </w:t>
      </w:r>
      <w:r>
        <w:rPr>
          <w:w w:val="107"/>
          <w:sz w:val="16"/>
        </w:rPr>
        <w:t>sucedieron </w:t>
      </w:r>
      <w:r>
        <w:rPr>
          <w:w w:val="110"/>
          <w:sz w:val="16"/>
        </w:rPr>
        <w:t>en</w:t>
      </w:r>
      <w:r>
        <w:rPr>
          <w:spacing w:val="-6"/>
          <w:w w:val="110"/>
          <w:sz w:val="16"/>
        </w:rPr>
        <w:t> </w:t>
      </w:r>
      <w:r>
        <w:rPr>
          <w:w w:val="110"/>
          <w:sz w:val="16"/>
        </w:rPr>
        <w:t>forma</w:t>
      </w:r>
      <w:r>
        <w:rPr>
          <w:spacing w:val="-6"/>
          <w:w w:val="110"/>
          <w:sz w:val="16"/>
        </w:rPr>
        <w:t> </w:t>
      </w:r>
      <w:r>
        <w:rPr>
          <w:w w:val="110"/>
          <w:sz w:val="16"/>
        </w:rPr>
        <w:t>paralela</w:t>
      </w:r>
      <w:r>
        <w:rPr>
          <w:spacing w:val="-6"/>
          <w:w w:val="110"/>
          <w:sz w:val="16"/>
        </w:rPr>
        <w:t> </w:t>
      </w:r>
      <w:r>
        <w:rPr>
          <w:w w:val="110"/>
          <w:sz w:val="16"/>
        </w:rPr>
        <w:t>a</w:t>
      </w:r>
      <w:r>
        <w:rPr>
          <w:spacing w:val="-6"/>
          <w:w w:val="110"/>
          <w:sz w:val="16"/>
        </w:rPr>
        <w:t> </w:t>
      </w:r>
      <w:r>
        <w:rPr>
          <w:w w:val="110"/>
          <w:sz w:val="16"/>
        </w:rPr>
        <w:t>las</w:t>
      </w:r>
      <w:r>
        <w:rPr>
          <w:spacing w:val="-6"/>
          <w:w w:val="110"/>
          <w:sz w:val="16"/>
        </w:rPr>
        <w:t> </w:t>
      </w:r>
      <w:r>
        <w:rPr>
          <w:w w:val="110"/>
          <w:sz w:val="16"/>
        </w:rPr>
        <w:t>oficiales</w:t>
      </w:r>
      <w:r>
        <w:rPr>
          <w:spacing w:val="-6"/>
          <w:w w:val="110"/>
          <w:sz w:val="16"/>
        </w:rPr>
        <w:t> </w:t>
      </w:r>
      <w:r>
        <w:rPr>
          <w:w w:val="110"/>
          <w:sz w:val="16"/>
        </w:rPr>
        <w:t>(Québec,</w:t>
      </w:r>
      <w:r>
        <w:rPr>
          <w:spacing w:val="-6"/>
          <w:w w:val="110"/>
          <w:sz w:val="16"/>
        </w:rPr>
        <w:t> </w:t>
      </w:r>
      <w:r>
        <w:rPr>
          <w:w w:val="110"/>
          <w:sz w:val="16"/>
        </w:rPr>
        <w:t>2001;</w:t>
      </w:r>
      <w:r>
        <w:rPr>
          <w:spacing w:val="-6"/>
          <w:w w:val="110"/>
          <w:sz w:val="16"/>
        </w:rPr>
        <w:t> </w:t>
      </w:r>
      <w:r>
        <w:rPr>
          <w:w w:val="110"/>
          <w:sz w:val="16"/>
        </w:rPr>
        <w:t>Mar</w:t>
      </w:r>
      <w:r>
        <w:rPr>
          <w:spacing w:val="-6"/>
          <w:w w:val="110"/>
          <w:sz w:val="16"/>
        </w:rPr>
        <w:t> </w:t>
      </w:r>
      <w:r>
        <w:rPr>
          <w:w w:val="110"/>
          <w:sz w:val="16"/>
        </w:rPr>
        <w:t>del</w:t>
      </w:r>
      <w:r>
        <w:rPr>
          <w:spacing w:val="-6"/>
          <w:w w:val="110"/>
          <w:sz w:val="16"/>
        </w:rPr>
        <w:t> </w:t>
      </w:r>
      <w:r>
        <w:rPr>
          <w:w w:val="110"/>
          <w:sz w:val="16"/>
        </w:rPr>
        <w:t>Plata,</w:t>
      </w:r>
      <w:r>
        <w:rPr>
          <w:spacing w:val="-6"/>
          <w:w w:val="110"/>
          <w:sz w:val="16"/>
        </w:rPr>
        <w:t> </w:t>
      </w:r>
      <w:r>
        <w:rPr>
          <w:w w:val="110"/>
          <w:sz w:val="16"/>
        </w:rPr>
        <w:t>2005</w:t>
      </w:r>
      <w:r>
        <w:rPr>
          <w:spacing w:val="-6"/>
          <w:w w:val="110"/>
          <w:sz w:val="16"/>
        </w:rPr>
        <w:t> </w:t>
      </w:r>
      <w:r>
        <w:rPr>
          <w:w w:val="110"/>
          <w:sz w:val="16"/>
        </w:rPr>
        <w:t>y</w:t>
      </w:r>
      <w:r>
        <w:rPr>
          <w:spacing w:val="-6"/>
          <w:w w:val="110"/>
          <w:sz w:val="16"/>
        </w:rPr>
        <w:t> </w:t>
      </w:r>
      <w:r>
        <w:rPr>
          <w:w w:val="110"/>
          <w:sz w:val="16"/>
        </w:rPr>
        <w:t>Puerto</w:t>
      </w:r>
      <w:r>
        <w:rPr>
          <w:spacing w:val="-6"/>
          <w:w w:val="110"/>
          <w:sz w:val="16"/>
        </w:rPr>
        <w:t> </w:t>
      </w:r>
      <w:r>
        <w:rPr>
          <w:w w:val="110"/>
          <w:sz w:val="16"/>
        </w:rPr>
        <w:t>España, 2009).</w:t>
      </w:r>
      <w:r>
        <w:rPr>
          <w:spacing w:val="-7"/>
          <w:w w:val="110"/>
          <w:sz w:val="16"/>
        </w:rPr>
        <w:t> </w:t>
      </w:r>
      <w:r>
        <w:rPr>
          <w:w w:val="110"/>
          <w:sz w:val="16"/>
        </w:rPr>
        <w:t>Convocadas</w:t>
      </w:r>
      <w:r>
        <w:rPr>
          <w:spacing w:val="-7"/>
          <w:w w:val="110"/>
          <w:sz w:val="16"/>
        </w:rPr>
        <w:t> </w:t>
      </w:r>
      <w:r>
        <w:rPr>
          <w:w w:val="110"/>
          <w:sz w:val="16"/>
        </w:rPr>
        <w:t>por</w:t>
      </w:r>
      <w:r>
        <w:rPr>
          <w:spacing w:val="-7"/>
          <w:w w:val="110"/>
          <w:sz w:val="16"/>
        </w:rPr>
        <w:t> </w:t>
      </w:r>
      <w:r>
        <w:rPr>
          <w:w w:val="110"/>
          <w:sz w:val="16"/>
        </w:rPr>
        <w:t>una</w:t>
      </w:r>
      <w:r>
        <w:rPr>
          <w:spacing w:val="-7"/>
          <w:w w:val="110"/>
          <w:sz w:val="16"/>
        </w:rPr>
        <w:t> </w:t>
      </w:r>
      <w:r>
        <w:rPr>
          <w:w w:val="110"/>
          <w:sz w:val="16"/>
        </w:rPr>
        <w:t>heterogénea</w:t>
      </w:r>
      <w:r>
        <w:rPr>
          <w:spacing w:val="-7"/>
          <w:w w:val="110"/>
          <w:sz w:val="16"/>
        </w:rPr>
        <w:t> </w:t>
      </w:r>
      <w:r>
        <w:rPr>
          <w:w w:val="110"/>
          <w:sz w:val="16"/>
        </w:rPr>
        <w:t>coalición</w:t>
      </w:r>
      <w:r>
        <w:rPr>
          <w:spacing w:val="-7"/>
          <w:w w:val="110"/>
          <w:sz w:val="16"/>
        </w:rPr>
        <w:t> </w:t>
      </w:r>
      <w:r>
        <w:rPr>
          <w:w w:val="110"/>
          <w:sz w:val="16"/>
        </w:rPr>
        <w:t>de</w:t>
      </w:r>
      <w:r>
        <w:rPr>
          <w:spacing w:val="-7"/>
          <w:w w:val="110"/>
          <w:sz w:val="16"/>
        </w:rPr>
        <w:t> </w:t>
      </w:r>
      <w:r>
        <w:rPr>
          <w:w w:val="110"/>
          <w:sz w:val="16"/>
        </w:rPr>
        <w:t>organizaciones</w:t>
      </w:r>
      <w:r>
        <w:rPr>
          <w:spacing w:val="-7"/>
          <w:w w:val="110"/>
          <w:sz w:val="16"/>
        </w:rPr>
        <w:t> </w:t>
      </w:r>
      <w:r>
        <w:rPr>
          <w:w w:val="110"/>
          <w:sz w:val="16"/>
        </w:rPr>
        <w:t>sindicales,</w:t>
      </w:r>
      <w:r>
        <w:rPr>
          <w:spacing w:val="-7"/>
          <w:w w:val="110"/>
          <w:sz w:val="16"/>
        </w:rPr>
        <w:t> </w:t>
      </w:r>
      <w:r>
        <w:rPr>
          <w:w w:val="110"/>
          <w:sz w:val="16"/>
        </w:rPr>
        <w:t>reli- giosas,</w:t>
      </w:r>
      <w:r>
        <w:rPr>
          <w:spacing w:val="-6"/>
          <w:w w:val="110"/>
          <w:sz w:val="16"/>
        </w:rPr>
        <w:t> </w:t>
      </w:r>
      <w:r>
        <w:rPr>
          <w:w w:val="110"/>
          <w:sz w:val="16"/>
        </w:rPr>
        <w:t>campesinas,</w:t>
      </w:r>
      <w:r>
        <w:rPr>
          <w:spacing w:val="-6"/>
          <w:w w:val="110"/>
          <w:sz w:val="16"/>
        </w:rPr>
        <w:t> </w:t>
      </w:r>
      <w:r>
        <w:rPr>
          <w:w w:val="110"/>
          <w:sz w:val="16"/>
        </w:rPr>
        <w:t>de</w:t>
      </w:r>
      <w:r>
        <w:rPr>
          <w:spacing w:val="-6"/>
          <w:w w:val="110"/>
          <w:sz w:val="16"/>
        </w:rPr>
        <w:t> </w:t>
      </w:r>
      <w:r>
        <w:rPr>
          <w:w w:val="110"/>
          <w:sz w:val="16"/>
        </w:rPr>
        <w:t>derechos</w:t>
      </w:r>
      <w:r>
        <w:rPr>
          <w:spacing w:val="-6"/>
          <w:w w:val="110"/>
          <w:sz w:val="16"/>
        </w:rPr>
        <w:t> </w:t>
      </w:r>
      <w:r>
        <w:rPr>
          <w:w w:val="110"/>
          <w:sz w:val="16"/>
        </w:rPr>
        <w:t>humanos,</w:t>
      </w:r>
      <w:r>
        <w:rPr>
          <w:spacing w:val="-6"/>
          <w:w w:val="110"/>
          <w:sz w:val="16"/>
        </w:rPr>
        <w:t> </w:t>
      </w:r>
      <w:r>
        <w:rPr>
          <w:w w:val="110"/>
          <w:sz w:val="16"/>
        </w:rPr>
        <w:t>de</w:t>
      </w:r>
      <w:r>
        <w:rPr>
          <w:spacing w:val="-6"/>
          <w:w w:val="110"/>
          <w:sz w:val="16"/>
        </w:rPr>
        <w:t> </w:t>
      </w:r>
      <w:r>
        <w:rPr>
          <w:w w:val="110"/>
          <w:sz w:val="16"/>
        </w:rPr>
        <w:t>mujeres</w:t>
      </w:r>
      <w:r>
        <w:rPr>
          <w:spacing w:val="-6"/>
          <w:w w:val="110"/>
          <w:sz w:val="16"/>
        </w:rPr>
        <w:t> </w:t>
      </w:r>
      <w:r>
        <w:rPr>
          <w:w w:val="110"/>
          <w:sz w:val="16"/>
        </w:rPr>
        <w:t>y</w:t>
      </w:r>
      <w:r>
        <w:rPr>
          <w:spacing w:val="-6"/>
          <w:w w:val="110"/>
          <w:sz w:val="16"/>
        </w:rPr>
        <w:t> </w:t>
      </w:r>
      <w:r>
        <w:rPr>
          <w:w w:val="110"/>
          <w:sz w:val="16"/>
        </w:rPr>
        <w:t>otros</w:t>
      </w:r>
      <w:r>
        <w:rPr>
          <w:spacing w:val="-6"/>
          <w:w w:val="110"/>
          <w:sz w:val="16"/>
        </w:rPr>
        <w:t> </w:t>
      </w:r>
      <w:r>
        <w:rPr>
          <w:w w:val="110"/>
          <w:sz w:val="16"/>
        </w:rPr>
        <w:t>movimientos</w:t>
      </w:r>
      <w:r>
        <w:rPr>
          <w:spacing w:val="-6"/>
          <w:w w:val="110"/>
          <w:sz w:val="16"/>
        </w:rPr>
        <w:t> </w:t>
      </w:r>
      <w:r>
        <w:rPr>
          <w:w w:val="110"/>
          <w:sz w:val="16"/>
        </w:rPr>
        <w:t>sociales, se transformaron en una instancia de coordinación y de lucha contra la avanzada </w:t>
      </w:r>
      <w:r>
        <w:rPr>
          <w:w w:val="108"/>
          <w:sz w:val="16"/>
        </w:rPr>
        <w:t>imperialista</w:t>
      </w:r>
      <w:r>
        <w:rPr>
          <w:spacing w:val="9"/>
          <w:sz w:val="16"/>
        </w:rPr>
        <w:t> </w:t>
      </w:r>
      <w:r>
        <w:rPr>
          <w:w w:val="106"/>
          <w:sz w:val="16"/>
        </w:rPr>
        <w:t>en</w:t>
      </w:r>
      <w:r>
        <w:rPr>
          <w:spacing w:val="9"/>
          <w:sz w:val="16"/>
        </w:rPr>
        <w:t> </w:t>
      </w:r>
      <w:r>
        <w:rPr>
          <w:w w:val="136"/>
          <w:sz w:val="16"/>
        </w:rPr>
        <w:t>a</w:t>
      </w:r>
      <w:r>
        <w:rPr>
          <w:w w:val="108"/>
          <w:sz w:val="16"/>
        </w:rPr>
        <w:t>mérica</w:t>
      </w:r>
      <w:r>
        <w:rPr>
          <w:spacing w:val="9"/>
          <w:sz w:val="16"/>
        </w:rPr>
        <w:t> </w:t>
      </w:r>
      <w:r>
        <w:rPr>
          <w:w w:val="238"/>
          <w:sz w:val="16"/>
        </w:rPr>
        <w:t>l</w:t>
      </w:r>
      <w:r>
        <w:rPr>
          <w:w w:val="111"/>
          <w:sz w:val="16"/>
        </w:rPr>
        <w:t>atina.</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7"/>
        <w:jc w:val="both"/>
      </w:pPr>
      <w:r>
        <w:rPr>
          <w:w w:val="110"/>
        </w:rPr>
        <w:t>de soberanía sobre las islas, Estados unidos y Canadá boicotearon la inclusión de estos tópicos en la declaración final. se debatieron otros temas polémicos: lucha contra el narcotráfico (se planteó el fracaso  de la </w:t>
      </w:r>
      <w:r>
        <w:rPr>
          <w:i/>
          <w:w w:val="110"/>
        </w:rPr>
        <w:t>guerra a las drogas </w:t>
      </w:r>
      <w:r>
        <w:rPr>
          <w:w w:val="110"/>
        </w:rPr>
        <w:t>impulsada hace cuatro décadas por Washing- ton), políticas migratorias (se criticaron las duras políticas estadou- nidenses para combatir la inmigración latina), proteccionismo (ba- rreras arancelarias y no arancelarias, como las que Estados unidos utiliza para limitar algunas exportaciones agropecuarias de los países latinoamericanos). El presidente colombiano santos, el anfitrión, se distanció de su antecesor uribe y se ofreció como un mediador en       el tema Cuba, intentando emular a Frondizi, quien pretendió mediar </w:t>
      </w:r>
      <w:r>
        <w:rPr>
          <w:w w:val="106"/>
        </w:rPr>
        <w:t>entre</w:t>
      </w:r>
      <w:r>
        <w:rPr>
          <w:spacing w:val="15"/>
        </w:rPr>
        <w:t> </w:t>
      </w:r>
      <w:r>
        <w:rPr>
          <w:w w:val="111"/>
        </w:rPr>
        <w:t>Kennedy</w:t>
      </w:r>
      <w:r>
        <w:rPr>
          <w:spacing w:val="15"/>
        </w:rPr>
        <w:t> </w:t>
      </w:r>
      <w:r>
        <w:rPr>
          <w:w w:val="105"/>
        </w:rPr>
        <w:t>y</w:t>
      </w:r>
      <w:r>
        <w:rPr>
          <w:spacing w:val="15"/>
        </w:rPr>
        <w:t> </w:t>
      </w:r>
      <w:r>
        <w:rPr>
          <w:w w:val="111"/>
        </w:rPr>
        <w:t>Castro</w:t>
      </w:r>
      <w:r>
        <w:rPr>
          <w:spacing w:val="15"/>
        </w:rPr>
        <w:t> </w:t>
      </w:r>
      <w:r>
        <w:rPr>
          <w:w w:val="108"/>
        </w:rPr>
        <w:t>antes</w:t>
      </w:r>
      <w:r>
        <w:rPr>
          <w:spacing w:val="15"/>
        </w:rPr>
        <w:t> </w:t>
      </w:r>
      <w:r>
        <w:rPr>
          <w:w w:val="107"/>
        </w:rPr>
        <w:t>de</w:t>
      </w:r>
      <w:r>
        <w:rPr>
          <w:spacing w:val="15"/>
        </w:rPr>
        <w:t> </w:t>
      </w:r>
      <w:r>
        <w:rPr>
          <w:w w:val="111"/>
        </w:rPr>
        <w:t>la</w:t>
      </w:r>
      <w:r>
        <w:rPr>
          <w:spacing w:val="15"/>
        </w:rPr>
        <w:t> </w:t>
      </w:r>
      <w:r>
        <w:rPr>
          <w:w w:val="109"/>
        </w:rPr>
        <w:t>expulsión</w:t>
      </w:r>
      <w:r>
        <w:rPr>
          <w:spacing w:val="15"/>
        </w:rPr>
        <w:t> </w:t>
      </w:r>
      <w:r>
        <w:rPr>
          <w:w w:val="107"/>
        </w:rPr>
        <w:t>de</w:t>
      </w:r>
      <w:r>
        <w:rPr>
          <w:spacing w:val="15"/>
        </w:rPr>
        <w:t> </w:t>
      </w:r>
      <w:r>
        <w:rPr>
          <w:w w:val="243"/>
        </w:rPr>
        <w:t>l</w:t>
      </w:r>
      <w:r>
        <w:rPr>
          <w:w w:val="112"/>
        </w:rPr>
        <w:t>a</w:t>
      </w:r>
      <w:r>
        <w:rPr>
          <w:spacing w:val="15"/>
        </w:rPr>
        <w:t> </w:t>
      </w:r>
      <w:r>
        <w:rPr>
          <w:w w:val="114"/>
        </w:rPr>
        <w:t>Habana</w:t>
      </w:r>
      <w:r>
        <w:rPr>
          <w:spacing w:val="15"/>
        </w:rPr>
        <w:t> </w:t>
      </w:r>
      <w:r>
        <w:rPr>
          <w:w w:val="107"/>
        </w:rPr>
        <w:t>del</w:t>
      </w:r>
      <w:r>
        <w:rPr>
          <w:spacing w:val="15"/>
        </w:rPr>
        <w:t> </w:t>
      </w:r>
      <w:r>
        <w:rPr>
          <w:w w:val="106"/>
        </w:rPr>
        <w:t>sist</w:t>
      </w:r>
      <w:r>
        <w:rPr>
          <w:spacing w:val="-1"/>
          <w:w w:val="106"/>
        </w:rPr>
        <w:t>e</w:t>
      </w:r>
      <w:r>
        <w:rPr>
          <w:w w:val="102"/>
        </w:rPr>
        <w:t>- </w:t>
      </w:r>
      <w:r>
        <w:rPr>
          <w:w w:val="110"/>
        </w:rPr>
        <w:t>ma interamericano, en enero de 1962 (Morgenfeld, 2012a). En forma paralela, y aprovechando la visita de obama, los gobiernos de Estados unidos y Colombia anunciaron la implementación de un </w:t>
      </w:r>
      <w:r>
        <w:rPr>
          <w:w w:val="155"/>
        </w:rPr>
        <w:t>tlC </w:t>
      </w:r>
      <w:r>
        <w:rPr>
          <w:w w:val="110"/>
        </w:rPr>
        <w:t>bilate- ral</w:t>
      </w:r>
      <w:r>
        <w:rPr>
          <w:spacing w:val="-3"/>
          <w:w w:val="110"/>
        </w:rPr>
        <w:t> </w:t>
      </w:r>
      <w:r>
        <w:rPr>
          <w:w w:val="110"/>
        </w:rPr>
        <w:t>(negociado</w:t>
      </w:r>
      <w:r>
        <w:rPr>
          <w:spacing w:val="-3"/>
          <w:w w:val="110"/>
        </w:rPr>
        <w:t> </w:t>
      </w:r>
      <w:r>
        <w:rPr>
          <w:w w:val="110"/>
        </w:rPr>
        <w:t>en</w:t>
      </w:r>
      <w:r>
        <w:rPr>
          <w:spacing w:val="-3"/>
          <w:w w:val="110"/>
        </w:rPr>
        <w:t> </w:t>
      </w:r>
      <w:r>
        <w:rPr>
          <w:w w:val="110"/>
        </w:rPr>
        <w:t>2008</w:t>
      </w:r>
      <w:r>
        <w:rPr>
          <w:spacing w:val="-3"/>
          <w:w w:val="110"/>
        </w:rPr>
        <w:t> </w:t>
      </w:r>
      <w:r>
        <w:rPr>
          <w:w w:val="110"/>
        </w:rPr>
        <w:t>por</w:t>
      </w:r>
      <w:r>
        <w:rPr>
          <w:spacing w:val="-3"/>
          <w:w w:val="110"/>
        </w:rPr>
        <w:t> </w:t>
      </w:r>
      <w:r>
        <w:rPr>
          <w:w w:val="110"/>
        </w:rPr>
        <w:t>uribe</w:t>
      </w:r>
      <w:r>
        <w:rPr>
          <w:spacing w:val="-3"/>
          <w:w w:val="110"/>
        </w:rPr>
        <w:t> </w:t>
      </w:r>
      <w:r>
        <w:rPr>
          <w:w w:val="110"/>
        </w:rPr>
        <w:t>y</w:t>
      </w:r>
      <w:r>
        <w:rPr>
          <w:spacing w:val="-3"/>
          <w:w w:val="110"/>
        </w:rPr>
        <w:t> </w:t>
      </w:r>
      <w:r>
        <w:rPr>
          <w:w w:val="110"/>
        </w:rPr>
        <w:t>bush),</w:t>
      </w:r>
      <w:r>
        <w:rPr>
          <w:spacing w:val="-3"/>
          <w:w w:val="110"/>
        </w:rPr>
        <w:t> </w:t>
      </w:r>
      <w:r>
        <w:rPr>
          <w:w w:val="110"/>
        </w:rPr>
        <w:t>siendo</w:t>
      </w:r>
      <w:r>
        <w:rPr>
          <w:spacing w:val="-3"/>
          <w:w w:val="110"/>
        </w:rPr>
        <w:t> </w:t>
      </w:r>
      <w:r>
        <w:rPr>
          <w:w w:val="110"/>
        </w:rPr>
        <w:t>éste</w:t>
      </w:r>
      <w:r>
        <w:rPr>
          <w:spacing w:val="-3"/>
          <w:w w:val="110"/>
        </w:rPr>
        <w:t> </w:t>
      </w:r>
      <w:r>
        <w:rPr>
          <w:w w:val="110"/>
        </w:rPr>
        <w:t>uno</w:t>
      </w:r>
      <w:r>
        <w:rPr>
          <w:spacing w:val="-3"/>
          <w:w w:val="110"/>
        </w:rPr>
        <w:t> </w:t>
      </w:r>
      <w:r>
        <w:rPr>
          <w:w w:val="110"/>
        </w:rPr>
        <w:t>de</w:t>
      </w:r>
      <w:r>
        <w:rPr>
          <w:spacing w:val="-3"/>
          <w:w w:val="110"/>
        </w:rPr>
        <w:t> </w:t>
      </w:r>
      <w:r>
        <w:rPr>
          <w:w w:val="110"/>
        </w:rPr>
        <w:t>los</w:t>
      </w:r>
      <w:r>
        <w:rPr>
          <w:spacing w:val="-3"/>
          <w:w w:val="110"/>
        </w:rPr>
        <w:t> </w:t>
      </w:r>
      <w:r>
        <w:rPr>
          <w:w w:val="110"/>
        </w:rPr>
        <w:t>pocos logros concretos que Washington obtuvo en Cartagena, aunque fue al margen de la </w:t>
      </w:r>
      <w:r>
        <w:rPr>
          <w:spacing w:val="3"/>
          <w:w w:val="110"/>
        </w:rPr>
        <w:t> </w:t>
      </w:r>
      <w:r>
        <w:rPr>
          <w:w w:val="110"/>
        </w:rPr>
        <w:t>Cumbre.</w:t>
      </w:r>
    </w:p>
    <w:p>
      <w:pPr>
        <w:pStyle w:val="BodyText"/>
        <w:spacing w:line="252" w:lineRule="auto"/>
        <w:ind w:left="120" w:right="328" w:firstLine="397"/>
        <w:jc w:val="both"/>
      </w:pPr>
      <w:r>
        <w:rPr>
          <w:w w:val="110"/>
        </w:rPr>
        <w:t>En síntesis, los esfuerzos de la administración obama para </w:t>
      </w:r>
      <w:r>
        <w:rPr>
          <w:spacing w:val="-3"/>
          <w:w w:val="110"/>
        </w:rPr>
        <w:t>rever- </w:t>
      </w:r>
      <w:r>
        <w:rPr>
          <w:w w:val="110"/>
        </w:rPr>
        <w:t>tir la decepción latinoamericana frente a sus políticas hacia la región resultaron infructuosos. Ni siquiera el presidente colombiano, aliado estratégico en américa del </w:t>
      </w:r>
      <w:r>
        <w:rPr>
          <w:spacing w:val="-6"/>
          <w:w w:val="110"/>
        </w:rPr>
        <w:t>sur, </w:t>
      </w:r>
      <w:r>
        <w:rPr>
          <w:w w:val="110"/>
        </w:rPr>
        <w:t>respondió a las expectativas de la Casa blanca: en su discurso de apertura, le enrostró a su par estadouniden- se que eran anacrónicos el bloqueo y exclusión de Cuba de estas reu- niones. En Cartagena, en definitiva, se puso de manifiesto la relativa pérdida de influencia estadounidense, tanto desde el punto de vista económico como político. </w:t>
      </w:r>
      <w:r>
        <w:rPr>
          <w:spacing w:val="-5"/>
          <w:w w:val="110"/>
        </w:rPr>
        <w:t>tras </w:t>
      </w:r>
      <w:r>
        <w:rPr>
          <w:w w:val="110"/>
        </w:rPr>
        <w:t>la reunión de </w:t>
      </w:r>
      <w:r>
        <w:rPr>
          <w:spacing w:val="-3"/>
          <w:w w:val="110"/>
        </w:rPr>
        <w:t>trinidad </w:t>
      </w:r>
      <w:r>
        <w:rPr>
          <w:w w:val="110"/>
        </w:rPr>
        <w:t>y </w:t>
      </w:r>
      <w:r>
        <w:rPr>
          <w:spacing w:val="-3"/>
          <w:w w:val="110"/>
        </w:rPr>
        <w:t>tobago, </w:t>
      </w:r>
      <w:r>
        <w:rPr>
          <w:w w:val="110"/>
        </w:rPr>
        <w:t>en  2009, se profundizó una integración latinoamericana alternativa, en torno al </w:t>
      </w:r>
      <w:r>
        <w:rPr>
          <w:w w:val="125"/>
        </w:rPr>
        <w:t>alba, </w:t>
      </w:r>
      <w:r>
        <w:rPr>
          <w:w w:val="110"/>
        </w:rPr>
        <w:t>y una creciente coordinación y concertación política alrededor de la </w:t>
      </w:r>
      <w:r>
        <w:rPr>
          <w:w w:val="125"/>
        </w:rPr>
        <w:t>uNasur </w:t>
      </w:r>
      <w:r>
        <w:rPr>
          <w:w w:val="110"/>
        </w:rPr>
        <w:t>y la </w:t>
      </w:r>
      <w:r>
        <w:rPr>
          <w:w w:val="125"/>
        </w:rPr>
        <w:t>CElaC, </w:t>
      </w:r>
      <w:r>
        <w:rPr>
          <w:w w:val="110"/>
        </w:rPr>
        <w:t>una suerte de </w:t>
      </w:r>
      <w:r>
        <w:rPr>
          <w:i/>
          <w:w w:val="125"/>
        </w:rPr>
        <w:t>oEA </w:t>
      </w:r>
      <w:r>
        <w:rPr>
          <w:i/>
          <w:w w:val="110"/>
        </w:rPr>
        <w:t>sin Estados </w:t>
      </w:r>
      <w:r>
        <w:rPr>
          <w:i/>
          <w:w w:val="116"/>
        </w:rPr>
        <w:t>Unidos</w:t>
      </w:r>
      <w:r>
        <w:rPr>
          <w:w w:val="138"/>
        </w:rPr>
        <w:t>.</w:t>
      </w:r>
      <w:r>
        <w:rPr>
          <w:spacing w:val="20"/>
        </w:rPr>
        <w:t> </w:t>
      </w:r>
      <w:r>
        <w:rPr>
          <w:w w:val="139"/>
        </w:rPr>
        <w:t>a</w:t>
      </w:r>
      <w:r>
        <w:rPr>
          <w:w w:val="117"/>
        </w:rPr>
        <w:t>llí,</w:t>
      </w:r>
      <w:r>
        <w:rPr>
          <w:spacing w:val="20"/>
        </w:rPr>
        <w:t> </w:t>
      </w:r>
      <w:r>
        <w:rPr>
          <w:w w:val="108"/>
        </w:rPr>
        <w:t>los</w:t>
      </w:r>
      <w:r>
        <w:rPr>
          <w:spacing w:val="20"/>
        </w:rPr>
        <w:t> </w:t>
      </w:r>
      <w:r>
        <w:rPr>
          <w:w w:val="102"/>
        </w:rPr>
        <w:t>33</w:t>
      </w:r>
      <w:r>
        <w:rPr>
          <w:spacing w:val="20"/>
        </w:rPr>
        <w:t> </w:t>
      </w:r>
      <w:r>
        <w:rPr>
          <w:w w:val="108"/>
        </w:rPr>
        <w:t>países</w:t>
      </w:r>
      <w:r>
        <w:rPr>
          <w:spacing w:val="20"/>
        </w:rPr>
        <w:t> </w:t>
      </w:r>
      <w:r>
        <w:rPr>
          <w:w w:val="107"/>
        </w:rPr>
        <w:t>de</w:t>
      </w:r>
      <w:r>
        <w:rPr>
          <w:spacing w:val="20"/>
        </w:rPr>
        <w:t> </w:t>
      </w:r>
      <w:r>
        <w:rPr>
          <w:w w:val="139"/>
        </w:rPr>
        <w:t>a</w:t>
      </w:r>
      <w:r>
        <w:rPr>
          <w:w w:val="111"/>
        </w:rPr>
        <w:t>mérica</w:t>
      </w:r>
      <w:r>
        <w:rPr>
          <w:spacing w:val="20"/>
        </w:rPr>
        <w:t> </w:t>
      </w:r>
      <w:r>
        <w:rPr>
          <w:w w:val="243"/>
        </w:rPr>
        <w:t>l</w:t>
      </w:r>
      <w:r>
        <w:rPr>
          <w:w w:val="111"/>
        </w:rPr>
        <w:t>atina</w:t>
      </w:r>
      <w:r>
        <w:rPr>
          <w:spacing w:val="20"/>
        </w:rPr>
        <w:t> </w:t>
      </w:r>
      <w:r>
        <w:rPr>
          <w:w w:val="105"/>
        </w:rPr>
        <w:t>y</w:t>
      </w:r>
      <w:r>
        <w:rPr>
          <w:spacing w:val="20"/>
        </w:rPr>
        <w:t> </w:t>
      </w:r>
      <w:r>
        <w:rPr>
          <w:w w:val="107"/>
        </w:rPr>
        <w:t>el</w:t>
      </w:r>
      <w:r>
        <w:rPr>
          <w:spacing w:val="20"/>
        </w:rPr>
        <w:t> </w:t>
      </w:r>
      <w:r>
        <w:rPr>
          <w:w w:val="112"/>
        </w:rPr>
        <w:t>Caribe</w:t>
      </w:r>
      <w:r>
        <w:rPr>
          <w:spacing w:val="20"/>
        </w:rPr>
        <w:t> </w:t>
      </w:r>
      <w:r>
        <w:rPr>
          <w:w w:val="109"/>
        </w:rPr>
        <w:t>dieron</w:t>
      </w:r>
      <w:r>
        <w:rPr>
          <w:spacing w:val="20"/>
        </w:rPr>
        <w:t> </w:t>
      </w:r>
      <w:r>
        <w:rPr>
          <w:w w:val="111"/>
        </w:rPr>
        <w:t>alg</w:t>
      </w:r>
      <w:r>
        <w:rPr>
          <w:spacing w:val="-1"/>
          <w:w w:val="111"/>
        </w:rPr>
        <w:t>u</w:t>
      </w:r>
      <w:r>
        <w:rPr>
          <w:w w:val="102"/>
        </w:rPr>
        <w:t>- </w:t>
      </w:r>
      <w:r>
        <w:rPr>
          <w:w w:val="110"/>
        </w:rPr>
        <w:t>nos pasos hacia la construcción de la ansiada integración regional</w:t>
      </w:r>
      <w:r>
        <w:rPr>
          <w:w w:val="110"/>
          <w:position w:val="6"/>
          <w:sz w:val="11"/>
        </w:rPr>
        <w:t>29</w:t>
      </w:r>
      <w:r>
        <w:rPr>
          <w:w w:val="110"/>
        </w:rPr>
        <w:t>. Y empezaron a desarrollar una agenda</w:t>
      </w:r>
      <w:r>
        <w:rPr>
          <w:spacing w:val="42"/>
          <w:w w:val="110"/>
        </w:rPr>
        <w:t> </w:t>
      </w:r>
      <w:r>
        <w:rPr>
          <w:w w:val="110"/>
        </w:rPr>
        <w:t>propia.</w:t>
      </w:r>
    </w:p>
    <w:p>
      <w:pPr>
        <w:pStyle w:val="BodyText"/>
        <w:spacing w:line="252" w:lineRule="auto"/>
        <w:ind w:left="120" w:right="327" w:firstLine="396"/>
        <w:jc w:val="both"/>
      </w:pPr>
      <w:r>
        <w:rPr>
          <w:w w:val="110"/>
        </w:rPr>
        <w:t>si en 2005 se dijo que Mar del Plata había sido la tumba del   </w:t>
      </w:r>
      <w:r>
        <w:rPr>
          <w:w w:val="130"/>
        </w:rPr>
        <w:t>alCa, </w:t>
      </w:r>
      <w:r>
        <w:rPr>
          <w:w w:val="110"/>
        </w:rPr>
        <w:t>hasta hace poco parecía que Cartagena iba a ser la tumba de </w:t>
      </w:r>
      <w:r>
        <w:rPr>
          <w:w w:val="109"/>
        </w:rPr>
        <w:t>las</w:t>
      </w:r>
      <w:r>
        <w:rPr/>
        <w:t> </w:t>
      </w:r>
      <w:r>
        <w:rPr>
          <w:spacing w:val="-9"/>
        </w:rPr>
        <w:t> </w:t>
      </w:r>
      <w:r>
        <w:rPr>
          <w:w w:val="111"/>
        </w:rPr>
        <w:t>Cumbres</w:t>
      </w:r>
      <w:r>
        <w:rPr/>
        <w:t> </w:t>
      </w:r>
      <w:r>
        <w:rPr>
          <w:spacing w:val="-9"/>
        </w:rPr>
        <w:t> </w:t>
      </w:r>
      <w:r>
        <w:rPr>
          <w:w w:val="107"/>
        </w:rPr>
        <w:t>de</w:t>
      </w:r>
      <w:r>
        <w:rPr/>
        <w:t> </w:t>
      </w:r>
      <w:r>
        <w:rPr>
          <w:spacing w:val="-9"/>
        </w:rPr>
        <w:t> </w:t>
      </w:r>
      <w:r>
        <w:rPr>
          <w:w w:val="109"/>
        </w:rPr>
        <w:t>las</w:t>
      </w:r>
      <w:r>
        <w:rPr/>
        <w:t> </w:t>
      </w:r>
      <w:r>
        <w:rPr>
          <w:spacing w:val="-9"/>
        </w:rPr>
        <w:t> </w:t>
      </w:r>
      <w:r>
        <w:rPr>
          <w:w w:val="139"/>
        </w:rPr>
        <w:t>a</w:t>
      </w:r>
      <w:r>
        <w:rPr>
          <w:w w:val="112"/>
        </w:rPr>
        <w:t>méricas.</w:t>
      </w:r>
      <w:r>
        <w:rPr/>
        <w:t> </w:t>
      </w:r>
      <w:r>
        <w:rPr>
          <w:spacing w:val="-9"/>
        </w:rPr>
        <w:t> </w:t>
      </w:r>
      <w:r>
        <w:rPr>
          <w:w w:val="243"/>
        </w:rPr>
        <w:t>l</w:t>
      </w:r>
      <w:r>
        <w:rPr>
          <w:w w:val="108"/>
        </w:rPr>
        <w:t>os</w:t>
      </w:r>
      <w:r>
        <w:rPr/>
        <w:t> </w:t>
      </w:r>
      <w:r>
        <w:rPr>
          <w:spacing w:val="-9"/>
        </w:rPr>
        <w:t> </w:t>
      </w:r>
      <w:r>
        <w:rPr>
          <w:w w:val="108"/>
        </w:rPr>
        <w:t>países</w:t>
      </w:r>
      <w:r>
        <w:rPr/>
        <w:t> </w:t>
      </w:r>
      <w:r>
        <w:rPr>
          <w:spacing w:val="-9"/>
        </w:rPr>
        <w:t> </w:t>
      </w:r>
      <w:r>
        <w:rPr>
          <w:w w:val="107"/>
        </w:rPr>
        <w:t>del</w:t>
      </w:r>
      <w:r>
        <w:rPr/>
        <w:t> </w:t>
      </w:r>
      <w:r>
        <w:rPr>
          <w:spacing w:val="-9"/>
        </w:rPr>
        <w:t> </w:t>
      </w:r>
      <w:r>
        <w:rPr>
          <w:w w:val="153"/>
        </w:rPr>
        <w:t>alba</w:t>
      </w:r>
      <w:r>
        <w:rPr/>
        <w:t> </w:t>
      </w:r>
      <w:r>
        <w:rPr>
          <w:spacing w:val="-9"/>
        </w:rPr>
        <w:t> </w:t>
      </w:r>
      <w:r>
        <w:rPr>
          <w:w w:val="108"/>
        </w:rPr>
        <w:t>ya</w:t>
      </w:r>
      <w:r>
        <w:rPr/>
        <w:t> </w:t>
      </w:r>
      <w:r>
        <w:rPr>
          <w:spacing w:val="-9"/>
        </w:rPr>
        <w:t> </w:t>
      </w:r>
      <w:r>
        <w:rPr>
          <w:w w:val="112"/>
        </w:rPr>
        <w:t>habían</w:t>
      </w:r>
      <w:r>
        <w:rPr/>
        <w:t> </w:t>
      </w:r>
      <w:r>
        <w:rPr>
          <w:spacing w:val="-9"/>
        </w:rPr>
        <w:t> </w:t>
      </w:r>
      <w:r>
        <w:rPr>
          <w:w w:val="112"/>
        </w:rPr>
        <w:t>dicho </w:t>
      </w:r>
      <w:r>
        <w:rPr>
          <w:w w:val="110"/>
        </w:rPr>
        <w:t>explícitamente en 2012 que si Cuba no era invitada, no volverían a participar</w:t>
      </w:r>
      <w:r>
        <w:rPr>
          <w:spacing w:val="28"/>
          <w:w w:val="110"/>
        </w:rPr>
        <w:t> </w:t>
      </w:r>
      <w:r>
        <w:rPr>
          <w:w w:val="110"/>
        </w:rPr>
        <w:t>en</w:t>
      </w:r>
      <w:r>
        <w:rPr>
          <w:spacing w:val="28"/>
          <w:w w:val="110"/>
        </w:rPr>
        <w:t> </w:t>
      </w:r>
      <w:r>
        <w:rPr>
          <w:w w:val="110"/>
        </w:rPr>
        <w:t>este</w:t>
      </w:r>
      <w:r>
        <w:rPr>
          <w:spacing w:val="28"/>
          <w:w w:val="110"/>
        </w:rPr>
        <w:t> </w:t>
      </w:r>
      <w:r>
        <w:rPr>
          <w:w w:val="110"/>
        </w:rPr>
        <w:t>tipo</w:t>
      </w:r>
      <w:r>
        <w:rPr>
          <w:spacing w:val="28"/>
          <w:w w:val="110"/>
        </w:rPr>
        <w:t> </w:t>
      </w:r>
      <w:r>
        <w:rPr>
          <w:w w:val="110"/>
        </w:rPr>
        <w:t>de</w:t>
      </w:r>
      <w:r>
        <w:rPr>
          <w:spacing w:val="28"/>
          <w:w w:val="110"/>
        </w:rPr>
        <w:t> </w:t>
      </w:r>
      <w:r>
        <w:rPr>
          <w:w w:val="110"/>
        </w:rPr>
        <w:t>encuentros.</w:t>
      </w:r>
      <w:r>
        <w:rPr>
          <w:spacing w:val="28"/>
          <w:w w:val="110"/>
        </w:rPr>
        <w:t> </w:t>
      </w:r>
      <w:r>
        <w:rPr>
          <w:w w:val="110"/>
        </w:rPr>
        <w:t>argentina</w:t>
      </w:r>
      <w:r>
        <w:rPr>
          <w:spacing w:val="28"/>
          <w:w w:val="110"/>
        </w:rPr>
        <w:t> </w:t>
      </w:r>
      <w:r>
        <w:rPr>
          <w:w w:val="110"/>
        </w:rPr>
        <w:t>y</w:t>
      </w:r>
      <w:r>
        <w:rPr>
          <w:spacing w:val="28"/>
          <w:w w:val="110"/>
        </w:rPr>
        <w:t> </w:t>
      </w:r>
      <w:r>
        <w:rPr>
          <w:w w:val="110"/>
        </w:rPr>
        <w:t>brasil</w:t>
      </w:r>
      <w:r>
        <w:rPr>
          <w:spacing w:val="28"/>
          <w:w w:val="110"/>
        </w:rPr>
        <w:t> </w:t>
      </w:r>
      <w:r>
        <w:rPr>
          <w:w w:val="110"/>
        </w:rPr>
        <w:t>también</w:t>
      </w:r>
      <w:r>
        <w:rPr>
          <w:spacing w:val="28"/>
          <w:w w:val="110"/>
        </w:rPr>
        <w:t> </w:t>
      </w:r>
      <w:r>
        <w:rPr>
          <w:w w:val="110"/>
        </w:rPr>
        <w:t>se</w:t>
      </w:r>
    </w:p>
    <w:p>
      <w:pPr>
        <w:pStyle w:val="BodyText"/>
        <w:spacing w:before="10"/>
        <w:rPr>
          <w:sz w:val="26"/>
        </w:rPr>
      </w:pPr>
      <w:r>
        <w:rPr/>
        <w:pict>
          <v:line style="position:absolute;mso-position-horizontal-relative:page;mso-position-vertical-relative:paragraph;z-index:8248;mso-wrap-distance-left:0;mso-wrap-distance-right:0" from="51.023602pt,17.969036pt" to="79.369602pt,17.969036pt" stroked="true" strokeweight=".5pt" strokecolor="#000000">
            <w10:wrap type="topAndBottom"/>
          </v:line>
        </w:pict>
      </w:r>
    </w:p>
    <w:p>
      <w:pPr>
        <w:pStyle w:val="ListParagraph"/>
        <w:numPr>
          <w:ilvl w:val="0"/>
          <w:numId w:val="34"/>
        </w:numPr>
        <w:tabs>
          <w:tab w:pos="376" w:val="left" w:leader="none"/>
        </w:tabs>
        <w:spacing w:line="242" w:lineRule="auto" w:before="89" w:after="0"/>
        <w:ind w:left="120" w:right="329" w:firstLine="0"/>
        <w:jc w:val="both"/>
        <w:rPr>
          <w:sz w:val="16"/>
        </w:rPr>
      </w:pPr>
      <w:r>
        <w:rPr>
          <w:w w:val="238"/>
          <w:sz w:val="16"/>
        </w:rPr>
        <w:t>l</w:t>
      </w:r>
      <w:r>
        <w:rPr>
          <w:w w:val="109"/>
          <w:sz w:val="16"/>
        </w:rPr>
        <w:t>a</w:t>
      </w:r>
      <w:r>
        <w:rPr>
          <w:spacing w:val="12"/>
          <w:sz w:val="16"/>
        </w:rPr>
        <w:t> </w:t>
      </w:r>
      <w:r>
        <w:rPr>
          <w:w w:val="123"/>
          <w:sz w:val="16"/>
        </w:rPr>
        <w:t>CE</w:t>
      </w:r>
      <w:r>
        <w:rPr>
          <w:w w:val="173"/>
          <w:sz w:val="16"/>
        </w:rPr>
        <w:t>la</w:t>
      </w:r>
      <w:r>
        <w:rPr>
          <w:w w:val="121"/>
          <w:sz w:val="16"/>
        </w:rPr>
        <w:t>C</w:t>
      </w:r>
      <w:r>
        <w:rPr>
          <w:spacing w:val="12"/>
          <w:sz w:val="16"/>
        </w:rPr>
        <w:t> </w:t>
      </w:r>
      <w:r>
        <w:rPr>
          <w:w w:val="102"/>
          <w:sz w:val="16"/>
        </w:rPr>
        <w:t>se</w:t>
      </w:r>
      <w:r>
        <w:rPr>
          <w:spacing w:val="12"/>
          <w:sz w:val="16"/>
        </w:rPr>
        <w:t> </w:t>
      </w:r>
      <w:r>
        <w:rPr>
          <w:w w:val="109"/>
          <w:sz w:val="16"/>
        </w:rPr>
        <w:t>inauguró</w:t>
      </w:r>
      <w:r>
        <w:rPr>
          <w:spacing w:val="12"/>
          <w:sz w:val="16"/>
        </w:rPr>
        <w:t> </w:t>
      </w:r>
      <w:r>
        <w:rPr>
          <w:w w:val="106"/>
          <w:sz w:val="16"/>
        </w:rPr>
        <w:t>en</w:t>
      </w:r>
      <w:r>
        <w:rPr>
          <w:spacing w:val="12"/>
          <w:sz w:val="16"/>
        </w:rPr>
        <w:t> </w:t>
      </w:r>
      <w:r>
        <w:rPr>
          <w:w w:val="108"/>
          <w:sz w:val="16"/>
        </w:rPr>
        <w:t>diciembre</w:t>
      </w:r>
      <w:r>
        <w:rPr>
          <w:spacing w:val="12"/>
          <w:sz w:val="16"/>
        </w:rPr>
        <w:t> </w:t>
      </w:r>
      <w:r>
        <w:rPr>
          <w:w w:val="104"/>
          <w:sz w:val="16"/>
        </w:rPr>
        <w:t>de</w:t>
      </w:r>
      <w:r>
        <w:rPr>
          <w:spacing w:val="12"/>
          <w:sz w:val="16"/>
        </w:rPr>
        <w:t> </w:t>
      </w:r>
      <w:r>
        <w:rPr>
          <w:w w:val="100"/>
          <w:sz w:val="16"/>
        </w:rPr>
        <w:t>2011</w:t>
      </w:r>
      <w:r>
        <w:rPr>
          <w:spacing w:val="12"/>
          <w:sz w:val="16"/>
        </w:rPr>
        <w:t> </w:t>
      </w:r>
      <w:r>
        <w:rPr>
          <w:w w:val="106"/>
          <w:sz w:val="16"/>
        </w:rPr>
        <w:t>en</w:t>
      </w:r>
      <w:r>
        <w:rPr>
          <w:spacing w:val="12"/>
          <w:sz w:val="16"/>
        </w:rPr>
        <w:t> </w:t>
      </w:r>
      <w:r>
        <w:rPr>
          <w:w w:val="112"/>
          <w:sz w:val="16"/>
        </w:rPr>
        <w:t>Caracas.</w:t>
      </w:r>
      <w:r>
        <w:rPr>
          <w:spacing w:val="12"/>
          <w:sz w:val="16"/>
        </w:rPr>
        <w:t> </w:t>
      </w:r>
      <w:r>
        <w:rPr>
          <w:w w:val="117"/>
          <w:sz w:val="16"/>
        </w:rPr>
        <w:t>En</w:t>
      </w:r>
      <w:r>
        <w:rPr>
          <w:spacing w:val="12"/>
          <w:sz w:val="16"/>
        </w:rPr>
        <w:t> </w:t>
      </w:r>
      <w:r>
        <w:rPr>
          <w:w w:val="105"/>
          <w:sz w:val="16"/>
        </w:rPr>
        <w:t>enero</w:t>
      </w:r>
      <w:r>
        <w:rPr>
          <w:spacing w:val="12"/>
          <w:sz w:val="16"/>
        </w:rPr>
        <w:t> </w:t>
      </w:r>
      <w:r>
        <w:rPr>
          <w:w w:val="104"/>
          <w:sz w:val="16"/>
        </w:rPr>
        <w:t>de</w:t>
      </w:r>
      <w:r>
        <w:rPr>
          <w:spacing w:val="12"/>
          <w:sz w:val="16"/>
        </w:rPr>
        <w:t> </w:t>
      </w:r>
      <w:r>
        <w:rPr>
          <w:w w:val="100"/>
          <w:sz w:val="16"/>
        </w:rPr>
        <w:t>2013</w:t>
      </w:r>
      <w:r>
        <w:rPr>
          <w:spacing w:val="12"/>
          <w:sz w:val="16"/>
        </w:rPr>
        <w:t> </w:t>
      </w:r>
      <w:r>
        <w:rPr>
          <w:w w:val="105"/>
          <w:sz w:val="16"/>
        </w:rPr>
        <w:t>tuvo </w:t>
      </w:r>
      <w:r>
        <w:rPr>
          <w:w w:val="115"/>
          <w:sz w:val="16"/>
        </w:rPr>
        <w:t>su</w:t>
      </w:r>
      <w:r>
        <w:rPr>
          <w:spacing w:val="-23"/>
          <w:w w:val="115"/>
          <w:sz w:val="16"/>
        </w:rPr>
        <w:t> </w:t>
      </w:r>
      <w:r>
        <w:rPr>
          <w:w w:val="115"/>
          <w:sz w:val="16"/>
        </w:rPr>
        <w:t>primera</w:t>
      </w:r>
      <w:r>
        <w:rPr>
          <w:spacing w:val="-23"/>
          <w:w w:val="115"/>
          <w:sz w:val="16"/>
        </w:rPr>
        <w:t> </w:t>
      </w:r>
      <w:r>
        <w:rPr>
          <w:w w:val="115"/>
          <w:sz w:val="16"/>
        </w:rPr>
        <w:t>cumbre</w:t>
      </w:r>
      <w:r>
        <w:rPr>
          <w:spacing w:val="-23"/>
          <w:w w:val="115"/>
          <w:sz w:val="16"/>
        </w:rPr>
        <w:t> </w:t>
      </w:r>
      <w:r>
        <w:rPr>
          <w:w w:val="115"/>
          <w:sz w:val="16"/>
        </w:rPr>
        <w:t>presidencial</w:t>
      </w:r>
      <w:r>
        <w:rPr>
          <w:spacing w:val="-23"/>
          <w:w w:val="115"/>
          <w:sz w:val="16"/>
        </w:rPr>
        <w:t> </w:t>
      </w:r>
      <w:r>
        <w:rPr>
          <w:w w:val="115"/>
          <w:sz w:val="16"/>
        </w:rPr>
        <w:t>en</w:t>
      </w:r>
      <w:r>
        <w:rPr>
          <w:spacing w:val="-23"/>
          <w:w w:val="115"/>
          <w:sz w:val="16"/>
        </w:rPr>
        <w:t> </w:t>
      </w:r>
      <w:r>
        <w:rPr>
          <w:w w:val="115"/>
          <w:sz w:val="16"/>
        </w:rPr>
        <w:t>santiago</w:t>
      </w:r>
      <w:r>
        <w:rPr>
          <w:spacing w:val="-23"/>
          <w:w w:val="115"/>
          <w:sz w:val="16"/>
        </w:rPr>
        <w:t> </w:t>
      </w:r>
      <w:r>
        <w:rPr>
          <w:w w:val="115"/>
          <w:sz w:val="16"/>
        </w:rPr>
        <w:t>de</w:t>
      </w:r>
      <w:r>
        <w:rPr>
          <w:spacing w:val="-23"/>
          <w:w w:val="115"/>
          <w:sz w:val="16"/>
        </w:rPr>
        <w:t> </w:t>
      </w:r>
      <w:r>
        <w:rPr>
          <w:w w:val="115"/>
          <w:sz w:val="16"/>
        </w:rPr>
        <w:t>Chile;</w:t>
      </w:r>
      <w:r>
        <w:rPr>
          <w:spacing w:val="-23"/>
          <w:w w:val="115"/>
          <w:sz w:val="16"/>
        </w:rPr>
        <w:t> </w:t>
      </w:r>
      <w:r>
        <w:rPr>
          <w:w w:val="115"/>
          <w:sz w:val="16"/>
        </w:rPr>
        <w:t>en</w:t>
      </w:r>
      <w:r>
        <w:rPr>
          <w:spacing w:val="-23"/>
          <w:w w:val="115"/>
          <w:sz w:val="16"/>
        </w:rPr>
        <w:t> </w:t>
      </w:r>
      <w:r>
        <w:rPr>
          <w:w w:val="115"/>
          <w:sz w:val="16"/>
        </w:rPr>
        <w:t>enero</w:t>
      </w:r>
      <w:r>
        <w:rPr>
          <w:spacing w:val="-23"/>
          <w:w w:val="115"/>
          <w:sz w:val="16"/>
        </w:rPr>
        <w:t> </w:t>
      </w:r>
      <w:r>
        <w:rPr>
          <w:w w:val="115"/>
          <w:sz w:val="16"/>
        </w:rPr>
        <w:t>de</w:t>
      </w:r>
      <w:r>
        <w:rPr>
          <w:spacing w:val="-23"/>
          <w:w w:val="115"/>
          <w:sz w:val="16"/>
        </w:rPr>
        <w:t> </w:t>
      </w:r>
      <w:r>
        <w:rPr>
          <w:w w:val="115"/>
          <w:sz w:val="16"/>
        </w:rPr>
        <w:t>2014,</w:t>
      </w:r>
      <w:r>
        <w:rPr>
          <w:spacing w:val="-23"/>
          <w:w w:val="115"/>
          <w:sz w:val="16"/>
        </w:rPr>
        <w:t> </w:t>
      </w:r>
      <w:r>
        <w:rPr>
          <w:w w:val="115"/>
          <w:sz w:val="16"/>
        </w:rPr>
        <w:t>su</w:t>
      </w:r>
      <w:r>
        <w:rPr>
          <w:spacing w:val="-23"/>
          <w:w w:val="115"/>
          <w:sz w:val="16"/>
        </w:rPr>
        <w:t> </w:t>
      </w:r>
      <w:r>
        <w:rPr>
          <w:w w:val="115"/>
          <w:sz w:val="16"/>
        </w:rPr>
        <w:t>segunda </w:t>
      </w:r>
      <w:r>
        <w:rPr>
          <w:w w:val="110"/>
          <w:sz w:val="16"/>
        </w:rPr>
        <w:t>cumbre,</w:t>
      </w:r>
      <w:r>
        <w:rPr>
          <w:sz w:val="16"/>
        </w:rPr>
        <w:t> </w:t>
      </w:r>
      <w:r>
        <w:rPr>
          <w:spacing w:val="-15"/>
          <w:sz w:val="16"/>
        </w:rPr>
        <w:t> </w:t>
      </w:r>
      <w:r>
        <w:rPr>
          <w:w w:val="106"/>
          <w:sz w:val="16"/>
        </w:rPr>
        <w:t>en</w:t>
      </w:r>
      <w:r>
        <w:rPr>
          <w:sz w:val="16"/>
        </w:rPr>
        <w:t> </w:t>
      </w:r>
      <w:r>
        <w:rPr>
          <w:spacing w:val="-15"/>
          <w:sz w:val="16"/>
        </w:rPr>
        <w:t> </w:t>
      </w:r>
      <w:r>
        <w:rPr>
          <w:w w:val="238"/>
          <w:sz w:val="16"/>
        </w:rPr>
        <w:t>l</w:t>
      </w:r>
      <w:r>
        <w:rPr>
          <w:w w:val="109"/>
          <w:sz w:val="16"/>
        </w:rPr>
        <w:t>a</w:t>
      </w:r>
      <w:r>
        <w:rPr>
          <w:sz w:val="16"/>
        </w:rPr>
        <w:t> </w:t>
      </w:r>
      <w:r>
        <w:rPr>
          <w:spacing w:val="-15"/>
          <w:sz w:val="16"/>
        </w:rPr>
        <w:t> </w:t>
      </w:r>
      <w:r>
        <w:rPr>
          <w:w w:val="113"/>
          <w:sz w:val="16"/>
        </w:rPr>
        <w:t>Habana.</w:t>
      </w:r>
      <w:r>
        <w:rPr>
          <w:sz w:val="16"/>
        </w:rPr>
        <w:t> </w:t>
      </w:r>
      <w:r>
        <w:rPr>
          <w:spacing w:val="-15"/>
          <w:sz w:val="16"/>
        </w:rPr>
        <w:t> </w:t>
      </w:r>
      <w:r>
        <w:rPr>
          <w:w w:val="120"/>
          <w:sz w:val="16"/>
        </w:rPr>
        <w:t>El</w:t>
      </w:r>
      <w:r>
        <w:rPr>
          <w:sz w:val="16"/>
        </w:rPr>
        <w:t> </w:t>
      </w:r>
      <w:r>
        <w:rPr>
          <w:spacing w:val="-15"/>
          <w:sz w:val="16"/>
        </w:rPr>
        <w:t> </w:t>
      </w:r>
      <w:r>
        <w:rPr>
          <w:w w:val="100"/>
          <w:sz w:val="16"/>
        </w:rPr>
        <w:t>28</w:t>
      </w:r>
      <w:r>
        <w:rPr>
          <w:sz w:val="16"/>
        </w:rPr>
        <w:t> </w:t>
      </w:r>
      <w:r>
        <w:rPr>
          <w:spacing w:val="-15"/>
          <w:sz w:val="16"/>
        </w:rPr>
        <w:t> </w:t>
      </w:r>
      <w:r>
        <w:rPr>
          <w:w w:val="102"/>
          <w:sz w:val="16"/>
        </w:rPr>
        <w:t>y</w:t>
      </w:r>
      <w:r>
        <w:rPr>
          <w:sz w:val="16"/>
        </w:rPr>
        <w:t> </w:t>
      </w:r>
      <w:r>
        <w:rPr>
          <w:spacing w:val="-15"/>
          <w:sz w:val="16"/>
        </w:rPr>
        <w:t> </w:t>
      </w:r>
      <w:r>
        <w:rPr>
          <w:w w:val="100"/>
          <w:sz w:val="16"/>
        </w:rPr>
        <w:t>29</w:t>
      </w:r>
      <w:r>
        <w:rPr>
          <w:sz w:val="16"/>
        </w:rPr>
        <w:t> </w:t>
      </w:r>
      <w:r>
        <w:rPr>
          <w:spacing w:val="-15"/>
          <w:sz w:val="16"/>
        </w:rPr>
        <w:t> </w:t>
      </w:r>
      <w:r>
        <w:rPr>
          <w:w w:val="104"/>
          <w:sz w:val="16"/>
        </w:rPr>
        <w:t>de</w:t>
      </w:r>
      <w:r>
        <w:rPr>
          <w:sz w:val="16"/>
        </w:rPr>
        <w:t> </w:t>
      </w:r>
      <w:r>
        <w:rPr>
          <w:spacing w:val="-15"/>
          <w:sz w:val="16"/>
        </w:rPr>
        <w:t> </w:t>
      </w:r>
      <w:r>
        <w:rPr>
          <w:w w:val="105"/>
          <w:sz w:val="16"/>
        </w:rPr>
        <w:t>enero</w:t>
      </w:r>
      <w:r>
        <w:rPr>
          <w:sz w:val="16"/>
        </w:rPr>
        <w:t> </w:t>
      </w:r>
      <w:r>
        <w:rPr>
          <w:spacing w:val="-15"/>
          <w:sz w:val="16"/>
        </w:rPr>
        <w:t> </w:t>
      </w:r>
      <w:r>
        <w:rPr>
          <w:w w:val="104"/>
          <w:sz w:val="16"/>
        </w:rPr>
        <w:t>de</w:t>
      </w:r>
      <w:r>
        <w:rPr>
          <w:sz w:val="16"/>
        </w:rPr>
        <w:t> </w:t>
      </w:r>
      <w:r>
        <w:rPr>
          <w:spacing w:val="-15"/>
          <w:sz w:val="16"/>
        </w:rPr>
        <w:t> </w:t>
      </w:r>
      <w:r>
        <w:rPr>
          <w:w w:val="100"/>
          <w:sz w:val="16"/>
        </w:rPr>
        <w:t>2015</w:t>
      </w:r>
      <w:r>
        <w:rPr>
          <w:sz w:val="16"/>
        </w:rPr>
        <w:t> </w:t>
      </w:r>
      <w:r>
        <w:rPr>
          <w:spacing w:val="-15"/>
          <w:sz w:val="16"/>
        </w:rPr>
        <w:t> </w:t>
      </w:r>
      <w:r>
        <w:rPr>
          <w:w w:val="102"/>
          <w:sz w:val="16"/>
        </w:rPr>
        <w:t>se</w:t>
      </w:r>
      <w:r>
        <w:rPr>
          <w:sz w:val="16"/>
        </w:rPr>
        <w:t> </w:t>
      </w:r>
      <w:r>
        <w:rPr>
          <w:spacing w:val="-15"/>
          <w:sz w:val="16"/>
        </w:rPr>
        <w:t> </w:t>
      </w:r>
      <w:r>
        <w:rPr>
          <w:w w:val="107"/>
          <w:sz w:val="16"/>
        </w:rPr>
        <w:t>realizó</w:t>
      </w:r>
      <w:r>
        <w:rPr>
          <w:sz w:val="16"/>
        </w:rPr>
        <w:t> </w:t>
      </w:r>
      <w:r>
        <w:rPr>
          <w:spacing w:val="-15"/>
          <w:sz w:val="16"/>
        </w:rPr>
        <w:t> </w:t>
      </w:r>
      <w:r>
        <w:rPr>
          <w:w w:val="109"/>
          <w:sz w:val="16"/>
        </w:rPr>
        <w:t>la</w:t>
      </w:r>
      <w:r>
        <w:rPr>
          <w:sz w:val="16"/>
        </w:rPr>
        <w:t> </w:t>
      </w:r>
      <w:r>
        <w:rPr>
          <w:spacing w:val="-15"/>
          <w:sz w:val="16"/>
        </w:rPr>
        <w:t> </w:t>
      </w:r>
      <w:r>
        <w:rPr>
          <w:w w:val="105"/>
          <w:sz w:val="16"/>
        </w:rPr>
        <w:t>tercera</w:t>
      </w:r>
      <w:r>
        <w:rPr>
          <w:sz w:val="16"/>
        </w:rPr>
        <w:t> </w:t>
      </w:r>
      <w:r>
        <w:rPr>
          <w:spacing w:val="-15"/>
          <w:sz w:val="16"/>
        </w:rPr>
        <w:t> </w:t>
      </w:r>
      <w:r>
        <w:rPr>
          <w:w w:val="106"/>
          <w:sz w:val="16"/>
        </w:rPr>
        <w:t>en</w:t>
      </w:r>
      <w:r>
        <w:rPr>
          <w:sz w:val="16"/>
        </w:rPr>
        <w:t> </w:t>
      </w:r>
      <w:r>
        <w:rPr>
          <w:spacing w:val="-15"/>
          <w:sz w:val="16"/>
        </w:rPr>
        <w:t> </w:t>
      </w:r>
      <w:r>
        <w:rPr>
          <w:w w:val="131"/>
          <w:sz w:val="16"/>
        </w:rPr>
        <w:t>b</w:t>
      </w:r>
      <w:r>
        <w:rPr>
          <w:w w:val="108"/>
          <w:sz w:val="16"/>
        </w:rPr>
        <w:t>elén, </w:t>
      </w:r>
      <w:r>
        <w:rPr>
          <w:w w:val="115"/>
          <w:sz w:val="16"/>
        </w:rPr>
        <w:t>Costa</w:t>
      </w:r>
      <w:r>
        <w:rPr>
          <w:spacing w:val="29"/>
          <w:w w:val="115"/>
          <w:sz w:val="16"/>
        </w:rPr>
        <w:t> </w:t>
      </w:r>
      <w:r>
        <w:rPr>
          <w:w w:val="115"/>
          <w:sz w:val="16"/>
        </w:rPr>
        <w:t>rica.</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8"/>
        <w:jc w:val="both"/>
      </w:pPr>
      <w:r>
        <w:rPr>
          <w:w w:val="110"/>
        </w:rPr>
        <w:t>habían expresado en un sentido </w:t>
      </w:r>
      <w:r>
        <w:rPr>
          <w:spacing w:val="-3"/>
          <w:w w:val="110"/>
        </w:rPr>
        <w:t>similar. </w:t>
      </w:r>
      <w:r>
        <w:rPr>
          <w:w w:val="110"/>
        </w:rPr>
        <w:t>sin embargo, el anuncio con- junto entre obama y Castro, en diciembre de 2014, del inicio de las re- laciones bilaterales y la invitación que el gobierno panameño</w:t>
      </w:r>
      <w:r>
        <w:rPr>
          <w:spacing w:val="-20"/>
          <w:w w:val="110"/>
        </w:rPr>
        <w:t> </w:t>
      </w:r>
      <w:r>
        <w:rPr>
          <w:w w:val="110"/>
        </w:rPr>
        <w:t>extendió al de la isla para participar en la Cumbre, cambiaron el escenario del próximo encuentro</w:t>
      </w:r>
      <w:r>
        <w:rPr>
          <w:spacing w:val="34"/>
          <w:w w:val="110"/>
        </w:rPr>
        <w:t> </w:t>
      </w:r>
      <w:r>
        <w:rPr>
          <w:w w:val="110"/>
        </w:rPr>
        <w:t>continental.</w:t>
      </w:r>
    </w:p>
    <w:p>
      <w:pPr>
        <w:pStyle w:val="BodyText"/>
        <w:spacing w:before="5"/>
      </w:pPr>
    </w:p>
    <w:p>
      <w:pPr>
        <w:pStyle w:val="Heading6"/>
        <w:spacing w:line="244" w:lineRule="auto"/>
        <w:ind w:left="331" w:right="843"/>
        <w:jc w:val="left"/>
      </w:pPr>
      <w:r>
        <w:rPr>
          <w:spacing w:val="3"/>
          <w:w w:val="140"/>
        </w:rPr>
        <w:t>la</w:t>
      </w:r>
      <w:r>
        <w:rPr>
          <w:spacing w:val="-41"/>
          <w:w w:val="140"/>
        </w:rPr>
        <w:t> </w:t>
      </w:r>
      <w:r>
        <w:rPr>
          <w:w w:val="135"/>
        </w:rPr>
        <w:t>cuMBre</w:t>
      </w:r>
      <w:r>
        <w:rPr>
          <w:spacing w:val="-38"/>
          <w:w w:val="135"/>
        </w:rPr>
        <w:t> </w:t>
      </w:r>
      <w:r>
        <w:rPr>
          <w:w w:val="135"/>
        </w:rPr>
        <w:t>de</w:t>
      </w:r>
      <w:r>
        <w:rPr>
          <w:spacing w:val="-38"/>
          <w:w w:val="135"/>
        </w:rPr>
        <w:t> </w:t>
      </w:r>
      <w:r>
        <w:rPr>
          <w:w w:val="135"/>
        </w:rPr>
        <w:t>PanaMá,</w:t>
      </w:r>
      <w:r>
        <w:rPr>
          <w:spacing w:val="-39"/>
          <w:w w:val="135"/>
        </w:rPr>
        <w:t> </w:t>
      </w:r>
      <w:r>
        <w:rPr>
          <w:w w:val="135"/>
        </w:rPr>
        <w:t>en</w:t>
      </w:r>
      <w:r>
        <w:rPr>
          <w:spacing w:val="-38"/>
          <w:w w:val="135"/>
        </w:rPr>
        <w:t> </w:t>
      </w:r>
      <w:r>
        <w:rPr>
          <w:w w:val="140"/>
        </w:rPr>
        <w:t>el</w:t>
      </w:r>
      <w:r>
        <w:rPr>
          <w:spacing w:val="-41"/>
          <w:w w:val="140"/>
        </w:rPr>
        <w:t> </w:t>
      </w:r>
      <w:r>
        <w:rPr>
          <w:spacing w:val="2"/>
          <w:w w:val="135"/>
        </w:rPr>
        <w:t>contexto</w:t>
      </w:r>
      <w:r>
        <w:rPr>
          <w:spacing w:val="-38"/>
          <w:w w:val="135"/>
        </w:rPr>
        <w:t> </w:t>
      </w:r>
      <w:r>
        <w:rPr>
          <w:w w:val="135"/>
        </w:rPr>
        <w:t>de</w:t>
      </w:r>
      <w:r>
        <w:rPr>
          <w:spacing w:val="-38"/>
          <w:w w:val="135"/>
        </w:rPr>
        <w:t> </w:t>
      </w:r>
      <w:r>
        <w:rPr>
          <w:spacing w:val="3"/>
          <w:w w:val="140"/>
        </w:rPr>
        <w:t>la</w:t>
      </w:r>
      <w:r>
        <w:rPr>
          <w:spacing w:val="-41"/>
          <w:w w:val="140"/>
        </w:rPr>
        <w:t> </w:t>
      </w:r>
      <w:r>
        <w:rPr>
          <w:w w:val="135"/>
        </w:rPr>
        <w:t>inédita distensión</w:t>
      </w:r>
      <w:r>
        <w:rPr>
          <w:spacing w:val="-18"/>
          <w:w w:val="135"/>
        </w:rPr>
        <w:t> </w:t>
      </w:r>
      <w:r>
        <w:rPr>
          <w:w w:val="135"/>
        </w:rPr>
        <w:t>entre</w:t>
      </w:r>
      <w:r>
        <w:rPr>
          <w:spacing w:val="-18"/>
          <w:w w:val="135"/>
        </w:rPr>
        <w:t> </w:t>
      </w:r>
      <w:r>
        <w:rPr>
          <w:w w:val="135"/>
        </w:rPr>
        <w:t>estados</w:t>
      </w:r>
      <w:r>
        <w:rPr>
          <w:spacing w:val="-18"/>
          <w:w w:val="135"/>
        </w:rPr>
        <w:t> </w:t>
      </w:r>
      <w:r>
        <w:rPr>
          <w:spacing w:val="2"/>
          <w:w w:val="135"/>
        </w:rPr>
        <w:t>unidos</w:t>
      </w:r>
      <w:r>
        <w:rPr>
          <w:spacing w:val="-18"/>
          <w:w w:val="135"/>
        </w:rPr>
        <w:t> </w:t>
      </w:r>
      <w:r>
        <w:rPr>
          <w:w w:val="135"/>
        </w:rPr>
        <w:t>y</w:t>
      </w:r>
      <w:r>
        <w:rPr>
          <w:spacing w:val="-18"/>
          <w:w w:val="135"/>
        </w:rPr>
        <w:t> </w:t>
      </w:r>
      <w:r>
        <w:rPr>
          <w:w w:val="135"/>
        </w:rPr>
        <w:t>cuBa</w:t>
      </w:r>
    </w:p>
    <w:p>
      <w:pPr>
        <w:pStyle w:val="BodyText"/>
        <w:spacing w:line="252" w:lineRule="auto" w:before="5"/>
        <w:ind w:left="330" w:right="116"/>
        <w:jc w:val="both"/>
      </w:pPr>
      <w:r>
        <w:rPr>
          <w:w w:val="110"/>
        </w:rPr>
        <w:t>El miércoles 17 de diciembre de 2014, el presidente estadounidense anunció, en forma casi simultánea con su par raúl Castro, el resta- </w:t>
      </w:r>
      <w:r>
        <w:rPr>
          <w:w w:val="110"/>
        </w:rPr>
        <w:t>blecimiento</w:t>
      </w:r>
      <w:r>
        <w:rPr>
          <w:spacing w:val="14"/>
        </w:rPr>
        <w:t> </w:t>
      </w:r>
      <w:r>
        <w:rPr>
          <w:w w:val="107"/>
        </w:rPr>
        <w:t>de</w:t>
      </w:r>
      <w:r>
        <w:rPr>
          <w:spacing w:val="14"/>
        </w:rPr>
        <w:t> </w:t>
      </w:r>
      <w:r>
        <w:rPr>
          <w:w w:val="109"/>
        </w:rPr>
        <w:t>las</w:t>
      </w:r>
      <w:r>
        <w:rPr>
          <w:spacing w:val="14"/>
        </w:rPr>
        <w:t> </w:t>
      </w:r>
      <w:r>
        <w:rPr>
          <w:w w:val="109"/>
        </w:rPr>
        <w:t>relaciones</w:t>
      </w:r>
      <w:r>
        <w:rPr>
          <w:spacing w:val="14"/>
        </w:rPr>
        <w:t> </w:t>
      </w:r>
      <w:r>
        <w:rPr>
          <w:w w:val="110"/>
        </w:rPr>
        <w:t>bilaterales.</w:t>
      </w:r>
      <w:r>
        <w:rPr>
          <w:spacing w:val="14"/>
        </w:rPr>
        <w:t> </w:t>
      </w:r>
      <w:r>
        <w:rPr>
          <w:w w:val="243"/>
        </w:rPr>
        <w:t>l</w:t>
      </w:r>
      <w:r>
        <w:rPr>
          <w:w w:val="112"/>
        </w:rPr>
        <w:t>a</w:t>
      </w:r>
      <w:r>
        <w:rPr>
          <w:spacing w:val="14"/>
        </w:rPr>
        <w:t> </w:t>
      </w:r>
      <w:r>
        <w:rPr>
          <w:w w:val="111"/>
        </w:rPr>
        <w:t>explicación</w:t>
      </w:r>
      <w:r>
        <w:rPr>
          <w:spacing w:val="14"/>
        </w:rPr>
        <w:t> </w:t>
      </w:r>
      <w:r>
        <w:rPr>
          <w:w w:val="107"/>
        </w:rPr>
        <w:t>de</w:t>
      </w:r>
      <w:r>
        <w:rPr>
          <w:spacing w:val="14"/>
        </w:rPr>
        <w:t> </w:t>
      </w:r>
      <w:r>
        <w:rPr>
          <w:w w:val="105"/>
        </w:rPr>
        <w:t>este</w:t>
      </w:r>
      <w:r>
        <w:rPr>
          <w:spacing w:val="14"/>
        </w:rPr>
        <w:t> </w:t>
      </w:r>
      <w:r>
        <w:rPr>
          <w:w w:val="113"/>
        </w:rPr>
        <w:t>ca</w:t>
      </w:r>
      <w:r>
        <w:rPr>
          <w:spacing w:val="1"/>
          <w:w w:val="113"/>
        </w:rPr>
        <w:t>m</w:t>
      </w:r>
      <w:r>
        <w:rPr>
          <w:w w:val="102"/>
        </w:rPr>
        <w:t>- </w:t>
      </w:r>
      <w:r>
        <w:rPr>
          <w:w w:val="110"/>
        </w:rPr>
        <w:t>bio en la política del departamento de Estado no es unívoca sino que responde a la convergencia de una serie de factores, siendo el más importante el geopolítico</w:t>
      </w:r>
      <w:r>
        <w:rPr>
          <w:w w:val="110"/>
          <w:position w:val="6"/>
          <w:sz w:val="11"/>
        </w:rPr>
        <w:t>30</w:t>
      </w:r>
      <w:r>
        <w:rPr>
          <w:w w:val="110"/>
        </w:rPr>
        <w:t>. Con esta audaz jugada, el gobierno de Washington pretende recuperar su histórica posición hegemónica en </w:t>
      </w:r>
      <w:r>
        <w:rPr>
          <w:w w:val="139"/>
        </w:rPr>
        <w:t>a</w:t>
      </w:r>
      <w:r>
        <w:rPr>
          <w:w w:val="111"/>
        </w:rPr>
        <w:t>mérica</w:t>
      </w:r>
      <w:r>
        <w:rPr/>
        <w:t> </w:t>
      </w:r>
      <w:r>
        <w:rPr>
          <w:spacing w:val="-11"/>
        </w:rPr>
        <w:t> </w:t>
      </w:r>
      <w:r>
        <w:rPr>
          <w:w w:val="243"/>
        </w:rPr>
        <w:t>l</w:t>
      </w:r>
      <w:r>
        <w:rPr>
          <w:w w:val="111"/>
        </w:rPr>
        <w:t>atina</w:t>
      </w:r>
      <w:r>
        <w:rPr/>
        <w:t> </w:t>
      </w:r>
      <w:r>
        <w:rPr>
          <w:spacing w:val="-11"/>
        </w:rPr>
        <w:t> </w:t>
      </w:r>
      <w:r>
        <w:rPr>
          <w:w w:val="105"/>
        </w:rPr>
        <w:t>y</w:t>
      </w:r>
      <w:r>
        <w:rPr/>
        <w:t> </w:t>
      </w:r>
      <w:r>
        <w:rPr>
          <w:spacing w:val="-11"/>
        </w:rPr>
        <w:t> </w:t>
      </w:r>
      <w:r>
        <w:rPr>
          <w:w w:val="107"/>
        </w:rPr>
        <w:t>el</w:t>
      </w:r>
      <w:r>
        <w:rPr/>
        <w:t> </w:t>
      </w:r>
      <w:r>
        <w:rPr>
          <w:spacing w:val="-11"/>
        </w:rPr>
        <w:t> </w:t>
      </w:r>
      <w:r>
        <w:rPr>
          <w:w w:val="112"/>
        </w:rPr>
        <w:t>Caribe</w:t>
      </w:r>
      <w:r>
        <w:rPr/>
        <w:t> </w:t>
      </w:r>
      <w:r>
        <w:rPr>
          <w:spacing w:val="-11"/>
        </w:rPr>
        <w:t> </w:t>
      </w:r>
      <w:r>
        <w:rPr>
          <w:w w:val="105"/>
        </w:rPr>
        <w:t>y</w:t>
      </w:r>
      <w:r>
        <w:rPr/>
        <w:t> </w:t>
      </w:r>
      <w:r>
        <w:rPr>
          <w:spacing w:val="-11"/>
        </w:rPr>
        <w:t> </w:t>
      </w:r>
      <w:r>
        <w:rPr>
          <w:w w:val="111"/>
        </w:rPr>
        <w:t>eliminar</w:t>
      </w:r>
      <w:r>
        <w:rPr/>
        <w:t> </w:t>
      </w:r>
      <w:r>
        <w:rPr>
          <w:spacing w:val="-11"/>
        </w:rPr>
        <w:t> </w:t>
      </w:r>
      <w:r>
        <w:rPr>
          <w:w w:val="110"/>
        </w:rPr>
        <w:t>lo</w:t>
      </w:r>
      <w:r>
        <w:rPr/>
        <w:t> </w:t>
      </w:r>
      <w:r>
        <w:rPr>
          <w:spacing w:val="-11"/>
        </w:rPr>
        <w:t> </w:t>
      </w:r>
      <w:r>
        <w:rPr>
          <w:w w:val="108"/>
        </w:rPr>
        <w:t>que</w:t>
      </w:r>
      <w:r>
        <w:rPr/>
        <w:t> </w:t>
      </w:r>
      <w:r>
        <w:rPr>
          <w:spacing w:val="-11"/>
        </w:rPr>
        <w:t> </w:t>
      </w:r>
      <w:r>
        <w:rPr>
          <w:w w:val="115"/>
        </w:rPr>
        <w:t>Cuba</w:t>
      </w:r>
      <w:r>
        <w:rPr/>
        <w:t> </w:t>
      </w:r>
      <w:r>
        <w:rPr>
          <w:spacing w:val="-11"/>
        </w:rPr>
        <w:t> </w:t>
      </w:r>
      <w:r>
        <w:rPr>
          <w:w w:val="107"/>
        </w:rPr>
        <w:t>representaba:</w:t>
      </w:r>
      <w:r>
        <w:rPr/>
        <w:t> </w:t>
      </w:r>
      <w:r>
        <w:rPr>
          <w:spacing w:val="-11"/>
        </w:rPr>
        <w:t> </w:t>
      </w:r>
      <w:r>
        <w:rPr>
          <w:w w:val="107"/>
        </w:rPr>
        <w:t>el </w:t>
      </w:r>
      <w:r>
        <w:rPr>
          <w:w w:val="110"/>
        </w:rPr>
        <w:t>mayor foco de resistencia anti-estadounidense en el continente, ins- pirador de múltiples movimientos revolucionarios y de liberación na- cional. </w:t>
      </w:r>
      <w:r>
        <w:rPr>
          <w:w w:val="150"/>
        </w:rPr>
        <w:t>a </w:t>
      </w:r>
      <w:r>
        <w:rPr>
          <w:w w:val="110"/>
        </w:rPr>
        <w:t>lo largo del siglo </w:t>
      </w:r>
      <w:r>
        <w:rPr>
          <w:w w:val="150"/>
        </w:rPr>
        <w:t>xxi, </w:t>
      </w:r>
      <w:r>
        <w:rPr>
          <w:w w:val="110"/>
        </w:rPr>
        <w:t>Nuestra américa avanzó como nunca antes en un proceso de integración regional, por fuera de la órbita de </w:t>
      </w:r>
      <w:r>
        <w:rPr>
          <w:spacing w:val="-10"/>
          <w:w w:val="110"/>
        </w:rPr>
        <w:t>W</w:t>
      </w:r>
      <w:r>
        <w:rPr>
          <w:w w:val="112"/>
        </w:rPr>
        <w:t>ashington.</w:t>
      </w:r>
      <w:r>
        <w:rPr>
          <w:spacing w:val="17"/>
        </w:rPr>
        <w:t> </w:t>
      </w:r>
      <w:r>
        <w:rPr>
          <w:w w:val="243"/>
        </w:rPr>
        <w:t>l</w:t>
      </w:r>
      <w:r>
        <w:rPr>
          <w:w w:val="112"/>
        </w:rPr>
        <w:t>a</w:t>
      </w:r>
      <w:r>
        <w:rPr>
          <w:spacing w:val="17"/>
        </w:rPr>
        <w:t> </w:t>
      </w:r>
      <w:r>
        <w:rPr>
          <w:w w:val="140"/>
        </w:rPr>
        <w:t>u</w:t>
      </w:r>
      <w:r>
        <w:rPr>
          <w:w w:val="119"/>
        </w:rPr>
        <w:t>N</w:t>
      </w:r>
      <w:r>
        <w:rPr>
          <w:w w:val="151"/>
        </w:rPr>
        <w:t>asur</w:t>
      </w:r>
      <w:r>
        <w:rPr>
          <w:spacing w:val="17"/>
        </w:rPr>
        <w:t> </w:t>
      </w:r>
      <w:r>
        <w:rPr>
          <w:w w:val="105"/>
        </w:rPr>
        <w:t>y</w:t>
      </w:r>
      <w:r>
        <w:rPr>
          <w:spacing w:val="17"/>
        </w:rPr>
        <w:t> </w:t>
      </w:r>
      <w:r>
        <w:rPr>
          <w:w w:val="111"/>
        </w:rPr>
        <w:t>la</w:t>
      </w:r>
      <w:r>
        <w:rPr>
          <w:spacing w:val="17"/>
        </w:rPr>
        <w:t> </w:t>
      </w:r>
      <w:r>
        <w:rPr>
          <w:w w:val="126"/>
        </w:rPr>
        <w:t>CE</w:t>
      </w:r>
      <w:r>
        <w:rPr>
          <w:w w:val="176"/>
        </w:rPr>
        <w:t>la</w:t>
      </w:r>
      <w:r>
        <w:rPr>
          <w:w w:val="128"/>
        </w:rPr>
        <w:t>C,</w:t>
      </w:r>
      <w:r>
        <w:rPr>
          <w:spacing w:val="17"/>
        </w:rPr>
        <w:t> </w:t>
      </w:r>
      <w:r>
        <w:rPr>
          <w:w w:val="112"/>
        </w:rPr>
        <w:t>como</w:t>
      </w:r>
      <w:r>
        <w:rPr>
          <w:spacing w:val="17"/>
        </w:rPr>
        <w:t> </w:t>
      </w:r>
      <w:r>
        <w:rPr>
          <w:w w:val="111"/>
        </w:rPr>
        <w:t>instancias</w:t>
      </w:r>
      <w:r>
        <w:rPr>
          <w:spacing w:val="17"/>
        </w:rPr>
        <w:t> </w:t>
      </w:r>
      <w:r>
        <w:rPr>
          <w:w w:val="107"/>
        </w:rPr>
        <w:t>de</w:t>
      </w:r>
      <w:r>
        <w:rPr>
          <w:spacing w:val="17"/>
        </w:rPr>
        <w:t> </w:t>
      </w:r>
      <w:r>
        <w:rPr>
          <w:w w:val="111"/>
        </w:rPr>
        <w:t>coordin</w:t>
      </w:r>
      <w:r>
        <w:rPr>
          <w:spacing w:val="1"/>
          <w:w w:val="111"/>
        </w:rPr>
        <w:t>a</w:t>
      </w:r>
      <w:r>
        <w:rPr>
          <w:w w:val="102"/>
        </w:rPr>
        <w:t>- </w:t>
      </w:r>
      <w:r>
        <w:rPr>
          <w:w w:val="110"/>
        </w:rPr>
        <w:t>ción política, por un lado, y el proyecto de integración alternativa del </w:t>
      </w:r>
      <w:r>
        <w:rPr>
          <w:w w:val="150"/>
        </w:rPr>
        <w:t>alba-tPC, </w:t>
      </w:r>
      <w:r>
        <w:rPr>
          <w:w w:val="110"/>
        </w:rPr>
        <w:t>por otro, fueron iniciativas que horadaron el histórico poder de Estados </w:t>
      </w:r>
      <w:r>
        <w:rPr>
          <w:spacing w:val="22"/>
          <w:w w:val="110"/>
        </w:rPr>
        <w:t> </w:t>
      </w:r>
      <w:r>
        <w:rPr>
          <w:w w:val="110"/>
        </w:rPr>
        <w:t>unidos.</w:t>
      </w:r>
    </w:p>
    <w:p>
      <w:pPr>
        <w:pStyle w:val="BodyText"/>
        <w:spacing w:line="252" w:lineRule="auto"/>
        <w:ind w:left="330" w:right="117" w:firstLine="396"/>
        <w:jc w:val="both"/>
      </w:pPr>
      <w:r>
        <w:rPr>
          <w:w w:val="243"/>
        </w:rPr>
        <w:t>l</w:t>
      </w:r>
      <w:r>
        <w:rPr>
          <w:w w:val="109"/>
        </w:rPr>
        <w:t>uego</w:t>
      </w:r>
      <w:r>
        <w:rPr>
          <w:spacing w:val="16"/>
        </w:rPr>
        <w:t> </w:t>
      </w:r>
      <w:r>
        <w:rPr>
          <w:w w:val="107"/>
        </w:rPr>
        <w:t>del</w:t>
      </w:r>
      <w:r>
        <w:rPr>
          <w:spacing w:val="16"/>
        </w:rPr>
        <w:t> </w:t>
      </w:r>
      <w:r>
        <w:rPr>
          <w:w w:val="111"/>
        </w:rPr>
        <w:t>fracaso</w:t>
      </w:r>
      <w:r>
        <w:rPr>
          <w:spacing w:val="16"/>
        </w:rPr>
        <w:t> </w:t>
      </w:r>
      <w:r>
        <w:rPr>
          <w:w w:val="108"/>
        </w:rPr>
        <w:t>que</w:t>
      </w:r>
      <w:r>
        <w:rPr>
          <w:spacing w:val="16"/>
        </w:rPr>
        <w:t> </w:t>
      </w:r>
      <w:r>
        <w:rPr>
          <w:w w:val="108"/>
        </w:rPr>
        <w:t>resultó</w:t>
      </w:r>
      <w:r>
        <w:rPr>
          <w:spacing w:val="16"/>
        </w:rPr>
        <w:t> </w:t>
      </w:r>
      <w:r>
        <w:rPr>
          <w:w w:val="109"/>
        </w:rPr>
        <w:t>para</w:t>
      </w:r>
      <w:r>
        <w:rPr>
          <w:spacing w:val="16"/>
        </w:rPr>
        <w:t> </w:t>
      </w:r>
      <w:r>
        <w:rPr>
          <w:spacing w:val="-11"/>
          <w:w w:val="110"/>
        </w:rPr>
        <w:t>W</w:t>
      </w:r>
      <w:r>
        <w:rPr>
          <w:w w:val="110"/>
        </w:rPr>
        <w:t>ashington</w:t>
      </w:r>
      <w:r>
        <w:rPr>
          <w:spacing w:val="16"/>
        </w:rPr>
        <w:t> </w:t>
      </w:r>
      <w:r>
        <w:rPr>
          <w:w w:val="111"/>
        </w:rPr>
        <w:t>la</w:t>
      </w:r>
      <w:r>
        <w:rPr>
          <w:spacing w:val="16"/>
        </w:rPr>
        <w:t> </w:t>
      </w:r>
      <w:r>
        <w:rPr>
          <w:w w:val="112"/>
        </w:rPr>
        <w:t>Cumbre</w:t>
      </w:r>
      <w:r>
        <w:rPr>
          <w:spacing w:val="16"/>
        </w:rPr>
        <w:t> </w:t>
      </w:r>
      <w:r>
        <w:rPr>
          <w:w w:val="107"/>
        </w:rPr>
        <w:t>de</w:t>
      </w:r>
      <w:r>
        <w:rPr>
          <w:spacing w:val="16"/>
        </w:rPr>
        <w:t> </w:t>
      </w:r>
      <w:r>
        <w:rPr>
          <w:w w:val="109"/>
        </w:rPr>
        <w:t>las </w:t>
      </w:r>
      <w:r>
        <w:rPr>
          <w:w w:val="110"/>
        </w:rPr>
        <w:t>américas realizada en Cartagena, obama pretendió recuperar la ini- ciativa en las relaciones interamericanas, detener el avance de poten- cias extrarregionales (fundamentalmente China) y limitar las aspira- ciones de dilma rousseff de transformarse en vocera de américa del sur vía el </w:t>
      </w:r>
      <w:r>
        <w:rPr>
          <w:w w:val="150"/>
        </w:rPr>
        <w:t>MErCosur </w:t>
      </w:r>
      <w:r>
        <w:rPr>
          <w:w w:val="110"/>
        </w:rPr>
        <w:t>o la </w:t>
      </w:r>
      <w:r>
        <w:rPr>
          <w:w w:val="150"/>
        </w:rPr>
        <w:t>uNasur. </w:t>
      </w:r>
      <w:r>
        <w:rPr>
          <w:w w:val="110"/>
        </w:rPr>
        <w:t>Por eso, la alianza del Pacífico es</w:t>
      </w:r>
      <w:r>
        <w:rPr>
          <w:spacing w:val="-5"/>
          <w:w w:val="110"/>
        </w:rPr>
        <w:t> </w:t>
      </w:r>
      <w:r>
        <w:rPr>
          <w:w w:val="110"/>
        </w:rPr>
        <w:t>fundamental</w:t>
      </w:r>
      <w:r>
        <w:rPr>
          <w:spacing w:val="-5"/>
          <w:w w:val="110"/>
        </w:rPr>
        <w:t> </w:t>
      </w:r>
      <w:r>
        <w:rPr>
          <w:w w:val="110"/>
        </w:rPr>
        <w:t>para</w:t>
      </w:r>
      <w:r>
        <w:rPr>
          <w:spacing w:val="-5"/>
          <w:w w:val="110"/>
        </w:rPr>
        <w:t> </w:t>
      </w:r>
      <w:r>
        <w:rPr>
          <w:w w:val="110"/>
        </w:rPr>
        <w:t>el</w:t>
      </w:r>
      <w:r>
        <w:rPr>
          <w:spacing w:val="-5"/>
          <w:w w:val="110"/>
        </w:rPr>
        <w:t> </w:t>
      </w:r>
      <w:r>
        <w:rPr>
          <w:w w:val="110"/>
        </w:rPr>
        <w:t>reposicionamiento</w:t>
      </w:r>
      <w:r>
        <w:rPr>
          <w:spacing w:val="-5"/>
          <w:w w:val="110"/>
        </w:rPr>
        <w:t> </w:t>
      </w:r>
      <w:r>
        <w:rPr>
          <w:w w:val="110"/>
        </w:rPr>
        <w:t>de</w:t>
      </w:r>
      <w:r>
        <w:rPr>
          <w:spacing w:val="-5"/>
          <w:w w:val="110"/>
        </w:rPr>
        <w:t> </w:t>
      </w:r>
      <w:r>
        <w:rPr>
          <w:w w:val="110"/>
        </w:rPr>
        <w:t>Washington</w:t>
      </w:r>
      <w:r>
        <w:rPr>
          <w:spacing w:val="-5"/>
          <w:w w:val="110"/>
        </w:rPr>
        <w:t> </w:t>
      </w:r>
      <w:r>
        <w:rPr>
          <w:w w:val="110"/>
        </w:rPr>
        <w:t>en</w:t>
      </w:r>
      <w:r>
        <w:rPr>
          <w:spacing w:val="-5"/>
          <w:w w:val="110"/>
        </w:rPr>
        <w:t> </w:t>
      </w:r>
      <w:r>
        <w:rPr>
          <w:w w:val="110"/>
        </w:rPr>
        <w:t>la</w:t>
      </w:r>
      <w:r>
        <w:rPr>
          <w:spacing w:val="-5"/>
          <w:w w:val="110"/>
        </w:rPr>
        <w:t> </w:t>
      </w:r>
      <w:r>
        <w:rPr>
          <w:w w:val="110"/>
        </w:rPr>
        <w:t>región. </w:t>
      </w:r>
      <w:r>
        <w:rPr>
          <w:w w:val="150"/>
        </w:rPr>
        <w:t>a </w:t>
      </w:r>
      <w:r>
        <w:rPr>
          <w:w w:val="110"/>
        </w:rPr>
        <w:t>través de la misma, se pretende atraer a los países disconformes del </w:t>
      </w:r>
      <w:r>
        <w:rPr>
          <w:w w:val="150"/>
        </w:rPr>
        <w:t>MErCosur, </w:t>
      </w:r>
      <w:r>
        <w:rPr>
          <w:w w:val="110"/>
        </w:rPr>
        <w:t>como uruguay y </w:t>
      </w:r>
      <w:r>
        <w:rPr>
          <w:spacing w:val="-3"/>
          <w:w w:val="110"/>
        </w:rPr>
        <w:t>Paraguay, </w:t>
      </w:r>
      <w:r>
        <w:rPr>
          <w:w w:val="110"/>
        </w:rPr>
        <w:t>y reintroducir políticas neo- liberales que tanta resistencia popular generaron en las últimas dos décadas. El anuncio de la distensión con Cuba debe entenderse en    ese contexto, ya que podría eliminar una de las principales causas de </w:t>
      </w:r>
      <w:r>
        <w:rPr>
          <w:w w:val="113"/>
        </w:rPr>
        <w:t>fricción</w:t>
      </w:r>
      <w:r>
        <w:rPr>
          <w:spacing w:val="15"/>
        </w:rPr>
        <w:t> </w:t>
      </w:r>
      <w:r>
        <w:rPr>
          <w:w w:val="112"/>
        </w:rPr>
        <w:t>con</w:t>
      </w:r>
      <w:r>
        <w:rPr>
          <w:spacing w:val="15"/>
        </w:rPr>
        <w:t> </w:t>
      </w:r>
      <w:r>
        <w:rPr>
          <w:w w:val="108"/>
        </w:rPr>
        <w:t>los</w:t>
      </w:r>
      <w:r>
        <w:rPr>
          <w:spacing w:val="15"/>
        </w:rPr>
        <w:t> </w:t>
      </w:r>
      <w:r>
        <w:rPr>
          <w:w w:val="108"/>
        </w:rPr>
        <w:t>países</w:t>
      </w:r>
      <w:r>
        <w:rPr>
          <w:spacing w:val="15"/>
        </w:rPr>
        <w:t> </w:t>
      </w:r>
      <w:r>
        <w:rPr>
          <w:w w:val="107"/>
        </w:rPr>
        <w:t>de</w:t>
      </w:r>
      <w:r>
        <w:rPr>
          <w:spacing w:val="15"/>
        </w:rPr>
        <w:t> </w:t>
      </w:r>
      <w:r>
        <w:rPr>
          <w:w w:val="111"/>
        </w:rPr>
        <w:t>la</w:t>
      </w:r>
      <w:r>
        <w:rPr>
          <w:spacing w:val="15"/>
        </w:rPr>
        <w:t> </w:t>
      </w:r>
      <w:r>
        <w:rPr>
          <w:w w:val="111"/>
        </w:rPr>
        <w:t>región.</w:t>
      </w:r>
      <w:r>
        <w:rPr>
          <w:spacing w:val="15"/>
        </w:rPr>
        <w:t> </w:t>
      </w:r>
      <w:r>
        <w:rPr>
          <w:w w:val="243"/>
        </w:rPr>
        <w:t>l</w:t>
      </w:r>
      <w:r>
        <w:rPr>
          <w:w w:val="112"/>
        </w:rPr>
        <w:t>a</w:t>
      </w:r>
      <w:r>
        <w:rPr>
          <w:spacing w:val="15"/>
        </w:rPr>
        <w:t> </w:t>
      </w:r>
      <w:r>
        <w:rPr>
          <w:w w:val="112"/>
        </w:rPr>
        <w:t>Cumbre</w:t>
      </w:r>
      <w:r>
        <w:rPr>
          <w:spacing w:val="15"/>
        </w:rPr>
        <w:t> </w:t>
      </w:r>
      <w:r>
        <w:rPr>
          <w:w w:val="107"/>
        </w:rPr>
        <w:t>de</w:t>
      </w:r>
      <w:r>
        <w:rPr>
          <w:spacing w:val="15"/>
        </w:rPr>
        <w:t> </w:t>
      </w:r>
      <w:r>
        <w:rPr>
          <w:w w:val="114"/>
        </w:rPr>
        <w:t>Panamá,</w:t>
      </w:r>
      <w:r>
        <w:rPr>
          <w:spacing w:val="15"/>
        </w:rPr>
        <w:t> </w:t>
      </w:r>
      <w:r>
        <w:rPr>
          <w:w w:val="110"/>
        </w:rPr>
        <w:t>realizada </w:t>
      </w:r>
      <w:r>
        <w:rPr>
          <w:w w:val="110"/>
        </w:rPr>
        <w:t>el 10 y 11 de abril de 2015, fue escenario interesante para medir ha- cia dónde van las relaciones interamericanas y cuál es el margen  </w:t>
      </w:r>
      <w:r>
        <w:rPr>
          <w:spacing w:val="27"/>
          <w:w w:val="110"/>
        </w:rPr>
        <w:t> </w:t>
      </w:r>
      <w:r>
        <w:rPr>
          <w:w w:val="110"/>
        </w:rPr>
        <w:t>que</w:t>
      </w:r>
    </w:p>
    <w:p>
      <w:pPr>
        <w:pStyle w:val="BodyText"/>
        <w:spacing w:before="1"/>
        <w:rPr>
          <w:sz w:val="23"/>
        </w:rPr>
      </w:pPr>
      <w:r>
        <w:rPr/>
        <w:pict>
          <v:line style="position:absolute;mso-position-horizontal-relative:page;mso-position-vertical-relative:paragraph;z-index:8272;mso-wrap-distance-left:0;mso-wrap-distance-right:0" from="76.5354pt,15.758229pt" to="104.8814pt,15.758229pt" stroked="true" strokeweight=".5pt" strokecolor="#000000">
            <w10:wrap type="topAndBottom"/>
          </v:line>
        </w:pict>
      </w:r>
    </w:p>
    <w:p>
      <w:pPr>
        <w:pStyle w:val="ListParagraph"/>
        <w:numPr>
          <w:ilvl w:val="0"/>
          <w:numId w:val="34"/>
        </w:numPr>
        <w:tabs>
          <w:tab w:pos="586" w:val="left" w:leader="none"/>
        </w:tabs>
        <w:spacing w:line="242" w:lineRule="auto" w:before="89" w:after="0"/>
        <w:ind w:left="330" w:right="118" w:firstLine="0"/>
        <w:jc w:val="both"/>
        <w:rPr>
          <w:sz w:val="16"/>
        </w:rPr>
      </w:pPr>
      <w:r>
        <w:rPr>
          <w:w w:val="110"/>
          <w:sz w:val="16"/>
        </w:rPr>
        <w:t>desarrollamos ampliamente la explicación sobre las distintas causas del </w:t>
      </w:r>
      <w:r>
        <w:rPr>
          <w:i/>
          <w:w w:val="110"/>
          <w:sz w:val="16"/>
        </w:rPr>
        <w:t>giro</w:t>
      </w:r>
      <w:r>
        <w:rPr>
          <w:w w:val="110"/>
          <w:sz w:val="16"/>
        </w:rPr>
        <w:t>, sobre las primeras negociaciones, con sus idas y vueltas, y sobre los desafíos para Nuestra</w:t>
      </w:r>
      <w:r>
        <w:rPr>
          <w:spacing w:val="-8"/>
          <w:w w:val="110"/>
          <w:sz w:val="16"/>
        </w:rPr>
        <w:t> </w:t>
      </w:r>
      <w:r>
        <w:rPr>
          <w:w w:val="110"/>
          <w:sz w:val="16"/>
        </w:rPr>
        <w:t>américa</w:t>
      </w:r>
      <w:r>
        <w:rPr>
          <w:spacing w:val="-8"/>
          <w:w w:val="110"/>
          <w:sz w:val="16"/>
        </w:rPr>
        <w:t> </w:t>
      </w:r>
      <w:r>
        <w:rPr>
          <w:w w:val="110"/>
          <w:sz w:val="16"/>
        </w:rPr>
        <w:t>en</w:t>
      </w:r>
      <w:r>
        <w:rPr>
          <w:spacing w:val="-8"/>
          <w:w w:val="110"/>
          <w:sz w:val="16"/>
        </w:rPr>
        <w:t> </w:t>
      </w:r>
      <w:r>
        <w:rPr>
          <w:w w:val="110"/>
          <w:sz w:val="16"/>
        </w:rPr>
        <w:t>Morgenfeld</w:t>
      </w:r>
      <w:r>
        <w:rPr>
          <w:spacing w:val="-8"/>
          <w:w w:val="110"/>
          <w:sz w:val="16"/>
        </w:rPr>
        <w:t> </w:t>
      </w:r>
      <w:r>
        <w:rPr>
          <w:w w:val="110"/>
          <w:sz w:val="16"/>
        </w:rPr>
        <w:t>(2015a).</w:t>
      </w:r>
    </w:p>
    <w:p>
      <w:pPr>
        <w:spacing w:after="0" w:line="242" w:lineRule="auto"/>
        <w:jc w:val="both"/>
        <w:rPr>
          <w:sz w:val="16"/>
        </w:rPr>
        <w:sectPr>
          <w:footerReference w:type="default" r:id="rId519"/>
          <w:footerReference w:type="even" r:id="rId520"/>
          <w:pgSz w:w="8790" w:h="12760"/>
          <w:pgMar w:footer="725" w:header="697" w:top="880" w:bottom="920" w:left="1200" w:right="900"/>
        </w:sectPr>
      </w:pPr>
    </w:p>
    <w:p>
      <w:pPr>
        <w:pStyle w:val="BodyText"/>
        <w:spacing w:before="9"/>
        <w:rPr>
          <w:sz w:val="28"/>
        </w:rPr>
      </w:pPr>
    </w:p>
    <w:p>
      <w:pPr>
        <w:pStyle w:val="BodyText"/>
        <w:spacing w:line="252" w:lineRule="auto" w:before="73"/>
        <w:ind w:left="100" w:right="328"/>
        <w:jc w:val="both"/>
      </w:pPr>
      <w:r>
        <w:rPr>
          <w:w w:val="110"/>
        </w:rPr>
        <w:t>mantienen los países bolivarianos para seguir impugnando la política de Estados unidos en la región, a partir de la distensión entre los go- </w:t>
      </w:r>
      <w:r>
        <w:rPr>
          <w:w w:val="108"/>
        </w:rPr>
        <w:t>biernos</w:t>
      </w:r>
      <w:r>
        <w:rPr/>
        <w:t> </w:t>
      </w:r>
      <w:r>
        <w:rPr>
          <w:spacing w:val="-16"/>
        </w:rPr>
        <w:t> </w:t>
      </w:r>
      <w:r>
        <w:rPr>
          <w:w w:val="107"/>
        </w:rPr>
        <w:t>de</w:t>
      </w:r>
      <w:r>
        <w:rPr/>
        <w:t> </w:t>
      </w:r>
      <w:r>
        <w:rPr>
          <w:spacing w:val="-16"/>
        </w:rPr>
        <w:t> </w:t>
      </w:r>
      <w:r>
        <w:rPr>
          <w:spacing w:val="-11"/>
          <w:w w:val="110"/>
        </w:rPr>
        <w:t>W</w:t>
      </w:r>
      <w:r>
        <w:rPr>
          <w:w w:val="110"/>
        </w:rPr>
        <w:t>ashington</w:t>
      </w:r>
      <w:r>
        <w:rPr/>
        <w:t> </w:t>
      </w:r>
      <w:r>
        <w:rPr>
          <w:spacing w:val="-16"/>
        </w:rPr>
        <w:t> </w:t>
      </w:r>
      <w:r>
        <w:rPr>
          <w:w w:val="105"/>
        </w:rPr>
        <w:t>y</w:t>
      </w:r>
      <w:r>
        <w:rPr/>
        <w:t> </w:t>
      </w:r>
      <w:r>
        <w:rPr>
          <w:spacing w:val="-16"/>
        </w:rPr>
        <w:t> </w:t>
      </w:r>
      <w:r>
        <w:rPr>
          <w:w w:val="243"/>
        </w:rPr>
        <w:t>l</w:t>
      </w:r>
      <w:r>
        <w:rPr>
          <w:w w:val="112"/>
        </w:rPr>
        <w:t>a</w:t>
      </w:r>
      <w:r>
        <w:rPr/>
        <w:t> </w:t>
      </w:r>
      <w:r>
        <w:rPr>
          <w:spacing w:val="-16"/>
        </w:rPr>
        <w:t> </w:t>
      </w:r>
      <w:r>
        <w:rPr>
          <w:w w:val="114"/>
        </w:rPr>
        <w:t>Habana</w:t>
      </w:r>
      <w:r>
        <w:rPr/>
        <w:t> </w:t>
      </w:r>
      <w:r>
        <w:rPr>
          <w:spacing w:val="-16"/>
        </w:rPr>
        <w:t> </w:t>
      </w:r>
      <w:r>
        <w:rPr>
          <w:w w:val="105"/>
        </w:rPr>
        <w:t>y</w:t>
      </w:r>
      <w:r>
        <w:rPr/>
        <w:t> </w:t>
      </w:r>
      <w:r>
        <w:rPr>
          <w:spacing w:val="-16"/>
        </w:rPr>
        <w:t> </w:t>
      </w:r>
      <w:r>
        <w:rPr>
          <w:w w:val="107"/>
        </w:rPr>
        <w:t>de</w:t>
      </w:r>
      <w:r>
        <w:rPr/>
        <w:t> </w:t>
      </w:r>
      <w:r>
        <w:rPr>
          <w:spacing w:val="-16"/>
        </w:rPr>
        <w:t> </w:t>
      </w:r>
      <w:r>
        <w:rPr>
          <w:w w:val="111"/>
        </w:rPr>
        <w:t>la</w:t>
      </w:r>
      <w:r>
        <w:rPr/>
        <w:t> </w:t>
      </w:r>
      <w:r>
        <w:rPr>
          <w:spacing w:val="-16"/>
        </w:rPr>
        <w:t> </w:t>
      </w:r>
      <w:r>
        <w:rPr>
          <w:w w:val="111"/>
        </w:rPr>
        <w:t>invitación</w:t>
      </w:r>
      <w:r>
        <w:rPr/>
        <w:t> </w:t>
      </w:r>
      <w:r>
        <w:rPr>
          <w:spacing w:val="-16"/>
        </w:rPr>
        <w:t> </w:t>
      </w:r>
      <w:r>
        <w:rPr>
          <w:w w:val="108"/>
        </w:rPr>
        <w:t>por</w:t>
      </w:r>
      <w:r>
        <w:rPr/>
        <w:t> </w:t>
      </w:r>
      <w:r>
        <w:rPr>
          <w:spacing w:val="-16"/>
        </w:rPr>
        <w:t> </w:t>
      </w:r>
      <w:r>
        <w:rPr>
          <w:w w:val="107"/>
        </w:rPr>
        <w:t>parte</w:t>
      </w:r>
      <w:r>
        <w:rPr/>
        <w:t> </w:t>
      </w:r>
      <w:r>
        <w:rPr>
          <w:spacing w:val="-16"/>
        </w:rPr>
        <w:t> </w:t>
      </w:r>
      <w:r>
        <w:rPr>
          <w:w w:val="107"/>
        </w:rPr>
        <w:t>del </w:t>
      </w:r>
      <w:r>
        <w:rPr>
          <w:w w:val="110"/>
        </w:rPr>
        <w:t>gobierno anfitrión a raúl Castro para participar de este  </w:t>
      </w:r>
      <w:r>
        <w:rPr>
          <w:spacing w:val="34"/>
          <w:w w:val="110"/>
        </w:rPr>
        <w:t> </w:t>
      </w:r>
      <w:r>
        <w:rPr>
          <w:w w:val="110"/>
        </w:rPr>
        <w:t>encuentro.</w:t>
      </w:r>
    </w:p>
    <w:p>
      <w:pPr>
        <w:pStyle w:val="BodyText"/>
        <w:spacing w:line="252" w:lineRule="auto"/>
        <w:ind w:left="100" w:right="326" w:firstLine="396"/>
        <w:jc w:val="both"/>
      </w:pPr>
      <w:r>
        <w:rPr>
          <w:w w:val="243"/>
        </w:rPr>
        <w:t>l</w:t>
      </w:r>
      <w:r>
        <w:rPr>
          <w:w w:val="112"/>
        </w:rPr>
        <w:t>a</w:t>
      </w:r>
      <w:r>
        <w:rPr/>
        <w:t> </w:t>
      </w:r>
      <w:r>
        <w:rPr>
          <w:spacing w:val="-5"/>
        </w:rPr>
        <w:t> </w:t>
      </w:r>
      <w:r>
        <w:rPr>
          <w:w w:val="111"/>
        </w:rPr>
        <w:t>foto</w:t>
      </w:r>
      <w:r>
        <w:rPr/>
        <w:t> </w:t>
      </w:r>
      <w:r>
        <w:rPr>
          <w:spacing w:val="-5"/>
        </w:rPr>
        <w:t> </w:t>
      </w:r>
      <w:r>
        <w:rPr>
          <w:w w:val="107"/>
        </w:rPr>
        <w:t>del</w:t>
      </w:r>
      <w:r>
        <w:rPr/>
        <w:t> </w:t>
      </w:r>
      <w:r>
        <w:rPr>
          <w:spacing w:val="-5"/>
        </w:rPr>
        <w:t> </w:t>
      </w:r>
      <w:r>
        <w:rPr>
          <w:w w:val="110"/>
        </w:rPr>
        <w:t>cónclave</w:t>
      </w:r>
      <w:r>
        <w:rPr/>
        <w:t> </w:t>
      </w:r>
      <w:r>
        <w:rPr>
          <w:spacing w:val="-5"/>
        </w:rPr>
        <w:t> </w:t>
      </w:r>
      <w:r>
        <w:rPr>
          <w:w w:val="107"/>
        </w:rPr>
        <w:t>de</w:t>
      </w:r>
      <w:r>
        <w:rPr/>
        <w:t> </w:t>
      </w:r>
      <w:r>
        <w:rPr>
          <w:spacing w:val="-5"/>
        </w:rPr>
        <w:t> </w:t>
      </w:r>
      <w:r>
        <w:rPr>
          <w:w w:val="112"/>
        </w:rPr>
        <w:t>Panamá</w:t>
      </w:r>
      <w:r>
        <w:rPr/>
        <w:t> </w:t>
      </w:r>
      <w:r>
        <w:rPr>
          <w:spacing w:val="-5"/>
        </w:rPr>
        <w:t> </w:t>
      </w:r>
      <w:r>
        <w:rPr>
          <w:w w:val="111"/>
        </w:rPr>
        <w:t>fue</w:t>
      </w:r>
      <w:r>
        <w:rPr/>
        <w:t> </w:t>
      </w:r>
      <w:r>
        <w:rPr>
          <w:spacing w:val="-5"/>
        </w:rPr>
        <w:t> </w:t>
      </w:r>
      <w:r>
        <w:rPr>
          <w:w w:val="111"/>
        </w:rPr>
        <w:t>la</w:t>
      </w:r>
      <w:r>
        <w:rPr/>
        <w:t> </w:t>
      </w:r>
      <w:r>
        <w:rPr>
          <w:spacing w:val="-5"/>
        </w:rPr>
        <w:t> </w:t>
      </w:r>
      <w:r>
        <w:rPr>
          <w:w w:val="107"/>
        </w:rPr>
        <w:t>del</w:t>
      </w:r>
      <w:r>
        <w:rPr/>
        <w:t> </w:t>
      </w:r>
      <w:r>
        <w:rPr>
          <w:spacing w:val="-5"/>
        </w:rPr>
        <w:t> </w:t>
      </w:r>
      <w:r>
        <w:rPr>
          <w:w w:val="110"/>
        </w:rPr>
        <w:t>histórico</w:t>
      </w:r>
      <w:r>
        <w:rPr/>
        <w:t> </w:t>
      </w:r>
      <w:r>
        <w:rPr>
          <w:spacing w:val="-5"/>
        </w:rPr>
        <w:t> </w:t>
      </w:r>
      <w:r>
        <w:rPr>
          <w:w w:val="109"/>
        </w:rPr>
        <w:t>encuentro </w:t>
      </w:r>
      <w:r>
        <w:rPr>
          <w:w w:val="106"/>
        </w:rPr>
        <w:t>entre</w:t>
      </w:r>
      <w:r>
        <w:rPr/>
        <w:t> </w:t>
      </w:r>
      <w:r>
        <w:rPr>
          <w:spacing w:val="7"/>
        </w:rPr>
        <w:t> </w:t>
      </w:r>
      <w:r>
        <w:rPr>
          <w:w w:val="149"/>
        </w:rPr>
        <w:t>o</w:t>
      </w:r>
      <w:r>
        <w:rPr>
          <w:w w:val="112"/>
        </w:rPr>
        <w:t>bama</w:t>
      </w:r>
      <w:r>
        <w:rPr/>
        <w:t> </w:t>
      </w:r>
      <w:r>
        <w:rPr>
          <w:spacing w:val="7"/>
        </w:rPr>
        <w:t> </w:t>
      </w:r>
      <w:r>
        <w:rPr>
          <w:w w:val="105"/>
        </w:rPr>
        <w:t>y</w:t>
      </w:r>
      <w:r>
        <w:rPr/>
        <w:t> </w:t>
      </w:r>
      <w:r>
        <w:rPr>
          <w:spacing w:val="7"/>
        </w:rPr>
        <w:t> </w:t>
      </w:r>
      <w:r>
        <w:rPr>
          <w:w w:val="113"/>
        </w:rPr>
        <w:t>Castro.</w:t>
      </w:r>
      <w:r>
        <w:rPr/>
        <w:t> </w:t>
      </w:r>
      <w:r>
        <w:rPr>
          <w:spacing w:val="7"/>
        </w:rPr>
        <w:t> </w:t>
      </w:r>
      <w:r>
        <w:rPr>
          <w:w w:val="243"/>
        </w:rPr>
        <w:t>l</w:t>
      </w:r>
      <w:r>
        <w:rPr>
          <w:w w:val="108"/>
        </w:rPr>
        <w:t>os</w:t>
      </w:r>
      <w:r>
        <w:rPr/>
        <w:t> </w:t>
      </w:r>
      <w:r>
        <w:rPr>
          <w:spacing w:val="7"/>
        </w:rPr>
        <w:t> </w:t>
      </w:r>
      <w:r>
        <w:rPr>
          <w:w w:val="108"/>
        </w:rPr>
        <w:t>grandes</w:t>
      </w:r>
      <w:r>
        <w:rPr/>
        <w:t> </w:t>
      </w:r>
      <w:r>
        <w:rPr>
          <w:spacing w:val="7"/>
        </w:rPr>
        <w:t> </w:t>
      </w:r>
      <w:r>
        <w:rPr>
          <w:w w:val="109"/>
        </w:rPr>
        <w:t>medios</w:t>
      </w:r>
      <w:r>
        <w:rPr/>
        <w:t> </w:t>
      </w:r>
      <w:r>
        <w:rPr>
          <w:spacing w:val="7"/>
        </w:rPr>
        <w:t> </w:t>
      </w:r>
      <w:r>
        <w:rPr>
          <w:w w:val="107"/>
        </w:rPr>
        <w:t>de</w:t>
      </w:r>
      <w:r>
        <w:rPr/>
        <w:t> </w:t>
      </w:r>
      <w:r>
        <w:rPr>
          <w:spacing w:val="7"/>
        </w:rPr>
        <w:t> </w:t>
      </w:r>
      <w:r>
        <w:rPr>
          <w:w w:val="113"/>
        </w:rPr>
        <w:t>comunicación</w:t>
      </w:r>
      <w:r>
        <w:rPr/>
        <w:t> </w:t>
      </w:r>
      <w:r>
        <w:rPr>
          <w:spacing w:val="7"/>
        </w:rPr>
        <w:t> </w:t>
      </w:r>
      <w:r>
        <w:rPr>
          <w:w w:val="105"/>
        </w:rPr>
        <w:t>y</w:t>
      </w:r>
      <w:r>
        <w:rPr/>
        <w:t> </w:t>
      </w:r>
      <w:r>
        <w:rPr>
          <w:spacing w:val="7"/>
        </w:rPr>
        <w:t> </w:t>
      </w:r>
      <w:r>
        <w:rPr>
          <w:w w:val="111"/>
        </w:rPr>
        <w:t>la </w:t>
      </w:r>
      <w:r>
        <w:rPr>
          <w:w w:val="115"/>
        </w:rPr>
        <w:t>derecha continental destacaron el supuesto triunfo diplomático de Estados</w:t>
      </w:r>
      <w:r>
        <w:rPr>
          <w:spacing w:val="-19"/>
          <w:w w:val="115"/>
        </w:rPr>
        <w:t> </w:t>
      </w:r>
      <w:r>
        <w:rPr>
          <w:w w:val="115"/>
        </w:rPr>
        <w:t>unidos,</w:t>
      </w:r>
      <w:r>
        <w:rPr>
          <w:spacing w:val="-19"/>
          <w:w w:val="115"/>
        </w:rPr>
        <w:t> </w:t>
      </w:r>
      <w:r>
        <w:rPr>
          <w:w w:val="115"/>
        </w:rPr>
        <w:t>quien</w:t>
      </w:r>
      <w:r>
        <w:rPr>
          <w:spacing w:val="-19"/>
          <w:w w:val="115"/>
        </w:rPr>
        <w:t> </w:t>
      </w:r>
      <w:r>
        <w:rPr>
          <w:w w:val="115"/>
        </w:rPr>
        <w:t>habría</w:t>
      </w:r>
      <w:r>
        <w:rPr>
          <w:spacing w:val="-19"/>
          <w:w w:val="115"/>
        </w:rPr>
        <w:t> </w:t>
      </w:r>
      <w:r>
        <w:rPr>
          <w:w w:val="115"/>
        </w:rPr>
        <w:t>desbaratado</w:t>
      </w:r>
      <w:r>
        <w:rPr>
          <w:spacing w:val="-19"/>
          <w:w w:val="115"/>
        </w:rPr>
        <w:t> </w:t>
      </w:r>
      <w:r>
        <w:rPr>
          <w:w w:val="115"/>
        </w:rPr>
        <w:t>los</w:t>
      </w:r>
      <w:r>
        <w:rPr>
          <w:spacing w:val="-19"/>
          <w:w w:val="115"/>
        </w:rPr>
        <w:t> </w:t>
      </w:r>
      <w:r>
        <w:rPr>
          <w:w w:val="115"/>
        </w:rPr>
        <w:t>argumentos</w:t>
      </w:r>
      <w:r>
        <w:rPr>
          <w:spacing w:val="-19"/>
          <w:w w:val="115"/>
        </w:rPr>
        <w:t> </w:t>
      </w:r>
      <w:r>
        <w:rPr>
          <w:w w:val="115"/>
        </w:rPr>
        <w:t>antiimpe- </w:t>
      </w:r>
      <w:r>
        <w:rPr>
          <w:w w:val="109"/>
        </w:rPr>
        <w:t>rialistas</w:t>
      </w:r>
      <w:r>
        <w:rPr>
          <w:spacing w:val="17"/>
        </w:rPr>
        <w:t> </w:t>
      </w:r>
      <w:r>
        <w:rPr>
          <w:w w:val="107"/>
        </w:rPr>
        <w:t>del</w:t>
      </w:r>
      <w:r>
        <w:rPr>
          <w:spacing w:val="17"/>
        </w:rPr>
        <w:t> </w:t>
      </w:r>
      <w:r>
        <w:rPr>
          <w:w w:val="106"/>
        </w:rPr>
        <w:t>eje</w:t>
      </w:r>
      <w:r>
        <w:rPr>
          <w:spacing w:val="17"/>
        </w:rPr>
        <w:t> </w:t>
      </w:r>
      <w:r>
        <w:rPr>
          <w:w w:val="110"/>
        </w:rPr>
        <w:t>bolivariano</w:t>
      </w:r>
      <w:r>
        <w:rPr>
          <w:spacing w:val="17"/>
        </w:rPr>
        <w:t> </w:t>
      </w:r>
      <w:r>
        <w:rPr>
          <w:w w:val="105"/>
        </w:rPr>
        <w:t>y</w:t>
      </w:r>
      <w:r>
        <w:rPr>
          <w:spacing w:val="17"/>
        </w:rPr>
        <w:t> </w:t>
      </w:r>
      <w:r>
        <w:rPr>
          <w:w w:val="111"/>
        </w:rPr>
        <w:t>la</w:t>
      </w:r>
      <w:r>
        <w:rPr>
          <w:spacing w:val="17"/>
        </w:rPr>
        <w:t> </w:t>
      </w:r>
      <w:r>
        <w:rPr>
          <w:w w:val="110"/>
        </w:rPr>
        <w:t>izquierda</w:t>
      </w:r>
      <w:r>
        <w:rPr>
          <w:spacing w:val="17"/>
        </w:rPr>
        <w:t> </w:t>
      </w:r>
      <w:r>
        <w:rPr>
          <w:w w:val="112"/>
        </w:rPr>
        <w:t>latinoamericana.</w:t>
      </w:r>
      <w:r>
        <w:rPr>
          <w:spacing w:val="17"/>
        </w:rPr>
        <w:t> </w:t>
      </w:r>
      <w:r>
        <w:rPr>
          <w:w w:val="243"/>
        </w:rPr>
        <w:t>l</w:t>
      </w:r>
      <w:r>
        <w:rPr>
          <w:w w:val="112"/>
        </w:rPr>
        <w:t>a</w:t>
      </w:r>
      <w:r>
        <w:rPr>
          <w:spacing w:val="17"/>
        </w:rPr>
        <w:t> </w:t>
      </w:r>
      <w:r>
        <w:rPr>
          <w:w w:val="110"/>
        </w:rPr>
        <w:t>activa </w:t>
      </w:r>
      <w:r>
        <w:rPr>
          <w:w w:val="115"/>
        </w:rPr>
        <w:t>diplomacia</w:t>
      </w:r>
      <w:r>
        <w:rPr>
          <w:spacing w:val="-18"/>
          <w:w w:val="115"/>
        </w:rPr>
        <w:t> </w:t>
      </w:r>
      <w:r>
        <w:rPr>
          <w:w w:val="115"/>
        </w:rPr>
        <w:t>del</w:t>
      </w:r>
      <w:r>
        <w:rPr>
          <w:spacing w:val="-18"/>
          <w:w w:val="115"/>
        </w:rPr>
        <w:t> </w:t>
      </w:r>
      <w:r>
        <w:rPr>
          <w:w w:val="115"/>
        </w:rPr>
        <w:t>departamento</w:t>
      </w:r>
      <w:r>
        <w:rPr>
          <w:spacing w:val="-18"/>
          <w:w w:val="115"/>
        </w:rPr>
        <w:t> </w:t>
      </w:r>
      <w:r>
        <w:rPr>
          <w:w w:val="115"/>
        </w:rPr>
        <w:t>de</w:t>
      </w:r>
      <w:r>
        <w:rPr>
          <w:spacing w:val="-18"/>
          <w:w w:val="115"/>
        </w:rPr>
        <w:t> </w:t>
      </w:r>
      <w:r>
        <w:rPr>
          <w:w w:val="115"/>
        </w:rPr>
        <w:t>Estado</w:t>
      </w:r>
      <w:r>
        <w:rPr>
          <w:spacing w:val="-18"/>
          <w:w w:val="115"/>
        </w:rPr>
        <w:t> </w:t>
      </w:r>
      <w:r>
        <w:rPr>
          <w:w w:val="115"/>
        </w:rPr>
        <w:t>en</w:t>
      </w:r>
      <w:r>
        <w:rPr>
          <w:spacing w:val="-18"/>
          <w:w w:val="115"/>
        </w:rPr>
        <w:t> </w:t>
      </w:r>
      <w:r>
        <w:rPr>
          <w:w w:val="115"/>
        </w:rPr>
        <w:t>las</w:t>
      </w:r>
      <w:r>
        <w:rPr>
          <w:spacing w:val="-18"/>
          <w:w w:val="115"/>
        </w:rPr>
        <w:t> </w:t>
      </w:r>
      <w:r>
        <w:rPr>
          <w:w w:val="115"/>
        </w:rPr>
        <w:t>horas</w:t>
      </w:r>
      <w:r>
        <w:rPr>
          <w:spacing w:val="-18"/>
          <w:w w:val="115"/>
        </w:rPr>
        <w:t> </w:t>
      </w:r>
      <w:r>
        <w:rPr>
          <w:w w:val="115"/>
        </w:rPr>
        <w:t>previas</w:t>
      </w:r>
      <w:r>
        <w:rPr>
          <w:spacing w:val="-18"/>
          <w:w w:val="115"/>
        </w:rPr>
        <w:t> </w:t>
      </w:r>
      <w:r>
        <w:rPr>
          <w:w w:val="115"/>
        </w:rPr>
        <w:t>al</w:t>
      </w:r>
      <w:r>
        <w:rPr>
          <w:spacing w:val="-18"/>
          <w:w w:val="115"/>
        </w:rPr>
        <w:t> </w:t>
      </w:r>
      <w:r>
        <w:rPr>
          <w:w w:val="115"/>
        </w:rPr>
        <w:t>inicio de</w:t>
      </w:r>
      <w:r>
        <w:rPr>
          <w:spacing w:val="-10"/>
          <w:w w:val="115"/>
        </w:rPr>
        <w:t> </w:t>
      </w:r>
      <w:r>
        <w:rPr>
          <w:w w:val="115"/>
        </w:rPr>
        <w:t>la</w:t>
      </w:r>
      <w:r>
        <w:rPr>
          <w:spacing w:val="-10"/>
          <w:w w:val="115"/>
        </w:rPr>
        <w:t> </w:t>
      </w:r>
      <w:r>
        <w:rPr>
          <w:w w:val="115"/>
        </w:rPr>
        <w:t>Cumbre</w:t>
      </w:r>
      <w:r>
        <w:rPr>
          <w:spacing w:val="-10"/>
          <w:w w:val="115"/>
        </w:rPr>
        <w:t> </w:t>
      </w:r>
      <w:r>
        <w:rPr>
          <w:w w:val="115"/>
        </w:rPr>
        <w:t>logró</w:t>
      </w:r>
      <w:r>
        <w:rPr>
          <w:spacing w:val="-10"/>
          <w:w w:val="115"/>
        </w:rPr>
        <w:t> </w:t>
      </w:r>
      <w:r>
        <w:rPr>
          <w:w w:val="115"/>
        </w:rPr>
        <w:t>desactivar</w:t>
      </w:r>
      <w:r>
        <w:rPr>
          <w:spacing w:val="-10"/>
          <w:w w:val="115"/>
        </w:rPr>
        <w:t> </w:t>
      </w:r>
      <w:r>
        <w:rPr>
          <w:w w:val="115"/>
        </w:rPr>
        <w:t>los</w:t>
      </w:r>
      <w:r>
        <w:rPr>
          <w:spacing w:val="-10"/>
          <w:w w:val="115"/>
        </w:rPr>
        <w:t> </w:t>
      </w:r>
      <w:r>
        <w:rPr>
          <w:w w:val="115"/>
        </w:rPr>
        <w:t>dos</w:t>
      </w:r>
      <w:r>
        <w:rPr>
          <w:spacing w:val="-10"/>
          <w:w w:val="115"/>
        </w:rPr>
        <w:t> </w:t>
      </w:r>
      <w:r>
        <w:rPr>
          <w:w w:val="115"/>
        </w:rPr>
        <w:t>temas</w:t>
      </w:r>
      <w:r>
        <w:rPr>
          <w:spacing w:val="-10"/>
          <w:w w:val="115"/>
        </w:rPr>
        <w:t> </w:t>
      </w:r>
      <w:r>
        <w:rPr>
          <w:w w:val="115"/>
        </w:rPr>
        <w:t>más</w:t>
      </w:r>
      <w:r>
        <w:rPr>
          <w:spacing w:val="-10"/>
          <w:w w:val="115"/>
        </w:rPr>
        <w:t> </w:t>
      </w:r>
      <w:r>
        <w:rPr>
          <w:w w:val="115"/>
        </w:rPr>
        <w:t>ríspidos:</w:t>
      </w:r>
      <w:r>
        <w:rPr>
          <w:spacing w:val="-10"/>
          <w:w w:val="115"/>
        </w:rPr>
        <w:t> </w:t>
      </w:r>
      <w:r>
        <w:rPr>
          <w:w w:val="115"/>
        </w:rPr>
        <w:t>prometió a</w:t>
      </w:r>
      <w:r>
        <w:rPr>
          <w:spacing w:val="-7"/>
          <w:w w:val="115"/>
        </w:rPr>
        <w:t> </w:t>
      </w:r>
      <w:r>
        <w:rPr>
          <w:w w:val="115"/>
        </w:rPr>
        <w:t>Cuba</w:t>
      </w:r>
      <w:r>
        <w:rPr>
          <w:spacing w:val="-7"/>
          <w:w w:val="115"/>
        </w:rPr>
        <w:t> </w:t>
      </w:r>
      <w:r>
        <w:rPr>
          <w:w w:val="115"/>
        </w:rPr>
        <w:t>la</w:t>
      </w:r>
      <w:r>
        <w:rPr>
          <w:spacing w:val="-7"/>
          <w:w w:val="115"/>
        </w:rPr>
        <w:t> </w:t>
      </w:r>
      <w:r>
        <w:rPr>
          <w:w w:val="115"/>
        </w:rPr>
        <w:t>inminente</w:t>
      </w:r>
      <w:r>
        <w:rPr>
          <w:spacing w:val="-7"/>
          <w:w w:val="115"/>
        </w:rPr>
        <w:t> </w:t>
      </w:r>
      <w:r>
        <w:rPr>
          <w:w w:val="115"/>
        </w:rPr>
        <w:t>revisión</w:t>
      </w:r>
      <w:r>
        <w:rPr>
          <w:spacing w:val="-7"/>
          <w:w w:val="115"/>
        </w:rPr>
        <w:t> </w:t>
      </w:r>
      <w:r>
        <w:rPr>
          <w:w w:val="115"/>
        </w:rPr>
        <w:t>de</w:t>
      </w:r>
      <w:r>
        <w:rPr>
          <w:spacing w:val="-7"/>
          <w:w w:val="115"/>
        </w:rPr>
        <w:t> </w:t>
      </w:r>
      <w:r>
        <w:rPr>
          <w:w w:val="115"/>
        </w:rPr>
        <w:t>su</w:t>
      </w:r>
      <w:r>
        <w:rPr>
          <w:spacing w:val="-7"/>
          <w:w w:val="115"/>
        </w:rPr>
        <w:t> </w:t>
      </w:r>
      <w:r>
        <w:rPr>
          <w:w w:val="115"/>
        </w:rPr>
        <w:t>inclusión</w:t>
      </w:r>
      <w:r>
        <w:rPr>
          <w:spacing w:val="-7"/>
          <w:w w:val="115"/>
        </w:rPr>
        <w:t> </w:t>
      </w:r>
      <w:r>
        <w:rPr>
          <w:w w:val="115"/>
        </w:rPr>
        <w:t>en</w:t>
      </w:r>
      <w:r>
        <w:rPr>
          <w:spacing w:val="-7"/>
          <w:w w:val="115"/>
        </w:rPr>
        <w:t> </w:t>
      </w:r>
      <w:r>
        <w:rPr>
          <w:w w:val="115"/>
        </w:rPr>
        <w:t>la</w:t>
      </w:r>
      <w:r>
        <w:rPr>
          <w:spacing w:val="-7"/>
          <w:w w:val="115"/>
        </w:rPr>
        <w:t> </w:t>
      </w:r>
      <w:r>
        <w:rPr>
          <w:w w:val="115"/>
        </w:rPr>
        <w:t>lista</w:t>
      </w:r>
      <w:r>
        <w:rPr>
          <w:spacing w:val="-7"/>
          <w:w w:val="115"/>
        </w:rPr>
        <w:t> </w:t>
      </w:r>
      <w:r>
        <w:rPr>
          <w:w w:val="115"/>
        </w:rPr>
        <w:t>de</w:t>
      </w:r>
      <w:r>
        <w:rPr>
          <w:spacing w:val="-7"/>
          <w:w w:val="115"/>
        </w:rPr>
        <w:t> </w:t>
      </w:r>
      <w:r>
        <w:rPr>
          <w:w w:val="115"/>
        </w:rPr>
        <w:t>supuestos patrocinadores</w:t>
      </w:r>
      <w:r>
        <w:rPr>
          <w:spacing w:val="-22"/>
          <w:w w:val="115"/>
        </w:rPr>
        <w:t> </w:t>
      </w:r>
      <w:r>
        <w:rPr>
          <w:w w:val="115"/>
        </w:rPr>
        <w:t>del</w:t>
      </w:r>
      <w:r>
        <w:rPr>
          <w:spacing w:val="-22"/>
          <w:w w:val="115"/>
        </w:rPr>
        <w:t> </w:t>
      </w:r>
      <w:r>
        <w:rPr>
          <w:w w:val="115"/>
        </w:rPr>
        <w:t>terrorismo</w:t>
      </w:r>
      <w:r>
        <w:rPr>
          <w:spacing w:val="-22"/>
          <w:w w:val="115"/>
        </w:rPr>
        <w:t> </w:t>
      </w:r>
      <w:r>
        <w:rPr>
          <w:w w:val="115"/>
        </w:rPr>
        <w:t>–el</w:t>
      </w:r>
      <w:r>
        <w:rPr>
          <w:spacing w:val="-22"/>
          <w:w w:val="115"/>
        </w:rPr>
        <w:t> </w:t>
      </w:r>
      <w:r>
        <w:rPr>
          <w:w w:val="115"/>
        </w:rPr>
        <w:t>14</w:t>
      </w:r>
      <w:r>
        <w:rPr>
          <w:spacing w:val="-22"/>
          <w:w w:val="115"/>
        </w:rPr>
        <w:t> </w:t>
      </w:r>
      <w:r>
        <w:rPr>
          <w:w w:val="115"/>
        </w:rPr>
        <w:t>de</w:t>
      </w:r>
      <w:r>
        <w:rPr>
          <w:spacing w:val="-22"/>
          <w:w w:val="115"/>
        </w:rPr>
        <w:t> </w:t>
      </w:r>
      <w:r>
        <w:rPr>
          <w:w w:val="115"/>
        </w:rPr>
        <w:t>abril</w:t>
      </w:r>
      <w:r>
        <w:rPr>
          <w:spacing w:val="-22"/>
          <w:w w:val="115"/>
        </w:rPr>
        <w:t> </w:t>
      </w:r>
      <w:r>
        <w:rPr>
          <w:w w:val="115"/>
        </w:rPr>
        <w:t>obama</w:t>
      </w:r>
      <w:r>
        <w:rPr>
          <w:spacing w:val="-22"/>
          <w:w w:val="115"/>
        </w:rPr>
        <w:t> </w:t>
      </w:r>
      <w:r>
        <w:rPr>
          <w:w w:val="115"/>
        </w:rPr>
        <w:t>presentó</w:t>
      </w:r>
      <w:r>
        <w:rPr>
          <w:spacing w:val="-22"/>
          <w:w w:val="115"/>
        </w:rPr>
        <w:t> </w:t>
      </w:r>
      <w:r>
        <w:rPr>
          <w:w w:val="115"/>
        </w:rPr>
        <w:t>ante</w:t>
      </w:r>
      <w:r>
        <w:rPr>
          <w:spacing w:val="-22"/>
          <w:w w:val="115"/>
        </w:rPr>
        <w:t> </w:t>
      </w:r>
      <w:r>
        <w:rPr>
          <w:w w:val="115"/>
        </w:rPr>
        <w:t>el Congreso esa solicitud– y envió a thomas shannon a Caracas para iniciar conversaciones con el gobierno de Nicolás Maduro, tras las tensiones</w:t>
      </w:r>
      <w:r>
        <w:rPr>
          <w:spacing w:val="-15"/>
          <w:w w:val="115"/>
        </w:rPr>
        <w:t> </w:t>
      </w:r>
      <w:r>
        <w:rPr>
          <w:w w:val="115"/>
        </w:rPr>
        <w:t>generadas</w:t>
      </w:r>
      <w:r>
        <w:rPr>
          <w:spacing w:val="-15"/>
          <w:w w:val="115"/>
        </w:rPr>
        <w:t> </w:t>
      </w:r>
      <w:r>
        <w:rPr>
          <w:w w:val="115"/>
        </w:rPr>
        <w:t>a</w:t>
      </w:r>
      <w:r>
        <w:rPr>
          <w:spacing w:val="-15"/>
          <w:w w:val="115"/>
        </w:rPr>
        <w:t> </w:t>
      </w:r>
      <w:r>
        <w:rPr>
          <w:w w:val="115"/>
        </w:rPr>
        <w:t>partir</w:t>
      </w:r>
      <w:r>
        <w:rPr>
          <w:spacing w:val="-15"/>
          <w:w w:val="115"/>
        </w:rPr>
        <w:t> </w:t>
      </w:r>
      <w:r>
        <w:rPr>
          <w:w w:val="115"/>
        </w:rPr>
        <w:t>de</w:t>
      </w:r>
      <w:r>
        <w:rPr>
          <w:spacing w:val="-15"/>
          <w:w w:val="115"/>
        </w:rPr>
        <w:t> </w:t>
      </w:r>
      <w:r>
        <w:rPr>
          <w:w w:val="115"/>
        </w:rPr>
        <w:t>la</w:t>
      </w:r>
      <w:r>
        <w:rPr>
          <w:spacing w:val="-15"/>
          <w:w w:val="115"/>
        </w:rPr>
        <w:t> </w:t>
      </w:r>
      <w:r>
        <w:rPr>
          <w:w w:val="115"/>
        </w:rPr>
        <w:t>orden</w:t>
      </w:r>
      <w:r>
        <w:rPr>
          <w:spacing w:val="-15"/>
          <w:w w:val="115"/>
        </w:rPr>
        <w:t> </w:t>
      </w:r>
      <w:r>
        <w:rPr>
          <w:w w:val="115"/>
        </w:rPr>
        <w:t>ejecutiva</w:t>
      </w:r>
      <w:r>
        <w:rPr>
          <w:spacing w:val="-15"/>
          <w:w w:val="115"/>
        </w:rPr>
        <w:t> </w:t>
      </w:r>
      <w:r>
        <w:rPr>
          <w:w w:val="115"/>
        </w:rPr>
        <w:t>del</w:t>
      </w:r>
      <w:r>
        <w:rPr>
          <w:spacing w:val="-15"/>
          <w:w w:val="115"/>
        </w:rPr>
        <w:t> </w:t>
      </w:r>
      <w:r>
        <w:rPr>
          <w:w w:val="115"/>
        </w:rPr>
        <w:t>9</w:t>
      </w:r>
      <w:r>
        <w:rPr>
          <w:spacing w:val="-15"/>
          <w:w w:val="115"/>
        </w:rPr>
        <w:t> </w:t>
      </w:r>
      <w:r>
        <w:rPr>
          <w:w w:val="115"/>
        </w:rPr>
        <w:t>de</w:t>
      </w:r>
      <w:r>
        <w:rPr>
          <w:spacing w:val="-15"/>
          <w:w w:val="115"/>
        </w:rPr>
        <w:t> </w:t>
      </w:r>
      <w:r>
        <w:rPr>
          <w:w w:val="115"/>
        </w:rPr>
        <w:t>marzo,</w:t>
      </w:r>
      <w:r>
        <w:rPr>
          <w:spacing w:val="-15"/>
          <w:w w:val="115"/>
        </w:rPr>
        <w:t> </w:t>
      </w:r>
      <w:r>
        <w:rPr>
          <w:w w:val="115"/>
        </w:rPr>
        <w:t>en la</w:t>
      </w:r>
      <w:r>
        <w:rPr>
          <w:spacing w:val="-10"/>
          <w:w w:val="115"/>
        </w:rPr>
        <w:t> </w:t>
      </w:r>
      <w:r>
        <w:rPr>
          <w:w w:val="115"/>
        </w:rPr>
        <w:t>cual</w:t>
      </w:r>
      <w:r>
        <w:rPr>
          <w:spacing w:val="-10"/>
          <w:w w:val="115"/>
        </w:rPr>
        <w:t> </w:t>
      </w:r>
      <w:r>
        <w:rPr>
          <w:w w:val="115"/>
        </w:rPr>
        <w:t>declaró</w:t>
      </w:r>
      <w:r>
        <w:rPr>
          <w:spacing w:val="-10"/>
          <w:w w:val="115"/>
        </w:rPr>
        <w:t> </w:t>
      </w:r>
      <w:r>
        <w:rPr>
          <w:w w:val="115"/>
        </w:rPr>
        <w:t>a</w:t>
      </w:r>
      <w:r>
        <w:rPr>
          <w:spacing w:val="-10"/>
          <w:w w:val="115"/>
        </w:rPr>
        <w:t> </w:t>
      </w:r>
      <w:r>
        <w:rPr>
          <w:w w:val="115"/>
        </w:rPr>
        <w:t>Venezuela</w:t>
      </w:r>
      <w:r>
        <w:rPr>
          <w:spacing w:val="-10"/>
          <w:w w:val="115"/>
        </w:rPr>
        <w:t> </w:t>
      </w:r>
      <w:r>
        <w:rPr>
          <w:w w:val="115"/>
        </w:rPr>
        <w:t>como</w:t>
      </w:r>
      <w:r>
        <w:rPr>
          <w:spacing w:val="-10"/>
          <w:w w:val="115"/>
        </w:rPr>
        <w:t> </w:t>
      </w:r>
      <w:r>
        <w:rPr>
          <w:w w:val="115"/>
        </w:rPr>
        <w:t>una</w:t>
      </w:r>
      <w:r>
        <w:rPr>
          <w:spacing w:val="-10"/>
          <w:w w:val="115"/>
        </w:rPr>
        <w:t> </w:t>
      </w:r>
      <w:r>
        <w:rPr>
          <w:w w:val="115"/>
        </w:rPr>
        <w:t>“amenaza</w:t>
      </w:r>
      <w:r>
        <w:rPr>
          <w:spacing w:val="-10"/>
          <w:w w:val="115"/>
        </w:rPr>
        <w:t> </w:t>
      </w:r>
      <w:r>
        <w:rPr>
          <w:w w:val="115"/>
        </w:rPr>
        <w:t>inusual</w:t>
      </w:r>
      <w:r>
        <w:rPr>
          <w:spacing w:val="-10"/>
          <w:w w:val="115"/>
        </w:rPr>
        <w:t> </w:t>
      </w:r>
      <w:r>
        <w:rPr>
          <w:w w:val="115"/>
        </w:rPr>
        <w:t>y</w:t>
      </w:r>
      <w:r>
        <w:rPr>
          <w:spacing w:val="-10"/>
          <w:w w:val="115"/>
        </w:rPr>
        <w:t> </w:t>
      </w:r>
      <w:r>
        <w:rPr>
          <w:w w:val="115"/>
        </w:rPr>
        <w:t>extraordi- naria</w:t>
      </w:r>
      <w:r>
        <w:rPr>
          <w:spacing w:val="-17"/>
          <w:w w:val="115"/>
        </w:rPr>
        <w:t> </w:t>
      </w:r>
      <w:r>
        <w:rPr>
          <w:w w:val="115"/>
        </w:rPr>
        <w:t>a</w:t>
      </w:r>
      <w:r>
        <w:rPr>
          <w:spacing w:val="-17"/>
          <w:w w:val="115"/>
        </w:rPr>
        <w:t> </w:t>
      </w:r>
      <w:r>
        <w:rPr>
          <w:w w:val="115"/>
        </w:rPr>
        <w:t>la</w:t>
      </w:r>
      <w:r>
        <w:rPr>
          <w:spacing w:val="-17"/>
          <w:w w:val="115"/>
        </w:rPr>
        <w:t> </w:t>
      </w:r>
      <w:r>
        <w:rPr>
          <w:w w:val="115"/>
        </w:rPr>
        <w:t>seguridad</w:t>
      </w:r>
      <w:r>
        <w:rPr>
          <w:spacing w:val="-17"/>
          <w:w w:val="115"/>
        </w:rPr>
        <w:t> </w:t>
      </w:r>
      <w:r>
        <w:rPr>
          <w:w w:val="115"/>
        </w:rPr>
        <w:t>nacional”</w:t>
      </w:r>
      <w:r>
        <w:rPr>
          <w:spacing w:val="-17"/>
          <w:w w:val="115"/>
        </w:rPr>
        <w:t> </w:t>
      </w:r>
      <w:r>
        <w:rPr>
          <w:w w:val="115"/>
        </w:rPr>
        <w:t>estadounidense.</w:t>
      </w:r>
      <w:r>
        <w:rPr>
          <w:spacing w:val="-17"/>
          <w:w w:val="115"/>
        </w:rPr>
        <w:t> </w:t>
      </w:r>
      <w:r>
        <w:rPr>
          <w:w w:val="115"/>
        </w:rPr>
        <w:t>obama</w:t>
      </w:r>
      <w:r>
        <w:rPr>
          <w:spacing w:val="-17"/>
          <w:w w:val="115"/>
        </w:rPr>
        <w:t> </w:t>
      </w:r>
      <w:r>
        <w:rPr>
          <w:w w:val="115"/>
        </w:rPr>
        <w:t>visitó</w:t>
      </w:r>
      <w:r>
        <w:rPr>
          <w:spacing w:val="-17"/>
          <w:w w:val="115"/>
        </w:rPr>
        <w:t> </w:t>
      </w:r>
      <w:r>
        <w:rPr>
          <w:w w:val="115"/>
        </w:rPr>
        <w:t>Jamaica antes de arribar a la Cumbre, y allí se reunió con los países de la Comunidad del Caribe (CariCoM), para intentar alejarlos de la in- fluencia</w:t>
      </w:r>
      <w:r>
        <w:rPr>
          <w:spacing w:val="-9"/>
          <w:w w:val="115"/>
        </w:rPr>
        <w:t> </w:t>
      </w:r>
      <w:r>
        <w:rPr>
          <w:w w:val="115"/>
        </w:rPr>
        <w:t>venezolana</w:t>
      </w:r>
      <w:r>
        <w:rPr>
          <w:spacing w:val="-9"/>
          <w:w w:val="115"/>
        </w:rPr>
        <w:t> </w:t>
      </w:r>
      <w:r>
        <w:rPr>
          <w:w w:val="115"/>
        </w:rPr>
        <w:t>a</w:t>
      </w:r>
      <w:r>
        <w:rPr>
          <w:spacing w:val="-9"/>
          <w:w w:val="115"/>
        </w:rPr>
        <w:t> </w:t>
      </w:r>
      <w:r>
        <w:rPr>
          <w:w w:val="115"/>
        </w:rPr>
        <w:t>través</w:t>
      </w:r>
      <w:r>
        <w:rPr>
          <w:spacing w:val="-9"/>
          <w:w w:val="115"/>
        </w:rPr>
        <w:t> </w:t>
      </w:r>
      <w:r>
        <w:rPr>
          <w:w w:val="115"/>
        </w:rPr>
        <w:t>del</w:t>
      </w:r>
      <w:r>
        <w:rPr>
          <w:spacing w:val="-9"/>
          <w:w w:val="115"/>
        </w:rPr>
        <w:t> </w:t>
      </w:r>
      <w:r>
        <w:rPr>
          <w:w w:val="150"/>
        </w:rPr>
        <w:t>alba</w:t>
      </w:r>
      <w:r>
        <w:rPr>
          <w:spacing w:val="-24"/>
          <w:w w:val="150"/>
        </w:rPr>
        <w:t> </w:t>
      </w:r>
      <w:r>
        <w:rPr>
          <w:w w:val="115"/>
        </w:rPr>
        <w:t>y</w:t>
      </w:r>
      <w:r>
        <w:rPr>
          <w:spacing w:val="-9"/>
          <w:w w:val="115"/>
        </w:rPr>
        <w:t> </w:t>
      </w:r>
      <w:r>
        <w:rPr>
          <w:w w:val="115"/>
        </w:rPr>
        <w:t>Petrocaribe.</w:t>
      </w:r>
      <w:r>
        <w:rPr>
          <w:spacing w:val="-9"/>
          <w:w w:val="115"/>
        </w:rPr>
        <w:t> </w:t>
      </w:r>
      <w:r>
        <w:rPr>
          <w:w w:val="115"/>
        </w:rPr>
        <w:t>Estos</w:t>
      </w:r>
      <w:r>
        <w:rPr>
          <w:spacing w:val="-9"/>
          <w:w w:val="115"/>
        </w:rPr>
        <w:t> </w:t>
      </w:r>
      <w:r>
        <w:rPr>
          <w:w w:val="115"/>
        </w:rPr>
        <w:t>analistas se</w:t>
      </w:r>
      <w:r>
        <w:rPr>
          <w:spacing w:val="-22"/>
          <w:w w:val="115"/>
        </w:rPr>
        <w:t> </w:t>
      </w:r>
      <w:r>
        <w:rPr>
          <w:w w:val="115"/>
        </w:rPr>
        <w:t>ilusionan</w:t>
      </w:r>
      <w:r>
        <w:rPr>
          <w:spacing w:val="-22"/>
          <w:w w:val="115"/>
        </w:rPr>
        <w:t> </w:t>
      </w:r>
      <w:r>
        <w:rPr>
          <w:w w:val="115"/>
        </w:rPr>
        <w:t>con</w:t>
      </w:r>
      <w:r>
        <w:rPr>
          <w:spacing w:val="-22"/>
          <w:w w:val="115"/>
        </w:rPr>
        <w:t> </w:t>
      </w:r>
      <w:r>
        <w:rPr>
          <w:w w:val="115"/>
        </w:rPr>
        <w:t>el</w:t>
      </w:r>
      <w:r>
        <w:rPr>
          <w:spacing w:val="-22"/>
          <w:w w:val="115"/>
        </w:rPr>
        <w:t> </w:t>
      </w:r>
      <w:r>
        <w:rPr>
          <w:w w:val="115"/>
        </w:rPr>
        <w:t>agotamiento</w:t>
      </w:r>
      <w:r>
        <w:rPr>
          <w:spacing w:val="-22"/>
          <w:w w:val="115"/>
        </w:rPr>
        <w:t> </w:t>
      </w:r>
      <w:r>
        <w:rPr>
          <w:w w:val="115"/>
        </w:rPr>
        <w:t>de</w:t>
      </w:r>
      <w:r>
        <w:rPr>
          <w:spacing w:val="-22"/>
          <w:w w:val="115"/>
        </w:rPr>
        <w:t> </w:t>
      </w:r>
      <w:r>
        <w:rPr>
          <w:w w:val="115"/>
        </w:rPr>
        <w:t>las</w:t>
      </w:r>
      <w:r>
        <w:rPr>
          <w:spacing w:val="-22"/>
          <w:w w:val="115"/>
        </w:rPr>
        <w:t> </w:t>
      </w:r>
      <w:r>
        <w:rPr>
          <w:w w:val="115"/>
        </w:rPr>
        <w:t>experiencias</w:t>
      </w:r>
      <w:r>
        <w:rPr>
          <w:spacing w:val="-22"/>
          <w:w w:val="115"/>
        </w:rPr>
        <w:t> </w:t>
      </w:r>
      <w:r>
        <w:rPr>
          <w:w w:val="115"/>
        </w:rPr>
        <w:t>“populistas”</w:t>
      </w:r>
      <w:r>
        <w:rPr>
          <w:spacing w:val="-22"/>
          <w:w w:val="115"/>
        </w:rPr>
        <w:t> </w:t>
      </w:r>
      <w:r>
        <w:rPr>
          <w:w w:val="115"/>
        </w:rPr>
        <w:t>y</w:t>
      </w:r>
      <w:r>
        <w:rPr>
          <w:spacing w:val="-22"/>
          <w:w w:val="115"/>
        </w:rPr>
        <w:t> </w:t>
      </w:r>
      <w:r>
        <w:rPr>
          <w:w w:val="115"/>
        </w:rPr>
        <w:t>au- guran la ampliación de la alianza del Pacífico. destacan que obama impuso</w:t>
      </w:r>
      <w:r>
        <w:rPr>
          <w:spacing w:val="-8"/>
          <w:w w:val="115"/>
        </w:rPr>
        <w:t> </w:t>
      </w:r>
      <w:r>
        <w:rPr>
          <w:w w:val="115"/>
        </w:rPr>
        <w:t>su</w:t>
      </w:r>
      <w:r>
        <w:rPr>
          <w:spacing w:val="-8"/>
          <w:w w:val="115"/>
        </w:rPr>
        <w:t> </w:t>
      </w:r>
      <w:r>
        <w:rPr>
          <w:w w:val="115"/>
        </w:rPr>
        <w:t>agenda</w:t>
      </w:r>
      <w:r>
        <w:rPr>
          <w:spacing w:val="-8"/>
          <w:w w:val="115"/>
        </w:rPr>
        <w:t> </w:t>
      </w:r>
      <w:r>
        <w:rPr>
          <w:w w:val="115"/>
        </w:rPr>
        <w:t>a</w:t>
      </w:r>
      <w:r>
        <w:rPr>
          <w:spacing w:val="-8"/>
          <w:w w:val="115"/>
        </w:rPr>
        <w:t> </w:t>
      </w:r>
      <w:r>
        <w:rPr>
          <w:w w:val="115"/>
        </w:rPr>
        <w:t>favor</w:t>
      </w:r>
      <w:r>
        <w:rPr>
          <w:spacing w:val="-8"/>
          <w:w w:val="115"/>
        </w:rPr>
        <w:t> </w:t>
      </w:r>
      <w:r>
        <w:rPr>
          <w:w w:val="115"/>
        </w:rPr>
        <w:t>de</w:t>
      </w:r>
      <w:r>
        <w:rPr>
          <w:spacing w:val="-8"/>
          <w:w w:val="115"/>
        </w:rPr>
        <w:t> </w:t>
      </w:r>
      <w:r>
        <w:rPr>
          <w:w w:val="115"/>
        </w:rPr>
        <w:t>la</w:t>
      </w:r>
      <w:r>
        <w:rPr>
          <w:spacing w:val="-8"/>
          <w:w w:val="115"/>
        </w:rPr>
        <w:t> </w:t>
      </w:r>
      <w:r>
        <w:rPr>
          <w:w w:val="115"/>
        </w:rPr>
        <w:t>democracia</w:t>
      </w:r>
      <w:r>
        <w:rPr>
          <w:spacing w:val="-8"/>
          <w:w w:val="115"/>
        </w:rPr>
        <w:t> </w:t>
      </w:r>
      <w:r>
        <w:rPr>
          <w:w w:val="115"/>
        </w:rPr>
        <w:t>y</w:t>
      </w:r>
      <w:r>
        <w:rPr>
          <w:spacing w:val="-8"/>
          <w:w w:val="115"/>
        </w:rPr>
        <w:t> </w:t>
      </w:r>
      <w:r>
        <w:rPr>
          <w:w w:val="115"/>
        </w:rPr>
        <w:t>los</w:t>
      </w:r>
      <w:r>
        <w:rPr>
          <w:spacing w:val="-8"/>
          <w:w w:val="115"/>
        </w:rPr>
        <w:t> </w:t>
      </w:r>
      <w:r>
        <w:rPr>
          <w:w w:val="115"/>
        </w:rPr>
        <w:t>derechos</w:t>
      </w:r>
      <w:r>
        <w:rPr>
          <w:spacing w:val="-8"/>
          <w:w w:val="115"/>
        </w:rPr>
        <w:t> </w:t>
      </w:r>
      <w:r>
        <w:rPr>
          <w:w w:val="115"/>
        </w:rPr>
        <w:t>humanos</w:t>
      </w:r>
    </w:p>
    <w:p>
      <w:pPr>
        <w:pStyle w:val="BodyText"/>
        <w:spacing w:line="252" w:lineRule="auto"/>
        <w:ind w:left="100" w:right="327"/>
        <w:jc w:val="both"/>
      </w:pPr>
      <w:r>
        <w:rPr>
          <w:w w:val="110"/>
        </w:rPr>
        <w:t>–no se privó de reunirse con representantes de la “sociedad civil” cu- bana, o sea con reconocidos disidentes– y participó en reuniones con los grandes empresarios de la región, además de recibir la felicitación de todos los mandatarios, quienes elogiaron su apertura hacia Cuba, lo contrario que había ocurrido en la Cumbre de Cartagena, tres años </w:t>
      </w:r>
      <w:r>
        <w:rPr>
          <w:w w:val="111"/>
        </w:rPr>
        <w:t>atrás.</w:t>
      </w:r>
      <w:r>
        <w:rPr/>
        <w:t>  </w:t>
      </w:r>
      <w:r>
        <w:rPr>
          <w:w w:val="243"/>
        </w:rPr>
        <w:t>l</w:t>
      </w:r>
      <w:r>
        <w:rPr>
          <w:w w:val="109"/>
        </w:rPr>
        <w:t>ogró</w:t>
      </w:r>
      <w:r>
        <w:rPr/>
        <w:t>  </w:t>
      </w:r>
      <w:r>
        <w:rPr>
          <w:w w:val="110"/>
        </w:rPr>
        <w:t>neutralizar</w:t>
      </w:r>
      <w:r>
        <w:rPr/>
        <w:t>  </w:t>
      </w:r>
      <w:r>
        <w:rPr>
          <w:w w:val="112"/>
        </w:rPr>
        <w:t>a</w:t>
      </w:r>
      <w:r>
        <w:rPr/>
        <w:t> </w:t>
      </w:r>
      <w:r>
        <w:rPr>
          <w:spacing w:val="-1"/>
        </w:rPr>
        <w:t> </w:t>
      </w:r>
      <w:r>
        <w:rPr>
          <w:w w:val="134"/>
        </w:rPr>
        <w:t>b</w:t>
      </w:r>
      <w:r>
        <w:rPr>
          <w:w w:val="109"/>
        </w:rPr>
        <w:t>rasil</w:t>
      </w:r>
      <w:r>
        <w:rPr/>
        <w:t>  </w:t>
      </w:r>
      <w:r>
        <w:rPr>
          <w:w w:val="110"/>
        </w:rPr>
        <w:t>–incluso</w:t>
      </w:r>
      <w:r>
        <w:rPr/>
        <w:t>  </w:t>
      </w:r>
      <w:r>
        <w:rPr>
          <w:w w:val="105"/>
        </w:rPr>
        <w:t>se</w:t>
      </w:r>
      <w:r>
        <w:rPr/>
        <w:t>  </w:t>
      </w:r>
      <w:r>
        <w:rPr>
          <w:w w:val="112"/>
        </w:rPr>
        <w:t>anunció</w:t>
      </w:r>
      <w:r>
        <w:rPr/>
        <w:t>  </w:t>
      </w:r>
      <w:r>
        <w:rPr>
          <w:w w:val="112"/>
        </w:rPr>
        <w:t>una</w:t>
      </w:r>
      <w:r>
        <w:rPr/>
        <w:t>  </w:t>
      </w:r>
      <w:r>
        <w:rPr>
          <w:w w:val="108"/>
        </w:rPr>
        <w:t>visita</w:t>
      </w:r>
      <w:r>
        <w:rPr/>
        <w:t>  </w:t>
      </w:r>
      <w:r>
        <w:rPr>
          <w:w w:val="107"/>
        </w:rPr>
        <w:t>de </w:t>
      </w:r>
      <w:r>
        <w:rPr>
          <w:w w:val="110"/>
        </w:rPr>
        <w:t>dilma rousseff a Washington para junio, cerrándose así el incidente derivado</w:t>
      </w:r>
      <w:r>
        <w:rPr>
          <w:spacing w:val="-6"/>
          <w:w w:val="110"/>
        </w:rPr>
        <w:t> </w:t>
      </w:r>
      <w:r>
        <w:rPr>
          <w:w w:val="110"/>
        </w:rPr>
        <w:t>del</w:t>
      </w:r>
      <w:r>
        <w:rPr>
          <w:spacing w:val="-6"/>
          <w:w w:val="110"/>
        </w:rPr>
        <w:t> </w:t>
      </w:r>
      <w:r>
        <w:rPr>
          <w:w w:val="110"/>
        </w:rPr>
        <w:t>espionaje</w:t>
      </w:r>
      <w:r>
        <w:rPr>
          <w:spacing w:val="-6"/>
          <w:w w:val="110"/>
        </w:rPr>
        <w:t> </w:t>
      </w:r>
      <w:r>
        <w:rPr>
          <w:w w:val="110"/>
        </w:rPr>
        <w:t>que</w:t>
      </w:r>
      <w:r>
        <w:rPr>
          <w:spacing w:val="-6"/>
          <w:w w:val="110"/>
        </w:rPr>
        <w:t> </w:t>
      </w:r>
      <w:r>
        <w:rPr>
          <w:w w:val="110"/>
        </w:rPr>
        <w:t>se</w:t>
      </w:r>
      <w:r>
        <w:rPr>
          <w:spacing w:val="-6"/>
          <w:w w:val="110"/>
        </w:rPr>
        <w:t> </w:t>
      </w:r>
      <w:r>
        <w:rPr>
          <w:w w:val="110"/>
        </w:rPr>
        <w:t>conoció</w:t>
      </w:r>
      <w:r>
        <w:rPr>
          <w:spacing w:val="-6"/>
          <w:w w:val="110"/>
        </w:rPr>
        <w:t> </w:t>
      </w:r>
      <w:r>
        <w:rPr>
          <w:w w:val="110"/>
        </w:rPr>
        <w:t>en</w:t>
      </w:r>
      <w:r>
        <w:rPr>
          <w:spacing w:val="-6"/>
          <w:w w:val="110"/>
        </w:rPr>
        <w:t> </w:t>
      </w:r>
      <w:r>
        <w:rPr>
          <w:w w:val="110"/>
        </w:rPr>
        <w:t>2013–</w:t>
      </w:r>
      <w:r>
        <w:rPr>
          <w:spacing w:val="-6"/>
          <w:w w:val="110"/>
        </w:rPr>
        <w:t> </w:t>
      </w:r>
      <w:r>
        <w:rPr>
          <w:w w:val="110"/>
        </w:rPr>
        <w:t>y</w:t>
      </w:r>
      <w:r>
        <w:rPr>
          <w:spacing w:val="-6"/>
          <w:w w:val="110"/>
        </w:rPr>
        <w:t> </w:t>
      </w:r>
      <w:r>
        <w:rPr>
          <w:w w:val="110"/>
        </w:rPr>
        <w:t>sólo</w:t>
      </w:r>
      <w:r>
        <w:rPr>
          <w:spacing w:val="-6"/>
          <w:w w:val="110"/>
        </w:rPr>
        <w:t> </w:t>
      </w:r>
      <w:r>
        <w:rPr>
          <w:w w:val="110"/>
        </w:rPr>
        <w:t>tuvo</w:t>
      </w:r>
      <w:r>
        <w:rPr>
          <w:spacing w:val="-6"/>
          <w:w w:val="110"/>
        </w:rPr>
        <w:t> </w:t>
      </w:r>
      <w:r>
        <w:rPr>
          <w:w w:val="110"/>
        </w:rPr>
        <w:t>que</w:t>
      </w:r>
      <w:r>
        <w:rPr>
          <w:spacing w:val="-6"/>
          <w:w w:val="110"/>
        </w:rPr>
        <w:t> </w:t>
      </w:r>
      <w:r>
        <w:rPr>
          <w:spacing w:val="-3"/>
          <w:w w:val="110"/>
        </w:rPr>
        <w:t>sopor- </w:t>
      </w:r>
      <w:r>
        <w:rPr>
          <w:w w:val="110"/>
        </w:rPr>
        <w:t>tar las “críticas anacrónicas” de los “populistas más recalcitrantes”, léase rafael Correa, Evo Morales, daniel ortega, Cristina Kirchner y Nicolás Maduro (aunque este último hizo un llamamiento al diálogo    y tuvo el sábado un encuentro bilateral con obama). sin embargo,     ese balance expresa más los deseos de la derecha continental que la realidad (Morgenfeld, 2015b, c y</w:t>
      </w:r>
      <w:r>
        <w:rPr>
          <w:spacing w:val="42"/>
          <w:w w:val="110"/>
        </w:rPr>
        <w:t> </w:t>
      </w:r>
      <w:r>
        <w:rPr>
          <w:w w:val="110"/>
        </w:rPr>
        <w:t>d).</w:t>
      </w:r>
    </w:p>
    <w:p>
      <w:pPr>
        <w:pStyle w:val="BodyText"/>
        <w:spacing w:line="252" w:lineRule="auto"/>
        <w:ind w:left="100" w:right="327" w:firstLine="396"/>
        <w:jc w:val="both"/>
      </w:pPr>
      <w:r>
        <w:rPr>
          <w:w w:val="243"/>
        </w:rPr>
        <w:t>l</w:t>
      </w:r>
      <w:r>
        <w:rPr>
          <w:w w:val="110"/>
        </w:rPr>
        <w:t>o</w:t>
      </w:r>
      <w:r>
        <w:rPr>
          <w:spacing w:val="3"/>
        </w:rPr>
        <w:t> </w:t>
      </w:r>
      <w:r>
        <w:rPr>
          <w:w w:val="109"/>
        </w:rPr>
        <w:t>cierto</w:t>
      </w:r>
      <w:r>
        <w:rPr>
          <w:spacing w:val="3"/>
        </w:rPr>
        <w:t> </w:t>
      </w:r>
      <w:r>
        <w:rPr>
          <w:w w:val="105"/>
        </w:rPr>
        <w:t>es</w:t>
      </w:r>
      <w:r>
        <w:rPr>
          <w:spacing w:val="3"/>
        </w:rPr>
        <w:t> </w:t>
      </w:r>
      <w:r>
        <w:rPr>
          <w:w w:val="108"/>
        </w:rPr>
        <w:t>que</w:t>
      </w:r>
      <w:r>
        <w:rPr>
          <w:spacing w:val="3"/>
        </w:rPr>
        <w:t> </w:t>
      </w:r>
      <w:r>
        <w:rPr>
          <w:w w:val="108"/>
        </w:rPr>
        <w:t>en</w:t>
      </w:r>
      <w:r>
        <w:rPr>
          <w:spacing w:val="3"/>
        </w:rPr>
        <w:t> </w:t>
      </w:r>
      <w:r>
        <w:rPr>
          <w:w w:val="111"/>
        </w:rPr>
        <w:t>la</w:t>
      </w:r>
      <w:r>
        <w:rPr>
          <w:spacing w:val="3"/>
        </w:rPr>
        <w:t> </w:t>
      </w:r>
      <w:r>
        <w:rPr>
          <w:w w:val="113"/>
        </w:rPr>
        <w:t>Cumbre,</w:t>
      </w:r>
      <w:r>
        <w:rPr>
          <w:spacing w:val="3"/>
        </w:rPr>
        <w:t> </w:t>
      </w:r>
      <w:r>
        <w:rPr>
          <w:w w:val="112"/>
        </w:rPr>
        <w:t>una</w:t>
      </w:r>
      <w:r>
        <w:rPr>
          <w:spacing w:val="3"/>
        </w:rPr>
        <w:t> </w:t>
      </w:r>
      <w:r>
        <w:rPr>
          <w:w w:val="105"/>
        </w:rPr>
        <w:t>vez</w:t>
      </w:r>
      <w:r>
        <w:rPr>
          <w:spacing w:val="3"/>
        </w:rPr>
        <w:t> </w:t>
      </w:r>
      <w:r>
        <w:rPr>
          <w:w w:val="114"/>
        </w:rPr>
        <w:t>más,</w:t>
      </w:r>
      <w:r>
        <w:rPr>
          <w:spacing w:val="3"/>
        </w:rPr>
        <w:t> </w:t>
      </w:r>
      <w:r>
        <w:rPr>
          <w:w w:val="105"/>
        </w:rPr>
        <w:t>se</w:t>
      </w:r>
      <w:r>
        <w:rPr>
          <w:spacing w:val="3"/>
        </w:rPr>
        <w:t> </w:t>
      </w:r>
      <w:r>
        <w:rPr>
          <w:w w:val="108"/>
        </w:rPr>
        <w:t>expresaron</w:t>
      </w:r>
      <w:r>
        <w:rPr>
          <w:spacing w:val="3"/>
        </w:rPr>
        <w:t> </w:t>
      </w:r>
      <w:r>
        <w:rPr>
          <w:w w:val="109"/>
        </w:rPr>
        <w:t>las</w:t>
      </w:r>
      <w:r>
        <w:rPr>
          <w:spacing w:val="3"/>
        </w:rPr>
        <w:t> </w:t>
      </w:r>
      <w:r>
        <w:rPr>
          <w:w w:val="107"/>
        </w:rPr>
        <w:t>te</w:t>
      </w:r>
      <w:r>
        <w:rPr>
          <w:spacing w:val="-1"/>
          <w:w w:val="107"/>
        </w:rPr>
        <w:t>n</w:t>
      </w:r>
      <w:r>
        <w:rPr>
          <w:w w:val="102"/>
        </w:rPr>
        <w:t>- </w:t>
      </w:r>
      <w:r>
        <w:rPr>
          <w:w w:val="110"/>
        </w:rPr>
        <w:t>siones que atraviesan el sistema interamericano y la relativa pérdida de hegemonía de Estados unidos en la región. El 3 de abril, apenas  una semana antes de la Cumbre, la propia subsecretaria de Estado roberta  Jacobson,  en  una  conferencia  de  prensa,  debió  admitir  </w:t>
      </w:r>
      <w:r>
        <w:rPr>
          <w:spacing w:val="4"/>
          <w:w w:val="110"/>
        </w:rPr>
        <w:t> </w:t>
      </w:r>
      <w:r>
        <w:rPr>
          <w:w w:val="110"/>
        </w:rPr>
        <w:t>su</w:t>
      </w:r>
    </w:p>
    <w:p>
      <w:pPr>
        <w:spacing w:after="0" w:line="252" w:lineRule="auto"/>
        <w:jc w:val="both"/>
        <w:sectPr>
          <w:pgSz w:w="8790" w:h="12760"/>
          <w:pgMar w:header="695" w:footer="723" w:top="880" w:bottom="920" w:left="920" w:right="1200"/>
        </w:sectPr>
      </w:pPr>
    </w:p>
    <w:p>
      <w:pPr>
        <w:pStyle w:val="BodyText"/>
        <w:spacing w:before="7"/>
        <w:rPr>
          <w:sz w:val="28"/>
        </w:rPr>
      </w:pPr>
    </w:p>
    <w:p>
      <w:pPr>
        <w:pStyle w:val="BodyText"/>
        <w:spacing w:line="252" w:lineRule="auto" w:before="73"/>
        <w:ind w:left="330" w:right="117"/>
        <w:jc w:val="both"/>
      </w:pPr>
      <w:r>
        <w:rPr>
          <w:w w:val="110"/>
        </w:rPr>
        <w:t>“decepción” por el rechazo continental a la acción de su gobierno contra Venezuela. Fue la primera vez en la que participaron los 33 países de Nuestra américa, incluida Cuba, lo cual forzó a Estados uni- dos a reconocer el fracaso de sus agresivas políticas contra la isla y a negociar con el gobierno revolucionario. Este giro no respondió a la voluntad de obama, sino a la lucha del pueblo cubano y a la solidari- </w:t>
      </w:r>
      <w:r>
        <w:rPr>
          <w:w w:val="110"/>
        </w:rPr>
        <w:t>dad</w:t>
      </w:r>
      <w:r>
        <w:rPr>
          <w:spacing w:val="17"/>
        </w:rPr>
        <w:t> </w:t>
      </w:r>
      <w:r>
        <w:rPr>
          <w:w w:val="107"/>
        </w:rPr>
        <w:t>del</w:t>
      </w:r>
      <w:r>
        <w:rPr>
          <w:spacing w:val="17"/>
        </w:rPr>
        <w:t> </w:t>
      </w:r>
      <w:r>
        <w:rPr>
          <w:w w:val="106"/>
        </w:rPr>
        <w:t>resto</w:t>
      </w:r>
      <w:r>
        <w:rPr>
          <w:spacing w:val="17"/>
        </w:rPr>
        <w:t> </w:t>
      </w:r>
      <w:r>
        <w:rPr>
          <w:w w:val="107"/>
        </w:rPr>
        <w:t>del</w:t>
      </w:r>
      <w:r>
        <w:rPr>
          <w:spacing w:val="17"/>
        </w:rPr>
        <w:t> </w:t>
      </w:r>
      <w:r>
        <w:rPr>
          <w:w w:val="111"/>
        </w:rPr>
        <w:t>continente.</w:t>
      </w:r>
      <w:r>
        <w:rPr>
          <w:spacing w:val="17"/>
        </w:rPr>
        <w:t> </w:t>
      </w:r>
      <w:r>
        <w:rPr>
          <w:w w:val="243"/>
        </w:rPr>
        <w:t>l</w:t>
      </w:r>
      <w:r>
        <w:rPr>
          <w:w w:val="112"/>
        </w:rPr>
        <w:t>a</w:t>
      </w:r>
      <w:r>
        <w:rPr>
          <w:spacing w:val="17"/>
        </w:rPr>
        <w:t> </w:t>
      </w:r>
      <w:r>
        <w:rPr>
          <w:w w:val="107"/>
        </w:rPr>
        <w:t>persistente</w:t>
      </w:r>
      <w:r>
        <w:rPr>
          <w:spacing w:val="17"/>
        </w:rPr>
        <w:t> </w:t>
      </w:r>
      <w:r>
        <w:rPr>
          <w:w w:val="110"/>
        </w:rPr>
        <w:t>demanda</w:t>
      </w:r>
      <w:r>
        <w:rPr>
          <w:spacing w:val="17"/>
        </w:rPr>
        <w:t> </w:t>
      </w:r>
      <w:r>
        <w:rPr>
          <w:w w:val="107"/>
        </w:rPr>
        <w:t>de</w:t>
      </w:r>
      <w:r>
        <w:rPr>
          <w:spacing w:val="17"/>
        </w:rPr>
        <w:t> </w:t>
      </w:r>
      <w:r>
        <w:rPr>
          <w:w w:val="111"/>
        </w:rPr>
        <w:t>la</w:t>
      </w:r>
      <w:r>
        <w:rPr>
          <w:spacing w:val="17"/>
        </w:rPr>
        <w:t> </w:t>
      </w:r>
      <w:r>
        <w:rPr>
          <w:w w:val="140"/>
        </w:rPr>
        <w:t>u</w:t>
      </w:r>
      <w:r>
        <w:rPr>
          <w:w w:val="119"/>
        </w:rPr>
        <w:t>N</w:t>
      </w:r>
      <w:r>
        <w:rPr>
          <w:w w:val="151"/>
        </w:rPr>
        <w:t>asur</w:t>
      </w:r>
      <w:r>
        <w:rPr>
          <w:w w:val="138"/>
        </w:rPr>
        <w:t>, </w:t>
      </w:r>
      <w:r>
        <w:rPr>
          <w:w w:val="110"/>
        </w:rPr>
        <w:t>la </w:t>
      </w:r>
      <w:r>
        <w:rPr>
          <w:w w:val="150"/>
        </w:rPr>
        <w:t>CElaC </w:t>
      </w:r>
      <w:r>
        <w:rPr>
          <w:w w:val="110"/>
        </w:rPr>
        <w:t>y el </w:t>
      </w:r>
      <w:r>
        <w:rPr>
          <w:w w:val="150"/>
        </w:rPr>
        <w:t>alba </w:t>
      </w:r>
      <w:r>
        <w:rPr>
          <w:w w:val="110"/>
        </w:rPr>
        <w:t>cosechó sus frutos en Panamá. Estados unidos </w:t>
      </w:r>
      <w:r>
        <w:rPr>
          <w:w w:val="109"/>
        </w:rPr>
        <w:t>debió</w:t>
      </w:r>
      <w:r>
        <w:rPr>
          <w:spacing w:val="13"/>
        </w:rPr>
        <w:t> </w:t>
      </w:r>
      <w:r>
        <w:rPr>
          <w:w w:val="107"/>
        </w:rPr>
        <w:t>ceder</w:t>
      </w:r>
      <w:r>
        <w:rPr>
          <w:spacing w:val="13"/>
        </w:rPr>
        <w:t> </w:t>
      </w:r>
      <w:r>
        <w:rPr>
          <w:w w:val="109"/>
        </w:rPr>
        <w:t>ante</w:t>
      </w:r>
      <w:r>
        <w:rPr>
          <w:spacing w:val="13"/>
        </w:rPr>
        <w:t> </w:t>
      </w:r>
      <w:r>
        <w:rPr>
          <w:w w:val="243"/>
        </w:rPr>
        <w:t>l</w:t>
      </w:r>
      <w:r>
        <w:rPr>
          <w:w w:val="112"/>
        </w:rPr>
        <w:t>a</w:t>
      </w:r>
      <w:r>
        <w:rPr>
          <w:spacing w:val="13"/>
        </w:rPr>
        <w:t> </w:t>
      </w:r>
      <w:r>
        <w:rPr>
          <w:w w:val="115"/>
        </w:rPr>
        <w:t>Habana,</w:t>
      </w:r>
      <w:r>
        <w:rPr>
          <w:spacing w:val="13"/>
        </w:rPr>
        <w:t> </w:t>
      </w:r>
      <w:r>
        <w:rPr>
          <w:w w:val="108"/>
        </w:rPr>
        <w:t>que</w:t>
      </w:r>
      <w:r>
        <w:rPr>
          <w:spacing w:val="13"/>
        </w:rPr>
        <w:t> </w:t>
      </w:r>
      <w:r>
        <w:rPr>
          <w:w w:val="111"/>
        </w:rPr>
        <w:t>no</w:t>
      </w:r>
      <w:r>
        <w:rPr>
          <w:spacing w:val="13"/>
        </w:rPr>
        <w:t> </w:t>
      </w:r>
      <w:r>
        <w:rPr>
          <w:w w:val="110"/>
        </w:rPr>
        <w:t>apuró</w:t>
      </w:r>
      <w:r>
        <w:rPr>
          <w:spacing w:val="13"/>
        </w:rPr>
        <w:t> </w:t>
      </w:r>
      <w:r>
        <w:rPr>
          <w:w w:val="111"/>
        </w:rPr>
        <w:t>la</w:t>
      </w:r>
      <w:r>
        <w:rPr>
          <w:spacing w:val="13"/>
        </w:rPr>
        <w:t> </w:t>
      </w:r>
      <w:r>
        <w:rPr>
          <w:w w:val="108"/>
        </w:rPr>
        <w:t>apertura</w:t>
      </w:r>
      <w:r>
        <w:rPr>
          <w:spacing w:val="13"/>
        </w:rPr>
        <w:t> </w:t>
      </w:r>
      <w:r>
        <w:rPr>
          <w:w w:val="107"/>
        </w:rPr>
        <w:t>de</w:t>
      </w:r>
      <w:r>
        <w:rPr>
          <w:spacing w:val="13"/>
        </w:rPr>
        <w:t> </w:t>
      </w:r>
      <w:r>
        <w:rPr>
          <w:w w:val="109"/>
        </w:rPr>
        <w:t>las</w:t>
      </w:r>
      <w:r>
        <w:rPr>
          <w:spacing w:val="13"/>
        </w:rPr>
        <w:t> </w:t>
      </w:r>
      <w:r>
        <w:rPr>
          <w:w w:val="111"/>
        </w:rPr>
        <w:t>embaja</w:t>
      </w:r>
      <w:r>
        <w:rPr>
          <w:w w:val="102"/>
        </w:rPr>
        <w:t>- </w:t>
      </w:r>
      <w:r>
        <w:rPr>
          <w:w w:val="110"/>
        </w:rPr>
        <w:t>das, y raúl Castro mantuvo sus banderas en alto, solidarizándose con el gobierno de Venezuela. obama no logró imponer una declaración final consensuada y los mandatarios reclamaron la derogación de la orden ejecutiva contra Venezuela. Y el presidente estadounidense no solamente fue criticado, como era previsible, por sus pares del eje bo- livariano, sino también por la mandataria argentina. Cristina Kirch- ner habló en el plenario del 11 de abril, luego del esperado discurso de Castro, y se quejó cuando obama abandonó la sala de reuniones, para no escuchar sus críticas: “No importa, alguien se lo contará”, iro- nizó. declaró que era ridículo considerar que Venezuela pudiera ser una amenaza para Estados unidos –con las diferencias abismales en- tre sus presupuestos militares– y lo comparó con el absurdo de Gran bretaña de justificar la creciente militarización del atlántico sur por   la supuesta “amenaza” argentina. dedicó algunos minutos a hablar   del narcotráfico, señalando que era necesario que se hicieran cargo los países consumidores y los que posibilitaban el financiamiento y el lavado del narcodinero a través de los paraísos fiscales, en una</w:t>
      </w:r>
      <w:r>
        <w:rPr>
          <w:spacing w:val="-30"/>
          <w:w w:val="110"/>
        </w:rPr>
        <w:t> </w:t>
      </w:r>
      <w:r>
        <w:rPr>
          <w:w w:val="110"/>
        </w:rPr>
        <w:t>alusión directa a Estados unidos. destacó la histórica presencia de Cuba, ex- plicando que era un triunfo de la revolución Cubana, distanciándose de quienes felicitaron a obama como si fuera su iniciativa. </w:t>
      </w:r>
      <w:r>
        <w:rPr>
          <w:spacing w:val="-3"/>
          <w:w w:val="110"/>
        </w:rPr>
        <w:t>también </w:t>
      </w:r>
      <w:r>
        <w:rPr>
          <w:w w:val="110"/>
        </w:rPr>
        <w:t>criticó directamente al mandatario estadounidense por haber dicho que no quería quedar encerrado en las disputas del pasado, tras lo cual repasó la historia de las intervenciones, invasiones y golpes de Estado en la región, ocasión en la que se refirió a las nuevas modali- dades de injerencia</w:t>
      </w:r>
      <w:r>
        <w:rPr>
          <w:spacing w:val="30"/>
          <w:w w:val="110"/>
        </w:rPr>
        <w:t> </w:t>
      </w:r>
      <w:r>
        <w:rPr>
          <w:w w:val="110"/>
        </w:rPr>
        <w:t>imperial.</w:t>
      </w:r>
    </w:p>
    <w:p>
      <w:pPr>
        <w:pStyle w:val="BodyText"/>
        <w:spacing w:line="252" w:lineRule="auto"/>
        <w:ind w:left="330" w:right="117" w:firstLine="396"/>
        <w:jc w:val="both"/>
      </w:pPr>
      <w:r>
        <w:rPr>
          <w:w w:val="243"/>
        </w:rPr>
        <w:t>l</w:t>
      </w:r>
      <w:r>
        <w:rPr>
          <w:w w:val="108"/>
        </w:rPr>
        <w:t>os</w:t>
      </w:r>
      <w:r>
        <w:rPr/>
        <w:t>  </w:t>
      </w:r>
      <w:r>
        <w:rPr>
          <w:w w:val="110"/>
        </w:rPr>
        <w:t>movimientos</w:t>
      </w:r>
      <w:r>
        <w:rPr/>
        <w:t>  </w:t>
      </w:r>
      <w:r>
        <w:rPr>
          <w:w w:val="109"/>
        </w:rPr>
        <w:t>sociales</w:t>
      </w:r>
      <w:r>
        <w:rPr/>
        <w:t>  </w:t>
      </w:r>
      <w:r>
        <w:rPr>
          <w:w w:val="110"/>
        </w:rPr>
        <w:t>también</w:t>
      </w:r>
      <w:r>
        <w:rPr/>
        <w:t>  </w:t>
      </w:r>
      <w:r>
        <w:rPr>
          <w:w w:val="108"/>
        </w:rPr>
        <w:t>tuvieron</w:t>
      </w:r>
      <w:r>
        <w:rPr/>
        <w:t>  </w:t>
      </w:r>
      <w:r>
        <w:rPr>
          <w:w w:val="109"/>
        </w:rPr>
        <w:t>su</w:t>
      </w:r>
      <w:r>
        <w:rPr/>
        <w:t>  </w:t>
      </w:r>
      <w:r>
        <w:rPr>
          <w:w w:val="110"/>
        </w:rPr>
        <w:t>protagonismo</w:t>
      </w:r>
      <w:r>
        <w:rPr/>
        <w:t>  </w:t>
      </w:r>
      <w:r>
        <w:rPr>
          <w:w w:val="105"/>
        </w:rPr>
        <w:t>y </w:t>
      </w:r>
      <w:r>
        <w:rPr>
          <w:w w:val="110"/>
        </w:rPr>
        <w:t>participaron activamente de la Cumbre de los Pueblos, que defendió  a Cuba y Venezuela, reclamó por la soberanía de las Malvinas, exigió  la salida al mar de bolivia, la independencia de Puerto rico, el retiro  de las bases militares de Estados unidos esparcidas por toda la región, la indemnización a Panamá por la invasión de 1989 y criticó las políti- cas económicas neoliberales que siembran el hambre, la pobreza y el atraso en todo el</w:t>
      </w:r>
      <w:r>
        <w:rPr>
          <w:spacing w:val="26"/>
          <w:w w:val="110"/>
        </w:rPr>
        <w:t> </w:t>
      </w:r>
      <w:r>
        <w:rPr>
          <w:w w:val="110"/>
        </w:rPr>
        <w:t>continente.</w:t>
      </w:r>
    </w:p>
    <w:p>
      <w:pPr>
        <w:pStyle w:val="BodyText"/>
        <w:ind w:left="727" w:right="41"/>
      </w:pPr>
      <w:r>
        <w:rPr>
          <w:w w:val="110"/>
        </w:rPr>
        <w:t>si desde los anuncios de diciembre de la distensión con Cuba se</w:t>
      </w:r>
    </w:p>
    <w:p>
      <w:pPr>
        <w:spacing w:after="0"/>
        <w:sectPr>
          <w:footerReference w:type="even" r:id="rId521"/>
          <w:footerReference w:type="default" r:id="rId522"/>
          <w:pgSz w:w="8790" w:h="12760"/>
          <w:pgMar w:footer="725" w:header="695" w:top="880" w:bottom="920" w:left="1200" w:right="900"/>
          <w:pgNumType w:start="402"/>
        </w:sectPr>
      </w:pPr>
    </w:p>
    <w:p>
      <w:pPr>
        <w:pStyle w:val="BodyText"/>
        <w:spacing w:before="9"/>
        <w:rPr>
          <w:sz w:val="28"/>
        </w:rPr>
      </w:pPr>
    </w:p>
    <w:p>
      <w:pPr>
        <w:pStyle w:val="BodyText"/>
        <w:spacing w:line="252" w:lineRule="auto" w:before="73"/>
        <w:ind w:left="120" w:right="328"/>
        <w:jc w:val="both"/>
      </w:pPr>
      <w:r>
        <w:rPr>
          <w:w w:val="110"/>
        </w:rPr>
        <w:t>pensaba que esta Cumbre escenificaría la pérdida total de la influen- cia bolivariana y la aclamación de obama como el gran pacificador </w:t>
      </w:r>
      <w:r>
        <w:rPr>
          <w:w w:val="107"/>
        </w:rPr>
        <w:t>de</w:t>
      </w:r>
      <w:r>
        <w:rPr/>
        <w:t> </w:t>
      </w:r>
      <w:r>
        <w:rPr>
          <w:spacing w:val="-20"/>
        </w:rPr>
        <w:t> </w:t>
      </w:r>
      <w:r>
        <w:rPr>
          <w:w w:val="111"/>
        </w:rPr>
        <w:t>la</w:t>
      </w:r>
      <w:r>
        <w:rPr/>
        <w:t> </w:t>
      </w:r>
      <w:r>
        <w:rPr>
          <w:spacing w:val="-20"/>
        </w:rPr>
        <w:t> </w:t>
      </w:r>
      <w:r>
        <w:rPr>
          <w:w w:val="111"/>
        </w:rPr>
        <w:t>región,</w:t>
      </w:r>
      <w:r>
        <w:rPr/>
        <w:t> </w:t>
      </w:r>
      <w:r>
        <w:rPr>
          <w:spacing w:val="-20"/>
        </w:rPr>
        <w:t> </w:t>
      </w:r>
      <w:r>
        <w:rPr>
          <w:w w:val="108"/>
        </w:rPr>
        <w:t>en</w:t>
      </w:r>
      <w:r>
        <w:rPr/>
        <w:t> </w:t>
      </w:r>
      <w:r>
        <w:rPr>
          <w:spacing w:val="-20"/>
        </w:rPr>
        <w:t> </w:t>
      </w:r>
      <w:r>
        <w:rPr>
          <w:w w:val="111"/>
        </w:rPr>
        <w:t>marzo</w:t>
      </w:r>
      <w:r>
        <w:rPr/>
        <w:t> </w:t>
      </w:r>
      <w:r>
        <w:rPr>
          <w:spacing w:val="-20"/>
        </w:rPr>
        <w:t> </w:t>
      </w:r>
      <w:r>
        <w:rPr>
          <w:w w:val="111"/>
        </w:rPr>
        <w:t>la</w:t>
      </w:r>
      <w:r>
        <w:rPr/>
        <w:t> </w:t>
      </w:r>
      <w:r>
        <w:rPr>
          <w:spacing w:val="-20"/>
        </w:rPr>
        <w:t> </w:t>
      </w:r>
      <w:r>
        <w:rPr>
          <w:w w:val="111"/>
        </w:rPr>
        <w:t>situación</w:t>
      </w:r>
      <w:r>
        <w:rPr/>
        <w:t> </w:t>
      </w:r>
      <w:r>
        <w:rPr>
          <w:spacing w:val="-20"/>
        </w:rPr>
        <w:t> </w:t>
      </w:r>
      <w:r>
        <w:rPr>
          <w:w w:val="114"/>
        </w:rPr>
        <w:t>cambió.</w:t>
      </w:r>
      <w:r>
        <w:rPr/>
        <w:t> </w:t>
      </w:r>
      <w:r>
        <w:rPr>
          <w:spacing w:val="-20"/>
        </w:rPr>
        <w:t> </w:t>
      </w:r>
      <w:r>
        <w:rPr>
          <w:w w:val="243"/>
        </w:rPr>
        <w:t>l</w:t>
      </w:r>
      <w:r>
        <w:rPr>
          <w:w w:val="112"/>
        </w:rPr>
        <w:t>a</w:t>
      </w:r>
      <w:r>
        <w:rPr/>
        <w:t> </w:t>
      </w:r>
      <w:r>
        <w:rPr>
          <w:spacing w:val="-20"/>
        </w:rPr>
        <w:t> </w:t>
      </w:r>
      <w:r>
        <w:rPr>
          <w:w w:val="107"/>
        </w:rPr>
        <w:t>torpe</w:t>
      </w:r>
      <w:r>
        <w:rPr/>
        <w:t> </w:t>
      </w:r>
      <w:r>
        <w:rPr>
          <w:spacing w:val="-20"/>
        </w:rPr>
        <w:t> </w:t>
      </w:r>
      <w:r>
        <w:rPr>
          <w:w w:val="109"/>
        </w:rPr>
        <w:t>ofensiva</w:t>
      </w:r>
      <w:r>
        <w:rPr/>
        <w:t> </w:t>
      </w:r>
      <w:r>
        <w:rPr>
          <w:spacing w:val="-20"/>
        </w:rPr>
        <w:t> </w:t>
      </w:r>
      <w:r>
        <w:rPr>
          <w:w w:val="110"/>
        </w:rPr>
        <w:t>contra </w:t>
      </w:r>
      <w:r>
        <w:rPr>
          <w:w w:val="110"/>
        </w:rPr>
        <w:t>Venezuela generó una amplia oposición continental y llevó a obama    a tener que operar para desactivar la bronca regional. El mandatario estadounidense fue a Panamá en busca del reposicionamiento del sis- tema interamericano –en torno a la </w:t>
      </w:r>
      <w:r>
        <w:rPr>
          <w:w w:val="150"/>
        </w:rPr>
        <w:t>oEa </w:t>
      </w:r>
      <w:r>
        <w:rPr>
          <w:w w:val="110"/>
        </w:rPr>
        <w:t>y las Cumbres de las améri- cas–, como forma de debilitar la integración de Nuestra américa, con organismos como el </w:t>
      </w:r>
      <w:r>
        <w:rPr>
          <w:w w:val="150"/>
        </w:rPr>
        <w:t>alba, </w:t>
      </w:r>
      <w:r>
        <w:rPr>
          <w:w w:val="110"/>
        </w:rPr>
        <w:t>la </w:t>
      </w:r>
      <w:r>
        <w:rPr>
          <w:w w:val="150"/>
        </w:rPr>
        <w:t>uNasur </w:t>
      </w:r>
      <w:r>
        <w:rPr>
          <w:w w:val="110"/>
        </w:rPr>
        <w:t>y la </w:t>
      </w:r>
      <w:r>
        <w:rPr>
          <w:w w:val="150"/>
        </w:rPr>
        <w:t>CElaC, </w:t>
      </w:r>
      <w:r>
        <w:rPr>
          <w:w w:val="110"/>
        </w:rPr>
        <w:t>en los que no participa</w:t>
      </w:r>
      <w:r>
        <w:rPr>
          <w:spacing w:val="23"/>
          <w:w w:val="110"/>
        </w:rPr>
        <w:t> </w:t>
      </w:r>
      <w:r>
        <w:rPr>
          <w:w w:val="110"/>
        </w:rPr>
        <w:t>Washington.</w:t>
      </w:r>
    </w:p>
    <w:p>
      <w:pPr>
        <w:pStyle w:val="BodyText"/>
        <w:spacing w:line="252" w:lineRule="auto"/>
        <w:ind w:left="120" w:right="327" w:firstLine="396"/>
        <w:jc w:val="both"/>
      </w:pPr>
      <w:r>
        <w:rPr>
          <w:w w:val="243"/>
        </w:rPr>
        <w:t>l</w:t>
      </w:r>
      <w:r>
        <w:rPr>
          <w:w w:val="112"/>
        </w:rPr>
        <w:t>a</w:t>
      </w:r>
      <w:r>
        <w:rPr/>
        <w:t> </w:t>
      </w:r>
      <w:r>
        <w:rPr>
          <w:w w:val="110"/>
        </w:rPr>
        <w:t>mayoría</w:t>
      </w:r>
      <w:r>
        <w:rPr/>
        <w:t> </w:t>
      </w:r>
      <w:r>
        <w:rPr>
          <w:w w:val="107"/>
        </w:rPr>
        <w:t>de</w:t>
      </w:r>
      <w:r>
        <w:rPr/>
        <w:t> </w:t>
      </w:r>
      <w:r>
        <w:rPr>
          <w:w w:val="109"/>
        </w:rPr>
        <w:t>las</w:t>
      </w:r>
      <w:r>
        <w:rPr/>
        <w:t> </w:t>
      </w:r>
      <w:r>
        <w:rPr>
          <w:w w:val="109"/>
        </w:rPr>
        <w:t>fuerzas</w:t>
      </w:r>
      <w:r>
        <w:rPr/>
        <w:t> </w:t>
      </w:r>
      <w:r>
        <w:rPr>
          <w:w w:val="108"/>
        </w:rPr>
        <w:t>populares</w:t>
      </w:r>
      <w:r>
        <w:rPr/>
        <w:t> </w:t>
      </w:r>
      <w:r>
        <w:rPr>
          <w:w w:val="105"/>
        </w:rPr>
        <w:t>y</w:t>
      </w:r>
      <w:r>
        <w:rPr/>
        <w:t> </w:t>
      </w:r>
      <w:r>
        <w:rPr>
          <w:w w:val="111"/>
        </w:rPr>
        <w:t>la</w:t>
      </w:r>
      <w:r>
        <w:rPr/>
        <w:t> </w:t>
      </w:r>
      <w:r>
        <w:rPr>
          <w:w w:val="110"/>
        </w:rPr>
        <w:t>izquierda</w:t>
      </w:r>
      <w:r>
        <w:rPr/>
        <w:t> </w:t>
      </w:r>
      <w:r>
        <w:rPr>
          <w:w w:val="111"/>
        </w:rPr>
        <w:t>latinoamerica</w:t>
      </w:r>
      <w:r>
        <w:rPr>
          <w:w w:val="102"/>
        </w:rPr>
        <w:t>- </w:t>
      </w:r>
      <w:r>
        <w:rPr>
          <w:w w:val="110"/>
        </w:rPr>
        <w:t>na, muchas de las cuales se expresaron en la Cumbre de los Pueblos que se realizó en Panamá, advierten esta nueva ofensiva de Estados unidos, funcional al restablecimiento de la agenda neoliberal, resisti- da a través de amplias movilizaciones y levantamientos en los últimos 20 años. Entienden que es preciso seguir defendiendo la integración alternativa que plantea el eje bolivariano. El </w:t>
      </w:r>
      <w:r>
        <w:rPr>
          <w:w w:val="150"/>
        </w:rPr>
        <w:t>alba </w:t>
      </w:r>
      <w:r>
        <w:rPr>
          <w:w w:val="110"/>
        </w:rPr>
        <w:t>de los movimien- tos sociales, en ese sentido, puede ser una herramienta eficaz para coordinar a las fuerzas políticas populares que construyen desde una perspectiva latinoamericana, con una orientación antiimperialista y, en algunos casos, socialista</w:t>
      </w:r>
      <w:r>
        <w:rPr>
          <w:w w:val="110"/>
          <w:position w:val="6"/>
          <w:sz w:val="11"/>
        </w:rPr>
        <w:t>31</w:t>
      </w:r>
      <w:r>
        <w:rPr>
          <w:w w:val="110"/>
        </w:rPr>
        <w:t>.</w:t>
      </w:r>
    </w:p>
    <w:p>
      <w:pPr>
        <w:pStyle w:val="BodyText"/>
        <w:spacing w:before="5"/>
      </w:pPr>
    </w:p>
    <w:p>
      <w:pPr>
        <w:pStyle w:val="Heading6"/>
        <w:ind w:left="121"/>
      </w:pPr>
      <w:r>
        <w:rPr>
          <w:w w:val="140"/>
        </w:rPr>
        <w:t>conclusiones</w:t>
      </w:r>
    </w:p>
    <w:p>
      <w:pPr>
        <w:pStyle w:val="BodyText"/>
        <w:spacing w:line="252" w:lineRule="auto" w:before="10"/>
        <w:ind w:left="120" w:right="328"/>
        <w:jc w:val="both"/>
      </w:pPr>
      <w:r>
        <w:rPr>
          <w:w w:val="110"/>
        </w:rPr>
        <w:t>En las últimas dos décadas, las Cumbres de las américas fueron un termómetro de las relaciones interamericanas. si en los años noven- ta la Casa blanca pudo moldearlas según su interés, para desplegar    el ambicioso proyecto del </w:t>
      </w:r>
      <w:r>
        <w:rPr>
          <w:w w:val="125"/>
        </w:rPr>
        <w:t>alCa, </w:t>
      </w:r>
      <w:r>
        <w:rPr>
          <w:w w:val="110"/>
        </w:rPr>
        <w:t>las últimas cuatro cumbres (2005, 2009,</w:t>
      </w:r>
      <w:r>
        <w:rPr>
          <w:spacing w:val="-9"/>
          <w:w w:val="110"/>
        </w:rPr>
        <w:t> </w:t>
      </w:r>
      <w:r>
        <w:rPr>
          <w:w w:val="110"/>
        </w:rPr>
        <w:t>2012</w:t>
      </w:r>
      <w:r>
        <w:rPr>
          <w:spacing w:val="-9"/>
          <w:w w:val="110"/>
        </w:rPr>
        <w:t> </w:t>
      </w:r>
      <w:r>
        <w:rPr>
          <w:w w:val="110"/>
        </w:rPr>
        <w:t>y</w:t>
      </w:r>
      <w:r>
        <w:rPr>
          <w:spacing w:val="-9"/>
          <w:w w:val="110"/>
        </w:rPr>
        <w:t> </w:t>
      </w:r>
      <w:r>
        <w:rPr>
          <w:w w:val="110"/>
        </w:rPr>
        <w:t>2015)</w:t>
      </w:r>
      <w:r>
        <w:rPr>
          <w:spacing w:val="-9"/>
          <w:w w:val="110"/>
        </w:rPr>
        <w:t> </w:t>
      </w:r>
      <w:r>
        <w:rPr>
          <w:w w:val="110"/>
        </w:rPr>
        <w:t>mostraron</w:t>
      </w:r>
      <w:r>
        <w:rPr>
          <w:spacing w:val="-9"/>
          <w:w w:val="110"/>
        </w:rPr>
        <w:t> </w:t>
      </w:r>
      <w:r>
        <w:rPr>
          <w:w w:val="110"/>
        </w:rPr>
        <w:t>que</w:t>
      </w:r>
      <w:r>
        <w:rPr>
          <w:spacing w:val="-9"/>
          <w:w w:val="110"/>
        </w:rPr>
        <w:t> </w:t>
      </w:r>
      <w:r>
        <w:rPr>
          <w:w w:val="110"/>
        </w:rPr>
        <w:t>Washington</w:t>
      </w:r>
      <w:r>
        <w:rPr>
          <w:spacing w:val="-9"/>
          <w:w w:val="110"/>
        </w:rPr>
        <w:t> </w:t>
      </w:r>
      <w:r>
        <w:rPr>
          <w:w w:val="110"/>
        </w:rPr>
        <w:t>ya</w:t>
      </w:r>
      <w:r>
        <w:rPr>
          <w:spacing w:val="-9"/>
          <w:w w:val="110"/>
        </w:rPr>
        <w:t> </w:t>
      </w:r>
      <w:r>
        <w:rPr>
          <w:w w:val="110"/>
        </w:rPr>
        <w:t>no</w:t>
      </w:r>
      <w:r>
        <w:rPr>
          <w:spacing w:val="-9"/>
          <w:w w:val="110"/>
        </w:rPr>
        <w:t> </w:t>
      </w:r>
      <w:r>
        <w:rPr>
          <w:w w:val="110"/>
        </w:rPr>
        <w:t>puede</w:t>
      </w:r>
      <w:r>
        <w:rPr>
          <w:spacing w:val="-9"/>
          <w:w w:val="110"/>
        </w:rPr>
        <w:t> </w:t>
      </w:r>
      <w:r>
        <w:rPr>
          <w:w w:val="110"/>
        </w:rPr>
        <w:t>comandar como antes. Fracasó en la creación de un área de libre comercio con- tinental, en sus políticas de guerra contra las drogas, en su agresión contra Cuba y en los múltiples intentos por derrotar o debilitar al eje bolivariano. Esto obligó a Washington a redoblar sus esfuerzos en la región, adaptando las </w:t>
      </w:r>
      <w:r>
        <w:rPr>
          <w:spacing w:val="7"/>
          <w:w w:val="110"/>
        </w:rPr>
        <w:t> </w:t>
      </w:r>
      <w:r>
        <w:rPr>
          <w:w w:val="110"/>
        </w:rPr>
        <w:t>tácticas.</w:t>
      </w:r>
    </w:p>
    <w:p>
      <w:pPr>
        <w:pStyle w:val="BodyText"/>
        <w:spacing w:line="252" w:lineRule="auto"/>
        <w:ind w:left="120" w:right="328" w:firstLine="396"/>
        <w:jc w:val="both"/>
      </w:pPr>
      <w:r>
        <w:rPr>
          <w:w w:val="115"/>
        </w:rPr>
        <w:t>“</w:t>
      </w:r>
      <w:r>
        <w:rPr>
          <w:w w:val="243"/>
        </w:rPr>
        <w:t>l</w:t>
      </w:r>
      <w:r>
        <w:rPr>
          <w:w w:val="112"/>
        </w:rPr>
        <w:t>a</w:t>
      </w:r>
      <w:r>
        <w:rPr>
          <w:spacing w:val="14"/>
        </w:rPr>
        <w:t> </w:t>
      </w:r>
      <w:r>
        <w:rPr>
          <w:w w:val="110"/>
        </w:rPr>
        <w:t>doctrina</w:t>
      </w:r>
      <w:r>
        <w:rPr>
          <w:spacing w:val="14"/>
        </w:rPr>
        <w:t> </w:t>
      </w:r>
      <w:r>
        <w:rPr>
          <w:w w:val="111"/>
        </w:rPr>
        <w:t>Monroe</w:t>
      </w:r>
      <w:r>
        <w:rPr>
          <w:spacing w:val="14"/>
        </w:rPr>
        <w:t> </w:t>
      </w:r>
      <w:r>
        <w:rPr>
          <w:w w:val="112"/>
        </w:rPr>
        <w:t>ha</w:t>
      </w:r>
      <w:r>
        <w:rPr>
          <w:spacing w:val="14"/>
        </w:rPr>
        <w:t> </w:t>
      </w:r>
      <w:r>
        <w:rPr>
          <w:w w:val="111"/>
        </w:rPr>
        <w:t>terminado”,</w:t>
      </w:r>
      <w:r>
        <w:rPr>
          <w:spacing w:val="14"/>
        </w:rPr>
        <w:t> </w:t>
      </w:r>
      <w:r>
        <w:rPr>
          <w:w w:val="107"/>
        </w:rPr>
        <w:t>sostuvo</w:t>
      </w:r>
      <w:r>
        <w:rPr>
          <w:spacing w:val="14"/>
        </w:rPr>
        <w:t> </w:t>
      </w:r>
      <w:r>
        <w:rPr>
          <w:w w:val="107"/>
        </w:rPr>
        <w:t>el</w:t>
      </w:r>
      <w:r>
        <w:rPr>
          <w:spacing w:val="14"/>
        </w:rPr>
        <w:t> </w:t>
      </w:r>
      <w:r>
        <w:rPr>
          <w:w w:val="149"/>
        </w:rPr>
        <w:t>s</w:t>
      </w:r>
      <w:r>
        <w:rPr>
          <w:w w:val="108"/>
        </w:rPr>
        <w:t>ecretario</w:t>
      </w:r>
      <w:r>
        <w:rPr>
          <w:spacing w:val="14"/>
        </w:rPr>
        <w:t> </w:t>
      </w:r>
      <w:r>
        <w:rPr>
          <w:w w:val="107"/>
        </w:rPr>
        <w:t>de</w:t>
      </w:r>
      <w:r>
        <w:rPr>
          <w:spacing w:val="14"/>
        </w:rPr>
        <w:t> </w:t>
      </w:r>
      <w:r>
        <w:rPr>
          <w:w w:val="118"/>
        </w:rPr>
        <w:t>E</w:t>
      </w:r>
      <w:r>
        <w:rPr>
          <w:spacing w:val="-1"/>
          <w:w w:val="118"/>
        </w:rPr>
        <w:t>s</w:t>
      </w:r>
      <w:r>
        <w:rPr>
          <w:w w:val="102"/>
        </w:rPr>
        <w:t>- </w:t>
      </w:r>
      <w:r>
        <w:rPr>
          <w:w w:val="115"/>
        </w:rPr>
        <w:t>tado John Kerry el 18 de noviembre de 2013, ante embajadores del </w:t>
      </w:r>
      <w:r>
        <w:rPr>
          <w:w w:val="109"/>
        </w:rPr>
        <w:t>continente</w:t>
      </w:r>
      <w:r>
        <w:rPr/>
        <w:t> </w:t>
      </w:r>
      <w:r>
        <w:rPr>
          <w:spacing w:val="-8"/>
        </w:rPr>
        <w:t> </w:t>
      </w:r>
      <w:r>
        <w:rPr>
          <w:w w:val="108"/>
        </w:rPr>
        <w:t>en</w:t>
      </w:r>
      <w:r>
        <w:rPr/>
        <w:t> </w:t>
      </w:r>
      <w:r>
        <w:rPr>
          <w:spacing w:val="-8"/>
        </w:rPr>
        <w:t> </w:t>
      </w:r>
      <w:r>
        <w:rPr>
          <w:w w:val="111"/>
        </w:rPr>
        <w:t>la</w:t>
      </w:r>
      <w:r>
        <w:rPr/>
        <w:t> </w:t>
      </w:r>
      <w:r>
        <w:rPr>
          <w:spacing w:val="-8"/>
        </w:rPr>
        <w:t> </w:t>
      </w:r>
      <w:r>
        <w:rPr>
          <w:w w:val="106"/>
        </w:rPr>
        <w:t>sede</w:t>
      </w:r>
      <w:r>
        <w:rPr/>
        <w:t> </w:t>
      </w:r>
      <w:r>
        <w:rPr>
          <w:spacing w:val="-8"/>
        </w:rPr>
        <w:t> </w:t>
      </w:r>
      <w:r>
        <w:rPr>
          <w:w w:val="107"/>
        </w:rPr>
        <w:t>de</w:t>
      </w:r>
      <w:r>
        <w:rPr/>
        <w:t> </w:t>
      </w:r>
      <w:r>
        <w:rPr>
          <w:spacing w:val="-8"/>
        </w:rPr>
        <w:t> </w:t>
      </w:r>
      <w:r>
        <w:rPr>
          <w:w w:val="111"/>
        </w:rPr>
        <w:t>la</w:t>
      </w:r>
      <w:r>
        <w:rPr/>
        <w:t> </w:t>
      </w:r>
      <w:r>
        <w:rPr>
          <w:spacing w:val="-8"/>
        </w:rPr>
        <w:t> </w:t>
      </w:r>
      <w:r>
        <w:rPr>
          <w:w w:val="149"/>
        </w:rPr>
        <w:t>o</w:t>
      </w:r>
      <w:r>
        <w:rPr>
          <w:w w:val="128"/>
        </w:rPr>
        <w:t>E</w:t>
      </w:r>
      <w:r>
        <w:rPr>
          <w:w w:val="139"/>
        </w:rPr>
        <w:t>a</w:t>
      </w:r>
      <w:r>
        <w:rPr>
          <w:w w:val="138"/>
        </w:rPr>
        <w:t>.</w:t>
      </w:r>
      <w:r>
        <w:rPr/>
        <w:t> </w:t>
      </w:r>
      <w:r>
        <w:rPr>
          <w:spacing w:val="-8"/>
        </w:rPr>
        <w:t> </w:t>
      </w:r>
      <w:r>
        <w:rPr>
          <w:w w:val="126"/>
        </w:rPr>
        <w:t>Y</w:t>
      </w:r>
      <w:r>
        <w:rPr/>
        <w:t> </w:t>
      </w:r>
      <w:r>
        <w:rPr>
          <w:spacing w:val="-8"/>
        </w:rPr>
        <w:t> </w:t>
      </w:r>
      <w:r>
        <w:rPr>
          <w:w w:val="109"/>
        </w:rPr>
        <w:t>agregó:</w:t>
      </w:r>
      <w:r>
        <w:rPr/>
        <w:t> </w:t>
      </w:r>
      <w:r>
        <w:rPr>
          <w:spacing w:val="-8"/>
        </w:rPr>
        <w:t> </w:t>
      </w:r>
      <w:r>
        <w:rPr>
          <w:w w:val="115"/>
        </w:rPr>
        <w:t>“</w:t>
      </w:r>
      <w:r>
        <w:rPr>
          <w:w w:val="243"/>
        </w:rPr>
        <w:t>l</w:t>
      </w:r>
      <w:r>
        <w:rPr>
          <w:w w:val="112"/>
        </w:rPr>
        <w:t>a</w:t>
      </w:r>
      <w:r>
        <w:rPr/>
        <w:t> </w:t>
      </w:r>
      <w:r>
        <w:rPr>
          <w:spacing w:val="-8"/>
        </w:rPr>
        <w:t> </w:t>
      </w:r>
      <w:r>
        <w:rPr>
          <w:w w:val="110"/>
        </w:rPr>
        <w:t>relación</w:t>
      </w:r>
      <w:r>
        <w:rPr/>
        <w:t> </w:t>
      </w:r>
      <w:r>
        <w:rPr>
          <w:spacing w:val="-8"/>
        </w:rPr>
        <w:t> </w:t>
      </w:r>
      <w:r>
        <w:rPr>
          <w:w w:val="108"/>
        </w:rPr>
        <w:t>que</w:t>
      </w:r>
      <w:r>
        <w:rPr/>
        <w:t> </w:t>
      </w:r>
      <w:r>
        <w:rPr>
          <w:spacing w:val="-8"/>
        </w:rPr>
        <w:t> </w:t>
      </w:r>
      <w:r>
        <w:rPr>
          <w:w w:val="111"/>
        </w:rPr>
        <w:t>busc</w:t>
      </w:r>
      <w:r>
        <w:rPr>
          <w:spacing w:val="-1"/>
          <w:w w:val="111"/>
        </w:rPr>
        <w:t>a</w:t>
      </w:r>
      <w:r>
        <w:rPr>
          <w:w w:val="102"/>
        </w:rPr>
        <w:t>- </w:t>
      </w:r>
      <w:r>
        <w:rPr>
          <w:w w:val="115"/>
        </w:rPr>
        <w:t>mos… no es una declaración de EE.uu. de cuándo y cómo interven- drá</w:t>
      </w:r>
      <w:r>
        <w:rPr>
          <w:spacing w:val="-12"/>
          <w:w w:val="115"/>
        </w:rPr>
        <w:t> </w:t>
      </w:r>
      <w:r>
        <w:rPr>
          <w:w w:val="115"/>
        </w:rPr>
        <w:t>en</w:t>
      </w:r>
      <w:r>
        <w:rPr>
          <w:spacing w:val="-12"/>
          <w:w w:val="115"/>
        </w:rPr>
        <w:t> </w:t>
      </w:r>
      <w:r>
        <w:rPr>
          <w:w w:val="115"/>
        </w:rPr>
        <w:t>los</w:t>
      </w:r>
      <w:r>
        <w:rPr>
          <w:spacing w:val="-12"/>
          <w:w w:val="115"/>
        </w:rPr>
        <w:t> </w:t>
      </w:r>
      <w:r>
        <w:rPr>
          <w:w w:val="115"/>
        </w:rPr>
        <w:t>asuntos</w:t>
      </w:r>
      <w:r>
        <w:rPr>
          <w:spacing w:val="-12"/>
          <w:w w:val="115"/>
        </w:rPr>
        <w:t> </w:t>
      </w:r>
      <w:r>
        <w:rPr>
          <w:w w:val="115"/>
        </w:rPr>
        <w:t>de</w:t>
      </w:r>
      <w:r>
        <w:rPr>
          <w:spacing w:val="-12"/>
          <w:w w:val="115"/>
        </w:rPr>
        <w:t> </w:t>
      </w:r>
      <w:r>
        <w:rPr>
          <w:w w:val="115"/>
        </w:rPr>
        <w:t>estados</w:t>
      </w:r>
      <w:r>
        <w:rPr>
          <w:spacing w:val="-12"/>
          <w:w w:val="115"/>
        </w:rPr>
        <w:t> </w:t>
      </w:r>
      <w:r>
        <w:rPr>
          <w:w w:val="115"/>
        </w:rPr>
        <w:t>americanos,</w:t>
      </w:r>
      <w:r>
        <w:rPr>
          <w:spacing w:val="-12"/>
          <w:w w:val="115"/>
        </w:rPr>
        <w:t> </w:t>
      </w:r>
      <w:r>
        <w:rPr>
          <w:w w:val="115"/>
        </w:rPr>
        <w:t>es</w:t>
      </w:r>
      <w:r>
        <w:rPr>
          <w:spacing w:val="-12"/>
          <w:w w:val="115"/>
        </w:rPr>
        <w:t> </w:t>
      </w:r>
      <w:r>
        <w:rPr>
          <w:w w:val="115"/>
        </w:rPr>
        <w:t>sobre</w:t>
      </w:r>
      <w:r>
        <w:rPr>
          <w:spacing w:val="-12"/>
          <w:w w:val="115"/>
        </w:rPr>
        <w:t> </w:t>
      </w:r>
      <w:r>
        <w:rPr>
          <w:w w:val="115"/>
        </w:rPr>
        <w:t>todos</w:t>
      </w:r>
      <w:r>
        <w:rPr>
          <w:spacing w:val="-12"/>
          <w:w w:val="115"/>
        </w:rPr>
        <w:t> </w:t>
      </w:r>
      <w:r>
        <w:rPr>
          <w:w w:val="115"/>
        </w:rPr>
        <w:t>los</w:t>
      </w:r>
      <w:r>
        <w:rPr>
          <w:spacing w:val="-12"/>
          <w:w w:val="115"/>
        </w:rPr>
        <w:t> </w:t>
      </w:r>
      <w:r>
        <w:rPr>
          <w:w w:val="115"/>
        </w:rPr>
        <w:t>estados </w:t>
      </w:r>
      <w:r>
        <w:rPr>
          <w:w w:val="110"/>
        </w:rPr>
        <w:t>viéndonos como iguales, compartiendo responsabilidad y</w:t>
      </w:r>
      <w:r>
        <w:rPr>
          <w:spacing w:val="13"/>
          <w:w w:val="110"/>
        </w:rPr>
        <w:t> </w:t>
      </w:r>
      <w:r>
        <w:rPr>
          <w:w w:val="110"/>
        </w:rPr>
        <w:t>cooperando</w:t>
      </w:r>
    </w:p>
    <w:p>
      <w:pPr>
        <w:pStyle w:val="BodyText"/>
        <w:rPr>
          <w:sz w:val="20"/>
        </w:rPr>
      </w:pPr>
    </w:p>
    <w:p>
      <w:pPr>
        <w:pStyle w:val="BodyText"/>
        <w:spacing w:before="3"/>
      </w:pPr>
      <w:r>
        <w:rPr/>
        <w:pict>
          <v:line style="position:absolute;mso-position-horizontal-relative:page;mso-position-vertical-relative:paragraph;z-index:8296;mso-wrap-distance-left:0;mso-wrap-distance-right:0" from="51.023602pt,13.536397pt" to="79.369602pt,13.536397pt" stroked="true" strokeweight=".5pt" strokecolor="#000000">
            <w10:wrap type="topAndBottom"/>
          </v:line>
        </w:pict>
      </w:r>
    </w:p>
    <w:p>
      <w:pPr>
        <w:pStyle w:val="ListParagraph"/>
        <w:numPr>
          <w:ilvl w:val="0"/>
          <w:numId w:val="34"/>
        </w:numPr>
        <w:tabs>
          <w:tab w:pos="376" w:val="left" w:leader="none"/>
        </w:tabs>
        <w:spacing w:line="242" w:lineRule="auto" w:before="89" w:after="0"/>
        <w:ind w:left="120" w:right="329" w:firstLine="0"/>
        <w:jc w:val="left"/>
        <w:rPr>
          <w:sz w:val="16"/>
        </w:rPr>
      </w:pPr>
      <w:r>
        <w:rPr>
          <w:spacing w:val="-4"/>
          <w:w w:val="110"/>
          <w:sz w:val="16"/>
        </w:rPr>
        <w:t>Ver </w:t>
      </w:r>
      <w:r>
        <w:rPr>
          <w:w w:val="110"/>
          <w:sz w:val="16"/>
        </w:rPr>
        <w:t>articulación Continental de Movimientos sociales hacia el </w:t>
      </w:r>
      <w:r>
        <w:rPr>
          <w:w w:val="120"/>
          <w:sz w:val="16"/>
        </w:rPr>
        <w:t>alba, </w:t>
      </w:r>
      <w:r>
        <w:rPr>
          <w:w w:val="110"/>
          <w:sz w:val="16"/>
        </w:rPr>
        <w:t>en &lt;http:// </w:t>
      </w:r>
      <w:hyperlink r:id="rId523">
        <w:r>
          <w:rPr>
            <w:w w:val="110"/>
            <w:sz w:val="16"/>
          </w:rPr>
          <w:t>www.albamovimientos.org&gt;.</w:t>
        </w:r>
      </w:hyperlink>
    </w:p>
    <w:p>
      <w:pPr>
        <w:spacing w:after="0" w:line="242" w:lineRule="auto"/>
        <w:jc w:val="left"/>
        <w:rPr>
          <w:sz w:val="16"/>
        </w:rPr>
        <w:sectPr>
          <w:pgSz w:w="8790" w:h="12760"/>
          <w:pgMar w:header="697" w:footer="723" w:top="880" w:bottom="920" w:left="900" w:right="1200"/>
        </w:sectPr>
      </w:pPr>
    </w:p>
    <w:p>
      <w:pPr>
        <w:pStyle w:val="BodyText"/>
        <w:spacing w:before="6"/>
        <w:rPr>
          <w:sz w:val="28"/>
        </w:rPr>
      </w:pPr>
    </w:p>
    <w:p>
      <w:pPr>
        <w:pStyle w:val="BodyText"/>
        <w:spacing w:line="252" w:lineRule="auto" w:before="74"/>
        <w:ind w:left="330" w:right="117"/>
        <w:jc w:val="both"/>
      </w:pPr>
      <w:r>
        <w:rPr>
          <w:w w:val="115"/>
        </w:rPr>
        <w:t>en asuntos de seguridad”</w:t>
      </w:r>
      <w:r>
        <w:rPr>
          <w:w w:val="115"/>
          <w:position w:val="6"/>
          <w:sz w:val="11"/>
        </w:rPr>
        <w:t>32</w:t>
      </w:r>
      <w:r>
        <w:rPr>
          <w:w w:val="115"/>
        </w:rPr>
        <w:t>. Fue un claro intento por retomar la ini- ciativa que ensayó obama en la Cumbre de </w:t>
      </w:r>
      <w:r>
        <w:rPr>
          <w:spacing w:val="-3"/>
          <w:w w:val="115"/>
        </w:rPr>
        <w:t>trinidad </w:t>
      </w:r>
      <w:r>
        <w:rPr>
          <w:w w:val="115"/>
        </w:rPr>
        <w:t>y </w:t>
      </w:r>
      <w:r>
        <w:rPr>
          <w:spacing w:val="-3"/>
          <w:w w:val="115"/>
        </w:rPr>
        <w:t>tobago, </w:t>
      </w:r>
      <w:r>
        <w:rPr>
          <w:w w:val="115"/>
        </w:rPr>
        <w:t>y por morigerar</w:t>
      </w:r>
      <w:r>
        <w:rPr>
          <w:spacing w:val="-28"/>
          <w:w w:val="115"/>
        </w:rPr>
        <w:t> </w:t>
      </w:r>
      <w:r>
        <w:rPr>
          <w:w w:val="115"/>
        </w:rPr>
        <w:t>los</w:t>
      </w:r>
      <w:r>
        <w:rPr>
          <w:spacing w:val="-28"/>
          <w:w w:val="115"/>
        </w:rPr>
        <w:t> </w:t>
      </w:r>
      <w:r>
        <w:rPr>
          <w:w w:val="115"/>
        </w:rPr>
        <w:t>efectos</w:t>
      </w:r>
      <w:r>
        <w:rPr>
          <w:spacing w:val="-28"/>
          <w:w w:val="115"/>
        </w:rPr>
        <w:t> </w:t>
      </w:r>
      <w:r>
        <w:rPr>
          <w:w w:val="115"/>
        </w:rPr>
        <w:t>negativos</w:t>
      </w:r>
      <w:r>
        <w:rPr>
          <w:spacing w:val="-28"/>
          <w:w w:val="115"/>
        </w:rPr>
        <w:t> </w:t>
      </w:r>
      <w:r>
        <w:rPr>
          <w:w w:val="115"/>
        </w:rPr>
        <w:t>que</w:t>
      </w:r>
      <w:r>
        <w:rPr>
          <w:spacing w:val="-28"/>
          <w:w w:val="115"/>
        </w:rPr>
        <w:t> </w:t>
      </w:r>
      <w:r>
        <w:rPr>
          <w:w w:val="115"/>
        </w:rPr>
        <w:t>tuvieron</w:t>
      </w:r>
      <w:r>
        <w:rPr>
          <w:spacing w:val="-28"/>
          <w:w w:val="115"/>
        </w:rPr>
        <w:t> </w:t>
      </w:r>
      <w:r>
        <w:rPr>
          <w:w w:val="115"/>
        </w:rPr>
        <w:t>las</w:t>
      </w:r>
      <w:r>
        <w:rPr>
          <w:spacing w:val="-28"/>
          <w:w w:val="115"/>
        </w:rPr>
        <w:t> </w:t>
      </w:r>
      <w:r>
        <w:rPr>
          <w:w w:val="115"/>
        </w:rPr>
        <w:t>recientes</w:t>
      </w:r>
      <w:r>
        <w:rPr>
          <w:spacing w:val="-28"/>
          <w:w w:val="115"/>
        </w:rPr>
        <w:t> </w:t>
      </w:r>
      <w:r>
        <w:rPr>
          <w:w w:val="115"/>
        </w:rPr>
        <w:t>declaracio- nes</w:t>
      </w:r>
      <w:r>
        <w:rPr>
          <w:spacing w:val="-13"/>
          <w:w w:val="115"/>
        </w:rPr>
        <w:t> </w:t>
      </w:r>
      <w:r>
        <w:rPr>
          <w:w w:val="115"/>
        </w:rPr>
        <w:t>de</w:t>
      </w:r>
      <w:r>
        <w:rPr>
          <w:spacing w:val="-13"/>
          <w:w w:val="115"/>
        </w:rPr>
        <w:t> </w:t>
      </w:r>
      <w:r>
        <w:rPr>
          <w:w w:val="115"/>
        </w:rPr>
        <w:t>Kerry</w:t>
      </w:r>
      <w:r>
        <w:rPr>
          <w:spacing w:val="-13"/>
          <w:w w:val="115"/>
        </w:rPr>
        <w:t> </w:t>
      </w:r>
      <w:r>
        <w:rPr>
          <w:w w:val="115"/>
        </w:rPr>
        <w:t>(el</w:t>
      </w:r>
      <w:r>
        <w:rPr>
          <w:spacing w:val="-13"/>
          <w:w w:val="115"/>
        </w:rPr>
        <w:t> </w:t>
      </w:r>
      <w:r>
        <w:rPr>
          <w:w w:val="115"/>
        </w:rPr>
        <w:t>17</w:t>
      </w:r>
      <w:r>
        <w:rPr>
          <w:spacing w:val="-13"/>
          <w:w w:val="115"/>
        </w:rPr>
        <w:t> </w:t>
      </w:r>
      <w:r>
        <w:rPr>
          <w:w w:val="115"/>
        </w:rPr>
        <w:t>de</w:t>
      </w:r>
      <w:r>
        <w:rPr>
          <w:spacing w:val="-13"/>
          <w:w w:val="115"/>
        </w:rPr>
        <w:t> </w:t>
      </w:r>
      <w:r>
        <w:rPr>
          <w:w w:val="115"/>
        </w:rPr>
        <w:t>abril</w:t>
      </w:r>
      <w:r>
        <w:rPr>
          <w:spacing w:val="-13"/>
          <w:w w:val="115"/>
        </w:rPr>
        <w:t> </w:t>
      </w:r>
      <w:r>
        <w:rPr>
          <w:w w:val="115"/>
        </w:rPr>
        <w:t>de</w:t>
      </w:r>
      <w:r>
        <w:rPr>
          <w:spacing w:val="-13"/>
          <w:w w:val="115"/>
        </w:rPr>
        <w:t> </w:t>
      </w:r>
      <w:r>
        <w:rPr>
          <w:w w:val="115"/>
        </w:rPr>
        <w:t>2013,</w:t>
      </w:r>
      <w:r>
        <w:rPr>
          <w:spacing w:val="-13"/>
          <w:w w:val="115"/>
        </w:rPr>
        <w:t> </w:t>
      </w:r>
      <w:r>
        <w:rPr>
          <w:w w:val="115"/>
        </w:rPr>
        <w:t>ante</w:t>
      </w:r>
      <w:r>
        <w:rPr>
          <w:spacing w:val="-13"/>
          <w:w w:val="115"/>
        </w:rPr>
        <w:t> </w:t>
      </w:r>
      <w:r>
        <w:rPr>
          <w:w w:val="115"/>
        </w:rPr>
        <w:t>el</w:t>
      </w:r>
      <w:r>
        <w:rPr>
          <w:spacing w:val="-13"/>
          <w:w w:val="115"/>
        </w:rPr>
        <w:t> </w:t>
      </w:r>
      <w:r>
        <w:rPr>
          <w:w w:val="115"/>
        </w:rPr>
        <w:t>Comité</w:t>
      </w:r>
      <w:r>
        <w:rPr>
          <w:spacing w:val="-13"/>
          <w:w w:val="115"/>
        </w:rPr>
        <w:t> </w:t>
      </w:r>
      <w:r>
        <w:rPr>
          <w:w w:val="115"/>
        </w:rPr>
        <w:t>de</w:t>
      </w:r>
      <w:r>
        <w:rPr>
          <w:spacing w:val="-13"/>
          <w:w w:val="115"/>
        </w:rPr>
        <w:t> </w:t>
      </w:r>
      <w:r>
        <w:rPr>
          <w:w w:val="115"/>
        </w:rPr>
        <w:t>relaciones</w:t>
      </w:r>
      <w:r>
        <w:rPr>
          <w:spacing w:val="-13"/>
          <w:w w:val="115"/>
        </w:rPr>
        <w:t> </w:t>
      </w:r>
      <w:r>
        <w:rPr>
          <w:w w:val="115"/>
        </w:rPr>
        <w:t>Ex- teriores</w:t>
      </w:r>
      <w:r>
        <w:rPr>
          <w:spacing w:val="-22"/>
          <w:w w:val="115"/>
        </w:rPr>
        <w:t> </w:t>
      </w:r>
      <w:r>
        <w:rPr>
          <w:w w:val="115"/>
        </w:rPr>
        <w:t>de</w:t>
      </w:r>
      <w:r>
        <w:rPr>
          <w:spacing w:val="-22"/>
          <w:w w:val="115"/>
        </w:rPr>
        <w:t> </w:t>
      </w:r>
      <w:r>
        <w:rPr>
          <w:w w:val="115"/>
        </w:rPr>
        <w:t>la</w:t>
      </w:r>
      <w:r>
        <w:rPr>
          <w:spacing w:val="-22"/>
          <w:w w:val="115"/>
        </w:rPr>
        <w:t> </w:t>
      </w:r>
      <w:r>
        <w:rPr>
          <w:w w:val="115"/>
        </w:rPr>
        <w:t>Cámara</w:t>
      </w:r>
      <w:r>
        <w:rPr>
          <w:spacing w:val="-22"/>
          <w:w w:val="115"/>
        </w:rPr>
        <w:t> </w:t>
      </w:r>
      <w:r>
        <w:rPr>
          <w:w w:val="115"/>
        </w:rPr>
        <w:t>de</w:t>
      </w:r>
      <w:r>
        <w:rPr>
          <w:spacing w:val="-22"/>
          <w:w w:val="115"/>
        </w:rPr>
        <w:t> </w:t>
      </w:r>
      <w:r>
        <w:rPr>
          <w:w w:val="115"/>
        </w:rPr>
        <w:t>representantes,</w:t>
      </w:r>
      <w:r>
        <w:rPr>
          <w:spacing w:val="-22"/>
          <w:w w:val="115"/>
        </w:rPr>
        <w:t> </w:t>
      </w:r>
      <w:r>
        <w:rPr>
          <w:w w:val="115"/>
        </w:rPr>
        <w:t>se</w:t>
      </w:r>
      <w:r>
        <w:rPr>
          <w:spacing w:val="-22"/>
          <w:w w:val="115"/>
        </w:rPr>
        <w:t> </w:t>
      </w:r>
      <w:r>
        <w:rPr>
          <w:w w:val="115"/>
        </w:rPr>
        <w:t>refirió</w:t>
      </w:r>
      <w:r>
        <w:rPr>
          <w:spacing w:val="-22"/>
          <w:w w:val="115"/>
        </w:rPr>
        <w:t> </w:t>
      </w:r>
      <w:r>
        <w:rPr>
          <w:w w:val="115"/>
        </w:rPr>
        <w:t>ofensivamente</w:t>
      </w:r>
      <w:r>
        <w:rPr>
          <w:spacing w:val="-22"/>
          <w:w w:val="115"/>
        </w:rPr>
        <w:t> </w:t>
      </w:r>
      <w:r>
        <w:rPr>
          <w:w w:val="115"/>
        </w:rPr>
        <w:t>a</w:t>
      </w:r>
      <w:r>
        <w:rPr>
          <w:spacing w:val="-22"/>
          <w:w w:val="115"/>
        </w:rPr>
        <w:t> </w:t>
      </w:r>
      <w:r>
        <w:rPr>
          <w:w w:val="115"/>
        </w:rPr>
        <w:t>la región</w:t>
      </w:r>
      <w:r>
        <w:rPr>
          <w:spacing w:val="-28"/>
          <w:w w:val="115"/>
        </w:rPr>
        <w:t> </w:t>
      </w:r>
      <w:r>
        <w:rPr>
          <w:w w:val="115"/>
        </w:rPr>
        <w:t>como</w:t>
      </w:r>
      <w:r>
        <w:rPr>
          <w:spacing w:val="-28"/>
          <w:w w:val="115"/>
        </w:rPr>
        <w:t> </w:t>
      </w:r>
      <w:r>
        <w:rPr>
          <w:w w:val="115"/>
        </w:rPr>
        <w:t>el</w:t>
      </w:r>
      <w:r>
        <w:rPr>
          <w:spacing w:val="-28"/>
          <w:w w:val="115"/>
        </w:rPr>
        <w:t> </w:t>
      </w:r>
      <w:r>
        <w:rPr>
          <w:i/>
          <w:w w:val="115"/>
        </w:rPr>
        <w:t>patio</w:t>
      </w:r>
      <w:r>
        <w:rPr>
          <w:i/>
          <w:spacing w:val="-28"/>
          <w:w w:val="115"/>
        </w:rPr>
        <w:t> </w:t>
      </w:r>
      <w:r>
        <w:rPr>
          <w:i/>
          <w:w w:val="115"/>
        </w:rPr>
        <w:t>trasero</w:t>
      </w:r>
      <w:r>
        <w:rPr>
          <w:i/>
          <w:spacing w:val="-28"/>
          <w:w w:val="115"/>
        </w:rPr>
        <w:t> </w:t>
      </w:r>
      <w:r>
        <w:rPr>
          <w:w w:val="115"/>
        </w:rPr>
        <w:t>estadounidense)</w:t>
      </w:r>
      <w:r>
        <w:rPr>
          <w:spacing w:val="-28"/>
          <w:w w:val="115"/>
        </w:rPr>
        <w:t> </w:t>
      </w:r>
      <w:r>
        <w:rPr>
          <w:w w:val="115"/>
        </w:rPr>
        <w:t>y</w:t>
      </w:r>
      <w:r>
        <w:rPr>
          <w:spacing w:val="-28"/>
          <w:w w:val="115"/>
        </w:rPr>
        <w:t> </w:t>
      </w:r>
      <w:r>
        <w:rPr>
          <w:w w:val="115"/>
        </w:rPr>
        <w:t>el</w:t>
      </w:r>
      <w:r>
        <w:rPr>
          <w:spacing w:val="-28"/>
          <w:w w:val="115"/>
        </w:rPr>
        <w:t> </w:t>
      </w:r>
      <w:r>
        <w:rPr>
          <w:w w:val="115"/>
        </w:rPr>
        <w:t>espionaje</w:t>
      </w:r>
      <w:r>
        <w:rPr>
          <w:spacing w:val="-28"/>
          <w:w w:val="115"/>
        </w:rPr>
        <w:t> </w:t>
      </w:r>
      <w:r>
        <w:rPr>
          <w:w w:val="115"/>
        </w:rPr>
        <w:t>masivo</w:t>
      </w:r>
      <w:r>
        <w:rPr>
          <w:spacing w:val="-28"/>
          <w:w w:val="115"/>
        </w:rPr>
        <w:t> </w:t>
      </w:r>
      <w:r>
        <w:rPr>
          <w:w w:val="115"/>
        </w:rPr>
        <w:t>de su</w:t>
      </w:r>
      <w:r>
        <w:rPr>
          <w:spacing w:val="-24"/>
          <w:w w:val="115"/>
        </w:rPr>
        <w:t> </w:t>
      </w:r>
      <w:r>
        <w:rPr>
          <w:w w:val="115"/>
        </w:rPr>
        <w:t>gobierno</w:t>
      </w:r>
      <w:r>
        <w:rPr>
          <w:spacing w:val="-24"/>
          <w:w w:val="115"/>
        </w:rPr>
        <w:t> </w:t>
      </w:r>
      <w:r>
        <w:rPr>
          <w:w w:val="115"/>
        </w:rPr>
        <w:t>contra</w:t>
      </w:r>
      <w:r>
        <w:rPr>
          <w:spacing w:val="-24"/>
          <w:w w:val="115"/>
        </w:rPr>
        <w:t> </w:t>
      </w:r>
      <w:r>
        <w:rPr>
          <w:w w:val="115"/>
        </w:rPr>
        <w:t>líderes</w:t>
      </w:r>
      <w:r>
        <w:rPr>
          <w:spacing w:val="-24"/>
          <w:w w:val="115"/>
        </w:rPr>
        <w:t> </w:t>
      </w:r>
      <w:r>
        <w:rPr>
          <w:w w:val="115"/>
        </w:rPr>
        <w:t>regionales</w:t>
      </w:r>
      <w:r>
        <w:rPr>
          <w:spacing w:val="-24"/>
          <w:w w:val="115"/>
        </w:rPr>
        <w:t> </w:t>
      </w:r>
      <w:r>
        <w:rPr>
          <w:w w:val="115"/>
        </w:rPr>
        <w:t>(que</w:t>
      </w:r>
      <w:r>
        <w:rPr>
          <w:spacing w:val="-24"/>
          <w:w w:val="115"/>
        </w:rPr>
        <w:t> </w:t>
      </w:r>
      <w:r>
        <w:rPr>
          <w:w w:val="115"/>
        </w:rPr>
        <w:t>llevó</w:t>
      </w:r>
      <w:r>
        <w:rPr>
          <w:spacing w:val="-24"/>
          <w:w w:val="115"/>
        </w:rPr>
        <w:t> </w:t>
      </w:r>
      <w:r>
        <w:rPr>
          <w:w w:val="115"/>
        </w:rPr>
        <w:t>a</w:t>
      </w:r>
      <w:r>
        <w:rPr>
          <w:spacing w:val="-24"/>
          <w:w w:val="115"/>
        </w:rPr>
        <w:t> </w:t>
      </w:r>
      <w:r>
        <w:rPr>
          <w:w w:val="115"/>
        </w:rPr>
        <w:t>varios</w:t>
      </w:r>
      <w:r>
        <w:rPr>
          <w:spacing w:val="-24"/>
          <w:w w:val="115"/>
        </w:rPr>
        <w:t> </w:t>
      </w:r>
      <w:r>
        <w:rPr>
          <w:w w:val="115"/>
        </w:rPr>
        <w:t>mandatarios a</w:t>
      </w:r>
      <w:r>
        <w:rPr>
          <w:spacing w:val="-22"/>
          <w:w w:val="115"/>
        </w:rPr>
        <w:t> </w:t>
      </w:r>
      <w:r>
        <w:rPr>
          <w:w w:val="115"/>
        </w:rPr>
        <w:t>participar</w:t>
      </w:r>
      <w:r>
        <w:rPr>
          <w:spacing w:val="-22"/>
          <w:w w:val="115"/>
        </w:rPr>
        <w:t> </w:t>
      </w:r>
      <w:r>
        <w:rPr>
          <w:w w:val="115"/>
        </w:rPr>
        <w:t>en</w:t>
      </w:r>
      <w:r>
        <w:rPr>
          <w:spacing w:val="-22"/>
          <w:w w:val="115"/>
        </w:rPr>
        <w:t> </w:t>
      </w:r>
      <w:r>
        <w:rPr>
          <w:w w:val="115"/>
        </w:rPr>
        <w:t>la</w:t>
      </w:r>
      <w:r>
        <w:rPr>
          <w:spacing w:val="-22"/>
          <w:w w:val="115"/>
        </w:rPr>
        <w:t> </w:t>
      </w:r>
      <w:r>
        <w:rPr>
          <w:w w:val="115"/>
        </w:rPr>
        <w:t>Cumbre</w:t>
      </w:r>
      <w:r>
        <w:rPr>
          <w:spacing w:val="-22"/>
          <w:w w:val="115"/>
        </w:rPr>
        <w:t> </w:t>
      </w:r>
      <w:r>
        <w:rPr>
          <w:w w:val="115"/>
        </w:rPr>
        <w:t>de</w:t>
      </w:r>
      <w:r>
        <w:rPr>
          <w:spacing w:val="-22"/>
          <w:w w:val="115"/>
        </w:rPr>
        <w:t> </w:t>
      </w:r>
      <w:r>
        <w:rPr>
          <w:w w:val="115"/>
        </w:rPr>
        <w:t>Cochabamba</w:t>
      </w:r>
      <w:r>
        <w:rPr>
          <w:spacing w:val="-22"/>
          <w:w w:val="115"/>
        </w:rPr>
        <w:t> </w:t>
      </w:r>
      <w:r>
        <w:rPr>
          <w:w w:val="115"/>
        </w:rPr>
        <w:t>para</w:t>
      </w:r>
      <w:r>
        <w:rPr>
          <w:spacing w:val="-22"/>
          <w:w w:val="115"/>
        </w:rPr>
        <w:t> </w:t>
      </w:r>
      <w:r>
        <w:rPr>
          <w:w w:val="115"/>
        </w:rPr>
        <w:t>respaldar</w:t>
      </w:r>
      <w:r>
        <w:rPr>
          <w:spacing w:val="-22"/>
          <w:w w:val="115"/>
        </w:rPr>
        <w:t> </w:t>
      </w:r>
      <w:r>
        <w:rPr>
          <w:w w:val="115"/>
        </w:rPr>
        <w:t>a</w:t>
      </w:r>
      <w:r>
        <w:rPr>
          <w:spacing w:val="-22"/>
          <w:w w:val="115"/>
        </w:rPr>
        <w:t> </w:t>
      </w:r>
      <w:r>
        <w:rPr>
          <w:w w:val="115"/>
        </w:rPr>
        <w:t>Evo</w:t>
      </w:r>
      <w:r>
        <w:rPr>
          <w:spacing w:val="-22"/>
          <w:w w:val="115"/>
        </w:rPr>
        <w:t> </w:t>
      </w:r>
      <w:r>
        <w:rPr>
          <w:w w:val="115"/>
        </w:rPr>
        <w:t>Mora- les</w:t>
      </w:r>
      <w:r>
        <w:rPr>
          <w:spacing w:val="-9"/>
          <w:w w:val="115"/>
        </w:rPr>
        <w:t> </w:t>
      </w:r>
      <w:r>
        <w:rPr>
          <w:w w:val="115"/>
        </w:rPr>
        <w:t>y</w:t>
      </w:r>
      <w:r>
        <w:rPr>
          <w:spacing w:val="-9"/>
          <w:w w:val="115"/>
        </w:rPr>
        <w:t> </w:t>
      </w:r>
      <w:r>
        <w:rPr>
          <w:w w:val="115"/>
        </w:rPr>
        <w:t>a</w:t>
      </w:r>
      <w:r>
        <w:rPr>
          <w:spacing w:val="-9"/>
          <w:w w:val="115"/>
        </w:rPr>
        <w:t> </w:t>
      </w:r>
      <w:r>
        <w:rPr>
          <w:w w:val="115"/>
        </w:rPr>
        <w:t>dilma</w:t>
      </w:r>
      <w:r>
        <w:rPr>
          <w:spacing w:val="-9"/>
          <w:w w:val="115"/>
        </w:rPr>
        <w:t> </w:t>
      </w:r>
      <w:r>
        <w:rPr>
          <w:w w:val="115"/>
        </w:rPr>
        <w:t>rousseff</w:t>
      </w:r>
      <w:r>
        <w:rPr>
          <w:spacing w:val="-9"/>
          <w:w w:val="115"/>
        </w:rPr>
        <w:t> </w:t>
      </w:r>
      <w:r>
        <w:rPr>
          <w:w w:val="115"/>
        </w:rPr>
        <w:t>a</w:t>
      </w:r>
      <w:r>
        <w:rPr>
          <w:spacing w:val="-9"/>
          <w:w w:val="115"/>
        </w:rPr>
        <w:t> </w:t>
      </w:r>
      <w:r>
        <w:rPr>
          <w:w w:val="115"/>
        </w:rPr>
        <w:t>cancelar</w:t>
      </w:r>
      <w:r>
        <w:rPr>
          <w:spacing w:val="-9"/>
          <w:w w:val="115"/>
        </w:rPr>
        <w:t> </w:t>
      </w:r>
      <w:r>
        <w:rPr>
          <w:w w:val="115"/>
        </w:rPr>
        <w:t>su</w:t>
      </w:r>
      <w:r>
        <w:rPr>
          <w:spacing w:val="-9"/>
          <w:w w:val="115"/>
        </w:rPr>
        <w:t> </w:t>
      </w:r>
      <w:r>
        <w:rPr>
          <w:w w:val="115"/>
        </w:rPr>
        <w:t>visita</w:t>
      </w:r>
      <w:r>
        <w:rPr>
          <w:spacing w:val="-9"/>
          <w:w w:val="115"/>
        </w:rPr>
        <w:t> </w:t>
      </w:r>
      <w:r>
        <w:rPr>
          <w:w w:val="115"/>
        </w:rPr>
        <w:t>de</w:t>
      </w:r>
      <w:r>
        <w:rPr>
          <w:spacing w:val="-9"/>
          <w:w w:val="115"/>
        </w:rPr>
        <w:t> </w:t>
      </w:r>
      <w:r>
        <w:rPr>
          <w:w w:val="115"/>
        </w:rPr>
        <w:t>Estado</w:t>
      </w:r>
      <w:r>
        <w:rPr>
          <w:spacing w:val="-9"/>
          <w:w w:val="115"/>
        </w:rPr>
        <w:t> </w:t>
      </w:r>
      <w:r>
        <w:rPr>
          <w:w w:val="115"/>
        </w:rPr>
        <w:t>a</w:t>
      </w:r>
      <w:r>
        <w:rPr>
          <w:spacing w:val="-9"/>
          <w:w w:val="115"/>
        </w:rPr>
        <w:t> </w:t>
      </w:r>
      <w:r>
        <w:rPr>
          <w:w w:val="115"/>
        </w:rPr>
        <w:t>Washington</w:t>
      </w:r>
      <w:r>
        <w:rPr>
          <w:spacing w:val="-9"/>
          <w:w w:val="115"/>
        </w:rPr>
        <w:t> </w:t>
      </w:r>
      <w:r>
        <w:rPr>
          <w:w w:val="115"/>
        </w:rPr>
        <w:t>y</w:t>
      </w:r>
      <w:r>
        <w:rPr>
          <w:spacing w:val="-9"/>
          <w:w w:val="115"/>
        </w:rPr>
        <w:t> </w:t>
      </w:r>
      <w:r>
        <w:rPr>
          <w:w w:val="115"/>
        </w:rPr>
        <w:t>a comprar</w:t>
      </w:r>
      <w:r>
        <w:rPr>
          <w:spacing w:val="-25"/>
          <w:w w:val="115"/>
        </w:rPr>
        <w:t> </w:t>
      </w:r>
      <w:r>
        <w:rPr>
          <w:w w:val="115"/>
        </w:rPr>
        <w:t>aviones</w:t>
      </w:r>
      <w:r>
        <w:rPr>
          <w:spacing w:val="-25"/>
          <w:w w:val="115"/>
        </w:rPr>
        <w:t> </w:t>
      </w:r>
      <w:r>
        <w:rPr>
          <w:w w:val="115"/>
        </w:rPr>
        <w:t>de</w:t>
      </w:r>
      <w:r>
        <w:rPr>
          <w:spacing w:val="-25"/>
          <w:w w:val="115"/>
        </w:rPr>
        <w:t> </w:t>
      </w:r>
      <w:r>
        <w:rPr>
          <w:w w:val="115"/>
        </w:rPr>
        <w:t>guerra</w:t>
      </w:r>
      <w:r>
        <w:rPr>
          <w:spacing w:val="-25"/>
          <w:w w:val="115"/>
        </w:rPr>
        <w:t> </w:t>
      </w:r>
      <w:r>
        <w:rPr>
          <w:w w:val="115"/>
        </w:rPr>
        <w:t>noruegos,</w:t>
      </w:r>
      <w:r>
        <w:rPr>
          <w:spacing w:val="-25"/>
          <w:w w:val="115"/>
        </w:rPr>
        <w:t> </w:t>
      </w:r>
      <w:r>
        <w:rPr>
          <w:w w:val="115"/>
        </w:rPr>
        <w:t>en</w:t>
      </w:r>
      <w:r>
        <w:rPr>
          <w:spacing w:val="-25"/>
          <w:w w:val="115"/>
        </w:rPr>
        <w:t> </w:t>
      </w:r>
      <w:r>
        <w:rPr>
          <w:w w:val="115"/>
        </w:rPr>
        <w:t>vez</w:t>
      </w:r>
      <w:r>
        <w:rPr>
          <w:spacing w:val="-25"/>
          <w:w w:val="115"/>
        </w:rPr>
        <w:t> </w:t>
      </w:r>
      <w:r>
        <w:rPr>
          <w:w w:val="115"/>
        </w:rPr>
        <w:t>de</w:t>
      </w:r>
      <w:r>
        <w:rPr>
          <w:spacing w:val="-25"/>
          <w:w w:val="115"/>
        </w:rPr>
        <w:t> </w:t>
      </w:r>
      <w:r>
        <w:rPr>
          <w:w w:val="115"/>
        </w:rPr>
        <w:t>los</w:t>
      </w:r>
      <w:r>
        <w:rPr>
          <w:spacing w:val="-25"/>
          <w:w w:val="115"/>
        </w:rPr>
        <w:t> </w:t>
      </w:r>
      <w:r>
        <w:rPr>
          <w:w w:val="115"/>
        </w:rPr>
        <w:t>estadounidenses). </w:t>
      </w:r>
      <w:r>
        <w:rPr>
          <w:w w:val="109"/>
        </w:rPr>
        <w:t>Frente</w:t>
      </w:r>
      <w:r>
        <w:rPr>
          <w:spacing w:val="14"/>
        </w:rPr>
        <w:t> </w:t>
      </w:r>
      <w:r>
        <w:rPr>
          <w:w w:val="112"/>
        </w:rPr>
        <w:t>a</w:t>
      </w:r>
      <w:r>
        <w:rPr>
          <w:spacing w:val="14"/>
        </w:rPr>
        <w:t> </w:t>
      </w:r>
      <w:r>
        <w:rPr>
          <w:w w:val="112"/>
        </w:rPr>
        <w:t>una</w:t>
      </w:r>
      <w:r>
        <w:rPr>
          <w:spacing w:val="14"/>
        </w:rPr>
        <w:t> </w:t>
      </w:r>
      <w:r>
        <w:rPr>
          <w:w w:val="139"/>
        </w:rPr>
        <w:t>a</w:t>
      </w:r>
      <w:r>
        <w:rPr>
          <w:w w:val="111"/>
        </w:rPr>
        <w:t>mérica</w:t>
      </w:r>
      <w:r>
        <w:rPr>
          <w:spacing w:val="14"/>
        </w:rPr>
        <w:t> </w:t>
      </w:r>
      <w:r>
        <w:rPr>
          <w:w w:val="243"/>
        </w:rPr>
        <w:t>l</w:t>
      </w:r>
      <w:r>
        <w:rPr>
          <w:w w:val="111"/>
        </w:rPr>
        <w:t>atina</w:t>
      </w:r>
      <w:r>
        <w:rPr>
          <w:spacing w:val="14"/>
        </w:rPr>
        <w:t> </w:t>
      </w:r>
      <w:r>
        <w:rPr>
          <w:w w:val="108"/>
        </w:rPr>
        <w:t>que</w:t>
      </w:r>
      <w:r>
        <w:rPr>
          <w:spacing w:val="14"/>
        </w:rPr>
        <w:t> </w:t>
      </w:r>
      <w:r>
        <w:rPr>
          <w:w w:val="112"/>
        </w:rPr>
        <w:t>avanza,</w:t>
      </w:r>
      <w:r>
        <w:rPr>
          <w:spacing w:val="14"/>
        </w:rPr>
        <w:t> </w:t>
      </w:r>
      <w:r>
        <w:rPr>
          <w:w w:val="110"/>
        </w:rPr>
        <w:t>aunque</w:t>
      </w:r>
      <w:r>
        <w:rPr>
          <w:spacing w:val="14"/>
        </w:rPr>
        <w:t> </w:t>
      </w:r>
      <w:r>
        <w:rPr>
          <w:w w:val="112"/>
        </w:rPr>
        <w:t>con</w:t>
      </w:r>
      <w:r>
        <w:rPr>
          <w:spacing w:val="14"/>
        </w:rPr>
        <w:t> </w:t>
      </w:r>
      <w:r>
        <w:rPr>
          <w:w w:val="110"/>
        </w:rPr>
        <w:t>dificultades,</w:t>
      </w:r>
      <w:r>
        <w:rPr>
          <w:spacing w:val="14"/>
        </w:rPr>
        <w:t> </w:t>
      </w:r>
      <w:r>
        <w:rPr>
          <w:w w:val="108"/>
        </w:rPr>
        <w:t>en </w:t>
      </w:r>
      <w:r>
        <w:rPr>
          <w:w w:val="115"/>
        </w:rPr>
        <w:t>la</w:t>
      </w:r>
      <w:r>
        <w:rPr>
          <w:spacing w:val="-7"/>
          <w:w w:val="115"/>
        </w:rPr>
        <w:t> </w:t>
      </w:r>
      <w:r>
        <w:rPr>
          <w:w w:val="115"/>
        </w:rPr>
        <w:t>construcción</w:t>
      </w:r>
      <w:r>
        <w:rPr>
          <w:spacing w:val="-7"/>
          <w:w w:val="115"/>
        </w:rPr>
        <w:t> </w:t>
      </w:r>
      <w:r>
        <w:rPr>
          <w:w w:val="115"/>
        </w:rPr>
        <w:t>de</w:t>
      </w:r>
      <w:r>
        <w:rPr>
          <w:spacing w:val="-7"/>
          <w:w w:val="115"/>
        </w:rPr>
        <w:t> </w:t>
      </w:r>
      <w:r>
        <w:rPr>
          <w:w w:val="115"/>
        </w:rPr>
        <w:t>una</w:t>
      </w:r>
      <w:r>
        <w:rPr>
          <w:spacing w:val="-7"/>
          <w:w w:val="115"/>
        </w:rPr>
        <w:t> </w:t>
      </w:r>
      <w:r>
        <w:rPr>
          <w:w w:val="115"/>
        </w:rPr>
        <w:t>integración</w:t>
      </w:r>
      <w:r>
        <w:rPr>
          <w:spacing w:val="-7"/>
          <w:w w:val="115"/>
        </w:rPr>
        <w:t> </w:t>
      </w:r>
      <w:r>
        <w:rPr>
          <w:w w:val="115"/>
        </w:rPr>
        <w:t>alternativa</w:t>
      </w:r>
      <w:r>
        <w:rPr>
          <w:spacing w:val="-7"/>
          <w:w w:val="115"/>
        </w:rPr>
        <w:t> </w:t>
      </w:r>
      <w:r>
        <w:rPr>
          <w:w w:val="115"/>
        </w:rPr>
        <w:t>–en</w:t>
      </w:r>
      <w:r>
        <w:rPr>
          <w:spacing w:val="-7"/>
          <w:w w:val="115"/>
        </w:rPr>
        <w:t> </w:t>
      </w:r>
      <w:r>
        <w:rPr>
          <w:w w:val="115"/>
        </w:rPr>
        <w:t>enero</w:t>
      </w:r>
      <w:r>
        <w:rPr>
          <w:spacing w:val="-7"/>
          <w:w w:val="115"/>
        </w:rPr>
        <w:t> </w:t>
      </w:r>
      <w:r>
        <w:rPr>
          <w:w w:val="115"/>
        </w:rPr>
        <w:t>de</w:t>
      </w:r>
      <w:r>
        <w:rPr>
          <w:spacing w:val="-7"/>
          <w:w w:val="115"/>
        </w:rPr>
        <w:t> </w:t>
      </w:r>
      <w:r>
        <w:rPr>
          <w:w w:val="115"/>
        </w:rPr>
        <w:t>2014</w:t>
      </w:r>
      <w:r>
        <w:rPr>
          <w:spacing w:val="-7"/>
          <w:w w:val="115"/>
        </w:rPr>
        <w:t> </w:t>
      </w:r>
      <w:r>
        <w:rPr>
          <w:w w:val="115"/>
        </w:rPr>
        <w:t>se concretó la segunda cumbre presidencial de la </w:t>
      </w:r>
      <w:r>
        <w:rPr>
          <w:w w:val="125"/>
        </w:rPr>
        <w:t>CElaC, </w:t>
      </w:r>
      <w:r>
        <w:rPr>
          <w:w w:val="115"/>
        </w:rPr>
        <w:t>que trató in- cluso el tema de la independencia de Puerto rico– y frente a la cre- ciente</w:t>
      </w:r>
      <w:r>
        <w:rPr>
          <w:spacing w:val="-26"/>
          <w:w w:val="115"/>
        </w:rPr>
        <w:t> </w:t>
      </w:r>
      <w:r>
        <w:rPr>
          <w:w w:val="115"/>
        </w:rPr>
        <w:t>presencia</w:t>
      </w:r>
      <w:r>
        <w:rPr>
          <w:spacing w:val="-26"/>
          <w:w w:val="115"/>
        </w:rPr>
        <w:t> </w:t>
      </w:r>
      <w:r>
        <w:rPr>
          <w:w w:val="115"/>
        </w:rPr>
        <w:t>de</w:t>
      </w:r>
      <w:r>
        <w:rPr>
          <w:spacing w:val="-26"/>
          <w:w w:val="115"/>
        </w:rPr>
        <w:t> </w:t>
      </w:r>
      <w:r>
        <w:rPr>
          <w:w w:val="115"/>
        </w:rPr>
        <w:t>China</w:t>
      </w:r>
      <w:r>
        <w:rPr>
          <w:spacing w:val="-26"/>
          <w:w w:val="115"/>
        </w:rPr>
        <w:t> </w:t>
      </w:r>
      <w:r>
        <w:rPr>
          <w:w w:val="115"/>
        </w:rPr>
        <w:t>y</w:t>
      </w:r>
      <w:r>
        <w:rPr>
          <w:spacing w:val="-26"/>
          <w:w w:val="115"/>
        </w:rPr>
        <w:t> </w:t>
      </w:r>
      <w:r>
        <w:rPr>
          <w:w w:val="115"/>
        </w:rPr>
        <w:t>otros</w:t>
      </w:r>
      <w:r>
        <w:rPr>
          <w:spacing w:val="-26"/>
          <w:w w:val="115"/>
        </w:rPr>
        <w:t> </w:t>
      </w:r>
      <w:r>
        <w:rPr>
          <w:w w:val="115"/>
        </w:rPr>
        <w:t>actores</w:t>
      </w:r>
      <w:r>
        <w:rPr>
          <w:spacing w:val="-26"/>
          <w:w w:val="115"/>
        </w:rPr>
        <w:t> </w:t>
      </w:r>
      <w:r>
        <w:rPr>
          <w:w w:val="115"/>
        </w:rPr>
        <w:t>extra</w:t>
      </w:r>
      <w:r>
        <w:rPr>
          <w:spacing w:val="-26"/>
          <w:w w:val="115"/>
        </w:rPr>
        <w:t> </w:t>
      </w:r>
      <w:r>
        <w:rPr>
          <w:w w:val="115"/>
        </w:rPr>
        <w:t>hemisféricos</w:t>
      </w:r>
      <w:r>
        <w:rPr>
          <w:spacing w:val="-26"/>
          <w:w w:val="115"/>
        </w:rPr>
        <w:t> </w:t>
      </w:r>
      <w:r>
        <w:rPr>
          <w:w w:val="115"/>
        </w:rPr>
        <w:t>–la</w:t>
      </w:r>
      <w:r>
        <w:rPr>
          <w:spacing w:val="-26"/>
          <w:w w:val="115"/>
        </w:rPr>
        <w:t> </w:t>
      </w:r>
      <w:r>
        <w:rPr>
          <w:w w:val="115"/>
        </w:rPr>
        <w:t>unión Europea</w:t>
      </w:r>
      <w:r>
        <w:rPr>
          <w:spacing w:val="-27"/>
          <w:w w:val="115"/>
        </w:rPr>
        <w:t> </w:t>
      </w:r>
      <w:r>
        <w:rPr>
          <w:w w:val="115"/>
        </w:rPr>
        <w:t>relanzó</w:t>
      </w:r>
      <w:r>
        <w:rPr>
          <w:spacing w:val="-27"/>
          <w:w w:val="115"/>
        </w:rPr>
        <w:t> </w:t>
      </w:r>
      <w:r>
        <w:rPr>
          <w:w w:val="115"/>
        </w:rPr>
        <w:t>en</w:t>
      </w:r>
      <w:r>
        <w:rPr>
          <w:spacing w:val="-27"/>
          <w:w w:val="115"/>
        </w:rPr>
        <w:t> </w:t>
      </w:r>
      <w:r>
        <w:rPr>
          <w:w w:val="115"/>
        </w:rPr>
        <w:t>2013</w:t>
      </w:r>
      <w:r>
        <w:rPr>
          <w:spacing w:val="-27"/>
          <w:w w:val="115"/>
        </w:rPr>
        <w:t> </w:t>
      </w:r>
      <w:r>
        <w:rPr>
          <w:w w:val="115"/>
        </w:rPr>
        <w:t>las</w:t>
      </w:r>
      <w:r>
        <w:rPr>
          <w:spacing w:val="-27"/>
          <w:w w:val="115"/>
        </w:rPr>
        <w:t> </w:t>
      </w:r>
      <w:r>
        <w:rPr>
          <w:w w:val="115"/>
        </w:rPr>
        <w:t>conversaciones</w:t>
      </w:r>
      <w:r>
        <w:rPr>
          <w:spacing w:val="-27"/>
          <w:w w:val="115"/>
        </w:rPr>
        <w:t> </w:t>
      </w:r>
      <w:r>
        <w:rPr>
          <w:w w:val="115"/>
        </w:rPr>
        <w:t>informales</w:t>
      </w:r>
      <w:r>
        <w:rPr>
          <w:spacing w:val="-27"/>
          <w:w w:val="115"/>
        </w:rPr>
        <w:t> </w:t>
      </w:r>
      <w:r>
        <w:rPr>
          <w:w w:val="115"/>
        </w:rPr>
        <w:t>para</w:t>
      </w:r>
      <w:r>
        <w:rPr>
          <w:spacing w:val="-27"/>
          <w:w w:val="115"/>
        </w:rPr>
        <w:t> </w:t>
      </w:r>
      <w:r>
        <w:rPr>
          <w:w w:val="115"/>
        </w:rPr>
        <w:t>estable- cer</w:t>
      </w:r>
      <w:r>
        <w:rPr>
          <w:spacing w:val="-5"/>
          <w:w w:val="115"/>
        </w:rPr>
        <w:t> </w:t>
      </w:r>
      <w:r>
        <w:rPr>
          <w:w w:val="115"/>
        </w:rPr>
        <w:t>un</w:t>
      </w:r>
      <w:r>
        <w:rPr>
          <w:spacing w:val="-5"/>
          <w:w w:val="115"/>
        </w:rPr>
        <w:t> </w:t>
      </w:r>
      <w:r>
        <w:rPr>
          <w:w w:val="160"/>
        </w:rPr>
        <w:t>tlC</w:t>
      </w:r>
      <w:r>
        <w:rPr>
          <w:spacing w:val="-24"/>
          <w:w w:val="160"/>
        </w:rPr>
        <w:t> </w:t>
      </w:r>
      <w:r>
        <w:rPr>
          <w:w w:val="115"/>
        </w:rPr>
        <w:t>con</w:t>
      </w:r>
      <w:r>
        <w:rPr>
          <w:spacing w:val="-5"/>
          <w:w w:val="115"/>
        </w:rPr>
        <w:t> </w:t>
      </w:r>
      <w:r>
        <w:rPr>
          <w:w w:val="115"/>
        </w:rPr>
        <w:t>el</w:t>
      </w:r>
      <w:r>
        <w:rPr>
          <w:spacing w:val="-5"/>
          <w:w w:val="115"/>
        </w:rPr>
        <w:t> </w:t>
      </w:r>
      <w:r>
        <w:rPr>
          <w:w w:val="115"/>
        </w:rPr>
        <w:t>Mercosur–,</w:t>
      </w:r>
      <w:r>
        <w:rPr>
          <w:spacing w:val="-5"/>
          <w:w w:val="115"/>
        </w:rPr>
        <w:t> </w:t>
      </w:r>
      <w:r>
        <w:rPr>
          <w:w w:val="115"/>
        </w:rPr>
        <w:t>Washington</w:t>
      </w:r>
      <w:r>
        <w:rPr>
          <w:spacing w:val="-5"/>
          <w:w w:val="115"/>
        </w:rPr>
        <w:t> </w:t>
      </w:r>
      <w:r>
        <w:rPr>
          <w:w w:val="115"/>
        </w:rPr>
        <w:t>intenta</w:t>
      </w:r>
      <w:r>
        <w:rPr>
          <w:spacing w:val="-5"/>
          <w:w w:val="115"/>
        </w:rPr>
        <w:t> </w:t>
      </w:r>
      <w:r>
        <w:rPr>
          <w:w w:val="115"/>
        </w:rPr>
        <w:t>reposicionarse</w:t>
      </w:r>
      <w:r>
        <w:rPr>
          <w:spacing w:val="-5"/>
          <w:w w:val="115"/>
        </w:rPr>
        <w:t> </w:t>
      </w:r>
      <w:r>
        <w:rPr>
          <w:w w:val="115"/>
        </w:rPr>
        <w:t>en </w:t>
      </w:r>
      <w:r>
        <w:rPr>
          <w:w w:val="110"/>
        </w:rPr>
        <w:t>una región</w:t>
      </w:r>
      <w:r>
        <w:rPr>
          <w:spacing w:val="22"/>
          <w:w w:val="110"/>
        </w:rPr>
        <w:t> </w:t>
      </w:r>
      <w:r>
        <w:rPr>
          <w:w w:val="110"/>
        </w:rPr>
        <w:t>estratégica.</w:t>
      </w:r>
    </w:p>
    <w:p>
      <w:pPr>
        <w:pStyle w:val="BodyText"/>
        <w:spacing w:line="252" w:lineRule="auto"/>
        <w:ind w:left="330" w:right="117" w:firstLine="397"/>
        <w:jc w:val="both"/>
      </w:pPr>
      <w:r>
        <w:rPr>
          <w:w w:val="125"/>
        </w:rPr>
        <w:t>si </w:t>
      </w:r>
      <w:r>
        <w:rPr>
          <w:w w:val="110"/>
        </w:rPr>
        <w:t>bien el reciente anuncio de obama de un </w:t>
      </w:r>
      <w:r>
        <w:rPr>
          <w:i/>
          <w:w w:val="110"/>
        </w:rPr>
        <w:t>giro </w:t>
      </w:r>
      <w:r>
        <w:rPr>
          <w:w w:val="110"/>
        </w:rPr>
        <w:t>histórico en la relación con Cuba seguramente traerá cambios en las relaciones inte- ramericanas, esto no implica que vayan a desaparecer los reclamos de los países de Nuestra américa. En la </w:t>
      </w:r>
      <w:r>
        <w:rPr>
          <w:w w:val="125"/>
        </w:rPr>
        <w:t>iii </w:t>
      </w:r>
      <w:r>
        <w:rPr>
          <w:w w:val="110"/>
        </w:rPr>
        <w:t>Cumbre de la </w:t>
      </w:r>
      <w:r>
        <w:rPr>
          <w:w w:val="125"/>
        </w:rPr>
        <w:t>CElaC </w:t>
      </w:r>
      <w:r>
        <w:rPr>
          <w:w w:val="110"/>
        </w:rPr>
        <w:t>(belén, Costa rica, 28 y 29 de enero de 2015), raúl Castro condicionó la </w:t>
      </w:r>
      <w:r>
        <w:rPr>
          <w:spacing w:val="-4"/>
          <w:w w:val="110"/>
        </w:rPr>
        <w:t>nor- </w:t>
      </w:r>
      <w:r>
        <w:rPr>
          <w:w w:val="110"/>
        </w:rPr>
        <w:t>malización del vínculo con Estados unidos al levantamiento del blo- queo: “El restablecimiento de relaciones diplomáticas es el inicio de un proceso hacia la normalización de las relaciones bilaterales pero ésta no será posible mientras exista el bloqueo”</w:t>
      </w:r>
      <w:r>
        <w:rPr>
          <w:w w:val="110"/>
          <w:position w:val="6"/>
          <w:sz w:val="11"/>
        </w:rPr>
        <w:t>33</w:t>
      </w:r>
      <w:r>
        <w:rPr>
          <w:w w:val="110"/>
        </w:rPr>
        <w:t>. En ese encuentro, los Jefes de Estado de la </w:t>
      </w:r>
      <w:r>
        <w:rPr>
          <w:w w:val="125"/>
        </w:rPr>
        <w:t>CElaC </w:t>
      </w:r>
      <w:r>
        <w:rPr>
          <w:w w:val="110"/>
        </w:rPr>
        <w:t>se sumaron al reclamo y exigieron,  una vez más, el fin del bloqueo económico, financiero y comercial im- puesto</w:t>
      </w:r>
      <w:r>
        <w:rPr>
          <w:spacing w:val="23"/>
          <w:w w:val="110"/>
        </w:rPr>
        <w:t> </w:t>
      </w:r>
      <w:r>
        <w:rPr>
          <w:w w:val="110"/>
        </w:rPr>
        <w:t>por</w:t>
      </w:r>
      <w:r>
        <w:rPr>
          <w:spacing w:val="23"/>
          <w:w w:val="110"/>
        </w:rPr>
        <w:t> </w:t>
      </w:r>
      <w:r>
        <w:rPr>
          <w:w w:val="110"/>
        </w:rPr>
        <w:t>Estados</w:t>
      </w:r>
      <w:r>
        <w:rPr>
          <w:spacing w:val="23"/>
          <w:w w:val="110"/>
        </w:rPr>
        <w:t> </w:t>
      </w:r>
      <w:r>
        <w:rPr>
          <w:w w:val="110"/>
        </w:rPr>
        <w:t>unidos</w:t>
      </w:r>
      <w:r>
        <w:rPr>
          <w:spacing w:val="23"/>
          <w:w w:val="110"/>
        </w:rPr>
        <w:t> </w:t>
      </w:r>
      <w:r>
        <w:rPr>
          <w:w w:val="110"/>
        </w:rPr>
        <w:t>contra</w:t>
      </w:r>
      <w:r>
        <w:rPr>
          <w:spacing w:val="23"/>
          <w:w w:val="110"/>
        </w:rPr>
        <w:t> </w:t>
      </w:r>
      <w:r>
        <w:rPr>
          <w:w w:val="110"/>
        </w:rPr>
        <w:t>Cuba</w:t>
      </w:r>
      <w:r>
        <w:rPr>
          <w:w w:val="110"/>
          <w:position w:val="6"/>
          <w:sz w:val="11"/>
        </w:rPr>
        <w:t>34</w:t>
      </w:r>
      <w:r>
        <w:rPr>
          <w:w w:val="110"/>
        </w:rPr>
        <w:t>.</w:t>
      </w:r>
      <w:r>
        <w:rPr>
          <w:spacing w:val="23"/>
          <w:w w:val="110"/>
        </w:rPr>
        <w:t> </w:t>
      </w:r>
      <w:r>
        <w:rPr>
          <w:w w:val="110"/>
        </w:rPr>
        <w:t>El</w:t>
      </w:r>
      <w:r>
        <w:rPr>
          <w:spacing w:val="23"/>
          <w:w w:val="110"/>
        </w:rPr>
        <w:t> </w:t>
      </w:r>
      <w:r>
        <w:rPr>
          <w:w w:val="110"/>
        </w:rPr>
        <w:t>tema</w:t>
      </w:r>
      <w:r>
        <w:rPr>
          <w:spacing w:val="23"/>
          <w:w w:val="110"/>
        </w:rPr>
        <w:t> </w:t>
      </w:r>
      <w:r>
        <w:rPr>
          <w:w w:val="110"/>
        </w:rPr>
        <w:t>de</w:t>
      </w:r>
      <w:r>
        <w:rPr>
          <w:spacing w:val="23"/>
          <w:w w:val="110"/>
        </w:rPr>
        <w:t> </w:t>
      </w:r>
      <w:r>
        <w:rPr>
          <w:w w:val="110"/>
        </w:rPr>
        <w:t>las</w:t>
      </w:r>
      <w:r>
        <w:rPr>
          <w:spacing w:val="23"/>
          <w:w w:val="110"/>
        </w:rPr>
        <w:t> </w:t>
      </w:r>
      <w:r>
        <w:rPr>
          <w:w w:val="110"/>
        </w:rPr>
        <w:t>negociacio-</w:t>
      </w:r>
    </w:p>
    <w:p>
      <w:pPr>
        <w:pStyle w:val="BodyText"/>
        <w:rPr>
          <w:sz w:val="20"/>
        </w:rPr>
      </w:pPr>
    </w:p>
    <w:p>
      <w:pPr>
        <w:pStyle w:val="BodyText"/>
        <w:rPr>
          <w:sz w:val="11"/>
        </w:rPr>
      </w:pPr>
      <w:r>
        <w:rPr/>
        <w:pict>
          <v:line style="position:absolute;mso-position-horizontal-relative:page;mso-position-vertical-relative:paragraph;z-index:8320;mso-wrap-distance-left:0;mso-wrap-distance-right:0" from="76.5354pt,8.665292pt" to="104.8814pt,8.665292pt" stroked="true" strokeweight=".5pt" strokecolor="#000000">
            <w10:wrap type="topAndBottom"/>
          </v:line>
        </w:pict>
      </w:r>
    </w:p>
    <w:p>
      <w:pPr>
        <w:pStyle w:val="ListParagraph"/>
        <w:numPr>
          <w:ilvl w:val="0"/>
          <w:numId w:val="34"/>
        </w:numPr>
        <w:tabs>
          <w:tab w:pos="586" w:val="left" w:leader="none"/>
        </w:tabs>
        <w:spacing w:line="242" w:lineRule="auto" w:before="89" w:after="0"/>
        <w:ind w:left="330" w:right="120" w:firstLine="0"/>
        <w:jc w:val="both"/>
        <w:rPr>
          <w:sz w:val="16"/>
        </w:rPr>
      </w:pPr>
      <w:r>
        <w:rPr>
          <w:i/>
          <w:w w:val="105"/>
          <w:sz w:val="16"/>
        </w:rPr>
        <w:t>CNN</w:t>
      </w:r>
      <w:r>
        <w:rPr>
          <w:i/>
          <w:spacing w:val="-30"/>
          <w:w w:val="105"/>
          <w:sz w:val="16"/>
        </w:rPr>
        <w:t> </w:t>
      </w:r>
      <w:r>
        <w:rPr>
          <w:i/>
          <w:w w:val="105"/>
          <w:sz w:val="16"/>
        </w:rPr>
        <w:t>en</w:t>
      </w:r>
      <w:r>
        <w:rPr>
          <w:i/>
          <w:spacing w:val="-30"/>
          <w:w w:val="105"/>
          <w:sz w:val="16"/>
        </w:rPr>
        <w:t> </w:t>
      </w:r>
      <w:r>
        <w:rPr>
          <w:i/>
          <w:spacing w:val="-3"/>
          <w:w w:val="105"/>
          <w:sz w:val="16"/>
        </w:rPr>
        <w:t>español</w:t>
      </w:r>
      <w:r>
        <w:rPr>
          <w:spacing w:val="-3"/>
          <w:w w:val="105"/>
          <w:sz w:val="16"/>
        </w:rPr>
        <w:t>,</w:t>
      </w:r>
      <w:r>
        <w:rPr>
          <w:spacing w:val="-30"/>
          <w:w w:val="105"/>
          <w:sz w:val="16"/>
        </w:rPr>
        <w:t> </w:t>
      </w:r>
      <w:r>
        <w:rPr>
          <w:w w:val="105"/>
          <w:sz w:val="16"/>
        </w:rPr>
        <w:t>18</w:t>
      </w:r>
      <w:r>
        <w:rPr>
          <w:spacing w:val="-30"/>
          <w:w w:val="105"/>
          <w:sz w:val="16"/>
        </w:rPr>
        <w:t> </w:t>
      </w:r>
      <w:r>
        <w:rPr>
          <w:w w:val="105"/>
          <w:sz w:val="16"/>
        </w:rPr>
        <w:t>de</w:t>
      </w:r>
      <w:r>
        <w:rPr>
          <w:spacing w:val="-30"/>
          <w:w w:val="105"/>
          <w:sz w:val="16"/>
        </w:rPr>
        <w:t> </w:t>
      </w:r>
      <w:r>
        <w:rPr>
          <w:spacing w:val="-3"/>
          <w:w w:val="105"/>
          <w:sz w:val="16"/>
        </w:rPr>
        <w:t>noviembre</w:t>
      </w:r>
      <w:r>
        <w:rPr>
          <w:spacing w:val="-30"/>
          <w:w w:val="105"/>
          <w:sz w:val="16"/>
        </w:rPr>
        <w:t> </w:t>
      </w:r>
      <w:r>
        <w:rPr>
          <w:w w:val="105"/>
          <w:sz w:val="16"/>
        </w:rPr>
        <w:t>de</w:t>
      </w:r>
      <w:r>
        <w:rPr>
          <w:spacing w:val="-30"/>
          <w:w w:val="105"/>
          <w:sz w:val="16"/>
        </w:rPr>
        <w:t> </w:t>
      </w:r>
      <w:r>
        <w:rPr>
          <w:spacing w:val="-3"/>
          <w:w w:val="105"/>
          <w:sz w:val="16"/>
        </w:rPr>
        <w:t>2013,</w:t>
      </w:r>
      <w:r>
        <w:rPr>
          <w:spacing w:val="-30"/>
          <w:w w:val="105"/>
          <w:sz w:val="16"/>
        </w:rPr>
        <w:t> </w:t>
      </w:r>
      <w:r>
        <w:rPr>
          <w:w w:val="105"/>
          <w:sz w:val="16"/>
        </w:rPr>
        <w:t>en</w:t>
      </w:r>
      <w:r>
        <w:rPr>
          <w:spacing w:val="-30"/>
          <w:w w:val="105"/>
          <w:sz w:val="16"/>
        </w:rPr>
        <w:t> </w:t>
      </w:r>
      <w:r>
        <w:rPr>
          <w:spacing w:val="-3"/>
          <w:w w:val="105"/>
          <w:sz w:val="16"/>
        </w:rPr>
        <w:t>&lt;</w:t>
      </w:r>
      <w:hyperlink r:id="rId524">
        <w:r>
          <w:rPr>
            <w:spacing w:val="-3"/>
            <w:w w:val="105"/>
            <w:sz w:val="16"/>
          </w:rPr>
          <w:t>http://cnnespanol.cnn.com/2013/11/18/</w:t>
        </w:r>
      </w:hyperlink>
      <w:r>
        <w:rPr>
          <w:spacing w:val="-3"/>
          <w:w w:val="105"/>
          <w:sz w:val="16"/>
        </w:rPr>
        <w:t> la-era-de-la-doctrina-monroe-ha-terminado-asegura-john-kerry/&gt;.</w:t>
      </w:r>
    </w:p>
    <w:p>
      <w:pPr>
        <w:pStyle w:val="ListParagraph"/>
        <w:numPr>
          <w:ilvl w:val="0"/>
          <w:numId w:val="34"/>
        </w:numPr>
        <w:tabs>
          <w:tab w:pos="586" w:val="left" w:leader="none"/>
        </w:tabs>
        <w:spacing w:line="240" w:lineRule="auto" w:before="57" w:after="0"/>
        <w:ind w:left="585" w:right="0" w:hanging="255"/>
        <w:jc w:val="both"/>
        <w:rPr>
          <w:sz w:val="16"/>
        </w:rPr>
      </w:pPr>
      <w:r>
        <w:rPr>
          <w:w w:val="110"/>
          <w:sz w:val="16"/>
        </w:rPr>
        <w:t>discurso</w:t>
      </w:r>
      <w:r>
        <w:rPr>
          <w:spacing w:val="-10"/>
          <w:w w:val="110"/>
          <w:sz w:val="16"/>
        </w:rPr>
        <w:t> </w:t>
      </w:r>
      <w:r>
        <w:rPr>
          <w:w w:val="110"/>
          <w:sz w:val="16"/>
        </w:rPr>
        <w:t>completo</w:t>
      </w:r>
      <w:r>
        <w:rPr>
          <w:spacing w:val="-10"/>
          <w:w w:val="110"/>
          <w:sz w:val="16"/>
        </w:rPr>
        <w:t> </w:t>
      </w:r>
      <w:r>
        <w:rPr>
          <w:w w:val="110"/>
          <w:sz w:val="16"/>
        </w:rPr>
        <w:t>transcripto</w:t>
      </w:r>
      <w:r>
        <w:rPr>
          <w:spacing w:val="-10"/>
          <w:w w:val="110"/>
          <w:sz w:val="16"/>
        </w:rPr>
        <w:t> </w:t>
      </w:r>
      <w:r>
        <w:rPr>
          <w:w w:val="110"/>
          <w:sz w:val="16"/>
        </w:rPr>
        <w:t>en</w:t>
      </w:r>
      <w:r>
        <w:rPr>
          <w:spacing w:val="-10"/>
          <w:w w:val="110"/>
          <w:sz w:val="16"/>
        </w:rPr>
        <w:t> </w:t>
      </w:r>
      <w:r>
        <w:rPr>
          <w:w w:val="110"/>
          <w:sz w:val="16"/>
        </w:rPr>
        <w:t>&lt;</w:t>
      </w:r>
      <w:hyperlink r:id="rId525">
        <w:r>
          <w:rPr>
            <w:w w:val="110"/>
            <w:sz w:val="16"/>
          </w:rPr>
          <w:t>www.cubadebate.cu</w:t>
        </w:r>
      </w:hyperlink>
      <w:r>
        <w:rPr>
          <w:w w:val="110"/>
          <w:sz w:val="16"/>
        </w:rPr>
        <w:t>&gt;,</w:t>
      </w:r>
      <w:r>
        <w:rPr>
          <w:spacing w:val="-10"/>
          <w:w w:val="110"/>
          <w:sz w:val="16"/>
        </w:rPr>
        <w:t> </w:t>
      </w:r>
      <w:r>
        <w:rPr>
          <w:w w:val="110"/>
          <w:sz w:val="16"/>
        </w:rPr>
        <w:t>28</w:t>
      </w:r>
      <w:r>
        <w:rPr>
          <w:spacing w:val="-10"/>
          <w:w w:val="110"/>
          <w:sz w:val="16"/>
        </w:rPr>
        <w:t> </w:t>
      </w:r>
      <w:r>
        <w:rPr>
          <w:w w:val="110"/>
          <w:sz w:val="16"/>
        </w:rPr>
        <w:t>de</w:t>
      </w:r>
      <w:r>
        <w:rPr>
          <w:spacing w:val="-10"/>
          <w:w w:val="110"/>
          <w:sz w:val="16"/>
        </w:rPr>
        <w:t> </w:t>
      </w:r>
      <w:r>
        <w:rPr>
          <w:w w:val="110"/>
          <w:sz w:val="16"/>
        </w:rPr>
        <w:t>enero</w:t>
      </w:r>
      <w:r>
        <w:rPr>
          <w:spacing w:val="-10"/>
          <w:w w:val="110"/>
          <w:sz w:val="16"/>
        </w:rPr>
        <w:t> </w:t>
      </w:r>
      <w:r>
        <w:rPr>
          <w:w w:val="110"/>
          <w:sz w:val="16"/>
        </w:rPr>
        <w:t>de</w:t>
      </w:r>
      <w:r>
        <w:rPr>
          <w:spacing w:val="-10"/>
          <w:w w:val="110"/>
          <w:sz w:val="16"/>
        </w:rPr>
        <w:t> </w:t>
      </w:r>
      <w:r>
        <w:rPr>
          <w:w w:val="110"/>
          <w:sz w:val="16"/>
        </w:rPr>
        <w:t>2015.</w:t>
      </w:r>
    </w:p>
    <w:p>
      <w:pPr>
        <w:pStyle w:val="ListParagraph"/>
        <w:numPr>
          <w:ilvl w:val="0"/>
          <w:numId w:val="34"/>
        </w:numPr>
        <w:tabs>
          <w:tab w:pos="586" w:val="left" w:leader="none"/>
        </w:tabs>
        <w:spacing w:line="242" w:lineRule="auto" w:before="59" w:after="0"/>
        <w:ind w:left="330" w:right="116" w:firstLine="0"/>
        <w:jc w:val="both"/>
        <w:rPr>
          <w:sz w:val="16"/>
        </w:rPr>
      </w:pPr>
      <w:r>
        <w:rPr>
          <w:w w:val="110"/>
          <w:sz w:val="16"/>
        </w:rPr>
        <w:t>Hubo tres referencias a Cuba, una en la “declaración de belén” y otras dos en declaraciones específicas. Expresaron su “satisfacción” por la decisión de los pre- sidentes de Cuba y Estados unidos, su rechazo frente a “medidas coercitivas uni- laterales” y reafirmaron el llamado a que el gobierno de Estados unidos “ponga     fin al bloqueo económico contra Cuba”. Más específicamente, instaron a obama        a que “utilice sus amplias facultades ejecutivas para modificar sustancialmente la </w:t>
      </w:r>
      <w:r>
        <w:rPr>
          <w:w w:val="110"/>
          <w:sz w:val="16"/>
        </w:rPr>
        <w:t>aplicación</w:t>
      </w:r>
      <w:r>
        <w:rPr>
          <w:spacing w:val="6"/>
          <w:sz w:val="16"/>
        </w:rPr>
        <w:t> </w:t>
      </w:r>
      <w:r>
        <w:rPr>
          <w:w w:val="105"/>
          <w:sz w:val="16"/>
        </w:rPr>
        <w:t>del</w:t>
      </w:r>
      <w:r>
        <w:rPr>
          <w:spacing w:val="6"/>
          <w:sz w:val="16"/>
        </w:rPr>
        <w:t> </w:t>
      </w:r>
      <w:r>
        <w:rPr>
          <w:w w:val="109"/>
          <w:sz w:val="16"/>
        </w:rPr>
        <w:t>bloqueo”.</w:t>
      </w:r>
      <w:r>
        <w:rPr>
          <w:spacing w:val="6"/>
          <w:sz w:val="16"/>
        </w:rPr>
        <w:t> </w:t>
      </w:r>
      <w:r>
        <w:rPr>
          <w:w w:val="238"/>
          <w:sz w:val="16"/>
        </w:rPr>
        <w:t>l</w:t>
      </w:r>
      <w:r>
        <w:rPr>
          <w:w w:val="105"/>
          <w:sz w:val="16"/>
        </w:rPr>
        <w:t>os</w:t>
      </w:r>
      <w:r>
        <w:rPr>
          <w:spacing w:val="6"/>
          <w:sz w:val="16"/>
        </w:rPr>
        <w:t> </w:t>
      </w:r>
      <w:r>
        <w:rPr>
          <w:w w:val="108"/>
          <w:sz w:val="16"/>
        </w:rPr>
        <w:t>mandatorios</w:t>
      </w:r>
      <w:r>
        <w:rPr>
          <w:spacing w:val="6"/>
          <w:sz w:val="16"/>
        </w:rPr>
        <w:t> </w:t>
      </w:r>
      <w:r>
        <w:rPr>
          <w:w w:val="107"/>
          <w:sz w:val="16"/>
        </w:rPr>
        <w:t>emitieron</w:t>
      </w:r>
      <w:r>
        <w:rPr>
          <w:spacing w:val="6"/>
          <w:sz w:val="16"/>
        </w:rPr>
        <w:t> </w:t>
      </w:r>
      <w:r>
        <w:rPr>
          <w:w w:val="109"/>
          <w:sz w:val="16"/>
        </w:rPr>
        <w:t>además,</w:t>
      </w:r>
      <w:r>
        <w:rPr>
          <w:spacing w:val="6"/>
          <w:sz w:val="16"/>
        </w:rPr>
        <w:t> </w:t>
      </w:r>
      <w:r>
        <w:rPr>
          <w:w w:val="104"/>
          <w:sz w:val="16"/>
        </w:rPr>
        <w:t>entre</w:t>
      </w:r>
      <w:r>
        <w:rPr>
          <w:spacing w:val="6"/>
          <w:sz w:val="16"/>
        </w:rPr>
        <w:t> </w:t>
      </w:r>
      <w:r>
        <w:rPr>
          <w:w w:val="100"/>
          <w:sz w:val="16"/>
        </w:rPr>
        <w:t>27</w:t>
      </w:r>
      <w:r>
        <w:rPr>
          <w:spacing w:val="6"/>
          <w:sz w:val="16"/>
        </w:rPr>
        <w:t> </w:t>
      </w:r>
      <w:r>
        <w:rPr>
          <w:w w:val="107"/>
          <w:sz w:val="16"/>
        </w:rPr>
        <w:t>declaraciones </w:t>
      </w:r>
      <w:r>
        <w:rPr>
          <w:w w:val="110"/>
          <w:sz w:val="16"/>
        </w:rPr>
        <w:t>sobre asuntos específicos, una titulada “declaración Especial de la </w:t>
      </w:r>
      <w:r>
        <w:rPr>
          <w:w w:val="125"/>
          <w:sz w:val="16"/>
        </w:rPr>
        <w:t>CElaC </w:t>
      </w:r>
      <w:r>
        <w:rPr>
          <w:w w:val="110"/>
          <w:sz w:val="16"/>
        </w:rPr>
        <w:t>sobre la necesidad de poner fin al bloqueo económico, comercial y financiero de los Estados unidos  a</w:t>
      </w:r>
      <w:r>
        <w:rPr>
          <w:spacing w:val="10"/>
          <w:w w:val="110"/>
          <w:sz w:val="16"/>
        </w:rPr>
        <w:t> </w:t>
      </w:r>
      <w:r>
        <w:rPr>
          <w:w w:val="110"/>
          <w:sz w:val="16"/>
        </w:rPr>
        <w:t>Cuba”.</w:t>
      </w:r>
    </w:p>
    <w:p>
      <w:pPr>
        <w:spacing w:after="0" w:line="242" w:lineRule="auto"/>
        <w:jc w:val="both"/>
        <w:rPr>
          <w:sz w:val="16"/>
        </w:rPr>
        <w:sectPr>
          <w:pgSz w:w="8790" w:h="12760"/>
          <w:pgMar w:header="695" w:footer="725" w:top="880" w:bottom="920" w:left="1200" w:right="900"/>
        </w:sectPr>
      </w:pPr>
    </w:p>
    <w:p>
      <w:pPr>
        <w:pStyle w:val="BodyText"/>
        <w:spacing w:before="9"/>
        <w:rPr>
          <w:sz w:val="28"/>
        </w:rPr>
      </w:pPr>
    </w:p>
    <w:p>
      <w:pPr>
        <w:pStyle w:val="BodyText"/>
        <w:spacing w:line="252" w:lineRule="auto" w:before="73"/>
        <w:ind w:left="120" w:right="321"/>
      </w:pPr>
      <w:r>
        <w:rPr>
          <w:w w:val="110"/>
        </w:rPr>
        <w:t>nes Cuba-Estados unidos acaparó la atención del cónclave, situación que también se repitió en la Cumbre de las américas de   Panamá.</w:t>
      </w:r>
    </w:p>
    <w:p>
      <w:pPr>
        <w:pStyle w:val="BodyText"/>
        <w:spacing w:line="252" w:lineRule="auto"/>
        <w:ind w:left="120" w:right="327" w:firstLine="396"/>
        <w:jc w:val="both"/>
      </w:pPr>
      <w:r>
        <w:rPr>
          <w:w w:val="122"/>
        </w:rPr>
        <w:t>El</w:t>
      </w:r>
      <w:r>
        <w:rPr/>
        <w:t> </w:t>
      </w:r>
      <w:r>
        <w:rPr>
          <w:spacing w:val="-20"/>
        </w:rPr>
        <w:t> </w:t>
      </w:r>
      <w:r>
        <w:rPr>
          <w:w w:val="111"/>
        </w:rPr>
        <w:t>balance</w:t>
      </w:r>
      <w:r>
        <w:rPr/>
        <w:t> </w:t>
      </w:r>
      <w:r>
        <w:rPr>
          <w:spacing w:val="-20"/>
        </w:rPr>
        <w:t> </w:t>
      </w:r>
      <w:r>
        <w:rPr>
          <w:w w:val="107"/>
        </w:rPr>
        <w:t>de</w:t>
      </w:r>
      <w:r>
        <w:rPr/>
        <w:t> </w:t>
      </w:r>
      <w:r>
        <w:rPr>
          <w:spacing w:val="-20"/>
        </w:rPr>
        <w:t> </w:t>
      </w:r>
      <w:r>
        <w:rPr>
          <w:w w:val="109"/>
        </w:rPr>
        <w:t>las</w:t>
      </w:r>
      <w:r>
        <w:rPr/>
        <w:t> </w:t>
      </w:r>
      <w:r>
        <w:rPr>
          <w:spacing w:val="-20"/>
        </w:rPr>
        <w:t> </w:t>
      </w:r>
      <w:r>
        <w:rPr>
          <w:w w:val="109"/>
        </w:rPr>
        <w:t>relaciones</w:t>
      </w:r>
      <w:r>
        <w:rPr/>
        <w:t> </w:t>
      </w:r>
      <w:r>
        <w:rPr>
          <w:spacing w:val="-20"/>
        </w:rPr>
        <w:t> </w:t>
      </w:r>
      <w:r>
        <w:rPr>
          <w:w w:val="107"/>
        </w:rPr>
        <w:t>de</w:t>
      </w:r>
      <w:r>
        <w:rPr/>
        <w:t> </w:t>
      </w:r>
      <w:r>
        <w:rPr>
          <w:spacing w:val="-20"/>
        </w:rPr>
        <w:t> </w:t>
      </w:r>
      <w:r>
        <w:rPr>
          <w:w w:val="111"/>
        </w:rPr>
        <w:t>Estados</w:t>
      </w:r>
      <w:r>
        <w:rPr/>
        <w:t> </w:t>
      </w:r>
      <w:r>
        <w:rPr>
          <w:spacing w:val="-20"/>
        </w:rPr>
        <w:t> </w:t>
      </w:r>
      <w:r>
        <w:rPr>
          <w:w w:val="140"/>
        </w:rPr>
        <w:t>u</w:t>
      </w:r>
      <w:r>
        <w:rPr>
          <w:w w:val="110"/>
        </w:rPr>
        <w:t>nidos</w:t>
      </w:r>
      <w:r>
        <w:rPr/>
        <w:t> </w:t>
      </w:r>
      <w:r>
        <w:rPr>
          <w:spacing w:val="-20"/>
        </w:rPr>
        <w:t> </w:t>
      </w:r>
      <w:r>
        <w:rPr>
          <w:w w:val="112"/>
        </w:rPr>
        <w:t>con</w:t>
      </w:r>
      <w:r>
        <w:rPr/>
        <w:t> </w:t>
      </w:r>
      <w:r>
        <w:rPr>
          <w:spacing w:val="-20"/>
        </w:rPr>
        <w:t> </w:t>
      </w:r>
      <w:r>
        <w:rPr>
          <w:w w:val="139"/>
        </w:rPr>
        <w:t>a</w:t>
      </w:r>
      <w:r>
        <w:rPr>
          <w:w w:val="111"/>
        </w:rPr>
        <w:t>mérica</w:t>
      </w:r>
      <w:r>
        <w:rPr/>
        <w:t> </w:t>
      </w:r>
      <w:r>
        <w:rPr>
          <w:spacing w:val="-20"/>
        </w:rPr>
        <w:t> </w:t>
      </w:r>
      <w:r>
        <w:rPr>
          <w:w w:val="243"/>
        </w:rPr>
        <w:t>l</w:t>
      </w:r>
      <w:r>
        <w:rPr>
          <w:spacing w:val="-1"/>
          <w:w w:val="112"/>
        </w:rPr>
        <w:t>a</w:t>
      </w:r>
      <w:r>
        <w:rPr>
          <w:w w:val="102"/>
        </w:rPr>
        <w:t>- </w:t>
      </w:r>
      <w:r>
        <w:rPr>
          <w:w w:val="110"/>
        </w:rPr>
        <w:t>tina y el Caribe, durante el primer mandato de obama, había dado lugar a muchas frustraciones, en función de las expectativas que ha- bía generado en algunos gobiernos regionales en la Cumbre de las américas de 2009, cuando prometió una nueva “alianza entre iguales” con sus vecinos del</w:t>
      </w:r>
      <w:r>
        <w:rPr>
          <w:spacing w:val="19"/>
          <w:w w:val="110"/>
        </w:rPr>
        <w:t> </w:t>
      </w:r>
      <w:r>
        <w:rPr>
          <w:w w:val="110"/>
        </w:rPr>
        <w:t>sur</w:t>
      </w:r>
      <w:r>
        <w:rPr>
          <w:w w:val="110"/>
          <w:position w:val="6"/>
          <w:sz w:val="11"/>
        </w:rPr>
        <w:t>35</w:t>
      </w:r>
      <w:r>
        <w:rPr>
          <w:w w:val="110"/>
        </w:rPr>
        <w:t>.</w:t>
      </w:r>
    </w:p>
    <w:p>
      <w:pPr>
        <w:pStyle w:val="BodyText"/>
        <w:spacing w:line="252" w:lineRule="auto"/>
        <w:ind w:left="120" w:right="328" w:firstLine="396"/>
        <w:jc w:val="both"/>
      </w:pPr>
      <w:r>
        <w:rPr>
          <w:w w:val="115"/>
        </w:rPr>
        <w:t>En</w:t>
      </w:r>
      <w:r>
        <w:rPr>
          <w:spacing w:val="-21"/>
          <w:w w:val="115"/>
        </w:rPr>
        <w:t> </w:t>
      </w:r>
      <w:r>
        <w:rPr>
          <w:w w:val="115"/>
        </w:rPr>
        <w:t>sus</w:t>
      </w:r>
      <w:r>
        <w:rPr>
          <w:spacing w:val="-21"/>
          <w:w w:val="115"/>
        </w:rPr>
        <w:t> </w:t>
      </w:r>
      <w:r>
        <w:rPr>
          <w:w w:val="115"/>
        </w:rPr>
        <w:t>primeros</w:t>
      </w:r>
      <w:r>
        <w:rPr>
          <w:spacing w:val="-21"/>
          <w:w w:val="115"/>
        </w:rPr>
        <w:t> </w:t>
      </w:r>
      <w:r>
        <w:rPr>
          <w:w w:val="115"/>
        </w:rPr>
        <w:t>cuatro</w:t>
      </w:r>
      <w:r>
        <w:rPr>
          <w:spacing w:val="-21"/>
          <w:w w:val="115"/>
        </w:rPr>
        <w:t> </w:t>
      </w:r>
      <w:r>
        <w:rPr>
          <w:w w:val="115"/>
        </w:rPr>
        <w:t>años</w:t>
      </w:r>
      <w:r>
        <w:rPr>
          <w:spacing w:val="-21"/>
          <w:w w:val="115"/>
        </w:rPr>
        <w:t> </w:t>
      </w:r>
      <w:r>
        <w:rPr>
          <w:w w:val="115"/>
        </w:rPr>
        <w:t>al</w:t>
      </w:r>
      <w:r>
        <w:rPr>
          <w:spacing w:val="-21"/>
          <w:w w:val="115"/>
        </w:rPr>
        <w:t> </w:t>
      </w:r>
      <w:r>
        <w:rPr>
          <w:w w:val="115"/>
        </w:rPr>
        <w:t>frente</w:t>
      </w:r>
      <w:r>
        <w:rPr>
          <w:spacing w:val="-21"/>
          <w:w w:val="115"/>
        </w:rPr>
        <w:t> </w:t>
      </w:r>
      <w:r>
        <w:rPr>
          <w:w w:val="115"/>
        </w:rPr>
        <w:t>de</w:t>
      </w:r>
      <w:r>
        <w:rPr>
          <w:spacing w:val="-21"/>
          <w:w w:val="115"/>
        </w:rPr>
        <w:t> </w:t>
      </w:r>
      <w:r>
        <w:rPr>
          <w:w w:val="115"/>
        </w:rPr>
        <w:t>la</w:t>
      </w:r>
      <w:r>
        <w:rPr>
          <w:spacing w:val="-21"/>
          <w:w w:val="115"/>
        </w:rPr>
        <w:t> </w:t>
      </w:r>
      <w:r>
        <w:rPr>
          <w:w w:val="115"/>
        </w:rPr>
        <w:t>Casa</w:t>
      </w:r>
      <w:r>
        <w:rPr>
          <w:spacing w:val="-21"/>
          <w:w w:val="115"/>
        </w:rPr>
        <w:t> </w:t>
      </w:r>
      <w:r>
        <w:rPr>
          <w:w w:val="115"/>
        </w:rPr>
        <w:t>blanca,</w:t>
      </w:r>
      <w:r>
        <w:rPr>
          <w:spacing w:val="-21"/>
          <w:w w:val="115"/>
        </w:rPr>
        <w:t> </w:t>
      </w:r>
      <w:r>
        <w:rPr>
          <w:w w:val="115"/>
        </w:rPr>
        <w:t>se</w:t>
      </w:r>
      <w:r>
        <w:rPr>
          <w:spacing w:val="-21"/>
          <w:w w:val="115"/>
        </w:rPr>
        <w:t> </w:t>
      </w:r>
      <w:r>
        <w:rPr>
          <w:w w:val="115"/>
        </w:rPr>
        <w:t>produ- jo</w:t>
      </w:r>
      <w:r>
        <w:rPr>
          <w:spacing w:val="-31"/>
          <w:w w:val="115"/>
        </w:rPr>
        <w:t> </w:t>
      </w:r>
      <w:r>
        <w:rPr>
          <w:w w:val="115"/>
        </w:rPr>
        <w:t>el</w:t>
      </w:r>
      <w:r>
        <w:rPr>
          <w:spacing w:val="-31"/>
          <w:w w:val="115"/>
        </w:rPr>
        <w:t> </w:t>
      </w:r>
      <w:r>
        <w:rPr>
          <w:w w:val="115"/>
        </w:rPr>
        <w:t>golpe</w:t>
      </w:r>
      <w:r>
        <w:rPr>
          <w:spacing w:val="-31"/>
          <w:w w:val="115"/>
        </w:rPr>
        <w:t> </w:t>
      </w:r>
      <w:r>
        <w:rPr>
          <w:w w:val="115"/>
        </w:rPr>
        <w:t>de</w:t>
      </w:r>
      <w:r>
        <w:rPr>
          <w:spacing w:val="-31"/>
          <w:w w:val="115"/>
        </w:rPr>
        <w:t> </w:t>
      </w:r>
      <w:r>
        <w:rPr>
          <w:w w:val="115"/>
        </w:rPr>
        <w:t>Estado</w:t>
      </w:r>
      <w:r>
        <w:rPr>
          <w:spacing w:val="-31"/>
          <w:w w:val="115"/>
        </w:rPr>
        <w:t> </w:t>
      </w:r>
      <w:r>
        <w:rPr>
          <w:w w:val="115"/>
        </w:rPr>
        <w:t>en</w:t>
      </w:r>
      <w:r>
        <w:rPr>
          <w:spacing w:val="-31"/>
          <w:w w:val="115"/>
        </w:rPr>
        <w:t> </w:t>
      </w:r>
      <w:r>
        <w:rPr>
          <w:w w:val="115"/>
        </w:rPr>
        <w:t>Honduras</w:t>
      </w:r>
      <w:r>
        <w:rPr>
          <w:spacing w:val="-31"/>
          <w:w w:val="115"/>
        </w:rPr>
        <w:t> </w:t>
      </w:r>
      <w:r>
        <w:rPr>
          <w:w w:val="115"/>
        </w:rPr>
        <w:t>(contra</w:t>
      </w:r>
      <w:r>
        <w:rPr>
          <w:spacing w:val="-31"/>
          <w:w w:val="115"/>
        </w:rPr>
        <w:t> </w:t>
      </w:r>
      <w:r>
        <w:rPr>
          <w:w w:val="115"/>
        </w:rPr>
        <w:t>un</w:t>
      </w:r>
      <w:r>
        <w:rPr>
          <w:spacing w:val="-31"/>
          <w:w w:val="115"/>
        </w:rPr>
        <w:t> </w:t>
      </w:r>
      <w:r>
        <w:rPr>
          <w:w w:val="115"/>
        </w:rPr>
        <w:t>presidente</w:t>
      </w:r>
      <w:r>
        <w:rPr>
          <w:spacing w:val="-31"/>
          <w:w w:val="115"/>
        </w:rPr>
        <w:t> </w:t>
      </w:r>
      <w:r>
        <w:rPr>
          <w:w w:val="115"/>
        </w:rPr>
        <w:t>que</w:t>
      </w:r>
      <w:r>
        <w:rPr>
          <w:spacing w:val="-31"/>
          <w:w w:val="115"/>
        </w:rPr>
        <w:t> </w:t>
      </w:r>
      <w:r>
        <w:rPr>
          <w:w w:val="115"/>
        </w:rPr>
        <w:t>integraba el alba), desestabilizaciones en </w:t>
      </w:r>
      <w:r>
        <w:rPr>
          <w:spacing w:val="-3"/>
          <w:w w:val="115"/>
        </w:rPr>
        <w:t>Venezuela </w:t>
      </w:r>
      <w:r>
        <w:rPr>
          <w:w w:val="115"/>
        </w:rPr>
        <w:t>–aunque no lograron de- </w:t>
      </w:r>
      <w:r>
        <w:rPr>
          <w:w w:val="110"/>
        </w:rPr>
        <w:t>rrotar electoralmente a Chávez–, creciente militarización en la región, </w:t>
      </w:r>
      <w:r>
        <w:rPr>
          <w:spacing w:val="-1"/>
          <w:w w:val="112"/>
        </w:rPr>
        <w:t>co</w:t>
      </w:r>
      <w:r>
        <w:rPr>
          <w:w w:val="112"/>
        </w:rPr>
        <w:t>n</w:t>
      </w:r>
      <w:r>
        <w:rPr/>
        <w:t> </w:t>
      </w:r>
      <w:r>
        <w:rPr>
          <w:spacing w:val="-19"/>
        </w:rPr>
        <w:t> </w:t>
      </w:r>
      <w:r>
        <w:rPr>
          <w:spacing w:val="-1"/>
          <w:w w:val="108"/>
        </w:rPr>
        <w:t>nueva</w:t>
      </w:r>
      <w:r>
        <w:rPr>
          <w:w w:val="108"/>
        </w:rPr>
        <w:t>s</w:t>
      </w:r>
      <w:r>
        <w:rPr/>
        <w:t> </w:t>
      </w:r>
      <w:r>
        <w:rPr>
          <w:spacing w:val="-19"/>
        </w:rPr>
        <w:t> </w:t>
      </w:r>
      <w:r>
        <w:rPr>
          <w:spacing w:val="-1"/>
          <w:w w:val="107"/>
        </w:rPr>
        <w:t>base</w:t>
      </w:r>
      <w:r>
        <w:rPr>
          <w:w w:val="107"/>
        </w:rPr>
        <w:t>s</w:t>
      </w:r>
      <w:r>
        <w:rPr/>
        <w:t> </w:t>
      </w:r>
      <w:r>
        <w:rPr>
          <w:spacing w:val="-19"/>
        </w:rPr>
        <w:t> </w:t>
      </w:r>
      <w:r>
        <w:rPr>
          <w:spacing w:val="-1"/>
          <w:w w:val="98"/>
        </w:rPr>
        <w:t>(</w:t>
      </w:r>
      <w:r>
        <w:rPr>
          <w:spacing w:val="-1"/>
          <w:w w:val="243"/>
        </w:rPr>
        <w:t>l</w:t>
      </w:r>
      <w:r>
        <w:rPr>
          <w:spacing w:val="-1"/>
          <w:w w:val="114"/>
        </w:rPr>
        <w:t>uzzani</w:t>
      </w:r>
      <w:r>
        <w:rPr>
          <w:w w:val="114"/>
        </w:rPr>
        <w:t>,</w:t>
      </w:r>
      <w:r>
        <w:rPr/>
        <w:t> </w:t>
      </w:r>
      <w:r>
        <w:rPr>
          <w:spacing w:val="-19"/>
        </w:rPr>
        <w:t> </w:t>
      </w:r>
      <w:r>
        <w:rPr>
          <w:spacing w:val="-1"/>
          <w:w w:val="104"/>
        </w:rPr>
        <w:t>2012)</w:t>
      </w:r>
      <w:r>
        <w:rPr>
          <w:w w:val="104"/>
        </w:rPr>
        <w:t>,</w:t>
      </w:r>
      <w:r>
        <w:rPr/>
        <w:t> </w:t>
      </w:r>
      <w:r>
        <w:rPr>
          <w:spacing w:val="-19"/>
        </w:rPr>
        <w:t> </w:t>
      </w:r>
      <w:r>
        <w:rPr>
          <w:spacing w:val="-1"/>
          <w:w w:val="111"/>
        </w:rPr>
        <w:t>profundizació</w:t>
      </w:r>
      <w:r>
        <w:rPr>
          <w:w w:val="111"/>
        </w:rPr>
        <w:t>n</w:t>
      </w:r>
      <w:r>
        <w:rPr/>
        <w:t> </w:t>
      </w:r>
      <w:r>
        <w:rPr>
          <w:spacing w:val="-19"/>
        </w:rPr>
        <w:t> </w:t>
      </w:r>
      <w:r>
        <w:rPr>
          <w:spacing w:val="-1"/>
          <w:w w:val="107"/>
        </w:rPr>
        <w:t>d</w:t>
      </w:r>
      <w:r>
        <w:rPr>
          <w:w w:val="107"/>
        </w:rPr>
        <w:t>e</w:t>
      </w:r>
      <w:r>
        <w:rPr/>
        <w:t> </w:t>
      </w:r>
      <w:r>
        <w:rPr>
          <w:spacing w:val="-19"/>
        </w:rPr>
        <w:t> </w:t>
      </w:r>
      <w:r>
        <w:rPr>
          <w:spacing w:val="-1"/>
          <w:w w:val="111"/>
        </w:rPr>
        <w:t>l</w:t>
      </w:r>
      <w:r>
        <w:rPr>
          <w:w w:val="111"/>
        </w:rPr>
        <w:t>a</w:t>
      </w:r>
      <w:r>
        <w:rPr/>
        <w:t> </w:t>
      </w:r>
      <w:r>
        <w:rPr>
          <w:spacing w:val="-19"/>
        </w:rPr>
        <w:t> </w:t>
      </w:r>
      <w:r>
        <w:rPr>
          <w:spacing w:val="-1"/>
          <w:w w:val="111"/>
        </w:rPr>
        <w:t>fracasad</w:t>
      </w:r>
      <w:r>
        <w:rPr>
          <w:w w:val="111"/>
        </w:rPr>
        <w:t>a</w:t>
      </w:r>
      <w:r>
        <w:rPr/>
        <w:t> </w:t>
      </w:r>
      <w:r>
        <w:rPr>
          <w:spacing w:val="-19"/>
        </w:rPr>
        <w:t> </w:t>
      </w:r>
      <w:r>
        <w:rPr>
          <w:spacing w:val="-1"/>
          <w:w w:val="112"/>
        </w:rPr>
        <w:t>l</w:t>
      </w:r>
      <w:r>
        <w:rPr>
          <w:spacing w:val="-2"/>
          <w:w w:val="112"/>
        </w:rPr>
        <w:t>u</w:t>
      </w:r>
      <w:r>
        <w:rPr>
          <w:w w:val="102"/>
        </w:rPr>
        <w:t>- </w:t>
      </w:r>
      <w:r>
        <w:rPr>
          <w:w w:val="115"/>
        </w:rPr>
        <w:t>cha</w:t>
      </w:r>
      <w:r>
        <w:rPr>
          <w:spacing w:val="-12"/>
          <w:w w:val="115"/>
        </w:rPr>
        <w:t> </w:t>
      </w:r>
      <w:r>
        <w:rPr>
          <w:w w:val="115"/>
        </w:rPr>
        <w:t>contra</w:t>
      </w:r>
      <w:r>
        <w:rPr>
          <w:spacing w:val="-12"/>
          <w:w w:val="115"/>
        </w:rPr>
        <w:t> </w:t>
      </w:r>
      <w:r>
        <w:rPr>
          <w:w w:val="115"/>
        </w:rPr>
        <w:t>el</w:t>
      </w:r>
      <w:r>
        <w:rPr>
          <w:spacing w:val="-12"/>
          <w:w w:val="115"/>
        </w:rPr>
        <w:t> </w:t>
      </w:r>
      <w:r>
        <w:rPr>
          <w:w w:val="115"/>
        </w:rPr>
        <w:t>narcotráfico,</w:t>
      </w:r>
      <w:r>
        <w:rPr>
          <w:spacing w:val="-12"/>
          <w:w w:val="115"/>
        </w:rPr>
        <w:t> </w:t>
      </w:r>
      <w:r>
        <w:rPr>
          <w:w w:val="115"/>
        </w:rPr>
        <w:t>persistencia</w:t>
      </w:r>
      <w:r>
        <w:rPr>
          <w:spacing w:val="-12"/>
          <w:w w:val="115"/>
        </w:rPr>
        <w:t> </w:t>
      </w:r>
      <w:r>
        <w:rPr>
          <w:w w:val="115"/>
        </w:rPr>
        <w:t>del</w:t>
      </w:r>
      <w:r>
        <w:rPr>
          <w:spacing w:val="-12"/>
          <w:w w:val="115"/>
        </w:rPr>
        <w:t> </w:t>
      </w:r>
      <w:r>
        <w:rPr>
          <w:w w:val="115"/>
        </w:rPr>
        <w:t>bloqueo</w:t>
      </w:r>
      <w:r>
        <w:rPr>
          <w:spacing w:val="-12"/>
          <w:w w:val="115"/>
        </w:rPr>
        <w:t> </w:t>
      </w:r>
      <w:r>
        <w:rPr>
          <w:w w:val="115"/>
        </w:rPr>
        <w:t>contra</w:t>
      </w:r>
      <w:r>
        <w:rPr>
          <w:spacing w:val="-12"/>
          <w:w w:val="115"/>
        </w:rPr>
        <w:t> </w:t>
      </w:r>
      <w:r>
        <w:rPr>
          <w:w w:val="115"/>
        </w:rPr>
        <w:t>Cuba</w:t>
      </w:r>
      <w:r>
        <w:rPr>
          <w:spacing w:val="-12"/>
          <w:w w:val="115"/>
        </w:rPr>
        <w:t> </w:t>
      </w:r>
      <w:r>
        <w:rPr>
          <w:w w:val="115"/>
        </w:rPr>
        <w:t>y</w:t>
      </w:r>
      <w:r>
        <w:rPr>
          <w:spacing w:val="-12"/>
          <w:w w:val="115"/>
        </w:rPr>
        <w:t> </w:t>
      </w:r>
      <w:r>
        <w:rPr>
          <w:w w:val="115"/>
        </w:rPr>
        <w:t>de la</w:t>
      </w:r>
      <w:r>
        <w:rPr>
          <w:spacing w:val="-24"/>
          <w:w w:val="115"/>
        </w:rPr>
        <w:t> </w:t>
      </w:r>
      <w:r>
        <w:rPr>
          <w:w w:val="115"/>
        </w:rPr>
        <w:t>cárcel</w:t>
      </w:r>
      <w:r>
        <w:rPr>
          <w:spacing w:val="-24"/>
          <w:w w:val="115"/>
        </w:rPr>
        <w:t> </w:t>
      </w:r>
      <w:r>
        <w:rPr>
          <w:w w:val="115"/>
        </w:rPr>
        <w:t>ilegal</w:t>
      </w:r>
      <w:r>
        <w:rPr>
          <w:spacing w:val="-24"/>
          <w:w w:val="115"/>
        </w:rPr>
        <w:t> </w:t>
      </w:r>
      <w:r>
        <w:rPr>
          <w:w w:val="115"/>
        </w:rPr>
        <w:t>en</w:t>
      </w:r>
      <w:r>
        <w:rPr>
          <w:spacing w:val="-24"/>
          <w:w w:val="115"/>
        </w:rPr>
        <w:t> </w:t>
      </w:r>
      <w:r>
        <w:rPr>
          <w:w w:val="115"/>
        </w:rPr>
        <w:t>la</w:t>
      </w:r>
      <w:r>
        <w:rPr>
          <w:spacing w:val="-24"/>
          <w:w w:val="115"/>
        </w:rPr>
        <w:t> </w:t>
      </w:r>
      <w:r>
        <w:rPr>
          <w:w w:val="115"/>
        </w:rPr>
        <w:t>base</w:t>
      </w:r>
      <w:r>
        <w:rPr>
          <w:spacing w:val="-24"/>
          <w:w w:val="115"/>
        </w:rPr>
        <w:t> </w:t>
      </w:r>
      <w:r>
        <w:rPr>
          <w:w w:val="115"/>
        </w:rPr>
        <w:t>de</w:t>
      </w:r>
      <w:r>
        <w:rPr>
          <w:spacing w:val="-24"/>
          <w:w w:val="115"/>
        </w:rPr>
        <w:t> </w:t>
      </w:r>
      <w:r>
        <w:rPr>
          <w:w w:val="115"/>
        </w:rPr>
        <w:t>Guantánamo,</w:t>
      </w:r>
      <w:r>
        <w:rPr>
          <w:spacing w:val="-24"/>
          <w:w w:val="115"/>
        </w:rPr>
        <w:t> </w:t>
      </w:r>
      <w:r>
        <w:rPr>
          <w:w w:val="115"/>
        </w:rPr>
        <w:t>continuidad</w:t>
      </w:r>
      <w:r>
        <w:rPr>
          <w:spacing w:val="-24"/>
          <w:w w:val="115"/>
        </w:rPr>
        <w:t> </w:t>
      </w:r>
      <w:r>
        <w:rPr>
          <w:w w:val="115"/>
        </w:rPr>
        <w:t>de</w:t>
      </w:r>
      <w:r>
        <w:rPr>
          <w:spacing w:val="-24"/>
          <w:w w:val="115"/>
        </w:rPr>
        <w:t> </w:t>
      </w:r>
      <w:r>
        <w:rPr>
          <w:w w:val="115"/>
        </w:rPr>
        <w:t>los</w:t>
      </w:r>
      <w:r>
        <w:rPr>
          <w:spacing w:val="-24"/>
          <w:w w:val="115"/>
        </w:rPr>
        <w:t> </w:t>
      </w:r>
      <w:r>
        <w:rPr>
          <w:w w:val="115"/>
        </w:rPr>
        <w:t>mecanis- mos</w:t>
      </w:r>
      <w:r>
        <w:rPr>
          <w:spacing w:val="-24"/>
          <w:w w:val="115"/>
        </w:rPr>
        <w:t> </w:t>
      </w:r>
      <w:r>
        <w:rPr>
          <w:w w:val="115"/>
        </w:rPr>
        <w:t>proteccionistas</w:t>
      </w:r>
      <w:r>
        <w:rPr>
          <w:spacing w:val="-24"/>
          <w:w w:val="115"/>
        </w:rPr>
        <w:t> </w:t>
      </w:r>
      <w:r>
        <w:rPr>
          <w:w w:val="115"/>
        </w:rPr>
        <w:t>no</w:t>
      </w:r>
      <w:r>
        <w:rPr>
          <w:spacing w:val="-24"/>
          <w:w w:val="115"/>
        </w:rPr>
        <w:t> </w:t>
      </w:r>
      <w:r>
        <w:rPr>
          <w:w w:val="115"/>
        </w:rPr>
        <w:t>arancelarios</w:t>
      </w:r>
      <w:r>
        <w:rPr>
          <w:spacing w:val="-24"/>
          <w:w w:val="115"/>
        </w:rPr>
        <w:t> </w:t>
      </w:r>
      <w:r>
        <w:rPr>
          <w:w w:val="115"/>
        </w:rPr>
        <w:t>que</w:t>
      </w:r>
      <w:r>
        <w:rPr>
          <w:spacing w:val="-24"/>
          <w:w w:val="115"/>
        </w:rPr>
        <w:t> </w:t>
      </w:r>
      <w:r>
        <w:rPr>
          <w:w w:val="115"/>
        </w:rPr>
        <w:t>afectan</w:t>
      </w:r>
      <w:r>
        <w:rPr>
          <w:spacing w:val="-24"/>
          <w:w w:val="115"/>
        </w:rPr>
        <w:t> </w:t>
      </w:r>
      <w:r>
        <w:rPr>
          <w:w w:val="115"/>
        </w:rPr>
        <w:t>las</w:t>
      </w:r>
      <w:r>
        <w:rPr>
          <w:spacing w:val="-24"/>
          <w:w w:val="115"/>
        </w:rPr>
        <w:t> </w:t>
      </w:r>
      <w:r>
        <w:rPr>
          <w:w w:val="115"/>
        </w:rPr>
        <w:t>exportaciones</w:t>
      </w:r>
      <w:r>
        <w:rPr>
          <w:spacing w:val="-24"/>
          <w:w w:val="115"/>
        </w:rPr>
        <w:t> </w:t>
      </w:r>
      <w:r>
        <w:rPr>
          <w:w w:val="115"/>
        </w:rPr>
        <w:t>de </w:t>
      </w:r>
      <w:r>
        <w:rPr>
          <w:w w:val="110"/>
        </w:rPr>
        <w:t>bienes agropecuarios latinoamericanos, e intervención en los asuntos </w:t>
      </w:r>
      <w:r>
        <w:rPr>
          <w:w w:val="115"/>
        </w:rPr>
        <w:t>internos de los países de la región que plantean políticas distintas</w:t>
      </w:r>
      <w:r>
        <w:rPr>
          <w:spacing w:val="-27"/>
          <w:w w:val="115"/>
        </w:rPr>
        <w:t> </w:t>
      </w:r>
      <w:r>
        <w:rPr>
          <w:w w:val="115"/>
        </w:rPr>
        <w:t>a </w:t>
      </w:r>
      <w:r>
        <w:rPr>
          <w:w w:val="110"/>
        </w:rPr>
        <w:t>las</w:t>
      </w:r>
      <w:r>
        <w:rPr>
          <w:spacing w:val="-7"/>
          <w:w w:val="110"/>
        </w:rPr>
        <w:t> </w:t>
      </w:r>
      <w:r>
        <w:rPr>
          <w:w w:val="110"/>
        </w:rPr>
        <w:t>neoliberales</w:t>
      </w:r>
      <w:r>
        <w:rPr>
          <w:spacing w:val="-7"/>
          <w:w w:val="110"/>
        </w:rPr>
        <w:t> </w:t>
      </w:r>
      <w:r>
        <w:rPr>
          <w:w w:val="110"/>
        </w:rPr>
        <w:t>impulsadas</w:t>
      </w:r>
      <w:r>
        <w:rPr>
          <w:spacing w:val="-7"/>
          <w:w w:val="110"/>
        </w:rPr>
        <w:t> </w:t>
      </w:r>
      <w:r>
        <w:rPr>
          <w:w w:val="110"/>
        </w:rPr>
        <w:t>por</w:t>
      </w:r>
      <w:r>
        <w:rPr>
          <w:spacing w:val="-7"/>
          <w:w w:val="110"/>
        </w:rPr>
        <w:t> </w:t>
      </w:r>
      <w:r>
        <w:rPr>
          <w:w w:val="110"/>
        </w:rPr>
        <w:t>los</w:t>
      </w:r>
      <w:r>
        <w:rPr>
          <w:spacing w:val="-7"/>
          <w:w w:val="110"/>
        </w:rPr>
        <w:t> </w:t>
      </w:r>
      <w:r>
        <w:rPr>
          <w:w w:val="110"/>
        </w:rPr>
        <w:t>organismos</w:t>
      </w:r>
      <w:r>
        <w:rPr>
          <w:spacing w:val="-7"/>
          <w:w w:val="110"/>
        </w:rPr>
        <w:t> </w:t>
      </w:r>
      <w:r>
        <w:rPr>
          <w:w w:val="110"/>
        </w:rPr>
        <w:t>financieros</w:t>
      </w:r>
      <w:r>
        <w:rPr>
          <w:spacing w:val="-7"/>
          <w:w w:val="110"/>
        </w:rPr>
        <w:t> </w:t>
      </w:r>
      <w:r>
        <w:rPr>
          <w:w w:val="110"/>
        </w:rPr>
        <w:t>internacio- </w:t>
      </w:r>
      <w:r>
        <w:rPr>
          <w:spacing w:val="-1"/>
          <w:w w:val="111"/>
        </w:rPr>
        <w:t>nales</w:t>
      </w:r>
      <w:r>
        <w:rPr>
          <w:w w:val="111"/>
        </w:rPr>
        <w:t>.</w:t>
      </w:r>
      <w:r>
        <w:rPr/>
        <w:t> </w:t>
      </w:r>
      <w:r>
        <w:rPr>
          <w:spacing w:val="-14"/>
        </w:rPr>
        <w:t> </w:t>
      </w:r>
      <w:r>
        <w:rPr>
          <w:spacing w:val="-1"/>
          <w:w w:val="243"/>
        </w:rPr>
        <w:t>l</w:t>
      </w:r>
      <w:r>
        <w:rPr>
          <w:w w:val="112"/>
        </w:rPr>
        <w:t>a</w:t>
      </w:r>
      <w:r>
        <w:rPr/>
        <w:t> </w:t>
      </w:r>
      <w:r>
        <w:rPr>
          <w:spacing w:val="-14"/>
        </w:rPr>
        <w:t> </w:t>
      </w:r>
      <w:r>
        <w:rPr>
          <w:spacing w:val="-1"/>
          <w:w w:val="110"/>
        </w:rPr>
        <w:t>decepció</w:t>
      </w:r>
      <w:r>
        <w:rPr>
          <w:w w:val="110"/>
        </w:rPr>
        <w:t>n</w:t>
      </w:r>
      <w:r>
        <w:rPr/>
        <w:t> </w:t>
      </w:r>
      <w:r>
        <w:rPr>
          <w:spacing w:val="-14"/>
        </w:rPr>
        <w:t> </w:t>
      </w:r>
      <w:r>
        <w:rPr>
          <w:spacing w:val="-1"/>
          <w:w w:val="107"/>
        </w:rPr>
        <w:t>d</w:t>
      </w:r>
      <w:r>
        <w:rPr>
          <w:w w:val="107"/>
        </w:rPr>
        <w:t>e</w:t>
      </w:r>
      <w:r>
        <w:rPr/>
        <w:t> </w:t>
      </w:r>
      <w:r>
        <w:rPr>
          <w:spacing w:val="-14"/>
        </w:rPr>
        <w:t> </w:t>
      </w:r>
      <w:r>
        <w:rPr>
          <w:spacing w:val="-1"/>
          <w:w w:val="112"/>
        </w:rPr>
        <w:t>mucho</w:t>
      </w:r>
      <w:r>
        <w:rPr>
          <w:w w:val="112"/>
        </w:rPr>
        <w:t>s</w:t>
      </w:r>
      <w:r>
        <w:rPr/>
        <w:t> </w:t>
      </w:r>
      <w:r>
        <w:rPr>
          <w:spacing w:val="-14"/>
        </w:rPr>
        <w:t> </w:t>
      </w:r>
      <w:r>
        <w:rPr>
          <w:spacing w:val="-1"/>
          <w:w w:val="109"/>
        </w:rPr>
        <w:t>gobierno</w:t>
      </w:r>
      <w:r>
        <w:rPr>
          <w:w w:val="109"/>
        </w:rPr>
        <w:t>s</w:t>
      </w:r>
      <w:r>
        <w:rPr/>
        <w:t> </w:t>
      </w:r>
      <w:r>
        <w:rPr>
          <w:spacing w:val="-14"/>
        </w:rPr>
        <w:t> </w:t>
      </w:r>
      <w:r>
        <w:rPr>
          <w:spacing w:val="-1"/>
          <w:w w:val="107"/>
        </w:rPr>
        <w:t>d</w:t>
      </w:r>
      <w:r>
        <w:rPr>
          <w:w w:val="107"/>
        </w:rPr>
        <w:t>e</w:t>
      </w:r>
      <w:r>
        <w:rPr/>
        <w:t> </w:t>
      </w:r>
      <w:r>
        <w:rPr>
          <w:spacing w:val="-14"/>
        </w:rPr>
        <w:t> </w:t>
      </w:r>
      <w:r>
        <w:rPr>
          <w:spacing w:val="-1"/>
          <w:w w:val="111"/>
        </w:rPr>
        <w:t>l</w:t>
      </w:r>
      <w:r>
        <w:rPr>
          <w:w w:val="111"/>
        </w:rPr>
        <w:t>a</w:t>
      </w:r>
      <w:r>
        <w:rPr/>
        <w:t> </w:t>
      </w:r>
      <w:r>
        <w:rPr>
          <w:spacing w:val="-14"/>
        </w:rPr>
        <w:t> </w:t>
      </w:r>
      <w:r>
        <w:rPr>
          <w:spacing w:val="-1"/>
          <w:w w:val="109"/>
        </w:rPr>
        <w:t>regió</w:t>
      </w:r>
      <w:r>
        <w:rPr>
          <w:w w:val="109"/>
        </w:rPr>
        <w:t>n</w:t>
      </w:r>
      <w:r>
        <w:rPr/>
        <w:t> </w:t>
      </w:r>
      <w:r>
        <w:rPr>
          <w:spacing w:val="-14"/>
        </w:rPr>
        <w:t> </w:t>
      </w:r>
      <w:r>
        <w:rPr>
          <w:spacing w:val="-1"/>
          <w:w w:val="105"/>
        </w:rPr>
        <w:t>s</w:t>
      </w:r>
      <w:r>
        <w:rPr>
          <w:w w:val="105"/>
        </w:rPr>
        <w:t>e</w:t>
      </w:r>
      <w:r>
        <w:rPr/>
        <w:t> </w:t>
      </w:r>
      <w:r>
        <w:rPr>
          <w:spacing w:val="-14"/>
        </w:rPr>
        <w:t> </w:t>
      </w:r>
      <w:r>
        <w:rPr>
          <w:spacing w:val="-1"/>
          <w:w w:val="107"/>
        </w:rPr>
        <w:t>expres</w:t>
      </w:r>
      <w:r>
        <w:rPr>
          <w:w w:val="107"/>
        </w:rPr>
        <w:t>ó</w:t>
      </w:r>
      <w:r>
        <w:rPr/>
        <w:t> </w:t>
      </w:r>
      <w:r>
        <w:rPr>
          <w:spacing w:val="-14"/>
        </w:rPr>
        <w:t> </w:t>
      </w:r>
      <w:r>
        <w:rPr>
          <w:spacing w:val="-1"/>
          <w:w w:val="108"/>
        </w:rPr>
        <w:t>en </w:t>
      </w:r>
      <w:r>
        <w:rPr>
          <w:w w:val="115"/>
        </w:rPr>
        <w:t>Cartagena. En esa Cumbre de las américas, en los temas</w:t>
      </w:r>
      <w:r>
        <w:rPr>
          <w:spacing w:val="-6"/>
          <w:w w:val="115"/>
        </w:rPr>
        <w:t> </w:t>
      </w:r>
      <w:r>
        <w:rPr>
          <w:w w:val="115"/>
        </w:rPr>
        <w:t>principales </w:t>
      </w:r>
      <w:r>
        <w:rPr>
          <w:w w:val="110"/>
        </w:rPr>
        <w:t>Washington quedó en soledad, secundado apenas por</w:t>
      </w:r>
      <w:r>
        <w:rPr>
          <w:spacing w:val="18"/>
          <w:w w:val="110"/>
        </w:rPr>
        <w:t> </w:t>
      </w:r>
      <w:r>
        <w:rPr>
          <w:w w:val="110"/>
        </w:rPr>
        <w:t>Canadá.</w:t>
      </w:r>
    </w:p>
    <w:p>
      <w:pPr>
        <w:pStyle w:val="BodyText"/>
        <w:spacing w:line="252" w:lineRule="auto"/>
        <w:ind w:left="120" w:right="327" w:firstLine="396"/>
        <w:jc w:val="both"/>
      </w:pPr>
      <w:r>
        <w:rPr>
          <w:w w:val="110"/>
        </w:rPr>
        <w:t>En su segundo turno, la estrategia de obama es impulsar el afian- zamiento de la alianza del Pacífico, un resabio del </w:t>
      </w:r>
      <w:r>
        <w:rPr>
          <w:w w:val="150"/>
        </w:rPr>
        <w:t>alCa </w:t>
      </w:r>
      <w:r>
        <w:rPr>
          <w:w w:val="110"/>
        </w:rPr>
        <w:t>en el que se impulsan políticas neoliberales, junto a los gobiernos de México, Co- lombia, Chile y Perú. su objetivo es intentar debilitar el eje bolivaria- no. En ese mismo sentido, el restablecimiento de relaciones con Cuba le quitaría un argumento que era muy potente a los procesos más </w:t>
      </w:r>
      <w:r>
        <w:rPr>
          <w:w w:val="109"/>
        </w:rPr>
        <w:t>radicales</w:t>
      </w:r>
      <w:r>
        <w:rPr>
          <w:spacing w:val="11"/>
        </w:rPr>
        <w:t> </w:t>
      </w:r>
      <w:r>
        <w:rPr>
          <w:w w:val="108"/>
        </w:rPr>
        <w:t>en</w:t>
      </w:r>
      <w:r>
        <w:rPr>
          <w:spacing w:val="11"/>
        </w:rPr>
        <w:t> </w:t>
      </w:r>
      <w:r>
        <w:rPr>
          <w:w w:val="111"/>
        </w:rPr>
        <w:t>la</w:t>
      </w:r>
      <w:r>
        <w:rPr>
          <w:spacing w:val="11"/>
        </w:rPr>
        <w:t> </w:t>
      </w:r>
      <w:r>
        <w:rPr>
          <w:w w:val="111"/>
        </w:rPr>
        <w:t>región.</w:t>
      </w:r>
      <w:r>
        <w:rPr>
          <w:spacing w:val="11"/>
        </w:rPr>
        <w:t> </w:t>
      </w:r>
      <w:r>
        <w:rPr>
          <w:w w:val="243"/>
        </w:rPr>
        <w:t>l</w:t>
      </w:r>
      <w:r>
        <w:rPr>
          <w:w w:val="112"/>
        </w:rPr>
        <w:t>a</w:t>
      </w:r>
      <w:r>
        <w:rPr>
          <w:spacing w:val="11"/>
        </w:rPr>
        <w:t> </w:t>
      </w:r>
      <w:r>
        <w:rPr>
          <w:w w:val="108"/>
        </w:rPr>
        <w:t>estrategia</w:t>
      </w:r>
      <w:r>
        <w:rPr>
          <w:spacing w:val="11"/>
        </w:rPr>
        <w:t> </w:t>
      </w:r>
      <w:r>
        <w:rPr>
          <w:w w:val="109"/>
        </w:rPr>
        <w:t>sigue</w:t>
      </w:r>
      <w:r>
        <w:rPr>
          <w:spacing w:val="11"/>
        </w:rPr>
        <w:t> </w:t>
      </w:r>
      <w:r>
        <w:rPr>
          <w:w w:val="109"/>
        </w:rPr>
        <w:t>siendo</w:t>
      </w:r>
      <w:r>
        <w:rPr>
          <w:spacing w:val="11"/>
        </w:rPr>
        <w:t> </w:t>
      </w:r>
      <w:r>
        <w:rPr>
          <w:w w:val="109"/>
        </w:rPr>
        <w:t>intentar</w:t>
      </w:r>
      <w:r>
        <w:rPr>
          <w:spacing w:val="11"/>
        </w:rPr>
        <w:t> </w:t>
      </w:r>
      <w:r>
        <w:rPr>
          <w:w w:val="109"/>
        </w:rPr>
        <w:t>debilitar</w:t>
      </w:r>
      <w:r>
        <w:rPr>
          <w:spacing w:val="11"/>
        </w:rPr>
        <w:t> </w:t>
      </w:r>
      <w:r>
        <w:rPr>
          <w:w w:val="108"/>
        </w:rPr>
        <w:t>los </w:t>
      </w:r>
      <w:r>
        <w:rPr>
          <w:w w:val="110"/>
        </w:rPr>
        <w:t>proyectos de integración (en torno al </w:t>
      </w:r>
      <w:r>
        <w:rPr>
          <w:w w:val="150"/>
        </w:rPr>
        <w:t>alba) </w:t>
      </w:r>
      <w:r>
        <w:rPr>
          <w:w w:val="110"/>
        </w:rPr>
        <w:t>y coordinación política (a</w:t>
      </w:r>
      <w:r>
        <w:rPr>
          <w:spacing w:val="-7"/>
          <w:w w:val="110"/>
        </w:rPr>
        <w:t> </w:t>
      </w:r>
      <w:r>
        <w:rPr>
          <w:w w:val="110"/>
        </w:rPr>
        <w:t>través</w:t>
      </w:r>
      <w:r>
        <w:rPr>
          <w:spacing w:val="-7"/>
          <w:w w:val="110"/>
        </w:rPr>
        <w:t> </w:t>
      </w:r>
      <w:r>
        <w:rPr>
          <w:w w:val="110"/>
        </w:rPr>
        <w:t>de</w:t>
      </w:r>
      <w:r>
        <w:rPr>
          <w:spacing w:val="-7"/>
          <w:w w:val="110"/>
        </w:rPr>
        <w:t> </w:t>
      </w:r>
      <w:r>
        <w:rPr>
          <w:w w:val="110"/>
        </w:rPr>
        <w:t>la</w:t>
      </w:r>
      <w:r>
        <w:rPr>
          <w:spacing w:val="-7"/>
          <w:w w:val="110"/>
        </w:rPr>
        <w:t> </w:t>
      </w:r>
      <w:r>
        <w:rPr>
          <w:w w:val="150"/>
        </w:rPr>
        <w:t>uNasur</w:t>
      </w:r>
      <w:r>
        <w:rPr>
          <w:spacing w:val="-24"/>
          <w:w w:val="150"/>
        </w:rPr>
        <w:t> </w:t>
      </w:r>
      <w:r>
        <w:rPr>
          <w:w w:val="110"/>
        </w:rPr>
        <w:t>y</w:t>
      </w:r>
      <w:r>
        <w:rPr>
          <w:spacing w:val="-7"/>
          <w:w w:val="110"/>
        </w:rPr>
        <w:t> </w:t>
      </w:r>
      <w:r>
        <w:rPr>
          <w:w w:val="110"/>
        </w:rPr>
        <w:t>la</w:t>
      </w:r>
      <w:r>
        <w:rPr>
          <w:spacing w:val="-7"/>
          <w:w w:val="110"/>
        </w:rPr>
        <w:t> </w:t>
      </w:r>
      <w:r>
        <w:rPr>
          <w:w w:val="150"/>
        </w:rPr>
        <w:t>CElaC)</w:t>
      </w:r>
      <w:r>
        <w:rPr>
          <w:spacing w:val="-24"/>
          <w:w w:val="150"/>
        </w:rPr>
        <w:t> </w:t>
      </w:r>
      <w:r>
        <w:rPr>
          <w:w w:val="110"/>
        </w:rPr>
        <w:t>latinoamericanos</w:t>
      </w:r>
      <w:r>
        <w:rPr>
          <w:spacing w:val="-7"/>
          <w:w w:val="110"/>
        </w:rPr>
        <w:t> </w:t>
      </w:r>
      <w:r>
        <w:rPr>
          <w:w w:val="110"/>
        </w:rPr>
        <w:t>y</w:t>
      </w:r>
      <w:r>
        <w:rPr>
          <w:spacing w:val="-7"/>
          <w:w w:val="110"/>
        </w:rPr>
        <w:t> </w:t>
      </w:r>
      <w:r>
        <w:rPr>
          <w:w w:val="110"/>
        </w:rPr>
        <w:t>morigerar</w:t>
      </w:r>
      <w:r>
        <w:rPr>
          <w:spacing w:val="-7"/>
          <w:w w:val="110"/>
        </w:rPr>
        <w:t> </w:t>
      </w:r>
      <w:r>
        <w:rPr>
          <w:w w:val="110"/>
        </w:rPr>
        <w:t>el avance económico chino, a través de la promoción del libre comercio de bienes y servicios (no así de productos agropecuarios) y el impulso a la radicación de capitales estadounidenses en la región, con</w:t>
      </w:r>
      <w:r>
        <w:rPr>
          <w:spacing w:val="-16"/>
          <w:w w:val="110"/>
        </w:rPr>
        <w:t> </w:t>
      </w:r>
      <w:r>
        <w:rPr>
          <w:w w:val="110"/>
        </w:rPr>
        <w:t>mayores facilidades y menos regulación de los Estados. además, como afirmó </w:t>
      </w:r>
      <w:r>
        <w:rPr>
          <w:w w:val="108"/>
        </w:rPr>
        <w:t>en</w:t>
      </w:r>
      <w:r>
        <w:rPr/>
        <w:t> </w:t>
      </w:r>
      <w:r>
        <w:rPr>
          <w:spacing w:val="-10"/>
        </w:rPr>
        <w:t> </w:t>
      </w:r>
      <w:r>
        <w:rPr>
          <w:w w:val="102"/>
        </w:rPr>
        <w:t>2012</w:t>
      </w:r>
      <w:r>
        <w:rPr/>
        <w:t> </w:t>
      </w:r>
      <w:r>
        <w:rPr>
          <w:spacing w:val="-10"/>
        </w:rPr>
        <w:t> </w:t>
      </w:r>
      <w:r>
        <w:rPr>
          <w:w w:val="107"/>
        </w:rPr>
        <w:t>el</w:t>
      </w:r>
      <w:r>
        <w:rPr/>
        <w:t> </w:t>
      </w:r>
      <w:r>
        <w:rPr>
          <w:spacing w:val="-10"/>
        </w:rPr>
        <w:t> </w:t>
      </w:r>
      <w:r>
        <w:rPr>
          <w:w w:val="109"/>
        </w:rPr>
        <w:t>entonces</w:t>
      </w:r>
      <w:r>
        <w:rPr/>
        <w:t> </w:t>
      </w:r>
      <w:r>
        <w:rPr>
          <w:spacing w:val="-10"/>
        </w:rPr>
        <w:t> </w:t>
      </w:r>
      <w:r>
        <w:rPr>
          <w:w w:val="108"/>
        </w:rPr>
        <w:t>secretario</w:t>
      </w:r>
      <w:r>
        <w:rPr/>
        <w:t> </w:t>
      </w:r>
      <w:r>
        <w:rPr>
          <w:spacing w:val="-10"/>
        </w:rPr>
        <w:t> </w:t>
      </w:r>
      <w:r>
        <w:rPr>
          <w:w w:val="107"/>
        </w:rPr>
        <w:t>de</w:t>
      </w:r>
      <w:r>
        <w:rPr/>
        <w:t> </w:t>
      </w:r>
      <w:r>
        <w:rPr>
          <w:spacing w:val="-10"/>
        </w:rPr>
        <w:t> </w:t>
      </w:r>
      <w:r>
        <w:rPr>
          <w:w w:val="139"/>
        </w:rPr>
        <w:t>d</w:t>
      </w:r>
      <w:r>
        <w:rPr>
          <w:w w:val="109"/>
        </w:rPr>
        <w:t>efensa</w:t>
      </w:r>
      <w:r>
        <w:rPr/>
        <w:t> </w:t>
      </w:r>
      <w:r>
        <w:rPr>
          <w:spacing w:val="-10"/>
        </w:rPr>
        <w:t> </w:t>
      </w:r>
      <w:r>
        <w:rPr>
          <w:w w:val="243"/>
        </w:rPr>
        <w:t>l</w:t>
      </w:r>
      <w:r>
        <w:rPr>
          <w:w w:val="109"/>
        </w:rPr>
        <w:t>eón</w:t>
      </w:r>
      <w:r>
        <w:rPr/>
        <w:t> </w:t>
      </w:r>
      <w:r>
        <w:rPr>
          <w:spacing w:val="-10"/>
        </w:rPr>
        <w:t> </w:t>
      </w:r>
      <w:r>
        <w:rPr>
          <w:w w:val="111"/>
        </w:rPr>
        <w:t>Panetta,</w:t>
      </w:r>
      <w:r>
        <w:rPr/>
        <w:t> </w:t>
      </w:r>
      <w:r>
        <w:rPr>
          <w:spacing w:val="-10"/>
        </w:rPr>
        <w:t> </w:t>
      </w:r>
      <w:r>
        <w:rPr>
          <w:w w:val="111"/>
        </w:rPr>
        <w:t>uno</w:t>
      </w:r>
      <w:r>
        <w:rPr/>
        <w:t> </w:t>
      </w:r>
      <w:r>
        <w:rPr>
          <w:spacing w:val="-10"/>
        </w:rPr>
        <w:t> </w:t>
      </w:r>
      <w:r>
        <w:rPr>
          <w:w w:val="107"/>
        </w:rPr>
        <w:t>de</w:t>
      </w:r>
      <w:r>
        <w:rPr/>
        <w:t> </w:t>
      </w:r>
      <w:r>
        <w:rPr>
          <w:spacing w:val="-10"/>
        </w:rPr>
        <w:t> </w:t>
      </w:r>
      <w:r>
        <w:rPr>
          <w:w w:val="108"/>
        </w:rPr>
        <w:t>los </w:t>
      </w:r>
      <w:r>
        <w:rPr>
          <w:w w:val="110"/>
        </w:rPr>
        <w:t>objetivos estratégicos de su gobierno es mantener el liderazgo mun- dial y hemisférico de Estados unidos. Para lograrlo, dada la necesaria restricción presupuestaria y la concentración de esfuerzos bélicos en asia-Pacífico, el Pentágono tenía la función de elaborar   </w:t>
      </w:r>
      <w:r>
        <w:rPr>
          <w:spacing w:val="5"/>
          <w:w w:val="110"/>
        </w:rPr>
        <w:t> </w:t>
      </w:r>
      <w:r>
        <w:rPr>
          <w:w w:val="110"/>
        </w:rPr>
        <w:t>“innovadoras</w:t>
      </w:r>
    </w:p>
    <w:p>
      <w:pPr>
        <w:pStyle w:val="BodyText"/>
        <w:spacing w:before="3"/>
        <w:rPr>
          <w:sz w:val="27"/>
        </w:rPr>
      </w:pPr>
    </w:p>
    <w:p>
      <w:pPr>
        <w:pStyle w:val="ListParagraph"/>
        <w:numPr>
          <w:ilvl w:val="0"/>
          <w:numId w:val="34"/>
        </w:numPr>
        <w:tabs>
          <w:tab w:pos="376" w:val="left" w:leader="none"/>
        </w:tabs>
        <w:spacing w:line="242" w:lineRule="auto" w:before="74" w:after="0"/>
        <w:ind w:left="120" w:right="329" w:firstLine="0"/>
        <w:jc w:val="left"/>
        <w:rPr>
          <w:sz w:val="16"/>
        </w:rPr>
      </w:pPr>
      <w:r>
        <w:rPr>
          <w:w w:val="110"/>
          <w:sz w:val="16"/>
        </w:rPr>
        <w:t>Véanse,</w:t>
      </w:r>
      <w:r>
        <w:rPr>
          <w:spacing w:val="-7"/>
          <w:w w:val="110"/>
          <w:sz w:val="16"/>
        </w:rPr>
        <w:t> </w:t>
      </w:r>
      <w:r>
        <w:rPr>
          <w:w w:val="110"/>
          <w:sz w:val="16"/>
        </w:rPr>
        <w:t>entre</w:t>
      </w:r>
      <w:r>
        <w:rPr>
          <w:spacing w:val="-7"/>
          <w:w w:val="110"/>
          <w:sz w:val="16"/>
        </w:rPr>
        <w:t> </w:t>
      </w:r>
      <w:r>
        <w:rPr>
          <w:w w:val="110"/>
          <w:sz w:val="16"/>
        </w:rPr>
        <w:t>otros,</w:t>
      </w:r>
      <w:r>
        <w:rPr>
          <w:spacing w:val="-7"/>
          <w:w w:val="110"/>
          <w:sz w:val="16"/>
        </w:rPr>
        <w:t> </w:t>
      </w:r>
      <w:r>
        <w:rPr>
          <w:w w:val="110"/>
          <w:sz w:val="16"/>
        </w:rPr>
        <w:t>la</w:t>
      </w:r>
      <w:r>
        <w:rPr>
          <w:spacing w:val="-7"/>
          <w:w w:val="110"/>
          <w:sz w:val="16"/>
        </w:rPr>
        <w:t> </w:t>
      </w:r>
      <w:r>
        <w:rPr>
          <w:w w:val="110"/>
          <w:sz w:val="16"/>
        </w:rPr>
        <w:t>tercera</w:t>
      </w:r>
      <w:r>
        <w:rPr>
          <w:spacing w:val="-7"/>
          <w:w w:val="110"/>
          <w:sz w:val="16"/>
        </w:rPr>
        <w:t> </w:t>
      </w:r>
      <w:r>
        <w:rPr>
          <w:w w:val="110"/>
          <w:sz w:val="16"/>
        </w:rPr>
        <w:t>parte</w:t>
      </w:r>
      <w:r>
        <w:rPr>
          <w:spacing w:val="-7"/>
          <w:w w:val="110"/>
          <w:sz w:val="16"/>
        </w:rPr>
        <w:t> </w:t>
      </w:r>
      <w:r>
        <w:rPr>
          <w:w w:val="110"/>
          <w:sz w:val="16"/>
        </w:rPr>
        <w:t>de</w:t>
      </w:r>
      <w:r>
        <w:rPr>
          <w:spacing w:val="-7"/>
          <w:w w:val="110"/>
          <w:sz w:val="16"/>
        </w:rPr>
        <w:t> </w:t>
      </w:r>
      <w:r>
        <w:rPr>
          <w:w w:val="110"/>
          <w:sz w:val="16"/>
        </w:rPr>
        <w:t>Castillo</w:t>
      </w:r>
      <w:r>
        <w:rPr>
          <w:spacing w:val="-7"/>
          <w:w w:val="110"/>
          <w:sz w:val="16"/>
        </w:rPr>
        <w:t> </w:t>
      </w:r>
      <w:r>
        <w:rPr>
          <w:w w:val="110"/>
          <w:sz w:val="16"/>
        </w:rPr>
        <w:t>Fernández</w:t>
      </w:r>
      <w:r>
        <w:rPr>
          <w:spacing w:val="-7"/>
          <w:w w:val="110"/>
          <w:sz w:val="16"/>
        </w:rPr>
        <w:t> </w:t>
      </w:r>
      <w:r>
        <w:rPr>
          <w:w w:val="110"/>
          <w:sz w:val="16"/>
        </w:rPr>
        <w:t>y</w:t>
      </w:r>
      <w:r>
        <w:rPr>
          <w:spacing w:val="-7"/>
          <w:w w:val="110"/>
          <w:sz w:val="16"/>
        </w:rPr>
        <w:t> </w:t>
      </w:r>
      <w:r>
        <w:rPr>
          <w:w w:val="110"/>
          <w:sz w:val="16"/>
        </w:rPr>
        <w:t>Gandásegui</w:t>
      </w:r>
      <w:r>
        <w:rPr>
          <w:spacing w:val="-7"/>
          <w:w w:val="110"/>
          <w:sz w:val="16"/>
        </w:rPr>
        <w:t> </w:t>
      </w:r>
      <w:r>
        <w:rPr>
          <w:w w:val="110"/>
          <w:sz w:val="16"/>
        </w:rPr>
        <w:t>(2012)</w:t>
      </w:r>
      <w:r>
        <w:rPr>
          <w:spacing w:val="-7"/>
          <w:w w:val="110"/>
          <w:sz w:val="16"/>
        </w:rPr>
        <w:t> </w:t>
      </w:r>
      <w:r>
        <w:rPr>
          <w:w w:val="110"/>
          <w:sz w:val="16"/>
        </w:rPr>
        <w:t>y suárez salazar</w:t>
      </w:r>
      <w:r>
        <w:rPr>
          <w:spacing w:val="3"/>
          <w:w w:val="110"/>
          <w:sz w:val="16"/>
        </w:rPr>
        <w:t> </w:t>
      </w:r>
      <w:r>
        <w:rPr>
          <w:w w:val="110"/>
          <w:sz w:val="16"/>
        </w:rPr>
        <w:t>(2014b).</w:t>
      </w:r>
    </w:p>
    <w:p>
      <w:pPr>
        <w:spacing w:after="0" w:line="242" w:lineRule="auto"/>
        <w:jc w:val="left"/>
        <w:rPr>
          <w:sz w:val="16"/>
        </w:rPr>
        <w:sectPr>
          <w:footerReference w:type="even" r:id="rId526"/>
          <w:footerReference w:type="default" r:id="rId527"/>
          <w:pgSz w:w="8790" w:h="12760"/>
          <w:pgMar w:footer="1061" w:header="695" w:top="880" w:bottom="1260" w:left="900" w:right="1200"/>
        </w:sectPr>
      </w:pPr>
    </w:p>
    <w:p>
      <w:pPr>
        <w:pStyle w:val="BodyText"/>
        <w:spacing w:before="7"/>
        <w:rPr>
          <w:sz w:val="28"/>
        </w:rPr>
      </w:pPr>
    </w:p>
    <w:p>
      <w:pPr>
        <w:pStyle w:val="BodyText"/>
        <w:spacing w:line="252" w:lineRule="auto" w:before="73"/>
        <w:ind w:left="330" w:right="41"/>
      </w:pPr>
      <w:r>
        <w:rPr>
          <w:w w:val="110"/>
        </w:rPr>
        <w:t>y flexibles alianzas” con los países “amigos” o “aliados” del continente americano (Panetta, 2012).</w:t>
      </w:r>
    </w:p>
    <w:p>
      <w:pPr>
        <w:pStyle w:val="BodyText"/>
        <w:spacing w:line="252" w:lineRule="auto"/>
        <w:ind w:left="330" w:right="118" w:firstLine="396"/>
        <w:jc w:val="both"/>
      </w:pPr>
      <w:r>
        <w:rPr>
          <w:w w:val="243"/>
        </w:rPr>
        <w:t>l</w:t>
      </w:r>
      <w:r>
        <w:rPr>
          <w:w w:val="112"/>
        </w:rPr>
        <w:t>a</w:t>
      </w:r>
      <w:r>
        <w:rPr/>
        <w:t> </w:t>
      </w:r>
      <w:r>
        <w:rPr>
          <w:spacing w:val="-15"/>
        </w:rPr>
        <w:t> </w:t>
      </w:r>
      <w:r>
        <w:rPr>
          <w:w w:val="108"/>
        </w:rPr>
        <w:t>nueva</w:t>
      </w:r>
      <w:r>
        <w:rPr/>
        <w:t> </w:t>
      </w:r>
      <w:r>
        <w:rPr>
          <w:spacing w:val="-15"/>
        </w:rPr>
        <w:t> </w:t>
      </w:r>
      <w:r>
        <w:rPr>
          <w:w w:val="111"/>
        </w:rPr>
        <w:t>política</w:t>
      </w:r>
      <w:r>
        <w:rPr/>
        <w:t> </w:t>
      </w:r>
      <w:r>
        <w:rPr>
          <w:spacing w:val="-15"/>
        </w:rPr>
        <w:t> </w:t>
      </w:r>
      <w:r>
        <w:rPr>
          <w:w w:val="113"/>
        </w:rPr>
        <w:t>hacia</w:t>
      </w:r>
      <w:r>
        <w:rPr/>
        <w:t> </w:t>
      </w:r>
      <w:r>
        <w:rPr>
          <w:spacing w:val="-15"/>
        </w:rPr>
        <w:t> </w:t>
      </w:r>
      <w:r>
        <w:rPr>
          <w:w w:val="115"/>
        </w:rPr>
        <w:t>Cuba</w:t>
      </w:r>
      <w:r>
        <w:rPr/>
        <w:t> </w:t>
      </w:r>
      <w:r>
        <w:rPr>
          <w:spacing w:val="-15"/>
        </w:rPr>
        <w:t> </w:t>
      </w:r>
      <w:r>
        <w:rPr>
          <w:w w:val="113"/>
        </w:rPr>
        <w:t>busca,</w:t>
      </w:r>
      <w:r>
        <w:rPr/>
        <w:t> </w:t>
      </w:r>
      <w:r>
        <w:rPr>
          <w:spacing w:val="-15"/>
        </w:rPr>
        <w:t> </w:t>
      </w:r>
      <w:r>
        <w:rPr>
          <w:w w:val="108"/>
        </w:rPr>
        <w:t>en</w:t>
      </w:r>
      <w:r>
        <w:rPr/>
        <w:t> </w:t>
      </w:r>
      <w:r>
        <w:rPr>
          <w:spacing w:val="-15"/>
        </w:rPr>
        <w:t> </w:t>
      </w:r>
      <w:r>
        <w:rPr>
          <w:w w:val="110"/>
        </w:rPr>
        <w:t>parte,</w:t>
      </w:r>
      <w:r>
        <w:rPr/>
        <w:t> </w:t>
      </w:r>
      <w:r>
        <w:rPr>
          <w:spacing w:val="-15"/>
        </w:rPr>
        <w:t> </w:t>
      </w:r>
      <w:r>
        <w:rPr>
          <w:w w:val="107"/>
        </w:rPr>
        <w:t>restablecer</w:t>
      </w:r>
      <w:r>
        <w:rPr/>
        <w:t> </w:t>
      </w:r>
      <w:r>
        <w:rPr>
          <w:spacing w:val="-15"/>
        </w:rPr>
        <w:t> </w:t>
      </w:r>
      <w:r>
        <w:rPr>
          <w:w w:val="111"/>
        </w:rPr>
        <w:t>la</w:t>
      </w:r>
      <w:r>
        <w:rPr/>
        <w:t> </w:t>
      </w:r>
      <w:r>
        <w:rPr>
          <w:spacing w:val="-15"/>
        </w:rPr>
        <w:t> </w:t>
      </w:r>
      <w:r>
        <w:rPr>
          <w:w w:val="109"/>
        </w:rPr>
        <w:t>po</w:t>
      </w:r>
      <w:r>
        <w:rPr>
          <w:w w:val="102"/>
        </w:rPr>
        <w:t>- </w:t>
      </w:r>
      <w:r>
        <w:rPr>
          <w:w w:val="110"/>
        </w:rPr>
        <w:t>sición hegemónica de Estados unidos en el continente americano, recomponiendo el vínculo político con los gobiernos de la región. im- pulsar la transición hacia el capitalismo en Cuba, ya que no logró hacer colapsar al gobierno de los Castro, sería un elemento simbólico para mostrar el triunfo del modelo estadounidense y el fracaso del proyecto</w:t>
      </w:r>
      <w:r>
        <w:rPr>
          <w:spacing w:val="-3"/>
          <w:w w:val="110"/>
        </w:rPr>
        <w:t> </w:t>
      </w:r>
      <w:r>
        <w:rPr>
          <w:w w:val="110"/>
        </w:rPr>
        <w:t>revolucionario</w:t>
      </w:r>
      <w:r>
        <w:rPr>
          <w:w w:val="110"/>
          <w:position w:val="6"/>
          <w:sz w:val="11"/>
        </w:rPr>
        <w:t>36</w:t>
      </w:r>
      <w:r>
        <w:rPr>
          <w:w w:val="110"/>
        </w:rPr>
        <w:t>.</w:t>
      </w:r>
    </w:p>
    <w:p>
      <w:pPr>
        <w:pStyle w:val="BodyText"/>
        <w:spacing w:line="252" w:lineRule="auto"/>
        <w:ind w:left="330" w:right="117" w:firstLine="396"/>
        <w:jc w:val="both"/>
      </w:pPr>
      <w:r>
        <w:rPr>
          <w:w w:val="120"/>
        </w:rPr>
        <w:t>a lo largo de la historia, las políticas de Estados unidos hacia </w:t>
      </w:r>
      <w:r>
        <w:rPr>
          <w:w w:val="115"/>
        </w:rPr>
        <w:t>el</w:t>
      </w:r>
      <w:r>
        <w:rPr>
          <w:spacing w:val="-18"/>
          <w:w w:val="115"/>
        </w:rPr>
        <w:t> </w:t>
      </w:r>
      <w:r>
        <w:rPr>
          <w:w w:val="115"/>
        </w:rPr>
        <w:t>sur</w:t>
      </w:r>
      <w:r>
        <w:rPr>
          <w:spacing w:val="-18"/>
          <w:w w:val="115"/>
        </w:rPr>
        <w:t> </w:t>
      </w:r>
      <w:r>
        <w:rPr>
          <w:w w:val="115"/>
        </w:rPr>
        <w:t>del</w:t>
      </w:r>
      <w:r>
        <w:rPr>
          <w:spacing w:val="-18"/>
          <w:w w:val="115"/>
        </w:rPr>
        <w:t> </w:t>
      </w:r>
      <w:r>
        <w:rPr>
          <w:w w:val="115"/>
        </w:rPr>
        <w:t>continente,</w:t>
      </w:r>
      <w:r>
        <w:rPr>
          <w:spacing w:val="-18"/>
          <w:w w:val="115"/>
        </w:rPr>
        <w:t> </w:t>
      </w:r>
      <w:r>
        <w:rPr>
          <w:w w:val="115"/>
        </w:rPr>
        <w:t>desde</w:t>
      </w:r>
      <w:r>
        <w:rPr>
          <w:spacing w:val="-18"/>
          <w:w w:val="115"/>
        </w:rPr>
        <w:t> </w:t>
      </w:r>
      <w:r>
        <w:rPr>
          <w:w w:val="115"/>
        </w:rPr>
        <w:t>que</w:t>
      </w:r>
      <w:r>
        <w:rPr>
          <w:spacing w:val="-18"/>
          <w:w w:val="115"/>
        </w:rPr>
        <w:t> </w:t>
      </w:r>
      <w:r>
        <w:rPr>
          <w:w w:val="115"/>
        </w:rPr>
        <w:t>abandonaron</w:t>
      </w:r>
      <w:r>
        <w:rPr>
          <w:spacing w:val="-18"/>
          <w:w w:val="115"/>
        </w:rPr>
        <w:t> </w:t>
      </w:r>
      <w:r>
        <w:rPr>
          <w:w w:val="115"/>
        </w:rPr>
        <w:t>las</w:t>
      </w:r>
      <w:r>
        <w:rPr>
          <w:spacing w:val="-18"/>
          <w:w w:val="115"/>
        </w:rPr>
        <w:t> </w:t>
      </w:r>
      <w:r>
        <w:rPr>
          <w:w w:val="115"/>
        </w:rPr>
        <w:t>invasiones</w:t>
      </w:r>
      <w:r>
        <w:rPr>
          <w:spacing w:val="-18"/>
          <w:w w:val="115"/>
        </w:rPr>
        <w:t> </w:t>
      </w:r>
      <w:r>
        <w:rPr>
          <w:w w:val="115"/>
        </w:rPr>
        <w:t>abiertas con</w:t>
      </w:r>
      <w:r>
        <w:rPr>
          <w:spacing w:val="-15"/>
          <w:w w:val="115"/>
        </w:rPr>
        <w:t> </w:t>
      </w:r>
      <w:r>
        <w:rPr>
          <w:w w:val="115"/>
        </w:rPr>
        <w:t>marines</w:t>
      </w:r>
      <w:r>
        <w:rPr>
          <w:spacing w:val="-15"/>
          <w:w w:val="115"/>
        </w:rPr>
        <w:t> </w:t>
      </w:r>
      <w:r>
        <w:rPr>
          <w:w w:val="115"/>
        </w:rPr>
        <w:t>en</w:t>
      </w:r>
      <w:r>
        <w:rPr>
          <w:spacing w:val="-15"/>
          <w:w w:val="115"/>
        </w:rPr>
        <w:t> </w:t>
      </w:r>
      <w:r>
        <w:rPr>
          <w:w w:val="115"/>
        </w:rPr>
        <w:t>pos</w:t>
      </w:r>
      <w:r>
        <w:rPr>
          <w:spacing w:val="-15"/>
          <w:w w:val="115"/>
        </w:rPr>
        <w:t> </w:t>
      </w:r>
      <w:r>
        <w:rPr>
          <w:w w:val="115"/>
        </w:rPr>
        <w:t>de</w:t>
      </w:r>
      <w:r>
        <w:rPr>
          <w:spacing w:val="-15"/>
          <w:w w:val="115"/>
        </w:rPr>
        <w:t> </w:t>
      </w:r>
      <w:r>
        <w:rPr>
          <w:w w:val="115"/>
        </w:rPr>
        <w:t>la</w:t>
      </w:r>
      <w:r>
        <w:rPr>
          <w:spacing w:val="-15"/>
          <w:w w:val="115"/>
        </w:rPr>
        <w:t> </w:t>
      </w:r>
      <w:r>
        <w:rPr>
          <w:i/>
          <w:w w:val="115"/>
        </w:rPr>
        <w:t>buena</w:t>
      </w:r>
      <w:r>
        <w:rPr>
          <w:i/>
          <w:spacing w:val="-15"/>
          <w:w w:val="115"/>
        </w:rPr>
        <w:t> </w:t>
      </w:r>
      <w:r>
        <w:rPr>
          <w:i/>
          <w:w w:val="115"/>
        </w:rPr>
        <w:t>vecindad</w:t>
      </w:r>
      <w:r>
        <w:rPr>
          <w:w w:val="115"/>
        </w:rPr>
        <w:t>,</w:t>
      </w:r>
      <w:r>
        <w:rPr>
          <w:spacing w:val="-15"/>
          <w:w w:val="115"/>
        </w:rPr>
        <w:t> </w:t>
      </w:r>
      <w:r>
        <w:rPr>
          <w:w w:val="115"/>
        </w:rPr>
        <w:t>se</w:t>
      </w:r>
      <w:r>
        <w:rPr>
          <w:spacing w:val="-15"/>
          <w:w w:val="115"/>
        </w:rPr>
        <w:t> </w:t>
      </w:r>
      <w:r>
        <w:rPr>
          <w:w w:val="115"/>
        </w:rPr>
        <w:t>nutrieron</w:t>
      </w:r>
      <w:r>
        <w:rPr>
          <w:spacing w:val="-15"/>
          <w:w w:val="115"/>
        </w:rPr>
        <w:t> </w:t>
      </w:r>
      <w:r>
        <w:rPr>
          <w:w w:val="115"/>
        </w:rPr>
        <w:t>de</w:t>
      </w:r>
      <w:r>
        <w:rPr>
          <w:spacing w:val="-15"/>
          <w:w w:val="115"/>
        </w:rPr>
        <w:t> </w:t>
      </w:r>
      <w:r>
        <w:rPr>
          <w:w w:val="115"/>
        </w:rPr>
        <w:t>dos</w:t>
      </w:r>
      <w:r>
        <w:rPr>
          <w:spacing w:val="-15"/>
          <w:w w:val="115"/>
        </w:rPr>
        <w:t> </w:t>
      </w:r>
      <w:r>
        <w:rPr>
          <w:w w:val="115"/>
        </w:rPr>
        <w:t>compo- </w:t>
      </w:r>
      <w:r>
        <w:rPr>
          <w:w w:val="110"/>
        </w:rPr>
        <w:t>nentes:</w:t>
      </w:r>
      <w:r>
        <w:rPr>
          <w:spacing w:val="-9"/>
          <w:w w:val="110"/>
        </w:rPr>
        <w:t> </w:t>
      </w:r>
      <w:r>
        <w:rPr>
          <w:i/>
          <w:w w:val="110"/>
        </w:rPr>
        <w:t>zanahorias</w:t>
      </w:r>
      <w:r>
        <w:rPr>
          <w:i/>
          <w:spacing w:val="-9"/>
          <w:w w:val="110"/>
        </w:rPr>
        <w:t> </w:t>
      </w:r>
      <w:r>
        <w:rPr>
          <w:w w:val="110"/>
        </w:rPr>
        <w:t>y</w:t>
      </w:r>
      <w:r>
        <w:rPr>
          <w:spacing w:val="-9"/>
          <w:w w:val="110"/>
        </w:rPr>
        <w:t> </w:t>
      </w:r>
      <w:r>
        <w:rPr>
          <w:i/>
          <w:w w:val="110"/>
        </w:rPr>
        <w:t>garrotes</w:t>
      </w:r>
      <w:r>
        <w:rPr>
          <w:w w:val="110"/>
        </w:rPr>
        <w:t>.</w:t>
      </w:r>
      <w:r>
        <w:rPr>
          <w:spacing w:val="-9"/>
          <w:w w:val="110"/>
        </w:rPr>
        <w:t> </w:t>
      </w:r>
      <w:r>
        <w:rPr>
          <w:w w:val="110"/>
        </w:rPr>
        <w:t>Promesas</w:t>
      </w:r>
      <w:r>
        <w:rPr>
          <w:spacing w:val="-9"/>
          <w:w w:val="110"/>
        </w:rPr>
        <w:t> </w:t>
      </w:r>
      <w:r>
        <w:rPr>
          <w:w w:val="110"/>
        </w:rPr>
        <w:t>de</w:t>
      </w:r>
      <w:r>
        <w:rPr>
          <w:spacing w:val="-9"/>
          <w:w w:val="110"/>
        </w:rPr>
        <w:t> </w:t>
      </w:r>
      <w:r>
        <w:rPr>
          <w:w w:val="110"/>
        </w:rPr>
        <w:t>ayuda</w:t>
      </w:r>
      <w:r>
        <w:rPr>
          <w:spacing w:val="-9"/>
          <w:w w:val="110"/>
        </w:rPr>
        <w:t> </w:t>
      </w:r>
      <w:r>
        <w:rPr>
          <w:w w:val="110"/>
        </w:rPr>
        <w:t>financiera,</w:t>
      </w:r>
      <w:r>
        <w:rPr>
          <w:spacing w:val="-9"/>
          <w:w w:val="110"/>
        </w:rPr>
        <w:t> </w:t>
      </w:r>
      <w:r>
        <w:rPr>
          <w:w w:val="110"/>
        </w:rPr>
        <w:t>concesio- </w:t>
      </w:r>
      <w:r>
        <w:rPr>
          <w:w w:val="115"/>
        </w:rPr>
        <w:t>nes</w:t>
      </w:r>
      <w:r>
        <w:rPr>
          <w:spacing w:val="-25"/>
          <w:w w:val="115"/>
        </w:rPr>
        <w:t> </w:t>
      </w:r>
      <w:r>
        <w:rPr>
          <w:w w:val="115"/>
        </w:rPr>
        <w:t>comerciales,</w:t>
      </w:r>
      <w:r>
        <w:rPr>
          <w:spacing w:val="-25"/>
          <w:w w:val="115"/>
        </w:rPr>
        <w:t> </w:t>
      </w:r>
      <w:r>
        <w:rPr>
          <w:w w:val="115"/>
        </w:rPr>
        <w:t>inversiones</w:t>
      </w:r>
      <w:r>
        <w:rPr>
          <w:spacing w:val="-25"/>
          <w:w w:val="115"/>
        </w:rPr>
        <w:t> </w:t>
      </w:r>
      <w:r>
        <w:rPr>
          <w:w w:val="115"/>
        </w:rPr>
        <w:t>e</w:t>
      </w:r>
      <w:r>
        <w:rPr>
          <w:spacing w:val="-25"/>
          <w:w w:val="115"/>
        </w:rPr>
        <w:t> </w:t>
      </w:r>
      <w:r>
        <w:rPr>
          <w:w w:val="115"/>
        </w:rPr>
        <w:t>intercambios</w:t>
      </w:r>
      <w:r>
        <w:rPr>
          <w:spacing w:val="-25"/>
          <w:w w:val="115"/>
        </w:rPr>
        <w:t> </w:t>
      </w:r>
      <w:r>
        <w:rPr>
          <w:w w:val="115"/>
        </w:rPr>
        <w:t>académicos</w:t>
      </w:r>
      <w:r>
        <w:rPr>
          <w:spacing w:val="-25"/>
          <w:w w:val="115"/>
        </w:rPr>
        <w:t> </w:t>
      </w:r>
      <w:r>
        <w:rPr>
          <w:w w:val="115"/>
        </w:rPr>
        <w:t>convivieron históricamente</w:t>
      </w:r>
      <w:r>
        <w:rPr>
          <w:spacing w:val="-22"/>
          <w:w w:val="115"/>
        </w:rPr>
        <w:t> </w:t>
      </w:r>
      <w:r>
        <w:rPr>
          <w:w w:val="115"/>
        </w:rPr>
        <w:t>con</w:t>
      </w:r>
      <w:r>
        <w:rPr>
          <w:spacing w:val="-22"/>
          <w:w w:val="115"/>
        </w:rPr>
        <w:t> </w:t>
      </w:r>
      <w:r>
        <w:rPr>
          <w:w w:val="115"/>
        </w:rPr>
        <w:t>amenazas,</w:t>
      </w:r>
      <w:r>
        <w:rPr>
          <w:spacing w:val="-22"/>
          <w:w w:val="115"/>
        </w:rPr>
        <w:t> </w:t>
      </w:r>
      <w:r>
        <w:rPr>
          <w:w w:val="115"/>
        </w:rPr>
        <w:t>desestabilizaciones,</w:t>
      </w:r>
      <w:r>
        <w:rPr>
          <w:spacing w:val="-22"/>
          <w:w w:val="115"/>
        </w:rPr>
        <w:t> </w:t>
      </w:r>
      <w:r>
        <w:rPr>
          <w:w w:val="115"/>
        </w:rPr>
        <w:t>sanciones</w:t>
      </w:r>
      <w:r>
        <w:rPr>
          <w:spacing w:val="-22"/>
          <w:w w:val="115"/>
        </w:rPr>
        <w:t> </w:t>
      </w:r>
      <w:r>
        <w:rPr>
          <w:w w:val="115"/>
        </w:rPr>
        <w:t>econó- </w:t>
      </w:r>
      <w:r>
        <w:rPr>
          <w:w w:val="120"/>
        </w:rPr>
        <w:t>micas</w:t>
      </w:r>
      <w:r>
        <w:rPr>
          <w:spacing w:val="-21"/>
          <w:w w:val="120"/>
        </w:rPr>
        <w:t> </w:t>
      </w:r>
      <w:r>
        <w:rPr>
          <w:w w:val="120"/>
        </w:rPr>
        <w:t>y</w:t>
      </w:r>
      <w:r>
        <w:rPr>
          <w:spacing w:val="-21"/>
          <w:w w:val="120"/>
        </w:rPr>
        <w:t> </w:t>
      </w:r>
      <w:r>
        <w:rPr>
          <w:w w:val="120"/>
        </w:rPr>
        <w:t>apoyos</w:t>
      </w:r>
      <w:r>
        <w:rPr>
          <w:spacing w:val="-21"/>
          <w:w w:val="120"/>
        </w:rPr>
        <w:t> </w:t>
      </w:r>
      <w:r>
        <w:rPr>
          <w:w w:val="120"/>
        </w:rPr>
        <w:t>a</w:t>
      </w:r>
      <w:r>
        <w:rPr>
          <w:spacing w:val="-21"/>
          <w:w w:val="120"/>
        </w:rPr>
        <w:t> </w:t>
      </w:r>
      <w:r>
        <w:rPr>
          <w:w w:val="120"/>
        </w:rPr>
        <w:t>militares</w:t>
      </w:r>
      <w:r>
        <w:rPr>
          <w:spacing w:val="-21"/>
          <w:w w:val="120"/>
        </w:rPr>
        <w:t> </w:t>
      </w:r>
      <w:r>
        <w:rPr>
          <w:w w:val="120"/>
        </w:rPr>
        <w:t>golpistas.</w:t>
      </w:r>
      <w:r>
        <w:rPr>
          <w:spacing w:val="-21"/>
          <w:w w:val="120"/>
        </w:rPr>
        <w:t> </w:t>
      </w:r>
      <w:r>
        <w:rPr>
          <w:w w:val="120"/>
        </w:rPr>
        <w:t>así,</w:t>
      </w:r>
      <w:r>
        <w:rPr>
          <w:spacing w:val="-21"/>
          <w:w w:val="120"/>
        </w:rPr>
        <w:t> </w:t>
      </w:r>
      <w:r>
        <w:rPr>
          <w:w w:val="120"/>
        </w:rPr>
        <w:t>para</w:t>
      </w:r>
      <w:r>
        <w:rPr>
          <w:spacing w:val="-21"/>
          <w:w w:val="120"/>
        </w:rPr>
        <w:t> </w:t>
      </w:r>
      <w:r>
        <w:rPr>
          <w:w w:val="120"/>
        </w:rPr>
        <w:t>conseguir</w:t>
      </w:r>
      <w:r>
        <w:rPr>
          <w:spacing w:val="-21"/>
          <w:w w:val="120"/>
        </w:rPr>
        <w:t> </w:t>
      </w:r>
      <w:r>
        <w:rPr>
          <w:w w:val="120"/>
        </w:rPr>
        <w:t>aprobar</w:t>
      </w:r>
      <w:r>
        <w:rPr>
          <w:spacing w:val="-21"/>
          <w:w w:val="120"/>
        </w:rPr>
        <w:t> </w:t>
      </w:r>
      <w:r>
        <w:rPr>
          <w:w w:val="120"/>
        </w:rPr>
        <w:t>el </w:t>
      </w:r>
      <w:r>
        <w:rPr>
          <w:spacing w:val="-3"/>
          <w:w w:val="120"/>
        </w:rPr>
        <w:t>tratado </w:t>
      </w:r>
      <w:r>
        <w:rPr>
          <w:w w:val="120"/>
        </w:rPr>
        <w:t>interamericano de asistencia recíproca (tiar) en 1947,</w:t>
      </w:r>
      <w:r>
        <w:rPr>
          <w:spacing w:val="-9"/>
          <w:w w:val="120"/>
        </w:rPr>
        <w:t> </w:t>
      </w:r>
      <w:r>
        <w:rPr>
          <w:w w:val="120"/>
        </w:rPr>
        <w:t>se </w:t>
      </w:r>
      <w:r>
        <w:rPr>
          <w:w w:val="115"/>
        </w:rPr>
        <w:t>prometió una suerte de </w:t>
      </w:r>
      <w:r>
        <w:rPr>
          <w:i/>
          <w:w w:val="115"/>
        </w:rPr>
        <w:t>Plan Marshall para América Latina</w:t>
      </w:r>
      <w:r>
        <w:rPr>
          <w:w w:val="115"/>
        </w:rPr>
        <w:t>. Para</w:t>
      </w:r>
      <w:r>
        <w:rPr>
          <w:spacing w:val="-14"/>
          <w:w w:val="115"/>
        </w:rPr>
        <w:t> </w:t>
      </w:r>
      <w:r>
        <w:rPr>
          <w:w w:val="115"/>
        </w:rPr>
        <w:t>lo- </w:t>
      </w:r>
      <w:r>
        <w:rPr>
          <w:w w:val="120"/>
        </w:rPr>
        <w:t>grar</w:t>
      </w:r>
      <w:r>
        <w:rPr>
          <w:spacing w:val="-27"/>
          <w:w w:val="120"/>
        </w:rPr>
        <w:t> </w:t>
      </w:r>
      <w:r>
        <w:rPr>
          <w:w w:val="120"/>
        </w:rPr>
        <w:t>los</w:t>
      </w:r>
      <w:r>
        <w:rPr>
          <w:spacing w:val="-27"/>
          <w:w w:val="120"/>
        </w:rPr>
        <w:t> </w:t>
      </w:r>
      <w:r>
        <w:rPr>
          <w:w w:val="120"/>
        </w:rPr>
        <w:t>votos</w:t>
      </w:r>
      <w:r>
        <w:rPr>
          <w:spacing w:val="-27"/>
          <w:w w:val="120"/>
        </w:rPr>
        <w:t> </w:t>
      </w:r>
      <w:r>
        <w:rPr>
          <w:w w:val="120"/>
        </w:rPr>
        <w:t>que</w:t>
      </w:r>
      <w:r>
        <w:rPr>
          <w:spacing w:val="-27"/>
          <w:w w:val="120"/>
        </w:rPr>
        <w:t> </w:t>
      </w:r>
      <w:r>
        <w:rPr>
          <w:w w:val="120"/>
        </w:rPr>
        <w:t>permitieran</w:t>
      </w:r>
      <w:r>
        <w:rPr>
          <w:spacing w:val="-27"/>
          <w:w w:val="120"/>
        </w:rPr>
        <w:t> </w:t>
      </w:r>
      <w:r>
        <w:rPr>
          <w:w w:val="120"/>
        </w:rPr>
        <w:t>expulsar</w:t>
      </w:r>
      <w:r>
        <w:rPr>
          <w:spacing w:val="-27"/>
          <w:w w:val="120"/>
        </w:rPr>
        <w:t> </w:t>
      </w:r>
      <w:r>
        <w:rPr>
          <w:w w:val="120"/>
        </w:rPr>
        <w:t>a</w:t>
      </w:r>
      <w:r>
        <w:rPr>
          <w:spacing w:val="-27"/>
          <w:w w:val="120"/>
        </w:rPr>
        <w:t> </w:t>
      </w:r>
      <w:r>
        <w:rPr>
          <w:w w:val="120"/>
        </w:rPr>
        <w:t>Cuba</w:t>
      </w:r>
      <w:r>
        <w:rPr>
          <w:spacing w:val="-27"/>
          <w:w w:val="120"/>
        </w:rPr>
        <w:t> </w:t>
      </w:r>
      <w:r>
        <w:rPr>
          <w:w w:val="120"/>
        </w:rPr>
        <w:t>de</w:t>
      </w:r>
      <w:r>
        <w:rPr>
          <w:spacing w:val="-27"/>
          <w:w w:val="120"/>
        </w:rPr>
        <w:t> </w:t>
      </w:r>
      <w:r>
        <w:rPr>
          <w:w w:val="120"/>
        </w:rPr>
        <w:t>la</w:t>
      </w:r>
      <w:r>
        <w:rPr>
          <w:spacing w:val="-27"/>
          <w:w w:val="120"/>
        </w:rPr>
        <w:t> </w:t>
      </w:r>
      <w:r>
        <w:rPr>
          <w:w w:val="120"/>
        </w:rPr>
        <w:t>oEa,</w:t>
      </w:r>
      <w:r>
        <w:rPr>
          <w:spacing w:val="-27"/>
          <w:w w:val="120"/>
        </w:rPr>
        <w:t> </w:t>
      </w:r>
      <w:r>
        <w:rPr>
          <w:w w:val="120"/>
        </w:rPr>
        <w:t>se</w:t>
      </w:r>
      <w:r>
        <w:rPr>
          <w:spacing w:val="-27"/>
          <w:w w:val="120"/>
        </w:rPr>
        <w:t> </w:t>
      </w:r>
      <w:r>
        <w:rPr>
          <w:w w:val="120"/>
        </w:rPr>
        <w:t>lanzó</w:t>
      </w:r>
      <w:r>
        <w:rPr>
          <w:spacing w:val="-27"/>
          <w:w w:val="120"/>
        </w:rPr>
        <w:t> </w:t>
      </w:r>
      <w:r>
        <w:rPr>
          <w:w w:val="120"/>
        </w:rPr>
        <w:t>la </w:t>
      </w:r>
      <w:r>
        <w:rPr>
          <w:w w:val="139"/>
        </w:rPr>
        <w:t>a</w:t>
      </w:r>
      <w:r>
        <w:rPr>
          <w:w w:val="112"/>
        </w:rPr>
        <w:t>lianza</w:t>
      </w:r>
      <w:r>
        <w:rPr>
          <w:spacing w:val="10"/>
        </w:rPr>
        <w:t> </w:t>
      </w:r>
      <w:r>
        <w:rPr>
          <w:w w:val="109"/>
        </w:rPr>
        <w:t>para</w:t>
      </w:r>
      <w:r>
        <w:rPr>
          <w:spacing w:val="10"/>
        </w:rPr>
        <w:t> </w:t>
      </w:r>
      <w:r>
        <w:rPr>
          <w:w w:val="107"/>
        </w:rPr>
        <w:t>el</w:t>
      </w:r>
      <w:r>
        <w:rPr>
          <w:spacing w:val="10"/>
        </w:rPr>
        <w:t> </w:t>
      </w:r>
      <w:r>
        <w:rPr>
          <w:w w:val="110"/>
        </w:rPr>
        <w:t>Progreso.</w:t>
      </w:r>
      <w:r>
        <w:rPr>
          <w:spacing w:val="10"/>
        </w:rPr>
        <w:t> </w:t>
      </w:r>
      <w:r>
        <w:rPr>
          <w:w w:val="243"/>
        </w:rPr>
        <w:t>l</w:t>
      </w:r>
      <w:r>
        <w:rPr>
          <w:w w:val="109"/>
        </w:rPr>
        <w:t>uego</w:t>
      </w:r>
      <w:r>
        <w:rPr>
          <w:spacing w:val="10"/>
        </w:rPr>
        <w:t> </w:t>
      </w:r>
      <w:r>
        <w:rPr>
          <w:w w:val="107"/>
        </w:rPr>
        <w:t>del</w:t>
      </w:r>
      <w:r>
        <w:rPr>
          <w:spacing w:val="10"/>
        </w:rPr>
        <w:t> </w:t>
      </w:r>
      <w:r>
        <w:rPr>
          <w:w w:val="111"/>
        </w:rPr>
        <w:t>fracaso</w:t>
      </w:r>
      <w:r>
        <w:rPr>
          <w:spacing w:val="10"/>
        </w:rPr>
        <w:t> </w:t>
      </w:r>
      <w:r>
        <w:rPr>
          <w:w w:val="107"/>
        </w:rPr>
        <w:t>del</w:t>
      </w:r>
      <w:r>
        <w:rPr>
          <w:spacing w:val="10"/>
        </w:rPr>
        <w:t> </w:t>
      </w:r>
      <w:r>
        <w:rPr>
          <w:w w:val="110"/>
        </w:rPr>
        <w:t>endurecimiento</w:t>
      </w:r>
      <w:r>
        <w:rPr>
          <w:spacing w:val="10"/>
        </w:rPr>
        <w:t> </w:t>
      </w:r>
      <w:r>
        <w:rPr>
          <w:w w:val="107"/>
        </w:rPr>
        <w:t>de</w:t>
      </w:r>
      <w:r>
        <w:rPr>
          <w:spacing w:val="10"/>
        </w:rPr>
        <w:t> </w:t>
      </w:r>
      <w:r>
        <w:rPr>
          <w:w w:val="109"/>
        </w:rPr>
        <w:t>las </w:t>
      </w:r>
      <w:r>
        <w:rPr>
          <w:w w:val="115"/>
        </w:rPr>
        <w:t>sanciones</w:t>
      </w:r>
      <w:r>
        <w:rPr>
          <w:spacing w:val="-11"/>
          <w:w w:val="115"/>
        </w:rPr>
        <w:t> </w:t>
      </w:r>
      <w:r>
        <w:rPr>
          <w:w w:val="115"/>
        </w:rPr>
        <w:t>económicas</w:t>
      </w:r>
      <w:r>
        <w:rPr>
          <w:spacing w:val="-11"/>
          <w:w w:val="115"/>
        </w:rPr>
        <w:t> </w:t>
      </w:r>
      <w:r>
        <w:rPr>
          <w:w w:val="115"/>
        </w:rPr>
        <w:t>contra</w:t>
      </w:r>
      <w:r>
        <w:rPr>
          <w:spacing w:val="-11"/>
          <w:w w:val="115"/>
        </w:rPr>
        <w:t> </w:t>
      </w:r>
      <w:r>
        <w:rPr>
          <w:w w:val="115"/>
        </w:rPr>
        <w:t>Cuba</w:t>
      </w:r>
      <w:r>
        <w:rPr>
          <w:spacing w:val="-11"/>
          <w:w w:val="115"/>
        </w:rPr>
        <w:t> </w:t>
      </w:r>
      <w:r>
        <w:rPr>
          <w:w w:val="115"/>
        </w:rPr>
        <w:t>en</w:t>
      </w:r>
      <w:r>
        <w:rPr>
          <w:spacing w:val="-11"/>
          <w:w w:val="115"/>
        </w:rPr>
        <w:t> </w:t>
      </w:r>
      <w:r>
        <w:rPr>
          <w:w w:val="115"/>
        </w:rPr>
        <w:t>la</w:t>
      </w:r>
      <w:r>
        <w:rPr>
          <w:spacing w:val="-11"/>
          <w:w w:val="115"/>
        </w:rPr>
        <w:t> </w:t>
      </w:r>
      <w:r>
        <w:rPr>
          <w:w w:val="115"/>
        </w:rPr>
        <w:t>década</w:t>
      </w:r>
      <w:r>
        <w:rPr>
          <w:spacing w:val="-11"/>
          <w:w w:val="115"/>
        </w:rPr>
        <w:t> </w:t>
      </w:r>
      <w:r>
        <w:rPr>
          <w:w w:val="115"/>
        </w:rPr>
        <w:t>de</w:t>
      </w:r>
      <w:r>
        <w:rPr>
          <w:spacing w:val="-11"/>
          <w:w w:val="115"/>
        </w:rPr>
        <w:t> </w:t>
      </w:r>
      <w:r>
        <w:rPr>
          <w:w w:val="115"/>
        </w:rPr>
        <w:t>1990,</w:t>
      </w:r>
      <w:r>
        <w:rPr>
          <w:spacing w:val="-11"/>
          <w:w w:val="115"/>
        </w:rPr>
        <w:t> </w:t>
      </w:r>
      <w:r>
        <w:rPr>
          <w:w w:val="115"/>
        </w:rPr>
        <w:t>ahora</w:t>
      </w:r>
      <w:r>
        <w:rPr>
          <w:spacing w:val="-11"/>
          <w:w w:val="115"/>
        </w:rPr>
        <w:t> </w:t>
      </w:r>
      <w:r>
        <w:rPr>
          <w:w w:val="115"/>
        </w:rPr>
        <w:t>oba- ma</w:t>
      </w:r>
      <w:r>
        <w:rPr>
          <w:spacing w:val="-16"/>
          <w:w w:val="115"/>
        </w:rPr>
        <w:t> </w:t>
      </w:r>
      <w:r>
        <w:rPr>
          <w:w w:val="115"/>
        </w:rPr>
        <w:t>optó</w:t>
      </w:r>
      <w:r>
        <w:rPr>
          <w:spacing w:val="-16"/>
          <w:w w:val="115"/>
        </w:rPr>
        <w:t> </w:t>
      </w:r>
      <w:r>
        <w:rPr>
          <w:w w:val="115"/>
        </w:rPr>
        <w:t>por</w:t>
      </w:r>
      <w:r>
        <w:rPr>
          <w:spacing w:val="-16"/>
          <w:w w:val="115"/>
        </w:rPr>
        <w:t> </w:t>
      </w:r>
      <w:r>
        <w:rPr>
          <w:w w:val="115"/>
        </w:rPr>
        <w:t>la</w:t>
      </w:r>
      <w:r>
        <w:rPr>
          <w:spacing w:val="-16"/>
          <w:w w:val="115"/>
        </w:rPr>
        <w:t> </w:t>
      </w:r>
      <w:r>
        <w:rPr>
          <w:w w:val="115"/>
        </w:rPr>
        <w:t>distensión</w:t>
      </w:r>
      <w:r>
        <w:rPr>
          <w:spacing w:val="-16"/>
          <w:w w:val="115"/>
        </w:rPr>
        <w:t> </w:t>
      </w:r>
      <w:r>
        <w:rPr>
          <w:w w:val="115"/>
        </w:rPr>
        <w:t>y</w:t>
      </w:r>
      <w:r>
        <w:rPr>
          <w:spacing w:val="-16"/>
          <w:w w:val="115"/>
        </w:rPr>
        <w:t> </w:t>
      </w:r>
      <w:r>
        <w:rPr>
          <w:w w:val="115"/>
        </w:rPr>
        <w:t>por</w:t>
      </w:r>
      <w:r>
        <w:rPr>
          <w:spacing w:val="-16"/>
          <w:w w:val="115"/>
        </w:rPr>
        <w:t> </w:t>
      </w:r>
      <w:r>
        <w:rPr>
          <w:w w:val="115"/>
        </w:rPr>
        <w:t>promover</w:t>
      </w:r>
      <w:r>
        <w:rPr>
          <w:spacing w:val="-16"/>
          <w:w w:val="115"/>
        </w:rPr>
        <w:t> </w:t>
      </w:r>
      <w:r>
        <w:rPr>
          <w:w w:val="115"/>
        </w:rPr>
        <w:t>el</w:t>
      </w:r>
      <w:r>
        <w:rPr>
          <w:spacing w:val="-16"/>
          <w:w w:val="115"/>
        </w:rPr>
        <w:t> </w:t>
      </w:r>
      <w:r>
        <w:rPr>
          <w:w w:val="115"/>
        </w:rPr>
        <w:t>comercio,</w:t>
      </w:r>
      <w:r>
        <w:rPr>
          <w:spacing w:val="-16"/>
          <w:w w:val="115"/>
        </w:rPr>
        <w:t> </w:t>
      </w:r>
      <w:r>
        <w:rPr>
          <w:w w:val="115"/>
        </w:rPr>
        <w:t>el</w:t>
      </w:r>
      <w:r>
        <w:rPr>
          <w:spacing w:val="-16"/>
          <w:w w:val="115"/>
        </w:rPr>
        <w:t> </w:t>
      </w:r>
      <w:r>
        <w:rPr>
          <w:w w:val="115"/>
        </w:rPr>
        <w:t>turismo</w:t>
      </w:r>
      <w:r>
        <w:rPr>
          <w:spacing w:val="-16"/>
          <w:w w:val="115"/>
        </w:rPr>
        <w:t> </w:t>
      </w:r>
      <w:r>
        <w:rPr>
          <w:w w:val="115"/>
        </w:rPr>
        <w:t>y</w:t>
      </w:r>
      <w:r>
        <w:rPr>
          <w:spacing w:val="-16"/>
          <w:w w:val="115"/>
        </w:rPr>
        <w:t> </w:t>
      </w:r>
      <w:r>
        <w:rPr>
          <w:w w:val="115"/>
        </w:rPr>
        <w:t>la radicación</w:t>
      </w:r>
      <w:r>
        <w:rPr>
          <w:spacing w:val="-28"/>
          <w:w w:val="115"/>
        </w:rPr>
        <w:t> </w:t>
      </w:r>
      <w:r>
        <w:rPr>
          <w:w w:val="115"/>
        </w:rPr>
        <w:t>de</w:t>
      </w:r>
      <w:r>
        <w:rPr>
          <w:spacing w:val="-28"/>
          <w:w w:val="115"/>
        </w:rPr>
        <w:t> </w:t>
      </w:r>
      <w:r>
        <w:rPr>
          <w:w w:val="115"/>
        </w:rPr>
        <w:t>inversiones</w:t>
      </w:r>
      <w:r>
        <w:rPr>
          <w:spacing w:val="-28"/>
          <w:w w:val="115"/>
        </w:rPr>
        <w:t> </w:t>
      </w:r>
      <w:r>
        <w:rPr>
          <w:w w:val="115"/>
        </w:rPr>
        <w:t>estadounidenses</w:t>
      </w:r>
      <w:r>
        <w:rPr>
          <w:spacing w:val="-28"/>
          <w:w w:val="115"/>
        </w:rPr>
        <w:t> </w:t>
      </w:r>
      <w:r>
        <w:rPr>
          <w:w w:val="115"/>
        </w:rPr>
        <w:t>como</w:t>
      </w:r>
      <w:r>
        <w:rPr>
          <w:spacing w:val="-28"/>
          <w:w w:val="115"/>
        </w:rPr>
        <w:t> </w:t>
      </w:r>
      <w:r>
        <w:rPr>
          <w:w w:val="115"/>
        </w:rPr>
        <w:t>un</w:t>
      </w:r>
      <w:r>
        <w:rPr>
          <w:spacing w:val="-28"/>
          <w:w w:val="115"/>
        </w:rPr>
        <w:t> </w:t>
      </w:r>
      <w:r>
        <w:rPr>
          <w:w w:val="115"/>
        </w:rPr>
        <w:t>mecanismo</w:t>
      </w:r>
      <w:r>
        <w:rPr>
          <w:spacing w:val="-28"/>
          <w:w w:val="115"/>
        </w:rPr>
        <w:t> </w:t>
      </w:r>
      <w:r>
        <w:rPr>
          <w:w w:val="115"/>
        </w:rPr>
        <w:t>para penetrar</w:t>
      </w:r>
      <w:r>
        <w:rPr>
          <w:spacing w:val="-7"/>
          <w:w w:val="115"/>
        </w:rPr>
        <w:t> </w:t>
      </w:r>
      <w:r>
        <w:rPr>
          <w:w w:val="115"/>
        </w:rPr>
        <w:t>en</w:t>
      </w:r>
      <w:r>
        <w:rPr>
          <w:spacing w:val="-7"/>
          <w:w w:val="115"/>
        </w:rPr>
        <w:t> </w:t>
      </w:r>
      <w:r>
        <w:rPr>
          <w:w w:val="115"/>
        </w:rPr>
        <w:t>la</w:t>
      </w:r>
      <w:r>
        <w:rPr>
          <w:spacing w:val="-7"/>
          <w:w w:val="115"/>
        </w:rPr>
        <w:t> </w:t>
      </w:r>
      <w:r>
        <w:rPr>
          <w:w w:val="115"/>
        </w:rPr>
        <w:t>isla</w:t>
      </w:r>
      <w:r>
        <w:rPr>
          <w:spacing w:val="-7"/>
          <w:w w:val="115"/>
        </w:rPr>
        <w:t> </w:t>
      </w:r>
      <w:r>
        <w:rPr>
          <w:w w:val="115"/>
        </w:rPr>
        <w:t>y</w:t>
      </w:r>
      <w:r>
        <w:rPr>
          <w:spacing w:val="-7"/>
          <w:w w:val="115"/>
        </w:rPr>
        <w:t> </w:t>
      </w:r>
      <w:r>
        <w:rPr>
          <w:w w:val="115"/>
        </w:rPr>
        <w:t>forzar</w:t>
      </w:r>
      <w:r>
        <w:rPr>
          <w:spacing w:val="-7"/>
          <w:w w:val="115"/>
        </w:rPr>
        <w:t> </w:t>
      </w:r>
      <w:r>
        <w:rPr>
          <w:w w:val="115"/>
        </w:rPr>
        <w:t>los</w:t>
      </w:r>
      <w:r>
        <w:rPr>
          <w:spacing w:val="-7"/>
          <w:w w:val="115"/>
        </w:rPr>
        <w:t> </w:t>
      </w:r>
      <w:r>
        <w:rPr>
          <w:w w:val="115"/>
        </w:rPr>
        <w:t>cambios</w:t>
      </w:r>
      <w:r>
        <w:rPr>
          <w:spacing w:val="-7"/>
          <w:w w:val="115"/>
        </w:rPr>
        <w:t> </w:t>
      </w:r>
      <w:r>
        <w:rPr>
          <w:w w:val="115"/>
        </w:rPr>
        <w:t>que</w:t>
      </w:r>
      <w:r>
        <w:rPr>
          <w:spacing w:val="-7"/>
          <w:w w:val="115"/>
        </w:rPr>
        <w:t> </w:t>
      </w:r>
      <w:r>
        <w:rPr>
          <w:w w:val="115"/>
        </w:rPr>
        <w:t>Washington</w:t>
      </w:r>
      <w:r>
        <w:rPr>
          <w:spacing w:val="-7"/>
          <w:w w:val="115"/>
        </w:rPr>
        <w:t> </w:t>
      </w:r>
      <w:r>
        <w:rPr>
          <w:w w:val="115"/>
        </w:rPr>
        <w:t>anhela</w:t>
      </w:r>
      <w:r>
        <w:rPr>
          <w:spacing w:val="-7"/>
          <w:w w:val="115"/>
        </w:rPr>
        <w:t> </w:t>
      </w:r>
      <w:r>
        <w:rPr>
          <w:w w:val="115"/>
        </w:rPr>
        <w:t>hace más</w:t>
      </w:r>
      <w:r>
        <w:rPr>
          <w:spacing w:val="-28"/>
          <w:w w:val="115"/>
        </w:rPr>
        <w:t> </w:t>
      </w:r>
      <w:r>
        <w:rPr>
          <w:w w:val="115"/>
        </w:rPr>
        <w:t>de</w:t>
      </w:r>
      <w:r>
        <w:rPr>
          <w:spacing w:val="-28"/>
          <w:w w:val="115"/>
        </w:rPr>
        <w:t> </w:t>
      </w:r>
      <w:r>
        <w:rPr>
          <w:w w:val="115"/>
        </w:rPr>
        <w:t>medio</w:t>
      </w:r>
      <w:r>
        <w:rPr>
          <w:spacing w:val="-28"/>
          <w:w w:val="115"/>
        </w:rPr>
        <w:t> </w:t>
      </w:r>
      <w:r>
        <w:rPr>
          <w:w w:val="115"/>
        </w:rPr>
        <w:t>siglo</w:t>
      </w:r>
      <w:r>
        <w:rPr>
          <w:spacing w:val="-28"/>
          <w:w w:val="115"/>
        </w:rPr>
        <w:t> </w:t>
      </w:r>
      <w:r>
        <w:rPr>
          <w:w w:val="115"/>
        </w:rPr>
        <w:t>(Morgenfeld,</w:t>
      </w:r>
      <w:r>
        <w:rPr>
          <w:spacing w:val="-28"/>
          <w:w w:val="115"/>
        </w:rPr>
        <w:t> </w:t>
      </w:r>
      <w:r>
        <w:rPr>
          <w:w w:val="115"/>
        </w:rPr>
        <w:t>2014a).</w:t>
      </w:r>
    </w:p>
    <w:p>
      <w:pPr>
        <w:pStyle w:val="BodyText"/>
        <w:spacing w:line="252" w:lineRule="auto"/>
        <w:ind w:left="330" w:right="117" w:firstLine="396"/>
        <w:jc w:val="both"/>
      </w:pPr>
      <w:r>
        <w:rPr>
          <w:w w:val="115"/>
        </w:rPr>
        <w:t>Como ocurrió en todo el siglo </w:t>
      </w:r>
      <w:r>
        <w:rPr>
          <w:w w:val="125"/>
        </w:rPr>
        <w:t>xx, </w:t>
      </w:r>
      <w:r>
        <w:rPr>
          <w:w w:val="115"/>
        </w:rPr>
        <w:t>hoy conviven los ofrecimien- tos –acuerdos de libre comercio, inversiones, asistencia financie- ra– con las amenazas para quienes confronten con los intereses de Washington:</w:t>
      </w:r>
      <w:r>
        <w:rPr>
          <w:spacing w:val="-8"/>
          <w:w w:val="115"/>
        </w:rPr>
        <w:t> </w:t>
      </w:r>
      <w:r>
        <w:rPr>
          <w:w w:val="115"/>
        </w:rPr>
        <w:t>red</w:t>
      </w:r>
      <w:r>
        <w:rPr>
          <w:spacing w:val="-8"/>
          <w:w w:val="115"/>
        </w:rPr>
        <w:t> </w:t>
      </w:r>
      <w:r>
        <w:rPr>
          <w:w w:val="115"/>
        </w:rPr>
        <w:t>de</w:t>
      </w:r>
      <w:r>
        <w:rPr>
          <w:spacing w:val="-8"/>
          <w:w w:val="115"/>
        </w:rPr>
        <w:t> </w:t>
      </w:r>
      <w:r>
        <w:rPr>
          <w:w w:val="115"/>
        </w:rPr>
        <w:t>bases</w:t>
      </w:r>
      <w:r>
        <w:rPr>
          <w:spacing w:val="-8"/>
          <w:w w:val="115"/>
        </w:rPr>
        <w:t> </w:t>
      </w:r>
      <w:r>
        <w:rPr>
          <w:w w:val="115"/>
        </w:rPr>
        <w:t>militares</w:t>
      </w:r>
      <w:r>
        <w:rPr>
          <w:spacing w:val="-8"/>
          <w:w w:val="115"/>
        </w:rPr>
        <w:t> </w:t>
      </w:r>
      <w:r>
        <w:rPr>
          <w:w w:val="115"/>
        </w:rPr>
        <w:t>de</w:t>
      </w:r>
      <w:r>
        <w:rPr>
          <w:spacing w:val="-8"/>
          <w:w w:val="115"/>
        </w:rPr>
        <w:t> </w:t>
      </w:r>
      <w:r>
        <w:rPr>
          <w:w w:val="115"/>
        </w:rPr>
        <w:t>nuevo</w:t>
      </w:r>
      <w:r>
        <w:rPr>
          <w:spacing w:val="-8"/>
          <w:w w:val="115"/>
        </w:rPr>
        <w:t> </w:t>
      </w:r>
      <w:r>
        <w:rPr>
          <w:w w:val="115"/>
        </w:rPr>
        <w:t>tipo,</w:t>
      </w:r>
      <w:r>
        <w:rPr>
          <w:spacing w:val="-8"/>
          <w:w w:val="115"/>
        </w:rPr>
        <w:t> </w:t>
      </w:r>
      <w:r>
        <w:rPr>
          <w:w w:val="115"/>
        </w:rPr>
        <w:t>desestabilización de</w:t>
      </w:r>
      <w:r>
        <w:rPr>
          <w:spacing w:val="-7"/>
          <w:w w:val="115"/>
        </w:rPr>
        <w:t> </w:t>
      </w:r>
      <w:r>
        <w:rPr>
          <w:w w:val="115"/>
        </w:rPr>
        <w:t>los</w:t>
      </w:r>
      <w:r>
        <w:rPr>
          <w:spacing w:val="-7"/>
          <w:w w:val="115"/>
        </w:rPr>
        <w:t> </w:t>
      </w:r>
      <w:r>
        <w:rPr>
          <w:w w:val="115"/>
        </w:rPr>
        <w:t>gobiernos</w:t>
      </w:r>
      <w:r>
        <w:rPr>
          <w:spacing w:val="-7"/>
          <w:w w:val="115"/>
        </w:rPr>
        <w:t> </w:t>
      </w:r>
      <w:r>
        <w:rPr>
          <w:w w:val="115"/>
        </w:rPr>
        <w:t>bolivarianos,</w:t>
      </w:r>
      <w:r>
        <w:rPr>
          <w:spacing w:val="-7"/>
          <w:w w:val="115"/>
        </w:rPr>
        <w:t> </w:t>
      </w:r>
      <w:r>
        <w:rPr>
          <w:w w:val="115"/>
        </w:rPr>
        <w:t>espionaje</w:t>
      </w:r>
      <w:r>
        <w:rPr>
          <w:spacing w:val="-7"/>
          <w:w w:val="115"/>
        </w:rPr>
        <w:t> </w:t>
      </w:r>
      <w:r>
        <w:rPr>
          <w:w w:val="115"/>
        </w:rPr>
        <w:t>contra</w:t>
      </w:r>
      <w:r>
        <w:rPr>
          <w:spacing w:val="-7"/>
          <w:w w:val="115"/>
        </w:rPr>
        <w:t> </w:t>
      </w:r>
      <w:r>
        <w:rPr>
          <w:w w:val="115"/>
        </w:rPr>
        <w:t>presidentes</w:t>
      </w:r>
      <w:r>
        <w:rPr>
          <w:spacing w:val="-7"/>
          <w:w w:val="115"/>
        </w:rPr>
        <w:t> </w:t>
      </w:r>
      <w:r>
        <w:rPr>
          <w:w w:val="115"/>
        </w:rPr>
        <w:t>latinoa- mericanos,</w:t>
      </w:r>
      <w:r>
        <w:rPr>
          <w:spacing w:val="-11"/>
          <w:w w:val="115"/>
        </w:rPr>
        <w:t> </w:t>
      </w:r>
      <w:r>
        <w:rPr>
          <w:w w:val="115"/>
        </w:rPr>
        <w:t>presión</w:t>
      </w:r>
      <w:r>
        <w:rPr>
          <w:spacing w:val="-11"/>
          <w:w w:val="115"/>
        </w:rPr>
        <w:t> </w:t>
      </w:r>
      <w:r>
        <w:rPr>
          <w:w w:val="115"/>
        </w:rPr>
        <w:t>a</w:t>
      </w:r>
      <w:r>
        <w:rPr>
          <w:spacing w:val="-11"/>
          <w:w w:val="115"/>
        </w:rPr>
        <w:t> </w:t>
      </w:r>
      <w:r>
        <w:rPr>
          <w:w w:val="115"/>
        </w:rPr>
        <w:t>través</w:t>
      </w:r>
      <w:r>
        <w:rPr>
          <w:spacing w:val="-11"/>
          <w:w w:val="115"/>
        </w:rPr>
        <w:t> </w:t>
      </w:r>
      <w:r>
        <w:rPr>
          <w:w w:val="115"/>
        </w:rPr>
        <w:t>de</w:t>
      </w:r>
      <w:r>
        <w:rPr>
          <w:spacing w:val="-11"/>
          <w:w w:val="115"/>
        </w:rPr>
        <w:t> </w:t>
      </w:r>
      <w:r>
        <w:rPr>
          <w:w w:val="115"/>
        </w:rPr>
        <w:t>las</w:t>
      </w:r>
      <w:r>
        <w:rPr>
          <w:spacing w:val="-11"/>
          <w:w w:val="115"/>
        </w:rPr>
        <w:t> </w:t>
      </w:r>
      <w:r>
        <w:rPr>
          <w:w w:val="115"/>
        </w:rPr>
        <w:t>grandes</w:t>
      </w:r>
      <w:r>
        <w:rPr>
          <w:spacing w:val="-11"/>
          <w:w w:val="115"/>
        </w:rPr>
        <w:t> </w:t>
      </w:r>
      <w:r>
        <w:rPr>
          <w:w w:val="115"/>
        </w:rPr>
        <w:t>corporaciones</w:t>
      </w:r>
      <w:r>
        <w:rPr>
          <w:spacing w:val="-11"/>
          <w:w w:val="115"/>
        </w:rPr>
        <w:t> </w:t>
      </w:r>
      <w:r>
        <w:rPr>
          <w:w w:val="115"/>
        </w:rPr>
        <w:t>de</w:t>
      </w:r>
      <w:r>
        <w:rPr>
          <w:spacing w:val="-11"/>
          <w:w w:val="115"/>
        </w:rPr>
        <w:t> </w:t>
      </w:r>
      <w:r>
        <w:rPr>
          <w:w w:val="115"/>
        </w:rPr>
        <w:t>prensa, financiamiento</w:t>
      </w:r>
      <w:r>
        <w:rPr>
          <w:spacing w:val="-9"/>
          <w:w w:val="115"/>
        </w:rPr>
        <w:t> </w:t>
      </w:r>
      <w:r>
        <w:rPr>
          <w:w w:val="115"/>
        </w:rPr>
        <w:t>a</w:t>
      </w:r>
      <w:r>
        <w:rPr>
          <w:spacing w:val="-9"/>
          <w:w w:val="115"/>
        </w:rPr>
        <w:t> </w:t>
      </w:r>
      <w:r>
        <w:rPr>
          <w:w w:val="115"/>
        </w:rPr>
        <w:t>grupos</w:t>
      </w:r>
      <w:r>
        <w:rPr>
          <w:spacing w:val="-9"/>
          <w:w w:val="115"/>
        </w:rPr>
        <w:t> </w:t>
      </w:r>
      <w:r>
        <w:rPr>
          <w:w w:val="115"/>
        </w:rPr>
        <w:t>opositores</w:t>
      </w:r>
      <w:r>
        <w:rPr>
          <w:spacing w:val="-9"/>
          <w:w w:val="115"/>
        </w:rPr>
        <w:t> </w:t>
      </w:r>
      <w:r>
        <w:rPr>
          <w:w w:val="115"/>
        </w:rPr>
        <w:t>a</w:t>
      </w:r>
      <w:r>
        <w:rPr>
          <w:spacing w:val="-9"/>
          <w:w w:val="115"/>
        </w:rPr>
        <w:t> </w:t>
      </w:r>
      <w:r>
        <w:rPr>
          <w:w w:val="115"/>
        </w:rPr>
        <w:t>través</w:t>
      </w:r>
      <w:r>
        <w:rPr>
          <w:spacing w:val="-9"/>
          <w:w w:val="115"/>
        </w:rPr>
        <w:t> </w:t>
      </w:r>
      <w:r>
        <w:rPr>
          <w:w w:val="115"/>
        </w:rPr>
        <w:t>de</w:t>
      </w:r>
      <w:r>
        <w:rPr>
          <w:spacing w:val="-9"/>
          <w:w w:val="115"/>
        </w:rPr>
        <w:t> </w:t>
      </w:r>
      <w:r>
        <w:rPr>
          <w:w w:val="115"/>
        </w:rPr>
        <w:t>oNGs,</w:t>
      </w:r>
      <w:r>
        <w:rPr>
          <w:spacing w:val="-9"/>
          <w:w w:val="115"/>
        </w:rPr>
        <w:t> </w:t>
      </w:r>
      <w:r>
        <w:rPr>
          <w:w w:val="115"/>
        </w:rPr>
        <w:t>quita</w:t>
      </w:r>
      <w:r>
        <w:rPr>
          <w:spacing w:val="-9"/>
          <w:w w:val="115"/>
        </w:rPr>
        <w:t> </w:t>
      </w:r>
      <w:r>
        <w:rPr>
          <w:w w:val="115"/>
        </w:rPr>
        <w:t>de</w:t>
      </w:r>
      <w:r>
        <w:rPr>
          <w:spacing w:val="-9"/>
          <w:w w:val="115"/>
        </w:rPr>
        <w:t> </w:t>
      </w:r>
      <w:r>
        <w:rPr>
          <w:w w:val="115"/>
        </w:rPr>
        <w:t>bene- ficios</w:t>
      </w:r>
      <w:r>
        <w:rPr>
          <w:spacing w:val="-23"/>
          <w:w w:val="115"/>
        </w:rPr>
        <w:t> </w:t>
      </w:r>
      <w:r>
        <w:rPr>
          <w:w w:val="115"/>
        </w:rPr>
        <w:t>comerciales.</w:t>
      </w:r>
      <w:r>
        <w:rPr>
          <w:spacing w:val="-23"/>
          <w:w w:val="115"/>
        </w:rPr>
        <w:t> </w:t>
      </w:r>
      <w:r>
        <w:rPr>
          <w:w w:val="115"/>
        </w:rPr>
        <w:t>Estados</w:t>
      </w:r>
      <w:r>
        <w:rPr>
          <w:spacing w:val="-23"/>
          <w:w w:val="115"/>
        </w:rPr>
        <w:t> </w:t>
      </w:r>
      <w:r>
        <w:rPr>
          <w:w w:val="115"/>
        </w:rPr>
        <w:t>unidos</w:t>
      </w:r>
      <w:r>
        <w:rPr>
          <w:spacing w:val="-23"/>
          <w:w w:val="115"/>
        </w:rPr>
        <w:t> </w:t>
      </w:r>
      <w:r>
        <w:rPr>
          <w:w w:val="115"/>
        </w:rPr>
        <w:t>necesita</w:t>
      </w:r>
      <w:r>
        <w:rPr>
          <w:spacing w:val="-23"/>
          <w:w w:val="115"/>
        </w:rPr>
        <w:t> </w:t>
      </w:r>
      <w:r>
        <w:rPr>
          <w:w w:val="115"/>
        </w:rPr>
        <w:t>restablecer</w:t>
      </w:r>
      <w:r>
        <w:rPr>
          <w:spacing w:val="-23"/>
          <w:w w:val="115"/>
        </w:rPr>
        <w:t> </w:t>
      </w:r>
      <w:r>
        <w:rPr>
          <w:w w:val="115"/>
        </w:rPr>
        <w:t>la</w:t>
      </w:r>
      <w:r>
        <w:rPr>
          <w:spacing w:val="-23"/>
          <w:w w:val="115"/>
        </w:rPr>
        <w:t> </w:t>
      </w:r>
      <w:r>
        <w:rPr>
          <w:w w:val="115"/>
        </w:rPr>
        <w:t>legitimidad e influencia que supo tener la oEa en la posguerra, una institución que fue –la mayor parte de las veces– funcional a sus estrategias</w:t>
      </w:r>
      <w:r>
        <w:rPr>
          <w:spacing w:val="-9"/>
          <w:w w:val="115"/>
        </w:rPr>
        <w:t> </w:t>
      </w:r>
      <w:r>
        <w:rPr>
          <w:w w:val="115"/>
        </w:rPr>
        <w:t>de </w:t>
      </w:r>
      <w:r>
        <w:rPr>
          <w:w w:val="110"/>
        </w:rPr>
        <w:t>dominio y ordenamiento</w:t>
      </w:r>
      <w:r>
        <w:rPr>
          <w:spacing w:val="33"/>
          <w:w w:val="110"/>
        </w:rPr>
        <w:t> </w:t>
      </w:r>
      <w:r>
        <w:rPr>
          <w:w w:val="110"/>
        </w:rPr>
        <w:t>regional</w:t>
      </w:r>
      <w:r>
        <w:rPr>
          <w:w w:val="110"/>
          <w:position w:val="6"/>
          <w:sz w:val="11"/>
        </w:rPr>
        <w:t>37</w:t>
      </w:r>
      <w:r>
        <w:rPr>
          <w:w w:val="110"/>
        </w:rPr>
        <w:t>.</w:t>
      </w:r>
    </w:p>
    <w:p>
      <w:pPr>
        <w:pStyle w:val="BodyText"/>
        <w:spacing w:before="6"/>
        <w:rPr>
          <w:sz w:val="29"/>
        </w:rPr>
      </w:pPr>
      <w:r>
        <w:rPr/>
        <w:pict>
          <v:line style="position:absolute;mso-position-horizontal-relative:page;mso-position-vertical-relative:paragraph;z-index:8344;mso-wrap-distance-left:0;mso-wrap-distance-right:0" from="76.5354pt,19.529030pt" to="104.8814pt,19.529030pt" stroked="true" strokeweight=".5pt" strokecolor="#000000">
            <w10:wrap type="topAndBottom"/>
          </v:line>
        </w:pict>
      </w:r>
    </w:p>
    <w:p>
      <w:pPr>
        <w:pStyle w:val="ListParagraph"/>
        <w:numPr>
          <w:ilvl w:val="0"/>
          <w:numId w:val="34"/>
        </w:numPr>
        <w:tabs>
          <w:tab w:pos="586" w:val="left" w:leader="none"/>
        </w:tabs>
        <w:spacing w:line="242" w:lineRule="auto" w:before="89" w:after="0"/>
        <w:ind w:left="330" w:right="117" w:firstLine="0"/>
        <w:jc w:val="both"/>
        <w:rPr>
          <w:sz w:val="16"/>
        </w:rPr>
      </w:pPr>
      <w:r>
        <w:rPr>
          <w:w w:val="110"/>
          <w:sz w:val="16"/>
        </w:rPr>
        <w:t>Más allá de los objetivos que se propone Estados unidos, otra cuestión es cuáles son las posibilidades reales que tiene de lograrlos. Esa aproximación prospectiva requiere del análisis de la correlación de fuerzas sociales y políticas, tanto a nivel global y hemisférico como nacional, cuestión que excede este artículo, pero que dejamos</w:t>
      </w:r>
      <w:r>
        <w:rPr>
          <w:spacing w:val="-14"/>
          <w:w w:val="110"/>
          <w:sz w:val="16"/>
        </w:rPr>
        <w:t> </w:t>
      </w:r>
      <w:r>
        <w:rPr>
          <w:w w:val="110"/>
          <w:sz w:val="16"/>
        </w:rPr>
        <w:t>planteada.</w:t>
      </w:r>
    </w:p>
    <w:p>
      <w:pPr>
        <w:pStyle w:val="ListParagraph"/>
        <w:numPr>
          <w:ilvl w:val="0"/>
          <w:numId w:val="34"/>
        </w:numPr>
        <w:tabs>
          <w:tab w:pos="586" w:val="left" w:leader="none"/>
        </w:tabs>
        <w:spacing w:line="240" w:lineRule="auto" w:before="57" w:after="0"/>
        <w:ind w:left="585" w:right="0" w:hanging="255"/>
        <w:jc w:val="both"/>
        <w:rPr>
          <w:sz w:val="16"/>
        </w:rPr>
      </w:pPr>
      <w:r>
        <w:rPr>
          <w:spacing w:val="-3"/>
          <w:w w:val="105"/>
          <w:sz w:val="16"/>
        </w:rPr>
        <w:t>Para </w:t>
      </w:r>
      <w:r>
        <w:rPr>
          <w:w w:val="105"/>
          <w:sz w:val="16"/>
        </w:rPr>
        <w:t>un </w:t>
      </w:r>
      <w:r>
        <w:rPr>
          <w:spacing w:val="-4"/>
          <w:w w:val="105"/>
          <w:sz w:val="16"/>
        </w:rPr>
        <w:t>análisis crítico </w:t>
      </w:r>
      <w:r>
        <w:rPr>
          <w:spacing w:val="-3"/>
          <w:w w:val="105"/>
          <w:sz w:val="16"/>
        </w:rPr>
        <w:t>del </w:t>
      </w:r>
      <w:r>
        <w:rPr>
          <w:spacing w:val="-4"/>
          <w:w w:val="105"/>
          <w:sz w:val="16"/>
        </w:rPr>
        <w:t>panamericanismo </w:t>
      </w:r>
      <w:r>
        <w:rPr>
          <w:w w:val="105"/>
          <w:sz w:val="16"/>
        </w:rPr>
        <w:t>y de la </w:t>
      </w:r>
      <w:r>
        <w:rPr>
          <w:spacing w:val="-3"/>
          <w:w w:val="105"/>
          <w:sz w:val="16"/>
        </w:rPr>
        <w:t>oEa, </w:t>
      </w:r>
      <w:r>
        <w:rPr>
          <w:spacing w:val="-4"/>
          <w:w w:val="105"/>
          <w:sz w:val="16"/>
        </w:rPr>
        <w:t>véase </w:t>
      </w:r>
      <w:r>
        <w:rPr>
          <w:spacing w:val="-5"/>
          <w:w w:val="105"/>
          <w:sz w:val="16"/>
        </w:rPr>
        <w:t>Vázquez </w:t>
      </w:r>
      <w:r>
        <w:rPr>
          <w:spacing w:val="-4"/>
          <w:w w:val="105"/>
          <w:sz w:val="16"/>
        </w:rPr>
        <w:t>García</w:t>
      </w:r>
      <w:r>
        <w:rPr>
          <w:spacing w:val="18"/>
          <w:w w:val="105"/>
          <w:sz w:val="16"/>
        </w:rPr>
        <w:t> </w:t>
      </w:r>
      <w:r>
        <w:rPr>
          <w:spacing w:val="-4"/>
          <w:w w:val="105"/>
          <w:sz w:val="16"/>
        </w:rPr>
        <w:t>(2001).</w:t>
      </w:r>
    </w:p>
    <w:p>
      <w:pPr>
        <w:spacing w:after="0" w:line="240" w:lineRule="auto"/>
        <w:jc w:val="both"/>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00" w:right="327" w:firstLine="396"/>
        <w:jc w:val="both"/>
      </w:pPr>
      <w:r>
        <w:rPr>
          <w:w w:val="243"/>
        </w:rPr>
        <w:t>l</w:t>
      </w:r>
      <w:r>
        <w:rPr>
          <w:w w:val="108"/>
        </w:rPr>
        <w:t>os</w:t>
      </w:r>
      <w:r>
        <w:rPr/>
        <w:t> </w:t>
      </w:r>
      <w:r>
        <w:rPr>
          <w:spacing w:val="-15"/>
        </w:rPr>
        <w:t> </w:t>
      </w:r>
      <w:r>
        <w:rPr>
          <w:w w:val="110"/>
        </w:rPr>
        <w:t>movimientos</w:t>
      </w:r>
      <w:r>
        <w:rPr/>
        <w:t> </w:t>
      </w:r>
      <w:r>
        <w:rPr>
          <w:spacing w:val="-15"/>
        </w:rPr>
        <w:t> </w:t>
      </w:r>
      <w:r>
        <w:rPr>
          <w:w w:val="109"/>
        </w:rPr>
        <w:t>sociales</w:t>
      </w:r>
      <w:r>
        <w:rPr/>
        <w:t> </w:t>
      </w:r>
      <w:r>
        <w:rPr>
          <w:spacing w:val="-15"/>
        </w:rPr>
        <w:t> </w:t>
      </w:r>
      <w:r>
        <w:rPr>
          <w:w w:val="105"/>
        </w:rPr>
        <w:t>y</w:t>
      </w:r>
      <w:r>
        <w:rPr/>
        <w:t> </w:t>
      </w:r>
      <w:r>
        <w:rPr>
          <w:spacing w:val="-15"/>
        </w:rPr>
        <w:t> </w:t>
      </w:r>
      <w:r>
        <w:rPr>
          <w:w w:val="109"/>
        </w:rPr>
        <w:t>las</w:t>
      </w:r>
      <w:r>
        <w:rPr/>
        <w:t> </w:t>
      </w:r>
      <w:r>
        <w:rPr>
          <w:spacing w:val="-15"/>
        </w:rPr>
        <w:t> </w:t>
      </w:r>
      <w:r>
        <w:rPr>
          <w:w w:val="109"/>
        </w:rPr>
        <w:t>fuerzas</w:t>
      </w:r>
      <w:r>
        <w:rPr/>
        <w:t> </w:t>
      </w:r>
      <w:r>
        <w:rPr>
          <w:spacing w:val="-15"/>
        </w:rPr>
        <w:t> </w:t>
      </w:r>
      <w:r>
        <w:rPr>
          <w:w w:val="111"/>
        </w:rPr>
        <w:t>políticas</w:t>
      </w:r>
      <w:r>
        <w:rPr/>
        <w:t> </w:t>
      </w:r>
      <w:r>
        <w:rPr>
          <w:spacing w:val="-15"/>
        </w:rPr>
        <w:t> </w:t>
      </w:r>
      <w:r>
        <w:rPr>
          <w:w w:val="108"/>
        </w:rPr>
        <w:t>populares</w:t>
      </w:r>
      <w:r>
        <w:rPr/>
        <w:t> </w:t>
      </w:r>
      <w:r>
        <w:rPr>
          <w:spacing w:val="-15"/>
        </w:rPr>
        <w:t> </w:t>
      </w:r>
      <w:r>
        <w:rPr>
          <w:w w:val="107"/>
        </w:rPr>
        <w:t>de</w:t>
      </w:r>
      <w:r>
        <w:rPr/>
        <w:t> </w:t>
      </w:r>
      <w:r>
        <w:rPr>
          <w:spacing w:val="-15"/>
        </w:rPr>
        <w:t> </w:t>
      </w:r>
      <w:r>
        <w:rPr>
          <w:w w:val="111"/>
        </w:rPr>
        <w:t>la </w:t>
      </w:r>
      <w:r>
        <w:rPr>
          <w:w w:val="110"/>
        </w:rPr>
        <w:t>región advierten, mayoritariamente, esta nueva ofensiva imperialista, que aprovecha las debilidades del bloque bolivariano para reintrodu- cir la agenda neoliberal. retomar la integración desde abajo, aquella que hace casi una década logró derrotar al </w:t>
      </w:r>
      <w:r>
        <w:rPr>
          <w:w w:val="125"/>
        </w:rPr>
        <w:t>alCa, </w:t>
      </w:r>
      <w:r>
        <w:rPr>
          <w:w w:val="110"/>
        </w:rPr>
        <w:t>parece uno de los caminos que están privilegiando para resistir este nuevo embate. En esa línea, es hora de restar importancia a las Cumbres de las améri- cas, planteadas originalmente por Washington para erigir al </w:t>
      </w:r>
      <w:r>
        <w:rPr>
          <w:w w:val="125"/>
        </w:rPr>
        <w:t>alCa, </w:t>
      </w:r>
      <w:r>
        <w:rPr>
          <w:w w:val="110"/>
        </w:rPr>
        <w:t>y avanzar en cambio en la integración autónoma, por fuera del manda- to de Estados unidos, y con una agenda  </w:t>
      </w:r>
      <w:r>
        <w:rPr>
          <w:spacing w:val="39"/>
          <w:w w:val="110"/>
        </w:rPr>
        <w:t> </w:t>
      </w:r>
      <w:r>
        <w:rPr>
          <w:w w:val="110"/>
        </w:rPr>
        <w:t>propia.</w:t>
      </w:r>
    </w:p>
    <w:p>
      <w:pPr>
        <w:pStyle w:val="BodyText"/>
        <w:spacing w:line="252" w:lineRule="auto"/>
        <w:ind w:left="100" w:right="328" w:firstLine="396"/>
        <w:jc w:val="both"/>
      </w:pPr>
      <w:r>
        <w:rPr>
          <w:w w:val="243"/>
        </w:rPr>
        <w:t>l</w:t>
      </w:r>
      <w:r>
        <w:rPr>
          <w:w w:val="112"/>
        </w:rPr>
        <w:t>a</w:t>
      </w:r>
      <w:r>
        <w:rPr>
          <w:spacing w:val="16"/>
        </w:rPr>
        <w:t> </w:t>
      </w:r>
      <w:r>
        <w:rPr>
          <w:w w:val="110"/>
        </w:rPr>
        <w:t>histórica</w:t>
      </w:r>
      <w:r>
        <w:rPr>
          <w:spacing w:val="16"/>
        </w:rPr>
        <w:t> </w:t>
      </w:r>
      <w:r>
        <w:rPr>
          <w:w w:val="108"/>
        </w:rPr>
        <w:t>estrategia</w:t>
      </w:r>
      <w:r>
        <w:rPr>
          <w:spacing w:val="16"/>
        </w:rPr>
        <w:t> </w:t>
      </w:r>
      <w:r>
        <w:rPr>
          <w:w w:val="107"/>
        </w:rPr>
        <w:t>de</w:t>
      </w:r>
      <w:r>
        <w:rPr>
          <w:spacing w:val="16"/>
        </w:rPr>
        <w:t> </w:t>
      </w:r>
      <w:r>
        <w:rPr>
          <w:w w:val="110"/>
        </w:rPr>
        <w:t>fragmentar</w:t>
      </w:r>
      <w:r>
        <w:rPr>
          <w:spacing w:val="16"/>
        </w:rPr>
        <w:t> </w:t>
      </w:r>
      <w:r>
        <w:rPr>
          <w:w w:val="111"/>
        </w:rPr>
        <w:t>la</w:t>
      </w:r>
      <w:r>
        <w:rPr>
          <w:spacing w:val="16"/>
        </w:rPr>
        <w:t> </w:t>
      </w:r>
      <w:r>
        <w:rPr>
          <w:w w:val="111"/>
        </w:rPr>
        <w:t>unidad</w:t>
      </w:r>
      <w:r>
        <w:rPr>
          <w:spacing w:val="16"/>
        </w:rPr>
        <w:t> </w:t>
      </w:r>
      <w:r>
        <w:rPr>
          <w:w w:val="112"/>
        </w:rPr>
        <w:t>latinoamericana, </w:t>
      </w:r>
      <w:r>
        <w:rPr>
          <w:w w:val="110"/>
        </w:rPr>
        <w:t>aún vigente, enfrenta serios desafíos. El </w:t>
      </w:r>
      <w:r>
        <w:rPr>
          <w:w w:val="150"/>
        </w:rPr>
        <w:t>alba, </w:t>
      </w:r>
      <w:r>
        <w:rPr>
          <w:w w:val="110"/>
        </w:rPr>
        <w:t>como proyecto de in- tegración alternativa, y la </w:t>
      </w:r>
      <w:r>
        <w:rPr>
          <w:w w:val="150"/>
        </w:rPr>
        <w:t>uNasur </w:t>
      </w:r>
      <w:r>
        <w:rPr>
          <w:w w:val="110"/>
        </w:rPr>
        <w:t>y la </w:t>
      </w:r>
      <w:r>
        <w:rPr>
          <w:w w:val="150"/>
        </w:rPr>
        <w:t>CElaC, </w:t>
      </w:r>
      <w:r>
        <w:rPr>
          <w:w w:val="110"/>
        </w:rPr>
        <w:t>como herramientas de coordinación y concertación política entre los países de Nuestra américa, son una manifestación de la menguante hegemonía estadou- nidense. superar la concepción del </w:t>
      </w:r>
      <w:r>
        <w:rPr>
          <w:i/>
          <w:w w:val="110"/>
        </w:rPr>
        <w:t>realismo periférico</w:t>
      </w:r>
      <w:r>
        <w:rPr>
          <w:w w:val="110"/>
        </w:rPr>
        <w:t>, renuente a</w:t>
      </w:r>
      <w:r>
        <w:rPr>
          <w:spacing w:val="-9"/>
          <w:w w:val="110"/>
        </w:rPr>
        <w:t> </w:t>
      </w:r>
      <w:r>
        <w:rPr>
          <w:w w:val="110"/>
        </w:rPr>
        <w:t>con- frontar con la principal potencia por los costos económicos que su- puestamente acarrearía, es el desafío principal de las clases populares de los países de la región. Es hora de concebir otro tipo de</w:t>
      </w:r>
      <w:r>
        <w:rPr>
          <w:spacing w:val="-27"/>
          <w:w w:val="110"/>
        </w:rPr>
        <w:t> </w:t>
      </w:r>
      <w:r>
        <w:rPr>
          <w:w w:val="110"/>
        </w:rPr>
        <w:t>integración, inspirada</w:t>
      </w:r>
      <w:r>
        <w:rPr>
          <w:spacing w:val="-4"/>
          <w:w w:val="110"/>
        </w:rPr>
        <w:t> </w:t>
      </w:r>
      <w:r>
        <w:rPr>
          <w:w w:val="110"/>
        </w:rPr>
        <w:t>en</w:t>
      </w:r>
      <w:r>
        <w:rPr>
          <w:spacing w:val="-4"/>
          <w:w w:val="110"/>
        </w:rPr>
        <w:t> </w:t>
      </w:r>
      <w:r>
        <w:rPr>
          <w:w w:val="110"/>
        </w:rPr>
        <w:t>los</w:t>
      </w:r>
      <w:r>
        <w:rPr>
          <w:spacing w:val="-4"/>
          <w:w w:val="110"/>
        </w:rPr>
        <w:t> </w:t>
      </w:r>
      <w:r>
        <w:rPr>
          <w:w w:val="110"/>
        </w:rPr>
        <w:t>ideales</w:t>
      </w:r>
      <w:r>
        <w:rPr>
          <w:spacing w:val="-4"/>
          <w:w w:val="110"/>
        </w:rPr>
        <w:t> </w:t>
      </w:r>
      <w:r>
        <w:rPr>
          <w:w w:val="110"/>
        </w:rPr>
        <w:t>bolivarianos,</w:t>
      </w:r>
      <w:r>
        <w:rPr>
          <w:spacing w:val="-4"/>
          <w:w w:val="110"/>
        </w:rPr>
        <w:t> </w:t>
      </w:r>
      <w:r>
        <w:rPr>
          <w:w w:val="110"/>
        </w:rPr>
        <w:t>pero</w:t>
      </w:r>
      <w:r>
        <w:rPr>
          <w:spacing w:val="-4"/>
          <w:w w:val="110"/>
        </w:rPr>
        <w:t> </w:t>
      </w:r>
      <w:r>
        <w:rPr>
          <w:w w:val="110"/>
        </w:rPr>
        <w:t>pensada</w:t>
      </w:r>
      <w:r>
        <w:rPr>
          <w:spacing w:val="-4"/>
          <w:w w:val="110"/>
        </w:rPr>
        <w:t> </w:t>
      </w:r>
      <w:r>
        <w:rPr>
          <w:w w:val="110"/>
        </w:rPr>
        <w:t>como</w:t>
      </w:r>
      <w:r>
        <w:rPr>
          <w:spacing w:val="-4"/>
          <w:w w:val="110"/>
        </w:rPr>
        <w:t> </w:t>
      </w:r>
      <w:r>
        <w:rPr>
          <w:w w:val="110"/>
        </w:rPr>
        <w:t>estrategia</w:t>
      </w:r>
      <w:r>
        <w:rPr>
          <w:spacing w:val="-4"/>
          <w:w w:val="110"/>
        </w:rPr>
        <w:t> </w:t>
      </w:r>
      <w:r>
        <w:rPr>
          <w:w w:val="110"/>
        </w:rPr>
        <w:t>de real autonomía e independencia, en el camino hacia la construcción  de otro orden económico-social a nivel </w:t>
      </w:r>
      <w:r>
        <w:rPr>
          <w:spacing w:val="22"/>
          <w:w w:val="110"/>
        </w:rPr>
        <w:t> </w:t>
      </w:r>
      <w:r>
        <w:rPr>
          <w:w w:val="110"/>
        </w:rPr>
        <w:t>mundial.</w:t>
      </w:r>
    </w:p>
    <w:p>
      <w:pPr>
        <w:pStyle w:val="BodyText"/>
        <w:spacing w:before="11"/>
      </w:pPr>
    </w:p>
    <w:p>
      <w:pPr>
        <w:pStyle w:val="BodyText"/>
        <w:ind w:left="3339"/>
      </w:pPr>
      <w:r>
        <w:rPr>
          <w:w w:val="110"/>
        </w:rPr>
        <w:t>buenos aires, 30 de abril de 2015</w:t>
      </w:r>
    </w:p>
    <w:p>
      <w:pPr>
        <w:pStyle w:val="BodyText"/>
        <w:spacing w:before="4"/>
        <w:rPr>
          <w:sz w:val="20"/>
        </w:rPr>
      </w:pPr>
    </w:p>
    <w:p>
      <w:pPr>
        <w:pStyle w:val="Heading6"/>
        <w:spacing w:before="1"/>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spacing w:before="10"/>
        <w:ind w:left="100" w:right="0" w:firstLine="0"/>
        <w:jc w:val="left"/>
        <w:rPr>
          <w:i/>
          <w:sz w:val="19"/>
        </w:rPr>
      </w:pPr>
      <w:r>
        <w:rPr>
          <w:w w:val="110"/>
          <w:sz w:val="19"/>
        </w:rPr>
        <w:t>arceo, Enrique 2001 </w:t>
      </w:r>
      <w:r>
        <w:rPr>
          <w:i/>
          <w:w w:val="110"/>
          <w:sz w:val="19"/>
        </w:rPr>
        <w:t>ALCA, neoliberalismo y nuevo pacto   colonial</w:t>
      </w:r>
    </w:p>
    <w:p>
      <w:pPr>
        <w:pStyle w:val="BodyText"/>
        <w:spacing w:line="283" w:lineRule="auto" w:before="11"/>
        <w:ind w:left="100" w:right="528" w:firstLine="396"/>
      </w:pPr>
      <w:r>
        <w:rPr>
          <w:w w:val="115"/>
        </w:rPr>
        <w:t>(buenos aires: instituto de Estudios y Formación-Cta). </w:t>
      </w:r>
      <w:r>
        <w:rPr>
          <w:w w:val="139"/>
        </w:rPr>
        <w:t>a</w:t>
      </w:r>
      <w:r>
        <w:rPr>
          <w:w w:val="110"/>
        </w:rPr>
        <w:t>rmon</w:t>
      </w:r>
      <w:r>
        <w:rPr>
          <w:w w:val="105"/>
        </w:rPr>
        <w:t>y</w:t>
      </w:r>
      <w:r>
        <w:rPr>
          <w:w w:val="138"/>
        </w:rPr>
        <w:t>,</w:t>
      </w:r>
      <w:r>
        <w:rPr/>
        <w:t> </w:t>
      </w:r>
      <w:r>
        <w:rPr>
          <w:w w:val="139"/>
        </w:rPr>
        <w:t>a</w:t>
      </w:r>
      <w:r>
        <w:rPr>
          <w:w w:val="108"/>
        </w:rPr>
        <w:t>riel</w:t>
      </w:r>
      <w:r>
        <w:rPr/>
        <w:t> </w:t>
      </w:r>
      <w:r>
        <w:rPr>
          <w:w w:val="102"/>
        </w:rPr>
        <w:t>2014</w:t>
      </w:r>
      <w:r>
        <w:rPr/>
        <w:t> </w:t>
      </w:r>
      <w:r>
        <w:rPr>
          <w:w w:val="107"/>
        </w:rPr>
        <w:t>“‘</w:t>
      </w:r>
      <w:r>
        <w:rPr>
          <w:w w:val="243"/>
        </w:rPr>
        <w:t>l</w:t>
      </w:r>
      <w:r>
        <w:rPr>
          <w:w w:val="112"/>
        </w:rPr>
        <w:t>a</w:t>
      </w:r>
      <w:r>
        <w:rPr/>
        <w:t> </w:t>
      </w:r>
      <w:r>
        <w:rPr>
          <w:w w:val="107"/>
        </w:rPr>
        <w:t>era</w:t>
      </w:r>
      <w:r>
        <w:rPr/>
        <w:t> </w:t>
      </w:r>
      <w:r>
        <w:rPr>
          <w:w w:val="107"/>
        </w:rPr>
        <w:t>de</w:t>
      </w:r>
      <w:r>
        <w:rPr/>
        <w:t> </w:t>
      </w:r>
      <w:r>
        <w:rPr>
          <w:w w:val="111"/>
        </w:rPr>
        <w:t>la</w:t>
      </w:r>
      <w:r>
        <w:rPr/>
        <w:t> </w:t>
      </w:r>
      <w:r>
        <w:rPr>
          <w:w w:val="110"/>
        </w:rPr>
        <w:t>doctrina</w:t>
      </w:r>
      <w:r>
        <w:rPr/>
        <w:t> </w:t>
      </w:r>
      <w:r>
        <w:rPr>
          <w:w w:val="111"/>
        </w:rPr>
        <w:t>Monroe</w:t>
      </w:r>
      <w:r>
        <w:rPr/>
        <w:t> </w:t>
      </w:r>
      <w:r>
        <w:rPr>
          <w:w w:val="112"/>
        </w:rPr>
        <w:t>ha</w:t>
      </w:r>
      <w:r>
        <w:rPr/>
        <w:t> </w:t>
      </w:r>
      <w:r>
        <w:rPr>
          <w:w w:val="109"/>
        </w:rPr>
        <w:t>terminado’:</w:t>
      </w:r>
    </w:p>
    <w:p>
      <w:pPr>
        <w:pStyle w:val="BodyText"/>
        <w:spacing w:line="194" w:lineRule="exact"/>
        <w:ind w:left="497"/>
      </w:pPr>
      <w:r>
        <w:rPr>
          <w:w w:val="110"/>
        </w:rPr>
        <w:t>El discurso que ignoramos en 2013”, en </w:t>
      </w:r>
      <w:r>
        <w:rPr>
          <w:i/>
          <w:w w:val="110"/>
        </w:rPr>
        <w:t>El País </w:t>
      </w:r>
      <w:r>
        <w:rPr>
          <w:w w:val="110"/>
        </w:rPr>
        <w:t>(Madrid), 11   de</w:t>
      </w:r>
    </w:p>
    <w:p>
      <w:pPr>
        <w:pStyle w:val="BodyText"/>
        <w:spacing w:before="11"/>
        <w:ind w:left="497"/>
      </w:pPr>
      <w:r>
        <w:rPr>
          <w:w w:val="110"/>
        </w:rPr>
        <w:t>enero.</w:t>
      </w:r>
    </w:p>
    <w:p>
      <w:pPr>
        <w:spacing w:before="39"/>
        <w:ind w:left="100" w:right="0" w:firstLine="0"/>
        <w:jc w:val="left"/>
        <w:rPr>
          <w:i/>
          <w:sz w:val="19"/>
        </w:rPr>
      </w:pPr>
      <w:r>
        <w:rPr>
          <w:w w:val="110"/>
          <w:sz w:val="19"/>
        </w:rPr>
        <w:t>borón, atilio 2012 </w:t>
      </w:r>
      <w:r>
        <w:rPr>
          <w:i/>
          <w:w w:val="110"/>
          <w:sz w:val="19"/>
        </w:rPr>
        <w:t>América Latina en la geopolítica del  imperialismo</w:t>
      </w:r>
    </w:p>
    <w:p>
      <w:pPr>
        <w:pStyle w:val="BodyText"/>
        <w:spacing w:before="11"/>
        <w:ind w:left="497"/>
      </w:pPr>
      <w:r>
        <w:rPr>
          <w:w w:val="98"/>
        </w:rPr>
        <w:t>(</w:t>
      </w:r>
      <w:r>
        <w:rPr>
          <w:w w:val="134"/>
        </w:rPr>
        <w:t>b</w:t>
      </w:r>
      <w:r>
        <w:rPr>
          <w:w w:val="109"/>
        </w:rPr>
        <w:t>uenos</w:t>
      </w:r>
      <w:r>
        <w:rPr>
          <w:spacing w:val="12"/>
        </w:rPr>
        <w:t> </w:t>
      </w:r>
      <w:r>
        <w:rPr>
          <w:w w:val="139"/>
        </w:rPr>
        <w:t>a</w:t>
      </w:r>
      <w:r>
        <w:rPr>
          <w:w w:val="107"/>
        </w:rPr>
        <w:t>ires:</w:t>
      </w:r>
      <w:r>
        <w:rPr>
          <w:spacing w:val="12"/>
        </w:rPr>
        <w:t> </w:t>
      </w:r>
      <w:r>
        <w:rPr>
          <w:w w:val="243"/>
        </w:rPr>
        <w:t>l</w:t>
      </w:r>
      <w:r>
        <w:rPr>
          <w:w w:val="110"/>
        </w:rPr>
        <w:t>uxemburg).</w:t>
      </w:r>
    </w:p>
    <w:p>
      <w:pPr>
        <w:spacing w:line="252" w:lineRule="auto" w:before="39"/>
        <w:ind w:left="497" w:right="432" w:hanging="397"/>
        <w:jc w:val="left"/>
        <w:rPr>
          <w:sz w:val="19"/>
        </w:rPr>
      </w:pPr>
      <w:r>
        <w:rPr>
          <w:w w:val="115"/>
          <w:sz w:val="19"/>
        </w:rPr>
        <w:t>Castillo Fernández, dídimo y Gandásegui (hijo), Marco a. (coords.) </w:t>
      </w:r>
      <w:r>
        <w:rPr>
          <w:w w:val="102"/>
          <w:sz w:val="19"/>
        </w:rPr>
        <w:t>2012</w:t>
      </w:r>
      <w:r>
        <w:rPr>
          <w:sz w:val="19"/>
        </w:rPr>
        <w:t> </w:t>
      </w:r>
      <w:r>
        <w:rPr>
          <w:i/>
          <w:w w:val="112"/>
          <w:sz w:val="19"/>
        </w:rPr>
        <w:t>Estados</w:t>
      </w:r>
      <w:r>
        <w:rPr>
          <w:i/>
          <w:sz w:val="19"/>
        </w:rPr>
        <w:t> </w:t>
      </w:r>
      <w:r>
        <w:rPr>
          <w:i/>
          <w:w w:val="116"/>
          <w:sz w:val="19"/>
        </w:rPr>
        <w:t>Unidos</w:t>
      </w:r>
      <w:r>
        <w:rPr>
          <w:i/>
          <w:sz w:val="19"/>
        </w:rPr>
        <w:t> </w:t>
      </w:r>
      <w:r>
        <w:rPr>
          <w:i/>
          <w:w w:val="112"/>
          <w:sz w:val="19"/>
        </w:rPr>
        <w:t>más</w:t>
      </w:r>
      <w:r>
        <w:rPr>
          <w:i/>
          <w:sz w:val="19"/>
        </w:rPr>
        <w:t> </w:t>
      </w:r>
      <w:r>
        <w:rPr>
          <w:i/>
          <w:w w:val="105"/>
          <w:sz w:val="19"/>
        </w:rPr>
        <w:t>allá</w:t>
      </w:r>
      <w:r>
        <w:rPr>
          <w:i/>
          <w:sz w:val="19"/>
        </w:rPr>
        <w:t> </w:t>
      </w:r>
      <w:r>
        <w:rPr>
          <w:i/>
          <w:w w:val="104"/>
          <w:sz w:val="19"/>
        </w:rPr>
        <w:t>de</w:t>
      </w:r>
      <w:r>
        <w:rPr>
          <w:i/>
          <w:sz w:val="19"/>
        </w:rPr>
        <w:t> </w:t>
      </w:r>
      <w:r>
        <w:rPr>
          <w:i/>
          <w:w w:val="105"/>
          <w:sz w:val="19"/>
        </w:rPr>
        <w:t>la</w:t>
      </w:r>
      <w:r>
        <w:rPr>
          <w:i/>
          <w:sz w:val="19"/>
        </w:rPr>
        <w:t> </w:t>
      </w:r>
      <w:r>
        <w:rPr>
          <w:i/>
          <w:w w:val="113"/>
          <w:sz w:val="19"/>
        </w:rPr>
        <w:t>crisis</w:t>
      </w:r>
      <w:r>
        <w:rPr>
          <w:i/>
          <w:sz w:val="19"/>
        </w:rPr>
        <w:t> </w:t>
      </w:r>
      <w:r>
        <w:rPr>
          <w:w w:val="111"/>
          <w:sz w:val="19"/>
        </w:rPr>
        <w:t>(México:</w:t>
      </w:r>
      <w:r>
        <w:rPr>
          <w:sz w:val="19"/>
        </w:rPr>
        <w:t> </w:t>
      </w:r>
      <w:r>
        <w:rPr>
          <w:w w:val="149"/>
          <w:sz w:val="19"/>
        </w:rPr>
        <w:t>s</w:t>
      </w:r>
      <w:r>
        <w:rPr>
          <w:w w:val="111"/>
          <w:sz w:val="19"/>
        </w:rPr>
        <w:t>iglo</w:t>
      </w:r>
      <w:r>
        <w:rPr>
          <w:sz w:val="19"/>
        </w:rPr>
        <w:t> </w:t>
      </w:r>
      <w:r>
        <w:rPr>
          <w:w w:val="156"/>
          <w:sz w:val="19"/>
        </w:rPr>
        <w:t>xxi</w:t>
      </w:r>
      <w:r>
        <w:rPr>
          <w:w w:val="57"/>
          <w:sz w:val="19"/>
        </w:rPr>
        <w:t>/ </w:t>
      </w:r>
      <w:r>
        <w:rPr>
          <w:w w:val="120"/>
          <w:sz w:val="19"/>
        </w:rPr>
        <w:t>ClaCso).</w:t>
      </w:r>
    </w:p>
    <w:p>
      <w:pPr>
        <w:spacing w:line="252" w:lineRule="auto" w:before="28"/>
        <w:ind w:left="497" w:right="819" w:hanging="397"/>
        <w:jc w:val="left"/>
        <w:rPr>
          <w:sz w:val="19"/>
        </w:rPr>
      </w:pPr>
      <w:r>
        <w:rPr>
          <w:w w:val="115"/>
          <w:sz w:val="19"/>
        </w:rPr>
        <w:t>Estay, Jaime y sánchez, Germán (coords.) 2005 </w:t>
      </w:r>
      <w:r>
        <w:rPr>
          <w:i/>
          <w:w w:val="115"/>
          <w:sz w:val="19"/>
        </w:rPr>
        <w:t>El ALCA y sus </w:t>
      </w:r>
      <w:r>
        <w:rPr>
          <w:i/>
          <w:w w:val="115"/>
          <w:sz w:val="19"/>
        </w:rPr>
        <w:t>peligros para América Latina </w:t>
      </w:r>
      <w:r>
        <w:rPr>
          <w:w w:val="115"/>
          <w:sz w:val="19"/>
        </w:rPr>
        <w:t>(buenos aires: </w:t>
      </w:r>
      <w:r>
        <w:rPr>
          <w:w w:val="120"/>
          <w:sz w:val="19"/>
        </w:rPr>
        <w:t>ClaCso).</w:t>
      </w:r>
    </w:p>
    <w:p>
      <w:pPr>
        <w:spacing w:line="252" w:lineRule="auto" w:before="28"/>
        <w:ind w:left="497" w:right="303" w:hanging="397"/>
        <w:jc w:val="left"/>
        <w:rPr>
          <w:sz w:val="19"/>
        </w:rPr>
      </w:pPr>
      <w:r>
        <w:rPr>
          <w:w w:val="110"/>
          <w:sz w:val="19"/>
        </w:rPr>
        <w:t>Huerta González, arturo 2002 “El </w:t>
      </w:r>
      <w:r>
        <w:rPr>
          <w:w w:val="115"/>
          <w:sz w:val="19"/>
        </w:rPr>
        <w:t>alCa: </w:t>
      </w:r>
      <w:r>
        <w:rPr>
          <w:w w:val="110"/>
          <w:sz w:val="19"/>
        </w:rPr>
        <w:t>Política de </w:t>
      </w:r>
      <w:r>
        <w:rPr>
          <w:w w:val="115"/>
          <w:sz w:val="19"/>
        </w:rPr>
        <w:t>Eua </w:t>
      </w:r>
      <w:r>
        <w:rPr>
          <w:w w:val="110"/>
          <w:sz w:val="19"/>
        </w:rPr>
        <w:t>para </w:t>
      </w:r>
      <w:r>
        <w:rPr>
          <w:w w:val="109"/>
          <w:sz w:val="19"/>
        </w:rPr>
        <w:t>subordinar</w:t>
      </w:r>
      <w:r>
        <w:rPr>
          <w:sz w:val="19"/>
        </w:rPr>
        <w:t> </w:t>
      </w:r>
      <w:r>
        <w:rPr>
          <w:w w:val="105"/>
          <w:sz w:val="19"/>
        </w:rPr>
        <w:t>y</w:t>
      </w:r>
      <w:r>
        <w:rPr>
          <w:sz w:val="19"/>
        </w:rPr>
        <w:t> </w:t>
      </w:r>
      <w:r>
        <w:rPr>
          <w:w w:val="111"/>
          <w:sz w:val="19"/>
        </w:rPr>
        <w:t>dominar</w:t>
      </w:r>
      <w:r>
        <w:rPr>
          <w:sz w:val="19"/>
        </w:rPr>
        <w:t> </w:t>
      </w:r>
      <w:r>
        <w:rPr>
          <w:w w:val="112"/>
          <w:sz w:val="19"/>
        </w:rPr>
        <w:t>a</w:t>
      </w:r>
      <w:r>
        <w:rPr>
          <w:sz w:val="19"/>
        </w:rPr>
        <w:t> </w:t>
      </w:r>
      <w:r>
        <w:rPr>
          <w:w w:val="139"/>
          <w:sz w:val="19"/>
        </w:rPr>
        <w:t>a</w:t>
      </w:r>
      <w:r>
        <w:rPr>
          <w:w w:val="111"/>
          <w:sz w:val="19"/>
        </w:rPr>
        <w:t>mérica</w:t>
      </w:r>
      <w:r>
        <w:rPr>
          <w:sz w:val="19"/>
        </w:rPr>
        <w:t> </w:t>
      </w:r>
      <w:r>
        <w:rPr>
          <w:w w:val="243"/>
          <w:sz w:val="19"/>
        </w:rPr>
        <w:t>l</w:t>
      </w:r>
      <w:r>
        <w:rPr>
          <w:w w:val="114"/>
          <w:sz w:val="19"/>
        </w:rPr>
        <w:t>atina”,</w:t>
      </w:r>
      <w:r>
        <w:rPr>
          <w:sz w:val="19"/>
        </w:rPr>
        <w:t> </w:t>
      </w:r>
      <w:r>
        <w:rPr>
          <w:w w:val="108"/>
          <w:sz w:val="19"/>
        </w:rPr>
        <w:t>en</w:t>
      </w:r>
      <w:r>
        <w:rPr>
          <w:sz w:val="19"/>
        </w:rPr>
        <w:t> </w:t>
      </w:r>
      <w:r>
        <w:rPr>
          <w:i/>
          <w:w w:val="107"/>
          <w:sz w:val="19"/>
        </w:rPr>
        <w:t>Paradigmas</w:t>
      </w:r>
      <w:r>
        <w:rPr>
          <w:i/>
          <w:sz w:val="19"/>
        </w:rPr>
        <w:t> </w:t>
      </w:r>
      <w:r>
        <w:rPr>
          <w:i/>
          <w:w w:val="106"/>
          <w:sz w:val="19"/>
        </w:rPr>
        <w:t>y</w:t>
      </w:r>
      <w:r>
        <w:rPr>
          <w:i/>
          <w:w w:val="106"/>
          <w:sz w:val="19"/>
        </w:rPr>
        <w:t> </w:t>
      </w:r>
      <w:r>
        <w:rPr>
          <w:i/>
          <w:w w:val="110"/>
          <w:sz w:val="19"/>
        </w:rPr>
        <w:t>utopías. Revista de reflexión teórica y política del Partido del trabajo</w:t>
      </w:r>
      <w:r>
        <w:rPr>
          <w:w w:val="110"/>
          <w:sz w:val="19"/>
        </w:rPr>
        <w:t>. </w:t>
      </w:r>
      <w:r>
        <w:rPr>
          <w:i/>
          <w:w w:val="110"/>
          <w:sz w:val="19"/>
        </w:rPr>
        <w:t>ALCA: Imperialismo neoliberal </w:t>
      </w:r>
      <w:r>
        <w:rPr>
          <w:w w:val="110"/>
          <w:sz w:val="19"/>
        </w:rPr>
        <w:t>(México), Nº 3, diciembre/enero.</w:t>
      </w:r>
    </w:p>
    <w:p>
      <w:pPr>
        <w:spacing w:after="0" w:line="252" w:lineRule="auto"/>
        <w:jc w:val="left"/>
        <w:rPr>
          <w:sz w:val="19"/>
        </w:rPr>
        <w:sectPr>
          <w:footerReference w:type="default" r:id="rId528"/>
          <w:footerReference w:type="even" r:id="rId529"/>
          <w:pgSz w:w="8790" w:h="12760"/>
          <w:pgMar w:footer="723" w:header="697" w:top="880" w:bottom="920" w:left="920" w:right="1200"/>
          <w:pgNumType w:start="407"/>
        </w:sectPr>
      </w:pPr>
    </w:p>
    <w:p>
      <w:pPr>
        <w:pStyle w:val="BodyText"/>
        <w:spacing w:before="7"/>
        <w:rPr>
          <w:sz w:val="28"/>
        </w:rPr>
      </w:pPr>
    </w:p>
    <w:p>
      <w:pPr>
        <w:spacing w:line="252" w:lineRule="auto" w:before="73"/>
        <w:ind w:left="727" w:right="1269" w:hanging="397"/>
        <w:jc w:val="left"/>
        <w:rPr>
          <w:sz w:val="19"/>
        </w:rPr>
      </w:pPr>
      <w:r>
        <w:rPr>
          <w:w w:val="115"/>
          <w:sz w:val="19"/>
        </w:rPr>
        <w:t>Katz,</w:t>
      </w:r>
      <w:r>
        <w:rPr>
          <w:spacing w:val="-13"/>
          <w:w w:val="115"/>
          <w:sz w:val="19"/>
        </w:rPr>
        <w:t> </w:t>
      </w:r>
      <w:r>
        <w:rPr>
          <w:w w:val="115"/>
          <w:sz w:val="19"/>
        </w:rPr>
        <w:t>Claudio</w:t>
      </w:r>
      <w:r>
        <w:rPr>
          <w:spacing w:val="-13"/>
          <w:w w:val="115"/>
          <w:sz w:val="19"/>
        </w:rPr>
        <w:t> </w:t>
      </w:r>
      <w:r>
        <w:rPr>
          <w:w w:val="115"/>
          <w:sz w:val="19"/>
        </w:rPr>
        <w:t>2006</w:t>
      </w:r>
      <w:r>
        <w:rPr>
          <w:spacing w:val="-13"/>
          <w:w w:val="115"/>
          <w:sz w:val="19"/>
        </w:rPr>
        <w:t> </w:t>
      </w:r>
      <w:r>
        <w:rPr>
          <w:i/>
          <w:w w:val="115"/>
          <w:sz w:val="19"/>
        </w:rPr>
        <w:t>El</w:t>
      </w:r>
      <w:r>
        <w:rPr>
          <w:i/>
          <w:spacing w:val="-13"/>
          <w:w w:val="115"/>
          <w:sz w:val="19"/>
        </w:rPr>
        <w:t> </w:t>
      </w:r>
      <w:r>
        <w:rPr>
          <w:i/>
          <w:w w:val="115"/>
          <w:sz w:val="19"/>
        </w:rPr>
        <w:t>rediseño</w:t>
      </w:r>
      <w:r>
        <w:rPr>
          <w:i/>
          <w:spacing w:val="-13"/>
          <w:w w:val="115"/>
          <w:sz w:val="19"/>
        </w:rPr>
        <w:t> </w:t>
      </w:r>
      <w:r>
        <w:rPr>
          <w:i/>
          <w:w w:val="115"/>
          <w:sz w:val="19"/>
        </w:rPr>
        <w:t>de</w:t>
      </w:r>
      <w:r>
        <w:rPr>
          <w:i/>
          <w:spacing w:val="-13"/>
          <w:w w:val="115"/>
          <w:sz w:val="19"/>
        </w:rPr>
        <w:t> </w:t>
      </w:r>
      <w:r>
        <w:rPr>
          <w:i/>
          <w:w w:val="115"/>
          <w:sz w:val="19"/>
        </w:rPr>
        <w:t>América</w:t>
      </w:r>
      <w:r>
        <w:rPr>
          <w:i/>
          <w:spacing w:val="-13"/>
          <w:w w:val="115"/>
          <w:sz w:val="19"/>
        </w:rPr>
        <w:t> </w:t>
      </w:r>
      <w:r>
        <w:rPr>
          <w:i/>
          <w:w w:val="115"/>
          <w:sz w:val="19"/>
        </w:rPr>
        <w:t>Latina:</w:t>
      </w:r>
      <w:r>
        <w:rPr>
          <w:i/>
          <w:spacing w:val="-13"/>
          <w:w w:val="115"/>
          <w:sz w:val="19"/>
        </w:rPr>
        <w:t> </w:t>
      </w:r>
      <w:r>
        <w:rPr>
          <w:i/>
          <w:w w:val="115"/>
          <w:sz w:val="19"/>
        </w:rPr>
        <w:t>ALCA, </w:t>
      </w:r>
      <w:r>
        <w:rPr>
          <w:i/>
          <w:w w:val="123"/>
          <w:sz w:val="19"/>
        </w:rPr>
        <w:t>MERC</w:t>
      </w:r>
      <w:r>
        <w:rPr>
          <w:i/>
          <w:w w:val="156"/>
          <w:sz w:val="19"/>
        </w:rPr>
        <w:t>o</w:t>
      </w:r>
      <w:r>
        <w:rPr>
          <w:i/>
          <w:w w:val="125"/>
          <w:sz w:val="19"/>
        </w:rPr>
        <w:t>SUR</w:t>
      </w:r>
      <w:r>
        <w:rPr>
          <w:i/>
          <w:spacing w:val="12"/>
          <w:sz w:val="19"/>
        </w:rPr>
        <w:t> </w:t>
      </w:r>
      <w:r>
        <w:rPr>
          <w:i/>
          <w:w w:val="106"/>
          <w:sz w:val="19"/>
        </w:rPr>
        <w:t>y</w:t>
      </w:r>
      <w:r>
        <w:rPr>
          <w:i/>
          <w:spacing w:val="12"/>
          <w:sz w:val="19"/>
        </w:rPr>
        <w:t> </w:t>
      </w:r>
      <w:r>
        <w:rPr>
          <w:i/>
          <w:w w:val="115"/>
          <w:sz w:val="19"/>
        </w:rPr>
        <w:t>ALBA</w:t>
      </w:r>
      <w:r>
        <w:rPr>
          <w:i/>
          <w:spacing w:val="12"/>
          <w:sz w:val="19"/>
        </w:rPr>
        <w:t> </w:t>
      </w:r>
      <w:r>
        <w:rPr>
          <w:w w:val="98"/>
          <w:sz w:val="19"/>
        </w:rPr>
        <w:t>(</w:t>
      </w:r>
      <w:r>
        <w:rPr>
          <w:w w:val="134"/>
          <w:sz w:val="19"/>
        </w:rPr>
        <w:t>b</w:t>
      </w:r>
      <w:r>
        <w:rPr>
          <w:w w:val="109"/>
          <w:sz w:val="19"/>
        </w:rPr>
        <w:t>uenos</w:t>
      </w:r>
      <w:r>
        <w:rPr>
          <w:spacing w:val="12"/>
          <w:sz w:val="19"/>
        </w:rPr>
        <w:t> </w:t>
      </w:r>
      <w:r>
        <w:rPr>
          <w:w w:val="139"/>
          <w:sz w:val="19"/>
        </w:rPr>
        <w:t>a</w:t>
      </w:r>
      <w:r>
        <w:rPr>
          <w:w w:val="107"/>
          <w:sz w:val="19"/>
        </w:rPr>
        <w:t>ires:</w:t>
      </w:r>
      <w:r>
        <w:rPr>
          <w:spacing w:val="12"/>
          <w:sz w:val="19"/>
        </w:rPr>
        <w:t> </w:t>
      </w:r>
      <w:r>
        <w:rPr>
          <w:w w:val="243"/>
          <w:sz w:val="19"/>
        </w:rPr>
        <w:t>l</w:t>
      </w:r>
      <w:r>
        <w:rPr>
          <w:w w:val="110"/>
          <w:sz w:val="19"/>
        </w:rPr>
        <w:t>uxemburg).</w:t>
      </w:r>
    </w:p>
    <w:p>
      <w:pPr>
        <w:pStyle w:val="BodyText"/>
        <w:spacing w:line="252" w:lineRule="auto" w:before="28"/>
        <w:ind w:left="727" w:right="114" w:hanging="397"/>
      </w:pPr>
      <w:r>
        <w:rPr>
          <w:w w:val="110"/>
        </w:rPr>
        <w:t>Klich, ignacio 2010 “a pesar de Washington”, en </w:t>
      </w:r>
      <w:r>
        <w:rPr>
          <w:i/>
          <w:w w:val="110"/>
        </w:rPr>
        <w:t>Le Monde </w:t>
      </w:r>
      <w:r>
        <w:rPr>
          <w:i/>
          <w:w w:val="110"/>
        </w:rPr>
        <w:t>diplomatique</w:t>
      </w:r>
      <w:r>
        <w:rPr>
          <w:w w:val="110"/>
        </w:rPr>
        <w:t>, Edición Cono sur (buenos aires),    febrero.</w:t>
      </w:r>
    </w:p>
    <w:p>
      <w:pPr>
        <w:pStyle w:val="BodyText"/>
        <w:spacing w:line="252" w:lineRule="auto" w:before="28"/>
        <w:ind w:left="727" w:right="109" w:hanging="397"/>
      </w:pPr>
      <w:r>
        <w:rPr>
          <w:w w:val="243"/>
        </w:rPr>
        <w:t>l</w:t>
      </w:r>
      <w:r>
        <w:rPr>
          <w:w w:val="114"/>
        </w:rPr>
        <w:t>acunza,</w:t>
      </w:r>
      <w:r>
        <w:rPr/>
        <w:t> </w:t>
      </w:r>
      <w:r>
        <w:rPr>
          <w:w w:val="112"/>
        </w:rPr>
        <w:t>Hernán</w:t>
      </w:r>
      <w:r>
        <w:rPr/>
        <w:t> </w:t>
      </w:r>
      <w:r>
        <w:rPr>
          <w:w w:val="107"/>
        </w:rPr>
        <w:t>(di</w:t>
      </w:r>
      <w:r>
        <w:rPr>
          <w:w w:val="105"/>
        </w:rPr>
        <w:t>r</w:t>
      </w:r>
      <w:r>
        <w:rPr>
          <w:w w:val="112"/>
        </w:rPr>
        <w:t>.)</w:t>
      </w:r>
      <w:r>
        <w:rPr/>
        <w:t> </w:t>
      </w:r>
      <w:r>
        <w:rPr>
          <w:w w:val="102"/>
        </w:rPr>
        <w:t>2002</w:t>
      </w:r>
      <w:r>
        <w:rPr/>
        <w:t> </w:t>
      </w:r>
      <w:r>
        <w:rPr>
          <w:w w:val="115"/>
        </w:rPr>
        <w:t>“</w:t>
      </w:r>
      <w:r>
        <w:rPr>
          <w:w w:val="149"/>
        </w:rPr>
        <w:t>o</w:t>
      </w:r>
      <w:r>
        <w:rPr>
          <w:w w:val="109"/>
        </w:rPr>
        <w:t>portunidades</w:t>
      </w:r>
      <w:r>
        <w:rPr/>
        <w:t> </w:t>
      </w:r>
      <w:r>
        <w:rPr>
          <w:w w:val="105"/>
        </w:rPr>
        <w:t>y</w:t>
      </w:r>
      <w:r>
        <w:rPr/>
        <w:t> </w:t>
      </w:r>
      <w:r>
        <w:rPr>
          <w:w w:val="110"/>
        </w:rPr>
        <w:t>amenazas</w:t>
      </w:r>
      <w:r>
        <w:rPr/>
        <w:t> </w:t>
      </w:r>
      <w:r>
        <w:rPr>
          <w:w w:val="107"/>
        </w:rPr>
        <w:t>del</w:t>
      </w:r>
      <w:r>
        <w:rPr/>
        <w:t> </w:t>
      </w:r>
      <w:r>
        <w:rPr>
          <w:w w:val="176"/>
        </w:rPr>
        <w:t>al</w:t>
      </w:r>
      <w:r>
        <w:rPr>
          <w:w w:val="124"/>
        </w:rPr>
        <w:t>C</w:t>
      </w:r>
      <w:r>
        <w:rPr>
          <w:w w:val="139"/>
        </w:rPr>
        <w:t>a </w:t>
      </w:r>
      <w:r>
        <w:rPr>
          <w:w w:val="115"/>
        </w:rPr>
        <w:t>para la argentina. un estudio de impacto sectorial”, en </w:t>
      </w:r>
      <w:r>
        <w:rPr>
          <w:i/>
          <w:w w:val="115"/>
        </w:rPr>
        <w:t>Estudios </w:t>
      </w:r>
      <w:r>
        <w:rPr>
          <w:i/>
          <w:w w:val="115"/>
        </w:rPr>
        <w:t>del CEI </w:t>
      </w:r>
      <w:r>
        <w:rPr>
          <w:w w:val="115"/>
        </w:rPr>
        <w:t>(buenos aires), Nº 2, diciembre.</w:t>
      </w:r>
    </w:p>
    <w:p>
      <w:pPr>
        <w:spacing w:line="252" w:lineRule="auto" w:before="28"/>
        <w:ind w:left="727" w:right="114" w:hanging="397"/>
        <w:jc w:val="left"/>
        <w:rPr>
          <w:sz w:val="19"/>
        </w:rPr>
      </w:pPr>
      <w:r>
        <w:rPr>
          <w:w w:val="243"/>
          <w:sz w:val="19"/>
        </w:rPr>
        <w:t>l</w:t>
      </w:r>
      <w:r>
        <w:rPr>
          <w:w w:val="113"/>
          <w:sz w:val="19"/>
        </w:rPr>
        <w:t>anús,</w:t>
      </w:r>
      <w:r>
        <w:rPr>
          <w:sz w:val="19"/>
        </w:rPr>
        <w:t> </w:t>
      </w:r>
      <w:r>
        <w:rPr>
          <w:w w:val="119"/>
          <w:sz w:val="19"/>
        </w:rPr>
        <w:t>Juan</w:t>
      </w:r>
      <w:r>
        <w:rPr>
          <w:sz w:val="19"/>
        </w:rPr>
        <w:t> </w:t>
      </w:r>
      <w:r>
        <w:rPr>
          <w:w w:val="139"/>
          <w:sz w:val="19"/>
        </w:rPr>
        <w:t>a</w:t>
      </w:r>
      <w:r>
        <w:rPr>
          <w:w w:val="138"/>
          <w:sz w:val="19"/>
        </w:rPr>
        <w:t>.</w:t>
      </w:r>
      <w:r>
        <w:rPr>
          <w:sz w:val="19"/>
        </w:rPr>
        <w:t> </w:t>
      </w:r>
      <w:r>
        <w:rPr>
          <w:w w:val="102"/>
          <w:sz w:val="19"/>
        </w:rPr>
        <w:t>2000</w:t>
      </w:r>
      <w:r>
        <w:rPr>
          <w:sz w:val="19"/>
        </w:rPr>
        <w:t> </w:t>
      </w:r>
      <w:r>
        <w:rPr>
          <w:i/>
          <w:w w:val="111"/>
          <w:sz w:val="19"/>
        </w:rPr>
        <w:t>De</w:t>
      </w:r>
      <w:r>
        <w:rPr>
          <w:i/>
          <w:sz w:val="19"/>
        </w:rPr>
        <w:t> </w:t>
      </w:r>
      <w:r>
        <w:rPr>
          <w:i/>
          <w:w w:val="109"/>
          <w:sz w:val="19"/>
        </w:rPr>
        <w:t>Chapultepec</w:t>
      </w:r>
      <w:r>
        <w:rPr>
          <w:i/>
          <w:sz w:val="19"/>
        </w:rPr>
        <w:t> </w:t>
      </w:r>
      <w:r>
        <w:rPr>
          <w:i/>
          <w:w w:val="105"/>
          <w:sz w:val="19"/>
        </w:rPr>
        <w:t>al</w:t>
      </w:r>
      <w:r>
        <w:rPr>
          <w:i/>
          <w:sz w:val="19"/>
        </w:rPr>
        <w:t> </w:t>
      </w:r>
      <w:r>
        <w:rPr>
          <w:i/>
          <w:w w:val="104"/>
          <w:sz w:val="19"/>
        </w:rPr>
        <w:t>Beagle:</w:t>
      </w:r>
      <w:r>
        <w:rPr>
          <w:i/>
          <w:sz w:val="19"/>
        </w:rPr>
        <w:t> </w:t>
      </w:r>
      <w:r>
        <w:rPr>
          <w:i/>
          <w:w w:val="109"/>
          <w:sz w:val="19"/>
        </w:rPr>
        <w:t>política</w:t>
      </w:r>
      <w:r>
        <w:rPr>
          <w:i/>
          <w:sz w:val="19"/>
        </w:rPr>
        <w:t> </w:t>
      </w:r>
      <w:r>
        <w:rPr>
          <w:i/>
          <w:w w:val="104"/>
          <w:sz w:val="19"/>
        </w:rPr>
        <w:t>exterior</w:t>
      </w:r>
      <w:r>
        <w:rPr>
          <w:i/>
          <w:w w:val="104"/>
          <w:sz w:val="19"/>
        </w:rPr>
        <w:t> </w:t>
      </w:r>
      <w:r>
        <w:rPr>
          <w:i/>
          <w:w w:val="110"/>
          <w:sz w:val="19"/>
        </w:rPr>
        <w:t>argentina, 1945-1980 </w:t>
      </w:r>
      <w:r>
        <w:rPr>
          <w:w w:val="110"/>
          <w:sz w:val="19"/>
        </w:rPr>
        <w:t>(buenos aires: Emecé).</w:t>
      </w:r>
    </w:p>
    <w:p>
      <w:pPr>
        <w:pStyle w:val="BodyText"/>
        <w:spacing w:line="252" w:lineRule="auto" w:before="28"/>
        <w:ind w:left="727" w:right="352" w:hanging="397"/>
      </w:pPr>
      <w:r>
        <w:rPr>
          <w:w w:val="243"/>
        </w:rPr>
        <w:t>l</w:t>
      </w:r>
      <w:r>
        <w:rPr>
          <w:w w:val="111"/>
        </w:rPr>
        <w:t>emoine,</w:t>
      </w:r>
      <w:r>
        <w:rPr>
          <w:spacing w:val="12"/>
        </w:rPr>
        <w:t> </w:t>
      </w:r>
      <w:r>
        <w:rPr>
          <w:w w:val="113"/>
        </w:rPr>
        <w:t>Maurice</w:t>
      </w:r>
      <w:r>
        <w:rPr>
          <w:spacing w:val="12"/>
        </w:rPr>
        <w:t> </w:t>
      </w:r>
      <w:r>
        <w:rPr>
          <w:w w:val="102"/>
        </w:rPr>
        <w:t>2009</w:t>
      </w:r>
      <w:r>
        <w:rPr>
          <w:spacing w:val="12"/>
        </w:rPr>
        <w:t> </w:t>
      </w:r>
      <w:r>
        <w:rPr>
          <w:w w:val="115"/>
        </w:rPr>
        <w:t>“</w:t>
      </w:r>
      <w:r>
        <w:rPr>
          <w:w w:val="139"/>
        </w:rPr>
        <w:t>a</w:t>
      </w:r>
      <w:r>
        <w:rPr>
          <w:w w:val="111"/>
        </w:rPr>
        <w:t>mérica</w:t>
      </w:r>
      <w:r>
        <w:rPr>
          <w:spacing w:val="12"/>
        </w:rPr>
        <w:t> </w:t>
      </w:r>
      <w:r>
        <w:rPr>
          <w:w w:val="243"/>
        </w:rPr>
        <w:t>l</w:t>
      </w:r>
      <w:r>
        <w:rPr>
          <w:w w:val="113"/>
        </w:rPr>
        <w:t>atina,</w:t>
      </w:r>
      <w:r>
        <w:rPr>
          <w:spacing w:val="12"/>
        </w:rPr>
        <w:t> </w:t>
      </w:r>
      <w:r>
        <w:rPr>
          <w:w w:val="111"/>
        </w:rPr>
        <w:t>cordial</w:t>
      </w:r>
      <w:r>
        <w:rPr>
          <w:spacing w:val="12"/>
        </w:rPr>
        <w:t> </w:t>
      </w:r>
      <w:r>
        <w:rPr>
          <w:w w:val="110"/>
        </w:rPr>
        <w:t>aunque</w:t>
      </w:r>
      <w:r>
        <w:rPr>
          <w:spacing w:val="12"/>
        </w:rPr>
        <w:t> </w:t>
      </w:r>
      <w:r>
        <w:rPr>
          <w:w w:val="107"/>
        </w:rPr>
        <w:t>firme </w:t>
      </w:r>
      <w:r>
        <w:rPr>
          <w:w w:val="110"/>
        </w:rPr>
        <w:t>ante barack obama”, en </w:t>
      </w:r>
      <w:r>
        <w:rPr>
          <w:i/>
          <w:w w:val="110"/>
        </w:rPr>
        <w:t>Le Monde Diplomatique</w:t>
      </w:r>
      <w:r>
        <w:rPr>
          <w:w w:val="110"/>
        </w:rPr>
        <w:t>. traducido de francés para </w:t>
      </w:r>
      <w:r>
        <w:rPr>
          <w:i/>
          <w:w w:val="110"/>
        </w:rPr>
        <w:t>Rebelión </w:t>
      </w:r>
      <w:r>
        <w:rPr>
          <w:w w:val="110"/>
        </w:rPr>
        <w:t>por beatriz Morales bastos, en &lt;http:// </w:t>
      </w:r>
      <w:hyperlink r:id="rId530">
        <w:r>
          <w:rPr>
            <w:w w:val="110"/>
          </w:rPr>
          <w:t>www.rebelion.org/noticia.php?id=84397&gt;.</w:t>
        </w:r>
      </w:hyperlink>
    </w:p>
    <w:p>
      <w:pPr>
        <w:pStyle w:val="BodyText"/>
        <w:spacing w:line="252" w:lineRule="auto" w:before="28"/>
        <w:ind w:left="727" w:hanging="397"/>
      </w:pPr>
      <w:r>
        <w:rPr>
          <w:w w:val="243"/>
        </w:rPr>
        <w:t>l</w:t>
      </w:r>
      <w:r>
        <w:rPr>
          <w:w w:val="113"/>
        </w:rPr>
        <w:t>ozano,</w:t>
      </w:r>
      <w:r>
        <w:rPr/>
        <w:t> </w:t>
      </w:r>
      <w:r>
        <w:rPr>
          <w:w w:val="113"/>
        </w:rPr>
        <w:t>Claudio</w:t>
      </w:r>
      <w:r>
        <w:rPr/>
        <w:t> </w:t>
      </w:r>
      <w:r>
        <w:rPr>
          <w:w w:val="105"/>
        </w:rPr>
        <w:t>y</w:t>
      </w:r>
      <w:r>
        <w:rPr/>
        <w:t> </w:t>
      </w:r>
      <w:r>
        <w:rPr>
          <w:w w:val="139"/>
        </w:rPr>
        <w:t>a</w:t>
      </w:r>
      <w:r>
        <w:rPr>
          <w:w w:val="111"/>
        </w:rPr>
        <w:t>rceo,</w:t>
      </w:r>
      <w:r>
        <w:rPr/>
        <w:t> </w:t>
      </w:r>
      <w:r>
        <w:rPr>
          <w:w w:val="112"/>
        </w:rPr>
        <w:t>Enrique</w:t>
      </w:r>
      <w:r>
        <w:rPr/>
        <w:t> </w:t>
      </w:r>
      <w:r>
        <w:rPr>
          <w:w w:val="102"/>
        </w:rPr>
        <w:t>2002</w:t>
      </w:r>
      <w:r>
        <w:rPr/>
        <w:t> </w:t>
      </w:r>
      <w:r>
        <w:rPr>
          <w:w w:val="114"/>
        </w:rPr>
        <w:t>¿Qué</w:t>
      </w:r>
      <w:r>
        <w:rPr/>
        <w:t> </w:t>
      </w:r>
      <w:r>
        <w:rPr>
          <w:w w:val="105"/>
        </w:rPr>
        <w:t>es</w:t>
      </w:r>
      <w:r>
        <w:rPr/>
        <w:t> </w:t>
      </w:r>
      <w:r>
        <w:rPr>
          <w:w w:val="107"/>
        </w:rPr>
        <w:t>el</w:t>
      </w:r>
      <w:r>
        <w:rPr/>
        <w:t> </w:t>
      </w:r>
      <w:r>
        <w:rPr>
          <w:w w:val="176"/>
        </w:rPr>
        <w:t>al</w:t>
      </w:r>
      <w:r>
        <w:rPr>
          <w:w w:val="124"/>
        </w:rPr>
        <w:t>C</w:t>
      </w:r>
      <w:r>
        <w:rPr>
          <w:w w:val="139"/>
        </w:rPr>
        <w:t>a</w:t>
      </w:r>
      <w:r>
        <w:rPr>
          <w:w w:val="116"/>
        </w:rPr>
        <w:t>?</w:t>
      </w:r>
      <w:r>
        <w:rPr/>
        <w:t> </w:t>
      </w:r>
      <w:r>
        <w:rPr>
          <w:w w:val="98"/>
        </w:rPr>
        <w:t>(</w:t>
      </w:r>
      <w:r>
        <w:rPr>
          <w:w w:val="134"/>
        </w:rPr>
        <w:t>b</w:t>
      </w:r>
      <w:r>
        <w:rPr>
          <w:w w:val="109"/>
        </w:rPr>
        <w:t>uenos </w:t>
      </w:r>
      <w:r>
        <w:rPr>
          <w:w w:val="120"/>
        </w:rPr>
        <w:t>aires: Ediciones debate internacional iEt-Cta).</w:t>
      </w:r>
    </w:p>
    <w:p>
      <w:pPr>
        <w:pStyle w:val="BodyText"/>
        <w:spacing w:line="252" w:lineRule="auto" w:before="28"/>
        <w:ind w:left="727" w:hanging="397"/>
      </w:pPr>
      <w:r>
        <w:rPr>
          <w:w w:val="243"/>
        </w:rPr>
        <w:t>l</w:t>
      </w:r>
      <w:r>
        <w:rPr>
          <w:w w:val="114"/>
        </w:rPr>
        <w:t>ucita,</w:t>
      </w:r>
      <w:r>
        <w:rPr/>
        <w:t> </w:t>
      </w:r>
      <w:r>
        <w:rPr>
          <w:w w:val="112"/>
        </w:rPr>
        <w:t>Eduardo</w:t>
      </w:r>
      <w:r>
        <w:rPr/>
        <w:t> </w:t>
      </w:r>
      <w:r>
        <w:rPr>
          <w:w w:val="102"/>
        </w:rPr>
        <w:t>2001</w:t>
      </w:r>
      <w:r>
        <w:rPr/>
        <w:t> </w:t>
      </w:r>
      <w:r>
        <w:rPr>
          <w:w w:val="115"/>
        </w:rPr>
        <w:t>“</w:t>
      </w:r>
      <w:r>
        <w:rPr>
          <w:w w:val="176"/>
        </w:rPr>
        <w:t>al</w:t>
      </w:r>
      <w:r>
        <w:rPr>
          <w:w w:val="124"/>
        </w:rPr>
        <w:t>C</w:t>
      </w:r>
      <w:r>
        <w:rPr>
          <w:w w:val="139"/>
        </w:rPr>
        <w:t>a</w:t>
      </w:r>
      <w:r>
        <w:rPr>
          <w:w w:val="107"/>
        </w:rPr>
        <w:t>:</w:t>
      </w:r>
      <w:r>
        <w:rPr/>
        <w:t> </w:t>
      </w:r>
      <w:r>
        <w:rPr>
          <w:w w:val="112"/>
        </w:rPr>
        <w:t>un</w:t>
      </w:r>
      <w:r>
        <w:rPr/>
        <w:t> </w:t>
      </w:r>
      <w:r>
        <w:rPr>
          <w:w w:val="108"/>
        </w:rPr>
        <w:t>proyecto</w:t>
      </w:r>
      <w:r>
        <w:rPr/>
        <w:t> </w:t>
      </w:r>
      <w:r>
        <w:rPr>
          <w:w w:val="112"/>
        </w:rPr>
        <w:t>hegemónico”,</w:t>
      </w:r>
      <w:r>
        <w:rPr/>
        <w:t> </w:t>
      </w:r>
      <w:r>
        <w:rPr>
          <w:w w:val="108"/>
        </w:rPr>
        <w:t>en</w:t>
      </w:r>
      <w:r>
        <w:rPr/>
        <w:t> </w:t>
      </w:r>
      <w:r>
        <w:rPr>
          <w:i/>
          <w:w w:val="109"/>
        </w:rPr>
        <w:t>Realidad</w:t>
      </w:r>
      <w:r>
        <w:rPr>
          <w:i/>
          <w:w w:val="109"/>
        </w:rPr>
        <w:t> </w:t>
      </w:r>
      <w:r>
        <w:rPr>
          <w:i/>
          <w:w w:val="115"/>
        </w:rPr>
        <w:t>Económica </w:t>
      </w:r>
      <w:r>
        <w:rPr>
          <w:w w:val="115"/>
        </w:rPr>
        <w:t>(buenos aires), Nº 178, febrero-marzo.</w:t>
      </w:r>
    </w:p>
    <w:p>
      <w:pPr>
        <w:spacing w:line="252" w:lineRule="auto" w:before="28"/>
        <w:ind w:left="727" w:right="0" w:hanging="397"/>
        <w:jc w:val="left"/>
        <w:rPr>
          <w:sz w:val="19"/>
        </w:rPr>
      </w:pPr>
      <w:r>
        <w:rPr>
          <w:w w:val="243"/>
          <w:sz w:val="19"/>
        </w:rPr>
        <w:t>l</w:t>
      </w:r>
      <w:r>
        <w:rPr>
          <w:w w:val="114"/>
          <w:sz w:val="19"/>
        </w:rPr>
        <w:t>uzzani,</w:t>
      </w:r>
      <w:r>
        <w:rPr>
          <w:sz w:val="19"/>
        </w:rPr>
        <w:t> </w:t>
      </w:r>
      <w:r>
        <w:rPr>
          <w:w w:val="195"/>
          <w:sz w:val="19"/>
        </w:rPr>
        <w:t>t</w:t>
      </w:r>
      <w:r>
        <w:rPr>
          <w:w w:val="110"/>
          <w:sz w:val="19"/>
        </w:rPr>
        <w:t>elma</w:t>
      </w:r>
      <w:r>
        <w:rPr>
          <w:sz w:val="19"/>
        </w:rPr>
        <w:t> </w:t>
      </w:r>
      <w:r>
        <w:rPr>
          <w:w w:val="102"/>
          <w:sz w:val="19"/>
        </w:rPr>
        <w:t>2012</w:t>
      </w:r>
      <w:r>
        <w:rPr>
          <w:sz w:val="19"/>
        </w:rPr>
        <w:t> </w:t>
      </w:r>
      <w:r>
        <w:rPr>
          <w:i/>
          <w:w w:val="108"/>
          <w:sz w:val="19"/>
        </w:rPr>
        <w:t>T</w:t>
      </w:r>
      <w:r>
        <w:rPr>
          <w:i/>
          <w:w w:val="106"/>
          <w:sz w:val="19"/>
        </w:rPr>
        <w:t>erritorios</w:t>
      </w:r>
      <w:r>
        <w:rPr>
          <w:i/>
          <w:sz w:val="19"/>
        </w:rPr>
        <w:t> </w:t>
      </w:r>
      <w:r>
        <w:rPr>
          <w:i/>
          <w:w w:val="111"/>
          <w:sz w:val="19"/>
        </w:rPr>
        <w:t>vigilados.</w:t>
      </w:r>
      <w:r>
        <w:rPr>
          <w:i/>
          <w:sz w:val="19"/>
        </w:rPr>
        <w:t> </w:t>
      </w:r>
      <w:r>
        <w:rPr>
          <w:i/>
          <w:w w:val="116"/>
          <w:sz w:val="19"/>
        </w:rPr>
        <w:t>Cómo</w:t>
      </w:r>
      <w:r>
        <w:rPr>
          <w:i/>
          <w:sz w:val="19"/>
        </w:rPr>
        <w:t> </w:t>
      </w:r>
      <w:r>
        <w:rPr>
          <w:i/>
          <w:w w:val="104"/>
          <w:sz w:val="19"/>
        </w:rPr>
        <w:t>opera</w:t>
      </w:r>
      <w:r>
        <w:rPr>
          <w:i/>
          <w:sz w:val="19"/>
        </w:rPr>
        <w:t> </w:t>
      </w:r>
      <w:r>
        <w:rPr>
          <w:i/>
          <w:w w:val="105"/>
          <w:sz w:val="19"/>
        </w:rPr>
        <w:t>la</w:t>
      </w:r>
      <w:r>
        <w:rPr>
          <w:i/>
          <w:sz w:val="19"/>
        </w:rPr>
        <w:t> </w:t>
      </w:r>
      <w:r>
        <w:rPr>
          <w:i/>
          <w:w w:val="102"/>
          <w:sz w:val="19"/>
        </w:rPr>
        <w:t>red</w:t>
      </w:r>
      <w:r>
        <w:rPr>
          <w:i/>
          <w:sz w:val="19"/>
        </w:rPr>
        <w:t> </w:t>
      </w:r>
      <w:r>
        <w:rPr>
          <w:i/>
          <w:w w:val="104"/>
          <w:sz w:val="19"/>
        </w:rPr>
        <w:t>de</w:t>
      </w:r>
      <w:r>
        <w:rPr>
          <w:i/>
          <w:sz w:val="19"/>
        </w:rPr>
        <w:t> </w:t>
      </w:r>
      <w:r>
        <w:rPr>
          <w:i/>
          <w:w w:val="109"/>
          <w:sz w:val="19"/>
        </w:rPr>
        <w:t>bases</w:t>
      </w:r>
      <w:r>
        <w:rPr>
          <w:i/>
          <w:w w:val="109"/>
          <w:sz w:val="19"/>
        </w:rPr>
        <w:t> </w:t>
      </w:r>
      <w:r>
        <w:rPr>
          <w:i/>
          <w:w w:val="110"/>
          <w:sz w:val="19"/>
        </w:rPr>
        <w:t>militares norteamericanas en Sudamérica </w:t>
      </w:r>
      <w:r>
        <w:rPr>
          <w:w w:val="110"/>
          <w:sz w:val="19"/>
        </w:rPr>
        <w:t>(buenos</w:t>
      </w:r>
    </w:p>
    <w:p>
      <w:pPr>
        <w:pStyle w:val="BodyText"/>
        <w:spacing w:before="1"/>
        <w:ind w:left="727"/>
      </w:pPr>
      <w:r>
        <w:rPr>
          <w:w w:val="115"/>
        </w:rPr>
        <w:t>aires: debate).</w:t>
      </w:r>
    </w:p>
    <w:p>
      <w:pPr>
        <w:pStyle w:val="BodyText"/>
        <w:spacing w:line="252" w:lineRule="auto" w:before="39"/>
        <w:ind w:left="727" w:right="190" w:hanging="397"/>
        <w:jc w:val="both"/>
      </w:pPr>
      <w:r>
        <w:rPr>
          <w:w w:val="115"/>
        </w:rPr>
        <w:t>Malamud,</w:t>
      </w:r>
      <w:r>
        <w:rPr>
          <w:spacing w:val="12"/>
        </w:rPr>
        <w:t> </w:t>
      </w:r>
      <w:r>
        <w:rPr>
          <w:w w:val="139"/>
        </w:rPr>
        <w:t>a</w:t>
      </w:r>
      <w:r>
        <w:rPr>
          <w:w w:val="107"/>
        </w:rPr>
        <w:t>ndrés</w:t>
      </w:r>
      <w:r>
        <w:rPr>
          <w:spacing w:val="12"/>
        </w:rPr>
        <w:t> </w:t>
      </w:r>
      <w:r>
        <w:rPr>
          <w:w w:val="102"/>
        </w:rPr>
        <w:t>2012</w:t>
      </w:r>
      <w:r>
        <w:rPr>
          <w:spacing w:val="12"/>
        </w:rPr>
        <w:t> </w:t>
      </w:r>
      <w:r>
        <w:rPr>
          <w:w w:val="115"/>
        </w:rPr>
        <w:t>“</w:t>
      </w:r>
      <w:r>
        <w:rPr>
          <w:w w:val="243"/>
        </w:rPr>
        <w:t>l</w:t>
      </w:r>
      <w:r>
        <w:rPr>
          <w:w w:val="112"/>
        </w:rPr>
        <w:t>a</w:t>
      </w:r>
      <w:r>
        <w:rPr>
          <w:spacing w:val="12"/>
        </w:rPr>
        <w:t> </w:t>
      </w:r>
      <w:r>
        <w:rPr>
          <w:w w:val="110"/>
        </w:rPr>
        <w:t>integración</w:t>
      </w:r>
      <w:r>
        <w:rPr>
          <w:spacing w:val="12"/>
        </w:rPr>
        <w:t> </w:t>
      </w:r>
      <w:r>
        <w:rPr>
          <w:w w:val="110"/>
        </w:rPr>
        <w:t>sentimental.</w:t>
      </w:r>
      <w:r>
        <w:rPr>
          <w:spacing w:val="12"/>
        </w:rPr>
        <w:t> </w:t>
      </w:r>
      <w:r>
        <w:rPr>
          <w:w w:val="243"/>
        </w:rPr>
        <w:t>l</w:t>
      </w:r>
      <w:r>
        <w:rPr>
          <w:w w:val="109"/>
        </w:rPr>
        <w:t>as</w:t>
      </w:r>
      <w:r>
        <w:rPr>
          <w:spacing w:val="12"/>
        </w:rPr>
        <w:t> </w:t>
      </w:r>
      <w:r>
        <w:rPr>
          <w:w w:val="109"/>
        </w:rPr>
        <w:t>debilidades </w:t>
      </w:r>
      <w:r>
        <w:rPr>
          <w:w w:val="115"/>
        </w:rPr>
        <w:t>del</w:t>
      </w:r>
      <w:r>
        <w:rPr>
          <w:spacing w:val="-23"/>
          <w:w w:val="115"/>
        </w:rPr>
        <w:t> </w:t>
      </w:r>
      <w:r>
        <w:rPr>
          <w:w w:val="115"/>
        </w:rPr>
        <w:t>inter-presidencialismo”,</w:t>
      </w:r>
      <w:r>
        <w:rPr>
          <w:spacing w:val="-23"/>
          <w:w w:val="115"/>
        </w:rPr>
        <w:t> </w:t>
      </w:r>
      <w:r>
        <w:rPr>
          <w:w w:val="115"/>
        </w:rPr>
        <w:t>en</w:t>
      </w:r>
      <w:r>
        <w:rPr>
          <w:spacing w:val="-23"/>
          <w:w w:val="115"/>
        </w:rPr>
        <w:t> </w:t>
      </w:r>
      <w:r>
        <w:rPr>
          <w:i/>
          <w:w w:val="115"/>
        </w:rPr>
        <w:t>Le</w:t>
      </w:r>
      <w:r>
        <w:rPr>
          <w:i/>
          <w:spacing w:val="-23"/>
          <w:w w:val="115"/>
        </w:rPr>
        <w:t> </w:t>
      </w:r>
      <w:r>
        <w:rPr>
          <w:i/>
          <w:w w:val="115"/>
        </w:rPr>
        <w:t>Monde</w:t>
      </w:r>
      <w:r>
        <w:rPr>
          <w:i/>
          <w:spacing w:val="-23"/>
          <w:w w:val="115"/>
        </w:rPr>
        <w:t> </w:t>
      </w:r>
      <w:r>
        <w:rPr>
          <w:i/>
          <w:w w:val="115"/>
        </w:rPr>
        <w:t>Diplomatique</w:t>
      </w:r>
      <w:r>
        <w:rPr>
          <w:w w:val="115"/>
        </w:rPr>
        <w:t>,</w:t>
      </w:r>
      <w:r>
        <w:rPr>
          <w:spacing w:val="-23"/>
          <w:w w:val="115"/>
        </w:rPr>
        <w:t> </w:t>
      </w:r>
      <w:r>
        <w:rPr>
          <w:w w:val="115"/>
        </w:rPr>
        <w:t>Edición Cono</w:t>
      </w:r>
      <w:r>
        <w:rPr>
          <w:spacing w:val="-13"/>
          <w:w w:val="115"/>
        </w:rPr>
        <w:t> </w:t>
      </w:r>
      <w:r>
        <w:rPr>
          <w:w w:val="115"/>
        </w:rPr>
        <w:t>sur</w:t>
      </w:r>
      <w:r>
        <w:rPr>
          <w:spacing w:val="-13"/>
          <w:w w:val="115"/>
        </w:rPr>
        <w:t> </w:t>
      </w:r>
      <w:r>
        <w:rPr>
          <w:w w:val="115"/>
        </w:rPr>
        <w:t>(buenos</w:t>
      </w:r>
      <w:r>
        <w:rPr>
          <w:spacing w:val="-13"/>
          <w:w w:val="115"/>
        </w:rPr>
        <w:t> </w:t>
      </w:r>
      <w:r>
        <w:rPr>
          <w:w w:val="115"/>
        </w:rPr>
        <w:t>aires),</w:t>
      </w:r>
      <w:r>
        <w:rPr>
          <w:spacing w:val="-13"/>
          <w:w w:val="115"/>
        </w:rPr>
        <w:t> </w:t>
      </w:r>
      <w:r>
        <w:rPr>
          <w:w w:val="115"/>
        </w:rPr>
        <w:t>Nº</w:t>
      </w:r>
      <w:r>
        <w:rPr>
          <w:spacing w:val="-13"/>
          <w:w w:val="115"/>
        </w:rPr>
        <w:t> </w:t>
      </w:r>
      <w:r>
        <w:rPr>
          <w:w w:val="115"/>
        </w:rPr>
        <w:t>159,</w:t>
      </w:r>
      <w:r>
        <w:rPr>
          <w:spacing w:val="-13"/>
          <w:w w:val="115"/>
        </w:rPr>
        <w:t> </w:t>
      </w:r>
      <w:r>
        <w:rPr>
          <w:w w:val="115"/>
        </w:rPr>
        <w:t>septiembre.</w:t>
      </w:r>
    </w:p>
    <w:p>
      <w:pPr>
        <w:spacing w:line="252" w:lineRule="auto" w:before="28"/>
        <w:ind w:left="727" w:right="245" w:hanging="397"/>
        <w:jc w:val="left"/>
        <w:rPr>
          <w:i/>
          <w:sz w:val="19"/>
        </w:rPr>
      </w:pPr>
      <w:r>
        <w:rPr>
          <w:w w:val="115"/>
          <w:sz w:val="19"/>
        </w:rPr>
        <w:t>Martínez, osvaldo 2002 “alCa: tiburón y sardinas”, en </w:t>
      </w:r>
      <w:r>
        <w:rPr>
          <w:i/>
          <w:w w:val="115"/>
          <w:sz w:val="19"/>
        </w:rPr>
        <w:t>Paradigmas </w:t>
      </w:r>
      <w:r>
        <w:rPr>
          <w:i/>
          <w:w w:val="115"/>
          <w:sz w:val="19"/>
        </w:rPr>
        <w:t>y utopías. Revista de reflexión teórica y política del Partido del</w:t>
      </w:r>
    </w:p>
    <w:p>
      <w:pPr>
        <w:spacing w:line="252" w:lineRule="auto" w:before="0"/>
        <w:ind w:left="727" w:right="0" w:firstLine="0"/>
        <w:jc w:val="left"/>
        <w:rPr>
          <w:sz w:val="19"/>
        </w:rPr>
      </w:pPr>
      <w:r>
        <w:rPr>
          <w:i/>
          <w:w w:val="110"/>
          <w:sz w:val="19"/>
        </w:rPr>
        <w:t>trabajo</w:t>
      </w:r>
      <w:r>
        <w:rPr>
          <w:w w:val="110"/>
          <w:sz w:val="19"/>
        </w:rPr>
        <w:t>. </w:t>
      </w:r>
      <w:r>
        <w:rPr>
          <w:i/>
          <w:w w:val="110"/>
          <w:sz w:val="19"/>
        </w:rPr>
        <w:t>ALCA: Imperialismo neoliberal </w:t>
      </w:r>
      <w:r>
        <w:rPr>
          <w:w w:val="110"/>
          <w:sz w:val="19"/>
        </w:rPr>
        <w:t>(México), Nº 3, diciembre/ enero.</w:t>
      </w:r>
    </w:p>
    <w:p>
      <w:pPr>
        <w:spacing w:line="252" w:lineRule="auto" w:before="28"/>
        <w:ind w:left="727" w:right="0" w:hanging="397"/>
        <w:jc w:val="left"/>
        <w:rPr>
          <w:sz w:val="19"/>
        </w:rPr>
      </w:pPr>
      <w:r>
        <w:rPr>
          <w:w w:val="110"/>
          <w:sz w:val="19"/>
        </w:rPr>
        <w:t>Martínez, osvaldo 2012 </w:t>
      </w:r>
      <w:r>
        <w:rPr>
          <w:i/>
          <w:w w:val="110"/>
          <w:sz w:val="19"/>
        </w:rPr>
        <w:t>América Latina: integración regional y </w:t>
      </w:r>
      <w:r>
        <w:rPr>
          <w:i/>
          <w:w w:val="115"/>
          <w:sz w:val="19"/>
        </w:rPr>
        <w:t>geopolítica mundial </w:t>
      </w:r>
      <w:r>
        <w:rPr>
          <w:w w:val="115"/>
          <w:sz w:val="19"/>
        </w:rPr>
        <w:t>(Panamá: ruth Casa Editorial).</w:t>
      </w:r>
    </w:p>
    <w:p>
      <w:pPr>
        <w:spacing w:line="252" w:lineRule="auto" w:before="28"/>
        <w:ind w:left="727" w:right="0" w:hanging="397"/>
        <w:jc w:val="left"/>
        <w:rPr>
          <w:sz w:val="19"/>
        </w:rPr>
      </w:pPr>
      <w:r>
        <w:rPr>
          <w:w w:val="110"/>
          <w:sz w:val="19"/>
        </w:rPr>
        <w:t>Martins, Carlos Eduardo (coord.) 2012 </w:t>
      </w:r>
      <w:r>
        <w:rPr>
          <w:i/>
          <w:w w:val="110"/>
          <w:sz w:val="19"/>
        </w:rPr>
        <w:t>Los retos de la integración y </w:t>
      </w:r>
      <w:r>
        <w:rPr>
          <w:i/>
          <w:w w:val="110"/>
          <w:sz w:val="19"/>
        </w:rPr>
        <w:t>América  del  Sur  </w:t>
      </w:r>
      <w:r>
        <w:rPr>
          <w:w w:val="110"/>
          <w:sz w:val="19"/>
        </w:rPr>
        <w:t>(buenos  aires: </w:t>
      </w:r>
      <w:r>
        <w:rPr>
          <w:w w:val="120"/>
          <w:sz w:val="19"/>
        </w:rPr>
        <w:t>ClaCso).</w:t>
      </w:r>
    </w:p>
    <w:p>
      <w:pPr>
        <w:spacing w:line="252" w:lineRule="auto" w:before="28"/>
        <w:ind w:left="727" w:right="114" w:hanging="397"/>
        <w:jc w:val="left"/>
        <w:rPr>
          <w:sz w:val="19"/>
        </w:rPr>
      </w:pPr>
      <w:r>
        <w:rPr>
          <w:w w:val="112"/>
          <w:sz w:val="19"/>
        </w:rPr>
        <w:t>Morgenfeld,</w:t>
      </w:r>
      <w:r>
        <w:rPr>
          <w:sz w:val="19"/>
        </w:rPr>
        <w:t> </w:t>
      </w:r>
      <w:r>
        <w:rPr>
          <w:w w:val="243"/>
          <w:sz w:val="19"/>
        </w:rPr>
        <w:t>l</w:t>
      </w:r>
      <w:r>
        <w:rPr>
          <w:w w:val="109"/>
          <w:sz w:val="19"/>
        </w:rPr>
        <w:t>eandro</w:t>
      </w:r>
      <w:r>
        <w:rPr>
          <w:sz w:val="19"/>
        </w:rPr>
        <w:t> </w:t>
      </w:r>
      <w:r>
        <w:rPr>
          <w:w w:val="102"/>
          <w:sz w:val="19"/>
        </w:rPr>
        <w:t>2006</w:t>
      </w:r>
      <w:r>
        <w:rPr>
          <w:sz w:val="19"/>
        </w:rPr>
        <w:t> </w:t>
      </w:r>
      <w:r>
        <w:rPr>
          <w:i/>
          <w:w w:val="120"/>
          <w:sz w:val="19"/>
        </w:rPr>
        <w:t>El</w:t>
      </w:r>
      <w:r>
        <w:rPr>
          <w:i/>
          <w:sz w:val="19"/>
        </w:rPr>
        <w:t> </w:t>
      </w:r>
      <w:r>
        <w:rPr>
          <w:i/>
          <w:w w:val="116"/>
          <w:sz w:val="19"/>
        </w:rPr>
        <w:t>ALCA:</w:t>
      </w:r>
      <w:r>
        <w:rPr>
          <w:i/>
          <w:sz w:val="19"/>
        </w:rPr>
        <w:t> </w:t>
      </w:r>
      <w:r>
        <w:rPr>
          <w:i/>
          <w:w w:val="115"/>
          <w:sz w:val="19"/>
        </w:rPr>
        <w:t>¿a</w:t>
      </w:r>
      <w:r>
        <w:rPr>
          <w:i/>
          <w:sz w:val="19"/>
        </w:rPr>
        <w:t> </w:t>
      </w:r>
      <w:r>
        <w:rPr>
          <w:i/>
          <w:w w:val="111"/>
          <w:sz w:val="19"/>
        </w:rPr>
        <w:t>quién</w:t>
      </w:r>
      <w:r>
        <w:rPr>
          <w:i/>
          <w:sz w:val="19"/>
        </w:rPr>
        <w:t> </w:t>
      </w:r>
      <w:r>
        <w:rPr>
          <w:i/>
          <w:w w:val="101"/>
          <w:sz w:val="19"/>
        </w:rPr>
        <w:t>le</w:t>
      </w:r>
      <w:r>
        <w:rPr>
          <w:i/>
          <w:sz w:val="19"/>
        </w:rPr>
        <w:t> </w:t>
      </w:r>
      <w:r>
        <w:rPr>
          <w:i/>
          <w:w w:val="108"/>
          <w:sz w:val="19"/>
        </w:rPr>
        <w:t>interesa?</w:t>
      </w:r>
      <w:r>
        <w:rPr>
          <w:i/>
          <w:sz w:val="19"/>
        </w:rPr>
        <w:t> </w:t>
      </w:r>
      <w:r>
        <w:rPr>
          <w:w w:val="98"/>
          <w:sz w:val="19"/>
        </w:rPr>
        <w:t>(</w:t>
      </w:r>
      <w:r>
        <w:rPr>
          <w:w w:val="134"/>
          <w:sz w:val="19"/>
        </w:rPr>
        <w:t>b</w:t>
      </w:r>
      <w:r>
        <w:rPr>
          <w:w w:val="109"/>
          <w:sz w:val="19"/>
        </w:rPr>
        <w:t>uenos </w:t>
      </w:r>
      <w:r>
        <w:rPr>
          <w:w w:val="110"/>
          <w:sz w:val="19"/>
        </w:rPr>
        <w:t>aires:  Ediciones Cooperativas).</w:t>
      </w:r>
    </w:p>
    <w:p>
      <w:pPr>
        <w:spacing w:line="252" w:lineRule="auto" w:before="28"/>
        <w:ind w:left="727" w:right="0" w:hanging="397"/>
        <w:jc w:val="left"/>
        <w:rPr>
          <w:sz w:val="19"/>
        </w:rPr>
      </w:pPr>
      <w:r>
        <w:rPr>
          <w:w w:val="112"/>
          <w:sz w:val="19"/>
        </w:rPr>
        <w:t>Morgenfeld,</w:t>
      </w:r>
      <w:r>
        <w:rPr>
          <w:sz w:val="19"/>
        </w:rPr>
        <w:t> </w:t>
      </w:r>
      <w:r>
        <w:rPr>
          <w:w w:val="243"/>
          <w:sz w:val="19"/>
        </w:rPr>
        <w:t>l</w:t>
      </w:r>
      <w:r>
        <w:rPr>
          <w:w w:val="109"/>
          <w:sz w:val="19"/>
        </w:rPr>
        <w:t>eandro</w:t>
      </w:r>
      <w:r>
        <w:rPr>
          <w:sz w:val="19"/>
        </w:rPr>
        <w:t> </w:t>
      </w:r>
      <w:r>
        <w:rPr>
          <w:w w:val="102"/>
          <w:sz w:val="19"/>
        </w:rPr>
        <w:t>2011</w:t>
      </w:r>
      <w:r>
        <w:rPr>
          <w:sz w:val="19"/>
        </w:rPr>
        <w:t> </w:t>
      </w:r>
      <w:r>
        <w:rPr>
          <w:i/>
          <w:w w:val="118"/>
          <w:sz w:val="19"/>
        </w:rPr>
        <w:t>V</w:t>
      </w:r>
      <w:r>
        <w:rPr>
          <w:i/>
          <w:w w:val="112"/>
          <w:sz w:val="19"/>
        </w:rPr>
        <w:t>ecinos</w:t>
      </w:r>
      <w:r>
        <w:rPr>
          <w:i/>
          <w:sz w:val="19"/>
        </w:rPr>
        <w:t> </w:t>
      </w:r>
      <w:r>
        <w:rPr>
          <w:i/>
          <w:w w:val="108"/>
          <w:sz w:val="19"/>
        </w:rPr>
        <w:t>en</w:t>
      </w:r>
      <w:r>
        <w:rPr>
          <w:i/>
          <w:sz w:val="19"/>
        </w:rPr>
        <w:t> </w:t>
      </w:r>
      <w:r>
        <w:rPr>
          <w:i/>
          <w:w w:val="113"/>
          <w:sz w:val="19"/>
        </w:rPr>
        <w:t>conflicto.</w:t>
      </w:r>
      <w:r>
        <w:rPr>
          <w:i/>
          <w:sz w:val="19"/>
        </w:rPr>
        <w:t> </w:t>
      </w:r>
      <w:r>
        <w:rPr>
          <w:i/>
          <w:w w:val="106"/>
          <w:sz w:val="19"/>
        </w:rPr>
        <w:t>Argentina</w:t>
      </w:r>
      <w:r>
        <w:rPr>
          <w:i/>
          <w:sz w:val="19"/>
        </w:rPr>
        <w:t> </w:t>
      </w:r>
      <w:r>
        <w:rPr>
          <w:i/>
          <w:w w:val="103"/>
          <w:sz w:val="19"/>
        </w:rPr>
        <w:t>frente</w:t>
      </w:r>
      <w:r>
        <w:rPr>
          <w:i/>
          <w:sz w:val="19"/>
        </w:rPr>
        <w:t> </w:t>
      </w:r>
      <w:r>
        <w:rPr>
          <w:i/>
          <w:w w:val="104"/>
          <w:sz w:val="19"/>
        </w:rPr>
        <w:t>a</w:t>
      </w:r>
      <w:r>
        <w:rPr>
          <w:i/>
          <w:w w:val="104"/>
          <w:sz w:val="19"/>
        </w:rPr>
        <w:t> </w:t>
      </w:r>
      <w:r>
        <w:rPr>
          <w:i/>
          <w:w w:val="110"/>
          <w:sz w:val="19"/>
        </w:rPr>
        <w:t>Estados Unidos en las conferencias panamericanas (1880-1955) </w:t>
      </w:r>
      <w:r>
        <w:rPr>
          <w:w w:val="98"/>
          <w:sz w:val="19"/>
        </w:rPr>
        <w:t>(</w:t>
      </w:r>
      <w:r>
        <w:rPr>
          <w:w w:val="134"/>
          <w:sz w:val="19"/>
        </w:rPr>
        <w:t>b</w:t>
      </w:r>
      <w:r>
        <w:rPr>
          <w:w w:val="109"/>
          <w:sz w:val="19"/>
        </w:rPr>
        <w:t>uenos</w:t>
      </w:r>
      <w:r>
        <w:rPr>
          <w:sz w:val="19"/>
        </w:rPr>
        <w:t> </w:t>
      </w:r>
      <w:r>
        <w:rPr>
          <w:w w:val="139"/>
          <w:sz w:val="19"/>
        </w:rPr>
        <w:t>a</w:t>
      </w:r>
      <w:r>
        <w:rPr>
          <w:w w:val="107"/>
          <w:sz w:val="19"/>
        </w:rPr>
        <w:t>ires:</w:t>
      </w:r>
      <w:r>
        <w:rPr>
          <w:sz w:val="19"/>
        </w:rPr>
        <w:t> </w:t>
      </w:r>
      <w:r>
        <w:rPr>
          <w:w w:val="110"/>
          <w:sz w:val="19"/>
        </w:rPr>
        <w:t>Peña</w:t>
      </w:r>
      <w:r>
        <w:rPr>
          <w:sz w:val="19"/>
        </w:rPr>
        <w:t> </w:t>
      </w:r>
      <w:r>
        <w:rPr>
          <w:w w:val="243"/>
          <w:sz w:val="19"/>
        </w:rPr>
        <w:t>l</w:t>
      </w:r>
      <w:r>
        <w:rPr>
          <w:w w:val="107"/>
          <w:sz w:val="19"/>
        </w:rPr>
        <w:t>illo/Continente).</w:t>
      </w:r>
    </w:p>
    <w:p>
      <w:pPr>
        <w:pStyle w:val="BodyText"/>
        <w:spacing w:line="252" w:lineRule="auto" w:before="28"/>
        <w:ind w:left="727" w:right="374" w:hanging="397"/>
      </w:pPr>
      <w:r>
        <w:rPr>
          <w:w w:val="112"/>
        </w:rPr>
        <w:t>Morgenfeld,</w:t>
      </w:r>
      <w:r>
        <w:rPr/>
        <w:t> </w:t>
      </w:r>
      <w:r>
        <w:rPr>
          <w:w w:val="243"/>
        </w:rPr>
        <w:t>l</w:t>
      </w:r>
      <w:r>
        <w:rPr>
          <w:w w:val="109"/>
        </w:rPr>
        <w:t>eandro</w:t>
      </w:r>
      <w:r>
        <w:rPr/>
        <w:t> </w:t>
      </w:r>
      <w:r>
        <w:rPr>
          <w:w w:val="104"/>
        </w:rPr>
        <w:t>2012a</w:t>
      </w:r>
      <w:r>
        <w:rPr/>
        <w:t> </w:t>
      </w:r>
      <w:r>
        <w:rPr>
          <w:w w:val="115"/>
        </w:rPr>
        <w:t>“</w:t>
      </w:r>
      <w:r>
        <w:rPr>
          <w:w w:val="139"/>
        </w:rPr>
        <w:t>d</w:t>
      </w:r>
      <w:r>
        <w:rPr>
          <w:w w:val="110"/>
        </w:rPr>
        <w:t>esarrollismo,</w:t>
      </w:r>
      <w:r>
        <w:rPr/>
        <w:t> </w:t>
      </w:r>
      <w:r>
        <w:rPr>
          <w:w w:val="139"/>
        </w:rPr>
        <w:t>a</w:t>
      </w:r>
      <w:r>
        <w:rPr>
          <w:w w:val="112"/>
        </w:rPr>
        <w:t>lianza</w:t>
      </w:r>
      <w:r>
        <w:rPr/>
        <w:t> </w:t>
      </w:r>
      <w:r>
        <w:rPr>
          <w:w w:val="109"/>
        </w:rPr>
        <w:t>para</w:t>
      </w:r>
      <w:r>
        <w:rPr/>
        <w:t> </w:t>
      </w:r>
      <w:r>
        <w:rPr>
          <w:w w:val="107"/>
        </w:rPr>
        <w:t>el </w:t>
      </w:r>
      <w:r>
        <w:rPr>
          <w:w w:val="115"/>
        </w:rPr>
        <w:t>Progreso y revolución Cubana. Frondizi, Kennedy y el Che en Punta del Este (1961-1962)”, en </w:t>
      </w:r>
      <w:r>
        <w:rPr>
          <w:i/>
          <w:w w:val="115"/>
        </w:rPr>
        <w:t>CICLoS en la Historia, la </w:t>
      </w:r>
      <w:r>
        <w:rPr>
          <w:i/>
          <w:w w:val="115"/>
        </w:rPr>
        <w:t>Economía y la Sociedad </w:t>
      </w:r>
      <w:r>
        <w:rPr>
          <w:w w:val="115"/>
        </w:rPr>
        <w:t>(buenos aires), año </w:t>
      </w:r>
      <w:r>
        <w:rPr>
          <w:w w:val="125"/>
        </w:rPr>
        <w:t>xxi, </w:t>
      </w:r>
      <w:r>
        <w:rPr>
          <w:w w:val="115"/>
        </w:rPr>
        <w:t>Vol. </w:t>
      </w:r>
      <w:r>
        <w:rPr>
          <w:w w:val="125"/>
        </w:rPr>
        <w:t>xx, </w:t>
      </w:r>
      <w:r>
        <w:rPr>
          <w:w w:val="115"/>
        </w:rPr>
        <w:t>Nº </w:t>
      </w:r>
      <w:r>
        <w:rPr>
          <w:w w:val="110"/>
        </w:rPr>
        <w:t>39-40, pp. 133-163.</w:t>
      </w:r>
    </w:p>
    <w:p>
      <w:pPr>
        <w:spacing w:after="0" w:line="252" w:lineRule="auto"/>
        <w:sectPr>
          <w:pgSz w:w="8790" w:h="12760"/>
          <w:pgMar w:header="695" w:footer="725" w:top="880" w:bottom="920" w:left="1200" w:right="920"/>
        </w:sectPr>
      </w:pPr>
    </w:p>
    <w:p>
      <w:pPr>
        <w:pStyle w:val="BodyText"/>
        <w:spacing w:before="9"/>
        <w:rPr>
          <w:sz w:val="28"/>
        </w:rPr>
      </w:pPr>
    </w:p>
    <w:p>
      <w:pPr>
        <w:pStyle w:val="BodyText"/>
        <w:spacing w:line="252" w:lineRule="auto" w:before="73"/>
        <w:ind w:left="497" w:right="434" w:hanging="397"/>
        <w:jc w:val="both"/>
      </w:pPr>
      <w:r>
        <w:rPr>
          <w:w w:val="112"/>
        </w:rPr>
        <w:t>Morgenfeld,</w:t>
      </w:r>
      <w:r>
        <w:rPr>
          <w:spacing w:val="12"/>
        </w:rPr>
        <w:t> </w:t>
      </w:r>
      <w:r>
        <w:rPr>
          <w:w w:val="243"/>
        </w:rPr>
        <w:t>l</w:t>
      </w:r>
      <w:r>
        <w:rPr>
          <w:w w:val="109"/>
        </w:rPr>
        <w:t>eandro</w:t>
      </w:r>
      <w:r>
        <w:rPr>
          <w:spacing w:val="12"/>
        </w:rPr>
        <w:t> </w:t>
      </w:r>
      <w:r>
        <w:rPr>
          <w:w w:val="104"/>
        </w:rPr>
        <w:t>2012b</w:t>
      </w:r>
      <w:r>
        <w:rPr>
          <w:spacing w:val="12"/>
        </w:rPr>
        <w:t> </w:t>
      </w:r>
      <w:r>
        <w:rPr>
          <w:w w:val="115"/>
        </w:rPr>
        <w:t>“</w:t>
      </w:r>
      <w:r>
        <w:rPr>
          <w:w w:val="139"/>
        </w:rPr>
        <w:t>a</w:t>
      </w:r>
      <w:r>
        <w:rPr>
          <w:w w:val="113"/>
        </w:rPr>
        <w:t>mérica,</w:t>
      </w:r>
      <w:r>
        <w:rPr>
          <w:spacing w:val="12"/>
        </w:rPr>
        <w:t> </w:t>
      </w:r>
      <w:r>
        <w:rPr>
          <w:w w:val="107"/>
        </w:rPr>
        <w:t>de</w:t>
      </w:r>
      <w:r>
        <w:rPr>
          <w:spacing w:val="12"/>
        </w:rPr>
        <w:t> </w:t>
      </w:r>
      <w:r>
        <w:rPr>
          <w:w w:val="110"/>
        </w:rPr>
        <w:t>cumbre</w:t>
      </w:r>
      <w:r>
        <w:rPr>
          <w:spacing w:val="12"/>
        </w:rPr>
        <w:t> </w:t>
      </w:r>
      <w:r>
        <w:rPr>
          <w:w w:val="108"/>
        </w:rPr>
        <w:t>en</w:t>
      </w:r>
      <w:r>
        <w:rPr>
          <w:spacing w:val="12"/>
        </w:rPr>
        <w:t> </w:t>
      </w:r>
      <w:r>
        <w:rPr>
          <w:w w:val="112"/>
        </w:rPr>
        <w:t>cumbre”,</w:t>
      </w:r>
      <w:r>
        <w:rPr>
          <w:spacing w:val="12"/>
        </w:rPr>
        <w:t> </w:t>
      </w:r>
      <w:r>
        <w:rPr>
          <w:w w:val="108"/>
        </w:rPr>
        <w:t>en</w:t>
      </w:r>
      <w:r>
        <w:rPr>
          <w:spacing w:val="12"/>
        </w:rPr>
        <w:t> </w:t>
      </w:r>
      <w:r>
        <w:rPr>
          <w:i/>
          <w:w w:val="109"/>
        </w:rPr>
        <w:t>Le</w:t>
      </w:r>
      <w:r>
        <w:rPr>
          <w:i/>
          <w:w w:val="109"/>
        </w:rPr>
        <w:t> </w:t>
      </w:r>
      <w:r>
        <w:rPr>
          <w:i/>
          <w:w w:val="115"/>
        </w:rPr>
        <w:t>Monde</w:t>
      </w:r>
      <w:r>
        <w:rPr>
          <w:i/>
          <w:spacing w:val="-7"/>
          <w:w w:val="115"/>
        </w:rPr>
        <w:t> </w:t>
      </w:r>
      <w:r>
        <w:rPr>
          <w:i/>
          <w:w w:val="115"/>
        </w:rPr>
        <w:t>Diplomatique</w:t>
      </w:r>
      <w:r>
        <w:rPr>
          <w:w w:val="115"/>
        </w:rPr>
        <w:t>,</w:t>
      </w:r>
      <w:r>
        <w:rPr>
          <w:spacing w:val="-7"/>
          <w:w w:val="115"/>
        </w:rPr>
        <w:t> </w:t>
      </w:r>
      <w:r>
        <w:rPr>
          <w:w w:val="115"/>
        </w:rPr>
        <w:t>Edición</w:t>
      </w:r>
      <w:r>
        <w:rPr>
          <w:spacing w:val="-7"/>
          <w:w w:val="115"/>
        </w:rPr>
        <w:t> </w:t>
      </w:r>
      <w:r>
        <w:rPr>
          <w:w w:val="115"/>
        </w:rPr>
        <w:t>Cono</w:t>
      </w:r>
      <w:r>
        <w:rPr>
          <w:spacing w:val="-7"/>
          <w:w w:val="115"/>
        </w:rPr>
        <w:t> </w:t>
      </w:r>
      <w:r>
        <w:rPr>
          <w:w w:val="115"/>
        </w:rPr>
        <w:t>sur</w:t>
      </w:r>
      <w:r>
        <w:rPr>
          <w:spacing w:val="-7"/>
          <w:w w:val="115"/>
        </w:rPr>
        <w:t> </w:t>
      </w:r>
      <w:r>
        <w:rPr>
          <w:w w:val="115"/>
        </w:rPr>
        <w:t>(buenos</w:t>
      </w:r>
      <w:r>
        <w:rPr>
          <w:spacing w:val="-7"/>
          <w:w w:val="115"/>
        </w:rPr>
        <w:t> </w:t>
      </w:r>
      <w:r>
        <w:rPr>
          <w:w w:val="115"/>
        </w:rPr>
        <w:t>aires),</w:t>
      </w:r>
      <w:r>
        <w:rPr>
          <w:spacing w:val="-7"/>
          <w:w w:val="115"/>
        </w:rPr>
        <w:t> </w:t>
      </w:r>
      <w:r>
        <w:rPr>
          <w:w w:val="115"/>
        </w:rPr>
        <w:t>Nº</w:t>
      </w:r>
      <w:r>
        <w:rPr>
          <w:spacing w:val="-7"/>
          <w:w w:val="115"/>
        </w:rPr>
        <w:t> </w:t>
      </w:r>
      <w:r>
        <w:rPr>
          <w:w w:val="115"/>
        </w:rPr>
        <w:t>155, abril,</w:t>
      </w:r>
      <w:r>
        <w:rPr>
          <w:spacing w:val="-26"/>
          <w:w w:val="115"/>
        </w:rPr>
        <w:t> </w:t>
      </w:r>
      <w:r>
        <w:rPr>
          <w:w w:val="115"/>
        </w:rPr>
        <w:t>pp.</w:t>
      </w:r>
      <w:r>
        <w:rPr>
          <w:spacing w:val="-26"/>
          <w:w w:val="115"/>
        </w:rPr>
        <w:t> </w:t>
      </w:r>
      <w:r>
        <w:rPr>
          <w:w w:val="115"/>
        </w:rPr>
        <w:t>12-13.</w:t>
      </w:r>
    </w:p>
    <w:p>
      <w:pPr>
        <w:pStyle w:val="BodyText"/>
        <w:spacing w:line="252" w:lineRule="auto" w:before="28"/>
        <w:ind w:left="497" w:right="114" w:hanging="397"/>
      </w:pPr>
      <w:r>
        <w:rPr>
          <w:w w:val="112"/>
        </w:rPr>
        <w:t>Morgenfeld,</w:t>
      </w:r>
      <w:r>
        <w:rPr/>
        <w:t> </w:t>
      </w:r>
      <w:r>
        <w:rPr>
          <w:w w:val="243"/>
        </w:rPr>
        <w:t>l</w:t>
      </w:r>
      <w:r>
        <w:rPr>
          <w:w w:val="109"/>
        </w:rPr>
        <w:t>eandro</w:t>
      </w:r>
      <w:r>
        <w:rPr/>
        <w:t> </w:t>
      </w:r>
      <w:r>
        <w:rPr>
          <w:w w:val="104"/>
        </w:rPr>
        <w:t>2012c</w:t>
      </w:r>
      <w:r>
        <w:rPr/>
        <w:t> </w:t>
      </w:r>
      <w:r>
        <w:rPr>
          <w:w w:val="112"/>
        </w:rPr>
        <w:t>“Contracumbre”,</w:t>
      </w:r>
      <w:r>
        <w:rPr/>
        <w:t> </w:t>
      </w:r>
      <w:r>
        <w:rPr>
          <w:w w:val="108"/>
        </w:rPr>
        <w:t>en</w:t>
      </w:r>
      <w:r>
        <w:rPr/>
        <w:t> </w:t>
      </w:r>
      <w:r>
        <w:rPr>
          <w:i/>
          <w:w w:val="102"/>
        </w:rPr>
        <w:t>Página/12</w:t>
      </w:r>
      <w:r>
        <w:rPr>
          <w:i/>
        </w:rPr>
        <w:t> </w:t>
      </w:r>
      <w:r>
        <w:rPr>
          <w:w w:val="98"/>
        </w:rPr>
        <w:t>(</w:t>
      </w:r>
      <w:r>
        <w:rPr>
          <w:w w:val="134"/>
        </w:rPr>
        <w:t>b</w:t>
      </w:r>
      <w:r>
        <w:rPr>
          <w:w w:val="109"/>
        </w:rPr>
        <w:t>uenos </w:t>
      </w:r>
      <w:r>
        <w:rPr>
          <w:w w:val="110"/>
        </w:rPr>
        <w:t>aires), 15 de abril.</w:t>
      </w:r>
    </w:p>
    <w:p>
      <w:pPr>
        <w:spacing w:line="252" w:lineRule="auto" w:before="28"/>
        <w:ind w:left="497" w:right="819" w:hanging="397"/>
        <w:jc w:val="left"/>
        <w:rPr>
          <w:sz w:val="19"/>
        </w:rPr>
      </w:pPr>
      <w:r>
        <w:rPr>
          <w:w w:val="112"/>
          <w:sz w:val="19"/>
        </w:rPr>
        <w:t>Morgenfeld,</w:t>
      </w:r>
      <w:r>
        <w:rPr>
          <w:sz w:val="19"/>
        </w:rPr>
        <w:t> </w:t>
      </w:r>
      <w:r>
        <w:rPr>
          <w:w w:val="243"/>
          <w:sz w:val="19"/>
        </w:rPr>
        <w:t>l</w:t>
      </w:r>
      <w:r>
        <w:rPr>
          <w:w w:val="109"/>
          <w:sz w:val="19"/>
        </w:rPr>
        <w:t>eandro</w:t>
      </w:r>
      <w:r>
        <w:rPr>
          <w:sz w:val="19"/>
        </w:rPr>
        <w:t> </w:t>
      </w:r>
      <w:r>
        <w:rPr>
          <w:w w:val="103"/>
          <w:sz w:val="19"/>
        </w:rPr>
        <w:t>2012d</w:t>
      </w:r>
      <w:r>
        <w:rPr>
          <w:sz w:val="19"/>
        </w:rPr>
        <w:t> </w:t>
      </w:r>
      <w:r>
        <w:rPr>
          <w:i/>
          <w:w w:val="111"/>
          <w:sz w:val="19"/>
        </w:rPr>
        <w:t>Relaciones</w:t>
      </w:r>
      <w:r>
        <w:rPr>
          <w:i/>
          <w:sz w:val="19"/>
        </w:rPr>
        <w:t> </w:t>
      </w:r>
      <w:r>
        <w:rPr>
          <w:i/>
          <w:w w:val="108"/>
          <w:sz w:val="19"/>
        </w:rPr>
        <w:t>peligrosas.</w:t>
      </w:r>
      <w:r>
        <w:rPr>
          <w:i/>
          <w:sz w:val="19"/>
        </w:rPr>
        <w:t> </w:t>
      </w:r>
      <w:r>
        <w:rPr>
          <w:i/>
          <w:w w:val="106"/>
          <w:sz w:val="19"/>
        </w:rPr>
        <w:t>Argentina</w:t>
      </w:r>
      <w:r>
        <w:rPr>
          <w:i/>
          <w:sz w:val="19"/>
        </w:rPr>
        <w:t> </w:t>
      </w:r>
      <w:r>
        <w:rPr>
          <w:i/>
          <w:w w:val="106"/>
          <w:sz w:val="19"/>
        </w:rPr>
        <w:t>y</w:t>
      </w:r>
      <w:r>
        <w:rPr>
          <w:i/>
          <w:w w:val="106"/>
          <w:sz w:val="19"/>
        </w:rPr>
        <w:t> </w:t>
      </w:r>
      <w:r>
        <w:rPr>
          <w:i/>
          <w:w w:val="115"/>
          <w:sz w:val="19"/>
        </w:rPr>
        <w:t>Estados Unidos </w:t>
      </w:r>
      <w:r>
        <w:rPr>
          <w:w w:val="115"/>
          <w:sz w:val="19"/>
        </w:rPr>
        <w:t>(buenos aires: Capital intelectual).</w:t>
      </w:r>
    </w:p>
    <w:p>
      <w:pPr>
        <w:pStyle w:val="BodyText"/>
        <w:spacing w:line="252" w:lineRule="auto" w:before="28"/>
        <w:ind w:left="497" w:right="723" w:hanging="397"/>
      </w:pPr>
      <w:r>
        <w:rPr>
          <w:w w:val="112"/>
        </w:rPr>
        <w:t>Morgenfeld,</w:t>
      </w:r>
      <w:r>
        <w:rPr/>
        <w:t> </w:t>
      </w:r>
      <w:r>
        <w:rPr>
          <w:w w:val="243"/>
        </w:rPr>
        <w:t>l</w:t>
      </w:r>
      <w:r>
        <w:rPr>
          <w:w w:val="109"/>
        </w:rPr>
        <w:t>eandro</w:t>
      </w:r>
      <w:r>
        <w:rPr/>
        <w:t> </w:t>
      </w:r>
      <w:r>
        <w:rPr>
          <w:w w:val="104"/>
        </w:rPr>
        <w:t>2014a</w:t>
      </w:r>
      <w:r>
        <w:rPr/>
        <w:t> </w:t>
      </w:r>
      <w:r>
        <w:rPr>
          <w:w w:val="120"/>
        </w:rPr>
        <w:t>“El</w:t>
      </w:r>
      <w:r>
        <w:rPr/>
        <w:t> </w:t>
      </w:r>
      <w:r>
        <w:rPr>
          <w:w w:val="110"/>
        </w:rPr>
        <w:t>jardín</w:t>
      </w:r>
      <w:r>
        <w:rPr/>
        <w:t> </w:t>
      </w:r>
      <w:r>
        <w:rPr>
          <w:w w:val="107"/>
        </w:rPr>
        <w:t>de</w:t>
      </w:r>
      <w:r>
        <w:rPr/>
        <w:t> </w:t>
      </w:r>
      <w:r>
        <w:rPr>
          <w:w w:val="111"/>
        </w:rPr>
        <w:t>atrás.</w:t>
      </w:r>
      <w:r>
        <w:rPr/>
        <w:t> </w:t>
      </w:r>
      <w:r>
        <w:rPr>
          <w:w w:val="243"/>
        </w:rPr>
        <w:t>l</w:t>
      </w:r>
      <w:r>
        <w:rPr>
          <w:w w:val="112"/>
        </w:rPr>
        <w:t>a</w:t>
      </w:r>
      <w:r>
        <w:rPr/>
        <w:t> </w:t>
      </w:r>
      <w:r>
        <w:rPr>
          <w:w w:val="108"/>
        </w:rPr>
        <w:t>siempre </w:t>
      </w:r>
      <w:r>
        <w:rPr>
          <w:w w:val="110"/>
        </w:rPr>
        <w:t>conflictiva</w:t>
      </w:r>
      <w:r>
        <w:rPr/>
        <w:t> </w:t>
      </w:r>
      <w:r>
        <w:rPr>
          <w:w w:val="110"/>
        </w:rPr>
        <w:t>relación</w:t>
      </w:r>
      <w:r>
        <w:rPr/>
        <w:t> </w:t>
      </w:r>
      <w:r>
        <w:rPr>
          <w:w w:val="112"/>
        </w:rPr>
        <w:t>con</w:t>
      </w:r>
      <w:r>
        <w:rPr/>
        <w:t> </w:t>
      </w:r>
      <w:r>
        <w:rPr>
          <w:w w:val="139"/>
        </w:rPr>
        <w:t>a</w:t>
      </w:r>
      <w:r>
        <w:rPr>
          <w:w w:val="111"/>
        </w:rPr>
        <w:t>mérica</w:t>
      </w:r>
      <w:r>
        <w:rPr/>
        <w:t> </w:t>
      </w:r>
      <w:r>
        <w:rPr>
          <w:w w:val="243"/>
        </w:rPr>
        <w:t>l</w:t>
      </w:r>
      <w:r>
        <w:rPr>
          <w:w w:val="114"/>
        </w:rPr>
        <w:t>atina”,</w:t>
      </w:r>
      <w:r>
        <w:rPr/>
        <w:t> </w:t>
      </w:r>
      <w:r>
        <w:rPr>
          <w:w w:val="108"/>
        </w:rPr>
        <w:t>en</w:t>
      </w:r>
      <w:r>
        <w:rPr/>
        <w:t> </w:t>
      </w:r>
      <w:r>
        <w:rPr>
          <w:w w:val="120"/>
        </w:rPr>
        <w:t>“El</w:t>
      </w:r>
      <w:r>
        <w:rPr/>
        <w:t> </w:t>
      </w:r>
      <w:r>
        <w:rPr>
          <w:w w:val="111"/>
        </w:rPr>
        <w:t>Explorador </w:t>
      </w:r>
      <w:r>
        <w:rPr>
          <w:w w:val="115"/>
        </w:rPr>
        <w:t>Estados unidos” de </w:t>
      </w:r>
      <w:r>
        <w:rPr>
          <w:i/>
          <w:w w:val="115"/>
        </w:rPr>
        <w:t>Le Monde Diplomatique </w:t>
      </w:r>
      <w:r>
        <w:rPr>
          <w:w w:val="115"/>
        </w:rPr>
        <w:t>(buenos aires), marzo, pp. 64-67.</w:t>
      </w:r>
    </w:p>
    <w:p>
      <w:pPr>
        <w:spacing w:line="252" w:lineRule="auto" w:before="28"/>
        <w:ind w:left="497" w:right="528" w:hanging="397"/>
        <w:jc w:val="left"/>
        <w:rPr>
          <w:sz w:val="19"/>
        </w:rPr>
      </w:pPr>
      <w:r>
        <w:rPr>
          <w:w w:val="112"/>
          <w:sz w:val="19"/>
        </w:rPr>
        <w:t>Morgenfeld,</w:t>
      </w:r>
      <w:r>
        <w:rPr>
          <w:sz w:val="19"/>
        </w:rPr>
        <w:t> </w:t>
      </w:r>
      <w:r>
        <w:rPr>
          <w:w w:val="243"/>
          <w:sz w:val="19"/>
        </w:rPr>
        <w:t>l</w:t>
      </w:r>
      <w:r>
        <w:rPr>
          <w:w w:val="109"/>
          <w:sz w:val="19"/>
        </w:rPr>
        <w:t>eandro</w:t>
      </w:r>
      <w:r>
        <w:rPr>
          <w:sz w:val="19"/>
        </w:rPr>
        <w:t> </w:t>
      </w:r>
      <w:r>
        <w:rPr>
          <w:w w:val="104"/>
          <w:sz w:val="19"/>
        </w:rPr>
        <w:t>2014b</w:t>
      </w:r>
      <w:r>
        <w:rPr>
          <w:sz w:val="19"/>
        </w:rPr>
        <w:t> </w:t>
      </w:r>
      <w:r>
        <w:rPr>
          <w:w w:val="112"/>
          <w:sz w:val="19"/>
        </w:rPr>
        <w:t>“Estados</w:t>
      </w:r>
      <w:r>
        <w:rPr>
          <w:sz w:val="19"/>
        </w:rPr>
        <w:t> </w:t>
      </w:r>
      <w:r>
        <w:rPr>
          <w:w w:val="140"/>
          <w:sz w:val="19"/>
        </w:rPr>
        <w:t>u</w:t>
      </w:r>
      <w:r>
        <w:rPr>
          <w:w w:val="110"/>
          <w:sz w:val="19"/>
        </w:rPr>
        <w:t>nidos</w:t>
      </w:r>
      <w:r>
        <w:rPr>
          <w:sz w:val="19"/>
        </w:rPr>
        <w:t> </w:t>
      </w:r>
      <w:r>
        <w:rPr>
          <w:w w:val="105"/>
          <w:sz w:val="19"/>
        </w:rPr>
        <w:t>y</w:t>
      </w:r>
      <w:r>
        <w:rPr>
          <w:sz w:val="19"/>
        </w:rPr>
        <w:t> </w:t>
      </w:r>
      <w:r>
        <w:rPr>
          <w:w w:val="139"/>
          <w:sz w:val="19"/>
        </w:rPr>
        <w:t>a</w:t>
      </w:r>
      <w:r>
        <w:rPr>
          <w:w w:val="111"/>
          <w:sz w:val="19"/>
        </w:rPr>
        <w:t>mérica</w:t>
      </w:r>
      <w:r>
        <w:rPr>
          <w:sz w:val="19"/>
        </w:rPr>
        <w:t> </w:t>
      </w:r>
      <w:r>
        <w:rPr>
          <w:w w:val="243"/>
          <w:sz w:val="19"/>
        </w:rPr>
        <w:t>l</w:t>
      </w:r>
      <w:r>
        <w:rPr>
          <w:w w:val="111"/>
          <w:sz w:val="19"/>
        </w:rPr>
        <w:t>atina:</w:t>
      </w:r>
      <w:r>
        <w:rPr>
          <w:sz w:val="19"/>
        </w:rPr>
        <w:t> </w:t>
      </w:r>
      <w:r>
        <w:rPr>
          <w:w w:val="108"/>
          <w:sz w:val="19"/>
        </w:rPr>
        <w:t>los </w:t>
      </w:r>
      <w:r>
        <w:rPr>
          <w:w w:val="115"/>
          <w:sz w:val="19"/>
        </w:rPr>
        <w:t>dilemas del siglo </w:t>
      </w:r>
      <w:r>
        <w:rPr>
          <w:w w:val="130"/>
          <w:sz w:val="19"/>
        </w:rPr>
        <w:t>xxi”, </w:t>
      </w:r>
      <w:r>
        <w:rPr>
          <w:w w:val="115"/>
          <w:sz w:val="19"/>
        </w:rPr>
        <w:t>en </w:t>
      </w:r>
      <w:r>
        <w:rPr>
          <w:i/>
          <w:w w:val="115"/>
          <w:sz w:val="19"/>
        </w:rPr>
        <w:t>Cuadernos del Pensamiento Crítico </w:t>
      </w:r>
      <w:r>
        <w:rPr>
          <w:i/>
          <w:w w:val="115"/>
          <w:sz w:val="19"/>
        </w:rPr>
        <w:t>Latinoamericano</w:t>
      </w:r>
      <w:r>
        <w:rPr>
          <w:w w:val="115"/>
          <w:sz w:val="19"/>
        </w:rPr>
        <w:t>, de </w:t>
      </w:r>
      <w:r>
        <w:rPr>
          <w:w w:val="130"/>
          <w:sz w:val="19"/>
        </w:rPr>
        <w:t>ClaCso </w:t>
      </w:r>
      <w:r>
        <w:rPr>
          <w:w w:val="115"/>
          <w:sz w:val="19"/>
        </w:rPr>
        <w:t>(buenos aires), segunda época, Nº 17, pp. 1-3, octubre.</w:t>
      </w:r>
    </w:p>
    <w:p>
      <w:pPr>
        <w:pStyle w:val="BodyText"/>
        <w:spacing w:line="252" w:lineRule="auto" w:before="28"/>
        <w:ind w:left="497" w:right="194" w:hanging="397"/>
      </w:pPr>
      <w:r>
        <w:rPr>
          <w:w w:val="112"/>
        </w:rPr>
        <w:t>Morgenfeld,</w:t>
      </w:r>
      <w:r>
        <w:rPr/>
        <w:t> </w:t>
      </w:r>
      <w:r>
        <w:rPr>
          <w:w w:val="243"/>
        </w:rPr>
        <w:t>l</w:t>
      </w:r>
      <w:r>
        <w:rPr>
          <w:w w:val="109"/>
        </w:rPr>
        <w:t>eandro</w:t>
      </w:r>
      <w:r>
        <w:rPr/>
        <w:t> </w:t>
      </w:r>
      <w:r>
        <w:rPr>
          <w:w w:val="104"/>
        </w:rPr>
        <w:t>2015a</w:t>
      </w:r>
      <w:r>
        <w:rPr/>
        <w:t> </w:t>
      </w:r>
      <w:r>
        <w:rPr>
          <w:w w:val="112"/>
        </w:rPr>
        <w:t>“Estados</w:t>
      </w:r>
      <w:r>
        <w:rPr/>
        <w:t> </w:t>
      </w:r>
      <w:r>
        <w:rPr>
          <w:w w:val="140"/>
        </w:rPr>
        <w:t>u</w:t>
      </w:r>
      <w:r>
        <w:rPr>
          <w:w w:val="111"/>
        </w:rPr>
        <w:t>nidos-Cuba:</w:t>
      </w:r>
      <w:r>
        <w:rPr/>
        <w:t> </w:t>
      </w:r>
      <w:r>
        <w:rPr>
          <w:w w:val="112"/>
        </w:rPr>
        <w:t>un</w:t>
      </w:r>
      <w:r>
        <w:rPr/>
        <w:t> </w:t>
      </w:r>
      <w:r>
        <w:rPr>
          <w:w w:val="110"/>
        </w:rPr>
        <w:t>giro</w:t>
      </w:r>
      <w:r>
        <w:rPr/>
        <w:t> </w:t>
      </w:r>
      <w:r>
        <w:rPr>
          <w:w w:val="110"/>
        </w:rPr>
        <w:t>histórico </w:t>
      </w:r>
      <w:r>
        <w:rPr>
          <w:w w:val="108"/>
        </w:rPr>
        <w:t>que</w:t>
      </w:r>
      <w:r>
        <w:rPr/>
        <w:t> </w:t>
      </w:r>
      <w:r>
        <w:rPr>
          <w:w w:val="112"/>
        </w:rPr>
        <w:t>impacta</w:t>
      </w:r>
      <w:r>
        <w:rPr/>
        <w:t> </w:t>
      </w:r>
      <w:r>
        <w:rPr>
          <w:w w:val="107"/>
        </w:rPr>
        <w:t>sobre</w:t>
      </w:r>
      <w:r>
        <w:rPr/>
        <w:t> </w:t>
      </w:r>
      <w:r>
        <w:rPr>
          <w:w w:val="139"/>
        </w:rPr>
        <w:t>a</w:t>
      </w:r>
      <w:r>
        <w:rPr>
          <w:w w:val="111"/>
        </w:rPr>
        <w:t>mérica</w:t>
      </w:r>
      <w:r>
        <w:rPr/>
        <w:t> </w:t>
      </w:r>
      <w:r>
        <w:rPr>
          <w:w w:val="243"/>
        </w:rPr>
        <w:t>l</w:t>
      </w:r>
      <w:r>
        <w:rPr>
          <w:w w:val="111"/>
        </w:rPr>
        <w:t>atina</w:t>
      </w:r>
      <w:r>
        <w:rPr/>
        <w:t> </w:t>
      </w:r>
      <w:r>
        <w:rPr>
          <w:w w:val="105"/>
        </w:rPr>
        <w:t>y</w:t>
      </w:r>
      <w:r>
        <w:rPr/>
        <w:t> </w:t>
      </w:r>
      <w:r>
        <w:rPr>
          <w:w w:val="107"/>
        </w:rPr>
        <w:t>el</w:t>
      </w:r>
      <w:r>
        <w:rPr/>
        <w:t> </w:t>
      </w:r>
      <w:r>
        <w:rPr>
          <w:w w:val="114"/>
        </w:rPr>
        <w:t>Caribe”,</w:t>
      </w:r>
      <w:r>
        <w:rPr/>
        <w:t> </w:t>
      </w:r>
      <w:r>
        <w:rPr>
          <w:w w:val="108"/>
        </w:rPr>
        <w:t>en</w:t>
      </w:r>
      <w:r>
        <w:rPr/>
        <w:t> </w:t>
      </w:r>
      <w:r>
        <w:rPr>
          <w:i/>
          <w:w w:val="111"/>
        </w:rPr>
        <w:t>Crítica</w:t>
      </w:r>
      <w:r>
        <w:rPr>
          <w:i/>
        </w:rPr>
        <w:t> </w:t>
      </w:r>
      <w:r>
        <w:rPr>
          <w:i/>
          <w:w w:val="106"/>
        </w:rPr>
        <w:t>y</w:t>
      </w:r>
      <w:r>
        <w:rPr>
          <w:i/>
          <w:w w:val="106"/>
        </w:rPr>
        <w:t> </w:t>
      </w:r>
      <w:r>
        <w:rPr>
          <w:i/>
          <w:w w:val="115"/>
        </w:rPr>
        <w:t>Emancipación</w:t>
      </w:r>
      <w:r>
        <w:rPr>
          <w:w w:val="115"/>
        </w:rPr>
        <w:t>, de </w:t>
      </w:r>
      <w:r>
        <w:rPr>
          <w:w w:val="130"/>
        </w:rPr>
        <w:t>ClaCso </w:t>
      </w:r>
      <w:r>
        <w:rPr>
          <w:w w:val="115"/>
        </w:rPr>
        <w:t>(buenos aires), Nº 12 [en prensa].</w:t>
      </w:r>
    </w:p>
    <w:p>
      <w:pPr>
        <w:pStyle w:val="BodyText"/>
        <w:spacing w:before="28"/>
        <w:ind w:left="100"/>
        <w:rPr>
          <w:i/>
        </w:rPr>
      </w:pPr>
      <w:r>
        <w:rPr>
          <w:w w:val="112"/>
        </w:rPr>
        <w:t>Morgenfeld,</w:t>
      </w:r>
      <w:r>
        <w:rPr>
          <w:spacing w:val="12"/>
        </w:rPr>
        <w:t> </w:t>
      </w:r>
      <w:r>
        <w:rPr>
          <w:w w:val="243"/>
        </w:rPr>
        <w:t>l</w:t>
      </w:r>
      <w:r>
        <w:rPr>
          <w:w w:val="109"/>
        </w:rPr>
        <w:t>eandro</w:t>
      </w:r>
      <w:r>
        <w:rPr>
          <w:spacing w:val="12"/>
        </w:rPr>
        <w:t> </w:t>
      </w:r>
      <w:r>
        <w:rPr>
          <w:w w:val="104"/>
        </w:rPr>
        <w:t>2015b</w:t>
      </w:r>
      <w:r>
        <w:rPr>
          <w:spacing w:val="12"/>
        </w:rPr>
        <w:t> </w:t>
      </w:r>
      <w:r>
        <w:rPr>
          <w:w w:val="115"/>
        </w:rPr>
        <w:t>“</w:t>
      </w:r>
      <w:r>
        <w:rPr>
          <w:spacing w:val="-18"/>
          <w:w w:val="195"/>
        </w:rPr>
        <w:t>t</w:t>
      </w:r>
      <w:r>
        <w:rPr>
          <w:w w:val="109"/>
        </w:rPr>
        <w:t>ensión</w:t>
      </w:r>
      <w:r>
        <w:rPr>
          <w:spacing w:val="12"/>
        </w:rPr>
        <w:t> </w:t>
      </w:r>
      <w:r>
        <w:rPr>
          <w:w w:val="108"/>
        </w:rPr>
        <w:t>en</w:t>
      </w:r>
      <w:r>
        <w:rPr>
          <w:spacing w:val="12"/>
        </w:rPr>
        <w:t> </w:t>
      </w:r>
      <w:r>
        <w:rPr>
          <w:w w:val="111"/>
        </w:rPr>
        <w:t>la</w:t>
      </w:r>
      <w:r>
        <w:rPr>
          <w:spacing w:val="12"/>
        </w:rPr>
        <w:t> </w:t>
      </w:r>
      <w:r>
        <w:rPr>
          <w:w w:val="114"/>
        </w:rPr>
        <w:t>Cumbre”,</w:t>
      </w:r>
      <w:r>
        <w:rPr>
          <w:spacing w:val="12"/>
        </w:rPr>
        <w:t> </w:t>
      </w:r>
      <w:r>
        <w:rPr>
          <w:w w:val="108"/>
        </w:rPr>
        <w:t>en</w:t>
      </w:r>
      <w:r>
        <w:rPr>
          <w:spacing w:val="12"/>
        </w:rPr>
        <w:t> </w:t>
      </w:r>
      <w:r>
        <w:rPr>
          <w:i/>
          <w:w w:val="102"/>
        </w:rPr>
        <w:t>Página/12</w:t>
      </w:r>
    </w:p>
    <w:p>
      <w:pPr>
        <w:pStyle w:val="BodyText"/>
        <w:spacing w:before="11"/>
        <w:ind w:left="497"/>
      </w:pPr>
      <w:r>
        <w:rPr>
          <w:w w:val="110"/>
        </w:rPr>
        <w:t>(buenos aires), 8 de abril, p.  27.</w:t>
      </w:r>
    </w:p>
    <w:p>
      <w:pPr>
        <w:pStyle w:val="BodyText"/>
        <w:spacing w:line="252" w:lineRule="auto" w:before="39"/>
        <w:ind w:left="497" w:right="762" w:hanging="397"/>
      </w:pPr>
      <w:r>
        <w:rPr>
          <w:w w:val="112"/>
        </w:rPr>
        <w:t>Morgenfeld,</w:t>
      </w:r>
      <w:r>
        <w:rPr/>
        <w:t> </w:t>
      </w:r>
      <w:r>
        <w:rPr>
          <w:w w:val="243"/>
        </w:rPr>
        <w:t>l</w:t>
      </w:r>
      <w:r>
        <w:rPr>
          <w:w w:val="109"/>
        </w:rPr>
        <w:t>eandro</w:t>
      </w:r>
      <w:r>
        <w:rPr/>
        <w:t> </w:t>
      </w:r>
      <w:r>
        <w:rPr>
          <w:w w:val="104"/>
        </w:rPr>
        <w:t>2015c</w:t>
      </w:r>
      <w:r>
        <w:rPr/>
        <w:t> </w:t>
      </w:r>
      <w:r>
        <w:rPr>
          <w:w w:val="115"/>
        </w:rPr>
        <w:t>“</w:t>
      </w:r>
      <w:r>
        <w:rPr>
          <w:w w:val="149"/>
        </w:rPr>
        <w:t>o</w:t>
      </w:r>
      <w:r>
        <w:rPr>
          <w:w w:val="112"/>
        </w:rPr>
        <w:t>bama</w:t>
      </w:r>
      <w:r>
        <w:rPr/>
        <w:t> </w:t>
      </w:r>
      <w:r>
        <w:rPr>
          <w:w w:val="109"/>
        </w:rPr>
        <w:t>ante</w:t>
      </w:r>
      <w:r>
        <w:rPr/>
        <w:t> </w:t>
      </w:r>
      <w:r>
        <w:rPr>
          <w:w w:val="108"/>
        </w:rPr>
        <w:t>otro</w:t>
      </w:r>
      <w:r>
        <w:rPr/>
        <w:t> </w:t>
      </w:r>
      <w:r>
        <w:rPr>
          <w:w w:val="110"/>
        </w:rPr>
        <w:t>fracaso:</w:t>
      </w:r>
      <w:r>
        <w:rPr/>
        <w:t> </w:t>
      </w:r>
      <w:r>
        <w:rPr>
          <w:w w:val="116"/>
        </w:rPr>
        <w:t>¿</w:t>
      </w:r>
      <w:r>
        <w:rPr>
          <w:w w:val="139"/>
        </w:rPr>
        <w:t>a</w:t>
      </w:r>
      <w:r>
        <w:rPr>
          <w:w w:val="109"/>
        </w:rPr>
        <w:t>diós</w:t>
      </w:r>
      <w:r>
        <w:rPr/>
        <w:t> </w:t>
      </w:r>
      <w:r>
        <w:rPr>
          <w:w w:val="112"/>
        </w:rPr>
        <w:t>a </w:t>
      </w:r>
      <w:r>
        <w:rPr>
          <w:w w:val="110"/>
        </w:rPr>
        <w:t>las Cumbres de las américas?”, en </w:t>
      </w:r>
      <w:r>
        <w:rPr>
          <w:i/>
          <w:w w:val="110"/>
        </w:rPr>
        <w:t>Notas. Periodismo Popular </w:t>
      </w:r>
      <w:r>
        <w:rPr>
          <w:w w:val="110"/>
        </w:rPr>
        <w:t>(buenos aires), 9 de  abril.</w:t>
      </w:r>
    </w:p>
    <w:p>
      <w:pPr>
        <w:pStyle w:val="BodyText"/>
        <w:spacing w:line="252" w:lineRule="auto" w:before="28"/>
        <w:ind w:left="497" w:hanging="397"/>
      </w:pPr>
      <w:r>
        <w:rPr>
          <w:w w:val="112"/>
        </w:rPr>
        <w:t>Morgenfeld,</w:t>
      </w:r>
      <w:r>
        <w:rPr/>
        <w:t> </w:t>
      </w:r>
      <w:r>
        <w:rPr>
          <w:w w:val="243"/>
        </w:rPr>
        <w:t>l</w:t>
      </w:r>
      <w:r>
        <w:rPr>
          <w:w w:val="109"/>
        </w:rPr>
        <w:t>eandro</w:t>
      </w:r>
      <w:r>
        <w:rPr/>
        <w:t> </w:t>
      </w:r>
      <w:r>
        <w:rPr>
          <w:w w:val="103"/>
        </w:rPr>
        <w:t>2015d</w:t>
      </w:r>
      <w:r>
        <w:rPr/>
        <w:t> </w:t>
      </w:r>
      <w:r>
        <w:rPr>
          <w:w w:val="112"/>
        </w:rPr>
        <w:t>“Panamá:</w:t>
      </w:r>
      <w:r>
        <w:rPr/>
        <w:t> </w:t>
      </w:r>
      <w:r>
        <w:rPr>
          <w:w w:val="134"/>
        </w:rPr>
        <w:t>b</w:t>
      </w:r>
      <w:r>
        <w:rPr>
          <w:w w:val="111"/>
        </w:rPr>
        <w:t>alance</w:t>
      </w:r>
      <w:r>
        <w:rPr/>
        <w:t> </w:t>
      </w:r>
      <w:r>
        <w:rPr>
          <w:w w:val="107"/>
        </w:rPr>
        <w:t>de</w:t>
      </w:r>
      <w:r>
        <w:rPr/>
        <w:t> </w:t>
      </w:r>
      <w:r>
        <w:rPr>
          <w:w w:val="112"/>
        </w:rPr>
        <w:t>una</w:t>
      </w:r>
      <w:r>
        <w:rPr/>
        <w:t> </w:t>
      </w:r>
      <w:r>
        <w:rPr>
          <w:w w:val="112"/>
        </w:rPr>
        <w:t>Cumbre </w:t>
      </w:r>
      <w:r>
        <w:rPr>
          <w:w w:val="110"/>
        </w:rPr>
        <w:t>contradictoria”, en </w:t>
      </w:r>
      <w:r>
        <w:rPr>
          <w:i/>
          <w:w w:val="110"/>
        </w:rPr>
        <w:t>Rebelión</w:t>
      </w:r>
      <w:r>
        <w:rPr>
          <w:w w:val="110"/>
        </w:rPr>
        <w:t>, 13 de abril, en </w:t>
      </w:r>
      <w:hyperlink r:id="rId139">
        <w:r>
          <w:rPr>
            <w:w w:val="110"/>
          </w:rPr>
          <w:t>&lt;http://www</w:t>
        </w:r>
      </w:hyperlink>
      <w:r>
        <w:rPr>
          <w:w w:val="110"/>
        </w:rPr>
        <w:t>. rebelion.org/noticia.php?id=197684&gt;.</w:t>
      </w:r>
    </w:p>
    <w:p>
      <w:pPr>
        <w:pStyle w:val="BodyText"/>
        <w:spacing w:line="252" w:lineRule="auto" w:before="28"/>
        <w:ind w:left="497" w:right="819" w:hanging="397"/>
      </w:pPr>
      <w:r>
        <w:rPr>
          <w:w w:val="149"/>
        </w:rPr>
        <w:t>o</w:t>
      </w:r>
      <w:r>
        <w:rPr>
          <w:w w:val="114"/>
        </w:rPr>
        <w:t>bama,</w:t>
      </w:r>
      <w:r>
        <w:rPr/>
        <w:t> </w:t>
      </w:r>
      <w:r>
        <w:rPr>
          <w:w w:val="134"/>
        </w:rPr>
        <w:t>b</w:t>
      </w:r>
      <w:r>
        <w:rPr>
          <w:w w:val="110"/>
        </w:rPr>
        <w:t>arack</w:t>
      </w:r>
      <w:r>
        <w:rPr/>
        <w:t> </w:t>
      </w:r>
      <w:r>
        <w:rPr>
          <w:w w:val="102"/>
        </w:rPr>
        <w:t>2011</w:t>
      </w:r>
      <w:r>
        <w:rPr/>
        <w:t> </w:t>
      </w:r>
      <w:r>
        <w:rPr>
          <w:w w:val="115"/>
        </w:rPr>
        <w:t>“</w:t>
      </w:r>
      <w:r>
        <w:rPr>
          <w:w w:val="139"/>
        </w:rPr>
        <w:t>a</w:t>
      </w:r>
      <w:r>
        <w:rPr>
          <w:w w:val="111"/>
        </w:rPr>
        <w:t>merican</w:t>
      </w:r>
      <w:r>
        <w:rPr/>
        <w:t> </w:t>
      </w:r>
      <w:r>
        <w:rPr>
          <w:w w:val="116"/>
        </w:rPr>
        <w:t>Jobs</w:t>
      </w:r>
      <w:r>
        <w:rPr/>
        <w:t> </w:t>
      </w:r>
      <w:r>
        <w:rPr>
          <w:w w:val="195"/>
        </w:rPr>
        <w:t>t</w:t>
      </w:r>
      <w:r>
        <w:rPr>
          <w:w w:val="111"/>
        </w:rPr>
        <w:t>hrough</w:t>
      </w:r>
      <w:r>
        <w:rPr/>
        <w:t> </w:t>
      </w:r>
      <w:r>
        <w:rPr>
          <w:w w:val="111"/>
        </w:rPr>
        <w:t>Exports</w:t>
      </w:r>
      <w:r>
        <w:rPr/>
        <w:t> </w:t>
      </w:r>
      <w:r>
        <w:rPr>
          <w:w w:val="108"/>
        </w:rPr>
        <w:t>to</w:t>
      </w:r>
      <w:r>
        <w:rPr/>
        <w:t> </w:t>
      </w:r>
      <w:r>
        <w:rPr>
          <w:w w:val="243"/>
        </w:rPr>
        <w:t>l</w:t>
      </w:r>
      <w:r>
        <w:rPr>
          <w:w w:val="111"/>
        </w:rPr>
        <w:t>atin </w:t>
      </w:r>
      <w:r>
        <w:rPr>
          <w:w w:val="110"/>
        </w:rPr>
        <w:t>america”, 19 de marzo, en  </w:t>
      </w:r>
      <w:hyperlink r:id="rId531">
        <w:r>
          <w:rPr>
            <w:w w:val="110"/>
          </w:rPr>
          <w:t>&lt;www.thewhitehouse.gov&gt;.</w:t>
        </w:r>
      </w:hyperlink>
    </w:p>
    <w:p>
      <w:pPr>
        <w:pStyle w:val="BodyText"/>
        <w:spacing w:line="252" w:lineRule="auto" w:before="28"/>
        <w:ind w:left="497" w:right="620" w:hanging="397"/>
      </w:pPr>
      <w:r>
        <w:rPr>
          <w:w w:val="115"/>
        </w:rPr>
        <w:t>oppenheimer,</w:t>
      </w:r>
      <w:r>
        <w:rPr>
          <w:spacing w:val="-11"/>
          <w:w w:val="115"/>
        </w:rPr>
        <w:t> </w:t>
      </w:r>
      <w:r>
        <w:rPr>
          <w:w w:val="115"/>
        </w:rPr>
        <w:t>andrés</w:t>
      </w:r>
      <w:r>
        <w:rPr>
          <w:spacing w:val="-11"/>
          <w:w w:val="115"/>
        </w:rPr>
        <w:t> </w:t>
      </w:r>
      <w:r>
        <w:rPr>
          <w:w w:val="115"/>
        </w:rPr>
        <w:t>2012</w:t>
      </w:r>
      <w:r>
        <w:rPr>
          <w:spacing w:val="-11"/>
          <w:w w:val="115"/>
        </w:rPr>
        <w:t> </w:t>
      </w:r>
      <w:r>
        <w:rPr>
          <w:w w:val="115"/>
        </w:rPr>
        <w:t>“obama</w:t>
      </w:r>
      <w:r>
        <w:rPr>
          <w:spacing w:val="-11"/>
          <w:w w:val="115"/>
        </w:rPr>
        <w:t> </w:t>
      </w:r>
      <w:r>
        <w:rPr>
          <w:w w:val="115"/>
        </w:rPr>
        <w:t>debe</w:t>
      </w:r>
      <w:r>
        <w:rPr>
          <w:spacing w:val="-11"/>
          <w:w w:val="115"/>
        </w:rPr>
        <w:t> </w:t>
      </w:r>
      <w:r>
        <w:rPr>
          <w:w w:val="115"/>
        </w:rPr>
        <w:t>mirar</w:t>
      </w:r>
      <w:r>
        <w:rPr>
          <w:spacing w:val="-11"/>
          <w:w w:val="115"/>
        </w:rPr>
        <w:t> </w:t>
      </w:r>
      <w:r>
        <w:rPr>
          <w:w w:val="115"/>
        </w:rPr>
        <w:t>más</w:t>
      </w:r>
      <w:r>
        <w:rPr>
          <w:spacing w:val="-11"/>
          <w:w w:val="115"/>
        </w:rPr>
        <w:t> </w:t>
      </w:r>
      <w:r>
        <w:rPr>
          <w:w w:val="115"/>
        </w:rPr>
        <w:t>al</w:t>
      </w:r>
      <w:r>
        <w:rPr>
          <w:spacing w:val="-11"/>
          <w:w w:val="115"/>
        </w:rPr>
        <w:t> </w:t>
      </w:r>
      <w:r>
        <w:rPr>
          <w:w w:val="115"/>
        </w:rPr>
        <w:t>sur”,</w:t>
      </w:r>
      <w:r>
        <w:rPr>
          <w:spacing w:val="-11"/>
          <w:w w:val="115"/>
        </w:rPr>
        <w:t> </w:t>
      </w:r>
      <w:r>
        <w:rPr>
          <w:w w:val="115"/>
        </w:rPr>
        <w:t>en</w:t>
      </w:r>
      <w:r>
        <w:rPr>
          <w:spacing w:val="-11"/>
          <w:w w:val="115"/>
        </w:rPr>
        <w:t> </w:t>
      </w:r>
      <w:r>
        <w:rPr>
          <w:i/>
          <w:w w:val="115"/>
        </w:rPr>
        <w:t>La </w:t>
      </w:r>
      <w:r>
        <w:rPr>
          <w:i/>
          <w:w w:val="115"/>
        </w:rPr>
        <w:t>Nación</w:t>
      </w:r>
      <w:r>
        <w:rPr>
          <w:i/>
          <w:spacing w:val="-14"/>
          <w:w w:val="115"/>
        </w:rPr>
        <w:t> </w:t>
      </w:r>
      <w:r>
        <w:rPr>
          <w:w w:val="115"/>
        </w:rPr>
        <w:t>(buenos</w:t>
      </w:r>
      <w:r>
        <w:rPr>
          <w:spacing w:val="-14"/>
          <w:w w:val="115"/>
        </w:rPr>
        <w:t> </w:t>
      </w:r>
      <w:r>
        <w:rPr>
          <w:w w:val="115"/>
        </w:rPr>
        <w:t>aires),</w:t>
      </w:r>
      <w:r>
        <w:rPr>
          <w:spacing w:val="-14"/>
          <w:w w:val="115"/>
        </w:rPr>
        <w:t> </w:t>
      </w:r>
      <w:r>
        <w:rPr>
          <w:w w:val="115"/>
        </w:rPr>
        <w:t>17</w:t>
      </w:r>
      <w:r>
        <w:rPr>
          <w:spacing w:val="-14"/>
          <w:w w:val="115"/>
        </w:rPr>
        <w:t> </w:t>
      </w:r>
      <w:r>
        <w:rPr>
          <w:w w:val="115"/>
        </w:rPr>
        <w:t>de</w:t>
      </w:r>
      <w:r>
        <w:rPr>
          <w:spacing w:val="-14"/>
          <w:w w:val="115"/>
        </w:rPr>
        <w:t> </w:t>
      </w:r>
      <w:r>
        <w:rPr>
          <w:w w:val="115"/>
        </w:rPr>
        <w:t>enero.</w:t>
      </w:r>
    </w:p>
    <w:p>
      <w:pPr>
        <w:spacing w:line="252" w:lineRule="auto" w:before="28"/>
        <w:ind w:left="497" w:right="342" w:hanging="397"/>
        <w:jc w:val="left"/>
        <w:rPr>
          <w:sz w:val="19"/>
        </w:rPr>
      </w:pPr>
      <w:r>
        <w:rPr>
          <w:w w:val="111"/>
          <w:sz w:val="19"/>
        </w:rPr>
        <w:t>Panetta,</w:t>
      </w:r>
      <w:r>
        <w:rPr>
          <w:spacing w:val="12"/>
          <w:sz w:val="19"/>
        </w:rPr>
        <w:t> </w:t>
      </w:r>
      <w:r>
        <w:rPr>
          <w:w w:val="243"/>
          <w:sz w:val="19"/>
        </w:rPr>
        <w:t>l</w:t>
      </w:r>
      <w:r>
        <w:rPr>
          <w:w w:val="109"/>
          <w:sz w:val="19"/>
        </w:rPr>
        <w:t>eon</w:t>
      </w:r>
      <w:r>
        <w:rPr>
          <w:spacing w:val="12"/>
          <w:sz w:val="19"/>
        </w:rPr>
        <w:t> </w:t>
      </w:r>
      <w:r>
        <w:rPr>
          <w:w w:val="102"/>
          <w:sz w:val="19"/>
        </w:rPr>
        <w:t>2012</w:t>
      </w:r>
      <w:r>
        <w:rPr>
          <w:spacing w:val="12"/>
          <w:sz w:val="19"/>
        </w:rPr>
        <w:t> </w:t>
      </w:r>
      <w:r>
        <w:rPr>
          <w:i/>
          <w:w w:val="111"/>
          <w:sz w:val="19"/>
        </w:rPr>
        <w:t>La</w:t>
      </w:r>
      <w:r>
        <w:rPr>
          <w:i/>
          <w:spacing w:val="12"/>
          <w:sz w:val="19"/>
        </w:rPr>
        <w:t> </w:t>
      </w:r>
      <w:r>
        <w:rPr>
          <w:i/>
          <w:w w:val="109"/>
          <w:sz w:val="19"/>
        </w:rPr>
        <w:t>política</w:t>
      </w:r>
      <w:r>
        <w:rPr>
          <w:i/>
          <w:spacing w:val="12"/>
          <w:sz w:val="19"/>
        </w:rPr>
        <w:t> </w:t>
      </w:r>
      <w:r>
        <w:rPr>
          <w:i/>
          <w:w w:val="104"/>
          <w:sz w:val="19"/>
        </w:rPr>
        <w:t>de</w:t>
      </w:r>
      <w:r>
        <w:rPr>
          <w:i/>
          <w:spacing w:val="12"/>
          <w:sz w:val="19"/>
        </w:rPr>
        <w:t> </w:t>
      </w:r>
      <w:r>
        <w:rPr>
          <w:i/>
          <w:w w:val="107"/>
          <w:sz w:val="19"/>
        </w:rPr>
        <w:t>defensa</w:t>
      </w:r>
      <w:r>
        <w:rPr>
          <w:i/>
          <w:spacing w:val="12"/>
          <w:sz w:val="19"/>
        </w:rPr>
        <w:t> </w:t>
      </w:r>
      <w:r>
        <w:rPr>
          <w:i/>
          <w:w w:val="103"/>
          <w:sz w:val="19"/>
        </w:rPr>
        <w:t>para</w:t>
      </w:r>
      <w:r>
        <w:rPr>
          <w:i/>
          <w:spacing w:val="12"/>
          <w:sz w:val="19"/>
        </w:rPr>
        <w:t> </w:t>
      </w:r>
      <w:r>
        <w:rPr>
          <w:i/>
          <w:w w:val="101"/>
          <w:sz w:val="19"/>
        </w:rPr>
        <w:t>el</w:t>
      </w:r>
      <w:r>
        <w:rPr>
          <w:i/>
          <w:spacing w:val="12"/>
          <w:sz w:val="19"/>
        </w:rPr>
        <w:t> </w:t>
      </w:r>
      <w:r>
        <w:rPr>
          <w:i/>
          <w:w w:val="111"/>
          <w:sz w:val="19"/>
        </w:rPr>
        <w:t>Hemisferio</w:t>
      </w:r>
      <w:r>
        <w:rPr>
          <w:i/>
          <w:w w:val="111"/>
          <w:sz w:val="19"/>
        </w:rPr>
        <w:t> </w:t>
      </w:r>
      <w:r>
        <w:rPr>
          <w:i/>
          <w:w w:val="115"/>
          <w:sz w:val="19"/>
        </w:rPr>
        <w:t>occidental</w:t>
      </w:r>
      <w:r>
        <w:rPr>
          <w:i/>
          <w:spacing w:val="-11"/>
          <w:w w:val="115"/>
          <w:sz w:val="19"/>
        </w:rPr>
        <w:t> </w:t>
      </w:r>
      <w:r>
        <w:rPr>
          <w:w w:val="115"/>
          <w:sz w:val="19"/>
        </w:rPr>
        <w:t>(Washington:</w:t>
      </w:r>
      <w:r>
        <w:rPr>
          <w:spacing w:val="-11"/>
          <w:w w:val="115"/>
          <w:sz w:val="19"/>
        </w:rPr>
        <w:t> </w:t>
      </w:r>
      <w:r>
        <w:rPr>
          <w:w w:val="115"/>
          <w:sz w:val="19"/>
        </w:rPr>
        <w:t>department</w:t>
      </w:r>
      <w:r>
        <w:rPr>
          <w:spacing w:val="-11"/>
          <w:w w:val="115"/>
          <w:sz w:val="19"/>
        </w:rPr>
        <w:t> </w:t>
      </w:r>
      <w:r>
        <w:rPr>
          <w:w w:val="115"/>
          <w:sz w:val="19"/>
        </w:rPr>
        <w:t>of</w:t>
      </w:r>
      <w:r>
        <w:rPr>
          <w:spacing w:val="-11"/>
          <w:w w:val="115"/>
          <w:sz w:val="19"/>
        </w:rPr>
        <w:t> </w:t>
      </w:r>
      <w:r>
        <w:rPr>
          <w:w w:val="115"/>
          <w:sz w:val="19"/>
        </w:rPr>
        <w:t>defense</w:t>
      </w:r>
      <w:r>
        <w:rPr>
          <w:spacing w:val="-11"/>
          <w:w w:val="115"/>
          <w:sz w:val="19"/>
        </w:rPr>
        <w:t> </w:t>
      </w:r>
      <w:r>
        <w:rPr>
          <w:w w:val="115"/>
          <w:sz w:val="19"/>
        </w:rPr>
        <w:t>united</w:t>
      </w:r>
      <w:r>
        <w:rPr>
          <w:spacing w:val="-11"/>
          <w:w w:val="115"/>
          <w:sz w:val="19"/>
        </w:rPr>
        <w:t> </w:t>
      </w:r>
      <w:r>
        <w:rPr>
          <w:w w:val="115"/>
          <w:sz w:val="19"/>
        </w:rPr>
        <w:t>states</w:t>
      </w:r>
      <w:r>
        <w:rPr>
          <w:spacing w:val="-11"/>
          <w:w w:val="115"/>
          <w:sz w:val="19"/>
        </w:rPr>
        <w:t> </w:t>
      </w:r>
      <w:r>
        <w:rPr>
          <w:w w:val="115"/>
          <w:sz w:val="19"/>
        </w:rPr>
        <w:t>of america).</w:t>
      </w:r>
    </w:p>
    <w:p>
      <w:pPr>
        <w:spacing w:line="252" w:lineRule="auto" w:before="28"/>
        <w:ind w:left="497" w:right="819" w:hanging="397"/>
        <w:jc w:val="left"/>
        <w:rPr>
          <w:sz w:val="19"/>
        </w:rPr>
      </w:pPr>
      <w:r>
        <w:rPr>
          <w:w w:val="110"/>
          <w:sz w:val="19"/>
        </w:rPr>
        <w:t>rapoport, Mario 2006 </w:t>
      </w:r>
      <w:r>
        <w:rPr>
          <w:i/>
          <w:w w:val="110"/>
          <w:sz w:val="19"/>
        </w:rPr>
        <w:t>Historia económica, política y social de la </w:t>
      </w:r>
      <w:r>
        <w:rPr>
          <w:i/>
          <w:w w:val="110"/>
          <w:sz w:val="19"/>
        </w:rPr>
        <w:t>Argentina (1880-2003) </w:t>
      </w:r>
      <w:r>
        <w:rPr>
          <w:w w:val="110"/>
          <w:sz w:val="19"/>
        </w:rPr>
        <w:t>(buenos aires: ariel).</w:t>
      </w:r>
    </w:p>
    <w:p>
      <w:pPr>
        <w:pStyle w:val="BodyText"/>
        <w:spacing w:line="252" w:lineRule="auto" w:before="28"/>
        <w:ind w:left="497" w:right="114" w:hanging="397"/>
      </w:pPr>
      <w:r>
        <w:rPr>
          <w:w w:val="149"/>
        </w:rPr>
        <w:t>s</w:t>
      </w:r>
      <w:r>
        <w:rPr>
          <w:w w:val="109"/>
        </w:rPr>
        <w:t>uárez</w:t>
      </w:r>
      <w:r>
        <w:rPr/>
        <w:t> </w:t>
      </w:r>
      <w:r>
        <w:rPr>
          <w:w w:val="149"/>
        </w:rPr>
        <w:t>s</w:t>
      </w:r>
      <w:r>
        <w:rPr>
          <w:w w:val="112"/>
        </w:rPr>
        <w:t>alaza</w:t>
      </w:r>
      <w:r>
        <w:rPr>
          <w:w w:val="105"/>
        </w:rPr>
        <w:t>r</w:t>
      </w:r>
      <w:r>
        <w:rPr>
          <w:w w:val="138"/>
        </w:rPr>
        <w:t>,</w:t>
      </w:r>
      <w:r>
        <w:rPr/>
        <w:t> </w:t>
      </w:r>
      <w:r>
        <w:rPr>
          <w:w w:val="243"/>
        </w:rPr>
        <w:t>l</w:t>
      </w:r>
      <w:r>
        <w:rPr>
          <w:w w:val="111"/>
        </w:rPr>
        <w:t>uis</w:t>
      </w:r>
      <w:r>
        <w:rPr/>
        <w:t> </w:t>
      </w:r>
      <w:r>
        <w:rPr>
          <w:w w:val="104"/>
        </w:rPr>
        <w:t>2014a</w:t>
      </w:r>
      <w:r>
        <w:rPr/>
        <w:t> </w:t>
      </w:r>
      <w:r>
        <w:rPr>
          <w:w w:val="115"/>
        </w:rPr>
        <w:t>“</w:t>
      </w:r>
      <w:r>
        <w:rPr>
          <w:w w:val="243"/>
        </w:rPr>
        <w:t>l</w:t>
      </w:r>
      <w:r>
        <w:rPr>
          <w:w w:val="112"/>
        </w:rPr>
        <w:t>a</w:t>
      </w:r>
      <w:r>
        <w:rPr/>
        <w:t> </w:t>
      </w:r>
      <w:r>
        <w:rPr>
          <w:w w:val="111"/>
        </w:rPr>
        <w:t>‘actualización’</w:t>
      </w:r>
      <w:r>
        <w:rPr/>
        <w:t> </w:t>
      </w:r>
      <w:r>
        <w:rPr>
          <w:w w:val="107"/>
        </w:rPr>
        <w:t>del</w:t>
      </w:r>
      <w:r>
        <w:rPr/>
        <w:t> </w:t>
      </w:r>
      <w:r>
        <w:rPr>
          <w:w w:val="111"/>
        </w:rPr>
        <w:t>socialismo</w:t>
      </w:r>
      <w:r>
        <w:rPr/>
        <w:t> </w:t>
      </w:r>
      <w:r>
        <w:rPr>
          <w:w w:val="111"/>
        </w:rPr>
        <w:t>cubano: </w:t>
      </w:r>
      <w:r>
        <w:rPr>
          <w:w w:val="115"/>
        </w:rPr>
        <w:t>una crítica utópica”, en </w:t>
      </w:r>
      <w:r>
        <w:rPr>
          <w:i/>
          <w:w w:val="115"/>
        </w:rPr>
        <w:t>Latin American Perspectives </w:t>
      </w:r>
      <w:r>
        <w:rPr>
          <w:w w:val="115"/>
        </w:rPr>
        <w:t>(Estados unidos), Vol. 41, Nº 4, julio, pp. 13-27.</w:t>
      </w:r>
    </w:p>
    <w:p>
      <w:pPr>
        <w:pStyle w:val="BodyText"/>
        <w:spacing w:line="252" w:lineRule="auto" w:before="28"/>
        <w:ind w:left="497" w:right="515" w:hanging="397"/>
      </w:pPr>
      <w:r>
        <w:rPr>
          <w:w w:val="149"/>
        </w:rPr>
        <w:t>s</w:t>
      </w:r>
      <w:r>
        <w:rPr>
          <w:w w:val="109"/>
        </w:rPr>
        <w:t>uárez</w:t>
      </w:r>
      <w:r>
        <w:rPr>
          <w:spacing w:val="12"/>
        </w:rPr>
        <w:t> </w:t>
      </w:r>
      <w:r>
        <w:rPr>
          <w:w w:val="149"/>
        </w:rPr>
        <w:t>s</w:t>
      </w:r>
      <w:r>
        <w:rPr>
          <w:w w:val="112"/>
        </w:rPr>
        <w:t>alaza</w:t>
      </w:r>
      <w:r>
        <w:rPr>
          <w:spacing w:val="-22"/>
          <w:w w:val="105"/>
        </w:rPr>
        <w:t>r</w:t>
      </w:r>
      <w:r>
        <w:rPr>
          <w:w w:val="138"/>
        </w:rPr>
        <w:t>,</w:t>
      </w:r>
      <w:r>
        <w:rPr>
          <w:spacing w:val="12"/>
        </w:rPr>
        <w:t> </w:t>
      </w:r>
      <w:r>
        <w:rPr>
          <w:w w:val="243"/>
        </w:rPr>
        <w:t>l</w:t>
      </w:r>
      <w:r>
        <w:rPr>
          <w:w w:val="111"/>
        </w:rPr>
        <w:t>uis</w:t>
      </w:r>
      <w:r>
        <w:rPr>
          <w:spacing w:val="12"/>
        </w:rPr>
        <w:t> </w:t>
      </w:r>
      <w:r>
        <w:rPr>
          <w:w w:val="104"/>
        </w:rPr>
        <w:t>2014b</w:t>
      </w:r>
      <w:r>
        <w:rPr>
          <w:spacing w:val="12"/>
        </w:rPr>
        <w:t> </w:t>
      </w:r>
      <w:r>
        <w:rPr>
          <w:w w:val="112"/>
        </w:rPr>
        <w:t>“Estados</w:t>
      </w:r>
      <w:r>
        <w:rPr>
          <w:spacing w:val="12"/>
        </w:rPr>
        <w:t> </w:t>
      </w:r>
      <w:r>
        <w:rPr>
          <w:w w:val="140"/>
        </w:rPr>
        <w:t>u</w:t>
      </w:r>
      <w:r>
        <w:rPr>
          <w:w w:val="110"/>
        </w:rPr>
        <w:t>nidos</w:t>
      </w:r>
      <w:r>
        <w:rPr>
          <w:spacing w:val="12"/>
        </w:rPr>
        <w:t> </w:t>
      </w:r>
      <w:r>
        <w:rPr>
          <w:w w:val="109"/>
        </w:rPr>
        <w:t>vs.</w:t>
      </w:r>
      <w:r>
        <w:rPr>
          <w:spacing w:val="12"/>
        </w:rPr>
        <w:t> </w:t>
      </w:r>
      <w:r>
        <w:rPr>
          <w:w w:val="110"/>
        </w:rPr>
        <w:t>Nuestra</w:t>
      </w:r>
      <w:r>
        <w:rPr>
          <w:spacing w:val="12"/>
        </w:rPr>
        <w:t> </w:t>
      </w:r>
      <w:r>
        <w:rPr>
          <w:w w:val="139"/>
        </w:rPr>
        <w:t>a</w:t>
      </w:r>
      <w:r>
        <w:rPr>
          <w:w w:val="111"/>
        </w:rPr>
        <w:t>mérica </w:t>
      </w:r>
      <w:r>
        <w:rPr>
          <w:w w:val="102"/>
        </w:rPr>
        <w:t>20</w:t>
      </w:r>
      <w:r>
        <w:rPr>
          <w:spacing w:val="12"/>
        </w:rPr>
        <w:t> </w:t>
      </w:r>
      <w:r>
        <w:rPr>
          <w:w w:val="110"/>
        </w:rPr>
        <w:t>años</w:t>
      </w:r>
      <w:r>
        <w:rPr>
          <w:spacing w:val="12"/>
        </w:rPr>
        <w:t> </w:t>
      </w:r>
      <w:r>
        <w:rPr>
          <w:w w:val="107"/>
        </w:rPr>
        <w:t>después</w:t>
      </w:r>
      <w:r>
        <w:rPr>
          <w:spacing w:val="12"/>
        </w:rPr>
        <w:t> </w:t>
      </w:r>
      <w:r>
        <w:rPr>
          <w:w w:val="107"/>
        </w:rPr>
        <w:t>del</w:t>
      </w:r>
      <w:r>
        <w:rPr>
          <w:spacing w:val="12"/>
        </w:rPr>
        <w:t> </w:t>
      </w:r>
      <w:r>
        <w:rPr>
          <w:spacing w:val="-18"/>
          <w:w w:val="195"/>
        </w:rPr>
        <w:t>t</w:t>
      </w:r>
      <w:r>
        <w:rPr>
          <w:w w:val="109"/>
        </w:rPr>
        <w:t>ratado</w:t>
      </w:r>
      <w:r>
        <w:rPr>
          <w:spacing w:val="12"/>
        </w:rPr>
        <w:t> </w:t>
      </w:r>
      <w:r>
        <w:rPr>
          <w:w w:val="107"/>
        </w:rPr>
        <w:t>de</w:t>
      </w:r>
      <w:r>
        <w:rPr>
          <w:spacing w:val="12"/>
        </w:rPr>
        <w:t> </w:t>
      </w:r>
      <w:r>
        <w:rPr>
          <w:w w:val="243"/>
        </w:rPr>
        <w:t>l</w:t>
      </w:r>
      <w:r>
        <w:rPr>
          <w:w w:val="108"/>
        </w:rPr>
        <w:t>ibre</w:t>
      </w:r>
      <w:r>
        <w:rPr>
          <w:spacing w:val="12"/>
        </w:rPr>
        <w:t> </w:t>
      </w:r>
      <w:r>
        <w:rPr>
          <w:w w:val="112"/>
        </w:rPr>
        <w:t>Comercio</w:t>
      </w:r>
      <w:r>
        <w:rPr>
          <w:spacing w:val="12"/>
        </w:rPr>
        <w:t> </w:t>
      </w:r>
      <w:r>
        <w:rPr>
          <w:w w:val="107"/>
        </w:rPr>
        <w:t>de</w:t>
      </w:r>
      <w:r>
        <w:rPr>
          <w:spacing w:val="12"/>
        </w:rPr>
        <w:t> </w:t>
      </w:r>
      <w:r>
        <w:rPr>
          <w:w w:val="139"/>
        </w:rPr>
        <w:t>a</w:t>
      </w:r>
      <w:r>
        <w:rPr>
          <w:w w:val="111"/>
        </w:rPr>
        <w:t>mérica</w:t>
      </w:r>
      <w:r>
        <w:rPr>
          <w:spacing w:val="12"/>
        </w:rPr>
        <w:t> </w:t>
      </w:r>
      <w:r>
        <w:rPr>
          <w:w w:val="107"/>
        </w:rPr>
        <w:t>del </w:t>
      </w:r>
      <w:r>
        <w:rPr>
          <w:w w:val="110"/>
        </w:rPr>
        <w:t>Norte” [en</w:t>
      </w:r>
      <w:r>
        <w:rPr>
          <w:spacing w:val="16"/>
          <w:w w:val="110"/>
        </w:rPr>
        <w:t> </w:t>
      </w:r>
      <w:r>
        <w:rPr>
          <w:w w:val="110"/>
        </w:rPr>
        <w:t>prensa].</w:t>
      </w:r>
    </w:p>
    <w:p>
      <w:pPr>
        <w:spacing w:after="0" w:line="252" w:lineRule="auto"/>
        <w:sectPr>
          <w:pgSz w:w="8790" w:h="12760"/>
          <w:pgMar w:header="697" w:footer="723" w:top="880" w:bottom="920" w:left="920" w:right="1200"/>
        </w:sectPr>
      </w:pPr>
    </w:p>
    <w:p>
      <w:pPr>
        <w:pStyle w:val="BodyText"/>
        <w:spacing w:before="7"/>
        <w:rPr>
          <w:sz w:val="28"/>
        </w:rPr>
      </w:pPr>
    </w:p>
    <w:p>
      <w:pPr>
        <w:spacing w:line="252" w:lineRule="auto" w:before="73"/>
        <w:ind w:left="727" w:right="0" w:hanging="397"/>
        <w:jc w:val="left"/>
        <w:rPr>
          <w:sz w:val="19"/>
        </w:rPr>
      </w:pPr>
      <w:r>
        <w:rPr>
          <w:w w:val="149"/>
          <w:sz w:val="19"/>
        </w:rPr>
        <w:t>s</w:t>
      </w:r>
      <w:r>
        <w:rPr>
          <w:w w:val="109"/>
          <w:sz w:val="19"/>
        </w:rPr>
        <w:t>uárez</w:t>
      </w:r>
      <w:r>
        <w:rPr>
          <w:sz w:val="19"/>
        </w:rPr>
        <w:t> </w:t>
      </w:r>
      <w:r>
        <w:rPr>
          <w:w w:val="149"/>
          <w:sz w:val="19"/>
        </w:rPr>
        <w:t>s</w:t>
      </w:r>
      <w:r>
        <w:rPr>
          <w:w w:val="112"/>
          <w:sz w:val="19"/>
        </w:rPr>
        <w:t>alaza</w:t>
      </w:r>
      <w:r>
        <w:rPr>
          <w:w w:val="105"/>
          <w:sz w:val="19"/>
        </w:rPr>
        <w:t>r</w:t>
      </w:r>
      <w:r>
        <w:rPr>
          <w:w w:val="138"/>
          <w:sz w:val="19"/>
        </w:rPr>
        <w:t>,</w:t>
      </w:r>
      <w:r>
        <w:rPr>
          <w:sz w:val="19"/>
        </w:rPr>
        <w:t> </w:t>
      </w:r>
      <w:r>
        <w:rPr>
          <w:w w:val="243"/>
          <w:sz w:val="19"/>
        </w:rPr>
        <w:t>l</w:t>
      </w:r>
      <w:r>
        <w:rPr>
          <w:w w:val="111"/>
          <w:sz w:val="19"/>
        </w:rPr>
        <w:t>uis</w:t>
      </w:r>
      <w:r>
        <w:rPr>
          <w:sz w:val="19"/>
        </w:rPr>
        <w:t> </w:t>
      </w:r>
      <w:r>
        <w:rPr>
          <w:w w:val="105"/>
          <w:sz w:val="19"/>
        </w:rPr>
        <w:t>y</w:t>
      </w:r>
      <w:r>
        <w:rPr>
          <w:sz w:val="19"/>
        </w:rPr>
        <w:t> </w:t>
      </w:r>
      <w:r>
        <w:rPr>
          <w:w w:val="116"/>
          <w:sz w:val="19"/>
        </w:rPr>
        <w:t>García</w:t>
      </w:r>
      <w:r>
        <w:rPr>
          <w:sz w:val="19"/>
        </w:rPr>
        <w:t> </w:t>
      </w:r>
      <w:r>
        <w:rPr>
          <w:w w:val="243"/>
          <w:sz w:val="19"/>
        </w:rPr>
        <w:t>l</w:t>
      </w:r>
      <w:r>
        <w:rPr>
          <w:w w:val="111"/>
          <w:sz w:val="19"/>
        </w:rPr>
        <w:t>orenzo,</w:t>
      </w:r>
      <w:r>
        <w:rPr>
          <w:sz w:val="19"/>
        </w:rPr>
        <w:t> </w:t>
      </w:r>
      <w:r>
        <w:rPr>
          <w:w w:val="195"/>
          <w:sz w:val="19"/>
        </w:rPr>
        <w:t>t</w:t>
      </w:r>
      <w:r>
        <w:rPr>
          <w:w w:val="112"/>
          <w:sz w:val="19"/>
        </w:rPr>
        <w:t>ania</w:t>
      </w:r>
      <w:r>
        <w:rPr>
          <w:sz w:val="19"/>
        </w:rPr>
        <w:t> </w:t>
      </w:r>
      <w:r>
        <w:rPr>
          <w:w w:val="102"/>
          <w:sz w:val="19"/>
        </w:rPr>
        <w:t>2008</w:t>
      </w:r>
      <w:r>
        <w:rPr>
          <w:sz w:val="19"/>
        </w:rPr>
        <w:t> </w:t>
      </w:r>
      <w:r>
        <w:rPr>
          <w:i/>
          <w:w w:val="113"/>
          <w:sz w:val="19"/>
        </w:rPr>
        <w:t>Las</w:t>
      </w:r>
      <w:r>
        <w:rPr>
          <w:i/>
          <w:sz w:val="19"/>
        </w:rPr>
        <w:t> </w:t>
      </w:r>
      <w:r>
        <w:rPr>
          <w:i/>
          <w:w w:val="108"/>
          <w:sz w:val="19"/>
        </w:rPr>
        <w:t>relaciones</w:t>
      </w:r>
      <w:r>
        <w:rPr>
          <w:i/>
          <w:w w:val="108"/>
          <w:sz w:val="19"/>
        </w:rPr>
        <w:t> </w:t>
      </w:r>
      <w:r>
        <w:rPr>
          <w:i/>
          <w:w w:val="120"/>
          <w:sz w:val="19"/>
        </w:rPr>
        <w:t>interamericanas: continuidades y cambios </w:t>
      </w:r>
      <w:r>
        <w:rPr>
          <w:w w:val="120"/>
          <w:sz w:val="19"/>
        </w:rPr>
        <w:t>(buenos aires: ClaCso).</w:t>
      </w:r>
    </w:p>
    <w:p>
      <w:pPr>
        <w:pStyle w:val="BodyText"/>
        <w:spacing w:line="252" w:lineRule="auto" w:before="28"/>
        <w:ind w:left="727" w:hanging="397"/>
      </w:pPr>
      <w:r>
        <w:rPr>
          <w:w w:val="110"/>
        </w:rPr>
        <w:t>tokatlian, Juan Gabriel 2012 “drogas: una guerra que fracasó”, en </w:t>
      </w:r>
      <w:r>
        <w:rPr>
          <w:i/>
          <w:w w:val="110"/>
        </w:rPr>
        <w:t>La </w:t>
      </w:r>
      <w:r>
        <w:rPr>
          <w:i/>
          <w:w w:val="110"/>
        </w:rPr>
        <w:t>Nación </w:t>
      </w:r>
      <w:r>
        <w:rPr>
          <w:w w:val="110"/>
        </w:rPr>
        <w:t>(buenos aires), 13 de  marzo.</w:t>
      </w:r>
    </w:p>
    <w:p>
      <w:pPr>
        <w:pStyle w:val="BodyText"/>
        <w:spacing w:line="252" w:lineRule="auto" w:before="28"/>
        <w:ind w:left="727" w:right="339" w:hanging="397"/>
      </w:pPr>
      <w:r>
        <w:rPr>
          <w:w w:val="115"/>
        </w:rPr>
        <w:t>tokatlian, Juan Gabriel 2013 “bye bye Monroe, hello troilo”, en </w:t>
      </w:r>
      <w:r>
        <w:rPr>
          <w:i/>
          <w:w w:val="115"/>
        </w:rPr>
        <w:t>El </w:t>
      </w:r>
      <w:r>
        <w:rPr>
          <w:i/>
          <w:w w:val="115"/>
        </w:rPr>
        <w:t>País </w:t>
      </w:r>
      <w:r>
        <w:rPr>
          <w:w w:val="115"/>
        </w:rPr>
        <w:t>(Madrid), 23 de noviembre.</w:t>
      </w:r>
    </w:p>
    <w:p>
      <w:pPr>
        <w:spacing w:line="252" w:lineRule="auto" w:before="28"/>
        <w:ind w:left="727" w:right="284" w:hanging="397"/>
        <w:jc w:val="left"/>
        <w:rPr>
          <w:sz w:val="19"/>
        </w:rPr>
      </w:pPr>
      <w:r>
        <w:rPr>
          <w:spacing w:val="-3"/>
          <w:w w:val="115"/>
          <w:sz w:val="19"/>
        </w:rPr>
        <w:t>Vázquez</w:t>
      </w:r>
      <w:r>
        <w:rPr>
          <w:spacing w:val="-13"/>
          <w:w w:val="115"/>
          <w:sz w:val="19"/>
        </w:rPr>
        <w:t> </w:t>
      </w:r>
      <w:r>
        <w:rPr>
          <w:w w:val="115"/>
          <w:sz w:val="19"/>
        </w:rPr>
        <w:t>García,</w:t>
      </w:r>
      <w:r>
        <w:rPr>
          <w:spacing w:val="-13"/>
          <w:w w:val="115"/>
          <w:sz w:val="19"/>
        </w:rPr>
        <w:t> </w:t>
      </w:r>
      <w:r>
        <w:rPr>
          <w:w w:val="115"/>
          <w:sz w:val="19"/>
        </w:rPr>
        <w:t>Humberto</w:t>
      </w:r>
      <w:r>
        <w:rPr>
          <w:spacing w:val="-13"/>
          <w:w w:val="115"/>
          <w:sz w:val="19"/>
        </w:rPr>
        <w:t> </w:t>
      </w:r>
      <w:r>
        <w:rPr>
          <w:w w:val="115"/>
          <w:sz w:val="19"/>
        </w:rPr>
        <w:t>2001</w:t>
      </w:r>
      <w:r>
        <w:rPr>
          <w:spacing w:val="-13"/>
          <w:w w:val="115"/>
          <w:sz w:val="19"/>
        </w:rPr>
        <w:t> </w:t>
      </w:r>
      <w:r>
        <w:rPr>
          <w:i/>
          <w:w w:val="115"/>
          <w:sz w:val="19"/>
        </w:rPr>
        <w:t>De</w:t>
      </w:r>
      <w:r>
        <w:rPr>
          <w:i/>
          <w:spacing w:val="-13"/>
          <w:w w:val="115"/>
          <w:sz w:val="19"/>
        </w:rPr>
        <w:t> </w:t>
      </w:r>
      <w:r>
        <w:rPr>
          <w:i/>
          <w:w w:val="115"/>
          <w:sz w:val="19"/>
        </w:rPr>
        <w:t>Chapultepec</w:t>
      </w:r>
      <w:r>
        <w:rPr>
          <w:i/>
          <w:spacing w:val="-13"/>
          <w:w w:val="115"/>
          <w:sz w:val="19"/>
        </w:rPr>
        <w:t> </w:t>
      </w:r>
      <w:r>
        <w:rPr>
          <w:i/>
          <w:w w:val="115"/>
          <w:sz w:val="19"/>
        </w:rPr>
        <w:t>a</w:t>
      </w:r>
      <w:r>
        <w:rPr>
          <w:i/>
          <w:spacing w:val="-13"/>
          <w:w w:val="115"/>
          <w:sz w:val="19"/>
        </w:rPr>
        <w:t> </w:t>
      </w:r>
      <w:r>
        <w:rPr>
          <w:i/>
          <w:w w:val="115"/>
          <w:sz w:val="19"/>
        </w:rPr>
        <w:t>la</w:t>
      </w:r>
      <w:r>
        <w:rPr>
          <w:i/>
          <w:spacing w:val="-13"/>
          <w:w w:val="115"/>
          <w:sz w:val="19"/>
        </w:rPr>
        <w:t> </w:t>
      </w:r>
      <w:r>
        <w:rPr>
          <w:i/>
          <w:w w:val="115"/>
          <w:sz w:val="19"/>
        </w:rPr>
        <w:t>oEA:</w:t>
      </w:r>
      <w:r>
        <w:rPr>
          <w:i/>
          <w:spacing w:val="-13"/>
          <w:w w:val="115"/>
          <w:sz w:val="19"/>
        </w:rPr>
        <w:t> </w:t>
      </w:r>
      <w:r>
        <w:rPr>
          <w:i/>
          <w:w w:val="115"/>
          <w:sz w:val="19"/>
        </w:rPr>
        <w:t>apogeo</w:t>
      </w:r>
      <w:r>
        <w:rPr>
          <w:i/>
          <w:spacing w:val="-13"/>
          <w:w w:val="115"/>
          <w:sz w:val="19"/>
        </w:rPr>
        <w:t> </w:t>
      </w:r>
      <w:r>
        <w:rPr>
          <w:i/>
          <w:w w:val="115"/>
          <w:sz w:val="19"/>
        </w:rPr>
        <w:t>y </w:t>
      </w:r>
      <w:r>
        <w:rPr>
          <w:i/>
          <w:w w:val="113"/>
          <w:sz w:val="19"/>
        </w:rPr>
        <w:t>crisis</w:t>
      </w:r>
      <w:r>
        <w:rPr>
          <w:i/>
          <w:spacing w:val="12"/>
          <w:sz w:val="19"/>
        </w:rPr>
        <w:t> </w:t>
      </w:r>
      <w:r>
        <w:rPr>
          <w:i/>
          <w:w w:val="104"/>
          <w:sz w:val="19"/>
        </w:rPr>
        <w:t>del</w:t>
      </w:r>
      <w:r>
        <w:rPr>
          <w:i/>
          <w:spacing w:val="12"/>
          <w:sz w:val="19"/>
        </w:rPr>
        <w:t> </w:t>
      </w:r>
      <w:r>
        <w:rPr>
          <w:i/>
          <w:w w:val="110"/>
          <w:sz w:val="19"/>
        </w:rPr>
        <w:t>panamericanismo</w:t>
      </w:r>
      <w:r>
        <w:rPr>
          <w:i/>
          <w:spacing w:val="12"/>
          <w:sz w:val="19"/>
        </w:rPr>
        <w:t> </w:t>
      </w:r>
      <w:r>
        <w:rPr>
          <w:w w:val="98"/>
          <w:sz w:val="19"/>
        </w:rPr>
        <w:t>(</w:t>
      </w:r>
      <w:r>
        <w:rPr>
          <w:w w:val="243"/>
          <w:sz w:val="19"/>
        </w:rPr>
        <w:t>l</w:t>
      </w:r>
      <w:r>
        <w:rPr>
          <w:w w:val="112"/>
          <w:sz w:val="19"/>
        </w:rPr>
        <w:t>a</w:t>
      </w:r>
      <w:r>
        <w:rPr>
          <w:spacing w:val="12"/>
          <w:sz w:val="19"/>
        </w:rPr>
        <w:t> </w:t>
      </w:r>
      <w:r>
        <w:rPr>
          <w:w w:val="113"/>
          <w:sz w:val="19"/>
        </w:rPr>
        <w:t>Habana:</w:t>
      </w:r>
      <w:r>
        <w:rPr>
          <w:spacing w:val="12"/>
          <w:sz w:val="19"/>
        </w:rPr>
        <w:t> </w:t>
      </w:r>
      <w:r>
        <w:rPr>
          <w:w w:val="113"/>
          <w:sz w:val="19"/>
        </w:rPr>
        <w:t>Editorial</w:t>
      </w:r>
      <w:r>
        <w:rPr>
          <w:spacing w:val="12"/>
          <w:sz w:val="19"/>
        </w:rPr>
        <w:t> </w:t>
      </w:r>
      <w:r>
        <w:rPr>
          <w:w w:val="107"/>
          <w:sz w:val="19"/>
        </w:rPr>
        <w:t>de</w:t>
      </w:r>
      <w:r>
        <w:rPr>
          <w:spacing w:val="12"/>
          <w:sz w:val="19"/>
        </w:rPr>
        <w:t> </w:t>
      </w:r>
      <w:r>
        <w:rPr>
          <w:w w:val="113"/>
          <w:sz w:val="19"/>
        </w:rPr>
        <w:t>Ciencias </w:t>
      </w:r>
      <w:r>
        <w:rPr>
          <w:w w:val="115"/>
          <w:sz w:val="19"/>
        </w:rPr>
        <w:t>sociales).</w:t>
      </w:r>
    </w:p>
    <w:p>
      <w:pPr>
        <w:spacing w:after="0" w:line="252" w:lineRule="auto"/>
        <w:jc w:val="left"/>
        <w:rPr>
          <w:sz w:val="19"/>
        </w:rPr>
        <w:sectPr>
          <w:footerReference w:type="default" r:id="rId532"/>
          <w:pgSz w:w="8790" w:h="12760"/>
          <w:pgMar w:footer="725" w:header="697" w:top="880" w:bottom="920" w:left="1200" w:right="920"/>
        </w:sectPr>
      </w:pPr>
    </w:p>
    <w:p>
      <w:pPr>
        <w:pStyle w:val="BodyText"/>
        <w:rPr>
          <w:sz w:val="20"/>
        </w:rPr>
      </w:pPr>
    </w:p>
    <w:p>
      <w:pPr>
        <w:pStyle w:val="BodyText"/>
        <w:rPr>
          <w:sz w:val="20"/>
        </w:rPr>
      </w:pPr>
    </w:p>
    <w:p>
      <w:pPr>
        <w:pStyle w:val="BodyText"/>
        <w:spacing w:before="10"/>
        <w:rPr>
          <w:sz w:val="27"/>
        </w:rPr>
      </w:pPr>
    </w:p>
    <w:p>
      <w:pPr>
        <w:pStyle w:val="Heading3"/>
        <w:ind w:left="1764" w:right="321"/>
        <w:jc w:val="left"/>
      </w:pPr>
      <w:r>
        <w:rPr/>
        <w:t>Laneydi Martínez Alfonso*</w:t>
      </w:r>
    </w:p>
    <w:p>
      <w:pPr>
        <w:pStyle w:val="BodyText"/>
        <w:spacing w:before="9"/>
        <w:rPr>
          <w:sz w:val="20"/>
        </w:rPr>
      </w:pPr>
    </w:p>
    <w:p>
      <w:pPr>
        <w:spacing w:line="340" w:lineRule="exact" w:before="0"/>
        <w:ind w:left="511" w:right="715" w:firstLine="164"/>
        <w:jc w:val="left"/>
        <w:rPr>
          <w:rFonts w:ascii="Times New Roman" w:hAnsi="Times New Roman"/>
          <w:b/>
          <w:sz w:val="30"/>
        </w:rPr>
      </w:pPr>
      <w:r>
        <w:rPr>
          <w:rFonts w:ascii="Times New Roman" w:hAnsi="Times New Roman"/>
          <w:b/>
          <w:w w:val="140"/>
          <w:sz w:val="30"/>
        </w:rPr>
        <w:t>estados</w:t>
      </w:r>
      <w:r>
        <w:rPr>
          <w:rFonts w:ascii="Times New Roman" w:hAnsi="Times New Roman"/>
          <w:b/>
          <w:spacing w:val="-82"/>
          <w:w w:val="140"/>
          <w:sz w:val="30"/>
        </w:rPr>
        <w:t> </w:t>
      </w:r>
      <w:r>
        <w:rPr>
          <w:rFonts w:ascii="Times New Roman" w:hAnsi="Times New Roman"/>
          <w:b/>
          <w:spacing w:val="2"/>
          <w:w w:val="140"/>
          <w:sz w:val="30"/>
        </w:rPr>
        <w:t>unidos-aMérica</w:t>
      </w:r>
      <w:r>
        <w:rPr>
          <w:rFonts w:ascii="Times New Roman" w:hAnsi="Times New Roman"/>
          <w:b/>
          <w:spacing w:val="-82"/>
          <w:w w:val="140"/>
          <w:sz w:val="30"/>
        </w:rPr>
        <w:t> </w:t>
      </w:r>
      <w:r>
        <w:rPr>
          <w:rFonts w:ascii="Times New Roman" w:hAnsi="Times New Roman"/>
          <w:b/>
          <w:w w:val="140"/>
          <w:sz w:val="30"/>
        </w:rPr>
        <w:t>latina y</w:t>
      </w:r>
      <w:r>
        <w:rPr>
          <w:rFonts w:ascii="Times New Roman" w:hAnsi="Times New Roman"/>
          <w:b/>
          <w:spacing w:val="-64"/>
          <w:w w:val="140"/>
          <w:sz w:val="30"/>
        </w:rPr>
        <w:t> </w:t>
      </w:r>
      <w:r>
        <w:rPr>
          <w:rFonts w:ascii="Times New Roman" w:hAnsi="Times New Roman"/>
          <w:b/>
          <w:w w:val="140"/>
          <w:sz w:val="30"/>
        </w:rPr>
        <w:t>el</w:t>
      </w:r>
      <w:r>
        <w:rPr>
          <w:rFonts w:ascii="Times New Roman" w:hAnsi="Times New Roman"/>
          <w:b/>
          <w:spacing w:val="-64"/>
          <w:w w:val="140"/>
          <w:sz w:val="30"/>
        </w:rPr>
        <w:t> </w:t>
      </w:r>
      <w:r>
        <w:rPr>
          <w:rFonts w:ascii="Times New Roman" w:hAnsi="Times New Roman"/>
          <w:b/>
          <w:spacing w:val="3"/>
          <w:w w:val="140"/>
          <w:sz w:val="30"/>
        </w:rPr>
        <w:t>cariBe</w:t>
      </w:r>
      <w:r>
        <w:rPr>
          <w:rFonts w:ascii="Times New Roman" w:hAnsi="Times New Roman"/>
          <w:b/>
          <w:spacing w:val="-64"/>
          <w:w w:val="140"/>
          <w:sz w:val="30"/>
        </w:rPr>
        <w:t> </w:t>
      </w:r>
      <w:r>
        <w:rPr>
          <w:rFonts w:ascii="Times New Roman" w:hAnsi="Times New Roman"/>
          <w:b/>
          <w:w w:val="140"/>
          <w:sz w:val="30"/>
        </w:rPr>
        <w:t>en</w:t>
      </w:r>
      <w:r>
        <w:rPr>
          <w:rFonts w:ascii="Times New Roman" w:hAnsi="Times New Roman"/>
          <w:b/>
          <w:spacing w:val="-64"/>
          <w:w w:val="140"/>
          <w:sz w:val="30"/>
        </w:rPr>
        <w:t> </w:t>
      </w:r>
      <w:r>
        <w:rPr>
          <w:rFonts w:ascii="Times New Roman" w:hAnsi="Times New Roman"/>
          <w:b/>
          <w:w w:val="140"/>
          <w:sz w:val="30"/>
        </w:rPr>
        <w:t>un</w:t>
      </w:r>
      <w:r>
        <w:rPr>
          <w:rFonts w:ascii="Times New Roman" w:hAnsi="Times New Roman"/>
          <w:b/>
          <w:spacing w:val="-64"/>
          <w:w w:val="140"/>
          <w:sz w:val="30"/>
        </w:rPr>
        <w:t> </w:t>
      </w:r>
      <w:r>
        <w:rPr>
          <w:rFonts w:ascii="Times New Roman" w:hAnsi="Times New Roman"/>
          <w:b/>
          <w:w w:val="140"/>
          <w:sz w:val="30"/>
        </w:rPr>
        <w:t>nuevo</w:t>
      </w:r>
      <w:r>
        <w:rPr>
          <w:rFonts w:ascii="Times New Roman" w:hAnsi="Times New Roman"/>
          <w:b/>
          <w:spacing w:val="-64"/>
          <w:w w:val="140"/>
          <w:sz w:val="30"/>
        </w:rPr>
        <w:t> </w:t>
      </w:r>
      <w:r>
        <w:rPr>
          <w:rFonts w:ascii="Times New Roman" w:hAnsi="Times New Roman"/>
          <w:b/>
          <w:spacing w:val="3"/>
          <w:w w:val="140"/>
          <w:sz w:val="30"/>
        </w:rPr>
        <w:t>contexto</w:t>
      </w:r>
    </w:p>
    <w:p>
      <w:pPr>
        <w:spacing w:line="337" w:lineRule="exact" w:before="0"/>
        <w:ind w:left="1044" w:right="1248" w:firstLine="0"/>
        <w:jc w:val="center"/>
        <w:rPr>
          <w:rFonts w:ascii="Times New Roman" w:hAnsi="Times New Roman"/>
          <w:b/>
          <w:sz w:val="30"/>
        </w:rPr>
      </w:pPr>
      <w:r>
        <w:rPr>
          <w:rFonts w:ascii="Times New Roman" w:hAnsi="Times New Roman"/>
          <w:b/>
          <w:w w:val="135"/>
          <w:sz w:val="30"/>
        </w:rPr>
        <w:t>econóMico internacional</w:t>
      </w:r>
    </w:p>
    <w:p>
      <w:pPr>
        <w:pStyle w:val="Heading4"/>
        <w:spacing w:line="242" w:lineRule="auto" w:before="225"/>
        <w:ind w:left="1250" w:right="1456"/>
        <w:jc w:val="center"/>
        <w:rPr>
          <w:rFonts w:ascii="Times New Roman" w:hAnsi="Times New Roman"/>
        </w:rPr>
      </w:pPr>
      <w:r>
        <w:rPr>
          <w:rFonts w:ascii="Times New Roman" w:hAnsi="Times New Roman"/>
          <w:w w:val="135"/>
        </w:rPr>
        <w:t>los</w:t>
      </w:r>
      <w:r>
        <w:rPr>
          <w:rFonts w:ascii="Times New Roman" w:hAnsi="Times New Roman"/>
          <w:spacing w:val="-57"/>
          <w:w w:val="135"/>
        </w:rPr>
        <w:t> </w:t>
      </w:r>
      <w:r>
        <w:rPr>
          <w:rFonts w:ascii="Times New Roman" w:hAnsi="Times New Roman"/>
          <w:spacing w:val="2"/>
          <w:w w:val="135"/>
        </w:rPr>
        <w:t>caMBios</w:t>
      </w:r>
      <w:r>
        <w:rPr>
          <w:rFonts w:ascii="Times New Roman" w:hAnsi="Times New Roman"/>
          <w:spacing w:val="-57"/>
          <w:w w:val="135"/>
        </w:rPr>
        <w:t> </w:t>
      </w:r>
      <w:r>
        <w:rPr>
          <w:rFonts w:ascii="Times New Roman" w:hAnsi="Times New Roman"/>
          <w:w w:val="135"/>
        </w:rPr>
        <w:t>en</w:t>
      </w:r>
      <w:r>
        <w:rPr>
          <w:rFonts w:ascii="Times New Roman" w:hAnsi="Times New Roman"/>
          <w:spacing w:val="-57"/>
          <w:w w:val="135"/>
        </w:rPr>
        <w:t> </w:t>
      </w:r>
      <w:r>
        <w:rPr>
          <w:rFonts w:ascii="Times New Roman" w:hAnsi="Times New Roman"/>
          <w:spacing w:val="2"/>
          <w:w w:val="135"/>
        </w:rPr>
        <w:t>la</w:t>
      </w:r>
      <w:r>
        <w:rPr>
          <w:rFonts w:ascii="Times New Roman" w:hAnsi="Times New Roman"/>
          <w:spacing w:val="-57"/>
          <w:w w:val="135"/>
        </w:rPr>
        <w:t> </w:t>
      </w:r>
      <w:r>
        <w:rPr>
          <w:rFonts w:ascii="Times New Roman" w:hAnsi="Times New Roman"/>
          <w:spacing w:val="2"/>
          <w:w w:val="135"/>
        </w:rPr>
        <w:t>transMisión </w:t>
      </w:r>
      <w:r>
        <w:rPr>
          <w:rFonts w:ascii="Times New Roman" w:hAnsi="Times New Roman"/>
          <w:w w:val="135"/>
        </w:rPr>
        <w:t>de</w:t>
      </w:r>
      <w:r>
        <w:rPr>
          <w:rFonts w:ascii="Times New Roman" w:hAnsi="Times New Roman"/>
          <w:spacing w:val="-54"/>
          <w:w w:val="135"/>
        </w:rPr>
        <w:t> </w:t>
      </w:r>
      <w:r>
        <w:rPr>
          <w:rFonts w:ascii="Times New Roman" w:hAnsi="Times New Roman"/>
          <w:spacing w:val="2"/>
          <w:w w:val="135"/>
        </w:rPr>
        <w:t>iMPulsos</w:t>
      </w:r>
      <w:r>
        <w:rPr>
          <w:rFonts w:ascii="Times New Roman" w:hAnsi="Times New Roman"/>
          <w:spacing w:val="-54"/>
          <w:w w:val="135"/>
        </w:rPr>
        <w:t> </w:t>
      </w:r>
      <w:r>
        <w:rPr>
          <w:rFonts w:ascii="Times New Roman" w:hAnsi="Times New Roman"/>
          <w:spacing w:val="2"/>
          <w:w w:val="135"/>
        </w:rPr>
        <w:t>cÍclicos</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Heading6"/>
        <w:spacing w:before="166"/>
        <w:ind w:left="121"/>
      </w:pPr>
      <w:r>
        <w:rPr>
          <w:w w:val="140"/>
        </w:rPr>
        <w:t>introducción</w:t>
      </w:r>
    </w:p>
    <w:p>
      <w:pPr>
        <w:pStyle w:val="BodyText"/>
        <w:spacing w:line="252" w:lineRule="auto" w:before="10"/>
        <w:ind w:left="120" w:right="327"/>
        <w:jc w:val="both"/>
      </w:pPr>
      <w:r>
        <w:rPr>
          <w:w w:val="110"/>
        </w:rPr>
        <w:t>Entender cómo se difunden los shocks entre economías</w:t>
      </w:r>
      <w:r>
        <w:rPr>
          <w:w w:val="110"/>
          <w:position w:val="6"/>
          <w:sz w:val="11"/>
        </w:rPr>
        <w:t>1</w:t>
      </w:r>
      <w:r>
        <w:rPr>
          <w:w w:val="110"/>
        </w:rPr>
        <w:t>, a través de qué mecanismos</w:t>
      </w:r>
      <w:r>
        <w:rPr>
          <w:w w:val="110"/>
          <w:position w:val="6"/>
          <w:sz w:val="11"/>
        </w:rPr>
        <w:t>2</w:t>
      </w:r>
      <w:r>
        <w:rPr>
          <w:w w:val="110"/>
        </w:rPr>
        <w:t>, y en definitiva, cómo funciona la interrelación eco- </w:t>
      </w:r>
      <w:r>
        <w:rPr>
          <w:w w:val="113"/>
        </w:rPr>
        <w:t>nómica</w:t>
      </w:r>
      <w:r>
        <w:rPr/>
        <w:t> </w:t>
      </w:r>
      <w:r>
        <w:rPr>
          <w:spacing w:val="-13"/>
        </w:rPr>
        <w:t> </w:t>
      </w:r>
      <w:r>
        <w:rPr>
          <w:w w:val="110"/>
        </w:rPr>
        <w:t>o</w:t>
      </w:r>
      <w:r>
        <w:rPr/>
        <w:t> </w:t>
      </w:r>
      <w:r>
        <w:rPr>
          <w:spacing w:val="-13"/>
        </w:rPr>
        <w:t> </w:t>
      </w:r>
      <w:r>
        <w:rPr>
          <w:w w:val="114"/>
        </w:rPr>
        <w:t>cíclica</w:t>
      </w:r>
      <w:r>
        <w:rPr/>
        <w:t> </w:t>
      </w:r>
      <w:r>
        <w:rPr>
          <w:spacing w:val="-13"/>
        </w:rPr>
        <w:t> </w:t>
      </w:r>
      <w:r>
        <w:rPr>
          <w:w w:val="106"/>
        </w:rPr>
        <w:t>entre</w:t>
      </w:r>
      <w:r>
        <w:rPr/>
        <w:t> </w:t>
      </w:r>
      <w:r>
        <w:rPr>
          <w:spacing w:val="-13"/>
        </w:rPr>
        <w:t> </w:t>
      </w:r>
      <w:r>
        <w:rPr>
          <w:w w:val="111"/>
        </w:rPr>
        <w:t>Estados</w:t>
      </w:r>
      <w:r>
        <w:rPr/>
        <w:t> </w:t>
      </w:r>
      <w:r>
        <w:rPr>
          <w:spacing w:val="-13"/>
        </w:rPr>
        <w:t> </w:t>
      </w:r>
      <w:r>
        <w:rPr>
          <w:w w:val="140"/>
        </w:rPr>
        <w:t>u</w:t>
      </w:r>
      <w:r>
        <w:rPr>
          <w:w w:val="110"/>
        </w:rPr>
        <w:t>nidos</w:t>
      </w:r>
      <w:r>
        <w:rPr/>
        <w:t> </w:t>
      </w:r>
      <w:r>
        <w:rPr>
          <w:spacing w:val="-13"/>
        </w:rPr>
        <w:t> </w:t>
      </w:r>
      <w:r>
        <w:rPr>
          <w:w w:val="105"/>
        </w:rPr>
        <w:t>y</w:t>
      </w:r>
      <w:r>
        <w:rPr/>
        <w:t> </w:t>
      </w:r>
      <w:r>
        <w:rPr>
          <w:spacing w:val="-13"/>
        </w:rPr>
        <w:t> </w:t>
      </w:r>
      <w:r>
        <w:rPr>
          <w:w w:val="139"/>
        </w:rPr>
        <w:t>a</w:t>
      </w:r>
      <w:r>
        <w:rPr>
          <w:w w:val="111"/>
        </w:rPr>
        <w:t>mérica</w:t>
      </w:r>
      <w:r>
        <w:rPr/>
        <w:t> </w:t>
      </w:r>
      <w:r>
        <w:rPr>
          <w:spacing w:val="-13"/>
        </w:rPr>
        <w:t> </w:t>
      </w:r>
      <w:r>
        <w:rPr>
          <w:w w:val="243"/>
        </w:rPr>
        <w:t>l</w:t>
      </w:r>
      <w:r>
        <w:rPr>
          <w:w w:val="111"/>
        </w:rPr>
        <w:t>atina</w:t>
      </w:r>
      <w:r>
        <w:rPr/>
        <w:t> </w:t>
      </w:r>
      <w:r>
        <w:rPr>
          <w:spacing w:val="-13"/>
        </w:rPr>
        <w:t> </w:t>
      </w:r>
      <w:r>
        <w:rPr>
          <w:w w:val="105"/>
        </w:rPr>
        <w:t>y</w:t>
      </w:r>
      <w:r>
        <w:rPr/>
        <w:t> </w:t>
      </w:r>
      <w:r>
        <w:rPr>
          <w:spacing w:val="-13"/>
        </w:rPr>
        <w:t> </w:t>
      </w:r>
      <w:r>
        <w:rPr>
          <w:w w:val="107"/>
        </w:rPr>
        <w:t>el</w:t>
      </w:r>
      <w:r>
        <w:rPr/>
        <w:t> </w:t>
      </w:r>
      <w:r>
        <w:rPr>
          <w:spacing w:val="-13"/>
        </w:rPr>
        <w:t> </w:t>
      </w:r>
      <w:r>
        <w:rPr>
          <w:w w:val="112"/>
        </w:rPr>
        <w:t>Caribe </w:t>
      </w:r>
      <w:r>
        <w:rPr>
          <w:w w:val="110"/>
        </w:rPr>
        <w:t>ha sido un tema tradicional de estudio de numerosos especialistas y </w:t>
      </w:r>
      <w:r>
        <w:rPr>
          <w:w w:val="112"/>
        </w:rPr>
        <w:t>académicos.</w:t>
      </w:r>
      <w:r>
        <w:rPr>
          <w:spacing w:val="15"/>
        </w:rPr>
        <w:t> </w:t>
      </w:r>
      <w:r>
        <w:rPr>
          <w:spacing w:val="-18"/>
          <w:w w:val="195"/>
        </w:rPr>
        <w:t>t</w:t>
      </w:r>
      <w:r>
        <w:rPr>
          <w:w w:val="111"/>
        </w:rPr>
        <w:t>radicionalmente,</w:t>
      </w:r>
      <w:r>
        <w:rPr>
          <w:spacing w:val="15"/>
        </w:rPr>
        <w:t> </w:t>
      </w:r>
      <w:r>
        <w:rPr>
          <w:w w:val="111"/>
        </w:rPr>
        <w:t>la</w:t>
      </w:r>
      <w:r>
        <w:rPr>
          <w:spacing w:val="15"/>
        </w:rPr>
        <w:t> </w:t>
      </w:r>
      <w:r>
        <w:rPr>
          <w:w w:val="109"/>
        </w:rPr>
        <w:t>región</w:t>
      </w:r>
      <w:r>
        <w:rPr>
          <w:spacing w:val="15"/>
        </w:rPr>
        <w:t> </w:t>
      </w:r>
      <w:r>
        <w:rPr>
          <w:w w:val="107"/>
        </w:rPr>
        <w:t>de</w:t>
      </w:r>
      <w:r>
        <w:rPr>
          <w:spacing w:val="15"/>
        </w:rPr>
        <w:t> </w:t>
      </w:r>
      <w:r>
        <w:rPr>
          <w:w w:val="139"/>
        </w:rPr>
        <w:t>a</w:t>
      </w:r>
      <w:r>
        <w:rPr>
          <w:w w:val="111"/>
        </w:rPr>
        <w:t>mérica</w:t>
      </w:r>
      <w:r>
        <w:rPr>
          <w:spacing w:val="15"/>
        </w:rPr>
        <w:t> </w:t>
      </w:r>
      <w:r>
        <w:rPr>
          <w:w w:val="243"/>
        </w:rPr>
        <w:t>l</w:t>
      </w:r>
      <w:r>
        <w:rPr>
          <w:w w:val="111"/>
        </w:rPr>
        <w:t>atina</w:t>
      </w:r>
      <w:r>
        <w:rPr>
          <w:spacing w:val="15"/>
        </w:rPr>
        <w:t> </w:t>
      </w:r>
      <w:r>
        <w:rPr>
          <w:w w:val="105"/>
        </w:rPr>
        <w:t>y</w:t>
      </w:r>
      <w:r>
        <w:rPr>
          <w:spacing w:val="15"/>
        </w:rPr>
        <w:t> </w:t>
      </w:r>
      <w:r>
        <w:rPr>
          <w:w w:val="107"/>
        </w:rPr>
        <w:t>el</w:t>
      </w:r>
      <w:r>
        <w:rPr>
          <w:spacing w:val="15"/>
        </w:rPr>
        <w:t> </w:t>
      </w:r>
      <w:r>
        <w:rPr>
          <w:w w:val="115"/>
        </w:rPr>
        <w:t>Car</w:t>
      </w:r>
      <w:r>
        <w:rPr>
          <w:spacing w:val="-1"/>
          <w:w w:val="115"/>
        </w:rPr>
        <w:t>i</w:t>
      </w:r>
      <w:r>
        <w:rPr>
          <w:w w:val="102"/>
        </w:rPr>
        <w:t>- </w:t>
      </w:r>
      <w:r>
        <w:rPr>
          <w:w w:val="110"/>
        </w:rPr>
        <w:t>be ha manifestado una profunda dependencia del desempeño econó- mico de Estados unidos. así, los movimientos cíclicos de la economía estadounidense se han reflejado en el desempeño regional, a partir   de mecanismos generales que conectan a dichas economías. sin em- bargo, la transmisión de impulsos cíclicos y la interconexión entre ciclos económicos no es un proceso estático, sino que evoluciona y     se modifica en la medida en que se generan cambios en el contexto económico</w:t>
      </w:r>
      <w:r>
        <w:rPr>
          <w:spacing w:val="41"/>
          <w:w w:val="110"/>
        </w:rPr>
        <w:t> </w:t>
      </w:r>
      <w:r>
        <w:rPr>
          <w:w w:val="110"/>
        </w:rPr>
        <w:t>global.</w:t>
      </w:r>
    </w:p>
    <w:p>
      <w:pPr>
        <w:pStyle w:val="BodyText"/>
        <w:spacing w:before="5"/>
        <w:rPr>
          <w:sz w:val="25"/>
        </w:rPr>
      </w:pPr>
      <w:r>
        <w:rPr/>
        <w:pict>
          <v:line style="position:absolute;mso-position-horizontal-relative:page;mso-position-vertical-relative:paragraph;z-index:8368;mso-wrap-distance-left:0;mso-wrap-distance-right:0" from="51.023602pt,17.129036pt" to="79.369602pt,17.129036pt" stroked="true" strokeweight=".5pt" strokecolor="#000000">
            <w10:wrap type="topAndBottom"/>
          </v:line>
        </w:pict>
      </w:r>
    </w:p>
    <w:p>
      <w:pPr>
        <w:pStyle w:val="ListParagraph"/>
        <w:numPr>
          <w:ilvl w:val="0"/>
          <w:numId w:val="35"/>
        </w:numPr>
        <w:tabs>
          <w:tab w:pos="376" w:val="left" w:leader="none"/>
        </w:tabs>
        <w:spacing w:line="242" w:lineRule="auto" w:before="89" w:after="0"/>
        <w:ind w:left="120" w:right="328" w:firstLine="0"/>
        <w:jc w:val="both"/>
        <w:rPr>
          <w:sz w:val="16"/>
        </w:rPr>
      </w:pPr>
      <w:r>
        <w:rPr>
          <w:w w:val="110"/>
          <w:sz w:val="16"/>
        </w:rPr>
        <w:t>“</w:t>
      </w:r>
      <w:r>
        <w:rPr>
          <w:i/>
          <w:w w:val="110"/>
          <w:sz w:val="16"/>
        </w:rPr>
        <w:t>Ciclos económicos</w:t>
      </w:r>
      <w:r>
        <w:rPr>
          <w:w w:val="110"/>
          <w:sz w:val="16"/>
        </w:rPr>
        <w:t>”: las fluctuaciones recurrentes de la actividad económica o desviaciones del producto y otras variables macroeconómicas de su tendencia de largo</w:t>
      </w:r>
      <w:r>
        <w:rPr>
          <w:spacing w:val="1"/>
          <w:w w:val="110"/>
          <w:sz w:val="16"/>
        </w:rPr>
        <w:t> </w:t>
      </w:r>
      <w:r>
        <w:rPr>
          <w:w w:val="110"/>
          <w:sz w:val="16"/>
        </w:rPr>
        <w:t>plazo.</w:t>
      </w:r>
    </w:p>
    <w:p>
      <w:pPr>
        <w:pStyle w:val="ListParagraph"/>
        <w:numPr>
          <w:ilvl w:val="0"/>
          <w:numId w:val="35"/>
        </w:numPr>
        <w:tabs>
          <w:tab w:pos="376" w:val="left" w:leader="none"/>
        </w:tabs>
        <w:spacing w:line="242" w:lineRule="auto" w:before="57" w:after="0"/>
        <w:ind w:left="120" w:right="328" w:firstLine="0"/>
        <w:jc w:val="both"/>
        <w:rPr>
          <w:sz w:val="16"/>
        </w:rPr>
      </w:pPr>
      <w:r>
        <w:rPr>
          <w:w w:val="110"/>
          <w:sz w:val="16"/>
        </w:rPr>
        <w:t>“</w:t>
      </w:r>
      <w:r>
        <w:rPr>
          <w:i/>
          <w:w w:val="110"/>
          <w:sz w:val="16"/>
        </w:rPr>
        <w:t>Mecanismos</w:t>
      </w:r>
      <w:r>
        <w:rPr>
          <w:i/>
          <w:spacing w:val="-4"/>
          <w:w w:val="110"/>
          <w:sz w:val="16"/>
        </w:rPr>
        <w:t> </w:t>
      </w:r>
      <w:r>
        <w:rPr>
          <w:i/>
          <w:w w:val="110"/>
          <w:sz w:val="16"/>
        </w:rPr>
        <w:t>de</w:t>
      </w:r>
      <w:r>
        <w:rPr>
          <w:i/>
          <w:spacing w:val="-4"/>
          <w:w w:val="110"/>
          <w:sz w:val="16"/>
        </w:rPr>
        <w:t> </w:t>
      </w:r>
      <w:r>
        <w:rPr>
          <w:i/>
          <w:w w:val="110"/>
          <w:sz w:val="16"/>
        </w:rPr>
        <w:t>transmisión</w:t>
      </w:r>
      <w:r>
        <w:rPr>
          <w:i/>
          <w:spacing w:val="-4"/>
          <w:w w:val="110"/>
          <w:sz w:val="16"/>
        </w:rPr>
        <w:t> </w:t>
      </w:r>
      <w:r>
        <w:rPr>
          <w:i/>
          <w:w w:val="110"/>
          <w:sz w:val="16"/>
        </w:rPr>
        <w:t>de</w:t>
      </w:r>
      <w:r>
        <w:rPr>
          <w:i/>
          <w:spacing w:val="-4"/>
          <w:w w:val="110"/>
          <w:sz w:val="16"/>
        </w:rPr>
        <w:t> </w:t>
      </w:r>
      <w:r>
        <w:rPr>
          <w:i/>
          <w:w w:val="110"/>
          <w:sz w:val="16"/>
        </w:rPr>
        <w:t>shocks</w:t>
      </w:r>
      <w:r>
        <w:rPr>
          <w:w w:val="110"/>
          <w:sz w:val="16"/>
        </w:rPr>
        <w:t>”:</w:t>
      </w:r>
      <w:r>
        <w:rPr>
          <w:spacing w:val="-4"/>
          <w:w w:val="110"/>
          <w:sz w:val="16"/>
        </w:rPr>
        <w:t> </w:t>
      </w:r>
      <w:r>
        <w:rPr>
          <w:w w:val="110"/>
          <w:sz w:val="16"/>
        </w:rPr>
        <w:t>vías</w:t>
      </w:r>
      <w:r>
        <w:rPr>
          <w:spacing w:val="-4"/>
          <w:w w:val="110"/>
          <w:sz w:val="16"/>
        </w:rPr>
        <w:t> </w:t>
      </w:r>
      <w:r>
        <w:rPr>
          <w:w w:val="110"/>
          <w:sz w:val="16"/>
        </w:rPr>
        <w:t>de</w:t>
      </w:r>
      <w:r>
        <w:rPr>
          <w:spacing w:val="-4"/>
          <w:w w:val="110"/>
          <w:sz w:val="16"/>
        </w:rPr>
        <w:t> </w:t>
      </w:r>
      <w:r>
        <w:rPr>
          <w:w w:val="110"/>
          <w:sz w:val="16"/>
        </w:rPr>
        <w:t>difusión</w:t>
      </w:r>
      <w:r>
        <w:rPr>
          <w:spacing w:val="-4"/>
          <w:w w:val="110"/>
          <w:sz w:val="16"/>
        </w:rPr>
        <w:t> </w:t>
      </w:r>
      <w:r>
        <w:rPr>
          <w:w w:val="110"/>
          <w:sz w:val="16"/>
        </w:rPr>
        <w:t>o</w:t>
      </w:r>
      <w:r>
        <w:rPr>
          <w:spacing w:val="-4"/>
          <w:w w:val="110"/>
          <w:sz w:val="16"/>
        </w:rPr>
        <w:t> </w:t>
      </w:r>
      <w:r>
        <w:rPr>
          <w:w w:val="110"/>
          <w:sz w:val="16"/>
        </w:rPr>
        <w:t>propagación</w:t>
      </w:r>
      <w:r>
        <w:rPr>
          <w:spacing w:val="-4"/>
          <w:w w:val="110"/>
          <w:sz w:val="16"/>
        </w:rPr>
        <w:t> </w:t>
      </w:r>
      <w:r>
        <w:rPr>
          <w:w w:val="110"/>
          <w:sz w:val="16"/>
        </w:rPr>
        <w:t>de</w:t>
      </w:r>
      <w:r>
        <w:rPr>
          <w:spacing w:val="-4"/>
          <w:w w:val="110"/>
          <w:sz w:val="16"/>
        </w:rPr>
        <w:t> </w:t>
      </w:r>
      <w:r>
        <w:rPr>
          <w:w w:val="110"/>
          <w:sz w:val="16"/>
        </w:rPr>
        <w:t>shocks o</w:t>
      </w:r>
      <w:r>
        <w:rPr>
          <w:spacing w:val="-7"/>
          <w:w w:val="110"/>
          <w:sz w:val="16"/>
        </w:rPr>
        <w:t> </w:t>
      </w:r>
      <w:r>
        <w:rPr>
          <w:w w:val="110"/>
          <w:sz w:val="16"/>
        </w:rPr>
        <w:t>impulsos</w:t>
      </w:r>
      <w:r>
        <w:rPr>
          <w:spacing w:val="-7"/>
          <w:w w:val="110"/>
          <w:sz w:val="16"/>
        </w:rPr>
        <w:t> </w:t>
      </w:r>
      <w:r>
        <w:rPr>
          <w:w w:val="110"/>
          <w:sz w:val="16"/>
        </w:rPr>
        <w:t>cíclicos</w:t>
      </w:r>
      <w:r>
        <w:rPr>
          <w:spacing w:val="-7"/>
          <w:w w:val="110"/>
          <w:sz w:val="16"/>
        </w:rPr>
        <w:t> </w:t>
      </w:r>
      <w:r>
        <w:rPr>
          <w:w w:val="110"/>
          <w:sz w:val="16"/>
        </w:rPr>
        <w:t>de</w:t>
      </w:r>
      <w:r>
        <w:rPr>
          <w:spacing w:val="-7"/>
          <w:w w:val="110"/>
          <w:sz w:val="16"/>
        </w:rPr>
        <w:t> </w:t>
      </w:r>
      <w:r>
        <w:rPr>
          <w:w w:val="110"/>
          <w:sz w:val="16"/>
        </w:rPr>
        <w:t>una</w:t>
      </w:r>
      <w:r>
        <w:rPr>
          <w:spacing w:val="-7"/>
          <w:w w:val="110"/>
          <w:sz w:val="16"/>
        </w:rPr>
        <w:t> </w:t>
      </w:r>
      <w:r>
        <w:rPr>
          <w:w w:val="110"/>
          <w:sz w:val="16"/>
        </w:rPr>
        <w:t>economía</w:t>
      </w:r>
      <w:r>
        <w:rPr>
          <w:spacing w:val="-7"/>
          <w:w w:val="110"/>
          <w:sz w:val="16"/>
        </w:rPr>
        <w:t> </w:t>
      </w:r>
      <w:r>
        <w:rPr>
          <w:w w:val="110"/>
          <w:sz w:val="16"/>
        </w:rPr>
        <w:t>a</w:t>
      </w:r>
      <w:r>
        <w:rPr>
          <w:spacing w:val="-7"/>
          <w:w w:val="110"/>
          <w:sz w:val="16"/>
        </w:rPr>
        <w:t> </w:t>
      </w:r>
      <w:r>
        <w:rPr>
          <w:w w:val="110"/>
          <w:sz w:val="16"/>
        </w:rPr>
        <w:t>otra,</w:t>
      </w:r>
      <w:r>
        <w:rPr>
          <w:spacing w:val="-7"/>
          <w:w w:val="110"/>
          <w:sz w:val="16"/>
        </w:rPr>
        <w:t> </w:t>
      </w:r>
      <w:r>
        <w:rPr>
          <w:w w:val="110"/>
          <w:sz w:val="16"/>
        </w:rPr>
        <w:t>que</w:t>
      </w:r>
      <w:r>
        <w:rPr>
          <w:spacing w:val="-7"/>
          <w:w w:val="110"/>
          <w:sz w:val="16"/>
        </w:rPr>
        <w:t> </w:t>
      </w:r>
      <w:r>
        <w:rPr>
          <w:w w:val="110"/>
          <w:sz w:val="16"/>
        </w:rPr>
        <w:t>generan</w:t>
      </w:r>
      <w:r>
        <w:rPr>
          <w:spacing w:val="-7"/>
          <w:w w:val="110"/>
          <w:sz w:val="16"/>
        </w:rPr>
        <w:t> </w:t>
      </w:r>
      <w:r>
        <w:rPr>
          <w:w w:val="110"/>
          <w:sz w:val="16"/>
        </w:rPr>
        <w:t>efectos</w:t>
      </w:r>
      <w:r>
        <w:rPr>
          <w:spacing w:val="-7"/>
          <w:w w:val="110"/>
          <w:sz w:val="16"/>
        </w:rPr>
        <w:t> </w:t>
      </w:r>
      <w:r>
        <w:rPr>
          <w:w w:val="110"/>
          <w:sz w:val="16"/>
        </w:rPr>
        <w:t>socioeconómicos</w:t>
      </w:r>
      <w:r>
        <w:rPr>
          <w:spacing w:val="-7"/>
          <w:w w:val="110"/>
          <w:sz w:val="16"/>
        </w:rPr>
        <w:t> </w:t>
      </w:r>
      <w:r>
        <w:rPr>
          <w:w w:val="110"/>
          <w:sz w:val="16"/>
        </w:rPr>
        <w:t>en la economía</w:t>
      </w:r>
      <w:r>
        <w:rPr>
          <w:spacing w:val="-12"/>
          <w:w w:val="110"/>
          <w:sz w:val="16"/>
        </w:rPr>
        <w:t> </w:t>
      </w:r>
      <w:r>
        <w:rPr>
          <w:w w:val="110"/>
          <w:sz w:val="16"/>
        </w:rPr>
        <w:t>receptora.</w:t>
      </w:r>
    </w:p>
    <w:p>
      <w:pPr>
        <w:pStyle w:val="BodyText"/>
        <w:spacing w:before="1"/>
        <w:rPr>
          <w:sz w:val="25"/>
        </w:rPr>
      </w:pPr>
    </w:p>
    <w:p>
      <w:pPr>
        <w:pStyle w:val="Heading7"/>
        <w:spacing w:line="240" w:lineRule="auto" w:before="65"/>
        <w:ind w:left="1041" w:right="1249"/>
        <w:jc w:val="center"/>
      </w:pPr>
      <w:r>
        <w:rPr/>
        <w:t>411</w:t>
      </w:r>
    </w:p>
    <w:p>
      <w:pPr>
        <w:spacing w:after="0" w:line="240" w:lineRule="auto"/>
        <w:jc w:val="center"/>
        <w:sectPr>
          <w:headerReference w:type="even" r:id="rId533"/>
          <w:footerReference w:type="even" r:id="rId534"/>
          <w:pgSz w:w="8790" w:h="12760"/>
          <w:pgMar w:header="0" w:footer="0" w:top="1180" w:bottom="280" w:left="900" w:right="1200"/>
        </w:sectPr>
      </w:pPr>
    </w:p>
    <w:p>
      <w:pPr>
        <w:pStyle w:val="BodyText"/>
        <w:spacing w:before="7"/>
        <w:rPr>
          <w:sz w:val="28"/>
        </w:rPr>
      </w:pPr>
    </w:p>
    <w:p>
      <w:pPr>
        <w:pStyle w:val="BodyText"/>
        <w:spacing w:line="252" w:lineRule="auto" w:before="73"/>
        <w:ind w:left="330" w:right="117" w:firstLine="396"/>
        <w:jc w:val="both"/>
      </w:pPr>
      <w:r>
        <w:rPr>
          <w:w w:val="243"/>
        </w:rPr>
        <w:t>l</w:t>
      </w:r>
      <w:r>
        <w:rPr>
          <w:w w:val="112"/>
        </w:rPr>
        <w:t>a</w:t>
      </w:r>
      <w:r>
        <w:rPr>
          <w:spacing w:val="6"/>
        </w:rPr>
        <w:t> </w:t>
      </w:r>
      <w:r>
        <w:rPr>
          <w:w w:val="108"/>
        </w:rPr>
        <w:t>reciente</w:t>
      </w:r>
      <w:r>
        <w:rPr>
          <w:spacing w:val="6"/>
        </w:rPr>
        <w:t> </w:t>
      </w:r>
      <w:r>
        <w:rPr>
          <w:w w:val="109"/>
        </w:rPr>
        <w:t>crisis</w:t>
      </w:r>
      <w:r>
        <w:rPr>
          <w:spacing w:val="6"/>
        </w:rPr>
        <w:t> </w:t>
      </w:r>
      <w:r>
        <w:rPr>
          <w:w w:val="112"/>
        </w:rPr>
        <w:t>económica</w:t>
      </w:r>
      <w:r>
        <w:rPr>
          <w:spacing w:val="6"/>
        </w:rPr>
        <w:t> </w:t>
      </w:r>
      <w:r>
        <w:rPr>
          <w:w w:val="110"/>
        </w:rPr>
        <w:t>internacional</w:t>
      </w:r>
      <w:r>
        <w:rPr>
          <w:spacing w:val="6"/>
        </w:rPr>
        <w:t> </w:t>
      </w:r>
      <w:r>
        <w:rPr>
          <w:w w:val="112"/>
        </w:rPr>
        <w:t>catalizó</w:t>
      </w:r>
      <w:r>
        <w:rPr>
          <w:spacing w:val="6"/>
        </w:rPr>
        <w:t> </w:t>
      </w:r>
      <w:r>
        <w:rPr>
          <w:w w:val="111"/>
        </w:rPr>
        <w:t>la</w:t>
      </w:r>
      <w:r>
        <w:rPr>
          <w:spacing w:val="6"/>
        </w:rPr>
        <w:t> </w:t>
      </w:r>
      <w:r>
        <w:rPr>
          <w:w w:val="109"/>
        </w:rPr>
        <w:t>emergencia </w:t>
      </w:r>
      <w:r>
        <w:rPr>
          <w:w w:val="115"/>
        </w:rPr>
        <w:t>de importantes cambios geoeconómicos y geopolíticos que</w:t>
      </w:r>
      <w:r>
        <w:rPr>
          <w:spacing w:val="-12"/>
          <w:w w:val="115"/>
        </w:rPr>
        <w:t> </w:t>
      </w:r>
      <w:r>
        <w:rPr>
          <w:w w:val="115"/>
        </w:rPr>
        <w:t>podrían estar</w:t>
      </w:r>
      <w:r>
        <w:rPr>
          <w:spacing w:val="-11"/>
          <w:w w:val="115"/>
        </w:rPr>
        <w:t> </w:t>
      </w:r>
      <w:r>
        <w:rPr>
          <w:w w:val="115"/>
        </w:rPr>
        <w:t>modificando</w:t>
      </w:r>
      <w:r>
        <w:rPr>
          <w:spacing w:val="-11"/>
          <w:w w:val="115"/>
        </w:rPr>
        <w:t> </w:t>
      </w:r>
      <w:r>
        <w:rPr>
          <w:w w:val="115"/>
        </w:rPr>
        <w:t>algunos</w:t>
      </w:r>
      <w:r>
        <w:rPr>
          <w:spacing w:val="-11"/>
          <w:w w:val="115"/>
        </w:rPr>
        <w:t> </w:t>
      </w:r>
      <w:r>
        <w:rPr>
          <w:w w:val="115"/>
        </w:rPr>
        <w:t>de</w:t>
      </w:r>
      <w:r>
        <w:rPr>
          <w:spacing w:val="-11"/>
          <w:w w:val="115"/>
        </w:rPr>
        <w:t> </w:t>
      </w:r>
      <w:r>
        <w:rPr>
          <w:w w:val="115"/>
        </w:rPr>
        <w:t>los</w:t>
      </w:r>
      <w:r>
        <w:rPr>
          <w:spacing w:val="-11"/>
          <w:w w:val="115"/>
        </w:rPr>
        <w:t> </w:t>
      </w:r>
      <w:r>
        <w:rPr>
          <w:w w:val="115"/>
        </w:rPr>
        <w:t>patrones</w:t>
      </w:r>
      <w:r>
        <w:rPr>
          <w:spacing w:val="-11"/>
          <w:w w:val="115"/>
        </w:rPr>
        <w:t> </w:t>
      </w:r>
      <w:r>
        <w:rPr>
          <w:w w:val="115"/>
        </w:rPr>
        <w:t>tradicionales</w:t>
      </w:r>
      <w:r>
        <w:rPr>
          <w:spacing w:val="-11"/>
          <w:w w:val="115"/>
        </w:rPr>
        <w:t> </w:t>
      </w:r>
      <w:r>
        <w:rPr>
          <w:w w:val="115"/>
        </w:rPr>
        <w:t>de</w:t>
      </w:r>
      <w:r>
        <w:rPr>
          <w:spacing w:val="-11"/>
          <w:w w:val="115"/>
        </w:rPr>
        <w:t> </w:t>
      </w:r>
      <w:r>
        <w:rPr>
          <w:w w:val="115"/>
        </w:rPr>
        <w:t>transmi- sión de shocks hacia la región. El presente trabajo pretende anali- zar estas transformaciones en el marco de las relaciones económi- </w:t>
      </w:r>
      <w:r>
        <w:rPr>
          <w:w w:val="111"/>
        </w:rPr>
        <w:t>cas</w:t>
      </w:r>
      <w:r>
        <w:rPr>
          <w:spacing w:val="18"/>
        </w:rPr>
        <w:t> </w:t>
      </w:r>
      <w:r>
        <w:rPr>
          <w:w w:val="106"/>
        </w:rPr>
        <w:t>entre</w:t>
      </w:r>
      <w:r>
        <w:rPr>
          <w:spacing w:val="18"/>
        </w:rPr>
        <w:t> </w:t>
      </w:r>
      <w:r>
        <w:rPr>
          <w:w w:val="111"/>
        </w:rPr>
        <w:t>Estados</w:t>
      </w:r>
      <w:r>
        <w:rPr>
          <w:spacing w:val="18"/>
        </w:rPr>
        <w:t> </w:t>
      </w:r>
      <w:r>
        <w:rPr>
          <w:w w:val="140"/>
        </w:rPr>
        <w:t>u</w:t>
      </w:r>
      <w:r>
        <w:rPr>
          <w:w w:val="110"/>
        </w:rPr>
        <w:t>nidos</w:t>
      </w:r>
      <w:r>
        <w:rPr>
          <w:spacing w:val="18"/>
        </w:rPr>
        <w:t> </w:t>
      </w:r>
      <w:r>
        <w:rPr>
          <w:w w:val="105"/>
        </w:rPr>
        <w:t>y</w:t>
      </w:r>
      <w:r>
        <w:rPr>
          <w:spacing w:val="18"/>
        </w:rPr>
        <w:t> </w:t>
      </w:r>
      <w:r>
        <w:rPr>
          <w:w w:val="139"/>
        </w:rPr>
        <w:t>a</w:t>
      </w:r>
      <w:r>
        <w:rPr>
          <w:w w:val="111"/>
        </w:rPr>
        <w:t>mérica</w:t>
      </w:r>
      <w:r>
        <w:rPr>
          <w:spacing w:val="18"/>
        </w:rPr>
        <w:t> </w:t>
      </w:r>
      <w:r>
        <w:rPr>
          <w:w w:val="243"/>
        </w:rPr>
        <w:t>l</w:t>
      </w:r>
      <w:r>
        <w:rPr>
          <w:w w:val="111"/>
        </w:rPr>
        <w:t>atina</w:t>
      </w:r>
      <w:r>
        <w:rPr>
          <w:spacing w:val="18"/>
        </w:rPr>
        <w:t> </w:t>
      </w:r>
      <w:r>
        <w:rPr>
          <w:w w:val="105"/>
        </w:rPr>
        <w:t>y</w:t>
      </w:r>
      <w:r>
        <w:rPr>
          <w:spacing w:val="18"/>
        </w:rPr>
        <w:t> </w:t>
      </w:r>
      <w:r>
        <w:rPr>
          <w:w w:val="107"/>
        </w:rPr>
        <w:t>el</w:t>
      </w:r>
      <w:r>
        <w:rPr>
          <w:spacing w:val="18"/>
        </w:rPr>
        <w:t> </w:t>
      </w:r>
      <w:r>
        <w:rPr>
          <w:w w:val="112"/>
        </w:rPr>
        <w:t>Caribe</w:t>
      </w:r>
      <w:r>
        <w:rPr>
          <w:spacing w:val="18"/>
        </w:rPr>
        <w:t> </w:t>
      </w:r>
      <w:r>
        <w:rPr>
          <w:w w:val="112"/>
        </w:rPr>
        <w:t>a</w:t>
      </w:r>
      <w:r>
        <w:rPr>
          <w:spacing w:val="18"/>
        </w:rPr>
        <w:t> </w:t>
      </w:r>
      <w:r>
        <w:rPr>
          <w:w w:val="111"/>
        </w:rPr>
        <w:t>la</w:t>
      </w:r>
      <w:r>
        <w:rPr>
          <w:spacing w:val="18"/>
        </w:rPr>
        <w:t> </w:t>
      </w:r>
      <w:r>
        <w:rPr>
          <w:w w:val="112"/>
        </w:rPr>
        <w:t>luz</w:t>
      </w:r>
      <w:r>
        <w:rPr>
          <w:spacing w:val="18"/>
        </w:rPr>
        <w:t> </w:t>
      </w:r>
      <w:r>
        <w:rPr>
          <w:w w:val="107"/>
        </w:rPr>
        <w:t>de</w:t>
      </w:r>
      <w:r>
        <w:rPr>
          <w:spacing w:val="18"/>
        </w:rPr>
        <w:t> </w:t>
      </w:r>
      <w:r>
        <w:rPr>
          <w:w w:val="108"/>
        </w:rPr>
        <w:t>los </w:t>
      </w:r>
      <w:r>
        <w:rPr>
          <w:w w:val="115"/>
        </w:rPr>
        <w:t>cambios en la economía internacional del siglo </w:t>
      </w:r>
      <w:r>
        <w:rPr>
          <w:w w:val="150"/>
        </w:rPr>
        <w:t>xxi.</w:t>
      </w:r>
      <w:r>
        <w:rPr>
          <w:spacing w:val="-35"/>
          <w:w w:val="150"/>
        </w:rPr>
        <w:t> </w:t>
      </w:r>
      <w:r>
        <w:rPr>
          <w:w w:val="115"/>
        </w:rPr>
        <w:t>Estados unidos constituye un actor de importancia dual para la región: como prin- cipal</w:t>
      </w:r>
      <w:r>
        <w:rPr>
          <w:spacing w:val="-7"/>
          <w:w w:val="115"/>
        </w:rPr>
        <w:t> </w:t>
      </w:r>
      <w:r>
        <w:rPr>
          <w:w w:val="115"/>
        </w:rPr>
        <w:t>actor</w:t>
      </w:r>
      <w:r>
        <w:rPr>
          <w:spacing w:val="-7"/>
          <w:w w:val="115"/>
        </w:rPr>
        <w:t> </w:t>
      </w:r>
      <w:r>
        <w:rPr>
          <w:w w:val="115"/>
        </w:rPr>
        <w:t>económico</w:t>
      </w:r>
      <w:r>
        <w:rPr>
          <w:spacing w:val="-7"/>
          <w:w w:val="115"/>
        </w:rPr>
        <w:t> </w:t>
      </w:r>
      <w:r>
        <w:rPr>
          <w:w w:val="115"/>
        </w:rPr>
        <w:t>hemisférico</w:t>
      </w:r>
      <w:r>
        <w:rPr>
          <w:spacing w:val="-7"/>
          <w:w w:val="115"/>
        </w:rPr>
        <w:t> </w:t>
      </w:r>
      <w:r>
        <w:rPr>
          <w:w w:val="115"/>
        </w:rPr>
        <w:t>y</w:t>
      </w:r>
      <w:r>
        <w:rPr>
          <w:spacing w:val="-7"/>
          <w:w w:val="115"/>
        </w:rPr>
        <w:t> </w:t>
      </w:r>
      <w:r>
        <w:rPr>
          <w:w w:val="115"/>
        </w:rPr>
        <w:t>su</w:t>
      </w:r>
      <w:r>
        <w:rPr>
          <w:spacing w:val="-7"/>
          <w:w w:val="115"/>
        </w:rPr>
        <w:t> </w:t>
      </w:r>
      <w:r>
        <w:rPr>
          <w:w w:val="115"/>
        </w:rPr>
        <w:t>crucial</w:t>
      </w:r>
      <w:r>
        <w:rPr>
          <w:spacing w:val="-7"/>
          <w:w w:val="115"/>
        </w:rPr>
        <w:t> </w:t>
      </w:r>
      <w:r>
        <w:rPr>
          <w:w w:val="115"/>
        </w:rPr>
        <w:t>rol</w:t>
      </w:r>
      <w:r>
        <w:rPr>
          <w:spacing w:val="-7"/>
          <w:w w:val="115"/>
        </w:rPr>
        <w:t> </w:t>
      </w:r>
      <w:r>
        <w:rPr>
          <w:w w:val="115"/>
        </w:rPr>
        <w:t>en</w:t>
      </w:r>
      <w:r>
        <w:rPr>
          <w:spacing w:val="-7"/>
          <w:w w:val="115"/>
        </w:rPr>
        <w:t> </w:t>
      </w:r>
      <w:r>
        <w:rPr>
          <w:w w:val="115"/>
        </w:rPr>
        <w:t>la</w:t>
      </w:r>
      <w:r>
        <w:rPr>
          <w:spacing w:val="-7"/>
          <w:w w:val="115"/>
        </w:rPr>
        <w:t> </w:t>
      </w:r>
      <w:r>
        <w:rPr>
          <w:w w:val="115"/>
        </w:rPr>
        <w:t>arquitectura </w:t>
      </w:r>
      <w:r>
        <w:rPr>
          <w:w w:val="110"/>
        </w:rPr>
        <w:t>monetario-financiera internacional. Por consiguiente, una interpreta- </w:t>
      </w:r>
      <w:r>
        <w:rPr>
          <w:w w:val="115"/>
        </w:rPr>
        <w:t>ción</w:t>
      </w:r>
      <w:r>
        <w:rPr>
          <w:spacing w:val="-28"/>
          <w:w w:val="115"/>
        </w:rPr>
        <w:t> </w:t>
      </w:r>
      <w:r>
        <w:rPr>
          <w:w w:val="115"/>
        </w:rPr>
        <w:t>actualizada</w:t>
      </w:r>
      <w:r>
        <w:rPr>
          <w:spacing w:val="-28"/>
          <w:w w:val="115"/>
        </w:rPr>
        <w:t> </w:t>
      </w:r>
      <w:r>
        <w:rPr>
          <w:w w:val="115"/>
        </w:rPr>
        <w:t>de</w:t>
      </w:r>
      <w:r>
        <w:rPr>
          <w:spacing w:val="-28"/>
          <w:w w:val="115"/>
        </w:rPr>
        <w:t> </w:t>
      </w:r>
      <w:r>
        <w:rPr>
          <w:w w:val="115"/>
        </w:rPr>
        <w:t>los</w:t>
      </w:r>
      <w:r>
        <w:rPr>
          <w:spacing w:val="-28"/>
          <w:w w:val="115"/>
        </w:rPr>
        <w:t> </w:t>
      </w:r>
      <w:r>
        <w:rPr>
          <w:w w:val="115"/>
        </w:rPr>
        <w:t>debates</w:t>
      </w:r>
      <w:r>
        <w:rPr>
          <w:spacing w:val="-28"/>
          <w:w w:val="115"/>
        </w:rPr>
        <w:t> </w:t>
      </w:r>
      <w:r>
        <w:rPr>
          <w:w w:val="115"/>
        </w:rPr>
        <w:t>actuales</w:t>
      </w:r>
      <w:r>
        <w:rPr>
          <w:spacing w:val="-28"/>
          <w:w w:val="115"/>
        </w:rPr>
        <w:t> </w:t>
      </w:r>
      <w:r>
        <w:rPr>
          <w:w w:val="115"/>
        </w:rPr>
        <w:t>en</w:t>
      </w:r>
      <w:r>
        <w:rPr>
          <w:spacing w:val="-28"/>
          <w:w w:val="115"/>
        </w:rPr>
        <w:t> </w:t>
      </w:r>
      <w:r>
        <w:rPr>
          <w:w w:val="115"/>
        </w:rPr>
        <w:t>la</w:t>
      </w:r>
      <w:r>
        <w:rPr>
          <w:spacing w:val="-28"/>
          <w:w w:val="115"/>
        </w:rPr>
        <w:t> </w:t>
      </w:r>
      <w:r>
        <w:rPr>
          <w:w w:val="115"/>
        </w:rPr>
        <w:t>transmisión</w:t>
      </w:r>
      <w:r>
        <w:rPr>
          <w:spacing w:val="-28"/>
          <w:w w:val="115"/>
        </w:rPr>
        <w:t> </w:t>
      </w:r>
      <w:r>
        <w:rPr>
          <w:w w:val="115"/>
        </w:rPr>
        <w:t>de</w:t>
      </w:r>
      <w:r>
        <w:rPr>
          <w:spacing w:val="-28"/>
          <w:w w:val="115"/>
        </w:rPr>
        <w:t> </w:t>
      </w:r>
      <w:r>
        <w:rPr>
          <w:w w:val="115"/>
        </w:rPr>
        <w:t>impulsos cíclicos</w:t>
      </w:r>
      <w:r>
        <w:rPr>
          <w:spacing w:val="-10"/>
          <w:w w:val="115"/>
        </w:rPr>
        <w:t> </w:t>
      </w:r>
      <w:r>
        <w:rPr>
          <w:w w:val="115"/>
        </w:rPr>
        <w:t>desde</w:t>
      </w:r>
      <w:r>
        <w:rPr>
          <w:spacing w:val="-10"/>
          <w:w w:val="115"/>
        </w:rPr>
        <w:t> </w:t>
      </w:r>
      <w:r>
        <w:rPr>
          <w:w w:val="115"/>
        </w:rPr>
        <w:t>este</w:t>
      </w:r>
      <w:r>
        <w:rPr>
          <w:spacing w:val="-10"/>
          <w:w w:val="115"/>
        </w:rPr>
        <w:t> </w:t>
      </w:r>
      <w:r>
        <w:rPr>
          <w:w w:val="115"/>
        </w:rPr>
        <w:t>país</w:t>
      </w:r>
      <w:r>
        <w:rPr>
          <w:spacing w:val="-10"/>
          <w:w w:val="115"/>
        </w:rPr>
        <w:t> </w:t>
      </w:r>
      <w:r>
        <w:rPr>
          <w:w w:val="115"/>
        </w:rPr>
        <w:t>hacia</w:t>
      </w:r>
      <w:r>
        <w:rPr>
          <w:spacing w:val="-10"/>
          <w:w w:val="115"/>
        </w:rPr>
        <w:t> </w:t>
      </w:r>
      <w:r>
        <w:rPr>
          <w:w w:val="115"/>
        </w:rPr>
        <w:t>la</w:t>
      </w:r>
      <w:r>
        <w:rPr>
          <w:spacing w:val="-10"/>
          <w:w w:val="115"/>
        </w:rPr>
        <w:t> </w:t>
      </w:r>
      <w:r>
        <w:rPr>
          <w:w w:val="115"/>
        </w:rPr>
        <w:t>región</w:t>
      </w:r>
      <w:r>
        <w:rPr>
          <w:spacing w:val="-10"/>
          <w:w w:val="115"/>
        </w:rPr>
        <w:t> </w:t>
      </w:r>
      <w:r>
        <w:rPr>
          <w:w w:val="115"/>
        </w:rPr>
        <w:t>es</w:t>
      </w:r>
      <w:r>
        <w:rPr>
          <w:spacing w:val="-10"/>
          <w:w w:val="115"/>
        </w:rPr>
        <w:t> </w:t>
      </w:r>
      <w:r>
        <w:rPr>
          <w:w w:val="115"/>
        </w:rPr>
        <w:t>un</w:t>
      </w:r>
      <w:r>
        <w:rPr>
          <w:spacing w:val="-10"/>
          <w:w w:val="115"/>
        </w:rPr>
        <w:t> </w:t>
      </w:r>
      <w:r>
        <w:rPr>
          <w:w w:val="115"/>
        </w:rPr>
        <w:t>elemento</w:t>
      </w:r>
      <w:r>
        <w:rPr>
          <w:spacing w:val="-10"/>
          <w:w w:val="115"/>
        </w:rPr>
        <w:t> </w:t>
      </w:r>
      <w:r>
        <w:rPr>
          <w:w w:val="115"/>
        </w:rPr>
        <w:t>trascendental a no desconocer para las proyecciones estratégicas de la región. En definitiva,</w:t>
      </w:r>
      <w:r>
        <w:rPr>
          <w:spacing w:val="-9"/>
          <w:w w:val="115"/>
        </w:rPr>
        <w:t> </w:t>
      </w:r>
      <w:r>
        <w:rPr>
          <w:w w:val="115"/>
        </w:rPr>
        <w:t>la</w:t>
      </w:r>
      <w:r>
        <w:rPr>
          <w:spacing w:val="-9"/>
          <w:w w:val="115"/>
        </w:rPr>
        <w:t> </w:t>
      </w:r>
      <w:r>
        <w:rPr>
          <w:w w:val="115"/>
        </w:rPr>
        <w:t>construcción</w:t>
      </w:r>
      <w:r>
        <w:rPr>
          <w:spacing w:val="-9"/>
          <w:w w:val="115"/>
        </w:rPr>
        <w:t> </w:t>
      </w:r>
      <w:r>
        <w:rPr>
          <w:w w:val="115"/>
        </w:rPr>
        <w:t>de</w:t>
      </w:r>
      <w:r>
        <w:rPr>
          <w:spacing w:val="-9"/>
          <w:w w:val="115"/>
        </w:rPr>
        <w:t> </w:t>
      </w:r>
      <w:r>
        <w:rPr>
          <w:w w:val="115"/>
        </w:rPr>
        <w:t>una</w:t>
      </w:r>
      <w:r>
        <w:rPr>
          <w:spacing w:val="-9"/>
          <w:w w:val="115"/>
        </w:rPr>
        <w:t> </w:t>
      </w:r>
      <w:r>
        <w:rPr>
          <w:w w:val="115"/>
        </w:rPr>
        <w:t>región</w:t>
      </w:r>
      <w:r>
        <w:rPr>
          <w:spacing w:val="-9"/>
          <w:w w:val="115"/>
        </w:rPr>
        <w:t> </w:t>
      </w:r>
      <w:r>
        <w:rPr>
          <w:w w:val="115"/>
        </w:rPr>
        <w:t>latinoamericana</w:t>
      </w:r>
      <w:r>
        <w:rPr>
          <w:spacing w:val="-9"/>
          <w:w w:val="115"/>
        </w:rPr>
        <w:t> </w:t>
      </w:r>
      <w:r>
        <w:rPr>
          <w:w w:val="115"/>
        </w:rPr>
        <w:t>y</w:t>
      </w:r>
      <w:r>
        <w:rPr>
          <w:spacing w:val="-9"/>
          <w:w w:val="115"/>
        </w:rPr>
        <w:t> </w:t>
      </w:r>
      <w:r>
        <w:rPr>
          <w:w w:val="115"/>
        </w:rPr>
        <w:t>caribeña menos</w:t>
      </w:r>
      <w:r>
        <w:rPr>
          <w:spacing w:val="-23"/>
          <w:w w:val="115"/>
        </w:rPr>
        <w:t> </w:t>
      </w:r>
      <w:r>
        <w:rPr>
          <w:w w:val="115"/>
        </w:rPr>
        <w:t>vulnerable</w:t>
      </w:r>
      <w:r>
        <w:rPr>
          <w:spacing w:val="-23"/>
          <w:w w:val="115"/>
        </w:rPr>
        <w:t> </w:t>
      </w:r>
      <w:r>
        <w:rPr>
          <w:w w:val="115"/>
        </w:rPr>
        <w:t>y</w:t>
      </w:r>
      <w:r>
        <w:rPr>
          <w:spacing w:val="-23"/>
          <w:w w:val="115"/>
        </w:rPr>
        <w:t> </w:t>
      </w:r>
      <w:r>
        <w:rPr>
          <w:w w:val="115"/>
        </w:rPr>
        <w:t>dependiente,</w:t>
      </w:r>
      <w:r>
        <w:rPr>
          <w:spacing w:val="-23"/>
          <w:w w:val="115"/>
        </w:rPr>
        <w:t> </w:t>
      </w:r>
      <w:r>
        <w:rPr>
          <w:w w:val="115"/>
        </w:rPr>
        <w:t>más</w:t>
      </w:r>
      <w:r>
        <w:rPr>
          <w:spacing w:val="-23"/>
          <w:w w:val="115"/>
        </w:rPr>
        <w:t> </w:t>
      </w:r>
      <w:r>
        <w:rPr>
          <w:w w:val="115"/>
        </w:rPr>
        <w:t>diversificada</w:t>
      </w:r>
      <w:r>
        <w:rPr>
          <w:spacing w:val="-23"/>
          <w:w w:val="115"/>
        </w:rPr>
        <w:t> </w:t>
      </w:r>
      <w:r>
        <w:rPr>
          <w:w w:val="115"/>
        </w:rPr>
        <w:t>geográficamente en</w:t>
      </w:r>
      <w:r>
        <w:rPr>
          <w:spacing w:val="-14"/>
          <w:w w:val="115"/>
        </w:rPr>
        <w:t> </w:t>
      </w:r>
      <w:r>
        <w:rPr>
          <w:w w:val="115"/>
        </w:rPr>
        <w:t>su</w:t>
      </w:r>
      <w:r>
        <w:rPr>
          <w:spacing w:val="-14"/>
          <w:w w:val="115"/>
        </w:rPr>
        <w:t> </w:t>
      </w:r>
      <w:r>
        <w:rPr>
          <w:w w:val="115"/>
        </w:rPr>
        <w:t>inserción</w:t>
      </w:r>
      <w:r>
        <w:rPr>
          <w:spacing w:val="-14"/>
          <w:w w:val="115"/>
        </w:rPr>
        <w:t> </w:t>
      </w:r>
      <w:r>
        <w:rPr>
          <w:w w:val="115"/>
        </w:rPr>
        <w:t>internacional</w:t>
      </w:r>
      <w:r>
        <w:rPr>
          <w:spacing w:val="-14"/>
          <w:w w:val="115"/>
        </w:rPr>
        <w:t> </w:t>
      </w:r>
      <w:r>
        <w:rPr>
          <w:w w:val="115"/>
        </w:rPr>
        <w:t>y</w:t>
      </w:r>
      <w:r>
        <w:rPr>
          <w:spacing w:val="-14"/>
          <w:w w:val="115"/>
        </w:rPr>
        <w:t> </w:t>
      </w:r>
      <w:r>
        <w:rPr>
          <w:w w:val="115"/>
        </w:rPr>
        <w:t>adaptada</w:t>
      </w:r>
      <w:r>
        <w:rPr>
          <w:spacing w:val="-14"/>
          <w:w w:val="115"/>
        </w:rPr>
        <w:t> </w:t>
      </w:r>
      <w:r>
        <w:rPr>
          <w:w w:val="115"/>
        </w:rPr>
        <w:t>a</w:t>
      </w:r>
      <w:r>
        <w:rPr>
          <w:spacing w:val="-14"/>
          <w:w w:val="115"/>
        </w:rPr>
        <w:t> </w:t>
      </w:r>
      <w:r>
        <w:rPr>
          <w:w w:val="115"/>
        </w:rPr>
        <w:t>las</w:t>
      </w:r>
      <w:r>
        <w:rPr>
          <w:spacing w:val="-14"/>
          <w:w w:val="115"/>
        </w:rPr>
        <w:t> </w:t>
      </w:r>
      <w:r>
        <w:rPr>
          <w:w w:val="115"/>
        </w:rPr>
        <w:t>nuevas</w:t>
      </w:r>
      <w:r>
        <w:rPr>
          <w:spacing w:val="-14"/>
          <w:w w:val="115"/>
        </w:rPr>
        <w:t> </w:t>
      </w:r>
      <w:r>
        <w:rPr>
          <w:w w:val="115"/>
        </w:rPr>
        <w:t>condiciones</w:t>
      </w:r>
      <w:r>
        <w:rPr>
          <w:spacing w:val="-14"/>
          <w:w w:val="115"/>
        </w:rPr>
        <w:t> </w:t>
      </w:r>
      <w:r>
        <w:rPr>
          <w:w w:val="115"/>
        </w:rPr>
        <w:t>de la</w:t>
      </w:r>
      <w:r>
        <w:rPr>
          <w:spacing w:val="-14"/>
          <w:w w:val="115"/>
        </w:rPr>
        <w:t> </w:t>
      </w:r>
      <w:r>
        <w:rPr>
          <w:w w:val="115"/>
        </w:rPr>
        <w:t>economía</w:t>
      </w:r>
      <w:r>
        <w:rPr>
          <w:spacing w:val="-14"/>
          <w:w w:val="115"/>
        </w:rPr>
        <w:t> </w:t>
      </w:r>
      <w:r>
        <w:rPr>
          <w:w w:val="115"/>
        </w:rPr>
        <w:t>mundial,</w:t>
      </w:r>
      <w:r>
        <w:rPr>
          <w:spacing w:val="-14"/>
          <w:w w:val="115"/>
        </w:rPr>
        <w:t> </w:t>
      </w:r>
      <w:r>
        <w:rPr>
          <w:w w:val="115"/>
        </w:rPr>
        <w:t>no</w:t>
      </w:r>
      <w:r>
        <w:rPr>
          <w:spacing w:val="-14"/>
          <w:w w:val="115"/>
        </w:rPr>
        <w:t> </w:t>
      </w:r>
      <w:r>
        <w:rPr>
          <w:w w:val="115"/>
        </w:rPr>
        <w:t>puede</w:t>
      </w:r>
      <w:r>
        <w:rPr>
          <w:spacing w:val="-14"/>
          <w:w w:val="115"/>
        </w:rPr>
        <w:t> </w:t>
      </w:r>
      <w:r>
        <w:rPr>
          <w:w w:val="115"/>
        </w:rPr>
        <w:t>desconocer</w:t>
      </w:r>
      <w:r>
        <w:rPr>
          <w:spacing w:val="-14"/>
          <w:w w:val="115"/>
        </w:rPr>
        <w:t> </w:t>
      </w:r>
      <w:r>
        <w:rPr>
          <w:w w:val="115"/>
        </w:rPr>
        <w:t>los</w:t>
      </w:r>
      <w:r>
        <w:rPr>
          <w:spacing w:val="-14"/>
          <w:w w:val="115"/>
        </w:rPr>
        <w:t> </w:t>
      </w:r>
      <w:r>
        <w:rPr>
          <w:w w:val="115"/>
        </w:rPr>
        <w:t>cambios</w:t>
      </w:r>
      <w:r>
        <w:rPr>
          <w:spacing w:val="-14"/>
          <w:w w:val="115"/>
        </w:rPr>
        <w:t> </w:t>
      </w:r>
      <w:r>
        <w:rPr>
          <w:w w:val="115"/>
        </w:rPr>
        <w:t>en</w:t>
      </w:r>
      <w:r>
        <w:rPr>
          <w:spacing w:val="-14"/>
          <w:w w:val="115"/>
        </w:rPr>
        <w:t> </w:t>
      </w:r>
      <w:r>
        <w:rPr>
          <w:w w:val="115"/>
        </w:rPr>
        <w:t>los</w:t>
      </w:r>
      <w:r>
        <w:rPr>
          <w:spacing w:val="-14"/>
          <w:w w:val="115"/>
        </w:rPr>
        <w:t> </w:t>
      </w:r>
      <w:r>
        <w:rPr>
          <w:w w:val="115"/>
        </w:rPr>
        <w:t>patro- nes</w:t>
      </w:r>
      <w:r>
        <w:rPr>
          <w:spacing w:val="-5"/>
          <w:w w:val="115"/>
        </w:rPr>
        <w:t> </w:t>
      </w:r>
      <w:r>
        <w:rPr>
          <w:w w:val="115"/>
        </w:rPr>
        <w:t>que</w:t>
      </w:r>
      <w:r>
        <w:rPr>
          <w:spacing w:val="-5"/>
          <w:w w:val="115"/>
        </w:rPr>
        <w:t> </w:t>
      </w:r>
      <w:r>
        <w:rPr>
          <w:w w:val="115"/>
        </w:rPr>
        <w:t>marcan</w:t>
      </w:r>
      <w:r>
        <w:rPr>
          <w:spacing w:val="-5"/>
          <w:w w:val="115"/>
        </w:rPr>
        <w:t> </w:t>
      </w:r>
      <w:r>
        <w:rPr>
          <w:w w:val="115"/>
        </w:rPr>
        <w:t>la</w:t>
      </w:r>
      <w:r>
        <w:rPr>
          <w:spacing w:val="-5"/>
          <w:w w:val="115"/>
        </w:rPr>
        <w:t> </w:t>
      </w:r>
      <w:r>
        <w:rPr>
          <w:w w:val="115"/>
        </w:rPr>
        <w:t>interrelación</w:t>
      </w:r>
      <w:r>
        <w:rPr>
          <w:spacing w:val="-5"/>
          <w:w w:val="115"/>
        </w:rPr>
        <w:t> </w:t>
      </w:r>
      <w:r>
        <w:rPr>
          <w:w w:val="115"/>
        </w:rPr>
        <w:t>de</w:t>
      </w:r>
      <w:r>
        <w:rPr>
          <w:spacing w:val="-5"/>
          <w:w w:val="115"/>
        </w:rPr>
        <w:t> </w:t>
      </w:r>
      <w:r>
        <w:rPr>
          <w:w w:val="115"/>
        </w:rPr>
        <w:t>la</w:t>
      </w:r>
      <w:r>
        <w:rPr>
          <w:spacing w:val="-5"/>
          <w:w w:val="115"/>
        </w:rPr>
        <w:t> </w:t>
      </w:r>
      <w:r>
        <w:rPr>
          <w:w w:val="115"/>
        </w:rPr>
        <w:t>región</w:t>
      </w:r>
      <w:r>
        <w:rPr>
          <w:spacing w:val="-5"/>
          <w:w w:val="115"/>
        </w:rPr>
        <w:t> </w:t>
      </w:r>
      <w:r>
        <w:rPr>
          <w:w w:val="115"/>
        </w:rPr>
        <w:t>con</w:t>
      </w:r>
      <w:r>
        <w:rPr>
          <w:spacing w:val="-5"/>
          <w:w w:val="115"/>
        </w:rPr>
        <w:t> </w:t>
      </w:r>
      <w:r>
        <w:rPr>
          <w:w w:val="115"/>
        </w:rPr>
        <w:t>la</w:t>
      </w:r>
      <w:r>
        <w:rPr>
          <w:spacing w:val="-5"/>
          <w:w w:val="115"/>
        </w:rPr>
        <w:t> </w:t>
      </w:r>
      <w:r>
        <w:rPr>
          <w:w w:val="115"/>
        </w:rPr>
        <w:t>mayor</w:t>
      </w:r>
      <w:r>
        <w:rPr>
          <w:spacing w:val="-5"/>
          <w:w w:val="115"/>
        </w:rPr>
        <w:t> </w:t>
      </w:r>
      <w:r>
        <w:rPr>
          <w:w w:val="115"/>
        </w:rPr>
        <w:t>economía del</w:t>
      </w:r>
      <w:r>
        <w:rPr>
          <w:spacing w:val="-13"/>
          <w:w w:val="115"/>
        </w:rPr>
        <w:t> </w:t>
      </w:r>
      <w:r>
        <w:rPr>
          <w:w w:val="115"/>
        </w:rPr>
        <w:t>hemisferio,</w:t>
      </w:r>
      <w:r>
        <w:rPr>
          <w:spacing w:val="-13"/>
          <w:w w:val="115"/>
        </w:rPr>
        <w:t> </w:t>
      </w:r>
      <w:r>
        <w:rPr>
          <w:w w:val="115"/>
        </w:rPr>
        <w:t>Estados</w:t>
      </w:r>
      <w:r>
        <w:rPr>
          <w:spacing w:val="-13"/>
          <w:w w:val="115"/>
        </w:rPr>
        <w:t> </w:t>
      </w:r>
      <w:r>
        <w:rPr>
          <w:w w:val="115"/>
        </w:rPr>
        <w:t>unidos.</w:t>
      </w:r>
    </w:p>
    <w:p>
      <w:pPr>
        <w:pStyle w:val="BodyText"/>
        <w:spacing w:line="252" w:lineRule="auto"/>
        <w:ind w:left="330" w:right="117" w:firstLine="396"/>
        <w:jc w:val="both"/>
      </w:pPr>
      <w:r>
        <w:rPr>
          <w:w w:val="110"/>
        </w:rPr>
        <w:t>El capítulo que se propone está estructurado en 3 secciones fun- damentales: una primera sección donde se intentan rescatar los deba- tes sobre ciclo económico, hegemonía y dependencia del pensamiento latinoamericano atemperado a las nuevas condiciones de la economía internacional; una segunda sección que aborda los nuevos desarrollos teóricos como reflejo de las nuevas realidades globales y finalmente, en la tercera sección, se caracterizan los cambios emergentes en la transmisión de impulsos cíclicos y en última instancia, en la interre- </w:t>
      </w:r>
      <w:r>
        <w:rPr>
          <w:w w:val="112"/>
        </w:rPr>
        <w:t>lación</w:t>
      </w:r>
      <w:r>
        <w:rPr/>
        <w:t> </w:t>
      </w:r>
      <w:r>
        <w:rPr>
          <w:w w:val="112"/>
        </w:rPr>
        <w:t>económica</w:t>
      </w:r>
      <w:r>
        <w:rPr/>
        <w:t> </w:t>
      </w:r>
      <w:r>
        <w:rPr>
          <w:w w:val="106"/>
        </w:rPr>
        <w:t>entre</w:t>
      </w:r>
      <w:r>
        <w:rPr/>
        <w:t> </w:t>
      </w:r>
      <w:r>
        <w:rPr>
          <w:w w:val="111"/>
        </w:rPr>
        <w:t>Estados</w:t>
      </w:r>
      <w:r>
        <w:rPr/>
        <w:t> </w:t>
      </w:r>
      <w:r>
        <w:rPr>
          <w:w w:val="140"/>
        </w:rPr>
        <w:t>u</w:t>
      </w:r>
      <w:r>
        <w:rPr>
          <w:w w:val="110"/>
        </w:rPr>
        <w:t>nidos</w:t>
      </w:r>
      <w:r>
        <w:rPr/>
        <w:t> </w:t>
      </w:r>
      <w:r>
        <w:rPr>
          <w:w w:val="105"/>
        </w:rPr>
        <w:t>y</w:t>
      </w:r>
      <w:r>
        <w:rPr/>
        <w:t> </w:t>
      </w:r>
      <w:r>
        <w:rPr>
          <w:w w:val="139"/>
        </w:rPr>
        <w:t>a</w:t>
      </w:r>
      <w:r>
        <w:rPr>
          <w:w w:val="111"/>
        </w:rPr>
        <w:t>mérica</w:t>
      </w:r>
      <w:r>
        <w:rPr/>
        <w:t> </w:t>
      </w:r>
      <w:r>
        <w:rPr>
          <w:w w:val="243"/>
        </w:rPr>
        <w:t>l</w:t>
      </w:r>
      <w:r>
        <w:rPr>
          <w:w w:val="111"/>
        </w:rPr>
        <w:t>atina</w:t>
      </w:r>
      <w:r>
        <w:rPr/>
        <w:t> </w:t>
      </w:r>
      <w:r>
        <w:rPr>
          <w:w w:val="105"/>
        </w:rPr>
        <w:t>y</w:t>
      </w:r>
      <w:r>
        <w:rPr/>
        <w:t> </w:t>
      </w:r>
      <w:r>
        <w:rPr>
          <w:w w:val="107"/>
        </w:rPr>
        <w:t>el</w:t>
      </w:r>
      <w:r>
        <w:rPr/>
        <w:t> </w:t>
      </w:r>
      <w:r>
        <w:rPr>
          <w:w w:val="114"/>
        </w:rPr>
        <w:t>Caribe, </w:t>
      </w:r>
      <w:r>
        <w:rPr>
          <w:w w:val="110"/>
        </w:rPr>
        <w:t>en el marco de la reciente crisis económica  global.</w:t>
      </w:r>
    </w:p>
    <w:p>
      <w:pPr>
        <w:pStyle w:val="BodyText"/>
        <w:spacing w:before="5"/>
      </w:pPr>
    </w:p>
    <w:p>
      <w:pPr>
        <w:pStyle w:val="Heading6"/>
        <w:spacing w:line="244" w:lineRule="auto"/>
        <w:ind w:left="330" w:right="1032"/>
        <w:jc w:val="left"/>
      </w:pPr>
      <w:r>
        <w:rPr>
          <w:w w:val="135"/>
        </w:rPr>
        <w:t>ciclo econóMico, HeGeMonÍa y dePendencia: </w:t>
      </w:r>
      <w:r>
        <w:rPr>
          <w:w w:val="88"/>
        </w:rPr>
        <w:t>“</w:t>
      </w:r>
      <w:r>
        <w:rPr>
          <w:w w:val="154"/>
        </w:rPr>
        <w:t>cicl</w:t>
      </w:r>
      <w:r>
        <w:rPr>
          <w:w w:val="131"/>
        </w:rPr>
        <w:t>o-</w:t>
      </w:r>
      <w:r>
        <w:rPr>
          <w:w w:val="134"/>
        </w:rPr>
        <w:t>sis</w:t>
      </w:r>
      <w:r>
        <w:rPr>
          <w:w w:val="153"/>
        </w:rPr>
        <w:t>te</w:t>
      </w:r>
      <w:r>
        <w:rPr>
          <w:w w:val="92"/>
        </w:rPr>
        <w:t>M</w:t>
      </w:r>
      <w:r>
        <w:rPr>
          <w:w w:val="129"/>
        </w:rPr>
        <w:t>a</w:t>
      </w:r>
      <w:r>
        <w:rPr>
          <w:w w:val="88"/>
        </w:rPr>
        <w:t>”</w:t>
      </w:r>
      <w:r>
        <w:rPr>
          <w:w w:val="104"/>
        </w:rPr>
        <w:t>,</w:t>
      </w:r>
      <w:r>
        <w:rPr/>
        <w:t> </w:t>
      </w:r>
      <w:r>
        <w:rPr>
          <w:w w:val="88"/>
        </w:rPr>
        <w:t>“</w:t>
      </w:r>
      <w:r>
        <w:rPr>
          <w:w w:val="140"/>
        </w:rPr>
        <w:t>ce</w:t>
      </w:r>
      <w:r>
        <w:rPr>
          <w:w w:val="128"/>
        </w:rPr>
        <w:t>n</w:t>
      </w:r>
      <w:r>
        <w:rPr>
          <w:w w:val="160"/>
        </w:rPr>
        <w:t>tr</w:t>
      </w:r>
      <w:r>
        <w:rPr>
          <w:w w:val="137"/>
        </w:rPr>
        <w:t>o-c</w:t>
      </w:r>
      <w:r>
        <w:rPr>
          <w:w w:val="92"/>
        </w:rPr>
        <w:t>Í</w:t>
      </w:r>
      <w:r>
        <w:rPr>
          <w:w w:val="168"/>
        </w:rPr>
        <w:t>cl</w:t>
      </w:r>
      <w:r>
        <w:rPr>
          <w:w w:val="142"/>
        </w:rPr>
        <w:t>ico</w:t>
      </w:r>
      <w:r>
        <w:rPr>
          <w:w w:val="88"/>
        </w:rPr>
        <w:t>”</w:t>
      </w:r>
      <w:r>
        <w:rPr>
          <w:w w:val="104"/>
        </w:rPr>
        <w:t>,</w:t>
      </w:r>
      <w:r>
        <w:rPr/>
        <w:t> </w:t>
      </w:r>
      <w:r>
        <w:rPr>
          <w:w w:val="88"/>
        </w:rPr>
        <w:t>“</w:t>
      </w:r>
      <w:r>
        <w:rPr>
          <w:w w:val="139"/>
        </w:rPr>
        <w:t>re</w:t>
      </w:r>
      <w:r>
        <w:rPr>
          <w:w w:val="201"/>
        </w:rPr>
        <w:t>l</w:t>
      </w:r>
      <w:r>
        <w:rPr>
          <w:w w:val="129"/>
        </w:rPr>
        <w:t>a</w:t>
      </w:r>
      <w:r>
        <w:rPr>
          <w:w w:val="137"/>
        </w:rPr>
        <w:t>cione</w:t>
      </w:r>
      <w:r>
        <w:rPr>
          <w:w w:val="136"/>
        </w:rPr>
        <w:t>s</w:t>
      </w:r>
      <w:r>
        <w:rPr/>
        <w:t> </w:t>
      </w:r>
      <w:r>
        <w:rPr>
          <w:w w:val="132"/>
        </w:rPr>
        <w:t>de </w:t>
      </w:r>
      <w:r>
        <w:rPr>
          <w:w w:val="135"/>
        </w:rPr>
        <w:t>difusión” y </w:t>
      </w:r>
      <w:r>
        <w:rPr>
          <w:w w:val="140"/>
        </w:rPr>
        <w:t>el </w:t>
      </w:r>
      <w:r>
        <w:rPr>
          <w:w w:val="135"/>
        </w:rPr>
        <w:t>nuevo contexto internacional</w:t>
      </w:r>
    </w:p>
    <w:p>
      <w:pPr>
        <w:spacing w:line="252" w:lineRule="auto" w:before="5"/>
        <w:ind w:left="330" w:right="118" w:firstLine="0"/>
        <w:jc w:val="both"/>
        <w:rPr>
          <w:sz w:val="19"/>
        </w:rPr>
      </w:pPr>
      <w:r>
        <w:rPr>
          <w:w w:val="243"/>
          <w:sz w:val="19"/>
        </w:rPr>
        <w:t>l</w:t>
      </w:r>
      <w:r>
        <w:rPr>
          <w:w w:val="112"/>
          <w:sz w:val="19"/>
        </w:rPr>
        <w:t>a</w:t>
      </w:r>
      <w:r>
        <w:rPr>
          <w:sz w:val="19"/>
        </w:rPr>
        <w:t> </w:t>
      </w:r>
      <w:r>
        <w:rPr>
          <w:spacing w:val="-11"/>
          <w:sz w:val="19"/>
        </w:rPr>
        <w:t> </w:t>
      </w:r>
      <w:r>
        <w:rPr>
          <w:w w:val="109"/>
          <w:sz w:val="19"/>
        </w:rPr>
        <w:t>interrelación</w:t>
      </w:r>
      <w:r>
        <w:rPr>
          <w:sz w:val="19"/>
        </w:rPr>
        <w:t> </w:t>
      </w:r>
      <w:r>
        <w:rPr>
          <w:spacing w:val="-11"/>
          <w:sz w:val="19"/>
        </w:rPr>
        <w:t> </w:t>
      </w:r>
      <w:r>
        <w:rPr>
          <w:w w:val="106"/>
          <w:sz w:val="19"/>
        </w:rPr>
        <w:t>entre</w:t>
      </w:r>
      <w:r>
        <w:rPr>
          <w:sz w:val="19"/>
        </w:rPr>
        <w:t> </w:t>
      </w:r>
      <w:r>
        <w:rPr>
          <w:spacing w:val="-11"/>
          <w:sz w:val="19"/>
        </w:rPr>
        <w:t> </w:t>
      </w:r>
      <w:r>
        <w:rPr>
          <w:w w:val="109"/>
          <w:sz w:val="19"/>
        </w:rPr>
        <w:t>las</w:t>
      </w:r>
      <w:r>
        <w:rPr>
          <w:sz w:val="19"/>
        </w:rPr>
        <w:t> </w:t>
      </w:r>
      <w:r>
        <w:rPr>
          <w:spacing w:val="-11"/>
          <w:sz w:val="19"/>
        </w:rPr>
        <w:t> </w:t>
      </w:r>
      <w:r>
        <w:rPr>
          <w:w w:val="110"/>
          <w:sz w:val="19"/>
        </w:rPr>
        <w:t>nociones</w:t>
      </w:r>
      <w:r>
        <w:rPr>
          <w:sz w:val="19"/>
        </w:rPr>
        <w:t> </w:t>
      </w:r>
      <w:r>
        <w:rPr>
          <w:spacing w:val="-11"/>
          <w:sz w:val="19"/>
        </w:rPr>
        <w:t> </w:t>
      </w:r>
      <w:r>
        <w:rPr>
          <w:w w:val="107"/>
          <w:sz w:val="19"/>
        </w:rPr>
        <w:t>de</w:t>
      </w:r>
      <w:r>
        <w:rPr>
          <w:sz w:val="19"/>
        </w:rPr>
        <w:t> </w:t>
      </w:r>
      <w:r>
        <w:rPr>
          <w:spacing w:val="-11"/>
          <w:sz w:val="19"/>
        </w:rPr>
        <w:t> </w:t>
      </w:r>
      <w:r>
        <w:rPr>
          <w:i/>
          <w:w w:val="112"/>
          <w:sz w:val="19"/>
        </w:rPr>
        <w:t>ciclo</w:t>
      </w:r>
      <w:r>
        <w:rPr>
          <w:i/>
          <w:sz w:val="19"/>
        </w:rPr>
        <w:t> </w:t>
      </w:r>
      <w:r>
        <w:rPr>
          <w:i/>
          <w:spacing w:val="-11"/>
          <w:sz w:val="19"/>
        </w:rPr>
        <w:t> </w:t>
      </w:r>
      <w:r>
        <w:rPr>
          <w:i/>
          <w:w w:val="112"/>
          <w:sz w:val="19"/>
        </w:rPr>
        <w:t>económico</w:t>
      </w:r>
      <w:r>
        <w:rPr>
          <w:w w:val="138"/>
          <w:sz w:val="19"/>
        </w:rPr>
        <w:t>,</w:t>
      </w:r>
      <w:r>
        <w:rPr>
          <w:sz w:val="19"/>
        </w:rPr>
        <w:t> </w:t>
      </w:r>
      <w:r>
        <w:rPr>
          <w:spacing w:val="-11"/>
          <w:sz w:val="19"/>
        </w:rPr>
        <w:t> </w:t>
      </w:r>
      <w:r>
        <w:rPr>
          <w:i/>
          <w:w w:val="108"/>
          <w:sz w:val="19"/>
        </w:rPr>
        <w:t>hegemonía</w:t>
      </w:r>
      <w:r>
        <w:rPr>
          <w:i/>
          <w:sz w:val="19"/>
        </w:rPr>
        <w:t> </w:t>
      </w:r>
      <w:r>
        <w:rPr>
          <w:i/>
          <w:spacing w:val="-11"/>
          <w:sz w:val="19"/>
        </w:rPr>
        <w:t> </w:t>
      </w:r>
      <w:r>
        <w:rPr>
          <w:w w:val="105"/>
          <w:sz w:val="19"/>
        </w:rPr>
        <w:t>y </w:t>
      </w:r>
      <w:r>
        <w:rPr>
          <w:i/>
          <w:w w:val="110"/>
          <w:sz w:val="19"/>
        </w:rPr>
        <w:t>dependencia </w:t>
      </w:r>
      <w:r>
        <w:rPr>
          <w:w w:val="110"/>
          <w:sz w:val="19"/>
        </w:rPr>
        <w:t>pueden ser articuladas a partir de tres conceptos funda- mentales desarrollados desde el pensamiento latinoamericano y ca- ribeño de la dependencia: </w:t>
      </w:r>
      <w:r>
        <w:rPr>
          <w:i/>
          <w:w w:val="110"/>
          <w:sz w:val="19"/>
        </w:rPr>
        <w:t>ciclo-sistema</w:t>
      </w:r>
      <w:r>
        <w:rPr>
          <w:w w:val="110"/>
          <w:sz w:val="19"/>
        </w:rPr>
        <w:t>, </w:t>
      </w:r>
      <w:r>
        <w:rPr>
          <w:i/>
          <w:w w:val="110"/>
          <w:sz w:val="19"/>
        </w:rPr>
        <w:t>centro-cíclico </w:t>
      </w:r>
      <w:r>
        <w:rPr>
          <w:w w:val="110"/>
          <w:sz w:val="19"/>
        </w:rPr>
        <w:t>y </w:t>
      </w:r>
      <w:r>
        <w:rPr>
          <w:i/>
          <w:w w:val="110"/>
          <w:sz w:val="19"/>
        </w:rPr>
        <w:t>relaciones de </w:t>
      </w:r>
      <w:r>
        <w:rPr>
          <w:i/>
          <w:w w:val="110"/>
          <w:sz w:val="19"/>
        </w:rPr>
        <w:t>difusión</w:t>
      </w:r>
      <w:r>
        <w:rPr>
          <w:w w:val="110"/>
          <w:sz w:val="19"/>
        </w:rPr>
        <w:t>. En particular, una mirada desde el prisma actual a la no-   ción de </w:t>
      </w:r>
      <w:r>
        <w:rPr>
          <w:i/>
          <w:w w:val="110"/>
          <w:sz w:val="19"/>
        </w:rPr>
        <w:t>ciclo-sistema </w:t>
      </w:r>
      <w:r>
        <w:rPr>
          <w:w w:val="110"/>
          <w:sz w:val="19"/>
        </w:rPr>
        <w:t>desarrollada por raúl Prebisch, constituye un elemento clave para entender la evolución de las dicotomías </w:t>
      </w:r>
      <w:r>
        <w:rPr>
          <w:i/>
          <w:w w:val="110"/>
          <w:sz w:val="19"/>
        </w:rPr>
        <w:t>centro- </w:t>
      </w:r>
      <w:r>
        <w:rPr>
          <w:i/>
          <w:w w:val="105"/>
          <w:sz w:val="19"/>
        </w:rPr>
        <w:t>periferia  </w:t>
      </w:r>
      <w:r>
        <w:rPr>
          <w:w w:val="105"/>
          <w:sz w:val="19"/>
        </w:rPr>
        <w:t>y</w:t>
      </w:r>
      <w:r>
        <w:rPr>
          <w:spacing w:val="38"/>
          <w:w w:val="105"/>
          <w:sz w:val="19"/>
        </w:rPr>
        <w:t> </w:t>
      </w:r>
      <w:r>
        <w:rPr>
          <w:i/>
          <w:w w:val="105"/>
          <w:sz w:val="19"/>
        </w:rPr>
        <w:t>desarrollo-subdesarrollo</w:t>
      </w:r>
      <w:r>
        <w:rPr>
          <w:w w:val="105"/>
          <w:sz w:val="19"/>
        </w:rPr>
        <w:t>.</w:t>
      </w:r>
    </w:p>
    <w:p>
      <w:pPr>
        <w:pStyle w:val="BodyText"/>
        <w:spacing w:line="252" w:lineRule="auto"/>
        <w:ind w:left="330" w:right="117" w:firstLine="396"/>
        <w:jc w:val="both"/>
      </w:pPr>
      <w:r>
        <w:rPr>
          <w:w w:val="110"/>
        </w:rPr>
        <w:t>Prebisch, al proponer una mirada sistémica al ciclo económico, realiza  un  aporte  significativo  sobre  este  tema,  contextualizado en</w:t>
      </w:r>
    </w:p>
    <w:p>
      <w:pPr>
        <w:spacing w:after="0" w:line="252" w:lineRule="auto"/>
        <w:jc w:val="both"/>
        <w:sectPr>
          <w:headerReference w:type="even" r:id="rId535"/>
          <w:headerReference w:type="default" r:id="rId536"/>
          <w:footerReference w:type="even" r:id="rId537"/>
          <w:footerReference w:type="default" r:id="rId538"/>
          <w:pgSz w:w="8790" w:h="12760"/>
          <w:pgMar w:header="697" w:footer="725" w:top="880" w:bottom="920" w:left="1200" w:right="900"/>
          <w:pgNumType w:start="412"/>
        </w:sectPr>
      </w:pPr>
    </w:p>
    <w:p>
      <w:pPr>
        <w:pStyle w:val="BodyText"/>
        <w:spacing w:before="9"/>
        <w:rPr>
          <w:sz w:val="28"/>
        </w:rPr>
      </w:pPr>
    </w:p>
    <w:p>
      <w:pPr>
        <w:pStyle w:val="BodyText"/>
        <w:spacing w:line="252" w:lineRule="auto" w:before="73"/>
        <w:ind w:left="120" w:right="328"/>
        <w:jc w:val="both"/>
      </w:pPr>
      <w:r>
        <w:rPr>
          <w:w w:val="139"/>
        </w:rPr>
        <w:t>a</w:t>
      </w:r>
      <w:r>
        <w:rPr>
          <w:w w:val="111"/>
        </w:rPr>
        <w:t>mérica</w:t>
      </w:r>
      <w:r>
        <w:rPr/>
        <w:t>  </w:t>
      </w:r>
      <w:r>
        <w:rPr>
          <w:w w:val="243"/>
        </w:rPr>
        <w:t>l</w:t>
      </w:r>
      <w:r>
        <w:rPr>
          <w:w w:val="113"/>
        </w:rPr>
        <w:t>atina.</w:t>
      </w:r>
      <w:r>
        <w:rPr/>
        <w:t>  </w:t>
      </w:r>
      <w:r>
        <w:rPr>
          <w:w w:val="243"/>
        </w:rPr>
        <w:t>l</w:t>
      </w:r>
      <w:r>
        <w:rPr>
          <w:w w:val="108"/>
        </w:rPr>
        <w:t>os</w:t>
      </w:r>
      <w:r>
        <w:rPr/>
        <w:t>  </w:t>
      </w:r>
      <w:r>
        <w:rPr>
          <w:w w:val="110"/>
        </w:rPr>
        <w:t>fundamentos</w:t>
      </w:r>
      <w:r>
        <w:rPr/>
        <w:t>  </w:t>
      </w:r>
      <w:r>
        <w:rPr>
          <w:w w:val="107"/>
        </w:rPr>
        <w:t>de</w:t>
      </w:r>
      <w:r>
        <w:rPr/>
        <w:t>  </w:t>
      </w:r>
      <w:r>
        <w:rPr>
          <w:w w:val="109"/>
        </w:rPr>
        <w:t>su</w:t>
      </w:r>
      <w:r>
        <w:rPr/>
        <w:t>  </w:t>
      </w:r>
      <w:r>
        <w:rPr>
          <w:w w:val="109"/>
        </w:rPr>
        <w:t>pensamiento</w:t>
      </w:r>
      <w:r>
        <w:rPr/>
        <w:t>  </w:t>
      </w:r>
      <w:r>
        <w:rPr>
          <w:w w:val="110"/>
        </w:rPr>
        <w:t>identificaban </w:t>
      </w:r>
      <w:r>
        <w:rPr>
          <w:w w:val="110"/>
        </w:rPr>
        <w:t>“la naturaleza común del centro y periferia del ciclo como un fenóme- no unificado”, entendiendo el ciclo económico latinoamericano como parte de un </w:t>
      </w:r>
      <w:r>
        <w:rPr>
          <w:i/>
          <w:w w:val="110"/>
        </w:rPr>
        <w:t>ciclo más genérico </w:t>
      </w:r>
      <w:r>
        <w:rPr>
          <w:w w:val="110"/>
        </w:rPr>
        <w:t>de auge y colapso (Pérez y Vernego, 2012). de esta manera, este autor desestima los estudios de casos ais- lados y estimula un análisis del ciclo desde una mirada integradora, que retoma su auge especialmente en el contexto actual de elevada interconexión de la economía  global.</w:t>
      </w:r>
    </w:p>
    <w:p>
      <w:pPr>
        <w:pStyle w:val="BodyText"/>
        <w:spacing w:line="252" w:lineRule="auto"/>
        <w:ind w:left="120" w:right="328" w:firstLine="396"/>
        <w:jc w:val="both"/>
      </w:pPr>
      <w:r>
        <w:rPr>
          <w:w w:val="110"/>
        </w:rPr>
        <w:t>Para Prebisch, “El ciclo económico […] formaba parte de un úni- co proceso global y no era un fenómeno aislado que ocurría en un determinado país, cuyos impulsos desencadenados por el centro cí- clico –primero Gran bretaña y luego Estados unidos– se transmitían </w:t>
      </w:r>
      <w:r>
        <w:rPr>
          <w:w w:val="112"/>
        </w:rPr>
        <w:t>a</w:t>
      </w:r>
      <w:r>
        <w:rPr>
          <w:spacing w:val="14"/>
        </w:rPr>
        <w:t> </w:t>
      </w:r>
      <w:r>
        <w:rPr>
          <w:w w:val="108"/>
        </w:rPr>
        <w:t>los</w:t>
      </w:r>
      <w:r>
        <w:rPr>
          <w:spacing w:val="14"/>
        </w:rPr>
        <w:t> </w:t>
      </w:r>
      <w:r>
        <w:rPr>
          <w:w w:val="108"/>
        </w:rPr>
        <w:t>países</w:t>
      </w:r>
      <w:r>
        <w:rPr>
          <w:spacing w:val="14"/>
        </w:rPr>
        <w:t> </w:t>
      </w:r>
      <w:r>
        <w:rPr>
          <w:w w:val="107"/>
        </w:rPr>
        <w:t>de</w:t>
      </w:r>
      <w:r>
        <w:rPr>
          <w:spacing w:val="14"/>
        </w:rPr>
        <w:t> </w:t>
      </w:r>
      <w:r>
        <w:rPr>
          <w:w w:val="111"/>
        </w:rPr>
        <w:t>la</w:t>
      </w:r>
      <w:r>
        <w:rPr>
          <w:spacing w:val="14"/>
        </w:rPr>
        <w:t> </w:t>
      </w:r>
      <w:r>
        <w:rPr>
          <w:w w:val="109"/>
        </w:rPr>
        <w:t>periferia”</w:t>
      </w:r>
      <w:r>
        <w:rPr>
          <w:spacing w:val="14"/>
        </w:rPr>
        <w:t> </w:t>
      </w:r>
      <w:r>
        <w:rPr>
          <w:w w:val="110"/>
        </w:rPr>
        <w:t>(incluidos</w:t>
      </w:r>
      <w:r>
        <w:rPr>
          <w:spacing w:val="14"/>
        </w:rPr>
        <w:t> </w:t>
      </w:r>
      <w:r>
        <w:rPr>
          <w:w w:val="108"/>
        </w:rPr>
        <w:t>los</w:t>
      </w:r>
      <w:r>
        <w:rPr>
          <w:spacing w:val="14"/>
        </w:rPr>
        <w:t> </w:t>
      </w:r>
      <w:r>
        <w:rPr>
          <w:w w:val="107"/>
        </w:rPr>
        <w:t>de</w:t>
      </w:r>
      <w:r>
        <w:rPr>
          <w:spacing w:val="14"/>
        </w:rPr>
        <w:t> </w:t>
      </w:r>
      <w:r>
        <w:rPr>
          <w:w w:val="139"/>
        </w:rPr>
        <w:t>a</w:t>
      </w:r>
      <w:r>
        <w:rPr>
          <w:w w:val="111"/>
        </w:rPr>
        <w:t>mérica</w:t>
      </w:r>
      <w:r>
        <w:rPr>
          <w:spacing w:val="14"/>
        </w:rPr>
        <w:t> </w:t>
      </w:r>
      <w:r>
        <w:rPr>
          <w:w w:val="243"/>
        </w:rPr>
        <w:t>l</w:t>
      </w:r>
      <w:r>
        <w:rPr>
          <w:w w:val="111"/>
        </w:rPr>
        <w:t>atina).</w:t>
      </w:r>
      <w:r>
        <w:rPr>
          <w:spacing w:val="14"/>
        </w:rPr>
        <w:t> </w:t>
      </w:r>
      <w:r>
        <w:rPr>
          <w:w w:val="139"/>
        </w:rPr>
        <w:t>d</w:t>
      </w:r>
      <w:r>
        <w:rPr>
          <w:w w:val="104"/>
        </w:rPr>
        <w:t>e</w:t>
      </w:r>
      <w:r>
        <w:rPr>
          <w:spacing w:val="14"/>
        </w:rPr>
        <w:t> </w:t>
      </w:r>
      <w:r>
        <w:rPr>
          <w:w w:val="107"/>
        </w:rPr>
        <w:t>esta </w:t>
      </w:r>
      <w:r>
        <w:rPr>
          <w:w w:val="110"/>
        </w:rPr>
        <w:t>manera, la noción de </w:t>
      </w:r>
      <w:r>
        <w:rPr>
          <w:i/>
          <w:w w:val="110"/>
        </w:rPr>
        <w:t>ciclo-sistema </w:t>
      </w:r>
      <w:r>
        <w:rPr>
          <w:w w:val="110"/>
        </w:rPr>
        <w:t>intenta dar cuenta de las interco- nexiones entre las características propias de un país y las manifesta- ciones del funcionamiento de un proceso global, de un ciclo universal. Este ciclo universal era desencadenado por los países desarrollados y más específicamente por lo que Prebisch denominó el </w:t>
      </w:r>
      <w:r>
        <w:rPr>
          <w:i/>
          <w:w w:val="110"/>
        </w:rPr>
        <w:t>centro- cíclico</w:t>
      </w:r>
      <w:r>
        <w:rPr>
          <w:w w:val="110"/>
        </w:rPr>
        <w:t>, en referencia al país o grupo de países que por su importancia eco- nómica, sus movimientos repercuten en el resto del mundo. Prebisch identificaba el impulso de los ciclos, sus fases y puntos de inflexión en la influencia de factores externos, entre los que incluía las condiciones de liquidez internacional y los mercados internacionales, pues asumía que no existían elementos internos con fuerza suficiente para promo- ver por sí mismos movimientos ondulatorios de gran magnitud</w:t>
      </w:r>
      <w:r>
        <w:rPr>
          <w:spacing w:val="-12"/>
          <w:w w:val="110"/>
        </w:rPr>
        <w:t> </w:t>
      </w:r>
      <w:r>
        <w:rPr>
          <w:w w:val="110"/>
        </w:rPr>
        <w:t>(Pérez y Vernego,</w:t>
      </w:r>
      <w:r>
        <w:rPr>
          <w:spacing w:val="-22"/>
          <w:w w:val="110"/>
        </w:rPr>
        <w:t> </w:t>
      </w:r>
      <w:r>
        <w:rPr>
          <w:w w:val="110"/>
        </w:rPr>
        <w:t>2012).</w:t>
      </w:r>
    </w:p>
    <w:p>
      <w:pPr>
        <w:pStyle w:val="BodyText"/>
        <w:spacing w:line="252" w:lineRule="auto"/>
        <w:ind w:left="120" w:right="328" w:firstLine="397"/>
        <w:jc w:val="both"/>
      </w:pPr>
      <w:r>
        <w:rPr>
          <w:w w:val="139"/>
        </w:rPr>
        <w:t>a</w:t>
      </w:r>
      <w:r>
        <w:rPr>
          <w:w w:val="111"/>
        </w:rPr>
        <w:t>mérica</w:t>
      </w:r>
      <w:r>
        <w:rPr>
          <w:spacing w:val="2"/>
        </w:rPr>
        <w:t> </w:t>
      </w:r>
      <w:r>
        <w:rPr>
          <w:w w:val="243"/>
        </w:rPr>
        <w:t>l</w:t>
      </w:r>
      <w:r>
        <w:rPr>
          <w:w w:val="113"/>
        </w:rPr>
        <w:t>atina,</w:t>
      </w:r>
      <w:r>
        <w:rPr>
          <w:spacing w:val="2"/>
        </w:rPr>
        <w:t> </w:t>
      </w:r>
      <w:r>
        <w:rPr>
          <w:w w:val="106"/>
        </w:rPr>
        <w:t>desde</w:t>
      </w:r>
      <w:r>
        <w:rPr>
          <w:spacing w:val="2"/>
        </w:rPr>
        <w:t> </w:t>
      </w:r>
      <w:r>
        <w:rPr>
          <w:w w:val="109"/>
        </w:rPr>
        <w:t>su</w:t>
      </w:r>
      <w:r>
        <w:rPr>
          <w:spacing w:val="2"/>
        </w:rPr>
        <w:t> </w:t>
      </w:r>
      <w:r>
        <w:rPr>
          <w:w w:val="109"/>
        </w:rPr>
        <w:t>perspectiva,</w:t>
      </w:r>
      <w:r>
        <w:rPr>
          <w:spacing w:val="2"/>
        </w:rPr>
        <w:t> </w:t>
      </w:r>
      <w:r>
        <w:rPr>
          <w:w w:val="108"/>
        </w:rPr>
        <w:t>estaba</w:t>
      </w:r>
      <w:r>
        <w:rPr>
          <w:spacing w:val="2"/>
        </w:rPr>
        <w:t> </w:t>
      </w:r>
      <w:r>
        <w:rPr>
          <w:w w:val="109"/>
        </w:rPr>
        <w:t>sujeta</w:t>
      </w:r>
      <w:r>
        <w:rPr>
          <w:spacing w:val="2"/>
        </w:rPr>
        <w:t> </w:t>
      </w:r>
      <w:r>
        <w:rPr>
          <w:w w:val="112"/>
        </w:rPr>
        <w:t>a</w:t>
      </w:r>
      <w:r>
        <w:rPr>
          <w:spacing w:val="2"/>
        </w:rPr>
        <w:t> </w:t>
      </w:r>
      <w:r>
        <w:rPr>
          <w:w w:val="111"/>
        </w:rPr>
        <w:t>la</w:t>
      </w:r>
      <w:r>
        <w:rPr>
          <w:spacing w:val="2"/>
        </w:rPr>
        <w:t> </w:t>
      </w:r>
      <w:r>
        <w:rPr>
          <w:w w:val="111"/>
        </w:rPr>
        <w:t>influencia </w:t>
      </w:r>
      <w:r>
        <w:rPr>
          <w:w w:val="110"/>
        </w:rPr>
        <w:t>de los impulsos del </w:t>
      </w:r>
      <w:r>
        <w:rPr>
          <w:i/>
          <w:w w:val="110"/>
        </w:rPr>
        <w:t>sistema centro-periferia</w:t>
      </w:r>
      <w:r>
        <w:rPr>
          <w:w w:val="110"/>
        </w:rPr>
        <w:t>, en el cual Estados uni- dos, por su doble condición de hegemón hemisférico y mundial era considerado el </w:t>
      </w:r>
      <w:r>
        <w:rPr>
          <w:i/>
          <w:w w:val="110"/>
        </w:rPr>
        <w:t>centro-cíclico. </w:t>
      </w:r>
      <w:r>
        <w:rPr>
          <w:w w:val="110"/>
        </w:rPr>
        <w:t>En este sentido expresaba</w:t>
      </w:r>
      <w:r>
        <w:rPr>
          <w:w w:val="110"/>
          <w:position w:val="6"/>
          <w:sz w:val="11"/>
        </w:rPr>
        <w:t>3</w:t>
      </w:r>
      <w:r>
        <w:rPr>
          <w:w w:val="110"/>
        </w:rPr>
        <w:t>: “¿Por qué llamo centro cíclico a los Estados unidos? Porque de ese país, dadas  su magnitud y sus características económicas, parten los impulsos de expansión y contracción en la vida económica y especialmente en la periferia latinoamericana, cuyos países están sujetos a la influencia  de esos impulsos, como lo habían estado antes cuando Gran bretaña tenía el papel de centro cíclico principal” (Prebisch, 1993:</w:t>
      </w:r>
      <w:r>
        <w:rPr>
          <w:spacing w:val="39"/>
          <w:w w:val="110"/>
        </w:rPr>
        <w:t> </w:t>
      </w:r>
      <w:r>
        <w:rPr>
          <w:w w:val="110"/>
        </w:rPr>
        <w:t>224).</w:t>
      </w:r>
    </w:p>
    <w:p>
      <w:pPr>
        <w:pStyle w:val="BodyText"/>
        <w:spacing w:line="252" w:lineRule="auto"/>
        <w:ind w:left="120" w:right="328" w:firstLine="396"/>
        <w:jc w:val="both"/>
      </w:pPr>
      <w:r>
        <w:rPr>
          <w:w w:val="243"/>
        </w:rPr>
        <w:t>l</w:t>
      </w:r>
      <w:r>
        <w:rPr>
          <w:w w:val="112"/>
        </w:rPr>
        <w:t>a</w:t>
      </w:r>
      <w:r>
        <w:rPr>
          <w:spacing w:val="17"/>
        </w:rPr>
        <w:t> </w:t>
      </w:r>
      <w:r>
        <w:rPr>
          <w:w w:val="110"/>
        </w:rPr>
        <w:t>identificación</w:t>
      </w:r>
      <w:r>
        <w:rPr>
          <w:spacing w:val="17"/>
        </w:rPr>
        <w:t> </w:t>
      </w:r>
      <w:r>
        <w:rPr>
          <w:w w:val="107"/>
        </w:rPr>
        <w:t>del</w:t>
      </w:r>
      <w:r>
        <w:rPr>
          <w:spacing w:val="17"/>
        </w:rPr>
        <w:t> </w:t>
      </w:r>
      <w:r>
        <w:rPr>
          <w:w w:val="111"/>
        </w:rPr>
        <w:t>llamado</w:t>
      </w:r>
      <w:r>
        <w:rPr>
          <w:spacing w:val="17"/>
        </w:rPr>
        <w:t> </w:t>
      </w:r>
      <w:r>
        <w:rPr>
          <w:i/>
          <w:w w:val="110"/>
        </w:rPr>
        <w:t>centro-cíclico</w:t>
      </w:r>
      <w:r>
        <w:rPr>
          <w:i/>
          <w:spacing w:val="17"/>
        </w:rPr>
        <w:t> </w:t>
      </w:r>
      <w:r>
        <w:rPr>
          <w:w w:val="112"/>
        </w:rPr>
        <w:t>como</w:t>
      </w:r>
      <w:r>
        <w:rPr>
          <w:spacing w:val="17"/>
        </w:rPr>
        <w:t> </w:t>
      </w:r>
      <w:r>
        <w:rPr>
          <w:w w:val="110"/>
        </w:rPr>
        <w:t>punto</w:t>
      </w:r>
      <w:r>
        <w:rPr>
          <w:spacing w:val="17"/>
        </w:rPr>
        <w:t> </w:t>
      </w:r>
      <w:r>
        <w:rPr>
          <w:w w:val="107"/>
        </w:rPr>
        <w:t>de</w:t>
      </w:r>
      <w:r>
        <w:rPr>
          <w:spacing w:val="17"/>
        </w:rPr>
        <w:t> </w:t>
      </w:r>
      <w:r>
        <w:rPr>
          <w:w w:val="109"/>
        </w:rPr>
        <w:t>parti</w:t>
      </w:r>
      <w:r>
        <w:rPr>
          <w:w w:val="102"/>
        </w:rPr>
        <w:t>- </w:t>
      </w:r>
      <w:r>
        <w:rPr>
          <w:w w:val="115"/>
        </w:rPr>
        <w:t>da</w:t>
      </w:r>
      <w:r>
        <w:rPr>
          <w:spacing w:val="-17"/>
          <w:w w:val="115"/>
        </w:rPr>
        <w:t> </w:t>
      </w:r>
      <w:r>
        <w:rPr>
          <w:w w:val="115"/>
        </w:rPr>
        <w:t>fundamental</w:t>
      </w:r>
      <w:r>
        <w:rPr>
          <w:spacing w:val="-17"/>
          <w:w w:val="115"/>
        </w:rPr>
        <w:t> </w:t>
      </w:r>
      <w:r>
        <w:rPr>
          <w:w w:val="115"/>
        </w:rPr>
        <w:t>desde</w:t>
      </w:r>
      <w:r>
        <w:rPr>
          <w:spacing w:val="-17"/>
          <w:w w:val="115"/>
        </w:rPr>
        <w:t> </w:t>
      </w:r>
      <w:r>
        <w:rPr>
          <w:w w:val="115"/>
        </w:rPr>
        <w:t>el</w:t>
      </w:r>
      <w:r>
        <w:rPr>
          <w:spacing w:val="-17"/>
          <w:w w:val="115"/>
        </w:rPr>
        <w:t> </w:t>
      </w:r>
      <w:r>
        <w:rPr>
          <w:w w:val="115"/>
        </w:rPr>
        <w:t>cual</w:t>
      </w:r>
      <w:r>
        <w:rPr>
          <w:spacing w:val="-17"/>
          <w:w w:val="115"/>
        </w:rPr>
        <w:t> </w:t>
      </w:r>
      <w:r>
        <w:rPr>
          <w:w w:val="115"/>
        </w:rPr>
        <w:t>se</w:t>
      </w:r>
      <w:r>
        <w:rPr>
          <w:spacing w:val="-17"/>
          <w:w w:val="115"/>
        </w:rPr>
        <w:t> </w:t>
      </w:r>
      <w:r>
        <w:rPr>
          <w:w w:val="115"/>
        </w:rPr>
        <w:t>generan</w:t>
      </w:r>
      <w:r>
        <w:rPr>
          <w:spacing w:val="-17"/>
          <w:w w:val="115"/>
        </w:rPr>
        <w:t> </w:t>
      </w:r>
      <w:r>
        <w:rPr>
          <w:w w:val="115"/>
        </w:rPr>
        <w:t>los</w:t>
      </w:r>
      <w:r>
        <w:rPr>
          <w:spacing w:val="-17"/>
          <w:w w:val="115"/>
        </w:rPr>
        <w:t> </w:t>
      </w:r>
      <w:r>
        <w:rPr>
          <w:w w:val="115"/>
        </w:rPr>
        <w:t>impulsos,</w:t>
      </w:r>
      <w:r>
        <w:rPr>
          <w:spacing w:val="-17"/>
          <w:w w:val="115"/>
        </w:rPr>
        <w:t> </w:t>
      </w:r>
      <w:r>
        <w:rPr>
          <w:w w:val="115"/>
        </w:rPr>
        <w:t>se</w:t>
      </w:r>
      <w:r>
        <w:rPr>
          <w:spacing w:val="-17"/>
          <w:w w:val="115"/>
        </w:rPr>
        <w:t> </w:t>
      </w:r>
      <w:r>
        <w:rPr>
          <w:w w:val="115"/>
        </w:rPr>
        <w:t>conecta</w:t>
      </w:r>
      <w:r>
        <w:rPr>
          <w:spacing w:val="-17"/>
          <w:w w:val="115"/>
        </w:rPr>
        <w:t> </w:t>
      </w:r>
      <w:r>
        <w:rPr>
          <w:w w:val="115"/>
        </w:rPr>
        <w:t>con</w:t>
      </w:r>
    </w:p>
    <w:p>
      <w:pPr>
        <w:pStyle w:val="BodyText"/>
        <w:spacing w:before="10"/>
        <w:rPr>
          <w:sz w:val="26"/>
        </w:rPr>
      </w:pPr>
      <w:r>
        <w:rPr/>
        <w:pict>
          <v:line style="position:absolute;mso-position-horizontal-relative:page;mso-position-vertical-relative:paragraph;z-index:8392;mso-wrap-distance-left:0;mso-wrap-distance-right:0" from="51.023602pt,17.958233pt" to="79.369602pt,17.958233pt" stroked="true" strokeweight=".5pt" strokecolor="#000000">
            <w10:wrap type="topAndBottom"/>
          </v:line>
        </w:pict>
      </w:r>
    </w:p>
    <w:p>
      <w:pPr>
        <w:pStyle w:val="ListParagraph"/>
        <w:numPr>
          <w:ilvl w:val="0"/>
          <w:numId w:val="35"/>
        </w:numPr>
        <w:tabs>
          <w:tab w:pos="376" w:val="left" w:leader="none"/>
        </w:tabs>
        <w:spacing w:line="242" w:lineRule="auto" w:before="89" w:after="0"/>
        <w:ind w:left="120" w:right="327" w:firstLine="0"/>
        <w:jc w:val="both"/>
        <w:rPr>
          <w:sz w:val="16"/>
        </w:rPr>
      </w:pPr>
      <w:r>
        <w:rPr>
          <w:spacing w:val="1"/>
          <w:w w:val="108"/>
          <w:sz w:val="16"/>
        </w:rPr>
        <w:t>Prebisc</w:t>
      </w:r>
      <w:r>
        <w:rPr>
          <w:w w:val="108"/>
          <w:sz w:val="16"/>
        </w:rPr>
        <w:t>h</w:t>
      </w:r>
      <w:r>
        <w:rPr>
          <w:sz w:val="16"/>
        </w:rPr>
        <w:t> </w:t>
      </w:r>
      <w:r>
        <w:rPr>
          <w:spacing w:val="-16"/>
          <w:sz w:val="16"/>
        </w:rPr>
        <w:t> </w:t>
      </w:r>
      <w:r>
        <w:rPr>
          <w:spacing w:val="1"/>
          <w:w w:val="108"/>
          <w:sz w:val="16"/>
        </w:rPr>
        <w:t>tambié</w:t>
      </w:r>
      <w:r>
        <w:rPr>
          <w:w w:val="108"/>
          <w:sz w:val="16"/>
        </w:rPr>
        <w:t>n</w:t>
      </w:r>
      <w:r>
        <w:rPr>
          <w:sz w:val="16"/>
        </w:rPr>
        <w:t> </w:t>
      </w:r>
      <w:r>
        <w:rPr>
          <w:spacing w:val="-16"/>
          <w:sz w:val="16"/>
        </w:rPr>
        <w:t> </w:t>
      </w:r>
      <w:r>
        <w:rPr>
          <w:spacing w:val="1"/>
          <w:w w:val="108"/>
          <w:sz w:val="16"/>
        </w:rPr>
        <w:t>reconocí</w:t>
      </w:r>
      <w:r>
        <w:rPr>
          <w:w w:val="108"/>
          <w:sz w:val="16"/>
        </w:rPr>
        <w:t>a</w:t>
      </w:r>
      <w:r>
        <w:rPr>
          <w:sz w:val="16"/>
        </w:rPr>
        <w:t> </w:t>
      </w:r>
      <w:r>
        <w:rPr>
          <w:spacing w:val="-16"/>
          <w:sz w:val="16"/>
        </w:rPr>
        <w:t> </w:t>
      </w:r>
      <w:r>
        <w:rPr>
          <w:spacing w:val="1"/>
          <w:w w:val="106"/>
          <w:sz w:val="16"/>
        </w:rPr>
        <w:t>qu</w:t>
      </w:r>
      <w:r>
        <w:rPr>
          <w:w w:val="106"/>
          <w:sz w:val="16"/>
        </w:rPr>
        <w:t>e</w:t>
      </w:r>
      <w:r>
        <w:rPr>
          <w:sz w:val="16"/>
        </w:rPr>
        <w:t> </w:t>
      </w:r>
      <w:r>
        <w:rPr>
          <w:spacing w:val="-16"/>
          <w:sz w:val="16"/>
        </w:rPr>
        <w:t> </w:t>
      </w:r>
      <w:r>
        <w:rPr>
          <w:spacing w:val="1"/>
          <w:w w:val="113"/>
          <w:sz w:val="16"/>
        </w:rPr>
        <w:t>“</w:t>
      </w:r>
      <w:r>
        <w:rPr>
          <w:spacing w:val="1"/>
          <w:w w:val="238"/>
          <w:sz w:val="16"/>
        </w:rPr>
        <w:t>l</w:t>
      </w:r>
      <w:r>
        <w:rPr>
          <w:spacing w:val="1"/>
          <w:w w:val="105"/>
          <w:sz w:val="16"/>
        </w:rPr>
        <w:t>o</w:t>
      </w:r>
      <w:r>
        <w:rPr>
          <w:w w:val="105"/>
          <w:sz w:val="16"/>
        </w:rPr>
        <w:t>s</w:t>
      </w:r>
      <w:r>
        <w:rPr>
          <w:sz w:val="16"/>
        </w:rPr>
        <w:t> </w:t>
      </w:r>
      <w:r>
        <w:rPr>
          <w:spacing w:val="-16"/>
          <w:sz w:val="16"/>
        </w:rPr>
        <w:t> </w:t>
      </w:r>
      <w:r>
        <w:rPr>
          <w:spacing w:val="1"/>
          <w:w w:val="109"/>
          <w:sz w:val="16"/>
        </w:rPr>
        <w:t>Estado</w:t>
      </w:r>
      <w:r>
        <w:rPr>
          <w:w w:val="109"/>
          <w:sz w:val="16"/>
        </w:rPr>
        <w:t>s</w:t>
      </w:r>
      <w:r>
        <w:rPr>
          <w:sz w:val="16"/>
        </w:rPr>
        <w:t> </w:t>
      </w:r>
      <w:r>
        <w:rPr>
          <w:spacing w:val="-16"/>
          <w:sz w:val="16"/>
        </w:rPr>
        <w:t> </w:t>
      </w:r>
      <w:r>
        <w:rPr>
          <w:spacing w:val="1"/>
          <w:w w:val="137"/>
          <w:sz w:val="16"/>
        </w:rPr>
        <w:t>u</w:t>
      </w:r>
      <w:r>
        <w:rPr>
          <w:spacing w:val="1"/>
          <w:w w:val="107"/>
          <w:sz w:val="16"/>
        </w:rPr>
        <w:t>nido</w:t>
      </w:r>
      <w:r>
        <w:rPr>
          <w:w w:val="107"/>
          <w:sz w:val="16"/>
        </w:rPr>
        <w:t>s</w:t>
      </w:r>
      <w:r>
        <w:rPr>
          <w:sz w:val="16"/>
        </w:rPr>
        <w:t> </w:t>
      </w:r>
      <w:r>
        <w:rPr>
          <w:spacing w:val="-16"/>
          <w:sz w:val="16"/>
        </w:rPr>
        <w:t> </w:t>
      </w:r>
      <w:r>
        <w:rPr>
          <w:spacing w:val="1"/>
          <w:w w:val="119"/>
          <w:sz w:val="16"/>
        </w:rPr>
        <w:t>[…</w:t>
      </w:r>
      <w:r>
        <w:rPr>
          <w:w w:val="119"/>
          <w:sz w:val="16"/>
        </w:rPr>
        <w:t>]</w:t>
      </w:r>
      <w:r>
        <w:rPr>
          <w:sz w:val="16"/>
        </w:rPr>
        <w:t> </w:t>
      </w:r>
      <w:r>
        <w:rPr>
          <w:spacing w:val="-16"/>
          <w:sz w:val="16"/>
        </w:rPr>
        <w:t> </w:t>
      </w:r>
      <w:r>
        <w:rPr>
          <w:spacing w:val="1"/>
          <w:w w:val="106"/>
          <w:sz w:val="16"/>
        </w:rPr>
        <w:t>desempeña</w:t>
      </w:r>
      <w:r>
        <w:rPr>
          <w:w w:val="106"/>
          <w:sz w:val="16"/>
        </w:rPr>
        <w:t>n</w:t>
      </w:r>
      <w:r>
        <w:rPr>
          <w:sz w:val="16"/>
        </w:rPr>
        <w:t> </w:t>
      </w:r>
      <w:r>
        <w:rPr>
          <w:spacing w:val="-16"/>
          <w:sz w:val="16"/>
        </w:rPr>
        <w:t> </w:t>
      </w:r>
      <w:r>
        <w:rPr>
          <w:spacing w:val="1"/>
          <w:w w:val="108"/>
          <w:sz w:val="16"/>
        </w:rPr>
        <w:t>activa</w:t>
      </w:r>
      <w:r>
        <w:rPr>
          <w:w w:val="100"/>
          <w:sz w:val="16"/>
        </w:rPr>
        <w:t>- </w:t>
      </w:r>
      <w:r>
        <w:rPr>
          <w:w w:val="115"/>
          <w:sz w:val="16"/>
        </w:rPr>
        <w:t>mente</w:t>
      </w:r>
      <w:r>
        <w:rPr>
          <w:spacing w:val="-19"/>
          <w:w w:val="115"/>
          <w:sz w:val="16"/>
        </w:rPr>
        <w:t> </w:t>
      </w:r>
      <w:r>
        <w:rPr>
          <w:w w:val="115"/>
          <w:sz w:val="16"/>
        </w:rPr>
        <w:t>el</w:t>
      </w:r>
      <w:r>
        <w:rPr>
          <w:spacing w:val="-19"/>
          <w:w w:val="115"/>
          <w:sz w:val="16"/>
        </w:rPr>
        <w:t> </w:t>
      </w:r>
      <w:r>
        <w:rPr>
          <w:w w:val="115"/>
          <w:sz w:val="16"/>
        </w:rPr>
        <w:t>papel</w:t>
      </w:r>
      <w:r>
        <w:rPr>
          <w:spacing w:val="-19"/>
          <w:w w:val="115"/>
          <w:sz w:val="16"/>
        </w:rPr>
        <w:t> </w:t>
      </w:r>
      <w:r>
        <w:rPr>
          <w:w w:val="115"/>
          <w:sz w:val="16"/>
        </w:rPr>
        <w:t>del</w:t>
      </w:r>
      <w:r>
        <w:rPr>
          <w:spacing w:val="-19"/>
          <w:w w:val="115"/>
          <w:sz w:val="16"/>
        </w:rPr>
        <w:t> </w:t>
      </w:r>
      <w:r>
        <w:rPr>
          <w:w w:val="115"/>
          <w:sz w:val="16"/>
        </w:rPr>
        <w:t>centro-</w:t>
      </w:r>
      <w:r>
        <w:rPr>
          <w:spacing w:val="-19"/>
          <w:w w:val="115"/>
          <w:sz w:val="16"/>
        </w:rPr>
        <w:t> </w:t>
      </w:r>
      <w:r>
        <w:rPr>
          <w:w w:val="115"/>
          <w:sz w:val="16"/>
        </w:rPr>
        <w:t>cíclico</w:t>
      </w:r>
      <w:r>
        <w:rPr>
          <w:spacing w:val="-19"/>
          <w:w w:val="115"/>
          <w:sz w:val="16"/>
        </w:rPr>
        <w:t> </w:t>
      </w:r>
      <w:r>
        <w:rPr>
          <w:w w:val="115"/>
          <w:sz w:val="16"/>
        </w:rPr>
        <w:t>principal,</w:t>
      </w:r>
      <w:r>
        <w:rPr>
          <w:spacing w:val="-19"/>
          <w:w w:val="115"/>
          <w:sz w:val="16"/>
        </w:rPr>
        <w:t> </w:t>
      </w:r>
      <w:r>
        <w:rPr>
          <w:w w:val="115"/>
          <w:sz w:val="16"/>
        </w:rPr>
        <w:t>no</w:t>
      </w:r>
      <w:r>
        <w:rPr>
          <w:spacing w:val="-19"/>
          <w:w w:val="115"/>
          <w:sz w:val="16"/>
        </w:rPr>
        <w:t> </w:t>
      </w:r>
      <w:r>
        <w:rPr>
          <w:w w:val="115"/>
          <w:sz w:val="16"/>
        </w:rPr>
        <w:t>sólo</w:t>
      </w:r>
      <w:r>
        <w:rPr>
          <w:spacing w:val="-19"/>
          <w:w w:val="115"/>
          <w:sz w:val="16"/>
        </w:rPr>
        <w:t> </w:t>
      </w:r>
      <w:r>
        <w:rPr>
          <w:w w:val="115"/>
          <w:sz w:val="16"/>
        </w:rPr>
        <w:t>en</w:t>
      </w:r>
      <w:r>
        <w:rPr>
          <w:spacing w:val="-19"/>
          <w:w w:val="115"/>
          <w:sz w:val="16"/>
        </w:rPr>
        <w:t> </w:t>
      </w:r>
      <w:r>
        <w:rPr>
          <w:w w:val="115"/>
          <w:sz w:val="16"/>
        </w:rPr>
        <w:t>el</w:t>
      </w:r>
      <w:r>
        <w:rPr>
          <w:spacing w:val="-19"/>
          <w:w w:val="115"/>
          <w:sz w:val="16"/>
        </w:rPr>
        <w:t> </w:t>
      </w:r>
      <w:r>
        <w:rPr>
          <w:w w:val="115"/>
          <w:sz w:val="16"/>
        </w:rPr>
        <w:t>continente,</w:t>
      </w:r>
      <w:r>
        <w:rPr>
          <w:spacing w:val="-19"/>
          <w:w w:val="115"/>
          <w:sz w:val="16"/>
        </w:rPr>
        <w:t> </w:t>
      </w:r>
      <w:r>
        <w:rPr>
          <w:w w:val="115"/>
          <w:sz w:val="16"/>
        </w:rPr>
        <w:t>sino</w:t>
      </w:r>
      <w:r>
        <w:rPr>
          <w:spacing w:val="-19"/>
          <w:w w:val="115"/>
          <w:sz w:val="16"/>
        </w:rPr>
        <w:t> </w:t>
      </w:r>
      <w:r>
        <w:rPr>
          <w:w w:val="115"/>
          <w:sz w:val="16"/>
        </w:rPr>
        <w:t>en</w:t>
      </w:r>
      <w:r>
        <w:rPr>
          <w:spacing w:val="-19"/>
          <w:w w:val="115"/>
          <w:sz w:val="16"/>
        </w:rPr>
        <w:t> </w:t>
      </w:r>
      <w:r>
        <w:rPr>
          <w:w w:val="115"/>
          <w:sz w:val="16"/>
        </w:rPr>
        <w:t>todo</w:t>
      </w:r>
      <w:r>
        <w:rPr>
          <w:spacing w:val="-19"/>
          <w:w w:val="115"/>
          <w:sz w:val="16"/>
        </w:rPr>
        <w:t> </w:t>
      </w:r>
      <w:r>
        <w:rPr>
          <w:w w:val="115"/>
          <w:sz w:val="16"/>
        </w:rPr>
        <w:t>el mundo;</w:t>
      </w:r>
      <w:r>
        <w:rPr>
          <w:spacing w:val="-23"/>
          <w:w w:val="115"/>
          <w:sz w:val="16"/>
        </w:rPr>
        <w:t> </w:t>
      </w:r>
      <w:r>
        <w:rPr>
          <w:w w:val="115"/>
          <w:sz w:val="16"/>
        </w:rPr>
        <w:t>y</w:t>
      </w:r>
      <w:r>
        <w:rPr>
          <w:spacing w:val="-23"/>
          <w:w w:val="115"/>
          <w:sz w:val="16"/>
        </w:rPr>
        <w:t> </w:t>
      </w:r>
      <w:r>
        <w:rPr>
          <w:w w:val="115"/>
          <w:sz w:val="16"/>
        </w:rPr>
        <w:t>los</w:t>
      </w:r>
      <w:r>
        <w:rPr>
          <w:spacing w:val="-23"/>
          <w:w w:val="115"/>
          <w:sz w:val="16"/>
        </w:rPr>
        <w:t> </w:t>
      </w:r>
      <w:r>
        <w:rPr>
          <w:w w:val="115"/>
          <w:sz w:val="16"/>
        </w:rPr>
        <w:t>países</w:t>
      </w:r>
      <w:r>
        <w:rPr>
          <w:spacing w:val="-23"/>
          <w:w w:val="115"/>
          <w:sz w:val="16"/>
        </w:rPr>
        <w:t> </w:t>
      </w:r>
      <w:r>
        <w:rPr>
          <w:w w:val="115"/>
          <w:sz w:val="16"/>
        </w:rPr>
        <w:t>latinoamericanos</w:t>
      </w:r>
      <w:r>
        <w:rPr>
          <w:spacing w:val="-23"/>
          <w:w w:val="115"/>
          <w:sz w:val="16"/>
        </w:rPr>
        <w:t> </w:t>
      </w:r>
      <w:r>
        <w:rPr>
          <w:w w:val="115"/>
          <w:sz w:val="16"/>
        </w:rPr>
        <w:t>estamos</w:t>
      </w:r>
      <w:r>
        <w:rPr>
          <w:spacing w:val="-23"/>
          <w:w w:val="115"/>
          <w:sz w:val="16"/>
        </w:rPr>
        <w:t> </w:t>
      </w:r>
      <w:r>
        <w:rPr>
          <w:w w:val="115"/>
          <w:sz w:val="16"/>
        </w:rPr>
        <w:t>en</w:t>
      </w:r>
      <w:r>
        <w:rPr>
          <w:spacing w:val="-23"/>
          <w:w w:val="115"/>
          <w:sz w:val="16"/>
        </w:rPr>
        <w:t> </w:t>
      </w:r>
      <w:r>
        <w:rPr>
          <w:w w:val="115"/>
          <w:sz w:val="16"/>
        </w:rPr>
        <w:t>la</w:t>
      </w:r>
      <w:r>
        <w:rPr>
          <w:spacing w:val="-23"/>
          <w:w w:val="115"/>
          <w:sz w:val="16"/>
        </w:rPr>
        <w:t> </w:t>
      </w:r>
      <w:r>
        <w:rPr>
          <w:w w:val="115"/>
          <w:sz w:val="16"/>
        </w:rPr>
        <w:t>periferia</w:t>
      </w:r>
      <w:r>
        <w:rPr>
          <w:spacing w:val="-23"/>
          <w:w w:val="115"/>
          <w:sz w:val="16"/>
        </w:rPr>
        <w:t> </w:t>
      </w:r>
      <w:r>
        <w:rPr>
          <w:w w:val="115"/>
          <w:sz w:val="16"/>
        </w:rPr>
        <w:t>del</w:t>
      </w:r>
      <w:r>
        <w:rPr>
          <w:spacing w:val="-23"/>
          <w:w w:val="115"/>
          <w:sz w:val="16"/>
        </w:rPr>
        <w:t> </w:t>
      </w:r>
      <w:r>
        <w:rPr>
          <w:w w:val="115"/>
          <w:sz w:val="16"/>
        </w:rPr>
        <w:t>sistema</w:t>
      </w:r>
      <w:r>
        <w:rPr>
          <w:spacing w:val="-23"/>
          <w:w w:val="115"/>
          <w:sz w:val="16"/>
        </w:rPr>
        <w:t> </w:t>
      </w:r>
      <w:r>
        <w:rPr>
          <w:w w:val="115"/>
          <w:sz w:val="16"/>
        </w:rPr>
        <w:t>económi- co</w:t>
      </w:r>
      <w:r>
        <w:rPr>
          <w:spacing w:val="22"/>
          <w:w w:val="115"/>
          <w:sz w:val="16"/>
        </w:rPr>
        <w:t> </w:t>
      </w:r>
      <w:r>
        <w:rPr>
          <w:w w:val="115"/>
          <w:sz w:val="16"/>
        </w:rPr>
        <w:t>[…]”.</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8"/>
        <w:jc w:val="both"/>
      </w:pPr>
      <w:r>
        <w:rPr>
          <w:w w:val="110"/>
        </w:rPr>
        <w:t>la existencia de lo que Gunder Frank (1969) identifica como</w:t>
      </w:r>
      <w:r>
        <w:rPr>
          <w:spacing w:val="-22"/>
          <w:w w:val="110"/>
        </w:rPr>
        <w:t> </w:t>
      </w:r>
      <w:r>
        <w:rPr>
          <w:i/>
          <w:w w:val="110"/>
        </w:rPr>
        <w:t>relaciones </w:t>
      </w:r>
      <w:r>
        <w:rPr>
          <w:i/>
          <w:w w:val="110"/>
        </w:rPr>
        <w:t>de difusión </w:t>
      </w:r>
      <w:r>
        <w:rPr>
          <w:w w:val="110"/>
        </w:rPr>
        <w:t>(Frank, 1969), que permiten la transmisión del </w:t>
      </w:r>
      <w:r>
        <w:rPr>
          <w:i/>
          <w:w w:val="110"/>
        </w:rPr>
        <w:t>centro </w:t>
      </w:r>
      <w:r>
        <w:rPr>
          <w:w w:val="110"/>
        </w:rPr>
        <w:t>a la </w:t>
      </w:r>
      <w:r>
        <w:rPr>
          <w:i/>
          <w:w w:val="110"/>
        </w:rPr>
        <w:t>periferia</w:t>
      </w:r>
      <w:r>
        <w:rPr>
          <w:w w:val="110"/>
        </w:rPr>
        <w:t>. En este sentido, Gunder Frank señalaba que estas </w:t>
      </w:r>
      <w:r>
        <w:rPr>
          <w:i/>
          <w:w w:val="110"/>
        </w:rPr>
        <w:t>relaciones </w:t>
      </w:r>
      <w:r>
        <w:rPr>
          <w:i/>
          <w:w w:val="110"/>
        </w:rPr>
        <w:t>de difusión </w:t>
      </w:r>
      <w:r>
        <w:rPr>
          <w:w w:val="110"/>
        </w:rPr>
        <w:t>desde países desarrollados hacia los subdesarrollados se expresaban en términos no sólo de </w:t>
      </w:r>
      <w:r>
        <w:rPr>
          <w:i/>
          <w:w w:val="110"/>
        </w:rPr>
        <w:t>capital</w:t>
      </w:r>
      <w:r>
        <w:rPr>
          <w:w w:val="110"/>
        </w:rPr>
        <w:t>, sino también de </w:t>
      </w:r>
      <w:r>
        <w:rPr>
          <w:i/>
          <w:w w:val="110"/>
        </w:rPr>
        <w:t>institu- </w:t>
      </w:r>
      <w:r>
        <w:rPr>
          <w:i/>
          <w:w w:val="110"/>
        </w:rPr>
        <w:t>ciones </w:t>
      </w:r>
      <w:r>
        <w:rPr>
          <w:w w:val="110"/>
        </w:rPr>
        <w:t>y </w:t>
      </w:r>
      <w:r>
        <w:rPr>
          <w:i/>
          <w:w w:val="110"/>
        </w:rPr>
        <w:t>valores</w:t>
      </w:r>
      <w:r>
        <w:rPr>
          <w:w w:val="110"/>
        </w:rPr>
        <w:t>. según este </w:t>
      </w:r>
      <w:r>
        <w:rPr>
          <w:spacing w:val="-4"/>
          <w:w w:val="110"/>
        </w:rPr>
        <w:t>autor, </w:t>
      </w:r>
      <w:r>
        <w:rPr>
          <w:w w:val="110"/>
        </w:rPr>
        <w:t>esta estructura metrópoli-satélite, permitía que cada país </w:t>
      </w:r>
      <w:r>
        <w:rPr>
          <w:i/>
          <w:w w:val="110"/>
        </w:rPr>
        <w:t>satélite </w:t>
      </w:r>
      <w:r>
        <w:rPr>
          <w:w w:val="110"/>
        </w:rPr>
        <w:t>sirviera de instrumento para extraer capital o excedentes económicos y canalizar buena parte de este exce- dente hacia las metrópolis centrales (Frank,</w:t>
      </w:r>
      <w:r>
        <w:rPr>
          <w:spacing w:val="12"/>
          <w:w w:val="110"/>
        </w:rPr>
        <w:t> </w:t>
      </w:r>
      <w:r>
        <w:rPr>
          <w:w w:val="110"/>
        </w:rPr>
        <w:t>1969)</w:t>
      </w:r>
      <w:r>
        <w:rPr>
          <w:w w:val="110"/>
          <w:position w:val="6"/>
          <w:sz w:val="11"/>
        </w:rPr>
        <w:t>4</w:t>
      </w:r>
      <w:r>
        <w:rPr>
          <w:w w:val="110"/>
        </w:rPr>
        <w:t>.</w:t>
      </w:r>
    </w:p>
    <w:p>
      <w:pPr>
        <w:spacing w:line="252" w:lineRule="auto" w:before="0"/>
        <w:ind w:left="330" w:right="117" w:firstLine="396"/>
        <w:jc w:val="both"/>
        <w:rPr>
          <w:i/>
          <w:sz w:val="19"/>
        </w:rPr>
      </w:pPr>
      <w:r>
        <w:rPr>
          <w:w w:val="110"/>
          <w:sz w:val="19"/>
        </w:rPr>
        <w:t>Por su parte, Celso Furtado, en el entendimiento de la vincula- ción del subdesarrollo latinoamericano a la dinámica económica de Estados unidos, coloca el énfasis en los factores externos que tienden a agravar y perpetuar el subdesarrollo y lo que denomina como </w:t>
      </w:r>
      <w:r>
        <w:rPr>
          <w:i/>
          <w:w w:val="110"/>
          <w:sz w:val="19"/>
        </w:rPr>
        <w:t>nue- </w:t>
      </w:r>
      <w:r>
        <w:rPr>
          <w:i/>
          <w:w w:val="110"/>
          <w:sz w:val="19"/>
        </w:rPr>
        <w:t>vas formas de dominación internacional </w:t>
      </w:r>
      <w:r>
        <w:rPr>
          <w:w w:val="110"/>
          <w:sz w:val="19"/>
        </w:rPr>
        <w:t>a través del progreso tecno- lógico. sin embargo, al mismo tiempo reconoce que los </w:t>
      </w:r>
      <w:r>
        <w:rPr>
          <w:i/>
          <w:w w:val="110"/>
          <w:sz w:val="19"/>
        </w:rPr>
        <w:t>mecanismos </w:t>
      </w:r>
      <w:r>
        <w:rPr>
          <w:i/>
          <w:w w:val="110"/>
          <w:sz w:val="19"/>
        </w:rPr>
        <w:t>económicos </w:t>
      </w:r>
      <w:r>
        <w:rPr>
          <w:w w:val="110"/>
          <w:sz w:val="19"/>
        </w:rPr>
        <w:t>no pueden disociarse de los factores socio-culturales que condicionan el comportamiento de los agentes tomadores de decisio- nes. Este autor coloca el subdesarrollo latinoamericano en el contexto histórico de la revolución industrial y de </w:t>
      </w:r>
      <w:r>
        <w:rPr>
          <w:i/>
          <w:w w:val="110"/>
          <w:sz w:val="19"/>
        </w:rPr>
        <w:t>la propagación de nuevas </w:t>
      </w:r>
      <w:r>
        <w:rPr>
          <w:i/>
          <w:spacing w:val="-3"/>
          <w:w w:val="110"/>
          <w:sz w:val="19"/>
        </w:rPr>
        <w:t>for- </w:t>
      </w:r>
      <w:r>
        <w:rPr>
          <w:i/>
          <w:w w:val="110"/>
          <w:sz w:val="19"/>
        </w:rPr>
        <w:t>mas de producción, a partir de un número limitado de centros</w:t>
      </w:r>
      <w:r>
        <w:rPr>
          <w:i/>
          <w:spacing w:val="-24"/>
          <w:w w:val="110"/>
          <w:sz w:val="19"/>
        </w:rPr>
        <w:t> </w:t>
      </w:r>
      <w:r>
        <w:rPr>
          <w:i/>
          <w:w w:val="110"/>
          <w:sz w:val="19"/>
        </w:rPr>
        <w:t>creadores de innovaciones tecnológicas, dentro del proceso histórico que tiende a la formación de un sistema económico a escala mundial. </w:t>
      </w:r>
      <w:r>
        <w:rPr>
          <w:w w:val="110"/>
          <w:sz w:val="19"/>
        </w:rPr>
        <w:t>En relación a Estados unidos y sus formas de concentración del poder económico </w:t>
      </w:r>
      <w:r>
        <w:rPr>
          <w:w w:val="108"/>
          <w:sz w:val="19"/>
        </w:rPr>
        <w:t>en</w:t>
      </w:r>
      <w:r>
        <w:rPr>
          <w:sz w:val="19"/>
        </w:rPr>
        <w:t> </w:t>
      </w:r>
      <w:r>
        <w:rPr>
          <w:spacing w:val="-20"/>
          <w:sz w:val="19"/>
        </w:rPr>
        <w:t> </w:t>
      </w:r>
      <w:r>
        <w:rPr>
          <w:w w:val="139"/>
          <w:sz w:val="19"/>
        </w:rPr>
        <w:t>a</w:t>
      </w:r>
      <w:r>
        <w:rPr>
          <w:w w:val="111"/>
          <w:sz w:val="19"/>
        </w:rPr>
        <w:t>mérica</w:t>
      </w:r>
      <w:r>
        <w:rPr>
          <w:sz w:val="19"/>
        </w:rPr>
        <w:t> </w:t>
      </w:r>
      <w:r>
        <w:rPr>
          <w:spacing w:val="-20"/>
          <w:sz w:val="19"/>
        </w:rPr>
        <w:t> </w:t>
      </w:r>
      <w:r>
        <w:rPr>
          <w:w w:val="243"/>
          <w:sz w:val="19"/>
        </w:rPr>
        <w:t>l</w:t>
      </w:r>
      <w:r>
        <w:rPr>
          <w:w w:val="113"/>
          <w:sz w:val="19"/>
        </w:rPr>
        <w:t>atina,</w:t>
      </w:r>
      <w:r>
        <w:rPr>
          <w:sz w:val="19"/>
        </w:rPr>
        <w:t> </w:t>
      </w:r>
      <w:r>
        <w:rPr>
          <w:spacing w:val="-20"/>
          <w:sz w:val="19"/>
        </w:rPr>
        <w:t> </w:t>
      </w:r>
      <w:r>
        <w:rPr>
          <w:w w:val="111"/>
          <w:sz w:val="19"/>
        </w:rPr>
        <w:t>Furtado</w:t>
      </w:r>
      <w:r>
        <w:rPr>
          <w:sz w:val="19"/>
        </w:rPr>
        <w:t> </w:t>
      </w:r>
      <w:r>
        <w:rPr>
          <w:spacing w:val="-20"/>
          <w:sz w:val="19"/>
        </w:rPr>
        <w:t> </w:t>
      </w:r>
      <w:r>
        <w:rPr>
          <w:w w:val="109"/>
          <w:sz w:val="19"/>
        </w:rPr>
        <w:t>señala</w:t>
      </w:r>
      <w:r>
        <w:rPr>
          <w:sz w:val="19"/>
        </w:rPr>
        <w:t> </w:t>
      </w:r>
      <w:r>
        <w:rPr>
          <w:spacing w:val="-20"/>
          <w:sz w:val="19"/>
        </w:rPr>
        <w:t> </w:t>
      </w:r>
      <w:r>
        <w:rPr>
          <w:w w:val="108"/>
          <w:sz w:val="19"/>
        </w:rPr>
        <w:t>dos</w:t>
      </w:r>
      <w:r>
        <w:rPr>
          <w:sz w:val="19"/>
        </w:rPr>
        <w:t> </w:t>
      </w:r>
      <w:r>
        <w:rPr>
          <w:spacing w:val="-20"/>
          <w:sz w:val="19"/>
        </w:rPr>
        <w:t> </w:t>
      </w:r>
      <w:r>
        <w:rPr>
          <w:w w:val="108"/>
          <w:sz w:val="19"/>
        </w:rPr>
        <w:t>elementos</w:t>
      </w:r>
      <w:r>
        <w:rPr>
          <w:sz w:val="19"/>
        </w:rPr>
        <w:t> </w:t>
      </w:r>
      <w:r>
        <w:rPr>
          <w:spacing w:val="-20"/>
          <w:sz w:val="19"/>
        </w:rPr>
        <w:t> </w:t>
      </w:r>
      <w:r>
        <w:rPr>
          <w:w w:val="110"/>
          <w:sz w:val="19"/>
        </w:rPr>
        <w:t>fundamentales:</w:t>
      </w:r>
      <w:r>
        <w:rPr>
          <w:sz w:val="19"/>
        </w:rPr>
        <w:t> </w:t>
      </w:r>
      <w:r>
        <w:rPr>
          <w:spacing w:val="-20"/>
          <w:sz w:val="19"/>
        </w:rPr>
        <w:t> </w:t>
      </w:r>
      <w:r>
        <w:rPr>
          <w:w w:val="108"/>
          <w:sz w:val="19"/>
        </w:rPr>
        <w:t>en </w:t>
      </w:r>
      <w:r>
        <w:rPr>
          <w:w w:val="110"/>
          <w:sz w:val="19"/>
        </w:rPr>
        <w:t>primer lugar el control progresivo ejercido por una empresa sobre el mercado de un producto o de un grupo de productos y en segundo </w:t>
      </w:r>
      <w:r>
        <w:rPr>
          <w:spacing w:val="-4"/>
          <w:w w:val="110"/>
          <w:sz w:val="19"/>
        </w:rPr>
        <w:t>lugar, </w:t>
      </w:r>
      <w:r>
        <w:rPr>
          <w:w w:val="110"/>
          <w:sz w:val="19"/>
        </w:rPr>
        <w:t>la articulación, bajo el control de un grupo económico, de las diferentes fases del proceso de reproducción. Esto se desarrolla en el marco de lo que denomina </w:t>
      </w:r>
      <w:r>
        <w:rPr>
          <w:i/>
          <w:w w:val="110"/>
          <w:sz w:val="19"/>
        </w:rPr>
        <w:t>modalidades clásicas de integración hori- </w:t>
      </w:r>
      <w:r>
        <w:rPr>
          <w:i/>
          <w:w w:val="110"/>
          <w:sz w:val="19"/>
        </w:rPr>
        <w:t>zontal y vertical </w:t>
      </w:r>
      <w:r>
        <w:rPr>
          <w:w w:val="110"/>
          <w:sz w:val="19"/>
        </w:rPr>
        <w:t>(Furtado,</w:t>
      </w:r>
      <w:r>
        <w:rPr>
          <w:spacing w:val="-24"/>
          <w:w w:val="110"/>
          <w:sz w:val="19"/>
        </w:rPr>
        <w:t> </w:t>
      </w:r>
      <w:r>
        <w:rPr>
          <w:w w:val="110"/>
          <w:sz w:val="19"/>
        </w:rPr>
        <w:t>1970)</w:t>
      </w:r>
      <w:r>
        <w:rPr>
          <w:i/>
          <w:w w:val="110"/>
          <w:sz w:val="19"/>
        </w:rPr>
        <w:t>.</w:t>
      </w:r>
    </w:p>
    <w:p>
      <w:pPr>
        <w:pStyle w:val="BodyText"/>
        <w:spacing w:line="252" w:lineRule="auto"/>
        <w:ind w:left="330" w:right="117" w:firstLine="396"/>
        <w:jc w:val="both"/>
      </w:pPr>
      <w:r>
        <w:rPr>
          <w:w w:val="110"/>
        </w:rPr>
        <w:t>Más recientemente, en el contexto de intensificación de la globa- lización,</w:t>
      </w:r>
      <w:r>
        <w:rPr>
          <w:spacing w:val="-5"/>
          <w:w w:val="110"/>
        </w:rPr>
        <w:t> </w:t>
      </w:r>
      <w:r>
        <w:rPr>
          <w:w w:val="110"/>
        </w:rPr>
        <w:t>Castaño</w:t>
      </w:r>
      <w:r>
        <w:rPr>
          <w:spacing w:val="-5"/>
          <w:w w:val="110"/>
        </w:rPr>
        <w:t> </w:t>
      </w:r>
      <w:r>
        <w:rPr>
          <w:w w:val="110"/>
        </w:rPr>
        <w:t>(2005)</w:t>
      </w:r>
      <w:r>
        <w:rPr>
          <w:spacing w:val="-5"/>
          <w:w w:val="110"/>
        </w:rPr>
        <w:t> </w:t>
      </w:r>
      <w:r>
        <w:rPr>
          <w:w w:val="110"/>
        </w:rPr>
        <w:t>alerta</w:t>
      </w:r>
      <w:r>
        <w:rPr>
          <w:spacing w:val="-5"/>
          <w:w w:val="110"/>
        </w:rPr>
        <w:t> </w:t>
      </w:r>
      <w:r>
        <w:rPr>
          <w:w w:val="110"/>
        </w:rPr>
        <w:t>sobre</w:t>
      </w:r>
      <w:r>
        <w:rPr>
          <w:spacing w:val="-5"/>
          <w:w w:val="110"/>
        </w:rPr>
        <w:t> </w:t>
      </w:r>
      <w:r>
        <w:rPr>
          <w:w w:val="110"/>
        </w:rPr>
        <w:t>cómo</w:t>
      </w:r>
      <w:r>
        <w:rPr>
          <w:spacing w:val="-5"/>
          <w:w w:val="110"/>
        </w:rPr>
        <w:t> </w:t>
      </w:r>
      <w:r>
        <w:rPr>
          <w:w w:val="110"/>
        </w:rPr>
        <w:t>este</w:t>
      </w:r>
      <w:r>
        <w:rPr>
          <w:spacing w:val="-5"/>
          <w:w w:val="110"/>
        </w:rPr>
        <w:t> </w:t>
      </w:r>
      <w:r>
        <w:rPr>
          <w:w w:val="110"/>
        </w:rPr>
        <w:t>proceso</w:t>
      </w:r>
      <w:r>
        <w:rPr>
          <w:spacing w:val="-5"/>
          <w:w w:val="110"/>
        </w:rPr>
        <w:t> </w:t>
      </w:r>
      <w:r>
        <w:rPr>
          <w:w w:val="110"/>
        </w:rPr>
        <w:t>ha</w:t>
      </w:r>
      <w:r>
        <w:rPr>
          <w:spacing w:val="-5"/>
          <w:w w:val="110"/>
        </w:rPr>
        <w:t> </w:t>
      </w:r>
      <w:r>
        <w:rPr>
          <w:w w:val="110"/>
        </w:rPr>
        <w:t>promovido “el control cuidadoso de las condiciones del intercambio en función del capital imperial estadounidense”. En este sentido destaca que: “aunque el tipo de control de la economía global impuesto por Esta- dos unidos (después del reemplazo del bretton Woods) es incapaz de resolver las contradicciones de la “economía de mercado”, está siendo usado</w:t>
      </w:r>
      <w:r>
        <w:rPr>
          <w:spacing w:val="32"/>
          <w:w w:val="110"/>
        </w:rPr>
        <w:t> </w:t>
      </w:r>
      <w:r>
        <w:rPr>
          <w:w w:val="110"/>
        </w:rPr>
        <w:t>para</w:t>
      </w:r>
      <w:r>
        <w:rPr>
          <w:spacing w:val="32"/>
          <w:w w:val="110"/>
        </w:rPr>
        <w:t> </w:t>
      </w:r>
      <w:r>
        <w:rPr>
          <w:w w:val="110"/>
        </w:rPr>
        <w:t>obligar</w:t>
      </w:r>
      <w:r>
        <w:rPr>
          <w:spacing w:val="32"/>
          <w:w w:val="110"/>
        </w:rPr>
        <w:t> </w:t>
      </w:r>
      <w:r>
        <w:rPr>
          <w:w w:val="110"/>
        </w:rPr>
        <w:t>a</w:t>
      </w:r>
      <w:r>
        <w:rPr>
          <w:spacing w:val="32"/>
          <w:w w:val="110"/>
        </w:rPr>
        <w:t> </w:t>
      </w:r>
      <w:r>
        <w:rPr>
          <w:w w:val="110"/>
        </w:rPr>
        <w:t>otras</w:t>
      </w:r>
      <w:r>
        <w:rPr>
          <w:spacing w:val="32"/>
          <w:w w:val="110"/>
        </w:rPr>
        <w:t> </w:t>
      </w:r>
      <w:r>
        <w:rPr>
          <w:w w:val="110"/>
        </w:rPr>
        <w:t>economías</w:t>
      </w:r>
      <w:r>
        <w:rPr>
          <w:spacing w:val="32"/>
          <w:w w:val="110"/>
        </w:rPr>
        <w:t> </w:t>
      </w:r>
      <w:r>
        <w:rPr>
          <w:w w:val="110"/>
        </w:rPr>
        <w:t>a</w:t>
      </w:r>
      <w:r>
        <w:rPr>
          <w:spacing w:val="32"/>
          <w:w w:val="110"/>
        </w:rPr>
        <w:t> </w:t>
      </w:r>
      <w:r>
        <w:rPr>
          <w:w w:val="110"/>
        </w:rPr>
        <w:t>servir</w:t>
      </w:r>
      <w:r>
        <w:rPr>
          <w:spacing w:val="32"/>
          <w:w w:val="110"/>
        </w:rPr>
        <w:t> </w:t>
      </w:r>
      <w:r>
        <w:rPr>
          <w:w w:val="110"/>
        </w:rPr>
        <w:t>los</w:t>
      </w:r>
      <w:r>
        <w:rPr>
          <w:spacing w:val="32"/>
          <w:w w:val="110"/>
        </w:rPr>
        <w:t> </w:t>
      </w:r>
      <w:r>
        <w:rPr>
          <w:w w:val="110"/>
        </w:rPr>
        <w:t>intereses</w:t>
      </w:r>
      <w:r>
        <w:rPr>
          <w:spacing w:val="32"/>
          <w:w w:val="110"/>
        </w:rPr>
        <w:t> </w:t>
      </w:r>
      <w:r>
        <w:rPr>
          <w:w w:val="110"/>
        </w:rPr>
        <w:t>del</w:t>
      </w:r>
      <w:r>
        <w:rPr>
          <w:spacing w:val="32"/>
          <w:w w:val="110"/>
        </w:rPr>
        <w:t> </w:t>
      </w:r>
      <w:r>
        <w:rPr>
          <w:w w:val="110"/>
        </w:rPr>
        <w:t>po-</w:t>
      </w:r>
    </w:p>
    <w:p>
      <w:pPr>
        <w:pStyle w:val="BodyText"/>
        <w:spacing w:before="10"/>
        <w:rPr>
          <w:sz w:val="26"/>
        </w:rPr>
      </w:pPr>
      <w:r>
        <w:rPr/>
        <w:pict>
          <v:line style="position:absolute;mso-position-horizontal-relative:page;mso-position-vertical-relative:paragraph;z-index:8416;mso-wrap-distance-left:0;mso-wrap-distance-right:0" from="76.5354pt,17.961834pt" to="104.8814pt,17.961834pt" stroked="true" strokeweight=".5pt" strokecolor="#000000">
            <w10:wrap type="topAndBottom"/>
          </v:line>
        </w:pict>
      </w:r>
    </w:p>
    <w:p>
      <w:pPr>
        <w:pStyle w:val="ListParagraph"/>
        <w:numPr>
          <w:ilvl w:val="0"/>
          <w:numId w:val="35"/>
        </w:numPr>
        <w:tabs>
          <w:tab w:pos="586" w:val="left" w:leader="none"/>
        </w:tabs>
        <w:spacing w:line="242" w:lineRule="auto" w:before="89" w:after="0"/>
        <w:ind w:left="330" w:right="117" w:firstLine="0"/>
        <w:jc w:val="both"/>
        <w:rPr>
          <w:sz w:val="16"/>
        </w:rPr>
      </w:pPr>
      <w:r>
        <w:rPr>
          <w:spacing w:val="-3"/>
          <w:w w:val="105"/>
          <w:sz w:val="16"/>
        </w:rPr>
        <w:t>también </w:t>
      </w:r>
      <w:r>
        <w:rPr>
          <w:w w:val="105"/>
          <w:sz w:val="16"/>
        </w:rPr>
        <w:t>dentro del pensamiento de la dependencia, Marini –por su parte– inter- preta el intercambio desigual como parte de la interconexión entre economías desa- rrolladas y subdesarrolladas e identifica mecanismos de vínculo en el área comercial, tecnológica,</w:t>
      </w:r>
      <w:r>
        <w:rPr>
          <w:spacing w:val="22"/>
          <w:w w:val="105"/>
          <w:sz w:val="16"/>
        </w:rPr>
        <w:t> </w:t>
      </w:r>
      <w:r>
        <w:rPr>
          <w:w w:val="105"/>
          <w:sz w:val="16"/>
        </w:rPr>
        <w:t>en</w:t>
      </w:r>
      <w:r>
        <w:rPr>
          <w:spacing w:val="22"/>
          <w:w w:val="105"/>
          <w:sz w:val="16"/>
        </w:rPr>
        <w:t> </w:t>
      </w:r>
      <w:r>
        <w:rPr>
          <w:w w:val="105"/>
          <w:sz w:val="16"/>
        </w:rPr>
        <w:t>la</w:t>
      </w:r>
      <w:r>
        <w:rPr>
          <w:spacing w:val="22"/>
          <w:w w:val="105"/>
          <w:sz w:val="16"/>
        </w:rPr>
        <w:t> </w:t>
      </w:r>
      <w:r>
        <w:rPr>
          <w:w w:val="105"/>
          <w:sz w:val="16"/>
        </w:rPr>
        <w:t>importación</w:t>
      </w:r>
      <w:r>
        <w:rPr>
          <w:spacing w:val="22"/>
          <w:w w:val="105"/>
          <w:sz w:val="16"/>
        </w:rPr>
        <w:t> </w:t>
      </w:r>
      <w:r>
        <w:rPr>
          <w:w w:val="105"/>
          <w:sz w:val="16"/>
        </w:rPr>
        <w:t>de</w:t>
      </w:r>
      <w:r>
        <w:rPr>
          <w:spacing w:val="22"/>
          <w:w w:val="105"/>
          <w:sz w:val="16"/>
        </w:rPr>
        <w:t> </w:t>
      </w:r>
      <w:r>
        <w:rPr>
          <w:w w:val="105"/>
          <w:sz w:val="16"/>
        </w:rPr>
        <w:t>capital</w:t>
      </w:r>
      <w:r>
        <w:rPr>
          <w:spacing w:val="22"/>
          <w:w w:val="105"/>
          <w:sz w:val="16"/>
        </w:rPr>
        <w:t> </w:t>
      </w:r>
      <w:r>
        <w:rPr>
          <w:w w:val="105"/>
          <w:sz w:val="16"/>
        </w:rPr>
        <w:t>extranjero,</w:t>
      </w:r>
      <w:r>
        <w:rPr>
          <w:spacing w:val="22"/>
          <w:w w:val="105"/>
          <w:sz w:val="16"/>
        </w:rPr>
        <w:t> </w:t>
      </w:r>
      <w:r>
        <w:rPr>
          <w:w w:val="105"/>
          <w:sz w:val="16"/>
        </w:rPr>
        <w:t>entre</w:t>
      </w:r>
      <w:r>
        <w:rPr>
          <w:spacing w:val="22"/>
          <w:w w:val="105"/>
          <w:sz w:val="16"/>
        </w:rPr>
        <w:t> </w:t>
      </w:r>
      <w:r>
        <w:rPr>
          <w:w w:val="105"/>
          <w:sz w:val="16"/>
        </w:rPr>
        <w:t>otras</w:t>
      </w:r>
      <w:r>
        <w:rPr>
          <w:spacing w:val="22"/>
          <w:w w:val="105"/>
          <w:sz w:val="16"/>
        </w:rPr>
        <w:t> </w:t>
      </w:r>
      <w:r>
        <w:rPr>
          <w:w w:val="105"/>
          <w:sz w:val="16"/>
        </w:rPr>
        <w:t>(Marini,</w:t>
      </w:r>
      <w:r>
        <w:rPr>
          <w:spacing w:val="22"/>
          <w:w w:val="105"/>
          <w:sz w:val="16"/>
        </w:rPr>
        <w:t> </w:t>
      </w:r>
      <w:r>
        <w:rPr>
          <w:w w:val="105"/>
          <w:sz w:val="16"/>
        </w:rPr>
        <w:t>1991).</w:t>
      </w:r>
    </w:p>
    <w:p>
      <w:pPr>
        <w:spacing w:after="0" w:line="242" w:lineRule="auto"/>
        <w:jc w:val="both"/>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7"/>
        <w:jc w:val="both"/>
      </w:pPr>
      <w:r>
        <w:rPr>
          <w:w w:val="110"/>
        </w:rPr>
        <w:t>der hegemónico norteamericano ante las fluctuantes necesidades de su propio capital interno, por la vía del mando de la deuda externa,  las reglas del comercio internacional, la ayuda exterior y el funciona- miento de la totalidad del sistema financiero (Castaño, 2005). Esta idea incorpora a las nociones de dependencia y ciclo económico, com- plementado por la noción de </w:t>
      </w:r>
      <w:r>
        <w:rPr>
          <w:spacing w:val="12"/>
          <w:w w:val="110"/>
        </w:rPr>
        <w:t> </w:t>
      </w:r>
      <w:r>
        <w:rPr>
          <w:w w:val="110"/>
        </w:rPr>
        <w:t>hegemonía.</w:t>
      </w:r>
    </w:p>
    <w:p>
      <w:pPr>
        <w:spacing w:line="252" w:lineRule="auto" w:before="0"/>
        <w:ind w:left="120" w:right="326" w:firstLine="396"/>
        <w:jc w:val="both"/>
        <w:rPr>
          <w:sz w:val="19"/>
        </w:rPr>
      </w:pPr>
      <w:r>
        <w:rPr>
          <w:w w:val="110"/>
          <w:sz w:val="19"/>
        </w:rPr>
        <w:t>En la actualidad, las transformaciones de la economía interna- cional han conducido a una mayor heterogeneidad del denominado “subdesarrollo” que ha marcado una nueva regionalización en torno   a “ejes dinámicos” no tradicionales, reconfigurando la convencional dicotomía </w:t>
      </w:r>
      <w:r>
        <w:rPr>
          <w:i/>
          <w:w w:val="110"/>
          <w:sz w:val="19"/>
        </w:rPr>
        <w:t>desarrollo-subdesarrollo</w:t>
      </w:r>
      <w:r>
        <w:rPr>
          <w:w w:val="110"/>
          <w:sz w:val="19"/>
        </w:rPr>
        <w:t>. así, las relaciones de poder a ni- vel global han sufrido cambios desde la evolución de lo que sánchez Egozcue (2009) denomina </w:t>
      </w:r>
      <w:r>
        <w:rPr>
          <w:i/>
          <w:w w:val="110"/>
          <w:sz w:val="19"/>
        </w:rPr>
        <w:t>modelo de dependencia tradicional </w:t>
      </w:r>
      <w:r>
        <w:rPr>
          <w:w w:val="110"/>
          <w:sz w:val="19"/>
        </w:rPr>
        <w:t>unidi- reccional, marcado por las formas tradicionales de dominación y subordinación, hacia lo  que  llama  un  </w:t>
      </w:r>
      <w:r>
        <w:rPr>
          <w:i/>
          <w:w w:val="110"/>
          <w:sz w:val="19"/>
        </w:rPr>
        <w:t>esquema  múltiple</w:t>
      </w:r>
      <w:r>
        <w:rPr>
          <w:w w:val="110"/>
          <w:sz w:val="19"/>
        </w:rPr>
        <w:t>,  en  el  que se combina esta dependencia consolidada con nuevos impulsos de espacios, países y regiones emergentes con relaciones </w:t>
      </w:r>
      <w:r>
        <w:rPr>
          <w:i/>
          <w:w w:val="110"/>
          <w:sz w:val="19"/>
        </w:rPr>
        <w:t>más plurales y </w:t>
      </w:r>
      <w:r>
        <w:rPr>
          <w:i/>
          <w:w w:val="110"/>
          <w:sz w:val="19"/>
        </w:rPr>
        <w:t>menos orientadas hacia el Norte </w:t>
      </w:r>
      <w:r>
        <w:rPr>
          <w:w w:val="110"/>
          <w:sz w:val="19"/>
        </w:rPr>
        <w:t>(sánchez Egozcue, 2009: 55). En el marco de heterogeneidades crecientes en el contexto subdesarrolla- do, han emergido </w:t>
      </w:r>
      <w:r>
        <w:rPr>
          <w:i/>
          <w:w w:val="110"/>
          <w:sz w:val="19"/>
        </w:rPr>
        <w:t>nuevas regionalizaciones </w:t>
      </w:r>
      <w:r>
        <w:rPr>
          <w:w w:val="110"/>
          <w:sz w:val="19"/>
        </w:rPr>
        <w:t>en torno a nuevos </w:t>
      </w:r>
      <w:r>
        <w:rPr>
          <w:i/>
          <w:w w:val="110"/>
          <w:sz w:val="19"/>
        </w:rPr>
        <w:t>centros </w:t>
      </w:r>
      <w:r>
        <w:rPr>
          <w:i/>
          <w:w w:val="110"/>
          <w:sz w:val="19"/>
        </w:rPr>
        <w:t>dinámicos</w:t>
      </w:r>
      <w:r>
        <w:rPr>
          <w:w w:val="110"/>
          <w:sz w:val="19"/>
        </w:rPr>
        <w:t>, mecanismos económicos y de cooperación y  concerta-  ción </w:t>
      </w:r>
      <w:r>
        <w:rPr>
          <w:spacing w:val="-4"/>
          <w:w w:val="110"/>
          <w:sz w:val="19"/>
        </w:rPr>
        <w:t>sur-sur, </w:t>
      </w:r>
      <w:r>
        <w:rPr>
          <w:w w:val="110"/>
          <w:sz w:val="19"/>
        </w:rPr>
        <w:t>con anillos de interrelacionamiento esencialmente re- gionales, pero donde predominan </w:t>
      </w:r>
      <w:r>
        <w:rPr>
          <w:i/>
          <w:w w:val="110"/>
          <w:sz w:val="19"/>
        </w:rPr>
        <w:t>actores con una jerarquía superior </w:t>
      </w:r>
      <w:r>
        <w:rPr>
          <w:w w:val="110"/>
          <w:sz w:val="19"/>
        </w:rPr>
        <w:t>en el contexto internacional. Estos actores sirven de </w:t>
      </w:r>
      <w:r>
        <w:rPr>
          <w:i/>
          <w:w w:val="110"/>
          <w:sz w:val="19"/>
        </w:rPr>
        <w:t>interfases </w:t>
      </w:r>
      <w:r>
        <w:rPr>
          <w:w w:val="110"/>
          <w:sz w:val="19"/>
        </w:rPr>
        <w:t>entre los </w:t>
      </w:r>
      <w:r>
        <w:rPr>
          <w:i/>
          <w:w w:val="110"/>
          <w:sz w:val="19"/>
        </w:rPr>
        <w:t>espacios regionales e internacionales </w:t>
      </w:r>
      <w:r>
        <w:rPr>
          <w:w w:val="110"/>
          <w:sz w:val="19"/>
        </w:rPr>
        <w:t>y desde </w:t>
      </w:r>
      <w:r>
        <w:rPr>
          <w:i/>
          <w:w w:val="110"/>
          <w:sz w:val="19"/>
        </w:rPr>
        <w:t>una territorialidad </w:t>
      </w:r>
      <w:r>
        <w:rPr>
          <w:i/>
          <w:w w:val="110"/>
          <w:sz w:val="19"/>
        </w:rPr>
        <w:t>que se desmarca de la concepción tradicional </w:t>
      </w:r>
      <w:r>
        <w:rPr>
          <w:w w:val="110"/>
          <w:sz w:val="19"/>
        </w:rPr>
        <w:t>de las sub-regiones o incluso </w:t>
      </w:r>
      <w:r>
        <w:rPr>
          <w:spacing w:val="1"/>
          <w:w w:val="110"/>
          <w:sz w:val="19"/>
        </w:rPr>
        <w:t> </w:t>
      </w:r>
      <w:r>
        <w:rPr>
          <w:w w:val="110"/>
          <w:sz w:val="19"/>
        </w:rPr>
        <w:t>regional.</w:t>
      </w:r>
    </w:p>
    <w:p>
      <w:pPr>
        <w:pStyle w:val="BodyText"/>
        <w:spacing w:line="252" w:lineRule="auto"/>
        <w:ind w:left="120" w:right="326" w:firstLine="396"/>
        <w:jc w:val="both"/>
      </w:pPr>
      <w:r>
        <w:rPr>
          <w:w w:val="110"/>
        </w:rPr>
        <w:t>Como es ampliamente conocido, desde el fin de la segunda Gue- rra Mundial, Estados unidos había sido considerado como el motor indiscutible de la economía mundial, los movimientos cíclicos de su economía habían sido determinantes en el crecimiento global. Con      el inicio de la reciente crisis económica (2007-2009), hubo un inten- so debate a nivel internacional acerca del llamado </w:t>
      </w:r>
      <w:r>
        <w:rPr>
          <w:i/>
          <w:w w:val="110"/>
        </w:rPr>
        <w:t>desacoplamiento </w:t>
      </w:r>
      <w:r>
        <w:rPr>
          <w:w w:val="110"/>
        </w:rPr>
        <w:t>(</w:t>
      </w:r>
      <w:r>
        <w:rPr>
          <w:i/>
          <w:w w:val="110"/>
        </w:rPr>
        <w:t>decoupling</w:t>
      </w:r>
      <w:r>
        <w:rPr>
          <w:w w:val="110"/>
        </w:rPr>
        <w:t>)</w:t>
      </w:r>
      <w:r>
        <w:rPr>
          <w:w w:val="110"/>
          <w:position w:val="6"/>
          <w:sz w:val="11"/>
        </w:rPr>
        <w:t>5</w:t>
      </w:r>
      <w:r>
        <w:rPr>
          <w:w w:val="110"/>
        </w:rPr>
        <w:t>,  referente  a  la  percepción  de  que  el  ciclo</w:t>
      </w:r>
      <w:r>
        <w:rPr>
          <w:spacing w:val="10"/>
          <w:w w:val="110"/>
        </w:rPr>
        <w:t> </w:t>
      </w:r>
      <w:r>
        <w:rPr>
          <w:w w:val="110"/>
        </w:rPr>
        <w:t>económico</w:t>
      </w:r>
    </w:p>
    <w:p>
      <w:pPr>
        <w:pStyle w:val="BodyText"/>
        <w:spacing w:before="8"/>
        <w:rPr>
          <w:sz w:val="25"/>
        </w:rPr>
      </w:pPr>
      <w:r>
        <w:rPr/>
        <w:pict>
          <v:line style="position:absolute;mso-position-horizontal-relative:page;mso-position-vertical-relative:paragraph;z-index:8440;mso-wrap-distance-left:0;mso-wrap-distance-right:0" from="51.023701pt,17.260036pt" to="79.369701pt,17.260036pt" stroked="true" strokeweight=".5pt" strokecolor="#000000">
            <w10:wrap type="topAndBottom"/>
          </v:line>
        </w:pict>
      </w:r>
    </w:p>
    <w:p>
      <w:pPr>
        <w:pStyle w:val="ListParagraph"/>
        <w:numPr>
          <w:ilvl w:val="0"/>
          <w:numId w:val="35"/>
        </w:numPr>
        <w:tabs>
          <w:tab w:pos="376" w:val="left" w:leader="none"/>
        </w:tabs>
        <w:spacing w:line="242" w:lineRule="auto" w:before="89" w:after="0"/>
        <w:ind w:left="120" w:right="328" w:firstLine="0"/>
        <w:jc w:val="both"/>
        <w:rPr>
          <w:sz w:val="16"/>
        </w:rPr>
      </w:pPr>
      <w:r>
        <w:rPr>
          <w:w w:val="110"/>
          <w:sz w:val="16"/>
        </w:rPr>
        <w:t>El</w:t>
      </w:r>
      <w:r>
        <w:rPr>
          <w:spacing w:val="-13"/>
          <w:w w:val="110"/>
          <w:sz w:val="16"/>
        </w:rPr>
        <w:t> </w:t>
      </w:r>
      <w:r>
        <w:rPr>
          <w:w w:val="110"/>
          <w:sz w:val="16"/>
        </w:rPr>
        <w:t>llamado</w:t>
      </w:r>
      <w:r>
        <w:rPr>
          <w:spacing w:val="-13"/>
          <w:w w:val="110"/>
          <w:sz w:val="16"/>
        </w:rPr>
        <w:t> </w:t>
      </w:r>
      <w:r>
        <w:rPr>
          <w:w w:val="110"/>
          <w:sz w:val="16"/>
        </w:rPr>
        <w:t>desacoplamiento</w:t>
      </w:r>
      <w:r>
        <w:rPr>
          <w:spacing w:val="-13"/>
          <w:w w:val="110"/>
          <w:sz w:val="16"/>
        </w:rPr>
        <w:t> </w:t>
      </w:r>
      <w:r>
        <w:rPr>
          <w:w w:val="110"/>
          <w:sz w:val="16"/>
        </w:rPr>
        <w:t>(</w:t>
      </w:r>
      <w:r>
        <w:rPr>
          <w:i/>
          <w:w w:val="110"/>
          <w:sz w:val="16"/>
        </w:rPr>
        <w:t>decoupling</w:t>
      </w:r>
      <w:r>
        <w:rPr>
          <w:w w:val="110"/>
          <w:sz w:val="16"/>
        </w:rPr>
        <w:t>)</w:t>
      </w:r>
      <w:r>
        <w:rPr>
          <w:spacing w:val="-13"/>
          <w:w w:val="110"/>
          <w:sz w:val="16"/>
        </w:rPr>
        <w:t> </w:t>
      </w:r>
      <w:r>
        <w:rPr>
          <w:w w:val="110"/>
          <w:sz w:val="16"/>
        </w:rPr>
        <w:t>a</w:t>
      </w:r>
      <w:r>
        <w:rPr>
          <w:spacing w:val="-13"/>
          <w:w w:val="110"/>
          <w:sz w:val="16"/>
        </w:rPr>
        <w:t> </w:t>
      </w:r>
      <w:r>
        <w:rPr>
          <w:w w:val="110"/>
          <w:sz w:val="16"/>
        </w:rPr>
        <w:t>nivel</w:t>
      </w:r>
      <w:r>
        <w:rPr>
          <w:spacing w:val="-13"/>
          <w:w w:val="110"/>
          <w:sz w:val="16"/>
        </w:rPr>
        <w:t> </w:t>
      </w:r>
      <w:r>
        <w:rPr>
          <w:w w:val="110"/>
          <w:sz w:val="16"/>
        </w:rPr>
        <w:t>internacional,</w:t>
      </w:r>
      <w:r>
        <w:rPr>
          <w:spacing w:val="-13"/>
          <w:w w:val="110"/>
          <w:sz w:val="16"/>
        </w:rPr>
        <w:t> </w:t>
      </w:r>
      <w:r>
        <w:rPr>
          <w:w w:val="110"/>
          <w:sz w:val="16"/>
        </w:rPr>
        <w:t>se</w:t>
      </w:r>
      <w:r>
        <w:rPr>
          <w:spacing w:val="-13"/>
          <w:w w:val="110"/>
          <w:sz w:val="16"/>
        </w:rPr>
        <w:t> </w:t>
      </w:r>
      <w:r>
        <w:rPr>
          <w:w w:val="110"/>
          <w:sz w:val="16"/>
        </w:rPr>
        <w:t>refiere,</w:t>
      </w:r>
      <w:r>
        <w:rPr>
          <w:spacing w:val="-13"/>
          <w:w w:val="110"/>
          <w:sz w:val="16"/>
        </w:rPr>
        <w:t> </w:t>
      </w:r>
      <w:r>
        <w:rPr>
          <w:w w:val="110"/>
          <w:sz w:val="16"/>
        </w:rPr>
        <w:t>común- mente,</w:t>
      </w:r>
      <w:r>
        <w:rPr>
          <w:spacing w:val="-5"/>
          <w:w w:val="110"/>
          <w:sz w:val="16"/>
        </w:rPr>
        <w:t> </w:t>
      </w:r>
      <w:r>
        <w:rPr>
          <w:w w:val="110"/>
          <w:sz w:val="16"/>
        </w:rPr>
        <w:t>a</w:t>
      </w:r>
      <w:r>
        <w:rPr>
          <w:spacing w:val="-5"/>
          <w:w w:val="110"/>
          <w:sz w:val="16"/>
        </w:rPr>
        <w:t> </w:t>
      </w:r>
      <w:r>
        <w:rPr>
          <w:w w:val="110"/>
          <w:sz w:val="16"/>
        </w:rPr>
        <w:t>aparentes</w:t>
      </w:r>
      <w:r>
        <w:rPr>
          <w:spacing w:val="-5"/>
          <w:w w:val="110"/>
          <w:sz w:val="16"/>
        </w:rPr>
        <w:t> </w:t>
      </w:r>
      <w:r>
        <w:rPr>
          <w:w w:val="110"/>
          <w:sz w:val="16"/>
        </w:rPr>
        <w:t>divergencias</w:t>
      </w:r>
      <w:r>
        <w:rPr>
          <w:spacing w:val="-5"/>
          <w:w w:val="110"/>
          <w:sz w:val="16"/>
        </w:rPr>
        <w:t> </w:t>
      </w:r>
      <w:r>
        <w:rPr>
          <w:w w:val="110"/>
          <w:sz w:val="16"/>
        </w:rPr>
        <w:t>en</w:t>
      </w:r>
      <w:r>
        <w:rPr>
          <w:spacing w:val="-5"/>
          <w:w w:val="110"/>
          <w:sz w:val="16"/>
        </w:rPr>
        <w:t> </w:t>
      </w:r>
      <w:r>
        <w:rPr>
          <w:w w:val="110"/>
          <w:sz w:val="16"/>
        </w:rPr>
        <w:t>el</w:t>
      </w:r>
      <w:r>
        <w:rPr>
          <w:spacing w:val="-5"/>
          <w:w w:val="110"/>
          <w:sz w:val="16"/>
        </w:rPr>
        <w:t> </w:t>
      </w:r>
      <w:r>
        <w:rPr>
          <w:w w:val="110"/>
          <w:sz w:val="16"/>
        </w:rPr>
        <w:t>dinamismo</w:t>
      </w:r>
      <w:r>
        <w:rPr>
          <w:spacing w:val="-5"/>
          <w:w w:val="110"/>
          <w:sz w:val="16"/>
        </w:rPr>
        <w:t> </w:t>
      </w:r>
      <w:r>
        <w:rPr>
          <w:w w:val="110"/>
          <w:sz w:val="16"/>
        </w:rPr>
        <w:t>económico</w:t>
      </w:r>
      <w:r>
        <w:rPr>
          <w:spacing w:val="-5"/>
          <w:w w:val="110"/>
          <w:sz w:val="16"/>
        </w:rPr>
        <w:t> </w:t>
      </w:r>
      <w:r>
        <w:rPr>
          <w:w w:val="110"/>
          <w:sz w:val="16"/>
        </w:rPr>
        <w:t>entre</w:t>
      </w:r>
      <w:r>
        <w:rPr>
          <w:spacing w:val="-5"/>
          <w:w w:val="110"/>
          <w:sz w:val="16"/>
        </w:rPr>
        <w:t> </w:t>
      </w:r>
      <w:r>
        <w:rPr>
          <w:w w:val="110"/>
          <w:sz w:val="16"/>
        </w:rPr>
        <w:t>las</w:t>
      </w:r>
      <w:r>
        <w:rPr>
          <w:spacing w:val="-5"/>
          <w:w w:val="110"/>
          <w:sz w:val="16"/>
        </w:rPr>
        <w:t> </w:t>
      </w:r>
      <w:r>
        <w:rPr>
          <w:w w:val="110"/>
          <w:sz w:val="16"/>
        </w:rPr>
        <w:t>diferentes</w:t>
      </w:r>
      <w:r>
        <w:rPr>
          <w:spacing w:val="-5"/>
          <w:w w:val="110"/>
          <w:sz w:val="16"/>
        </w:rPr>
        <w:t> </w:t>
      </w:r>
      <w:r>
        <w:rPr>
          <w:w w:val="110"/>
          <w:sz w:val="16"/>
        </w:rPr>
        <w:t>re- giones del mundo, con especial atención a las divergencias entre regiones desarro- lladas</w:t>
      </w:r>
      <w:r>
        <w:rPr>
          <w:spacing w:val="-4"/>
          <w:w w:val="110"/>
          <w:sz w:val="16"/>
        </w:rPr>
        <w:t> </w:t>
      </w:r>
      <w:r>
        <w:rPr>
          <w:w w:val="110"/>
          <w:sz w:val="16"/>
        </w:rPr>
        <w:t>y</w:t>
      </w:r>
      <w:r>
        <w:rPr>
          <w:spacing w:val="-4"/>
          <w:w w:val="110"/>
          <w:sz w:val="16"/>
        </w:rPr>
        <w:t> </w:t>
      </w:r>
      <w:r>
        <w:rPr>
          <w:w w:val="110"/>
          <w:sz w:val="16"/>
        </w:rPr>
        <w:t>emergentes.</w:t>
      </w:r>
      <w:r>
        <w:rPr>
          <w:spacing w:val="-4"/>
          <w:w w:val="110"/>
          <w:sz w:val="16"/>
        </w:rPr>
        <w:t> </w:t>
      </w:r>
      <w:r>
        <w:rPr>
          <w:w w:val="110"/>
          <w:sz w:val="16"/>
        </w:rPr>
        <w:t>uno</w:t>
      </w:r>
      <w:r>
        <w:rPr>
          <w:spacing w:val="-4"/>
          <w:w w:val="110"/>
          <w:sz w:val="16"/>
        </w:rPr>
        <w:t> </w:t>
      </w:r>
      <w:r>
        <w:rPr>
          <w:w w:val="110"/>
          <w:sz w:val="16"/>
        </w:rPr>
        <w:t>de</w:t>
      </w:r>
      <w:r>
        <w:rPr>
          <w:spacing w:val="-4"/>
          <w:w w:val="110"/>
          <w:sz w:val="16"/>
        </w:rPr>
        <w:t> </w:t>
      </w:r>
      <w:r>
        <w:rPr>
          <w:w w:val="110"/>
          <w:sz w:val="16"/>
        </w:rPr>
        <w:t>los</w:t>
      </w:r>
      <w:r>
        <w:rPr>
          <w:spacing w:val="-4"/>
          <w:w w:val="110"/>
          <w:sz w:val="16"/>
        </w:rPr>
        <w:t> </w:t>
      </w:r>
      <w:r>
        <w:rPr>
          <w:w w:val="110"/>
          <w:sz w:val="16"/>
        </w:rPr>
        <w:t>supuestos</w:t>
      </w:r>
      <w:r>
        <w:rPr>
          <w:spacing w:val="-4"/>
          <w:w w:val="110"/>
          <w:sz w:val="16"/>
        </w:rPr>
        <w:t> </w:t>
      </w:r>
      <w:r>
        <w:rPr>
          <w:w w:val="110"/>
          <w:sz w:val="16"/>
        </w:rPr>
        <w:t>de</w:t>
      </w:r>
      <w:r>
        <w:rPr>
          <w:spacing w:val="-4"/>
          <w:w w:val="110"/>
          <w:sz w:val="16"/>
        </w:rPr>
        <w:t> </w:t>
      </w:r>
      <w:r>
        <w:rPr>
          <w:w w:val="110"/>
          <w:sz w:val="16"/>
        </w:rPr>
        <w:t>base</w:t>
      </w:r>
      <w:r>
        <w:rPr>
          <w:spacing w:val="-4"/>
          <w:w w:val="110"/>
          <w:sz w:val="16"/>
        </w:rPr>
        <w:t> </w:t>
      </w:r>
      <w:r>
        <w:rPr>
          <w:w w:val="110"/>
          <w:sz w:val="16"/>
        </w:rPr>
        <w:t>más</w:t>
      </w:r>
      <w:r>
        <w:rPr>
          <w:spacing w:val="-4"/>
          <w:w w:val="110"/>
          <w:sz w:val="16"/>
        </w:rPr>
        <w:t> </w:t>
      </w:r>
      <w:r>
        <w:rPr>
          <w:w w:val="110"/>
          <w:sz w:val="16"/>
        </w:rPr>
        <w:t>relevantes</w:t>
      </w:r>
      <w:r>
        <w:rPr>
          <w:spacing w:val="-4"/>
          <w:w w:val="110"/>
          <w:sz w:val="16"/>
        </w:rPr>
        <w:t> </w:t>
      </w:r>
      <w:r>
        <w:rPr>
          <w:w w:val="110"/>
          <w:sz w:val="16"/>
        </w:rPr>
        <w:t>de</w:t>
      </w:r>
      <w:r>
        <w:rPr>
          <w:spacing w:val="-4"/>
          <w:w w:val="110"/>
          <w:sz w:val="16"/>
        </w:rPr>
        <w:t> </w:t>
      </w:r>
      <w:r>
        <w:rPr>
          <w:w w:val="110"/>
          <w:sz w:val="16"/>
        </w:rPr>
        <w:t>la</w:t>
      </w:r>
      <w:r>
        <w:rPr>
          <w:spacing w:val="-4"/>
          <w:w w:val="110"/>
          <w:sz w:val="16"/>
        </w:rPr>
        <w:t> </w:t>
      </w:r>
      <w:r>
        <w:rPr>
          <w:w w:val="110"/>
          <w:sz w:val="16"/>
        </w:rPr>
        <w:t>hipótesis</w:t>
      </w:r>
      <w:r>
        <w:rPr>
          <w:spacing w:val="-4"/>
          <w:w w:val="110"/>
          <w:sz w:val="16"/>
        </w:rPr>
        <w:t> </w:t>
      </w:r>
      <w:r>
        <w:rPr>
          <w:w w:val="110"/>
          <w:sz w:val="16"/>
        </w:rPr>
        <w:t>del </w:t>
      </w:r>
      <w:r>
        <w:rPr>
          <w:i/>
          <w:w w:val="110"/>
          <w:sz w:val="16"/>
        </w:rPr>
        <w:t>decoupling </w:t>
      </w:r>
      <w:r>
        <w:rPr>
          <w:w w:val="110"/>
          <w:sz w:val="16"/>
        </w:rPr>
        <w:t>se asocia a la percepción de que el ciclo económico de Estados unidos se encuentra cada vez menos sincronizado con el del resto de las economías emergen- tes.</w:t>
      </w:r>
      <w:r>
        <w:rPr>
          <w:spacing w:val="-10"/>
          <w:w w:val="110"/>
          <w:sz w:val="16"/>
        </w:rPr>
        <w:t> </w:t>
      </w:r>
      <w:r>
        <w:rPr>
          <w:w w:val="110"/>
          <w:sz w:val="16"/>
        </w:rPr>
        <w:t>Esta</w:t>
      </w:r>
      <w:r>
        <w:rPr>
          <w:spacing w:val="-10"/>
          <w:w w:val="110"/>
          <w:sz w:val="16"/>
        </w:rPr>
        <w:t> </w:t>
      </w:r>
      <w:r>
        <w:rPr>
          <w:w w:val="110"/>
          <w:sz w:val="16"/>
        </w:rPr>
        <w:t>teoría</w:t>
      </w:r>
      <w:r>
        <w:rPr>
          <w:spacing w:val="-10"/>
          <w:w w:val="110"/>
          <w:sz w:val="16"/>
        </w:rPr>
        <w:t> </w:t>
      </w:r>
      <w:r>
        <w:rPr>
          <w:w w:val="110"/>
          <w:sz w:val="16"/>
        </w:rPr>
        <w:t>cobró</w:t>
      </w:r>
      <w:r>
        <w:rPr>
          <w:spacing w:val="-10"/>
          <w:w w:val="110"/>
          <w:sz w:val="16"/>
        </w:rPr>
        <w:t> </w:t>
      </w:r>
      <w:r>
        <w:rPr>
          <w:w w:val="110"/>
          <w:sz w:val="16"/>
        </w:rPr>
        <w:t>auge</w:t>
      </w:r>
      <w:r>
        <w:rPr>
          <w:spacing w:val="-10"/>
          <w:w w:val="110"/>
          <w:sz w:val="16"/>
        </w:rPr>
        <w:t> </w:t>
      </w:r>
      <w:r>
        <w:rPr>
          <w:w w:val="110"/>
          <w:sz w:val="16"/>
        </w:rPr>
        <w:t>en</w:t>
      </w:r>
      <w:r>
        <w:rPr>
          <w:spacing w:val="-10"/>
          <w:w w:val="110"/>
          <w:sz w:val="16"/>
        </w:rPr>
        <w:t> </w:t>
      </w:r>
      <w:r>
        <w:rPr>
          <w:w w:val="110"/>
          <w:sz w:val="16"/>
        </w:rPr>
        <w:t>los</w:t>
      </w:r>
      <w:r>
        <w:rPr>
          <w:spacing w:val="-10"/>
          <w:w w:val="110"/>
          <w:sz w:val="16"/>
        </w:rPr>
        <w:t> </w:t>
      </w:r>
      <w:r>
        <w:rPr>
          <w:w w:val="110"/>
          <w:sz w:val="16"/>
        </w:rPr>
        <w:t>inicios</w:t>
      </w:r>
      <w:r>
        <w:rPr>
          <w:spacing w:val="-10"/>
          <w:w w:val="110"/>
          <w:sz w:val="16"/>
        </w:rPr>
        <w:t> </w:t>
      </w:r>
      <w:r>
        <w:rPr>
          <w:w w:val="110"/>
          <w:sz w:val="16"/>
        </w:rPr>
        <w:t>de</w:t>
      </w:r>
      <w:r>
        <w:rPr>
          <w:spacing w:val="-10"/>
          <w:w w:val="110"/>
          <w:sz w:val="16"/>
        </w:rPr>
        <w:t> </w:t>
      </w:r>
      <w:r>
        <w:rPr>
          <w:w w:val="110"/>
          <w:sz w:val="16"/>
        </w:rPr>
        <w:t>la</w:t>
      </w:r>
      <w:r>
        <w:rPr>
          <w:spacing w:val="-10"/>
          <w:w w:val="110"/>
          <w:sz w:val="16"/>
        </w:rPr>
        <w:t> </w:t>
      </w:r>
      <w:r>
        <w:rPr>
          <w:w w:val="110"/>
          <w:sz w:val="16"/>
        </w:rPr>
        <w:t>reciente</w:t>
      </w:r>
      <w:r>
        <w:rPr>
          <w:spacing w:val="-10"/>
          <w:w w:val="110"/>
          <w:sz w:val="16"/>
        </w:rPr>
        <w:t> </w:t>
      </w:r>
      <w:r>
        <w:rPr>
          <w:w w:val="110"/>
          <w:sz w:val="16"/>
        </w:rPr>
        <w:t>crisis</w:t>
      </w:r>
      <w:r>
        <w:rPr>
          <w:spacing w:val="-10"/>
          <w:w w:val="110"/>
          <w:sz w:val="16"/>
        </w:rPr>
        <w:t> </w:t>
      </w:r>
      <w:r>
        <w:rPr>
          <w:w w:val="110"/>
          <w:sz w:val="16"/>
        </w:rPr>
        <w:t>económica</w:t>
      </w:r>
      <w:r>
        <w:rPr>
          <w:spacing w:val="-10"/>
          <w:w w:val="110"/>
          <w:sz w:val="16"/>
        </w:rPr>
        <w:t> </w:t>
      </w:r>
      <w:r>
        <w:rPr>
          <w:w w:val="110"/>
          <w:sz w:val="16"/>
        </w:rPr>
        <w:t>internacional (2007-2009),</w:t>
      </w:r>
      <w:r>
        <w:rPr>
          <w:spacing w:val="-13"/>
          <w:w w:val="110"/>
          <w:sz w:val="16"/>
        </w:rPr>
        <w:t> </w:t>
      </w:r>
      <w:r>
        <w:rPr>
          <w:w w:val="110"/>
          <w:sz w:val="16"/>
        </w:rPr>
        <w:t>y</w:t>
      </w:r>
      <w:r>
        <w:rPr>
          <w:spacing w:val="-13"/>
          <w:w w:val="110"/>
          <w:sz w:val="16"/>
        </w:rPr>
        <w:t> </w:t>
      </w:r>
      <w:r>
        <w:rPr>
          <w:w w:val="110"/>
          <w:sz w:val="16"/>
        </w:rPr>
        <w:t>ha</w:t>
      </w:r>
      <w:r>
        <w:rPr>
          <w:spacing w:val="-13"/>
          <w:w w:val="110"/>
          <w:sz w:val="16"/>
        </w:rPr>
        <w:t> </w:t>
      </w:r>
      <w:r>
        <w:rPr>
          <w:w w:val="110"/>
          <w:sz w:val="16"/>
        </w:rPr>
        <w:t>generado</w:t>
      </w:r>
      <w:r>
        <w:rPr>
          <w:spacing w:val="-13"/>
          <w:w w:val="110"/>
          <w:sz w:val="16"/>
        </w:rPr>
        <w:t> </w:t>
      </w:r>
      <w:r>
        <w:rPr>
          <w:w w:val="110"/>
          <w:sz w:val="16"/>
        </w:rPr>
        <w:t>polémica</w:t>
      </w:r>
      <w:r>
        <w:rPr>
          <w:spacing w:val="-13"/>
          <w:w w:val="110"/>
          <w:sz w:val="16"/>
        </w:rPr>
        <w:t> </w:t>
      </w:r>
      <w:r>
        <w:rPr>
          <w:w w:val="110"/>
          <w:sz w:val="16"/>
        </w:rPr>
        <w:t>especialmente</w:t>
      </w:r>
      <w:r>
        <w:rPr>
          <w:spacing w:val="-13"/>
          <w:w w:val="110"/>
          <w:sz w:val="16"/>
        </w:rPr>
        <w:t> </w:t>
      </w:r>
      <w:r>
        <w:rPr>
          <w:w w:val="110"/>
          <w:sz w:val="16"/>
        </w:rPr>
        <w:t>a</w:t>
      </w:r>
      <w:r>
        <w:rPr>
          <w:spacing w:val="-13"/>
          <w:w w:val="110"/>
          <w:sz w:val="16"/>
        </w:rPr>
        <w:t> </w:t>
      </w:r>
      <w:r>
        <w:rPr>
          <w:w w:val="110"/>
          <w:sz w:val="16"/>
        </w:rPr>
        <w:t>partir</w:t>
      </w:r>
      <w:r>
        <w:rPr>
          <w:spacing w:val="-13"/>
          <w:w w:val="110"/>
          <w:sz w:val="16"/>
        </w:rPr>
        <w:t> </w:t>
      </w:r>
      <w:r>
        <w:rPr>
          <w:w w:val="110"/>
          <w:sz w:val="16"/>
        </w:rPr>
        <w:t>de</w:t>
      </w:r>
      <w:r>
        <w:rPr>
          <w:spacing w:val="-13"/>
          <w:w w:val="110"/>
          <w:sz w:val="16"/>
        </w:rPr>
        <w:t> </w:t>
      </w:r>
      <w:r>
        <w:rPr>
          <w:w w:val="110"/>
          <w:sz w:val="16"/>
        </w:rPr>
        <w:t>2009,</w:t>
      </w:r>
      <w:r>
        <w:rPr>
          <w:spacing w:val="-13"/>
          <w:w w:val="110"/>
          <w:sz w:val="16"/>
        </w:rPr>
        <w:t> </w:t>
      </w:r>
      <w:r>
        <w:rPr>
          <w:w w:val="110"/>
          <w:sz w:val="16"/>
        </w:rPr>
        <w:t>momento</w:t>
      </w:r>
      <w:r>
        <w:rPr>
          <w:spacing w:val="-13"/>
          <w:w w:val="110"/>
          <w:sz w:val="16"/>
        </w:rPr>
        <w:t> </w:t>
      </w:r>
      <w:r>
        <w:rPr>
          <w:w w:val="110"/>
          <w:sz w:val="16"/>
        </w:rPr>
        <w:t>en</w:t>
      </w:r>
      <w:r>
        <w:rPr>
          <w:spacing w:val="-13"/>
          <w:w w:val="110"/>
          <w:sz w:val="16"/>
        </w:rPr>
        <w:t> </w:t>
      </w:r>
      <w:r>
        <w:rPr>
          <w:w w:val="110"/>
          <w:sz w:val="16"/>
        </w:rPr>
        <w:t>el cual</w:t>
      </w:r>
      <w:r>
        <w:rPr>
          <w:spacing w:val="-9"/>
          <w:w w:val="110"/>
          <w:sz w:val="16"/>
        </w:rPr>
        <w:t> </w:t>
      </w:r>
      <w:r>
        <w:rPr>
          <w:w w:val="110"/>
          <w:sz w:val="16"/>
        </w:rPr>
        <w:t>la</w:t>
      </w:r>
      <w:r>
        <w:rPr>
          <w:spacing w:val="-9"/>
          <w:w w:val="110"/>
          <w:sz w:val="16"/>
        </w:rPr>
        <w:t> </w:t>
      </w:r>
      <w:r>
        <w:rPr>
          <w:w w:val="110"/>
          <w:sz w:val="16"/>
        </w:rPr>
        <w:t>asincronía</w:t>
      </w:r>
      <w:r>
        <w:rPr>
          <w:spacing w:val="-9"/>
          <w:w w:val="110"/>
          <w:sz w:val="16"/>
        </w:rPr>
        <w:t> </w:t>
      </w:r>
      <w:r>
        <w:rPr>
          <w:w w:val="110"/>
          <w:sz w:val="16"/>
        </w:rPr>
        <w:t>entre</w:t>
      </w:r>
      <w:r>
        <w:rPr>
          <w:spacing w:val="-9"/>
          <w:w w:val="110"/>
          <w:sz w:val="16"/>
        </w:rPr>
        <w:t> </w:t>
      </w:r>
      <w:r>
        <w:rPr>
          <w:w w:val="110"/>
          <w:sz w:val="16"/>
        </w:rPr>
        <w:t>ambos</w:t>
      </w:r>
      <w:r>
        <w:rPr>
          <w:spacing w:val="-9"/>
          <w:w w:val="110"/>
          <w:sz w:val="16"/>
        </w:rPr>
        <w:t> </w:t>
      </w:r>
      <w:r>
        <w:rPr>
          <w:w w:val="110"/>
          <w:sz w:val="16"/>
        </w:rPr>
        <w:t>grupos</w:t>
      </w:r>
      <w:r>
        <w:rPr>
          <w:spacing w:val="-9"/>
          <w:w w:val="110"/>
          <w:sz w:val="16"/>
        </w:rPr>
        <w:t> </w:t>
      </w:r>
      <w:r>
        <w:rPr>
          <w:w w:val="110"/>
          <w:sz w:val="16"/>
        </w:rPr>
        <w:t>de</w:t>
      </w:r>
      <w:r>
        <w:rPr>
          <w:spacing w:val="-9"/>
          <w:w w:val="110"/>
          <w:sz w:val="16"/>
        </w:rPr>
        <w:t> </w:t>
      </w:r>
      <w:r>
        <w:rPr>
          <w:w w:val="110"/>
          <w:sz w:val="16"/>
        </w:rPr>
        <w:t>países</w:t>
      </w:r>
      <w:r>
        <w:rPr>
          <w:spacing w:val="-9"/>
          <w:w w:val="110"/>
          <w:sz w:val="16"/>
        </w:rPr>
        <w:t> </w:t>
      </w:r>
      <w:r>
        <w:rPr>
          <w:w w:val="110"/>
          <w:sz w:val="16"/>
        </w:rPr>
        <w:t>parecía</w:t>
      </w:r>
      <w:r>
        <w:rPr>
          <w:spacing w:val="-9"/>
          <w:w w:val="110"/>
          <w:sz w:val="16"/>
        </w:rPr>
        <w:t> </w:t>
      </w:r>
      <w:r>
        <w:rPr>
          <w:w w:val="110"/>
          <w:sz w:val="16"/>
        </w:rPr>
        <w:t>desaparecer.</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spacing w:line="252" w:lineRule="auto" w:before="73"/>
        <w:ind w:left="330" w:right="116" w:firstLine="0"/>
        <w:jc w:val="both"/>
        <w:rPr>
          <w:sz w:val="19"/>
        </w:rPr>
      </w:pPr>
      <w:r>
        <w:rPr>
          <w:w w:val="110"/>
          <w:sz w:val="19"/>
        </w:rPr>
        <w:t>de Estados unidos se encontraba menos sincronizado con el de las economías llamadas </w:t>
      </w:r>
      <w:r>
        <w:rPr>
          <w:i/>
          <w:w w:val="110"/>
          <w:sz w:val="19"/>
        </w:rPr>
        <w:t>subdesarrolladas</w:t>
      </w:r>
      <w:r>
        <w:rPr>
          <w:w w:val="110"/>
          <w:sz w:val="19"/>
        </w:rPr>
        <w:t>, </w:t>
      </w:r>
      <w:r>
        <w:rPr>
          <w:i/>
          <w:w w:val="110"/>
          <w:sz w:val="19"/>
        </w:rPr>
        <w:t>en desarrollo</w:t>
      </w:r>
      <w:r>
        <w:rPr>
          <w:w w:val="110"/>
          <w:sz w:val="19"/>
        </w:rPr>
        <w:t>, </w:t>
      </w:r>
      <w:r>
        <w:rPr>
          <w:i/>
          <w:w w:val="110"/>
          <w:sz w:val="19"/>
        </w:rPr>
        <w:t>emergentes</w:t>
      </w:r>
      <w:r>
        <w:rPr>
          <w:w w:val="110"/>
          <w:sz w:val="19"/>
        </w:rPr>
        <w:t>, del </w:t>
      </w:r>
      <w:r>
        <w:rPr>
          <w:i/>
          <w:w w:val="110"/>
          <w:sz w:val="19"/>
        </w:rPr>
        <w:t>Sur  Global</w:t>
      </w:r>
      <w:r>
        <w:rPr>
          <w:w w:val="110"/>
          <w:sz w:val="19"/>
        </w:rPr>
        <w:t>.</w:t>
      </w:r>
    </w:p>
    <w:p>
      <w:pPr>
        <w:pStyle w:val="BodyText"/>
        <w:spacing w:line="252" w:lineRule="auto"/>
        <w:ind w:left="330" w:right="117" w:firstLine="397"/>
        <w:jc w:val="both"/>
      </w:pPr>
      <w:r>
        <w:rPr>
          <w:w w:val="115"/>
        </w:rPr>
        <w:t>En este sentido, la emergencia de episodios relativamente </w:t>
      </w:r>
      <w:r>
        <w:rPr>
          <w:spacing w:val="-4"/>
          <w:w w:val="115"/>
        </w:rPr>
        <w:t>cor- </w:t>
      </w:r>
      <w:r>
        <w:rPr>
          <w:w w:val="115"/>
        </w:rPr>
        <w:t>tos de asincronía económica –</w:t>
      </w:r>
      <w:r>
        <w:rPr>
          <w:i/>
          <w:w w:val="115"/>
        </w:rPr>
        <w:t>decoupling</w:t>
      </w:r>
      <w:r>
        <w:rPr>
          <w:w w:val="115"/>
        </w:rPr>
        <w:t>– durante la crisis en algu- nos</w:t>
      </w:r>
      <w:r>
        <w:rPr>
          <w:spacing w:val="-10"/>
          <w:w w:val="115"/>
        </w:rPr>
        <w:t> </w:t>
      </w:r>
      <w:r>
        <w:rPr>
          <w:w w:val="115"/>
        </w:rPr>
        <w:t>países</w:t>
      </w:r>
      <w:r>
        <w:rPr>
          <w:spacing w:val="-10"/>
          <w:w w:val="115"/>
        </w:rPr>
        <w:t> </w:t>
      </w:r>
      <w:r>
        <w:rPr>
          <w:w w:val="115"/>
        </w:rPr>
        <w:t>y</w:t>
      </w:r>
      <w:r>
        <w:rPr>
          <w:spacing w:val="-10"/>
          <w:w w:val="115"/>
        </w:rPr>
        <w:t> </w:t>
      </w:r>
      <w:r>
        <w:rPr>
          <w:w w:val="115"/>
        </w:rPr>
        <w:t>áreas</w:t>
      </w:r>
      <w:r>
        <w:rPr>
          <w:spacing w:val="-10"/>
          <w:w w:val="115"/>
        </w:rPr>
        <w:t> </w:t>
      </w:r>
      <w:r>
        <w:rPr>
          <w:w w:val="115"/>
        </w:rPr>
        <w:t>geográficas</w:t>
      </w:r>
      <w:r>
        <w:rPr>
          <w:spacing w:val="-10"/>
          <w:w w:val="115"/>
        </w:rPr>
        <w:t> </w:t>
      </w:r>
      <w:r>
        <w:rPr>
          <w:w w:val="115"/>
        </w:rPr>
        <w:t>de</w:t>
      </w:r>
      <w:r>
        <w:rPr>
          <w:spacing w:val="-10"/>
          <w:w w:val="115"/>
        </w:rPr>
        <w:t> </w:t>
      </w:r>
      <w:r>
        <w:rPr>
          <w:w w:val="115"/>
        </w:rPr>
        <w:t>este</w:t>
      </w:r>
      <w:r>
        <w:rPr>
          <w:spacing w:val="-10"/>
          <w:w w:val="115"/>
        </w:rPr>
        <w:t> </w:t>
      </w:r>
      <w:r>
        <w:rPr>
          <w:w w:val="115"/>
        </w:rPr>
        <w:t>grupo</w:t>
      </w:r>
      <w:r>
        <w:rPr>
          <w:spacing w:val="-10"/>
          <w:w w:val="115"/>
        </w:rPr>
        <w:t> </w:t>
      </w:r>
      <w:r>
        <w:rPr>
          <w:w w:val="115"/>
        </w:rPr>
        <w:t>en</w:t>
      </w:r>
      <w:r>
        <w:rPr>
          <w:spacing w:val="-10"/>
          <w:w w:val="115"/>
        </w:rPr>
        <w:t> </w:t>
      </w:r>
      <w:r>
        <w:rPr>
          <w:w w:val="115"/>
        </w:rPr>
        <w:t>relación</w:t>
      </w:r>
      <w:r>
        <w:rPr>
          <w:spacing w:val="-10"/>
          <w:w w:val="115"/>
        </w:rPr>
        <w:t> </w:t>
      </w:r>
      <w:r>
        <w:rPr>
          <w:w w:val="115"/>
        </w:rPr>
        <w:t>a</w:t>
      </w:r>
      <w:r>
        <w:rPr>
          <w:spacing w:val="-10"/>
          <w:w w:val="115"/>
        </w:rPr>
        <w:t> </w:t>
      </w:r>
      <w:r>
        <w:rPr>
          <w:w w:val="115"/>
        </w:rPr>
        <w:t>la</w:t>
      </w:r>
      <w:r>
        <w:rPr>
          <w:spacing w:val="-10"/>
          <w:w w:val="115"/>
        </w:rPr>
        <w:t> </w:t>
      </w:r>
      <w:r>
        <w:rPr>
          <w:w w:val="115"/>
        </w:rPr>
        <w:t>crisis</w:t>
      </w:r>
      <w:r>
        <w:rPr>
          <w:spacing w:val="-10"/>
          <w:w w:val="115"/>
        </w:rPr>
        <w:t> </w:t>
      </w:r>
      <w:r>
        <w:rPr>
          <w:w w:val="115"/>
        </w:rPr>
        <w:t>en Estados unidos, constituyó un hecho sin precedentes que abrió</w:t>
      </w:r>
      <w:r>
        <w:rPr>
          <w:spacing w:val="-6"/>
          <w:w w:val="115"/>
        </w:rPr>
        <w:t> </w:t>
      </w:r>
      <w:r>
        <w:rPr>
          <w:w w:val="115"/>
        </w:rPr>
        <w:t>una ventana</w:t>
      </w:r>
      <w:r>
        <w:rPr>
          <w:spacing w:val="-5"/>
          <w:w w:val="115"/>
        </w:rPr>
        <w:t> </w:t>
      </w:r>
      <w:r>
        <w:rPr>
          <w:w w:val="115"/>
        </w:rPr>
        <w:t>al</w:t>
      </w:r>
      <w:r>
        <w:rPr>
          <w:spacing w:val="-5"/>
          <w:w w:val="115"/>
        </w:rPr>
        <w:t> </w:t>
      </w:r>
      <w:r>
        <w:rPr>
          <w:w w:val="115"/>
        </w:rPr>
        <w:t>estudio</w:t>
      </w:r>
      <w:r>
        <w:rPr>
          <w:spacing w:val="-5"/>
          <w:w w:val="115"/>
        </w:rPr>
        <w:t> </w:t>
      </w:r>
      <w:r>
        <w:rPr>
          <w:w w:val="115"/>
        </w:rPr>
        <w:t>de</w:t>
      </w:r>
      <w:r>
        <w:rPr>
          <w:spacing w:val="-5"/>
          <w:w w:val="115"/>
        </w:rPr>
        <w:t> </w:t>
      </w:r>
      <w:r>
        <w:rPr>
          <w:w w:val="115"/>
        </w:rPr>
        <w:t>la</w:t>
      </w:r>
      <w:r>
        <w:rPr>
          <w:spacing w:val="-5"/>
          <w:w w:val="115"/>
        </w:rPr>
        <w:t> </w:t>
      </w:r>
      <w:r>
        <w:rPr>
          <w:w w:val="115"/>
        </w:rPr>
        <w:t>incidencia</w:t>
      </w:r>
      <w:r>
        <w:rPr>
          <w:spacing w:val="-5"/>
          <w:w w:val="115"/>
        </w:rPr>
        <w:t> </w:t>
      </w:r>
      <w:r>
        <w:rPr>
          <w:w w:val="115"/>
        </w:rPr>
        <w:t>(real</w:t>
      </w:r>
      <w:r>
        <w:rPr>
          <w:spacing w:val="-5"/>
          <w:w w:val="115"/>
        </w:rPr>
        <w:t> </w:t>
      </w:r>
      <w:r>
        <w:rPr>
          <w:w w:val="115"/>
        </w:rPr>
        <w:t>y/o</w:t>
      </w:r>
      <w:r>
        <w:rPr>
          <w:spacing w:val="-5"/>
          <w:w w:val="115"/>
        </w:rPr>
        <w:t> </w:t>
      </w:r>
      <w:r>
        <w:rPr>
          <w:w w:val="115"/>
        </w:rPr>
        <w:t>potencial,</w:t>
      </w:r>
      <w:r>
        <w:rPr>
          <w:spacing w:val="-5"/>
          <w:w w:val="115"/>
        </w:rPr>
        <w:t> </w:t>
      </w:r>
      <w:r>
        <w:rPr>
          <w:w w:val="115"/>
        </w:rPr>
        <w:t>presente</w:t>
      </w:r>
      <w:r>
        <w:rPr>
          <w:spacing w:val="-5"/>
          <w:w w:val="115"/>
        </w:rPr>
        <w:t> </w:t>
      </w:r>
      <w:r>
        <w:rPr>
          <w:w w:val="115"/>
        </w:rPr>
        <w:t>y/o futura)</w:t>
      </w:r>
      <w:r>
        <w:rPr>
          <w:spacing w:val="-7"/>
          <w:w w:val="115"/>
        </w:rPr>
        <w:t> </w:t>
      </w:r>
      <w:r>
        <w:rPr>
          <w:w w:val="115"/>
        </w:rPr>
        <w:t>de</w:t>
      </w:r>
      <w:r>
        <w:rPr>
          <w:spacing w:val="-7"/>
          <w:w w:val="115"/>
        </w:rPr>
        <w:t> </w:t>
      </w:r>
      <w:r>
        <w:rPr>
          <w:w w:val="115"/>
        </w:rPr>
        <w:t>los</w:t>
      </w:r>
      <w:r>
        <w:rPr>
          <w:spacing w:val="-7"/>
          <w:w w:val="115"/>
        </w:rPr>
        <w:t> </w:t>
      </w:r>
      <w:r>
        <w:rPr>
          <w:w w:val="115"/>
        </w:rPr>
        <w:t>recientes</w:t>
      </w:r>
      <w:r>
        <w:rPr>
          <w:spacing w:val="-7"/>
          <w:w w:val="115"/>
        </w:rPr>
        <w:t> </w:t>
      </w:r>
      <w:r>
        <w:rPr>
          <w:w w:val="115"/>
        </w:rPr>
        <w:t>cambios</w:t>
      </w:r>
      <w:r>
        <w:rPr>
          <w:spacing w:val="-7"/>
          <w:w w:val="115"/>
        </w:rPr>
        <w:t> </w:t>
      </w:r>
      <w:r>
        <w:rPr>
          <w:w w:val="115"/>
        </w:rPr>
        <w:t>geoeconómicos</w:t>
      </w:r>
      <w:r>
        <w:rPr>
          <w:spacing w:val="-7"/>
          <w:w w:val="115"/>
        </w:rPr>
        <w:t> </w:t>
      </w:r>
      <w:r>
        <w:rPr>
          <w:w w:val="115"/>
        </w:rPr>
        <w:t>y</w:t>
      </w:r>
      <w:r>
        <w:rPr>
          <w:spacing w:val="-7"/>
          <w:w w:val="115"/>
        </w:rPr>
        <w:t> </w:t>
      </w:r>
      <w:r>
        <w:rPr>
          <w:w w:val="115"/>
        </w:rPr>
        <w:t>geopolíticos</w:t>
      </w:r>
      <w:r>
        <w:rPr>
          <w:spacing w:val="-7"/>
          <w:w w:val="115"/>
        </w:rPr>
        <w:t> </w:t>
      </w:r>
      <w:r>
        <w:rPr>
          <w:w w:val="115"/>
        </w:rPr>
        <w:t>en</w:t>
      </w:r>
      <w:r>
        <w:rPr>
          <w:spacing w:val="-7"/>
          <w:w w:val="115"/>
        </w:rPr>
        <w:t> </w:t>
      </w:r>
      <w:r>
        <w:rPr>
          <w:w w:val="115"/>
        </w:rPr>
        <w:t>el panorama</w:t>
      </w:r>
      <w:r>
        <w:rPr>
          <w:spacing w:val="-26"/>
          <w:w w:val="115"/>
        </w:rPr>
        <w:t> </w:t>
      </w:r>
      <w:r>
        <w:rPr>
          <w:w w:val="115"/>
        </w:rPr>
        <w:t>internacional,</w:t>
      </w:r>
      <w:r>
        <w:rPr>
          <w:spacing w:val="-26"/>
          <w:w w:val="115"/>
        </w:rPr>
        <w:t> </w:t>
      </w:r>
      <w:r>
        <w:rPr>
          <w:w w:val="115"/>
        </w:rPr>
        <w:t>teniendo</w:t>
      </w:r>
      <w:r>
        <w:rPr>
          <w:spacing w:val="-26"/>
          <w:w w:val="115"/>
        </w:rPr>
        <w:t> </w:t>
      </w:r>
      <w:r>
        <w:rPr>
          <w:w w:val="115"/>
        </w:rPr>
        <w:t>en</w:t>
      </w:r>
      <w:r>
        <w:rPr>
          <w:spacing w:val="-26"/>
          <w:w w:val="115"/>
        </w:rPr>
        <w:t> </w:t>
      </w:r>
      <w:r>
        <w:rPr>
          <w:w w:val="115"/>
        </w:rPr>
        <w:t>cuenta</w:t>
      </w:r>
      <w:r>
        <w:rPr>
          <w:spacing w:val="-26"/>
          <w:w w:val="115"/>
        </w:rPr>
        <w:t> </w:t>
      </w:r>
      <w:r>
        <w:rPr>
          <w:w w:val="115"/>
        </w:rPr>
        <w:t>el</w:t>
      </w:r>
      <w:r>
        <w:rPr>
          <w:spacing w:val="-26"/>
          <w:w w:val="115"/>
        </w:rPr>
        <w:t> </w:t>
      </w:r>
      <w:r>
        <w:rPr>
          <w:w w:val="115"/>
        </w:rPr>
        <w:t>funcionamiento</w:t>
      </w:r>
      <w:r>
        <w:rPr>
          <w:spacing w:val="-26"/>
          <w:w w:val="115"/>
        </w:rPr>
        <w:t> </w:t>
      </w:r>
      <w:r>
        <w:rPr>
          <w:w w:val="115"/>
        </w:rPr>
        <w:t>de</w:t>
      </w:r>
      <w:r>
        <w:rPr>
          <w:spacing w:val="-26"/>
          <w:w w:val="115"/>
        </w:rPr>
        <w:t> </w:t>
      </w:r>
      <w:r>
        <w:rPr>
          <w:w w:val="115"/>
        </w:rPr>
        <w:t>los mecanismos</w:t>
      </w:r>
      <w:r>
        <w:rPr>
          <w:spacing w:val="-11"/>
          <w:w w:val="115"/>
        </w:rPr>
        <w:t> </w:t>
      </w:r>
      <w:r>
        <w:rPr>
          <w:w w:val="115"/>
        </w:rPr>
        <w:t>de</w:t>
      </w:r>
      <w:r>
        <w:rPr>
          <w:spacing w:val="-11"/>
          <w:w w:val="115"/>
        </w:rPr>
        <w:t> </w:t>
      </w:r>
      <w:r>
        <w:rPr>
          <w:w w:val="115"/>
        </w:rPr>
        <w:t>transmisión</w:t>
      </w:r>
      <w:r>
        <w:rPr>
          <w:spacing w:val="-11"/>
          <w:w w:val="115"/>
        </w:rPr>
        <w:t> </w:t>
      </w:r>
      <w:r>
        <w:rPr>
          <w:w w:val="115"/>
        </w:rPr>
        <w:t>de</w:t>
      </w:r>
      <w:r>
        <w:rPr>
          <w:spacing w:val="-11"/>
          <w:w w:val="115"/>
        </w:rPr>
        <w:t> </w:t>
      </w:r>
      <w:r>
        <w:rPr>
          <w:w w:val="115"/>
        </w:rPr>
        <w:t>shocks</w:t>
      </w:r>
      <w:r>
        <w:rPr>
          <w:spacing w:val="-11"/>
          <w:w w:val="115"/>
        </w:rPr>
        <w:t> </w:t>
      </w:r>
      <w:r>
        <w:rPr>
          <w:w w:val="115"/>
        </w:rPr>
        <w:t>económicos</w:t>
      </w:r>
      <w:r>
        <w:rPr>
          <w:spacing w:val="-11"/>
          <w:w w:val="115"/>
        </w:rPr>
        <w:t> </w:t>
      </w:r>
      <w:r>
        <w:rPr>
          <w:w w:val="115"/>
        </w:rPr>
        <w:t>entre</w:t>
      </w:r>
      <w:r>
        <w:rPr>
          <w:spacing w:val="-11"/>
          <w:w w:val="115"/>
        </w:rPr>
        <w:t> </w:t>
      </w:r>
      <w:r>
        <w:rPr>
          <w:w w:val="115"/>
        </w:rPr>
        <w:t>países.</w:t>
      </w:r>
      <w:r>
        <w:rPr>
          <w:spacing w:val="-11"/>
          <w:w w:val="115"/>
        </w:rPr>
        <w:t> </w:t>
      </w:r>
      <w:r>
        <w:rPr>
          <w:w w:val="115"/>
        </w:rPr>
        <w:t>asi- </w:t>
      </w:r>
      <w:r>
        <w:rPr>
          <w:w w:val="110"/>
        </w:rPr>
        <w:t>mismo, la emergencia de episodios relativamente cortos de</w:t>
      </w:r>
      <w:r>
        <w:rPr>
          <w:spacing w:val="-12"/>
          <w:w w:val="110"/>
        </w:rPr>
        <w:t> </w:t>
      </w:r>
      <w:r>
        <w:rPr>
          <w:w w:val="110"/>
        </w:rPr>
        <w:t>asincronía </w:t>
      </w:r>
      <w:r>
        <w:rPr>
          <w:w w:val="115"/>
        </w:rPr>
        <w:t>económica</w:t>
      </w:r>
      <w:r>
        <w:rPr>
          <w:spacing w:val="-19"/>
          <w:w w:val="115"/>
        </w:rPr>
        <w:t> </w:t>
      </w:r>
      <w:r>
        <w:rPr>
          <w:w w:val="115"/>
        </w:rPr>
        <w:t>–</w:t>
      </w:r>
      <w:r>
        <w:rPr>
          <w:i/>
          <w:w w:val="115"/>
        </w:rPr>
        <w:t>desacoplamiento</w:t>
      </w:r>
      <w:r>
        <w:rPr>
          <w:w w:val="115"/>
        </w:rPr>
        <w:t>–</w:t>
      </w:r>
      <w:r>
        <w:rPr>
          <w:spacing w:val="-19"/>
          <w:w w:val="115"/>
        </w:rPr>
        <w:t> </w:t>
      </w:r>
      <w:r>
        <w:rPr>
          <w:w w:val="115"/>
        </w:rPr>
        <w:t>durante</w:t>
      </w:r>
      <w:r>
        <w:rPr>
          <w:spacing w:val="-19"/>
          <w:w w:val="115"/>
        </w:rPr>
        <w:t> </w:t>
      </w:r>
      <w:r>
        <w:rPr>
          <w:w w:val="115"/>
        </w:rPr>
        <w:t>la</w:t>
      </w:r>
      <w:r>
        <w:rPr>
          <w:spacing w:val="-19"/>
          <w:w w:val="115"/>
        </w:rPr>
        <w:t> </w:t>
      </w:r>
      <w:r>
        <w:rPr>
          <w:w w:val="115"/>
        </w:rPr>
        <w:t>crisis,</w:t>
      </w:r>
      <w:r>
        <w:rPr>
          <w:spacing w:val="-19"/>
          <w:w w:val="115"/>
        </w:rPr>
        <w:t> </w:t>
      </w:r>
      <w:r>
        <w:rPr>
          <w:w w:val="115"/>
        </w:rPr>
        <w:t>en</w:t>
      </w:r>
      <w:r>
        <w:rPr>
          <w:spacing w:val="-19"/>
          <w:w w:val="115"/>
        </w:rPr>
        <w:t> </w:t>
      </w:r>
      <w:r>
        <w:rPr>
          <w:w w:val="115"/>
        </w:rPr>
        <w:t>este</w:t>
      </w:r>
      <w:r>
        <w:rPr>
          <w:spacing w:val="-19"/>
          <w:w w:val="115"/>
        </w:rPr>
        <w:t> </w:t>
      </w:r>
      <w:r>
        <w:rPr>
          <w:w w:val="115"/>
        </w:rPr>
        <w:t>grupo</w:t>
      </w:r>
      <w:r>
        <w:rPr>
          <w:spacing w:val="-19"/>
          <w:w w:val="115"/>
        </w:rPr>
        <w:t> </w:t>
      </w:r>
      <w:r>
        <w:rPr>
          <w:w w:val="115"/>
        </w:rPr>
        <w:t>de</w:t>
      </w:r>
      <w:r>
        <w:rPr>
          <w:spacing w:val="-19"/>
          <w:w w:val="115"/>
        </w:rPr>
        <w:t> </w:t>
      </w:r>
      <w:r>
        <w:rPr>
          <w:w w:val="115"/>
        </w:rPr>
        <w:t>paí- ses,</w:t>
      </w:r>
      <w:r>
        <w:rPr>
          <w:spacing w:val="-20"/>
          <w:w w:val="115"/>
        </w:rPr>
        <w:t> </w:t>
      </w:r>
      <w:r>
        <w:rPr>
          <w:w w:val="115"/>
        </w:rPr>
        <w:t>justificó</w:t>
      </w:r>
      <w:r>
        <w:rPr>
          <w:spacing w:val="-20"/>
          <w:w w:val="115"/>
        </w:rPr>
        <w:t> </w:t>
      </w:r>
      <w:r>
        <w:rPr>
          <w:w w:val="115"/>
        </w:rPr>
        <w:t>la</w:t>
      </w:r>
      <w:r>
        <w:rPr>
          <w:spacing w:val="-20"/>
          <w:w w:val="115"/>
        </w:rPr>
        <w:t> </w:t>
      </w:r>
      <w:r>
        <w:rPr>
          <w:w w:val="115"/>
        </w:rPr>
        <w:t>existencia</w:t>
      </w:r>
      <w:r>
        <w:rPr>
          <w:spacing w:val="-20"/>
          <w:w w:val="115"/>
        </w:rPr>
        <w:t> </w:t>
      </w:r>
      <w:r>
        <w:rPr>
          <w:w w:val="115"/>
        </w:rPr>
        <w:t>de</w:t>
      </w:r>
      <w:r>
        <w:rPr>
          <w:spacing w:val="-20"/>
          <w:w w:val="115"/>
        </w:rPr>
        <w:t> </w:t>
      </w:r>
      <w:r>
        <w:rPr>
          <w:w w:val="115"/>
        </w:rPr>
        <w:t>determinados</w:t>
      </w:r>
      <w:r>
        <w:rPr>
          <w:spacing w:val="-20"/>
          <w:w w:val="115"/>
        </w:rPr>
        <w:t> </w:t>
      </w:r>
      <w:r>
        <w:rPr>
          <w:i/>
          <w:w w:val="115"/>
        </w:rPr>
        <w:t>grados</w:t>
      </w:r>
      <w:r>
        <w:rPr>
          <w:i/>
          <w:spacing w:val="-20"/>
          <w:w w:val="115"/>
        </w:rPr>
        <w:t> </w:t>
      </w:r>
      <w:r>
        <w:rPr>
          <w:i/>
          <w:w w:val="115"/>
        </w:rPr>
        <w:t>de</w:t>
      </w:r>
      <w:r>
        <w:rPr>
          <w:i/>
          <w:spacing w:val="-20"/>
          <w:w w:val="115"/>
        </w:rPr>
        <w:t> </w:t>
      </w:r>
      <w:r>
        <w:rPr>
          <w:i/>
          <w:w w:val="115"/>
        </w:rPr>
        <w:t>resistencia</w:t>
      </w:r>
      <w:r>
        <w:rPr>
          <w:w w:val="115"/>
        </w:rPr>
        <w:t>.</w:t>
      </w:r>
      <w:r>
        <w:rPr>
          <w:spacing w:val="-20"/>
          <w:w w:val="115"/>
        </w:rPr>
        <w:t> </w:t>
      </w:r>
      <w:r>
        <w:rPr>
          <w:w w:val="115"/>
        </w:rPr>
        <w:t>Esta resistencia</w:t>
      </w:r>
      <w:r>
        <w:rPr>
          <w:spacing w:val="-11"/>
          <w:w w:val="115"/>
        </w:rPr>
        <w:t> </w:t>
      </w:r>
      <w:r>
        <w:rPr>
          <w:w w:val="115"/>
        </w:rPr>
        <w:t>se</w:t>
      </w:r>
      <w:r>
        <w:rPr>
          <w:spacing w:val="-11"/>
          <w:w w:val="115"/>
        </w:rPr>
        <w:t> </w:t>
      </w:r>
      <w:r>
        <w:rPr>
          <w:w w:val="115"/>
        </w:rPr>
        <w:t>asocia</w:t>
      </w:r>
      <w:r>
        <w:rPr>
          <w:spacing w:val="-11"/>
          <w:w w:val="115"/>
        </w:rPr>
        <w:t> </w:t>
      </w:r>
      <w:r>
        <w:rPr>
          <w:w w:val="115"/>
        </w:rPr>
        <w:t>comúnmente</w:t>
      </w:r>
      <w:r>
        <w:rPr>
          <w:spacing w:val="-11"/>
          <w:w w:val="115"/>
        </w:rPr>
        <w:t> </w:t>
      </w:r>
      <w:r>
        <w:rPr>
          <w:w w:val="115"/>
        </w:rPr>
        <w:t>al</w:t>
      </w:r>
      <w:r>
        <w:rPr>
          <w:spacing w:val="-11"/>
          <w:w w:val="115"/>
        </w:rPr>
        <w:t> </w:t>
      </w:r>
      <w:r>
        <w:rPr>
          <w:w w:val="115"/>
        </w:rPr>
        <w:t>hecho</w:t>
      </w:r>
      <w:r>
        <w:rPr>
          <w:spacing w:val="-11"/>
          <w:w w:val="115"/>
        </w:rPr>
        <w:t> </w:t>
      </w:r>
      <w:r>
        <w:rPr>
          <w:w w:val="115"/>
        </w:rPr>
        <w:t>de</w:t>
      </w:r>
      <w:r>
        <w:rPr>
          <w:spacing w:val="-11"/>
          <w:w w:val="115"/>
        </w:rPr>
        <w:t> </w:t>
      </w:r>
      <w:r>
        <w:rPr>
          <w:w w:val="115"/>
        </w:rPr>
        <w:t>que</w:t>
      </w:r>
      <w:r>
        <w:rPr>
          <w:spacing w:val="-11"/>
          <w:w w:val="115"/>
        </w:rPr>
        <w:t> </w:t>
      </w:r>
      <w:r>
        <w:rPr>
          <w:w w:val="115"/>
        </w:rPr>
        <w:t>la</w:t>
      </w:r>
      <w:r>
        <w:rPr>
          <w:spacing w:val="-11"/>
          <w:w w:val="115"/>
        </w:rPr>
        <w:t> </w:t>
      </w:r>
      <w:r>
        <w:rPr>
          <w:w w:val="115"/>
        </w:rPr>
        <w:t>caída</w:t>
      </w:r>
      <w:r>
        <w:rPr>
          <w:spacing w:val="-11"/>
          <w:w w:val="115"/>
        </w:rPr>
        <w:t> </w:t>
      </w:r>
      <w:r>
        <w:rPr>
          <w:w w:val="115"/>
        </w:rPr>
        <w:t>en</w:t>
      </w:r>
      <w:r>
        <w:rPr>
          <w:spacing w:val="-11"/>
          <w:w w:val="115"/>
        </w:rPr>
        <w:t> </w:t>
      </w:r>
      <w:r>
        <w:rPr>
          <w:w w:val="115"/>
        </w:rPr>
        <w:t>la</w:t>
      </w:r>
      <w:r>
        <w:rPr>
          <w:spacing w:val="-11"/>
          <w:w w:val="115"/>
        </w:rPr>
        <w:t> </w:t>
      </w:r>
      <w:r>
        <w:rPr>
          <w:w w:val="115"/>
        </w:rPr>
        <w:t>acti- vidad</w:t>
      </w:r>
      <w:r>
        <w:rPr>
          <w:spacing w:val="-9"/>
          <w:w w:val="115"/>
        </w:rPr>
        <w:t> </w:t>
      </w:r>
      <w:r>
        <w:rPr>
          <w:w w:val="115"/>
        </w:rPr>
        <w:t>económica</w:t>
      </w:r>
      <w:r>
        <w:rPr>
          <w:spacing w:val="-9"/>
          <w:w w:val="115"/>
        </w:rPr>
        <w:t> </w:t>
      </w:r>
      <w:r>
        <w:rPr>
          <w:w w:val="115"/>
        </w:rPr>
        <w:t>en</w:t>
      </w:r>
      <w:r>
        <w:rPr>
          <w:spacing w:val="-9"/>
          <w:w w:val="115"/>
        </w:rPr>
        <w:t> </w:t>
      </w:r>
      <w:r>
        <w:rPr>
          <w:w w:val="115"/>
        </w:rPr>
        <w:t>Estados</w:t>
      </w:r>
      <w:r>
        <w:rPr>
          <w:spacing w:val="-9"/>
          <w:w w:val="115"/>
        </w:rPr>
        <w:t> </w:t>
      </w:r>
      <w:r>
        <w:rPr>
          <w:w w:val="115"/>
        </w:rPr>
        <w:t>unidos</w:t>
      </w:r>
      <w:r>
        <w:rPr>
          <w:spacing w:val="-9"/>
          <w:w w:val="115"/>
        </w:rPr>
        <w:t> </w:t>
      </w:r>
      <w:r>
        <w:rPr>
          <w:w w:val="115"/>
        </w:rPr>
        <w:t>no</w:t>
      </w:r>
      <w:r>
        <w:rPr>
          <w:spacing w:val="-9"/>
          <w:w w:val="115"/>
        </w:rPr>
        <w:t> </w:t>
      </w:r>
      <w:r>
        <w:rPr>
          <w:w w:val="115"/>
        </w:rPr>
        <w:t>implicó</w:t>
      </w:r>
      <w:r>
        <w:rPr>
          <w:spacing w:val="-9"/>
          <w:w w:val="115"/>
        </w:rPr>
        <w:t> </w:t>
      </w:r>
      <w:r>
        <w:rPr>
          <w:w w:val="115"/>
        </w:rPr>
        <w:t>una</w:t>
      </w:r>
      <w:r>
        <w:rPr>
          <w:spacing w:val="-9"/>
          <w:w w:val="115"/>
        </w:rPr>
        <w:t> </w:t>
      </w:r>
      <w:r>
        <w:rPr>
          <w:w w:val="115"/>
        </w:rPr>
        <w:t>reducción</w:t>
      </w:r>
      <w:r>
        <w:rPr>
          <w:spacing w:val="-9"/>
          <w:w w:val="115"/>
        </w:rPr>
        <w:t> </w:t>
      </w:r>
      <w:r>
        <w:rPr>
          <w:w w:val="115"/>
        </w:rPr>
        <w:t>inme- </w:t>
      </w:r>
      <w:r>
        <w:rPr>
          <w:w w:val="113"/>
        </w:rPr>
        <w:t>diata,</w:t>
      </w:r>
      <w:r>
        <w:rPr>
          <w:spacing w:val="15"/>
        </w:rPr>
        <w:t> </w:t>
      </w:r>
      <w:r>
        <w:rPr>
          <w:w w:val="113"/>
        </w:rPr>
        <w:t>ni</w:t>
      </w:r>
      <w:r>
        <w:rPr>
          <w:spacing w:val="15"/>
        </w:rPr>
        <w:t> </w:t>
      </w:r>
      <w:r>
        <w:rPr>
          <w:w w:val="110"/>
        </w:rPr>
        <w:t>tan</w:t>
      </w:r>
      <w:r>
        <w:rPr>
          <w:spacing w:val="15"/>
        </w:rPr>
        <w:t> </w:t>
      </w:r>
      <w:r>
        <w:rPr>
          <w:w w:val="112"/>
        </w:rPr>
        <w:t>profunda,</w:t>
      </w:r>
      <w:r>
        <w:rPr>
          <w:spacing w:val="15"/>
        </w:rPr>
        <w:t> </w:t>
      </w:r>
      <w:r>
        <w:rPr>
          <w:w w:val="107"/>
        </w:rPr>
        <w:t>del</w:t>
      </w:r>
      <w:r>
        <w:rPr>
          <w:spacing w:val="15"/>
        </w:rPr>
        <w:t> </w:t>
      </w:r>
      <w:r>
        <w:rPr>
          <w:w w:val="110"/>
        </w:rPr>
        <w:t>crecimiento</w:t>
      </w:r>
      <w:r>
        <w:rPr>
          <w:spacing w:val="15"/>
        </w:rPr>
        <w:t> </w:t>
      </w:r>
      <w:r>
        <w:rPr>
          <w:w w:val="108"/>
        </w:rPr>
        <w:t>en</w:t>
      </w:r>
      <w:r>
        <w:rPr>
          <w:spacing w:val="15"/>
        </w:rPr>
        <w:t> </w:t>
      </w:r>
      <w:r>
        <w:rPr>
          <w:w w:val="139"/>
        </w:rPr>
        <w:t>a</w:t>
      </w:r>
      <w:r>
        <w:rPr>
          <w:w w:val="111"/>
        </w:rPr>
        <w:t>mérica</w:t>
      </w:r>
      <w:r>
        <w:rPr>
          <w:spacing w:val="15"/>
        </w:rPr>
        <w:t> </w:t>
      </w:r>
      <w:r>
        <w:rPr>
          <w:w w:val="243"/>
        </w:rPr>
        <w:t>l</w:t>
      </w:r>
      <w:r>
        <w:rPr>
          <w:w w:val="111"/>
        </w:rPr>
        <w:t>atina</w:t>
      </w:r>
      <w:r>
        <w:rPr>
          <w:spacing w:val="15"/>
        </w:rPr>
        <w:t> </w:t>
      </w:r>
      <w:r>
        <w:rPr>
          <w:w w:val="105"/>
        </w:rPr>
        <w:t>y</w:t>
      </w:r>
      <w:r>
        <w:rPr>
          <w:spacing w:val="15"/>
        </w:rPr>
        <w:t> </w:t>
      </w:r>
      <w:r>
        <w:rPr>
          <w:w w:val="107"/>
        </w:rPr>
        <w:t>el</w:t>
      </w:r>
      <w:r>
        <w:rPr>
          <w:spacing w:val="15"/>
        </w:rPr>
        <w:t> </w:t>
      </w:r>
      <w:r>
        <w:rPr>
          <w:w w:val="112"/>
        </w:rPr>
        <w:t>Caribe </w:t>
      </w:r>
      <w:r>
        <w:rPr>
          <w:w w:val="112"/>
        </w:rPr>
        <w:t>como</w:t>
      </w:r>
      <w:r>
        <w:rPr>
          <w:spacing w:val="13"/>
        </w:rPr>
        <w:t> </w:t>
      </w:r>
      <w:r>
        <w:rPr>
          <w:w w:val="108"/>
        </w:rPr>
        <w:t>en</w:t>
      </w:r>
      <w:r>
        <w:rPr>
          <w:spacing w:val="13"/>
        </w:rPr>
        <w:t> </w:t>
      </w:r>
      <w:r>
        <w:rPr>
          <w:w w:val="107"/>
        </w:rPr>
        <w:t>el</w:t>
      </w:r>
      <w:r>
        <w:rPr>
          <w:spacing w:val="13"/>
        </w:rPr>
        <w:t> </w:t>
      </w:r>
      <w:r>
        <w:rPr>
          <w:w w:val="111"/>
        </w:rPr>
        <w:t>pasado.</w:t>
      </w:r>
      <w:r>
        <w:rPr>
          <w:spacing w:val="13"/>
        </w:rPr>
        <w:t> </w:t>
      </w:r>
      <w:r>
        <w:rPr>
          <w:w w:val="243"/>
        </w:rPr>
        <w:t>l</w:t>
      </w:r>
      <w:r>
        <w:rPr>
          <w:w w:val="108"/>
        </w:rPr>
        <w:t>os</w:t>
      </w:r>
      <w:r>
        <w:rPr>
          <w:spacing w:val="13"/>
        </w:rPr>
        <w:t> </w:t>
      </w:r>
      <w:r>
        <w:rPr>
          <w:w w:val="109"/>
        </w:rPr>
        <w:t>episodios</w:t>
      </w:r>
      <w:r>
        <w:rPr>
          <w:spacing w:val="13"/>
        </w:rPr>
        <w:t> </w:t>
      </w:r>
      <w:r>
        <w:rPr>
          <w:w w:val="107"/>
        </w:rPr>
        <w:t>de</w:t>
      </w:r>
      <w:r>
        <w:rPr>
          <w:spacing w:val="13"/>
        </w:rPr>
        <w:t> </w:t>
      </w:r>
      <w:r>
        <w:rPr>
          <w:w w:val="110"/>
        </w:rPr>
        <w:t>reacoplamiento</w:t>
      </w:r>
      <w:r>
        <w:rPr>
          <w:spacing w:val="13"/>
        </w:rPr>
        <w:t> </w:t>
      </w:r>
      <w:r>
        <w:rPr>
          <w:w w:val="106"/>
        </w:rPr>
        <w:t>–o</w:t>
      </w:r>
      <w:r>
        <w:rPr>
          <w:spacing w:val="13"/>
        </w:rPr>
        <w:t> </w:t>
      </w:r>
      <w:r>
        <w:rPr>
          <w:w w:val="107"/>
        </w:rPr>
        <w:t>sea</w:t>
      </w:r>
      <w:r>
        <w:rPr>
          <w:spacing w:val="13"/>
        </w:rPr>
        <w:t> </w:t>
      </w:r>
      <w:r>
        <w:rPr>
          <w:w w:val="107"/>
        </w:rPr>
        <w:t>de</w:t>
      </w:r>
      <w:r>
        <w:rPr>
          <w:spacing w:val="13"/>
        </w:rPr>
        <w:t> </w:t>
      </w:r>
      <w:r>
        <w:rPr>
          <w:w w:val="109"/>
        </w:rPr>
        <w:t>mayor </w:t>
      </w:r>
      <w:r>
        <w:rPr>
          <w:w w:val="115"/>
        </w:rPr>
        <w:t>influencia</w:t>
      </w:r>
      <w:r>
        <w:rPr>
          <w:spacing w:val="-15"/>
          <w:w w:val="115"/>
        </w:rPr>
        <w:t> </w:t>
      </w:r>
      <w:r>
        <w:rPr>
          <w:w w:val="115"/>
        </w:rPr>
        <w:t>de</w:t>
      </w:r>
      <w:r>
        <w:rPr>
          <w:spacing w:val="-15"/>
          <w:w w:val="115"/>
        </w:rPr>
        <w:t> </w:t>
      </w:r>
      <w:r>
        <w:rPr>
          <w:w w:val="115"/>
        </w:rPr>
        <w:t>la</w:t>
      </w:r>
      <w:r>
        <w:rPr>
          <w:spacing w:val="-15"/>
          <w:w w:val="115"/>
        </w:rPr>
        <w:t> </w:t>
      </w:r>
      <w:r>
        <w:rPr>
          <w:w w:val="115"/>
        </w:rPr>
        <w:t>dinámica</w:t>
      </w:r>
      <w:r>
        <w:rPr>
          <w:spacing w:val="-15"/>
          <w:w w:val="115"/>
        </w:rPr>
        <w:t> </w:t>
      </w:r>
      <w:r>
        <w:rPr>
          <w:w w:val="115"/>
        </w:rPr>
        <w:t>económica</w:t>
      </w:r>
      <w:r>
        <w:rPr>
          <w:spacing w:val="-15"/>
          <w:w w:val="115"/>
        </w:rPr>
        <w:t> </w:t>
      </w:r>
      <w:r>
        <w:rPr>
          <w:w w:val="115"/>
        </w:rPr>
        <w:t>de</w:t>
      </w:r>
      <w:r>
        <w:rPr>
          <w:spacing w:val="-15"/>
          <w:w w:val="115"/>
        </w:rPr>
        <w:t> </w:t>
      </w:r>
      <w:r>
        <w:rPr>
          <w:w w:val="115"/>
        </w:rPr>
        <w:t>Estados</w:t>
      </w:r>
      <w:r>
        <w:rPr>
          <w:spacing w:val="-15"/>
          <w:w w:val="115"/>
        </w:rPr>
        <w:t> </w:t>
      </w:r>
      <w:r>
        <w:rPr>
          <w:w w:val="115"/>
        </w:rPr>
        <w:t>unidos</w:t>
      </w:r>
      <w:r>
        <w:rPr>
          <w:spacing w:val="-15"/>
          <w:w w:val="115"/>
        </w:rPr>
        <w:t> </w:t>
      </w:r>
      <w:r>
        <w:rPr>
          <w:w w:val="115"/>
        </w:rPr>
        <w:t>en</w:t>
      </w:r>
      <w:r>
        <w:rPr>
          <w:spacing w:val="-15"/>
          <w:w w:val="115"/>
        </w:rPr>
        <w:t> </w:t>
      </w:r>
      <w:r>
        <w:rPr>
          <w:w w:val="115"/>
        </w:rPr>
        <w:t>el</w:t>
      </w:r>
      <w:r>
        <w:rPr>
          <w:spacing w:val="-15"/>
          <w:w w:val="115"/>
        </w:rPr>
        <w:t> </w:t>
      </w:r>
      <w:r>
        <w:rPr>
          <w:w w:val="115"/>
        </w:rPr>
        <w:t>resto</w:t>
      </w:r>
      <w:r>
        <w:rPr>
          <w:spacing w:val="-15"/>
          <w:w w:val="115"/>
        </w:rPr>
        <w:t> </w:t>
      </w:r>
      <w:r>
        <w:rPr>
          <w:w w:val="115"/>
        </w:rPr>
        <w:t>de los</w:t>
      </w:r>
      <w:r>
        <w:rPr>
          <w:spacing w:val="-28"/>
          <w:w w:val="115"/>
        </w:rPr>
        <w:t> </w:t>
      </w:r>
      <w:r>
        <w:rPr>
          <w:w w:val="115"/>
        </w:rPr>
        <w:t>países</w:t>
      </w:r>
      <w:r>
        <w:rPr>
          <w:spacing w:val="-28"/>
          <w:w w:val="115"/>
        </w:rPr>
        <w:t> </w:t>
      </w:r>
      <w:r>
        <w:rPr>
          <w:w w:val="115"/>
        </w:rPr>
        <w:t>en</w:t>
      </w:r>
      <w:r>
        <w:rPr>
          <w:spacing w:val="-28"/>
          <w:w w:val="115"/>
        </w:rPr>
        <w:t> </w:t>
      </w:r>
      <w:r>
        <w:rPr>
          <w:w w:val="115"/>
        </w:rPr>
        <w:t>2009–</w:t>
      </w:r>
      <w:r>
        <w:rPr>
          <w:spacing w:val="-28"/>
          <w:w w:val="115"/>
        </w:rPr>
        <w:t> </w:t>
      </w:r>
      <w:r>
        <w:rPr>
          <w:w w:val="115"/>
        </w:rPr>
        <w:t>parecían</w:t>
      </w:r>
      <w:r>
        <w:rPr>
          <w:spacing w:val="-28"/>
          <w:w w:val="115"/>
        </w:rPr>
        <w:t> </w:t>
      </w:r>
      <w:r>
        <w:rPr>
          <w:w w:val="115"/>
        </w:rPr>
        <w:t>agotar</w:t>
      </w:r>
      <w:r>
        <w:rPr>
          <w:spacing w:val="-28"/>
          <w:w w:val="115"/>
        </w:rPr>
        <w:t> </w:t>
      </w:r>
      <w:r>
        <w:rPr>
          <w:w w:val="115"/>
        </w:rPr>
        <w:t>las</w:t>
      </w:r>
      <w:r>
        <w:rPr>
          <w:spacing w:val="-28"/>
          <w:w w:val="115"/>
        </w:rPr>
        <w:t> </w:t>
      </w:r>
      <w:r>
        <w:rPr>
          <w:w w:val="115"/>
        </w:rPr>
        <w:t>posibilidades</w:t>
      </w:r>
      <w:r>
        <w:rPr>
          <w:spacing w:val="-28"/>
          <w:w w:val="115"/>
        </w:rPr>
        <w:t> </w:t>
      </w:r>
      <w:r>
        <w:rPr>
          <w:w w:val="115"/>
        </w:rPr>
        <w:t>de</w:t>
      </w:r>
      <w:r>
        <w:rPr>
          <w:spacing w:val="-28"/>
          <w:w w:val="115"/>
        </w:rPr>
        <w:t> </w:t>
      </w:r>
      <w:r>
        <w:rPr>
          <w:w w:val="115"/>
        </w:rPr>
        <w:t>una</w:t>
      </w:r>
      <w:r>
        <w:rPr>
          <w:spacing w:val="-28"/>
          <w:w w:val="115"/>
        </w:rPr>
        <w:t> </w:t>
      </w:r>
      <w:r>
        <w:rPr>
          <w:w w:val="115"/>
        </w:rPr>
        <w:t>inserción más diversificada para la región. No obstante, la recuperación de la región</w:t>
      </w:r>
      <w:r>
        <w:rPr>
          <w:spacing w:val="-22"/>
          <w:w w:val="115"/>
        </w:rPr>
        <w:t> </w:t>
      </w:r>
      <w:r>
        <w:rPr>
          <w:w w:val="115"/>
        </w:rPr>
        <w:t>en</w:t>
      </w:r>
      <w:r>
        <w:rPr>
          <w:spacing w:val="-22"/>
          <w:w w:val="115"/>
        </w:rPr>
        <w:t> </w:t>
      </w:r>
      <w:r>
        <w:rPr>
          <w:w w:val="115"/>
        </w:rPr>
        <w:t>2010</w:t>
      </w:r>
      <w:r>
        <w:rPr>
          <w:spacing w:val="-22"/>
          <w:w w:val="115"/>
        </w:rPr>
        <w:t> </w:t>
      </w:r>
      <w:r>
        <w:rPr>
          <w:w w:val="115"/>
        </w:rPr>
        <w:t>constituyó</w:t>
      </w:r>
      <w:r>
        <w:rPr>
          <w:spacing w:val="-22"/>
          <w:w w:val="115"/>
        </w:rPr>
        <w:t> </w:t>
      </w:r>
      <w:r>
        <w:rPr>
          <w:w w:val="115"/>
        </w:rPr>
        <w:t>un</w:t>
      </w:r>
      <w:r>
        <w:rPr>
          <w:spacing w:val="-22"/>
          <w:w w:val="115"/>
        </w:rPr>
        <w:t> </w:t>
      </w:r>
      <w:r>
        <w:rPr>
          <w:w w:val="115"/>
        </w:rPr>
        <w:t>hecho</w:t>
      </w:r>
      <w:r>
        <w:rPr>
          <w:spacing w:val="-22"/>
          <w:w w:val="115"/>
        </w:rPr>
        <w:t> </w:t>
      </w:r>
      <w:r>
        <w:rPr>
          <w:w w:val="115"/>
        </w:rPr>
        <w:t>sin</w:t>
      </w:r>
      <w:r>
        <w:rPr>
          <w:spacing w:val="-22"/>
          <w:w w:val="115"/>
        </w:rPr>
        <w:t> </w:t>
      </w:r>
      <w:r>
        <w:rPr>
          <w:w w:val="115"/>
        </w:rPr>
        <w:t>precedentes</w:t>
      </w:r>
      <w:r>
        <w:rPr>
          <w:spacing w:val="-22"/>
          <w:w w:val="115"/>
        </w:rPr>
        <w:t> </w:t>
      </w:r>
      <w:r>
        <w:rPr>
          <w:w w:val="115"/>
        </w:rPr>
        <w:t>para</w:t>
      </w:r>
      <w:r>
        <w:rPr>
          <w:spacing w:val="-22"/>
          <w:w w:val="115"/>
        </w:rPr>
        <w:t> </w:t>
      </w:r>
      <w:r>
        <w:rPr>
          <w:w w:val="115"/>
        </w:rPr>
        <w:t>la</w:t>
      </w:r>
      <w:r>
        <w:rPr>
          <w:spacing w:val="-22"/>
          <w:w w:val="115"/>
        </w:rPr>
        <w:t> </w:t>
      </w:r>
      <w:r>
        <w:rPr>
          <w:w w:val="115"/>
        </w:rPr>
        <w:t>misma.</w:t>
      </w:r>
    </w:p>
    <w:p>
      <w:pPr>
        <w:pStyle w:val="BodyText"/>
        <w:spacing w:line="252" w:lineRule="auto"/>
        <w:ind w:left="330" w:right="117" w:firstLine="396"/>
        <w:jc w:val="both"/>
      </w:pPr>
      <w:r>
        <w:rPr>
          <w:w w:val="110"/>
        </w:rPr>
        <w:t>desde los inicios del siglo </w:t>
      </w:r>
      <w:r>
        <w:rPr>
          <w:w w:val="130"/>
        </w:rPr>
        <w:t>xxi </w:t>
      </w:r>
      <w:r>
        <w:rPr>
          <w:w w:val="110"/>
        </w:rPr>
        <w:t>se han visualizado cambios tras- cendentales en el contexto geopolítico y geoeconómico mundial; a la luz de nuevas dinámicas de interrelación entre el Norte y el </w:t>
      </w:r>
      <w:r>
        <w:rPr>
          <w:spacing w:val="-6"/>
          <w:w w:val="110"/>
        </w:rPr>
        <w:t>sur.  </w:t>
      </w:r>
      <w:r>
        <w:rPr>
          <w:w w:val="110"/>
        </w:rPr>
        <w:t>En     el plano económico, buena parte de estos cambios se han articulado en dos ejes fundamentales: 1) el traslado del dinamismo económico – que no debe ser confundido con el </w:t>
      </w:r>
      <w:r>
        <w:rPr>
          <w:i/>
          <w:w w:val="110"/>
        </w:rPr>
        <w:t>poder económico</w:t>
      </w:r>
      <w:r>
        <w:rPr>
          <w:w w:val="110"/>
        </w:rPr>
        <w:t>– del </w:t>
      </w:r>
      <w:r>
        <w:rPr>
          <w:i/>
          <w:w w:val="110"/>
        </w:rPr>
        <w:t>centro-cíclico </w:t>
      </w:r>
      <w:r>
        <w:rPr>
          <w:i/>
          <w:w w:val="110"/>
        </w:rPr>
        <w:t>tradicional </w:t>
      </w:r>
      <w:r>
        <w:rPr>
          <w:w w:val="110"/>
        </w:rPr>
        <w:t>(Estados unidos) hacia áreas o actores no tradicionales li- derado por un conjunto de países que han sido etiquetados como </w:t>
      </w:r>
      <w:r>
        <w:rPr>
          <w:i/>
          <w:w w:val="110"/>
        </w:rPr>
        <w:t>sub- </w:t>
      </w:r>
      <w:r>
        <w:rPr>
          <w:i/>
          <w:w w:val="110"/>
        </w:rPr>
        <w:t>desarrollados</w:t>
      </w:r>
      <w:r>
        <w:rPr>
          <w:w w:val="110"/>
        </w:rPr>
        <w:t>, </w:t>
      </w:r>
      <w:r>
        <w:rPr>
          <w:i/>
          <w:w w:val="110"/>
        </w:rPr>
        <w:t>periféricos</w:t>
      </w:r>
      <w:r>
        <w:rPr>
          <w:w w:val="110"/>
        </w:rPr>
        <w:t>, </w:t>
      </w:r>
      <w:r>
        <w:rPr>
          <w:i/>
          <w:w w:val="110"/>
        </w:rPr>
        <w:t>semi-periféricos</w:t>
      </w:r>
      <w:r>
        <w:rPr>
          <w:i/>
          <w:w w:val="110"/>
          <w:position w:val="6"/>
          <w:sz w:val="11"/>
        </w:rPr>
        <w:t>6</w:t>
      </w:r>
      <w:r>
        <w:rPr>
          <w:w w:val="110"/>
        </w:rPr>
        <w:t>, </w:t>
      </w:r>
      <w:r>
        <w:rPr>
          <w:i/>
          <w:w w:val="110"/>
        </w:rPr>
        <w:t>emergentes</w:t>
      </w:r>
      <w:r>
        <w:rPr>
          <w:w w:val="110"/>
        </w:rPr>
        <w:t>, </w:t>
      </w:r>
      <w:r>
        <w:rPr>
          <w:i/>
          <w:w w:val="110"/>
        </w:rPr>
        <w:t>en desarrollo </w:t>
      </w:r>
      <w:r>
        <w:rPr>
          <w:w w:val="110"/>
        </w:rPr>
        <w:t>o del </w:t>
      </w:r>
      <w:r>
        <w:rPr>
          <w:i/>
          <w:w w:val="110"/>
        </w:rPr>
        <w:t>Sur Global</w:t>
      </w:r>
      <w:r>
        <w:rPr>
          <w:i/>
          <w:w w:val="110"/>
          <w:position w:val="6"/>
          <w:sz w:val="11"/>
        </w:rPr>
        <w:t>7  </w:t>
      </w:r>
      <w:r>
        <w:rPr>
          <w:w w:val="110"/>
        </w:rPr>
        <w:t>(enmarcado en una periferia mucho más</w:t>
      </w:r>
      <w:r>
        <w:rPr>
          <w:spacing w:val="43"/>
          <w:w w:val="110"/>
        </w:rPr>
        <w:t> </w:t>
      </w:r>
      <w:r>
        <w:rPr>
          <w:w w:val="110"/>
        </w:rPr>
        <w:t>heterogénea)</w:t>
      </w:r>
    </w:p>
    <w:p>
      <w:pPr>
        <w:pStyle w:val="BodyText"/>
        <w:spacing w:before="4"/>
        <w:rPr>
          <w:sz w:val="28"/>
        </w:rPr>
      </w:pPr>
      <w:r>
        <w:rPr/>
        <w:pict>
          <v:line style="position:absolute;mso-position-horizontal-relative:page;mso-position-vertical-relative:paragraph;z-index:8464;mso-wrap-distance-left:0;mso-wrap-distance-right:0" from="76.5355pt,18.825432pt" to="104.8815pt,18.825432pt" stroked="true" strokeweight=".5pt" strokecolor="#000000">
            <w10:wrap type="topAndBottom"/>
          </v:line>
        </w:pict>
      </w:r>
    </w:p>
    <w:p>
      <w:pPr>
        <w:pStyle w:val="ListParagraph"/>
        <w:numPr>
          <w:ilvl w:val="0"/>
          <w:numId w:val="35"/>
        </w:numPr>
        <w:tabs>
          <w:tab w:pos="586" w:val="left" w:leader="none"/>
        </w:tabs>
        <w:spacing w:line="242" w:lineRule="auto" w:before="89" w:after="0"/>
        <w:ind w:left="330" w:right="118" w:firstLine="0"/>
        <w:jc w:val="both"/>
        <w:rPr>
          <w:sz w:val="16"/>
        </w:rPr>
      </w:pPr>
      <w:r>
        <w:rPr>
          <w:w w:val="110"/>
          <w:sz w:val="16"/>
        </w:rPr>
        <w:t>Esta </w:t>
      </w:r>
      <w:r>
        <w:rPr>
          <w:i/>
          <w:w w:val="110"/>
          <w:sz w:val="16"/>
        </w:rPr>
        <w:t>semiperiferia </w:t>
      </w:r>
      <w:r>
        <w:rPr>
          <w:w w:val="110"/>
          <w:sz w:val="16"/>
        </w:rPr>
        <w:t>empleada por Wallerstein (1976) es recogida en el discurso convencional, mayoritariamente, como </w:t>
      </w:r>
      <w:r>
        <w:rPr>
          <w:i/>
          <w:w w:val="110"/>
          <w:sz w:val="16"/>
        </w:rPr>
        <w:t>economías emergentes</w:t>
      </w:r>
      <w:r>
        <w:rPr>
          <w:w w:val="110"/>
          <w:sz w:val="16"/>
        </w:rPr>
        <w:t>. desde la perspectiva de</w:t>
      </w:r>
      <w:r>
        <w:rPr>
          <w:spacing w:val="-7"/>
          <w:w w:val="110"/>
          <w:sz w:val="16"/>
        </w:rPr>
        <w:t> </w:t>
      </w:r>
      <w:r>
        <w:rPr>
          <w:w w:val="110"/>
          <w:sz w:val="16"/>
        </w:rPr>
        <w:t>Wallerstein</w:t>
      </w:r>
      <w:r>
        <w:rPr>
          <w:spacing w:val="-7"/>
          <w:w w:val="110"/>
          <w:sz w:val="16"/>
        </w:rPr>
        <w:t> </w:t>
      </w:r>
      <w:r>
        <w:rPr>
          <w:w w:val="110"/>
          <w:sz w:val="16"/>
        </w:rPr>
        <w:t>(1976:</w:t>
      </w:r>
      <w:r>
        <w:rPr>
          <w:spacing w:val="-7"/>
          <w:w w:val="110"/>
          <w:sz w:val="16"/>
        </w:rPr>
        <w:t> </w:t>
      </w:r>
      <w:r>
        <w:rPr>
          <w:w w:val="110"/>
          <w:sz w:val="16"/>
        </w:rPr>
        <w:t>462-463),</w:t>
      </w:r>
      <w:r>
        <w:rPr>
          <w:spacing w:val="-7"/>
          <w:w w:val="110"/>
          <w:sz w:val="16"/>
        </w:rPr>
        <w:t> </w:t>
      </w:r>
      <w:r>
        <w:rPr>
          <w:w w:val="110"/>
          <w:sz w:val="16"/>
        </w:rPr>
        <w:t>los</w:t>
      </w:r>
      <w:r>
        <w:rPr>
          <w:spacing w:val="-7"/>
          <w:w w:val="110"/>
          <w:sz w:val="16"/>
        </w:rPr>
        <w:t> </w:t>
      </w:r>
      <w:r>
        <w:rPr>
          <w:w w:val="110"/>
          <w:sz w:val="16"/>
        </w:rPr>
        <w:t>países</w:t>
      </w:r>
      <w:r>
        <w:rPr>
          <w:spacing w:val="-7"/>
          <w:w w:val="110"/>
          <w:sz w:val="16"/>
        </w:rPr>
        <w:t> </w:t>
      </w:r>
      <w:r>
        <w:rPr>
          <w:w w:val="110"/>
          <w:sz w:val="16"/>
        </w:rPr>
        <w:t>semi-periféricos</w:t>
      </w:r>
      <w:r>
        <w:rPr>
          <w:spacing w:val="-7"/>
          <w:w w:val="110"/>
          <w:sz w:val="16"/>
        </w:rPr>
        <w:t> </w:t>
      </w:r>
      <w:r>
        <w:rPr>
          <w:w w:val="110"/>
          <w:sz w:val="16"/>
        </w:rPr>
        <w:t>juegan</w:t>
      </w:r>
      <w:r>
        <w:rPr>
          <w:spacing w:val="-7"/>
          <w:w w:val="110"/>
          <w:sz w:val="16"/>
        </w:rPr>
        <w:t> </w:t>
      </w:r>
      <w:r>
        <w:rPr>
          <w:w w:val="110"/>
          <w:sz w:val="16"/>
        </w:rPr>
        <w:t>un</w:t>
      </w:r>
      <w:r>
        <w:rPr>
          <w:spacing w:val="-7"/>
          <w:w w:val="110"/>
          <w:sz w:val="16"/>
        </w:rPr>
        <w:t> </w:t>
      </w:r>
      <w:r>
        <w:rPr>
          <w:w w:val="110"/>
          <w:sz w:val="16"/>
        </w:rPr>
        <w:t>rol</w:t>
      </w:r>
      <w:r>
        <w:rPr>
          <w:spacing w:val="-7"/>
          <w:w w:val="110"/>
          <w:sz w:val="16"/>
        </w:rPr>
        <w:t> </w:t>
      </w:r>
      <w:r>
        <w:rPr>
          <w:w w:val="110"/>
          <w:sz w:val="16"/>
        </w:rPr>
        <w:t>bien</w:t>
      </w:r>
      <w:r>
        <w:rPr>
          <w:spacing w:val="-7"/>
          <w:w w:val="110"/>
          <w:sz w:val="16"/>
        </w:rPr>
        <w:t> </w:t>
      </w:r>
      <w:r>
        <w:rPr>
          <w:w w:val="110"/>
          <w:sz w:val="16"/>
        </w:rPr>
        <w:t>parti- cular dentro del sistema mundial y diferente de los países periféricos tradicionales. En este sentido, como expresa Carió </w:t>
      </w:r>
      <w:r>
        <w:rPr>
          <w:i/>
          <w:w w:val="110"/>
          <w:sz w:val="16"/>
        </w:rPr>
        <w:t>et al</w:t>
      </w:r>
      <w:r>
        <w:rPr>
          <w:w w:val="110"/>
          <w:sz w:val="16"/>
        </w:rPr>
        <w:t>. (2012), “el nuevo estadío del capitalismo global, rediseña los espacios territoriales de aplicación –de la conceptualización de periferia– haciendo abstracción de las fronteras […] en ese rediseño ocupa un</w:t>
      </w:r>
      <w:r>
        <w:rPr>
          <w:spacing w:val="-24"/>
          <w:w w:val="110"/>
          <w:sz w:val="16"/>
        </w:rPr>
        <w:t> </w:t>
      </w:r>
      <w:r>
        <w:rPr>
          <w:w w:val="110"/>
          <w:sz w:val="16"/>
        </w:rPr>
        <w:t>papel estratégico</w:t>
      </w:r>
      <w:r>
        <w:rPr>
          <w:spacing w:val="-11"/>
          <w:w w:val="110"/>
          <w:sz w:val="16"/>
        </w:rPr>
        <w:t> </w:t>
      </w:r>
      <w:r>
        <w:rPr>
          <w:w w:val="110"/>
          <w:sz w:val="16"/>
        </w:rPr>
        <w:t>la</w:t>
      </w:r>
      <w:r>
        <w:rPr>
          <w:spacing w:val="-11"/>
          <w:w w:val="110"/>
          <w:sz w:val="16"/>
        </w:rPr>
        <w:t> </w:t>
      </w:r>
      <w:r>
        <w:rPr>
          <w:w w:val="110"/>
          <w:sz w:val="16"/>
        </w:rPr>
        <w:t>categoría</w:t>
      </w:r>
      <w:r>
        <w:rPr>
          <w:spacing w:val="-11"/>
          <w:w w:val="110"/>
          <w:sz w:val="16"/>
        </w:rPr>
        <w:t> </w:t>
      </w:r>
      <w:r>
        <w:rPr>
          <w:w w:val="110"/>
          <w:sz w:val="16"/>
        </w:rPr>
        <w:t>de</w:t>
      </w:r>
      <w:r>
        <w:rPr>
          <w:spacing w:val="-11"/>
          <w:w w:val="110"/>
          <w:sz w:val="16"/>
        </w:rPr>
        <w:t> </w:t>
      </w:r>
      <w:r>
        <w:rPr>
          <w:w w:val="110"/>
          <w:sz w:val="16"/>
        </w:rPr>
        <w:t>semiperiferia”.</w:t>
      </w:r>
    </w:p>
    <w:p>
      <w:pPr>
        <w:pStyle w:val="ListParagraph"/>
        <w:numPr>
          <w:ilvl w:val="0"/>
          <w:numId w:val="35"/>
        </w:numPr>
        <w:tabs>
          <w:tab w:pos="586" w:val="left" w:leader="none"/>
        </w:tabs>
        <w:spacing w:line="242" w:lineRule="auto" w:before="57" w:after="0"/>
        <w:ind w:left="330" w:right="118" w:firstLine="0"/>
        <w:jc w:val="both"/>
        <w:rPr>
          <w:sz w:val="16"/>
        </w:rPr>
      </w:pPr>
      <w:r>
        <w:rPr>
          <w:w w:val="110"/>
          <w:sz w:val="16"/>
        </w:rPr>
        <w:t>sobre</w:t>
      </w:r>
      <w:r>
        <w:rPr>
          <w:spacing w:val="-7"/>
          <w:w w:val="110"/>
          <w:sz w:val="16"/>
        </w:rPr>
        <w:t> </w:t>
      </w:r>
      <w:r>
        <w:rPr>
          <w:w w:val="110"/>
          <w:sz w:val="16"/>
        </w:rPr>
        <w:t>estas</w:t>
      </w:r>
      <w:r>
        <w:rPr>
          <w:spacing w:val="-7"/>
          <w:w w:val="110"/>
          <w:sz w:val="16"/>
        </w:rPr>
        <w:t> </w:t>
      </w:r>
      <w:r>
        <w:rPr>
          <w:w w:val="110"/>
          <w:sz w:val="16"/>
        </w:rPr>
        <w:t>categorías,</w:t>
      </w:r>
      <w:r>
        <w:rPr>
          <w:spacing w:val="-7"/>
          <w:w w:val="110"/>
          <w:sz w:val="16"/>
        </w:rPr>
        <w:t> </w:t>
      </w:r>
      <w:r>
        <w:rPr>
          <w:w w:val="110"/>
          <w:sz w:val="16"/>
        </w:rPr>
        <w:t>véase</w:t>
      </w:r>
      <w:r>
        <w:rPr>
          <w:spacing w:val="-7"/>
          <w:w w:val="110"/>
          <w:sz w:val="16"/>
        </w:rPr>
        <w:t> </w:t>
      </w:r>
      <w:r>
        <w:rPr>
          <w:w w:val="110"/>
          <w:sz w:val="16"/>
        </w:rPr>
        <w:t>la</w:t>
      </w:r>
      <w:r>
        <w:rPr>
          <w:spacing w:val="-7"/>
          <w:w w:val="110"/>
          <w:sz w:val="16"/>
        </w:rPr>
        <w:t> </w:t>
      </w:r>
      <w:r>
        <w:rPr>
          <w:w w:val="110"/>
          <w:sz w:val="16"/>
        </w:rPr>
        <w:t>interesante</w:t>
      </w:r>
      <w:r>
        <w:rPr>
          <w:spacing w:val="-7"/>
          <w:w w:val="110"/>
          <w:sz w:val="16"/>
        </w:rPr>
        <w:t> </w:t>
      </w:r>
      <w:r>
        <w:rPr>
          <w:w w:val="110"/>
          <w:sz w:val="16"/>
        </w:rPr>
        <w:t>discusión</w:t>
      </w:r>
      <w:r>
        <w:rPr>
          <w:spacing w:val="-7"/>
          <w:w w:val="110"/>
          <w:sz w:val="16"/>
        </w:rPr>
        <w:t> </w:t>
      </w:r>
      <w:r>
        <w:rPr>
          <w:w w:val="110"/>
          <w:sz w:val="16"/>
        </w:rPr>
        <w:t>de</w:t>
      </w:r>
      <w:r>
        <w:rPr>
          <w:spacing w:val="-7"/>
          <w:w w:val="110"/>
          <w:sz w:val="16"/>
        </w:rPr>
        <w:t> </w:t>
      </w:r>
      <w:r>
        <w:rPr>
          <w:w w:val="110"/>
          <w:sz w:val="16"/>
        </w:rPr>
        <w:t>sidaway</w:t>
      </w:r>
      <w:r>
        <w:rPr>
          <w:spacing w:val="-7"/>
          <w:w w:val="110"/>
          <w:sz w:val="16"/>
        </w:rPr>
        <w:t> </w:t>
      </w:r>
      <w:r>
        <w:rPr>
          <w:w w:val="110"/>
          <w:sz w:val="16"/>
        </w:rPr>
        <w:t>(2012)</w:t>
      </w:r>
      <w:r>
        <w:rPr>
          <w:spacing w:val="-7"/>
          <w:w w:val="110"/>
          <w:sz w:val="16"/>
        </w:rPr>
        <w:t> </w:t>
      </w:r>
      <w:r>
        <w:rPr>
          <w:w w:val="110"/>
          <w:sz w:val="16"/>
        </w:rPr>
        <w:t>sobre</w:t>
      </w:r>
      <w:r>
        <w:rPr>
          <w:spacing w:val="-7"/>
          <w:w w:val="110"/>
          <w:sz w:val="16"/>
        </w:rPr>
        <w:t> </w:t>
      </w:r>
      <w:r>
        <w:rPr>
          <w:w w:val="110"/>
          <w:sz w:val="16"/>
        </w:rPr>
        <w:t>la nueva geografía y mapas y visiones del desarrollo, en una evaluación crítica al uso de los conceptos </w:t>
      </w:r>
      <w:r>
        <w:rPr>
          <w:i/>
          <w:spacing w:val="-3"/>
          <w:w w:val="110"/>
          <w:sz w:val="16"/>
        </w:rPr>
        <w:t>Tercer </w:t>
      </w:r>
      <w:r>
        <w:rPr>
          <w:i/>
          <w:w w:val="110"/>
          <w:sz w:val="16"/>
        </w:rPr>
        <w:t>Mundo</w:t>
      </w:r>
      <w:r>
        <w:rPr>
          <w:w w:val="110"/>
          <w:sz w:val="16"/>
        </w:rPr>
        <w:t>, </w:t>
      </w:r>
      <w:r>
        <w:rPr>
          <w:i/>
          <w:w w:val="110"/>
          <w:sz w:val="16"/>
        </w:rPr>
        <w:t>Subdesarrollo</w:t>
      </w:r>
      <w:r>
        <w:rPr>
          <w:w w:val="110"/>
          <w:sz w:val="16"/>
        </w:rPr>
        <w:t>, </w:t>
      </w:r>
      <w:r>
        <w:rPr>
          <w:i/>
          <w:w w:val="110"/>
          <w:sz w:val="16"/>
        </w:rPr>
        <w:t>Emergentes </w:t>
      </w:r>
      <w:r>
        <w:rPr>
          <w:w w:val="110"/>
          <w:sz w:val="16"/>
        </w:rPr>
        <w:t>y del </w:t>
      </w:r>
      <w:r>
        <w:rPr>
          <w:i/>
          <w:w w:val="110"/>
          <w:sz w:val="16"/>
        </w:rPr>
        <w:t>Sur</w:t>
      </w:r>
      <w:r>
        <w:rPr>
          <w:w w:val="110"/>
          <w:sz w:val="16"/>
        </w:rPr>
        <w:t>, a partir de  </w:t>
      </w:r>
      <w:r>
        <w:rPr>
          <w:spacing w:val="35"/>
          <w:w w:val="110"/>
          <w:sz w:val="16"/>
        </w:rPr>
        <w:t> </w:t>
      </w:r>
      <w:r>
        <w:rPr>
          <w:w w:val="110"/>
          <w:sz w:val="16"/>
        </w:rPr>
        <w:t>las</w:t>
      </w:r>
    </w:p>
    <w:p>
      <w:pPr>
        <w:spacing w:after="0" w:line="242" w:lineRule="auto"/>
        <w:jc w:val="both"/>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spacing w:val="-11"/>
          <w:w w:val="110"/>
        </w:rPr>
        <w:t>y, </w:t>
      </w:r>
      <w:r>
        <w:rPr>
          <w:w w:val="110"/>
        </w:rPr>
        <w:t>por consiguiente, una diversificación en los motores principales del dinamismo del crecimiento mundial y un incremento acelerado de las interacciones </w:t>
      </w:r>
      <w:r>
        <w:rPr>
          <w:spacing w:val="-5"/>
          <w:w w:val="110"/>
        </w:rPr>
        <w:t>sur-sur,  </w:t>
      </w:r>
      <w:r>
        <w:rPr>
          <w:w w:val="110"/>
        </w:rPr>
        <w:t>entre otros; y por otro lado; 2) la emergencia  de la reciente crisis económica internacional (2007-2009) y sus impli- caciones en términos de reducción en la contribución al crecimiento global de países como Estados unidos, Japón, reino unido, Francia </w:t>
      </w:r>
      <w:r>
        <w:rPr>
          <w:spacing w:val="-11"/>
          <w:w w:val="110"/>
        </w:rPr>
        <w:t>y,  </w:t>
      </w:r>
      <w:r>
        <w:rPr>
          <w:w w:val="110"/>
        </w:rPr>
        <w:t>en general, de la unión  </w:t>
      </w:r>
      <w:r>
        <w:rPr>
          <w:spacing w:val="9"/>
          <w:w w:val="110"/>
        </w:rPr>
        <w:t> </w:t>
      </w:r>
      <w:r>
        <w:rPr>
          <w:w w:val="110"/>
        </w:rPr>
        <w:t>Europea.</w:t>
      </w:r>
    </w:p>
    <w:p>
      <w:pPr>
        <w:pStyle w:val="BodyText"/>
        <w:spacing w:line="252" w:lineRule="auto"/>
        <w:ind w:left="120" w:right="328" w:firstLine="396"/>
        <w:jc w:val="both"/>
      </w:pPr>
      <w:r>
        <w:rPr>
          <w:w w:val="110"/>
        </w:rPr>
        <w:t>El mayor rol económico de países como China e india en la eco- nomía mundial –extendido a la participación de sus mercados do- mésticos–, la emergencia  y  evolución  de  agrupaciones  geopolíticas y económicas como los </w:t>
      </w:r>
      <w:r>
        <w:rPr>
          <w:w w:val="150"/>
        </w:rPr>
        <w:t>briCs </w:t>
      </w:r>
      <w:r>
        <w:rPr>
          <w:w w:val="110"/>
        </w:rPr>
        <w:t>y el G-20, el contexto de declinación hegemónica en el campo de la economía de Estados unidos, entre otros aspectos; han marcado el inicio de importantes cambios en los inicios del siglo </w:t>
      </w:r>
      <w:r>
        <w:rPr>
          <w:w w:val="150"/>
        </w:rPr>
        <w:t>xxi, </w:t>
      </w:r>
      <w:r>
        <w:rPr>
          <w:w w:val="110"/>
        </w:rPr>
        <w:t>con un potencial significativo para modificar </w:t>
      </w:r>
      <w:r>
        <w:rPr>
          <w:w w:val="108"/>
        </w:rPr>
        <w:t>aspectos</w:t>
      </w:r>
      <w:r>
        <w:rPr/>
        <w:t> </w:t>
      </w:r>
      <w:r>
        <w:rPr>
          <w:w w:val="106"/>
        </w:rPr>
        <w:t>relevantes</w:t>
      </w:r>
      <w:r>
        <w:rPr/>
        <w:t> </w:t>
      </w:r>
      <w:r>
        <w:rPr>
          <w:w w:val="108"/>
        </w:rPr>
        <w:t>en</w:t>
      </w:r>
      <w:r>
        <w:rPr/>
        <w:t> </w:t>
      </w:r>
      <w:r>
        <w:rPr>
          <w:w w:val="107"/>
        </w:rPr>
        <w:t>el</w:t>
      </w:r>
      <w:r>
        <w:rPr/>
        <w:t> </w:t>
      </w:r>
      <w:r>
        <w:rPr>
          <w:w w:val="109"/>
        </w:rPr>
        <w:t>escenario</w:t>
      </w:r>
      <w:r>
        <w:rPr/>
        <w:t> </w:t>
      </w:r>
      <w:r>
        <w:rPr>
          <w:w w:val="113"/>
        </w:rPr>
        <w:t>global.</w:t>
      </w:r>
      <w:r>
        <w:rPr/>
        <w:t> </w:t>
      </w:r>
      <w:r>
        <w:rPr>
          <w:w w:val="243"/>
        </w:rPr>
        <w:t>l</w:t>
      </w:r>
      <w:r>
        <w:rPr>
          <w:w w:val="112"/>
        </w:rPr>
        <w:t>a</w:t>
      </w:r>
      <w:r>
        <w:rPr/>
        <w:t> </w:t>
      </w:r>
      <w:r>
        <w:rPr>
          <w:w w:val="111"/>
        </w:rPr>
        <w:t>incorporación</w:t>
      </w:r>
      <w:r>
        <w:rPr/>
        <w:t> </w:t>
      </w:r>
      <w:r>
        <w:rPr>
          <w:w w:val="107"/>
        </w:rPr>
        <w:t>de</w:t>
      </w:r>
      <w:r>
        <w:rPr/>
        <w:t> </w:t>
      </w:r>
      <w:r>
        <w:rPr>
          <w:w w:val="108"/>
        </w:rPr>
        <w:t>países </w:t>
      </w:r>
      <w:r>
        <w:rPr>
          <w:i/>
          <w:w w:val="110"/>
        </w:rPr>
        <w:t>subdesarrollados </w:t>
      </w:r>
      <w:r>
        <w:rPr>
          <w:w w:val="110"/>
        </w:rPr>
        <w:t>–sin dejar de serlo– o del llamado </w:t>
      </w:r>
      <w:r>
        <w:rPr>
          <w:i/>
          <w:w w:val="110"/>
        </w:rPr>
        <w:t>Sur Global </w:t>
      </w:r>
      <w:r>
        <w:rPr>
          <w:w w:val="110"/>
        </w:rPr>
        <w:t>o </w:t>
      </w:r>
      <w:r>
        <w:rPr>
          <w:i/>
          <w:w w:val="110"/>
        </w:rPr>
        <w:t>semi- </w:t>
      </w:r>
      <w:r>
        <w:rPr>
          <w:i/>
          <w:w w:val="110"/>
        </w:rPr>
        <w:t>periferia</w:t>
      </w:r>
      <w:r>
        <w:rPr>
          <w:w w:val="110"/>
        </w:rPr>
        <w:t>, como </w:t>
      </w:r>
      <w:r>
        <w:rPr>
          <w:i/>
          <w:w w:val="110"/>
        </w:rPr>
        <w:t>nuevos núcleos dinámicos </w:t>
      </w:r>
      <w:r>
        <w:rPr>
          <w:w w:val="110"/>
        </w:rPr>
        <w:t>de crecimiento de la eco- nomía mundial, se ha traducido en una mayor </w:t>
      </w:r>
      <w:r>
        <w:rPr>
          <w:i/>
          <w:w w:val="110"/>
        </w:rPr>
        <w:t>heterogeneidad </w:t>
      </w:r>
      <w:r>
        <w:rPr>
          <w:w w:val="110"/>
        </w:rPr>
        <w:t>de este grupo de países, relativizando la convencional dicotomía </w:t>
      </w:r>
      <w:r>
        <w:rPr>
          <w:i/>
          <w:w w:val="110"/>
        </w:rPr>
        <w:t>desarrollo- </w:t>
      </w:r>
      <w:r>
        <w:rPr>
          <w:i/>
          <w:w w:val="110"/>
        </w:rPr>
        <w:t>subdesarrollo </w:t>
      </w:r>
      <w:r>
        <w:rPr>
          <w:w w:val="110"/>
        </w:rPr>
        <w:t>y fortaleciendo las interacciones económicas entre este tipo de países.</w:t>
      </w:r>
    </w:p>
    <w:p>
      <w:pPr>
        <w:pStyle w:val="BodyText"/>
        <w:spacing w:line="252" w:lineRule="auto"/>
        <w:ind w:left="120" w:right="327" w:firstLine="396"/>
        <w:jc w:val="both"/>
      </w:pPr>
      <w:r>
        <w:rPr>
          <w:w w:val="110"/>
        </w:rPr>
        <w:t>desde una perspectiva histórica, en el caso de las interrelaciones </w:t>
      </w:r>
      <w:r>
        <w:rPr>
          <w:w w:val="111"/>
        </w:rPr>
        <w:t>económicas</w:t>
      </w:r>
      <w:r>
        <w:rPr/>
        <w:t>  </w:t>
      </w:r>
      <w:r>
        <w:rPr>
          <w:w w:val="106"/>
        </w:rPr>
        <w:t>entre</w:t>
      </w:r>
      <w:r>
        <w:rPr/>
        <w:t>  </w:t>
      </w:r>
      <w:r>
        <w:rPr>
          <w:w w:val="111"/>
        </w:rPr>
        <w:t>Estados</w:t>
      </w:r>
      <w:r>
        <w:rPr/>
        <w:t>  </w:t>
      </w:r>
      <w:r>
        <w:rPr>
          <w:w w:val="140"/>
        </w:rPr>
        <w:t>u</w:t>
      </w:r>
      <w:r>
        <w:rPr>
          <w:w w:val="110"/>
        </w:rPr>
        <w:t>nidos</w:t>
      </w:r>
      <w:r>
        <w:rPr/>
        <w:t>  </w:t>
      </w:r>
      <w:r>
        <w:rPr>
          <w:w w:val="105"/>
        </w:rPr>
        <w:t>y</w:t>
      </w:r>
      <w:r>
        <w:rPr/>
        <w:t>  </w:t>
      </w:r>
      <w:r>
        <w:rPr>
          <w:w w:val="139"/>
        </w:rPr>
        <w:t>a</w:t>
      </w:r>
      <w:r>
        <w:rPr>
          <w:w w:val="111"/>
        </w:rPr>
        <w:t>mérica</w:t>
      </w:r>
      <w:r>
        <w:rPr/>
        <w:t>  </w:t>
      </w:r>
      <w:r>
        <w:rPr>
          <w:w w:val="243"/>
        </w:rPr>
        <w:t>l</w:t>
      </w:r>
      <w:r>
        <w:rPr>
          <w:w w:val="111"/>
        </w:rPr>
        <w:t>atina</w:t>
      </w:r>
      <w:r>
        <w:rPr/>
        <w:t>  </w:t>
      </w:r>
      <w:r>
        <w:rPr>
          <w:w w:val="105"/>
        </w:rPr>
        <w:t>y</w:t>
      </w:r>
      <w:r>
        <w:rPr/>
        <w:t>  </w:t>
      </w:r>
      <w:r>
        <w:rPr>
          <w:w w:val="107"/>
        </w:rPr>
        <w:t>el</w:t>
      </w:r>
      <w:r>
        <w:rPr/>
        <w:t>  </w:t>
      </w:r>
      <w:r>
        <w:rPr>
          <w:w w:val="114"/>
        </w:rPr>
        <w:t>Caribe,</w:t>
      </w:r>
      <w:r>
        <w:rPr/>
        <w:t>  </w:t>
      </w:r>
      <w:r>
        <w:rPr>
          <w:w w:val="105"/>
        </w:rPr>
        <w:t>se </w:t>
      </w:r>
      <w:r>
        <w:rPr>
          <w:w w:val="110"/>
        </w:rPr>
        <w:t>ha documentado ampliamente en la literatura la existencia de estre- chos vínculos económicos tradicionales, caracterizados por elevados niveles de dependencia en un contexto de enormes asimetrías de in- fluencias en todos los órdenes (económico, político, social, militar, entre otros). Estos vínculos se potenciaron desde los setenta por el proceso de globalización liderado por Estados unidos, e implicó una elevación del protagonismo de las empresas transnacionales, una mayor apertura externa y una creciente intervinculación entre las economías  nacionales.</w:t>
      </w:r>
    </w:p>
    <w:p>
      <w:pPr>
        <w:pStyle w:val="BodyText"/>
        <w:spacing w:line="252" w:lineRule="auto"/>
        <w:ind w:left="120" w:right="326" w:firstLine="396"/>
        <w:jc w:val="both"/>
      </w:pPr>
      <w:r>
        <w:rPr>
          <w:w w:val="115"/>
        </w:rPr>
        <w:t>El</w:t>
      </w:r>
      <w:r>
        <w:rPr>
          <w:spacing w:val="-13"/>
          <w:w w:val="115"/>
        </w:rPr>
        <w:t> </w:t>
      </w:r>
      <w:r>
        <w:rPr>
          <w:w w:val="115"/>
        </w:rPr>
        <w:t>propio</w:t>
      </w:r>
      <w:r>
        <w:rPr>
          <w:spacing w:val="-13"/>
          <w:w w:val="115"/>
        </w:rPr>
        <w:t> </w:t>
      </w:r>
      <w:r>
        <w:rPr>
          <w:w w:val="115"/>
        </w:rPr>
        <w:t>gobierno</w:t>
      </w:r>
      <w:r>
        <w:rPr>
          <w:spacing w:val="-13"/>
          <w:w w:val="115"/>
        </w:rPr>
        <w:t> </w:t>
      </w:r>
      <w:r>
        <w:rPr>
          <w:w w:val="115"/>
        </w:rPr>
        <w:t>estadounidense</w:t>
      </w:r>
      <w:r>
        <w:rPr>
          <w:spacing w:val="-13"/>
          <w:w w:val="115"/>
        </w:rPr>
        <w:t> </w:t>
      </w:r>
      <w:r>
        <w:rPr>
          <w:w w:val="115"/>
        </w:rPr>
        <w:t>impulsó</w:t>
      </w:r>
      <w:r>
        <w:rPr>
          <w:spacing w:val="-13"/>
          <w:w w:val="115"/>
        </w:rPr>
        <w:t> </w:t>
      </w:r>
      <w:r>
        <w:rPr>
          <w:w w:val="115"/>
        </w:rPr>
        <w:t>la</w:t>
      </w:r>
      <w:r>
        <w:rPr>
          <w:spacing w:val="-13"/>
          <w:w w:val="115"/>
        </w:rPr>
        <w:t> </w:t>
      </w:r>
      <w:r>
        <w:rPr>
          <w:w w:val="115"/>
        </w:rPr>
        <w:t>aplicación</w:t>
      </w:r>
      <w:r>
        <w:rPr>
          <w:spacing w:val="-13"/>
          <w:w w:val="115"/>
        </w:rPr>
        <w:t> </w:t>
      </w:r>
      <w:r>
        <w:rPr>
          <w:w w:val="115"/>
        </w:rPr>
        <w:t>de</w:t>
      </w:r>
      <w:r>
        <w:rPr>
          <w:spacing w:val="-13"/>
          <w:w w:val="115"/>
        </w:rPr>
        <w:t> </w:t>
      </w:r>
      <w:r>
        <w:rPr>
          <w:w w:val="115"/>
        </w:rPr>
        <w:t>po- líticas</w:t>
      </w:r>
      <w:r>
        <w:rPr>
          <w:spacing w:val="-11"/>
          <w:w w:val="115"/>
        </w:rPr>
        <w:t> </w:t>
      </w:r>
      <w:r>
        <w:rPr>
          <w:w w:val="115"/>
        </w:rPr>
        <w:t>neoliberales</w:t>
      </w:r>
      <w:r>
        <w:rPr>
          <w:spacing w:val="-11"/>
          <w:w w:val="115"/>
        </w:rPr>
        <w:t> </w:t>
      </w:r>
      <w:r>
        <w:rPr>
          <w:w w:val="115"/>
        </w:rPr>
        <w:t>en</w:t>
      </w:r>
      <w:r>
        <w:rPr>
          <w:spacing w:val="-11"/>
          <w:w w:val="115"/>
        </w:rPr>
        <w:t> </w:t>
      </w:r>
      <w:r>
        <w:rPr>
          <w:w w:val="115"/>
        </w:rPr>
        <w:t>la</w:t>
      </w:r>
      <w:r>
        <w:rPr>
          <w:spacing w:val="-11"/>
          <w:w w:val="115"/>
        </w:rPr>
        <w:t> </w:t>
      </w:r>
      <w:r>
        <w:rPr>
          <w:w w:val="115"/>
        </w:rPr>
        <w:t>región,</w:t>
      </w:r>
      <w:r>
        <w:rPr>
          <w:spacing w:val="-11"/>
          <w:w w:val="115"/>
        </w:rPr>
        <w:t> </w:t>
      </w:r>
      <w:r>
        <w:rPr>
          <w:w w:val="115"/>
        </w:rPr>
        <w:t>como</w:t>
      </w:r>
      <w:r>
        <w:rPr>
          <w:spacing w:val="-11"/>
          <w:w w:val="115"/>
        </w:rPr>
        <w:t> </w:t>
      </w:r>
      <w:r>
        <w:rPr>
          <w:w w:val="115"/>
        </w:rPr>
        <w:t>respuesta</w:t>
      </w:r>
      <w:r>
        <w:rPr>
          <w:spacing w:val="-11"/>
          <w:w w:val="115"/>
        </w:rPr>
        <w:t> </w:t>
      </w:r>
      <w:r>
        <w:rPr>
          <w:w w:val="115"/>
        </w:rPr>
        <w:t>a</w:t>
      </w:r>
      <w:r>
        <w:rPr>
          <w:spacing w:val="-11"/>
          <w:w w:val="115"/>
        </w:rPr>
        <w:t> </w:t>
      </w:r>
      <w:r>
        <w:rPr>
          <w:w w:val="115"/>
        </w:rPr>
        <w:t>la</w:t>
      </w:r>
      <w:r>
        <w:rPr>
          <w:spacing w:val="-11"/>
          <w:w w:val="115"/>
        </w:rPr>
        <w:t> </w:t>
      </w:r>
      <w:r>
        <w:rPr>
          <w:w w:val="115"/>
        </w:rPr>
        <w:t>crisis</w:t>
      </w:r>
      <w:r>
        <w:rPr>
          <w:spacing w:val="-11"/>
          <w:w w:val="115"/>
        </w:rPr>
        <w:t> </w:t>
      </w:r>
      <w:r>
        <w:rPr>
          <w:w w:val="115"/>
        </w:rPr>
        <w:t>de</w:t>
      </w:r>
      <w:r>
        <w:rPr>
          <w:spacing w:val="-11"/>
          <w:w w:val="115"/>
        </w:rPr>
        <w:t> </w:t>
      </w:r>
      <w:r>
        <w:rPr>
          <w:w w:val="115"/>
        </w:rPr>
        <w:t>la</w:t>
      </w:r>
      <w:r>
        <w:rPr>
          <w:spacing w:val="-11"/>
          <w:w w:val="115"/>
        </w:rPr>
        <w:t> </w:t>
      </w:r>
      <w:r>
        <w:rPr>
          <w:w w:val="115"/>
        </w:rPr>
        <w:t>deu- da externa </w:t>
      </w:r>
      <w:r>
        <w:rPr>
          <w:spacing w:val="-10"/>
          <w:w w:val="115"/>
        </w:rPr>
        <w:t>y, </w:t>
      </w:r>
      <w:r>
        <w:rPr>
          <w:w w:val="115"/>
        </w:rPr>
        <w:t>sobre todo, para eliminar las barreras a la expansión de sus flujos de comercio e inversión, y garantizar las mejores con- diciones para la valorización de su capital transnacional. Proyectos como la alianza para el Progreso en los sesenta, la iniciativa para   la Cuenca del Caribe a inicios de los ochenta y más recientemente </w:t>
      </w:r>
      <w:r>
        <w:rPr>
          <w:spacing w:val="1"/>
          <w:w w:val="107"/>
        </w:rPr>
        <w:t>e</w:t>
      </w:r>
      <w:r>
        <w:rPr>
          <w:w w:val="107"/>
        </w:rPr>
        <w:t>l</w:t>
      </w:r>
      <w:r>
        <w:rPr/>
        <w:t> </w:t>
      </w:r>
      <w:r>
        <w:rPr>
          <w:spacing w:val="-13"/>
        </w:rPr>
        <w:t> </w:t>
      </w:r>
      <w:r>
        <w:rPr>
          <w:spacing w:val="1"/>
          <w:w w:val="139"/>
        </w:rPr>
        <w:t>a</w:t>
      </w:r>
      <w:r>
        <w:rPr>
          <w:spacing w:val="1"/>
          <w:w w:val="109"/>
        </w:rPr>
        <w:t>cuerd</w:t>
      </w:r>
      <w:r>
        <w:rPr>
          <w:w w:val="109"/>
        </w:rPr>
        <w:t>o</w:t>
      </w:r>
      <w:r>
        <w:rPr/>
        <w:t> </w:t>
      </w:r>
      <w:r>
        <w:rPr>
          <w:spacing w:val="-13"/>
        </w:rPr>
        <w:t> </w:t>
      </w:r>
      <w:r>
        <w:rPr>
          <w:spacing w:val="1"/>
          <w:w w:val="107"/>
        </w:rPr>
        <w:t>d</w:t>
      </w:r>
      <w:r>
        <w:rPr>
          <w:w w:val="107"/>
        </w:rPr>
        <w:t>e</w:t>
      </w:r>
      <w:r>
        <w:rPr/>
        <w:t> </w:t>
      </w:r>
      <w:r>
        <w:rPr>
          <w:spacing w:val="-13"/>
        </w:rPr>
        <w:t> </w:t>
      </w:r>
      <w:r>
        <w:rPr>
          <w:spacing w:val="1"/>
          <w:w w:val="243"/>
        </w:rPr>
        <w:t>l</w:t>
      </w:r>
      <w:r>
        <w:rPr>
          <w:spacing w:val="1"/>
          <w:w w:val="108"/>
        </w:rPr>
        <w:t>ibr</w:t>
      </w:r>
      <w:r>
        <w:rPr>
          <w:w w:val="108"/>
        </w:rPr>
        <w:t>e</w:t>
      </w:r>
      <w:r>
        <w:rPr/>
        <w:t> </w:t>
      </w:r>
      <w:r>
        <w:rPr>
          <w:spacing w:val="-13"/>
        </w:rPr>
        <w:t> </w:t>
      </w:r>
      <w:r>
        <w:rPr>
          <w:spacing w:val="1"/>
          <w:w w:val="112"/>
        </w:rPr>
        <w:t>Comerci</w:t>
      </w:r>
      <w:r>
        <w:rPr>
          <w:w w:val="112"/>
        </w:rPr>
        <w:t>o</w:t>
      </w:r>
      <w:r>
        <w:rPr/>
        <w:t> </w:t>
      </w:r>
      <w:r>
        <w:rPr>
          <w:spacing w:val="-13"/>
        </w:rPr>
        <w:t> </w:t>
      </w:r>
      <w:r>
        <w:rPr>
          <w:spacing w:val="1"/>
          <w:w w:val="109"/>
        </w:rPr>
        <w:t>par</w:t>
      </w:r>
      <w:r>
        <w:rPr>
          <w:w w:val="109"/>
        </w:rPr>
        <w:t>a</w:t>
      </w:r>
      <w:r>
        <w:rPr/>
        <w:t> </w:t>
      </w:r>
      <w:r>
        <w:rPr>
          <w:spacing w:val="-13"/>
        </w:rPr>
        <w:t> </w:t>
      </w:r>
      <w:r>
        <w:rPr>
          <w:spacing w:val="1"/>
          <w:w w:val="109"/>
        </w:rPr>
        <w:t>la</w:t>
      </w:r>
      <w:r>
        <w:rPr>
          <w:w w:val="109"/>
        </w:rPr>
        <w:t>s</w:t>
      </w:r>
      <w:r>
        <w:rPr/>
        <w:t> </w:t>
      </w:r>
      <w:r>
        <w:rPr>
          <w:spacing w:val="-13"/>
        </w:rPr>
        <w:t> </w:t>
      </w:r>
      <w:r>
        <w:rPr>
          <w:spacing w:val="1"/>
          <w:w w:val="139"/>
        </w:rPr>
        <w:t>a</w:t>
      </w:r>
      <w:r>
        <w:rPr>
          <w:spacing w:val="1"/>
          <w:w w:val="110"/>
        </w:rPr>
        <w:t>mérica</w:t>
      </w:r>
      <w:r>
        <w:rPr>
          <w:w w:val="110"/>
        </w:rPr>
        <w:t>s</w:t>
      </w:r>
      <w:r>
        <w:rPr/>
        <w:t> </w:t>
      </w:r>
      <w:r>
        <w:rPr>
          <w:spacing w:val="-13"/>
        </w:rPr>
        <w:t> </w:t>
      </w:r>
      <w:r>
        <w:rPr>
          <w:spacing w:val="1"/>
          <w:w w:val="98"/>
        </w:rPr>
        <w:t>(</w:t>
      </w:r>
      <w:r>
        <w:rPr>
          <w:spacing w:val="1"/>
          <w:w w:val="176"/>
        </w:rPr>
        <w:t>al</w:t>
      </w:r>
      <w:r>
        <w:rPr>
          <w:spacing w:val="1"/>
          <w:w w:val="124"/>
        </w:rPr>
        <w:t>C</w:t>
      </w:r>
      <w:r>
        <w:rPr>
          <w:spacing w:val="1"/>
          <w:w w:val="139"/>
        </w:rPr>
        <w:t>a</w:t>
      </w:r>
      <w:r>
        <w:rPr>
          <w:spacing w:val="1"/>
          <w:w w:val="112"/>
        </w:rPr>
        <w:t>)</w:t>
      </w:r>
      <w:r>
        <w:rPr>
          <w:w w:val="112"/>
        </w:rPr>
        <w:t>,</w:t>
      </w:r>
      <w:r>
        <w:rPr/>
        <w:t> </w:t>
      </w:r>
      <w:r>
        <w:rPr>
          <w:spacing w:val="-13"/>
        </w:rPr>
        <w:t> </w:t>
      </w:r>
      <w:r>
        <w:rPr>
          <w:spacing w:val="1"/>
          <w:w w:val="110"/>
        </w:rPr>
        <w:t>lueg</w:t>
      </w:r>
      <w:r>
        <w:rPr>
          <w:w w:val="110"/>
        </w:rPr>
        <w:t>o</w:t>
      </w:r>
      <w:r>
        <w:rPr/>
        <w:t> </w:t>
      </w:r>
      <w:r>
        <w:rPr>
          <w:spacing w:val="-13"/>
        </w:rPr>
        <w:t> </w:t>
      </w:r>
      <w:r>
        <w:rPr>
          <w:spacing w:val="1"/>
          <w:w w:val="107"/>
        </w:rPr>
        <w:t>de</w:t>
      </w:r>
      <w:r>
        <w:rPr>
          <w:w w:val="102"/>
        </w:rPr>
        <w:t>-</w:t>
      </w:r>
    </w:p>
    <w:p>
      <w:pPr>
        <w:pStyle w:val="BodyText"/>
        <w:spacing w:before="4"/>
      </w:pPr>
      <w:r>
        <w:rPr/>
        <w:pict>
          <v:line style="position:absolute;mso-position-horizontal-relative:page;mso-position-vertical-relative:paragraph;z-index:8488;mso-wrap-distance-left:0;mso-wrap-distance-right:0" from="51.023602pt,13.563634pt" to="79.369602pt,13.563634pt" stroked="true" strokeweight=".5pt" strokecolor="#000000">
            <w10:wrap type="topAndBottom"/>
          </v:line>
        </w:pict>
      </w:r>
    </w:p>
    <w:p>
      <w:pPr>
        <w:spacing w:line="242" w:lineRule="auto" w:before="89"/>
        <w:ind w:left="120" w:right="321" w:firstLine="0"/>
        <w:jc w:val="left"/>
        <w:rPr>
          <w:sz w:val="16"/>
        </w:rPr>
      </w:pPr>
      <w:r>
        <w:rPr>
          <w:w w:val="105"/>
          <w:sz w:val="16"/>
        </w:rPr>
        <w:t>nuevas condiciones de la economía internacional y especialmente discute sobre las implicaciones epistemológicas y geopolíticas de endosar cada una de ellas.</w:t>
      </w:r>
    </w:p>
    <w:p>
      <w:pPr>
        <w:spacing w:after="0" w:line="242" w:lineRule="auto"/>
        <w:jc w:val="left"/>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6"/>
        <w:jc w:val="both"/>
      </w:pPr>
      <w:r>
        <w:rPr>
          <w:spacing w:val="1"/>
          <w:w w:val="108"/>
        </w:rPr>
        <w:t>venid</w:t>
      </w:r>
      <w:r>
        <w:rPr>
          <w:w w:val="108"/>
        </w:rPr>
        <w:t>o</w:t>
      </w:r>
      <w:r>
        <w:rPr/>
        <w:t> </w:t>
      </w:r>
      <w:r>
        <w:rPr>
          <w:spacing w:val="5"/>
        </w:rPr>
        <w:t> </w:t>
      </w:r>
      <w:r>
        <w:rPr>
          <w:spacing w:val="-16"/>
          <w:w w:val="195"/>
        </w:rPr>
        <w:t>t</w:t>
      </w:r>
      <w:r>
        <w:rPr>
          <w:spacing w:val="1"/>
          <w:w w:val="109"/>
        </w:rPr>
        <w:t>ratado</w:t>
      </w:r>
      <w:r>
        <w:rPr>
          <w:w w:val="109"/>
        </w:rPr>
        <w:t>s</w:t>
      </w:r>
      <w:r>
        <w:rPr/>
        <w:t> </w:t>
      </w:r>
      <w:r>
        <w:rPr>
          <w:spacing w:val="5"/>
        </w:rPr>
        <w:t> </w:t>
      </w:r>
      <w:r>
        <w:rPr>
          <w:spacing w:val="1"/>
          <w:w w:val="107"/>
        </w:rPr>
        <w:t>d</w:t>
      </w:r>
      <w:r>
        <w:rPr>
          <w:w w:val="107"/>
        </w:rPr>
        <w:t>e</w:t>
      </w:r>
      <w:r>
        <w:rPr/>
        <w:t> </w:t>
      </w:r>
      <w:r>
        <w:rPr>
          <w:spacing w:val="5"/>
        </w:rPr>
        <w:t> </w:t>
      </w:r>
      <w:r>
        <w:rPr>
          <w:spacing w:val="1"/>
          <w:w w:val="243"/>
        </w:rPr>
        <w:t>l</w:t>
      </w:r>
      <w:r>
        <w:rPr>
          <w:spacing w:val="1"/>
          <w:w w:val="108"/>
        </w:rPr>
        <w:t>ibr</w:t>
      </w:r>
      <w:r>
        <w:rPr>
          <w:w w:val="108"/>
        </w:rPr>
        <w:t>e</w:t>
      </w:r>
      <w:r>
        <w:rPr/>
        <w:t> </w:t>
      </w:r>
      <w:r>
        <w:rPr>
          <w:spacing w:val="5"/>
        </w:rPr>
        <w:t> </w:t>
      </w:r>
      <w:r>
        <w:rPr>
          <w:spacing w:val="1"/>
          <w:w w:val="112"/>
        </w:rPr>
        <w:t>Comerci</w:t>
      </w:r>
      <w:r>
        <w:rPr>
          <w:w w:val="112"/>
        </w:rPr>
        <w:t>o</w:t>
      </w:r>
      <w:r>
        <w:rPr/>
        <w:t> </w:t>
      </w:r>
      <w:r>
        <w:rPr>
          <w:spacing w:val="5"/>
        </w:rPr>
        <w:t> </w:t>
      </w:r>
      <w:r>
        <w:rPr>
          <w:spacing w:val="1"/>
          <w:w w:val="112"/>
        </w:rPr>
        <w:t>co</w:t>
      </w:r>
      <w:r>
        <w:rPr>
          <w:w w:val="112"/>
        </w:rPr>
        <w:t>n</w:t>
      </w:r>
      <w:r>
        <w:rPr/>
        <w:t> </w:t>
      </w:r>
      <w:r>
        <w:rPr>
          <w:spacing w:val="5"/>
        </w:rPr>
        <w:t> </w:t>
      </w:r>
      <w:r>
        <w:rPr>
          <w:spacing w:val="1"/>
          <w:w w:val="108"/>
        </w:rPr>
        <w:t>paíse</w:t>
      </w:r>
      <w:r>
        <w:rPr>
          <w:w w:val="108"/>
        </w:rPr>
        <w:t>s</w:t>
      </w:r>
      <w:r>
        <w:rPr/>
        <w:t> </w:t>
      </w:r>
      <w:r>
        <w:rPr>
          <w:spacing w:val="5"/>
        </w:rPr>
        <w:t> </w:t>
      </w:r>
      <w:r>
        <w:rPr>
          <w:spacing w:val="1"/>
          <w:w w:val="110"/>
        </w:rPr>
        <w:t>individuales</w:t>
      </w:r>
      <w:r>
        <w:rPr>
          <w:w w:val="110"/>
        </w:rPr>
        <w:t>,</w:t>
      </w:r>
      <w:r>
        <w:rPr/>
        <w:t> </w:t>
      </w:r>
      <w:r>
        <w:rPr>
          <w:spacing w:val="5"/>
        </w:rPr>
        <w:t> </w:t>
      </w:r>
      <w:r>
        <w:rPr>
          <w:spacing w:val="1"/>
          <w:w w:val="106"/>
        </w:rPr>
        <w:t>entre </w:t>
      </w:r>
      <w:r>
        <w:rPr>
          <w:w w:val="115"/>
        </w:rPr>
        <w:t>otros,</w:t>
      </w:r>
      <w:r>
        <w:rPr>
          <w:spacing w:val="-19"/>
          <w:w w:val="115"/>
        </w:rPr>
        <w:t> </w:t>
      </w:r>
      <w:r>
        <w:rPr>
          <w:w w:val="115"/>
        </w:rPr>
        <w:t>constituyen</w:t>
      </w:r>
      <w:r>
        <w:rPr>
          <w:spacing w:val="-19"/>
          <w:w w:val="115"/>
        </w:rPr>
        <w:t> </w:t>
      </w:r>
      <w:r>
        <w:rPr>
          <w:w w:val="115"/>
        </w:rPr>
        <w:t>algunos</w:t>
      </w:r>
      <w:r>
        <w:rPr>
          <w:spacing w:val="-19"/>
          <w:w w:val="115"/>
        </w:rPr>
        <w:t> </w:t>
      </w:r>
      <w:r>
        <w:rPr>
          <w:w w:val="115"/>
        </w:rPr>
        <w:t>precedentes</w:t>
      </w:r>
      <w:r>
        <w:rPr>
          <w:spacing w:val="-19"/>
          <w:w w:val="115"/>
        </w:rPr>
        <w:t> </w:t>
      </w:r>
      <w:r>
        <w:rPr>
          <w:w w:val="115"/>
        </w:rPr>
        <w:t>históricos</w:t>
      </w:r>
      <w:r>
        <w:rPr>
          <w:spacing w:val="-19"/>
          <w:w w:val="115"/>
        </w:rPr>
        <w:t> </w:t>
      </w:r>
      <w:r>
        <w:rPr>
          <w:w w:val="115"/>
        </w:rPr>
        <w:t>de</w:t>
      </w:r>
      <w:r>
        <w:rPr>
          <w:spacing w:val="-19"/>
          <w:w w:val="115"/>
        </w:rPr>
        <w:t> </w:t>
      </w:r>
      <w:r>
        <w:rPr>
          <w:w w:val="115"/>
        </w:rPr>
        <w:t>la</w:t>
      </w:r>
      <w:r>
        <w:rPr>
          <w:spacing w:val="-19"/>
          <w:w w:val="115"/>
        </w:rPr>
        <w:t> </w:t>
      </w:r>
      <w:r>
        <w:rPr>
          <w:w w:val="115"/>
        </w:rPr>
        <w:t>instituciona- lización</w:t>
      </w:r>
      <w:r>
        <w:rPr>
          <w:spacing w:val="-15"/>
          <w:w w:val="115"/>
        </w:rPr>
        <w:t> </w:t>
      </w:r>
      <w:r>
        <w:rPr>
          <w:w w:val="115"/>
        </w:rPr>
        <w:t>de</w:t>
      </w:r>
      <w:r>
        <w:rPr>
          <w:spacing w:val="-15"/>
          <w:w w:val="115"/>
        </w:rPr>
        <w:t> </w:t>
      </w:r>
      <w:r>
        <w:rPr>
          <w:w w:val="115"/>
        </w:rPr>
        <w:t>la</w:t>
      </w:r>
      <w:r>
        <w:rPr>
          <w:spacing w:val="-15"/>
          <w:w w:val="115"/>
        </w:rPr>
        <w:t> </w:t>
      </w:r>
      <w:r>
        <w:rPr>
          <w:w w:val="115"/>
        </w:rPr>
        <w:t>dependencia</w:t>
      </w:r>
      <w:r>
        <w:rPr>
          <w:spacing w:val="-15"/>
          <w:w w:val="115"/>
        </w:rPr>
        <w:t> </w:t>
      </w:r>
      <w:r>
        <w:rPr>
          <w:w w:val="115"/>
        </w:rPr>
        <w:t>comercial,</w:t>
      </w:r>
      <w:r>
        <w:rPr>
          <w:spacing w:val="-15"/>
          <w:w w:val="115"/>
        </w:rPr>
        <w:t> </w:t>
      </w:r>
      <w:r>
        <w:rPr>
          <w:w w:val="115"/>
        </w:rPr>
        <w:t>financiera</w:t>
      </w:r>
      <w:r>
        <w:rPr>
          <w:spacing w:val="-15"/>
          <w:w w:val="115"/>
        </w:rPr>
        <w:t> </w:t>
      </w:r>
      <w:r>
        <w:rPr>
          <w:w w:val="115"/>
        </w:rPr>
        <w:t>e</w:t>
      </w:r>
      <w:r>
        <w:rPr>
          <w:spacing w:val="-15"/>
          <w:w w:val="115"/>
        </w:rPr>
        <w:t> </w:t>
      </w:r>
      <w:r>
        <w:rPr>
          <w:w w:val="115"/>
        </w:rPr>
        <w:t>incluso</w:t>
      </w:r>
      <w:r>
        <w:rPr>
          <w:spacing w:val="-15"/>
          <w:w w:val="115"/>
        </w:rPr>
        <w:t> </w:t>
      </w:r>
      <w:r>
        <w:rPr>
          <w:w w:val="115"/>
        </w:rPr>
        <w:t>política</w:t>
      </w:r>
      <w:r>
        <w:rPr>
          <w:spacing w:val="-15"/>
          <w:w w:val="115"/>
        </w:rPr>
        <w:t> </w:t>
      </w:r>
      <w:r>
        <w:rPr>
          <w:w w:val="115"/>
        </w:rPr>
        <w:t>de la región hacia Estados</w:t>
      </w:r>
      <w:r>
        <w:rPr>
          <w:spacing w:val="12"/>
          <w:w w:val="115"/>
        </w:rPr>
        <w:t> </w:t>
      </w:r>
      <w:r>
        <w:rPr>
          <w:w w:val="115"/>
        </w:rPr>
        <w:t>unidos.</w:t>
      </w:r>
    </w:p>
    <w:p>
      <w:pPr>
        <w:pStyle w:val="BodyText"/>
        <w:spacing w:line="252" w:lineRule="auto"/>
        <w:ind w:left="330" w:right="117" w:firstLine="397"/>
        <w:jc w:val="both"/>
      </w:pPr>
      <w:r>
        <w:rPr>
          <w:w w:val="110"/>
        </w:rPr>
        <w:t>Hasta</w:t>
      </w:r>
      <w:r>
        <w:rPr>
          <w:spacing w:val="-10"/>
          <w:w w:val="110"/>
        </w:rPr>
        <w:t> </w:t>
      </w:r>
      <w:r>
        <w:rPr>
          <w:w w:val="110"/>
        </w:rPr>
        <w:t>fines</w:t>
      </w:r>
      <w:r>
        <w:rPr>
          <w:spacing w:val="-10"/>
          <w:w w:val="110"/>
        </w:rPr>
        <w:t> </w:t>
      </w:r>
      <w:r>
        <w:rPr>
          <w:w w:val="110"/>
        </w:rPr>
        <w:t>de</w:t>
      </w:r>
      <w:r>
        <w:rPr>
          <w:spacing w:val="-10"/>
          <w:w w:val="110"/>
        </w:rPr>
        <w:t> </w:t>
      </w:r>
      <w:r>
        <w:rPr>
          <w:w w:val="110"/>
        </w:rPr>
        <w:t>los</w:t>
      </w:r>
      <w:r>
        <w:rPr>
          <w:spacing w:val="-10"/>
          <w:w w:val="110"/>
        </w:rPr>
        <w:t> </w:t>
      </w:r>
      <w:r>
        <w:rPr>
          <w:w w:val="110"/>
        </w:rPr>
        <w:t>noventa,</w:t>
      </w:r>
      <w:r>
        <w:rPr>
          <w:spacing w:val="-10"/>
          <w:w w:val="110"/>
        </w:rPr>
        <w:t> </w:t>
      </w:r>
      <w:r>
        <w:rPr>
          <w:w w:val="110"/>
        </w:rPr>
        <w:t>prevaleció</w:t>
      </w:r>
      <w:r>
        <w:rPr>
          <w:spacing w:val="-10"/>
          <w:w w:val="110"/>
        </w:rPr>
        <w:t> </w:t>
      </w:r>
      <w:r>
        <w:rPr>
          <w:w w:val="110"/>
        </w:rPr>
        <w:t>una</w:t>
      </w:r>
      <w:r>
        <w:rPr>
          <w:spacing w:val="-10"/>
          <w:w w:val="110"/>
        </w:rPr>
        <w:t> </w:t>
      </w:r>
      <w:r>
        <w:rPr>
          <w:w w:val="110"/>
        </w:rPr>
        <w:t>dinámica</w:t>
      </w:r>
      <w:r>
        <w:rPr>
          <w:spacing w:val="-10"/>
          <w:w w:val="110"/>
        </w:rPr>
        <w:t> </w:t>
      </w:r>
      <w:r>
        <w:rPr>
          <w:w w:val="110"/>
        </w:rPr>
        <w:t>unidireccional en</w:t>
      </w:r>
      <w:r>
        <w:rPr>
          <w:spacing w:val="-11"/>
          <w:w w:val="110"/>
        </w:rPr>
        <w:t> </w:t>
      </w:r>
      <w:r>
        <w:rPr>
          <w:w w:val="110"/>
        </w:rPr>
        <w:t>la</w:t>
      </w:r>
      <w:r>
        <w:rPr>
          <w:spacing w:val="-11"/>
          <w:w w:val="110"/>
        </w:rPr>
        <w:t> </w:t>
      </w:r>
      <w:r>
        <w:rPr>
          <w:w w:val="110"/>
        </w:rPr>
        <w:t>que</w:t>
      </w:r>
      <w:r>
        <w:rPr>
          <w:spacing w:val="-11"/>
          <w:w w:val="110"/>
        </w:rPr>
        <w:t> </w:t>
      </w:r>
      <w:r>
        <w:rPr>
          <w:w w:val="110"/>
        </w:rPr>
        <w:t>la</w:t>
      </w:r>
      <w:r>
        <w:rPr>
          <w:spacing w:val="-11"/>
          <w:w w:val="110"/>
        </w:rPr>
        <w:t> </w:t>
      </w:r>
      <w:r>
        <w:rPr>
          <w:w w:val="110"/>
        </w:rPr>
        <w:t>mayoría</w:t>
      </w:r>
      <w:r>
        <w:rPr>
          <w:spacing w:val="-11"/>
          <w:w w:val="110"/>
        </w:rPr>
        <w:t> </w:t>
      </w:r>
      <w:r>
        <w:rPr>
          <w:w w:val="110"/>
        </w:rPr>
        <w:t>de</w:t>
      </w:r>
      <w:r>
        <w:rPr>
          <w:spacing w:val="-11"/>
          <w:w w:val="110"/>
        </w:rPr>
        <w:t> </w:t>
      </w:r>
      <w:r>
        <w:rPr>
          <w:w w:val="110"/>
        </w:rPr>
        <w:t>los</w:t>
      </w:r>
      <w:r>
        <w:rPr>
          <w:spacing w:val="-11"/>
          <w:w w:val="110"/>
        </w:rPr>
        <w:t> </w:t>
      </w:r>
      <w:r>
        <w:rPr>
          <w:w w:val="110"/>
        </w:rPr>
        <w:t>shocks</w:t>
      </w:r>
      <w:r>
        <w:rPr>
          <w:spacing w:val="-11"/>
          <w:w w:val="110"/>
        </w:rPr>
        <w:t> </w:t>
      </w:r>
      <w:r>
        <w:rPr>
          <w:w w:val="110"/>
        </w:rPr>
        <w:t>externos</w:t>
      </w:r>
      <w:r>
        <w:rPr>
          <w:spacing w:val="-11"/>
          <w:w w:val="110"/>
        </w:rPr>
        <w:t> </w:t>
      </w:r>
      <w:r>
        <w:rPr>
          <w:w w:val="110"/>
        </w:rPr>
        <w:t>significativos</w:t>
      </w:r>
      <w:r>
        <w:rPr>
          <w:spacing w:val="-11"/>
          <w:w w:val="110"/>
        </w:rPr>
        <w:t> </w:t>
      </w:r>
      <w:r>
        <w:rPr>
          <w:w w:val="110"/>
        </w:rPr>
        <w:t>que</w:t>
      </w:r>
      <w:r>
        <w:rPr>
          <w:spacing w:val="-11"/>
          <w:w w:val="110"/>
        </w:rPr>
        <w:t> </w:t>
      </w:r>
      <w:r>
        <w:rPr>
          <w:w w:val="110"/>
        </w:rPr>
        <w:t>afectaban </w:t>
      </w:r>
      <w:r>
        <w:rPr>
          <w:w w:val="111"/>
        </w:rPr>
        <w:t>a</w:t>
      </w:r>
      <w:r>
        <w:rPr>
          <w:spacing w:val="4"/>
        </w:rPr>
        <w:t> </w:t>
      </w:r>
      <w:r>
        <w:rPr>
          <w:w w:val="241"/>
        </w:rPr>
        <w:t>l</w:t>
      </w:r>
      <w:r>
        <w:rPr>
          <w:w w:val="111"/>
        </w:rPr>
        <w:t>atinoamérica,</w:t>
      </w:r>
      <w:r>
        <w:rPr>
          <w:spacing w:val="4"/>
        </w:rPr>
        <w:t> </w:t>
      </w:r>
      <w:r>
        <w:rPr>
          <w:w w:val="104"/>
        </w:rPr>
        <w:t>se</w:t>
      </w:r>
      <w:r>
        <w:rPr>
          <w:spacing w:val="4"/>
        </w:rPr>
        <w:t> </w:t>
      </w:r>
      <w:r>
        <w:rPr>
          <w:w w:val="110"/>
        </w:rPr>
        <w:t>originaban</w:t>
      </w:r>
      <w:r>
        <w:rPr>
          <w:spacing w:val="4"/>
        </w:rPr>
        <w:t> </w:t>
      </w:r>
      <w:r>
        <w:rPr>
          <w:w w:val="107"/>
        </w:rPr>
        <w:t>en</w:t>
      </w:r>
      <w:r>
        <w:rPr>
          <w:spacing w:val="4"/>
        </w:rPr>
        <w:t> </w:t>
      </w:r>
      <w:r>
        <w:rPr>
          <w:w w:val="110"/>
        </w:rPr>
        <w:t>Estados</w:t>
      </w:r>
      <w:r>
        <w:rPr>
          <w:spacing w:val="4"/>
        </w:rPr>
        <w:t> </w:t>
      </w:r>
      <w:r>
        <w:rPr>
          <w:w w:val="138"/>
        </w:rPr>
        <w:t>u</w:t>
      </w:r>
      <w:r>
        <w:rPr>
          <w:w w:val="111"/>
        </w:rPr>
        <w:t>nidos.</w:t>
      </w:r>
      <w:r>
        <w:rPr>
          <w:spacing w:val="4"/>
        </w:rPr>
        <w:t> </w:t>
      </w:r>
      <w:r>
        <w:rPr>
          <w:w w:val="138"/>
        </w:rPr>
        <w:t>a</w:t>
      </w:r>
      <w:r>
        <w:rPr>
          <w:w w:val="114"/>
        </w:rPr>
        <w:t>sí,</w:t>
      </w:r>
      <w:r>
        <w:rPr>
          <w:spacing w:val="4"/>
        </w:rPr>
        <w:t> </w:t>
      </w:r>
      <w:r>
        <w:rPr>
          <w:w w:val="107"/>
        </w:rPr>
        <w:t>en</w:t>
      </w:r>
      <w:r>
        <w:rPr>
          <w:spacing w:val="4"/>
        </w:rPr>
        <w:t> </w:t>
      </w:r>
      <w:r>
        <w:rPr>
          <w:w w:val="107"/>
        </w:rPr>
        <w:t>los</w:t>
      </w:r>
      <w:r>
        <w:rPr>
          <w:spacing w:val="4"/>
        </w:rPr>
        <w:t> </w:t>
      </w:r>
      <w:r>
        <w:rPr>
          <w:w w:val="111"/>
        </w:rPr>
        <w:t>ochenta, </w:t>
      </w:r>
      <w:r>
        <w:rPr>
          <w:w w:val="110"/>
        </w:rPr>
        <w:t>la crisis de la deuda externa, que dejó como legado una </w:t>
      </w:r>
      <w:r>
        <w:rPr>
          <w:i/>
          <w:w w:val="110"/>
        </w:rPr>
        <w:t>década perdi- </w:t>
      </w:r>
      <w:r>
        <w:rPr>
          <w:i/>
          <w:w w:val="110"/>
        </w:rPr>
        <w:t>da </w:t>
      </w:r>
      <w:r>
        <w:rPr>
          <w:w w:val="110"/>
        </w:rPr>
        <w:t>en términos de desarrollo, tuvo como detonante el aumento de las tasas de interés norteamericanas. asimismo, a inicios de los noventa, desapareció la restricción externa de liquidez que había padecido la región a partir de la crisis de la deuda. Nuevamente, en esta ocasión, la situación económica de Estados unidos desempeñó un papel clave. </w:t>
      </w:r>
      <w:r>
        <w:rPr>
          <w:w w:val="241"/>
        </w:rPr>
        <w:t>l</w:t>
      </w:r>
      <w:r>
        <w:rPr>
          <w:w w:val="108"/>
        </w:rPr>
        <w:t>as</w:t>
      </w:r>
      <w:r>
        <w:rPr>
          <w:spacing w:val="7"/>
        </w:rPr>
        <w:t> </w:t>
      </w:r>
      <w:r>
        <w:rPr>
          <w:w w:val="109"/>
        </w:rPr>
        <w:t>bajas</w:t>
      </w:r>
      <w:r>
        <w:rPr>
          <w:spacing w:val="7"/>
        </w:rPr>
        <w:t> </w:t>
      </w:r>
      <w:r>
        <w:rPr>
          <w:w w:val="107"/>
        </w:rPr>
        <w:t>tasas</w:t>
      </w:r>
      <w:r>
        <w:rPr>
          <w:spacing w:val="7"/>
        </w:rPr>
        <w:t> </w:t>
      </w:r>
      <w:r>
        <w:rPr>
          <w:w w:val="105"/>
        </w:rPr>
        <w:t>de</w:t>
      </w:r>
      <w:r>
        <w:rPr>
          <w:spacing w:val="7"/>
        </w:rPr>
        <w:t> </w:t>
      </w:r>
      <w:r>
        <w:rPr>
          <w:w w:val="106"/>
        </w:rPr>
        <w:t>interés</w:t>
      </w:r>
      <w:r>
        <w:rPr>
          <w:spacing w:val="7"/>
        </w:rPr>
        <w:t> </w:t>
      </w:r>
      <w:r>
        <w:rPr>
          <w:w w:val="105"/>
        </w:rPr>
        <w:t>de</w:t>
      </w:r>
      <w:r>
        <w:rPr>
          <w:spacing w:val="7"/>
        </w:rPr>
        <w:t> </w:t>
      </w:r>
      <w:r>
        <w:rPr>
          <w:w w:val="108"/>
        </w:rPr>
        <w:t>corto</w:t>
      </w:r>
      <w:r>
        <w:rPr>
          <w:spacing w:val="7"/>
        </w:rPr>
        <w:t> </w:t>
      </w:r>
      <w:r>
        <w:rPr>
          <w:w w:val="112"/>
        </w:rPr>
        <w:t>plazo,</w:t>
      </w:r>
      <w:r>
        <w:rPr>
          <w:spacing w:val="7"/>
        </w:rPr>
        <w:t> </w:t>
      </w:r>
      <w:r>
        <w:rPr>
          <w:w w:val="105"/>
        </w:rPr>
        <w:t>el</w:t>
      </w:r>
      <w:r>
        <w:rPr>
          <w:spacing w:val="7"/>
        </w:rPr>
        <w:t> </w:t>
      </w:r>
      <w:r>
        <w:rPr>
          <w:w w:val="107"/>
        </w:rPr>
        <w:t>descenso</w:t>
      </w:r>
      <w:r>
        <w:rPr>
          <w:spacing w:val="7"/>
        </w:rPr>
        <w:t> </w:t>
      </w:r>
      <w:r>
        <w:rPr>
          <w:w w:val="105"/>
        </w:rPr>
        <w:t>de</w:t>
      </w:r>
      <w:r>
        <w:rPr>
          <w:spacing w:val="7"/>
        </w:rPr>
        <w:t> </w:t>
      </w:r>
      <w:r>
        <w:rPr>
          <w:w w:val="107"/>
        </w:rPr>
        <w:t>los</w:t>
      </w:r>
      <w:r>
        <w:rPr>
          <w:spacing w:val="7"/>
        </w:rPr>
        <w:t> </w:t>
      </w:r>
      <w:r>
        <w:rPr>
          <w:w w:val="109"/>
        </w:rPr>
        <w:t>rendimie</w:t>
      </w:r>
      <w:r>
        <w:rPr>
          <w:spacing w:val="-1"/>
          <w:w w:val="109"/>
        </w:rPr>
        <w:t>n</w:t>
      </w:r>
      <w:r>
        <w:rPr>
          <w:w w:val="101"/>
        </w:rPr>
        <w:t>- </w:t>
      </w:r>
      <w:r>
        <w:rPr>
          <w:w w:val="110"/>
        </w:rPr>
        <w:t>tos</w:t>
      </w:r>
      <w:r>
        <w:rPr>
          <w:spacing w:val="-9"/>
          <w:w w:val="110"/>
        </w:rPr>
        <w:t> </w:t>
      </w:r>
      <w:r>
        <w:rPr>
          <w:w w:val="110"/>
        </w:rPr>
        <w:t>en</w:t>
      </w:r>
      <w:r>
        <w:rPr>
          <w:spacing w:val="-9"/>
          <w:w w:val="110"/>
        </w:rPr>
        <w:t> </w:t>
      </w:r>
      <w:r>
        <w:rPr>
          <w:w w:val="110"/>
        </w:rPr>
        <w:t>determinadas</w:t>
      </w:r>
      <w:r>
        <w:rPr>
          <w:spacing w:val="-9"/>
          <w:w w:val="110"/>
        </w:rPr>
        <w:t> </w:t>
      </w:r>
      <w:r>
        <w:rPr>
          <w:w w:val="110"/>
        </w:rPr>
        <w:t>inversiones,</w:t>
      </w:r>
      <w:r>
        <w:rPr>
          <w:spacing w:val="-9"/>
          <w:w w:val="110"/>
        </w:rPr>
        <w:t> </w:t>
      </w:r>
      <w:r>
        <w:rPr>
          <w:w w:val="110"/>
        </w:rPr>
        <w:t>entre</w:t>
      </w:r>
      <w:r>
        <w:rPr>
          <w:spacing w:val="-9"/>
          <w:w w:val="110"/>
        </w:rPr>
        <w:t> </w:t>
      </w:r>
      <w:r>
        <w:rPr>
          <w:w w:val="110"/>
        </w:rPr>
        <w:t>otros</w:t>
      </w:r>
      <w:r>
        <w:rPr>
          <w:spacing w:val="-9"/>
          <w:w w:val="110"/>
        </w:rPr>
        <w:t> </w:t>
      </w:r>
      <w:r>
        <w:rPr>
          <w:w w:val="110"/>
        </w:rPr>
        <w:t>factores,</w:t>
      </w:r>
      <w:r>
        <w:rPr>
          <w:spacing w:val="-9"/>
          <w:w w:val="110"/>
        </w:rPr>
        <w:t> </w:t>
      </w:r>
      <w:r>
        <w:rPr>
          <w:w w:val="110"/>
        </w:rPr>
        <w:t>impulsaron</w:t>
      </w:r>
      <w:r>
        <w:rPr>
          <w:spacing w:val="-9"/>
          <w:w w:val="110"/>
        </w:rPr>
        <w:t> </w:t>
      </w:r>
      <w:r>
        <w:rPr>
          <w:w w:val="110"/>
        </w:rPr>
        <w:t>a</w:t>
      </w:r>
      <w:r>
        <w:rPr>
          <w:spacing w:val="-9"/>
          <w:w w:val="110"/>
        </w:rPr>
        <w:t> </w:t>
      </w:r>
      <w:r>
        <w:rPr>
          <w:w w:val="110"/>
        </w:rPr>
        <w:t>los inversores hacia las economías latinoamericanas y</w:t>
      </w:r>
      <w:r>
        <w:rPr>
          <w:spacing w:val="9"/>
          <w:w w:val="110"/>
        </w:rPr>
        <w:t> </w:t>
      </w:r>
      <w:r>
        <w:rPr>
          <w:w w:val="110"/>
        </w:rPr>
        <w:t>caribeñas.</w:t>
      </w:r>
    </w:p>
    <w:p>
      <w:pPr>
        <w:pStyle w:val="BodyText"/>
        <w:spacing w:line="252" w:lineRule="auto"/>
        <w:ind w:left="330" w:right="117" w:firstLine="397"/>
        <w:jc w:val="both"/>
      </w:pPr>
      <w:r>
        <w:rPr>
          <w:w w:val="110"/>
        </w:rPr>
        <w:t>En la actualidad, los vínculos regionales con Estados unidos se establecen no sólo a partir de las relaciones comerciales y financieras directas entre ambas partes, sino también (indirectamente) mediante </w:t>
      </w:r>
      <w:r>
        <w:rPr>
          <w:w w:val="111"/>
        </w:rPr>
        <w:t>la</w:t>
      </w:r>
      <w:r>
        <w:rPr/>
        <w:t>  </w:t>
      </w:r>
      <w:r>
        <w:rPr>
          <w:w w:val="112"/>
        </w:rPr>
        <w:t>actual</w:t>
      </w:r>
      <w:r>
        <w:rPr/>
        <w:t>  </w:t>
      </w:r>
      <w:r>
        <w:rPr>
          <w:w w:val="109"/>
        </w:rPr>
        <w:t>arquitectura</w:t>
      </w:r>
      <w:r>
        <w:rPr/>
        <w:t>  </w:t>
      </w:r>
      <w:r>
        <w:rPr>
          <w:w w:val="110"/>
        </w:rPr>
        <w:t>financiera</w:t>
      </w:r>
      <w:r>
        <w:rPr/>
        <w:t>  </w:t>
      </w:r>
      <w:r>
        <w:rPr>
          <w:w w:val="111"/>
        </w:rPr>
        <w:t>internacional.</w:t>
      </w:r>
      <w:r>
        <w:rPr/>
        <w:t>  </w:t>
      </w:r>
      <w:r>
        <w:rPr>
          <w:w w:val="139"/>
        </w:rPr>
        <w:t>a</w:t>
      </w:r>
      <w:r>
        <w:rPr>
          <w:w w:val="111"/>
        </w:rPr>
        <w:t>mérica</w:t>
      </w:r>
      <w:r>
        <w:rPr/>
        <w:t>  </w:t>
      </w:r>
      <w:r>
        <w:rPr>
          <w:w w:val="243"/>
        </w:rPr>
        <w:t>l</w:t>
      </w:r>
      <w:r>
        <w:rPr>
          <w:w w:val="111"/>
        </w:rPr>
        <w:t>atina</w:t>
      </w:r>
      <w:r>
        <w:rPr/>
        <w:t>  </w:t>
      </w:r>
      <w:r>
        <w:rPr>
          <w:w w:val="105"/>
        </w:rPr>
        <w:t>y</w:t>
      </w:r>
      <w:r>
        <w:rPr/>
        <w:t>  </w:t>
      </w:r>
      <w:r>
        <w:rPr>
          <w:w w:val="107"/>
        </w:rPr>
        <w:t>el </w:t>
      </w:r>
      <w:r>
        <w:rPr>
          <w:w w:val="110"/>
        </w:rPr>
        <w:t>Caribe han ampliado sus relaciones comerciales con asia, región cuyo dinamismo es altamente dependiente de la demanda de importacio- nes estadounidenses y de su capacidad económica para seguir endeu- dándose con el exterior. de esta forma, los efectos de las variaciones cíclicas de Estados unidos en la región asiática, también tendrían im- pactos secundarios en la región latinoamericana y caribeña (Martínez y Cobarrubias, 2009).</w:t>
      </w:r>
    </w:p>
    <w:p>
      <w:pPr>
        <w:pStyle w:val="BodyText"/>
        <w:spacing w:line="252" w:lineRule="auto"/>
        <w:ind w:left="330" w:right="117" w:firstLine="396"/>
        <w:jc w:val="both"/>
      </w:pPr>
      <w:r>
        <w:rPr>
          <w:w w:val="110"/>
        </w:rPr>
        <w:t>de esta manera, el actual escenario es testimonio de un escenario global en transformación. Esto último se ha reflejado en las dinámicas </w:t>
      </w:r>
      <w:r>
        <w:rPr>
          <w:w w:val="107"/>
        </w:rPr>
        <w:t>de</w:t>
      </w:r>
      <w:r>
        <w:rPr>
          <w:spacing w:val="19"/>
        </w:rPr>
        <w:t> </w:t>
      </w:r>
      <w:r>
        <w:rPr>
          <w:w w:val="109"/>
        </w:rPr>
        <w:t>interrelación</w:t>
      </w:r>
      <w:r>
        <w:rPr>
          <w:spacing w:val="19"/>
        </w:rPr>
        <w:t> </w:t>
      </w:r>
      <w:r>
        <w:rPr>
          <w:w w:val="112"/>
        </w:rPr>
        <w:t>económica</w:t>
      </w:r>
      <w:r>
        <w:rPr>
          <w:spacing w:val="19"/>
        </w:rPr>
        <w:t> </w:t>
      </w:r>
      <w:r>
        <w:rPr>
          <w:w w:val="107"/>
        </w:rPr>
        <w:t>de</w:t>
      </w:r>
      <w:r>
        <w:rPr>
          <w:spacing w:val="19"/>
        </w:rPr>
        <w:t> </w:t>
      </w:r>
      <w:r>
        <w:rPr>
          <w:w w:val="139"/>
        </w:rPr>
        <w:t>a</w:t>
      </w:r>
      <w:r>
        <w:rPr>
          <w:w w:val="111"/>
        </w:rPr>
        <w:t>mérica</w:t>
      </w:r>
      <w:r>
        <w:rPr>
          <w:spacing w:val="19"/>
        </w:rPr>
        <w:t> </w:t>
      </w:r>
      <w:r>
        <w:rPr>
          <w:w w:val="243"/>
        </w:rPr>
        <w:t>l</w:t>
      </w:r>
      <w:r>
        <w:rPr>
          <w:w w:val="111"/>
        </w:rPr>
        <w:t>atina</w:t>
      </w:r>
      <w:r>
        <w:rPr>
          <w:spacing w:val="19"/>
        </w:rPr>
        <w:t> </w:t>
      </w:r>
      <w:r>
        <w:rPr>
          <w:w w:val="105"/>
        </w:rPr>
        <w:t>y</w:t>
      </w:r>
      <w:r>
        <w:rPr>
          <w:spacing w:val="19"/>
        </w:rPr>
        <w:t> </w:t>
      </w:r>
      <w:r>
        <w:rPr>
          <w:w w:val="107"/>
        </w:rPr>
        <w:t>el</w:t>
      </w:r>
      <w:r>
        <w:rPr>
          <w:spacing w:val="19"/>
        </w:rPr>
        <w:t> </w:t>
      </w:r>
      <w:r>
        <w:rPr>
          <w:w w:val="112"/>
        </w:rPr>
        <w:t>Caribe</w:t>
      </w:r>
      <w:r>
        <w:rPr>
          <w:spacing w:val="19"/>
        </w:rPr>
        <w:t> </w:t>
      </w:r>
      <w:r>
        <w:rPr>
          <w:w w:val="112"/>
        </w:rPr>
        <w:t>con</w:t>
      </w:r>
      <w:r>
        <w:rPr>
          <w:spacing w:val="19"/>
        </w:rPr>
        <w:t> </w:t>
      </w:r>
      <w:r>
        <w:rPr>
          <w:w w:val="110"/>
        </w:rPr>
        <w:t>socios </w:t>
      </w:r>
      <w:r>
        <w:rPr>
          <w:w w:val="110"/>
        </w:rPr>
        <w:t>tradicionales como Estados unidos y la unión Europea, al igual que con socios emergentes como es el caso de China e india, entre  </w:t>
      </w:r>
      <w:r>
        <w:rPr>
          <w:spacing w:val="28"/>
          <w:w w:val="110"/>
        </w:rPr>
        <w:t> </w:t>
      </w:r>
      <w:r>
        <w:rPr>
          <w:w w:val="110"/>
        </w:rPr>
        <w:t>otros.</w:t>
      </w:r>
    </w:p>
    <w:p>
      <w:pPr>
        <w:pStyle w:val="BodyText"/>
        <w:spacing w:before="5"/>
      </w:pPr>
    </w:p>
    <w:p>
      <w:pPr>
        <w:pStyle w:val="Heading6"/>
        <w:spacing w:line="244" w:lineRule="auto"/>
        <w:ind w:left="331" w:right="965" w:hanging="1"/>
        <w:jc w:val="left"/>
      </w:pPr>
      <w:r>
        <w:rPr>
          <w:w w:val="140"/>
        </w:rPr>
        <w:t>nuevos</w:t>
      </w:r>
      <w:r>
        <w:rPr>
          <w:spacing w:val="-31"/>
          <w:w w:val="140"/>
        </w:rPr>
        <w:t> </w:t>
      </w:r>
      <w:r>
        <w:rPr>
          <w:w w:val="140"/>
        </w:rPr>
        <w:t>desarrollos</w:t>
      </w:r>
      <w:r>
        <w:rPr>
          <w:spacing w:val="-31"/>
          <w:w w:val="140"/>
        </w:rPr>
        <w:t> </w:t>
      </w:r>
      <w:r>
        <w:rPr>
          <w:w w:val="140"/>
        </w:rPr>
        <w:t>teóricos</w:t>
      </w:r>
      <w:r>
        <w:rPr>
          <w:spacing w:val="-31"/>
          <w:w w:val="140"/>
        </w:rPr>
        <w:t> </w:t>
      </w:r>
      <w:r>
        <w:rPr>
          <w:w w:val="140"/>
        </w:rPr>
        <w:t>soBre</w:t>
      </w:r>
      <w:r>
        <w:rPr>
          <w:spacing w:val="-31"/>
          <w:w w:val="140"/>
        </w:rPr>
        <w:t> </w:t>
      </w:r>
      <w:r>
        <w:rPr>
          <w:w w:val="140"/>
        </w:rPr>
        <w:t>sincronÍa</w:t>
      </w:r>
      <w:r>
        <w:rPr>
          <w:spacing w:val="-31"/>
          <w:w w:val="140"/>
        </w:rPr>
        <w:t> </w:t>
      </w:r>
      <w:r>
        <w:rPr>
          <w:w w:val="140"/>
        </w:rPr>
        <w:t>de ciclos econóMicos: el deBate soBre el </w:t>
      </w:r>
      <w:r>
        <w:rPr>
          <w:spacing w:val="2"/>
          <w:w w:val="132"/>
        </w:rPr>
        <w:t>d</w:t>
      </w:r>
      <w:r>
        <w:rPr>
          <w:spacing w:val="3"/>
          <w:w w:val="132"/>
        </w:rPr>
        <w:t>e</w:t>
      </w:r>
      <w:r>
        <w:rPr>
          <w:spacing w:val="1"/>
          <w:w w:val="136"/>
        </w:rPr>
        <w:t>s</w:t>
      </w:r>
      <w:r>
        <w:rPr>
          <w:spacing w:val="1"/>
          <w:w w:val="129"/>
        </w:rPr>
        <w:t>a</w:t>
      </w:r>
      <w:r>
        <w:rPr>
          <w:spacing w:val="2"/>
          <w:w w:val="146"/>
        </w:rPr>
        <w:t>co</w:t>
      </w:r>
      <w:r>
        <w:rPr>
          <w:spacing w:val="2"/>
          <w:w w:val="99"/>
        </w:rPr>
        <w:t>P</w:t>
      </w:r>
      <w:r>
        <w:rPr>
          <w:spacing w:val="7"/>
          <w:w w:val="201"/>
        </w:rPr>
        <w:t>l</w:t>
      </w:r>
      <w:r>
        <w:rPr>
          <w:spacing w:val="2"/>
          <w:w w:val="129"/>
        </w:rPr>
        <w:t>a</w:t>
      </w:r>
      <w:r>
        <w:rPr>
          <w:spacing w:val="2"/>
          <w:w w:val="92"/>
        </w:rPr>
        <w:t>M</w:t>
      </w:r>
      <w:r>
        <w:rPr>
          <w:spacing w:val="2"/>
          <w:w w:val="132"/>
        </w:rPr>
        <w:t>i</w:t>
      </w:r>
      <w:r>
        <w:rPr>
          <w:spacing w:val="3"/>
          <w:w w:val="132"/>
        </w:rPr>
        <w:t>e</w:t>
      </w:r>
      <w:r>
        <w:rPr>
          <w:spacing w:val="3"/>
          <w:w w:val="128"/>
        </w:rPr>
        <w:t>n</w:t>
      </w:r>
      <w:r>
        <w:rPr>
          <w:spacing w:val="2"/>
          <w:w w:val="180"/>
        </w:rPr>
        <w:t>t</w:t>
      </w:r>
      <w:r>
        <w:rPr>
          <w:w w:val="145"/>
        </w:rPr>
        <w:t>o</w:t>
      </w:r>
      <w:r>
        <w:rPr>
          <w:spacing w:val="-8"/>
        </w:rPr>
        <w:t> </w:t>
      </w:r>
      <w:r>
        <w:rPr>
          <w:spacing w:val="2"/>
          <w:w w:val="117"/>
        </w:rPr>
        <w:t>(</w:t>
      </w:r>
      <w:r>
        <w:rPr>
          <w:i/>
          <w:spacing w:val="2"/>
          <w:w w:val="142"/>
        </w:rPr>
        <w:t>d</w:t>
      </w:r>
      <w:r>
        <w:rPr>
          <w:i/>
          <w:spacing w:val="3"/>
          <w:w w:val="142"/>
        </w:rPr>
        <w:t>e</w:t>
      </w:r>
      <w:r>
        <w:rPr>
          <w:i/>
          <w:spacing w:val="3"/>
          <w:w w:val="148"/>
        </w:rPr>
        <w:t>c</w:t>
      </w:r>
      <w:r>
        <w:rPr>
          <w:i/>
          <w:spacing w:val="2"/>
          <w:w w:val="145"/>
        </w:rPr>
        <w:t>o</w:t>
      </w:r>
      <w:r>
        <w:rPr>
          <w:i/>
          <w:spacing w:val="2"/>
          <w:w w:val="132"/>
        </w:rPr>
        <w:t>u</w:t>
      </w:r>
      <w:r>
        <w:rPr>
          <w:i/>
          <w:spacing w:val="1"/>
          <w:w w:val="100"/>
        </w:rPr>
        <w:t>P</w:t>
      </w:r>
      <w:r>
        <w:rPr>
          <w:i/>
          <w:spacing w:val="2"/>
          <w:w w:val="205"/>
        </w:rPr>
        <w:t>l</w:t>
      </w:r>
      <w:r>
        <w:rPr>
          <w:i/>
          <w:spacing w:val="2"/>
          <w:w w:val="129"/>
        </w:rPr>
        <w:t>in</w:t>
      </w:r>
      <w:r>
        <w:rPr>
          <w:i/>
          <w:spacing w:val="2"/>
          <w:w w:val="138"/>
        </w:rPr>
        <w:t>g</w:t>
      </w:r>
      <w:r>
        <w:rPr>
          <w:w w:val="117"/>
        </w:rPr>
        <w:t>)</w:t>
      </w:r>
      <w:r>
        <w:rPr>
          <w:spacing w:val="-8"/>
        </w:rPr>
        <w:t> </w:t>
      </w:r>
      <w:r>
        <w:rPr>
          <w:w w:val="119"/>
        </w:rPr>
        <w:t>y</w:t>
      </w:r>
      <w:r>
        <w:rPr>
          <w:spacing w:val="-8"/>
        </w:rPr>
        <w:t> </w:t>
      </w:r>
      <w:r>
        <w:rPr>
          <w:spacing w:val="1"/>
          <w:w w:val="201"/>
        </w:rPr>
        <w:t>l</w:t>
      </w:r>
      <w:r>
        <w:rPr>
          <w:spacing w:val="3"/>
          <w:w w:val="145"/>
        </w:rPr>
        <w:t>o</w:t>
      </w:r>
      <w:r>
        <w:rPr>
          <w:w w:val="136"/>
        </w:rPr>
        <w:t>s</w:t>
      </w:r>
      <w:r>
        <w:rPr>
          <w:spacing w:val="-8"/>
        </w:rPr>
        <w:t> </w:t>
      </w:r>
      <w:r>
        <w:rPr>
          <w:spacing w:val="1"/>
          <w:w w:val="128"/>
        </w:rPr>
        <w:t>n</w:t>
      </w:r>
      <w:r>
        <w:rPr>
          <w:spacing w:val="2"/>
          <w:w w:val="131"/>
        </w:rPr>
        <w:t>u</w:t>
      </w:r>
      <w:r>
        <w:rPr>
          <w:spacing w:val="2"/>
          <w:w w:val="134"/>
        </w:rPr>
        <w:t>e</w:t>
      </w:r>
      <w:r>
        <w:rPr>
          <w:spacing w:val="1"/>
          <w:w w:val="129"/>
        </w:rPr>
        <w:t>v</w:t>
      </w:r>
      <w:r>
        <w:rPr>
          <w:spacing w:val="3"/>
          <w:w w:val="145"/>
        </w:rPr>
        <w:t>o</w:t>
      </w:r>
      <w:r>
        <w:rPr>
          <w:w w:val="136"/>
        </w:rPr>
        <w:t>s </w:t>
      </w:r>
      <w:r>
        <w:rPr>
          <w:spacing w:val="2"/>
          <w:w w:val="135"/>
        </w:rPr>
        <w:t>rasGos</w:t>
      </w:r>
      <w:r>
        <w:rPr>
          <w:spacing w:val="-32"/>
          <w:w w:val="135"/>
        </w:rPr>
        <w:t> </w:t>
      </w:r>
      <w:r>
        <w:rPr>
          <w:w w:val="135"/>
        </w:rPr>
        <w:t>de</w:t>
      </w:r>
      <w:r>
        <w:rPr>
          <w:spacing w:val="-32"/>
          <w:w w:val="135"/>
        </w:rPr>
        <w:t> </w:t>
      </w:r>
      <w:r>
        <w:rPr>
          <w:spacing w:val="3"/>
          <w:w w:val="135"/>
        </w:rPr>
        <w:t>la</w:t>
      </w:r>
      <w:r>
        <w:rPr>
          <w:spacing w:val="-32"/>
          <w:w w:val="135"/>
        </w:rPr>
        <w:t> </w:t>
      </w:r>
      <w:r>
        <w:rPr>
          <w:w w:val="135"/>
        </w:rPr>
        <w:t>econoMÍa</w:t>
      </w:r>
      <w:r>
        <w:rPr>
          <w:spacing w:val="-32"/>
          <w:w w:val="135"/>
        </w:rPr>
        <w:t> </w:t>
      </w:r>
      <w:r>
        <w:rPr>
          <w:w w:val="135"/>
        </w:rPr>
        <w:t>internacional</w:t>
      </w:r>
    </w:p>
    <w:p>
      <w:pPr>
        <w:pStyle w:val="BodyText"/>
        <w:spacing w:line="252" w:lineRule="auto" w:before="5"/>
        <w:ind w:left="330" w:right="118"/>
        <w:jc w:val="both"/>
      </w:pPr>
      <w:r>
        <w:rPr>
          <w:w w:val="110"/>
        </w:rPr>
        <w:t>a la luz del inicio de la reciente crisis económica en Estados unidos (2007-2009), el debate sobre la llamada “teoría del desacoplamiento</w:t>
      </w:r>
      <w:r>
        <w:rPr>
          <w:spacing w:val="-32"/>
          <w:w w:val="110"/>
        </w:rPr>
        <w:t> </w:t>
      </w:r>
      <w:r>
        <w:rPr>
          <w:w w:val="110"/>
        </w:rPr>
        <w:t>o </w:t>
      </w:r>
      <w:r>
        <w:rPr>
          <w:i/>
          <w:w w:val="110"/>
        </w:rPr>
        <w:t>decoupling</w:t>
      </w:r>
      <w:r>
        <w:rPr>
          <w:w w:val="110"/>
        </w:rPr>
        <w:t>”</w:t>
      </w:r>
      <w:r>
        <w:rPr>
          <w:w w:val="110"/>
          <w:position w:val="6"/>
          <w:sz w:val="11"/>
        </w:rPr>
        <w:t>8   </w:t>
      </w:r>
      <w:r>
        <w:rPr>
          <w:w w:val="110"/>
        </w:rPr>
        <w:t>económico a nivel internacional reemergió con  </w:t>
      </w:r>
      <w:r>
        <w:rPr>
          <w:spacing w:val="19"/>
          <w:w w:val="110"/>
        </w:rPr>
        <w:t> </w:t>
      </w:r>
      <w:r>
        <w:rPr>
          <w:w w:val="110"/>
        </w:rPr>
        <w:t>especial</w:t>
      </w:r>
    </w:p>
    <w:p>
      <w:pPr>
        <w:pStyle w:val="BodyText"/>
        <w:spacing w:before="4"/>
      </w:pPr>
      <w:r>
        <w:rPr/>
        <w:pict>
          <v:line style="position:absolute;mso-position-horizontal-relative:page;mso-position-vertical-relative:paragraph;z-index:8512;mso-wrap-distance-left:0;mso-wrap-distance-right:0" from="76.5354pt,13.561833pt" to="104.8814pt,13.561833pt" stroked="true" strokeweight=".5pt" strokecolor="#000000">
            <w10:wrap type="topAndBottom"/>
          </v:line>
        </w:pict>
      </w:r>
    </w:p>
    <w:p>
      <w:pPr>
        <w:pStyle w:val="ListParagraph"/>
        <w:numPr>
          <w:ilvl w:val="0"/>
          <w:numId w:val="35"/>
        </w:numPr>
        <w:tabs>
          <w:tab w:pos="586" w:val="left" w:leader="none"/>
        </w:tabs>
        <w:spacing w:line="242" w:lineRule="auto" w:before="89" w:after="0"/>
        <w:ind w:left="330" w:right="117" w:firstLine="0"/>
        <w:jc w:val="left"/>
        <w:rPr>
          <w:sz w:val="16"/>
        </w:rPr>
      </w:pPr>
      <w:r>
        <w:rPr>
          <w:w w:val="105"/>
          <w:sz w:val="16"/>
        </w:rPr>
        <w:t>desde perspectivas tanto teóricas como prácticas, diversos autores han contri- buido</w:t>
      </w:r>
      <w:r>
        <w:rPr>
          <w:spacing w:val="14"/>
          <w:w w:val="105"/>
          <w:sz w:val="16"/>
        </w:rPr>
        <w:t> </w:t>
      </w:r>
      <w:r>
        <w:rPr>
          <w:w w:val="105"/>
          <w:sz w:val="16"/>
        </w:rPr>
        <w:t>con</w:t>
      </w:r>
      <w:r>
        <w:rPr>
          <w:spacing w:val="14"/>
          <w:w w:val="105"/>
          <w:sz w:val="16"/>
        </w:rPr>
        <w:t> </w:t>
      </w:r>
      <w:r>
        <w:rPr>
          <w:w w:val="105"/>
          <w:sz w:val="16"/>
        </w:rPr>
        <w:t>este</w:t>
      </w:r>
      <w:r>
        <w:rPr>
          <w:spacing w:val="14"/>
          <w:w w:val="105"/>
          <w:sz w:val="16"/>
        </w:rPr>
        <w:t> </w:t>
      </w:r>
      <w:r>
        <w:rPr>
          <w:w w:val="105"/>
          <w:sz w:val="16"/>
        </w:rPr>
        <w:t>debate</w:t>
      </w:r>
      <w:r>
        <w:rPr>
          <w:spacing w:val="14"/>
          <w:w w:val="105"/>
          <w:sz w:val="16"/>
        </w:rPr>
        <w:t> </w:t>
      </w:r>
      <w:r>
        <w:rPr>
          <w:w w:val="105"/>
          <w:sz w:val="16"/>
        </w:rPr>
        <w:t>desde</w:t>
      </w:r>
      <w:r>
        <w:rPr>
          <w:spacing w:val="14"/>
          <w:w w:val="105"/>
          <w:sz w:val="16"/>
        </w:rPr>
        <w:t> </w:t>
      </w:r>
      <w:r>
        <w:rPr>
          <w:w w:val="105"/>
          <w:sz w:val="16"/>
        </w:rPr>
        <w:t>muy</w:t>
      </w:r>
      <w:r>
        <w:rPr>
          <w:spacing w:val="14"/>
          <w:w w:val="105"/>
          <w:sz w:val="16"/>
        </w:rPr>
        <w:t> </w:t>
      </w:r>
      <w:r>
        <w:rPr>
          <w:w w:val="105"/>
          <w:sz w:val="16"/>
        </w:rPr>
        <w:t>diversas</w:t>
      </w:r>
      <w:r>
        <w:rPr>
          <w:spacing w:val="14"/>
          <w:w w:val="105"/>
          <w:sz w:val="16"/>
        </w:rPr>
        <w:t> </w:t>
      </w:r>
      <w:r>
        <w:rPr>
          <w:w w:val="105"/>
          <w:sz w:val="16"/>
        </w:rPr>
        <w:t>posiciones</w:t>
      </w:r>
      <w:r>
        <w:rPr>
          <w:spacing w:val="14"/>
          <w:w w:val="105"/>
          <w:sz w:val="16"/>
        </w:rPr>
        <w:t> </w:t>
      </w:r>
      <w:r>
        <w:rPr>
          <w:w w:val="105"/>
          <w:sz w:val="16"/>
        </w:rPr>
        <w:t>y</w:t>
      </w:r>
      <w:r>
        <w:rPr>
          <w:spacing w:val="14"/>
          <w:w w:val="105"/>
          <w:sz w:val="16"/>
        </w:rPr>
        <w:t> </w:t>
      </w:r>
      <w:r>
        <w:rPr>
          <w:w w:val="105"/>
          <w:sz w:val="16"/>
        </w:rPr>
        <w:t>hallazgos.</w:t>
      </w:r>
      <w:r>
        <w:rPr>
          <w:spacing w:val="14"/>
          <w:w w:val="105"/>
          <w:sz w:val="16"/>
        </w:rPr>
        <w:t> </w:t>
      </w:r>
      <w:r>
        <w:rPr>
          <w:w w:val="105"/>
          <w:sz w:val="16"/>
        </w:rPr>
        <w:t>Entre</w:t>
      </w:r>
      <w:r>
        <w:rPr>
          <w:spacing w:val="14"/>
          <w:w w:val="105"/>
          <w:sz w:val="16"/>
        </w:rPr>
        <w:t> </w:t>
      </w:r>
      <w:r>
        <w:rPr>
          <w:w w:val="105"/>
          <w:sz w:val="16"/>
        </w:rPr>
        <w:t>ellos</w:t>
      </w:r>
      <w:r>
        <w:rPr>
          <w:spacing w:val="14"/>
          <w:w w:val="105"/>
          <w:sz w:val="16"/>
        </w:rPr>
        <w:t> </w:t>
      </w:r>
      <w:r>
        <w:rPr>
          <w:w w:val="105"/>
          <w:sz w:val="16"/>
        </w:rPr>
        <w:t>pueden</w:t>
      </w:r>
    </w:p>
    <w:p>
      <w:pPr>
        <w:spacing w:after="0" w:line="242" w:lineRule="auto"/>
        <w:jc w:val="left"/>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w w:val="112"/>
        </w:rPr>
        <w:t>fuerza.</w:t>
      </w:r>
      <w:r>
        <w:rPr>
          <w:spacing w:val="16"/>
        </w:rPr>
        <w:t> </w:t>
      </w:r>
      <w:r>
        <w:rPr>
          <w:w w:val="243"/>
        </w:rPr>
        <w:t>l</w:t>
      </w:r>
      <w:r>
        <w:rPr>
          <w:w w:val="109"/>
        </w:rPr>
        <w:t>as</w:t>
      </w:r>
      <w:r>
        <w:rPr>
          <w:spacing w:val="16"/>
        </w:rPr>
        <w:t> </w:t>
      </w:r>
      <w:r>
        <w:rPr>
          <w:w w:val="108"/>
        </w:rPr>
        <w:t>aparentes</w:t>
      </w:r>
      <w:r>
        <w:rPr>
          <w:spacing w:val="16"/>
        </w:rPr>
        <w:t> </w:t>
      </w:r>
      <w:r>
        <w:rPr>
          <w:w w:val="108"/>
        </w:rPr>
        <w:t>divergencias</w:t>
      </w:r>
      <w:r>
        <w:rPr>
          <w:spacing w:val="16"/>
        </w:rPr>
        <w:t> </w:t>
      </w:r>
      <w:r>
        <w:rPr>
          <w:w w:val="108"/>
        </w:rPr>
        <w:t>en</w:t>
      </w:r>
      <w:r>
        <w:rPr>
          <w:spacing w:val="16"/>
        </w:rPr>
        <w:t> </w:t>
      </w:r>
      <w:r>
        <w:rPr>
          <w:w w:val="107"/>
        </w:rPr>
        <w:t>el</w:t>
      </w:r>
      <w:r>
        <w:rPr>
          <w:spacing w:val="16"/>
        </w:rPr>
        <w:t> </w:t>
      </w:r>
      <w:r>
        <w:rPr>
          <w:w w:val="111"/>
        </w:rPr>
        <w:t>dinamismo</w:t>
      </w:r>
      <w:r>
        <w:rPr>
          <w:spacing w:val="16"/>
        </w:rPr>
        <w:t> </w:t>
      </w:r>
      <w:r>
        <w:rPr>
          <w:w w:val="111"/>
        </w:rPr>
        <w:t>económico</w:t>
      </w:r>
      <w:r>
        <w:rPr>
          <w:spacing w:val="16"/>
        </w:rPr>
        <w:t> </w:t>
      </w:r>
      <w:r>
        <w:rPr>
          <w:w w:val="106"/>
        </w:rPr>
        <w:t>entre </w:t>
      </w:r>
      <w:r>
        <w:rPr>
          <w:w w:val="110"/>
        </w:rPr>
        <w:t>las diferentes regiones del mundo, en especial entre las regiones “de- sarrolladas” y las llamadas regiones “emergentes”, en relación con la concepción</w:t>
      </w:r>
      <w:r>
        <w:rPr>
          <w:spacing w:val="-6"/>
          <w:w w:val="110"/>
        </w:rPr>
        <w:t> </w:t>
      </w:r>
      <w:r>
        <w:rPr>
          <w:w w:val="110"/>
        </w:rPr>
        <w:t>convencional</w:t>
      </w:r>
      <w:r>
        <w:rPr>
          <w:spacing w:val="-6"/>
          <w:w w:val="110"/>
        </w:rPr>
        <w:t> </w:t>
      </w:r>
      <w:r>
        <w:rPr>
          <w:w w:val="110"/>
        </w:rPr>
        <w:t>que</w:t>
      </w:r>
      <w:r>
        <w:rPr>
          <w:spacing w:val="-6"/>
          <w:w w:val="110"/>
        </w:rPr>
        <w:t> </w:t>
      </w:r>
      <w:r>
        <w:rPr>
          <w:w w:val="110"/>
        </w:rPr>
        <w:t>vinculaba</w:t>
      </w:r>
      <w:r>
        <w:rPr>
          <w:spacing w:val="-6"/>
          <w:w w:val="110"/>
        </w:rPr>
        <w:t> </w:t>
      </w:r>
      <w:r>
        <w:rPr>
          <w:w w:val="110"/>
        </w:rPr>
        <w:t>el</w:t>
      </w:r>
      <w:r>
        <w:rPr>
          <w:spacing w:val="-6"/>
          <w:w w:val="110"/>
        </w:rPr>
        <w:t> </w:t>
      </w:r>
      <w:r>
        <w:rPr>
          <w:w w:val="110"/>
        </w:rPr>
        <w:t>desempeño</w:t>
      </w:r>
      <w:r>
        <w:rPr>
          <w:spacing w:val="-6"/>
          <w:w w:val="110"/>
        </w:rPr>
        <w:t> </w:t>
      </w:r>
      <w:r>
        <w:rPr>
          <w:w w:val="110"/>
        </w:rPr>
        <w:t>de</w:t>
      </w:r>
      <w:r>
        <w:rPr>
          <w:spacing w:val="-6"/>
          <w:w w:val="110"/>
        </w:rPr>
        <w:t> </w:t>
      </w:r>
      <w:r>
        <w:rPr>
          <w:w w:val="110"/>
        </w:rPr>
        <w:t>estas</w:t>
      </w:r>
      <w:r>
        <w:rPr>
          <w:spacing w:val="-6"/>
          <w:w w:val="110"/>
        </w:rPr>
        <w:t> </w:t>
      </w:r>
      <w:r>
        <w:rPr>
          <w:w w:val="110"/>
        </w:rPr>
        <w:t>últimas con las fluctuaciones económicas provenientes de Estados unidos, </w:t>
      </w:r>
      <w:r>
        <w:rPr>
          <w:w w:val="110"/>
        </w:rPr>
        <w:t>constituyó</w:t>
      </w:r>
      <w:r>
        <w:rPr>
          <w:spacing w:val="8"/>
        </w:rPr>
        <w:t> </w:t>
      </w:r>
      <w:r>
        <w:rPr>
          <w:w w:val="107"/>
        </w:rPr>
        <w:t>el</w:t>
      </w:r>
      <w:r>
        <w:rPr>
          <w:spacing w:val="8"/>
        </w:rPr>
        <w:t> </w:t>
      </w:r>
      <w:r>
        <w:rPr>
          <w:w w:val="106"/>
        </w:rPr>
        <w:t>eje</w:t>
      </w:r>
      <w:r>
        <w:rPr>
          <w:spacing w:val="8"/>
        </w:rPr>
        <w:t> </w:t>
      </w:r>
      <w:r>
        <w:rPr>
          <w:w w:val="111"/>
        </w:rPr>
        <w:t>fundamental</w:t>
      </w:r>
      <w:r>
        <w:rPr>
          <w:spacing w:val="8"/>
        </w:rPr>
        <w:t> </w:t>
      </w:r>
      <w:r>
        <w:rPr>
          <w:w w:val="107"/>
        </w:rPr>
        <w:t>de</w:t>
      </w:r>
      <w:r>
        <w:rPr>
          <w:spacing w:val="8"/>
        </w:rPr>
        <w:t> </w:t>
      </w:r>
      <w:r>
        <w:rPr>
          <w:w w:val="112"/>
        </w:rPr>
        <w:t>análisis.</w:t>
      </w:r>
      <w:r>
        <w:rPr>
          <w:spacing w:val="8"/>
        </w:rPr>
        <w:t> </w:t>
      </w:r>
      <w:r>
        <w:rPr>
          <w:w w:val="243"/>
        </w:rPr>
        <w:t>l</w:t>
      </w:r>
      <w:r>
        <w:rPr>
          <w:w w:val="112"/>
        </w:rPr>
        <w:t>a</w:t>
      </w:r>
      <w:r>
        <w:rPr>
          <w:spacing w:val="8"/>
        </w:rPr>
        <w:t> </w:t>
      </w:r>
      <w:r>
        <w:rPr>
          <w:w w:val="109"/>
        </w:rPr>
        <w:t>hipótesis</w:t>
      </w:r>
      <w:r>
        <w:rPr>
          <w:spacing w:val="8"/>
        </w:rPr>
        <w:t> </w:t>
      </w:r>
      <w:r>
        <w:rPr>
          <w:w w:val="107"/>
        </w:rPr>
        <w:t>del</w:t>
      </w:r>
      <w:r>
        <w:rPr>
          <w:spacing w:val="8"/>
        </w:rPr>
        <w:t> </w:t>
      </w:r>
      <w:r>
        <w:rPr>
          <w:w w:val="110"/>
        </w:rPr>
        <w:t>“desacopla</w:t>
      </w:r>
      <w:r>
        <w:rPr>
          <w:w w:val="102"/>
        </w:rPr>
        <w:t>- </w:t>
      </w:r>
      <w:r>
        <w:rPr>
          <w:w w:val="110"/>
        </w:rPr>
        <w:t>miento” tenía entre sus supuestos más importantes la percepción de que el ciclo económico de Estados unidos se encontraba cada vez me- nos sincronizado con el del resto de las economías emergentes. dan cuenta de esta polémica diversos trabajos que han tenido como objeto fundamental </w:t>
      </w:r>
      <w:r>
        <w:rPr>
          <w:spacing w:val="-3"/>
          <w:w w:val="110"/>
        </w:rPr>
        <w:t>refutar, validar, </w:t>
      </w:r>
      <w:r>
        <w:rPr>
          <w:w w:val="110"/>
        </w:rPr>
        <w:t>complejizar o balancear la existencia de un “desacoplamiento” en la economía </w:t>
      </w:r>
      <w:r>
        <w:rPr>
          <w:spacing w:val="44"/>
          <w:w w:val="110"/>
        </w:rPr>
        <w:t> </w:t>
      </w:r>
      <w:r>
        <w:rPr>
          <w:w w:val="110"/>
        </w:rPr>
        <w:t>internacional.</w:t>
      </w:r>
    </w:p>
    <w:p>
      <w:pPr>
        <w:pStyle w:val="BodyText"/>
        <w:spacing w:line="252" w:lineRule="auto"/>
        <w:ind w:left="120" w:right="328" w:firstLine="396"/>
        <w:jc w:val="right"/>
      </w:pPr>
      <w:r>
        <w:rPr>
          <w:w w:val="110"/>
        </w:rPr>
        <w:t>al mismo tiempo, persistieron defensores del llamado</w:t>
      </w:r>
      <w:r>
        <w:rPr>
          <w:spacing w:val="45"/>
          <w:w w:val="110"/>
        </w:rPr>
        <w:t> </w:t>
      </w:r>
      <w:r>
        <w:rPr>
          <w:w w:val="110"/>
        </w:rPr>
        <w:t>“efecto</w:t>
      </w:r>
      <w:r>
        <w:rPr>
          <w:spacing w:val="6"/>
          <w:w w:val="110"/>
        </w:rPr>
        <w:t> </w:t>
      </w:r>
      <w:r>
        <w:rPr>
          <w:w w:val="110"/>
        </w:rPr>
        <w:t>do-</w:t>
      </w:r>
      <w:r>
        <w:rPr>
          <w:w w:val="102"/>
        </w:rPr>
        <w:t> </w:t>
      </w:r>
      <w:r>
        <w:rPr>
          <w:w w:val="110"/>
        </w:rPr>
        <w:t>minó” o “convergencia”, quienes afirmaban que, a partir de</w:t>
      </w:r>
      <w:r>
        <w:rPr>
          <w:spacing w:val="25"/>
          <w:w w:val="110"/>
        </w:rPr>
        <w:t> </w:t>
      </w:r>
      <w:r>
        <w:rPr>
          <w:w w:val="110"/>
        </w:rPr>
        <w:t>los</w:t>
      </w:r>
      <w:r>
        <w:rPr>
          <w:spacing w:val="7"/>
          <w:w w:val="110"/>
        </w:rPr>
        <w:t> </w:t>
      </w:r>
      <w:r>
        <w:rPr>
          <w:w w:val="110"/>
        </w:rPr>
        <w:t>mayo-</w:t>
      </w:r>
      <w:r>
        <w:rPr>
          <w:w w:val="102"/>
        </w:rPr>
        <w:t> </w:t>
      </w:r>
      <w:r>
        <w:rPr>
          <w:w w:val="110"/>
        </w:rPr>
        <w:t>res</w:t>
      </w:r>
      <w:r>
        <w:rPr>
          <w:spacing w:val="-5"/>
          <w:w w:val="110"/>
        </w:rPr>
        <w:t> </w:t>
      </w:r>
      <w:r>
        <w:rPr>
          <w:w w:val="110"/>
        </w:rPr>
        <w:t>niveles</w:t>
      </w:r>
      <w:r>
        <w:rPr>
          <w:spacing w:val="-5"/>
          <w:w w:val="110"/>
        </w:rPr>
        <w:t> </w:t>
      </w:r>
      <w:r>
        <w:rPr>
          <w:w w:val="110"/>
        </w:rPr>
        <w:t>de</w:t>
      </w:r>
      <w:r>
        <w:rPr>
          <w:spacing w:val="-5"/>
          <w:w w:val="110"/>
        </w:rPr>
        <w:t> </w:t>
      </w:r>
      <w:r>
        <w:rPr>
          <w:w w:val="110"/>
        </w:rPr>
        <w:t>interconexión</w:t>
      </w:r>
      <w:r>
        <w:rPr>
          <w:spacing w:val="-5"/>
          <w:w w:val="110"/>
        </w:rPr>
        <w:t> </w:t>
      </w:r>
      <w:r>
        <w:rPr>
          <w:w w:val="110"/>
        </w:rPr>
        <w:t>global,</w:t>
      </w:r>
      <w:r>
        <w:rPr>
          <w:spacing w:val="-5"/>
          <w:w w:val="110"/>
        </w:rPr>
        <w:t> </w:t>
      </w:r>
      <w:r>
        <w:rPr>
          <w:w w:val="110"/>
        </w:rPr>
        <w:t>y</w:t>
      </w:r>
      <w:r>
        <w:rPr>
          <w:spacing w:val="-5"/>
          <w:w w:val="110"/>
        </w:rPr>
        <w:t> </w:t>
      </w:r>
      <w:r>
        <w:rPr>
          <w:w w:val="110"/>
        </w:rPr>
        <w:t>por</w:t>
      </w:r>
      <w:r>
        <w:rPr>
          <w:spacing w:val="-5"/>
          <w:w w:val="110"/>
        </w:rPr>
        <w:t> </w:t>
      </w:r>
      <w:r>
        <w:rPr>
          <w:w w:val="110"/>
        </w:rPr>
        <w:t>consiguiente,</w:t>
      </w:r>
      <w:r>
        <w:rPr>
          <w:spacing w:val="-5"/>
          <w:w w:val="110"/>
        </w:rPr>
        <w:t> </w:t>
      </w:r>
      <w:r>
        <w:rPr>
          <w:w w:val="110"/>
        </w:rPr>
        <w:t>de</w:t>
      </w:r>
      <w:r>
        <w:rPr>
          <w:spacing w:val="-5"/>
          <w:w w:val="110"/>
        </w:rPr>
        <w:t> </w:t>
      </w:r>
      <w:r>
        <w:rPr>
          <w:w w:val="110"/>
        </w:rPr>
        <w:t>la</w:t>
      </w:r>
      <w:r>
        <w:rPr>
          <w:spacing w:val="-5"/>
          <w:w w:val="110"/>
        </w:rPr>
        <w:t> </w:t>
      </w:r>
      <w:r>
        <w:rPr>
          <w:w w:val="110"/>
        </w:rPr>
        <w:t>existencia</w:t>
      </w:r>
      <w:r>
        <w:rPr>
          <w:w w:val="109"/>
        </w:rPr>
        <w:t> </w:t>
      </w:r>
      <w:r>
        <w:rPr>
          <w:w w:val="110"/>
        </w:rPr>
        <w:t>de importantes vínculos reales y financieros, el ciclo</w:t>
      </w:r>
      <w:r>
        <w:rPr>
          <w:spacing w:val="11"/>
          <w:w w:val="110"/>
        </w:rPr>
        <w:t> </w:t>
      </w:r>
      <w:r>
        <w:rPr>
          <w:w w:val="110"/>
        </w:rPr>
        <w:t>económico</w:t>
      </w:r>
      <w:r>
        <w:rPr>
          <w:spacing w:val="18"/>
          <w:w w:val="110"/>
        </w:rPr>
        <w:t> </w:t>
      </w:r>
      <w:r>
        <w:rPr>
          <w:spacing w:val="-4"/>
          <w:w w:val="110"/>
        </w:rPr>
        <w:t>nor-</w:t>
      </w:r>
      <w:r>
        <w:rPr>
          <w:w w:val="102"/>
        </w:rPr>
        <w:t> </w:t>
      </w:r>
      <w:r>
        <w:rPr>
          <w:w w:val="110"/>
        </w:rPr>
        <w:t>teamericano continuaría impactando sustancialmente a</w:t>
      </w:r>
      <w:r>
        <w:rPr>
          <w:spacing w:val="28"/>
          <w:w w:val="110"/>
        </w:rPr>
        <w:t> </w:t>
      </w:r>
      <w:r>
        <w:rPr>
          <w:w w:val="110"/>
        </w:rPr>
        <w:t>las</w:t>
      </w:r>
      <w:r>
        <w:rPr>
          <w:spacing w:val="24"/>
          <w:w w:val="110"/>
        </w:rPr>
        <w:t> </w:t>
      </w:r>
      <w:r>
        <w:rPr>
          <w:w w:val="110"/>
        </w:rPr>
        <w:t>llamadas</w:t>
      </w:r>
      <w:r>
        <w:rPr>
          <w:w w:val="111"/>
        </w:rPr>
        <w:t> </w:t>
      </w:r>
      <w:r>
        <w:rPr>
          <w:w w:val="111"/>
        </w:rPr>
        <w:t>economías</w:t>
      </w:r>
      <w:r>
        <w:rPr/>
        <w:t> </w:t>
      </w:r>
      <w:r>
        <w:rPr>
          <w:spacing w:val="-9"/>
        </w:rPr>
        <w:t> </w:t>
      </w:r>
      <w:r>
        <w:rPr>
          <w:w w:val="108"/>
        </w:rPr>
        <w:t>emergentes,</w:t>
      </w:r>
      <w:r>
        <w:rPr/>
        <w:t> </w:t>
      </w:r>
      <w:r>
        <w:rPr>
          <w:spacing w:val="-9"/>
        </w:rPr>
        <w:t> </w:t>
      </w:r>
      <w:r>
        <w:rPr>
          <w:w w:val="111"/>
        </w:rPr>
        <w:t>incluidas</w:t>
      </w:r>
      <w:r>
        <w:rPr/>
        <w:t> </w:t>
      </w:r>
      <w:r>
        <w:rPr>
          <w:spacing w:val="-9"/>
        </w:rPr>
        <w:t> </w:t>
      </w:r>
      <w:r>
        <w:rPr>
          <w:w w:val="109"/>
        </w:rPr>
        <w:t>las</w:t>
      </w:r>
      <w:r>
        <w:rPr/>
        <w:t> </w:t>
      </w:r>
      <w:r>
        <w:rPr>
          <w:spacing w:val="-9"/>
        </w:rPr>
        <w:t> </w:t>
      </w:r>
      <w:r>
        <w:rPr>
          <w:w w:val="107"/>
        </w:rPr>
        <w:t>de</w:t>
      </w:r>
      <w:r>
        <w:rPr/>
        <w:t> </w:t>
      </w:r>
      <w:r>
        <w:rPr>
          <w:spacing w:val="-9"/>
        </w:rPr>
        <w:t> </w:t>
      </w:r>
      <w:r>
        <w:rPr>
          <w:w w:val="139"/>
        </w:rPr>
        <w:t>a</w:t>
      </w:r>
      <w:r>
        <w:rPr>
          <w:w w:val="111"/>
        </w:rPr>
        <w:t>mérica</w:t>
      </w:r>
      <w:r>
        <w:rPr/>
        <w:t> </w:t>
      </w:r>
      <w:r>
        <w:rPr>
          <w:spacing w:val="-9"/>
        </w:rPr>
        <w:t> </w:t>
      </w:r>
      <w:r>
        <w:rPr>
          <w:w w:val="243"/>
        </w:rPr>
        <w:t>l</w:t>
      </w:r>
      <w:r>
        <w:rPr>
          <w:w w:val="111"/>
        </w:rPr>
        <w:t>atina</w:t>
      </w:r>
      <w:r>
        <w:rPr/>
        <w:t> </w:t>
      </w:r>
      <w:r>
        <w:rPr>
          <w:spacing w:val="-9"/>
        </w:rPr>
        <w:t> </w:t>
      </w:r>
      <w:r>
        <w:rPr>
          <w:w w:val="105"/>
        </w:rPr>
        <w:t>y</w:t>
      </w:r>
      <w:r>
        <w:rPr/>
        <w:t> </w:t>
      </w:r>
      <w:r>
        <w:rPr>
          <w:spacing w:val="-9"/>
        </w:rPr>
        <w:t> </w:t>
      </w:r>
      <w:r>
        <w:rPr>
          <w:w w:val="107"/>
        </w:rPr>
        <w:t>el</w:t>
      </w:r>
      <w:r>
        <w:rPr/>
        <w:t> </w:t>
      </w:r>
      <w:r>
        <w:rPr>
          <w:spacing w:val="-9"/>
        </w:rPr>
        <w:t> </w:t>
      </w:r>
      <w:r>
        <w:rPr>
          <w:w w:val="114"/>
        </w:rPr>
        <w:t>Caribe. </w:t>
      </w:r>
      <w:r>
        <w:rPr>
          <w:w w:val="110"/>
        </w:rPr>
        <w:t>Por consiguiente, calificaban la emergencia de aparentes</w:t>
      </w:r>
      <w:r>
        <w:rPr>
          <w:spacing w:val="32"/>
          <w:w w:val="110"/>
        </w:rPr>
        <w:t> </w:t>
      </w:r>
      <w:r>
        <w:rPr>
          <w:w w:val="110"/>
        </w:rPr>
        <w:t>episodios</w:t>
      </w:r>
      <w:r>
        <w:rPr>
          <w:spacing w:val="4"/>
          <w:w w:val="110"/>
        </w:rPr>
        <w:t> </w:t>
      </w:r>
      <w:r>
        <w:rPr>
          <w:w w:val="110"/>
        </w:rPr>
        <w:t>de</w:t>
      </w:r>
      <w:r>
        <w:rPr>
          <w:w w:val="107"/>
        </w:rPr>
        <w:t> </w:t>
      </w:r>
      <w:r>
        <w:rPr>
          <w:w w:val="110"/>
        </w:rPr>
        <w:t>“desacoplamiento” en el período de pre-crisis (2003-2006),</w:t>
      </w:r>
      <w:r>
        <w:rPr>
          <w:spacing w:val="1"/>
          <w:w w:val="110"/>
        </w:rPr>
        <w:t> </w:t>
      </w:r>
      <w:r>
        <w:rPr>
          <w:w w:val="110"/>
        </w:rPr>
        <w:t>e</w:t>
      </w:r>
      <w:r>
        <w:rPr>
          <w:spacing w:val="13"/>
          <w:w w:val="110"/>
        </w:rPr>
        <w:t> </w:t>
      </w:r>
      <w:r>
        <w:rPr>
          <w:w w:val="110"/>
        </w:rPr>
        <w:t>incluso</w:t>
      </w:r>
      <w:r>
        <w:rPr>
          <w:w w:val="111"/>
        </w:rPr>
        <w:t> </w:t>
      </w:r>
      <w:r>
        <w:rPr>
          <w:w w:val="110"/>
        </w:rPr>
        <w:t>post 2009</w:t>
      </w:r>
      <w:r>
        <w:rPr>
          <w:i/>
          <w:w w:val="110"/>
        </w:rPr>
        <w:t>, </w:t>
      </w:r>
      <w:r>
        <w:rPr>
          <w:w w:val="110"/>
        </w:rPr>
        <w:t>como hechos temporales y aislados.</w:t>
      </w:r>
      <w:r>
        <w:rPr>
          <w:spacing w:val="22"/>
          <w:w w:val="110"/>
        </w:rPr>
        <w:t> </w:t>
      </w:r>
      <w:r>
        <w:rPr>
          <w:spacing w:val="-4"/>
          <w:w w:val="110"/>
        </w:rPr>
        <w:t>todos </w:t>
      </w:r>
      <w:r>
        <w:rPr>
          <w:w w:val="110"/>
        </w:rPr>
        <w:t>coinciden,</w:t>
      </w:r>
      <w:r>
        <w:rPr>
          <w:spacing w:val="30"/>
          <w:w w:val="110"/>
        </w:rPr>
        <w:t> </w:t>
      </w:r>
      <w:r>
        <w:rPr>
          <w:w w:val="110"/>
        </w:rPr>
        <w:t>sin</w:t>
      </w:r>
      <w:r>
        <w:rPr>
          <w:w w:val="110"/>
        </w:rPr>
        <w:t> </w:t>
      </w:r>
      <w:r>
        <w:rPr>
          <w:w w:val="110"/>
        </w:rPr>
        <w:t>embargo, en la no existencia de precedentes de un</w:t>
      </w:r>
      <w:r>
        <w:rPr>
          <w:spacing w:val="30"/>
          <w:w w:val="110"/>
        </w:rPr>
        <w:t> </w:t>
      </w:r>
      <w:r>
        <w:rPr>
          <w:w w:val="110"/>
        </w:rPr>
        <w:t>fenómeno</w:t>
      </w:r>
      <w:r>
        <w:rPr>
          <w:spacing w:val="8"/>
          <w:w w:val="110"/>
        </w:rPr>
        <w:t> </w:t>
      </w:r>
      <w:r>
        <w:rPr>
          <w:spacing w:val="-3"/>
          <w:w w:val="110"/>
        </w:rPr>
        <w:t>similar.</w:t>
      </w:r>
      <w:r>
        <w:rPr>
          <w:w w:val="138"/>
        </w:rPr>
        <w:t> </w:t>
      </w:r>
      <w:r>
        <w:rPr>
          <w:w w:val="110"/>
        </w:rPr>
        <w:t>otros autores, si bien reconocen que algunas</w:t>
      </w:r>
      <w:r>
        <w:rPr>
          <w:spacing w:val="2"/>
          <w:w w:val="110"/>
        </w:rPr>
        <w:t> </w:t>
      </w:r>
      <w:r>
        <w:rPr>
          <w:w w:val="110"/>
        </w:rPr>
        <w:t>economías</w:t>
      </w:r>
      <w:r>
        <w:rPr>
          <w:spacing w:val="39"/>
          <w:w w:val="110"/>
        </w:rPr>
        <w:t> </w:t>
      </w:r>
      <w:r>
        <w:rPr>
          <w:spacing w:val="-3"/>
          <w:w w:val="110"/>
        </w:rPr>
        <w:t>emer-</w:t>
      </w:r>
      <w:r>
        <w:rPr>
          <w:w w:val="102"/>
        </w:rPr>
        <w:t> </w:t>
      </w:r>
      <w:r>
        <w:rPr>
          <w:w w:val="110"/>
        </w:rPr>
        <w:t>gentes</w:t>
      </w:r>
      <w:r>
        <w:rPr>
          <w:spacing w:val="31"/>
          <w:w w:val="110"/>
        </w:rPr>
        <w:t> </w:t>
      </w:r>
      <w:r>
        <w:rPr>
          <w:w w:val="110"/>
        </w:rPr>
        <w:t>asistieron</w:t>
      </w:r>
      <w:r>
        <w:rPr>
          <w:spacing w:val="31"/>
          <w:w w:val="110"/>
        </w:rPr>
        <w:t> </w:t>
      </w:r>
      <w:r>
        <w:rPr>
          <w:w w:val="110"/>
        </w:rPr>
        <w:t>a</w:t>
      </w:r>
      <w:r>
        <w:rPr>
          <w:spacing w:val="31"/>
          <w:w w:val="110"/>
        </w:rPr>
        <w:t> </w:t>
      </w:r>
      <w:r>
        <w:rPr>
          <w:w w:val="110"/>
        </w:rPr>
        <w:t>episodios</w:t>
      </w:r>
      <w:r>
        <w:rPr>
          <w:spacing w:val="31"/>
          <w:w w:val="110"/>
        </w:rPr>
        <w:t> </w:t>
      </w:r>
      <w:r>
        <w:rPr>
          <w:w w:val="110"/>
        </w:rPr>
        <w:t>“de</w:t>
      </w:r>
      <w:r>
        <w:rPr>
          <w:spacing w:val="31"/>
          <w:w w:val="110"/>
        </w:rPr>
        <w:t> </w:t>
      </w:r>
      <w:r>
        <w:rPr>
          <w:w w:val="110"/>
        </w:rPr>
        <w:t>desacoplamiento”</w:t>
      </w:r>
      <w:r>
        <w:rPr>
          <w:spacing w:val="31"/>
          <w:w w:val="110"/>
        </w:rPr>
        <w:t> </w:t>
      </w:r>
      <w:r>
        <w:rPr>
          <w:w w:val="110"/>
        </w:rPr>
        <w:t>en</w:t>
      </w:r>
      <w:r>
        <w:rPr>
          <w:spacing w:val="31"/>
          <w:w w:val="110"/>
        </w:rPr>
        <w:t> </w:t>
      </w:r>
      <w:r>
        <w:rPr>
          <w:w w:val="110"/>
        </w:rPr>
        <w:t>los</w:t>
      </w:r>
      <w:r>
        <w:rPr>
          <w:spacing w:val="31"/>
          <w:w w:val="110"/>
        </w:rPr>
        <w:t> </w:t>
      </w:r>
      <w:r>
        <w:rPr>
          <w:w w:val="110"/>
        </w:rPr>
        <w:t>primeros</w:t>
      </w:r>
      <w:r>
        <w:rPr>
          <w:w w:val="108"/>
        </w:rPr>
        <w:t> </w:t>
      </w:r>
      <w:r>
        <w:rPr>
          <w:w w:val="110"/>
        </w:rPr>
        <w:t>años de la crisis y a un “reacoplamiento o </w:t>
      </w:r>
      <w:r>
        <w:rPr>
          <w:i/>
          <w:w w:val="110"/>
        </w:rPr>
        <w:t>recoupling</w:t>
      </w:r>
      <w:r>
        <w:rPr>
          <w:w w:val="110"/>
        </w:rPr>
        <w:t>”</w:t>
      </w:r>
      <w:r>
        <w:rPr>
          <w:spacing w:val="32"/>
          <w:w w:val="110"/>
        </w:rPr>
        <w:t> </w:t>
      </w:r>
      <w:r>
        <w:rPr>
          <w:spacing w:val="-3"/>
          <w:w w:val="110"/>
        </w:rPr>
        <w:t>posterior,</w:t>
      </w:r>
      <w:r>
        <w:rPr>
          <w:spacing w:val="3"/>
          <w:w w:val="110"/>
        </w:rPr>
        <w:t> </w:t>
      </w:r>
      <w:r>
        <w:rPr>
          <w:w w:val="110"/>
        </w:rPr>
        <w:t>consi-</w:t>
      </w:r>
      <w:r>
        <w:rPr>
          <w:w w:val="102"/>
        </w:rPr>
        <w:t> </w:t>
      </w:r>
      <w:r>
        <w:rPr>
          <w:w w:val="110"/>
        </w:rPr>
        <w:t>deran que los factores que condujeron a este cambio</w:t>
      </w:r>
      <w:r>
        <w:rPr>
          <w:spacing w:val="8"/>
          <w:w w:val="110"/>
        </w:rPr>
        <w:t> </w:t>
      </w:r>
      <w:r>
        <w:rPr>
          <w:w w:val="110"/>
        </w:rPr>
        <w:t>sin</w:t>
      </w:r>
      <w:r>
        <w:rPr>
          <w:spacing w:val="11"/>
          <w:w w:val="110"/>
        </w:rPr>
        <w:t> </w:t>
      </w:r>
      <w:r>
        <w:rPr>
          <w:w w:val="110"/>
        </w:rPr>
        <w:t>precedentes</w:t>
      </w:r>
      <w:r>
        <w:rPr>
          <w:w w:val="107"/>
        </w:rPr>
        <w:t> </w:t>
      </w:r>
      <w:r>
        <w:rPr>
          <w:w w:val="110"/>
        </w:rPr>
        <w:t>se</w:t>
      </w:r>
      <w:r>
        <w:rPr>
          <w:spacing w:val="22"/>
          <w:w w:val="110"/>
        </w:rPr>
        <w:t> </w:t>
      </w:r>
      <w:r>
        <w:rPr>
          <w:w w:val="110"/>
        </w:rPr>
        <w:t>encuentran</w:t>
      </w:r>
      <w:r>
        <w:rPr>
          <w:spacing w:val="22"/>
          <w:w w:val="110"/>
        </w:rPr>
        <w:t> </w:t>
      </w:r>
      <w:r>
        <w:rPr>
          <w:w w:val="110"/>
        </w:rPr>
        <w:t>aún</w:t>
      </w:r>
      <w:r>
        <w:rPr>
          <w:spacing w:val="22"/>
          <w:w w:val="110"/>
        </w:rPr>
        <w:t> </w:t>
      </w:r>
      <w:r>
        <w:rPr>
          <w:w w:val="110"/>
        </w:rPr>
        <w:t>presentes</w:t>
      </w:r>
      <w:r>
        <w:rPr>
          <w:spacing w:val="22"/>
          <w:w w:val="110"/>
        </w:rPr>
        <w:t> </w:t>
      </w:r>
      <w:r>
        <w:rPr>
          <w:w w:val="110"/>
        </w:rPr>
        <w:t>en</w:t>
      </w:r>
      <w:r>
        <w:rPr>
          <w:spacing w:val="22"/>
          <w:w w:val="110"/>
        </w:rPr>
        <w:t> </w:t>
      </w:r>
      <w:r>
        <w:rPr>
          <w:w w:val="110"/>
        </w:rPr>
        <w:t>el</w:t>
      </w:r>
      <w:r>
        <w:rPr>
          <w:spacing w:val="22"/>
          <w:w w:val="110"/>
        </w:rPr>
        <w:t> </w:t>
      </w:r>
      <w:r>
        <w:rPr>
          <w:w w:val="110"/>
        </w:rPr>
        <w:t>contexto</w:t>
      </w:r>
      <w:r>
        <w:rPr>
          <w:spacing w:val="22"/>
          <w:w w:val="110"/>
        </w:rPr>
        <w:t> </w:t>
      </w:r>
      <w:r>
        <w:rPr>
          <w:w w:val="110"/>
        </w:rPr>
        <w:t>de</w:t>
      </w:r>
      <w:r>
        <w:rPr>
          <w:spacing w:val="22"/>
          <w:w w:val="110"/>
        </w:rPr>
        <w:t> </w:t>
      </w:r>
      <w:r>
        <w:rPr>
          <w:w w:val="110"/>
        </w:rPr>
        <w:t>la</w:t>
      </w:r>
      <w:r>
        <w:rPr>
          <w:spacing w:val="22"/>
          <w:w w:val="110"/>
        </w:rPr>
        <w:t> </w:t>
      </w:r>
      <w:r>
        <w:rPr>
          <w:w w:val="110"/>
        </w:rPr>
        <w:t>economía</w:t>
      </w:r>
      <w:r>
        <w:rPr>
          <w:spacing w:val="22"/>
          <w:w w:val="110"/>
        </w:rPr>
        <w:t> </w:t>
      </w:r>
      <w:r>
        <w:rPr>
          <w:w w:val="110"/>
        </w:rPr>
        <w:t>interna-</w:t>
      </w:r>
      <w:r>
        <w:rPr>
          <w:w w:val="102"/>
        </w:rPr>
        <w:t> </w:t>
      </w:r>
      <w:r>
        <w:rPr>
          <w:w w:val="110"/>
        </w:rPr>
        <w:t>cional</w:t>
      </w:r>
      <w:r>
        <w:rPr>
          <w:spacing w:val="22"/>
          <w:w w:val="110"/>
        </w:rPr>
        <w:t> </w:t>
      </w:r>
      <w:r>
        <w:rPr>
          <w:spacing w:val="-11"/>
          <w:w w:val="110"/>
        </w:rPr>
        <w:t>y,</w:t>
      </w:r>
      <w:r>
        <w:rPr>
          <w:spacing w:val="22"/>
          <w:w w:val="110"/>
        </w:rPr>
        <w:t> </w:t>
      </w:r>
      <w:r>
        <w:rPr>
          <w:w w:val="110"/>
        </w:rPr>
        <w:t>por</w:t>
      </w:r>
      <w:r>
        <w:rPr>
          <w:spacing w:val="22"/>
          <w:w w:val="110"/>
        </w:rPr>
        <w:t> </w:t>
      </w:r>
      <w:r>
        <w:rPr>
          <w:w w:val="110"/>
        </w:rPr>
        <w:t>tanto,</w:t>
      </w:r>
      <w:r>
        <w:rPr>
          <w:spacing w:val="22"/>
          <w:w w:val="110"/>
        </w:rPr>
        <w:t> </w:t>
      </w:r>
      <w:r>
        <w:rPr>
          <w:w w:val="110"/>
        </w:rPr>
        <w:t>pueden</w:t>
      </w:r>
      <w:r>
        <w:rPr>
          <w:spacing w:val="22"/>
          <w:w w:val="110"/>
        </w:rPr>
        <w:t> </w:t>
      </w:r>
      <w:r>
        <w:rPr>
          <w:w w:val="110"/>
        </w:rPr>
        <w:t>influir</w:t>
      </w:r>
      <w:r>
        <w:rPr>
          <w:spacing w:val="22"/>
          <w:w w:val="110"/>
        </w:rPr>
        <w:t> </w:t>
      </w:r>
      <w:r>
        <w:rPr>
          <w:w w:val="110"/>
        </w:rPr>
        <w:t>sobre</w:t>
      </w:r>
      <w:r>
        <w:rPr>
          <w:spacing w:val="22"/>
          <w:w w:val="110"/>
        </w:rPr>
        <w:t> </w:t>
      </w:r>
      <w:r>
        <w:rPr>
          <w:w w:val="110"/>
        </w:rPr>
        <w:t>la</w:t>
      </w:r>
      <w:r>
        <w:rPr>
          <w:spacing w:val="22"/>
          <w:w w:val="110"/>
        </w:rPr>
        <w:t> </w:t>
      </w:r>
      <w:r>
        <w:rPr>
          <w:w w:val="110"/>
        </w:rPr>
        <w:t>emergencia</w:t>
      </w:r>
      <w:r>
        <w:rPr>
          <w:spacing w:val="22"/>
          <w:w w:val="110"/>
        </w:rPr>
        <w:t> </w:t>
      </w:r>
      <w:r>
        <w:rPr>
          <w:w w:val="110"/>
        </w:rPr>
        <w:t>de</w:t>
      </w:r>
      <w:r>
        <w:rPr>
          <w:spacing w:val="22"/>
          <w:w w:val="110"/>
        </w:rPr>
        <w:t> </w:t>
      </w:r>
      <w:r>
        <w:rPr>
          <w:w w:val="110"/>
        </w:rPr>
        <w:t>cambios</w:t>
      </w:r>
      <w:r>
        <w:rPr>
          <w:spacing w:val="22"/>
          <w:w w:val="110"/>
        </w:rPr>
        <w:t> </w:t>
      </w:r>
      <w:r>
        <w:rPr>
          <w:w w:val="110"/>
        </w:rPr>
        <w:t>a</w:t>
      </w:r>
    </w:p>
    <w:p>
      <w:pPr>
        <w:pStyle w:val="BodyText"/>
        <w:ind w:left="120"/>
        <w:jc w:val="both"/>
      </w:pPr>
      <w:r>
        <w:rPr>
          <w:w w:val="110"/>
        </w:rPr>
        <w:t>mediano y largo plazo.</w:t>
      </w:r>
    </w:p>
    <w:p>
      <w:pPr>
        <w:pStyle w:val="BodyText"/>
        <w:spacing w:line="252" w:lineRule="auto" w:before="11"/>
        <w:ind w:left="120" w:right="328" w:firstLine="396"/>
        <w:jc w:val="both"/>
      </w:pPr>
      <w:r>
        <w:rPr>
          <w:w w:val="110"/>
        </w:rPr>
        <w:t>una aproximación terminológica al “</w:t>
      </w:r>
      <w:r>
        <w:rPr>
          <w:i/>
          <w:w w:val="110"/>
        </w:rPr>
        <w:t>decoupling </w:t>
      </w:r>
      <w:r>
        <w:rPr>
          <w:w w:val="110"/>
        </w:rPr>
        <w:t>o desacoplamien- to” muestra una diversidad de interpretaciones, especialmente en re- lación con su objeto de estudio, alcance y temporalidad (permanencia en el corto, mediano y largo plazos)</w:t>
      </w:r>
      <w:r>
        <w:rPr>
          <w:w w:val="110"/>
          <w:position w:val="6"/>
          <w:sz w:val="11"/>
        </w:rPr>
        <w:t>9</w:t>
      </w:r>
      <w:r>
        <w:rPr>
          <w:w w:val="110"/>
        </w:rPr>
        <w:t>. autores como rossi (2008),  pro-</w:t>
      </w:r>
    </w:p>
    <w:p>
      <w:pPr>
        <w:pStyle w:val="BodyText"/>
        <w:spacing w:before="7"/>
        <w:rPr>
          <w:sz w:val="24"/>
        </w:rPr>
      </w:pPr>
      <w:r>
        <w:rPr/>
        <w:pict>
          <v:line style="position:absolute;mso-position-horizontal-relative:page;mso-position-vertical-relative:paragraph;z-index:8536;mso-wrap-distance-left:0;mso-wrap-distance-right:0" from="51.023602pt,16.625435pt" to="79.369602pt,16.625435pt" stroked="true" strokeweight=".5pt" strokecolor="#000000">
            <w10:wrap type="topAndBottom"/>
          </v:line>
        </w:pict>
      </w:r>
    </w:p>
    <w:p>
      <w:pPr>
        <w:spacing w:line="242" w:lineRule="auto" w:before="89"/>
        <w:ind w:left="120" w:right="328" w:firstLine="0"/>
        <w:jc w:val="both"/>
        <w:rPr>
          <w:sz w:val="16"/>
        </w:rPr>
      </w:pPr>
      <w:r>
        <w:rPr>
          <w:w w:val="110"/>
          <w:sz w:val="16"/>
        </w:rPr>
        <w:t>citarse:</w:t>
      </w:r>
      <w:r>
        <w:rPr>
          <w:spacing w:val="-7"/>
          <w:w w:val="110"/>
          <w:sz w:val="16"/>
        </w:rPr>
        <w:t> </w:t>
      </w:r>
      <w:r>
        <w:rPr>
          <w:w w:val="110"/>
          <w:sz w:val="16"/>
        </w:rPr>
        <w:t>Kose,</w:t>
      </w:r>
      <w:r>
        <w:rPr>
          <w:spacing w:val="-7"/>
          <w:w w:val="110"/>
          <w:sz w:val="16"/>
        </w:rPr>
        <w:t> </w:t>
      </w:r>
      <w:r>
        <w:rPr>
          <w:w w:val="110"/>
          <w:sz w:val="16"/>
        </w:rPr>
        <w:t>otrok</w:t>
      </w:r>
      <w:r>
        <w:rPr>
          <w:spacing w:val="-7"/>
          <w:w w:val="110"/>
          <w:sz w:val="16"/>
        </w:rPr>
        <w:t> </w:t>
      </w:r>
      <w:r>
        <w:rPr>
          <w:w w:val="110"/>
          <w:sz w:val="16"/>
        </w:rPr>
        <w:t>y</w:t>
      </w:r>
      <w:r>
        <w:rPr>
          <w:spacing w:val="-7"/>
          <w:w w:val="110"/>
          <w:sz w:val="16"/>
        </w:rPr>
        <w:t> </w:t>
      </w:r>
      <w:r>
        <w:rPr>
          <w:w w:val="110"/>
          <w:sz w:val="16"/>
        </w:rPr>
        <w:t>Whiterman</w:t>
      </w:r>
      <w:r>
        <w:rPr>
          <w:spacing w:val="-7"/>
          <w:w w:val="110"/>
          <w:sz w:val="16"/>
        </w:rPr>
        <w:t> </w:t>
      </w:r>
      <w:r>
        <w:rPr>
          <w:w w:val="110"/>
          <w:sz w:val="16"/>
        </w:rPr>
        <w:t>(2008);</w:t>
      </w:r>
      <w:r>
        <w:rPr>
          <w:spacing w:val="-7"/>
          <w:w w:val="110"/>
          <w:sz w:val="16"/>
        </w:rPr>
        <w:t> </w:t>
      </w:r>
      <w:r>
        <w:rPr>
          <w:w w:val="110"/>
          <w:sz w:val="16"/>
        </w:rPr>
        <w:t>Kose,</w:t>
      </w:r>
      <w:r>
        <w:rPr>
          <w:spacing w:val="-7"/>
          <w:w w:val="110"/>
          <w:sz w:val="16"/>
        </w:rPr>
        <w:t> </w:t>
      </w:r>
      <w:r>
        <w:rPr>
          <w:w w:val="110"/>
          <w:sz w:val="16"/>
        </w:rPr>
        <w:t>otrok</w:t>
      </w:r>
      <w:r>
        <w:rPr>
          <w:spacing w:val="-7"/>
          <w:w w:val="110"/>
          <w:sz w:val="16"/>
        </w:rPr>
        <w:t> </w:t>
      </w:r>
      <w:r>
        <w:rPr>
          <w:w w:val="110"/>
          <w:sz w:val="16"/>
        </w:rPr>
        <w:t>y</w:t>
      </w:r>
      <w:r>
        <w:rPr>
          <w:spacing w:val="-7"/>
          <w:w w:val="110"/>
          <w:sz w:val="16"/>
        </w:rPr>
        <w:t> </w:t>
      </w:r>
      <w:r>
        <w:rPr>
          <w:w w:val="110"/>
          <w:sz w:val="16"/>
        </w:rPr>
        <w:t>Prasad</w:t>
      </w:r>
      <w:r>
        <w:rPr>
          <w:spacing w:val="-7"/>
          <w:w w:val="110"/>
          <w:sz w:val="16"/>
        </w:rPr>
        <w:t> </w:t>
      </w:r>
      <w:r>
        <w:rPr>
          <w:w w:val="110"/>
          <w:sz w:val="16"/>
        </w:rPr>
        <w:t>(2008</w:t>
      </w:r>
      <w:r>
        <w:rPr>
          <w:spacing w:val="-7"/>
          <w:w w:val="110"/>
          <w:sz w:val="16"/>
        </w:rPr>
        <w:t> </w:t>
      </w:r>
      <w:r>
        <w:rPr>
          <w:w w:val="110"/>
          <w:sz w:val="16"/>
        </w:rPr>
        <w:t>y</w:t>
      </w:r>
      <w:r>
        <w:rPr>
          <w:spacing w:val="-7"/>
          <w:w w:val="110"/>
          <w:sz w:val="16"/>
        </w:rPr>
        <w:t> </w:t>
      </w:r>
      <w:r>
        <w:rPr>
          <w:w w:val="110"/>
          <w:sz w:val="16"/>
        </w:rPr>
        <w:t>2012);</w:t>
      </w:r>
      <w:r>
        <w:rPr>
          <w:spacing w:val="-7"/>
          <w:w w:val="110"/>
          <w:sz w:val="16"/>
        </w:rPr>
        <w:t> </w:t>
      </w:r>
      <w:r>
        <w:rPr>
          <w:w w:val="110"/>
          <w:sz w:val="16"/>
        </w:rPr>
        <w:t>dées</w:t>
      </w:r>
      <w:r>
        <w:rPr>
          <w:spacing w:val="-7"/>
          <w:w w:val="110"/>
          <w:sz w:val="16"/>
        </w:rPr>
        <w:t> </w:t>
      </w:r>
      <w:r>
        <w:rPr>
          <w:w w:val="110"/>
          <w:sz w:val="16"/>
        </w:rPr>
        <w:t>y </w:t>
      </w:r>
      <w:r>
        <w:rPr>
          <w:spacing w:val="-12"/>
          <w:w w:val="116"/>
          <w:sz w:val="16"/>
        </w:rPr>
        <w:t>V</w:t>
      </w:r>
      <w:r>
        <w:rPr>
          <w:w w:val="105"/>
          <w:sz w:val="16"/>
        </w:rPr>
        <w:t>ansteenkiste</w:t>
      </w:r>
      <w:r>
        <w:rPr>
          <w:spacing w:val="13"/>
          <w:sz w:val="16"/>
        </w:rPr>
        <w:t> </w:t>
      </w:r>
      <w:r>
        <w:rPr>
          <w:sz w:val="16"/>
        </w:rPr>
        <w:t>(2007);</w:t>
      </w:r>
      <w:r>
        <w:rPr>
          <w:spacing w:val="13"/>
          <w:sz w:val="16"/>
        </w:rPr>
        <w:t> </w:t>
      </w:r>
      <w:r>
        <w:rPr>
          <w:w w:val="136"/>
          <w:sz w:val="16"/>
        </w:rPr>
        <w:t>d</w:t>
      </w:r>
      <w:r>
        <w:rPr>
          <w:w w:val="102"/>
          <w:sz w:val="16"/>
        </w:rPr>
        <w:t>ées</w:t>
      </w:r>
      <w:r>
        <w:rPr>
          <w:spacing w:val="13"/>
          <w:sz w:val="16"/>
        </w:rPr>
        <w:t> </w:t>
      </w:r>
      <w:r>
        <w:rPr>
          <w:w w:val="102"/>
          <w:sz w:val="16"/>
        </w:rPr>
        <w:t>y</w:t>
      </w:r>
      <w:r>
        <w:rPr>
          <w:spacing w:val="13"/>
          <w:sz w:val="16"/>
        </w:rPr>
        <w:t> </w:t>
      </w:r>
      <w:r>
        <w:rPr>
          <w:w w:val="109"/>
          <w:sz w:val="16"/>
        </w:rPr>
        <w:t>Zorell</w:t>
      </w:r>
      <w:r>
        <w:rPr>
          <w:spacing w:val="13"/>
          <w:sz w:val="16"/>
        </w:rPr>
        <w:t> </w:t>
      </w:r>
      <w:r>
        <w:rPr>
          <w:sz w:val="16"/>
        </w:rPr>
        <w:t>(2012);</w:t>
      </w:r>
      <w:r>
        <w:rPr>
          <w:spacing w:val="13"/>
          <w:sz w:val="16"/>
        </w:rPr>
        <w:t> </w:t>
      </w:r>
      <w:r>
        <w:rPr>
          <w:w w:val="136"/>
          <w:sz w:val="16"/>
        </w:rPr>
        <w:t>d</w:t>
      </w:r>
      <w:r>
        <w:rPr>
          <w:w w:val="113"/>
          <w:sz w:val="16"/>
        </w:rPr>
        <w:t>i</w:t>
      </w:r>
      <w:r>
        <w:rPr>
          <w:spacing w:val="13"/>
          <w:sz w:val="16"/>
        </w:rPr>
        <w:t> </w:t>
      </w:r>
      <w:r>
        <w:rPr>
          <w:w w:val="112"/>
          <w:sz w:val="16"/>
        </w:rPr>
        <w:t>Mauro,</w:t>
      </w:r>
      <w:r>
        <w:rPr>
          <w:spacing w:val="13"/>
          <w:sz w:val="16"/>
        </w:rPr>
        <w:t> </w:t>
      </w:r>
      <w:r>
        <w:rPr>
          <w:w w:val="136"/>
          <w:sz w:val="16"/>
        </w:rPr>
        <w:t>d</w:t>
      </w:r>
      <w:r>
        <w:rPr>
          <w:w w:val="102"/>
          <w:sz w:val="16"/>
        </w:rPr>
        <w:t>ées</w:t>
      </w:r>
      <w:r>
        <w:rPr>
          <w:spacing w:val="13"/>
          <w:sz w:val="16"/>
        </w:rPr>
        <w:t> </w:t>
      </w:r>
      <w:r>
        <w:rPr>
          <w:w w:val="102"/>
          <w:sz w:val="16"/>
        </w:rPr>
        <w:t>y</w:t>
      </w:r>
      <w:r>
        <w:rPr>
          <w:spacing w:val="13"/>
          <w:sz w:val="16"/>
        </w:rPr>
        <w:t> </w:t>
      </w:r>
      <w:r>
        <w:rPr>
          <w:w w:val="238"/>
          <w:sz w:val="16"/>
        </w:rPr>
        <w:t>l</w:t>
      </w:r>
      <w:r>
        <w:rPr>
          <w:w w:val="108"/>
          <w:sz w:val="16"/>
        </w:rPr>
        <w:t>ombardi</w:t>
      </w:r>
      <w:r>
        <w:rPr>
          <w:spacing w:val="13"/>
          <w:sz w:val="16"/>
        </w:rPr>
        <w:t> </w:t>
      </w:r>
      <w:r>
        <w:rPr>
          <w:sz w:val="16"/>
        </w:rPr>
        <w:t>(2010);</w:t>
      </w:r>
      <w:r>
        <w:rPr>
          <w:spacing w:val="13"/>
          <w:sz w:val="16"/>
        </w:rPr>
        <w:t> </w:t>
      </w:r>
      <w:r>
        <w:rPr>
          <w:w w:val="117"/>
          <w:sz w:val="16"/>
        </w:rPr>
        <w:t>FM</w:t>
      </w:r>
      <w:r>
        <w:rPr>
          <w:w w:val="140"/>
          <w:sz w:val="16"/>
        </w:rPr>
        <w:t>i </w:t>
      </w:r>
      <w:r>
        <w:rPr>
          <w:w w:val="110"/>
          <w:sz w:val="16"/>
        </w:rPr>
        <w:t>(2007);</w:t>
      </w:r>
      <w:r>
        <w:rPr>
          <w:spacing w:val="-6"/>
          <w:w w:val="110"/>
          <w:sz w:val="16"/>
        </w:rPr>
        <w:t> </w:t>
      </w:r>
      <w:r>
        <w:rPr>
          <w:w w:val="110"/>
          <w:sz w:val="16"/>
        </w:rPr>
        <w:t>rossi</w:t>
      </w:r>
      <w:r>
        <w:rPr>
          <w:spacing w:val="-6"/>
          <w:w w:val="110"/>
          <w:sz w:val="16"/>
        </w:rPr>
        <w:t> </w:t>
      </w:r>
      <w:r>
        <w:rPr>
          <w:w w:val="110"/>
          <w:sz w:val="16"/>
        </w:rPr>
        <w:t>(2008);</w:t>
      </w:r>
      <w:r>
        <w:rPr>
          <w:spacing w:val="-6"/>
          <w:w w:val="110"/>
          <w:sz w:val="16"/>
        </w:rPr>
        <w:t> </w:t>
      </w:r>
      <w:r>
        <w:rPr>
          <w:w w:val="110"/>
          <w:sz w:val="16"/>
        </w:rPr>
        <w:t>Wälti</w:t>
      </w:r>
      <w:r>
        <w:rPr>
          <w:spacing w:val="-6"/>
          <w:w w:val="110"/>
          <w:sz w:val="16"/>
        </w:rPr>
        <w:t> </w:t>
      </w:r>
      <w:r>
        <w:rPr>
          <w:w w:val="110"/>
          <w:sz w:val="16"/>
        </w:rPr>
        <w:t>(2009);</w:t>
      </w:r>
      <w:r>
        <w:rPr>
          <w:spacing w:val="-6"/>
          <w:w w:val="110"/>
          <w:sz w:val="16"/>
        </w:rPr>
        <w:t> </w:t>
      </w:r>
      <w:r>
        <w:rPr>
          <w:w w:val="110"/>
          <w:sz w:val="16"/>
        </w:rPr>
        <w:t>Khon</w:t>
      </w:r>
      <w:r>
        <w:rPr>
          <w:spacing w:val="-6"/>
          <w:w w:val="110"/>
          <w:sz w:val="16"/>
        </w:rPr>
        <w:t> </w:t>
      </w:r>
      <w:r>
        <w:rPr>
          <w:w w:val="110"/>
          <w:sz w:val="16"/>
        </w:rPr>
        <w:t>(2008);</w:t>
      </w:r>
      <w:r>
        <w:rPr>
          <w:spacing w:val="-6"/>
          <w:w w:val="110"/>
          <w:sz w:val="16"/>
        </w:rPr>
        <w:t> </w:t>
      </w:r>
      <w:r>
        <w:rPr>
          <w:w w:val="110"/>
          <w:sz w:val="16"/>
        </w:rPr>
        <w:t>bordo</w:t>
      </w:r>
      <w:r>
        <w:rPr>
          <w:spacing w:val="-6"/>
          <w:w w:val="110"/>
          <w:sz w:val="16"/>
        </w:rPr>
        <w:t> </w:t>
      </w:r>
      <w:r>
        <w:rPr>
          <w:w w:val="110"/>
          <w:sz w:val="16"/>
        </w:rPr>
        <w:t>y</w:t>
      </w:r>
      <w:r>
        <w:rPr>
          <w:spacing w:val="-6"/>
          <w:w w:val="110"/>
          <w:sz w:val="16"/>
        </w:rPr>
        <w:t> </w:t>
      </w:r>
      <w:r>
        <w:rPr>
          <w:w w:val="110"/>
          <w:sz w:val="16"/>
        </w:rPr>
        <w:t>Helbling</w:t>
      </w:r>
      <w:r>
        <w:rPr>
          <w:spacing w:val="-6"/>
          <w:w w:val="110"/>
          <w:sz w:val="16"/>
        </w:rPr>
        <w:t> </w:t>
      </w:r>
      <w:r>
        <w:rPr>
          <w:w w:val="110"/>
          <w:sz w:val="16"/>
        </w:rPr>
        <w:t>(2010);</w:t>
      </w:r>
      <w:r>
        <w:rPr>
          <w:spacing w:val="-6"/>
          <w:w w:val="110"/>
          <w:sz w:val="16"/>
        </w:rPr>
        <w:t> </w:t>
      </w:r>
      <w:r>
        <w:rPr>
          <w:w w:val="110"/>
          <w:sz w:val="16"/>
        </w:rPr>
        <w:t>thorsrud</w:t>
      </w:r>
    </w:p>
    <w:p>
      <w:pPr>
        <w:spacing w:line="242" w:lineRule="auto" w:before="0"/>
        <w:ind w:left="120" w:right="328" w:firstLine="0"/>
        <w:jc w:val="both"/>
        <w:rPr>
          <w:sz w:val="16"/>
        </w:rPr>
      </w:pPr>
      <w:r>
        <w:rPr>
          <w:w w:val="110"/>
          <w:sz w:val="16"/>
        </w:rPr>
        <w:t>(2012);</w:t>
      </w:r>
      <w:r>
        <w:rPr>
          <w:spacing w:val="-16"/>
          <w:w w:val="110"/>
          <w:sz w:val="16"/>
        </w:rPr>
        <w:t> </w:t>
      </w:r>
      <w:r>
        <w:rPr>
          <w:w w:val="110"/>
          <w:sz w:val="16"/>
        </w:rPr>
        <w:t>sánchez</w:t>
      </w:r>
      <w:r>
        <w:rPr>
          <w:spacing w:val="-16"/>
          <w:w w:val="110"/>
          <w:sz w:val="16"/>
        </w:rPr>
        <w:t> </w:t>
      </w:r>
      <w:r>
        <w:rPr>
          <w:w w:val="110"/>
          <w:sz w:val="16"/>
        </w:rPr>
        <w:t>Egozcue</w:t>
      </w:r>
      <w:r>
        <w:rPr>
          <w:spacing w:val="-16"/>
          <w:w w:val="110"/>
          <w:sz w:val="16"/>
        </w:rPr>
        <w:t> </w:t>
      </w:r>
      <w:r>
        <w:rPr>
          <w:w w:val="110"/>
          <w:sz w:val="16"/>
        </w:rPr>
        <w:t>(2009);</w:t>
      </w:r>
      <w:r>
        <w:rPr>
          <w:spacing w:val="-16"/>
          <w:w w:val="110"/>
          <w:sz w:val="16"/>
        </w:rPr>
        <w:t> </w:t>
      </w:r>
      <w:r>
        <w:rPr>
          <w:w w:val="110"/>
          <w:sz w:val="16"/>
        </w:rPr>
        <w:t>baduel</w:t>
      </w:r>
      <w:r>
        <w:rPr>
          <w:spacing w:val="-16"/>
          <w:w w:val="110"/>
          <w:sz w:val="16"/>
        </w:rPr>
        <w:t> </w:t>
      </w:r>
      <w:r>
        <w:rPr>
          <w:i/>
          <w:w w:val="110"/>
          <w:sz w:val="16"/>
        </w:rPr>
        <w:t>et</w:t>
      </w:r>
      <w:r>
        <w:rPr>
          <w:i/>
          <w:spacing w:val="-16"/>
          <w:w w:val="110"/>
          <w:sz w:val="16"/>
        </w:rPr>
        <w:t> </w:t>
      </w:r>
      <w:r>
        <w:rPr>
          <w:i/>
          <w:w w:val="110"/>
          <w:sz w:val="16"/>
        </w:rPr>
        <w:t>al.</w:t>
      </w:r>
      <w:r>
        <w:rPr>
          <w:i/>
          <w:spacing w:val="-16"/>
          <w:w w:val="110"/>
          <w:sz w:val="16"/>
        </w:rPr>
        <w:t> </w:t>
      </w:r>
      <w:r>
        <w:rPr>
          <w:w w:val="110"/>
          <w:sz w:val="16"/>
        </w:rPr>
        <w:t>(2011);</w:t>
      </w:r>
      <w:r>
        <w:rPr>
          <w:spacing w:val="-16"/>
          <w:w w:val="110"/>
          <w:sz w:val="16"/>
        </w:rPr>
        <w:t> </w:t>
      </w:r>
      <w:r>
        <w:rPr>
          <w:w w:val="110"/>
          <w:sz w:val="16"/>
        </w:rPr>
        <w:t>shelby-Colby</w:t>
      </w:r>
      <w:r>
        <w:rPr>
          <w:spacing w:val="-16"/>
          <w:w w:val="110"/>
          <w:sz w:val="16"/>
        </w:rPr>
        <w:t> </w:t>
      </w:r>
      <w:r>
        <w:rPr>
          <w:w w:val="110"/>
          <w:sz w:val="16"/>
        </w:rPr>
        <w:t>(2009),</w:t>
      </w:r>
      <w:r>
        <w:rPr>
          <w:spacing w:val="-16"/>
          <w:w w:val="110"/>
          <w:sz w:val="16"/>
        </w:rPr>
        <w:t> </w:t>
      </w:r>
      <w:r>
        <w:rPr>
          <w:w w:val="110"/>
          <w:sz w:val="16"/>
        </w:rPr>
        <w:t>Murshed, Mansoob</w:t>
      </w:r>
      <w:r>
        <w:rPr>
          <w:spacing w:val="-8"/>
          <w:w w:val="110"/>
          <w:sz w:val="16"/>
        </w:rPr>
        <w:t> </w:t>
      </w:r>
      <w:r>
        <w:rPr>
          <w:w w:val="110"/>
          <w:sz w:val="16"/>
        </w:rPr>
        <w:t>y</w:t>
      </w:r>
      <w:r>
        <w:rPr>
          <w:spacing w:val="-8"/>
          <w:w w:val="110"/>
          <w:sz w:val="16"/>
        </w:rPr>
        <w:t> </w:t>
      </w:r>
      <w:r>
        <w:rPr>
          <w:w w:val="110"/>
          <w:sz w:val="16"/>
        </w:rPr>
        <w:t>serino</w:t>
      </w:r>
      <w:r>
        <w:rPr>
          <w:spacing w:val="-8"/>
          <w:w w:val="110"/>
          <w:sz w:val="16"/>
        </w:rPr>
        <w:t> </w:t>
      </w:r>
      <w:r>
        <w:rPr>
          <w:w w:val="110"/>
          <w:sz w:val="16"/>
        </w:rPr>
        <w:t>(eds.)</w:t>
      </w:r>
      <w:r>
        <w:rPr>
          <w:spacing w:val="-8"/>
          <w:w w:val="110"/>
          <w:sz w:val="16"/>
        </w:rPr>
        <w:t> </w:t>
      </w:r>
      <w:r>
        <w:rPr>
          <w:w w:val="110"/>
          <w:sz w:val="16"/>
        </w:rPr>
        <w:t>(2011),</w:t>
      </w:r>
      <w:r>
        <w:rPr>
          <w:spacing w:val="-8"/>
          <w:w w:val="110"/>
          <w:sz w:val="16"/>
        </w:rPr>
        <w:t> </w:t>
      </w:r>
      <w:r>
        <w:rPr>
          <w:w w:val="110"/>
          <w:sz w:val="16"/>
        </w:rPr>
        <w:t>entre</w:t>
      </w:r>
      <w:r>
        <w:rPr>
          <w:spacing w:val="-8"/>
          <w:w w:val="110"/>
          <w:sz w:val="16"/>
        </w:rPr>
        <w:t> </w:t>
      </w:r>
      <w:r>
        <w:rPr>
          <w:w w:val="110"/>
          <w:sz w:val="16"/>
        </w:rPr>
        <w:t>otros.</w:t>
      </w:r>
    </w:p>
    <w:p>
      <w:pPr>
        <w:pStyle w:val="ListParagraph"/>
        <w:numPr>
          <w:ilvl w:val="0"/>
          <w:numId w:val="35"/>
        </w:numPr>
        <w:tabs>
          <w:tab w:pos="376" w:val="left" w:leader="none"/>
        </w:tabs>
        <w:spacing w:line="242" w:lineRule="auto" w:before="57" w:after="0"/>
        <w:ind w:left="120" w:right="328" w:firstLine="0"/>
        <w:jc w:val="both"/>
        <w:rPr>
          <w:sz w:val="16"/>
        </w:rPr>
      </w:pPr>
      <w:r>
        <w:rPr>
          <w:w w:val="110"/>
          <w:sz w:val="16"/>
        </w:rPr>
        <w:t>rossi (2008: 5) saca a la luz una interesante polémica, pues el término “desaco- plamiento o </w:t>
      </w:r>
      <w:r>
        <w:rPr>
          <w:i/>
          <w:w w:val="110"/>
          <w:sz w:val="16"/>
        </w:rPr>
        <w:t>decoupling</w:t>
      </w:r>
      <w:r>
        <w:rPr>
          <w:w w:val="110"/>
          <w:sz w:val="16"/>
        </w:rPr>
        <w:t>” ha tenido múltiples usos: como referencia a los ciclos eco- nómicos menos correlacionados, o en relación con las tendencias divergentes en el crecimiento del Pib entre países. según esta autora, el “desacoplamiento o </w:t>
      </w:r>
      <w:r>
        <w:rPr>
          <w:i/>
          <w:w w:val="110"/>
          <w:sz w:val="16"/>
        </w:rPr>
        <w:t>decou- </w:t>
      </w:r>
      <w:r>
        <w:rPr>
          <w:i/>
          <w:w w:val="110"/>
          <w:sz w:val="16"/>
        </w:rPr>
        <w:t>pling</w:t>
      </w:r>
      <w:r>
        <w:rPr>
          <w:i/>
          <w:spacing w:val="15"/>
          <w:w w:val="110"/>
          <w:sz w:val="16"/>
        </w:rPr>
        <w:t> </w:t>
      </w:r>
      <w:r>
        <w:rPr>
          <w:w w:val="110"/>
          <w:sz w:val="16"/>
        </w:rPr>
        <w:t>económico”</w:t>
      </w:r>
      <w:r>
        <w:rPr>
          <w:spacing w:val="15"/>
          <w:w w:val="110"/>
          <w:sz w:val="16"/>
        </w:rPr>
        <w:t> </w:t>
      </w:r>
      <w:r>
        <w:rPr>
          <w:w w:val="110"/>
          <w:sz w:val="16"/>
        </w:rPr>
        <w:t>se</w:t>
      </w:r>
      <w:r>
        <w:rPr>
          <w:spacing w:val="15"/>
          <w:w w:val="110"/>
          <w:sz w:val="16"/>
        </w:rPr>
        <w:t> </w:t>
      </w:r>
      <w:r>
        <w:rPr>
          <w:w w:val="110"/>
          <w:sz w:val="16"/>
        </w:rPr>
        <w:t>refiere</w:t>
      </w:r>
      <w:r>
        <w:rPr>
          <w:spacing w:val="15"/>
          <w:w w:val="110"/>
          <w:sz w:val="16"/>
        </w:rPr>
        <w:t> </w:t>
      </w:r>
      <w:r>
        <w:rPr>
          <w:w w:val="110"/>
          <w:sz w:val="16"/>
        </w:rPr>
        <w:t>al</w:t>
      </w:r>
      <w:r>
        <w:rPr>
          <w:spacing w:val="15"/>
          <w:w w:val="110"/>
          <w:sz w:val="16"/>
        </w:rPr>
        <w:t> </w:t>
      </w:r>
      <w:r>
        <w:rPr>
          <w:w w:val="110"/>
          <w:sz w:val="16"/>
        </w:rPr>
        <w:t>proceso</w:t>
      </w:r>
      <w:r>
        <w:rPr>
          <w:spacing w:val="15"/>
          <w:w w:val="110"/>
          <w:sz w:val="16"/>
        </w:rPr>
        <w:t> </w:t>
      </w:r>
      <w:r>
        <w:rPr>
          <w:w w:val="110"/>
          <w:sz w:val="16"/>
        </w:rPr>
        <w:t>mediante</w:t>
      </w:r>
      <w:r>
        <w:rPr>
          <w:spacing w:val="15"/>
          <w:w w:val="110"/>
          <w:sz w:val="16"/>
        </w:rPr>
        <w:t> </w:t>
      </w:r>
      <w:r>
        <w:rPr>
          <w:w w:val="110"/>
          <w:sz w:val="16"/>
        </w:rPr>
        <w:t>el</w:t>
      </w:r>
      <w:r>
        <w:rPr>
          <w:spacing w:val="15"/>
          <w:w w:val="110"/>
          <w:sz w:val="16"/>
        </w:rPr>
        <w:t> </w:t>
      </w:r>
      <w:r>
        <w:rPr>
          <w:w w:val="110"/>
          <w:sz w:val="16"/>
        </w:rPr>
        <w:t>cual</w:t>
      </w:r>
      <w:r>
        <w:rPr>
          <w:spacing w:val="15"/>
          <w:w w:val="110"/>
          <w:sz w:val="16"/>
        </w:rPr>
        <w:t> </w:t>
      </w:r>
      <w:r>
        <w:rPr>
          <w:w w:val="110"/>
          <w:sz w:val="16"/>
        </w:rPr>
        <w:t>“[…]</w:t>
      </w:r>
      <w:r>
        <w:rPr>
          <w:spacing w:val="15"/>
          <w:w w:val="110"/>
          <w:sz w:val="16"/>
        </w:rPr>
        <w:t> </w:t>
      </w:r>
      <w:r>
        <w:rPr>
          <w:w w:val="110"/>
          <w:sz w:val="16"/>
        </w:rPr>
        <w:t>el</w:t>
      </w:r>
      <w:r>
        <w:rPr>
          <w:spacing w:val="15"/>
          <w:w w:val="110"/>
          <w:sz w:val="16"/>
        </w:rPr>
        <w:t> </w:t>
      </w:r>
      <w:r>
        <w:rPr>
          <w:w w:val="110"/>
          <w:sz w:val="16"/>
        </w:rPr>
        <w:t>crecimiento</w:t>
      </w:r>
      <w:r>
        <w:rPr>
          <w:spacing w:val="15"/>
          <w:w w:val="110"/>
          <w:sz w:val="16"/>
        </w:rPr>
        <w:t> </w:t>
      </w:r>
      <w:r>
        <w:rPr>
          <w:w w:val="110"/>
          <w:sz w:val="16"/>
        </w:rPr>
        <w:t>en</w:t>
      </w:r>
      <w:r>
        <w:rPr>
          <w:spacing w:val="15"/>
          <w:w w:val="110"/>
          <w:sz w:val="16"/>
        </w:rPr>
        <w:t> </w:t>
      </w:r>
      <w:r>
        <w:rPr>
          <w:w w:val="110"/>
          <w:sz w:val="16"/>
        </w:rPr>
        <w:t>un</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ponen un análisis que combina la investigación cuantitativa, con el estudio teórico-conceptual del “desacoplamiento” y sus implicaciones diferenciadas a corto, mediano y largo plazo. desde su perspectiva, el término “desacoplamiento” es identificado de manera general con</w:t>
      </w:r>
      <w:r>
        <w:rPr>
          <w:spacing w:val="-12"/>
          <w:w w:val="110"/>
        </w:rPr>
        <w:t> </w:t>
      </w:r>
      <w:r>
        <w:rPr>
          <w:w w:val="110"/>
        </w:rPr>
        <w:t>una “desconexión o ruptura de una relación previa”. así, en el campo de la economía, ha sido empleado fundamentalmente para referirse a una “ruptura en tendencias”, que se genera en las “correlaciones entre las dinámicas de crecimiento” y el “potencial sincronizador” o desincro- nizador del “ciclo económico global” (rossi, 2008)</w:t>
      </w:r>
      <w:r>
        <w:rPr>
          <w:w w:val="110"/>
          <w:position w:val="6"/>
          <w:sz w:val="11"/>
        </w:rPr>
        <w:t>10</w:t>
      </w:r>
      <w:r>
        <w:rPr>
          <w:w w:val="110"/>
        </w:rPr>
        <w:t>. recientemente, trabajos de Kose </w:t>
      </w:r>
      <w:r>
        <w:rPr>
          <w:i/>
          <w:w w:val="110"/>
        </w:rPr>
        <w:t>et al. </w:t>
      </w:r>
      <w:r>
        <w:rPr>
          <w:w w:val="110"/>
        </w:rPr>
        <w:t>(2008 y 2012) han validado empíricamente la </w:t>
      </w:r>
      <w:r>
        <w:rPr>
          <w:w w:val="109"/>
        </w:rPr>
        <w:t>existencia</w:t>
      </w:r>
      <w:r>
        <w:rPr>
          <w:spacing w:val="10"/>
        </w:rPr>
        <w:t> </w:t>
      </w:r>
      <w:r>
        <w:rPr>
          <w:w w:val="107"/>
        </w:rPr>
        <w:t>de</w:t>
      </w:r>
      <w:r>
        <w:rPr>
          <w:spacing w:val="10"/>
        </w:rPr>
        <w:t> </w:t>
      </w:r>
      <w:r>
        <w:rPr>
          <w:w w:val="112"/>
        </w:rPr>
        <w:t>un</w:t>
      </w:r>
      <w:r>
        <w:rPr>
          <w:spacing w:val="10"/>
        </w:rPr>
        <w:t> </w:t>
      </w:r>
      <w:r>
        <w:rPr>
          <w:w w:val="107"/>
        </w:rPr>
        <w:t>relativo</w:t>
      </w:r>
      <w:r>
        <w:rPr>
          <w:spacing w:val="10"/>
        </w:rPr>
        <w:t> </w:t>
      </w:r>
      <w:r>
        <w:rPr>
          <w:w w:val="110"/>
        </w:rPr>
        <w:t>“desacoplamiento”</w:t>
      </w:r>
      <w:r>
        <w:rPr>
          <w:spacing w:val="10"/>
        </w:rPr>
        <w:t> </w:t>
      </w:r>
      <w:r>
        <w:rPr>
          <w:w w:val="112"/>
        </w:rPr>
        <w:t>a</w:t>
      </w:r>
      <w:r>
        <w:rPr>
          <w:spacing w:val="10"/>
        </w:rPr>
        <w:t> </w:t>
      </w:r>
      <w:r>
        <w:rPr>
          <w:w w:val="108"/>
        </w:rPr>
        <w:t>nivel</w:t>
      </w:r>
      <w:r>
        <w:rPr>
          <w:spacing w:val="10"/>
        </w:rPr>
        <w:t> </w:t>
      </w:r>
      <w:r>
        <w:rPr>
          <w:w w:val="111"/>
        </w:rPr>
        <w:t>internacional.</w:t>
      </w:r>
      <w:r>
        <w:rPr>
          <w:spacing w:val="10"/>
        </w:rPr>
        <w:t> </w:t>
      </w:r>
      <w:r>
        <w:rPr>
          <w:w w:val="243"/>
        </w:rPr>
        <w:t>l</w:t>
      </w:r>
      <w:r>
        <w:rPr>
          <w:w w:val="108"/>
        </w:rPr>
        <w:t>os </w:t>
      </w:r>
      <w:r>
        <w:rPr>
          <w:w w:val="110"/>
        </w:rPr>
        <w:t>resultados evidencian que ha habido una disminución en la sincro- nización de los ciclos económicos entre el grupo de países “desarro- llados” y “emergentes”. sin embargo, se constata un incremento de     la sincronización al interior de cada grupo. asimismo, se encuentra que los “factores globales” juegan un  rol  importante  para  explicar las fluctuaciones de los ciclos económicos, especialmente en países industriales, mientras que los factores idiosincráticos –o propios del país– tienen un mayor rol en los mercados llamados emergentes y en general, los subdesarrollados</w:t>
      </w:r>
      <w:r>
        <w:rPr>
          <w:w w:val="110"/>
          <w:position w:val="6"/>
          <w:sz w:val="11"/>
        </w:rPr>
        <w:t>11</w:t>
      </w:r>
      <w:r>
        <w:rPr>
          <w:w w:val="110"/>
        </w:rPr>
        <w:t>. En el caso de Estados unidos y amé- </w:t>
      </w:r>
      <w:r>
        <w:rPr>
          <w:w w:val="112"/>
        </w:rPr>
        <w:t>rica</w:t>
      </w:r>
      <w:r>
        <w:rPr>
          <w:spacing w:val="20"/>
        </w:rPr>
        <w:t> </w:t>
      </w:r>
      <w:r>
        <w:rPr>
          <w:w w:val="243"/>
        </w:rPr>
        <w:t>l</w:t>
      </w:r>
      <w:r>
        <w:rPr>
          <w:w w:val="113"/>
        </w:rPr>
        <w:t>atina,</w:t>
      </w:r>
      <w:r>
        <w:rPr>
          <w:spacing w:val="20"/>
        </w:rPr>
        <w:t> </w:t>
      </w:r>
      <w:r>
        <w:rPr>
          <w:w w:val="149"/>
        </w:rPr>
        <w:t>s</w:t>
      </w:r>
      <w:r>
        <w:rPr>
          <w:w w:val="110"/>
        </w:rPr>
        <w:t>helton-Colby</w:t>
      </w:r>
      <w:r>
        <w:rPr>
          <w:spacing w:val="20"/>
        </w:rPr>
        <w:t> </w:t>
      </w:r>
      <w:r>
        <w:rPr>
          <w:w w:val="101"/>
        </w:rPr>
        <w:t>(2009)</w:t>
      </w:r>
      <w:r>
        <w:rPr>
          <w:spacing w:val="20"/>
        </w:rPr>
        <w:t> </w:t>
      </w:r>
      <w:r>
        <w:rPr>
          <w:w w:val="109"/>
        </w:rPr>
        <w:t>ratifica</w:t>
      </w:r>
      <w:r>
        <w:rPr>
          <w:spacing w:val="20"/>
        </w:rPr>
        <w:t> </w:t>
      </w:r>
      <w:r>
        <w:rPr>
          <w:w w:val="106"/>
        </w:rPr>
        <w:t>estos</w:t>
      </w:r>
      <w:r>
        <w:rPr>
          <w:spacing w:val="20"/>
        </w:rPr>
        <w:t> </w:t>
      </w:r>
      <w:r>
        <w:rPr>
          <w:w w:val="108"/>
        </w:rPr>
        <w:t>resultados</w:t>
      </w:r>
      <w:r>
        <w:rPr>
          <w:spacing w:val="20"/>
        </w:rPr>
        <w:t> </w:t>
      </w:r>
      <w:r>
        <w:rPr>
          <w:w w:val="107"/>
        </w:rPr>
        <w:t>de</w:t>
      </w:r>
      <w:r>
        <w:rPr>
          <w:spacing w:val="20"/>
        </w:rPr>
        <w:t> </w:t>
      </w:r>
      <w:r>
        <w:rPr>
          <w:w w:val="110"/>
        </w:rPr>
        <w:t>manera </w:t>
      </w:r>
      <w:r>
        <w:rPr>
          <w:w w:val="110"/>
        </w:rPr>
        <w:t>analítica, al expresar que la reciente crisis económica internacional puede haber desvinculado –</w:t>
      </w:r>
      <w:r>
        <w:rPr>
          <w:i/>
          <w:w w:val="110"/>
        </w:rPr>
        <w:t>delinked</w:t>
      </w:r>
      <w:r>
        <w:rPr>
          <w:w w:val="110"/>
        </w:rPr>
        <w:t>– ambas</w:t>
      </w:r>
      <w:r>
        <w:rPr>
          <w:spacing w:val="4"/>
          <w:w w:val="110"/>
        </w:rPr>
        <w:t> </w:t>
      </w:r>
      <w:r>
        <w:rPr>
          <w:w w:val="110"/>
        </w:rPr>
        <w:t>regiones.</w:t>
      </w:r>
    </w:p>
    <w:p>
      <w:pPr>
        <w:pStyle w:val="BodyText"/>
        <w:spacing w:before="10"/>
        <w:rPr>
          <w:sz w:val="24"/>
        </w:rPr>
      </w:pPr>
      <w:r>
        <w:rPr/>
        <w:pict>
          <v:line style="position:absolute;mso-position-horizontal-relative:page;mso-position-vertical-relative:paragraph;z-index:8560;mso-wrap-distance-left:0;mso-wrap-distance-right:0" from="76.5354pt,16.792534pt" to="104.8814pt,16.792534pt" stroked="true" strokeweight=".5pt" strokecolor="#000000">
            <w10:wrap type="topAndBottom"/>
          </v:line>
        </w:pict>
      </w:r>
    </w:p>
    <w:p>
      <w:pPr>
        <w:spacing w:line="242" w:lineRule="auto" w:before="89"/>
        <w:ind w:left="330" w:right="117" w:firstLine="0"/>
        <w:jc w:val="both"/>
        <w:rPr>
          <w:i/>
          <w:sz w:val="16"/>
        </w:rPr>
      </w:pPr>
      <w:r>
        <w:rPr>
          <w:w w:val="110"/>
          <w:sz w:val="16"/>
        </w:rPr>
        <w:t>área de la economía mundial se vuelve menos dependiente del (o menos acoplado) crecimiento</w:t>
      </w:r>
      <w:r>
        <w:rPr>
          <w:spacing w:val="-7"/>
          <w:w w:val="110"/>
          <w:sz w:val="16"/>
        </w:rPr>
        <w:t> </w:t>
      </w:r>
      <w:r>
        <w:rPr>
          <w:w w:val="110"/>
          <w:sz w:val="16"/>
        </w:rPr>
        <w:t>en</w:t>
      </w:r>
      <w:r>
        <w:rPr>
          <w:spacing w:val="-7"/>
          <w:w w:val="110"/>
          <w:sz w:val="16"/>
        </w:rPr>
        <w:t> </w:t>
      </w:r>
      <w:r>
        <w:rPr>
          <w:w w:val="110"/>
          <w:sz w:val="16"/>
        </w:rPr>
        <w:t>otra</w:t>
      </w:r>
      <w:r>
        <w:rPr>
          <w:spacing w:val="-7"/>
          <w:w w:val="110"/>
          <w:sz w:val="16"/>
        </w:rPr>
        <w:t> </w:t>
      </w:r>
      <w:r>
        <w:rPr>
          <w:w w:val="110"/>
          <w:sz w:val="16"/>
        </w:rPr>
        <w:t>área,</w:t>
      </w:r>
      <w:r>
        <w:rPr>
          <w:spacing w:val="-7"/>
          <w:w w:val="110"/>
          <w:sz w:val="16"/>
        </w:rPr>
        <w:t> </w:t>
      </w:r>
      <w:r>
        <w:rPr>
          <w:w w:val="110"/>
          <w:sz w:val="16"/>
        </w:rPr>
        <w:t>así</w:t>
      </w:r>
      <w:r>
        <w:rPr>
          <w:spacing w:val="-7"/>
          <w:w w:val="110"/>
          <w:sz w:val="16"/>
        </w:rPr>
        <w:t> </w:t>
      </w:r>
      <w:r>
        <w:rPr>
          <w:w w:val="110"/>
          <w:sz w:val="16"/>
        </w:rPr>
        <w:t>las</w:t>
      </w:r>
      <w:r>
        <w:rPr>
          <w:spacing w:val="-7"/>
          <w:w w:val="110"/>
          <w:sz w:val="16"/>
        </w:rPr>
        <w:t> </w:t>
      </w:r>
      <w:r>
        <w:rPr>
          <w:w w:val="110"/>
          <w:sz w:val="16"/>
        </w:rPr>
        <w:t>tasas</w:t>
      </w:r>
      <w:r>
        <w:rPr>
          <w:spacing w:val="-7"/>
          <w:w w:val="110"/>
          <w:sz w:val="16"/>
        </w:rPr>
        <w:t> </w:t>
      </w:r>
      <w:r>
        <w:rPr>
          <w:w w:val="110"/>
          <w:sz w:val="16"/>
        </w:rPr>
        <w:t>de</w:t>
      </w:r>
      <w:r>
        <w:rPr>
          <w:spacing w:val="-7"/>
          <w:w w:val="110"/>
          <w:sz w:val="16"/>
        </w:rPr>
        <w:t> </w:t>
      </w:r>
      <w:r>
        <w:rPr>
          <w:w w:val="110"/>
          <w:sz w:val="16"/>
        </w:rPr>
        <w:t>crecimiento</w:t>
      </w:r>
      <w:r>
        <w:rPr>
          <w:spacing w:val="-7"/>
          <w:w w:val="110"/>
          <w:sz w:val="16"/>
        </w:rPr>
        <w:t> </w:t>
      </w:r>
      <w:r>
        <w:rPr>
          <w:w w:val="110"/>
          <w:sz w:val="16"/>
        </w:rPr>
        <w:t>del</w:t>
      </w:r>
      <w:r>
        <w:rPr>
          <w:spacing w:val="-7"/>
          <w:w w:val="110"/>
          <w:sz w:val="16"/>
        </w:rPr>
        <w:t> </w:t>
      </w:r>
      <w:r>
        <w:rPr>
          <w:w w:val="110"/>
          <w:sz w:val="16"/>
        </w:rPr>
        <w:t>Pib</w:t>
      </w:r>
      <w:r>
        <w:rPr>
          <w:spacing w:val="-7"/>
          <w:w w:val="110"/>
          <w:sz w:val="16"/>
        </w:rPr>
        <w:t> </w:t>
      </w:r>
      <w:r>
        <w:rPr>
          <w:w w:val="110"/>
          <w:sz w:val="16"/>
        </w:rPr>
        <w:t>podrían</w:t>
      </w:r>
      <w:r>
        <w:rPr>
          <w:spacing w:val="-7"/>
          <w:w w:val="110"/>
          <w:sz w:val="16"/>
        </w:rPr>
        <w:t> </w:t>
      </w:r>
      <w:r>
        <w:rPr>
          <w:w w:val="110"/>
          <w:sz w:val="16"/>
        </w:rPr>
        <w:t>tender</w:t>
      </w:r>
      <w:r>
        <w:rPr>
          <w:spacing w:val="-7"/>
          <w:w w:val="110"/>
          <w:sz w:val="16"/>
        </w:rPr>
        <w:t> </w:t>
      </w:r>
      <w:r>
        <w:rPr>
          <w:w w:val="110"/>
          <w:sz w:val="16"/>
        </w:rPr>
        <w:t>a</w:t>
      </w:r>
      <w:r>
        <w:rPr>
          <w:spacing w:val="-7"/>
          <w:w w:val="110"/>
          <w:sz w:val="16"/>
        </w:rPr>
        <w:t> </w:t>
      </w:r>
      <w:r>
        <w:rPr>
          <w:w w:val="110"/>
          <w:sz w:val="16"/>
        </w:rPr>
        <w:t>apare- cer</w:t>
      </w:r>
      <w:r>
        <w:rPr>
          <w:spacing w:val="-7"/>
          <w:w w:val="110"/>
          <w:sz w:val="16"/>
        </w:rPr>
        <w:t> </w:t>
      </w:r>
      <w:r>
        <w:rPr>
          <w:w w:val="110"/>
          <w:sz w:val="16"/>
        </w:rPr>
        <w:t>menos</w:t>
      </w:r>
      <w:r>
        <w:rPr>
          <w:spacing w:val="-7"/>
          <w:w w:val="110"/>
          <w:sz w:val="16"/>
        </w:rPr>
        <w:t> </w:t>
      </w:r>
      <w:r>
        <w:rPr>
          <w:w w:val="110"/>
          <w:sz w:val="16"/>
        </w:rPr>
        <w:t>correlacionadas</w:t>
      </w:r>
      <w:r>
        <w:rPr>
          <w:spacing w:val="-7"/>
          <w:w w:val="110"/>
          <w:sz w:val="16"/>
        </w:rPr>
        <w:t> </w:t>
      </w:r>
      <w:r>
        <w:rPr>
          <w:w w:val="110"/>
          <w:sz w:val="16"/>
        </w:rPr>
        <w:t>que</w:t>
      </w:r>
      <w:r>
        <w:rPr>
          <w:spacing w:val="-7"/>
          <w:w w:val="110"/>
          <w:sz w:val="16"/>
        </w:rPr>
        <w:t> </w:t>
      </w:r>
      <w:r>
        <w:rPr>
          <w:w w:val="110"/>
          <w:sz w:val="16"/>
        </w:rPr>
        <w:t>lo</w:t>
      </w:r>
      <w:r>
        <w:rPr>
          <w:spacing w:val="-7"/>
          <w:w w:val="110"/>
          <w:sz w:val="16"/>
        </w:rPr>
        <w:t> </w:t>
      </w:r>
      <w:r>
        <w:rPr>
          <w:w w:val="110"/>
          <w:sz w:val="16"/>
        </w:rPr>
        <w:t>que</w:t>
      </w:r>
      <w:r>
        <w:rPr>
          <w:spacing w:val="-7"/>
          <w:w w:val="110"/>
          <w:sz w:val="16"/>
        </w:rPr>
        <w:t> </w:t>
      </w:r>
      <w:r>
        <w:rPr>
          <w:w w:val="110"/>
          <w:sz w:val="16"/>
        </w:rPr>
        <w:t>lo</w:t>
      </w:r>
      <w:r>
        <w:rPr>
          <w:spacing w:val="-7"/>
          <w:w w:val="110"/>
          <w:sz w:val="16"/>
        </w:rPr>
        <w:t> </w:t>
      </w:r>
      <w:r>
        <w:rPr>
          <w:w w:val="110"/>
          <w:sz w:val="16"/>
        </w:rPr>
        <w:t>fueron</w:t>
      </w:r>
      <w:r>
        <w:rPr>
          <w:spacing w:val="-7"/>
          <w:w w:val="110"/>
          <w:sz w:val="16"/>
        </w:rPr>
        <w:t> </w:t>
      </w:r>
      <w:r>
        <w:rPr>
          <w:w w:val="110"/>
          <w:sz w:val="16"/>
        </w:rPr>
        <w:t>previamente</w:t>
      </w:r>
      <w:r>
        <w:rPr>
          <w:i/>
          <w:w w:val="110"/>
          <w:sz w:val="16"/>
        </w:rPr>
        <w:t>”.</w:t>
      </w:r>
    </w:p>
    <w:p>
      <w:pPr>
        <w:pStyle w:val="ListParagraph"/>
        <w:numPr>
          <w:ilvl w:val="0"/>
          <w:numId w:val="35"/>
        </w:numPr>
        <w:tabs>
          <w:tab w:pos="586" w:val="left" w:leader="none"/>
        </w:tabs>
        <w:spacing w:line="242" w:lineRule="auto" w:before="57" w:after="0"/>
        <w:ind w:left="330" w:right="117" w:firstLine="0"/>
        <w:jc w:val="both"/>
        <w:rPr>
          <w:sz w:val="16"/>
        </w:rPr>
      </w:pPr>
      <w:r>
        <w:rPr>
          <w:w w:val="105"/>
          <w:sz w:val="16"/>
        </w:rPr>
        <w:t>asimismo, esta autora destaca la existencia de vínculos indirectos de países </w:t>
      </w:r>
      <w:r>
        <w:rPr>
          <w:spacing w:val="-3"/>
          <w:w w:val="105"/>
          <w:sz w:val="16"/>
        </w:rPr>
        <w:t>emer- </w:t>
      </w:r>
      <w:r>
        <w:rPr>
          <w:w w:val="105"/>
          <w:sz w:val="16"/>
        </w:rPr>
        <w:t>gentes con Estados unidos –y los países de la oCdE– y los problemas asociados a la definición de </w:t>
      </w:r>
      <w:r>
        <w:rPr>
          <w:i/>
          <w:w w:val="105"/>
          <w:sz w:val="16"/>
        </w:rPr>
        <w:t>desacoplamiento </w:t>
      </w:r>
      <w:r>
        <w:rPr>
          <w:w w:val="105"/>
          <w:sz w:val="16"/>
        </w:rPr>
        <w:t>sobre la base exclusiva de las correlaciones entre los </w:t>
      </w:r>
      <w:r>
        <w:rPr>
          <w:spacing w:val="37"/>
          <w:w w:val="105"/>
          <w:sz w:val="16"/>
        </w:rPr>
        <w:t> </w:t>
      </w:r>
      <w:r>
        <w:rPr>
          <w:w w:val="105"/>
          <w:sz w:val="16"/>
        </w:rPr>
        <w:t>Pib  (rossi, </w:t>
      </w:r>
      <w:r>
        <w:rPr>
          <w:spacing w:val="32"/>
          <w:w w:val="105"/>
          <w:sz w:val="16"/>
        </w:rPr>
        <w:t> </w:t>
      </w:r>
      <w:r>
        <w:rPr>
          <w:w w:val="105"/>
          <w:sz w:val="16"/>
        </w:rPr>
        <w:t>2008).</w:t>
      </w:r>
    </w:p>
    <w:p>
      <w:pPr>
        <w:pStyle w:val="ListParagraph"/>
        <w:numPr>
          <w:ilvl w:val="0"/>
          <w:numId w:val="35"/>
        </w:numPr>
        <w:tabs>
          <w:tab w:pos="586" w:val="left" w:leader="none"/>
        </w:tabs>
        <w:spacing w:line="242" w:lineRule="auto" w:before="57" w:after="0"/>
        <w:ind w:left="330" w:right="115" w:firstLine="0"/>
        <w:jc w:val="both"/>
        <w:rPr>
          <w:sz w:val="16"/>
        </w:rPr>
      </w:pPr>
      <w:r>
        <w:rPr>
          <w:w w:val="110"/>
          <w:sz w:val="16"/>
        </w:rPr>
        <w:t>Kose</w:t>
      </w:r>
      <w:r>
        <w:rPr>
          <w:spacing w:val="-5"/>
          <w:w w:val="110"/>
          <w:sz w:val="16"/>
        </w:rPr>
        <w:t> </w:t>
      </w:r>
      <w:r>
        <w:rPr>
          <w:i/>
          <w:w w:val="110"/>
          <w:sz w:val="16"/>
        </w:rPr>
        <w:t>et</w:t>
      </w:r>
      <w:r>
        <w:rPr>
          <w:i/>
          <w:spacing w:val="-5"/>
          <w:w w:val="110"/>
          <w:sz w:val="16"/>
        </w:rPr>
        <w:t> </w:t>
      </w:r>
      <w:r>
        <w:rPr>
          <w:i/>
          <w:w w:val="110"/>
          <w:sz w:val="16"/>
        </w:rPr>
        <w:t>al.</w:t>
      </w:r>
      <w:r>
        <w:rPr>
          <w:i/>
          <w:spacing w:val="-5"/>
          <w:w w:val="110"/>
          <w:sz w:val="16"/>
        </w:rPr>
        <w:t> </w:t>
      </w:r>
      <w:r>
        <w:rPr>
          <w:w w:val="110"/>
          <w:sz w:val="16"/>
        </w:rPr>
        <w:t>(2008),</w:t>
      </w:r>
      <w:r>
        <w:rPr>
          <w:spacing w:val="-5"/>
          <w:w w:val="110"/>
          <w:sz w:val="16"/>
        </w:rPr>
        <w:t> </w:t>
      </w:r>
      <w:r>
        <w:rPr>
          <w:w w:val="110"/>
          <w:sz w:val="16"/>
        </w:rPr>
        <w:t>efectivamente</w:t>
      </w:r>
      <w:r>
        <w:rPr>
          <w:spacing w:val="-5"/>
          <w:w w:val="110"/>
          <w:sz w:val="16"/>
        </w:rPr>
        <w:t> </w:t>
      </w:r>
      <w:r>
        <w:rPr>
          <w:w w:val="110"/>
          <w:sz w:val="16"/>
        </w:rPr>
        <w:t>descomponen</w:t>
      </w:r>
      <w:r>
        <w:rPr>
          <w:spacing w:val="-5"/>
          <w:w w:val="110"/>
          <w:sz w:val="16"/>
        </w:rPr>
        <w:t> </w:t>
      </w:r>
      <w:r>
        <w:rPr>
          <w:w w:val="110"/>
          <w:sz w:val="16"/>
        </w:rPr>
        <w:t>la</w:t>
      </w:r>
      <w:r>
        <w:rPr>
          <w:spacing w:val="-5"/>
          <w:w w:val="110"/>
          <w:sz w:val="16"/>
        </w:rPr>
        <w:t> </w:t>
      </w:r>
      <w:r>
        <w:rPr>
          <w:w w:val="110"/>
          <w:sz w:val="16"/>
        </w:rPr>
        <w:t>tasa</w:t>
      </w:r>
      <w:r>
        <w:rPr>
          <w:spacing w:val="-5"/>
          <w:w w:val="110"/>
          <w:sz w:val="16"/>
        </w:rPr>
        <w:t> </w:t>
      </w:r>
      <w:r>
        <w:rPr>
          <w:w w:val="110"/>
          <w:sz w:val="16"/>
        </w:rPr>
        <w:t>de</w:t>
      </w:r>
      <w:r>
        <w:rPr>
          <w:spacing w:val="-5"/>
          <w:w w:val="110"/>
          <w:sz w:val="16"/>
        </w:rPr>
        <w:t> </w:t>
      </w:r>
      <w:r>
        <w:rPr>
          <w:w w:val="110"/>
          <w:sz w:val="16"/>
        </w:rPr>
        <w:t>crecimiento</w:t>
      </w:r>
      <w:r>
        <w:rPr>
          <w:spacing w:val="-5"/>
          <w:w w:val="110"/>
          <w:sz w:val="16"/>
        </w:rPr>
        <w:t> </w:t>
      </w:r>
      <w:r>
        <w:rPr>
          <w:w w:val="110"/>
          <w:sz w:val="16"/>
        </w:rPr>
        <w:t>del</w:t>
      </w:r>
      <w:r>
        <w:rPr>
          <w:spacing w:val="-5"/>
          <w:w w:val="110"/>
          <w:sz w:val="16"/>
        </w:rPr>
        <w:t> </w:t>
      </w:r>
      <w:r>
        <w:rPr>
          <w:w w:val="110"/>
          <w:sz w:val="16"/>
        </w:rPr>
        <w:t>Pib</w:t>
      </w:r>
      <w:r>
        <w:rPr>
          <w:spacing w:val="-5"/>
          <w:w w:val="110"/>
          <w:sz w:val="16"/>
        </w:rPr>
        <w:t> </w:t>
      </w:r>
      <w:r>
        <w:rPr>
          <w:w w:val="110"/>
          <w:sz w:val="16"/>
        </w:rPr>
        <w:t>en tres factores: los factores globales (</w:t>
      </w:r>
      <w:r>
        <w:rPr>
          <w:i/>
          <w:w w:val="110"/>
          <w:sz w:val="16"/>
        </w:rPr>
        <w:t>global factors</w:t>
      </w:r>
      <w:r>
        <w:rPr>
          <w:w w:val="110"/>
          <w:sz w:val="16"/>
        </w:rPr>
        <w:t>) que comparten todos los países, los factores comunes (</w:t>
      </w:r>
      <w:r>
        <w:rPr>
          <w:i/>
          <w:w w:val="110"/>
          <w:sz w:val="16"/>
        </w:rPr>
        <w:t>common factors</w:t>
      </w:r>
      <w:r>
        <w:rPr>
          <w:w w:val="110"/>
          <w:sz w:val="16"/>
        </w:rPr>
        <w:t>) que impacta a diferentes tipos de econo- mías y un factor específico del país (</w:t>
      </w:r>
      <w:r>
        <w:rPr>
          <w:i/>
          <w:w w:val="110"/>
          <w:sz w:val="16"/>
        </w:rPr>
        <w:t>country-specific factors</w:t>
      </w:r>
      <w:r>
        <w:rPr>
          <w:w w:val="110"/>
          <w:sz w:val="16"/>
        </w:rPr>
        <w:t>), también llamado en otros estudios como “idiosincráticos”, que recoge elementos individuales de cada </w:t>
      </w:r>
      <w:r>
        <w:rPr>
          <w:spacing w:val="1"/>
          <w:w w:val="110"/>
          <w:sz w:val="16"/>
        </w:rPr>
        <w:t>país</w:t>
      </w:r>
      <w:r>
        <w:rPr>
          <w:w w:val="110"/>
          <w:sz w:val="16"/>
        </w:rPr>
        <w:t>.</w:t>
      </w:r>
      <w:r>
        <w:rPr>
          <w:sz w:val="16"/>
        </w:rPr>
        <w:t> </w:t>
      </w:r>
      <w:r>
        <w:rPr>
          <w:spacing w:val="-8"/>
          <w:sz w:val="16"/>
        </w:rPr>
        <w:t> </w:t>
      </w:r>
      <w:r>
        <w:rPr>
          <w:spacing w:val="1"/>
          <w:w w:val="238"/>
          <w:sz w:val="16"/>
        </w:rPr>
        <w:t>l</w:t>
      </w:r>
      <w:r>
        <w:rPr>
          <w:spacing w:val="1"/>
          <w:w w:val="105"/>
          <w:sz w:val="16"/>
        </w:rPr>
        <w:t>o</w:t>
      </w:r>
      <w:r>
        <w:rPr>
          <w:w w:val="105"/>
          <w:sz w:val="16"/>
        </w:rPr>
        <w:t>s</w:t>
      </w:r>
      <w:r>
        <w:rPr>
          <w:sz w:val="16"/>
        </w:rPr>
        <w:t> </w:t>
      </w:r>
      <w:r>
        <w:rPr>
          <w:spacing w:val="-8"/>
          <w:sz w:val="16"/>
        </w:rPr>
        <w:t> </w:t>
      </w:r>
      <w:r>
        <w:rPr>
          <w:spacing w:val="1"/>
          <w:w w:val="106"/>
          <w:sz w:val="16"/>
        </w:rPr>
        <w:t>autore</w:t>
      </w:r>
      <w:r>
        <w:rPr>
          <w:w w:val="106"/>
          <w:sz w:val="16"/>
        </w:rPr>
        <w:t>s</w:t>
      </w:r>
      <w:r>
        <w:rPr>
          <w:sz w:val="16"/>
        </w:rPr>
        <w:t> </w:t>
      </w:r>
      <w:r>
        <w:rPr>
          <w:spacing w:val="-8"/>
          <w:sz w:val="16"/>
        </w:rPr>
        <w:t> </w:t>
      </w:r>
      <w:r>
        <w:rPr>
          <w:spacing w:val="1"/>
          <w:w w:val="108"/>
          <w:sz w:val="16"/>
        </w:rPr>
        <w:t>trabaja</w:t>
      </w:r>
      <w:r>
        <w:rPr>
          <w:w w:val="108"/>
          <w:sz w:val="16"/>
        </w:rPr>
        <w:t>n</w:t>
      </w:r>
      <w:r>
        <w:rPr>
          <w:sz w:val="16"/>
        </w:rPr>
        <w:t> </w:t>
      </w:r>
      <w:r>
        <w:rPr>
          <w:spacing w:val="-8"/>
          <w:sz w:val="16"/>
        </w:rPr>
        <w:t> </w:t>
      </w:r>
      <w:r>
        <w:rPr>
          <w:spacing w:val="1"/>
          <w:w w:val="110"/>
          <w:sz w:val="16"/>
        </w:rPr>
        <w:t>co</w:t>
      </w:r>
      <w:r>
        <w:rPr>
          <w:w w:val="110"/>
          <w:sz w:val="16"/>
        </w:rPr>
        <w:t>n</w:t>
      </w:r>
      <w:r>
        <w:rPr>
          <w:sz w:val="16"/>
        </w:rPr>
        <w:t> </w:t>
      </w:r>
      <w:r>
        <w:rPr>
          <w:spacing w:val="-8"/>
          <w:sz w:val="16"/>
        </w:rPr>
        <w:t> </w:t>
      </w:r>
      <w:r>
        <w:rPr>
          <w:spacing w:val="1"/>
          <w:w w:val="103"/>
          <w:sz w:val="16"/>
        </w:rPr>
        <w:t>tre</w:t>
      </w:r>
      <w:r>
        <w:rPr>
          <w:w w:val="103"/>
          <w:sz w:val="16"/>
        </w:rPr>
        <w:t>s</w:t>
      </w:r>
      <w:r>
        <w:rPr>
          <w:sz w:val="16"/>
        </w:rPr>
        <w:t> </w:t>
      </w:r>
      <w:r>
        <w:rPr>
          <w:spacing w:val="-8"/>
          <w:sz w:val="16"/>
        </w:rPr>
        <w:t> </w:t>
      </w:r>
      <w:r>
        <w:rPr>
          <w:spacing w:val="1"/>
          <w:w w:val="107"/>
          <w:sz w:val="16"/>
        </w:rPr>
        <w:t>grupo</w:t>
      </w:r>
      <w:r>
        <w:rPr>
          <w:w w:val="107"/>
          <w:sz w:val="16"/>
        </w:rPr>
        <w:t>s</w:t>
      </w:r>
      <w:r>
        <w:rPr>
          <w:sz w:val="16"/>
        </w:rPr>
        <w:t> </w:t>
      </w:r>
      <w:r>
        <w:rPr>
          <w:spacing w:val="-8"/>
          <w:sz w:val="16"/>
        </w:rPr>
        <w:t> </w:t>
      </w:r>
      <w:r>
        <w:rPr>
          <w:spacing w:val="1"/>
          <w:w w:val="104"/>
          <w:sz w:val="16"/>
        </w:rPr>
        <w:t>d</w:t>
      </w:r>
      <w:r>
        <w:rPr>
          <w:w w:val="104"/>
          <w:sz w:val="16"/>
        </w:rPr>
        <w:t>e</w:t>
      </w:r>
      <w:r>
        <w:rPr>
          <w:sz w:val="16"/>
        </w:rPr>
        <w:t> </w:t>
      </w:r>
      <w:r>
        <w:rPr>
          <w:spacing w:val="-8"/>
          <w:sz w:val="16"/>
        </w:rPr>
        <w:t> </w:t>
      </w:r>
      <w:r>
        <w:rPr>
          <w:spacing w:val="1"/>
          <w:w w:val="106"/>
          <w:sz w:val="16"/>
        </w:rPr>
        <w:t>países</w:t>
      </w:r>
      <w:r>
        <w:rPr>
          <w:w w:val="106"/>
          <w:sz w:val="16"/>
        </w:rPr>
        <w:t>:</w:t>
      </w:r>
      <w:r>
        <w:rPr>
          <w:sz w:val="16"/>
        </w:rPr>
        <w:t> </w:t>
      </w:r>
      <w:r>
        <w:rPr>
          <w:spacing w:val="-8"/>
          <w:sz w:val="16"/>
        </w:rPr>
        <w:t> </w:t>
      </w:r>
      <w:r>
        <w:rPr>
          <w:spacing w:val="1"/>
          <w:w w:val="108"/>
          <w:sz w:val="16"/>
        </w:rPr>
        <w:t>economía</w:t>
      </w:r>
      <w:r>
        <w:rPr>
          <w:w w:val="108"/>
          <w:sz w:val="16"/>
        </w:rPr>
        <w:t>s</w:t>
      </w:r>
      <w:r>
        <w:rPr>
          <w:sz w:val="16"/>
        </w:rPr>
        <w:t> </w:t>
      </w:r>
      <w:r>
        <w:rPr>
          <w:spacing w:val="-8"/>
          <w:sz w:val="16"/>
        </w:rPr>
        <w:t> </w:t>
      </w:r>
      <w:r>
        <w:rPr>
          <w:spacing w:val="1"/>
          <w:w w:val="107"/>
          <w:sz w:val="16"/>
        </w:rPr>
        <w:t>avanzada</w:t>
      </w:r>
      <w:r>
        <w:rPr>
          <w:w w:val="107"/>
          <w:sz w:val="16"/>
        </w:rPr>
        <w:t>s</w:t>
      </w:r>
      <w:r>
        <w:rPr>
          <w:sz w:val="16"/>
        </w:rPr>
        <w:t> </w:t>
      </w:r>
      <w:r>
        <w:rPr>
          <w:spacing w:val="-8"/>
          <w:sz w:val="16"/>
        </w:rPr>
        <w:t> </w:t>
      </w:r>
      <w:r>
        <w:rPr>
          <w:w w:val="108"/>
          <w:sz w:val="16"/>
        </w:rPr>
        <w:t>o</w:t>
      </w:r>
      <w:r>
        <w:rPr>
          <w:sz w:val="16"/>
        </w:rPr>
        <w:t> </w:t>
      </w:r>
      <w:r>
        <w:rPr>
          <w:spacing w:val="-8"/>
          <w:sz w:val="16"/>
        </w:rPr>
        <w:t> </w:t>
      </w:r>
      <w:r>
        <w:rPr>
          <w:spacing w:val="1"/>
          <w:w w:val="104"/>
          <w:sz w:val="16"/>
        </w:rPr>
        <w:t>de</w:t>
      </w:r>
      <w:r>
        <w:rPr>
          <w:w w:val="100"/>
          <w:sz w:val="16"/>
        </w:rPr>
        <w:t>- </w:t>
      </w:r>
      <w:r>
        <w:rPr>
          <w:w w:val="110"/>
          <w:sz w:val="16"/>
        </w:rPr>
        <w:t>sarrolladas, economías emergentes y economías en desarrollo. asimismo, dividen  la muestra en dos períodos fundamentales: un período que denominan “pre-globa- lización” (1960-1984) y otro de “post-globalización” (1985-2005). Este estudio ha sido altamente influyente en la comunidad académica internacional especialmente debido a un grupo de factores fundamentales: la amplitud temporal de la muestra analizada, la cantidad y variedad de países incluidos, la rigurosidad técnica de su metodología, la gran difusión que ha tenido desde mediados de la reciente crisis económica internacional en diversos medios académicos y la capacidad explicativa de sus</w:t>
      </w:r>
      <w:r>
        <w:rPr>
          <w:spacing w:val="-5"/>
          <w:w w:val="110"/>
          <w:sz w:val="16"/>
        </w:rPr>
        <w:t> </w:t>
      </w:r>
      <w:r>
        <w:rPr>
          <w:w w:val="110"/>
          <w:sz w:val="16"/>
        </w:rPr>
        <w:t>resultados.</w:t>
      </w:r>
    </w:p>
    <w:p>
      <w:pPr>
        <w:spacing w:after="0" w:line="242" w:lineRule="auto"/>
        <w:jc w:val="both"/>
        <w:rPr>
          <w:sz w:val="16"/>
        </w:rPr>
        <w:sectPr>
          <w:footerReference w:type="default" r:id="rId539"/>
          <w:footerReference w:type="even" r:id="rId540"/>
          <w:pgSz w:w="8790" w:h="12760"/>
          <w:pgMar w:footer="725" w:header="695" w:top="880" w:bottom="920" w:left="1200" w:right="900"/>
        </w:sectPr>
      </w:pPr>
    </w:p>
    <w:p>
      <w:pPr>
        <w:pStyle w:val="BodyText"/>
        <w:spacing w:before="9"/>
        <w:rPr>
          <w:sz w:val="28"/>
        </w:rPr>
      </w:pPr>
    </w:p>
    <w:p>
      <w:pPr>
        <w:pStyle w:val="BodyText"/>
        <w:spacing w:line="252" w:lineRule="auto" w:before="73"/>
        <w:ind w:left="120" w:right="328" w:firstLine="396"/>
        <w:jc w:val="both"/>
      </w:pPr>
      <w:r>
        <w:rPr>
          <w:w w:val="110"/>
        </w:rPr>
        <w:t>al mismo tiempo, otro grupo importante de investigaciones re- futa la tesis de la existencia de un “desacoplamiento” identificándolo como un mito académico, basado en la idea de que los países </w:t>
      </w:r>
      <w:r>
        <w:rPr>
          <w:spacing w:val="-4"/>
          <w:w w:val="110"/>
        </w:rPr>
        <w:t>emer- </w:t>
      </w:r>
      <w:r>
        <w:rPr>
          <w:w w:val="110"/>
        </w:rPr>
        <w:t>gentes no han hecho progresos suficientes como para disminuir los niveles de co-movimiento de sus ciclos económicos con los países de- sarrollados, especialmente Estados unidos, y que la mayor y profunda integración comercial y financiera favorece la transmisión de shocks   y la sincronización de los ciclos económicos. En este sentido, sánchez Egozcue (2009: 39), argumenta que a raíz de la reciente crisis econó- mica internacional y por una “actitud de subvaloración del contagio”, “se alimentó por un tiempo la idea de que existía un proceso de relati- vo desacoplamiento de los ciclos de la economía norteamericana que eran la marca tradicional de otros </w:t>
      </w:r>
      <w:r>
        <w:rPr>
          <w:spacing w:val="18"/>
          <w:w w:val="110"/>
        </w:rPr>
        <w:t> </w:t>
      </w:r>
      <w:r>
        <w:rPr>
          <w:w w:val="110"/>
        </w:rPr>
        <w:t>tiempos”.</w:t>
      </w:r>
    </w:p>
    <w:p>
      <w:pPr>
        <w:pStyle w:val="BodyText"/>
        <w:spacing w:line="252" w:lineRule="auto"/>
        <w:ind w:left="120" w:right="326" w:firstLine="396"/>
        <w:jc w:val="both"/>
      </w:pPr>
      <w:r>
        <w:rPr>
          <w:w w:val="110"/>
        </w:rPr>
        <w:t>Wälti (2009)</w:t>
      </w:r>
      <w:r>
        <w:rPr>
          <w:w w:val="110"/>
          <w:position w:val="6"/>
          <w:sz w:val="11"/>
        </w:rPr>
        <w:t>12</w:t>
      </w:r>
      <w:r>
        <w:rPr>
          <w:w w:val="110"/>
        </w:rPr>
        <w:t>, por su parte, brinda evidencias de que la sincro- nía de los ciclos económicos entre países “avanzados” y “emergen- tes” no ha declinado de manera general en años recientes. Para ello distingue entre dos tipos fundamentales de shocks: los “shocks ex- ternos” y los “específicos del país”. Por consiguiente, concluye que el “desacoplamiento o </w:t>
      </w:r>
      <w:r>
        <w:rPr>
          <w:i/>
          <w:w w:val="110"/>
        </w:rPr>
        <w:t>decoupling</w:t>
      </w:r>
      <w:r>
        <w:rPr>
          <w:w w:val="110"/>
        </w:rPr>
        <w:t>” es un mito, al no materializarse su existencia</w:t>
      </w:r>
      <w:r>
        <w:rPr>
          <w:spacing w:val="28"/>
          <w:w w:val="110"/>
        </w:rPr>
        <w:t> </w:t>
      </w:r>
      <w:r>
        <w:rPr>
          <w:w w:val="110"/>
        </w:rPr>
        <w:t>real.</w:t>
      </w:r>
    </w:p>
    <w:p>
      <w:pPr>
        <w:pStyle w:val="BodyText"/>
        <w:spacing w:line="252" w:lineRule="auto"/>
        <w:ind w:left="120" w:right="327" w:firstLine="396"/>
        <w:jc w:val="both"/>
      </w:pPr>
      <w:r>
        <w:rPr>
          <w:w w:val="110"/>
        </w:rPr>
        <w:t>El Fondo Monetario internacional (FMi),  en  el  </w:t>
      </w:r>
      <w:r>
        <w:rPr>
          <w:i/>
          <w:w w:val="110"/>
        </w:rPr>
        <w:t>World  Econo-  </w:t>
      </w:r>
      <w:r>
        <w:rPr>
          <w:i/>
          <w:w w:val="110"/>
        </w:rPr>
        <w:t>mic outlook </w:t>
      </w:r>
      <w:r>
        <w:rPr>
          <w:w w:val="110"/>
        </w:rPr>
        <w:t>en 2008</w:t>
      </w:r>
      <w:r>
        <w:rPr>
          <w:w w:val="110"/>
          <w:position w:val="6"/>
          <w:sz w:val="11"/>
        </w:rPr>
        <w:t>13</w:t>
      </w:r>
      <w:r>
        <w:rPr>
          <w:w w:val="110"/>
        </w:rPr>
        <w:t>, publicó un estudio que analiza la historia de  las crisis económicas en Estados unidos y su “contagio” al resto del </w:t>
      </w:r>
      <w:r>
        <w:rPr>
          <w:w w:val="113"/>
        </w:rPr>
        <w:t>mundo,</w:t>
      </w:r>
      <w:r>
        <w:rPr/>
        <w:t> </w:t>
      </w:r>
      <w:r>
        <w:rPr>
          <w:spacing w:val="-14"/>
        </w:rPr>
        <w:t> </w:t>
      </w:r>
      <w:r>
        <w:rPr>
          <w:w w:val="108"/>
        </w:rPr>
        <w:t>en</w:t>
      </w:r>
      <w:r>
        <w:rPr/>
        <w:t> </w:t>
      </w:r>
      <w:r>
        <w:rPr>
          <w:spacing w:val="-14"/>
        </w:rPr>
        <w:t> </w:t>
      </w:r>
      <w:r>
        <w:rPr>
          <w:w w:val="111"/>
        </w:rPr>
        <w:t>la</w:t>
      </w:r>
      <w:r>
        <w:rPr/>
        <w:t> </w:t>
      </w:r>
      <w:r>
        <w:rPr>
          <w:spacing w:val="-14"/>
        </w:rPr>
        <w:t> </w:t>
      </w:r>
      <w:r>
        <w:rPr>
          <w:w w:val="109"/>
        </w:rPr>
        <w:t>búsqueda</w:t>
      </w:r>
      <w:r>
        <w:rPr/>
        <w:t> </w:t>
      </w:r>
      <w:r>
        <w:rPr>
          <w:spacing w:val="-14"/>
        </w:rPr>
        <w:t> </w:t>
      </w:r>
      <w:r>
        <w:rPr>
          <w:w w:val="107"/>
        </w:rPr>
        <w:t>de</w:t>
      </w:r>
      <w:r>
        <w:rPr/>
        <w:t> </w:t>
      </w:r>
      <w:r>
        <w:rPr>
          <w:spacing w:val="-14"/>
        </w:rPr>
        <w:t> </w:t>
      </w:r>
      <w:r>
        <w:rPr>
          <w:w w:val="108"/>
        </w:rPr>
        <w:t>claves</w:t>
      </w:r>
      <w:r>
        <w:rPr/>
        <w:t> </w:t>
      </w:r>
      <w:r>
        <w:rPr>
          <w:spacing w:val="-14"/>
        </w:rPr>
        <w:t> </w:t>
      </w:r>
      <w:r>
        <w:rPr>
          <w:w w:val="109"/>
        </w:rPr>
        <w:t>para</w:t>
      </w:r>
      <w:r>
        <w:rPr/>
        <w:t> </w:t>
      </w:r>
      <w:r>
        <w:rPr>
          <w:spacing w:val="-14"/>
        </w:rPr>
        <w:t> </w:t>
      </w:r>
      <w:r>
        <w:rPr>
          <w:w w:val="107"/>
        </w:rPr>
        <w:t>entender</w:t>
      </w:r>
      <w:r>
        <w:rPr/>
        <w:t> </w:t>
      </w:r>
      <w:r>
        <w:rPr>
          <w:spacing w:val="-14"/>
        </w:rPr>
        <w:t> </w:t>
      </w:r>
      <w:r>
        <w:rPr>
          <w:w w:val="111"/>
        </w:rPr>
        <w:t>la</w:t>
      </w:r>
      <w:r>
        <w:rPr/>
        <w:t> </w:t>
      </w:r>
      <w:r>
        <w:rPr>
          <w:spacing w:val="-14"/>
        </w:rPr>
        <w:t> </w:t>
      </w:r>
      <w:r>
        <w:rPr>
          <w:w w:val="111"/>
        </w:rPr>
        <w:t>más</w:t>
      </w:r>
      <w:r>
        <w:rPr/>
        <w:t> </w:t>
      </w:r>
      <w:r>
        <w:rPr>
          <w:spacing w:val="-14"/>
        </w:rPr>
        <w:t> </w:t>
      </w:r>
      <w:r>
        <w:rPr>
          <w:w w:val="109"/>
        </w:rPr>
        <w:t>reciente.</w:t>
      </w:r>
      <w:r>
        <w:rPr/>
        <w:t> </w:t>
      </w:r>
      <w:r>
        <w:rPr>
          <w:spacing w:val="-14"/>
        </w:rPr>
        <w:t> </w:t>
      </w:r>
      <w:r>
        <w:rPr>
          <w:w w:val="243"/>
        </w:rPr>
        <w:t>l</w:t>
      </w:r>
      <w:r>
        <w:rPr>
          <w:w w:val="112"/>
        </w:rPr>
        <w:t>a </w:t>
      </w:r>
      <w:r>
        <w:rPr>
          <w:w w:val="110"/>
        </w:rPr>
        <w:t>investigación devela que en el pasado los episodios de declinación sincronizada del crecimiento en el mundo no eran el resultado pri- mario de desarrollos específicos de Estados unidos, sino que estaban causados por factores que afectaron a muchos países al mismo tiem- po (ejemplo: la crisis del petróleo, 1974-1975)</w:t>
      </w:r>
      <w:r>
        <w:rPr>
          <w:w w:val="110"/>
          <w:position w:val="6"/>
          <w:sz w:val="11"/>
        </w:rPr>
        <w:t>14</w:t>
      </w:r>
      <w:r>
        <w:rPr>
          <w:w w:val="110"/>
        </w:rPr>
        <w:t>. No obstante, aunque hace referencia a un conjunto de cambios en la economía internacio- nal que podrían explicar el “desacoplamiento” temporal inicial</w:t>
      </w:r>
      <w:r>
        <w:rPr>
          <w:w w:val="110"/>
          <w:position w:val="6"/>
          <w:sz w:val="11"/>
        </w:rPr>
        <w:t>15</w:t>
      </w:r>
      <w:r>
        <w:rPr>
          <w:w w:val="110"/>
        </w:rPr>
        <w:t>,   </w:t>
      </w:r>
      <w:r>
        <w:rPr>
          <w:spacing w:val="18"/>
          <w:w w:val="110"/>
        </w:rPr>
        <w:t> </w:t>
      </w:r>
      <w:r>
        <w:rPr>
          <w:w w:val="110"/>
        </w:rPr>
        <w:t>ra-</w:t>
      </w:r>
    </w:p>
    <w:p>
      <w:pPr>
        <w:pStyle w:val="BodyText"/>
        <w:spacing w:before="5"/>
        <w:rPr>
          <w:sz w:val="22"/>
        </w:rPr>
      </w:pPr>
      <w:r>
        <w:rPr/>
        <w:pict>
          <v:line style="position:absolute;mso-position-horizontal-relative:page;mso-position-vertical-relative:paragraph;z-index:8584;mso-wrap-distance-left:0;mso-wrap-distance-right:0" from="51.023602pt,15.354227pt" to="79.369602pt,15.354227pt" stroked="true" strokeweight=".5pt" strokecolor="#000000">
            <w10:wrap type="topAndBottom"/>
          </v:line>
        </w:pict>
      </w:r>
    </w:p>
    <w:p>
      <w:pPr>
        <w:pStyle w:val="ListParagraph"/>
        <w:numPr>
          <w:ilvl w:val="0"/>
          <w:numId w:val="35"/>
        </w:numPr>
        <w:tabs>
          <w:tab w:pos="376" w:val="left" w:leader="none"/>
        </w:tabs>
        <w:spacing w:line="242" w:lineRule="auto" w:before="89" w:after="0"/>
        <w:ind w:left="120" w:right="328" w:firstLine="0"/>
        <w:jc w:val="both"/>
        <w:rPr>
          <w:sz w:val="16"/>
        </w:rPr>
      </w:pPr>
      <w:r>
        <w:rPr>
          <w:w w:val="110"/>
          <w:sz w:val="16"/>
        </w:rPr>
        <w:t>Cuestiona, metodológicamente, la investigación de Kose </w:t>
      </w:r>
      <w:r>
        <w:rPr>
          <w:i/>
          <w:w w:val="110"/>
          <w:sz w:val="16"/>
        </w:rPr>
        <w:t>et al. </w:t>
      </w:r>
      <w:r>
        <w:rPr>
          <w:w w:val="110"/>
          <w:sz w:val="16"/>
        </w:rPr>
        <w:t>(2008)  y  de-  bate</w:t>
      </w:r>
      <w:r>
        <w:rPr>
          <w:spacing w:val="-9"/>
          <w:w w:val="110"/>
          <w:sz w:val="16"/>
        </w:rPr>
        <w:t> </w:t>
      </w:r>
      <w:r>
        <w:rPr>
          <w:w w:val="110"/>
          <w:sz w:val="16"/>
        </w:rPr>
        <w:t>hasta</w:t>
      </w:r>
      <w:r>
        <w:rPr>
          <w:spacing w:val="-9"/>
          <w:w w:val="110"/>
          <w:sz w:val="16"/>
        </w:rPr>
        <w:t> </w:t>
      </w:r>
      <w:r>
        <w:rPr>
          <w:w w:val="110"/>
          <w:sz w:val="16"/>
        </w:rPr>
        <w:t>qué</w:t>
      </w:r>
      <w:r>
        <w:rPr>
          <w:spacing w:val="-9"/>
          <w:w w:val="110"/>
          <w:sz w:val="16"/>
        </w:rPr>
        <w:t> </w:t>
      </w:r>
      <w:r>
        <w:rPr>
          <w:w w:val="110"/>
          <w:sz w:val="16"/>
        </w:rPr>
        <w:t>punto</w:t>
      </w:r>
      <w:r>
        <w:rPr>
          <w:spacing w:val="-9"/>
          <w:w w:val="110"/>
          <w:sz w:val="16"/>
        </w:rPr>
        <w:t> </w:t>
      </w:r>
      <w:r>
        <w:rPr>
          <w:w w:val="110"/>
          <w:sz w:val="16"/>
        </w:rPr>
        <w:t>los</w:t>
      </w:r>
      <w:r>
        <w:rPr>
          <w:spacing w:val="-9"/>
          <w:w w:val="110"/>
          <w:sz w:val="16"/>
        </w:rPr>
        <w:t> </w:t>
      </w:r>
      <w:r>
        <w:rPr>
          <w:w w:val="110"/>
          <w:sz w:val="16"/>
        </w:rPr>
        <w:t>mercados</w:t>
      </w:r>
      <w:r>
        <w:rPr>
          <w:spacing w:val="-9"/>
          <w:w w:val="110"/>
          <w:sz w:val="16"/>
        </w:rPr>
        <w:t> </w:t>
      </w:r>
      <w:r>
        <w:rPr>
          <w:w w:val="110"/>
          <w:sz w:val="16"/>
        </w:rPr>
        <w:t>emergentes</w:t>
      </w:r>
      <w:r>
        <w:rPr>
          <w:spacing w:val="-9"/>
          <w:w w:val="110"/>
          <w:sz w:val="16"/>
        </w:rPr>
        <w:t> </w:t>
      </w:r>
      <w:r>
        <w:rPr>
          <w:w w:val="110"/>
          <w:sz w:val="16"/>
        </w:rPr>
        <w:t>se</w:t>
      </w:r>
      <w:r>
        <w:rPr>
          <w:spacing w:val="-9"/>
          <w:w w:val="110"/>
          <w:sz w:val="16"/>
        </w:rPr>
        <w:t> </w:t>
      </w:r>
      <w:r>
        <w:rPr>
          <w:w w:val="110"/>
          <w:sz w:val="16"/>
        </w:rPr>
        <w:t>han</w:t>
      </w:r>
      <w:r>
        <w:rPr>
          <w:spacing w:val="-9"/>
          <w:w w:val="110"/>
          <w:sz w:val="16"/>
        </w:rPr>
        <w:t> </w:t>
      </w:r>
      <w:r>
        <w:rPr>
          <w:w w:val="110"/>
          <w:sz w:val="16"/>
        </w:rPr>
        <w:t>desacoplado</w:t>
      </w:r>
      <w:r>
        <w:rPr>
          <w:spacing w:val="-9"/>
          <w:w w:val="110"/>
          <w:sz w:val="16"/>
        </w:rPr>
        <w:t> </w:t>
      </w:r>
      <w:r>
        <w:rPr>
          <w:w w:val="110"/>
          <w:sz w:val="16"/>
        </w:rPr>
        <w:t>de</w:t>
      </w:r>
      <w:r>
        <w:rPr>
          <w:spacing w:val="-9"/>
          <w:w w:val="110"/>
          <w:sz w:val="16"/>
        </w:rPr>
        <w:t> </w:t>
      </w:r>
      <w:r>
        <w:rPr>
          <w:w w:val="110"/>
          <w:sz w:val="16"/>
        </w:rPr>
        <w:t>las</w:t>
      </w:r>
      <w:r>
        <w:rPr>
          <w:spacing w:val="-9"/>
          <w:w w:val="110"/>
          <w:sz w:val="16"/>
        </w:rPr>
        <w:t> </w:t>
      </w:r>
      <w:r>
        <w:rPr>
          <w:w w:val="110"/>
          <w:sz w:val="16"/>
        </w:rPr>
        <w:t>economías </w:t>
      </w:r>
      <w:r>
        <w:rPr>
          <w:w w:val="105"/>
          <w:sz w:val="16"/>
        </w:rPr>
        <w:t>avanzadas (Wälti,</w:t>
      </w:r>
      <w:r>
        <w:rPr>
          <w:spacing w:val="34"/>
          <w:w w:val="105"/>
          <w:sz w:val="16"/>
        </w:rPr>
        <w:t> </w:t>
      </w:r>
      <w:r>
        <w:rPr>
          <w:w w:val="105"/>
          <w:sz w:val="16"/>
        </w:rPr>
        <w:t>2009).</w:t>
      </w:r>
    </w:p>
    <w:p>
      <w:pPr>
        <w:pStyle w:val="ListParagraph"/>
        <w:numPr>
          <w:ilvl w:val="0"/>
          <w:numId w:val="35"/>
        </w:numPr>
        <w:tabs>
          <w:tab w:pos="376" w:val="left" w:leader="none"/>
        </w:tabs>
        <w:spacing w:line="242" w:lineRule="auto" w:before="57" w:after="0"/>
        <w:ind w:left="120" w:right="329" w:firstLine="0"/>
        <w:jc w:val="both"/>
        <w:rPr>
          <w:sz w:val="16"/>
        </w:rPr>
      </w:pPr>
      <w:r>
        <w:rPr>
          <w:i/>
          <w:w w:val="110"/>
          <w:sz w:val="16"/>
        </w:rPr>
        <w:t>Decoupling the train. Spillovers and cycles in the global economy</w:t>
      </w:r>
      <w:r>
        <w:rPr>
          <w:w w:val="110"/>
          <w:sz w:val="16"/>
        </w:rPr>
        <w:t>, específica- mente capítulo</w:t>
      </w:r>
      <w:r>
        <w:rPr>
          <w:spacing w:val="-7"/>
          <w:w w:val="110"/>
          <w:sz w:val="16"/>
        </w:rPr>
        <w:t> </w:t>
      </w:r>
      <w:r>
        <w:rPr>
          <w:w w:val="110"/>
          <w:sz w:val="16"/>
        </w:rPr>
        <w:t>4.</w:t>
      </w:r>
    </w:p>
    <w:p>
      <w:pPr>
        <w:pStyle w:val="ListParagraph"/>
        <w:numPr>
          <w:ilvl w:val="0"/>
          <w:numId w:val="35"/>
        </w:numPr>
        <w:tabs>
          <w:tab w:pos="376" w:val="left" w:leader="none"/>
        </w:tabs>
        <w:spacing w:line="242" w:lineRule="auto" w:before="57" w:after="0"/>
        <w:ind w:left="120" w:right="328" w:firstLine="0"/>
        <w:jc w:val="both"/>
        <w:rPr>
          <w:i/>
          <w:sz w:val="16"/>
        </w:rPr>
      </w:pPr>
      <w:r>
        <w:rPr>
          <w:w w:val="105"/>
          <w:sz w:val="16"/>
        </w:rPr>
        <w:t>desde 1970, de acuerdo con este  informe  y  según  estudios  del  </w:t>
      </w:r>
      <w:r>
        <w:rPr>
          <w:i/>
          <w:w w:val="105"/>
          <w:sz w:val="16"/>
        </w:rPr>
        <w:t>National  Bu-  </w:t>
      </w:r>
      <w:r>
        <w:rPr>
          <w:i/>
          <w:w w:val="105"/>
          <w:sz w:val="16"/>
        </w:rPr>
        <w:t>reau of Economic Research </w:t>
      </w:r>
      <w:r>
        <w:rPr>
          <w:w w:val="105"/>
          <w:sz w:val="16"/>
        </w:rPr>
        <w:t>(NbEr), Estados unidos ha experimentado cinco recesio-</w:t>
      </w:r>
      <w:r>
        <w:rPr>
          <w:spacing w:val="37"/>
          <w:w w:val="105"/>
          <w:sz w:val="16"/>
        </w:rPr>
        <w:t> </w:t>
      </w:r>
      <w:r>
        <w:rPr>
          <w:w w:val="105"/>
          <w:sz w:val="16"/>
        </w:rPr>
        <w:t>nes (1974-1975, 1980, 1981-1982, 1991 y 2001) y dos desaceleraciones de</w:t>
      </w:r>
      <w:r>
        <w:rPr>
          <w:spacing w:val="1"/>
          <w:w w:val="105"/>
          <w:sz w:val="16"/>
        </w:rPr>
        <w:t> </w:t>
      </w:r>
      <w:r>
        <w:rPr>
          <w:i/>
          <w:w w:val="105"/>
          <w:sz w:val="16"/>
        </w:rPr>
        <w:t>medio-ciclo</w:t>
      </w:r>
    </w:p>
    <w:p>
      <w:pPr>
        <w:spacing w:before="0"/>
        <w:ind w:left="120" w:right="0" w:firstLine="0"/>
        <w:jc w:val="both"/>
        <w:rPr>
          <w:sz w:val="16"/>
        </w:rPr>
      </w:pPr>
      <w:r>
        <w:rPr>
          <w:w w:val="105"/>
          <w:sz w:val="16"/>
        </w:rPr>
        <w:t>(1986 y 1995) (FMi, 2007).</w:t>
      </w:r>
    </w:p>
    <w:p>
      <w:pPr>
        <w:pStyle w:val="ListParagraph"/>
        <w:numPr>
          <w:ilvl w:val="0"/>
          <w:numId w:val="35"/>
        </w:numPr>
        <w:tabs>
          <w:tab w:pos="376" w:val="left" w:leader="none"/>
        </w:tabs>
        <w:spacing w:line="242" w:lineRule="auto" w:before="59" w:after="0"/>
        <w:ind w:left="120" w:right="328" w:firstLine="0"/>
        <w:jc w:val="both"/>
        <w:rPr>
          <w:sz w:val="16"/>
        </w:rPr>
      </w:pPr>
      <w:r>
        <w:rPr>
          <w:w w:val="110"/>
          <w:sz w:val="16"/>
        </w:rPr>
        <w:t>El reporte hace referencia a tres ejes de cambios fundamentales en relación   con</w:t>
      </w:r>
      <w:r>
        <w:rPr>
          <w:spacing w:val="-7"/>
          <w:w w:val="110"/>
          <w:sz w:val="16"/>
        </w:rPr>
        <w:t> </w:t>
      </w:r>
      <w:r>
        <w:rPr>
          <w:w w:val="110"/>
          <w:sz w:val="16"/>
        </w:rPr>
        <w:t>esta</w:t>
      </w:r>
      <w:r>
        <w:rPr>
          <w:spacing w:val="-7"/>
          <w:w w:val="110"/>
          <w:sz w:val="16"/>
        </w:rPr>
        <w:t> </w:t>
      </w:r>
      <w:r>
        <w:rPr>
          <w:w w:val="110"/>
          <w:sz w:val="16"/>
        </w:rPr>
        <w:t>crisis</w:t>
      </w:r>
      <w:r>
        <w:rPr>
          <w:spacing w:val="-7"/>
          <w:w w:val="110"/>
          <w:sz w:val="16"/>
        </w:rPr>
        <w:t> </w:t>
      </w:r>
      <w:r>
        <w:rPr>
          <w:w w:val="110"/>
          <w:sz w:val="16"/>
        </w:rPr>
        <w:t>(téngase</w:t>
      </w:r>
      <w:r>
        <w:rPr>
          <w:spacing w:val="-7"/>
          <w:w w:val="110"/>
          <w:sz w:val="16"/>
        </w:rPr>
        <w:t> </w:t>
      </w:r>
      <w:r>
        <w:rPr>
          <w:w w:val="110"/>
          <w:sz w:val="16"/>
        </w:rPr>
        <w:t>en</w:t>
      </w:r>
      <w:r>
        <w:rPr>
          <w:spacing w:val="-7"/>
          <w:w w:val="110"/>
          <w:sz w:val="16"/>
        </w:rPr>
        <w:t> </w:t>
      </w:r>
      <w:r>
        <w:rPr>
          <w:w w:val="110"/>
          <w:sz w:val="16"/>
        </w:rPr>
        <w:t>cuenta</w:t>
      </w:r>
      <w:r>
        <w:rPr>
          <w:spacing w:val="-7"/>
          <w:w w:val="110"/>
          <w:sz w:val="16"/>
        </w:rPr>
        <w:t> </w:t>
      </w:r>
      <w:r>
        <w:rPr>
          <w:w w:val="110"/>
          <w:sz w:val="16"/>
        </w:rPr>
        <w:t>la</w:t>
      </w:r>
      <w:r>
        <w:rPr>
          <w:spacing w:val="-7"/>
          <w:w w:val="110"/>
          <w:sz w:val="16"/>
        </w:rPr>
        <w:t> </w:t>
      </w:r>
      <w:r>
        <w:rPr>
          <w:w w:val="110"/>
          <w:sz w:val="16"/>
        </w:rPr>
        <w:t>fecha</w:t>
      </w:r>
      <w:r>
        <w:rPr>
          <w:spacing w:val="-7"/>
          <w:w w:val="110"/>
          <w:sz w:val="16"/>
        </w:rPr>
        <w:t> </w:t>
      </w:r>
      <w:r>
        <w:rPr>
          <w:w w:val="110"/>
          <w:sz w:val="16"/>
        </w:rPr>
        <w:t>del</w:t>
      </w:r>
      <w:r>
        <w:rPr>
          <w:spacing w:val="-7"/>
          <w:w w:val="110"/>
          <w:sz w:val="16"/>
        </w:rPr>
        <w:t> </w:t>
      </w:r>
      <w:r>
        <w:rPr>
          <w:w w:val="110"/>
          <w:sz w:val="16"/>
        </w:rPr>
        <w:t>informe:</w:t>
      </w:r>
      <w:r>
        <w:rPr>
          <w:spacing w:val="-7"/>
          <w:w w:val="110"/>
          <w:sz w:val="16"/>
        </w:rPr>
        <w:t> </w:t>
      </w:r>
      <w:r>
        <w:rPr>
          <w:w w:val="110"/>
          <w:sz w:val="16"/>
        </w:rPr>
        <w:t>el</w:t>
      </w:r>
      <w:r>
        <w:rPr>
          <w:spacing w:val="-7"/>
          <w:w w:val="110"/>
          <w:sz w:val="16"/>
        </w:rPr>
        <w:t> </w:t>
      </w:r>
      <w:r>
        <w:rPr>
          <w:w w:val="110"/>
          <w:sz w:val="16"/>
        </w:rPr>
        <w:t>hecho</w:t>
      </w:r>
      <w:r>
        <w:rPr>
          <w:spacing w:val="-7"/>
          <w:w w:val="110"/>
          <w:sz w:val="16"/>
        </w:rPr>
        <w:t> </w:t>
      </w:r>
      <w:r>
        <w:rPr>
          <w:w w:val="110"/>
          <w:sz w:val="16"/>
        </w:rPr>
        <w:t>de</w:t>
      </w:r>
      <w:r>
        <w:rPr>
          <w:spacing w:val="-7"/>
          <w:w w:val="110"/>
          <w:sz w:val="16"/>
        </w:rPr>
        <w:t> </w:t>
      </w:r>
      <w:r>
        <w:rPr>
          <w:w w:val="110"/>
          <w:sz w:val="16"/>
        </w:rPr>
        <w:t>que</w:t>
      </w:r>
      <w:r>
        <w:rPr>
          <w:spacing w:val="-7"/>
          <w:w w:val="110"/>
          <w:sz w:val="16"/>
        </w:rPr>
        <w:t> </w:t>
      </w:r>
      <w:r>
        <w:rPr>
          <w:w w:val="110"/>
          <w:sz w:val="16"/>
        </w:rPr>
        <w:t>la</w:t>
      </w:r>
      <w:r>
        <w:rPr>
          <w:spacing w:val="-7"/>
          <w:w w:val="110"/>
          <w:sz w:val="16"/>
        </w:rPr>
        <w:t> </w:t>
      </w:r>
      <w:r>
        <w:rPr>
          <w:w w:val="110"/>
          <w:sz w:val="16"/>
        </w:rPr>
        <w:t>desacelera- ción en Estados unidos estuvo asociada a desarrollos de sectores específicos de</w:t>
      </w:r>
      <w:r>
        <w:rPr>
          <w:spacing w:val="11"/>
          <w:w w:val="110"/>
          <w:sz w:val="16"/>
        </w:rPr>
        <w:t> </w:t>
      </w:r>
      <w:r>
        <w:rPr>
          <w:w w:val="110"/>
          <w:sz w:val="16"/>
        </w:rPr>
        <w:t>ese</w:t>
      </w:r>
    </w:p>
    <w:p>
      <w:pPr>
        <w:spacing w:after="0" w:line="242" w:lineRule="auto"/>
        <w:jc w:val="both"/>
        <w:rPr>
          <w:sz w:val="16"/>
        </w:rPr>
        <w:sectPr>
          <w:pgSz w:w="8790" w:h="12760"/>
          <w:pgMar w:header="697" w:footer="723" w:top="880" w:bottom="920" w:left="900" w:right="1200"/>
        </w:sectPr>
      </w:pPr>
    </w:p>
    <w:p>
      <w:pPr>
        <w:pStyle w:val="BodyText"/>
        <w:spacing w:before="7"/>
        <w:rPr>
          <w:sz w:val="28"/>
        </w:rPr>
      </w:pPr>
    </w:p>
    <w:p>
      <w:pPr>
        <w:pStyle w:val="BodyText"/>
        <w:spacing w:line="252" w:lineRule="auto" w:before="73"/>
        <w:ind w:left="330" w:right="117"/>
        <w:jc w:val="both"/>
      </w:pPr>
      <w:r>
        <w:rPr>
          <w:w w:val="110"/>
        </w:rPr>
        <w:t>tifica la permanencia del rol determinante y esencial de Estados uni- dos en la economía mundial en relación con el tamaño de su Pib, su demanda externa, su mercado financiero, a lo que podría agregarse   el rol de su moneda en el panorama monetario y financiero interna- cional, el poderío tecnológico-militar, mediático, entre otros factores. de esta manera, el reporte cuestiona profundamente hasta qué punto las economías emergentes pueden desacoplarse, de manera efectiva, de la economía</w:t>
      </w:r>
      <w:r>
        <w:rPr>
          <w:spacing w:val="37"/>
          <w:w w:val="110"/>
        </w:rPr>
        <w:t> </w:t>
      </w:r>
      <w:r>
        <w:rPr>
          <w:w w:val="110"/>
        </w:rPr>
        <w:t>estadounidense.</w:t>
      </w:r>
    </w:p>
    <w:p>
      <w:pPr>
        <w:pStyle w:val="BodyText"/>
        <w:spacing w:line="252" w:lineRule="auto"/>
        <w:ind w:left="330" w:right="117" w:firstLine="396"/>
        <w:jc w:val="both"/>
      </w:pPr>
      <w:r>
        <w:rPr>
          <w:w w:val="110"/>
        </w:rPr>
        <w:t>desde una perspectiva histórica, el crecimiento de Estados uni- dos ha estado altamente correlacionado con el crecimiento global, lo cual ha sido especialmente evidente en períodos de recesión (1974, 1980-1982, 1991 y 2008-2009). si bien se reconoce la incidencia del ciclo estadounidense en la dinámica del Pib mundial, aproximada- mente desde 1971 y de manera creciente –aunque en intervalos– el crecimiento del Pib mundial pareciera ser explicado más fuertemente por otros países o factores. En particular, en el período 2000-2012, Estados unidos ha estado creciendo a tasas sustancialmente menores que la media  mundial.</w:t>
      </w:r>
    </w:p>
    <w:p>
      <w:pPr>
        <w:pStyle w:val="BodyText"/>
        <w:spacing w:line="252" w:lineRule="auto"/>
        <w:ind w:left="330" w:right="115" w:firstLine="396"/>
        <w:jc w:val="both"/>
      </w:pPr>
      <w:r>
        <w:rPr>
          <w:spacing w:val="1"/>
          <w:w w:val="120"/>
        </w:rPr>
        <w:t>E</w:t>
      </w:r>
      <w:r>
        <w:rPr>
          <w:w w:val="120"/>
        </w:rPr>
        <w:t>n</w:t>
      </w:r>
      <w:r>
        <w:rPr/>
        <w:t> </w:t>
      </w:r>
      <w:r>
        <w:rPr>
          <w:spacing w:val="-2"/>
        </w:rPr>
        <w:t> </w:t>
      </w:r>
      <w:r>
        <w:rPr>
          <w:spacing w:val="1"/>
          <w:w w:val="107"/>
        </w:rPr>
        <w:t>e</w:t>
      </w:r>
      <w:r>
        <w:rPr>
          <w:w w:val="107"/>
        </w:rPr>
        <w:t>l</w:t>
      </w:r>
      <w:r>
        <w:rPr/>
        <w:t> </w:t>
      </w:r>
      <w:r>
        <w:rPr>
          <w:spacing w:val="-2"/>
        </w:rPr>
        <w:t> </w:t>
      </w:r>
      <w:r>
        <w:rPr>
          <w:spacing w:val="1"/>
          <w:w w:val="111"/>
        </w:rPr>
        <w:t>cas</w:t>
      </w:r>
      <w:r>
        <w:rPr>
          <w:w w:val="111"/>
        </w:rPr>
        <w:t>o</w:t>
      </w:r>
      <w:r>
        <w:rPr/>
        <w:t> </w:t>
      </w:r>
      <w:r>
        <w:rPr>
          <w:spacing w:val="-2"/>
        </w:rPr>
        <w:t> </w:t>
      </w:r>
      <w:r>
        <w:rPr>
          <w:spacing w:val="1"/>
          <w:w w:val="107"/>
        </w:rPr>
        <w:t>d</w:t>
      </w:r>
      <w:r>
        <w:rPr>
          <w:w w:val="107"/>
        </w:rPr>
        <w:t>e</w:t>
      </w:r>
      <w:r>
        <w:rPr/>
        <w:t> </w:t>
      </w:r>
      <w:r>
        <w:rPr>
          <w:spacing w:val="-2"/>
        </w:rPr>
        <w:t> </w:t>
      </w:r>
      <w:r>
        <w:rPr>
          <w:spacing w:val="1"/>
          <w:w w:val="139"/>
        </w:rPr>
        <w:t>a</w:t>
      </w:r>
      <w:r>
        <w:rPr>
          <w:spacing w:val="1"/>
          <w:w w:val="111"/>
        </w:rPr>
        <w:t>méric</w:t>
      </w:r>
      <w:r>
        <w:rPr>
          <w:w w:val="111"/>
        </w:rPr>
        <w:t>a</w:t>
      </w:r>
      <w:r>
        <w:rPr/>
        <w:t> </w:t>
      </w:r>
      <w:r>
        <w:rPr>
          <w:spacing w:val="-2"/>
        </w:rPr>
        <w:t> </w:t>
      </w:r>
      <w:r>
        <w:rPr>
          <w:spacing w:val="1"/>
          <w:w w:val="243"/>
        </w:rPr>
        <w:t>l</w:t>
      </w:r>
      <w:r>
        <w:rPr>
          <w:spacing w:val="1"/>
          <w:w w:val="113"/>
        </w:rPr>
        <w:t>atina</w:t>
      </w:r>
      <w:r>
        <w:rPr>
          <w:w w:val="113"/>
        </w:rPr>
        <w:t>,</w:t>
      </w:r>
      <w:r>
        <w:rPr/>
        <w:t> </w:t>
      </w:r>
      <w:r>
        <w:rPr>
          <w:spacing w:val="-2"/>
        </w:rPr>
        <w:t> </w:t>
      </w:r>
      <w:r>
        <w:rPr>
          <w:spacing w:val="1"/>
          <w:w w:val="134"/>
        </w:rPr>
        <w:t>b</w:t>
      </w:r>
      <w:r>
        <w:rPr>
          <w:spacing w:val="1"/>
          <w:w w:val="112"/>
        </w:rPr>
        <w:t>audel</w:t>
      </w:r>
      <w:r>
        <w:rPr>
          <w:w w:val="112"/>
        </w:rPr>
        <w:t>,</w:t>
      </w:r>
      <w:r>
        <w:rPr/>
        <w:t> </w:t>
      </w:r>
      <w:r>
        <w:rPr>
          <w:spacing w:val="-2"/>
        </w:rPr>
        <w:t> </w:t>
      </w:r>
      <w:r>
        <w:rPr>
          <w:spacing w:val="1"/>
          <w:w w:val="139"/>
        </w:rPr>
        <w:t>d</w:t>
      </w:r>
      <w:r>
        <w:rPr>
          <w:spacing w:val="1"/>
          <w:w w:val="113"/>
        </w:rPr>
        <w:t>ía</w:t>
      </w:r>
      <w:r>
        <w:rPr>
          <w:w w:val="113"/>
        </w:rPr>
        <w:t>z</w:t>
      </w:r>
      <w:r>
        <w:rPr/>
        <w:t> </w:t>
      </w:r>
      <w:r>
        <w:rPr>
          <w:spacing w:val="-2"/>
        </w:rPr>
        <w:t> </w:t>
      </w:r>
      <w:r>
        <w:rPr>
          <w:w w:val="121"/>
        </w:rPr>
        <w:t>&amp;</w:t>
      </w:r>
      <w:r>
        <w:rPr/>
        <w:t> </w:t>
      </w:r>
      <w:r>
        <w:rPr>
          <w:spacing w:val="-2"/>
        </w:rPr>
        <w:t> </w:t>
      </w:r>
      <w:r>
        <w:rPr>
          <w:spacing w:val="1"/>
          <w:w w:val="112"/>
        </w:rPr>
        <w:t>Quena</w:t>
      </w:r>
      <w:r>
        <w:rPr>
          <w:w w:val="112"/>
        </w:rPr>
        <w:t>n</w:t>
      </w:r>
      <w:r>
        <w:rPr/>
        <w:t> </w:t>
      </w:r>
      <w:r>
        <w:rPr>
          <w:spacing w:val="-2"/>
        </w:rPr>
        <w:t> </w:t>
      </w:r>
      <w:r>
        <w:rPr>
          <w:spacing w:val="1"/>
          <w:w w:val="101"/>
        </w:rPr>
        <w:t>(2011) </w:t>
      </w:r>
      <w:r>
        <w:rPr>
          <w:w w:val="110"/>
        </w:rPr>
        <w:t>analizan la hipótesis del “desacoplamiento” para dos de las princi- pales economías de la región, México y brasil, y verifican las corre- laciones respectivas de estas dos economías con el ciclo mundial en   el ámbito comercial y  financiero.  asimismo,  encuentran  evidencias de una mayor influencia del desempeño económico de China sobre    el ciclo económico brasileño, mientras que en el caso mexicano, esta influencia es ejercida por la economía estadounidense. En conse- cuencia, sustentan la tesis de izquierdo y </w:t>
      </w:r>
      <w:r>
        <w:rPr>
          <w:spacing w:val="-3"/>
          <w:w w:val="110"/>
        </w:rPr>
        <w:t>talvi </w:t>
      </w:r>
      <w:r>
        <w:rPr>
          <w:w w:val="110"/>
        </w:rPr>
        <w:t>(2011) de la emergen- </w:t>
      </w:r>
      <w:r>
        <w:rPr>
          <w:spacing w:val="1"/>
          <w:w w:val="114"/>
        </w:rPr>
        <w:t>ci</w:t>
      </w:r>
      <w:r>
        <w:rPr>
          <w:w w:val="114"/>
        </w:rPr>
        <w:t>a</w:t>
      </w:r>
      <w:r>
        <w:rPr/>
        <w:t> </w:t>
      </w:r>
      <w:r>
        <w:rPr>
          <w:spacing w:val="-16"/>
        </w:rPr>
        <w:t> </w:t>
      </w:r>
      <w:r>
        <w:rPr>
          <w:spacing w:val="1"/>
          <w:w w:val="107"/>
        </w:rPr>
        <w:t>d</w:t>
      </w:r>
      <w:r>
        <w:rPr>
          <w:w w:val="107"/>
        </w:rPr>
        <w:t>e</w:t>
      </w:r>
      <w:r>
        <w:rPr/>
        <w:t> </w:t>
      </w:r>
      <w:r>
        <w:rPr>
          <w:spacing w:val="-16"/>
        </w:rPr>
        <w:t> </w:t>
      </w:r>
      <w:r>
        <w:rPr>
          <w:spacing w:val="1"/>
          <w:w w:val="110"/>
        </w:rPr>
        <w:t>“do</w:t>
      </w:r>
      <w:r>
        <w:rPr>
          <w:w w:val="110"/>
        </w:rPr>
        <w:t>s</w:t>
      </w:r>
      <w:r>
        <w:rPr/>
        <w:t> </w:t>
      </w:r>
      <w:r>
        <w:rPr>
          <w:spacing w:val="-16"/>
        </w:rPr>
        <w:t> </w:t>
      </w:r>
      <w:r>
        <w:rPr>
          <w:spacing w:val="1"/>
          <w:w w:val="108"/>
        </w:rPr>
        <w:t>velocidades</w:t>
      </w:r>
      <w:r>
        <w:rPr>
          <w:i/>
          <w:w w:val="113"/>
        </w:rPr>
        <w:t>”</w:t>
      </w:r>
      <w:r>
        <w:rPr>
          <w:i/>
        </w:rPr>
        <w:t> </w:t>
      </w:r>
      <w:r>
        <w:rPr>
          <w:i/>
          <w:spacing w:val="-17"/>
        </w:rPr>
        <w:t> </w:t>
      </w:r>
      <w:r>
        <w:rPr>
          <w:spacing w:val="1"/>
          <w:w w:val="108"/>
        </w:rPr>
        <w:t>e</w:t>
      </w:r>
      <w:r>
        <w:rPr>
          <w:w w:val="108"/>
        </w:rPr>
        <w:t>n</w:t>
      </w:r>
      <w:r>
        <w:rPr/>
        <w:t> </w:t>
      </w:r>
      <w:r>
        <w:rPr>
          <w:spacing w:val="-16"/>
        </w:rPr>
        <w:t> </w:t>
      </w:r>
      <w:r>
        <w:rPr>
          <w:spacing w:val="1"/>
          <w:w w:val="139"/>
        </w:rPr>
        <w:t>a</w:t>
      </w:r>
      <w:r>
        <w:rPr>
          <w:spacing w:val="1"/>
          <w:w w:val="111"/>
        </w:rPr>
        <w:t>méric</w:t>
      </w:r>
      <w:r>
        <w:rPr>
          <w:w w:val="111"/>
        </w:rPr>
        <w:t>a</w:t>
      </w:r>
      <w:r>
        <w:rPr/>
        <w:t> </w:t>
      </w:r>
      <w:r>
        <w:rPr>
          <w:spacing w:val="-16"/>
        </w:rPr>
        <w:t> </w:t>
      </w:r>
      <w:r>
        <w:rPr>
          <w:spacing w:val="1"/>
          <w:w w:val="243"/>
        </w:rPr>
        <w:t>l</w:t>
      </w:r>
      <w:r>
        <w:rPr>
          <w:spacing w:val="1"/>
          <w:w w:val="111"/>
        </w:rPr>
        <w:t>atin</w:t>
      </w:r>
      <w:r>
        <w:rPr>
          <w:w w:val="111"/>
        </w:rPr>
        <w:t>a</w:t>
      </w:r>
      <w:r>
        <w:rPr/>
        <w:t> </w:t>
      </w:r>
      <w:r>
        <w:rPr>
          <w:spacing w:val="-16"/>
        </w:rPr>
        <w:t> </w:t>
      </w:r>
      <w:r>
        <w:rPr>
          <w:w w:val="105"/>
        </w:rPr>
        <w:t>y</w:t>
      </w:r>
      <w:r>
        <w:rPr/>
        <w:t> </w:t>
      </w:r>
      <w:r>
        <w:rPr>
          <w:spacing w:val="-16"/>
        </w:rPr>
        <w:t> </w:t>
      </w:r>
      <w:r>
        <w:rPr>
          <w:spacing w:val="1"/>
          <w:w w:val="107"/>
        </w:rPr>
        <w:t>e</w:t>
      </w:r>
      <w:r>
        <w:rPr>
          <w:w w:val="107"/>
        </w:rPr>
        <w:t>l</w:t>
      </w:r>
      <w:r>
        <w:rPr/>
        <w:t> </w:t>
      </w:r>
      <w:r>
        <w:rPr>
          <w:spacing w:val="-16"/>
        </w:rPr>
        <w:t> </w:t>
      </w:r>
      <w:r>
        <w:rPr>
          <w:spacing w:val="1"/>
          <w:w w:val="114"/>
        </w:rPr>
        <w:t>Caribe</w:t>
      </w:r>
      <w:r>
        <w:rPr>
          <w:w w:val="114"/>
        </w:rPr>
        <w:t>,</w:t>
      </w:r>
      <w:r>
        <w:rPr/>
        <w:t> </w:t>
      </w:r>
      <w:r>
        <w:rPr>
          <w:spacing w:val="-16"/>
        </w:rPr>
        <w:t> </w:t>
      </w:r>
      <w:r>
        <w:rPr>
          <w:spacing w:val="1"/>
          <w:w w:val="112"/>
        </w:rPr>
        <w:t>un</w:t>
      </w:r>
      <w:r>
        <w:rPr>
          <w:w w:val="112"/>
        </w:rPr>
        <w:t>a</w:t>
      </w:r>
      <w:r>
        <w:rPr/>
        <w:t> </w:t>
      </w:r>
      <w:r>
        <w:rPr>
          <w:spacing w:val="-16"/>
        </w:rPr>
        <w:t> </w:t>
      </w:r>
      <w:r>
        <w:rPr>
          <w:spacing w:val="1"/>
          <w:w w:val="111"/>
        </w:rPr>
        <w:t>asocia</w:t>
      </w:r>
      <w:r>
        <w:rPr>
          <w:w w:val="102"/>
        </w:rPr>
        <w:t>- </w:t>
      </w:r>
      <w:r>
        <w:rPr>
          <w:w w:val="110"/>
        </w:rPr>
        <w:t>da al que denominan como el “</w:t>
      </w:r>
      <w:r>
        <w:rPr>
          <w:i/>
          <w:w w:val="110"/>
        </w:rPr>
        <w:t>cluster </w:t>
      </w:r>
      <w:r>
        <w:rPr>
          <w:w w:val="110"/>
        </w:rPr>
        <w:t>brasileño” y otra al llamado “</w:t>
      </w:r>
      <w:r>
        <w:rPr>
          <w:i/>
          <w:w w:val="110"/>
        </w:rPr>
        <w:t>cluster </w:t>
      </w:r>
      <w:r>
        <w:rPr>
          <w:w w:val="110"/>
        </w:rPr>
        <w:t>mexicano”, que forman parte de un </w:t>
      </w:r>
      <w:r>
        <w:rPr>
          <w:i/>
          <w:w w:val="110"/>
        </w:rPr>
        <w:t>nuevo orden económico   </w:t>
      </w:r>
      <w:r>
        <w:rPr>
          <w:i/>
          <w:w w:val="110"/>
        </w:rPr>
        <w:t>en la</w:t>
      </w:r>
      <w:r>
        <w:rPr>
          <w:i/>
          <w:spacing w:val="8"/>
          <w:w w:val="110"/>
        </w:rPr>
        <w:t> </w:t>
      </w:r>
      <w:r>
        <w:rPr>
          <w:i/>
          <w:w w:val="110"/>
        </w:rPr>
        <w:t>región</w:t>
      </w:r>
      <w:r>
        <w:rPr>
          <w:w w:val="110"/>
        </w:rPr>
        <w:t>.</w:t>
      </w:r>
    </w:p>
    <w:p>
      <w:pPr>
        <w:pStyle w:val="BodyText"/>
        <w:spacing w:line="252" w:lineRule="auto"/>
        <w:ind w:left="330" w:right="117" w:firstLine="396"/>
        <w:jc w:val="both"/>
      </w:pPr>
      <w:r>
        <w:rPr>
          <w:w w:val="110"/>
        </w:rPr>
        <w:t>En general, la mayoría de los autores coincide en que existieron elementos de “desacoplamiento temporal” entre 2007-2008 y en el período de pre-crisis, lo cual puso en cuestión la idea de sincroniza- ción automática e inmediata al ciclo económico de Estados unidos     en</w:t>
      </w:r>
      <w:r>
        <w:rPr>
          <w:spacing w:val="19"/>
          <w:w w:val="110"/>
        </w:rPr>
        <w:t> </w:t>
      </w:r>
      <w:r>
        <w:rPr>
          <w:w w:val="110"/>
        </w:rPr>
        <w:t>un</w:t>
      </w:r>
      <w:r>
        <w:rPr>
          <w:spacing w:val="19"/>
          <w:w w:val="110"/>
        </w:rPr>
        <w:t> </w:t>
      </w:r>
      <w:r>
        <w:rPr>
          <w:w w:val="110"/>
        </w:rPr>
        <w:t>lapso</w:t>
      </w:r>
      <w:r>
        <w:rPr>
          <w:spacing w:val="19"/>
          <w:w w:val="110"/>
        </w:rPr>
        <w:t> </w:t>
      </w:r>
      <w:r>
        <w:rPr>
          <w:w w:val="110"/>
        </w:rPr>
        <w:t>de</w:t>
      </w:r>
      <w:r>
        <w:rPr>
          <w:spacing w:val="19"/>
          <w:w w:val="110"/>
        </w:rPr>
        <w:t> </w:t>
      </w:r>
      <w:r>
        <w:rPr>
          <w:w w:val="110"/>
        </w:rPr>
        <w:t>al</w:t>
      </w:r>
      <w:r>
        <w:rPr>
          <w:spacing w:val="19"/>
          <w:w w:val="110"/>
        </w:rPr>
        <w:t> </w:t>
      </w:r>
      <w:r>
        <w:rPr>
          <w:w w:val="110"/>
        </w:rPr>
        <w:t>menos</w:t>
      </w:r>
      <w:r>
        <w:rPr>
          <w:spacing w:val="19"/>
          <w:w w:val="110"/>
        </w:rPr>
        <w:t> </w:t>
      </w:r>
      <w:r>
        <w:rPr>
          <w:w w:val="110"/>
        </w:rPr>
        <w:t>tres</w:t>
      </w:r>
      <w:r>
        <w:rPr>
          <w:spacing w:val="19"/>
          <w:w w:val="110"/>
        </w:rPr>
        <w:t> </w:t>
      </w:r>
      <w:r>
        <w:rPr>
          <w:w w:val="110"/>
        </w:rPr>
        <w:t>años,</w:t>
      </w:r>
      <w:r>
        <w:rPr>
          <w:spacing w:val="19"/>
          <w:w w:val="110"/>
        </w:rPr>
        <w:t> </w:t>
      </w:r>
      <w:r>
        <w:rPr>
          <w:w w:val="110"/>
        </w:rPr>
        <w:t>y</w:t>
      </w:r>
      <w:r>
        <w:rPr>
          <w:spacing w:val="19"/>
          <w:w w:val="110"/>
        </w:rPr>
        <w:t> </w:t>
      </w:r>
      <w:r>
        <w:rPr>
          <w:w w:val="110"/>
        </w:rPr>
        <w:t>posteriormente,</w:t>
      </w:r>
      <w:r>
        <w:rPr>
          <w:spacing w:val="19"/>
          <w:w w:val="110"/>
        </w:rPr>
        <w:t> </w:t>
      </w:r>
      <w:r>
        <w:rPr>
          <w:w w:val="110"/>
        </w:rPr>
        <w:t>fue</w:t>
      </w:r>
      <w:r>
        <w:rPr>
          <w:spacing w:val="19"/>
          <w:w w:val="110"/>
        </w:rPr>
        <w:t> </w:t>
      </w:r>
      <w:r>
        <w:rPr>
          <w:w w:val="110"/>
        </w:rPr>
        <w:t>seguido</w:t>
      </w:r>
      <w:r>
        <w:rPr>
          <w:spacing w:val="19"/>
          <w:w w:val="110"/>
        </w:rPr>
        <w:t> </w:t>
      </w:r>
      <w:r>
        <w:rPr>
          <w:w w:val="110"/>
        </w:rPr>
        <w:t>de</w:t>
      </w:r>
    </w:p>
    <w:p>
      <w:pPr>
        <w:pStyle w:val="BodyText"/>
        <w:spacing w:before="2"/>
        <w:rPr>
          <w:sz w:val="18"/>
        </w:rPr>
      </w:pPr>
      <w:r>
        <w:rPr/>
        <w:pict>
          <v:line style="position:absolute;mso-position-horizontal-relative:page;mso-position-vertical-relative:paragraph;z-index:8608;mso-wrap-distance-left:0;mso-wrap-distance-right:0" from="76.5354pt,12.860028pt" to="104.8814pt,12.860028pt" stroked="true" strokeweight=".5pt" strokecolor="#000000">
            <w10:wrap type="topAndBottom"/>
          </v:line>
        </w:pict>
      </w:r>
    </w:p>
    <w:p>
      <w:pPr>
        <w:spacing w:line="242" w:lineRule="auto" w:before="89"/>
        <w:ind w:left="330" w:right="117" w:firstLine="0"/>
        <w:jc w:val="both"/>
        <w:rPr>
          <w:sz w:val="16"/>
        </w:rPr>
      </w:pPr>
      <w:r>
        <w:rPr>
          <w:w w:val="110"/>
          <w:sz w:val="16"/>
        </w:rPr>
        <w:t>país, en lugar de a factores comunes que afectan de manera más generalizada a va- rios</w:t>
      </w:r>
      <w:r>
        <w:rPr>
          <w:spacing w:val="-5"/>
          <w:w w:val="110"/>
          <w:sz w:val="16"/>
        </w:rPr>
        <w:t> </w:t>
      </w:r>
      <w:r>
        <w:rPr>
          <w:w w:val="110"/>
          <w:sz w:val="16"/>
        </w:rPr>
        <w:t>países,</w:t>
      </w:r>
      <w:r>
        <w:rPr>
          <w:spacing w:val="-5"/>
          <w:w w:val="110"/>
          <w:sz w:val="16"/>
        </w:rPr>
        <w:t> </w:t>
      </w:r>
      <w:r>
        <w:rPr>
          <w:w w:val="110"/>
          <w:sz w:val="16"/>
        </w:rPr>
        <w:t>como</w:t>
      </w:r>
      <w:r>
        <w:rPr>
          <w:spacing w:val="-5"/>
          <w:w w:val="110"/>
          <w:sz w:val="16"/>
        </w:rPr>
        <w:t> </w:t>
      </w:r>
      <w:r>
        <w:rPr>
          <w:w w:val="110"/>
          <w:sz w:val="16"/>
        </w:rPr>
        <w:t>los</w:t>
      </w:r>
      <w:r>
        <w:rPr>
          <w:spacing w:val="-5"/>
          <w:w w:val="110"/>
          <w:sz w:val="16"/>
        </w:rPr>
        <w:t> </w:t>
      </w:r>
      <w:r>
        <w:rPr>
          <w:w w:val="110"/>
          <w:sz w:val="16"/>
        </w:rPr>
        <w:t>precios</w:t>
      </w:r>
      <w:r>
        <w:rPr>
          <w:spacing w:val="-5"/>
          <w:w w:val="110"/>
          <w:sz w:val="16"/>
        </w:rPr>
        <w:t> </w:t>
      </w:r>
      <w:r>
        <w:rPr>
          <w:w w:val="110"/>
          <w:sz w:val="16"/>
        </w:rPr>
        <w:t>del</w:t>
      </w:r>
      <w:r>
        <w:rPr>
          <w:spacing w:val="-5"/>
          <w:w w:val="110"/>
          <w:sz w:val="16"/>
        </w:rPr>
        <w:t> </w:t>
      </w:r>
      <w:r>
        <w:rPr>
          <w:w w:val="110"/>
          <w:sz w:val="16"/>
        </w:rPr>
        <w:t>petróleo,</w:t>
      </w:r>
      <w:r>
        <w:rPr>
          <w:spacing w:val="-5"/>
          <w:w w:val="110"/>
          <w:sz w:val="16"/>
        </w:rPr>
        <w:t> </w:t>
      </w:r>
      <w:r>
        <w:rPr>
          <w:w w:val="110"/>
          <w:sz w:val="16"/>
        </w:rPr>
        <w:t>el</w:t>
      </w:r>
      <w:r>
        <w:rPr>
          <w:spacing w:val="-5"/>
          <w:w w:val="110"/>
          <w:sz w:val="16"/>
        </w:rPr>
        <w:t> </w:t>
      </w:r>
      <w:r>
        <w:rPr>
          <w:w w:val="110"/>
          <w:sz w:val="16"/>
        </w:rPr>
        <w:t>desarrollo</w:t>
      </w:r>
      <w:r>
        <w:rPr>
          <w:spacing w:val="-5"/>
          <w:w w:val="110"/>
          <w:sz w:val="16"/>
        </w:rPr>
        <w:t> </w:t>
      </w:r>
      <w:r>
        <w:rPr>
          <w:w w:val="110"/>
          <w:sz w:val="16"/>
        </w:rPr>
        <w:t>de</w:t>
      </w:r>
      <w:r>
        <w:rPr>
          <w:spacing w:val="-5"/>
          <w:w w:val="110"/>
          <w:sz w:val="16"/>
        </w:rPr>
        <w:t> </w:t>
      </w:r>
      <w:r>
        <w:rPr>
          <w:w w:val="110"/>
          <w:sz w:val="16"/>
        </w:rPr>
        <w:t>los</w:t>
      </w:r>
      <w:r>
        <w:rPr>
          <w:spacing w:val="-5"/>
          <w:w w:val="110"/>
          <w:sz w:val="16"/>
        </w:rPr>
        <w:t> </w:t>
      </w:r>
      <w:r>
        <w:rPr>
          <w:w w:val="110"/>
          <w:sz w:val="16"/>
        </w:rPr>
        <w:t>mercados</w:t>
      </w:r>
      <w:r>
        <w:rPr>
          <w:spacing w:val="-5"/>
          <w:w w:val="110"/>
          <w:sz w:val="16"/>
        </w:rPr>
        <w:t> </w:t>
      </w:r>
      <w:r>
        <w:rPr>
          <w:w w:val="110"/>
          <w:sz w:val="16"/>
        </w:rPr>
        <w:t>de</w:t>
      </w:r>
      <w:r>
        <w:rPr>
          <w:spacing w:val="-5"/>
          <w:w w:val="110"/>
          <w:sz w:val="16"/>
        </w:rPr>
        <w:t> </w:t>
      </w:r>
      <w:r>
        <w:rPr>
          <w:w w:val="110"/>
          <w:sz w:val="16"/>
        </w:rPr>
        <w:t>acciones, entre</w:t>
      </w:r>
      <w:r>
        <w:rPr>
          <w:spacing w:val="-10"/>
          <w:w w:val="110"/>
          <w:sz w:val="16"/>
        </w:rPr>
        <w:t> </w:t>
      </w:r>
      <w:r>
        <w:rPr>
          <w:w w:val="110"/>
          <w:sz w:val="16"/>
        </w:rPr>
        <w:t>otros;</w:t>
      </w:r>
      <w:r>
        <w:rPr>
          <w:spacing w:val="-10"/>
          <w:w w:val="110"/>
          <w:sz w:val="16"/>
        </w:rPr>
        <w:t> </w:t>
      </w:r>
      <w:r>
        <w:rPr>
          <w:w w:val="110"/>
          <w:sz w:val="16"/>
        </w:rPr>
        <w:t>que</w:t>
      </w:r>
      <w:r>
        <w:rPr>
          <w:spacing w:val="-10"/>
          <w:w w:val="110"/>
          <w:sz w:val="16"/>
        </w:rPr>
        <w:t> </w:t>
      </w:r>
      <w:r>
        <w:rPr>
          <w:w w:val="110"/>
          <w:sz w:val="16"/>
        </w:rPr>
        <w:t>las</w:t>
      </w:r>
      <w:r>
        <w:rPr>
          <w:spacing w:val="-10"/>
          <w:w w:val="110"/>
          <w:sz w:val="16"/>
        </w:rPr>
        <w:t> </w:t>
      </w:r>
      <w:r>
        <w:rPr>
          <w:w w:val="110"/>
          <w:sz w:val="16"/>
        </w:rPr>
        <w:t>implicaciones</w:t>
      </w:r>
      <w:r>
        <w:rPr>
          <w:spacing w:val="-10"/>
          <w:w w:val="110"/>
          <w:sz w:val="16"/>
        </w:rPr>
        <w:t> </w:t>
      </w:r>
      <w:r>
        <w:rPr>
          <w:w w:val="110"/>
          <w:sz w:val="16"/>
        </w:rPr>
        <w:t>de</w:t>
      </w:r>
      <w:r>
        <w:rPr>
          <w:spacing w:val="-10"/>
          <w:w w:val="110"/>
          <w:sz w:val="16"/>
        </w:rPr>
        <w:t> </w:t>
      </w:r>
      <w:r>
        <w:rPr>
          <w:w w:val="110"/>
          <w:sz w:val="16"/>
        </w:rPr>
        <w:t>esa</w:t>
      </w:r>
      <w:r>
        <w:rPr>
          <w:spacing w:val="-10"/>
          <w:w w:val="110"/>
          <w:sz w:val="16"/>
        </w:rPr>
        <w:t> </w:t>
      </w:r>
      <w:r>
        <w:rPr>
          <w:w w:val="110"/>
          <w:sz w:val="16"/>
        </w:rPr>
        <w:t>desaceleración</w:t>
      </w:r>
      <w:r>
        <w:rPr>
          <w:spacing w:val="-10"/>
          <w:w w:val="110"/>
          <w:sz w:val="16"/>
        </w:rPr>
        <w:t> </w:t>
      </w:r>
      <w:r>
        <w:rPr>
          <w:w w:val="110"/>
          <w:sz w:val="16"/>
        </w:rPr>
        <w:t>para</w:t>
      </w:r>
      <w:r>
        <w:rPr>
          <w:spacing w:val="-10"/>
          <w:w w:val="110"/>
          <w:sz w:val="16"/>
        </w:rPr>
        <w:t> </w:t>
      </w:r>
      <w:r>
        <w:rPr>
          <w:w w:val="110"/>
          <w:sz w:val="16"/>
        </w:rPr>
        <w:t>la</w:t>
      </w:r>
      <w:r>
        <w:rPr>
          <w:spacing w:val="-10"/>
          <w:w w:val="110"/>
          <w:sz w:val="16"/>
        </w:rPr>
        <w:t> </w:t>
      </w:r>
      <w:r>
        <w:rPr>
          <w:w w:val="110"/>
          <w:sz w:val="16"/>
        </w:rPr>
        <w:t>demanda</w:t>
      </w:r>
      <w:r>
        <w:rPr>
          <w:spacing w:val="-10"/>
          <w:w w:val="110"/>
          <w:sz w:val="16"/>
        </w:rPr>
        <w:t> </w:t>
      </w:r>
      <w:r>
        <w:rPr>
          <w:w w:val="110"/>
          <w:sz w:val="16"/>
        </w:rPr>
        <w:t>global</w:t>
      </w:r>
      <w:r>
        <w:rPr>
          <w:spacing w:val="-10"/>
          <w:w w:val="110"/>
          <w:sz w:val="16"/>
        </w:rPr>
        <w:t> </w:t>
      </w:r>
      <w:r>
        <w:rPr>
          <w:w w:val="110"/>
          <w:sz w:val="16"/>
        </w:rPr>
        <w:t>pue- den haber sido menores debido a que los vínculos comerciales con Estados unidos han</w:t>
      </w:r>
      <w:r>
        <w:rPr>
          <w:spacing w:val="-10"/>
          <w:w w:val="110"/>
          <w:sz w:val="16"/>
        </w:rPr>
        <w:t> </w:t>
      </w:r>
      <w:r>
        <w:rPr>
          <w:w w:val="110"/>
          <w:sz w:val="16"/>
        </w:rPr>
        <w:t>ido</w:t>
      </w:r>
      <w:r>
        <w:rPr>
          <w:spacing w:val="-10"/>
          <w:w w:val="110"/>
          <w:sz w:val="16"/>
        </w:rPr>
        <w:t> </w:t>
      </w:r>
      <w:r>
        <w:rPr>
          <w:w w:val="110"/>
          <w:sz w:val="16"/>
        </w:rPr>
        <w:t>perdiendo</w:t>
      </w:r>
      <w:r>
        <w:rPr>
          <w:spacing w:val="-10"/>
          <w:w w:val="110"/>
          <w:sz w:val="16"/>
        </w:rPr>
        <w:t> </w:t>
      </w:r>
      <w:r>
        <w:rPr>
          <w:w w:val="110"/>
          <w:sz w:val="16"/>
        </w:rPr>
        <w:t>importancia</w:t>
      </w:r>
      <w:r>
        <w:rPr>
          <w:spacing w:val="-10"/>
          <w:w w:val="110"/>
          <w:sz w:val="16"/>
        </w:rPr>
        <w:t> </w:t>
      </w:r>
      <w:r>
        <w:rPr>
          <w:w w:val="110"/>
          <w:sz w:val="16"/>
        </w:rPr>
        <w:t>para</w:t>
      </w:r>
      <w:r>
        <w:rPr>
          <w:spacing w:val="-10"/>
          <w:w w:val="110"/>
          <w:sz w:val="16"/>
        </w:rPr>
        <w:t> </w:t>
      </w:r>
      <w:r>
        <w:rPr>
          <w:w w:val="110"/>
          <w:sz w:val="16"/>
        </w:rPr>
        <w:t>algunos</w:t>
      </w:r>
      <w:r>
        <w:rPr>
          <w:spacing w:val="-10"/>
          <w:w w:val="110"/>
          <w:sz w:val="16"/>
        </w:rPr>
        <w:t> </w:t>
      </w:r>
      <w:r>
        <w:rPr>
          <w:w w:val="110"/>
          <w:sz w:val="16"/>
        </w:rPr>
        <w:t>países</w:t>
      </w:r>
      <w:r>
        <w:rPr>
          <w:spacing w:val="-10"/>
          <w:w w:val="110"/>
          <w:sz w:val="16"/>
        </w:rPr>
        <w:t> </w:t>
      </w:r>
      <w:r>
        <w:rPr>
          <w:spacing w:val="-9"/>
          <w:w w:val="110"/>
          <w:sz w:val="16"/>
        </w:rPr>
        <w:t>y,</w:t>
      </w:r>
      <w:r>
        <w:rPr>
          <w:spacing w:val="-10"/>
          <w:w w:val="110"/>
          <w:sz w:val="16"/>
        </w:rPr>
        <w:t> </w:t>
      </w:r>
      <w:r>
        <w:rPr>
          <w:w w:val="110"/>
          <w:sz w:val="16"/>
        </w:rPr>
        <w:t>finalmente,</w:t>
      </w:r>
      <w:r>
        <w:rPr>
          <w:spacing w:val="-10"/>
          <w:w w:val="110"/>
          <w:sz w:val="16"/>
        </w:rPr>
        <w:t> </w:t>
      </w:r>
      <w:r>
        <w:rPr>
          <w:w w:val="110"/>
          <w:sz w:val="16"/>
        </w:rPr>
        <w:t>debido</w:t>
      </w:r>
      <w:r>
        <w:rPr>
          <w:spacing w:val="-10"/>
          <w:w w:val="110"/>
          <w:sz w:val="16"/>
        </w:rPr>
        <w:t> </w:t>
      </w:r>
      <w:r>
        <w:rPr>
          <w:w w:val="110"/>
          <w:sz w:val="16"/>
        </w:rPr>
        <w:t>a</w:t>
      </w:r>
      <w:r>
        <w:rPr>
          <w:spacing w:val="-10"/>
          <w:w w:val="110"/>
          <w:sz w:val="16"/>
        </w:rPr>
        <w:t> </w:t>
      </w:r>
      <w:r>
        <w:rPr>
          <w:w w:val="110"/>
          <w:sz w:val="16"/>
        </w:rPr>
        <w:t>que</w:t>
      </w:r>
      <w:r>
        <w:rPr>
          <w:spacing w:val="-10"/>
          <w:w w:val="110"/>
          <w:sz w:val="16"/>
        </w:rPr>
        <w:t> </w:t>
      </w:r>
      <w:r>
        <w:rPr>
          <w:w w:val="110"/>
          <w:sz w:val="16"/>
        </w:rPr>
        <w:t>con</w:t>
      </w:r>
      <w:r>
        <w:rPr>
          <w:spacing w:val="-10"/>
          <w:w w:val="110"/>
          <w:sz w:val="16"/>
        </w:rPr>
        <w:t> </w:t>
      </w:r>
      <w:r>
        <w:rPr>
          <w:w w:val="110"/>
          <w:sz w:val="16"/>
        </w:rPr>
        <w:t>el fortalecimiento</w:t>
      </w:r>
      <w:r>
        <w:rPr>
          <w:spacing w:val="-10"/>
          <w:w w:val="110"/>
          <w:sz w:val="16"/>
        </w:rPr>
        <w:t> </w:t>
      </w:r>
      <w:r>
        <w:rPr>
          <w:w w:val="110"/>
          <w:sz w:val="16"/>
        </w:rPr>
        <w:t>de</w:t>
      </w:r>
      <w:r>
        <w:rPr>
          <w:spacing w:val="-10"/>
          <w:w w:val="110"/>
          <w:sz w:val="16"/>
        </w:rPr>
        <w:t> </w:t>
      </w:r>
      <w:r>
        <w:rPr>
          <w:w w:val="110"/>
          <w:sz w:val="16"/>
        </w:rPr>
        <w:t>la</w:t>
      </w:r>
      <w:r>
        <w:rPr>
          <w:spacing w:val="-10"/>
          <w:w w:val="110"/>
          <w:sz w:val="16"/>
        </w:rPr>
        <w:t> </w:t>
      </w:r>
      <w:r>
        <w:rPr>
          <w:w w:val="110"/>
          <w:sz w:val="16"/>
        </w:rPr>
        <w:t>demanda</w:t>
      </w:r>
      <w:r>
        <w:rPr>
          <w:spacing w:val="-10"/>
          <w:w w:val="110"/>
          <w:sz w:val="16"/>
        </w:rPr>
        <w:t> </w:t>
      </w:r>
      <w:r>
        <w:rPr>
          <w:w w:val="110"/>
          <w:sz w:val="16"/>
        </w:rPr>
        <w:t>en</w:t>
      </w:r>
      <w:r>
        <w:rPr>
          <w:spacing w:val="-10"/>
          <w:w w:val="110"/>
          <w:sz w:val="16"/>
        </w:rPr>
        <w:t> </w:t>
      </w:r>
      <w:r>
        <w:rPr>
          <w:w w:val="110"/>
          <w:sz w:val="16"/>
        </w:rPr>
        <w:t>las</w:t>
      </w:r>
      <w:r>
        <w:rPr>
          <w:spacing w:val="-10"/>
          <w:w w:val="110"/>
          <w:sz w:val="16"/>
        </w:rPr>
        <w:t> </w:t>
      </w:r>
      <w:r>
        <w:rPr>
          <w:w w:val="110"/>
          <w:sz w:val="16"/>
        </w:rPr>
        <w:t>economías</w:t>
      </w:r>
      <w:r>
        <w:rPr>
          <w:spacing w:val="-10"/>
          <w:w w:val="110"/>
          <w:sz w:val="16"/>
        </w:rPr>
        <w:t> </w:t>
      </w:r>
      <w:r>
        <w:rPr>
          <w:w w:val="110"/>
          <w:sz w:val="16"/>
        </w:rPr>
        <w:t>emergentes,</w:t>
      </w:r>
      <w:r>
        <w:rPr>
          <w:spacing w:val="-10"/>
          <w:w w:val="110"/>
          <w:sz w:val="16"/>
        </w:rPr>
        <w:t> </w:t>
      </w:r>
      <w:r>
        <w:rPr>
          <w:w w:val="110"/>
          <w:sz w:val="16"/>
        </w:rPr>
        <w:t>el</w:t>
      </w:r>
      <w:r>
        <w:rPr>
          <w:spacing w:val="-10"/>
          <w:w w:val="110"/>
          <w:sz w:val="16"/>
        </w:rPr>
        <w:t> </w:t>
      </w:r>
      <w:r>
        <w:rPr>
          <w:w w:val="110"/>
          <w:sz w:val="16"/>
        </w:rPr>
        <w:t>crecimiento</w:t>
      </w:r>
      <w:r>
        <w:rPr>
          <w:spacing w:val="-10"/>
          <w:w w:val="110"/>
          <w:sz w:val="16"/>
        </w:rPr>
        <w:t> </w:t>
      </w:r>
      <w:r>
        <w:rPr>
          <w:w w:val="110"/>
          <w:sz w:val="16"/>
        </w:rPr>
        <w:t>mundial debería</w:t>
      </w:r>
      <w:r>
        <w:rPr>
          <w:spacing w:val="-7"/>
          <w:w w:val="110"/>
          <w:sz w:val="16"/>
        </w:rPr>
        <w:t> </w:t>
      </w:r>
      <w:r>
        <w:rPr>
          <w:w w:val="110"/>
          <w:sz w:val="16"/>
        </w:rPr>
        <w:t>ser</w:t>
      </w:r>
      <w:r>
        <w:rPr>
          <w:spacing w:val="-7"/>
          <w:w w:val="110"/>
          <w:sz w:val="16"/>
        </w:rPr>
        <w:t> </w:t>
      </w:r>
      <w:r>
        <w:rPr>
          <w:w w:val="110"/>
          <w:sz w:val="16"/>
        </w:rPr>
        <w:t>más</w:t>
      </w:r>
      <w:r>
        <w:rPr>
          <w:spacing w:val="-7"/>
          <w:w w:val="110"/>
          <w:sz w:val="16"/>
        </w:rPr>
        <w:t> </w:t>
      </w:r>
      <w:r>
        <w:rPr>
          <w:w w:val="110"/>
          <w:sz w:val="16"/>
        </w:rPr>
        <w:t>resistente</w:t>
      </w:r>
      <w:r>
        <w:rPr>
          <w:spacing w:val="-7"/>
          <w:w w:val="110"/>
          <w:sz w:val="16"/>
        </w:rPr>
        <w:t> </w:t>
      </w:r>
      <w:r>
        <w:rPr>
          <w:w w:val="110"/>
          <w:sz w:val="16"/>
        </w:rPr>
        <w:t>que</w:t>
      </w:r>
      <w:r>
        <w:rPr>
          <w:spacing w:val="-7"/>
          <w:w w:val="110"/>
          <w:sz w:val="16"/>
        </w:rPr>
        <w:t> </w:t>
      </w:r>
      <w:r>
        <w:rPr>
          <w:w w:val="110"/>
          <w:sz w:val="16"/>
        </w:rPr>
        <w:t>en</w:t>
      </w:r>
      <w:r>
        <w:rPr>
          <w:spacing w:val="-7"/>
          <w:w w:val="110"/>
          <w:sz w:val="16"/>
        </w:rPr>
        <w:t> </w:t>
      </w:r>
      <w:r>
        <w:rPr>
          <w:w w:val="110"/>
          <w:sz w:val="16"/>
        </w:rPr>
        <w:t>el</w:t>
      </w:r>
      <w:r>
        <w:rPr>
          <w:spacing w:val="-7"/>
          <w:w w:val="110"/>
          <w:sz w:val="16"/>
        </w:rPr>
        <w:t> </w:t>
      </w:r>
      <w:r>
        <w:rPr>
          <w:w w:val="110"/>
          <w:sz w:val="16"/>
        </w:rPr>
        <w:t>pasado</w:t>
      </w:r>
      <w:r>
        <w:rPr>
          <w:spacing w:val="-7"/>
          <w:w w:val="110"/>
          <w:sz w:val="16"/>
        </w:rPr>
        <w:t> </w:t>
      </w:r>
      <w:r>
        <w:rPr>
          <w:w w:val="110"/>
          <w:sz w:val="16"/>
        </w:rPr>
        <w:t>(FMi,</w:t>
      </w:r>
      <w:r>
        <w:rPr>
          <w:spacing w:val="-7"/>
          <w:w w:val="110"/>
          <w:sz w:val="16"/>
        </w:rPr>
        <w:t> </w:t>
      </w:r>
      <w:r>
        <w:rPr>
          <w:w w:val="110"/>
          <w:sz w:val="16"/>
        </w:rPr>
        <w:t>2008).</w:t>
      </w:r>
    </w:p>
    <w:p>
      <w:pPr>
        <w:spacing w:after="0" w:line="242" w:lineRule="auto"/>
        <w:jc w:val="both"/>
        <w:rPr>
          <w:sz w:val="16"/>
        </w:rPr>
        <w:sectPr>
          <w:footerReference w:type="even" r:id="rId541"/>
          <w:footerReference w:type="default" r:id="rId542"/>
          <w:pgSz w:w="8790" w:h="12760"/>
          <w:pgMar w:footer="725" w:header="697" w:top="880" w:bottom="920" w:left="1200" w:right="900"/>
          <w:pgNumType w:start="422"/>
        </w:sectPr>
      </w:pPr>
    </w:p>
    <w:p>
      <w:pPr>
        <w:pStyle w:val="BodyText"/>
        <w:spacing w:before="9"/>
        <w:rPr>
          <w:sz w:val="28"/>
        </w:rPr>
      </w:pPr>
    </w:p>
    <w:p>
      <w:pPr>
        <w:pStyle w:val="BodyText"/>
        <w:spacing w:line="252" w:lineRule="auto" w:before="73"/>
        <w:ind w:left="120" w:right="327"/>
        <w:jc w:val="both"/>
      </w:pPr>
      <w:r>
        <w:rPr>
          <w:w w:val="110"/>
        </w:rPr>
        <w:t>un relativo “reacoplamiento o </w:t>
      </w:r>
      <w:r>
        <w:rPr>
          <w:i/>
          <w:w w:val="110"/>
        </w:rPr>
        <w:t>recoupling</w:t>
      </w:r>
      <w:r>
        <w:rPr>
          <w:w w:val="110"/>
        </w:rPr>
        <w:t>” diferenciado por regiones y países. sin embargo, resulta sumamente interesante cómo para rossi (2008) podría ser muy pronto para rechazar completamente la tesis del “desacoplamiento”, no por ella misma sino en su relación con un panorama económico mundial a largo plazo. si bien este panorama   no necesariamente tiene que implicar una materialización del “des- acoplamiento”, da cuenta de un escenario global en transformación, con incidencia sobre la sincronía de los ciclos y los mecanismos de transmisión entre las economías. Esta idea es apoyada también por </w:t>
      </w:r>
      <w:r>
        <w:rPr>
          <w:w w:val="243"/>
        </w:rPr>
        <w:t>l</w:t>
      </w:r>
      <w:r>
        <w:rPr>
          <w:w w:val="103"/>
        </w:rPr>
        <w:t>evy</w:t>
      </w:r>
      <w:r>
        <w:rPr/>
        <w:t> </w:t>
      </w:r>
      <w:r>
        <w:rPr>
          <w:spacing w:val="-4"/>
        </w:rPr>
        <w:t> </w:t>
      </w:r>
      <w:r>
        <w:rPr>
          <w:w w:val="105"/>
        </w:rPr>
        <w:t>y</w:t>
      </w:r>
      <w:r>
        <w:rPr/>
        <w:t> </w:t>
      </w:r>
      <w:r>
        <w:rPr>
          <w:spacing w:val="-4"/>
        </w:rPr>
        <w:t> </w:t>
      </w:r>
      <w:r>
        <w:rPr>
          <w:spacing w:val="-8"/>
          <w:w w:val="110"/>
        </w:rPr>
        <w:t>W</w:t>
      </w:r>
      <w:r>
        <w:rPr>
          <w:w w:val="112"/>
        </w:rPr>
        <w:t>illiams</w:t>
      </w:r>
      <w:r>
        <w:rPr/>
        <w:t> </w:t>
      </w:r>
      <w:r>
        <w:rPr>
          <w:spacing w:val="-4"/>
        </w:rPr>
        <w:t> </w:t>
      </w:r>
      <w:r>
        <w:rPr>
          <w:w w:val="103"/>
        </w:rPr>
        <w:t>(2012),</w:t>
      </w:r>
      <w:r>
        <w:rPr/>
        <w:t> </w:t>
      </w:r>
      <w:r>
        <w:rPr>
          <w:spacing w:val="-4"/>
        </w:rPr>
        <w:t> </w:t>
      </w:r>
      <w:r>
        <w:rPr>
          <w:w w:val="108"/>
        </w:rPr>
        <w:t>quienes</w:t>
      </w:r>
      <w:r>
        <w:rPr/>
        <w:t> </w:t>
      </w:r>
      <w:r>
        <w:rPr>
          <w:spacing w:val="-4"/>
        </w:rPr>
        <w:t> </w:t>
      </w:r>
      <w:r>
        <w:rPr>
          <w:w w:val="110"/>
        </w:rPr>
        <w:t>comprueban</w:t>
      </w:r>
      <w:r>
        <w:rPr/>
        <w:t> </w:t>
      </w:r>
      <w:r>
        <w:rPr>
          <w:spacing w:val="-4"/>
        </w:rPr>
        <w:t> </w:t>
      </w:r>
      <w:r>
        <w:rPr>
          <w:w w:val="108"/>
        </w:rPr>
        <w:t>en</w:t>
      </w:r>
      <w:r>
        <w:rPr/>
        <w:t> </w:t>
      </w:r>
      <w:r>
        <w:rPr>
          <w:spacing w:val="-4"/>
        </w:rPr>
        <w:t> </w:t>
      </w:r>
      <w:r>
        <w:rPr>
          <w:w w:val="112"/>
        </w:rPr>
        <w:t>un</w:t>
      </w:r>
      <w:r>
        <w:rPr/>
        <w:t> </w:t>
      </w:r>
      <w:r>
        <w:rPr>
          <w:spacing w:val="-4"/>
        </w:rPr>
        <w:t> </w:t>
      </w:r>
      <w:r>
        <w:rPr>
          <w:w w:val="110"/>
        </w:rPr>
        <w:t>análisis</w:t>
      </w:r>
      <w:r>
        <w:rPr/>
        <w:t> </w:t>
      </w:r>
      <w:r>
        <w:rPr>
          <w:spacing w:val="-4"/>
        </w:rPr>
        <w:t> </w:t>
      </w:r>
      <w:r>
        <w:rPr>
          <w:w w:val="108"/>
        </w:rPr>
        <w:t>en</w:t>
      </w:r>
      <w:r>
        <w:rPr/>
        <w:t> </w:t>
      </w:r>
      <w:r>
        <w:rPr>
          <w:spacing w:val="-4"/>
        </w:rPr>
        <w:t> </w:t>
      </w:r>
      <w:r>
        <w:rPr>
          <w:w w:val="108"/>
        </w:rPr>
        <w:t>dos </w:t>
      </w:r>
      <w:r>
        <w:rPr>
          <w:w w:val="110"/>
        </w:rPr>
        <w:t>niveles la existencia de un “desacoplamiento real” que coincide con</w:t>
      </w:r>
      <w:r>
        <w:rPr>
          <w:spacing w:val="-13"/>
          <w:w w:val="110"/>
        </w:rPr>
        <w:t> </w:t>
      </w:r>
      <w:r>
        <w:rPr>
          <w:w w:val="110"/>
        </w:rPr>
        <w:t>un “reacoplamiento</w:t>
      </w:r>
      <w:r>
        <w:rPr>
          <w:spacing w:val="30"/>
          <w:w w:val="110"/>
        </w:rPr>
        <w:t> </w:t>
      </w:r>
      <w:r>
        <w:rPr>
          <w:w w:val="110"/>
        </w:rPr>
        <w:t>financiero”.</w:t>
      </w:r>
    </w:p>
    <w:p>
      <w:pPr>
        <w:pStyle w:val="BodyText"/>
        <w:spacing w:line="252" w:lineRule="auto"/>
        <w:ind w:left="120" w:right="325" w:firstLine="396"/>
        <w:jc w:val="both"/>
        <w:rPr>
          <w:i/>
        </w:rPr>
      </w:pPr>
      <w:r>
        <w:rPr>
          <w:w w:val="110"/>
        </w:rPr>
        <w:t>En general, la importancia de la teoría del </w:t>
      </w:r>
      <w:r>
        <w:rPr>
          <w:i/>
          <w:w w:val="110"/>
        </w:rPr>
        <w:t>desacoplamiento </w:t>
      </w:r>
      <w:r>
        <w:rPr>
          <w:w w:val="110"/>
        </w:rPr>
        <w:t>– verificada  o  no–  no  radica,  exclusivamente,  en  el  episodio  a  corto y mediano plazo, sino en su relevancia para la recuperación y las tendencias de largo plazo y como señal de los cambios que podrían estar desarrollándose de cara al  futuro.  El  incremento  del  comer- cio  sur-sur</w:t>
      </w:r>
      <w:r>
        <w:rPr>
          <w:w w:val="110"/>
          <w:position w:val="6"/>
          <w:sz w:val="11"/>
        </w:rPr>
        <w:t>16</w:t>
      </w:r>
      <w:r>
        <w:rPr>
          <w:w w:val="110"/>
        </w:rPr>
        <w:t>,  mayor  rol  de  las  economías  emergentes  como  China e india en la economía mundial, extendido a la participación de sus mercados domésticos, la emergencia de agrupaciones geopolíticas como los </w:t>
      </w:r>
      <w:r>
        <w:rPr>
          <w:w w:val="150"/>
        </w:rPr>
        <w:t>briCs, </w:t>
      </w:r>
      <w:r>
        <w:rPr>
          <w:w w:val="110"/>
        </w:rPr>
        <w:t>el contexto de declinación hegemónica en el campo de la economía de Estados unidos, marcan el inicio de importantes cambios en los comienzos del siglo </w:t>
      </w:r>
      <w:r>
        <w:rPr>
          <w:w w:val="150"/>
        </w:rPr>
        <w:t>xxi </w:t>
      </w:r>
      <w:r>
        <w:rPr>
          <w:w w:val="110"/>
        </w:rPr>
        <w:t>y un potencial significativo </w:t>
      </w:r>
      <w:r>
        <w:rPr>
          <w:spacing w:val="1"/>
          <w:w w:val="109"/>
        </w:rPr>
        <w:t>par</w:t>
      </w:r>
      <w:r>
        <w:rPr>
          <w:w w:val="109"/>
        </w:rPr>
        <w:t>a</w:t>
      </w:r>
      <w:r>
        <w:rPr>
          <w:spacing w:val="5"/>
        </w:rPr>
        <w:t> </w:t>
      </w:r>
      <w:r>
        <w:rPr>
          <w:spacing w:val="1"/>
          <w:w w:val="111"/>
        </w:rPr>
        <w:t>modi</w:t>
      </w:r>
      <w:r>
        <w:rPr>
          <w:w w:val="104"/>
        </w:rPr>
        <w:t>fi</w:t>
      </w:r>
      <w:r>
        <w:rPr>
          <w:spacing w:val="1"/>
          <w:w w:val="111"/>
        </w:rPr>
        <w:t>ca</w:t>
      </w:r>
      <w:r>
        <w:rPr>
          <w:w w:val="111"/>
        </w:rPr>
        <w:t>r</w:t>
      </w:r>
      <w:r>
        <w:rPr>
          <w:spacing w:val="5"/>
        </w:rPr>
        <w:t> </w:t>
      </w:r>
      <w:r>
        <w:rPr>
          <w:spacing w:val="1"/>
          <w:w w:val="108"/>
        </w:rPr>
        <w:t>aspecto</w:t>
      </w:r>
      <w:r>
        <w:rPr>
          <w:w w:val="108"/>
        </w:rPr>
        <w:t>s</w:t>
      </w:r>
      <w:r>
        <w:rPr>
          <w:spacing w:val="5"/>
        </w:rPr>
        <w:t> </w:t>
      </w:r>
      <w:r>
        <w:rPr>
          <w:spacing w:val="1"/>
          <w:w w:val="106"/>
        </w:rPr>
        <w:t>relevante</w:t>
      </w:r>
      <w:r>
        <w:rPr>
          <w:w w:val="106"/>
        </w:rPr>
        <w:t>s</w:t>
      </w:r>
      <w:r>
        <w:rPr>
          <w:spacing w:val="5"/>
        </w:rPr>
        <w:t> </w:t>
      </w:r>
      <w:r>
        <w:rPr>
          <w:spacing w:val="1"/>
          <w:w w:val="108"/>
        </w:rPr>
        <w:t>e</w:t>
      </w:r>
      <w:r>
        <w:rPr>
          <w:w w:val="108"/>
        </w:rPr>
        <w:t>n</w:t>
      </w:r>
      <w:r>
        <w:rPr>
          <w:spacing w:val="5"/>
        </w:rPr>
        <w:t> </w:t>
      </w:r>
      <w:r>
        <w:rPr>
          <w:spacing w:val="1"/>
          <w:w w:val="107"/>
        </w:rPr>
        <w:t>e</w:t>
      </w:r>
      <w:r>
        <w:rPr>
          <w:w w:val="107"/>
        </w:rPr>
        <w:t>l</w:t>
      </w:r>
      <w:r>
        <w:rPr>
          <w:spacing w:val="5"/>
        </w:rPr>
        <w:t> </w:t>
      </w:r>
      <w:r>
        <w:rPr>
          <w:spacing w:val="1"/>
          <w:w w:val="109"/>
        </w:rPr>
        <w:t>escenari</w:t>
      </w:r>
      <w:r>
        <w:rPr>
          <w:w w:val="109"/>
        </w:rPr>
        <w:t>o</w:t>
      </w:r>
      <w:r>
        <w:rPr>
          <w:spacing w:val="5"/>
        </w:rPr>
        <w:t> </w:t>
      </w:r>
      <w:r>
        <w:rPr>
          <w:spacing w:val="1"/>
          <w:w w:val="113"/>
        </w:rPr>
        <w:t>global</w:t>
      </w:r>
      <w:r>
        <w:rPr>
          <w:w w:val="113"/>
        </w:rPr>
        <w:t>.</w:t>
      </w:r>
      <w:r>
        <w:rPr>
          <w:spacing w:val="5"/>
        </w:rPr>
        <w:t> </w:t>
      </w:r>
      <w:r>
        <w:rPr>
          <w:spacing w:val="1"/>
          <w:w w:val="243"/>
        </w:rPr>
        <w:t>l</w:t>
      </w:r>
      <w:r>
        <w:rPr>
          <w:w w:val="112"/>
        </w:rPr>
        <w:t>a</w:t>
      </w:r>
      <w:r>
        <w:rPr>
          <w:spacing w:val="5"/>
        </w:rPr>
        <w:t> </w:t>
      </w:r>
      <w:r>
        <w:rPr>
          <w:spacing w:val="1"/>
          <w:w w:val="109"/>
        </w:rPr>
        <w:t>división </w:t>
      </w:r>
      <w:r>
        <w:rPr>
          <w:w w:val="110"/>
        </w:rPr>
        <w:t>internacional del trabajo tradicional a inicios del siglo </w:t>
      </w:r>
      <w:r>
        <w:rPr>
          <w:w w:val="150"/>
        </w:rPr>
        <w:t>xx </w:t>
      </w:r>
      <w:r>
        <w:rPr>
          <w:w w:val="110"/>
        </w:rPr>
        <w:t>se basaba en un grupo de países subdesarrollados o del sur que exportaban materias primas y un Norte que exportaba manufacturas; desde en- tonces, y especialmente en el marco del siglo </w:t>
      </w:r>
      <w:r>
        <w:rPr>
          <w:w w:val="150"/>
        </w:rPr>
        <w:t>xxi, </w:t>
      </w:r>
      <w:r>
        <w:rPr>
          <w:w w:val="110"/>
        </w:rPr>
        <w:t>esa división del trabajo se ha complejizado. El contexto actual muestra síntomas de  un desplazamiento parcial en la localización del dinamismo econó- mico (que no debe ser confundido con </w:t>
      </w:r>
      <w:r>
        <w:rPr>
          <w:i/>
          <w:w w:val="110"/>
        </w:rPr>
        <w:t>poder económico</w:t>
      </w:r>
      <w:r>
        <w:rPr>
          <w:w w:val="110"/>
        </w:rPr>
        <w:t>) hacia eco- nomías que han sido etiquetadas como </w:t>
      </w:r>
      <w:r>
        <w:rPr>
          <w:i/>
          <w:w w:val="110"/>
        </w:rPr>
        <w:t>periféricas</w:t>
      </w:r>
      <w:r>
        <w:rPr>
          <w:w w:val="110"/>
        </w:rPr>
        <w:t>, </w:t>
      </w:r>
      <w:r>
        <w:rPr>
          <w:i/>
          <w:w w:val="110"/>
        </w:rPr>
        <w:t>subdesarrolladas</w:t>
      </w:r>
      <w:r>
        <w:rPr>
          <w:w w:val="110"/>
        </w:rPr>
        <w:t>, </w:t>
      </w:r>
      <w:r>
        <w:rPr>
          <w:i/>
          <w:w w:val="110"/>
        </w:rPr>
        <w:t>emergentes </w:t>
      </w:r>
      <w:r>
        <w:rPr>
          <w:w w:val="110"/>
        </w:rPr>
        <w:t>o del </w:t>
      </w:r>
      <w:r>
        <w:rPr>
          <w:i/>
          <w:w w:val="110"/>
        </w:rPr>
        <w:t>Sur </w:t>
      </w:r>
      <w:r>
        <w:rPr>
          <w:i/>
          <w:spacing w:val="13"/>
          <w:w w:val="110"/>
        </w:rPr>
        <w:t> </w:t>
      </w:r>
      <w:r>
        <w:rPr>
          <w:i/>
          <w:w w:val="110"/>
        </w:rPr>
        <w:t>Global</w:t>
      </w:r>
      <w:r>
        <w:rPr>
          <w:i/>
          <w:w w:val="110"/>
          <w:position w:val="6"/>
          <w:sz w:val="11"/>
        </w:rPr>
        <w:t>17</w:t>
      </w:r>
      <w:r>
        <w:rPr>
          <w:i/>
          <w:w w:val="110"/>
        </w:rPr>
        <w:t>.</w:t>
      </w:r>
    </w:p>
    <w:p>
      <w:pPr>
        <w:pStyle w:val="BodyText"/>
        <w:spacing w:before="7"/>
        <w:rPr>
          <w:i/>
          <w:sz w:val="24"/>
        </w:rPr>
      </w:pPr>
      <w:r>
        <w:rPr/>
        <w:pict>
          <v:line style="position:absolute;mso-position-horizontal-relative:page;mso-position-vertical-relative:paragraph;z-index:8632;mso-wrap-distance-left:0;mso-wrap-distance-right:0" from="51.023602pt,16.625435pt" to="79.369602pt,16.625435pt" stroked="true" strokeweight=".5pt" strokecolor="#000000">
            <w10:wrap type="topAndBottom"/>
          </v:line>
        </w:pict>
      </w:r>
    </w:p>
    <w:p>
      <w:pPr>
        <w:pStyle w:val="ListParagraph"/>
        <w:numPr>
          <w:ilvl w:val="0"/>
          <w:numId w:val="35"/>
        </w:numPr>
        <w:tabs>
          <w:tab w:pos="376" w:val="left" w:leader="none"/>
        </w:tabs>
        <w:spacing w:line="242" w:lineRule="auto" w:before="89" w:after="0"/>
        <w:ind w:left="120" w:right="328" w:firstLine="0"/>
        <w:jc w:val="both"/>
        <w:rPr>
          <w:sz w:val="16"/>
        </w:rPr>
      </w:pPr>
      <w:r>
        <w:rPr>
          <w:w w:val="105"/>
          <w:sz w:val="16"/>
        </w:rPr>
        <w:t>En las últimas dos décadas  el  comercio  </w:t>
      </w:r>
      <w:r>
        <w:rPr>
          <w:i/>
          <w:w w:val="105"/>
          <w:sz w:val="16"/>
        </w:rPr>
        <w:t>Sur-Sur  </w:t>
      </w:r>
      <w:r>
        <w:rPr>
          <w:w w:val="105"/>
          <w:sz w:val="16"/>
        </w:rPr>
        <w:t>creció  cuatro  veces  más  rá-  pido que el comercio </w:t>
      </w:r>
      <w:r>
        <w:rPr>
          <w:i/>
          <w:w w:val="105"/>
          <w:sz w:val="16"/>
        </w:rPr>
        <w:t>Norte-Sur</w:t>
      </w:r>
      <w:r>
        <w:rPr>
          <w:w w:val="105"/>
          <w:sz w:val="16"/>
        </w:rPr>
        <w:t>. asimismo, encuentran que desde 1980 y hasta 2008, las exportaciones entre naciones en desarrollo se duplicaron, lo que pareciera estar conformando un nuevo patrón de comercio internacional. de cara al futuro habría     </w:t>
      </w:r>
      <w:r>
        <w:rPr>
          <w:spacing w:val="37"/>
          <w:w w:val="105"/>
          <w:sz w:val="16"/>
        </w:rPr>
        <w:t> </w:t>
      </w:r>
      <w:r>
        <w:rPr>
          <w:w w:val="105"/>
          <w:sz w:val="16"/>
        </w:rPr>
        <w:t>de todas maneras que comprobar hasta qué punto el crecimiento económico de estos países estará propulsado por la demanda doméstica y el comercio sur-sur en lugar   </w:t>
      </w:r>
      <w:r>
        <w:rPr>
          <w:spacing w:val="37"/>
          <w:w w:val="105"/>
          <w:sz w:val="16"/>
        </w:rPr>
        <w:t> </w:t>
      </w:r>
      <w:r>
        <w:rPr>
          <w:w w:val="105"/>
          <w:sz w:val="16"/>
        </w:rPr>
        <w:t>del canal tradicional Norte-sur (Murshed </w:t>
      </w:r>
      <w:r>
        <w:rPr>
          <w:i/>
          <w:w w:val="105"/>
          <w:sz w:val="16"/>
        </w:rPr>
        <w:t>et al.</w:t>
      </w:r>
      <w:r>
        <w:rPr>
          <w:w w:val="105"/>
          <w:sz w:val="16"/>
        </w:rPr>
        <w:t>,    </w:t>
      </w:r>
      <w:r>
        <w:rPr>
          <w:spacing w:val="10"/>
          <w:w w:val="105"/>
          <w:sz w:val="16"/>
        </w:rPr>
        <w:t> </w:t>
      </w:r>
      <w:r>
        <w:rPr>
          <w:w w:val="105"/>
          <w:sz w:val="16"/>
        </w:rPr>
        <w:t>2011).</w:t>
      </w:r>
    </w:p>
    <w:p>
      <w:pPr>
        <w:pStyle w:val="ListParagraph"/>
        <w:numPr>
          <w:ilvl w:val="0"/>
          <w:numId w:val="35"/>
        </w:numPr>
        <w:tabs>
          <w:tab w:pos="376" w:val="left" w:leader="none"/>
        </w:tabs>
        <w:spacing w:line="242" w:lineRule="auto" w:before="57" w:after="0"/>
        <w:ind w:left="120" w:right="328" w:firstLine="0"/>
        <w:jc w:val="both"/>
        <w:rPr>
          <w:sz w:val="16"/>
        </w:rPr>
      </w:pPr>
      <w:r>
        <w:rPr>
          <w:w w:val="110"/>
          <w:sz w:val="16"/>
        </w:rPr>
        <w:t>sobre estas categorías, véase la interesante discusión de sidaway (2012) so-  bre</w:t>
      </w:r>
      <w:r>
        <w:rPr>
          <w:spacing w:val="-8"/>
          <w:w w:val="110"/>
          <w:sz w:val="16"/>
        </w:rPr>
        <w:t> </w:t>
      </w:r>
      <w:r>
        <w:rPr>
          <w:w w:val="110"/>
          <w:sz w:val="16"/>
        </w:rPr>
        <w:t>las</w:t>
      </w:r>
      <w:r>
        <w:rPr>
          <w:spacing w:val="-8"/>
          <w:w w:val="110"/>
          <w:sz w:val="16"/>
        </w:rPr>
        <w:t> </w:t>
      </w:r>
      <w:r>
        <w:rPr>
          <w:w w:val="110"/>
          <w:sz w:val="16"/>
        </w:rPr>
        <w:t>nuevas</w:t>
      </w:r>
      <w:r>
        <w:rPr>
          <w:spacing w:val="-8"/>
          <w:w w:val="110"/>
          <w:sz w:val="16"/>
        </w:rPr>
        <w:t> </w:t>
      </w:r>
      <w:r>
        <w:rPr>
          <w:w w:val="110"/>
          <w:sz w:val="16"/>
        </w:rPr>
        <w:t>geografías</w:t>
      </w:r>
      <w:r>
        <w:rPr>
          <w:spacing w:val="-8"/>
          <w:w w:val="110"/>
          <w:sz w:val="16"/>
        </w:rPr>
        <w:t> </w:t>
      </w:r>
      <w:r>
        <w:rPr>
          <w:w w:val="110"/>
          <w:sz w:val="16"/>
        </w:rPr>
        <w:t>del</w:t>
      </w:r>
      <w:r>
        <w:rPr>
          <w:spacing w:val="-8"/>
          <w:w w:val="110"/>
          <w:sz w:val="16"/>
        </w:rPr>
        <w:t> </w:t>
      </w:r>
      <w:r>
        <w:rPr>
          <w:w w:val="110"/>
          <w:sz w:val="16"/>
        </w:rPr>
        <w:t>desarrollo,</w:t>
      </w:r>
      <w:r>
        <w:rPr>
          <w:spacing w:val="-8"/>
          <w:w w:val="110"/>
          <w:sz w:val="16"/>
        </w:rPr>
        <w:t> </w:t>
      </w:r>
      <w:r>
        <w:rPr>
          <w:w w:val="110"/>
          <w:sz w:val="16"/>
        </w:rPr>
        <w:t>nuevos</w:t>
      </w:r>
      <w:r>
        <w:rPr>
          <w:spacing w:val="-8"/>
          <w:w w:val="110"/>
          <w:sz w:val="16"/>
        </w:rPr>
        <w:t> </w:t>
      </w:r>
      <w:r>
        <w:rPr>
          <w:w w:val="110"/>
          <w:sz w:val="16"/>
        </w:rPr>
        <w:t>mapas</w:t>
      </w:r>
      <w:r>
        <w:rPr>
          <w:spacing w:val="-8"/>
          <w:w w:val="110"/>
          <w:sz w:val="16"/>
        </w:rPr>
        <w:t> </w:t>
      </w:r>
      <w:r>
        <w:rPr>
          <w:w w:val="110"/>
          <w:sz w:val="16"/>
        </w:rPr>
        <w:t>y</w:t>
      </w:r>
      <w:r>
        <w:rPr>
          <w:spacing w:val="-8"/>
          <w:w w:val="110"/>
          <w:sz w:val="16"/>
        </w:rPr>
        <w:t> </w:t>
      </w:r>
      <w:r>
        <w:rPr>
          <w:w w:val="110"/>
          <w:sz w:val="16"/>
        </w:rPr>
        <w:t>nuevas</w:t>
      </w:r>
      <w:r>
        <w:rPr>
          <w:spacing w:val="-8"/>
          <w:w w:val="110"/>
          <w:sz w:val="16"/>
        </w:rPr>
        <w:t> </w:t>
      </w:r>
      <w:r>
        <w:rPr>
          <w:w w:val="110"/>
          <w:sz w:val="16"/>
        </w:rPr>
        <w:t>visiones,</w:t>
      </w:r>
      <w:r>
        <w:rPr>
          <w:spacing w:val="-8"/>
          <w:w w:val="110"/>
          <w:sz w:val="16"/>
        </w:rPr>
        <w:t> </w:t>
      </w:r>
      <w:r>
        <w:rPr>
          <w:w w:val="110"/>
          <w:sz w:val="16"/>
        </w:rPr>
        <w:t>que</w:t>
      </w:r>
      <w:r>
        <w:rPr>
          <w:spacing w:val="-8"/>
          <w:w w:val="110"/>
          <w:sz w:val="16"/>
        </w:rPr>
        <w:t> </w:t>
      </w:r>
      <w:r>
        <w:rPr>
          <w:w w:val="110"/>
          <w:sz w:val="16"/>
        </w:rPr>
        <w:t>critica el</w:t>
      </w:r>
      <w:r>
        <w:rPr>
          <w:spacing w:val="10"/>
          <w:w w:val="110"/>
          <w:sz w:val="16"/>
        </w:rPr>
        <w:t> </w:t>
      </w:r>
      <w:r>
        <w:rPr>
          <w:w w:val="110"/>
          <w:sz w:val="16"/>
        </w:rPr>
        <w:t>uso</w:t>
      </w:r>
      <w:r>
        <w:rPr>
          <w:spacing w:val="10"/>
          <w:w w:val="110"/>
          <w:sz w:val="16"/>
        </w:rPr>
        <w:t> </w:t>
      </w:r>
      <w:r>
        <w:rPr>
          <w:w w:val="110"/>
          <w:sz w:val="16"/>
        </w:rPr>
        <w:t>de</w:t>
      </w:r>
      <w:r>
        <w:rPr>
          <w:spacing w:val="10"/>
          <w:w w:val="110"/>
          <w:sz w:val="16"/>
        </w:rPr>
        <w:t> </w:t>
      </w:r>
      <w:r>
        <w:rPr>
          <w:w w:val="110"/>
          <w:sz w:val="16"/>
        </w:rPr>
        <w:t>los</w:t>
      </w:r>
      <w:r>
        <w:rPr>
          <w:spacing w:val="10"/>
          <w:w w:val="110"/>
          <w:sz w:val="16"/>
        </w:rPr>
        <w:t> </w:t>
      </w:r>
      <w:r>
        <w:rPr>
          <w:w w:val="110"/>
          <w:sz w:val="16"/>
        </w:rPr>
        <w:t>conceptos</w:t>
      </w:r>
      <w:r>
        <w:rPr>
          <w:spacing w:val="10"/>
          <w:w w:val="110"/>
          <w:sz w:val="16"/>
        </w:rPr>
        <w:t> </w:t>
      </w:r>
      <w:r>
        <w:rPr>
          <w:spacing w:val="-3"/>
          <w:w w:val="110"/>
          <w:sz w:val="16"/>
        </w:rPr>
        <w:t>tercer</w:t>
      </w:r>
      <w:r>
        <w:rPr>
          <w:spacing w:val="10"/>
          <w:w w:val="110"/>
          <w:sz w:val="16"/>
        </w:rPr>
        <w:t> </w:t>
      </w:r>
      <w:r>
        <w:rPr>
          <w:w w:val="110"/>
          <w:sz w:val="16"/>
        </w:rPr>
        <w:t>Mundo,</w:t>
      </w:r>
      <w:r>
        <w:rPr>
          <w:spacing w:val="10"/>
          <w:w w:val="110"/>
          <w:sz w:val="16"/>
        </w:rPr>
        <w:t> </w:t>
      </w:r>
      <w:r>
        <w:rPr>
          <w:w w:val="110"/>
          <w:sz w:val="16"/>
        </w:rPr>
        <w:t>subdesarrollo,</w:t>
      </w:r>
      <w:r>
        <w:rPr>
          <w:spacing w:val="10"/>
          <w:w w:val="110"/>
          <w:sz w:val="16"/>
        </w:rPr>
        <w:t> </w:t>
      </w:r>
      <w:r>
        <w:rPr>
          <w:w w:val="110"/>
          <w:sz w:val="16"/>
        </w:rPr>
        <w:t>Emergentes</w:t>
      </w:r>
      <w:r>
        <w:rPr>
          <w:spacing w:val="10"/>
          <w:w w:val="110"/>
          <w:sz w:val="16"/>
        </w:rPr>
        <w:t> </w:t>
      </w:r>
      <w:r>
        <w:rPr>
          <w:w w:val="110"/>
          <w:sz w:val="16"/>
        </w:rPr>
        <w:t>y</w:t>
      </w:r>
      <w:r>
        <w:rPr>
          <w:spacing w:val="10"/>
          <w:w w:val="110"/>
          <w:sz w:val="16"/>
        </w:rPr>
        <w:t> </w:t>
      </w:r>
      <w:r>
        <w:rPr>
          <w:spacing w:val="-5"/>
          <w:w w:val="110"/>
          <w:sz w:val="16"/>
        </w:rPr>
        <w:t>sur,</w:t>
      </w:r>
      <w:r>
        <w:rPr>
          <w:spacing w:val="10"/>
          <w:w w:val="110"/>
          <w:sz w:val="16"/>
        </w:rPr>
        <w:t> </w:t>
      </w:r>
      <w:r>
        <w:rPr>
          <w:w w:val="110"/>
          <w:sz w:val="16"/>
        </w:rPr>
        <w:t>a</w:t>
      </w:r>
      <w:r>
        <w:rPr>
          <w:spacing w:val="10"/>
          <w:w w:val="110"/>
          <w:sz w:val="16"/>
        </w:rPr>
        <w:t> </w:t>
      </w:r>
      <w:r>
        <w:rPr>
          <w:w w:val="110"/>
          <w:sz w:val="16"/>
        </w:rPr>
        <w:t>partir</w:t>
      </w:r>
      <w:r>
        <w:rPr>
          <w:spacing w:val="10"/>
          <w:w w:val="110"/>
          <w:sz w:val="16"/>
        </w:rPr>
        <w:t> </w:t>
      </w:r>
      <w:r>
        <w:rPr>
          <w:w w:val="110"/>
          <w:sz w:val="16"/>
        </w:rPr>
        <w:t>de</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330" w:right="114" w:firstLine="396"/>
        <w:jc w:val="both"/>
      </w:pPr>
      <w:r>
        <w:rPr>
          <w:spacing w:val="2"/>
          <w:w w:val="243"/>
        </w:rPr>
        <w:t>l</w:t>
      </w:r>
      <w:r>
        <w:rPr>
          <w:w w:val="112"/>
        </w:rPr>
        <w:t>a</w:t>
      </w:r>
      <w:r>
        <w:rPr/>
        <w:t> </w:t>
      </w:r>
      <w:r>
        <w:rPr>
          <w:spacing w:val="-17"/>
        </w:rPr>
        <w:t> </w:t>
      </w:r>
      <w:r>
        <w:rPr>
          <w:spacing w:val="2"/>
          <w:w w:val="111"/>
        </w:rPr>
        <w:t>contribució</w:t>
      </w:r>
      <w:r>
        <w:rPr>
          <w:w w:val="111"/>
        </w:rPr>
        <w:t>n</w:t>
      </w:r>
      <w:r>
        <w:rPr/>
        <w:t> </w:t>
      </w:r>
      <w:r>
        <w:rPr>
          <w:spacing w:val="-17"/>
        </w:rPr>
        <w:t> </w:t>
      </w:r>
      <w:r>
        <w:rPr>
          <w:spacing w:val="2"/>
          <w:w w:val="107"/>
        </w:rPr>
        <w:t>d</w:t>
      </w:r>
      <w:r>
        <w:rPr>
          <w:w w:val="107"/>
        </w:rPr>
        <w:t>e</w:t>
      </w:r>
      <w:r>
        <w:rPr/>
        <w:t> </w:t>
      </w:r>
      <w:r>
        <w:rPr>
          <w:spacing w:val="-17"/>
        </w:rPr>
        <w:t> </w:t>
      </w:r>
      <w:r>
        <w:rPr>
          <w:spacing w:val="2"/>
          <w:w w:val="108"/>
        </w:rPr>
        <w:t>paíse</w:t>
      </w:r>
      <w:r>
        <w:rPr>
          <w:w w:val="108"/>
        </w:rPr>
        <w:t>s</w:t>
      </w:r>
      <w:r>
        <w:rPr/>
        <w:t> </w:t>
      </w:r>
      <w:r>
        <w:rPr>
          <w:spacing w:val="-17"/>
        </w:rPr>
        <w:t> </w:t>
      </w:r>
      <w:r>
        <w:rPr>
          <w:spacing w:val="2"/>
          <w:w w:val="112"/>
        </w:rPr>
        <w:t>com</w:t>
      </w:r>
      <w:r>
        <w:rPr>
          <w:w w:val="112"/>
        </w:rPr>
        <w:t>o</w:t>
      </w:r>
      <w:r>
        <w:rPr/>
        <w:t> </w:t>
      </w:r>
      <w:r>
        <w:rPr>
          <w:spacing w:val="-17"/>
        </w:rPr>
        <w:t> </w:t>
      </w:r>
      <w:r>
        <w:rPr>
          <w:spacing w:val="2"/>
          <w:w w:val="111"/>
        </w:rPr>
        <w:t>Estado</w:t>
      </w:r>
      <w:r>
        <w:rPr>
          <w:w w:val="111"/>
        </w:rPr>
        <w:t>s</w:t>
      </w:r>
      <w:r>
        <w:rPr/>
        <w:t> </w:t>
      </w:r>
      <w:r>
        <w:rPr>
          <w:spacing w:val="-17"/>
        </w:rPr>
        <w:t> </w:t>
      </w:r>
      <w:r>
        <w:rPr>
          <w:spacing w:val="2"/>
          <w:w w:val="140"/>
        </w:rPr>
        <w:t>u</w:t>
      </w:r>
      <w:r>
        <w:rPr>
          <w:spacing w:val="2"/>
          <w:w w:val="112"/>
        </w:rPr>
        <w:t>nidos</w:t>
      </w:r>
      <w:r>
        <w:rPr>
          <w:w w:val="112"/>
        </w:rPr>
        <w:t>,</w:t>
      </w:r>
      <w:r>
        <w:rPr/>
        <w:t> </w:t>
      </w:r>
      <w:r>
        <w:rPr>
          <w:spacing w:val="-17"/>
        </w:rPr>
        <w:t> </w:t>
      </w:r>
      <w:r>
        <w:rPr>
          <w:spacing w:val="2"/>
          <w:w w:val="117"/>
        </w:rPr>
        <w:t>Japón</w:t>
      </w:r>
      <w:r>
        <w:rPr>
          <w:w w:val="117"/>
        </w:rPr>
        <w:t>,</w:t>
      </w:r>
      <w:r>
        <w:rPr/>
        <w:t> </w:t>
      </w:r>
      <w:r>
        <w:rPr>
          <w:spacing w:val="-17"/>
        </w:rPr>
        <w:t> </w:t>
      </w:r>
      <w:r>
        <w:rPr>
          <w:spacing w:val="2"/>
          <w:w w:val="182"/>
        </w:rPr>
        <w:t>r</w:t>
      </w:r>
      <w:r>
        <w:rPr>
          <w:spacing w:val="2"/>
          <w:w w:val="110"/>
        </w:rPr>
        <w:t>eino </w:t>
      </w:r>
      <w:r>
        <w:rPr>
          <w:w w:val="115"/>
        </w:rPr>
        <w:t>unido, Francia y de la unión Europea en general al crecimiento global se ha reducido sustancialmente desde la década del sesen- ta. a nivel internacional, el desempeño económico ha tenido reali- dades contrastantes. Por un lado, una tendencia convergente de la dinámica económica de las principales potencias desarrolladas (di Mauro </w:t>
      </w:r>
      <w:r>
        <w:rPr>
          <w:i/>
          <w:w w:val="115"/>
        </w:rPr>
        <w:t>et al.</w:t>
      </w:r>
      <w:r>
        <w:rPr>
          <w:w w:val="115"/>
        </w:rPr>
        <w:t>, 2010), que se ha fortalecido en los últimos años, y </w:t>
      </w:r>
      <w:r>
        <w:rPr>
          <w:spacing w:val="2"/>
          <w:w w:val="115"/>
        </w:rPr>
        <w:t>que </w:t>
      </w:r>
      <w:r>
        <w:rPr>
          <w:w w:val="115"/>
        </w:rPr>
        <w:t>al mismo tiempo ha tenido un comportamiento relativamente </w:t>
      </w:r>
      <w:r>
        <w:rPr>
          <w:spacing w:val="2"/>
          <w:w w:val="115"/>
        </w:rPr>
        <w:t>más </w:t>
      </w:r>
      <w:r>
        <w:rPr>
          <w:w w:val="115"/>
        </w:rPr>
        <w:t>bajo</w:t>
      </w:r>
      <w:r>
        <w:rPr>
          <w:spacing w:val="-10"/>
          <w:w w:val="115"/>
        </w:rPr>
        <w:t> </w:t>
      </w:r>
      <w:r>
        <w:rPr>
          <w:w w:val="115"/>
        </w:rPr>
        <w:t>que</w:t>
      </w:r>
      <w:r>
        <w:rPr>
          <w:spacing w:val="-10"/>
          <w:w w:val="115"/>
        </w:rPr>
        <w:t> </w:t>
      </w:r>
      <w:r>
        <w:rPr>
          <w:w w:val="115"/>
        </w:rPr>
        <w:t>los</w:t>
      </w:r>
      <w:r>
        <w:rPr>
          <w:spacing w:val="-10"/>
          <w:w w:val="115"/>
        </w:rPr>
        <w:t> </w:t>
      </w:r>
      <w:r>
        <w:rPr>
          <w:w w:val="115"/>
        </w:rPr>
        <w:t>“países</w:t>
      </w:r>
      <w:r>
        <w:rPr>
          <w:spacing w:val="-10"/>
          <w:w w:val="115"/>
        </w:rPr>
        <w:t> </w:t>
      </w:r>
      <w:r>
        <w:rPr>
          <w:w w:val="115"/>
        </w:rPr>
        <w:t>emergentes”.</w:t>
      </w:r>
      <w:r>
        <w:rPr>
          <w:spacing w:val="-10"/>
          <w:w w:val="115"/>
        </w:rPr>
        <w:t> </w:t>
      </w:r>
      <w:r>
        <w:rPr>
          <w:w w:val="115"/>
        </w:rPr>
        <w:t>Por</w:t>
      </w:r>
      <w:r>
        <w:rPr>
          <w:spacing w:val="-10"/>
          <w:w w:val="115"/>
        </w:rPr>
        <w:t> </w:t>
      </w:r>
      <w:r>
        <w:rPr>
          <w:w w:val="115"/>
        </w:rPr>
        <w:t>otro</w:t>
      </w:r>
      <w:r>
        <w:rPr>
          <w:spacing w:val="-10"/>
          <w:w w:val="115"/>
        </w:rPr>
        <w:t> </w:t>
      </w:r>
      <w:r>
        <w:rPr>
          <w:w w:val="115"/>
        </w:rPr>
        <w:t>lado,</w:t>
      </w:r>
      <w:r>
        <w:rPr>
          <w:spacing w:val="-10"/>
          <w:w w:val="115"/>
        </w:rPr>
        <w:t> </w:t>
      </w:r>
      <w:r>
        <w:rPr>
          <w:w w:val="115"/>
        </w:rPr>
        <w:t>persiste</w:t>
      </w:r>
      <w:r>
        <w:rPr>
          <w:spacing w:val="-10"/>
          <w:w w:val="115"/>
        </w:rPr>
        <w:t> </w:t>
      </w:r>
      <w:r>
        <w:rPr>
          <w:w w:val="115"/>
        </w:rPr>
        <w:t>una</w:t>
      </w:r>
      <w:r>
        <w:rPr>
          <w:spacing w:val="-10"/>
          <w:w w:val="115"/>
        </w:rPr>
        <w:t> </w:t>
      </w:r>
      <w:r>
        <w:rPr>
          <w:w w:val="115"/>
        </w:rPr>
        <w:t>“diver- gencia” de países como China e india, con una dinámica creciente en</w:t>
      </w:r>
      <w:r>
        <w:rPr>
          <w:spacing w:val="-11"/>
          <w:w w:val="115"/>
        </w:rPr>
        <w:t> </w:t>
      </w:r>
      <w:r>
        <w:rPr>
          <w:w w:val="115"/>
        </w:rPr>
        <w:t>contraste</w:t>
      </w:r>
      <w:r>
        <w:rPr>
          <w:spacing w:val="-11"/>
          <w:w w:val="115"/>
        </w:rPr>
        <w:t> </w:t>
      </w:r>
      <w:r>
        <w:rPr>
          <w:w w:val="115"/>
        </w:rPr>
        <w:t>con</w:t>
      </w:r>
      <w:r>
        <w:rPr>
          <w:spacing w:val="-11"/>
          <w:w w:val="115"/>
        </w:rPr>
        <w:t> </w:t>
      </w:r>
      <w:r>
        <w:rPr>
          <w:w w:val="115"/>
        </w:rPr>
        <w:t>la</w:t>
      </w:r>
      <w:r>
        <w:rPr>
          <w:spacing w:val="-11"/>
          <w:w w:val="115"/>
        </w:rPr>
        <w:t> </w:t>
      </w:r>
      <w:r>
        <w:rPr>
          <w:w w:val="115"/>
        </w:rPr>
        <w:t>situación</w:t>
      </w:r>
      <w:r>
        <w:rPr>
          <w:spacing w:val="-11"/>
          <w:w w:val="115"/>
        </w:rPr>
        <w:t> </w:t>
      </w:r>
      <w:r>
        <w:rPr>
          <w:w w:val="115"/>
        </w:rPr>
        <w:t>económica</w:t>
      </w:r>
      <w:r>
        <w:rPr>
          <w:spacing w:val="-11"/>
          <w:w w:val="115"/>
        </w:rPr>
        <w:t> </w:t>
      </w:r>
      <w:r>
        <w:rPr>
          <w:w w:val="115"/>
        </w:rPr>
        <w:t>de</w:t>
      </w:r>
      <w:r>
        <w:rPr>
          <w:spacing w:val="-11"/>
          <w:w w:val="115"/>
        </w:rPr>
        <w:t> </w:t>
      </w:r>
      <w:r>
        <w:rPr>
          <w:w w:val="115"/>
        </w:rPr>
        <w:t>los</w:t>
      </w:r>
      <w:r>
        <w:rPr>
          <w:spacing w:val="-11"/>
          <w:w w:val="115"/>
        </w:rPr>
        <w:t> </w:t>
      </w:r>
      <w:r>
        <w:rPr>
          <w:w w:val="115"/>
        </w:rPr>
        <w:t>países</w:t>
      </w:r>
      <w:r>
        <w:rPr>
          <w:spacing w:val="-11"/>
          <w:w w:val="115"/>
        </w:rPr>
        <w:t> </w:t>
      </w:r>
      <w:r>
        <w:rPr>
          <w:w w:val="115"/>
        </w:rPr>
        <w:t>desarrollados, que al mismo tiempo ha introducido nuevas dinámicas económi- </w:t>
      </w:r>
      <w:r>
        <w:rPr>
          <w:spacing w:val="2"/>
          <w:w w:val="111"/>
        </w:rPr>
        <w:t>ca</w:t>
      </w:r>
      <w:r>
        <w:rPr>
          <w:w w:val="111"/>
        </w:rPr>
        <w:t>s</w:t>
      </w:r>
      <w:r>
        <w:rPr/>
        <w:t> </w:t>
      </w:r>
      <w:r>
        <w:rPr>
          <w:spacing w:val="-2"/>
        </w:rPr>
        <w:t> </w:t>
      </w:r>
      <w:r>
        <w:rPr>
          <w:spacing w:val="2"/>
          <w:w w:val="108"/>
        </w:rPr>
        <w:t>e</w:t>
      </w:r>
      <w:r>
        <w:rPr>
          <w:w w:val="108"/>
        </w:rPr>
        <w:t>n</w:t>
      </w:r>
      <w:r>
        <w:rPr/>
        <w:t> </w:t>
      </w:r>
      <w:r>
        <w:rPr>
          <w:spacing w:val="-2"/>
        </w:rPr>
        <w:t> </w:t>
      </w:r>
      <w:r>
        <w:rPr>
          <w:spacing w:val="2"/>
          <w:w w:val="108"/>
        </w:rPr>
        <w:t>su</w:t>
      </w:r>
      <w:r>
        <w:rPr>
          <w:w w:val="108"/>
        </w:rPr>
        <w:t>s</w:t>
      </w:r>
      <w:r>
        <w:rPr/>
        <w:t> </w:t>
      </w:r>
      <w:r>
        <w:rPr>
          <w:spacing w:val="-2"/>
        </w:rPr>
        <w:t> </w:t>
      </w:r>
      <w:r>
        <w:rPr>
          <w:spacing w:val="2"/>
          <w:w w:val="109"/>
        </w:rPr>
        <w:t>relacione</w:t>
      </w:r>
      <w:r>
        <w:rPr>
          <w:w w:val="109"/>
        </w:rPr>
        <w:t>s</w:t>
      </w:r>
      <w:r>
        <w:rPr/>
        <w:t> </w:t>
      </w:r>
      <w:r>
        <w:rPr>
          <w:spacing w:val="-2"/>
        </w:rPr>
        <w:t> </w:t>
      </w:r>
      <w:r>
        <w:rPr>
          <w:spacing w:val="2"/>
          <w:w w:val="112"/>
        </w:rPr>
        <w:t>co</w:t>
      </w:r>
      <w:r>
        <w:rPr>
          <w:w w:val="112"/>
        </w:rPr>
        <w:t>n</w:t>
      </w:r>
      <w:r>
        <w:rPr/>
        <w:t> </w:t>
      </w:r>
      <w:r>
        <w:rPr>
          <w:spacing w:val="-2"/>
        </w:rPr>
        <w:t> </w:t>
      </w:r>
      <w:r>
        <w:rPr>
          <w:spacing w:val="2"/>
          <w:w w:val="107"/>
        </w:rPr>
        <w:t>otro</w:t>
      </w:r>
      <w:r>
        <w:rPr>
          <w:w w:val="107"/>
        </w:rPr>
        <w:t>s</w:t>
      </w:r>
      <w:r>
        <w:rPr/>
        <w:t> </w:t>
      </w:r>
      <w:r>
        <w:rPr>
          <w:spacing w:val="-2"/>
        </w:rPr>
        <w:t> </w:t>
      </w:r>
      <w:r>
        <w:rPr>
          <w:spacing w:val="2"/>
          <w:w w:val="108"/>
        </w:rPr>
        <w:t>paíse</w:t>
      </w:r>
      <w:r>
        <w:rPr>
          <w:w w:val="108"/>
        </w:rPr>
        <w:t>s</w:t>
      </w:r>
      <w:r>
        <w:rPr/>
        <w:t> </w:t>
      </w:r>
      <w:r>
        <w:rPr>
          <w:spacing w:val="-2"/>
        </w:rPr>
        <w:t> </w:t>
      </w:r>
      <w:r>
        <w:rPr>
          <w:spacing w:val="2"/>
          <w:w w:val="109"/>
        </w:rPr>
        <w:t>subdesarrollados</w:t>
      </w:r>
      <w:r>
        <w:rPr>
          <w:w w:val="109"/>
        </w:rPr>
        <w:t>.</w:t>
      </w:r>
      <w:r>
        <w:rPr/>
        <w:t> </w:t>
      </w:r>
      <w:r>
        <w:rPr>
          <w:spacing w:val="-2"/>
        </w:rPr>
        <w:t> </w:t>
      </w:r>
      <w:r>
        <w:rPr>
          <w:spacing w:val="2"/>
          <w:w w:val="243"/>
        </w:rPr>
        <w:t>l</w:t>
      </w:r>
      <w:r>
        <w:rPr>
          <w:spacing w:val="2"/>
          <w:w w:val="112"/>
        </w:rPr>
        <w:t>lam</w:t>
      </w:r>
      <w:r>
        <w:rPr>
          <w:w w:val="112"/>
        </w:rPr>
        <w:t>a</w:t>
      </w:r>
      <w:r>
        <w:rPr/>
        <w:t> </w:t>
      </w:r>
      <w:r>
        <w:rPr>
          <w:spacing w:val="-2"/>
        </w:rPr>
        <w:t> </w:t>
      </w:r>
      <w:r>
        <w:rPr>
          <w:spacing w:val="2"/>
          <w:w w:val="111"/>
        </w:rPr>
        <w:t>la </w:t>
      </w:r>
      <w:r>
        <w:rPr>
          <w:w w:val="115"/>
        </w:rPr>
        <w:t>atención que, si bien la más reciente crisis de 2008-2009 tuvo un impacto a la baja en la mayoría de las economías de mayor peso mundial de manera bastante sincrónica, países como China –y en muy diferentes grados– mostraron niveles relativamente elevados de crecimiento, dando evidencias sin precedentes de importantes </w:t>
      </w:r>
      <w:r>
        <w:rPr>
          <w:w w:val="110"/>
        </w:rPr>
        <w:t>niveles de</w:t>
      </w:r>
      <w:r>
        <w:rPr>
          <w:spacing w:val="35"/>
          <w:w w:val="110"/>
        </w:rPr>
        <w:t> </w:t>
      </w:r>
      <w:r>
        <w:rPr>
          <w:w w:val="110"/>
        </w:rPr>
        <w:t>resistencia</w:t>
      </w:r>
      <w:r>
        <w:rPr>
          <w:w w:val="110"/>
          <w:position w:val="6"/>
          <w:sz w:val="11"/>
        </w:rPr>
        <w:t>18</w:t>
      </w:r>
      <w:r>
        <w:rPr>
          <w:w w:val="110"/>
        </w:rPr>
        <w:t>.</w:t>
      </w:r>
    </w:p>
    <w:p>
      <w:pPr>
        <w:pStyle w:val="BodyText"/>
        <w:spacing w:line="252" w:lineRule="auto"/>
        <w:ind w:left="330" w:right="118" w:firstLine="396"/>
        <w:jc w:val="both"/>
      </w:pPr>
      <w:r>
        <w:rPr>
          <w:spacing w:val="-5"/>
          <w:w w:val="110"/>
        </w:rPr>
        <w:t>tasas </w:t>
      </w:r>
      <w:r>
        <w:rPr>
          <w:w w:val="110"/>
        </w:rPr>
        <w:t>de crecimiento más dinámicas en el </w:t>
      </w:r>
      <w:r>
        <w:rPr>
          <w:i/>
          <w:w w:val="110"/>
        </w:rPr>
        <w:t>Sur</w:t>
      </w:r>
      <w:r>
        <w:rPr>
          <w:w w:val="110"/>
        </w:rPr>
        <w:t>, creciente comercio e inversiones </w:t>
      </w:r>
      <w:r>
        <w:rPr>
          <w:i/>
          <w:spacing w:val="-3"/>
          <w:w w:val="110"/>
        </w:rPr>
        <w:t>Sur-Sur</w:t>
      </w:r>
      <w:r>
        <w:rPr>
          <w:spacing w:val="-3"/>
          <w:w w:val="110"/>
        </w:rPr>
        <w:t>, </w:t>
      </w:r>
      <w:r>
        <w:rPr>
          <w:w w:val="110"/>
        </w:rPr>
        <w:t>acumulación de reservas internacionales, nego- ciaciones de acuerdos de comercio </w:t>
      </w:r>
      <w:r>
        <w:rPr>
          <w:i/>
          <w:w w:val="110"/>
        </w:rPr>
        <w:t>Sur-Sur</w:t>
      </w:r>
      <w:r>
        <w:rPr>
          <w:i/>
          <w:w w:val="110"/>
          <w:position w:val="6"/>
          <w:sz w:val="11"/>
        </w:rPr>
        <w:t>19</w:t>
      </w:r>
      <w:r>
        <w:rPr>
          <w:w w:val="110"/>
        </w:rPr>
        <w:t>, así como un rol crecien- te de este área en instituciones financieras internacionales y grupos geopolíticos emergentes, son factores que cuentan con un potencial enorme para el crecimiento económico y geopolítico de los países “se- miperiféricos” y “periféricos” como grupo. asimismo, el incremento del</w:t>
      </w:r>
      <w:r>
        <w:rPr>
          <w:spacing w:val="-7"/>
          <w:w w:val="110"/>
        </w:rPr>
        <w:t> </w:t>
      </w:r>
      <w:r>
        <w:rPr>
          <w:w w:val="110"/>
        </w:rPr>
        <w:t>comercio</w:t>
      </w:r>
      <w:r>
        <w:rPr>
          <w:spacing w:val="-7"/>
          <w:w w:val="110"/>
        </w:rPr>
        <w:t> </w:t>
      </w:r>
      <w:r>
        <w:rPr>
          <w:w w:val="110"/>
        </w:rPr>
        <w:t>intrafirma</w:t>
      </w:r>
      <w:r>
        <w:rPr>
          <w:spacing w:val="-7"/>
          <w:w w:val="110"/>
        </w:rPr>
        <w:t> </w:t>
      </w:r>
      <w:r>
        <w:rPr>
          <w:w w:val="110"/>
        </w:rPr>
        <w:t>a</w:t>
      </w:r>
      <w:r>
        <w:rPr>
          <w:spacing w:val="-7"/>
          <w:w w:val="110"/>
        </w:rPr>
        <w:t> </w:t>
      </w:r>
      <w:r>
        <w:rPr>
          <w:w w:val="110"/>
        </w:rPr>
        <w:t>través</w:t>
      </w:r>
      <w:r>
        <w:rPr>
          <w:spacing w:val="-7"/>
          <w:w w:val="110"/>
        </w:rPr>
        <w:t> </w:t>
      </w:r>
      <w:r>
        <w:rPr>
          <w:w w:val="110"/>
        </w:rPr>
        <w:t>de</w:t>
      </w:r>
      <w:r>
        <w:rPr>
          <w:spacing w:val="-7"/>
          <w:w w:val="110"/>
        </w:rPr>
        <w:t> </w:t>
      </w:r>
      <w:r>
        <w:rPr>
          <w:w w:val="110"/>
        </w:rPr>
        <w:t>las</w:t>
      </w:r>
      <w:r>
        <w:rPr>
          <w:spacing w:val="-7"/>
          <w:w w:val="110"/>
        </w:rPr>
        <w:t> </w:t>
      </w:r>
      <w:r>
        <w:rPr>
          <w:w w:val="110"/>
        </w:rPr>
        <w:t>cadenas</w:t>
      </w:r>
      <w:r>
        <w:rPr>
          <w:spacing w:val="-7"/>
          <w:w w:val="110"/>
        </w:rPr>
        <w:t> </w:t>
      </w:r>
      <w:r>
        <w:rPr>
          <w:w w:val="110"/>
        </w:rPr>
        <w:t>globales</w:t>
      </w:r>
      <w:r>
        <w:rPr>
          <w:spacing w:val="-7"/>
          <w:w w:val="110"/>
        </w:rPr>
        <w:t> </w:t>
      </w:r>
      <w:r>
        <w:rPr>
          <w:w w:val="110"/>
        </w:rPr>
        <w:t>de</w:t>
      </w:r>
      <w:r>
        <w:rPr>
          <w:spacing w:val="-7"/>
          <w:w w:val="110"/>
        </w:rPr>
        <w:t> </w:t>
      </w:r>
      <w:r>
        <w:rPr>
          <w:spacing w:val="-5"/>
          <w:w w:val="110"/>
        </w:rPr>
        <w:t>valor,</w:t>
      </w:r>
      <w:r>
        <w:rPr>
          <w:spacing w:val="-7"/>
          <w:w w:val="110"/>
        </w:rPr>
        <w:t> </w:t>
      </w:r>
      <w:r>
        <w:rPr>
          <w:w w:val="110"/>
        </w:rPr>
        <w:t>expli- ca buena parte del crecimiento del comercio global. desde la década del</w:t>
      </w:r>
      <w:r>
        <w:rPr>
          <w:spacing w:val="-6"/>
          <w:w w:val="110"/>
        </w:rPr>
        <w:t> </w:t>
      </w:r>
      <w:r>
        <w:rPr>
          <w:w w:val="110"/>
        </w:rPr>
        <w:t>setenta,</w:t>
      </w:r>
      <w:r>
        <w:rPr>
          <w:spacing w:val="-6"/>
          <w:w w:val="110"/>
        </w:rPr>
        <w:t> </w:t>
      </w:r>
      <w:r>
        <w:rPr>
          <w:w w:val="110"/>
        </w:rPr>
        <w:t>la</w:t>
      </w:r>
      <w:r>
        <w:rPr>
          <w:spacing w:val="-6"/>
          <w:w w:val="110"/>
        </w:rPr>
        <w:t> </w:t>
      </w:r>
      <w:r>
        <w:rPr>
          <w:w w:val="110"/>
        </w:rPr>
        <w:t>proporción</w:t>
      </w:r>
      <w:r>
        <w:rPr>
          <w:spacing w:val="-6"/>
          <w:w w:val="110"/>
        </w:rPr>
        <w:t> </w:t>
      </w:r>
      <w:r>
        <w:rPr>
          <w:w w:val="110"/>
        </w:rPr>
        <w:t>de</w:t>
      </w:r>
      <w:r>
        <w:rPr>
          <w:spacing w:val="-6"/>
          <w:w w:val="110"/>
        </w:rPr>
        <w:t> </w:t>
      </w:r>
      <w:r>
        <w:rPr>
          <w:w w:val="110"/>
        </w:rPr>
        <w:t>ganancias</w:t>
      </w:r>
      <w:r>
        <w:rPr>
          <w:spacing w:val="-6"/>
          <w:w w:val="110"/>
        </w:rPr>
        <w:t> </w:t>
      </w:r>
      <w:r>
        <w:rPr>
          <w:w w:val="110"/>
        </w:rPr>
        <w:t>corporativas</w:t>
      </w:r>
      <w:r>
        <w:rPr>
          <w:spacing w:val="-6"/>
          <w:w w:val="110"/>
        </w:rPr>
        <w:t> </w:t>
      </w:r>
      <w:r>
        <w:rPr>
          <w:w w:val="110"/>
        </w:rPr>
        <w:t>en</w:t>
      </w:r>
      <w:r>
        <w:rPr>
          <w:spacing w:val="-6"/>
          <w:w w:val="110"/>
        </w:rPr>
        <w:t> </w:t>
      </w:r>
      <w:r>
        <w:rPr>
          <w:w w:val="110"/>
        </w:rPr>
        <w:t>valor</w:t>
      </w:r>
      <w:r>
        <w:rPr>
          <w:spacing w:val="-6"/>
          <w:w w:val="110"/>
        </w:rPr>
        <w:t> </w:t>
      </w:r>
      <w:r>
        <w:rPr>
          <w:w w:val="110"/>
        </w:rPr>
        <w:t>agregado en</w:t>
      </w:r>
      <w:r>
        <w:rPr>
          <w:spacing w:val="-7"/>
          <w:w w:val="110"/>
        </w:rPr>
        <w:t> </w:t>
      </w:r>
      <w:r>
        <w:rPr>
          <w:w w:val="110"/>
        </w:rPr>
        <w:t>la</w:t>
      </w:r>
      <w:r>
        <w:rPr>
          <w:spacing w:val="-7"/>
          <w:w w:val="110"/>
        </w:rPr>
        <w:t> </w:t>
      </w:r>
      <w:r>
        <w:rPr>
          <w:w w:val="110"/>
        </w:rPr>
        <w:t>mayoría</w:t>
      </w:r>
      <w:r>
        <w:rPr>
          <w:spacing w:val="-7"/>
          <w:w w:val="110"/>
        </w:rPr>
        <w:t> </w:t>
      </w:r>
      <w:r>
        <w:rPr>
          <w:w w:val="110"/>
        </w:rPr>
        <w:t>de</w:t>
      </w:r>
      <w:r>
        <w:rPr>
          <w:spacing w:val="-7"/>
          <w:w w:val="110"/>
        </w:rPr>
        <w:t> </w:t>
      </w:r>
      <w:r>
        <w:rPr>
          <w:w w:val="110"/>
        </w:rPr>
        <w:t>los</w:t>
      </w:r>
      <w:r>
        <w:rPr>
          <w:spacing w:val="-7"/>
          <w:w w:val="110"/>
        </w:rPr>
        <w:t> </w:t>
      </w:r>
      <w:r>
        <w:rPr>
          <w:w w:val="110"/>
        </w:rPr>
        <w:t>países</w:t>
      </w:r>
      <w:r>
        <w:rPr>
          <w:spacing w:val="-7"/>
          <w:w w:val="110"/>
        </w:rPr>
        <w:t> </w:t>
      </w:r>
      <w:r>
        <w:rPr>
          <w:w w:val="110"/>
        </w:rPr>
        <w:t>emergentes</w:t>
      </w:r>
      <w:r>
        <w:rPr>
          <w:spacing w:val="-7"/>
          <w:w w:val="110"/>
        </w:rPr>
        <w:t> </w:t>
      </w:r>
      <w:r>
        <w:rPr>
          <w:w w:val="110"/>
        </w:rPr>
        <w:t>ha</w:t>
      </w:r>
      <w:r>
        <w:rPr>
          <w:spacing w:val="-7"/>
          <w:w w:val="110"/>
        </w:rPr>
        <w:t> </w:t>
      </w:r>
      <w:r>
        <w:rPr>
          <w:w w:val="110"/>
        </w:rPr>
        <w:t>aumentado,</w:t>
      </w:r>
      <w:r>
        <w:rPr>
          <w:spacing w:val="-7"/>
          <w:w w:val="110"/>
        </w:rPr>
        <w:t> </w:t>
      </w:r>
      <w:r>
        <w:rPr>
          <w:w w:val="110"/>
        </w:rPr>
        <w:t>lo</w:t>
      </w:r>
      <w:r>
        <w:rPr>
          <w:spacing w:val="-7"/>
          <w:w w:val="110"/>
        </w:rPr>
        <w:t> </w:t>
      </w:r>
      <w:r>
        <w:rPr>
          <w:w w:val="110"/>
        </w:rPr>
        <w:t>que</w:t>
      </w:r>
      <w:r>
        <w:rPr>
          <w:spacing w:val="-7"/>
          <w:w w:val="110"/>
        </w:rPr>
        <w:t> </w:t>
      </w:r>
      <w:r>
        <w:rPr>
          <w:w w:val="110"/>
        </w:rPr>
        <w:t>ha</w:t>
      </w:r>
      <w:r>
        <w:rPr>
          <w:spacing w:val="-7"/>
          <w:w w:val="110"/>
        </w:rPr>
        <w:t> </w:t>
      </w:r>
      <w:r>
        <w:rPr>
          <w:w w:val="110"/>
        </w:rPr>
        <w:t>incidi- do en el mantenimiento de la ola expansiva del ciclo </w:t>
      </w:r>
      <w:r>
        <w:rPr>
          <w:spacing w:val="-4"/>
          <w:w w:val="110"/>
        </w:rPr>
        <w:t>(Vos,</w:t>
      </w:r>
      <w:r>
        <w:rPr>
          <w:spacing w:val="10"/>
          <w:w w:val="110"/>
        </w:rPr>
        <w:t> </w:t>
      </w:r>
      <w:r>
        <w:rPr>
          <w:w w:val="110"/>
        </w:rPr>
        <w:t>2011).</w:t>
      </w:r>
    </w:p>
    <w:p>
      <w:pPr>
        <w:pStyle w:val="BodyText"/>
        <w:spacing w:before="3"/>
        <w:rPr>
          <w:sz w:val="27"/>
        </w:rPr>
      </w:pPr>
      <w:r>
        <w:rPr/>
        <w:pict>
          <v:line style="position:absolute;mso-position-horizontal-relative:page;mso-position-vertical-relative:paragraph;z-index:8656;mso-wrap-distance-left:0;mso-wrap-distance-right:0" from="76.5354pt,18.188927pt" to="104.8814pt,18.188927pt" stroked="true" strokeweight=".5pt" strokecolor="#000000">
            <w10:wrap type="topAndBottom"/>
          </v:line>
        </w:pict>
      </w:r>
    </w:p>
    <w:p>
      <w:pPr>
        <w:spacing w:line="242" w:lineRule="auto" w:before="89"/>
        <w:ind w:left="330" w:right="118" w:firstLine="0"/>
        <w:jc w:val="both"/>
        <w:rPr>
          <w:sz w:val="16"/>
        </w:rPr>
      </w:pPr>
      <w:r>
        <w:rPr>
          <w:w w:val="105"/>
          <w:sz w:val="16"/>
        </w:rPr>
        <w:t>las nuevas condiciones de la economía internacional y especialmente abunda sobre    </w:t>
      </w:r>
      <w:r>
        <w:rPr>
          <w:spacing w:val="37"/>
          <w:w w:val="105"/>
          <w:sz w:val="16"/>
        </w:rPr>
        <w:t> </w:t>
      </w:r>
      <w:r>
        <w:rPr>
          <w:w w:val="105"/>
          <w:sz w:val="16"/>
        </w:rPr>
        <w:t>el</w:t>
      </w:r>
      <w:r>
        <w:rPr>
          <w:spacing w:val="20"/>
          <w:w w:val="105"/>
          <w:sz w:val="16"/>
        </w:rPr>
        <w:t> </w:t>
      </w:r>
      <w:r>
        <w:rPr>
          <w:w w:val="105"/>
          <w:sz w:val="16"/>
        </w:rPr>
        <w:t>significado</w:t>
      </w:r>
      <w:r>
        <w:rPr>
          <w:spacing w:val="20"/>
          <w:w w:val="105"/>
          <w:sz w:val="16"/>
        </w:rPr>
        <w:t> </w:t>
      </w:r>
      <w:r>
        <w:rPr>
          <w:w w:val="105"/>
          <w:sz w:val="16"/>
        </w:rPr>
        <w:t>geopolítico</w:t>
      </w:r>
      <w:r>
        <w:rPr>
          <w:spacing w:val="20"/>
          <w:w w:val="105"/>
          <w:sz w:val="16"/>
        </w:rPr>
        <w:t> </w:t>
      </w:r>
      <w:r>
        <w:rPr>
          <w:w w:val="105"/>
          <w:sz w:val="16"/>
        </w:rPr>
        <w:t>y</w:t>
      </w:r>
      <w:r>
        <w:rPr>
          <w:spacing w:val="20"/>
          <w:w w:val="105"/>
          <w:sz w:val="16"/>
        </w:rPr>
        <w:t> </w:t>
      </w:r>
      <w:r>
        <w:rPr>
          <w:w w:val="105"/>
          <w:sz w:val="16"/>
        </w:rPr>
        <w:t>epistemológico</w:t>
      </w:r>
      <w:r>
        <w:rPr>
          <w:spacing w:val="20"/>
          <w:w w:val="105"/>
          <w:sz w:val="16"/>
        </w:rPr>
        <w:t> </w:t>
      </w:r>
      <w:r>
        <w:rPr>
          <w:w w:val="105"/>
          <w:sz w:val="16"/>
        </w:rPr>
        <w:t>de</w:t>
      </w:r>
      <w:r>
        <w:rPr>
          <w:spacing w:val="20"/>
          <w:w w:val="105"/>
          <w:sz w:val="16"/>
        </w:rPr>
        <w:t> </w:t>
      </w:r>
      <w:r>
        <w:rPr>
          <w:w w:val="105"/>
          <w:sz w:val="16"/>
        </w:rPr>
        <w:t>adherirse</w:t>
      </w:r>
      <w:r>
        <w:rPr>
          <w:spacing w:val="20"/>
          <w:w w:val="105"/>
          <w:sz w:val="16"/>
        </w:rPr>
        <w:t> </w:t>
      </w:r>
      <w:r>
        <w:rPr>
          <w:w w:val="105"/>
          <w:sz w:val="16"/>
        </w:rPr>
        <w:t>a</w:t>
      </w:r>
      <w:r>
        <w:rPr>
          <w:spacing w:val="20"/>
          <w:w w:val="105"/>
          <w:sz w:val="16"/>
        </w:rPr>
        <w:t> </w:t>
      </w:r>
      <w:r>
        <w:rPr>
          <w:w w:val="105"/>
          <w:sz w:val="16"/>
        </w:rPr>
        <w:t>ellas.</w:t>
      </w:r>
    </w:p>
    <w:p>
      <w:pPr>
        <w:pStyle w:val="ListParagraph"/>
        <w:numPr>
          <w:ilvl w:val="0"/>
          <w:numId w:val="35"/>
        </w:numPr>
        <w:tabs>
          <w:tab w:pos="586" w:val="left" w:leader="none"/>
        </w:tabs>
        <w:spacing w:line="242" w:lineRule="auto" w:before="57" w:after="0"/>
        <w:ind w:left="330" w:right="115" w:firstLine="0"/>
        <w:jc w:val="both"/>
        <w:rPr>
          <w:sz w:val="16"/>
        </w:rPr>
      </w:pPr>
      <w:r>
        <w:rPr>
          <w:spacing w:val="2"/>
          <w:w w:val="117"/>
          <w:sz w:val="16"/>
        </w:rPr>
        <w:t>E</w:t>
      </w:r>
      <w:r>
        <w:rPr>
          <w:w w:val="117"/>
          <w:sz w:val="16"/>
        </w:rPr>
        <w:t>n</w:t>
      </w:r>
      <w:r>
        <w:rPr>
          <w:spacing w:val="13"/>
          <w:sz w:val="16"/>
        </w:rPr>
        <w:t> </w:t>
      </w:r>
      <w:r>
        <w:rPr>
          <w:spacing w:val="2"/>
          <w:w w:val="103"/>
          <w:sz w:val="16"/>
        </w:rPr>
        <w:t>est</w:t>
      </w:r>
      <w:r>
        <w:rPr>
          <w:w w:val="103"/>
          <w:sz w:val="16"/>
        </w:rPr>
        <w:t>e</w:t>
      </w:r>
      <w:r>
        <w:rPr>
          <w:spacing w:val="13"/>
          <w:sz w:val="16"/>
        </w:rPr>
        <w:t> </w:t>
      </w:r>
      <w:r>
        <w:rPr>
          <w:spacing w:val="2"/>
          <w:w w:val="110"/>
          <w:sz w:val="16"/>
        </w:rPr>
        <w:t>panorama</w:t>
      </w:r>
      <w:r>
        <w:rPr>
          <w:w w:val="110"/>
          <w:sz w:val="16"/>
        </w:rPr>
        <w:t>,</w:t>
      </w:r>
      <w:r>
        <w:rPr>
          <w:spacing w:val="13"/>
          <w:sz w:val="16"/>
        </w:rPr>
        <w:t> </w:t>
      </w:r>
      <w:r>
        <w:rPr>
          <w:spacing w:val="2"/>
          <w:w w:val="109"/>
          <w:sz w:val="16"/>
        </w:rPr>
        <w:t>l</w:t>
      </w:r>
      <w:r>
        <w:rPr>
          <w:w w:val="109"/>
          <w:sz w:val="16"/>
        </w:rPr>
        <w:t>a</w:t>
      </w:r>
      <w:r>
        <w:rPr>
          <w:spacing w:val="13"/>
          <w:sz w:val="16"/>
        </w:rPr>
        <w:t> </w:t>
      </w:r>
      <w:r>
        <w:rPr>
          <w:spacing w:val="2"/>
          <w:w w:val="107"/>
          <w:sz w:val="16"/>
        </w:rPr>
        <w:t>regió</w:t>
      </w:r>
      <w:r>
        <w:rPr>
          <w:w w:val="107"/>
          <w:sz w:val="16"/>
        </w:rPr>
        <w:t>n</w:t>
      </w:r>
      <w:r>
        <w:rPr>
          <w:spacing w:val="13"/>
          <w:sz w:val="16"/>
        </w:rPr>
        <w:t> </w:t>
      </w:r>
      <w:r>
        <w:rPr>
          <w:spacing w:val="2"/>
          <w:w w:val="104"/>
          <w:sz w:val="16"/>
        </w:rPr>
        <w:t>d</w:t>
      </w:r>
      <w:r>
        <w:rPr>
          <w:w w:val="104"/>
          <w:sz w:val="16"/>
        </w:rPr>
        <w:t>e</w:t>
      </w:r>
      <w:r>
        <w:rPr>
          <w:spacing w:val="13"/>
          <w:sz w:val="16"/>
        </w:rPr>
        <w:t> </w:t>
      </w:r>
      <w:r>
        <w:rPr>
          <w:spacing w:val="2"/>
          <w:w w:val="136"/>
          <w:sz w:val="16"/>
        </w:rPr>
        <w:t>a</w:t>
      </w:r>
      <w:r>
        <w:rPr>
          <w:spacing w:val="2"/>
          <w:w w:val="108"/>
          <w:sz w:val="16"/>
        </w:rPr>
        <w:t>méric</w:t>
      </w:r>
      <w:r>
        <w:rPr>
          <w:w w:val="108"/>
          <w:sz w:val="16"/>
        </w:rPr>
        <w:t>a</w:t>
      </w:r>
      <w:r>
        <w:rPr>
          <w:spacing w:val="13"/>
          <w:sz w:val="16"/>
        </w:rPr>
        <w:t> </w:t>
      </w:r>
      <w:r>
        <w:rPr>
          <w:spacing w:val="2"/>
          <w:w w:val="238"/>
          <w:sz w:val="16"/>
        </w:rPr>
        <w:t>l</w:t>
      </w:r>
      <w:r>
        <w:rPr>
          <w:spacing w:val="2"/>
          <w:w w:val="109"/>
          <w:sz w:val="16"/>
        </w:rPr>
        <w:t>atin</w:t>
      </w:r>
      <w:r>
        <w:rPr>
          <w:w w:val="109"/>
          <w:sz w:val="16"/>
        </w:rPr>
        <w:t>a</w:t>
      </w:r>
      <w:r>
        <w:rPr>
          <w:spacing w:val="13"/>
          <w:sz w:val="16"/>
        </w:rPr>
        <w:t> </w:t>
      </w:r>
      <w:r>
        <w:rPr>
          <w:w w:val="102"/>
          <w:sz w:val="16"/>
        </w:rPr>
        <w:t>y</w:t>
      </w:r>
      <w:r>
        <w:rPr>
          <w:spacing w:val="13"/>
          <w:sz w:val="16"/>
        </w:rPr>
        <w:t> </w:t>
      </w:r>
      <w:r>
        <w:rPr>
          <w:spacing w:val="2"/>
          <w:w w:val="104"/>
          <w:sz w:val="16"/>
        </w:rPr>
        <w:t>e</w:t>
      </w:r>
      <w:r>
        <w:rPr>
          <w:w w:val="104"/>
          <w:sz w:val="16"/>
        </w:rPr>
        <w:t>l</w:t>
      </w:r>
      <w:r>
        <w:rPr>
          <w:spacing w:val="13"/>
          <w:sz w:val="16"/>
        </w:rPr>
        <w:t> </w:t>
      </w:r>
      <w:r>
        <w:rPr>
          <w:spacing w:val="2"/>
          <w:w w:val="110"/>
          <w:sz w:val="16"/>
        </w:rPr>
        <w:t>Carib</w:t>
      </w:r>
      <w:r>
        <w:rPr>
          <w:w w:val="110"/>
          <w:sz w:val="16"/>
        </w:rPr>
        <w:t>e</w:t>
      </w:r>
      <w:r>
        <w:rPr>
          <w:spacing w:val="13"/>
          <w:sz w:val="16"/>
        </w:rPr>
        <w:t> </w:t>
      </w:r>
      <w:r>
        <w:rPr>
          <w:spacing w:val="2"/>
          <w:w w:val="107"/>
          <w:sz w:val="16"/>
        </w:rPr>
        <w:t>increment</w:t>
      </w:r>
      <w:r>
        <w:rPr>
          <w:w w:val="107"/>
          <w:sz w:val="16"/>
        </w:rPr>
        <w:t>ó</w:t>
      </w:r>
      <w:r>
        <w:rPr>
          <w:spacing w:val="13"/>
          <w:sz w:val="16"/>
        </w:rPr>
        <w:t> </w:t>
      </w:r>
      <w:r>
        <w:rPr>
          <w:spacing w:val="2"/>
          <w:w w:val="107"/>
          <w:sz w:val="16"/>
        </w:rPr>
        <w:t>s</w:t>
      </w:r>
      <w:r>
        <w:rPr>
          <w:w w:val="107"/>
          <w:sz w:val="16"/>
        </w:rPr>
        <w:t>u</w:t>
      </w:r>
      <w:r>
        <w:rPr>
          <w:spacing w:val="13"/>
          <w:sz w:val="16"/>
        </w:rPr>
        <w:t> </w:t>
      </w:r>
      <w:r>
        <w:rPr>
          <w:spacing w:val="2"/>
          <w:w w:val="110"/>
          <w:sz w:val="16"/>
        </w:rPr>
        <w:t>con</w:t>
      </w:r>
      <w:r>
        <w:rPr>
          <w:w w:val="100"/>
          <w:sz w:val="16"/>
        </w:rPr>
        <w:t>- </w:t>
      </w:r>
      <w:r>
        <w:rPr>
          <w:w w:val="110"/>
          <w:sz w:val="16"/>
        </w:rPr>
        <w:t>tribución especialmente en el período 2001-2012. Esto sucede luego de dos déca- das de retrocesos (especialmente la llamada “década perdida” durante los ochenta, pero también la década del noventa) en términos de participación en el crecimien- to</w:t>
      </w:r>
      <w:r>
        <w:rPr>
          <w:spacing w:val="32"/>
          <w:w w:val="110"/>
          <w:sz w:val="16"/>
        </w:rPr>
        <w:t> </w:t>
      </w:r>
      <w:r>
        <w:rPr>
          <w:w w:val="110"/>
          <w:sz w:val="16"/>
        </w:rPr>
        <w:t>mundial.</w:t>
      </w:r>
    </w:p>
    <w:p>
      <w:pPr>
        <w:pStyle w:val="ListParagraph"/>
        <w:numPr>
          <w:ilvl w:val="0"/>
          <w:numId w:val="35"/>
        </w:numPr>
        <w:tabs>
          <w:tab w:pos="586" w:val="left" w:leader="none"/>
        </w:tabs>
        <w:spacing w:line="242" w:lineRule="auto" w:before="57" w:after="0"/>
        <w:ind w:left="330" w:right="117" w:firstLine="0"/>
        <w:jc w:val="both"/>
        <w:rPr>
          <w:sz w:val="16"/>
        </w:rPr>
      </w:pPr>
      <w:r>
        <w:rPr>
          <w:w w:val="105"/>
          <w:sz w:val="16"/>
        </w:rPr>
        <w:t>Es interesante destacar que </w:t>
      </w:r>
      <w:r>
        <w:rPr>
          <w:spacing w:val="-4"/>
          <w:w w:val="105"/>
          <w:sz w:val="16"/>
        </w:rPr>
        <w:t>Van </w:t>
      </w:r>
      <w:r>
        <w:rPr>
          <w:w w:val="105"/>
          <w:sz w:val="16"/>
        </w:rPr>
        <w:t>Veenstra </w:t>
      </w:r>
      <w:r>
        <w:rPr>
          <w:i/>
          <w:w w:val="105"/>
          <w:sz w:val="16"/>
        </w:rPr>
        <w:t>et al. </w:t>
      </w:r>
      <w:r>
        <w:rPr>
          <w:w w:val="105"/>
          <w:sz w:val="16"/>
        </w:rPr>
        <w:t>(2011) encuentran que la representación diplomática, como parte de la diplomacia económica bilateral entre países, no constituye un factor relevante de incremento del comercio al interior de   </w:t>
      </w:r>
      <w:r>
        <w:rPr>
          <w:spacing w:val="37"/>
          <w:w w:val="105"/>
          <w:sz w:val="16"/>
        </w:rPr>
        <w:t> </w:t>
      </w:r>
      <w:r>
        <w:rPr>
          <w:w w:val="105"/>
          <w:sz w:val="16"/>
        </w:rPr>
        <w:t>los países desarrollados o del Norte, sin embargo, este mismo factor es significativo  </w:t>
      </w:r>
      <w:r>
        <w:rPr>
          <w:spacing w:val="37"/>
          <w:w w:val="105"/>
          <w:sz w:val="16"/>
        </w:rPr>
        <w:t> </w:t>
      </w:r>
      <w:r>
        <w:rPr>
          <w:w w:val="105"/>
          <w:sz w:val="16"/>
        </w:rPr>
        <w:t>en las relaciones comerciales bilaterales de los países   </w:t>
      </w:r>
      <w:r>
        <w:rPr>
          <w:spacing w:val="28"/>
          <w:w w:val="105"/>
          <w:sz w:val="16"/>
        </w:rPr>
        <w:t> </w:t>
      </w:r>
      <w:r>
        <w:rPr>
          <w:w w:val="105"/>
          <w:sz w:val="16"/>
        </w:rPr>
        <w:t>emergentes.</w:t>
      </w:r>
    </w:p>
    <w:p>
      <w:pPr>
        <w:spacing w:after="0" w:line="242" w:lineRule="auto"/>
        <w:jc w:val="both"/>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8" w:firstLine="396"/>
        <w:jc w:val="both"/>
      </w:pPr>
      <w:r>
        <w:rPr>
          <w:w w:val="110"/>
        </w:rPr>
        <w:t>En</w:t>
      </w:r>
      <w:r>
        <w:rPr>
          <w:spacing w:val="-4"/>
          <w:w w:val="110"/>
        </w:rPr>
        <w:t> </w:t>
      </w:r>
      <w:r>
        <w:rPr>
          <w:w w:val="110"/>
        </w:rPr>
        <w:t>general,</w:t>
      </w:r>
      <w:r>
        <w:rPr>
          <w:spacing w:val="-4"/>
          <w:w w:val="110"/>
        </w:rPr>
        <w:t> </w:t>
      </w:r>
      <w:r>
        <w:rPr>
          <w:w w:val="110"/>
        </w:rPr>
        <w:t>las</w:t>
      </w:r>
      <w:r>
        <w:rPr>
          <w:spacing w:val="-4"/>
          <w:w w:val="110"/>
        </w:rPr>
        <w:t> </w:t>
      </w:r>
      <w:r>
        <w:rPr>
          <w:w w:val="110"/>
        </w:rPr>
        <w:t>relaciones</w:t>
      </w:r>
      <w:r>
        <w:rPr>
          <w:spacing w:val="-4"/>
          <w:w w:val="110"/>
        </w:rPr>
        <w:t> </w:t>
      </w:r>
      <w:r>
        <w:rPr>
          <w:w w:val="110"/>
        </w:rPr>
        <w:t>de</w:t>
      </w:r>
      <w:r>
        <w:rPr>
          <w:spacing w:val="-4"/>
          <w:w w:val="110"/>
        </w:rPr>
        <w:t> </w:t>
      </w:r>
      <w:r>
        <w:rPr>
          <w:w w:val="110"/>
        </w:rPr>
        <w:t>poder</w:t>
      </w:r>
      <w:r>
        <w:rPr>
          <w:spacing w:val="-4"/>
          <w:w w:val="110"/>
        </w:rPr>
        <w:t> </w:t>
      </w:r>
      <w:r>
        <w:rPr>
          <w:w w:val="110"/>
        </w:rPr>
        <w:t>a</w:t>
      </w:r>
      <w:r>
        <w:rPr>
          <w:spacing w:val="-4"/>
          <w:w w:val="110"/>
        </w:rPr>
        <w:t> </w:t>
      </w:r>
      <w:r>
        <w:rPr>
          <w:w w:val="110"/>
        </w:rPr>
        <w:t>nivel</w:t>
      </w:r>
      <w:r>
        <w:rPr>
          <w:spacing w:val="-4"/>
          <w:w w:val="110"/>
        </w:rPr>
        <w:t> </w:t>
      </w:r>
      <w:r>
        <w:rPr>
          <w:w w:val="110"/>
        </w:rPr>
        <w:t>global</w:t>
      </w:r>
      <w:r>
        <w:rPr>
          <w:spacing w:val="-4"/>
          <w:w w:val="110"/>
        </w:rPr>
        <w:t> </w:t>
      </w:r>
      <w:r>
        <w:rPr>
          <w:w w:val="110"/>
        </w:rPr>
        <w:t>han</w:t>
      </w:r>
      <w:r>
        <w:rPr>
          <w:spacing w:val="-4"/>
          <w:w w:val="110"/>
        </w:rPr>
        <w:t> </w:t>
      </w:r>
      <w:r>
        <w:rPr>
          <w:w w:val="110"/>
        </w:rPr>
        <w:t>sufrido</w:t>
      </w:r>
      <w:r>
        <w:rPr>
          <w:spacing w:val="-4"/>
          <w:w w:val="110"/>
        </w:rPr>
        <w:t> </w:t>
      </w:r>
      <w:r>
        <w:rPr>
          <w:w w:val="110"/>
        </w:rPr>
        <w:t>cam- bios enmarcados en lo que sánchez Egozcue (2009: 55) denomina la evolución de un “modelo de dependencia tradicional unidireccional”, marcadas por las formas tradicionales de dominación y subordina- ción, hacia lo que llama un “esquema múltiple”, en el que se combi-   na esta dependencia consolidada con nuevos impulsos de espacios, países y regiones emergentes con relaciones “más plurales y menos orientadas hacia el</w:t>
      </w:r>
      <w:r>
        <w:rPr>
          <w:spacing w:val="45"/>
          <w:w w:val="110"/>
        </w:rPr>
        <w:t> </w:t>
      </w:r>
      <w:r>
        <w:rPr>
          <w:w w:val="110"/>
        </w:rPr>
        <w:t>Norte”.</w:t>
      </w:r>
    </w:p>
    <w:p>
      <w:pPr>
        <w:pStyle w:val="BodyText"/>
        <w:spacing w:line="252" w:lineRule="auto"/>
        <w:ind w:left="120" w:right="328" w:firstLine="396"/>
        <w:jc w:val="both"/>
      </w:pPr>
      <w:r>
        <w:rPr>
          <w:w w:val="243"/>
        </w:rPr>
        <w:t>l</w:t>
      </w:r>
      <w:r>
        <w:rPr>
          <w:w w:val="112"/>
        </w:rPr>
        <w:t>a</w:t>
      </w:r>
      <w:r>
        <w:rPr/>
        <w:t> </w:t>
      </w:r>
      <w:r>
        <w:rPr>
          <w:spacing w:val="-14"/>
        </w:rPr>
        <w:t> </w:t>
      </w:r>
      <w:r>
        <w:rPr>
          <w:w w:val="111"/>
        </w:rPr>
        <w:t>incorporación</w:t>
      </w:r>
      <w:r>
        <w:rPr/>
        <w:t> </w:t>
      </w:r>
      <w:r>
        <w:rPr>
          <w:spacing w:val="-14"/>
        </w:rPr>
        <w:t> </w:t>
      </w:r>
      <w:r>
        <w:rPr>
          <w:w w:val="107"/>
        </w:rPr>
        <w:t>de</w:t>
      </w:r>
      <w:r>
        <w:rPr/>
        <w:t> </w:t>
      </w:r>
      <w:r>
        <w:rPr>
          <w:spacing w:val="-14"/>
        </w:rPr>
        <w:t> </w:t>
      </w:r>
      <w:r>
        <w:rPr>
          <w:w w:val="108"/>
        </w:rPr>
        <w:t>países</w:t>
      </w:r>
      <w:r>
        <w:rPr/>
        <w:t> </w:t>
      </w:r>
      <w:r>
        <w:rPr>
          <w:spacing w:val="-14"/>
        </w:rPr>
        <w:t> </w:t>
      </w:r>
      <w:r>
        <w:rPr>
          <w:w w:val="109"/>
        </w:rPr>
        <w:t>“subdesarrollados”</w:t>
      </w:r>
      <w:r>
        <w:rPr/>
        <w:t> </w:t>
      </w:r>
      <w:r>
        <w:rPr>
          <w:spacing w:val="-14"/>
        </w:rPr>
        <w:t> </w:t>
      </w:r>
      <w:r>
        <w:rPr>
          <w:w w:val="108"/>
        </w:rPr>
        <w:t>–sin</w:t>
      </w:r>
      <w:r>
        <w:rPr/>
        <w:t> </w:t>
      </w:r>
      <w:r>
        <w:rPr>
          <w:spacing w:val="-14"/>
        </w:rPr>
        <w:t> </w:t>
      </w:r>
      <w:r>
        <w:rPr>
          <w:w w:val="108"/>
        </w:rPr>
        <w:t>que</w:t>
      </w:r>
      <w:r>
        <w:rPr/>
        <w:t> </w:t>
      </w:r>
      <w:r>
        <w:rPr>
          <w:spacing w:val="-14"/>
        </w:rPr>
        <w:t> </w:t>
      </w:r>
      <w:r>
        <w:rPr>
          <w:w w:val="108"/>
        </w:rPr>
        <w:t>ello</w:t>
      </w:r>
      <w:r>
        <w:rPr/>
        <w:t> </w:t>
      </w:r>
      <w:r>
        <w:rPr>
          <w:spacing w:val="-14"/>
        </w:rPr>
        <w:t> </w:t>
      </w:r>
      <w:r>
        <w:rPr>
          <w:w w:val="114"/>
        </w:rPr>
        <w:t>im</w:t>
      </w:r>
      <w:r>
        <w:rPr>
          <w:w w:val="102"/>
        </w:rPr>
        <w:t>- </w:t>
      </w:r>
      <w:r>
        <w:rPr>
          <w:w w:val="110"/>
        </w:rPr>
        <w:t>plique que abandonen estas categorías– de la llamada “semi-perife- ria”, como “nuevos centros” o “núcleos dinámicos” de crecimiento de la economía mundial, se ha traducido en una mayor heterogeneidad del llamado “mundo subdesarrollado”, lo que ha revitalizado la con- vencional dicotomía “desarrollo-subdesarrollo” y fortalecido las inte- racciones económicas entre “países periféricos”. En algunos casos se habla de un desplazamiento del eje del dinamismo económico hacia asia, lo cual explica un corrimiento y diferenciación mayor al interior de la denominada “periferia” en su forma </w:t>
      </w:r>
      <w:r>
        <w:rPr>
          <w:spacing w:val="37"/>
          <w:w w:val="110"/>
        </w:rPr>
        <w:t> </w:t>
      </w:r>
      <w:r>
        <w:rPr>
          <w:w w:val="110"/>
        </w:rPr>
        <w:t>tradicional</w:t>
      </w:r>
      <w:r>
        <w:rPr>
          <w:w w:val="110"/>
          <w:position w:val="6"/>
          <w:sz w:val="11"/>
        </w:rPr>
        <w:t>20</w:t>
      </w:r>
      <w:r>
        <w:rPr>
          <w:w w:val="110"/>
        </w:rPr>
        <w:t>.</w:t>
      </w:r>
    </w:p>
    <w:p>
      <w:pPr>
        <w:pStyle w:val="BodyText"/>
        <w:spacing w:line="252" w:lineRule="auto"/>
        <w:ind w:left="120" w:right="325" w:firstLine="396"/>
        <w:jc w:val="both"/>
      </w:pPr>
      <w:r>
        <w:rPr>
          <w:w w:val="110"/>
        </w:rPr>
        <w:t>No obstante, cabría preguntarse hasta qué punto pueden “paí-  ses emergentes” como China, india, brasil, rusia, sudáfrica, entre  otros, actuar de manera permanente como motores del dinamismo económico global, ya sea para el crecimiento  de  “países  periféri-  cos” o del llamado “sur Global”; o si los países </w:t>
      </w:r>
      <w:r>
        <w:rPr>
          <w:i/>
          <w:w w:val="110"/>
        </w:rPr>
        <w:t>centros tradicionales </w:t>
      </w:r>
      <w:r>
        <w:rPr>
          <w:w w:val="110"/>
        </w:rPr>
        <w:t>como Estados unidos, la unión Europea y Japón, entre otros, con- tinuarán jugando el rol convencional de promoción del crecimiento     y las inversiones globales para el resto del mundo. Mursed </w:t>
      </w:r>
      <w:r>
        <w:rPr>
          <w:i/>
          <w:w w:val="110"/>
        </w:rPr>
        <w:t>et  </w:t>
      </w:r>
      <w:r>
        <w:rPr>
          <w:i/>
          <w:spacing w:val="2"/>
          <w:w w:val="110"/>
        </w:rPr>
        <w:t>al. </w:t>
      </w:r>
      <w:r>
        <w:rPr>
          <w:w w:val="110"/>
        </w:rPr>
        <w:t>(2011: 3) alerta sobre la importancia de la crisis económica reciente no sólo por su tamaño y magnitud, sino también porque ha </w:t>
      </w:r>
      <w:r>
        <w:rPr>
          <w:spacing w:val="2"/>
          <w:w w:val="110"/>
        </w:rPr>
        <w:t>estado </w:t>
      </w:r>
      <w:r>
        <w:rPr>
          <w:w w:val="110"/>
        </w:rPr>
        <w:t>acompañada de cambios en la ortodoxia de la política macroeco- nómica. Estos cambios enfatizan en el empleo de políticas macro- económicas contracíclicas en lugar de enfocarse estrictamente en el control  de  la</w:t>
      </w:r>
      <w:r>
        <w:rPr>
          <w:spacing w:val="2"/>
          <w:w w:val="110"/>
        </w:rPr>
        <w:t> </w:t>
      </w:r>
      <w:r>
        <w:rPr>
          <w:w w:val="110"/>
        </w:rPr>
        <w:t>inflación.</w:t>
      </w:r>
    </w:p>
    <w:p>
      <w:pPr>
        <w:pStyle w:val="BodyText"/>
        <w:spacing w:line="252" w:lineRule="auto"/>
        <w:ind w:left="120" w:right="328" w:firstLine="396"/>
        <w:jc w:val="both"/>
      </w:pPr>
      <w:r>
        <w:rPr>
          <w:w w:val="110"/>
        </w:rPr>
        <w:t>En relación a los mecanismos a través de los cuales se transmiten los impulsos cíclicos, en general, se observa un consenso en</w:t>
      </w:r>
      <w:r>
        <w:rPr>
          <w:spacing w:val="-22"/>
          <w:w w:val="110"/>
        </w:rPr>
        <w:t> </w:t>
      </w:r>
      <w:r>
        <w:rPr>
          <w:w w:val="110"/>
        </w:rPr>
        <w:t>identificar al menos dos grandes categorías de transmisión de shocks: comercial y</w:t>
      </w:r>
      <w:r>
        <w:rPr>
          <w:spacing w:val="11"/>
          <w:w w:val="110"/>
        </w:rPr>
        <w:t> </w:t>
      </w:r>
      <w:r>
        <w:rPr>
          <w:w w:val="110"/>
        </w:rPr>
        <w:t>monetario-financiero.</w:t>
      </w:r>
    </w:p>
    <w:p>
      <w:pPr>
        <w:pStyle w:val="BodyText"/>
        <w:rPr>
          <w:sz w:val="20"/>
        </w:rPr>
      </w:pPr>
    </w:p>
    <w:p>
      <w:pPr>
        <w:pStyle w:val="BodyText"/>
        <w:rPr>
          <w:sz w:val="20"/>
        </w:rPr>
      </w:pPr>
    </w:p>
    <w:p>
      <w:pPr>
        <w:pStyle w:val="BodyText"/>
        <w:spacing w:before="9"/>
        <w:rPr>
          <w:sz w:val="26"/>
        </w:rPr>
      </w:pPr>
      <w:r>
        <w:rPr/>
        <w:pict>
          <v:line style="position:absolute;mso-position-horizontal-relative:page;mso-position-vertical-relative:paragraph;z-index:8680;mso-wrap-distance-left:0;mso-wrap-distance-right:0" from="51.023602pt,17.919964pt" to="79.369602pt,17.919964pt" stroked="true" strokeweight=".5pt" strokecolor="#000000">
            <w10:wrap type="topAndBottom"/>
          </v:line>
        </w:pict>
      </w:r>
    </w:p>
    <w:p>
      <w:pPr>
        <w:pStyle w:val="ListParagraph"/>
        <w:numPr>
          <w:ilvl w:val="0"/>
          <w:numId w:val="35"/>
        </w:numPr>
        <w:tabs>
          <w:tab w:pos="376" w:val="left" w:leader="none"/>
        </w:tabs>
        <w:spacing w:line="242" w:lineRule="auto" w:before="89" w:after="0"/>
        <w:ind w:left="120" w:right="328" w:firstLine="0"/>
        <w:jc w:val="both"/>
        <w:rPr>
          <w:sz w:val="16"/>
        </w:rPr>
      </w:pPr>
      <w:r>
        <w:rPr>
          <w:spacing w:val="-8"/>
          <w:w w:val="110"/>
          <w:sz w:val="16"/>
        </w:rPr>
        <w:t>Ya </w:t>
      </w:r>
      <w:r>
        <w:rPr>
          <w:w w:val="110"/>
          <w:sz w:val="16"/>
        </w:rPr>
        <w:t>desde  la  década  del  setenta,  Furtado  (1970)  advertía  de  una  tendencia  a lo que él denomina “policentrismo” en el contexto de la economía internacional, basado en el proceso de declinación de la hegemonía económica de Estados unidos, la cual asociaba a una tasa de crecimiento relativamente</w:t>
      </w:r>
      <w:r>
        <w:rPr>
          <w:spacing w:val="-17"/>
          <w:w w:val="110"/>
          <w:sz w:val="16"/>
        </w:rPr>
        <w:t> </w:t>
      </w:r>
      <w:r>
        <w:rPr>
          <w:w w:val="110"/>
          <w:sz w:val="16"/>
        </w:rPr>
        <w:t>débil.</w:t>
      </w:r>
    </w:p>
    <w:p>
      <w:pPr>
        <w:spacing w:after="0" w:line="242" w:lineRule="auto"/>
        <w:jc w:val="both"/>
        <w:rPr>
          <w:sz w:val="16"/>
        </w:rPr>
        <w:sectPr>
          <w:pgSz w:w="8790" w:h="12760"/>
          <w:pgMar w:header="695" w:footer="723" w:top="880" w:bottom="920" w:left="900" w:right="1200"/>
        </w:sectPr>
      </w:pPr>
    </w:p>
    <w:p>
      <w:pPr>
        <w:pStyle w:val="BodyText"/>
        <w:spacing w:before="6"/>
        <w:rPr>
          <w:sz w:val="28"/>
        </w:rPr>
      </w:pPr>
    </w:p>
    <w:p>
      <w:pPr>
        <w:pStyle w:val="BodyText"/>
        <w:spacing w:line="252" w:lineRule="auto" w:before="74"/>
        <w:ind w:left="330" w:right="117"/>
        <w:jc w:val="both"/>
      </w:pPr>
      <w:r>
        <w:rPr>
          <w:i/>
          <w:w w:val="110"/>
        </w:rPr>
        <w:t>Canal comercial</w:t>
      </w:r>
      <w:r>
        <w:rPr>
          <w:i/>
          <w:w w:val="110"/>
          <w:position w:val="6"/>
          <w:sz w:val="11"/>
        </w:rPr>
        <w:t>21</w:t>
      </w:r>
      <w:r>
        <w:rPr>
          <w:w w:val="110"/>
        </w:rPr>
        <w:t>: Este constituye el más ampliamente reconocido y </w:t>
      </w:r>
      <w:r>
        <w:rPr>
          <w:w w:val="111"/>
        </w:rPr>
        <w:t>documentado.</w:t>
      </w:r>
      <w:r>
        <w:rPr/>
        <w:t> </w:t>
      </w:r>
      <w:r>
        <w:rPr>
          <w:w w:val="243"/>
        </w:rPr>
        <w:t>l</w:t>
      </w:r>
      <w:r>
        <w:rPr>
          <w:w w:val="112"/>
        </w:rPr>
        <w:t>a</w:t>
      </w:r>
      <w:r>
        <w:rPr/>
        <w:t> </w:t>
      </w:r>
      <w:r>
        <w:rPr>
          <w:w w:val="109"/>
        </w:rPr>
        <w:t>idea</w:t>
      </w:r>
      <w:r>
        <w:rPr/>
        <w:t> </w:t>
      </w:r>
      <w:r>
        <w:rPr>
          <w:w w:val="111"/>
        </w:rPr>
        <w:t>fundamental</w:t>
      </w:r>
      <w:r>
        <w:rPr/>
        <w:t> </w:t>
      </w:r>
      <w:r>
        <w:rPr>
          <w:w w:val="111"/>
        </w:rPr>
        <w:t>radica</w:t>
      </w:r>
      <w:r>
        <w:rPr/>
        <w:t> </w:t>
      </w:r>
      <w:r>
        <w:rPr>
          <w:w w:val="108"/>
        </w:rPr>
        <w:t>en</w:t>
      </w:r>
      <w:r>
        <w:rPr/>
        <w:t> </w:t>
      </w:r>
      <w:r>
        <w:rPr>
          <w:w w:val="108"/>
        </w:rPr>
        <w:t>que</w:t>
      </w:r>
      <w:r>
        <w:rPr/>
        <w:t> </w:t>
      </w:r>
      <w:r>
        <w:rPr>
          <w:w w:val="111"/>
        </w:rPr>
        <w:t>la</w:t>
      </w:r>
      <w:r>
        <w:rPr/>
        <w:t> </w:t>
      </w:r>
      <w:r>
        <w:rPr>
          <w:w w:val="109"/>
        </w:rPr>
        <w:t>existencia</w:t>
      </w:r>
      <w:r>
        <w:rPr/>
        <w:t> </w:t>
      </w:r>
      <w:r>
        <w:rPr>
          <w:w w:val="107"/>
        </w:rPr>
        <w:t>de</w:t>
      </w:r>
      <w:r>
        <w:rPr/>
        <w:t> </w:t>
      </w:r>
      <w:r>
        <w:rPr>
          <w:w w:val="112"/>
        </w:rPr>
        <w:t>un </w:t>
      </w:r>
      <w:r>
        <w:rPr>
          <w:w w:val="110"/>
        </w:rPr>
        <w:t>comercio bilateral amplio entre países tiende a acompañar ciclos eco- nómicos altamente correlacionados.</w:t>
      </w:r>
    </w:p>
    <w:p>
      <w:pPr>
        <w:pStyle w:val="BodyText"/>
        <w:spacing w:before="11"/>
      </w:pPr>
    </w:p>
    <w:p>
      <w:pPr>
        <w:pStyle w:val="BodyText"/>
        <w:spacing w:line="252" w:lineRule="auto"/>
        <w:ind w:left="330" w:right="117"/>
        <w:jc w:val="both"/>
      </w:pPr>
      <w:r>
        <w:rPr>
          <w:i/>
          <w:w w:val="110"/>
        </w:rPr>
        <w:t>Canal monetario</w:t>
      </w:r>
      <w:r>
        <w:rPr>
          <w:i/>
          <w:w w:val="110"/>
          <w:position w:val="6"/>
          <w:sz w:val="11"/>
        </w:rPr>
        <w:t>22</w:t>
      </w:r>
      <w:r>
        <w:rPr>
          <w:i/>
          <w:w w:val="110"/>
        </w:rPr>
        <w:t>-financiero</w:t>
      </w:r>
      <w:r>
        <w:rPr>
          <w:i/>
          <w:w w:val="110"/>
          <w:position w:val="6"/>
          <w:sz w:val="11"/>
        </w:rPr>
        <w:t>23</w:t>
      </w:r>
      <w:r>
        <w:rPr>
          <w:w w:val="110"/>
        </w:rPr>
        <w:t>: En el tema monetario, en general, se reconoce que la variabilidad del producto difiere en regímenes de cambio fijos y flexibles. algunos autores sostienen que un régimen    de tipo de cambio exitoso a nivel bilateral, probablemente lleve a ci- clos económicos más sincronizados. En el área financiera, esta posee múltiples variantes. sin embargo, la mayor parte de los autores se ha concentrado en la dirección y magnitud de la influencia del capital extranjero en el ciclo económico, a partir de la mayor integración de los mercados financieros. No obstante, el debate no ha concluido y existen divergencias entre muchos de los autores en cuanto al tipo de relación de los flujos financieros en la correlación de los ciclos econó- micos, y por consiguiente de su difusión, debido a factores como la información imperfecta, las limitaciones regulatorias en relación con el flujo de inversión, entre</w:t>
      </w:r>
      <w:r>
        <w:rPr>
          <w:spacing w:val="17"/>
          <w:w w:val="110"/>
        </w:rPr>
        <w:t> </w:t>
      </w:r>
      <w:r>
        <w:rPr>
          <w:w w:val="110"/>
        </w:rPr>
        <w:t>otros.</w:t>
      </w:r>
    </w:p>
    <w:p>
      <w:pPr>
        <w:pStyle w:val="BodyText"/>
        <w:spacing w:before="11"/>
      </w:pPr>
    </w:p>
    <w:p>
      <w:pPr>
        <w:pStyle w:val="BodyText"/>
        <w:spacing w:line="252" w:lineRule="auto"/>
        <w:ind w:left="330" w:right="115"/>
        <w:jc w:val="both"/>
      </w:pPr>
      <w:r>
        <w:rPr>
          <w:w w:val="115"/>
        </w:rPr>
        <w:t>sobre la base del estudio de las particularidades de las interrela- </w:t>
      </w:r>
      <w:r>
        <w:rPr>
          <w:spacing w:val="1"/>
          <w:w w:val="110"/>
        </w:rPr>
        <w:t>cione</w:t>
      </w:r>
      <w:r>
        <w:rPr>
          <w:w w:val="110"/>
        </w:rPr>
        <w:t>s</w:t>
      </w:r>
      <w:r>
        <w:rPr/>
        <w:t> </w:t>
      </w:r>
      <w:r>
        <w:rPr>
          <w:spacing w:val="-7"/>
        </w:rPr>
        <w:t> </w:t>
      </w:r>
      <w:r>
        <w:rPr>
          <w:spacing w:val="1"/>
          <w:w w:val="106"/>
        </w:rPr>
        <w:t>entr</w:t>
      </w:r>
      <w:r>
        <w:rPr>
          <w:w w:val="106"/>
        </w:rPr>
        <w:t>e</w:t>
      </w:r>
      <w:r>
        <w:rPr/>
        <w:t> </w:t>
      </w:r>
      <w:r>
        <w:rPr>
          <w:spacing w:val="-7"/>
        </w:rPr>
        <w:t> </w:t>
      </w:r>
      <w:r>
        <w:rPr>
          <w:spacing w:val="1"/>
          <w:w w:val="139"/>
        </w:rPr>
        <w:t>a</w:t>
      </w:r>
      <w:r>
        <w:rPr>
          <w:spacing w:val="1"/>
          <w:w w:val="111"/>
        </w:rPr>
        <w:t>méric</w:t>
      </w:r>
      <w:r>
        <w:rPr>
          <w:w w:val="111"/>
        </w:rPr>
        <w:t>a</w:t>
      </w:r>
      <w:r>
        <w:rPr/>
        <w:t> </w:t>
      </w:r>
      <w:r>
        <w:rPr>
          <w:spacing w:val="-7"/>
        </w:rPr>
        <w:t> </w:t>
      </w:r>
      <w:r>
        <w:rPr>
          <w:spacing w:val="1"/>
          <w:w w:val="243"/>
        </w:rPr>
        <w:t>l</w:t>
      </w:r>
      <w:r>
        <w:rPr>
          <w:spacing w:val="1"/>
          <w:w w:val="111"/>
        </w:rPr>
        <w:t>atin</w:t>
      </w:r>
      <w:r>
        <w:rPr>
          <w:w w:val="111"/>
        </w:rPr>
        <w:t>a</w:t>
      </w:r>
      <w:r>
        <w:rPr/>
        <w:t> </w:t>
      </w:r>
      <w:r>
        <w:rPr>
          <w:spacing w:val="-7"/>
        </w:rPr>
        <w:t> </w:t>
      </w:r>
      <w:r>
        <w:rPr>
          <w:w w:val="105"/>
        </w:rPr>
        <w:t>y</w:t>
      </w:r>
      <w:r>
        <w:rPr/>
        <w:t> </w:t>
      </w:r>
      <w:r>
        <w:rPr>
          <w:spacing w:val="-7"/>
        </w:rPr>
        <w:t> </w:t>
      </w:r>
      <w:r>
        <w:rPr>
          <w:spacing w:val="1"/>
          <w:w w:val="107"/>
        </w:rPr>
        <w:t>e</w:t>
      </w:r>
      <w:r>
        <w:rPr>
          <w:w w:val="107"/>
        </w:rPr>
        <w:t>l</w:t>
      </w:r>
      <w:r>
        <w:rPr/>
        <w:t> </w:t>
      </w:r>
      <w:r>
        <w:rPr>
          <w:spacing w:val="-7"/>
        </w:rPr>
        <w:t> </w:t>
      </w:r>
      <w:r>
        <w:rPr>
          <w:spacing w:val="1"/>
          <w:w w:val="112"/>
        </w:rPr>
        <w:t>Carib</w:t>
      </w:r>
      <w:r>
        <w:rPr>
          <w:w w:val="112"/>
        </w:rPr>
        <w:t>e</w:t>
      </w:r>
      <w:r>
        <w:rPr/>
        <w:t> </w:t>
      </w:r>
      <w:r>
        <w:rPr>
          <w:spacing w:val="-7"/>
        </w:rPr>
        <w:t> </w:t>
      </w:r>
      <w:r>
        <w:rPr>
          <w:w w:val="105"/>
        </w:rPr>
        <w:t>y</w:t>
      </w:r>
      <w:r>
        <w:rPr/>
        <w:t> </w:t>
      </w:r>
      <w:r>
        <w:rPr>
          <w:spacing w:val="-7"/>
        </w:rPr>
        <w:t> </w:t>
      </w:r>
      <w:r>
        <w:rPr>
          <w:spacing w:val="1"/>
          <w:w w:val="111"/>
        </w:rPr>
        <w:t>Estado</w:t>
      </w:r>
      <w:r>
        <w:rPr>
          <w:w w:val="111"/>
        </w:rPr>
        <w:t>s</w:t>
      </w:r>
      <w:r>
        <w:rPr/>
        <w:t> </w:t>
      </w:r>
      <w:r>
        <w:rPr>
          <w:spacing w:val="-7"/>
        </w:rPr>
        <w:t> </w:t>
      </w:r>
      <w:r>
        <w:rPr>
          <w:spacing w:val="1"/>
          <w:w w:val="140"/>
        </w:rPr>
        <w:t>u</w:t>
      </w:r>
      <w:r>
        <w:rPr>
          <w:spacing w:val="1"/>
          <w:w w:val="112"/>
        </w:rPr>
        <w:t>nidos</w:t>
      </w:r>
      <w:r>
        <w:rPr>
          <w:w w:val="112"/>
        </w:rPr>
        <w:t>,</w:t>
      </w:r>
      <w:r>
        <w:rPr/>
        <w:t> </w:t>
      </w:r>
      <w:r>
        <w:rPr>
          <w:spacing w:val="-7"/>
        </w:rPr>
        <w:t> </w:t>
      </w:r>
      <w:r>
        <w:rPr>
          <w:spacing w:val="1"/>
          <w:w w:val="108"/>
        </w:rPr>
        <w:t>pueden </w:t>
      </w:r>
      <w:r>
        <w:rPr>
          <w:w w:val="115"/>
        </w:rPr>
        <w:t>identificarse –a nivel analítico– algunos de los principales mecanis- mos de transmisión de shocks entre ambas regiones (recogidos en </w:t>
      </w:r>
      <w:r>
        <w:rPr>
          <w:spacing w:val="1"/>
          <w:w w:val="107"/>
        </w:rPr>
        <w:t>e</w:t>
      </w:r>
      <w:r>
        <w:rPr>
          <w:w w:val="107"/>
        </w:rPr>
        <w:t>l</w:t>
      </w:r>
      <w:r>
        <w:rPr/>
        <w:t> </w:t>
      </w:r>
      <w:r>
        <w:rPr>
          <w:spacing w:val="7"/>
        </w:rPr>
        <w:t> </w:t>
      </w:r>
      <w:r>
        <w:rPr>
          <w:spacing w:val="1"/>
          <w:w w:val="112"/>
        </w:rPr>
        <w:t>Esquem</w:t>
      </w:r>
      <w:r>
        <w:rPr>
          <w:w w:val="112"/>
        </w:rPr>
        <w:t>a</w:t>
      </w:r>
      <w:r>
        <w:rPr/>
        <w:t> </w:t>
      </w:r>
      <w:r>
        <w:rPr>
          <w:spacing w:val="7"/>
        </w:rPr>
        <w:t> </w:t>
      </w:r>
      <w:r>
        <w:rPr>
          <w:spacing w:val="1"/>
          <w:w w:val="107"/>
        </w:rPr>
        <w:t>1)</w:t>
      </w:r>
      <w:r>
        <w:rPr>
          <w:w w:val="107"/>
        </w:rPr>
        <w:t>.</w:t>
      </w:r>
      <w:r>
        <w:rPr/>
        <w:t> </w:t>
      </w:r>
      <w:r>
        <w:rPr>
          <w:spacing w:val="7"/>
        </w:rPr>
        <w:t> </w:t>
      </w:r>
      <w:r>
        <w:rPr>
          <w:spacing w:val="1"/>
          <w:w w:val="243"/>
        </w:rPr>
        <w:t>l</w:t>
      </w:r>
      <w:r>
        <w:rPr>
          <w:spacing w:val="1"/>
          <w:w w:val="108"/>
        </w:rPr>
        <w:t>o</w:t>
      </w:r>
      <w:r>
        <w:rPr>
          <w:w w:val="108"/>
        </w:rPr>
        <w:t>s</w:t>
      </w:r>
      <w:r>
        <w:rPr/>
        <w:t> </w:t>
      </w:r>
      <w:r>
        <w:rPr>
          <w:spacing w:val="7"/>
        </w:rPr>
        <w:t> </w:t>
      </w:r>
      <w:r>
        <w:rPr>
          <w:spacing w:val="1"/>
          <w:w w:val="110"/>
        </w:rPr>
        <w:t>canale</w:t>
      </w:r>
      <w:r>
        <w:rPr>
          <w:w w:val="110"/>
        </w:rPr>
        <w:t>s</w:t>
      </w:r>
      <w:r>
        <w:rPr/>
        <w:t> </w:t>
      </w:r>
      <w:r>
        <w:rPr>
          <w:spacing w:val="7"/>
        </w:rPr>
        <w:t> </w:t>
      </w:r>
      <w:r>
        <w:rPr>
          <w:spacing w:val="1"/>
          <w:w w:val="108"/>
        </w:rPr>
        <w:t>descrito</w:t>
      </w:r>
      <w:r>
        <w:rPr>
          <w:w w:val="108"/>
        </w:rPr>
        <w:t>s</w:t>
      </w:r>
      <w:r>
        <w:rPr/>
        <w:t> </w:t>
      </w:r>
      <w:r>
        <w:rPr>
          <w:spacing w:val="7"/>
        </w:rPr>
        <w:t> </w:t>
      </w:r>
      <w:r>
        <w:rPr>
          <w:spacing w:val="1"/>
          <w:w w:val="107"/>
        </w:rPr>
        <w:t>d</w:t>
      </w:r>
      <w:r>
        <w:rPr>
          <w:w w:val="107"/>
        </w:rPr>
        <w:t>e</w:t>
      </w:r>
      <w:r>
        <w:rPr/>
        <w:t> </w:t>
      </w:r>
      <w:r>
        <w:rPr>
          <w:spacing w:val="7"/>
        </w:rPr>
        <w:t> </w:t>
      </w:r>
      <w:r>
        <w:rPr>
          <w:spacing w:val="1"/>
          <w:w w:val="110"/>
        </w:rPr>
        <w:t>transmisió</w:t>
      </w:r>
      <w:r>
        <w:rPr>
          <w:w w:val="110"/>
        </w:rPr>
        <w:t>n</w:t>
      </w:r>
      <w:r>
        <w:rPr/>
        <w:t> </w:t>
      </w:r>
      <w:r>
        <w:rPr>
          <w:spacing w:val="7"/>
        </w:rPr>
        <w:t> </w:t>
      </w:r>
      <w:r>
        <w:rPr>
          <w:spacing w:val="1"/>
          <w:w w:val="107"/>
        </w:rPr>
        <w:t>d</w:t>
      </w:r>
      <w:r>
        <w:rPr>
          <w:w w:val="107"/>
        </w:rPr>
        <w:t>e</w:t>
      </w:r>
      <w:r>
        <w:rPr/>
        <w:t> </w:t>
      </w:r>
      <w:r>
        <w:rPr>
          <w:spacing w:val="7"/>
        </w:rPr>
        <w:t> </w:t>
      </w:r>
      <w:r>
        <w:rPr>
          <w:spacing w:val="1"/>
          <w:w w:val="110"/>
        </w:rPr>
        <w:t>impulsos </w:t>
      </w:r>
      <w:r>
        <w:rPr>
          <w:w w:val="115"/>
        </w:rPr>
        <w:t>cíclicos</w:t>
      </w:r>
      <w:r>
        <w:rPr>
          <w:spacing w:val="-13"/>
          <w:w w:val="115"/>
        </w:rPr>
        <w:t> </w:t>
      </w:r>
      <w:r>
        <w:rPr>
          <w:w w:val="115"/>
        </w:rPr>
        <w:t>externos</w:t>
      </w:r>
      <w:r>
        <w:rPr>
          <w:spacing w:val="-13"/>
          <w:w w:val="115"/>
        </w:rPr>
        <w:t> </w:t>
      </w:r>
      <w:r>
        <w:rPr>
          <w:w w:val="115"/>
        </w:rPr>
        <w:t>hacia</w:t>
      </w:r>
      <w:r>
        <w:rPr>
          <w:spacing w:val="-13"/>
          <w:w w:val="115"/>
        </w:rPr>
        <w:t> </w:t>
      </w:r>
      <w:r>
        <w:rPr>
          <w:w w:val="115"/>
        </w:rPr>
        <w:t>las</w:t>
      </w:r>
      <w:r>
        <w:rPr>
          <w:spacing w:val="-13"/>
          <w:w w:val="115"/>
        </w:rPr>
        <w:t> </w:t>
      </w:r>
      <w:r>
        <w:rPr>
          <w:w w:val="115"/>
        </w:rPr>
        <w:t>economías</w:t>
      </w:r>
      <w:r>
        <w:rPr>
          <w:spacing w:val="-13"/>
          <w:w w:val="115"/>
        </w:rPr>
        <w:t> </w:t>
      </w:r>
      <w:r>
        <w:rPr>
          <w:w w:val="115"/>
        </w:rPr>
        <w:t>de</w:t>
      </w:r>
      <w:r>
        <w:rPr>
          <w:spacing w:val="-13"/>
          <w:w w:val="115"/>
        </w:rPr>
        <w:t> </w:t>
      </w:r>
      <w:r>
        <w:rPr>
          <w:w w:val="115"/>
        </w:rPr>
        <w:t>la</w:t>
      </w:r>
      <w:r>
        <w:rPr>
          <w:spacing w:val="-13"/>
          <w:w w:val="115"/>
        </w:rPr>
        <w:t> </w:t>
      </w:r>
      <w:r>
        <w:rPr>
          <w:w w:val="115"/>
        </w:rPr>
        <w:t>región</w:t>
      </w:r>
      <w:r>
        <w:rPr>
          <w:spacing w:val="-13"/>
          <w:w w:val="115"/>
        </w:rPr>
        <w:t> </w:t>
      </w:r>
      <w:r>
        <w:rPr>
          <w:w w:val="115"/>
        </w:rPr>
        <w:t>tienen</w:t>
      </w:r>
      <w:r>
        <w:rPr>
          <w:spacing w:val="-13"/>
          <w:w w:val="115"/>
        </w:rPr>
        <w:t> </w:t>
      </w:r>
      <w:r>
        <w:rPr>
          <w:w w:val="115"/>
        </w:rPr>
        <w:t>tres</w:t>
      </w:r>
      <w:r>
        <w:rPr>
          <w:spacing w:val="-13"/>
          <w:w w:val="115"/>
        </w:rPr>
        <w:t> </w:t>
      </w:r>
      <w:r>
        <w:rPr>
          <w:w w:val="115"/>
        </w:rPr>
        <w:t>puntos de partida fundamentales: los movimientos cíclicos de la produc- ción, la tasa de interés en Estados unidos y las oscilaciones del tipo de</w:t>
      </w:r>
      <w:r>
        <w:rPr>
          <w:spacing w:val="-9"/>
          <w:w w:val="115"/>
        </w:rPr>
        <w:t> </w:t>
      </w:r>
      <w:r>
        <w:rPr>
          <w:w w:val="115"/>
        </w:rPr>
        <w:t>cambio</w:t>
      </w:r>
      <w:r>
        <w:rPr>
          <w:spacing w:val="-9"/>
          <w:w w:val="115"/>
        </w:rPr>
        <w:t> </w:t>
      </w:r>
      <w:r>
        <w:rPr>
          <w:w w:val="115"/>
        </w:rPr>
        <w:t>del</w:t>
      </w:r>
      <w:r>
        <w:rPr>
          <w:spacing w:val="-9"/>
          <w:w w:val="115"/>
        </w:rPr>
        <w:t> </w:t>
      </w:r>
      <w:r>
        <w:rPr>
          <w:spacing w:val="-3"/>
          <w:w w:val="115"/>
        </w:rPr>
        <w:t>dólar,</w:t>
      </w:r>
      <w:r>
        <w:rPr>
          <w:spacing w:val="-9"/>
          <w:w w:val="115"/>
        </w:rPr>
        <w:t> </w:t>
      </w:r>
      <w:r>
        <w:rPr>
          <w:w w:val="115"/>
        </w:rPr>
        <w:t>variables</w:t>
      </w:r>
      <w:r>
        <w:rPr>
          <w:spacing w:val="-9"/>
          <w:w w:val="115"/>
        </w:rPr>
        <w:t> </w:t>
      </w:r>
      <w:r>
        <w:rPr>
          <w:w w:val="115"/>
        </w:rPr>
        <w:t>que</w:t>
      </w:r>
      <w:r>
        <w:rPr>
          <w:spacing w:val="-9"/>
          <w:w w:val="115"/>
        </w:rPr>
        <w:t> </w:t>
      </w:r>
      <w:r>
        <w:rPr>
          <w:w w:val="115"/>
        </w:rPr>
        <w:t>se</w:t>
      </w:r>
      <w:r>
        <w:rPr>
          <w:spacing w:val="-9"/>
          <w:w w:val="115"/>
        </w:rPr>
        <w:t> </w:t>
      </w:r>
      <w:r>
        <w:rPr>
          <w:w w:val="115"/>
        </w:rPr>
        <w:t>encuentran</w:t>
      </w:r>
      <w:r>
        <w:rPr>
          <w:spacing w:val="-9"/>
          <w:w w:val="115"/>
        </w:rPr>
        <w:t> </w:t>
      </w:r>
      <w:r>
        <w:rPr>
          <w:w w:val="115"/>
        </w:rPr>
        <w:t>entre</w:t>
      </w:r>
      <w:r>
        <w:rPr>
          <w:spacing w:val="-9"/>
          <w:w w:val="115"/>
        </w:rPr>
        <w:t> </w:t>
      </w:r>
      <w:r>
        <w:rPr>
          <w:w w:val="115"/>
        </w:rPr>
        <w:t>las</w:t>
      </w:r>
      <w:r>
        <w:rPr>
          <w:spacing w:val="-9"/>
          <w:w w:val="115"/>
        </w:rPr>
        <w:t> </w:t>
      </w:r>
      <w:r>
        <w:rPr>
          <w:w w:val="115"/>
        </w:rPr>
        <w:t>de</w:t>
      </w:r>
      <w:r>
        <w:rPr>
          <w:spacing w:val="-9"/>
          <w:w w:val="115"/>
        </w:rPr>
        <w:t> </w:t>
      </w:r>
      <w:r>
        <w:rPr>
          <w:w w:val="115"/>
        </w:rPr>
        <w:t>mayor proyección</w:t>
      </w:r>
      <w:r>
        <w:rPr>
          <w:spacing w:val="-5"/>
          <w:w w:val="115"/>
        </w:rPr>
        <w:t> </w:t>
      </w:r>
      <w:r>
        <w:rPr>
          <w:w w:val="115"/>
        </w:rPr>
        <w:t>internacional</w:t>
      </w:r>
      <w:r>
        <w:rPr>
          <w:spacing w:val="-5"/>
          <w:w w:val="115"/>
        </w:rPr>
        <w:t> </w:t>
      </w:r>
      <w:r>
        <w:rPr>
          <w:w w:val="115"/>
        </w:rPr>
        <w:t>y</w:t>
      </w:r>
      <w:r>
        <w:rPr>
          <w:spacing w:val="-5"/>
          <w:w w:val="115"/>
        </w:rPr>
        <w:t> </w:t>
      </w:r>
      <w:r>
        <w:rPr>
          <w:w w:val="115"/>
        </w:rPr>
        <w:t>las</w:t>
      </w:r>
      <w:r>
        <w:rPr>
          <w:spacing w:val="-5"/>
          <w:w w:val="115"/>
        </w:rPr>
        <w:t> </w:t>
      </w:r>
      <w:r>
        <w:rPr>
          <w:w w:val="115"/>
        </w:rPr>
        <w:t>de</w:t>
      </w:r>
      <w:r>
        <w:rPr>
          <w:spacing w:val="-5"/>
          <w:w w:val="115"/>
        </w:rPr>
        <w:t> </w:t>
      </w:r>
      <w:r>
        <w:rPr>
          <w:w w:val="115"/>
        </w:rPr>
        <w:t>vínculo</w:t>
      </w:r>
      <w:r>
        <w:rPr>
          <w:spacing w:val="-5"/>
          <w:w w:val="115"/>
        </w:rPr>
        <w:t> </w:t>
      </w:r>
      <w:r>
        <w:rPr>
          <w:w w:val="115"/>
        </w:rPr>
        <w:t>más</w:t>
      </w:r>
      <w:r>
        <w:rPr>
          <w:spacing w:val="-5"/>
          <w:w w:val="115"/>
        </w:rPr>
        <w:t> </w:t>
      </w:r>
      <w:r>
        <w:rPr>
          <w:w w:val="115"/>
        </w:rPr>
        <w:t>intenso</w:t>
      </w:r>
      <w:r>
        <w:rPr>
          <w:spacing w:val="-5"/>
          <w:w w:val="115"/>
        </w:rPr>
        <w:t> </w:t>
      </w:r>
      <w:r>
        <w:rPr>
          <w:w w:val="115"/>
        </w:rPr>
        <w:t>con</w:t>
      </w:r>
      <w:r>
        <w:rPr>
          <w:spacing w:val="-5"/>
          <w:w w:val="115"/>
        </w:rPr>
        <w:t> </w:t>
      </w:r>
      <w:r>
        <w:rPr>
          <w:w w:val="115"/>
        </w:rPr>
        <w:t>la</w:t>
      </w:r>
      <w:r>
        <w:rPr>
          <w:spacing w:val="-5"/>
          <w:w w:val="115"/>
        </w:rPr>
        <w:t> </w:t>
      </w:r>
      <w:r>
        <w:rPr>
          <w:w w:val="115"/>
        </w:rPr>
        <w:t>econo- mía de la</w:t>
      </w:r>
      <w:r>
        <w:rPr>
          <w:spacing w:val="-7"/>
          <w:w w:val="115"/>
        </w:rPr>
        <w:t> </w:t>
      </w:r>
      <w:r>
        <w:rPr>
          <w:w w:val="115"/>
        </w:rPr>
        <w:t>región.</w:t>
      </w: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8704;mso-wrap-distance-left:0;mso-wrap-distance-right:0" from="76.5354pt,11.518029pt" to="104.8814pt,11.518029pt" stroked="true" strokeweight=".5pt" strokecolor="#000000">
            <w10:wrap type="topAndBottom"/>
          </v:line>
        </w:pict>
      </w:r>
    </w:p>
    <w:p>
      <w:pPr>
        <w:pStyle w:val="ListParagraph"/>
        <w:numPr>
          <w:ilvl w:val="0"/>
          <w:numId w:val="35"/>
        </w:numPr>
        <w:tabs>
          <w:tab w:pos="586" w:val="left" w:leader="none"/>
        </w:tabs>
        <w:spacing w:line="242" w:lineRule="auto" w:before="89" w:after="0"/>
        <w:ind w:left="330" w:right="117" w:firstLine="0"/>
        <w:jc w:val="both"/>
        <w:rPr>
          <w:sz w:val="16"/>
        </w:rPr>
      </w:pPr>
      <w:r>
        <w:rPr>
          <w:w w:val="110"/>
          <w:sz w:val="16"/>
        </w:rPr>
        <w:t>Entre los autores que han estudiado este mecanismo es  posible  citar  a  Ca- nova y dellas (1993); Frankel y rose (1998); otto </w:t>
      </w:r>
      <w:r>
        <w:rPr>
          <w:i/>
          <w:w w:val="110"/>
          <w:sz w:val="16"/>
        </w:rPr>
        <w:t>et al. </w:t>
      </w:r>
      <w:r>
        <w:rPr>
          <w:w w:val="110"/>
          <w:sz w:val="16"/>
        </w:rPr>
        <w:t>(2001); Clark y </w:t>
      </w:r>
      <w:r>
        <w:rPr>
          <w:spacing w:val="-4"/>
          <w:w w:val="110"/>
          <w:sz w:val="16"/>
        </w:rPr>
        <w:t>Van </w:t>
      </w:r>
      <w:r>
        <w:rPr>
          <w:w w:val="110"/>
          <w:sz w:val="16"/>
        </w:rPr>
        <w:t>Wincoop (2001);</w:t>
      </w:r>
      <w:r>
        <w:rPr>
          <w:spacing w:val="-16"/>
          <w:w w:val="110"/>
          <w:sz w:val="16"/>
        </w:rPr>
        <w:t> </w:t>
      </w:r>
      <w:r>
        <w:rPr>
          <w:w w:val="110"/>
          <w:sz w:val="16"/>
        </w:rPr>
        <w:t>baxter</w:t>
      </w:r>
      <w:r>
        <w:rPr>
          <w:spacing w:val="-16"/>
          <w:w w:val="110"/>
          <w:sz w:val="16"/>
        </w:rPr>
        <w:t> </w:t>
      </w:r>
      <w:r>
        <w:rPr>
          <w:w w:val="110"/>
          <w:sz w:val="16"/>
        </w:rPr>
        <w:t>y</w:t>
      </w:r>
      <w:r>
        <w:rPr>
          <w:spacing w:val="-16"/>
          <w:w w:val="110"/>
          <w:sz w:val="16"/>
        </w:rPr>
        <w:t> </w:t>
      </w:r>
      <w:r>
        <w:rPr>
          <w:w w:val="110"/>
          <w:sz w:val="16"/>
        </w:rPr>
        <w:t>Koupiratzas</w:t>
      </w:r>
      <w:r>
        <w:rPr>
          <w:spacing w:val="-16"/>
          <w:w w:val="110"/>
          <w:sz w:val="16"/>
        </w:rPr>
        <w:t> </w:t>
      </w:r>
      <w:r>
        <w:rPr>
          <w:w w:val="110"/>
          <w:sz w:val="16"/>
        </w:rPr>
        <w:t>(2004);</w:t>
      </w:r>
      <w:r>
        <w:rPr>
          <w:spacing w:val="-16"/>
          <w:w w:val="110"/>
          <w:sz w:val="16"/>
        </w:rPr>
        <w:t> </w:t>
      </w:r>
      <w:r>
        <w:rPr>
          <w:w w:val="110"/>
          <w:sz w:val="16"/>
        </w:rPr>
        <w:t>imbs</w:t>
      </w:r>
      <w:r>
        <w:rPr>
          <w:spacing w:val="-16"/>
          <w:w w:val="110"/>
          <w:sz w:val="16"/>
        </w:rPr>
        <w:t> </w:t>
      </w:r>
      <w:r>
        <w:rPr>
          <w:w w:val="110"/>
          <w:sz w:val="16"/>
        </w:rPr>
        <w:t>(2004</w:t>
      </w:r>
      <w:r>
        <w:rPr>
          <w:spacing w:val="-16"/>
          <w:w w:val="110"/>
          <w:sz w:val="16"/>
        </w:rPr>
        <w:t> </w:t>
      </w:r>
      <w:r>
        <w:rPr>
          <w:w w:val="110"/>
          <w:sz w:val="16"/>
        </w:rPr>
        <w:t>y</w:t>
      </w:r>
      <w:r>
        <w:rPr>
          <w:spacing w:val="-16"/>
          <w:w w:val="110"/>
          <w:sz w:val="16"/>
        </w:rPr>
        <w:t> </w:t>
      </w:r>
      <w:r>
        <w:rPr>
          <w:w w:val="110"/>
          <w:sz w:val="16"/>
        </w:rPr>
        <w:t>2006),</w:t>
      </w:r>
      <w:r>
        <w:rPr>
          <w:spacing w:val="-16"/>
          <w:w w:val="110"/>
          <w:sz w:val="16"/>
        </w:rPr>
        <w:t> </w:t>
      </w:r>
      <w:r>
        <w:rPr>
          <w:w w:val="110"/>
          <w:sz w:val="16"/>
        </w:rPr>
        <w:t>entre</w:t>
      </w:r>
      <w:r>
        <w:rPr>
          <w:spacing w:val="-16"/>
          <w:w w:val="110"/>
          <w:sz w:val="16"/>
        </w:rPr>
        <w:t> </w:t>
      </w:r>
      <w:r>
        <w:rPr>
          <w:w w:val="110"/>
          <w:sz w:val="16"/>
        </w:rPr>
        <w:t>otros.</w:t>
      </w:r>
    </w:p>
    <w:p>
      <w:pPr>
        <w:pStyle w:val="ListParagraph"/>
        <w:numPr>
          <w:ilvl w:val="0"/>
          <w:numId w:val="35"/>
        </w:numPr>
        <w:tabs>
          <w:tab w:pos="586" w:val="left" w:leader="none"/>
        </w:tabs>
        <w:spacing w:line="242" w:lineRule="auto" w:before="57" w:after="0"/>
        <w:ind w:left="330" w:right="118" w:firstLine="0"/>
        <w:jc w:val="both"/>
        <w:rPr>
          <w:sz w:val="16"/>
        </w:rPr>
      </w:pPr>
      <w:r>
        <w:rPr>
          <w:w w:val="110"/>
          <w:sz w:val="16"/>
        </w:rPr>
        <w:t>Entre los autores que  han  estudiado  este  mecanismo  es  posible  citar  a  Flood y Hodrick (1986); Gerlach (1988); baxter y stockman (1989); artis y Zhang </w:t>
      </w:r>
      <w:r>
        <w:rPr>
          <w:w w:val="105"/>
          <w:sz w:val="16"/>
        </w:rPr>
        <w:t>(1997), entre</w:t>
      </w:r>
      <w:r>
        <w:rPr>
          <w:spacing w:val="8"/>
          <w:w w:val="105"/>
          <w:sz w:val="16"/>
        </w:rPr>
        <w:t> </w:t>
      </w:r>
      <w:r>
        <w:rPr>
          <w:w w:val="105"/>
          <w:sz w:val="16"/>
        </w:rPr>
        <w:t>otros.</w:t>
      </w:r>
    </w:p>
    <w:p>
      <w:pPr>
        <w:pStyle w:val="ListParagraph"/>
        <w:numPr>
          <w:ilvl w:val="0"/>
          <w:numId w:val="35"/>
        </w:numPr>
        <w:tabs>
          <w:tab w:pos="586" w:val="left" w:leader="none"/>
        </w:tabs>
        <w:spacing w:line="242" w:lineRule="auto" w:before="57" w:after="0"/>
        <w:ind w:left="330" w:right="118" w:firstLine="0"/>
        <w:jc w:val="both"/>
        <w:rPr>
          <w:sz w:val="16"/>
        </w:rPr>
      </w:pPr>
      <w:r>
        <w:rPr>
          <w:w w:val="110"/>
          <w:sz w:val="16"/>
        </w:rPr>
        <w:t>Entre los autores que han estudiado este mecanismo es posible citar a </w:t>
      </w:r>
      <w:r>
        <w:rPr>
          <w:spacing w:val="-3"/>
          <w:w w:val="110"/>
          <w:sz w:val="16"/>
        </w:rPr>
        <w:t>bor-       </w:t>
      </w:r>
      <w:r>
        <w:rPr>
          <w:w w:val="110"/>
          <w:sz w:val="16"/>
        </w:rPr>
        <w:t>do</w:t>
      </w:r>
      <w:r>
        <w:rPr>
          <w:spacing w:val="-15"/>
          <w:w w:val="110"/>
          <w:sz w:val="16"/>
        </w:rPr>
        <w:t> </w:t>
      </w:r>
      <w:r>
        <w:rPr>
          <w:w w:val="110"/>
          <w:sz w:val="16"/>
        </w:rPr>
        <w:t>y</w:t>
      </w:r>
      <w:r>
        <w:rPr>
          <w:spacing w:val="-15"/>
          <w:w w:val="110"/>
          <w:sz w:val="16"/>
        </w:rPr>
        <w:t> </w:t>
      </w:r>
      <w:r>
        <w:rPr>
          <w:w w:val="110"/>
          <w:sz w:val="16"/>
        </w:rPr>
        <w:t>Helbling</w:t>
      </w:r>
      <w:r>
        <w:rPr>
          <w:spacing w:val="-15"/>
          <w:w w:val="110"/>
          <w:sz w:val="16"/>
        </w:rPr>
        <w:t> </w:t>
      </w:r>
      <w:r>
        <w:rPr>
          <w:w w:val="110"/>
          <w:sz w:val="16"/>
        </w:rPr>
        <w:t>(2003);</w:t>
      </w:r>
      <w:r>
        <w:rPr>
          <w:spacing w:val="-15"/>
          <w:w w:val="110"/>
          <w:sz w:val="16"/>
        </w:rPr>
        <w:t> </w:t>
      </w:r>
      <w:r>
        <w:rPr>
          <w:w w:val="110"/>
          <w:sz w:val="16"/>
        </w:rPr>
        <w:t>Calvo</w:t>
      </w:r>
      <w:r>
        <w:rPr>
          <w:spacing w:val="-15"/>
          <w:w w:val="110"/>
          <w:sz w:val="16"/>
        </w:rPr>
        <w:t> </w:t>
      </w:r>
      <w:r>
        <w:rPr>
          <w:w w:val="110"/>
          <w:sz w:val="16"/>
        </w:rPr>
        <w:t>y</w:t>
      </w:r>
      <w:r>
        <w:rPr>
          <w:spacing w:val="-15"/>
          <w:w w:val="110"/>
          <w:sz w:val="16"/>
        </w:rPr>
        <w:t> </w:t>
      </w:r>
      <w:r>
        <w:rPr>
          <w:w w:val="110"/>
          <w:sz w:val="16"/>
        </w:rPr>
        <w:t>Mendoza</w:t>
      </w:r>
      <w:r>
        <w:rPr>
          <w:spacing w:val="-15"/>
          <w:w w:val="110"/>
          <w:sz w:val="16"/>
        </w:rPr>
        <w:t> </w:t>
      </w:r>
      <w:r>
        <w:rPr>
          <w:w w:val="110"/>
          <w:sz w:val="16"/>
        </w:rPr>
        <w:t>(2000);</w:t>
      </w:r>
      <w:r>
        <w:rPr>
          <w:spacing w:val="-15"/>
          <w:w w:val="110"/>
          <w:sz w:val="16"/>
        </w:rPr>
        <w:t> </w:t>
      </w:r>
      <w:r>
        <w:rPr>
          <w:w w:val="110"/>
          <w:sz w:val="16"/>
        </w:rPr>
        <w:t>Mendoza</w:t>
      </w:r>
      <w:r>
        <w:rPr>
          <w:spacing w:val="-15"/>
          <w:w w:val="110"/>
          <w:sz w:val="16"/>
        </w:rPr>
        <w:t> </w:t>
      </w:r>
      <w:r>
        <w:rPr>
          <w:w w:val="110"/>
          <w:sz w:val="16"/>
        </w:rPr>
        <w:t>(2001);</w:t>
      </w:r>
      <w:r>
        <w:rPr>
          <w:spacing w:val="-15"/>
          <w:w w:val="110"/>
          <w:sz w:val="16"/>
        </w:rPr>
        <w:t> </w:t>
      </w:r>
      <w:r>
        <w:rPr>
          <w:w w:val="110"/>
          <w:sz w:val="16"/>
        </w:rPr>
        <w:t>imbs</w:t>
      </w:r>
      <w:r>
        <w:rPr>
          <w:spacing w:val="-15"/>
          <w:w w:val="110"/>
          <w:sz w:val="16"/>
        </w:rPr>
        <w:t> </w:t>
      </w:r>
      <w:r>
        <w:rPr>
          <w:w w:val="110"/>
          <w:sz w:val="16"/>
        </w:rPr>
        <w:t>(2003</w:t>
      </w:r>
      <w:r>
        <w:rPr>
          <w:spacing w:val="-15"/>
          <w:w w:val="110"/>
          <w:sz w:val="16"/>
        </w:rPr>
        <w:t> </w:t>
      </w:r>
      <w:r>
        <w:rPr>
          <w:w w:val="110"/>
          <w:sz w:val="16"/>
        </w:rPr>
        <w:t>y</w:t>
      </w:r>
      <w:r>
        <w:rPr>
          <w:spacing w:val="-15"/>
          <w:w w:val="110"/>
          <w:sz w:val="16"/>
        </w:rPr>
        <w:t> </w:t>
      </w:r>
      <w:r>
        <w:rPr>
          <w:w w:val="110"/>
          <w:sz w:val="16"/>
        </w:rPr>
        <w:t>2004); Kose</w:t>
      </w:r>
      <w:r>
        <w:rPr>
          <w:spacing w:val="-12"/>
          <w:w w:val="110"/>
          <w:sz w:val="16"/>
        </w:rPr>
        <w:t> </w:t>
      </w:r>
      <w:r>
        <w:rPr>
          <w:i/>
          <w:w w:val="110"/>
          <w:sz w:val="16"/>
        </w:rPr>
        <w:t>et</w:t>
      </w:r>
      <w:r>
        <w:rPr>
          <w:i/>
          <w:spacing w:val="-12"/>
          <w:w w:val="110"/>
          <w:sz w:val="16"/>
        </w:rPr>
        <w:t> </w:t>
      </w:r>
      <w:r>
        <w:rPr>
          <w:i/>
          <w:w w:val="110"/>
          <w:sz w:val="16"/>
        </w:rPr>
        <w:t>al.</w:t>
      </w:r>
      <w:r>
        <w:rPr>
          <w:i/>
          <w:spacing w:val="-12"/>
          <w:w w:val="110"/>
          <w:sz w:val="16"/>
        </w:rPr>
        <w:t> </w:t>
      </w:r>
      <w:r>
        <w:rPr>
          <w:w w:val="110"/>
          <w:sz w:val="16"/>
        </w:rPr>
        <w:t>(2003),</w:t>
      </w:r>
      <w:r>
        <w:rPr>
          <w:spacing w:val="-12"/>
          <w:w w:val="110"/>
          <w:sz w:val="16"/>
        </w:rPr>
        <w:t> </w:t>
      </w:r>
      <w:r>
        <w:rPr>
          <w:w w:val="110"/>
          <w:sz w:val="16"/>
        </w:rPr>
        <w:t>entre</w:t>
      </w:r>
      <w:r>
        <w:rPr>
          <w:spacing w:val="-12"/>
          <w:w w:val="110"/>
          <w:sz w:val="16"/>
        </w:rPr>
        <w:t> </w:t>
      </w:r>
      <w:r>
        <w:rPr>
          <w:w w:val="110"/>
          <w:sz w:val="16"/>
        </w:rPr>
        <w:t>otros.</w:t>
      </w:r>
    </w:p>
    <w:p>
      <w:pPr>
        <w:spacing w:after="0" w:line="242" w:lineRule="auto"/>
        <w:jc w:val="both"/>
        <w:rPr>
          <w:sz w:val="16"/>
        </w:rPr>
        <w:sectPr>
          <w:pgSz w:w="8790" w:h="12760"/>
          <w:pgMar w:header="697" w:footer="725" w:top="880" w:bottom="920" w:left="1200" w:right="900"/>
        </w:sectPr>
      </w:pPr>
    </w:p>
    <w:p>
      <w:pPr>
        <w:pStyle w:val="BodyText"/>
        <w:spacing w:before="10"/>
        <w:rPr>
          <w:sz w:val="27"/>
        </w:rPr>
      </w:pPr>
    </w:p>
    <w:p>
      <w:pPr>
        <w:spacing w:before="78"/>
        <w:ind w:left="670" w:right="717" w:firstLine="0"/>
        <w:jc w:val="center"/>
        <w:rPr>
          <w:rFonts w:ascii="Arial"/>
          <w:b/>
          <w:sz w:val="17"/>
        </w:rPr>
      </w:pPr>
      <w:r>
        <w:rPr>
          <w:rFonts w:ascii="Arial"/>
          <w:b/>
          <w:w w:val="85"/>
          <w:sz w:val="17"/>
        </w:rPr>
        <w:t>Esquema 1</w:t>
      </w:r>
    </w:p>
    <w:p>
      <w:pPr>
        <w:spacing w:line="249" w:lineRule="auto" w:before="8"/>
        <w:ind w:left="1286" w:right="1334" w:firstLine="0"/>
        <w:jc w:val="center"/>
        <w:rPr>
          <w:rFonts w:ascii="Arial" w:hAnsi="Arial"/>
          <w:sz w:val="17"/>
        </w:rPr>
      </w:pPr>
      <w:r>
        <w:rPr/>
        <w:pict>
          <v:group style="position:absolute;margin-left:101.907997pt;margin-top:83.250626pt;width:246.75pt;height:97.45pt;mso-position-horizontal-relative:page;mso-position-vertical-relative:paragraph;z-index:-249808" coordorigin="2038,1665" coordsize="4935,1949">
            <v:shape style="position:absolute;left:2038;top:3193;width:4935;height:420" type="#_x0000_t75" stroked="false">
              <v:imagedata r:id="rId543" o:title=""/>
            </v:shape>
            <v:shape style="position:absolute;left:2038;top:3193;width:4935;height:420" type="#_x0000_t75" stroked="false">
              <v:imagedata r:id="rId544" o:title=""/>
            </v:shape>
            <v:shape style="position:absolute;left:2184;top:2514;width:127;height:657" coordorigin="2184,2514" coordsize="127,657" path="m2248,2575l2245,2568,2234,2546,2234,2568,2197,2568,2211,2532,2213,2528,2214,2524,2215,2520,2216,2523,2218,2528,2234,2568,2234,2546,2223,2520,2220,2514,2210,2514,2184,2575,2248,2575m2294,3077l2286,3077,2286,3108,2294,3108,2294,3077m2294,3023l2286,3023,2286,3054,2294,3054,2294,3023m2294,2969l2286,2969,2286,3000,2294,3000,2294,2969m2294,2915l2286,2915,2286,2946,2294,2946,2294,2915m2294,2861l2286,2861,2286,2892,2294,2892,2294,2861m2294,2807l2286,2807,2286,2838,2294,2838,2294,2807m2294,2753l2286,2753,2286,2784,2294,2784,2294,2753m2294,2699l2286,2699,2286,2730,2294,2730,2294,2699m2294,2645l2286,2645,2286,2676,2294,2676,2294,2645m2310,3133l2294,3133,2294,3131,2286,3131,2286,3133,2269,3133,2290,3170,2307,3139,2310,3133e" filled="true" fillcolor="#000000" stroked="false">
              <v:path arrowok="t"/>
              <v:fill type="solid"/>
            </v:shape>
            <v:shape style="position:absolute;left:2655;top:2500;width:64;height:62" coordorigin="2655,2500" coordsize="64,62" path="m2691,2500l2681,2500,2655,2562,2718,2562,2715,2554,2667,2554,2683,2514,2685,2510,2685,2506,2693,2506,2691,2500xm2693,2506l2685,2506,2686,2510,2688,2514,2705,2554,2715,2554,2693,2506xe" filled="true" fillcolor="#000000" stroked="false">
              <v:path arrowok="t"/>
              <v:fill type="solid"/>
            </v:shape>
            <v:shape style="position:absolute;left:2717;top:1805;width:1490;height:1330" coordorigin="2717,1805" coordsize="1490,1330" path="m2742,3023l2734,3023,2734,3054,2742,3054,2742,3023m2742,2969l2734,2969,2734,3000,2742,3000,2742,2969m2742,2915l2734,2915,2734,2946,2742,2946,2742,2915m2742,2861l2734,2861,2734,2892,2742,2892,2742,2861m2742,2807l2734,2807,2734,2838,2742,2838,2742,2807m2742,2753l2734,2753,2734,2784,2742,2784,2742,2753m2742,2699l2734,2699,2734,2730,2742,2730,2742,2699m2742,2645l2734,2645,2734,2676,2742,2676,2742,2645m2742,2387l2734,2387,2734,2418,2742,2418,2742,2387m2742,2333l2734,2333,2734,2364,2742,2364,2742,2333m2742,2279l2734,2279,2734,2310,2742,2310,2742,2279m2742,2225l2734,2225,2734,2256,2742,2256,2742,2225m2758,3063l2717,3063,2738,3100,2758,3063m2758,2433l2717,2433,2738,2470,2758,2433m3223,3061l3215,3061,3215,3092,3223,3092,3223,3061m3223,3007l3215,3007,3215,3038,3223,3038,3223,3007m3223,2953l3215,2953,3215,2984,3223,2984,3223,2953m3223,2899l3215,2899,3215,2930,3223,2930,3223,2899m3223,2845l3215,2845,3215,2876,3223,2876,3223,2845m3223,2791l3215,2791,3215,2822,3223,2822,3223,2791m3223,2737l3215,2737,3215,2768,3223,2768,3223,2737m3223,2683l3215,2683,3215,2714,3223,2714,3223,2683m3223,2629l3215,2629,3215,2660,3223,2660,3223,2629m3223,2575l3215,2575,3215,2606,3223,2606,3223,2575m3223,2345l3215,2345,3215,2376,3223,2376,3223,2345m3223,2291l3215,2291,3215,2322,3223,2322,3223,2291m3223,2237l3215,2237,3215,2268,3223,2268,3223,2237m3223,2183l3215,2183,3215,2214,3223,2214,3223,2183m3223,2129l3215,2129,3215,2160,3223,2160,3223,2129m3223,2075l3215,2075,3215,2106,3223,2106,3223,2075m3223,2021l3215,2021,3215,2052,3223,2052,3223,2021m3223,1967l3215,1967,3215,1998,3223,1998,3223,1967m3223,1913l3215,1913,3215,1944,3223,1944,3223,1913m3223,1859l3215,1859,3215,1890,3223,1890,3223,1859m3223,1805l3215,1805,3215,1836,3223,1836,3223,1805m3239,3098l3198,3098,3219,3135,3239,3098m3239,2398l3198,2398,3219,2435,3236,2404,3239,2399,3239,2398m4191,2488l4182,2488,4182,2519,4191,2519,4191,2488m4191,2434l4182,2434,4182,2465,4191,2465,4191,2434m4191,2380l4182,2380,4182,2411,4191,2411,4191,2380m4191,2326l4182,2326,4182,2357,4191,2357,4191,2326m4191,2272l4182,2272,4182,2303,4191,2303,4191,2272m4191,2218l4182,2218,4182,2249,4191,2249,4191,2218m4191,2164l4182,2164,4182,2195,4191,2195,4191,2164m4191,2110l4182,2110,4182,2141,4191,2141,4191,2110m4191,2056l4182,2056,4182,2087,4191,2087,4191,2056m4191,2002l4182,2002,4182,2033,4191,2033,4191,2002m4191,1948l4182,1948,4182,1979,4191,1979,4191,1948m4191,1894l4182,1894,4182,1925,4191,1925,4191,1894m4191,1840l4182,1840,4182,1871,4191,1871,4191,1840m4207,2538l4166,2538,4186,2575,4203,2545,4205,2542,4207,2538e" filled="true" fillcolor="#000000" stroked="false">
              <v:path arrowok="t"/>
              <v:fill type="solid"/>
            </v:shape>
            <v:shape style="position:absolute;left:3617;top:2014;width:64;height:62" coordorigin="3617,2014" coordsize="64,62" path="m3653,2014l3643,2014,3617,2076,3681,2076,3677,2069,3629,2069,3644,2033,3646,2028,3647,2025,3648,2021,3656,2021,3653,2014xm3656,2021l3648,2021,3649,2024,3650,2028,3667,2069,3677,2069,3656,2021xe" filled="true" fillcolor="#000000" stroked="false">
              <v:path arrowok="t"/>
              <v:fill type="solid"/>
            </v:shape>
            <v:shape style="position:absolute;left:3702;top:1665;width:3043;height:1471" coordorigin="3702,1665" coordsize="3043,1471" path="m3727,3058l3718,3058,3718,3089,3727,3089,3727,3058m3727,3004l3718,3004,3718,3035,3727,3035,3727,3004m3727,2950l3718,2950,3718,2981,3727,2981,3727,2950m3727,2896l3718,2896,3718,2927,3727,2927,3727,2896m3727,2842l3718,2842,3718,2873,3727,2873,3727,2842m3727,2788l3718,2788,3718,2819,3727,2819,3727,2788m3727,2734l3718,2734,3718,2765,3727,2765,3727,2734m3727,2680l3718,2680,3718,2711,3727,2711,3727,2680m3727,2355l3718,2355,3718,2386,3727,2386,3727,2355m3727,2301l3718,2301,3718,2332,3727,2332,3727,2301m3727,2247l3718,2247,3718,2278,3727,2278,3727,2247m3727,2193l3718,2193,3718,2224,3727,2224,3727,2193m3727,2139l3718,2139,3718,2170,3727,2170,3727,2139m3727,2085l3718,2085,3718,2116,3727,2116,3727,2085m3727,1897l3718,1897,3718,1928,3727,1928,3727,1897m3727,1843l3718,1843,3718,1874,3727,1874,3727,1843m3727,1789l3718,1789,3718,1820,3727,1820,3727,1789m3727,1735l3718,1735,3718,1766,3727,1766,3727,1735m3743,3098l3702,3098,3722,3136,3743,3098m3743,2398l3702,2398,3722,2435,3743,2398m3743,1944l3702,1944,3722,1981,3743,1944m4662,2466l4653,2466,4653,2497,4662,2497,4662,2466m4662,2412l4653,2412,4653,2443,4662,2443,4662,2412m4662,2358l4653,2358,4653,2389,4662,2389,4662,2358m4662,2304l4653,2304,4653,2335,4662,2335,4662,2304m4662,2250l4653,2250,4653,2281,4662,2281,4662,2250m4662,2196l4653,2196,4653,2227,4662,2227,4662,2196m4662,2142l4653,2142,4653,2173,4662,2173,4662,2142m4662,2088l4653,2088,4653,2119,4662,2119,4662,2088m4662,2034l4653,2034,4653,2065,4662,2065,4662,2034m4662,1980l4653,1980,4653,2011,4662,2011,4662,1980m4678,2538l4662,2538,4662,2520,4653,2520,4653,2538,4637,2538,4657,2575,4674,2545,4678,2538m5156,2504l5147,2504,5147,2535,5156,2535,5156,2504m5156,2450l5147,2450,5147,2481,5156,2481,5156,2450m5156,2396l5147,2396,5147,2427,5156,2427,5156,2396m5156,2342l5147,2342,5147,2373,5156,2373,5156,2342m5156,2288l5147,2288,5147,2319,5156,2319,5156,2288m5156,2234l5147,2234,5147,2265,5156,2265,5156,2234m5156,2180l5147,2180,5147,2211,5156,2211,5156,2180m5156,2126l5147,2126,5147,2157,5156,2157,5156,2126m5156,2072l5147,2072,5147,2103,5156,2103,5156,2072m5156,2018l5147,2018,5147,2049,5156,2049,5156,2018m5156,1964l5147,1964,5147,1995,5156,1995,5156,1964m5156,1910l5147,1910,5147,1941,5156,1941,5156,1910m5172,2538l5131,2538,5151,2575,5172,2538m5676,2418l5667,2418,5667,2449,5676,2449,5676,2418m5676,2364l5667,2364,5667,2395,5676,2395,5676,2364m5676,2310l5667,2310,5667,2341,5676,2341,5676,2310m5676,2256l5667,2256,5667,2287,5676,2287,5676,2256m5676,2202l5667,2202,5667,2233,5676,2233,5676,2202m5676,2148l5667,2148,5667,2179,5676,2179,5676,2148m5676,2094l5667,2094,5667,2125,5676,2125,5676,2094m5676,2040l5667,2040,5667,2071,5676,2071,5676,2040m5676,1986l5667,1986,5667,2017,5676,2017,5676,1986m5676,1932l5667,1932,5667,1963,5676,1963,5676,1932m5676,1878l5667,1878,5667,1909,5676,1909,5676,1878m5676,1824l5667,1824,5667,1855,5676,1855,5676,1824m5676,1770l5667,1770,5667,1801,5676,1801,5676,1770m5692,2503l5676,2503,5676,2472,5667,2472,5667,2503,5651,2503,5671,2540,5692,2503m6242,3058l6233,3058,6233,3089,6242,3089,6242,3058m6242,3004l6233,3004,6233,3035,6242,3035,6242,3004m6242,2950l6233,2950,6233,2981,6242,2981,6242,2950m6242,2896l6233,2896,6233,2927,6242,2927,6242,2896m6242,2842l6233,2842,6233,2873,6242,2873,6242,2842m6242,2788l6233,2788,6233,2819,6242,2819,6242,2788m6242,2734l6233,2734,6233,2765,6242,2765,6242,2734m6242,2680l6233,2680,6233,2711,6242,2711,6242,2680m6242,2313l6233,2313,6233,2344,6242,2344,6242,2313m6242,2259l6233,2259,6233,2290,6242,2290,6242,2259m6242,2205l6233,2205,6233,2236,6242,2236,6242,2205m6242,2151l6233,2151,6233,2182,6242,2182,6242,2151m6242,2097l6233,2097,6233,2128,6242,2128,6242,2097m6242,2043l6233,2043,6233,2074,6242,2074,6242,2043m6242,1989l6233,1989,6233,2020,6242,2020,6242,1989m6242,1935l6233,1935,6233,1966,6242,1966,6242,1935m6242,1881l6233,1881,6233,1912,6242,1912,6242,1881m6242,1827l6233,1827,6233,1858,6242,1858,6242,1827m6242,1773l6233,1773,6233,1804,6242,1804,6242,1773m6242,1719l6233,1719,6233,1750,6242,1750,6242,1719m6242,1665l6233,1665,6233,1696,6242,1696,6242,1665m6258,3098l6217,3098,6237,3136,6258,3098m6258,2398l6242,2398,6242,2367,6233,2367,6233,2398,6217,2398,6237,2435,6258,2398m6728,2488l6720,2488,6720,2519,6728,2519,6728,2488m6728,2434l6720,2434,6720,2465,6728,2465,6728,2434m6728,2380l6720,2380,6720,2411,6728,2411,6728,2380m6728,2326l6720,2326,6720,2357,6728,2357,6728,2326m6728,2272l6720,2272,6720,2303,6728,2303,6728,2272m6728,2218l6720,2218,6720,2249,6728,2249,6728,2218m6728,2164l6720,2164,6720,2195,6728,2195,6728,2164m6728,2110l6720,2110,6720,2141,6728,2141,6728,2110m6728,2056l6720,2056,6720,2087,6728,2087,6728,2056m6728,2002l6720,2002,6720,2033,6728,2033,6728,2002m6728,1948l6720,1948,6720,1979,6728,1979,6728,1948m6728,1894l6720,1894,6720,1925,6728,1925,6728,1894m6728,1840l6720,1840,6720,1871,6728,1871,6728,1840m6745,2538l6704,2538,6724,2575,6741,2545,6742,2542,6745,2538e" filled="true" fillcolor="#000000" stroked="false">
              <v:path arrowok="t"/>
              <v:fill type="solid"/>
            </v:shape>
            <w10:wrap type="none"/>
          </v:group>
        </w:pict>
      </w:r>
      <w:r>
        <w:rPr/>
        <w:pict>
          <v:group style="position:absolute;margin-left:101.907997pt;margin-top:39.505341pt;width:246.75pt;height:35.35pt;mso-position-horizontal-relative:page;mso-position-vertical-relative:paragraph;z-index:-249784" coordorigin="2038,790" coordsize="4935,707">
            <v:shape style="position:absolute;left:6059;top:1435;width:537;height:62" coordorigin="6059,1435" coordsize="537,62" path="m6123,1496l6119,1489,6109,1467,6109,1489,6071,1489,6088,1449,6089,1445,6090,1441,6091,1445,6092,1449,6095,1454,6109,1489,6109,1467,6098,1441,6095,1435,6085,1435,6059,1496,6123,1496m6595,1496l6592,1489,6582,1467,6582,1489,6544,1489,6560,1449,6561,1445,6562,1441,6563,1445,6565,1449,6567,1454,6582,1489,6582,1467,6570,1441,6567,1435,6557,1435,6531,1496,6595,1496e" filled="true" fillcolor="#000000" stroked="false">
              <v:path arrowok="t"/>
              <v:fill type="solid"/>
            </v:shape>
            <v:shape style="position:absolute;left:5986;top:790;width:987;height:623" type="#_x0000_t75" stroked="false">
              <v:imagedata r:id="rId545" o:title=""/>
            </v:shape>
            <v:shape style="position:absolute;left:4037;top:864;width:2237;height:633" coordorigin="4037,864" coordsize="2237,633" path="m4101,1496l4098,1489,4087,1467,4087,1489,4050,1489,4064,1453,4066,1449,4067,1445,4068,1441,4069,1445,4071,1449,4087,1489,4087,1467,4076,1441,4073,1435,4063,1435,4037,1496,4101,1496m5061,1496l5058,1489,5048,1467,5048,1489,5010,1489,5026,1449,5027,1445,5028,1441,5029,1445,5031,1449,5048,1489,5048,1467,5036,1441,5033,1435,5023,1435,4997,1496,5061,1496m5484,1496l5481,1489,5471,1467,5471,1489,5433,1489,5449,1449,5451,1445,5451,1441,5452,1445,5454,1449,5456,1454,5471,1489,5471,1467,5459,1441,5456,1435,5447,1435,5421,1496,5484,1496m6273,944l6271,930,6262,881,6259,864,6254,864,6254,930,6216,930,6246,881,6254,930,6254,864,6239,864,6189,944,6273,944e" filled="true" fillcolor="#000000" stroked="false">
              <v:path arrowok="t"/>
              <v:fill type="solid"/>
            </v:shape>
            <v:shape style="position:absolute;left:3973;top:790;width:2013;height:623" type="#_x0000_t75" stroked="false">
              <v:imagedata r:id="rId546" o:title=""/>
            </v:shape>
            <v:shape style="position:absolute;left:2087;top:1064;width:2156;height:433" coordorigin="2087,1064" coordsize="2156,433" path="m2151,1496l2148,1489,2137,1467,2137,1489,2100,1489,2114,1453,2116,1449,2117,1445,2118,1441,2119,1445,2121,1449,2137,1489,2137,1467,2126,1441,2123,1435,2113,1435,2087,1496,2151,1496m2703,1496l2699,1489,2689,1467,2689,1489,2651,1489,2666,1453,2668,1449,2669,1445,2670,1441,2671,1445,2672,1449,2689,1489,2689,1467,2678,1441,2675,1435,2665,1435,2639,1496,2703,1496m3070,1496l3067,1489,3057,1467,3057,1489,3019,1489,3034,1453,3036,1449,3037,1445,3038,1441,3039,1445,3040,1449,3057,1489,3057,1467,3046,1441,3043,1435,3033,1435,3007,1496,3070,1496m3576,1496l3573,1489,3563,1467,3563,1489,3525,1489,3540,1453,3541,1449,3543,1445,3543,1441,3544,1445,3546,1449,3563,1489,3563,1467,3551,1441,3548,1435,3539,1435,3513,1496,3576,1496m4243,1144l4241,1130,4232,1081,4229,1064,4224,1064,4224,1130,4186,1130,4216,1081,4224,1130,4224,1064,4209,1064,4159,1144,4243,1144e" filled="true" fillcolor="#000000" stroked="false">
              <v:path arrowok="t"/>
              <v:fill type="solid"/>
            </v:shape>
            <v:shape style="position:absolute;left:2038;top:790;width:1935;height:623" type="#_x0000_t75" stroked="false">
              <v:imagedata r:id="rId547" o:title=""/>
            </v:shape>
            <v:shape style="position:absolute;left:2635;top:1064;width:85;height:80" coordorigin="2635,1064" coordsize="85,80" path="m2705,1064l2685,1064,2635,1144,2719,1144,2717,1130,2662,1130,2692,1081,2708,1081,2705,1064xm2708,1081l2692,1081,2700,1130,2717,1130,2708,1081xe" filled="true" fillcolor="#000000" stroked="false">
              <v:path arrowok="t"/>
              <v:fill type="solid"/>
            </v:shape>
            <v:shape style="position:absolute;left:5986;top:790;width:987;height:623" type="#_x0000_t75" stroked="false">
              <v:imagedata r:id="rId548" o:title=""/>
            </v:shape>
            <v:shape style="position:absolute;left:6189;top:864;width:85;height:80" coordorigin="6189,864" coordsize="85,80" path="m6259,864l6239,864,6189,944,6273,944,6271,930,6216,930,6246,881,6262,881,6259,864xm6262,881l6246,881,6254,930,6271,930,6262,881xe" filled="true" fillcolor="#000000" stroked="false">
              <v:path arrowok="t"/>
              <v:fill type="solid"/>
            </v:shape>
            <v:shape style="position:absolute;left:3973;top:790;width:2013;height:623" type="#_x0000_t75" stroked="false">
              <v:imagedata r:id="rId549" o:title=""/>
            </v:shape>
            <v:shape style="position:absolute;left:4306;top:1064;width:85;height:80" coordorigin="4306,1064" coordsize="85,80" path="m4376,1064l4356,1064,4306,1144,4390,1144,4388,1130,4333,1130,4363,1081,4379,1081,4376,1064xm4379,1081l4363,1081,4371,1130,4388,1130,4379,1081xe" filled="true" fillcolor="#000000" stroked="false">
              <v:path arrowok="t"/>
              <v:fill type="solid"/>
            </v:shape>
            <v:shape style="position:absolute;left:2038;top:790;width:1935;height:623" type="#_x0000_t75" stroked="false">
              <v:imagedata r:id="rId547" o:title=""/>
            </v:shape>
            <v:shape style="position:absolute;left:2717;top:1064;width:85;height:80" coordorigin="2717,1064" coordsize="85,80" path="m2787,1064l2767,1064,2717,1144,2801,1144,2799,1130,2744,1130,2774,1081,2790,1081,2787,1064xm2790,1081l2774,1081,2782,1130,2799,1130,2790,1081xe" filled="true" fillcolor="#000000" stroked="false">
              <v:path arrowok="t"/>
              <v:fill type="solid"/>
            </v:shape>
            <w10:wrap type="none"/>
          </v:group>
        </w:pict>
      </w:r>
      <w:r>
        <w:rPr/>
        <w:pict>
          <v:shape style="position:absolute;margin-left:127.423897pt;margin-top:95.528625pt;width:3.2pt;height:3.1pt;mso-position-horizontal-relative:page;mso-position-vertical-relative:paragraph;z-index:-249688" coordorigin="2548,1911" coordsize="64,62" path="m2584,1911l2575,1911,2548,1972,2612,1972,2609,1965,2561,1965,2576,1929,2577,1925,2578,1921,2579,1917,2587,1917,2584,1911xm2587,1917l2579,1917,2580,1920,2582,1925,2599,1965,2609,1965,2587,1917xe" filled="true" fillcolor="#000000" stroked="false">
            <v:path arrowok="t"/>
            <v:fill type="solid"/>
            <w10:wrap type="none"/>
          </v:shape>
        </w:pict>
      </w:r>
      <w:r>
        <w:rPr/>
        <w:pict>
          <v:shape style="position:absolute;margin-left:113.468002pt;margin-top:83.250626pt;width:2.050pt;height:36.8pt;mso-position-horizontal-relative:page;mso-position-vertical-relative:paragraph;z-index:-249664" coordorigin="2269,1665" coordsize="41,736" path="m2294,1665l2286,1665,2286,1696,2294,1696,2294,1665xm2294,1719l2286,1719,2286,1750,2294,1750,2294,1719xm2294,1773l2286,1773,2286,1804,2294,1804,2294,1773xm2294,1827l2286,1827,2286,1858,2294,1858,2294,1827xm2294,1881l2286,1881,2286,1912,2294,1912,2294,1881xm2294,1935l2286,1935,2286,1966,2294,1966,2294,1935xm2294,1989l2286,1989,2286,2020,2294,2020,2294,1989xm2294,2043l2286,2043,2286,2074,2294,2074,2294,2043xm2294,2097l2286,2097,2286,2128,2294,2128,2294,2097xm2294,2151l2286,2151,2286,2182,2294,2182,2294,2151xm2294,2205l2286,2205,2286,2236,2294,2236,2294,2205xm2294,2259l2286,2259,2286,2290,2294,2290,2294,2259xm2294,2313l2286,2313,2286,2344,2294,2344,2294,2313xm2310,2363l2269,2363,2290,2400,2307,2369,2286,2369,2286,2367,2308,2367,2310,2363xm2294,2367l2286,2367,2286,2369,2294,2369,2294,2367xm2308,2367l2294,2367,2294,2369,2307,2369,2308,2367xe" filled="true" fillcolor="#000000" stroked="false">
            <v:path arrowok="t"/>
            <v:fill type="solid"/>
            <w10:wrap type="none"/>
          </v:shape>
        </w:pict>
      </w:r>
      <w:r>
        <w:rPr>
          <w:rFonts w:ascii="Arial" w:hAnsi="Arial"/>
          <w:w w:val="85"/>
          <w:sz w:val="17"/>
        </w:rPr>
        <w:t>Principales</w:t>
      </w:r>
      <w:r>
        <w:rPr>
          <w:rFonts w:ascii="Arial" w:hAnsi="Arial"/>
          <w:spacing w:val="-17"/>
          <w:w w:val="85"/>
          <w:sz w:val="17"/>
        </w:rPr>
        <w:t> </w:t>
      </w:r>
      <w:r>
        <w:rPr>
          <w:rFonts w:ascii="Arial" w:hAnsi="Arial"/>
          <w:w w:val="85"/>
          <w:sz w:val="17"/>
        </w:rPr>
        <w:t>mecanismos</w:t>
      </w:r>
      <w:r>
        <w:rPr>
          <w:rFonts w:ascii="Arial" w:hAnsi="Arial"/>
          <w:spacing w:val="-17"/>
          <w:w w:val="85"/>
          <w:sz w:val="17"/>
        </w:rPr>
        <w:t> </w:t>
      </w:r>
      <w:r>
        <w:rPr>
          <w:rFonts w:ascii="Arial" w:hAnsi="Arial"/>
          <w:w w:val="85"/>
          <w:sz w:val="17"/>
        </w:rPr>
        <w:t>de</w:t>
      </w:r>
      <w:r>
        <w:rPr>
          <w:rFonts w:ascii="Arial" w:hAnsi="Arial"/>
          <w:spacing w:val="-17"/>
          <w:w w:val="85"/>
          <w:sz w:val="17"/>
        </w:rPr>
        <w:t> </w:t>
      </w:r>
      <w:r>
        <w:rPr>
          <w:rFonts w:ascii="Arial" w:hAnsi="Arial"/>
          <w:w w:val="85"/>
          <w:sz w:val="17"/>
        </w:rPr>
        <w:t>transmisión</w:t>
      </w:r>
      <w:r>
        <w:rPr>
          <w:rFonts w:ascii="Arial" w:hAnsi="Arial"/>
          <w:spacing w:val="-17"/>
          <w:w w:val="85"/>
          <w:sz w:val="17"/>
        </w:rPr>
        <w:t> </w:t>
      </w:r>
      <w:r>
        <w:rPr>
          <w:rFonts w:ascii="Arial" w:hAnsi="Arial"/>
          <w:w w:val="85"/>
          <w:sz w:val="17"/>
        </w:rPr>
        <w:t>de</w:t>
      </w:r>
      <w:r>
        <w:rPr>
          <w:rFonts w:ascii="Arial" w:hAnsi="Arial"/>
          <w:spacing w:val="-17"/>
          <w:w w:val="85"/>
          <w:sz w:val="17"/>
        </w:rPr>
        <w:t> </w:t>
      </w:r>
      <w:r>
        <w:rPr>
          <w:rFonts w:ascii="Arial" w:hAnsi="Arial"/>
          <w:w w:val="85"/>
          <w:sz w:val="17"/>
        </w:rPr>
        <w:t>shocks</w:t>
      </w:r>
      <w:r>
        <w:rPr>
          <w:rFonts w:ascii="Arial" w:hAnsi="Arial"/>
          <w:spacing w:val="-17"/>
          <w:w w:val="85"/>
          <w:sz w:val="17"/>
        </w:rPr>
        <w:t> </w:t>
      </w:r>
      <w:r>
        <w:rPr>
          <w:rFonts w:ascii="Arial" w:hAnsi="Arial"/>
          <w:w w:val="85"/>
          <w:sz w:val="17"/>
        </w:rPr>
        <w:t>desde</w:t>
      </w:r>
      <w:r>
        <w:rPr>
          <w:rFonts w:ascii="Arial" w:hAnsi="Arial"/>
          <w:spacing w:val="-17"/>
          <w:w w:val="85"/>
          <w:sz w:val="17"/>
        </w:rPr>
        <w:t> </w:t>
      </w:r>
      <w:r>
        <w:rPr>
          <w:rFonts w:ascii="Arial" w:hAnsi="Arial"/>
          <w:w w:val="85"/>
          <w:sz w:val="17"/>
        </w:rPr>
        <w:t>Estados</w:t>
      </w:r>
      <w:r>
        <w:rPr>
          <w:rFonts w:ascii="Arial" w:hAnsi="Arial"/>
          <w:spacing w:val="-17"/>
          <w:w w:val="85"/>
          <w:sz w:val="17"/>
        </w:rPr>
        <w:t> </w:t>
      </w:r>
      <w:r>
        <w:rPr>
          <w:rFonts w:ascii="Arial" w:hAnsi="Arial"/>
          <w:w w:val="85"/>
          <w:sz w:val="17"/>
        </w:rPr>
        <w:t>Unidos hacia</w:t>
      </w:r>
      <w:r>
        <w:rPr>
          <w:rFonts w:ascii="Arial" w:hAnsi="Arial"/>
          <w:spacing w:val="-17"/>
          <w:w w:val="85"/>
          <w:sz w:val="17"/>
        </w:rPr>
        <w:t> </w:t>
      </w:r>
      <w:r>
        <w:rPr>
          <w:rFonts w:ascii="Arial" w:hAnsi="Arial"/>
          <w:w w:val="85"/>
          <w:sz w:val="17"/>
        </w:rPr>
        <w:t>América</w:t>
      </w:r>
      <w:r>
        <w:rPr>
          <w:rFonts w:ascii="Arial" w:hAnsi="Arial"/>
          <w:spacing w:val="-13"/>
          <w:w w:val="85"/>
          <w:sz w:val="17"/>
        </w:rPr>
        <w:t> </w:t>
      </w:r>
      <w:r>
        <w:rPr>
          <w:rFonts w:ascii="Arial" w:hAnsi="Arial"/>
          <w:w w:val="85"/>
          <w:sz w:val="17"/>
        </w:rPr>
        <w:t>Latina</w:t>
      </w:r>
      <w:r>
        <w:rPr>
          <w:rFonts w:ascii="Arial" w:hAnsi="Arial"/>
          <w:spacing w:val="-13"/>
          <w:w w:val="85"/>
          <w:sz w:val="17"/>
        </w:rPr>
        <w:t> </w:t>
      </w:r>
      <w:r>
        <w:rPr>
          <w:rFonts w:ascii="Arial" w:hAnsi="Arial"/>
          <w:w w:val="85"/>
          <w:sz w:val="17"/>
        </w:rPr>
        <w:t>y</w:t>
      </w:r>
      <w:r>
        <w:rPr>
          <w:rFonts w:ascii="Arial" w:hAnsi="Arial"/>
          <w:spacing w:val="-13"/>
          <w:w w:val="85"/>
          <w:sz w:val="17"/>
        </w:rPr>
        <w:t> </w:t>
      </w:r>
      <w:r>
        <w:rPr>
          <w:rFonts w:ascii="Arial" w:hAnsi="Arial"/>
          <w:w w:val="85"/>
          <w:sz w:val="17"/>
        </w:rPr>
        <w:t>el</w:t>
      </w:r>
      <w:r>
        <w:rPr>
          <w:rFonts w:ascii="Arial" w:hAnsi="Arial"/>
          <w:spacing w:val="-13"/>
          <w:w w:val="85"/>
          <w:sz w:val="17"/>
        </w:rPr>
        <w:t> </w:t>
      </w:r>
      <w:r>
        <w:rPr>
          <w:rFonts w:ascii="Arial" w:hAnsi="Arial"/>
          <w:w w:val="85"/>
          <w:sz w:val="17"/>
        </w:rPr>
        <w:t>Caribe</w:t>
      </w:r>
    </w:p>
    <w:p>
      <w:pPr>
        <w:pStyle w:val="BodyText"/>
        <w:rPr>
          <w:rFonts w:ascii="Arial"/>
          <w:sz w:val="14"/>
        </w:rPr>
      </w:pPr>
      <w:r>
        <w:rPr/>
        <w:pict>
          <v:line style="position:absolute;mso-position-horizontal-relative:page;mso-position-vertical-relative:paragraph;z-index:8728;mso-wrap-distance-left:0;mso-wrap-distance-right:0" from="51.023602pt,10.513198pt" to="399.684602pt,10.513198pt" stroked="true" strokeweight="1pt" strokecolor="#000000">
            <w10:wrap type="topAndBottom"/>
          </v:line>
        </w:pict>
      </w:r>
    </w:p>
    <w:p>
      <w:pPr>
        <w:pStyle w:val="BodyText"/>
        <w:spacing w:before="3"/>
        <w:rPr>
          <w:rFonts w:ascii="Arial"/>
          <w:sz w:val="10"/>
        </w:rPr>
      </w:pPr>
    </w:p>
    <w:tbl>
      <w:tblPr>
        <w:tblW w:w="0" w:type="auto"/>
        <w:jc w:val="left"/>
        <w:tblInd w:w="11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65"/>
        <w:gridCol w:w="464"/>
        <w:gridCol w:w="508"/>
        <w:gridCol w:w="497"/>
        <w:gridCol w:w="426"/>
        <w:gridCol w:w="523"/>
        <w:gridCol w:w="444"/>
        <w:gridCol w:w="619"/>
        <w:gridCol w:w="484"/>
        <w:gridCol w:w="503"/>
      </w:tblGrid>
      <w:tr>
        <w:trPr>
          <w:trHeight w:val="623" w:hRule="exact"/>
        </w:trPr>
        <w:tc>
          <w:tcPr>
            <w:tcW w:w="1935" w:type="dxa"/>
            <w:gridSpan w:val="4"/>
            <w:tcBorders>
              <w:bottom w:val="single" w:sz="3" w:space="0" w:color="000000"/>
              <w:right w:val="single" w:sz="3" w:space="0" w:color="000000"/>
            </w:tcBorders>
          </w:tcPr>
          <w:p>
            <w:pPr>
              <w:pStyle w:val="TableParagraph"/>
              <w:spacing w:before="0"/>
              <w:rPr>
                <w:sz w:val="10"/>
              </w:rPr>
            </w:pPr>
          </w:p>
          <w:p>
            <w:pPr>
              <w:pStyle w:val="TableParagraph"/>
              <w:spacing w:before="1"/>
              <w:rPr>
                <w:sz w:val="11"/>
              </w:rPr>
            </w:pPr>
          </w:p>
          <w:p>
            <w:pPr>
              <w:pStyle w:val="TableParagraph"/>
              <w:spacing w:before="0"/>
              <w:ind w:left="676"/>
              <w:rPr>
                <w:sz w:val="11"/>
              </w:rPr>
            </w:pPr>
            <w:r>
              <w:rPr>
                <w:w w:val="80"/>
                <w:sz w:val="11"/>
              </w:rPr>
              <w:t>P</w:t>
            </w:r>
            <w:r>
              <w:rPr>
                <w:w w:val="82"/>
                <w:sz w:val="11"/>
              </w:rPr>
              <w:t>I</w:t>
            </w:r>
            <w:r>
              <w:rPr>
                <w:spacing w:val="-41"/>
                <w:w w:val="87"/>
                <w:sz w:val="11"/>
              </w:rPr>
              <w:t>B</w:t>
            </w:r>
            <w:r>
              <w:rPr>
                <w:w w:val="80"/>
                <w:sz w:val="11"/>
              </w:rPr>
              <w:t>P</w:t>
            </w:r>
            <w:r>
              <w:rPr>
                <w:w w:val="82"/>
                <w:sz w:val="11"/>
              </w:rPr>
              <w:t>I</w:t>
            </w:r>
            <w:r>
              <w:rPr>
                <w:spacing w:val="-17"/>
                <w:w w:val="87"/>
                <w:sz w:val="11"/>
              </w:rPr>
              <w:t>B</w:t>
            </w:r>
            <w:r>
              <w:rPr>
                <w:w w:val="77"/>
                <w:sz w:val="11"/>
              </w:rPr>
              <w:t>E</w:t>
            </w:r>
            <w:r>
              <w:rPr>
                <w:spacing w:val="-55"/>
                <w:w w:val="77"/>
                <w:sz w:val="11"/>
              </w:rPr>
              <w:t>E</w:t>
            </w:r>
            <w:r>
              <w:rPr>
                <w:spacing w:val="-3"/>
                <w:w w:val="77"/>
                <w:sz w:val="11"/>
              </w:rPr>
              <w:t>E</w:t>
            </w:r>
            <w:r>
              <w:rPr>
                <w:spacing w:val="-27"/>
                <w:w w:val="96"/>
                <w:sz w:val="11"/>
              </w:rPr>
              <w:t>.</w:t>
            </w:r>
            <w:r>
              <w:rPr>
                <w:spacing w:val="-30"/>
                <w:w w:val="77"/>
                <w:sz w:val="11"/>
              </w:rPr>
              <w:t>E</w:t>
            </w:r>
            <w:r>
              <w:rPr>
                <w:spacing w:val="-35"/>
                <w:w w:val="80"/>
                <w:sz w:val="11"/>
              </w:rPr>
              <w:t>U</w:t>
            </w:r>
            <w:r>
              <w:rPr>
                <w:w w:val="96"/>
                <w:sz w:val="11"/>
              </w:rPr>
              <w:t>.</w:t>
            </w:r>
            <w:r>
              <w:rPr>
                <w:spacing w:val="-60"/>
                <w:w w:val="80"/>
                <w:sz w:val="11"/>
              </w:rPr>
              <w:t>U</w:t>
            </w:r>
            <w:r>
              <w:rPr>
                <w:spacing w:val="-5"/>
                <w:w w:val="80"/>
                <w:sz w:val="11"/>
              </w:rPr>
              <w:t>U</w:t>
            </w:r>
            <w:r>
              <w:rPr>
                <w:spacing w:val="-7"/>
                <w:w w:val="80"/>
                <w:sz w:val="11"/>
              </w:rPr>
              <w:t>U</w:t>
            </w:r>
            <w:r>
              <w:rPr>
                <w:w w:val="96"/>
                <w:sz w:val="11"/>
              </w:rPr>
              <w:t>.</w:t>
            </w:r>
            <w:r>
              <w:rPr>
                <w:spacing w:val="-10"/>
                <w:sz w:val="11"/>
              </w:rPr>
              <w:t> </w:t>
            </w:r>
            <w:r>
              <w:rPr>
                <w:w w:val="96"/>
                <w:sz w:val="11"/>
              </w:rPr>
              <w:t>.</w:t>
            </w:r>
          </w:p>
        </w:tc>
        <w:tc>
          <w:tcPr>
            <w:tcW w:w="2013" w:type="dxa"/>
            <w:gridSpan w:val="4"/>
            <w:tcBorders>
              <w:left w:val="single" w:sz="3" w:space="0" w:color="000000"/>
              <w:bottom w:val="single" w:sz="3" w:space="0" w:color="000000"/>
              <w:right w:val="single" w:sz="3" w:space="0" w:color="000000"/>
            </w:tcBorders>
          </w:tcPr>
          <w:p>
            <w:pPr>
              <w:pStyle w:val="TableParagraph"/>
              <w:spacing w:before="0"/>
              <w:rPr>
                <w:sz w:val="10"/>
              </w:rPr>
            </w:pPr>
          </w:p>
          <w:p>
            <w:pPr>
              <w:pStyle w:val="TableParagraph"/>
              <w:spacing w:before="1"/>
              <w:rPr>
                <w:sz w:val="11"/>
              </w:rPr>
            </w:pPr>
          </w:p>
          <w:p>
            <w:pPr>
              <w:pStyle w:val="TableParagraph"/>
              <w:spacing w:before="0"/>
              <w:ind w:left="303"/>
              <w:rPr>
                <w:sz w:val="11"/>
              </w:rPr>
            </w:pPr>
            <w:r>
              <w:rPr>
                <w:w w:val="84"/>
                <w:sz w:val="11"/>
              </w:rPr>
              <w:t>T</w:t>
            </w:r>
            <w:r>
              <w:rPr>
                <w:w w:val="89"/>
                <w:sz w:val="11"/>
              </w:rPr>
              <w:t>a</w:t>
            </w:r>
            <w:r>
              <w:rPr>
                <w:spacing w:val="-15"/>
                <w:w w:val="91"/>
                <w:sz w:val="11"/>
              </w:rPr>
              <w:t>s</w:t>
            </w:r>
            <w:r>
              <w:rPr>
                <w:spacing w:val="-42"/>
                <w:w w:val="84"/>
                <w:sz w:val="11"/>
              </w:rPr>
              <w:t>T</w:t>
            </w:r>
            <w:r>
              <w:rPr>
                <w:spacing w:val="-13"/>
                <w:w w:val="89"/>
                <w:sz w:val="11"/>
              </w:rPr>
              <w:t>a</w:t>
            </w:r>
            <w:r>
              <w:rPr>
                <w:spacing w:val="-12"/>
                <w:w w:val="89"/>
                <w:sz w:val="11"/>
              </w:rPr>
              <w:t>a</w:t>
            </w:r>
            <w:r>
              <w:rPr>
                <w:spacing w:val="-45"/>
                <w:w w:val="93"/>
                <w:sz w:val="11"/>
              </w:rPr>
              <w:t>d</w:t>
            </w:r>
            <w:r>
              <w:rPr>
                <w:spacing w:val="-5"/>
                <w:w w:val="91"/>
                <w:sz w:val="11"/>
              </w:rPr>
              <w:t>s</w:t>
            </w:r>
            <w:r>
              <w:rPr>
                <w:spacing w:val="-50"/>
                <w:w w:val="89"/>
                <w:sz w:val="11"/>
              </w:rPr>
              <w:t>e</w:t>
            </w:r>
            <w:r>
              <w:rPr>
                <w:w w:val="89"/>
                <w:sz w:val="11"/>
              </w:rPr>
              <w:t>a</w:t>
            </w:r>
            <w:r>
              <w:rPr>
                <w:spacing w:val="-8"/>
                <w:sz w:val="11"/>
              </w:rPr>
              <w:t> </w:t>
            </w:r>
            <w:r>
              <w:rPr>
                <w:spacing w:val="-19"/>
                <w:w w:val="102"/>
                <w:sz w:val="11"/>
              </w:rPr>
              <w:t>i</w:t>
            </w:r>
            <w:r>
              <w:rPr>
                <w:spacing w:val="-39"/>
                <w:w w:val="93"/>
                <w:sz w:val="11"/>
              </w:rPr>
              <w:t>d</w:t>
            </w:r>
            <w:r>
              <w:rPr>
                <w:spacing w:val="-19"/>
                <w:w w:val="93"/>
                <w:sz w:val="11"/>
              </w:rPr>
              <w:t>n</w:t>
            </w:r>
            <w:r>
              <w:rPr>
                <w:spacing w:val="-37"/>
                <w:w w:val="89"/>
                <w:sz w:val="11"/>
              </w:rPr>
              <w:t>e</w:t>
            </w:r>
            <w:r>
              <w:rPr>
                <w:w w:val="104"/>
                <w:sz w:val="11"/>
              </w:rPr>
              <w:t>t</w:t>
            </w:r>
            <w:r>
              <w:rPr>
                <w:spacing w:val="-22"/>
                <w:w w:val="89"/>
                <w:sz w:val="11"/>
              </w:rPr>
              <w:t>e</w:t>
            </w:r>
            <w:r>
              <w:rPr>
                <w:spacing w:val="-3"/>
                <w:w w:val="102"/>
                <w:sz w:val="11"/>
              </w:rPr>
              <w:t>i</w:t>
            </w:r>
            <w:r>
              <w:rPr>
                <w:spacing w:val="-34"/>
                <w:w w:val="99"/>
                <w:sz w:val="11"/>
              </w:rPr>
              <w:t>r</w:t>
            </w:r>
            <w:r>
              <w:rPr>
                <w:w w:val="93"/>
                <w:sz w:val="11"/>
              </w:rPr>
              <w:t>n</w:t>
            </w:r>
            <w:r>
              <w:rPr>
                <w:w w:val="104"/>
                <w:sz w:val="11"/>
              </w:rPr>
              <w:t>t</w:t>
            </w:r>
            <w:r>
              <w:rPr>
                <w:w w:val="89"/>
                <w:sz w:val="11"/>
              </w:rPr>
              <w:t>e</w:t>
            </w:r>
            <w:r>
              <w:rPr>
                <w:w w:val="99"/>
                <w:sz w:val="11"/>
              </w:rPr>
              <w:t>r</w:t>
            </w:r>
            <w:r>
              <w:rPr>
                <w:spacing w:val="-12"/>
                <w:sz w:val="11"/>
              </w:rPr>
              <w:t> </w:t>
            </w:r>
            <w:r>
              <w:rPr>
                <w:spacing w:val="-14"/>
                <w:w w:val="89"/>
                <w:sz w:val="11"/>
              </w:rPr>
              <w:t>é</w:t>
            </w:r>
            <w:r>
              <w:rPr>
                <w:spacing w:val="-25"/>
                <w:w w:val="91"/>
                <w:sz w:val="11"/>
              </w:rPr>
              <w:t>s</w:t>
            </w:r>
            <w:r>
              <w:rPr>
                <w:spacing w:val="4"/>
                <w:w w:val="91"/>
                <w:sz w:val="11"/>
              </w:rPr>
              <w:t>s</w:t>
            </w:r>
            <w:r>
              <w:rPr>
                <w:spacing w:val="-30"/>
                <w:w w:val="89"/>
                <w:sz w:val="11"/>
              </w:rPr>
              <w:t>e</w:t>
            </w:r>
            <w:r>
              <w:rPr>
                <w:spacing w:val="-25"/>
                <w:w w:val="89"/>
                <w:sz w:val="11"/>
              </w:rPr>
              <w:t>e</w:t>
            </w:r>
            <w:r>
              <w:rPr>
                <w:spacing w:val="-32"/>
                <w:w w:val="93"/>
                <w:sz w:val="11"/>
              </w:rPr>
              <w:t>n</w:t>
            </w:r>
            <w:r>
              <w:rPr>
                <w:spacing w:val="8"/>
                <w:w w:val="93"/>
                <w:sz w:val="11"/>
              </w:rPr>
              <w:t>n</w:t>
            </w:r>
            <w:r>
              <w:rPr>
                <w:w w:val="77"/>
                <w:sz w:val="11"/>
              </w:rPr>
              <w:t>E</w:t>
            </w:r>
            <w:r>
              <w:rPr>
                <w:spacing w:val="-34"/>
                <w:w w:val="77"/>
                <w:sz w:val="11"/>
              </w:rPr>
              <w:t>E</w:t>
            </w:r>
            <w:r>
              <w:rPr>
                <w:spacing w:val="-24"/>
                <w:w w:val="77"/>
                <w:sz w:val="11"/>
              </w:rPr>
              <w:t>E</w:t>
            </w:r>
            <w:r>
              <w:rPr>
                <w:spacing w:val="-7"/>
                <w:w w:val="96"/>
                <w:sz w:val="11"/>
              </w:rPr>
              <w:t>.</w:t>
            </w:r>
            <w:r>
              <w:rPr>
                <w:spacing w:val="-51"/>
                <w:w w:val="77"/>
                <w:sz w:val="11"/>
              </w:rPr>
              <w:t>E</w:t>
            </w:r>
            <w:r>
              <w:rPr>
                <w:spacing w:val="-14"/>
                <w:w w:val="80"/>
                <w:sz w:val="11"/>
              </w:rPr>
              <w:t>U</w:t>
            </w:r>
            <w:r>
              <w:rPr>
                <w:spacing w:val="-16"/>
                <w:w w:val="96"/>
                <w:sz w:val="11"/>
              </w:rPr>
              <w:t>.</w:t>
            </w:r>
            <w:r>
              <w:rPr>
                <w:spacing w:val="-48"/>
                <w:w w:val="80"/>
                <w:sz w:val="11"/>
              </w:rPr>
              <w:t>U</w:t>
            </w:r>
            <w:r>
              <w:rPr>
                <w:spacing w:val="-25"/>
                <w:w w:val="80"/>
                <w:sz w:val="11"/>
              </w:rPr>
              <w:t>U</w:t>
            </w:r>
            <w:r>
              <w:rPr>
                <w:spacing w:val="-5"/>
                <w:w w:val="96"/>
                <w:sz w:val="11"/>
              </w:rPr>
              <w:t>.</w:t>
            </w:r>
            <w:r>
              <w:rPr>
                <w:w w:val="80"/>
                <w:sz w:val="11"/>
              </w:rPr>
              <w:t>U</w:t>
            </w:r>
            <w:r>
              <w:rPr>
                <w:sz w:val="11"/>
              </w:rPr>
              <w:t>  </w:t>
            </w:r>
            <w:r>
              <w:rPr>
                <w:spacing w:val="12"/>
                <w:sz w:val="11"/>
              </w:rPr>
              <w:t> </w:t>
            </w:r>
            <w:r>
              <w:rPr>
                <w:w w:val="96"/>
                <w:sz w:val="11"/>
              </w:rPr>
              <w:t>.</w:t>
            </w:r>
          </w:p>
        </w:tc>
        <w:tc>
          <w:tcPr>
            <w:tcW w:w="987" w:type="dxa"/>
            <w:gridSpan w:val="2"/>
            <w:tcBorders>
              <w:left w:val="single" w:sz="3" w:space="0" w:color="000000"/>
              <w:bottom w:val="single" w:sz="3" w:space="0" w:color="000000"/>
            </w:tcBorders>
          </w:tcPr>
          <w:p>
            <w:pPr>
              <w:pStyle w:val="TableParagraph"/>
              <w:spacing w:line="252" w:lineRule="auto" w:before="43"/>
              <w:ind w:left="3" w:right="16" w:firstLine="318"/>
              <w:rPr>
                <w:sz w:val="11"/>
              </w:rPr>
            </w:pPr>
            <w:r>
              <w:rPr>
                <w:sz w:val="11"/>
              </w:rPr>
              <w:t>Tasa de </w:t>
            </w:r>
            <w:r>
              <w:rPr>
                <w:w w:val="92"/>
                <w:sz w:val="11"/>
              </w:rPr>
              <w:t>ca</w:t>
            </w:r>
            <w:r>
              <w:rPr>
                <w:spacing w:val="-86"/>
                <w:w w:val="96"/>
                <w:sz w:val="11"/>
              </w:rPr>
              <w:t>m</w:t>
            </w:r>
            <w:r>
              <w:rPr>
                <w:w w:val="95"/>
                <w:sz w:val="11"/>
              </w:rPr>
              <w:t>c</w:t>
            </w:r>
            <w:r>
              <w:rPr>
                <w:spacing w:val="-22"/>
                <w:w w:val="89"/>
                <w:sz w:val="11"/>
              </w:rPr>
              <w:t>a</w:t>
            </w:r>
            <w:r>
              <w:rPr>
                <w:spacing w:val="-36"/>
                <w:w w:val="93"/>
                <w:sz w:val="11"/>
              </w:rPr>
              <w:t>b</w:t>
            </w:r>
            <w:r>
              <w:rPr>
                <w:spacing w:val="-54"/>
                <w:w w:val="96"/>
                <w:sz w:val="11"/>
              </w:rPr>
              <w:t>m</w:t>
            </w:r>
            <w:r>
              <w:rPr>
                <w:w w:val="102"/>
                <w:sz w:val="11"/>
              </w:rPr>
              <w:t>i</w:t>
            </w:r>
            <w:r>
              <w:rPr>
                <w:spacing w:val="-27"/>
                <w:w w:val="89"/>
                <w:sz w:val="11"/>
              </w:rPr>
              <w:t>o</w:t>
            </w:r>
            <w:r>
              <w:rPr>
                <w:spacing w:val="-2"/>
                <w:w w:val="93"/>
                <w:sz w:val="11"/>
              </w:rPr>
              <w:t>b</w:t>
            </w:r>
            <w:r>
              <w:rPr>
                <w:spacing w:val="-56"/>
                <w:w w:val="93"/>
                <w:sz w:val="11"/>
              </w:rPr>
              <w:t>d</w:t>
            </w:r>
            <w:r>
              <w:rPr>
                <w:w w:val="102"/>
                <w:sz w:val="11"/>
              </w:rPr>
              <w:t>i</w:t>
            </w:r>
            <w:r>
              <w:rPr>
                <w:spacing w:val="-25"/>
                <w:w w:val="89"/>
                <w:sz w:val="11"/>
              </w:rPr>
              <w:t>o</w:t>
            </w:r>
            <w:r>
              <w:rPr>
                <w:spacing w:val="-2"/>
                <w:w w:val="89"/>
                <w:sz w:val="11"/>
              </w:rPr>
              <w:t>e</w:t>
            </w:r>
            <w:r>
              <w:rPr>
                <w:spacing w:val="-55"/>
                <w:w w:val="93"/>
                <w:sz w:val="11"/>
              </w:rPr>
              <w:t>d</w:t>
            </w:r>
            <w:r>
              <w:rPr>
                <w:w w:val="102"/>
                <w:sz w:val="11"/>
              </w:rPr>
              <w:t>l</w:t>
            </w:r>
            <w:r>
              <w:rPr>
                <w:sz w:val="11"/>
              </w:rPr>
              <w:t> </w:t>
            </w:r>
            <w:r>
              <w:rPr>
                <w:spacing w:val="-56"/>
                <w:w w:val="93"/>
                <w:sz w:val="11"/>
              </w:rPr>
              <w:t>d</w:t>
            </w:r>
            <w:r>
              <w:rPr>
                <w:w w:val="89"/>
                <w:sz w:val="11"/>
              </w:rPr>
              <w:t>e</w:t>
            </w:r>
            <w:r>
              <w:rPr>
                <w:w w:val="102"/>
                <w:sz w:val="11"/>
              </w:rPr>
              <w:t>l</w:t>
            </w:r>
            <w:r>
              <w:rPr>
                <w:sz w:val="11"/>
              </w:rPr>
              <w:t> </w:t>
            </w:r>
            <w:r>
              <w:rPr>
                <w:spacing w:val="1"/>
                <w:w w:val="93"/>
                <w:sz w:val="11"/>
              </w:rPr>
              <w:t>d</w:t>
            </w:r>
            <w:r>
              <w:rPr>
                <w:spacing w:val="-1"/>
                <w:w w:val="89"/>
                <w:sz w:val="11"/>
              </w:rPr>
              <w:t>ó</w:t>
            </w:r>
            <w:r>
              <w:rPr>
                <w:spacing w:val="-51"/>
                <w:w w:val="89"/>
                <w:sz w:val="11"/>
              </w:rPr>
              <w:t>ó</w:t>
            </w:r>
            <w:r>
              <w:rPr>
                <w:w w:val="102"/>
                <w:sz w:val="11"/>
              </w:rPr>
              <w:t>l</w:t>
            </w:r>
            <w:r>
              <w:rPr>
                <w:spacing w:val="-9"/>
                <w:w w:val="89"/>
                <w:sz w:val="11"/>
              </w:rPr>
              <w:t>a</w:t>
            </w:r>
            <w:r>
              <w:rPr>
                <w:spacing w:val="-16"/>
                <w:w w:val="102"/>
                <w:sz w:val="11"/>
              </w:rPr>
              <w:t>l</w:t>
            </w:r>
            <w:r>
              <w:rPr>
                <w:spacing w:val="-21"/>
                <w:w w:val="99"/>
                <w:sz w:val="11"/>
              </w:rPr>
              <w:t>r</w:t>
            </w:r>
            <w:r>
              <w:rPr>
                <w:w w:val="89"/>
                <w:sz w:val="11"/>
              </w:rPr>
              <w:t>a</w:t>
            </w:r>
            <w:r>
              <w:rPr>
                <w:w w:val="99"/>
                <w:sz w:val="11"/>
              </w:rPr>
              <w:t>r </w:t>
            </w:r>
            <w:r>
              <w:rPr>
                <w:w w:val="90"/>
                <w:sz w:val="11"/>
              </w:rPr>
              <w:t>v</w:t>
            </w:r>
            <w:r>
              <w:rPr>
                <w:spacing w:val="-5"/>
                <w:w w:val="90"/>
                <w:sz w:val="11"/>
              </w:rPr>
              <w:t>s</w:t>
            </w:r>
            <w:r>
              <w:rPr>
                <w:spacing w:val="-46"/>
                <w:w w:val="90"/>
                <w:sz w:val="11"/>
              </w:rPr>
              <w:t>v</w:t>
            </w:r>
            <w:r>
              <w:rPr>
                <w:w w:val="96"/>
                <w:sz w:val="11"/>
              </w:rPr>
              <w:t>.</w:t>
            </w:r>
            <w:r>
              <w:rPr>
                <w:sz w:val="11"/>
              </w:rPr>
              <w:t> </w:t>
            </w:r>
            <w:r>
              <w:rPr>
                <w:spacing w:val="-37"/>
                <w:w w:val="91"/>
                <w:sz w:val="11"/>
              </w:rPr>
              <w:t>s</w:t>
            </w:r>
            <w:r>
              <w:rPr>
                <w:spacing w:val="-51"/>
                <w:w w:val="94"/>
                <w:sz w:val="11"/>
              </w:rPr>
              <w:t>M</w:t>
            </w:r>
            <w:r>
              <w:rPr>
                <w:w w:val="96"/>
                <w:sz w:val="11"/>
              </w:rPr>
              <w:t>.</w:t>
            </w:r>
            <w:r>
              <w:rPr>
                <w:sz w:val="11"/>
              </w:rPr>
              <w:t> </w:t>
            </w:r>
            <w:r>
              <w:rPr>
                <w:spacing w:val="-43"/>
                <w:w w:val="89"/>
                <w:sz w:val="11"/>
              </w:rPr>
              <w:t>o</w:t>
            </w:r>
            <w:r>
              <w:rPr>
                <w:spacing w:val="-44"/>
                <w:w w:val="94"/>
                <w:sz w:val="11"/>
              </w:rPr>
              <w:t>M</w:t>
            </w:r>
            <w:r>
              <w:rPr>
                <w:spacing w:val="-16"/>
                <w:w w:val="93"/>
                <w:sz w:val="11"/>
              </w:rPr>
              <w:t>n</w:t>
            </w:r>
            <w:r>
              <w:rPr>
                <w:spacing w:val="-39"/>
                <w:w w:val="89"/>
                <w:sz w:val="11"/>
              </w:rPr>
              <w:t>o</w:t>
            </w:r>
            <w:r>
              <w:rPr>
                <w:spacing w:val="-16"/>
                <w:w w:val="89"/>
                <w:sz w:val="11"/>
              </w:rPr>
              <w:t>e</w:t>
            </w:r>
            <w:r>
              <w:rPr>
                <w:spacing w:val="-41"/>
                <w:w w:val="93"/>
                <w:sz w:val="11"/>
              </w:rPr>
              <w:t>n</w:t>
            </w:r>
            <w:r>
              <w:rPr>
                <w:spacing w:val="-16"/>
                <w:w w:val="93"/>
                <w:sz w:val="11"/>
              </w:rPr>
              <w:t>d</w:t>
            </w:r>
            <w:r>
              <w:rPr>
                <w:spacing w:val="-39"/>
                <w:w w:val="89"/>
                <w:sz w:val="11"/>
              </w:rPr>
              <w:t>e</w:t>
            </w:r>
            <w:r>
              <w:rPr>
                <w:spacing w:val="-16"/>
                <w:w w:val="89"/>
                <w:sz w:val="11"/>
              </w:rPr>
              <w:t>a</w:t>
            </w:r>
            <w:r>
              <w:rPr>
                <w:spacing w:val="-41"/>
                <w:w w:val="93"/>
                <w:sz w:val="11"/>
              </w:rPr>
              <w:t>d</w:t>
            </w:r>
            <w:r>
              <w:rPr>
                <w:spacing w:val="-10"/>
                <w:w w:val="91"/>
                <w:sz w:val="11"/>
              </w:rPr>
              <w:t>s</w:t>
            </w:r>
            <w:r>
              <w:rPr>
                <w:spacing w:val="-16"/>
                <w:w w:val="89"/>
                <w:sz w:val="11"/>
              </w:rPr>
              <w:t>a</w:t>
            </w:r>
            <w:r>
              <w:rPr>
                <w:spacing w:val="-41"/>
                <w:w w:val="93"/>
                <w:sz w:val="11"/>
              </w:rPr>
              <w:t>d</w:t>
            </w:r>
            <w:r>
              <w:rPr>
                <w:spacing w:val="-11"/>
                <w:w w:val="91"/>
                <w:sz w:val="11"/>
              </w:rPr>
              <w:t>s</w:t>
            </w:r>
            <w:r>
              <w:rPr>
                <w:spacing w:val="-15"/>
                <w:w w:val="89"/>
                <w:sz w:val="11"/>
              </w:rPr>
              <w:t>e</w:t>
            </w:r>
            <w:r>
              <w:rPr>
                <w:spacing w:val="-1"/>
                <w:w w:val="93"/>
                <w:sz w:val="11"/>
              </w:rPr>
              <w:t>d</w:t>
            </w:r>
            <w:r>
              <w:rPr>
                <w:w w:val="89"/>
                <w:sz w:val="11"/>
              </w:rPr>
              <w:t>e</w:t>
            </w:r>
          </w:p>
          <w:p>
            <w:pPr>
              <w:pStyle w:val="TableParagraph"/>
              <w:spacing w:before="1"/>
              <w:ind w:left="252" w:right="278"/>
              <w:jc w:val="center"/>
              <w:rPr>
                <w:sz w:val="11"/>
              </w:rPr>
            </w:pPr>
            <w:r>
              <w:rPr>
                <w:w w:val="95"/>
                <w:sz w:val="11"/>
              </w:rPr>
              <w:t>AALLCC</w:t>
            </w:r>
          </w:p>
        </w:tc>
      </w:tr>
      <w:tr>
        <w:trPr>
          <w:trHeight w:val="1780" w:hRule="exact"/>
        </w:trPr>
        <w:tc>
          <w:tcPr>
            <w:tcW w:w="465" w:type="dxa"/>
            <w:tcBorders>
              <w:top w:val="single" w:sz="3" w:space="0" w:color="000000"/>
              <w:bottom w:val="single" w:sz="3" w:space="0" w:color="000000"/>
              <w:right w:val="single" w:sz="3" w:space="0" w:color="000000"/>
            </w:tcBorders>
          </w:tcPr>
          <w:p>
            <w:pPr>
              <w:pStyle w:val="TableParagraph"/>
              <w:spacing w:line="271" w:lineRule="auto" w:before="4"/>
              <w:ind w:left="105" w:right="42"/>
              <w:jc w:val="center"/>
              <w:rPr>
                <w:sz w:val="8"/>
              </w:rPr>
            </w:pPr>
            <w:r>
              <w:rPr>
                <w:w w:val="95"/>
                <w:sz w:val="8"/>
              </w:rPr>
              <w:t>Volumen </w:t>
            </w:r>
            <w:r>
              <w:rPr>
                <w:sz w:val="8"/>
              </w:rPr>
              <w:t>de X</w:t>
            </w: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9"/>
              <w:rPr>
                <w:sz w:val="11"/>
              </w:rPr>
            </w:pPr>
          </w:p>
          <w:p>
            <w:pPr>
              <w:pStyle w:val="TableParagraph"/>
              <w:spacing w:before="0"/>
              <w:ind w:left="105" w:right="10"/>
              <w:jc w:val="center"/>
              <w:rPr>
                <w:sz w:val="8"/>
              </w:rPr>
            </w:pPr>
            <w:r>
              <w:rPr>
                <w:sz w:val="8"/>
              </w:rPr>
              <w:t>Xn</w:t>
            </w:r>
          </w:p>
        </w:tc>
        <w:tc>
          <w:tcPr>
            <w:tcW w:w="464" w:type="dxa"/>
            <w:tcBorders>
              <w:top w:val="single" w:sz="3" w:space="0" w:color="000000"/>
              <w:left w:val="single" w:sz="3" w:space="0" w:color="000000"/>
              <w:bottom w:val="single" w:sz="3" w:space="0" w:color="000000"/>
              <w:right w:val="single" w:sz="3" w:space="0" w:color="000000"/>
            </w:tcBorders>
          </w:tcPr>
          <w:p>
            <w:pPr>
              <w:pStyle w:val="TableParagraph"/>
              <w:spacing w:before="4"/>
              <w:ind w:left="222"/>
              <w:rPr>
                <w:sz w:val="8"/>
              </w:rPr>
            </w:pPr>
            <w:r>
              <w:rPr>
                <w:sz w:val="8"/>
              </w:rPr>
              <w:t>PIB</w:t>
            </w:r>
          </w:p>
          <w:p>
            <w:pPr>
              <w:pStyle w:val="TableParagraph"/>
              <w:spacing w:before="12" w:after="13"/>
              <w:ind w:left="132" w:hanging="44"/>
              <w:rPr>
                <w:sz w:val="8"/>
              </w:rPr>
            </w:pPr>
            <w:r>
              <w:rPr>
                <w:sz w:val="8"/>
              </w:rPr>
              <w:t>mundial</w:t>
            </w:r>
          </w:p>
          <w:p>
            <w:pPr>
              <w:pStyle w:val="TableParagraph"/>
              <w:spacing w:before="0"/>
              <w:ind w:left="210"/>
              <w:rPr>
                <w:sz w:val="20"/>
              </w:rPr>
            </w:pPr>
            <w:r>
              <w:rPr>
                <w:sz w:val="20"/>
              </w:rPr>
              <w:pict>
                <v:group style="width:2.050pt;height:12.3pt;mso-position-horizontal-relative:char;mso-position-vertical-relative:line" coordorigin="0,0" coordsize="41,246">
                  <v:shape style="position:absolute;left:0;top:0;width:41;height:246" coordorigin="0,0" coordsize="41,246" path="m25,0l16,0,16,31,25,31,25,0xm25,54l16,54,16,85,25,85,25,54xm25,108l16,108,16,139,25,139,25,108xm25,162l16,162,16,193,25,193,25,162xm41,208l0,208,20,245,41,208xe" filled="true" fillcolor="#000000" stroked="false">
                    <v:path arrowok="t"/>
                    <v:fill type="solid"/>
                  </v:shape>
                </v:group>
              </w:pict>
            </w:r>
            <w:r>
              <w:rPr>
                <w:sz w:val="20"/>
              </w:rPr>
            </w:r>
          </w:p>
          <w:p>
            <w:pPr>
              <w:pStyle w:val="TableParagraph"/>
              <w:spacing w:line="271" w:lineRule="auto" w:before="0"/>
              <w:ind w:left="81" w:right="53" w:firstLine="50"/>
              <w:rPr>
                <w:sz w:val="8"/>
              </w:rPr>
            </w:pPr>
            <w:r>
              <w:rPr>
                <w:w w:val="95"/>
                <w:sz w:val="8"/>
              </w:rPr>
              <w:t>Precios </w:t>
            </w:r>
            <w:r>
              <w:rPr>
                <w:sz w:val="8"/>
              </w:rPr>
              <w:t>de X de</w:t>
            </w:r>
          </w:p>
          <w:p>
            <w:pPr>
              <w:pStyle w:val="TableParagraph"/>
              <w:spacing w:before="0"/>
              <w:ind w:left="126" w:right="135"/>
              <w:jc w:val="center"/>
              <w:rPr>
                <w:sz w:val="8"/>
              </w:rPr>
            </w:pPr>
            <w:r>
              <w:rPr>
                <w:sz w:val="8"/>
              </w:rPr>
              <w:t>ALC</w:t>
            </w:r>
          </w:p>
          <w:p>
            <w:pPr>
              <w:pStyle w:val="TableParagraph"/>
              <w:spacing w:before="0"/>
              <w:rPr>
                <w:sz w:val="8"/>
              </w:rPr>
            </w:pPr>
          </w:p>
          <w:p>
            <w:pPr>
              <w:pStyle w:val="TableParagraph"/>
              <w:spacing w:before="0"/>
              <w:rPr>
                <w:sz w:val="8"/>
              </w:rPr>
            </w:pPr>
          </w:p>
          <w:p>
            <w:pPr>
              <w:pStyle w:val="TableParagraph"/>
              <w:spacing w:before="2"/>
              <w:rPr>
                <w:sz w:val="9"/>
              </w:rPr>
            </w:pPr>
          </w:p>
          <w:p>
            <w:pPr>
              <w:pStyle w:val="TableParagraph"/>
              <w:spacing w:before="0"/>
              <w:ind w:left="222"/>
              <w:rPr>
                <w:sz w:val="8"/>
              </w:rPr>
            </w:pPr>
            <w:r>
              <w:rPr>
                <w:sz w:val="8"/>
              </w:rPr>
              <w:t>Xn</w:t>
            </w:r>
          </w:p>
        </w:tc>
        <w:tc>
          <w:tcPr>
            <w:tcW w:w="508"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before="4"/>
              <w:ind w:left="229" w:right="35" w:hanging="104"/>
              <w:rPr>
                <w:sz w:val="8"/>
              </w:rPr>
            </w:pPr>
            <w:r>
              <w:rPr>
                <w:w w:val="95"/>
                <w:sz w:val="8"/>
              </w:rPr>
              <w:t>Remesas </w:t>
            </w:r>
            <w:r>
              <w:rPr>
                <w:sz w:val="8"/>
              </w:rPr>
              <w:t>de</w:t>
            </w:r>
          </w:p>
          <w:p>
            <w:pPr>
              <w:pStyle w:val="TableParagraph"/>
              <w:spacing w:before="0"/>
              <w:ind w:left="126" w:hanging="81"/>
              <w:rPr>
                <w:sz w:val="8"/>
              </w:rPr>
            </w:pPr>
            <w:r>
              <w:rPr>
                <w:sz w:val="8"/>
              </w:rPr>
              <w:t>emigrantes</w:t>
            </w: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8"/>
              <w:rPr>
                <w:sz w:val="9"/>
              </w:rPr>
            </w:pPr>
          </w:p>
          <w:p>
            <w:pPr>
              <w:pStyle w:val="TableParagraph"/>
              <w:spacing w:before="0"/>
              <w:ind w:left="126"/>
              <w:rPr>
                <w:sz w:val="8"/>
              </w:rPr>
            </w:pPr>
            <w:r>
              <w:rPr>
                <w:sz w:val="8"/>
              </w:rPr>
              <w:t>Consumo</w:t>
            </w:r>
          </w:p>
        </w:tc>
        <w:tc>
          <w:tcPr>
            <w:tcW w:w="497"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before="4"/>
              <w:ind w:left="226" w:right="27" w:hanging="104"/>
              <w:rPr>
                <w:sz w:val="8"/>
              </w:rPr>
            </w:pPr>
            <w:r>
              <w:rPr>
                <w:w w:val="95"/>
                <w:sz w:val="8"/>
              </w:rPr>
              <w:t>Remesas </w:t>
            </w:r>
            <w:r>
              <w:rPr>
                <w:sz w:val="8"/>
              </w:rPr>
              <w:t>de</w:t>
            </w:r>
          </w:p>
          <w:p>
            <w:pPr>
              <w:pStyle w:val="TableParagraph"/>
              <w:spacing w:before="0"/>
              <w:ind w:left="43"/>
              <w:rPr>
                <w:sz w:val="8"/>
              </w:rPr>
            </w:pPr>
            <w:r>
              <w:rPr>
                <w:sz w:val="8"/>
              </w:rPr>
              <w:t>emigrantes</w:t>
            </w:r>
          </w:p>
          <w:p>
            <w:pPr>
              <w:pStyle w:val="TableParagraph"/>
              <w:spacing w:before="0"/>
              <w:rPr>
                <w:sz w:val="8"/>
              </w:rPr>
            </w:pPr>
          </w:p>
          <w:p>
            <w:pPr>
              <w:pStyle w:val="TableParagraph"/>
              <w:spacing w:before="0"/>
              <w:rPr>
                <w:sz w:val="8"/>
              </w:rPr>
            </w:pPr>
          </w:p>
          <w:p>
            <w:pPr>
              <w:pStyle w:val="TableParagraph"/>
              <w:spacing w:before="4"/>
              <w:rPr>
                <w:sz w:val="8"/>
              </w:rPr>
            </w:pPr>
          </w:p>
          <w:p>
            <w:pPr>
              <w:pStyle w:val="TableParagraph"/>
              <w:spacing w:before="0"/>
              <w:ind w:left="201" w:right="92"/>
              <w:jc w:val="center"/>
              <w:rPr>
                <w:sz w:val="8"/>
              </w:rPr>
            </w:pPr>
            <w:r>
              <w:rPr>
                <w:w w:val="95"/>
                <w:sz w:val="8"/>
              </w:rPr>
              <w:t>TCR</w:t>
            </w: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3"/>
              <w:rPr>
                <w:sz w:val="11"/>
              </w:rPr>
            </w:pPr>
          </w:p>
          <w:p>
            <w:pPr>
              <w:pStyle w:val="TableParagraph"/>
              <w:spacing w:before="0"/>
              <w:ind w:left="181" w:right="92"/>
              <w:jc w:val="center"/>
              <w:rPr>
                <w:sz w:val="8"/>
              </w:rPr>
            </w:pPr>
            <w:r>
              <w:rPr>
                <w:sz w:val="8"/>
              </w:rPr>
              <w:t>Xn</w:t>
            </w:r>
          </w:p>
        </w:tc>
        <w:tc>
          <w:tcPr>
            <w:tcW w:w="426"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before="4"/>
              <w:ind w:left="180" w:right="46" w:hanging="30"/>
              <w:rPr>
                <w:sz w:val="8"/>
              </w:rPr>
            </w:pPr>
            <w:r>
              <w:rPr>
                <w:w w:val="95"/>
                <w:sz w:val="8"/>
              </w:rPr>
              <w:t>Flujos </w:t>
            </w:r>
            <w:r>
              <w:rPr>
                <w:sz w:val="8"/>
              </w:rPr>
              <w:t>de</w:t>
            </w:r>
          </w:p>
          <w:p>
            <w:pPr>
              <w:pStyle w:val="TableParagraph"/>
              <w:spacing w:before="0"/>
              <w:ind w:left="56" w:firstLine="28"/>
              <w:rPr>
                <w:sz w:val="8"/>
              </w:rPr>
            </w:pPr>
            <w:r>
              <w:rPr>
                <w:sz w:val="8"/>
              </w:rPr>
              <w:t>Capital</w:t>
            </w: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4"/>
              <w:rPr>
                <w:sz w:val="6"/>
              </w:rPr>
            </w:pPr>
          </w:p>
          <w:p>
            <w:pPr>
              <w:pStyle w:val="TableParagraph"/>
              <w:spacing w:line="271" w:lineRule="auto" w:before="0"/>
              <w:ind w:left="46" w:firstLine="9"/>
              <w:rPr>
                <w:sz w:val="8"/>
              </w:rPr>
            </w:pPr>
            <w:r>
              <w:rPr>
                <w:sz w:val="8"/>
              </w:rPr>
              <w:t>Gasto de </w:t>
            </w:r>
            <w:r>
              <w:rPr>
                <w:w w:val="95"/>
                <w:sz w:val="8"/>
              </w:rPr>
              <w:t>Gobierno</w:t>
            </w:r>
          </w:p>
          <w:p>
            <w:pPr>
              <w:pStyle w:val="TableParagraph"/>
              <w:spacing w:line="324" w:lineRule="auto" w:before="21"/>
              <w:ind w:left="56" w:right="28" w:hanging="10"/>
              <w:rPr>
                <w:sz w:val="8"/>
              </w:rPr>
            </w:pPr>
            <w:r>
              <w:rPr>
                <w:w w:val="95"/>
                <w:sz w:val="8"/>
              </w:rPr>
              <w:t>Consumo Inversión</w:t>
            </w:r>
          </w:p>
        </w:tc>
        <w:tc>
          <w:tcPr>
            <w:tcW w:w="523" w:type="dxa"/>
            <w:tcBorders>
              <w:top w:val="single" w:sz="3" w:space="0" w:color="000000"/>
              <w:left w:val="single" w:sz="3" w:space="0" w:color="000000"/>
              <w:bottom w:val="single" w:sz="3" w:space="0" w:color="000000"/>
              <w:right w:val="single" w:sz="3" w:space="0" w:color="000000"/>
            </w:tcBorders>
          </w:tcPr>
          <w:p>
            <w:pPr>
              <w:pStyle w:val="TableParagraph"/>
              <w:spacing w:line="268" w:lineRule="auto" w:before="4"/>
              <w:ind w:left="54" w:right="81" w:firstLine="6"/>
              <w:jc w:val="center"/>
              <w:rPr>
                <w:sz w:val="8"/>
              </w:rPr>
            </w:pPr>
            <w:r>
              <w:rPr>
                <w:w w:val="95"/>
                <w:sz w:val="8"/>
              </w:rPr>
              <w:t>Pérdidas o ganancias </w:t>
            </w:r>
            <w:r>
              <w:rPr>
                <w:sz w:val="8"/>
              </w:rPr>
              <w:t>de capital (activos</w:t>
            </w:r>
            <w:r>
              <w:rPr>
                <w:spacing w:val="-10"/>
                <w:sz w:val="8"/>
              </w:rPr>
              <w:t> </w:t>
            </w:r>
            <w:r>
              <w:rPr>
                <w:sz w:val="8"/>
              </w:rPr>
              <w:t>de</w:t>
            </w:r>
            <w:r>
              <w:rPr>
                <w:w w:val="94"/>
                <w:sz w:val="8"/>
              </w:rPr>
              <w:t> </w:t>
            </w:r>
            <w:r>
              <w:rPr>
                <w:sz w:val="8"/>
              </w:rPr>
              <w:t>reserva)</w:t>
            </w: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2"/>
              <w:rPr>
                <w:sz w:val="10"/>
              </w:rPr>
            </w:pPr>
          </w:p>
          <w:p>
            <w:pPr>
              <w:pStyle w:val="TableParagraph"/>
              <w:spacing w:line="271" w:lineRule="auto" w:before="0"/>
              <w:ind w:left="86" w:right="98"/>
              <w:jc w:val="center"/>
              <w:rPr>
                <w:sz w:val="8"/>
              </w:rPr>
            </w:pPr>
            <w:r>
              <w:rPr>
                <w:sz w:val="8"/>
              </w:rPr>
              <w:t>Gasto de </w:t>
            </w:r>
            <w:r>
              <w:rPr>
                <w:w w:val="95"/>
                <w:sz w:val="8"/>
              </w:rPr>
              <w:t>Gobierno</w:t>
            </w:r>
          </w:p>
          <w:p>
            <w:pPr>
              <w:pStyle w:val="TableParagraph"/>
              <w:spacing w:line="324" w:lineRule="auto" w:before="21"/>
              <w:ind w:left="86" w:right="98"/>
              <w:jc w:val="center"/>
              <w:rPr>
                <w:sz w:val="8"/>
              </w:rPr>
            </w:pPr>
            <w:r>
              <w:rPr>
                <w:w w:val="95"/>
                <w:sz w:val="8"/>
              </w:rPr>
              <w:t>Consumo Inversión</w:t>
            </w:r>
          </w:p>
        </w:tc>
        <w:tc>
          <w:tcPr>
            <w:tcW w:w="444"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before="4"/>
              <w:ind w:left="80" w:right="58" w:firstLine="81"/>
              <w:rPr>
                <w:sz w:val="8"/>
              </w:rPr>
            </w:pPr>
            <w:r>
              <w:rPr>
                <w:w w:val="95"/>
                <w:sz w:val="8"/>
              </w:rPr>
              <w:t>Costo </w:t>
            </w:r>
            <w:r>
              <w:rPr>
                <w:sz w:val="8"/>
              </w:rPr>
              <w:t>servicio</w:t>
            </w:r>
          </w:p>
          <w:p>
            <w:pPr>
              <w:pStyle w:val="TableParagraph"/>
              <w:spacing w:line="266" w:lineRule="auto" w:before="0"/>
              <w:ind w:left="69" w:right="58" w:firstLine="70"/>
              <w:rPr>
                <w:sz w:val="8"/>
              </w:rPr>
            </w:pPr>
            <w:r>
              <w:rPr>
                <w:sz w:val="8"/>
              </w:rPr>
              <w:t>de la deuda</w:t>
            </w: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9"/>
              <w:rPr>
                <w:sz w:val="10"/>
              </w:rPr>
            </w:pPr>
          </w:p>
          <w:p>
            <w:pPr>
              <w:pStyle w:val="TableParagraph"/>
              <w:spacing w:line="271" w:lineRule="auto" w:before="0"/>
              <w:ind w:left="57" w:firstLine="11"/>
              <w:rPr>
                <w:sz w:val="8"/>
              </w:rPr>
            </w:pPr>
            <w:r>
              <w:rPr>
                <w:sz w:val="8"/>
              </w:rPr>
              <w:t>Gasto de </w:t>
            </w:r>
            <w:r>
              <w:rPr>
                <w:w w:val="95"/>
                <w:sz w:val="8"/>
              </w:rPr>
              <w:t>Gobierno</w:t>
            </w:r>
          </w:p>
          <w:p>
            <w:pPr>
              <w:pStyle w:val="TableParagraph"/>
              <w:spacing w:line="324" w:lineRule="auto" w:before="21"/>
              <w:ind w:left="69" w:hanging="12"/>
              <w:rPr>
                <w:sz w:val="8"/>
              </w:rPr>
            </w:pPr>
            <w:r>
              <w:rPr>
                <w:w w:val="95"/>
                <w:sz w:val="8"/>
              </w:rPr>
              <w:t>Consumo </w:t>
            </w:r>
            <w:r>
              <w:rPr>
                <w:sz w:val="8"/>
              </w:rPr>
              <w:t>Inversión</w:t>
            </w:r>
          </w:p>
        </w:tc>
        <w:tc>
          <w:tcPr>
            <w:tcW w:w="619"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before="4"/>
              <w:ind w:left="101" w:right="12" w:firstLine="39"/>
              <w:rPr>
                <w:sz w:val="8"/>
              </w:rPr>
            </w:pPr>
            <w:r>
              <w:rPr>
                <w:sz w:val="8"/>
              </w:rPr>
              <w:t>Condiciones de acceso a</w:t>
            </w:r>
          </w:p>
          <w:p>
            <w:pPr>
              <w:pStyle w:val="TableParagraph"/>
              <w:spacing w:before="0"/>
              <w:ind w:left="140" w:hanging="88"/>
              <w:rPr>
                <w:sz w:val="8"/>
              </w:rPr>
            </w:pPr>
            <w:r>
              <w:rPr>
                <w:sz w:val="8"/>
              </w:rPr>
              <w:t>financiamiento</w:t>
            </w: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line="271" w:lineRule="auto" w:before="55"/>
              <w:ind w:left="130" w:right="12" w:firstLine="9"/>
              <w:rPr>
                <w:sz w:val="8"/>
              </w:rPr>
            </w:pPr>
            <w:r>
              <w:rPr>
                <w:sz w:val="8"/>
              </w:rPr>
              <w:t>Gasto de </w:t>
            </w:r>
            <w:r>
              <w:rPr>
                <w:w w:val="95"/>
                <w:sz w:val="8"/>
              </w:rPr>
              <w:t>Gobierno</w:t>
            </w:r>
          </w:p>
          <w:p>
            <w:pPr>
              <w:pStyle w:val="TableParagraph"/>
              <w:spacing w:line="324" w:lineRule="auto" w:before="21"/>
              <w:ind w:left="140" w:right="137" w:hanging="10"/>
              <w:rPr>
                <w:sz w:val="8"/>
              </w:rPr>
            </w:pPr>
            <w:r>
              <w:rPr>
                <w:w w:val="95"/>
                <w:sz w:val="8"/>
              </w:rPr>
              <w:t>Consumo Inversión</w:t>
            </w:r>
          </w:p>
        </w:tc>
        <w:tc>
          <w:tcPr>
            <w:tcW w:w="484" w:type="dxa"/>
            <w:tcBorders>
              <w:top w:val="single" w:sz="3" w:space="0" w:color="000000"/>
              <w:left w:val="single" w:sz="3" w:space="0" w:color="000000"/>
              <w:bottom w:val="single" w:sz="3" w:space="0" w:color="000000"/>
              <w:right w:val="single" w:sz="3" w:space="0" w:color="000000"/>
            </w:tcBorders>
          </w:tcPr>
          <w:p>
            <w:pPr>
              <w:pStyle w:val="TableParagraph"/>
              <w:spacing w:line="271" w:lineRule="auto" w:before="4"/>
              <w:ind w:left="83" w:right="43" w:firstLine="77"/>
              <w:rPr>
                <w:sz w:val="8"/>
              </w:rPr>
            </w:pPr>
            <w:r>
              <w:rPr>
                <w:w w:val="95"/>
                <w:sz w:val="8"/>
              </w:rPr>
              <w:t>Precios </w:t>
            </w:r>
            <w:r>
              <w:rPr>
                <w:sz w:val="8"/>
              </w:rPr>
              <w:t>de X e M</w:t>
            </w: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63"/>
              <w:ind w:left="244" w:right="43"/>
              <w:rPr>
                <w:sz w:val="8"/>
              </w:rPr>
            </w:pPr>
            <w:r>
              <w:rPr>
                <w:sz w:val="8"/>
              </w:rPr>
              <w:t>Xn</w:t>
            </w:r>
          </w:p>
        </w:tc>
        <w:tc>
          <w:tcPr>
            <w:tcW w:w="503" w:type="dxa"/>
            <w:tcBorders>
              <w:top w:val="single" w:sz="3" w:space="0" w:color="000000"/>
              <w:left w:val="single" w:sz="3" w:space="0" w:color="000000"/>
              <w:bottom w:val="single" w:sz="3" w:space="0" w:color="000000"/>
            </w:tcBorders>
          </w:tcPr>
          <w:p>
            <w:pPr>
              <w:pStyle w:val="TableParagraph"/>
              <w:spacing w:line="271" w:lineRule="auto" w:before="4"/>
              <w:ind w:left="53" w:firstLine="94"/>
              <w:rPr>
                <w:sz w:val="8"/>
              </w:rPr>
            </w:pPr>
            <w:r>
              <w:rPr>
                <w:sz w:val="8"/>
              </w:rPr>
              <w:t>Valor de activos y pasivos en</w:t>
            </w:r>
          </w:p>
          <w:p>
            <w:pPr>
              <w:pStyle w:val="TableParagraph"/>
              <w:spacing w:line="91" w:lineRule="exact" w:before="0"/>
              <w:ind w:left="180"/>
              <w:rPr>
                <w:sz w:val="8"/>
              </w:rPr>
            </w:pPr>
            <w:r>
              <w:rPr>
                <w:sz w:val="8"/>
              </w:rPr>
              <w:t>USD</w:t>
            </w: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0"/>
              <w:rPr>
                <w:sz w:val="8"/>
              </w:rPr>
            </w:pPr>
          </w:p>
          <w:p>
            <w:pPr>
              <w:pStyle w:val="TableParagraph"/>
              <w:spacing w:before="7"/>
              <w:rPr>
                <w:sz w:val="11"/>
              </w:rPr>
            </w:pPr>
          </w:p>
          <w:p>
            <w:pPr>
              <w:pStyle w:val="TableParagraph"/>
              <w:spacing w:line="271" w:lineRule="auto" w:before="0"/>
              <w:ind w:left="71" w:firstLine="11"/>
              <w:rPr>
                <w:sz w:val="8"/>
              </w:rPr>
            </w:pPr>
            <w:r>
              <w:rPr>
                <w:sz w:val="8"/>
              </w:rPr>
              <w:t>Gasto de </w:t>
            </w:r>
            <w:r>
              <w:rPr>
                <w:w w:val="95"/>
                <w:sz w:val="8"/>
              </w:rPr>
              <w:t>Gobierno</w:t>
            </w:r>
          </w:p>
          <w:p>
            <w:pPr>
              <w:pStyle w:val="TableParagraph"/>
              <w:spacing w:line="324" w:lineRule="auto" w:before="21"/>
              <w:ind w:left="82" w:right="77" w:hanging="12"/>
              <w:rPr>
                <w:sz w:val="8"/>
              </w:rPr>
            </w:pPr>
            <w:r>
              <w:rPr>
                <w:w w:val="95"/>
                <w:sz w:val="8"/>
              </w:rPr>
              <w:t>Consumo Inversión</w:t>
            </w:r>
          </w:p>
        </w:tc>
      </w:tr>
      <w:tr>
        <w:trPr>
          <w:trHeight w:val="420" w:hRule="exact"/>
        </w:trPr>
        <w:tc>
          <w:tcPr>
            <w:tcW w:w="4935" w:type="dxa"/>
            <w:gridSpan w:val="10"/>
            <w:tcBorders>
              <w:top w:val="single" w:sz="3" w:space="0" w:color="000000"/>
            </w:tcBorders>
          </w:tcPr>
          <w:p>
            <w:pPr>
              <w:pStyle w:val="TableParagraph"/>
              <w:spacing w:before="111"/>
              <w:ind w:left="617"/>
              <w:rPr>
                <w:sz w:val="17"/>
              </w:rPr>
            </w:pPr>
            <w:r>
              <w:rPr>
                <w:w w:val="90"/>
                <w:sz w:val="17"/>
              </w:rPr>
              <w:t>P   P  R   R  O  O  D  D  U   U  C   C  T   T  O  O</w:t>
            </w:r>
          </w:p>
        </w:tc>
      </w:tr>
    </w:tbl>
    <w:p>
      <w:pPr>
        <w:pStyle w:val="BodyText"/>
        <w:spacing w:before="6"/>
        <w:rPr>
          <w:rFonts w:ascii="Arial"/>
          <w:sz w:val="8"/>
        </w:rPr>
      </w:pPr>
      <w:r>
        <w:rPr/>
        <w:pict>
          <v:line style="position:absolute;mso-position-horizontal-relative:page;mso-position-vertical-relative:paragraph;z-index:8776;mso-wrap-distance-left:0;mso-wrap-distance-right:0" from="51.023602pt,7.3744pt" to="399.684602pt,7.3744pt" stroked="true" strokeweight="1pt" strokecolor="#000000">
            <w10:wrap type="topAndBottom"/>
          </v:line>
        </w:pict>
      </w:r>
    </w:p>
    <w:p>
      <w:pPr>
        <w:spacing w:before="0"/>
        <w:ind w:left="120" w:right="0" w:firstLine="0"/>
        <w:jc w:val="both"/>
        <w:rPr>
          <w:rFonts w:ascii="Arial" w:hAnsi="Arial"/>
          <w:sz w:val="14"/>
        </w:rPr>
      </w:pPr>
      <w:r>
        <w:rPr>
          <w:rFonts w:ascii="Arial" w:hAnsi="Arial"/>
          <w:w w:val="85"/>
          <w:sz w:val="14"/>
        </w:rPr>
        <w:t>Fuente: Martínez y Cobarrubias (2009).</w:t>
      </w:r>
    </w:p>
    <w:p>
      <w:pPr>
        <w:spacing w:before="55"/>
        <w:ind w:left="120" w:right="0" w:firstLine="0"/>
        <w:jc w:val="both"/>
        <w:rPr>
          <w:rFonts w:ascii="Arial" w:hAnsi="Arial"/>
          <w:sz w:val="14"/>
        </w:rPr>
      </w:pPr>
      <w:r>
        <w:rPr/>
        <w:pict>
          <v:shape style="position:absolute;margin-left:307.545013pt;margin-top:-71.610275pt;width:3.2pt;height:3.1pt;mso-position-horizontal-relative:page;mso-position-vertical-relative:paragraph;z-index:-249760" coordorigin="6151,-1432" coordsize="64,62" path="m6187,-1432l6177,-1432,6151,-1371,6215,-1371,6211,-1378,6163,-1378,6178,-1414,6180,-1418,6181,-1422,6182,-1426,6190,-1426,6187,-1432xm6190,-1426l6182,-1426,6183,-1422,6184,-1418,6201,-1378,6211,-1378,6190,-1426xe" filled="true" fillcolor="#000000" stroked="false">
            <v:path arrowok="t"/>
            <v:fill type="solid"/>
            <w10:wrap type="none"/>
          </v:shape>
        </w:pict>
      </w:r>
      <w:r>
        <w:rPr/>
        <w:pict>
          <v:shape style="position:absolute;margin-left:182.134796pt;margin-top:-72.647377pt;width:3.2pt;height:3.1pt;mso-position-horizontal-relative:page;mso-position-vertical-relative:paragraph;z-index:-249736" coordorigin="3643,-1453" coordsize="64,62" path="m3679,-1453l3669,-1453,3643,-1391,3706,-1391,3703,-1399,3655,-1399,3670,-1435,3672,-1439,3673,-1443,3674,-1446,3681,-1446,3679,-1453xm3681,-1446l3674,-1446,3675,-1443,3676,-1439,3693,-1399,3703,-1399,3681,-1446xe" filled="true" fillcolor="#000000" stroked="false">
            <v:path arrowok="t"/>
            <v:fill type="solid"/>
            <w10:wrap type="none"/>
          </v:shape>
        </w:pict>
      </w:r>
      <w:r>
        <w:rPr/>
        <w:pict>
          <v:shape style="position:absolute;margin-left:150.351593pt;margin-top:-73.757675pt;width:3.2pt;height:3.1pt;mso-position-horizontal-relative:page;mso-position-vertical-relative:paragraph;z-index:-249712" coordorigin="3007,-1475" coordsize="64,62" path="m3043,-1475l3033,-1475,3007,-1414,3071,-1414,3068,-1421,3020,-1421,3034,-1457,3036,-1461,3037,-1465,3038,-1469,3046,-1469,3043,-1475xm3046,-1469l3038,-1469,3039,-1465,3041,-1461,3057,-1421,3068,-1421,3046,-1469xe" filled="true" fillcolor="#000000" stroked="false">
            <v:path arrowok="t"/>
            <v:fill type="solid"/>
            <w10:wrap type="none"/>
          </v:shape>
        </w:pict>
      </w:r>
      <w:r>
        <w:rPr>
          <w:rFonts w:ascii="Arial" w:hAnsi="Arial"/>
          <w:w w:val="85"/>
          <w:sz w:val="14"/>
        </w:rPr>
        <w:t>Notas: Δ = variación, Xn = Exportaciones netas y TCR = Tipo de cambio real.</w:t>
      </w:r>
    </w:p>
    <w:p>
      <w:pPr>
        <w:pStyle w:val="BodyText"/>
        <w:rPr>
          <w:rFonts w:ascii="Arial"/>
          <w:sz w:val="14"/>
        </w:rPr>
      </w:pPr>
    </w:p>
    <w:p>
      <w:pPr>
        <w:pStyle w:val="Heading6"/>
        <w:spacing w:line="244" w:lineRule="auto" w:before="90"/>
        <w:ind w:left="121" w:right="1649"/>
        <w:jc w:val="left"/>
      </w:pPr>
      <w:r>
        <w:rPr>
          <w:spacing w:val="2"/>
          <w:w w:val="140"/>
        </w:rPr>
        <w:t>caracterización</w:t>
      </w:r>
      <w:r>
        <w:rPr>
          <w:spacing w:val="-39"/>
          <w:w w:val="140"/>
        </w:rPr>
        <w:t> </w:t>
      </w:r>
      <w:r>
        <w:rPr>
          <w:w w:val="140"/>
        </w:rPr>
        <w:t>de</w:t>
      </w:r>
      <w:r>
        <w:rPr>
          <w:spacing w:val="-39"/>
          <w:w w:val="140"/>
        </w:rPr>
        <w:t> </w:t>
      </w:r>
      <w:r>
        <w:rPr>
          <w:spacing w:val="3"/>
          <w:w w:val="140"/>
        </w:rPr>
        <w:t>la</w:t>
      </w:r>
      <w:r>
        <w:rPr>
          <w:spacing w:val="-39"/>
          <w:w w:val="140"/>
        </w:rPr>
        <w:t> </w:t>
      </w:r>
      <w:r>
        <w:rPr>
          <w:spacing w:val="2"/>
          <w:w w:val="140"/>
        </w:rPr>
        <w:t>interrelación</w:t>
      </w:r>
      <w:r>
        <w:rPr>
          <w:spacing w:val="-39"/>
          <w:w w:val="140"/>
        </w:rPr>
        <w:t> </w:t>
      </w:r>
      <w:r>
        <w:rPr>
          <w:spacing w:val="2"/>
          <w:w w:val="140"/>
        </w:rPr>
        <w:t>econóMica </w:t>
      </w:r>
      <w:r>
        <w:rPr>
          <w:w w:val="140"/>
        </w:rPr>
        <w:t>entre</w:t>
      </w:r>
      <w:r>
        <w:rPr>
          <w:spacing w:val="-49"/>
          <w:w w:val="140"/>
        </w:rPr>
        <w:t> </w:t>
      </w:r>
      <w:r>
        <w:rPr>
          <w:w w:val="140"/>
        </w:rPr>
        <w:t>estados</w:t>
      </w:r>
      <w:r>
        <w:rPr>
          <w:spacing w:val="-49"/>
          <w:w w:val="140"/>
        </w:rPr>
        <w:t> </w:t>
      </w:r>
      <w:r>
        <w:rPr>
          <w:spacing w:val="2"/>
          <w:w w:val="140"/>
        </w:rPr>
        <w:t>unidos</w:t>
      </w:r>
      <w:r>
        <w:rPr>
          <w:spacing w:val="-49"/>
          <w:w w:val="140"/>
        </w:rPr>
        <w:t> </w:t>
      </w:r>
      <w:r>
        <w:rPr>
          <w:w w:val="140"/>
        </w:rPr>
        <w:t>y</w:t>
      </w:r>
      <w:r>
        <w:rPr>
          <w:spacing w:val="-49"/>
          <w:w w:val="140"/>
        </w:rPr>
        <w:t> </w:t>
      </w:r>
      <w:r>
        <w:rPr>
          <w:spacing w:val="2"/>
          <w:w w:val="140"/>
        </w:rPr>
        <w:t>aMérica</w:t>
      </w:r>
      <w:r>
        <w:rPr>
          <w:spacing w:val="-49"/>
          <w:w w:val="140"/>
        </w:rPr>
        <w:t> </w:t>
      </w:r>
      <w:r>
        <w:rPr>
          <w:w w:val="140"/>
        </w:rPr>
        <w:t>latina</w:t>
      </w:r>
      <w:r>
        <w:rPr>
          <w:spacing w:val="-49"/>
          <w:w w:val="140"/>
        </w:rPr>
        <w:t> </w:t>
      </w:r>
      <w:r>
        <w:rPr>
          <w:w w:val="140"/>
        </w:rPr>
        <w:t>y</w:t>
      </w:r>
      <w:r>
        <w:rPr>
          <w:spacing w:val="-49"/>
          <w:w w:val="140"/>
        </w:rPr>
        <w:t> </w:t>
      </w:r>
      <w:r>
        <w:rPr>
          <w:w w:val="140"/>
        </w:rPr>
        <w:t>el</w:t>
      </w:r>
      <w:r>
        <w:rPr>
          <w:spacing w:val="-49"/>
          <w:w w:val="140"/>
        </w:rPr>
        <w:t> </w:t>
      </w:r>
      <w:r>
        <w:rPr>
          <w:w w:val="140"/>
        </w:rPr>
        <w:t>cariBe</w:t>
      </w:r>
    </w:p>
    <w:p>
      <w:pPr>
        <w:pStyle w:val="BodyText"/>
        <w:spacing w:line="252" w:lineRule="auto" w:before="5"/>
        <w:ind w:left="120" w:right="848"/>
        <w:jc w:val="both"/>
      </w:pPr>
      <w:r>
        <w:rPr>
          <w:w w:val="243"/>
        </w:rPr>
        <w:t>l</w:t>
      </w:r>
      <w:r>
        <w:rPr>
          <w:w w:val="112"/>
        </w:rPr>
        <w:t>a</w:t>
      </w:r>
      <w:r>
        <w:rPr/>
        <w:t>  </w:t>
      </w:r>
      <w:r>
        <w:rPr>
          <w:w w:val="111"/>
        </w:rPr>
        <w:t>declinación</w:t>
      </w:r>
      <w:r>
        <w:rPr/>
        <w:t>  </w:t>
      </w:r>
      <w:r>
        <w:rPr>
          <w:w w:val="108"/>
        </w:rPr>
        <w:t>general</w:t>
      </w:r>
      <w:r>
        <w:rPr/>
        <w:t>  </w:t>
      </w:r>
      <w:r>
        <w:rPr>
          <w:w w:val="107"/>
        </w:rPr>
        <w:t>de</w:t>
      </w:r>
      <w:r>
        <w:rPr/>
        <w:t>  </w:t>
      </w:r>
      <w:r>
        <w:rPr>
          <w:w w:val="111"/>
        </w:rPr>
        <w:t>la</w:t>
      </w:r>
      <w:r>
        <w:rPr/>
        <w:t>  </w:t>
      </w:r>
      <w:r>
        <w:rPr>
          <w:w w:val="109"/>
        </w:rPr>
        <w:t>volatilidad</w:t>
      </w:r>
      <w:r>
        <w:rPr/>
        <w:t>  </w:t>
      </w:r>
      <w:r>
        <w:rPr>
          <w:w w:val="107"/>
        </w:rPr>
        <w:t>del</w:t>
      </w:r>
      <w:r>
        <w:rPr/>
        <w:t>  </w:t>
      </w:r>
      <w:r>
        <w:rPr>
          <w:w w:val="113"/>
        </w:rPr>
        <w:t>ciclo</w:t>
      </w:r>
      <w:r>
        <w:rPr/>
        <w:t>  </w:t>
      </w:r>
      <w:r>
        <w:rPr>
          <w:w w:val="111"/>
        </w:rPr>
        <w:t>económico</w:t>
      </w:r>
      <w:r>
        <w:rPr/>
        <w:t>  </w:t>
      </w:r>
      <w:r>
        <w:rPr>
          <w:w w:val="111"/>
        </w:rPr>
        <w:t>global </w:t>
      </w:r>
      <w:r>
        <w:rPr>
          <w:w w:val="110"/>
        </w:rPr>
        <w:t>en los últimos 30 años –con expansiones más duraderas y recesiones más breves–, las dinámicas de crecimiento compartidas a nivel global, a partir del reforzamiento de los canales de interrelación provocado por la globalización, el acelerado crecimiento en las últimas dos déca- das de China y otras economías “emergentes” –en relación a cualquier momento desde los años setenta–, las prospectivas de estos países    de crecer más aceleradamente que los países desarrollados durante períodos más largos de tiempo (FMi, 2007), entre otros, constituyen nuevos rasgos de las dinámicas económicas globales, con implicacio- nes de gran trascendencia para la interrelación económica entre paí- ses con diferentes niveles de</w:t>
      </w:r>
      <w:r>
        <w:rPr>
          <w:spacing w:val="-6"/>
          <w:w w:val="110"/>
        </w:rPr>
        <w:t> </w:t>
      </w:r>
      <w:r>
        <w:rPr>
          <w:w w:val="110"/>
        </w:rPr>
        <w:t>desarrollo.</w:t>
      </w:r>
    </w:p>
    <w:p>
      <w:pPr>
        <w:pStyle w:val="BodyText"/>
        <w:spacing w:line="252" w:lineRule="auto"/>
        <w:ind w:left="120" w:right="848" w:firstLine="396"/>
        <w:jc w:val="both"/>
      </w:pPr>
      <w:r>
        <w:rPr>
          <w:w w:val="112"/>
        </w:rPr>
        <w:t>Entre</w:t>
      </w:r>
      <w:r>
        <w:rPr>
          <w:spacing w:val="18"/>
        </w:rPr>
        <w:t> </w:t>
      </w:r>
      <w:r>
        <w:rPr>
          <w:w w:val="102"/>
        </w:rPr>
        <w:t>2003</w:t>
      </w:r>
      <w:r>
        <w:rPr>
          <w:spacing w:val="18"/>
        </w:rPr>
        <w:t> </w:t>
      </w:r>
      <w:r>
        <w:rPr>
          <w:w w:val="105"/>
        </w:rPr>
        <w:t>y</w:t>
      </w:r>
      <w:r>
        <w:rPr>
          <w:spacing w:val="18"/>
        </w:rPr>
        <w:t> </w:t>
      </w:r>
      <w:r>
        <w:rPr>
          <w:w w:val="105"/>
        </w:rPr>
        <w:t>2007,</w:t>
      </w:r>
      <w:r>
        <w:rPr>
          <w:spacing w:val="18"/>
        </w:rPr>
        <w:t> </w:t>
      </w:r>
      <w:r>
        <w:rPr>
          <w:w w:val="139"/>
        </w:rPr>
        <w:t>a</w:t>
      </w:r>
      <w:r>
        <w:rPr>
          <w:w w:val="111"/>
        </w:rPr>
        <w:t>mérica</w:t>
      </w:r>
      <w:r>
        <w:rPr>
          <w:spacing w:val="18"/>
        </w:rPr>
        <w:t> </w:t>
      </w:r>
      <w:r>
        <w:rPr>
          <w:w w:val="243"/>
        </w:rPr>
        <w:t>l</w:t>
      </w:r>
      <w:r>
        <w:rPr>
          <w:w w:val="111"/>
        </w:rPr>
        <w:t>atina</w:t>
      </w:r>
      <w:r>
        <w:rPr>
          <w:spacing w:val="18"/>
        </w:rPr>
        <w:t> </w:t>
      </w:r>
      <w:r>
        <w:rPr>
          <w:w w:val="105"/>
        </w:rPr>
        <w:t>y</w:t>
      </w:r>
      <w:r>
        <w:rPr>
          <w:spacing w:val="18"/>
        </w:rPr>
        <w:t> </w:t>
      </w:r>
      <w:r>
        <w:rPr>
          <w:w w:val="107"/>
        </w:rPr>
        <w:t>el</w:t>
      </w:r>
      <w:r>
        <w:rPr>
          <w:spacing w:val="18"/>
        </w:rPr>
        <w:t> </w:t>
      </w:r>
      <w:r>
        <w:rPr>
          <w:w w:val="112"/>
        </w:rPr>
        <w:t>Caribe</w:t>
      </w:r>
      <w:r>
        <w:rPr>
          <w:spacing w:val="18"/>
        </w:rPr>
        <w:t> </w:t>
      </w:r>
      <w:r>
        <w:rPr>
          <w:w w:val="109"/>
        </w:rPr>
        <w:t>mostró</w:t>
      </w:r>
      <w:r>
        <w:rPr>
          <w:spacing w:val="18"/>
        </w:rPr>
        <w:t> </w:t>
      </w:r>
      <w:r>
        <w:rPr>
          <w:w w:val="107"/>
        </w:rPr>
        <w:t>niveles</w:t>
      </w:r>
      <w:r>
        <w:rPr>
          <w:spacing w:val="18"/>
        </w:rPr>
        <w:t> </w:t>
      </w:r>
      <w:r>
        <w:rPr>
          <w:w w:val="107"/>
        </w:rPr>
        <w:t>de </w:t>
      </w:r>
      <w:r>
        <w:rPr>
          <w:w w:val="110"/>
        </w:rPr>
        <w:t>crecimiento económico sin precedentes al menos en comparación con las tres décadas anteriores. al estallar la crisis financiera en 2007, este crecimiento de la región mostró determinados grados de “resistencia” durante los dos primeros años y la caída en la actividad económica   en Estados unidos no fue tan sustantiva como en crisis anteriores.    No obstante, en 2009, la región fue impactada por la crisis económica en Estados unidos por lo que el crecimiento económico en la región registró cifras negativas (ver </w:t>
      </w:r>
      <w:r>
        <w:rPr>
          <w:spacing w:val="-4"/>
          <w:w w:val="110"/>
        </w:rPr>
        <w:t>tabla </w:t>
      </w:r>
      <w:r>
        <w:rPr>
          <w:spacing w:val="13"/>
          <w:w w:val="110"/>
        </w:rPr>
        <w:t> </w:t>
      </w:r>
      <w:r>
        <w:rPr>
          <w:w w:val="110"/>
        </w:rPr>
        <w:t>1).</w:t>
      </w:r>
    </w:p>
    <w:p>
      <w:pPr>
        <w:spacing w:after="0" w:line="252" w:lineRule="auto"/>
        <w:jc w:val="both"/>
        <w:sectPr>
          <w:pgSz w:w="8790" w:h="12760"/>
          <w:pgMar w:header="695" w:footer="723" w:top="880" w:bottom="920" w:left="900" w:right="680"/>
        </w:sectPr>
      </w:pPr>
    </w:p>
    <w:p>
      <w:pPr>
        <w:pStyle w:val="BodyText"/>
        <w:spacing w:before="7"/>
        <w:rPr>
          <w:sz w:val="28"/>
        </w:rPr>
      </w:pPr>
    </w:p>
    <w:p>
      <w:pPr>
        <w:pStyle w:val="BodyText"/>
        <w:spacing w:line="252" w:lineRule="auto" w:before="73"/>
        <w:ind w:left="850" w:right="117" w:firstLine="396"/>
        <w:jc w:val="both"/>
      </w:pPr>
      <w:r>
        <w:rPr>
          <w:w w:val="243"/>
        </w:rPr>
        <w:t>l</w:t>
      </w:r>
      <w:r>
        <w:rPr>
          <w:w w:val="112"/>
        </w:rPr>
        <w:t>a</w:t>
      </w:r>
      <w:r>
        <w:rPr/>
        <w:t> </w:t>
      </w:r>
      <w:r>
        <w:rPr>
          <w:spacing w:val="-7"/>
        </w:rPr>
        <w:t> </w:t>
      </w:r>
      <w:r>
        <w:rPr>
          <w:w w:val="110"/>
        </w:rPr>
        <w:t>rápida</w:t>
      </w:r>
      <w:r>
        <w:rPr/>
        <w:t> </w:t>
      </w:r>
      <w:r>
        <w:rPr>
          <w:spacing w:val="-7"/>
        </w:rPr>
        <w:t> </w:t>
      </w:r>
      <w:r>
        <w:rPr>
          <w:w w:val="110"/>
        </w:rPr>
        <w:t>recuperación</w:t>
      </w:r>
      <w:r>
        <w:rPr/>
        <w:t> </w:t>
      </w:r>
      <w:r>
        <w:rPr>
          <w:spacing w:val="-7"/>
        </w:rPr>
        <w:t> </w:t>
      </w:r>
      <w:r>
        <w:rPr>
          <w:w w:val="108"/>
        </w:rPr>
        <w:t>en</w:t>
      </w:r>
      <w:r>
        <w:rPr/>
        <w:t> </w:t>
      </w:r>
      <w:r>
        <w:rPr>
          <w:spacing w:val="-7"/>
        </w:rPr>
        <w:t> </w:t>
      </w:r>
      <w:r>
        <w:rPr>
          <w:w w:val="102"/>
        </w:rPr>
        <w:t>2010</w:t>
      </w:r>
      <w:r>
        <w:rPr/>
        <w:t> </w:t>
      </w:r>
      <w:r>
        <w:rPr>
          <w:spacing w:val="-7"/>
        </w:rPr>
        <w:t> </w:t>
      </w:r>
      <w:r>
        <w:rPr>
          <w:w w:val="109"/>
        </w:rPr>
        <w:t>–más</w:t>
      </w:r>
      <w:r>
        <w:rPr/>
        <w:t> </w:t>
      </w:r>
      <w:r>
        <w:rPr>
          <w:spacing w:val="-7"/>
        </w:rPr>
        <w:t> </w:t>
      </w:r>
      <w:r>
        <w:rPr>
          <w:w w:val="111"/>
        </w:rPr>
        <w:t>allá</w:t>
      </w:r>
      <w:r>
        <w:rPr/>
        <w:t> </w:t>
      </w:r>
      <w:r>
        <w:rPr>
          <w:spacing w:val="-7"/>
        </w:rPr>
        <w:t> </w:t>
      </w:r>
      <w:r>
        <w:rPr>
          <w:w w:val="107"/>
        </w:rPr>
        <w:t>de</w:t>
      </w:r>
      <w:r>
        <w:rPr/>
        <w:t> </w:t>
      </w:r>
      <w:r>
        <w:rPr>
          <w:spacing w:val="-7"/>
        </w:rPr>
        <w:t> </w:t>
      </w:r>
      <w:r>
        <w:rPr>
          <w:w w:val="109"/>
        </w:rPr>
        <w:t>las</w:t>
      </w:r>
      <w:r>
        <w:rPr/>
        <w:t> </w:t>
      </w:r>
      <w:r>
        <w:rPr>
          <w:spacing w:val="-7"/>
        </w:rPr>
        <w:t> </w:t>
      </w:r>
      <w:r>
        <w:rPr>
          <w:w w:val="109"/>
        </w:rPr>
        <w:t>vulnerabilid</w:t>
      </w:r>
      <w:r>
        <w:rPr>
          <w:spacing w:val="-1"/>
          <w:w w:val="109"/>
        </w:rPr>
        <w:t>a</w:t>
      </w:r>
      <w:r>
        <w:rPr>
          <w:w w:val="102"/>
        </w:rPr>
        <w:t>- </w:t>
      </w:r>
      <w:r>
        <w:rPr>
          <w:w w:val="110"/>
        </w:rPr>
        <w:t>des estructurales y tradicionales del crecimiento económico en la re- gión como su basamento en la extracción de recursos naturales, entre otros–, también marcó un momento sin precedentes en la economía de la región y alertó sobre relativos mayores niveles de autonomía del crecimiento en relación a Estados unidos que en el pasado, marcado por un contexto de política económica favorable para muchos países de la región. En este sentido, Mursed </w:t>
      </w:r>
      <w:r>
        <w:rPr>
          <w:i/>
          <w:w w:val="110"/>
        </w:rPr>
        <w:t>et al. </w:t>
      </w:r>
      <w:r>
        <w:rPr>
          <w:w w:val="110"/>
        </w:rPr>
        <w:t>(2011: 3) alerta sobre la importancia de la crisis económica reciente no sólo por su tamaño y magnitud, sino también porque ha estado acompañada de cambios en la ortodoxia de política macroeconómica que se focaliza en empleo de políticas macroeconómicas contracíclicas en lugar de estrictamente controlar la</w:t>
      </w:r>
      <w:r>
        <w:rPr>
          <w:spacing w:val="42"/>
          <w:w w:val="110"/>
        </w:rPr>
        <w:t> </w:t>
      </w:r>
      <w:r>
        <w:rPr>
          <w:w w:val="110"/>
        </w:rPr>
        <w:t>inflación.</w:t>
      </w:r>
    </w:p>
    <w:p>
      <w:pPr>
        <w:pStyle w:val="BodyText"/>
        <w:rPr>
          <w:sz w:val="18"/>
        </w:rPr>
      </w:pPr>
    </w:p>
    <w:p>
      <w:pPr>
        <w:pStyle w:val="BodyText"/>
        <w:spacing w:before="7"/>
        <w:rPr>
          <w:sz w:val="15"/>
        </w:rPr>
      </w:pPr>
    </w:p>
    <w:p>
      <w:pPr>
        <w:spacing w:before="1"/>
        <w:ind w:left="670" w:right="674" w:firstLine="0"/>
        <w:jc w:val="center"/>
        <w:rPr>
          <w:rFonts w:ascii="Arial"/>
          <w:b/>
          <w:sz w:val="17"/>
        </w:rPr>
      </w:pPr>
      <w:r>
        <w:rPr>
          <w:rFonts w:ascii="Arial"/>
          <w:b/>
          <w:w w:val="85"/>
          <w:sz w:val="17"/>
        </w:rPr>
        <w:t>Tabla 1</w:t>
      </w:r>
    </w:p>
    <w:p>
      <w:pPr>
        <w:spacing w:line="249" w:lineRule="auto" w:before="8"/>
        <w:ind w:left="670" w:right="668" w:firstLine="0"/>
        <w:jc w:val="center"/>
        <w:rPr>
          <w:rFonts w:ascii="Arial" w:hAnsi="Arial"/>
          <w:sz w:val="17"/>
        </w:rPr>
      </w:pPr>
      <w:r>
        <w:rPr>
          <w:rFonts w:ascii="Arial" w:hAnsi="Arial"/>
          <w:spacing w:val="-3"/>
          <w:w w:val="85"/>
          <w:sz w:val="17"/>
        </w:rPr>
        <w:t>Tasas</w:t>
      </w:r>
      <w:r>
        <w:rPr>
          <w:rFonts w:ascii="Arial" w:hAnsi="Arial"/>
          <w:spacing w:val="-12"/>
          <w:w w:val="85"/>
          <w:sz w:val="17"/>
        </w:rPr>
        <w:t> </w:t>
      </w:r>
      <w:r>
        <w:rPr>
          <w:rFonts w:ascii="Arial" w:hAnsi="Arial"/>
          <w:w w:val="85"/>
          <w:sz w:val="17"/>
        </w:rPr>
        <w:t>de</w:t>
      </w:r>
      <w:r>
        <w:rPr>
          <w:rFonts w:ascii="Arial" w:hAnsi="Arial"/>
          <w:spacing w:val="-12"/>
          <w:w w:val="85"/>
          <w:sz w:val="17"/>
        </w:rPr>
        <w:t> </w:t>
      </w:r>
      <w:r>
        <w:rPr>
          <w:rFonts w:ascii="Arial" w:hAnsi="Arial"/>
          <w:w w:val="85"/>
          <w:sz w:val="17"/>
        </w:rPr>
        <w:t>crecimiento</w:t>
      </w:r>
      <w:r>
        <w:rPr>
          <w:rFonts w:ascii="Arial" w:hAnsi="Arial"/>
          <w:spacing w:val="-12"/>
          <w:w w:val="85"/>
          <w:sz w:val="17"/>
        </w:rPr>
        <w:t> </w:t>
      </w:r>
      <w:r>
        <w:rPr>
          <w:rFonts w:ascii="Arial" w:hAnsi="Arial"/>
          <w:w w:val="85"/>
          <w:sz w:val="17"/>
        </w:rPr>
        <w:t>del</w:t>
      </w:r>
      <w:r>
        <w:rPr>
          <w:rFonts w:ascii="Arial" w:hAnsi="Arial"/>
          <w:spacing w:val="-12"/>
          <w:w w:val="85"/>
          <w:sz w:val="17"/>
        </w:rPr>
        <w:t> </w:t>
      </w:r>
      <w:r>
        <w:rPr>
          <w:rFonts w:ascii="Arial" w:hAnsi="Arial"/>
          <w:w w:val="85"/>
          <w:sz w:val="17"/>
        </w:rPr>
        <w:t>PIB</w:t>
      </w:r>
      <w:r>
        <w:rPr>
          <w:rFonts w:ascii="Arial" w:hAnsi="Arial"/>
          <w:spacing w:val="-12"/>
          <w:w w:val="85"/>
          <w:sz w:val="17"/>
        </w:rPr>
        <w:t> </w:t>
      </w:r>
      <w:r>
        <w:rPr>
          <w:rFonts w:ascii="Arial" w:hAnsi="Arial"/>
          <w:w w:val="85"/>
          <w:sz w:val="17"/>
        </w:rPr>
        <w:t>de</w:t>
      </w:r>
      <w:r>
        <w:rPr>
          <w:rFonts w:ascii="Arial" w:hAnsi="Arial"/>
          <w:spacing w:val="-12"/>
          <w:w w:val="85"/>
          <w:sz w:val="17"/>
        </w:rPr>
        <w:t> </w:t>
      </w:r>
      <w:r>
        <w:rPr>
          <w:rFonts w:ascii="Arial" w:hAnsi="Arial"/>
          <w:w w:val="85"/>
          <w:sz w:val="17"/>
        </w:rPr>
        <w:t>Estados</w:t>
      </w:r>
      <w:r>
        <w:rPr>
          <w:rFonts w:ascii="Arial" w:hAnsi="Arial"/>
          <w:spacing w:val="-12"/>
          <w:w w:val="85"/>
          <w:sz w:val="17"/>
        </w:rPr>
        <w:t> </w:t>
      </w:r>
      <w:r>
        <w:rPr>
          <w:rFonts w:ascii="Arial" w:hAnsi="Arial"/>
          <w:w w:val="85"/>
          <w:sz w:val="17"/>
        </w:rPr>
        <w:t>Unidos</w:t>
      </w:r>
      <w:r>
        <w:rPr>
          <w:rFonts w:ascii="Arial" w:hAnsi="Arial"/>
          <w:spacing w:val="-12"/>
          <w:w w:val="85"/>
          <w:sz w:val="17"/>
        </w:rPr>
        <w:t> </w:t>
      </w:r>
      <w:r>
        <w:rPr>
          <w:rFonts w:ascii="Arial" w:hAnsi="Arial"/>
          <w:w w:val="85"/>
          <w:sz w:val="17"/>
        </w:rPr>
        <w:t>y</w:t>
      </w:r>
      <w:r>
        <w:rPr>
          <w:rFonts w:ascii="Arial" w:hAnsi="Arial"/>
          <w:spacing w:val="-16"/>
          <w:w w:val="85"/>
          <w:sz w:val="17"/>
        </w:rPr>
        <w:t> </w:t>
      </w:r>
      <w:r>
        <w:rPr>
          <w:rFonts w:ascii="Arial" w:hAnsi="Arial"/>
          <w:w w:val="85"/>
          <w:sz w:val="17"/>
        </w:rPr>
        <w:t>América</w:t>
      </w:r>
      <w:r>
        <w:rPr>
          <w:rFonts w:ascii="Arial" w:hAnsi="Arial"/>
          <w:spacing w:val="-12"/>
          <w:w w:val="85"/>
          <w:sz w:val="17"/>
        </w:rPr>
        <w:t> </w:t>
      </w:r>
      <w:r>
        <w:rPr>
          <w:rFonts w:ascii="Arial" w:hAnsi="Arial"/>
          <w:w w:val="85"/>
          <w:sz w:val="17"/>
        </w:rPr>
        <w:t>Latina</w:t>
      </w:r>
      <w:r>
        <w:rPr>
          <w:rFonts w:ascii="Arial" w:hAnsi="Arial"/>
          <w:spacing w:val="-12"/>
          <w:w w:val="85"/>
          <w:sz w:val="17"/>
        </w:rPr>
        <w:t> </w:t>
      </w:r>
      <w:r>
        <w:rPr>
          <w:rFonts w:ascii="Arial" w:hAnsi="Arial"/>
          <w:w w:val="85"/>
          <w:sz w:val="17"/>
        </w:rPr>
        <w:t>y</w:t>
      </w:r>
      <w:r>
        <w:rPr>
          <w:rFonts w:ascii="Arial" w:hAnsi="Arial"/>
          <w:spacing w:val="-12"/>
          <w:w w:val="85"/>
          <w:sz w:val="17"/>
        </w:rPr>
        <w:t> </w:t>
      </w:r>
      <w:r>
        <w:rPr>
          <w:rFonts w:ascii="Arial" w:hAnsi="Arial"/>
          <w:w w:val="85"/>
          <w:sz w:val="17"/>
        </w:rPr>
        <w:t>el</w:t>
      </w:r>
      <w:r>
        <w:rPr>
          <w:rFonts w:ascii="Arial" w:hAnsi="Arial"/>
          <w:spacing w:val="-12"/>
          <w:w w:val="85"/>
          <w:sz w:val="17"/>
        </w:rPr>
        <w:t> </w:t>
      </w:r>
      <w:r>
        <w:rPr>
          <w:rFonts w:ascii="Arial" w:hAnsi="Arial"/>
          <w:w w:val="85"/>
          <w:sz w:val="17"/>
        </w:rPr>
        <w:t>Caribe,</w:t>
      </w:r>
      <w:r>
        <w:rPr>
          <w:rFonts w:ascii="Arial" w:hAnsi="Arial"/>
          <w:spacing w:val="-16"/>
          <w:w w:val="85"/>
          <w:sz w:val="17"/>
        </w:rPr>
        <w:t> </w:t>
      </w:r>
      <w:r>
        <w:rPr>
          <w:rFonts w:ascii="Arial" w:hAnsi="Arial"/>
          <w:w w:val="85"/>
          <w:sz w:val="17"/>
        </w:rPr>
        <w:t>2006-2012</w:t>
      </w:r>
      <w:r>
        <w:rPr>
          <w:rFonts w:ascii="Arial" w:hAnsi="Arial"/>
          <w:spacing w:val="-12"/>
          <w:w w:val="85"/>
          <w:sz w:val="17"/>
        </w:rPr>
        <w:t> </w:t>
      </w:r>
      <w:r>
        <w:rPr>
          <w:rFonts w:ascii="Arial" w:hAnsi="Arial"/>
          <w:w w:val="85"/>
          <w:sz w:val="17"/>
        </w:rPr>
        <w:t>(%): ventana</w:t>
      </w:r>
      <w:r>
        <w:rPr>
          <w:rFonts w:ascii="Arial" w:hAnsi="Arial"/>
          <w:spacing w:val="-19"/>
          <w:w w:val="85"/>
          <w:sz w:val="17"/>
        </w:rPr>
        <w:t> </w:t>
      </w:r>
      <w:r>
        <w:rPr>
          <w:rFonts w:ascii="Arial" w:hAnsi="Arial"/>
          <w:w w:val="85"/>
          <w:sz w:val="17"/>
        </w:rPr>
        <w:t>de</w:t>
      </w:r>
      <w:r>
        <w:rPr>
          <w:rFonts w:ascii="Arial" w:hAnsi="Arial"/>
          <w:spacing w:val="-19"/>
          <w:w w:val="85"/>
          <w:sz w:val="17"/>
        </w:rPr>
        <w:t> </w:t>
      </w:r>
      <w:r>
        <w:rPr>
          <w:rFonts w:ascii="Arial" w:hAnsi="Arial"/>
          <w:w w:val="85"/>
          <w:sz w:val="17"/>
        </w:rPr>
        <w:t>relativo</w:t>
      </w:r>
      <w:r>
        <w:rPr>
          <w:rFonts w:ascii="Arial" w:hAnsi="Arial"/>
          <w:spacing w:val="-19"/>
          <w:w w:val="85"/>
          <w:sz w:val="17"/>
        </w:rPr>
        <w:t> </w:t>
      </w:r>
      <w:r>
        <w:rPr>
          <w:rFonts w:ascii="Arial" w:hAnsi="Arial"/>
          <w:w w:val="85"/>
          <w:sz w:val="17"/>
        </w:rPr>
        <w:t>desacoplamiento</w:t>
      </w:r>
    </w:p>
    <w:p>
      <w:pPr>
        <w:pStyle w:val="BodyText"/>
        <w:spacing w:before="9"/>
        <w:rPr>
          <w:rFonts w:ascii="Arial"/>
          <w:sz w:val="14"/>
        </w:rPr>
      </w:pPr>
    </w:p>
    <w:tbl>
      <w:tblPr>
        <w:tblW w:w="0" w:type="auto"/>
        <w:jc w:val="left"/>
        <w:tblInd w:w="1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84"/>
        <w:gridCol w:w="754"/>
        <w:gridCol w:w="754"/>
        <w:gridCol w:w="754"/>
        <w:gridCol w:w="754"/>
        <w:gridCol w:w="754"/>
        <w:gridCol w:w="754"/>
        <w:gridCol w:w="754"/>
      </w:tblGrid>
      <w:tr>
        <w:trPr>
          <w:trHeight w:val="250" w:hRule="exact"/>
        </w:trPr>
        <w:tc>
          <w:tcPr>
            <w:tcW w:w="1684" w:type="dxa"/>
            <w:tcBorders>
              <w:left w:val="nil"/>
              <w:bottom w:val="single" w:sz="4" w:space="0" w:color="000000"/>
              <w:right w:val="dotted" w:sz="4" w:space="0" w:color="000000"/>
            </w:tcBorders>
          </w:tcPr>
          <w:p>
            <w:pPr/>
          </w:p>
        </w:tc>
        <w:tc>
          <w:tcPr>
            <w:tcW w:w="754" w:type="dxa"/>
            <w:tcBorders>
              <w:left w:val="dotted" w:sz="4" w:space="0" w:color="000000"/>
              <w:bottom w:val="single" w:sz="4" w:space="0" w:color="000000"/>
              <w:right w:val="dotted" w:sz="4" w:space="0" w:color="000000"/>
            </w:tcBorders>
          </w:tcPr>
          <w:p>
            <w:pPr>
              <w:pStyle w:val="TableParagraph"/>
              <w:spacing w:before="22"/>
              <w:ind w:left="218"/>
              <w:rPr>
                <w:sz w:val="16"/>
              </w:rPr>
            </w:pPr>
            <w:r>
              <w:rPr>
                <w:w w:val="95"/>
                <w:sz w:val="16"/>
              </w:rPr>
              <w:t>2006</w:t>
            </w:r>
          </w:p>
        </w:tc>
        <w:tc>
          <w:tcPr>
            <w:tcW w:w="754" w:type="dxa"/>
            <w:tcBorders>
              <w:left w:val="dotted" w:sz="4" w:space="0" w:color="000000"/>
              <w:bottom w:val="single" w:sz="4" w:space="0" w:color="000000"/>
              <w:right w:val="dotted" w:sz="4" w:space="0" w:color="000000"/>
            </w:tcBorders>
          </w:tcPr>
          <w:p>
            <w:pPr>
              <w:pStyle w:val="TableParagraph"/>
              <w:spacing w:before="22"/>
              <w:ind w:left="165" w:right="165"/>
              <w:jc w:val="center"/>
              <w:rPr>
                <w:sz w:val="16"/>
              </w:rPr>
            </w:pPr>
            <w:r>
              <w:rPr>
                <w:w w:val="95"/>
                <w:sz w:val="16"/>
              </w:rPr>
              <w:t>2007</w:t>
            </w:r>
          </w:p>
        </w:tc>
        <w:tc>
          <w:tcPr>
            <w:tcW w:w="754" w:type="dxa"/>
            <w:tcBorders>
              <w:left w:val="dotted" w:sz="4" w:space="0" w:color="000000"/>
              <w:bottom w:val="single" w:sz="4" w:space="0" w:color="000000"/>
              <w:right w:val="dotted" w:sz="4" w:space="0" w:color="000000"/>
            </w:tcBorders>
          </w:tcPr>
          <w:p>
            <w:pPr>
              <w:pStyle w:val="TableParagraph"/>
              <w:spacing w:before="22"/>
              <w:ind w:left="218"/>
              <w:rPr>
                <w:sz w:val="16"/>
              </w:rPr>
            </w:pPr>
            <w:r>
              <w:rPr>
                <w:w w:val="95"/>
                <w:sz w:val="16"/>
              </w:rPr>
              <w:t>2008</w:t>
            </w:r>
          </w:p>
        </w:tc>
        <w:tc>
          <w:tcPr>
            <w:tcW w:w="754" w:type="dxa"/>
            <w:tcBorders>
              <w:left w:val="dotted" w:sz="4" w:space="0" w:color="000000"/>
              <w:bottom w:val="single" w:sz="4" w:space="0" w:color="000000"/>
              <w:right w:val="dotted" w:sz="4" w:space="0" w:color="000000"/>
            </w:tcBorders>
          </w:tcPr>
          <w:p>
            <w:pPr>
              <w:pStyle w:val="TableParagraph"/>
              <w:spacing w:before="22"/>
              <w:ind w:left="165" w:right="165"/>
              <w:jc w:val="center"/>
              <w:rPr>
                <w:sz w:val="16"/>
              </w:rPr>
            </w:pPr>
            <w:r>
              <w:rPr>
                <w:w w:val="95"/>
                <w:sz w:val="16"/>
              </w:rPr>
              <w:t>2009</w:t>
            </w:r>
          </w:p>
        </w:tc>
        <w:tc>
          <w:tcPr>
            <w:tcW w:w="754" w:type="dxa"/>
            <w:tcBorders>
              <w:left w:val="dotted" w:sz="4" w:space="0" w:color="000000"/>
              <w:bottom w:val="single" w:sz="4" w:space="0" w:color="000000"/>
              <w:right w:val="dotted" w:sz="4" w:space="0" w:color="000000"/>
            </w:tcBorders>
          </w:tcPr>
          <w:p>
            <w:pPr>
              <w:pStyle w:val="TableParagraph"/>
              <w:spacing w:before="22"/>
              <w:ind w:left="218"/>
              <w:rPr>
                <w:sz w:val="16"/>
              </w:rPr>
            </w:pPr>
            <w:r>
              <w:rPr>
                <w:w w:val="95"/>
                <w:sz w:val="16"/>
              </w:rPr>
              <w:t>2010</w:t>
            </w:r>
          </w:p>
        </w:tc>
        <w:tc>
          <w:tcPr>
            <w:tcW w:w="754" w:type="dxa"/>
            <w:tcBorders>
              <w:left w:val="dotted" w:sz="4" w:space="0" w:color="000000"/>
              <w:bottom w:val="single" w:sz="4" w:space="0" w:color="000000"/>
              <w:right w:val="dotted" w:sz="4" w:space="0" w:color="000000"/>
            </w:tcBorders>
          </w:tcPr>
          <w:p>
            <w:pPr>
              <w:pStyle w:val="TableParagraph"/>
              <w:spacing w:before="22"/>
              <w:ind w:left="165" w:right="165"/>
              <w:jc w:val="center"/>
              <w:rPr>
                <w:sz w:val="16"/>
              </w:rPr>
            </w:pPr>
            <w:r>
              <w:rPr>
                <w:w w:val="95"/>
                <w:sz w:val="16"/>
              </w:rPr>
              <w:t>2011</w:t>
            </w:r>
          </w:p>
        </w:tc>
        <w:tc>
          <w:tcPr>
            <w:tcW w:w="754" w:type="dxa"/>
            <w:tcBorders>
              <w:left w:val="dotted" w:sz="4" w:space="0" w:color="000000"/>
              <w:bottom w:val="single" w:sz="4" w:space="0" w:color="000000"/>
              <w:right w:val="nil"/>
            </w:tcBorders>
          </w:tcPr>
          <w:p>
            <w:pPr>
              <w:pStyle w:val="TableParagraph"/>
              <w:spacing w:before="22"/>
              <w:ind w:left="218"/>
              <w:rPr>
                <w:sz w:val="16"/>
              </w:rPr>
            </w:pPr>
            <w:r>
              <w:rPr>
                <w:w w:val="95"/>
                <w:sz w:val="16"/>
              </w:rPr>
              <w:t>2012</w:t>
            </w:r>
          </w:p>
        </w:tc>
      </w:tr>
      <w:tr>
        <w:trPr>
          <w:trHeight w:val="250" w:hRule="exact"/>
        </w:trPr>
        <w:tc>
          <w:tcPr>
            <w:tcW w:w="1684" w:type="dxa"/>
            <w:tcBorders>
              <w:top w:val="single" w:sz="4" w:space="0" w:color="000000"/>
              <w:left w:val="nil"/>
              <w:bottom w:val="dotted" w:sz="4" w:space="0" w:color="000000"/>
              <w:right w:val="dotted" w:sz="4" w:space="0" w:color="000000"/>
            </w:tcBorders>
          </w:tcPr>
          <w:p>
            <w:pPr>
              <w:pStyle w:val="TableParagraph"/>
              <w:spacing w:before="27"/>
              <w:ind w:left="68" w:right="-5"/>
              <w:rPr>
                <w:sz w:val="16"/>
              </w:rPr>
            </w:pPr>
            <w:r>
              <w:rPr>
                <w:w w:val="80"/>
                <w:sz w:val="16"/>
              </w:rPr>
              <w:t>Estados Unidos</w:t>
            </w:r>
          </w:p>
        </w:tc>
        <w:tc>
          <w:tcPr>
            <w:tcW w:w="754" w:type="dxa"/>
            <w:tcBorders>
              <w:top w:val="single" w:sz="4" w:space="0" w:color="000000"/>
              <w:left w:val="dotted" w:sz="4" w:space="0" w:color="000000"/>
              <w:bottom w:val="dotted" w:sz="4" w:space="0" w:color="000000"/>
              <w:right w:val="dotted" w:sz="4" w:space="0" w:color="000000"/>
            </w:tcBorders>
          </w:tcPr>
          <w:p>
            <w:pPr>
              <w:pStyle w:val="TableParagraph"/>
              <w:spacing w:before="27"/>
              <w:ind w:left="276"/>
              <w:rPr>
                <w:sz w:val="16"/>
              </w:rPr>
            </w:pPr>
            <w:r>
              <w:rPr>
                <w:w w:val="95"/>
                <w:sz w:val="16"/>
              </w:rPr>
              <w:t>2.7</w:t>
            </w:r>
          </w:p>
        </w:tc>
        <w:tc>
          <w:tcPr>
            <w:tcW w:w="754" w:type="dxa"/>
            <w:tcBorders>
              <w:top w:val="single" w:sz="4" w:space="0" w:color="000000"/>
              <w:left w:val="dotted" w:sz="4" w:space="0" w:color="000000"/>
              <w:bottom w:val="dotted" w:sz="4" w:space="0" w:color="000000"/>
              <w:right w:val="dotted" w:sz="4" w:space="0" w:color="000000"/>
            </w:tcBorders>
          </w:tcPr>
          <w:p>
            <w:pPr>
              <w:pStyle w:val="TableParagraph"/>
              <w:ind w:left="165" w:right="165"/>
              <w:jc w:val="center"/>
              <w:rPr>
                <w:rFonts w:ascii="Symbol" w:hAnsi="Symbol"/>
                <w:sz w:val="16"/>
              </w:rPr>
            </w:pPr>
            <w:r>
              <w:rPr>
                <w:sz w:val="16"/>
              </w:rPr>
              <w:t>1.9</w:t>
            </w:r>
            <w:r>
              <w:rPr>
                <w:rFonts w:ascii="Symbol" w:hAnsi="Symbol"/>
                <w:sz w:val="16"/>
              </w:rPr>
              <w:t></w:t>
            </w:r>
          </w:p>
        </w:tc>
        <w:tc>
          <w:tcPr>
            <w:tcW w:w="754" w:type="dxa"/>
            <w:tcBorders>
              <w:top w:val="single" w:sz="4" w:space="0" w:color="000000"/>
              <w:left w:val="dotted" w:sz="4" w:space="0" w:color="000000"/>
              <w:bottom w:val="dotted" w:sz="4" w:space="0" w:color="000000"/>
              <w:right w:val="dotted" w:sz="4" w:space="0" w:color="000000"/>
            </w:tcBorders>
          </w:tcPr>
          <w:p>
            <w:pPr>
              <w:pStyle w:val="TableParagraph"/>
              <w:ind w:left="200"/>
              <w:rPr>
                <w:rFonts w:ascii="Symbol" w:hAnsi="Symbol"/>
                <w:sz w:val="16"/>
              </w:rPr>
            </w:pPr>
            <w:r>
              <w:rPr>
                <w:sz w:val="16"/>
              </w:rPr>
              <w:t>-0.4</w:t>
            </w:r>
            <w:r>
              <w:rPr>
                <w:rFonts w:ascii="Symbol" w:hAnsi="Symbol"/>
                <w:sz w:val="16"/>
              </w:rPr>
              <w:t></w:t>
            </w:r>
          </w:p>
        </w:tc>
        <w:tc>
          <w:tcPr>
            <w:tcW w:w="754" w:type="dxa"/>
            <w:tcBorders>
              <w:top w:val="single" w:sz="4" w:space="0" w:color="000000"/>
              <w:left w:val="dotted" w:sz="4" w:space="0" w:color="000000"/>
              <w:bottom w:val="dotted" w:sz="4" w:space="0" w:color="000000"/>
              <w:right w:val="dotted" w:sz="4" w:space="0" w:color="000000"/>
            </w:tcBorders>
          </w:tcPr>
          <w:p>
            <w:pPr>
              <w:pStyle w:val="TableParagraph"/>
              <w:ind w:left="166" w:right="165"/>
              <w:jc w:val="center"/>
              <w:rPr>
                <w:rFonts w:ascii="Symbol" w:hAnsi="Symbol"/>
                <w:sz w:val="16"/>
              </w:rPr>
            </w:pPr>
            <w:r>
              <w:rPr>
                <w:sz w:val="16"/>
              </w:rPr>
              <w:t>-3.2</w:t>
            </w:r>
            <w:r>
              <w:rPr>
                <w:rFonts w:ascii="Symbol" w:hAnsi="Symbol"/>
                <w:sz w:val="16"/>
              </w:rPr>
              <w:t></w:t>
            </w:r>
          </w:p>
        </w:tc>
        <w:tc>
          <w:tcPr>
            <w:tcW w:w="754" w:type="dxa"/>
            <w:tcBorders>
              <w:top w:val="single" w:sz="4" w:space="0" w:color="000000"/>
              <w:left w:val="dotted" w:sz="4" w:space="0" w:color="000000"/>
              <w:bottom w:val="dotted" w:sz="4" w:space="0" w:color="000000"/>
              <w:right w:val="dotted" w:sz="4" w:space="0" w:color="000000"/>
            </w:tcBorders>
          </w:tcPr>
          <w:p>
            <w:pPr>
              <w:pStyle w:val="TableParagraph"/>
              <w:ind w:left="228"/>
              <w:rPr>
                <w:rFonts w:ascii="Symbol" w:hAnsi="Symbol"/>
                <w:sz w:val="16"/>
              </w:rPr>
            </w:pPr>
            <w:r>
              <w:rPr>
                <w:sz w:val="16"/>
              </w:rPr>
              <w:t>2.3</w:t>
            </w:r>
            <w:r>
              <w:rPr>
                <w:rFonts w:ascii="Symbol" w:hAnsi="Symbol"/>
                <w:sz w:val="16"/>
              </w:rPr>
              <w:t></w:t>
            </w:r>
          </w:p>
        </w:tc>
        <w:tc>
          <w:tcPr>
            <w:tcW w:w="754" w:type="dxa"/>
            <w:tcBorders>
              <w:top w:val="single" w:sz="4" w:space="0" w:color="000000"/>
              <w:left w:val="dotted" w:sz="4" w:space="0" w:color="000000"/>
              <w:bottom w:val="dotted" w:sz="4" w:space="0" w:color="000000"/>
              <w:right w:val="dotted" w:sz="4" w:space="0" w:color="000000"/>
            </w:tcBorders>
          </w:tcPr>
          <w:p>
            <w:pPr>
              <w:pStyle w:val="TableParagraph"/>
              <w:ind w:left="166" w:right="165"/>
              <w:jc w:val="center"/>
              <w:rPr>
                <w:rFonts w:ascii="Symbol" w:hAnsi="Symbol"/>
                <w:sz w:val="16"/>
              </w:rPr>
            </w:pPr>
            <w:r>
              <w:rPr>
                <w:sz w:val="16"/>
              </w:rPr>
              <w:t>1.8</w:t>
            </w:r>
            <w:r>
              <w:rPr>
                <w:rFonts w:ascii="Symbol" w:hAnsi="Symbol"/>
                <w:sz w:val="16"/>
              </w:rPr>
              <w:t></w:t>
            </w:r>
          </w:p>
        </w:tc>
        <w:tc>
          <w:tcPr>
            <w:tcW w:w="754" w:type="dxa"/>
            <w:tcBorders>
              <w:top w:val="single" w:sz="4" w:space="0" w:color="000000"/>
              <w:left w:val="dotted" w:sz="4" w:space="0" w:color="000000"/>
              <w:bottom w:val="dotted" w:sz="4" w:space="0" w:color="000000"/>
              <w:right w:val="nil"/>
            </w:tcBorders>
          </w:tcPr>
          <w:p>
            <w:pPr>
              <w:pStyle w:val="TableParagraph"/>
              <w:ind w:left="228"/>
              <w:rPr>
                <w:rFonts w:ascii="Symbol" w:hAnsi="Symbol"/>
                <w:sz w:val="16"/>
              </w:rPr>
            </w:pPr>
            <w:r>
              <w:rPr>
                <w:sz w:val="16"/>
              </w:rPr>
              <w:t>2.2</w:t>
            </w:r>
            <w:r>
              <w:rPr>
                <w:rFonts w:ascii="Symbol" w:hAnsi="Symbol"/>
                <w:sz w:val="16"/>
              </w:rPr>
              <w:t></w:t>
            </w:r>
          </w:p>
        </w:tc>
      </w:tr>
      <w:tr>
        <w:trPr>
          <w:trHeight w:val="250" w:hRule="exact"/>
        </w:trPr>
        <w:tc>
          <w:tcPr>
            <w:tcW w:w="1684" w:type="dxa"/>
            <w:tcBorders>
              <w:top w:val="dotted" w:sz="4" w:space="0" w:color="000000"/>
              <w:left w:val="nil"/>
              <w:right w:val="dotted" w:sz="4" w:space="0" w:color="000000"/>
            </w:tcBorders>
          </w:tcPr>
          <w:p>
            <w:pPr>
              <w:pStyle w:val="TableParagraph"/>
              <w:spacing w:before="27"/>
              <w:ind w:left="68" w:right="-5"/>
              <w:rPr>
                <w:sz w:val="16"/>
              </w:rPr>
            </w:pPr>
            <w:r>
              <w:rPr>
                <w:w w:val="85"/>
                <w:sz w:val="16"/>
              </w:rPr>
              <w:t>América Latina y el Caribe</w:t>
            </w:r>
          </w:p>
        </w:tc>
        <w:tc>
          <w:tcPr>
            <w:tcW w:w="754" w:type="dxa"/>
            <w:tcBorders>
              <w:top w:val="dotted" w:sz="4" w:space="0" w:color="000000"/>
              <w:left w:val="dotted" w:sz="4" w:space="0" w:color="000000"/>
              <w:right w:val="dotted" w:sz="4" w:space="0" w:color="000000"/>
            </w:tcBorders>
          </w:tcPr>
          <w:p>
            <w:pPr>
              <w:pStyle w:val="TableParagraph"/>
              <w:spacing w:before="27"/>
              <w:ind w:left="276"/>
              <w:rPr>
                <w:sz w:val="16"/>
              </w:rPr>
            </w:pPr>
            <w:r>
              <w:rPr>
                <w:color w:val="FF0000"/>
                <w:w w:val="95"/>
                <w:sz w:val="16"/>
              </w:rPr>
              <w:t>5.4</w:t>
            </w:r>
          </w:p>
        </w:tc>
        <w:tc>
          <w:tcPr>
            <w:tcW w:w="754" w:type="dxa"/>
            <w:tcBorders>
              <w:top w:val="dotted" w:sz="4" w:space="0" w:color="000000"/>
              <w:left w:val="dotted" w:sz="4" w:space="0" w:color="000000"/>
              <w:right w:val="dotted" w:sz="4" w:space="0" w:color="000000"/>
            </w:tcBorders>
          </w:tcPr>
          <w:p>
            <w:pPr>
              <w:pStyle w:val="TableParagraph"/>
              <w:ind w:left="166" w:right="165"/>
              <w:jc w:val="center"/>
              <w:rPr>
                <w:rFonts w:ascii="Symbol" w:hAnsi="Symbol"/>
                <w:sz w:val="16"/>
              </w:rPr>
            </w:pPr>
            <w:r>
              <w:rPr>
                <w:color w:val="FF0000"/>
                <w:sz w:val="16"/>
              </w:rPr>
              <w:t>5.2</w:t>
            </w:r>
            <w:r>
              <w:rPr>
                <w:rFonts w:ascii="Symbol" w:hAnsi="Symbol"/>
                <w:color w:val="FF0000"/>
                <w:sz w:val="16"/>
              </w:rPr>
              <w:t></w:t>
            </w:r>
          </w:p>
        </w:tc>
        <w:tc>
          <w:tcPr>
            <w:tcW w:w="754" w:type="dxa"/>
            <w:tcBorders>
              <w:top w:val="dotted" w:sz="4" w:space="0" w:color="000000"/>
              <w:left w:val="dotted" w:sz="4" w:space="0" w:color="000000"/>
              <w:right w:val="dotted" w:sz="4" w:space="0" w:color="000000"/>
            </w:tcBorders>
          </w:tcPr>
          <w:p>
            <w:pPr>
              <w:pStyle w:val="TableParagraph"/>
              <w:ind w:left="228"/>
              <w:rPr>
                <w:rFonts w:ascii="Symbol" w:hAnsi="Symbol"/>
                <w:sz w:val="16"/>
              </w:rPr>
            </w:pPr>
            <w:r>
              <w:rPr>
                <w:color w:val="FF0000"/>
                <w:sz w:val="16"/>
              </w:rPr>
              <w:t>3.6</w:t>
            </w:r>
            <w:r>
              <w:rPr>
                <w:rFonts w:ascii="Symbol" w:hAnsi="Symbol"/>
                <w:color w:val="FF0000"/>
                <w:sz w:val="16"/>
              </w:rPr>
              <w:t></w:t>
            </w:r>
          </w:p>
        </w:tc>
        <w:tc>
          <w:tcPr>
            <w:tcW w:w="754" w:type="dxa"/>
            <w:tcBorders>
              <w:top w:val="dotted" w:sz="4" w:space="0" w:color="000000"/>
              <w:left w:val="dotted" w:sz="4" w:space="0" w:color="000000"/>
              <w:right w:val="dotted" w:sz="4" w:space="0" w:color="000000"/>
            </w:tcBorders>
          </w:tcPr>
          <w:p>
            <w:pPr>
              <w:pStyle w:val="TableParagraph"/>
              <w:ind w:left="166" w:right="165"/>
              <w:jc w:val="center"/>
              <w:rPr>
                <w:rFonts w:ascii="Symbol" w:hAnsi="Symbol"/>
                <w:sz w:val="16"/>
              </w:rPr>
            </w:pPr>
            <w:r>
              <w:rPr>
                <w:sz w:val="16"/>
              </w:rPr>
              <w:t>-2.1</w:t>
            </w:r>
            <w:r>
              <w:rPr>
                <w:rFonts w:ascii="Symbol" w:hAnsi="Symbol"/>
                <w:sz w:val="16"/>
              </w:rPr>
              <w:t></w:t>
            </w:r>
          </w:p>
        </w:tc>
        <w:tc>
          <w:tcPr>
            <w:tcW w:w="754" w:type="dxa"/>
            <w:tcBorders>
              <w:top w:val="dotted" w:sz="4" w:space="0" w:color="000000"/>
              <w:left w:val="dotted" w:sz="4" w:space="0" w:color="000000"/>
              <w:right w:val="dotted" w:sz="4" w:space="0" w:color="000000"/>
            </w:tcBorders>
          </w:tcPr>
          <w:p>
            <w:pPr>
              <w:pStyle w:val="TableParagraph"/>
              <w:ind w:left="228"/>
              <w:rPr>
                <w:rFonts w:ascii="Symbol" w:hAnsi="Symbol"/>
                <w:sz w:val="16"/>
              </w:rPr>
            </w:pPr>
            <w:r>
              <w:rPr>
                <w:color w:val="FF0000"/>
                <w:sz w:val="16"/>
              </w:rPr>
              <w:t>5.4</w:t>
            </w:r>
            <w:r>
              <w:rPr>
                <w:rFonts w:ascii="Symbol" w:hAnsi="Symbol"/>
                <w:color w:val="FF0000"/>
                <w:sz w:val="16"/>
              </w:rPr>
              <w:t></w:t>
            </w:r>
          </w:p>
        </w:tc>
        <w:tc>
          <w:tcPr>
            <w:tcW w:w="754" w:type="dxa"/>
            <w:tcBorders>
              <w:top w:val="dotted" w:sz="4" w:space="0" w:color="000000"/>
              <w:left w:val="dotted" w:sz="4" w:space="0" w:color="000000"/>
              <w:right w:val="dotted" w:sz="4" w:space="0" w:color="000000"/>
            </w:tcBorders>
          </w:tcPr>
          <w:p>
            <w:pPr>
              <w:pStyle w:val="TableParagraph"/>
              <w:ind w:left="166" w:right="164"/>
              <w:jc w:val="center"/>
              <w:rPr>
                <w:rFonts w:ascii="Symbol" w:hAnsi="Symbol"/>
                <w:sz w:val="16"/>
              </w:rPr>
            </w:pPr>
            <w:r>
              <w:rPr>
                <w:color w:val="FF0000"/>
                <w:sz w:val="16"/>
              </w:rPr>
              <w:t>3.9</w:t>
            </w:r>
            <w:r>
              <w:rPr>
                <w:rFonts w:ascii="Symbol" w:hAnsi="Symbol"/>
                <w:color w:val="FF0000"/>
                <w:sz w:val="16"/>
              </w:rPr>
              <w:t></w:t>
            </w:r>
          </w:p>
        </w:tc>
        <w:tc>
          <w:tcPr>
            <w:tcW w:w="754" w:type="dxa"/>
            <w:tcBorders>
              <w:top w:val="dotted" w:sz="4" w:space="0" w:color="000000"/>
              <w:left w:val="dotted" w:sz="4" w:space="0" w:color="000000"/>
              <w:right w:val="nil"/>
            </w:tcBorders>
          </w:tcPr>
          <w:p>
            <w:pPr>
              <w:pStyle w:val="TableParagraph"/>
              <w:ind w:left="228"/>
              <w:rPr>
                <w:rFonts w:ascii="Symbol" w:hAnsi="Symbol"/>
                <w:sz w:val="16"/>
              </w:rPr>
            </w:pPr>
            <w:r>
              <w:rPr>
                <w:color w:val="FF0000"/>
                <w:sz w:val="16"/>
              </w:rPr>
              <w:t>3.0</w:t>
            </w:r>
            <w:r>
              <w:rPr>
                <w:rFonts w:ascii="Symbol" w:hAnsi="Symbol"/>
                <w:color w:val="FF0000"/>
                <w:sz w:val="16"/>
              </w:rPr>
              <w:t></w:t>
            </w:r>
          </w:p>
        </w:tc>
      </w:tr>
    </w:tbl>
    <w:p>
      <w:pPr>
        <w:spacing w:before="64"/>
        <w:ind w:left="113" w:right="158" w:firstLine="0"/>
        <w:jc w:val="left"/>
        <w:rPr>
          <w:rFonts w:ascii="Arial"/>
          <w:sz w:val="14"/>
        </w:rPr>
      </w:pPr>
      <w:r>
        <w:rPr>
          <w:rFonts w:ascii="Arial"/>
          <w:w w:val="85"/>
          <w:sz w:val="14"/>
        </w:rPr>
        <w:t>Fuente: Elaborado por la autora a partir de datos del Banco Mundial.</w:t>
      </w:r>
    </w:p>
    <w:p>
      <w:pPr>
        <w:pStyle w:val="BodyText"/>
        <w:rPr>
          <w:rFonts w:ascii="Arial"/>
          <w:sz w:val="14"/>
        </w:rPr>
      </w:pPr>
    </w:p>
    <w:p>
      <w:pPr>
        <w:pStyle w:val="BodyText"/>
        <w:spacing w:line="252" w:lineRule="auto" w:before="95"/>
        <w:ind w:left="850" w:right="117" w:firstLine="396"/>
        <w:jc w:val="both"/>
        <w:rPr>
          <w:i/>
        </w:rPr>
      </w:pPr>
      <w:r>
        <w:rPr>
          <w:w w:val="243"/>
        </w:rPr>
        <w:t>l</w:t>
      </w:r>
      <w:r>
        <w:rPr>
          <w:w w:val="112"/>
        </w:rPr>
        <w:t>a</w:t>
      </w:r>
      <w:r>
        <w:rPr>
          <w:spacing w:val="14"/>
        </w:rPr>
        <w:t> </w:t>
      </w:r>
      <w:r>
        <w:rPr>
          <w:w w:val="109"/>
        </w:rPr>
        <w:t>idea</w:t>
      </w:r>
      <w:r>
        <w:rPr>
          <w:spacing w:val="14"/>
        </w:rPr>
        <w:t> </w:t>
      </w:r>
      <w:r>
        <w:rPr>
          <w:w w:val="107"/>
        </w:rPr>
        <w:t>de</w:t>
      </w:r>
      <w:r>
        <w:rPr>
          <w:spacing w:val="14"/>
        </w:rPr>
        <w:t> </w:t>
      </w:r>
      <w:r>
        <w:rPr>
          <w:w w:val="142"/>
        </w:rPr>
        <w:t>i</w:t>
      </w:r>
      <w:r>
        <w:rPr>
          <w:w w:val="109"/>
        </w:rPr>
        <w:t>zquierdo</w:t>
      </w:r>
      <w:r>
        <w:rPr>
          <w:spacing w:val="14"/>
        </w:rPr>
        <w:t> </w:t>
      </w:r>
      <w:r>
        <w:rPr>
          <w:i/>
          <w:w w:val="98"/>
        </w:rPr>
        <w:t>et</w:t>
      </w:r>
      <w:r>
        <w:rPr>
          <w:i/>
          <w:spacing w:val="14"/>
        </w:rPr>
        <w:t> </w:t>
      </w:r>
      <w:r>
        <w:rPr>
          <w:i/>
          <w:w w:val="112"/>
        </w:rPr>
        <w:t>al.</w:t>
      </w:r>
      <w:r>
        <w:rPr>
          <w:i/>
          <w:spacing w:val="14"/>
        </w:rPr>
        <w:t> </w:t>
      </w:r>
      <w:r>
        <w:rPr>
          <w:w w:val="101"/>
        </w:rPr>
        <w:t>(2011)</w:t>
      </w:r>
      <w:r>
        <w:rPr>
          <w:spacing w:val="14"/>
        </w:rPr>
        <w:t> </w:t>
      </w:r>
      <w:r>
        <w:rPr>
          <w:w w:val="107"/>
        </w:rPr>
        <w:t>sobre</w:t>
      </w:r>
      <w:r>
        <w:rPr>
          <w:spacing w:val="14"/>
        </w:rPr>
        <w:t> </w:t>
      </w:r>
      <w:r>
        <w:rPr>
          <w:w w:val="109"/>
        </w:rPr>
        <w:t>las</w:t>
      </w:r>
      <w:r>
        <w:rPr>
          <w:spacing w:val="14"/>
        </w:rPr>
        <w:t> </w:t>
      </w:r>
      <w:r>
        <w:rPr>
          <w:w w:val="110"/>
        </w:rPr>
        <w:t>“dos</w:t>
      </w:r>
      <w:r>
        <w:rPr>
          <w:spacing w:val="14"/>
        </w:rPr>
        <w:t> </w:t>
      </w:r>
      <w:r>
        <w:rPr>
          <w:w w:val="109"/>
        </w:rPr>
        <w:t>velocidades”</w:t>
      </w:r>
      <w:r>
        <w:rPr>
          <w:w w:val="103"/>
          <w:position w:val="6"/>
          <w:sz w:val="11"/>
        </w:rPr>
        <w:t>24</w:t>
      </w:r>
      <w:r>
        <w:rPr>
          <w:position w:val="6"/>
          <w:sz w:val="11"/>
        </w:rPr>
        <w:t> </w:t>
      </w:r>
      <w:r>
        <w:rPr>
          <w:spacing w:val="7"/>
          <w:position w:val="6"/>
          <w:sz w:val="11"/>
        </w:rPr>
        <w:t> </w:t>
      </w:r>
      <w:r>
        <w:rPr>
          <w:w w:val="107"/>
        </w:rPr>
        <w:t>de </w:t>
      </w:r>
      <w:r>
        <w:rPr>
          <w:w w:val="139"/>
        </w:rPr>
        <w:t>a</w:t>
      </w:r>
      <w:r>
        <w:rPr>
          <w:w w:val="111"/>
        </w:rPr>
        <w:t>mérica</w:t>
      </w:r>
      <w:r>
        <w:rPr/>
        <w:t> </w:t>
      </w:r>
      <w:r>
        <w:rPr>
          <w:spacing w:val="-6"/>
        </w:rPr>
        <w:t> </w:t>
      </w:r>
      <w:r>
        <w:rPr>
          <w:w w:val="243"/>
        </w:rPr>
        <w:t>l</w:t>
      </w:r>
      <w:r>
        <w:rPr>
          <w:w w:val="111"/>
        </w:rPr>
        <w:t>atina</w:t>
      </w:r>
      <w:r>
        <w:rPr/>
        <w:t> </w:t>
      </w:r>
      <w:r>
        <w:rPr>
          <w:spacing w:val="-6"/>
        </w:rPr>
        <w:t> </w:t>
      </w:r>
      <w:r>
        <w:rPr>
          <w:w w:val="105"/>
        </w:rPr>
        <w:t>y</w:t>
      </w:r>
      <w:r>
        <w:rPr/>
        <w:t> </w:t>
      </w:r>
      <w:r>
        <w:rPr>
          <w:spacing w:val="-6"/>
        </w:rPr>
        <w:t> </w:t>
      </w:r>
      <w:r>
        <w:rPr>
          <w:w w:val="107"/>
        </w:rPr>
        <w:t>el</w:t>
      </w:r>
      <w:r>
        <w:rPr/>
        <w:t> </w:t>
      </w:r>
      <w:r>
        <w:rPr>
          <w:spacing w:val="-6"/>
        </w:rPr>
        <w:t> </w:t>
      </w:r>
      <w:r>
        <w:rPr>
          <w:w w:val="112"/>
        </w:rPr>
        <w:t>Caribe</w:t>
      </w:r>
      <w:r>
        <w:rPr/>
        <w:t> </w:t>
      </w:r>
      <w:r>
        <w:rPr>
          <w:spacing w:val="-6"/>
        </w:rPr>
        <w:t> </w:t>
      </w:r>
      <w:r>
        <w:rPr>
          <w:w w:val="98"/>
        </w:rPr>
        <w:t>(</w:t>
      </w:r>
      <w:r>
        <w:rPr>
          <w:i/>
          <w:w w:val="108"/>
        </w:rPr>
        <w:t>cluster</w:t>
      </w:r>
      <w:r>
        <w:rPr>
          <w:i/>
        </w:rPr>
        <w:t> </w:t>
      </w:r>
      <w:r>
        <w:rPr>
          <w:i/>
          <w:spacing w:val="-6"/>
        </w:rPr>
        <w:t> </w:t>
      </w:r>
      <w:r>
        <w:rPr>
          <w:i/>
          <w:w w:val="112"/>
        </w:rPr>
        <w:t>mexicano</w:t>
      </w:r>
      <w:r>
        <w:rPr>
          <w:i/>
        </w:rPr>
        <w:t> </w:t>
      </w:r>
      <w:r>
        <w:rPr>
          <w:i/>
          <w:spacing w:val="-6"/>
        </w:rPr>
        <w:t> </w:t>
      </w:r>
      <w:r>
        <w:rPr>
          <w:w w:val="105"/>
        </w:rPr>
        <w:t>y</w:t>
      </w:r>
      <w:r>
        <w:rPr/>
        <w:t> </w:t>
      </w:r>
      <w:r>
        <w:rPr>
          <w:spacing w:val="-6"/>
        </w:rPr>
        <w:t> </w:t>
      </w:r>
      <w:r>
        <w:rPr>
          <w:i/>
          <w:w w:val="108"/>
        </w:rPr>
        <w:t>cluster</w:t>
      </w:r>
      <w:r>
        <w:rPr>
          <w:i/>
        </w:rPr>
        <w:t> </w:t>
      </w:r>
      <w:r>
        <w:rPr>
          <w:i/>
          <w:spacing w:val="-6"/>
        </w:rPr>
        <w:t> </w:t>
      </w:r>
      <w:r>
        <w:rPr>
          <w:i/>
          <w:w w:val="108"/>
        </w:rPr>
        <w:t>brasileño</w:t>
      </w:r>
      <w:r>
        <w:rPr>
          <w:w w:val="98"/>
        </w:rPr>
        <w:t>)</w:t>
      </w:r>
      <w:r>
        <w:rPr/>
        <w:t> </w:t>
      </w:r>
      <w:r>
        <w:rPr>
          <w:spacing w:val="-6"/>
        </w:rPr>
        <w:t> </w:t>
      </w:r>
      <w:r>
        <w:rPr>
          <w:w w:val="108"/>
        </w:rPr>
        <w:t>en </w:t>
      </w:r>
      <w:r>
        <w:rPr>
          <w:w w:val="115"/>
        </w:rPr>
        <w:t>cuanto</w:t>
      </w:r>
      <w:r>
        <w:rPr>
          <w:spacing w:val="-5"/>
          <w:w w:val="115"/>
        </w:rPr>
        <w:t> </w:t>
      </w:r>
      <w:r>
        <w:rPr>
          <w:w w:val="115"/>
        </w:rPr>
        <w:t>a</w:t>
      </w:r>
      <w:r>
        <w:rPr>
          <w:spacing w:val="-5"/>
          <w:w w:val="115"/>
        </w:rPr>
        <w:t> </w:t>
      </w:r>
      <w:r>
        <w:rPr>
          <w:w w:val="115"/>
        </w:rPr>
        <w:t>la</w:t>
      </w:r>
      <w:r>
        <w:rPr>
          <w:spacing w:val="-5"/>
          <w:w w:val="115"/>
        </w:rPr>
        <w:t> </w:t>
      </w:r>
      <w:r>
        <w:rPr>
          <w:w w:val="115"/>
        </w:rPr>
        <w:t>recuperación</w:t>
      </w:r>
      <w:r>
        <w:rPr>
          <w:spacing w:val="-5"/>
          <w:w w:val="115"/>
        </w:rPr>
        <w:t> </w:t>
      </w:r>
      <w:r>
        <w:rPr>
          <w:w w:val="115"/>
        </w:rPr>
        <w:t>de</w:t>
      </w:r>
      <w:r>
        <w:rPr>
          <w:spacing w:val="-5"/>
          <w:w w:val="115"/>
        </w:rPr>
        <w:t> </w:t>
      </w:r>
      <w:r>
        <w:rPr>
          <w:w w:val="115"/>
        </w:rPr>
        <w:t>la</w:t>
      </w:r>
      <w:r>
        <w:rPr>
          <w:spacing w:val="-5"/>
          <w:w w:val="115"/>
        </w:rPr>
        <w:t> </w:t>
      </w:r>
      <w:r>
        <w:rPr>
          <w:w w:val="115"/>
        </w:rPr>
        <w:t>crisis,</w:t>
      </w:r>
      <w:r>
        <w:rPr>
          <w:spacing w:val="-5"/>
          <w:w w:val="115"/>
        </w:rPr>
        <w:t> </w:t>
      </w:r>
      <w:r>
        <w:rPr>
          <w:w w:val="115"/>
        </w:rPr>
        <w:t>se</w:t>
      </w:r>
      <w:r>
        <w:rPr>
          <w:spacing w:val="-5"/>
          <w:w w:val="115"/>
        </w:rPr>
        <w:t> </w:t>
      </w:r>
      <w:r>
        <w:rPr>
          <w:w w:val="115"/>
        </w:rPr>
        <w:t>acerca</w:t>
      </w:r>
      <w:r>
        <w:rPr>
          <w:spacing w:val="-5"/>
          <w:w w:val="115"/>
        </w:rPr>
        <w:t> </w:t>
      </w:r>
      <w:r>
        <w:rPr>
          <w:w w:val="115"/>
        </w:rPr>
        <w:t>mucho</w:t>
      </w:r>
      <w:r>
        <w:rPr>
          <w:spacing w:val="-5"/>
          <w:w w:val="115"/>
        </w:rPr>
        <w:t> </w:t>
      </w:r>
      <w:r>
        <w:rPr>
          <w:w w:val="115"/>
        </w:rPr>
        <w:t>más</w:t>
      </w:r>
      <w:r>
        <w:rPr>
          <w:spacing w:val="-5"/>
          <w:w w:val="115"/>
        </w:rPr>
        <w:t> </w:t>
      </w:r>
      <w:r>
        <w:rPr>
          <w:w w:val="115"/>
        </w:rPr>
        <w:t>a</w:t>
      </w:r>
      <w:r>
        <w:rPr>
          <w:spacing w:val="-5"/>
          <w:w w:val="115"/>
        </w:rPr>
        <w:t> </w:t>
      </w:r>
      <w:r>
        <w:rPr>
          <w:w w:val="115"/>
        </w:rPr>
        <w:t>la</w:t>
      </w:r>
      <w:r>
        <w:rPr>
          <w:spacing w:val="-5"/>
          <w:w w:val="115"/>
        </w:rPr>
        <w:t> </w:t>
      </w:r>
      <w:r>
        <w:rPr>
          <w:w w:val="115"/>
        </w:rPr>
        <w:t>reali- dad</w:t>
      </w:r>
      <w:r>
        <w:rPr>
          <w:spacing w:val="-8"/>
          <w:w w:val="115"/>
        </w:rPr>
        <w:t> </w:t>
      </w:r>
      <w:r>
        <w:rPr>
          <w:w w:val="115"/>
        </w:rPr>
        <w:t>de</w:t>
      </w:r>
      <w:r>
        <w:rPr>
          <w:spacing w:val="-8"/>
          <w:w w:val="115"/>
        </w:rPr>
        <w:t> </w:t>
      </w:r>
      <w:r>
        <w:rPr>
          <w:w w:val="115"/>
        </w:rPr>
        <w:t>una</w:t>
      </w:r>
      <w:r>
        <w:rPr>
          <w:spacing w:val="-8"/>
          <w:w w:val="115"/>
        </w:rPr>
        <w:t> </w:t>
      </w:r>
      <w:r>
        <w:rPr>
          <w:w w:val="115"/>
        </w:rPr>
        <w:t>región</w:t>
      </w:r>
      <w:r>
        <w:rPr>
          <w:spacing w:val="-8"/>
          <w:w w:val="115"/>
        </w:rPr>
        <w:t> </w:t>
      </w:r>
      <w:r>
        <w:rPr>
          <w:w w:val="115"/>
        </w:rPr>
        <w:t>cada</w:t>
      </w:r>
      <w:r>
        <w:rPr>
          <w:spacing w:val="-8"/>
          <w:w w:val="115"/>
        </w:rPr>
        <w:t> </w:t>
      </w:r>
      <w:r>
        <w:rPr>
          <w:w w:val="115"/>
        </w:rPr>
        <w:t>vez</w:t>
      </w:r>
      <w:r>
        <w:rPr>
          <w:spacing w:val="-8"/>
          <w:w w:val="115"/>
        </w:rPr>
        <w:t> </w:t>
      </w:r>
      <w:r>
        <w:rPr>
          <w:w w:val="115"/>
        </w:rPr>
        <w:t>más</w:t>
      </w:r>
      <w:r>
        <w:rPr>
          <w:spacing w:val="-8"/>
          <w:w w:val="115"/>
        </w:rPr>
        <w:t> </w:t>
      </w:r>
      <w:r>
        <w:rPr>
          <w:w w:val="115"/>
        </w:rPr>
        <w:t>heterogénea</w:t>
      </w:r>
      <w:r>
        <w:rPr>
          <w:spacing w:val="-8"/>
          <w:w w:val="115"/>
        </w:rPr>
        <w:t> </w:t>
      </w:r>
      <w:r>
        <w:rPr>
          <w:w w:val="115"/>
        </w:rPr>
        <w:t>en</w:t>
      </w:r>
      <w:r>
        <w:rPr>
          <w:spacing w:val="-8"/>
          <w:w w:val="115"/>
        </w:rPr>
        <w:t> </w:t>
      </w:r>
      <w:r>
        <w:rPr>
          <w:w w:val="115"/>
        </w:rPr>
        <w:t>sus</w:t>
      </w:r>
      <w:r>
        <w:rPr>
          <w:spacing w:val="-8"/>
          <w:w w:val="115"/>
        </w:rPr>
        <w:t> </w:t>
      </w:r>
      <w:r>
        <w:rPr>
          <w:w w:val="115"/>
        </w:rPr>
        <w:t>tendencias,</w:t>
      </w:r>
      <w:r>
        <w:rPr>
          <w:spacing w:val="-8"/>
          <w:w w:val="115"/>
        </w:rPr>
        <w:t> </w:t>
      </w:r>
      <w:r>
        <w:rPr>
          <w:w w:val="115"/>
        </w:rPr>
        <w:t>tipo y</w:t>
      </w:r>
      <w:r>
        <w:rPr>
          <w:spacing w:val="-10"/>
          <w:w w:val="115"/>
        </w:rPr>
        <w:t> </w:t>
      </w:r>
      <w:r>
        <w:rPr>
          <w:w w:val="115"/>
        </w:rPr>
        <w:t>grado</w:t>
      </w:r>
      <w:r>
        <w:rPr>
          <w:spacing w:val="-10"/>
          <w:w w:val="115"/>
        </w:rPr>
        <w:t> </w:t>
      </w:r>
      <w:r>
        <w:rPr>
          <w:w w:val="115"/>
        </w:rPr>
        <w:t>de</w:t>
      </w:r>
      <w:r>
        <w:rPr>
          <w:spacing w:val="-10"/>
          <w:w w:val="115"/>
        </w:rPr>
        <w:t> </w:t>
      </w:r>
      <w:r>
        <w:rPr>
          <w:w w:val="115"/>
        </w:rPr>
        <w:t>inserción</w:t>
      </w:r>
      <w:r>
        <w:rPr>
          <w:spacing w:val="-10"/>
          <w:w w:val="115"/>
        </w:rPr>
        <w:t> </w:t>
      </w:r>
      <w:r>
        <w:rPr>
          <w:w w:val="115"/>
        </w:rPr>
        <w:t>en</w:t>
      </w:r>
      <w:r>
        <w:rPr>
          <w:spacing w:val="-10"/>
          <w:w w:val="115"/>
        </w:rPr>
        <w:t> </w:t>
      </w:r>
      <w:r>
        <w:rPr>
          <w:w w:val="115"/>
        </w:rPr>
        <w:t>la</w:t>
      </w:r>
      <w:r>
        <w:rPr>
          <w:spacing w:val="-10"/>
          <w:w w:val="115"/>
        </w:rPr>
        <w:t> </w:t>
      </w:r>
      <w:r>
        <w:rPr>
          <w:w w:val="115"/>
        </w:rPr>
        <w:t>economía</w:t>
      </w:r>
      <w:r>
        <w:rPr>
          <w:spacing w:val="-10"/>
          <w:w w:val="115"/>
        </w:rPr>
        <w:t> </w:t>
      </w:r>
      <w:r>
        <w:rPr>
          <w:w w:val="115"/>
        </w:rPr>
        <w:t>internacional</w:t>
      </w:r>
      <w:r>
        <w:rPr>
          <w:spacing w:val="-10"/>
          <w:w w:val="115"/>
        </w:rPr>
        <w:t> </w:t>
      </w:r>
      <w:r>
        <w:rPr>
          <w:w w:val="115"/>
        </w:rPr>
        <w:t>–sin</w:t>
      </w:r>
      <w:r>
        <w:rPr>
          <w:spacing w:val="-10"/>
          <w:w w:val="115"/>
        </w:rPr>
        <w:t> </w:t>
      </w:r>
      <w:r>
        <w:rPr>
          <w:w w:val="115"/>
        </w:rPr>
        <w:t>dudas</w:t>
      </w:r>
      <w:r>
        <w:rPr>
          <w:spacing w:val="-10"/>
          <w:w w:val="115"/>
        </w:rPr>
        <w:t> </w:t>
      </w:r>
      <w:r>
        <w:rPr>
          <w:w w:val="115"/>
        </w:rPr>
        <w:t>mayor que</w:t>
      </w:r>
      <w:r>
        <w:rPr>
          <w:spacing w:val="-11"/>
          <w:w w:val="115"/>
        </w:rPr>
        <w:t> </w:t>
      </w:r>
      <w:r>
        <w:rPr>
          <w:w w:val="115"/>
        </w:rPr>
        <w:t>en</w:t>
      </w:r>
      <w:r>
        <w:rPr>
          <w:spacing w:val="-11"/>
          <w:w w:val="115"/>
        </w:rPr>
        <w:t> </w:t>
      </w:r>
      <w:r>
        <w:rPr>
          <w:w w:val="115"/>
        </w:rPr>
        <w:t>los</w:t>
      </w:r>
      <w:r>
        <w:rPr>
          <w:spacing w:val="-11"/>
          <w:w w:val="115"/>
        </w:rPr>
        <w:t> </w:t>
      </w:r>
      <w:r>
        <w:rPr>
          <w:w w:val="115"/>
        </w:rPr>
        <w:t>últimos</w:t>
      </w:r>
      <w:r>
        <w:rPr>
          <w:spacing w:val="-11"/>
          <w:w w:val="115"/>
        </w:rPr>
        <w:t> </w:t>
      </w:r>
      <w:r>
        <w:rPr>
          <w:w w:val="115"/>
        </w:rPr>
        <w:t>40</w:t>
      </w:r>
      <w:r>
        <w:rPr>
          <w:spacing w:val="-11"/>
          <w:w w:val="115"/>
        </w:rPr>
        <w:t> </w:t>
      </w:r>
      <w:r>
        <w:rPr>
          <w:w w:val="115"/>
        </w:rPr>
        <w:t>años.</w:t>
      </w:r>
      <w:r>
        <w:rPr>
          <w:spacing w:val="-11"/>
          <w:w w:val="115"/>
        </w:rPr>
        <w:t> </w:t>
      </w:r>
      <w:r>
        <w:rPr>
          <w:w w:val="115"/>
        </w:rPr>
        <w:t>sin</w:t>
      </w:r>
      <w:r>
        <w:rPr>
          <w:spacing w:val="-11"/>
          <w:w w:val="115"/>
        </w:rPr>
        <w:t> </w:t>
      </w:r>
      <w:r>
        <w:rPr>
          <w:w w:val="115"/>
        </w:rPr>
        <w:t>embargo,</w:t>
      </w:r>
      <w:r>
        <w:rPr>
          <w:spacing w:val="-11"/>
          <w:w w:val="115"/>
        </w:rPr>
        <w:t> </w:t>
      </w:r>
      <w:r>
        <w:rPr>
          <w:w w:val="115"/>
        </w:rPr>
        <w:t>es</w:t>
      </w:r>
      <w:r>
        <w:rPr>
          <w:spacing w:val="-11"/>
          <w:w w:val="115"/>
        </w:rPr>
        <w:t> </w:t>
      </w:r>
      <w:r>
        <w:rPr>
          <w:w w:val="115"/>
        </w:rPr>
        <w:t>importante</w:t>
      </w:r>
      <w:r>
        <w:rPr>
          <w:spacing w:val="-11"/>
          <w:w w:val="115"/>
        </w:rPr>
        <w:t> </w:t>
      </w:r>
      <w:r>
        <w:rPr>
          <w:w w:val="115"/>
        </w:rPr>
        <w:t>destacar</w:t>
      </w:r>
      <w:r>
        <w:rPr>
          <w:spacing w:val="-11"/>
          <w:w w:val="115"/>
        </w:rPr>
        <w:t> </w:t>
      </w:r>
      <w:r>
        <w:rPr>
          <w:w w:val="115"/>
        </w:rPr>
        <w:t>que este</w:t>
      </w:r>
      <w:r>
        <w:rPr>
          <w:spacing w:val="-23"/>
          <w:w w:val="115"/>
        </w:rPr>
        <w:t> </w:t>
      </w:r>
      <w:r>
        <w:rPr>
          <w:w w:val="115"/>
        </w:rPr>
        <w:t>nuevo</w:t>
      </w:r>
      <w:r>
        <w:rPr>
          <w:spacing w:val="-23"/>
          <w:w w:val="115"/>
        </w:rPr>
        <w:t> </w:t>
      </w:r>
      <w:r>
        <w:rPr>
          <w:w w:val="115"/>
        </w:rPr>
        <w:t>contexto</w:t>
      </w:r>
      <w:r>
        <w:rPr>
          <w:spacing w:val="-23"/>
          <w:w w:val="115"/>
        </w:rPr>
        <w:t> </w:t>
      </w:r>
      <w:r>
        <w:rPr>
          <w:w w:val="115"/>
        </w:rPr>
        <w:t>de</w:t>
      </w:r>
      <w:r>
        <w:rPr>
          <w:spacing w:val="-23"/>
          <w:w w:val="115"/>
        </w:rPr>
        <w:t> </w:t>
      </w:r>
      <w:r>
        <w:rPr>
          <w:w w:val="115"/>
        </w:rPr>
        <w:t>reforzamiento</w:t>
      </w:r>
      <w:r>
        <w:rPr>
          <w:spacing w:val="-23"/>
          <w:w w:val="115"/>
        </w:rPr>
        <w:t> </w:t>
      </w:r>
      <w:r>
        <w:rPr>
          <w:w w:val="115"/>
        </w:rPr>
        <w:t>de</w:t>
      </w:r>
      <w:r>
        <w:rPr>
          <w:spacing w:val="-23"/>
          <w:w w:val="115"/>
        </w:rPr>
        <w:t> </w:t>
      </w:r>
      <w:r>
        <w:rPr>
          <w:w w:val="115"/>
        </w:rPr>
        <w:t>la</w:t>
      </w:r>
      <w:r>
        <w:rPr>
          <w:spacing w:val="-23"/>
          <w:w w:val="115"/>
        </w:rPr>
        <w:t> </w:t>
      </w:r>
      <w:r>
        <w:rPr>
          <w:w w:val="115"/>
        </w:rPr>
        <w:t>tendencia</w:t>
      </w:r>
      <w:r>
        <w:rPr>
          <w:spacing w:val="-23"/>
          <w:w w:val="115"/>
        </w:rPr>
        <w:t> </w:t>
      </w:r>
      <w:r>
        <w:rPr>
          <w:w w:val="115"/>
        </w:rPr>
        <w:t>a</w:t>
      </w:r>
      <w:r>
        <w:rPr>
          <w:spacing w:val="-23"/>
          <w:w w:val="115"/>
        </w:rPr>
        <w:t> </w:t>
      </w:r>
      <w:r>
        <w:rPr>
          <w:w w:val="115"/>
        </w:rPr>
        <w:t>una</w:t>
      </w:r>
      <w:r>
        <w:rPr>
          <w:spacing w:val="-23"/>
          <w:w w:val="115"/>
        </w:rPr>
        <w:t> </w:t>
      </w:r>
      <w:r>
        <w:rPr>
          <w:w w:val="115"/>
        </w:rPr>
        <w:t>mayor</w:t>
      </w:r>
      <w:r>
        <w:rPr>
          <w:spacing w:val="-23"/>
          <w:w w:val="115"/>
        </w:rPr>
        <w:t> </w:t>
      </w:r>
      <w:r>
        <w:rPr>
          <w:w w:val="115"/>
        </w:rPr>
        <w:t>di- ferenciación</w:t>
      </w:r>
      <w:r>
        <w:rPr>
          <w:spacing w:val="-14"/>
          <w:w w:val="115"/>
        </w:rPr>
        <w:t> </w:t>
      </w:r>
      <w:r>
        <w:rPr>
          <w:w w:val="115"/>
        </w:rPr>
        <w:t>de</w:t>
      </w:r>
      <w:r>
        <w:rPr>
          <w:spacing w:val="-14"/>
          <w:w w:val="115"/>
        </w:rPr>
        <w:t> </w:t>
      </w:r>
      <w:r>
        <w:rPr>
          <w:w w:val="115"/>
        </w:rPr>
        <w:t>desempeños</w:t>
      </w:r>
      <w:r>
        <w:rPr>
          <w:spacing w:val="-14"/>
          <w:w w:val="115"/>
        </w:rPr>
        <w:t> </w:t>
      </w:r>
      <w:r>
        <w:rPr>
          <w:w w:val="115"/>
        </w:rPr>
        <w:t>económicos</w:t>
      </w:r>
      <w:r>
        <w:rPr>
          <w:spacing w:val="-14"/>
          <w:w w:val="115"/>
        </w:rPr>
        <w:t> </w:t>
      </w:r>
      <w:r>
        <w:rPr>
          <w:w w:val="115"/>
        </w:rPr>
        <w:t>en</w:t>
      </w:r>
      <w:r>
        <w:rPr>
          <w:spacing w:val="-14"/>
          <w:w w:val="115"/>
        </w:rPr>
        <w:t> </w:t>
      </w:r>
      <w:r>
        <w:rPr>
          <w:w w:val="115"/>
        </w:rPr>
        <w:t>la</w:t>
      </w:r>
      <w:r>
        <w:rPr>
          <w:spacing w:val="-14"/>
          <w:w w:val="115"/>
        </w:rPr>
        <w:t> </w:t>
      </w:r>
      <w:r>
        <w:rPr>
          <w:w w:val="115"/>
        </w:rPr>
        <w:t>región,</w:t>
      </w:r>
      <w:r>
        <w:rPr>
          <w:spacing w:val="-14"/>
          <w:w w:val="115"/>
        </w:rPr>
        <w:t> </w:t>
      </w:r>
      <w:r>
        <w:rPr>
          <w:w w:val="115"/>
        </w:rPr>
        <w:t>lejos</w:t>
      </w:r>
      <w:r>
        <w:rPr>
          <w:spacing w:val="-14"/>
          <w:w w:val="115"/>
        </w:rPr>
        <w:t> </w:t>
      </w:r>
      <w:r>
        <w:rPr>
          <w:w w:val="115"/>
        </w:rPr>
        <w:t>de</w:t>
      </w:r>
      <w:r>
        <w:rPr>
          <w:spacing w:val="-14"/>
          <w:w w:val="115"/>
        </w:rPr>
        <w:t> </w:t>
      </w:r>
      <w:r>
        <w:rPr>
          <w:w w:val="115"/>
        </w:rPr>
        <w:t>ser</w:t>
      </w:r>
      <w:r>
        <w:rPr>
          <w:spacing w:val="-14"/>
          <w:w w:val="115"/>
        </w:rPr>
        <w:t> </w:t>
      </w:r>
      <w:r>
        <w:rPr>
          <w:w w:val="115"/>
        </w:rPr>
        <w:t>un fenómeno</w:t>
      </w:r>
      <w:r>
        <w:rPr>
          <w:spacing w:val="-17"/>
          <w:w w:val="115"/>
        </w:rPr>
        <w:t> </w:t>
      </w:r>
      <w:r>
        <w:rPr>
          <w:w w:val="115"/>
        </w:rPr>
        <w:t>exclusivo</w:t>
      </w:r>
      <w:r>
        <w:rPr>
          <w:spacing w:val="-17"/>
          <w:w w:val="115"/>
        </w:rPr>
        <w:t> </w:t>
      </w:r>
      <w:r>
        <w:rPr>
          <w:w w:val="115"/>
        </w:rPr>
        <w:t>de</w:t>
      </w:r>
      <w:r>
        <w:rPr>
          <w:spacing w:val="-17"/>
          <w:w w:val="115"/>
        </w:rPr>
        <w:t> </w:t>
      </w:r>
      <w:r>
        <w:rPr>
          <w:w w:val="115"/>
        </w:rPr>
        <w:t>este</w:t>
      </w:r>
      <w:r>
        <w:rPr>
          <w:spacing w:val="-17"/>
          <w:w w:val="115"/>
        </w:rPr>
        <w:t> </w:t>
      </w:r>
      <w:r>
        <w:rPr>
          <w:w w:val="115"/>
        </w:rPr>
        <w:t>área</w:t>
      </w:r>
      <w:r>
        <w:rPr>
          <w:spacing w:val="-17"/>
          <w:w w:val="115"/>
        </w:rPr>
        <w:t> </w:t>
      </w:r>
      <w:r>
        <w:rPr>
          <w:w w:val="115"/>
        </w:rPr>
        <w:t>geográfica,</w:t>
      </w:r>
      <w:r>
        <w:rPr>
          <w:spacing w:val="-17"/>
          <w:w w:val="115"/>
        </w:rPr>
        <w:t> </w:t>
      </w:r>
      <w:r>
        <w:rPr>
          <w:w w:val="115"/>
        </w:rPr>
        <w:t>abarca</w:t>
      </w:r>
      <w:r>
        <w:rPr>
          <w:spacing w:val="-17"/>
          <w:w w:val="115"/>
        </w:rPr>
        <w:t> </w:t>
      </w:r>
      <w:r>
        <w:rPr>
          <w:w w:val="115"/>
        </w:rPr>
        <w:t>también</w:t>
      </w:r>
      <w:r>
        <w:rPr>
          <w:spacing w:val="-17"/>
          <w:w w:val="115"/>
        </w:rPr>
        <w:t> </w:t>
      </w:r>
      <w:r>
        <w:rPr>
          <w:w w:val="115"/>
        </w:rPr>
        <w:t>a</w:t>
      </w:r>
      <w:r>
        <w:rPr>
          <w:spacing w:val="-17"/>
          <w:w w:val="115"/>
        </w:rPr>
        <w:t> </w:t>
      </w:r>
      <w:r>
        <w:rPr>
          <w:w w:val="115"/>
        </w:rPr>
        <w:t>toda</w:t>
      </w:r>
      <w:r>
        <w:rPr>
          <w:spacing w:val="-17"/>
          <w:w w:val="115"/>
        </w:rPr>
        <w:t> </w:t>
      </w:r>
      <w:r>
        <w:rPr>
          <w:w w:val="115"/>
        </w:rPr>
        <w:t>la </w:t>
      </w:r>
      <w:r>
        <w:rPr>
          <w:w w:val="110"/>
        </w:rPr>
        <w:t>llamada </w:t>
      </w:r>
      <w:r>
        <w:rPr>
          <w:i/>
          <w:w w:val="110"/>
        </w:rPr>
        <w:t>periferia </w:t>
      </w:r>
      <w:r>
        <w:rPr>
          <w:w w:val="110"/>
        </w:rPr>
        <w:t>(como fenómeno inter e</w:t>
      </w:r>
      <w:r>
        <w:rPr>
          <w:spacing w:val="9"/>
          <w:w w:val="110"/>
        </w:rPr>
        <w:t> </w:t>
      </w:r>
      <w:r>
        <w:rPr>
          <w:w w:val="110"/>
        </w:rPr>
        <w:t>intra-regiones)</w:t>
      </w:r>
      <w:r>
        <w:rPr>
          <w:i/>
          <w:w w:val="110"/>
        </w:rPr>
        <w:t>.</w:t>
      </w:r>
    </w:p>
    <w:p>
      <w:pPr>
        <w:pStyle w:val="BodyText"/>
        <w:spacing w:line="252" w:lineRule="auto"/>
        <w:ind w:left="850" w:right="117" w:firstLine="396"/>
        <w:jc w:val="both"/>
      </w:pPr>
      <w:r>
        <w:rPr>
          <w:w w:val="120"/>
        </w:rPr>
        <w:t>En</w:t>
      </w:r>
      <w:r>
        <w:rPr/>
        <w:t> </w:t>
      </w:r>
      <w:r>
        <w:rPr>
          <w:spacing w:val="-8"/>
        </w:rPr>
        <w:t> </w:t>
      </w:r>
      <w:r>
        <w:rPr>
          <w:w w:val="139"/>
        </w:rPr>
        <w:t>a</w:t>
      </w:r>
      <w:r>
        <w:rPr>
          <w:w w:val="111"/>
        </w:rPr>
        <w:t>mérica</w:t>
      </w:r>
      <w:r>
        <w:rPr/>
        <w:t> </w:t>
      </w:r>
      <w:r>
        <w:rPr>
          <w:spacing w:val="-8"/>
        </w:rPr>
        <w:t> </w:t>
      </w:r>
      <w:r>
        <w:rPr>
          <w:w w:val="243"/>
        </w:rPr>
        <w:t>l</w:t>
      </w:r>
      <w:r>
        <w:rPr>
          <w:w w:val="113"/>
        </w:rPr>
        <w:t>atina,</w:t>
      </w:r>
      <w:r>
        <w:rPr/>
        <w:t> </w:t>
      </w:r>
      <w:r>
        <w:rPr>
          <w:spacing w:val="-8"/>
        </w:rPr>
        <w:t> </w:t>
      </w:r>
      <w:r>
        <w:rPr>
          <w:w w:val="109"/>
        </w:rPr>
        <w:t>las</w:t>
      </w:r>
      <w:r>
        <w:rPr/>
        <w:t> </w:t>
      </w:r>
      <w:r>
        <w:rPr>
          <w:spacing w:val="-8"/>
        </w:rPr>
        <w:t> </w:t>
      </w:r>
      <w:r>
        <w:rPr>
          <w:w w:val="111"/>
        </w:rPr>
        <w:t>políticas</w:t>
      </w:r>
      <w:r>
        <w:rPr/>
        <w:t> </w:t>
      </w:r>
      <w:r>
        <w:rPr>
          <w:spacing w:val="-8"/>
        </w:rPr>
        <w:t> </w:t>
      </w:r>
      <w:r>
        <w:rPr>
          <w:w w:val="107"/>
        </w:rPr>
        <w:t>de</w:t>
      </w:r>
      <w:r>
        <w:rPr/>
        <w:t> </w:t>
      </w:r>
      <w:r>
        <w:rPr>
          <w:spacing w:val="-8"/>
        </w:rPr>
        <w:t> </w:t>
      </w:r>
      <w:r>
        <w:rPr>
          <w:w w:val="110"/>
        </w:rPr>
        <w:t>desendeudamiento,</w:t>
      </w:r>
      <w:r>
        <w:rPr/>
        <w:t> </w:t>
      </w:r>
      <w:r>
        <w:rPr>
          <w:spacing w:val="-8"/>
        </w:rPr>
        <w:t> </w:t>
      </w:r>
      <w:r>
        <w:rPr>
          <w:w w:val="113"/>
        </w:rPr>
        <w:t>acumu</w:t>
      </w:r>
      <w:r>
        <w:rPr>
          <w:w w:val="102"/>
        </w:rPr>
        <w:t>- </w:t>
      </w:r>
      <w:r>
        <w:rPr>
          <w:w w:val="110"/>
        </w:rPr>
        <w:t>lación</w:t>
      </w:r>
      <w:r>
        <w:rPr>
          <w:spacing w:val="28"/>
          <w:w w:val="110"/>
        </w:rPr>
        <w:t> </w:t>
      </w:r>
      <w:r>
        <w:rPr>
          <w:w w:val="110"/>
        </w:rPr>
        <w:t>de</w:t>
      </w:r>
      <w:r>
        <w:rPr>
          <w:spacing w:val="28"/>
          <w:w w:val="110"/>
        </w:rPr>
        <w:t> </w:t>
      </w:r>
      <w:r>
        <w:rPr>
          <w:w w:val="110"/>
        </w:rPr>
        <w:t>reservas,</w:t>
      </w:r>
      <w:r>
        <w:rPr>
          <w:spacing w:val="28"/>
          <w:w w:val="110"/>
        </w:rPr>
        <w:t> </w:t>
      </w:r>
      <w:r>
        <w:rPr>
          <w:w w:val="110"/>
        </w:rPr>
        <w:t>promoción</w:t>
      </w:r>
      <w:r>
        <w:rPr>
          <w:spacing w:val="28"/>
          <w:w w:val="110"/>
        </w:rPr>
        <w:t> </w:t>
      </w:r>
      <w:r>
        <w:rPr>
          <w:w w:val="110"/>
        </w:rPr>
        <w:t>de</w:t>
      </w:r>
      <w:r>
        <w:rPr>
          <w:spacing w:val="28"/>
          <w:w w:val="110"/>
        </w:rPr>
        <w:t> </w:t>
      </w:r>
      <w:r>
        <w:rPr>
          <w:w w:val="110"/>
        </w:rPr>
        <w:t>exportaciones,</w:t>
      </w:r>
      <w:r>
        <w:rPr>
          <w:spacing w:val="28"/>
          <w:w w:val="110"/>
        </w:rPr>
        <w:t> </w:t>
      </w:r>
      <w:r>
        <w:rPr>
          <w:w w:val="110"/>
        </w:rPr>
        <w:t>así</w:t>
      </w:r>
      <w:r>
        <w:rPr>
          <w:spacing w:val="28"/>
          <w:w w:val="110"/>
        </w:rPr>
        <w:t> </w:t>
      </w:r>
      <w:r>
        <w:rPr>
          <w:w w:val="110"/>
        </w:rPr>
        <w:t>como</w:t>
      </w:r>
      <w:r>
        <w:rPr>
          <w:spacing w:val="28"/>
          <w:w w:val="110"/>
        </w:rPr>
        <w:t> </w:t>
      </w:r>
      <w:r>
        <w:rPr>
          <w:w w:val="110"/>
        </w:rPr>
        <w:t>el</w:t>
      </w:r>
      <w:r>
        <w:rPr>
          <w:spacing w:val="28"/>
          <w:w w:val="110"/>
        </w:rPr>
        <w:t> </w:t>
      </w:r>
      <w:r>
        <w:rPr>
          <w:w w:val="110"/>
        </w:rPr>
        <w:t>uso</w:t>
      </w:r>
      <w:r>
        <w:rPr>
          <w:spacing w:val="28"/>
          <w:w w:val="110"/>
        </w:rPr>
        <w:t> </w:t>
      </w:r>
      <w:r>
        <w:rPr>
          <w:w w:val="110"/>
        </w:rPr>
        <w:t>de</w:t>
      </w:r>
    </w:p>
    <w:p>
      <w:pPr>
        <w:pStyle w:val="BodyText"/>
        <w:spacing w:before="4"/>
        <w:rPr>
          <w:sz w:val="14"/>
        </w:rPr>
      </w:pPr>
      <w:r>
        <w:rPr/>
        <w:pict>
          <v:line style="position:absolute;mso-position-horizontal-relative:page;mso-position-vertical-relative:paragraph;z-index:8968;mso-wrap-distance-left:0;mso-wrap-distance-right:0" from="76.5355pt,10.614926pt" to="104.8815pt,10.614926pt" stroked="true" strokeweight=".5pt" strokecolor="#000000">
            <w10:wrap type="topAndBottom"/>
          </v:line>
        </w:pict>
      </w:r>
    </w:p>
    <w:p>
      <w:pPr>
        <w:pStyle w:val="ListParagraph"/>
        <w:numPr>
          <w:ilvl w:val="0"/>
          <w:numId w:val="35"/>
        </w:numPr>
        <w:tabs>
          <w:tab w:pos="1106" w:val="left" w:leader="none"/>
        </w:tabs>
        <w:spacing w:line="242" w:lineRule="auto" w:before="89" w:after="0"/>
        <w:ind w:left="850" w:right="118" w:firstLine="0"/>
        <w:jc w:val="both"/>
        <w:rPr>
          <w:sz w:val="16"/>
        </w:rPr>
      </w:pPr>
      <w:r>
        <w:rPr>
          <w:spacing w:val="-1"/>
          <w:w w:val="238"/>
          <w:sz w:val="16"/>
        </w:rPr>
        <w:t>l</w:t>
      </w:r>
      <w:r>
        <w:rPr>
          <w:w w:val="109"/>
          <w:sz w:val="16"/>
        </w:rPr>
        <w:t>a</w:t>
      </w:r>
      <w:r>
        <w:rPr>
          <w:sz w:val="16"/>
        </w:rPr>
        <w:t> </w:t>
      </w:r>
      <w:r>
        <w:rPr>
          <w:spacing w:val="-17"/>
          <w:sz w:val="16"/>
        </w:rPr>
        <w:t> </w:t>
      </w:r>
      <w:r>
        <w:rPr>
          <w:spacing w:val="-1"/>
          <w:w w:val="104"/>
          <w:sz w:val="16"/>
        </w:rPr>
        <w:t>tesi</w:t>
      </w:r>
      <w:r>
        <w:rPr>
          <w:w w:val="104"/>
          <w:sz w:val="16"/>
        </w:rPr>
        <w:t>s</w:t>
      </w:r>
      <w:r>
        <w:rPr>
          <w:sz w:val="16"/>
        </w:rPr>
        <w:t> </w:t>
      </w:r>
      <w:r>
        <w:rPr>
          <w:spacing w:val="-17"/>
          <w:sz w:val="16"/>
        </w:rPr>
        <w:t> </w:t>
      </w:r>
      <w:r>
        <w:rPr>
          <w:spacing w:val="-1"/>
          <w:w w:val="104"/>
          <w:sz w:val="16"/>
        </w:rPr>
        <w:t>d</w:t>
      </w:r>
      <w:r>
        <w:rPr>
          <w:w w:val="104"/>
          <w:sz w:val="16"/>
        </w:rPr>
        <w:t>e</w:t>
      </w:r>
      <w:r>
        <w:rPr>
          <w:sz w:val="16"/>
        </w:rPr>
        <w:t> </w:t>
      </w:r>
      <w:r>
        <w:rPr>
          <w:spacing w:val="-17"/>
          <w:sz w:val="16"/>
        </w:rPr>
        <w:t> </w:t>
      </w:r>
      <w:r>
        <w:rPr>
          <w:spacing w:val="-1"/>
          <w:w w:val="107"/>
          <w:sz w:val="16"/>
        </w:rPr>
        <w:t>la</w:t>
      </w:r>
      <w:r>
        <w:rPr>
          <w:w w:val="107"/>
          <w:sz w:val="16"/>
        </w:rPr>
        <w:t>s</w:t>
      </w:r>
      <w:r>
        <w:rPr>
          <w:sz w:val="16"/>
        </w:rPr>
        <w:t> </w:t>
      </w:r>
      <w:r>
        <w:rPr>
          <w:spacing w:val="-17"/>
          <w:sz w:val="16"/>
        </w:rPr>
        <w:t> </w:t>
      </w:r>
      <w:r>
        <w:rPr>
          <w:i/>
          <w:spacing w:val="-1"/>
          <w:w w:val="110"/>
          <w:sz w:val="16"/>
        </w:rPr>
        <w:t>do</w:t>
      </w:r>
      <w:r>
        <w:rPr>
          <w:i/>
          <w:w w:val="110"/>
          <w:sz w:val="16"/>
        </w:rPr>
        <w:t>s</w:t>
      </w:r>
      <w:r>
        <w:rPr>
          <w:i/>
          <w:sz w:val="16"/>
        </w:rPr>
        <w:t> </w:t>
      </w:r>
      <w:r>
        <w:rPr>
          <w:i/>
          <w:spacing w:val="-17"/>
          <w:sz w:val="16"/>
        </w:rPr>
        <w:t> </w:t>
      </w:r>
      <w:r>
        <w:rPr>
          <w:i/>
          <w:spacing w:val="-1"/>
          <w:w w:val="106"/>
          <w:sz w:val="16"/>
        </w:rPr>
        <w:t>velocidade</w:t>
      </w:r>
      <w:r>
        <w:rPr>
          <w:i/>
          <w:w w:val="106"/>
          <w:sz w:val="16"/>
        </w:rPr>
        <w:t>s</w:t>
      </w:r>
      <w:r>
        <w:rPr>
          <w:i/>
          <w:sz w:val="16"/>
        </w:rPr>
        <w:t> </w:t>
      </w:r>
      <w:r>
        <w:rPr>
          <w:i/>
          <w:spacing w:val="-17"/>
          <w:sz w:val="16"/>
        </w:rPr>
        <w:t> </w:t>
      </w:r>
      <w:r>
        <w:rPr>
          <w:spacing w:val="-1"/>
          <w:w w:val="106"/>
          <w:sz w:val="16"/>
        </w:rPr>
        <w:t>e</w:t>
      </w:r>
      <w:r>
        <w:rPr>
          <w:w w:val="106"/>
          <w:sz w:val="16"/>
        </w:rPr>
        <w:t>n</w:t>
      </w:r>
      <w:r>
        <w:rPr>
          <w:sz w:val="16"/>
        </w:rPr>
        <w:t> </w:t>
      </w:r>
      <w:r>
        <w:rPr>
          <w:spacing w:val="-18"/>
          <w:sz w:val="16"/>
        </w:rPr>
        <w:t> </w:t>
      </w:r>
      <w:r>
        <w:rPr>
          <w:spacing w:val="-1"/>
          <w:w w:val="136"/>
          <w:sz w:val="16"/>
        </w:rPr>
        <w:t>a</w:t>
      </w:r>
      <w:r>
        <w:rPr>
          <w:spacing w:val="-1"/>
          <w:w w:val="108"/>
          <w:sz w:val="16"/>
        </w:rPr>
        <w:t>méric</w:t>
      </w:r>
      <w:r>
        <w:rPr>
          <w:w w:val="108"/>
          <w:sz w:val="16"/>
        </w:rPr>
        <w:t>a</w:t>
      </w:r>
      <w:r>
        <w:rPr>
          <w:sz w:val="16"/>
        </w:rPr>
        <w:t> </w:t>
      </w:r>
      <w:r>
        <w:rPr>
          <w:spacing w:val="-17"/>
          <w:sz w:val="16"/>
        </w:rPr>
        <w:t> </w:t>
      </w:r>
      <w:r>
        <w:rPr>
          <w:spacing w:val="-1"/>
          <w:w w:val="238"/>
          <w:sz w:val="16"/>
        </w:rPr>
        <w:t>l</w:t>
      </w:r>
      <w:r>
        <w:rPr>
          <w:spacing w:val="-1"/>
          <w:w w:val="109"/>
          <w:sz w:val="16"/>
        </w:rPr>
        <w:t>atin</w:t>
      </w:r>
      <w:r>
        <w:rPr>
          <w:w w:val="109"/>
          <w:sz w:val="16"/>
        </w:rPr>
        <w:t>a</w:t>
      </w:r>
      <w:r>
        <w:rPr>
          <w:sz w:val="16"/>
        </w:rPr>
        <w:t> </w:t>
      </w:r>
      <w:r>
        <w:rPr>
          <w:spacing w:val="-17"/>
          <w:sz w:val="16"/>
        </w:rPr>
        <w:t> </w:t>
      </w:r>
      <w:r>
        <w:rPr>
          <w:w w:val="102"/>
          <w:sz w:val="16"/>
        </w:rPr>
        <w:t>y</w:t>
      </w:r>
      <w:r>
        <w:rPr>
          <w:sz w:val="16"/>
        </w:rPr>
        <w:t> </w:t>
      </w:r>
      <w:r>
        <w:rPr>
          <w:spacing w:val="-17"/>
          <w:sz w:val="16"/>
        </w:rPr>
        <w:t> </w:t>
      </w:r>
      <w:r>
        <w:rPr>
          <w:spacing w:val="-1"/>
          <w:w w:val="104"/>
          <w:sz w:val="16"/>
        </w:rPr>
        <w:t>e</w:t>
      </w:r>
      <w:r>
        <w:rPr>
          <w:w w:val="104"/>
          <w:sz w:val="16"/>
        </w:rPr>
        <w:t>l</w:t>
      </w:r>
      <w:r>
        <w:rPr>
          <w:sz w:val="16"/>
        </w:rPr>
        <w:t> </w:t>
      </w:r>
      <w:r>
        <w:rPr>
          <w:spacing w:val="-17"/>
          <w:sz w:val="16"/>
        </w:rPr>
        <w:t> </w:t>
      </w:r>
      <w:r>
        <w:rPr>
          <w:spacing w:val="-1"/>
          <w:w w:val="110"/>
          <w:sz w:val="16"/>
        </w:rPr>
        <w:t>Carib</w:t>
      </w:r>
      <w:r>
        <w:rPr>
          <w:w w:val="110"/>
          <w:sz w:val="16"/>
        </w:rPr>
        <w:t>e</w:t>
      </w:r>
      <w:r>
        <w:rPr>
          <w:sz w:val="16"/>
        </w:rPr>
        <w:t> </w:t>
      </w:r>
      <w:r>
        <w:rPr>
          <w:spacing w:val="-17"/>
          <w:sz w:val="16"/>
        </w:rPr>
        <w:t> </w:t>
      </w:r>
      <w:r>
        <w:rPr>
          <w:spacing w:val="-1"/>
          <w:w w:val="102"/>
          <w:sz w:val="16"/>
        </w:rPr>
        <w:t>e</w:t>
      </w:r>
      <w:r>
        <w:rPr>
          <w:w w:val="102"/>
          <w:sz w:val="16"/>
        </w:rPr>
        <w:t>s</w:t>
      </w:r>
      <w:r>
        <w:rPr>
          <w:sz w:val="16"/>
        </w:rPr>
        <w:t> </w:t>
      </w:r>
      <w:r>
        <w:rPr>
          <w:spacing w:val="-17"/>
          <w:sz w:val="16"/>
        </w:rPr>
        <w:t> </w:t>
      </w:r>
      <w:r>
        <w:rPr>
          <w:spacing w:val="-1"/>
          <w:w w:val="106"/>
          <w:sz w:val="16"/>
        </w:rPr>
        <w:t>desarrollad</w:t>
      </w:r>
      <w:r>
        <w:rPr>
          <w:w w:val="106"/>
          <w:sz w:val="16"/>
        </w:rPr>
        <w:t>a</w:t>
      </w:r>
      <w:r>
        <w:rPr>
          <w:sz w:val="16"/>
        </w:rPr>
        <w:t> </w:t>
      </w:r>
      <w:r>
        <w:rPr>
          <w:spacing w:val="-17"/>
          <w:sz w:val="16"/>
        </w:rPr>
        <w:t> </w:t>
      </w:r>
      <w:r>
        <w:rPr>
          <w:spacing w:val="-1"/>
          <w:w w:val="106"/>
          <w:sz w:val="16"/>
        </w:rPr>
        <w:t>por </w:t>
      </w:r>
      <w:r>
        <w:rPr>
          <w:w w:val="110"/>
          <w:sz w:val="16"/>
        </w:rPr>
        <w:t>izquierdo</w:t>
      </w:r>
      <w:r>
        <w:rPr>
          <w:spacing w:val="-11"/>
          <w:w w:val="110"/>
          <w:sz w:val="16"/>
        </w:rPr>
        <w:t> </w:t>
      </w:r>
      <w:r>
        <w:rPr>
          <w:w w:val="110"/>
          <w:sz w:val="16"/>
        </w:rPr>
        <w:t>y</w:t>
      </w:r>
      <w:r>
        <w:rPr>
          <w:spacing w:val="-11"/>
          <w:w w:val="110"/>
          <w:sz w:val="16"/>
        </w:rPr>
        <w:t> </w:t>
      </w:r>
      <w:r>
        <w:rPr>
          <w:spacing w:val="-4"/>
          <w:w w:val="110"/>
          <w:sz w:val="16"/>
        </w:rPr>
        <w:t>talvi</w:t>
      </w:r>
      <w:r>
        <w:rPr>
          <w:spacing w:val="-11"/>
          <w:w w:val="110"/>
          <w:sz w:val="16"/>
        </w:rPr>
        <w:t> </w:t>
      </w:r>
      <w:r>
        <w:rPr>
          <w:w w:val="110"/>
          <w:sz w:val="16"/>
        </w:rPr>
        <w:t>(2011)</w:t>
      </w:r>
      <w:r>
        <w:rPr>
          <w:spacing w:val="-11"/>
          <w:w w:val="110"/>
          <w:sz w:val="16"/>
        </w:rPr>
        <w:t> </w:t>
      </w:r>
      <w:r>
        <w:rPr>
          <w:w w:val="110"/>
          <w:sz w:val="16"/>
        </w:rPr>
        <w:t>y</w:t>
      </w:r>
      <w:r>
        <w:rPr>
          <w:spacing w:val="-11"/>
          <w:w w:val="110"/>
          <w:sz w:val="16"/>
        </w:rPr>
        <w:t> </w:t>
      </w:r>
      <w:r>
        <w:rPr>
          <w:w w:val="110"/>
          <w:sz w:val="16"/>
        </w:rPr>
        <w:t>se</w:t>
      </w:r>
      <w:r>
        <w:rPr>
          <w:spacing w:val="-11"/>
          <w:w w:val="110"/>
          <w:sz w:val="16"/>
        </w:rPr>
        <w:t> </w:t>
      </w:r>
      <w:r>
        <w:rPr>
          <w:w w:val="110"/>
          <w:sz w:val="16"/>
        </w:rPr>
        <w:t>basa</w:t>
      </w:r>
      <w:r>
        <w:rPr>
          <w:spacing w:val="-11"/>
          <w:w w:val="110"/>
          <w:sz w:val="16"/>
        </w:rPr>
        <w:t> </w:t>
      </w:r>
      <w:r>
        <w:rPr>
          <w:w w:val="110"/>
          <w:sz w:val="16"/>
        </w:rPr>
        <w:t>en</w:t>
      </w:r>
      <w:r>
        <w:rPr>
          <w:spacing w:val="-11"/>
          <w:w w:val="110"/>
          <w:sz w:val="16"/>
        </w:rPr>
        <w:t> </w:t>
      </w:r>
      <w:r>
        <w:rPr>
          <w:w w:val="110"/>
          <w:sz w:val="16"/>
        </w:rPr>
        <w:t>la</w:t>
      </w:r>
      <w:r>
        <w:rPr>
          <w:spacing w:val="-11"/>
          <w:w w:val="110"/>
          <w:sz w:val="16"/>
        </w:rPr>
        <w:t> </w:t>
      </w:r>
      <w:r>
        <w:rPr>
          <w:w w:val="110"/>
          <w:sz w:val="16"/>
        </w:rPr>
        <w:t>idea</w:t>
      </w:r>
      <w:r>
        <w:rPr>
          <w:spacing w:val="-11"/>
          <w:w w:val="110"/>
          <w:sz w:val="16"/>
        </w:rPr>
        <w:t> </w:t>
      </w:r>
      <w:r>
        <w:rPr>
          <w:w w:val="110"/>
          <w:sz w:val="16"/>
        </w:rPr>
        <w:t>de</w:t>
      </w:r>
      <w:r>
        <w:rPr>
          <w:spacing w:val="-11"/>
          <w:w w:val="110"/>
          <w:sz w:val="16"/>
        </w:rPr>
        <w:t> </w:t>
      </w:r>
      <w:r>
        <w:rPr>
          <w:w w:val="110"/>
          <w:sz w:val="16"/>
        </w:rPr>
        <w:t>la</w:t>
      </w:r>
      <w:r>
        <w:rPr>
          <w:spacing w:val="-11"/>
          <w:w w:val="110"/>
          <w:sz w:val="16"/>
        </w:rPr>
        <w:t> </w:t>
      </w:r>
      <w:r>
        <w:rPr>
          <w:w w:val="110"/>
          <w:sz w:val="16"/>
        </w:rPr>
        <w:t>existencia</w:t>
      </w:r>
      <w:r>
        <w:rPr>
          <w:spacing w:val="-11"/>
          <w:w w:val="110"/>
          <w:sz w:val="16"/>
        </w:rPr>
        <w:t> </w:t>
      </w:r>
      <w:r>
        <w:rPr>
          <w:w w:val="110"/>
          <w:sz w:val="16"/>
        </w:rPr>
        <w:t>de</w:t>
      </w:r>
      <w:r>
        <w:rPr>
          <w:spacing w:val="-11"/>
          <w:w w:val="110"/>
          <w:sz w:val="16"/>
        </w:rPr>
        <w:t> </w:t>
      </w:r>
      <w:r>
        <w:rPr>
          <w:w w:val="110"/>
          <w:sz w:val="16"/>
        </w:rPr>
        <w:t>dos</w:t>
      </w:r>
      <w:r>
        <w:rPr>
          <w:spacing w:val="-11"/>
          <w:w w:val="110"/>
          <w:sz w:val="16"/>
        </w:rPr>
        <w:t> </w:t>
      </w:r>
      <w:r>
        <w:rPr>
          <w:w w:val="110"/>
          <w:sz w:val="16"/>
        </w:rPr>
        <w:t>velocidades</w:t>
      </w:r>
      <w:r>
        <w:rPr>
          <w:spacing w:val="-11"/>
          <w:w w:val="110"/>
          <w:sz w:val="16"/>
        </w:rPr>
        <w:t> </w:t>
      </w:r>
      <w:r>
        <w:rPr>
          <w:w w:val="110"/>
          <w:sz w:val="16"/>
        </w:rPr>
        <w:t>o</w:t>
      </w:r>
      <w:r>
        <w:rPr>
          <w:spacing w:val="-11"/>
          <w:w w:val="110"/>
          <w:sz w:val="16"/>
        </w:rPr>
        <w:t> </w:t>
      </w:r>
      <w:r>
        <w:rPr>
          <w:w w:val="110"/>
          <w:sz w:val="16"/>
        </w:rPr>
        <w:t>tipos de comportamientos económicos de los países de la región en relación a la crisis en Estados unidos, formando lo que identifican como un </w:t>
      </w:r>
      <w:r>
        <w:rPr>
          <w:i/>
          <w:w w:val="110"/>
          <w:sz w:val="16"/>
        </w:rPr>
        <w:t>nuevo orden económico en la </w:t>
      </w:r>
      <w:r>
        <w:rPr>
          <w:i/>
          <w:w w:val="110"/>
          <w:sz w:val="16"/>
        </w:rPr>
        <w:t>región</w:t>
      </w:r>
      <w:r>
        <w:rPr>
          <w:w w:val="110"/>
          <w:sz w:val="16"/>
        </w:rPr>
        <w:t>: una velocidad asociada a lo que denominan </w:t>
      </w:r>
      <w:r>
        <w:rPr>
          <w:i/>
          <w:w w:val="110"/>
          <w:sz w:val="16"/>
        </w:rPr>
        <w:t>cluster mexicano </w:t>
      </w:r>
      <w:r>
        <w:rPr>
          <w:w w:val="110"/>
          <w:sz w:val="16"/>
        </w:rPr>
        <w:t>(que agrupa a México,</w:t>
      </w:r>
      <w:r>
        <w:rPr>
          <w:spacing w:val="-7"/>
          <w:w w:val="110"/>
          <w:sz w:val="16"/>
        </w:rPr>
        <w:t> </w:t>
      </w:r>
      <w:r>
        <w:rPr>
          <w:w w:val="110"/>
          <w:sz w:val="16"/>
        </w:rPr>
        <w:t>Centroamérica</w:t>
      </w:r>
      <w:r>
        <w:rPr>
          <w:spacing w:val="-7"/>
          <w:w w:val="110"/>
          <w:sz w:val="16"/>
        </w:rPr>
        <w:t> </w:t>
      </w:r>
      <w:r>
        <w:rPr>
          <w:w w:val="110"/>
          <w:sz w:val="16"/>
        </w:rPr>
        <w:t>y</w:t>
      </w:r>
      <w:r>
        <w:rPr>
          <w:spacing w:val="-7"/>
          <w:w w:val="110"/>
          <w:sz w:val="16"/>
        </w:rPr>
        <w:t> </w:t>
      </w:r>
      <w:r>
        <w:rPr>
          <w:w w:val="110"/>
          <w:sz w:val="16"/>
        </w:rPr>
        <w:t>el</w:t>
      </w:r>
      <w:r>
        <w:rPr>
          <w:spacing w:val="-7"/>
          <w:w w:val="110"/>
          <w:sz w:val="16"/>
        </w:rPr>
        <w:t> </w:t>
      </w:r>
      <w:r>
        <w:rPr>
          <w:w w:val="110"/>
          <w:sz w:val="16"/>
        </w:rPr>
        <w:t>Caribe)</w:t>
      </w:r>
      <w:r>
        <w:rPr>
          <w:spacing w:val="-7"/>
          <w:w w:val="110"/>
          <w:sz w:val="16"/>
        </w:rPr>
        <w:t> </w:t>
      </w:r>
      <w:r>
        <w:rPr>
          <w:w w:val="110"/>
          <w:sz w:val="16"/>
        </w:rPr>
        <w:t>con</w:t>
      </w:r>
      <w:r>
        <w:rPr>
          <w:spacing w:val="-7"/>
          <w:w w:val="110"/>
          <w:sz w:val="16"/>
        </w:rPr>
        <w:t> </w:t>
      </w:r>
      <w:r>
        <w:rPr>
          <w:w w:val="110"/>
          <w:sz w:val="16"/>
        </w:rPr>
        <w:t>comportamientos</w:t>
      </w:r>
      <w:r>
        <w:rPr>
          <w:spacing w:val="-7"/>
          <w:w w:val="110"/>
          <w:sz w:val="16"/>
        </w:rPr>
        <w:t> </w:t>
      </w:r>
      <w:r>
        <w:rPr>
          <w:w w:val="110"/>
          <w:sz w:val="16"/>
        </w:rPr>
        <w:t>económicos</w:t>
      </w:r>
      <w:r>
        <w:rPr>
          <w:spacing w:val="-7"/>
          <w:w w:val="110"/>
          <w:sz w:val="16"/>
        </w:rPr>
        <w:t> </w:t>
      </w:r>
      <w:r>
        <w:rPr>
          <w:w w:val="110"/>
          <w:sz w:val="16"/>
        </w:rPr>
        <w:t>comunes</w:t>
      </w:r>
      <w:r>
        <w:rPr>
          <w:spacing w:val="-7"/>
          <w:w w:val="110"/>
          <w:sz w:val="16"/>
        </w:rPr>
        <w:t> </w:t>
      </w:r>
      <w:r>
        <w:rPr>
          <w:w w:val="110"/>
          <w:sz w:val="16"/>
        </w:rPr>
        <w:t>más vinculados</w:t>
      </w:r>
      <w:r>
        <w:rPr>
          <w:spacing w:val="-11"/>
          <w:w w:val="110"/>
          <w:sz w:val="16"/>
        </w:rPr>
        <w:t> </w:t>
      </w:r>
      <w:r>
        <w:rPr>
          <w:w w:val="110"/>
          <w:sz w:val="16"/>
        </w:rPr>
        <w:t>a</w:t>
      </w:r>
      <w:r>
        <w:rPr>
          <w:spacing w:val="-11"/>
          <w:w w:val="110"/>
          <w:sz w:val="16"/>
        </w:rPr>
        <w:t> </w:t>
      </w:r>
      <w:r>
        <w:rPr>
          <w:w w:val="110"/>
          <w:sz w:val="16"/>
        </w:rPr>
        <w:t>Estados</w:t>
      </w:r>
      <w:r>
        <w:rPr>
          <w:spacing w:val="-11"/>
          <w:w w:val="110"/>
          <w:sz w:val="16"/>
        </w:rPr>
        <w:t> </w:t>
      </w:r>
      <w:r>
        <w:rPr>
          <w:w w:val="110"/>
          <w:sz w:val="16"/>
        </w:rPr>
        <w:t>unidos,</w:t>
      </w:r>
      <w:r>
        <w:rPr>
          <w:spacing w:val="-11"/>
          <w:w w:val="110"/>
          <w:sz w:val="16"/>
        </w:rPr>
        <w:t> </w:t>
      </w:r>
      <w:r>
        <w:rPr>
          <w:w w:val="110"/>
          <w:sz w:val="16"/>
        </w:rPr>
        <w:t>y</w:t>
      </w:r>
      <w:r>
        <w:rPr>
          <w:spacing w:val="-11"/>
          <w:w w:val="110"/>
          <w:sz w:val="16"/>
        </w:rPr>
        <w:t> </w:t>
      </w:r>
      <w:r>
        <w:rPr>
          <w:w w:val="110"/>
          <w:sz w:val="16"/>
        </w:rPr>
        <w:t>otra</w:t>
      </w:r>
      <w:r>
        <w:rPr>
          <w:spacing w:val="-11"/>
          <w:w w:val="110"/>
          <w:sz w:val="16"/>
        </w:rPr>
        <w:t> </w:t>
      </w:r>
      <w:r>
        <w:rPr>
          <w:w w:val="110"/>
          <w:sz w:val="16"/>
        </w:rPr>
        <w:t>velocidad</w:t>
      </w:r>
      <w:r>
        <w:rPr>
          <w:spacing w:val="-11"/>
          <w:w w:val="110"/>
          <w:sz w:val="16"/>
        </w:rPr>
        <w:t> </w:t>
      </w:r>
      <w:r>
        <w:rPr>
          <w:w w:val="110"/>
          <w:sz w:val="16"/>
        </w:rPr>
        <w:t>que</w:t>
      </w:r>
      <w:r>
        <w:rPr>
          <w:spacing w:val="-11"/>
          <w:w w:val="110"/>
          <w:sz w:val="16"/>
        </w:rPr>
        <w:t> </w:t>
      </w:r>
      <w:r>
        <w:rPr>
          <w:w w:val="110"/>
          <w:sz w:val="16"/>
        </w:rPr>
        <w:t>denominan</w:t>
      </w:r>
      <w:r>
        <w:rPr>
          <w:spacing w:val="-11"/>
          <w:w w:val="110"/>
          <w:sz w:val="16"/>
        </w:rPr>
        <w:t> </w:t>
      </w:r>
      <w:r>
        <w:rPr>
          <w:w w:val="110"/>
          <w:sz w:val="16"/>
        </w:rPr>
        <w:t>como</w:t>
      </w:r>
      <w:r>
        <w:rPr>
          <w:spacing w:val="-11"/>
          <w:w w:val="110"/>
          <w:sz w:val="16"/>
        </w:rPr>
        <w:t> </w:t>
      </w:r>
      <w:r>
        <w:rPr>
          <w:w w:val="110"/>
          <w:sz w:val="16"/>
        </w:rPr>
        <w:t>el</w:t>
      </w:r>
      <w:r>
        <w:rPr>
          <w:spacing w:val="-11"/>
          <w:w w:val="110"/>
          <w:sz w:val="16"/>
        </w:rPr>
        <w:t> </w:t>
      </w:r>
      <w:r>
        <w:rPr>
          <w:i/>
          <w:w w:val="110"/>
          <w:sz w:val="16"/>
        </w:rPr>
        <w:t>cluster</w:t>
      </w:r>
      <w:r>
        <w:rPr>
          <w:i/>
          <w:spacing w:val="-11"/>
          <w:w w:val="110"/>
          <w:sz w:val="16"/>
        </w:rPr>
        <w:t> </w:t>
      </w:r>
      <w:r>
        <w:rPr>
          <w:i/>
          <w:w w:val="110"/>
          <w:sz w:val="16"/>
        </w:rPr>
        <w:t>brasile- </w:t>
      </w:r>
      <w:r>
        <w:rPr>
          <w:i/>
          <w:w w:val="110"/>
          <w:sz w:val="16"/>
        </w:rPr>
        <w:t>ño</w:t>
      </w:r>
      <w:r>
        <w:rPr>
          <w:w w:val="110"/>
          <w:sz w:val="16"/>
        </w:rPr>
        <w:t>,</w:t>
      </w:r>
      <w:r>
        <w:rPr>
          <w:spacing w:val="-13"/>
          <w:w w:val="110"/>
          <w:sz w:val="16"/>
        </w:rPr>
        <w:t> </w:t>
      </w:r>
      <w:r>
        <w:rPr>
          <w:w w:val="110"/>
          <w:sz w:val="16"/>
        </w:rPr>
        <w:t>asociado</w:t>
      </w:r>
      <w:r>
        <w:rPr>
          <w:spacing w:val="-13"/>
          <w:w w:val="110"/>
          <w:sz w:val="16"/>
        </w:rPr>
        <w:t> </w:t>
      </w:r>
      <w:r>
        <w:rPr>
          <w:w w:val="110"/>
          <w:sz w:val="16"/>
        </w:rPr>
        <w:t>al</w:t>
      </w:r>
      <w:r>
        <w:rPr>
          <w:spacing w:val="-13"/>
          <w:w w:val="110"/>
          <w:sz w:val="16"/>
        </w:rPr>
        <w:t> </w:t>
      </w:r>
      <w:r>
        <w:rPr>
          <w:w w:val="110"/>
          <w:sz w:val="16"/>
        </w:rPr>
        <w:t>desempeño</w:t>
      </w:r>
      <w:r>
        <w:rPr>
          <w:spacing w:val="-13"/>
          <w:w w:val="110"/>
          <w:sz w:val="16"/>
        </w:rPr>
        <w:t> </w:t>
      </w:r>
      <w:r>
        <w:rPr>
          <w:w w:val="110"/>
          <w:sz w:val="16"/>
        </w:rPr>
        <w:t>más</w:t>
      </w:r>
      <w:r>
        <w:rPr>
          <w:spacing w:val="-13"/>
          <w:w w:val="110"/>
          <w:sz w:val="16"/>
        </w:rPr>
        <w:t> </w:t>
      </w:r>
      <w:r>
        <w:rPr>
          <w:w w:val="110"/>
          <w:sz w:val="16"/>
        </w:rPr>
        <w:t>diversificado</w:t>
      </w:r>
      <w:r>
        <w:rPr>
          <w:spacing w:val="-13"/>
          <w:w w:val="110"/>
          <w:sz w:val="16"/>
        </w:rPr>
        <w:t> </w:t>
      </w:r>
      <w:r>
        <w:rPr>
          <w:w w:val="110"/>
          <w:sz w:val="16"/>
        </w:rPr>
        <w:t>de</w:t>
      </w:r>
      <w:r>
        <w:rPr>
          <w:spacing w:val="-13"/>
          <w:w w:val="110"/>
          <w:sz w:val="16"/>
        </w:rPr>
        <w:t> </w:t>
      </w:r>
      <w:r>
        <w:rPr>
          <w:w w:val="110"/>
          <w:sz w:val="16"/>
        </w:rPr>
        <w:t>sudamérica</w:t>
      </w:r>
      <w:r>
        <w:rPr>
          <w:spacing w:val="-13"/>
          <w:w w:val="110"/>
          <w:sz w:val="16"/>
        </w:rPr>
        <w:t> </w:t>
      </w:r>
      <w:r>
        <w:rPr>
          <w:w w:val="110"/>
          <w:sz w:val="16"/>
        </w:rPr>
        <w:t>(izquierdo</w:t>
      </w:r>
      <w:r>
        <w:rPr>
          <w:spacing w:val="-13"/>
          <w:w w:val="110"/>
          <w:sz w:val="16"/>
        </w:rPr>
        <w:t> </w:t>
      </w:r>
      <w:r>
        <w:rPr>
          <w:w w:val="110"/>
          <w:sz w:val="16"/>
        </w:rPr>
        <w:t>y</w:t>
      </w:r>
      <w:r>
        <w:rPr>
          <w:spacing w:val="-13"/>
          <w:w w:val="110"/>
          <w:sz w:val="16"/>
        </w:rPr>
        <w:t> </w:t>
      </w:r>
      <w:r>
        <w:rPr>
          <w:spacing w:val="-4"/>
          <w:w w:val="110"/>
          <w:sz w:val="16"/>
        </w:rPr>
        <w:t>talvi,</w:t>
      </w:r>
      <w:r>
        <w:rPr>
          <w:spacing w:val="-13"/>
          <w:w w:val="110"/>
          <w:sz w:val="16"/>
        </w:rPr>
        <w:t> </w:t>
      </w:r>
      <w:r>
        <w:rPr>
          <w:w w:val="110"/>
          <w:sz w:val="16"/>
        </w:rPr>
        <w:t>2011).</w:t>
      </w:r>
    </w:p>
    <w:p>
      <w:pPr>
        <w:spacing w:after="0" w:line="242" w:lineRule="auto"/>
        <w:jc w:val="both"/>
        <w:rPr>
          <w:sz w:val="16"/>
        </w:rPr>
        <w:sectPr>
          <w:pgSz w:w="8790" w:h="12760"/>
          <w:pgMar w:header="697" w:footer="725" w:top="880" w:bottom="920" w:left="680" w:right="900"/>
        </w:sectPr>
      </w:pPr>
    </w:p>
    <w:p>
      <w:pPr>
        <w:pStyle w:val="BodyText"/>
        <w:spacing w:before="9"/>
        <w:rPr>
          <w:sz w:val="28"/>
        </w:rPr>
      </w:pPr>
    </w:p>
    <w:p>
      <w:pPr>
        <w:pStyle w:val="BodyText"/>
        <w:spacing w:line="252" w:lineRule="auto" w:before="73"/>
        <w:ind w:left="120" w:right="328"/>
        <w:jc w:val="both"/>
      </w:pPr>
      <w:r>
        <w:rPr>
          <w:w w:val="110"/>
        </w:rPr>
        <w:t>políticas macroeconómicas no ortodoxas como la reintroducción de medidas para controlar la cuenta de capital</w:t>
      </w:r>
      <w:r>
        <w:rPr>
          <w:w w:val="110"/>
          <w:position w:val="6"/>
          <w:sz w:val="11"/>
        </w:rPr>
        <w:t>25</w:t>
      </w:r>
      <w:r>
        <w:rPr>
          <w:w w:val="110"/>
        </w:rPr>
        <w:t>, entre muchas otras, han conformado un nuevo escenario de política macroeconómica, que re- fleja no sólo el estado de la crisis económica reciente, sino que es tam- bién parte de la crisis del patrón económico neoliberal. sin embargo, para el Caribe y a pesar de los esfuerzos de los gobiernos de aplicar políticas anticíclicas, la situación económica ha permanecido comple- ja y con escasos límites de maniobra financiera, al menos dos extre- mos de una subregión en divergencia. recientemente, las perspectivas económicas de la región apuntan a una ralentización del crecimiento en</w:t>
      </w:r>
      <w:r>
        <w:rPr>
          <w:spacing w:val="-5"/>
          <w:w w:val="110"/>
        </w:rPr>
        <w:t> </w:t>
      </w:r>
      <w:r>
        <w:rPr>
          <w:w w:val="110"/>
        </w:rPr>
        <w:t>2014</w:t>
      </w:r>
      <w:r>
        <w:rPr>
          <w:spacing w:val="-5"/>
          <w:w w:val="110"/>
        </w:rPr>
        <w:t> </w:t>
      </w:r>
      <w:r>
        <w:rPr>
          <w:w w:val="110"/>
        </w:rPr>
        <w:t>y</w:t>
      </w:r>
      <w:r>
        <w:rPr>
          <w:spacing w:val="-5"/>
          <w:w w:val="110"/>
        </w:rPr>
        <w:t> </w:t>
      </w:r>
      <w:r>
        <w:rPr>
          <w:w w:val="110"/>
        </w:rPr>
        <w:t>2015,</w:t>
      </w:r>
      <w:r>
        <w:rPr>
          <w:spacing w:val="-5"/>
          <w:w w:val="110"/>
        </w:rPr>
        <w:t> </w:t>
      </w:r>
      <w:r>
        <w:rPr>
          <w:w w:val="110"/>
        </w:rPr>
        <w:t>lo</w:t>
      </w:r>
      <w:r>
        <w:rPr>
          <w:spacing w:val="-5"/>
          <w:w w:val="110"/>
        </w:rPr>
        <w:t> </w:t>
      </w:r>
      <w:r>
        <w:rPr>
          <w:w w:val="110"/>
        </w:rPr>
        <w:t>cual</w:t>
      </w:r>
      <w:r>
        <w:rPr>
          <w:spacing w:val="-5"/>
          <w:w w:val="110"/>
        </w:rPr>
        <w:t> </w:t>
      </w:r>
      <w:r>
        <w:rPr>
          <w:w w:val="110"/>
        </w:rPr>
        <w:t>coincide</w:t>
      </w:r>
      <w:r>
        <w:rPr>
          <w:spacing w:val="-5"/>
          <w:w w:val="110"/>
        </w:rPr>
        <w:t> </w:t>
      </w:r>
      <w:r>
        <w:rPr>
          <w:w w:val="110"/>
        </w:rPr>
        <w:t>de</w:t>
      </w:r>
      <w:r>
        <w:rPr>
          <w:spacing w:val="-5"/>
          <w:w w:val="110"/>
        </w:rPr>
        <w:t> </w:t>
      </w:r>
      <w:r>
        <w:rPr>
          <w:w w:val="110"/>
        </w:rPr>
        <w:t>modo</w:t>
      </w:r>
      <w:r>
        <w:rPr>
          <w:spacing w:val="-5"/>
          <w:w w:val="110"/>
        </w:rPr>
        <w:t> </w:t>
      </w:r>
      <w:r>
        <w:rPr>
          <w:w w:val="110"/>
        </w:rPr>
        <w:t>interesante</w:t>
      </w:r>
      <w:r>
        <w:rPr>
          <w:spacing w:val="-5"/>
          <w:w w:val="110"/>
        </w:rPr>
        <w:t> </w:t>
      </w:r>
      <w:r>
        <w:rPr>
          <w:w w:val="110"/>
        </w:rPr>
        <w:t>con</w:t>
      </w:r>
      <w:r>
        <w:rPr>
          <w:spacing w:val="-5"/>
          <w:w w:val="110"/>
        </w:rPr>
        <w:t> </w:t>
      </w:r>
      <w:r>
        <w:rPr>
          <w:w w:val="110"/>
        </w:rPr>
        <w:t>un</w:t>
      </w:r>
      <w:r>
        <w:rPr>
          <w:spacing w:val="-5"/>
          <w:w w:val="110"/>
        </w:rPr>
        <w:t> </w:t>
      </w:r>
      <w:r>
        <w:rPr>
          <w:w w:val="110"/>
        </w:rPr>
        <w:t>momento de relativa recuperación de la economía estadounidense y de desace- leración económica en China. No obstante, como expresa </w:t>
      </w:r>
      <w:r>
        <w:rPr>
          <w:spacing w:val="-5"/>
          <w:w w:val="110"/>
        </w:rPr>
        <w:t>Von </w:t>
      </w:r>
      <w:r>
        <w:rPr>
          <w:w w:val="110"/>
        </w:rPr>
        <w:t>amir (2011: 57), son los </w:t>
      </w:r>
      <w:r>
        <w:rPr>
          <w:i/>
          <w:w w:val="110"/>
        </w:rPr>
        <w:t>patrones de dependencia </w:t>
      </w:r>
      <w:r>
        <w:rPr>
          <w:w w:val="110"/>
        </w:rPr>
        <w:t>que se expresan a través de la actual arquitectura financiera internacional, buena parte de los medios que continúan perpetuando las tendencias </w:t>
      </w:r>
      <w:r>
        <w:rPr>
          <w:spacing w:val="10"/>
          <w:w w:val="110"/>
        </w:rPr>
        <w:t> </w:t>
      </w:r>
      <w:r>
        <w:rPr>
          <w:w w:val="110"/>
        </w:rPr>
        <w:t>tradicionales.</w:t>
      </w:r>
    </w:p>
    <w:p>
      <w:pPr>
        <w:pStyle w:val="BodyText"/>
        <w:spacing w:line="252" w:lineRule="auto"/>
        <w:ind w:left="120" w:right="327" w:firstLine="396"/>
        <w:jc w:val="both"/>
      </w:pPr>
      <w:r>
        <w:rPr>
          <w:w w:val="115"/>
        </w:rPr>
        <w:t>Esta sección tiene como propósito caracterizar los cambios en la naturaleza e intensidad de la interrelación económica de</w:t>
      </w:r>
      <w:r>
        <w:rPr>
          <w:spacing w:val="-34"/>
          <w:w w:val="115"/>
        </w:rPr>
        <w:t> </w:t>
      </w:r>
      <w:r>
        <w:rPr>
          <w:w w:val="115"/>
        </w:rPr>
        <w:t>américa </w:t>
      </w:r>
      <w:r>
        <w:rPr>
          <w:w w:val="243"/>
        </w:rPr>
        <w:t>l</w:t>
      </w:r>
      <w:r>
        <w:rPr>
          <w:w w:val="111"/>
        </w:rPr>
        <w:t>atina</w:t>
      </w:r>
      <w:r>
        <w:rPr/>
        <w:t> </w:t>
      </w:r>
      <w:r>
        <w:rPr>
          <w:spacing w:val="-21"/>
        </w:rPr>
        <w:t> </w:t>
      </w:r>
      <w:r>
        <w:rPr>
          <w:w w:val="105"/>
        </w:rPr>
        <w:t>y</w:t>
      </w:r>
      <w:r>
        <w:rPr/>
        <w:t> </w:t>
      </w:r>
      <w:r>
        <w:rPr>
          <w:spacing w:val="-21"/>
        </w:rPr>
        <w:t> </w:t>
      </w:r>
      <w:r>
        <w:rPr>
          <w:w w:val="107"/>
        </w:rPr>
        <w:t>el</w:t>
      </w:r>
      <w:r>
        <w:rPr/>
        <w:t> </w:t>
      </w:r>
      <w:r>
        <w:rPr>
          <w:spacing w:val="-21"/>
        </w:rPr>
        <w:t> </w:t>
      </w:r>
      <w:r>
        <w:rPr>
          <w:w w:val="112"/>
        </w:rPr>
        <w:t>Caribe</w:t>
      </w:r>
      <w:r>
        <w:rPr/>
        <w:t> </w:t>
      </w:r>
      <w:r>
        <w:rPr>
          <w:spacing w:val="-21"/>
        </w:rPr>
        <w:t> </w:t>
      </w:r>
      <w:r>
        <w:rPr>
          <w:w w:val="112"/>
        </w:rPr>
        <w:t>con</w:t>
      </w:r>
      <w:r>
        <w:rPr/>
        <w:t> </w:t>
      </w:r>
      <w:r>
        <w:rPr>
          <w:spacing w:val="-21"/>
        </w:rPr>
        <w:t> </w:t>
      </w:r>
      <w:r>
        <w:rPr>
          <w:w w:val="112"/>
        </w:rPr>
        <w:t>un</w:t>
      </w:r>
      <w:r>
        <w:rPr/>
        <w:t> </w:t>
      </w:r>
      <w:r>
        <w:rPr>
          <w:spacing w:val="-21"/>
        </w:rPr>
        <w:t> </w:t>
      </w:r>
      <w:r>
        <w:rPr>
          <w:w w:val="110"/>
        </w:rPr>
        <w:t>actor</w:t>
      </w:r>
      <w:r>
        <w:rPr/>
        <w:t> </w:t>
      </w:r>
      <w:r>
        <w:rPr>
          <w:spacing w:val="-21"/>
        </w:rPr>
        <w:t> </w:t>
      </w:r>
      <w:r>
        <w:rPr>
          <w:w w:val="111"/>
        </w:rPr>
        <w:t>hegemónico</w:t>
      </w:r>
      <w:r>
        <w:rPr/>
        <w:t> </w:t>
      </w:r>
      <w:r>
        <w:rPr>
          <w:spacing w:val="-21"/>
        </w:rPr>
        <w:t> </w:t>
      </w:r>
      <w:r>
        <w:rPr>
          <w:w w:val="111"/>
        </w:rPr>
        <w:t>tradicional</w:t>
      </w:r>
      <w:r>
        <w:rPr/>
        <w:t> </w:t>
      </w:r>
      <w:r>
        <w:rPr>
          <w:spacing w:val="-21"/>
        </w:rPr>
        <w:t> </w:t>
      </w:r>
      <w:r>
        <w:rPr>
          <w:w w:val="107"/>
        </w:rPr>
        <w:t>de</w:t>
      </w:r>
      <w:r>
        <w:rPr/>
        <w:t> </w:t>
      </w:r>
      <w:r>
        <w:rPr>
          <w:spacing w:val="-21"/>
        </w:rPr>
        <w:t> </w:t>
      </w:r>
      <w:r>
        <w:rPr>
          <w:w w:val="111"/>
        </w:rPr>
        <w:t>la</w:t>
      </w:r>
      <w:r>
        <w:rPr/>
        <w:t> </w:t>
      </w:r>
      <w:r>
        <w:rPr>
          <w:spacing w:val="-21"/>
        </w:rPr>
        <w:t> </w:t>
      </w:r>
      <w:r>
        <w:rPr>
          <w:w w:val="111"/>
        </w:rPr>
        <w:t>región, </w:t>
      </w:r>
      <w:r>
        <w:rPr>
          <w:w w:val="111"/>
        </w:rPr>
        <w:t>Estados</w:t>
      </w:r>
      <w:r>
        <w:rPr/>
        <w:t> </w:t>
      </w:r>
      <w:r>
        <w:rPr>
          <w:spacing w:val="-9"/>
        </w:rPr>
        <w:t> </w:t>
      </w:r>
      <w:r>
        <w:rPr>
          <w:w w:val="140"/>
        </w:rPr>
        <w:t>u</w:t>
      </w:r>
      <w:r>
        <w:rPr>
          <w:w w:val="109"/>
        </w:rPr>
        <w:t>nidos;</w:t>
      </w:r>
      <w:r>
        <w:rPr/>
        <w:t> </w:t>
      </w:r>
      <w:r>
        <w:rPr>
          <w:spacing w:val="-9"/>
        </w:rPr>
        <w:t> </w:t>
      </w:r>
      <w:r>
        <w:rPr>
          <w:w w:val="105"/>
        </w:rPr>
        <w:t>y</w:t>
      </w:r>
      <w:r>
        <w:rPr/>
        <w:t> </w:t>
      </w:r>
      <w:r>
        <w:rPr>
          <w:spacing w:val="-9"/>
        </w:rPr>
        <w:t> </w:t>
      </w:r>
      <w:r>
        <w:rPr>
          <w:w w:val="108"/>
        </w:rPr>
        <w:t>por</w:t>
      </w:r>
      <w:r>
        <w:rPr/>
        <w:t> </w:t>
      </w:r>
      <w:r>
        <w:rPr>
          <w:spacing w:val="-9"/>
        </w:rPr>
        <w:t> </w:t>
      </w:r>
      <w:r>
        <w:rPr>
          <w:w w:val="108"/>
        </w:rPr>
        <w:t>otro</w:t>
      </w:r>
      <w:r>
        <w:rPr/>
        <w:t> </w:t>
      </w:r>
      <w:r>
        <w:rPr>
          <w:spacing w:val="-9"/>
        </w:rPr>
        <w:t> </w:t>
      </w:r>
      <w:r>
        <w:rPr>
          <w:w w:val="113"/>
        </w:rPr>
        <w:t>lado,</w:t>
      </w:r>
      <w:r>
        <w:rPr/>
        <w:t> </w:t>
      </w:r>
      <w:r>
        <w:rPr>
          <w:spacing w:val="-9"/>
        </w:rPr>
        <w:t> </w:t>
      </w:r>
      <w:r>
        <w:rPr>
          <w:w w:val="112"/>
        </w:rPr>
        <w:t>un</w:t>
      </w:r>
      <w:r>
        <w:rPr/>
        <w:t> </w:t>
      </w:r>
      <w:r>
        <w:rPr>
          <w:spacing w:val="-9"/>
        </w:rPr>
        <w:t> </w:t>
      </w:r>
      <w:r>
        <w:rPr>
          <w:w w:val="110"/>
        </w:rPr>
        <w:t>actor</w:t>
      </w:r>
      <w:r>
        <w:rPr/>
        <w:t> </w:t>
      </w:r>
      <w:r>
        <w:rPr>
          <w:spacing w:val="-9"/>
        </w:rPr>
        <w:t> </w:t>
      </w:r>
      <w:r>
        <w:rPr>
          <w:w w:val="109"/>
        </w:rPr>
        <w:t>emergente,</w:t>
      </w:r>
      <w:r>
        <w:rPr/>
        <w:t> </w:t>
      </w:r>
      <w:r>
        <w:rPr>
          <w:spacing w:val="-9"/>
        </w:rPr>
        <w:t> </w:t>
      </w:r>
      <w:r>
        <w:rPr>
          <w:w w:val="117"/>
        </w:rPr>
        <w:t>China.</w:t>
      </w:r>
      <w:r>
        <w:rPr/>
        <w:t> </w:t>
      </w:r>
      <w:r>
        <w:rPr>
          <w:spacing w:val="-9"/>
        </w:rPr>
        <w:t> </w:t>
      </w:r>
      <w:r>
        <w:rPr>
          <w:w w:val="243"/>
        </w:rPr>
        <w:t>l</w:t>
      </w:r>
      <w:r>
        <w:rPr>
          <w:w w:val="112"/>
        </w:rPr>
        <w:t>a</w:t>
      </w:r>
      <w:r>
        <w:rPr/>
        <w:t> </w:t>
      </w:r>
      <w:r>
        <w:rPr>
          <w:spacing w:val="-9"/>
        </w:rPr>
        <w:t> </w:t>
      </w:r>
      <w:r>
        <w:rPr>
          <w:w w:val="113"/>
        </w:rPr>
        <w:t>c</w:t>
      </w:r>
      <w:r>
        <w:rPr>
          <w:spacing w:val="-1"/>
          <w:w w:val="113"/>
        </w:rPr>
        <w:t>a</w:t>
      </w:r>
      <w:r>
        <w:rPr>
          <w:w w:val="102"/>
        </w:rPr>
        <w:t>- </w:t>
      </w:r>
      <w:r>
        <w:rPr>
          <w:w w:val="115"/>
        </w:rPr>
        <w:t>racterización</w:t>
      </w:r>
      <w:r>
        <w:rPr>
          <w:spacing w:val="-14"/>
          <w:w w:val="115"/>
        </w:rPr>
        <w:t> </w:t>
      </w:r>
      <w:r>
        <w:rPr>
          <w:w w:val="115"/>
        </w:rPr>
        <w:t>factual</w:t>
      </w:r>
      <w:r>
        <w:rPr>
          <w:spacing w:val="-14"/>
          <w:w w:val="115"/>
        </w:rPr>
        <w:t> </w:t>
      </w:r>
      <w:r>
        <w:rPr>
          <w:w w:val="115"/>
        </w:rPr>
        <w:t>y</w:t>
      </w:r>
      <w:r>
        <w:rPr>
          <w:spacing w:val="-14"/>
          <w:w w:val="115"/>
        </w:rPr>
        <w:t> </w:t>
      </w:r>
      <w:r>
        <w:rPr>
          <w:w w:val="115"/>
        </w:rPr>
        <w:t>analítica</w:t>
      </w:r>
      <w:r>
        <w:rPr>
          <w:spacing w:val="-14"/>
          <w:w w:val="115"/>
        </w:rPr>
        <w:t> </w:t>
      </w:r>
      <w:r>
        <w:rPr>
          <w:w w:val="115"/>
        </w:rPr>
        <w:t>que</w:t>
      </w:r>
      <w:r>
        <w:rPr>
          <w:spacing w:val="-14"/>
          <w:w w:val="115"/>
        </w:rPr>
        <w:t> </w:t>
      </w:r>
      <w:r>
        <w:rPr>
          <w:w w:val="115"/>
        </w:rPr>
        <w:t>se</w:t>
      </w:r>
      <w:r>
        <w:rPr>
          <w:spacing w:val="-14"/>
          <w:w w:val="115"/>
        </w:rPr>
        <w:t> </w:t>
      </w:r>
      <w:r>
        <w:rPr>
          <w:w w:val="115"/>
        </w:rPr>
        <w:t>propone,</w:t>
      </w:r>
      <w:r>
        <w:rPr>
          <w:spacing w:val="-14"/>
          <w:w w:val="115"/>
        </w:rPr>
        <w:t> </w:t>
      </w:r>
      <w:r>
        <w:rPr>
          <w:w w:val="115"/>
        </w:rPr>
        <w:t>a</w:t>
      </w:r>
      <w:r>
        <w:rPr>
          <w:spacing w:val="-14"/>
          <w:w w:val="115"/>
        </w:rPr>
        <w:t> </w:t>
      </w:r>
      <w:r>
        <w:rPr>
          <w:w w:val="115"/>
        </w:rPr>
        <w:t>través</w:t>
      </w:r>
      <w:r>
        <w:rPr>
          <w:spacing w:val="-14"/>
          <w:w w:val="115"/>
        </w:rPr>
        <w:t> </w:t>
      </w:r>
      <w:r>
        <w:rPr>
          <w:w w:val="115"/>
        </w:rPr>
        <w:t>de</w:t>
      </w:r>
      <w:r>
        <w:rPr>
          <w:spacing w:val="-14"/>
          <w:w w:val="115"/>
        </w:rPr>
        <w:t> </w:t>
      </w:r>
      <w:r>
        <w:rPr>
          <w:w w:val="115"/>
        </w:rPr>
        <w:t>un</w:t>
      </w:r>
      <w:r>
        <w:rPr>
          <w:spacing w:val="-14"/>
          <w:w w:val="115"/>
        </w:rPr>
        <w:t> </w:t>
      </w:r>
      <w:r>
        <w:rPr>
          <w:w w:val="115"/>
        </w:rPr>
        <w:t>grupo de rasgos, recoge las tendencias históricas de la región, los</w:t>
      </w:r>
      <w:r>
        <w:rPr>
          <w:spacing w:val="-18"/>
          <w:w w:val="115"/>
        </w:rPr>
        <w:t> </w:t>
      </w:r>
      <w:r>
        <w:rPr>
          <w:w w:val="115"/>
        </w:rPr>
        <w:t>cambios emergentes</w:t>
      </w:r>
      <w:r>
        <w:rPr>
          <w:spacing w:val="-17"/>
          <w:w w:val="115"/>
        </w:rPr>
        <w:t> </w:t>
      </w:r>
      <w:r>
        <w:rPr>
          <w:w w:val="115"/>
        </w:rPr>
        <w:t>en</w:t>
      </w:r>
      <w:r>
        <w:rPr>
          <w:spacing w:val="-17"/>
          <w:w w:val="115"/>
        </w:rPr>
        <w:t> </w:t>
      </w:r>
      <w:r>
        <w:rPr>
          <w:w w:val="115"/>
        </w:rPr>
        <w:t>la</w:t>
      </w:r>
      <w:r>
        <w:rPr>
          <w:spacing w:val="-17"/>
          <w:w w:val="115"/>
        </w:rPr>
        <w:t> </w:t>
      </w:r>
      <w:r>
        <w:rPr>
          <w:w w:val="115"/>
        </w:rPr>
        <w:t>economía</w:t>
      </w:r>
      <w:r>
        <w:rPr>
          <w:spacing w:val="-17"/>
          <w:w w:val="115"/>
        </w:rPr>
        <w:t> </w:t>
      </w:r>
      <w:r>
        <w:rPr>
          <w:w w:val="115"/>
        </w:rPr>
        <w:t>internacional</w:t>
      </w:r>
      <w:r>
        <w:rPr>
          <w:spacing w:val="-17"/>
          <w:w w:val="115"/>
        </w:rPr>
        <w:t> </w:t>
      </w:r>
      <w:r>
        <w:rPr>
          <w:w w:val="115"/>
        </w:rPr>
        <w:t>y</w:t>
      </w:r>
      <w:r>
        <w:rPr>
          <w:spacing w:val="-17"/>
          <w:w w:val="115"/>
        </w:rPr>
        <w:t> </w:t>
      </w:r>
      <w:r>
        <w:rPr>
          <w:w w:val="115"/>
        </w:rPr>
        <w:t>su</w:t>
      </w:r>
      <w:r>
        <w:rPr>
          <w:spacing w:val="-17"/>
          <w:w w:val="115"/>
        </w:rPr>
        <w:t> </w:t>
      </w:r>
      <w:r>
        <w:rPr>
          <w:w w:val="115"/>
        </w:rPr>
        <w:t>impacto</w:t>
      </w:r>
      <w:r>
        <w:rPr>
          <w:spacing w:val="-17"/>
          <w:w w:val="115"/>
        </w:rPr>
        <w:t> </w:t>
      </w:r>
      <w:r>
        <w:rPr>
          <w:w w:val="115"/>
        </w:rPr>
        <w:t>en</w:t>
      </w:r>
      <w:r>
        <w:rPr>
          <w:spacing w:val="-17"/>
          <w:w w:val="115"/>
        </w:rPr>
        <w:t> </w:t>
      </w:r>
      <w:r>
        <w:rPr>
          <w:w w:val="115"/>
        </w:rPr>
        <w:t>las</w:t>
      </w:r>
      <w:r>
        <w:rPr>
          <w:spacing w:val="-17"/>
          <w:w w:val="115"/>
        </w:rPr>
        <w:t> </w:t>
      </w:r>
      <w:r>
        <w:rPr>
          <w:w w:val="115"/>
        </w:rPr>
        <w:t>relacio- nes</w:t>
      </w:r>
      <w:r>
        <w:rPr>
          <w:spacing w:val="-22"/>
          <w:w w:val="115"/>
        </w:rPr>
        <w:t> </w:t>
      </w:r>
      <w:r>
        <w:rPr>
          <w:w w:val="115"/>
        </w:rPr>
        <w:t>bilaterales,</w:t>
      </w:r>
      <w:r>
        <w:rPr>
          <w:spacing w:val="-22"/>
          <w:w w:val="115"/>
        </w:rPr>
        <w:t> </w:t>
      </w:r>
      <w:r>
        <w:rPr>
          <w:w w:val="115"/>
        </w:rPr>
        <w:t>especialmente</w:t>
      </w:r>
      <w:r>
        <w:rPr>
          <w:spacing w:val="-22"/>
          <w:w w:val="115"/>
        </w:rPr>
        <w:t> </w:t>
      </w:r>
      <w:r>
        <w:rPr>
          <w:w w:val="115"/>
        </w:rPr>
        <w:t>en</w:t>
      </w:r>
      <w:r>
        <w:rPr>
          <w:spacing w:val="-22"/>
          <w:w w:val="115"/>
        </w:rPr>
        <w:t> </w:t>
      </w:r>
      <w:r>
        <w:rPr>
          <w:w w:val="115"/>
        </w:rPr>
        <w:t>el</w:t>
      </w:r>
      <w:r>
        <w:rPr>
          <w:spacing w:val="-22"/>
          <w:w w:val="115"/>
        </w:rPr>
        <w:t> </w:t>
      </w:r>
      <w:r>
        <w:rPr>
          <w:w w:val="115"/>
        </w:rPr>
        <w:t>contexto</w:t>
      </w:r>
      <w:r>
        <w:rPr>
          <w:spacing w:val="-22"/>
          <w:w w:val="115"/>
        </w:rPr>
        <w:t> </w:t>
      </w:r>
      <w:r>
        <w:rPr>
          <w:w w:val="115"/>
        </w:rPr>
        <w:t>del</w:t>
      </w:r>
      <w:r>
        <w:rPr>
          <w:spacing w:val="-22"/>
          <w:w w:val="115"/>
        </w:rPr>
        <w:t> </w:t>
      </w:r>
      <w:r>
        <w:rPr>
          <w:w w:val="115"/>
        </w:rPr>
        <w:t>siglo</w:t>
      </w:r>
      <w:r>
        <w:rPr>
          <w:spacing w:val="-22"/>
          <w:w w:val="115"/>
        </w:rPr>
        <w:t> </w:t>
      </w:r>
      <w:r>
        <w:rPr>
          <w:w w:val="150"/>
        </w:rPr>
        <w:t>xxi.</w:t>
      </w:r>
    </w:p>
    <w:p>
      <w:pPr>
        <w:pStyle w:val="BodyText"/>
        <w:spacing w:line="252" w:lineRule="auto"/>
        <w:ind w:left="120" w:right="325" w:firstLine="396"/>
        <w:jc w:val="both"/>
      </w:pPr>
      <w:r>
        <w:rPr>
          <w:w w:val="110"/>
        </w:rPr>
        <w:t>un análisis de la correlación de la actividad económica de amé- </w:t>
      </w:r>
      <w:r>
        <w:rPr>
          <w:spacing w:val="1"/>
          <w:w w:val="112"/>
        </w:rPr>
        <w:t>ric</w:t>
      </w:r>
      <w:r>
        <w:rPr>
          <w:w w:val="112"/>
        </w:rPr>
        <w:t>a</w:t>
      </w:r>
      <w:r>
        <w:rPr/>
        <w:t> </w:t>
      </w:r>
      <w:r>
        <w:rPr>
          <w:spacing w:val="13"/>
        </w:rPr>
        <w:t> </w:t>
      </w:r>
      <w:r>
        <w:rPr>
          <w:spacing w:val="1"/>
          <w:w w:val="243"/>
        </w:rPr>
        <w:t>l</w:t>
      </w:r>
      <w:r>
        <w:rPr>
          <w:spacing w:val="1"/>
          <w:w w:val="111"/>
        </w:rPr>
        <w:t>atin</w:t>
      </w:r>
      <w:r>
        <w:rPr>
          <w:w w:val="111"/>
        </w:rPr>
        <w:t>a</w:t>
      </w:r>
      <w:r>
        <w:rPr/>
        <w:t> </w:t>
      </w:r>
      <w:r>
        <w:rPr>
          <w:spacing w:val="13"/>
        </w:rPr>
        <w:t> </w:t>
      </w:r>
      <w:r>
        <w:rPr>
          <w:w w:val="105"/>
        </w:rPr>
        <w:t>y</w:t>
      </w:r>
      <w:r>
        <w:rPr/>
        <w:t> </w:t>
      </w:r>
      <w:r>
        <w:rPr>
          <w:spacing w:val="13"/>
        </w:rPr>
        <w:t> </w:t>
      </w:r>
      <w:r>
        <w:rPr>
          <w:spacing w:val="1"/>
          <w:w w:val="107"/>
        </w:rPr>
        <w:t>e</w:t>
      </w:r>
      <w:r>
        <w:rPr>
          <w:w w:val="107"/>
        </w:rPr>
        <w:t>l</w:t>
      </w:r>
      <w:r>
        <w:rPr/>
        <w:t> </w:t>
      </w:r>
      <w:r>
        <w:rPr>
          <w:spacing w:val="13"/>
        </w:rPr>
        <w:t> </w:t>
      </w:r>
      <w:r>
        <w:rPr>
          <w:spacing w:val="1"/>
          <w:w w:val="112"/>
        </w:rPr>
        <w:t>Carib</w:t>
      </w:r>
      <w:r>
        <w:rPr>
          <w:w w:val="112"/>
        </w:rPr>
        <w:t>e</w:t>
      </w:r>
      <w:r>
        <w:rPr/>
        <w:t> </w:t>
      </w:r>
      <w:r>
        <w:rPr>
          <w:spacing w:val="13"/>
        </w:rPr>
        <w:t> </w:t>
      </w:r>
      <w:r>
        <w:rPr>
          <w:spacing w:val="1"/>
          <w:w w:val="112"/>
        </w:rPr>
        <w:t>co</w:t>
      </w:r>
      <w:r>
        <w:rPr>
          <w:w w:val="112"/>
        </w:rPr>
        <w:t>n</w:t>
      </w:r>
      <w:r>
        <w:rPr/>
        <w:t> </w:t>
      </w:r>
      <w:r>
        <w:rPr>
          <w:spacing w:val="13"/>
        </w:rPr>
        <w:t> </w:t>
      </w:r>
      <w:r>
        <w:rPr>
          <w:spacing w:val="1"/>
          <w:w w:val="111"/>
        </w:rPr>
        <w:t>Estado</w:t>
      </w:r>
      <w:r>
        <w:rPr>
          <w:w w:val="111"/>
        </w:rPr>
        <w:t>s</w:t>
      </w:r>
      <w:r>
        <w:rPr/>
        <w:t> </w:t>
      </w:r>
      <w:r>
        <w:rPr>
          <w:spacing w:val="13"/>
        </w:rPr>
        <w:t> </w:t>
      </w:r>
      <w:r>
        <w:rPr>
          <w:spacing w:val="1"/>
          <w:w w:val="140"/>
        </w:rPr>
        <w:t>u</w:t>
      </w:r>
      <w:r>
        <w:rPr>
          <w:spacing w:val="1"/>
          <w:w w:val="112"/>
        </w:rPr>
        <w:t>nidos</w:t>
      </w:r>
      <w:r>
        <w:rPr>
          <w:w w:val="112"/>
        </w:rPr>
        <w:t>,</w:t>
      </w:r>
      <w:r>
        <w:rPr/>
        <w:t> </w:t>
      </w:r>
      <w:r>
        <w:rPr>
          <w:spacing w:val="13"/>
        </w:rPr>
        <w:t> </w:t>
      </w:r>
      <w:r>
        <w:rPr>
          <w:spacing w:val="1"/>
          <w:w w:val="111"/>
        </w:rPr>
        <w:t>l</w:t>
      </w:r>
      <w:r>
        <w:rPr>
          <w:w w:val="111"/>
        </w:rPr>
        <w:t>a</w:t>
      </w:r>
      <w:r>
        <w:rPr/>
        <w:t> </w:t>
      </w:r>
      <w:r>
        <w:rPr>
          <w:spacing w:val="13"/>
        </w:rPr>
        <w:t> </w:t>
      </w:r>
      <w:r>
        <w:rPr>
          <w:spacing w:val="1"/>
          <w:w w:val="140"/>
        </w:rPr>
        <w:t>u</w:t>
      </w:r>
      <w:r>
        <w:rPr>
          <w:spacing w:val="1"/>
          <w:w w:val="111"/>
        </w:rPr>
        <w:t>nió</w:t>
      </w:r>
      <w:r>
        <w:rPr>
          <w:w w:val="111"/>
        </w:rPr>
        <w:t>n</w:t>
      </w:r>
      <w:r>
        <w:rPr/>
        <w:t> </w:t>
      </w:r>
      <w:r>
        <w:rPr>
          <w:spacing w:val="13"/>
        </w:rPr>
        <w:t> </w:t>
      </w:r>
      <w:r>
        <w:rPr>
          <w:spacing w:val="1"/>
          <w:w w:val="112"/>
        </w:rPr>
        <w:t>Europe</w:t>
      </w:r>
      <w:r>
        <w:rPr>
          <w:w w:val="112"/>
        </w:rPr>
        <w:t>a</w:t>
      </w:r>
      <w:r>
        <w:rPr/>
        <w:t> </w:t>
      </w:r>
      <w:r>
        <w:rPr>
          <w:spacing w:val="13"/>
        </w:rPr>
        <w:t> </w:t>
      </w:r>
      <w:r>
        <w:rPr>
          <w:w w:val="105"/>
        </w:rPr>
        <w:t>y </w:t>
      </w:r>
      <w:r>
        <w:rPr>
          <w:w w:val="110"/>
        </w:rPr>
        <w:t>China –como puede observarse en el conjunto de Gráficos 1– arroja cuatro </w:t>
      </w:r>
      <w:r>
        <w:rPr>
          <w:i/>
          <w:w w:val="110"/>
        </w:rPr>
        <w:t>ideas-guía </w:t>
      </w:r>
      <w:r>
        <w:rPr>
          <w:w w:val="110"/>
        </w:rPr>
        <w:t>fundamentales de los últimos 30 años. En primer </w:t>
      </w:r>
      <w:r>
        <w:rPr>
          <w:spacing w:val="-3"/>
          <w:w w:val="110"/>
        </w:rPr>
        <w:t>lugar, </w:t>
      </w:r>
      <w:r>
        <w:rPr>
          <w:w w:val="110"/>
        </w:rPr>
        <w:t>que ha habido un crecimiento de la influencia del desempeño económico de estos tres actores sobre la actividad económica de la región en relación con el pasado –aunque con diferentes niveles en dependencia de la subregión que se trata–, en correspondencia con las tendencias de intensificación de la globalización; en segundo lu- </w:t>
      </w:r>
      <w:r>
        <w:rPr>
          <w:spacing w:val="-5"/>
          <w:w w:val="110"/>
        </w:rPr>
        <w:t>gar, </w:t>
      </w:r>
      <w:r>
        <w:rPr>
          <w:w w:val="110"/>
        </w:rPr>
        <w:t>que existe una diferenciación perceptible en cuanto a la intensi- dad de la interrelación económica, donde el crecimiento de la acti- vidad económica de la región se encuentra mucho más fuertemente influida por  Estados  unidos  que  por  la  unión  Europea  y  China  en el período entre 1970 y 2013. En tercer </w:t>
      </w:r>
      <w:r>
        <w:rPr>
          <w:spacing w:val="-3"/>
          <w:w w:val="110"/>
        </w:rPr>
        <w:t>lugar,  </w:t>
      </w:r>
      <w:r>
        <w:rPr>
          <w:w w:val="110"/>
        </w:rPr>
        <w:t>que la correlación de   la</w:t>
      </w:r>
      <w:r>
        <w:rPr>
          <w:spacing w:val="27"/>
          <w:w w:val="110"/>
        </w:rPr>
        <w:t> </w:t>
      </w:r>
      <w:r>
        <w:rPr>
          <w:w w:val="110"/>
        </w:rPr>
        <w:t>actividad</w:t>
      </w:r>
      <w:r>
        <w:rPr>
          <w:spacing w:val="27"/>
          <w:w w:val="110"/>
        </w:rPr>
        <w:t> </w:t>
      </w:r>
      <w:r>
        <w:rPr>
          <w:w w:val="110"/>
        </w:rPr>
        <w:t>económica</w:t>
      </w:r>
      <w:r>
        <w:rPr>
          <w:spacing w:val="27"/>
          <w:w w:val="110"/>
        </w:rPr>
        <w:t> </w:t>
      </w:r>
      <w:r>
        <w:rPr>
          <w:w w:val="110"/>
        </w:rPr>
        <w:t>de</w:t>
      </w:r>
      <w:r>
        <w:rPr>
          <w:spacing w:val="27"/>
          <w:w w:val="110"/>
        </w:rPr>
        <w:t> </w:t>
      </w:r>
      <w:r>
        <w:rPr>
          <w:w w:val="110"/>
        </w:rPr>
        <w:t>la</w:t>
      </w:r>
      <w:r>
        <w:rPr>
          <w:spacing w:val="27"/>
          <w:w w:val="110"/>
        </w:rPr>
        <w:t> </w:t>
      </w:r>
      <w:r>
        <w:rPr>
          <w:w w:val="110"/>
        </w:rPr>
        <w:t>región</w:t>
      </w:r>
      <w:r>
        <w:rPr>
          <w:spacing w:val="27"/>
          <w:w w:val="110"/>
        </w:rPr>
        <w:t> </w:t>
      </w:r>
      <w:r>
        <w:rPr>
          <w:w w:val="110"/>
        </w:rPr>
        <w:t>con</w:t>
      </w:r>
      <w:r>
        <w:rPr>
          <w:spacing w:val="27"/>
          <w:w w:val="110"/>
        </w:rPr>
        <w:t> </w:t>
      </w:r>
      <w:r>
        <w:rPr>
          <w:w w:val="110"/>
        </w:rPr>
        <w:t>China</w:t>
      </w:r>
      <w:r>
        <w:rPr>
          <w:spacing w:val="27"/>
          <w:w w:val="110"/>
        </w:rPr>
        <w:t> </w:t>
      </w:r>
      <w:r>
        <w:rPr>
          <w:w w:val="110"/>
        </w:rPr>
        <w:t>ha</w:t>
      </w:r>
      <w:r>
        <w:rPr>
          <w:spacing w:val="27"/>
          <w:w w:val="110"/>
        </w:rPr>
        <w:t> </w:t>
      </w:r>
      <w:r>
        <w:rPr>
          <w:w w:val="110"/>
        </w:rPr>
        <w:t>crecido</w:t>
      </w:r>
      <w:r>
        <w:rPr>
          <w:spacing w:val="27"/>
          <w:w w:val="110"/>
        </w:rPr>
        <w:t> </w:t>
      </w:r>
      <w:r>
        <w:rPr>
          <w:w w:val="110"/>
        </w:rPr>
        <w:t>desde</w:t>
      </w:r>
      <w:r>
        <w:rPr>
          <w:spacing w:val="27"/>
          <w:w w:val="110"/>
        </w:rPr>
        <w:t> </w:t>
      </w:r>
      <w:r>
        <w:rPr>
          <w:w w:val="110"/>
        </w:rPr>
        <w:t>los</w:t>
      </w:r>
    </w:p>
    <w:p>
      <w:pPr>
        <w:pStyle w:val="BodyText"/>
        <w:spacing w:before="1"/>
        <w:rPr>
          <w:sz w:val="23"/>
        </w:rPr>
      </w:pPr>
      <w:r>
        <w:rPr/>
        <w:pict>
          <v:line style="position:absolute;mso-position-horizontal-relative:page;mso-position-vertical-relative:paragraph;z-index:8992;mso-wrap-distance-left:0;mso-wrap-distance-right:0" from="51.023602pt,15.763631pt" to="79.369602pt,15.763631pt" stroked="true" strokeweight=".5pt" strokecolor="#000000">
            <w10:wrap type="topAndBottom"/>
          </v:line>
        </w:pict>
      </w:r>
    </w:p>
    <w:p>
      <w:pPr>
        <w:pStyle w:val="ListParagraph"/>
        <w:numPr>
          <w:ilvl w:val="0"/>
          <w:numId w:val="35"/>
        </w:numPr>
        <w:tabs>
          <w:tab w:pos="376" w:val="left" w:leader="none"/>
        </w:tabs>
        <w:spacing w:line="242" w:lineRule="auto" w:before="89" w:after="0"/>
        <w:ind w:left="120" w:right="329" w:firstLine="0"/>
        <w:jc w:val="both"/>
        <w:rPr>
          <w:sz w:val="16"/>
        </w:rPr>
      </w:pPr>
      <w:r>
        <w:rPr>
          <w:w w:val="110"/>
          <w:sz w:val="16"/>
        </w:rPr>
        <w:t>se</w:t>
      </w:r>
      <w:r>
        <w:rPr>
          <w:spacing w:val="-15"/>
          <w:w w:val="110"/>
          <w:sz w:val="16"/>
        </w:rPr>
        <w:t> </w:t>
      </w:r>
      <w:r>
        <w:rPr>
          <w:w w:val="110"/>
          <w:sz w:val="16"/>
        </w:rPr>
        <w:t>refiere</w:t>
      </w:r>
      <w:r>
        <w:rPr>
          <w:spacing w:val="-15"/>
          <w:w w:val="110"/>
          <w:sz w:val="16"/>
        </w:rPr>
        <w:t> </w:t>
      </w:r>
      <w:r>
        <w:rPr>
          <w:w w:val="110"/>
          <w:sz w:val="16"/>
        </w:rPr>
        <w:t>fundamentalmente</w:t>
      </w:r>
      <w:r>
        <w:rPr>
          <w:spacing w:val="-15"/>
          <w:w w:val="110"/>
          <w:sz w:val="16"/>
        </w:rPr>
        <w:t> </w:t>
      </w:r>
      <w:r>
        <w:rPr>
          <w:w w:val="110"/>
          <w:sz w:val="16"/>
        </w:rPr>
        <w:t>a</w:t>
      </w:r>
      <w:r>
        <w:rPr>
          <w:spacing w:val="-15"/>
          <w:w w:val="110"/>
          <w:sz w:val="16"/>
        </w:rPr>
        <w:t> </w:t>
      </w:r>
      <w:r>
        <w:rPr>
          <w:w w:val="110"/>
          <w:sz w:val="16"/>
        </w:rPr>
        <w:t>la</w:t>
      </w:r>
      <w:r>
        <w:rPr>
          <w:spacing w:val="-15"/>
          <w:w w:val="110"/>
          <w:sz w:val="16"/>
        </w:rPr>
        <w:t> </w:t>
      </w:r>
      <w:r>
        <w:rPr>
          <w:w w:val="110"/>
          <w:sz w:val="16"/>
        </w:rPr>
        <w:t>salida</w:t>
      </w:r>
      <w:r>
        <w:rPr>
          <w:spacing w:val="-15"/>
          <w:w w:val="110"/>
          <w:sz w:val="16"/>
        </w:rPr>
        <w:t> </w:t>
      </w:r>
      <w:r>
        <w:rPr>
          <w:w w:val="110"/>
          <w:sz w:val="16"/>
        </w:rPr>
        <w:t>de</w:t>
      </w:r>
      <w:r>
        <w:rPr>
          <w:spacing w:val="-15"/>
          <w:w w:val="110"/>
          <w:sz w:val="16"/>
        </w:rPr>
        <w:t> </w:t>
      </w:r>
      <w:r>
        <w:rPr>
          <w:w w:val="110"/>
          <w:sz w:val="16"/>
        </w:rPr>
        <w:t>capitales.</w:t>
      </w:r>
      <w:r>
        <w:rPr>
          <w:spacing w:val="-15"/>
          <w:w w:val="110"/>
          <w:sz w:val="16"/>
        </w:rPr>
        <w:t> </w:t>
      </w:r>
      <w:r>
        <w:rPr>
          <w:w w:val="110"/>
          <w:sz w:val="16"/>
        </w:rPr>
        <w:t>Entre</w:t>
      </w:r>
      <w:r>
        <w:rPr>
          <w:spacing w:val="-15"/>
          <w:w w:val="110"/>
          <w:sz w:val="16"/>
        </w:rPr>
        <w:t> </w:t>
      </w:r>
      <w:r>
        <w:rPr>
          <w:w w:val="110"/>
          <w:sz w:val="16"/>
        </w:rPr>
        <w:t>ellos</w:t>
      </w:r>
      <w:r>
        <w:rPr>
          <w:spacing w:val="-15"/>
          <w:w w:val="110"/>
          <w:sz w:val="16"/>
        </w:rPr>
        <w:t> </w:t>
      </w:r>
      <w:r>
        <w:rPr>
          <w:w w:val="110"/>
          <w:sz w:val="16"/>
        </w:rPr>
        <w:t>destaca</w:t>
      </w:r>
      <w:r>
        <w:rPr>
          <w:spacing w:val="-15"/>
          <w:w w:val="110"/>
          <w:sz w:val="16"/>
        </w:rPr>
        <w:t> </w:t>
      </w:r>
      <w:r>
        <w:rPr>
          <w:w w:val="110"/>
          <w:sz w:val="16"/>
        </w:rPr>
        <w:t>argentina en 2005 y brasil en 2010, mientras que países como China, india, Chile, Colombia e india</w:t>
      </w:r>
      <w:r>
        <w:rPr>
          <w:spacing w:val="-7"/>
          <w:w w:val="110"/>
          <w:sz w:val="16"/>
        </w:rPr>
        <w:t> </w:t>
      </w:r>
      <w:r>
        <w:rPr>
          <w:w w:val="110"/>
          <w:sz w:val="16"/>
        </w:rPr>
        <w:t>han</w:t>
      </w:r>
      <w:r>
        <w:rPr>
          <w:spacing w:val="-7"/>
          <w:w w:val="110"/>
          <w:sz w:val="16"/>
        </w:rPr>
        <w:t> </w:t>
      </w:r>
      <w:r>
        <w:rPr>
          <w:w w:val="110"/>
          <w:sz w:val="16"/>
        </w:rPr>
        <w:t>hecho</w:t>
      </w:r>
      <w:r>
        <w:rPr>
          <w:spacing w:val="-7"/>
          <w:w w:val="110"/>
          <w:sz w:val="16"/>
        </w:rPr>
        <w:t> </w:t>
      </w:r>
      <w:r>
        <w:rPr>
          <w:w w:val="110"/>
          <w:sz w:val="16"/>
        </w:rPr>
        <w:t>uso</w:t>
      </w:r>
      <w:r>
        <w:rPr>
          <w:spacing w:val="-7"/>
          <w:w w:val="110"/>
          <w:sz w:val="16"/>
        </w:rPr>
        <w:t> </w:t>
      </w:r>
      <w:r>
        <w:rPr>
          <w:w w:val="110"/>
          <w:sz w:val="16"/>
        </w:rPr>
        <w:t>de</w:t>
      </w:r>
      <w:r>
        <w:rPr>
          <w:spacing w:val="-7"/>
          <w:w w:val="110"/>
          <w:sz w:val="16"/>
        </w:rPr>
        <w:t> </w:t>
      </w:r>
      <w:r>
        <w:rPr>
          <w:w w:val="110"/>
          <w:sz w:val="16"/>
        </w:rPr>
        <w:t>ello</w:t>
      </w:r>
      <w:r>
        <w:rPr>
          <w:spacing w:val="-7"/>
          <w:w w:val="110"/>
          <w:sz w:val="16"/>
        </w:rPr>
        <w:t> </w:t>
      </w:r>
      <w:r>
        <w:rPr>
          <w:w w:val="110"/>
          <w:sz w:val="16"/>
        </w:rPr>
        <w:t>en</w:t>
      </w:r>
      <w:r>
        <w:rPr>
          <w:spacing w:val="-7"/>
          <w:w w:val="110"/>
          <w:sz w:val="16"/>
        </w:rPr>
        <w:t> </w:t>
      </w:r>
      <w:r>
        <w:rPr>
          <w:w w:val="110"/>
          <w:sz w:val="16"/>
        </w:rPr>
        <w:t>diferentes</w:t>
      </w:r>
      <w:r>
        <w:rPr>
          <w:spacing w:val="-7"/>
          <w:w w:val="110"/>
          <w:sz w:val="16"/>
        </w:rPr>
        <w:t> </w:t>
      </w:r>
      <w:r>
        <w:rPr>
          <w:w w:val="110"/>
          <w:sz w:val="16"/>
        </w:rPr>
        <w:t>momentos</w:t>
      </w:r>
      <w:r>
        <w:rPr>
          <w:spacing w:val="-7"/>
          <w:w w:val="110"/>
          <w:sz w:val="16"/>
        </w:rPr>
        <w:t> </w:t>
      </w:r>
      <w:r>
        <w:rPr>
          <w:w w:val="110"/>
          <w:sz w:val="16"/>
        </w:rPr>
        <w:t>(ocampo</w:t>
      </w:r>
      <w:r>
        <w:rPr>
          <w:spacing w:val="-7"/>
          <w:w w:val="110"/>
          <w:sz w:val="16"/>
        </w:rPr>
        <w:t> </w:t>
      </w:r>
      <w:r>
        <w:rPr>
          <w:w w:val="110"/>
          <w:sz w:val="16"/>
        </w:rPr>
        <w:t>y</w:t>
      </w:r>
      <w:r>
        <w:rPr>
          <w:spacing w:val="-7"/>
          <w:w w:val="110"/>
          <w:sz w:val="16"/>
        </w:rPr>
        <w:t> </w:t>
      </w:r>
      <w:r>
        <w:rPr>
          <w:w w:val="110"/>
          <w:sz w:val="16"/>
        </w:rPr>
        <w:t>Palma,</w:t>
      </w:r>
      <w:r>
        <w:rPr>
          <w:spacing w:val="-7"/>
          <w:w w:val="110"/>
          <w:sz w:val="16"/>
        </w:rPr>
        <w:t> </w:t>
      </w:r>
      <w:r>
        <w:rPr>
          <w:w w:val="110"/>
          <w:sz w:val="16"/>
        </w:rPr>
        <w:t>2008).</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850" w:right="1016"/>
        <w:jc w:val="both"/>
      </w:pPr>
      <w:r>
        <w:rPr>
          <w:w w:val="110"/>
        </w:rPr>
        <w:t>setenta, pero más especialmente desde la última década –alcanzando niveles récord–, en detrimento de la influencia de importantes acto- res tradicionales para la  región.</w:t>
      </w:r>
    </w:p>
    <w:p>
      <w:pPr>
        <w:pStyle w:val="BodyText"/>
      </w:pPr>
    </w:p>
    <w:p>
      <w:pPr>
        <w:spacing w:before="0"/>
        <w:ind w:left="1266" w:right="2170" w:firstLine="0"/>
        <w:jc w:val="center"/>
        <w:rPr>
          <w:rFonts w:ascii="Arial" w:hAnsi="Arial"/>
          <w:b/>
          <w:sz w:val="17"/>
        </w:rPr>
      </w:pPr>
      <w:r>
        <w:rPr>
          <w:rFonts w:ascii="Arial" w:hAnsi="Arial"/>
          <w:b/>
          <w:w w:val="85"/>
          <w:sz w:val="17"/>
        </w:rPr>
        <w:t>Gráficos 1</w:t>
      </w:r>
    </w:p>
    <w:p>
      <w:pPr>
        <w:spacing w:line="249" w:lineRule="auto" w:before="8"/>
        <w:ind w:left="980" w:right="1878" w:firstLine="0"/>
        <w:jc w:val="center"/>
        <w:rPr>
          <w:rFonts w:ascii="Arial" w:hAnsi="Arial"/>
          <w:sz w:val="17"/>
        </w:rPr>
      </w:pPr>
      <w:r>
        <w:rPr>
          <w:rFonts w:ascii="Arial" w:hAnsi="Arial"/>
          <w:w w:val="85"/>
          <w:sz w:val="17"/>
        </w:rPr>
        <w:t>Correlaciones</w:t>
      </w:r>
      <w:r>
        <w:rPr>
          <w:rFonts w:ascii="Arial" w:hAnsi="Arial"/>
          <w:spacing w:val="-16"/>
          <w:w w:val="85"/>
          <w:sz w:val="17"/>
        </w:rPr>
        <w:t> </w:t>
      </w:r>
      <w:r>
        <w:rPr>
          <w:rFonts w:ascii="Arial" w:hAnsi="Arial"/>
          <w:w w:val="85"/>
          <w:sz w:val="17"/>
        </w:rPr>
        <w:t>del</w:t>
      </w:r>
      <w:r>
        <w:rPr>
          <w:rFonts w:ascii="Arial" w:hAnsi="Arial"/>
          <w:spacing w:val="-16"/>
          <w:w w:val="85"/>
          <w:sz w:val="17"/>
        </w:rPr>
        <w:t> </w:t>
      </w:r>
      <w:r>
        <w:rPr>
          <w:rFonts w:ascii="Arial" w:hAnsi="Arial"/>
          <w:w w:val="85"/>
          <w:sz w:val="17"/>
        </w:rPr>
        <w:t>PIB</w:t>
      </w:r>
      <w:r>
        <w:rPr>
          <w:rFonts w:ascii="Arial" w:hAnsi="Arial"/>
          <w:spacing w:val="-16"/>
          <w:w w:val="85"/>
          <w:sz w:val="17"/>
        </w:rPr>
        <w:t> </w:t>
      </w:r>
      <w:r>
        <w:rPr>
          <w:rFonts w:ascii="Arial" w:hAnsi="Arial"/>
          <w:w w:val="85"/>
          <w:sz w:val="17"/>
        </w:rPr>
        <w:t>de</w:t>
      </w:r>
      <w:r>
        <w:rPr>
          <w:rFonts w:ascii="Arial" w:hAnsi="Arial"/>
          <w:spacing w:val="-20"/>
          <w:w w:val="85"/>
          <w:sz w:val="17"/>
        </w:rPr>
        <w:t> </w:t>
      </w:r>
      <w:r>
        <w:rPr>
          <w:rFonts w:ascii="Arial" w:hAnsi="Arial"/>
          <w:w w:val="85"/>
          <w:sz w:val="17"/>
        </w:rPr>
        <w:t>América</w:t>
      </w:r>
      <w:r>
        <w:rPr>
          <w:rFonts w:ascii="Arial" w:hAnsi="Arial"/>
          <w:spacing w:val="-16"/>
          <w:w w:val="85"/>
          <w:sz w:val="17"/>
        </w:rPr>
        <w:t> </w:t>
      </w:r>
      <w:r>
        <w:rPr>
          <w:rFonts w:ascii="Arial" w:hAnsi="Arial"/>
          <w:w w:val="85"/>
          <w:sz w:val="17"/>
        </w:rPr>
        <w:t>Latina</w:t>
      </w:r>
      <w:r>
        <w:rPr>
          <w:rFonts w:ascii="Arial" w:hAnsi="Arial"/>
          <w:spacing w:val="-16"/>
          <w:w w:val="85"/>
          <w:sz w:val="17"/>
        </w:rPr>
        <w:t> </w:t>
      </w:r>
      <w:r>
        <w:rPr>
          <w:rFonts w:ascii="Arial" w:hAnsi="Arial"/>
          <w:w w:val="85"/>
          <w:sz w:val="17"/>
        </w:rPr>
        <w:t>y</w:t>
      </w:r>
      <w:r>
        <w:rPr>
          <w:rFonts w:ascii="Arial" w:hAnsi="Arial"/>
          <w:spacing w:val="-16"/>
          <w:w w:val="85"/>
          <w:sz w:val="17"/>
        </w:rPr>
        <w:t> </w:t>
      </w:r>
      <w:r>
        <w:rPr>
          <w:rFonts w:ascii="Arial" w:hAnsi="Arial"/>
          <w:w w:val="85"/>
          <w:sz w:val="17"/>
        </w:rPr>
        <w:t>el</w:t>
      </w:r>
      <w:r>
        <w:rPr>
          <w:rFonts w:ascii="Arial" w:hAnsi="Arial"/>
          <w:spacing w:val="-16"/>
          <w:w w:val="85"/>
          <w:sz w:val="17"/>
        </w:rPr>
        <w:t> </w:t>
      </w:r>
      <w:r>
        <w:rPr>
          <w:rFonts w:ascii="Arial" w:hAnsi="Arial"/>
          <w:w w:val="85"/>
          <w:sz w:val="17"/>
        </w:rPr>
        <w:t>Caribe</w:t>
      </w:r>
      <w:r>
        <w:rPr>
          <w:rFonts w:ascii="Arial" w:hAnsi="Arial"/>
          <w:spacing w:val="-16"/>
          <w:w w:val="85"/>
          <w:sz w:val="17"/>
        </w:rPr>
        <w:t> </w:t>
      </w:r>
      <w:r>
        <w:rPr>
          <w:rFonts w:ascii="Arial" w:hAnsi="Arial"/>
          <w:w w:val="85"/>
          <w:sz w:val="17"/>
        </w:rPr>
        <w:t>en</w:t>
      </w:r>
      <w:r>
        <w:rPr>
          <w:rFonts w:ascii="Arial" w:hAnsi="Arial"/>
          <w:spacing w:val="-16"/>
          <w:w w:val="85"/>
          <w:sz w:val="17"/>
        </w:rPr>
        <w:t> </w:t>
      </w:r>
      <w:r>
        <w:rPr>
          <w:rFonts w:ascii="Arial" w:hAnsi="Arial"/>
          <w:w w:val="85"/>
          <w:sz w:val="17"/>
        </w:rPr>
        <w:t>relación</w:t>
      </w:r>
      <w:r>
        <w:rPr>
          <w:rFonts w:ascii="Arial" w:hAnsi="Arial"/>
          <w:spacing w:val="-16"/>
          <w:w w:val="85"/>
          <w:sz w:val="17"/>
        </w:rPr>
        <w:t> </w:t>
      </w:r>
      <w:r>
        <w:rPr>
          <w:rFonts w:ascii="Arial" w:hAnsi="Arial"/>
          <w:w w:val="85"/>
          <w:sz w:val="17"/>
        </w:rPr>
        <w:t>con</w:t>
      </w:r>
      <w:r>
        <w:rPr>
          <w:rFonts w:ascii="Arial" w:hAnsi="Arial"/>
          <w:spacing w:val="-16"/>
          <w:w w:val="85"/>
          <w:sz w:val="17"/>
        </w:rPr>
        <w:t> </w:t>
      </w:r>
      <w:r>
        <w:rPr>
          <w:rFonts w:ascii="Arial" w:hAnsi="Arial"/>
          <w:w w:val="85"/>
          <w:sz w:val="17"/>
        </w:rPr>
        <w:t>Estados</w:t>
      </w:r>
      <w:r>
        <w:rPr>
          <w:rFonts w:ascii="Arial" w:hAnsi="Arial"/>
          <w:spacing w:val="-16"/>
          <w:w w:val="85"/>
          <w:sz w:val="17"/>
        </w:rPr>
        <w:t> </w:t>
      </w:r>
      <w:r>
        <w:rPr>
          <w:rFonts w:ascii="Arial" w:hAnsi="Arial"/>
          <w:w w:val="85"/>
          <w:sz w:val="17"/>
        </w:rPr>
        <w:t>Unidos, la</w:t>
      </w:r>
      <w:r>
        <w:rPr>
          <w:rFonts w:ascii="Arial" w:hAnsi="Arial"/>
          <w:spacing w:val="-13"/>
          <w:w w:val="85"/>
          <w:sz w:val="17"/>
        </w:rPr>
        <w:t> </w:t>
      </w:r>
      <w:r>
        <w:rPr>
          <w:rFonts w:ascii="Arial" w:hAnsi="Arial"/>
          <w:w w:val="85"/>
          <w:sz w:val="17"/>
        </w:rPr>
        <w:t>Unión</w:t>
      </w:r>
      <w:r>
        <w:rPr>
          <w:rFonts w:ascii="Arial" w:hAnsi="Arial"/>
          <w:spacing w:val="-13"/>
          <w:w w:val="85"/>
          <w:sz w:val="17"/>
        </w:rPr>
        <w:t> </w:t>
      </w:r>
      <w:r>
        <w:rPr>
          <w:rFonts w:ascii="Arial" w:hAnsi="Arial"/>
          <w:w w:val="85"/>
          <w:sz w:val="17"/>
        </w:rPr>
        <w:t>Europea</w:t>
      </w:r>
      <w:r>
        <w:rPr>
          <w:rFonts w:ascii="Arial" w:hAnsi="Arial"/>
          <w:spacing w:val="-13"/>
          <w:w w:val="85"/>
          <w:sz w:val="17"/>
        </w:rPr>
        <w:t> </w:t>
      </w:r>
      <w:r>
        <w:rPr>
          <w:rFonts w:ascii="Arial" w:hAnsi="Arial"/>
          <w:w w:val="85"/>
          <w:sz w:val="17"/>
        </w:rPr>
        <w:t>y</w:t>
      </w:r>
      <w:r>
        <w:rPr>
          <w:rFonts w:ascii="Arial" w:hAnsi="Arial"/>
          <w:spacing w:val="-13"/>
          <w:w w:val="85"/>
          <w:sz w:val="17"/>
        </w:rPr>
        <w:t> </w:t>
      </w:r>
      <w:r>
        <w:rPr>
          <w:rFonts w:ascii="Arial" w:hAnsi="Arial"/>
          <w:w w:val="85"/>
          <w:sz w:val="17"/>
        </w:rPr>
        <w:t>China,</w:t>
      </w:r>
      <w:r>
        <w:rPr>
          <w:rFonts w:ascii="Arial" w:hAnsi="Arial"/>
          <w:spacing w:val="-17"/>
          <w:w w:val="85"/>
          <w:sz w:val="17"/>
        </w:rPr>
        <w:t> </w:t>
      </w:r>
      <w:r>
        <w:rPr>
          <w:rFonts w:ascii="Arial" w:hAnsi="Arial"/>
          <w:w w:val="85"/>
          <w:sz w:val="17"/>
        </w:rPr>
        <w:t>1961-2013</w:t>
      </w:r>
    </w:p>
    <w:p>
      <w:pPr>
        <w:pStyle w:val="BodyText"/>
        <w:spacing w:before="10"/>
        <w:rPr>
          <w:rFonts w:ascii="Arial"/>
          <w:sz w:val="15"/>
        </w:rPr>
      </w:pPr>
      <w:r>
        <w:rPr/>
        <w:pict>
          <v:line style="position:absolute;mso-position-horizontal-relative:page;mso-position-vertical-relative:paragraph;z-index:9016;mso-wrap-distance-left:0;mso-wrap-distance-right:0" from="39.685101pt,11.603177pt" to="388.346101pt,11.603177pt" stroked="true" strokeweight="1pt" strokecolor="#000000">
            <w10:wrap type="topAndBottom"/>
          </v:line>
        </w:pict>
      </w:r>
    </w:p>
    <w:p>
      <w:pPr>
        <w:pStyle w:val="BodyText"/>
        <w:spacing w:before="4"/>
        <w:rPr>
          <w:rFonts w:ascii="Arial"/>
          <w:sz w:val="10"/>
        </w:rPr>
      </w:pPr>
    </w:p>
    <w:p>
      <w:pPr>
        <w:spacing w:after="0"/>
        <w:rPr>
          <w:rFonts w:ascii="Arial"/>
          <w:sz w:val="10"/>
        </w:rPr>
        <w:sectPr>
          <w:footerReference w:type="default" r:id="rId550"/>
          <w:footerReference w:type="even" r:id="rId551"/>
          <w:pgSz w:w="8790" w:h="12760"/>
          <w:pgMar w:footer="725" w:header="695" w:top="880" w:bottom="920" w:left="680" w:right="0"/>
        </w:sectPr>
      </w:pPr>
    </w:p>
    <w:p>
      <w:pPr>
        <w:pStyle w:val="BodyText"/>
        <w:spacing w:before="3"/>
        <w:rPr>
          <w:rFonts w:ascii="Arial"/>
          <w:sz w:val="8"/>
        </w:rPr>
      </w:pPr>
    </w:p>
    <w:p>
      <w:pPr>
        <w:spacing w:before="0"/>
        <w:ind w:left="890" w:right="1421" w:firstLine="0"/>
        <w:jc w:val="center"/>
        <w:rPr>
          <w:rFonts w:ascii="Arial"/>
          <w:sz w:val="7"/>
        </w:rPr>
      </w:pPr>
      <w:r>
        <w:rPr/>
        <w:drawing>
          <wp:anchor distT="0" distB="0" distL="0" distR="0" allowOverlap="1" layoutInCell="1" locked="0" behindDoc="0" simplePos="0" relativeHeight="9064">
            <wp:simplePos x="0" y="0"/>
            <wp:positionH relativeFrom="page">
              <wp:posOffset>1095127</wp:posOffset>
            </wp:positionH>
            <wp:positionV relativeFrom="paragraph">
              <wp:posOffset>29858</wp:posOffset>
            </wp:positionV>
            <wp:extent cx="920142" cy="1029674"/>
            <wp:effectExtent l="0" t="0" r="0" b="0"/>
            <wp:wrapNone/>
            <wp:docPr id="25" name="image74.png" descr=""/>
            <wp:cNvGraphicFramePr>
              <a:graphicFrameLocks noChangeAspect="1"/>
            </wp:cNvGraphicFramePr>
            <a:graphic>
              <a:graphicData uri="http://schemas.openxmlformats.org/drawingml/2006/picture">
                <pic:pic>
                  <pic:nvPicPr>
                    <pic:cNvPr id="26" name="image74.png"/>
                    <pic:cNvPicPr/>
                  </pic:nvPicPr>
                  <pic:blipFill>
                    <a:blip r:embed="rId552" cstate="print"/>
                    <a:stretch>
                      <a:fillRect/>
                    </a:stretch>
                  </pic:blipFill>
                  <pic:spPr>
                    <a:xfrm>
                      <a:off x="0" y="0"/>
                      <a:ext cx="920142" cy="1029674"/>
                    </a:xfrm>
                    <a:prstGeom prst="rect">
                      <a:avLst/>
                    </a:prstGeom>
                  </pic:spPr>
                </pic:pic>
              </a:graphicData>
            </a:graphic>
          </wp:anchor>
        </w:drawing>
      </w:r>
      <w:r>
        <w:rPr>
          <w:rFonts w:ascii="Arial"/>
          <w:sz w:val="7"/>
        </w:rPr>
        <w:t>.03</w:t>
      </w:r>
    </w:p>
    <w:p>
      <w:pPr>
        <w:pStyle w:val="BodyText"/>
        <w:rPr>
          <w:rFonts w:ascii="Arial"/>
          <w:sz w:val="6"/>
        </w:rPr>
      </w:pPr>
    </w:p>
    <w:p>
      <w:pPr>
        <w:pStyle w:val="BodyText"/>
        <w:rPr>
          <w:rFonts w:ascii="Arial"/>
          <w:sz w:val="6"/>
        </w:rPr>
      </w:pPr>
    </w:p>
    <w:p>
      <w:pPr>
        <w:spacing w:before="45"/>
        <w:ind w:left="890" w:right="1421" w:firstLine="0"/>
        <w:jc w:val="center"/>
        <w:rPr>
          <w:rFonts w:ascii="Arial"/>
          <w:sz w:val="7"/>
        </w:rPr>
      </w:pPr>
      <w:r>
        <w:rPr>
          <w:rFonts w:ascii="Arial"/>
          <w:sz w:val="7"/>
        </w:rPr>
        <w:t>.02</w:t>
      </w:r>
    </w:p>
    <w:p>
      <w:pPr>
        <w:pStyle w:val="BodyText"/>
        <w:rPr>
          <w:rFonts w:ascii="Arial"/>
          <w:sz w:val="6"/>
        </w:rPr>
      </w:pPr>
    </w:p>
    <w:p>
      <w:pPr>
        <w:pStyle w:val="BodyText"/>
        <w:rPr>
          <w:rFonts w:ascii="Arial"/>
          <w:sz w:val="6"/>
        </w:rPr>
      </w:pPr>
    </w:p>
    <w:p>
      <w:pPr>
        <w:spacing w:before="45"/>
        <w:ind w:left="890" w:right="1421" w:firstLine="0"/>
        <w:jc w:val="center"/>
        <w:rPr>
          <w:rFonts w:ascii="Arial"/>
          <w:sz w:val="7"/>
        </w:rPr>
      </w:pPr>
      <w:r>
        <w:rPr/>
        <w:pict>
          <v:shape style="position:absolute;margin-left:71.10791pt;margin-top:.960731pt;width:5.3pt;height:33.8pt;mso-position-horizontal-relative:page;mso-position-vertical-relative:paragraph;z-index:9136" type="#_x0000_t202" filled="false" stroked="false">
            <v:textbox inset="0,0,0,0" style="layout-flow:vertical;mso-layout-flow-alt:bottom-to-top">
              <w:txbxContent>
                <w:p>
                  <w:pPr>
                    <w:spacing w:before="16"/>
                    <w:ind w:left="20" w:right="-195" w:firstLine="0"/>
                    <w:jc w:val="left"/>
                    <w:rPr>
                      <w:rFonts w:ascii="Arial"/>
                      <w:sz w:val="6"/>
                    </w:rPr>
                  </w:pPr>
                  <w:r>
                    <w:rPr>
                      <w:rFonts w:ascii="Arial"/>
                      <w:spacing w:val="-1"/>
                      <w:w w:val="122"/>
                      <w:sz w:val="6"/>
                    </w:rPr>
                    <w:t>H</w:t>
                  </w:r>
                  <w:r>
                    <w:rPr>
                      <w:rFonts w:ascii="Arial"/>
                      <w:w w:val="122"/>
                      <w:sz w:val="6"/>
                    </w:rPr>
                    <w:t>P</w:t>
                  </w:r>
                  <w:r>
                    <w:rPr>
                      <w:rFonts w:ascii="Arial"/>
                      <w:spacing w:val="3"/>
                      <w:sz w:val="6"/>
                    </w:rPr>
                    <w:t> </w:t>
                  </w:r>
                  <w:r>
                    <w:rPr>
                      <w:rFonts w:ascii="Arial"/>
                      <w:spacing w:val="-3"/>
                      <w:w w:val="122"/>
                      <w:sz w:val="6"/>
                    </w:rPr>
                    <w:t>Es</w:t>
                  </w:r>
                  <w:r>
                    <w:rPr>
                      <w:rFonts w:ascii="Arial"/>
                      <w:spacing w:val="2"/>
                      <w:w w:val="122"/>
                      <w:sz w:val="6"/>
                    </w:rPr>
                    <w:t>t</w:t>
                  </w:r>
                  <w:r>
                    <w:rPr>
                      <w:rFonts w:ascii="Arial"/>
                      <w:spacing w:val="-1"/>
                      <w:w w:val="122"/>
                      <w:sz w:val="6"/>
                    </w:rPr>
                    <w:t>a</w:t>
                  </w:r>
                  <w:r>
                    <w:rPr>
                      <w:rFonts w:ascii="Arial"/>
                      <w:w w:val="122"/>
                      <w:sz w:val="6"/>
                    </w:rPr>
                    <w:t>d</w:t>
                  </w:r>
                  <w:r>
                    <w:rPr>
                      <w:rFonts w:ascii="Arial"/>
                      <w:spacing w:val="-1"/>
                      <w:w w:val="122"/>
                      <w:sz w:val="6"/>
                    </w:rPr>
                    <w:t>o</w:t>
                  </w:r>
                  <w:r>
                    <w:rPr>
                      <w:rFonts w:ascii="Arial"/>
                      <w:w w:val="122"/>
                      <w:sz w:val="6"/>
                    </w:rPr>
                    <w:t>s</w:t>
                  </w:r>
                  <w:r>
                    <w:rPr>
                      <w:rFonts w:ascii="Arial"/>
                      <w:spacing w:val="4"/>
                      <w:sz w:val="6"/>
                    </w:rPr>
                    <w:t> </w:t>
                  </w:r>
                  <w:r>
                    <w:rPr>
                      <w:rFonts w:ascii="Arial"/>
                      <w:spacing w:val="-1"/>
                      <w:w w:val="122"/>
                      <w:sz w:val="6"/>
                    </w:rPr>
                    <w:t>Un</w:t>
                  </w:r>
                  <w:r>
                    <w:rPr>
                      <w:rFonts w:ascii="Arial"/>
                      <w:spacing w:val="1"/>
                      <w:w w:val="122"/>
                      <w:sz w:val="6"/>
                    </w:rPr>
                    <w:t>i</w:t>
                  </w:r>
                  <w:r>
                    <w:rPr>
                      <w:rFonts w:ascii="Arial"/>
                      <w:w w:val="122"/>
                      <w:sz w:val="6"/>
                    </w:rPr>
                    <w:t>d</w:t>
                  </w:r>
                  <w:r>
                    <w:rPr>
                      <w:rFonts w:ascii="Arial"/>
                      <w:spacing w:val="-1"/>
                      <w:w w:val="122"/>
                      <w:sz w:val="6"/>
                    </w:rPr>
                    <w:t>o</w:t>
                  </w:r>
                  <w:r>
                    <w:rPr>
                      <w:rFonts w:ascii="Arial"/>
                      <w:w w:val="122"/>
                      <w:sz w:val="6"/>
                    </w:rPr>
                    <w:t>s</w:t>
                  </w:r>
                </w:p>
              </w:txbxContent>
            </v:textbox>
            <w10:wrap type="none"/>
          </v:shape>
        </w:pict>
      </w:r>
      <w:r>
        <w:rPr>
          <w:rFonts w:ascii="Arial"/>
          <w:sz w:val="7"/>
        </w:rPr>
        <w:t>.01</w:t>
      </w:r>
    </w:p>
    <w:p>
      <w:pPr>
        <w:pStyle w:val="BodyText"/>
        <w:rPr>
          <w:rFonts w:ascii="Arial"/>
          <w:sz w:val="6"/>
        </w:rPr>
      </w:pPr>
    </w:p>
    <w:p>
      <w:pPr>
        <w:pStyle w:val="BodyText"/>
        <w:rPr>
          <w:rFonts w:ascii="Arial"/>
          <w:sz w:val="6"/>
        </w:rPr>
      </w:pPr>
    </w:p>
    <w:p>
      <w:pPr>
        <w:spacing w:before="45"/>
        <w:ind w:left="890" w:right="1421" w:firstLine="0"/>
        <w:jc w:val="center"/>
        <w:rPr>
          <w:rFonts w:ascii="Arial"/>
          <w:sz w:val="7"/>
        </w:rPr>
      </w:pPr>
      <w:r>
        <w:rPr>
          <w:rFonts w:ascii="Arial"/>
          <w:sz w:val="7"/>
        </w:rPr>
        <w:t>.00</w:t>
      </w:r>
    </w:p>
    <w:p>
      <w:pPr>
        <w:pStyle w:val="BodyText"/>
        <w:rPr>
          <w:rFonts w:ascii="Arial"/>
          <w:sz w:val="6"/>
        </w:rPr>
      </w:pPr>
    </w:p>
    <w:p>
      <w:pPr>
        <w:pStyle w:val="BodyText"/>
        <w:rPr>
          <w:rFonts w:ascii="Arial"/>
          <w:sz w:val="6"/>
        </w:rPr>
      </w:pPr>
    </w:p>
    <w:p>
      <w:pPr>
        <w:spacing w:before="45"/>
        <w:ind w:left="890" w:right="1442" w:firstLine="0"/>
        <w:jc w:val="center"/>
        <w:rPr>
          <w:rFonts w:ascii="Arial"/>
          <w:sz w:val="7"/>
        </w:rPr>
      </w:pPr>
      <w:r>
        <w:rPr>
          <w:rFonts w:ascii="Arial"/>
          <w:sz w:val="7"/>
        </w:rPr>
        <w:t>-.01</w:t>
      </w:r>
    </w:p>
    <w:p>
      <w:pPr>
        <w:pStyle w:val="BodyText"/>
        <w:rPr>
          <w:rFonts w:ascii="Arial"/>
          <w:sz w:val="6"/>
        </w:rPr>
      </w:pPr>
    </w:p>
    <w:p>
      <w:pPr>
        <w:pStyle w:val="BodyText"/>
        <w:rPr>
          <w:rFonts w:ascii="Arial"/>
          <w:sz w:val="6"/>
        </w:rPr>
      </w:pPr>
    </w:p>
    <w:p>
      <w:pPr>
        <w:spacing w:before="45"/>
        <w:ind w:left="890" w:right="1442" w:firstLine="0"/>
        <w:jc w:val="center"/>
        <w:rPr>
          <w:rFonts w:ascii="Arial"/>
          <w:sz w:val="7"/>
        </w:rPr>
      </w:pPr>
      <w:r>
        <w:rPr>
          <w:rFonts w:ascii="Arial"/>
          <w:sz w:val="7"/>
        </w:rPr>
        <w:t>-.02</w:t>
      </w:r>
    </w:p>
    <w:p>
      <w:pPr>
        <w:pStyle w:val="BodyText"/>
        <w:spacing w:before="2"/>
        <w:rPr>
          <w:rFonts w:ascii="Arial"/>
          <w:sz w:val="8"/>
        </w:rPr>
      </w:pPr>
      <w:r>
        <w:rPr/>
        <w:br w:type="column"/>
      </w:r>
      <w:r>
        <w:rPr>
          <w:rFonts w:ascii="Arial"/>
          <w:sz w:val="8"/>
        </w:rPr>
      </w:r>
    </w:p>
    <w:p>
      <w:pPr>
        <w:spacing w:before="1"/>
        <w:ind w:left="195" w:right="0" w:firstLine="0"/>
        <w:jc w:val="left"/>
        <w:rPr>
          <w:rFonts w:ascii="Arial"/>
          <w:sz w:val="7"/>
        </w:rPr>
      </w:pPr>
      <w:r>
        <w:rPr>
          <w:rFonts w:ascii="Arial"/>
          <w:sz w:val="7"/>
        </w:rPr>
        <w:t>.15</w:t>
      </w:r>
    </w:p>
    <w:p>
      <w:pPr>
        <w:pStyle w:val="BodyText"/>
        <w:rPr>
          <w:rFonts w:ascii="Arial"/>
          <w:sz w:val="6"/>
        </w:rPr>
      </w:pPr>
    </w:p>
    <w:p>
      <w:pPr>
        <w:pStyle w:val="BodyText"/>
        <w:rPr>
          <w:rFonts w:ascii="Arial"/>
          <w:sz w:val="6"/>
        </w:rPr>
      </w:pPr>
    </w:p>
    <w:p>
      <w:pPr>
        <w:spacing w:before="45"/>
        <w:ind w:left="195" w:right="0" w:firstLine="0"/>
        <w:jc w:val="left"/>
        <w:rPr>
          <w:rFonts w:ascii="Arial"/>
          <w:sz w:val="7"/>
        </w:rPr>
      </w:pPr>
      <w:r>
        <w:rPr/>
        <w:drawing>
          <wp:anchor distT="0" distB="0" distL="0" distR="0" allowOverlap="1" layoutInCell="1" locked="0" behindDoc="0" simplePos="0" relativeHeight="9088">
            <wp:simplePos x="0" y="0"/>
            <wp:positionH relativeFrom="page">
              <wp:posOffset>2240262</wp:posOffset>
            </wp:positionH>
            <wp:positionV relativeFrom="paragraph">
              <wp:posOffset>-109049</wp:posOffset>
            </wp:positionV>
            <wp:extent cx="980329" cy="1030773"/>
            <wp:effectExtent l="0" t="0" r="0" b="0"/>
            <wp:wrapNone/>
            <wp:docPr id="27" name="image75.png" descr=""/>
            <wp:cNvGraphicFramePr>
              <a:graphicFrameLocks noChangeAspect="1"/>
            </wp:cNvGraphicFramePr>
            <a:graphic>
              <a:graphicData uri="http://schemas.openxmlformats.org/drawingml/2006/picture">
                <pic:pic>
                  <pic:nvPicPr>
                    <pic:cNvPr id="28" name="image75.png"/>
                    <pic:cNvPicPr/>
                  </pic:nvPicPr>
                  <pic:blipFill>
                    <a:blip r:embed="rId553" cstate="print"/>
                    <a:stretch>
                      <a:fillRect/>
                    </a:stretch>
                  </pic:blipFill>
                  <pic:spPr>
                    <a:xfrm>
                      <a:off x="0" y="0"/>
                      <a:ext cx="980329" cy="1030773"/>
                    </a:xfrm>
                    <a:prstGeom prst="rect">
                      <a:avLst/>
                    </a:prstGeom>
                  </pic:spPr>
                </pic:pic>
              </a:graphicData>
            </a:graphic>
          </wp:anchor>
        </w:drawing>
      </w:r>
      <w:r>
        <w:rPr/>
        <w:pict>
          <v:shape style="position:absolute;margin-left:160.302124pt;margin-top:5.13612pt;width:5.5pt;height:51.8pt;mso-position-horizontal-relative:page;mso-position-vertical-relative:paragraph;z-index:9160" type="#_x0000_t202" filled="false" stroked="false">
            <v:textbox inset="0,0,0,0" style="layout-flow:vertical;mso-layout-flow-alt:bottom-to-top">
              <w:txbxContent>
                <w:p>
                  <w:pPr>
                    <w:spacing w:before="10"/>
                    <w:ind w:left="20" w:right="-176" w:firstLine="0"/>
                    <w:jc w:val="left"/>
                    <w:rPr>
                      <w:rFonts w:ascii="Arial" w:hAnsi="Arial"/>
                      <w:sz w:val="7"/>
                    </w:rPr>
                  </w:pPr>
                  <w:r>
                    <w:rPr>
                      <w:rFonts w:ascii="Arial" w:hAnsi="Arial"/>
                      <w:spacing w:val="-1"/>
                      <w:w w:val="105"/>
                      <w:sz w:val="7"/>
                    </w:rPr>
                    <w:t>H</w:t>
                  </w:r>
                  <w:r>
                    <w:rPr>
                      <w:rFonts w:ascii="Arial" w:hAnsi="Arial"/>
                      <w:w w:val="105"/>
                      <w:sz w:val="7"/>
                    </w:rPr>
                    <w:t>P</w:t>
                  </w:r>
                  <w:r>
                    <w:rPr>
                      <w:rFonts w:ascii="Arial" w:hAnsi="Arial"/>
                      <w:sz w:val="7"/>
                    </w:rPr>
                    <w:t> </w:t>
                  </w:r>
                  <w:r>
                    <w:rPr>
                      <w:rFonts w:ascii="Arial" w:hAnsi="Arial"/>
                      <w:spacing w:val="-3"/>
                      <w:w w:val="105"/>
                      <w:sz w:val="7"/>
                    </w:rPr>
                    <w:t>A</w:t>
                  </w:r>
                  <w:r>
                    <w:rPr>
                      <w:rFonts w:ascii="Arial" w:hAnsi="Arial"/>
                      <w:spacing w:val="2"/>
                      <w:w w:val="105"/>
                      <w:sz w:val="7"/>
                    </w:rPr>
                    <w:t>m</w:t>
                  </w:r>
                  <w:r>
                    <w:rPr>
                      <w:rFonts w:ascii="Arial" w:hAnsi="Arial"/>
                      <w:w w:val="105"/>
                      <w:sz w:val="7"/>
                    </w:rPr>
                    <w:t>é</w:t>
                  </w:r>
                  <w:r>
                    <w:rPr>
                      <w:rFonts w:ascii="Arial" w:hAnsi="Arial"/>
                      <w:spacing w:val="-2"/>
                      <w:w w:val="105"/>
                      <w:sz w:val="7"/>
                    </w:rPr>
                    <w:t>r</w:t>
                  </w:r>
                  <w:r>
                    <w:rPr>
                      <w:rFonts w:ascii="Arial" w:hAnsi="Arial"/>
                      <w:spacing w:val="1"/>
                      <w:w w:val="105"/>
                      <w:sz w:val="7"/>
                    </w:rPr>
                    <w:t>i</w:t>
                  </w:r>
                  <w:r>
                    <w:rPr>
                      <w:rFonts w:ascii="Arial" w:hAnsi="Arial"/>
                      <w:spacing w:val="-3"/>
                      <w:w w:val="105"/>
                      <w:sz w:val="7"/>
                    </w:rPr>
                    <w:t>c</w:t>
                  </w:r>
                  <w:r>
                    <w:rPr>
                      <w:rFonts w:ascii="Arial" w:hAnsi="Arial"/>
                      <w:w w:val="105"/>
                      <w:sz w:val="7"/>
                    </w:rPr>
                    <w:t>a</w:t>
                  </w:r>
                  <w:r>
                    <w:rPr>
                      <w:rFonts w:ascii="Arial" w:hAnsi="Arial"/>
                      <w:spacing w:val="3"/>
                      <w:sz w:val="7"/>
                    </w:rPr>
                    <w:t> </w:t>
                  </w:r>
                  <w:r>
                    <w:rPr>
                      <w:rFonts w:ascii="Arial" w:hAnsi="Arial"/>
                      <w:spacing w:val="-1"/>
                      <w:w w:val="105"/>
                      <w:sz w:val="7"/>
                    </w:rPr>
                    <w:t>L</w:t>
                  </w:r>
                  <w:r>
                    <w:rPr>
                      <w:rFonts w:ascii="Arial" w:hAnsi="Arial"/>
                      <w:w w:val="105"/>
                      <w:sz w:val="7"/>
                    </w:rPr>
                    <w:t>a</w:t>
                  </w:r>
                  <w:r>
                    <w:rPr>
                      <w:rFonts w:ascii="Arial" w:hAnsi="Arial"/>
                      <w:spacing w:val="2"/>
                      <w:w w:val="105"/>
                      <w:sz w:val="7"/>
                    </w:rPr>
                    <w:t>t</w:t>
                  </w:r>
                  <w:r>
                    <w:rPr>
                      <w:rFonts w:ascii="Arial" w:hAnsi="Arial"/>
                      <w:spacing w:val="1"/>
                      <w:w w:val="105"/>
                      <w:sz w:val="7"/>
                    </w:rPr>
                    <w:t>i</w:t>
                  </w:r>
                  <w:r>
                    <w:rPr>
                      <w:rFonts w:ascii="Arial" w:hAnsi="Arial"/>
                      <w:spacing w:val="-1"/>
                      <w:w w:val="105"/>
                      <w:sz w:val="7"/>
                    </w:rPr>
                    <w:t>n</w:t>
                  </w:r>
                  <w:r>
                    <w:rPr>
                      <w:rFonts w:ascii="Arial" w:hAnsi="Arial"/>
                      <w:w w:val="105"/>
                      <w:sz w:val="7"/>
                    </w:rPr>
                    <w:t>a</w:t>
                  </w:r>
                  <w:r>
                    <w:rPr>
                      <w:rFonts w:ascii="Arial" w:hAnsi="Arial"/>
                      <w:spacing w:val="3"/>
                      <w:sz w:val="7"/>
                    </w:rPr>
                    <w:t> </w:t>
                  </w:r>
                  <w:r>
                    <w:rPr>
                      <w:rFonts w:ascii="Arial" w:hAnsi="Arial"/>
                      <w:w w:val="105"/>
                      <w:sz w:val="7"/>
                    </w:rPr>
                    <w:t>y</w:t>
                  </w:r>
                  <w:r>
                    <w:rPr>
                      <w:rFonts w:ascii="Arial" w:hAnsi="Arial"/>
                      <w:spacing w:val="1"/>
                      <w:sz w:val="7"/>
                    </w:rPr>
                    <w:t> </w:t>
                  </w:r>
                  <w:r>
                    <w:rPr>
                      <w:rFonts w:ascii="Arial" w:hAnsi="Arial"/>
                      <w:spacing w:val="-1"/>
                      <w:w w:val="105"/>
                      <w:sz w:val="7"/>
                    </w:rPr>
                    <w:t>e</w:t>
                  </w:r>
                  <w:r>
                    <w:rPr>
                      <w:rFonts w:ascii="Arial" w:hAnsi="Arial"/>
                      <w:w w:val="105"/>
                      <w:sz w:val="7"/>
                    </w:rPr>
                    <w:t>l</w:t>
                  </w:r>
                  <w:r>
                    <w:rPr>
                      <w:rFonts w:ascii="Arial" w:hAnsi="Arial"/>
                      <w:spacing w:val="5"/>
                      <w:sz w:val="7"/>
                    </w:rPr>
                    <w:t> </w:t>
                  </w:r>
                  <w:r>
                    <w:rPr>
                      <w:rFonts w:ascii="Arial" w:hAnsi="Arial"/>
                      <w:spacing w:val="-1"/>
                      <w:w w:val="105"/>
                      <w:sz w:val="7"/>
                    </w:rPr>
                    <w:t>Ca</w:t>
                  </w:r>
                  <w:r>
                    <w:rPr>
                      <w:rFonts w:ascii="Arial" w:hAnsi="Arial"/>
                      <w:spacing w:val="-2"/>
                      <w:w w:val="105"/>
                      <w:sz w:val="7"/>
                    </w:rPr>
                    <w:t>r</w:t>
                  </w:r>
                  <w:r>
                    <w:rPr>
                      <w:rFonts w:ascii="Arial" w:hAnsi="Arial"/>
                      <w:spacing w:val="1"/>
                      <w:w w:val="105"/>
                      <w:sz w:val="7"/>
                    </w:rPr>
                    <w:t>i</w:t>
                  </w:r>
                  <w:r>
                    <w:rPr>
                      <w:rFonts w:ascii="Arial" w:hAnsi="Arial"/>
                      <w:spacing w:val="-1"/>
                      <w:w w:val="105"/>
                      <w:sz w:val="7"/>
                    </w:rPr>
                    <w:t>b</w:t>
                  </w:r>
                  <w:r>
                    <w:rPr>
                      <w:rFonts w:ascii="Arial" w:hAnsi="Arial"/>
                      <w:w w:val="105"/>
                      <w:sz w:val="7"/>
                    </w:rPr>
                    <w:t>e</w:t>
                  </w:r>
                </w:p>
              </w:txbxContent>
            </v:textbox>
            <w10:wrap type="none"/>
          </v:shape>
        </w:pict>
      </w:r>
      <w:r>
        <w:rPr>
          <w:rFonts w:ascii="Arial"/>
          <w:sz w:val="7"/>
        </w:rPr>
        <w:t>.10</w:t>
      </w:r>
    </w:p>
    <w:p>
      <w:pPr>
        <w:pStyle w:val="BodyText"/>
        <w:rPr>
          <w:rFonts w:ascii="Arial"/>
          <w:sz w:val="6"/>
        </w:rPr>
      </w:pPr>
    </w:p>
    <w:p>
      <w:pPr>
        <w:pStyle w:val="BodyText"/>
        <w:rPr>
          <w:rFonts w:ascii="Arial"/>
          <w:sz w:val="6"/>
        </w:rPr>
      </w:pPr>
    </w:p>
    <w:p>
      <w:pPr>
        <w:spacing w:before="45"/>
        <w:ind w:left="195" w:right="0" w:firstLine="0"/>
        <w:jc w:val="left"/>
        <w:rPr>
          <w:rFonts w:ascii="Arial"/>
          <w:sz w:val="7"/>
        </w:rPr>
      </w:pPr>
      <w:r>
        <w:rPr>
          <w:rFonts w:ascii="Arial"/>
          <w:sz w:val="7"/>
        </w:rPr>
        <w:t>.05</w:t>
      </w:r>
    </w:p>
    <w:p>
      <w:pPr>
        <w:pStyle w:val="BodyText"/>
        <w:rPr>
          <w:rFonts w:ascii="Arial"/>
          <w:sz w:val="6"/>
        </w:rPr>
      </w:pPr>
    </w:p>
    <w:p>
      <w:pPr>
        <w:pStyle w:val="BodyText"/>
        <w:rPr>
          <w:rFonts w:ascii="Arial"/>
          <w:sz w:val="6"/>
        </w:rPr>
      </w:pPr>
    </w:p>
    <w:p>
      <w:pPr>
        <w:spacing w:before="45"/>
        <w:ind w:left="195" w:right="0" w:firstLine="0"/>
        <w:jc w:val="left"/>
        <w:rPr>
          <w:rFonts w:ascii="Arial"/>
          <w:sz w:val="7"/>
        </w:rPr>
      </w:pPr>
      <w:r>
        <w:rPr>
          <w:rFonts w:ascii="Arial"/>
          <w:sz w:val="7"/>
        </w:rPr>
        <w:t>.00</w:t>
      </w:r>
    </w:p>
    <w:p>
      <w:pPr>
        <w:pStyle w:val="BodyText"/>
        <w:rPr>
          <w:rFonts w:ascii="Arial"/>
          <w:sz w:val="6"/>
        </w:rPr>
      </w:pPr>
    </w:p>
    <w:p>
      <w:pPr>
        <w:pStyle w:val="BodyText"/>
        <w:rPr>
          <w:rFonts w:ascii="Arial"/>
          <w:sz w:val="6"/>
        </w:rPr>
      </w:pPr>
    </w:p>
    <w:p>
      <w:pPr>
        <w:spacing w:before="46"/>
        <w:ind w:left="173" w:right="0" w:firstLine="0"/>
        <w:jc w:val="left"/>
        <w:rPr>
          <w:rFonts w:ascii="Arial"/>
          <w:sz w:val="7"/>
        </w:rPr>
      </w:pPr>
      <w:r>
        <w:rPr>
          <w:rFonts w:ascii="Arial"/>
          <w:sz w:val="7"/>
        </w:rPr>
        <w:t>-.05</w:t>
      </w:r>
    </w:p>
    <w:p>
      <w:pPr>
        <w:pStyle w:val="BodyText"/>
        <w:rPr>
          <w:rFonts w:ascii="Arial"/>
          <w:sz w:val="6"/>
        </w:rPr>
      </w:pPr>
    </w:p>
    <w:p>
      <w:pPr>
        <w:pStyle w:val="BodyText"/>
        <w:rPr>
          <w:rFonts w:ascii="Arial"/>
          <w:sz w:val="6"/>
        </w:rPr>
      </w:pPr>
    </w:p>
    <w:p>
      <w:pPr>
        <w:spacing w:before="45"/>
        <w:ind w:left="173" w:right="0" w:firstLine="0"/>
        <w:jc w:val="left"/>
        <w:rPr>
          <w:rFonts w:ascii="Arial"/>
          <w:sz w:val="7"/>
        </w:rPr>
      </w:pPr>
      <w:r>
        <w:rPr>
          <w:rFonts w:ascii="Arial"/>
          <w:sz w:val="7"/>
        </w:rPr>
        <w:t>-.10</w:t>
      </w:r>
    </w:p>
    <w:p>
      <w:pPr>
        <w:pStyle w:val="BodyText"/>
        <w:spacing w:before="3"/>
        <w:rPr>
          <w:rFonts w:ascii="Arial"/>
          <w:sz w:val="8"/>
        </w:rPr>
      </w:pPr>
      <w:r>
        <w:rPr/>
        <w:br w:type="column"/>
      </w:r>
      <w:r>
        <w:rPr>
          <w:rFonts w:ascii="Arial"/>
          <w:sz w:val="8"/>
        </w:rPr>
      </w:r>
    </w:p>
    <w:p>
      <w:pPr>
        <w:spacing w:before="0"/>
        <w:ind w:left="178" w:right="0" w:firstLine="0"/>
        <w:jc w:val="left"/>
        <w:rPr>
          <w:rFonts w:ascii="Arial"/>
          <w:sz w:val="7"/>
        </w:rPr>
      </w:pPr>
      <w:r>
        <w:rPr>
          <w:rFonts w:ascii="Arial"/>
          <w:sz w:val="7"/>
        </w:rPr>
        <w:t>.15</w:t>
      </w:r>
    </w:p>
    <w:p>
      <w:pPr>
        <w:pStyle w:val="BodyText"/>
        <w:rPr>
          <w:rFonts w:ascii="Arial"/>
          <w:sz w:val="6"/>
        </w:rPr>
      </w:pPr>
    </w:p>
    <w:p>
      <w:pPr>
        <w:pStyle w:val="BodyText"/>
        <w:rPr>
          <w:rFonts w:ascii="Arial"/>
          <w:sz w:val="6"/>
        </w:rPr>
      </w:pPr>
    </w:p>
    <w:p>
      <w:pPr>
        <w:spacing w:before="45"/>
        <w:ind w:left="178" w:right="0" w:firstLine="0"/>
        <w:jc w:val="left"/>
        <w:rPr>
          <w:rFonts w:ascii="Arial"/>
          <w:sz w:val="7"/>
        </w:rPr>
      </w:pPr>
      <w:r>
        <w:rPr/>
        <w:drawing>
          <wp:anchor distT="0" distB="0" distL="0" distR="0" allowOverlap="1" layoutInCell="1" locked="0" behindDoc="0" simplePos="0" relativeHeight="9112">
            <wp:simplePos x="0" y="0"/>
            <wp:positionH relativeFrom="page">
              <wp:posOffset>3435069</wp:posOffset>
            </wp:positionH>
            <wp:positionV relativeFrom="paragraph">
              <wp:posOffset>-108987</wp:posOffset>
            </wp:positionV>
            <wp:extent cx="982281" cy="1029743"/>
            <wp:effectExtent l="0" t="0" r="0" b="0"/>
            <wp:wrapNone/>
            <wp:docPr id="29" name="image76.png" descr=""/>
            <wp:cNvGraphicFramePr>
              <a:graphicFrameLocks noChangeAspect="1"/>
            </wp:cNvGraphicFramePr>
            <a:graphic>
              <a:graphicData uri="http://schemas.openxmlformats.org/drawingml/2006/picture">
                <pic:pic>
                  <pic:nvPicPr>
                    <pic:cNvPr id="30" name="image76.png"/>
                    <pic:cNvPicPr/>
                  </pic:nvPicPr>
                  <pic:blipFill>
                    <a:blip r:embed="rId554" cstate="print"/>
                    <a:stretch>
                      <a:fillRect/>
                    </a:stretch>
                  </pic:blipFill>
                  <pic:spPr>
                    <a:xfrm>
                      <a:off x="0" y="0"/>
                      <a:ext cx="982281" cy="1029743"/>
                    </a:xfrm>
                    <a:prstGeom prst="rect">
                      <a:avLst/>
                    </a:prstGeom>
                  </pic:spPr>
                </pic:pic>
              </a:graphicData>
            </a:graphic>
          </wp:anchor>
        </w:drawing>
      </w:r>
      <w:r>
        <w:rPr>
          <w:rFonts w:ascii="Arial"/>
          <w:sz w:val="7"/>
        </w:rPr>
        <w:t>.10</w:t>
      </w:r>
    </w:p>
    <w:p>
      <w:pPr>
        <w:pStyle w:val="BodyText"/>
        <w:rPr>
          <w:rFonts w:ascii="Arial"/>
          <w:sz w:val="6"/>
        </w:rPr>
      </w:pPr>
    </w:p>
    <w:p>
      <w:pPr>
        <w:pStyle w:val="BodyText"/>
        <w:rPr>
          <w:rFonts w:ascii="Arial"/>
          <w:sz w:val="6"/>
        </w:rPr>
      </w:pPr>
    </w:p>
    <w:p>
      <w:pPr>
        <w:spacing w:before="45"/>
        <w:ind w:left="178" w:right="0" w:firstLine="0"/>
        <w:jc w:val="left"/>
        <w:rPr>
          <w:rFonts w:ascii="Arial"/>
          <w:sz w:val="7"/>
        </w:rPr>
      </w:pPr>
      <w:r>
        <w:rPr/>
        <w:pict>
          <v:shape style="position:absolute;margin-left:254.387451pt;margin-top:9.037846pt;width:5.5pt;height:17.75pt;mso-position-horizontal-relative:page;mso-position-vertical-relative:paragraph;z-index:9184" type="#_x0000_t202" filled="false" stroked="false">
            <v:textbox inset="0,0,0,0" style="layout-flow:vertical;mso-layout-flow-alt:bottom-to-top">
              <w:txbxContent>
                <w:p>
                  <w:pPr>
                    <w:spacing w:before="11"/>
                    <w:ind w:left="20" w:right="-122" w:firstLine="0"/>
                    <w:jc w:val="left"/>
                    <w:rPr>
                      <w:rFonts w:ascii="Arial"/>
                      <w:sz w:val="7"/>
                    </w:rPr>
                  </w:pPr>
                  <w:r>
                    <w:rPr>
                      <w:rFonts w:ascii="Arial"/>
                      <w:spacing w:val="-1"/>
                      <w:w w:val="105"/>
                      <w:sz w:val="7"/>
                    </w:rPr>
                    <w:t>H</w:t>
                  </w:r>
                  <w:r>
                    <w:rPr>
                      <w:rFonts w:ascii="Arial"/>
                      <w:w w:val="105"/>
                      <w:sz w:val="7"/>
                    </w:rPr>
                    <w:t>P</w:t>
                  </w:r>
                  <w:r>
                    <w:rPr>
                      <w:rFonts w:ascii="Arial"/>
                      <w:sz w:val="7"/>
                    </w:rPr>
                    <w:t> </w:t>
                  </w:r>
                  <w:r>
                    <w:rPr>
                      <w:rFonts w:ascii="Arial"/>
                      <w:spacing w:val="-1"/>
                      <w:w w:val="105"/>
                      <w:sz w:val="7"/>
                    </w:rPr>
                    <w:t>C</w:t>
                  </w:r>
                  <w:r>
                    <w:rPr>
                      <w:rFonts w:ascii="Arial"/>
                      <w:w w:val="105"/>
                      <w:sz w:val="7"/>
                    </w:rPr>
                    <w:t>h</w:t>
                  </w:r>
                  <w:r>
                    <w:rPr>
                      <w:rFonts w:ascii="Arial"/>
                      <w:spacing w:val="1"/>
                      <w:w w:val="105"/>
                      <w:sz w:val="7"/>
                    </w:rPr>
                    <w:t>i</w:t>
                  </w:r>
                  <w:r>
                    <w:rPr>
                      <w:rFonts w:ascii="Arial"/>
                      <w:spacing w:val="-1"/>
                      <w:w w:val="105"/>
                      <w:sz w:val="7"/>
                    </w:rPr>
                    <w:t>n</w:t>
                  </w:r>
                  <w:r>
                    <w:rPr>
                      <w:rFonts w:ascii="Arial"/>
                      <w:w w:val="105"/>
                      <w:sz w:val="7"/>
                    </w:rPr>
                    <w:t>a</w:t>
                  </w:r>
                </w:p>
              </w:txbxContent>
            </v:textbox>
            <w10:wrap type="none"/>
          </v:shape>
        </w:pict>
      </w:r>
      <w:r>
        <w:rPr>
          <w:rFonts w:ascii="Arial"/>
          <w:sz w:val="7"/>
        </w:rPr>
        <w:t>.05</w:t>
      </w:r>
    </w:p>
    <w:p>
      <w:pPr>
        <w:pStyle w:val="BodyText"/>
        <w:rPr>
          <w:rFonts w:ascii="Arial"/>
          <w:sz w:val="6"/>
        </w:rPr>
      </w:pPr>
    </w:p>
    <w:p>
      <w:pPr>
        <w:pStyle w:val="BodyText"/>
        <w:rPr>
          <w:rFonts w:ascii="Arial"/>
          <w:sz w:val="6"/>
        </w:rPr>
      </w:pPr>
    </w:p>
    <w:p>
      <w:pPr>
        <w:spacing w:before="45"/>
        <w:ind w:left="178" w:right="0" w:firstLine="0"/>
        <w:jc w:val="left"/>
        <w:rPr>
          <w:rFonts w:ascii="Arial"/>
          <w:sz w:val="7"/>
        </w:rPr>
      </w:pPr>
      <w:r>
        <w:rPr>
          <w:rFonts w:ascii="Arial"/>
          <w:sz w:val="7"/>
        </w:rPr>
        <w:t>.00</w:t>
      </w:r>
    </w:p>
    <w:p>
      <w:pPr>
        <w:pStyle w:val="BodyText"/>
        <w:rPr>
          <w:rFonts w:ascii="Arial"/>
          <w:sz w:val="6"/>
        </w:rPr>
      </w:pPr>
    </w:p>
    <w:p>
      <w:pPr>
        <w:pStyle w:val="BodyText"/>
        <w:rPr>
          <w:rFonts w:ascii="Arial"/>
          <w:sz w:val="6"/>
        </w:rPr>
      </w:pPr>
    </w:p>
    <w:p>
      <w:pPr>
        <w:spacing w:before="45"/>
        <w:ind w:left="156" w:right="0" w:firstLine="0"/>
        <w:jc w:val="left"/>
        <w:rPr>
          <w:rFonts w:ascii="Arial"/>
          <w:sz w:val="7"/>
        </w:rPr>
      </w:pPr>
      <w:r>
        <w:rPr>
          <w:rFonts w:ascii="Arial"/>
          <w:sz w:val="7"/>
        </w:rPr>
        <w:t>-.05</w:t>
      </w:r>
    </w:p>
    <w:p>
      <w:pPr>
        <w:pStyle w:val="BodyText"/>
        <w:rPr>
          <w:rFonts w:ascii="Arial"/>
          <w:sz w:val="6"/>
        </w:rPr>
      </w:pPr>
    </w:p>
    <w:p>
      <w:pPr>
        <w:pStyle w:val="BodyText"/>
        <w:rPr>
          <w:rFonts w:ascii="Arial"/>
          <w:sz w:val="6"/>
        </w:rPr>
      </w:pPr>
    </w:p>
    <w:p>
      <w:pPr>
        <w:spacing w:before="45"/>
        <w:ind w:left="156" w:right="0" w:firstLine="0"/>
        <w:jc w:val="left"/>
        <w:rPr>
          <w:rFonts w:ascii="Arial"/>
          <w:sz w:val="7"/>
        </w:rPr>
      </w:pPr>
      <w:r>
        <w:rPr>
          <w:rFonts w:ascii="Arial"/>
          <w:sz w:val="7"/>
        </w:rPr>
        <w:t>-.10</w:t>
      </w:r>
    </w:p>
    <w:p>
      <w:pPr>
        <w:spacing w:after="0"/>
        <w:jc w:val="left"/>
        <w:rPr>
          <w:rFonts w:ascii="Arial"/>
          <w:sz w:val="7"/>
        </w:rPr>
        <w:sectPr>
          <w:type w:val="continuous"/>
          <w:pgSz w:w="8790" w:h="12760"/>
          <w:pgMar w:top="360" w:bottom="280" w:left="680" w:right="0"/>
          <w:cols w:num="3" w:equalWidth="0">
            <w:col w:w="2494" w:space="40"/>
            <w:col w:w="1859" w:space="40"/>
            <w:col w:w="3677"/>
          </w:cols>
        </w:sectPr>
      </w:pPr>
    </w:p>
    <w:p>
      <w:pPr>
        <w:pStyle w:val="BodyText"/>
        <w:rPr>
          <w:rFonts w:ascii="Arial"/>
          <w:sz w:val="6"/>
        </w:rPr>
      </w:pPr>
    </w:p>
    <w:p>
      <w:pPr>
        <w:pStyle w:val="BodyText"/>
        <w:rPr>
          <w:rFonts w:ascii="Arial"/>
          <w:sz w:val="6"/>
        </w:rPr>
      </w:pPr>
    </w:p>
    <w:p>
      <w:pPr>
        <w:spacing w:before="45"/>
        <w:ind w:left="890" w:right="1485" w:firstLine="0"/>
        <w:jc w:val="center"/>
        <w:rPr>
          <w:rFonts w:ascii="Arial"/>
          <w:sz w:val="7"/>
        </w:rPr>
      </w:pPr>
      <w:r>
        <w:rPr>
          <w:rFonts w:ascii="Arial"/>
          <w:sz w:val="7"/>
        </w:rPr>
        <w:t>-.03</w:t>
      </w:r>
    </w:p>
    <w:p>
      <w:pPr>
        <w:spacing w:before="11"/>
        <w:ind w:left="1020" w:right="0" w:firstLine="0"/>
        <w:jc w:val="left"/>
        <w:rPr>
          <w:rFonts w:ascii="Arial"/>
          <w:sz w:val="7"/>
        </w:rPr>
      </w:pPr>
      <w:r>
        <w:rPr>
          <w:rFonts w:ascii="Arial"/>
          <w:sz w:val="7"/>
        </w:rPr>
        <w:t>-.15      -.10      -.05      .00       .05       .10      .15</w:t>
      </w:r>
    </w:p>
    <w:p>
      <w:pPr>
        <w:pStyle w:val="BodyText"/>
        <w:rPr>
          <w:rFonts w:ascii="Arial"/>
          <w:sz w:val="6"/>
        </w:rPr>
      </w:pPr>
      <w:r>
        <w:rPr/>
        <w:br w:type="column"/>
      </w:r>
      <w:r>
        <w:rPr>
          <w:rFonts w:ascii="Arial"/>
          <w:sz w:val="6"/>
        </w:rPr>
      </w:r>
    </w:p>
    <w:p>
      <w:pPr>
        <w:pStyle w:val="BodyText"/>
        <w:rPr>
          <w:rFonts w:ascii="Arial"/>
          <w:sz w:val="6"/>
        </w:rPr>
      </w:pPr>
    </w:p>
    <w:p>
      <w:pPr>
        <w:spacing w:before="46"/>
        <w:ind w:left="130" w:right="-18" w:firstLine="0"/>
        <w:jc w:val="left"/>
        <w:rPr>
          <w:rFonts w:ascii="Arial"/>
          <w:sz w:val="7"/>
        </w:rPr>
      </w:pPr>
      <w:r>
        <w:rPr>
          <w:rFonts w:ascii="Arial"/>
          <w:sz w:val="7"/>
        </w:rPr>
        <w:t>-.15</w:t>
      </w:r>
    </w:p>
    <w:p>
      <w:pPr>
        <w:pStyle w:val="BodyText"/>
        <w:rPr>
          <w:rFonts w:ascii="Arial"/>
          <w:sz w:val="6"/>
        </w:rPr>
      </w:pPr>
      <w:r>
        <w:rPr/>
        <w:br w:type="column"/>
      </w:r>
      <w:r>
        <w:rPr>
          <w:rFonts w:ascii="Arial"/>
          <w:sz w:val="6"/>
        </w:rPr>
      </w:r>
    </w:p>
    <w:p>
      <w:pPr>
        <w:pStyle w:val="BodyText"/>
        <w:rPr>
          <w:rFonts w:ascii="Arial"/>
          <w:sz w:val="6"/>
        </w:rPr>
      </w:pPr>
    </w:p>
    <w:p>
      <w:pPr>
        <w:pStyle w:val="BodyText"/>
        <w:rPr>
          <w:rFonts w:ascii="Arial"/>
          <w:sz w:val="6"/>
        </w:rPr>
      </w:pPr>
    </w:p>
    <w:p>
      <w:pPr>
        <w:pStyle w:val="BodyText"/>
        <w:spacing w:before="11"/>
        <w:rPr>
          <w:rFonts w:ascii="Arial"/>
          <w:sz w:val="5"/>
        </w:rPr>
      </w:pPr>
    </w:p>
    <w:p>
      <w:pPr>
        <w:tabs>
          <w:tab w:pos="348" w:val="left" w:leader="none"/>
          <w:tab w:pos="736" w:val="left" w:leader="none"/>
          <w:tab w:pos="1112" w:val="left" w:leader="none"/>
          <w:tab w:pos="1489" w:val="left" w:leader="none"/>
        </w:tabs>
        <w:spacing w:before="0"/>
        <w:ind w:left="-28" w:right="0" w:firstLine="0"/>
        <w:jc w:val="left"/>
        <w:rPr>
          <w:rFonts w:ascii="Arial"/>
          <w:sz w:val="7"/>
        </w:rPr>
      </w:pPr>
      <w:r>
        <w:rPr>
          <w:rFonts w:ascii="Arial"/>
          <w:sz w:val="7"/>
        </w:rPr>
        <w:t>-.2</w:t>
        <w:tab/>
        <w:t>-.1</w:t>
        <w:tab/>
        <w:t>.0</w:t>
        <w:tab/>
        <w:t>.1</w:t>
        <w:tab/>
        <w:t>.2</w:t>
      </w:r>
    </w:p>
    <w:p>
      <w:pPr>
        <w:pStyle w:val="BodyText"/>
        <w:rPr>
          <w:rFonts w:ascii="Arial"/>
          <w:sz w:val="6"/>
        </w:rPr>
      </w:pPr>
      <w:r>
        <w:rPr/>
        <w:br w:type="column"/>
      </w:r>
      <w:r>
        <w:rPr>
          <w:rFonts w:ascii="Arial"/>
          <w:sz w:val="6"/>
        </w:rPr>
      </w:r>
    </w:p>
    <w:p>
      <w:pPr>
        <w:pStyle w:val="BodyText"/>
        <w:rPr>
          <w:rFonts w:ascii="Arial"/>
          <w:sz w:val="6"/>
        </w:rPr>
      </w:pPr>
    </w:p>
    <w:p>
      <w:pPr>
        <w:spacing w:before="45"/>
        <w:ind w:left="129" w:right="0" w:firstLine="0"/>
        <w:jc w:val="left"/>
        <w:rPr>
          <w:rFonts w:ascii="Arial"/>
          <w:sz w:val="7"/>
        </w:rPr>
      </w:pPr>
      <w:r>
        <w:rPr>
          <w:rFonts w:ascii="Arial"/>
          <w:sz w:val="7"/>
        </w:rPr>
        <w:t>-.15</w:t>
      </w:r>
    </w:p>
    <w:p>
      <w:pPr>
        <w:spacing w:before="11"/>
        <w:ind w:left="244" w:right="0" w:firstLine="0"/>
        <w:jc w:val="left"/>
        <w:rPr>
          <w:rFonts w:ascii="Arial"/>
          <w:sz w:val="7"/>
        </w:rPr>
      </w:pPr>
      <w:r>
        <w:rPr>
          <w:rFonts w:ascii="Arial"/>
          <w:sz w:val="7"/>
        </w:rPr>
        <w:t>-.15       -.10       -.05       .00        .05        .10       .15</w:t>
      </w:r>
    </w:p>
    <w:p>
      <w:pPr>
        <w:spacing w:after="0"/>
        <w:jc w:val="left"/>
        <w:rPr>
          <w:rFonts w:ascii="Arial"/>
          <w:sz w:val="7"/>
        </w:rPr>
        <w:sectPr>
          <w:type w:val="continuous"/>
          <w:pgSz w:w="8790" w:h="12760"/>
          <w:pgMar w:top="360" w:bottom="280" w:left="680" w:right="0"/>
          <w:cols w:num="4" w:equalWidth="0">
            <w:col w:w="2537" w:space="40"/>
            <w:col w:w="253" w:space="40"/>
            <w:col w:w="1551" w:space="39"/>
            <w:col w:w="3650"/>
          </w:cols>
        </w:sectPr>
      </w:pPr>
    </w:p>
    <w:p>
      <w:pPr>
        <w:pStyle w:val="BodyText"/>
        <w:rPr>
          <w:rFonts w:ascii="Arial"/>
          <w:sz w:val="6"/>
        </w:rPr>
      </w:pPr>
    </w:p>
    <w:p>
      <w:pPr>
        <w:spacing w:before="34"/>
        <w:ind w:left="1336" w:right="-7" w:firstLine="0"/>
        <w:jc w:val="left"/>
        <w:rPr>
          <w:rFonts w:ascii="Arial" w:hAnsi="Arial"/>
          <w:sz w:val="7"/>
        </w:rPr>
      </w:pPr>
      <w:r>
        <w:rPr>
          <w:rFonts w:ascii="Arial" w:hAnsi="Arial"/>
          <w:sz w:val="7"/>
        </w:rPr>
        <w:t>HP</w:t>
      </w:r>
      <w:r>
        <w:rPr>
          <w:rFonts w:ascii="Arial" w:hAnsi="Arial"/>
          <w:spacing w:val="-10"/>
          <w:sz w:val="7"/>
        </w:rPr>
        <w:t> </w:t>
      </w:r>
      <w:r>
        <w:rPr>
          <w:rFonts w:ascii="Arial" w:hAnsi="Arial"/>
          <w:sz w:val="7"/>
        </w:rPr>
        <w:t>América</w:t>
      </w:r>
      <w:r>
        <w:rPr>
          <w:rFonts w:ascii="Arial" w:hAnsi="Arial"/>
          <w:spacing w:val="-11"/>
          <w:sz w:val="7"/>
        </w:rPr>
        <w:t> </w:t>
      </w:r>
      <w:r>
        <w:rPr>
          <w:rFonts w:ascii="Arial" w:hAnsi="Arial"/>
          <w:sz w:val="7"/>
        </w:rPr>
        <w:t>Latina</w:t>
      </w:r>
      <w:r>
        <w:rPr>
          <w:rFonts w:ascii="Arial" w:hAnsi="Arial"/>
          <w:spacing w:val="-11"/>
          <w:sz w:val="7"/>
        </w:rPr>
        <w:t> </w:t>
      </w:r>
      <w:r>
        <w:rPr>
          <w:rFonts w:ascii="Arial" w:hAnsi="Arial"/>
          <w:sz w:val="7"/>
        </w:rPr>
        <w:t>y</w:t>
      </w:r>
      <w:r>
        <w:rPr>
          <w:rFonts w:ascii="Arial" w:hAnsi="Arial"/>
          <w:spacing w:val="-9"/>
          <w:sz w:val="7"/>
        </w:rPr>
        <w:t> </w:t>
      </w:r>
      <w:r>
        <w:rPr>
          <w:rFonts w:ascii="Arial" w:hAnsi="Arial"/>
          <w:sz w:val="7"/>
        </w:rPr>
        <w:t>el</w:t>
      </w:r>
      <w:r>
        <w:rPr>
          <w:rFonts w:ascii="Arial" w:hAnsi="Arial"/>
          <w:spacing w:val="-10"/>
          <w:sz w:val="7"/>
        </w:rPr>
        <w:t> </w:t>
      </w:r>
      <w:r>
        <w:rPr>
          <w:rFonts w:ascii="Arial" w:hAnsi="Arial"/>
          <w:sz w:val="7"/>
        </w:rPr>
        <w:t>Caribe</w:t>
      </w:r>
    </w:p>
    <w:p>
      <w:pPr>
        <w:pStyle w:val="BodyText"/>
        <w:rPr>
          <w:rFonts w:ascii="Arial"/>
          <w:sz w:val="6"/>
        </w:rPr>
      </w:pPr>
      <w:r>
        <w:rPr/>
        <w:br w:type="column"/>
      </w:r>
      <w:r>
        <w:rPr>
          <w:rFonts w:ascii="Arial"/>
          <w:sz w:val="6"/>
        </w:rPr>
      </w:r>
    </w:p>
    <w:p>
      <w:pPr>
        <w:spacing w:before="34"/>
        <w:ind w:left="1065" w:right="-10" w:firstLine="0"/>
        <w:jc w:val="left"/>
        <w:rPr>
          <w:rFonts w:ascii="Arial" w:hAnsi="Arial"/>
          <w:sz w:val="7"/>
        </w:rPr>
      </w:pPr>
      <w:r>
        <w:rPr>
          <w:rFonts w:ascii="Arial" w:hAnsi="Arial"/>
          <w:sz w:val="7"/>
        </w:rPr>
        <w:t>HP Unión Europea</w:t>
      </w:r>
    </w:p>
    <w:p>
      <w:pPr>
        <w:pStyle w:val="BodyText"/>
        <w:rPr>
          <w:rFonts w:ascii="Arial"/>
          <w:sz w:val="6"/>
        </w:rPr>
      </w:pPr>
      <w:r>
        <w:rPr/>
        <w:br w:type="column"/>
      </w:r>
      <w:r>
        <w:rPr>
          <w:rFonts w:ascii="Arial"/>
          <w:sz w:val="6"/>
        </w:rPr>
      </w:r>
    </w:p>
    <w:p>
      <w:pPr>
        <w:spacing w:before="34"/>
        <w:ind w:left="1067" w:right="0" w:firstLine="0"/>
        <w:jc w:val="left"/>
        <w:rPr>
          <w:rFonts w:ascii="Arial" w:hAnsi="Arial"/>
          <w:sz w:val="7"/>
        </w:rPr>
      </w:pPr>
      <w:r>
        <w:rPr>
          <w:rFonts w:ascii="Arial" w:hAnsi="Arial"/>
          <w:sz w:val="7"/>
        </w:rPr>
        <w:t>HP América Latina y el Caribe</w:t>
      </w:r>
    </w:p>
    <w:p>
      <w:pPr>
        <w:spacing w:after="0"/>
        <w:jc w:val="left"/>
        <w:rPr>
          <w:rFonts w:ascii="Arial" w:hAnsi="Arial"/>
          <w:sz w:val="7"/>
        </w:rPr>
        <w:sectPr>
          <w:type w:val="continuous"/>
          <w:pgSz w:w="8790" w:h="12760"/>
          <w:pgMar w:top="360" w:bottom="280" w:left="680" w:right="0"/>
          <w:cols w:num="3" w:equalWidth="0">
            <w:col w:w="2236" w:space="40"/>
            <w:col w:w="1659" w:space="40"/>
            <w:col w:w="4135"/>
          </w:cols>
        </w:sectPr>
      </w:pPr>
    </w:p>
    <w:p>
      <w:pPr>
        <w:pStyle w:val="BodyText"/>
        <w:spacing w:before="2"/>
        <w:rPr>
          <w:rFonts w:ascii="Arial"/>
          <w:sz w:val="21"/>
        </w:rPr>
      </w:pPr>
    </w:p>
    <w:p>
      <w:pPr>
        <w:pStyle w:val="BodyText"/>
        <w:spacing w:line="20" w:lineRule="exact"/>
        <w:ind w:left="103"/>
        <w:rPr>
          <w:rFonts w:ascii="Arial"/>
          <w:sz w:val="2"/>
        </w:rPr>
      </w:pPr>
      <w:r>
        <w:rPr>
          <w:rFonts w:ascii="Arial"/>
          <w:sz w:val="2"/>
        </w:rPr>
        <w:pict>
          <v:group style="width:349.7pt;height:1pt;mso-position-horizontal-relative:char;mso-position-vertical-relative:line" coordorigin="0,0" coordsize="6994,20">
            <v:line style="position:absolute" from="10,10" to="6983,10" stroked="true" strokeweight="1pt" strokecolor="#000000"/>
          </v:group>
        </w:pict>
      </w:r>
      <w:r>
        <w:rPr>
          <w:rFonts w:ascii="Arial"/>
          <w:sz w:val="2"/>
        </w:rPr>
      </w:r>
    </w:p>
    <w:p>
      <w:pPr>
        <w:spacing w:before="52"/>
        <w:ind w:left="113" w:right="1016" w:firstLine="0"/>
        <w:jc w:val="left"/>
        <w:rPr>
          <w:rFonts w:ascii="Arial" w:hAnsi="Arial"/>
          <w:sz w:val="14"/>
        </w:rPr>
      </w:pPr>
      <w:r>
        <w:rPr>
          <w:rFonts w:ascii="Arial" w:hAnsi="Arial"/>
          <w:w w:val="85"/>
          <w:sz w:val="14"/>
        </w:rPr>
        <w:t>Fuente: Elaborado por la autora a partir de las bases de datos estadísticas del Banco Mundial (2013).</w:t>
      </w:r>
    </w:p>
    <w:p>
      <w:pPr>
        <w:spacing w:line="249" w:lineRule="auto" w:before="7"/>
        <w:ind w:left="113" w:right="1016" w:firstLine="0"/>
        <w:jc w:val="left"/>
        <w:rPr>
          <w:rFonts w:ascii="Arial" w:hAnsi="Arial"/>
          <w:sz w:val="14"/>
        </w:rPr>
      </w:pPr>
      <w:r>
        <w:rPr>
          <w:rFonts w:ascii="Arial" w:hAnsi="Arial"/>
          <w:w w:val="85"/>
          <w:sz w:val="14"/>
        </w:rPr>
        <w:t>En</w:t>
      </w:r>
      <w:r>
        <w:rPr>
          <w:rFonts w:ascii="Arial" w:hAnsi="Arial"/>
          <w:spacing w:val="-11"/>
          <w:w w:val="85"/>
          <w:sz w:val="14"/>
        </w:rPr>
        <w:t> </w:t>
      </w:r>
      <w:r>
        <w:rPr>
          <w:rFonts w:ascii="Arial" w:hAnsi="Arial"/>
          <w:w w:val="85"/>
          <w:sz w:val="14"/>
        </w:rPr>
        <w:t>este</w:t>
      </w:r>
      <w:r>
        <w:rPr>
          <w:rFonts w:ascii="Arial" w:hAnsi="Arial"/>
          <w:spacing w:val="-11"/>
          <w:w w:val="85"/>
          <w:sz w:val="14"/>
        </w:rPr>
        <w:t> </w:t>
      </w:r>
      <w:r>
        <w:rPr>
          <w:rFonts w:ascii="Arial" w:hAnsi="Arial"/>
          <w:w w:val="85"/>
          <w:sz w:val="14"/>
        </w:rPr>
        <w:t>caso,</w:t>
      </w:r>
      <w:r>
        <w:rPr>
          <w:rFonts w:ascii="Arial" w:hAnsi="Arial"/>
          <w:spacing w:val="-15"/>
          <w:w w:val="85"/>
          <w:sz w:val="14"/>
        </w:rPr>
        <w:t> </w:t>
      </w:r>
      <w:r>
        <w:rPr>
          <w:rFonts w:ascii="Arial" w:hAnsi="Arial"/>
          <w:w w:val="85"/>
          <w:sz w:val="14"/>
        </w:rPr>
        <w:t>la</w:t>
      </w:r>
      <w:r>
        <w:rPr>
          <w:rFonts w:ascii="Arial" w:hAnsi="Arial"/>
          <w:spacing w:val="-11"/>
          <w:w w:val="85"/>
          <w:sz w:val="14"/>
        </w:rPr>
        <w:t> </w:t>
      </w:r>
      <w:r>
        <w:rPr>
          <w:rFonts w:ascii="Arial" w:hAnsi="Arial"/>
          <w:w w:val="85"/>
          <w:sz w:val="14"/>
        </w:rPr>
        <w:t>correlación</w:t>
      </w:r>
      <w:r>
        <w:rPr>
          <w:rFonts w:ascii="Arial" w:hAnsi="Arial"/>
          <w:spacing w:val="-11"/>
          <w:w w:val="85"/>
          <w:sz w:val="14"/>
        </w:rPr>
        <w:t> </w:t>
      </w:r>
      <w:r>
        <w:rPr>
          <w:rFonts w:ascii="Arial" w:hAnsi="Arial"/>
          <w:w w:val="85"/>
          <w:sz w:val="14"/>
        </w:rPr>
        <w:t>se</w:t>
      </w:r>
      <w:r>
        <w:rPr>
          <w:rFonts w:ascii="Arial" w:hAnsi="Arial"/>
          <w:spacing w:val="-11"/>
          <w:w w:val="85"/>
          <w:sz w:val="14"/>
        </w:rPr>
        <w:t> </w:t>
      </w:r>
      <w:r>
        <w:rPr>
          <w:rFonts w:ascii="Arial" w:hAnsi="Arial"/>
          <w:w w:val="85"/>
          <w:sz w:val="14"/>
        </w:rPr>
        <w:t>realizó</w:t>
      </w:r>
      <w:r>
        <w:rPr>
          <w:rFonts w:ascii="Arial" w:hAnsi="Arial"/>
          <w:spacing w:val="-11"/>
          <w:w w:val="85"/>
          <w:sz w:val="14"/>
        </w:rPr>
        <w:t> </w:t>
      </w:r>
      <w:r>
        <w:rPr>
          <w:rFonts w:ascii="Arial" w:hAnsi="Arial"/>
          <w:w w:val="85"/>
          <w:sz w:val="14"/>
        </w:rPr>
        <w:t>con</w:t>
      </w:r>
      <w:r>
        <w:rPr>
          <w:rFonts w:ascii="Arial" w:hAnsi="Arial"/>
          <w:spacing w:val="-11"/>
          <w:w w:val="85"/>
          <w:sz w:val="14"/>
        </w:rPr>
        <w:t> </w:t>
      </w:r>
      <w:r>
        <w:rPr>
          <w:rFonts w:ascii="Arial" w:hAnsi="Arial"/>
          <w:w w:val="85"/>
          <w:sz w:val="14"/>
        </w:rPr>
        <w:t>las</w:t>
      </w:r>
      <w:r>
        <w:rPr>
          <w:rFonts w:ascii="Arial" w:hAnsi="Arial"/>
          <w:spacing w:val="-11"/>
          <w:w w:val="85"/>
          <w:sz w:val="14"/>
        </w:rPr>
        <w:t> </w:t>
      </w:r>
      <w:r>
        <w:rPr>
          <w:rFonts w:ascii="Arial" w:hAnsi="Arial"/>
          <w:w w:val="85"/>
          <w:sz w:val="14"/>
        </w:rPr>
        <w:t>series</w:t>
      </w:r>
      <w:r>
        <w:rPr>
          <w:rFonts w:ascii="Arial" w:hAnsi="Arial"/>
          <w:spacing w:val="-11"/>
          <w:w w:val="85"/>
          <w:sz w:val="14"/>
        </w:rPr>
        <w:t> </w:t>
      </w:r>
      <w:r>
        <w:rPr>
          <w:rFonts w:ascii="Arial" w:hAnsi="Arial"/>
          <w:w w:val="85"/>
          <w:sz w:val="14"/>
        </w:rPr>
        <w:t>del</w:t>
      </w:r>
      <w:r>
        <w:rPr>
          <w:rFonts w:ascii="Arial" w:hAnsi="Arial"/>
          <w:spacing w:val="-11"/>
          <w:w w:val="85"/>
          <w:sz w:val="14"/>
        </w:rPr>
        <w:t> </w:t>
      </w:r>
      <w:r>
        <w:rPr>
          <w:rFonts w:ascii="Arial" w:hAnsi="Arial"/>
          <w:w w:val="85"/>
          <w:sz w:val="14"/>
        </w:rPr>
        <w:t>PIB</w:t>
      </w:r>
      <w:r>
        <w:rPr>
          <w:rFonts w:ascii="Arial" w:hAnsi="Arial"/>
          <w:spacing w:val="-11"/>
          <w:w w:val="85"/>
          <w:sz w:val="14"/>
        </w:rPr>
        <w:t> </w:t>
      </w:r>
      <w:r>
        <w:rPr>
          <w:rFonts w:ascii="Arial" w:hAnsi="Arial"/>
          <w:w w:val="85"/>
          <w:sz w:val="14"/>
        </w:rPr>
        <w:t>de</w:t>
      </w:r>
      <w:r>
        <w:rPr>
          <w:rFonts w:ascii="Arial" w:hAnsi="Arial"/>
          <w:spacing w:val="-15"/>
          <w:w w:val="85"/>
          <w:sz w:val="14"/>
        </w:rPr>
        <w:t> </w:t>
      </w:r>
      <w:r>
        <w:rPr>
          <w:rFonts w:ascii="Arial" w:hAnsi="Arial"/>
          <w:w w:val="85"/>
          <w:sz w:val="14"/>
        </w:rPr>
        <w:t>América</w:t>
      </w:r>
      <w:r>
        <w:rPr>
          <w:rFonts w:ascii="Arial" w:hAnsi="Arial"/>
          <w:spacing w:val="-11"/>
          <w:w w:val="85"/>
          <w:sz w:val="14"/>
        </w:rPr>
        <w:t> </w:t>
      </w:r>
      <w:r>
        <w:rPr>
          <w:rFonts w:ascii="Arial" w:hAnsi="Arial"/>
          <w:w w:val="85"/>
          <w:sz w:val="14"/>
        </w:rPr>
        <w:t>Latina</w:t>
      </w:r>
      <w:r>
        <w:rPr>
          <w:rFonts w:ascii="Arial" w:hAnsi="Arial"/>
          <w:spacing w:val="-11"/>
          <w:w w:val="85"/>
          <w:sz w:val="14"/>
        </w:rPr>
        <w:t> </w:t>
      </w:r>
      <w:r>
        <w:rPr>
          <w:rFonts w:ascii="Arial" w:hAnsi="Arial"/>
          <w:w w:val="85"/>
          <w:sz w:val="14"/>
        </w:rPr>
        <w:t>y</w:t>
      </w:r>
      <w:r>
        <w:rPr>
          <w:rFonts w:ascii="Arial" w:hAnsi="Arial"/>
          <w:spacing w:val="-11"/>
          <w:w w:val="85"/>
          <w:sz w:val="14"/>
        </w:rPr>
        <w:t> </w:t>
      </w:r>
      <w:r>
        <w:rPr>
          <w:rFonts w:ascii="Arial" w:hAnsi="Arial"/>
          <w:w w:val="85"/>
          <w:sz w:val="14"/>
        </w:rPr>
        <w:t>el</w:t>
      </w:r>
      <w:r>
        <w:rPr>
          <w:rFonts w:ascii="Arial" w:hAnsi="Arial"/>
          <w:spacing w:val="-11"/>
          <w:w w:val="85"/>
          <w:sz w:val="14"/>
        </w:rPr>
        <w:t> </w:t>
      </w:r>
      <w:r>
        <w:rPr>
          <w:rFonts w:ascii="Arial" w:hAnsi="Arial"/>
          <w:w w:val="85"/>
          <w:sz w:val="14"/>
        </w:rPr>
        <w:t>Caribe,</w:t>
      </w:r>
      <w:r>
        <w:rPr>
          <w:rFonts w:ascii="Arial" w:hAnsi="Arial"/>
          <w:spacing w:val="-15"/>
          <w:w w:val="85"/>
          <w:sz w:val="14"/>
        </w:rPr>
        <w:t> </w:t>
      </w:r>
      <w:r>
        <w:rPr>
          <w:rFonts w:ascii="Arial" w:hAnsi="Arial"/>
          <w:w w:val="85"/>
          <w:sz w:val="14"/>
        </w:rPr>
        <w:t>Estados</w:t>
      </w:r>
      <w:r>
        <w:rPr>
          <w:rFonts w:ascii="Arial" w:hAnsi="Arial"/>
          <w:spacing w:val="-11"/>
          <w:w w:val="85"/>
          <w:sz w:val="14"/>
        </w:rPr>
        <w:t> </w:t>
      </w:r>
      <w:r>
        <w:rPr>
          <w:rFonts w:ascii="Arial" w:hAnsi="Arial"/>
          <w:w w:val="85"/>
          <w:sz w:val="14"/>
        </w:rPr>
        <w:t>Unidos,</w:t>
      </w:r>
      <w:r>
        <w:rPr>
          <w:rFonts w:ascii="Arial" w:hAnsi="Arial"/>
          <w:spacing w:val="-15"/>
          <w:w w:val="85"/>
          <w:sz w:val="14"/>
        </w:rPr>
        <w:t> </w:t>
      </w:r>
      <w:r>
        <w:rPr>
          <w:rFonts w:ascii="Arial" w:hAnsi="Arial"/>
          <w:w w:val="85"/>
          <w:sz w:val="14"/>
        </w:rPr>
        <w:t>la</w:t>
      </w:r>
      <w:r>
        <w:rPr>
          <w:rFonts w:ascii="Arial" w:hAnsi="Arial"/>
          <w:spacing w:val="-11"/>
          <w:w w:val="85"/>
          <w:sz w:val="14"/>
        </w:rPr>
        <w:t> </w:t>
      </w:r>
      <w:r>
        <w:rPr>
          <w:rFonts w:ascii="Arial" w:hAnsi="Arial"/>
          <w:w w:val="85"/>
          <w:sz w:val="14"/>
        </w:rPr>
        <w:t>Unión</w:t>
      </w:r>
      <w:r>
        <w:rPr>
          <w:rFonts w:ascii="Arial" w:hAnsi="Arial"/>
          <w:spacing w:val="-11"/>
          <w:w w:val="85"/>
          <w:sz w:val="14"/>
        </w:rPr>
        <w:t> </w:t>
      </w:r>
      <w:r>
        <w:rPr>
          <w:rFonts w:ascii="Arial" w:hAnsi="Arial"/>
          <w:w w:val="85"/>
          <w:sz w:val="14"/>
        </w:rPr>
        <w:t>Europea</w:t>
      </w:r>
      <w:r>
        <w:rPr>
          <w:rFonts w:ascii="Arial" w:hAnsi="Arial"/>
          <w:spacing w:val="-11"/>
          <w:w w:val="85"/>
          <w:sz w:val="14"/>
        </w:rPr>
        <w:t> </w:t>
      </w:r>
      <w:r>
        <w:rPr>
          <w:rFonts w:ascii="Arial" w:hAnsi="Arial"/>
          <w:w w:val="85"/>
          <w:sz w:val="14"/>
        </w:rPr>
        <w:t>y</w:t>
      </w:r>
      <w:r>
        <w:rPr>
          <w:rFonts w:ascii="Arial" w:hAnsi="Arial"/>
          <w:spacing w:val="-11"/>
          <w:w w:val="85"/>
          <w:sz w:val="14"/>
        </w:rPr>
        <w:t> </w:t>
      </w:r>
      <w:r>
        <w:rPr>
          <w:rFonts w:ascii="Arial" w:hAnsi="Arial"/>
          <w:w w:val="85"/>
          <w:sz w:val="14"/>
        </w:rPr>
        <w:t>China,</w:t>
      </w:r>
      <w:r>
        <w:rPr>
          <w:rFonts w:ascii="Arial" w:hAnsi="Arial"/>
          <w:spacing w:val="-15"/>
          <w:w w:val="85"/>
          <w:sz w:val="14"/>
        </w:rPr>
        <w:t> </w:t>
      </w:r>
      <w:r>
        <w:rPr>
          <w:rFonts w:ascii="Arial" w:hAnsi="Arial"/>
          <w:w w:val="85"/>
          <w:sz w:val="14"/>
        </w:rPr>
        <w:t>a </w:t>
      </w:r>
      <w:r>
        <w:rPr>
          <w:rFonts w:ascii="Arial" w:hAnsi="Arial"/>
          <w:w w:val="90"/>
          <w:sz w:val="14"/>
        </w:rPr>
        <w:t>las</w:t>
      </w:r>
      <w:r>
        <w:rPr>
          <w:rFonts w:ascii="Arial" w:hAnsi="Arial"/>
          <w:spacing w:val="-22"/>
          <w:w w:val="90"/>
          <w:sz w:val="14"/>
        </w:rPr>
        <w:t> </w:t>
      </w:r>
      <w:r>
        <w:rPr>
          <w:rFonts w:ascii="Arial" w:hAnsi="Arial"/>
          <w:w w:val="90"/>
          <w:sz w:val="14"/>
        </w:rPr>
        <w:t>que</w:t>
      </w:r>
      <w:r>
        <w:rPr>
          <w:rFonts w:ascii="Arial" w:hAnsi="Arial"/>
          <w:spacing w:val="-22"/>
          <w:w w:val="90"/>
          <w:sz w:val="14"/>
        </w:rPr>
        <w:t> </w:t>
      </w:r>
      <w:r>
        <w:rPr>
          <w:rFonts w:ascii="Arial" w:hAnsi="Arial"/>
          <w:w w:val="90"/>
          <w:sz w:val="14"/>
        </w:rPr>
        <w:t>se</w:t>
      </w:r>
      <w:r>
        <w:rPr>
          <w:rFonts w:ascii="Arial" w:hAnsi="Arial"/>
          <w:spacing w:val="-22"/>
          <w:w w:val="90"/>
          <w:sz w:val="14"/>
        </w:rPr>
        <w:t> </w:t>
      </w:r>
      <w:r>
        <w:rPr>
          <w:rFonts w:ascii="Arial" w:hAnsi="Arial"/>
          <w:w w:val="90"/>
          <w:sz w:val="14"/>
        </w:rPr>
        <w:t>le</w:t>
      </w:r>
      <w:r>
        <w:rPr>
          <w:rFonts w:ascii="Arial" w:hAnsi="Arial"/>
          <w:spacing w:val="-22"/>
          <w:w w:val="90"/>
          <w:sz w:val="14"/>
        </w:rPr>
        <w:t> </w:t>
      </w:r>
      <w:r>
        <w:rPr>
          <w:rFonts w:ascii="Arial" w:hAnsi="Arial"/>
          <w:w w:val="90"/>
          <w:sz w:val="14"/>
        </w:rPr>
        <w:t>aplicó</w:t>
      </w:r>
      <w:r>
        <w:rPr>
          <w:rFonts w:ascii="Arial" w:hAnsi="Arial"/>
          <w:spacing w:val="-22"/>
          <w:w w:val="90"/>
          <w:sz w:val="14"/>
        </w:rPr>
        <w:t> </w:t>
      </w:r>
      <w:r>
        <w:rPr>
          <w:rFonts w:ascii="Arial" w:hAnsi="Arial"/>
          <w:w w:val="90"/>
          <w:sz w:val="14"/>
        </w:rPr>
        <w:t>el</w:t>
      </w:r>
      <w:r>
        <w:rPr>
          <w:rFonts w:ascii="Arial" w:hAnsi="Arial"/>
          <w:spacing w:val="-22"/>
          <w:w w:val="90"/>
          <w:sz w:val="14"/>
        </w:rPr>
        <w:t> </w:t>
      </w:r>
      <w:r>
        <w:rPr>
          <w:rFonts w:ascii="Arial" w:hAnsi="Arial"/>
          <w:w w:val="90"/>
          <w:sz w:val="14"/>
        </w:rPr>
        <w:t>filtro</w:t>
      </w:r>
      <w:r>
        <w:rPr>
          <w:rFonts w:ascii="Arial" w:hAnsi="Arial"/>
          <w:spacing w:val="-22"/>
          <w:w w:val="90"/>
          <w:sz w:val="14"/>
        </w:rPr>
        <w:t> </w:t>
      </w:r>
      <w:r>
        <w:rPr>
          <w:rFonts w:ascii="Arial" w:hAnsi="Arial"/>
          <w:w w:val="90"/>
          <w:sz w:val="14"/>
        </w:rPr>
        <w:t>Hodrick-Prescott.</w:t>
      </w:r>
      <w:r>
        <w:rPr>
          <w:rFonts w:ascii="Arial" w:hAnsi="Arial"/>
          <w:spacing w:val="-24"/>
          <w:w w:val="90"/>
          <w:sz w:val="14"/>
        </w:rPr>
        <w:t> </w:t>
      </w:r>
      <w:r>
        <w:rPr>
          <w:rFonts w:ascii="Arial" w:hAnsi="Arial"/>
          <w:w w:val="90"/>
          <w:sz w:val="14"/>
        </w:rPr>
        <w:t>Este</w:t>
      </w:r>
      <w:r>
        <w:rPr>
          <w:rFonts w:ascii="Arial" w:hAnsi="Arial"/>
          <w:spacing w:val="-22"/>
          <w:w w:val="90"/>
          <w:sz w:val="14"/>
        </w:rPr>
        <w:t> </w:t>
      </w:r>
      <w:r>
        <w:rPr>
          <w:rFonts w:ascii="Arial" w:hAnsi="Arial"/>
          <w:w w:val="90"/>
          <w:sz w:val="14"/>
        </w:rPr>
        <w:t>filtro</w:t>
      </w:r>
      <w:r>
        <w:rPr>
          <w:rFonts w:ascii="Arial" w:hAnsi="Arial"/>
          <w:spacing w:val="-22"/>
          <w:w w:val="90"/>
          <w:sz w:val="14"/>
        </w:rPr>
        <w:t> </w:t>
      </w:r>
      <w:r>
        <w:rPr>
          <w:rFonts w:ascii="Arial" w:hAnsi="Arial"/>
          <w:w w:val="90"/>
          <w:sz w:val="14"/>
        </w:rPr>
        <w:t>permite</w:t>
      </w:r>
      <w:r>
        <w:rPr>
          <w:rFonts w:ascii="Arial" w:hAnsi="Arial"/>
          <w:spacing w:val="-22"/>
          <w:w w:val="90"/>
          <w:sz w:val="14"/>
        </w:rPr>
        <w:t> </w:t>
      </w:r>
      <w:r>
        <w:rPr>
          <w:rFonts w:ascii="Arial" w:hAnsi="Arial"/>
          <w:w w:val="90"/>
          <w:sz w:val="14"/>
        </w:rPr>
        <w:t>extraer</w:t>
      </w:r>
      <w:r>
        <w:rPr>
          <w:rFonts w:ascii="Arial" w:hAnsi="Arial"/>
          <w:spacing w:val="-22"/>
          <w:w w:val="90"/>
          <w:sz w:val="14"/>
        </w:rPr>
        <w:t> </w:t>
      </w:r>
      <w:r>
        <w:rPr>
          <w:rFonts w:ascii="Arial" w:hAnsi="Arial"/>
          <w:w w:val="90"/>
          <w:sz w:val="14"/>
        </w:rPr>
        <w:t>el</w:t>
      </w:r>
      <w:r>
        <w:rPr>
          <w:rFonts w:ascii="Arial" w:hAnsi="Arial"/>
          <w:spacing w:val="-22"/>
          <w:w w:val="90"/>
          <w:sz w:val="14"/>
        </w:rPr>
        <w:t> </w:t>
      </w:r>
      <w:r>
        <w:rPr>
          <w:rFonts w:ascii="Arial" w:hAnsi="Arial"/>
          <w:w w:val="90"/>
          <w:sz w:val="14"/>
        </w:rPr>
        <w:t>componente</w:t>
      </w:r>
      <w:r>
        <w:rPr>
          <w:rFonts w:ascii="Arial" w:hAnsi="Arial"/>
          <w:spacing w:val="-22"/>
          <w:w w:val="90"/>
          <w:sz w:val="14"/>
        </w:rPr>
        <w:t> </w:t>
      </w:r>
      <w:r>
        <w:rPr>
          <w:rFonts w:ascii="Arial" w:hAnsi="Arial"/>
          <w:w w:val="90"/>
          <w:sz w:val="14"/>
        </w:rPr>
        <w:t>cíclico</w:t>
      </w:r>
      <w:r>
        <w:rPr>
          <w:rFonts w:ascii="Arial" w:hAnsi="Arial"/>
          <w:spacing w:val="-22"/>
          <w:w w:val="90"/>
          <w:sz w:val="14"/>
        </w:rPr>
        <w:t> </w:t>
      </w:r>
      <w:r>
        <w:rPr>
          <w:rFonts w:ascii="Arial" w:hAnsi="Arial"/>
          <w:w w:val="90"/>
          <w:sz w:val="14"/>
        </w:rPr>
        <w:t>de</w:t>
      </w:r>
      <w:r>
        <w:rPr>
          <w:rFonts w:ascii="Arial" w:hAnsi="Arial"/>
          <w:spacing w:val="-22"/>
          <w:w w:val="90"/>
          <w:sz w:val="14"/>
        </w:rPr>
        <w:t> </w:t>
      </w:r>
      <w:r>
        <w:rPr>
          <w:rFonts w:ascii="Arial" w:hAnsi="Arial"/>
          <w:w w:val="90"/>
          <w:sz w:val="14"/>
        </w:rPr>
        <w:t>la</w:t>
      </w:r>
      <w:r>
        <w:rPr>
          <w:rFonts w:ascii="Arial" w:hAnsi="Arial"/>
          <w:spacing w:val="-22"/>
          <w:w w:val="90"/>
          <w:sz w:val="14"/>
        </w:rPr>
        <w:t> </w:t>
      </w:r>
      <w:r>
        <w:rPr>
          <w:rFonts w:ascii="Arial" w:hAnsi="Arial"/>
          <w:w w:val="90"/>
          <w:sz w:val="14"/>
        </w:rPr>
        <w:t>serie</w:t>
      </w:r>
      <w:r>
        <w:rPr>
          <w:rFonts w:ascii="Arial" w:hAnsi="Arial"/>
          <w:spacing w:val="-22"/>
          <w:w w:val="90"/>
          <w:sz w:val="14"/>
        </w:rPr>
        <w:t> </w:t>
      </w:r>
      <w:r>
        <w:rPr>
          <w:rFonts w:ascii="Arial" w:hAnsi="Arial"/>
          <w:w w:val="90"/>
          <w:sz w:val="14"/>
        </w:rPr>
        <w:t>original</w:t>
      </w:r>
      <w:r>
        <w:rPr>
          <w:rFonts w:ascii="Arial" w:hAnsi="Arial"/>
          <w:spacing w:val="-22"/>
          <w:w w:val="90"/>
          <w:sz w:val="14"/>
        </w:rPr>
        <w:t> </w:t>
      </w:r>
      <w:r>
        <w:rPr>
          <w:rFonts w:ascii="Arial" w:hAnsi="Arial"/>
          <w:w w:val="90"/>
          <w:sz w:val="14"/>
        </w:rPr>
        <w:t>a</w:t>
      </w:r>
      <w:r>
        <w:rPr>
          <w:rFonts w:ascii="Arial" w:hAnsi="Arial"/>
          <w:spacing w:val="-22"/>
          <w:w w:val="90"/>
          <w:sz w:val="14"/>
        </w:rPr>
        <w:t> </w:t>
      </w:r>
      <w:r>
        <w:rPr>
          <w:rFonts w:ascii="Arial" w:hAnsi="Arial"/>
          <w:w w:val="90"/>
          <w:sz w:val="14"/>
        </w:rPr>
        <w:t>través</w:t>
      </w:r>
      <w:r>
        <w:rPr>
          <w:rFonts w:ascii="Arial" w:hAnsi="Arial"/>
          <w:spacing w:val="-22"/>
          <w:w w:val="90"/>
          <w:sz w:val="14"/>
        </w:rPr>
        <w:t> </w:t>
      </w:r>
      <w:r>
        <w:rPr>
          <w:rFonts w:ascii="Arial" w:hAnsi="Arial"/>
          <w:w w:val="90"/>
          <w:sz w:val="14"/>
        </w:rPr>
        <w:t>de</w:t>
      </w:r>
      <w:r>
        <w:rPr>
          <w:rFonts w:ascii="Arial" w:hAnsi="Arial"/>
          <w:spacing w:val="-22"/>
          <w:w w:val="90"/>
          <w:sz w:val="14"/>
        </w:rPr>
        <w:t> </w:t>
      </w:r>
      <w:r>
        <w:rPr>
          <w:rFonts w:ascii="Arial" w:hAnsi="Arial"/>
          <w:w w:val="90"/>
          <w:sz w:val="14"/>
        </w:rPr>
        <w:t>métodos </w:t>
      </w:r>
      <w:r>
        <w:rPr>
          <w:rFonts w:ascii="Arial" w:hAnsi="Arial"/>
          <w:w w:val="85"/>
          <w:sz w:val="14"/>
        </w:rPr>
        <w:t>econométricos.</w:t>
      </w:r>
      <w:r>
        <w:rPr>
          <w:rFonts w:ascii="Arial" w:hAnsi="Arial"/>
          <w:spacing w:val="-14"/>
          <w:w w:val="85"/>
          <w:sz w:val="14"/>
        </w:rPr>
        <w:t> </w:t>
      </w:r>
      <w:r>
        <w:rPr>
          <w:rFonts w:ascii="Arial" w:hAnsi="Arial"/>
          <w:w w:val="85"/>
          <w:sz w:val="14"/>
        </w:rPr>
        <w:t>Posteriormente</w:t>
      </w:r>
      <w:r>
        <w:rPr>
          <w:rFonts w:ascii="Arial" w:hAnsi="Arial"/>
          <w:spacing w:val="-10"/>
          <w:w w:val="85"/>
          <w:sz w:val="14"/>
        </w:rPr>
        <w:t> </w:t>
      </w:r>
      <w:r>
        <w:rPr>
          <w:rFonts w:ascii="Arial" w:hAnsi="Arial"/>
          <w:w w:val="85"/>
          <w:sz w:val="14"/>
        </w:rPr>
        <w:t>se</w:t>
      </w:r>
      <w:r>
        <w:rPr>
          <w:rFonts w:ascii="Arial" w:hAnsi="Arial"/>
          <w:spacing w:val="-10"/>
          <w:w w:val="85"/>
          <w:sz w:val="14"/>
        </w:rPr>
        <w:t> </w:t>
      </w:r>
      <w:r>
        <w:rPr>
          <w:rFonts w:ascii="Arial" w:hAnsi="Arial"/>
          <w:w w:val="85"/>
          <w:sz w:val="14"/>
        </w:rPr>
        <w:t>calcularon</w:t>
      </w:r>
      <w:r>
        <w:rPr>
          <w:rFonts w:ascii="Arial" w:hAnsi="Arial"/>
          <w:spacing w:val="-10"/>
          <w:w w:val="85"/>
          <w:sz w:val="14"/>
        </w:rPr>
        <w:t> </w:t>
      </w:r>
      <w:r>
        <w:rPr>
          <w:rFonts w:ascii="Arial" w:hAnsi="Arial"/>
          <w:w w:val="85"/>
          <w:sz w:val="14"/>
        </w:rPr>
        <w:t>las</w:t>
      </w:r>
      <w:r>
        <w:rPr>
          <w:rFonts w:ascii="Arial" w:hAnsi="Arial"/>
          <w:spacing w:val="-10"/>
          <w:w w:val="85"/>
          <w:sz w:val="14"/>
        </w:rPr>
        <w:t> </w:t>
      </w:r>
      <w:r>
        <w:rPr>
          <w:rFonts w:ascii="Arial" w:hAnsi="Arial"/>
          <w:w w:val="85"/>
          <w:sz w:val="14"/>
        </w:rPr>
        <w:t>correlaciones</w:t>
      </w:r>
      <w:r>
        <w:rPr>
          <w:rFonts w:ascii="Arial" w:hAnsi="Arial"/>
          <w:spacing w:val="-10"/>
          <w:w w:val="85"/>
          <w:sz w:val="14"/>
        </w:rPr>
        <w:t> </w:t>
      </w:r>
      <w:r>
        <w:rPr>
          <w:rFonts w:ascii="Arial" w:hAnsi="Arial"/>
          <w:w w:val="85"/>
          <w:sz w:val="14"/>
        </w:rPr>
        <w:t>con</w:t>
      </w:r>
      <w:r>
        <w:rPr>
          <w:rFonts w:ascii="Arial" w:hAnsi="Arial"/>
          <w:spacing w:val="-10"/>
          <w:w w:val="85"/>
          <w:sz w:val="14"/>
        </w:rPr>
        <w:t> </w:t>
      </w:r>
      <w:r>
        <w:rPr>
          <w:rFonts w:ascii="Arial" w:hAnsi="Arial"/>
          <w:w w:val="85"/>
          <w:sz w:val="14"/>
        </w:rPr>
        <w:t>las</w:t>
      </w:r>
      <w:r>
        <w:rPr>
          <w:rFonts w:ascii="Arial" w:hAnsi="Arial"/>
          <w:spacing w:val="-10"/>
          <w:w w:val="85"/>
          <w:sz w:val="14"/>
        </w:rPr>
        <w:t> </w:t>
      </w:r>
      <w:r>
        <w:rPr>
          <w:rFonts w:ascii="Arial" w:hAnsi="Arial"/>
          <w:w w:val="85"/>
          <w:sz w:val="14"/>
        </w:rPr>
        <w:t>series</w:t>
      </w:r>
      <w:r>
        <w:rPr>
          <w:rFonts w:ascii="Arial" w:hAnsi="Arial"/>
          <w:spacing w:val="-10"/>
          <w:w w:val="85"/>
          <w:sz w:val="14"/>
        </w:rPr>
        <w:t> </w:t>
      </w:r>
      <w:r>
        <w:rPr>
          <w:rFonts w:ascii="Arial" w:hAnsi="Arial"/>
          <w:w w:val="85"/>
          <w:sz w:val="14"/>
        </w:rPr>
        <w:t>filtradas</w:t>
      </w:r>
      <w:r>
        <w:rPr>
          <w:rFonts w:ascii="Arial" w:hAnsi="Arial"/>
          <w:spacing w:val="-10"/>
          <w:w w:val="85"/>
          <w:sz w:val="14"/>
        </w:rPr>
        <w:t> </w:t>
      </w:r>
      <w:r>
        <w:rPr>
          <w:rFonts w:ascii="Arial" w:hAnsi="Arial"/>
          <w:w w:val="85"/>
          <w:sz w:val="14"/>
        </w:rPr>
        <w:t>del</w:t>
      </w:r>
      <w:r>
        <w:rPr>
          <w:rFonts w:ascii="Arial" w:hAnsi="Arial"/>
          <w:spacing w:val="-10"/>
          <w:w w:val="85"/>
          <w:sz w:val="14"/>
        </w:rPr>
        <w:t> </w:t>
      </w:r>
      <w:r>
        <w:rPr>
          <w:rFonts w:ascii="Arial" w:hAnsi="Arial"/>
          <w:w w:val="85"/>
          <w:sz w:val="14"/>
        </w:rPr>
        <w:t>PIB</w:t>
      </w:r>
      <w:r>
        <w:rPr>
          <w:rFonts w:ascii="Arial" w:hAnsi="Arial"/>
          <w:spacing w:val="-10"/>
          <w:w w:val="85"/>
          <w:sz w:val="14"/>
        </w:rPr>
        <w:t> </w:t>
      </w:r>
      <w:r>
        <w:rPr>
          <w:rFonts w:ascii="Arial" w:hAnsi="Arial"/>
          <w:w w:val="85"/>
          <w:sz w:val="14"/>
        </w:rPr>
        <w:t>de</w:t>
      </w:r>
      <w:r>
        <w:rPr>
          <w:rFonts w:ascii="Arial" w:hAnsi="Arial"/>
          <w:spacing w:val="-10"/>
          <w:w w:val="85"/>
          <w:sz w:val="14"/>
        </w:rPr>
        <w:t> </w:t>
      </w:r>
      <w:r>
        <w:rPr>
          <w:rFonts w:ascii="Arial" w:hAnsi="Arial"/>
          <w:w w:val="85"/>
          <w:sz w:val="14"/>
        </w:rPr>
        <w:t>Estados</w:t>
      </w:r>
      <w:r>
        <w:rPr>
          <w:rFonts w:ascii="Arial" w:hAnsi="Arial"/>
          <w:spacing w:val="-10"/>
          <w:w w:val="85"/>
          <w:sz w:val="14"/>
        </w:rPr>
        <w:t> </w:t>
      </w:r>
      <w:r>
        <w:rPr>
          <w:rFonts w:ascii="Arial" w:hAnsi="Arial"/>
          <w:w w:val="85"/>
          <w:sz w:val="14"/>
        </w:rPr>
        <w:t>Unidos,</w:t>
      </w:r>
      <w:r>
        <w:rPr>
          <w:rFonts w:ascii="Arial" w:hAnsi="Arial"/>
          <w:spacing w:val="-14"/>
          <w:w w:val="85"/>
          <w:sz w:val="14"/>
        </w:rPr>
        <w:t> </w:t>
      </w:r>
      <w:r>
        <w:rPr>
          <w:rFonts w:ascii="Arial" w:hAnsi="Arial"/>
          <w:w w:val="85"/>
          <w:sz w:val="14"/>
        </w:rPr>
        <w:t>la</w:t>
      </w:r>
      <w:r>
        <w:rPr>
          <w:rFonts w:ascii="Arial" w:hAnsi="Arial"/>
          <w:spacing w:val="-10"/>
          <w:w w:val="85"/>
          <w:sz w:val="14"/>
        </w:rPr>
        <w:t> </w:t>
      </w:r>
      <w:r>
        <w:rPr>
          <w:rFonts w:ascii="Arial" w:hAnsi="Arial"/>
          <w:w w:val="85"/>
          <w:sz w:val="14"/>
        </w:rPr>
        <w:t>Unión</w:t>
      </w:r>
      <w:r>
        <w:rPr>
          <w:rFonts w:ascii="Arial" w:hAnsi="Arial"/>
          <w:spacing w:val="-10"/>
          <w:w w:val="85"/>
          <w:sz w:val="14"/>
        </w:rPr>
        <w:t> </w:t>
      </w:r>
      <w:r>
        <w:rPr>
          <w:rFonts w:ascii="Arial" w:hAnsi="Arial"/>
          <w:w w:val="85"/>
          <w:sz w:val="14"/>
        </w:rPr>
        <w:t>Europea</w:t>
      </w:r>
      <w:r>
        <w:rPr>
          <w:rFonts w:ascii="Arial" w:hAnsi="Arial"/>
          <w:spacing w:val="-10"/>
          <w:w w:val="85"/>
          <w:sz w:val="14"/>
        </w:rPr>
        <w:t> </w:t>
      </w:r>
      <w:r>
        <w:rPr>
          <w:rFonts w:ascii="Arial" w:hAnsi="Arial"/>
          <w:w w:val="85"/>
          <w:sz w:val="14"/>
        </w:rPr>
        <w:t>y </w:t>
      </w:r>
      <w:r>
        <w:rPr>
          <w:rFonts w:ascii="Arial" w:hAnsi="Arial"/>
          <w:w w:val="90"/>
          <w:sz w:val="14"/>
        </w:rPr>
        <w:t>China.</w:t>
      </w:r>
      <w:r>
        <w:rPr>
          <w:rFonts w:ascii="Arial" w:hAnsi="Arial"/>
          <w:spacing w:val="-28"/>
          <w:w w:val="90"/>
          <w:sz w:val="14"/>
        </w:rPr>
        <w:t> </w:t>
      </w:r>
      <w:r>
        <w:rPr>
          <w:rFonts w:ascii="Arial" w:hAnsi="Arial"/>
          <w:w w:val="90"/>
          <w:sz w:val="14"/>
        </w:rPr>
        <w:t>Aunque</w:t>
      </w:r>
      <w:r>
        <w:rPr>
          <w:rFonts w:ascii="Arial" w:hAnsi="Arial"/>
          <w:spacing w:val="-24"/>
          <w:w w:val="90"/>
          <w:sz w:val="14"/>
        </w:rPr>
        <w:t> </w:t>
      </w:r>
      <w:r>
        <w:rPr>
          <w:rFonts w:ascii="Arial" w:hAnsi="Arial"/>
          <w:w w:val="90"/>
          <w:sz w:val="14"/>
        </w:rPr>
        <w:t>por</w:t>
      </w:r>
      <w:r>
        <w:rPr>
          <w:rFonts w:ascii="Arial" w:hAnsi="Arial"/>
          <w:spacing w:val="-24"/>
          <w:w w:val="90"/>
          <w:sz w:val="14"/>
        </w:rPr>
        <w:t> </w:t>
      </w:r>
      <w:r>
        <w:rPr>
          <w:rFonts w:ascii="Arial" w:hAnsi="Arial"/>
          <w:w w:val="90"/>
          <w:sz w:val="14"/>
        </w:rPr>
        <w:t>razones</w:t>
      </w:r>
      <w:r>
        <w:rPr>
          <w:rFonts w:ascii="Arial" w:hAnsi="Arial"/>
          <w:spacing w:val="-24"/>
          <w:w w:val="90"/>
          <w:sz w:val="14"/>
        </w:rPr>
        <w:t> </w:t>
      </w:r>
      <w:r>
        <w:rPr>
          <w:rFonts w:ascii="Arial" w:hAnsi="Arial"/>
          <w:w w:val="90"/>
          <w:sz w:val="14"/>
        </w:rPr>
        <w:t>de</w:t>
      </w:r>
      <w:r>
        <w:rPr>
          <w:rFonts w:ascii="Arial" w:hAnsi="Arial"/>
          <w:spacing w:val="-24"/>
          <w:w w:val="90"/>
          <w:sz w:val="14"/>
        </w:rPr>
        <w:t> </w:t>
      </w:r>
      <w:r>
        <w:rPr>
          <w:rFonts w:ascii="Arial" w:hAnsi="Arial"/>
          <w:w w:val="90"/>
          <w:sz w:val="14"/>
        </w:rPr>
        <w:t>espacio</w:t>
      </w:r>
      <w:r>
        <w:rPr>
          <w:rFonts w:ascii="Arial" w:hAnsi="Arial"/>
          <w:spacing w:val="-24"/>
          <w:w w:val="90"/>
          <w:sz w:val="14"/>
        </w:rPr>
        <w:t> </w:t>
      </w:r>
      <w:r>
        <w:rPr>
          <w:rFonts w:ascii="Arial" w:hAnsi="Arial"/>
          <w:w w:val="90"/>
          <w:sz w:val="14"/>
        </w:rPr>
        <w:t>no</w:t>
      </w:r>
      <w:r>
        <w:rPr>
          <w:rFonts w:ascii="Arial" w:hAnsi="Arial"/>
          <w:spacing w:val="-24"/>
          <w:w w:val="90"/>
          <w:sz w:val="14"/>
        </w:rPr>
        <w:t> </w:t>
      </w:r>
      <w:r>
        <w:rPr>
          <w:rFonts w:ascii="Arial" w:hAnsi="Arial"/>
          <w:w w:val="90"/>
          <w:sz w:val="14"/>
        </w:rPr>
        <w:t>se</w:t>
      </w:r>
      <w:r>
        <w:rPr>
          <w:rFonts w:ascii="Arial" w:hAnsi="Arial"/>
          <w:spacing w:val="-24"/>
          <w:w w:val="90"/>
          <w:sz w:val="14"/>
        </w:rPr>
        <w:t> </w:t>
      </w:r>
      <w:r>
        <w:rPr>
          <w:rFonts w:ascii="Arial" w:hAnsi="Arial"/>
          <w:w w:val="90"/>
          <w:sz w:val="14"/>
        </w:rPr>
        <w:t>exhiben</w:t>
      </w:r>
      <w:r>
        <w:rPr>
          <w:rFonts w:ascii="Arial" w:hAnsi="Arial"/>
          <w:spacing w:val="-24"/>
          <w:w w:val="90"/>
          <w:sz w:val="14"/>
        </w:rPr>
        <w:t> </w:t>
      </w:r>
      <w:r>
        <w:rPr>
          <w:rFonts w:ascii="Arial" w:hAnsi="Arial"/>
          <w:w w:val="90"/>
          <w:sz w:val="14"/>
        </w:rPr>
        <w:t>en</w:t>
      </w:r>
      <w:r>
        <w:rPr>
          <w:rFonts w:ascii="Arial" w:hAnsi="Arial"/>
          <w:spacing w:val="-24"/>
          <w:w w:val="90"/>
          <w:sz w:val="14"/>
        </w:rPr>
        <w:t> </w:t>
      </w:r>
      <w:r>
        <w:rPr>
          <w:rFonts w:ascii="Arial" w:hAnsi="Arial"/>
          <w:w w:val="90"/>
          <w:sz w:val="14"/>
        </w:rPr>
        <w:t>este</w:t>
      </w:r>
      <w:r>
        <w:rPr>
          <w:rFonts w:ascii="Arial" w:hAnsi="Arial"/>
          <w:spacing w:val="-24"/>
          <w:w w:val="90"/>
          <w:sz w:val="14"/>
        </w:rPr>
        <w:t> </w:t>
      </w:r>
      <w:r>
        <w:rPr>
          <w:rFonts w:ascii="Arial" w:hAnsi="Arial"/>
          <w:w w:val="90"/>
          <w:sz w:val="14"/>
        </w:rPr>
        <w:t>artículo,</w:t>
      </w:r>
      <w:r>
        <w:rPr>
          <w:rFonts w:ascii="Arial" w:hAnsi="Arial"/>
          <w:spacing w:val="-26"/>
          <w:w w:val="90"/>
          <w:sz w:val="14"/>
        </w:rPr>
        <w:t> </w:t>
      </w:r>
      <w:r>
        <w:rPr>
          <w:rFonts w:ascii="Arial" w:hAnsi="Arial"/>
          <w:w w:val="90"/>
          <w:sz w:val="14"/>
        </w:rPr>
        <w:t>también</w:t>
      </w:r>
      <w:r>
        <w:rPr>
          <w:rFonts w:ascii="Arial" w:hAnsi="Arial"/>
          <w:spacing w:val="-24"/>
          <w:w w:val="90"/>
          <w:sz w:val="14"/>
        </w:rPr>
        <w:t> </w:t>
      </w:r>
      <w:r>
        <w:rPr>
          <w:rFonts w:ascii="Arial" w:hAnsi="Arial"/>
          <w:w w:val="90"/>
          <w:sz w:val="14"/>
        </w:rPr>
        <w:t>se</w:t>
      </w:r>
      <w:r>
        <w:rPr>
          <w:rFonts w:ascii="Arial" w:hAnsi="Arial"/>
          <w:spacing w:val="-24"/>
          <w:w w:val="90"/>
          <w:sz w:val="14"/>
        </w:rPr>
        <w:t> </w:t>
      </w:r>
      <w:r>
        <w:rPr>
          <w:rFonts w:ascii="Arial" w:hAnsi="Arial"/>
          <w:w w:val="90"/>
          <w:sz w:val="14"/>
        </w:rPr>
        <w:t>obtuvieron</w:t>
      </w:r>
      <w:r>
        <w:rPr>
          <w:rFonts w:ascii="Arial" w:hAnsi="Arial"/>
          <w:spacing w:val="-24"/>
          <w:w w:val="90"/>
          <w:sz w:val="14"/>
        </w:rPr>
        <w:t> </w:t>
      </w:r>
      <w:r>
        <w:rPr>
          <w:rFonts w:ascii="Arial" w:hAnsi="Arial"/>
          <w:w w:val="90"/>
          <w:sz w:val="14"/>
        </w:rPr>
        <w:t>las</w:t>
      </w:r>
      <w:r>
        <w:rPr>
          <w:rFonts w:ascii="Arial" w:hAnsi="Arial"/>
          <w:spacing w:val="-24"/>
          <w:w w:val="90"/>
          <w:sz w:val="14"/>
        </w:rPr>
        <w:t> </w:t>
      </w:r>
      <w:r>
        <w:rPr>
          <w:rFonts w:ascii="Arial" w:hAnsi="Arial"/>
          <w:w w:val="90"/>
          <w:sz w:val="14"/>
        </w:rPr>
        <w:t>series</w:t>
      </w:r>
      <w:r>
        <w:rPr>
          <w:rFonts w:ascii="Arial" w:hAnsi="Arial"/>
          <w:spacing w:val="-24"/>
          <w:w w:val="90"/>
          <w:sz w:val="14"/>
        </w:rPr>
        <w:t> </w:t>
      </w:r>
      <w:r>
        <w:rPr>
          <w:rFonts w:ascii="Arial" w:hAnsi="Arial"/>
          <w:w w:val="90"/>
          <w:sz w:val="14"/>
        </w:rPr>
        <w:t>filtradas</w:t>
      </w:r>
      <w:r>
        <w:rPr>
          <w:rFonts w:ascii="Arial" w:hAnsi="Arial"/>
          <w:spacing w:val="-24"/>
          <w:w w:val="90"/>
          <w:sz w:val="14"/>
        </w:rPr>
        <w:t> </w:t>
      </w:r>
      <w:r>
        <w:rPr>
          <w:rFonts w:ascii="Arial" w:hAnsi="Arial"/>
          <w:w w:val="90"/>
          <w:sz w:val="14"/>
        </w:rPr>
        <w:t>a</w:t>
      </w:r>
      <w:r>
        <w:rPr>
          <w:rFonts w:ascii="Arial" w:hAnsi="Arial"/>
          <w:spacing w:val="-24"/>
          <w:w w:val="90"/>
          <w:sz w:val="14"/>
        </w:rPr>
        <w:t> </w:t>
      </w:r>
      <w:r>
        <w:rPr>
          <w:rFonts w:ascii="Arial" w:hAnsi="Arial"/>
          <w:w w:val="90"/>
          <w:sz w:val="14"/>
        </w:rPr>
        <w:t>través</w:t>
      </w:r>
      <w:r>
        <w:rPr>
          <w:rFonts w:ascii="Arial" w:hAnsi="Arial"/>
          <w:spacing w:val="-24"/>
          <w:w w:val="90"/>
          <w:sz w:val="14"/>
        </w:rPr>
        <w:t> </w:t>
      </w:r>
      <w:r>
        <w:rPr>
          <w:rFonts w:ascii="Arial" w:hAnsi="Arial"/>
          <w:w w:val="90"/>
          <w:sz w:val="14"/>
        </w:rPr>
        <w:t>de</w:t>
      </w:r>
      <w:r>
        <w:rPr>
          <w:rFonts w:ascii="Arial" w:hAnsi="Arial"/>
          <w:spacing w:val="-24"/>
          <w:w w:val="90"/>
          <w:sz w:val="14"/>
        </w:rPr>
        <w:t> </w:t>
      </w:r>
      <w:r>
        <w:rPr>
          <w:rFonts w:ascii="Arial" w:hAnsi="Arial"/>
          <w:w w:val="90"/>
          <w:sz w:val="14"/>
        </w:rPr>
        <w:t>otros</w:t>
      </w:r>
      <w:r>
        <w:rPr>
          <w:rFonts w:ascii="Arial" w:hAnsi="Arial"/>
          <w:spacing w:val="-24"/>
          <w:w w:val="90"/>
          <w:sz w:val="14"/>
        </w:rPr>
        <w:t> </w:t>
      </w:r>
      <w:r>
        <w:rPr>
          <w:rFonts w:ascii="Arial" w:hAnsi="Arial"/>
          <w:w w:val="90"/>
          <w:sz w:val="14"/>
        </w:rPr>
        <w:t>dos </w:t>
      </w:r>
      <w:r>
        <w:rPr>
          <w:rFonts w:ascii="Arial" w:hAnsi="Arial"/>
          <w:w w:val="85"/>
          <w:sz w:val="14"/>
        </w:rPr>
        <w:t>filtros</w:t>
      </w:r>
      <w:r>
        <w:rPr>
          <w:rFonts w:ascii="Arial" w:hAnsi="Arial"/>
          <w:spacing w:val="-7"/>
          <w:w w:val="85"/>
          <w:sz w:val="14"/>
        </w:rPr>
        <w:t> </w:t>
      </w:r>
      <w:r>
        <w:rPr>
          <w:rFonts w:ascii="Arial" w:hAnsi="Arial"/>
          <w:w w:val="85"/>
          <w:sz w:val="14"/>
        </w:rPr>
        <w:t>(Baxter</w:t>
      </w:r>
      <w:r>
        <w:rPr>
          <w:rFonts w:ascii="Arial" w:hAnsi="Arial"/>
          <w:spacing w:val="-7"/>
          <w:w w:val="85"/>
          <w:sz w:val="14"/>
        </w:rPr>
        <w:t> </w:t>
      </w:r>
      <w:r>
        <w:rPr>
          <w:rFonts w:ascii="Arial" w:hAnsi="Arial"/>
          <w:w w:val="85"/>
          <w:sz w:val="14"/>
        </w:rPr>
        <w:t>&amp;</w:t>
      </w:r>
      <w:r>
        <w:rPr>
          <w:rFonts w:ascii="Arial" w:hAnsi="Arial"/>
          <w:spacing w:val="-7"/>
          <w:w w:val="85"/>
          <w:sz w:val="14"/>
        </w:rPr>
        <w:t> </w:t>
      </w:r>
      <w:r>
        <w:rPr>
          <w:rFonts w:ascii="Arial" w:hAnsi="Arial"/>
          <w:w w:val="85"/>
          <w:sz w:val="14"/>
        </w:rPr>
        <w:t>King</w:t>
      </w:r>
      <w:r>
        <w:rPr>
          <w:rFonts w:ascii="Arial" w:hAnsi="Arial"/>
          <w:spacing w:val="-7"/>
          <w:w w:val="85"/>
          <w:sz w:val="14"/>
        </w:rPr>
        <w:t> </w:t>
      </w:r>
      <w:r>
        <w:rPr>
          <w:rFonts w:ascii="Arial" w:hAnsi="Arial"/>
          <w:w w:val="85"/>
          <w:sz w:val="14"/>
        </w:rPr>
        <w:t>y</w:t>
      </w:r>
      <w:r>
        <w:rPr>
          <w:rFonts w:ascii="Arial" w:hAnsi="Arial"/>
          <w:spacing w:val="-7"/>
          <w:w w:val="85"/>
          <w:sz w:val="14"/>
        </w:rPr>
        <w:t> </w:t>
      </w:r>
      <w:r>
        <w:rPr>
          <w:rFonts w:ascii="Arial" w:hAnsi="Arial"/>
          <w:w w:val="85"/>
          <w:sz w:val="14"/>
        </w:rPr>
        <w:t>Christiano-Fitzgerald)</w:t>
      </w:r>
      <w:r>
        <w:rPr>
          <w:rFonts w:ascii="Arial" w:hAnsi="Arial"/>
          <w:spacing w:val="-7"/>
          <w:w w:val="85"/>
          <w:sz w:val="14"/>
        </w:rPr>
        <w:t> </w:t>
      </w:r>
      <w:r>
        <w:rPr>
          <w:rFonts w:ascii="Arial" w:hAnsi="Arial"/>
          <w:w w:val="85"/>
          <w:sz w:val="14"/>
        </w:rPr>
        <w:t>y</w:t>
      </w:r>
      <w:r>
        <w:rPr>
          <w:rFonts w:ascii="Arial" w:hAnsi="Arial"/>
          <w:spacing w:val="-7"/>
          <w:w w:val="85"/>
          <w:sz w:val="14"/>
        </w:rPr>
        <w:t> </w:t>
      </w:r>
      <w:r>
        <w:rPr>
          <w:rFonts w:ascii="Arial" w:hAnsi="Arial"/>
          <w:w w:val="85"/>
          <w:sz w:val="14"/>
        </w:rPr>
        <w:t>se</w:t>
      </w:r>
      <w:r>
        <w:rPr>
          <w:rFonts w:ascii="Arial" w:hAnsi="Arial"/>
          <w:spacing w:val="-7"/>
          <w:w w:val="85"/>
          <w:sz w:val="14"/>
        </w:rPr>
        <w:t> </w:t>
      </w:r>
      <w:r>
        <w:rPr>
          <w:rFonts w:ascii="Arial" w:hAnsi="Arial"/>
          <w:w w:val="85"/>
          <w:sz w:val="14"/>
        </w:rPr>
        <w:t>obtuvieron</w:t>
      </w:r>
      <w:r>
        <w:rPr>
          <w:rFonts w:ascii="Arial" w:hAnsi="Arial"/>
          <w:spacing w:val="-7"/>
          <w:w w:val="85"/>
          <w:sz w:val="14"/>
        </w:rPr>
        <w:t> </w:t>
      </w:r>
      <w:r>
        <w:rPr>
          <w:rFonts w:ascii="Arial" w:hAnsi="Arial"/>
          <w:w w:val="85"/>
          <w:sz w:val="14"/>
        </w:rPr>
        <w:t>resultados</w:t>
      </w:r>
      <w:r>
        <w:rPr>
          <w:rFonts w:ascii="Arial" w:hAnsi="Arial"/>
          <w:spacing w:val="-7"/>
          <w:w w:val="85"/>
          <w:sz w:val="14"/>
        </w:rPr>
        <w:t> </w:t>
      </w:r>
      <w:r>
        <w:rPr>
          <w:rFonts w:ascii="Arial" w:hAnsi="Arial"/>
          <w:w w:val="85"/>
          <w:sz w:val="14"/>
        </w:rPr>
        <w:t>similares.</w:t>
      </w:r>
      <w:r>
        <w:rPr>
          <w:rFonts w:ascii="Arial" w:hAnsi="Arial"/>
          <w:spacing w:val="-11"/>
          <w:w w:val="85"/>
          <w:sz w:val="14"/>
        </w:rPr>
        <w:t> </w:t>
      </w:r>
      <w:r>
        <w:rPr>
          <w:rFonts w:ascii="Arial" w:hAnsi="Arial"/>
          <w:w w:val="85"/>
          <w:sz w:val="14"/>
        </w:rPr>
        <w:t>Los</w:t>
      </w:r>
      <w:r>
        <w:rPr>
          <w:rFonts w:ascii="Arial" w:hAnsi="Arial"/>
          <w:spacing w:val="-7"/>
          <w:w w:val="85"/>
          <w:sz w:val="14"/>
        </w:rPr>
        <w:t> </w:t>
      </w:r>
      <w:r>
        <w:rPr>
          <w:rFonts w:ascii="Arial" w:hAnsi="Arial"/>
          <w:w w:val="85"/>
          <w:sz w:val="14"/>
        </w:rPr>
        <w:t>tres</w:t>
      </w:r>
      <w:r>
        <w:rPr>
          <w:rFonts w:ascii="Arial" w:hAnsi="Arial"/>
          <w:spacing w:val="-7"/>
          <w:w w:val="85"/>
          <w:sz w:val="14"/>
        </w:rPr>
        <w:t> </w:t>
      </w:r>
      <w:r>
        <w:rPr>
          <w:rFonts w:ascii="Arial" w:hAnsi="Arial"/>
          <w:w w:val="85"/>
          <w:sz w:val="14"/>
        </w:rPr>
        <w:t>filtros</w:t>
      </w:r>
      <w:r>
        <w:rPr>
          <w:rFonts w:ascii="Arial" w:hAnsi="Arial"/>
          <w:spacing w:val="-7"/>
          <w:w w:val="85"/>
          <w:sz w:val="14"/>
        </w:rPr>
        <w:t> </w:t>
      </w:r>
      <w:r>
        <w:rPr>
          <w:rFonts w:ascii="Arial" w:hAnsi="Arial"/>
          <w:w w:val="85"/>
          <w:sz w:val="14"/>
        </w:rPr>
        <w:t>confirman</w:t>
      </w:r>
      <w:r>
        <w:rPr>
          <w:rFonts w:ascii="Arial" w:hAnsi="Arial"/>
          <w:spacing w:val="-7"/>
          <w:w w:val="85"/>
          <w:sz w:val="14"/>
        </w:rPr>
        <w:t> </w:t>
      </w:r>
      <w:r>
        <w:rPr>
          <w:rFonts w:ascii="Arial" w:hAnsi="Arial"/>
          <w:w w:val="85"/>
          <w:sz w:val="14"/>
        </w:rPr>
        <w:t>la</w:t>
      </w:r>
      <w:r>
        <w:rPr>
          <w:rFonts w:ascii="Arial" w:hAnsi="Arial"/>
          <w:spacing w:val="-7"/>
          <w:w w:val="85"/>
          <w:sz w:val="14"/>
        </w:rPr>
        <w:t> </w:t>
      </w:r>
      <w:r>
        <w:rPr>
          <w:rFonts w:ascii="Arial" w:hAnsi="Arial"/>
          <w:w w:val="85"/>
          <w:sz w:val="14"/>
        </w:rPr>
        <w:t>centralidad</w:t>
      </w:r>
      <w:r>
        <w:rPr>
          <w:rFonts w:ascii="Arial" w:hAnsi="Arial"/>
          <w:spacing w:val="-7"/>
          <w:w w:val="85"/>
          <w:sz w:val="14"/>
        </w:rPr>
        <w:t> </w:t>
      </w:r>
      <w:r>
        <w:rPr>
          <w:rFonts w:ascii="Arial" w:hAnsi="Arial"/>
          <w:w w:val="85"/>
          <w:sz w:val="14"/>
        </w:rPr>
        <w:t>que</w:t>
      </w:r>
      <w:r>
        <w:rPr>
          <w:rFonts w:ascii="Arial" w:hAnsi="Arial"/>
          <w:spacing w:val="-7"/>
          <w:w w:val="85"/>
          <w:sz w:val="14"/>
        </w:rPr>
        <w:t> </w:t>
      </w:r>
      <w:r>
        <w:rPr>
          <w:rFonts w:ascii="Arial" w:hAnsi="Arial"/>
          <w:w w:val="85"/>
          <w:sz w:val="14"/>
        </w:rPr>
        <w:t>continúa teniendo</w:t>
      </w:r>
      <w:r>
        <w:rPr>
          <w:rFonts w:ascii="Arial" w:hAnsi="Arial"/>
          <w:spacing w:val="-9"/>
          <w:w w:val="85"/>
          <w:sz w:val="14"/>
        </w:rPr>
        <w:t> </w:t>
      </w:r>
      <w:r>
        <w:rPr>
          <w:rFonts w:ascii="Arial" w:hAnsi="Arial"/>
          <w:w w:val="85"/>
          <w:sz w:val="14"/>
        </w:rPr>
        <w:t>la</w:t>
      </w:r>
      <w:r>
        <w:rPr>
          <w:rFonts w:ascii="Arial" w:hAnsi="Arial"/>
          <w:spacing w:val="-9"/>
          <w:w w:val="85"/>
          <w:sz w:val="14"/>
        </w:rPr>
        <w:t> </w:t>
      </w:r>
      <w:r>
        <w:rPr>
          <w:rFonts w:ascii="Arial" w:hAnsi="Arial"/>
          <w:w w:val="85"/>
          <w:sz w:val="14"/>
        </w:rPr>
        <w:t>economía</w:t>
      </w:r>
      <w:r>
        <w:rPr>
          <w:rFonts w:ascii="Arial" w:hAnsi="Arial"/>
          <w:spacing w:val="-9"/>
          <w:w w:val="85"/>
          <w:sz w:val="14"/>
        </w:rPr>
        <w:t> </w:t>
      </w:r>
      <w:r>
        <w:rPr>
          <w:rFonts w:ascii="Arial" w:hAnsi="Arial"/>
          <w:w w:val="85"/>
          <w:sz w:val="14"/>
        </w:rPr>
        <w:t>estadounidense</w:t>
      </w:r>
      <w:r>
        <w:rPr>
          <w:rFonts w:ascii="Arial" w:hAnsi="Arial"/>
          <w:spacing w:val="-9"/>
          <w:w w:val="85"/>
          <w:sz w:val="14"/>
        </w:rPr>
        <w:t> </w:t>
      </w:r>
      <w:r>
        <w:rPr>
          <w:rFonts w:ascii="Arial" w:hAnsi="Arial"/>
          <w:w w:val="85"/>
          <w:sz w:val="14"/>
        </w:rPr>
        <w:t>para</w:t>
      </w:r>
      <w:r>
        <w:rPr>
          <w:rFonts w:ascii="Arial" w:hAnsi="Arial"/>
          <w:spacing w:val="-9"/>
          <w:w w:val="85"/>
          <w:sz w:val="14"/>
        </w:rPr>
        <w:t> </w:t>
      </w:r>
      <w:r>
        <w:rPr>
          <w:rFonts w:ascii="Arial" w:hAnsi="Arial"/>
          <w:w w:val="85"/>
          <w:sz w:val="14"/>
        </w:rPr>
        <w:t>el</w:t>
      </w:r>
      <w:r>
        <w:rPr>
          <w:rFonts w:ascii="Arial" w:hAnsi="Arial"/>
          <w:spacing w:val="-9"/>
          <w:w w:val="85"/>
          <w:sz w:val="14"/>
        </w:rPr>
        <w:t> </w:t>
      </w:r>
      <w:r>
        <w:rPr>
          <w:rFonts w:ascii="Arial" w:hAnsi="Arial"/>
          <w:w w:val="85"/>
          <w:sz w:val="14"/>
        </w:rPr>
        <w:t>desempeño</w:t>
      </w:r>
      <w:r>
        <w:rPr>
          <w:rFonts w:ascii="Arial" w:hAnsi="Arial"/>
          <w:spacing w:val="-9"/>
          <w:w w:val="85"/>
          <w:sz w:val="14"/>
        </w:rPr>
        <w:t> </w:t>
      </w:r>
      <w:r>
        <w:rPr>
          <w:rFonts w:ascii="Arial" w:hAnsi="Arial"/>
          <w:w w:val="85"/>
          <w:sz w:val="14"/>
        </w:rPr>
        <w:t>económico</w:t>
      </w:r>
      <w:r>
        <w:rPr>
          <w:rFonts w:ascii="Arial" w:hAnsi="Arial"/>
          <w:spacing w:val="-9"/>
          <w:w w:val="85"/>
          <w:sz w:val="14"/>
        </w:rPr>
        <w:t> </w:t>
      </w:r>
      <w:r>
        <w:rPr>
          <w:rFonts w:ascii="Arial" w:hAnsi="Arial"/>
          <w:w w:val="85"/>
          <w:sz w:val="14"/>
        </w:rPr>
        <w:t>en</w:t>
      </w:r>
      <w:r>
        <w:rPr>
          <w:rFonts w:ascii="Arial" w:hAnsi="Arial"/>
          <w:spacing w:val="-13"/>
          <w:w w:val="85"/>
          <w:sz w:val="14"/>
        </w:rPr>
        <w:t> </w:t>
      </w:r>
      <w:r>
        <w:rPr>
          <w:rFonts w:ascii="Arial" w:hAnsi="Arial"/>
          <w:w w:val="85"/>
          <w:sz w:val="14"/>
        </w:rPr>
        <w:t>América</w:t>
      </w:r>
      <w:r>
        <w:rPr>
          <w:rFonts w:ascii="Arial" w:hAnsi="Arial"/>
          <w:spacing w:val="-9"/>
          <w:w w:val="85"/>
          <w:sz w:val="14"/>
        </w:rPr>
        <w:t> </w:t>
      </w:r>
      <w:r>
        <w:rPr>
          <w:rFonts w:ascii="Arial" w:hAnsi="Arial"/>
          <w:w w:val="85"/>
          <w:sz w:val="14"/>
        </w:rPr>
        <w:t>Latina</w:t>
      </w:r>
      <w:r>
        <w:rPr>
          <w:rFonts w:ascii="Arial" w:hAnsi="Arial"/>
          <w:spacing w:val="-9"/>
          <w:w w:val="85"/>
          <w:sz w:val="14"/>
        </w:rPr>
        <w:t> </w:t>
      </w:r>
      <w:r>
        <w:rPr>
          <w:rFonts w:ascii="Arial" w:hAnsi="Arial"/>
          <w:w w:val="85"/>
          <w:sz w:val="14"/>
        </w:rPr>
        <w:t>y</w:t>
      </w:r>
      <w:r>
        <w:rPr>
          <w:rFonts w:ascii="Arial" w:hAnsi="Arial"/>
          <w:spacing w:val="-9"/>
          <w:w w:val="85"/>
          <w:sz w:val="14"/>
        </w:rPr>
        <w:t> </w:t>
      </w:r>
      <w:r>
        <w:rPr>
          <w:rFonts w:ascii="Arial" w:hAnsi="Arial"/>
          <w:w w:val="85"/>
          <w:sz w:val="14"/>
        </w:rPr>
        <w:t>el</w:t>
      </w:r>
      <w:r>
        <w:rPr>
          <w:rFonts w:ascii="Arial" w:hAnsi="Arial"/>
          <w:spacing w:val="-9"/>
          <w:w w:val="85"/>
          <w:sz w:val="14"/>
        </w:rPr>
        <w:t> </w:t>
      </w:r>
      <w:r>
        <w:rPr>
          <w:rFonts w:ascii="Arial" w:hAnsi="Arial"/>
          <w:w w:val="85"/>
          <w:sz w:val="14"/>
        </w:rPr>
        <w:t>Caribe</w:t>
      </w:r>
      <w:r>
        <w:rPr>
          <w:rFonts w:ascii="Arial" w:hAnsi="Arial"/>
          <w:spacing w:val="-9"/>
          <w:w w:val="85"/>
          <w:sz w:val="14"/>
        </w:rPr>
        <w:t> </w:t>
      </w:r>
      <w:r>
        <w:rPr>
          <w:rFonts w:ascii="Arial" w:hAnsi="Arial"/>
          <w:w w:val="85"/>
          <w:sz w:val="14"/>
        </w:rPr>
        <w:t>en</w:t>
      </w:r>
      <w:r>
        <w:rPr>
          <w:rFonts w:ascii="Arial" w:hAnsi="Arial"/>
          <w:spacing w:val="-9"/>
          <w:w w:val="85"/>
          <w:sz w:val="14"/>
        </w:rPr>
        <w:t> </w:t>
      </w:r>
      <w:r>
        <w:rPr>
          <w:rFonts w:ascii="Arial" w:hAnsi="Arial"/>
          <w:w w:val="85"/>
          <w:sz w:val="14"/>
        </w:rPr>
        <w:t>relación</w:t>
      </w:r>
      <w:r>
        <w:rPr>
          <w:rFonts w:ascii="Arial" w:hAnsi="Arial"/>
          <w:spacing w:val="-9"/>
          <w:w w:val="85"/>
          <w:sz w:val="14"/>
        </w:rPr>
        <w:t> </w:t>
      </w:r>
      <w:r>
        <w:rPr>
          <w:rFonts w:ascii="Arial" w:hAnsi="Arial"/>
          <w:w w:val="85"/>
          <w:sz w:val="14"/>
        </w:rPr>
        <w:t>a</w:t>
      </w:r>
      <w:r>
        <w:rPr>
          <w:rFonts w:ascii="Arial" w:hAnsi="Arial"/>
          <w:spacing w:val="-9"/>
          <w:w w:val="85"/>
          <w:sz w:val="14"/>
        </w:rPr>
        <w:t> </w:t>
      </w:r>
      <w:r>
        <w:rPr>
          <w:rFonts w:ascii="Arial" w:hAnsi="Arial"/>
          <w:w w:val="85"/>
          <w:sz w:val="14"/>
        </w:rPr>
        <w:t>la</w:t>
      </w:r>
      <w:r>
        <w:rPr>
          <w:rFonts w:ascii="Arial" w:hAnsi="Arial"/>
          <w:spacing w:val="-9"/>
          <w:w w:val="85"/>
          <w:sz w:val="14"/>
        </w:rPr>
        <w:t> </w:t>
      </w:r>
      <w:r>
        <w:rPr>
          <w:rFonts w:ascii="Arial" w:hAnsi="Arial"/>
          <w:w w:val="85"/>
          <w:sz w:val="14"/>
        </w:rPr>
        <w:t>Unión</w:t>
      </w:r>
      <w:r>
        <w:rPr>
          <w:rFonts w:ascii="Arial" w:hAnsi="Arial"/>
          <w:spacing w:val="-9"/>
          <w:w w:val="85"/>
          <w:sz w:val="14"/>
        </w:rPr>
        <w:t> </w:t>
      </w:r>
      <w:r>
        <w:rPr>
          <w:rFonts w:ascii="Arial" w:hAnsi="Arial"/>
          <w:w w:val="85"/>
          <w:sz w:val="14"/>
        </w:rPr>
        <w:t>Europea</w:t>
      </w:r>
      <w:r>
        <w:rPr>
          <w:rFonts w:ascii="Arial" w:hAnsi="Arial"/>
          <w:spacing w:val="-9"/>
          <w:w w:val="85"/>
          <w:sz w:val="14"/>
        </w:rPr>
        <w:t> </w:t>
      </w:r>
      <w:r>
        <w:rPr>
          <w:rFonts w:ascii="Arial" w:hAnsi="Arial"/>
          <w:w w:val="85"/>
          <w:sz w:val="14"/>
        </w:rPr>
        <w:t>y China,</w:t>
      </w:r>
      <w:r>
        <w:rPr>
          <w:rFonts w:ascii="Arial" w:hAnsi="Arial"/>
          <w:spacing w:val="-13"/>
          <w:w w:val="85"/>
          <w:sz w:val="14"/>
        </w:rPr>
        <w:t> </w:t>
      </w:r>
      <w:r>
        <w:rPr>
          <w:rFonts w:ascii="Arial" w:hAnsi="Arial"/>
          <w:w w:val="85"/>
          <w:sz w:val="14"/>
        </w:rPr>
        <w:t>aunque</w:t>
      </w:r>
      <w:r>
        <w:rPr>
          <w:rFonts w:ascii="Arial" w:hAnsi="Arial"/>
          <w:spacing w:val="-9"/>
          <w:w w:val="85"/>
          <w:sz w:val="14"/>
        </w:rPr>
        <w:t> </w:t>
      </w:r>
      <w:r>
        <w:rPr>
          <w:rFonts w:ascii="Arial" w:hAnsi="Arial"/>
          <w:w w:val="85"/>
          <w:sz w:val="14"/>
        </w:rPr>
        <w:t>destaca</w:t>
      </w:r>
      <w:r>
        <w:rPr>
          <w:rFonts w:ascii="Arial" w:hAnsi="Arial"/>
          <w:spacing w:val="-9"/>
          <w:w w:val="85"/>
          <w:sz w:val="14"/>
        </w:rPr>
        <w:t> </w:t>
      </w:r>
      <w:r>
        <w:rPr>
          <w:rFonts w:ascii="Arial" w:hAnsi="Arial"/>
          <w:w w:val="85"/>
          <w:sz w:val="14"/>
        </w:rPr>
        <w:t>el</w:t>
      </w:r>
      <w:r>
        <w:rPr>
          <w:rFonts w:ascii="Arial" w:hAnsi="Arial"/>
          <w:spacing w:val="-9"/>
          <w:w w:val="85"/>
          <w:sz w:val="14"/>
        </w:rPr>
        <w:t> </w:t>
      </w:r>
      <w:r>
        <w:rPr>
          <w:rFonts w:ascii="Arial" w:hAnsi="Arial"/>
          <w:w w:val="85"/>
          <w:sz w:val="14"/>
        </w:rPr>
        <w:t>rol</w:t>
      </w:r>
      <w:r>
        <w:rPr>
          <w:rFonts w:ascii="Arial" w:hAnsi="Arial"/>
          <w:spacing w:val="-9"/>
          <w:w w:val="85"/>
          <w:sz w:val="14"/>
        </w:rPr>
        <w:t> </w:t>
      </w:r>
      <w:r>
        <w:rPr>
          <w:rFonts w:ascii="Arial" w:hAnsi="Arial"/>
          <w:w w:val="85"/>
          <w:sz w:val="14"/>
        </w:rPr>
        <w:t>no</w:t>
      </w:r>
      <w:r>
        <w:rPr>
          <w:rFonts w:ascii="Arial" w:hAnsi="Arial"/>
          <w:spacing w:val="-9"/>
          <w:w w:val="85"/>
          <w:sz w:val="14"/>
        </w:rPr>
        <w:t> </w:t>
      </w:r>
      <w:r>
        <w:rPr>
          <w:rFonts w:ascii="Arial" w:hAnsi="Arial"/>
          <w:w w:val="85"/>
          <w:sz w:val="14"/>
        </w:rPr>
        <w:t>despreciable</w:t>
      </w:r>
      <w:r>
        <w:rPr>
          <w:rFonts w:ascii="Arial" w:hAnsi="Arial"/>
          <w:spacing w:val="-9"/>
          <w:w w:val="85"/>
          <w:sz w:val="14"/>
        </w:rPr>
        <w:t> </w:t>
      </w:r>
      <w:r>
        <w:rPr>
          <w:rFonts w:ascii="Arial" w:hAnsi="Arial"/>
          <w:w w:val="85"/>
          <w:sz w:val="14"/>
        </w:rPr>
        <w:t>de</w:t>
      </w:r>
      <w:r>
        <w:rPr>
          <w:rFonts w:ascii="Arial" w:hAnsi="Arial"/>
          <w:spacing w:val="-9"/>
          <w:w w:val="85"/>
          <w:sz w:val="14"/>
        </w:rPr>
        <w:t> </w:t>
      </w:r>
      <w:r>
        <w:rPr>
          <w:rFonts w:ascii="Arial" w:hAnsi="Arial"/>
          <w:w w:val="85"/>
          <w:sz w:val="14"/>
        </w:rPr>
        <w:t>este</w:t>
      </w:r>
      <w:r>
        <w:rPr>
          <w:rFonts w:ascii="Arial" w:hAnsi="Arial"/>
          <w:spacing w:val="-9"/>
          <w:w w:val="85"/>
          <w:sz w:val="14"/>
        </w:rPr>
        <w:t> </w:t>
      </w:r>
      <w:r>
        <w:rPr>
          <w:rFonts w:ascii="Arial" w:hAnsi="Arial"/>
          <w:w w:val="85"/>
          <w:sz w:val="14"/>
        </w:rPr>
        <w:t>último</w:t>
      </w:r>
      <w:r>
        <w:rPr>
          <w:rFonts w:ascii="Arial" w:hAnsi="Arial"/>
          <w:spacing w:val="-9"/>
          <w:w w:val="85"/>
          <w:sz w:val="14"/>
        </w:rPr>
        <w:t> </w:t>
      </w:r>
      <w:r>
        <w:rPr>
          <w:rFonts w:ascii="Arial" w:hAnsi="Arial"/>
          <w:w w:val="85"/>
          <w:sz w:val="14"/>
        </w:rPr>
        <w:t>en</w:t>
      </w:r>
      <w:r>
        <w:rPr>
          <w:rFonts w:ascii="Arial" w:hAnsi="Arial"/>
          <w:spacing w:val="-9"/>
          <w:w w:val="85"/>
          <w:sz w:val="14"/>
        </w:rPr>
        <w:t> </w:t>
      </w:r>
      <w:r>
        <w:rPr>
          <w:rFonts w:ascii="Arial" w:hAnsi="Arial"/>
          <w:w w:val="85"/>
          <w:sz w:val="14"/>
        </w:rPr>
        <w:t>el</w:t>
      </w:r>
      <w:r>
        <w:rPr>
          <w:rFonts w:ascii="Arial" w:hAnsi="Arial"/>
          <w:spacing w:val="-9"/>
          <w:w w:val="85"/>
          <w:sz w:val="14"/>
        </w:rPr>
        <w:t> </w:t>
      </w:r>
      <w:r>
        <w:rPr>
          <w:rFonts w:ascii="Arial" w:hAnsi="Arial"/>
          <w:w w:val="85"/>
          <w:sz w:val="14"/>
        </w:rPr>
        <w:t>desempeño</w:t>
      </w:r>
      <w:r>
        <w:rPr>
          <w:rFonts w:ascii="Arial" w:hAnsi="Arial"/>
          <w:spacing w:val="-9"/>
          <w:w w:val="85"/>
          <w:sz w:val="14"/>
        </w:rPr>
        <w:t> </w:t>
      </w:r>
      <w:r>
        <w:rPr>
          <w:rFonts w:ascii="Arial" w:hAnsi="Arial"/>
          <w:w w:val="85"/>
          <w:sz w:val="14"/>
        </w:rPr>
        <w:t>regional,</w:t>
      </w:r>
      <w:r>
        <w:rPr>
          <w:rFonts w:ascii="Arial" w:hAnsi="Arial"/>
          <w:spacing w:val="-13"/>
          <w:w w:val="85"/>
          <w:sz w:val="14"/>
        </w:rPr>
        <w:t> </w:t>
      </w:r>
      <w:r>
        <w:rPr>
          <w:rFonts w:ascii="Arial" w:hAnsi="Arial"/>
          <w:w w:val="85"/>
          <w:sz w:val="14"/>
        </w:rPr>
        <w:t>un</w:t>
      </w:r>
      <w:r>
        <w:rPr>
          <w:rFonts w:ascii="Arial" w:hAnsi="Arial"/>
          <w:spacing w:val="-9"/>
          <w:w w:val="85"/>
          <w:sz w:val="14"/>
        </w:rPr>
        <w:t> </w:t>
      </w:r>
      <w:r>
        <w:rPr>
          <w:rFonts w:ascii="Arial" w:hAnsi="Arial"/>
          <w:w w:val="85"/>
          <w:sz w:val="14"/>
        </w:rPr>
        <w:t>elemento</w:t>
      </w:r>
      <w:r>
        <w:rPr>
          <w:rFonts w:ascii="Arial" w:hAnsi="Arial"/>
          <w:spacing w:val="-9"/>
          <w:w w:val="85"/>
          <w:sz w:val="14"/>
        </w:rPr>
        <w:t> </w:t>
      </w:r>
      <w:r>
        <w:rPr>
          <w:rFonts w:ascii="Arial" w:hAnsi="Arial"/>
          <w:w w:val="85"/>
          <w:sz w:val="14"/>
        </w:rPr>
        <w:t>sin</w:t>
      </w:r>
      <w:r>
        <w:rPr>
          <w:rFonts w:ascii="Arial" w:hAnsi="Arial"/>
          <w:spacing w:val="-9"/>
          <w:w w:val="85"/>
          <w:sz w:val="14"/>
        </w:rPr>
        <w:t> </w:t>
      </w:r>
      <w:r>
        <w:rPr>
          <w:rFonts w:ascii="Arial" w:hAnsi="Arial"/>
          <w:w w:val="85"/>
          <w:sz w:val="14"/>
        </w:rPr>
        <w:t>dudas</w:t>
      </w:r>
      <w:r>
        <w:rPr>
          <w:rFonts w:ascii="Arial" w:hAnsi="Arial"/>
          <w:spacing w:val="-9"/>
          <w:w w:val="85"/>
          <w:sz w:val="14"/>
        </w:rPr>
        <w:t> </w:t>
      </w:r>
      <w:r>
        <w:rPr>
          <w:rFonts w:ascii="Arial" w:hAnsi="Arial"/>
          <w:w w:val="85"/>
          <w:sz w:val="14"/>
        </w:rPr>
        <w:t>emergente.</w:t>
      </w:r>
    </w:p>
    <w:p>
      <w:pPr>
        <w:pStyle w:val="BodyText"/>
        <w:spacing w:before="8"/>
        <w:rPr>
          <w:rFonts w:ascii="Arial"/>
          <w:sz w:val="16"/>
        </w:rPr>
      </w:pPr>
    </w:p>
    <w:p>
      <w:pPr>
        <w:pStyle w:val="BodyText"/>
        <w:spacing w:line="252" w:lineRule="auto" w:before="72"/>
        <w:ind w:left="850" w:right="1018"/>
        <w:jc w:val="both"/>
      </w:pPr>
      <w:r>
        <w:rPr>
          <w:w w:val="110"/>
        </w:rPr>
        <w:t>Finalmente, la similitud en términos de sincronía económica de la re- gión</w:t>
      </w:r>
      <w:r>
        <w:rPr>
          <w:spacing w:val="-10"/>
          <w:w w:val="110"/>
        </w:rPr>
        <w:t> </w:t>
      </w:r>
      <w:r>
        <w:rPr>
          <w:w w:val="110"/>
        </w:rPr>
        <w:t>con</w:t>
      </w:r>
      <w:r>
        <w:rPr>
          <w:spacing w:val="-10"/>
          <w:w w:val="110"/>
        </w:rPr>
        <w:t> </w:t>
      </w:r>
      <w:r>
        <w:rPr>
          <w:w w:val="110"/>
        </w:rPr>
        <w:t>la</w:t>
      </w:r>
      <w:r>
        <w:rPr>
          <w:spacing w:val="-10"/>
          <w:w w:val="110"/>
        </w:rPr>
        <w:t> </w:t>
      </w:r>
      <w:r>
        <w:rPr>
          <w:w w:val="110"/>
        </w:rPr>
        <w:t>unión</w:t>
      </w:r>
      <w:r>
        <w:rPr>
          <w:spacing w:val="-10"/>
          <w:w w:val="110"/>
        </w:rPr>
        <w:t> </w:t>
      </w:r>
      <w:r>
        <w:rPr>
          <w:w w:val="110"/>
        </w:rPr>
        <w:t>Europea</w:t>
      </w:r>
      <w:r>
        <w:rPr>
          <w:spacing w:val="-10"/>
          <w:w w:val="110"/>
        </w:rPr>
        <w:t> </w:t>
      </w:r>
      <w:r>
        <w:rPr>
          <w:w w:val="110"/>
        </w:rPr>
        <w:t>y</w:t>
      </w:r>
      <w:r>
        <w:rPr>
          <w:spacing w:val="-10"/>
          <w:w w:val="110"/>
        </w:rPr>
        <w:t> </w:t>
      </w:r>
      <w:r>
        <w:rPr>
          <w:w w:val="110"/>
        </w:rPr>
        <w:t>China</w:t>
      </w:r>
      <w:r>
        <w:rPr>
          <w:spacing w:val="-10"/>
          <w:w w:val="110"/>
        </w:rPr>
        <w:t> </w:t>
      </w:r>
      <w:r>
        <w:rPr>
          <w:w w:val="110"/>
        </w:rPr>
        <w:t>separadamente,</w:t>
      </w:r>
      <w:r>
        <w:rPr>
          <w:spacing w:val="-10"/>
          <w:w w:val="110"/>
        </w:rPr>
        <w:t> </w:t>
      </w:r>
      <w:r>
        <w:rPr>
          <w:w w:val="110"/>
        </w:rPr>
        <w:t>confirma</w:t>
      </w:r>
      <w:r>
        <w:rPr>
          <w:spacing w:val="-10"/>
          <w:w w:val="110"/>
        </w:rPr>
        <w:t> </w:t>
      </w:r>
      <w:r>
        <w:rPr>
          <w:w w:val="110"/>
        </w:rPr>
        <w:t>la</w:t>
      </w:r>
      <w:r>
        <w:rPr>
          <w:spacing w:val="-10"/>
          <w:w w:val="110"/>
        </w:rPr>
        <w:t> </w:t>
      </w:r>
      <w:r>
        <w:rPr>
          <w:w w:val="110"/>
        </w:rPr>
        <w:t>crecien- te</w:t>
      </w:r>
      <w:r>
        <w:rPr>
          <w:spacing w:val="-10"/>
          <w:w w:val="110"/>
        </w:rPr>
        <w:t> </w:t>
      </w:r>
      <w:r>
        <w:rPr>
          <w:w w:val="110"/>
        </w:rPr>
        <w:t>importancia</w:t>
      </w:r>
      <w:r>
        <w:rPr>
          <w:spacing w:val="-10"/>
          <w:w w:val="110"/>
        </w:rPr>
        <w:t> </w:t>
      </w:r>
      <w:r>
        <w:rPr>
          <w:w w:val="110"/>
        </w:rPr>
        <w:t>de</w:t>
      </w:r>
      <w:r>
        <w:rPr>
          <w:spacing w:val="-10"/>
          <w:w w:val="110"/>
        </w:rPr>
        <w:t> </w:t>
      </w:r>
      <w:r>
        <w:rPr>
          <w:w w:val="110"/>
        </w:rPr>
        <w:t>un</w:t>
      </w:r>
      <w:r>
        <w:rPr>
          <w:spacing w:val="-10"/>
          <w:w w:val="110"/>
        </w:rPr>
        <w:t> </w:t>
      </w:r>
      <w:r>
        <w:rPr>
          <w:w w:val="110"/>
        </w:rPr>
        <w:t>socio</w:t>
      </w:r>
      <w:r>
        <w:rPr>
          <w:spacing w:val="-10"/>
          <w:w w:val="110"/>
        </w:rPr>
        <w:t> </w:t>
      </w:r>
      <w:r>
        <w:rPr>
          <w:w w:val="110"/>
        </w:rPr>
        <w:t>económico</w:t>
      </w:r>
      <w:r>
        <w:rPr>
          <w:spacing w:val="-10"/>
          <w:w w:val="110"/>
        </w:rPr>
        <w:t> </w:t>
      </w:r>
      <w:r>
        <w:rPr>
          <w:w w:val="110"/>
        </w:rPr>
        <w:t>no</w:t>
      </w:r>
      <w:r>
        <w:rPr>
          <w:spacing w:val="-10"/>
          <w:w w:val="110"/>
        </w:rPr>
        <w:t> </w:t>
      </w:r>
      <w:r>
        <w:rPr>
          <w:w w:val="110"/>
        </w:rPr>
        <w:t>tradicional</w:t>
      </w:r>
      <w:r>
        <w:rPr>
          <w:spacing w:val="-10"/>
          <w:w w:val="110"/>
        </w:rPr>
        <w:t> </w:t>
      </w:r>
      <w:r>
        <w:rPr>
          <w:w w:val="110"/>
        </w:rPr>
        <w:t>y</w:t>
      </w:r>
      <w:r>
        <w:rPr>
          <w:spacing w:val="-10"/>
          <w:w w:val="110"/>
        </w:rPr>
        <w:t> </w:t>
      </w:r>
      <w:r>
        <w:rPr>
          <w:w w:val="110"/>
        </w:rPr>
        <w:t>subdesarrollado</w:t>
      </w:r>
    </w:p>
    <w:p>
      <w:pPr>
        <w:pStyle w:val="BodyText"/>
        <w:spacing w:line="252" w:lineRule="auto"/>
        <w:ind w:left="850" w:right="1019"/>
        <w:jc w:val="both"/>
      </w:pPr>
      <w:r>
        <w:rPr>
          <w:w w:val="110"/>
        </w:rPr>
        <w:t>–</w:t>
      </w:r>
      <w:r>
        <w:rPr>
          <w:i/>
          <w:w w:val="110"/>
        </w:rPr>
        <w:t>emergente </w:t>
      </w:r>
      <w:r>
        <w:rPr>
          <w:w w:val="110"/>
        </w:rPr>
        <w:t>o del </w:t>
      </w:r>
      <w:r>
        <w:rPr>
          <w:i/>
          <w:w w:val="110"/>
        </w:rPr>
        <w:t>Sur</w:t>
      </w:r>
      <w:r>
        <w:rPr>
          <w:w w:val="110"/>
        </w:rPr>
        <w:t>– en la región, en relación a un socio tradicional de particular significación económica a lo largo de la historia para la región como la unión Europea. aún cuando esta última mantiene un rol trascendental como uno de los principales socios de la región, su posición relativa ha decrecido especialmente en la última década.</w:t>
      </w:r>
    </w:p>
    <w:p>
      <w:pPr>
        <w:pStyle w:val="BodyText"/>
        <w:spacing w:line="252" w:lineRule="auto"/>
        <w:ind w:left="850" w:right="1018" w:firstLine="396"/>
        <w:jc w:val="both"/>
      </w:pPr>
      <w:r>
        <w:rPr>
          <w:w w:val="125"/>
        </w:rPr>
        <w:t>a </w:t>
      </w:r>
      <w:r>
        <w:rPr>
          <w:w w:val="110"/>
        </w:rPr>
        <w:t>continuación se propone una mirada a cada uno de los rasgos que caracterizan la interrelación económica de la región con Estados unidos y en comparación con la unión Europea y China, desde di- versos ámbitos (comercial y financiero). En este caso, se privilegia no sólo una mirada a la evolución histórica de esta interrelación econó- mica con énfasis en el siglo </w:t>
      </w:r>
      <w:r>
        <w:rPr>
          <w:w w:val="125"/>
        </w:rPr>
        <w:t>xxi, </w:t>
      </w:r>
      <w:r>
        <w:rPr>
          <w:w w:val="110"/>
        </w:rPr>
        <w:t>sino también un enfoque subregional que permita identificar las diferenciaciones regionales.</w:t>
      </w:r>
    </w:p>
    <w:p>
      <w:pPr>
        <w:pStyle w:val="BodyText"/>
        <w:spacing w:before="11"/>
      </w:pPr>
    </w:p>
    <w:p>
      <w:pPr>
        <w:spacing w:line="252" w:lineRule="auto" w:before="0"/>
        <w:ind w:left="850" w:right="1018" w:firstLine="0"/>
        <w:jc w:val="both"/>
        <w:rPr>
          <w:i/>
          <w:sz w:val="19"/>
        </w:rPr>
      </w:pPr>
      <w:r>
        <w:rPr>
          <w:i/>
          <w:w w:val="110"/>
          <w:sz w:val="19"/>
        </w:rPr>
        <w:t>Rasgo 1</w:t>
      </w:r>
      <w:r>
        <w:rPr>
          <w:w w:val="110"/>
          <w:sz w:val="19"/>
        </w:rPr>
        <w:t>: En el contexto de la primera década del siglo </w:t>
      </w:r>
      <w:r>
        <w:rPr>
          <w:w w:val="130"/>
          <w:sz w:val="19"/>
        </w:rPr>
        <w:t>xxi, </w:t>
      </w:r>
      <w:r>
        <w:rPr>
          <w:w w:val="110"/>
          <w:sz w:val="19"/>
        </w:rPr>
        <w:t>la presen- cia comercial de </w:t>
      </w:r>
      <w:r>
        <w:rPr>
          <w:i/>
          <w:w w:val="110"/>
          <w:sz w:val="19"/>
        </w:rPr>
        <w:t>Estados Unidos en América Latina y el Caribe (tanto</w:t>
      </w:r>
    </w:p>
    <w:p>
      <w:pPr>
        <w:spacing w:after="0" w:line="252" w:lineRule="auto"/>
        <w:jc w:val="both"/>
        <w:rPr>
          <w:sz w:val="19"/>
        </w:rPr>
        <w:sectPr>
          <w:type w:val="continuous"/>
          <w:pgSz w:w="8790" w:h="12760"/>
          <w:pgMar w:top="360" w:bottom="280" w:left="680" w:right="0"/>
        </w:sectPr>
      </w:pPr>
    </w:p>
    <w:p>
      <w:pPr>
        <w:pStyle w:val="BodyText"/>
        <w:spacing w:before="9"/>
        <w:rPr>
          <w:i/>
          <w:sz w:val="28"/>
        </w:rPr>
      </w:pPr>
    </w:p>
    <w:p>
      <w:pPr>
        <w:spacing w:line="252" w:lineRule="auto" w:before="73"/>
        <w:ind w:left="120" w:right="868" w:firstLine="0"/>
        <w:jc w:val="both"/>
        <w:rPr>
          <w:sz w:val="19"/>
        </w:rPr>
      </w:pPr>
      <w:r>
        <w:rPr>
          <w:i/>
          <w:w w:val="115"/>
          <w:sz w:val="19"/>
        </w:rPr>
        <w:t>desde</w:t>
      </w:r>
      <w:r>
        <w:rPr>
          <w:i/>
          <w:spacing w:val="-19"/>
          <w:w w:val="115"/>
          <w:sz w:val="19"/>
        </w:rPr>
        <w:t> </w:t>
      </w:r>
      <w:r>
        <w:rPr>
          <w:i/>
          <w:w w:val="115"/>
          <w:sz w:val="19"/>
        </w:rPr>
        <w:t>las</w:t>
      </w:r>
      <w:r>
        <w:rPr>
          <w:i/>
          <w:spacing w:val="-19"/>
          <w:w w:val="115"/>
          <w:sz w:val="19"/>
        </w:rPr>
        <w:t> </w:t>
      </w:r>
      <w:r>
        <w:rPr>
          <w:i/>
          <w:w w:val="115"/>
          <w:sz w:val="19"/>
        </w:rPr>
        <w:t>exportaciones</w:t>
      </w:r>
      <w:r>
        <w:rPr>
          <w:i/>
          <w:spacing w:val="-19"/>
          <w:w w:val="115"/>
          <w:sz w:val="19"/>
        </w:rPr>
        <w:t> </w:t>
      </w:r>
      <w:r>
        <w:rPr>
          <w:i/>
          <w:w w:val="115"/>
          <w:sz w:val="19"/>
        </w:rPr>
        <w:t>como</w:t>
      </w:r>
      <w:r>
        <w:rPr>
          <w:i/>
          <w:spacing w:val="-19"/>
          <w:w w:val="115"/>
          <w:sz w:val="19"/>
        </w:rPr>
        <w:t> </w:t>
      </w:r>
      <w:r>
        <w:rPr>
          <w:i/>
          <w:w w:val="115"/>
          <w:sz w:val="19"/>
        </w:rPr>
        <w:t>las</w:t>
      </w:r>
      <w:r>
        <w:rPr>
          <w:i/>
          <w:spacing w:val="-19"/>
          <w:w w:val="115"/>
          <w:sz w:val="19"/>
        </w:rPr>
        <w:t> </w:t>
      </w:r>
      <w:r>
        <w:rPr>
          <w:i/>
          <w:w w:val="115"/>
          <w:sz w:val="19"/>
        </w:rPr>
        <w:t>importaciones)</w:t>
      </w:r>
      <w:r>
        <w:rPr>
          <w:i/>
          <w:spacing w:val="-19"/>
          <w:w w:val="115"/>
          <w:sz w:val="19"/>
        </w:rPr>
        <w:t> </w:t>
      </w:r>
      <w:r>
        <w:rPr>
          <w:i/>
          <w:w w:val="115"/>
          <w:sz w:val="19"/>
        </w:rPr>
        <w:t>ha</w:t>
      </w:r>
      <w:r>
        <w:rPr>
          <w:i/>
          <w:spacing w:val="-19"/>
          <w:w w:val="115"/>
          <w:sz w:val="19"/>
        </w:rPr>
        <w:t> </w:t>
      </w:r>
      <w:r>
        <w:rPr>
          <w:i/>
          <w:w w:val="115"/>
          <w:sz w:val="19"/>
        </w:rPr>
        <w:t>decrecido</w:t>
      </w:r>
      <w:r>
        <w:rPr>
          <w:i/>
          <w:spacing w:val="-19"/>
          <w:w w:val="115"/>
          <w:sz w:val="19"/>
        </w:rPr>
        <w:t> </w:t>
      </w:r>
      <w:r>
        <w:rPr>
          <w:i/>
          <w:w w:val="115"/>
          <w:sz w:val="19"/>
        </w:rPr>
        <w:t>y</w:t>
      </w:r>
      <w:r>
        <w:rPr>
          <w:i/>
          <w:spacing w:val="-19"/>
          <w:w w:val="115"/>
          <w:sz w:val="19"/>
        </w:rPr>
        <w:t> </w:t>
      </w:r>
      <w:r>
        <w:rPr>
          <w:i/>
          <w:w w:val="115"/>
          <w:sz w:val="19"/>
        </w:rPr>
        <w:t>se</w:t>
      </w:r>
      <w:r>
        <w:rPr>
          <w:i/>
          <w:spacing w:val="-19"/>
          <w:w w:val="115"/>
          <w:sz w:val="19"/>
        </w:rPr>
        <w:t> </w:t>
      </w:r>
      <w:r>
        <w:rPr>
          <w:i/>
          <w:w w:val="115"/>
          <w:sz w:val="19"/>
        </w:rPr>
        <w:t>pro- </w:t>
      </w:r>
      <w:r>
        <w:rPr>
          <w:i/>
          <w:w w:val="115"/>
          <w:sz w:val="19"/>
        </w:rPr>
        <w:t>yecta</w:t>
      </w:r>
      <w:r>
        <w:rPr>
          <w:i/>
          <w:spacing w:val="-28"/>
          <w:w w:val="115"/>
          <w:sz w:val="19"/>
        </w:rPr>
        <w:t> </w:t>
      </w:r>
      <w:r>
        <w:rPr>
          <w:i/>
          <w:w w:val="115"/>
          <w:sz w:val="19"/>
        </w:rPr>
        <w:t>que</w:t>
      </w:r>
      <w:r>
        <w:rPr>
          <w:i/>
          <w:spacing w:val="-28"/>
          <w:w w:val="115"/>
          <w:sz w:val="19"/>
        </w:rPr>
        <w:t> </w:t>
      </w:r>
      <w:r>
        <w:rPr>
          <w:i/>
          <w:w w:val="115"/>
          <w:sz w:val="19"/>
        </w:rPr>
        <w:t>continúe</w:t>
      </w:r>
      <w:r>
        <w:rPr>
          <w:i/>
          <w:spacing w:val="-28"/>
          <w:w w:val="115"/>
          <w:sz w:val="19"/>
        </w:rPr>
        <w:t> </w:t>
      </w:r>
      <w:r>
        <w:rPr>
          <w:i/>
          <w:w w:val="115"/>
          <w:sz w:val="19"/>
        </w:rPr>
        <w:t>deteriorándose</w:t>
      </w:r>
      <w:r>
        <w:rPr>
          <w:i/>
          <w:spacing w:val="-28"/>
          <w:w w:val="115"/>
          <w:sz w:val="19"/>
        </w:rPr>
        <w:t> </w:t>
      </w:r>
      <w:r>
        <w:rPr>
          <w:i/>
          <w:w w:val="115"/>
          <w:sz w:val="19"/>
        </w:rPr>
        <w:t>hacia</w:t>
      </w:r>
      <w:r>
        <w:rPr>
          <w:i/>
          <w:spacing w:val="-28"/>
          <w:w w:val="115"/>
          <w:sz w:val="19"/>
        </w:rPr>
        <w:t> </w:t>
      </w:r>
      <w:r>
        <w:rPr>
          <w:i/>
          <w:w w:val="115"/>
          <w:sz w:val="19"/>
        </w:rPr>
        <w:t>2020</w:t>
      </w:r>
      <w:r>
        <w:rPr>
          <w:i/>
          <w:spacing w:val="-28"/>
          <w:w w:val="115"/>
          <w:sz w:val="19"/>
        </w:rPr>
        <w:t> </w:t>
      </w:r>
      <w:r>
        <w:rPr>
          <w:i/>
          <w:w w:val="115"/>
          <w:sz w:val="19"/>
        </w:rPr>
        <w:t>en</w:t>
      </w:r>
      <w:r>
        <w:rPr>
          <w:i/>
          <w:spacing w:val="-28"/>
          <w:w w:val="115"/>
          <w:sz w:val="19"/>
        </w:rPr>
        <w:t> </w:t>
      </w:r>
      <w:r>
        <w:rPr>
          <w:i/>
          <w:w w:val="115"/>
          <w:sz w:val="19"/>
        </w:rPr>
        <w:t>relación</w:t>
      </w:r>
      <w:r>
        <w:rPr>
          <w:i/>
          <w:spacing w:val="-28"/>
          <w:w w:val="115"/>
          <w:sz w:val="19"/>
        </w:rPr>
        <w:t> </w:t>
      </w:r>
      <w:r>
        <w:rPr>
          <w:i/>
          <w:w w:val="115"/>
          <w:sz w:val="19"/>
        </w:rPr>
        <w:t>a</w:t>
      </w:r>
      <w:r>
        <w:rPr>
          <w:i/>
          <w:spacing w:val="-28"/>
          <w:w w:val="115"/>
          <w:sz w:val="19"/>
        </w:rPr>
        <w:t> </w:t>
      </w:r>
      <w:r>
        <w:rPr>
          <w:i/>
          <w:w w:val="115"/>
          <w:sz w:val="19"/>
        </w:rPr>
        <w:t>otros</w:t>
      </w:r>
      <w:r>
        <w:rPr>
          <w:i/>
          <w:spacing w:val="-28"/>
          <w:w w:val="115"/>
          <w:sz w:val="19"/>
        </w:rPr>
        <w:t> </w:t>
      </w:r>
      <w:r>
        <w:rPr>
          <w:i/>
          <w:w w:val="115"/>
          <w:sz w:val="19"/>
        </w:rPr>
        <w:t>socios comerciales</w:t>
      </w:r>
      <w:r>
        <w:rPr>
          <w:i/>
          <w:spacing w:val="-22"/>
          <w:w w:val="115"/>
          <w:sz w:val="19"/>
        </w:rPr>
        <w:t> </w:t>
      </w:r>
      <w:r>
        <w:rPr>
          <w:i/>
          <w:w w:val="115"/>
          <w:sz w:val="19"/>
        </w:rPr>
        <w:t>como</w:t>
      </w:r>
      <w:r>
        <w:rPr>
          <w:i/>
          <w:spacing w:val="-22"/>
          <w:w w:val="115"/>
          <w:sz w:val="19"/>
        </w:rPr>
        <w:t> </w:t>
      </w:r>
      <w:r>
        <w:rPr>
          <w:i/>
          <w:w w:val="115"/>
          <w:sz w:val="19"/>
        </w:rPr>
        <w:t>China,</w:t>
      </w:r>
      <w:r>
        <w:rPr>
          <w:i/>
          <w:spacing w:val="-22"/>
          <w:w w:val="115"/>
          <w:sz w:val="19"/>
        </w:rPr>
        <w:t> </w:t>
      </w:r>
      <w:r>
        <w:rPr>
          <w:i/>
          <w:w w:val="115"/>
          <w:sz w:val="19"/>
        </w:rPr>
        <w:t>aunque</w:t>
      </w:r>
      <w:r>
        <w:rPr>
          <w:i/>
          <w:spacing w:val="-22"/>
          <w:w w:val="115"/>
          <w:sz w:val="19"/>
        </w:rPr>
        <w:t> </w:t>
      </w:r>
      <w:r>
        <w:rPr>
          <w:i/>
          <w:w w:val="115"/>
          <w:sz w:val="19"/>
        </w:rPr>
        <w:t>manteniéndose</w:t>
      </w:r>
      <w:r>
        <w:rPr>
          <w:i/>
          <w:spacing w:val="-22"/>
          <w:w w:val="115"/>
          <w:sz w:val="19"/>
        </w:rPr>
        <w:t> </w:t>
      </w:r>
      <w:r>
        <w:rPr>
          <w:i/>
          <w:w w:val="115"/>
          <w:sz w:val="19"/>
        </w:rPr>
        <w:t>aún</w:t>
      </w:r>
      <w:r>
        <w:rPr>
          <w:i/>
          <w:spacing w:val="-22"/>
          <w:w w:val="115"/>
          <w:sz w:val="19"/>
        </w:rPr>
        <w:t> </w:t>
      </w:r>
      <w:r>
        <w:rPr>
          <w:i/>
          <w:w w:val="115"/>
          <w:sz w:val="19"/>
        </w:rPr>
        <w:t>como</w:t>
      </w:r>
      <w:r>
        <w:rPr>
          <w:i/>
          <w:spacing w:val="-22"/>
          <w:w w:val="115"/>
          <w:sz w:val="19"/>
        </w:rPr>
        <w:t> </w:t>
      </w:r>
      <w:r>
        <w:rPr>
          <w:i/>
          <w:w w:val="115"/>
          <w:sz w:val="19"/>
        </w:rPr>
        <w:t>el</w:t>
      </w:r>
      <w:r>
        <w:rPr>
          <w:i/>
          <w:spacing w:val="-22"/>
          <w:w w:val="115"/>
          <w:sz w:val="19"/>
        </w:rPr>
        <w:t> </w:t>
      </w:r>
      <w:r>
        <w:rPr>
          <w:i/>
          <w:w w:val="115"/>
          <w:sz w:val="19"/>
        </w:rPr>
        <w:t>principal socio</w:t>
      </w:r>
      <w:r>
        <w:rPr>
          <w:i/>
          <w:spacing w:val="-6"/>
          <w:w w:val="115"/>
          <w:sz w:val="19"/>
        </w:rPr>
        <w:t> </w:t>
      </w:r>
      <w:r>
        <w:rPr>
          <w:i/>
          <w:w w:val="115"/>
          <w:sz w:val="19"/>
        </w:rPr>
        <w:t>comercial</w:t>
      </w:r>
      <w:r>
        <w:rPr>
          <w:i/>
          <w:spacing w:val="-6"/>
          <w:w w:val="115"/>
          <w:sz w:val="19"/>
        </w:rPr>
        <w:t> </w:t>
      </w:r>
      <w:r>
        <w:rPr>
          <w:i/>
          <w:w w:val="115"/>
          <w:sz w:val="19"/>
        </w:rPr>
        <w:t>de</w:t>
      </w:r>
      <w:r>
        <w:rPr>
          <w:i/>
          <w:spacing w:val="-6"/>
          <w:w w:val="115"/>
          <w:sz w:val="19"/>
        </w:rPr>
        <w:t> </w:t>
      </w:r>
      <w:r>
        <w:rPr>
          <w:i/>
          <w:w w:val="115"/>
          <w:sz w:val="19"/>
        </w:rPr>
        <w:t>la</w:t>
      </w:r>
      <w:r>
        <w:rPr>
          <w:i/>
          <w:spacing w:val="-6"/>
          <w:w w:val="115"/>
          <w:sz w:val="19"/>
        </w:rPr>
        <w:t> </w:t>
      </w:r>
      <w:r>
        <w:rPr>
          <w:i/>
          <w:w w:val="115"/>
          <w:sz w:val="19"/>
        </w:rPr>
        <w:t>región</w:t>
      </w:r>
      <w:r>
        <w:rPr>
          <w:i/>
          <w:spacing w:val="-6"/>
          <w:w w:val="115"/>
          <w:sz w:val="19"/>
        </w:rPr>
        <w:t> </w:t>
      </w:r>
      <w:r>
        <w:rPr>
          <w:spacing w:val="-3"/>
          <w:w w:val="115"/>
          <w:sz w:val="19"/>
        </w:rPr>
        <w:t>(CEPal,</w:t>
      </w:r>
      <w:r>
        <w:rPr>
          <w:spacing w:val="-6"/>
          <w:w w:val="115"/>
          <w:sz w:val="19"/>
        </w:rPr>
        <w:t> </w:t>
      </w:r>
      <w:r>
        <w:rPr>
          <w:w w:val="115"/>
          <w:sz w:val="19"/>
        </w:rPr>
        <w:t>2011:</w:t>
      </w:r>
      <w:r>
        <w:rPr>
          <w:spacing w:val="-6"/>
          <w:w w:val="115"/>
          <w:sz w:val="19"/>
        </w:rPr>
        <w:t> </w:t>
      </w:r>
      <w:r>
        <w:rPr>
          <w:w w:val="115"/>
          <w:sz w:val="19"/>
        </w:rPr>
        <w:t>5)</w:t>
      </w:r>
      <w:r>
        <w:rPr>
          <w:spacing w:val="-6"/>
          <w:w w:val="115"/>
          <w:sz w:val="19"/>
        </w:rPr>
        <w:t> </w:t>
      </w:r>
      <w:r>
        <w:rPr>
          <w:w w:val="115"/>
          <w:sz w:val="19"/>
        </w:rPr>
        <w:t>(ver</w:t>
      </w:r>
      <w:r>
        <w:rPr>
          <w:spacing w:val="-6"/>
          <w:w w:val="115"/>
          <w:sz w:val="19"/>
        </w:rPr>
        <w:t> </w:t>
      </w:r>
      <w:r>
        <w:rPr>
          <w:spacing w:val="-4"/>
          <w:w w:val="115"/>
          <w:sz w:val="19"/>
        </w:rPr>
        <w:t>tabla</w:t>
      </w:r>
      <w:r>
        <w:rPr>
          <w:spacing w:val="-6"/>
          <w:w w:val="115"/>
          <w:sz w:val="19"/>
        </w:rPr>
        <w:t> </w:t>
      </w:r>
      <w:r>
        <w:rPr>
          <w:w w:val="115"/>
          <w:sz w:val="19"/>
        </w:rPr>
        <w:t>2).</w:t>
      </w:r>
    </w:p>
    <w:p>
      <w:pPr>
        <w:pStyle w:val="BodyText"/>
        <w:spacing w:line="252" w:lineRule="auto"/>
        <w:ind w:left="120" w:right="868" w:firstLine="396"/>
        <w:jc w:val="both"/>
      </w:pPr>
      <w:r>
        <w:rPr>
          <w:spacing w:val="-5"/>
          <w:w w:val="110"/>
        </w:rPr>
        <w:t>teniendo </w:t>
      </w:r>
      <w:r>
        <w:rPr>
          <w:w w:val="110"/>
        </w:rPr>
        <w:t>en </w:t>
      </w:r>
      <w:r>
        <w:rPr>
          <w:spacing w:val="-3"/>
          <w:w w:val="110"/>
        </w:rPr>
        <w:t>cuenta </w:t>
      </w:r>
      <w:r>
        <w:rPr>
          <w:w w:val="110"/>
        </w:rPr>
        <w:t>que </w:t>
      </w:r>
      <w:r>
        <w:rPr>
          <w:spacing w:val="-3"/>
          <w:w w:val="110"/>
        </w:rPr>
        <w:t>Estados unidos </w:t>
      </w:r>
      <w:r>
        <w:rPr>
          <w:w w:val="110"/>
        </w:rPr>
        <w:t>ha </w:t>
      </w:r>
      <w:r>
        <w:rPr>
          <w:spacing w:val="-3"/>
          <w:w w:val="110"/>
        </w:rPr>
        <w:t>sido tradicionalmente un socio</w:t>
      </w:r>
      <w:r>
        <w:rPr>
          <w:spacing w:val="-10"/>
          <w:w w:val="110"/>
        </w:rPr>
        <w:t> </w:t>
      </w:r>
      <w:r>
        <w:rPr>
          <w:spacing w:val="-3"/>
          <w:w w:val="110"/>
        </w:rPr>
        <w:t>desmesuradamente</w:t>
      </w:r>
      <w:r>
        <w:rPr>
          <w:spacing w:val="-10"/>
          <w:w w:val="110"/>
        </w:rPr>
        <w:t> </w:t>
      </w:r>
      <w:r>
        <w:rPr>
          <w:spacing w:val="-3"/>
          <w:w w:val="110"/>
        </w:rPr>
        <w:t>importante</w:t>
      </w:r>
      <w:r>
        <w:rPr>
          <w:spacing w:val="-10"/>
          <w:w w:val="110"/>
        </w:rPr>
        <w:t> </w:t>
      </w:r>
      <w:r>
        <w:rPr>
          <w:w w:val="110"/>
        </w:rPr>
        <w:t>en</w:t>
      </w:r>
      <w:r>
        <w:rPr>
          <w:spacing w:val="-10"/>
          <w:w w:val="110"/>
        </w:rPr>
        <w:t> </w:t>
      </w:r>
      <w:r>
        <w:rPr>
          <w:w w:val="110"/>
        </w:rPr>
        <w:t>el</w:t>
      </w:r>
      <w:r>
        <w:rPr>
          <w:spacing w:val="-10"/>
          <w:w w:val="110"/>
        </w:rPr>
        <w:t> </w:t>
      </w:r>
      <w:r>
        <w:rPr>
          <w:spacing w:val="-3"/>
          <w:w w:val="110"/>
        </w:rPr>
        <w:t>sector</w:t>
      </w:r>
      <w:r>
        <w:rPr>
          <w:spacing w:val="-10"/>
          <w:w w:val="110"/>
        </w:rPr>
        <w:t> </w:t>
      </w:r>
      <w:r>
        <w:rPr>
          <w:spacing w:val="-3"/>
          <w:w w:val="110"/>
        </w:rPr>
        <w:t>externo</w:t>
      </w:r>
      <w:r>
        <w:rPr>
          <w:spacing w:val="-10"/>
          <w:w w:val="110"/>
        </w:rPr>
        <w:t> </w:t>
      </w:r>
      <w:r>
        <w:rPr>
          <w:spacing w:val="-3"/>
          <w:w w:val="110"/>
        </w:rPr>
        <w:t>latinoamerica- </w:t>
      </w:r>
      <w:r>
        <w:rPr>
          <w:w w:val="110"/>
        </w:rPr>
        <w:t>no</w:t>
      </w:r>
      <w:r>
        <w:rPr>
          <w:spacing w:val="-6"/>
          <w:w w:val="110"/>
        </w:rPr>
        <w:t> </w:t>
      </w:r>
      <w:r>
        <w:rPr>
          <w:w w:val="110"/>
        </w:rPr>
        <w:t>y</w:t>
      </w:r>
      <w:r>
        <w:rPr>
          <w:spacing w:val="-6"/>
          <w:w w:val="110"/>
        </w:rPr>
        <w:t> </w:t>
      </w:r>
      <w:r>
        <w:rPr>
          <w:spacing w:val="-3"/>
          <w:w w:val="110"/>
        </w:rPr>
        <w:t>caribeño,</w:t>
      </w:r>
      <w:r>
        <w:rPr>
          <w:spacing w:val="-6"/>
          <w:w w:val="110"/>
        </w:rPr>
        <w:t> </w:t>
      </w:r>
      <w:r>
        <w:rPr>
          <w:spacing w:val="-3"/>
          <w:w w:val="110"/>
        </w:rPr>
        <w:t>este</w:t>
      </w:r>
      <w:r>
        <w:rPr>
          <w:spacing w:val="-6"/>
          <w:w w:val="110"/>
        </w:rPr>
        <w:t> </w:t>
      </w:r>
      <w:r>
        <w:rPr>
          <w:spacing w:val="-3"/>
          <w:w w:val="110"/>
        </w:rPr>
        <w:t>rasgo</w:t>
      </w:r>
      <w:r>
        <w:rPr>
          <w:spacing w:val="-6"/>
          <w:w w:val="110"/>
        </w:rPr>
        <w:t> </w:t>
      </w:r>
      <w:r>
        <w:rPr>
          <w:spacing w:val="-3"/>
          <w:w w:val="110"/>
        </w:rPr>
        <w:t>constituye</w:t>
      </w:r>
      <w:r>
        <w:rPr>
          <w:spacing w:val="-6"/>
          <w:w w:val="110"/>
        </w:rPr>
        <w:t> </w:t>
      </w:r>
      <w:r>
        <w:rPr>
          <w:w w:val="110"/>
        </w:rPr>
        <w:t>un</w:t>
      </w:r>
      <w:r>
        <w:rPr>
          <w:spacing w:val="-6"/>
          <w:w w:val="110"/>
        </w:rPr>
        <w:t> </w:t>
      </w:r>
      <w:r>
        <w:rPr>
          <w:spacing w:val="-3"/>
          <w:w w:val="110"/>
        </w:rPr>
        <w:t>elemento</w:t>
      </w:r>
      <w:r>
        <w:rPr>
          <w:spacing w:val="-6"/>
          <w:w w:val="110"/>
        </w:rPr>
        <w:t> </w:t>
      </w:r>
      <w:r>
        <w:rPr>
          <w:w w:val="110"/>
        </w:rPr>
        <w:t>no</w:t>
      </w:r>
      <w:r>
        <w:rPr>
          <w:spacing w:val="-6"/>
          <w:w w:val="110"/>
        </w:rPr>
        <w:t> </w:t>
      </w:r>
      <w:r>
        <w:rPr>
          <w:spacing w:val="-3"/>
          <w:w w:val="110"/>
        </w:rPr>
        <w:t>despreciable</w:t>
      </w:r>
      <w:r>
        <w:rPr>
          <w:spacing w:val="-6"/>
          <w:w w:val="110"/>
        </w:rPr>
        <w:t> </w:t>
      </w:r>
      <w:r>
        <w:rPr>
          <w:spacing w:val="-3"/>
          <w:w w:val="110"/>
        </w:rPr>
        <w:t>dentro </w:t>
      </w:r>
      <w:r>
        <w:rPr>
          <w:w w:val="110"/>
        </w:rPr>
        <w:t>del </w:t>
      </w:r>
      <w:r>
        <w:rPr>
          <w:spacing w:val="-3"/>
          <w:w w:val="110"/>
        </w:rPr>
        <w:t>panorama económico </w:t>
      </w:r>
      <w:r>
        <w:rPr>
          <w:w w:val="110"/>
        </w:rPr>
        <w:t>de la </w:t>
      </w:r>
      <w:r>
        <w:rPr>
          <w:spacing w:val="-3"/>
          <w:w w:val="110"/>
        </w:rPr>
        <w:t>región. </w:t>
      </w:r>
      <w:r>
        <w:rPr>
          <w:w w:val="110"/>
        </w:rPr>
        <w:t>de </w:t>
      </w:r>
      <w:r>
        <w:rPr>
          <w:spacing w:val="-3"/>
          <w:w w:val="110"/>
        </w:rPr>
        <w:t>esta manera, esta tendencia   </w:t>
      </w:r>
      <w:r>
        <w:rPr>
          <w:w w:val="110"/>
        </w:rPr>
        <w:t>se </w:t>
      </w:r>
      <w:r>
        <w:rPr>
          <w:spacing w:val="-3"/>
          <w:w w:val="110"/>
        </w:rPr>
        <w:t>erige </w:t>
      </w:r>
      <w:r>
        <w:rPr>
          <w:w w:val="110"/>
        </w:rPr>
        <w:t>en un </w:t>
      </w:r>
      <w:r>
        <w:rPr>
          <w:spacing w:val="-3"/>
          <w:w w:val="110"/>
        </w:rPr>
        <w:t>cambio importante </w:t>
      </w:r>
      <w:r>
        <w:rPr>
          <w:w w:val="110"/>
        </w:rPr>
        <w:t>en la </w:t>
      </w:r>
      <w:r>
        <w:rPr>
          <w:spacing w:val="-3"/>
          <w:w w:val="110"/>
        </w:rPr>
        <w:t>matriz comercial externa </w:t>
      </w:r>
      <w:r>
        <w:rPr>
          <w:w w:val="110"/>
        </w:rPr>
        <w:t>de </w:t>
      </w:r>
      <w:r>
        <w:rPr>
          <w:spacing w:val="-3"/>
          <w:w w:val="110"/>
        </w:rPr>
        <w:t>la región,</w:t>
      </w:r>
      <w:r>
        <w:rPr>
          <w:spacing w:val="-12"/>
          <w:w w:val="110"/>
        </w:rPr>
        <w:t> </w:t>
      </w:r>
      <w:r>
        <w:rPr>
          <w:w w:val="110"/>
        </w:rPr>
        <w:t>y</w:t>
      </w:r>
      <w:r>
        <w:rPr>
          <w:spacing w:val="-12"/>
          <w:w w:val="110"/>
        </w:rPr>
        <w:t> </w:t>
      </w:r>
      <w:r>
        <w:rPr>
          <w:w w:val="110"/>
        </w:rPr>
        <w:t>por</w:t>
      </w:r>
      <w:r>
        <w:rPr>
          <w:spacing w:val="-12"/>
          <w:w w:val="110"/>
        </w:rPr>
        <w:t> </w:t>
      </w:r>
      <w:r>
        <w:rPr>
          <w:spacing w:val="-3"/>
          <w:w w:val="110"/>
        </w:rPr>
        <w:t>consiguiente</w:t>
      </w:r>
      <w:r>
        <w:rPr>
          <w:spacing w:val="-12"/>
          <w:w w:val="110"/>
        </w:rPr>
        <w:t> </w:t>
      </w:r>
      <w:r>
        <w:rPr>
          <w:w w:val="110"/>
        </w:rPr>
        <w:t>en</w:t>
      </w:r>
      <w:r>
        <w:rPr>
          <w:spacing w:val="-12"/>
          <w:w w:val="110"/>
        </w:rPr>
        <w:t> </w:t>
      </w:r>
      <w:r>
        <w:rPr>
          <w:w w:val="110"/>
        </w:rPr>
        <w:t>la</w:t>
      </w:r>
      <w:r>
        <w:rPr>
          <w:spacing w:val="-12"/>
          <w:w w:val="110"/>
        </w:rPr>
        <w:t> </w:t>
      </w:r>
      <w:r>
        <w:rPr>
          <w:spacing w:val="-3"/>
          <w:w w:val="110"/>
        </w:rPr>
        <w:t>significación</w:t>
      </w:r>
      <w:r>
        <w:rPr>
          <w:spacing w:val="-12"/>
          <w:w w:val="110"/>
        </w:rPr>
        <w:t> </w:t>
      </w:r>
      <w:r>
        <w:rPr>
          <w:w w:val="110"/>
        </w:rPr>
        <w:t>de</w:t>
      </w:r>
      <w:r>
        <w:rPr>
          <w:spacing w:val="-12"/>
          <w:w w:val="110"/>
        </w:rPr>
        <w:t> </w:t>
      </w:r>
      <w:r>
        <w:rPr>
          <w:w w:val="110"/>
        </w:rPr>
        <w:t>las</w:t>
      </w:r>
      <w:r>
        <w:rPr>
          <w:spacing w:val="-12"/>
          <w:w w:val="110"/>
        </w:rPr>
        <w:t> </w:t>
      </w:r>
      <w:r>
        <w:rPr>
          <w:spacing w:val="-3"/>
          <w:w w:val="110"/>
        </w:rPr>
        <w:t>relaciones</w:t>
      </w:r>
      <w:r>
        <w:rPr>
          <w:spacing w:val="-12"/>
          <w:w w:val="110"/>
        </w:rPr>
        <w:t> </w:t>
      </w:r>
      <w:r>
        <w:rPr>
          <w:spacing w:val="-3"/>
          <w:w w:val="110"/>
        </w:rPr>
        <w:t>bilaterales.</w:t>
      </w:r>
    </w:p>
    <w:p>
      <w:pPr>
        <w:pStyle w:val="BodyText"/>
        <w:spacing w:before="10"/>
        <w:rPr>
          <w:sz w:val="15"/>
        </w:rPr>
      </w:pPr>
    </w:p>
    <w:p>
      <w:pPr>
        <w:pStyle w:val="ListParagraph"/>
        <w:numPr>
          <w:ilvl w:val="0"/>
          <w:numId w:val="36"/>
        </w:numPr>
        <w:tabs>
          <w:tab w:pos="745" w:val="left" w:leader="none"/>
        </w:tabs>
        <w:spacing w:line="247" w:lineRule="auto" w:before="1" w:after="0"/>
        <w:ind w:left="744" w:right="868" w:hanging="227"/>
        <w:jc w:val="both"/>
        <w:rPr>
          <w:sz w:val="19"/>
        </w:rPr>
      </w:pPr>
      <w:r>
        <w:rPr>
          <w:spacing w:val="-3"/>
          <w:w w:val="243"/>
          <w:sz w:val="19"/>
        </w:rPr>
        <w:t>l</w:t>
      </w:r>
      <w:r>
        <w:rPr>
          <w:spacing w:val="-3"/>
          <w:w w:val="109"/>
          <w:sz w:val="19"/>
        </w:rPr>
        <w:t>a</w:t>
      </w:r>
      <w:r>
        <w:rPr>
          <w:w w:val="109"/>
          <w:sz w:val="19"/>
        </w:rPr>
        <w:t>s</w:t>
      </w:r>
      <w:r>
        <w:rPr>
          <w:sz w:val="19"/>
        </w:rPr>
        <w:t> </w:t>
      </w:r>
      <w:r>
        <w:rPr>
          <w:spacing w:val="-10"/>
          <w:sz w:val="19"/>
        </w:rPr>
        <w:t> </w:t>
      </w:r>
      <w:r>
        <w:rPr>
          <w:spacing w:val="-3"/>
          <w:w w:val="110"/>
          <w:sz w:val="19"/>
        </w:rPr>
        <w:t>importacione</w:t>
      </w:r>
      <w:r>
        <w:rPr>
          <w:w w:val="110"/>
          <w:sz w:val="19"/>
        </w:rPr>
        <w:t>s</w:t>
      </w:r>
      <w:r>
        <w:rPr>
          <w:sz w:val="19"/>
        </w:rPr>
        <w:t> </w:t>
      </w:r>
      <w:r>
        <w:rPr>
          <w:spacing w:val="-10"/>
          <w:sz w:val="19"/>
        </w:rPr>
        <w:t> </w:t>
      </w:r>
      <w:r>
        <w:rPr>
          <w:spacing w:val="-3"/>
          <w:w w:val="107"/>
          <w:sz w:val="19"/>
        </w:rPr>
        <w:t>d</w:t>
      </w:r>
      <w:r>
        <w:rPr>
          <w:w w:val="107"/>
          <w:sz w:val="19"/>
        </w:rPr>
        <w:t>e</w:t>
      </w:r>
      <w:r>
        <w:rPr>
          <w:sz w:val="19"/>
        </w:rPr>
        <w:t> </w:t>
      </w:r>
      <w:r>
        <w:rPr>
          <w:spacing w:val="-10"/>
          <w:sz w:val="19"/>
        </w:rPr>
        <w:t> </w:t>
      </w:r>
      <w:r>
        <w:rPr>
          <w:spacing w:val="-3"/>
          <w:w w:val="111"/>
          <w:sz w:val="19"/>
        </w:rPr>
        <w:t>l</w:t>
      </w:r>
      <w:r>
        <w:rPr>
          <w:w w:val="111"/>
          <w:sz w:val="19"/>
        </w:rPr>
        <w:t>a</w:t>
      </w:r>
      <w:r>
        <w:rPr>
          <w:sz w:val="19"/>
        </w:rPr>
        <w:t> </w:t>
      </w:r>
      <w:r>
        <w:rPr>
          <w:spacing w:val="-10"/>
          <w:sz w:val="19"/>
        </w:rPr>
        <w:t> </w:t>
      </w:r>
      <w:r>
        <w:rPr>
          <w:spacing w:val="-3"/>
          <w:w w:val="109"/>
          <w:sz w:val="19"/>
        </w:rPr>
        <w:t>regió</w:t>
      </w:r>
      <w:r>
        <w:rPr>
          <w:w w:val="109"/>
          <w:sz w:val="19"/>
        </w:rPr>
        <w:t>n</w:t>
      </w:r>
      <w:r>
        <w:rPr>
          <w:sz w:val="19"/>
        </w:rPr>
        <w:t> </w:t>
      </w:r>
      <w:r>
        <w:rPr>
          <w:spacing w:val="-10"/>
          <w:sz w:val="19"/>
        </w:rPr>
        <w:t> </w:t>
      </w:r>
      <w:r>
        <w:rPr>
          <w:spacing w:val="-3"/>
          <w:w w:val="106"/>
          <w:sz w:val="19"/>
        </w:rPr>
        <w:t>desd</w:t>
      </w:r>
      <w:r>
        <w:rPr>
          <w:w w:val="106"/>
          <w:sz w:val="19"/>
        </w:rPr>
        <w:t>e</w:t>
      </w:r>
      <w:r>
        <w:rPr>
          <w:sz w:val="19"/>
        </w:rPr>
        <w:t> </w:t>
      </w:r>
      <w:r>
        <w:rPr>
          <w:spacing w:val="-10"/>
          <w:sz w:val="19"/>
        </w:rPr>
        <w:t> </w:t>
      </w:r>
      <w:r>
        <w:rPr>
          <w:spacing w:val="-3"/>
          <w:w w:val="111"/>
          <w:sz w:val="19"/>
        </w:rPr>
        <w:t>Estado</w:t>
      </w:r>
      <w:r>
        <w:rPr>
          <w:w w:val="111"/>
          <w:sz w:val="19"/>
        </w:rPr>
        <w:t>s</w:t>
      </w:r>
      <w:r>
        <w:rPr>
          <w:sz w:val="19"/>
        </w:rPr>
        <w:t> </w:t>
      </w:r>
      <w:r>
        <w:rPr>
          <w:spacing w:val="-10"/>
          <w:sz w:val="19"/>
        </w:rPr>
        <w:t> </w:t>
      </w:r>
      <w:r>
        <w:rPr>
          <w:spacing w:val="-3"/>
          <w:w w:val="140"/>
          <w:sz w:val="19"/>
        </w:rPr>
        <w:t>u</w:t>
      </w:r>
      <w:r>
        <w:rPr>
          <w:spacing w:val="-3"/>
          <w:w w:val="110"/>
          <w:sz w:val="19"/>
        </w:rPr>
        <w:t>nido</w:t>
      </w:r>
      <w:r>
        <w:rPr>
          <w:w w:val="110"/>
          <w:sz w:val="19"/>
        </w:rPr>
        <w:t>s</w:t>
      </w:r>
      <w:r>
        <w:rPr>
          <w:sz w:val="19"/>
        </w:rPr>
        <w:t> </w:t>
      </w:r>
      <w:r>
        <w:rPr>
          <w:spacing w:val="-10"/>
          <w:sz w:val="19"/>
        </w:rPr>
        <w:t> </w:t>
      </w:r>
      <w:r>
        <w:rPr>
          <w:spacing w:val="-3"/>
          <w:w w:val="109"/>
          <w:sz w:val="19"/>
        </w:rPr>
        <w:t>pasaron </w:t>
      </w:r>
      <w:r>
        <w:rPr>
          <w:w w:val="110"/>
          <w:sz w:val="19"/>
        </w:rPr>
        <w:t>de </w:t>
      </w:r>
      <w:r>
        <w:rPr>
          <w:spacing w:val="-3"/>
          <w:w w:val="110"/>
          <w:sz w:val="19"/>
        </w:rPr>
        <w:t>alrededor </w:t>
      </w:r>
      <w:r>
        <w:rPr>
          <w:w w:val="110"/>
          <w:sz w:val="19"/>
        </w:rPr>
        <w:t>de un 51% del </w:t>
      </w:r>
      <w:r>
        <w:rPr>
          <w:spacing w:val="-3"/>
          <w:w w:val="110"/>
          <w:sz w:val="19"/>
        </w:rPr>
        <w:t>total </w:t>
      </w:r>
      <w:r>
        <w:rPr>
          <w:w w:val="110"/>
          <w:sz w:val="19"/>
        </w:rPr>
        <w:t>en el año </w:t>
      </w:r>
      <w:r>
        <w:rPr>
          <w:spacing w:val="-3"/>
          <w:w w:val="110"/>
          <w:sz w:val="19"/>
        </w:rPr>
        <w:t>2000, </w:t>
      </w:r>
      <w:r>
        <w:rPr>
          <w:w w:val="110"/>
          <w:sz w:val="19"/>
        </w:rPr>
        <w:t>a un </w:t>
      </w:r>
      <w:r>
        <w:rPr>
          <w:spacing w:val="-3"/>
          <w:w w:val="110"/>
          <w:sz w:val="19"/>
        </w:rPr>
        <w:t>33.1% en 2009</w:t>
      </w:r>
      <w:r>
        <w:rPr>
          <w:spacing w:val="-10"/>
          <w:w w:val="110"/>
          <w:sz w:val="19"/>
        </w:rPr>
        <w:t> </w:t>
      </w:r>
      <w:r>
        <w:rPr>
          <w:w w:val="110"/>
          <w:sz w:val="19"/>
        </w:rPr>
        <w:t>y</w:t>
      </w:r>
      <w:r>
        <w:rPr>
          <w:spacing w:val="-10"/>
          <w:w w:val="110"/>
          <w:sz w:val="19"/>
        </w:rPr>
        <w:t> </w:t>
      </w:r>
      <w:r>
        <w:rPr>
          <w:w w:val="110"/>
          <w:sz w:val="19"/>
        </w:rPr>
        <w:t>se</w:t>
      </w:r>
      <w:r>
        <w:rPr>
          <w:spacing w:val="-10"/>
          <w:w w:val="110"/>
          <w:sz w:val="19"/>
        </w:rPr>
        <w:t> </w:t>
      </w:r>
      <w:r>
        <w:rPr>
          <w:spacing w:val="-3"/>
          <w:w w:val="110"/>
          <w:sz w:val="19"/>
        </w:rPr>
        <w:t>proyecta</w:t>
      </w:r>
      <w:r>
        <w:rPr>
          <w:spacing w:val="-10"/>
          <w:w w:val="110"/>
          <w:sz w:val="19"/>
        </w:rPr>
        <w:t> </w:t>
      </w:r>
      <w:r>
        <w:rPr>
          <w:w w:val="110"/>
          <w:sz w:val="19"/>
        </w:rPr>
        <w:t>que</w:t>
      </w:r>
      <w:r>
        <w:rPr>
          <w:spacing w:val="-10"/>
          <w:w w:val="110"/>
          <w:sz w:val="19"/>
        </w:rPr>
        <w:t> </w:t>
      </w:r>
      <w:r>
        <w:rPr>
          <w:spacing w:val="-3"/>
          <w:w w:val="110"/>
          <w:sz w:val="19"/>
        </w:rPr>
        <w:t>esta</w:t>
      </w:r>
      <w:r>
        <w:rPr>
          <w:spacing w:val="-10"/>
          <w:w w:val="110"/>
          <w:sz w:val="19"/>
        </w:rPr>
        <w:t> </w:t>
      </w:r>
      <w:r>
        <w:rPr>
          <w:spacing w:val="-3"/>
          <w:w w:val="110"/>
          <w:sz w:val="19"/>
        </w:rPr>
        <w:t>tendencia</w:t>
      </w:r>
      <w:r>
        <w:rPr>
          <w:spacing w:val="-10"/>
          <w:w w:val="110"/>
          <w:sz w:val="19"/>
        </w:rPr>
        <w:t> </w:t>
      </w:r>
      <w:r>
        <w:rPr>
          <w:spacing w:val="-3"/>
          <w:w w:val="110"/>
          <w:sz w:val="19"/>
        </w:rPr>
        <w:t>decreciente</w:t>
      </w:r>
      <w:r>
        <w:rPr>
          <w:spacing w:val="-10"/>
          <w:w w:val="110"/>
          <w:sz w:val="19"/>
        </w:rPr>
        <w:t> </w:t>
      </w:r>
      <w:r>
        <w:rPr>
          <w:spacing w:val="-3"/>
          <w:w w:val="110"/>
          <w:sz w:val="19"/>
        </w:rPr>
        <w:t>continúe</w:t>
      </w:r>
      <w:r>
        <w:rPr>
          <w:spacing w:val="-10"/>
          <w:w w:val="110"/>
          <w:sz w:val="19"/>
        </w:rPr>
        <w:t> </w:t>
      </w:r>
      <w:r>
        <w:rPr>
          <w:spacing w:val="-3"/>
          <w:w w:val="110"/>
          <w:sz w:val="19"/>
        </w:rPr>
        <w:t>hasta representar</w:t>
      </w:r>
      <w:r>
        <w:rPr>
          <w:spacing w:val="-15"/>
          <w:w w:val="110"/>
          <w:sz w:val="19"/>
        </w:rPr>
        <w:t> </w:t>
      </w:r>
      <w:r>
        <w:rPr>
          <w:spacing w:val="-3"/>
          <w:w w:val="110"/>
          <w:sz w:val="19"/>
        </w:rPr>
        <w:t>alrededor</w:t>
      </w:r>
      <w:r>
        <w:rPr>
          <w:spacing w:val="-15"/>
          <w:w w:val="110"/>
          <w:sz w:val="19"/>
        </w:rPr>
        <w:t> </w:t>
      </w:r>
      <w:r>
        <w:rPr>
          <w:w w:val="110"/>
          <w:sz w:val="19"/>
        </w:rPr>
        <w:t>de</w:t>
      </w:r>
      <w:r>
        <w:rPr>
          <w:spacing w:val="-15"/>
          <w:w w:val="110"/>
          <w:sz w:val="19"/>
        </w:rPr>
        <w:t> </w:t>
      </w:r>
      <w:r>
        <w:rPr>
          <w:w w:val="110"/>
          <w:sz w:val="19"/>
        </w:rPr>
        <w:t>un</w:t>
      </w:r>
      <w:r>
        <w:rPr>
          <w:spacing w:val="-15"/>
          <w:w w:val="110"/>
          <w:sz w:val="19"/>
        </w:rPr>
        <w:t> </w:t>
      </w:r>
      <w:r>
        <w:rPr>
          <w:spacing w:val="-3"/>
          <w:w w:val="110"/>
          <w:sz w:val="19"/>
        </w:rPr>
        <w:t>26.1%</w:t>
      </w:r>
      <w:r>
        <w:rPr>
          <w:spacing w:val="-15"/>
          <w:w w:val="110"/>
          <w:sz w:val="19"/>
        </w:rPr>
        <w:t> </w:t>
      </w:r>
      <w:r>
        <w:rPr>
          <w:w w:val="110"/>
          <w:sz w:val="19"/>
        </w:rPr>
        <w:t>en</w:t>
      </w:r>
      <w:r>
        <w:rPr>
          <w:spacing w:val="-15"/>
          <w:w w:val="110"/>
          <w:sz w:val="19"/>
        </w:rPr>
        <w:t> </w:t>
      </w:r>
      <w:r>
        <w:rPr>
          <w:w w:val="110"/>
          <w:sz w:val="19"/>
        </w:rPr>
        <w:t>el</w:t>
      </w:r>
      <w:r>
        <w:rPr>
          <w:spacing w:val="-15"/>
          <w:w w:val="110"/>
          <w:sz w:val="19"/>
        </w:rPr>
        <w:t> </w:t>
      </w:r>
      <w:r>
        <w:rPr>
          <w:spacing w:val="-3"/>
          <w:w w:val="110"/>
          <w:sz w:val="19"/>
        </w:rPr>
        <w:t>2020</w:t>
      </w:r>
      <w:r>
        <w:rPr>
          <w:spacing w:val="-15"/>
          <w:w w:val="110"/>
          <w:sz w:val="19"/>
        </w:rPr>
        <w:t> </w:t>
      </w:r>
      <w:r>
        <w:rPr>
          <w:spacing w:val="-5"/>
          <w:w w:val="125"/>
          <w:sz w:val="19"/>
        </w:rPr>
        <w:t>(CEPal,</w:t>
      </w:r>
      <w:r>
        <w:rPr>
          <w:spacing w:val="-21"/>
          <w:w w:val="125"/>
          <w:sz w:val="19"/>
        </w:rPr>
        <w:t> </w:t>
      </w:r>
      <w:r>
        <w:rPr>
          <w:spacing w:val="-3"/>
          <w:w w:val="110"/>
          <w:sz w:val="19"/>
        </w:rPr>
        <w:t>2011:</w:t>
      </w:r>
      <w:r>
        <w:rPr>
          <w:spacing w:val="-15"/>
          <w:w w:val="110"/>
          <w:sz w:val="19"/>
        </w:rPr>
        <w:t> </w:t>
      </w:r>
      <w:r>
        <w:rPr>
          <w:w w:val="110"/>
          <w:sz w:val="19"/>
        </w:rPr>
        <w:t>5)</w:t>
      </w:r>
      <w:r>
        <w:rPr>
          <w:w w:val="110"/>
          <w:position w:val="6"/>
          <w:sz w:val="11"/>
        </w:rPr>
        <w:t>26</w:t>
      </w:r>
      <w:r>
        <w:rPr>
          <w:w w:val="110"/>
          <w:sz w:val="19"/>
        </w:rPr>
        <w:t>.</w:t>
      </w:r>
    </w:p>
    <w:p>
      <w:pPr>
        <w:pStyle w:val="ListParagraph"/>
        <w:numPr>
          <w:ilvl w:val="0"/>
          <w:numId w:val="36"/>
        </w:numPr>
        <w:tabs>
          <w:tab w:pos="745" w:val="left" w:leader="none"/>
        </w:tabs>
        <w:spacing w:line="249" w:lineRule="auto" w:before="42" w:after="0"/>
        <w:ind w:left="744" w:right="868" w:hanging="227"/>
        <w:jc w:val="both"/>
        <w:rPr>
          <w:sz w:val="19"/>
        </w:rPr>
      </w:pPr>
      <w:r>
        <w:rPr>
          <w:w w:val="243"/>
          <w:sz w:val="19"/>
        </w:rPr>
        <w:t>l</w:t>
      </w:r>
      <w:r>
        <w:rPr>
          <w:w w:val="109"/>
          <w:sz w:val="19"/>
        </w:rPr>
        <w:t>as</w:t>
      </w:r>
      <w:r>
        <w:rPr>
          <w:spacing w:val="4"/>
          <w:sz w:val="19"/>
        </w:rPr>
        <w:t> </w:t>
      </w:r>
      <w:r>
        <w:rPr>
          <w:w w:val="110"/>
          <w:sz w:val="19"/>
        </w:rPr>
        <w:t>importaciones</w:t>
      </w:r>
      <w:r>
        <w:rPr>
          <w:spacing w:val="4"/>
          <w:sz w:val="19"/>
        </w:rPr>
        <w:t> </w:t>
      </w:r>
      <w:r>
        <w:rPr>
          <w:w w:val="107"/>
          <w:sz w:val="19"/>
        </w:rPr>
        <w:t>de</w:t>
      </w:r>
      <w:r>
        <w:rPr>
          <w:spacing w:val="4"/>
          <w:sz w:val="19"/>
        </w:rPr>
        <w:t> </w:t>
      </w:r>
      <w:r>
        <w:rPr>
          <w:w w:val="111"/>
          <w:sz w:val="19"/>
        </w:rPr>
        <w:t>la</w:t>
      </w:r>
      <w:r>
        <w:rPr>
          <w:spacing w:val="4"/>
          <w:sz w:val="19"/>
        </w:rPr>
        <w:t> </w:t>
      </w:r>
      <w:r>
        <w:rPr>
          <w:w w:val="109"/>
          <w:sz w:val="19"/>
        </w:rPr>
        <w:t>región</w:t>
      </w:r>
      <w:r>
        <w:rPr>
          <w:spacing w:val="4"/>
          <w:sz w:val="19"/>
        </w:rPr>
        <w:t> </w:t>
      </w:r>
      <w:r>
        <w:rPr>
          <w:w w:val="106"/>
          <w:sz w:val="19"/>
        </w:rPr>
        <w:t>desde</w:t>
      </w:r>
      <w:r>
        <w:rPr>
          <w:spacing w:val="4"/>
          <w:sz w:val="19"/>
        </w:rPr>
        <w:t> </w:t>
      </w:r>
      <w:r>
        <w:rPr>
          <w:w w:val="115"/>
          <w:sz w:val="19"/>
        </w:rPr>
        <w:t>China</w:t>
      </w:r>
      <w:r>
        <w:rPr>
          <w:spacing w:val="4"/>
          <w:sz w:val="19"/>
        </w:rPr>
        <w:t> </w:t>
      </w:r>
      <w:r>
        <w:rPr>
          <w:w w:val="111"/>
          <w:sz w:val="19"/>
        </w:rPr>
        <w:t>pasaron,</w:t>
      </w:r>
      <w:r>
        <w:rPr>
          <w:spacing w:val="4"/>
          <w:sz w:val="19"/>
        </w:rPr>
        <w:t> </w:t>
      </w:r>
      <w:r>
        <w:rPr>
          <w:w w:val="111"/>
          <w:sz w:val="19"/>
        </w:rPr>
        <w:t>muy</w:t>
      </w:r>
      <w:r>
        <w:rPr>
          <w:spacing w:val="4"/>
          <w:sz w:val="19"/>
        </w:rPr>
        <w:t> </w:t>
      </w:r>
      <w:r>
        <w:rPr>
          <w:w w:val="110"/>
          <w:sz w:val="19"/>
        </w:rPr>
        <w:t>acel</w:t>
      </w:r>
      <w:r>
        <w:rPr>
          <w:w w:val="102"/>
          <w:sz w:val="19"/>
        </w:rPr>
        <w:t>- </w:t>
      </w:r>
      <w:r>
        <w:rPr>
          <w:w w:val="110"/>
          <w:sz w:val="19"/>
        </w:rPr>
        <w:t>eradamente, de un valor cercano al 1% del total en el año 2000 a 9.5% en 2009 y se espera que su participación alcance un 16.2% en 2020, superando a la unión Europea en importancia y colocándose como el segundo socio comercial de la  </w:t>
      </w:r>
      <w:r>
        <w:rPr>
          <w:spacing w:val="7"/>
          <w:w w:val="110"/>
          <w:sz w:val="19"/>
        </w:rPr>
        <w:t> </w:t>
      </w:r>
      <w:r>
        <w:rPr>
          <w:w w:val="110"/>
          <w:sz w:val="19"/>
        </w:rPr>
        <w:t>región.</w:t>
      </w:r>
    </w:p>
    <w:p>
      <w:pPr>
        <w:pStyle w:val="BodyText"/>
        <w:rPr>
          <w:sz w:val="18"/>
        </w:rPr>
      </w:pPr>
    </w:p>
    <w:p>
      <w:pPr>
        <w:spacing w:before="116"/>
        <w:ind w:left="972" w:right="1039" w:firstLine="0"/>
        <w:jc w:val="center"/>
        <w:rPr>
          <w:rFonts w:ascii="Arial"/>
          <w:b/>
          <w:sz w:val="17"/>
        </w:rPr>
      </w:pPr>
      <w:r>
        <w:rPr>
          <w:rFonts w:ascii="Arial"/>
          <w:b/>
          <w:w w:val="85"/>
          <w:sz w:val="17"/>
        </w:rPr>
        <w:t>Tabla 2</w:t>
      </w:r>
    </w:p>
    <w:p>
      <w:pPr>
        <w:spacing w:line="249" w:lineRule="auto" w:before="8"/>
        <w:ind w:left="972" w:right="1040" w:firstLine="0"/>
        <w:jc w:val="center"/>
        <w:rPr>
          <w:rFonts w:ascii="Arial" w:hAnsi="Arial"/>
          <w:sz w:val="17"/>
        </w:rPr>
      </w:pPr>
      <w:r>
        <w:rPr>
          <w:rFonts w:ascii="Arial" w:hAnsi="Arial"/>
          <w:w w:val="85"/>
          <w:sz w:val="17"/>
        </w:rPr>
        <w:t>América</w:t>
      </w:r>
      <w:r>
        <w:rPr>
          <w:rFonts w:ascii="Arial" w:hAnsi="Arial"/>
          <w:spacing w:val="-17"/>
          <w:w w:val="85"/>
          <w:sz w:val="17"/>
        </w:rPr>
        <w:t> </w:t>
      </w:r>
      <w:r>
        <w:rPr>
          <w:rFonts w:ascii="Arial" w:hAnsi="Arial"/>
          <w:w w:val="85"/>
          <w:sz w:val="17"/>
        </w:rPr>
        <w:t>Latina</w:t>
      </w:r>
      <w:r>
        <w:rPr>
          <w:rFonts w:ascii="Arial" w:hAnsi="Arial"/>
          <w:spacing w:val="-17"/>
          <w:w w:val="85"/>
          <w:sz w:val="17"/>
        </w:rPr>
        <w:t> </w:t>
      </w:r>
      <w:r>
        <w:rPr>
          <w:rFonts w:ascii="Arial" w:hAnsi="Arial"/>
          <w:w w:val="85"/>
          <w:sz w:val="17"/>
        </w:rPr>
        <w:t>y</w:t>
      </w:r>
      <w:r>
        <w:rPr>
          <w:rFonts w:ascii="Arial" w:hAnsi="Arial"/>
          <w:spacing w:val="-17"/>
          <w:w w:val="85"/>
          <w:sz w:val="17"/>
        </w:rPr>
        <w:t> </w:t>
      </w:r>
      <w:r>
        <w:rPr>
          <w:rFonts w:ascii="Arial" w:hAnsi="Arial"/>
          <w:w w:val="85"/>
          <w:sz w:val="17"/>
        </w:rPr>
        <w:t>el</w:t>
      </w:r>
      <w:r>
        <w:rPr>
          <w:rFonts w:ascii="Arial" w:hAnsi="Arial"/>
          <w:spacing w:val="-17"/>
          <w:w w:val="85"/>
          <w:sz w:val="17"/>
        </w:rPr>
        <w:t> </w:t>
      </w:r>
      <w:r>
        <w:rPr>
          <w:rFonts w:ascii="Arial" w:hAnsi="Arial"/>
          <w:w w:val="85"/>
          <w:sz w:val="17"/>
        </w:rPr>
        <w:t>Caribe:</w:t>
      </w:r>
      <w:r>
        <w:rPr>
          <w:rFonts w:ascii="Arial" w:hAnsi="Arial"/>
          <w:spacing w:val="-21"/>
          <w:w w:val="85"/>
          <w:sz w:val="17"/>
        </w:rPr>
        <w:t> </w:t>
      </w:r>
      <w:r>
        <w:rPr>
          <w:rFonts w:ascii="Arial" w:hAnsi="Arial"/>
          <w:w w:val="85"/>
          <w:sz w:val="17"/>
        </w:rPr>
        <w:t>participación</w:t>
      </w:r>
      <w:r>
        <w:rPr>
          <w:rFonts w:ascii="Arial" w:hAnsi="Arial"/>
          <w:spacing w:val="-17"/>
          <w:w w:val="85"/>
          <w:sz w:val="17"/>
        </w:rPr>
        <w:t> </w:t>
      </w:r>
      <w:r>
        <w:rPr>
          <w:rFonts w:ascii="Arial" w:hAnsi="Arial"/>
          <w:w w:val="85"/>
          <w:sz w:val="17"/>
        </w:rPr>
        <w:t>de</w:t>
      </w:r>
      <w:r>
        <w:rPr>
          <w:rFonts w:ascii="Arial" w:hAnsi="Arial"/>
          <w:spacing w:val="-17"/>
          <w:w w:val="85"/>
          <w:sz w:val="17"/>
        </w:rPr>
        <w:t> </w:t>
      </w:r>
      <w:r>
        <w:rPr>
          <w:rFonts w:ascii="Arial" w:hAnsi="Arial"/>
          <w:w w:val="85"/>
          <w:sz w:val="17"/>
        </w:rPr>
        <w:t>Estados</w:t>
      </w:r>
      <w:r>
        <w:rPr>
          <w:rFonts w:ascii="Arial" w:hAnsi="Arial"/>
          <w:spacing w:val="-17"/>
          <w:w w:val="85"/>
          <w:sz w:val="17"/>
        </w:rPr>
        <w:t> </w:t>
      </w:r>
      <w:r>
        <w:rPr>
          <w:rFonts w:ascii="Arial" w:hAnsi="Arial"/>
          <w:w w:val="85"/>
          <w:sz w:val="17"/>
        </w:rPr>
        <w:t>Unidos,</w:t>
      </w:r>
      <w:r>
        <w:rPr>
          <w:rFonts w:ascii="Arial" w:hAnsi="Arial"/>
          <w:spacing w:val="-21"/>
          <w:w w:val="85"/>
          <w:sz w:val="17"/>
        </w:rPr>
        <w:t> </w:t>
      </w:r>
      <w:r>
        <w:rPr>
          <w:rFonts w:ascii="Arial" w:hAnsi="Arial"/>
          <w:w w:val="85"/>
          <w:sz w:val="17"/>
        </w:rPr>
        <w:t>Unión</w:t>
      </w:r>
      <w:r>
        <w:rPr>
          <w:rFonts w:ascii="Arial" w:hAnsi="Arial"/>
          <w:spacing w:val="-17"/>
          <w:w w:val="85"/>
          <w:sz w:val="17"/>
        </w:rPr>
        <w:t> </w:t>
      </w:r>
      <w:r>
        <w:rPr>
          <w:rFonts w:ascii="Arial" w:hAnsi="Arial"/>
          <w:w w:val="85"/>
          <w:sz w:val="17"/>
        </w:rPr>
        <w:t>Europea</w:t>
      </w:r>
      <w:r>
        <w:rPr>
          <w:rFonts w:ascii="Arial" w:hAnsi="Arial"/>
          <w:spacing w:val="-17"/>
          <w:w w:val="85"/>
          <w:sz w:val="17"/>
        </w:rPr>
        <w:t> </w:t>
      </w:r>
      <w:r>
        <w:rPr>
          <w:rFonts w:ascii="Arial" w:hAnsi="Arial"/>
          <w:w w:val="85"/>
          <w:sz w:val="17"/>
        </w:rPr>
        <w:t>y</w:t>
      </w:r>
      <w:r>
        <w:rPr>
          <w:rFonts w:ascii="Arial" w:hAnsi="Arial"/>
          <w:spacing w:val="-17"/>
          <w:w w:val="85"/>
          <w:sz w:val="17"/>
        </w:rPr>
        <w:t> </w:t>
      </w:r>
      <w:r>
        <w:rPr>
          <w:rFonts w:ascii="Arial" w:hAnsi="Arial"/>
          <w:w w:val="85"/>
          <w:sz w:val="17"/>
        </w:rPr>
        <w:t>China </w:t>
      </w:r>
      <w:r>
        <w:rPr>
          <w:rFonts w:ascii="Arial" w:hAnsi="Arial"/>
          <w:w w:val="90"/>
          <w:sz w:val="17"/>
        </w:rPr>
        <w:t>en</w:t>
      </w:r>
      <w:r>
        <w:rPr>
          <w:rFonts w:ascii="Arial" w:hAnsi="Arial"/>
          <w:spacing w:val="-27"/>
          <w:w w:val="90"/>
          <w:sz w:val="17"/>
        </w:rPr>
        <w:t> </w:t>
      </w:r>
      <w:r>
        <w:rPr>
          <w:rFonts w:ascii="Arial" w:hAnsi="Arial"/>
          <w:w w:val="90"/>
          <w:sz w:val="17"/>
        </w:rPr>
        <w:t>el</w:t>
      </w:r>
      <w:r>
        <w:rPr>
          <w:rFonts w:ascii="Arial" w:hAnsi="Arial"/>
          <w:spacing w:val="-27"/>
          <w:w w:val="90"/>
          <w:sz w:val="17"/>
        </w:rPr>
        <w:t> </w:t>
      </w:r>
      <w:r>
        <w:rPr>
          <w:rFonts w:ascii="Arial" w:hAnsi="Arial"/>
          <w:w w:val="90"/>
          <w:sz w:val="17"/>
        </w:rPr>
        <w:t>comercio</w:t>
      </w:r>
      <w:r>
        <w:rPr>
          <w:rFonts w:ascii="Arial" w:hAnsi="Arial"/>
          <w:spacing w:val="-27"/>
          <w:w w:val="90"/>
          <w:sz w:val="17"/>
        </w:rPr>
        <w:t> </w:t>
      </w:r>
      <w:r>
        <w:rPr>
          <w:rFonts w:ascii="Arial" w:hAnsi="Arial"/>
          <w:w w:val="90"/>
          <w:sz w:val="17"/>
        </w:rPr>
        <w:t>total</w:t>
      </w:r>
      <w:r>
        <w:rPr>
          <w:rFonts w:ascii="Arial" w:hAnsi="Arial"/>
          <w:spacing w:val="-27"/>
          <w:w w:val="90"/>
          <w:sz w:val="17"/>
        </w:rPr>
        <w:t> </w:t>
      </w:r>
      <w:r>
        <w:rPr>
          <w:rFonts w:ascii="Arial" w:hAnsi="Arial"/>
          <w:w w:val="90"/>
          <w:sz w:val="17"/>
        </w:rPr>
        <w:t>de</w:t>
      </w:r>
      <w:r>
        <w:rPr>
          <w:rFonts w:ascii="Arial" w:hAnsi="Arial"/>
          <w:spacing w:val="-27"/>
          <w:w w:val="90"/>
          <w:sz w:val="17"/>
        </w:rPr>
        <w:t> </w:t>
      </w:r>
      <w:r>
        <w:rPr>
          <w:rFonts w:ascii="Arial" w:hAnsi="Arial"/>
          <w:w w:val="90"/>
          <w:sz w:val="17"/>
        </w:rPr>
        <w:t>la</w:t>
      </w:r>
      <w:r>
        <w:rPr>
          <w:rFonts w:ascii="Arial" w:hAnsi="Arial"/>
          <w:spacing w:val="-27"/>
          <w:w w:val="90"/>
          <w:sz w:val="17"/>
        </w:rPr>
        <w:t> </w:t>
      </w:r>
      <w:r>
        <w:rPr>
          <w:rFonts w:ascii="Arial" w:hAnsi="Arial"/>
          <w:w w:val="90"/>
          <w:sz w:val="17"/>
        </w:rPr>
        <w:t>región,</w:t>
      </w:r>
      <w:r>
        <w:rPr>
          <w:rFonts w:ascii="Arial" w:hAnsi="Arial"/>
          <w:spacing w:val="-29"/>
          <w:w w:val="90"/>
          <w:sz w:val="17"/>
        </w:rPr>
        <w:t> </w:t>
      </w:r>
      <w:r>
        <w:rPr>
          <w:rFonts w:ascii="Arial" w:hAnsi="Arial"/>
          <w:w w:val="90"/>
          <w:sz w:val="17"/>
        </w:rPr>
        <w:t>2000-2020</w:t>
      </w:r>
      <w:r>
        <w:rPr>
          <w:rFonts w:ascii="Arial" w:hAnsi="Arial"/>
          <w:spacing w:val="-27"/>
          <w:w w:val="90"/>
          <w:sz w:val="17"/>
        </w:rPr>
        <w:t> </w:t>
      </w:r>
      <w:r>
        <w:rPr>
          <w:rFonts w:ascii="Arial" w:hAnsi="Arial"/>
          <w:w w:val="90"/>
          <w:sz w:val="17"/>
        </w:rPr>
        <w:t>(%)</w:t>
      </w:r>
    </w:p>
    <w:p>
      <w:pPr>
        <w:pStyle w:val="BodyText"/>
        <w:rPr>
          <w:rFonts w:ascii="Arial"/>
          <w:sz w:val="14"/>
        </w:rPr>
      </w:pPr>
      <w:r>
        <w:rPr/>
        <w:pict>
          <v:group style="position:absolute;margin-left:50.523602pt;margin-top:10.018893pt;width:349.7pt;height:14.5pt;mso-position-horizontal-relative:page;mso-position-vertical-relative:paragraph;z-index:9280;mso-wrap-distance-left:0;mso-wrap-distance-right:0" coordorigin="1010,200" coordsize="6994,290">
            <v:line style="position:absolute" from="1020,210" to="2891,210" stroked="true" strokeweight="1pt" strokecolor="#000000"/>
            <v:line style="position:absolute" from="2891,210" to="4592,210" stroked="true" strokeweight="1pt" strokecolor="#000000"/>
            <v:line style="position:absolute" from="4592,210" to="6293,210" stroked="true" strokeweight="1pt" strokecolor="#000000"/>
            <v:line style="position:absolute" from="6293,210" to="7994,210" stroked="true" strokeweight="1pt" strokecolor="#000000"/>
            <v:line style="position:absolute" from="2891,443" to="2891,241" stroked="true" strokeweight=".5pt" strokecolor="#000000">
              <v:stroke dashstyle="dash"/>
            </v:line>
            <v:line style="position:absolute" from="2891,475" to="2891,475" stroked="true" strokeweight=".5pt" strokecolor="#000000"/>
            <v:line style="position:absolute" from="2891,225" to="2891,225" stroked="true" strokeweight=".5pt" strokecolor="#000000"/>
            <v:line style="position:absolute" from="4592,443" to="4592,241" stroked="true" strokeweight=".5pt" strokecolor="#000000">
              <v:stroke dashstyle="dash"/>
            </v:line>
            <v:line style="position:absolute" from="4592,475" to="4592,475" stroked="true" strokeweight=".5pt" strokecolor="#000000"/>
            <v:line style="position:absolute" from="4592,225" to="4592,225" stroked="true" strokeweight=".5pt" strokecolor="#000000"/>
            <v:line style="position:absolute" from="6293,443" to="6293,241" stroked="true" strokeweight=".5pt" strokecolor="#000000">
              <v:stroke dashstyle="dash"/>
            </v:line>
            <v:line style="position:absolute" from="6293,475" to="6293,475" stroked="true" strokeweight=".5pt" strokecolor="#000000"/>
            <v:line style="position:absolute" from="6293,225" to="6293,225" stroked="true" strokeweight=".5pt" strokecolor="#000000"/>
            <v:line style="position:absolute" from="1020,485" to="2891,485" stroked="true" strokeweight=".5pt" strokecolor="#000000"/>
            <v:line style="position:absolute" from="2891,485" to="4592,485" stroked="true" strokeweight=".5pt" strokecolor="#000000"/>
            <v:line style="position:absolute" from="4592,485" to="6293,485" stroked="true" strokeweight=".5pt" strokecolor="#000000"/>
            <v:line style="position:absolute" from="6293,485" to="7994,485" stroked="true" strokeweight=".5pt" strokecolor="#000000"/>
            <v:shape style="position:absolute;left:2891;top:210;width:1701;height:275" type="#_x0000_t202" filled="false" stroked="false">
              <v:textbox inset="0,0,0,0">
                <w:txbxContent>
                  <w:p>
                    <w:pPr>
                      <w:spacing w:before="44"/>
                      <w:ind w:left="661" w:right="661" w:firstLine="0"/>
                      <w:jc w:val="center"/>
                      <w:rPr>
                        <w:rFonts w:ascii="Arial"/>
                        <w:sz w:val="16"/>
                      </w:rPr>
                    </w:pPr>
                    <w:r>
                      <w:rPr>
                        <w:rFonts w:ascii="Arial"/>
                        <w:w w:val="95"/>
                        <w:sz w:val="16"/>
                      </w:rPr>
                      <w:t>2000</w:t>
                    </w:r>
                  </w:p>
                </w:txbxContent>
              </v:textbox>
              <w10:wrap type="none"/>
            </v:shape>
            <v:shape style="position:absolute;left:4592;top:210;width:1701;height:275" type="#_x0000_t202" filled="false" stroked="false">
              <v:textbox inset="0,0,0,0">
                <w:txbxContent>
                  <w:p>
                    <w:pPr>
                      <w:spacing w:before="44"/>
                      <w:ind w:left="661" w:right="661" w:firstLine="0"/>
                      <w:jc w:val="center"/>
                      <w:rPr>
                        <w:rFonts w:ascii="Arial"/>
                        <w:sz w:val="16"/>
                      </w:rPr>
                    </w:pPr>
                    <w:r>
                      <w:rPr>
                        <w:rFonts w:ascii="Arial"/>
                        <w:w w:val="95"/>
                        <w:sz w:val="16"/>
                      </w:rPr>
                      <w:t>2009</w:t>
                    </w:r>
                  </w:p>
                </w:txbxContent>
              </v:textbox>
              <w10:wrap type="none"/>
            </v:shape>
            <v:shape style="position:absolute;left:6990;top:274;width:308;height:160" type="#_x0000_t202" filled="false" stroked="false">
              <v:textbox inset="0,0,0,0">
                <w:txbxContent>
                  <w:p>
                    <w:pPr>
                      <w:spacing w:line="160" w:lineRule="exact" w:before="0"/>
                      <w:ind w:left="0" w:right="-15" w:firstLine="0"/>
                      <w:jc w:val="left"/>
                      <w:rPr>
                        <w:rFonts w:ascii="Arial"/>
                        <w:sz w:val="16"/>
                      </w:rPr>
                    </w:pPr>
                    <w:r>
                      <w:rPr>
                        <w:rFonts w:ascii="Arial"/>
                        <w:w w:val="85"/>
                        <w:sz w:val="16"/>
                      </w:rPr>
                      <w:t>2020</w:t>
                    </w:r>
                  </w:p>
                </w:txbxContent>
              </v:textbox>
              <w10:wrap type="none"/>
            </v:shape>
            <w10:wrap type="topAndBottom"/>
          </v:group>
        </w:pict>
      </w:r>
    </w:p>
    <w:p>
      <w:pPr>
        <w:spacing w:before="10" w:after="41"/>
        <w:ind w:left="972" w:right="983" w:firstLine="0"/>
        <w:jc w:val="center"/>
        <w:rPr>
          <w:rFonts w:ascii="Arial"/>
          <w:sz w:val="16"/>
        </w:rPr>
      </w:pPr>
      <w:r>
        <w:rPr>
          <w:rFonts w:ascii="Arial"/>
          <w:w w:val="95"/>
          <w:sz w:val="16"/>
        </w:rPr>
        <w:t>Importaciones</w:t>
      </w: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1"/>
        <w:gridCol w:w="1701"/>
        <w:gridCol w:w="1701"/>
        <w:gridCol w:w="1701"/>
      </w:tblGrid>
      <w:tr>
        <w:trPr>
          <w:trHeight w:val="274" w:hRule="exact"/>
        </w:trPr>
        <w:tc>
          <w:tcPr>
            <w:tcW w:w="1871" w:type="dxa"/>
            <w:tcBorders>
              <w:left w:val="nil"/>
              <w:bottom w:val="dotted" w:sz="4" w:space="0" w:color="000000"/>
              <w:right w:val="dotted" w:sz="4" w:space="0" w:color="000000"/>
            </w:tcBorders>
          </w:tcPr>
          <w:p>
            <w:pPr>
              <w:pStyle w:val="TableParagraph"/>
              <w:spacing w:before="39"/>
              <w:ind w:left="79"/>
              <w:rPr>
                <w:sz w:val="16"/>
              </w:rPr>
            </w:pPr>
            <w:r>
              <w:rPr>
                <w:w w:val="80"/>
                <w:sz w:val="16"/>
              </w:rPr>
              <w:t>Estados Unidos</w:t>
            </w:r>
          </w:p>
        </w:tc>
        <w:tc>
          <w:tcPr>
            <w:tcW w:w="1701" w:type="dxa"/>
            <w:tcBorders>
              <w:left w:val="dotted" w:sz="4" w:space="0" w:color="000000"/>
              <w:bottom w:val="dotted" w:sz="4" w:space="0" w:color="000000"/>
              <w:right w:val="dotted" w:sz="4" w:space="0" w:color="000000"/>
            </w:tcBorders>
          </w:tcPr>
          <w:p>
            <w:pPr>
              <w:pStyle w:val="TableParagraph"/>
              <w:spacing w:before="39"/>
              <w:ind w:left="303" w:right="303"/>
              <w:jc w:val="center"/>
              <w:rPr>
                <w:sz w:val="16"/>
              </w:rPr>
            </w:pPr>
            <w:r>
              <w:rPr>
                <w:w w:val="95"/>
                <w:sz w:val="16"/>
              </w:rPr>
              <w:t>51%</w:t>
            </w:r>
          </w:p>
        </w:tc>
        <w:tc>
          <w:tcPr>
            <w:tcW w:w="1701" w:type="dxa"/>
            <w:tcBorders>
              <w:left w:val="dotted" w:sz="4" w:space="0" w:color="000000"/>
              <w:bottom w:val="dotted" w:sz="4" w:space="0" w:color="000000"/>
              <w:right w:val="dotted" w:sz="4" w:space="0" w:color="000000"/>
            </w:tcBorders>
          </w:tcPr>
          <w:p>
            <w:pPr>
              <w:pStyle w:val="TableParagraph"/>
              <w:spacing w:before="28"/>
              <w:ind w:left="303" w:right="303"/>
              <w:jc w:val="center"/>
              <w:rPr>
                <w:rFonts w:ascii="Symbol" w:hAnsi="Symbol"/>
                <w:sz w:val="16"/>
              </w:rPr>
            </w:pPr>
            <w:r>
              <w:rPr>
                <w:sz w:val="16"/>
              </w:rPr>
              <w:t>33.1%</w:t>
            </w:r>
            <w:r>
              <w:rPr>
                <w:rFonts w:ascii="Symbol" w:hAnsi="Symbol"/>
                <w:sz w:val="16"/>
              </w:rPr>
              <w:t></w:t>
            </w:r>
          </w:p>
        </w:tc>
        <w:tc>
          <w:tcPr>
            <w:tcW w:w="1701" w:type="dxa"/>
            <w:tcBorders>
              <w:left w:val="dotted" w:sz="4" w:space="0" w:color="000000"/>
              <w:bottom w:val="dotted" w:sz="4" w:space="0" w:color="000000"/>
              <w:right w:val="nil"/>
            </w:tcBorders>
          </w:tcPr>
          <w:p>
            <w:pPr>
              <w:pStyle w:val="TableParagraph"/>
              <w:spacing w:before="28"/>
              <w:ind w:left="601"/>
              <w:rPr>
                <w:rFonts w:ascii="Symbol" w:hAnsi="Symbol"/>
                <w:sz w:val="16"/>
              </w:rPr>
            </w:pPr>
            <w:r>
              <w:rPr>
                <w:sz w:val="16"/>
              </w:rPr>
              <w:t>26.1%</w:t>
            </w:r>
            <w:r>
              <w:rPr>
                <w:rFonts w:ascii="Symbol" w:hAnsi="Symbol"/>
                <w:sz w:val="16"/>
              </w:rPr>
              <w:t></w:t>
            </w:r>
          </w:p>
        </w:tc>
      </w:tr>
      <w:tr>
        <w:trPr>
          <w:trHeight w:val="274" w:hRule="exact"/>
        </w:trPr>
        <w:tc>
          <w:tcPr>
            <w:tcW w:w="1871"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80"/>
                <w:sz w:val="16"/>
              </w:rPr>
              <w:t>Unión Europea</w:t>
            </w:r>
          </w:p>
        </w:tc>
        <w:tc>
          <w:tcPr>
            <w:tcW w:w="1701" w:type="dxa"/>
            <w:tcBorders>
              <w:top w:val="dotted" w:sz="4" w:space="0" w:color="000000"/>
              <w:left w:val="dotted" w:sz="4" w:space="0" w:color="000000"/>
              <w:bottom w:val="dotted" w:sz="4" w:space="0" w:color="000000"/>
              <w:right w:val="dotted" w:sz="4" w:space="0" w:color="000000"/>
            </w:tcBorders>
          </w:tcPr>
          <w:p>
            <w:pPr>
              <w:pStyle w:val="TableParagraph"/>
              <w:spacing w:before="39"/>
              <w:ind w:left="303" w:right="303"/>
              <w:jc w:val="center"/>
              <w:rPr>
                <w:sz w:val="16"/>
              </w:rPr>
            </w:pPr>
            <w:r>
              <w:rPr>
                <w:w w:val="95"/>
                <w:sz w:val="16"/>
              </w:rPr>
              <w:t>14%</w:t>
            </w:r>
          </w:p>
        </w:tc>
        <w:tc>
          <w:tcPr>
            <w:tcW w:w="1701" w:type="dxa"/>
            <w:tcBorders>
              <w:top w:val="dotted" w:sz="4" w:space="0" w:color="000000"/>
              <w:left w:val="dotted" w:sz="4" w:space="0" w:color="000000"/>
              <w:bottom w:val="dotted" w:sz="4" w:space="0" w:color="000000"/>
              <w:right w:val="dotted" w:sz="4" w:space="0" w:color="000000"/>
            </w:tcBorders>
          </w:tcPr>
          <w:p>
            <w:pPr>
              <w:pStyle w:val="TableParagraph"/>
              <w:spacing w:before="28"/>
              <w:ind w:left="303" w:right="303"/>
              <w:jc w:val="center"/>
              <w:rPr>
                <w:rFonts w:ascii="Symbol" w:hAnsi="Symbol"/>
                <w:sz w:val="16"/>
              </w:rPr>
            </w:pPr>
            <w:r>
              <w:rPr>
                <w:sz w:val="16"/>
              </w:rPr>
              <w:t>14.7%</w:t>
            </w:r>
            <w:r>
              <w:rPr>
                <w:rFonts w:ascii="Symbol" w:hAnsi="Symbol"/>
                <w:sz w:val="16"/>
              </w:rPr>
              <w:t></w:t>
            </w:r>
          </w:p>
        </w:tc>
        <w:tc>
          <w:tcPr>
            <w:tcW w:w="1701" w:type="dxa"/>
            <w:tcBorders>
              <w:top w:val="dotted" w:sz="4" w:space="0" w:color="000000"/>
              <w:left w:val="dotted" w:sz="4" w:space="0" w:color="000000"/>
              <w:bottom w:val="dotted" w:sz="4" w:space="0" w:color="000000"/>
              <w:right w:val="nil"/>
            </w:tcBorders>
          </w:tcPr>
          <w:p>
            <w:pPr>
              <w:pStyle w:val="TableParagraph"/>
              <w:spacing w:before="28"/>
              <w:ind w:left="659"/>
              <w:rPr>
                <w:rFonts w:ascii="Symbol" w:hAnsi="Symbol"/>
                <w:sz w:val="16"/>
              </w:rPr>
            </w:pPr>
            <w:r>
              <w:rPr>
                <w:sz w:val="16"/>
              </w:rPr>
              <w:t>14%</w:t>
            </w:r>
            <w:r>
              <w:rPr>
                <w:rFonts w:ascii="Symbol" w:hAnsi="Symbol"/>
                <w:sz w:val="16"/>
              </w:rPr>
              <w:t></w:t>
            </w:r>
          </w:p>
        </w:tc>
      </w:tr>
      <w:tr>
        <w:trPr>
          <w:trHeight w:val="274" w:hRule="exact"/>
        </w:trPr>
        <w:tc>
          <w:tcPr>
            <w:tcW w:w="1871" w:type="dxa"/>
            <w:tcBorders>
              <w:top w:val="dotted" w:sz="4" w:space="0" w:color="000000"/>
              <w:left w:val="nil"/>
              <w:right w:val="dotted" w:sz="4" w:space="0" w:color="000000"/>
            </w:tcBorders>
          </w:tcPr>
          <w:p>
            <w:pPr>
              <w:pStyle w:val="TableParagraph"/>
              <w:spacing w:before="39"/>
              <w:ind w:left="79"/>
              <w:rPr>
                <w:sz w:val="16"/>
              </w:rPr>
            </w:pPr>
            <w:r>
              <w:rPr>
                <w:w w:val="90"/>
                <w:sz w:val="16"/>
              </w:rPr>
              <w:t>China</w:t>
            </w:r>
          </w:p>
        </w:tc>
        <w:tc>
          <w:tcPr>
            <w:tcW w:w="1701" w:type="dxa"/>
            <w:tcBorders>
              <w:top w:val="dotted" w:sz="4" w:space="0" w:color="000000"/>
              <w:left w:val="dotted" w:sz="4" w:space="0" w:color="000000"/>
              <w:right w:val="dotted" w:sz="4" w:space="0" w:color="000000"/>
            </w:tcBorders>
          </w:tcPr>
          <w:p>
            <w:pPr>
              <w:pStyle w:val="TableParagraph"/>
              <w:spacing w:before="39"/>
              <w:ind w:left="303" w:right="303"/>
              <w:jc w:val="center"/>
              <w:rPr>
                <w:sz w:val="16"/>
              </w:rPr>
            </w:pPr>
            <w:r>
              <w:rPr>
                <w:w w:val="85"/>
                <w:sz w:val="16"/>
              </w:rPr>
              <w:t>Alrededor del 1%</w:t>
            </w:r>
          </w:p>
        </w:tc>
        <w:tc>
          <w:tcPr>
            <w:tcW w:w="1701" w:type="dxa"/>
            <w:tcBorders>
              <w:top w:val="dotted" w:sz="4" w:space="0" w:color="000000"/>
              <w:left w:val="dotted" w:sz="4" w:space="0" w:color="000000"/>
              <w:right w:val="dotted" w:sz="4" w:space="0" w:color="000000"/>
            </w:tcBorders>
          </w:tcPr>
          <w:p>
            <w:pPr>
              <w:pStyle w:val="TableParagraph"/>
              <w:spacing w:before="28"/>
              <w:ind w:left="303" w:right="303"/>
              <w:jc w:val="center"/>
              <w:rPr>
                <w:rFonts w:ascii="Symbol" w:hAnsi="Symbol"/>
                <w:sz w:val="16"/>
              </w:rPr>
            </w:pPr>
            <w:r>
              <w:rPr>
                <w:sz w:val="16"/>
              </w:rPr>
              <w:t>9.5%</w:t>
            </w:r>
            <w:r>
              <w:rPr>
                <w:rFonts w:ascii="Symbol" w:hAnsi="Symbol"/>
                <w:sz w:val="16"/>
              </w:rPr>
              <w:t></w:t>
            </w:r>
          </w:p>
        </w:tc>
        <w:tc>
          <w:tcPr>
            <w:tcW w:w="1701" w:type="dxa"/>
            <w:tcBorders>
              <w:top w:val="dotted" w:sz="4" w:space="0" w:color="000000"/>
              <w:left w:val="dotted" w:sz="4" w:space="0" w:color="000000"/>
              <w:right w:val="nil"/>
            </w:tcBorders>
          </w:tcPr>
          <w:p>
            <w:pPr>
              <w:pStyle w:val="TableParagraph"/>
              <w:spacing w:before="28"/>
              <w:ind w:left="601"/>
              <w:rPr>
                <w:rFonts w:ascii="Symbol" w:hAnsi="Symbol"/>
                <w:sz w:val="16"/>
              </w:rPr>
            </w:pPr>
            <w:r>
              <w:rPr>
                <w:sz w:val="16"/>
              </w:rPr>
              <w:t>16.2%</w:t>
            </w:r>
            <w:r>
              <w:rPr>
                <w:rFonts w:ascii="Symbol" w:hAnsi="Symbol"/>
                <w:sz w:val="16"/>
              </w:rPr>
              <w:t></w:t>
            </w:r>
          </w:p>
        </w:tc>
      </w:tr>
    </w:tbl>
    <w:p>
      <w:pPr>
        <w:spacing w:before="39" w:after="41"/>
        <w:ind w:left="972" w:right="983" w:firstLine="0"/>
        <w:jc w:val="center"/>
        <w:rPr>
          <w:rFonts w:ascii="Arial"/>
          <w:sz w:val="16"/>
        </w:rPr>
      </w:pPr>
      <w:r>
        <w:rPr>
          <w:rFonts w:ascii="Arial"/>
          <w:w w:val="95"/>
          <w:sz w:val="16"/>
        </w:rPr>
        <w:t>Exportaciones</w:t>
      </w: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1"/>
        <w:gridCol w:w="1701"/>
        <w:gridCol w:w="1701"/>
        <w:gridCol w:w="1701"/>
      </w:tblGrid>
      <w:tr>
        <w:trPr>
          <w:trHeight w:val="274" w:hRule="exact"/>
        </w:trPr>
        <w:tc>
          <w:tcPr>
            <w:tcW w:w="1871" w:type="dxa"/>
            <w:tcBorders>
              <w:left w:val="nil"/>
              <w:bottom w:val="dotted" w:sz="4" w:space="0" w:color="000000"/>
              <w:right w:val="dotted" w:sz="4" w:space="0" w:color="000000"/>
            </w:tcBorders>
          </w:tcPr>
          <w:p>
            <w:pPr>
              <w:pStyle w:val="TableParagraph"/>
              <w:spacing w:before="39"/>
              <w:ind w:left="79"/>
              <w:rPr>
                <w:sz w:val="16"/>
              </w:rPr>
            </w:pPr>
            <w:r>
              <w:rPr>
                <w:w w:val="80"/>
                <w:sz w:val="16"/>
              </w:rPr>
              <w:t>Estados Unidos</w:t>
            </w:r>
          </w:p>
        </w:tc>
        <w:tc>
          <w:tcPr>
            <w:tcW w:w="1701" w:type="dxa"/>
            <w:tcBorders>
              <w:left w:val="dotted" w:sz="4" w:space="0" w:color="000000"/>
              <w:bottom w:val="dotted" w:sz="4" w:space="0" w:color="000000"/>
              <w:right w:val="dotted" w:sz="4" w:space="0" w:color="000000"/>
            </w:tcBorders>
          </w:tcPr>
          <w:p>
            <w:pPr>
              <w:pStyle w:val="TableParagraph"/>
              <w:spacing w:before="39"/>
              <w:ind w:left="303" w:right="303"/>
              <w:jc w:val="center"/>
              <w:rPr>
                <w:sz w:val="16"/>
              </w:rPr>
            </w:pPr>
            <w:r>
              <w:rPr>
                <w:w w:val="95"/>
                <w:sz w:val="16"/>
              </w:rPr>
              <w:t>60%</w:t>
            </w:r>
          </w:p>
        </w:tc>
        <w:tc>
          <w:tcPr>
            <w:tcW w:w="1701" w:type="dxa"/>
            <w:tcBorders>
              <w:left w:val="dotted" w:sz="4" w:space="0" w:color="000000"/>
              <w:bottom w:val="dotted" w:sz="4" w:space="0" w:color="000000"/>
              <w:right w:val="dotted" w:sz="4" w:space="0" w:color="000000"/>
            </w:tcBorders>
          </w:tcPr>
          <w:p>
            <w:pPr>
              <w:pStyle w:val="TableParagraph"/>
              <w:spacing w:before="28"/>
              <w:ind w:left="303" w:right="303"/>
              <w:jc w:val="center"/>
              <w:rPr>
                <w:rFonts w:ascii="Symbol" w:hAnsi="Symbol"/>
                <w:sz w:val="16"/>
              </w:rPr>
            </w:pPr>
            <w:r>
              <w:rPr>
                <w:sz w:val="16"/>
              </w:rPr>
              <w:t>38.6%</w:t>
            </w:r>
            <w:r>
              <w:rPr>
                <w:rFonts w:ascii="Symbol" w:hAnsi="Symbol"/>
                <w:sz w:val="16"/>
              </w:rPr>
              <w:t></w:t>
            </w:r>
          </w:p>
        </w:tc>
        <w:tc>
          <w:tcPr>
            <w:tcW w:w="1701" w:type="dxa"/>
            <w:tcBorders>
              <w:left w:val="dotted" w:sz="4" w:space="0" w:color="000000"/>
              <w:bottom w:val="dotted" w:sz="4" w:space="0" w:color="000000"/>
              <w:right w:val="nil"/>
            </w:tcBorders>
          </w:tcPr>
          <w:p>
            <w:pPr>
              <w:pStyle w:val="TableParagraph"/>
              <w:spacing w:before="28"/>
              <w:ind w:left="601"/>
              <w:rPr>
                <w:rFonts w:ascii="Symbol" w:hAnsi="Symbol"/>
                <w:sz w:val="16"/>
              </w:rPr>
            </w:pPr>
            <w:r>
              <w:rPr>
                <w:sz w:val="16"/>
              </w:rPr>
              <w:t>28.4%</w:t>
            </w:r>
            <w:r>
              <w:rPr>
                <w:rFonts w:ascii="Symbol" w:hAnsi="Symbol"/>
                <w:sz w:val="16"/>
              </w:rPr>
              <w:t></w:t>
            </w:r>
          </w:p>
        </w:tc>
      </w:tr>
      <w:tr>
        <w:trPr>
          <w:trHeight w:val="274" w:hRule="exact"/>
        </w:trPr>
        <w:tc>
          <w:tcPr>
            <w:tcW w:w="1871"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80"/>
                <w:sz w:val="16"/>
              </w:rPr>
              <w:t>Unión Europea</w:t>
            </w:r>
          </w:p>
        </w:tc>
        <w:tc>
          <w:tcPr>
            <w:tcW w:w="1701" w:type="dxa"/>
            <w:tcBorders>
              <w:top w:val="dotted" w:sz="4" w:space="0" w:color="000000"/>
              <w:left w:val="dotted" w:sz="4" w:space="0" w:color="000000"/>
              <w:bottom w:val="dotted" w:sz="4" w:space="0" w:color="000000"/>
              <w:right w:val="dotted" w:sz="4" w:space="0" w:color="000000"/>
            </w:tcBorders>
          </w:tcPr>
          <w:p>
            <w:pPr>
              <w:pStyle w:val="TableParagraph"/>
              <w:spacing w:before="39"/>
              <w:ind w:left="303" w:right="303"/>
              <w:jc w:val="center"/>
              <w:rPr>
                <w:sz w:val="16"/>
              </w:rPr>
            </w:pPr>
            <w:r>
              <w:rPr>
                <w:w w:val="95"/>
                <w:sz w:val="16"/>
              </w:rPr>
              <w:t>12%</w:t>
            </w:r>
          </w:p>
        </w:tc>
        <w:tc>
          <w:tcPr>
            <w:tcW w:w="1701" w:type="dxa"/>
            <w:tcBorders>
              <w:top w:val="dotted" w:sz="4" w:space="0" w:color="000000"/>
              <w:left w:val="dotted" w:sz="4" w:space="0" w:color="000000"/>
              <w:bottom w:val="dotted" w:sz="4" w:space="0" w:color="000000"/>
              <w:right w:val="dotted" w:sz="4" w:space="0" w:color="000000"/>
            </w:tcBorders>
          </w:tcPr>
          <w:p>
            <w:pPr>
              <w:pStyle w:val="TableParagraph"/>
              <w:spacing w:before="39"/>
              <w:ind w:left="303" w:right="303"/>
              <w:jc w:val="center"/>
              <w:rPr>
                <w:sz w:val="16"/>
              </w:rPr>
            </w:pPr>
            <w:r>
              <w:rPr>
                <w:w w:val="95"/>
                <w:sz w:val="16"/>
              </w:rPr>
              <w:t>13.8%</w:t>
            </w:r>
          </w:p>
        </w:tc>
        <w:tc>
          <w:tcPr>
            <w:tcW w:w="1701" w:type="dxa"/>
            <w:tcBorders>
              <w:top w:val="dotted" w:sz="4" w:space="0" w:color="000000"/>
              <w:left w:val="dotted" w:sz="4" w:space="0" w:color="000000"/>
              <w:bottom w:val="dotted" w:sz="4" w:space="0" w:color="000000"/>
              <w:right w:val="nil"/>
            </w:tcBorders>
          </w:tcPr>
          <w:p>
            <w:pPr>
              <w:pStyle w:val="TableParagraph"/>
              <w:spacing w:before="28"/>
              <w:ind w:left="601"/>
              <w:rPr>
                <w:rFonts w:ascii="Symbol" w:hAnsi="Symbol"/>
                <w:sz w:val="16"/>
              </w:rPr>
            </w:pPr>
            <w:r>
              <w:rPr>
                <w:sz w:val="16"/>
              </w:rPr>
              <w:t>13.6%</w:t>
            </w:r>
            <w:r>
              <w:rPr>
                <w:rFonts w:ascii="Symbol" w:hAnsi="Symbol"/>
                <w:sz w:val="16"/>
              </w:rPr>
              <w:t></w:t>
            </w:r>
          </w:p>
        </w:tc>
      </w:tr>
      <w:tr>
        <w:trPr>
          <w:trHeight w:val="274" w:hRule="exact"/>
        </w:trPr>
        <w:tc>
          <w:tcPr>
            <w:tcW w:w="1871" w:type="dxa"/>
            <w:tcBorders>
              <w:top w:val="dotted" w:sz="4" w:space="0" w:color="000000"/>
              <w:left w:val="nil"/>
              <w:bottom w:val="single" w:sz="8" w:space="0" w:color="000000"/>
              <w:right w:val="dotted" w:sz="4" w:space="0" w:color="000000"/>
            </w:tcBorders>
          </w:tcPr>
          <w:p>
            <w:pPr>
              <w:pStyle w:val="TableParagraph"/>
              <w:spacing w:before="39"/>
              <w:ind w:left="79"/>
              <w:rPr>
                <w:sz w:val="16"/>
              </w:rPr>
            </w:pPr>
            <w:r>
              <w:rPr>
                <w:w w:val="90"/>
                <w:sz w:val="16"/>
              </w:rPr>
              <w:t>China</w:t>
            </w:r>
          </w:p>
        </w:tc>
        <w:tc>
          <w:tcPr>
            <w:tcW w:w="1701" w:type="dxa"/>
            <w:tcBorders>
              <w:top w:val="dotted" w:sz="4" w:space="0" w:color="000000"/>
              <w:left w:val="dotted" w:sz="4" w:space="0" w:color="000000"/>
              <w:bottom w:val="single" w:sz="8" w:space="0" w:color="000000"/>
              <w:right w:val="dotted" w:sz="4" w:space="0" w:color="000000"/>
            </w:tcBorders>
          </w:tcPr>
          <w:p>
            <w:pPr>
              <w:pStyle w:val="TableParagraph"/>
              <w:spacing w:before="39"/>
              <w:ind w:left="303" w:right="303"/>
              <w:jc w:val="center"/>
              <w:rPr>
                <w:sz w:val="16"/>
              </w:rPr>
            </w:pPr>
            <w:r>
              <w:rPr>
                <w:w w:val="85"/>
                <w:sz w:val="16"/>
              </w:rPr>
              <w:t>Cercano a cero</w:t>
            </w:r>
          </w:p>
        </w:tc>
        <w:tc>
          <w:tcPr>
            <w:tcW w:w="1701" w:type="dxa"/>
            <w:tcBorders>
              <w:top w:val="dotted" w:sz="4" w:space="0" w:color="000000"/>
              <w:left w:val="dotted" w:sz="4" w:space="0" w:color="000000"/>
              <w:bottom w:val="single" w:sz="8" w:space="0" w:color="000000"/>
              <w:right w:val="dotted" w:sz="4" w:space="0" w:color="000000"/>
            </w:tcBorders>
          </w:tcPr>
          <w:p>
            <w:pPr>
              <w:pStyle w:val="TableParagraph"/>
              <w:spacing w:before="28"/>
              <w:ind w:left="303" w:right="303"/>
              <w:jc w:val="center"/>
              <w:rPr>
                <w:rFonts w:ascii="Symbol" w:hAnsi="Symbol"/>
                <w:sz w:val="16"/>
              </w:rPr>
            </w:pPr>
            <w:r>
              <w:rPr>
                <w:sz w:val="16"/>
              </w:rPr>
              <w:t>7.6%</w:t>
            </w:r>
            <w:r>
              <w:rPr>
                <w:rFonts w:ascii="Symbol" w:hAnsi="Symbol"/>
                <w:sz w:val="16"/>
              </w:rPr>
              <w:t></w:t>
            </w:r>
          </w:p>
        </w:tc>
        <w:tc>
          <w:tcPr>
            <w:tcW w:w="1701" w:type="dxa"/>
            <w:tcBorders>
              <w:top w:val="dotted" w:sz="4" w:space="0" w:color="000000"/>
              <w:left w:val="dotted" w:sz="4" w:space="0" w:color="000000"/>
              <w:bottom w:val="single" w:sz="8" w:space="0" w:color="000000"/>
              <w:right w:val="nil"/>
            </w:tcBorders>
          </w:tcPr>
          <w:p>
            <w:pPr>
              <w:pStyle w:val="TableParagraph"/>
              <w:spacing w:before="28"/>
              <w:ind w:left="601"/>
              <w:rPr>
                <w:rFonts w:ascii="Symbol" w:hAnsi="Symbol"/>
                <w:sz w:val="16"/>
              </w:rPr>
            </w:pPr>
            <w:r>
              <w:rPr>
                <w:sz w:val="16"/>
              </w:rPr>
              <w:t>19.3%</w:t>
            </w:r>
            <w:r>
              <w:rPr>
                <w:rFonts w:ascii="Symbol" w:hAnsi="Symbol"/>
                <w:sz w:val="16"/>
              </w:rPr>
              <w:t></w:t>
            </w:r>
          </w:p>
        </w:tc>
      </w:tr>
    </w:tbl>
    <w:p>
      <w:pPr>
        <w:spacing w:before="64"/>
        <w:ind w:left="120" w:right="1007" w:firstLine="0"/>
        <w:jc w:val="left"/>
        <w:rPr>
          <w:rFonts w:ascii="Arial"/>
          <w:sz w:val="14"/>
        </w:rPr>
      </w:pPr>
      <w:r>
        <w:rPr>
          <w:rFonts w:ascii="Arial"/>
          <w:w w:val="85"/>
          <w:sz w:val="14"/>
        </w:rPr>
        <w:t>Fuente: Elaborado por la autora a partir de datos de CEPAL (2011).</w:t>
      </w:r>
    </w:p>
    <w:p>
      <w:pPr>
        <w:pStyle w:val="BodyText"/>
        <w:rPr>
          <w:rFonts w:ascii="Arial"/>
          <w:sz w:val="20"/>
        </w:rPr>
      </w:pPr>
    </w:p>
    <w:p>
      <w:pPr>
        <w:pStyle w:val="BodyText"/>
        <w:spacing w:before="10"/>
        <w:rPr>
          <w:rFonts w:ascii="Arial"/>
          <w:sz w:val="14"/>
        </w:rPr>
      </w:pPr>
      <w:r>
        <w:rPr/>
        <w:pict>
          <v:line style="position:absolute;mso-position-horizontal-relative:page;mso-position-vertical-relative:paragraph;z-index:9304;mso-wrap-distance-left:0;mso-wrap-distance-right:0" from="51.023602pt,10.784073pt" to="79.369602pt,10.784073pt" stroked="true" strokeweight=".5pt" strokecolor="#000000">
            <w10:wrap type="topAndBottom"/>
          </v:line>
        </w:pict>
      </w:r>
    </w:p>
    <w:p>
      <w:pPr>
        <w:pStyle w:val="ListParagraph"/>
        <w:numPr>
          <w:ilvl w:val="0"/>
          <w:numId w:val="35"/>
        </w:numPr>
        <w:tabs>
          <w:tab w:pos="376" w:val="left" w:leader="none"/>
        </w:tabs>
        <w:spacing w:line="242" w:lineRule="auto" w:before="89" w:after="0"/>
        <w:ind w:left="120" w:right="868" w:firstLine="0"/>
        <w:jc w:val="both"/>
        <w:rPr>
          <w:sz w:val="16"/>
        </w:rPr>
      </w:pPr>
      <w:r>
        <w:rPr>
          <w:w w:val="115"/>
          <w:sz w:val="16"/>
        </w:rPr>
        <w:t>En</w:t>
      </w:r>
      <w:r>
        <w:rPr>
          <w:spacing w:val="-27"/>
          <w:w w:val="115"/>
          <w:sz w:val="16"/>
        </w:rPr>
        <w:t> </w:t>
      </w:r>
      <w:r>
        <w:rPr>
          <w:w w:val="115"/>
          <w:sz w:val="16"/>
        </w:rPr>
        <w:t>este</w:t>
      </w:r>
      <w:r>
        <w:rPr>
          <w:spacing w:val="-27"/>
          <w:w w:val="115"/>
          <w:sz w:val="16"/>
        </w:rPr>
        <w:t> </w:t>
      </w:r>
      <w:r>
        <w:rPr>
          <w:w w:val="115"/>
          <w:sz w:val="16"/>
        </w:rPr>
        <w:t>mismo</w:t>
      </w:r>
      <w:r>
        <w:rPr>
          <w:spacing w:val="-27"/>
          <w:w w:val="115"/>
          <w:sz w:val="16"/>
        </w:rPr>
        <w:t> </w:t>
      </w:r>
      <w:r>
        <w:rPr>
          <w:w w:val="115"/>
          <w:sz w:val="16"/>
        </w:rPr>
        <w:t>período,</w:t>
      </w:r>
      <w:r>
        <w:rPr>
          <w:spacing w:val="-27"/>
          <w:w w:val="115"/>
          <w:sz w:val="16"/>
        </w:rPr>
        <w:t> </w:t>
      </w:r>
      <w:r>
        <w:rPr>
          <w:w w:val="115"/>
          <w:sz w:val="16"/>
        </w:rPr>
        <w:t>las</w:t>
      </w:r>
      <w:r>
        <w:rPr>
          <w:spacing w:val="-27"/>
          <w:w w:val="115"/>
          <w:sz w:val="16"/>
        </w:rPr>
        <w:t> </w:t>
      </w:r>
      <w:r>
        <w:rPr>
          <w:w w:val="115"/>
          <w:sz w:val="16"/>
        </w:rPr>
        <w:t>importaciones</w:t>
      </w:r>
      <w:r>
        <w:rPr>
          <w:spacing w:val="-27"/>
          <w:w w:val="115"/>
          <w:sz w:val="16"/>
        </w:rPr>
        <w:t> </w:t>
      </w:r>
      <w:r>
        <w:rPr>
          <w:w w:val="115"/>
          <w:sz w:val="16"/>
        </w:rPr>
        <w:t>de</w:t>
      </w:r>
      <w:r>
        <w:rPr>
          <w:spacing w:val="-27"/>
          <w:w w:val="115"/>
          <w:sz w:val="16"/>
        </w:rPr>
        <w:t> </w:t>
      </w:r>
      <w:r>
        <w:rPr>
          <w:w w:val="115"/>
          <w:sz w:val="16"/>
        </w:rPr>
        <w:t>la</w:t>
      </w:r>
      <w:r>
        <w:rPr>
          <w:spacing w:val="-27"/>
          <w:w w:val="115"/>
          <w:sz w:val="16"/>
        </w:rPr>
        <w:t> </w:t>
      </w:r>
      <w:r>
        <w:rPr>
          <w:w w:val="115"/>
          <w:sz w:val="16"/>
        </w:rPr>
        <w:t>región</w:t>
      </w:r>
      <w:r>
        <w:rPr>
          <w:spacing w:val="-27"/>
          <w:w w:val="115"/>
          <w:sz w:val="16"/>
        </w:rPr>
        <w:t> </w:t>
      </w:r>
      <w:r>
        <w:rPr>
          <w:w w:val="115"/>
          <w:sz w:val="16"/>
        </w:rPr>
        <w:t>desde</w:t>
      </w:r>
      <w:r>
        <w:rPr>
          <w:spacing w:val="-27"/>
          <w:w w:val="115"/>
          <w:sz w:val="16"/>
        </w:rPr>
        <w:t> </w:t>
      </w:r>
      <w:r>
        <w:rPr>
          <w:w w:val="115"/>
          <w:sz w:val="16"/>
        </w:rPr>
        <w:t>la</w:t>
      </w:r>
      <w:r>
        <w:rPr>
          <w:spacing w:val="-27"/>
          <w:w w:val="115"/>
          <w:sz w:val="16"/>
        </w:rPr>
        <w:t> </w:t>
      </w:r>
      <w:r>
        <w:rPr>
          <w:w w:val="115"/>
          <w:sz w:val="16"/>
        </w:rPr>
        <w:t>unión</w:t>
      </w:r>
      <w:r>
        <w:rPr>
          <w:spacing w:val="-27"/>
          <w:w w:val="115"/>
          <w:sz w:val="16"/>
        </w:rPr>
        <w:t> </w:t>
      </w:r>
      <w:r>
        <w:rPr>
          <w:w w:val="115"/>
          <w:sz w:val="16"/>
        </w:rPr>
        <w:t>Europea</w:t>
      </w:r>
      <w:r>
        <w:rPr>
          <w:spacing w:val="-27"/>
          <w:w w:val="115"/>
          <w:sz w:val="16"/>
        </w:rPr>
        <w:t> </w:t>
      </w:r>
      <w:r>
        <w:rPr>
          <w:w w:val="115"/>
          <w:sz w:val="16"/>
        </w:rPr>
        <w:t>se </w:t>
      </w:r>
      <w:r>
        <w:rPr>
          <w:w w:val="110"/>
          <w:sz w:val="16"/>
        </w:rPr>
        <w:t>han</w:t>
      </w:r>
      <w:r>
        <w:rPr>
          <w:spacing w:val="-13"/>
          <w:w w:val="110"/>
          <w:sz w:val="16"/>
        </w:rPr>
        <w:t> </w:t>
      </w:r>
      <w:r>
        <w:rPr>
          <w:w w:val="110"/>
          <w:sz w:val="16"/>
        </w:rPr>
        <w:t>mantenido</w:t>
      </w:r>
      <w:r>
        <w:rPr>
          <w:spacing w:val="-13"/>
          <w:w w:val="110"/>
          <w:sz w:val="16"/>
        </w:rPr>
        <w:t> </w:t>
      </w:r>
      <w:r>
        <w:rPr>
          <w:w w:val="110"/>
          <w:sz w:val="16"/>
        </w:rPr>
        <w:t>relativamente</w:t>
      </w:r>
      <w:r>
        <w:rPr>
          <w:spacing w:val="-13"/>
          <w:w w:val="110"/>
          <w:sz w:val="16"/>
        </w:rPr>
        <w:t> </w:t>
      </w:r>
      <w:r>
        <w:rPr>
          <w:w w:val="110"/>
          <w:sz w:val="16"/>
        </w:rPr>
        <w:t>estables</w:t>
      </w:r>
      <w:r>
        <w:rPr>
          <w:spacing w:val="-13"/>
          <w:w w:val="110"/>
          <w:sz w:val="16"/>
        </w:rPr>
        <w:t> </w:t>
      </w:r>
      <w:r>
        <w:rPr>
          <w:w w:val="110"/>
          <w:sz w:val="16"/>
        </w:rPr>
        <w:t>desde</w:t>
      </w:r>
      <w:r>
        <w:rPr>
          <w:spacing w:val="-13"/>
          <w:w w:val="110"/>
          <w:sz w:val="16"/>
        </w:rPr>
        <w:t> </w:t>
      </w:r>
      <w:r>
        <w:rPr>
          <w:w w:val="110"/>
          <w:sz w:val="16"/>
        </w:rPr>
        <w:t>2000,</w:t>
      </w:r>
      <w:r>
        <w:rPr>
          <w:spacing w:val="-13"/>
          <w:w w:val="110"/>
          <w:sz w:val="16"/>
        </w:rPr>
        <w:t> </w:t>
      </w:r>
      <w:r>
        <w:rPr>
          <w:w w:val="110"/>
          <w:sz w:val="16"/>
        </w:rPr>
        <w:t>pasando</w:t>
      </w:r>
      <w:r>
        <w:rPr>
          <w:spacing w:val="-13"/>
          <w:w w:val="110"/>
          <w:sz w:val="16"/>
        </w:rPr>
        <w:t> </w:t>
      </w:r>
      <w:r>
        <w:rPr>
          <w:w w:val="110"/>
          <w:sz w:val="16"/>
        </w:rPr>
        <w:t>de</w:t>
      </w:r>
      <w:r>
        <w:rPr>
          <w:spacing w:val="-13"/>
          <w:w w:val="110"/>
          <w:sz w:val="16"/>
        </w:rPr>
        <w:t> </w:t>
      </w:r>
      <w:r>
        <w:rPr>
          <w:w w:val="110"/>
          <w:sz w:val="16"/>
        </w:rPr>
        <w:t>alrededor</w:t>
      </w:r>
      <w:r>
        <w:rPr>
          <w:spacing w:val="-13"/>
          <w:w w:val="110"/>
          <w:sz w:val="16"/>
        </w:rPr>
        <w:t> </w:t>
      </w:r>
      <w:r>
        <w:rPr>
          <w:w w:val="110"/>
          <w:sz w:val="16"/>
        </w:rPr>
        <w:t>del</w:t>
      </w:r>
      <w:r>
        <w:rPr>
          <w:spacing w:val="-13"/>
          <w:w w:val="110"/>
          <w:sz w:val="16"/>
        </w:rPr>
        <w:t> </w:t>
      </w:r>
      <w:r>
        <w:rPr>
          <w:w w:val="110"/>
          <w:sz w:val="16"/>
        </w:rPr>
        <w:t>14%</w:t>
      </w:r>
      <w:r>
        <w:rPr>
          <w:spacing w:val="-13"/>
          <w:w w:val="110"/>
          <w:sz w:val="16"/>
        </w:rPr>
        <w:t> </w:t>
      </w:r>
      <w:r>
        <w:rPr>
          <w:w w:val="110"/>
          <w:sz w:val="16"/>
        </w:rPr>
        <w:t>de las</w:t>
      </w:r>
      <w:r>
        <w:rPr>
          <w:spacing w:val="-13"/>
          <w:w w:val="110"/>
          <w:sz w:val="16"/>
        </w:rPr>
        <w:t> </w:t>
      </w:r>
      <w:r>
        <w:rPr>
          <w:w w:val="110"/>
          <w:sz w:val="16"/>
        </w:rPr>
        <w:t>importaciones</w:t>
      </w:r>
      <w:r>
        <w:rPr>
          <w:spacing w:val="-13"/>
          <w:w w:val="110"/>
          <w:sz w:val="16"/>
        </w:rPr>
        <w:t> </w:t>
      </w:r>
      <w:r>
        <w:rPr>
          <w:w w:val="110"/>
          <w:sz w:val="16"/>
        </w:rPr>
        <w:t>totales</w:t>
      </w:r>
      <w:r>
        <w:rPr>
          <w:spacing w:val="-13"/>
          <w:w w:val="110"/>
          <w:sz w:val="16"/>
        </w:rPr>
        <w:t> </w:t>
      </w:r>
      <w:r>
        <w:rPr>
          <w:w w:val="110"/>
          <w:sz w:val="16"/>
        </w:rPr>
        <w:t>en</w:t>
      </w:r>
      <w:r>
        <w:rPr>
          <w:spacing w:val="-13"/>
          <w:w w:val="110"/>
          <w:sz w:val="16"/>
        </w:rPr>
        <w:t> </w:t>
      </w:r>
      <w:r>
        <w:rPr>
          <w:w w:val="110"/>
          <w:sz w:val="16"/>
        </w:rPr>
        <w:t>ese</w:t>
      </w:r>
      <w:r>
        <w:rPr>
          <w:spacing w:val="-13"/>
          <w:w w:val="110"/>
          <w:sz w:val="16"/>
        </w:rPr>
        <w:t> </w:t>
      </w:r>
      <w:r>
        <w:rPr>
          <w:w w:val="110"/>
          <w:sz w:val="16"/>
        </w:rPr>
        <w:t>año,</w:t>
      </w:r>
      <w:r>
        <w:rPr>
          <w:spacing w:val="-13"/>
          <w:w w:val="110"/>
          <w:sz w:val="16"/>
        </w:rPr>
        <w:t> </w:t>
      </w:r>
      <w:r>
        <w:rPr>
          <w:w w:val="110"/>
          <w:sz w:val="16"/>
        </w:rPr>
        <w:t>a</w:t>
      </w:r>
      <w:r>
        <w:rPr>
          <w:spacing w:val="-13"/>
          <w:w w:val="110"/>
          <w:sz w:val="16"/>
        </w:rPr>
        <w:t> </w:t>
      </w:r>
      <w:r>
        <w:rPr>
          <w:w w:val="110"/>
          <w:sz w:val="16"/>
        </w:rPr>
        <w:t>14.7%</w:t>
      </w:r>
      <w:r>
        <w:rPr>
          <w:spacing w:val="-13"/>
          <w:w w:val="110"/>
          <w:sz w:val="16"/>
        </w:rPr>
        <w:t> </w:t>
      </w:r>
      <w:r>
        <w:rPr>
          <w:w w:val="110"/>
          <w:sz w:val="16"/>
        </w:rPr>
        <w:t>en</w:t>
      </w:r>
      <w:r>
        <w:rPr>
          <w:spacing w:val="-13"/>
          <w:w w:val="110"/>
          <w:sz w:val="16"/>
        </w:rPr>
        <w:t> </w:t>
      </w:r>
      <w:r>
        <w:rPr>
          <w:w w:val="110"/>
          <w:sz w:val="16"/>
        </w:rPr>
        <w:t>2009,</w:t>
      </w:r>
      <w:r>
        <w:rPr>
          <w:spacing w:val="-13"/>
          <w:w w:val="110"/>
          <w:sz w:val="16"/>
        </w:rPr>
        <w:t> </w:t>
      </w:r>
      <w:r>
        <w:rPr>
          <w:w w:val="110"/>
          <w:sz w:val="16"/>
        </w:rPr>
        <w:t>previéndose</w:t>
      </w:r>
      <w:r>
        <w:rPr>
          <w:spacing w:val="-13"/>
          <w:w w:val="110"/>
          <w:sz w:val="16"/>
        </w:rPr>
        <w:t> </w:t>
      </w:r>
      <w:r>
        <w:rPr>
          <w:w w:val="110"/>
          <w:sz w:val="16"/>
        </w:rPr>
        <w:t>un</w:t>
      </w:r>
      <w:r>
        <w:rPr>
          <w:spacing w:val="-13"/>
          <w:w w:val="110"/>
          <w:sz w:val="16"/>
        </w:rPr>
        <w:t> </w:t>
      </w:r>
      <w:r>
        <w:rPr>
          <w:w w:val="110"/>
          <w:sz w:val="16"/>
        </w:rPr>
        <w:t>mantenimien- </w:t>
      </w:r>
      <w:r>
        <w:rPr>
          <w:w w:val="115"/>
          <w:sz w:val="16"/>
        </w:rPr>
        <w:t>to</w:t>
      </w:r>
      <w:r>
        <w:rPr>
          <w:spacing w:val="-26"/>
          <w:w w:val="115"/>
          <w:sz w:val="16"/>
        </w:rPr>
        <w:t> </w:t>
      </w:r>
      <w:r>
        <w:rPr>
          <w:w w:val="115"/>
          <w:sz w:val="16"/>
        </w:rPr>
        <w:t>casi</w:t>
      </w:r>
      <w:r>
        <w:rPr>
          <w:spacing w:val="-26"/>
          <w:w w:val="115"/>
          <w:sz w:val="16"/>
        </w:rPr>
        <w:t> </w:t>
      </w:r>
      <w:r>
        <w:rPr>
          <w:w w:val="115"/>
          <w:sz w:val="16"/>
        </w:rPr>
        <w:t>invariable</w:t>
      </w:r>
      <w:r>
        <w:rPr>
          <w:spacing w:val="-26"/>
          <w:w w:val="115"/>
          <w:sz w:val="16"/>
        </w:rPr>
        <w:t> </w:t>
      </w:r>
      <w:r>
        <w:rPr>
          <w:w w:val="115"/>
          <w:sz w:val="16"/>
        </w:rPr>
        <w:t>de</w:t>
      </w:r>
      <w:r>
        <w:rPr>
          <w:spacing w:val="-26"/>
          <w:w w:val="115"/>
          <w:sz w:val="16"/>
        </w:rPr>
        <w:t> </w:t>
      </w:r>
      <w:r>
        <w:rPr>
          <w:w w:val="115"/>
          <w:sz w:val="16"/>
        </w:rPr>
        <w:t>su</w:t>
      </w:r>
      <w:r>
        <w:rPr>
          <w:spacing w:val="-26"/>
          <w:w w:val="115"/>
          <w:sz w:val="16"/>
        </w:rPr>
        <w:t> </w:t>
      </w:r>
      <w:r>
        <w:rPr>
          <w:w w:val="115"/>
          <w:sz w:val="16"/>
        </w:rPr>
        <w:t>participación,</w:t>
      </w:r>
      <w:r>
        <w:rPr>
          <w:spacing w:val="-26"/>
          <w:w w:val="115"/>
          <w:sz w:val="16"/>
        </w:rPr>
        <w:t> </w:t>
      </w:r>
      <w:r>
        <w:rPr>
          <w:w w:val="115"/>
          <w:sz w:val="16"/>
        </w:rPr>
        <w:t>con</w:t>
      </w:r>
      <w:r>
        <w:rPr>
          <w:spacing w:val="-26"/>
          <w:w w:val="115"/>
          <w:sz w:val="16"/>
        </w:rPr>
        <w:t> </w:t>
      </w:r>
      <w:r>
        <w:rPr>
          <w:w w:val="115"/>
          <w:sz w:val="16"/>
        </w:rPr>
        <w:t>una</w:t>
      </w:r>
      <w:r>
        <w:rPr>
          <w:spacing w:val="-26"/>
          <w:w w:val="115"/>
          <w:sz w:val="16"/>
        </w:rPr>
        <w:t> </w:t>
      </w:r>
      <w:r>
        <w:rPr>
          <w:w w:val="115"/>
          <w:sz w:val="16"/>
        </w:rPr>
        <w:t>proyección</w:t>
      </w:r>
      <w:r>
        <w:rPr>
          <w:spacing w:val="-26"/>
          <w:w w:val="115"/>
          <w:sz w:val="16"/>
        </w:rPr>
        <w:t> </w:t>
      </w:r>
      <w:r>
        <w:rPr>
          <w:w w:val="115"/>
          <w:sz w:val="16"/>
        </w:rPr>
        <w:t>de</w:t>
      </w:r>
      <w:r>
        <w:rPr>
          <w:spacing w:val="-26"/>
          <w:w w:val="115"/>
          <w:sz w:val="16"/>
        </w:rPr>
        <w:t> </w:t>
      </w:r>
      <w:r>
        <w:rPr>
          <w:w w:val="115"/>
          <w:sz w:val="16"/>
        </w:rPr>
        <w:t>14%</w:t>
      </w:r>
      <w:r>
        <w:rPr>
          <w:spacing w:val="-26"/>
          <w:w w:val="115"/>
          <w:sz w:val="16"/>
        </w:rPr>
        <w:t> </w:t>
      </w:r>
      <w:r>
        <w:rPr>
          <w:w w:val="115"/>
          <w:sz w:val="16"/>
        </w:rPr>
        <w:t>para</w:t>
      </w:r>
      <w:r>
        <w:rPr>
          <w:spacing w:val="-26"/>
          <w:w w:val="115"/>
          <w:sz w:val="16"/>
        </w:rPr>
        <w:t> </w:t>
      </w:r>
      <w:r>
        <w:rPr>
          <w:w w:val="115"/>
          <w:sz w:val="16"/>
        </w:rPr>
        <w:t>2020</w:t>
      </w:r>
      <w:r>
        <w:rPr>
          <w:spacing w:val="-26"/>
          <w:w w:val="115"/>
          <w:sz w:val="16"/>
        </w:rPr>
        <w:t> </w:t>
      </w:r>
      <w:r>
        <w:rPr>
          <w:w w:val="115"/>
          <w:sz w:val="16"/>
        </w:rPr>
        <w:t>(CEPal, 2011).</w:t>
      </w:r>
    </w:p>
    <w:p>
      <w:pPr>
        <w:spacing w:after="0" w:line="242" w:lineRule="auto"/>
        <w:jc w:val="both"/>
        <w:rPr>
          <w:sz w:val="16"/>
        </w:rPr>
        <w:sectPr>
          <w:pgSz w:w="8790" w:h="12760"/>
          <w:pgMar w:header="697" w:footer="723" w:top="880" w:bottom="920" w:left="900" w:right="660"/>
        </w:sectPr>
      </w:pPr>
    </w:p>
    <w:p>
      <w:pPr>
        <w:pStyle w:val="BodyText"/>
        <w:spacing w:before="6"/>
        <w:rPr>
          <w:sz w:val="25"/>
        </w:rPr>
      </w:pPr>
    </w:p>
    <w:p>
      <w:pPr>
        <w:pStyle w:val="ListParagraph"/>
        <w:numPr>
          <w:ilvl w:val="1"/>
          <w:numId w:val="35"/>
        </w:numPr>
        <w:tabs>
          <w:tab w:pos="955" w:val="left" w:leader="none"/>
        </w:tabs>
        <w:spacing w:line="247" w:lineRule="auto" w:before="61" w:after="0"/>
        <w:ind w:left="954" w:right="117" w:hanging="227"/>
        <w:jc w:val="both"/>
        <w:rPr>
          <w:sz w:val="19"/>
        </w:rPr>
      </w:pPr>
      <w:r>
        <w:rPr>
          <w:w w:val="243"/>
          <w:sz w:val="19"/>
        </w:rPr>
        <w:t>l</w:t>
      </w:r>
      <w:r>
        <w:rPr>
          <w:w w:val="109"/>
          <w:sz w:val="19"/>
        </w:rPr>
        <w:t>as</w:t>
      </w:r>
      <w:r>
        <w:rPr>
          <w:sz w:val="19"/>
        </w:rPr>
        <w:t> </w:t>
      </w:r>
      <w:r>
        <w:rPr>
          <w:spacing w:val="-17"/>
          <w:sz w:val="19"/>
        </w:rPr>
        <w:t> </w:t>
      </w:r>
      <w:r>
        <w:rPr>
          <w:w w:val="109"/>
          <w:sz w:val="19"/>
        </w:rPr>
        <w:t>exportaciones</w:t>
      </w:r>
      <w:r>
        <w:rPr>
          <w:sz w:val="19"/>
        </w:rPr>
        <w:t> </w:t>
      </w:r>
      <w:r>
        <w:rPr>
          <w:spacing w:val="-17"/>
          <w:sz w:val="19"/>
        </w:rPr>
        <w:t> </w:t>
      </w:r>
      <w:r>
        <w:rPr>
          <w:w w:val="107"/>
          <w:sz w:val="19"/>
        </w:rPr>
        <w:t>de</w:t>
      </w:r>
      <w:r>
        <w:rPr>
          <w:sz w:val="19"/>
        </w:rPr>
        <w:t> </w:t>
      </w:r>
      <w:r>
        <w:rPr>
          <w:spacing w:val="-17"/>
          <w:sz w:val="19"/>
        </w:rPr>
        <w:t> </w:t>
      </w:r>
      <w:r>
        <w:rPr>
          <w:w w:val="111"/>
          <w:sz w:val="19"/>
        </w:rPr>
        <w:t>la</w:t>
      </w:r>
      <w:r>
        <w:rPr>
          <w:sz w:val="19"/>
        </w:rPr>
        <w:t> </w:t>
      </w:r>
      <w:r>
        <w:rPr>
          <w:spacing w:val="-17"/>
          <w:sz w:val="19"/>
        </w:rPr>
        <w:t> </w:t>
      </w:r>
      <w:r>
        <w:rPr>
          <w:w w:val="109"/>
          <w:sz w:val="19"/>
        </w:rPr>
        <w:t>región</w:t>
      </w:r>
      <w:r>
        <w:rPr>
          <w:sz w:val="19"/>
        </w:rPr>
        <w:t> </w:t>
      </w:r>
      <w:r>
        <w:rPr>
          <w:spacing w:val="-17"/>
          <w:sz w:val="19"/>
        </w:rPr>
        <w:t> </w:t>
      </w:r>
      <w:r>
        <w:rPr>
          <w:w w:val="113"/>
          <w:sz w:val="19"/>
        </w:rPr>
        <w:t>hacia</w:t>
      </w:r>
      <w:r>
        <w:rPr>
          <w:sz w:val="19"/>
        </w:rPr>
        <w:t> </w:t>
      </w:r>
      <w:r>
        <w:rPr>
          <w:spacing w:val="-17"/>
          <w:sz w:val="19"/>
        </w:rPr>
        <w:t> </w:t>
      </w:r>
      <w:r>
        <w:rPr>
          <w:w w:val="111"/>
          <w:sz w:val="19"/>
        </w:rPr>
        <w:t>Estados</w:t>
      </w:r>
      <w:r>
        <w:rPr>
          <w:sz w:val="19"/>
        </w:rPr>
        <w:t> </w:t>
      </w:r>
      <w:r>
        <w:rPr>
          <w:spacing w:val="-17"/>
          <w:sz w:val="19"/>
        </w:rPr>
        <w:t> </w:t>
      </w:r>
      <w:r>
        <w:rPr>
          <w:w w:val="140"/>
          <w:sz w:val="19"/>
        </w:rPr>
        <w:t>u</w:t>
      </w:r>
      <w:r>
        <w:rPr>
          <w:w w:val="110"/>
          <w:sz w:val="19"/>
        </w:rPr>
        <w:t>nidos</w:t>
      </w:r>
      <w:r>
        <w:rPr>
          <w:sz w:val="19"/>
        </w:rPr>
        <w:t> </w:t>
      </w:r>
      <w:r>
        <w:rPr>
          <w:spacing w:val="-17"/>
          <w:sz w:val="19"/>
        </w:rPr>
        <w:t> </w:t>
      </w:r>
      <w:r>
        <w:rPr>
          <w:w w:val="109"/>
          <w:sz w:val="19"/>
        </w:rPr>
        <w:t>pasaron </w:t>
      </w:r>
      <w:r>
        <w:rPr>
          <w:w w:val="110"/>
          <w:sz w:val="19"/>
        </w:rPr>
        <w:t>de</w:t>
      </w:r>
      <w:r>
        <w:rPr>
          <w:spacing w:val="-8"/>
          <w:w w:val="110"/>
          <w:sz w:val="19"/>
        </w:rPr>
        <w:t> </w:t>
      </w:r>
      <w:r>
        <w:rPr>
          <w:w w:val="110"/>
          <w:sz w:val="19"/>
        </w:rPr>
        <w:t>representar</w:t>
      </w:r>
      <w:r>
        <w:rPr>
          <w:spacing w:val="-8"/>
          <w:w w:val="110"/>
          <w:sz w:val="19"/>
        </w:rPr>
        <w:t> </w:t>
      </w:r>
      <w:r>
        <w:rPr>
          <w:w w:val="110"/>
          <w:sz w:val="19"/>
        </w:rPr>
        <w:t>un</w:t>
      </w:r>
      <w:r>
        <w:rPr>
          <w:spacing w:val="-8"/>
          <w:w w:val="110"/>
          <w:sz w:val="19"/>
        </w:rPr>
        <w:t> </w:t>
      </w:r>
      <w:r>
        <w:rPr>
          <w:w w:val="110"/>
          <w:sz w:val="19"/>
        </w:rPr>
        <w:t>desmesurado</w:t>
      </w:r>
      <w:r>
        <w:rPr>
          <w:spacing w:val="-8"/>
          <w:w w:val="110"/>
          <w:sz w:val="19"/>
        </w:rPr>
        <w:t> </w:t>
      </w:r>
      <w:r>
        <w:rPr>
          <w:w w:val="110"/>
          <w:sz w:val="19"/>
        </w:rPr>
        <w:t>60%</w:t>
      </w:r>
      <w:r>
        <w:rPr>
          <w:spacing w:val="-8"/>
          <w:w w:val="110"/>
          <w:sz w:val="19"/>
        </w:rPr>
        <w:t> </w:t>
      </w:r>
      <w:r>
        <w:rPr>
          <w:w w:val="110"/>
          <w:sz w:val="19"/>
        </w:rPr>
        <w:t>del</w:t>
      </w:r>
      <w:r>
        <w:rPr>
          <w:spacing w:val="-8"/>
          <w:w w:val="110"/>
          <w:sz w:val="19"/>
        </w:rPr>
        <w:t> </w:t>
      </w:r>
      <w:r>
        <w:rPr>
          <w:w w:val="110"/>
          <w:sz w:val="19"/>
        </w:rPr>
        <w:t>total</w:t>
      </w:r>
      <w:r>
        <w:rPr>
          <w:spacing w:val="-8"/>
          <w:w w:val="110"/>
          <w:sz w:val="19"/>
        </w:rPr>
        <w:t> </w:t>
      </w:r>
      <w:r>
        <w:rPr>
          <w:w w:val="110"/>
          <w:sz w:val="19"/>
        </w:rPr>
        <w:t>en</w:t>
      </w:r>
      <w:r>
        <w:rPr>
          <w:spacing w:val="-8"/>
          <w:w w:val="110"/>
          <w:sz w:val="19"/>
        </w:rPr>
        <w:t> </w:t>
      </w:r>
      <w:r>
        <w:rPr>
          <w:w w:val="110"/>
          <w:sz w:val="19"/>
        </w:rPr>
        <w:t>2000,</w:t>
      </w:r>
      <w:r>
        <w:rPr>
          <w:spacing w:val="-8"/>
          <w:w w:val="110"/>
          <w:sz w:val="19"/>
        </w:rPr>
        <w:t> </w:t>
      </w:r>
      <w:r>
        <w:rPr>
          <w:w w:val="110"/>
          <w:sz w:val="19"/>
        </w:rPr>
        <w:t>a</w:t>
      </w:r>
      <w:r>
        <w:rPr>
          <w:spacing w:val="-8"/>
          <w:w w:val="110"/>
          <w:sz w:val="19"/>
        </w:rPr>
        <w:t> </w:t>
      </w:r>
      <w:r>
        <w:rPr>
          <w:w w:val="110"/>
          <w:sz w:val="19"/>
        </w:rPr>
        <w:t>38.6% </w:t>
      </w:r>
      <w:r>
        <w:rPr>
          <w:w w:val="115"/>
          <w:sz w:val="19"/>
        </w:rPr>
        <w:t>en</w:t>
      </w:r>
      <w:r>
        <w:rPr>
          <w:spacing w:val="-4"/>
          <w:w w:val="115"/>
          <w:sz w:val="19"/>
        </w:rPr>
        <w:t> </w:t>
      </w:r>
      <w:r>
        <w:rPr>
          <w:w w:val="115"/>
          <w:sz w:val="19"/>
        </w:rPr>
        <w:t>2009</w:t>
      </w:r>
      <w:r>
        <w:rPr>
          <w:spacing w:val="-4"/>
          <w:w w:val="115"/>
          <w:sz w:val="19"/>
        </w:rPr>
        <w:t> </w:t>
      </w:r>
      <w:r>
        <w:rPr>
          <w:w w:val="115"/>
          <w:sz w:val="19"/>
        </w:rPr>
        <w:t>y</w:t>
      </w:r>
      <w:r>
        <w:rPr>
          <w:spacing w:val="-4"/>
          <w:w w:val="115"/>
          <w:sz w:val="19"/>
        </w:rPr>
        <w:t> </w:t>
      </w:r>
      <w:r>
        <w:rPr>
          <w:w w:val="115"/>
          <w:sz w:val="19"/>
        </w:rPr>
        <w:t>se</w:t>
      </w:r>
      <w:r>
        <w:rPr>
          <w:spacing w:val="-4"/>
          <w:w w:val="115"/>
          <w:sz w:val="19"/>
        </w:rPr>
        <w:t> </w:t>
      </w:r>
      <w:r>
        <w:rPr>
          <w:w w:val="115"/>
          <w:sz w:val="19"/>
        </w:rPr>
        <w:t>proyecta</w:t>
      </w:r>
      <w:r>
        <w:rPr>
          <w:spacing w:val="-4"/>
          <w:w w:val="115"/>
          <w:sz w:val="19"/>
        </w:rPr>
        <w:t> </w:t>
      </w:r>
      <w:r>
        <w:rPr>
          <w:w w:val="115"/>
          <w:sz w:val="19"/>
        </w:rPr>
        <w:t>que</w:t>
      </w:r>
      <w:r>
        <w:rPr>
          <w:spacing w:val="-4"/>
          <w:w w:val="115"/>
          <w:sz w:val="19"/>
        </w:rPr>
        <w:t> </w:t>
      </w:r>
      <w:r>
        <w:rPr>
          <w:w w:val="115"/>
          <w:sz w:val="19"/>
        </w:rPr>
        <w:t>continúen</w:t>
      </w:r>
      <w:r>
        <w:rPr>
          <w:spacing w:val="-4"/>
          <w:w w:val="115"/>
          <w:sz w:val="19"/>
        </w:rPr>
        <w:t> </w:t>
      </w:r>
      <w:r>
        <w:rPr>
          <w:w w:val="115"/>
          <w:sz w:val="19"/>
        </w:rPr>
        <w:t>disminuyendo</w:t>
      </w:r>
      <w:r>
        <w:rPr>
          <w:spacing w:val="-4"/>
          <w:w w:val="115"/>
          <w:sz w:val="19"/>
        </w:rPr>
        <w:t> </w:t>
      </w:r>
      <w:r>
        <w:rPr>
          <w:w w:val="115"/>
          <w:sz w:val="19"/>
        </w:rPr>
        <w:t>hasta</w:t>
      </w:r>
      <w:r>
        <w:rPr>
          <w:spacing w:val="-4"/>
          <w:w w:val="115"/>
          <w:sz w:val="19"/>
        </w:rPr>
        <w:t> </w:t>
      </w:r>
      <w:r>
        <w:rPr>
          <w:w w:val="115"/>
          <w:sz w:val="19"/>
        </w:rPr>
        <w:t>un 28.4%</w:t>
      </w:r>
      <w:r>
        <w:rPr>
          <w:spacing w:val="-13"/>
          <w:w w:val="115"/>
          <w:sz w:val="19"/>
        </w:rPr>
        <w:t> </w:t>
      </w:r>
      <w:r>
        <w:rPr>
          <w:w w:val="115"/>
          <w:sz w:val="19"/>
        </w:rPr>
        <w:t>en</w:t>
      </w:r>
      <w:r>
        <w:rPr>
          <w:spacing w:val="-13"/>
          <w:w w:val="115"/>
          <w:sz w:val="19"/>
        </w:rPr>
        <w:t> </w:t>
      </w:r>
      <w:r>
        <w:rPr>
          <w:w w:val="115"/>
          <w:sz w:val="19"/>
        </w:rPr>
        <w:t>2020</w:t>
      </w:r>
      <w:r>
        <w:rPr>
          <w:spacing w:val="-13"/>
          <w:w w:val="115"/>
          <w:sz w:val="19"/>
        </w:rPr>
        <w:t> </w:t>
      </w:r>
      <w:r>
        <w:rPr>
          <w:spacing w:val="-3"/>
          <w:w w:val="115"/>
          <w:sz w:val="19"/>
        </w:rPr>
        <w:t>(CEPal,</w:t>
      </w:r>
      <w:r>
        <w:rPr>
          <w:spacing w:val="-13"/>
          <w:w w:val="115"/>
          <w:sz w:val="19"/>
        </w:rPr>
        <w:t> </w:t>
      </w:r>
      <w:r>
        <w:rPr>
          <w:w w:val="115"/>
          <w:sz w:val="19"/>
        </w:rPr>
        <w:t>2011:</w:t>
      </w:r>
      <w:r>
        <w:rPr>
          <w:spacing w:val="-13"/>
          <w:w w:val="115"/>
          <w:sz w:val="19"/>
        </w:rPr>
        <w:t> </w:t>
      </w:r>
      <w:r>
        <w:rPr>
          <w:w w:val="115"/>
          <w:sz w:val="19"/>
        </w:rPr>
        <w:t>5)</w:t>
      </w:r>
      <w:r>
        <w:rPr>
          <w:w w:val="115"/>
          <w:position w:val="6"/>
          <w:sz w:val="11"/>
        </w:rPr>
        <w:t>27</w:t>
      </w:r>
      <w:r>
        <w:rPr>
          <w:w w:val="115"/>
          <w:sz w:val="19"/>
        </w:rPr>
        <w:t>.</w:t>
      </w:r>
    </w:p>
    <w:p>
      <w:pPr>
        <w:pStyle w:val="ListParagraph"/>
        <w:numPr>
          <w:ilvl w:val="1"/>
          <w:numId w:val="35"/>
        </w:numPr>
        <w:tabs>
          <w:tab w:pos="955" w:val="left" w:leader="none"/>
        </w:tabs>
        <w:spacing w:line="249" w:lineRule="auto" w:before="42" w:after="0"/>
        <w:ind w:left="954" w:right="118" w:hanging="227"/>
        <w:jc w:val="both"/>
        <w:rPr>
          <w:sz w:val="19"/>
        </w:rPr>
      </w:pPr>
      <w:r>
        <w:rPr>
          <w:w w:val="115"/>
          <w:sz w:val="19"/>
        </w:rPr>
        <w:t>En</w:t>
      </w:r>
      <w:r>
        <w:rPr>
          <w:spacing w:val="-9"/>
          <w:w w:val="115"/>
          <w:sz w:val="19"/>
        </w:rPr>
        <w:t> </w:t>
      </w:r>
      <w:r>
        <w:rPr>
          <w:w w:val="115"/>
          <w:sz w:val="19"/>
        </w:rPr>
        <w:t>el</w:t>
      </w:r>
      <w:r>
        <w:rPr>
          <w:spacing w:val="-9"/>
          <w:w w:val="115"/>
          <w:sz w:val="19"/>
        </w:rPr>
        <w:t> </w:t>
      </w:r>
      <w:r>
        <w:rPr>
          <w:w w:val="115"/>
          <w:sz w:val="19"/>
        </w:rPr>
        <w:t>caso</w:t>
      </w:r>
      <w:r>
        <w:rPr>
          <w:spacing w:val="-9"/>
          <w:w w:val="115"/>
          <w:sz w:val="19"/>
        </w:rPr>
        <w:t> </w:t>
      </w:r>
      <w:r>
        <w:rPr>
          <w:w w:val="115"/>
          <w:sz w:val="19"/>
        </w:rPr>
        <w:t>de</w:t>
      </w:r>
      <w:r>
        <w:rPr>
          <w:spacing w:val="-9"/>
          <w:w w:val="115"/>
          <w:sz w:val="19"/>
        </w:rPr>
        <w:t> </w:t>
      </w:r>
      <w:r>
        <w:rPr>
          <w:w w:val="115"/>
          <w:sz w:val="19"/>
        </w:rPr>
        <w:t>China</w:t>
      </w:r>
      <w:r>
        <w:rPr>
          <w:spacing w:val="-9"/>
          <w:w w:val="115"/>
          <w:sz w:val="19"/>
        </w:rPr>
        <w:t> </w:t>
      </w:r>
      <w:r>
        <w:rPr>
          <w:w w:val="115"/>
          <w:sz w:val="19"/>
        </w:rPr>
        <w:t>y</w:t>
      </w:r>
      <w:r>
        <w:rPr>
          <w:spacing w:val="-9"/>
          <w:w w:val="115"/>
          <w:sz w:val="19"/>
        </w:rPr>
        <w:t> </w:t>
      </w:r>
      <w:r>
        <w:rPr>
          <w:w w:val="115"/>
          <w:sz w:val="19"/>
        </w:rPr>
        <w:t>su</w:t>
      </w:r>
      <w:r>
        <w:rPr>
          <w:spacing w:val="-9"/>
          <w:w w:val="115"/>
          <w:sz w:val="19"/>
        </w:rPr>
        <w:t> </w:t>
      </w:r>
      <w:r>
        <w:rPr>
          <w:w w:val="115"/>
          <w:sz w:val="19"/>
        </w:rPr>
        <w:t>participación</w:t>
      </w:r>
      <w:r>
        <w:rPr>
          <w:spacing w:val="-9"/>
          <w:w w:val="115"/>
          <w:sz w:val="19"/>
        </w:rPr>
        <w:t> </w:t>
      </w:r>
      <w:r>
        <w:rPr>
          <w:w w:val="115"/>
          <w:sz w:val="19"/>
        </w:rPr>
        <w:t>en</w:t>
      </w:r>
      <w:r>
        <w:rPr>
          <w:spacing w:val="-9"/>
          <w:w w:val="115"/>
          <w:sz w:val="19"/>
        </w:rPr>
        <w:t> </w:t>
      </w:r>
      <w:r>
        <w:rPr>
          <w:w w:val="115"/>
          <w:sz w:val="19"/>
        </w:rPr>
        <w:t>las</w:t>
      </w:r>
      <w:r>
        <w:rPr>
          <w:spacing w:val="-9"/>
          <w:w w:val="115"/>
          <w:sz w:val="19"/>
        </w:rPr>
        <w:t> </w:t>
      </w:r>
      <w:r>
        <w:rPr>
          <w:w w:val="115"/>
          <w:sz w:val="19"/>
        </w:rPr>
        <w:t>exportaciones</w:t>
      </w:r>
      <w:r>
        <w:rPr>
          <w:spacing w:val="-9"/>
          <w:w w:val="115"/>
          <w:sz w:val="19"/>
        </w:rPr>
        <w:t> </w:t>
      </w:r>
      <w:r>
        <w:rPr>
          <w:w w:val="115"/>
          <w:sz w:val="19"/>
        </w:rPr>
        <w:t>de </w:t>
      </w:r>
      <w:r>
        <w:rPr>
          <w:spacing w:val="-2"/>
          <w:w w:val="139"/>
          <w:sz w:val="19"/>
        </w:rPr>
        <w:t>a</w:t>
      </w:r>
      <w:r>
        <w:rPr>
          <w:spacing w:val="-2"/>
          <w:w w:val="111"/>
          <w:sz w:val="19"/>
        </w:rPr>
        <w:t>méric</w:t>
      </w:r>
      <w:r>
        <w:rPr>
          <w:w w:val="111"/>
          <w:sz w:val="19"/>
        </w:rPr>
        <w:t>a</w:t>
      </w:r>
      <w:r>
        <w:rPr>
          <w:spacing w:val="-3"/>
          <w:sz w:val="19"/>
        </w:rPr>
        <w:t> </w:t>
      </w:r>
      <w:r>
        <w:rPr>
          <w:spacing w:val="-2"/>
          <w:w w:val="243"/>
          <w:sz w:val="19"/>
        </w:rPr>
        <w:t>l</w:t>
      </w:r>
      <w:r>
        <w:rPr>
          <w:spacing w:val="-2"/>
          <w:w w:val="111"/>
          <w:sz w:val="19"/>
        </w:rPr>
        <w:t>atin</w:t>
      </w:r>
      <w:r>
        <w:rPr>
          <w:w w:val="111"/>
          <w:sz w:val="19"/>
        </w:rPr>
        <w:t>a</w:t>
      </w:r>
      <w:r>
        <w:rPr>
          <w:spacing w:val="-3"/>
          <w:sz w:val="19"/>
        </w:rPr>
        <w:t> </w:t>
      </w:r>
      <w:r>
        <w:rPr>
          <w:w w:val="105"/>
          <w:sz w:val="19"/>
        </w:rPr>
        <w:t>y</w:t>
      </w:r>
      <w:r>
        <w:rPr>
          <w:spacing w:val="-3"/>
          <w:sz w:val="19"/>
        </w:rPr>
        <w:t> </w:t>
      </w:r>
      <w:r>
        <w:rPr>
          <w:spacing w:val="-2"/>
          <w:w w:val="107"/>
          <w:sz w:val="19"/>
        </w:rPr>
        <w:t>e</w:t>
      </w:r>
      <w:r>
        <w:rPr>
          <w:w w:val="107"/>
          <w:sz w:val="19"/>
        </w:rPr>
        <w:t>l</w:t>
      </w:r>
      <w:r>
        <w:rPr>
          <w:spacing w:val="-3"/>
          <w:sz w:val="19"/>
        </w:rPr>
        <w:t> </w:t>
      </w:r>
      <w:r>
        <w:rPr>
          <w:spacing w:val="-2"/>
          <w:w w:val="114"/>
          <w:sz w:val="19"/>
        </w:rPr>
        <w:t>Caribe</w:t>
      </w:r>
      <w:r>
        <w:rPr>
          <w:w w:val="114"/>
          <w:sz w:val="19"/>
        </w:rPr>
        <w:t>,</w:t>
      </w:r>
      <w:r>
        <w:rPr>
          <w:spacing w:val="-3"/>
          <w:sz w:val="19"/>
        </w:rPr>
        <w:t> </w:t>
      </w:r>
      <w:r>
        <w:rPr>
          <w:spacing w:val="-2"/>
          <w:w w:val="106"/>
          <w:sz w:val="19"/>
        </w:rPr>
        <w:t>esta</w:t>
      </w:r>
      <w:r>
        <w:rPr>
          <w:w w:val="106"/>
          <w:sz w:val="19"/>
        </w:rPr>
        <w:t>s</w:t>
      </w:r>
      <w:r>
        <w:rPr>
          <w:spacing w:val="-3"/>
          <w:sz w:val="19"/>
        </w:rPr>
        <w:t> </w:t>
      </w:r>
      <w:r>
        <w:rPr>
          <w:spacing w:val="-2"/>
          <w:w w:val="109"/>
          <w:sz w:val="19"/>
        </w:rPr>
        <w:t>pasaro</w:t>
      </w:r>
      <w:r>
        <w:rPr>
          <w:w w:val="109"/>
          <w:sz w:val="19"/>
        </w:rPr>
        <w:t>n</w:t>
      </w:r>
      <w:r>
        <w:rPr>
          <w:spacing w:val="-3"/>
          <w:sz w:val="19"/>
        </w:rPr>
        <w:t> </w:t>
      </w:r>
      <w:r>
        <w:rPr>
          <w:spacing w:val="-2"/>
          <w:w w:val="112"/>
          <w:sz w:val="19"/>
        </w:rPr>
        <w:t>co</w:t>
      </w:r>
      <w:r>
        <w:rPr>
          <w:w w:val="112"/>
          <w:sz w:val="19"/>
        </w:rPr>
        <w:t>n</w:t>
      </w:r>
      <w:r>
        <w:rPr>
          <w:spacing w:val="-3"/>
          <w:sz w:val="19"/>
        </w:rPr>
        <w:t> </w:t>
      </w:r>
      <w:r>
        <w:rPr>
          <w:spacing w:val="-2"/>
          <w:w w:val="110"/>
          <w:sz w:val="19"/>
        </w:rPr>
        <w:t>gra</w:t>
      </w:r>
      <w:r>
        <w:rPr>
          <w:w w:val="110"/>
          <w:sz w:val="19"/>
        </w:rPr>
        <w:t>n</w:t>
      </w:r>
      <w:r>
        <w:rPr>
          <w:spacing w:val="-3"/>
          <w:sz w:val="19"/>
        </w:rPr>
        <w:t> </w:t>
      </w:r>
      <w:r>
        <w:rPr>
          <w:spacing w:val="-2"/>
          <w:w w:val="109"/>
          <w:sz w:val="19"/>
        </w:rPr>
        <w:t>rapide</w:t>
      </w:r>
      <w:r>
        <w:rPr>
          <w:w w:val="109"/>
          <w:sz w:val="19"/>
        </w:rPr>
        <w:t>z</w:t>
      </w:r>
      <w:r>
        <w:rPr>
          <w:spacing w:val="-3"/>
          <w:sz w:val="19"/>
        </w:rPr>
        <w:t> </w:t>
      </w:r>
      <w:r>
        <w:rPr>
          <w:spacing w:val="-2"/>
          <w:w w:val="107"/>
          <w:sz w:val="19"/>
        </w:rPr>
        <w:t>d</w:t>
      </w:r>
      <w:r>
        <w:rPr>
          <w:w w:val="107"/>
          <w:sz w:val="19"/>
        </w:rPr>
        <w:t>e</w:t>
      </w:r>
      <w:r>
        <w:rPr>
          <w:spacing w:val="-3"/>
          <w:sz w:val="19"/>
        </w:rPr>
        <w:t> </w:t>
      </w:r>
      <w:r>
        <w:rPr>
          <w:spacing w:val="-2"/>
          <w:w w:val="112"/>
          <w:sz w:val="19"/>
        </w:rPr>
        <w:t>un </w:t>
      </w:r>
      <w:r>
        <w:rPr>
          <w:w w:val="115"/>
          <w:sz w:val="19"/>
        </w:rPr>
        <w:t>valor</w:t>
      </w:r>
      <w:r>
        <w:rPr>
          <w:spacing w:val="-24"/>
          <w:w w:val="115"/>
          <w:sz w:val="19"/>
        </w:rPr>
        <w:t> </w:t>
      </w:r>
      <w:r>
        <w:rPr>
          <w:w w:val="115"/>
          <w:sz w:val="19"/>
        </w:rPr>
        <w:t>cercano</w:t>
      </w:r>
      <w:r>
        <w:rPr>
          <w:spacing w:val="-24"/>
          <w:w w:val="115"/>
          <w:sz w:val="19"/>
        </w:rPr>
        <w:t> </w:t>
      </w:r>
      <w:r>
        <w:rPr>
          <w:w w:val="115"/>
          <w:sz w:val="19"/>
        </w:rPr>
        <w:t>a</w:t>
      </w:r>
      <w:r>
        <w:rPr>
          <w:spacing w:val="-24"/>
          <w:w w:val="115"/>
          <w:sz w:val="19"/>
        </w:rPr>
        <w:t> </w:t>
      </w:r>
      <w:r>
        <w:rPr>
          <w:w w:val="115"/>
          <w:sz w:val="19"/>
        </w:rPr>
        <w:t>cero</w:t>
      </w:r>
      <w:r>
        <w:rPr>
          <w:spacing w:val="-24"/>
          <w:w w:val="115"/>
          <w:sz w:val="19"/>
        </w:rPr>
        <w:t> </w:t>
      </w:r>
      <w:r>
        <w:rPr>
          <w:w w:val="115"/>
          <w:sz w:val="19"/>
        </w:rPr>
        <w:t>en</w:t>
      </w:r>
      <w:r>
        <w:rPr>
          <w:spacing w:val="-24"/>
          <w:w w:val="115"/>
          <w:sz w:val="19"/>
        </w:rPr>
        <w:t> </w:t>
      </w:r>
      <w:r>
        <w:rPr>
          <w:w w:val="115"/>
          <w:sz w:val="19"/>
        </w:rPr>
        <w:t>el</w:t>
      </w:r>
      <w:r>
        <w:rPr>
          <w:spacing w:val="-24"/>
          <w:w w:val="115"/>
          <w:sz w:val="19"/>
        </w:rPr>
        <w:t> </w:t>
      </w:r>
      <w:r>
        <w:rPr>
          <w:w w:val="115"/>
          <w:sz w:val="19"/>
        </w:rPr>
        <w:t>año</w:t>
      </w:r>
      <w:r>
        <w:rPr>
          <w:spacing w:val="-24"/>
          <w:w w:val="115"/>
          <w:sz w:val="19"/>
        </w:rPr>
        <w:t> </w:t>
      </w:r>
      <w:r>
        <w:rPr>
          <w:w w:val="115"/>
          <w:sz w:val="19"/>
        </w:rPr>
        <w:t>2000,</w:t>
      </w:r>
      <w:r>
        <w:rPr>
          <w:spacing w:val="-24"/>
          <w:w w:val="115"/>
          <w:sz w:val="19"/>
        </w:rPr>
        <w:t> </w:t>
      </w:r>
      <w:r>
        <w:rPr>
          <w:w w:val="115"/>
          <w:sz w:val="19"/>
        </w:rPr>
        <w:t>a</w:t>
      </w:r>
      <w:r>
        <w:rPr>
          <w:spacing w:val="-24"/>
          <w:w w:val="115"/>
          <w:sz w:val="19"/>
        </w:rPr>
        <w:t> </w:t>
      </w:r>
      <w:r>
        <w:rPr>
          <w:w w:val="115"/>
          <w:sz w:val="19"/>
        </w:rPr>
        <w:t>un</w:t>
      </w:r>
      <w:r>
        <w:rPr>
          <w:spacing w:val="-24"/>
          <w:w w:val="115"/>
          <w:sz w:val="19"/>
        </w:rPr>
        <w:t> </w:t>
      </w:r>
      <w:r>
        <w:rPr>
          <w:w w:val="115"/>
          <w:sz w:val="19"/>
        </w:rPr>
        <w:t>7,6%</w:t>
      </w:r>
      <w:r>
        <w:rPr>
          <w:spacing w:val="-24"/>
          <w:w w:val="115"/>
          <w:sz w:val="19"/>
        </w:rPr>
        <w:t> </w:t>
      </w:r>
      <w:r>
        <w:rPr>
          <w:w w:val="115"/>
          <w:sz w:val="19"/>
        </w:rPr>
        <w:t>en</w:t>
      </w:r>
      <w:r>
        <w:rPr>
          <w:spacing w:val="-24"/>
          <w:w w:val="115"/>
          <w:sz w:val="19"/>
        </w:rPr>
        <w:t> </w:t>
      </w:r>
      <w:r>
        <w:rPr>
          <w:w w:val="115"/>
          <w:sz w:val="19"/>
        </w:rPr>
        <w:t>apenas</w:t>
      </w:r>
      <w:r>
        <w:rPr>
          <w:spacing w:val="-24"/>
          <w:w w:val="115"/>
          <w:sz w:val="19"/>
        </w:rPr>
        <w:t> </w:t>
      </w:r>
      <w:r>
        <w:rPr>
          <w:w w:val="115"/>
          <w:sz w:val="19"/>
        </w:rPr>
        <w:t>nueve años.</w:t>
      </w:r>
      <w:r>
        <w:rPr>
          <w:spacing w:val="-24"/>
          <w:w w:val="115"/>
          <w:sz w:val="19"/>
        </w:rPr>
        <w:t> </w:t>
      </w:r>
      <w:r>
        <w:rPr>
          <w:w w:val="115"/>
          <w:sz w:val="19"/>
        </w:rPr>
        <w:t>se</w:t>
      </w:r>
      <w:r>
        <w:rPr>
          <w:spacing w:val="-24"/>
          <w:w w:val="115"/>
          <w:sz w:val="19"/>
        </w:rPr>
        <w:t> </w:t>
      </w:r>
      <w:r>
        <w:rPr>
          <w:w w:val="115"/>
          <w:sz w:val="19"/>
        </w:rPr>
        <w:t>estima</w:t>
      </w:r>
      <w:r>
        <w:rPr>
          <w:spacing w:val="-24"/>
          <w:w w:val="115"/>
          <w:sz w:val="19"/>
        </w:rPr>
        <w:t> </w:t>
      </w:r>
      <w:r>
        <w:rPr>
          <w:w w:val="115"/>
          <w:sz w:val="19"/>
        </w:rPr>
        <w:t>que</w:t>
      </w:r>
      <w:r>
        <w:rPr>
          <w:spacing w:val="-24"/>
          <w:w w:val="115"/>
          <w:sz w:val="19"/>
        </w:rPr>
        <w:t> </w:t>
      </w:r>
      <w:r>
        <w:rPr>
          <w:w w:val="115"/>
          <w:sz w:val="19"/>
        </w:rPr>
        <w:t>alcancen</w:t>
      </w:r>
      <w:r>
        <w:rPr>
          <w:spacing w:val="-24"/>
          <w:w w:val="115"/>
          <w:sz w:val="19"/>
        </w:rPr>
        <w:t> </w:t>
      </w:r>
      <w:r>
        <w:rPr>
          <w:w w:val="115"/>
          <w:sz w:val="19"/>
        </w:rPr>
        <w:t>un</w:t>
      </w:r>
      <w:r>
        <w:rPr>
          <w:spacing w:val="-24"/>
          <w:w w:val="115"/>
          <w:sz w:val="19"/>
        </w:rPr>
        <w:t> </w:t>
      </w:r>
      <w:r>
        <w:rPr>
          <w:w w:val="115"/>
          <w:sz w:val="19"/>
        </w:rPr>
        <w:t>19.3%</w:t>
      </w:r>
      <w:r>
        <w:rPr>
          <w:spacing w:val="-24"/>
          <w:w w:val="115"/>
          <w:sz w:val="19"/>
        </w:rPr>
        <w:t> </w:t>
      </w:r>
      <w:r>
        <w:rPr>
          <w:w w:val="115"/>
          <w:sz w:val="19"/>
        </w:rPr>
        <w:t>en</w:t>
      </w:r>
      <w:r>
        <w:rPr>
          <w:spacing w:val="-24"/>
          <w:w w:val="115"/>
          <w:sz w:val="19"/>
        </w:rPr>
        <w:t> </w:t>
      </w:r>
      <w:r>
        <w:rPr>
          <w:w w:val="115"/>
          <w:sz w:val="19"/>
        </w:rPr>
        <w:t>2020,</w:t>
      </w:r>
      <w:r>
        <w:rPr>
          <w:spacing w:val="-24"/>
          <w:w w:val="115"/>
          <w:sz w:val="19"/>
        </w:rPr>
        <w:t> </w:t>
      </w:r>
      <w:r>
        <w:rPr>
          <w:w w:val="115"/>
          <w:sz w:val="19"/>
        </w:rPr>
        <w:t>igualmente</w:t>
      </w:r>
      <w:r>
        <w:rPr>
          <w:spacing w:val="-24"/>
          <w:w w:val="115"/>
          <w:sz w:val="19"/>
        </w:rPr>
        <w:t> </w:t>
      </w:r>
      <w:r>
        <w:rPr>
          <w:spacing w:val="-7"/>
          <w:w w:val="115"/>
          <w:sz w:val="19"/>
        </w:rPr>
        <w:t>er- </w:t>
      </w:r>
      <w:r>
        <w:rPr>
          <w:w w:val="110"/>
          <w:sz w:val="19"/>
        </w:rPr>
        <w:t>igiéndose</w:t>
      </w:r>
      <w:r>
        <w:rPr>
          <w:spacing w:val="-9"/>
          <w:w w:val="110"/>
          <w:sz w:val="19"/>
        </w:rPr>
        <w:t> </w:t>
      </w:r>
      <w:r>
        <w:rPr>
          <w:w w:val="110"/>
          <w:sz w:val="19"/>
        </w:rPr>
        <w:t>como</w:t>
      </w:r>
      <w:r>
        <w:rPr>
          <w:spacing w:val="-9"/>
          <w:w w:val="110"/>
          <w:sz w:val="19"/>
        </w:rPr>
        <w:t> </w:t>
      </w:r>
      <w:r>
        <w:rPr>
          <w:w w:val="110"/>
          <w:sz w:val="19"/>
        </w:rPr>
        <w:t>segundo</w:t>
      </w:r>
      <w:r>
        <w:rPr>
          <w:spacing w:val="-9"/>
          <w:w w:val="110"/>
          <w:sz w:val="19"/>
        </w:rPr>
        <w:t> </w:t>
      </w:r>
      <w:r>
        <w:rPr>
          <w:w w:val="110"/>
          <w:sz w:val="19"/>
        </w:rPr>
        <w:t>socio</w:t>
      </w:r>
      <w:r>
        <w:rPr>
          <w:spacing w:val="-9"/>
          <w:w w:val="110"/>
          <w:sz w:val="19"/>
        </w:rPr>
        <w:t> </w:t>
      </w:r>
      <w:r>
        <w:rPr>
          <w:w w:val="110"/>
          <w:sz w:val="19"/>
        </w:rPr>
        <w:t>comercial</w:t>
      </w:r>
      <w:r>
        <w:rPr>
          <w:spacing w:val="-9"/>
          <w:w w:val="110"/>
          <w:sz w:val="19"/>
        </w:rPr>
        <w:t> </w:t>
      </w:r>
      <w:r>
        <w:rPr>
          <w:w w:val="110"/>
          <w:sz w:val="19"/>
        </w:rPr>
        <w:t>en</w:t>
      </w:r>
      <w:r>
        <w:rPr>
          <w:spacing w:val="-9"/>
          <w:w w:val="110"/>
          <w:sz w:val="19"/>
        </w:rPr>
        <w:t> </w:t>
      </w:r>
      <w:r>
        <w:rPr>
          <w:w w:val="110"/>
          <w:sz w:val="19"/>
        </w:rPr>
        <w:t>importancia</w:t>
      </w:r>
      <w:r>
        <w:rPr>
          <w:spacing w:val="-9"/>
          <w:w w:val="110"/>
          <w:sz w:val="19"/>
        </w:rPr>
        <w:t> </w:t>
      </w:r>
      <w:r>
        <w:rPr>
          <w:w w:val="110"/>
          <w:sz w:val="19"/>
        </w:rPr>
        <w:t>para</w:t>
      </w:r>
      <w:r>
        <w:rPr>
          <w:spacing w:val="-9"/>
          <w:w w:val="110"/>
          <w:sz w:val="19"/>
        </w:rPr>
        <w:t> </w:t>
      </w:r>
      <w:r>
        <w:rPr>
          <w:w w:val="110"/>
          <w:sz w:val="19"/>
        </w:rPr>
        <w:t>la </w:t>
      </w:r>
      <w:r>
        <w:rPr>
          <w:w w:val="115"/>
          <w:sz w:val="19"/>
        </w:rPr>
        <w:t>región</w:t>
      </w:r>
      <w:r>
        <w:rPr>
          <w:spacing w:val="-20"/>
          <w:w w:val="115"/>
          <w:sz w:val="19"/>
        </w:rPr>
        <w:t> </w:t>
      </w:r>
      <w:r>
        <w:rPr>
          <w:w w:val="115"/>
          <w:sz w:val="19"/>
        </w:rPr>
        <w:t>en</w:t>
      </w:r>
      <w:r>
        <w:rPr>
          <w:spacing w:val="-20"/>
          <w:w w:val="115"/>
          <w:sz w:val="19"/>
        </w:rPr>
        <w:t> </w:t>
      </w:r>
      <w:r>
        <w:rPr>
          <w:w w:val="115"/>
          <w:sz w:val="19"/>
        </w:rPr>
        <w:t>cuanto</w:t>
      </w:r>
      <w:r>
        <w:rPr>
          <w:spacing w:val="-20"/>
          <w:w w:val="115"/>
          <w:sz w:val="19"/>
        </w:rPr>
        <w:t> </w:t>
      </w:r>
      <w:r>
        <w:rPr>
          <w:w w:val="115"/>
          <w:sz w:val="19"/>
        </w:rPr>
        <w:t>a</w:t>
      </w:r>
      <w:r>
        <w:rPr>
          <w:spacing w:val="-20"/>
          <w:w w:val="115"/>
          <w:sz w:val="19"/>
        </w:rPr>
        <w:t> </w:t>
      </w:r>
      <w:r>
        <w:rPr>
          <w:w w:val="115"/>
          <w:sz w:val="19"/>
        </w:rPr>
        <w:t>las</w:t>
      </w:r>
      <w:r>
        <w:rPr>
          <w:spacing w:val="-20"/>
          <w:w w:val="115"/>
          <w:sz w:val="19"/>
        </w:rPr>
        <w:t> </w:t>
      </w:r>
      <w:r>
        <w:rPr>
          <w:w w:val="115"/>
          <w:sz w:val="19"/>
        </w:rPr>
        <w:t>exportaciones.</w:t>
      </w:r>
      <w:r>
        <w:rPr>
          <w:spacing w:val="-20"/>
          <w:w w:val="115"/>
          <w:sz w:val="19"/>
        </w:rPr>
        <w:t> </w:t>
      </w:r>
      <w:r>
        <w:rPr>
          <w:w w:val="115"/>
          <w:sz w:val="19"/>
        </w:rPr>
        <w:t>China</w:t>
      </w:r>
      <w:r>
        <w:rPr>
          <w:spacing w:val="-20"/>
          <w:w w:val="115"/>
          <w:sz w:val="19"/>
        </w:rPr>
        <w:t> </w:t>
      </w:r>
      <w:r>
        <w:rPr>
          <w:w w:val="115"/>
          <w:sz w:val="19"/>
        </w:rPr>
        <w:t>ha</w:t>
      </w:r>
      <w:r>
        <w:rPr>
          <w:spacing w:val="-20"/>
          <w:w w:val="115"/>
          <w:sz w:val="19"/>
        </w:rPr>
        <w:t> </w:t>
      </w:r>
      <w:r>
        <w:rPr>
          <w:w w:val="115"/>
          <w:sz w:val="19"/>
        </w:rPr>
        <w:t>ya</w:t>
      </w:r>
      <w:r>
        <w:rPr>
          <w:spacing w:val="-20"/>
          <w:w w:val="115"/>
          <w:sz w:val="19"/>
        </w:rPr>
        <w:t> </w:t>
      </w:r>
      <w:r>
        <w:rPr>
          <w:w w:val="115"/>
          <w:sz w:val="19"/>
        </w:rPr>
        <w:t>desplazado</w:t>
      </w:r>
      <w:r>
        <w:rPr>
          <w:spacing w:val="-20"/>
          <w:w w:val="115"/>
          <w:sz w:val="19"/>
        </w:rPr>
        <w:t> </w:t>
      </w:r>
      <w:r>
        <w:rPr>
          <w:w w:val="115"/>
          <w:sz w:val="19"/>
        </w:rPr>
        <w:t>a Estados</w:t>
      </w:r>
      <w:r>
        <w:rPr>
          <w:spacing w:val="-14"/>
          <w:w w:val="115"/>
          <w:sz w:val="19"/>
        </w:rPr>
        <w:t> </w:t>
      </w:r>
      <w:r>
        <w:rPr>
          <w:w w:val="115"/>
          <w:sz w:val="19"/>
        </w:rPr>
        <w:t>unidos</w:t>
      </w:r>
      <w:r>
        <w:rPr>
          <w:spacing w:val="-14"/>
          <w:w w:val="115"/>
          <w:sz w:val="19"/>
        </w:rPr>
        <w:t> </w:t>
      </w:r>
      <w:r>
        <w:rPr>
          <w:w w:val="115"/>
          <w:sz w:val="19"/>
        </w:rPr>
        <w:t>como</w:t>
      </w:r>
      <w:r>
        <w:rPr>
          <w:spacing w:val="-14"/>
          <w:w w:val="115"/>
          <w:sz w:val="19"/>
        </w:rPr>
        <w:t> </w:t>
      </w:r>
      <w:r>
        <w:rPr>
          <w:w w:val="115"/>
          <w:sz w:val="19"/>
        </w:rPr>
        <w:t>principal</w:t>
      </w:r>
      <w:r>
        <w:rPr>
          <w:spacing w:val="-14"/>
          <w:w w:val="115"/>
          <w:sz w:val="19"/>
        </w:rPr>
        <w:t> </w:t>
      </w:r>
      <w:r>
        <w:rPr>
          <w:w w:val="115"/>
          <w:sz w:val="19"/>
        </w:rPr>
        <w:t>destino</w:t>
      </w:r>
      <w:r>
        <w:rPr>
          <w:spacing w:val="-14"/>
          <w:w w:val="115"/>
          <w:sz w:val="19"/>
        </w:rPr>
        <w:t> </w:t>
      </w:r>
      <w:r>
        <w:rPr>
          <w:w w:val="115"/>
          <w:sz w:val="19"/>
        </w:rPr>
        <w:t>individual</w:t>
      </w:r>
      <w:r>
        <w:rPr>
          <w:spacing w:val="-14"/>
          <w:w w:val="115"/>
          <w:sz w:val="19"/>
        </w:rPr>
        <w:t> </w:t>
      </w:r>
      <w:r>
        <w:rPr>
          <w:w w:val="115"/>
          <w:sz w:val="19"/>
        </w:rPr>
        <w:t>de</w:t>
      </w:r>
      <w:r>
        <w:rPr>
          <w:spacing w:val="-14"/>
          <w:w w:val="115"/>
          <w:sz w:val="19"/>
        </w:rPr>
        <w:t> </w:t>
      </w:r>
      <w:r>
        <w:rPr>
          <w:w w:val="115"/>
          <w:sz w:val="19"/>
        </w:rPr>
        <w:t>exporta- ciones</w:t>
      </w:r>
      <w:r>
        <w:rPr>
          <w:spacing w:val="-14"/>
          <w:w w:val="115"/>
          <w:sz w:val="19"/>
        </w:rPr>
        <w:t> </w:t>
      </w:r>
      <w:r>
        <w:rPr>
          <w:w w:val="115"/>
          <w:sz w:val="19"/>
        </w:rPr>
        <w:t>de</w:t>
      </w:r>
      <w:r>
        <w:rPr>
          <w:spacing w:val="-14"/>
          <w:w w:val="115"/>
          <w:sz w:val="19"/>
        </w:rPr>
        <w:t> </w:t>
      </w:r>
      <w:r>
        <w:rPr>
          <w:w w:val="115"/>
          <w:sz w:val="19"/>
        </w:rPr>
        <w:t>países</w:t>
      </w:r>
      <w:r>
        <w:rPr>
          <w:spacing w:val="-14"/>
          <w:w w:val="115"/>
          <w:sz w:val="19"/>
        </w:rPr>
        <w:t> </w:t>
      </w:r>
      <w:r>
        <w:rPr>
          <w:w w:val="115"/>
          <w:sz w:val="19"/>
        </w:rPr>
        <w:t>de</w:t>
      </w:r>
      <w:r>
        <w:rPr>
          <w:spacing w:val="-14"/>
          <w:w w:val="115"/>
          <w:sz w:val="19"/>
        </w:rPr>
        <w:t> </w:t>
      </w:r>
      <w:r>
        <w:rPr>
          <w:w w:val="115"/>
          <w:sz w:val="19"/>
        </w:rPr>
        <w:t>la</w:t>
      </w:r>
      <w:r>
        <w:rPr>
          <w:spacing w:val="-14"/>
          <w:w w:val="115"/>
          <w:sz w:val="19"/>
        </w:rPr>
        <w:t> </w:t>
      </w:r>
      <w:r>
        <w:rPr>
          <w:w w:val="115"/>
          <w:sz w:val="19"/>
        </w:rPr>
        <w:t>región</w:t>
      </w:r>
      <w:r>
        <w:rPr>
          <w:spacing w:val="-14"/>
          <w:w w:val="115"/>
          <w:sz w:val="19"/>
        </w:rPr>
        <w:t> </w:t>
      </w:r>
      <w:r>
        <w:rPr>
          <w:w w:val="115"/>
          <w:sz w:val="19"/>
        </w:rPr>
        <w:t>como</w:t>
      </w:r>
      <w:r>
        <w:rPr>
          <w:spacing w:val="-14"/>
          <w:w w:val="115"/>
          <w:sz w:val="19"/>
        </w:rPr>
        <w:t> </w:t>
      </w:r>
      <w:r>
        <w:rPr>
          <w:w w:val="115"/>
          <w:sz w:val="19"/>
        </w:rPr>
        <w:t>Chile</w:t>
      </w:r>
      <w:r>
        <w:rPr>
          <w:spacing w:val="-14"/>
          <w:w w:val="115"/>
          <w:sz w:val="19"/>
        </w:rPr>
        <w:t> </w:t>
      </w:r>
      <w:r>
        <w:rPr>
          <w:w w:val="115"/>
          <w:sz w:val="19"/>
        </w:rPr>
        <w:t>y</w:t>
      </w:r>
      <w:r>
        <w:rPr>
          <w:spacing w:val="-14"/>
          <w:w w:val="115"/>
          <w:sz w:val="19"/>
        </w:rPr>
        <w:t> </w:t>
      </w:r>
      <w:r>
        <w:rPr>
          <w:w w:val="115"/>
          <w:sz w:val="19"/>
        </w:rPr>
        <w:t>Perú</w:t>
      </w:r>
      <w:r>
        <w:rPr>
          <w:spacing w:val="-14"/>
          <w:w w:val="115"/>
          <w:sz w:val="19"/>
        </w:rPr>
        <w:t> </w:t>
      </w:r>
      <w:r>
        <w:rPr>
          <w:spacing w:val="-4"/>
          <w:w w:val="115"/>
          <w:sz w:val="19"/>
        </w:rPr>
        <w:t>(CEPal,</w:t>
      </w:r>
      <w:r>
        <w:rPr>
          <w:spacing w:val="-14"/>
          <w:w w:val="115"/>
          <w:sz w:val="19"/>
        </w:rPr>
        <w:t> </w:t>
      </w:r>
      <w:r>
        <w:rPr>
          <w:spacing w:val="-2"/>
          <w:w w:val="115"/>
          <w:sz w:val="19"/>
        </w:rPr>
        <w:t>2011).</w:t>
      </w:r>
    </w:p>
    <w:p>
      <w:pPr>
        <w:pStyle w:val="BodyText"/>
        <w:spacing w:before="1"/>
        <w:rPr>
          <w:sz w:val="20"/>
        </w:rPr>
      </w:pPr>
    </w:p>
    <w:p>
      <w:pPr>
        <w:pStyle w:val="BodyText"/>
        <w:spacing w:line="252" w:lineRule="auto"/>
        <w:ind w:left="330" w:right="117"/>
        <w:jc w:val="both"/>
      </w:pPr>
      <w:r>
        <w:rPr>
          <w:i/>
          <w:w w:val="110"/>
        </w:rPr>
        <w:t>Rasgo 1a)</w:t>
      </w:r>
      <w:r>
        <w:rPr>
          <w:w w:val="110"/>
        </w:rPr>
        <w:t>: desde los inicios del siglo </w:t>
      </w:r>
      <w:r>
        <w:rPr>
          <w:w w:val="125"/>
        </w:rPr>
        <w:t>xxi, </w:t>
      </w:r>
      <w:r>
        <w:rPr>
          <w:w w:val="110"/>
        </w:rPr>
        <w:t>la presencia comercial de China en la región ha crecido aceleradamente, en un contexto en el cual Estados unidos y la unión Europea, dos socios tradicionales principales, han disminuido y mantenido, respectivamente, su partici- pación como socios comerciales de la región. Este último rasgo cons- tituye, esencialmente, un hecho irrefutable en los últimos 10  años.</w:t>
      </w:r>
    </w:p>
    <w:p>
      <w:pPr>
        <w:pStyle w:val="BodyText"/>
        <w:spacing w:before="11"/>
      </w:pPr>
    </w:p>
    <w:p>
      <w:pPr>
        <w:pStyle w:val="BodyText"/>
        <w:spacing w:line="252" w:lineRule="auto"/>
        <w:ind w:left="330" w:right="117"/>
        <w:jc w:val="both"/>
      </w:pPr>
      <w:r>
        <w:rPr>
          <w:i/>
          <w:w w:val="110"/>
        </w:rPr>
        <w:t>Rasgo 2</w:t>
      </w:r>
      <w:r>
        <w:rPr>
          <w:w w:val="110"/>
        </w:rPr>
        <w:t>: No obstante el pronunciado descenso registrado en la parti- cipación de Estados unidos en el comercio regional total durante la primera década del siglo </w:t>
      </w:r>
      <w:r>
        <w:rPr>
          <w:w w:val="150"/>
        </w:rPr>
        <w:t>xxi, </w:t>
      </w:r>
      <w:r>
        <w:rPr>
          <w:w w:val="110"/>
        </w:rPr>
        <w:t>esta presencia continúa siendo elevada y relevante. En términos absolutos, el comercio de Estados unidos  con</w:t>
      </w:r>
      <w:r>
        <w:rPr>
          <w:spacing w:val="-10"/>
          <w:w w:val="110"/>
        </w:rPr>
        <w:t> </w:t>
      </w:r>
      <w:r>
        <w:rPr>
          <w:w w:val="110"/>
        </w:rPr>
        <w:t>la</w:t>
      </w:r>
      <w:r>
        <w:rPr>
          <w:spacing w:val="-10"/>
          <w:w w:val="110"/>
        </w:rPr>
        <w:t> </w:t>
      </w:r>
      <w:r>
        <w:rPr>
          <w:w w:val="110"/>
        </w:rPr>
        <w:t>región</w:t>
      </w:r>
      <w:r>
        <w:rPr>
          <w:spacing w:val="-10"/>
          <w:w w:val="110"/>
        </w:rPr>
        <w:t> </w:t>
      </w:r>
      <w:r>
        <w:rPr>
          <w:w w:val="110"/>
        </w:rPr>
        <w:t>tuvo</w:t>
      </w:r>
      <w:r>
        <w:rPr>
          <w:spacing w:val="-10"/>
          <w:w w:val="110"/>
        </w:rPr>
        <w:t> </w:t>
      </w:r>
      <w:r>
        <w:rPr>
          <w:w w:val="110"/>
        </w:rPr>
        <w:t>una</w:t>
      </w:r>
      <w:r>
        <w:rPr>
          <w:spacing w:val="-10"/>
          <w:w w:val="110"/>
        </w:rPr>
        <w:t> </w:t>
      </w:r>
      <w:r>
        <w:rPr>
          <w:w w:val="110"/>
        </w:rPr>
        <w:t>tendencia</w:t>
      </w:r>
      <w:r>
        <w:rPr>
          <w:spacing w:val="-10"/>
          <w:w w:val="110"/>
        </w:rPr>
        <w:t> </w:t>
      </w:r>
      <w:r>
        <w:rPr>
          <w:w w:val="110"/>
        </w:rPr>
        <w:t>creciente</w:t>
      </w:r>
      <w:r>
        <w:rPr>
          <w:spacing w:val="-10"/>
          <w:w w:val="110"/>
        </w:rPr>
        <w:t> </w:t>
      </w:r>
      <w:r>
        <w:rPr>
          <w:w w:val="110"/>
        </w:rPr>
        <w:t>entre</w:t>
      </w:r>
      <w:r>
        <w:rPr>
          <w:spacing w:val="-10"/>
          <w:w w:val="110"/>
        </w:rPr>
        <w:t> </w:t>
      </w:r>
      <w:r>
        <w:rPr>
          <w:w w:val="110"/>
        </w:rPr>
        <w:t>2000</w:t>
      </w:r>
      <w:r>
        <w:rPr>
          <w:spacing w:val="-10"/>
          <w:w w:val="110"/>
        </w:rPr>
        <w:t> </w:t>
      </w:r>
      <w:r>
        <w:rPr>
          <w:w w:val="110"/>
        </w:rPr>
        <w:t>y</w:t>
      </w:r>
      <w:r>
        <w:rPr>
          <w:spacing w:val="-10"/>
          <w:w w:val="110"/>
        </w:rPr>
        <w:t> </w:t>
      </w:r>
      <w:r>
        <w:rPr>
          <w:w w:val="110"/>
        </w:rPr>
        <w:t>2013,</w:t>
      </w:r>
      <w:r>
        <w:rPr>
          <w:spacing w:val="-10"/>
          <w:w w:val="110"/>
        </w:rPr>
        <w:t> </w:t>
      </w:r>
      <w:r>
        <w:rPr>
          <w:w w:val="110"/>
        </w:rPr>
        <w:t>especial- </w:t>
      </w:r>
      <w:r>
        <w:rPr>
          <w:w w:val="109"/>
        </w:rPr>
        <w:t>mente</w:t>
      </w:r>
      <w:r>
        <w:rPr>
          <w:spacing w:val="13"/>
        </w:rPr>
        <w:t> </w:t>
      </w:r>
      <w:r>
        <w:rPr>
          <w:w w:val="112"/>
        </w:rPr>
        <w:t>con</w:t>
      </w:r>
      <w:r>
        <w:rPr>
          <w:spacing w:val="13"/>
        </w:rPr>
        <w:t> </w:t>
      </w:r>
      <w:r>
        <w:rPr>
          <w:w w:val="139"/>
        </w:rPr>
        <w:t>a</w:t>
      </w:r>
      <w:r>
        <w:rPr>
          <w:w w:val="111"/>
        </w:rPr>
        <w:t>mérica</w:t>
      </w:r>
      <w:r>
        <w:rPr>
          <w:spacing w:val="13"/>
        </w:rPr>
        <w:t> </w:t>
      </w:r>
      <w:r>
        <w:rPr>
          <w:w w:val="107"/>
        </w:rPr>
        <w:t>del</w:t>
      </w:r>
      <w:r>
        <w:rPr>
          <w:spacing w:val="13"/>
        </w:rPr>
        <w:t> </w:t>
      </w:r>
      <w:r>
        <w:rPr>
          <w:w w:val="149"/>
        </w:rPr>
        <w:t>s</w:t>
      </w:r>
      <w:r>
        <w:rPr>
          <w:w w:val="112"/>
        </w:rPr>
        <w:t>u</w:t>
      </w:r>
      <w:r>
        <w:rPr>
          <w:spacing w:val="-22"/>
          <w:w w:val="105"/>
        </w:rPr>
        <w:t>r</w:t>
      </w:r>
      <w:r>
        <w:rPr>
          <w:w w:val="138"/>
        </w:rPr>
        <w:t>.</w:t>
      </w:r>
      <w:r>
        <w:rPr>
          <w:spacing w:val="13"/>
        </w:rPr>
        <w:t> </w:t>
      </w:r>
      <w:r>
        <w:rPr>
          <w:w w:val="243"/>
        </w:rPr>
        <w:t>l</w:t>
      </w:r>
      <w:r>
        <w:rPr>
          <w:w w:val="112"/>
        </w:rPr>
        <w:t>a</w:t>
      </w:r>
      <w:r>
        <w:rPr>
          <w:spacing w:val="13"/>
        </w:rPr>
        <w:t> </w:t>
      </w:r>
      <w:r>
        <w:rPr>
          <w:w w:val="112"/>
        </w:rPr>
        <w:t>misma</w:t>
      </w:r>
      <w:r>
        <w:rPr>
          <w:spacing w:val="13"/>
        </w:rPr>
        <w:t> </w:t>
      </w:r>
      <w:r>
        <w:rPr>
          <w:w w:val="105"/>
        </w:rPr>
        <w:t>se</w:t>
      </w:r>
      <w:r>
        <w:rPr>
          <w:spacing w:val="13"/>
        </w:rPr>
        <w:t> </w:t>
      </w:r>
      <w:r>
        <w:rPr>
          <w:w w:val="110"/>
        </w:rPr>
        <w:t>mantuvo</w:t>
      </w:r>
      <w:r>
        <w:rPr>
          <w:spacing w:val="13"/>
        </w:rPr>
        <w:t> </w:t>
      </w:r>
      <w:r>
        <w:rPr>
          <w:w w:val="112"/>
        </w:rPr>
        <w:t>casi</w:t>
      </w:r>
      <w:r>
        <w:rPr>
          <w:spacing w:val="13"/>
        </w:rPr>
        <w:t> </w:t>
      </w:r>
      <w:r>
        <w:rPr>
          <w:w w:val="109"/>
        </w:rPr>
        <w:t>constante</w:t>
      </w:r>
      <w:r>
        <w:rPr>
          <w:spacing w:val="13"/>
        </w:rPr>
        <w:t> </w:t>
      </w:r>
      <w:r>
        <w:rPr>
          <w:w w:val="112"/>
        </w:rPr>
        <w:t>con </w:t>
      </w:r>
      <w:r>
        <w:rPr>
          <w:w w:val="110"/>
        </w:rPr>
        <w:t>Centroamérica y el Caribe (ver Gráficos 2 y </w:t>
      </w:r>
      <w:r>
        <w:rPr>
          <w:spacing w:val="10"/>
          <w:w w:val="110"/>
        </w:rPr>
        <w:t> </w:t>
      </w:r>
      <w:r>
        <w:rPr>
          <w:w w:val="110"/>
        </w:rPr>
        <w:t>3).</w:t>
      </w:r>
    </w:p>
    <w:p>
      <w:pPr>
        <w:pStyle w:val="BodyText"/>
        <w:spacing w:before="10"/>
        <w:rPr>
          <w:sz w:val="15"/>
        </w:rPr>
      </w:pPr>
    </w:p>
    <w:p>
      <w:pPr>
        <w:pStyle w:val="ListParagraph"/>
        <w:numPr>
          <w:ilvl w:val="1"/>
          <w:numId w:val="35"/>
        </w:numPr>
        <w:tabs>
          <w:tab w:pos="955" w:val="left" w:leader="none"/>
        </w:tabs>
        <w:spacing w:line="249" w:lineRule="auto" w:before="0" w:after="0"/>
        <w:ind w:left="954" w:right="117" w:hanging="227"/>
        <w:jc w:val="both"/>
        <w:rPr>
          <w:sz w:val="19"/>
        </w:rPr>
      </w:pPr>
      <w:r>
        <w:rPr>
          <w:w w:val="110"/>
          <w:sz w:val="19"/>
        </w:rPr>
        <w:t>En este caso se evidencia una paradoja en el hecho de que el crecimiento del comercio de la región con China ha sido </w:t>
      </w:r>
      <w:r>
        <w:rPr>
          <w:spacing w:val="-4"/>
          <w:w w:val="110"/>
          <w:sz w:val="19"/>
        </w:rPr>
        <w:t>par- </w:t>
      </w:r>
      <w:r>
        <w:rPr>
          <w:w w:val="110"/>
          <w:sz w:val="19"/>
        </w:rPr>
        <w:t>ticularmente acelerado. En el caso de américa del </w:t>
      </w:r>
      <w:r>
        <w:rPr>
          <w:spacing w:val="-6"/>
          <w:w w:val="110"/>
          <w:sz w:val="19"/>
        </w:rPr>
        <w:t>sur, </w:t>
      </w:r>
      <w:r>
        <w:rPr>
          <w:w w:val="110"/>
          <w:sz w:val="19"/>
        </w:rPr>
        <w:t>es pre- cisamente esta subregión la que tiene una cartera de socios comerciales más diversificada (en relación a Centroamérica y el Caribe). sudamérica mantuvo entre 2001 y 2012 un saldo comercial superavitario con Estados   unidos.</w:t>
      </w:r>
    </w:p>
    <w:p>
      <w:pPr>
        <w:pStyle w:val="BodyText"/>
        <w:spacing w:before="1"/>
        <w:rPr>
          <w:sz w:val="20"/>
        </w:rPr>
      </w:pPr>
    </w:p>
    <w:p>
      <w:pPr>
        <w:pStyle w:val="BodyText"/>
        <w:spacing w:line="252" w:lineRule="auto"/>
        <w:ind w:left="330" w:right="118" w:hanging="1"/>
        <w:jc w:val="both"/>
      </w:pPr>
      <w:r>
        <w:rPr>
          <w:i/>
          <w:w w:val="110"/>
        </w:rPr>
        <w:t>Rasgo</w:t>
      </w:r>
      <w:r>
        <w:rPr>
          <w:i/>
        </w:rPr>
        <w:t> </w:t>
      </w:r>
      <w:r>
        <w:rPr>
          <w:i/>
          <w:spacing w:val="-7"/>
        </w:rPr>
        <w:t> </w:t>
      </w:r>
      <w:r>
        <w:rPr>
          <w:i/>
          <w:w w:val="107"/>
        </w:rPr>
        <w:t>3</w:t>
      </w:r>
      <w:r>
        <w:rPr>
          <w:w w:val="107"/>
        </w:rPr>
        <w:t>:</w:t>
      </w:r>
      <w:r>
        <w:rPr/>
        <w:t> </w:t>
      </w:r>
      <w:r>
        <w:rPr>
          <w:spacing w:val="-7"/>
        </w:rPr>
        <w:t> </w:t>
      </w:r>
      <w:r>
        <w:rPr>
          <w:w w:val="243"/>
        </w:rPr>
        <w:t>l</w:t>
      </w:r>
      <w:r>
        <w:rPr>
          <w:w w:val="109"/>
        </w:rPr>
        <w:t>as</w:t>
      </w:r>
      <w:r>
        <w:rPr/>
        <w:t> </w:t>
      </w:r>
      <w:r>
        <w:rPr>
          <w:spacing w:val="-7"/>
        </w:rPr>
        <w:t> </w:t>
      </w:r>
      <w:r>
        <w:rPr>
          <w:w w:val="109"/>
        </w:rPr>
        <w:t>relaciones</w:t>
      </w:r>
      <w:r>
        <w:rPr/>
        <w:t> </w:t>
      </w:r>
      <w:r>
        <w:rPr>
          <w:spacing w:val="-7"/>
        </w:rPr>
        <w:t> </w:t>
      </w:r>
      <w:r>
        <w:rPr>
          <w:w w:val="110"/>
        </w:rPr>
        <w:t>comerciales</w:t>
      </w:r>
      <w:r>
        <w:rPr/>
        <w:t> </w:t>
      </w:r>
      <w:r>
        <w:rPr>
          <w:spacing w:val="-7"/>
        </w:rPr>
        <w:t> </w:t>
      </w:r>
      <w:r>
        <w:rPr>
          <w:w w:val="108"/>
        </w:rPr>
        <w:t>bilaterales</w:t>
      </w:r>
      <w:r>
        <w:rPr/>
        <w:t> </w:t>
      </w:r>
      <w:r>
        <w:rPr>
          <w:spacing w:val="-7"/>
        </w:rPr>
        <w:t> </w:t>
      </w:r>
      <w:r>
        <w:rPr>
          <w:w w:val="110"/>
        </w:rPr>
        <w:t>mantienen</w:t>
      </w:r>
      <w:r>
        <w:rPr/>
        <w:t> </w:t>
      </w:r>
      <w:r>
        <w:rPr>
          <w:spacing w:val="-7"/>
        </w:rPr>
        <w:t> </w:t>
      </w:r>
      <w:r>
        <w:rPr>
          <w:w w:val="109"/>
        </w:rPr>
        <w:t>su</w:t>
      </w:r>
      <w:r>
        <w:rPr/>
        <w:t> </w:t>
      </w:r>
      <w:r>
        <w:rPr>
          <w:spacing w:val="-7"/>
        </w:rPr>
        <w:t> </w:t>
      </w:r>
      <w:r>
        <w:rPr>
          <w:w w:val="110"/>
        </w:rPr>
        <w:t>proc</w:t>
      </w:r>
      <w:r>
        <w:rPr>
          <w:spacing w:val="-1"/>
          <w:w w:val="110"/>
        </w:rPr>
        <w:t>i</w:t>
      </w:r>
      <w:r>
        <w:rPr>
          <w:w w:val="102"/>
        </w:rPr>
        <w:t>- </w:t>
      </w:r>
      <w:r>
        <w:rPr>
          <w:w w:val="110"/>
        </w:rPr>
        <w:t>clidad y carácter asimétrico. Este último se expresa en la </w:t>
      </w:r>
      <w:r>
        <w:rPr>
          <w:spacing w:val="45"/>
          <w:w w:val="110"/>
        </w:rPr>
        <w:t> </w:t>
      </w:r>
      <w:r>
        <w:rPr>
          <w:w w:val="110"/>
        </w:rPr>
        <w:t>desigualdad</w:t>
      </w:r>
    </w:p>
    <w:p>
      <w:pPr>
        <w:pStyle w:val="BodyText"/>
        <w:spacing w:before="7"/>
      </w:pPr>
      <w:r>
        <w:rPr/>
        <w:pict>
          <v:line style="position:absolute;mso-position-horizontal-relative:page;mso-position-vertical-relative:paragraph;z-index:9328;mso-wrap-distance-left:0;mso-wrap-distance-right:0" from="76.5354pt,13.706235pt" to="104.8814pt,13.706235pt" stroked="true" strokeweight=".5pt" strokecolor="#000000">
            <w10:wrap type="topAndBottom"/>
          </v:line>
        </w:pict>
      </w:r>
    </w:p>
    <w:p>
      <w:pPr>
        <w:pStyle w:val="ListParagraph"/>
        <w:numPr>
          <w:ilvl w:val="0"/>
          <w:numId w:val="35"/>
        </w:numPr>
        <w:tabs>
          <w:tab w:pos="586" w:val="left" w:leader="none"/>
        </w:tabs>
        <w:spacing w:line="242" w:lineRule="auto" w:before="89" w:after="0"/>
        <w:ind w:left="330" w:right="117" w:firstLine="0"/>
        <w:jc w:val="both"/>
        <w:rPr>
          <w:sz w:val="16"/>
        </w:rPr>
      </w:pPr>
      <w:r>
        <w:rPr>
          <w:w w:val="115"/>
          <w:sz w:val="16"/>
        </w:rPr>
        <w:t>En este mismo período, las exportaciones de la región hacia la unión Euro- </w:t>
      </w:r>
      <w:r>
        <w:rPr>
          <w:w w:val="110"/>
          <w:sz w:val="16"/>
        </w:rPr>
        <w:t>pea</w:t>
      </w:r>
      <w:r>
        <w:rPr>
          <w:spacing w:val="-10"/>
          <w:w w:val="110"/>
          <w:sz w:val="16"/>
        </w:rPr>
        <w:t> </w:t>
      </w:r>
      <w:r>
        <w:rPr>
          <w:w w:val="110"/>
          <w:sz w:val="16"/>
        </w:rPr>
        <w:t>se</w:t>
      </w:r>
      <w:r>
        <w:rPr>
          <w:spacing w:val="-10"/>
          <w:w w:val="110"/>
          <w:sz w:val="16"/>
        </w:rPr>
        <w:t> </w:t>
      </w:r>
      <w:r>
        <w:rPr>
          <w:w w:val="110"/>
          <w:sz w:val="16"/>
        </w:rPr>
        <w:t>han</w:t>
      </w:r>
      <w:r>
        <w:rPr>
          <w:spacing w:val="-10"/>
          <w:w w:val="110"/>
          <w:sz w:val="16"/>
        </w:rPr>
        <w:t> </w:t>
      </w:r>
      <w:r>
        <w:rPr>
          <w:w w:val="110"/>
          <w:sz w:val="16"/>
        </w:rPr>
        <w:t>mantenido</w:t>
      </w:r>
      <w:r>
        <w:rPr>
          <w:spacing w:val="-10"/>
          <w:w w:val="110"/>
          <w:sz w:val="16"/>
        </w:rPr>
        <w:t> </w:t>
      </w:r>
      <w:r>
        <w:rPr>
          <w:w w:val="110"/>
          <w:sz w:val="16"/>
        </w:rPr>
        <w:t>relativamente</w:t>
      </w:r>
      <w:r>
        <w:rPr>
          <w:spacing w:val="-10"/>
          <w:w w:val="110"/>
          <w:sz w:val="16"/>
        </w:rPr>
        <w:t> </w:t>
      </w:r>
      <w:r>
        <w:rPr>
          <w:w w:val="110"/>
          <w:sz w:val="16"/>
        </w:rPr>
        <w:t>estables</w:t>
      </w:r>
      <w:r>
        <w:rPr>
          <w:spacing w:val="-10"/>
          <w:w w:val="110"/>
          <w:sz w:val="16"/>
        </w:rPr>
        <w:t> </w:t>
      </w:r>
      <w:r>
        <w:rPr>
          <w:w w:val="110"/>
          <w:sz w:val="16"/>
        </w:rPr>
        <w:t>desde</w:t>
      </w:r>
      <w:r>
        <w:rPr>
          <w:spacing w:val="-10"/>
          <w:w w:val="110"/>
          <w:sz w:val="16"/>
        </w:rPr>
        <w:t> </w:t>
      </w:r>
      <w:r>
        <w:rPr>
          <w:w w:val="110"/>
          <w:sz w:val="16"/>
        </w:rPr>
        <w:t>el</w:t>
      </w:r>
      <w:r>
        <w:rPr>
          <w:spacing w:val="-10"/>
          <w:w w:val="110"/>
          <w:sz w:val="16"/>
        </w:rPr>
        <w:t> </w:t>
      </w:r>
      <w:r>
        <w:rPr>
          <w:w w:val="110"/>
          <w:sz w:val="16"/>
        </w:rPr>
        <w:t>año</w:t>
      </w:r>
      <w:r>
        <w:rPr>
          <w:spacing w:val="-10"/>
          <w:w w:val="110"/>
          <w:sz w:val="16"/>
        </w:rPr>
        <w:t> </w:t>
      </w:r>
      <w:r>
        <w:rPr>
          <w:w w:val="110"/>
          <w:sz w:val="16"/>
        </w:rPr>
        <w:t>2000,</w:t>
      </w:r>
      <w:r>
        <w:rPr>
          <w:spacing w:val="-10"/>
          <w:w w:val="110"/>
          <w:sz w:val="16"/>
        </w:rPr>
        <w:t> </w:t>
      </w:r>
      <w:r>
        <w:rPr>
          <w:w w:val="110"/>
          <w:sz w:val="16"/>
        </w:rPr>
        <w:t>pasando</w:t>
      </w:r>
      <w:r>
        <w:rPr>
          <w:spacing w:val="-10"/>
          <w:w w:val="110"/>
          <w:sz w:val="16"/>
        </w:rPr>
        <w:t> </w:t>
      </w:r>
      <w:r>
        <w:rPr>
          <w:w w:val="110"/>
          <w:sz w:val="16"/>
        </w:rPr>
        <w:t>de</w:t>
      </w:r>
      <w:r>
        <w:rPr>
          <w:spacing w:val="-10"/>
          <w:w w:val="110"/>
          <w:sz w:val="16"/>
        </w:rPr>
        <w:t> </w:t>
      </w:r>
      <w:r>
        <w:rPr>
          <w:w w:val="110"/>
          <w:sz w:val="16"/>
        </w:rPr>
        <w:t>un</w:t>
      </w:r>
      <w:r>
        <w:rPr>
          <w:spacing w:val="-10"/>
          <w:w w:val="110"/>
          <w:sz w:val="16"/>
        </w:rPr>
        <w:t> </w:t>
      </w:r>
      <w:r>
        <w:rPr>
          <w:w w:val="110"/>
          <w:sz w:val="16"/>
        </w:rPr>
        <w:t>nivel de</w:t>
      </w:r>
      <w:r>
        <w:rPr>
          <w:spacing w:val="-12"/>
          <w:w w:val="110"/>
          <w:sz w:val="16"/>
        </w:rPr>
        <w:t> </w:t>
      </w:r>
      <w:r>
        <w:rPr>
          <w:w w:val="110"/>
          <w:sz w:val="16"/>
        </w:rPr>
        <w:t>alrededor</w:t>
      </w:r>
      <w:r>
        <w:rPr>
          <w:spacing w:val="-12"/>
          <w:w w:val="110"/>
          <w:sz w:val="16"/>
        </w:rPr>
        <w:t> </w:t>
      </w:r>
      <w:r>
        <w:rPr>
          <w:w w:val="110"/>
          <w:sz w:val="16"/>
        </w:rPr>
        <w:t>del</w:t>
      </w:r>
      <w:r>
        <w:rPr>
          <w:spacing w:val="-12"/>
          <w:w w:val="110"/>
          <w:sz w:val="16"/>
        </w:rPr>
        <w:t> </w:t>
      </w:r>
      <w:r>
        <w:rPr>
          <w:w w:val="110"/>
          <w:sz w:val="16"/>
        </w:rPr>
        <w:t>12%</w:t>
      </w:r>
      <w:r>
        <w:rPr>
          <w:spacing w:val="-12"/>
          <w:w w:val="110"/>
          <w:sz w:val="16"/>
        </w:rPr>
        <w:t> </w:t>
      </w:r>
      <w:r>
        <w:rPr>
          <w:w w:val="110"/>
          <w:sz w:val="16"/>
        </w:rPr>
        <w:t>en</w:t>
      </w:r>
      <w:r>
        <w:rPr>
          <w:spacing w:val="-12"/>
          <w:w w:val="110"/>
          <w:sz w:val="16"/>
        </w:rPr>
        <w:t> </w:t>
      </w:r>
      <w:r>
        <w:rPr>
          <w:w w:val="110"/>
          <w:sz w:val="16"/>
        </w:rPr>
        <w:t>ese</w:t>
      </w:r>
      <w:r>
        <w:rPr>
          <w:spacing w:val="-12"/>
          <w:w w:val="110"/>
          <w:sz w:val="16"/>
        </w:rPr>
        <w:t> </w:t>
      </w:r>
      <w:r>
        <w:rPr>
          <w:w w:val="110"/>
          <w:sz w:val="16"/>
        </w:rPr>
        <w:t>año,</w:t>
      </w:r>
      <w:r>
        <w:rPr>
          <w:spacing w:val="-12"/>
          <w:w w:val="110"/>
          <w:sz w:val="16"/>
        </w:rPr>
        <w:t> </w:t>
      </w:r>
      <w:r>
        <w:rPr>
          <w:w w:val="110"/>
          <w:sz w:val="16"/>
        </w:rPr>
        <w:t>a</w:t>
      </w:r>
      <w:r>
        <w:rPr>
          <w:spacing w:val="-12"/>
          <w:w w:val="110"/>
          <w:sz w:val="16"/>
        </w:rPr>
        <w:t> </w:t>
      </w:r>
      <w:r>
        <w:rPr>
          <w:w w:val="110"/>
          <w:sz w:val="16"/>
        </w:rPr>
        <w:t>13.8%</w:t>
      </w:r>
      <w:r>
        <w:rPr>
          <w:spacing w:val="-12"/>
          <w:w w:val="110"/>
          <w:sz w:val="16"/>
        </w:rPr>
        <w:t> </w:t>
      </w:r>
      <w:r>
        <w:rPr>
          <w:w w:val="110"/>
          <w:sz w:val="16"/>
        </w:rPr>
        <w:t>en</w:t>
      </w:r>
      <w:r>
        <w:rPr>
          <w:spacing w:val="-12"/>
          <w:w w:val="110"/>
          <w:sz w:val="16"/>
        </w:rPr>
        <w:t> </w:t>
      </w:r>
      <w:r>
        <w:rPr>
          <w:w w:val="110"/>
          <w:sz w:val="16"/>
        </w:rPr>
        <w:t>2009</w:t>
      </w:r>
      <w:r>
        <w:rPr>
          <w:spacing w:val="-12"/>
          <w:w w:val="110"/>
          <w:sz w:val="16"/>
        </w:rPr>
        <w:t> </w:t>
      </w:r>
      <w:r>
        <w:rPr>
          <w:w w:val="110"/>
          <w:sz w:val="16"/>
        </w:rPr>
        <w:t>y</w:t>
      </w:r>
      <w:r>
        <w:rPr>
          <w:spacing w:val="-12"/>
          <w:w w:val="110"/>
          <w:sz w:val="16"/>
        </w:rPr>
        <w:t> </w:t>
      </w:r>
      <w:r>
        <w:rPr>
          <w:w w:val="110"/>
          <w:sz w:val="16"/>
        </w:rPr>
        <w:t>se</w:t>
      </w:r>
      <w:r>
        <w:rPr>
          <w:spacing w:val="-12"/>
          <w:w w:val="110"/>
          <w:sz w:val="16"/>
        </w:rPr>
        <w:t> </w:t>
      </w:r>
      <w:r>
        <w:rPr>
          <w:w w:val="110"/>
          <w:sz w:val="16"/>
        </w:rPr>
        <w:t>proyecta</w:t>
      </w:r>
      <w:r>
        <w:rPr>
          <w:spacing w:val="-12"/>
          <w:w w:val="110"/>
          <w:sz w:val="16"/>
        </w:rPr>
        <w:t> </w:t>
      </w:r>
      <w:r>
        <w:rPr>
          <w:w w:val="110"/>
          <w:sz w:val="16"/>
        </w:rPr>
        <w:t>que</w:t>
      </w:r>
      <w:r>
        <w:rPr>
          <w:spacing w:val="-12"/>
          <w:w w:val="110"/>
          <w:sz w:val="16"/>
        </w:rPr>
        <w:t> </w:t>
      </w:r>
      <w:r>
        <w:rPr>
          <w:w w:val="110"/>
          <w:sz w:val="16"/>
        </w:rPr>
        <w:t>alcance</w:t>
      </w:r>
      <w:r>
        <w:rPr>
          <w:spacing w:val="-12"/>
          <w:w w:val="110"/>
          <w:sz w:val="16"/>
        </w:rPr>
        <w:t> </w:t>
      </w:r>
      <w:r>
        <w:rPr>
          <w:w w:val="110"/>
          <w:sz w:val="16"/>
        </w:rPr>
        <w:t>el</w:t>
      </w:r>
      <w:r>
        <w:rPr>
          <w:spacing w:val="-12"/>
          <w:w w:val="110"/>
          <w:sz w:val="16"/>
        </w:rPr>
        <w:t> </w:t>
      </w:r>
      <w:r>
        <w:rPr>
          <w:w w:val="110"/>
          <w:sz w:val="16"/>
        </w:rPr>
        <w:t>13.6% </w:t>
      </w:r>
      <w:r>
        <w:rPr>
          <w:w w:val="115"/>
          <w:sz w:val="16"/>
        </w:rPr>
        <w:t>en</w:t>
      </w:r>
      <w:r>
        <w:rPr>
          <w:spacing w:val="-15"/>
          <w:w w:val="115"/>
          <w:sz w:val="16"/>
        </w:rPr>
        <w:t> </w:t>
      </w:r>
      <w:r>
        <w:rPr>
          <w:w w:val="115"/>
          <w:sz w:val="16"/>
        </w:rPr>
        <w:t>2020</w:t>
      </w:r>
      <w:r>
        <w:rPr>
          <w:spacing w:val="-15"/>
          <w:w w:val="115"/>
          <w:sz w:val="16"/>
        </w:rPr>
        <w:t> </w:t>
      </w:r>
      <w:r>
        <w:rPr>
          <w:w w:val="115"/>
          <w:sz w:val="16"/>
        </w:rPr>
        <w:t>(CEPal,</w:t>
      </w:r>
      <w:r>
        <w:rPr>
          <w:spacing w:val="-15"/>
          <w:w w:val="115"/>
          <w:sz w:val="16"/>
        </w:rPr>
        <w:t> </w:t>
      </w:r>
      <w:r>
        <w:rPr>
          <w:w w:val="115"/>
          <w:sz w:val="16"/>
        </w:rPr>
        <w:t>2011).</w:t>
      </w:r>
    </w:p>
    <w:p>
      <w:pPr>
        <w:spacing w:after="0" w:line="242" w:lineRule="auto"/>
        <w:jc w:val="both"/>
        <w:rPr>
          <w:sz w:val="16"/>
        </w:rPr>
        <w:sectPr>
          <w:footerReference w:type="even" r:id="rId555"/>
          <w:footerReference w:type="default" r:id="rId556"/>
          <w:pgSz w:w="8790" w:h="12760"/>
          <w:pgMar w:footer="725" w:header="697" w:top="880" w:bottom="920" w:left="1200" w:right="900"/>
          <w:pgNumType w:start="432"/>
        </w:sectPr>
      </w:pPr>
    </w:p>
    <w:p>
      <w:pPr>
        <w:pStyle w:val="BodyText"/>
        <w:spacing w:before="9"/>
        <w:rPr>
          <w:sz w:val="28"/>
        </w:rPr>
      </w:pPr>
    </w:p>
    <w:p>
      <w:pPr>
        <w:pStyle w:val="BodyText"/>
        <w:spacing w:line="252" w:lineRule="auto" w:before="73"/>
        <w:ind w:left="120" w:right="848"/>
        <w:jc w:val="both"/>
      </w:pPr>
      <w:r>
        <w:rPr>
          <w:w w:val="110"/>
        </w:rPr>
        <w:t>en la importancia relativa del comercio bilateral y la concentración subregional y por países específicos del comercio, generando esta</w:t>
      </w:r>
      <w:r>
        <w:rPr>
          <w:spacing w:val="-22"/>
          <w:w w:val="110"/>
        </w:rPr>
        <w:t> </w:t>
      </w:r>
      <w:r>
        <w:rPr>
          <w:w w:val="110"/>
        </w:rPr>
        <w:t>últi- </w:t>
      </w:r>
      <w:r>
        <w:rPr>
          <w:w w:val="113"/>
        </w:rPr>
        <w:t>ma</w:t>
      </w:r>
      <w:r>
        <w:rPr>
          <w:spacing w:val="11"/>
        </w:rPr>
        <w:t> </w:t>
      </w:r>
      <w:r>
        <w:rPr>
          <w:w w:val="110"/>
        </w:rPr>
        <w:t>tendencia</w:t>
      </w:r>
      <w:r>
        <w:rPr>
          <w:spacing w:val="11"/>
        </w:rPr>
        <w:t> </w:t>
      </w:r>
      <w:r>
        <w:rPr>
          <w:w w:val="112"/>
        </w:rPr>
        <w:t>una</w:t>
      </w:r>
      <w:r>
        <w:rPr>
          <w:spacing w:val="11"/>
        </w:rPr>
        <w:t> </w:t>
      </w:r>
      <w:r>
        <w:rPr>
          <w:w w:val="109"/>
        </w:rPr>
        <w:t>mayor</w:t>
      </w:r>
      <w:r>
        <w:rPr>
          <w:spacing w:val="11"/>
        </w:rPr>
        <w:t> </w:t>
      </w:r>
      <w:r>
        <w:rPr>
          <w:w w:val="111"/>
        </w:rPr>
        <w:t>diferenciación</w:t>
      </w:r>
      <w:r>
        <w:rPr>
          <w:spacing w:val="11"/>
        </w:rPr>
        <w:t> </w:t>
      </w:r>
      <w:r>
        <w:rPr>
          <w:w w:val="111"/>
        </w:rPr>
        <w:t>al</w:t>
      </w:r>
      <w:r>
        <w:rPr>
          <w:spacing w:val="11"/>
        </w:rPr>
        <w:t> </w:t>
      </w:r>
      <w:r>
        <w:rPr>
          <w:w w:val="108"/>
        </w:rPr>
        <w:t>interior</w:t>
      </w:r>
      <w:r>
        <w:rPr>
          <w:spacing w:val="11"/>
        </w:rPr>
        <w:t> </w:t>
      </w:r>
      <w:r>
        <w:rPr>
          <w:w w:val="107"/>
        </w:rPr>
        <w:t>de</w:t>
      </w:r>
      <w:r>
        <w:rPr>
          <w:spacing w:val="11"/>
        </w:rPr>
        <w:t> </w:t>
      </w:r>
      <w:r>
        <w:rPr>
          <w:w w:val="139"/>
        </w:rPr>
        <w:t>a</w:t>
      </w:r>
      <w:r>
        <w:rPr>
          <w:w w:val="111"/>
        </w:rPr>
        <w:t>mérica</w:t>
      </w:r>
      <w:r>
        <w:rPr>
          <w:spacing w:val="11"/>
        </w:rPr>
        <w:t> </w:t>
      </w:r>
      <w:r>
        <w:rPr>
          <w:w w:val="243"/>
        </w:rPr>
        <w:t>l</w:t>
      </w:r>
      <w:r>
        <w:rPr>
          <w:w w:val="111"/>
        </w:rPr>
        <w:t>atina </w:t>
      </w:r>
      <w:r>
        <w:rPr>
          <w:w w:val="110"/>
        </w:rPr>
        <w:t>y el Caribe en sus relaciones comerciales con Estados unidos que en   el pasado (ver Gráficos 2 y</w:t>
      </w:r>
      <w:r>
        <w:rPr>
          <w:spacing w:val="16"/>
          <w:w w:val="110"/>
        </w:rPr>
        <w:t> </w:t>
      </w:r>
      <w:r>
        <w:rPr>
          <w:w w:val="110"/>
        </w:rPr>
        <w:t>3).</w:t>
      </w:r>
    </w:p>
    <w:p>
      <w:pPr>
        <w:pStyle w:val="BodyText"/>
        <w:spacing w:before="2"/>
      </w:pPr>
    </w:p>
    <w:p>
      <w:pPr>
        <w:spacing w:before="0"/>
        <w:ind w:left="670" w:right="717" w:firstLine="0"/>
        <w:jc w:val="center"/>
        <w:rPr>
          <w:rFonts w:ascii="Arial" w:hAnsi="Arial"/>
          <w:b/>
          <w:sz w:val="17"/>
        </w:rPr>
      </w:pPr>
      <w:r>
        <w:rPr>
          <w:rFonts w:ascii="Arial" w:hAnsi="Arial"/>
          <w:b/>
          <w:w w:val="90"/>
          <w:sz w:val="17"/>
        </w:rPr>
        <w:t>Gráficos 2 y 3</w:t>
      </w:r>
    </w:p>
    <w:p>
      <w:pPr>
        <w:spacing w:line="249" w:lineRule="auto" w:before="8"/>
        <w:ind w:left="1286" w:right="1333" w:firstLine="0"/>
        <w:jc w:val="center"/>
        <w:rPr>
          <w:rFonts w:ascii="Arial" w:hAnsi="Arial"/>
          <w:sz w:val="17"/>
        </w:rPr>
      </w:pPr>
      <w:r>
        <w:rPr>
          <w:rFonts w:ascii="Arial" w:hAnsi="Arial"/>
          <w:w w:val="85"/>
          <w:sz w:val="17"/>
        </w:rPr>
        <w:t>Comercio</w:t>
      </w:r>
      <w:r>
        <w:rPr>
          <w:rFonts w:ascii="Arial" w:hAnsi="Arial"/>
          <w:spacing w:val="-16"/>
          <w:w w:val="85"/>
          <w:sz w:val="17"/>
        </w:rPr>
        <w:t> </w:t>
      </w:r>
      <w:r>
        <w:rPr>
          <w:rFonts w:ascii="Arial" w:hAnsi="Arial"/>
          <w:w w:val="85"/>
          <w:sz w:val="17"/>
        </w:rPr>
        <w:t>de</w:t>
      </w:r>
      <w:r>
        <w:rPr>
          <w:rFonts w:ascii="Arial" w:hAnsi="Arial"/>
          <w:spacing w:val="-16"/>
          <w:w w:val="85"/>
          <w:sz w:val="17"/>
        </w:rPr>
        <w:t> </w:t>
      </w:r>
      <w:r>
        <w:rPr>
          <w:rFonts w:ascii="Arial" w:hAnsi="Arial"/>
          <w:w w:val="85"/>
          <w:sz w:val="17"/>
        </w:rPr>
        <w:t>mercancías</w:t>
      </w:r>
      <w:r>
        <w:rPr>
          <w:rFonts w:ascii="Arial" w:hAnsi="Arial"/>
          <w:spacing w:val="-16"/>
          <w:w w:val="85"/>
          <w:sz w:val="17"/>
        </w:rPr>
        <w:t> </w:t>
      </w:r>
      <w:r>
        <w:rPr>
          <w:rFonts w:ascii="Arial" w:hAnsi="Arial"/>
          <w:w w:val="85"/>
          <w:sz w:val="17"/>
        </w:rPr>
        <w:t>de</w:t>
      </w:r>
      <w:r>
        <w:rPr>
          <w:rFonts w:ascii="Arial" w:hAnsi="Arial"/>
          <w:spacing w:val="-16"/>
          <w:w w:val="85"/>
          <w:sz w:val="17"/>
        </w:rPr>
        <w:t> </w:t>
      </w:r>
      <w:r>
        <w:rPr>
          <w:rFonts w:ascii="Arial" w:hAnsi="Arial"/>
          <w:w w:val="85"/>
          <w:sz w:val="17"/>
        </w:rPr>
        <w:t>Estados</w:t>
      </w:r>
      <w:r>
        <w:rPr>
          <w:rFonts w:ascii="Arial" w:hAnsi="Arial"/>
          <w:spacing w:val="-16"/>
          <w:w w:val="85"/>
          <w:sz w:val="17"/>
        </w:rPr>
        <w:t> </w:t>
      </w:r>
      <w:r>
        <w:rPr>
          <w:rFonts w:ascii="Arial" w:hAnsi="Arial"/>
          <w:w w:val="85"/>
          <w:sz w:val="17"/>
        </w:rPr>
        <w:t>Unidos</w:t>
      </w:r>
      <w:r>
        <w:rPr>
          <w:rFonts w:ascii="Arial" w:hAnsi="Arial"/>
          <w:spacing w:val="-16"/>
          <w:w w:val="85"/>
          <w:sz w:val="17"/>
        </w:rPr>
        <w:t> </w:t>
      </w:r>
      <w:r>
        <w:rPr>
          <w:rFonts w:ascii="Arial" w:hAnsi="Arial"/>
          <w:w w:val="85"/>
          <w:sz w:val="17"/>
        </w:rPr>
        <w:t>y</w:t>
      </w:r>
      <w:r>
        <w:rPr>
          <w:rFonts w:ascii="Arial" w:hAnsi="Arial"/>
          <w:spacing w:val="-19"/>
          <w:w w:val="85"/>
          <w:sz w:val="17"/>
        </w:rPr>
        <w:t> </w:t>
      </w:r>
      <w:r>
        <w:rPr>
          <w:rFonts w:ascii="Arial" w:hAnsi="Arial"/>
          <w:w w:val="85"/>
          <w:sz w:val="17"/>
        </w:rPr>
        <w:t>América</w:t>
      </w:r>
      <w:r>
        <w:rPr>
          <w:rFonts w:ascii="Arial" w:hAnsi="Arial"/>
          <w:spacing w:val="-16"/>
          <w:w w:val="85"/>
          <w:sz w:val="17"/>
        </w:rPr>
        <w:t> </w:t>
      </w:r>
      <w:r>
        <w:rPr>
          <w:rFonts w:ascii="Arial" w:hAnsi="Arial"/>
          <w:w w:val="85"/>
          <w:sz w:val="17"/>
        </w:rPr>
        <w:t>Latina</w:t>
      </w:r>
      <w:r>
        <w:rPr>
          <w:rFonts w:ascii="Arial" w:hAnsi="Arial"/>
          <w:spacing w:val="-16"/>
          <w:w w:val="85"/>
          <w:sz w:val="17"/>
        </w:rPr>
        <w:t> </w:t>
      </w:r>
      <w:r>
        <w:rPr>
          <w:rFonts w:ascii="Arial" w:hAnsi="Arial"/>
          <w:w w:val="85"/>
          <w:sz w:val="17"/>
        </w:rPr>
        <w:t>y</w:t>
      </w:r>
      <w:r>
        <w:rPr>
          <w:rFonts w:ascii="Arial" w:hAnsi="Arial"/>
          <w:spacing w:val="-16"/>
          <w:w w:val="85"/>
          <w:sz w:val="17"/>
        </w:rPr>
        <w:t> </w:t>
      </w:r>
      <w:r>
        <w:rPr>
          <w:rFonts w:ascii="Arial" w:hAnsi="Arial"/>
          <w:w w:val="85"/>
          <w:sz w:val="17"/>
        </w:rPr>
        <w:t>el</w:t>
      </w:r>
      <w:r>
        <w:rPr>
          <w:rFonts w:ascii="Arial" w:hAnsi="Arial"/>
          <w:spacing w:val="-16"/>
          <w:w w:val="85"/>
          <w:sz w:val="17"/>
        </w:rPr>
        <w:t> </w:t>
      </w:r>
      <w:r>
        <w:rPr>
          <w:rFonts w:ascii="Arial" w:hAnsi="Arial"/>
          <w:w w:val="85"/>
          <w:sz w:val="17"/>
        </w:rPr>
        <w:t>Caribe por</w:t>
      </w:r>
      <w:r>
        <w:rPr>
          <w:rFonts w:ascii="Arial" w:hAnsi="Arial"/>
          <w:spacing w:val="-8"/>
          <w:w w:val="85"/>
          <w:sz w:val="17"/>
        </w:rPr>
        <w:t> </w:t>
      </w:r>
      <w:r>
        <w:rPr>
          <w:rFonts w:ascii="Arial" w:hAnsi="Arial"/>
          <w:w w:val="85"/>
          <w:sz w:val="17"/>
        </w:rPr>
        <w:t>subregiones,</w:t>
      </w:r>
      <w:r>
        <w:rPr>
          <w:rFonts w:ascii="Arial" w:hAnsi="Arial"/>
          <w:spacing w:val="-13"/>
          <w:w w:val="85"/>
          <w:sz w:val="17"/>
        </w:rPr>
        <w:t> </w:t>
      </w:r>
      <w:r>
        <w:rPr>
          <w:rFonts w:ascii="Arial" w:hAnsi="Arial"/>
          <w:w w:val="85"/>
          <w:sz w:val="17"/>
        </w:rPr>
        <w:t>2000-2013</w:t>
      </w:r>
      <w:r>
        <w:rPr>
          <w:rFonts w:ascii="Arial" w:hAnsi="Arial"/>
          <w:spacing w:val="-8"/>
          <w:w w:val="85"/>
          <w:sz w:val="17"/>
        </w:rPr>
        <w:t> </w:t>
      </w:r>
      <w:r>
        <w:rPr>
          <w:rFonts w:ascii="Arial" w:hAnsi="Arial"/>
          <w:w w:val="85"/>
          <w:sz w:val="17"/>
        </w:rPr>
        <w:t>(miles</w:t>
      </w:r>
      <w:r>
        <w:rPr>
          <w:rFonts w:ascii="Arial" w:hAnsi="Arial"/>
          <w:spacing w:val="-8"/>
          <w:w w:val="85"/>
          <w:sz w:val="17"/>
        </w:rPr>
        <w:t> </w:t>
      </w:r>
      <w:r>
        <w:rPr>
          <w:rFonts w:ascii="Arial" w:hAnsi="Arial"/>
          <w:w w:val="85"/>
          <w:sz w:val="17"/>
        </w:rPr>
        <w:t>de</w:t>
      </w:r>
      <w:r>
        <w:rPr>
          <w:rFonts w:ascii="Arial" w:hAnsi="Arial"/>
          <w:spacing w:val="-8"/>
          <w:w w:val="85"/>
          <w:sz w:val="17"/>
        </w:rPr>
        <w:t> </w:t>
      </w:r>
      <w:r>
        <w:rPr>
          <w:rFonts w:ascii="Arial" w:hAnsi="Arial"/>
          <w:w w:val="85"/>
          <w:sz w:val="17"/>
        </w:rPr>
        <w:t>millones</w:t>
      </w:r>
      <w:r>
        <w:rPr>
          <w:rFonts w:ascii="Arial" w:hAnsi="Arial"/>
          <w:spacing w:val="-8"/>
          <w:w w:val="85"/>
          <w:sz w:val="17"/>
        </w:rPr>
        <w:t> </w:t>
      </w:r>
      <w:r>
        <w:rPr>
          <w:rFonts w:ascii="Arial" w:hAnsi="Arial"/>
          <w:w w:val="85"/>
          <w:sz w:val="17"/>
        </w:rPr>
        <w:t>de</w:t>
      </w:r>
      <w:r>
        <w:rPr>
          <w:rFonts w:ascii="Arial" w:hAnsi="Arial"/>
          <w:spacing w:val="-8"/>
          <w:w w:val="85"/>
          <w:sz w:val="17"/>
        </w:rPr>
        <w:t> </w:t>
      </w:r>
      <w:r>
        <w:rPr>
          <w:rFonts w:ascii="Arial" w:hAnsi="Arial"/>
          <w:w w:val="85"/>
          <w:sz w:val="17"/>
        </w:rPr>
        <w:t>dólares)</w:t>
      </w:r>
    </w:p>
    <w:p>
      <w:pPr>
        <w:pStyle w:val="BodyText"/>
        <w:spacing w:before="7"/>
        <w:rPr>
          <w:rFonts w:ascii="Arial"/>
          <w:sz w:val="17"/>
        </w:rPr>
      </w:pPr>
      <w:r>
        <w:rPr/>
        <w:pict>
          <v:line style="position:absolute;mso-position-horizontal-relative:page;mso-position-vertical-relative:paragraph;z-index:9352;mso-wrap-distance-left:0;mso-wrap-distance-right:0" from="51.023602pt,12.603976pt" to="399.684602pt,12.603976pt" stroked="true" strokeweight="1pt" strokecolor="#000000">
            <w10:wrap type="topAndBottom"/>
          </v:line>
        </w:pict>
      </w:r>
    </w:p>
    <w:p>
      <w:pPr>
        <w:pStyle w:val="BodyText"/>
        <w:spacing w:before="2"/>
        <w:rPr>
          <w:rFonts w:ascii="Arial"/>
          <w:sz w:val="15"/>
        </w:rPr>
      </w:pPr>
    </w:p>
    <w:p>
      <w:pPr>
        <w:tabs>
          <w:tab w:pos="4632" w:val="left" w:leader="none"/>
        </w:tabs>
        <w:spacing w:before="0"/>
        <w:ind w:left="1762" w:right="158" w:firstLine="0"/>
        <w:jc w:val="left"/>
        <w:rPr>
          <w:rFonts w:ascii="Arial"/>
          <w:sz w:val="16"/>
        </w:rPr>
      </w:pPr>
      <w:r>
        <w:rPr>
          <w:rFonts w:ascii="Arial"/>
          <w:w w:val="85"/>
          <w:sz w:val="16"/>
        </w:rPr>
        <w:t>2.</w:t>
      </w:r>
      <w:r>
        <w:rPr>
          <w:rFonts w:ascii="Arial"/>
          <w:spacing w:val="-15"/>
          <w:w w:val="85"/>
          <w:sz w:val="16"/>
        </w:rPr>
        <w:t> </w:t>
      </w:r>
      <w:r>
        <w:rPr>
          <w:rFonts w:ascii="Arial"/>
          <w:w w:val="85"/>
          <w:sz w:val="16"/>
        </w:rPr>
        <w:t>Exportaciones</w:t>
        <w:tab/>
        <w:t>3.</w:t>
      </w:r>
      <w:r>
        <w:rPr>
          <w:rFonts w:ascii="Arial"/>
          <w:spacing w:val="-23"/>
          <w:w w:val="85"/>
          <w:sz w:val="16"/>
        </w:rPr>
        <w:t> </w:t>
      </w:r>
      <w:r>
        <w:rPr>
          <w:rFonts w:ascii="Arial"/>
          <w:w w:val="85"/>
          <w:sz w:val="16"/>
        </w:rPr>
        <w:t>Importaciones</w:t>
      </w:r>
    </w:p>
    <w:p>
      <w:pPr>
        <w:pStyle w:val="BodyText"/>
        <w:spacing w:before="1"/>
        <w:rPr>
          <w:rFonts w:ascii="Arial"/>
          <w:sz w:val="9"/>
        </w:rPr>
      </w:pPr>
      <w:r>
        <w:rPr/>
        <w:drawing>
          <wp:anchor distT="0" distB="0" distL="0" distR="0" allowOverlap="1" layoutInCell="1" locked="0" behindDoc="0" simplePos="0" relativeHeight="9376">
            <wp:simplePos x="0" y="0"/>
            <wp:positionH relativeFrom="page">
              <wp:posOffset>927000</wp:posOffset>
            </wp:positionH>
            <wp:positionV relativeFrom="paragraph">
              <wp:posOffset>91584</wp:posOffset>
            </wp:positionV>
            <wp:extent cx="3959959" cy="1426464"/>
            <wp:effectExtent l="0" t="0" r="0" b="0"/>
            <wp:wrapTopAndBottom/>
            <wp:docPr id="31" name="image77.png" descr=""/>
            <wp:cNvGraphicFramePr>
              <a:graphicFrameLocks noChangeAspect="1"/>
            </wp:cNvGraphicFramePr>
            <a:graphic>
              <a:graphicData uri="http://schemas.openxmlformats.org/drawingml/2006/picture">
                <pic:pic>
                  <pic:nvPicPr>
                    <pic:cNvPr id="32" name="image77.png"/>
                    <pic:cNvPicPr/>
                  </pic:nvPicPr>
                  <pic:blipFill>
                    <a:blip r:embed="rId557" cstate="print"/>
                    <a:stretch>
                      <a:fillRect/>
                    </a:stretch>
                  </pic:blipFill>
                  <pic:spPr>
                    <a:xfrm>
                      <a:off x="0" y="0"/>
                      <a:ext cx="3959959" cy="1426464"/>
                    </a:xfrm>
                    <a:prstGeom prst="rect">
                      <a:avLst/>
                    </a:prstGeom>
                  </pic:spPr>
                </pic:pic>
              </a:graphicData>
            </a:graphic>
          </wp:anchor>
        </w:drawing>
      </w:r>
      <w:r>
        <w:rPr/>
        <w:pict>
          <v:line style="position:absolute;mso-position-horizontal-relative:page;mso-position-vertical-relative:paragraph;z-index:9400;mso-wrap-distance-left:0;mso-wrap-distance-right:0" from="51.023602pt,129.120972pt" to="399.684602pt,129.120972pt" stroked="true" strokeweight="1pt" strokecolor="#000000">
            <w10:wrap type="topAndBottom"/>
          </v:line>
        </w:pict>
      </w:r>
    </w:p>
    <w:p>
      <w:pPr>
        <w:pStyle w:val="BodyText"/>
        <w:spacing w:before="10"/>
        <w:rPr>
          <w:rFonts w:ascii="Arial"/>
          <w:sz w:val="9"/>
        </w:rPr>
      </w:pPr>
    </w:p>
    <w:p>
      <w:pPr>
        <w:spacing w:before="37"/>
        <w:ind w:left="120" w:right="0" w:firstLine="0"/>
        <w:jc w:val="both"/>
        <w:rPr>
          <w:rFonts w:ascii="Arial"/>
          <w:sz w:val="14"/>
        </w:rPr>
      </w:pPr>
      <w:r>
        <w:rPr>
          <w:rFonts w:ascii="Arial"/>
          <w:w w:val="85"/>
          <w:sz w:val="14"/>
        </w:rPr>
        <w:t>Fuente: Elaborado por la autora a partir de datos del Departamento de Comercio de Estados Unidos.</w:t>
      </w:r>
    </w:p>
    <w:p>
      <w:pPr>
        <w:pStyle w:val="BodyText"/>
        <w:rPr>
          <w:rFonts w:ascii="Arial"/>
          <w:sz w:val="14"/>
        </w:rPr>
      </w:pPr>
    </w:p>
    <w:p>
      <w:pPr>
        <w:pStyle w:val="BodyText"/>
        <w:rPr>
          <w:rFonts w:ascii="Arial"/>
          <w:sz w:val="14"/>
        </w:rPr>
      </w:pPr>
    </w:p>
    <w:p>
      <w:pPr>
        <w:pStyle w:val="ListParagraph"/>
        <w:numPr>
          <w:ilvl w:val="1"/>
          <w:numId w:val="35"/>
        </w:numPr>
        <w:tabs>
          <w:tab w:pos="745" w:val="left" w:leader="none"/>
        </w:tabs>
        <w:spacing w:line="249" w:lineRule="auto" w:before="82" w:after="0"/>
        <w:ind w:left="744" w:right="848" w:hanging="227"/>
        <w:jc w:val="both"/>
        <w:rPr>
          <w:sz w:val="19"/>
        </w:rPr>
      </w:pPr>
      <w:r>
        <w:rPr>
          <w:w w:val="110"/>
          <w:sz w:val="19"/>
        </w:rPr>
        <w:t>El comercio bilateral ha mostrado ser procíclico, o sea, ha au- mentado en los momentos de bonanza en Estados unidos y disminuido en los de crisis. sin embargo, en términos com- parativos las exportaciones de Estados unidos a la región se vieron</w:t>
      </w:r>
      <w:r>
        <w:rPr>
          <w:spacing w:val="-10"/>
          <w:w w:val="110"/>
          <w:sz w:val="19"/>
        </w:rPr>
        <w:t> </w:t>
      </w:r>
      <w:r>
        <w:rPr>
          <w:w w:val="110"/>
          <w:sz w:val="19"/>
        </w:rPr>
        <w:t>notablemente</w:t>
      </w:r>
      <w:r>
        <w:rPr>
          <w:spacing w:val="-10"/>
          <w:w w:val="110"/>
          <w:sz w:val="19"/>
        </w:rPr>
        <w:t> </w:t>
      </w:r>
      <w:r>
        <w:rPr>
          <w:w w:val="110"/>
          <w:sz w:val="19"/>
        </w:rPr>
        <w:t>menos</w:t>
      </w:r>
      <w:r>
        <w:rPr>
          <w:spacing w:val="-10"/>
          <w:w w:val="110"/>
          <w:sz w:val="19"/>
        </w:rPr>
        <w:t> </w:t>
      </w:r>
      <w:r>
        <w:rPr>
          <w:w w:val="110"/>
          <w:sz w:val="19"/>
        </w:rPr>
        <w:t>afectadas</w:t>
      </w:r>
      <w:r>
        <w:rPr>
          <w:spacing w:val="-10"/>
          <w:w w:val="110"/>
          <w:sz w:val="19"/>
        </w:rPr>
        <w:t> </w:t>
      </w:r>
      <w:r>
        <w:rPr>
          <w:w w:val="110"/>
          <w:sz w:val="19"/>
        </w:rPr>
        <w:t>durante</w:t>
      </w:r>
      <w:r>
        <w:rPr>
          <w:spacing w:val="-10"/>
          <w:w w:val="110"/>
          <w:sz w:val="19"/>
        </w:rPr>
        <w:t> </w:t>
      </w:r>
      <w:r>
        <w:rPr>
          <w:w w:val="110"/>
          <w:sz w:val="19"/>
        </w:rPr>
        <w:t>este</w:t>
      </w:r>
      <w:r>
        <w:rPr>
          <w:spacing w:val="-10"/>
          <w:w w:val="110"/>
          <w:sz w:val="19"/>
        </w:rPr>
        <w:t> </w:t>
      </w:r>
      <w:r>
        <w:rPr>
          <w:w w:val="110"/>
          <w:sz w:val="19"/>
        </w:rPr>
        <w:t>período</w:t>
      </w:r>
      <w:r>
        <w:rPr>
          <w:spacing w:val="-10"/>
          <w:w w:val="110"/>
          <w:sz w:val="19"/>
        </w:rPr>
        <w:t> </w:t>
      </w:r>
      <w:r>
        <w:rPr>
          <w:w w:val="110"/>
          <w:sz w:val="19"/>
        </w:rPr>
        <w:t>que </w:t>
      </w:r>
      <w:r>
        <w:rPr>
          <w:w w:val="109"/>
          <w:sz w:val="19"/>
        </w:rPr>
        <w:t>las</w:t>
      </w:r>
      <w:r>
        <w:rPr>
          <w:spacing w:val="8"/>
          <w:sz w:val="19"/>
        </w:rPr>
        <w:t> </w:t>
      </w:r>
      <w:r>
        <w:rPr>
          <w:w w:val="111"/>
          <w:sz w:val="19"/>
        </w:rPr>
        <w:t>importaciones.</w:t>
      </w:r>
      <w:r>
        <w:rPr>
          <w:spacing w:val="8"/>
          <w:sz w:val="19"/>
        </w:rPr>
        <w:t> </w:t>
      </w:r>
      <w:r>
        <w:rPr>
          <w:w w:val="243"/>
          <w:sz w:val="19"/>
        </w:rPr>
        <w:t>l</w:t>
      </w:r>
      <w:r>
        <w:rPr>
          <w:w w:val="110"/>
          <w:sz w:val="19"/>
        </w:rPr>
        <w:t>o</w:t>
      </w:r>
      <w:r>
        <w:rPr>
          <w:spacing w:val="8"/>
          <w:sz w:val="19"/>
        </w:rPr>
        <w:t> </w:t>
      </w:r>
      <w:r>
        <w:rPr>
          <w:w w:val="108"/>
          <w:sz w:val="19"/>
        </w:rPr>
        <w:t>anterior</w:t>
      </w:r>
      <w:r>
        <w:rPr>
          <w:spacing w:val="8"/>
          <w:sz w:val="19"/>
        </w:rPr>
        <w:t> </w:t>
      </w:r>
      <w:r>
        <w:rPr>
          <w:w w:val="109"/>
          <w:sz w:val="19"/>
        </w:rPr>
        <w:t>ratifica</w:t>
      </w:r>
      <w:r>
        <w:rPr>
          <w:spacing w:val="8"/>
          <w:sz w:val="19"/>
        </w:rPr>
        <w:t> </w:t>
      </w:r>
      <w:r>
        <w:rPr>
          <w:w w:val="111"/>
          <w:sz w:val="19"/>
        </w:rPr>
        <w:t>la</w:t>
      </w:r>
      <w:r>
        <w:rPr>
          <w:spacing w:val="8"/>
          <w:sz w:val="19"/>
        </w:rPr>
        <w:t> </w:t>
      </w:r>
      <w:r>
        <w:rPr>
          <w:w w:val="111"/>
          <w:sz w:val="19"/>
        </w:rPr>
        <w:t>diferenciación</w:t>
      </w:r>
      <w:r>
        <w:rPr>
          <w:spacing w:val="8"/>
          <w:sz w:val="19"/>
        </w:rPr>
        <w:t> </w:t>
      </w:r>
      <w:r>
        <w:rPr>
          <w:w w:val="110"/>
          <w:sz w:val="19"/>
        </w:rPr>
        <w:t>come</w:t>
      </w:r>
      <w:r>
        <w:rPr>
          <w:spacing w:val="-15"/>
          <w:w w:val="110"/>
          <w:sz w:val="19"/>
        </w:rPr>
        <w:t>r</w:t>
      </w:r>
      <w:r>
        <w:rPr>
          <w:w w:val="102"/>
          <w:sz w:val="19"/>
        </w:rPr>
        <w:t>- </w:t>
      </w:r>
      <w:r>
        <w:rPr>
          <w:w w:val="110"/>
          <w:sz w:val="19"/>
        </w:rPr>
        <w:t>cial en el impacto, a favor de Estados  </w:t>
      </w:r>
      <w:r>
        <w:rPr>
          <w:spacing w:val="44"/>
          <w:w w:val="110"/>
          <w:sz w:val="19"/>
        </w:rPr>
        <w:t> </w:t>
      </w:r>
      <w:r>
        <w:rPr>
          <w:w w:val="110"/>
          <w:sz w:val="19"/>
        </w:rPr>
        <w:t>unidos.</w:t>
      </w:r>
    </w:p>
    <w:p>
      <w:pPr>
        <w:pStyle w:val="ListParagraph"/>
        <w:numPr>
          <w:ilvl w:val="1"/>
          <w:numId w:val="35"/>
        </w:numPr>
        <w:tabs>
          <w:tab w:pos="745" w:val="left" w:leader="none"/>
        </w:tabs>
        <w:spacing w:line="249" w:lineRule="auto" w:before="40" w:after="0"/>
        <w:ind w:left="744" w:right="847" w:hanging="227"/>
        <w:jc w:val="both"/>
        <w:rPr>
          <w:sz w:val="19"/>
        </w:rPr>
      </w:pPr>
      <w:r>
        <w:rPr>
          <w:w w:val="243"/>
          <w:sz w:val="19"/>
        </w:rPr>
        <w:t>l</w:t>
      </w:r>
      <w:r>
        <w:rPr>
          <w:w w:val="109"/>
          <w:sz w:val="19"/>
        </w:rPr>
        <w:t>as</w:t>
      </w:r>
      <w:r>
        <w:rPr>
          <w:sz w:val="19"/>
        </w:rPr>
        <w:t> </w:t>
      </w:r>
      <w:r>
        <w:rPr>
          <w:spacing w:val="10"/>
          <w:sz w:val="19"/>
        </w:rPr>
        <w:t> </w:t>
      </w:r>
      <w:r>
        <w:rPr>
          <w:w w:val="109"/>
          <w:sz w:val="19"/>
        </w:rPr>
        <w:t>relaciones</w:t>
      </w:r>
      <w:r>
        <w:rPr>
          <w:sz w:val="19"/>
        </w:rPr>
        <w:t> </w:t>
      </w:r>
      <w:r>
        <w:rPr>
          <w:spacing w:val="10"/>
          <w:sz w:val="19"/>
        </w:rPr>
        <w:t> </w:t>
      </w:r>
      <w:r>
        <w:rPr>
          <w:w w:val="110"/>
          <w:sz w:val="19"/>
        </w:rPr>
        <w:t>comerciales</w:t>
      </w:r>
      <w:r>
        <w:rPr>
          <w:sz w:val="19"/>
        </w:rPr>
        <w:t> </w:t>
      </w:r>
      <w:r>
        <w:rPr>
          <w:spacing w:val="10"/>
          <w:sz w:val="19"/>
        </w:rPr>
        <w:t> </w:t>
      </w:r>
      <w:r>
        <w:rPr>
          <w:w w:val="112"/>
          <w:sz w:val="19"/>
        </w:rPr>
        <w:t>continúan</w:t>
      </w:r>
      <w:r>
        <w:rPr>
          <w:sz w:val="19"/>
        </w:rPr>
        <w:t> </w:t>
      </w:r>
      <w:r>
        <w:rPr>
          <w:spacing w:val="10"/>
          <w:sz w:val="19"/>
        </w:rPr>
        <w:t> </w:t>
      </w:r>
      <w:r>
        <w:rPr>
          <w:w w:val="109"/>
          <w:sz w:val="19"/>
        </w:rPr>
        <w:t>siendo</w:t>
      </w:r>
      <w:r>
        <w:rPr>
          <w:sz w:val="19"/>
        </w:rPr>
        <w:t> </w:t>
      </w:r>
      <w:r>
        <w:rPr>
          <w:spacing w:val="10"/>
          <w:sz w:val="19"/>
        </w:rPr>
        <w:t> </w:t>
      </w:r>
      <w:r>
        <w:rPr>
          <w:w w:val="110"/>
          <w:sz w:val="19"/>
        </w:rPr>
        <w:t>asimétricas</w:t>
      </w:r>
      <w:r>
        <w:rPr>
          <w:sz w:val="19"/>
        </w:rPr>
        <w:t> </w:t>
      </w:r>
      <w:r>
        <w:rPr>
          <w:spacing w:val="10"/>
          <w:sz w:val="19"/>
        </w:rPr>
        <w:t> </w:t>
      </w:r>
      <w:r>
        <w:rPr>
          <w:w w:val="108"/>
          <w:sz w:val="19"/>
        </w:rPr>
        <w:t>en </w:t>
      </w:r>
      <w:r>
        <w:rPr>
          <w:w w:val="115"/>
          <w:sz w:val="19"/>
        </w:rPr>
        <w:t>dos</w:t>
      </w:r>
      <w:r>
        <w:rPr>
          <w:spacing w:val="-17"/>
          <w:w w:val="115"/>
          <w:sz w:val="19"/>
        </w:rPr>
        <w:t> </w:t>
      </w:r>
      <w:r>
        <w:rPr>
          <w:w w:val="115"/>
          <w:sz w:val="19"/>
        </w:rPr>
        <w:t>niveles:</w:t>
      </w:r>
      <w:r>
        <w:rPr>
          <w:spacing w:val="-17"/>
          <w:w w:val="115"/>
          <w:sz w:val="19"/>
        </w:rPr>
        <w:t> </w:t>
      </w:r>
      <w:r>
        <w:rPr>
          <w:w w:val="115"/>
          <w:sz w:val="19"/>
        </w:rPr>
        <w:t>debido</w:t>
      </w:r>
      <w:r>
        <w:rPr>
          <w:spacing w:val="-17"/>
          <w:w w:val="115"/>
          <w:sz w:val="19"/>
        </w:rPr>
        <w:t> </w:t>
      </w:r>
      <w:r>
        <w:rPr>
          <w:w w:val="115"/>
          <w:sz w:val="19"/>
        </w:rPr>
        <w:t>a</w:t>
      </w:r>
      <w:r>
        <w:rPr>
          <w:spacing w:val="-17"/>
          <w:w w:val="115"/>
          <w:sz w:val="19"/>
        </w:rPr>
        <w:t> </w:t>
      </w:r>
      <w:r>
        <w:rPr>
          <w:w w:val="115"/>
          <w:sz w:val="19"/>
        </w:rPr>
        <w:t>la</w:t>
      </w:r>
      <w:r>
        <w:rPr>
          <w:spacing w:val="-17"/>
          <w:w w:val="115"/>
          <w:sz w:val="19"/>
        </w:rPr>
        <w:t> </w:t>
      </w:r>
      <w:r>
        <w:rPr>
          <w:w w:val="115"/>
          <w:sz w:val="19"/>
        </w:rPr>
        <w:t>menor</w:t>
      </w:r>
      <w:r>
        <w:rPr>
          <w:spacing w:val="-17"/>
          <w:w w:val="115"/>
          <w:sz w:val="19"/>
        </w:rPr>
        <w:t> </w:t>
      </w:r>
      <w:r>
        <w:rPr>
          <w:w w:val="115"/>
          <w:sz w:val="19"/>
        </w:rPr>
        <w:t>importancia</w:t>
      </w:r>
      <w:r>
        <w:rPr>
          <w:spacing w:val="-17"/>
          <w:w w:val="115"/>
          <w:sz w:val="19"/>
        </w:rPr>
        <w:t> </w:t>
      </w:r>
      <w:r>
        <w:rPr>
          <w:w w:val="115"/>
          <w:sz w:val="19"/>
        </w:rPr>
        <w:t>comercial</w:t>
      </w:r>
      <w:r>
        <w:rPr>
          <w:spacing w:val="-17"/>
          <w:w w:val="115"/>
          <w:sz w:val="19"/>
        </w:rPr>
        <w:t> </w:t>
      </w:r>
      <w:r>
        <w:rPr>
          <w:w w:val="115"/>
          <w:sz w:val="19"/>
        </w:rPr>
        <w:t>de</w:t>
      </w:r>
      <w:r>
        <w:rPr>
          <w:spacing w:val="-17"/>
          <w:w w:val="115"/>
          <w:sz w:val="19"/>
        </w:rPr>
        <w:t> </w:t>
      </w:r>
      <w:r>
        <w:rPr>
          <w:w w:val="115"/>
          <w:sz w:val="19"/>
        </w:rPr>
        <w:t>amé- </w:t>
      </w:r>
      <w:r>
        <w:rPr>
          <w:w w:val="112"/>
          <w:sz w:val="19"/>
        </w:rPr>
        <w:t>rica</w:t>
      </w:r>
      <w:r>
        <w:rPr>
          <w:spacing w:val="18"/>
          <w:sz w:val="19"/>
        </w:rPr>
        <w:t> </w:t>
      </w:r>
      <w:r>
        <w:rPr>
          <w:w w:val="243"/>
          <w:sz w:val="19"/>
        </w:rPr>
        <w:t>l</w:t>
      </w:r>
      <w:r>
        <w:rPr>
          <w:w w:val="111"/>
          <w:sz w:val="19"/>
        </w:rPr>
        <w:t>atina</w:t>
      </w:r>
      <w:r>
        <w:rPr>
          <w:spacing w:val="18"/>
          <w:sz w:val="19"/>
        </w:rPr>
        <w:t> </w:t>
      </w:r>
      <w:r>
        <w:rPr>
          <w:w w:val="105"/>
          <w:sz w:val="19"/>
        </w:rPr>
        <w:t>y</w:t>
      </w:r>
      <w:r>
        <w:rPr>
          <w:spacing w:val="18"/>
          <w:sz w:val="19"/>
        </w:rPr>
        <w:t> </w:t>
      </w:r>
      <w:r>
        <w:rPr>
          <w:w w:val="107"/>
          <w:sz w:val="19"/>
        </w:rPr>
        <w:t>el</w:t>
      </w:r>
      <w:r>
        <w:rPr>
          <w:spacing w:val="18"/>
          <w:sz w:val="19"/>
        </w:rPr>
        <w:t> </w:t>
      </w:r>
      <w:r>
        <w:rPr>
          <w:w w:val="112"/>
          <w:sz w:val="19"/>
        </w:rPr>
        <w:t>Caribe</w:t>
      </w:r>
      <w:r>
        <w:rPr>
          <w:spacing w:val="18"/>
          <w:sz w:val="19"/>
        </w:rPr>
        <w:t> </w:t>
      </w:r>
      <w:r>
        <w:rPr>
          <w:w w:val="108"/>
          <w:sz w:val="19"/>
        </w:rPr>
        <w:t>en</w:t>
      </w:r>
      <w:r>
        <w:rPr>
          <w:spacing w:val="18"/>
          <w:sz w:val="19"/>
        </w:rPr>
        <w:t> </w:t>
      </w:r>
      <w:r>
        <w:rPr>
          <w:w w:val="107"/>
          <w:sz w:val="19"/>
        </w:rPr>
        <w:t>el</w:t>
      </w:r>
      <w:r>
        <w:rPr>
          <w:spacing w:val="18"/>
          <w:sz w:val="19"/>
        </w:rPr>
        <w:t> </w:t>
      </w:r>
      <w:r>
        <w:rPr>
          <w:w w:val="111"/>
          <w:sz w:val="19"/>
        </w:rPr>
        <w:t>comercio</w:t>
      </w:r>
      <w:r>
        <w:rPr>
          <w:spacing w:val="18"/>
          <w:sz w:val="19"/>
        </w:rPr>
        <w:t> </w:t>
      </w:r>
      <w:r>
        <w:rPr>
          <w:w w:val="109"/>
          <w:sz w:val="19"/>
        </w:rPr>
        <w:t>total</w:t>
      </w:r>
      <w:r>
        <w:rPr>
          <w:spacing w:val="18"/>
          <w:sz w:val="19"/>
        </w:rPr>
        <w:t> </w:t>
      </w:r>
      <w:r>
        <w:rPr>
          <w:w w:val="107"/>
          <w:sz w:val="19"/>
        </w:rPr>
        <w:t>de</w:t>
      </w:r>
      <w:r>
        <w:rPr>
          <w:spacing w:val="18"/>
          <w:sz w:val="19"/>
        </w:rPr>
        <w:t> </w:t>
      </w:r>
      <w:r>
        <w:rPr>
          <w:w w:val="111"/>
          <w:sz w:val="19"/>
        </w:rPr>
        <w:t>Estados</w:t>
      </w:r>
      <w:r>
        <w:rPr>
          <w:spacing w:val="18"/>
          <w:sz w:val="19"/>
        </w:rPr>
        <w:t> </w:t>
      </w:r>
      <w:r>
        <w:rPr>
          <w:w w:val="140"/>
          <w:sz w:val="19"/>
        </w:rPr>
        <w:t>u</w:t>
      </w:r>
      <w:r>
        <w:rPr>
          <w:w w:val="110"/>
          <w:sz w:val="19"/>
        </w:rPr>
        <w:t>nidos </w:t>
      </w:r>
      <w:r>
        <w:rPr>
          <w:w w:val="98"/>
          <w:sz w:val="19"/>
        </w:rPr>
        <w:t>(</w:t>
      </w:r>
      <w:r>
        <w:rPr>
          <w:w w:val="139"/>
          <w:sz w:val="19"/>
        </w:rPr>
        <w:t>a</w:t>
      </w:r>
      <w:r>
        <w:rPr>
          <w:w w:val="111"/>
          <w:sz w:val="19"/>
        </w:rPr>
        <w:t>mérica</w:t>
      </w:r>
      <w:r>
        <w:rPr>
          <w:sz w:val="19"/>
        </w:rPr>
        <w:t> </w:t>
      </w:r>
      <w:r>
        <w:rPr>
          <w:spacing w:val="-7"/>
          <w:sz w:val="19"/>
        </w:rPr>
        <w:t> </w:t>
      </w:r>
      <w:r>
        <w:rPr>
          <w:w w:val="243"/>
          <w:sz w:val="19"/>
        </w:rPr>
        <w:t>l</w:t>
      </w:r>
      <w:r>
        <w:rPr>
          <w:w w:val="111"/>
          <w:sz w:val="19"/>
        </w:rPr>
        <w:t>atina</w:t>
      </w:r>
      <w:r>
        <w:rPr>
          <w:sz w:val="19"/>
        </w:rPr>
        <w:t> </w:t>
      </w:r>
      <w:r>
        <w:rPr>
          <w:spacing w:val="-7"/>
          <w:sz w:val="19"/>
        </w:rPr>
        <w:t> </w:t>
      </w:r>
      <w:r>
        <w:rPr>
          <w:w w:val="105"/>
          <w:sz w:val="19"/>
        </w:rPr>
        <w:t>y</w:t>
      </w:r>
      <w:r>
        <w:rPr>
          <w:sz w:val="19"/>
        </w:rPr>
        <w:t> </w:t>
      </w:r>
      <w:r>
        <w:rPr>
          <w:spacing w:val="-7"/>
          <w:sz w:val="19"/>
        </w:rPr>
        <w:t> </w:t>
      </w:r>
      <w:r>
        <w:rPr>
          <w:w w:val="107"/>
          <w:sz w:val="19"/>
        </w:rPr>
        <w:t>el</w:t>
      </w:r>
      <w:r>
        <w:rPr>
          <w:sz w:val="19"/>
        </w:rPr>
        <w:t> </w:t>
      </w:r>
      <w:r>
        <w:rPr>
          <w:spacing w:val="-7"/>
          <w:sz w:val="19"/>
        </w:rPr>
        <w:t> </w:t>
      </w:r>
      <w:r>
        <w:rPr>
          <w:w w:val="112"/>
          <w:sz w:val="19"/>
        </w:rPr>
        <w:t>Caribe</w:t>
      </w:r>
      <w:r>
        <w:rPr>
          <w:sz w:val="19"/>
        </w:rPr>
        <w:t> </w:t>
      </w:r>
      <w:r>
        <w:rPr>
          <w:spacing w:val="-7"/>
          <w:sz w:val="19"/>
        </w:rPr>
        <w:t> </w:t>
      </w:r>
      <w:r>
        <w:rPr>
          <w:w w:val="107"/>
          <w:sz w:val="19"/>
        </w:rPr>
        <w:t>representa</w:t>
      </w:r>
      <w:r>
        <w:rPr>
          <w:sz w:val="19"/>
        </w:rPr>
        <w:t> </w:t>
      </w:r>
      <w:r>
        <w:rPr>
          <w:spacing w:val="-7"/>
          <w:sz w:val="19"/>
        </w:rPr>
        <w:t> </w:t>
      </w:r>
      <w:r>
        <w:rPr>
          <w:w w:val="109"/>
          <w:sz w:val="19"/>
        </w:rPr>
        <w:t>apenas</w:t>
      </w:r>
      <w:r>
        <w:rPr>
          <w:sz w:val="19"/>
        </w:rPr>
        <w:t> </w:t>
      </w:r>
      <w:r>
        <w:rPr>
          <w:spacing w:val="-7"/>
          <w:sz w:val="19"/>
        </w:rPr>
        <w:t> </w:t>
      </w:r>
      <w:r>
        <w:rPr>
          <w:w w:val="112"/>
          <w:sz w:val="19"/>
        </w:rPr>
        <w:t>un</w:t>
      </w:r>
      <w:r>
        <w:rPr>
          <w:sz w:val="19"/>
        </w:rPr>
        <w:t> </w:t>
      </w:r>
      <w:r>
        <w:rPr>
          <w:spacing w:val="-7"/>
          <w:sz w:val="19"/>
        </w:rPr>
        <w:t> </w:t>
      </w:r>
      <w:r>
        <w:rPr>
          <w:w w:val="110"/>
          <w:sz w:val="19"/>
        </w:rPr>
        <w:t>quinto</w:t>
      </w:r>
      <w:r>
        <w:rPr>
          <w:sz w:val="19"/>
        </w:rPr>
        <w:t> </w:t>
      </w:r>
      <w:r>
        <w:rPr>
          <w:spacing w:val="-7"/>
          <w:sz w:val="19"/>
        </w:rPr>
        <w:t> </w:t>
      </w:r>
      <w:r>
        <w:rPr>
          <w:w w:val="107"/>
          <w:sz w:val="19"/>
        </w:rPr>
        <w:t>del </w:t>
      </w:r>
      <w:r>
        <w:rPr>
          <w:w w:val="115"/>
          <w:sz w:val="19"/>
        </w:rPr>
        <w:t>comercio total de Estados unidos) y la concentración subre- gional</w:t>
      </w:r>
      <w:r>
        <w:rPr>
          <w:spacing w:val="-9"/>
          <w:w w:val="115"/>
          <w:sz w:val="19"/>
        </w:rPr>
        <w:t> </w:t>
      </w:r>
      <w:r>
        <w:rPr>
          <w:w w:val="115"/>
          <w:sz w:val="19"/>
        </w:rPr>
        <w:t>y</w:t>
      </w:r>
      <w:r>
        <w:rPr>
          <w:spacing w:val="-9"/>
          <w:w w:val="115"/>
          <w:sz w:val="19"/>
        </w:rPr>
        <w:t> </w:t>
      </w:r>
      <w:r>
        <w:rPr>
          <w:w w:val="115"/>
          <w:sz w:val="19"/>
        </w:rPr>
        <w:t>por</w:t>
      </w:r>
      <w:r>
        <w:rPr>
          <w:spacing w:val="-9"/>
          <w:w w:val="115"/>
          <w:sz w:val="19"/>
        </w:rPr>
        <w:t> </w:t>
      </w:r>
      <w:r>
        <w:rPr>
          <w:w w:val="115"/>
          <w:sz w:val="19"/>
        </w:rPr>
        <w:t>países</w:t>
      </w:r>
      <w:r>
        <w:rPr>
          <w:spacing w:val="-9"/>
          <w:w w:val="115"/>
          <w:sz w:val="19"/>
        </w:rPr>
        <w:t> </w:t>
      </w:r>
      <w:r>
        <w:rPr>
          <w:w w:val="115"/>
          <w:sz w:val="19"/>
        </w:rPr>
        <w:t>(México</w:t>
      </w:r>
      <w:r>
        <w:rPr>
          <w:spacing w:val="-9"/>
          <w:w w:val="115"/>
          <w:sz w:val="19"/>
        </w:rPr>
        <w:t> </w:t>
      </w:r>
      <w:r>
        <w:rPr>
          <w:w w:val="115"/>
          <w:sz w:val="19"/>
        </w:rPr>
        <w:t>solamente</w:t>
      </w:r>
      <w:r>
        <w:rPr>
          <w:spacing w:val="-9"/>
          <w:w w:val="115"/>
          <w:sz w:val="19"/>
        </w:rPr>
        <w:t> </w:t>
      </w:r>
      <w:r>
        <w:rPr>
          <w:w w:val="115"/>
          <w:sz w:val="19"/>
        </w:rPr>
        <w:t>representa</w:t>
      </w:r>
      <w:r>
        <w:rPr>
          <w:spacing w:val="-9"/>
          <w:w w:val="115"/>
          <w:sz w:val="19"/>
        </w:rPr>
        <w:t> </w:t>
      </w:r>
      <w:r>
        <w:rPr>
          <w:w w:val="115"/>
          <w:sz w:val="19"/>
        </w:rPr>
        <w:t>dos</w:t>
      </w:r>
      <w:r>
        <w:rPr>
          <w:spacing w:val="-9"/>
          <w:w w:val="115"/>
          <w:sz w:val="19"/>
        </w:rPr>
        <w:t> </w:t>
      </w:r>
      <w:r>
        <w:rPr>
          <w:w w:val="115"/>
          <w:sz w:val="19"/>
        </w:rPr>
        <w:t>tercios de las importaciones de Estados unidos de la región, mien- tras</w:t>
      </w:r>
      <w:r>
        <w:rPr>
          <w:spacing w:val="-10"/>
          <w:w w:val="115"/>
          <w:sz w:val="19"/>
        </w:rPr>
        <w:t> </w:t>
      </w:r>
      <w:r>
        <w:rPr>
          <w:w w:val="115"/>
          <w:sz w:val="19"/>
        </w:rPr>
        <w:t>que</w:t>
      </w:r>
      <w:r>
        <w:rPr>
          <w:spacing w:val="-10"/>
          <w:w w:val="115"/>
          <w:sz w:val="19"/>
        </w:rPr>
        <w:t> </w:t>
      </w:r>
      <w:r>
        <w:rPr>
          <w:w w:val="115"/>
          <w:sz w:val="19"/>
        </w:rPr>
        <w:t>la</w:t>
      </w:r>
      <w:r>
        <w:rPr>
          <w:spacing w:val="-10"/>
          <w:w w:val="115"/>
          <w:sz w:val="19"/>
        </w:rPr>
        <w:t> </w:t>
      </w:r>
      <w:r>
        <w:rPr>
          <w:w w:val="115"/>
          <w:sz w:val="19"/>
        </w:rPr>
        <w:t>participación</w:t>
      </w:r>
      <w:r>
        <w:rPr>
          <w:spacing w:val="-10"/>
          <w:w w:val="115"/>
          <w:sz w:val="19"/>
        </w:rPr>
        <w:t> </w:t>
      </w:r>
      <w:r>
        <w:rPr>
          <w:w w:val="115"/>
          <w:sz w:val="19"/>
        </w:rPr>
        <w:t>combinada</w:t>
      </w:r>
      <w:r>
        <w:rPr>
          <w:spacing w:val="-10"/>
          <w:w w:val="115"/>
          <w:sz w:val="19"/>
        </w:rPr>
        <w:t> </w:t>
      </w:r>
      <w:r>
        <w:rPr>
          <w:w w:val="115"/>
          <w:sz w:val="19"/>
        </w:rPr>
        <w:t>de</w:t>
      </w:r>
      <w:r>
        <w:rPr>
          <w:spacing w:val="-10"/>
          <w:w w:val="115"/>
          <w:sz w:val="19"/>
        </w:rPr>
        <w:t> </w:t>
      </w:r>
      <w:r>
        <w:rPr>
          <w:w w:val="115"/>
          <w:sz w:val="19"/>
        </w:rPr>
        <w:t>México</w:t>
      </w:r>
      <w:r>
        <w:rPr>
          <w:spacing w:val="-10"/>
          <w:w w:val="115"/>
          <w:sz w:val="19"/>
        </w:rPr>
        <w:t> </w:t>
      </w:r>
      <w:r>
        <w:rPr>
          <w:w w:val="115"/>
          <w:sz w:val="19"/>
        </w:rPr>
        <w:t>y</w:t>
      </w:r>
      <w:r>
        <w:rPr>
          <w:spacing w:val="-10"/>
          <w:w w:val="115"/>
          <w:sz w:val="19"/>
        </w:rPr>
        <w:t> </w:t>
      </w:r>
      <w:r>
        <w:rPr>
          <w:w w:val="115"/>
          <w:sz w:val="19"/>
        </w:rPr>
        <w:t>los</w:t>
      </w:r>
      <w:r>
        <w:rPr>
          <w:spacing w:val="-10"/>
          <w:w w:val="115"/>
          <w:sz w:val="19"/>
        </w:rPr>
        <w:t> </w:t>
      </w:r>
      <w:r>
        <w:rPr>
          <w:w w:val="115"/>
          <w:sz w:val="19"/>
        </w:rPr>
        <w:t>países</w:t>
      </w:r>
      <w:r>
        <w:rPr>
          <w:spacing w:val="-10"/>
          <w:w w:val="115"/>
          <w:sz w:val="19"/>
        </w:rPr>
        <w:t> </w:t>
      </w:r>
      <w:r>
        <w:rPr>
          <w:w w:val="115"/>
          <w:sz w:val="19"/>
        </w:rPr>
        <w:t>de </w:t>
      </w:r>
      <w:r>
        <w:rPr>
          <w:w w:val="125"/>
          <w:sz w:val="19"/>
        </w:rPr>
        <w:t>MErCosur </w:t>
      </w:r>
      <w:r>
        <w:rPr>
          <w:w w:val="115"/>
          <w:sz w:val="19"/>
        </w:rPr>
        <w:t>representan un 75% del comercio con américa </w:t>
      </w:r>
      <w:r>
        <w:rPr>
          <w:w w:val="243"/>
          <w:sz w:val="19"/>
        </w:rPr>
        <w:t>l</w:t>
      </w:r>
      <w:r>
        <w:rPr>
          <w:w w:val="111"/>
          <w:sz w:val="19"/>
        </w:rPr>
        <w:t>atina</w:t>
      </w:r>
      <w:r>
        <w:rPr>
          <w:spacing w:val="12"/>
          <w:sz w:val="19"/>
        </w:rPr>
        <w:t> </w:t>
      </w:r>
      <w:r>
        <w:rPr>
          <w:w w:val="105"/>
          <w:sz w:val="19"/>
        </w:rPr>
        <w:t>y</w:t>
      </w:r>
      <w:r>
        <w:rPr>
          <w:spacing w:val="12"/>
          <w:sz w:val="19"/>
        </w:rPr>
        <w:t> </w:t>
      </w:r>
      <w:r>
        <w:rPr>
          <w:w w:val="107"/>
          <w:sz w:val="19"/>
        </w:rPr>
        <w:t>el</w:t>
      </w:r>
      <w:r>
        <w:rPr>
          <w:spacing w:val="12"/>
          <w:sz w:val="19"/>
        </w:rPr>
        <w:t> </w:t>
      </w:r>
      <w:r>
        <w:rPr>
          <w:w w:val="112"/>
          <w:sz w:val="19"/>
        </w:rPr>
        <w:t>Caribe</w:t>
      </w:r>
      <w:r>
        <w:rPr>
          <w:spacing w:val="12"/>
          <w:sz w:val="19"/>
        </w:rPr>
        <w:t> </w:t>
      </w:r>
      <w:r>
        <w:rPr>
          <w:w w:val="117"/>
          <w:sz w:val="19"/>
        </w:rPr>
        <w:t>(CE</w:t>
      </w:r>
      <w:r>
        <w:rPr>
          <w:spacing w:val="-15"/>
          <w:w w:val="117"/>
          <w:sz w:val="19"/>
        </w:rPr>
        <w:t>P</w:t>
      </w:r>
      <w:r>
        <w:rPr>
          <w:w w:val="176"/>
          <w:sz w:val="19"/>
        </w:rPr>
        <w:t>al</w:t>
      </w:r>
      <w:r>
        <w:rPr>
          <w:w w:val="138"/>
          <w:sz w:val="19"/>
        </w:rPr>
        <w:t>,</w:t>
      </w:r>
      <w:r>
        <w:rPr>
          <w:spacing w:val="12"/>
          <w:sz w:val="19"/>
        </w:rPr>
        <w:t> </w:t>
      </w:r>
      <w:r>
        <w:rPr>
          <w:w w:val="103"/>
          <w:sz w:val="19"/>
        </w:rPr>
        <w:t>2011:</w:t>
      </w:r>
      <w:r>
        <w:rPr>
          <w:spacing w:val="12"/>
          <w:sz w:val="19"/>
        </w:rPr>
        <w:t> </w:t>
      </w:r>
      <w:r>
        <w:rPr>
          <w:w w:val="107"/>
          <w:sz w:val="19"/>
        </w:rPr>
        <w:t>8).</w:t>
      </w:r>
    </w:p>
    <w:p>
      <w:pPr>
        <w:spacing w:after="0" w:line="249" w:lineRule="auto"/>
        <w:jc w:val="both"/>
        <w:rPr>
          <w:sz w:val="19"/>
        </w:rPr>
        <w:sectPr>
          <w:pgSz w:w="8790" w:h="12760"/>
          <w:pgMar w:header="695" w:footer="723" w:top="880" w:bottom="920" w:left="900" w:right="680"/>
        </w:sectPr>
      </w:pPr>
    </w:p>
    <w:p>
      <w:pPr>
        <w:pStyle w:val="BodyText"/>
        <w:spacing w:before="7"/>
        <w:rPr>
          <w:sz w:val="28"/>
        </w:rPr>
      </w:pPr>
    </w:p>
    <w:p>
      <w:pPr>
        <w:pStyle w:val="BodyText"/>
        <w:spacing w:line="252" w:lineRule="auto" w:before="73"/>
        <w:ind w:left="330" w:right="118"/>
        <w:jc w:val="both"/>
      </w:pPr>
      <w:r>
        <w:rPr>
          <w:i/>
          <w:w w:val="110"/>
        </w:rPr>
        <w:t>Rasgo</w:t>
      </w:r>
      <w:r>
        <w:rPr>
          <w:i/>
        </w:rPr>
        <w:t> </w:t>
      </w:r>
      <w:r>
        <w:rPr>
          <w:i/>
          <w:w w:val="107"/>
        </w:rPr>
        <w:t>4</w:t>
      </w:r>
      <w:r>
        <w:rPr>
          <w:w w:val="107"/>
        </w:rPr>
        <w:t>:</w:t>
      </w:r>
      <w:r>
        <w:rPr/>
        <w:t> </w:t>
      </w:r>
      <w:r>
        <w:rPr>
          <w:w w:val="139"/>
        </w:rPr>
        <w:t>a</w:t>
      </w:r>
      <w:r>
        <w:rPr>
          <w:w w:val="111"/>
        </w:rPr>
        <w:t>mérica</w:t>
      </w:r>
      <w:r>
        <w:rPr/>
        <w:t> </w:t>
      </w:r>
      <w:r>
        <w:rPr>
          <w:w w:val="243"/>
        </w:rPr>
        <w:t>l</w:t>
      </w:r>
      <w:r>
        <w:rPr>
          <w:w w:val="111"/>
        </w:rPr>
        <w:t>atina</w:t>
      </w:r>
      <w:r>
        <w:rPr/>
        <w:t> </w:t>
      </w:r>
      <w:r>
        <w:rPr>
          <w:w w:val="105"/>
        </w:rPr>
        <w:t>y</w:t>
      </w:r>
      <w:r>
        <w:rPr/>
        <w:t> </w:t>
      </w:r>
      <w:r>
        <w:rPr>
          <w:w w:val="107"/>
        </w:rPr>
        <w:t>el</w:t>
      </w:r>
      <w:r>
        <w:rPr/>
        <w:t> </w:t>
      </w:r>
      <w:r>
        <w:rPr>
          <w:w w:val="112"/>
        </w:rPr>
        <w:t>Caribe</w:t>
      </w:r>
      <w:r>
        <w:rPr/>
        <w:t> </w:t>
      </w:r>
      <w:r>
        <w:rPr>
          <w:w w:val="109"/>
        </w:rPr>
        <w:t>constituye</w:t>
      </w:r>
      <w:r>
        <w:rPr/>
        <w:t> </w:t>
      </w:r>
      <w:r>
        <w:rPr>
          <w:w w:val="112"/>
        </w:rPr>
        <w:t>un</w:t>
      </w:r>
      <w:r>
        <w:rPr/>
        <w:t> </w:t>
      </w:r>
      <w:r>
        <w:rPr>
          <w:w w:val="111"/>
        </w:rPr>
        <w:t>socio</w:t>
      </w:r>
      <w:r>
        <w:rPr/>
        <w:t> </w:t>
      </w:r>
      <w:r>
        <w:rPr>
          <w:w w:val="106"/>
        </w:rPr>
        <w:t>relevante</w:t>
      </w:r>
      <w:r>
        <w:rPr/>
        <w:t> </w:t>
      </w:r>
      <w:r>
        <w:rPr>
          <w:w w:val="109"/>
        </w:rPr>
        <w:t>para </w:t>
      </w:r>
      <w:r>
        <w:rPr>
          <w:w w:val="120"/>
        </w:rPr>
        <w:t>Estados unidos en el comercio de servicios (CEPal, 2011).</w:t>
      </w:r>
    </w:p>
    <w:p>
      <w:pPr>
        <w:pStyle w:val="ListParagraph"/>
        <w:numPr>
          <w:ilvl w:val="2"/>
          <w:numId w:val="35"/>
        </w:numPr>
        <w:tabs>
          <w:tab w:pos="955" w:val="left" w:leader="none"/>
        </w:tabs>
        <w:spacing w:line="247" w:lineRule="auto" w:before="146" w:after="0"/>
        <w:ind w:left="954" w:right="116" w:hanging="227"/>
        <w:jc w:val="both"/>
        <w:rPr>
          <w:sz w:val="19"/>
        </w:rPr>
      </w:pPr>
      <w:r>
        <w:rPr>
          <w:spacing w:val="1"/>
          <w:w w:val="139"/>
          <w:sz w:val="19"/>
        </w:rPr>
        <w:t>d</w:t>
      </w:r>
      <w:r>
        <w:rPr>
          <w:spacing w:val="1"/>
          <w:w w:val="109"/>
          <w:sz w:val="19"/>
        </w:rPr>
        <w:t>urant</w:t>
      </w:r>
      <w:r>
        <w:rPr>
          <w:w w:val="109"/>
          <w:sz w:val="19"/>
        </w:rPr>
        <w:t>e</w:t>
      </w:r>
      <w:r>
        <w:rPr>
          <w:sz w:val="19"/>
        </w:rPr>
        <w:t> </w:t>
      </w:r>
      <w:r>
        <w:rPr>
          <w:spacing w:val="-2"/>
          <w:sz w:val="19"/>
        </w:rPr>
        <w:t> </w:t>
      </w:r>
      <w:r>
        <w:rPr>
          <w:spacing w:val="1"/>
          <w:w w:val="111"/>
          <w:sz w:val="19"/>
        </w:rPr>
        <w:t>l</w:t>
      </w:r>
      <w:r>
        <w:rPr>
          <w:w w:val="111"/>
          <w:sz w:val="19"/>
        </w:rPr>
        <w:t>a</w:t>
      </w:r>
      <w:r>
        <w:rPr>
          <w:sz w:val="19"/>
        </w:rPr>
        <w:t> </w:t>
      </w:r>
      <w:r>
        <w:rPr>
          <w:spacing w:val="-2"/>
          <w:sz w:val="19"/>
        </w:rPr>
        <w:t> </w:t>
      </w:r>
      <w:r>
        <w:rPr>
          <w:spacing w:val="1"/>
          <w:w w:val="109"/>
          <w:sz w:val="19"/>
        </w:rPr>
        <w:t>primer</w:t>
      </w:r>
      <w:r>
        <w:rPr>
          <w:w w:val="109"/>
          <w:sz w:val="19"/>
        </w:rPr>
        <w:t>a</w:t>
      </w:r>
      <w:r>
        <w:rPr>
          <w:sz w:val="19"/>
        </w:rPr>
        <w:t> </w:t>
      </w:r>
      <w:r>
        <w:rPr>
          <w:spacing w:val="-2"/>
          <w:sz w:val="19"/>
        </w:rPr>
        <w:t> </w:t>
      </w:r>
      <w:r>
        <w:rPr>
          <w:spacing w:val="1"/>
          <w:w w:val="110"/>
          <w:sz w:val="19"/>
        </w:rPr>
        <w:t>décad</w:t>
      </w:r>
      <w:r>
        <w:rPr>
          <w:w w:val="110"/>
          <w:sz w:val="19"/>
        </w:rPr>
        <w:t>a</w:t>
      </w:r>
      <w:r>
        <w:rPr>
          <w:sz w:val="19"/>
        </w:rPr>
        <w:t> </w:t>
      </w:r>
      <w:r>
        <w:rPr>
          <w:spacing w:val="-2"/>
          <w:sz w:val="19"/>
        </w:rPr>
        <w:t> </w:t>
      </w:r>
      <w:r>
        <w:rPr>
          <w:spacing w:val="1"/>
          <w:w w:val="107"/>
          <w:sz w:val="19"/>
        </w:rPr>
        <w:t>de</w:t>
      </w:r>
      <w:r>
        <w:rPr>
          <w:w w:val="107"/>
          <w:sz w:val="19"/>
        </w:rPr>
        <w:t>l</w:t>
      </w:r>
      <w:r>
        <w:rPr>
          <w:sz w:val="19"/>
        </w:rPr>
        <w:t> </w:t>
      </w:r>
      <w:r>
        <w:rPr>
          <w:spacing w:val="-2"/>
          <w:sz w:val="19"/>
        </w:rPr>
        <w:t> </w:t>
      </w:r>
      <w:r>
        <w:rPr>
          <w:spacing w:val="1"/>
          <w:w w:val="110"/>
          <w:sz w:val="19"/>
        </w:rPr>
        <w:t>sigl</w:t>
      </w:r>
      <w:r>
        <w:rPr>
          <w:w w:val="110"/>
          <w:sz w:val="19"/>
        </w:rPr>
        <w:t>o</w:t>
      </w:r>
      <w:r>
        <w:rPr>
          <w:sz w:val="19"/>
        </w:rPr>
        <w:t> </w:t>
      </w:r>
      <w:r>
        <w:rPr>
          <w:spacing w:val="-2"/>
          <w:sz w:val="19"/>
        </w:rPr>
        <w:t> </w:t>
      </w:r>
      <w:r>
        <w:rPr>
          <w:spacing w:val="1"/>
          <w:w w:val="156"/>
          <w:sz w:val="19"/>
        </w:rPr>
        <w:t>xxi</w:t>
      </w:r>
      <w:r>
        <w:rPr>
          <w:w w:val="138"/>
          <w:sz w:val="19"/>
        </w:rPr>
        <w:t>,</w:t>
      </w:r>
      <w:r>
        <w:rPr>
          <w:sz w:val="19"/>
        </w:rPr>
        <w:t> </w:t>
      </w:r>
      <w:r>
        <w:rPr>
          <w:spacing w:val="-2"/>
          <w:sz w:val="19"/>
        </w:rPr>
        <w:t> </w:t>
      </w:r>
      <w:r>
        <w:rPr>
          <w:spacing w:val="1"/>
          <w:w w:val="139"/>
          <w:sz w:val="19"/>
        </w:rPr>
        <w:t>a</w:t>
      </w:r>
      <w:r>
        <w:rPr>
          <w:spacing w:val="1"/>
          <w:w w:val="111"/>
          <w:sz w:val="19"/>
        </w:rPr>
        <w:t>méric</w:t>
      </w:r>
      <w:r>
        <w:rPr>
          <w:w w:val="111"/>
          <w:sz w:val="19"/>
        </w:rPr>
        <w:t>a</w:t>
      </w:r>
      <w:r>
        <w:rPr>
          <w:sz w:val="19"/>
        </w:rPr>
        <w:t> </w:t>
      </w:r>
      <w:r>
        <w:rPr>
          <w:spacing w:val="-2"/>
          <w:sz w:val="19"/>
        </w:rPr>
        <w:t> </w:t>
      </w:r>
      <w:r>
        <w:rPr>
          <w:spacing w:val="1"/>
          <w:w w:val="243"/>
          <w:sz w:val="19"/>
        </w:rPr>
        <w:t>l</w:t>
      </w:r>
      <w:r>
        <w:rPr>
          <w:spacing w:val="1"/>
          <w:w w:val="111"/>
          <w:sz w:val="19"/>
        </w:rPr>
        <w:t>atin</w:t>
      </w:r>
      <w:r>
        <w:rPr>
          <w:w w:val="111"/>
          <w:sz w:val="19"/>
        </w:rPr>
        <w:t>a</w:t>
      </w:r>
      <w:r>
        <w:rPr>
          <w:sz w:val="19"/>
        </w:rPr>
        <w:t> </w:t>
      </w:r>
      <w:r>
        <w:rPr>
          <w:spacing w:val="-2"/>
          <w:sz w:val="19"/>
        </w:rPr>
        <w:t> </w:t>
      </w:r>
      <w:r>
        <w:rPr>
          <w:w w:val="105"/>
          <w:sz w:val="19"/>
        </w:rPr>
        <w:t>y </w:t>
      </w:r>
      <w:r>
        <w:rPr>
          <w:w w:val="120"/>
          <w:sz w:val="19"/>
        </w:rPr>
        <w:t>el</w:t>
      </w:r>
      <w:r>
        <w:rPr>
          <w:spacing w:val="-24"/>
          <w:w w:val="120"/>
          <w:sz w:val="19"/>
        </w:rPr>
        <w:t> </w:t>
      </w:r>
      <w:r>
        <w:rPr>
          <w:w w:val="120"/>
          <w:sz w:val="19"/>
        </w:rPr>
        <w:t>Caribe</w:t>
      </w:r>
      <w:r>
        <w:rPr>
          <w:spacing w:val="-24"/>
          <w:w w:val="120"/>
          <w:sz w:val="19"/>
        </w:rPr>
        <w:t> </w:t>
      </w:r>
      <w:r>
        <w:rPr>
          <w:w w:val="120"/>
          <w:sz w:val="19"/>
        </w:rPr>
        <w:t>constituyó</w:t>
      </w:r>
      <w:r>
        <w:rPr>
          <w:spacing w:val="-24"/>
          <w:w w:val="120"/>
          <w:sz w:val="19"/>
        </w:rPr>
        <w:t> </w:t>
      </w:r>
      <w:r>
        <w:rPr>
          <w:w w:val="120"/>
          <w:sz w:val="19"/>
        </w:rPr>
        <w:t>el</w:t>
      </w:r>
      <w:r>
        <w:rPr>
          <w:spacing w:val="-24"/>
          <w:w w:val="120"/>
          <w:sz w:val="19"/>
        </w:rPr>
        <w:t> </w:t>
      </w:r>
      <w:r>
        <w:rPr>
          <w:w w:val="120"/>
          <w:sz w:val="19"/>
        </w:rPr>
        <w:t>destino</w:t>
      </w:r>
      <w:r>
        <w:rPr>
          <w:spacing w:val="-24"/>
          <w:w w:val="120"/>
          <w:sz w:val="19"/>
        </w:rPr>
        <w:t> </w:t>
      </w:r>
      <w:r>
        <w:rPr>
          <w:w w:val="120"/>
          <w:sz w:val="19"/>
        </w:rPr>
        <w:t>del</w:t>
      </w:r>
      <w:r>
        <w:rPr>
          <w:spacing w:val="-24"/>
          <w:w w:val="120"/>
          <w:sz w:val="19"/>
        </w:rPr>
        <w:t> </w:t>
      </w:r>
      <w:r>
        <w:rPr>
          <w:w w:val="120"/>
          <w:sz w:val="19"/>
        </w:rPr>
        <w:t>18%</w:t>
      </w:r>
      <w:r>
        <w:rPr>
          <w:spacing w:val="-24"/>
          <w:w w:val="120"/>
          <w:sz w:val="19"/>
        </w:rPr>
        <w:t> </w:t>
      </w:r>
      <w:r>
        <w:rPr>
          <w:w w:val="120"/>
          <w:sz w:val="19"/>
        </w:rPr>
        <w:t>de</w:t>
      </w:r>
      <w:r>
        <w:rPr>
          <w:spacing w:val="-24"/>
          <w:w w:val="120"/>
          <w:sz w:val="19"/>
        </w:rPr>
        <w:t> </w:t>
      </w:r>
      <w:r>
        <w:rPr>
          <w:w w:val="120"/>
          <w:sz w:val="19"/>
        </w:rPr>
        <w:t>las</w:t>
      </w:r>
      <w:r>
        <w:rPr>
          <w:spacing w:val="-24"/>
          <w:w w:val="120"/>
          <w:sz w:val="19"/>
        </w:rPr>
        <w:t> </w:t>
      </w:r>
      <w:r>
        <w:rPr>
          <w:w w:val="120"/>
          <w:sz w:val="19"/>
        </w:rPr>
        <w:t>exportaciones de</w:t>
      </w:r>
      <w:r>
        <w:rPr>
          <w:spacing w:val="-28"/>
          <w:w w:val="120"/>
          <w:sz w:val="19"/>
        </w:rPr>
        <w:t> </w:t>
      </w:r>
      <w:r>
        <w:rPr>
          <w:w w:val="120"/>
          <w:sz w:val="19"/>
        </w:rPr>
        <w:t>servicios</w:t>
      </w:r>
      <w:r>
        <w:rPr>
          <w:spacing w:val="-28"/>
          <w:w w:val="120"/>
          <w:sz w:val="19"/>
        </w:rPr>
        <w:t> </w:t>
      </w:r>
      <w:r>
        <w:rPr>
          <w:w w:val="120"/>
          <w:sz w:val="19"/>
        </w:rPr>
        <w:t>de</w:t>
      </w:r>
      <w:r>
        <w:rPr>
          <w:spacing w:val="-28"/>
          <w:w w:val="120"/>
          <w:sz w:val="19"/>
        </w:rPr>
        <w:t> </w:t>
      </w:r>
      <w:r>
        <w:rPr>
          <w:w w:val="120"/>
          <w:sz w:val="19"/>
        </w:rPr>
        <w:t>Estados</w:t>
      </w:r>
      <w:r>
        <w:rPr>
          <w:spacing w:val="-28"/>
          <w:w w:val="120"/>
          <w:sz w:val="19"/>
        </w:rPr>
        <w:t> </w:t>
      </w:r>
      <w:r>
        <w:rPr>
          <w:w w:val="120"/>
          <w:sz w:val="19"/>
        </w:rPr>
        <w:t>unidos</w:t>
      </w:r>
      <w:r>
        <w:rPr>
          <w:spacing w:val="-28"/>
          <w:w w:val="120"/>
          <w:sz w:val="19"/>
        </w:rPr>
        <w:t> </w:t>
      </w:r>
      <w:r>
        <w:rPr>
          <w:w w:val="120"/>
          <w:sz w:val="19"/>
        </w:rPr>
        <w:t>y</w:t>
      </w:r>
      <w:r>
        <w:rPr>
          <w:spacing w:val="-28"/>
          <w:w w:val="120"/>
          <w:sz w:val="19"/>
        </w:rPr>
        <w:t> </w:t>
      </w:r>
      <w:r>
        <w:rPr>
          <w:w w:val="120"/>
          <w:sz w:val="19"/>
        </w:rPr>
        <w:t>el</w:t>
      </w:r>
      <w:r>
        <w:rPr>
          <w:spacing w:val="-28"/>
          <w:w w:val="120"/>
          <w:sz w:val="19"/>
        </w:rPr>
        <w:t> </w:t>
      </w:r>
      <w:r>
        <w:rPr>
          <w:w w:val="120"/>
          <w:sz w:val="19"/>
        </w:rPr>
        <w:t>origen</w:t>
      </w:r>
      <w:r>
        <w:rPr>
          <w:spacing w:val="-28"/>
          <w:w w:val="120"/>
          <w:sz w:val="19"/>
        </w:rPr>
        <w:t> </w:t>
      </w:r>
      <w:r>
        <w:rPr>
          <w:w w:val="120"/>
          <w:sz w:val="19"/>
        </w:rPr>
        <w:t>del</w:t>
      </w:r>
      <w:r>
        <w:rPr>
          <w:spacing w:val="-28"/>
          <w:w w:val="120"/>
          <w:sz w:val="19"/>
        </w:rPr>
        <w:t> </w:t>
      </w:r>
      <w:r>
        <w:rPr>
          <w:w w:val="120"/>
          <w:sz w:val="19"/>
        </w:rPr>
        <w:t>20%</w:t>
      </w:r>
      <w:r>
        <w:rPr>
          <w:spacing w:val="-28"/>
          <w:w w:val="120"/>
          <w:sz w:val="19"/>
        </w:rPr>
        <w:t> </w:t>
      </w:r>
      <w:r>
        <w:rPr>
          <w:w w:val="120"/>
          <w:sz w:val="19"/>
        </w:rPr>
        <w:t>de</w:t>
      </w:r>
      <w:r>
        <w:rPr>
          <w:spacing w:val="-28"/>
          <w:w w:val="120"/>
          <w:sz w:val="19"/>
        </w:rPr>
        <w:t> </w:t>
      </w:r>
      <w:r>
        <w:rPr>
          <w:w w:val="120"/>
          <w:sz w:val="19"/>
        </w:rPr>
        <w:t>sus</w:t>
      </w:r>
      <w:r>
        <w:rPr>
          <w:spacing w:val="-28"/>
          <w:w w:val="120"/>
          <w:sz w:val="19"/>
        </w:rPr>
        <w:t> </w:t>
      </w:r>
      <w:r>
        <w:rPr>
          <w:w w:val="120"/>
          <w:sz w:val="19"/>
        </w:rPr>
        <w:t>im- </w:t>
      </w:r>
      <w:r>
        <w:rPr>
          <w:w w:val="115"/>
          <w:sz w:val="19"/>
        </w:rPr>
        <w:t>portaciones (CEPal,</w:t>
      </w:r>
      <w:r>
        <w:rPr>
          <w:spacing w:val="28"/>
          <w:w w:val="115"/>
          <w:sz w:val="19"/>
        </w:rPr>
        <w:t> </w:t>
      </w:r>
      <w:r>
        <w:rPr>
          <w:w w:val="115"/>
          <w:sz w:val="19"/>
        </w:rPr>
        <w:t>2011).</w:t>
      </w:r>
    </w:p>
    <w:p>
      <w:pPr>
        <w:pStyle w:val="ListParagraph"/>
        <w:numPr>
          <w:ilvl w:val="2"/>
          <w:numId w:val="35"/>
        </w:numPr>
        <w:tabs>
          <w:tab w:pos="955" w:val="left" w:leader="none"/>
        </w:tabs>
        <w:spacing w:line="247" w:lineRule="auto" w:before="42" w:after="0"/>
        <w:ind w:left="954" w:right="117" w:hanging="227"/>
        <w:jc w:val="both"/>
        <w:rPr>
          <w:sz w:val="19"/>
        </w:rPr>
      </w:pPr>
      <w:r>
        <w:rPr>
          <w:w w:val="110"/>
          <w:sz w:val="19"/>
        </w:rPr>
        <w:t>Entre las regiones subdesarrolladas, la región es el segundo</w:t>
      </w:r>
      <w:r>
        <w:rPr>
          <w:spacing w:val="-11"/>
          <w:w w:val="110"/>
          <w:sz w:val="19"/>
        </w:rPr>
        <w:t> </w:t>
      </w:r>
      <w:r>
        <w:rPr>
          <w:w w:val="110"/>
          <w:sz w:val="19"/>
        </w:rPr>
        <w:t>so- cio en importancia para Estados unidos en cuanto al comercio </w:t>
      </w:r>
      <w:r>
        <w:rPr>
          <w:w w:val="107"/>
          <w:sz w:val="19"/>
        </w:rPr>
        <w:t>de</w:t>
      </w:r>
      <w:r>
        <w:rPr>
          <w:sz w:val="19"/>
        </w:rPr>
        <w:t> </w:t>
      </w:r>
      <w:r>
        <w:rPr>
          <w:spacing w:val="-8"/>
          <w:sz w:val="19"/>
        </w:rPr>
        <w:t> </w:t>
      </w:r>
      <w:r>
        <w:rPr>
          <w:w w:val="109"/>
          <w:sz w:val="19"/>
        </w:rPr>
        <w:t>servicios,</w:t>
      </w:r>
      <w:r>
        <w:rPr>
          <w:sz w:val="19"/>
        </w:rPr>
        <w:t> </w:t>
      </w:r>
      <w:r>
        <w:rPr>
          <w:spacing w:val="-8"/>
          <w:sz w:val="19"/>
        </w:rPr>
        <w:t> </w:t>
      </w:r>
      <w:r>
        <w:rPr>
          <w:w w:val="107"/>
          <w:sz w:val="19"/>
        </w:rPr>
        <w:t>detrás</w:t>
      </w:r>
      <w:r>
        <w:rPr>
          <w:sz w:val="19"/>
        </w:rPr>
        <w:t> </w:t>
      </w:r>
      <w:r>
        <w:rPr>
          <w:spacing w:val="-8"/>
          <w:sz w:val="19"/>
        </w:rPr>
        <w:t> </w:t>
      </w:r>
      <w:r>
        <w:rPr>
          <w:w w:val="107"/>
          <w:sz w:val="19"/>
        </w:rPr>
        <w:t>de</w:t>
      </w:r>
      <w:r>
        <w:rPr>
          <w:sz w:val="19"/>
        </w:rPr>
        <w:t> </w:t>
      </w:r>
      <w:r>
        <w:rPr>
          <w:spacing w:val="-8"/>
          <w:sz w:val="19"/>
        </w:rPr>
        <w:t> </w:t>
      </w:r>
      <w:r>
        <w:rPr>
          <w:w w:val="139"/>
          <w:sz w:val="19"/>
        </w:rPr>
        <w:t>a</w:t>
      </w:r>
      <w:r>
        <w:rPr>
          <w:w w:val="112"/>
          <w:sz w:val="19"/>
        </w:rPr>
        <w:t>sia-Pacífico.</w:t>
      </w:r>
      <w:r>
        <w:rPr>
          <w:sz w:val="19"/>
        </w:rPr>
        <w:t> </w:t>
      </w:r>
      <w:r>
        <w:rPr>
          <w:spacing w:val="-8"/>
          <w:sz w:val="19"/>
        </w:rPr>
        <w:t> </w:t>
      </w:r>
      <w:r>
        <w:rPr>
          <w:w w:val="243"/>
          <w:sz w:val="19"/>
        </w:rPr>
        <w:t>l</w:t>
      </w:r>
      <w:r>
        <w:rPr>
          <w:w w:val="108"/>
          <w:sz w:val="19"/>
        </w:rPr>
        <w:t>os</w:t>
      </w:r>
      <w:r>
        <w:rPr>
          <w:sz w:val="19"/>
        </w:rPr>
        <w:t> </w:t>
      </w:r>
      <w:r>
        <w:rPr>
          <w:spacing w:val="-8"/>
          <w:sz w:val="19"/>
        </w:rPr>
        <w:t> </w:t>
      </w:r>
      <w:r>
        <w:rPr>
          <w:w w:val="110"/>
          <w:sz w:val="19"/>
        </w:rPr>
        <w:t>principales</w:t>
      </w:r>
      <w:r>
        <w:rPr>
          <w:sz w:val="19"/>
        </w:rPr>
        <w:t> </w:t>
      </w:r>
      <w:r>
        <w:rPr>
          <w:spacing w:val="-8"/>
          <w:sz w:val="19"/>
        </w:rPr>
        <w:t> </w:t>
      </w:r>
      <w:r>
        <w:rPr>
          <w:w w:val="108"/>
          <w:sz w:val="19"/>
        </w:rPr>
        <w:t>destinos </w:t>
      </w:r>
      <w:r>
        <w:rPr>
          <w:w w:val="110"/>
          <w:sz w:val="19"/>
        </w:rPr>
        <w:t>en</w:t>
      </w:r>
      <w:r>
        <w:rPr>
          <w:spacing w:val="20"/>
          <w:w w:val="110"/>
          <w:sz w:val="19"/>
        </w:rPr>
        <w:t> </w:t>
      </w:r>
      <w:r>
        <w:rPr>
          <w:w w:val="110"/>
          <w:sz w:val="19"/>
        </w:rPr>
        <w:t>la</w:t>
      </w:r>
      <w:r>
        <w:rPr>
          <w:spacing w:val="20"/>
          <w:w w:val="110"/>
          <w:sz w:val="19"/>
        </w:rPr>
        <w:t> </w:t>
      </w:r>
      <w:r>
        <w:rPr>
          <w:w w:val="110"/>
          <w:sz w:val="19"/>
        </w:rPr>
        <w:t>región</w:t>
      </w:r>
      <w:r>
        <w:rPr>
          <w:spacing w:val="20"/>
          <w:w w:val="110"/>
          <w:sz w:val="19"/>
        </w:rPr>
        <w:t> </w:t>
      </w:r>
      <w:r>
        <w:rPr>
          <w:w w:val="110"/>
          <w:sz w:val="19"/>
        </w:rPr>
        <w:t>son</w:t>
      </w:r>
      <w:r>
        <w:rPr>
          <w:spacing w:val="20"/>
          <w:w w:val="110"/>
          <w:sz w:val="19"/>
        </w:rPr>
        <w:t> </w:t>
      </w:r>
      <w:r>
        <w:rPr>
          <w:w w:val="110"/>
          <w:sz w:val="19"/>
        </w:rPr>
        <w:t>México,</w:t>
      </w:r>
      <w:r>
        <w:rPr>
          <w:spacing w:val="20"/>
          <w:w w:val="110"/>
          <w:sz w:val="19"/>
        </w:rPr>
        <w:t> </w:t>
      </w:r>
      <w:r>
        <w:rPr>
          <w:w w:val="110"/>
          <w:sz w:val="19"/>
        </w:rPr>
        <w:t>brasil,</w:t>
      </w:r>
      <w:r>
        <w:rPr>
          <w:spacing w:val="20"/>
          <w:w w:val="110"/>
          <w:sz w:val="19"/>
        </w:rPr>
        <w:t> </w:t>
      </w:r>
      <w:r>
        <w:rPr>
          <w:w w:val="110"/>
          <w:sz w:val="19"/>
        </w:rPr>
        <w:t>Venezuela,</w:t>
      </w:r>
      <w:r>
        <w:rPr>
          <w:spacing w:val="20"/>
          <w:w w:val="110"/>
          <w:sz w:val="19"/>
        </w:rPr>
        <w:t> </w:t>
      </w:r>
      <w:r>
        <w:rPr>
          <w:w w:val="110"/>
          <w:sz w:val="19"/>
        </w:rPr>
        <w:t>argentina</w:t>
      </w:r>
      <w:r>
        <w:rPr>
          <w:spacing w:val="20"/>
          <w:w w:val="110"/>
          <w:sz w:val="19"/>
        </w:rPr>
        <w:t> </w:t>
      </w:r>
      <w:r>
        <w:rPr>
          <w:w w:val="110"/>
          <w:sz w:val="19"/>
        </w:rPr>
        <w:t>y</w:t>
      </w:r>
      <w:r>
        <w:rPr>
          <w:spacing w:val="20"/>
          <w:w w:val="110"/>
          <w:sz w:val="19"/>
        </w:rPr>
        <w:t> </w:t>
      </w:r>
      <w:r>
        <w:rPr>
          <w:w w:val="110"/>
          <w:sz w:val="19"/>
        </w:rPr>
        <w:t>Chile.</w:t>
      </w:r>
    </w:p>
    <w:p>
      <w:pPr>
        <w:pStyle w:val="BodyText"/>
        <w:spacing w:before="7"/>
        <w:rPr>
          <w:sz w:val="18"/>
        </w:rPr>
      </w:pPr>
    </w:p>
    <w:p>
      <w:pPr>
        <w:pStyle w:val="BodyText"/>
        <w:spacing w:line="252" w:lineRule="auto"/>
        <w:ind w:left="330" w:right="117"/>
        <w:jc w:val="both"/>
      </w:pPr>
      <w:r>
        <w:rPr>
          <w:i/>
          <w:w w:val="110"/>
        </w:rPr>
        <w:t>Rasgo</w:t>
      </w:r>
      <w:r>
        <w:rPr>
          <w:i/>
          <w:spacing w:val="16"/>
        </w:rPr>
        <w:t> </w:t>
      </w:r>
      <w:r>
        <w:rPr>
          <w:i/>
          <w:w w:val="107"/>
        </w:rPr>
        <w:t>5</w:t>
      </w:r>
      <w:r>
        <w:rPr>
          <w:w w:val="107"/>
        </w:rPr>
        <w:t>:</w:t>
      </w:r>
      <w:r>
        <w:rPr>
          <w:spacing w:val="16"/>
        </w:rPr>
        <w:t> </w:t>
      </w:r>
      <w:r>
        <w:rPr>
          <w:w w:val="139"/>
        </w:rPr>
        <w:t>a</w:t>
      </w:r>
      <w:r>
        <w:rPr>
          <w:w w:val="110"/>
        </w:rPr>
        <w:t>unque</w:t>
      </w:r>
      <w:r>
        <w:rPr>
          <w:spacing w:val="16"/>
        </w:rPr>
        <w:t> </w:t>
      </w:r>
      <w:r>
        <w:rPr>
          <w:w w:val="107"/>
        </w:rPr>
        <w:t>el</w:t>
      </w:r>
      <w:r>
        <w:rPr>
          <w:spacing w:val="16"/>
        </w:rPr>
        <w:t> </w:t>
      </w:r>
      <w:r>
        <w:rPr>
          <w:w w:val="111"/>
        </w:rPr>
        <w:t>comercio</w:t>
      </w:r>
      <w:r>
        <w:rPr>
          <w:spacing w:val="16"/>
        </w:rPr>
        <w:t> </w:t>
      </w:r>
      <w:r>
        <w:rPr>
          <w:w w:val="107"/>
        </w:rPr>
        <w:t>de</w:t>
      </w:r>
      <w:r>
        <w:rPr>
          <w:spacing w:val="16"/>
        </w:rPr>
        <w:t> </w:t>
      </w:r>
      <w:r>
        <w:rPr>
          <w:w w:val="108"/>
        </w:rPr>
        <w:t>bienes</w:t>
      </w:r>
      <w:r>
        <w:rPr>
          <w:spacing w:val="16"/>
        </w:rPr>
        <w:t> </w:t>
      </w:r>
      <w:r>
        <w:rPr>
          <w:w w:val="105"/>
        </w:rPr>
        <w:t>y</w:t>
      </w:r>
      <w:r>
        <w:rPr>
          <w:spacing w:val="16"/>
        </w:rPr>
        <w:t> </w:t>
      </w:r>
      <w:r>
        <w:rPr>
          <w:w w:val="108"/>
        </w:rPr>
        <w:t>servicios</w:t>
      </w:r>
      <w:r>
        <w:rPr>
          <w:spacing w:val="16"/>
        </w:rPr>
        <w:t> </w:t>
      </w:r>
      <w:r>
        <w:rPr>
          <w:w w:val="107"/>
        </w:rPr>
        <w:t>de</w:t>
      </w:r>
      <w:r>
        <w:rPr>
          <w:spacing w:val="16"/>
        </w:rPr>
        <w:t> </w:t>
      </w:r>
      <w:r>
        <w:rPr>
          <w:w w:val="139"/>
        </w:rPr>
        <w:t>a</w:t>
      </w:r>
      <w:r>
        <w:rPr>
          <w:w w:val="111"/>
        </w:rPr>
        <w:t>mérica</w:t>
      </w:r>
      <w:r>
        <w:rPr>
          <w:spacing w:val="16"/>
        </w:rPr>
        <w:t> </w:t>
      </w:r>
      <w:r>
        <w:rPr>
          <w:w w:val="243"/>
        </w:rPr>
        <w:t>l</w:t>
      </w:r>
      <w:r>
        <w:rPr>
          <w:w w:val="111"/>
        </w:rPr>
        <w:t>atina </w:t>
      </w:r>
      <w:r>
        <w:rPr>
          <w:w w:val="110"/>
        </w:rPr>
        <w:t>y el Caribe con Estados unidos ha sido tradicionalmente deficitario, especialmente con México, a partir de 2009 se han comenzado a</w:t>
      </w:r>
      <w:r>
        <w:rPr>
          <w:spacing w:val="-17"/>
          <w:w w:val="110"/>
        </w:rPr>
        <w:t> </w:t>
      </w:r>
      <w:r>
        <w:rPr>
          <w:w w:val="110"/>
        </w:rPr>
        <w:t>regis- trar cifras de superávit comercial con  </w:t>
      </w:r>
      <w:r>
        <w:rPr>
          <w:spacing w:val="7"/>
          <w:w w:val="110"/>
        </w:rPr>
        <w:t> </w:t>
      </w:r>
      <w:r>
        <w:rPr>
          <w:w w:val="110"/>
        </w:rPr>
        <w:t>sudamérica.</w:t>
      </w:r>
    </w:p>
    <w:p>
      <w:pPr>
        <w:pStyle w:val="BodyText"/>
        <w:spacing w:before="2"/>
        <w:rPr>
          <w:sz w:val="14"/>
        </w:rPr>
      </w:pPr>
    </w:p>
    <w:p>
      <w:pPr>
        <w:pStyle w:val="ListParagraph"/>
        <w:numPr>
          <w:ilvl w:val="2"/>
          <w:numId w:val="35"/>
        </w:numPr>
        <w:tabs>
          <w:tab w:pos="955" w:val="left" w:leader="none"/>
        </w:tabs>
        <w:spacing w:line="249" w:lineRule="auto" w:before="0" w:after="0"/>
        <w:ind w:left="954" w:right="117" w:hanging="227"/>
        <w:jc w:val="both"/>
        <w:rPr>
          <w:sz w:val="19"/>
        </w:rPr>
      </w:pPr>
      <w:r>
        <w:rPr>
          <w:w w:val="110"/>
          <w:sz w:val="19"/>
        </w:rPr>
        <w:t>aunque este superávit comercial con Estados unidos aparece para toda la región, las diferencias país a país son sustanciales. Este “surplus” responde básicamente al comportamiento bi- lateral del comercio estadounidense con países como brasil y argentina, manteniéndose deficitario en el caso mexicano y en países de Centroamérica y el </w:t>
      </w:r>
      <w:r>
        <w:rPr>
          <w:spacing w:val="9"/>
          <w:w w:val="110"/>
          <w:sz w:val="19"/>
        </w:rPr>
        <w:t> </w:t>
      </w:r>
      <w:r>
        <w:rPr>
          <w:w w:val="110"/>
          <w:sz w:val="19"/>
        </w:rPr>
        <w:t>Caribe.</w:t>
      </w:r>
    </w:p>
    <w:p>
      <w:pPr>
        <w:pStyle w:val="ListParagraph"/>
        <w:numPr>
          <w:ilvl w:val="2"/>
          <w:numId w:val="35"/>
        </w:numPr>
        <w:tabs>
          <w:tab w:pos="955" w:val="left" w:leader="none"/>
        </w:tabs>
        <w:spacing w:line="249" w:lineRule="auto" w:before="40" w:after="0"/>
        <w:ind w:left="954" w:right="118" w:hanging="227"/>
        <w:jc w:val="both"/>
        <w:rPr>
          <w:sz w:val="19"/>
        </w:rPr>
      </w:pPr>
      <w:r>
        <w:rPr>
          <w:w w:val="243"/>
          <w:sz w:val="19"/>
        </w:rPr>
        <w:t>l</w:t>
      </w:r>
      <w:r>
        <w:rPr>
          <w:w w:val="109"/>
          <w:sz w:val="19"/>
        </w:rPr>
        <w:t>as</w:t>
      </w:r>
      <w:r>
        <w:rPr>
          <w:spacing w:val="16"/>
          <w:sz w:val="19"/>
        </w:rPr>
        <w:t> </w:t>
      </w:r>
      <w:r>
        <w:rPr>
          <w:w w:val="109"/>
          <w:sz w:val="19"/>
        </w:rPr>
        <w:t>exportaciones</w:t>
      </w:r>
      <w:r>
        <w:rPr>
          <w:spacing w:val="16"/>
          <w:sz w:val="19"/>
        </w:rPr>
        <w:t> </w:t>
      </w:r>
      <w:r>
        <w:rPr>
          <w:w w:val="112"/>
          <w:sz w:val="19"/>
        </w:rPr>
        <w:t>a</w:t>
      </w:r>
      <w:r>
        <w:rPr>
          <w:spacing w:val="16"/>
          <w:sz w:val="19"/>
        </w:rPr>
        <w:t> </w:t>
      </w:r>
      <w:r>
        <w:rPr>
          <w:w w:val="111"/>
          <w:sz w:val="19"/>
        </w:rPr>
        <w:t>Estados</w:t>
      </w:r>
      <w:r>
        <w:rPr>
          <w:spacing w:val="16"/>
          <w:sz w:val="19"/>
        </w:rPr>
        <w:t> </w:t>
      </w:r>
      <w:r>
        <w:rPr>
          <w:w w:val="140"/>
          <w:sz w:val="19"/>
        </w:rPr>
        <w:t>u</w:t>
      </w:r>
      <w:r>
        <w:rPr>
          <w:w w:val="110"/>
          <w:sz w:val="19"/>
        </w:rPr>
        <w:t>nidos</w:t>
      </w:r>
      <w:r>
        <w:rPr>
          <w:spacing w:val="16"/>
          <w:sz w:val="19"/>
        </w:rPr>
        <w:t> </w:t>
      </w:r>
      <w:r>
        <w:rPr>
          <w:w w:val="107"/>
          <w:sz w:val="19"/>
        </w:rPr>
        <w:t>representan</w:t>
      </w:r>
      <w:r>
        <w:rPr>
          <w:spacing w:val="16"/>
          <w:sz w:val="19"/>
        </w:rPr>
        <w:t> </w:t>
      </w:r>
      <w:r>
        <w:rPr>
          <w:w w:val="112"/>
          <w:sz w:val="19"/>
        </w:rPr>
        <w:t>un</w:t>
      </w:r>
      <w:r>
        <w:rPr>
          <w:spacing w:val="16"/>
          <w:sz w:val="19"/>
        </w:rPr>
        <w:t> </w:t>
      </w:r>
      <w:r>
        <w:rPr>
          <w:w w:val="105"/>
          <w:sz w:val="19"/>
        </w:rPr>
        <w:t>27.1%</w:t>
      </w:r>
      <w:r>
        <w:rPr>
          <w:spacing w:val="16"/>
          <w:sz w:val="19"/>
        </w:rPr>
        <w:t> </w:t>
      </w:r>
      <w:r>
        <w:rPr>
          <w:w w:val="107"/>
          <w:sz w:val="19"/>
        </w:rPr>
        <w:t>del </w:t>
      </w:r>
      <w:r>
        <w:rPr>
          <w:w w:val="110"/>
          <w:sz w:val="19"/>
        </w:rPr>
        <w:t>Pib de México, 13.2% para el Caribe, 8.6% para Centroamé- rica, 5.1% para Chile, 3.9% para los andinos, y apenas un 1.2% para los países del </w:t>
      </w:r>
      <w:r>
        <w:rPr>
          <w:w w:val="125"/>
          <w:sz w:val="19"/>
        </w:rPr>
        <w:t>MErCosur. </w:t>
      </w:r>
      <w:r>
        <w:rPr>
          <w:w w:val="110"/>
          <w:sz w:val="19"/>
        </w:rPr>
        <w:t>Para toda la región este indi- cador registra un 7.9% </w:t>
      </w:r>
      <w:r>
        <w:rPr>
          <w:spacing w:val="-3"/>
          <w:w w:val="125"/>
          <w:sz w:val="19"/>
        </w:rPr>
        <w:t>(CEPal, </w:t>
      </w:r>
      <w:r>
        <w:rPr>
          <w:w w:val="110"/>
          <w:sz w:val="19"/>
        </w:rPr>
        <w:t>2011:</w:t>
      </w:r>
      <w:r>
        <w:rPr>
          <w:spacing w:val="32"/>
          <w:w w:val="110"/>
          <w:sz w:val="19"/>
        </w:rPr>
        <w:t> </w:t>
      </w:r>
      <w:r>
        <w:rPr>
          <w:w w:val="110"/>
          <w:sz w:val="19"/>
        </w:rPr>
        <w:t>14).</w:t>
      </w:r>
    </w:p>
    <w:p>
      <w:pPr>
        <w:pStyle w:val="BodyText"/>
        <w:spacing w:before="5"/>
        <w:rPr>
          <w:sz w:val="18"/>
        </w:rPr>
      </w:pPr>
    </w:p>
    <w:p>
      <w:pPr>
        <w:pStyle w:val="BodyText"/>
        <w:spacing w:line="252" w:lineRule="auto"/>
        <w:ind w:left="330" w:right="117"/>
        <w:jc w:val="both"/>
      </w:pPr>
      <w:r>
        <w:rPr>
          <w:i/>
          <w:w w:val="110"/>
        </w:rPr>
        <w:t>Rasgo</w:t>
      </w:r>
      <w:r>
        <w:rPr>
          <w:i/>
        </w:rPr>
        <w:t> </w:t>
      </w:r>
      <w:r>
        <w:rPr>
          <w:i/>
          <w:w w:val="107"/>
        </w:rPr>
        <w:t>6</w:t>
      </w:r>
      <w:r>
        <w:rPr>
          <w:w w:val="107"/>
        </w:rPr>
        <w:t>:</w:t>
      </w:r>
      <w:r>
        <w:rPr/>
        <w:t> </w:t>
      </w:r>
      <w:r>
        <w:rPr>
          <w:w w:val="243"/>
        </w:rPr>
        <w:t>l</w:t>
      </w:r>
      <w:r>
        <w:rPr>
          <w:w w:val="112"/>
        </w:rPr>
        <w:t>a</w:t>
      </w:r>
      <w:r>
        <w:rPr/>
        <w:t> </w:t>
      </w:r>
      <w:r>
        <w:rPr>
          <w:w w:val="110"/>
        </w:rPr>
        <w:t>proporción</w:t>
      </w:r>
      <w:r>
        <w:rPr/>
        <w:t> </w:t>
      </w:r>
      <w:r>
        <w:rPr>
          <w:w w:val="107"/>
        </w:rPr>
        <w:t>de</w:t>
      </w:r>
      <w:r>
        <w:rPr/>
        <w:t> </w:t>
      </w:r>
      <w:r>
        <w:rPr>
          <w:w w:val="111"/>
        </w:rPr>
        <w:t>manufacturas</w:t>
      </w:r>
      <w:r>
        <w:rPr/>
        <w:t> </w:t>
      </w:r>
      <w:r>
        <w:rPr>
          <w:w w:val="108"/>
        </w:rPr>
        <w:t>en</w:t>
      </w:r>
      <w:r>
        <w:rPr/>
        <w:t> </w:t>
      </w:r>
      <w:r>
        <w:rPr>
          <w:w w:val="109"/>
        </w:rPr>
        <w:t>las</w:t>
      </w:r>
      <w:r>
        <w:rPr/>
        <w:t> </w:t>
      </w:r>
      <w:r>
        <w:rPr>
          <w:w w:val="109"/>
        </w:rPr>
        <w:t>exportaciones</w:t>
      </w:r>
      <w:r>
        <w:rPr/>
        <w:t> </w:t>
      </w:r>
      <w:r>
        <w:rPr>
          <w:w w:val="107"/>
        </w:rPr>
        <w:t>de</w:t>
      </w:r>
      <w:r>
        <w:rPr/>
        <w:t> </w:t>
      </w:r>
      <w:r>
        <w:rPr>
          <w:w w:val="139"/>
        </w:rPr>
        <w:t>a</w:t>
      </w:r>
      <w:r>
        <w:rPr>
          <w:w w:val="110"/>
        </w:rPr>
        <w:t>mé</w:t>
      </w:r>
      <w:r>
        <w:rPr>
          <w:w w:val="102"/>
        </w:rPr>
        <w:t>- </w:t>
      </w:r>
      <w:r>
        <w:rPr>
          <w:w w:val="112"/>
        </w:rPr>
        <w:t>rica</w:t>
      </w:r>
      <w:r>
        <w:rPr/>
        <w:t> </w:t>
      </w:r>
      <w:r>
        <w:rPr>
          <w:w w:val="243"/>
        </w:rPr>
        <w:t>l</w:t>
      </w:r>
      <w:r>
        <w:rPr>
          <w:w w:val="111"/>
        </w:rPr>
        <w:t>atina</w:t>
      </w:r>
      <w:r>
        <w:rPr/>
        <w:t> </w:t>
      </w:r>
      <w:r>
        <w:rPr>
          <w:w w:val="105"/>
        </w:rPr>
        <w:t>y</w:t>
      </w:r>
      <w:r>
        <w:rPr/>
        <w:t> </w:t>
      </w:r>
      <w:r>
        <w:rPr>
          <w:w w:val="107"/>
        </w:rPr>
        <w:t>el</w:t>
      </w:r>
      <w:r>
        <w:rPr/>
        <w:t> </w:t>
      </w:r>
      <w:r>
        <w:rPr>
          <w:w w:val="112"/>
        </w:rPr>
        <w:t>Caribe</w:t>
      </w:r>
      <w:r>
        <w:rPr/>
        <w:t> </w:t>
      </w:r>
      <w:r>
        <w:rPr>
          <w:w w:val="113"/>
        </w:rPr>
        <w:t>hacia</w:t>
      </w:r>
      <w:r>
        <w:rPr/>
        <w:t> </w:t>
      </w:r>
      <w:r>
        <w:rPr>
          <w:w w:val="111"/>
        </w:rPr>
        <w:t>Estados</w:t>
      </w:r>
      <w:r>
        <w:rPr/>
        <w:t> </w:t>
      </w:r>
      <w:r>
        <w:rPr>
          <w:w w:val="140"/>
        </w:rPr>
        <w:t>u</w:t>
      </w:r>
      <w:r>
        <w:rPr>
          <w:w w:val="110"/>
        </w:rPr>
        <w:t>nidos</w:t>
      </w:r>
      <w:r>
        <w:rPr/>
        <w:t> </w:t>
      </w:r>
      <w:r>
        <w:rPr>
          <w:w w:val="105"/>
        </w:rPr>
        <w:t>es</w:t>
      </w:r>
      <w:r>
        <w:rPr/>
        <w:t> </w:t>
      </w:r>
      <w:r>
        <w:rPr>
          <w:w w:val="109"/>
        </w:rPr>
        <w:t>mayor</w:t>
      </w:r>
      <w:r>
        <w:rPr/>
        <w:t> </w:t>
      </w:r>
      <w:r>
        <w:rPr>
          <w:w w:val="108"/>
        </w:rPr>
        <w:t>que</w:t>
      </w:r>
      <w:r>
        <w:rPr/>
        <w:t> </w:t>
      </w:r>
      <w:r>
        <w:rPr>
          <w:w w:val="108"/>
        </w:rPr>
        <w:t>en</w:t>
      </w:r>
      <w:r>
        <w:rPr/>
        <w:t> </w:t>
      </w:r>
      <w:r>
        <w:rPr>
          <w:w w:val="109"/>
        </w:rPr>
        <w:t>las</w:t>
      </w:r>
      <w:r>
        <w:rPr/>
        <w:t> </w:t>
      </w:r>
      <w:r>
        <w:rPr>
          <w:w w:val="107"/>
        </w:rPr>
        <w:t>ex</w:t>
      </w:r>
      <w:r>
        <w:rPr>
          <w:w w:val="102"/>
        </w:rPr>
        <w:t>- </w:t>
      </w:r>
      <w:r>
        <w:rPr>
          <w:w w:val="110"/>
        </w:rPr>
        <w:t>portaciones de la región a otros destinos como la unión Europea y China (especialmente Centroamérica y México, mientras que en los andinos la proporción de las exportaciones a Estados unidos es ma- yor en los productos básicos) </w:t>
      </w:r>
      <w:r>
        <w:rPr>
          <w:w w:val="120"/>
        </w:rPr>
        <w:t>(CEPal, </w:t>
      </w:r>
      <w:r>
        <w:rPr>
          <w:w w:val="110"/>
        </w:rPr>
        <w:t>2011). sin embargo, estas ci- fras que aparecen bajo la rúbrica de “manufacturas” a menudo encu- bren la situación de las maquiladoras y no el desarrollo del potencial industrial de la región.</w:t>
      </w:r>
    </w:p>
    <w:p>
      <w:pPr>
        <w:pStyle w:val="BodyText"/>
        <w:spacing w:line="252" w:lineRule="auto"/>
        <w:ind w:left="330" w:right="117" w:firstLine="396"/>
        <w:jc w:val="both"/>
      </w:pPr>
      <w:r>
        <w:rPr>
          <w:w w:val="110"/>
        </w:rPr>
        <w:t>En síntesis, desde el punto de vista comercial se ha disminuido   la importancia relativa del comercio de Estados unidos en las rela- </w:t>
      </w:r>
      <w:r>
        <w:rPr>
          <w:w w:val="110"/>
        </w:rPr>
        <w:t>ciones</w:t>
      </w:r>
      <w:r>
        <w:rPr/>
        <w:t> </w:t>
      </w:r>
      <w:r>
        <w:rPr>
          <w:spacing w:val="-14"/>
        </w:rPr>
        <w:t> </w:t>
      </w:r>
      <w:r>
        <w:rPr>
          <w:w w:val="111"/>
        </w:rPr>
        <w:t>económicas</w:t>
      </w:r>
      <w:r>
        <w:rPr/>
        <w:t> </w:t>
      </w:r>
      <w:r>
        <w:rPr>
          <w:spacing w:val="-14"/>
        </w:rPr>
        <w:t> </w:t>
      </w:r>
      <w:r>
        <w:rPr>
          <w:w w:val="107"/>
        </w:rPr>
        <w:t>de</w:t>
      </w:r>
      <w:r>
        <w:rPr/>
        <w:t> </w:t>
      </w:r>
      <w:r>
        <w:rPr>
          <w:spacing w:val="-14"/>
        </w:rPr>
        <w:t> </w:t>
      </w:r>
      <w:r>
        <w:rPr>
          <w:w w:val="139"/>
        </w:rPr>
        <w:t>a</w:t>
      </w:r>
      <w:r>
        <w:rPr>
          <w:w w:val="111"/>
        </w:rPr>
        <w:t>mérica</w:t>
      </w:r>
      <w:r>
        <w:rPr/>
        <w:t> </w:t>
      </w:r>
      <w:r>
        <w:rPr>
          <w:spacing w:val="-14"/>
        </w:rPr>
        <w:t> </w:t>
      </w:r>
      <w:r>
        <w:rPr>
          <w:w w:val="243"/>
        </w:rPr>
        <w:t>l</w:t>
      </w:r>
      <w:r>
        <w:rPr>
          <w:w w:val="111"/>
        </w:rPr>
        <w:t>atina</w:t>
      </w:r>
      <w:r>
        <w:rPr/>
        <w:t> </w:t>
      </w:r>
      <w:r>
        <w:rPr>
          <w:spacing w:val="-14"/>
        </w:rPr>
        <w:t> </w:t>
      </w:r>
      <w:r>
        <w:rPr>
          <w:w w:val="105"/>
        </w:rPr>
        <w:t>y</w:t>
      </w:r>
      <w:r>
        <w:rPr/>
        <w:t> </w:t>
      </w:r>
      <w:r>
        <w:rPr>
          <w:spacing w:val="-14"/>
        </w:rPr>
        <w:t> </w:t>
      </w:r>
      <w:r>
        <w:rPr>
          <w:w w:val="107"/>
        </w:rPr>
        <w:t>el</w:t>
      </w:r>
      <w:r>
        <w:rPr/>
        <w:t> </w:t>
      </w:r>
      <w:r>
        <w:rPr>
          <w:spacing w:val="-14"/>
        </w:rPr>
        <w:t> </w:t>
      </w:r>
      <w:r>
        <w:rPr>
          <w:w w:val="114"/>
        </w:rPr>
        <w:t>Caribe.</w:t>
      </w:r>
      <w:r>
        <w:rPr/>
        <w:t> </w:t>
      </w:r>
      <w:r>
        <w:rPr>
          <w:spacing w:val="-14"/>
        </w:rPr>
        <w:t> </w:t>
      </w:r>
      <w:r>
        <w:rPr>
          <w:w w:val="114"/>
        </w:rPr>
        <w:t>Esta</w:t>
      </w:r>
      <w:r>
        <w:rPr/>
        <w:t> </w:t>
      </w:r>
      <w:r>
        <w:rPr>
          <w:spacing w:val="-14"/>
        </w:rPr>
        <w:t> </w:t>
      </w:r>
      <w:r>
        <w:rPr>
          <w:w w:val="112"/>
        </w:rPr>
        <w:t>disminución </w:t>
      </w:r>
      <w:r>
        <w:rPr>
          <w:w w:val="110"/>
        </w:rPr>
        <w:t>en la participación comercial de este país en el intercambio total de   la región, se corresponde no tanto con una estrategia deliberada de </w:t>
      </w:r>
      <w:r>
        <w:rPr>
          <w:spacing w:val="8"/>
          <w:w w:val="110"/>
        </w:rPr>
        <w:t> </w:t>
      </w:r>
      <w:r>
        <w:rPr>
          <w:w w:val="110"/>
        </w:rPr>
        <w:t>la</w:t>
      </w:r>
    </w:p>
    <w:p>
      <w:pPr>
        <w:spacing w:after="0" w:line="252" w:lineRule="auto"/>
        <w:jc w:val="both"/>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328"/>
        <w:jc w:val="both"/>
      </w:pPr>
      <w:r>
        <w:rPr>
          <w:w w:val="110"/>
        </w:rPr>
        <w:t>región de diversificación de sus socios comerciales, sino a tendencias propias de la economía estadounidense y global, asociado a una pér- dida de peso relativo de esta economía en el plano comercial a nivel internacional. Estados unidos ha disminuido su participación en el comercio mundial de bienes, pasando a ocupar el tercer lugar a nivel mundial, después de China y   alemania.</w:t>
      </w:r>
    </w:p>
    <w:p>
      <w:pPr>
        <w:pStyle w:val="BodyText"/>
        <w:spacing w:line="252" w:lineRule="auto"/>
        <w:ind w:left="120" w:right="327" w:firstLine="396"/>
        <w:jc w:val="both"/>
      </w:pPr>
      <w:r>
        <w:rPr>
          <w:w w:val="150"/>
        </w:rPr>
        <w:t>a </w:t>
      </w:r>
      <w:r>
        <w:rPr>
          <w:w w:val="110"/>
        </w:rPr>
        <w:t>nivel político, es en este sentido que varios autores afirman la no existencia, por parte de Estados unidos, de una “estrategia </w:t>
      </w:r>
      <w:r>
        <w:rPr>
          <w:spacing w:val="-3"/>
          <w:w w:val="110"/>
        </w:rPr>
        <w:t>comer- </w:t>
      </w:r>
      <w:r>
        <w:rPr>
          <w:w w:val="113"/>
        </w:rPr>
        <w:t>cial</w:t>
      </w:r>
      <w:r>
        <w:rPr/>
        <w:t> </w:t>
      </w:r>
      <w:r>
        <w:rPr>
          <w:spacing w:val="-18"/>
        </w:rPr>
        <w:t> </w:t>
      </w:r>
      <w:r>
        <w:rPr>
          <w:w w:val="111"/>
        </w:rPr>
        <w:t>global</w:t>
      </w:r>
      <w:r>
        <w:rPr/>
        <w:t> </w:t>
      </w:r>
      <w:r>
        <w:rPr>
          <w:spacing w:val="-18"/>
        </w:rPr>
        <w:t> </w:t>
      </w:r>
      <w:r>
        <w:rPr>
          <w:w w:val="112"/>
        </w:rPr>
        <w:t>con</w:t>
      </w:r>
      <w:r>
        <w:rPr/>
        <w:t> </w:t>
      </w:r>
      <w:r>
        <w:rPr>
          <w:spacing w:val="-18"/>
        </w:rPr>
        <w:t> </w:t>
      </w:r>
      <w:r>
        <w:rPr>
          <w:w w:val="110"/>
        </w:rPr>
        <w:t>relación</w:t>
      </w:r>
      <w:r>
        <w:rPr/>
        <w:t> </w:t>
      </w:r>
      <w:r>
        <w:rPr>
          <w:spacing w:val="-18"/>
        </w:rPr>
        <w:t> </w:t>
      </w:r>
      <w:r>
        <w:rPr>
          <w:w w:val="112"/>
        </w:rPr>
        <w:t>a</w:t>
      </w:r>
      <w:r>
        <w:rPr/>
        <w:t> </w:t>
      </w:r>
      <w:r>
        <w:rPr>
          <w:spacing w:val="-18"/>
        </w:rPr>
        <w:t> </w:t>
      </w:r>
      <w:r>
        <w:rPr>
          <w:w w:val="139"/>
        </w:rPr>
        <w:t>a</w:t>
      </w:r>
      <w:r>
        <w:rPr>
          <w:w w:val="111"/>
        </w:rPr>
        <w:t>mérica</w:t>
      </w:r>
      <w:r>
        <w:rPr/>
        <w:t> </w:t>
      </w:r>
      <w:r>
        <w:rPr>
          <w:spacing w:val="-18"/>
        </w:rPr>
        <w:t> </w:t>
      </w:r>
      <w:r>
        <w:rPr>
          <w:w w:val="243"/>
        </w:rPr>
        <w:t>l</w:t>
      </w:r>
      <w:r>
        <w:rPr>
          <w:w w:val="111"/>
        </w:rPr>
        <w:t>atina</w:t>
      </w:r>
      <w:r>
        <w:rPr/>
        <w:t> </w:t>
      </w:r>
      <w:r>
        <w:rPr>
          <w:spacing w:val="-18"/>
        </w:rPr>
        <w:t> </w:t>
      </w:r>
      <w:r>
        <w:rPr>
          <w:w w:val="105"/>
        </w:rPr>
        <w:t>y</w:t>
      </w:r>
      <w:r>
        <w:rPr/>
        <w:t> </w:t>
      </w:r>
      <w:r>
        <w:rPr>
          <w:spacing w:val="-18"/>
        </w:rPr>
        <w:t> </w:t>
      </w:r>
      <w:r>
        <w:rPr>
          <w:w w:val="107"/>
        </w:rPr>
        <w:t>el</w:t>
      </w:r>
      <w:r>
        <w:rPr/>
        <w:t> </w:t>
      </w:r>
      <w:r>
        <w:rPr>
          <w:spacing w:val="-18"/>
        </w:rPr>
        <w:t> </w:t>
      </w:r>
      <w:r>
        <w:rPr>
          <w:w w:val="114"/>
        </w:rPr>
        <w:t>Caribe”.</w:t>
      </w:r>
      <w:r>
        <w:rPr/>
        <w:t> </w:t>
      </w:r>
      <w:r>
        <w:rPr>
          <w:spacing w:val="-18"/>
        </w:rPr>
        <w:t> </w:t>
      </w:r>
      <w:r>
        <w:rPr>
          <w:w w:val="243"/>
        </w:rPr>
        <w:t>l</w:t>
      </w:r>
      <w:r>
        <w:rPr>
          <w:w w:val="112"/>
        </w:rPr>
        <w:t>a</w:t>
      </w:r>
      <w:r>
        <w:rPr/>
        <w:t> </w:t>
      </w:r>
      <w:r>
        <w:rPr>
          <w:spacing w:val="-18"/>
        </w:rPr>
        <w:t> </w:t>
      </w:r>
      <w:r>
        <w:rPr>
          <w:w w:val="111"/>
        </w:rPr>
        <w:t>tendencia, </w:t>
      </w:r>
      <w:r>
        <w:rPr>
          <w:w w:val="110"/>
        </w:rPr>
        <w:t>sin embargo, ha sido hacia un cambio de política que privilegia las negociaciones de acuerdos bilaterales de comercio con países </w:t>
      </w:r>
      <w:r>
        <w:rPr>
          <w:spacing w:val="-3"/>
          <w:w w:val="110"/>
        </w:rPr>
        <w:t>deter- </w:t>
      </w:r>
      <w:r>
        <w:rPr>
          <w:w w:val="110"/>
        </w:rPr>
        <w:t>minados. Estos acercamientos comerciales bilaterales suponen lo que la</w:t>
      </w:r>
      <w:r>
        <w:rPr>
          <w:spacing w:val="-6"/>
          <w:w w:val="110"/>
        </w:rPr>
        <w:t> </w:t>
      </w:r>
      <w:r>
        <w:rPr>
          <w:spacing w:val="-3"/>
          <w:w w:val="150"/>
        </w:rPr>
        <w:t>CEPal</w:t>
      </w:r>
      <w:r>
        <w:rPr>
          <w:spacing w:val="-23"/>
          <w:w w:val="150"/>
        </w:rPr>
        <w:t> </w:t>
      </w:r>
      <w:r>
        <w:rPr>
          <w:w w:val="110"/>
        </w:rPr>
        <w:t>(2011:</w:t>
      </w:r>
      <w:r>
        <w:rPr>
          <w:spacing w:val="-6"/>
          <w:w w:val="110"/>
        </w:rPr>
        <w:t> </w:t>
      </w:r>
      <w:r>
        <w:rPr>
          <w:w w:val="110"/>
        </w:rPr>
        <w:t>36)</w:t>
      </w:r>
      <w:r>
        <w:rPr>
          <w:spacing w:val="-6"/>
          <w:w w:val="110"/>
        </w:rPr>
        <w:t> </w:t>
      </w:r>
      <w:r>
        <w:rPr>
          <w:w w:val="110"/>
        </w:rPr>
        <w:t>denomina</w:t>
      </w:r>
      <w:r>
        <w:rPr>
          <w:spacing w:val="-6"/>
          <w:w w:val="110"/>
        </w:rPr>
        <w:t> </w:t>
      </w:r>
      <w:r>
        <w:rPr>
          <w:w w:val="110"/>
        </w:rPr>
        <w:t>como</w:t>
      </w:r>
      <w:r>
        <w:rPr>
          <w:spacing w:val="-6"/>
          <w:w w:val="110"/>
        </w:rPr>
        <w:t> </w:t>
      </w:r>
      <w:r>
        <w:rPr>
          <w:w w:val="110"/>
        </w:rPr>
        <w:t>un</w:t>
      </w:r>
      <w:r>
        <w:rPr>
          <w:spacing w:val="-6"/>
          <w:w w:val="110"/>
        </w:rPr>
        <w:t> </w:t>
      </w:r>
      <w:r>
        <w:rPr>
          <w:w w:val="110"/>
        </w:rPr>
        <w:t>enfoque</w:t>
      </w:r>
      <w:r>
        <w:rPr>
          <w:spacing w:val="-6"/>
          <w:w w:val="110"/>
        </w:rPr>
        <w:t> </w:t>
      </w:r>
      <w:r>
        <w:rPr>
          <w:w w:val="110"/>
        </w:rPr>
        <w:t>de</w:t>
      </w:r>
      <w:r>
        <w:rPr>
          <w:spacing w:val="-6"/>
          <w:w w:val="110"/>
        </w:rPr>
        <w:t> </w:t>
      </w:r>
      <w:r>
        <w:rPr>
          <w:i/>
          <w:w w:val="110"/>
        </w:rPr>
        <w:t>tipo</w:t>
      </w:r>
      <w:r>
        <w:rPr>
          <w:i/>
          <w:spacing w:val="-6"/>
          <w:w w:val="110"/>
        </w:rPr>
        <w:t> </w:t>
      </w:r>
      <w:r>
        <w:rPr>
          <w:i/>
          <w:w w:val="110"/>
        </w:rPr>
        <w:t>radial</w:t>
      </w:r>
      <w:r>
        <w:rPr>
          <w:w w:val="110"/>
        </w:rPr>
        <w:t>,</w:t>
      </w:r>
      <w:r>
        <w:rPr>
          <w:spacing w:val="-6"/>
          <w:w w:val="110"/>
        </w:rPr>
        <w:t> </w:t>
      </w:r>
      <w:r>
        <w:rPr>
          <w:w w:val="110"/>
        </w:rPr>
        <w:t>donde Estados unidos se sitúa en el centro y en los diferentes “radios” los diferentes países latinoamericanos y</w:t>
      </w:r>
      <w:r>
        <w:rPr>
          <w:spacing w:val="27"/>
          <w:w w:val="110"/>
        </w:rPr>
        <w:t> </w:t>
      </w:r>
      <w:r>
        <w:rPr>
          <w:w w:val="110"/>
        </w:rPr>
        <w:t>caribeños.</w:t>
      </w:r>
    </w:p>
    <w:p>
      <w:pPr>
        <w:pStyle w:val="BodyText"/>
        <w:spacing w:line="252" w:lineRule="auto"/>
        <w:ind w:left="120" w:right="328" w:firstLine="460"/>
        <w:jc w:val="both"/>
      </w:pPr>
      <w:r>
        <w:rPr>
          <w:w w:val="110"/>
        </w:rPr>
        <w:t>En la actualidad, la prioridad de los esfuerzos negociadores co- merciales de Estados unidos no se encuentra en la región, sino en       el espacio geográfico que se ha constituido en el principal centro de dinamismo mundial: el área de asia-Pacífico. Ello explica su enfoque en la negociación y ampliación de iniciativas como el acuerdo Es- tratégico transpacífico de asociación Económica de cual participan </w:t>
      </w:r>
      <w:r>
        <w:rPr>
          <w:w w:val="110"/>
        </w:rPr>
        <w:t>algunos</w:t>
      </w:r>
      <w:r>
        <w:rPr/>
        <w:t> </w:t>
      </w:r>
      <w:r>
        <w:rPr>
          <w:spacing w:val="-20"/>
        </w:rPr>
        <w:t> </w:t>
      </w:r>
      <w:r>
        <w:rPr>
          <w:w w:val="108"/>
        </w:rPr>
        <w:t>países</w:t>
      </w:r>
      <w:r>
        <w:rPr/>
        <w:t> </w:t>
      </w:r>
      <w:r>
        <w:rPr>
          <w:spacing w:val="-20"/>
        </w:rPr>
        <w:t> </w:t>
      </w:r>
      <w:r>
        <w:rPr>
          <w:w w:val="107"/>
        </w:rPr>
        <w:t>de</w:t>
      </w:r>
      <w:r>
        <w:rPr/>
        <w:t> </w:t>
      </w:r>
      <w:r>
        <w:rPr>
          <w:spacing w:val="-20"/>
        </w:rPr>
        <w:t> </w:t>
      </w:r>
      <w:r>
        <w:rPr>
          <w:w w:val="139"/>
        </w:rPr>
        <w:t>a</w:t>
      </w:r>
      <w:r>
        <w:rPr>
          <w:w w:val="111"/>
        </w:rPr>
        <w:t>mérica</w:t>
      </w:r>
      <w:r>
        <w:rPr/>
        <w:t> </w:t>
      </w:r>
      <w:r>
        <w:rPr>
          <w:spacing w:val="-20"/>
        </w:rPr>
        <w:t> </w:t>
      </w:r>
      <w:r>
        <w:rPr>
          <w:w w:val="243"/>
        </w:rPr>
        <w:t>l</w:t>
      </w:r>
      <w:r>
        <w:rPr>
          <w:w w:val="113"/>
        </w:rPr>
        <w:t>atina.</w:t>
      </w:r>
      <w:r>
        <w:rPr/>
        <w:t> </w:t>
      </w:r>
      <w:r>
        <w:rPr>
          <w:spacing w:val="-20"/>
        </w:rPr>
        <w:t> </w:t>
      </w:r>
      <w:r>
        <w:rPr>
          <w:w w:val="112"/>
        </w:rPr>
        <w:t>Este</w:t>
      </w:r>
      <w:r>
        <w:rPr/>
        <w:t> </w:t>
      </w:r>
      <w:r>
        <w:rPr>
          <w:spacing w:val="-20"/>
        </w:rPr>
        <w:t> </w:t>
      </w:r>
      <w:r>
        <w:rPr>
          <w:w w:val="109"/>
        </w:rPr>
        <w:t>tipo</w:t>
      </w:r>
      <w:r>
        <w:rPr/>
        <w:t> </w:t>
      </w:r>
      <w:r>
        <w:rPr>
          <w:spacing w:val="-20"/>
        </w:rPr>
        <w:t> </w:t>
      </w:r>
      <w:r>
        <w:rPr>
          <w:w w:val="107"/>
        </w:rPr>
        <w:t>de</w:t>
      </w:r>
      <w:r>
        <w:rPr/>
        <w:t> </w:t>
      </w:r>
      <w:r>
        <w:rPr>
          <w:spacing w:val="-20"/>
        </w:rPr>
        <w:t> </w:t>
      </w:r>
      <w:r>
        <w:rPr>
          <w:w w:val="111"/>
        </w:rPr>
        <w:t>iniciativas</w:t>
      </w:r>
      <w:r>
        <w:rPr/>
        <w:t> </w:t>
      </w:r>
      <w:r>
        <w:rPr>
          <w:spacing w:val="-20"/>
        </w:rPr>
        <w:t> </w:t>
      </w:r>
      <w:r>
        <w:rPr>
          <w:w w:val="108"/>
        </w:rPr>
        <w:t>están</w:t>
      </w:r>
      <w:r>
        <w:rPr/>
        <w:t> </w:t>
      </w:r>
      <w:r>
        <w:rPr>
          <w:spacing w:val="-20"/>
        </w:rPr>
        <w:t> </w:t>
      </w:r>
      <w:r>
        <w:rPr>
          <w:w w:val="112"/>
        </w:rPr>
        <w:t>con</w:t>
      </w:r>
      <w:r>
        <w:rPr>
          <w:w w:val="102"/>
        </w:rPr>
        <w:t>- </w:t>
      </w:r>
      <w:r>
        <w:rPr>
          <w:w w:val="110"/>
        </w:rPr>
        <w:t>tribuyendo a la gestación de una escisión diferente en la región, fuera de las concepciones subregionales tradicionales, y por consiguiente, está conduciendo hacia la profundización de la heterogeneidad de sus vínculos económicos con Estados  </w:t>
      </w:r>
      <w:r>
        <w:rPr>
          <w:spacing w:val="16"/>
          <w:w w:val="110"/>
        </w:rPr>
        <w:t> </w:t>
      </w:r>
      <w:r>
        <w:rPr>
          <w:w w:val="110"/>
        </w:rPr>
        <w:t>unidos.</w:t>
      </w:r>
    </w:p>
    <w:p>
      <w:pPr>
        <w:pStyle w:val="BodyText"/>
        <w:spacing w:before="11"/>
      </w:pPr>
    </w:p>
    <w:p>
      <w:pPr>
        <w:pStyle w:val="BodyText"/>
        <w:spacing w:line="252" w:lineRule="auto"/>
        <w:ind w:left="120" w:right="328"/>
        <w:jc w:val="both"/>
      </w:pPr>
      <w:r>
        <w:rPr>
          <w:i/>
          <w:w w:val="115"/>
        </w:rPr>
        <w:t>Rasgo</w:t>
      </w:r>
      <w:r>
        <w:rPr>
          <w:i/>
          <w:spacing w:val="-15"/>
          <w:w w:val="115"/>
        </w:rPr>
        <w:t> </w:t>
      </w:r>
      <w:r>
        <w:rPr>
          <w:i/>
          <w:w w:val="115"/>
        </w:rPr>
        <w:t>7</w:t>
      </w:r>
      <w:r>
        <w:rPr>
          <w:w w:val="115"/>
        </w:rPr>
        <w:t>:</w:t>
      </w:r>
      <w:r>
        <w:rPr>
          <w:spacing w:val="-13"/>
          <w:w w:val="115"/>
        </w:rPr>
        <w:t> </w:t>
      </w:r>
      <w:r>
        <w:rPr>
          <w:w w:val="115"/>
        </w:rPr>
        <w:t>durante</w:t>
      </w:r>
      <w:r>
        <w:rPr>
          <w:spacing w:val="-15"/>
          <w:w w:val="115"/>
        </w:rPr>
        <w:t> </w:t>
      </w:r>
      <w:r>
        <w:rPr>
          <w:w w:val="115"/>
        </w:rPr>
        <w:t>la</w:t>
      </w:r>
      <w:r>
        <w:rPr>
          <w:spacing w:val="-15"/>
          <w:w w:val="115"/>
        </w:rPr>
        <w:t> </w:t>
      </w:r>
      <w:r>
        <w:rPr>
          <w:w w:val="115"/>
        </w:rPr>
        <w:t>primera</w:t>
      </w:r>
      <w:r>
        <w:rPr>
          <w:spacing w:val="-15"/>
          <w:w w:val="115"/>
        </w:rPr>
        <w:t> </w:t>
      </w:r>
      <w:r>
        <w:rPr>
          <w:w w:val="115"/>
        </w:rPr>
        <w:t>década</w:t>
      </w:r>
      <w:r>
        <w:rPr>
          <w:spacing w:val="-15"/>
          <w:w w:val="115"/>
        </w:rPr>
        <w:t> </w:t>
      </w:r>
      <w:r>
        <w:rPr>
          <w:w w:val="115"/>
        </w:rPr>
        <w:t>del</w:t>
      </w:r>
      <w:r>
        <w:rPr>
          <w:spacing w:val="-15"/>
          <w:w w:val="115"/>
        </w:rPr>
        <w:t> </w:t>
      </w:r>
      <w:r>
        <w:rPr>
          <w:w w:val="115"/>
        </w:rPr>
        <w:t>siglo</w:t>
      </w:r>
      <w:r>
        <w:rPr>
          <w:spacing w:val="-15"/>
          <w:w w:val="115"/>
        </w:rPr>
        <w:t> </w:t>
      </w:r>
      <w:r>
        <w:rPr>
          <w:w w:val="125"/>
        </w:rPr>
        <w:t>xxi,</w:t>
      </w:r>
      <w:r>
        <w:rPr>
          <w:spacing w:val="-19"/>
          <w:w w:val="125"/>
        </w:rPr>
        <w:t> </w:t>
      </w:r>
      <w:r>
        <w:rPr>
          <w:w w:val="115"/>
        </w:rPr>
        <w:t>alrededor</w:t>
      </w:r>
      <w:r>
        <w:rPr>
          <w:spacing w:val="-15"/>
          <w:w w:val="115"/>
        </w:rPr>
        <w:t> </w:t>
      </w:r>
      <w:r>
        <w:rPr>
          <w:w w:val="115"/>
        </w:rPr>
        <w:t>de</w:t>
      </w:r>
      <w:r>
        <w:rPr>
          <w:spacing w:val="-15"/>
          <w:w w:val="115"/>
        </w:rPr>
        <w:t> </w:t>
      </w:r>
      <w:r>
        <w:rPr>
          <w:w w:val="115"/>
        </w:rPr>
        <w:t>un</w:t>
      </w:r>
      <w:r>
        <w:rPr>
          <w:spacing w:val="-15"/>
          <w:w w:val="115"/>
        </w:rPr>
        <w:t> </w:t>
      </w:r>
      <w:r>
        <w:rPr>
          <w:spacing w:val="-4"/>
          <w:w w:val="115"/>
        </w:rPr>
        <w:t>ter- </w:t>
      </w:r>
      <w:r>
        <w:rPr>
          <w:w w:val="115"/>
        </w:rPr>
        <w:t>cio</w:t>
      </w:r>
      <w:r>
        <w:rPr>
          <w:spacing w:val="-15"/>
          <w:w w:val="115"/>
        </w:rPr>
        <w:t> </w:t>
      </w:r>
      <w:r>
        <w:rPr>
          <w:w w:val="115"/>
        </w:rPr>
        <w:t>de</w:t>
      </w:r>
      <w:r>
        <w:rPr>
          <w:spacing w:val="-15"/>
          <w:w w:val="115"/>
        </w:rPr>
        <w:t> </w:t>
      </w:r>
      <w:r>
        <w:rPr>
          <w:w w:val="115"/>
        </w:rPr>
        <w:t>todos</w:t>
      </w:r>
      <w:r>
        <w:rPr>
          <w:spacing w:val="-15"/>
          <w:w w:val="115"/>
        </w:rPr>
        <w:t> </w:t>
      </w:r>
      <w:r>
        <w:rPr>
          <w:w w:val="115"/>
        </w:rPr>
        <w:t>los</w:t>
      </w:r>
      <w:r>
        <w:rPr>
          <w:spacing w:val="-15"/>
          <w:w w:val="115"/>
        </w:rPr>
        <w:t> </w:t>
      </w:r>
      <w:r>
        <w:rPr>
          <w:w w:val="115"/>
        </w:rPr>
        <w:t>flujos</w:t>
      </w:r>
      <w:r>
        <w:rPr>
          <w:spacing w:val="-15"/>
          <w:w w:val="115"/>
        </w:rPr>
        <w:t> </w:t>
      </w:r>
      <w:r>
        <w:rPr>
          <w:w w:val="115"/>
        </w:rPr>
        <w:t>de</w:t>
      </w:r>
      <w:r>
        <w:rPr>
          <w:spacing w:val="-15"/>
          <w:w w:val="115"/>
        </w:rPr>
        <w:t> </w:t>
      </w:r>
      <w:r>
        <w:rPr>
          <w:w w:val="115"/>
        </w:rPr>
        <w:t>inversión</w:t>
      </w:r>
      <w:r>
        <w:rPr>
          <w:spacing w:val="-15"/>
          <w:w w:val="115"/>
        </w:rPr>
        <w:t> </w:t>
      </w:r>
      <w:r>
        <w:rPr>
          <w:w w:val="115"/>
        </w:rPr>
        <w:t>extranjera</w:t>
      </w:r>
      <w:r>
        <w:rPr>
          <w:spacing w:val="-15"/>
          <w:w w:val="115"/>
        </w:rPr>
        <w:t> </w:t>
      </w:r>
      <w:r>
        <w:rPr>
          <w:w w:val="115"/>
        </w:rPr>
        <w:t>directa</w:t>
      </w:r>
      <w:r>
        <w:rPr>
          <w:spacing w:val="-15"/>
          <w:w w:val="115"/>
        </w:rPr>
        <w:t> </w:t>
      </w:r>
      <w:r>
        <w:rPr>
          <w:w w:val="115"/>
        </w:rPr>
        <w:t>(iEd)</w:t>
      </w:r>
      <w:r>
        <w:rPr>
          <w:spacing w:val="-15"/>
          <w:w w:val="115"/>
        </w:rPr>
        <w:t> </w:t>
      </w:r>
      <w:r>
        <w:rPr>
          <w:w w:val="115"/>
        </w:rPr>
        <w:t>en</w:t>
      </w:r>
      <w:r>
        <w:rPr>
          <w:spacing w:val="-15"/>
          <w:w w:val="115"/>
        </w:rPr>
        <w:t> </w:t>
      </w:r>
      <w:r>
        <w:rPr>
          <w:w w:val="115"/>
        </w:rPr>
        <w:t>améri- </w:t>
      </w:r>
      <w:r>
        <w:rPr>
          <w:w w:val="113"/>
        </w:rPr>
        <w:t>ca</w:t>
      </w:r>
      <w:r>
        <w:rPr>
          <w:spacing w:val="8"/>
        </w:rPr>
        <w:t> </w:t>
      </w:r>
      <w:r>
        <w:rPr>
          <w:w w:val="243"/>
        </w:rPr>
        <w:t>l</w:t>
      </w:r>
      <w:r>
        <w:rPr>
          <w:w w:val="111"/>
        </w:rPr>
        <w:t>atina</w:t>
      </w:r>
      <w:r>
        <w:rPr>
          <w:spacing w:val="8"/>
        </w:rPr>
        <w:t> </w:t>
      </w:r>
      <w:r>
        <w:rPr>
          <w:w w:val="105"/>
        </w:rPr>
        <w:t>y</w:t>
      </w:r>
      <w:r>
        <w:rPr>
          <w:spacing w:val="8"/>
        </w:rPr>
        <w:t> </w:t>
      </w:r>
      <w:r>
        <w:rPr>
          <w:w w:val="107"/>
        </w:rPr>
        <w:t>el</w:t>
      </w:r>
      <w:r>
        <w:rPr>
          <w:spacing w:val="8"/>
        </w:rPr>
        <w:t> </w:t>
      </w:r>
      <w:r>
        <w:rPr>
          <w:w w:val="112"/>
        </w:rPr>
        <w:t>Caribe</w:t>
      </w:r>
      <w:r>
        <w:rPr>
          <w:spacing w:val="8"/>
        </w:rPr>
        <w:t> </w:t>
      </w:r>
      <w:r>
        <w:rPr>
          <w:w w:val="108"/>
        </w:rPr>
        <w:t>provinieron</w:t>
      </w:r>
      <w:r>
        <w:rPr>
          <w:spacing w:val="8"/>
        </w:rPr>
        <w:t> </w:t>
      </w:r>
      <w:r>
        <w:rPr>
          <w:w w:val="107"/>
        </w:rPr>
        <w:t>de</w:t>
      </w:r>
      <w:r>
        <w:rPr>
          <w:spacing w:val="8"/>
        </w:rPr>
        <w:t> </w:t>
      </w:r>
      <w:r>
        <w:rPr>
          <w:w w:val="111"/>
        </w:rPr>
        <w:t>Estados</w:t>
      </w:r>
      <w:r>
        <w:rPr>
          <w:spacing w:val="8"/>
        </w:rPr>
        <w:t> </w:t>
      </w:r>
      <w:r>
        <w:rPr>
          <w:w w:val="140"/>
        </w:rPr>
        <w:t>u</w:t>
      </w:r>
      <w:r>
        <w:rPr>
          <w:w w:val="112"/>
        </w:rPr>
        <w:t>nidos,</w:t>
      </w:r>
      <w:r>
        <w:rPr>
          <w:spacing w:val="8"/>
        </w:rPr>
        <w:t> </w:t>
      </w:r>
      <w:r>
        <w:rPr>
          <w:w w:val="108"/>
        </w:rPr>
        <w:t>que</w:t>
      </w:r>
      <w:r>
        <w:rPr>
          <w:spacing w:val="8"/>
        </w:rPr>
        <w:t> </w:t>
      </w:r>
      <w:r>
        <w:rPr>
          <w:w w:val="109"/>
        </w:rPr>
        <w:t>sigue</w:t>
      </w:r>
      <w:r>
        <w:rPr>
          <w:spacing w:val="8"/>
        </w:rPr>
        <w:t> </w:t>
      </w:r>
      <w:r>
        <w:rPr>
          <w:w w:val="109"/>
        </w:rPr>
        <w:t>siendo </w:t>
      </w:r>
      <w:r>
        <w:rPr>
          <w:w w:val="115"/>
        </w:rPr>
        <w:t>el</w:t>
      </w:r>
      <w:r>
        <w:rPr>
          <w:spacing w:val="-24"/>
          <w:w w:val="115"/>
        </w:rPr>
        <w:t> </w:t>
      </w:r>
      <w:r>
        <w:rPr>
          <w:w w:val="115"/>
        </w:rPr>
        <w:t>mayor</w:t>
      </w:r>
      <w:r>
        <w:rPr>
          <w:spacing w:val="-24"/>
          <w:w w:val="115"/>
        </w:rPr>
        <w:t> </w:t>
      </w:r>
      <w:r>
        <w:rPr>
          <w:w w:val="115"/>
        </w:rPr>
        <w:t>inversionista</w:t>
      </w:r>
      <w:r>
        <w:rPr>
          <w:spacing w:val="-24"/>
          <w:w w:val="115"/>
        </w:rPr>
        <w:t> </w:t>
      </w:r>
      <w:r>
        <w:rPr>
          <w:w w:val="115"/>
        </w:rPr>
        <w:t>extranjero</w:t>
      </w:r>
      <w:r>
        <w:rPr>
          <w:spacing w:val="-24"/>
          <w:w w:val="115"/>
        </w:rPr>
        <w:t> </w:t>
      </w:r>
      <w:r>
        <w:rPr>
          <w:w w:val="115"/>
        </w:rPr>
        <w:t>–como</w:t>
      </w:r>
      <w:r>
        <w:rPr>
          <w:spacing w:val="-24"/>
          <w:w w:val="115"/>
        </w:rPr>
        <w:t> </w:t>
      </w:r>
      <w:r>
        <w:rPr>
          <w:w w:val="115"/>
        </w:rPr>
        <w:t>país</w:t>
      </w:r>
      <w:r>
        <w:rPr>
          <w:spacing w:val="-24"/>
          <w:w w:val="115"/>
        </w:rPr>
        <w:t> </w:t>
      </w:r>
      <w:r>
        <w:rPr>
          <w:w w:val="115"/>
        </w:rPr>
        <w:t>individual–</w:t>
      </w:r>
      <w:r>
        <w:rPr>
          <w:spacing w:val="-24"/>
          <w:w w:val="115"/>
        </w:rPr>
        <w:t> </w:t>
      </w:r>
      <w:r>
        <w:rPr>
          <w:w w:val="115"/>
        </w:rPr>
        <w:t>en</w:t>
      </w:r>
      <w:r>
        <w:rPr>
          <w:spacing w:val="-24"/>
          <w:w w:val="115"/>
        </w:rPr>
        <w:t> </w:t>
      </w:r>
      <w:r>
        <w:rPr>
          <w:w w:val="115"/>
        </w:rPr>
        <w:t>la</w:t>
      </w:r>
      <w:r>
        <w:rPr>
          <w:spacing w:val="-24"/>
          <w:w w:val="115"/>
        </w:rPr>
        <w:t> </w:t>
      </w:r>
      <w:r>
        <w:rPr>
          <w:w w:val="115"/>
        </w:rPr>
        <w:t>región (como</w:t>
      </w:r>
      <w:r>
        <w:rPr>
          <w:spacing w:val="-14"/>
          <w:w w:val="115"/>
        </w:rPr>
        <w:t> </w:t>
      </w:r>
      <w:r>
        <w:rPr>
          <w:w w:val="115"/>
        </w:rPr>
        <w:t>grupo</w:t>
      </w:r>
      <w:r>
        <w:rPr>
          <w:spacing w:val="-14"/>
          <w:w w:val="115"/>
        </w:rPr>
        <w:t> </w:t>
      </w:r>
      <w:r>
        <w:rPr>
          <w:w w:val="115"/>
        </w:rPr>
        <w:t>la</w:t>
      </w:r>
      <w:r>
        <w:rPr>
          <w:spacing w:val="-14"/>
          <w:w w:val="115"/>
        </w:rPr>
        <w:t> </w:t>
      </w:r>
      <w:r>
        <w:rPr>
          <w:w w:val="115"/>
        </w:rPr>
        <w:t>unión</w:t>
      </w:r>
      <w:r>
        <w:rPr>
          <w:spacing w:val="-14"/>
          <w:w w:val="115"/>
        </w:rPr>
        <w:t> </w:t>
      </w:r>
      <w:r>
        <w:rPr>
          <w:w w:val="115"/>
        </w:rPr>
        <w:t>Europea</w:t>
      </w:r>
      <w:r>
        <w:rPr>
          <w:spacing w:val="-14"/>
          <w:w w:val="115"/>
        </w:rPr>
        <w:t> </w:t>
      </w:r>
      <w:r>
        <w:rPr>
          <w:w w:val="115"/>
        </w:rPr>
        <w:t>sería</w:t>
      </w:r>
      <w:r>
        <w:rPr>
          <w:spacing w:val="-14"/>
          <w:w w:val="115"/>
        </w:rPr>
        <w:t> </w:t>
      </w:r>
      <w:r>
        <w:rPr>
          <w:w w:val="115"/>
        </w:rPr>
        <w:t>el</w:t>
      </w:r>
      <w:r>
        <w:rPr>
          <w:spacing w:val="-14"/>
          <w:w w:val="115"/>
        </w:rPr>
        <w:t> </w:t>
      </w:r>
      <w:r>
        <w:rPr>
          <w:w w:val="115"/>
        </w:rPr>
        <w:t>primero).</w:t>
      </w:r>
    </w:p>
    <w:p>
      <w:pPr>
        <w:pStyle w:val="BodyText"/>
        <w:spacing w:before="10"/>
        <w:rPr>
          <w:sz w:val="15"/>
        </w:rPr>
      </w:pPr>
    </w:p>
    <w:p>
      <w:pPr>
        <w:pStyle w:val="BodyText"/>
        <w:spacing w:line="249" w:lineRule="auto" w:before="1"/>
        <w:ind w:left="744" w:right="328" w:hanging="227"/>
        <w:jc w:val="both"/>
      </w:pPr>
      <w:r>
        <w:rPr>
          <w:w w:val="100"/>
          <w:sz w:val="24"/>
        </w:rPr>
        <w:t>-</w:t>
      </w:r>
      <w:r>
        <w:rPr>
          <w:sz w:val="24"/>
        </w:rPr>
        <w:t>  </w:t>
      </w:r>
      <w:r>
        <w:rPr>
          <w:spacing w:val="-12"/>
          <w:sz w:val="24"/>
        </w:rPr>
        <w:t> </w:t>
      </w:r>
      <w:r>
        <w:rPr>
          <w:w w:val="243"/>
        </w:rPr>
        <w:t>l</w:t>
      </w:r>
      <w:r>
        <w:rPr>
          <w:w w:val="112"/>
        </w:rPr>
        <w:t>a</w:t>
      </w:r>
      <w:r>
        <w:rPr/>
        <w:t> </w:t>
      </w:r>
      <w:r>
        <w:rPr>
          <w:spacing w:val="3"/>
        </w:rPr>
        <w:t> </w:t>
      </w:r>
      <w:r>
        <w:rPr>
          <w:w w:val="109"/>
        </w:rPr>
        <w:t>entrada</w:t>
      </w:r>
      <w:r>
        <w:rPr/>
        <w:t> </w:t>
      </w:r>
      <w:r>
        <w:rPr>
          <w:spacing w:val="3"/>
        </w:rPr>
        <w:t> </w:t>
      </w:r>
      <w:r>
        <w:rPr>
          <w:w w:val="107"/>
        </w:rPr>
        <w:t>de</w:t>
      </w:r>
      <w:r>
        <w:rPr/>
        <w:t> </w:t>
      </w:r>
      <w:r>
        <w:rPr>
          <w:spacing w:val="3"/>
        </w:rPr>
        <w:t> </w:t>
      </w:r>
      <w:r>
        <w:rPr>
          <w:w w:val="142"/>
        </w:rPr>
        <w:t>i</w:t>
      </w:r>
      <w:r>
        <w:rPr>
          <w:w w:val="128"/>
        </w:rPr>
        <w:t>E</w:t>
      </w:r>
      <w:r>
        <w:rPr>
          <w:w w:val="139"/>
        </w:rPr>
        <w:t>d</w:t>
      </w:r>
      <w:r>
        <w:rPr/>
        <w:t> </w:t>
      </w:r>
      <w:r>
        <w:rPr>
          <w:spacing w:val="3"/>
        </w:rPr>
        <w:t> </w:t>
      </w:r>
      <w:r>
        <w:rPr>
          <w:w w:val="112"/>
        </w:rPr>
        <w:t>a</w:t>
      </w:r>
      <w:r>
        <w:rPr/>
        <w:t> </w:t>
      </w:r>
      <w:r>
        <w:rPr>
          <w:spacing w:val="3"/>
        </w:rPr>
        <w:t> </w:t>
      </w:r>
      <w:r>
        <w:rPr>
          <w:w w:val="111"/>
        </w:rPr>
        <w:t>la</w:t>
      </w:r>
      <w:r>
        <w:rPr/>
        <w:t> </w:t>
      </w:r>
      <w:r>
        <w:rPr>
          <w:spacing w:val="3"/>
        </w:rPr>
        <w:t> </w:t>
      </w:r>
      <w:r>
        <w:rPr>
          <w:w w:val="109"/>
        </w:rPr>
        <w:t>región</w:t>
      </w:r>
      <w:r>
        <w:rPr/>
        <w:t> </w:t>
      </w:r>
      <w:r>
        <w:rPr>
          <w:spacing w:val="3"/>
        </w:rPr>
        <w:t> </w:t>
      </w:r>
      <w:r>
        <w:rPr>
          <w:w w:val="109"/>
        </w:rPr>
        <w:t>pasó</w:t>
      </w:r>
      <w:r>
        <w:rPr/>
        <w:t> </w:t>
      </w:r>
      <w:r>
        <w:rPr>
          <w:spacing w:val="3"/>
        </w:rPr>
        <w:t> </w:t>
      </w:r>
      <w:r>
        <w:rPr>
          <w:w w:val="107"/>
        </w:rPr>
        <w:t>de</w:t>
      </w:r>
      <w:r>
        <w:rPr/>
        <w:t> </w:t>
      </w:r>
      <w:r>
        <w:rPr>
          <w:spacing w:val="3"/>
        </w:rPr>
        <w:t> </w:t>
      </w:r>
      <w:r>
        <w:rPr>
          <w:w w:val="102"/>
        </w:rPr>
        <w:t>102</w:t>
      </w:r>
      <w:r>
        <w:rPr/>
        <w:t> </w:t>
      </w:r>
      <w:r>
        <w:rPr>
          <w:spacing w:val="3"/>
        </w:rPr>
        <w:t> </w:t>
      </w:r>
      <w:r>
        <w:rPr>
          <w:w w:val="113"/>
        </w:rPr>
        <w:t>mil</w:t>
      </w:r>
      <w:r>
        <w:rPr/>
        <w:t> </w:t>
      </w:r>
      <w:r>
        <w:rPr>
          <w:spacing w:val="3"/>
        </w:rPr>
        <w:t> </w:t>
      </w:r>
      <w:r>
        <w:rPr>
          <w:w w:val="110"/>
        </w:rPr>
        <w:t>millones</w:t>
      </w:r>
      <w:r>
        <w:rPr/>
        <w:t> </w:t>
      </w:r>
      <w:r>
        <w:rPr>
          <w:spacing w:val="3"/>
        </w:rPr>
        <w:t> </w:t>
      </w:r>
      <w:r>
        <w:rPr>
          <w:w w:val="107"/>
        </w:rPr>
        <w:t>de </w:t>
      </w:r>
      <w:r>
        <w:rPr>
          <w:w w:val="115"/>
        </w:rPr>
        <w:t>dólares como promedio en el período 2005-2008 a 188 mil millones de dólares en 2013. Con una ligera disminución en 2009</w:t>
      </w:r>
      <w:r>
        <w:rPr>
          <w:spacing w:val="-7"/>
          <w:w w:val="115"/>
        </w:rPr>
        <w:t> </w:t>
      </w:r>
      <w:r>
        <w:rPr>
          <w:w w:val="115"/>
        </w:rPr>
        <w:t>(84</w:t>
      </w:r>
      <w:r>
        <w:rPr>
          <w:spacing w:val="-7"/>
          <w:w w:val="115"/>
        </w:rPr>
        <w:t> </w:t>
      </w:r>
      <w:r>
        <w:rPr>
          <w:w w:val="115"/>
        </w:rPr>
        <w:t>mil</w:t>
      </w:r>
      <w:r>
        <w:rPr>
          <w:spacing w:val="-7"/>
          <w:w w:val="115"/>
        </w:rPr>
        <w:t> </w:t>
      </w:r>
      <w:r>
        <w:rPr>
          <w:w w:val="115"/>
        </w:rPr>
        <w:t>millones</w:t>
      </w:r>
      <w:r>
        <w:rPr>
          <w:spacing w:val="-7"/>
          <w:w w:val="115"/>
        </w:rPr>
        <w:t> </w:t>
      </w:r>
      <w:r>
        <w:rPr>
          <w:w w:val="115"/>
        </w:rPr>
        <w:t>de</w:t>
      </w:r>
      <w:r>
        <w:rPr>
          <w:spacing w:val="-7"/>
          <w:w w:val="115"/>
        </w:rPr>
        <w:t> </w:t>
      </w:r>
      <w:r>
        <w:rPr>
          <w:w w:val="115"/>
        </w:rPr>
        <w:t>dólares),</w:t>
      </w:r>
      <w:r>
        <w:rPr>
          <w:spacing w:val="-7"/>
          <w:w w:val="115"/>
        </w:rPr>
        <w:t> </w:t>
      </w:r>
      <w:r>
        <w:rPr>
          <w:w w:val="115"/>
        </w:rPr>
        <w:t>que</w:t>
      </w:r>
      <w:r>
        <w:rPr>
          <w:spacing w:val="-7"/>
          <w:w w:val="115"/>
        </w:rPr>
        <w:t> </w:t>
      </w:r>
      <w:r>
        <w:rPr>
          <w:w w:val="115"/>
        </w:rPr>
        <w:t>posteriormente</w:t>
      </w:r>
      <w:r>
        <w:rPr>
          <w:spacing w:val="-7"/>
          <w:w w:val="115"/>
        </w:rPr>
        <w:t> </w:t>
      </w:r>
      <w:r>
        <w:rPr>
          <w:w w:val="115"/>
        </w:rPr>
        <w:t>se</w:t>
      </w:r>
      <w:r>
        <w:rPr>
          <w:spacing w:val="-7"/>
          <w:w w:val="115"/>
        </w:rPr>
        <w:t> </w:t>
      </w:r>
      <w:r>
        <w:rPr>
          <w:w w:val="115"/>
        </w:rPr>
        <w:t>re- cuperó con rapidez en 2010 (129 mil millones de dólares)</w:t>
      </w:r>
      <w:r>
        <w:rPr>
          <w:w w:val="115"/>
          <w:position w:val="6"/>
          <w:sz w:val="11"/>
        </w:rPr>
        <w:t>28</w:t>
      </w:r>
      <w:r>
        <w:rPr>
          <w:w w:val="115"/>
        </w:rPr>
        <w:t>. China, sin embargo, no se encontraba, aún en 2009, entre</w:t>
      </w:r>
      <w:r>
        <w:rPr>
          <w:spacing w:val="-24"/>
          <w:w w:val="115"/>
        </w:rPr>
        <w:t> </w:t>
      </w:r>
      <w:r>
        <w:rPr>
          <w:w w:val="115"/>
        </w:rPr>
        <w:t>los</w:t>
      </w:r>
    </w:p>
    <w:p>
      <w:pPr>
        <w:pStyle w:val="BodyText"/>
        <w:spacing w:before="3"/>
        <w:rPr>
          <w:sz w:val="23"/>
        </w:rPr>
      </w:pPr>
      <w:r>
        <w:rPr/>
        <w:pict>
          <v:line style="position:absolute;mso-position-horizontal-relative:page;mso-position-vertical-relative:paragraph;z-index:9424;mso-wrap-distance-left:0;mso-wrap-distance-right:0" from="51.023602pt,15.871404pt" to="79.369602pt,15.871404pt" stroked="true" strokeweight=".5pt" strokecolor="#000000">
            <w10:wrap type="topAndBottom"/>
          </v:line>
        </w:pict>
      </w:r>
    </w:p>
    <w:p>
      <w:pPr>
        <w:pStyle w:val="ListParagraph"/>
        <w:numPr>
          <w:ilvl w:val="0"/>
          <w:numId w:val="35"/>
        </w:numPr>
        <w:tabs>
          <w:tab w:pos="376" w:val="left" w:leader="none"/>
        </w:tabs>
        <w:spacing w:line="242" w:lineRule="auto" w:before="89" w:after="0"/>
        <w:ind w:left="120" w:right="328" w:firstLine="0"/>
        <w:jc w:val="both"/>
        <w:rPr>
          <w:sz w:val="16"/>
        </w:rPr>
      </w:pPr>
      <w:r>
        <w:rPr>
          <w:w w:val="115"/>
          <w:sz w:val="16"/>
        </w:rPr>
        <w:t>dos factores fundamentales contribuyeron al crecimiento de la entrada de iEd</w:t>
      </w:r>
      <w:r>
        <w:rPr>
          <w:spacing w:val="-11"/>
          <w:w w:val="115"/>
          <w:sz w:val="16"/>
        </w:rPr>
        <w:t> </w:t>
      </w:r>
      <w:r>
        <w:rPr>
          <w:w w:val="115"/>
          <w:sz w:val="16"/>
        </w:rPr>
        <w:t>a</w:t>
      </w:r>
      <w:r>
        <w:rPr>
          <w:spacing w:val="-11"/>
          <w:w w:val="115"/>
          <w:sz w:val="16"/>
        </w:rPr>
        <w:t> </w:t>
      </w:r>
      <w:r>
        <w:rPr>
          <w:w w:val="115"/>
          <w:sz w:val="16"/>
        </w:rPr>
        <w:t>la</w:t>
      </w:r>
      <w:r>
        <w:rPr>
          <w:spacing w:val="-11"/>
          <w:w w:val="115"/>
          <w:sz w:val="16"/>
        </w:rPr>
        <w:t> </w:t>
      </w:r>
      <w:r>
        <w:rPr>
          <w:w w:val="115"/>
          <w:sz w:val="16"/>
        </w:rPr>
        <w:t>región</w:t>
      </w:r>
      <w:r>
        <w:rPr>
          <w:spacing w:val="-11"/>
          <w:w w:val="115"/>
          <w:sz w:val="16"/>
        </w:rPr>
        <w:t> </w:t>
      </w:r>
      <w:r>
        <w:rPr>
          <w:w w:val="115"/>
          <w:sz w:val="16"/>
        </w:rPr>
        <w:t>en</w:t>
      </w:r>
      <w:r>
        <w:rPr>
          <w:spacing w:val="-11"/>
          <w:w w:val="115"/>
          <w:sz w:val="16"/>
        </w:rPr>
        <w:t> </w:t>
      </w:r>
      <w:r>
        <w:rPr>
          <w:w w:val="115"/>
          <w:sz w:val="16"/>
        </w:rPr>
        <w:t>los</w:t>
      </w:r>
      <w:r>
        <w:rPr>
          <w:spacing w:val="-11"/>
          <w:w w:val="115"/>
          <w:sz w:val="16"/>
        </w:rPr>
        <w:t> </w:t>
      </w:r>
      <w:r>
        <w:rPr>
          <w:w w:val="115"/>
          <w:sz w:val="16"/>
        </w:rPr>
        <w:t>últimos</w:t>
      </w:r>
      <w:r>
        <w:rPr>
          <w:spacing w:val="-11"/>
          <w:w w:val="115"/>
          <w:sz w:val="16"/>
        </w:rPr>
        <w:t> </w:t>
      </w:r>
      <w:r>
        <w:rPr>
          <w:w w:val="115"/>
          <w:sz w:val="16"/>
        </w:rPr>
        <w:t>10</w:t>
      </w:r>
      <w:r>
        <w:rPr>
          <w:spacing w:val="-11"/>
          <w:w w:val="115"/>
          <w:sz w:val="16"/>
        </w:rPr>
        <w:t> </w:t>
      </w:r>
      <w:r>
        <w:rPr>
          <w:w w:val="115"/>
          <w:sz w:val="16"/>
        </w:rPr>
        <w:t>años,</w:t>
      </w:r>
      <w:r>
        <w:rPr>
          <w:spacing w:val="-11"/>
          <w:w w:val="115"/>
          <w:sz w:val="16"/>
        </w:rPr>
        <w:t> </w:t>
      </w:r>
      <w:r>
        <w:rPr>
          <w:w w:val="115"/>
          <w:sz w:val="16"/>
        </w:rPr>
        <w:t>por</w:t>
      </w:r>
      <w:r>
        <w:rPr>
          <w:spacing w:val="-11"/>
          <w:w w:val="115"/>
          <w:sz w:val="16"/>
        </w:rPr>
        <w:t> </w:t>
      </w:r>
      <w:r>
        <w:rPr>
          <w:w w:val="115"/>
          <w:sz w:val="16"/>
        </w:rPr>
        <w:t>un</w:t>
      </w:r>
      <w:r>
        <w:rPr>
          <w:spacing w:val="-11"/>
          <w:w w:val="115"/>
          <w:sz w:val="16"/>
        </w:rPr>
        <w:t> </w:t>
      </w:r>
      <w:r>
        <w:rPr>
          <w:w w:val="115"/>
          <w:sz w:val="16"/>
        </w:rPr>
        <w:t>lado</w:t>
      </w:r>
      <w:r>
        <w:rPr>
          <w:spacing w:val="-11"/>
          <w:w w:val="115"/>
          <w:sz w:val="16"/>
        </w:rPr>
        <w:t> </w:t>
      </w:r>
      <w:r>
        <w:rPr>
          <w:w w:val="115"/>
          <w:sz w:val="16"/>
        </w:rPr>
        <w:t>el</w:t>
      </w:r>
      <w:r>
        <w:rPr>
          <w:spacing w:val="-11"/>
          <w:w w:val="115"/>
          <w:sz w:val="16"/>
        </w:rPr>
        <w:t> </w:t>
      </w:r>
      <w:r>
        <w:rPr>
          <w:w w:val="115"/>
          <w:sz w:val="16"/>
        </w:rPr>
        <w:t>crecimiento</w:t>
      </w:r>
      <w:r>
        <w:rPr>
          <w:spacing w:val="-11"/>
          <w:w w:val="115"/>
          <w:sz w:val="16"/>
        </w:rPr>
        <w:t> </w:t>
      </w:r>
      <w:r>
        <w:rPr>
          <w:w w:val="115"/>
          <w:sz w:val="16"/>
        </w:rPr>
        <w:t>económico</w:t>
      </w:r>
      <w:r>
        <w:rPr>
          <w:spacing w:val="-11"/>
          <w:w w:val="115"/>
          <w:sz w:val="16"/>
        </w:rPr>
        <w:t> </w:t>
      </w:r>
      <w:r>
        <w:rPr>
          <w:spacing w:val="-9"/>
          <w:w w:val="115"/>
          <w:sz w:val="16"/>
        </w:rPr>
        <w:t>y,</w:t>
      </w:r>
      <w:r>
        <w:rPr>
          <w:spacing w:val="-11"/>
          <w:w w:val="115"/>
          <w:sz w:val="16"/>
        </w:rPr>
        <w:t> </w:t>
      </w:r>
      <w:r>
        <w:rPr>
          <w:w w:val="115"/>
          <w:sz w:val="16"/>
        </w:rPr>
        <w:t>por otro,</w:t>
      </w:r>
      <w:r>
        <w:rPr>
          <w:spacing w:val="-23"/>
          <w:w w:val="115"/>
          <w:sz w:val="16"/>
        </w:rPr>
        <w:t> </w:t>
      </w:r>
      <w:r>
        <w:rPr>
          <w:w w:val="115"/>
          <w:sz w:val="16"/>
        </w:rPr>
        <w:t>la</w:t>
      </w:r>
      <w:r>
        <w:rPr>
          <w:spacing w:val="-23"/>
          <w:w w:val="115"/>
          <w:sz w:val="16"/>
        </w:rPr>
        <w:t> </w:t>
      </w:r>
      <w:r>
        <w:rPr>
          <w:w w:val="115"/>
          <w:sz w:val="16"/>
        </w:rPr>
        <w:t>alta</w:t>
      </w:r>
      <w:r>
        <w:rPr>
          <w:spacing w:val="-23"/>
          <w:w w:val="115"/>
          <w:sz w:val="16"/>
        </w:rPr>
        <w:t> </w:t>
      </w:r>
      <w:r>
        <w:rPr>
          <w:w w:val="115"/>
          <w:sz w:val="16"/>
        </w:rPr>
        <w:t>demanda</w:t>
      </w:r>
      <w:r>
        <w:rPr>
          <w:spacing w:val="-23"/>
          <w:w w:val="115"/>
          <w:sz w:val="16"/>
        </w:rPr>
        <w:t> </w:t>
      </w:r>
      <w:r>
        <w:rPr>
          <w:w w:val="115"/>
          <w:sz w:val="16"/>
        </w:rPr>
        <w:t>internacional</w:t>
      </w:r>
      <w:r>
        <w:rPr>
          <w:spacing w:val="-23"/>
          <w:w w:val="115"/>
          <w:sz w:val="16"/>
        </w:rPr>
        <w:t> </w:t>
      </w:r>
      <w:r>
        <w:rPr>
          <w:w w:val="115"/>
          <w:sz w:val="16"/>
        </w:rPr>
        <w:t>de</w:t>
      </w:r>
      <w:r>
        <w:rPr>
          <w:spacing w:val="-23"/>
          <w:w w:val="115"/>
          <w:sz w:val="16"/>
        </w:rPr>
        <w:t> </w:t>
      </w:r>
      <w:r>
        <w:rPr>
          <w:w w:val="115"/>
          <w:sz w:val="16"/>
        </w:rPr>
        <w:t>productos</w:t>
      </w:r>
      <w:r>
        <w:rPr>
          <w:spacing w:val="-23"/>
          <w:w w:val="115"/>
          <w:sz w:val="16"/>
        </w:rPr>
        <w:t> </w:t>
      </w:r>
      <w:r>
        <w:rPr>
          <w:w w:val="115"/>
          <w:sz w:val="16"/>
        </w:rPr>
        <w:t>básicos</w:t>
      </w:r>
      <w:r>
        <w:rPr>
          <w:spacing w:val="-23"/>
          <w:w w:val="115"/>
          <w:sz w:val="16"/>
        </w:rPr>
        <w:t> </w:t>
      </w:r>
      <w:r>
        <w:rPr>
          <w:w w:val="115"/>
          <w:sz w:val="16"/>
        </w:rPr>
        <w:t>(CEPal,</w:t>
      </w:r>
      <w:r>
        <w:rPr>
          <w:spacing w:val="-23"/>
          <w:w w:val="115"/>
          <w:sz w:val="16"/>
        </w:rPr>
        <w:t> </w:t>
      </w:r>
      <w:r>
        <w:rPr>
          <w:w w:val="115"/>
          <w:sz w:val="16"/>
        </w:rPr>
        <w:t>2014:</w:t>
      </w:r>
      <w:r>
        <w:rPr>
          <w:spacing w:val="-23"/>
          <w:w w:val="115"/>
          <w:sz w:val="16"/>
        </w:rPr>
        <w:t> </w:t>
      </w:r>
      <w:r>
        <w:rPr>
          <w:w w:val="115"/>
          <w:sz w:val="16"/>
        </w:rPr>
        <w:t>22).</w:t>
      </w:r>
    </w:p>
    <w:p>
      <w:pPr>
        <w:spacing w:after="0" w:line="242" w:lineRule="auto"/>
        <w:jc w:val="both"/>
        <w:rPr>
          <w:sz w:val="16"/>
        </w:rPr>
        <w:sectPr>
          <w:pgSz w:w="8790" w:h="12760"/>
          <w:pgMar w:header="695" w:footer="723" w:top="880" w:bottom="920" w:left="900" w:right="1200"/>
        </w:sectPr>
      </w:pPr>
    </w:p>
    <w:p>
      <w:pPr>
        <w:pStyle w:val="BodyText"/>
        <w:spacing w:before="7"/>
        <w:rPr>
          <w:sz w:val="28"/>
        </w:rPr>
      </w:pPr>
    </w:p>
    <w:p>
      <w:pPr>
        <w:pStyle w:val="BodyText"/>
        <w:spacing w:line="252" w:lineRule="auto" w:before="73"/>
        <w:ind w:left="954" w:right="117"/>
        <w:jc w:val="both"/>
      </w:pPr>
      <w:r>
        <w:rPr>
          <w:w w:val="110"/>
        </w:rPr>
        <w:t>principales inversores en la región: Estados unidos (38% de</w:t>
      </w:r>
      <w:r>
        <w:rPr>
          <w:spacing w:val="-23"/>
          <w:w w:val="110"/>
        </w:rPr>
        <w:t> </w:t>
      </w:r>
      <w:r>
        <w:rPr>
          <w:w w:val="110"/>
        </w:rPr>
        <w:t>las </w:t>
      </w:r>
      <w:r>
        <w:rPr>
          <w:w w:val="109"/>
        </w:rPr>
        <w:t>entradas),</w:t>
      </w:r>
      <w:r>
        <w:rPr>
          <w:w w:val="103"/>
          <w:position w:val="6"/>
          <w:sz w:val="11"/>
        </w:rPr>
        <w:t>29</w:t>
      </w:r>
      <w:r>
        <w:rPr>
          <w:position w:val="6"/>
          <w:sz w:val="11"/>
        </w:rPr>
        <w:t>  </w:t>
      </w:r>
      <w:r>
        <w:rPr>
          <w:spacing w:val="-11"/>
          <w:position w:val="6"/>
          <w:sz w:val="11"/>
        </w:rPr>
        <w:t> </w:t>
      </w:r>
      <w:r>
        <w:rPr>
          <w:w w:val="140"/>
        </w:rPr>
        <w:t>u</w:t>
      </w:r>
      <w:r>
        <w:rPr>
          <w:w w:val="111"/>
        </w:rPr>
        <w:t>nión</w:t>
      </w:r>
      <w:r>
        <w:rPr>
          <w:spacing w:val="19"/>
        </w:rPr>
        <w:t> </w:t>
      </w:r>
      <w:r>
        <w:rPr>
          <w:w w:val="112"/>
        </w:rPr>
        <w:t>Europea</w:t>
      </w:r>
      <w:r>
        <w:rPr>
          <w:spacing w:val="19"/>
        </w:rPr>
        <w:t> </w:t>
      </w:r>
      <w:r>
        <w:rPr>
          <w:w w:val="103"/>
        </w:rPr>
        <w:t>(29%),</w:t>
      </w:r>
      <w:r>
        <w:rPr>
          <w:spacing w:val="19"/>
        </w:rPr>
        <w:t> </w:t>
      </w:r>
      <w:r>
        <w:rPr>
          <w:w w:val="139"/>
        </w:rPr>
        <w:t>a</w:t>
      </w:r>
      <w:r>
        <w:rPr>
          <w:w w:val="111"/>
        </w:rPr>
        <w:t>mérica</w:t>
      </w:r>
      <w:r>
        <w:rPr>
          <w:spacing w:val="19"/>
        </w:rPr>
        <w:t> </w:t>
      </w:r>
      <w:r>
        <w:rPr>
          <w:w w:val="243"/>
        </w:rPr>
        <w:t>l</w:t>
      </w:r>
      <w:r>
        <w:rPr>
          <w:w w:val="111"/>
        </w:rPr>
        <w:t>atina</w:t>
      </w:r>
      <w:r>
        <w:rPr>
          <w:spacing w:val="19"/>
        </w:rPr>
        <w:t> </w:t>
      </w:r>
      <w:r>
        <w:rPr>
          <w:w w:val="105"/>
        </w:rPr>
        <w:t>y</w:t>
      </w:r>
      <w:r>
        <w:rPr>
          <w:spacing w:val="19"/>
        </w:rPr>
        <w:t> </w:t>
      </w:r>
      <w:r>
        <w:rPr>
          <w:w w:val="107"/>
        </w:rPr>
        <w:t>el</w:t>
      </w:r>
      <w:r>
        <w:rPr>
          <w:spacing w:val="19"/>
        </w:rPr>
        <w:t> </w:t>
      </w:r>
      <w:r>
        <w:rPr>
          <w:w w:val="112"/>
        </w:rPr>
        <w:t>Caribe </w:t>
      </w:r>
      <w:r>
        <w:rPr>
          <w:w w:val="110"/>
        </w:rPr>
        <w:t>(10%),</w:t>
      </w:r>
      <w:r>
        <w:rPr>
          <w:spacing w:val="-9"/>
          <w:w w:val="110"/>
        </w:rPr>
        <w:t> </w:t>
      </w:r>
      <w:r>
        <w:rPr>
          <w:w w:val="110"/>
        </w:rPr>
        <w:t>Canadá</w:t>
      </w:r>
      <w:r>
        <w:rPr>
          <w:spacing w:val="-9"/>
          <w:w w:val="110"/>
        </w:rPr>
        <w:t> </w:t>
      </w:r>
      <w:r>
        <w:rPr>
          <w:w w:val="110"/>
        </w:rPr>
        <w:t>(7%),</w:t>
      </w:r>
      <w:r>
        <w:rPr>
          <w:spacing w:val="-9"/>
          <w:w w:val="110"/>
        </w:rPr>
        <w:t> </w:t>
      </w:r>
      <w:r>
        <w:rPr>
          <w:w w:val="110"/>
        </w:rPr>
        <w:t>Japón</w:t>
      </w:r>
      <w:r>
        <w:rPr>
          <w:spacing w:val="-9"/>
          <w:w w:val="110"/>
        </w:rPr>
        <w:t> </w:t>
      </w:r>
      <w:r>
        <w:rPr>
          <w:w w:val="110"/>
        </w:rPr>
        <w:t>(5%)</w:t>
      </w:r>
      <w:r>
        <w:rPr>
          <w:spacing w:val="-9"/>
          <w:w w:val="110"/>
        </w:rPr>
        <w:t> </w:t>
      </w:r>
      <w:r>
        <w:rPr>
          <w:w w:val="110"/>
        </w:rPr>
        <w:t>y</w:t>
      </w:r>
      <w:r>
        <w:rPr>
          <w:spacing w:val="-9"/>
          <w:w w:val="110"/>
        </w:rPr>
        <w:t> </w:t>
      </w:r>
      <w:r>
        <w:rPr>
          <w:w w:val="110"/>
        </w:rPr>
        <w:t>otros</w:t>
      </w:r>
      <w:r>
        <w:rPr>
          <w:spacing w:val="-9"/>
          <w:w w:val="110"/>
        </w:rPr>
        <w:t> </w:t>
      </w:r>
      <w:r>
        <w:rPr>
          <w:w w:val="110"/>
        </w:rPr>
        <w:t>(9%)</w:t>
      </w:r>
      <w:r>
        <w:rPr>
          <w:spacing w:val="-9"/>
          <w:w w:val="110"/>
        </w:rPr>
        <w:t> </w:t>
      </w:r>
      <w:r>
        <w:rPr>
          <w:w w:val="110"/>
        </w:rPr>
        <w:t>(2011:</w:t>
      </w:r>
      <w:r>
        <w:rPr>
          <w:spacing w:val="-9"/>
          <w:w w:val="110"/>
        </w:rPr>
        <w:t> </w:t>
      </w:r>
      <w:r>
        <w:rPr>
          <w:w w:val="110"/>
        </w:rPr>
        <w:t>29).</w:t>
      </w:r>
    </w:p>
    <w:p>
      <w:pPr>
        <w:pStyle w:val="ListParagraph"/>
        <w:numPr>
          <w:ilvl w:val="1"/>
          <w:numId w:val="35"/>
        </w:numPr>
        <w:tabs>
          <w:tab w:pos="955" w:val="left" w:leader="none"/>
        </w:tabs>
        <w:spacing w:line="247" w:lineRule="auto" w:before="37" w:after="0"/>
        <w:ind w:left="954" w:right="117" w:hanging="227"/>
        <w:jc w:val="both"/>
        <w:rPr>
          <w:sz w:val="19"/>
        </w:rPr>
      </w:pPr>
      <w:r>
        <w:rPr>
          <w:w w:val="115"/>
          <w:sz w:val="19"/>
        </w:rPr>
        <w:t>El porcentaje de iEd que proviene de Estados unidos cayó drásticamente</w:t>
      </w:r>
      <w:r>
        <w:rPr>
          <w:spacing w:val="-9"/>
          <w:w w:val="115"/>
          <w:sz w:val="19"/>
        </w:rPr>
        <w:t> </w:t>
      </w:r>
      <w:r>
        <w:rPr>
          <w:w w:val="115"/>
          <w:sz w:val="19"/>
        </w:rPr>
        <w:t>en</w:t>
      </w:r>
      <w:r>
        <w:rPr>
          <w:spacing w:val="-9"/>
          <w:w w:val="115"/>
          <w:sz w:val="19"/>
        </w:rPr>
        <w:t> </w:t>
      </w:r>
      <w:r>
        <w:rPr>
          <w:w w:val="115"/>
          <w:sz w:val="19"/>
        </w:rPr>
        <w:t>2013</w:t>
      </w:r>
      <w:r>
        <w:rPr>
          <w:spacing w:val="-9"/>
          <w:w w:val="115"/>
          <w:sz w:val="19"/>
        </w:rPr>
        <w:t> </w:t>
      </w:r>
      <w:r>
        <w:rPr>
          <w:w w:val="115"/>
          <w:sz w:val="19"/>
        </w:rPr>
        <w:t>en</w:t>
      </w:r>
      <w:r>
        <w:rPr>
          <w:spacing w:val="-9"/>
          <w:w w:val="115"/>
          <w:sz w:val="19"/>
        </w:rPr>
        <w:t> </w:t>
      </w:r>
      <w:r>
        <w:rPr>
          <w:w w:val="115"/>
          <w:sz w:val="19"/>
        </w:rPr>
        <w:t>países</w:t>
      </w:r>
      <w:r>
        <w:rPr>
          <w:spacing w:val="-9"/>
          <w:w w:val="115"/>
          <w:sz w:val="19"/>
        </w:rPr>
        <w:t> </w:t>
      </w:r>
      <w:r>
        <w:rPr>
          <w:w w:val="115"/>
          <w:sz w:val="19"/>
        </w:rPr>
        <w:t>de</w:t>
      </w:r>
      <w:r>
        <w:rPr>
          <w:spacing w:val="-9"/>
          <w:w w:val="115"/>
          <w:sz w:val="19"/>
        </w:rPr>
        <w:t> </w:t>
      </w:r>
      <w:r>
        <w:rPr>
          <w:w w:val="115"/>
          <w:sz w:val="19"/>
        </w:rPr>
        <w:t>la</w:t>
      </w:r>
      <w:r>
        <w:rPr>
          <w:spacing w:val="-9"/>
          <w:w w:val="115"/>
          <w:sz w:val="19"/>
        </w:rPr>
        <w:t> </w:t>
      </w:r>
      <w:r>
        <w:rPr>
          <w:w w:val="115"/>
          <w:sz w:val="19"/>
        </w:rPr>
        <w:t>región</w:t>
      </w:r>
      <w:r>
        <w:rPr>
          <w:spacing w:val="-9"/>
          <w:w w:val="115"/>
          <w:sz w:val="19"/>
        </w:rPr>
        <w:t> </w:t>
      </w:r>
      <w:r>
        <w:rPr>
          <w:w w:val="115"/>
          <w:sz w:val="19"/>
        </w:rPr>
        <w:t>como</w:t>
      </w:r>
      <w:r>
        <w:rPr>
          <w:spacing w:val="-9"/>
          <w:w w:val="115"/>
          <w:sz w:val="19"/>
        </w:rPr>
        <w:t> </w:t>
      </w:r>
      <w:r>
        <w:rPr>
          <w:w w:val="115"/>
          <w:sz w:val="19"/>
        </w:rPr>
        <w:t>brasil</w:t>
      </w:r>
      <w:r>
        <w:rPr>
          <w:spacing w:val="-9"/>
          <w:w w:val="115"/>
          <w:sz w:val="19"/>
        </w:rPr>
        <w:t> </w:t>
      </w:r>
      <w:r>
        <w:rPr>
          <w:w w:val="115"/>
          <w:sz w:val="19"/>
        </w:rPr>
        <w:t>(de un</w:t>
      </w:r>
      <w:r>
        <w:rPr>
          <w:spacing w:val="-18"/>
          <w:w w:val="115"/>
          <w:sz w:val="19"/>
        </w:rPr>
        <w:t> </w:t>
      </w:r>
      <w:r>
        <w:rPr>
          <w:w w:val="115"/>
          <w:sz w:val="19"/>
        </w:rPr>
        <w:t>21%</w:t>
      </w:r>
      <w:r>
        <w:rPr>
          <w:spacing w:val="-18"/>
          <w:w w:val="115"/>
          <w:sz w:val="19"/>
        </w:rPr>
        <w:t> </w:t>
      </w:r>
      <w:r>
        <w:rPr>
          <w:w w:val="115"/>
          <w:sz w:val="19"/>
        </w:rPr>
        <w:t>a</w:t>
      </w:r>
      <w:r>
        <w:rPr>
          <w:spacing w:val="-18"/>
          <w:w w:val="115"/>
          <w:sz w:val="19"/>
        </w:rPr>
        <w:t> </w:t>
      </w:r>
      <w:r>
        <w:rPr>
          <w:w w:val="115"/>
          <w:sz w:val="19"/>
        </w:rPr>
        <w:t>un</w:t>
      </w:r>
      <w:r>
        <w:rPr>
          <w:spacing w:val="-18"/>
          <w:w w:val="115"/>
          <w:sz w:val="19"/>
        </w:rPr>
        <w:t> </w:t>
      </w:r>
      <w:r>
        <w:rPr>
          <w:w w:val="115"/>
          <w:sz w:val="19"/>
        </w:rPr>
        <w:t>14%),</w:t>
      </w:r>
      <w:r>
        <w:rPr>
          <w:spacing w:val="-18"/>
          <w:w w:val="115"/>
          <w:sz w:val="19"/>
        </w:rPr>
        <w:t> </w:t>
      </w:r>
      <w:r>
        <w:rPr>
          <w:w w:val="115"/>
          <w:sz w:val="19"/>
        </w:rPr>
        <w:t>en</w:t>
      </w:r>
      <w:r>
        <w:rPr>
          <w:spacing w:val="-18"/>
          <w:w w:val="115"/>
          <w:sz w:val="19"/>
        </w:rPr>
        <w:t> </w:t>
      </w:r>
      <w:r>
        <w:rPr>
          <w:w w:val="115"/>
          <w:sz w:val="19"/>
        </w:rPr>
        <w:t>México</w:t>
      </w:r>
      <w:r>
        <w:rPr>
          <w:spacing w:val="-18"/>
          <w:w w:val="115"/>
          <w:sz w:val="19"/>
        </w:rPr>
        <w:t> </w:t>
      </w:r>
      <w:r>
        <w:rPr>
          <w:w w:val="115"/>
          <w:sz w:val="19"/>
        </w:rPr>
        <w:t>(de</w:t>
      </w:r>
      <w:r>
        <w:rPr>
          <w:spacing w:val="-18"/>
          <w:w w:val="115"/>
          <w:sz w:val="19"/>
        </w:rPr>
        <w:t> </w:t>
      </w:r>
      <w:r>
        <w:rPr>
          <w:w w:val="115"/>
          <w:sz w:val="19"/>
        </w:rPr>
        <w:t>un</w:t>
      </w:r>
      <w:r>
        <w:rPr>
          <w:spacing w:val="-18"/>
          <w:w w:val="115"/>
          <w:sz w:val="19"/>
        </w:rPr>
        <w:t> </w:t>
      </w:r>
      <w:r>
        <w:rPr>
          <w:w w:val="115"/>
          <w:sz w:val="19"/>
        </w:rPr>
        <w:t>49%</w:t>
      </w:r>
      <w:r>
        <w:rPr>
          <w:spacing w:val="-18"/>
          <w:w w:val="115"/>
          <w:sz w:val="19"/>
        </w:rPr>
        <w:t> </w:t>
      </w:r>
      <w:r>
        <w:rPr>
          <w:w w:val="115"/>
          <w:sz w:val="19"/>
        </w:rPr>
        <w:t>a</w:t>
      </w:r>
      <w:r>
        <w:rPr>
          <w:spacing w:val="-18"/>
          <w:w w:val="115"/>
          <w:sz w:val="19"/>
        </w:rPr>
        <w:t> </w:t>
      </w:r>
      <w:r>
        <w:rPr>
          <w:w w:val="115"/>
          <w:sz w:val="19"/>
        </w:rPr>
        <w:t>un</w:t>
      </w:r>
      <w:r>
        <w:rPr>
          <w:spacing w:val="-18"/>
          <w:w w:val="115"/>
          <w:sz w:val="19"/>
        </w:rPr>
        <w:t> </w:t>
      </w:r>
      <w:r>
        <w:rPr>
          <w:w w:val="115"/>
          <w:sz w:val="19"/>
        </w:rPr>
        <w:t>32%),</w:t>
      </w:r>
      <w:r>
        <w:rPr>
          <w:spacing w:val="-18"/>
          <w:w w:val="115"/>
          <w:sz w:val="19"/>
        </w:rPr>
        <w:t> </w:t>
      </w:r>
      <w:r>
        <w:rPr>
          <w:w w:val="115"/>
          <w:sz w:val="19"/>
        </w:rPr>
        <w:t>y</w:t>
      </w:r>
      <w:r>
        <w:rPr>
          <w:spacing w:val="-18"/>
          <w:w w:val="115"/>
          <w:sz w:val="19"/>
        </w:rPr>
        <w:t> </w:t>
      </w:r>
      <w:r>
        <w:rPr>
          <w:w w:val="115"/>
          <w:sz w:val="19"/>
        </w:rPr>
        <w:t>en</w:t>
      </w:r>
      <w:r>
        <w:rPr>
          <w:spacing w:val="-18"/>
          <w:w w:val="115"/>
          <w:sz w:val="19"/>
        </w:rPr>
        <w:t> </w:t>
      </w:r>
      <w:r>
        <w:rPr>
          <w:w w:val="115"/>
          <w:sz w:val="19"/>
        </w:rPr>
        <w:t>Cen- troamérica</w:t>
      </w:r>
      <w:r>
        <w:rPr>
          <w:spacing w:val="-13"/>
          <w:w w:val="115"/>
          <w:sz w:val="19"/>
        </w:rPr>
        <w:t> </w:t>
      </w:r>
      <w:r>
        <w:rPr>
          <w:w w:val="115"/>
          <w:sz w:val="19"/>
        </w:rPr>
        <w:t>(de</w:t>
      </w:r>
      <w:r>
        <w:rPr>
          <w:spacing w:val="-13"/>
          <w:w w:val="115"/>
          <w:sz w:val="19"/>
        </w:rPr>
        <w:t> </w:t>
      </w:r>
      <w:r>
        <w:rPr>
          <w:w w:val="115"/>
          <w:sz w:val="19"/>
        </w:rPr>
        <w:t>un</w:t>
      </w:r>
      <w:r>
        <w:rPr>
          <w:spacing w:val="-13"/>
          <w:w w:val="115"/>
          <w:sz w:val="19"/>
        </w:rPr>
        <w:t> </w:t>
      </w:r>
      <w:r>
        <w:rPr>
          <w:w w:val="115"/>
          <w:sz w:val="19"/>
        </w:rPr>
        <w:t>26%</w:t>
      </w:r>
      <w:r>
        <w:rPr>
          <w:spacing w:val="-13"/>
          <w:w w:val="115"/>
          <w:sz w:val="19"/>
        </w:rPr>
        <w:t> </w:t>
      </w:r>
      <w:r>
        <w:rPr>
          <w:w w:val="115"/>
          <w:sz w:val="19"/>
        </w:rPr>
        <w:t>a</w:t>
      </w:r>
      <w:r>
        <w:rPr>
          <w:spacing w:val="-13"/>
          <w:w w:val="115"/>
          <w:sz w:val="19"/>
        </w:rPr>
        <w:t> </w:t>
      </w:r>
      <w:r>
        <w:rPr>
          <w:w w:val="115"/>
          <w:sz w:val="19"/>
        </w:rPr>
        <w:t>un</w:t>
      </w:r>
      <w:r>
        <w:rPr>
          <w:spacing w:val="-13"/>
          <w:w w:val="115"/>
          <w:sz w:val="19"/>
        </w:rPr>
        <w:t> </w:t>
      </w:r>
      <w:r>
        <w:rPr>
          <w:w w:val="115"/>
          <w:sz w:val="19"/>
        </w:rPr>
        <w:t>30%)</w:t>
      </w:r>
      <w:r>
        <w:rPr>
          <w:spacing w:val="-13"/>
          <w:w w:val="115"/>
          <w:sz w:val="19"/>
        </w:rPr>
        <w:t> </w:t>
      </w:r>
      <w:r>
        <w:rPr>
          <w:spacing w:val="-3"/>
          <w:w w:val="115"/>
          <w:sz w:val="19"/>
        </w:rPr>
        <w:t>(CEPal,</w:t>
      </w:r>
      <w:r>
        <w:rPr>
          <w:spacing w:val="-13"/>
          <w:w w:val="115"/>
          <w:sz w:val="19"/>
        </w:rPr>
        <w:t> </w:t>
      </w:r>
      <w:r>
        <w:rPr>
          <w:w w:val="115"/>
          <w:sz w:val="19"/>
        </w:rPr>
        <w:t>2014:</w:t>
      </w:r>
      <w:r>
        <w:rPr>
          <w:spacing w:val="-13"/>
          <w:w w:val="115"/>
          <w:sz w:val="19"/>
        </w:rPr>
        <w:t> </w:t>
      </w:r>
      <w:r>
        <w:rPr>
          <w:w w:val="115"/>
          <w:sz w:val="19"/>
        </w:rPr>
        <w:t>31).</w:t>
      </w:r>
    </w:p>
    <w:p>
      <w:pPr>
        <w:pStyle w:val="ListParagraph"/>
        <w:numPr>
          <w:ilvl w:val="1"/>
          <w:numId w:val="35"/>
        </w:numPr>
        <w:tabs>
          <w:tab w:pos="955" w:val="left" w:leader="none"/>
        </w:tabs>
        <w:spacing w:line="247" w:lineRule="auto" w:before="42" w:after="0"/>
        <w:ind w:left="954" w:right="117" w:hanging="227"/>
        <w:jc w:val="both"/>
        <w:rPr>
          <w:sz w:val="19"/>
        </w:rPr>
      </w:pPr>
      <w:r>
        <w:rPr>
          <w:w w:val="243"/>
          <w:sz w:val="19"/>
        </w:rPr>
        <w:t>l</w:t>
      </w:r>
      <w:r>
        <w:rPr>
          <w:w w:val="112"/>
          <w:sz w:val="19"/>
        </w:rPr>
        <w:t>a</w:t>
      </w:r>
      <w:r>
        <w:rPr>
          <w:sz w:val="19"/>
        </w:rPr>
        <w:t> </w:t>
      </w:r>
      <w:r>
        <w:rPr>
          <w:spacing w:val="-9"/>
          <w:sz w:val="19"/>
        </w:rPr>
        <w:t> </w:t>
      </w:r>
      <w:r>
        <w:rPr>
          <w:w w:val="142"/>
          <w:sz w:val="19"/>
        </w:rPr>
        <w:t>i</w:t>
      </w:r>
      <w:r>
        <w:rPr>
          <w:w w:val="128"/>
          <w:sz w:val="19"/>
        </w:rPr>
        <w:t>E</w:t>
      </w:r>
      <w:r>
        <w:rPr>
          <w:w w:val="139"/>
          <w:sz w:val="19"/>
        </w:rPr>
        <w:t>d</w:t>
      </w:r>
      <w:r>
        <w:rPr>
          <w:sz w:val="19"/>
        </w:rPr>
        <w:t> </w:t>
      </w:r>
      <w:r>
        <w:rPr>
          <w:spacing w:val="-9"/>
          <w:sz w:val="19"/>
        </w:rPr>
        <w:t> </w:t>
      </w:r>
      <w:r>
        <w:rPr>
          <w:w w:val="115"/>
          <w:sz w:val="19"/>
        </w:rPr>
        <w:t>China</w:t>
      </w:r>
      <w:r>
        <w:rPr>
          <w:sz w:val="19"/>
        </w:rPr>
        <w:t> </w:t>
      </w:r>
      <w:r>
        <w:rPr>
          <w:spacing w:val="-9"/>
          <w:sz w:val="19"/>
        </w:rPr>
        <w:t> </w:t>
      </w:r>
      <w:r>
        <w:rPr>
          <w:w w:val="105"/>
          <w:sz w:val="19"/>
        </w:rPr>
        <w:t>se</w:t>
      </w:r>
      <w:r>
        <w:rPr>
          <w:sz w:val="19"/>
        </w:rPr>
        <w:t> </w:t>
      </w:r>
      <w:r>
        <w:rPr>
          <w:spacing w:val="-9"/>
          <w:sz w:val="19"/>
        </w:rPr>
        <w:t> </w:t>
      </w:r>
      <w:r>
        <w:rPr>
          <w:w w:val="112"/>
          <w:sz w:val="19"/>
        </w:rPr>
        <w:t>ha</w:t>
      </w:r>
      <w:r>
        <w:rPr>
          <w:sz w:val="19"/>
        </w:rPr>
        <w:t> </w:t>
      </w:r>
      <w:r>
        <w:rPr>
          <w:spacing w:val="-9"/>
          <w:sz w:val="19"/>
        </w:rPr>
        <w:t> </w:t>
      </w:r>
      <w:r>
        <w:rPr>
          <w:w w:val="109"/>
          <w:sz w:val="19"/>
        </w:rPr>
        <w:t>estimado</w:t>
      </w:r>
      <w:r>
        <w:rPr>
          <w:sz w:val="19"/>
        </w:rPr>
        <w:t> </w:t>
      </w:r>
      <w:r>
        <w:rPr>
          <w:spacing w:val="-9"/>
          <w:sz w:val="19"/>
        </w:rPr>
        <w:t> </w:t>
      </w:r>
      <w:r>
        <w:rPr>
          <w:w w:val="108"/>
          <w:sz w:val="19"/>
        </w:rPr>
        <w:t>en</w:t>
      </w:r>
      <w:r>
        <w:rPr>
          <w:sz w:val="19"/>
        </w:rPr>
        <w:t> </w:t>
      </w:r>
      <w:r>
        <w:rPr>
          <w:spacing w:val="-9"/>
          <w:sz w:val="19"/>
        </w:rPr>
        <w:t> </w:t>
      </w:r>
      <w:r>
        <w:rPr>
          <w:w w:val="109"/>
          <w:sz w:val="19"/>
        </w:rPr>
        <w:t>torno</w:t>
      </w:r>
      <w:r>
        <w:rPr>
          <w:sz w:val="19"/>
        </w:rPr>
        <w:t> </w:t>
      </w:r>
      <w:r>
        <w:rPr>
          <w:spacing w:val="-9"/>
          <w:sz w:val="19"/>
        </w:rPr>
        <w:t> </w:t>
      </w:r>
      <w:r>
        <w:rPr>
          <w:w w:val="112"/>
          <w:sz w:val="19"/>
        </w:rPr>
        <w:t>a</w:t>
      </w:r>
      <w:r>
        <w:rPr>
          <w:sz w:val="19"/>
        </w:rPr>
        <w:t> </w:t>
      </w:r>
      <w:r>
        <w:rPr>
          <w:spacing w:val="-9"/>
          <w:sz w:val="19"/>
        </w:rPr>
        <w:t> </w:t>
      </w:r>
      <w:r>
        <w:rPr>
          <w:w w:val="108"/>
          <w:sz w:val="19"/>
        </w:rPr>
        <w:t>los</w:t>
      </w:r>
      <w:r>
        <w:rPr>
          <w:sz w:val="19"/>
        </w:rPr>
        <w:t> </w:t>
      </w:r>
      <w:r>
        <w:rPr>
          <w:spacing w:val="-9"/>
          <w:sz w:val="19"/>
        </w:rPr>
        <w:t> </w:t>
      </w:r>
      <w:r>
        <w:rPr>
          <w:w w:val="102"/>
          <w:sz w:val="19"/>
        </w:rPr>
        <w:t>10</w:t>
      </w:r>
      <w:r>
        <w:rPr>
          <w:sz w:val="19"/>
        </w:rPr>
        <w:t> </w:t>
      </w:r>
      <w:r>
        <w:rPr>
          <w:spacing w:val="-9"/>
          <w:sz w:val="19"/>
        </w:rPr>
        <w:t> </w:t>
      </w:r>
      <w:r>
        <w:rPr>
          <w:w w:val="113"/>
          <w:sz w:val="19"/>
        </w:rPr>
        <w:t>mil</w:t>
      </w:r>
      <w:r>
        <w:rPr>
          <w:sz w:val="19"/>
        </w:rPr>
        <w:t> </w:t>
      </w:r>
      <w:r>
        <w:rPr>
          <w:spacing w:val="-9"/>
          <w:sz w:val="19"/>
        </w:rPr>
        <w:t> </w:t>
      </w:r>
      <w:r>
        <w:rPr>
          <w:w w:val="110"/>
          <w:sz w:val="19"/>
        </w:rPr>
        <w:t>millones </w:t>
      </w:r>
      <w:r>
        <w:rPr>
          <w:w w:val="120"/>
          <w:sz w:val="19"/>
        </w:rPr>
        <w:t>de dólares al año para la región </w:t>
      </w:r>
      <w:r>
        <w:rPr>
          <w:spacing w:val="-3"/>
          <w:w w:val="120"/>
          <w:sz w:val="19"/>
        </w:rPr>
        <w:t>(CEPal, </w:t>
      </w:r>
      <w:r>
        <w:rPr>
          <w:w w:val="120"/>
          <w:sz w:val="19"/>
        </w:rPr>
        <w:t>2014: 32).</w:t>
      </w:r>
      <w:r>
        <w:rPr>
          <w:spacing w:val="-17"/>
          <w:w w:val="120"/>
          <w:sz w:val="19"/>
        </w:rPr>
        <w:t> </w:t>
      </w:r>
      <w:r>
        <w:rPr>
          <w:w w:val="120"/>
          <w:sz w:val="19"/>
        </w:rPr>
        <w:t>Estados </w:t>
      </w:r>
      <w:r>
        <w:rPr>
          <w:w w:val="115"/>
          <w:sz w:val="19"/>
        </w:rPr>
        <w:t>unidos continuó, en 2013, siendo el país individual principal inversionista</w:t>
      </w:r>
      <w:r>
        <w:rPr>
          <w:spacing w:val="-9"/>
          <w:w w:val="115"/>
          <w:sz w:val="19"/>
        </w:rPr>
        <w:t> </w:t>
      </w:r>
      <w:r>
        <w:rPr>
          <w:w w:val="115"/>
          <w:sz w:val="19"/>
        </w:rPr>
        <w:t>de</w:t>
      </w:r>
      <w:r>
        <w:rPr>
          <w:spacing w:val="-9"/>
          <w:w w:val="115"/>
          <w:sz w:val="19"/>
        </w:rPr>
        <w:t> </w:t>
      </w:r>
      <w:r>
        <w:rPr>
          <w:w w:val="115"/>
          <w:sz w:val="19"/>
        </w:rPr>
        <w:t>la</w:t>
      </w:r>
      <w:r>
        <w:rPr>
          <w:spacing w:val="-9"/>
          <w:w w:val="115"/>
          <w:sz w:val="19"/>
        </w:rPr>
        <w:t> </w:t>
      </w:r>
      <w:r>
        <w:rPr>
          <w:w w:val="115"/>
          <w:sz w:val="19"/>
        </w:rPr>
        <w:t>región</w:t>
      </w:r>
      <w:r>
        <w:rPr>
          <w:spacing w:val="-9"/>
          <w:w w:val="115"/>
          <w:sz w:val="19"/>
        </w:rPr>
        <w:t> </w:t>
      </w:r>
      <w:r>
        <w:rPr>
          <w:spacing w:val="-3"/>
          <w:w w:val="115"/>
          <w:sz w:val="19"/>
        </w:rPr>
        <w:t>(CEPal,</w:t>
      </w:r>
      <w:r>
        <w:rPr>
          <w:spacing w:val="-9"/>
          <w:w w:val="115"/>
          <w:sz w:val="19"/>
        </w:rPr>
        <w:t> </w:t>
      </w:r>
      <w:r>
        <w:rPr>
          <w:w w:val="115"/>
          <w:sz w:val="19"/>
        </w:rPr>
        <w:t>2014:</w:t>
      </w:r>
      <w:r>
        <w:rPr>
          <w:spacing w:val="-9"/>
          <w:w w:val="115"/>
          <w:sz w:val="19"/>
        </w:rPr>
        <w:t> </w:t>
      </w:r>
      <w:r>
        <w:rPr>
          <w:w w:val="115"/>
          <w:sz w:val="19"/>
        </w:rPr>
        <w:t>10).</w:t>
      </w:r>
    </w:p>
    <w:p>
      <w:pPr>
        <w:pStyle w:val="ListParagraph"/>
        <w:numPr>
          <w:ilvl w:val="1"/>
          <w:numId w:val="35"/>
        </w:numPr>
        <w:tabs>
          <w:tab w:pos="955" w:val="left" w:leader="none"/>
        </w:tabs>
        <w:spacing w:line="249" w:lineRule="auto" w:before="42" w:after="0"/>
        <w:ind w:left="954" w:right="118" w:hanging="227"/>
        <w:jc w:val="both"/>
        <w:rPr>
          <w:sz w:val="19"/>
        </w:rPr>
      </w:pPr>
      <w:r>
        <w:rPr>
          <w:w w:val="115"/>
          <w:sz w:val="19"/>
        </w:rPr>
        <w:t>En 2013, Estados unidos fue el principal inversionista en </w:t>
      </w:r>
      <w:r>
        <w:rPr>
          <w:spacing w:val="-5"/>
          <w:w w:val="115"/>
          <w:sz w:val="19"/>
        </w:rPr>
        <w:t>ar- </w:t>
      </w:r>
      <w:r>
        <w:rPr>
          <w:w w:val="115"/>
          <w:sz w:val="19"/>
        </w:rPr>
        <w:t>gentina, Chile, Colombia, Costa rica, México, Nicaragua,</w:t>
      </w:r>
      <w:r>
        <w:rPr>
          <w:spacing w:val="-30"/>
          <w:w w:val="115"/>
          <w:sz w:val="19"/>
        </w:rPr>
        <w:t> </w:t>
      </w:r>
      <w:r>
        <w:rPr>
          <w:w w:val="115"/>
          <w:sz w:val="19"/>
        </w:rPr>
        <w:t>Para- </w:t>
      </w:r>
      <w:r>
        <w:rPr>
          <w:spacing w:val="-5"/>
          <w:w w:val="115"/>
          <w:sz w:val="19"/>
        </w:rPr>
        <w:t>guay, </w:t>
      </w:r>
      <w:r>
        <w:rPr>
          <w:w w:val="115"/>
          <w:sz w:val="19"/>
        </w:rPr>
        <w:t>república dominicana y </w:t>
      </w:r>
      <w:r>
        <w:rPr>
          <w:spacing w:val="-3"/>
          <w:w w:val="115"/>
          <w:sz w:val="19"/>
        </w:rPr>
        <w:t>trinidad </w:t>
      </w:r>
      <w:r>
        <w:rPr>
          <w:w w:val="115"/>
          <w:sz w:val="19"/>
        </w:rPr>
        <w:t>y </w:t>
      </w:r>
      <w:r>
        <w:rPr>
          <w:spacing w:val="-3"/>
          <w:w w:val="115"/>
          <w:sz w:val="19"/>
        </w:rPr>
        <w:t>tobago. </w:t>
      </w:r>
      <w:r>
        <w:rPr>
          <w:w w:val="115"/>
          <w:sz w:val="19"/>
        </w:rPr>
        <w:t>Este mismo país</w:t>
      </w:r>
      <w:r>
        <w:rPr>
          <w:spacing w:val="-19"/>
          <w:w w:val="115"/>
          <w:sz w:val="19"/>
        </w:rPr>
        <w:t> </w:t>
      </w:r>
      <w:r>
        <w:rPr>
          <w:w w:val="115"/>
          <w:sz w:val="19"/>
        </w:rPr>
        <w:t>es</w:t>
      </w:r>
      <w:r>
        <w:rPr>
          <w:spacing w:val="-19"/>
          <w:w w:val="115"/>
          <w:sz w:val="19"/>
        </w:rPr>
        <w:t> </w:t>
      </w:r>
      <w:r>
        <w:rPr>
          <w:w w:val="115"/>
          <w:sz w:val="19"/>
        </w:rPr>
        <w:t>el</w:t>
      </w:r>
      <w:r>
        <w:rPr>
          <w:spacing w:val="-19"/>
          <w:w w:val="115"/>
          <w:sz w:val="19"/>
        </w:rPr>
        <w:t> </w:t>
      </w:r>
      <w:r>
        <w:rPr>
          <w:w w:val="115"/>
          <w:sz w:val="19"/>
        </w:rPr>
        <w:t>segundo</w:t>
      </w:r>
      <w:r>
        <w:rPr>
          <w:spacing w:val="-19"/>
          <w:w w:val="115"/>
          <w:sz w:val="19"/>
        </w:rPr>
        <w:t> </w:t>
      </w:r>
      <w:r>
        <w:rPr>
          <w:w w:val="115"/>
          <w:sz w:val="19"/>
        </w:rPr>
        <w:t>emisor</w:t>
      </w:r>
      <w:r>
        <w:rPr>
          <w:spacing w:val="-19"/>
          <w:w w:val="115"/>
          <w:sz w:val="19"/>
        </w:rPr>
        <w:t> </w:t>
      </w:r>
      <w:r>
        <w:rPr>
          <w:w w:val="115"/>
          <w:sz w:val="19"/>
        </w:rPr>
        <w:t>de</w:t>
      </w:r>
      <w:r>
        <w:rPr>
          <w:spacing w:val="-19"/>
          <w:w w:val="115"/>
          <w:sz w:val="19"/>
        </w:rPr>
        <w:t> </w:t>
      </w:r>
      <w:r>
        <w:rPr>
          <w:w w:val="115"/>
          <w:sz w:val="19"/>
        </w:rPr>
        <w:t>inversiones</w:t>
      </w:r>
      <w:r>
        <w:rPr>
          <w:spacing w:val="-19"/>
          <w:w w:val="115"/>
          <w:sz w:val="19"/>
        </w:rPr>
        <w:t> </w:t>
      </w:r>
      <w:r>
        <w:rPr>
          <w:w w:val="115"/>
          <w:sz w:val="19"/>
        </w:rPr>
        <w:t>en</w:t>
      </w:r>
      <w:r>
        <w:rPr>
          <w:spacing w:val="-19"/>
          <w:w w:val="115"/>
          <w:sz w:val="19"/>
        </w:rPr>
        <w:t> </w:t>
      </w:r>
      <w:r>
        <w:rPr>
          <w:w w:val="115"/>
          <w:sz w:val="19"/>
        </w:rPr>
        <w:t>brasil,</w:t>
      </w:r>
      <w:r>
        <w:rPr>
          <w:spacing w:val="-19"/>
          <w:w w:val="115"/>
          <w:sz w:val="19"/>
        </w:rPr>
        <w:t> </w:t>
      </w:r>
      <w:r>
        <w:rPr>
          <w:w w:val="115"/>
          <w:sz w:val="19"/>
        </w:rPr>
        <w:t>Guatemala, Panamá y Honduras, así como el cuarto en uruguay y no se encuentra entre los cinco primeros en bolivia, Ecuador y El salvador  </w:t>
      </w:r>
      <w:r>
        <w:rPr>
          <w:spacing w:val="-3"/>
          <w:w w:val="115"/>
          <w:sz w:val="19"/>
        </w:rPr>
        <w:t>(CEPal,</w:t>
      </w:r>
      <w:r>
        <w:rPr>
          <w:spacing w:val="13"/>
          <w:w w:val="115"/>
          <w:sz w:val="19"/>
        </w:rPr>
        <w:t> </w:t>
      </w:r>
      <w:r>
        <w:rPr>
          <w:w w:val="115"/>
          <w:sz w:val="19"/>
        </w:rPr>
        <w:t>2014).</w:t>
      </w:r>
    </w:p>
    <w:p>
      <w:pPr>
        <w:pStyle w:val="ListParagraph"/>
        <w:numPr>
          <w:ilvl w:val="1"/>
          <w:numId w:val="35"/>
        </w:numPr>
        <w:tabs>
          <w:tab w:pos="955" w:val="left" w:leader="none"/>
        </w:tabs>
        <w:spacing w:line="249" w:lineRule="auto" w:before="40" w:after="0"/>
        <w:ind w:left="954" w:right="118" w:hanging="227"/>
        <w:jc w:val="both"/>
        <w:rPr>
          <w:sz w:val="19"/>
        </w:rPr>
      </w:pPr>
      <w:r>
        <w:rPr>
          <w:w w:val="115"/>
          <w:sz w:val="19"/>
        </w:rPr>
        <w:t>una</w:t>
      </w:r>
      <w:r>
        <w:rPr>
          <w:spacing w:val="-16"/>
          <w:w w:val="115"/>
          <w:sz w:val="19"/>
        </w:rPr>
        <w:t> </w:t>
      </w:r>
      <w:r>
        <w:rPr>
          <w:w w:val="115"/>
          <w:sz w:val="19"/>
        </w:rPr>
        <w:t>de</w:t>
      </w:r>
      <w:r>
        <w:rPr>
          <w:spacing w:val="-16"/>
          <w:w w:val="115"/>
          <w:sz w:val="19"/>
        </w:rPr>
        <w:t> </w:t>
      </w:r>
      <w:r>
        <w:rPr>
          <w:w w:val="115"/>
          <w:sz w:val="19"/>
        </w:rPr>
        <w:t>las</w:t>
      </w:r>
      <w:r>
        <w:rPr>
          <w:spacing w:val="-16"/>
          <w:w w:val="115"/>
          <w:sz w:val="19"/>
        </w:rPr>
        <w:t> </w:t>
      </w:r>
      <w:r>
        <w:rPr>
          <w:w w:val="115"/>
          <w:sz w:val="19"/>
        </w:rPr>
        <w:t>razones</w:t>
      </w:r>
      <w:r>
        <w:rPr>
          <w:spacing w:val="-16"/>
          <w:w w:val="115"/>
          <w:sz w:val="19"/>
        </w:rPr>
        <w:t> </w:t>
      </w:r>
      <w:r>
        <w:rPr>
          <w:w w:val="115"/>
          <w:sz w:val="19"/>
        </w:rPr>
        <w:t>principales</w:t>
      </w:r>
      <w:r>
        <w:rPr>
          <w:spacing w:val="-16"/>
          <w:w w:val="115"/>
          <w:sz w:val="19"/>
        </w:rPr>
        <w:t> </w:t>
      </w:r>
      <w:r>
        <w:rPr>
          <w:w w:val="115"/>
          <w:sz w:val="19"/>
        </w:rPr>
        <w:t>del</w:t>
      </w:r>
      <w:r>
        <w:rPr>
          <w:spacing w:val="-16"/>
          <w:w w:val="115"/>
          <w:sz w:val="19"/>
        </w:rPr>
        <w:t> </w:t>
      </w:r>
      <w:r>
        <w:rPr>
          <w:w w:val="115"/>
          <w:sz w:val="19"/>
        </w:rPr>
        <w:t>relativo</w:t>
      </w:r>
      <w:r>
        <w:rPr>
          <w:spacing w:val="-16"/>
          <w:w w:val="115"/>
          <w:sz w:val="19"/>
        </w:rPr>
        <w:t> </w:t>
      </w:r>
      <w:r>
        <w:rPr>
          <w:w w:val="115"/>
          <w:sz w:val="19"/>
        </w:rPr>
        <w:t>menor</w:t>
      </w:r>
      <w:r>
        <w:rPr>
          <w:spacing w:val="-16"/>
          <w:w w:val="115"/>
          <w:sz w:val="19"/>
        </w:rPr>
        <w:t> </w:t>
      </w:r>
      <w:r>
        <w:rPr>
          <w:w w:val="115"/>
          <w:sz w:val="19"/>
        </w:rPr>
        <w:t>crecimiento de</w:t>
      </w:r>
      <w:r>
        <w:rPr>
          <w:spacing w:val="-9"/>
          <w:w w:val="115"/>
          <w:sz w:val="19"/>
        </w:rPr>
        <w:t> </w:t>
      </w:r>
      <w:r>
        <w:rPr>
          <w:w w:val="115"/>
          <w:sz w:val="19"/>
        </w:rPr>
        <w:t>la</w:t>
      </w:r>
      <w:r>
        <w:rPr>
          <w:spacing w:val="-9"/>
          <w:w w:val="115"/>
          <w:sz w:val="19"/>
        </w:rPr>
        <w:t> </w:t>
      </w:r>
      <w:r>
        <w:rPr>
          <w:w w:val="115"/>
          <w:sz w:val="19"/>
        </w:rPr>
        <w:t>iEd</w:t>
      </w:r>
      <w:r>
        <w:rPr>
          <w:spacing w:val="-9"/>
          <w:w w:val="115"/>
          <w:sz w:val="19"/>
        </w:rPr>
        <w:t> </w:t>
      </w:r>
      <w:r>
        <w:rPr>
          <w:w w:val="115"/>
          <w:sz w:val="19"/>
        </w:rPr>
        <w:t>en</w:t>
      </w:r>
      <w:r>
        <w:rPr>
          <w:spacing w:val="-9"/>
          <w:w w:val="115"/>
          <w:sz w:val="19"/>
        </w:rPr>
        <w:t> </w:t>
      </w:r>
      <w:r>
        <w:rPr>
          <w:w w:val="115"/>
          <w:sz w:val="19"/>
        </w:rPr>
        <w:t>la</w:t>
      </w:r>
      <w:r>
        <w:rPr>
          <w:spacing w:val="-9"/>
          <w:w w:val="115"/>
          <w:sz w:val="19"/>
        </w:rPr>
        <w:t> </w:t>
      </w:r>
      <w:r>
        <w:rPr>
          <w:w w:val="115"/>
          <w:sz w:val="19"/>
        </w:rPr>
        <w:t>región</w:t>
      </w:r>
      <w:r>
        <w:rPr>
          <w:spacing w:val="-9"/>
          <w:w w:val="115"/>
          <w:sz w:val="19"/>
        </w:rPr>
        <w:t> </w:t>
      </w:r>
      <w:r>
        <w:rPr>
          <w:w w:val="115"/>
          <w:sz w:val="19"/>
        </w:rPr>
        <w:t>en</w:t>
      </w:r>
      <w:r>
        <w:rPr>
          <w:spacing w:val="-9"/>
          <w:w w:val="115"/>
          <w:sz w:val="19"/>
        </w:rPr>
        <w:t> </w:t>
      </w:r>
      <w:r>
        <w:rPr>
          <w:w w:val="115"/>
          <w:sz w:val="19"/>
        </w:rPr>
        <w:t>2013,</w:t>
      </w:r>
      <w:r>
        <w:rPr>
          <w:spacing w:val="-9"/>
          <w:w w:val="115"/>
          <w:sz w:val="19"/>
        </w:rPr>
        <w:t> </w:t>
      </w:r>
      <w:r>
        <w:rPr>
          <w:w w:val="115"/>
          <w:sz w:val="19"/>
        </w:rPr>
        <w:t>se</w:t>
      </w:r>
      <w:r>
        <w:rPr>
          <w:spacing w:val="-9"/>
          <w:w w:val="115"/>
          <w:sz w:val="19"/>
        </w:rPr>
        <w:t> </w:t>
      </w:r>
      <w:r>
        <w:rPr>
          <w:w w:val="115"/>
          <w:sz w:val="19"/>
        </w:rPr>
        <w:t>encuentra</w:t>
      </w:r>
      <w:r>
        <w:rPr>
          <w:spacing w:val="-9"/>
          <w:w w:val="115"/>
          <w:sz w:val="19"/>
        </w:rPr>
        <w:t> </w:t>
      </w:r>
      <w:r>
        <w:rPr>
          <w:w w:val="115"/>
          <w:sz w:val="19"/>
        </w:rPr>
        <w:t>en</w:t>
      </w:r>
      <w:r>
        <w:rPr>
          <w:spacing w:val="-9"/>
          <w:w w:val="115"/>
          <w:sz w:val="19"/>
        </w:rPr>
        <w:t> </w:t>
      </w:r>
      <w:r>
        <w:rPr>
          <w:i/>
          <w:w w:val="115"/>
          <w:sz w:val="19"/>
        </w:rPr>
        <w:t>la</w:t>
      </w:r>
      <w:r>
        <w:rPr>
          <w:i/>
          <w:spacing w:val="-9"/>
          <w:w w:val="115"/>
          <w:sz w:val="19"/>
        </w:rPr>
        <w:t> </w:t>
      </w:r>
      <w:r>
        <w:rPr>
          <w:i/>
          <w:w w:val="115"/>
          <w:sz w:val="19"/>
        </w:rPr>
        <w:t>volatilidad</w:t>
      </w:r>
      <w:r>
        <w:rPr>
          <w:i/>
          <w:spacing w:val="-9"/>
          <w:w w:val="115"/>
          <w:sz w:val="19"/>
        </w:rPr>
        <w:t> </w:t>
      </w:r>
      <w:r>
        <w:rPr>
          <w:i/>
          <w:w w:val="115"/>
          <w:sz w:val="19"/>
        </w:rPr>
        <w:t>e </w:t>
      </w:r>
      <w:r>
        <w:rPr>
          <w:i/>
          <w:w w:val="115"/>
          <w:sz w:val="19"/>
        </w:rPr>
        <w:t>incertidumbre</w:t>
      </w:r>
      <w:r>
        <w:rPr>
          <w:i/>
          <w:spacing w:val="-16"/>
          <w:w w:val="115"/>
          <w:sz w:val="19"/>
        </w:rPr>
        <w:t> </w:t>
      </w:r>
      <w:r>
        <w:rPr>
          <w:i/>
          <w:w w:val="115"/>
          <w:sz w:val="19"/>
        </w:rPr>
        <w:t>en</w:t>
      </w:r>
      <w:r>
        <w:rPr>
          <w:i/>
          <w:spacing w:val="-16"/>
          <w:w w:val="115"/>
          <w:sz w:val="19"/>
        </w:rPr>
        <w:t> </w:t>
      </w:r>
      <w:r>
        <w:rPr>
          <w:i/>
          <w:w w:val="115"/>
          <w:sz w:val="19"/>
        </w:rPr>
        <w:t>los</w:t>
      </w:r>
      <w:r>
        <w:rPr>
          <w:i/>
          <w:spacing w:val="-16"/>
          <w:w w:val="115"/>
          <w:sz w:val="19"/>
        </w:rPr>
        <w:t> </w:t>
      </w:r>
      <w:r>
        <w:rPr>
          <w:i/>
          <w:w w:val="115"/>
          <w:sz w:val="19"/>
        </w:rPr>
        <w:t>mercados</w:t>
      </w:r>
      <w:r>
        <w:rPr>
          <w:i/>
          <w:spacing w:val="-16"/>
          <w:w w:val="115"/>
          <w:sz w:val="19"/>
        </w:rPr>
        <w:t> </w:t>
      </w:r>
      <w:r>
        <w:rPr>
          <w:i/>
          <w:w w:val="115"/>
          <w:sz w:val="19"/>
        </w:rPr>
        <w:t>financieros</w:t>
      </w:r>
      <w:r>
        <w:rPr>
          <w:i/>
          <w:spacing w:val="-16"/>
          <w:w w:val="115"/>
          <w:sz w:val="19"/>
        </w:rPr>
        <w:t> </w:t>
      </w:r>
      <w:r>
        <w:rPr>
          <w:i/>
          <w:w w:val="115"/>
          <w:sz w:val="19"/>
        </w:rPr>
        <w:t>mundiales</w:t>
      </w:r>
      <w:r>
        <w:rPr>
          <w:i/>
          <w:spacing w:val="-16"/>
          <w:w w:val="115"/>
          <w:sz w:val="19"/>
        </w:rPr>
        <w:t> </w:t>
      </w:r>
      <w:r>
        <w:rPr>
          <w:w w:val="115"/>
          <w:sz w:val="19"/>
        </w:rPr>
        <w:t>asociado al</w:t>
      </w:r>
      <w:r>
        <w:rPr>
          <w:spacing w:val="-10"/>
          <w:w w:val="115"/>
          <w:sz w:val="19"/>
        </w:rPr>
        <w:t> </w:t>
      </w:r>
      <w:r>
        <w:rPr>
          <w:w w:val="115"/>
          <w:sz w:val="19"/>
        </w:rPr>
        <w:t>anuncio</w:t>
      </w:r>
      <w:r>
        <w:rPr>
          <w:spacing w:val="-10"/>
          <w:w w:val="115"/>
          <w:sz w:val="19"/>
        </w:rPr>
        <w:t> </w:t>
      </w:r>
      <w:r>
        <w:rPr>
          <w:w w:val="115"/>
          <w:sz w:val="19"/>
        </w:rPr>
        <w:t>de</w:t>
      </w:r>
      <w:r>
        <w:rPr>
          <w:spacing w:val="-10"/>
          <w:w w:val="115"/>
          <w:sz w:val="19"/>
        </w:rPr>
        <w:t> </w:t>
      </w:r>
      <w:r>
        <w:rPr>
          <w:w w:val="115"/>
          <w:sz w:val="19"/>
        </w:rPr>
        <w:t>la</w:t>
      </w:r>
      <w:r>
        <w:rPr>
          <w:spacing w:val="-10"/>
          <w:w w:val="115"/>
          <w:sz w:val="19"/>
        </w:rPr>
        <w:t> </w:t>
      </w:r>
      <w:r>
        <w:rPr>
          <w:w w:val="115"/>
          <w:sz w:val="19"/>
        </w:rPr>
        <w:t>reserva</w:t>
      </w:r>
      <w:r>
        <w:rPr>
          <w:spacing w:val="-10"/>
          <w:w w:val="115"/>
          <w:sz w:val="19"/>
        </w:rPr>
        <w:t> </w:t>
      </w:r>
      <w:r>
        <w:rPr>
          <w:w w:val="115"/>
          <w:sz w:val="19"/>
        </w:rPr>
        <w:t>Federal</w:t>
      </w:r>
      <w:r>
        <w:rPr>
          <w:spacing w:val="-10"/>
          <w:w w:val="115"/>
          <w:sz w:val="19"/>
        </w:rPr>
        <w:t> </w:t>
      </w:r>
      <w:r>
        <w:rPr>
          <w:w w:val="115"/>
          <w:sz w:val="19"/>
        </w:rPr>
        <w:t>de</w:t>
      </w:r>
      <w:r>
        <w:rPr>
          <w:spacing w:val="-10"/>
          <w:w w:val="115"/>
          <w:sz w:val="19"/>
        </w:rPr>
        <w:t> </w:t>
      </w:r>
      <w:r>
        <w:rPr>
          <w:w w:val="115"/>
          <w:sz w:val="19"/>
        </w:rPr>
        <w:t>su</w:t>
      </w:r>
      <w:r>
        <w:rPr>
          <w:spacing w:val="-10"/>
          <w:w w:val="115"/>
          <w:sz w:val="19"/>
        </w:rPr>
        <w:t> </w:t>
      </w:r>
      <w:r>
        <w:rPr>
          <w:w w:val="115"/>
          <w:sz w:val="19"/>
        </w:rPr>
        <w:t>decisión</w:t>
      </w:r>
      <w:r>
        <w:rPr>
          <w:spacing w:val="-10"/>
          <w:w w:val="115"/>
          <w:sz w:val="19"/>
        </w:rPr>
        <w:t> </w:t>
      </w:r>
      <w:r>
        <w:rPr>
          <w:w w:val="115"/>
          <w:sz w:val="19"/>
        </w:rPr>
        <w:t>de</w:t>
      </w:r>
      <w:r>
        <w:rPr>
          <w:spacing w:val="-10"/>
          <w:w w:val="115"/>
          <w:sz w:val="19"/>
        </w:rPr>
        <w:t> </w:t>
      </w:r>
      <w:r>
        <w:rPr>
          <w:w w:val="115"/>
          <w:sz w:val="19"/>
        </w:rPr>
        <w:t>comenzar</w:t>
      </w:r>
      <w:r>
        <w:rPr>
          <w:spacing w:val="-10"/>
          <w:w w:val="115"/>
          <w:sz w:val="19"/>
        </w:rPr>
        <w:t> </w:t>
      </w:r>
      <w:r>
        <w:rPr>
          <w:w w:val="115"/>
          <w:sz w:val="19"/>
        </w:rPr>
        <w:t>a revertir</w:t>
      </w:r>
      <w:r>
        <w:rPr>
          <w:spacing w:val="-17"/>
          <w:w w:val="115"/>
          <w:sz w:val="19"/>
        </w:rPr>
        <w:t> </w:t>
      </w:r>
      <w:r>
        <w:rPr>
          <w:w w:val="115"/>
          <w:sz w:val="19"/>
        </w:rPr>
        <w:t>su</w:t>
      </w:r>
      <w:r>
        <w:rPr>
          <w:spacing w:val="-17"/>
          <w:w w:val="115"/>
          <w:sz w:val="19"/>
        </w:rPr>
        <w:t> </w:t>
      </w:r>
      <w:r>
        <w:rPr>
          <w:w w:val="115"/>
          <w:sz w:val="19"/>
        </w:rPr>
        <w:t>política</w:t>
      </w:r>
      <w:r>
        <w:rPr>
          <w:spacing w:val="-17"/>
          <w:w w:val="115"/>
          <w:sz w:val="19"/>
        </w:rPr>
        <w:t> </w:t>
      </w:r>
      <w:r>
        <w:rPr>
          <w:w w:val="115"/>
          <w:sz w:val="19"/>
        </w:rPr>
        <w:t>de</w:t>
      </w:r>
      <w:r>
        <w:rPr>
          <w:spacing w:val="-17"/>
          <w:w w:val="115"/>
          <w:sz w:val="19"/>
        </w:rPr>
        <w:t> </w:t>
      </w:r>
      <w:r>
        <w:rPr>
          <w:w w:val="115"/>
          <w:sz w:val="19"/>
        </w:rPr>
        <w:t>flexibilización</w:t>
      </w:r>
      <w:r>
        <w:rPr>
          <w:spacing w:val="-17"/>
          <w:w w:val="115"/>
          <w:sz w:val="19"/>
        </w:rPr>
        <w:t> </w:t>
      </w:r>
      <w:r>
        <w:rPr>
          <w:w w:val="115"/>
          <w:sz w:val="19"/>
        </w:rPr>
        <w:t>cuantitativa.</w:t>
      </w:r>
      <w:r>
        <w:rPr>
          <w:spacing w:val="-17"/>
          <w:w w:val="115"/>
          <w:sz w:val="19"/>
        </w:rPr>
        <w:t> </w:t>
      </w:r>
      <w:r>
        <w:rPr>
          <w:w w:val="115"/>
          <w:sz w:val="19"/>
        </w:rPr>
        <w:t>dicha</w:t>
      </w:r>
      <w:r>
        <w:rPr>
          <w:spacing w:val="-17"/>
          <w:w w:val="115"/>
          <w:sz w:val="19"/>
        </w:rPr>
        <w:t> </w:t>
      </w:r>
      <w:r>
        <w:rPr>
          <w:w w:val="115"/>
          <w:sz w:val="19"/>
        </w:rPr>
        <w:t>políti- ca</w:t>
      </w:r>
      <w:r>
        <w:rPr>
          <w:spacing w:val="-13"/>
          <w:w w:val="115"/>
          <w:sz w:val="19"/>
        </w:rPr>
        <w:t> </w:t>
      </w:r>
      <w:r>
        <w:rPr>
          <w:w w:val="115"/>
          <w:sz w:val="19"/>
        </w:rPr>
        <w:t>había</w:t>
      </w:r>
      <w:r>
        <w:rPr>
          <w:spacing w:val="-13"/>
          <w:w w:val="115"/>
          <w:sz w:val="19"/>
        </w:rPr>
        <w:t> </w:t>
      </w:r>
      <w:r>
        <w:rPr>
          <w:w w:val="115"/>
          <w:sz w:val="19"/>
        </w:rPr>
        <w:t>implicado</w:t>
      </w:r>
      <w:r>
        <w:rPr>
          <w:spacing w:val="-13"/>
          <w:w w:val="115"/>
          <w:sz w:val="19"/>
        </w:rPr>
        <w:t> </w:t>
      </w:r>
      <w:r>
        <w:rPr>
          <w:w w:val="115"/>
          <w:sz w:val="19"/>
        </w:rPr>
        <w:t>una</w:t>
      </w:r>
      <w:r>
        <w:rPr>
          <w:spacing w:val="-13"/>
          <w:w w:val="115"/>
          <w:sz w:val="19"/>
        </w:rPr>
        <w:t> </w:t>
      </w:r>
      <w:r>
        <w:rPr>
          <w:w w:val="115"/>
          <w:sz w:val="19"/>
        </w:rPr>
        <w:t>reducción</w:t>
      </w:r>
      <w:r>
        <w:rPr>
          <w:spacing w:val="-13"/>
          <w:w w:val="115"/>
          <w:sz w:val="19"/>
        </w:rPr>
        <w:t> </w:t>
      </w:r>
      <w:r>
        <w:rPr>
          <w:w w:val="115"/>
          <w:sz w:val="19"/>
        </w:rPr>
        <w:t>de</w:t>
      </w:r>
      <w:r>
        <w:rPr>
          <w:spacing w:val="-13"/>
          <w:w w:val="115"/>
          <w:sz w:val="19"/>
        </w:rPr>
        <w:t> </w:t>
      </w:r>
      <w:r>
        <w:rPr>
          <w:w w:val="115"/>
          <w:sz w:val="19"/>
        </w:rPr>
        <w:t>la</w:t>
      </w:r>
      <w:r>
        <w:rPr>
          <w:spacing w:val="-13"/>
          <w:w w:val="115"/>
          <w:sz w:val="19"/>
        </w:rPr>
        <w:t> </w:t>
      </w:r>
      <w:r>
        <w:rPr>
          <w:w w:val="115"/>
          <w:sz w:val="19"/>
        </w:rPr>
        <w:t>rentabilidad</w:t>
      </w:r>
      <w:r>
        <w:rPr>
          <w:spacing w:val="-13"/>
          <w:w w:val="115"/>
          <w:sz w:val="19"/>
        </w:rPr>
        <w:t> </w:t>
      </w:r>
      <w:r>
        <w:rPr>
          <w:w w:val="115"/>
          <w:sz w:val="19"/>
        </w:rPr>
        <w:t>en</w:t>
      </w:r>
      <w:r>
        <w:rPr>
          <w:spacing w:val="-13"/>
          <w:w w:val="115"/>
          <w:sz w:val="19"/>
        </w:rPr>
        <w:t> </w:t>
      </w:r>
      <w:r>
        <w:rPr>
          <w:w w:val="115"/>
          <w:sz w:val="19"/>
        </w:rPr>
        <w:t>los</w:t>
      </w:r>
      <w:r>
        <w:rPr>
          <w:spacing w:val="-13"/>
          <w:w w:val="115"/>
          <w:sz w:val="19"/>
        </w:rPr>
        <w:t> </w:t>
      </w:r>
      <w:r>
        <w:rPr>
          <w:w w:val="115"/>
          <w:sz w:val="19"/>
        </w:rPr>
        <w:t>Es- tados unidos, aumentando la atracción de los inversionistas hacia mercados emergentes </w:t>
      </w:r>
      <w:r>
        <w:rPr>
          <w:spacing w:val="-3"/>
          <w:w w:val="115"/>
          <w:sz w:val="19"/>
        </w:rPr>
        <w:t>(CEPal, </w:t>
      </w:r>
      <w:r>
        <w:rPr>
          <w:w w:val="115"/>
          <w:sz w:val="19"/>
        </w:rPr>
        <w:t>2014: 22). Ello indica la influencia</w:t>
      </w:r>
      <w:r>
        <w:rPr>
          <w:spacing w:val="-16"/>
          <w:w w:val="115"/>
          <w:sz w:val="19"/>
        </w:rPr>
        <w:t> </w:t>
      </w:r>
      <w:r>
        <w:rPr>
          <w:w w:val="115"/>
          <w:sz w:val="19"/>
        </w:rPr>
        <w:t>fundamental</w:t>
      </w:r>
      <w:r>
        <w:rPr>
          <w:spacing w:val="-16"/>
          <w:w w:val="115"/>
          <w:sz w:val="19"/>
        </w:rPr>
        <w:t> </w:t>
      </w:r>
      <w:r>
        <w:rPr>
          <w:w w:val="115"/>
          <w:sz w:val="19"/>
        </w:rPr>
        <w:t>de</w:t>
      </w:r>
      <w:r>
        <w:rPr>
          <w:spacing w:val="-16"/>
          <w:w w:val="115"/>
          <w:sz w:val="19"/>
        </w:rPr>
        <w:t> </w:t>
      </w:r>
      <w:r>
        <w:rPr>
          <w:w w:val="115"/>
          <w:sz w:val="19"/>
        </w:rPr>
        <w:t>la</w:t>
      </w:r>
      <w:r>
        <w:rPr>
          <w:spacing w:val="-16"/>
          <w:w w:val="115"/>
          <w:sz w:val="19"/>
        </w:rPr>
        <w:t> </w:t>
      </w:r>
      <w:r>
        <w:rPr>
          <w:w w:val="115"/>
          <w:sz w:val="19"/>
        </w:rPr>
        <w:t>dinámica</w:t>
      </w:r>
      <w:r>
        <w:rPr>
          <w:spacing w:val="-16"/>
          <w:w w:val="115"/>
          <w:sz w:val="19"/>
        </w:rPr>
        <w:t> </w:t>
      </w:r>
      <w:r>
        <w:rPr>
          <w:w w:val="115"/>
          <w:sz w:val="19"/>
        </w:rPr>
        <w:t>económica</w:t>
      </w:r>
      <w:r>
        <w:rPr>
          <w:spacing w:val="-16"/>
          <w:w w:val="115"/>
          <w:sz w:val="19"/>
        </w:rPr>
        <w:t> </w:t>
      </w:r>
      <w:r>
        <w:rPr>
          <w:w w:val="115"/>
          <w:sz w:val="19"/>
        </w:rPr>
        <w:t>de</w:t>
      </w:r>
      <w:r>
        <w:rPr>
          <w:spacing w:val="-16"/>
          <w:w w:val="115"/>
          <w:sz w:val="19"/>
        </w:rPr>
        <w:t> </w:t>
      </w:r>
      <w:r>
        <w:rPr>
          <w:w w:val="115"/>
          <w:sz w:val="19"/>
        </w:rPr>
        <w:t>este</w:t>
      </w:r>
      <w:r>
        <w:rPr>
          <w:spacing w:val="-16"/>
          <w:w w:val="115"/>
          <w:sz w:val="19"/>
        </w:rPr>
        <w:t> </w:t>
      </w:r>
      <w:r>
        <w:rPr>
          <w:w w:val="115"/>
          <w:sz w:val="19"/>
        </w:rPr>
        <w:t>país sobre</w:t>
      </w:r>
      <w:r>
        <w:rPr>
          <w:spacing w:val="-18"/>
          <w:w w:val="115"/>
          <w:sz w:val="19"/>
        </w:rPr>
        <w:t> </w:t>
      </w:r>
      <w:r>
        <w:rPr>
          <w:w w:val="115"/>
          <w:sz w:val="19"/>
        </w:rPr>
        <w:t>la</w:t>
      </w:r>
      <w:r>
        <w:rPr>
          <w:spacing w:val="-18"/>
          <w:w w:val="115"/>
          <w:sz w:val="19"/>
        </w:rPr>
        <w:t> </w:t>
      </w:r>
      <w:r>
        <w:rPr>
          <w:w w:val="115"/>
          <w:sz w:val="19"/>
        </w:rPr>
        <w:t>entrada</w:t>
      </w:r>
      <w:r>
        <w:rPr>
          <w:spacing w:val="-18"/>
          <w:w w:val="115"/>
          <w:sz w:val="19"/>
        </w:rPr>
        <w:t> </w:t>
      </w:r>
      <w:r>
        <w:rPr>
          <w:w w:val="115"/>
          <w:sz w:val="19"/>
        </w:rPr>
        <w:t>de</w:t>
      </w:r>
      <w:r>
        <w:rPr>
          <w:spacing w:val="-18"/>
          <w:w w:val="115"/>
          <w:sz w:val="19"/>
        </w:rPr>
        <w:t> </w:t>
      </w:r>
      <w:r>
        <w:rPr>
          <w:w w:val="115"/>
          <w:sz w:val="19"/>
        </w:rPr>
        <w:t>flujos</w:t>
      </w:r>
      <w:r>
        <w:rPr>
          <w:spacing w:val="-18"/>
          <w:w w:val="115"/>
          <w:sz w:val="19"/>
        </w:rPr>
        <w:t> </w:t>
      </w:r>
      <w:r>
        <w:rPr>
          <w:w w:val="115"/>
          <w:sz w:val="19"/>
        </w:rPr>
        <w:t>de</w:t>
      </w:r>
      <w:r>
        <w:rPr>
          <w:spacing w:val="-18"/>
          <w:w w:val="115"/>
          <w:sz w:val="19"/>
        </w:rPr>
        <w:t> </w:t>
      </w:r>
      <w:r>
        <w:rPr>
          <w:w w:val="115"/>
          <w:sz w:val="19"/>
        </w:rPr>
        <w:t>inversión</w:t>
      </w:r>
      <w:r>
        <w:rPr>
          <w:spacing w:val="-18"/>
          <w:w w:val="115"/>
          <w:sz w:val="19"/>
        </w:rPr>
        <w:t> </w:t>
      </w:r>
      <w:r>
        <w:rPr>
          <w:w w:val="115"/>
          <w:sz w:val="19"/>
        </w:rPr>
        <w:t>a</w:t>
      </w:r>
      <w:r>
        <w:rPr>
          <w:spacing w:val="-18"/>
          <w:w w:val="115"/>
          <w:sz w:val="19"/>
        </w:rPr>
        <w:t> </w:t>
      </w:r>
      <w:r>
        <w:rPr>
          <w:w w:val="115"/>
          <w:sz w:val="19"/>
        </w:rPr>
        <w:t>la</w:t>
      </w:r>
      <w:r>
        <w:rPr>
          <w:spacing w:val="-18"/>
          <w:w w:val="115"/>
          <w:sz w:val="19"/>
        </w:rPr>
        <w:t> </w:t>
      </w:r>
      <w:r>
        <w:rPr>
          <w:w w:val="115"/>
          <w:sz w:val="19"/>
        </w:rPr>
        <w:t>región.</w:t>
      </w:r>
    </w:p>
    <w:p>
      <w:pPr>
        <w:pStyle w:val="BodyText"/>
        <w:spacing w:before="1"/>
        <w:rPr>
          <w:sz w:val="20"/>
        </w:rPr>
      </w:pPr>
    </w:p>
    <w:p>
      <w:pPr>
        <w:pStyle w:val="BodyText"/>
        <w:spacing w:line="252" w:lineRule="auto"/>
        <w:ind w:left="330" w:right="117"/>
        <w:jc w:val="both"/>
      </w:pPr>
      <w:r>
        <w:rPr>
          <w:i/>
          <w:w w:val="110"/>
        </w:rPr>
        <w:t>Rasgo</w:t>
      </w:r>
      <w:r>
        <w:rPr>
          <w:i/>
          <w:spacing w:val="19"/>
        </w:rPr>
        <w:t> </w:t>
      </w:r>
      <w:r>
        <w:rPr>
          <w:i/>
          <w:w w:val="107"/>
        </w:rPr>
        <w:t>8</w:t>
      </w:r>
      <w:r>
        <w:rPr>
          <w:w w:val="107"/>
        </w:rPr>
        <w:t>:</w:t>
      </w:r>
      <w:r>
        <w:rPr>
          <w:spacing w:val="19"/>
        </w:rPr>
        <w:t> </w:t>
      </w:r>
      <w:r>
        <w:rPr>
          <w:w w:val="243"/>
        </w:rPr>
        <w:t>l</w:t>
      </w:r>
      <w:r>
        <w:rPr>
          <w:w w:val="112"/>
        </w:rPr>
        <w:t>a</w:t>
      </w:r>
      <w:r>
        <w:rPr>
          <w:spacing w:val="19"/>
        </w:rPr>
        <w:t> </w:t>
      </w:r>
      <w:r>
        <w:rPr>
          <w:w w:val="109"/>
        </w:rPr>
        <w:t>mayor</w:t>
      </w:r>
      <w:r>
        <w:rPr>
          <w:spacing w:val="19"/>
        </w:rPr>
        <w:t> </w:t>
      </w:r>
      <w:r>
        <w:rPr>
          <w:w w:val="107"/>
        </w:rPr>
        <w:t>parte</w:t>
      </w:r>
      <w:r>
        <w:rPr>
          <w:spacing w:val="19"/>
        </w:rPr>
        <w:t> </w:t>
      </w:r>
      <w:r>
        <w:rPr>
          <w:w w:val="107"/>
        </w:rPr>
        <w:t>de</w:t>
      </w:r>
      <w:r>
        <w:rPr>
          <w:spacing w:val="19"/>
        </w:rPr>
        <w:t> </w:t>
      </w:r>
      <w:r>
        <w:rPr>
          <w:w w:val="109"/>
        </w:rPr>
        <w:t>las</w:t>
      </w:r>
      <w:r>
        <w:rPr>
          <w:spacing w:val="19"/>
        </w:rPr>
        <w:t> </w:t>
      </w:r>
      <w:r>
        <w:rPr>
          <w:w w:val="105"/>
        </w:rPr>
        <w:t>reservas</w:t>
      </w:r>
      <w:r>
        <w:rPr>
          <w:spacing w:val="19"/>
        </w:rPr>
        <w:t> </w:t>
      </w:r>
      <w:r>
        <w:rPr>
          <w:w w:val="110"/>
        </w:rPr>
        <w:t>internacionales</w:t>
      </w:r>
      <w:r>
        <w:rPr>
          <w:spacing w:val="19"/>
        </w:rPr>
        <w:t> </w:t>
      </w:r>
      <w:r>
        <w:rPr>
          <w:w w:val="107"/>
        </w:rPr>
        <w:t>de</w:t>
      </w:r>
      <w:r>
        <w:rPr>
          <w:spacing w:val="19"/>
        </w:rPr>
        <w:t> </w:t>
      </w:r>
      <w:r>
        <w:rPr>
          <w:w w:val="108"/>
        </w:rPr>
        <w:t>los</w:t>
      </w:r>
      <w:r>
        <w:rPr>
          <w:spacing w:val="19"/>
        </w:rPr>
        <w:t> </w:t>
      </w:r>
      <w:r>
        <w:rPr>
          <w:w w:val="108"/>
        </w:rPr>
        <w:t>países </w:t>
      </w:r>
      <w:r>
        <w:rPr>
          <w:w w:val="107"/>
        </w:rPr>
        <w:t>de</w:t>
      </w:r>
      <w:r>
        <w:rPr>
          <w:spacing w:val="14"/>
        </w:rPr>
        <w:t> </w:t>
      </w:r>
      <w:r>
        <w:rPr>
          <w:w w:val="139"/>
        </w:rPr>
        <w:t>a</w:t>
      </w:r>
      <w:r>
        <w:rPr>
          <w:w w:val="111"/>
        </w:rPr>
        <w:t>mérica</w:t>
      </w:r>
      <w:r>
        <w:rPr>
          <w:spacing w:val="14"/>
        </w:rPr>
        <w:t> </w:t>
      </w:r>
      <w:r>
        <w:rPr>
          <w:w w:val="243"/>
        </w:rPr>
        <w:t>l</w:t>
      </w:r>
      <w:r>
        <w:rPr>
          <w:w w:val="111"/>
        </w:rPr>
        <w:t>atina</w:t>
      </w:r>
      <w:r>
        <w:rPr>
          <w:spacing w:val="14"/>
        </w:rPr>
        <w:t> </w:t>
      </w:r>
      <w:r>
        <w:rPr>
          <w:w w:val="105"/>
        </w:rPr>
        <w:t>y</w:t>
      </w:r>
      <w:r>
        <w:rPr>
          <w:spacing w:val="14"/>
        </w:rPr>
        <w:t> </w:t>
      </w:r>
      <w:r>
        <w:rPr>
          <w:w w:val="107"/>
        </w:rPr>
        <w:t>el</w:t>
      </w:r>
      <w:r>
        <w:rPr>
          <w:spacing w:val="14"/>
        </w:rPr>
        <w:t> </w:t>
      </w:r>
      <w:r>
        <w:rPr>
          <w:w w:val="112"/>
        </w:rPr>
        <w:t>Caribe</w:t>
      </w:r>
      <w:r>
        <w:rPr>
          <w:spacing w:val="14"/>
        </w:rPr>
        <w:t> </w:t>
      </w:r>
      <w:r>
        <w:rPr>
          <w:w w:val="105"/>
        </w:rPr>
        <w:t>se</w:t>
      </w:r>
      <w:r>
        <w:rPr>
          <w:spacing w:val="14"/>
        </w:rPr>
        <w:t> </w:t>
      </w:r>
      <w:r>
        <w:rPr>
          <w:w w:val="109"/>
        </w:rPr>
        <w:t>encuentran</w:t>
      </w:r>
      <w:r>
        <w:rPr>
          <w:spacing w:val="14"/>
        </w:rPr>
        <w:t> </w:t>
      </w:r>
      <w:r>
        <w:rPr>
          <w:w w:val="110"/>
        </w:rPr>
        <w:t>denominadas</w:t>
      </w:r>
      <w:r>
        <w:rPr>
          <w:spacing w:val="14"/>
        </w:rPr>
        <w:t> </w:t>
      </w:r>
      <w:r>
        <w:rPr>
          <w:w w:val="108"/>
        </w:rPr>
        <w:t>en</w:t>
      </w:r>
      <w:r>
        <w:rPr>
          <w:spacing w:val="14"/>
        </w:rPr>
        <w:t> </w:t>
      </w:r>
      <w:r>
        <w:rPr>
          <w:w w:val="108"/>
        </w:rPr>
        <w:t>dólares </w:t>
      </w:r>
      <w:r>
        <w:rPr>
          <w:w w:val="110"/>
        </w:rPr>
        <w:t>estadounidenses (especialmente en los países exportadores de petró- </w:t>
      </w:r>
      <w:r>
        <w:rPr>
          <w:w w:val="115"/>
        </w:rPr>
        <w:t>leo</w:t>
      </w:r>
      <w:r>
        <w:rPr>
          <w:spacing w:val="-8"/>
          <w:w w:val="115"/>
        </w:rPr>
        <w:t> </w:t>
      </w:r>
      <w:r>
        <w:rPr>
          <w:w w:val="115"/>
        </w:rPr>
        <w:t>de</w:t>
      </w:r>
      <w:r>
        <w:rPr>
          <w:spacing w:val="-8"/>
          <w:w w:val="115"/>
        </w:rPr>
        <w:t> </w:t>
      </w:r>
      <w:r>
        <w:rPr>
          <w:w w:val="115"/>
        </w:rPr>
        <w:t>la</w:t>
      </w:r>
      <w:r>
        <w:rPr>
          <w:spacing w:val="-8"/>
          <w:w w:val="115"/>
        </w:rPr>
        <w:t> </w:t>
      </w:r>
      <w:r>
        <w:rPr>
          <w:w w:val="115"/>
        </w:rPr>
        <w:t>región),</w:t>
      </w:r>
      <w:r>
        <w:rPr>
          <w:spacing w:val="-8"/>
          <w:w w:val="115"/>
        </w:rPr>
        <w:t> </w:t>
      </w:r>
      <w:r>
        <w:rPr>
          <w:w w:val="115"/>
        </w:rPr>
        <w:t>a</w:t>
      </w:r>
      <w:r>
        <w:rPr>
          <w:spacing w:val="-8"/>
          <w:w w:val="115"/>
        </w:rPr>
        <w:t> </w:t>
      </w:r>
      <w:r>
        <w:rPr>
          <w:w w:val="115"/>
        </w:rPr>
        <w:t>pesar</w:t>
      </w:r>
      <w:r>
        <w:rPr>
          <w:spacing w:val="-8"/>
          <w:w w:val="115"/>
        </w:rPr>
        <w:t> </w:t>
      </w:r>
      <w:r>
        <w:rPr>
          <w:w w:val="115"/>
        </w:rPr>
        <w:t>de</w:t>
      </w:r>
      <w:r>
        <w:rPr>
          <w:spacing w:val="-8"/>
          <w:w w:val="115"/>
        </w:rPr>
        <w:t> </w:t>
      </w:r>
      <w:r>
        <w:rPr>
          <w:w w:val="115"/>
        </w:rPr>
        <w:t>algunos</w:t>
      </w:r>
      <w:r>
        <w:rPr>
          <w:spacing w:val="-8"/>
          <w:w w:val="115"/>
        </w:rPr>
        <w:t> </w:t>
      </w:r>
      <w:r>
        <w:rPr>
          <w:w w:val="115"/>
        </w:rPr>
        <w:t>esfuerzos</w:t>
      </w:r>
      <w:r>
        <w:rPr>
          <w:spacing w:val="-8"/>
          <w:w w:val="115"/>
        </w:rPr>
        <w:t> </w:t>
      </w:r>
      <w:r>
        <w:rPr>
          <w:w w:val="115"/>
        </w:rPr>
        <w:t>e</w:t>
      </w:r>
      <w:r>
        <w:rPr>
          <w:spacing w:val="-8"/>
          <w:w w:val="115"/>
        </w:rPr>
        <w:t> </w:t>
      </w:r>
      <w:r>
        <w:rPr>
          <w:w w:val="115"/>
        </w:rPr>
        <w:t>iniciativas</w:t>
      </w:r>
      <w:r>
        <w:rPr>
          <w:spacing w:val="-8"/>
          <w:w w:val="115"/>
        </w:rPr>
        <w:t> </w:t>
      </w:r>
      <w:r>
        <w:rPr>
          <w:w w:val="115"/>
        </w:rPr>
        <w:t>de</w:t>
      </w:r>
      <w:r>
        <w:rPr>
          <w:spacing w:val="-8"/>
          <w:w w:val="115"/>
        </w:rPr>
        <w:t> </w:t>
      </w:r>
      <w:r>
        <w:rPr>
          <w:w w:val="115"/>
        </w:rPr>
        <w:t>varios gobiernos</w:t>
      </w:r>
      <w:r>
        <w:rPr>
          <w:spacing w:val="-18"/>
          <w:w w:val="115"/>
        </w:rPr>
        <w:t> </w:t>
      </w:r>
      <w:r>
        <w:rPr>
          <w:w w:val="115"/>
        </w:rPr>
        <w:t>de</w:t>
      </w:r>
      <w:r>
        <w:rPr>
          <w:spacing w:val="-18"/>
          <w:w w:val="115"/>
        </w:rPr>
        <w:t> </w:t>
      </w:r>
      <w:r>
        <w:rPr>
          <w:w w:val="115"/>
        </w:rPr>
        <w:t>la</w:t>
      </w:r>
      <w:r>
        <w:rPr>
          <w:spacing w:val="-18"/>
          <w:w w:val="115"/>
        </w:rPr>
        <w:t> </w:t>
      </w:r>
      <w:r>
        <w:rPr>
          <w:w w:val="115"/>
        </w:rPr>
        <w:t>región</w:t>
      </w:r>
      <w:r>
        <w:rPr>
          <w:spacing w:val="-18"/>
          <w:w w:val="115"/>
        </w:rPr>
        <w:t> </w:t>
      </w:r>
      <w:r>
        <w:rPr>
          <w:w w:val="115"/>
        </w:rPr>
        <w:t>para</w:t>
      </w:r>
      <w:r>
        <w:rPr>
          <w:spacing w:val="-18"/>
          <w:w w:val="115"/>
        </w:rPr>
        <w:t> </w:t>
      </w:r>
      <w:r>
        <w:rPr>
          <w:w w:val="115"/>
        </w:rPr>
        <w:t>diversificar</w:t>
      </w:r>
      <w:r>
        <w:rPr>
          <w:spacing w:val="-18"/>
          <w:w w:val="115"/>
        </w:rPr>
        <w:t> </w:t>
      </w:r>
      <w:r>
        <w:rPr>
          <w:w w:val="115"/>
        </w:rPr>
        <w:t>la</w:t>
      </w:r>
      <w:r>
        <w:rPr>
          <w:spacing w:val="-18"/>
          <w:w w:val="115"/>
        </w:rPr>
        <w:t> </w:t>
      </w:r>
      <w:r>
        <w:rPr>
          <w:w w:val="115"/>
        </w:rPr>
        <w:t>composición</w:t>
      </w:r>
      <w:r>
        <w:rPr>
          <w:spacing w:val="-18"/>
          <w:w w:val="115"/>
        </w:rPr>
        <w:t> </w:t>
      </w:r>
      <w:r>
        <w:rPr>
          <w:w w:val="115"/>
        </w:rPr>
        <w:t>monetaria</w:t>
      </w:r>
      <w:r>
        <w:rPr>
          <w:spacing w:val="-18"/>
          <w:w w:val="115"/>
        </w:rPr>
        <w:t> </w:t>
      </w:r>
      <w:r>
        <w:rPr>
          <w:w w:val="115"/>
        </w:rPr>
        <w:t>de las reservas internacionales. aunque no se cuenta con información estadística</w:t>
      </w:r>
      <w:r>
        <w:rPr>
          <w:spacing w:val="-15"/>
          <w:w w:val="115"/>
        </w:rPr>
        <w:t> </w:t>
      </w:r>
      <w:r>
        <w:rPr>
          <w:w w:val="115"/>
        </w:rPr>
        <w:t>lo</w:t>
      </w:r>
      <w:r>
        <w:rPr>
          <w:spacing w:val="-15"/>
          <w:w w:val="115"/>
        </w:rPr>
        <w:t> </w:t>
      </w:r>
      <w:r>
        <w:rPr>
          <w:w w:val="115"/>
        </w:rPr>
        <w:t>suficientemente</w:t>
      </w:r>
      <w:r>
        <w:rPr>
          <w:spacing w:val="-15"/>
          <w:w w:val="115"/>
        </w:rPr>
        <w:t> </w:t>
      </w:r>
      <w:r>
        <w:rPr>
          <w:w w:val="115"/>
        </w:rPr>
        <w:t>detallada</w:t>
      </w:r>
      <w:r>
        <w:rPr>
          <w:spacing w:val="-15"/>
          <w:w w:val="115"/>
        </w:rPr>
        <w:t> </w:t>
      </w:r>
      <w:r>
        <w:rPr>
          <w:w w:val="115"/>
        </w:rPr>
        <w:t>sobre</w:t>
      </w:r>
      <w:r>
        <w:rPr>
          <w:spacing w:val="-15"/>
          <w:w w:val="115"/>
        </w:rPr>
        <w:t> </w:t>
      </w:r>
      <w:r>
        <w:rPr>
          <w:w w:val="115"/>
        </w:rPr>
        <w:t>la</w:t>
      </w:r>
      <w:r>
        <w:rPr>
          <w:spacing w:val="-15"/>
          <w:w w:val="115"/>
        </w:rPr>
        <w:t> </w:t>
      </w:r>
      <w:r>
        <w:rPr>
          <w:w w:val="115"/>
        </w:rPr>
        <w:t>composición</w:t>
      </w:r>
      <w:r>
        <w:rPr>
          <w:spacing w:val="-15"/>
          <w:w w:val="115"/>
        </w:rPr>
        <w:t> </w:t>
      </w:r>
      <w:r>
        <w:rPr>
          <w:w w:val="115"/>
        </w:rPr>
        <w:t>mone-</w:t>
      </w:r>
    </w:p>
    <w:p>
      <w:pPr>
        <w:pStyle w:val="BodyText"/>
        <w:spacing w:before="6"/>
        <w:rPr>
          <w:sz w:val="21"/>
        </w:rPr>
      </w:pPr>
      <w:r>
        <w:rPr/>
        <w:pict>
          <v:line style="position:absolute;mso-position-horizontal-relative:page;mso-position-vertical-relative:paragraph;z-index:9448;mso-wrap-distance-left:0;mso-wrap-distance-right:0" from="76.5354pt,14.855725pt" to="104.8814pt,14.855725pt" stroked="true" strokeweight=".5pt" strokecolor="#000000">
            <w10:wrap type="topAndBottom"/>
          </v:line>
        </w:pict>
      </w:r>
    </w:p>
    <w:p>
      <w:pPr>
        <w:pStyle w:val="ListParagraph"/>
        <w:numPr>
          <w:ilvl w:val="0"/>
          <w:numId w:val="35"/>
        </w:numPr>
        <w:tabs>
          <w:tab w:pos="586" w:val="left" w:leader="none"/>
        </w:tabs>
        <w:spacing w:line="242" w:lineRule="auto" w:before="89" w:after="0"/>
        <w:ind w:left="330" w:right="117" w:firstLine="0"/>
        <w:jc w:val="both"/>
        <w:rPr>
          <w:sz w:val="16"/>
        </w:rPr>
      </w:pPr>
      <w:r>
        <w:rPr>
          <w:w w:val="110"/>
          <w:sz w:val="16"/>
        </w:rPr>
        <w:t>Estados unidos permanece como líder mundial en términos de stock de inversión extranjera en el exterior (alrededor de 4.8 mil millones de dólares de in- versiones en el exterior. China ocupa el lugar número 15 (con alrededor de 540 mil millones), luego de varios países europeos como reino unido, alemania, Francia, suiza,</w:t>
      </w:r>
      <w:r>
        <w:rPr>
          <w:spacing w:val="16"/>
          <w:w w:val="110"/>
          <w:sz w:val="16"/>
        </w:rPr>
        <w:t> </w:t>
      </w:r>
      <w:r>
        <w:rPr>
          <w:w w:val="110"/>
          <w:sz w:val="16"/>
        </w:rPr>
        <w:t>bélgica,</w:t>
      </w:r>
      <w:r>
        <w:rPr>
          <w:spacing w:val="16"/>
          <w:w w:val="110"/>
          <w:sz w:val="16"/>
        </w:rPr>
        <w:t> </w:t>
      </w:r>
      <w:r>
        <w:rPr>
          <w:w w:val="110"/>
          <w:sz w:val="16"/>
        </w:rPr>
        <w:t>Holanda,</w:t>
      </w:r>
      <w:r>
        <w:rPr>
          <w:spacing w:val="16"/>
          <w:w w:val="110"/>
          <w:sz w:val="16"/>
        </w:rPr>
        <w:t> </w:t>
      </w:r>
      <w:r>
        <w:rPr>
          <w:w w:val="110"/>
          <w:sz w:val="16"/>
        </w:rPr>
        <w:t>irlanda,</w:t>
      </w:r>
      <w:r>
        <w:rPr>
          <w:spacing w:val="16"/>
          <w:w w:val="110"/>
          <w:sz w:val="16"/>
        </w:rPr>
        <w:t> </w:t>
      </w:r>
      <w:r>
        <w:rPr>
          <w:w w:val="110"/>
          <w:sz w:val="16"/>
        </w:rPr>
        <w:t>España,</w:t>
      </w:r>
      <w:r>
        <w:rPr>
          <w:spacing w:val="16"/>
          <w:w w:val="110"/>
          <w:sz w:val="16"/>
        </w:rPr>
        <w:t> </w:t>
      </w:r>
      <w:r>
        <w:rPr>
          <w:w w:val="110"/>
          <w:sz w:val="16"/>
        </w:rPr>
        <w:t>italia</w:t>
      </w:r>
      <w:r>
        <w:rPr>
          <w:spacing w:val="16"/>
          <w:w w:val="110"/>
          <w:sz w:val="16"/>
        </w:rPr>
        <w:t> </w:t>
      </w:r>
      <w:r>
        <w:rPr>
          <w:w w:val="110"/>
          <w:sz w:val="16"/>
        </w:rPr>
        <w:t>y</w:t>
      </w:r>
      <w:r>
        <w:rPr>
          <w:spacing w:val="16"/>
          <w:w w:val="110"/>
          <w:sz w:val="16"/>
        </w:rPr>
        <w:t> </w:t>
      </w:r>
      <w:r>
        <w:rPr>
          <w:w w:val="110"/>
          <w:sz w:val="16"/>
        </w:rPr>
        <w:t>suecia,</w:t>
      </w:r>
      <w:r>
        <w:rPr>
          <w:spacing w:val="16"/>
          <w:w w:val="110"/>
          <w:sz w:val="16"/>
        </w:rPr>
        <w:t> </w:t>
      </w:r>
      <w:r>
        <w:rPr>
          <w:w w:val="110"/>
          <w:sz w:val="16"/>
        </w:rPr>
        <w:t>entre</w:t>
      </w:r>
      <w:r>
        <w:rPr>
          <w:spacing w:val="16"/>
          <w:w w:val="110"/>
          <w:sz w:val="16"/>
        </w:rPr>
        <w:t> </w:t>
      </w:r>
      <w:r>
        <w:rPr>
          <w:w w:val="110"/>
          <w:sz w:val="16"/>
        </w:rPr>
        <w:t>otros</w:t>
      </w:r>
      <w:r>
        <w:rPr>
          <w:spacing w:val="16"/>
          <w:w w:val="110"/>
          <w:sz w:val="16"/>
        </w:rPr>
        <w:t> </w:t>
      </w:r>
      <w:r>
        <w:rPr>
          <w:w w:val="110"/>
          <w:sz w:val="16"/>
        </w:rPr>
        <w:t>(Cia,</w:t>
      </w:r>
      <w:r>
        <w:rPr>
          <w:spacing w:val="16"/>
          <w:w w:val="110"/>
          <w:sz w:val="16"/>
        </w:rPr>
        <w:t> </w:t>
      </w:r>
      <w:r>
        <w:rPr>
          <w:w w:val="110"/>
          <w:sz w:val="16"/>
        </w:rPr>
        <w:t>2013).</w:t>
      </w:r>
    </w:p>
    <w:p>
      <w:pPr>
        <w:spacing w:after="0" w:line="242" w:lineRule="auto"/>
        <w:jc w:val="both"/>
        <w:rPr>
          <w:sz w:val="16"/>
        </w:rPr>
        <w:sectPr>
          <w:pgSz w:w="8790" w:h="12760"/>
          <w:pgMar w:header="697" w:footer="725" w:top="880" w:bottom="920" w:left="1200" w:right="900"/>
        </w:sectPr>
      </w:pPr>
    </w:p>
    <w:p>
      <w:pPr>
        <w:pStyle w:val="BodyText"/>
        <w:spacing w:before="9"/>
        <w:rPr>
          <w:sz w:val="28"/>
        </w:rPr>
      </w:pPr>
    </w:p>
    <w:p>
      <w:pPr>
        <w:pStyle w:val="BodyText"/>
        <w:spacing w:line="252" w:lineRule="auto" w:before="73"/>
        <w:ind w:left="120" w:right="848"/>
        <w:jc w:val="both"/>
      </w:pPr>
      <w:r>
        <w:rPr>
          <w:w w:val="110"/>
        </w:rPr>
        <w:t>taria de las reservas internacionales de los países de la región, dos tendencias interesantes permiten inferir la importancia del dólar –a pesar de los esfuerzos e iniciativas de algunos gobiernos de la región. En primer </w:t>
      </w:r>
      <w:r>
        <w:rPr>
          <w:spacing w:val="-4"/>
          <w:w w:val="110"/>
        </w:rPr>
        <w:t>lugar, </w:t>
      </w:r>
      <w:r>
        <w:rPr>
          <w:w w:val="110"/>
        </w:rPr>
        <w:t>y a pesar de la emergencia de la reciente crisis econó- mica internacional, el dólar continúa siendo mayoritario en la deno- minación de las reservas de los países a nivel internacional (en 2013, alrededor</w:t>
      </w:r>
      <w:r>
        <w:rPr>
          <w:spacing w:val="-7"/>
          <w:w w:val="110"/>
        </w:rPr>
        <w:t> </w:t>
      </w:r>
      <w:r>
        <w:rPr>
          <w:w w:val="110"/>
        </w:rPr>
        <w:t>del</w:t>
      </w:r>
      <w:r>
        <w:rPr>
          <w:spacing w:val="-7"/>
          <w:w w:val="110"/>
        </w:rPr>
        <w:t> </w:t>
      </w:r>
      <w:r>
        <w:rPr>
          <w:w w:val="110"/>
        </w:rPr>
        <w:t>60%</w:t>
      </w:r>
      <w:r>
        <w:rPr>
          <w:spacing w:val="-7"/>
          <w:w w:val="110"/>
        </w:rPr>
        <w:t> </w:t>
      </w:r>
      <w:r>
        <w:rPr>
          <w:w w:val="110"/>
        </w:rPr>
        <w:t>de</w:t>
      </w:r>
      <w:r>
        <w:rPr>
          <w:spacing w:val="-7"/>
          <w:w w:val="110"/>
        </w:rPr>
        <w:t> </w:t>
      </w:r>
      <w:r>
        <w:rPr>
          <w:w w:val="110"/>
        </w:rPr>
        <w:t>las</w:t>
      </w:r>
      <w:r>
        <w:rPr>
          <w:spacing w:val="-7"/>
          <w:w w:val="110"/>
        </w:rPr>
        <w:t> </w:t>
      </w:r>
      <w:r>
        <w:rPr>
          <w:w w:val="110"/>
        </w:rPr>
        <w:t>reservas</w:t>
      </w:r>
      <w:r>
        <w:rPr>
          <w:spacing w:val="-7"/>
          <w:w w:val="110"/>
        </w:rPr>
        <w:t> </w:t>
      </w:r>
      <w:r>
        <w:rPr>
          <w:w w:val="110"/>
        </w:rPr>
        <w:t>de</w:t>
      </w:r>
      <w:r>
        <w:rPr>
          <w:spacing w:val="-7"/>
          <w:w w:val="110"/>
        </w:rPr>
        <w:t> </w:t>
      </w:r>
      <w:r>
        <w:rPr>
          <w:w w:val="110"/>
        </w:rPr>
        <w:t>los</w:t>
      </w:r>
      <w:r>
        <w:rPr>
          <w:spacing w:val="-7"/>
          <w:w w:val="110"/>
        </w:rPr>
        <w:t> </w:t>
      </w:r>
      <w:r>
        <w:rPr>
          <w:w w:val="110"/>
        </w:rPr>
        <w:t>países</w:t>
      </w:r>
      <w:r>
        <w:rPr>
          <w:spacing w:val="-7"/>
          <w:w w:val="110"/>
        </w:rPr>
        <w:t> </w:t>
      </w:r>
      <w:r>
        <w:rPr>
          <w:w w:val="110"/>
        </w:rPr>
        <w:t>a</w:t>
      </w:r>
      <w:r>
        <w:rPr>
          <w:spacing w:val="-7"/>
          <w:w w:val="110"/>
        </w:rPr>
        <w:t> </w:t>
      </w:r>
      <w:r>
        <w:rPr>
          <w:w w:val="110"/>
        </w:rPr>
        <w:t>nivel</w:t>
      </w:r>
      <w:r>
        <w:rPr>
          <w:spacing w:val="-7"/>
          <w:w w:val="110"/>
        </w:rPr>
        <w:t> </w:t>
      </w:r>
      <w:r>
        <w:rPr>
          <w:w w:val="110"/>
        </w:rPr>
        <w:t>internacional</w:t>
      </w:r>
      <w:r>
        <w:rPr>
          <w:spacing w:val="-7"/>
          <w:w w:val="110"/>
        </w:rPr>
        <w:t> </w:t>
      </w:r>
      <w:r>
        <w:rPr>
          <w:w w:val="110"/>
        </w:rPr>
        <w:t>se encontraban en esta moneda y cerca de un 25% en euros (FMi, 2014). En segundo </w:t>
      </w:r>
      <w:r>
        <w:rPr>
          <w:spacing w:val="-4"/>
          <w:w w:val="110"/>
        </w:rPr>
        <w:t>lugar, </w:t>
      </w:r>
      <w:r>
        <w:rPr>
          <w:w w:val="110"/>
        </w:rPr>
        <w:t>el crecimiento acelerado de las reservas internacio- nales de varios países de la región, especialmente de sudamérica en los últimos 10 años, hace previsible un crecimiento también de esta moneda en la composición monetaria de las reservas. China, por su- puesto, está lejos de equiparar esta</w:t>
      </w:r>
      <w:r>
        <w:rPr>
          <w:spacing w:val="41"/>
          <w:w w:val="110"/>
        </w:rPr>
        <w:t> </w:t>
      </w:r>
      <w:r>
        <w:rPr>
          <w:w w:val="110"/>
        </w:rPr>
        <w:t>participación.</w:t>
      </w:r>
    </w:p>
    <w:p>
      <w:pPr>
        <w:pStyle w:val="BodyText"/>
        <w:spacing w:before="11"/>
      </w:pPr>
    </w:p>
    <w:p>
      <w:pPr>
        <w:pStyle w:val="BodyText"/>
        <w:spacing w:line="252" w:lineRule="auto"/>
        <w:ind w:left="120" w:right="847"/>
        <w:jc w:val="both"/>
      </w:pPr>
      <w:r>
        <w:rPr>
          <w:i/>
          <w:w w:val="110"/>
        </w:rPr>
        <w:t>Rasgo 9</w:t>
      </w:r>
      <w:r>
        <w:rPr>
          <w:w w:val="110"/>
        </w:rPr>
        <w:t>: igualmente, buena parte de la deuda externa de la región se encuentra denominada en dólares estadounidenses (ver Gráfico 4).</w:t>
      </w:r>
      <w:r>
        <w:rPr>
          <w:spacing w:val="-28"/>
          <w:w w:val="110"/>
        </w:rPr>
        <w:t> </w:t>
      </w:r>
      <w:r>
        <w:rPr>
          <w:w w:val="110"/>
        </w:rPr>
        <w:t>En relación al Pib, este indicador es especialmente importante para los países del Caribe y Centroamérica, teniendo en cuenta que algunos de ellos se encuentran entre los países más endeudados del</w:t>
      </w:r>
      <w:r>
        <w:rPr>
          <w:spacing w:val="41"/>
          <w:w w:val="110"/>
        </w:rPr>
        <w:t> </w:t>
      </w:r>
      <w:r>
        <w:rPr>
          <w:w w:val="110"/>
        </w:rPr>
        <w:t>mundo.</w:t>
      </w:r>
    </w:p>
    <w:p>
      <w:pPr>
        <w:pStyle w:val="BodyText"/>
        <w:rPr>
          <w:sz w:val="18"/>
        </w:rPr>
      </w:pPr>
    </w:p>
    <w:p>
      <w:pPr>
        <w:pStyle w:val="BodyText"/>
        <w:spacing w:before="4"/>
        <w:rPr>
          <w:sz w:val="14"/>
        </w:rPr>
      </w:pPr>
    </w:p>
    <w:p>
      <w:pPr>
        <w:spacing w:before="0"/>
        <w:ind w:left="670" w:right="717" w:firstLine="0"/>
        <w:jc w:val="center"/>
        <w:rPr>
          <w:rFonts w:ascii="Arial" w:hAnsi="Arial"/>
          <w:b/>
          <w:sz w:val="17"/>
        </w:rPr>
      </w:pPr>
      <w:r>
        <w:rPr>
          <w:rFonts w:ascii="Arial" w:hAnsi="Arial"/>
          <w:b/>
          <w:w w:val="85"/>
          <w:sz w:val="17"/>
        </w:rPr>
        <w:t>Gráfico 4</w:t>
      </w:r>
    </w:p>
    <w:p>
      <w:pPr>
        <w:spacing w:line="249" w:lineRule="auto" w:before="8"/>
        <w:ind w:left="868" w:right="916" w:firstLine="0"/>
        <w:jc w:val="center"/>
        <w:rPr>
          <w:rFonts w:ascii="Arial" w:hAnsi="Arial"/>
          <w:sz w:val="17"/>
        </w:rPr>
      </w:pPr>
      <w:r>
        <w:rPr>
          <w:rFonts w:ascii="Arial" w:hAnsi="Arial"/>
          <w:w w:val="85"/>
          <w:sz w:val="17"/>
        </w:rPr>
        <w:t>Stock</w:t>
      </w:r>
      <w:r>
        <w:rPr>
          <w:rFonts w:ascii="Arial" w:hAnsi="Arial"/>
          <w:spacing w:val="-11"/>
          <w:w w:val="85"/>
          <w:sz w:val="17"/>
        </w:rPr>
        <w:t> </w:t>
      </w:r>
      <w:r>
        <w:rPr>
          <w:rFonts w:ascii="Arial" w:hAnsi="Arial"/>
          <w:w w:val="85"/>
          <w:sz w:val="17"/>
        </w:rPr>
        <w:t>de</w:t>
      </w:r>
      <w:r>
        <w:rPr>
          <w:rFonts w:ascii="Arial" w:hAnsi="Arial"/>
          <w:spacing w:val="-11"/>
          <w:w w:val="85"/>
          <w:sz w:val="17"/>
        </w:rPr>
        <w:t> </w:t>
      </w:r>
      <w:r>
        <w:rPr>
          <w:rFonts w:ascii="Arial" w:hAnsi="Arial"/>
          <w:w w:val="85"/>
          <w:sz w:val="17"/>
        </w:rPr>
        <w:t>Deuda</w:t>
      </w:r>
      <w:r>
        <w:rPr>
          <w:rFonts w:ascii="Arial" w:hAnsi="Arial"/>
          <w:spacing w:val="-11"/>
          <w:w w:val="85"/>
          <w:sz w:val="17"/>
        </w:rPr>
        <w:t> </w:t>
      </w:r>
      <w:r>
        <w:rPr>
          <w:rFonts w:ascii="Arial" w:hAnsi="Arial"/>
          <w:w w:val="85"/>
          <w:sz w:val="17"/>
        </w:rPr>
        <w:t>Externa</w:t>
      </w:r>
      <w:r>
        <w:rPr>
          <w:rFonts w:ascii="Arial" w:hAnsi="Arial"/>
          <w:spacing w:val="-11"/>
          <w:w w:val="85"/>
          <w:sz w:val="17"/>
        </w:rPr>
        <w:t> </w:t>
      </w:r>
      <w:r>
        <w:rPr>
          <w:rFonts w:ascii="Arial" w:hAnsi="Arial"/>
          <w:w w:val="85"/>
          <w:sz w:val="17"/>
        </w:rPr>
        <w:t>de</w:t>
      </w:r>
      <w:r>
        <w:rPr>
          <w:rFonts w:ascii="Arial" w:hAnsi="Arial"/>
          <w:spacing w:val="-15"/>
          <w:w w:val="85"/>
          <w:sz w:val="17"/>
        </w:rPr>
        <w:t> </w:t>
      </w:r>
      <w:r>
        <w:rPr>
          <w:rFonts w:ascii="Arial" w:hAnsi="Arial"/>
          <w:w w:val="85"/>
          <w:sz w:val="17"/>
        </w:rPr>
        <w:t>América</w:t>
      </w:r>
      <w:r>
        <w:rPr>
          <w:rFonts w:ascii="Arial" w:hAnsi="Arial"/>
          <w:spacing w:val="-11"/>
          <w:w w:val="85"/>
          <w:sz w:val="17"/>
        </w:rPr>
        <w:t> </w:t>
      </w:r>
      <w:r>
        <w:rPr>
          <w:rFonts w:ascii="Arial" w:hAnsi="Arial"/>
          <w:w w:val="85"/>
          <w:sz w:val="17"/>
        </w:rPr>
        <w:t>Latina</w:t>
      </w:r>
      <w:r>
        <w:rPr>
          <w:rFonts w:ascii="Arial" w:hAnsi="Arial"/>
          <w:spacing w:val="-11"/>
          <w:w w:val="85"/>
          <w:sz w:val="17"/>
        </w:rPr>
        <w:t> </w:t>
      </w:r>
      <w:r>
        <w:rPr>
          <w:rFonts w:ascii="Arial" w:hAnsi="Arial"/>
          <w:w w:val="85"/>
          <w:sz w:val="17"/>
        </w:rPr>
        <w:t>y</w:t>
      </w:r>
      <w:r>
        <w:rPr>
          <w:rFonts w:ascii="Arial" w:hAnsi="Arial"/>
          <w:spacing w:val="-11"/>
          <w:w w:val="85"/>
          <w:sz w:val="17"/>
        </w:rPr>
        <w:t> </w:t>
      </w:r>
      <w:r>
        <w:rPr>
          <w:rFonts w:ascii="Arial" w:hAnsi="Arial"/>
          <w:w w:val="85"/>
          <w:sz w:val="17"/>
        </w:rPr>
        <w:t>el</w:t>
      </w:r>
      <w:r>
        <w:rPr>
          <w:rFonts w:ascii="Arial" w:hAnsi="Arial"/>
          <w:spacing w:val="-11"/>
          <w:w w:val="85"/>
          <w:sz w:val="17"/>
        </w:rPr>
        <w:t> </w:t>
      </w:r>
      <w:r>
        <w:rPr>
          <w:rFonts w:ascii="Arial" w:hAnsi="Arial"/>
          <w:w w:val="85"/>
          <w:sz w:val="17"/>
        </w:rPr>
        <w:t>Caribe</w:t>
      </w:r>
      <w:r>
        <w:rPr>
          <w:rFonts w:ascii="Arial" w:hAnsi="Arial"/>
          <w:spacing w:val="-11"/>
          <w:w w:val="85"/>
          <w:sz w:val="17"/>
        </w:rPr>
        <w:t> </w:t>
      </w:r>
      <w:r>
        <w:rPr>
          <w:rFonts w:ascii="Arial" w:hAnsi="Arial"/>
          <w:w w:val="85"/>
          <w:sz w:val="17"/>
        </w:rPr>
        <w:t>y</w:t>
      </w:r>
      <w:r>
        <w:rPr>
          <w:rFonts w:ascii="Arial" w:hAnsi="Arial"/>
          <w:spacing w:val="-11"/>
          <w:w w:val="85"/>
          <w:sz w:val="17"/>
        </w:rPr>
        <w:t> </w:t>
      </w:r>
      <w:r>
        <w:rPr>
          <w:rFonts w:ascii="Arial" w:hAnsi="Arial"/>
          <w:w w:val="85"/>
          <w:sz w:val="17"/>
        </w:rPr>
        <w:t>por</w:t>
      </w:r>
      <w:r>
        <w:rPr>
          <w:rFonts w:ascii="Arial" w:hAnsi="Arial"/>
          <w:spacing w:val="-11"/>
          <w:w w:val="85"/>
          <w:sz w:val="17"/>
        </w:rPr>
        <w:t> </w:t>
      </w:r>
      <w:r>
        <w:rPr>
          <w:rFonts w:ascii="Arial" w:hAnsi="Arial"/>
          <w:w w:val="85"/>
          <w:sz w:val="17"/>
        </w:rPr>
        <w:t>subregiones,</w:t>
      </w:r>
      <w:r>
        <w:rPr>
          <w:rFonts w:ascii="Arial" w:hAnsi="Arial"/>
          <w:spacing w:val="-15"/>
          <w:w w:val="85"/>
          <w:sz w:val="17"/>
        </w:rPr>
        <w:t> </w:t>
      </w:r>
      <w:r>
        <w:rPr>
          <w:rFonts w:ascii="Arial" w:hAnsi="Arial"/>
          <w:w w:val="85"/>
          <w:sz w:val="17"/>
        </w:rPr>
        <w:t>1971-2011 (mil</w:t>
      </w:r>
      <w:r>
        <w:rPr>
          <w:rFonts w:ascii="Arial" w:hAnsi="Arial"/>
          <w:spacing w:val="-11"/>
          <w:w w:val="85"/>
          <w:sz w:val="17"/>
        </w:rPr>
        <w:t> </w:t>
      </w:r>
      <w:r>
        <w:rPr>
          <w:rFonts w:ascii="Arial" w:hAnsi="Arial"/>
          <w:w w:val="85"/>
          <w:sz w:val="17"/>
        </w:rPr>
        <w:t>millones</w:t>
      </w:r>
      <w:r>
        <w:rPr>
          <w:rFonts w:ascii="Arial" w:hAnsi="Arial"/>
          <w:spacing w:val="-11"/>
          <w:w w:val="85"/>
          <w:sz w:val="17"/>
        </w:rPr>
        <w:t> </w:t>
      </w:r>
      <w:r>
        <w:rPr>
          <w:rFonts w:ascii="Arial" w:hAnsi="Arial"/>
          <w:w w:val="85"/>
          <w:sz w:val="17"/>
        </w:rPr>
        <w:t>de</w:t>
      </w:r>
      <w:r>
        <w:rPr>
          <w:rFonts w:ascii="Arial" w:hAnsi="Arial"/>
          <w:spacing w:val="-11"/>
          <w:w w:val="85"/>
          <w:sz w:val="17"/>
        </w:rPr>
        <w:t> </w:t>
      </w:r>
      <w:r>
        <w:rPr>
          <w:rFonts w:ascii="Arial" w:hAnsi="Arial"/>
          <w:w w:val="85"/>
          <w:sz w:val="17"/>
        </w:rPr>
        <w:t>dólares)</w:t>
      </w:r>
    </w:p>
    <w:p>
      <w:pPr>
        <w:pStyle w:val="BodyText"/>
        <w:spacing w:before="7"/>
        <w:rPr>
          <w:rFonts w:ascii="Arial"/>
          <w:sz w:val="18"/>
        </w:rPr>
      </w:pPr>
      <w:r>
        <w:rPr/>
        <w:pict>
          <v:line style="position:absolute;mso-position-horizontal-relative:page;mso-position-vertical-relative:paragraph;z-index:9472;mso-wrap-distance-left:0;mso-wrap-distance-right:0" from="51.023602pt,13.182076pt" to="399.684602pt,13.182076pt" stroked="true" strokeweight="1pt" strokecolor="#000000">
            <w10:wrap type="topAndBottom"/>
          </v:line>
        </w:pict>
      </w:r>
      <w:r>
        <w:rPr/>
        <w:drawing>
          <wp:anchor distT="0" distB="0" distL="0" distR="0" allowOverlap="1" layoutInCell="1" locked="0" behindDoc="0" simplePos="0" relativeHeight="9496">
            <wp:simplePos x="0" y="0"/>
            <wp:positionH relativeFrom="page">
              <wp:posOffset>1533677</wp:posOffset>
            </wp:positionH>
            <wp:positionV relativeFrom="paragraph">
              <wp:posOffset>287865</wp:posOffset>
            </wp:positionV>
            <wp:extent cx="2630672" cy="1267968"/>
            <wp:effectExtent l="0" t="0" r="0" b="0"/>
            <wp:wrapTopAndBottom/>
            <wp:docPr id="33" name="image78.png" descr=""/>
            <wp:cNvGraphicFramePr>
              <a:graphicFrameLocks noChangeAspect="1"/>
            </wp:cNvGraphicFramePr>
            <a:graphic>
              <a:graphicData uri="http://schemas.openxmlformats.org/drawingml/2006/picture">
                <pic:pic>
                  <pic:nvPicPr>
                    <pic:cNvPr id="34" name="image78.png"/>
                    <pic:cNvPicPr/>
                  </pic:nvPicPr>
                  <pic:blipFill>
                    <a:blip r:embed="rId558" cstate="print"/>
                    <a:stretch>
                      <a:fillRect/>
                    </a:stretch>
                  </pic:blipFill>
                  <pic:spPr>
                    <a:xfrm>
                      <a:off x="0" y="0"/>
                      <a:ext cx="2630672" cy="1267968"/>
                    </a:xfrm>
                    <a:prstGeom prst="rect">
                      <a:avLst/>
                    </a:prstGeom>
                  </pic:spPr>
                </pic:pic>
              </a:graphicData>
            </a:graphic>
          </wp:anchor>
        </w:drawing>
      </w:r>
      <w:r>
        <w:rPr/>
        <w:pict>
          <v:line style="position:absolute;mso-position-horizontal-relative:page;mso-position-vertical-relative:paragraph;z-index:9520;mso-wrap-distance-left:0;mso-wrap-distance-right:0" from="51.023602pt,131.775879pt" to="399.684602pt,131.775879pt" stroked="true" strokeweight="1pt" strokecolor="#000000">
            <w10:wrap type="topAndBottom"/>
          </v:line>
        </w:pict>
      </w:r>
    </w:p>
    <w:p>
      <w:pPr>
        <w:pStyle w:val="BodyText"/>
        <w:spacing w:before="8"/>
        <w:rPr>
          <w:rFonts w:ascii="Arial"/>
          <w:sz w:val="9"/>
        </w:rPr>
      </w:pPr>
    </w:p>
    <w:p>
      <w:pPr>
        <w:pStyle w:val="BodyText"/>
        <w:spacing w:before="3"/>
        <w:rPr>
          <w:rFonts w:ascii="Arial"/>
          <w:sz w:val="9"/>
        </w:rPr>
      </w:pPr>
    </w:p>
    <w:p>
      <w:pPr>
        <w:spacing w:before="26"/>
        <w:ind w:left="120" w:right="0" w:firstLine="0"/>
        <w:jc w:val="both"/>
        <w:rPr>
          <w:rFonts w:ascii="Arial"/>
          <w:sz w:val="14"/>
        </w:rPr>
      </w:pPr>
      <w:r>
        <w:rPr>
          <w:rFonts w:ascii="Arial"/>
          <w:w w:val="85"/>
          <w:sz w:val="14"/>
        </w:rPr>
        <w:t>Fuente: Elaborado por la autora a partir de datos del Banco Mundial.</w:t>
      </w:r>
    </w:p>
    <w:p>
      <w:pPr>
        <w:pStyle w:val="BodyText"/>
        <w:rPr>
          <w:rFonts w:ascii="Arial"/>
          <w:sz w:val="14"/>
        </w:rPr>
      </w:pPr>
    </w:p>
    <w:p>
      <w:pPr>
        <w:pStyle w:val="BodyText"/>
        <w:rPr>
          <w:rFonts w:ascii="Arial"/>
          <w:sz w:val="14"/>
        </w:rPr>
      </w:pPr>
    </w:p>
    <w:p>
      <w:pPr>
        <w:pStyle w:val="BodyText"/>
        <w:spacing w:line="252" w:lineRule="auto" w:before="110"/>
        <w:ind w:left="120" w:right="848"/>
        <w:jc w:val="both"/>
      </w:pPr>
      <w:r>
        <w:rPr>
          <w:i/>
          <w:w w:val="110"/>
        </w:rPr>
        <w:t>Rasgo</w:t>
      </w:r>
      <w:r>
        <w:rPr>
          <w:i/>
          <w:spacing w:val="2"/>
        </w:rPr>
        <w:t> </w:t>
      </w:r>
      <w:r>
        <w:rPr>
          <w:i/>
          <w:w w:val="107"/>
        </w:rPr>
        <w:t>10</w:t>
      </w:r>
      <w:r>
        <w:rPr>
          <w:w w:val="107"/>
        </w:rPr>
        <w:t>:</w:t>
      </w:r>
      <w:r>
        <w:rPr>
          <w:spacing w:val="2"/>
        </w:rPr>
        <w:t> </w:t>
      </w:r>
      <w:r>
        <w:rPr>
          <w:w w:val="243"/>
        </w:rPr>
        <w:t>l</w:t>
      </w:r>
      <w:r>
        <w:rPr>
          <w:w w:val="108"/>
        </w:rPr>
        <w:t>os</w:t>
      </w:r>
      <w:r>
        <w:rPr>
          <w:spacing w:val="2"/>
        </w:rPr>
        <w:t> </w:t>
      </w:r>
      <w:r>
        <w:rPr>
          <w:w w:val="109"/>
        </w:rPr>
        <w:t>flujos</w:t>
      </w:r>
      <w:r>
        <w:rPr>
          <w:spacing w:val="2"/>
        </w:rPr>
        <w:t> </w:t>
      </w:r>
      <w:r>
        <w:rPr>
          <w:w w:val="107"/>
        </w:rPr>
        <w:t>de</w:t>
      </w:r>
      <w:r>
        <w:rPr>
          <w:spacing w:val="2"/>
        </w:rPr>
        <w:t> </w:t>
      </w:r>
      <w:r>
        <w:rPr>
          <w:w w:val="108"/>
        </w:rPr>
        <w:t>remesas</w:t>
      </w:r>
      <w:r>
        <w:rPr>
          <w:spacing w:val="2"/>
        </w:rPr>
        <w:t> </w:t>
      </w:r>
      <w:r>
        <w:rPr>
          <w:w w:val="113"/>
        </w:rPr>
        <w:t>hacia</w:t>
      </w:r>
      <w:r>
        <w:rPr>
          <w:spacing w:val="2"/>
        </w:rPr>
        <w:t> </w:t>
      </w:r>
      <w:r>
        <w:rPr>
          <w:w w:val="139"/>
        </w:rPr>
        <w:t>a</w:t>
      </w:r>
      <w:r>
        <w:rPr>
          <w:w w:val="111"/>
        </w:rPr>
        <w:t>mérica</w:t>
      </w:r>
      <w:r>
        <w:rPr>
          <w:spacing w:val="2"/>
        </w:rPr>
        <w:t> </w:t>
      </w:r>
      <w:r>
        <w:rPr>
          <w:w w:val="243"/>
        </w:rPr>
        <w:t>l</w:t>
      </w:r>
      <w:r>
        <w:rPr>
          <w:w w:val="111"/>
        </w:rPr>
        <w:t>atina</w:t>
      </w:r>
      <w:r>
        <w:rPr>
          <w:spacing w:val="2"/>
        </w:rPr>
        <w:t> </w:t>
      </w:r>
      <w:r>
        <w:rPr>
          <w:w w:val="105"/>
        </w:rPr>
        <w:t>y</w:t>
      </w:r>
      <w:r>
        <w:rPr>
          <w:spacing w:val="2"/>
        </w:rPr>
        <w:t> </w:t>
      </w:r>
      <w:r>
        <w:rPr>
          <w:w w:val="107"/>
        </w:rPr>
        <w:t>el</w:t>
      </w:r>
      <w:r>
        <w:rPr>
          <w:spacing w:val="2"/>
        </w:rPr>
        <w:t> </w:t>
      </w:r>
      <w:r>
        <w:rPr>
          <w:w w:val="112"/>
        </w:rPr>
        <w:t>Caribe</w:t>
      </w:r>
      <w:r>
        <w:rPr>
          <w:spacing w:val="2"/>
        </w:rPr>
        <w:t> </w:t>
      </w:r>
      <w:r>
        <w:rPr>
          <w:w w:val="110"/>
        </w:rPr>
        <w:t>con</w:t>
      </w:r>
      <w:r>
        <w:rPr>
          <w:spacing w:val="-1"/>
          <w:w w:val="110"/>
        </w:rPr>
        <w:t>s</w:t>
      </w:r>
      <w:r>
        <w:rPr>
          <w:w w:val="102"/>
        </w:rPr>
        <w:t>- </w:t>
      </w:r>
      <w:r>
        <w:rPr>
          <w:w w:val="110"/>
        </w:rPr>
        <w:t>tituyen</w:t>
      </w:r>
      <w:r>
        <w:rPr>
          <w:spacing w:val="-8"/>
          <w:w w:val="110"/>
        </w:rPr>
        <w:t> </w:t>
      </w:r>
      <w:r>
        <w:rPr>
          <w:w w:val="110"/>
        </w:rPr>
        <w:t>un</w:t>
      </w:r>
      <w:r>
        <w:rPr>
          <w:spacing w:val="-8"/>
          <w:w w:val="110"/>
        </w:rPr>
        <w:t> </w:t>
      </w:r>
      <w:r>
        <w:rPr>
          <w:w w:val="110"/>
        </w:rPr>
        <w:t>canal</w:t>
      </w:r>
      <w:r>
        <w:rPr>
          <w:spacing w:val="-8"/>
          <w:w w:val="110"/>
        </w:rPr>
        <w:t> </w:t>
      </w:r>
      <w:r>
        <w:rPr>
          <w:w w:val="110"/>
        </w:rPr>
        <w:t>acelerado</w:t>
      </w:r>
      <w:r>
        <w:rPr>
          <w:spacing w:val="-8"/>
          <w:w w:val="110"/>
        </w:rPr>
        <w:t> </w:t>
      </w:r>
      <w:r>
        <w:rPr>
          <w:w w:val="110"/>
        </w:rPr>
        <w:t>y</w:t>
      </w:r>
      <w:r>
        <w:rPr>
          <w:spacing w:val="-8"/>
          <w:w w:val="110"/>
        </w:rPr>
        <w:t> </w:t>
      </w:r>
      <w:r>
        <w:rPr>
          <w:w w:val="110"/>
        </w:rPr>
        <w:t>relativamente</w:t>
      </w:r>
      <w:r>
        <w:rPr>
          <w:spacing w:val="-8"/>
          <w:w w:val="110"/>
        </w:rPr>
        <w:t> </w:t>
      </w:r>
      <w:r>
        <w:rPr>
          <w:w w:val="110"/>
        </w:rPr>
        <w:t>novedoso</w:t>
      </w:r>
      <w:r>
        <w:rPr>
          <w:spacing w:val="-8"/>
          <w:w w:val="110"/>
        </w:rPr>
        <w:t> </w:t>
      </w:r>
      <w:r>
        <w:rPr>
          <w:w w:val="110"/>
        </w:rPr>
        <w:t>y</w:t>
      </w:r>
      <w:r>
        <w:rPr>
          <w:spacing w:val="-8"/>
          <w:w w:val="110"/>
        </w:rPr>
        <w:t> </w:t>
      </w:r>
      <w:r>
        <w:rPr>
          <w:w w:val="110"/>
        </w:rPr>
        <w:t>–especialmente </w:t>
      </w:r>
      <w:r>
        <w:rPr>
          <w:w w:val="115"/>
        </w:rPr>
        <w:t>desde</w:t>
      </w:r>
      <w:r>
        <w:rPr>
          <w:spacing w:val="-9"/>
          <w:w w:val="115"/>
        </w:rPr>
        <w:t> </w:t>
      </w:r>
      <w:r>
        <w:rPr>
          <w:w w:val="115"/>
        </w:rPr>
        <w:t>los</w:t>
      </w:r>
      <w:r>
        <w:rPr>
          <w:spacing w:val="-9"/>
          <w:w w:val="115"/>
        </w:rPr>
        <w:t> </w:t>
      </w:r>
      <w:r>
        <w:rPr>
          <w:w w:val="115"/>
        </w:rPr>
        <w:t>años</w:t>
      </w:r>
      <w:r>
        <w:rPr>
          <w:spacing w:val="-9"/>
          <w:w w:val="115"/>
        </w:rPr>
        <w:t> </w:t>
      </w:r>
      <w:r>
        <w:rPr>
          <w:w w:val="115"/>
        </w:rPr>
        <w:t>noventa–</w:t>
      </w:r>
      <w:r>
        <w:rPr>
          <w:spacing w:val="-9"/>
          <w:w w:val="115"/>
        </w:rPr>
        <w:t> </w:t>
      </w:r>
      <w:r>
        <w:rPr>
          <w:w w:val="115"/>
        </w:rPr>
        <w:t>de</w:t>
      </w:r>
      <w:r>
        <w:rPr>
          <w:spacing w:val="-9"/>
          <w:w w:val="115"/>
        </w:rPr>
        <w:t> </w:t>
      </w:r>
      <w:r>
        <w:rPr>
          <w:w w:val="115"/>
        </w:rPr>
        <w:t>la</w:t>
      </w:r>
      <w:r>
        <w:rPr>
          <w:spacing w:val="-9"/>
          <w:w w:val="115"/>
        </w:rPr>
        <w:t> </w:t>
      </w:r>
      <w:r>
        <w:rPr>
          <w:w w:val="115"/>
        </w:rPr>
        <w:t>interrelación</w:t>
      </w:r>
      <w:r>
        <w:rPr>
          <w:spacing w:val="-9"/>
          <w:w w:val="115"/>
        </w:rPr>
        <w:t> </w:t>
      </w:r>
      <w:r>
        <w:rPr>
          <w:w w:val="115"/>
        </w:rPr>
        <w:t>de</w:t>
      </w:r>
      <w:r>
        <w:rPr>
          <w:spacing w:val="-9"/>
          <w:w w:val="115"/>
        </w:rPr>
        <w:t> </w:t>
      </w:r>
      <w:r>
        <w:rPr>
          <w:w w:val="115"/>
        </w:rPr>
        <w:t>la</w:t>
      </w:r>
      <w:r>
        <w:rPr>
          <w:spacing w:val="-9"/>
          <w:w w:val="115"/>
        </w:rPr>
        <w:t> </w:t>
      </w:r>
      <w:r>
        <w:rPr>
          <w:w w:val="115"/>
        </w:rPr>
        <w:t>región</w:t>
      </w:r>
      <w:r>
        <w:rPr>
          <w:spacing w:val="-9"/>
          <w:w w:val="115"/>
        </w:rPr>
        <w:t> </w:t>
      </w:r>
      <w:r>
        <w:rPr>
          <w:w w:val="115"/>
        </w:rPr>
        <w:t>con</w:t>
      </w:r>
      <w:r>
        <w:rPr>
          <w:spacing w:val="-9"/>
          <w:w w:val="115"/>
        </w:rPr>
        <w:t> </w:t>
      </w:r>
      <w:r>
        <w:rPr>
          <w:w w:val="115"/>
        </w:rPr>
        <w:t>Estados unidos (ver Gráfico 5). Especialmente teniendo en cuenta la </w:t>
      </w:r>
      <w:r>
        <w:rPr>
          <w:spacing w:val="-3"/>
          <w:w w:val="115"/>
        </w:rPr>
        <w:t>impor- </w:t>
      </w:r>
      <w:r>
        <w:rPr>
          <w:w w:val="115"/>
        </w:rPr>
        <w:t>tancia</w:t>
      </w:r>
      <w:r>
        <w:rPr>
          <w:spacing w:val="-11"/>
          <w:w w:val="115"/>
        </w:rPr>
        <w:t> </w:t>
      </w:r>
      <w:r>
        <w:rPr>
          <w:w w:val="115"/>
        </w:rPr>
        <w:t>de</w:t>
      </w:r>
      <w:r>
        <w:rPr>
          <w:spacing w:val="-11"/>
          <w:w w:val="115"/>
        </w:rPr>
        <w:t> </w:t>
      </w:r>
      <w:r>
        <w:rPr>
          <w:w w:val="115"/>
        </w:rPr>
        <w:t>la</w:t>
      </w:r>
      <w:r>
        <w:rPr>
          <w:spacing w:val="-11"/>
          <w:w w:val="115"/>
        </w:rPr>
        <w:t> </w:t>
      </w:r>
      <w:r>
        <w:rPr>
          <w:w w:val="115"/>
        </w:rPr>
        <w:t>emigración</w:t>
      </w:r>
      <w:r>
        <w:rPr>
          <w:spacing w:val="-11"/>
          <w:w w:val="115"/>
        </w:rPr>
        <w:t> </w:t>
      </w:r>
      <w:r>
        <w:rPr>
          <w:w w:val="115"/>
        </w:rPr>
        <w:t>de</w:t>
      </w:r>
      <w:r>
        <w:rPr>
          <w:spacing w:val="-11"/>
          <w:w w:val="115"/>
        </w:rPr>
        <w:t> </w:t>
      </w:r>
      <w:r>
        <w:rPr>
          <w:w w:val="115"/>
        </w:rPr>
        <w:t>la</w:t>
      </w:r>
      <w:r>
        <w:rPr>
          <w:spacing w:val="-11"/>
          <w:w w:val="115"/>
        </w:rPr>
        <w:t> </w:t>
      </w:r>
      <w:r>
        <w:rPr>
          <w:w w:val="115"/>
        </w:rPr>
        <w:t>región</w:t>
      </w:r>
      <w:r>
        <w:rPr>
          <w:spacing w:val="-11"/>
          <w:w w:val="115"/>
        </w:rPr>
        <w:t> </w:t>
      </w:r>
      <w:r>
        <w:rPr>
          <w:w w:val="115"/>
        </w:rPr>
        <w:t>que</w:t>
      </w:r>
      <w:r>
        <w:rPr>
          <w:spacing w:val="-11"/>
          <w:w w:val="115"/>
        </w:rPr>
        <w:t> </w:t>
      </w:r>
      <w:r>
        <w:rPr>
          <w:w w:val="115"/>
        </w:rPr>
        <w:t>reside</w:t>
      </w:r>
      <w:r>
        <w:rPr>
          <w:spacing w:val="-11"/>
          <w:w w:val="115"/>
        </w:rPr>
        <w:t> </w:t>
      </w:r>
      <w:r>
        <w:rPr>
          <w:w w:val="115"/>
        </w:rPr>
        <w:t>en</w:t>
      </w:r>
      <w:r>
        <w:rPr>
          <w:spacing w:val="-11"/>
          <w:w w:val="115"/>
        </w:rPr>
        <w:t> </w:t>
      </w:r>
      <w:r>
        <w:rPr>
          <w:w w:val="115"/>
        </w:rPr>
        <w:t>este</w:t>
      </w:r>
      <w:r>
        <w:rPr>
          <w:spacing w:val="-11"/>
          <w:w w:val="115"/>
        </w:rPr>
        <w:t> </w:t>
      </w:r>
      <w:r>
        <w:rPr>
          <w:w w:val="115"/>
        </w:rPr>
        <w:t>país</w:t>
      </w:r>
      <w:r>
        <w:rPr>
          <w:spacing w:val="-11"/>
          <w:w w:val="115"/>
        </w:rPr>
        <w:t> </w:t>
      </w:r>
      <w:r>
        <w:rPr>
          <w:w w:val="115"/>
        </w:rPr>
        <w:t>y</w:t>
      </w:r>
      <w:r>
        <w:rPr>
          <w:spacing w:val="-11"/>
          <w:w w:val="115"/>
        </w:rPr>
        <w:t> </w:t>
      </w:r>
      <w:r>
        <w:rPr>
          <w:w w:val="115"/>
        </w:rPr>
        <w:t>la</w:t>
      </w:r>
      <w:r>
        <w:rPr>
          <w:spacing w:val="-11"/>
          <w:w w:val="115"/>
        </w:rPr>
        <w:t> </w:t>
      </w:r>
      <w:r>
        <w:rPr>
          <w:w w:val="115"/>
        </w:rPr>
        <w:t>cone- xión</w:t>
      </w:r>
      <w:r>
        <w:rPr>
          <w:spacing w:val="-15"/>
          <w:w w:val="115"/>
        </w:rPr>
        <w:t> </w:t>
      </w:r>
      <w:r>
        <w:rPr>
          <w:w w:val="115"/>
        </w:rPr>
        <w:t>de</w:t>
      </w:r>
      <w:r>
        <w:rPr>
          <w:spacing w:val="-15"/>
          <w:w w:val="115"/>
        </w:rPr>
        <w:t> </w:t>
      </w:r>
      <w:r>
        <w:rPr>
          <w:w w:val="115"/>
        </w:rPr>
        <w:t>las</w:t>
      </w:r>
      <w:r>
        <w:rPr>
          <w:spacing w:val="-15"/>
          <w:w w:val="115"/>
        </w:rPr>
        <w:t> </w:t>
      </w:r>
      <w:r>
        <w:rPr>
          <w:w w:val="115"/>
        </w:rPr>
        <w:t>remesas</w:t>
      </w:r>
      <w:r>
        <w:rPr>
          <w:spacing w:val="-15"/>
          <w:w w:val="115"/>
        </w:rPr>
        <w:t> </w:t>
      </w:r>
      <w:r>
        <w:rPr>
          <w:w w:val="115"/>
        </w:rPr>
        <w:t>con</w:t>
      </w:r>
      <w:r>
        <w:rPr>
          <w:spacing w:val="-15"/>
          <w:w w:val="115"/>
        </w:rPr>
        <w:t> </w:t>
      </w:r>
      <w:r>
        <w:rPr>
          <w:w w:val="115"/>
        </w:rPr>
        <w:t>la</w:t>
      </w:r>
      <w:r>
        <w:rPr>
          <w:spacing w:val="-15"/>
          <w:w w:val="115"/>
        </w:rPr>
        <w:t> </w:t>
      </w:r>
      <w:r>
        <w:rPr>
          <w:w w:val="115"/>
        </w:rPr>
        <w:t>situación</w:t>
      </w:r>
      <w:r>
        <w:rPr>
          <w:spacing w:val="-15"/>
          <w:w w:val="115"/>
        </w:rPr>
        <w:t> </w:t>
      </w:r>
      <w:r>
        <w:rPr>
          <w:w w:val="115"/>
        </w:rPr>
        <w:t>económica</w:t>
      </w:r>
      <w:r>
        <w:rPr>
          <w:spacing w:val="-15"/>
          <w:w w:val="115"/>
        </w:rPr>
        <w:t> </w:t>
      </w:r>
      <w:r>
        <w:rPr>
          <w:w w:val="115"/>
        </w:rPr>
        <w:t>del</w:t>
      </w:r>
      <w:r>
        <w:rPr>
          <w:spacing w:val="-15"/>
          <w:w w:val="115"/>
        </w:rPr>
        <w:t> </w:t>
      </w:r>
      <w:r>
        <w:rPr>
          <w:w w:val="115"/>
        </w:rPr>
        <w:t>país</w:t>
      </w:r>
      <w:r>
        <w:rPr>
          <w:spacing w:val="-15"/>
          <w:w w:val="115"/>
        </w:rPr>
        <w:t> </w:t>
      </w:r>
      <w:r>
        <w:rPr>
          <w:spacing w:val="-4"/>
          <w:w w:val="115"/>
        </w:rPr>
        <w:t>emisor.</w:t>
      </w:r>
    </w:p>
    <w:p>
      <w:pPr>
        <w:spacing w:after="0" w:line="252" w:lineRule="auto"/>
        <w:jc w:val="both"/>
        <w:sectPr>
          <w:pgSz w:w="8790" w:h="12760"/>
          <w:pgMar w:header="695" w:footer="723" w:top="880" w:bottom="920" w:left="900" w:right="680"/>
        </w:sectPr>
      </w:pPr>
    </w:p>
    <w:p>
      <w:pPr>
        <w:pStyle w:val="BodyText"/>
        <w:spacing w:before="8"/>
        <w:rPr>
          <w:sz w:val="27"/>
        </w:rPr>
      </w:pPr>
    </w:p>
    <w:p>
      <w:pPr>
        <w:spacing w:before="78"/>
        <w:ind w:left="670" w:right="674" w:firstLine="0"/>
        <w:jc w:val="center"/>
        <w:rPr>
          <w:rFonts w:ascii="Arial" w:hAnsi="Arial"/>
          <w:b/>
          <w:sz w:val="17"/>
        </w:rPr>
      </w:pPr>
      <w:r>
        <w:rPr>
          <w:rFonts w:ascii="Arial" w:hAnsi="Arial"/>
          <w:b/>
          <w:w w:val="85"/>
          <w:sz w:val="17"/>
        </w:rPr>
        <w:t>Gráfico 5</w:t>
      </w:r>
    </w:p>
    <w:p>
      <w:pPr>
        <w:spacing w:line="249" w:lineRule="auto" w:before="8"/>
        <w:ind w:left="663" w:right="668" w:firstLine="0"/>
        <w:jc w:val="center"/>
        <w:rPr>
          <w:rFonts w:ascii="Arial" w:hAnsi="Arial"/>
          <w:sz w:val="17"/>
        </w:rPr>
      </w:pPr>
      <w:r>
        <w:rPr>
          <w:rFonts w:ascii="Arial" w:hAnsi="Arial"/>
          <w:w w:val="85"/>
          <w:sz w:val="17"/>
        </w:rPr>
        <w:t>Remesas</w:t>
      </w:r>
      <w:r>
        <w:rPr>
          <w:rFonts w:ascii="Arial" w:hAnsi="Arial"/>
          <w:spacing w:val="-12"/>
          <w:w w:val="85"/>
          <w:sz w:val="17"/>
        </w:rPr>
        <w:t> </w:t>
      </w:r>
      <w:r>
        <w:rPr>
          <w:rFonts w:ascii="Arial" w:hAnsi="Arial"/>
          <w:w w:val="85"/>
          <w:sz w:val="17"/>
        </w:rPr>
        <w:t>personales</w:t>
      </w:r>
      <w:r>
        <w:rPr>
          <w:rFonts w:ascii="Arial" w:hAnsi="Arial"/>
          <w:spacing w:val="-12"/>
          <w:w w:val="85"/>
          <w:sz w:val="17"/>
        </w:rPr>
        <w:t> </w:t>
      </w:r>
      <w:r>
        <w:rPr>
          <w:rFonts w:ascii="Arial" w:hAnsi="Arial"/>
          <w:w w:val="85"/>
          <w:sz w:val="17"/>
        </w:rPr>
        <w:t>recibidas</w:t>
      </w:r>
      <w:r>
        <w:rPr>
          <w:rFonts w:ascii="Arial" w:hAnsi="Arial"/>
          <w:spacing w:val="-12"/>
          <w:w w:val="85"/>
          <w:sz w:val="17"/>
        </w:rPr>
        <w:t> </w:t>
      </w:r>
      <w:r>
        <w:rPr>
          <w:rFonts w:ascii="Arial" w:hAnsi="Arial"/>
          <w:w w:val="85"/>
          <w:sz w:val="17"/>
        </w:rPr>
        <w:t>en</w:t>
      </w:r>
      <w:r>
        <w:rPr>
          <w:rFonts w:ascii="Arial" w:hAnsi="Arial"/>
          <w:spacing w:val="-16"/>
          <w:w w:val="85"/>
          <w:sz w:val="17"/>
        </w:rPr>
        <w:t> </w:t>
      </w:r>
      <w:r>
        <w:rPr>
          <w:rFonts w:ascii="Arial" w:hAnsi="Arial"/>
          <w:w w:val="85"/>
          <w:sz w:val="17"/>
        </w:rPr>
        <w:t>América</w:t>
      </w:r>
      <w:r>
        <w:rPr>
          <w:rFonts w:ascii="Arial" w:hAnsi="Arial"/>
          <w:spacing w:val="-12"/>
          <w:w w:val="85"/>
          <w:sz w:val="17"/>
        </w:rPr>
        <w:t> </w:t>
      </w:r>
      <w:r>
        <w:rPr>
          <w:rFonts w:ascii="Arial" w:hAnsi="Arial"/>
          <w:w w:val="85"/>
          <w:sz w:val="17"/>
        </w:rPr>
        <w:t>Latina</w:t>
      </w:r>
      <w:r>
        <w:rPr>
          <w:rFonts w:ascii="Arial" w:hAnsi="Arial"/>
          <w:spacing w:val="-12"/>
          <w:w w:val="85"/>
          <w:sz w:val="17"/>
        </w:rPr>
        <w:t> </w:t>
      </w:r>
      <w:r>
        <w:rPr>
          <w:rFonts w:ascii="Arial" w:hAnsi="Arial"/>
          <w:w w:val="85"/>
          <w:sz w:val="17"/>
        </w:rPr>
        <w:t>y</w:t>
      </w:r>
      <w:r>
        <w:rPr>
          <w:rFonts w:ascii="Arial" w:hAnsi="Arial"/>
          <w:spacing w:val="-12"/>
          <w:w w:val="85"/>
          <w:sz w:val="17"/>
        </w:rPr>
        <w:t> </w:t>
      </w:r>
      <w:r>
        <w:rPr>
          <w:rFonts w:ascii="Arial" w:hAnsi="Arial"/>
          <w:w w:val="85"/>
          <w:sz w:val="17"/>
        </w:rPr>
        <w:t>el</w:t>
      </w:r>
      <w:r>
        <w:rPr>
          <w:rFonts w:ascii="Arial" w:hAnsi="Arial"/>
          <w:spacing w:val="-12"/>
          <w:w w:val="85"/>
          <w:sz w:val="17"/>
        </w:rPr>
        <w:t> </w:t>
      </w:r>
      <w:r>
        <w:rPr>
          <w:rFonts w:ascii="Arial" w:hAnsi="Arial"/>
          <w:w w:val="85"/>
          <w:sz w:val="17"/>
        </w:rPr>
        <w:t>Caribe</w:t>
      </w:r>
      <w:r>
        <w:rPr>
          <w:rFonts w:ascii="Arial" w:hAnsi="Arial"/>
          <w:spacing w:val="-12"/>
          <w:w w:val="85"/>
          <w:sz w:val="17"/>
        </w:rPr>
        <w:t> </w:t>
      </w:r>
      <w:r>
        <w:rPr>
          <w:rFonts w:ascii="Arial" w:hAnsi="Arial"/>
          <w:w w:val="85"/>
          <w:sz w:val="17"/>
        </w:rPr>
        <w:t>y</w:t>
      </w:r>
      <w:r>
        <w:rPr>
          <w:rFonts w:ascii="Arial" w:hAnsi="Arial"/>
          <w:spacing w:val="-12"/>
          <w:w w:val="85"/>
          <w:sz w:val="17"/>
        </w:rPr>
        <w:t> </w:t>
      </w:r>
      <w:r>
        <w:rPr>
          <w:rFonts w:ascii="Arial" w:hAnsi="Arial"/>
          <w:w w:val="85"/>
          <w:sz w:val="17"/>
        </w:rPr>
        <w:t>por</w:t>
      </w:r>
      <w:r>
        <w:rPr>
          <w:rFonts w:ascii="Arial" w:hAnsi="Arial"/>
          <w:spacing w:val="-12"/>
          <w:w w:val="85"/>
          <w:sz w:val="17"/>
        </w:rPr>
        <w:t> </w:t>
      </w:r>
      <w:r>
        <w:rPr>
          <w:rFonts w:ascii="Arial" w:hAnsi="Arial"/>
          <w:w w:val="85"/>
          <w:sz w:val="17"/>
        </w:rPr>
        <w:t>subregiones,</w:t>
      </w:r>
      <w:r>
        <w:rPr>
          <w:rFonts w:ascii="Arial" w:hAnsi="Arial"/>
          <w:spacing w:val="-16"/>
          <w:w w:val="85"/>
          <w:sz w:val="17"/>
        </w:rPr>
        <w:t> </w:t>
      </w:r>
      <w:r>
        <w:rPr>
          <w:rFonts w:ascii="Arial" w:hAnsi="Arial"/>
          <w:w w:val="85"/>
          <w:sz w:val="17"/>
        </w:rPr>
        <w:t>1970-2011 (miles</w:t>
      </w:r>
      <w:r>
        <w:rPr>
          <w:rFonts w:ascii="Arial" w:hAnsi="Arial"/>
          <w:spacing w:val="-12"/>
          <w:w w:val="85"/>
          <w:sz w:val="17"/>
        </w:rPr>
        <w:t> </w:t>
      </w:r>
      <w:r>
        <w:rPr>
          <w:rFonts w:ascii="Arial" w:hAnsi="Arial"/>
          <w:w w:val="85"/>
          <w:sz w:val="17"/>
        </w:rPr>
        <w:t>de</w:t>
      </w:r>
      <w:r>
        <w:rPr>
          <w:rFonts w:ascii="Arial" w:hAnsi="Arial"/>
          <w:spacing w:val="-12"/>
          <w:w w:val="85"/>
          <w:sz w:val="17"/>
        </w:rPr>
        <w:t> </w:t>
      </w:r>
      <w:r>
        <w:rPr>
          <w:rFonts w:ascii="Arial" w:hAnsi="Arial"/>
          <w:w w:val="85"/>
          <w:sz w:val="17"/>
        </w:rPr>
        <w:t>millones</w:t>
      </w:r>
      <w:r>
        <w:rPr>
          <w:rFonts w:ascii="Arial" w:hAnsi="Arial"/>
          <w:spacing w:val="-12"/>
          <w:w w:val="85"/>
          <w:sz w:val="17"/>
        </w:rPr>
        <w:t> </w:t>
      </w:r>
      <w:r>
        <w:rPr>
          <w:rFonts w:ascii="Arial" w:hAnsi="Arial"/>
          <w:w w:val="85"/>
          <w:sz w:val="17"/>
        </w:rPr>
        <w:t>de</w:t>
      </w:r>
      <w:r>
        <w:rPr>
          <w:rFonts w:ascii="Arial" w:hAnsi="Arial"/>
          <w:spacing w:val="-12"/>
          <w:w w:val="85"/>
          <w:sz w:val="17"/>
        </w:rPr>
        <w:t> </w:t>
      </w:r>
      <w:r>
        <w:rPr>
          <w:rFonts w:ascii="Arial" w:hAnsi="Arial"/>
          <w:w w:val="85"/>
          <w:sz w:val="17"/>
        </w:rPr>
        <w:t>dólares)</w:t>
      </w:r>
    </w:p>
    <w:p>
      <w:pPr>
        <w:pStyle w:val="BodyText"/>
        <w:spacing w:before="1"/>
        <w:rPr>
          <w:rFonts w:ascii="Arial"/>
          <w:sz w:val="20"/>
        </w:rPr>
      </w:pPr>
      <w:r>
        <w:rPr/>
        <w:pict>
          <v:line style="position:absolute;mso-position-horizontal-relative:page;mso-position-vertical-relative:paragraph;z-index:9544;mso-wrap-distance-left:0;mso-wrap-distance-right:0" from="39.685101pt,14.028897pt" to="388.346101pt,14.028897pt" stroked="true" strokeweight="1pt" strokecolor="#000000">
            <w10:wrap type="topAndBottom"/>
          </v:line>
        </w:pict>
      </w:r>
      <w:r>
        <w:rPr/>
        <w:drawing>
          <wp:anchor distT="0" distB="0" distL="0" distR="0" allowOverlap="1" layoutInCell="1" locked="0" behindDoc="0" simplePos="0" relativeHeight="9568">
            <wp:simplePos x="0" y="0"/>
            <wp:positionH relativeFrom="page">
              <wp:posOffset>1353600</wp:posOffset>
            </wp:positionH>
            <wp:positionV relativeFrom="paragraph">
              <wp:posOffset>273344</wp:posOffset>
            </wp:positionV>
            <wp:extent cx="2673096" cy="1188720"/>
            <wp:effectExtent l="0" t="0" r="0" b="0"/>
            <wp:wrapTopAndBottom/>
            <wp:docPr id="35" name="image79.png" descr=""/>
            <wp:cNvGraphicFramePr>
              <a:graphicFrameLocks noChangeAspect="1"/>
            </wp:cNvGraphicFramePr>
            <a:graphic>
              <a:graphicData uri="http://schemas.openxmlformats.org/drawingml/2006/picture">
                <pic:pic>
                  <pic:nvPicPr>
                    <pic:cNvPr id="36" name="image79.png"/>
                    <pic:cNvPicPr/>
                  </pic:nvPicPr>
                  <pic:blipFill>
                    <a:blip r:embed="rId559" cstate="print"/>
                    <a:stretch>
                      <a:fillRect/>
                    </a:stretch>
                  </pic:blipFill>
                  <pic:spPr>
                    <a:xfrm>
                      <a:off x="0" y="0"/>
                      <a:ext cx="2673096" cy="1188720"/>
                    </a:xfrm>
                    <a:prstGeom prst="rect">
                      <a:avLst/>
                    </a:prstGeom>
                  </pic:spPr>
                </pic:pic>
              </a:graphicData>
            </a:graphic>
          </wp:anchor>
        </w:drawing>
      </w:r>
      <w:r>
        <w:rPr/>
        <w:pict>
          <v:line style="position:absolute;mso-position-horizontal-relative:page;mso-position-vertical-relative:paragraph;z-index:9592;mso-wrap-distance-left:0;mso-wrap-distance-right:0" from="39.685101pt,122.6539pt" to="388.346101pt,122.6539pt" stroked="true" strokeweight="1pt" strokecolor="#000000">
            <w10:wrap type="topAndBottom"/>
          </v:line>
        </w:pict>
      </w:r>
    </w:p>
    <w:p>
      <w:pPr>
        <w:pStyle w:val="BodyText"/>
        <w:spacing w:before="2"/>
        <w:rPr>
          <w:rFonts w:ascii="Arial"/>
          <w:sz w:val="6"/>
        </w:rPr>
      </w:pPr>
    </w:p>
    <w:p>
      <w:pPr>
        <w:pStyle w:val="BodyText"/>
        <w:spacing w:before="3"/>
        <w:rPr>
          <w:rFonts w:ascii="Arial"/>
          <w:sz w:val="6"/>
        </w:rPr>
      </w:pPr>
    </w:p>
    <w:p>
      <w:pPr>
        <w:spacing w:before="35"/>
        <w:ind w:left="113" w:right="158" w:firstLine="0"/>
        <w:jc w:val="left"/>
        <w:rPr>
          <w:rFonts w:ascii="Arial"/>
          <w:sz w:val="14"/>
        </w:rPr>
      </w:pPr>
      <w:r>
        <w:rPr>
          <w:rFonts w:ascii="Arial"/>
          <w:w w:val="85"/>
          <w:sz w:val="14"/>
        </w:rPr>
        <w:t>Fuente: Elaborado por la autora a partir de datos del Banco Mundial.</w:t>
      </w:r>
    </w:p>
    <w:p>
      <w:pPr>
        <w:pStyle w:val="BodyText"/>
        <w:rPr>
          <w:rFonts w:ascii="Arial"/>
          <w:sz w:val="20"/>
        </w:rPr>
      </w:pPr>
    </w:p>
    <w:p>
      <w:pPr>
        <w:pStyle w:val="BodyText"/>
        <w:spacing w:before="10"/>
        <w:rPr>
          <w:rFonts w:ascii="Arial"/>
        </w:rPr>
      </w:pPr>
    </w:p>
    <w:p>
      <w:pPr>
        <w:pStyle w:val="BodyText"/>
        <w:spacing w:line="252" w:lineRule="auto"/>
        <w:ind w:left="850" w:right="117"/>
        <w:jc w:val="both"/>
      </w:pPr>
      <w:r>
        <w:rPr>
          <w:w w:val="110"/>
        </w:rPr>
        <w:t>En general, y contrario al panorama comercial de la región, el área fi- nanciera resulta más relevante en los vínculos económicos entre amé- </w:t>
      </w:r>
      <w:r>
        <w:rPr>
          <w:w w:val="112"/>
        </w:rPr>
        <w:t>rica</w:t>
      </w:r>
      <w:r>
        <w:rPr>
          <w:spacing w:val="2"/>
        </w:rPr>
        <w:t> </w:t>
      </w:r>
      <w:r>
        <w:rPr>
          <w:w w:val="243"/>
        </w:rPr>
        <w:t>l</w:t>
      </w:r>
      <w:r>
        <w:rPr>
          <w:w w:val="111"/>
        </w:rPr>
        <w:t>atina</w:t>
      </w:r>
      <w:r>
        <w:rPr>
          <w:spacing w:val="2"/>
        </w:rPr>
        <w:t> </w:t>
      </w:r>
      <w:r>
        <w:rPr>
          <w:w w:val="105"/>
        </w:rPr>
        <w:t>y</w:t>
      </w:r>
      <w:r>
        <w:rPr>
          <w:spacing w:val="2"/>
        </w:rPr>
        <w:t> </w:t>
      </w:r>
      <w:r>
        <w:rPr>
          <w:w w:val="107"/>
        </w:rPr>
        <w:t>el</w:t>
      </w:r>
      <w:r>
        <w:rPr>
          <w:spacing w:val="2"/>
        </w:rPr>
        <w:t> </w:t>
      </w:r>
      <w:r>
        <w:rPr>
          <w:w w:val="112"/>
        </w:rPr>
        <w:t>Caribe</w:t>
      </w:r>
      <w:r>
        <w:rPr>
          <w:spacing w:val="2"/>
        </w:rPr>
        <w:t> </w:t>
      </w:r>
      <w:r>
        <w:rPr>
          <w:w w:val="105"/>
        </w:rPr>
        <w:t>y</w:t>
      </w:r>
      <w:r>
        <w:rPr>
          <w:spacing w:val="2"/>
        </w:rPr>
        <w:t> </w:t>
      </w:r>
      <w:r>
        <w:rPr>
          <w:w w:val="111"/>
        </w:rPr>
        <w:t>Estados</w:t>
      </w:r>
      <w:r>
        <w:rPr>
          <w:spacing w:val="1"/>
        </w:rPr>
        <w:t> </w:t>
      </w:r>
      <w:r>
        <w:rPr>
          <w:w w:val="140"/>
        </w:rPr>
        <w:t>u</w:t>
      </w:r>
      <w:r>
        <w:rPr>
          <w:w w:val="110"/>
        </w:rPr>
        <w:t>nidos</w:t>
      </w:r>
      <w:r>
        <w:rPr>
          <w:spacing w:val="2"/>
        </w:rPr>
        <w:t> </w:t>
      </w:r>
      <w:r>
        <w:rPr>
          <w:spacing w:val="-22"/>
          <w:w w:val="105"/>
        </w:rPr>
        <w:t>y</w:t>
      </w:r>
      <w:r>
        <w:rPr>
          <w:w w:val="138"/>
        </w:rPr>
        <w:t>,</w:t>
      </w:r>
      <w:r>
        <w:rPr>
          <w:spacing w:val="2"/>
        </w:rPr>
        <w:t> </w:t>
      </w:r>
      <w:r>
        <w:rPr>
          <w:w w:val="108"/>
        </w:rPr>
        <w:t>por</w:t>
      </w:r>
      <w:r>
        <w:rPr>
          <w:spacing w:val="2"/>
        </w:rPr>
        <w:t> </w:t>
      </w:r>
      <w:r>
        <w:rPr>
          <w:w w:val="111"/>
        </w:rPr>
        <w:t>consiguiente,</w:t>
      </w:r>
      <w:r>
        <w:rPr>
          <w:spacing w:val="2"/>
        </w:rPr>
        <w:t> </w:t>
      </w:r>
      <w:r>
        <w:rPr>
          <w:w w:val="106"/>
        </w:rPr>
        <w:t>posee</w:t>
      </w:r>
      <w:r>
        <w:rPr>
          <w:spacing w:val="2"/>
        </w:rPr>
        <w:t> </w:t>
      </w:r>
      <w:r>
        <w:rPr>
          <w:w w:val="112"/>
        </w:rPr>
        <w:t>una </w:t>
      </w:r>
      <w:r>
        <w:rPr>
          <w:w w:val="110"/>
        </w:rPr>
        <w:t>mayor relevancia en la transmisión de impactos desde este país a la región. Ello se encuentra especialmente relacionado con el desarrollo de la globalización financiera y los procesos de </w:t>
      </w:r>
      <w:r>
        <w:rPr>
          <w:i/>
          <w:w w:val="110"/>
        </w:rPr>
        <w:t>financiarización </w:t>
      </w:r>
      <w:r>
        <w:rPr>
          <w:w w:val="110"/>
        </w:rPr>
        <w:t>de     la economía mundial, de los cuales Estados unidos ha permanecido como líder indiscutible basado en el desarrollo de su mercado finan- ciero, entre otros</w:t>
      </w:r>
      <w:r>
        <w:rPr>
          <w:spacing w:val="19"/>
          <w:w w:val="110"/>
        </w:rPr>
        <w:t> </w:t>
      </w:r>
      <w:r>
        <w:rPr>
          <w:w w:val="110"/>
        </w:rPr>
        <w:t>factores.</w:t>
      </w:r>
    </w:p>
    <w:p>
      <w:pPr>
        <w:pStyle w:val="BodyText"/>
        <w:spacing w:line="252" w:lineRule="auto"/>
        <w:ind w:left="850" w:right="117" w:firstLine="396"/>
        <w:jc w:val="both"/>
      </w:pPr>
      <w:r>
        <w:rPr>
          <w:w w:val="243"/>
        </w:rPr>
        <w:t>l</w:t>
      </w:r>
      <w:r>
        <w:rPr>
          <w:w w:val="112"/>
        </w:rPr>
        <w:t>a</w:t>
      </w:r>
      <w:r>
        <w:rPr/>
        <w:t> </w:t>
      </w:r>
      <w:r>
        <w:rPr>
          <w:spacing w:val="-14"/>
        </w:rPr>
        <w:t> </w:t>
      </w:r>
      <w:r>
        <w:rPr>
          <w:w w:val="112"/>
        </w:rPr>
        <w:t>disminución</w:t>
      </w:r>
      <w:r>
        <w:rPr/>
        <w:t> </w:t>
      </w:r>
      <w:r>
        <w:rPr>
          <w:spacing w:val="-14"/>
        </w:rPr>
        <w:t> </w:t>
      </w:r>
      <w:r>
        <w:rPr>
          <w:w w:val="107"/>
        </w:rPr>
        <w:t>de</w:t>
      </w:r>
      <w:r>
        <w:rPr/>
        <w:t> </w:t>
      </w:r>
      <w:r>
        <w:rPr>
          <w:spacing w:val="-14"/>
        </w:rPr>
        <w:t> </w:t>
      </w:r>
      <w:r>
        <w:rPr>
          <w:w w:val="111"/>
        </w:rPr>
        <w:t>la</w:t>
      </w:r>
      <w:r>
        <w:rPr/>
        <w:t> </w:t>
      </w:r>
      <w:r>
        <w:rPr>
          <w:spacing w:val="-14"/>
        </w:rPr>
        <w:t> </w:t>
      </w:r>
      <w:r>
        <w:rPr>
          <w:w w:val="111"/>
        </w:rPr>
        <w:t>participación</w:t>
      </w:r>
      <w:r>
        <w:rPr/>
        <w:t> </w:t>
      </w:r>
      <w:r>
        <w:rPr>
          <w:spacing w:val="-14"/>
        </w:rPr>
        <w:t> </w:t>
      </w:r>
      <w:r>
        <w:rPr>
          <w:w w:val="107"/>
        </w:rPr>
        <w:t>de</w:t>
      </w:r>
      <w:r>
        <w:rPr/>
        <w:t> </w:t>
      </w:r>
      <w:r>
        <w:rPr>
          <w:spacing w:val="-14"/>
        </w:rPr>
        <w:t> </w:t>
      </w:r>
      <w:r>
        <w:rPr>
          <w:w w:val="111"/>
        </w:rPr>
        <w:t>Estados</w:t>
      </w:r>
      <w:r>
        <w:rPr/>
        <w:t> </w:t>
      </w:r>
      <w:r>
        <w:rPr>
          <w:spacing w:val="-14"/>
        </w:rPr>
        <w:t> </w:t>
      </w:r>
      <w:r>
        <w:rPr>
          <w:w w:val="140"/>
        </w:rPr>
        <w:t>u</w:t>
      </w:r>
      <w:r>
        <w:rPr>
          <w:w w:val="110"/>
        </w:rPr>
        <w:t>nidos</w:t>
      </w:r>
      <w:r>
        <w:rPr/>
        <w:t> </w:t>
      </w:r>
      <w:r>
        <w:rPr>
          <w:spacing w:val="-14"/>
        </w:rPr>
        <w:t> </w:t>
      </w:r>
      <w:r>
        <w:rPr>
          <w:w w:val="108"/>
        </w:rPr>
        <w:t>en</w:t>
      </w:r>
      <w:r>
        <w:rPr/>
        <w:t> </w:t>
      </w:r>
      <w:r>
        <w:rPr>
          <w:spacing w:val="-14"/>
        </w:rPr>
        <w:t> </w:t>
      </w:r>
      <w:r>
        <w:rPr>
          <w:w w:val="107"/>
        </w:rPr>
        <w:t>el</w:t>
      </w:r>
      <w:r>
        <w:rPr/>
        <w:t> </w:t>
      </w:r>
      <w:r>
        <w:rPr>
          <w:spacing w:val="-14"/>
        </w:rPr>
        <w:t> </w:t>
      </w:r>
      <w:r>
        <w:rPr>
          <w:w w:val="112"/>
        </w:rPr>
        <w:t>c</w:t>
      </w:r>
      <w:r>
        <w:rPr>
          <w:spacing w:val="-1"/>
          <w:w w:val="112"/>
        </w:rPr>
        <w:t>o</w:t>
      </w:r>
      <w:r>
        <w:rPr>
          <w:w w:val="102"/>
        </w:rPr>
        <w:t>- </w:t>
      </w:r>
      <w:r>
        <w:rPr>
          <w:w w:val="110"/>
        </w:rPr>
        <w:t>mercio</w:t>
      </w:r>
      <w:r>
        <w:rPr/>
        <w:t> </w:t>
      </w:r>
      <w:r>
        <w:rPr>
          <w:spacing w:val="-19"/>
        </w:rPr>
        <w:t> </w:t>
      </w:r>
      <w:r>
        <w:rPr>
          <w:w w:val="109"/>
        </w:rPr>
        <w:t>total</w:t>
      </w:r>
      <w:r>
        <w:rPr/>
        <w:t> </w:t>
      </w:r>
      <w:r>
        <w:rPr>
          <w:spacing w:val="-19"/>
        </w:rPr>
        <w:t> </w:t>
      </w:r>
      <w:r>
        <w:rPr>
          <w:w w:val="107"/>
        </w:rPr>
        <w:t>de</w:t>
      </w:r>
      <w:r>
        <w:rPr/>
        <w:t> </w:t>
      </w:r>
      <w:r>
        <w:rPr>
          <w:spacing w:val="-19"/>
        </w:rPr>
        <w:t> </w:t>
      </w:r>
      <w:r>
        <w:rPr>
          <w:w w:val="139"/>
        </w:rPr>
        <w:t>a</w:t>
      </w:r>
      <w:r>
        <w:rPr>
          <w:w w:val="111"/>
        </w:rPr>
        <w:t>mérica</w:t>
      </w:r>
      <w:r>
        <w:rPr/>
        <w:t> </w:t>
      </w:r>
      <w:r>
        <w:rPr>
          <w:spacing w:val="-19"/>
        </w:rPr>
        <w:t> </w:t>
      </w:r>
      <w:r>
        <w:rPr>
          <w:w w:val="243"/>
        </w:rPr>
        <w:t>l</w:t>
      </w:r>
      <w:r>
        <w:rPr>
          <w:w w:val="111"/>
        </w:rPr>
        <w:t>atina</w:t>
      </w:r>
      <w:r>
        <w:rPr/>
        <w:t> </w:t>
      </w:r>
      <w:r>
        <w:rPr>
          <w:spacing w:val="-19"/>
        </w:rPr>
        <w:t> </w:t>
      </w:r>
      <w:r>
        <w:rPr>
          <w:w w:val="105"/>
        </w:rPr>
        <w:t>y</w:t>
      </w:r>
      <w:r>
        <w:rPr/>
        <w:t> </w:t>
      </w:r>
      <w:r>
        <w:rPr>
          <w:spacing w:val="-19"/>
        </w:rPr>
        <w:t> </w:t>
      </w:r>
      <w:r>
        <w:rPr>
          <w:w w:val="107"/>
        </w:rPr>
        <w:t>el</w:t>
      </w:r>
      <w:r>
        <w:rPr/>
        <w:t> </w:t>
      </w:r>
      <w:r>
        <w:rPr>
          <w:spacing w:val="-19"/>
        </w:rPr>
        <w:t> </w:t>
      </w:r>
      <w:r>
        <w:rPr>
          <w:w w:val="112"/>
        </w:rPr>
        <w:t>Caribe</w:t>
      </w:r>
      <w:r>
        <w:rPr/>
        <w:t> </w:t>
      </w:r>
      <w:r>
        <w:rPr>
          <w:spacing w:val="-19"/>
        </w:rPr>
        <w:t> </w:t>
      </w:r>
      <w:r>
        <w:rPr>
          <w:w w:val="109"/>
        </w:rPr>
        <w:t>durante</w:t>
      </w:r>
      <w:r>
        <w:rPr/>
        <w:t> </w:t>
      </w:r>
      <w:r>
        <w:rPr>
          <w:spacing w:val="-19"/>
        </w:rPr>
        <w:t> </w:t>
      </w:r>
      <w:r>
        <w:rPr>
          <w:w w:val="111"/>
        </w:rPr>
        <w:t>la</w:t>
      </w:r>
      <w:r>
        <w:rPr/>
        <w:t> </w:t>
      </w:r>
      <w:r>
        <w:rPr>
          <w:spacing w:val="-19"/>
        </w:rPr>
        <w:t> </w:t>
      </w:r>
      <w:r>
        <w:rPr>
          <w:w w:val="112"/>
        </w:rPr>
        <w:t>última</w:t>
      </w:r>
      <w:r>
        <w:rPr/>
        <w:t> </w:t>
      </w:r>
      <w:r>
        <w:rPr>
          <w:spacing w:val="-19"/>
        </w:rPr>
        <w:t> </w:t>
      </w:r>
      <w:r>
        <w:rPr>
          <w:w w:val="110"/>
        </w:rPr>
        <w:t>década </w:t>
      </w:r>
      <w:r>
        <w:rPr>
          <w:w w:val="115"/>
        </w:rPr>
        <w:t>en</w:t>
      </w:r>
      <w:r>
        <w:rPr>
          <w:spacing w:val="-18"/>
          <w:w w:val="115"/>
        </w:rPr>
        <w:t> </w:t>
      </w:r>
      <w:r>
        <w:rPr>
          <w:w w:val="115"/>
        </w:rPr>
        <w:t>relación</w:t>
      </w:r>
      <w:r>
        <w:rPr>
          <w:spacing w:val="-18"/>
          <w:w w:val="115"/>
        </w:rPr>
        <w:t> </w:t>
      </w:r>
      <w:r>
        <w:rPr>
          <w:w w:val="115"/>
        </w:rPr>
        <w:t>a</w:t>
      </w:r>
      <w:r>
        <w:rPr>
          <w:spacing w:val="-18"/>
          <w:w w:val="115"/>
        </w:rPr>
        <w:t> </w:t>
      </w:r>
      <w:r>
        <w:rPr>
          <w:w w:val="115"/>
        </w:rPr>
        <w:t>otros</w:t>
      </w:r>
      <w:r>
        <w:rPr>
          <w:spacing w:val="-18"/>
          <w:w w:val="115"/>
        </w:rPr>
        <w:t> </w:t>
      </w:r>
      <w:r>
        <w:rPr>
          <w:w w:val="115"/>
        </w:rPr>
        <w:t>actores,</w:t>
      </w:r>
      <w:r>
        <w:rPr>
          <w:spacing w:val="-18"/>
          <w:w w:val="115"/>
        </w:rPr>
        <w:t> </w:t>
      </w:r>
      <w:r>
        <w:rPr>
          <w:w w:val="115"/>
        </w:rPr>
        <w:t>ha</w:t>
      </w:r>
      <w:r>
        <w:rPr>
          <w:spacing w:val="-18"/>
          <w:w w:val="115"/>
        </w:rPr>
        <w:t> </w:t>
      </w:r>
      <w:r>
        <w:rPr>
          <w:w w:val="115"/>
        </w:rPr>
        <w:t>tenido</w:t>
      </w:r>
      <w:r>
        <w:rPr>
          <w:spacing w:val="-18"/>
          <w:w w:val="115"/>
        </w:rPr>
        <w:t> </w:t>
      </w:r>
      <w:r>
        <w:rPr>
          <w:w w:val="115"/>
        </w:rPr>
        <w:t>como</w:t>
      </w:r>
      <w:r>
        <w:rPr>
          <w:spacing w:val="-18"/>
          <w:w w:val="115"/>
        </w:rPr>
        <w:t> </w:t>
      </w:r>
      <w:r>
        <w:rPr>
          <w:w w:val="115"/>
        </w:rPr>
        <w:t>contrapartida</w:t>
      </w:r>
      <w:r>
        <w:rPr>
          <w:spacing w:val="-18"/>
          <w:w w:val="115"/>
        </w:rPr>
        <w:t> </w:t>
      </w:r>
      <w:r>
        <w:rPr>
          <w:w w:val="115"/>
        </w:rPr>
        <w:t>el</w:t>
      </w:r>
      <w:r>
        <w:rPr>
          <w:spacing w:val="-18"/>
          <w:w w:val="115"/>
        </w:rPr>
        <w:t> </w:t>
      </w:r>
      <w:r>
        <w:rPr>
          <w:w w:val="115"/>
        </w:rPr>
        <w:t>aumento de la presencia comercial china en la región. destaca igualmente el </w:t>
      </w:r>
      <w:r>
        <w:rPr>
          <w:w w:val="106"/>
        </w:rPr>
        <w:t>evidente</w:t>
      </w:r>
      <w:r>
        <w:rPr>
          <w:spacing w:val="18"/>
        </w:rPr>
        <w:t> </w:t>
      </w:r>
      <w:r>
        <w:rPr>
          <w:w w:val="110"/>
        </w:rPr>
        <w:t>decrecimiento</w:t>
      </w:r>
      <w:r>
        <w:rPr>
          <w:spacing w:val="18"/>
        </w:rPr>
        <w:t> </w:t>
      </w:r>
      <w:r>
        <w:rPr>
          <w:w w:val="108"/>
        </w:rPr>
        <w:t>en</w:t>
      </w:r>
      <w:r>
        <w:rPr>
          <w:spacing w:val="18"/>
        </w:rPr>
        <w:t> </w:t>
      </w:r>
      <w:r>
        <w:rPr>
          <w:w w:val="111"/>
        </w:rPr>
        <w:t>la</w:t>
      </w:r>
      <w:r>
        <w:rPr>
          <w:spacing w:val="18"/>
        </w:rPr>
        <w:t> </w:t>
      </w:r>
      <w:r>
        <w:rPr>
          <w:w w:val="111"/>
        </w:rPr>
        <w:t>participación</w:t>
      </w:r>
      <w:r>
        <w:rPr>
          <w:spacing w:val="18"/>
        </w:rPr>
        <w:t> </w:t>
      </w:r>
      <w:r>
        <w:rPr>
          <w:w w:val="111"/>
        </w:rPr>
        <w:t>comercial</w:t>
      </w:r>
      <w:r>
        <w:rPr>
          <w:spacing w:val="18"/>
        </w:rPr>
        <w:t> </w:t>
      </w:r>
      <w:r>
        <w:rPr>
          <w:w w:val="108"/>
        </w:rPr>
        <w:t>en</w:t>
      </w:r>
      <w:r>
        <w:rPr>
          <w:spacing w:val="18"/>
        </w:rPr>
        <w:t> </w:t>
      </w:r>
      <w:r>
        <w:rPr>
          <w:w w:val="139"/>
        </w:rPr>
        <w:t>a</w:t>
      </w:r>
      <w:r>
        <w:rPr>
          <w:w w:val="111"/>
        </w:rPr>
        <w:t>mérica</w:t>
      </w:r>
      <w:r>
        <w:rPr>
          <w:spacing w:val="18"/>
        </w:rPr>
        <w:t> </w:t>
      </w:r>
      <w:r>
        <w:rPr>
          <w:w w:val="243"/>
        </w:rPr>
        <w:t>l</w:t>
      </w:r>
      <w:r>
        <w:rPr>
          <w:spacing w:val="-1"/>
          <w:w w:val="112"/>
        </w:rPr>
        <w:t>a</w:t>
      </w:r>
      <w:r>
        <w:rPr>
          <w:w w:val="102"/>
        </w:rPr>
        <w:t>- </w:t>
      </w:r>
      <w:r>
        <w:rPr>
          <w:w w:val="115"/>
        </w:rPr>
        <w:t>tina y el Caribe de otro actor tradicional, la unión Europea, lo cual respalda la idea de una disminución relativa de la importancia del canal</w:t>
      </w:r>
      <w:r>
        <w:rPr>
          <w:spacing w:val="-4"/>
          <w:w w:val="115"/>
        </w:rPr>
        <w:t> </w:t>
      </w:r>
      <w:r>
        <w:rPr>
          <w:w w:val="115"/>
        </w:rPr>
        <w:t>comercial</w:t>
      </w:r>
      <w:r>
        <w:rPr>
          <w:spacing w:val="-4"/>
          <w:w w:val="115"/>
        </w:rPr>
        <w:t> </w:t>
      </w:r>
      <w:r>
        <w:rPr>
          <w:w w:val="115"/>
        </w:rPr>
        <w:t>en</w:t>
      </w:r>
      <w:r>
        <w:rPr>
          <w:spacing w:val="-4"/>
          <w:w w:val="115"/>
        </w:rPr>
        <w:t> </w:t>
      </w:r>
      <w:r>
        <w:rPr>
          <w:w w:val="115"/>
        </w:rPr>
        <w:t>las</w:t>
      </w:r>
      <w:r>
        <w:rPr>
          <w:spacing w:val="-4"/>
          <w:w w:val="115"/>
        </w:rPr>
        <w:t> </w:t>
      </w:r>
      <w:r>
        <w:rPr>
          <w:w w:val="115"/>
        </w:rPr>
        <w:t>relaciones</w:t>
      </w:r>
      <w:r>
        <w:rPr>
          <w:spacing w:val="-4"/>
          <w:w w:val="115"/>
        </w:rPr>
        <w:t> </w:t>
      </w:r>
      <w:r>
        <w:rPr>
          <w:w w:val="115"/>
        </w:rPr>
        <w:t>de</w:t>
      </w:r>
      <w:r>
        <w:rPr>
          <w:spacing w:val="-4"/>
          <w:w w:val="115"/>
        </w:rPr>
        <w:t> </w:t>
      </w:r>
      <w:r>
        <w:rPr>
          <w:w w:val="115"/>
        </w:rPr>
        <w:t>la</w:t>
      </w:r>
      <w:r>
        <w:rPr>
          <w:spacing w:val="-4"/>
          <w:w w:val="115"/>
        </w:rPr>
        <w:t> </w:t>
      </w:r>
      <w:r>
        <w:rPr>
          <w:w w:val="115"/>
        </w:rPr>
        <w:t>región</w:t>
      </w:r>
      <w:r>
        <w:rPr>
          <w:spacing w:val="-4"/>
          <w:w w:val="115"/>
        </w:rPr>
        <w:t> </w:t>
      </w:r>
      <w:r>
        <w:rPr>
          <w:w w:val="115"/>
        </w:rPr>
        <w:t>con</w:t>
      </w:r>
      <w:r>
        <w:rPr>
          <w:spacing w:val="-4"/>
          <w:w w:val="115"/>
        </w:rPr>
        <w:t> </w:t>
      </w:r>
      <w:r>
        <w:rPr>
          <w:w w:val="115"/>
        </w:rPr>
        <w:t>socios</w:t>
      </w:r>
      <w:r>
        <w:rPr>
          <w:spacing w:val="-4"/>
          <w:w w:val="115"/>
        </w:rPr>
        <w:t> </w:t>
      </w:r>
      <w:r>
        <w:rPr>
          <w:w w:val="115"/>
        </w:rPr>
        <w:t>tradiciona- les.</w:t>
      </w:r>
      <w:r>
        <w:rPr>
          <w:spacing w:val="-11"/>
          <w:w w:val="115"/>
        </w:rPr>
        <w:t> </w:t>
      </w:r>
      <w:r>
        <w:rPr>
          <w:w w:val="115"/>
        </w:rPr>
        <w:t>sin</w:t>
      </w:r>
      <w:r>
        <w:rPr>
          <w:spacing w:val="-11"/>
          <w:w w:val="115"/>
        </w:rPr>
        <w:t> </w:t>
      </w:r>
      <w:r>
        <w:rPr>
          <w:w w:val="115"/>
        </w:rPr>
        <w:t>embargo,</w:t>
      </w:r>
      <w:r>
        <w:rPr>
          <w:spacing w:val="-11"/>
          <w:w w:val="115"/>
        </w:rPr>
        <w:t> </w:t>
      </w:r>
      <w:r>
        <w:rPr>
          <w:w w:val="115"/>
        </w:rPr>
        <w:t>ello</w:t>
      </w:r>
      <w:r>
        <w:rPr>
          <w:spacing w:val="-11"/>
          <w:w w:val="115"/>
        </w:rPr>
        <w:t> </w:t>
      </w:r>
      <w:r>
        <w:rPr>
          <w:w w:val="115"/>
        </w:rPr>
        <w:t>no</w:t>
      </w:r>
      <w:r>
        <w:rPr>
          <w:spacing w:val="-11"/>
          <w:w w:val="115"/>
        </w:rPr>
        <w:t> </w:t>
      </w:r>
      <w:r>
        <w:rPr>
          <w:w w:val="115"/>
        </w:rPr>
        <w:t>significa</w:t>
      </w:r>
      <w:r>
        <w:rPr>
          <w:spacing w:val="-11"/>
          <w:w w:val="115"/>
        </w:rPr>
        <w:t> </w:t>
      </w:r>
      <w:r>
        <w:rPr>
          <w:w w:val="115"/>
        </w:rPr>
        <w:t>que</w:t>
      </w:r>
      <w:r>
        <w:rPr>
          <w:spacing w:val="-11"/>
          <w:w w:val="115"/>
        </w:rPr>
        <w:t> </w:t>
      </w:r>
      <w:r>
        <w:rPr>
          <w:w w:val="115"/>
        </w:rPr>
        <w:t>Estados</w:t>
      </w:r>
      <w:r>
        <w:rPr>
          <w:spacing w:val="-11"/>
          <w:w w:val="115"/>
        </w:rPr>
        <w:t> </w:t>
      </w:r>
      <w:r>
        <w:rPr>
          <w:w w:val="115"/>
        </w:rPr>
        <w:t>unidos</w:t>
      </w:r>
      <w:r>
        <w:rPr>
          <w:spacing w:val="-11"/>
          <w:w w:val="115"/>
        </w:rPr>
        <w:t> </w:t>
      </w:r>
      <w:r>
        <w:rPr>
          <w:w w:val="115"/>
        </w:rPr>
        <w:t>haya</w:t>
      </w:r>
      <w:r>
        <w:rPr>
          <w:spacing w:val="-11"/>
          <w:w w:val="115"/>
        </w:rPr>
        <w:t> </w:t>
      </w:r>
      <w:r>
        <w:rPr>
          <w:w w:val="115"/>
        </w:rPr>
        <w:t>dejado</w:t>
      </w:r>
      <w:r>
        <w:rPr>
          <w:spacing w:val="-11"/>
          <w:w w:val="115"/>
        </w:rPr>
        <w:t> </w:t>
      </w:r>
      <w:r>
        <w:rPr>
          <w:w w:val="115"/>
        </w:rPr>
        <w:t>de ser</w:t>
      </w:r>
      <w:r>
        <w:rPr>
          <w:spacing w:val="-19"/>
          <w:w w:val="115"/>
        </w:rPr>
        <w:t> </w:t>
      </w:r>
      <w:r>
        <w:rPr>
          <w:w w:val="115"/>
        </w:rPr>
        <w:t>un</w:t>
      </w:r>
      <w:r>
        <w:rPr>
          <w:spacing w:val="-19"/>
          <w:w w:val="115"/>
        </w:rPr>
        <w:t> </w:t>
      </w:r>
      <w:r>
        <w:rPr>
          <w:w w:val="115"/>
        </w:rPr>
        <w:t>actor</w:t>
      </w:r>
      <w:r>
        <w:rPr>
          <w:spacing w:val="-19"/>
          <w:w w:val="115"/>
        </w:rPr>
        <w:t> </w:t>
      </w:r>
      <w:r>
        <w:rPr>
          <w:w w:val="115"/>
        </w:rPr>
        <w:t>de</w:t>
      </w:r>
      <w:r>
        <w:rPr>
          <w:spacing w:val="-19"/>
          <w:w w:val="115"/>
        </w:rPr>
        <w:t> </w:t>
      </w:r>
      <w:r>
        <w:rPr>
          <w:w w:val="115"/>
        </w:rPr>
        <w:t>relevancia</w:t>
      </w:r>
      <w:r>
        <w:rPr>
          <w:spacing w:val="-19"/>
          <w:w w:val="115"/>
        </w:rPr>
        <w:t> </w:t>
      </w:r>
      <w:r>
        <w:rPr>
          <w:w w:val="115"/>
        </w:rPr>
        <w:t>comercial</w:t>
      </w:r>
      <w:r>
        <w:rPr>
          <w:spacing w:val="-19"/>
          <w:w w:val="115"/>
        </w:rPr>
        <w:t> </w:t>
      </w:r>
      <w:r>
        <w:rPr>
          <w:w w:val="115"/>
        </w:rPr>
        <w:t>para</w:t>
      </w:r>
      <w:r>
        <w:rPr>
          <w:spacing w:val="-19"/>
          <w:w w:val="115"/>
        </w:rPr>
        <w:t> </w:t>
      </w:r>
      <w:r>
        <w:rPr>
          <w:w w:val="115"/>
        </w:rPr>
        <w:t>la</w:t>
      </w:r>
      <w:r>
        <w:rPr>
          <w:spacing w:val="-19"/>
          <w:w w:val="115"/>
        </w:rPr>
        <w:t> </w:t>
      </w:r>
      <w:r>
        <w:rPr>
          <w:w w:val="115"/>
        </w:rPr>
        <w:t>región,</w:t>
      </w:r>
      <w:r>
        <w:rPr>
          <w:spacing w:val="-19"/>
          <w:w w:val="115"/>
        </w:rPr>
        <w:t> </w:t>
      </w:r>
      <w:r>
        <w:rPr>
          <w:w w:val="115"/>
        </w:rPr>
        <w:t>especialmente</w:t>
      </w:r>
      <w:r>
        <w:rPr>
          <w:spacing w:val="-19"/>
          <w:w w:val="115"/>
        </w:rPr>
        <w:t> </w:t>
      </w:r>
      <w:r>
        <w:rPr>
          <w:w w:val="115"/>
        </w:rPr>
        <w:t>en </w:t>
      </w:r>
      <w:r>
        <w:rPr>
          <w:w w:val="110"/>
        </w:rPr>
        <w:t>términos de</w:t>
      </w:r>
      <w:r>
        <w:rPr>
          <w:spacing w:val="15"/>
          <w:w w:val="110"/>
        </w:rPr>
        <w:t> </w:t>
      </w:r>
      <w:r>
        <w:rPr>
          <w:w w:val="110"/>
        </w:rPr>
        <w:t>volumen.</w:t>
      </w:r>
    </w:p>
    <w:p>
      <w:pPr>
        <w:pStyle w:val="BodyText"/>
        <w:spacing w:before="11"/>
      </w:pPr>
    </w:p>
    <w:p>
      <w:pPr>
        <w:pStyle w:val="BodyText"/>
        <w:spacing w:line="252" w:lineRule="auto"/>
        <w:ind w:left="850" w:right="117"/>
        <w:jc w:val="both"/>
      </w:pPr>
      <w:r>
        <w:rPr>
          <w:i/>
          <w:w w:val="110"/>
        </w:rPr>
        <w:t>otros rasgos emergentes </w:t>
      </w:r>
      <w:r>
        <w:rPr>
          <w:w w:val="110"/>
        </w:rPr>
        <w:t>que continúan vinculando la región a Estados unidos son la política monetaria de este país –tasa de interés, flexibi- lización cuantitativa, entre otros–, la creciente internacionalización  de las empresas translatinas y su cotización en algunos casos en el mercado financiero estadounidense, entre otros. Como es conocido, la crisis de la deuda externa en los años ochenta tuvo como detonante</w:t>
      </w:r>
      <w:r>
        <w:rPr>
          <w:spacing w:val="31"/>
          <w:w w:val="110"/>
        </w:rPr>
        <w:t> </w:t>
      </w:r>
      <w:r>
        <w:rPr>
          <w:w w:val="110"/>
        </w:rPr>
        <w:t>el</w:t>
      </w:r>
    </w:p>
    <w:p>
      <w:pPr>
        <w:spacing w:after="0" w:line="252" w:lineRule="auto"/>
        <w:jc w:val="both"/>
        <w:sectPr>
          <w:pgSz w:w="8790" w:h="12760"/>
          <w:pgMar w:header="697" w:footer="725" w:top="880" w:bottom="920" w:left="680" w:right="900"/>
        </w:sectPr>
      </w:pPr>
    </w:p>
    <w:p>
      <w:pPr>
        <w:pStyle w:val="BodyText"/>
        <w:spacing w:before="9"/>
        <w:rPr>
          <w:sz w:val="28"/>
        </w:rPr>
      </w:pPr>
    </w:p>
    <w:p>
      <w:pPr>
        <w:pStyle w:val="BodyText"/>
        <w:spacing w:line="252" w:lineRule="auto" w:before="73"/>
        <w:ind w:left="120" w:right="315"/>
      </w:pPr>
      <w:r>
        <w:rPr>
          <w:w w:val="110"/>
        </w:rPr>
        <w:t>aumento de las tasas de interés norteamericanas y, en general, este ha sido un factor fundamental en la actividad económica de la   región</w:t>
      </w:r>
      <w:r>
        <w:rPr>
          <w:w w:val="110"/>
          <w:position w:val="6"/>
          <w:sz w:val="11"/>
        </w:rPr>
        <w:t>30</w:t>
      </w:r>
      <w:r>
        <w:rPr>
          <w:w w:val="110"/>
        </w:rPr>
        <w:t>.</w:t>
      </w:r>
    </w:p>
    <w:p>
      <w:pPr>
        <w:spacing w:line="252" w:lineRule="auto" w:before="0"/>
        <w:ind w:left="120" w:right="326" w:firstLine="396"/>
        <w:jc w:val="both"/>
        <w:rPr>
          <w:sz w:val="19"/>
        </w:rPr>
      </w:pPr>
      <w:r>
        <w:rPr>
          <w:w w:val="120"/>
          <w:sz w:val="19"/>
        </w:rPr>
        <w:t>En</w:t>
      </w:r>
      <w:r>
        <w:rPr>
          <w:spacing w:val="-21"/>
          <w:w w:val="120"/>
          <w:sz w:val="19"/>
        </w:rPr>
        <w:t> </w:t>
      </w:r>
      <w:r>
        <w:rPr>
          <w:w w:val="120"/>
          <w:sz w:val="19"/>
        </w:rPr>
        <w:t>2013,</w:t>
      </w:r>
      <w:r>
        <w:rPr>
          <w:spacing w:val="-21"/>
          <w:w w:val="120"/>
          <w:sz w:val="19"/>
        </w:rPr>
        <w:t> </w:t>
      </w:r>
      <w:r>
        <w:rPr>
          <w:w w:val="120"/>
          <w:sz w:val="19"/>
        </w:rPr>
        <w:t>el</w:t>
      </w:r>
      <w:r>
        <w:rPr>
          <w:spacing w:val="-21"/>
          <w:w w:val="120"/>
          <w:sz w:val="19"/>
        </w:rPr>
        <w:t> </w:t>
      </w:r>
      <w:r>
        <w:rPr>
          <w:w w:val="120"/>
          <w:sz w:val="19"/>
        </w:rPr>
        <w:t>anuncio</w:t>
      </w:r>
      <w:r>
        <w:rPr>
          <w:spacing w:val="-21"/>
          <w:w w:val="120"/>
          <w:sz w:val="19"/>
        </w:rPr>
        <w:t> </w:t>
      </w:r>
      <w:r>
        <w:rPr>
          <w:w w:val="120"/>
          <w:sz w:val="19"/>
        </w:rPr>
        <w:t>de</w:t>
      </w:r>
      <w:r>
        <w:rPr>
          <w:spacing w:val="-21"/>
          <w:w w:val="120"/>
          <w:sz w:val="19"/>
        </w:rPr>
        <w:t> </w:t>
      </w:r>
      <w:r>
        <w:rPr>
          <w:w w:val="120"/>
          <w:sz w:val="19"/>
        </w:rPr>
        <w:t>la</w:t>
      </w:r>
      <w:r>
        <w:rPr>
          <w:spacing w:val="-21"/>
          <w:w w:val="120"/>
          <w:sz w:val="19"/>
        </w:rPr>
        <w:t> </w:t>
      </w:r>
      <w:r>
        <w:rPr>
          <w:w w:val="120"/>
          <w:sz w:val="19"/>
        </w:rPr>
        <w:t>reserva</w:t>
      </w:r>
      <w:r>
        <w:rPr>
          <w:spacing w:val="-21"/>
          <w:w w:val="120"/>
          <w:sz w:val="19"/>
        </w:rPr>
        <w:t> </w:t>
      </w:r>
      <w:r>
        <w:rPr>
          <w:w w:val="120"/>
          <w:sz w:val="19"/>
        </w:rPr>
        <w:t>Federal</w:t>
      </w:r>
      <w:r>
        <w:rPr>
          <w:spacing w:val="-21"/>
          <w:w w:val="120"/>
          <w:sz w:val="19"/>
        </w:rPr>
        <w:t> </w:t>
      </w:r>
      <w:r>
        <w:rPr>
          <w:w w:val="120"/>
          <w:sz w:val="19"/>
        </w:rPr>
        <w:t>de</w:t>
      </w:r>
      <w:r>
        <w:rPr>
          <w:spacing w:val="-21"/>
          <w:w w:val="120"/>
          <w:sz w:val="19"/>
        </w:rPr>
        <w:t> </w:t>
      </w:r>
      <w:r>
        <w:rPr>
          <w:w w:val="120"/>
          <w:sz w:val="19"/>
        </w:rPr>
        <w:t>revertir</w:t>
      </w:r>
      <w:r>
        <w:rPr>
          <w:spacing w:val="-21"/>
          <w:w w:val="120"/>
          <w:sz w:val="19"/>
        </w:rPr>
        <w:t> </w:t>
      </w:r>
      <w:r>
        <w:rPr>
          <w:w w:val="120"/>
          <w:sz w:val="19"/>
        </w:rPr>
        <w:t>la</w:t>
      </w:r>
      <w:r>
        <w:rPr>
          <w:spacing w:val="-21"/>
          <w:w w:val="120"/>
          <w:sz w:val="19"/>
        </w:rPr>
        <w:t> </w:t>
      </w:r>
      <w:r>
        <w:rPr>
          <w:w w:val="120"/>
          <w:sz w:val="19"/>
        </w:rPr>
        <w:t>flexibi- </w:t>
      </w:r>
      <w:r>
        <w:rPr>
          <w:w w:val="115"/>
          <w:sz w:val="19"/>
        </w:rPr>
        <w:t>lización</w:t>
      </w:r>
      <w:r>
        <w:rPr>
          <w:spacing w:val="-13"/>
          <w:w w:val="115"/>
          <w:sz w:val="19"/>
        </w:rPr>
        <w:t> </w:t>
      </w:r>
      <w:r>
        <w:rPr>
          <w:w w:val="115"/>
          <w:sz w:val="19"/>
        </w:rPr>
        <w:t>cuantitativa</w:t>
      </w:r>
      <w:r>
        <w:rPr>
          <w:spacing w:val="-13"/>
          <w:w w:val="115"/>
          <w:sz w:val="19"/>
        </w:rPr>
        <w:t> </w:t>
      </w:r>
      <w:r>
        <w:rPr>
          <w:w w:val="115"/>
          <w:sz w:val="19"/>
        </w:rPr>
        <w:t>resultó</w:t>
      </w:r>
      <w:r>
        <w:rPr>
          <w:spacing w:val="-13"/>
          <w:w w:val="115"/>
          <w:sz w:val="19"/>
        </w:rPr>
        <w:t> </w:t>
      </w:r>
      <w:r>
        <w:rPr>
          <w:w w:val="115"/>
          <w:sz w:val="19"/>
        </w:rPr>
        <w:t>de</w:t>
      </w:r>
      <w:r>
        <w:rPr>
          <w:spacing w:val="-13"/>
          <w:w w:val="115"/>
          <w:sz w:val="19"/>
        </w:rPr>
        <w:t> </w:t>
      </w:r>
      <w:r>
        <w:rPr>
          <w:w w:val="115"/>
          <w:sz w:val="19"/>
        </w:rPr>
        <w:t>manera</w:t>
      </w:r>
      <w:r>
        <w:rPr>
          <w:spacing w:val="-13"/>
          <w:w w:val="115"/>
          <w:sz w:val="19"/>
        </w:rPr>
        <w:t> </w:t>
      </w:r>
      <w:r>
        <w:rPr>
          <w:w w:val="115"/>
          <w:sz w:val="19"/>
        </w:rPr>
        <w:t>inmediata</w:t>
      </w:r>
      <w:r>
        <w:rPr>
          <w:spacing w:val="-13"/>
          <w:w w:val="115"/>
          <w:sz w:val="19"/>
        </w:rPr>
        <w:t> </w:t>
      </w:r>
      <w:r>
        <w:rPr>
          <w:w w:val="115"/>
          <w:sz w:val="19"/>
        </w:rPr>
        <w:t>en</w:t>
      </w:r>
      <w:r>
        <w:rPr>
          <w:spacing w:val="-13"/>
          <w:w w:val="115"/>
          <w:sz w:val="19"/>
        </w:rPr>
        <w:t> </w:t>
      </w:r>
      <w:r>
        <w:rPr>
          <w:w w:val="115"/>
          <w:sz w:val="19"/>
        </w:rPr>
        <w:t>un</w:t>
      </w:r>
      <w:r>
        <w:rPr>
          <w:spacing w:val="-13"/>
          <w:w w:val="115"/>
          <w:sz w:val="19"/>
        </w:rPr>
        <w:t> </w:t>
      </w:r>
      <w:r>
        <w:rPr>
          <w:w w:val="115"/>
          <w:sz w:val="19"/>
        </w:rPr>
        <w:t>incremento </w:t>
      </w:r>
      <w:r>
        <w:rPr>
          <w:w w:val="120"/>
          <w:sz w:val="19"/>
        </w:rPr>
        <w:t>en</w:t>
      </w:r>
      <w:r>
        <w:rPr>
          <w:spacing w:val="-22"/>
          <w:w w:val="120"/>
          <w:sz w:val="19"/>
        </w:rPr>
        <w:t> </w:t>
      </w:r>
      <w:r>
        <w:rPr>
          <w:w w:val="120"/>
          <w:sz w:val="19"/>
        </w:rPr>
        <w:t>la</w:t>
      </w:r>
      <w:r>
        <w:rPr>
          <w:spacing w:val="-22"/>
          <w:w w:val="120"/>
          <w:sz w:val="19"/>
        </w:rPr>
        <w:t> </w:t>
      </w:r>
      <w:r>
        <w:rPr>
          <w:w w:val="120"/>
          <w:sz w:val="19"/>
        </w:rPr>
        <w:t>percepción</w:t>
      </w:r>
      <w:r>
        <w:rPr>
          <w:spacing w:val="-22"/>
          <w:w w:val="120"/>
          <w:sz w:val="19"/>
        </w:rPr>
        <w:t> </w:t>
      </w:r>
      <w:r>
        <w:rPr>
          <w:w w:val="120"/>
          <w:sz w:val="19"/>
        </w:rPr>
        <w:t>de</w:t>
      </w:r>
      <w:r>
        <w:rPr>
          <w:spacing w:val="-22"/>
          <w:w w:val="120"/>
          <w:sz w:val="19"/>
        </w:rPr>
        <w:t> </w:t>
      </w:r>
      <w:r>
        <w:rPr>
          <w:w w:val="120"/>
          <w:sz w:val="19"/>
        </w:rPr>
        <w:t>riesgos</w:t>
      </w:r>
      <w:r>
        <w:rPr>
          <w:spacing w:val="-22"/>
          <w:w w:val="120"/>
          <w:sz w:val="19"/>
        </w:rPr>
        <w:t> </w:t>
      </w:r>
      <w:r>
        <w:rPr>
          <w:w w:val="120"/>
          <w:sz w:val="19"/>
        </w:rPr>
        <w:t>en</w:t>
      </w:r>
      <w:r>
        <w:rPr>
          <w:spacing w:val="-22"/>
          <w:w w:val="120"/>
          <w:sz w:val="19"/>
        </w:rPr>
        <w:t> </w:t>
      </w:r>
      <w:r>
        <w:rPr>
          <w:w w:val="120"/>
          <w:sz w:val="19"/>
        </w:rPr>
        <w:t>relación</w:t>
      </w:r>
      <w:r>
        <w:rPr>
          <w:spacing w:val="-22"/>
          <w:w w:val="120"/>
          <w:sz w:val="19"/>
        </w:rPr>
        <w:t> </w:t>
      </w:r>
      <w:r>
        <w:rPr>
          <w:w w:val="120"/>
          <w:sz w:val="19"/>
        </w:rPr>
        <w:t>a</w:t>
      </w:r>
      <w:r>
        <w:rPr>
          <w:spacing w:val="-22"/>
          <w:w w:val="120"/>
          <w:sz w:val="19"/>
        </w:rPr>
        <w:t> </w:t>
      </w:r>
      <w:r>
        <w:rPr>
          <w:w w:val="120"/>
          <w:sz w:val="19"/>
        </w:rPr>
        <w:t>las</w:t>
      </w:r>
      <w:r>
        <w:rPr>
          <w:spacing w:val="-22"/>
          <w:w w:val="120"/>
          <w:sz w:val="19"/>
        </w:rPr>
        <w:t> </w:t>
      </w:r>
      <w:r>
        <w:rPr>
          <w:w w:val="120"/>
          <w:sz w:val="19"/>
        </w:rPr>
        <w:t>economías</w:t>
      </w:r>
      <w:r>
        <w:rPr>
          <w:spacing w:val="-22"/>
          <w:w w:val="120"/>
          <w:sz w:val="19"/>
        </w:rPr>
        <w:t> </w:t>
      </w:r>
      <w:r>
        <w:rPr>
          <w:w w:val="120"/>
          <w:sz w:val="19"/>
        </w:rPr>
        <w:t>latinoame- ricanas,</w:t>
      </w:r>
      <w:r>
        <w:rPr>
          <w:spacing w:val="-24"/>
          <w:w w:val="120"/>
          <w:sz w:val="19"/>
        </w:rPr>
        <w:t> </w:t>
      </w:r>
      <w:r>
        <w:rPr>
          <w:w w:val="120"/>
          <w:sz w:val="19"/>
        </w:rPr>
        <w:t>fundamentalmente</w:t>
      </w:r>
      <w:r>
        <w:rPr>
          <w:spacing w:val="-24"/>
          <w:w w:val="120"/>
          <w:sz w:val="19"/>
        </w:rPr>
        <w:t> </w:t>
      </w:r>
      <w:r>
        <w:rPr>
          <w:w w:val="120"/>
          <w:sz w:val="19"/>
        </w:rPr>
        <w:t>las</w:t>
      </w:r>
      <w:r>
        <w:rPr>
          <w:spacing w:val="-24"/>
          <w:w w:val="120"/>
          <w:sz w:val="19"/>
        </w:rPr>
        <w:t> </w:t>
      </w:r>
      <w:r>
        <w:rPr>
          <w:w w:val="120"/>
          <w:sz w:val="19"/>
        </w:rPr>
        <w:t>que</w:t>
      </w:r>
      <w:r>
        <w:rPr>
          <w:spacing w:val="-24"/>
          <w:w w:val="120"/>
          <w:sz w:val="19"/>
        </w:rPr>
        <w:t> </w:t>
      </w:r>
      <w:r>
        <w:rPr>
          <w:w w:val="120"/>
          <w:sz w:val="19"/>
        </w:rPr>
        <w:t>reciben</w:t>
      </w:r>
      <w:r>
        <w:rPr>
          <w:spacing w:val="-24"/>
          <w:w w:val="120"/>
          <w:sz w:val="19"/>
        </w:rPr>
        <w:t> </w:t>
      </w:r>
      <w:r>
        <w:rPr>
          <w:w w:val="120"/>
          <w:sz w:val="19"/>
        </w:rPr>
        <w:t>mayor</w:t>
      </w:r>
      <w:r>
        <w:rPr>
          <w:spacing w:val="-24"/>
          <w:w w:val="120"/>
          <w:sz w:val="19"/>
        </w:rPr>
        <w:t> </w:t>
      </w:r>
      <w:r>
        <w:rPr>
          <w:w w:val="120"/>
          <w:sz w:val="19"/>
        </w:rPr>
        <w:t>cantidad</w:t>
      </w:r>
      <w:r>
        <w:rPr>
          <w:spacing w:val="-24"/>
          <w:w w:val="120"/>
          <w:sz w:val="19"/>
        </w:rPr>
        <w:t> </w:t>
      </w:r>
      <w:r>
        <w:rPr>
          <w:w w:val="120"/>
          <w:sz w:val="19"/>
        </w:rPr>
        <w:t>de</w:t>
      </w:r>
      <w:r>
        <w:rPr>
          <w:spacing w:val="-24"/>
          <w:w w:val="120"/>
          <w:sz w:val="19"/>
        </w:rPr>
        <w:t> </w:t>
      </w:r>
      <w:r>
        <w:rPr>
          <w:w w:val="120"/>
          <w:sz w:val="19"/>
        </w:rPr>
        <w:t>iEd (brasil, Colombia, Chile, México, Panamá, Perú y uruguay). Esta </w:t>
      </w:r>
      <w:r>
        <w:rPr>
          <w:w w:val="115"/>
          <w:sz w:val="19"/>
        </w:rPr>
        <w:t>percepción</w:t>
      </w:r>
      <w:r>
        <w:rPr>
          <w:spacing w:val="-31"/>
          <w:w w:val="115"/>
          <w:sz w:val="19"/>
        </w:rPr>
        <w:t> </w:t>
      </w:r>
      <w:r>
        <w:rPr>
          <w:w w:val="115"/>
          <w:sz w:val="19"/>
        </w:rPr>
        <w:t>de</w:t>
      </w:r>
      <w:r>
        <w:rPr>
          <w:spacing w:val="-31"/>
          <w:w w:val="115"/>
          <w:sz w:val="19"/>
        </w:rPr>
        <w:t> </w:t>
      </w:r>
      <w:r>
        <w:rPr>
          <w:w w:val="115"/>
          <w:sz w:val="19"/>
        </w:rPr>
        <w:t>riesgos</w:t>
      </w:r>
      <w:r>
        <w:rPr>
          <w:spacing w:val="-31"/>
          <w:w w:val="115"/>
          <w:sz w:val="19"/>
        </w:rPr>
        <w:t> </w:t>
      </w:r>
      <w:r>
        <w:rPr>
          <w:w w:val="115"/>
          <w:sz w:val="19"/>
        </w:rPr>
        <w:t>se</w:t>
      </w:r>
      <w:r>
        <w:rPr>
          <w:spacing w:val="-31"/>
          <w:w w:val="115"/>
          <w:sz w:val="19"/>
        </w:rPr>
        <w:t> </w:t>
      </w:r>
      <w:r>
        <w:rPr>
          <w:w w:val="115"/>
          <w:sz w:val="19"/>
        </w:rPr>
        <w:t>tradujo</w:t>
      </w:r>
      <w:r>
        <w:rPr>
          <w:spacing w:val="-31"/>
          <w:w w:val="115"/>
          <w:sz w:val="19"/>
        </w:rPr>
        <w:t> </w:t>
      </w:r>
      <w:r>
        <w:rPr>
          <w:w w:val="115"/>
          <w:sz w:val="19"/>
        </w:rPr>
        <w:t>en</w:t>
      </w:r>
      <w:r>
        <w:rPr>
          <w:spacing w:val="-31"/>
          <w:w w:val="115"/>
          <w:sz w:val="19"/>
        </w:rPr>
        <w:t> </w:t>
      </w:r>
      <w:r>
        <w:rPr>
          <w:w w:val="115"/>
          <w:sz w:val="19"/>
        </w:rPr>
        <w:t>pérdidas</w:t>
      </w:r>
      <w:r>
        <w:rPr>
          <w:spacing w:val="-31"/>
          <w:w w:val="115"/>
          <w:sz w:val="19"/>
        </w:rPr>
        <w:t> </w:t>
      </w:r>
      <w:r>
        <w:rPr>
          <w:w w:val="115"/>
          <w:sz w:val="19"/>
        </w:rPr>
        <w:t>bursátiles</w:t>
      </w:r>
      <w:r>
        <w:rPr>
          <w:spacing w:val="-31"/>
          <w:w w:val="115"/>
          <w:sz w:val="19"/>
        </w:rPr>
        <w:t> </w:t>
      </w:r>
      <w:r>
        <w:rPr>
          <w:w w:val="115"/>
          <w:sz w:val="19"/>
        </w:rPr>
        <w:t>y</w:t>
      </w:r>
      <w:r>
        <w:rPr>
          <w:spacing w:val="-31"/>
          <w:w w:val="115"/>
          <w:sz w:val="19"/>
        </w:rPr>
        <w:t> </w:t>
      </w:r>
      <w:r>
        <w:rPr>
          <w:w w:val="115"/>
          <w:sz w:val="19"/>
        </w:rPr>
        <w:t>depreciacio- nes de las monedas latinoamericanas. No obstante, aparentemente </w:t>
      </w:r>
      <w:r>
        <w:rPr>
          <w:w w:val="120"/>
          <w:sz w:val="19"/>
        </w:rPr>
        <w:t>el</w:t>
      </w:r>
      <w:r>
        <w:rPr>
          <w:spacing w:val="-20"/>
          <w:w w:val="120"/>
          <w:sz w:val="19"/>
        </w:rPr>
        <w:t> </w:t>
      </w:r>
      <w:r>
        <w:rPr>
          <w:w w:val="120"/>
          <w:sz w:val="19"/>
        </w:rPr>
        <w:t>efecto</w:t>
      </w:r>
      <w:r>
        <w:rPr>
          <w:spacing w:val="-20"/>
          <w:w w:val="120"/>
          <w:sz w:val="19"/>
        </w:rPr>
        <w:t> </w:t>
      </w:r>
      <w:r>
        <w:rPr>
          <w:w w:val="120"/>
          <w:sz w:val="19"/>
        </w:rPr>
        <w:t>hasta</w:t>
      </w:r>
      <w:r>
        <w:rPr>
          <w:spacing w:val="-20"/>
          <w:w w:val="120"/>
          <w:sz w:val="19"/>
        </w:rPr>
        <w:t> </w:t>
      </w:r>
      <w:r>
        <w:rPr>
          <w:w w:val="120"/>
          <w:sz w:val="19"/>
        </w:rPr>
        <w:t>ahora</w:t>
      </w:r>
      <w:r>
        <w:rPr>
          <w:spacing w:val="-20"/>
          <w:w w:val="120"/>
          <w:sz w:val="19"/>
        </w:rPr>
        <w:t> </w:t>
      </w:r>
      <w:r>
        <w:rPr>
          <w:w w:val="120"/>
          <w:sz w:val="19"/>
        </w:rPr>
        <w:t>sobre</w:t>
      </w:r>
      <w:r>
        <w:rPr>
          <w:spacing w:val="-20"/>
          <w:w w:val="120"/>
          <w:sz w:val="19"/>
        </w:rPr>
        <w:t> </w:t>
      </w:r>
      <w:r>
        <w:rPr>
          <w:w w:val="120"/>
          <w:sz w:val="19"/>
        </w:rPr>
        <w:t>las</w:t>
      </w:r>
      <w:r>
        <w:rPr>
          <w:spacing w:val="-20"/>
          <w:w w:val="120"/>
          <w:sz w:val="19"/>
        </w:rPr>
        <w:t> </w:t>
      </w:r>
      <w:r>
        <w:rPr>
          <w:w w:val="120"/>
          <w:sz w:val="19"/>
        </w:rPr>
        <w:t>entradas</w:t>
      </w:r>
      <w:r>
        <w:rPr>
          <w:spacing w:val="-20"/>
          <w:w w:val="120"/>
          <w:sz w:val="19"/>
        </w:rPr>
        <w:t> </w:t>
      </w:r>
      <w:r>
        <w:rPr>
          <w:w w:val="120"/>
          <w:sz w:val="19"/>
        </w:rPr>
        <w:t>de</w:t>
      </w:r>
      <w:r>
        <w:rPr>
          <w:spacing w:val="-20"/>
          <w:w w:val="120"/>
          <w:sz w:val="19"/>
        </w:rPr>
        <w:t> </w:t>
      </w:r>
      <w:r>
        <w:rPr>
          <w:w w:val="120"/>
          <w:sz w:val="19"/>
        </w:rPr>
        <w:t>capital</w:t>
      </w:r>
      <w:r>
        <w:rPr>
          <w:spacing w:val="-20"/>
          <w:w w:val="120"/>
          <w:sz w:val="19"/>
        </w:rPr>
        <w:t> </w:t>
      </w:r>
      <w:r>
        <w:rPr>
          <w:w w:val="120"/>
          <w:sz w:val="19"/>
        </w:rPr>
        <w:t>ha</w:t>
      </w:r>
      <w:r>
        <w:rPr>
          <w:spacing w:val="-20"/>
          <w:w w:val="120"/>
          <w:sz w:val="19"/>
        </w:rPr>
        <w:t> </w:t>
      </w:r>
      <w:r>
        <w:rPr>
          <w:w w:val="120"/>
          <w:sz w:val="19"/>
        </w:rPr>
        <w:t>sido</w:t>
      </w:r>
      <w:r>
        <w:rPr>
          <w:spacing w:val="-20"/>
          <w:w w:val="120"/>
          <w:sz w:val="19"/>
        </w:rPr>
        <w:t> </w:t>
      </w:r>
      <w:r>
        <w:rPr>
          <w:w w:val="120"/>
          <w:sz w:val="19"/>
        </w:rPr>
        <w:t>limitado (CEPal,</w:t>
      </w:r>
      <w:r>
        <w:rPr>
          <w:spacing w:val="-22"/>
          <w:w w:val="120"/>
          <w:sz w:val="19"/>
        </w:rPr>
        <w:t> </w:t>
      </w:r>
      <w:r>
        <w:rPr>
          <w:w w:val="120"/>
          <w:sz w:val="19"/>
        </w:rPr>
        <w:t>2014:</w:t>
      </w:r>
      <w:r>
        <w:rPr>
          <w:spacing w:val="-22"/>
          <w:w w:val="120"/>
          <w:sz w:val="19"/>
        </w:rPr>
        <w:t> </w:t>
      </w:r>
      <w:r>
        <w:rPr>
          <w:w w:val="120"/>
          <w:sz w:val="19"/>
        </w:rPr>
        <w:t>22).</w:t>
      </w:r>
      <w:r>
        <w:rPr>
          <w:spacing w:val="-22"/>
          <w:w w:val="120"/>
          <w:sz w:val="19"/>
        </w:rPr>
        <w:t> </w:t>
      </w:r>
      <w:r>
        <w:rPr>
          <w:spacing w:val="-6"/>
          <w:w w:val="120"/>
          <w:sz w:val="19"/>
        </w:rPr>
        <w:t>tal</w:t>
      </w:r>
      <w:r>
        <w:rPr>
          <w:spacing w:val="-22"/>
          <w:w w:val="120"/>
          <w:sz w:val="19"/>
        </w:rPr>
        <w:t> </w:t>
      </w:r>
      <w:r>
        <w:rPr>
          <w:w w:val="120"/>
          <w:sz w:val="19"/>
        </w:rPr>
        <w:t>como</w:t>
      </w:r>
      <w:r>
        <w:rPr>
          <w:spacing w:val="-22"/>
          <w:w w:val="120"/>
          <w:sz w:val="19"/>
        </w:rPr>
        <w:t> </w:t>
      </w:r>
      <w:r>
        <w:rPr>
          <w:w w:val="120"/>
          <w:sz w:val="19"/>
        </w:rPr>
        <w:t>expresa</w:t>
      </w:r>
      <w:r>
        <w:rPr>
          <w:spacing w:val="-22"/>
          <w:w w:val="120"/>
          <w:sz w:val="19"/>
        </w:rPr>
        <w:t> </w:t>
      </w:r>
      <w:r>
        <w:rPr>
          <w:w w:val="120"/>
          <w:sz w:val="19"/>
        </w:rPr>
        <w:t>la</w:t>
      </w:r>
      <w:r>
        <w:rPr>
          <w:spacing w:val="-22"/>
          <w:w w:val="120"/>
          <w:sz w:val="19"/>
        </w:rPr>
        <w:t> </w:t>
      </w:r>
      <w:r>
        <w:rPr>
          <w:spacing w:val="-3"/>
          <w:w w:val="120"/>
          <w:sz w:val="19"/>
        </w:rPr>
        <w:t>CEPal</w:t>
      </w:r>
      <w:r>
        <w:rPr>
          <w:spacing w:val="-22"/>
          <w:w w:val="120"/>
          <w:sz w:val="19"/>
        </w:rPr>
        <w:t> </w:t>
      </w:r>
      <w:r>
        <w:rPr>
          <w:w w:val="120"/>
          <w:sz w:val="19"/>
        </w:rPr>
        <w:t>(2014:</w:t>
      </w:r>
      <w:r>
        <w:rPr>
          <w:spacing w:val="-22"/>
          <w:w w:val="120"/>
          <w:sz w:val="19"/>
        </w:rPr>
        <w:t> </w:t>
      </w:r>
      <w:r>
        <w:rPr>
          <w:w w:val="120"/>
          <w:sz w:val="19"/>
        </w:rPr>
        <w:t>22-23)</w:t>
      </w:r>
      <w:r>
        <w:rPr>
          <w:spacing w:val="-22"/>
          <w:w w:val="120"/>
          <w:sz w:val="19"/>
        </w:rPr>
        <w:t> </w:t>
      </w:r>
      <w:r>
        <w:rPr>
          <w:i/>
          <w:w w:val="120"/>
          <w:sz w:val="19"/>
        </w:rPr>
        <w:t>esta</w:t>
      </w:r>
      <w:r>
        <w:rPr>
          <w:i/>
          <w:spacing w:val="-22"/>
          <w:w w:val="120"/>
          <w:sz w:val="19"/>
        </w:rPr>
        <w:t> </w:t>
      </w:r>
      <w:r>
        <w:rPr>
          <w:i/>
          <w:w w:val="120"/>
          <w:sz w:val="19"/>
        </w:rPr>
        <w:t>de- </w:t>
      </w:r>
      <w:r>
        <w:rPr>
          <w:i/>
          <w:w w:val="115"/>
          <w:sz w:val="19"/>
        </w:rPr>
        <w:t>preciación</w:t>
      </w:r>
      <w:r>
        <w:rPr>
          <w:i/>
          <w:spacing w:val="-5"/>
          <w:w w:val="115"/>
          <w:sz w:val="19"/>
        </w:rPr>
        <w:t> </w:t>
      </w:r>
      <w:r>
        <w:rPr>
          <w:i/>
          <w:w w:val="115"/>
          <w:sz w:val="19"/>
        </w:rPr>
        <w:t>de</w:t>
      </w:r>
      <w:r>
        <w:rPr>
          <w:i/>
          <w:spacing w:val="-5"/>
          <w:w w:val="115"/>
          <w:sz w:val="19"/>
        </w:rPr>
        <w:t> </w:t>
      </w:r>
      <w:r>
        <w:rPr>
          <w:i/>
          <w:w w:val="115"/>
          <w:sz w:val="19"/>
        </w:rPr>
        <w:t>las</w:t>
      </w:r>
      <w:r>
        <w:rPr>
          <w:i/>
          <w:spacing w:val="-5"/>
          <w:w w:val="115"/>
          <w:sz w:val="19"/>
        </w:rPr>
        <w:t> </w:t>
      </w:r>
      <w:r>
        <w:rPr>
          <w:i/>
          <w:w w:val="115"/>
          <w:sz w:val="19"/>
        </w:rPr>
        <w:t>monedas</w:t>
      </w:r>
      <w:r>
        <w:rPr>
          <w:i/>
          <w:spacing w:val="-5"/>
          <w:w w:val="115"/>
          <w:sz w:val="19"/>
        </w:rPr>
        <w:t> </w:t>
      </w:r>
      <w:r>
        <w:rPr>
          <w:i/>
          <w:w w:val="115"/>
          <w:sz w:val="19"/>
        </w:rPr>
        <w:t>latinoamericanas</w:t>
      </w:r>
      <w:r>
        <w:rPr>
          <w:i/>
          <w:spacing w:val="-5"/>
          <w:w w:val="115"/>
          <w:sz w:val="19"/>
        </w:rPr>
        <w:t> </w:t>
      </w:r>
      <w:r>
        <w:rPr>
          <w:i/>
          <w:w w:val="115"/>
          <w:sz w:val="19"/>
        </w:rPr>
        <w:t>constituyó</w:t>
      </w:r>
      <w:r>
        <w:rPr>
          <w:i/>
          <w:spacing w:val="-5"/>
          <w:w w:val="115"/>
          <w:sz w:val="19"/>
        </w:rPr>
        <w:t> </w:t>
      </w:r>
      <w:r>
        <w:rPr>
          <w:i/>
          <w:w w:val="115"/>
          <w:sz w:val="19"/>
        </w:rPr>
        <w:t>un</w:t>
      </w:r>
      <w:r>
        <w:rPr>
          <w:i/>
          <w:spacing w:val="-5"/>
          <w:w w:val="115"/>
          <w:sz w:val="19"/>
        </w:rPr>
        <w:t> </w:t>
      </w:r>
      <w:r>
        <w:rPr>
          <w:i/>
          <w:w w:val="115"/>
          <w:sz w:val="19"/>
        </w:rPr>
        <w:t>efecto</w:t>
      </w:r>
      <w:r>
        <w:rPr>
          <w:i/>
          <w:spacing w:val="-5"/>
          <w:w w:val="115"/>
          <w:sz w:val="19"/>
        </w:rPr>
        <w:t> </w:t>
      </w:r>
      <w:r>
        <w:rPr>
          <w:i/>
          <w:w w:val="115"/>
          <w:sz w:val="19"/>
        </w:rPr>
        <w:t>du- radero</w:t>
      </w:r>
      <w:r>
        <w:rPr>
          <w:i/>
          <w:spacing w:val="-12"/>
          <w:w w:val="115"/>
          <w:sz w:val="19"/>
        </w:rPr>
        <w:t> </w:t>
      </w:r>
      <w:r>
        <w:rPr>
          <w:i/>
          <w:w w:val="115"/>
          <w:sz w:val="19"/>
        </w:rPr>
        <w:t>del</w:t>
      </w:r>
      <w:r>
        <w:rPr>
          <w:i/>
          <w:spacing w:val="-12"/>
          <w:w w:val="115"/>
          <w:sz w:val="19"/>
        </w:rPr>
        <w:t> </w:t>
      </w:r>
      <w:r>
        <w:rPr>
          <w:i/>
          <w:w w:val="115"/>
          <w:sz w:val="19"/>
        </w:rPr>
        <w:t>anuncio</w:t>
      </w:r>
      <w:r>
        <w:rPr>
          <w:i/>
          <w:spacing w:val="-12"/>
          <w:w w:val="115"/>
          <w:sz w:val="19"/>
        </w:rPr>
        <w:t> </w:t>
      </w:r>
      <w:r>
        <w:rPr>
          <w:i/>
          <w:w w:val="115"/>
          <w:sz w:val="19"/>
        </w:rPr>
        <w:t>de</w:t>
      </w:r>
      <w:r>
        <w:rPr>
          <w:i/>
          <w:spacing w:val="-12"/>
          <w:w w:val="115"/>
          <w:sz w:val="19"/>
        </w:rPr>
        <w:t> </w:t>
      </w:r>
      <w:r>
        <w:rPr>
          <w:i/>
          <w:w w:val="115"/>
          <w:sz w:val="19"/>
        </w:rPr>
        <w:t>la</w:t>
      </w:r>
      <w:r>
        <w:rPr>
          <w:i/>
          <w:spacing w:val="-12"/>
          <w:w w:val="115"/>
          <w:sz w:val="19"/>
        </w:rPr>
        <w:t> </w:t>
      </w:r>
      <w:r>
        <w:rPr>
          <w:i/>
          <w:w w:val="115"/>
          <w:sz w:val="19"/>
        </w:rPr>
        <w:t>Reserva</w:t>
      </w:r>
      <w:r>
        <w:rPr>
          <w:i/>
          <w:spacing w:val="-12"/>
          <w:w w:val="115"/>
          <w:sz w:val="19"/>
        </w:rPr>
        <w:t> </w:t>
      </w:r>
      <w:r>
        <w:rPr>
          <w:i/>
          <w:w w:val="115"/>
          <w:sz w:val="19"/>
        </w:rPr>
        <w:t>Federal</w:t>
      </w:r>
      <w:r>
        <w:rPr>
          <w:i/>
          <w:spacing w:val="-12"/>
          <w:w w:val="115"/>
          <w:sz w:val="19"/>
        </w:rPr>
        <w:t> </w:t>
      </w:r>
      <w:r>
        <w:rPr>
          <w:i/>
          <w:w w:val="115"/>
          <w:sz w:val="19"/>
        </w:rPr>
        <w:t>de</w:t>
      </w:r>
      <w:r>
        <w:rPr>
          <w:i/>
          <w:spacing w:val="-12"/>
          <w:w w:val="115"/>
          <w:sz w:val="19"/>
        </w:rPr>
        <w:t> </w:t>
      </w:r>
      <w:r>
        <w:rPr>
          <w:i/>
          <w:w w:val="115"/>
          <w:sz w:val="19"/>
        </w:rPr>
        <w:t>Estados</w:t>
      </w:r>
      <w:r>
        <w:rPr>
          <w:i/>
          <w:spacing w:val="-12"/>
          <w:w w:val="115"/>
          <w:sz w:val="19"/>
        </w:rPr>
        <w:t> </w:t>
      </w:r>
      <w:r>
        <w:rPr>
          <w:i/>
          <w:w w:val="115"/>
          <w:sz w:val="19"/>
        </w:rPr>
        <w:t>Unidos.</w:t>
      </w:r>
      <w:r>
        <w:rPr>
          <w:i/>
          <w:spacing w:val="-12"/>
          <w:w w:val="115"/>
          <w:sz w:val="19"/>
        </w:rPr>
        <w:t> </w:t>
      </w:r>
      <w:r>
        <w:rPr>
          <w:i/>
          <w:w w:val="115"/>
          <w:sz w:val="19"/>
        </w:rPr>
        <w:t>El</w:t>
      </w:r>
      <w:r>
        <w:rPr>
          <w:i/>
          <w:spacing w:val="-12"/>
          <w:w w:val="115"/>
          <w:sz w:val="19"/>
        </w:rPr>
        <w:t> </w:t>
      </w:r>
      <w:r>
        <w:rPr>
          <w:i/>
          <w:w w:val="115"/>
          <w:sz w:val="19"/>
        </w:rPr>
        <w:t>tipo</w:t>
      </w:r>
      <w:r>
        <w:rPr>
          <w:i/>
          <w:spacing w:val="-12"/>
          <w:w w:val="115"/>
          <w:sz w:val="19"/>
        </w:rPr>
        <w:t> </w:t>
      </w:r>
      <w:r>
        <w:rPr>
          <w:i/>
          <w:w w:val="115"/>
          <w:sz w:val="19"/>
        </w:rPr>
        <w:t>de </w:t>
      </w:r>
      <w:r>
        <w:rPr>
          <w:i/>
          <w:w w:val="120"/>
          <w:sz w:val="19"/>
        </w:rPr>
        <w:t>cambio</w:t>
      </w:r>
      <w:r>
        <w:rPr>
          <w:i/>
          <w:spacing w:val="-12"/>
          <w:w w:val="120"/>
          <w:sz w:val="19"/>
        </w:rPr>
        <w:t> </w:t>
      </w:r>
      <w:r>
        <w:rPr>
          <w:i/>
          <w:w w:val="120"/>
          <w:sz w:val="19"/>
        </w:rPr>
        <w:t>de</w:t>
      </w:r>
      <w:r>
        <w:rPr>
          <w:i/>
          <w:spacing w:val="-12"/>
          <w:w w:val="120"/>
          <w:sz w:val="19"/>
        </w:rPr>
        <w:t> </w:t>
      </w:r>
      <w:r>
        <w:rPr>
          <w:i/>
          <w:w w:val="120"/>
          <w:sz w:val="19"/>
        </w:rPr>
        <w:t>Brasil</w:t>
      </w:r>
      <w:r>
        <w:rPr>
          <w:i/>
          <w:spacing w:val="-12"/>
          <w:w w:val="120"/>
          <w:sz w:val="19"/>
        </w:rPr>
        <w:t> </w:t>
      </w:r>
      <w:r>
        <w:rPr>
          <w:i/>
          <w:w w:val="120"/>
          <w:sz w:val="19"/>
        </w:rPr>
        <w:t>cayó</w:t>
      </w:r>
      <w:r>
        <w:rPr>
          <w:i/>
          <w:spacing w:val="-12"/>
          <w:w w:val="120"/>
          <w:sz w:val="19"/>
        </w:rPr>
        <w:t> </w:t>
      </w:r>
      <w:r>
        <w:rPr>
          <w:i/>
          <w:w w:val="120"/>
          <w:sz w:val="19"/>
        </w:rPr>
        <w:t>un</w:t>
      </w:r>
      <w:r>
        <w:rPr>
          <w:i/>
          <w:spacing w:val="-12"/>
          <w:w w:val="120"/>
          <w:sz w:val="19"/>
        </w:rPr>
        <w:t> </w:t>
      </w:r>
      <w:r>
        <w:rPr>
          <w:i/>
          <w:w w:val="120"/>
          <w:sz w:val="19"/>
        </w:rPr>
        <w:t>20%</w:t>
      </w:r>
      <w:r>
        <w:rPr>
          <w:i/>
          <w:spacing w:val="-12"/>
          <w:w w:val="120"/>
          <w:sz w:val="19"/>
        </w:rPr>
        <w:t> </w:t>
      </w:r>
      <w:r>
        <w:rPr>
          <w:i/>
          <w:w w:val="120"/>
          <w:sz w:val="19"/>
        </w:rPr>
        <w:t>en</w:t>
      </w:r>
      <w:r>
        <w:rPr>
          <w:i/>
          <w:spacing w:val="-12"/>
          <w:w w:val="120"/>
          <w:sz w:val="19"/>
        </w:rPr>
        <w:t> </w:t>
      </w:r>
      <w:r>
        <w:rPr>
          <w:i/>
          <w:w w:val="120"/>
          <w:sz w:val="19"/>
        </w:rPr>
        <w:t>tres</w:t>
      </w:r>
      <w:r>
        <w:rPr>
          <w:i/>
          <w:spacing w:val="-12"/>
          <w:w w:val="120"/>
          <w:sz w:val="19"/>
        </w:rPr>
        <w:t> </w:t>
      </w:r>
      <w:r>
        <w:rPr>
          <w:i/>
          <w:w w:val="120"/>
          <w:sz w:val="19"/>
        </w:rPr>
        <w:t>meses</w:t>
      </w:r>
      <w:r>
        <w:rPr>
          <w:i/>
          <w:spacing w:val="-12"/>
          <w:w w:val="120"/>
          <w:sz w:val="19"/>
        </w:rPr>
        <w:t> </w:t>
      </w:r>
      <w:r>
        <w:rPr>
          <w:i/>
          <w:w w:val="120"/>
          <w:sz w:val="19"/>
        </w:rPr>
        <w:t>y</w:t>
      </w:r>
      <w:r>
        <w:rPr>
          <w:i/>
          <w:spacing w:val="-12"/>
          <w:w w:val="120"/>
          <w:sz w:val="19"/>
        </w:rPr>
        <w:t> </w:t>
      </w:r>
      <w:r>
        <w:rPr>
          <w:i/>
          <w:w w:val="120"/>
          <w:sz w:val="19"/>
        </w:rPr>
        <w:t>las</w:t>
      </w:r>
      <w:r>
        <w:rPr>
          <w:i/>
          <w:spacing w:val="-12"/>
          <w:w w:val="120"/>
          <w:sz w:val="19"/>
        </w:rPr>
        <w:t> </w:t>
      </w:r>
      <w:r>
        <w:rPr>
          <w:i/>
          <w:w w:val="120"/>
          <w:sz w:val="19"/>
        </w:rPr>
        <w:t>monedas</w:t>
      </w:r>
      <w:r>
        <w:rPr>
          <w:i/>
          <w:spacing w:val="-12"/>
          <w:w w:val="120"/>
          <w:sz w:val="19"/>
        </w:rPr>
        <w:t> </w:t>
      </w:r>
      <w:r>
        <w:rPr>
          <w:i/>
          <w:w w:val="120"/>
          <w:sz w:val="19"/>
        </w:rPr>
        <w:t>de</w:t>
      </w:r>
      <w:r>
        <w:rPr>
          <w:i/>
          <w:spacing w:val="-12"/>
          <w:w w:val="120"/>
          <w:sz w:val="19"/>
        </w:rPr>
        <w:t> </w:t>
      </w:r>
      <w:r>
        <w:rPr>
          <w:i/>
          <w:w w:val="120"/>
          <w:sz w:val="19"/>
        </w:rPr>
        <w:t>Chile, </w:t>
      </w:r>
      <w:r>
        <w:rPr>
          <w:i/>
          <w:w w:val="115"/>
          <w:sz w:val="19"/>
        </w:rPr>
        <w:t>Colombia</w:t>
      </w:r>
      <w:r>
        <w:rPr>
          <w:i/>
          <w:spacing w:val="-16"/>
          <w:w w:val="115"/>
          <w:sz w:val="19"/>
        </w:rPr>
        <w:t> </w:t>
      </w:r>
      <w:r>
        <w:rPr>
          <w:i/>
          <w:w w:val="115"/>
          <w:sz w:val="19"/>
        </w:rPr>
        <w:t>y</w:t>
      </w:r>
      <w:r>
        <w:rPr>
          <w:i/>
          <w:spacing w:val="-16"/>
          <w:w w:val="115"/>
          <w:sz w:val="19"/>
        </w:rPr>
        <w:t> </w:t>
      </w:r>
      <w:r>
        <w:rPr>
          <w:i/>
          <w:w w:val="115"/>
          <w:sz w:val="19"/>
        </w:rPr>
        <w:t>Perú</w:t>
      </w:r>
      <w:r>
        <w:rPr>
          <w:i/>
          <w:spacing w:val="-16"/>
          <w:w w:val="115"/>
          <w:sz w:val="19"/>
        </w:rPr>
        <w:t> </w:t>
      </w:r>
      <w:r>
        <w:rPr>
          <w:i/>
          <w:w w:val="115"/>
          <w:sz w:val="19"/>
        </w:rPr>
        <w:t>se</w:t>
      </w:r>
      <w:r>
        <w:rPr>
          <w:i/>
          <w:spacing w:val="-16"/>
          <w:w w:val="115"/>
          <w:sz w:val="19"/>
        </w:rPr>
        <w:t> </w:t>
      </w:r>
      <w:r>
        <w:rPr>
          <w:i/>
          <w:w w:val="115"/>
          <w:sz w:val="19"/>
        </w:rPr>
        <w:t>depreciaron</w:t>
      </w:r>
      <w:r>
        <w:rPr>
          <w:i/>
          <w:spacing w:val="-16"/>
          <w:w w:val="115"/>
          <w:sz w:val="19"/>
        </w:rPr>
        <w:t> </w:t>
      </w:r>
      <w:r>
        <w:rPr>
          <w:i/>
          <w:w w:val="115"/>
          <w:sz w:val="19"/>
        </w:rPr>
        <w:t>en</w:t>
      </w:r>
      <w:r>
        <w:rPr>
          <w:i/>
          <w:spacing w:val="-16"/>
          <w:w w:val="115"/>
          <w:sz w:val="19"/>
        </w:rPr>
        <w:t> </w:t>
      </w:r>
      <w:r>
        <w:rPr>
          <w:i/>
          <w:w w:val="115"/>
          <w:sz w:val="19"/>
        </w:rPr>
        <w:t>torno</w:t>
      </w:r>
      <w:r>
        <w:rPr>
          <w:i/>
          <w:spacing w:val="-16"/>
          <w:w w:val="115"/>
          <w:sz w:val="19"/>
        </w:rPr>
        <w:t> </w:t>
      </w:r>
      <w:r>
        <w:rPr>
          <w:i/>
          <w:w w:val="115"/>
          <w:sz w:val="19"/>
        </w:rPr>
        <w:t>a</w:t>
      </w:r>
      <w:r>
        <w:rPr>
          <w:i/>
          <w:spacing w:val="-16"/>
          <w:w w:val="115"/>
          <w:sz w:val="19"/>
        </w:rPr>
        <w:t> </w:t>
      </w:r>
      <w:r>
        <w:rPr>
          <w:i/>
          <w:w w:val="115"/>
          <w:sz w:val="19"/>
        </w:rPr>
        <w:t>un</w:t>
      </w:r>
      <w:r>
        <w:rPr>
          <w:i/>
          <w:spacing w:val="-16"/>
          <w:w w:val="115"/>
          <w:sz w:val="19"/>
        </w:rPr>
        <w:t> </w:t>
      </w:r>
      <w:r>
        <w:rPr>
          <w:i/>
          <w:w w:val="115"/>
          <w:sz w:val="19"/>
        </w:rPr>
        <w:t>10%,</w:t>
      </w:r>
      <w:r>
        <w:rPr>
          <w:i/>
          <w:spacing w:val="-16"/>
          <w:w w:val="115"/>
          <w:sz w:val="19"/>
        </w:rPr>
        <w:t> </w:t>
      </w:r>
      <w:r>
        <w:rPr>
          <w:i/>
          <w:w w:val="115"/>
          <w:sz w:val="19"/>
        </w:rPr>
        <w:t>cancelando</w:t>
      </w:r>
      <w:r>
        <w:rPr>
          <w:i/>
          <w:spacing w:val="-16"/>
          <w:w w:val="115"/>
          <w:sz w:val="19"/>
        </w:rPr>
        <w:t> </w:t>
      </w:r>
      <w:r>
        <w:rPr>
          <w:i/>
          <w:w w:val="115"/>
          <w:sz w:val="19"/>
        </w:rPr>
        <w:t>prácti- camente</w:t>
      </w:r>
      <w:r>
        <w:rPr>
          <w:i/>
          <w:spacing w:val="-9"/>
          <w:w w:val="115"/>
          <w:sz w:val="19"/>
        </w:rPr>
        <w:t> </w:t>
      </w:r>
      <w:r>
        <w:rPr>
          <w:i/>
          <w:w w:val="115"/>
          <w:sz w:val="19"/>
        </w:rPr>
        <w:t>la</w:t>
      </w:r>
      <w:r>
        <w:rPr>
          <w:i/>
          <w:spacing w:val="-9"/>
          <w:w w:val="115"/>
          <w:sz w:val="19"/>
        </w:rPr>
        <w:t> </w:t>
      </w:r>
      <w:r>
        <w:rPr>
          <w:i/>
          <w:w w:val="115"/>
          <w:sz w:val="19"/>
        </w:rPr>
        <w:t>depreciación</w:t>
      </w:r>
      <w:r>
        <w:rPr>
          <w:i/>
          <w:spacing w:val="-9"/>
          <w:w w:val="115"/>
          <w:sz w:val="19"/>
        </w:rPr>
        <w:t> </w:t>
      </w:r>
      <w:r>
        <w:rPr>
          <w:i/>
          <w:w w:val="115"/>
          <w:sz w:val="19"/>
        </w:rPr>
        <w:t>de</w:t>
      </w:r>
      <w:r>
        <w:rPr>
          <w:i/>
          <w:spacing w:val="-9"/>
          <w:w w:val="115"/>
          <w:sz w:val="19"/>
        </w:rPr>
        <w:t> </w:t>
      </w:r>
      <w:r>
        <w:rPr>
          <w:i/>
          <w:w w:val="115"/>
          <w:sz w:val="19"/>
        </w:rPr>
        <w:t>los</w:t>
      </w:r>
      <w:r>
        <w:rPr>
          <w:i/>
          <w:spacing w:val="-9"/>
          <w:w w:val="115"/>
          <w:sz w:val="19"/>
        </w:rPr>
        <w:t> </w:t>
      </w:r>
      <w:r>
        <w:rPr>
          <w:i/>
          <w:w w:val="115"/>
          <w:sz w:val="19"/>
        </w:rPr>
        <w:t>años</w:t>
      </w:r>
      <w:r>
        <w:rPr>
          <w:i/>
          <w:spacing w:val="-9"/>
          <w:w w:val="115"/>
          <w:sz w:val="19"/>
        </w:rPr>
        <w:t> </w:t>
      </w:r>
      <w:r>
        <w:rPr>
          <w:i/>
          <w:w w:val="115"/>
          <w:sz w:val="19"/>
        </w:rPr>
        <w:t>precedentes.</w:t>
      </w:r>
      <w:r>
        <w:rPr>
          <w:i/>
          <w:spacing w:val="-9"/>
          <w:w w:val="115"/>
          <w:sz w:val="19"/>
        </w:rPr>
        <w:t> </w:t>
      </w:r>
      <w:r>
        <w:rPr>
          <w:w w:val="115"/>
          <w:sz w:val="19"/>
        </w:rPr>
        <w:t>si</w:t>
      </w:r>
      <w:r>
        <w:rPr>
          <w:spacing w:val="-9"/>
          <w:w w:val="115"/>
          <w:sz w:val="19"/>
        </w:rPr>
        <w:t> </w:t>
      </w:r>
      <w:r>
        <w:rPr>
          <w:w w:val="115"/>
          <w:sz w:val="19"/>
        </w:rPr>
        <w:t>bien,</w:t>
      </w:r>
      <w:r>
        <w:rPr>
          <w:spacing w:val="-9"/>
          <w:w w:val="115"/>
          <w:sz w:val="19"/>
        </w:rPr>
        <w:t> </w:t>
      </w:r>
      <w:r>
        <w:rPr>
          <w:w w:val="115"/>
          <w:sz w:val="19"/>
        </w:rPr>
        <w:t>por</w:t>
      </w:r>
      <w:r>
        <w:rPr>
          <w:spacing w:val="-9"/>
          <w:w w:val="115"/>
          <w:sz w:val="19"/>
        </w:rPr>
        <w:t> </w:t>
      </w:r>
      <w:r>
        <w:rPr>
          <w:w w:val="115"/>
          <w:sz w:val="19"/>
        </w:rPr>
        <w:t>un</w:t>
      </w:r>
      <w:r>
        <w:rPr>
          <w:spacing w:val="-9"/>
          <w:w w:val="115"/>
          <w:sz w:val="19"/>
        </w:rPr>
        <w:t> </w:t>
      </w:r>
      <w:r>
        <w:rPr>
          <w:w w:val="115"/>
          <w:sz w:val="19"/>
        </w:rPr>
        <w:t>lado, esta</w:t>
      </w:r>
      <w:r>
        <w:rPr>
          <w:spacing w:val="-20"/>
          <w:w w:val="115"/>
          <w:sz w:val="19"/>
        </w:rPr>
        <w:t> </w:t>
      </w:r>
      <w:r>
        <w:rPr>
          <w:w w:val="115"/>
          <w:sz w:val="19"/>
        </w:rPr>
        <w:t>depreciación</w:t>
      </w:r>
      <w:r>
        <w:rPr>
          <w:spacing w:val="-20"/>
          <w:w w:val="115"/>
          <w:sz w:val="19"/>
        </w:rPr>
        <w:t> </w:t>
      </w:r>
      <w:r>
        <w:rPr>
          <w:w w:val="115"/>
          <w:sz w:val="19"/>
        </w:rPr>
        <w:t>influyó</w:t>
      </w:r>
      <w:r>
        <w:rPr>
          <w:spacing w:val="-20"/>
          <w:w w:val="115"/>
          <w:sz w:val="19"/>
        </w:rPr>
        <w:t> </w:t>
      </w:r>
      <w:r>
        <w:rPr>
          <w:w w:val="115"/>
          <w:sz w:val="19"/>
        </w:rPr>
        <w:t>favorablemente</w:t>
      </w:r>
      <w:r>
        <w:rPr>
          <w:spacing w:val="-20"/>
          <w:w w:val="115"/>
          <w:sz w:val="19"/>
        </w:rPr>
        <w:t> </w:t>
      </w:r>
      <w:r>
        <w:rPr>
          <w:w w:val="115"/>
          <w:sz w:val="19"/>
        </w:rPr>
        <w:t>en</w:t>
      </w:r>
      <w:r>
        <w:rPr>
          <w:spacing w:val="-20"/>
          <w:w w:val="115"/>
          <w:sz w:val="19"/>
        </w:rPr>
        <w:t> </w:t>
      </w:r>
      <w:r>
        <w:rPr>
          <w:w w:val="115"/>
          <w:sz w:val="19"/>
        </w:rPr>
        <w:t>las</w:t>
      </w:r>
      <w:r>
        <w:rPr>
          <w:spacing w:val="-20"/>
          <w:w w:val="115"/>
          <w:sz w:val="19"/>
        </w:rPr>
        <w:t> </w:t>
      </w:r>
      <w:r>
        <w:rPr>
          <w:w w:val="115"/>
          <w:sz w:val="19"/>
        </w:rPr>
        <w:t>actividades</w:t>
      </w:r>
      <w:r>
        <w:rPr>
          <w:spacing w:val="-20"/>
          <w:w w:val="115"/>
          <w:sz w:val="19"/>
        </w:rPr>
        <w:t> </w:t>
      </w:r>
      <w:r>
        <w:rPr>
          <w:w w:val="115"/>
          <w:sz w:val="19"/>
        </w:rPr>
        <w:t>destina- </w:t>
      </w:r>
      <w:r>
        <w:rPr>
          <w:w w:val="120"/>
          <w:sz w:val="19"/>
        </w:rPr>
        <w:t>das</w:t>
      </w:r>
      <w:r>
        <w:rPr>
          <w:spacing w:val="-22"/>
          <w:w w:val="120"/>
          <w:sz w:val="19"/>
        </w:rPr>
        <w:t> </w:t>
      </w:r>
      <w:r>
        <w:rPr>
          <w:w w:val="120"/>
          <w:sz w:val="19"/>
        </w:rPr>
        <w:t>a</w:t>
      </w:r>
      <w:r>
        <w:rPr>
          <w:spacing w:val="-22"/>
          <w:w w:val="120"/>
          <w:sz w:val="19"/>
        </w:rPr>
        <w:t> </w:t>
      </w:r>
      <w:r>
        <w:rPr>
          <w:w w:val="120"/>
          <w:sz w:val="19"/>
        </w:rPr>
        <w:t>la</w:t>
      </w:r>
      <w:r>
        <w:rPr>
          <w:spacing w:val="-22"/>
          <w:w w:val="120"/>
          <w:sz w:val="19"/>
        </w:rPr>
        <w:t> </w:t>
      </w:r>
      <w:r>
        <w:rPr>
          <w:w w:val="120"/>
          <w:sz w:val="19"/>
        </w:rPr>
        <w:t>exportación,</w:t>
      </w:r>
      <w:r>
        <w:rPr>
          <w:spacing w:val="-22"/>
          <w:w w:val="120"/>
          <w:sz w:val="19"/>
        </w:rPr>
        <w:t> </w:t>
      </w:r>
      <w:r>
        <w:rPr>
          <w:w w:val="120"/>
          <w:sz w:val="19"/>
        </w:rPr>
        <w:t>al</w:t>
      </w:r>
      <w:r>
        <w:rPr>
          <w:spacing w:val="-22"/>
          <w:w w:val="120"/>
          <w:sz w:val="19"/>
        </w:rPr>
        <w:t> </w:t>
      </w:r>
      <w:r>
        <w:rPr>
          <w:w w:val="120"/>
          <w:sz w:val="19"/>
        </w:rPr>
        <w:t>mismo</w:t>
      </w:r>
      <w:r>
        <w:rPr>
          <w:spacing w:val="-22"/>
          <w:w w:val="120"/>
          <w:sz w:val="19"/>
        </w:rPr>
        <w:t> </w:t>
      </w:r>
      <w:r>
        <w:rPr>
          <w:w w:val="120"/>
          <w:sz w:val="19"/>
        </w:rPr>
        <w:t>tiempo</w:t>
      </w:r>
      <w:r>
        <w:rPr>
          <w:spacing w:val="-22"/>
          <w:w w:val="120"/>
          <w:sz w:val="19"/>
        </w:rPr>
        <w:t> </w:t>
      </w:r>
      <w:r>
        <w:rPr>
          <w:w w:val="120"/>
          <w:sz w:val="19"/>
        </w:rPr>
        <w:t>redujo</w:t>
      </w:r>
      <w:r>
        <w:rPr>
          <w:spacing w:val="-22"/>
          <w:w w:val="120"/>
          <w:sz w:val="19"/>
        </w:rPr>
        <w:t> </w:t>
      </w:r>
      <w:r>
        <w:rPr>
          <w:w w:val="120"/>
          <w:sz w:val="19"/>
        </w:rPr>
        <w:t>el</w:t>
      </w:r>
      <w:r>
        <w:rPr>
          <w:spacing w:val="-22"/>
          <w:w w:val="120"/>
          <w:sz w:val="19"/>
        </w:rPr>
        <w:t> </w:t>
      </w:r>
      <w:r>
        <w:rPr>
          <w:w w:val="120"/>
          <w:sz w:val="19"/>
        </w:rPr>
        <w:t>valor</w:t>
      </w:r>
      <w:r>
        <w:rPr>
          <w:spacing w:val="-22"/>
          <w:w w:val="120"/>
          <w:sz w:val="19"/>
        </w:rPr>
        <w:t> </w:t>
      </w:r>
      <w:r>
        <w:rPr>
          <w:w w:val="120"/>
          <w:sz w:val="19"/>
        </w:rPr>
        <w:t>de</w:t>
      </w:r>
      <w:r>
        <w:rPr>
          <w:spacing w:val="-22"/>
          <w:w w:val="120"/>
          <w:sz w:val="19"/>
        </w:rPr>
        <w:t> </w:t>
      </w:r>
      <w:r>
        <w:rPr>
          <w:w w:val="120"/>
          <w:sz w:val="19"/>
        </w:rPr>
        <w:t>los</w:t>
      </w:r>
      <w:r>
        <w:rPr>
          <w:spacing w:val="-22"/>
          <w:w w:val="120"/>
          <w:sz w:val="19"/>
        </w:rPr>
        <w:t> </w:t>
      </w:r>
      <w:r>
        <w:rPr>
          <w:w w:val="120"/>
          <w:sz w:val="19"/>
        </w:rPr>
        <w:t>activos </w:t>
      </w:r>
      <w:r>
        <w:rPr>
          <w:w w:val="115"/>
          <w:sz w:val="19"/>
        </w:rPr>
        <w:t>de</w:t>
      </w:r>
      <w:r>
        <w:rPr>
          <w:spacing w:val="-16"/>
          <w:w w:val="115"/>
          <w:sz w:val="19"/>
        </w:rPr>
        <w:t> </w:t>
      </w:r>
      <w:r>
        <w:rPr>
          <w:w w:val="115"/>
          <w:sz w:val="19"/>
        </w:rPr>
        <w:t>las</w:t>
      </w:r>
      <w:r>
        <w:rPr>
          <w:spacing w:val="-16"/>
          <w:w w:val="115"/>
          <w:sz w:val="19"/>
        </w:rPr>
        <w:t> </w:t>
      </w:r>
      <w:r>
        <w:rPr>
          <w:w w:val="115"/>
          <w:sz w:val="19"/>
        </w:rPr>
        <w:t>economías</w:t>
      </w:r>
      <w:r>
        <w:rPr>
          <w:spacing w:val="-16"/>
          <w:w w:val="115"/>
          <w:sz w:val="19"/>
        </w:rPr>
        <w:t> </w:t>
      </w:r>
      <w:r>
        <w:rPr>
          <w:w w:val="115"/>
          <w:sz w:val="19"/>
        </w:rPr>
        <w:t>de</w:t>
      </w:r>
      <w:r>
        <w:rPr>
          <w:spacing w:val="-16"/>
          <w:w w:val="115"/>
          <w:sz w:val="19"/>
        </w:rPr>
        <w:t> </w:t>
      </w:r>
      <w:r>
        <w:rPr>
          <w:w w:val="115"/>
          <w:sz w:val="19"/>
        </w:rPr>
        <w:t>la</w:t>
      </w:r>
      <w:r>
        <w:rPr>
          <w:spacing w:val="-16"/>
          <w:w w:val="115"/>
          <w:sz w:val="19"/>
        </w:rPr>
        <w:t> </w:t>
      </w:r>
      <w:r>
        <w:rPr>
          <w:w w:val="115"/>
          <w:sz w:val="19"/>
        </w:rPr>
        <w:t>región</w:t>
      </w:r>
      <w:r>
        <w:rPr>
          <w:w w:val="115"/>
          <w:position w:val="6"/>
          <w:sz w:val="11"/>
        </w:rPr>
        <w:t>31</w:t>
      </w:r>
      <w:r>
        <w:rPr>
          <w:w w:val="115"/>
          <w:sz w:val="19"/>
        </w:rPr>
        <w:t>.</w:t>
      </w:r>
    </w:p>
    <w:p>
      <w:pPr>
        <w:pStyle w:val="BodyText"/>
        <w:spacing w:line="252" w:lineRule="auto"/>
        <w:ind w:left="120" w:right="328" w:firstLine="396"/>
        <w:jc w:val="both"/>
      </w:pPr>
      <w:r>
        <w:rPr>
          <w:w w:val="115"/>
        </w:rPr>
        <w:t>además de las interconexiones tradicionales, un mecanismo emergente</w:t>
      </w:r>
      <w:r>
        <w:rPr>
          <w:spacing w:val="-16"/>
          <w:w w:val="115"/>
        </w:rPr>
        <w:t> </w:t>
      </w:r>
      <w:r>
        <w:rPr>
          <w:w w:val="115"/>
        </w:rPr>
        <w:t>de</w:t>
      </w:r>
      <w:r>
        <w:rPr>
          <w:spacing w:val="-16"/>
          <w:w w:val="115"/>
        </w:rPr>
        <w:t> </w:t>
      </w:r>
      <w:r>
        <w:rPr>
          <w:w w:val="115"/>
        </w:rPr>
        <w:t>interrelación</w:t>
      </w:r>
      <w:r>
        <w:rPr>
          <w:spacing w:val="-16"/>
          <w:w w:val="115"/>
        </w:rPr>
        <w:t> </w:t>
      </w:r>
      <w:r>
        <w:rPr>
          <w:w w:val="115"/>
        </w:rPr>
        <w:t>económica</w:t>
      </w:r>
      <w:r>
        <w:rPr>
          <w:spacing w:val="-16"/>
          <w:w w:val="115"/>
        </w:rPr>
        <w:t> </w:t>
      </w:r>
      <w:r>
        <w:rPr>
          <w:w w:val="115"/>
        </w:rPr>
        <w:t>ha</w:t>
      </w:r>
      <w:r>
        <w:rPr>
          <w:spacing w:val="-16"/>
          <w:w w:val="115"/>
        </w:rPr>
        <w:t> </w:t>
      </w:r>
      <w:r>
        <w:rPr>
          <w:w w:val="115"/>
        </w:rPr>
        <w:t>estado</w:t>
      </w:r>
      <w:r>
        <w:rPr>
          <w:spacing w:val="-16"/>
          <w:w w:val="115"/>
        </w:rPr>
        <w:t> </w:t>
      </w:r>
      <w:r>
        <w:rPr>
          <w:w w:val="115"/>
        </w:rPr>
        <w:t>asociado</w:t>
      </w:r>
      <w:r>
        <w:rPr>
          <w:spacing w:val="-16"/>
          <w:w w:val="115"/>
        </w:rPr>
        <w:t> </w:t>
      </w:r>
      <w:r>
        <w:rPr>
          <w:w w:val="115"/>
        </w:rPr>
        <w:t>a</w:t>
      </w:r>
      <w:r>
        <w:rPr>
          <w:spacing w:val="-16"/>
          <w:w w:val="115"/>
        </w:rPr>
        <w:t> </w:t>
      </w:r>
      <w:r>
        <w:rPr>
          <w:w w:val="115"/>
        </w:rPr>
        <w:t>un</w:t>
      </w:r>
      <w:r>
        <w:rPr>
          <w:spacing w:val="-16"/>
          <w:w w:val="115"/>
        </w:rPr>
        <w:t> </w:t>
      </w:r>
      <w:r>
        <w:rPr>
          <w:w w:val="115"/>
        </w:rPr>
        <w:t>fenó- </w:t>
      </w:r>
      <w:r>
        <w:rPr>
          <w:w w:val="110"/>
        </w:rPr>
        <w:t>meno</w:t>
      </w:r>
      <w:r>
        <w:rPr/>
        <w:t> </w:t>
      </w:r>
      <w:r>
        <w:rPr>
          <w:spacing w:val="-4"/>
        </w:rPr>
        <w:t> </w:t>
      </w:r>
      <w:r>
        <w:rPr>
          <w:w w:val="108"/>
        </w:rPr>
        <w:t>recientemente</w:t>
      </w:r>
      <w:r>
        <w:rPr/>
        <w:t> </w:t>
      </w:r>
      <w:r>
        <w:rPr>
          <w:spacing w:val="-4"/>
        </w:rPr>
        <w:t> </w:t>
      </w:r>
      <w:r>
        <w:rPr>
          <w:w w:val="108"/>
        </w:rPr>
        <w:t>nuevo</w:t>
      </w:r>
      <w:r>
        <w:rPr/>
        <w:t> </w:t>
      </w:r>
      <w:r>
        <w:rPr>
          <w:spacing w:val="-4"/>
        </w:rPr>
        <w:t> </w:t>
      </w:r>
      <w:r>
        <w:rPr>
          <w:w w:val="108"/>
        </w:rPr>
        <w:t>en</w:t>
      </w:r>
      <w:r>
        <w:rPr/>
        <w:t> </w:t>
      </w:r>
      <w:r>
        <w:rPr>
          <w:spacing w:val="-4"/>
        </w:rPr>
        <w:t> </w:t>
      </w:r>
      <w:r>
        <w:rPr>
          <w:w w:val="139"/>
        </w:rPr>
        <w:t>a</w:t>
      </w:r>
      <w:r>
        <w:rPr>
          <w:w w:val="111"/>
        </w:rPr>
        <w:t>mérica</w:t>
      </w:r>
      <w:r>
        <w:rPr/>
        <w:t> </w:t>
      </w:r>
      <w:r>
        <w:rPr>
          <w:spacing w:val="-4"/>
        </w:rPr>
        <w:t> </w:t>
      </w:r>
      <w:r>
        <w:rPr>
          <w:w w:val="243"/>
        </w:rPr>
        <w:t>l</w:t>
      </w:r>
      <w:r>
        <w:rPr>
          <w:w w:val="111"/>
        </w:rPr>
        <w:t>atina</w:t>
      </w:r>
      <w:r>
        <w:rPr/>
        <w:t> </w:t>
      </w:r>
      <w:r>
        <w:rPr>
          <w:spacing w:val="-4"/>
        </w:rPr>
        <w:t> </w:t>
      </w:r>
      <w:r>
        <w:rPr>
          <w:w w:val="105"/>
        </w:rPr>
        <w:t>y</w:t>
      </w:r>
      <w:r>
        <w:rPr/>
        <w:t> </w:t>
      </w:r>
      <w:r>
        <w:rPr>
          <w:spacing w:val="-4"/>
        </w:rPr>
        <w:t> </w:t>
      </w:r>
      <w:r>
        <w:rPr>
          <w:w w:val="107"/>
        </w:rPr>
        <w:t>el</w:t>
      </w:r>
      <w:r>
        <w:rPr/>
        <w:t> </w:t>
      </w:r>
      <w:r>
        <w:rPr>
          <w:spacing w:val="-4"/>
        </w:rPr>
        <w:t> </w:t>
      </w:r>
      <w:r>
        <w:rPr>
          <w:w w:val="111"/>
        </w:rPr>
        <w:t>Caribe:</w:t>
      </w:r>
      <w:r>
        <w:rPr/>
        <w:t> </w:t>
      </w:r>
      <w:r>
        <w:rPr>
          <w:spacing w:val="-4"/>
        </w:rPr>
        <w:t> </w:t>
      </w:r>
      <w:r>
        <w:rPr>
          <w:w w:val="107"/>
        </w:rPr>
        <w:t>el</w:t>
      </w:r>
      <w:r>
        <w:rPr/>
        <w:t> </w:t>
      </w:r>
      <w:r>
        <w:rPr>
          <w:spacing w:val="-4"/>
        </w:rPr>
        <w:t> </w:t>
      </w:r>
      <w:r>
        <w:rPr>
          <w:w w:val="111"/>
        </w:rPr>
        <w:t>creci</w:t>
      </w:r>
      <w:r>
        <w:rPr>
          <w:w w:val="102"/>
        </w:rPr>
        <w:t>- </w:t>
      </w:r>
      <w:r>
        <w:rPr>
          <w:w w:val="115"/>
        </w:rPr>
        <w:t>miento</w:t>
      </w:r>
      <w:r>
        <w:rPr>
          <w:spacing w:val="-9"/>
          <w:w w:val="115"/>
        </w:rPr>
        <w:t> </w:t>
      </w:r>
      <w:r>
        <w:rPr>
          <w:w w:val="115"/>
        </w:rPr>
        <w:t>acelerado</w:t>
      </w:r>
      <w:r>
        <w:rPr>
          <w:spacing w:val="-9"/>
          <w:w w:val="115"/>
        </w:rPr>
        <w:t> </w:t>
      </w:r>
      <w:r>
        <w:rPr>
          <w:w w:val="115"/>
        </w:rPr>
        <w:t>de</w:t>
      </w:r>
      <w:r>
        <w:rPr>
          <w:spacing w:val="-9"/>
          <w:w w:val="115"/>
        </w:rPr>
        <w:t> </w:t>
      </w:r>
      <w:r>
        <w:rPr>
          <w:w w:val="115"/>
        </w:rPr>
        <w:t>las</w:t>
      </w:r>
      <w:r>
        <w:rPr>
          <w:spacing w:val="-9"/>
          <w:w w:val="115"/>
        </w:rPr>
        <w:t> </w:t>
      </w:r>
      <w:r>
        <w:rPr>
          <w:w w:val="115"/>
        </w:rPr>
        <w:t>inversiones</w:t>
      </w:r>
      <w:r>
        <w:rPr>
          <w:spacing w:val="-9"/>
          <w:w w:val="115"/>
        </w:rPr>
        <w:t> </w:t>
      </w:r>
      <w:r>
        <w:rPr>
          <w:w w:val="115"/>
        </w:rPr>
        <w:t>de</w:t>
      </w:r>
      <w:r>
        <w:rPr>
          <w:spacing w:val="-9"/>
          <w:w w:val="115"/>
        </w:rPr>
        <w:t> </w:t>
      </w:r>
      <w:r>
        <w:rPr>
          <w:w w:val="115"/>
        </w:rPr>
        <w:t>la</w:t>
      </w:r>
      <w:r>
        <w:rPr>
          <w:spacing w:val="-9"/>
          <w:w w:val="115"/>
        </w:rPr>
        <w:t> </w:t>
      </w:r>
      <w:r>
        <w:rPr>
          <w:w w:val="115"/>
        </w:rPr>
        <w:t>región</w:t>
      </w:r>
      <w:r>
        <w:rPr>
          <w:spacing w:val="-9"/>
          <w:w w:val="115"/>
        </w:rPr>
        <w:t> </w:t>
      </w:r>
      <w:r>
        <w:rPr>
          <w:w w:val="115"/>
        </w:rPr>
        <w:t>en</w:t>
      </w:r>
      <w:r>
        <w:rPr>
          <w:spacing w:val="-9"/>
          <w:w w:val="115"/>
        </w:rPr>
        <w:t> </w:t>
      </w:r>
      <w:r>
        <w:rPr>
          <w:w w:val="115"/>
        </w:rPr>
        <w:t>el</w:t>
      </w:r>
      <w:r>
        <w:rPr>
          <w:spacing w:val="-9"/>
          <w:w w:val="115"/>
        </w:rPr>
        <w:t> </w:t>
      </w:r>
      <w:r>
        <w:rPr>
          <w:spacing w:val="-3"/>
          <w:w w:val="115"/>
        </w:rPr>
        <w:t>exterior,</w:t>
      </w:r>
      <w:r>
        <w:rPr>
          <w:spacing w:val="-9"/>
          <w:w w:val="115"/>
        </w:rPr>
        <w:t> </w:t>
      </w:r>
      <w:r>
        <w:rPr>
          <w:w w:val="115"/>
        </w:rPr>
        <w:t>espe- cialmente las realizadas en Estados unidos</w:t>
      </w:r>
      <w:r>
        <w:rPr>
          <w:w w:val="115"/>
          <w:position w:val="6"/>
          <w:sz w:val="11"/>
        </w:rPr>
        <w:t>32</w:t>
      </w:r>
      <w:r>
        <w:rPr>
          <w:w w:val="115"/>
        </w:rPr>
        <w:t>. Ha sido ampliamente documentado el proceso de internacionalización de las llamadas “translatinas”,</w:t>
      </w:r>
      <w:r>
        <w:rPr>
          <w:spacing w:val="-10"/>
          <w:w w:val="115"/>
        </w:rPr>
        <w:t> </w:t>
      </w:r>
      <w:r>
        <w:rPr>
          <w:w w:val="115"/>
        </w:rPr>
        <w:t>que</w:t>
      </w:r>
      <w:r>
        <w:rPr>
          <w:spacing w:val="-10"/>
          <w:w w:val="115"/>
        </w:rPr>
        <w:t> </w:t>
      </w:r>
      <w:r>
        <w:rPr>
          <w:w w:val="115"/>
        </w:rPr>
        <w:t>si</w:t>
      </w:r>
      <w:r>
        <w:rPr>
          <w:spacing w:val="-10"/>
          <w:w w:val="115"/>
        </w:rPr>
        <w:t> </w:t>
      </w:r>
      <w:r>
        <w:rPr>
          <w:w w:val="115"/>
        </w:rPr>
        <w:t>bien</w:t>
      </w:r>
      <w:r>
        <w:rPr>
          <w:spacing w:val="-10"/>
          <w:w w:val="115"/>
        </w:rPr>
        <w:t> </w:t>
      </w:r>
      <w:r>
        <w:rPr>
          <w:w w:val="115"/>
        </w:rPr>
        <w:t>comenzó</w:t>
      </w:r>
      <w:r>
        <w:rPr>
          <w:spacing w:val="-10"/>
          <w:w w:val="115"/>
        </w:rPr>
        <w:t> </w:t>
      </w:r>
      <w:r>
        <w:rPr>
          <w:w w:val="115"/>
        </w:rPr>
        <w:t>en</w:t>
      </w:r>
      <w:r>
        <w:rPr>
          <w:spacing w:val="-10"/>
          <w:w w:val="115"/>
        </w:rPr>
        <w:t> </w:t>
      </w:r>
      <w:r>
        <w:rPr>
          <w:w w:val="115"/>
        </w:rPr>
        <w:t>la</w:t>
      </w:r>
      <w:r>
        <w:rPr>
          <w:spacing w:val="-10"/>
          <w:w w:val="115"/>
        </w:rPr>
        <w:t> </w:t>
      </w:r>
      <w:r>
        <w:rPr>
          <w:w w:val="115"/>
        </w:rPr>
        <w:t>década</w:t>
      </w:r>
      <w:r>
        <w:rPr>
          <w:spacing w:val="-10"/>
          <w:w w:val="115"/>
        </w:rPr>
        <w:t> </w:t>
      </w:r>
      <w:r>
        <w:rPr>
          <w:w w:val="115"/>
        </w:rPr>
        <w:t>del</w:t>
      </w:r>
      <w:r>
        <w:rPr>
          <w:spacing w:val="-10"/>
          <w:w w:val="115"/>
        </w:rPr>
        <w:t> </w:t>
      </w:r>
      <w:r>
        <w:rPr>
          <w:w w:val="115"/>
        </w:rPr>
        <w:t>noventa,</w:t>
      </w:r>
      <w:r>
        <w:rPr>
          <w:spacing w:val="-10"/>
          <w:w w:val="115"/>
        </w:rPr>
        <w:t> </w:t>
      </w:r>
      <w:r>
        <w:rPr>
          <w:w w:val="115"/>
        </w:rPr>
        <w:t>su</w:t>
      </w:r>
      <w:r>
        <w:rPr>
          <w:spacing w:val="-10"/>
          <w:w w:val="115"/>
        </w:rPr>
        <w:t> </w:t>
      </w:r>
      <w:r>
        <w:rPr>
          <w:w w:val="115"/>
        </w:rPr>
        <w:t>ace- leración</w:t>
      </w:r>
      <w:r>
        <w:rPr>
          <w:spacing w:val="-16"/>
          <w:w w:val="115"/>
        </w:rPr>
        <w:t> </w:t>
      </w:r>
      <w:r>
        <w:rPr>
          <w:w w:val="115"/>
        </w:rPr>
        <w:t>fue</w:t>
      </w:r>
      <w:r>
        <w:rPr>
          <w:spacing w:val="-16"/>
          <w:w w:val="115"/>
        </w:rPr>
        <w:t> </w:t>
      </w:r>
      <w:r>
        <w:rPr>
          <w:w w:val="115"/>
        </w:rPr>
        <w:t>especialmente</w:t>
      </w:r>
      <w:r>
        <w:rPr>
          <w:spacing w:val="-16"/>
          <w:w w:val="115"/>
        </w:rPr>
        <w:t> </w:t>
      </w:r>
      <w:r>
        <w:rPr>
          <w:w w:val="115"/>
        </w:rPr>
        <w:t>significativa</w:t>
      </w:r>
      <w:r>
        <w:rPr>
          <w:spacing w:val="-16"/>
          <w:w w:val="115"/>
        </w:rPr>
        <w:t> </w:t>
      </w:r>
      <w:r>
        <w:rPr>
          <w:w w:val="115"/>
        </w:rPr>
        <w:t>a</w:t>
      </w:r>
      <w:r>
        <w:rPr>
          <w:spacing w:val="-16"/>
          <w:w w:val="115"/>
        </w:rPr>
        <w:t> </w:t>
      </w:r>
      <w:r>
        <w:rPr>
          <w:w w:val="115"/>
        </w:rPr>
        <w:t>partir</w:t>
      </w:r>
      <w:r>
        <w:rPr>
          <w:spacing w:val="-16"/>
          <w:w w:val="115"/>
        </w:rPr>
        <w:t> </w:t>
      </w:r>
      <w:r>
        <w:rPr>
          <w:w w:val="115"/>
        </w:rPr>
        <w:t>de</w:t>
      </w:r>
      <w:r>
        <w:rPr>
          <w:spacing w:val="-16"/>
          <w:w w:val="115"/>
        </w:rPr>
        <w:t> </w:t>
      </w:r>
      <w:r>
        <w:rPr>
          <w:w w:val="115"/>
        </w:rPr>
        <w:t>2004,</w:t>
      </w:r>
      <w:r>
        <w:rPr>
          <w:spacing w:val="-16"/>
          <w:w w:val="115"/>
        </w:rPr>
        <w:t> </w:t>
      </w:r>
      <w:r>
        <w:rPr>
          <w:w w:val="115"/>
        </w:rPr>
        <w:t>en</w:t>
      </w:r>
      <w:r>
        <w:rPr>
          <w:spacing w:val="-16"/>
          <w:w w:val="115"/>
        </w:rPr>
        <w:t> </w:t>
      </w:r>
      <w:r>
        <w:rPr>
          <w:w w:val="115"/>
        </w:rPr>
        <w:t>el</w:t>
      </w:r>
      <w:r>
        <w:rPr>
          <w:spacing w:val="-16"/>
          <w:w w:val="115"/>
        </w:rPr>
        <w:t> </w:t>
      </w:r>
      <w:r>
        <w:rPr>
          <w:w w:val="115"/>
        </w:rPr>
        <w:t>marco de una tendencia más general en países del </w:t>
      </w:r>
      <w:r>
        <w:rPr>
          <w:spacing w:val="-6"/>
          <w:w w:val="115"/>
        </w:rPr>
        <w:t>sur. </w:t>
      </w:r>
      <w:r>
        <w:rPr>
          <w:w w:val="115"/>
        </w:rPr>
        <w:t>Esta tendencia se acentuó a raíz de la crisis financiera reciente (CEPal, 2014: 71). En definitiva, estas estrategias de inversión en el exterior de</w:t>
      </w:r>
      <w:r>
        <w:rPr>
          <w:spacing w:val="-11"/>
          <w:w w:val="115"/>
        </w:rPr>
        <w:t> </w:t>
      </w:r>
      <w:r>
        <w:rPr>
          <w:w w:val="115"/>
        </w:rPr>
        <w:t>empresas latinoamericanas</w:t>
      </w:r>
      <w:r>
        <w:rPr>
          <w:spacing w:val="-19"/>
          <w:w w:val="115"/>
        </w:rPr>
        <w:t> </w:t>
      </w:r>
      <w:r>
        <w:rPr>
          <w:w w:val="115"/>
        </w:rPr>
        <w:t>y</w:t>
      </w:r>
      <w:r>
        <w:rPr>
          <w:spacing w:val="-19"/>
          <w:w w:val="115"/>
        </w:rPr>
        <w:t> </w:t>
      </w:r>
      <w:r>
        <w:rPr>
          <w:w w:val="115"/>
        </w:rPr>
        <w:t>caribeñas</w:t>
      </w:r>
      <w:r>
        <w:rPr>
          <w:spacing w:val="-19"/>
          <w:w w:val="115"/>
        </w:rPr>
        <w:t> </w:t>
      </w:r>
      <w:r>
        <w:rPr>
          <w:w w:val="115"/>
        </w:rPr>
        <w:t>se</w:t>
      </w:r>
      <w:r>
        <w:rPr>
          <w:spacing w:val="-19"/>
          <w:w w:val="115"/>
        </w:rPr>
        <w:t> </w:t>
      </w:r>
      <w:r>
        <w:rPr>
          <w:w w:val="115"/>
        </w:rPr>
        <w:t>ha</w:t>
      </w:r>
      <w:r>
        <w:rPr>
          <w:spacing w:val="-19"/>
          <w:w w:val="115"/>
        </w:rPr>
        <w:t> </w:t>
      </w:r>
      <w:r>
        <w:rPr>
          <w:w w:val="115"/>
        </w:rPr>
        <w:t>reflejado</w:t>
      </w:r>
      <w:r>
        <w:rPr>
          <w:spacing w:val="-19"/>
          <w:w w:val="115"/>
        </w:rPr>
        <w:t> </w:t>
      </w:r>
      <w:r>
        <w:rPr>
          <w:w w:val="115"/>
        </w:rPr>
        <w:t>en</w:t>
      </w:r>
      <w:r>
        <w:rPr>
          <w:spacing w:val="-19"/>
          <w:w w:val="115"/>
        </w:rPr>
        <w:t> </w:t>
      </w:r>
      <w:r>
        <w:rPr>
          <w:w w:val="115"/>
        </w:rPr>
        <w:t>una</w:t>
      </w:r>
      <w:r>
        <w:rPr>
          <w:spacing w:val="-19"/>
          <w:w w:val="115"/>
        </w:rPr>
        <w:t> </w:t>
      </w:r>
      <w:r>
        <w:rPr>
          <w:w w:val="115"/>
        </w:rPr>
        <w:t>mayor</w:t>
      </w:r>
      <w:r>
        <w:rPr>
          <w:spacing w:val="-19"/>
          <w:w w:val="115"/>
        </w:rPr>
        <w:t> </w:t>
      </w:r>
      <w:r>
        <w:rPr>
          <w:w w:val="115"/>
        </w:rPr>
        <w:t>presencia de</w:t>
      </w:r>
      <w:r>
        <w:rPr>
          <w:spacing w:val="-20"/>
          <w:w w:val="115"/>
        </w:rPr>
        <w:t> </w:t>
      </w:r>
      <w:r>
        <w:rPr>
          <w:w w:val="115"/>
        </w:rPr>
        <w:t>empresas</w:t>
      </w:r>
      <w:r>
        <w:rPr>
          <w:spacing w:val="-20"/>
          <w:w w:val="115"/>
        </w:rPr>
        <w:t> </w:t>
      </w:r>
      <w:r>
        <w:rPr>
          <w:w w:val="115"/>
        </w:rPr>
        <w:t>latinoamericanas</w:t>
      </w:r>
      <w:r>
        <w:rPr>
          <w:spacing w:val="-20"/>
          <w:w w:val="115"/>
        </w:rPr>
        <w:t> </w:t>
      </w:r>
      <w:r>
        <w:rPr>
          <w:w w:val="115"/>
        </w:rPr>
        <w:t>entre</w:t>
      </w:r>
      <w:r>
        <w:rPr>
          <w:spacing w:val="-20"/>
          <w:w w:val="115"/>
        </w:rPr>
        <w:t> </w:t>
      </w:r>
      <w:r>
        <w:rPr>
          <w:w w:val="115"/>
        </w:rPr>
        <w:t>las</w:t>
      </w:r>
      <w:r>
        <w:rPr>
          <w:spacing w:val="-20"/>
          <w:w w:val="115"/>
        </w:rPr>
        <w:t> </w:t>
      </w:r>
      <w:r>
        <w:rPr>
          <w:w w:val="115"/>
        </w:rPr>
        <w:t>50</w:t>
      </w:r>
      <w:r>
        <w:rPr>
          <w:spacing w:val="-20"/>
          <w:w w:val="115"/>
        </w:rPr>
        <w:t> </w:t>
      </w:r>
      <w:r>
        <w:rPr>
          <w:w w:val="115"/>
        </w:rPr>
        <w:t>mayores</w:t>
      </w:r>
      <w:r>
        <w:rPr>
          <w:spacing w:val="-20"/>
          <w:w w:val="115"/>
        </w:rPr>
        <w:t> </w:t>
      </w:r>
      <w:r>
        <w:rPr>
          <w:w w:val="115"/>
        </w:rPr>
        <w:t>empresas</w:t>
      </w:r>
      <w:r>
        <w:rPr>
          <w:spacing w:val="-20"/>
          <w:w w:val="115"/>
        </w:rPr>
        <w:t> </w:t>
      </w:r>
      <w:r>
        <w:rPr>
          <w:w w:val="115"/>
        </w:rPr>
        <w:t>trans- nacionales</w:t>
      </w:r>
      <w:r>
        <w:rPr>
          <w:spacing w:val="-23"/>
          <w:w w:val="115"/>
        </w:rPr>
        <w:t> </w:t>
      </w:r>
      <w:r>
        <w:rPr>
          <w:w w:val="115"/>
        </w:rPr>
        <w:t>en</w:t>
      </w:r>
      <w:r>
        <w:rPr>
          <w:spacing w:val="-23"/>
          <w:w w:val="115"/>
        </w:rPr>
        <w:t> </w:t>
      </w:r>
      <w:r>
        <w:rPr>
          <w:w w:val="115"/>
        </w:rPr>
        <w:t>2012,</w:t>
      </w:r>
      <w:r>
        <w:rPr>
          <w:spacing w:val="-23"/>
          <w:w w:val="115"/>
        </w:rPr>
        <w:t> </w:t>
      </w:r>
      <w:r>
        <w:rPr>
          <w:w w:val="115"/>
        </w:rPr>
        <w:t>especialmente</w:t>
      </w:r>
      <w:r>
        <w:rPr>
          <w:spacing w:val="-23"/>
          <w:w w:val="115"/>
        </w:rPr>
        <w:t> </w:t>
      </w:r>
      <w:r>
        <w:rPr>
          <w:w w:val="115"/>
        </w:rPr>
        <w:t>de</w:t>
      </w:r>
      <w:r>
        <w:rPr>
          <w:spacing w:val="-23"/>
          <w:w w:val="115"/>
        </w:rPr>
        <w:t> </w:t>
      </w:r>
      <w:r>
        <w:rPr>
          <w:w w:val="115"/>
        </w:rPr>
        <w:t>brasil</w:t>
      </w:r>
      <w:r>
        <w:rPr>
          <w:spacing w:val="-23"/>
          <w:w w:val="115"/>
        </w:rPr>
        <w:t> </w:t>
      </w:r>
      <w:r>
        <w:rPr>
          <w:w w:val="115"/>
        </w:rPr>
        <w:t>(8),</w:t>
      </w:r>
      <w:r>
        <w:rPr>
          <w:spacing w:val="-23"/>
          <w:w w:val="115"/>
        </w:rPr>
        <w:t> </w:t>
      </w:r>
      <w:r>
        <w:rPr>
          <w:w w:val="115"/>
        </w:rPr>
        <w:t>México</w:t>
      </w:r>
      <w:r>
        <w:rPr>
          <w:spacing w:val="-23"/>
          <w:w w:val="115"/>
        </w:rPr>
        <w:t> </w:t>
      </w:r>
      <w:r>
        <w:rPr>
          <w:w w:val="115"/>
        </w:rPr>
        <w:t>(6),</w:t>
      </w:r>
      <w:r>
        <w:rPr>
          <w:spacing w:val="-23"/>
          <w:w w:val="115"/>
        </w:rPr>
        <w:t> </w:t>
      </w:r>
      <w:r>
        <w:rPr>
          <w:w w:val="115"/>
        </w:rPr>
        <w:t>Chile</w:t>
      </w:r>
      <w:r>
        <w:rPr>
          <w:spacing w:val="-23"/>
          <w:w w:val="115"/>
        </w:rPr>
        <w:t> </w:t>
      </w:r>
      <w:r>
        <w:rPr>
          <w:w w:val="115"/>
        </w:rPr>
        <w:t>(4),</w:t>
      </w:r>
    </w:p>
    <w:p>
      <w:pPr>
        <w:pStyle w:val="BodyText"/>
        <w:ind w:left="120" w:right="321"/>
      </w:pPr>
      <w:r>
        <w:rPr>
          <w:w w:val="110"/>
        </w:rPr>
        <w:t>argentina (2) y Venezuela (1) </w:t>
      </w:r>
      <w:r>
        <w:rPr>
          <w:w w:val="120"/>
        </w:rPr>
        <w:t>(CEPal, </w:t>
      </w:r>
      <w:r>
        <w:rPr>
          <w:w w:val="110"/>
        </w:rPr>
        <w:t>2014:  74)</w:t>
      </w:r>
      <w:r>
        <w:rPr>
          <w:w w:val="110"/>
          <w:position w:val="6"/>
          <w:sz w:val="11"/>
        </w:rPr>
        <w:t>33</w:t>
      </w:r>
      <w:r>
        <w:rPr>
          <w:w w:val="110"/>
        </w:rPr>
        <w:t>.</w:t>
      </w:r>
    </w:p>
    <w:p>
      <w:pPr>
        <w:pStyle w:val="BodyText"/>
        <w:spacing w:before="4"/>
        <w:rPr>
          <w:sz w:val="28"/>
        </w:rPr>
      </w:pPr>
      <w:r>
        <w:rPr/>
        <w:pict>
          <v:line style="position:absolute;mso-position-horizontal-relative:page;mso-position-vertical-relative:paragraph;z-index:9616;mso-wrap-distance-left:0;mso-wrap-distance-right:0" from="51.023602pt,18.812910pt" to="79.369602pt,18.812910pt" stroked="true" strokeweight=".5pt" strokecolor="#000000">
            <w10:wrap type="topAndBottom"/>
          </v:line>
        </w:pict>
      </w:r>
    </w:p>
    <w:p>
      <w:pPr>
        <w:pStyle w:val="ListParagraph"/>
        <w:numPr>
          <w:ilvl w:val="0"/>
          <w:numId w:val="35"/>
        </w:numPr>
        <w:tabs>
          <w:tab w:pos="376" w:val="left" w:leader="none"/>
        </w:tabs>
        <w:spacing w:line="242" w:lineRule="auto" w:before="89" w:after="0"/>
        <w:ind w:left="120" w:right="328" w:firstLine="0"/>
        <w:jc w:val="both"/>
        <w:rPr>
          <w:sz w:val="16"/>
        </w:rPr>
      </w:pPr>
      <w:r>
        <w:rPr>
          <w:w w:val="105"/>
          <w:sz w:val="16"/>
        </w:rPr>
        <w:t>En este sentido, Canova (1998) ha documentado la tradicional y determinante importancia</w:t>
      </w:r>
      <w:r>
        <w:rPr>
          <w:spacing w:val="22"/>
          <w:w w:val="105"/>
          <w:sz w:val="16"/>
        </w:rPr>
        <w:t> </w:t>
      </w:r>
      <w:r>
        <w:rPr>
          <w:w w:val="105"/>
          <w:sz w:val="16"/>
        </w:rPr>
        <w:t>de</w:t>
      </w:r>
      <w:r>
        <w:rPr>
          <w:spacing w:val="22"/>
          <w:w w:val="105"/>
          <w:sz w:val="16"/>
        </w:rPr>
        <w:t> </w:t>
      </w:r>
      <w:r>
        <w:rPr>
          <w:w w:val="105"/>
          <w:sz w:val="16"/>
        </w:rPr>
        <w:t>los</w:t>
      </w:r>
      <w:r>
        <w:rPr>
          <w:spacing w:val="22"/>
          <w:w w:val="105"/>
          <w:sz w:val="16"/>
        </w:rPr>
        <w:t> </w:t>
      </w:r>
      <w:r>
        <w:rPr>
          <w:w w:val="105"/>
          <w:sz w:val="16"/>
        </w:rPr>
        <w:t>shocks</w:t>
      </w:r>
      <w:r>
        <w:rPr>
          <w:spacing w:val="22"/>
          <w:w w:val="105"/>
          <w:sz w:val="16"/>
        </w:rPr>
        <w:t> </w:t>
      </w:r>
      <w:r>
        <w:rPr>
          <w:w w:val="105"/>
          <w:sz w:val="16"/>
        </w:rPr>
        <w:t>monetarios</w:t>
      </w:r>
      <w:r>
        <w:rPr>
          <w:spacing w:val="22"/>
          <w:w w:val="105"/>
          <w:sz w:val="16"/>
        </w:rPr>
        <w:t> </w:t>
      </w:r>
      <w:r>
        <w:rPr>
          <w:w w:val="105"/>
          <w:sz w:val="16"/>
        </w:rPr>
        <w:t>proveniente</w:t>
      </w:r>
      <w:r>
        <w:rPr>
          <w:spacing w:val="22"/>
          <w:w w:val="105"/>
          <w:sz w:val="16"/>
        </w:rPr>
        <w:t> </w:t>
      </w:r>
      <w:r>
        <w:rPr>
          <w:w w:val="105"/>
          <w:sz w:val="16"/>
        </w:rPr>
        <w:t>de</w:t>
      </w:r>
      <w:r>
        <w:rPr>
          <w:spacing w:val="22"/>
          <w:w w:val="105"/>
          <w:sz w:val="16"/>
        </w:rPr>
        <w:t> </w:t>
      </w:r>
      <w:r>
        <w:rPr>
          <w:w w:val="105"/>
          <w:sz w:val="16"/>
        </w:rPr>
        <w:t>Estados</w:t>
      </w:r>
      <w:r>
        <w:rPr>
          <w:spacing w:val="22"/>
          <w:w w:val="105"/>
          <w:sz w:val="16"/>
        </w:rPr>
        <w:t> </w:t>
      </w:r>
      <w:r>
        <w:rPr>
          <w:w w:val="105"/>
          <w:sz w:val="16"/>
        </w:rPr>
        <w:t>unidos</w:t>
      </w:r>
      <w:r>
        <w:rPr>
          <w:spacing w:val="22"/>
          <w:w w:val="105"/>
          <w:sz w:val="16"/>
        </w:rPr>
        <w:t> </w:t>
      </w:r>
      <w:r>
        <w:rPr>
          <w:w w:val="105"/>
          <w:sz w:val="16"/>
        </w:rPr>
        <w:t>en</w:t>
      </w:r>
      <w:r>
        <w:rPr>
          <w:spacing w:val="22"/>
          <w:w w:val="105"/>
          <w:sz w:val="16"/>
        </w:rPr>
        <w:t> </w:t>
      </w:r>
      <w:r>
        <w:rPr>
          <w:w w:val="105"/>
          <w:sz w:val="16"/>
        </w:rPr>
        <w:t>la</w:t>
      </w:r>
      <w:r>
        <w:rPr>
          <w:spacing w:val="22"/>
          <w:w w:val="105"/>
          <w:sz w:val="16"/>
        </w:rPr>
        <w:t> </w:t>
      </w:r>
      <w:r>
        <w:rPr>
          <w:w w:val="105"/>
          <w:sz w:val="16"/>
        </w:rPr>
        <w:t>región.</w:t>
      </w:r>
    </w:p>
    <w:p>
      <w:pPr>
        <w:pStyle w:val="ListParagraph"/>
        <w:numPr>
          <w:ilvl w:val="0"/>
          <w:numId w:val="35"/>
        </w:numPr>
        <w:tabs>
          <w:tab w:pos="376" w:val="left" w:leader="none"/>
        </w:tabs>
        <w:spacing w:line="240" w:lineRule="auto" w:before="57" w:after="0"/>
        <w:ind w:left="375" w:right="0" w:hanging="255"/>
        <w:jc w:val="both"/>
        <w:rPr>
          <w:sz w:val="16"/>
        </w:rPr>
      </w:pPr>
      <w:r>
        <w:rPr>
          <w:w w:val="110"/>
          <w:sz w:val="16"/>
        </w:rPr>
        <w:t>argentina y Venezuela sufrieron las mayores depreciaciones (CEPal, 2014:</w:t>
      </w:r>
      <w:r>
        <w:rPr>
          <w:spacing w:val="-5"/>
          <w:w w:val="110"/>
          <w:sz w:val="16"/>
        </w:rPr>
        <w:t> </w:t>
      </w:r>
      <w:r>
        <w:rPr>
          <w:w w:val="110"/>
          <w:sz w:val="16"/>
        </w:rPr>
        <w:t>23).</w:t>
      </w:r>
    </w:p>
    <w:p>
      <w:pPr>
        <w:pStyle w:val="ListParagraph"/>
        <w:numPr>
          <w:ilvl w:val="0"/>
          <w:numId w:val="35"/>
        </w:numPr>
        <w:tabs>
          <w:tab w:pos="376" w:val="left" w:leader="none"/>
        </w:tabs>
        <w:spacing w:line="242" w:lineRule="auto" w:before="59" w:after="0"/>
        <w:ind w:left="120" w:right="328" w:firstLine="0"/>
        <w:jc w:val="both"/>
        <w:rPr>
          <w:sz w:val="16"/>
        </w:rPr>
      </w:pPr>
      <w:r>
        <w:rPr>
          <w:w w:val="238"/>
          <w:sz w:val="16"/>
        </w:rPr>
        <w:t>l</w:t>
      </w:r>
      <w:r>
        <w:rPr>
          <w:w w:val="105"/>
          <w:sz w:val="16"/>
        </w:rPr>
        <w:t>os</w:t>
      </w:r>
      <w:r>
        <w:rPr>
          <w:sz w:val="16"/>
        </w:rPr>
        <w:t> </w:t>
      </w:r>
      <w:r>
        <w:rPr>
          <w:spacing w:val="11"/>
          <w:sz w:val="16"/>
        </w:rPr>
        <w:t> </w:t>
      </w:r>
      <w:r>
        <w:rPr>
          <w:w w:val="107"/>
          <w:sz w:val="16"/>
        </w:rPr>
        <w:t>principales</w:t>
      </w:r>
      <w:r>
        <w:rPr>
          <w:sz w:val="16"/>
        </w:rPr>
        <w:t> </w:t>
      </w:r>
      <w:r>
        <w:rPr>
          <w:spacing w:val="11"/>
          <w:sz w:val="16"/>
        </w:rPr>
        <w:t> </w:t>
      </w:r>
      <w:r>
        <w:rPr>
          <w:w w:val="106"/>
          <w:sz w:val="16"/>
        </w:rPr>
        <w:t>países</w:t>
      </w:r>
      <w:r>
        <w:rPr>
          <w:sz w:val="16"/>
        </w:rPr>
        <w:t> </w:t>
      </w:r>
      <w:r>
        <w:rPr>
          <w:spacing w:val="11"/>
          <w:sz w:val="16"/>
        </w:rPr>
        <w:t> </w:t>
      </w:r>
      <w:r>
        <w:rPr>
          <w:w w:val="104"/>
          <w:sz w:val="16"/>
        </w:rPr>
        <w:t>de</w:t>
      </w:r>
      <w:r>
        <w:rPr>
          <w:sz w:val="16"/>
        </w:rPr>
        <w:t> </w:t>
      </w:r>
      <w:r>
        <w:rPr>
          <w:spacing w:val="11"/>
          <w:sz w:val="16"/>
        </w:rPr>
        <w:t> </w:t>
      </w:r>
      <w:r>
        <w:rPr>
          <w:w w:val="109"/>
          <w:sz w:val="16"/>
        </w:rPr>
        <w:t>la</w:t>
      </w:r>
      <w:r>
        <w:rPr>
          <w:sz w:val="16"/>
        </w:rPr>
        <w:t> </w:t>
      </w:r>
      <w:r>
        <w:rPr>
          <w:spacing w:val="11"/>
          <w:sz w:val="16"/>
        </w:rPr>
        <w:t> </w:t>
      </w:r>
      <w:r>
        <w:rPr>
          <w:w w:val="107"/>
          <w:sz w:val="16"/>
        </w:rPr>
        <w:t>región</w:t>
      </w:r>
      <w:r>
        <w:rPr>
          <w:sz w:val="16"/>
        </w:rPr>
        <w:t> </w:t>
      </w:r>
      <w:r>
        <w:rPr>
          <w:spacing w:val="11"/>
          <w:sz w:val="16"/>
        </w:rPr>
        <w:t> </w:t>
      </w:r>
      <w:r>
        <w:rPr>
          <w:w w:val="110"/>
          <w:sz w:val="16"/>
        </w:rPr>
        <w:t>con</w:t>
      </w:r>
      <w:r>
        <w:rPr>
          <w:sz w:val="16"/>
        </w:rPr>
        <w:t> </w:t>
      </w:r>
      <w:r>
        <w:rPr>
          <w:spacing w:val="11"/>
          <w:sz w:val="16"/>
        </w:rPr>
        <w:t> </w:t>
      </w:r>
      <w:r>
        <w:rPr>
          <w:w w:val="105"/>
          <w:sz w:val="16"/>
        </w:rPr>
        <w:t>inversiones</w:t>
      </w:r>
      <w:r>
        <w:rPr>
          <w:sz w:val="16"/>
        </w:rPr>
        <w:t> </w:t>
      </w:r>
      <w:r>
        <w:rPr>
          <w:spacing w:val="11"/>
          <w:sz w:val="16"/>
        </w:rPr>
        <w:t> </w:t>
      </w:r>
      <w:r>
        <w:rPr>
          <w:w w:val="106"/>
          <w:sz w:val="16"/>
        </w:rPr>
        <w:t>en</w:t>
      </w:r>
      <w:r>
        <w:rPr>
          <w:sz w:val="16"/>
        </w:rPr>
        <w:t> </w:t>
      </w:r>
      <w:r>
        <w:rPr>
          <w:spacing w:val="11"/>
          <w:sz w:val="16"/>
        </w:rPr>
        <w:t> </w:t>
      </w:r>
      <w:r>
        <w:rPr>
          <w:w w:val="104"/>
          <w:sz w:val="16"/>
        </w:rPr>
        <w:t>el</w:t>
      </w:r>
      <w:r>
        <w:rPr>
          <w:sz w:val="16"/>
        </w:rPr>
        <w:t> </w:t>
      </w:r>
      <w:r>
        <w:rPr>
          <w:spacing w:val="11"/>
          <w:sz w:val="16"/>
        </w:rPr>
        <w:t> </w:t>
      </w:r>
      <w:r>
        <w:rPr>
          <w:w w:val="105"/>
          <w:sz w:val="16"/>
        </w:rPr>
        <w:t>exterior</w:t>
      </w:r>
      <w:r>
        <w:rPr>
          <w:sz w:val="16"/>
        </w:rPr>
        <w:t> </w:t>
      </w:r>
      <w:r>
        <w:rPr>
          <w:spacing w:val="11"/>
          <w:sz w:val="16"/>
        </w:rPr>
        <w:t> </w:t>
      </w:r>
      <w:r>
        <w:rPr>
          <w:w w:val="107"/>
          <w:sz w:val="16"/>
        </w:rPr>
        <w:t>son</w:t>
      </w:r>
      <w:r>
        <w:rPr>
          <w:sz w:val="16"/>
        </w:rPr>
        <w:t> </w:t>
      </w:r>
      <w:r>
        <w:rPr>
          <w:spacing w:val="11"/>
          <w:sz w:val="16"/>
        </w:rPr>
        <w:t> </w:t>
      </w:r>
      <w:r>
        <w:rPr>
          <w:w w:val="111"/>
          <w:sz w:val="16"/>
        </w:rPr>
        <w:t>Méxi</w:t>
      </w:r>
      <w:r>
        <w:rPr>
          <w:w w:val="100"/>
          <w:sz w:val="16"/>
        </w:rPr>
        <w:t>- </w:t>
      </w:r>
      <w:r>
        <w:rPr>
          <w:w w:val="115"/>
          <w:sz w:val="16"/>
        </w:rPr>
        <w:t>co,</w:t>
      </w:r>
      <w:r>
        <w:rPr>
          <w:spacing w:val="-21"/>
          <w:w w:val="115"/>
          <w:sz w:val="16"/>
        </w:rPr>
        <w:t> </w:t>
      </w:r>
      <w:r>
        <w:rPr>
          <w:w w:val="115"/>
          <w:sz w:val="16"/>
        </w:rPr>
        <w:t>Chile,</w:t>
      </w:r>
      <w:r>
        <w:rPr>
          <w:spacing w:val="-21"/>
          <w:w w:val="115"/>
          <w:sz w:val="16"/>
        </w:rPr>
        <w:t> </w:t>
      </w:r>
      <w:r>
        <w:rPr>
          <w:w w:val="115"/>
          <w:sz w:val="16"/>
        </w:rPr>
        <w:t>Colombia,</w:t>
      </w:r>
      <w:r>
        <w:rPr>
          <w:spacing w:val="-21"/>
          <w:w w:val="115"/>
          <w:sz w:val="16"/>
        </w:rPr>
        <w:t> </w:t>
      </w:r>
      <w:r>
        <w:rPr>
          <w:w w:val="115"/>
          <w:sz w:val="16"/>
        </w:rPr>
        <w:t>Venezuela,</w:t>
      </w:r>
      <w:r>
        <w:rPr>
          <w:spacing w:val="-21"/>
          <w:w w:val="115"/>
          <w:sz w:val="16"/>
        </w:rPr>
        <w:t> </w:t>
      </w:r>
      <w:r>
        <w:rPr>
          <w:w w:val="115"/>
          <w:sz w:val="16"/>
        </w:rPr>
        <w:t>brasil</w:t>
      </w:r>
      <w:r>
        <w:rPr>
          <w:spacing w:val="-21"/>
          <w:w w:val="115"/>
          <w:sz w:val="16"/>
        </w:rPr>
        <w:t> </w:t>
      </w:r>
      <w:r>
        <w:rPr>
          <w:w w:val="115"/>
          <w:sz w:val="16"/>
        </w:rPr>
        <w:t>y</w:t>
      </w:r>
      <w:r>
        <w:rPr>
          <w:spacing w:val="-21"/>
          <w:w w:val="115"/>
          <w:sz w:val="16"/>
        </w:rPr>
        <w:t> </w:t>
      </w:r>
      <w:r>
        <w:rPr>
          <w:w w:val="115"/>
          <w:sz w:val="16"/>
        </w:rPr>
        <w:t>argentina.</w:t>
      </w:r>
      <w:r>
        <w:rPr>
          <w:spacing w:val="-21"/>
          <w:w w:val="115"/>
          <w:sz w:val="16"/>
        </w:rPr>
        <w:t> </w:t>
      </w:r>
      <w:r>
        <w:rPr>
          <w:w w:val="115"/>
          <w:sz w:val="16"/>
        </w:rPr>
        <w:t>Varias</w:t>
      </w:r>
      <w:r>
        <w:rPr>
          <w:spacing w:val="-21"/>
          <w:w w:val="115"/>
          <w:sz w:val="16"/>
        </w:rPr>
        <w:t> </w:t>
      </w:r>
      <w:r>
        <w:rPr>
          <w:w w:val="115"/>
          <w:sz w:val="16"/>
        </w:rPr>
        <w:t>empresas</w:t>
      </w:r>
      <w:r>
        <w:rPr>
          <w:spacing w:val="-21"/>
          <w:w w:val="115"/>
          <w:sz w:val="16"/>
        </w:rPr>
        <w:t> </w:t>
      </w:r>
      <w:r>
        <w:rPr>
          <w:w w:val="115"/>
          <w:sz w:val="16"/>
        </w:rPr>
        <w:t>de</w:t>
      </w:r>
      <w:r>
        <w:rPr>
          <w:spacing w:val="-21"/>
          <w:w w:val="115"/>
          <w:sz w:val="16"/>
        </w:rPr>
        <w:t> </w:t>
      </w:r>
      <w:r>
        <w:rPr>
          <w:w w:val="115"/>
          <w:sz w:val="16"/>
        </w:rPr>
        <w:t>la</w:t>
      </w:r>
      <w:r>
        <w:rPr>
          <w:spacing w:val="-21"/>
          <w:w w:val="115"/>
          <w:sz w:val="16"/>
        </w:rPr>
        <w:t> </w:t>
      </w:r>
      <w:r>
        <w:rPr>
          <w:w w:val="115"/>
          <w:sz w:val="16"/>
        </w:rPr>
        <w:t>región</w:t>
      </w:r>
      <w:r>
        <w:rPr>
          <w:spacing w:val="-21"/>
          <w:w w:val="115"/>
          <w:sz w:val="16"/>
        </w:rPr>
        <w:t> </w:t>
      </w:r>
      <w:r>
        <w:rPr>
          <w:w w:val="115"/>
          <w:sz w:val="16"/>
        </w:rPr>
        <w:t>han </w:t>
      </w:r>
      <w:r>
        <w:rPr>
          <w:w w:val="110"/>
          <w:sz w:val="16"/>
        </w:rPr>
        <w:t>invertido</w:t>
      </w:r>
      <w:r>
        <w:rPr>
          <w:spacing w:val="-6"/>
          <w:w w:val="110"/>
          <w:sz w:val="16"/>
        </w:rPr>
        <w:t> </w:t>
      </w:r>
      <w:r>
        <w:rPr>
          <w:w w:val="110"/>
          <w:sz w:val="16"/>
        </w:rPr>
        <w:t>en</w:t>
      </w:r>
      <w:r>
        <w:rPr>
          <w:spacing w:val="-6"/>
          <w:w w:val="110"/>
          <w:sz w:val="16"/>
        </w:rPr>
        <w:t> </w:t>
      </w:r>
      <w:r>
        <w:rPr>
          <w:w w:val="110"/>
          <w:sz w:val="16"/>
        </w:rPr>
        <w:t>activos</w:t>
      </w:r>
      <w:r>
        <w:rPr>
          <w:spacing w:val="-6"/>
          <w:w w:val="110"/>
          <w:sz w:val="16"/>
        </w:rPr>
        <w:t> </w:t>
      </w:r>
      <w:r>
        <w:rPr>
          <w:w w:val="110"/>
          <w:sz w:val="16"/>
        </w:rPr>
        <w:t>pertenecientes</w:t>
      </w:r>
      <w:r>
        <w:rPr>
          <w:spacing w:val="-6"/>
          <w:w w:val="110"/>
          <w:sz w:val="16"/>
        </w:rPr>
        <w:t> </w:t>
      </w:r>
      <w:r>
        <w:rPr>
          <w:w w:val="110"/>
          <w:sz w:val="16"/>
        </w:rPr>
        <w:t>a</w:t>
      </w:r>
      <w:r>
        <w:rPr>
          <w:spacing w:val="-6"/>
          <w:w w:val="110"/>
          <w:sz w:val="16"/>
        </w:rPr>
        <w:t> </w:t>
      </w:r>
      <w:r>
        <w:rPr>
          <w:w w:val="110"/>
          <w:sz w:val="16"/>
        </w:rPr>
        <w:t>empresas</w:t>
      </w:r>
      <w:r>
        <w:rPr>
          <w:spacing w:val="-6"/>
          <w:w w:val="110"/>
          <w:sz w:val="16"/>
        </w:rPr>
        <w:t> </w:t>
      </w:r>
      <w:r>
        <w:rPr>
          <w:w w:val="110"/>
          <w:sz w:val="16"/>
        </w:rPr>
        <w:t>en</w:t>
      </w:r>
      <w:r>
        <w:rPr>
          <w:spacing w:val="-6"/>
          <w:w w:val="110"/>
          <w:sz w:val="16"/>
        </w:rPr>
        <w:t> </w:t>
      </w:r>
      <w:r>
        <w:rPr>
          <w:w w:val="110"/>
          <w:sz w:val="16"/>
        </w:rPr>
        <w:t>el</w:t>
      </w:r>
      <w:r>
        <w:rPr>
          <w:spacing w:val="-6"/>
          <w:w w:val="110"/>
          <w:sz w:val="16"/>
        </w:rPr>
        <w:t> </w:t>
      </w:r>
      <w:r>
        <w:rPr>
          <w:w w:val="110"/>
          <w:sz w:val="16"/>
        </w:rPr>
        <w:t>exterior</w:t>
      </w:r>
      <w:r>
        <w:rPr>
          <w:spacing w:val="-6"/>
          <w:w w:val="110"/>
          <w:sz w:val="16"/>
        </w:rPr>
        <w:t> </w:t>
      </w:r>
      <w:r>
        <w:rPr>
          <w:w w:val="110"/>
          <w:sz w:val="16"/>
        </w:rPr>
        <w:t>(CEPal,</w:t>
      </w:r>
      <w:r>
        <w:rPr>
          <w:spacing w:val="-6"/>
          <w:w w:val="110"/>
          <w:sz w:val="16"/>
        </w:rPr>
        <w:t> </w:t>
      </w:r>
      <w:r>
        <w:rPr>
          <w:w w:val="110"/>
          <w:sz w:val="16"/>
        </w:rPr>
        <w:t>2014:</w:t>
      </w:r>
      <w:r>
        <w:rPr>
          <w:spacing w:val="-6"/>
          <w:w w:val="110"/>
          <w:sz w:val="16"/>
        </w:rPr>
        <w:t> </w:t>
      </w:r>
      <w:r>
        <w:rPr>
          <w:w w:val="110"/>
          <w:sz w:val="16"/>
        </w:rPr>
        <w:t>55).</w:t>
      </w:r>
    </w:p>
    <w:p>
      <w:pPr>
        <w:pStyle w:val="ListParagraph"/>
        <w:numPr>
          <w:ilvl w:val="0"/>
          <w:numId w:val="35"/>
        </w:numPr>
        <w:tabs>
          <w:tab w:pos="376" w:val="left" w:leader="none"/>
        </w:tabs>
        <w:spacing w:line="242" w:lineRule="auto" w:before="57" w:after="0"/>
        <w:ind w:left="120" w:right="329" w:firstLine="0"/>
        <w:jc w:val="both"/>
        <w:rPr>
          <w:sz w:val="16"/>
        </w:rPr>
      </w:pPr>
      <w:r>
        <w:rPr>
          <w:w w:val="115"/>
          <w:sz w:val="16"/>
        </w:rPr>
        <w:t>Entre</w:t>
      </w:r>
      <w:r>
        <w:rPr>
          <w:spacing w:val="-8"/>
          <w:w w:val="115"/>
          <w:sz w:val="16"/>
        </w:rPr>
        <w:t> </w:t>
      </w:r>
      <w:r>
        <w:rPr>
          <w:w w:val="115"/>
          <w:sz w:val="16"/>
        </w:rPr>
        <w:t>las</w:t>
      </w:r>
      <w:r>
        <w:rPr>
          <w:spacing w:val="-8"/>
          <w:w w:val="115"/>
          <w:sz w:val="16"/>
        </w:rPr>
        <w:t> </w:t>
      </w:r>
      <w:r>
        <w:rPr>
          <w:w w:val="115"/>
          <w:sz w:val="16"/>
        </w:rPr>
        <w:t>mayores</w:t>
      </w:r>
      <w:r>
        <w:rPr>
          <w:spacing w:val="-8"/>
          <w:w w:val="115"/>
          <w:sz w:val="16"/>
        </w:rPr>
        <w:t> </w:t>
      </w:r>
      <w:r>
        <w:rPr>
          <w:w w:val="115"/>
          <w:sz w:val="16"/>
        </w:rPr>
        <w:t>empresas</w:t>
      </w:r>
      <w:r>
        <w:rPr>
          <w:spacing w:val="-8"/>
          <w:w w:val="115"/>
          <w:sz w:val="16"/>
        </w:rPr>
        <w:t> </w:t>
      </w:r>
      <w:r>
        <w:rPr>
          <w:w w:val="115"/>
          <w:sz w:val="16"/>
        </w:rPr>
        <w:t>de</w:t>
      </w:r>
      <w:r>
        <w:rPr>
          <w:spacing w:val="-8"/>
          <w:w w:val="115"/>
          <w:sz w:val="16"/>
        </w:rPr>
        <w:t> </w:t>
      </w:r>
      <w:r>
        <w:rPr>
          <w:w w:val="115"/>
          <w:sz w:val="16"/>
        </w:rPr>
        <w:t>la</w:t>
      </w:r>
      <w:r>
        <w:rPr>
          <w:spacing w:val="-8"/>
          <w:w w:val="115"/>
          <w:sz w:val="16"/>
        </w:rPr>
        <w:t> </w:t>
      </w:r>
      <w:r>
        <w:rPr>
          <w:w w:val="115"/>
          <w:sz w:val="16"/>
        </w:rPr>
        <w:t>región</w:t>
      </w:r>
      <w:r>
        <w:rPr>
          <w:spacing w:val="-8"/>
          <w:w w:val="115"/>
          <w:sz w:val="16"/>
        </w:rPr>
        <w:t> </w:t>
      </w:r>
      <w:r>
        <w:rPr>
          <w:w w:val="115"/>
          <w:sz w:val="16"/>
        </w:rPr>
        <w:t>se</w:t>
      </w:r>
      <w:r>
        <w:rPr>
          <w:spacing w:val="-8"/>
          <w:w w:val="115"/>
          <w:sz w:val="16"/>
        </w:rPr>
        <w:t> </w:t>
      </w:r>
      <w:r>
        <w:rPr>
          <w:w w:val="115"/>
          <w:sz w:val="16"/>
        </w:rPr>
        <w:t>encuentran</w:t>
      </w:r>
      <w:r>
        <w:rPr>
          <w:spacing w:val="-8"/>
          <w:w w:val="115"/>
          <w:sz w:val="16"/>
        </w:rPr>
        <w:t> </w:t>
      </w:r>
      <w:r>
        <w:rPr>
          <w:w w:val="115"/>
          <w:sz w:val="16"/>
        </w:rPr>
        <w:t>Petrobras</w:t>
      </w:r>
      <w:r>
        <w:rPr>
          <w:spacing w:val="-8"/>
          <w:w w:val="115"/>
          <w:sz w:val="16"/>
        </w:rPr>
        <w:t> </w:t>
      </w:r>
      <w:r>
        <w:rPr>
          <w:w w:val="115"/>
          <w:sz w:val="16"/>
        </w:rPr>
        <w:t>(5º,</w:t>
      </w:r>
      <w:r>
        <w:rPr>
          <w:spacing w:val="-8"/>
          <w:w w:val="115"/>
          <w:sz w:val="16"/>
        </w:rPr>
        <w:t> </w:t>
      </w:r>
      <w:r>
        <w:rPr>
          <w:w w:val="115"/>
          <w:sz w:val="16"/>
        </w:rPr>
        <w:t>brasil), PdVsa</w:t>
      </w:r>
      <w:r>
        <w:rPr>
          <w:spacing w:val="23"/>
          <w:w w:val="115"/>
          <w:sz w:val="16"/>
        </w:rPr>
        <w:t> </w:t>
      </w:r>
      <w:r>
        <w:rPr>
          <w:w w:val="115"/>
          <w:sz w:val="16"/>
        </w:rPr>
        <w:t>(7º,</w:t>
      </w:r>
      <w:r>
        <w:rPr>
          <w:spacing w:val="23"/>
          <w:w w:val="115"/>
          <w:sz w:val="16"/>
        </w:rPr>
        <w:t> </w:t>
      </w:r>
      <w:r>
        <w:rPr>
          <w:w w:val="115"/>
          <w:sz w:val="16"/>
        </w:rPr>
        <w:t>Venezuela),</w:t>
      </w:r>
      <w:r>
        <w:rPr>
          <w:spacing w:val="23"/>
          <w:w w:val="115"/>
          <w:sz w:val="16"/>
        </w:rPr>
        <w:t> </w:t>
      </w:r>
      <w:r>
        <w:rPr>
          <w:w w:val="115"/>
          <w:sz w:val="16"/>
        </w:rPr>
        <w:t>américa</w:t>
      </w:r>
      <w:r>
        <w:rPr>
          <w:spacing w:val="23"/>
          <w:w w:val="115"/>
          <w:sz w:val="16"/>
        </w:rPr>
        <w:t> </w:t>
      </w:r>
      <w:r>
        <w:rPr>
          <w:w w:val="115"/>
          <w:sz w:val="16"/>
        </w:rPr>
        <w:t>Móvil</w:t>
      </w:r>
      <w:r>
        <w:rPr>
          <w:spacing w:val="23"/>
          <w:w w:val="115"/>
          <w:sz w:val="16"/>
        </w:rPr>
        <w:t> </w:t>
      </w:r>
      <w:r>
        <w:rPr>
          <w:w w:val="115"/>
          <w:sz w:val="16"/>
        </w:rPr>
        <w:t>sab</w:t>
      </w:r>
      <w:r>
        <w:rPr>
          <w:spacing w:val="23"/>
          <w:w w:val="115"/>
          <w:sz w:val="16"/>
        </w:rPr>
        <w:t> </w:t>
      </w:r>
      <w:r>
        <w:rPr>
          <w:w w:val="115"/>
          <w:sz w:val="16"/>
        </w:rPr>
        <w:t>(México),</w:t>
      </w:r>
      <w:r>
        <w:rPr>
          <w:spacing w:val="23"/>
          <w:w w:val="115"/>
          <w:sz w:val="16"/>
        </w:rPr>
        <w:t> </w:t>
      </w:r>
      <w:r>
        <w:rPr>
          <w:spacing w:val="-3"/>
          <w:w w:val="115"/>
          <w:sz w:val="16"/>
        </w:rPr>
        <w:t>Vale</w:t>
      </w:r>
      <w:r>
        <w:rPr>
          <w:spacing w:val="23"/>
          <w:w w:val="115"/>
          <w:sz w:val="16"/>
        </w:rPr>
        <w:t> </w:t>
      </w:r>
      <w:r>
        <w:rPr>
          <w:w w:val="115"/>
          <w:sz w:val="16"/>
        </w:rPr>
        <w:t>s.a.</w:t>
      </w:r>
      <w:r>
        <w:rPr>
          <w:spacing w:val="23"/>
          <w:w w:val="115"/>
          <w:sz w:val="16"/>
        </w:rPr>
        <w:t> </w:t>
      </w:r>
      <w:r>
        <w:rPr>
          <w:w w:val="115"/>
          <w:sz w:val="16"/>
        </w:rPr>
        <w:t>(21º,</w:t>
      </w:r>
      <w:r>
        <w:rPr>
          <w:spacing w:val="23"/>
          <w:w w:val="115"/>
          <w:sz w:val="16"/>
        </w:rPr>
        <w:t> </w:t>
      </w:r>
      <w:r>
        <w:rPr>
          <w:w w:val="115"/>
          <w:sz w:val="16"/>
        </w:rPr>
        <w:t>brasil),</w:t>
      </w:r>
      <w:r>
        <w:rPr>
          <w:spacing w:val="23"/>
          <w:w w:val="115"/>
          <w:sz w:val="16"/>
        </w:rPr>
        <w:t> </w:t>
      </w:r>
      <w:r>
        <w:rPr>
          <w:w w:val="115"/>
          <w:sz w:val="16"/>
        </w:rPr>
        <w:t>Jsb</w:t>
      </w:r>
    </w:p>
    <w:p>
      <w:pPr>
        <w:spacing w:after="0" w:line="242" w:lineRule="auto"/>
        <w:jc w:val="both"/>
        <w:rPr>
          <w:sz w:val="16"/>
        </w:rPr>
        <w:sectPr>
          <w:pgSz w:w="8790" w:h="12760"/>
          <w:pgMar w:header="695" w:footer="723" w:top="880" w:bottom="920" w:left="900" w:right="1200"/>
        </w:sectPr>
      </w:pPr>
    </w:p>
    <w:p>
      <w:pPr>
        <w:pStyle w:val="BodyText"/>
        <w:spacing w:before="8"/>
        <w:rPr>
          <w:sz w:val="27"/>
        </w:rPr>
      </w:pPr>
    </w:p>
    <w:p>
      <w:pPr>
        <w:spacing w:before="78"/>
        <w:ind w:left="670" w:right="674" w:firstLine="0"/>
        <w:jc w:val="center"/>
        <w:rPr>
          <w:rFonts w:ascii="Arial"/>
          <w:b/>
          <w:sz w:val="17"/>
        </w:rPr>
      </w:pPr>
      <w:r>
        <w:rPr>
          <w:rFonts w:ascii="Arial"/>
          <w:b/>
          <w:w w:val="85"/>
          <w:sz w:val="17"/>
        </w:rPr>
        <w:t>Tabla 3</w:t>
      </w:r>
    </w:p>
    <w:p>
      <w:pPr>
        <w:spacing w:before="8"/>
        <w:ind w:left="670" w:right="674" w:firstLine="0"/>
        <w:jc w:val="center"/>
        <w:rPr>
          <w:rFonts w:ascii="Arial" w:hAnsi="Arial"/>
          <w:sz w:val="17"/>
        </w:rPr>
      </w:pPr>
      <w:r>
        <w:rPr>
          <w:rFonts w:ascii="Arial" w:hAnsi="Arial"/>
          <w:w w:val="85"/>
          <w:sz w:val="17"/>
        </w:rPr>
        <w:t>Presencia de mayores empresas 2004-2013 (número de empresas)</w:t>
      </w:r>
    </w:p>
    <w:p>
      <w:pPr>
        <w:pStyle w:val="BodyText"/>
        <w:spacing w:before="4"/>
        <w:rPr>
          <w:rFonts w:ascii="Arial"/>
          <w:sz w:val="16"/>
        </w:rPr>
      </w:pPr>
    </w:p>
    <w:tbl>
      <w:tblPr>
        <w:tblW w:w="0" w:type="auto"/>
        <w:jc w:val="left"/>
        <w:tblInd w:w="1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96"/>
        <w:gridCol w:w="935"/>
        <w:gridCol w:w="935"/>
        <w:gridCol w:w="935"/>
        <w:gridCol w:w="935"/>
        <w:gridCol w:w="935"/>
      </w:tblGrid>
      <w:tr>
        <w:trPr>
          <w:trHeight w:val="274" w:hRule="exact"/>
        </w:trPr>
        <w:tc>
          <w:tcPr>
            <w:tcW w:w="2296" w:type="dxa"/>
            <w:tcBorders>
              <w:left w:val="nil"/>
              <w:bottom w:val="single" w:sz="4" w:space="0" w:color="000000"/>
              <w:right w:val="dotted" w:sz="4" w:space="0" w:color="000000"/>
            </w:tcBorders>
          </w:tcPr>
          <w:p>
            <w:pPr/>
          </w:p>
        </w:tc>
        <w:tc>
          <w:tcPr>
            <w:tcW w:w="935" w:type="dxa"/>
            <w:tcBorders>
              <w:left w:val="dotted" w:sz="4" w:space="0" w:color="000000"/>
              <w:bottom w:val="single" w:sz="4" w:space="0" w:color="000000"/>
              <w:right w:val="dotted" w:sz="4" w:space="0" w:color="000000"/>
            </w:tcBorders>
          </w:tcPr>
          <w:p>
            <w:pPr>
              <w:pStyle w:val="TableParagraph"/>
              <w:spacing w:before="34"/>
              <w:ind w:left="16" w:right="16"/>
              <w:jc w:val="center"/>
              <w:rPr>
                <w:sz w:val="16"/>
              </w:rPr>
            </w:pPr>
            <w:r>
              <w:rPr>
                <w:w w:val="95"/>
                <w:sz w:val="16"/>
              </w:rPr>
              <w:t>2004</w:t>
            </w:r>
          </w:p>
        </w:tc>
        <w:tc>
          <w:tcPr>
            <w:tcW w:w="935" w:type="dxa"/>
            <w:tcBorders>
              <w:left w:val="dotted" w:sz="4" w:space="0" w:color="000000"/>
              <w:bottom w:val="single" w:sz="4" w:space="0" w:color="000000"/>
              <w:right w:val="dotted" w:sz="4" w:space="0" w:color="000000"/>
            </w:tcBorders>
          </w:tcPr>
          <w:p>
            <w:pPr>
              <w:pStyle w:val="TableParagraph"/>
              <w:spacing w:before="34"/>
              <w:ind w:left="16" w:right="16"/>
              <w:jc w:val="center"/>
              <w:rPr>
                <w:sz w:val="16"/>
              </w:rPr>
            </w:pPr>
            <w:r>
              <w:rPr>
                <w:w w:val="95"/>
                <w:sz w:val="16"/>
              </w:rPr>
              <w:t>2006</w:t>
            </w:r>
          </w:p>
        </w:tc>
        <w:tc>
          <w:tcPr>
            <w:tcW w:w="935" w:type="dxa"/>
            <w:tcBorders>
              <w:left w:val="dotted" w:sz="4" w:space="0" w:color="000000"/>
              <w:bottom w:val="single" w:sz="4" w:space="0" w:color="000000"/>
              <w:right w:val="dotted" w:sz="4" w:space="0" w:color="000000"/>
            </w:tcBorders>
          </w:tcPr>
          <w:p>
            <w:pPr>
              <w:pStyle w:val="TableParagraph"/>
              <w:spacing w:before="34"/>
              <w:ind w:left="16" w:right="16"/>
              <w:jc w:val="center"/>
              <w:rPr>
                <w:sz w:val="16"/>
              </w:rPr>
            </w:pPr>
            <w:r>
              <w:rPr>
                <w:w w:val="95"/>
                <w:sz w:val="16"/>
              </w:rPr>
              <w:t>2008</w:t>
            </w:r>
          </w:p>
        </w:tc>
        <w:tc>
          <w:tcPr>
            <w:tcW w:w="935" w:type="dxa"/>
            <w:tcBorders>
              <w:left w:val="dotted" w:sz="4" w:space="0" w:color="000000"/>
              <w:bottom w:val="single" w:sz="4" w:space="0" w:color="000000"/>
              <w:right w:val="dotted" w:sz="4" w:space="0" w:color="000000"/>
            </w:tcBorders>
          </w:tcPr>
          <w:p>
            <w:pPr>
              <w:pStyle w:val="TableParagraph"/>
              <w:spacing w:before="34"/>
              <w:ind w:left="16" w:right="16"/>
              <w:jc w:val="center"/>
              <w:rPr>
                <w:sz w:val="16"/>
              </w:rPr>
            </w:pPr>
            <w:r>
              <w:rPr>
                <w:w w:val="95"/>
                <w:sz w:val="16"/>
              </w:rPr>
              <w:t>2010</w:t>
            </w:r>
          </w:p>
        </w:tc>
        <w:tc>
          <w:tcPr>
            <w:tcW w:w="935" w:type="dxa"/>
            <w:tcBorders>
              <w:left w:val="dotted" w:sz="4" w:space="0" w:color="000000"/>
              <w:bottom w:val="single" w:sz="4" w:space="0" w:color="000000"/>
              <w:right w:val="nil"/>
            </w:tcBorders>
          </w:tcPr>
          <w:p>
            <w:pPr>
              <w:pStyle w:val="TableParagraph"/>
              <w:spacing w:before="34"/>
              <w:ind w:left="274" w:right="277"/>
              <w:jc w:val="center"/>
              <w:rPr>
                <w:sz w:val="16"/>
              </w:rPr>
            </w:pPr>
            <w:r>
              <w:rPr>
                <w:w w:val="95"/>
                <w:sz w:val="16"/>
              </w:rPr>
              <w:t>2013</w:t>
            </w:r>
          </w:p>
        </w:tc>
      </w:tr>
      <w:tr>
        <w:trPr>
          <w:trHeight w:val="274" w:hRule="exact"/>
        </w:trPr>
        <w:tc>
          <w:tcPr>
            <w:tcW w:w="2296" w:type="dxa"/>
            <w:tcBorders>
              <w:top w:val="single" w:sz="4" w:space="0" w:color="000000"/>
              <w:left w:val="nil"/>
              <w:bottom w:val="dotted" w:sz="4" w:space="0" w:color="000000"/>
              <w:right w:val="dotted" w:sz="4" w:space="0" w:color="000000"/>
            </w:tcBorders>
          </w:tcPr>
          <w:p>
            <w:pPr>
              <w:pStyle w:val="TableParagraph"/>
              <w:spacing w:before="39"/>
              <w:ind w:left="79"/>
              <w:rPr>
                <w:sz w:val="16"/>
              </w:rPr>
            </w:pPr>
            <w:r>
              <w:rPr>
                <w:w w:val="85"/>
                <w:sz w:val="16"/>
              </w:rPr>
              <w:t>América Latina y el Caribe</w:t>
            </w:r>
          </w:p>
        </w:tc>
        <w:tc>
          <w:tcPr>
            <w:tcW w:w="935" w:type="dxa"/>
            <w:tcBorders>
              <w:top w:val="single" w:sz="4" w:space="0" w:color="000000"/>
              <w:left w:val="dotted" w:sz="4" w:space="0" w:color="000000"/>
              <w:bottom w:val="dotted" w:sz="4" w:space="0" w:color="000000"/>
              <w:right w:val="dotted" w:sz="4" w:space="0" w:color="000000"/>
            </w:tcBorders>
          </w:tcPr>
          <w:p>
            <w:pPr>
              <w:pStyle w:val="TableParagraph"/>
              <w:spacing w:before="39"/>
              <w:ind w:left="16" w:right="16"/>
              <w:jc w:val="center"/>
              <w:rPr>
                <w:sz w:val="16"/>
              </w:rPr>
            </w:pPr>
            <w:r>
              <w:rPr>
                <w:w w:val="95"/>
                <w:sz w:val="16"/>
              </w:rPr>
              <w:t>44</w:t>
            </w:r>
          </w:p>
        </w:tc>
        <w:tc>
          <w:tcPr>
            <w:tcW w:w="935" w:type="dxa"/>
            <w:tcBorders>
              <w:top w:val="single" w:sz="4" w:space="0" w:color="000000"/>
              <w:left w:val="dotted" w:sz="4" w:space="0" w:color="000000"/>
              <w:bottom w:val="dotted" w:sz="4" w:space="0" w:color="000000"/>
              <w:right w:val="dotted" w:sz="4" w:space="0" w:color="000000"/>
            </w:tcBorders>
          </w:tcPr>
          <w:p>
            <w:pPr>
              <w:pStyle w:val="TableParagraph"/>
              <w:spacing w:before="39"/>
              <w:ind w:left="16" w:right="16"/>
              <w:jc w:val="center"/>
              <w:rPr>
                <w:sz w:val="16"/>
              </w:rPr>
            </w:pPr>
            <w:r>
              <w:rPr>
                <w:w w:val="95"/>
                <w:sz w:val="16"/>
              </w:rPr>
              <w:t>53</w:t>
            </w:r>
          </w:p>
        </w:tc>
        <w:tc>
          <w:tcPr>
            <w:tcW w:w="935" w:type="dxa"/>
            <w:tcBorders>
              <w:top w:val="single" w:sz="4" w:space="0" w:color="000000"/>
              <w:left w:val="dotted" w:sz="4" w:space="0" w:color="000000"/>
              <w:bottom w:val="dotted" w:sz="4" w:space="0" w:color="000000"/>
              <w:right w:val="dotted" w:sz="4" w:space="0" w:color="000000"/>
            </w:tcBorders>
          </w:tcPr>
          <w:p>
            <w:pPr>
              <w:pStyle w:val="TableParagraph"/>
              <w:spacing w:before="39"/>
              <w:ind w:left="16" w:right="16"/>
              <w:jc w:val="center"/>
              <w:rPr>
                <w:sz w:val="16"/>
              </w:rPr>
            </w:pPr>
            <w:r>
              <w:rPr>
                <w:w w:val="95"/>
                <w:sz w:val="16"/>
              </w:rPr>
              <w:t>66</w:t>
            </w:r>
          </w:p>
        </w:tc>
        <w:tc>
          <w:tcPr>
            <w:tcW w:w="935" w:type="dxa"/>
            <w:tcBorders>
              <w:top w:val="single" w:sz="4" w:space="0" w:color="000000"/>
              <w:left w:val="dotted" w:sz="4" w:space="0" w:color="000000"/>
              <w:bottom w:val="dotted" w:sz="4" w:space="0" w:color="000000"/>
              <w:right w:val="dotted" w:sz="4" w:space="0" w:color="000000"/>
            </w:tcBorders>
          </w:tcPr>
          <w:p>
            <w:pPr>
              <w:pStyle w:val="TableParagraph"/>
              <w:spacing w:before="39"/>
              <w:ind w:left="16" w:right="16"/>
              <w:jc w:val="center"/>
              <w:rPr>
                <w:sz w:val="16"/>
              </w:rPr>
            </w:pPr>
            <w:r>
              <w:rPr>
                <w:w w:val="95"/>
                <w:sz w:val="16"/>
              </w:rPr>
              <w:t>77</w:t>
            </w:r>
          </w:p>
        </w:tc>
        <w:tc>
          <w:tcPr>
            <w:tcW w:w="935" w:type="dxa"/>
            <w:tcBorders>
              <w:top w:val="single" w:sz="4" w:space="0" w:color="000000"/>
              <w:left w:val="dotted" w:sz="4" w:space="0" w:color="000000"/>
              <w:bottom w:val="dotted" w:sz="4" w:space="0" w:color="000000"/>
              <w:right w:val="nil"/>
            </w:tcBorders>
          </w:tcPr>
          <w:p>
            <w:pPr>
              <w:pStyle w:val="TableParagraph"/>
              <w:spacing w:before="39"/>
              <w:ind w:left="274" w:right="277"/>
              <w:jc w:val="center"/>
              <w:rPr>
                <w:sz w:val="16"/>
              </w:rPr>
            </w:pPr>
            <w:r>
              <w:rPr>
                <w:w w:val="95"/>
                <w:sz w:val="16"/>
              </w:rPr>
              <w:t>69</w:t>
            </w:r>
          </w:p>
        </w:tc>
      </w:tr>
      <w:tr>
        <w:trPr>
          <w:trHeight w:val="274" w:hRule="exact"/>
        </w:trPr>
        <w:tc>
          <w:tcPr>
            <w:tcW w:w="2296"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95"/>
                <w:sz w:val="16"/>
              </w:rPr>
              <w:t>Brasil</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left="16" w:right="16"/>
              <w:jc w:val="center"/>
              <w:rPr>
                <w:sz w:val="16"/>
              </w:rPr>
            </w:pPr>
            <w:r>
              <w:rPr>
                <w:w w:val="95"/>
                <w:sz w:val="16"/>
              </w:rPr>
              <w:t>19</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left="16" w:right="16"/>
              <w:jc w:val="center"/>
              <w:rPr>
                <w:sz w:val="16"/>
              </w:rPr>
            </w:pPr>
            <w:r>
              <w:rPr>
                <w:w w:val="95"/>
                <w:sz w:val="16"/>
              </w:rPr>
              <w:t>22</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left="16" w:right="16"/>
              <w:jc w:val="center"/>
              <w:rPr>
                <w:sz w:val="16"/>
              </w:rPr>
            </w:pPr>
            <w:r>
              <w:rPr>
                <w:w w:val="95"/>
                <w:sz w:val="16"/>
              </w:rPr>
              <w:t>31</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left="15" w:right="16"/>
              <w:jc w:val="center"/>
              <w:rPr>
                <w:sz w:val="16"/>
              </w:rPr>
            </w:pPr>
            <w:r>
              <w:rPr>
                <w:w w:val="95"/>
                <w:sz w:val="16"/>
              </w:rPr>
              <w:t>37</w:t>
            </w:r>
          </w:p>
        </w:tc>
        <w:tc>
          <w:tcPr>
            <w:tcW w:w="935" w:type="dxa"/>
            <w:tcBorders>
              <w:top w:val="dotted" w:sz="4" w:space="0" w:color="000000"/>
              <w:left w:val="dotted" w:sz="4" w:space="0" w:color="000000"/>
              <w:bottom w:val="dotted" w:sz="4" w:space="0" w:color="000000"/>
              <w:right w:val="nil"/>
            </w:tcBorders>
          </w:tcPr>
          <w:p>
            <w:pPr>
              <w:pStyle w:val="TableParagraph"/>
              <w:spacing w:before="39"/>
              <w:ind w:left="273" w:right="277"/>
              <w:jc w:val="center"/>
              <w:rPr>
                <w:sz w:val="16"/>
              </w:rPr>
            </w:pPr>
            <w:r>
              <w:rPr>
                <w:w w:val="95"/>
                <w:sz w:val="16"/>
              </w:rPr>
              <w:t>31</w:t>
            </w:r>
          </w:p>
        </w:tc>
      </w:tr>
      <w:tr>
        <w:trPr>
          <w:trHeight w:val="274" w:hRule="exact"/>
        </w:trPr>
        <w:tc>
          <w:tcPr>
            <w:tcW w:w="2296"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95"/>
                <w:sz w:val="16"/>
              </w:rPr>
              <w:t>México</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left="16" w:right="16"/>
              <w:jc w:val="center"/>
              <w:rPr>
                <w:sz w:val="16"/>
              </w:rPr>
            </w:pPr>
            <w:r>
              <w:rPr>
                <w:w w:val="95"/>
                <w:sz w:val="16"/>
              </w:rPr>
              <w:t>18</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left="15" w:right="16"/>
              <w:jc w:val="center"/>
              <w:rPr>
                <w:sz w:val="16"/>
              </w:rPr>
            </w:pPr>
            <w:r>
              <w:rPr>
                <w:w w:val="95"/>
                <w:sz w:val="16"/>
              </w:rPr>
              <w:t>17</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left="15" w:right="16"/>
              <w:jc w:val="center"/>
              <w:rPr>
                <w:sz w:val="16"/>
              </w:rPr>
            </w:pPr>
            <w:r>
              <w:rPr>
                <w:w w:val="95"/>
                <w:sz w:val="16"/>
              </w:rPr>
              <w:t>18</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left="15" w:right="16"/>
              <w:jc w:val="center"/>
              <w:rPr>
                <w:sz w:val="16"/>
              </w:rPr>
            </w:pPr>
            <w:r>
              <w:rPr>
                <w:w w:val="95"/>
                <w:sz w:val="16"/>
              </w:rPr>
              <w:t>18</w:t>
            </w:r>
          </w:p>
        </w:tc>
        <w:tc>
          <w:tcPr>
            <w:tcW w:w="935" w:type="dxa"/>
            <w:tcBorders>
              <w:top w:val="dotted" w:sz="4" w:space="0" w:color="000000"/>
              <w:left w:val="dotted" w:sz="4" w:space="0" w:color="000000"/>
              <w:bottom w:val="dotted" w:sz="4" w:space="0" w:color="000000"/>
              <w:right w:val="nil"/>
            </w:tcBorders>
          </w:tcPr>
          <w:p>
            <w:pPr>
              <w:pStyle w:val="TableParagraph"/>
              <w:spacing w:before="39"/>
              <w:ind w:left="273" w:right="277"/>
              <w:jc w:val="center"/>
              <w:rPr>
                <w:sz w:val="16"/>
              </w:rPr>
            </w:pPr>
            <w:r>
              <w:rPr>
                <w:w w:val="95"/>
                <w:sz w:val="16"/>
              </w:rPr>
              <w:t>19</w:t>
            </w:r>
          </w:p>
        </w:tc>
      </w:tr>
      <w:tr>
        <w:trPr>
          <w:trHeight w:val="274" w:hRule="exact"/>
        </w:trPr>
        <w:tc>
          <w:tcPr>
            <w:tcW w:w="2296"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90"/>
                <w:sz w:val="16"/>
              </w:rPr>
              <w:t>Chile</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right="1"/>
              <w:jc w:val="center"/>
              <w:rPr>
                <w:sz w:val="16"/>
              </w:rPr>
            </w:pPr>
            <w:r>
              <w:rPr>
                <w:w w:val="86"/>
                <w:sz w:val="16"/>
              </w:rPr>
              <w:t>5</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right="1"/>
              <w:jc w:val="center"/>
              <w:rPr>
                <w:sz w:val="16"/>
              </w:rPr>
            </w:pPr>
            <w:r>
              <w:rPr>
                <w:w w:val="86"/>
                <w:sz w:val="16"/>
              </w:rPr>
              <w:t>6</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right="1"/>
              <w:jc w:val="center"/>
              <w:rPr>
                <w:sz w:val="16"/>
              </w:rPr>
            </w:pPr>
            <w:r>
              <w:rPr>
                <w:w w:val="86"/>
                <w:sz w:val="16"/>
              </w:rPr>
              <w:t>8</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right="1"/>
              <w:jc w:val="center"/>
              <w:rPr>
                <w:sz w:val="16"/>
              </w:rPr>
            </w:pPr>
            <w:r>
              <w:rPr>
                <w:w w:val="86"/>
                <w:sz w:val="16"/>
              </w:rPr>
              <w:t>9</w:t>
            </w:r>
          </w:p>
        </w:tc>
        <w:tc>
          <w:tcPr>
            <w:tcW w:w="935" w:type="dxa"/>
            <w:tcBorders>
              <w:top w:val="dotted" w:sz="4" w:space="0" w:color="000000"/>
              <w:left w:val="dotted" w:sz="4" w:space="0" w:color="000000"/>
              <w:bottom w:val="dotted" w:sz="4" w:space="0" w:color="000000"/>
              <w:right w:val="nil"/>
            </w:tcBorders>
          </w:tcPr>
          <w:p>
            <w:pPr>
              <w:pStyle w:val="TableParagraph"/>
              <w:spacing w:before="39"/>
              <w:ind w:right="4"/>
              <w:jc w:val="center"/>
              <w:rPr>
                <w:sz w:val="16"/>
              </w:rPr>
            </w:pPr>
            <w:r>
              <w:rPr>
                <w:w w:val="86"/>
                <w:sz w:val="16"/>
              </w:rPr>
              <w:t>9</w:t>
            </w:r>
          </w:p>
        </w:tc>
      </w:tr>
      <w:tr>
        <w:trPr>
          <w:trHeight w:val="274" w:hRule="exact"/>
        </w:trPr>
        <w:tc>
          <w:tcPr>
            <w:tcW w:w="2296" w:type="dxa"/>
            <w:tcBorders>
              <w:top w:val="dotted" w:sz="4" w:space="0" w:color="000000"/>
              <w:left w:val="nil"/>
              <w:bottom w:val="dotted" w:sz="4" w:space="0" w:color="000000"/>
              <w:right w:val="dotted" w:sz="4" w:space="0" w:color="000000"/>
            </w:tcBorders>
          </w:tcPr>
          <w:p>
            <w:pPr>
              <w:pStyle w:val="TableParagraph"/>
              <w:spacing w:before="39"/>
              <w:ind w:left="79"/>
              <w:rPr>
                <w:sz w:val="16"/>
              </w:rPr>
            </w:pPr>
            <w:r>
              <w:rPr>
                <w:w w:val="90"/>
                <w:sz w:val="16"/>
              </w:rPr>
              <w:t>Colombia</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right="1"/>
              <w:jc w:val="center"/>
              <w:rPr>
                <w:sz w:val="16"/>
              </w:rPr>
            </w:pPr>
            <w:r>
              <w:rPr>
                <w:w w:val="86"/>
                <w:sz w:val="16"/>
              </w:rPr>
              <w:t>0</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right="1"/>
              <w:jc w:val="center"/>
              <w:rPr>
                <w:sz w:val="16"/>
              </w:rPr>
            </w:pPr>
            <w:r>
              <w:rPr>
                <w:w w:val="86"/>
                <w:sz w:val="16"/>
              </w:rPr>
              <w:t>2</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ind w:right="1"/>
              <w:jc w:val="center"/>
              <w:rPr>
                <w:sz w:val="16"/>
              </w:rPr>
            </w:pPr>
            <w:r>
              <w:rPr>
                <w:w w:val="86"/>
                <w:sz w:val="16"/>
              </w:rPr>
              <w:t>3</w:t>
            </w:r>
          </w:p>
        </w:tc>
        <w:tc>
          <w:tcPr>
            <w:tcW w:w="935" w:type="dxa"/>
            <w:tcBorders>
              <w:top w:val="dotted" w:sz="4" w:space="0" w:color="000000"/>
              <w:left w:val="dotted" w:sz="4" w:space="0" w:color="000000"/>
              <w:bottom w:val="dotted" w:sz="4" w:space="0" w:color="000000"/>
              <w:right w:val="dotted" w:sz="4" w:space="0" w:color="000000"/>
            </w:tcBorders>
          </w:tcPr>
          <w:p>
            <w:pPr>
              <w:pStyle w:val="TableParagraph"/>
              <w:spacing w:before="39"/>
              <w:jc w:val="center"/>
              <w:rPr>
                <w:sz w:val="16"/>
              </w:rPr>
            </w:pPr>
            <w:r>
              <w:rPr>
                <w:w w:val="86"/>
                <w:sz w:val="16"/>
              </w:rPr>
              <w:t>6</w:t>
            </w:r>
          </w:p>
        </w:tc>
        <w:tc>
          <w:tcPr>
            <w:tcW w:w="935" w:type="dxa"/>
            <w:tcBorders>
              <w:top w:val="dotted" w:sz="4" w:space="0" w:color="000000"/>
              <w:left w:val="dotted" w:sz="4" w:space="0" w:color="000000"/>
              <w:bottom w:val="dotted" w:sz="4" w:space="0" w:color="000000"/>
              <w:right w:val="nil"/>
            </w:tcBorders>
          </w:tcPr>
          <w:p>
            <w:pPr>
              <w:pStyle w:val="TableParagraph"/>
              <w:spacing w:before="39"/>
              <w:ind w:right="5"/>
              <w:jc w:val="center"/>
              <w:rPr>
                <w:sz w:val="16"/>
              </w:rPr>
            </w:pPr>
            <w:r>
              <w:rPr>
                <w:w w:val="86"/>
                <w:sz w:val="16"/>
              </w:rPr>
              <w:t>6</w:t>
            </w:r>
          </w:p>
        </w:tc>
      </w:tr>
      <w:tr>
        <w:trPr>
          <w:trHeight w:val="274" w:hRule="exact"/>
        </w:trPr>
        <w:tc>
          <w:tcPr>
            <w:tcW w:w="2296" w:type="dxa"/>
            <w:tcBorders>
              <w:top w:val="dotted" w:sz="4" w:space="0" w:color="000000"/>
              <w:left w:val="nil"/>
              <w:right w:val="dotted" w:sz="4" w:space="0" w:color="000000"/>
            </w:tcBorders>
          </w:tcPr>
          <w:p>
            <w:pPr>
              <w:pStyle w:val="TableParagraph"/>
              <w:spacing w:before="39"/>
              <w:ind w:left="78"/>
              <w:rPr>
                <w:sz w:val="16"/>
              </w:rPr>
            </w:pPr>
            <w:r>
              <w:rPr>
                <w:w w:val="90"/>
                <w:sz w:val="16"/>
              </w:rPr>
              <w:t>Venezuela</w:t>
            </w:r>
          </w:p>
        </w:tc>
        <w:tc>
          <w:tcPr>
            <w:tcW w:w="935" w:type="dxa"/>
            <w:tcBorders>
              <w:top w:val="dotted" w:sz="4" w:space="0" w:color="000000"/>
              <w:left w:val="dotted" w:sz="4" w:space="0" w:color="000000"/>
              <w:right w:val="dotted" w:sz="4" w:space="0" w:color="000000"/>
            </w:tcBorders>
          </w:tcPr>
          <w:p>
            <w:pPr>
              <w:pStyle w:val="TableParagraph"/>
              <w:spacing w:before="39"/>
              <w:ind w:right="1"/>
              <w:jc w:val="center"/>
              <w:rPr>
                <w:sz w:val="16"/>
              </w:rPr>
            </w:pPr>
            <w:r>
              <w:rPr>
                <w:w w:val="86"/>
                <w:sz w:val="16"/>
              </w:rPr>
              <w:t>0</w:t>
            </w:r>
          </w:p>
        </w:tc>
        <w:tc>
          <w:tcPr>
            <w:tcW w:w="935" w:type="dxa"/>
            <w:tcBorders>
              <w:top w:val="dotted" w:sz="4" w:space="0" w:color="000000"/>
              <w:left w:val="dotted" w:sz="4" w:space="0" w:color="000000"/>
              <w:right w:val="dotted" w:sz="4" w:space="0" w:color="000000"/>
            </w:tcBorders>
          </w:tcPr>
          <w:p>
            <w:pPr>
              <w:pStyle w:val="TableParagraph"/>
              <w:spacing w:before="39"/>
              <w:jc w:val="center"/>
              <w:rPr>
                <w:sz w:val="16"/>
              </w:rPr>
            </w:pPr>
            <w:r>
              <w:rPr>
                <w:w w:val="86"/>
                <w:sz w:val="16"/>
              </w:rPr>
              <w:t>2</w:t>
            </w:r>
          </w:p>
        </w:tc>
        <w:tc>
          <w:tcPr>
            <w:tcW w:w="935" w:type="dxa"/>
            <w:tcBorders>
              <w:top w:val="dotted" w:sz="4" w:space="0" w:color="000000"/>
              <w:left w:val="dotted" w:sz="4" w:space="0" w:color="000000"/>
              <w:right w:val="dotted" w:sz="4" w:space="0" w:color="000000"/>
            </w:tcBorders>
          </w:tcPr>
          <w:p>
            <w:pPr>
              <w:pStyle w:val="TableParagraph"/>
              <w:spacing w:before="39"/>
              <w:jc w:val="center"/>
              <w:rPr>
                <w:sz w:val="16"/>
              </w:rPr>
            </w:pPr>
            <w:r>
              <w:rPr>
                <w:w w:val="86"/>
                <w:sz w:val="16"/>
              </w:rPr>
              <w:t>2</w:t>
            </w:r>
          </w:p>
        </w:tc>
        <w:tc>
          <w:tcPr>
            <w:tcW w:w="935" w:type="dxa"/>
            <w:tcBorders>
              <w:top w:val="dotted" w:sz="4" w:space="0" w:color="000000"/>
              <w:left w:val="dotted" w:sz="4" w:space="0" w:color="000000"/>
              <w:right w:val="dotted" w:sz="4" w:space="0" w:color="000000"/>
            </w:tcBorders>
          </w:tcPr>
          <w:p>
            <w:pPr>
              <w:pStyle w:val="TableParagraph"/>
              <w:spacing w:before="39"/>
              <w:jc w:val="center"/>
              <w:rPr>
                <w:sz w:val="16"/>
              </w:rPr>
            </w:pPr>
            <w:r>
              <w:rPr>
                <w:w w:val="86"/>
                <w:sz w:val="16"/>
              </w:rPr>
              <w:t>4</w:t>
            </w:r>
          </w:p>
        </w:tc>
        <w:tc>
          <w:tcPr>
            <w:tcW w:w="935" w:type="dxa"/>
            <w:tcBorders>
              <w:top w:val="dotted" w:sz="4" w:space="0" w:color="000000"/>
              <w:left w:val="dotted" w:sz="4" w:space="0" w:color="000000"/>
              <w:right w:val="nil"/>
            </w:tcBorders>
          </w:tcPr>
          <w:p>
            <w:pPr>
              <w:pStyle w:val="TableParagraph"/>
              <w:spacing w:before="39"/>
              <w:ind w:right="5"/>
              <w:jc w:val="center"/>
              <w:rPr>
                <w:sz w:val="16"/>
              </w:rPr>
            </w:pPr>
            <w:r>
              <w:rPr>
                <w:w w:val="86"/>
                <w:sz w:val="16"/>
              </w:rPr>
              <w:t>1</w:t>
            </w:r>
          </w:p>
        </w:tc>
      </w:tr>
    </w:tbl>
    <w:p>
      <w:pPr>
        <w:spacing w:before="64"/>
        <w:ind w:left="113" w:right="158" w:firstLine="0"/>
        <w:jc w:val="left"/>
        <w:rPr>
          <w:rFonts w:ascii="Arial"/>
          <w:sz w:val="14"/>
        </w:rPr>
      </w:pPr>
      <w:r>
        <w:rPr>
          <w:rFonts w:ascii="Arial"/>
          <w:w w:val="85"/>
          <w:sz w:val="14"/>
        </w:rPr>
        <w:t>Fuente: Datos tomados de CEPAL (2014: 74).</w:t>
      </w:r>
    </w:p>
    <w:p>
      <w:pPr>
        <w:pStyle w:val="BodyText"/>
        <w:spacing w:before="2"/>
        <w:rPr>
          <w:rFonts w:ascii="Arial"/>
          <w:sz w:val="21"/>
        </w:rPr>
      </w:pPr>
    </w:p>
    <w:p>
      <w:pPr>
        <w:pStyle w:val="BodyText"/>
        <w:spacing w:line="252" w:lineRule="auto" w:before="72"/>
        <w:ind w:left="850" w:right="116"/>
        <w:jc w:val="both"/>
      </w:pPr>
      <w:r>
        <w:rPr>
          <w:w w:val="243"/>
        </w:rPr>
        <w:t>l</w:t>
      </w:r>
      <w:r>
        <w:rPr>
          <w:w w:val="109"/>
        </w:rPr>
        <w:t>as</w:t>
      </w:r>
      <w:r>
        <w:rPr>
          <w:spacing w:val="11"/>
        </w:rPr>
        <w:t> </w:t>
      </w:r>
      <w:r>
        <w:rPr>
          <w:w w:val="108"/>
        </w:rPr>
        <w:t>mayores</w:t>
      </w:r>
      <w:r>
        <w:rPr>
          <w:spacing w:val="11"/>
        </w:rPr>
        <w:t> </w:t>
      </w:r>
      <w:r>
        <w:rPr>
          <w:w w:val="111"/>
        </w:rPr>
        <w:t>economías</w:t>
      </w:r>
      <w:r>
        <w:rPr>
          <w:spacing w:val="11"/>
        </w:rPr>
        <w:t> </w:t>
      </w:r>
      <w:r>
        <w:rPr>
          <w:w w:val="109"/>
        </w:rPr>
        <w:t>regionales</w:t>
      </w:r>
      <w:r>
        <w:rPr>
          <w:spacing w:val="11"/>
        </w:rPr>
        <w:t> </w:t>
      </w:r>
      <w:r>
        <w:rPr>
          <w:w w:val="102"/>
        </w:rPr>
        <w:t>–</w:t>
      </w:r>
      <w:r>
        <w:rPr>
          <w:w w:val="134"/>
        </w:rPr>
        <w:t>b</w:t>
      </w:r>
      <w:r>
        <w:rPr>
          <w:w w:val="109"/>
        </w:rPr>
        <w:t>rasil</w:t>
      </w:r>
      <w:r>
        <w:rPr>
          <w:spacing w:val="11"/>
        </w:rPr>
        <w:t> </w:t>
      </w:r>
      <w:r>
        <w:rPr>
          <w:w w:val="105"/>
        </w:rPr>
        <w:t>y</w:t>
      </w:r>
      <w:r>
        <w:rPr>
          <w:spacing w:val="11"/>
        </w:rPr>
        <w:t> </w:t>
      </w:r>
      <w:r>
        <w:rPr>
          <w:w w:val="111"/>
        </w:rPr>
        <w:t>México–</w:t>
      </w:r>
      <w:r>
        <w:rPr>
          <w:spacing w:val="11"/>
        </w:rPr>
        <w:t> </w:t>
      </w:r>
      <w:r>
        <w:rPr>
          <w:w w:val="108"/>
        </w:rPr>
        <w:t>tienen</w:t>
      </w:r>
      <w:r>
        <w:rPr>
          <w:spacing w:val="11"/>
        </w:rPr>
        <w:t> </w:t>
      </w:r>
      <w:r>
        <w:rPr>
          <w:w w:val="112"/>
        </w:rPr>
        <w:t>un</w:t>
      </w:r>
      <w:r>
        <w:rPr>
          <w:spacing w:val="11"/>
        </w:rPr>
        <w:t> </w:t>
      </w:r>
      <w:r>
        <w:rPr>
          <w:w w:val="106"/>
        </w:rPr>
        <w:t>perfil </w:t>
      </w:r>
      <w:r>
        <w:rPr>
          <w:w w:val="115"/>
        </w:rPr>
        <w:t>de</w:t>
      </w:r>
      <w:r>
        <w:rPr>
          <w:spacing w:val="-9"/>
          <w:w w:val="115"/>
        </w:rPr>
        <w:t> </w:t>
      </w:r>
      <w:r>
        <w:rPr>
          <w:w w:val="115"/>
        </w:rPr>
        <w:t>internacionalización</w:t>
      </w:r>
      <w:r>
        <w:rPr>
          <w:spacing w:val="-9"/>
          <w:w w:val="115"/>
        </w:rPr>
        <w:t> </w:t>
      </w:r>
      <w:r>
        <w:rPr>
          <w:w w:val="115"/>
        </w:rPr>
        <w:t>más</w:t>
      </w:r>
      <w:r>
        <w:rPr>
          <w:spacing w:val="-9"/>
          <w:w w:val="115"/>
        </w:rPr>
        <w:t> </w:t>
      </w:r>
      <w:r>
        <w:rPr>
          <w:w w:val="115"/>
        </w:rPr>
        <w:t>diversificado,</w:t>
      </w:r>
      <w:r>
        <w:rPr>
          <w:spacing w:val="-9"/>
          <w:w w:val="115"/>
        </w:rPr>
        <w:t> </w:t>
      </w:r>
      <w:r>
        <w:rPr>
          <w:w w:val="115"/>
        </w:rPr>
        <w:t>donde</w:t>
      </w:r>
      <w:r>
        <w:rPr>
          <w:spacing w:val="-9"/>
          <w:w w:val="115"/>
        </w:rPr>
        <w:t> </w:t>
      </w:r>
      <w:r>
        <w:rPr>
          <w:w w:val="115"/>
        </w:rPr>
        <w:t>américa</w:t>
      </w:r>
      <w:r>
        <w:rPr>
          <w:spacing w:val="-9"/>
          <w:w w:val="115"/>
        </w:rPr>
        <w:t> </w:t>
      </w:r>
      <w:r>
        <w:rPr>
          <w:w w:val="115"/>
        </w:rPr>
        <w:t>del</w:t>
      </w:r>
      <w:r>
        <w:rPr>
          <w:spacing w:val="-9"/>
          <w:w w:val="115"/>
        </w:rPr>
        <w:t> </w:t>
      </w:r>
      <w:r>
        <w:rPr>
          <w:w w:val="115"/>
        </w:rPr>
        <w:t>Norte tiene</w:t>
      </w:r>
      <w:r>
        <w:rPr>
          <w:spacing w:val="-6"/>
          <w:w w:val="115"/>
        </w:rPr>
        <w:t> </w:t>
      </w:r>
      <w:r>
        <w:rPr>
          <w:w w:val="115"/>
        </w:rPr>
        <w:t>una</w:t>
      </w:r>
      <w:r>
        <w:rPr>
          <w:spacing w:val="-6"/>
          <w:w w:val="115"/>
        </w:rPr>
        <w:t> </w:t>
      </w:r>
      <w:r>
        <w:rPr>
          <w:w w:val="115"/>
        </w:rPr>
        <w:t>participación</w:t>
      </w:r>
      <w:r>
        <w:rPr>
          <w:spacing w:val="-6"/>
          <w:w w:val="115"/>
        </w:rPr>
        <w:t> </w:t>
      </w:r>
      <w:r>
        <w:rPr>
          <w:w w:val="115"/>
        </w:rPr>
        <w:t>muy</w:t>
      </w:r>
      <w:r>
        <w:rPr>
          <w:spacing w:val="-6"/>
          <w:w w:val="115"/>
        </w:rPr>
        <w:t> </w:t>
      </w:r>
      <w:r>
        <w:rPr>
          <w:w w:val="115"/>
        </w:rPr>
        <w:t>importante,</w:t>
      </w:r>
      <w:r>
        <w:rPr>
          <w:spacing w:val="-6"/>
          <w:w w:val="115"/>
        </w:rPr>
        <w:t> </w:t>
      </w:r>
      <w:r>
        <w:rPr>
          <w:w w:val="115"/>
        </w:rPr>
        <w:t>como</w:t>
      </w:r>
      <w:r>
        <w:rPr>
          <w:spacing w:val="-6"/>
          <w:w w:val="115"/>
        </w:rPr>
        <w:t> </w:t>
      </w:r>
      <w:r>
        <w:rPr>
          <w:w w:val="115"/>
        </w:rPr>
        <w:t>resultado</w:t>
      </w:r>
      <w:r>
        <w:rPr>
          <w:spacing w:val="-6"/>
          <w:w w:val="115"/>
        </w:rPr>
        <w:t> </w:t>
      </w:r>
      <w:r>
        <w:rPr>
          <w:w w:val="115"/>
        </w:rPr>
        <w:t>de</w:t>
      </w:r>
      <w:r>
        <w:rPr>
          <w:spacing w:val="-6"/>
          <w:w w:val="115"/>
        </w:rPr>
        <w:t> </w:t>
      </w:r>
      <w:r>
        <w:rPr>
          <w:w w:val="115"/>
        </w:rPr>
        <w:t>la</w:t>
      </w:r>
      <w:r>
        <w:rPr>
          <w:spacing w:val="-6"/>
          <w:w w:val="115"/>
        </w:rPr>
        <w:t> </w:t>
      </w:r>
      <w:r>
        <w:rPr>
          <w:w w:val="115"/>
        </w:rPr>
        <w:t>com- pra de empresas en Estados unidos y Canadá (CEPal, 2014: 78)</w:t>
      </w:r>
      <w:r>
        <w:rPr>
          <w:w w:val="115"/>
          <w:position w:val="6"/>
          <w:sz w:val="11"/>
        </w:rPr>
        <w:t>34</w:t>
      </w:r>
      <w:r>
        <w:rPr>
          <w:w w:val="115"/>
        </w:rPr>
        <w:t>. </w:t>
      </w:r>
      <w:r>
        <w:rPr>
          <w:w w:val="243"/>
        </w:rPr>
        <w:t>l</w:t>
      </w:r>
      <w:r>
        <w:rPr>
          <w:w w:val="109"/>
        </w:rPr>
        <w:t>as</w:t>
      </w:r>
      <w:r>
        <w:rPr>
          <w:spacing w:val="18"/>
        </w:rPr>
        <w:t> </w:t>
      </w:r>
      <w:r>
        <w:rPr>
          <w:w w:val="108"/>
        </w:rPr>
        <w:t>grandes</w:t>
      </w:r>
      <w:r>
        <w:rPr>
          <w:spacing w:val="18"/>
        </w:rPr>
        <w:t> </w:t>
      </w:r>
      <w:r>
        <w:rPr>
          <w:w w:val="108"/>
        </w:rPr>
        <w:t>empresas</w:t>
      </w:r>
      <w:r>
        <w:rPr>
          <w:spacing w:val="18"/>
        </w:rPr>
        <w:t> </w:t>
      </w:r>
      <w:r>
        <w:rPr>
          <w:w w:val="107"/>
        </w:rPr>
        <w:t>de</w:t>
      </w:r>
      <w:r>
        <w:rPr>
          <w:spacing w:val="18"/>
        </w:rPr>
        <w:t> </w:t>
      </w:r>
      <w:r>
        <w:rPr>
          <w:w w:val="111"/>
        </w:rPr>
        <w:t>la</w:t>
      </w:r>
      <w:r>
        <w:rPr>
          <w:spacing w:val="18"/>
        </w:rPr>
        <w:t> </w:t>
      </w:r>
      <w:r>
        <w:rPr>
          <w:w w:val="109"/>
        </w:rPr>
        <w:t>región</w:t>
      </w:r>
      <w:r>
        <w:rPr>
          <w:spacing w:val="18"/>
        </w:rPr>
        <w:t> </w:t>
      </w:r>
      <w:r>
        <w:rPr>
          <w:w w:val="112"/>
        </w:rPr>
        <w:t>han</w:t>
      </w:r>
      <w:r>
        <w:rPr>
          <w:spacing w:val="18"/>
        </w:rPr>
        <w:t> </w:t>
      </w:r>
      <w:r>
        <w:rPr>
          <w:w w:val="110"/>
        </w:rPr>
        <w:t>gozado</w:t>
      </w:r>
      <w:r>
        <w:rPr>
          <w:spacing w:val="18"/>
        </w:rPr>
        <w:t> </w:t>
      </w:r>
      <w:r>
        <w:rPr>
          <w:w w:val="107"/>
        </w:rPr>
        <w:t>de</w:t>
      </w:r>
      <w:r>
        <w:rPr>
          <w:spacing w:val="18"/>
        </w:rPr>
        <w:t> </w:t>
      </w:r>
      <w:r>
        <w:rPr>
          <w:w w:val="108"/>
        </w:rPr>
        <w:t>mejores</w:t>
      </w:r>
      <w:r>
        <w:rPr>
          <w:spacing w:val="18"/>
        </w:rPr>
        <w:t> </w:t>
      </w:r>
      <w:r>
        <w:rPr>
          <w:w w:val="112"/>
        </w:rPr>
        <w:t>capacid</w:t>
      </w:r>
      <w:r>
        <w:rPr>
          <w:spacing w:val="1"/>
          <w:w w:val="112"/>
        </w:rPr>
        <w:t>a</w:t>
      </w:r>
      <w:r>
        <w:rPr>
          <w:w w:val="102"/>
        </w:rPr>
        <w:t>- </w:t>
      </w:r>
      <w:r>
        <w:rPr>
          <w:w w:val="115"/>
        </w:rPr>
        <w:t>des</w:t>
      </w:r>
      <w:r>
        <w:rPr>
          <w:spacing w:val="-22"/>
          <w:w w:val="115"/>
        </w:rPr>
        <w:t> </w:t>
      </w:r>
      <w:r>
        <w:rPr>
          <w:w w:val="115"/>
        </w:rPr>
        <w:t>para</w:t>
      </w:r>
      <w:r>
        <w:rPr>
          <w:spacing w:val="-22"/>
          <w:w w:val="115"/>
        </w:rPr>
        <w:t> </w:t>
      </w:r>
      <w:r>
        <w:rPr>
          <w:w w:val="115"/>
        </w:rPr>
        <w:t>acudir</w:t>
      </w:r>
      <w:r>
        <w:rPr>
          <w:spacing w:val="-22"/>
          <w:w w:val="115"/>
        </w:rPr>
        <w:t> </w:t>
      </w:r>
      <w:r>
        <w:rPr>
          <w:w w:val="115"/>
        </w:rPr>
        <w:t>a</w:t>
      </w:r>
      <w:r>
        <w:rPr>
          <w:spacing w:val="-22"/>
          <w:w w:val="115"/>
        </w:rPr>
        <w:t> </w:t>
      </w:r>
      <w:r>
        <w:rPr>
          <w:w w:val="115"/>
        </w:rPr>
        <w:t>los</w:t>
      </w:r>
      <w:r>
        <w:rPr>
          <w:spacing w:val="-22"/>
          <w:w w:val="115"/>
        </w:rPr>
        <w:t> </w:t>
      </w:r>
      <w:r>
        <w:rPr>
          <w:w w:val="115"/>
        </w:rPr>
        <w:t>mercados</w:t>
      </w:r>
      <w:r>
        <w:rPr>
          <w:spacing w:val="-22"/>
          <w:w w:val="115"/>
        </w:rPr>
        <w:t> </w:t>
      </w:r>
      <w:r>
        <w:rPr>
          <w:w w:val="115"/>
        </w:rPr>
        <w:t>financieros</w:t>
      </w:r>
      <w:r>
        <w:rPr>
          <w:spacing w:val="-22"/>
          <w:w w:val="115"/>
        </w:rPr>
        <w:t> </w:t>
      </w:r>
      <w:r>
        <w:rPr>
          <w:w w:val="115"/>
        </w:rPr>
        <w:t>internacionales</w:t>
      </w:r>
      <w:r>
        <w:rPr>
          <w:spacing w:val="-22"/>
          <w:w w:val="115"/>
        </w:rPr>
        <w:t> </w:t>
      </w:r>
      <w:r>
        <w:rPr>
          <w:w w:val="115"/>
        </w:rPr>
        <w:t>(ejemplo: 6</w:t>
      </w:r>
      <w:r>
        <w:rPr>
          <w:spacing w:val="-18"/>
          <w:w w:val="115"/>
        </w:rPr>
        <w:t> </w:t>
      </w:r>
      <w:r>
        <w:rPr>
          <w:w w:val="115"/>
        </w:rPr>
        <w:t>de</w:t>
      </w:r>
      <w:r>
        <w:rPr>
          <w:spacing w:val="-18"/>
          <w:w w:val="115"/>
        </w:rPr>
        <w:t> </w:t>
      </w:r>
      <w:r>
        <w:rPr>
          <w:w w:val="115"/>
        </w:rPr>
        <w:t>las</w:t>
      </w:r>
      <w:r>
        <w:rPr>
          <w:spacing w:val="-18"/>
          <w:w w:val="115"/>
        </w:rPr>
        <w:t> </w:t>
      </w:r>
      <w:r>
        <w:rPr>
          <w:w w:val="115"/>
        </w:rPr>
        <w:t>20</w:t>
      </w:r>
      <w:r>
        <w:rPr>
          <w:spacing w:val="-18"/>
          <w:w w:val="115"/>
        </w:rPr>
        <w:t> </w:t>
      </w:r>
      <w:r>
        <w:rPr>
          <w:w w:val="115"/>
        </w:rPr>
        <w:t>mayores</w:t>
      </w:r>
      <w:r>
        <w:rPr>
          <w:spacing w:val="-18"/>
          <w:w w:val="115"/>
        </w:rPr>
        <w:t> </w:t>
      </w:r>
      <w:r>
        <w:rPr>
          <w:w w:val="115"/>
        </w:rPr>
        <w:t>empresas</w:t>
      </w:r>
      <w:r>
        <w:rPr>
          <w:spacing w:val="-18"/>
          <w:w w:val="115"/>
        </w:rPr>
        <w:t> </w:t>
      </w:r>
      <w:r>
        <w:rPr>
          <w:w w:val="115"/>
        </w:rPr>
        <w:t>translatinas</w:t>
      </w:r>
      <w:r>
        <w:rPr>
          <w:spacing w:val="-18"/>
          <w:w w:val="115"/>
        </w:rPr>
        <w:t> </w:t>
      </w:r>
      <w:r>
        <w:rPr>
          <w:w w:val="115"/>
        </w:rPr>
        <w:t>chilenas</w:t>
      </w:r>
      <w:r>
        <w:rPr>
          <w:spacing w:val="-18"/>
          <w:w w:val="115"/>
        </w:rPr>
        <w:t> </w:t>
      </w:r>
      <w:r>
        <w:rPr>
          <w:w w:val="115"/>
        </w:rPr>
        <w:t>cotizan</w:t>
      </w:r>
      <w:r>
        <w:rPr>
          <w:spacing w:val="-18"/>
          <w:w w:val="115"/>
        </w:rPr>
        <w:t> </w:t>
      </w:r>
      <w:r>
        <w:rPr>
          <w:w w:val="115"/>
        </w:rPr>
        <w:t>en</w:t>
      </w:r>
      <w:r>
        <w:rPr>
          <w:spacing w:val="-18"/>
          <w:w w:val="115"/>
        </w:rPr>
        <w:t> </w:t>
      </w:r>
      <w:r>
        <w:rPr>
          <w:w w:val="115"/>
        </w:rPr>
        <w:t>la</w:t>
      </w:r>
      <w:r>
        <w:rPr>
          <w:spacing w:val="-18"/>
          <w:w w:val="115"/>
        </w:rPr>
        <w:t> </w:t>
      </w:r>
      <w:r>
        <w:rPr>
          <w:w w:val="115"/>
        </w:rPr>
        <w:t>bol- sa</w:t>
      </w:r>
      <w:r>
        <w:rPr>
          <w:spacing w:val="-24"/>
          <w:w w:val="115"/>
        </w:rPr>
        <w:t> </w:t>
      </w:r>
      <w:r>
        <w:rPr>
          <w:w w:val="115"/>
        </w:rPr>
        <w:t>de</w:t>
      </w:r>
      <w:r>
        <w:rPr>
          <w:spacing w:val="-24"/>
          <w:w w:val="115"/>
        </w:rPr>
        <w:t> </w:t>
      </w:r>
      <w:r>
        <w:rPr>
          <w:w w:val="115"/>
        </w:rPr>
        <w:t>New</w:t>
      </w:r>
      <w:r>
        <w:rPr>
          <w:spacing w:val="-24"/>
          <w:w w:val="115"/>
        </w:rPr>
        <w:t> </w:t>
      </w:r>
      <w:r>
        <w:rPr>
          <w:spacing w:val="-3"/>
          <w:w w:val="115"/>
        </w:rPr>
        <w:t>York).</w:t>
      </w:r>
      <w:r>
        <w:rPr>
          <w:spacing w:val="-24"/>
          <w:w w:val="115"/>
        </w:rPr>
        <w:t> </w:t>
      </w:r>
      <w:r>
        <w:rPr>
          <w:w w:val="115"/>
        </w:rPr>
        <w:t>En</w:t>
      </w:r>
      <w:r>
        <w:rPr>
          <w:spacing w:val="-24"/>
          <w:w w:val="115"/>
        </w:rPr>
        <w:t> </w:t>
      </w:r>
      <w:r>
        <w:rPr>
          <w:w w:val="115"/>
        </w:rPr>
        <w:t>1999,</w:t>
      </w:r>
      <w:r>
        <w:rPr>
          <w:spacing w:val="-24"/>
          <w:w w:val="115"/>
        </w:rPr>
        <w:t> </w:t>
      </w:r>
      <w:r>
        <w:rPr>
          <w:w w:val="115"/>
        </w:rPr>
        <w:t>las</w:t>
      </w:r>
      <w:r>
        <w:rPr>
          <w:spacing w:val="-24"/>
          <w:w w:val="115"/>
        </w:rPr>
        <w:t> </w:t>
      </w:r>
      <w:r>
        <w:rPr>
          <w:w w:val="115"/>
        </w:rPr>
        <w:t>empresas</w:t>
      </w:r>
      <w:r>
        <w:rPr>
          <w:spacing w:val="-24"/>
          <w:w w:val="115"/>
        </w:rPr>
        <w:t> </w:t>
      </w:r>
      <w:r>
        <w:rPr>
          <w:w w:val="115"/>
        </w:rPr>
        <w:t>privadas</w:t>
      </w:r>
      <w:r>
        <w:rPr>
          <w:spacing w:val="-24"/>
          <w:w w:val="115"/>
        </w:rPr>
        <w:t> </w:t>
      </w:r>
      <w:r>
        <w:rPr>
          <w:w w:val="115"/>
        </w:rPr>
        <w:t>locales</w:t>
      </w:r>
      <w:r>
        <w:rPr>
          <w:spacing w:val="-24"/>
          <w:w w:val="115"/>
        </w:rPr>
        <w:t> </w:t>
      </w:r>
      <w:r>
        <w:rPr>
          <w:w w:val="115"/>
        </w:rPr>
        <w:t>incluidas</w:t>
      </w:r>
      <w:r>
        <w:rPr>
          <w:spacing w:val="-24"/>
          <w:w w:val="115"/>
        </w:rPr>
        <w:t> </w:t>
      </w:r>
      <w:r>
        <w:rPr>
          <w:w w:val="115"/>
        </w:rPr>
        <w:t>en- </w:t>
      </w:r>
      <w:r>
        <w:rPr>
          <w:w w:val="105"/>
        </w:rPr>
        <w:t>tre</w:t>
      </w:r>
      <w:r>
        <w:rPr>
          <w:spacing w:val="13"/>
        </w:rPr>
        <w:t> </w:t>
      </w:r>
      <w:r>
        <w:rPr>
          <w:w w:val="109"/>
        </w:rPr>
        <w:t>las</w:t>
      </w:r>
      <w:r>
        <w:rPr>
          <w:spacing w:val="13"/>
        </w:rPr>
        <w:t> </w:t>
      </w:r>
      <w:r>
        <w:rPr>
          <w:w w:val="109"/>
        </w:rPr>
        <w:t>primeras</w:t>
      </w:r>
      <w:r>
        <w:rPr>
          <w:spacing w:val="13"/>
        </w:rPr>
        <w:t> </w:t>
      </w:r>
      <w:r>
        <w:rPr>
          <w:w w:val="102"/>
        </w:rPr>
        <w:t>100</w:t>
      </w:r>
      <w:r>
        <w:rPr>
          <w:spacing w:val="13"/>
        </w:rPr>
        <w:t> </w:t>
      </w:r>
      <w:r>
        <w:rPr>
          <w:w w:val="108"/>
        </w:rPr>
        <w:t>empresas</w:t>
      </w:r>
      <w:r>
        <w:rPr>
          <w:spacing w:val="13"/>
        </w:rPr>
        <w:t> </w:t>
      </w:r>
      <w:r>
        <w:rPr>
          <w:w w:val="107"/>
        </w:rPr>
        <w:t>de</w:t>
      </w:r>
      <w:r>
        <w:rPr>
          <w:spacing w:val="13"/>
        </w:rPr>
        <w:t> </w:t>
      </w:r>
      <w:r>
        <w:rPr>
          <w:w w:val="139"/>
        </w:rPr>
        <w:t>a</w:t>
      </w:r>
      <w:r>
        <w:rPr>
          <w:w w:val="111"/>
        </w:rPr>
        <w:t>mérica</w:t>
      </w:r>
      <w:r>
        <w:rPr>
          <w:spacing w:val="13"/>
        </w:rPr>
        <w:t> </w:t>
      </w:r>
      <w:r>
        <w:rPr>
          <w:w w:val="243"/>
        </w:rPr>
        <w:t>l</w:t>
      </w:r>
      <w:r>
        <w:rPr>
          <w:w w:val="111"/>
        </w:rPr>
        <w:t>atina</w:t>
      </w:r>
      <w:r>
        <w:rPr>
          <w:spacing w:val="13"/>
        </w:rPr>
        <w:t> </w:t>
      </w:r>
      <w:r>
        <w:rPr>
          <w:w w:val="112"/>
        </w:rPr>
        <w:t>con</w:t>
      </w:r>
      <w:r>
        <w:rPr>
          <w:spacing w:val="13"/>
        </w:rPr>
        <w:t> </w:t>
      </w:r>
      <w:r>
        <w:rPr>
          <w:w w:val="109"/>
        </w:rPr>
        <w:t>operaciones</w:t>
      </w:r>
      <w:r>
        <w:rPr>
          <w:spacing w:val="13"/>
        </w:rPr>
        <w:t> </w:t>
      </w:r>
      <w:r>
        <w:rPr>
          <w:w w:val="108"/>
        </w:rPr>
        <w:t>en </w:t>
      </w:r>
      <w:r>
        <w:rPr>
          <w:w w:val="115"/>
        </w:rPr>
        <w:t>el</w:t>
      </w:r>
      <w:r>
        <w:rPr>
          <w:spacing w:val="-16"/>
          <w:w w:val="115"/>
        </w:rPr>
        <w:t> </w:t>
      </w:r>
      <w:r>
        <w:rPr>
          <w:w w:val="115"/>
        </w:rPr>
        <w:t>exterior</w:t>
      </w:r>
      <w:r>
        <w:rPr>
          <w:spacing w:val="-16"/>
          <w:w w:val="115"/>
        </w:rPr>
        <w:t> </w:t>
      </w:r>
      <w:r>
        <w:rPr>
          <w:w w:val="115"/>
        </w:rPr>
        <w:t>eran</w:t>
      </w:r>
      <w:r>
        <w:rPr>
          <w:spacing w:val="-16"/>
          <w:w w:val="115"/>
        </w:rPr>
        <w:t> </w:t>
      </w:r>
      <w:r>
        <w:rPr>
          <w:w w:val="115"/>
        </w:rPr>
        <w:t>40,</w:t>
      </w:r>
      <w:r>
        <w:rPr>
          <w:spacing w:val="-16"/>
          <w:w w:val="115"/>
        </w:rPr>
        <w:t> </w:t>
      </w:r>
      <w:r>
        <w:rPr>
          <w:w w:val="115"/>
        </w:rPr>
        <w:t>y</w:t>
      </w:r>
      <w:r>
        <w:rPr>
          <w:spacing w:val="-16"/>
          <w:w w:val="115"/>
        </w:rPr>
        <w:t> </w:t>
      </w:r>
      <w:r>
        <w:rPr>
          <w:w w:val="115"/>
        </w:rPr>
        <w:t>en</w:t>
      </w:r>
      <w:r>
        <w:rPr>
          <w:spacing w:val="-16"/>
          <w:w w:val="115"/>
        </w:rPr>
        <w:t> </w:t>
      </w:r>
      <w:r>
        <w:rPr>
          <w:w w:val="115"/>
        </w:rPr>
        <w:t>2012</w:t>
      </w:r>
      <w:r>
        <w:rPr>
          <w:spacing w:val="-16"/>
          <w:w w:val="115"/>
        </w:rPr>
        <w:t> </w:t>
      </w:r>
      <w:r>
        <w:rPr>
          <w:w w:val="115"/>
        </w:rPr>
        <w:t>estas</w:t>
      </w:r>
      <w:r>
        <w:rPr>
          <w:spacing w:val="-16"/>
          <w:w w:val="115"/>
        </w:rPr>
        <w:t> </w:t>
      </w:r>
      <w:r>
        <w:rPr>
          <w:w w:val="115"/>
        </w:rPr>
        <w:t>habían</w:t>
      </w:r>
      <w:r>
        <w:rPr>
          <w:spacing w:val="-16"/>
          <w:w w:val="115"/>
        </w:rPr>
        <w:t> </w:t>
      </w:r>
      <w:r>
        <w:rPr>
          <w:w w:val="115"/>
        </w:rPr>
        <w:t>pasado</w:t>
      </w:r>
      <w:r>
        <w:rPr>
          <w:spacing w:val="-16"/>
          <w:w w:val="115"/>
        </w:rPr>
        <w:t> </w:t>
      </w:r>
      <w:r>
        <w:rPr>
          <w:w w:val="115"/>
        </w:rPr>
        <w:t>a</w:t>
      </w:r>
      <w:r>
        <w:rPr>
          <w:spacing w:val="-16"/>
          <w:w w:val="115"/>
        </w:rPr>
        <w:t> </w:t>
      </w:r>
      <w:r>
        <w:rPr>
          <w:w w:val="115"/>
        </w:rPr>
        <w:t>57</w:t>
      </w:r>
      <w:r>
        <w:rPr>
          <w:spacing w:val="-16"/>
          <w:w w:val="115"/>
        </w:rPr>
        <w:t> </w:t>
      </w:r>
      <w:r>
        <w:rPr>
          <w:w w:val="115"/>
        </w:rPr>
        <w:t>(CEPal,</w:t>
      </w:r>
      <w:r>
        <w:rPr>
          <w:spacing w:val="-16"/>
          <w:w w:val="115"/>
        </w:rPr>
        <w:t> </w:t>
      </w:r>
      <w:r>
        <w:rPr>
          <w:w w:val="115"/>
        </w:rPr>
        <w:t>2014: 106). asimismo, la emisión de bonos corporativos en el exterior ha aumentado</w:t>
      </w:r>
      <w:r>
        <w:rPr>
          <w:spacing w:val="-22"/>
          <w:w w:val="115"/>
        </w:rPr>
        <w:t> </w:t>
      </w:r>
      <w:r>
        <w:rPr>
          <w:w w:val="115"/>
        </w:rPr>
        <w:t>notablemente</w:t>
      </w:r>
      <w:r>
        <w:rPr>
          <w:spacing w:val="-22"/>
          <w:w w:val="115"/>
        </w:rPr>
        <w:t> </w:t>
      </w:r>
      <w:r>
        <w:rPr>
          <w:w w:val="115"/>
        </w:rPr>
        <w:t>en</w:t>
      </w:r>
      <w:r>
        <w:rPr>
          <w:spacing w:val="-22"/>
          <w:w w:val="115"/>
        </w:rPr>
        <w:t> </w:t>
      </w:r>
      <w:r>
        <w:rPr>
          <w:w w:val="115"/>
        </w:rPr>
        <w:t>los</w:t>
      </w:r>
      <w:r>
        <w:rPr>
          <w:spacing w:val="-22"/>
          <w:w w:val="115"/>
        </w:rPr>
        <w:t> </w:t>
      </w:r>
      <w:r>
        <w:rPr>
          <w:w w:val="115"/>
        </w:rPr>
        <w:t>últimos</w:t>
      </w:r>
      <w:r>
        <w:rPr>
          <w:spacing w:val="-22"/>
          <w:w w:val="115"/>
        </w:rPr>
        <w:t> </w:t>
      </w:r>
      <w:r>
        <w:rPr>
          <w:w w:val="115"/>
        </w:rPr>
        <w:t>años,</w:t>
      </w:r>
      <w:r>
        <w:rPr>
          <w:spacing w:val="-22"/>
          <w:w w:val="115"/>
        </w:rPr>
        <w:t> </w:t>
      </w:r>
      <w:r>
        <w:rPr>
          <w:w w:val="115"/>
        </w:rPr>
        <w:t>pasando</w:t>
      </w:r>
      <w:r>
        <w:rPr>
          <w:spacing w:val="-22"/>
          <w:w w:val="115"/>
        </w:rPr>
        <w:t> </w:t>
      </w:r>
      <w:r>
        <w:rPr>
          <w:w w:val="115"/>
        </w:rPr>
        <w:t>de</w:t>
      </w:r>
      <w:r>
        <w:rPr>
          <w:spacing w:val="-22"/>
          <w:w w:val="115"/>
        </w:rPr>
        <w:t> </w:t>
      </w:r>
      <w:r>
        <w:rPr>
          <w:w w:val="115"/>
        </w:rPr>
        <w:t>una</w:t>
      </w:r>
      <w:r>
        <w:rPr>
          <w:spacing w:val="-22"/>
          <w:w w:val="115"/>
        </w:rPr>
        <w:t> </w:t>
      </w:r>
      <w:r>
        <w:rPr>
          <w:w w:val="115"/>
        </w:rPr>
        <w:t>media anual</w:t>
      </w:r>
      <w:r>
        <w:rPr>
          <w:spacing w:val="-6"/>
          <w:w w:val="115"/>
        </w:rPr>
        <w:t> </w:t>
      </w:r>
      <w:r>
        <w:rPr>
          <w:w w:val="115"/>
        </w:rPr>
        <w:t>de</w:t>
      </w:r>
      <w:r>
        <w:rPr>
          <w:spacing w:val="-6"/>
          <w:w w:val="115"/>
        </w:rPr>
        <w:t> </w:t>
      </w:r>
      <w:r>
        <w:rPr>
          <w:w w:val="115"/>
        </w:rPr>
        <w:t>12</w:t>
      </w:r>
      <w:r>
        <w:rPr>
          <w:spacing w:val="-6"/>
          <w:w w:val="115"/>
        </w:rPr>
        <w:t> </w:t>
      </w:r>
      <w:r>
        <w:rPr>
          <w:w w:val="115"/>
        </w:rPr>
        <w:t>mil</w:t>
      </w:r>
      <w:r>
        <w:rPr>
          <w:spacing w:val="-6"/>
          <w:w w:val="115"/>
        </w:rPr>
        <w:t> </w:t>
      </w:r>
      <w:r>
        <w:rPr>
          <w:w w:val="115"/>
        </w:rPr>
        <w:t>millones</w:t>
      </w:r>
      <w:r>
        <w:rPr>
          <w:spacing w:val="-6"/>
          <w:w w:val="115"/>
        </w:rPr>
        <w:t> </w:t>
      </w:r>
      <w:r>
        <w:rPr>
          <w:w w:val="115"/>
        </w:rPr>
        <w:t>de</w:t>
      </w:r>
      <w:r>
        <w:rPr>
          <w:spacing w:val="-6"/>
          <w:w w:val="115"/>
        </w:rPr>
        <w:t> </w:t>
      </w:r>
      <w:r>
        <w:rPr>
          <w:w w:val="115"/>
        </w:rPr>
        <w:t>dólares</w:t>
      </w:r>
      <w:r>
        <w:rPr>
          <w:spacing w:val="-6"/>
          <w:w w:val="115"/>
        </w:rPr>
        <w:t> </w:t>
      </w:r>
      <w:r>
        <w:rPr>
          <w:w w:val="115"/>
        </w:rPr>
        <w:t>antes</w:t>
      </w:r>
      <w:r>
        <w:rPr>
          <w:spacing w:val="-6"/>
          <w:w w:val="115"/>
        </w:rPr>
        <w:t> </w:t>
      </w:r>
      <w:r>
        <w:rPr>
          <w:w w:val="115"/>
        </w:rPr>
        <w:t>de</w:t>
      </w:r>
      <w:r>
        <w:rPr>
          <w:spacing w:val="-6"/>
          <w:w w:val="115"/>
        </w:rPr>
        <w:t> </w:t>
      </w:r>
      <w:r>
        <w:rPr>
          <w:w w:val="115"/>
        </w:rPr>
        <w:t>la</w:t>
      </w:r>
      <w:r>
        <w:rPr>
          <w:spacing w:val="-6"/>
          <w:w w:val="115"/>
        </w:rPr>
        <w:t> </w:t>
      </w:r>
      <w:r>
        <w:rPr>
          <w:w w:val="115"/>
        </w:rPr>
        <w:t>crisis</w:t>
      </w:r>
      <w:r>
        <w:rPr>
          <w:spacing w:val="-6"/>
          <w:w w:val="115"/>
        </w:rPr>
        <w:t> </w:t>
      </w:r>
      <w:r>
        <w:rPr>
          <w:w w:val="115"/>
        </w:rPr>
        <w:t>a</w:t>
      </w:r>
      <w:r>
        <w:rPr>
          <w:spacing w:val="-6"/>
          <w:w w:val="115"/>
        </w:rPr>
        <w:t> </w:t>
      </w:r>
      <w:r>
        <w:rPr>
          <w:w w:val="115"/>
        </w:rPr>
        <w:t>alrededor</w:t>
      </w:r>
      <w:r>
        <w:rPr>
          <w:spacing w:val="-6"/>
          <w:w w:val="115"/>
        </w:rPr>
        <w:t> </w:t>
      </w:r>
      <w:r>
        <w:rPr>
          <w:w w:val="115"/>
        </w:rPr>
        <w:t>de 50</w:t>
      </w:r>
      <w:r>
        <w:rPr>
          <w:spacing w:val="-15"/>
          <w:w w:val="115"/>
        </w:rPr>
        <w:t> </w:t>
      </w:r>
      <w:r>
        <w:rPr>
          <w:w w:val="115"/>
        </w:rPr>
        <w:t>mil</w:t>
      </w:r>
      <w:r>
        <w:rPr>
          <w:spacing w:val="-15"/>
          <w:w w:val="115"/>
        </w:rPr>
        <w:t> </w:t>
      </w:r>
      <w:r>
        <w:rPr>
          <w:w w:val="115"/>
        </w:rPr>
        <w:t>millones</w:t>
      </w:r>
      <w:r>
        <w:rPr>
          <w:spacing w:val="-15"/>
          <w:w w:val="115"/>
        </w:rPr>
        <w:t> </w:t>
      </w:r>
      <w:r>
        <w:rPr>
          <w:w w:val="115"/>
        </w:rPr>
        <w:t>de</w:t>
      </w:r>
      <w:r>
        <w:rPr>
          <w:spacing w:val="-15"/>
          <w:w w:val="115"/>
        </w:rPr>
        <w:t> </w:t>
      </w:r>
      <w:r>
        <w:rPr>
          <w:w w:val="115"/>
        </w:rPr>
        <w:t>dólares</w:t>
      </w:r>
      <w:r>
        <w:rPr>
          <w:spacing w:val="-15"/>
          <w:w w:val="115"/>
        </w:rPr>
        <w:t> </w:t>
      </w:r>
      <w:r>
        <w:rPr>
          <w:w w:val="115"/>
        </w:rPr>
        <w:t>en</w:t>
      </w:r>
      <w:r>
        <w:rPr>
          <w:spacing w:val="-15"/>
          <w:w w:val="115"/>
        </w:rPr>
        <w:t> </w:t>
      </w:r>
      <w:r>
        <w:rPr>
          <w:w w:val="115"/>
        </w:rPr>
        <w:t>2012</w:t>
      </w:r>
      <w:r>
        <w:rPr>
          <w:spacing w:val="-15"/>
          <w:w w:val="115"/>
        </w:rPr>
        <w:t> </w:t>
      </w:r>
      <w:r>
        <w:rPr>
          <w:w w:val="115"/>
        </w:rPr>
        <w:t>y</w:t>
      </w:r>
      <w:r>
        <w:rPr>
          <w:spacing w:val="-15"/>
          <w:w w:val="115"/>
        </w:rPr>
        <w:t> </w:t>
      </w:r>
      <w:r>
        <w:rPr>
          <w:w w:val="115"/>
        </w:rPr>
        <w:t>2013</w:t>
      </w:r>
      <w:r>
        <w:rPr>
          <w:w w:val="115"/>
          <w:position w:val="6"/>
          <w:sz w:val="11"/>
        </w:rPr>
        <w:t>35</w:t>
      </w:r>
      <w:r>
        <w:rPr>
          <w:spacing w:val="5"/>
          <w:w w:val="115"/>
          <w:position w:val="6"/>
          <w:sz w:val="11"/>
        </w:rPr>
        <w:t> </w:t>
      </w:r>
      <w:r>
        <w:rPr>
          <w:w w:val="115"/>
        </w:rPr>
        <w:t>(CEPal,</w:t>
      </w:r>
      <w:r>
        <w:rPr>
          <w:spacing w:val="-15"/>
          <w:w w:val="115"/>
        </w:rPr>
        <w:t> </w:t>
      </w:r>
      <w:r>
        <w:rPr>
          <w:w w:val="115"/>
        </w:rPr>
        <w:t>2014:</w:t>
      </w:r>
      <w:r>
        <w:rPr>
          <w:spacing w:val="-15"/>
          <w:w w:val="115"/>
        </w:rPr>
        <w:t> </w:t>
      </w:r>
      <w:r>
        <w:rPr>
          <w:w w:val="115"/>
        </w:rPr>
        <w:t>84).</w:t>
      </w:r>
    </w:p>
    <w:p>
      <w:pPr>
        <w:pStyle w:val="BodyText"/>
        <w:rPr>
          <w:sz w:val="20"/>
        </w:rPr>
      </w:pPr>
    </w:p>
    <w:p>
      <w:pPr>
        <w:pStyle w:val="BodyText"/>
        <w:spacing w:before="5"/>
        <w:rPr>
          <w:sz w:val="20"/>
        </w:rPr>
      </w:pPr>
      <w:r>
        <w:rPr/>
        <w:pict>
          <v:line style="position:absolute;mso-position-horizontal-relative:page;mso-position-vertical-relative:paragraph;z-index:9640;mso-wrap-distance-left:0;mso-wrap-distance-right:0" from="76.5354pt,14.1773pt" to="104.8814pt,14.1773pt" stroked="true" strokeweight=".5pt" strokecolor="#000000">
            <w10:wrap type="topAndBottom"/>
          </v:line>
        </w:pict>
      </w:r>
    </w:p>
    <w:p>
      <w:pPr>
        <w:spacing w:line="242" w:lineRule="auto" w:before="89"/>
        <w:ind w:left="850" w:right="118" w:firstLine="0"/>
        <w:jc w:val="both"/>
        <w:rPr>
          <w:sz w:val="16"/>
        </w:rPr>
      </w:pPr>
      <w:r>
        <w:rPr>
          <w:w w:val="115"/>
          <w:sz w:val="16"/>
        </w:rPr>
        <w:t>s.a. (28º, brasil), odebrecht Group (29º, brasil), Cencosud (48º, Chile), Fomento Económico</w:t>
      </w:r>
      <w:r>
        <w:rPr>
          <w:spacing w:val="-12"/>
          <w:w w:val="115"/>
          <w:sz w:val="16"/>
        </w:rPr>
        <w:t> </w:t>
      </w:r>
      <w:r>
        <w:rPr>
          <w:w w:val="115"/>
          <w:sz w:val="16"/>
        </w:rPr>
        <w:t>Mexicano</w:t>
      </w:r>
      <w:r>
        <w:rPr>
          <w:spacing w:val="-12"/>
          <w:w w:val="115"/>
          <w:sz w:val="16"/>
        </w:rPr>
        <w:t> </w:t>
      </w:r>
      <w:r>
        <w:rPr>
          <w:w w:val="115"/>
          <w:sz w:val="16"/>
        </w:rPr>
        <w:t>sab</w:t>
      </w:r>
      <w:r>
        <w:rPr>
          <w:spacing w:val="-12"/>
          <w:w w:val="115"/>
          <w:sz w:val="16"/>
        </w:rPr>
        <w:t> </w:t>
      </w:r>
      <w:r>
        <w:rPr>
          <w:w w:val="115"/>
          <w:sz w:val="16"/>
        </w:rPr>
        <w:t>(50º,</w:t>
      </w:r>
      <w:r>
        <w:rPr>
          <w:spacing w:val="-12"/>
          <w:w w:val="115"/>
          <w:sz w:val="16"/>
        </w:rPr>
        <w:t> </w:t>
      </w:r>
      <w:r>
        <w:rPr>
          <w:w w:val="115"/>
          <w:sz w:val="16"/>
        </w:rPr>
        <w:t>México),</w:t>
      </w:r>
      <w:r>
        <w:rPr>
          <w:spacing w:val="-12"/>
          <w:w w:val="115"/>
          <w:sz w:val="16"/>
        </w:rPr>
        <w:t> </w:t>
      </w:r>
      <w:r>
        <w:rPr>
          <w:w w:val="115"/>
          <w:sz w:val="16"/>
        </w:rPr>
        <w:t>entre</w:t>
      </w:r>
      <w:r>
        <w:rPr>
          <w:spacing w:val="-12"/>
          <w:w w:val="115"/>
          <w:sz w:val="16"/>
        </w:rPr>
        <w:t> </w:t>
      </w:r>
      <w:r>
        <w:rPr>
          <w:w w:val="115"/>
          <w:sz w:val="16"/>
        </w:rPr>
        <w:t>otras.</w:t>
      </w:r>
      <w:r>
        <w:rPr>
          <w:spacing w:val="-12"/>
          <w:w w:val="115"/>
          <w:sz w:val="16"/>
        </w:rPr>
        <w:t> </w:t>
      </w:r>
      <w:r>
        <w:rPr>
          <w:w w:val="115"/>
          <w:sz w:val="16"/>
        </w:rPr>
        <w:t>En</w:t>
      </w:r>
      <w:r>
        <w:rPr>
          <w:spacing w:val="-12"/>
          <w:w w:val="115"/>
          <w:sz w:val="16"/>
        </w:rPr>
        <w:t> </w:t>
      </w:r>
      <w:r>
        <w:rPr>
          <w:w w:val="115"/>
          <w:sz w:val="16"/>
        </w:rPr>
        <w:t>los</w:t>
      </w:r>
      <w:r>
        <w:rPr>
          <w:spacing w:val="-12"/>
          <w:w w:val="115"/>
          <w:sz w:val="16"/>
        </w:rPr>
        <w:t> </w:t>
      </w:r>
      <w:r>
        <w:rPr>
          <w:w w:val="115"/>
          <w:sz w:val="16"/>
        </w:rPr>
        <w:t>últimos</w:t>
      </w:r>
      <w:r>
        <w:rPr>
          <w:spacing w:val="-12"/>
          <w:w w:val="115"/>
          <w:sz w:val="16"/>
        </w:rPr>
        <w:t> </w:t>
      </w:r>
      <w:r>
        <w:rPr>
          <w:w w:val="115"/>
          <w:sz w:val="16"/>
        </w:rPr>
        <w:t>años,</w:t>
      </w:r>
      <w:r>
        <w:rPr>
          <w:spacing w:val="-12"/>
          <w:w w:val="115"/>
          <w:sz w:val="16"/>
        </w:rPr>
        <w:t> </w:t>
      </w:r>
      <w:r>
        <w:rPr>
          <w:w w:val="115"/>
          <w:sz w:val="16"/>
        </w:rPr>
        <w:t>brasil</w:t>
      </w:r>
      <w:r>
        <w:rPr>
          <w:spacing w:val="-12"/>
          <w:w w:val="115"/>
          <w:sz w:val="16"/>
        </w:rPr>
        <w:t> </w:t>
      </w:r>
      <w:r>
        <w:rPr>
          <w:w w:val="115"/>
          <w:sz w:val="16"/>
        </w:rPr>
        <w:t>ha </w:t>
      </w:r>
      <w:r>
        <w:rPr>
          <w:w w:val="108"/>
          <w:sz w:val="16"/>
        </w:rPr>
        <w:t>mantenido</w:t>
      </w:r>
      <w:r>
        <w:rPr>
          <w:spacing w:val="2"/>
          <w:sz w:val="16"/>
        </w:rPr>
        <w:t> </w:t>
      </w:r>
      <w:r>
        <w:rPr>
          <w:w w:val="107"/>
          <w:sz w:val="16"/>
        </w:rPr>
        <w:t>su</w:t>
      </w:r>
      <w:r>
        <w:rPr>
          <w:spacing w:val="2"/>
          <w:sz w:val="16"/>
        </w:rPr>
        <w:t> </w:t>
      </w:r>
      <w:r>
        <w:rPr>
          <w:w w:val="107"/>
          <w:sz w:val="16"/>
        </w:rPr>
        <w:t>patrón</w:t>
      </w:r>
      <w:r>
        <w:rPr>
          <w:spacing w:val="2"/>
          <w:sz w:val="16"/>
        </w:rPr>
        <w:t> </w:t>
      </w:r>
      <w:r>
        <w:rPr>
          <w:w w:val="104"/>
          <w:sz w:val="16"/>
        </w:rPr>
        <w:t>de</w:t>
      </w:r>
      <w:r>
        <w:rPr>
          <w:spacing w:val="2"/>
          <w:sz w:val="16"/>
        </w:rPr>
        <w:t> </w:t>
      </w:r>
      <w:r>
        <w:rPr>
          <w:w w:val="109"/>
          <w:sz w:val="16"/>
        </w:rPr>
        <w:t>internacionalización</w:t>
      </w:r>
      <w:r>
        <w:rPr>
          <w:spacing w:val="2"/>
          <w:sz w:val="16"/>
        </w:rPr>
        <w:t> </w:t>
      </w:r>
      <w:r>
        <w:rPr>
          <w:w w:val="102"/>
          <w:sz w:val="16"/>
        </w:rPr>
        <w:t>y</w:t>
      </w:r>
      <w:r>
        <w:rPr>
          <w:spacing w:val="2"/>
          <w:sz w:val="16"/>
        </w:rPr>
        <w:t> </w:t>
      </w:r>
      <w:r>
        <w:rPr>
          <w:w w:val="136"/>
          <w:sz w:val="16"/>
        </w:rPr>
        <w:t>a</w:t>
      </w:r>
      <w:r>
        <w:rPr>
          <w:w w:val="107"/>
          <w:sz w:val="16"/>
        </w:rPr>
        <w:t>rgentina</w:t>
      </w:r>
      <w:r>
        <w:rPr>
          <w:spacing w:val="2"/>
          <w:sz w:val="16"/>
        </w:rPr>
        <w:t> </w:t>
      </w:r>
      <w:r>
        <w:rPr>
          <w:w w:val="108"/>
          <w:sz w:val="16"/>
        </w:rPr>
        <w:t>lo</w:t>
      </w:r>
      <w:r>
        <w:rPr>
          <w:spacing w:val="2"/>
          <w:sz w:val="16"/>
        </w:rPr>
        <w:t> </w:t>
      </w:r>
      <w:r>
        <w:rPr>
          <w:w w:val="110"/>
          <w:sz w:val="16"/>
        </w:rPr>
        <w:t>ha</w:t>
      </w:r>
      <w:r>
        <w:rPr>
          <w:spacing w:val="2"/>
          <w:sz w:val="16"/>
        </w:rPr>
        <w:t> </w:t>
      </w:r>
      <w:r>
        <w:rPr>
          <w:w w:val="109"/>
          <w:sz w:val="16"/>
        </w:rPr>
        <w:t>reducido.</w:t>
      </w:r>
      <w:r>
        <w:rPr>
          <w:spacing w:val="2"/>
          <w:sz w:val="16"/>
        </w:rPr>
        <w:t> </w:t>
      </w:r>
      <w:r>
        <w:rPr>
          <w:w w:val="238"/>
          <w:sz w:val="16"/>
        </w:rPr>
        <w:t>l</w:t>
      </w:r>
      <w:r>
        <w:rPr>
          <w:w w:val="106"/>
          <w:sz w:val="16"/>
        </w:rPr>
        <w:t>as</w:t>
      </w:r>
      <w:r>
        <w:rPr>
          <w:spacing w:val="2"/>
          <w:sz w:val="16"/>
        </w:rPr>
        <w:t> </w:t>
      </w:r>
      <w:r>
        <w:rPr>
          <w:w w:val="109"/>
          <w:sz w:val="16"/>
        </w:rPr>
        <w:t>compa</w:t>
      </w:r>
      <w:r>
        <w:rPr>
          <w:w w:val="100"/>
          <w:sz w:val="16"/>
        </w:rPr>
        <w:t>- </w:t>
      </w:r>
      <w:r>
        <w:rPr>
          <w:w w:val="115"/>
          <w:sz w:val="16"/>
        </w:rPr>
        <w:t>ñías</w:t>
      </w:r>
      <w:r>
        <w:rPr>
          <w:spacing w:val="-17"/>
          <w:w w:val="115"/>
          <w:sz w:val="16"/>
        </w:rPr>
        <w:t> </w:t>
      </w:r>
      <w:r>
        <w:rPr>
          <w:w w:val="115"/>
          <w:sz w:val="16"/>
        </w:rPr>
        <w:t>de</w:t>
      </w:r>
      <w:r>
        <w:rPr>
          <w:spacing w:val="-17"/>
          <w:w w:val="115"/>
          <w:sz w:val="16"/>
        </w:rPr>
        <w:t> </w:t>
      </w:r>
      <w:r>
        <w:rPr>
          <w:w w:val="115"/>
          <w:sz w:val="16"/>
        </w:rPr>
        <w:t>México</w:t>
      </w:r>
      <w:r>
        <w:rPr>
          <w:spacing w:val="-17"/>
          <w:w w:val="115"/>
          <w:sz w:val="16"/>
        </w:rPr>
        <w:t> </w:t>
      </w:r>
      <w:r>
        <w:rPr>
          <w:w w:val="115"/>
          <w:sz w:val="16"/>
        </w:rPr>
        <w:t>y</w:t>
      </w:r>
      <w:r>
        <w:rPr>
          <w:spacing w:val="-17"/>
          <w:w w:val="115"/>
          <w:sz w:val="16"/>
        </w:rPr>
        <w:t> </w:t>
      </w:r>
      <w:r>
        <w:rPr>
          <w:w w:val="115"/>
          <w:sz w:val="16"/>
        </w:rPr>
        <w:t>Chile</w:t>
      </w:r>
      <w:r>
        <w:rPr>
          <w:spacing w:val="-17"/>
          <w:w w:val="115"/>
          <w:sz w:val="16"/>
        </w:rPr>
        <w:t> </w:t>
      </w:r>
      <w:r>
        <w:rPr>
          <w:w w:val="115"/>
          <w:sz w:val="16"/>
        </w:rPr>
        <w:t>se</w:t>
      </w:r>
      <w:r>
        <w:rPr>
          <w:spacing w:val="-17"/>
          <w:w w:val="115"/>
          <w:sz w:val="16"/>
        </w:rPr>
        <w:t> </w:t>
      </w:r>
      <w:r>
        <w:rPr>
          <w:w w:val="115"/>
          <w:sz w:val="16"/>
        </w:rPr>
        <w:t>han</w:t>
      </w:r>
      <w:r>
        <w:rPr>
          <w:spacing w:val="-17"/>
          <w:w w:val="115"/>
          <w:sz w:val="16"/>
        </w:rPr>
        <w:t> </w:t>
      </w:r>
      <w:r>
        <w:rPr>
          <w:w w:val="115"/>
          <w:sz w:val="16"/>
        </w:rPr>
        <w:t>convertido</w:t>
      </w:r>
      <w:r>
        <w:rPr>
          <w:spacing w:val="-17"/>
          <w:w w:val="115"/>
          <w:sz w:val="16"/>
        </w:rPr>
        <w:t> </w:t>
      </w:r>
      <w:r>
        <w:rPr>
          <w:w w:val="115"/>
          <w:sz w:val="16"/>
        </w:rPr>
        <w:t>en</w:t>
      </w:r>
      <w:r>
        <w:rPr>
          <w:spacing w:val="-17"/>
          <w:w w:val="115"/>
          <w:sz w:val="16"/>
        </w:rPr>
        <w:t> </w:t>
      </w:r>
      <w:r>
        <w:rPr>
          <w:w w:val="115"/>
          <w:sz w:val="16"/>
        </w:rPr>
        <w:t>las</w:t>
      </w:r>
      <w:r>
        <w:rPr>
          <w:spacing w:val="-17"/>
          <w:w w:val="115"/>
          <w:sz w:val="16"/>
        </w:rPr>
        <w:t> </w:t>
      </w:r>
      <w:r>
        <w:rPr>
          <w:w w:val="115"/>
          <w:sz w:val="16"/>
        </w:rPr>
        <w:t>más</w:t>
      </w:r>
      <w:r>
        <w:rPr>
          <w:spacing w:val="-17"/>
          <w:w w:val="115"/>
          <w:sz w:val="16"/>
        </w:rPr>
        <w:t> </w:t>
      </w:r>
      <w:r>
        <w:rPr>
          <w:w w:val="115"/>
          <w:sz w:val="16"/>
        </w:rPr>
        <w:t>dinámicas</w:t>
      </w:r>
      <w:r>
        <w:rPr>
          <w:spacing w:val="-17"/>
          <w:w w:val="115"/>
          <w:sz w:val="16"/>
        </w:rPr>
        <w:t> </w:t>
      </w:r>
      <w:r>
        <w:rPr>
          <w:w w:val="115"/>
          <w:sz w:val="16"/>
        </w:rPr>
        <w:t>y</w:t>
      </w:r>
      <w:r>
        <w:rPr>
          <w:spacing w:val="-17"/>
          <w:w w:val="115"/>
          <w:sz w:val="16"/>
        </w:rPr>
        <w:t> </w:t>
      </w:r>
      <w:r>
        <w:rPr>
          <w:w w:val="115"/>
          <w:sz w:val="16"/>
        </w:rPr>
        <w:t>han</w:t>
      </w:r>
      <w:r>
        <w:rPr>
          <w:spacing w:val="-17"/>
          <w:w w:val="115"/>
          <w:sz w:val="16"/>
        </w:rPr>
        <w:t> </w:t>
      </w:r>
      <w:r>
        <w:rPr>
          <w:w w:val="115"/>
          <w:sz w:val="16"/>
        </w:rPr>
        <w:t>aumentado</w:t>
      </w:r>
      <w:r>
        <w:rPr>
          <w:spacing w:val="-17"/>
          <w:w w:val="115"/>
          <w:sz w:val="16"/>
        </w:rPr>
        <w:t> </w:t>
      </w:r>
      <w:r>
        <w:rPr>
          <w:w w:val="115"/>
          <w:sz w:val="16"/>
        </w:rPr>
        <w:t>su presencia</w:t>
      </w:r>
      <w:r>
        <w:rPr>
          <w:spacing w:val="-21"/>
          <w:w w:val="115"/>
          <w:sz w:val="16"/>
        </w:rPr>
        <w:t> </w:t>
      </w:r>
      <w:r>
        <w:rPr>
          <w:w w:val="115"/>
          <w:sz w:val="16"/>
        </w:rPr>
        <w:t>(CEPal,</w:t>
      </w:r>
      <w:r>
        <w:rPr>
          <w:spacing w:val="-21"/>
          <w:w w:val="115"/>
          <w:sz w:val="16"/>
        </w:rPr>
        <w:t> </w:t>
      </w:r>
      <w:r>
        <w:rPr>
          <w:w w:val="115"/>
          <w:sz w:val="16"/>
        </w:rPr>
        <w:t>2014:</w:t>
      </w:r>
      <w:r>
        <w:rPr>
          <w:spacing w:val="-21"/>
          <w:w w:val="115"/>
          <w:sz w:val="16"/>
        </w:rPr>
        <w:t> </w:t>
      </w:r>
      <w:r>
        <w:rPr>
          <w:w w:val="115"/>
          <w:sz w:val="16"/>
        </w:rPr>
        <w:t>77).</w:t>
      </w:r>
    </w:p>
    <w:p>
      <w:pPr>
        <w:pStyle w:val="ListParagraph"/>
        <w:numPr>
          <w:ilvl w:val="0"/>
          <w:numId w:val="35"/>
        </w:numPr>
        <w:tabs>
          <w:tab w:pos="1106" w:val="left" w:leader="none"/>
        </w:tabs>
        <w:spacing w:line="242" w:lineRule="auto" w:before="57" w:after="0"/>
        <w:ind w:left="850" w:right="117" w:firstLine="0"/>
        <w:jc w:val="both"/>
        <w:rPr>
          <w:sz w:val="16"/>
        </w:rPr>
      </w:pPr>
      <w:r>
        <w:rPr>
          <w:w w:val="238"/>
          <w:sz w:val="16"/>
        </w:rPr>
        <w:t>l</w:t>
      </w:r>
      <w:r>
        <w:rPr>
          <w:w w:val="106"/>
          <w:sz w:val="16"/>
        </w:rPr>
        <w:t>as</w:t>
      </w:r>
      <w:r>
        <w:rPr>
          <w:spacing w:val="8"/>
          <w:sz w:val="16"/>
        </w:rPr>
        <w:t> </w:t>
      </w:r>
      <w:r>
        <w:rPr>
          <w:w w:val="105"/>
          <w:sz w:val="16"/>
        </w:rPr>
        <w:t>empresas</w:t>
      </w:r>
      <w:r>
        <w:rPr>
          <w:spacing w:val="8"/>
          <w:sz w:val="16"/>
        </w:rPr>
        <w:t> </w:t>
      </w:r>
      <w:r>
        <w:rPr>
          <w:w w:val="105"/>
          <w:sz w:val="16"/>
        </w:rPr>
        <w:t>estatales</w:t>
      </w:r>
      <w:r>
        <w:rPr>
          <w:spacing w:val="8"/>
          <w:sz w:val="16"/>
        </w:rPr>
        <w:t> </w:t>
      </w:r>
      <w:r>
        <w:rPr>
          <w:w w:val="107"/>
          <w:sz w:val="16"/>
        </w:rPr>
        <w:t>siguen</w:t>
      </w:r>
      <w:r>
        <w:rPr>
          <w:spacing w:val="8"/>
          <w:sz w:val="16"/>
        </w:rPr>
        <w:t> </w:t>
      </w:r>
      <w:r>
        <w:rPr>
          <w:w w:val="109"/>
          <w:sz w:val="16"/>
        </w:rPr>
        <w:t>ocupando</w:t>
      </w:r>
      <w:r>
        <w:rPr>
          <w:spacing w:val="8"/>
          <w:sz w:val="16"/>
        </w:rPr>
        <w:t> </w:t>
      </w:r>
      <w:r>
        <w:rPr>
          <w:w w:val="106"/>
          <w:sz w:val="16"/>
        </w:rPr>
        <w:t>los</w:t>
      </w:r>
      <w:r>
        <w:rPr>
          <w:spacing w:val="8"/>
          <w:sz w:val="16"/>
        </w:rPr>
        <w:t> </w:t>
      </w:r>
      <w:r>
        <w:rPr>
          <w:w w:val="106"/>
          <w:sz w:val="16"/>
        </w:rPr>
        <w:t>primeros</w:t>
      </w:r>
      <w:r>
        <w:rPr>
          <w:spacing w:val="8"/>
          <w:sz w:val="16"/>
        </w:rPr>
        <w:t> </w:t>
      </w:r>
      <w:r>
        <w:rPr>
          <w:w w:val="106"/>
          <w:sz w:val="16"/>
        </w:rPr>
        <w:t>lugares</w:t>
      </w:r>
      <w:r>
        <w:rPr>
          <w:spacing w:val="8"/>
          <w:sz w:val="16"/>
        </w:rPr>
        <w:t> </w:t>
      </w:r>
      <w:r>
        <w:rPr>
          <w:w w:val="107"/>
          <w:sz w:val="16"/>
        </w:rPr>
        <w:t>favorecidas</w:t>
      </w:r>
      <w:r>
        <w:rPr>
          <w:spacing w:val="8"/>
          <w:sz w:val="16"/>
        </w:rPr>
        <w:t> </w:t>
      </w:r>
      <w:r>
        <w:rPr>
          <w:w w:val="106"/>
          <w:sz w:val="16"/>
        </w:rPr>
        <w:t>por</w:t>
      </w:r>
      <w:r>
        <w:rPr>
          <w:spacing w:val="8"/>
          <w:sz w:val="16"/>
        </w:rPr>
        <w:t> </w:t>
      </w:r>
      <w:r>
        <w:rPr>
          <w:w w:val="106"/>
          <w:sz w:val="16"/>
        </w:rPr>
        <w:t>los </w:t>
      </w:r>
      <w:r>
        <w:rPr>
          <w:w w:val="110"/>
          <w:sz w:val="16"/>
        </w:rPr>
        <w:t>precios</w:t>
      </w:r>
      <w:r>
        <w:rPr>
          <w:spacing w:val="-8"/>
          <w:w w:val="110"/>
          <w:sz w:val="16"/>
        </w:rPr>
        <w:t> </w:t>
      </w:r>
      <w:r>
        <w:rPr>
          <w:w w:val="110"/>
          <w:sz w:val="16"/>
        </w:rPr>
        <w:t>de</w:t>
      </w:r>
      <w:r>
        <w:rPr>
          <w:spacing w:val="-8"/>
          <w:w w:val="110"/>
          <w:sz w:val="16"/>
        </w:rPr>
        <w:t> </w:t>
      </w:r>
      <w:r>
        <w:rPr>
          <w:w w:val="110"/>
          <w:sz w:val="16"/>
        </w:rPr>
        <w:t>las</w:t>
      </w:r>
      <w:r>
        <w:rPr>
          <w:spacing w:val="-8"/>
          <w:w w:val="110"/>
          <w:sz w:val="16"/>
        </w:rPr>
        <w:t> </w:t>
      </w:r>
      <w:r>
        <w:rPr>
          <w:w w:val="110"/>
          <w:sz w:val="16"/>
        </w:rPr>
        <w:t>materias</w:t>
      </w:r>
      <w:r>
        <w:rPr>
          <w:spacing w:val="-8"/>
          <w:w w:val="110"/>
          <w:sz w:val="16"/>
        </w:rPr>
        <w:t> </w:t>
      </w:r>
      <w:r>
        <w:rPr>
          <w:w w:val="110"/>
          <w:sz w:val="16"/>
        </w:rPr>
        <w:t>primas</w:t>
      </w:r>
      <w:r>
        <w:rPr>
          <w:spacing w:val="-8"/>
          <w:w w:val="110"/>
          <w:sz w:val="16"/>
        </w:rPr>
        <w:t> </w:t>
      </w:r>
      <w:r>
        <w:rPr>
          <w:w w:val="125"/>
          <w:sz w:val="16"/>
        </w:rPr>
        <w:t>(CEPal,</w:t>
      </w:r>
      <w:r>
        <w:rPr>
          <w:spacing w:val="-13"/>
          <w:w w:val="125"/>
          <w:sz w:val="16"/>
        </w:rPr>
        <w:t> </w:t>
      </w:r>
      <w:r>
        <w:rPr>
          <w:w w:val="110"/>
          <w:sz w:val="16"/>
        </w:rPr>
        <w:t>2014:</w:t>
      </w:r>
      <w:r>
        <w:rPr>
          <w:spacing w:val="-8"/>
          <w:w w:val="110"/>
          <w:sz w:val="16"/>
        </w:rPr>
        <w:t> </w:t>
      </w:r>
      <w:r>
        <w:rPr>
          <w:w w:val="110"/>
          <w:sz w:val="16"/>
        </w:rPr>
        <w:t>84).</w:t>
      </w:r>
    </w:p>
    <w:p>
      <w:pPr>
        <w:pStyle w:val="ListParagraph"/>
        <w:numPr>
          <w:ilvl w:val="0"/>
          <w:numId w:val="35"/>
        </w:numPr>
        <w:tabs>
          <w:tab w:pos="1106" w:val="left" w:leader="none"/>
        </w:tabs>
        <w:spacing w:line="242" w:lineRule="auto" w:before="57" w:after="0"/>
        <w:ind w:left="850" w:right="116" w:firstLine="0"/>
        <w:jc w:val="both"/>
        <w:rPr>
          <w:sz w:val="16"/>
        </w:rPr>
      </w:pPr>
      <w:r>
        <w:rPr>
          <w:w w:val="115"/>
          <w:sz w:val="16"/>
        </w:rPr>
        <w:t>Principales empresas de la región que operan en Estados unidos: Ecopetrol, Grupo</w:t>
      </w:r>
      <w:r>
        <w:rPr>
          <w:spacing w:val="-9"/>
          <w:w w:val="115"/>
          <w:sz w:val="16"/>
        </w:rPr>
        <w:t> </w:t>
      </w:r>
      <w:r>
        <w:rPr>
          <w:spacing w:val="-3"/>
          <w:w w:val="115"/>
          <w:sz w:val="16"/>
        </w:rPr>
        <w:t>aval,</w:t>
      </w:r>
      <w:r>
        <w:rPr>
          <w:spacing w:val="-9"/>
          <w:w w:val="115"/>
          <w:sz w:val="16"/>
        </w:rPr>
        <w:t> </w:t>
      </w:r>
      <w:r>
        <w:rPr>
          <w:w w:val="115"/>
          <w:sz w:val="16"/>
        </w:rPr>
        <w:t>Empresas</w:t>
      </w:r>
      <w:r>
        <w:rPr>
          <w:spacing w:val="-9"/>
          <w:w w:val="115"/>
          <w:sz w:val="16"/>
        </w:rPr>
        <w:t> </w:t>
      </w:r>
      <w:r>
        <w:rPr>
          <w:w w:val="115"/>
          <w:sz w:val="16"/>
        </w:rPr>
        <w:t>Públicas</w:t>
      </w:r>
      <w:r>
        <w:rPr>
          <w:spacing w:val="-9"/>
          <w:w w:val="115"/>
          <w:sz w:val="16"/>
        </w:rPr>
        <w:t> </w:t>
      </w:r>
      <w:r>
        <w:rPr>
          <w:w w:val="115"/>
          <w:sz w:val="16"/>
        </w:rPr>
        <w:t>de</w:t>
      </w:r>
      <w:r>
        <w:rPr>
          <w:spacing w:val="-9"/>
          <w:w w:val="115"/>
          <w:sz w:val="16"/>
        </w:rPr>
        <w:t> </w:t>
      </w:r>
      <w:r>
        <w:rPr>
          <w:w w:val="115"/>
          <w:sz w:val="16"/>
        </w:rPr>
        <w:t>Medellín</w:t>
      </w:r>
      <w:r>
        <w:rPr>
          <w:spacing w:val="-9"/>
          <w:w w:val="115"/>
          <w:sz w:val="16"/>
        </w:rPr>
        <w:t> </w:t>
      </w:r>
      <w:r>
        <w:rPr>
          <w:w w:val="115"/>
          <w:sz w:val="16"/>
        </w:rPr>
        <w:t>(EPM),</w:t>
      </w:r>
      <w:r>
        <w:rPr>
          <w:spacing w:val="-9"/>
          <w:w w:val="115"/>
          <w:sz w:val="16"/>
        </w:rPr>
        <w:t> </w:t>
      </w:r>
      <w:r>
        <w:rPr>
          <w:w w:val="115"/>
          <w:sz w:val="16"/>
        </w:rPr>
        <w:t>argos,</w:t>
      </w:r>
      <w:r>
        <w:rPr>
          <w:spacing w:val="-9"/>
          <w:w w:val="115"/>
          <w:sz w:val="16"/>
        </w:rPr>
        <w:t> </w:t>
      </w:r>
      <w:r>
        <w:rPr>
          <w:w w:val="115"/>
          <w:sz w:val="16"/>
        </w:rPr>
        <w:t>Grupo</w:t>
      </w:r>
      <w:r>
        <w:rPr>
          <w:spacing w:val="-9"/>
          <w:w w:val="115"/>
          <w:sz w:val="16"/>
        </w:rPr>
        <w:t> </w:t>
      </w:r>
      <w:r>
        <w:rPr>
          <w:w w:val="115"/>
          <w:sz w:val="16"/>
        </w:rPr>
        <w:t>Nutresa</w:t>
      </w:r>
      <w:r>
        <w:rPr>
          <w:spacing w:val="-9"/>
          <w:w w:val="115"/>
          <w:sz w:val="16"/>
        </w:rPr>
        <w:t> </w:t>
      </w:r>
      <w:r>
        <w:rPr>
          <w:w w:val="115"/>
          <w:sz w:val="16"/>
        </w:rPr>
        <w:t>y</w:t>
      </w:r>
      <w:r>
        <w:rPr>
          <w:spacing w:val="-9"/>
          <w:w w:val="115"/>
          <w:sz w:val="16"/>
        </w:rPr>
        <w:t> </w:t>
      </w:r>
      <w:r>
        <w:rPr>
          <w:w w:val="115"/>
          <w:sz w:val="16"/>
        </w:rPr>
        <w:t>Grupo </w:t>
      </w:r>
      <w:r>
        <w:rPr>
          <w:w w:val="109"/>
          <w:sz w:val="16"/>
        </w:rPr>
        <w:t>Carvajal</w:t>
      </w:r>
      <w:r>
        <w:rPr>
          <w:spacing w:val="4"/>
          <w:sz w:val="16"/>
        </w:rPr>
        <w:t> </w:t>
      </w:r>
      <w:r>
        <w:rPr>
          <w:w w:val="104"/>
          <w:sz w:val="16"/>
        </w:rPr>
        <w:t>de</w:t>
      </w:r>
      <w:r>
        <w:rPr>
          <w:spacing w:val="4"/>
          <w:sz w:val="16"/>
        </w:rPr>
        <w:t> </w:t>
      </w:r>
      <w:r>
        <w:rPr>
          <w:w w:val="110"/>
          <w:sz w:val="16"/>
        </w:rPr>
        <w:t>Colombia;</w:t>
      </w:r>
      <w:r>
        <w:rPr>
          <w:spacing w:val="4"/>
          <w:sz w:val="16"/>
        </w:rPr>
        <w:t> </w:t>
      </w:r>
      <w:r>
        <w:rPr>
          <w:w w:val="238"/>
          <w:sz w:val="16"/>
        </w:rPr>
        <w:t>l</w:t>
      </w:r>
      <w:r>
        <w:rPr>
          <w:w w:val="109"/>
          <w:sz w:val="16"/>
        </w:rPr>
        <w:t>atam</w:t>
      </w:r>
      <w:r>
        <w:rPr>
          <w:spacing w:val="4"/>
          <w:sz w:val="16"/>
        </w:rPr>
        <w:t> </w:t>
      </w:r>
      <w:r>
        <w:rPr>
          <w:w w:val="136"/>
          <w:sz w:val="16"/>
        </w:rPr>
        <w:t>a</w:t>
      </w:r>
      <w:r>
        <w:rPr>
          <w:w w:val="109"/>
          <w:sz w:val="16"/>
        </w:rPr>
        <w:t>irlines,</w:t>
      </w:r>
      <w:r>
        <w:rPr>
          <w:spacing w:val="4"/>
          <w:sz w:val="16"/>
        </w:rPr>
        <w:t> </w:t>
      </w:r>
      <w:r>
        <w:rPr>
          <w:w w:val="136"/>
          <w:sz w:val="16"/>
        </w:rPr>
        <w:t>a</w:t>
      </w:r>
      <w:r>
        <w:rPr>
          <w:w w:val="111"/>
          <w:sz w:val="16"/>
        </w:rPr>
        <w:t>rauco,</w:t>
      </w:r>
      <w:r>
        <w:rPr>
          <w:spacing w:val="4"/>
          <w:sz w:val="16"/>
        </w:rPr>
        <w:t> </w:t>
      </w:r>
      <w:r>
        <w:rPr>
          <w:w w:val="111"/>
          <w:sz w:val="16"/>
        </w:rPr>
        <w:t>Compañía</w:t>
      </w:r>
      <w:r>
        <w:rPr>
          <w:spacing w:val="4"/>
          <w:sz w:val="16"/>
        </w:rPr>
        <w:t> </w:t>
      </w:r>
      <w:r>
        <w:rPr>
          <w:w w:val="146"/>
          <w:sz w:val="16"/>
        </w:rPr>
        <w:t>s</w:t>
      </w:r>
      <w:r>
        <w:rPr>
          <w:w w:val="109"/>
          <w:sz w:val="16"/>
        </w:rPr>
        <w:t>udamericana</w:t>
      </w:r>
      <w:r>
        <w:rPr>
          <w:spacing w:val="4"/>
          <w:sz w:val="16"/>
        </w:rPr>
        <w:t> </w:t>
      </w:r>
      <w:r>
        <w:rPr>
          <w:w w:val="104"/>
          <w:sz w:val="16"/>
        </w:rPr>
        <w:t>de</w:t>
      </w:r>
      <w:r>
        <w:rPr>
          <w:spacing w:val="4"/>
          <w:sz w:val="16"/>
        </w:rPr>
        <w:t> </w:t>
      </w:r>
      <w:r>
        <w:rPr>
          <w:spacing w:val="-12"/>
          <w:w w:val="116"/>
          <w:sz w:val="16"/>
        </w:rPr>
        <w:t>V</w:t>
      </w:r>
      <w:r>
        <w:rPr>
          <w:w w:val="105"/>
          <w:sz w:val="16"/>
        </w:rPr>
        <w:t>apores </w:t>
      </w:r>
      <w:r>
        <w:rPr>
          <w:w w:val="115"/>
          <w:sz w:val="16"/>
        </w:rPr>
        <w:t>(CsaV), siglo de Koppers, sociedad Química y Muera (sQM), Molymet en Chile; PEMEx, américa Móvil, Grupo alfa, Cemex, bimbo, Grupo México, Grupo Elektra, </w:t>
      </w:r>
      <w:r>
        <w:rPr>
          <w:w w:val="114"/>
          <w:sz w:val="16"/>
        </w:rPr>
        <w:t>Gruma,</w:t>
      </w:r>
      <w:r>
        <w:rPr>
          <w:sz w:val="16"/>
        </w:rPr>
        <w:t>  </w:t>
      </w:r>
      <w:r>
        <w:rPr>
          <w:w w:val="111"/>
          <w:sz w:val="16"/>
        </w:rPr>
        <w:t>Mexichem,</w:t>
      </w:r>
      <w:r>
        <w:rPr>
          <w:sz w:val="16"/>
        </w:rPr>
        <w:t>  </w:t>
      </w:r>
      <w:r>
        <w:rPr>
          <w:spacing w:val="-8"/>
          <w:w w:val="116"/>
          <w:sz w:val="16"/>
        </w:rPr>
        <w:t>V</w:t>
      </w:r>
      <w:r>
        <w:rPr>
          <w:w w:val="111"/>
          <w:sz w:val="16"/>
        </w:rPr>
        <w:t>ignux,</w:t>
      </w:r>
      <w:r>
        <w:rPr>
          <w:sz w:val="16"/>
        </w:rPr>
        <w:t>  </w:t>
      </w:r>
      <w:r>
        <w:rPr>
          <w:w w:val="140"/>
          <w:sz w:val="16"/>
        </w:rPr>
        <w:t>i</w:t>
      </w:r>
      <w:r>
        <w:rPr>
          <w:w w:val="107"/>
          <w:sz w:val="16"/>
        </w:rPr>
        <w:t>ndustrias</w:t>
      </w:r>
      <w:r>
        <w:rPr>
          <w:sz w:val="16"/>
        </w:rPr>
        <w:t>  </w:t>
      </w:r>
      <w:r>
        <w:rPr>
          <w:w w:val="121"/>
          <w:sz w:val="16"/>
        </w:rPr>
        <w:t>CH</w:t>
      </w:r>
      <w:r>
        <w:rPr>
          <w:sz w:val="16"/>
        </w:rPr>
        <w:t>  </w:t>
      </w:r>
      <w:r>
        <w:rPr>
          <w:w w:val="106"/>
          <w:sz w:val="16"/>
        </w:rPr>
        <w:t>en</w:t>
      </w:r>
      <w:r>
        <w:rPr>
          <w:sz w:val="16"/>
        </w:rPr>
        <w:t>  </w:t>
      </w:r>
      <w:r>
        <w:rPr>
          <w:w w:val="112"/>
          <w:sz w:val="16"/>
        </w:rPr>
        <w:t>México.</w:t>
      </w:r>
      <w:r>
        <w:rPr>
          <w:sz w:val="16"/>
        </w:rPr>
        <w:t>  </w:t>
      </w:r>
      <w:r>
        <w:rPr>
          <w:w w:val="238"/>
          <w:sz w:val="16"/>
        </w:rPr>
        <w:t>l</w:t>
      </w:r>
      <w:r>
        <w:rPr>
          <w:w w:val="106"/>
          <w:sz w:val="16"/>
        </w:rPr>
        <w:t>as</w:t>
      </w:r>
      <w:r>
        <w:rPr>
          <w:sz w:val="16"/>
        </w:rPr>
        <w:t>  </w:t>
      </w:r>
      <w:r>
        <w:rPr>
          <w:w w:val="105"/>
          <w:sz w:val="16"/>
        </w:rPr>
        <w:t>empresas</w:t>
      </w:r>
      <w:r>
        <w:rPr>
          <w:sz w:val="16"/>
        </w:rPr>
        <w:t>  </w:t>
      </w:r>
      <w:r>
        <w:rPr>
          <w:w w:val="104"/>
          <w:sz w:val="16"/>
        </w:rPr>
        <w:t>de</w:t>
      </w:r>
      <w:r>
        <w:rPr>
          <w:sz w:val="16"/>
        </w:rPr>
        <w:t>  </w:t>
      </w:r>
      <w:r>
        <w:rPr>
          <w:w w:val="109"/>
          <w:sz w:val="16"/>
        </w:rPr>
        <w:t>Centroa</w:t>
      </w:r>
      <w:r>
        <w:rPr>
          <w:w w:val="100"/>
          <w:sz w:val="16"/>
        </w:rPr>
        <w:t>- </w:t>
      </w:r>
      <w:r>
        <w:rPr>
          <w:w w:val="115"/>
          <w:sz w:val="16"/>
        </w:rPr>
        <w:t>mérica</w:t>
      </w:r>
      <w:r>
        <w:rPr>
          <w:spacing w:val="-8"/>
          <w:w w:val="115"/>
          <w:sz w:val="16"/>
        </w:rPr>
        <w:t> </w:t>
      </w:r>
      <w:r>
        <w:rPr>
          <w:w w:val="115"/>
          <w:sz w:val="16"/>
        </w:rPr>
        <w:t>y</w:t>
      </w:r>
      <w:r>
        <w:rPr>
          <w:spacing w:val="-8"/>
          <w:w w:val="115"/>
          <w:sz w:val="16"/>
        </w:rPr>
        <w:t> </w:t>
      </w:r>
      <w:r>
        <w:rPr>
          <w:w w:val="115"/>
          <w:sz w:val="16"/>
        </w:rPr>
        <w:t>el</w:t>
      </w:r>
      <w:r>
        <w:rPr>
          <w:spacing w:val="-8"/>
          <w:w w:val="115"/>
          <w:sz w:val="16"/>
        </w:rPr>
        <w:t> </w:t>
      </w:r>
      <w:r>
        <w:rPr>
          <w:w w:val="115"/>
          <w:sz w:val="16"/>
        </w:rPr>
        <w:t>Caribe</w:t>
      </w:r>
      <w:r>
        <w:rPr>
          <w:spacing w:val="-8"/>
          <w:w w:val="115"/>
          <w:sz w:val="16"/>
        </w:rPr>
        <w:t> </w:t>
      </w:r>
      <w:r>
        <w:rPr>
          <w:w w:val="115"/>
          <w:sz w:val="16"/>
        </w:rPr>
        <w:t>con</w:t>
      </w:r>
      <w:r>
        <w:rPr>
          <w:spacing w:val="-8"/>
          <w:w w:val="115"/>
          <w:sz w:val="16"/>
        </w:rPr>
        <w:t> </w:t>
      </w:r>
      <w:r>
        <w:rPr>
          <w:w w:val="115"/>
          <w:sz w:val="16"/>
        </w:rPr>
        <w:t>inversiones</w:t>
      </w:r>
      <w:r>
        <w:rPr>
          <w:spacing w:val="-8"/>
          <w:w w:val="115"/>
          <w:sz w:val="16"/>
        </w:rPr>
        <w:t> </w:t>
      </w:r>
      <w:r>
        <w:rPr>
          <w:w w:val="115"/>
          <w:sz w:val="16"/>
        </w:rPr>
        <w:t>en</w:t>
      </w:r>
      <w:r>
        <w:rPr>
          <w:spacing w:val="-8"/>
          <w:w w:val="115"/>
          <w:sz w:val="16"/>
        </w:rPr>
        <w:t> </w:t>
      </w:r>
      <w:r>
        <w:rPr>
          <w:w w:val="115"/>
          <w:sz w:val="16"/>
        </w:rPr>
        <w:t>el</w:t>
      </w:r>
      <w:r>
        <w:rPr>
          <w:spacing w:val="-8"/>
          <w:w w:val="115"/>
          <w:sz w:val="16"/>
        </w:rPr>
        <w:t> </w:t>
      </w:r>
      <w:r>
        <w:rPr>
          <w:w w:val="115"/>
          <w:sz w:val="16"/>
        </w:rPr>
        <w:t>exterior</w:t>
      </w:r>
      <w:r>
        <w:rPr>
          <w:spacing w:val="-8"/>
          <w:w w:val="115"/>
          <w:sz w:val="16"/>
        </w:rPr>
        <w:t> </w:t>
      </w:r>
      <w:r>
        <w:rPr>
          <w:w w:val="115"/>
          <w:sz w:val="16"/>
        </w:rPr>
        <w:t>son</w:t>
      </w:r>
      <w:r>
        <w:rPr>
          <w:spacing w:val="-8"/>
          <w:w w:val="115"/>
          <w:sz w:val="16"/>
        </w:rPr>
        <w:t> </w:t>
      </w:r>
      <w:r>
        <w:rPr>
          <w:w w:val="115"/>
          <w:sz w:val="16"/>
        </w:rPr>
        <w:t>en</w:t>
      </w:r>
      <w:r>
        <w:rPr>
          <w:spacing w:val="-8"/>
          <w:w w:val="115"/>
          <w:sz w:val="16"/>
        </w:rPr>
        <w:t> </w:t>
      </w:r>
      <w:r>
        <w:rPr>
          <w:w w:val="115"/>
          <w:sz w:val="16"/>
        </w:rPr>
        <w:t>su</w:t>
      </w:r>
      <w:r>
        <w:rPr>
          <w:spacing w:val="-8"/>
          <w:w w:val="115"/>
          <w:sz w:val="16"/>
        </w:rPr>
        <w:t> </w:t>
      </w:r>
      <w:r>
        <w:rPr>
          <w:w w:val="115"/>
          <w:sz w:val="16"/>
        </w:rPr>
        <w:t>mayoría</w:t>
      </w:r>
      <w:r>
        <w:rPr>
          <w:spacing w:val="-8"/>
          <w:w w:val="115"/>
          <w:sz w:val="16"/>
        </w:rPr>
        <w:t> </w:t>
      </w:r>
      <w:r>
        <w:rPr>
          <w:w w:val="115"/>
          <w:sz w:val="16"/>
        </w:rPr>
        <w:t>de</w:t>
      </w:r>
      <w:r>
        <w:rPr>
          <w:spacing w:val="-8"/>
          <w:w w:val="115"/>
          <w:sz w:val="16"/>
        </w:rPr>
        <w:t> </w:t>
      </w:r>
      <w:r>
        <w:rPr>
          <w:w w:val="115"/>
          <w:sz w:val="16"/>
        </w:rPr>
        <w:t>propiedad familiar</w:t>
      </w:r>
      <w:r>
        <w:rPr>
          <w:spacing w:val="-24"/>
          <w:w w:val="115"/>
          <w:sz w:val="16"/>
        </w:rPr>
        <w:t> </w:t>
      </w:r>
      <w:r>
        <w:rPr>
          <w:w w:val="115"/>
          <w:sz w:val="16"/>
        </w:rPr>
        <w:t>y</w:t>
      </w:r>
      <w:r>
        <w:rPr>
          <w:spacing w:val="-24"/>
          <w:w w:val="115"/>
          <w:sz w:val="16"/>
        </w:rPr>
        <w:t> </w:t>
      </w:r>
      <w:r>
        <w:rPr>
          <w:w w:val="115"/>
          <w:sz w:val="16"/>
        </w:rPr>
        <w:t>no</w:t>
      </w:r>
      <w:r>
        <w:rPr>
          <w:spacing w:val="-24"/>
          <w:w w:val="115"/>
          <w:sz w:val="16"/>
        </w:rPr>
        <w:t> </w:t>
      </w:r>
      <w:r>
        <w:rPr>
          <w:w w:val="115"/>
          <w:sz w:val="16"/>
        </w:rPr>
        <w:t>tienen</w:t>
      </w:r>
      <w:r>
        <w:rPr>
          <w:spacing w:val="-24"/>
          <w:w w:val="115"/>
          <w:sz w:val="16"/>
        </w:rPr>
        <w:t> </w:t>
      </w:r>
      <w:r>
        <w:rPr>
          <w:w w:val="115"/>
          <w:sz w:val="16"/>
        </w:rPr>
        <w:t>cotización</w:t>
      </w:r>
      <w:r>
        <w:rPr>
          <w:spacing w:val="-24"/>
          <w:w w:val="115"/>
          <w:sz w:val="16"/>
        </w:rPr>
        <w:t> </w:t>
      </w:r>
      <w:r>
        <w:rPr>
          <w:w w:val="115"/>
          <w:sz w:val="16"/>
        </w:rPr>
        <w:t>en</w:t>
      </w:r>
      <w:r>
        <w:rPr>
          <w:spacing w:val="-24"/>
          <w:w w:val="115"/>
          <w:sz w:val="16"/>
        </w:rPr>
        <w:t> </w:t>
      </w:r>
      <w:r>
        <w:rPr>
          <w:w w:val="115"/>
          <w:sz w:val="16"/>
        </w:rPr>
        <w:t>los</w:t>
      </w:r>
      <w:r>
        <w:rPr>
          <w:spacing w:val="-24"/>
          <w:w w:val="115"/>
          <w:sz w:val="16"/>
        </w:rPr>
        <w:t> </w:t>
      </w:r>
      <w:r>
        <w:rPr>
          <w:w w:val="115"/>
          <w:sz w:val="16"/>
        </w:rPr>
        <w:t>mercados</w:t>
      </w:r>
      <w:r>
        <w:rPr>
          <w:spacing w:val="-24"/>
          <w:w w:val="115"/>
          <w:sz w:val="16"/>
        </w:rPr>
        <w:t> </w:t>
      </w:r>
      <w:r>
        <w:rPr>
          <w:w w:val="115"/>
          <w:sz w:val="16"/>
        </w:rPr>
        <w:t>financieros</w:t>
      </w:r>
      <w:r>
        <w:rPr>
          <w:spacing w:val="-24"/>
          <w:w w:val="115"/>
          <w:sz w:val="16"/>
        </w:rPr>
        <w:t> </w:t>
      </w:r>
      <w:r>
        <w:rPr>
          <w:w w:val="115"/>
          <w:sz w:val="16"/>
        </w:rPr>
        <w:t>internacionales</w:t>
      </w:r>
      <w:r>
        <w:rPr>
          <w:spacing w:val="-24"/>
          <w:w w:val="115"/>
          <w:sz w:val="16"/>
        </w:rPr>
        <w:t> </w:t>
      </w:r>
      <w:r>
        <w:rPr>
          <w:w w:val="115"/>
          <w:sz w:val="16"/>
        </w:rPr>
        <w:t>(CEPal, </w:t>
      </w:r>
      <w:r>
        <w:rPr>
          <w:w w:val="105"/>
          <w:sz w:val="16"/>
        </w:rPr>
        <w:t>2014:</w:t>
      </w:r>
      <w:r>
        <w:rPr>
          <w:spacing w:val="-22"/>
          <w:w w:val="105"/>
          <w:sz w:val="16"/>
        </w:rPr>
        <w:t> </w:t>
      </w:r>
      <w:r>
        <w:rPr>
          <w:w w:val="105"/>
          <w:sz w:val="16"/>
        </w:rPr>
        <w:t>81-83).</w:t>
      </w:r>
    </w:p>
    <w:p>
      <w:pPr>
        <w:spacing w:after="0" w:line="242" w:lineRule="auto"/>
        <w:jc w:val="both"/>
        <w:rPr>
          <w:sz w:val="16"/>
        </w:rPr>
        <w:sectPr>
          <w:footerReference w:type="default" r:id="rId560"/>
          <w:footerReference w:type="even" r:id="rId561"/>
          <w:pgSz w:w="8790" w:h="12760"/>
          <w:pgMar w:footer="725" w:header="695" w:top="880" w:bottom="920" w:left="680" w:right="900"/>
        </w:sectPr>
      </w:pPr>
    </w:p>
    <w:p>
      <w:pPr>
        <w:pStyle w:val="BodyText"/>
        <w:spacing w:before="6"/>
        <w:rPr>
          <w:sz w:val="28"/>
        </w:rPr>
      </w:pPr>
    </w:p>
    <w:p>
      <w:pPr>
        <w:pStyle w:val="Heading6"/>
        <w:spacing w:before="68"/>
      </w:pPr>
      <w:r>
        <w:rPr>
          <w:w w:val="140"/>
        </w:rPr>
        <w:t>consideraciones finales</w:t>
      </w:r>
    </w:p>
    <w:p>
      <w:pPr>
        <w:pStyle w:val="BodyText"/>
        <w:spacing w:line="252" w:lineRule="auto" w:before="10"/>
        <w:ind w:left="100" w:right="328"/>
        <w:jc w:val="both"/>
      </w:pPr>
      <w:r>
        <w:rPr>
          <w:w w:val="243"/>
        </w:rPr>
        <w:t>l</w:t>
      </w:r>
      <w:r>
        <w:rPr>
          <w:w w:val="112"/>
        </w:rPr>
        <w:t>a</w:t>
      </w:r>
      <w:r>
        <w:rPr/>
        <w:t> </w:t>
      </w:r>
      <w:r>
        <w:rPr>
          <w:spacing w:val="7"/>
        </w:rPr>
        <w:t> </w:t>
      </w:r>
      <w:r>
        <w:rPr>
          <w:w w:val="109"/>
        </w:rPr>
        <w:t>crisis</w:t>
      </w:r>
      <w:r>
        <w:rPr/>
        <w:t> </w:t>
      </w:r>
      <w:r>
        <w:rPr>
          <w:spacing w:val="7"/>
        </w:rPr>
        <w:t> </w:t>
      </w:r>
      <w:r>
        <w:rPr>
          <w:w w:val="112"/>
        </w:rPr>
        <w:t>económica</w:t>
      </w:r>
      <w:r>
        <w:rPr/>
        <w:t> </w:t>
      </w:r>
      <w:r>
        <w:rPr>
          <w:spacing w:val="7"/>
        </w:rPr>
        <w:t> </w:t>
      </w:r>
      <w:r>
        <w:rPr>
          <w:w w:val="110"/>
        </w:rPr>
        <w:t>internacional</w:t>
      </w:r>
      <w:r>
        <w:rPr/>
        <w:t> </w:t>
      </w:r>
      <w:r>
        <w:rPr>
          <w:spacing w:val="7"/>
        </w:rPr>
        <w:t> </w:t>
      </w:r>
      <w:r>
        <w:rPr>
          <w:w w:val="112"/>
        </w:rPr>
        <w:t>catalizó</w:t>
      </w:r>
      <w:r>
        <w:rPr/>
        <w:t> </w:t>
      </w:r>
      <w:r>
        <w:rPr>
          <w:spacing w:val="7"/>
        </w:rPr>
        <w:t> </w:t>
      </w:r>
      <w:r>
        <w:rPr>
          <w:w w:val="112"/>
        </w:rPr>
        <w:t>un</w:t>
      </w:r>
      <w:r>
        <w:rPr/>
        <w:t> </w:t>
      </w:r>
      <w:r>
        <w:rPr>
          <w:spacing w:val="7"/>
        </w:rPr>
        <w:t> </w:t>
      </w:r>
      <w:r>
        <w:rPr>
          <w:w w:val="108"/>
        </w:rPr>
        <w:t>proceso</w:t>
      </w:r>
      <w:r>
        <w:rPr/>
        <w:t> </w:t>
      </w:r>
      <w:r>
        <w:rPr>
          <w:spacing w:val="7"/>
        </w:rPr>
        <w:t> </w:t>
      </w:r>
      <w:r>
        <w:rPr>
          <w:w w:val="107"/>
        </w:rPr>
        <w:t>de</w:t>
      </w:r>
      <w:r>
        <w:rPr/>
        <w:t> </w:t>
      </w:r>
      <w:r>
        <w:rPr>
          <w:spacing w:val="7"/>
        </w:rPr>
        <w:t> </w:t>
      </w:r>
      <w:r>
        <w:rPr>
          <w:w w:val="109"/>
        </w:rPr>
        <w:t>transfo</w:t>
      </w:r>
      <w:r>
        <w:rPr>
          <w:spacing w:val="-15"/>
          <w:w w:val="109"/>
        </w:rPr>
        <w:t>r</w:t>
      </w:r>
      <w:r>
        <w:rPr>
          <w:w w:val="102"/>
        </w:rPr>
        <w:t>- </w:t>
      </w:r>
      <w:r>
        <w:rPr>
          <w:w w:val="115"/>
        </w:rPr>
        <w:t>maciones en la transmisión de impulsos cíclicos desde la economía </w:t>
      </w:r>
      <w:r>
        <w:rPr>
          <w:w w:val="107"/>
        </w:rPr>
        <w:t>de</w:t>
      </w:r>
      <w:r>
        <w:rPr/>
        <w:t> </w:t>
      </w:r>
      <w:r>
        <w:rPr>
          <w:spacing w:val="-13"/>
        </w:rPr>
        <w:t> </w:t>
      </w:r>
      <w:r>
        <w:rPr>
          <w:w w:val="111"/>
        </w:rPr>
        <w:t>Estados</w:t>
      </w:r>
      <w:r>
        <w:rPr/>
        <w:t> </w:t>
      </w:r>
      <w:r>
        <w:rPr>
          <w:spacing w:val="-13"/>
        </w:rPr>
        <w:t> </w:t>
      </w:r>
      <w:r>
        <w:rPr>
          <w:w w:val="140"/>
        </w:rPr>
        <w:t>u</w:t>
      </w:r>
      <w:r>
        <w:rPr>
          <w:w w:val="110"/>
        </w:rPr>
        <w:t>nidos</w:t>
      </w:r>
      <w:r>
        <w:rPr/>
        <w:t> </w:t>
      </w:r>
      <w:r>
        <w:rPr>
          <w:spacing w:val="-13"/>
        </w:rPr>
        <w:t> </w:t>
      </w:r>
      <w:r>
        <w:rPr>
          <w:w w:val="113"/>
        </w:rPr>
        <w:t>hacia</w:t>
      </w:r>
      <w:r>
        <w:rPr/>
        <w:t> </w:t>
      </w:r>
      <w:r>
        <w:rPr>
          <w:spacing w:val="-13"/>
        </w:rPr>
        <w:t> </w:t>
      </w:r>
      <w:r>
        <w:rPr>
          <w:w w:val="139"/>
        </w:rPr>
        <w:t>a</w:t>
      </w:r>
      <w:r>
        <w:rPr>
          <w:w w:val="111"/>
        </w:rPr>
        <w:t>mérica</w:t>
      </w:r>
      <w:r>
        <w:rPr/>
        <w:t> </w:t>
      </w:r>
      <w:r>
        <w:rPr>
          <w:spacing w:val="-13"/>
        </w:rPr>
        <w:t> </w:t>
      </w:r>
      <w:r>
        <w:rPr>
          <w:w w:val="243"/>
        </w:rPr>
        <w:t>l</w:t>
      </w:r>
      <w:r>
        <w:rPr>
          <w:w w:val="111"/>
        </w:rPr>
        <w:t>atina</w:t>
      </w:r>
      <w:r>
        <w:rPr/>
        <w:t> </w:t>
      </w:r>
      <w:r>
        <w:rPr>
          <w:spacing w:val="-13"/>
        </w:rPr>
        <w:t> </w:t>
      </w:r>
      <w:r>
        <w:rPr>
          <w:w w:val="105"/>
        </w:rPr>
        <w:t>y</w:t>
      </w:r>
      <w:r>
        <w:rPr/>
        <w:t> </w:t>
      </w:r>
      <w:r>
        <w:rPr>
          <w:spacing w:val="-13"/>
        </w:rPr>
        <w:t> </w:t>
      </w:r>
      <w:r>
        <w:rPr>
          <w:w w:val="107"/>
        </w:rPr>
        <w:t>el</w:t>
      </w:r>
      <w:r>
        <w:rPr/>
        <w:t> </w:t>
      </w:r>
      <w:r>
        <w:rPr>
          <w:spacing w:val="-13"/>
        </w:rPr>
        <w:t> </w:t>
      </w:r>
      <w:r>
        <w:rPr>
          <w:w w:val="114"/>
        </w:rPr>
        <w:t>Caribe,</w:t>
      </w:r>
      <w:r>
        <w:rPr/>
        <w:t> </w:t>
      </w:r>
      <w:r>
        <w:rPr>
          <w:spacing w:val="-13"/>
        </w:rPr>
        <w:t> </w:t>
      </w:r>
      <w:r>
        <w:rPr>
          <w:w w:val="110"/>
        </w:rPr>
        <w:t>modificándose </w:t>
      </w:r>
      <w:r>
        <w:rPr>
          <w:w w:val="115"/>
        </w:rPr>
        <w:t>sustancialmente</w:t>
      </w:r>
      <w:r>
        <w:rPr>
          <w:spacing w:val="-7"/>
          <w:w w:val="115"/>
        </w:rPr>
        <w:t> </w:t>
      </w:r>
      <w:r>
        <w:rPr>
          <w:w w:val="115"/>
        </w:rPr>
        <w:t>en</w:t>
      </w:r>
      <w:r>
        <w:rPr>
          <w:spacing w:val="-7"/>
          <w:w w:val="115"/>
        </w:rPr>
        <w:t> </w:t>
      </w:r>
      <w:r>
        <w:rPr>
          <w:w w:val="115"/>
        </w:rPr>
        <w:t>comparación</w:t>
      </w:r>
      <w:r>
        <w:rPr>
          <w:spacing w:val="-7"/>
          <w:w w:val="115"/>
        </w:rPr>
        <w:t> </w:t>
      </w:r>
      <w:r>
        <w:rPr>
          <w:w w:val="115"/>
        </w:rPr>
        <w:t>con</w:t>
      </w:r>
      <w:r>
        <w:rPr>
          <w:spacing w:val="-7"/>
          <w:w w:val="115"/>
        </w:rPr>
        <w:t> </w:t>
      </w:r>
      <w:r>
        <w:rPr>
          <w:w w:val="115"/>
        </w:rPr>
        <w:t>el</w:t>
      </w:r>
      <w:r>
        <w:rPr>
          <w:spacing w:val="-7"/>
          <w:w w:val="115"/>
        </w:rPr>
        <w:t> </w:t>
      </w:r>
      <w:r>
        <w:rPr>
          <w:w w:val="115"/>
        </w:rPr>
        <w:t>pasado,</w:t>
      </w:r>
      <w:r>
        <w:rPr>
          <w:spacing w:val="-7"/>
          <w:w w:val="115"/>
        </w:rPr>
        <w:t> </w:t>
      </w:r>
      <w:r>
        <w:rPr>
          <w:w w:val="115"/>
        </w:rPr>
        <w:t>con</w:t>
      </w:r>
      <w:r>
        <w:rPr>
          <w:spacing w:val="-7"/>
          <w:w w:val="115"/>
        </w:rPr>
        <w:t> </w:t>
      </w:r>
      <w:r>
        <w:rPr>
          <w:w w:val="115"/>
        </w:rPr>
        <w:t>mecanismos</w:t>
      </w:r>
      <w:r>
        <w:rPr>
          <w:spacing w:val="-7"/>
          <w:w w:val="115"/>
        </w:rPr>
        <w:t> </w:t>
      </w:r>
      <w:r>
        <w:rPr>
          <w:w w:val="115"/>
        </w:rPr>
        <w:t>de </w:t>
      </w:r>
      <w:r>
        <w:rPr>
          <w:w w:val="110"/>
        </w:rPr>
        <w:t>transmisión de los shocks atemperados y diversificados, especialmen- </w:t>
      </w:r>
      <w:r>
        <w:rPr>
          <w:w w:val="115"/>
        </w:rPr>
        <w:t>te</w:t>
      </w:r>
      <w:r>
        <w:rPr>
          <w:spacing w:val="-26"/>
          <w:w w:val="115"/>
        </w:rPr>
        <w:t> </w:t>
      </w:r>
      <w:r>
        <w:rPr>
          <w:w w:val="115"/>
        </w:rPr>
        <w:t>en</w:t>
      </w:r>
      <w:r>
        <w:rPr>
          <w:spacing w:val="-26"/>
          <w:w w:val="115"/>
        </w:rPr>
        <w:t> </w:t>
      </w:r>
      <w:r>
        <w:rPr>
          <w:w w:val="115"/>
        </w:rPr>
        <w:t>el</w:t>
      </w:r>
      <w:r>
        <w:rPr>
          <w:spacing w:val="-26"/>
          <w:w w:val="115"/>
        </w:rPr>
        <w:t> </w:t>
      </w:r>
      <w:r>
        <w:rPr>
          <w:w w:val="115"/>
        </w:rPr>
        <w:t>plano</w:t>
      </w:r>
      <w:r>
        <w:rPr>
          <w:spacing w:val="-26"/>
          <w:w w:val="115"/>
        </w:rPr>
        <w:t> </w:t>
      </w:r>
      <w:r>
        <w:rPr>
          <w:w w:val="115"/>
        </w:rPr>
        <w:t>monetario-financiero.</w:t>
      </w:r>
      <w:r>
        <w:rPr>
          <w:spacing w:val="-26"/>
          <w:w w:val="115"/>
        </w:rPr>
        <w:t> </w:t>
      </w:r>
      <w:r>
        <w:rPr>
          <w:w w:val="115"/>
        </w:rPr>
        <w:t>No</w:t>
      </w:r>
      <w:r>
        <w:rPr>
          <w:spacing w:val="-26"/>
          <w:w w:val="115"/>
        </w:rPr>
        <w:t> </w:t>
      </w:r>
      <w:r>
        <w:rPr>
          <w:w w:val="115"/>
        </w:rPr>
        <w:t>obstante,</w:t>
      </w:r>
      <w:r>
        <w:rPr>
          <w:spacing w:val="-26"/>
          <w:w w:val="115"/>
        </w:rPr>
        <w:t> </w:t>
      </w:r>
      <w:r>
        <w:rPr>
          <w:w w:val="115"/>
        </w:rPr>
        <w:t>Estados</w:t>
      </w:r>
      <w:r>
        <w:rPr>
          <w:spacing w:val="-26"/>
          <w:w w:val="115"/>
        </w:rPr>
        <w:t> </w:t>
      </w:r>
      <w:r>
        <w:rPr>
          <w:w w:val="115"/>
        </w:rPr>
        <w:t>unidos</w:t>
      </w:r>
      <w:r>
        <w:rPr>
          <w:spacing w:val="-26"/>
          <w:w w:val="115"/>
        </w:rPr>
        <w:t> </w:t>
      </w:r>
      <w:r>
        <w:rPr>
          <w:w w:val="115"/>
        </w:rPr>
        <w:t>con- tinuará teniendo un rol determinante a mediano y largo plazo en la región,</w:t>
      </w:r>
      <w:r>
        <w:rPr>
          <w:spacing w:val="-24"/>
          <w:w w:val="115"/>
        </w:rPr>
        <w:t> </w:t>
      </w:r>
      <w:r>
        <w:rPr>
          <w:w w:val="115"/>
        </w:rPr>
        <w:t>marcado</w:t>
      </w:r>
      <w:r>
        <w:rPr>
          <w:spacing w:val="-24"/>
          <w:w w:val="115"/>
        </w:rPr>
        <w:t> </w:t>
      </w:r>
      <w:r>
        <w:rPr>
          <w:w w:val="115"/>
        </w:rPr>
        <w:t>por</w:t>
      </w:r>
      <w:r>
        <w:rPr>
          <w:spacing w:val="-24"/>
          <w:w w:val="115"/>
        </w:rPr>
        <w:t> </w:t>
      </w:r>
      <w:r>
        <w:rPr>
          <w:w w:val="115"/>
        </w:rPr>
        <w:t>una</w:t>
      </w:r>
      <w:r>
        <w:rPr>
          <w:spacing w:val="-24"/>
          <w:w w:val="115"/>
        </w:rPr>
        <w:t> </w:t>
      </w:r>
      <w:r>
        <w:rPr>
          <w:i/>
          <w:w w:val="115"/>
        </w:rPr>
        <w:t>dependencia</w:t>
      </w:r>
      <w:r>
        <w:rPr>
          <w:i/>
          <w:spacing w:val="-24"/>
          <w:w w:val="115"/>
        </w:rPr>
        <w:t> </w:t>
      </w:r>
      <w:r>
        <w:rPr>
          <w:i/>
          <w:w w:val="115"/>
        </w:rPr>
        <w:t>compleja</w:t>
      </w:r>
      <w:r>
        <w:rPr>
          <w:i/>
          <w:spacing w:val="-24"/>
          <w:w w:val="115"/>
        </w:rPr>
        <w:t> </w:t>
      </w:r>
      <w:r>
        <w:rPr>
          <w:w w:val="115"/>
        </w:rPr>
        <w:t>por</w:t>
      </w:r>
      <w:r>
        <w:rPr>
          <w:spacing w:val="-24"/>
          <w:w w:val="115"/>
        </w:rPr>
        <w:t> </w:t>
      </w:r>
      <w:r>
        <w:rPr>
          <w:w w:val="115"/>
        </w:rPr>
        <w:t>parte</w:t>
      </w:r>
      <w:r>
        <w:rPr>
          <w:spacing w:val="-24"/>
          <w:w w:val="115"/>
        </w:rPr>
        <w:t> </w:t>
      </w:r>
      <w:r>
        <w:rPr>
          <w:w w:val="115"/>
        </w:rPr>
        <w:t>de</w:t>
      </w:r>
      <w:r>
        <w:rPr>
          <w:spacing w:val="-24"/>
          <w:w w:val="115"/>
        </w:rPr>
        <w:t> </w:t>
      </w:r>
      <w:r>
        <w:rPr>
          <w:w w:val="115"/>
        </w:rPr>
        <w:t>la</w:t>
      </w:r>
      <w:r>
        <w:rPr>
          <w:spacing w:val="-24"/>
          <w:w w:val="115"/>
        </w:rPr>
        <w:t> </w:t>
      </w:r>
      <w:r>
        <w:rPr>
          <w:w w:val="115"/>
        </w:rPr>
        <w:t>región, en</w:t>
      </w:r>
      <w:r>
        <w:rPr>
          <w:spacing w:val="-25"/>
          <w:w w:val="115"/>
        </w:rPr>
        <w:t> </w:t>
      </w:r>
      <w:r>
        <w:rPr>
          <w:w w:val="115"/>
        </w:rPr>
        <w:t>un</w:t>
      </w:r>
      <w:r>
        <w:rPr>
          <w:spacing w:val="-25"/>
          <w:w w:val="115"/>
        </w:rPr>
        <w:t> </w:t>
      </w:r>
      <w:r>
        <w:rPr>
          <w:w w:val="115"/>
        </w:rPr>
        <w:t>nuevo</w:t>
      </w:r>
      <w:r>
        <w:rPr>
          <w:spacing w:val="-25"/>
          <w:w w:val="115"/>
        </w:rPr>
        <w:t> </w:t>
      </w:r>
      <w:r>
        <w:rPr>
          <w:w w:val="115"/>
        </w:rPr>
        <w:t>contexto</w:t>
      </w:r>
      <w:r>
        <w:rPr>
          <w:spacing w:val="-25"/>
          <w:w w:val="115"/>
        </w:rPr>
        <w:t> </w:t>
      </w:r>
      <w:r>
        <w:rPr>
          <w:w w:val="115"/>
        </w:rPr>
        <w:t>económico</w:t>
      </w:r>
      <w:r>
        <w:rPr>
          <w:spacing w:val="-25"/>
          <w:w w:val="115"/>
        </w:rPr>
        <w:t> </w:t>
      </w:r>
      <w:r>
        <w:rPr>
          <w:w w:val="115"/>
        </w:rPr>
        <w:t>internacional.</w:t>
      </w:r>
    </w:p>
    <w:p>
      <w:pPr>
        <w:pStyle w:val="BodyText"/>
        <w:spacing w:line="252" w:lineRule="auto"/>
        <w:ind w:left="100" w:right="325" w:firstLine="396"/>
        <w:jc w:val="both"/>
      </w:pPr>
      <w:r>
        <w:rPr>
          <w:spacing w:val="1"/>
          <w:w w:val="243"/>
        </w:rPr>
        <w:t>l</w:t>
      </w:r>
      <w:r>
        <w:rPr>
          <w:w w:val="112"/>
        </w:rPr>
        <w:t>a</w:t>
      </w:r>
      <w:r>
        <w:rPr/>
        <w:t> </w:t>
      </w:r>
      <w:r>
        <w:rPr>
          <w:spacing w:val="-16"/>
        </w:rPr>
        <w:t> </w:t>
      </w:r>
      <w:r>
        <w:rPr>
          <w:spacing w:val="1"/>
          <w:w w:val="109"/>
        </w:rPr>
        <w:t>emergenci</w:t>
      </w:r>
      <w:r>
        <w:rPr>
          <w:w w:val="109"/>
        </w:rPr>
        <w:t>a</w:t>
      </w:r>
      <w:r>
        <w:rPr/>
        <w:t> </w:t>
      </w:r>
      <w:r>
        <w:rPr>
          <w:spacing w:val="-16"/>
        </w:rPr>
        <w:t> </w:t>
      </w:r>
      <w:r>
        <w:rPr>
          <w:spacing w:val="1"/>
          <w:w w:val="107"/>
        </w:rPr>
        <w:t>d</w:t>
      </w:r>
      <w:r>
        <w:rPr>
          <w:w w:val="107"/>
        </w:rPr>
        <w:t>e</w:t>
      </w:r>
      <w:r>
        <w:rPr/>
        <w:t> </w:t>
      </w:r>
      <w:r>
        <w:rPr>
          <w:spacing w:val="-16"/>
        </w:rPr>
        <w:t> </w:t>
      </w:r>
      <w:r>
        <w:rPr>
          <w:spacing w:val="1"/>
          <w:w w:val="109"/>
        </w:rPr>
        <w:t>episodio</w:t>
      </w:r>
      <w:r>
        <w:rPr>
          <w:w w:val="109"/>
        </w:rPr>
        <w:t>s</w:t>
      </w:r>
      <w:r>
        <w:rPr/>
        <w:t> </w:t>
      </w:r>
      <w:r>
        <w:rPr>
          <w:spacing w:val="-16"/>
        </w:rPr>
        <w:t> </w:t>
      </w:r>
      <w:r>
        <w:rPr>
          <w:spacing w:val="1"/>
          <w:w w:val="108"/>
        </w:rPr>
        <w:t>relativament</w:t>
      </w:r>
      <w:r>
        <w:rPr>
          <w:w w:val="108"/>
        </w:rPr>
        <w:t>e</w:t>
      </w:r>
      <w:r>
        <w:rPr/>
        <w:t> </w:t>
      </w:r>
      <w:r>
        <w:rPr>
          <w:spacing w:val="-16"/>
        </w:rPr>
        <w:t> </w:t>
      </w:r>
      <w:r>
        <w:rPr>
          <w:spacing w:val="1"/>
          <w:w w:val="109"/>
        </w:rPr>
        <w:t>corto</w:t>
      </w:r>
      <w:r>
        <w:rPr>
          <w:w w:val="109"/>
        </w:rPr>
        <w:t>s</w:t>
      </w:r>
      <w:r>
        <w:rPr/>
        <w:t> </w:t>
      </w:r>
      <w:r>
        <w:rPr>
          <w:spacing w:val="-16"/>
        </w:rPr>
        <w:t> </w:t>
      </w:r>
      <w:r>
        <w:rPr>
          <w:spacing w:val="1"/>
          <w:w w:val="107"/>
        </w:rPr>
        <w:t>d</w:t>
      </w:r>
      <w:r>
        <w:rPr>
          <w:w w:val="107"/>
        </w:rPr>
        <w:t>e</w:t>
      </w:r>
      <w:r>
        <w:rPr/>
        <w:t> </w:t>
      </w:r>
      <w:r>
        <w:rPr>
          <w:spacing w:val="-16"/>
        </w:rPr>
        <w:t> </w:t>
      </w:r>
      <w:r>
        <w:rPr>
          <w:spacing w:val="1"/>
          <w:w w:val="111"/>
        </w:rPr>
        <w:t>asincronía </w:t>
      </w:r>
      <w:r>
        <w:rPr>
          <w:w w:val="115"/>
        </w:rPr>
        <w:t>económica –</w:t>
      </w:r>
      <w:r>
        <w:rPr>
          <w:i/>
          <w:w w:val="115"/>
        </w:rPr>
        <w:t>desacoplamiento</w:t>
      </w:r>
      <w:r>
        <w:rPr>
          <w:w w:val="115"/>
        </w:rPr>
        <w:t>– durante la reciente crisis económica </w:t>
      </w:r>
      <w:r>
        <w:rPr>
          <w:spacing w:val="1"/>
          <w:w w:val="110"/>
        </w:rPr>
        <w:t>internaciona</w:t>
      </w:r>
      <w:r>
        <w:rPr>
          <w:w w:val="110"/>
        </w:rPr>
        <w:t>l</w:t>
      </w:r>
      <w:r>
        <w:rPr>
          <w:spacing w:val="7"/>
        </w:rPr>
        <w:t> </w:t>
      </w:r>
      <w:r>
        <w:rPr>
          <w:spacing w:val="1"/>
          <w:w w:val="108"/>
        </w:rPr>
        <w:t>e</w:t>
      </w:r>
      <w:r>
        <w:rPr>
          <w:w w:val="108"/>
        </w:rPr>
        <w:t>n</w:t>
      </w:r>
      <w:r>
        <w:rPr>
          <w:spacing w:val="7"/>
        </w:rPr>
        <w:t> </w:t>
      </w:r>
      <w:r>
        <w:rPr>
          <w:spacing w:val="1"/>
          <w:w w:val="139"/>
        </w:rPr>
        <w:t>a</w:t>
      </w:r>
      <w:r>
        <w:rPr>
          <w:spacing w:val="1"/>
          <w:w w:val="111"/>
        </w:rPr>
        <w:t>méric</w:t>
      </w:r>
      <w:r>
        <w:rPr>
          <w:w w:val="111"/>
        </w:rPr>
        <w:t>a</w:t>
      </w:r>
      <w:r>
        <w:rPr>
          <w:spacing w:val="6"/>
        </w:rPr>
        <w:t> </w:t>
      </w:r>
      <w:r>
        <w:rPr>
          <w:spacing w:val="1"/>
          <w:w w:val="243"/>
        </w:rPr>
        <w:t>l</w:t>
      </w:r>
      <w:r>
        <w:rPr>
          <w:spacing w:val="1"/>
          <w:w w:val="111"/>
        </w:rPr>
        <w:t>atin</w:t>
      </w:r>
      <w:r>
        <w:rPr>
          <w:w w:val="111"/>
        </w:rPr>
        <w:t>a</w:t>
      </w:r>
      <w:r>
        <w:rPr>
          <w:spacing w:val="6"/>
        </w:rPr>
        <w:t> </w:t>
      </w:r>
      <w:r>
        <w:rPr>
          <w:w w:val="105"/>
        </w:rPr>
        <w:t>y</w:t>
      </w:r>
      <w:r>
        <w:rPr>
          <w:spacing w:val="7"/>
        </w:rPr>
        <w:t> </w:t>
      </w:r>
      <w:r>
        <w:rPr>
          <w:spacing w:val="1"/>
          <w:w w:val="107"/>
        </w:rPr>
        <w:t>e</w:t>
      </w:r>
      <w:r>
        <w:rPr>
          <w:w w:val="107"/>
        </w:rPr>
        <w:t>l</w:t>
      </w:r>
      <w:r>
        <w:rPr>
          <w:spacing w:val="6"/>
        </w:rPr>
        <w:t> </w:t>
      </w:r>
      <w:r>
        <w:rPr>
          <w:spacing w:val="1"/>
          <w:w w:val="114"/>
        </w:rPr>
        <w:t>Caribe</w:t>
      </w:r>
      <w:r>
        <w:rPr>
          <w:w w:val="114"/>
        </w:rPr>
        <w:t>,</w:t>
      </w:r>
      <w:r>
        <w:rPr>
          <w:spacing w:val="7"/>
        </w:rPr>
        <w:t> </w:t>
      </w:r>
      <w:r>
        <w:rPr>
          <w:spacing w:val="1"/>
          <w:w w:val="110"/>
        </w:rPr>
        <w:t>di</w:t>
      </w:r>
      <w:r>
        <w:rPr>
          <w:w w:val="110"/>
        </w:rPr>
        <w:t>o</w:t>
      </w:r>
      <w:r>
        <w:rPr>
          <w:spacing w:val="7"/>
        </w:rPr>
        <w:t> </w:t>
      </w:r>
      <w:r>
        <w:rPr>
          <w:spacing w:val="1"/>
          <w:w w:val="110"/>
        </w:rPr>
        <w:t>cuent</w:t>
      </w:r>
      <w:r>
        <w:rPr>
          <w:w w:val="110"/>
        </w:rPr>
        <w:t>a</w:t>
      </w:r>
      <w:r>
        <w:rPr>
          <w:spacing w:val="6"/>
        </w:rPr>
        <w:t> </w:t>
      </w:r>
      <w:r>
        <w:rPr>
          <w:spacing w:val="1"/>
          <w:w w:val="107"/>
        </w:rPr>
        <w:t>d</w:t>
      </w:r>
      <w:r>
        <w:rPr>
          <w:w w:val="107"/>
        </w:rPr>
        <w:t>e</w:t>
      </w:r>
      <w:r>
        <w:rPr>
          <w:spacing w:val="7"/>
        </w:rPr>
        <w:t> </w:t>
      </w:r>
      <w:r>
        <w:rPr>
          <w:spacing w:val="1"/>
          <w:w w:val="111"/>
        </w:rPr>
        <w:t>l</w:t>
      </w:r>
      <w:r>
        <w:rPr>
          <w:w w:val="111"/>
        </w:rPr>
        <w:t>a</w:t>
      </w:r>
      <w:r>
        <w:rPr>
          <w:spacing w:val="6"/>
        </w:rPr>
        <w:t> </w:t>
      </w:r>
      <w:r>
        <w:rPr>
          <w:spacing w:val="1"/>
          <w:w w:val="108"/>
        </w:rPr>
        <w:t>existen</w:t>
      </w:r>
      <w:r>
        <w:rPr>
          <w:w w:val="102"/>
        </w:rPr>
        <w:t>- </w:t>
      </w:r>
      <w:r>
        <w:rPr>
          <w:w w:val="115"/>
        </w:rPr>
        <w:t>cia de determinados grados de resistencia. sin embargo, los episo- dios</w:t>
      </w:r>
      <w:r>
        <w:rPr>
          <w:spacing w:val="-18"/>
          <w:w w:val="115"/>
        </w:rPr>
        <w:t> </w:t>
      </w:r>
      <w:r>
        <w:rPr>
          <w:w w:val="115"/>
        </w:rPr>
        <w:t>de</w:t>
      </w:r>
      <w:r>
        <w:rPr>
          <w:spacing w:val="-18"/>
          <w:w w:val="115"/>
        </w:rPr>
        <w:t> </w:t>
      </w:r>
      <w:r>
        <w:rPr>
          <w:w w:val="115"/>
        </w:rPr>
        <w:t>reacoplamiento</w:t>
      </w:r>
      <w:r>
        <w:rPr>
          <w:spacing w:val="-18"/>
          <w:w w:val="115"/>
        </w:rPr>
        <w:t> </w:t>
      </w:r>
      <w:r>
        <w:rPr>
          <w:w w:val="115"/>
        </w:rPr>
        <w:t>(</w:t>
      </w:r>
      <w:r>
        <w:rPr>
          <w:i/>
          <w:w w:val="115"/>
        </w:rPr>
        <w:t>recoupling</w:t>
      </w:r>
      <w:r>
        <w:rPr>
          <w:w w:val="115"/>
        </w:rPr>
        <w:t>)</w:t>
      </w:r>
      <w:r>
        <w:rPr>
          <w:spacing w:val="-18"/>
          <w:w w:val="115"/>
        </w:rPr>
        <w:t> </w:t>
      </w:r>
      <w:r>
        <w:rPr>
          <w:w w:val="115"/>
        </w:rPr>
        <w:t>–o</w:t>
      </w:r>
      <w:r>
        <w:rPr>
          <w:spacing w:val="-18"/>
          <w:w w:val="115"/>
        </w:rPr>
        <w:t> </w:t>
      </w:r>
      <w:r>
        <w:rPr>
          <w:w w:val="115"/>
        </w:rPr>
        <w:t>sea</w:t>
      </w:r>
      <w:r>
        <w:rPr>
          <w:spacing w:val="-18"/>
          <w:w w:val="115"/>
        </w:rPr>
        <w:t> </w:t>
      </w:r>
      <w:r>
        <w:rPr>
          <w:w w:val="115"/>
        </w:rPr>
        <w:t>de</w:t>
      </w:r>
      <w:r>
        <w:rPr>
          <w:spacing w:val="-18"/>
          <w:w w:val="115"/>
        </w:rPr>
        <w:t> </w:t>
      </w:r>
      <w:r>
        <w:rPr>
          <w:w w:val="115"/>
        </w:rPr>
        <w:t>mayor</w:t>
      </w:r>
      <w:r>
        <w:rPr>
          <w:spacing w:val="-18"/>
          <w:w w:val="115"/>
        </w:rPr>
        <w:t> </w:t>
      </w:r>
      <w:r>
        <w:rPr>
          <w:w w:val="115"/>
        </w:rPr>
        <w:t>influencia</w:t>
      </w:r>
      <w:r>
        <w:rPr>
          <w:spacing w:val="-18"/>
          <w:w w:val="115"/>
        </w:rPr>
        <w:t> </w:t>
      </w:r>
      <w:r>
        <w:rPr>
          <w:w w:val="115"/>
        </w:rPr>
        <w:t>de</w:t>
      </w:r>
      <w:r>
        <w:rPr>
          <w:spacing w:val="-18"/>
          <w:w w:val="115"/>
        </w:rPr>
        <w:t> </w:t>
      </w:r>
      <w:r>
        <w:rPr>
          <w:w w:val="115"/>
        </w:rPr>
        <w:t>la dinámica económica de Estados unidos sobre el resto de los países en</w:t>
      </w:r>
      <w:r>
        <w:rPr>
          <w:spacing w:val="-13"/>
          <w:w w:val="115"/>
        </w:rPr>
        <w:t> </w:t>
      </w:r>
      <w:r>
        <w:rPr>
          <w:w w:val="115"/>
        </w:rPr>
        <w:t>2009–,</w:t>
      </w:r>
      <w:r>
        <w:rPr>
          <w:spacing w:val="-13"/>
          <w:w w:val="115"/>
        </w:rPr>
        <w:t> </w:t>
      </w:r>
      <w:r>
        <w:rPr>
          <w:w w:val="115"/>
        </w:rPr>
        <w:t>así</w:t>
      </w:r>
      <w:r>
        <w:rPr>
          <w:spacing w:val="-13"/>
          <w:w w:val="115"/>
        </w:rPr>
        <w:t> </w:t>
      </w:r>
      <w:r>
        <w:rPr>
          <w:w w:val="115"/>
        </w:rPr>
        <w:t>como</w:t>
      </w:r>
      <w:r>
        <w:rPr>
          <w:spacing w:val="-13"/>
          <w:w w:val="115"/>
        </w:rPr>
        <w:t> </w:t>
      </w:r>
      <w:r>
        <w:rPr>
          <w:w w:val="115"/>
        </w:rPr>
        <w:t>la</w:t>
      </w:r>
      <w:r>
        <w:rPr>
          <w:spacing w:val="-13"/>
          <w:w w:val="115"/>
        </w:rPr>
        <w:t> </w:t>
      </w:r>
      <w:r>
        <w:rPr>
          <w:w w:val="115"/>
        </w:rPr>
        <w:t>relativa</w:t>
      </w:r>
      <w:r>
        <w:rPr>
          <w:spacing w:val="-13"/>
          <w:w w:val="115"/>
        </w:rPr>
        <w:t> </w:t>
      </w:r>
      <w:r>
        <w:rPr>
          <w:w w:val="115"/>
        </w:rPr>
        <w:t>recuperación</w:t>
      </w:r>
      <w:r>
        <w:rPr>
          <w:spacing w:val="-13"/>
          <w:w w:val="115"/>
        </w:rPr>
        <w:t> </w:t>
      </w:r>
      <w:r>
        <w:rPr>
          <w:w w:val="115"/>
        </w:rPr>
        <w:t>reciente</w:t>
      </w:r>
      <w:r>
        <w:rPr>
          <w:spacing w:val="-13"/>
          <w:w w:val="115"/>
        </w:rPr>
        <w:t> </w:t>
      </w:r>
      <w:r>
        <w:rPr>
          <w:w w:val="115"/>
        </w:rPr>
        <w:t>de</w:t>
      </w:r>
      <w:r>
        <w:rPr>
          <w:spacing w:val="-13"/>
          <w:w w:val="115"/>
        </w:rPr>
        <w:t> </w:t>
      </w:r>
      <w:r>
        <w:rPr>
          <w:w w:val="115"/>
        </w:rPr>
        <w:t>Estados</w:t>
      </w:r>
      <w:r>
        <w:rPr>
          <w:spacing w:val="-13"/>
          <w:w w:val="115"/>
        </w:rPr>
        <w:t> </w:t>
      </w:r>
      <w:r>
        <w:rPr>
          <w:w w:val="115"/>
        </w:rPr>
        <w:t>uni- dos en la región, podrían agotar las posibilidades de una inserción </w:t>
      </w:r>
      <w:r>
        <w:rPr>
          <w:spacing w:val="1"/>
          <w:w w:val="111"/>
        </w:rPr>
        <w:t>má</w:t>
      </w:r>
      <w:r>
        <w:rPr>
          <w:w w:val="111"/>
        </w:rPr>
        <w:t>s</w:t>
      </w:r>
      <w:r>
        <w:rPr>
          <w:spacing w:val="14"/>
        </w:rPr>
        <w:t> </w:t>
      </w:r>
      <w:r>
        <w:rPr>
          <w:spacing w:val="1"/>
          <w:w w:val="107"/>
        </w:rPr>
        <w:t>diversi</w:t>
      </w:r>
      <w:r>
        <w:rPr>
          <w:w w:val="104"/>
        </w:rPr>
        <w:t>fi</w:t>
      </w:r>
      <w:r>
        <w:rPr>
          <w:spacing w:val="1"/>
          <w:w w:val="114"/>
        </w:rPr>
        <w:t>cada</w:t>
      </w:r>
      <w:r>
        <w:rPr>
          <w:w w:val="114"/>
        </w:rPr>
        <w:t>.</w:t>
      </w:r>
      <w:r>
        <w:rPr>
          <w:spacing w:val="14"/>
        </w:rPr>
        <w:t> </w:t>
      </w:r>
      <w:r>
        <w:rPr>
          <w:spacing w:val="1"/>
          <w:w w:val="243"/>
        </w:rPr>
        <w:t>l</w:t>
      </w:r>
      <w:r>
        <w:rPr>
          <w:spacing w:val="1"/>
          <w:w w:val="109"/>
        </w:rPr>
        <w:t>a</w:t>
      </w:r>
      <w:r>
        <w:rPr>
          <w:w w:val="109"/>
        </w:rPr>
        <w:t>s</w:t>
      </w:r>
      <w:r>
        <w:rPr>
          <w:spacing w:val="14"/>
        </w:rPr>
        <w:t> </w:t>
      </w:r>
      <w:r>
        <w:rPr>
          <w:spacing w:val="1"/>
          <w:w w:val="107"/>
        </w:rPr>
        <w:t>perspectiva</w:t>
      </w:r>
      <w:r>
        <w:rPr>
          <w:w w:val="107"/>
        </w:rPr>
        <w:t>s</w:t>
      </w:r>
      <w:r>
        <w:rPr>
          <w:spacing w:val="14"/>
        </w:rPr>
        <w:t> </w:t>
      </w:r>
      <w:r>
        <w:rPr>
          <w:spacing w:val="1"/>
          <w:w w:val="107"/>
        </w:rPr>
        <w:t>d</w:t>
      </w:r>
      <w:r>
        <w:rPr>
          <w:w w:val="107"/>
        </w:rPr>
        <w:t>e</w:t>
      </w:r>
      <w:r>
        <w:rPr>
          <w:spacing w:val="14"/>
        </w:rPr>
        <w:t> </w:t>
      </w:r>
      <w:r>
        <w:rPr>
          <w:spacing w:val="1"/>
          <w:w w:val="109"/>
        </w:rPr>
        <w:t>desaceleració</w:t>
      </w:r>
      <w:r>
        <w:rPr>
          <w:w w:val="109"/>
        </w:rPr>
        <w:t>n</w:t>
      </w:r>
      <w:r>
        <w:rPr>
          <w:spacing w:val="14"/>
        </w:rPr>
        <w:t> </w:t>
      </w:r>
      <w:r>
        <w:rPr>
          <w:spacing w:val="1"/>
          <w:w w:val="107"/>
        </w:rPr>
        <w:t>de</w:t>
      </w:r>
      <w:r>
        <w:rPr>
          <w:w w:val="107"/>
        </w:rPr>
        <w:t>l</w:t>
      </w:r>
      <w:r>
        <w:rPr>
          <w:spacing w:val="14"/>
        </w:rPr>
        <w:t> </w:t>
      </w:r>
      <w:r>
        <w:rPr>
          <w:spacing w:val="1"/>
          <w:w w:val="111"/>
        </w:rPr>
        <w:t>crecimien</w:t>
      </w:r>
      <w:r>
        <w:rPr>
          <w:w w:val="102"/>
        </w:rPr>
        <w:t>- </w:t>
      </w:r>
      <w:r>
        <w:rPr>
          <w:spacing w:val="1"/>
          <w:w w:val="108"/>
        </w:rPr>
        <w:t>t</w:t>
      </w:r>
      <w:r>
        <w:rPr>
          <w:w w:val="108"/>
        </w:rPr>
        <w:t>o</w:t>
      </w:r>
      <w:r>
        <w:rPr/>
        <w:t> </w:t>
      </w:r>
      <w:r>
        <w:rPr>
          <w:spacing w:val="-19"/>
        </w:rPr>
        <w:t> </w:t>
      </w:r>
      <w:r>
        <w:rPr>
          <w:spacing w:val="1"/>
          <w:w w:val="107"/>
        </w:rPr>
        <w:t>d</w:t>
      </w:r>
      <w:r>
        <w:rPr>
          <w:w w:val="107"/>
        </w:rPr>
        <w:t>e</w:t>
      </w:r>
      <w:r>
        <w:rPr/>
        <w:t> </w:t>
      </w:r>
      <w:r>
        <w:rPr>
          <w:spacing w:val="-19"/>
        </w:rPr>
        <w:t> </w:t>
      </w:r>
      <w:r>
        <w:rPr>
          <w:spacing w:val="1"/>
          <w:w w:val="139"/>
        </w:rPr>
        <w:t>a</w:t>
      </w:r>
      <w:r>
        <w:rPr>
          <w:spacing w:val="1"/>
          <w:w w:val="111"/>
        </w:rPr>
        <w:t>méric</w:t>
      </w:r>
      <w:r>
        <w:rPr>
          <w:w w:val="111"/>
        </w:rPr>
        <w:t>a</w:t>
      </w:r>
      <w:r>
        <w:rPr/>
        <w:t> </w:t>
      </w:r>
      <w:r>
        <w:rPr>
          <w:spacing w:val="-19"/>
        </w:rPr>
        <w:t> </w:t>
      </w:r>
      <w:r>
        <w:rPr>
          <w:spacing w:val="1"/>
          <w:w w:val="243"/>
        </w:rPr>
        <w:t>l</w:t>
      </w:r>
      <w:r>
        <w:rPr>
          <w:spacing w:val="1"/>
          <w:w w:val="111"/>
        </w:rPr>
        <w:t>atin</w:t>
      </w:r>
      <w:r>
        <w:rPr>
          <w:w w:val="111"/>
        </w:rPr>
        <w:t>a</w:t>
      </w:r>
      <w:r>
        <w:rPr/>
        <w:t> </w:t>
      </w:r>
      <w:r>
        <w:rPr>
          <w:spacing w:val="-19"/>
        </w:rPr>
        <w:t> </w:t>
      </w:r>
      <w:r>
        <w:rPr>
          <w:w w:val="105"/>
        </w:rPr>
        <w:t>y</w:t>
      </w:r>
      <w:r>
        <w:rPr/>
        <w:t> </w:t>
      </w:r>
      <w:r>
        <w:rPr>
          <w:spacing w:val="-19"/>
        </w:rPr>
        <w:t> </w:t>
      </w:r>
      <w:r>
        <w:rPr>
          <w:spacing w:val="1"/>
          <w:w w:val="107"/>
        </w:rPr>
        <w:t>e</w:t>
      </w:r>
      <w:r>
        <w:rPr>
          <w:w w:val="107"/>
        </w:rPr>
        <w:t>l</w:t>
      </w:r>
      <w:r>
        <w:rPr/>
        <w:t> </w:t>
      </w:r>
      <w:r>
        <w:rPr>
          <w:spacing w:val="-19"/>
        </w:rPr>
        <w:t> </w:t>
      </w:r>
      <w:r>
        <w:rPr>
          <w:spacing w:val="1"/>
          <w:w w:val="112"/>
        </w:rPr>
        <w:t>Carib</w:t>
      </w:r>
      <w:r>
        <w:rPr>
          <w:w w:val="112"/>
        </w:rPr>
        <w:t>e</w:t>
      </w:r>
      <w:r>
        <w:rPr/>
        <w:t> </w:t>
      </w:r>
      <w:r>
        <w:rPr>
          <w:spacing w:val="-19"/>
        </w:rPr>
        <w:t> </w:t>
      </w:r>
      <w:r>
        <w:rPr>
          <w:spacing w:val="1"/>
          <w:w w:val="106"/>
        </w:rPr>
        <w:t>prevista</w:t>
      </w:r>
      <w:r>
        <w:rPr>
          <w:w w:val="106"/>
        </w:rPr>
        <w:t>s</w:t>
      </w:r>
      <w:r>
        <w:rPr/>
        <w:t> </w:t>
      </w:r>
      <w:r>
        <w:rPr>
          <w:spacing w:val="-19"/>
        </w:rPr>
        <w:t> </w:t>
      </w:r>
      <w:r>
        <w:rPr>
          <w:spacing w:val="1"/>
          <w:w w:val="109"/>
        </w:rPr>
        <w:t>par</w:t>
      </w:r>
      <w:r>
        <w:rPr>
          <w:w w:val="109"/>
        </w:rPr>
        <w:t>a</w:t>
      </w:r>
      <w:r>
        <w:rPr/>
        <w:t> </w:t>
      </w:r>
      <w:r>
        <w:rPr>
          <w:spacing w:val="-19"/>
        </w:rPr>
        <w:t> </w:t>
      </w:r>
      <w:r>
        <w:rPr>
          <w:spacing w:val="1"/>
          <w:w w:val="102"/>
        </w:rPr>
        <w:t>201</w:t>
      </w:r>
      <w:r>
        <w:rPr>
          <w:w w:val="102"/>
        </w:rPr>
        <w:t>4</w:t>
      </w:r>
      <w:r>
        <w:rPr/>
        <w:t> </w:t>
      </w:r>
      <w:r>
        <w:rPr>
          <w:spacing w:val="-19"/>
        </w:rPr>
        <w:t> </w:t>
      </w:r>
      <w:r>
        <w:rPr>
          <w:w w:val="105"/>
        </w:rPr>
        <w:t>y</w:t>
      </w:r>
      <w:r>
        <w:rPr/>
        <w:t> </w:t>
      </w:r>
      <w:r>
        <w:rPr>
          <w:spacing w:val="-19"/>
        </w:rPr>
        <w:t> </w:t>
      </w:r>
      <w:r>
        <w:rPr>
          <w:spacing w:val="1"/>
          <w:w w:val="105"/>
        </w:rPr>
        <w:t>2015</w:t>
      </w:r>
      <w:r>
        <w:rPr>
          <w:w w:val="105"/>
        </w:rPr>
        <w:t>,</w:t>
      </w:r>
      <w:r>
        <w:rPr/>
        <w:t> </w:t>
      </w:r>
      <w:r>
        <w:rPr>
          <w:spacing w:val="-19"/>
        </w:rPr>
        <w:t> </w:t>
      </w:r>
      <w:r>
        <w:rPr>
          <w:spacing w:val="1"/>
          <w:w w:val="105"/>
        </w:rPr>
        <w:t>s</w:t>
      </w:r>
      <w:r>
        <w:rPr>
          <w:w w:val="105"/>
        </w:rPr>
        <w:t>e</w:t>
      </w:r>
      <w:r>
        <w:rPr/>
        <w:t> </w:t>
      </w:r>
      <w:r>
        <w:rPr>
          <w:spacing w:val="-19"/>
        </w:rPr>
        <w:t> </w:t>
      </w:r>
      <w:r>
        <w:rPr>
          <w:spacing w:val="1"/>
          <w:w w:val="111"/>
        </w:rPr>
        <w:t>dan </w:t>
      </w:r>
      <w:r>
        <w:rPr>
          <w:w w:val="115"/>
        </w:rPr>
        <w:t>en</w:t>
      </w:r>
      <w:r>
        <w:rPr>
          <w:spacing w:val="-13"/>
          <w:w w:val="115"/>
        </w:rPr>
        <w:t> </w:t>
      </w:r>
      <w:r>
        <w:rPr>
          <w:w w:val="115"/>
        </w:rPr>
        <w:t>un</w:t>
      </w:r>
      <w:r>
        <w:rPr>
          <w:spacing w:val="-13"/>
          <w:w w:val="115"/>
        </w:rPr>
        <w:t> </w:t>
      </w:r>
      <w:r>
        <w:rPr>
          <w:w w:val="115"/>
        </w:rPr>
        <w:t>contexto</w:t>
      </w:r>
      <w:r>
        <w:rPr>
          <w:spacing w:val="-13"/>
          <w:w w:val="115"/>
        </w:rPr>
        <w:t> </w:t>
      </w:r>
      <w:r>
        <w:rPr>
          <w:w w:val="115"/>
        </w:rPr>
        <w:t>mixto</w:t>
      </w:r>
      <w:r>
        <w:rPr>
          <w:spacing w:val="-13"/>
          <w:w w:val="115"/>
        </w:rPr>
        <w:t> </w:t>
      </w:r>
      <w:r>
        <w:rPr>
          <w:w w:val="115"/>
        </w:rPr>
        <w:t>en</w:t>
      </w:r>
      <w:r>
        <w:rPr>
          <w:spacing w:val="-13"/>
          <w:w w:val="115"/>
        </w:rPr>
        <w:t> </w:t>
      </w:r>
      <w:r>
        <w:rPr>
          <w:w w:val="115"/>
        </w:rPr>
        <w:t>el</w:t>
      </w:r>
      <w:r>
        <w:rPr>
          <w:spacing w:val="-13"/>
          <w:w w:val="115"/>
        </w:rPr>
        <w:t> </w:t>
      </w:r>
      <w:r>
        <w:rPr>
          <w:w w:val="115"/>
        </w:rPr>
        <w:t>cual</w:t>
      </w:r>
      <w:r>
        <w:rPr>
          <w:spacing w:val="-13"/>
          <w:w w:val="115"/>
        </w:rPr>
        <w:t> </w:t>
      </w:r>
      <w:r>
        <w:rPr>
          <w:w w:val="115"/>
        </w:rPr>
        <w:t>Estados</w:t>
      </w:r>
      <w:r>
        <w:rPr>
          <w:spacing w:val="-13"/>
          <w:w w:val="115"/>
        </w:rPr>
        <w:t> </w:t>
      </w:r>
      <w:r>
        <w:rPr>
          <w:w w:val="115"/>
        </w:rPr>
        <w:t>unidos</w:t>
      </w:r>
      <w:r>
        <w:rPr>
          <w:spacing w:val="-13"/>
          <w:w w:val="115"/>
        </w:rPr>
        <w:t> </w:t>
      </w:r>
      <w:r>
        <w:rPr>
          <w:w w:val="115"/>
        </w:rPr>
        <w:t>parece</w:t>
      </w:r>
      <w:r>
        <w:rPr>
          <w:spacing w:val="-13"/>
          <w:w w:val="115"/>
        </w:rPr>
        <w:t> </w:t>
      </w:r>
      <w:r>
        <w:rPr>
          <w:w w:val="115"/>
        </w:rPr>
        <w:t>empezar</w:t>
      </w:r>
      <w:r>
        <w:rPr>
          <w:spacing w:val="-13"/>
          <w:w w:val="115"/>
        </w:rPr>
        <w:t> </w:t>
      </w:r>
      <w:r>
        <w:rPr>
          <w:w w:val="115"/>
        </w:rPr>
        <w:t>a</w:t>
      </w:r>
      <w:r>
        <w:rPr>
          <w:spacing w:val="-13"/>
          <w:w w:val="115"/>
        </w:rPr>
        <w:t> </w:t>
      </w:r>
      <w:r>
        <w:rPr>
          <w:w w:val="115"/>
        </w:rPr>
        <w:t>re- cuperarse de la crisis mientras China se desacelera. Esta tendencia, de mantenerse, pudiera constituirse en una señal adicional de los cambios</w:t>
      </w:r>
      <w:r>
        <w:rPr>
          <w:spacing w:val="-5"/>
          <w:w w:val="115"/>
        </w:rPr>
        <w:t> </w:t>
      </w:r>
      <w:r>
        <w:rPr>
          <w:w w:val="115"/>
        </w:rPr>
        <w:t>operados</w:t>
      </w:r>
      <w:r>
        <w:rPr>
          <w:spacing w:val="-5"/>
          <w:w w:val="115"/>
        </w:rPr>
        <w:t> </w:t>
      </w:r>
      <w:r>
        <w:rPr>
          <w:w w:val="115"/>
        </w:rPr>
        <w:t>en</w:t>
      </w:r>
      <w:r>
        <w:rPr>
          <w:spacing w:val="-5"/>
          <w:w w:val="115"/>
        </w:rPr>
        <w:t> </w:t>
      </w:r>
      <w:r>
        <w:rPr>
          <w:w w:val="115"/>
        </w:rPr>
        <w:t>la</w:t>
      </w:r>
      <w:r>
        <w:rPr>
          <w:spacing w:val="-5"/>
          <w:w w:val="115"/>
        </w:rPr>
        <w:t> </w:t>
      </w:r>
      <w:r>
        <w:rPr>
          <w:w w:val="115"/>
        </w:rPr>
        <w:t>matriz</w:t>
      </w:r>
      <w:r>
        <w:rPr>
          <w:spacing w:val="-5"/>
          <w:w w:val="115"/>
        </w:rPr>
        <w:t> </w:t>
      </w:r>
      <w:r>
        <w:rPr>
          <w:w w:val="115"/>
        </w:rPr>
        <w:t>de</w:t>
      </w:r>
      <w:r>
        <w:rPr>
          <w:spacing w:val="-5"/>
          <w:w w:val="115"/>
        </w:rPr>
        <w:t> </w:t>
      </w:r>
      <w:r>
        <w:rPr>
          <w:w w:val="115"/>
        </w:rPr>
        <w:t>incidencias</w:t>
      </w:r>
      <w:r>
        <w:rPr>
          <w:spacing w:val="-5"/>
          <w:w w:val="115"/>
        </w:rPr>
        <w:t> </w:t>
      </w:r>
      <w:r>
        <w:rPr>
          <w:w w:val="115"/>
        </w:rPr>
        <w:t>en</w:t>
      </w:r>
      <w:r>
        <w:rPr>
          <w:spacing w:val="-5"/>
          <w:w w:val="115"/>
        </w:rPr>
        <w:t> </w:t>
      </w:r>
      <w:r>
        <w:rPr>
          <w:w w:val="115"/>
        </w:rPr>
        <w:t>el</w:t>
      </w:r>
      <w:r>
        <w:rPr>
          <w:spacing w:val="-5"/>
          <w:w w:val="115"/>
        </w:rPr>
        <w:t> </w:t>
      </w:r>
      <w:r>
        <w:rPr>
          <w:w w:val="115"/>
        </w:rPr>
        <w:t>ciclo</w:t>
      </w:r>
      <w:r>
        <w:rPr>
          <w:spacing w:val="-5"/>
          <w:w w:val="115"/>
        </w:rPr>
        <w:t> </w:t>
      </w:r>
      <w:r>
        <w:rPr>
          <w:w w:val="115"/>
        </w:rPr>
        <w:t>económico de la</w:t>
      </w:r>
      <w:r>
        <w:rPr>
          <w:spacing w:val="-14"/>
          <w:w w:val="115"/>
        </w:rPr>
        <w:t> </w:t>
      </w:r>
      <w:r>
        <w:rPr>
          <w:w w:val="115"/>
        </w:rPr>
        <w:t>región.</w:t>
      </w:r>
    </w:p>
    <w:p>
      <w:pPr>
        <w:pStyle w:val="BodyText"/>
        <w:spacing w:line="252" w:lineRule="auto"/>
        <w:ind w:left="100" w:right="328" w:firstLine="396"/>
        <w:jc w:val="both"/>
      </w:pPr>
      <w:r>
        <w:rPr>
          <w:w w:val="243"/>
        </w:rPr>
        <w:t>l</w:t>
      </w:r>
      <w:r>
        <w:rPr>
          <w:w w:val="108"/>
        </w:rPr>
        <w:t>os</w:t>
      </w:r>
      <w:r>
        <w:rPr>
          <w:spacing w:val="12"/>
        </w:rPr>
        <w:t> </w:t>
      </w:r>
      <w:r>
        <w:rPr>
          <w:w w:val="110"/>
        </w:rPr>
        <w:t>canales</w:t>
      </w:r>
      <w:r>
        <w:rPr>
          <w:spacing w:val="12"/>
        </w:rPr>
        <w:t> </w:t>
      </w:r>
      <w:r>
        <w:rPr>
          <w:w w:val="108"/>
        </w:rPr>
        <w:t>que</w:t>
      </w:r>
      <w:r>
        <w:rPr>
          <w:spacing w:val="12"/>
        </w:rPr>
        <w:t> </w:t>
      </w:r>
      <w:r>
        <w:rPr>
          <w:w w:val="105"/>
        </w:rPr>
        <w:t>se</w:t>
      </w:r>
      <w:r>
        <w:rPr>
          <w:spacing w:val="12"/>
        </w:rPr>
        <w:t> </w:t>
      </w:r>
      <w:r>
        <w:rPr>
          <w:w w:val="109"/>
        </w:rPr>
        <w:t>describen</w:t>
      </w:r>
      <w:r>
        <w:rPr>
          <w:spacing w:val="12"/>
        </w:rPr>
        <w:t> </w:t>
      </w:r>
      <w:r>
        <w:rPr>
          <w:w w:val="107"/>
        </w:rPr>
        <w:t>de</w:t>
      </w:r>
      <w:r>
        <w:rPr>
          <w:spacing w:val="12"/>
        </w:rPr>
        <w:t> </w:t>
      </w:r>
      <w:r>
        <w:rPr>
          <w:w w:val="110"/>
        </w:rPr>
        <w:t>transmisión</w:t>
      </w:r>
      <w:r>
        <w:rPr>
          <w:spacing w:val="12"/>
        </w:rPr>
        <w:t> </w:t>
      </w:r>
      <w:r>
        <w:rPr>
          <w:w w:val="107"/>
        </w:rPr>
        <w:t>de</w:t>
      </w:r>
      <w:r>
        <w:rPr>
          <w:spacing w:val="12"/>
        </w:rPr>
        <w:t> </w:t>
      </w:r>
      <w:r>
        <w:rPr>
          <w:w w:val="110"/>
        </w:rPr>
        <w:t>impulsos</w:t>
      </w:r>
      <w:r>
        <w:rPr>
          <w:spacing w:val="12"/>
        </w:rPr>
        <w:t> </w:t>
      </w:r>
      <w:r>
        <w:rPr>
          <w:w w:val="113"/>
        </w:rPr>
        <w:t>cíclicos </w:t>
      </w:r>
      <w:r>
        <w:rPr>
          <w:w w:val="115"/>
        </w:rPr>
        <w:t>hacia</w:t>
      </w:r>
      <w:r>
        <w:rPr>
          <w:spacing w:val="-16"/>
          <w:w w:val="115"/>
        </w:rPr>
        <w:t> </w:t>
      </w:r>
      <w:r>
        <w:rPr>
          <w:w w:val="115"/>
        </w:rPr>
        <w:t>las</w:t>
      </w:r>
      <w:r>
        <w:rPr>
          <w:spacing w:val="-16"/>
          <w:w w:val="115"/>
        </w:rPr>
        <w:t> </w:t>
      </w:r>
      <w:r>
        <w:rPr>
          <w:w w:val="115"/>
        </w:rPr>
        <w:t>economías</w:t>
      </w:r>
      <w:r>
        <w:rPr>
          <w:spacing w:val="-16"/>
          <w:w w:val="115"/>
        </w:rPr>
        <w:t> </w:t>
      </w:r>
      <w:r>
        <w:rPr>
          <w:w w:val="115"/>
        </w:rPr>
        <w:t>de</w:t>
      </w:r>
      <w:r>
        <w:rPr>
          <w:spacing w:val="-16"/>
          <w:w w:val="115"/>
        </w:rPr>
        <w:t> </w:t>
      </w:r>
      <w:r>
        <w:rPr>
          <w:w w:val="115"/>
        </w:rPr>
        <w:t>la</w:t>
      </w:r>
      <w:r>
        <w:rPr>
          <w:spacing w:val="-16"/>
          <w:w w:val="115"/>
        </w:rPr>
        <w:t> </w:t>
      </w:r>
      <w:r>
        <w:rPr>
          <w:w w:val="115"/>
        </w:rPr>
        <w:t>región</w:t>
      </w:r>
      <w:r>
        <w:rPr>
          <w:spacing w:val="-16"/>
          <w:w w:val="115"/>
        </w:rPr>
        <w:t> </w:t>
      </w:r>
      <w:r>
        <w:rPr>
          <w:w w:val="115"/>
        </w:rPr>
        <w:t>toman</w:t>
      </w:r>
      <w:r>
        <w:rPr>
          <w:spacing w:val="-16"/>
          <w:w w:val="115"/>
        </w:rPr>
        <w:t> </w:t>
      </w:r>
      <w:r>
        <w:rPr>
          <w:w w:val="115"/>
        </w:rPr>
        <w:t>tres</w:t>
      </w:r>
      <w:r>
        <w:rPr>
          <w:spacing w:val="-16"/>
          <w:w w:val="115"/>
        </w:rPr>
        <w:t> </w:t>
      </w:r>
      <w:r>
        <w:rPr>
          <w:w w:val="115"/>
        </w:rPr>
        <w:t>puntos</w:t>
      </w:r>
      <w:r>
        <w:rPr>
          <w:spacing w:val="-16"/>
          <w:w w:val="115"/>
        </w:rPr>
        <w:t> </w:t>
      </w:r>
      <w:r>
        <w:rPr>
          <w:w w:val="115"/>
        </w:rPr>
        <w:t>de</w:t>
      </w:r>
      <w:r>
        <w:rPr>
          <w:spacing w:val="-16"/>
          <w:w w:val="115"/>
        </w:rPr>
        <w:t> </w:t>
      </w:r>
      <w:r>
        <w:rPr>
          <w:w w:val="115"/>
        </w:rPr>
        <w:t>partida</w:t>
      </w:r>
      <w:r>
        <w:rPr>
          <w:spacing w:val="-16"/>
          <w:w w:val="115"/>
        </w:rPr>
        <w:t> </w:t>
      </w:r>
      <w:r>
        <w:rPr>
          <w:w w:val="115"/>
        </w:rPr>
        <w:t>funda- mentales:</w:t>
      </w:r>
      <w:r>
        <w:rPr>
          <w:spacing w:val="-26"/>
          <w:w w:val="115"/>
        </w:rPr>
        <w:t> </w:t>
      </w:r>
      <w:r>
        <w:rPr>
          <w:w w:val="115"/>
        </w:rPr>
        <w:t>los</w:t>
      </w:r>
      <w:r>
        <w:rPr>
          <w:spacing w:val="-26"/>
          <w:w w:val="115"/>
        </w:rPr>
        <w:t> </w:t>
      </w:r>
      <w:r>
        <w:rPr>
          <w:w w:val="115"/>
        </w:rPr>
        <w:t>movimientos</w:t>
      </w:r>
      <w:r>
        <w:rPr>
          <w:spacing w:val="-26"/>
          <w:w w:val="115"/>
        </w:rPr>
        <w:t> </w:t>
      </w:r>
      <w:r>
        <w:rPr>
          <w:w w:val="115"/>
        </w:rPr>
        <w:t>cíclicos</w:t>
      </w:r>
      <w:r>
        <w:rPr>
          <w:spacing w:val="-26"/>
          <w:w w:val="115"/>
        </w:rPr>
        <w:t> </w:t>
      </w:r>
      <w:r>
        <w:rPr>
          <w:w w:val="115"/>
        </w:rPr>
        <w:t>de</w:t>
      </w:r>
      <w:r>
        <w:rPr>
          <w:spacing w:val="-26"/>
          <w:w w:val="115"/>
        </w:rPr>
        <w:t> </w:t>
      </w:r>
      <w:r>
        <w:rPr>
          <w:w w:val="115"/>
        </w:rPr>
        <w:t>la</w:t>
      </w:r>
      <w:r>
        <w:rPr>
          <w:spacing w:val="-26"/>
          <w:w w:val="115"/>
        </w:rPr>
        <w:t> </w:t>
      </w:r>
      <w:r>
        <w:rPr>
          <w:w w:val="115"/>
        </w:rPr>
        <w:t>producción,</w:t>
      </w:r>
      <w:r>
        <w:rPr>
          <w:spacing w:val="-26"/>
          <w:w w:val="115"/>
        </w:rPr>
        <w:t> </w:t>
      </w:r>
      <w:r>
        <w:rPr>
          <w:w w:val="115"/>
        </w:rPr>
        <w:t>la</w:t>
      </w:r>
      <w:r>
        <w:rPr>
          <w:spacing w:val="-26"/>
          <w:w w:val="115"/>
        </w:rPr>
        <w:t> </w:t>
      </w:r>
      <w:r>
        <w:rPr>
          <w:w w:val="115"/>
        </w:rPr>
        <w:t>tasa</w:t>
      </w:r>
      <w:r>
        <w:rPr>
          <w:spacing w:val="-26"/>
          <w:w w:val="115"/>
        </w:rPr>
        <w:t> </w:t>
      </w:r>
      <w:r>
        <w:rPr>
          <w:w w:val="115"/>
        </w:rPr>
        <w:t>de</w:t>
      </w:r>
      <w:r>
        <w:rPr>
          <w:spacing w:val="-26"/>
          <w:w w:val="115"/>
        </w:rPr>
        <w:t> </w:t>
      </w:r>
      <w:r>
        <w:rPr>
          <w:w w:val="115"/>
        </w:rPr>
        <w:t>interés en</w:t>
      </w:r>
      <w:r>
        <w:rPr>
          <w:spacing w:val="-9"/>
          <w:w w:val="115"/>
        </w:rPr>
        <w:t> </w:t>
      </w:r>
      <w:r>
        <w:rPr>
          <w:w w:val="115"/>
        </w:rPr>
        <w:t>Estados</w:t>
      </w:r>
      <w:r>
        <w:rPr>
          <w:spacing w:val="-9"/>
          <w:w w:val="115"/>
        </w:rPr>
        <w:t> </w:t>
      </w:r>
      <w:r>
        <w:rPr>
          <w:w w:val="115"/>
        </w:rPr>
        <w:t>unidos</w:t>
      </w:r>
      <w:r>
        <w:rPr>
          <w:spacing w:val="-9"/>
          <w:w w:val="115"/>
        </w:rPr>
        <w:t> </w:t>
      </w:r>
      <w:r>
        <w:rPr>
          <w:w w:val="115"/>
        </w:rPr>
        <w:t>y</w:t>
      </w:r>
      <w:r>
        <w:rPr>
          <w:spacing w:val="-9"/>
          <w:w w:val="115"/>
        </w:rPr>
        <w:t> </w:t>
      </w:r>
      <w:r>
        <w:rPr>
          <w:w w:val="115"/>
        </w:rPr>
        <w:t>las</w:t>
      </w:r>
      <w:r>
        <w:rPr>
          <w:spacing w:val="-9"/>
          <w:w w:val="115"/>
        </w:rPr>
        <w:t> </w:t>
      </w:r>
      <w:r>
        <w:rPr>
          <w:w w:val="115"/>
        </w:rPr>
        <w:t>oscilaciones</w:t>
      </w:r>
      <w:r>
        <w:rPr>
          <w:spacing w:val="-9"/>
          <w:w w:val="115"/>
        </w:rPr>
        <w:t> </w:t>
      </w:r>
      <w:r>
        <w:rPr>
          <w:w w:val="115"/>
        </w:rPr>
        <w:t>del</w:t>
      </w:r>
      <w:r>
        <w:rPr>
          <w:spacing w:val="-9"/>
          <w:w w:val="115"/>
        </w:rPr>
        <w:t> </w:t>
      </w:r>
      <w:r>
        <w:rPr>
          <w:w w:val="115"/>
        </w:rPr>
        <w:t>tipo</w:t>
      </w:r>
      <w:r>
        <w:rPr>
          <w:spacing w:val="-9"/>
          <w:w w:val="115"/>
        </w:rPr>
        <w:t> </w:t>
      </w:r>
      <w:r>
        <w:rPr>
          <w:w w:val="115"/>
        </w:rPr>
        <w:t>de</w:t>
      </w:r>
      <w:r>
        <w:rPr>
          <w:spacing w:val="-9"/>
          <w:w w:val="115"/>
        </w:rPr>
        <w:t> </w:t>
      </w:r>
      <w:r>
        <w:rPr>
          <w:w w:val="115"/>
        </w:rPr>
        <w:t>cambio</w:t>
      </w:r>
      <w:r>
        <w:rPr>
          <w:spacing w:val="-9"/>
          <w:w w:val="115"/>
        </w:rPr>
        <w:t> </w:t>
      </w:r>
      <w:r>
        <w:rPr>
          <w:w w:val="115"/>
        </w:rPr>
        <w:t>del</w:t>
      </w:r>
      <w:r>
        <w:rPr>
          <w:spacing w:val="-9"/>
          <w:w w:val="115"/>
        </w:rPr>
        <w:t> </w:t>
      </w:r>
      <w:r>
        <w:rPr>
          <w:spacing w:val="-4"/>
          <w:w w:val="115"/>
        </w:rPr>
        <w:t>dólar,</w:t>
      </w:r>
      <w:r>
        <w:rPr>
          <w:spacing w:val="-9"/>
          <w:w w:val="115"/>
        </w:rPr>
        <w:t> </w:t>
      </w:r>
      <w:r>
        <w:rPr>
          <w:w w:val="115"/>
        </w:rPr>
        <w:t>va- </w:t>
      </w:r>
      <w:r>
        <w:rPr>
          <w:w w:val="110"/>
        </w:rPr>
        <w:t>riables</w:t>
      </w:r>
      <w:r>
        <w:rPr>
          <w:spacing w:val="-5"/>
          <w:w w:val="110"/>
        </w:rPr>
        <w:t> </w:t>
      </w:r>
      <w:r>
        <w:rPr>
          <w:w w:val="110"/>
        </w:rPr>
        <w:t>que</w:t>
      </w:r>
      <w:r>
        <w:rPr>
          <w:spacing w:val="-5"/>
          <w:w w:val="110"/>
        </w:rPr>
        <w:t> </w:t>
      </w:r>
      <w:r>
        <w:rPr>
          <w:w w:val="110"/>
        </w:rPr>
        <w:t>se</w:t>
      </w:r>
      <w:r>
        <w:rPr>
          <w:spacing w:val="-5"/>
          <w:w w:val="110"/>
        </w:rPr>
        <w:t> </w:t>
      </w:r>
      <w:r>
        <w:rPr>
          <w:w w:val="110"/>
        </w:rPr>
        <w:t>encuentran</w:t>
      </w:r>
      <w:r>
        <w:rPr>
          <w:spacing w:val="-5"/>
          <w:w w:val="110"/>
        </w:rPr>
        <w:t> </w:t>
      </w:r>
      <w:r>
        <w:rPr>
          <w:w w:val="110"/>
        </w:rPr>
        <w:t>entre</w:t>
      </w:r>
      <w:r>
        <w:rPr>
          <w:spacing w:val="-5"/>
          <w:w w:val="110"/>
        </w:rPr>
        <w:t> </w:t>
      </w:r>
      <w:r>
        <w:rPr>
          <w:w w:val="110"/>
        </w:rPr>
        <w:t>las</w:t>
      </w:r>
      <w:r>
        <w:rPr>
          <w:spacing w:val="-5"/>
          <w:w w:val="110"/>
        </w:rPr>
        <w:t> </w:t>
      </w:r>
      <w:r>
        <w:rPr>
          <w:w w:val="110"/>
        </w:rPr>
        <w:t>de</w:t>
      </w:r>
      <w:r>
        <w:rPr>
          <w:spacing w:val="-5"/>
          <w:w w:val="110"/>
        </w:rPr>
        <w:t> </w:t>
      </w:r>
      <w:r>
        <w:rPr>
          <w:w w:val="110"/>
        </w:rPr>
        <w:t>mayor</w:t>
      </w:r>
      <w:r>
        <w:rPr>
          <w:spacing w:val="-5"/>
          <w:w w:val="110"/>
        </w:rPr>
        <w:t> </w:t>
      </w:r>
      <w:r>
        <w:rPr>
          <w:w w:val="110"/>
        </w:rPr>
        <w:t>proyección</w:t>
      </w:r>
      <w:r>
        <w:rPr>
          <w:spacing w:val="-5"/>
          <w:w w:val="110"/>
        </w:rPr>
        <w:t> </w:t>
      </w:r>
      <w:r>
        <w:rPr>
          <w:w w:val="110"/>
        </w:rPr>
        <w:t>internacional </w:t>
      </w:r>
      <w:r>
        <w:rPr>
          <w:w w:val="115"/>
        </w:rPr>
        <w:t>y</w:t>
      </w:r>
      <w:r>
        <w:rPr>
          <w:spacing w:val="-17"/>
          <w:w w:val="115"/>
        </w:rPr>
        <w:t> </w:t>
      </w:r>
      <w:r>
        <w:rPr>
          <w:w w:val="115"/>
        </w:rPr>
        <w:t>las</w:t>
      </w:r>
      <w:r>
        <w:rPr>
          <w:spacing w:val="-17"/>
          <w:w w:val="115"/>
        </w:rPr>
        <w:t> </w:t>
      </w:r>
      <w:r>
        <w:rPr>
          <w:w w:val="115"/>
        </w:rPr>
        <w:t>de</w:t>
      </w:r>
      <w:r>
        <w:rPr>
          <w:spacing w:val="-17"/>
          <w:w w:val="115"/>
        </w:rPr>
        <w:t> </w:t>
      </w:r>
      <w:r>
        <w:rPr>
          <w:w w:val="115"/>
        </w:rPr>
        <w:t>vínculo</w:t>
      </w:r>
      <w:r>
        <w:rPr>
          <w:spacing w:val="-17"/>
          <w:w w:val="115"/>
        </w:rPr>
        <w:t> </w:t>
      </w:r>
      <w:r>
        <w:rPr>
          <w:w w:val="115"/>
        </w:rPr>
        <w:t>más</w:t>
      </w:r>
      <w:r>
        <w:rPr>
          <w:spacing w:val="-17"/>
          <w:w w:val="115"/>
        </w:rPr>
        <w:t> </w:t>
      </w:r>
      <w:r>
        <w:rPr>
          <w:w w:val="115"/>
        </w:rPr>
        <w:t>intenso</w:t>
      </w:r>
      <w:r>
        <w:rPr>
          <w:spacing w:val="-17"/>
          <w:w w:val="115"/>
        </w:rPr>
        <w:t> </w:t>
      </w:r>
      <w:r>
        <w:rPr>
          <w:w w:val="115"/>
        </w:rPr>
        <w:t>con</w:t>
      </w:r>
      <w:r>
        <w:rPr>
          <w:spacing w:val="-17"/>
          <w:w w:val="115"/>
        </w:rPr>
        <w:t> </w:t>
      </w:r>
      <w:r>
        <w:rPr>
          <w:w w:val="115"/>
        </w:rPr>
        <w:t>la</w:t>
      </w:r>
      <w:r>
        <w:rPr>
          <w:spacing w:val="-17"/>
          <w:w w:val="115"/>
        </w:rPr>
        <w:t> </w:t>
      </w:r>
      <w:r>
        <w:rPr>
          <w:w w:val="115"/>
        </w:rPr>
        <w:t>economía</w:t>
      </w:r>
      <w:r>
        <w:rPr>
          <w:spacing w:val="-17"/>
          <w:w w:val="115"/>
        </w:rPr>
        <w:t> </w:t>
      </w:r>
      <w:r>
        <w:rPr>
          <w:w w:val="115"/>
        </w:rPr>
        <w:t>de</w:t>
      </w:r>
      <w:r>
        <w:rPr>
          <w:spacing w:val="-17"/>
          <w:w w:val="115"/>
        </w:rPr>
        <w:t> </w:t>
      </w:r>
      <w:r>
        <w:rPr>
          <w:w w:val="115"/>
        </w:rPr>
        <w:t>la</w:t>
      </w:r>
      <w:r>
        <w:rPr>
          <w:spacing w:val="-17"/>
          <w:w w:val="115"/>
        </w:rPr>
        <w:t> </w:t>
      </w:r>
      <w:r>
        <w:rPr>
          <w:w w:val="115"/>
        </w:rPr>
        <w:t>región,</w:t>
      </w:r>
      <w:r>
        <w:rPr>
          <w:spacing w:val="-17"/>
          <w:w w:val="115"/>
        </w:rPr>
        <w:t> </w:t>
      </w:r>
      <w:r>
        <w:rPr>
          <w:w w:val="115"/>
        </w:rPr>
        <w:t>en</w:t>
      </w:r>
      <w:r>
        <w:rPr>
          <w:spacing w:val="-17"/>
          <w:w w:val="115"/>
        </w:rPr>
        <w:t> </w:t>
      </w:r>
      <w:r>
        <w:rPr>
          <w:w w:val="115"/>
        </w:rPr>
        <w:t>el</w:t>
      </w:r>
      <w:r>
        <w:rPr>
          <w:spacing w:val="-17"/>
          <w:w w:val="115"/>
        </w:rPr>
        <w:t> </w:t>
      </w:r>
      <w:r>
        <w:rPr>
          <w:w w:val="115"/>
        </w:rPr>
        <w:t>marco de</w:t>
      </w:r>
      <w:r>
        <w:rPr>
          <w:spacing w:val="-15"/>
          <w:w w:val="115"/>
        </w:rPr>
        <w:t> </w:t>
      </w:r>
      <w:r>
        <w:rPr>
          <w:w w:val="115"/>
        </w:rPr>
        <w:t>la</w:t>
      </w:r>
      <w:r>
        <w:rPr>
          <w:spacing w:val="-15"/>
          <w:w w:val="115"/>
        </w:rPr>
        <w:t> </w:t>
      </w:r>
      <w:r>
        <w:rPr>
          <w:w w:val="115"/>
        </w:rPr>
        <w:t>matriz</w:t>
      </w:r>
      <w:r>
        <w:rPr>
          <w:spacing w:val="-15"/>
          <w:w w:val="115"/>
        </w:rPr>
        <w:t> </w:t>
      </w:r>
      <w:r>
        <w:rPr>
          <w:w w:val="115"/>
        </w:rPr>
        <w:t>diversa</w:t>
      </w:r>
      <w:r>
        <w:rPr>
          <w:spacing w:val="-15"/>
          <w:w w:val="115"/>
        </w:rPr>
        <w:t> </w:t>
      </w:r>
      <w:r>
        <w:rPr>
          <w:w w:val="115"/>
        </w:rPr>
        <w:t>de</w:t>
      </w:r>
      <w:r>
        <w:rPr>
          <w:spacing w:val="-15"/>
          <w:w w:val="115"/>
        </w:rPr>
        <w:t> </w:t>
      </w:r>
      <w:r>
        <w:rPr>
          <w:w w:val="115"/>
        </w:rPr>
        <w:t>efectos</w:t>
      </w:r>
      <w:r>
        <w:rPr>
          <w:spacing w:val="-15"/>
          <w:w w:val="115"/>
        </w:rPr>
        <w:t> </w:t>
      </w:r>
      <w:r>
        <w:rPr>
          <w:w w:val="115"/>
        </w:rPr>
        <w:t>económicos</w:t>
      </w:r>
      <w:r>
        <w:rPr>
          <w:spacing w:val="-15"/>
          <w:w w:val="115"/>
        </w:rPr>
        <w:t> </w:t>
      </w:r>
      <w:r>
        <w:rPr>
          <w:w w:val="115"/>
        </w:rPr>
        <w:t>desde</w:t>
      </w:r>
      <w:r>
        <w:rPr>
          <w:spacing w:val="-15"/>
          <w:w w:val="115"/>
        </w:rPr>
        <w:t> </w:t>
      </w:r>
      <w:r>
        <w:rPr>
          <w:w w:val="115"/>
        </w:rPr>
        <w:t>Estados</w:t>
      </w:r>
      <w:r>
        <w:rPr>
          <w:spacing w:val="-15"/>
          <w:w w:val="115"/>
        </w:rPr>
        <w:t> </w:t>
      </w:r>
      <w:r>
        <w:rPr>
          <w:w w:val="115"/>
        </w:rPr>
        <w:t>unidos</w:t>
      </w:r>
      <w:r>
        <w:rPr>
          <w:spacing w:val="-15"/>
          <w:w w:val="115"/>
        </w:rPr>
        <w:t> </w:t>
      </w:r>
      <w:r>
        <w:rPr>
          <w:w w:val="115"/>
        </w:rPr>
        <w:t>ha- </w:t>
      </w:r>
      <w:r>
        <w:rPr>
          <w:w w:val="114"/>
        </w:rPr>
        <w:t>cia</w:t>
      </w:r>
      <w:r>
        <w:rPr>
          <w:spacing w:val="19"/>
        </w:rPr>
        <w:t> </w:t>
      </w:r>
      <w:r>
        <w:rPr>
          <w:w w:val="139"/>
        </w:rPr>
        <w:t>a</w:t>
      </w:r>
      <w:r>
        <w:rPr>
          <w:w w:val="111"/>
        </w:rPr>
        <w:t>mérica</w:t>
      </w:r>
      <w:r>
        <w:rPr>
          <w:spacing w:val="19"/>
        </w:rPr>
        <w:t> </w:t>
      </w:r>
      <w:r>
        <w:rPr>
          <w:w w:val="243"/>
        </w:rPr>
        <w:t>l</w:t>
      </w:r>
      <w:r>
        <w:rPr>
          <w:w w:val="111"/>
        </w:rPr>
        <w:t>atina</w:t>
      </w:r>
      <w:r>
        <w:rPr>
          <w:spacing w:val="19"/>
        </w:rPr>
        <w:t> </w:t>
      </w:r>
      <w:r>
        <w:rPr>
          <w:w w:val="105"/>
        </w:rPr>
        <w:t>y</w:t>
      </w:r>
      <w:r>
        <w:rPr>
          <w:spacing w:val="19"/>
        </w:rPr>
        <w:t> </w:t>
      </w:r>
      <w:r>
        <w:rPr>
          <w:w w:val="107"/>
        </w:rPr>
        <w:t>el</w:t>
      </w:r>
      <w:r>
        <w:rPr>
          <w:spacing w:val="19"/>
        </w:rPr>
        <w:t> </w:t>
      </w:r>
      <w:r>
        <w:rPr>
          <w:w w:val="114"/>
        </w:rPr>
        <w:t>Caribe.</w:t>
      </w:r>
      <w:r>
        <w:rPr>
          <w:spacing w:val="19"/>
        </w:rPr>
        <w:t> </w:t>
      </w:r>
      <w:r>
        <w:rPr>
          <w:w w:val="122"/>
        </w:rPr>
        <w:t>El</w:t>
      </w:r>
      <w:r>
        <w:rPr>
          <w:spacing w:val="19"/>
        </w:rPr>
        <w:t> </w:t>
      </w:r>
      <w:r>
        <w:rPr>
          <w:w w:val="112"/>
        </w:rPr>
        <w:t>canal</w:t>
      </w:r>
      <w:r>
        <w:rPr>
          <w:spacing w:val="19"/>
        </w:rPr>
        <w:t> </w:t>
      </w:r>
      <w:r>
        <w:rPr>
          <w:w w:val="109"/>
        </w:rPr>
        <w:t>financiero</w:t>
      </w:r>
      <w:r>
        <w:rPr>
          <w:spacing w:val="19"/>
        </w:rPr>
        <w:t> </w:t>
      </w:r>
      <w:r>
        <w:rPr>
          <w:w w:val="109"/>
        </w:rPr>
        <w:t>pareciera</w:t>
      </w:r>
      <w:r>
        <w:rPr>
          <w:spacing w:val="19"/>
        </w:rPr>
        <w:t> </w:t>
      </w:r>
      <w:r>
        <w:rPr>
          <w:w w:val="108"/>
        </w:rPr>
        <w:t>resultar </w:t>
      </w:r>
      <w:r>
        <w:rPr>
          <w:w w:val="115"/>
        </w:rPr>
        <w:t>más relevante –que el comercial– en su importancia en los</w:t>
      </w:r>
      <w:r>
        <w:rPr>
          <w:spacing w:val="-14"/>
          <w:w w:val="115"/>
        </w:rPr>
        <w:t> </w:t>
      </w:r>
      <w:r>
        <w:rPr>
          <w:w w:val="115"/>
        </w:rPr>
        <w:t>vínculos </w:t>
      </w:r>
      <w:r>
        <w:rPr>
          <w:w w:val="111"/>
        </w:rPr>
        <w:t>económicos</w:t>
      </w:r>
      <w:r>
        <w:rPr>
          <w:spacing w:val="15"/>
        </w:rPr>
        <w:t> </w:t>
      </w:r>
      <w:r>
        <w:rPr>
          <w:w w:val="106"/>
        </w:rPr>
        <w:t>entre</w:t>
      </w:r>
      <w:r>
        <w:rPr>
          <w:spacing w:val="15"/>
        </w:rPr>
        <w:t> </w:t>
      </w:r>
      <w:r>
        <w:rPr>
          <w:w w:val="111"/>
        </w:rPr>
        <w:t>Estados</w:t>
      </w:r>
      <w:r>
        <w:rPr>
          <w:spacing w:val="15"/>
        </w:rPr>
        <w:t> </w:t>
      </w:r>
      <w:r>
        <w:rPr>
          <w:w w:val="140"/>
        </w:rPr>
        <w:t>u</w:t>
      </w:r>
      <w:r>
        <w:rPr>
          <w:w w:val="110"/>
        </w:rPr>
        <w:t>nidos</w:t>
      </w:r>
      <w:r>
        <w:rPr>
          <w:spacing w:val="15"/>
        </w:rPr>
        <w:t> </w:t>
      </w:r>
      <w:r>
        <w:rPr>
          <w:w w:val="105"/>
        </w:rPr>
        <w:t>y</w:t>
      </w:r>
      <w:r>
        <w:rPr>
          <w:spacing w:val="15"/>
        </w:rPr>
        <w:t> </w:t>
      </w:r>
      <w:r>
        <w:rPr>
          <w:w w:val="139"/>
        </w:rPr>
        <w:t>a</w:t>
      </w:r>
      <w:r>
        <w:rPr>
          <w:w w:val="111"/>
        </w:rPr>
        <w:t>mérica</w:t>
      </w:r>
      <w:r>
        <w:rPr>
          <w:spacing w:val="15"/>
        </w:rPr>
        <w:t> </w:t>
      </w:r>
      <w:r>
        <w:rPr>
          <w:w w:val="243"/>
        </w:rPr>
        <w:t>l</w:t>
      </w:r>
      <w:r>
        <w:rPr>
          <w:w w:val="111"/>
        </w:rPr>
        <w:t>atina</w:t>
      </w:r>
      <w:r>
        <w:rPr>
          <w:spacing w:val="15"/>
        </w:rPr>
        <w:t> </w:t>
      </w:r>
      <w:r>
        <w:rPr>
          <w:w w:val="105"/>
        </w:rPr>
        <w:t>y</w:t>
      </w:r>
      <w:r>
        <w:rPr>
          <w:spacing w:val="15"/>
        </w:rPr>
        <w:t> </w:t>
      </w:r>
      <w:r>
        <w:rPr>
          <w:w w:val="107"/>
        </w:rPr>
        <w:t>el</w:t>
      </w:r>
      <w:r>
        <w:rPr>
          <w:spacing w:val="15"/>
        </w:rPr>
        <w:t> </w:t>
      </w:r>
      <w:r>
        <w:rPr>
          <w:w w:val="112"/>
        </w:rPr>
        <w:t>Caribe</w:t>
      </w:r>
      <w:r>
        <w:rPr>
          <w:spacing w:val="15"/>
        </w:rPr>
        <w:t> </w:t>
      </w:r>
      <w:r>
        <w:rPr>
          <w:spacing w:val="-22"/>
          <w:w w:val="105"/>
        </w:rPr>
        <w:t>y</w:t>
      </w:r>
      <w:r>
        <w:rPr>
          <w:w w:val="138"/>
        </w:rPr>
        <w:t>,</w:t>
      </w:r>
      <w:r>
        <w:rPr>
          <w:spacing w:val="15"/>
        </w:rPr>
        <w:t> </w:t>
      </w:r>
      <w:r>
        <w:rPr>
          <w:w w:val="108"/>
        </w:rPr>
        <w:t>por </w:t>
      </w:r>
      <w:r>
        <w:rPr>
          <w:w w:val="115"/>
        </w:rPr>
        <w:t>consiguiente, en la relevancia de su magnitud en la transmisión de shocks.</w:t>
      </w:r>
      <w:r>
        <w:rPr>
          <w:spacing w:val="-30"/>
          <w:w w:val="115"/>
        </w:rPr>
        <w:t> </w:t>
      </w:r>
      <w:r>
        <w:rPr>
          <w:w w:val="115"/>
        </w:rPr>
        <w:t>Ello</w:t>
      </w:r>
      <w:r>
        <w:rPr>
          <w:spacing w:val="-30"/>
          <w:w w:val="115"/>
        </w:rPr>
        <w:t> </w:t>
      </w:r>
      <w:r>
        <w:rPr>
          <w:w w:val="115"/>
        </w:rPr>
        <w:t>se</w:t>
      </w:r>
      <w:r>
        <w:rPr>
          <w:spacing w:val="-30"/>
          <w:w w:val="115"/>
        </w:rPr>
        <w:t> </w:t>
      </w:r>
      <w:r>
        <w:rPr>
          <w:w w:val="115"/>
        </w:rPr>
        <w:t>encuentra</w:t>
      </w:r>
      <w:r>
        <w:rPr>
          <w:spacing w:val="-30"/>
          <w:w w:val="115"/>
        </w:rPr>
        <w:t> </w:t>
      </w:r>
      <w:r>
        <w:rPr>
          <w:w w:val="115"/>
        </w:rPr>
        <w:t>especialmente</w:t>
      </w:r>
      <w:r>
        <w:rPr>
          <w:spacing w:val="-30"/>
          <w:w w:val="115"/>
        </w:rPr>
        <w:t> </w:t>
      </w:r>
      <w:r>
        <w:rPr>
          <w:w w:val="115"/>
        </w:rPr>
        <w:t>relacionado</w:t>
      </w:r>
      <w:r>
        <w:rPr>
          <w:spacing w:val="-30"/>
          <w:w w:val="115"/>
        </w:rPr>
        <w:t> </w:t>
      </w:r>
      <w:r>
        <w:rPr>
          <w:w w:val="115"/>
        </w:rPr>
        <w:t>con</w:t>
      </w:r>
      <w:r>
        <w:rPr>
          <w:spacing w:val="-30"/>
          <w:w w:val="115"/>
        </w:rPr>
        <w:t> </w:t>
      </w:r>
      <w:r>
        <w:rPr>
          <w:w w:val="115"/>
        </w:rPr>
        <w:t>el</w:t>
      </w:r>
      <w:r>
        <w:rPr>
          <w:spacing w:val="-30"/>
          <w:w w:val="115"/>
        </w:rPr>
        <w:t> </w:t>
      </w:r>
      <w:r>
        <w:rPr>
          <w:w w:val="115"/>
        </w:rPr>
        <w:t>desarrollo de</w:t>
      </w:r>
      <w:r>
        <w:rPr>
          <w:spacing w:val="-13"/>
          <w:w w:val="115"/>
        </w:rPr>
        <w:t> </w:t>
      </w:r>
      <w:r>
        <w:rPr>
          <w:w w:val="115"/>
        </w:rPr>
        <w:t>la</w:t>
      </w:r>
      <w:r>
        <w:rPr>
          <w:spacing w:val="-13"/>
          <w:w w:val="115"/>
        </w:rPr>
        <w:t> </w:t>
      </w:r>
      <w:r>
        <w:rPr>
          <w:w w:val="115"/>
        </w:rPr>
        <w:t>globalización</w:t>
      </w:r>
      <w:r>
        <w:rPr>
          <w:spacing w:val="-13"/>
          <w:w w:val="115"/>
        </w:rPr>
        <w:t> </w:t>
      </w:r>
      <w:r>
        <w:rPr>
          <w:w w:val="115"/>
        </w:rPr>
        <w:t>financiera</w:t>
      </w:r>
      <w:r>
        <w:rPr>
          <w:spacing w:val="-13"/>
          <w:w w:val="115"/>
        </w:rPr>
        <w:t> </w:t>
      </w:r>
      <w:r>
        <w:rPr>
          <w:w w:val="115"/>
        </w:rPr>
        <w:t>y</w:t>
      </w:r>
      <w:r>
        <w:rPr>
          <w:spacing w:val="-13"/>
          <w:w w:val="115"/>
        </w:rPr>
        <w:t> </w:t>
      </w:r>
      <w:r>
        <w:rPr>
          <w:w w:val="115"/>
        </w:rPr>
        <w:t>los</w:t>
      </w:r>
      <w:r>
        <w:rPr>
          <w:spacing w:val="-13"/>
          <w:w w:val="115"/>
        </w:rPr>
        <w:t> </w:t>
      </w:r>
      <w:r>
        <w:rPr>
          <w:w w:val="115"/>
        </w:rPr>
        <w:t>procesos</w:t>
      </w:r>
      <w:r>
        <w:rPr>
          <w:spacing w:val="-13"/>
          <w:w w:val="115"/>
        </w:rPr>
        <w:t> </w:t>
      </w:r>
      <w:r>
        <w:rPr>
          <w:w w:val="115"/>
        </w:rPr>
        <w:t>de</w:t>
      </w:r>
      <w:r>
        <w:rPr>
          <w:spacing w:val="-13"/>
          <w:w w:val="115"/>
        </w:rPr>
        <w:t> </w:t>
      </w:r>
      <w:r>
        <w:rPr>
          <w:i/>
          <w:w w:val="115"/>
        </w:rPr>
        <w:t>financiarización</w:t>
      </w:r>
      <w:r>
        <w:rPr>
          <w:i/>
          <w:spacing w:val="-13"/>
          <w:w w:val="115"/>
        </w:rPr>
        <w:t> </w:t>
      </w:r>
      <w:r>
        <w:rPr>
          <w:w w:val="115"/>
        </w:rPr>
        <w:t>de</w:t>
      </w:r>
      <w:r>
        <w:rPr>
          <w:spacing w:val="-13"/>
          <w:w w:val="115"/>
        </w:rPr>
        <w:t> </w:t>
      </w:r>
      <w:r>
        <w:rPr>
          <w:w w:val="115"/>
        </w:rPr>
        <w:t>la economía mundial, de los cuales Estados unidos permanece como líder indiscutible, dado el desarrollo de su mercado financiero. asi- mismo,</w:t>
      </w:r>
      <w:r>
        <w:rPr>
          <w:spacing w:val="-6"/>
          <w:w w:val="115"/>
        </w:rPr>
        <w:t> </w:t>
      </w:r>
      <w:r>
        <w:rPr>
          <w:w w:val="115"/>
        </w:rPr>
        <w:t>se</w:t>
      </w:r>
      <w:r>
        <w:rPr>
          <w:spacing w:val="-6"/>
          <w:w w:val="115"/>
        </w:rPr>
        <w:t> </w:t>
      </w:r>
      <w:r>
        <w:rPr>
          <w:w w:val="115"/>
        </w:rPr>
        <w:t>evidencia</w:t>
      </w:r>
      <w:r>
        <w:rPr>
          <w:spacing w:val="-6"/>
          <w:w w:val="115"/>
        </w:rPr>
        <w:t> </w:t>
      </w:r>
      <w:r>
        <w:rPr>
          <w:w w:val="115"/>
        </w:rPr>
        <w:t>la</w:t>
      </w:r>
      <w:r>
        <w:rPr>
          <w:spacing w:val="-6"/>
          <w:w w:val="115"/>
        </w:rPr>
        <w:t> </w:t>
      </w:r>
      <w:r>
        <w:rPr>
          <w:w w:val="115"/>
        </w:rPr>
        <w:t>multiplicidad</w:t>
      </w:r>
      <w:r>
        <w:rPr>
          <w:spacing w:val="-6"/>
          <w:w w:val="115"/>
        </w:rPr>
        <w:t> </w:t>
      </w:r>
      <w:r>
        <w:rPr>
          <w:w w:val="115"/>
        </w:rPr>
        <w:t>de</w:t>
      </w:r>
      <w:r>
        <w:rPr>
          <w:spacing w:val="-6"/>
          <w:w w:val="115"/>
        </w:rPr>
        <w:t> </w:t>
      </w:r>
      <w:r>
        <w:rPr>
          <w:w w:val="115"/>
        </w:rPr>
        <w:t>mecanismos</w:t>
      </w:r>
      <w:r>
        <w:rPr>
          <w:spacing w:val="-6"/>
          <w:w w:val="115"/>
        </w:rPr>
        <w:t> </w:t>
      </w:r>
      <w:r>
        <w:rPr>
          <w:w w:val="115"/>
        </w:rPr>
        <w:t>tradicionales</w:t>
      </w:r>
      <w:r>
        <w:rPr>
          <w:spacing w:val="-6"/>
          <w:w w:val="115"/>
        </w:rPr>
        <w:t> </w:t>
      </w:r>
      <w:r>
        <w:rPr>
          <w:w w:val="115"/>
        </w:rPr>
        <w:t>y emergentes de los activos y pasivos de la región (reservas, flujos</w:t>
      </w:r>
      <w:r>
        <w:rPr>
          <w:spacing w:val="-23"/>
          <w:w w:val="115"/>
        </w:rPr>
        <w:t> </w:t>
      </w:r>
      <w:r>
        <w:rPr>
          <w:w w:val="115"/>
        </w:rPr>
        <w:t>de inversión,</w:t>
      </w:r>
      <w:r>
        <w:rPr>
          <w:spacing w:val="-27"/>
          <w:w w:val="115"/>
        </w:rPr>
        <w:t> </w:t>
      </w:r>
      <w:r>
        <w:rPr>
          <w:w w:val="115"/>
        </w:rPr>
        <w:t>deuda,</w:t>
      </w:r>
      <w:r>
        <w:rPr>
          <w:spacing w:val="-27"/>
          <w:w w:val="115"/>
        </w:rPr>
        <w:t> </w:t>
      </w:r>
      <w:r>
        <w:rPr>
          <w:w w:val="115"/>
        </w:rPr>
        <w:t>etc.).</w:t>
      </w:r>
    </w:p>
    <w:p>
      <w:pPr>
        <w:spacing w:after="0" w:line="252" w:lineRule="auto"/>
        <w:jc w:val="both"/>
        <w:sectPr>
          <w:pgSz w:w="8790" w:h="12760"/>
          <w:pgMar w:header="697" w:footer="723" w:top="880" w:bottom="920" w:left="920" w:right="1200"/>
        </w:sectPr>
      </w:pPr>
    </w:p>
    <w:p>
      <w:pPr>
        <w:pStyle w:val="BodyText"/>
        <w:spacing w:before="7"/>
        <w:rPr>
          <w:sz w:val="28"/>
        </w:rPr>
      </w:pPr>
    </w:p>
    <w:p>
      <w:pPr>
        <w:pStyle w:val="BodyText"/>
        <w:spacing w:line="252" w:lineRule="auto" w:before="73"/>
        <w:ind w:left="330" w:right="117" w:firstLine="396"/>
        <w:jc w:val="both"/>
      </w:pPr>
      <w:r>
        <w:rPr>
          <w:w w:val="110"/>
        </w:rPr>
        <w:t>se constatan transformaciones en la transmisión de shocks desde </w:t>
      </w:r>
      <w:r>
        <w:rPr>
          <w:w w:val="107"/>
        </w:rPr>
        <w:t>el</w:t>
      </w:r>
      <w:r>
        <w:rPr/>
        <w:t> </w:t>
      </w:r>
      <w:r>
        <w:rPr>
          <w:spacing w:val="-10"/>
        </w:rPr>
        <w:t> </w:t>
      </w:r>
      <w:r>
        <w:rPr>
          <w:w w:val="113"/>
        </w:rPr>
        <w:t>ciclo</w:t>
      </w:r>
      <w:r>
        <w:rPr/>
        <w:t> </w:t>
      </w:r>
      <w:r>
        <w:rPr>
          <w:spacing w:val="-10"/>
        </w:rPr>
        <w:t> </w:t>
      </w:r>
      <w:r>
        <w:rPr>
          <w:w w:val="111"/>
        </w:rPr>
        <w:t>económico</w:t>
      </w:r>
      <w:r>
        <w:rPr/>
        <w:t> </w:t>
      </w:r>
      <w:r>
        <w:rPr>
          <w:spacing w:val="-10"/>
        </w:rPr>
        <w:t> </w:t>
      </w:r>
      <w:r>
        <w:rPr>
          <w:w w:val="106"/>
        </w:rPr>
        <w:t>desde</w:t>
      </w:r>
      <w:r>
        <w:rPr/>
        <w:t> </w:t>
      </w:r>
      <w:r>
        <w:rPr>
          <w:spacing w:val="-10"/>
        </w:rPr>
        <w:t> </w:t>
      </w:r>
      <w:r>
        <w:rPr>
          <w:w w:val="111"/>
        </w:rPr>
        <w:t>Estados</w:t>
      </w:r>
      <w:r>
        <w:rPr/>
        <w:t> </w:t>
      </w:r>
      <w:r>
        <w:rPr>
          <w:spacing w:val="-10"/>
        </w:rPr>
        <w:t> </w:t>
      </w:r>
      <w:r>
        <w:rPr>
          <w:w w:val="140"/>
        </w:rPr>
        <w:t>u</w:t>
      </w:r>
      <w:r>
        <w:rPr>
          <w:w w:val="110"/>
        </w:rPr>
        <w:t>nidos</w:t>
      </w:r>
      <w:r>
        <w:rPr/>
        <w:t> </w:t>
      </w:r>
      <w:r>
        <w:rPr>
          <w:spacing w:val="-10"/>
        </w:rPr>
        <w:t> </w:t>
      </w:r>
      <w:r>
        <w:rPr>
          <w:w w:val="113"/>
        </w:rPr>
        <w:t>hacia</w:t>
      </w:r>
      <w:r>
        <w:rPr/>
        <w:t> </w:t>
      </w:r>
      <w:r>
        <w:rPr>
          <w:spacing w:val="-10"/>
        </w:rPr>
        <w:t> </w:t>
      </w:r>
      <w:r>
        <w:rPr>
          <w:w w:val="139"/>
        </w:rPr>
        <w:t>a</w:t>
      </w:r>
      <w:r>
        <w:rPr>
          <w:w w:val="111"/>
        </w:rPr>
        <w:t>mérica</w:t>
      </w:r>
      <w:r>
        <w:rPr/>
        <w:t> </w:t>
      </w:r>
      <w:r>
        <w:rPr>
          <w:spacing w:val="-10"/>
        </w:rPr>
        <w:t> </w:t>
      </w:r>
      <w:r>
        <w:rPr>
          <w:w w:val="243"/>
        </w:rPr>
        <w:t>l</w:t>
      </w:r>
      <w:r>
        <w:rPr>
          <w:w w:val="111"/>
        </w:rPr>
        <w:t>atina</w:t>
      </w:r>
      <w:r>
        <w:rPr/>
        <w:t> </w:t>
      </w:r>
      <w:r>
        <w:rPr>
          <w:spacing w:val="-10"/>
        </w:rPr>
        <w:t> </w:t>
      </w:r>
      <w:r>
        <w:rPr>
          <w:w w:val="105"/>
        </w:rPr>
        <w:t>y</w:t>
      </w:r>
      <w:r>
        <w:rPr/>
        <w:t> </w:t>
      </w:r>
      <w:r>
        <w:rPr>
          <w:spacing w:val="-10"/>
        </w:rPr>
        <w:t> </w:t>
      </w:r>
      <w:r>
        <w:rPr>
          <w:w w:val="107"/>
        </w:rPr>
        <w:t>el </w:t>
      </w:r>
      <w:r>
        <w:rPr>
          <w:w w:val="110"/>
        </w:rPr>
        <w:t>Caribe en un conjunto de áreas. En primer </w:t>
      </w:r>
      <w:r>
        <w:rPr>
          <w:spacing w:val="-4"/>
          <w:w w:val="110"/>
        </w:rPr>
        <w:t>lugar, </w:t>
      </w:r>
      <w:r>
        <w:rPr>
          <w:w w:val="110"/>
        </w:rPr>
        <w:t>la transmisión de shocks hacia la región se vio atemperada en relación al pasado con una reducción de la incidencia, lo que no descarta para nada las ca- pacidades de derrame de los shocks de la economía estadounidense. En segundo </w:t>
      </w:r>
      <w:r>
        <w:rPr>
          <w:spacing w:val="-4"/>
          <w:w w:val="110"/>
        </w:rPr>
        <w:t>lugar, </w:t>
      </w:r>
      <w:r>
        <w:rPr>
          <w:w w:val="110"/>
        </w:rPr>
        <w:t>se verifican cambios en la correlación económica con un margen de incidencia de alrededor de un 38% del desempeño estadounidense sobre la economía de la región, en relación al 50% encontrado por Canova (2005). En tercer </w:t>
      </w:r>
      <w:r>
        <w:rPr>
          <w:spacing w:val="-4"/>
          <w:w w:val="110"/>
        </w:rPr>
        <w:t>lugar, </w:t>
      </w:r>
      <w:r>
        <w:rPr>
          <w:w w:val="110"/>
        </w:rPr>
        <w:t>es interesante encon- trar una tendencia dual en la influencia de Estados unidos sobre la región. si bien se da una reducción de la importancia relativa del ca- nal comercial, al mismo tiempo, se verifica un reforzamiento del canal financiero en la transmisión de shocks desde Estados unidos hacia </w:t>
      </w:r>
      <w:r>
        <w:rPr>
          <w:w w:val="139"/>
        </w:rPr>
        <w:t>a</w:t>
      </w:r>
      <w:r>
        <w:rPr>
          <w:w w:val="111"/>
        </w:rPr>
        <w:t>mérica</w:t>
      </w:r>
      <w:r>
        <w:rPr>
          <w:spacing w:val="3"/>
        </w:rPr>
        <w:t> </w:t>
      </w:r>
      <w:r>
        <w:rPr>
          <w:w w:val="243"/>
        </w:rPr>
        <w:t>l</w:t>
      </w:r>
      <w:r>
        <w:rPr>
          <w:w w:val="111"/>
        </w:rPr>
        <w:t>atina</w:t>
      </w:r>
      <w:r>
        <w:rPr>
          <w:spacing w:val="3"/>
        </w:rPr>
        <w:t> </w:t>
      </w:r>
      <w:r>
        <w:rPr>
          <w:w w:val="105"/>
        </w:rPr>
        <w:t>y</w:t>
      </w:r>
      <w:r>
        <w:rPr>
          <w:spacing w:val="3"/>
        </w:rPr>
        <w:t> </w:t>
      </w:r>
      <w:r>
        <w:rPr>
          <w:w w:val="107"/>
        </w:rPr>
        <w:t>el</w:t>
      </w:r>
      <w:r>
        <w:rPr>
          <w:spacing w:val="3"/>
        </w:rPr>
        <w:t> </w:t>
      </w:r>
      <w:r>
        <w:rPr>
          <w:w w:val="114"/>
        </w:rPr>
        <w:t>Caribe.</w:t>
      </w:r>
      <w:r>
        <w:rPr>
          <w:spacing w:val="3"/>
        </w:rPr>
        <w:t> </w:t>
      </w:r>
      <w:r>
        <w:rPr>
          <w:w w:val="139"/>
        </w:rPr>
        <w:t>a</w:t>
      </w:r>
      <w:r>
        <w:rPr>
          <w:w w:val="112"/>
        </w:rPr>
        <w:t>simismo,</w:t>
      </w:r>
      <w:r>
        <w:rPr>
          <w:spacing w:val="3"/>
        </w:rPr>
        <w:t> </w:t>
      </w:r>
      <w:r>
        <w:rPr>
          <w:w w:val="106"/>
        </w:rPr>
        <w:t>estos</w:t>
      </w:r>
      <w:r>
        <w:rPr>
          <w:spacing w:val="3"/>
        </w:rPr>
        <w:t> </w:t>
      </w:r>
      <w:r>
        <w:rPr>
          <w:w w:val="111"/>
        </w:rPr>
        <w:t>cambios</w:t>
      </w:r>
      <w:r>
        <w:rPr>
          <w:spacing w:val="3"/>
        </w:rPr>
        <w:t> </w:t>
      </w:r>
      <w:r>
        <w:rPr>
          <w:w w:val="108"/>
        </w:rPr>
        <w:t>en</w:t>
      </w:r>
      <w:r>
        <w:rPr>
          <w:spacing w:val="3"/>
        </w:rPr>
        <w:t> </w:t>
      </w:r>
      <w:r>
        <w:rPr>
          <w:w w:val="111"/>
        </w:rPr>
        <w:t>la</w:t>
      </w:r>
      <w:r>
        <w:rPr>
          <w:spacing w:val="3"/>
        </w:rPr>
        <w:t> </w:t>
      </w:r>
      <w:r>
        <w:rPr>
          <w:w w:val="110"/>
        </w:rPr>
        <w:t>correlación </w:t>
      </w:r>
      <w:r>
        <w:rPr>
          <w:w w:val="110"/>
        </w:rPr>
        <w:t>económica se manifiestan en la distribución de influencias sobre la re- gión del desempeño económico de socios tradicionales y emergentes: se verifica un incremento de la influencia China en el ciclo económico latinoamericano y caribeño especialmente a través del canal </w:t>
      </w:r>
      <w:r>
        <w:rPr>
          <w:spacing w:val="-3"/>
          <w:w w:val="110"/>
        </w:rPr>
        <w:t>comer- </w:t>
      </w:r>
      <w:r>
        <w:rPr>
          <w:w w:val="110"/>
        </w:rPr>
        <w:t>cial, mientras la unión Europea reduce su participación regional en este área. Efectivamente, el análisis por décadas ilustra claramente que la correlación de la actividad económica de la región con China   ha crecido desde 1960, alcanzando niveles récord en la última década, en detrimento de la influencia de importantes actores como la unión Europea. Finalmente, estos hallazgos se complementan con las mani- festaciones de una región cada vez más heterogénea en los impactos de los shocks generados en Estados </w:t>
      </w:r>
      <w:r>
        <w:rPr>
          <w:spacing w:val="31"/>
          <w:w w:val="110"/>
        </w:rPr>
        <w:t> </w:t>
      </w:r>
      <w:r>
        <w:rPr>
          <w:w w:val="110"/>
        </w:rPr>
        <w:t>unidos.</w:t>
      </w:r>
    </w:p>
    <w:p>
      <w:pPr>
        <w:pStyle w:val="BodyText"/>
        <w:spacing w:line="252" w:lineRule="auto"/>
        <w:ind w:left="330" w:right="118" w:firstLine="396"/>
        <w:jc w:val="both"/>
      </w:pPr>
      <w:r>
        <w:rPr>
          <w:w w:val="120"/>
        </w:rPr>
        <w:t>Estados unidos, como actor global de primordial relevancia, mantiene</w:t>
      </w:r>
      <w:r>
        <w:rPr>
          <w:spacing w:val="-18"/>
          <w:w w:val="120"/>
        </w:rPr>
        <w:t> </w:t>
      </w:r>
      <w:r>
        <w:rPr>
          <w:w w:val="120"/>
        </w:rPr>
        <w:t>su</w:t>
      </w:r>
      <w:r>
        <w:rPr>
          <w:spacing w:val="-18"/>
          <w:w w:val="120"/>
        </w:rPr>
        <w:t> </w:t>
      </w:r>
      <w:r>
        <w:rPr>
          <w:w w:val="120"/>
        </w:rPr>
        <w:t>doble</w:t>
      </w:r>
      <w:r>
        <w:rPr>
          <w:spacing w:val="-18"/>
          <w:w w:val="120"/>
        </w:rPr>
        <w:t> </w:t>
      </w:r>
      <w:r>
        <w:rPr>
          <w:w w:val="120"/>
        </w:rPr>
        <w:t>dimensionalidad</w:t>
      </w:r>
      <w:r>
        <w:rPr>
          <w:spacing w:val="-18"/>
          <w:w w:val="120"/>
        </w:rPr>
        <w:t> </w:t>
      </w:r>
      <w:r>
        <w:rPr>
          <w:w w:val="120"/>
        </w:rPr>
        <w:t>en</w:t>
      </w:r>
      <w:r>
        <w:rPr>
          <w:spacing w:val="-18"/>
          <w:w w:val="120"/>
        </w:rPr>
        <w:t> </w:t>
      </w:r>
      <w:r>
        <w:rPr>
          <w:w w:val="120"/>
        </w:rPr>
        <w:t>su</w:t>
      </w:r>
      <w:r>
        <w:rPr>
          <w:spacing w:val="-18"/>
          <w:w w:val="120"/>
        </w:rPr>
        <w:t> </w:t>
      </w:r>
      <w:r>
        <w:rPr>
          <w:w w:val="120"/>
        </w:rPr>
        <w:t>importancia</w:t>
      </w:r>
      <w:r>
        <w:rPr>
          <w:spacing w:val="-18"/>
          <w:w w:val="120"/>
        </w:rPr>
        <w:t> </w:t>
      </w:r>
      <w:r>
        <w:rPr>
          <w:w w:val="120"/>
        </w:rPr>
        <w:t>económica </w:t>
      </w:r>
      <w:r>
        <w:rPr>
          <w:w w:val="109"/>
        </w:rPr>
        <w:t>para</w:t>
      </w:r>
      <w:r>
        <w:rPr/>
        <w:t> </w:t>
      </w:r>
      <w:r>
        <w:rPr>
          <w:spacing w:val="-15"/>
        </w:rPr>
        <w:t> </w:t>
      </w:r>
      <w:r>
        <w:rPr>
          <w:w w:val="139"/>
        </w:rPr>
        <w:t>a</w:t>
      </w:r>
      <w:r>
        <w:rPr>
          <w:w w:val="111"/>
        </w:rPr>
        <w:t>mérica</w:t>
      </w:r>
      <w:r>
        <w:rPr/>
        <w:t> </w:t>
      </w:r>
      <w:r>
        <w:rPr>
          <w:spacing w:val="-15"/>
        </w:rPr>
        <w:t> </w:t>
      </w:r>
      <w:r>
        <w:rPr>
          <w:w w:val="243"/>
        </w:rPr>
        <w:t>l</w:t>
      </w:r>
      <w:r>
        <w:rPr>
          <w:w w:val="111"/>
        </w:rPr>
        <w:t>atina</w:t>
      </w:r>
      <w:r>
        <w:rPr/>
        <w:t> </w:t>
      </w:r>
      <w:r>
        <w:rPr>
          <w:spacing w:val="-15"/>
        </w:rPr>
        <w:t> </w:t>
      </w:r>
      <w:r>
        <w:rPr>
          <w:w w:val="105"/>
        </w:rPr>
        <w:t>y</w:t>
      </w:r>
      <w:r>
        <w:rPr/>
        <w:t> </w:t>
      </w:r>
      <w:r>
        <w:rPr>
          <w:spacing w:val="-15"/>
        </w:rPr>
        <w:t> </w:t>
      </w:r>
      <w:r>
        <w:rPr>
          <w:w w:val="107"/>
        </w:rPr>
        <w:t>el</w:t>
      </w:r>
      <w:r>
        <w:rPr/>
        <w:t> </w:t>
      </w:r>
      <w:r>
        <w:rPr>
          <w:spacing w:val="-15"/>
        </w:rPr>
        <w:t> </w:t>
      </w:r>
      <w:r>
        <w:rPr>
          <w:w w:val="111"/>
        </w:rPr>
        <w:t>Caribe:</w:t>
      </w:r>
      <w:r>
        <w:rPr/>
        <w:t> </w:t>
      </w:r>
      <w:r>
        <w:rPr>
          <w:spacing w:val="-15"/>
        </w:rPr>
        <w:t> </w:t>
      </w:r>
      <w:r>
        <w:rPr>
          <w:w w:val="111"/>
        </w:rPr>
        <w:t>principal</w:t>
      </w:r>
      <w:r>
        <w:rPr/>
        <w:t> </w:t>
      </w:r>
      <w:r>
        <w:rPr>
          <w:spacing w:val="-15"/>
        </w:rPr>
        <w:t> </w:t>
      </w:r>
      <w:r>
        <w:rPr>
          <w:w w:val="110"/>
        </w:rPr>
        <w:t>actor</w:t>
      </w:r>
      <w:r>
        <w:rPr/>
        <w:t> </w:t>
      </w:r>
      <w:r>
        <w:rPr>
          <w:spacing w:val="-15"/>
        </w:rPr>
        <w:t> </w:t>
      </w:r>
      <w:r>
        <w:rPr>
          <w:w w:val="110"/>
        </w:rPr>
        <w:t>hemisférico</w:t>
      </w:r>
      <w:r>
        <w:rPr/>
        <w:t> </w:t>
      </w:r>
      <w:r>
        <w:rPr>
          <w:spacing w:val="-15"/>
        </w:rPr>
        <w:t> </w:t>
      </w:r>
      <w:r>
        <w:rPr>
          <w:w w:val="105"/>
        </w:rPr>
        <w:t>y</w:t>
      </w:r>
      <w:r>
        <w:rPr/>
        <w:t> </w:t>
      </w:r>
      <w:r>
        <w:rPr>
          <w:spacing w:val="-15"/>
        </w:rPr>
        <w:t> </w:t>
      </w:r>
      <w:r>
        <w:rPr>
          <w:w w:val="111"/>
        </w:rPr>
        <w:t>socio </w:t>
      </w:r>
      <w:r>
        <w:rPr>
          <w:w w:val="115"/>
        </w:rPr>
        <w:t>comercial</w:t>
      </w:r>
      <w:r>
        <w:rPr>
          <w:spacing w:val="-8"/>
          <w:w w:val="115"/>
        </w:rPr>
        <w:t> </w:t>
      </w:r>
      <w:r>
        <w:rPr>
          <w:spacing w:val="-11"/>
          <w:w w:val="115"/>
        </w:rPr>
        <w:t>y,</w:t>
      </w:r>
      <w:r>
        <w:rPr>
          <w:spacing w:val="-8"/>
          <w:w w:val="115"/>
        </w:rPr>
        <w:t> </w:t>
      </w:r>
      <w:r>
        <w:rPr>
          <w:w w:val="115"/>
        </w:rPr>
        <w:t>por</w:t>
      </w:r>
      <w:r>
        <w:rPr>
          <w:spacing w:val="-8"/>
          <w:w w:val="115"/>
        </w:rPr>
        <w:t> </w:t>
      </w:r>
      <w:r>
        <w:rPr>
          <w:w w:val="115"/>
        </w:rPr>
        <w:t>otro</w:t>
      </w:r>
      <w:r>
        <w:rPr>
          <w:spacing w:val="-8"/>
          <w:w w:val="115"/>
        </w:rPr>
        <w:t> </w:t>
      </w:r>
      <w:r>
        <w:rPr>
          <w:w w:val="115"/>
        </w:rPr>
        <w:t>lado,</w:t>
      </w:r>
      <w:r>
        <w:rPr>
          <w:spacing w:val="-8"/>
          <w:w w:val="115"/>
        </w:rPr>
        <w:t> </w:t>
      </w:r>
      <w:r>
        <w:rPr>
          <w:w w:val="115"/>
        </w:rPr>
        <w:t>continúa</w:t>
      </w:r>
      <w:r>
        <w:rPr>
          <w:spacing w:val="-8"/>
          <w:w w:val="115"/>
        </w:rPr>
        <w:t> </w:t>
      </w:r>
      <w:r>
        <w:rPr>
          <w:w w:val="115"/>
        </w:rPr>
        <w:t>asumiendo</w:t>
      </w:r>
      <w:r>
        <w:rPr>
          <w:spacing w:val="-8"/>
          <w:w w:val="115"/>
        </w:rPr>
        <w:t> </w:t>
      </w:r>
      <w:r>
        <w:rPr>
          <w:w w:val="115"/>
        </w:rPr>
        <w:t>su</w:t>
      </w:r>
      <w:r>
        <w:rPr>
          <w:spacing w:val="-8"/>
          <w:w w:val="115"/>
        </w:rPr>
        <w:t> </w:t>
      </w:r>
      <w:r>
        <w:rPr>
          <w:w w:val="115"/>
        </w:rPr>
        <w:t>rol</w:t>
      </w:r>
      <w:r>
        <w:rPr>
          <w:spacing w:val="-8"/>
          <w:w w:val="115"/>
        </w:rPr>
        <w:t> </w:t>
      </w:r>
      <w:r>
        <w:rPr>
          <w:w w:val="115"/>
        </w:rPr>
        <w:t>en</w:t>
      </w:r>
      <w:r>
        <w:rPr>
          <w:spacing w:val="-8"/>
          <w:w w:val="115"/>
        </w:rPr>
        <w:t> </w:t>
      </w:r>
      <w:r>
        <w:rPr>
          <w:w w:val="115"/>
        </w:rPr>
        <w:t>la</w:t>
      </w:r>
      <w:r>
        <w:rPr>
          <w:spacing w:val="-8"/>
          <w:w w:val="115"/>
        </w:rPr>
        <w:t> </w:t>
      </w:r>
      <w:r>
        <w:rPr>
          <w:w w:val="115"/>
        </w:rPr>
        <w:t>arquitec- </w:t>
      </w:r>
      <w:r>
        <w:rPr>
          <w:w w:val="109"/>
        </w:rPr>
        <w:t>tura</w:t>
      </w:r>
      <w:r>
        <w:rPr>
          <w:spacing w:val="3"/>
        </w:rPr>
        <w:t> </w:t>
      </w:r>
      <w:r>
        <w:rPr>
          <w:w w:val="110"/>
        </w:rPr>
        <w:t>monetaria</w:t>
      </w:r>
      <w:r>
        <w:rPr>
          <w:spacing w:val="3"/>
        </w:rPr>
        <w:t> </w:t>
      </w:r>
      <w:r>
        <w:rPr>
          <w:w w:val="105"/>
        </w:rPr>
        <w:t>y</w:t>
      </w:r>
      <w:r>
        <w:rPr>
          <w:spacing w:val="3"/>
        </w:rPr>
        <w:t> </w:t>
      </w:r>
      <w:r>
        <w:rPr>
          <w:w w:val="110"/>
        </w:rPr>
        <w:t>financiera</w:t>
      </w:r>
      <w:r>
        <w:rPr>
          <w:spacing w:val="3"/>
        </w:rPr>
        <w:t> </w:t>
      </w:r>
      <w:r>
        <w:rPr>
          <w:w w:val="111"/>
        </w:rPr>
        <w:t>internacional.</w:t>
      </w:r>
      <w:r>
        <w:rPr>
          <w:spacing w:val="3"/>
        </w:rPr>
        <w:t> </w:t>
      </w:r>
      <w:r>
        <w:rPr>
          <w:w w:val="243"/>
        </w:rPr>
        <w:t>l</w:t>
      </w:r>
      <w:r>
        <w:rPr>
          <w:w w:val="112"/>
        </w:rPr>
        <w:t>a</w:t>
      </w:r>
      <w:r>
        <w:rPr>
          <w:spacing w:val="3"/>
        </w:rPr>
        <w:t> </w:t>
      </w:r>
      <w:r>
        <w:rPr>
          <w:w w:val="108"/>
        </w:rPr>
        <w:t>preservación</w:t>
      </w:r>
      <w:r>
        <w:rPr>
          <w:spacing w:val="3"/>
        </w:rPr>
        <w:t> </w:t>
      </w:r>
      <w:r>
        <w:rPr>
          <w:w w:val="107"/>
        </w:rPr>
        <w:t>de</w:t>
      </w:r>
      <w:r>
        <w:rPr>
          <w:spacing w:val="3"/>
        </w:rPr>
        <w:t> </w:t>
      </w:r>
      <w:r>
        <w:rPr>
          <w:w w:val="109"/>
        </w:rPr>
        <w:t>su</w:t>
      </w:r>
      <w:r>
        <w:rPr>
          <w:spacing w:val="3"/>
        </w:rPr>
        <w:t> </w:t>
      </w:r>
      <w:r>
        <w:rPr>
          <w:w w:val="108"/>
        </w:rPr>
        <w:t>hege</w:t>
      </w:r>
      <w:r>
        <w:rPr>
          <w:w w:val="102"/>
        </w:rPr>
        <w:t>- </w:t>
      </w:r>
      <w:r>
        <w:rPr>
          <w:w w:val="115"/>
        </w:rPr>
        <w:t>monía</w:t>
      </w:r>
      <w:r>
        <w:rPr>
          <w:spacing w:val="-24"/>
          <w:w w:val="115"/>
        </w:rPr>
        <w:t> </w:t>
      </w:r>
      <w:r>
        <w:rPr>
          <w:w w:val="115"/>
        </w:rPr>
        <w:t>económica</w:t>
      </w:r>
      <w:r>
        <w:rPr>
          <w:spacing w:val="-24"/>
          <w:w w:val="115"/>
        </w:rPr>
        <w:t> </w:t>
      </w:r>
      <w:r>
        <w:rPr>
          <w:w w:val="115"/>
        </w:rPr>
        <w:t>en</w:t>
      </w:r>
      <w:r>
        <w:rPr>
          <w:spacing w:val="-24"/>
          <w:w w:val="115"/>
        </w:rPr>
        <w:t> </w:t>
      </w:r>
      <w:r>
        <w:rPr>
          <w:w w:val="115"/>
        </w:rPr>
        <w:t>la</w:t>
      </w:r>
      <w:r>
        <w:rPr>
          <w:spacing w:val="-24"/>
          <w:w w:val="115"/>
        </w:rPr>
        <w:t> </w:t>
      </w:r>
      <w:r>
        <w:rPr>
          <w:w w:val="115"/>
        </w:rPr>
        <w:t>región</w:t>
      </w:r>
      <w:r>
        <w:rPr>
          <w:spacing w:val="-24"/>
          <w:w w:val="115"/>
        </w:rPr>
        <w:t> </w:t>
      </w:r>
      <w:r>
        <w:rPr>
          <w:w w:val="115"/>
        </w:rPr>
        <w:t>se</w:t>
      </w:r>
      <w:r>
        <w:rPr>
          <w:spacing w:val="-24"/>
          <w:w w:val="115"/>
        </w:rPr>
        <w:t> </w:t>
      </w:r>
      <w:r>
        <w:rPr>
          <w:w w:val="115"/>
        </w:rPr>
        <w:t>basa</w:t>
      </w:r>
      <w:r>
        <w:rPr>
          <w:spacing w:val="-24"/>
          <w:w w:val="115"/>
        </w:rPr>
        <w:t> </w:t>
      </w:r>
      <w:r>
        <w:rPr>
          <w:w w:val="115"/>
        </w:rPr>
        <w:t>fundamentalmente</w:t>
      </w:r>
      <w:r>
        <w:rPr>
          <w:spacing w:val="-24"/>
          <w:w w:val="115"/>
        </w:rPr>
        <w:t> </w:t>
      </w:r>
      <w:r>
        <w:rPr>
          <w:w w:val="115"/>
        </w:rPr>
        <w:t>en</w:t>
      </w:r>
      <w:r>
        <w:rPr>
          <w:spacing w:val="-24"/>
          <w:w w:val="115"/>
        </w:rPr>
        <w:t> </w:t>
      </w:r>
      <w:r>
        <w:rPr>
          <w:w w:val="115"/>
        </w:rPr>
        <w:t>este</w:t>
      </w:r>
      <w:r>
        <w:rPr>
          <w:spacing w:val="-24"/>
          <w:w w:val="115"/>
        </w:rPr>
        <w:t> </w:t>
      </w:r>
      <w:r>
        <w:rPr>
          <w:w w:val="115"/>
        </w:rPr>
        <w:t>últi- mo</w:t>
      </w:r>
      <w:r>
        <w:rPr>
          <w:spacing w:val="-16"/>
          <w:w w:val="115"/>
        </w:rPr>
        <w:t> </w:t>
      </w:r>
      <w:r>
        <w:rPr>
          <w:spacing w:val="-4"/>
          <w:w w:val="115"/>
        </w:rPr>
        <w:t>pilar,</w:t>
      </w:r>
      <w:r>
        <w:rPr>
          <w:spacing w:val="-16"/>
          <w:w w:val="115"/>
        </w:rPr>
        <w:t> </w:t>
      </w:r>
      <w:r>
        <w:rPr>
          <w:w w:val="115"/>
        </w:rPr>
        <w:t>sobre</w:t>
      </w:r>
      <w:r>
        <w:rPr>
          <w:spacing w:val="-16"/>
          <w:w w:val="115"/>
        </w:rPr>
        <w:t> </w:t>
      </w:r>
      <w:r>
        <w:rPr>
          <w:w w:val="115"/>
        </w:rPr>
        <w:t>el</w:t>
      </w:r>
      <w:r>
        <w:rPr>
          <w:spacing w:val="-16"/>
          <w:w w:val="115"/>
        </w:rPr>
        <w:t> </w:t>
      </w:r>
      <w:r>
        <w:rPr>
          <w:w w:val="115"/>
        </w:rPr>
        <w:t>cual</w:t>
      </w:r>
      <w:r>
        <w:rPr>
          <w:spacing w:val="-16"/>
          <w:w w:val="115"/>
        </w:rPr>
        <w:t> </w:t>
      </w:r>
      <w:r>
        <w:rPr>
          <w:w w:val="115"/>
        </w:rPr>
        <w:t>la</w:t>
      </w:r>
      <w:r>
        <w:rPr>
          <w:spacing w:val="-16"/>
          <w:w w:val="115"/>
        </w:rPr>
        <w:t> </w:t>
      </w:r>
      <w:r>
        <w:rPr>
          <w:w w:val="115"/>
        </w:rPr>
        <w:t>región</w:t>
      </w:r>
      <w:r>
        <w:rPr>
          <w:spacing w:val="-16"/>
          <w:w w:val="115"/>
        </w:rPr>
        <w:t> </w:t>
      </w:r>
      <w:r>
        <w:rPr>
          <w:w w:val="115"/>
        </w:rPr>
        <w:t>posee</w:t>
      </w:r>
      <w:r>
        <w:rPr>
          <w:spacing w:val="-16"/>
          <w:w w:val="115"/>
        </w:rPr>
        <w:t> </w:t>
      </w:r>
      <w:r>
        <w:rPr>
          <w:w w:val="115"/>
        </w:rPr>
        <w:t>escasa</w:t>
      </w:r>
      <w:r>
        <w:rPr>
          <w:spacing w:val="-16"/>
          <w:w w:val="115"/>
        </w:rPr>
        <w:t> </w:t>
      </w:r>
      <w:r>
        <w:rPr>
          <w:w w:val="115"/>
        </w:rPr>
        <w:t>capacidad</w:t>
      </w:r>
      <w:r>
        <w:rPr>
          <w:spacing w:val="-16"/>
          <w:w w:val="115"/>
        </w:rPr>
        <w:t> </w:t>
      </w:r>
      <w:r>
        <w:rPr>
          <w:w w:val="115"/>
        </w:rPr>
        <w:t>de</w:t>
      </w:r>
      <w:r>
        <w:rPr>
          <w:spacing w:val="-16"/>
          <w:w w:val="115"/>
        </w:rPr>
        <w:t> </w:t>
      </w:r>
      <w:r>
        <w:rPr>
          <w:w w:val="115"/>
        </w:rPr>
        <w:t>influencia. Ello</w:t>
      </w:r>
      <w:r>
        <w:rPr>
          <w:spacing w:val="-15"/>
          <w:w w:val="115"/>
        </w:rPr>
        <w:t> </w:t>
      </w:r>
      <w:r>
        <w:rPr>
          <w:w w:val="115"/>
        </w:rPr>
        <w:t>sobrepasa</w:t>
      </w:r>
      <w:r>
        <w:rPr>
          <w:spacing w:val="-15"/>
          <w:w w:val="115"/>
        </w:rPr>
        <w:t> </w:t>
      </w:r>
      <w:r>
        <w:rPr>
          <w:w w:val="115"/>
        </w:rPr>
        <w:t>el</w:t>
      </w:r>
      <w:r>
        <w:rPr>
          <w:spacing w:val="-15"/>
          <w:w w:val="115"/>
        </w:rPr>
        <w:t> </w:t>
      </w:r>
      <w:r>
        <w:rPr>
          <w:w w:val="115"/>
        </w:rPr>
        <w:t>ámbito</w:t>
      </w:r>
      <w:r>
        <w:rPr>
          <w:spacing w:val="-15"/>
          <w:w w:val="115"/>
        </w:rPr>
        <w:t> </w:t>
      </w:r>
      <w:r>
        <w:rPr>
          <w:w w:val="115"/>
        </w:rPr>
        <w:t>del</w:t>
      </w:r>
      <w:r>
        <w:rPr>
          <w:spacing w:val="-15"/>
          <w:w w:val="115"/>
        </w:rPr>
        <w:t> </w:t>
      </w:r>
      <w:r>
        <w:rPr>
          <w:w w:val="115"/>
        </w:rPr>
        <w:t>manejo</w:t>
      </w:r>
      <w:r>
        <w:rPr>
          <w:spacing w:val="-15"/>
          <w:w w:val="115"/>
        </w:rPr>
        <w:t> </w:t>
      </w:r>
      <w:r>
        <w:rPr>
          <w:w w:val="115"/>
        </w:rPr>
        <w:t>de</w:t>
      </w:r>
      <w:r>
        <w:rPr>
          <w:spacing w:val="-15"/>
          <w:w w:val="115"/>
        </w:rPr>
        <w:t> </w:t>
      </w:r>
      <w:r>
        <w:rPr>
          <w:w w:val="115"/>
        </w:rPr>
        <w:t>políticas</w:t>
      </w:r>
      <w:r>
        <w:rPr>
          <w:spacing w:val="-15"/>
          <w:w w:val="115"/>
        </w:rPr>
        <w:t> </w:t>
      </w:r>
      <w:r>
        <w:rPr>
          <w:w w:val="115"/>
        </w:rPr>
        <w:t>macroeconómicas</w:t>
      </w:r>
      <w:r>
        <w:rPr>
          <w:spacing w:val="-15"/>
          <w:w w:val="115"/>
        </w:rPr>
        <w:t> </w:t>
      </w:r>
      <w:r>
        <w:rPr>
          <w:w w:val="115"/>
        </w:rPr>
        <w:t>y le</w:t>
      </w:r>
      <w:r>
        <w:rPr>
          <w:spacing w:val="-28"/>
          <w:w w:val="115"/>
        </w:rPr>
        <w:t> </w:t>
      </w:r>
      <w:r>
        <w:rPr>
          <w:w w:val="115"/>
        </w:rPr>
        <w:t>concede</w:t>
      </w:r>
      <w:r>
        <w:rPr>
          <w:spacing w:val="-28"/>
          <w:w w:val="115"/>
        </w:rPr>
        <w:t> </w:t>
      </w:r>
      <w:r>
        <w:rPr>
          <w:w w:val="115"/>
        </w:rPr>
        <w:t>importancia</w:t>
      </w:r>
      <w:r>
        <w:rPr>
          <w:spacing w:val="-28"/>
          <w:w w:val="115"/>
        </w:rPr>
        <w:t> </w:t>
      </w:r>
      <w:r>
        <w:rPr>
          <w:w w:val="115"/>
        </w:rPr>
        <w:t>a</w:t>
      </w:r>
      <w:r>
        <w:rPr>
          <w:spacing w:val="-28"/>
          <w:w w:val="115"/>
        </w:rPr>
        <w:t> </w:t>
      </w:r>
      <w:r>
        <w:rPr>
          <w:w w:val="115"/>
        </w:rPr>
        <w:t>la</w:t>
      </w:r>
      <w:r>
        <w:rPr>
          <w:spacing w:val="-28"/>
          <w:w w:val="115"/>
        </w:rPr>
        <w:t> </w:t>
      </w:r>
      <w:r>
        <w:rPr>
          <w:w w:val="115"/>
        </w:rPr>
        <w:t>evolución</w:t>
      </w:r>
      <w:r>
        <w:rPr>
          <w:spacing w:val="-28"/>
          <w:w w:val="115"/>
        </w:rPr>
        <w:t> </w:t>
      </w:r>
      <w:r>
        <w:rPr>
          <w:w w:val="115"/>
        </w:rPr>
        <w:t>de</w:t>
      </w:r>
      <w:r>
        <w:rPr>
          <w:spacing w:val="-28"/>
          <w:w w:val="115"/>
        </w:rPr>
        <w:t> </w:t>
      </w:r>
      <w:r>
        <w:rPr>
          <w:w w:val="115"/>
        </w:rPr>
        <w:t>la</w:t>
      </w:r>
      <w:r>
        <w:rPr>
          <w:spacing w:val="-28"/>
          <w:w w:val="115"/>
        </w:rPr>
        <w:t> </w:t>
      </w:r>
      <w:r>
        <w:rPr>
          <w:w w:val="115"/>
        </w:rPr>
        <w:t>correlación</w:t>
      </w:r>
      <w:r>
        <w:rPr>
          <w:spacing w:val="-28"/>
          <w:w w:val="115"/>
        </w:rPr>
        <w:t> </w:t>
      </w:r>
      <w:r>
        <w:rPr>
          <w:w w:val="115"/>
        </w:rPr>
        <w:t>de</w:t>
      </w:r>
      <w:r>
        <w:rPr>
          <w:spacing w:val="-28"/>
          <w:w w:val="115"/>
        </w:rPr>
        <w:t> </w:t>
      </w:r>
      <w:r>
        <w:rPr>
          <w:w w:val="115"/>
        </w:rPr>
        <w:t>fuerzas</w:t>
      </w:r>
      <w:r>
        <w:rPr>
          <w:spacing w:val="-28"/>
          <w:w w:val="115"/>
        </w:rPr>
        <w:t> </w:t>
      </w:r>
      <w:r>
        <w:rPr>
          <w:w w:val="115"/>
        </w:rPr>
        <w:t>eco- </w:t>
      </w:r>
      <w:r>
        <w:rPr>
          <w:w w:val="120"/>
        </w:rPr>
        <w:t>nómicas</w:t>
      </w:r>
      <w:r>
        <w:rPr>
          <w:spacing w:val="-12"/>
          <w:w w:val="120"/>
        </w:rPr>
        <w:t> </w:t>
      </w:r>
      <w:r>
        <w:rPr>
          <w:w w:val="120"/>
        </w:rPr>
        <w:t>a</w:t>
      </w:r>
      <w:r>
        <w:rPr>
          <w:spacing w:val="-12"/>
          <w:w w:val="120"/>
        </w:rPr>
        <w:t> </w:t>
      </w:r>
      <w:r>
        <w:rPr>
          <w:w w:val="120"/>
        </w:rPr>
        <w:t>nivel</w:t>
      </w:r>
      <w:r>
        <w:rPr>
          <w:spacing w:val="-12"/>
          <w:w w:val="120"/>
        </w:rPr>
        <w:t> </w:t>
      </w:r>
      <w:r>
        <w:rPr>
          <w:w w:val="120"/>
        </w:rPr>
        <w:t>global,</w:t>
      </w:r>
      <w:r>
        <w:rPr>
          <w:spacing w:val="-12"/>
          <w:w w:val="120"/>
        </w:rPr>
        <w:t> </w:t>
      </w:r>
      <w:r>
        <w:rPr>
          <w:w w:val="120"/>
        </w:rPr>
        <w:t>en</w:t>
      </w:r>
      <w:r>
        <w:rPr>
          <w:spacing w:val="-12"/>
          <w:w w:val="120"/>
        </w:rPr>
        <w:t> </w:t>
      </w:r>
      <w:r>
        <w:rPr>
          <w:w w:val="120"/>
        </w:rPr>
        <w:t>la</w:t>
      </w:r>
      <w:r>
        <w:rPr>
          <w:spacing w:val="-12"/>
          <w:w w:val="120"/>
        </w:rPr>
        <w:t> </w:t>
      </w:r>
      <w:r>
        <w:rPr>
          <w:w w:val="120"/>
        </w:rPr>
        <w:t>cual</w:t>
      </w:r>
      <w:r>
        <w:rPr>
          <w:spacing w:val="-12"/>
          <w:w w:val="120"/>
        </w:rPr>
        <w:t> </w:t>
      </w:r>
      <w:r>
        <w:rPr>
          <w:w w:val="120"/>
        </w:rPr>
        <w:t>China</w:t>
      </w:r>
      <w:r>
        <w:rPr>
          <w:spacing w:val="-12"/>
          <w:w w:val="120"/>
        </w:rPr>
        <w:t> </w:t>
      </w:r>
      <w:r>
        <w:rPr>
          <w:w w:val="120"/>
        </w:rPr>
        <w:t>–junto</w:t>
      </w:r>
      <w:r>
        <w:rPr>
          <w:spacing w:val="-12"/>
          <w:w w:val="120"/>
        </w:rPr>
        <w:t> </w:t>
      </w:r>
      <w:r>
        <w:rPr>
          <w:w w:val="120"/>
        </w:rPr>
        <w:t>a</w:t>
      </w:r>
      <w:r>
        <w:rPr>
          <w:spacing w:val="-12"/>
          <w:w w:val="120"/>
        </w:rPr>
        <w:t> </w:t>
      </w:r>
      <w:r>
        <w:rPr>
          <w:w w:val="120"/>
        </w:rPr>
        <w:t>otros</w:t>
      </w:r>
      <w:r>
        <w:rPr>
          <w:spacing w:val="-12"/>
          <w:w w:val="120"/>
        </w:rPr>
        <w:t> </w:t>
      </w:r>
      <w:r>
        <w:rPr>
          <w:w w:val="120"/>
        </w:rPr>
        <w:t>briCs–</w:t>
      </w:r>
      <w:r>
        <w:rPr>
          <w:spacing w:val="-12"/>
          <w:w w:val="120"/>
        </w:rPr>
        <w:t> </w:t>
      </w:r>
      <w:r>
        <w:rPr>
          <w:w w:val="120"/>
        </w:rPr>
        <w:t>tiene </w:t>
      </w:r>
      <w:r>
        <w:rPr>
          <w:w w:val="115"/>
        </w:rPr>
        <w:t>aún</w:t>
      </w:r>
      <w:r>
        <w:rPr>
          <w:spacing w:val="-4"/>
          <w:w w:val="115"/>
        </w:rPr>
        <w:t> </w:t>
      </w:r>
      <w:r>
        <w:rPr>
          <w:w w:val="115"/>
        </w:rPr>
        <w:t>un</w:t>
      </w:r>
      <w:r>
        <w:rPr>
          <w:spacing w:val="-4"/>
          <w:w w:val="115"/>
        </w:rPr>
        <w:t> </w:t>
      </w:r>
      <w:r>
        <w:rPr>
          <w:w w:val="115"/>
        </w:rPr>
        <w:t>rol</w:t>
      </w:r>
      <w:r>
        <w:rPr>
          <w:spacing w:val="-4"/>
          <w:w w:val="115"/>
        </w:rPr>
        <w:t> </w:t>
      </w:r>
      <w:r>
        <w:rPr>
          <w:w w:val="115"/>
        </w:rPr>
        <w:t>que</w:t>
      </w:r>
      <w:r>
        <w:rPr>
          <w:spacing w:val="-4"/>
          <w:w w:val="115"/>
        </w:rPr>
        <w:t> </w:t>
      </w:r>
      <w:r>
        <w:rPr>
          <w:w w:val="115"/>
        </w:rPr>
        <w:t>desempeñar</w:t>
      </w:r>
      <w:r>
        <w:rPr>
          <w:spacing w:val="-4"/>
          <w:w w:val="115"/>
        </w:rPr>
        <w:t> </w:t>
      </w:r>
      <w:r>
        <w:rPr>
          <w:w w:val="115"/>
        </w:rPr>
        <w:t>para</w:t>
      </w:r>
      <w:r>
        <w:rPr>
          <w:spacing w:val="-4"/>
          <w:w w:val="115"/>
        </w:rPr>
        <w:t> </w:t>
      </w:r>
      <w:r>
        <w:rPr>
          <w:w w:val="115"/>
        </w:rPr>
        <w:t>servir</w:t>
      </w:r>
      <w:r>
        <w:rPr>
          <w:spacing w:val="-4"/>
          <w:w w:val="115"/>
        </w:rPr>
        <w:t> </w:t>
      </w:r>
      <w:r>
        <w:rPr>
          <w:w w:val="115"/>
        </w:rPr>
        <w:t>de</w:t>
      </w:r>
      <w:r>
        <w:rPr>
          <w:spacing w:val="-4"/>
          <w:w w:val="115"/>
        </w:rPr>
        <w:t> </w:t>
      </w:r>
      <w:r>
        <w:rPr>
          <w:w w:val="115"/>
        </w:rPr>
        <w:t>contrapeso</w:t>
      </w:r>
      <w:r>
        <w:rPr>
          <w:spacing w:val="-4"/>
          <w:w w:val="115"/>
        </w:rPr>
        <w:t> </w:t>
      </w:r>
      <w:r>
        <w:rPr>
          <w:w w:val="115"/>
        </w:rPr>
        <w:t>económico</w:t>
      </w:r>
      <w:r>
        <w:rPr>
          <w:spacing w:val="-4"/>
          <w:w w:val="115"/>
        </w:rPr>
        <w:t> </w:t>
      </w:r>
      <w:r>
        <w:rPr>
          <w:w w:val="115"/>
        </w:rPr>
        <w:t>al predominio</w:t>
      </w:r>
      <w:r>
        <w:rPr>
          <w:spacing w:val="-17"/>
          <w:w w:val="115"/>
        </w:rPr>
        <w:t> </w:t>
      </w:r>
      <w:r>
        <w:rPr>
          <w:w w:val="115"/>
        </w:rPr>
        <w:t>de</w:t>
      </w:r>
      <w:r>
        <w:rPr>
          <w:spacing w:val="-17"/>
          <w:w w:val="115"/>
        </w:rPr>
        <w:t> </w:t>
      </w:r>
      <w:r>
        <w:rPr>
          <w:w w:val="115"/>
        </w:rPr>
        <w:t>Estados</w:t>
      </w:r>
      <w:r>
        <w:rPr>
          <w:spacing w:val="-17"/>
          <w:w w:val="115"/>
        </w:rPr>
        <w:t> </w:t>
      </w:r>
      <w:r>
        <w:rPr>
          <w:w w:val="115"/>
        </w:rPr>
        <w:t>unidos.</w:t>
      </w:r>
    </w:p>
    <w:p>
      <w:pPr>
        <w:pStyle w:val="BodyText"/>
        <w:spacing w:line="252" w:lineRule="auto"/>
        <w:ind w:left="330" w:right="117" w:firstLine="396"/>
        <w:jc w:val="both"/>
      </w:pPr>
      <w:r>
        <w:rPr>
          <w:w w:val="110"/>
        </w:rPr>
        <w:t>Generalmente, las decisiones de política económica de las au- toridades estadounidenses para influir en su ciclo económico o para corregir desequilibrios estructurales, no toman en cuenta como fac- tor fundamental sus efectos a nivel internacional. así, es a la región</w:t>
      </w:r>
    </w:p>
    <w:p>
      <w:pPr>
        <w:spacing w:after="0" w:line="252" w:lineRule="auto"/>
        <w:jc w:val="both"/>
        <w:sectPr>
          <w:footerReference w:type="even" r:id="rId562"/>
          <w:footerReference w:type="default" r:id="rId563"/>
          <w:pgSz w:w="8790" w:h="12760"/>
          <w:pgMar w:footer="725" w:header="697" w:top="880" w:bottom="920" w:left="1200" w:right="900"/>
          <w:pgNumType w:start="442"/>
        </w:sectPr>
      </w:pPr>
    </w:p>
    <w:p>
      <w:pPr>
        <w:pStyle w:val="BodyText"/>
        <w:spacing w:before="9"/>
        <w:rPr>
          <w:sz w:val="28"/>
        </w:rPr>
      </w:pPr>
    </w:p>
    <w:p>
      <w:pPr>
        <w:pStyle w:val="BodyText"/>
        <w:spacing w:line="252" w:lineRule="auto" w:before="73"/>
        <w:ind w:left="100" w:right="327"/>
        <w:jc w:val="both"/>
      </w:pPr>
      <w:r>
        <w:rPr>
          <w:w w:val="110"/>
        </w:rPr>
        <w:t>a quien corresponde avanzar hacia una menor dependencia de sus condiciones internas del desempeño económico de Estados unidos,  de forma que no sean únicamente esas decisiones de política econó- mica o las oscilaciones cíclicas en esa economía las que determinen el </w:t>
      </w:r>
      <w:r>
        <w:rPr>
          <w:w w:val="108"/>
        </w:rPr>
        <w:t>desempeño</w:t>
      </w:r>
      <w:r>
        <w:rPr>
          <w:spacing w:val="20"/>
        </w:rPr>
        <w:t> </w:t>
      </w:r>
      <w:r>
        <w:rPr>
          <w:w w:val="111"/>
        </w:rPr>
        <w:t>regional.</w:t>
      </w:r>
      <w:r>
        <w:rPr>
          <w:spacing w:val="20"/>
        </w:rPr>
        <w:t> </w:t>
      </w:r>
      <w:r>
        <w:rPr>
          <w:w w:val="243"/>
        </w:rPr>
        <w:t>l</w:t>
      </w:r>
      <w:r>
        <w:rPr>
          <w:w w:val="112"/>
        </w:rPr>
        <w:t>a</w:t>
      </w:r>
      <w:r>
        <w:rPr>
          <w:spacing w:val="20"/>
        </w:rPr>
        <w:t> </w:t>
      </w:r>
      <w:r>
        <w:rPr>
          <w:w w:val="111"/>
        </w:rPr>
        <w:t>construcción</w:t>
      </w:r>
      <w:r>
        <w:rPr>
          <w:spacing w:val="20"/>
        </w:rPr>
        <w:t> </w:t>
      </w:r>
      <w:r>
        <w:rPr>
          <w:w w:val="107"/>
        </w:rPr>
        <w:t>de</w:t>
      </w:r>
      <w:r>
        <w:rPr>
          <w:spacing w:val="20"/>
        </w:rPr>
        <w:t> </w:t>
      </w:r>
      <w:r>
        <w:rPr>
          <w:w w:val="112"/>
        </w:rPr>
        <w:t>una</w:t>
      </w:r>
      <w:r>
        <w:rPr>
          <w:spacing w:val="20"/>
        </w:rPr>
        <w:t> </w:t>
      </w:r>
      <w:r>
        <w:rPr>
          <w:w w:val="109"/>
        </w:rPr>
        <w:t>región</w:t>
      </w:r>
      <w:r>
        <w:rPr>
          <w:spacing w:val="20"/>
        </w:rPr>
        <w:t> </w:t>
      </w:r>
      <w:r>
        <w:rPr>
          <w:w w:val="111"/>
        </w:rPr>
        <w:t>latinoamericana </w:t>
      </w:r>
      <w:r>
        <w:rPr>
          <w:w w:val="110"/>
        </w:rPr>
        <w:t>y caribeña menos vulnerable y dependiente, más diversificada</w:t>
      </w:r>
      <w:r>
        <w:rPr>
          <w:spacing w:val="-21"/>
          <w:w w:val="110"/>
        </w:rPr>
        <w:t> </w:t>
      </w:r>
      <w:r>
        <w:rPr>
          <w:w w:val="110"/>
        </w:rPr>
        <w:t>geográ- ficamente en su inserción internacional y adaptada a las nuevas con- diciones de la economía mundial, no puede desconocer los cambios  en los patrones que marcan la interrelación de la región con la mayor economía del hemisferio, Estados  </w:t>
      </w:r>
      <w:r>
        <w:rPr>
          <w:spacing w:val="17"/>
          <w:w w:val="110"/>
        </w:rPr>
        <w:t> </w:t>
      </w:r>
      <w:r>
        <w:rPr>
          <w:w w:val="110"/>
        </w:rPr>
        <w:t>unidos.</w:t>
      </w:r>
    </w:p>
    <w:p>
      <w:pPr>
        <w:pStyle w:val="BodyText"/>
        <w:spacing w:before="5"/>
      </w:pPr>
    </w:p>
    <w:p>
      <w:pPr>
        <w:pStyle w:val="Heading6"/>
        <w:jc w:val="left"/>
      </w:pPr>
      <w:r>
        <w:rPr>
          <w:spacing w:val="1"/>
          <w:w w:val="96"/>
        </w:rPr>
        <w:t>B</w:t>
      </w:r>
      <w:r>
        <w:rPr>
          <w:spacing w:val="2"/>
          <w:w w:val="129"/>
        </w:rPr>
        <w:t>i</w:t>
      </w:r>
      <w:r>
        <w:rPr>
          <w:spacing w:val="1"/>
          <w:w w:val="96"/>
        </w:rPr>
        <w:t>B</w:t>
      </w:r>
      <w:r>
        <w:rPr>
          <w:spacing w:val="2"/>
          <w:w w:val="201"/>
        </w:rPr>
        <w:t>l</w:t>
      </w:r>
      <w:r>
        <w:rPr>
          <w:spacing w:val="2"/>
          <w:w w:val="139"/>
        </w:rPr>
        <w:t>i</w:t>
      </w:r>
      <w:r>
        <w:rPr>
          <w:spacing w:val="5"/>
          <w:w w:val="139"/>
        </w:rPr>
        <w:t>o</w:t>
      </w:r>
      <w:r>
        <w:rPr>
          <w:spacing w:val="2"/>
          <w:w w:val="89"/>
        </w:rPr>
        <w:t>G</w:t>
      </w:r>
      <w:r>
        <w:rPr>
          <w:spacing w:val="2"/>
          <w:w w:val="145"/>
        </w:rPr>
        <w:t>r</w:t>
      </w:r>
      <w:r>
        <w:rPr>
          <w:spacing w:val="2"/>
          <w:w w:val="144"/>
        </w:rPr>
        <w:t>af</w:t>
      </w:r>
      <w:r>
        <w:rPr>
          <w:spacing w:val="2"/>
          <w:w w:val="92"/>
        </w:rPr>
        <w:t>Í</w:t>
      </w:r>
      <w:r>
        <w:rPr>
          <w:w w:val="129"/>
        </w:rPr>
        <w:t>a</w:t>
      </w:r>
    </w:p>
    <w:p>
      <w:pPr>
        <w:spacing w:line="252" w:lineRule="auto" w:before="10"/>
        <w:ind w:left="497" w:right="352" w:hanging="397"/>
        <w:jc w:val="left"/>
        <w:rPr>
          <w:sz w:val="19"/>
        </w:rPr>
      </w:pPr>
      <w:r>
        <w:rPr>
          <w:w w:val="139"/>
          <w:sz w:val="19"/>
        </w:rPr>
        <w:t>a</w:t>
      </w:r>
      <w:r>
        <w:rPr>
          <w:w w:val="108"/>
          <w:sz w:val="19"/>
        </w:rPr>
        <w:t>yerbe,</w:t>
      </w:r>
      <w:r>
        <w:rPr>
          <w:sz w:val="19"/>
        </w:rPr>
        <w:t> </w:t>
      </w:r>
      <w:r>
        <w:rPr>
          <w:w w:val="243"/>
          <w:sz w:val="19"/>
        </w:rPr>
        <w:t>l</w:t>
      </w:r>
      <w:r>
        <w:rPr>
          <w:w w:val="111"/>
          <w:sz w:val="19"/>
        </w:rPr>
        <w:t>uis</w:t>
      </w:r>
      <w:r>
        <w:rPr>
          <w:sz w:val="19"/>
        </w:rPr>
        <w:t> </w:t>
      </w:r>
      <w:r>
        <w:rPr>
          <w:w w:val="110"/>
          <w:sz w:val="19"/>
        </w:rPr>
        <w:t>Fernando</w:t>
      </w:r>
      <w:r>
        <w:rPr>
          <w:sz w:val="19"/>
        </w:rPr>
        <w:t> </w:t>
      </w:r>
      <w:r>
        <w:rPr>
          <w:w w:val="102"/>
          <w:sz w:val="19"/>
        </w:rPr>
        <w:t>2001</w:t>
      </w:r>
      <w:r>
        <w:rPr>
          <w:sz w:val="19"/>
        </w:rPr>
        <w:t> </w:t>
      </w:r>
      <w:r>
        <w:rPr>
          <w:i/>
          <w:w w:val="116"/>
          <w:sz w:val="19"/>
        </w:rPr>
        <w:t>Los</w:t>
      </w:r>
      <w:r>
        <w:rPr>
          <w:i/>
          <w:sz w:val="19"/>
        </w:rPr>
        <w:t> </w:t>
      </w:r>
      <w:r>
        <w:rPr>
          <w:i/>
          <w:w w:val="112"/>
          <w:sz w:val="19"/>
        </w:rPr>
        <w:t>Estados</w:t>
      </w:r>
      <w:r>
        <w:rPr>
          <w:i/>
          <w:sz w:val="19"/>
        </w:rPr>
        <w:t> </w:t>
      </w:r>
      <w:r>
        <w:rPr>
          <w:i/>
          <w:w w:val="116"/>
          <w:sz w:val="19"/>
        </w:rPr>
        <w:t>Unidos</w:t>
      </w:r>
      <w:r>
        <w:rPr>
          <w:i/>
          <w:sz w:val="19"/>
        </w:rPr>
        <w:t> </w:t>
      </w:r>
      <w:r>
        <w:rPr>
          <w:i/>
          <w:w w:val="106"/>
          <w:sz w:val="19"/>
        </w:rPr>
        <w:t>y</w:t>
      </w:r>
      <w:r>
        <w:rPr>
          <w:i/>
          <w:sz w:val="19"/>
        </w:rPr>
        <w:t> </w:t>
      </w:r>
      <w:r>
        <w:rPr>
          <w:i/>
          <w:w w:val="105"/>
          <w:sz w:val="19"/>
        </w:rPr>
        <w:t>la</w:t>
      </w:r>
      <w:r>
        <w:rPr>
          <w:i/>
          <w:sz w:val="19"/>
        </w:rPr>
        <w:t> </w:t>
      </w:r>
      <w:r>
        <w:rPr>
          <w:i/>
          <w:w w:val="109"/>
          <w:sz w:val="19"/>
        </w:rPr>
        <w:t>América</w:t>
      </w:r>
      <w:r>
        <w:rPr>
          <w:i/>
          <w:sz w:val="19"/>
        </w:rPr>
        <w:t> </w:t>
      </w:r>
      <w:r>
        <w:rPr>
          <w:i/>
          <w:w w:val="112"/>
          <w:sz w:val="19"/>
        </w:rPr>
        <w:t>Latina.</w:t>
      </w:r>
      <w:r>
        <w:rPr>
          <w:i/>
          <w:w w:val="112"/>
          <w:sz w:val="19"/>
        </w:rPr>
        <w:t> </w:t>
      </w:r>
      <w:r>
        <w:rPr>
          <w:i/>
          <w:w w:val="111"/>
          <w:sz w:val="19"/>
        </w:rPr>
        <w:t>La</w:t>
      </w:r>
      <w:r>
        <w:rPr>
          <w:i/>
          <w:sz w:val="19"/>
        </w:rPr>
        <w:t> </w:t>
      </w:r>
      <w:r>
        <w:rPr>
          <w:i/>
          <w:w w:val="112"/>
          <w:sz w:val="19"/>
        </w:rPr>
        <w:t>construcción</w:t>
      </w:r>
      <w:r>
        <w:rPr>
          <w:i/>
          <w:sz w:val="19"/>
        </w:rPr>
        <w:t> </w:t>
      </w:r>
      <w:r>
        <w:rPr>
          <w:i/>
          <w:w w:val="104"/>
          <w:sz w:val="19"/>
        </w:rPr>
        <w:t>de</w:t>
      </w:r>
      <w:r>
        <w:rPr>
          <w:i/>
          <w:sz w:val="19"/>
        </w:rPr>
        <w:t> </w:t>
      </w:r>
      <w:r>
        <w:rPr>
          <w:i/>
          <w:w w:val="105"/>
          <w:sz w:val="19"/>
        </w:rPr>
        <w:t>la</w:t>
      </w:r>
      <w:r>
        <w:rPr>
          <w:i/>
          <w:sz w:val="19"/>
        </w:rPr>
        <w:t> </w:t>
      </w:r>
      <w:r>
        <w:rPr>
          <w:i/>
          <w:w w:val="108"/>
          <w:sz w:val="19"/>
        </w:rPr>
        <w:t>hegemonía</w:t>
      </w:r>
      <w:r>
        <w:rPr>
          <w:i/>
          <w:sz w:val="19"/>
        </w:rPr>
        <w:t> </w:t>
      </w:r>
      <w:r>
        <w:rPr>
          <w:w w:val="98"/>
          <w:sz w:val="19"/>
        </w:rPr>
        <w:t>(</w:t>
      </w:r>
      <w:r>
        <w:rPr>
          <w:w w:val="243"/>
          <w:sz w:val="19"/>
        </w:rPr>
        <w:t>l</w:t>
      </w:r>
      <w:r>
        <w:rPr>
          <w:w w:val="112"/>
          <w:sz w:val="19"/>
        </w:rPr>
        <w:t>a</w:t>
      </w:r>
      <w:r>
        <w:rPr>
          <w:sz w:val="19"/>
        </w:rPr>
        <w:t> </w:t>
      </w:r>
      <w:r>
        <w:rPr>
          <w:w w:val="113"/>
          <w:sz w:val="19"/>
        </w:rPr>
        <w:t>Habana:</w:t>
      </w:r>
      <w:r>
        <w:rPr>
          <w:sz w:val="19"/>
        </w:rPr>
        <w:t> </w:t>
      </w:r>
      <w:r>
        <w:rPr>
          <w:w w:val="112"/>
          <w:sz w:val="19"/>
        </w:rPr>
        <w:t>Fondo</w:t>
      </w:r>
      <w:r>
        <w:rPr>
          <w:sz w:val="19"/>
        </w:rPr>
        <w:t> </w:t>
      </w:r>
      <w:r>
        <w:rPr>
          <w:w w:val="113"/>
          <w:sz w:val="19"/>
        </w:rPr>
        <w:t>Editorial</w:t>
      </w:r>
      <w:r>
        <w:rPr>
          <w:sz w:val="19"/>
        </w:rPr>
        <w:t> </w:t>
      </w:r>
      <w:r>
        <w:rPr>
          <w:w w:val="107"/>
          <w:sz w:val="19"/>
        </w:rPr>
        <w:t>de </w:t>
      </w:r>
      <w:r>
        <w:rPr>
          <w:w w:val="115"/>
          <w:sz w:val="19"/>
        </w:rPr>
        <w:t>Casa de las américas).</w:t>
      </w:r>
    </w:p>
    <w:p>
      <w:pPr>
        <w:spacing w:line="252" w:lineRule="auto" w:before="28"/>
        <w:ind w:left="497" w:right="528" w:hanging="397"/>
        <w:jc w:val="left"/>
        <w:rPr>
          <w:sz w:val="19"/>
        </w:rPr>
      </w:pPr>
      <w:r>
        <w:rPr>
          <w:w w:val="110"/>
          <w:sz w:val="19"/>
        </w:rPr>
        <w:t>baduel, bénédicte; Juan Carlos díaz y Carlos Quenan 2011 “decoupling or not decoupling: le cas du brésil et du Mexique”, en </w:t>
      </w:r>
      <w:r>
        <w:rPr>
          <w:i/>
          <w:w w:val="110"/>
          <w:sz w:val="19"/>
        </w:rPr>
        <w:t>Flash Économie, Recherche Économique, Natixis</w:t>
      </w:r>
      <w:r>
        <w:rPr>
          <w:w w:val="110"/>
          <w:sz w:val="19"/>
        </w:rPr>
        <w:t>, Nº    953,</w:t>
      </w:r>
    </w:p>
    <w:p>
      <w:pPr>
        <w:pStyle w:val="BodyText"/>
        <w:spacing w:line="252" w:lineRule="auto"/>
        <w:ind w:left="497"/>
      </w:pPr>
      <w:r>
        <w:rPr>
          <w:w w:val="110"/>
        </w:rPr>
        <w:t>22 de diciembre, París, en </w:t>
      </w:r>
      <w:r>
        <w:rPr>
          <w:i/>
          <w:w w:val="110"/>
        </w:rPr>
        <w:t>&lt;</w:t>
      </w:r>
      <w:hyperlink r:id="rId564">
        <w:r>
          <w:rPr>
            <w:w w:val="110"/>
          </w:rPr>
          <w:t>http://cib.natixis.com/flushdoc.</w:t>
        </w:r>
      </w:hyperlink>
      <w:r>
        <w:rPr>
          <w:w w:val="110"/>
        </w:rPr>
        <w:t> aspx?id=61575&gt;.</w:t>
      </w:r>
    </w:p>
    <w:p>
      <w:pPr>
        <w:spacing w:line="252" w:lineRule="auto" w:before="28"/>
        <w:ind w:left="497" w:right="418" w:hanging="397"/>
        <w:jc w:val="left"/>
        <w:rPr>
          <w:sz w:val="19"/>
        </w:rPr>
      </w:pPr>
      <w:r>
        <w:rPr>
          <w:w w:val="120"/>
          <w:sz w:val="19"/>
        </w:rPr>
        <w:t>borón, atilio 2004 “Hegemonía e imperialismo en el sistema </w:t>
      </w:r>
      <w:r>
        <w:rPr>
          <w:w w:val="115"/>
          <w:sz w:val="19"/>
        </w:rPr>
        <w:t>internacional”,</w:t>
      </w:r>
      <w:r>
        <w:rPr>
          <w:spacing w:val="-8"/>
          <w:w w:val="115"/>
          <w:sz w:val="19"/>
        </w:rPr>
        <w:t> </w:t>
      </w:r>
      <w:r>
        <w:rPr>
          <w:w w:val="115"/>
          <w:sz w:val="19"/>
        </w:rPr>
        <w:t>en</w:t>
      </w:r>
      <w:r>
        <w:rPr>
          <w:spacing w:val="-8"/>
          <w:w w:val="115"/>
          <w:sz w:val="19"/>
        </w:rPr>
        <w:t> </w:t>
      </w:r>
      <w:r>
        <w:rPr>
          <w:w w:val="115"/>
          <w:sz w:val="19"/>
        </w:rPr>
        <w:t>a.</w:t>
      </w:r>
      <w:r>
        <w:rPr>
          <w:spacing w:val="-8"/>
          <w:w w:val="115"/>
          <w:sz w:val="19"/>
        </w:rPr>
        <w:t> </w:t>
      </w:r>
      <w:r>
        <w:rPr>
          <w:w w:val="115"/>
          <w:sz w:val="19"/>
        </w:rPr>
        <w:t>borón</w:t>
      </w:r>
      <w:r>
        <w:rPr>
          <w:spacing w:val="-8"/>
          <w:w w:val="115"/>
          <w:sz w:val="19"/>
        </w:rPr>
        <w:t> </w:t>
      </w:r>
      <w:r>
        <w:rPr>
          <w:w w:val="115"/>
          <w:sz w:val="19"/>
        </w:rPr>
        <w:t>(comp.)</w:t>
      </w:r>
      <w:r>
        <w:rPr>
          <w:spacing w:val="-8"/>
          <w:w w:val="115"/>
          <w:sz w:val="19"/>
        </w:rPr>
        <w:t> </w:t>
      </w:r>
      <w:r>
        <w:rPr>
          <w:i/>
          <w:w w:val="115"/>
          <w:sz w:val="19"/>
        </w:rPr>
        <w:t>Nueva</w:t>
      </w:r>
      <w:r>
        <w:rPr>
          <w:i/>
          <w:spacing w:val="-8"/>
          <w:w w:val="115"/>
          <w:sz w:val="19"/>
        </w:rPr>
        <w:t> </w:t>
      </w:r>
      <w:r>
        <w:rPr>
          <w:i/>
          <w:w w:val="115"/>
          <w:sz w:val="19"/>
        </w:rPr>
        <w:t>Hegemonía</w:t>
      </w:r>
      <w:r>
        <w:rPr>
          <w:i/>
          <w:spacing w:val="-8"/>
          <w:w w:val="115"/>
          <w:sz w:val="19"/>
        </w:rPr>
        <w:t> </w:t>
      </w:r>
      <w:r>
        <w:rPr>
          <w:i/>
          <w:w w:val="115"/>
          <w:sz w:val="19"/>
        </w:rPr>
        <w:t>Mundial. </w:t>
      </w:r>
      <w:r>
        <w:rPr>
          <w:i/>
          <w:w w:val="120"/>
          <w:sz w:val="19"/>
        </w:rPr>
        <w:t>Alternativas</w:t>
      </w:r>
      <w:r>
        <w:rPr>
          <w:i/>
          <w:spacing w:val="-30"/>
          <w:w w:val="120"/>
          <w:sz w:val="19"/>
        </w:rPr>
        <w:t> </w:t>
      </w:r>
      <w:r>
        <w:rPr>
          <w:i/>
          <w:w w:val="120"/>
          <w:sz w:val="19"/>
        </w:rPr>
        <w:t>de</w:t>
      </w:r>
      <w:r>
        <w:rPr>
          <w:i/>
          <w:spacing w:val="-30"/>
          <w:w w:val="120"/>
          <w:sz w:val="19"/>
        </w:rPr>
        <w:t> </w:t>
      </w:r>
      <w:r>
        <w:rPr>
          <w:i/>
          <w:w w:val="120"/>
          <w:sz w:val="19"/>
        </w:rPr>
        <w:t>cambio</w:t>
      </w:r>
      <w:r>
        <w:rPr>
          <w:i/>
          <w:spacing w:val="-30"/>
          <w:w w:val="120"/>
          <w:sz w:val="19"/>
        </w:rPr>
        <w:t> </w:t>
      </w:r>
      <w:r>
        <w:rPr>
          <w:i/>
          <w:w w:val="120"/>
          <w:sz w:val="19"/>
        </w:rPr>
        <w:t>y</w:t>
      </w:r>
      <w:r>
        <w:rPr>
          <w:i/>
          <w:spacing w:val="-30"/>
          <w:w w:val="120"/>
          <w:sz w:val="19"/>
        </w:rPr>
        <w:t> </w:t>
      </w:r>
      <w:r>
        <w:rPr>
          <w:i/>
          <w:w w:val="120"/>
          <w:sz w:val="19"/>
        </w:rPr>
        <w:t>movimientos</w:t>
      </w:r>
      <w:r>
        <w:rPr>
          <w:i/>
          <w:spacing w:val="-30"/>
          <w:w w:val="120"/>
          <w:sz w:val="19"/>
        </w:rPr>
        <w:t> </w:t>
      </w:r>
      <w:r>
        <w:rPr>
          <w:i/>
          <w:w w:val="120"/>
          <w:sz w:val="19"/>
        </w:rPr>
        <w:t>sociales</w:t>
      </w:r>
      <w:r>
        <w:rPr>
          <w:i/>
          <w:spacing w:val="-30"/>
          <w:w w:val="120"/>
          <w:sz w:val="19"/>
        </w:rPr>
        <w:t> </w:t>
      </w:r>
      <w:r>
        <w:rPr>
          <w:w w:val="120"/>
          <w:sz w:val="19"/>
        </w:rPr>
        <w:t>(buenos</w:t>
      </w:r>
      <w:r>
        <w:rPr>
          <w:spacing w:val="-30"/>
          <w:w w:val="120"/>
          <w:sz w:val="19"/>
        </w:rPr>
        <w:t> </w:t>
      </w:r>
      <w:r>
        <w:rPr>
          <w:w w:val="120"/>
          <w:sz w:val="19"/>
        </w:rPr>
        <w:t>aires: ClaCso).</w:t>
      </w:r>
    </w:p>
    <w:p>
      <w:pPr>
        <w:spacing w:line="252" w:lineRule="auto" w:before="28"/>
        <w:ind w:left="497" w:right="500" w:hanging="397"/>
        <w:jc w:val="left"/>
        <w:rPr>
          <w:sz w:val="19"/>
        </w:rPr>
      </w:pPr>
      <w:r>
        <w:rPr>
          <w:w w:val="110"/>
          <w:sz w:val="19"/>
        </w:rPr>
        <w:t>Canova, Fabio 2005 </w:t>
      </w:r>
      <w:r>
        <w:rPr>
          <w:i/>
          <w:w w:val="110"/>
          <w:sz w:val="19"/>
        </w:rPr>
        <w:t>The Transmission of US Shocks to Latin America</w:t>
      </w:r>
      <w:r>
        <w:rPr>
          <w:w w:val="110"/>
          <w:sz w:val="19"/>
        </w:rPr>
        <w:t>, </w:t>
      </w:r>
      <w:r>
        <w:rPr>
          <w:sz w:val="19"/>
        </w:rPr>
        <w:t>en      </w:t>
      </w:r>
      <w:r>
        <w:rPr>
          <w:i/>
          <w:sz w:val="19"/>
        </w:rPr>
        <w:t>&lt;</w:t>
      </w:r>
      <w:hyperlink r:id="rId565">
        <w:r>
          <w:rPr>
            <w:sz w:val="19"/>
          </w:rPr>
          <w:t>http://onlinelibrary.wiley.com/doi/10.1002/jae.837/pdf&gt;.</w:t>
        </w:r>
      </w:hyperlink>
    </w:p>
    <w:p>
      <w:pPr>
        <w:pStyle w:val="BodyText"/>
        <w:spacing w:line="252" w:lineRule="auto" w:before="28"/>
        <w:ind w:left="497" w:right="704" w:hanging="397"/>
      </w:pPr>
      <w:r>
        <w:rPr>
          <w:w w:val="110"/>
        </w:rPr>
        <w:t>Canova, Fabio y Marriman, Jane 1998 “sources and Propagation  of international output Cycles: Common shocks or transmission?”, en </w:t>
      </w:r>
      <w:r>
        <w:rPr>
          <w:i/>
          <w:w w:val="110"/>
        </w:rPr>
        <w:t>Journal of International Economics</w:t>
      </w:r>
      <w:r>
        <w:rPr>
          <w:w w:val="110"/>
        </w:rPr>
        <w:t>, 46,   </w:t>
      </w:r>
      <w:r>
        <w:rPr>
          <w:w w:val="105"/>
        </w:rPr>
        <w:t>pp. 133-166, en</w:t>
      </w:r>
      <w:r>
        <w:rPr>
          <w:spacing w:val="-26"/>
          <w:w w:val="105"/>
        </w:rPr>
        <w:t> </w:t>
      </w:r>
      <w:r>
        <w:rPr>
          <w:i/>
          <w:w w:val="105"/>
        </w:rPr>
        <w:t>&lt;</w:t>
      </w:r>
      <w:hyperlink r:id="rId566">
        <w:r>
          <w:rPr>
            <w:w w:val="105"/>
          </w:rPr>
          <w:t>http://www.eui.eu/Personal/Canova/articles/</w:t>
        </w:r>
      </w:hyperlink>
      <w:r>
        <w:rPr>
          <w:w w:val="105"/>
        </w:rPr>
        <w:t> </w:t>
      </w:r>
      <w:r>
        <w:rPr>
          <w:w w:val="110"/>
        </w:rPr>
        <w:t>sourpropi.pdf&gt;.</w:t>
      </w:r>
    </w:p>
    <w:p>
      <w:pPr>
        <w:spacing w:line="252" w:lineRule="auto" w:before="28"/>
        <w:ind w:left="497" w:right="528" w:hanging="397"/>
        <w:jc w:val="left"/>
        <w:rPr>
          <w:sz w:val="19"/>
        </w:rPr>
      </w:pPr>
      <w:r>
        <w:rPr>
          <w:w w:val="105"/>
          <w:sz w:val="19"/>
        </w:rPr>
        <w:t>Castaño, Héctor 2005 </w:t>
      </w:r>
      <w:r>
        <w:rPr>
          <w:i/>
          <w:w w:val="105"/>
          <w:sz w:val="19"/>
        </w:rPr>
        <w:t>Globalización y redistribución del poder </w:t>
      </w:r>
      <w:r>
        <w:rPr>
          <w:i/>
          <w:w w:val="105"/>
          <w:sz w:val="19"/>
        </w:rPr>
        <w:t>hegemónico capitalista</w:t>
      </w:r>
      <w:r>
        <w:rPr>
          <w:w w:val="105"/>
          <w:sz w:val="19"/>
        </w:rPr>
        <w:t>, en </w:t>
      </w:r>
      <w:hyperlink r:id="rId567">
        <w:r>
          <w:rPr>
            <w:w w:val="105"/>
            <w:sz w:val="19"/>
          </w:rPr>
          <w:t>&lt;http://biblioteca.clacso.edu.ar/ar/</w:t>
        </w:r>
      </w:hyperlink>
      <w:r>
        <w:rPr>
          <w:w w:val="105"/>
          <w:sz w:val="19"/>
        </w:rPr>
        <w:t> </w:t>
      </w:r>
      <w:r>
        <w:rPr>
          <w:sz w:val="19"/>
        </w:rPr>
        <w:t>libros/cuba/if/marx/documentos/22/Globalizaci%F3n%20y%20 </w:t>
      </w:r>
      <w:r>
        <w:rPr>
          <w:w w:val="105"/>
          <w:sz w:val="19"/>
        </w:rPr>
        <w:t>redistribuci%F3n%20del%20poder%20hegem%F3nico%20 capitali.pdf&gt;,  acceso  23  de  marzo  de 2012.</w:t>
      </w:r>
    </w:p>
    <w:p>
      <w:pPr>
        <w:spacing w:line="252" w:lineRule="auto" w:before="28"/>
        <w:ind w:left="497" w:right="433" w:hanging="397"/>
        <w:jc w:val="left"/>
        <w:rPr>
          <w:sz w:val="19"/>
        </w:rPr>
      </w:pPr>
      <w:r>
        <w:rPr>
          <w:w w:val="115"/>
          <w:sz w:val="19"/>
        </w:rPr>
        <w:t>Caputo,</w:t>
      </w:r>
      <w:r>
        <w:rPr>
          <w:spacing w:val="-8"/>
          <w:w w:val="115"/>
          <w:sz w:val="19"/>
        </w:rPr>
        <w:t> </w:t>
      </w:r>
      <w:r>
        <w:rPr>
          <w:w w:val="115"/>
          <w:sz w:val="19"/>
        </w:rPr>
        <w:t>orlando</w:t>
      </w:r>
      <w:r>
        <w:rPr>
          <w:spacing w:val="-8"/>
          <w:w w:val="115"/>
          <w:sz w:val="19"/>
        </w:rPr>
        <w:t> </w:t>
      </w:r>
      <w:r>
        <w:rPr>
          <w:w w:val="115"/>
          <w:sz w:val="19"/>
        </w:rPr>
        <w:t>2004</w:t>
      </w:r>
      <w:r>
        <w:rPr>
          <w:spacing w:val="-8"/>
          <w:w w:val="115"/>
          <w:sz w:val="19"/>
        </w:rPr>
        <w:t> </w:t>
      </w:r>
      <w:r>
        <w:rPr>
          <w:w w:val="115"/>
          <w:sz w:val="19"/>
        </w:rPr>
        <w:t>“Estados</w:t>
      </w:r>
      <w:r>
        <w:rPr>
          <w:spacing w:val="-8"/>
          <w:w w:val="115"/>
          <w:sz w:val="19"/>
        </w:rPr>
        <w:t> </w:t>
      </w:r>
      <w:r>
        <w:rPr>
          <w:w w:val="115"/>
          <w:sz w:val="19"/>
        </w:rPr>
        <w:t>unidos</w:t>
      </w:r>
      <w:r>
        <w:rPr>
          <w:spacing w:val="-8"/>
          <w:w w:val="115"/>
          <w:sz w:val="19"/>
        </w:rPr>
        <w:t> </w:t>
      </w:r>
      <w:r>
        <w:rPr>
          <w:w w:val="115"/>
          <w:sz w:val="19"/>
        </w:rPr>
        <w:t>y</w:t>
      </w:r>
      <w:r>
        <w:rPr>
          <w:spacing w:val="-8"/>
          <w:w w:val="115"/>
          <w:sz w:val="19"/>
        </w:rPr>
        <w:t> </w:t>
      </w:r>
      <w:r>
        <w:rPr>
          <w:w w:val="115"/>
          <w:sz w:val="19"/>
        </w:rPr>
        <w:t>China:</w:t>
      </w:r>
      <w:r>
        <w:rPr>
          <w:spacing w:val="-8"/>
          <w:w w:val="115"/>
          <w:sz w:val="19"/>
        </w:rPr>
        <w:t> </w:t>
      </w:r>
      <w:r>
        <w:rPr>
          <w:w w:val="115"/>
          <w:sz w:val="19"/>
        </w:rPr>
        <w:t>¿locomotoras</w:t>
      </w:r>
      <w:r>
        <w:rPr>
          <w:spacing w:val="-8"/>
          <w:w w:val="115"/>
          <w:sz w:val="19"/>
        </w:rPr>
        <w:t> </w:t>
      </w:r>
      <w:r>
        <w:rPr>
          <w:w w:val="115"/>
          <w:sz w:val="19"/>
        </w:rPr>
        <w:t>en</w:t>
      </w:r>
      <w:r>
        <w:rPr>
          <w:spacing w:val="-8"/>
          <w:w w:val="115"/>
          <w:sz w:val="19"/>
        </w:rPr>
        <w:t> </w:t>
      </w:r>
      <w:r>
        <w:rPr>
          <w:w w:val="115"/>
          <w:sz w:val="19"/>
        </w:rPr>
        <w:t>la </w:t>
      </w:r>
      <w:r>
        <w:rPr>
          <w:w w:val="120"/>
          <w:sz w:val="19"/>
        </w:rPr>
        <w:t>recuperación</w:t>
      </w:r>
      <w:r>
        <w:rPr>
          <w:spacing w:val="-32"/>
          <w:w w:val="120"/>
          <w:sz w:val="19"/>
        </w:rPr>
        <w:t> </w:t>
      </w:r>
      <w:r>
        <w:rPr>
          <w:w w:val="120"/>
          <w:sz w:val="19"/>
        </w:rPr>
        <w:t>y</w:t>
      </w:r>
      <w:r>
        <w:rPr>
          <w:spacing w:val="-32"/>
          <w:w w:val="120"/>
          <w:sz w:val="19"/>
        </w:rPr>
        <w:t> </w:t>
      </w:r>
      <w:r>
        <w:rPr>
          <w:w w:val="120"/>
          <w:sz w:val="19"/>
        </w:rPr>
        <w:t>en</w:t>
      </w:r>
      <w:r>
        <w:rPr>
          <w:spacing w:val="-32"/>
          <w:w w:val="120"/>
          <w:sz w:val="19"/>
        </w:rPr>
        <w:t> </w:t>
      </w:r>
      <w:r>
        <w:rPr>
          <w:w w:val="120"/>
          <w:sz w:val="19"/>
        </w:rPr>
        <w:t>las</w:t>
      </w:r>
      <w:r>
        <w:rPr>
          <w:spacing w:val="-32"/>
          <w:w w:val="120"/>
          <w:sz w:val="19"/>
        </w:rPr>
        <w:t> </w:t>
      </w:r>
      <w:r>
        <w:rPr>
          <w:w w:val="120"/>
          <w:sz w:val="19"/>
        </w:rPr>
        <w:t>crisis</w:t>
      </w:r>
      <w:r>
        <w:rPr>
          <w:spacing w:val="-32"/>
          <w:w w:val="120"/>
          <w:sz w:val="19"/>
        </w:rPr>
        <w:t> </w:t>
      </w:r>
      <w:r>
        <w:rPr>
          <w:w w:val="120"/>
          <w:sz w:val="19"/>
        </w:rPr>
        <w:t>cíclicas</w:t>
      </w:r>
      <w:r>
        <w:rPr>
          <w:spacing w:val="-32"/>
          <w:w w:val="120"/>
          <w:sz w:val="19"/>
        </w:rPr>
        <w:t> </w:t>
      </w:r>
      <w:r>
        <w:rPr>
          <w:w w:val="120"/>
          <w:sz w:val="19"/>
        </w:rPr>
        <w:t>de</w:t>
      </w:r>
      <w:r>
        <w:rPr>
          <w:spacing w:val="-32"/>
          <w:w w:val="120"/>
          <w:sz w:val="19"/>
        </w:rPr>
        <w:t> </w:t>
      </w:r>
      <w:r>
        <w:rPr>
          <w:w w:val="120"/>
          <w:sz w:val="19"/>
        </w:rPr>
        <w:t>la</w:t>
      </w:r>
      <w:r>
        <w:rPr>
          <w:spacing w:val="-32"/>
          <w:w w:val="120"/>
          <w:sz w:val="19"/>
        </w:rPr>
        <w:t> </w:t>
      </w:r>
      <w:r>
        <w:rPr>
          <w:w w:val="120"/>
          <w:sz w:val="19"/>
        </w:rPr>
        <w:t>economía</w:t>
      </w:r>
      <w:r>
        <w:rPr>
          <w:spacing w:val="-32"/>
          <w:w w:val="120"/>
          <w:sz w:val="19"/>
        </w:rPr>
        <w:t> </w:t>
      </w:r>
      <w:r>
        <w:rPr>
          <w:w w:val="120"/>
          <w:sz w:val="19"/>
        </w:rPr>
        <w:t>mundial?”, </w:t>
      </w:r>
      <w:r>
        <w:rPr>
          <w:w w:val="115"/>
          <w:sz w:val="19"/>
        </w:rPr>
        <w:t>en</w:t>
      </w:r>
      <w:r>
        <w:rPr>
          <w:spacing w:val="-10"/>
          <w:w w:val="115"/>
          <w:sz w:val="19"/>
        </w:rPr>
        <w:t> </w:t>
      </w:r>
      <w:r>
        <w:rPr>
          <w:spacing w:val="-4"/>
          <w:w w:val="115"/>
          <w:sz w:val="19"/>
        </w:rPr>
        <w:t>Estay,</w:t>
      </w:r>
      <w:r>
        <w:rPr>
          <w:spacing w:val="-10"/>
          <w:w w:val="115"/>
          <w:sz w:val="19"/>
        </w:rPr>
        <w:t> </w:t>
      </w:r>
      <w:r>
        <w:rPr>
          <w:w w:val="115"/>
          <w:sz w:val="19"/>
        </w:rPr>
        <w:t>Jaime</w:t>
      </w:r>
      <w:r>
        <w:rPr>
          <w:spacing w:val="-10"/>
          <w:w w:val="115"/>
          <w:sz w:val="19"/>
        </w:rPr>
        <w:t> </w:t>
      </w:r>
      <w:r>
        <w:rPr>
          <w:w w:val="115"/>
          <w:sz w:val="19"/>
        </w:rPr>
        <w:t>(comp.)</w:t>
      </w:r>
      <w:r>
        <w:rPr>
          <w:spacing w:val="-10"/>
          <w:w w:val="115"/>
          <w:sz w:val="19"/>
        </w:rPr>
        <w:t> </w:t>
      </w:r>
      <w:r>
        <w:rPr>
          <w:i/>
          <w:w w:val="115"/>
          <w:sz w:val="19"/>
        </w:rPr>
        <w:t>La</w:t>
      </w:r>
      <w:r>
        <w:rPr>
          <w:i/>
          <w:spacing w:val="-10"/>
          <w:w w:val="115"/>
          <w:sz w:val="19"/>
        </w:rPr>
        <w:t> </w:t>
      </w:r>
      <w:r>
        <w:rPr>
          <w:i/>
          <w:w w:val="115"/>
          <w:sz w:val="19"/>
        </w:rPr>
        <w:t>economía</w:t>
      </w:r>
      <w:r>
        <w:rPr>
          <w:i/>
          <w:spacing w:val="-10"/>
          <w:w w:val="115"/>
          <w:sz w:val="19"/>
        </w:rPr>
        <w:t> </w:t>
      </w:r>
      <w:r>
        <w:rPr>
          <w:i/>
          <w:w w:val="115"/>
          <w:sz w:val="19"/>
        </w:rPr>
        <w:t>mundial</w:t>
      </w:r>
      <w:r>
        <w:rPr>
          <w:i/>
          <w:spacing w:val="-10"/>
          <w:w w:val="115"/>
          <w:sz w:val="19"/>
        </w:rPr>
        <w:t> </w:t>
      </w:r>
      <w:r>
        <w:rPr>
          <w:i/>
          <w:w w:val="115"/>
          <w:sz w:val="19"/>
        </w:rPr>
        <w:t>y</w:t>
      </w:r>
      <w:r>
        <w:rPr>
          <w:i/>
          <w:spacing w:val="-10"/>
          <w:w w:val="115"/>
          <w:sz w:val="19"/>
        </w:rPr>
        <w:t> </w:t>
      </w:r>
      <w:r>
        <w:rPr>
          <w:i/>
          <w:w w:val="115"/>
          <w:sz w:val="19"/>
        </w:rPr>
        <w:t>América</w:t>
      </w:r>
      <w:r>
        <w:rPr>
          <w:i/>
          <w:spacing w:val="-10"/>
          <w:w w:val="115"/>
          <w:sz w:val="19"/>
        </w:rPr>
        <w:t> </w:t>
      </w:r>
      <w:r>
        <w:rPr>
          <w:i/>
          <w:w w:val="115"/>
          <w:sz w:val="19"/>
        </w:rPr>
        <w:t>Latina. </w:t>
      </w:r>
      <w:r>
        <w:rPr>
          <w:i/>
          <w:w w:val="120"/>
          <w:sz w:val="19"/>
        </w:rPr>
        <w:t>Tendencias,</w:t>
      </w:r>
      <w:r>
        <w:rPr>
          <w:i/>
          <w:spacing w:val="-33"/>
          <w:w w:val="120"/>
          <w:sz w:val="19"/>
        </w:rPr>
        <w:t> </w:t>
      </w:r>
      <w:r>
        <w:rPr>
          <w:i/>
          <w:w w:val="120"/>
          <w:sz w:val="19"/>
        </w:rPr>
        <w:t>problemas</w:t>
      </w:r>
      <w:r>
        <w:rPr>
          <w:i/>
          <w:spacing w:val="-33"/>
          <w:w w:val="120"/>
          <w:sz w:val="19"/>
        </w:rPr>
        <w:t> </w:t>
      </w:r>
      <w:r>
        <w:rPr>
          <w:i/>
          <w:w w:val="120"/>
          <w:sz w:val="19"/>
        </w:rPr>
        <w:t>y</w:t>
      </w:r>
      <w:r>
        <w:rPr>
          <w:i/>
          <w:spacing w:val="-33"/>
          <w:w w:val="120"/>
          <w:sz w:val="19"/>
        </w:rPr>
        <w:t> </w:t>
      </w:r>
      <w:r>
        <w:rPr>
          <w:i/>
          <w:w w:val="120"/>
          <w:sz w:val="19"/>
        </w:rPr>
        <w:t>desafíos</w:t>
      </w:r>
      <w:r>
        <w:rPr>
          <w:i/>
          <w:spacing w:val="-33"/>
          <w:w w:val="120"/>
          <w:sz w:val="19"/>
        </w:rPr>
        <w:t> </w:t>
      </w:r>
      <w:r>
        <w:rPr>
          <w:w w:val="120"/>
          <w:sz w:val="19"/>
        </w:rPr>
        <w:t>(buenos</w:t>
      </w:r>
      <w:r>
        <w:rPr>
          <w:spacing w:val="-33"/>
          <w:w w:val="120"/>
          <w:sz w:val="19"/>
        </w:rPr>
        <w:t> </w:t>
      </w:r>
      <w:r>
        <w:rPr>
          <w:w w:val="120"/>
          <w:sz w:val="19"/>
        </w:rPr>
        <w:t>aires:</w:t>
      </w:r>
      <w:r>
        <w:rPr>
          <w:spacing w:val="-33"/>
          <w:w w:val="120"/>
          <w:sz w:val="19"/>
        </w:rPr>
        <w:t> </w:t>
      </w:r>
      <w:r>
        <w:rPr>
          <w:w w:val="120"/>
          <w:sz w:val="19"/>
        </w:rPr>
        <w:t>ClaCso).</w:t>
      </w:r>
    </w:p>
    <w:p>
      <w:pPr>
        <w:spacing w:line="252" w:lineRule="auto" w:before="28"/>
        <w:ind w:left="497" w:right="528" w:hanging="397"/>
        <w:jc w:val="left"/>
        <w:rPr>
          <w:i/>
          <w:sz w:val="19"/>
        </w:rPr>
      </w:pPr>
      <w:r>
        <w:rPr>
          <w:w w:val="110"/>
          <w:sz w:val="19"/>
        </w:rPr>
        <w:t>Carió i Céspedes, Gemma y Martínez Peinado, Javier 2012 </w:t>
      </w:r>
      <w:r>
        <w:rPr>
          <w:i/>
          <w:w w:val="110"/>
          <w:sz w:val="19"/>
        </w:rPr>
        <w:t>El </w:t>
      </w:r>
      <w:r>
        <w:rPr>
          <w:i/>
          <w:w w:val="110"/>
          <w:sz w:val="19"/>
        </w:rPr>
        <w:t>desarrollo de una Semiperiferia como necesidad de la transición</w:t>
      </w:r>
    </w:p>
    <w:p>
      <w:pPr>
        <w:spacing w:after="0" w:line="252" w:lineRule="auto"/>
        <w:jc w:val="left"/>
        <w:rPr>
          <w:sz w:val="19"/>
        </w:rPr>
        <w:sectPr>
          <w:pgSz w:w="8790" w:h="12760"/>
          <w:pgMar w:header="695" w:footer="723" w:top="880" w:bottom="920" w:left="920" w:right="1200"/>
        </w:sectPr>
      </w:pPr>
    </w:p>
    <w:p>
      <w:pPr>
        <w:pStyle w:val="BodyText"/>
        <w:spacing w:before="7"/>
        <w:rPr>
          <w:i/>
          <w:sz w:val="28"/>
        </w:rPr>
      </w:pPr>
    </w:p>
    <w:p>
      <w:pPr>
        <w:spacing w:line="252" w:lineRule="auto" w:before="73"/>
        <w:ind w:left="727" w:right="42" w:firstLine="0"/>
        <w:jc w:val="left"/>
        <w:rPr>
          <w:sz w:val="19"/>
        </w:rPr>
      </w:pPr>
      <w:r>
        <w:rPr>
          <w:i/>
          <w:w w:val="110"/>
          <w:sz w:val="19"/>
        </w:rPr>
        <w:t>hacia el Sistema Capitalista Global: Una aproximación empírica a </w:t>
      </w:r>
      <w:r>
        <w:rPr>
          <w:i/>
          <w:w w:val="105"/>
          <w:sz w:val="19"/>
        </w:rPr>
        <w:t>través</w:t>
      </w:r>
      <w:r>
        <w:rPr>
          <w:i/>
          <w:sz w:val="19"/>
        </w:rPr>
        <w:t> </w:t>
      </w:r>
      <w:r>
        <w:rPr>
          <w:i/>
          <w:w w:val="104"/>
          <w:sz w:val="19"/>
        </w:rPr>
        <w:t>del</w:t>
      </w:r>
      <w:r>
        <w:rPr>
          <w:i/>
          <w:sz w:val="19"/>
        </w:rPr>
        <w:t> </w:t>
      </w:r>
      <w:r>
        <w:rPr>
          <w:i/>
          <w:w w:val="112"/>
          <w:sz w:val="19"/>
        </w:rPr>
        <w:t>análisis</w:t>
      </w:r>
      <w:r>
        <w:rPr>
          <w:i/>
          <w:sz w:val="19"/>
        </w:rPr>
        <w:t> </w:t>
      </w:r>
      <w:r>
        <w:rPr>
          <w:i/>
          <w:w w:val="106"/>
          <w:sz w:val="19"/>
        </w:rPr>
        <w:t>factorial</w:t>
      </w:r>
      <w:r>
        <w:rPr>
          <w:w w:val="138"/>
          <w:sz w:val="19"/>
        </w:rPr>
        <w:t>,</w:t>
      </w:r>
      <w:r>
        <w:rPr>
          <w:sz w:val="19"/>
        </w:rPr>
        <w:t> </w:t>
      </w:r>
      <w:r>
        <w:rPr>
          <w:w w:val="149"/>
          <w:sz w:val="19"/>
        </w:rPr>
        <w:t>xiii</w:t>
      </w:r>
      <w:r>
        <w:rPr>
          <w:sz w:val="19"/>
        </w:rPr>
        <w:t> </w:t>
      </w:r>
      <w:r>
        <w:rPr>
          <w:w w:val="114"/>
          <w:sz w:val="19"/>
        </w:rPr>
        <w:t>Jornada</w:t>
      </w:r>
      <w:r>
        <w:rPr>
          <w:sz w:val="19"/>
        </w:rPr>
        <w:t> </w:t>
      </w:r>
      <w:r>
        <w:rPr>
          <w:w w:val="114"/>
          <w:sz w:val="19"/>
        </w:rPr>
        <w:t>Economía</w:t>
      </w:r>
      <w:r>
        <w:rPr>
          <w:sz w:val="19"/>
        </w:rPr>
        <w:t> </w:t>
      </w:r>
      <w:r>
        <w:rPr>
          <w:w w:val="115"/>
          <w:sz w:val="19"/>
        </w:rPr>
        <w:t>Crítica.</w:t>
      </w:r>
      <w:r>
        <w:rPr>
          <w:sz w:val="19"/>
        </w:rPr>
        <w:t> </w:t>
      </w:r>
      <w:r>
        <w:rPr>
          <w:w w:val="243"/>
          <w:sz w:val="19"/>
        </w:rPr>
        <w:t>l</w:t>
      </w:r>
      <w:r>
        <w:rPr>
          <w:w w:val="108"/>
          <w:sz w:val="19"/>
        </w:rPr>
        <w:t>os </w:t>
      </w:r>
      <w:r>
        <w:rPr>
          <w:w w:val="110"/>
          <w:sz w:val="19"/>
        </w:rPr>
        <w:t>costes de la crisis y alternativas en construcción, sevilla, febrero, </w:t>
      </w:r>
      <w:r>
        <w:rPr>
          <w:w w:val="105"/>
          <w:sz w:val="19"/>
        </w:rPr>
        <w:t>en </w:t>
      </w:r>
      <w:hyperlink r:id="rId568">
        <w:r>
          <w:rPr>
            <w:w w:val="105"/>
            <w:sz w:val="19"/>
          </w:rPr>
          <w:t>&lt;http://pendientedemigracion.ucm.es/info/ec/jec13/Ponencias/</w:t>
        </w:r>
      </w:hyperlink>
      <w:r>
        <w:rPr>
          <w:w w:val="105"/>
          <w:sz w:val="19"/>
        </w:rPr>
        <w:t> </w:t>
      </w:r>
      <w:r>
        <w:rPr>
          <w:w w:val="110"/>
          <w:sz w:val="19"/>
        </w:rPr>
        <w:t>economia%20mundial/El%20desarrollo%20de%20una%20 semiperiferia%20como%20necesidad.pdf&gt;.</w:t>
      </w:r>
    </w:p>
    <w:p>
      <w:pPr>
        <w:pStyle w:val="BodyText"/>
        <w:spacing w:line="252" w:lineRule="auto" w:before="28"/>
        <w:ind w:left="727" w:right="42" w:hanging="397"/>
      </w:pPr>
      <w:r>
        <w:rPr>
          <w:w w:val="110"/>
        </w:rPr>
        <w:t>CEa (Council of Economic advisers) 2013 </w:t>
      </w:r>
      <w:r>
        <w:rPr>
          <w:i/>
          <w:w w:val="110"/>
        </w:rPr>
        <w:t>Economic Report of the </w:t>
      </w:r>
      <w:r>
        <w:rPr>
          <w:i/>
          <w:w w:val="105"/>
        </w:rPr>
        <w:t>President 2013</w:t>
      </w:r>
      <w:r>
        <w:rPr>
          <w:w w:val="105"/>
        </w:rPr>
        <w:t>, en </w:t>
      </w:r>
      <w:hyperlink r:id="rId569">
        <w:r>
          <w:rPr>
            <w:w w:val="105"/>
          </w:rPr>
          <w:t>&lt;http://www.whitehouse.gov/sites/default/files/</w:t>
        </w:r>
      </w:hyperlink>
      <w:r>
        <w:rPr>
          <w:w w:val="105"/>
        </w:rPr>
        <w:t> docs/erp2013/full_2013_economic_report_of_the_president.pdf&gt;.</w:t>
      </w:r>
    </w:p>
    <w:p>
      <w:pPr>
        <w:spacing w:line="252" w:lineRule="auto" w:before="28"/>
        <w:ind w:left="727" w:right="378" w:hanging="397"/>
        <w:jc w:val="left"/>
        <w:rPr>
          <w:sz w:val="19"/>
        </w:rPr>
      </w:pPr>
      <w:r>
        <w:rPr>
          <w:spacing w:val="-3"/>
          <w:w w:val="115"/>
          <w:sz w:val="19"/>
        </w:rPr>
        <w:t>CEPal</w:t>
      </w:r>
      <w:r>
        <w:rPr>
          <w:spacing w:val="-11"/>
          <w:w w:val="115"/>
          <w:sz w:val="19"/>
        </w:rPr>
        <w:t> </w:t>
      </w:r>
      <w:r>
        <w:rPr>
          <w:w w:val="115"/>
          <w:sz w:val="19"/>
        </w:rPr>
        <w:t>2014</w:t>
      </w:r>
      <w:r>
        <w:rPr>
          <w:spacing w:val="-11"/>
          <w:w w:val="115"/>
          <w:sz w:val="19"/>
        </w:rPr>
        <w:t> </w:t>
      </w:r>
      <w:r>
        <w:rPr>
          <w:i/>
          <w:w w:val="115"/>
          <w:sz w:val="19"/>
        </w:rPr>
        <w:t>La</w:t>
      </w:r>
      <w:r>
        <w:rPr>
          <w:i/>
          <w:spacing w:val="-11"/>
          <w:w w:val="115"/>
          <w:sz w:val="19"/>
        </w:rPr>
        <w:t> </w:t>
      </w:r>
      <w:r>
        <w:rPr>
          <w:i/>
          <w:w w:val="115"/>
          <w:sz w:val="19"/>
        </w:rPr>
        <w:t>Inversión</w:t>
      </w:r>
      <w:r>
        <w:rPr>
          <w:i/>
          <w:spacing w:val="-11"/>
          <w:w w:val="115"/>
          <w:sz w:val="19"/>
        </w:rPr>
        <w:t> </w:t>
      </w:r>
      <w:r>
        <w:rPr>
          <w:i/>
          <w:w w:val="115"/>
          <w:sz w:val="19"/>
        </w:rPr>
        <w:t>Extranjera</w:t>
      </w:r>
      <w:r>
        <w:rPr>
          <w:i/>
          <w:spacing w:val="-11"/>
          <w:w w:val="115"/>
          <w:sz w:val="19"/>
        </w:rPr>
        <w:t> </w:t>
      </w:r>
      <w:r>
        <w:rPr>
          <w:i/>
          <w:w w:val="115"/>
          <w:sz w:val="19"/>
        </w:rPr>
        <w:t>Directa</w:t>
      </w:r>
      <w:r>
        <w:rPr>
          <w:i/>
          <w:spacing w:val="-11"/>
          <w:w w:val="115"/>
          <w:sz w:val="19"/>
        </w:rPr>
        <w:t> </w:t>
      </w:r>
      <w:r>
        <w:rPr>
          <w:i/>
          <w:w w:val="115"/>
          <w:sz w:val="19"/>
        </w:rPr>
        <w:t>en</w:t>
      </w:r>
      <w:r>
        <w:rPr>
          <w:i/>
          <w:spacing w:val="-11"/>
          <w:w w:val="115"/>
          <w:sz w:val="19"/>
        </w:rPr>
        <w:t> </w:t>
      </w:r>
      <w:r>
        <w:rPr>
          <w:i/>
          <w:w w:val="115"/>
          <w:sz w:val="19"/>
        </w:rPr>
        <w:t>América</w:t>
      </w:r>
      <w:r>
        <w:rPr>
          <w:i/>
          <w:spacing w:val="-11"/>
          <w:w w:val="115"/>
          <w:sz w:val="19"/>
        </w:rPr>
        <w:t> </w:t>
      </w:r>
      <w:r>
        <w:rPr>
          <w:i/>
          <w:w w:val="115"/>
          <w:sz w:val="19"/>
        </w:rPr>
        <w:t>Latina</w:t>
      </w:r>
      <w:r>
        <w:rPr>
          <w:i/>
          <w:spacing w:val="-11"/>
          <w:w w:val="115"/>
          <w:sz w:val="19"/>
        </w:rPr>
        <w:t> </w:t>
      </w:r>
      <w:r>
        <w:rPr>
          <w:i/>
          <w:w w:val="115"/>
          <w:sz w:val="19"/>
        </w:rPr>
        <w:t>y</w:t>
      </w:r>
      <w:r>
        <w:rPr>
          <w:i/>
          <w:spacing w:val="-11"/>
          <w:w w:val="115"/>
          <w:sz w:val="19"/>
        </w:rPr>
        <w:t> </w:t>
      </w:r>
      <w:r>
        <w:rPr>
          <w:i/>
          <w:w w:val="115"/>
          <w:sz w:val="19"/>
        </w:rPr>
        <w:t>el </w:t>
      </w:r>
      <w:r>
        <w:rPr>
          <w:i/>
          <w:w w:val="111"/>
          <w:sz w:val="19"/>
        </w:rPr>
        <w:t>Caribe,</w:t>
      </w:r>
      <w:r>
        <w:rPr>
          <w:i/>
          <w:spacing w:val="12"/>
          <w:sz w:val="19"/>
        </w:rPr>
        <w:t> </w:t>
      </w:r>
      <w:r>
        <w:rPr>
          <w:i/>
          <w:w w:val="107"/>
          <w:sz w:val="19"/>
        </w:rPr>
        <w:t>2013</w:t>
      </w:r>
      <w:r>
        <w:rPr>
          <w:w w:val="138"/>
          <w:sz w:val="19"/>
        </w:rPr>
        <w:t>,</w:t>
      </w:r>
      <w:r>
        <w:rPr>
          <w:spacing w:val="12"/>
          <w:sz w:val="19"/>
        </w:rPr>
        <w:t> </w:t>
      </w:r>
      <w:r>
        <w:rPr>
          <w:w w:val="98"/>
          <w:sz w:val="19"/>
        </w:rPr>
        <w:t>(</w:t>
      </w:r>
      <w:r>
        <w:rPr>
          <w:w w:val="243"/>
          <w:sz w:val="19"/>
        </w:rPr>
        <w:t>l</w:t>
      </w:r>
      <w:r>
        <w:rPr>
          <w:w w:val="107"/>
          <w:sz w:val="19"/>
        </w:rPr>
        <w:t>C/G.2613-P),</w:t>
      </w:r>
      <w:r>
        <w:rPr>
          <w:spacing w:val="12"/>
          <w:sz w:val="19"/>
        </w:rPr>
        <w:t> </w:t>
      </w:r>
      <w:r>
        <w:rPr>
          <w:w w:val="149"/>
          <w:sz w:val="19"/>
        </w:rPr>
        <w:t>s</w:t>
      </w:r>
      <w:r>
        <w:rPr>
          <w:w w:val="111"/>
          <w:sz w:val="19"/>
        </w:rPr>
        <w:t>antiago</w:t>
      </w:r>
      <w:r>
        <w:rPr>
          <w:spacing w:val="12"/>
          <w:sz w:val="19"/>
        </w:rPr>
        <w:t> </w:t>
      </w:r>
      <w:r>
        <w:rPr>
          <w:w w:val="107"/>
          <w:sz w:val="19"/>
        </w:rPr>
        <w:t>de</w:t>
      </w:r>
      <w:r>
        <w:rPr>
          <w:spacing w:val="12"/>
          <w:sz w:val="19"/>
        </w:rPr>
        <w:t> </w:t>
      </w:r>
      <w:r>
        <w:rPr>
          <w:w w:val="116"/>
          <w:sz w:val="19"/>
        </w:rPr>
        <w:t>Chile,</w:t>
      </w:r>
      <w:r>
        <w:rPr>
          <w:spacing w:val="12"/>
          <w:sz w:val="19"/>
        </w:rPr>
        <w:t> </w:t>
      </w:r>
      <w:r>
        <w:rPr>
          <w:w w:val="105"/>
          <w:sz w:val="19"/>
        </w:rPr>
        <w:t>2014.</w:t>
      </w:r>
    </w:p>
    <w:p>
      <w:pPr>
        <w:tabs>
          <w:tab w:pos="912" w:val="left" w:leader="none"/>
        </w:tabs>
        <w:spacing w:line="252" w:lineRule="auto" w:before="28"/>
        <w:ind w:left="727" w:right="349" w:hanging="397"/>
        <w:jc w:val="left"/>
        <w:rPr>
          <w:sz w:val="19"/>
        </w:rPr>
      </w:pPr>
      <w:r>
        <w:rPr>
          <w:w w:val="128"/>
          <w:sz w:val="19"/>
          <w:u w:val="single"/>
        </w:rPr>
        <w:t> </w:t>
      </w:r>
      <w:r>
        <w:rPr>
          <w:sz w:val="19"/>
          <w:u w:val="single"/>
        </w:rPr>
        <w:tab/>
        <w:tab/>
      </w:r>
      <w:r>
        <w:rPr>
          <w:w w:val="115"/>
          <w:sz w:val="19"/>
        </w:rPr>
        <w:t>,</w:t>
      </w:r>
      <w:r>
        <w:rPr>
          <w:spacing w:val="-25"/>
          <w:w w:val="115"/>
          <w:sz w:val="19"/>
        </w:rPr>
        <w:t> </w:t>
      </w:r>
      <w:r>
        <w:rPr>
          <w:w w:val="115"/>
          <w:sz w:val="19"/>
        </w:rPr>
        <w:t>2011</w:t>
      </w:r>
      <w:r>
        <w:rPr>
          <w:spacing w:val="-25"/>
          <w:w w:val="115"/>
          <w:sz w:val="19"/>
        </w:rPr>
        <w:t> </w:t>
      </w:r>
      <w:r>
        <w:rPr>
          <w:i/>
          <w:w w:val="115"/>
          <w:sz w:val="19"/>
        </w:rPr>
        <w:t>Aspectos</w:t>
      </w:r>
      <w:r>
        <w:rPr>
          <w:i/>
          <w:spacing w:val="-25"/>
          <w:w w:val="115"/>
          <w:sz w:val="19"/>
        </w:rPr>
        <w:t> </w:t>
      </w:r>
      <w:r>
        <w:rPr>
          <w:i/>
          <w:w w:val="115"/>
          <w:sz w:val="19"/>
        </w:rPr>
        <w:t>destacados</w:t>
      </w:r>
      <w:r>
        <w:rPr>
          <w:i/>
          <w:spacing w:val="-25"/>
          <w:w w:val="115"/>
          <w:sz w:val="19"/>
        </w:rPr>
        <w:t> </w:t>
      </w:r>
      <w:r>
        <w:rPr>
          <w:i/>
          <w:w w:val="115"/>
          <w:sz w:val="19"/>
        </w:rPr>
        <w:t>de</w:t>
      </w:r>
      <w:r>
        <w:rPr>
          <w:i/>
          <w:spacing w:val="-25"/>
          <w:w w:val="115"/>
          <w:sz w:val="19"/>
        </w:rPr>
        <w:t> </w:t>
      </w:r>
      <w:r>
        <w:rPr>
          <w:i/>
          <w:w w:val="115"/>
          <w:sz w:val="19"/>
        </w:rPr>
        <w:t>la</w:t>
      </w:r>
      <w:r>
        <w:rPr>
          <w:i/>
          <w:spacing w:val="-25"/>
          <w:w w:val="115"/>
          <w:sz w:val="19"/>
        </w:rPr>
        <w:t> </w:t>
      </w:r>
      <w:r>
        <w:rPr>
          <w:i/>
          <w:w w:val="115"/>
          <w:sz w:val="19"/>
        </w:rPr>
        <w:t>economía</w:t>
      </w:r>
      <w:r>
        <w:rPr>
          <w:i/>
          <w:spacing w:val="-25"/>
          <w:w w:val="115"/>
          <w:sz w:val="19"/>
        </w:rPr>
        <w:t> </w:t>
      </w:r>
      <w:r>
        <w:rPr>
          <w:i/>
          <w:w w:val="115"/>
          <w:sz w:val="19"/>
        </w:rPr>
        <w:t>y</w:t>
      </w:r>
      <w:r>
        <w:rPr>
          <w:i/>
          <w:spacing w:val="-25"/>
          <w:w w:val="115"/>
          <w:sz w:val="19"/>
        </w:rPr>
        <w:t> </w:t>
      </w:r>
      <w:r>
        <w:rPr>
          <w:i/>
          <w:w w:val="115"/>
          <w:sz w:val="19"/>
        </w:rPr>
        <w:t>el</w:t>
      </w:r>
      <w:r>
        <w:rPr>
          <w:i/>
          <w:spacing w:val="-25"/>
          <w:w w:val="115"/>
          <w:sz w:val="19"/>
        </w:rPr>
        <w:t> </w:t>
      </w:r>
      <w:r>
        <w:rPr>
          <w:i/>
          <w:w w:val="115"/>
          <w:sz w:val="19"/>
        </w:rPr>
        <w:t>comercio</w:t>
      </w:r>
      <w:r>
        <w:rPr>
          <w:i/>
          <w:spacing w:val="-25"/>
          <w:w w:val="115"/>
          <w:sz w:val="19"/>
        </w:rPr>
        <w:t> </w:t>
      </w:r>
      <w:r>
        <w:rPr>
          <w:i/>
          <w:w w:val="115"/>
          <w:sz w:val="19"/>
        </w:rPr>
        <w:t>entre</w:t>
      </w:r>
      <w:r>
        <w:rPr>
          <w:i/>
          <w:w w:val="103"/>
          <w:sz w:val="19"/>
        </w:rPr>
        <w:t> </w:t>
      </w:r>
      <w:r>
        <w:rPr>
          <w:i/>
          <w:w w:val="112"/>
          <w:sz w:val="19"/>
        </w:rPr>
        <w:t>los</w:t>
      </w:r>
      <w:r>
        <w:rPr>
          <w:i/>
          <w:spacing w:val="12"/>
          <w:sz w:val="19"/>
        </w:rPr>
        <w:t> </w:t>
      </w:r>
      <w:r>
        <w:rPr>
          <w:i/>
          <w:w w:val="112"/>
          <w:sz w:val="19"/>
        </w:rPr>
        <w:t>Estados</w:t>
      </w:r>
      <w:r>
        <w:rPr>
          <w:i/>
          <w:spacing w:val="12"/>
          <w:sz w:val="19"/>
        </w:rPr>
        <w:t> </w:t>
      </w:r>
      <w:r>
        <w:rPr>
          <w:i/>
          <w:w w:val="116"/>
          <w:sz w:val="19"/>
        </w:rPr>
        <w:t>Unidos</w:t>
      </w:r>
      <w:r>
        <w:rPr>
          <w:i/>
          <w:spacing w:val="12"/>
          <w:sz w:val="19"/>
        </w:rPr>
        <w:t> </w:t>
      </w:r>
      <w:r>
        <w:rPr>
          <w:i/>
          <w:w w:val="106"/>
          <w:sz w:val="19"/>
        </w:rPr>
        <w:t>y</w:t>
      </w:r>
      <w:r>
        <w:rPr>
          <w:i/>
          <w:spacing w:val="12"/>
          <w:sz w:val="19"/>
        </w:rPr>
        <w:t> </w:t>
      </w:r>
      <w:r>
        <w:rPr>
          <w:i/>
          <w:w w:val="109"/>
          <w:sz w:val="19"/>
        </w:rPr>
        <w:t>América</w:t>
      </w:r>
      <w:r>
        <w:rPr>
          <w:i/>
          <w:spacing w:val="12"/>
          <w:sz w:val="19"/>
        </w:rPr>
        <w:t> </w:t>
      </w:r>
      <w:r>
        <w:rPr>
          <w:i/>
          <w:w w:val="110"/>
          <w:sz w:val="19"/>
        </w:rPr>
        <w:t>Latina</w:t>
      </w:r>
      <w:r>
        <w:rPr>
          <w:i/>
          <w:spacing w:val="12"/>
          <w:sz w:val="19"/>
        </w:rPr>
        <w:t> </w:t>
      </w:r>
      <w:r>
        <w:rPr>
          <w:i/>
          <w:w w:val="106"/>
          <w:sz w:val="19"/>
        </w:rPr>
        <w:t>y</w:t>
      </w:r>
      <w:r>
        <w:rPr>
          <w:i/>
          <w:spacing w:val="12"/>
          <w:sz w:val="19"/>
        </w:rPr>
        <w:t> </w:t>
      </w:r>
      <w:r>
        <w:rPr>
          <w:i/>
          <w:w w:val="101"/>
          <w:sz w:val="19"/>
        </w:rPr>
        <w:t>el</w:t>
      </w:r>
      <w:r>
        <w:rPr>
          <w:i/>
          <w:spacing w:val="12"/>
          <w:sz w:val="19"/>
        </w:rPr>
        <w:t> </w:t>
      </w:r>
      <w:r>
        <w:rPr>
          <w:i/>
          <w:w w:val="109"/>
          <w:sz w:val="19"/>
        </w:rPr>
        <w:t>Caribe</w:t>
      </w:r>
      <w:r>
        <w:rPr>
          <w:w w:val="138"/>
          <w:sz w:val="19"/>
        </w:rPr>
        <w:t>,</w:t>
      </w:r>
      <w:r>
        <w:rPr>
          <w:spacing w:val="12"/>
          <w:sz w:val="19"/>
        </w:rPr>
        <w:t> </w:t>
      </w:r>
      <w:r>
        <w:rPr>
          <w:w w:val="243"/>
          <w:sz w:val="19"/>
        </w:rPr>
        <w:t>l</w:t>
      </w:r>
      <w:r>
        <w:rPr>
          <w:w w:val="107"/>
          <w:sz w:val="19"/>
        </w:rPr>
        <w:t>C/G.2489, </w:t>
      </w:r>
      <w:r>
        <w:rPr>
          <w:w w:val="115"/>
          <w:sz w:val="19"/>
        </w:rPr>
        <w:t>santiago</w:t>
      </w:r>
      <w:r>
        <w:rPr>
          <w:spacing w:val="-13"/>
          <w:w w:val="115"/>
          <w:sz w:val="19"/>
        </w:rPr>
        <w:t> </w:t>
      </w:r>
      <w:r>
        <w:rPr>
          <w:w w:val="115"/>
          <w:sz w:val="19"/>
        </w:rPr>
        <w:t>de</w:t>
      </w:r>
      <w:r>
        <w:rPr>
          <w:spacing w:val="-13"/>
          <w:w w:val="115"/>
          <w:sz w:val="19"/>
        </w:rPr>
        <w:t> </w:t>
      </w:r>
      <w:r>
        <w:rPr>
          <w:w w:val="115"/>
          <w:sz w:val="19"/>
        </w:rPr>
        <w:t>Chile,</w:t>
      </w:r>
      <w:r>
        <w:rPr>
          <w:spacing w:val="-13"/>
          <w:w w:val="115"/>
          <w:sz w:val="19"/>
        </w:rPr>
        <w:t> </w:t>
      </w:r>
      <w:r>
        <w:rPr>
          <w:w w:val="115"/>
          <w:sz w:val="19"/>
        </w:rPr>
        <w:t>en</w:t>
      </w:r>
      <w:r>
        <w:rPr>
          <w:spacing w:val="-13"/>
          <w:w w:val="115"/>
          <w:sz w:val="19"/>
        </w:rPr>
        <w:t> </w:t>
      </w:r>
      <w:hyperlink r:id="rId570">
        <w:r>
          <w:rPr>
            <w:w w:val="115"/>
            <w:sz w:val="19"/>
          </w:rPr>
          <w:t>&lt;www.eclac.cl&gt;.</w:t>
        </w:r>
      </w:hyperlink>
    </w:p>
    <w:p>
      <w:pPr>
        <w:spacing w:line="252" w:lineRule="auto" w:before="28"/>
        <w:ind w:left="727" w:right="107" w:hanging="397"/>
        <w:jc w:val="left"/>
        <w:rPr>
          <w:sz w:val="19"/>
        </w:rPr>
      </w:pPr>
      <w:r>
        <w:rPr>
          <w:w w:val="115"/>
          <w:sz w:val="19"/>
        </w:rPr>
        <w:t>Cobarrubias,</w:t>
      </w:r>
      <w:r>
        <w:rPr>
          <w:spacing w:val="-19"/>
          <w:w w:val="115"/>
          <w:sz w:val="19"/>
        </w:rPr>
        <w:t> </w:t>
      </w:r>
      <w:r>
        <w:rPr>
          <w:w w:val="115"/>
          <w:sz w:val="19"/>
        </w:rPr>
        <w:t>Katia</w:t>
      </w:r>
      <w:r>
        <w:rPr>
          <w:spacing w:val="-19"/>
          <w:w w:val="115"/>
          <w:sz w:val="19"/>
        </w:rPr>
        <w:t> </w:t>
      </w:r>
      <w:r>
        <w:rPr>
          <w:w w:val="115"/>
          <w:sz w:val="19"/>
        </w:rPr>
        <w:t>2010</w:t>
      </w:r>
      <w:r>
        <w:rPr>
          <w:spacing w:val="-19"/>
          <w:w w:val="115"/>
          <w:sz w:val="19"/>
        </w:rPr>
        <w:t> </w:t>
      </w:r>
      <w:r>
        <w:rPr>
          <w:w w:val="115"/>
          <w:sz w:val="19"/>
        </w:rPr>
        <w:t>“El</w:t>
      </w:r>
      <w:r>
        <w:rPr>
          <w:spacing w:val="-19"/>
          <w:w w:val="115"/>
          <w:sz w:val="19"/>
        </w:rPr>
        <w:t> </w:t>
      </w:r>
      <w:r>
        <w:rPr>
          <w:w w:val="115"/>
          <w:sz w:val="19"/>
        </w:rPr>
        <w:t>desequilibrio</w:t>
      </w:r>
      <w:r>
        <w:rPr>
          <w:spacing w:val="-19"/>
          <w:w w:val="115"/>
          <w:sz w:val="19"/>
        </w:rPr>
        <w:t> </w:t>
      </w:r>
      <w:r>
        <w:rPr>
          <w:w w:val="115"/>
          <w:sz w:val="19"/>
        </w:rPr>
        <w:t>externo</w:t>
      </w:r>
      <w:r>
        <w:rPr>
          <w:spacing w:val="-19"/>
          <w:w w:val="115"/>
          <w:sz w:val="19"/>
        </w:rPr>
        <w:t> </w:t>
      </w:r>
      <w:r>
        <w:rPr>
          <w:w w:val="115"/>
          <w:sz w:val="19"/>
        </w:rPr>
        <w:t>de</w:t>
      </w:r>
      <w:r>
        <w:rPr>
          <w:spacing w:val="-19"/>
          <w:w w:val="115"/>
          <w:sz w:val="19"/>
        </w:rPr>
        <w:t> </w:t>
      </w:r>
      <w:r>
        <w:rPr>
          <w:w w:val="115"/>
          <w:sz w:val="19"/>
        </w:rPr>
        <w:t>Estados</w:t>
      </w:r>
      <w:r>
        <w:rPr>
          <w:spacing w:val="-19"/>
          <w:w w:val="115"/>
          <w:sz w:val="19"/>
        </w:rPr>
        <w:t> </w:t>
      </w:r>
      <w:r>
        <w:rPr>
          <w:w w:val="115"/>
          <w:sz w:val="19"/>
        </w:rPr>
        <w:t>unidos tras</w:t>
      </w:r>
      <w:r>
        <w:rPr>
          <w:spacing w:val="-13"/>
          <w:w w:val="115"/>
          <w:sz w:val="19"/>
        </w:rPr>
        <w:t> </w:t>
      </w:r>
      <w:r>
        <w:rPr>
          <w:w w:val="115"/>
          <w:sz w:val="19"/>
        </w:rPr>
        <w:t>las</w:t>
      </w:r>
      <w:r>
        <w:rPr>
          <w:spacing w:val="-13"/>
          <w:w w:val="115"/>
          <w:sz w:val="19"/>
        </w:rPr>
        <w:t> </w:t>
      </w:r>
      <w:r>
        <w:rPr>
          <w:w w:val="115"/>
          <w:sz w:val="19"/>
        </w:rPr>
        <w:t>fisuras</w:t>
      </w:r>
      <w:r>
        <w:rPr>
          <w:spacing w:val="-13"/>
          <w:w w:val="115"/>
          <w:sz w:val="19"/>
        </w:rPr>
        <w:t> </w:t>
      </w:r>
      <w:r>
        <w:rPr>
          <w:w w:val="115"/>
          <w:sz w:val="19"/>
        </w:rPr>
        <w:t>del</w:t>
      </w:r>
      <w:r>
        <w:rPr>
          <w:spacing w:val="-13"/>
          <w:w w:val="115"/>
          <w:sz w:val="19"/>
        </w:rPr>
        <w:t> </w:t>
      </w:r>
      <w:r>
        <w:rPr>
          <w:w w:val="115"/>
          <w:sz w:val="19"/>
        </w:rPr>
        <w:t>liderazgo</w:t>
      </w:r>
      <w:r>
        <w:rPr>
          <w:spacing w:val="-13"/>
          <w:w w:val="115"/>
          <w:sz w:val="19"/>
        </w:rPr>
        <w:t> </w:t>
      </w:r>
      <w:r>
        <w:rPr>
          <w:w w:val="115"/>
          <w:sz w:val="19"/>
        </w:rPr>
        <w:t>económico”,</w:t>
      </w:r>
      <w:r>
        <w:rPr>
          <w:spacing w:val="-13"/>
          <w:w w:val="115"/>
          <w:sz w:val="19"/>
        </w:rPr>
        <w:t> </w:t>
      </w:r>
      <w:r>
        <w:rPr>
          <w:w w:val="115"/>
          <w:sz w:val="19"/>
        </w:rPr>
        <w:t>en</w:t>
      </w:r>
      <w:r>
        <w:rPr>
          <w:spacing w:val="-13"/>
          <w:w w:val="115"/>
          <w:sz w:val="19"/>
        </w:rPr>
        <w:t> </w:t>
      </w:r>
      <w:r>
        <w:rPr>
          <w:w w:val="115"/>
          <w:sz w:val="19"/>
        </w:rPr>
        <w:t>Marco</w:t>
      </w:r>
      <w:r>
        <w:rPr>
          <w:spacing w:val="-13"/>
          <w:w w:val="115"/>
          <w:sz w:val="19"/>
        </w:rPr>
        <w:t> </w:t>
      </w:r>
      <w:r>
        <w:rPr>
          <w:w w:val="115"/>
          <w:sz w:val="19"/>
        </w:rPr>
        <w:t>Gandásegui </w:t>
      </w:r>
      <w:r>
        <w:rPr>
          <w:w w:val="120"/>
          <w:sz w:val="19"/>
        </w:rPr>
        <w:t>hijo</w:t>
      </w:r>
      <w:r>
        <w:rPr>
          <w:spacing w:val="-23"/>
          <w:w w:val="120"/>
          <w:sz w:val="19"/>
        </w:rPr>
        <w:t> </w:t>
      </w:r>
      <w:r>
        <w:rPr>
          <w:w w:val="120"/>
          <w:sz w:val="19"/>
        </w:rPr>
        <w:t>y</w:t>
      </w:r>
      <w:r>
        <w:rPr>
          <w:spacing w:val="-23"/>
          <w:w w:val="120"/>
          <w:sz w:val="19"/>
        </w:rPr>
        <w:t> </w:t>
      </w:r>
      <w:r>
        <w:rPr>
          <w:w w:val="120"/>
          <w:sz w:val="19"/>
        </w:rPr>
        <w:t>dídimo</w:t>
      </w:r>
      <w:r>
        <w:rPr>
          <w:spacing w:val="-23"/>
          <w:w w:val="120"/>
          <w:sz w:val="19"/>
        </w:rPr>
        <w:t> </w:t>
      </w:r>
      <w:r>
        <w:rPr>
          <w:w w:val="120"/>
          <w:sz w:val="19"/>
        </w:rPr>
        <w:t>Castillo</w:t>
      </w:r>
      <w:r>
        <w:rPr>
          <w:spacing w:val="-23"/>
          <w:w w:val="120"/>
          <w:sz w:val="19"/>
        </w:rPr>
        <w:t> </w:t>
      </w:r>
      <w:r>
        <w:rPr>
          <w:w w:val="120"/>
          <w:sz w:val="19"/>
        </w:rPr>
        <w:t>Fernández</w:t>
      </w:r>
      <w:r>
        <w:rPr>
          <w:spacing w:val="-23"/>
          <w:w w:val="120"/>
          <w:sz w:val="19"/>
        </w:rPr>
        <w:t> </w:t>
      </w:r>
      <w:r>
        <w:rPr>
          <w:w w:val="120"/>
          <w:sz w:val="19"/>
        </w:rPr>
        <w:t>(coords.)</w:t>
      </w:r>
      <w:r>
        <w:rPr>
          <w:spacing w:val="-23"/>
          <w:w w:val="120"/>
          <w:sz w:val="19"/>
        </w:rPr>
        <w:t> </w:t>
      </w:r>
      <w:r>
        <w:rPr>
          <w:i/>
          <w:w w:val="120"/>
          <w:sz w:val="19"/>
        </w:rPr>
        <w:t>Estados</w:t>
      </w:r>
      <w:r>
        <w:rPr>
          <w:i/>
          <w:spacing w:val="-23"/>
          <w:w w:val="120"/>
          <w:sz w:val="19"/>
        </w:rPr>
        <w:t> </w:t>
      </w:r>
      <w:r>
        <w:rPr>
          <w:i/>
          <w:w w:val="120"/>
          <w:sz w:val="19"/>
        </w:rPr>
        <w:t>Unidos:</w:t>
      </w:r>
      <w:r>
        <w:rPr>
          <w:i/>
          <w:spacing w:val="-23"/>
          <w:w w:val="120"/>
          <w:sz w:val="19"/>
        </w:rPr>
        <w:t> </w:t>
      </w:r>
      <w:r>
        <w:rPr>
          <w:i/>
          <w:w w:val="120"/>
          <w:sz w:val="19"/>
        </w:rPr>
        <w:t>la </w:t>
      </w:r>
      <w:r>
        <w:rPr>
          <w:i/>
          <w:w w:val="115"/>
          <w:sz w:val="19"/>
        </w:rPr>
        <w:t>crisis</w:t>
      </w:r>
      <w:r>
        <w:rPr>
          <w:i/>
          <w:spacing w:val="-13"/>
          <w:w w:val="115"/>
          <w:sz w:val="19"/>
        </w:rPr>
        <w:t> </w:t>
      </w:r>
      <w:r>
        <w:rPr>
          <w:i/>
          <w:w w:val="115"/>
          <w:sz w:val="19"/>
        </w:rPr>
        <w:t>sistémica</w:t>
      </w:r>
      <w:r>
        <w:rPr>
          <w:i/>
          <w:spacing w:val="-13"/>
          <w:w w:val="115"/>
          <w:sz w:val="19"/>
        </w:rPr>
        <w:t> </w:t>
      </w:r>
      <w:r>
        <w:rPr>
          <w:i/>
          <w:w w:val="115"/>
          <w:sz w:val="19"/>
        </w:rPr>
        <w:t>y</w:t>
      </w:r>
      <w:r>
        <w:rPr>
          <w:i/>
          <w:spacing w:val="-13"/>
          <w:w w:val="115"/>
          <w:sz w:val="19"/>
        </w:rPr>
        <w:t> </w:t>
      </w:r>
      <w:r>
        <w:rPr>
          <w:i/>
          <w:w w:val="115"/>
          <w:sz w:val="19"/>
        </w:rPr>
        <w:t>las</w:t>
      </w:r>
      <w:r>
        <w:rPr>
          <w:i/>
          <w:spacing w:val="-13"/>
          <w:w w:val="115"/>
          <w:sz w:val="19"/>
        </w:rPr>
        <w:t> </w:t>
      </w:r>
      <w:r>
        <w:rPr>
          <w:i/>
          <w:w w:val="115"/>
          <w:sz w:val="19"/>
        </w:rPr>
        <w:t>nuevas</w:t>
      </w:r>
      <w:r>
        <w:rPr>
          <w:i/>
          <w:spacing w:val="-13"/>
          <w:w w:val="115"/>
          <w:sz w:val="19"/>
        </w:rPr>
        <w:t> </w:t>
      </w:r>
      <w:r>
        <w:rPr>
          <w:i/>
          <w:w w:val="115"/>
          <w:sz w:val="19"/>
        </w:rPr>
        <w:t>condiciones</w:t>
      </w:r>
      <w:r>
        <w:rPr>
          <w:i/>
          <w:spacing w:val="-13"/>
          <w:w w:val="115"/>
          <w:sz w:val="19"/>
        </w:rPr>
        <w:t> </w:t>
      </w:r>
      <w:r>
        <w:rPr>
          <w:i/>
          <w:w w:val="115"/>
          <w:sz w:val="19"/>
        </w:rPr>
        <w:t>de</w:t>
      </w:r>
      <w:r>
        <w:rPr>
          <w:i/>
          <w:spacing w:val="-13"/>
          <w:w w:val="115"/>
          <w:sz w:val="19"/>
        </w:rPr>
        <w:t> </w:t>
      </w:r>
      <w:r>
        <w:rPr>
          <w:i/>
          <w:w w:val="115"/>
          <w:sz w:val="19"/>
        </w:rPr>
        <w:t>legitimación</w:t>
      </w:r>
      <w:r>
        <w:rPr>
          <w:i/>
          <w:spacing w:val="-13"/>
          <w:w w:val="115"/>
          <w:sz w:val="19"/>
        </w:rPr>
        <w:t> </w:t>
      </w:r>
      <w:r>
        <w:rPr>
          <w:w w:val="115"/>
          <w:sz w:val="19"/>
        </w:rPr>
        <w:t>(buenos </w:t>
      </w:r>
      <w:r>
        <w:rPr>
          <w:w w:val="139"/>
          <w:sz w:val="19"/>
        </w:rPr>
        <w:t>a</w:t>
      </w:r>
      <w:r>
        <w:rPr>
          <w:w w:val="107"/>
          <w:sz w:val="19"/>
        </w:rPr>
        <w:t>ires:</w:t>
      </w:r>
      <w:r>
        <w:rPr>
          <w:spacing w:val="12"/>
          <w:sz w:val="19"/>
        </w:rPr>
        <w:t> </w:t>
      </w:r>
      <w:r>
        <w:rPr>
          <w:w w:val="124"/>
          <w:sz w:val="19"/>
        </w:rPr>
        <w:t>C</w:t>
      </w:r>
      <w:r>
        <w:rPr>
          <w:w w:val="176"/>
          <w:sz w:val="19"/>
        </w:rPr>
        <w:t>la</w:t>
      </w:r>
      <w:r>
        <w:rPr>
          <w:w w:val="124"/>
          <w:sz w:val="19"/>
        </w:rPr>
        <w:t>C</w:t>
      </w:r>
      <w:r>
        <w:rPr>
          <w:w w:val="149"/>
          <w:sz w:val="19"/>
        </w:rPr>
        <w:t>so</w:t>
      </w:r>
      <w:r>
        <w:rPr>
          <w:w w:val="57"/>
          <w:sz w:val="19"/>
        </w:rPr>
        <w:t>/</w:t>
      </w:r>
      <w:r>
        <w:rPr>
          <w:w w:val="149"/>
          <w:sz w:val="19"/>
        </w:rPr>
        <w:t>s</w:t>
      </w:r>
      <w:r>
        <w:rPr>
          <w:w w:val="111"/>
          <w:sz w:val="19"/>
        </w:rPr>
        <w:t>iglo</w:t>
      </w:r>
      <w:r>
        <w:rPr>
          <w:spacing w:val="12"/>
          <w:sz w:val="19"/>
        </w:rPr>
        <w:t> </w:t>
      </w:r>
      <w:r>
        <w:rPr>
          <w:w w:val="156"/>
          <w:sz w:val="19"/>
        </w:rPr>
        <w:t>xxi</w:t>
      </w:r>
      <w:r>
        <w:rPr>
          <w:w w:val="112"/>
          <w:sz w:val="19"/>
        </w:rPr>
        <w:t>).</w:t>
      </w:r>
    </w:p>
    <w:p>
      <w:pPr>
        <w:spacing w:line="252" w:lineRule="auto" w:before="28"/>
        <w:ind w:left="727" w:right="0" w:hanging="397"/>
        <w:jc w:val="left"/>
        <w:rPr>
          <w:sz w:val="19"/>
        </w:rPr>
      </w:pPr>
      <w:r>
        <w:rPr>
          <w:w w:val="115"/>
          <w:sz w:val="19"/>
        </w:rPr>
        <w:t>da silva bichara, Julimar 2011 </w:t>
      </w:r>
      <w:r>
        <w:rPr>
          <w:i/>
          <w:w w:val="115"/>
          <w:sz w:val="19"/>
        </w:rPr>
        <w:t>Brazil and China: Business Cycles and </w:t>
      </w:r>
      <w:r>
        <w:rPr>
          <w:i/>
          <w:w w:val="115"/>
          <w:sz w:val="19"/>
        </w:rPr>
        <w:t>International Trade</w:t>
      </w:r>
      <w:r>
        <w:rPr>
          <w:w w:val="115"/>
          <w:sz w:val="19"/>
        </w:rPr>
        <w:t>, Paper presentado en el xVi Encontro de Economia da regiao sul, Área 5 (Economía internacional).</w:t>
      </w:r>
    </w:p>
    <w:p>
      <w:pPr>
        <w:spacing w:line="252" w:lineRule="auto" w:before="28"/>
        <w:ind w:left="727" w:right="324" w:hanging="397"/>
        <w:jc w:val="left"/>
        <w:rPr>
          <w:sz w:val="19"/>
        </w:rPr>
      </w:pPr>
      <w:r>
        <w:rPr>
          <w:w w:val="115"/>
          <w:sz w:val="19"/>
        </w:rPr>
        <w:t>dées, s. y Vansteenkiste, i. 2007 </w:t>
      </w:r>
      <w:r>
        <w:rPr>
          <w:i/>
          <w:w w:val="115"/>
          <w:sz w:val="19"/>
        </w:rPr>
        <w:t>The Transmission of US Cyclical </w:t>
      </w:r>
      <w:r>
        <w:rPr>
          <w:i/>
          <w:w w:val="115"/>
          <w:sz w:val="19"/>
        </w:rPr>
        <w:t>Developments</w:t>
      </w:r>
      <w:r>
        <w:rPr>
          <w:i/>
          <w:spacing w:val="-17"/>
          <w:w w:val="115"/>
          <w:sz w:val="19"/>
        </w:rPr>
        <w:t> </w:t>
      </w:r>
      <w:r>
        <w:rPr>
          <w:i/>
          <w:w w:val="115"/>
          <w:sz w:val="19"/>
        </w:rPr>
        <w:t>to</w:t>
      </w:r>
      <w:r>
        <w:rPr>
          <w:i/>
          <w:spacing w:val="-17"/>
          <w:w w:val="115"/>
          <w:sz w:val="19"/>
        </w:rPr>
        <w:t> </w:t>
      </w:r>
      <w:r>
        <w:rPr>
          <w:i/>
          <w:w w:val="115"/>
          <w:sz w:val="19"/>
        </w:rPr>
        <w:t>the</w:t>
      </w:r>
      <w:r>
        <w:rPr>
          <w:i/>
          <w:spacing w:val="-17"/>
          <w:w w:val="115"/>
          <w:sz w:val="19"/>
        </w:rPr>
        <w:t> </w:t>
      </w:r>
      <w:r>
        <w:rPr>
          <w:i/>
          <w:w w:val="115"/>
          <w:sz w:val="19"/>
        </w:rPr>
        <w:t>Rest</w:t>
      </w:r>
      <w:r>
        <w:rPr>
          <w:i/>
          <w:spacing w:val="-17"/>
          <w:w w:val="115"/>
          <w:sz w:val="19"/>
        </w:rPr>
        <w:t> </w:t>
      </w:r>
      <w:r>
        <w:rPr>
          <w:i/>
          <w:w w:val="115"/>
          <w:sz w:val="19"/>
        </w:rPr>
        <w:t>of</w:t>
      </w:r>
      <w:r>
        <w:rPr>
          <w:i/>
          <w:spacing w:val="-17"/>
          <w:w w:val="115"/>
          <w:sz w:val="19"/>
        </w:rPr>
        <w:t> </w:t>
      </w:r>
      <w:r>
        <w:rPr>
          <w:i/>
          <w:w w:val="115"/>
          <w:sz w:val="19"/>
        </w:rPr>
        <w:t>the</w:t>
      </w:r>
      <w:r>
        <w:rPr>
          <w:i/>
          <w:spacing w:val="-17"/>
          <w:w w:val="115"/>
          <w:sz w:val="19"/>
        </w:rPr>
        <w:t> </w:t>
      </w:r>
      <w:r>
        <w:rPr>
          <w:i/>
          <w:w w:val="115"/>
          <w:sz w:val="19"/>
        </w:rPr>
        <w:t>World</w:t>
      </w:r>
      <w:r>
        <w:rPr>
          <w:w w:val="115"/>
          <w:sz w:val="19"/>
        </w:rPr>
        <w:t>,</w:t>
      </w:r>
      <w:r>
        <w:rPr>
          <w:spacing w:val="-17"/>
          <w:w w:val="115"/>
          <w:sz w:val="19"/>
        </w:rPr>
        <w:t> </w:t>
      </w:r>
      <w:r>
        <w:rPr>
          <w:w w:val="115"/>
          <w:sz w:val="19"/>
        </w:rPr>
        <w:t>European</w:t>
      </w:r>
      <w:r>
        <w:rPr>
          <w:spacing w:val="-17"/>
          <w:w w:val="115"/>
          <w:sz w:val="19"/>
        </w:rPr>
        <w:t> </w:t>
      </w:r>
      <w:r>
        <w:rPr>
          <w:w w:val="115"/>
          <w:sz w:val="19"/>
        </w:rPr>
        <w:t>Central</w:t>
      </w:r>
      <w:r>
        <w:rPr>
          <w:spacing w:val="-17"/>
          <w:w w:val="115"/>
          <w:sz w:val="19"/>
        </w:rPr>
        <w:t> </w:t>
      </w:r>
      <w:r>
        <w:rPr>
          <w:w w:val="115"/>
          <w:sz w:val="19"/>
        </w:rPr>
        <w:t>bank, </w:t>
      </w:r>
      <w:r>
        <w:rPr>
          <w:w w:val="110"/>
          <w:sz w:val="19"/>
        </w:rPr>
        <w:t>Working Paper 798, en </w:t>
      </w:r>
      <w:hyperlink r:id="rId571">
        <w:r>
          <w:rPr>
            <w:w w:val="110"/>
            <w:sz w:val="19"/>
          </w:rPr>
          <w:t>&lt;http://www.ecb.europa.eu/pub/pdf/</w:t>
        </w:r>
      </w:hyperlink>
      <w:r>
        <w:rPr>
          <w:w w:val="110"/>
          <w:sz w:val="19"/>
        </w:rPr>
        <w:t> </w:t>
      </w:r>
      <w:r>
        <w:rPr>
          <w:w w:val="115"/>
          <w:sz w:val="19"/>
        </w:rPr>
        <w:t>scpwps/ecbwp798.pdf&gt;.</w:t>
      </w:r>
    </w:p>
    <w:p>
      <w:pPr>
        <w:spacing w:line="252" w:lineRule="auto" w:before="28"/>
        <w:ind w:left="727" w:right="98" w:hanging="397"/>
        <w:jc w:val="both"/>
        <w:rPr>
          <w:sz w:val="19"/>
        </w:rPr>
      </w:pPr>
      <w:r>
        <w:rPr>
          <w:w w:val="139"/>
          <w:sz w:val="19"/>
        </w:rPr>
        <w:t>d</w:t>
      </w:r>
      <w:r>
        <w:rPr>
          <w:w w:val="115"/>
          <w:sz w:val="19"/>
        </w:rPr>
        <w:t>i</w:t>
      </w:r>
      <w:r>
        <w:rPr>
          <w:spacing w:val="11"/>
          <w:sz w:val="19"/>
        </w:rPr>
        <w:t> </w:t>
      </w:r>
      <w:r>
        <w:rPr>
          <w:w w:val="115"/>
          <w:sz w:val="19"/>
        </w:rPr>
        <w:t>Mauro,</w:t>
      </w:r>
      <w:r>
        <w:rPr>
          <w:spacing w:val="11"/>
          <w:sz w:val="19"/>
        </w:rPr>
        <w:t> </w:t>
      </w:r>
      <w:r>
        <w:rPr>
          <w:w w:val="112"/>
          <w:sz w:val="19"/>
        </w:rPr>
        <w:t>Fillipo;</w:t>
      </w:r>
      <w:r>
        <w:rPr>
          <w:spacing w:val="11"/>
          <w:sz w:val="19"/>
        </w:rPr>
        <w:t> </w:t>
      </w:r>
      <w:r>
        <w:rPr>
          <w:w w:val="149"/>
          <w:sz w:val="19"/>
        </w:rPr>
        <w:t>s</w:t>
      </w:r>
      <w:r>
        <w:rPr>
          <w:w w:val="109"/>
          <w:sz w:val="19"/>
        </w:rPr>
        <w:t>tephane</w:t>
      </w:r>
      <w:r>
        <w:rPr>
          <w:spacing w:val="11"/>
          <w:sz w:val="19"/>
        </w:rPr>
        <w:t> </w:t>
      </w:r>
      <w:r>
        <w:rPr>
          <w:w w:val="139"/>
          <w:sz w:val="19"/>
        </w:rPr>
        <w:t>d</w:t>
      </w:r>
      <w:r>
        <w:rPr>
          <w:w w:val="104"/>
          <w:sz w:val="19"/>
        </w:rPr>
        <w:t>ées</w:t>
      </w:r>
      <w:r>
        <w:rPr>
          <w:spacing w:val="11"/>
          <w:sz w:val="19"/>
        </w:rPr>
        <w:t> </w:t>
      </w:r>
      <w:r>
        <w:rPr>
          <w:w w:val="105"/>
          <w:sz w:val="19"/>
        </w:rPr>
        <w:t>y</w:t>
      </w:r>
      <w:r>
        <w:rPr>
          <w:spacing w:val="11"/>
          <w:sz w:val="19"/>
        </w:rPr>
        <w:t> </w:t>
      </w:r>
      <w:r>
        <w:rPr>
          <w:w w:val="113"/>
          <w:sz w:val="19"/>
        </w:rPr>
        <w:t>Marco</w:t>
      </w:r>
      <w:r>
        <w:rPr>
          <w:spacing w:val="11"/>
          <w:sz w:val="19"/>
        </w:rPr>
        <w:t> </w:t>
      </w:r>
      <w:r>
        <w:rPr>
          <w:w w:val="147"/>
          <w:sz w:val="19"/>
        </w:rPr>
        <w:t>J.</w:t>
      </w:r>
      <w:r>
        <w:rPr>
          <w:spacing w:val="11"/>
          <w:sz w:val="19"/>
        </w:rPr>
        <w:t> </w:t>
      </w:r>
      <w:r>
        <w:rPr>
          <w:w w:val="243"/>
          <w:sz w:val="19"/>
        </w:rPr>
        <w:t>l</w:t>
      </w:r>
      <w:r>
        <w:rPr>
          <w:w w:val="111"/>
          <w:sz w:val="19"/>
        </w:rPr>
        <w:t>ombardi</w:t>
      </w:r>
      <w:r>
        <w:rPr>
          <w:spacing w:val="11"/>
          <w:sz w:val="19"/>
        </w:rPr>
        <w:t> </w:t>
      </w:r>
      <w:r>
        <w:rPr>
          <w:w w:val="102"/>
          <w:sz w:val="19"/>
        </w:rPr>
        <w:t>2010</w:t>
      </w:r>
      <w:r>
        <w:rPr>
          <w:spacing w:val="11"/>
          <w:sz w:val="19"/>
        </w:rPr>
        <w:t> </w:t>
      </w:r>
      <w:r>
        <w:rPr>
          <w:i/>
          <w:w w:val="110"/>
          <w:sz w:val="19"/>
        </w:rPr>
        <w:t>Catching</w:t>
      </w:r>
      <w:r>
        <w:rPr>
          <w:i/>
          <w:w w:val="110"/>
          <w:sz w:val="19"/>
        </w:rPr>
        <w:t> </w:t>
      </w:r>
      <w:r>
        <w:rPr>
          <w:i/>
          <w:w w:val="115"/>
          <w:sz w:val="19"/>
        </w:rPr>
        <w:t>the</w:t>
      </w:r>
      <w:r>
        <w:rPr>
          <w:i/>
          <w:spacing w:val="-17"/>
          <w:w w:val="115"/>
          <w:sz w:val="19"/>
        </w:rPr>
        <w:t> </w:t>
      </w:r>
      <w:r>
        <w:rPr>
          <w:i/>
          <w:w w:val="115"/>
          <w:sz w:val="19"/>
        </w:rPr>
        <w:t>Flu</w:t>
      </w:r>
      <w:r>
        <w:rPr>
          <w:i/>
          <w:spacing w:val="-17"/>
          <w:w w:val="115"/>
          <w:sz w:val="19"/>
        </w:rPr>
        <w:t> </w:t>
      </w:r>
      <w:r>
        <w:rPr>
          <w:i/>
          <w:w w:val="115"/>
          <w:sz w:val="19"/>
        </w:rPr>
        <w:t>from</w:t>
      </w:r>
      <w:r>
        <w:rPr>
          <w:i/>
          <w:spacing w:val="-17"/>
          <w:w w:val="115"/>
          <w:sz w:val="19"/>
        </w:rPr>
        <w:t> </w:t>
      </w:r>
      <w:r>
        <w:rPr>
          <w:i/>
          <w:w w:val="115"/>
          <w:sz w:val="19"/>
        </w:rPr>
        <w:t>the</w:t>
      </w:r>
      <w:r>
        <w:rPr>
          <w:i/>
          <w:spacing w:val="-17"/>
          <w:w w:val="115"/>
          <w:sz w:val="19"/>
        </w:rPr>
        <w:t> </w:t>
      </w:r>
      <w:r>
        <w:rPr>
          <w:i/>
          <w:w w:val="115"/>
          <w:sz w:val="19"/>
        </w:rPr>
        <w:t>United</w:t>
      </w:r>
      <w:r>
        <w:rPr>
          <w:i/>
          <w:spacing w:val="-17"/>
          <w:w w:val="115"/>
          <w:sz w:val="19"/>
        </w:rPr>
        <w:t> </w:t>
      </w:r>
      <w:r>
        <w:rPr>
          <w:i/>
          <w:w w:val="115"/>
          <w:sz w:val="19"/>
        </w:rPr>
        <w:t>States.</w:t>
      </w:r>
      <w:r>
        <w:rPr>
          <w:i/>
          <w:spacing w:val="-17"/>
          <w:w w:val="115"/>
          <w:sz w:val="19"/>
        </w:rPr>
        <w:t> </w:t>
      </w:r>
      <w:r>
        <w:rPr>
          <w:i/>
          <w:w w:val="115"/>
          <w:sz w:val="19"/>
        </w:rPr>
        <w:t>Synchronization</w:t>
      </w:r>
      <w:r>
        <w:rPr>
          <w:i/>
          <w:spacing w:val="-17"/>
          <w:w w:val="115"/>
          <w:sz w:val="19"/>
        </w:rPr>
        <w:t> </w:t>
      </w:r>
      <w:r>
        <w:rPr>
          <w:i/>
          <w:w w:val="115"/>
          <w:sz w:val="19"/>
        </w:rPr>
        <w:t>and</w:t>
      </w:r>
      <w:r>
        <w:rPr>
          <w:i/>
          <w:spacing w:val="-17"/>
          <w:w w:val="115"/>
          <w:sz w:val="19"/>
        </w:rPr>
        <w:t> </w:t>
      </w:r>
      <w:r>
        <w:rPr>
          <w:i/>
          <w:w w:val="115"/>
          <w:sz w:val="19"/>
        </w:rPr>
        <w:t>Transmission Mechanisms</w:t>
      </w:r>
      <w:r>
        <w:rPr>
          <w:i/>
          <w:spacing w:val="-16"/>
          <w:w w:val="115"/>
          <w:sz w:val="19"/>
        </w:rPr>
        <w:t> </w:t>
      </w:r>
      <w:r>
        <w:rPr>
          <w:i/>
          <w:w w:val="115"/>
          <w:sz w:val="19"/>
        </w:rPr>
        <w:t>to</w:t>
      </w:r>
      <w:r>
        <w:rPr>
          <w:i/>
          <w:spacing w:val="-16"/>
          <w:w w:val="115"/>
          <w:sz w:val="19"/>
        </w:rPr>
        <w:t> </w:t>
      </w:r>
      <w:r>
        <w:rPr>
          <w:i/>
          <w:w w:val="115"/>
          <w:sz w:val="19"/>
        </w:rPr>
        <w:t>the</w:t>
      </w:r>
      <w:r>
        <w:rPr>
          <w:i/>
          <w:spacing w:val="-16"/>
          <w:w w:val="115"/>
          <w:sz w:val="19"/>
        </w:rPr>
        <w:t> </w:t>
      </w:r>
      <w:r>
        <w:rPr>
          <w:i/>
          <w:w w:val="115"/>
          <w:sz w:val="19"/>
        </w:rPr>
        <w:t>Euro</w:t>
      </w:r>
      <w:r>
        <w:rPr>
          <w:i/>
          <w:spacing w:val="-16"/>
          <w:w w:val="115"/>
          <w:sz w:val="19"/>
        </w:rPr>
        <w:t> </w:t>
      </w:r>
      <w:r>
        <w:rPr>
          <w:i/>
          <w:w w:val="115"/>
          <w:sz w:val="19"/>
        </w:rPr>
        <w:t>Area</w:t>
      </w:r>
      <w:r>
        <w:rPr>
          <w:i/>
          <w:spacing w:val="-16"/>
          <w:w w:val="115"/>
          <w:sz w:val="19"/>
        </w:rPr>
        <w:t> </w:t>
      </w:r>
      <w:r>
        <w:rPr>
          <w:w w:val="115"/>
          <w:sz w:val="19"/>
        </w:rPr>
        <w:t>(New</w:t>
      </w:r>
      <w:r>
        <w:rPr>
          <w:spacing w:val="-16"/>
          <w:w w:val="115"/>
          <w:sz w:val="19"/>
        </w:rPr>
        <w:t> </w:t>
      </w:r>
      <w:r>
        <w:rPr>
          <w:spacing w:val="-4"/>
          <w:w w:val="115"/>
          <w:sz w:val="19"/>
        </w:rPr>
        <w:t>York:</w:t>
      </w:r>
      <w:r>
        <w:rPr>
          <w:spacing w:val="-16"/>
          <w:w w:val="115"/>
          <w:sz w:val="19"/>
        </w:rPr>
        <w:t> </w:t>
      </w:r>
      <w:r>
        <w:rPr>
          <w:w w:val="115"/>
          <w:sz w:val="19"/>
        </w:rPr>
        <w:t>Palgrave</w:t>
      </w:r>
      <w:r>
        <w:rPr>
          <w:spacing w:val="-16"/>
          <w:w w:val="115"/>
          <w:sz w:val="19"/>
        </w:rPr>
        <w:t> </w:t>
      </w:r>
      <w:r>
        <w:rPr>
          <w:w w:val="115"/>
          <w:sz w:val="19"/>
        </w:rPr>
        <w:t>MacMillan).</w:t>
      </w:r>
    </w:p>
    <w:p>
      <w:pPr>
        <w:pStyle w:val="BodyText"/>
        <w:spacing w:line="252" w:lineRule="auto" w:before="28"/>
        <w:ind w:left="727" w:right="68" w:hanging="397"/>
      </w:pPr>
      <w:r>
        <w:rPr>
          <w:w w:val="110"/>
        </w:rPr>
        <w:t>FMi 2014 </w:t>
      </w:r>
      <w:r>
        <w:rPr>
          <w:i/>
          <w:w w:val="110"/>
        </w:rPr>
        <w:t>World Economic outlook</w:t>
      </w:r>
      <w:r>
        <w:rPr>
          <w:w w:val="110"/>
        </w:rPr>
        <w:t>, en </w:t>
      </w:r>
      <w:hyperlink r:id="rId572">
        <w:r>
          <w:rPr>
            <w:w w:val="110"/>
          </w:rPr>
          <w:t>&lt;http://www.imf.org/external/</w:t>
        </w:r>
      </w:hyperlink>
      <w:r>
        <w:rPr>
          <w:w w:val="110"/>
        </w:rPr>
        <w:t> </w:t>
      </w:r>
      <w:r>
        <w:rPr>
          <w:w w:val="105"/>
        </w:rPr>
        <w:t>pubs/ft/weo/2014/02/pdf/text&gt;, acceso 12 de mayo de 2014.</w:t>
      </w:r>
    </w:p>
    <w:p>
      <w:pPr>
        <w:tabs>
          <w:tab w:pos="621" w:val="left" w:leader="none"/>
        </w:tabs>
        <w:spacing w:line="252" w:lineRule="auto" w:before="28"/>
        <w:ind w:left="727" w:right="450" w:hanging="397"/>
        <w:jc w:val="left"/>
        <w:rPr>
          <w:sz w:val="19"/>
        </w:rPr>
      </w:pPr>
      <w:r>
        <w:rPr>
          <w:w w:val="128"/>
          <w:sz w:val="19"/>
          <w:u w:val="single"/>
        </w:rPr>
        <w:t> </w:t>
      </w:r>
      <w:r>
        <w:rPr>
          <w:sz w:val="19"/>
          <w:u w:val="single"/>
        </w:rPr>
        <w:tab/>
      </w:r>
      <w:r>
        <w:rPr>
          <w:w w:val="110"/>
          <w:sz w:val="19"/>
        </w:rPr>
        <w:t>, 2007 </w:t>
      </w:r>
      <w:r>
        <w:rPr>
          <w:i/>
          <w:spacing w:val="-3"/>
          <w:w w:val="110"/>
          <w:sz w:val="19"/>
        </w:rPr>
        <w:t>World </w:t>
      </w:r>
      <w:r>
        <w:rPr>
          <w:i/>
          <w:w w:val="110"/>
          <w:sz w:val="19"/>
        </w:rPr>
        <w:t>Economic outlook</w:t>
      </w:r>
      <w:r>
        <w:rPr>
          <w:w w:val="110"/>
          <w:sz w:val="19"/>
        </w:rPr>
        <w:t>, abril,</w:t>
      </w:r>
      <w:r>
        <w:rPr>
          <w:spacing w:val="-9"/>
          <w:w w:val="110"/>
          <w:sz w:val="19"/>
        </w:rPr>
        <w:t> </w:t>
      </w:r>
      <w:r>
        <w:rPr>
          <w:w w:val="110"/>
          <w:sz w:val="19"/>
        </w:rPr>
        <w:t>en</w:t>
      </w:r>
      <w:r>
        <w:rPr>
          <w:spacing w:val="-2"/>
          <w:w w:val="110"/>
          <w:sz w:val="19"/>
        </w:rPr>
        <w:t> </w:t>
      </w:r>
      <w:hyperlink r:id="rId573">
        <w:r>
          <w:rPr>
            <w:w w:val="110"/>
            <w:sz w:val="19"/>
          </w:rPr>
          <w:t>&lt;http://www.imf.org/</w:t>
        </w:r>
      </w:hyperlink>
      <w:r>
        <w:rPr>
          <w:w w:val="107"/>
          <w:sz w:val="19"/>
        </w:rPr>
        <w:t> </w:t>
      </w:r>
      <w:r>
        <w:rPr>
          <w:w w:val="110"/>
          <w:sz w:val="19"/>
        </w:rPr>
        <w:t>external/pubs/ft/weo/2007/01/pdf/text.pdf&gt;.</w:t>
      </w:r>
    </w:p>
    <w:p>
      <w:pPr>
        <w:pStyle w:val="BodyText"/>
        <w:tabs>
          <w:tab w:pos="621" w:val="left" w:leader="none"/>
        </w:tabs>
        <w:spacing w:line="252" w:lineRule="auto" w:before="28"/>
        <w:ind w:left="727" w:right="224" w:hanging="397"/>
      </w:pPr>
      <w:r>
        <w:rPr>
          <w:w w:val="128"/>
          <w:u w:val="single"/>
        </w:rPr>
        <w:t> </w:t>
      </w:r>
      <w:r>
        <w:rPr>
          <w:u w:val="single"/>
        </w:rPr>
        <w:tab/>
      </w:r>
      <w:r>
        <w:rPr>
          <w:w w:val="110"/>
        </w:rPr>
        <w:t>, 2008 </w:t>
      </w:r>
      <w:r>
        <w:rPr>
          <w:i/>
          <w:spacing w:val="-3"/>
          <w:w w:val="110"/>
        </w:rPr>
        <w:t>World </w:t>
      </w:r>
      <w:r>
        <w:rPr>
          <w:i/>
          <w:w w:val="110"/>
        </w:rPr>
        <w:t>Economic outlook</w:t>
      </w:r>
      <w:r>
        <w:rPr>
          <w:w w:val="110"/>
        </w:rPr>
        <w:t>, septiembre,</w:t>
      </w:r>
      <w:r>
        <w:rPr>
          <w:spacing w:val="18"/>
          <w:w w:val="110"/>
        </w:rPr>
        <w:t> </w:t>
      </w:r>
      <w:r>
        <w:rPr>
          <w:w w:val="110"/>
        </w:rPr>
        <w:t>en</w:t>
      </w:r>
      <w:r>
        <w:rPr>
          <w:spacing w:val="2"/>
          <w:w w:val="110"/>
        </w:rPr>
        <w:t> </w:t>
      </w:r>
      <w:r>
        <w:rPr>
          <w:w w:val="110"/>
        </w:rPr>
        <w:t>&lt;http://www.imf.</w:t>
      </w:r>
      <w:r>
        <w:rPr>
          <w:w w:val="120"/>
        </w:rPr>
        <w:t> </w:t>
      </w:r>
      <w:r>
        <w:rPr>
          <w:w w:val="110"/>
        </w:rPr>
        <w:t>org/external/pubs/ft/weo/2008/02/pdf/text.pdf&gt;.</w:t>
      </w:r>
    </w:p>
    <w:p>
      <w:pPr>
        <w:spacing w:line="252" w:lineRule="auto" w:before="28"/>
        <w:ind w:left="727" w:right="0" w:hanging="397"/>
        <w:jc w:val="left"/>
        <w:rPr>
          <w:sz w:val="19"/>
        </w:rPr>
      </w:pPr>
      <w:r>
        <w:rPr>
          <w:w w:val="110"/>
          <w:sz w:val="19"/>
        </w:rPr>
        <w:t>Frank, andré Gunder 1970 </w:t>
      </w:r>
      <w:r>
        <w:rPr>
          <w:i/>
          <w:w w:val="110"/>
          <w:sz w:val="19"/>
        </w:rPr>
        <w:t>Capitalismo y Subdesarrollo en América </w:t>
      </w:r>
      <w:r>
        <w:rPr>
          <w:i/>
          <w:w w:val="110"/>
          <w:sz w:val="19"/>
        </w:rPr>
        <w:t>Latina  </w:t>
      </w:r>
      <w:r>
        <w:rPr>
          <w:w w:val="110"/>
          <w:sz w:val="19"/>
        </w:rPr>
        <w:t>(buenos  aires:  Ed. signos).</w:t>
      </w:r>
    </w:p>
    <w:p>
      <w:pPr>
        <w:tabs>
          <w:tab w:pos="815" w:val="left" w:leader="none"/>
        </w:tabs>
        <w:spacing w:line="252" w:lineRule="auto" w:before="28"/>
        <w:ind w:left="727" w:right="219" w:hanging="397"/>
        <w:jc w:val="left"/>
        <w:rPr>
          <w:sz w:val="19"/>
        </w:rPr>
      </w:pPr>
      <w:r>
        <w:rPr>
          <w:w w:val="128"/>
          <w:sz w:val="19"/>
          <w:u w:val="single"/>
        </w:rPr>
        <w:t> </w:t>
      </w:r>
      <w:r>
        <w:rPr>
          <w:sz w:val="19"/>
          <w:u w:val="single"/>
        </w:rPr>
        <w:tab/>
        <w:tab/>
      </w:r>
      <w:r>
        <w:rPr>
          <w:w w:val="115"/>
          <w:sz w:val="19"/>
        </w:rPr>
        <w:t>,</w:t>
      </w:r>
      <w:r>
        <w:rPr>
          <w:spacing w:val="-7"/>
          <w:w w:val="115"/>
          <w:sz w:val="19"/>
        </w:rPr>
        <w:t> </w:t>
      </w:r>
      <w:r>
        <w:rPr>
          <w:w w:val="115"/>
          <w:sz w:val="19"/>
        </w:rPr>
        <w:t>1969</w:t>
      </w:r>
      <w:r>
        <w:rPr>
          <w:spacing w:val="-7"/>
          <w:w w:val="115"/>
          <w:sz w:val="19"/>
        </w:rPr>
        <w:t> </w:t>
      </w:r>
      <w:r>
        <w:rPr>
          <w:w w:val="115"/>
          <w:sz w:val="19"/>
        </w:rPr>
        <w:t>“the</w:t>
      </w:r>
      <w:r>
        <w:rPr>
          <w:spacing w:val="-7"/>
          <w:w w:val="115"/>
          <w:sz w:val="19"/>
        </w:rPr>
        <w:t> </w:t>
      </w:r>
      <w:r>
        <w:rPr>
          <w:w w:val="115"/>
          <w:sz w:val="19"/>
        </w:rPr>
        <w:t>development</w:t>
      </w:r>
      <w:r>
        <w:rPr>
          <w:spacing w:val="-7"/>
          <w:w w:val="115"/>
          <w:sz w:val="19"/>
        </w:rPr>
        <w:t> </w:t>
      </w:r>
      <w:r>
        <w:rPr>
          <w:w w:val="115"/>
          <w:sz w:val="19"/>
        </w:rPr>
        <w:t>of</w:t>
      </w:r>
      <w:r>
        <w:rPr>
          <w:spacing w:val="-7"/>
          <w:w w:val="115"/>
          <w:sz w:val="19"/>
        </w:rPr>
        <w:t> </w:t>
      </w:r>
      <w:r>
        <w:rPr>
          <w:w w:val="115"/>
          <w:sz w:val="19"/>
        </w:rPr>
        <w:t>underdevelopment”,</w:t>
      </w:r>
      <w:r>
        <w:rPr>
          <w:spacing w:val="-7"/>
          <w:w w:val="115"/>
          <w:sz w:val="19"/>
        </w:rPr>
        <w:t> </w:t>
      </w:r>
      <w:r>
        <w:rPr>
          <w:w w:val="115"/>
          <w:sz w:val="19"/>
        </w:rPr>
        <w:t>en</w:t>
      </w:r>
      <w:r>
        <w:rPr>
          <w:spacing w:val="-7"/>
          <w:w w:val="115"/>
          <w:sz w:val="19"/>
        </w:rPr>
        <w:t> </w:t>
      </w:r>
      <w:r>
        <w:rPr>
          <w:w w:val="115"/>
          <w:sz w:val="19"/>
        </w:rPr>
        <w:t>Michell</w:t>
      </w:r>
      <w:r>
        <w:rPr>
          <w:spacing w:val="-7"/>
          <w:w w:val="115"/>
          <w:sz w:val="19"/>
        </w:rPr>
        <w:t> </w:t>
      </w:r>
      <w:r>
        <w:rPr>
          <w:w w:val="115"/>
          <w:sz w:val="19"/>
        </w:rPr>
        <w:t>a.</w:t>
      </w:r>
      <w:r>
        <w:rPr>
          <w:w w:val="138"/>
          <w:sz w:val="19"/>
        </w:rPr>
        <w:t> </w:t>
      </w:r>
      <w:r>
        <w:rPr>
          <w:w w:val="115"/>
          <w:sz w:val="19"/>
        </w:rPr>
        <w:t>selingson y John </w:t>
      </w:r>
      <w:r>
        <w:rPr>
          <w:spacing w:val="-11"/>
          <w:w w:val="140"/>
          <w:sz w:val="19"/>
        </w:rPr>
        <w:t>t. </w:t>
      </w:r>
      <w:r>
        <w:rPr>
          <w:w w:val="115"/>
          <w:sz w:val="19"/>
        </w:rPr>
        <w:t>Passé-smith (eds.) 2008 </w:t>
      </w:r>
      <w:r>
        <w:rPr>
          <w:i/>
          <w:w w:val="115"/>
          <w:sz w:val="19"/>
        </w:rPr>
        <w:t>Development and </w:t>
      </w:r>
      <w:r>
        <w:rPr>
          <w:i/>
          <w:w w:val="115"/>
          <w:sz w:val="19"/>
        </w:rPr>
        <w:t>Underdevelopment: The Political Economy of Global Inequality </w:t>
      </w:r>
      <w:r>
        <w:rPr>
          <w:w w:val="98"/>
          <w:sz w:val="19"/>
        </w:rPr>
        <w:t>(</w:t>
      </w:r>
      <w:r>
        <w:rPr>
          <w:spacing w:val="-18"/>
          <w:w w:val="243"/>
          <w:sz w:val="19"/>
        </w:rPr>
        <w:t>l</w:t>
      </w:r>
      <w:r>
        <w:rPr>
          <w:w w:val="108"/>
          <w:sz w:val="19"/>
        </w:rPr>
        <w:t>ynne</w:t>
      </w:r>
      <w:r>
        <w:rPr>
          <w:spacing w:val="12"/>
          <w:sz w:val="19"/>
        </w:rPr>
        <w:t> </w:t>
      </w:r>
      <w:r>
        <w:rPr>
          <w:w w:val="182"/>
          <w:sz w:val="19"/>
        </w:rPr>
        <w:t>r</w:t>
      </w:r>
      <w:r>
        <w:rPr>
          <w:w w:val="108"/>
          <w:sz w:val="19"/>
        </w:rPr>
        <w:t>ienner</w:t>
      </w:r>
      <w:r>
        <w:rPr>
          <w:spacing w:val="12"/>
          <w:sz w:val="19"/>
        </w:rPr>
        <w:t> </w:t>
      </w:r>
      <w:r>
        <w:rPr>
          <w:w w:val="110"/>
          <w:sz w:val="19"/>
        </w:rPr>
        <w:t>Publishers).</w:t>
      </w:r>
    </w:p>
    <w:p>
      <w:pPr>
        <w:spacing w:after="0" w:line="252" w:lineRule="auto"/>
        <w:jc w:val="left"/>
        <w:rPr>
          <w:sz w:val="19"/>
        </w:rPr>
        <w:sectPr>
          <w:pgSz w:w="8790" w:h="12760"/>
          <w:pgMar w:header="697" w:footer="725" w:top="880" w:bottom="920" w:left="1200" w:right="920"/>
        </w:sectPr>
      </w:pPr>
    </w:p>
    <w:p>
      <w:pPr>
        <w:pStyle w:val="BodyText"/>
        <w:spacing w:before="9"/>
        <w:rPr>
          <w:sz w:val="28"/>
        </w:rPr>
      </w:pPr>
    </w:p>
    <w:p>
      <w:pPr>
        <w:spacing w:line="252" w:lineRule="auto" w:before="73"/>
        <w:ind w:left="497" w:right="0" w:hanging="397"/>
        <w:jc w:val="left"/>
        <w:rPr>
          <w:sz w:val="19"/>
        </w:rPr>
      </w:pPr>
      <w:r>
        <w:rPr>
          <w:w w:val="110"/>
          <w:sz w:val="19"/>
        </w:rPr>
        <w:t>Furtado, Celso 1970 </w:t>
      </w:r>
      <w:r>
        <w:rPr>
          <w:i/>
          <w:w w:val="110"/>
          <w:sz w:val="19"/>
        </w:rPr>
        <w:t>Les États-Unis et les Sous-Développement de </w:t>
      </w:r>
      <w:r>
        <w:rPr>
          <w:i/>
          <w:w w:val="109"/>
          <w:sz w:val="19"/>
        </w:rPr>
        <w:t>l´Amérique</w:t>
      </w:r>
      <w:r>
        <w:rPr>
          <w:i/>
          <w:sz w:val="19"/>
        </w:rPr>
        <w:t> </w:t>
      </w:r>
      <w:r>
        <w:rPr>
          <w:i/>
          <w:w w:val="109"/>
          <w:sz w:val="19"/>
        </w:rPr>
        <w:t>Latine</w:t>
      </w:r>
      <w:r>
        <w:rPr>
          <w:i/>
          <w:sz w:val="19"/>
        </w:rPr>
        <w:t> </w:t>
      </w:r>
      <w:r>
        <w:rPr>
          <w:w w:val="108"/>
          <w:sz w:val="19"/>
        </w:rPr>
        <w:t>(París:</w:t>
      </w:r>
      <w:r>
        <w:rPr>
          <w:sz w:val="19"/>
        </w:rPr>
        <w:t> </w:t>
      </w:r>
      <w:r>
        <w:rPr>
          <w:w w:val="113"/>
          <w:sz w:val="19"/>
        </w:rPr>
        <w:t>Editorial</w:t>
      </w:r>
      <w:r>
        <w:rPr>
          <w:sz w:val="19"/>
        </w:rPr>
        <w:t> </w:t>
      </w:r>
      <w:r>
        <w:rPr>
          <w:w w:val="113"/>
          <w:sz w:val="19"/>
        </w:rPr>
        <w:t>Calmann-</w:t>
      </w:r>
      <w:r>
        <w:rPr>
          <w:w w:val="243"/>
          <w:sz w:val="19"/>
        </w:rPr>
        <w:t>l</w:t>
      </w:r>
      <w:r>
        <w:rPr>
          <w:w w:val="106"/>
          <w:sz w:val="19"/>
        </w:rPr>
        <w:t>évy).</w:t>
      </w:r>
    </w:p>
    <w:p>
      <w:pPr>
        <w:spacing w:line="252" w:lineRule="auto" w:before="28"/>
        <w:ind w:left="497" w:right="379" w:hanging="397"/>
        <w:jc w:val="left"/>
        <w:rPr>
          <w:sz w:val="19"/>
        </w:rPr>
      </w:pPr>
      <w:r>
        <w:rPr>
          <w:w w:val="115"/>
          <w:sz w:val="19"/>
        </w:rPr>
        <w:t>Gandásegui, Marco a. (comp.) 2010 </w:t>
      </w:r>
      <w:r>
        <w:rPr>
          <w:i/>
          <w:w w:val="115"/>
          <w:sz w:val="19"/>
        </w:rPr>
        <w:t>Estados Unidos la crisis </w:t>
      </w:r>
      <w:r>
        <w:rPr>
          <w:i/>
          <w:w w:val="115"/>
          <w:sz w:val="19"/>
        </w:rPr>
        <w:t>sistémica</w:t>
      </w:r>
      <w:r>
        <w:rPr>
          <w:i/>
          <w:spacing w:val="-17"/>
          <w:w w:val="115"/>
          <w:sz w:val="19"/>
        </w:rPr>
        <w:t> </w:t>
      </w:r>
      <w:r>
        <w:rPr>
          <w:i/>
          <w:w w:val="115"/>
          <w:sz w:val="19"/>
        </w:rPr>
        <w:t>y</w:t>
      </w:r>
      <w:r>
        <w:rPr>
          <w:i/>
          <w:spacing w:val="-17"/>
          <w:w w:val="115"/>
          <w:sz w:val="19"/>
        </w:rPr>
        <w:t> </w:t>
      </w:r>
      <w:r>
        <w:rPr>
          <w:i/>
          <w:w w:val="115"/>
          <w:sz w:val="19"/>
        </w:rPr>
        <w:t>las</w:t>
      </w:r>
      <w:r>
        <w:rPr>
          <w:i/>
          <w:spacing w:val="-17"/>
          <w:w w:val="115"/>
          <w:sz w:val="19"/>
        </w:rPr>
        <w:t> </w:t>
      </w:r>
      <w:r>
        <w:rPr>
          <w:i/>
          <w:w w:val="115"/>
          <w:sz w:val="19"/>
        </w:rPr>
        <w:t>nuevas</w:t>
      </w:r>
      <w:r>
        <w:rPr>
          <w:i/>
          <w:spacing w:val="-17"/>
          <w:w w:val="115"/>
          <w:sz w:val="19"/>
        </w:rPr>
        <w:t> </w:t>
      </w:r>
      <w:r>
        <w:rPr>
          <w:i/>
          <w:w w:val="115"/>
          <w:sz w:val="19"/>
        </w:rPr>
        <w:t>condiciones</w:t>
      </w:r>
      <w:r>
        <w:rPr>
          <w:i/>
          <w:spacing w:val="-17"/>
          <w:w w:val="115"/>
          <w:sz w:val="19"/>
        </w:rPr>
        <w:t> </w:t>
      </w:r>
      <w:r>
        <w:rPr>
          <w:i/>
          <w:w w:val="115"/>
          <w:sz w:val="19"/>
        </w:rPr>
        <w:t>de</w:t>
      </w:r>
      <w:r>
        <w:rPr>
          <w:i/>
          <w:spacing w:val="-17"/>
          <w:w w:val="115"/>
          <w:sz w:val="19"/>
        </w:rPr>
        <w:t> </w:t>
      </w:r>
      <w:r>
        <w:rPr>
          <w:i/>
          <w:w w:val="115"/>
          <w:sz w:val="19"/>
        </w:rPr>
        <w:t>legitimación</w:t>
      </w:r>
      <w:r>
        <w:rPr>
          <w:i/>
          <w:spacing w:val="-17"/>
          <w:w w:val="115"/>
          <w:sz w:val="19"/>
        </w:rPr>
        <w:t> </w:t>
      </w:r>
      <w:r>
        <w:rPr>
          <w:w w:val="115"/>
          <w:sz w:val="19"/>
        </w:rPr>
        <w:t>(buenos</w:t>
      </w:r>
      <w:r>
        <w:rPr>
          <w:spacing w:val="-17"/>
          <w:w w:val="115"/>
          <w:sz w:val="19"/>
        </w:rPr>
        <w:t> </w:t>
      </w:r>
      <w:r>
        <w:rPr>
          <w:w w:val="115"/>
          <w:sz w:val="19"/>
        </w:rPr>
        <w:t>aires: siglo   </w:t>
      </w:r>
      <w:r>
        <w:rPr>
          <w:w w:val="130"/>
          <w:sz w:val="19"/>
        </w:rPr>
        <w:t>xxi </w:t>
      </w:r>
      <w:r>
        <w:rPr>
          <w:spacing w:val="25"/>
          <w:w w:val="130"/>
          <w:sz w:val="19"/>
        </w:rPr>
        <w:t> </w:t>
      </w:r>
      <w:r>
        <w:rPr>
          <w:w w:val="115"/>
          <w:sz w:val="19"/>
        </w:rPr>
        <w:t>Editores/ClaCso).</w:t>
      </w:r>
    </w:p>
    <w:p>
      <w:pPr>
        <w:tabs>
          <w:tab w:pos="1070" w:val="left" w:leader="none"/>
        </w:tabs>
        <w:spacing w:before="28"/>
        <w:ind w:left="100" w:right="0" w:firstLine="0"/>
        <w:jc w:val="left"/>
        <w:rPr>
          <w:i/>
          <w:sz w:val="19"/>
        </w:rPr>
      </w:pPr>
      <w:r>
        <w:rPr>
          <w:w w:val="128"/>
          <w:sz w:val="19"/>
          <w:u w:val="single"/>
        </w:rPr>
        <w:t> </w:t>
      </w:r>
      <w:r>
        <w:rPr>
          <w:sz w:val="19"/>
          <w:u w:val="single"/>
        </w:rPr>
        <w:tab/>
      </w:r>
      <w:r>
        <w:rPr>
          <w:w w:val="115"/>
          <w:sz w:val="19"/>
        </w:rPr>
        <w:t>,</w:t>
      </w:r>
      <w:r>
        <w:rPr>
          <w:spacing w:val="-16"/>
          <w:w w:val="115"/>
          <w:sz w:val="19"/>
        </w:rPr>
        <w:t> </w:t>
      </w:r>
      <w:r>
        <w:rPr>
          <w:w w:val="115"/>
          <w:sz w:val="19"/>
        </w:rPr>
        <w:t>(comp.)</w:t>
      </w:r>
      <w:r>
        <w:rPr>
          <w:spacing w:val="-16"/>
          <w:w w:val="115"/>
          <w:sz w:val="19"/>
        </w:rPr>
        <w:t> </w:t>
      </w:r>
      <w:r>
        <w:rPr>
          <w:w w:val="115"/>
          <w:sz w:val="19"/>
        </w:rPr>
        <w:t>2007</w:t>
      </w:r>
      <w:r>
        <w:rPr>
          <w:spacing w:val="-16"/>
          <w:w w:val="115"/>
          <w:sz w:val="19"/>
        </w:rPr>
        <w:t> </w:t>
      </w:r>
      <w:r>
        <w:rPr>
          <w:i/>
          <w:w w:val="115"/>
          <w:sz w:val="19"/>
        </w:rPr>
        <w:t>Crisis</w:t>
      </w:r>
      <w:r>
        <w:rPr>
          <w:i/>
          <w:spacing w:val="-16"/>
          <w:w w:val="115"/>
          <w:sz w:val="19"/>
        </w:rPr>
        <w:t> </w:t>
      </w:r>
      <w:r>
        <w:rPr>
          <w:i/>
          <w:w w:val="115"/>
          <w:sz w:val="19"/>
        </w:rPr>
        <w:t>de</w:t>
      </w:r>
      <w:r>
        <w:rPr>
          <w:i/>
          <w:spacing w:val="-16"/>
          <w:w w:val="115"/>
          <w:sz w:val="19"/>
        </w:rPr>
        <w:t> </w:t>
      </w:r>
      <w:r>
        <w:rPr>
          <w:i/>
          <w:w w:val="115"/>
          <w:sz w:val="19"/>
        </w:rPr>
        <w:t>hegemonía</w:t>
      </w:r>
      <w:r>
        <w:rPr>
          <w:i/>
          <w:spacing w:val="-16"/>
          <w:w w:val="115"/>
          <w:sz w:val="19"/>
        </w:rPr>
        <w:t> </w:t>
      </w:r>
      <w:r>
        <w:rPr>
          <w:i/>
          <w:w w:val="115"/>
          <w:sz w:val="19"/>
        </w:rPr>
        <w:t>de</w:t>
      </w:r>
      <w:r>
        <w:rPr>
          <w:i/>
          <w:spacing w:val="-16"/>
          <w:w w:val="115"/>
          <w:sz w:val="19"/>
        </w:rPr>
        <w:t> </w:t>
      </w:r>
      <w:r>
        <w:rPr>
          <w:i/>
          <w:w w:val="115"/>
          <w:sz w:val="19"/>
        </w:rPr>
        <w:t>Estados</w:t>
      </w:r>
      <w:r>
        <w:rPr>
          <w:i/>
          <w:spacing w:val="-16"/>
          <w:w w:val="115"/>
          <w:sz w:val="19"/>
        </w:rPr>
        <w:t> </w:t>
      </w:r>
      <w:r>
        <w:rPr>
          <w:i/>
          <w:w w:val="115"/>
          <w:sz w:val="19"/>
        </w:rPr>
        <w:t>Unidos</w:t>
      </w:r>
    </w:p>
    <w:p>
      <w:pPr>
        <w:pStyle w:val="BodyText"/>
        <w:spacing w:before="11"/>
        <w:ind w:left="497"/>
      </w:pPr>
      <w:r>
        <w:rPr>
          <w:w w:val="98"/>
        </w:rPr>
        <w:t>(</w:t>
      </w:r>
      <w:r>
        <w:rPr>
          <w:w w:val="134"/>
        </w:rPr>
        <w:t>b</w:t>
      </w:r>
      <w:r>
        <w:rPr>
          <w:w w:val="109"/>
        </w:rPr>
        <w:t>uenos</w:t>
      </w:r>
      <w:r>
        <w:rPr>
          <w:spacing w:val="12"/>
        </w:rPr>
        <w:t> </w:t>
      </w:r>
      <w:r>
        <w:rPr>
          <w:w w:val="139"/>
        </w:rPr>
        <w:t>a</w:t>
      </w:r>
      <w:r>
        <w:rPr>
          <w:w w:val="107"/>
        </w:rPr>
        <w:t>ires:</w:t>
      </w:r>
      <w:r>
        <w:rPr>
          <w:spacing w:val="12"/>
        </w:rPr>
        <w:t> </w:t>
      </w:r>
      <w:r>
        <w:rPr>
          <w:w w:val="124"/>
        </w:rPr>
        <w:t>C</w:t>
      </w:r>
      <w:r>
        <w:rPr>
          <w:w w:val="176"/>
        </w:rPr>
        <w:t>la</w:t>
      </w:r>
      <w:r>
        <w:rPr>
          <w:w w:val="124"/>
        </w:rPr>
        <w:t>C</w:t>
      </w:r>
      <w:r>
        <w:rPr>
          <w:w w:val="149"/>
        </w:rPr>
        <w:t>so</w:t>
      </w:r>
      <w:r>
        <w:rPr>
          <w:w w:val="57"/>
        </w:rPr>
        <w:t>/</w:t>
      </w:r>
      <w:r>
        <w:rPr>
          <w:w w:val="149"/>
        </w:rPr>
        <w:t>s</w:t>
      </w:r>
      <w:r>
        <w:rPr>
          <w:w w:val="111"/>
        </w:rPr>
        <w:t>iglo</w:t>
      </w:r>
      <w:r>
        <w:rPr>
          <w:spacing w:val="12"/>
        </w:rPr>
        <w:t> </w:t>
      </w:r>
      <w:r>
        <w:rPr>
          <w:w w:val="156"/>
        </w:rPr>
        <w:t>xxi</w:t>
      </w:r>
      <w:r>
        <w:rPr>
          <w:w w:val="112"/>
        </w:rPr>
        <w:t>).</w:t>
      </w:r>
    </w:p>
    <w:p>
      <w:pPr>
        <w:pStyle w:val="BodyText"/>
        <w:spacing w:line="252" w:lineRule="auto" w:before="39"/>
        <w:ind w:left="497" w:right="632" w:hanging="397"/>
      </w:pPr>
      <w:r>
        <w:rPr>
          <w:w w:val="115"/>
        </w:rPr>
        <w:t>Herrera Hernández, Jorge 2004 “business Cycle in Mexico and the united states: do they share Common Movements?”, en </w:t>
      </w:r>
      <w:r>
        <w:rPr>
          <w:i/>
          <w:w w:val="115"/>
        </w:rPr>
        <w:t>Journal of Applied Economics</w:t>
      </w:r>
      <w:r>
        <w:rPr>
          <w:w w:val="115"/>
        </w:rPr>
        <w:t>, Vol. Vii, Nº 2, noviembre, pp. </w:t>
      </w:r>
      <w:r>
        <w:rPr/>
        <w:t>303-323, en </w:t>
      </w:r>
      <w:hyperlink r:id="rId574">
        <w:r>
          <w:rPr/>
          <w:t>&lt;http://ageconsearch.umn.edu/bitstream/43546/2/</w:t>
        </w:r>
      </w:hyperlink>
      <w:r>
        <w:rPr/>
        <w:t> </w:t>
      </w:r>
      <w:r>
        <w:rPr>
          <w:w w:val="115"/>
        </w:rPr>
        <w:t>herrera.pdf&gt;.</w:t>
      </w:r>
    </w:p>
    <w:p>
      <w:pPr>
        <w:spacing w:line="252" w:lineRule="auto" w:before="28"/>
        <w:ind w:left="497" w:right="762" w:hanging="397"/>
        <w:jc w:val="left"/>
        <w:rPr>
          <w:sz w:val="19"/>
        </w:rPr>
      </w:pPr>
      <w:r>
        <w:rPr>
          <w:w w:val="110"/>
          <w:sz w:val="19"/>
        </w:rPr>
        <w:t>izquierdo, alejandro y talvi, Ernesto 2011 </w:t>
      </w:r>
      <w:r>
        <w:rPr>
          <w:i/>
          <w:w w:val="110"/>
          <w:sz w:val="19"/>
        </w:rPr>
        <w:t>one region, two speeds? </w:t>
      </w:r>
      <w:r>
        <w:rPr>
          <w:i/>
          <w:w w:val="110"/>
          <w:sz w:val="19"/>
        </w:rPr>
        <w:t>Challenges of the New Economic order for Latin America and the Caribbean</w:t>
      </w:r>
      <w:r>
        <w:rPr>
          <w:w w:val="110"/>
          <w:sz w:val="19"/>
        </w:rPr>
        <w:t>, banco interamericano de desarrollo    (bid),</w:t>
      </w:r>
    </w:p>
    <w:p>
      <w:pPr>
        <w:pStyle w:val="BodyText"/>
        <w:spacing w:line="252" w:lineRule="auto"/>
        <w:ind w:left="497" w:right="868"/>
      </w:pPr>
      <w:r>
        <w:rPr>
          <w:w w:val="105"/>
        </w:rPr>
        <w:t>en </w:t>
      </w:r>
      <w:r>
        <w:rPr>
          <w:i/>
          <w:w w:val="105"/>
        </w:rPr>
        <w:t>&lt;</w:t>
      </w:r>
      <w:hyperlink r:id="rId575">
        <w:r>
          <w:rPr>
            <w:w w:val="105"/>
          </w:rPr>
          <w:t>http://www.iadb.org/en/research-and-data/publication-</w:t>
        </w:r>
      </w:hyperlink>
      <w:r>
        <w:rPr>
          <w:w w:val="105"/>
        </w:rPr>
        <w:t> </w:t>
      </w:r>
      <w:r>
        <w:rPr>
          <w:w w:val="110"/>
        </w:rPr>
        <w:t>details,3169.html?pub_id=idb-mg-109&gt;.</w:t>
      </w:r>
    </w:p>
    <w:p>
      <w:pPr>
        <w:pStyle w:val="BodyText"/>
        <w:spacing w:line="252" w:lineRule="auto" w:before="28"/>
        <w:ind w:left="497" w:right="491" w:hanging="397"/>
      </w:pPr>
      <w:r>
        <w:rPr>
          <w:w w:val="110"/>
        </w:rPr>
        <w:t>Kose, ayhan M., Christopher otrok y Eswar Prasad 2012 “Global business Cycle: Convergence or decoupling?”, en </w:t>
      </w:r>
      <w:r>
        <w:rPr>
          <w:i/>
          <w:w w:val="110"/>
        </w:rPr>
        <w:t>International </w:t>
      </w:r>
      <w:r>
        <w:rPr>
          <w:i/>
          <w:w w:val="110"/>
        </w:rPr>
        <w:t>Economic Review</w:t>
      </w:r>
      <w:r>
        <w:rPr>
          <w:w w:val="110"/>
        </w:rPr>
        <w:t>, Vol. 53, issue 2, pp. 511-538, en &lt;http:// </w:t>
      </w:r>
      <w:r>
        <w:rPr>
          <w:w w:val="105"/>
        </w:rPr>
        <w:t>onlinelibrary.wiley.com/doi/10.1111/j.1468-2354.2012.00690.x/ </w:t>
      </w:r>
      <w:r>
        <w:rPr>
          <w:w w:val="110"/>
        </w:rPr>
        <w:t>pdf&gt;.</w:t>
      </w:r>
    </w:p>
    <w:p>
      <w:pPr>
        <w:tabs>
          <w:tab w:pos="585" w:val="left" w:leader="none"/>
        </w:tabs>
        <w:spacing w:line="252" w:lineRule="auto" w:before="28"/>
        <w:ind w:left="497" w:right="661" w:hanging="397"/>
        <w:jc w:val="left"/>
        <w:rPr>
          <w:sz w:val="19"/>
        </w:rPr>
      </w:pPr>
      <w:r>
        <w:rPr>
          <w:w w:val="128"/>
          <w:sz w:val="19"/>
          <w:u w:val="single"/>
        </w:rPr>
        <w:t> </w:t>
      </w:r>
      <w:r>
        <w:rPr>
          <w:sz w:val="19"/>
          <w:u w:val="single"/>
        </w:rPr>
        <w:tab/>
        <w:tab/>
      </w:r>
      <w:r>
        <w:rPr>
          <w:w w:val="110"/>
          <w:sz w:val="19"/>
        </w:rPr>
        <w:t>, Christopher otrok y Eswar Prasad 2008a  </w:t>
      </w:r>
      <w:r>
        <w:rPr>
          <w:spacing w:val="24"/>
          <w:w w:val="110"/>
          <w:sz w:val="19"/>
        </w:rPr>
        <w:t> </w:t>
      </w:r>
      <w:r>
        <w:rPr>
          <w:i/>
          <w:w w:val="110"/>
          <w:sz w:val="19"/>
        </w:rPr>
        <w:t>How</w:t>
      </w:r>
      <w:r>
        <w:rPr>
          <w:i/>
          <w:spacing w:val="16"/>
          <w:w w:val="110"/>
          <w:sz w:val="19"/>
        </w:rPr>
        <w:t> </w:t>
      </w:r>
      <w:r>
        <w:rPr>
          <w:i/>
          <w:w w:val="110"/>
          <w:sz w:val="19"/>
        </w:rPr>
        <w:t>much</w:t>
      </w:r>
      <w:r>
        <w:rPr>
          <w:i/>
          <w:w w:val="116"/>
          <w:sz w:val="19"/>
        </w:rPr>
        <w:t> </w:t>
      </w:r>
      <w:r>
        <w:rPr>
          <w:i/>
          <w:w w:val="110"/>
          <w:sz w:val="19"/>
        </w:rPr>
        <w:t>Decoupling? How much Converging?</w:t>
      </w:r>
      <w:r>
        <w:rPr>
          <w:w w:val="110"/>
          <w:sz w:val="19"/>
        </w:rPr>
        <w:t>, en</w:t>
      </w:r>
      <w:r>
        <w:rPr>
          <w:spacing w:val="-28"/>
          <w:w w:val="110"/>
          <w:sz w:val="19"/>
        </w:rPr>
        <w:t> </w:t>
      </w:r>
      <w:hyperlink r:id="rId573">
        <w:r>
          <w:rPr>
            <w:w w:val="110"/>
            <w:sz w:val="19"/>
          </w:rPr>
          <w:t>&lt;http://www.imf.org/</w:t>
        </w:r>
      </w:hyperlink>
      <w:r>
        <w:rPr>
          <w:w w:val="110"/>
          <w:sz w:val="19"/>
        </w:rPr>
        <w:t> external/pubs/ft/fandd/2008/06/pdf/kose.pdf&gt;.</w:t>
      </w:r>
    </w:p>
    <w:p>
      <w:pPr>
        <w:spacing w:line="252" w:lineRule="auto" w:before="28"/>
        <w:ind w:left="497" w:right="352" w:hanging="397"/>
        <w:jc w:val="left"/>
        <w:rPr>
          <w:sz w:val="19"/>
        </w:rPr>
      </w:pPr>
      <w:r>
        <w:rPr>
          <w:w w:val="243"/>
          <w:sz w:val="19"/>
        </w:rPr>
        <w:t>l</w:t>
      </w:r>
      <w:r>
        <w:rPr>
          <w:w w:val="103"/>
          <w:sz w:val="19"/>
        </w:rPr>
        <w:t>evy</w:t>
      </w:r>
      <w:r>
        <w:rPr>
          <w:sz w:val="19"/>
        </w:rPr>
        <w:t> </w:t>
      </w:r>
      <w:r>
        <w:rPr>
          <w:w w:val="126"/>
          <w:sz w:val="19"/>
        </w:rPr>
        <w:t>Y</w:t>
      </w:r>
      <w:r>
        <w:rPr>
          <w:w w:val="110"/>
          <w:sz w:val="19"/>
        </w:rPr>
        <w:t>eyati,</w:t>
      </w:r>
      <w:r>
        <w:rPr>
          <w:sz w:val="19"/>
        </w:rPr>
        <w:t> </w:t>
      </w:r>
      <w:r>
        <w:rPr>
          <w:w w:val="112"/>
          <w:sz w:val="19"/>
        </w:rPr>
        <w:t>Eduardo</w:t>
      </w:r>
      <w:r>
        <w:rPr>
          <w:sz w:val="19"/>
        </w:rPr>
        <w:t> </w:t>
      </w:r>
      <w:r>
        <w:rPr>
          <w:w w:val="105"/>
          <w:sz w:val="19"/>
        </w:rPr>
        <w:t>y</w:t>
      </w:r>
      <w:r>
        <w:rPr>
          <w:sz w:val="19"/>
        </w:rPr>
        <w:t> </w:t>
      </w:r>
      <w:r>
        <w:rPr>
          <w:w w:val="110"/>
          <w:sz w:val="19"/>
        </w:rPr>
        <w:t>W</w:t>
      </w:r>
      <w:r>
        <w:rPr>
          <w:w w:val="113"/>
          <w:sz w:val="19"/>
        </w:rPr>
        <w:t>illiams,</w:t>
      </w:r>
      <w:r>
        <w:rPr>
          <w:sz w:val="19"/>
        </w:rPr>
        <w:t> </w:t>
      </w:r>
      <w:r>
        <w:rPr>
          <w:w w:val="195"/>
          <w:sz w:val="19"/>
        </w:rPr>
        <w:t>t</w:t>
      </w:r>
      <w:r>
        <w:rPr>
          <w:w w:val="111"/>
          <w:sz w:val="19"/>
        </w:rPr>
        <w:t>homas</w:t>
      </w:r>
      <w:r>
        <w:rPr>
          <w:sz w:val="19"/>
        </w:rPr>
        <w:t> </w:t>
      </w:r>
      <w:r>
        <w:rPr>
          <w:w w:val="102"/>
          <w:sz w:val="19"/>
        </w:rPr>
        <w:t>2012</w:t>
      </w:r>
      <w:r>
        <w:rPr>
          <w:sz w:val="19"/>
        </w:rPr>
        <w:t> </w:t>
      </w:r>
      <w:r>
        <w:rPr>
          <w:i/>
          <w:w w:val="108"/>
          <w:sz w:val="19"/>
        </w:rPr>
        <w:t>Emerging</w:t>
      </w:r>
      <w:r>
        <w:rPr>
          <w:i/>
          <w:sz w:val="19"/>
        </w:rPr>
        <w:t> </w:t>
      </w:r>
      <w:r>
        <w:rPr>
          <w:i/>
          <w:w w:val="114"/>
          <w:sz w:val="19"/>
        </w:rPr>
        <w:t>Economies</w:t>
      </w:r>
      <w:r>
        <w:rPr>
          <w:i/>
          <w:w w:val="114"/>
          <w:sz w:val="19"/>
        </w:rPr>
        <w:t> </w:t>
      </w:r>
      <w:r>
        <w:rPr>
          <w:i/>
          <w:w w:val="115"/>
          <w:sz w:val="19"/>
        </w:rPr>
        <w:t>in the 2000s. Real decoupling, financial recoupling</w:t>
      </w:r>
      <w:r>
        <w:rPr>
          <w:w w:val="115"/>
          <w:sz w:val="19"/>
        </w:rPr>
        <w:t>, banco Mundial, Policy research Working Paper 5961, WPs5961.</w:t>
      </w:r>
    </w:p>
    <w:p>
      <w:pPr>
        <w:pStyle w:val="BodyText"/>
        <w:spacing w:line="252" w:lineRule="auto" w:before="28"/>
        <w:ind w:left="497" w:right="530" w:hanging="397"/>
        <w:jc w:val="both"/>
      </w:pPr>
      <w:r>
        <w:rPr>
          <w:w w:val="111"/>
        </w:rPr>
        <w:t>Martínez</w:t>
      </w:r>
      <w:r>
        <w:rPr>
          <w:spacing w:val="12"/>
        </w:rPr>
        <w:t> </w:t>
      </w:r>
      <w:r>
        <w:rPr>
          <w:w w:val="139"/>
        </w:rPr>
        <w:t>a</w:t>
      </w:r>
      <w:r>
        <w:rPr>
          <w:w w:val="112"/>
        </w:rPr>
        <w:t>lfonso,</w:t>
      </w:r>
      <w:r>
        <w:rPr>
          <w:spacing w:val="12"/>
        </w:rPr>
        <w:t> </w:t>
      </w:r>
      <w:r>
        <w:rPr>
          <w:w w:val="243"/>
        </w:rPr>
        <w:t>l</w:t>
      </w:r>
      <w:r>
        <w:rPr>
          <w:w w:val="109"/>
        </w:rPr>
        <w:t>aneydi</w:t>
      </w:r>
      <w:r>
        <w:rPr>
          <w:spacing w:val="12"/>
        </w:rPr>
        <w:t> </w:t>
      </w:r>
      <w:r>
        <w:rPr>
          <w:w w:val="102"/>
        </w:rPr>
        <w:t>2014</w:t>
      </w:r>
      <w:r>
        <w:rPr>
          <w:spacing w:val="12"/>
        </w:rPr>
        <w:t> </w:t>
      </w:r>
      <w:r>
        <w:rPr>
          <w:w w:val="114"/>
        </w:rPr>
        <w:t>“Ciclos</w:t>
      </w:r>
      <w:r>
        <w:rPr>
          <w:spacing w:val="12"/>
        </w:rPr>
        <w:t> </w:t>
      </w:r>
      <w:r>
        <w:rPr>
          <w:w w:val="111"/>
        </w:rPr>
        <w:t>económicos</w:t>
      </w:r>
      <w:r>
        <w:rPr>
          <w:spacing w:val="12"/>
        </w:rPr>
        <w:t> </w:t>
      </w:r>
      <w:r>
        <w:rPr>
          <w:w w:val="105"/>
        </w:rPr>
        <w:t>y</w:t>
      </w:r>
      <w:r>
        <w:rPr>
          <w:spacing w:val="12"/>
        </w:rPr>
        <w:t> </w:t>
      </w:r>
      <w:r>
        <w:rPr>
          <w:w w:val="111"/>
        </w:rPr>
        <w:t>mecanismos </w:t>
      </w:r>
      <w:r>
        <w:rPr>
          <w:w w:val="115"/>
        </w:rPr>
        <w:t>de</w:t>
      </w:r>
      <w:r>
        <w:rPr>
          <w:spacing w:val="-15"/>
          <w:w w:val="115"/>
        </w:rPr>
        <w:t> </w:t>
      </w:r>
      <w:r>
        <w:rPr>
          <w:w w:val="115"/>
        </w:rPr>
        <w:t>transmisión</w:t>
      </w:r>
      <w:r>
        <w:rPr>
          <w:spacing w:val="-15"/>
          <w:w w:val="115"/>
        </w:rPr>
        <w:t> </w:t>
      </w:r>
      <w:r>
        <w:rPr>
          <w:w w:val="115"/>
        </w:rPr>
        <w:t>de</w:t>
      </w:r>
      <w:r>
        <w:rPr>
          <w:spacing w:val="-15"/>
          <w:w w:val="115"/>
        </w:rPr>
        <w:t> </w:t>
      </w:r>
      <w:r>
        <w:rPr>
          <w:w w:val="115"/>
        </w:rPr>
        <w:t>shocks</w:t>
      </w:r>
      <w:r>
        <w:rPr>
          <w:spacing w:val="-15"/>
          <w:w w:val="115"/>
        </w:rPr>
        <w:t> </w:t>
      </w:r>
      <w:r>
        <w:rPr>
          <w:w w:val="115"/>
        </w:rPr>
        <w:t>desde</w:t>
      </w:r>
      <w:r>
        <w:rPr>
          <w:spacing w:val="-15"/>
          <w:w w:val="115"/>
        </w:rPr>
        <w:t> </w:t>
      </w:r>
      <w:r>
        <w:rPr>
          <w:w w:val="115"/>
        </w:rPr>
        <w:t>Estados</w:t>
      </w:r>
      <w:r>
        <w:rPr>
          <w:spacing w:val="-15"/>
          <w:w w:val="115"/>
        </w:rPr>
        <w:t> </w:t>
      </w:r>
      <w:r>
        <w:rPr>
          <w:w w:val="115"/>
        </w:rPr>
        <w:t>unidos</w:t>
      </w:r>
      <w:r>
        <w:rPr>
          <w:spacing w:val="-15"/>
          <w:w w:val="115"/>
        </w:rPr>
        <w:t> </w:t>
      </w:r>
      <w:r>
        <w:rPr>
          <w:w w:val="115"/>
        </w:rPr>
        <w:t>hacia</w:t>
      </w:r>
      <w:r>
        <w:rPr>
          <w:spacing w:val="-15"/>
          <w:w w:val="115"/>
        </w:rPr>
        <w:t> </w:t>
      </w:r>
      <w:r>
        <w:rPr>
          <w:w w:val="115"/>
        </w:rPr>
        <w:t>américa </w:t>
      </w:r>
      <w:r>
        <w:rPr>
          <w:w w:val="243"/>
        </w:rPr>
        <w:t>l</w:t>
      </w:r>
      <w:r>
        <w:rPr>
          <w:w w:val="111"/>
        </w:rPr>
        <w:t>atina</w:t>
      </w:r>
      <w:r>
        <w:rPr>
          <w:spacing w:val="12"/>
        </w:rPr>
        <w:t> </w:t>
      </w:r>
      <w:r>
        <w:rPr>
          <w:w w:val="105"/>
        </w:rPr>
        <w:t>y</w:t>
      </w:r>
      <w:r>
        <w:rPr>
          <w:spacing w:val="12"/>
        </w:rPr>
        <w:t> </w:t>
      </w:r>
      <w:r>
        <w:rPr>
          <w:w w:val="107"/>
        </w:rPr>
        <w:t>el</w:t>
      </w:r>
      <w:r>
        <w:rPr>
          <w:spacing w:val="12"/>
        </w:rPr>
        <w:t> </w:t>
      </w:r>
      <w:r>
        <w:rPr>
          <w:w w:val="111"/>
        </w:rPr>
        <w:t>Caribe:</w:t>
      </w:r>
      <w:r>
        <w:rPr>
          <w:spacing w:val="12"/>
        </w:rPr>
        <w:t> </w:t>
      </w:r>
      <w:r>
        <w:rPr>
          <w:w w:val="112"/>
        </w:rPr>
        <w:t>una</w:t>
      </w:r>
      <w:r>
        <w:rPr>
          <w:spacing w:val="12"/>
        </w:rPr>
        <w:t> </w:t>
      </w:r>
      <w:r>
        <w:rPr>
          <w:w w:val="105"/>
        </w:rPr>
        <w:t>breve</w:t>
      </w:r>
      <w:r>
        <w:rPr>
          <w:spacing w:val="12"/>
        </w:rPr>
        <w:t> </w:t>
      </w:r>
      <w:r>
        <w:rPr>
          <w:w w:val="112"/>
        </w:rPr>
        <w:t>aproximación”,</w:t>
      </w:r>
      <w:r>
        <w:rPr>
          <w:spacing w:val="12"/>
        </w:rPr>
        <w:t> </w:t>
      </w:r>
      <w:r>
        <w:rPr>
          <w:w w:val="108"/>
        </w:rPr>
        <w:t>en</w:t>
      </w:r>
      <w:r>
        <w:rPr>
          <w:spacing w:val="12"/>
        </w:rPr>
        <w:t> </w:t>
      </w:r>
      <w:r>
        <w:rPr>
          <w:i/>
          <w:w w:val="111"/>
        </w:rPr>
        <w:t>Revista</w:t>
      </w:r>
      <w:r>
        <w:rPr>
          <w:i/>
          <w:spacing w:val="12"/>
        </w:rPr>
        <w:t> </w:t>
      </w:r>
      <w:r>
        <w:rPr>
          <w:i/>
          <w:spacing w:val="-22"/>
          <w:w w:val="108"/>
        </w:rPr>
        <w:t>T</w:t>
      </w:r>
      <w:r>
        <w:rPr>
          <w:i/>
          <w:w w:val="110"/>
        </w:rPr>
        <w:t>emas</w:t>
      </w:r>
      <w:r>
        <w:rPr>
          <w:i/>
          <w:w w:val="110"/>
        </w:rPr>
        <w:t> </w:t>
      </w:r>
      <w:r>
        <w:rPr>
          <w:i/>
          <w:w w:val="104"/>
        </w:rPr>
        <w:t>de</w:t>
      </w:r>
      <w:r>
        <w:rPr>
          <w:i/>
          <w:spacing w:val="12"/>
        </w:rPr>
        <w:t> </w:t>
      </w:r>
      <w:r>
        <w:rPr>
          <w:i/>
          <w:w w:val="114"/>
        </w:rPr>
        <w:t>Economía</w:t>
      </w:r>
      <w:r>
        <w:rPr>
          <w:i/>
          <w:spacing w:val="12"/>
        </w:rPr>
        <w:t> </w:t>
      </w:r>
      <w:r>
        <w:rPr>
          <w:i/>
          <w:w w:val="114"/>
        </w:rPr>
        <w:t>Mundial</w:t>
      </w:r>
      <w:r>
        <w:rPr>
          <w:w w:val="138"/>
        </w:rPr>
        <w:t>,</w:t>
      </w:r>
      <w:r>
        <w:rPr>
          <w:spacing w:val="12"/>
        </w:rPr>
        <w:t> </w:t>
      </w:r>
      <w:r>
        <w:rPr>
          <w:w w:val="119"/>
        </w:rPr>
        <w:t>V</w:t>
      </w:r>
      <w:r>
        <w:rPr>
          <w:spacing w:val="12"/>
        </w:rPr>
        <w:t> </w:t>
      </w:r>
      <w:r>
        <w:rPr>
          <w:w w:val="115"/>
        </w:rPr>
        <w:t>Edición</w:t>
      </w:r>
      <w:r>
        <w:rPr>
          <w:spacing w:val="12"/>
        </w:rPr>
        <w:t> </w:t>
      </w:r>
      <w:r>
        <w:rPr>
          <w:w w:val="114"/>
        </w:rPr>
        <w:t>Especial,</w:t>
      </w:r>
      <w:r>
        <w:rPr>
          <w:spacing w:val="12"/>
        </w:rPr>
        <w:t> </w:t>
      </w:r>
      <w:r>
        <w:rPr>
          <w:w w:val="110"/>
        </w:rPr>
        <w:t>Nueva</w:t>
      </w:r>
      <w:r>
        <w:rPr>
          <w:spacing w:val="12"/>
        </w:rPr>
        <w:t> </w:t>
      </w:r>
      <w:r>
        <w:rPr>
          <w:w w:val="115"/>
        </w:rPr>
        <w:t>Época</w:t>
      </w:r>
      <w:r>
        <w:rPr>
          <w:spacing w:val="12"/>
        </w:rPr>
        <w:t> </w:t>
      </w:r>
      <w:r>
        <w:rPr>
          <w:w w:val="142"/>
        </w:rPr>
        <w:t>ii</w:t>
      </w:r>
      <w:r>
        <w:rPr>
          <w:w w:val="138"/>
        </w:rPr>
        <w:t>,</w:t>
      </w:r>
      <w:r>
        <w:rPr>
          <w:spacing w:val="12"/>
        </w:rPr>
        <w:t> </w:t>
      </w:r>
      <w:r>
        <w:rPr>
          <w:w w:val="243"/>
        </w:rPr>
        <w:t>l</w:t>
      </w:r>
      <w:r>
        <w:rPr>
          <w:w w:val="112"/>
        </w:rPr>
        <w:t>a </w:t>
      </w:r>
      <w:r>
        <w:rPr>
          <w:w w:val="115"/>
        </w:rPr>
        <w:t>Habana, Cuba, marzo</w:t>
      </w:r>
      <w:r>
        <w:rPr>
          <w:spacing w:val="-31"/>
          <w:w w:val="115"/>
        </w:rPr>
        <w:t> </w:t>
      </w:r>
      <w:r>
        <w:rPr>
          <w:w w:val="115"/>
        </w:rPr>
        <w:t>2014.</w:t>
      </w:r>
    </w:p>
    <w:p>
      <w:pPr>
        <w:tabs>
          <w:tab w:pos="973" w:val="left" w:leader="none"/>
        </w:tabs>
        <w:spacing w:line="252" w:lineRule="auto" w:before="28"/>
        <w:ind w:left="497" w:right="528" w:hanging="397"/>
        <w:jc w:val="left"/>
        <w:rPr>
          <w:sz w:val="19"/>
        </w:rPr>
      </w:pPr>
      <w:r>
        <w:rPr>
          <w:w w:val="128"/>
          <w:sz w:val="19"/>
          <w:u w:val="single"/>
        </w:rPr>
        <w:t> </w:t>
      </w:r>
      <w:r>
        <w:rPr>
          <w:sz w:val="19"/>
          <w:u w:val="single"/>
        </w:rPr>
        <w:tab/>
        <w:tab/>
      </w:r>
      <w:r>
        <w:rPr>
          <w:w w:val="110"/>
          <w:sz w:val="19"/>
        </w:rPr>
        <w:t>, y Cobarrubias, Katia 2009  </w:t>
      </w:r>
      <w:r>
        <w:rPr>
          <w:spacing w:val="34"/>
          <w:w w:val="110"/>
          <w:sz w:val="19"/>
        </w:rPr>
        <w:t> </w:t>
      </w:r>
      <w:r>
        <w:rPr>
          <w:w w:val="110"/>
          <w:sz w:val="19"/>
        </w:rPr>
        <w:t>“Estados</w:t>
      </w:r>
      <w:r>
        <w:rPr>
          <w:spacing w:val="25"/>
          <w:w w:val="110"/>
          <w:sz w:val="19"/>
        </w:rPr>
        <w:t> </w:t>
      </w:r>
      <w:r>
        <w:rPr>
          <w:w w:val="110"/>
          <w:sz w:val="19"/>
        </w:rPr>
        <w:t>unidos-américa</w:t>
      </w:r>
      <w:r>
        <w:rPr>
          <w:w w:val="111"/>
          <w:sz w:val="19"/>
        </w:rPr>
        <w:t> </w:t>
      </w:r>
      <w:r>
        <w:rPr>
          <w:w w:val="243"/>
          <w:sz w:val="19"/>
        </w:rPr>
        <w:t>l</w:t>
      </w:r>
      <w:r>
        <w:rPr>
          <w:w w:val="111"/>
          <w:sz w:val="19"/>
        </w:rPr>
        <w:t>atina</w:t>
      </w:r>
      <w:r>
        <w:rPr>
          <w:spacing w:val="12"/>
          <w:sz w:val="19"/>
        </w:rPr>
        <w:t> </w:t>
      </w:r>
      <w:r>
        <w:rPr>
          <w:w w:val="105"/>
          <w:sz w:val="19"/>
        </w:rPr>
        <w:t>y</w:t>
      </w:r>
      <w:r>
        <w:rPr>
          <w:spacing w:val="12"/>
          <w:sz w:val="19"/>
        </w:rPr>
        <w:t> </w:t>
      </w:r>
      <w:r>
        <w:rPr>
          <w:w w:val="107"/>
          <w:sz w:val="19"/>
        </w:rPr>
        <w:t>el</w:t>
      </w:r>
      <w:r>
        <w:rPr>
          <w:spacing w:val="12"/>
          <w:sz w:val="19"/>
        </w:rPr>
        <w:t> </w:t>
      </w:r>
      <w:r>
        <w:rPr>
          <w:w w:val="111"/>
          <w:sz w:val="19"/>
        </w:rPr>
        <w:t>Caribe:</w:t>
      </w:r>
      <w:r>
        <w:rPr>
          <w:spacing w:val="12"/>
          <w:sz w:val="19"/>
        </w:rPr>
        <w:t> </w:t>
      </w:r>
      <w:r>
        <w:rPr>
          <w:w w:val="110"/>
          <w:sz w:val="19"/>
        </w:rPr>
        <w:t>impulsos</w:t>
      </w:r>
      <w:r>
        <w:rPr>
          <w:spacing w:val="12"/>
          <w:sz w:val="19"/>
        </w:rPr>
        <w:t> </w:t>
      </w:r>
      <w:r>
        <w:rPr>
          <w:w w:val="114"/>
          <w:sz w:val="19"/>
        </w:rPr>
        <w:t>cíclicos,</w:t>
      </w:r>
      <w:r>
        <w:rPr>
          <w:spacing w:val="12"/>
          <w:sz w:val="19"/>
        </w:rPr>
        <w:t> </w:t>
      </w:r>
      <w:r>
        <w:rPr>
          <w:w w:val="109"/>
          <w:sz w:val="19"/>
        </w:rPr>
        <w:t>dependencia</w:t>
      </w:r>
      <w:r>
        <w:rPr>
          <w:spacing w:val="12"/>
          <w:sz w:val="19"/>
        </w:rPr>
        <w:t> </w:t>
      </w:r>
      <w:r>
        <w:rPr>
          <w:w w:val="105"/>
          <w:sz w:val="19"/>
        </w:rPr>
        <w:t>y </w:t>
      </w:r>
      <w:r>
        <w:rPr>
          <w:w w:val="110"/>
          <w:sz w:val="19"/>
        </w:rPr>
        <w:t>vulnerabilidad”,  en  Julio  Gambina  y  Jaime  Estay  (eds.) </w:t>
      </w:r>
      <w:r>
        <w:rPr>
          <w:i/>
          <w:w w:val="110"/>
          <w:sz w:val="19"/>
        </w:rPr>
        <w:t>Economía Mundial, Corporaciones Transnacionales y Economías </w:t>
      </w:r>
      <w:r>
        <w:rPr>
          <w:i/>
          <w:w w:val="110"/>
          <w:sz w:val="19"/>
        </w:rPr>
        <w:t>Nacionales </w:t>
      </w:r>
      <w:r>
        <w:rPr>
          <w:w w:val="110"/>
          <w:sz w:val="19"/>
        </w:rPr>
        <w:t>(buenos aires: ClaCso), en </w:t>
      </w:r>
      <w:hyperlink r:id="rId576">
        <w:r>
          <w:rPr>
            <w:w w:val="110"/>
            <w:sz w:val="19"/>
          </w:rPr>
          <w:t>&lt;http://biblioteca.clacso.</w:t>
        </w:r>
      </w:hyperlink>
      <w:r>
        <w:rPr>
          <w:w w:val="110"/>
          <w:sz w:val="19"/>
        </w:rPr>
        <w:t> edu.ar/ar/libros/grupos/estay.gam.pdf&gt;.</w:t>
      </w:r>
    </w:p>
    <w:p>
      <w:pPr>
        <w:pStyle w:val="BodyText"/>
        <w:tabs>
          <w:tab w:pos="876" w:val="left" w:leader="none"/>
        </w:tabs>
        <w:spacing w:line="252" w:lineRule="auto" w:before="28"/>
        <w:ind w:left="497" w:right="439" w:hanging="397"/>
      </w:pPr>
      <w:r>
        <w:rPr>
          <w:w w:val="128"/>
          <w:u w:val="single"/>
        </w:rPr>
        <w:t> </w:t>
      </w:r>
      <w:r>
        <w:rPr>
          <w:u w:val="single"/>
        </w:rPr>
        <w:tab/>
        <w:tab/>
      </w:r>
      <w:r>
        <w:rPr>
          <w:w w:val="110"/>
        </w:rPr>
        <w:t>, 2006 “implicaciones globales del</w:t>
      </w:r>
      <w:r>
        <w:rPr>
          <w:spacing w:val="29"/>
          <w:w w:val="110"/>
        </w:rPr>
        <w:t> </w:t>
      </w:r>
      <w:r>
        <w:rPr>
          <w:w w:val="110"/>
        </w:rPr>
        <w:t>desequilibrio</w:t>
      </w:r>
      <w:r>
        <w:rPr>
          <w:spacing w:val="5"/>
          <w:w w:val="110"/>
        </w:rPr>
        <w:t> </w:t>
      </w:r>
      <w:r>
        <w:rPr>
          <w:w w:val="110"/>
        </w:rPr>
        <w:t>externo</w:t>
      </w:r>
      <w:r>
        <w:rPr>
          <w:w w:val="107"/>
        </w:rPr>
        <w:t> </w:t>
      </w:r>
      <w:r>
        <w:rPr>
          <w:w w:val="111"/>
        </w:rPr>
        <w:t>norteamericano”,</w:t>
      </w:r>
      <w:r>
        <w:rPr>
          <w:spacing w:val="12"/>
        </w:rPr>
        <w:t> </w:t>
      </w:r>
      <w:r>
        <w:rPr>
          <w:w w:val="108"/>
        </w:rPr>
        <w:t>en</w:t>
      </w:r>
      <w:r>
        <w:rPr>
          <w:spacing w:val="12"/>
        </w:rPr>
        <w:t> </w:t>
      </w:r>
      <w:r>
        <w:rPr>
          <w:i/>
          <w:w w:val="110"/>
        </w:rPr>
        <w:t>Política</w:t>
      </w:r>
      <w:r>
        <w:rPr>
          <w:i/>
          <w:spacing w:val="12"/>
        </w:rPr>
        <w:t> </w:t>
      </w:r>
      <w:r>
        <w:rPr>
          <w:i/>
          <w:w w:val="110"/>
        </w:rPr>
        <w:t>Internacional</w:t>
      </w:r>
      <w:r>
        <w:rPr>
          <w:w w:val="138"/>
        </w:rPr>
        <w:t>,</w:t>
      </w:r>
      <w:r>
        <w:rPr>
          <w:spacing w:val="12"/>
        </w:rPr>
        <w:t> </w:t>
      </w:r>
      <w:r>
        <w:rPr>
          <w:w w:val="105"/>
        </w:rPr>
        <w:t>Nº</w:t>
      </w:r>
      <w:r>
        <w:rPr>
          <w:spacing w:val="12"/>
        </w:rPr>
        <w:t> </w:t>
      </w:r>
      <w:r>
        <w:rPr>
          <w:w w:val="112"/>
        </w:rPr>
        <w:t>7,</w:t>
      </w:r>
      <w:r>
        <w:rPr>
          <w:spacing w:val="12"/>
        </w:rPr>
        <w:t> </w:t>
      </w:r>
      <w:r>
        <w:rPr>
          <w:w w:val="109"/>
        </w:rPr>
        <w:t>enero-julio</w:t>
      </w:r>
      <w:r>
        <w:rPr>
          <w:spacing w:val="12"/>
        </w:rPr>
        <w:t> </w:t>
      </w:r>
      <w:r>
        <w:rPr>
          <w:w w:val="98"/>
        </w:rPr>
        <w:t>(</w:t>
      </w:r>
      <w:r>
        <w:rPr>
          <w:w w:val="243"/>
        </w:rPr>
        <w:t>l</w:t>
      </w:r>
      <w:r>
        <w:rPr>
          <w:w w:val="112"/>
        </w:rPr>
        <w:t>a </w:t>
      </w:r>
      <w:r>
        <w:rPr>
          <w:w w:val="115"/>
        </w:rPr>
        <w:t>Habana:  </w:t>
      </w:r>
      <w:r>
        <w:rPr>
          <w:spacing w:val="35"/>
          <w:w w:val="115"/>
        </w:rPr>
        <w:t> </w:t>
      </w:r>
      <w:r>
        <w:rPr>
          <w:w w:val="125"/>
        </w:rPr>
        <w:t>isri-MiNrEx).</w:t>
      </w:r>
    </w:p>
    <w:p>
      <w:pPr>
        <w:spacing w:after="0" w:line="252" w:lineRule="auto"/>
        <w:sectPr>
          <w:pgSz w:w="8790" w:h="12760"/>
          <w:pgMar w:header="695" w:footer="723" w:top="880" w:bottom="920" w:left="920" w:right="1200"/>
        </w:sectPr>
      </w:pPr>
    </w:p>
    <w:p>
      <w:pPr>
        <w:pStyle w:val="BodyText"/>
        <w:spacing w:before="7"/>
        <w:rPr>
          <w:sz w:val="28"/>
        </w:rPr>
      </w:pPr>
    </w:p>
    <w:p>
      <w:pPr>
        <w:pStyle w:val="BodyText"/>
        <w:tabs>
          <w:tab w:pos="1106" w:val="left" w:leader="none"/>
        </w:tabs>
        <w:spacing w:line="252" w:lineRule="auto" w:before="73"/>
        <w:ind w:left="727" w:right="236" w:hanging="397"/>
      </w:pPr>
      <w:r>
        <w:rPr>
          <w:w w:val="128"/>
          <w:u w:val="single"/>
        </w:rPr>
        <w:t> </w:t>
      </w:r>
      <w:r>
        <w:rPr>
          <w:u w:val="single"/>
        </w:rPr>
        <w:tab/>
        <w:tab/>
      </w:r>
      <w:r>
        <w:rPr>
          <w:w w:val="138"/>
        </w:rPr>
        <w:t>,</w:t>
      </w:r>
      <w:r>
        <w:rPr>
          <w:spacing w:val="12"/>
        </w:rPr>
        <w:t> </w:t>
      </w:r>
      <w:r>
        <w:rPr>
          <w:w w:val="102"/>
        </w:rPr>
        <w:t>2007</w:t>
      </w:r>
      <w:r>
        <w:rPr>
          <w:spacing w:val="12"/>
        </w:rPr>
        <w:t> </w:t>
      </w:r>
      <w:r>
        <w:rPr>
          <w:w w:val="115"/>
        </w:rPr>
        <w:t>“</w:t>
      </w:r>
      <w:r>
        <w:rPr>
          <w:w w:val="139"/>
        </w:rPr>
        <w:t>a</w:t>
      </w:r>
      <w:r>
        <w:rPr>
          <w:w w:val="111"/>
        </w:rPr>
        <w:t>mérica</w:t>
      </w:r>
      <w:r>
        <w:rPr>
          <w:spacing w:val="12"/>
        </w:rPr>
        <w:t> </w:t>
      </w:r>
      <w:r>
        <w:rPr>
          <w:w w:val="243"/>
        </w:rPr>
        <w:t>l</w:t>
      </w:r>
      <w:r>
        <w:rPr>
          <w:w w:val="111"/>
        </w:rPr>
        <w:t>atina</w:t>
      </w:r>
      <w:r>
        <w:rPr>
          <w:spacing w:val="12"/>
        </w:rPr>
        <w:t> </w:t>
      </w:r>
      <w:r>
        <w:rPr>
          <w:w w:val="109"/>
        </w:rPr>
        <w:t>ante</w:t>
      </w:r>
      <w:r>
        <w:rPr>
          <w:spacing w:val="12"/>
        </w:rPr>
        <w:t> </w:t>
      </w:r>
      <w:r>
        <w:rPr>
          <w:w w:val="111"/>
        </w:rPr>
        <w:t>la</w:t>
      </w:r>
      <w:r>
        <w:rPr>
          <w:spacing w:val="12"/>
        </w:rPr>
        <w:t> </w:t>
      </w:r>
      <w:r>
        <w:rPr>
          <w:w w:val="110"/>
        </w:rPr>
        <w:t>corrección</w:t>
      </w:r>
      <w:r>
        <w:rPr>
          <w:spacing w:val="12"/>
        </w:rPr>
        <w:t> </w:t>
      </w:r>
      <w:r>
        <w:rPr>
          <w:w w:val="107"/>
        </w:rPr>
        <w:t>del</w:t>
      </w:r>
      <w:r>
        <w:rPr>
          <w:spacing w:val="12"/>
        </w:rPr>
        <w:t> </w:t>
      </w:r>
      <w:r>
        <w:rPr>
          <w:w w:val="109"/>
        </w:rPr>
        <w:t>desequilibrio </w:t>
      </w:r>
      <w:r>
        <w:rPr>
          <w:w w:val="115"/>
        </w:rPr>
        <w:t>externo de Estados unidos: Vulnerabilidad y lecciones de política”. Ponencia presentada en el Viii Encuentro de Economistas</w:t>
      </w:r>
      <w:r>
        <w:rPr>
          <w:spacing w:val="-13"/>
          <w:w w:val="115"/>
        </w:rPr>
        <w:t> </w:t>
      </w:r>
      <w:r>
        <w:rPr>
          <w:w w:val="115"/>
        </w:rPr>
        <w:t>“Globalización</w:t>
      </w:r>
      <w:r>
        <w:rPr>
          <w:spacing w:val="-13"/>
          <w:w w:val="115"/>
        </w:rPr>
        <w:t> </w:t>
      </w:r>
      <w:r>
        <w:rPr>
          <w:w w:val="115"/>
        </w:rPr>
        <w:t>y</w:t>
      </w:r>
      <w:r>
        <w:rPr>
          <w:spacing w:val="-13"/>
          <w:w w:val="115"/>
        </w:rPr>
        <w:t> </w:t>
      </w:r>
      <w:r>
        <w:rPr>
          <w:w w:val="115"/>
        </w:rPr>
        <w:t>Problemas</w:t>
      </w:r>
      <w:r>
        <w:rPr>
          <w:spacing w:val="-13"/>
          <w:w w:val="115"/>
        </w:rPr>
        <w:t> </w:t>
      </w:r>
      <w:r>
        <w:rPr>
          <w:w w:val="115"/>
        </w:rPr>
        <w:t>del</w:t>
      </w:r>
      <w:r>
        <w:rPr>
          <w:spacing w:val="-13"/>
          <w:w w:val="115"/>
        </w:rPr>
        <w:t> </w:t>
      </w:r>
      <w:r>
        <w:rPr>
          <w:w w:val="115"/>
        </w:rPr>
        <w:t>desarrollo”,</w:t>
      </w:r>
      <w:r>
        <w:rPr>
          <w:spacing w:val="-13"/>
          <w:w w:val="115"/>
        </w:rPr>
        <w:t> </w:t>
      </w:r>
      <w:r>
        <w:rPr>
          <w:w w:val="115"/>
        </w:rPr>
        <w:t>5</w:t>
      </w:r>
      <w:r>
        <w:rPr>
          <w:spacing w:val="-13"/>
          <w:w w:val="115"/>
        </w:rPr>
        <w:t> </w:t>
      </w:r>
      <w:r>
        <w:rPr>
          <w:w w:val="115"/>
        </w:rPr>
        <w:t>al</w:t>
      </w:r>
      <w:r>
        <w:rPr>
          <w:spacing w:val="-13"/>
          <w:w w:val="115"/>
        </w:rPr>
        <w:t> </w:t>
      </w:r>
      <w:r>
        <w:rPr>
          <w:w w:val="115"/>
        </w:rPr>
        <w:t>9 </w:t>
      </w:r>
      <w:r>
        <w:rPr>
          <w:w w:val="110"/>
        </w:rPr>
        <w:t>de</w:t>
      </w:r>
      <w:r>
        <w:rPr>
          <w:spacing w:val="1"/>
          <w:w w:val="110"/>
        </w:rPr>
        <w:t> </w:t>
      </w:r>
      <w:r>
        <w:rPr>
          <w:w w:val="110"/>
        </w:rPr>
        <w:t>febrero.</w:t>
      </w:r>
    </w:p>
    <w:p>
      <w:pPr>
        <w:spacing w:line="252" w:lineRule="auto" w:before="28"/>
        <w:ind w:left="727" w:right="287" w:hanging="397"/>
        <w:jc w:val="left"/>
        <w:rPr>
          <w:sz w:val="19"/>
        </w:rPr>
      </w:pPr>
      <w:r>
        <w:rPr>
          <w:w w:val="110"/>
          <w:sz w:val="19"/>
        </w:rPr>
        <w:t>Moreira amado, adriana; Marco Flávio de Cunha resende y   Frederico G. Jayme </w:t>
      </w:r>
      <w:r>
        <w:rPr>
          <w:spacing w:val="-8"/>
          <w:w w:val="110"/>
          <w:sz w:val="19"/>
        </w:rPr>
        <w:t>Jr. </w:t>
      </w:r>
      <w:r>
        <w:rPr>
          <w:w w:val="110"/>
          <w:sz w:val="19"/>
        </w:rPr>
        <w:t>2006 </w:t>
      </w:r>
      <w:r>
        <w:rPr>
          <w:i/>
          <w:w w:val="110"/>
          <w:sz w:val="19"/>
        </w:rPr>
        <w:t>Growth Cycles in Latin America and </w:t>
      </w:r>
      <w:r>
        <w:rPr>
          <w:i/>
          <w:w w:val="110"/>
          <w:sz w:val="19"/>
        </w:rPr>
        <w:t>Developed  Countries  </w:t>
      </w:r>
      <w:r>
        <w:rPr>
          <w:w w:val="110"/>
          <w:sz w:val="19"/>
        </w:rPr>
        <w:t>aNPEC-associação  Nacional  dos  Centros de Pósgraduação em Economia, en </w:t>
      </w:r>
      <w:hyperlink r:id="rId577">
        <w:r>
          <w:rPr>
            <w:w w:val="110"/>
            <w:sz w:val="19"/>
          </w:rPr>
          <w:t>&lt;http://www.anpec.org.br/</w:t>
        </w:r>
      </w:hyperlink>
      <w:r>
        <w:rPr>
          <w:w w:val="110"/>
          <w:sz w:val="19"/>
        </w:rPr>
        <w:t> encontro2007/artigos/a07a035.pdf&gt;.</w:t>
      </w:r>
    </w:p>
    <w:p>
      <w:pPr>
        <w:pStyle w:val="BodyText"/>
        <w:spacing w:line="252" w:lineRule="auto" w:before="28"/>
        <w:ind w:left="727" w:right="352" w:hanging="397"/>
      </w:pPr>
      <w:r>
        <w:rPr>
          <w:w w:val="112"/>
        </w:rPr>
        <w:t>Murshed,</w:t>
      </w:r>
      <w:r>
        <w:rPr>
          <w:spacing w:val="14"/>
        </w:rPr>
        <w:t> </w:t>
      </w:r>
      <w:r>
        <w:rPr>
          <w:w w:val="149"/>
        </w:rPr>
        <w:t>s</w:t>
      </w:r>
      <w:r>
        <w:rPr>
          <w:w w:val="106"/>
        </w:rPr>
        <w:t>yed</w:t>
      </w:r>
      <w:r>
        <w:rPr>
          <w:spacing w:val="14"/>
        </w:rPr>
        <w:t> </w:t>
      </w:r>
      <w:r>
        <w:rPr>
          <w:w w:val="112"/>
        </w:rPr>
        <w:t>Mansoob;</w:t>
      </w:r>
      <w:r>
        <w:rPr>
          <w:spacing w:val="14"/>
        </w:rPr>
        <w:t> </w:t>
      </w:r>
      <w:r>
        <w:rPr>
          <w:w w:val="108"/>
        </w:rPr>
        <w:t>Pedro</w:t>
      </w:r>
      <w:r>
        <w:rPr>
          <w:spacing w:val="14"/>
        </w:rPr>
        <w:t> </w:t>
      </w:r>
      <w:r>
        <w:rPr>
          <w:w w:val="113"/>
        </w:rPr>
        <w:t>Goulart</w:t>
      </w:r>
      <w:r>
        <w:rPr>
          <w:spacing w:val="14"/>
        </w:rPr>
        <w:t> </w:t>
      </w:r>
      <w:r>
        <w:rPr>
          <w:w w:val="105"/>
        </w:rPr>
        <w:t>y</w:t>
      </w:r>
      <w:r>
        <w:rPr>
          <w:spacing w:val="14"/>
        </w:rPr>
        <w:t> </w:t>
      </w:r>
      <w:r>
        <w:rPr>
          <w:w w:val="243"/>
        </w:rPr>
        <w:t>l</w:t>
      </w:r>
      <w:r>
        <w:rPr>
          <w:w w:val="109"/>
        </w:rPr>
        <w:t>eandro</w:t>
      </w:r>
      <w:r>
        <w:rPr>
          <w:spacing w:val="14"/>
        </w:rPr>
        <w:t> </w:t>
      </w:r>
      <w:r>
        <w:rPr>
          <w:w w:val="139"/>
        </w:rPr>
        <w:t>a</w:t>
      </w:r>
      <w:r>
        <w:rPr>
          <w:w w:val="138"/>
        </w:rPr>
        <w:t>.</w:t>
      </w:r>
      <w:r>
        <w:rPr>
          <w:spacing w:val="14"/>
        </w:rPr>
        <w:t> </w:t>
      </w:r>
      <w:r>
        <w:rPr>
          <w:w w:val="149"/>
        </w:rPr>
        <w:t>s</w:t>
      </w:r>
      <w:r>
        <w:rPr>
          <w:w w:val="109"/>
        </w:rPr>
        <w:t>erino </w:t>
      </w:r>
      <w:r>
        <w:rPr>
          <w:w w:val="115"/>
        </w:rPr>
        <w:t>(eds.)</w:t>
      </w:r>
      <w:r>
        <w:rPr>
          <w:spacing w:val="-14"/>
          <w:w w:val="115"/>
        </w:rPr>
        <w:t> </w:t>
      </w:r>
      <w:r>
        <w:rPr>
          <w:w w:val="115"/>
        </w:rPr>
        <w:t>2011</w:t>
      </w:r>
      <w:r>
        <w:rPr>
          <w:spacing w:val="-14"/>
          <w:w w:val="115"/>
        </w:rPr>
        <w:t> </w:t>
      </w:r>
      <w:r>
        <w:rPr>
          <w:w w:val="115"/>
        </w:rPr>
        <w:t>“Globalization</w:t>
      </w:r>
      <w:r>
        <w:rPr>
          <w:spacing w:val="-14"/>
          <w:w w:val="115"/>
        </w:rPr>
        <w:t> </w:t>
      </w:r>
      <w:r>
        <w:rPr>
          <w:w w:val="115"/>
        </w:rPr>
        <w:t>and</w:t>
      </w:r>
      <w:r>
        <w:rPr>
          <w:spacing w:val="-14"/>
          <w:w w:val="115"/>
        </w:rPr>
        <w:t> </w:t>
      </w:r>
      <w:r>
        <w:rPr>
          <w:w w:val="115"/>
        </w:rPr>
        <w:t>the</w:t>
      </w:r>
      <w:r>
        <w:rPr>
          <w:spacing w:val="-14"/>
          <w:w w:val="115"/>
        </w:rPr>
        <w:t> </w:t>
      </w:r>
      <w:r>
        <w:rPr>
          <w:w w:val="115"/>
        </w:rPr>
        <w:t>south</w:t>
      </w:r>
      <w:r>
        <w:rPr>
          <w:spacing w:val="-14"/>
          <w:w w:val="115"/>
        </w:rPr>
        <w:t> </w:t>
      </w:r>
      <w:r>
        <w:rPr>
          <w:w w:val="115"/>
        </w:rPr>
        <w:t>at</w:t>
      </w:r>
      <w:r>
        <w:rPr>
          <w:spacing w:val="-14"/>
          <w:w w:val="115"/>
        </w:rPr>
        <w:t> </w:t>
      </w:r>
      <w:r>
        <w:rPr>
          <w:w w:val="115"/>
        </w:rPr>
        <w:t>the</w:t>
      </w:r>
      <w:r>
        <w:rPr>
          <w:spacing w:val="-14"/>
          <w:w w:val="115"/>
        </w:rPr>
        <w:t> </w:t>
      </w:r>
      <w:r>
        <w:rPr>
          <w:w w:val="115"/>
        </w:rPr>
        <w:t>Crossroads</w:t>
      </w:r>
      <w:r>
        <w:rPr>
          <w:spacing w:val="-14"/>
          <w:w w:val="115"/>
        </w:rPr>
        <w:t> </w:t>
      </w:r>
      <w:r>
        <w:rPr>
          <w:w w:val="115"/>
        </w:rPr>
        <w:t>of</w:t>
      </w:r>
    </w:p>
    <w:p>
      <w:pPr>
        <w:pStyle w:val="BodyText"/>
        <w:ind w:left="727"/>
      </w:pPr>
      <w:r>
        <w:rPr>
          <w:w w:val="114"/>
        </w:rPr>
        <w:t>Change”,</w:t>
      </w:r>
      <w:r>
        <w:rPr>
          <w:spacing w:val="14"/>
        </w:rPr>
        <w:t> </w:t>
      </w:r>
      <w:r>
        <w:rPr>
          <w:w w:val="108"/>
        </w:rPr>
        <w:t>en</w:t>
      </w:r>
      <w:r>
        <w:rPr>
          <w:spacing w:val="14"/>
        </w:rPr>
        <w:t> </w:t>
      </w:r>
      <w:r>
        <w:rPr>
          <w:w w:val="149"/>
        </w:rPr>
        <w:t>s</w:t>
      </w:r>
      <w:r>
        <w:rPr>
          <w:w w:val="106"/>
        </w:rPr>
        <w:t>yed</w:t>
      </w:r>
      <w:r>
        <w:rPr>
          <w:spacing w:val="14"/>
        </w:rPr>
        <w:t> </w:t>
      </w:r>
      <w:r>
        <w:rPr>
          <w:w w:val="112"/>
        </w:rPr>
        <w:t>Mansoob</w:t>
      </w:r>
      <w:r>
        <w:rPr>
          <w:spacing w:val="14"/>
        </w:rPr>
        <w:t> </w:t>
      </w:r>
      <w:r>
        <w:rPr>
          <w:w w:val="112"/>
        </w:rPr>
        <w:t>Murshed,</w:t>
      </w:r>
      <w:r>
        <w:rPr>
          <w:spacing w:val="14"/>
        </w:rPr>
        <w:t> </w:t>
      </w:r>
      <w:r>
        <w:rPr>
          <w:w w:val="108"/>
        </w:rPr>
        <w:t>Pedro</w:t>
      </w:r>
      <w:r>
        <w:rPr>
          <w:spacing w:val="14"/>
        </w:rPr>
        <w:t> </w:t>
      </w:r>
      <w:r>
        <w:rPr>
          <w:w w:val="113"/>
        </w:rPr>
        <w:t>Goulart</w:t>
      </w:r>
      <w:r>
        <w:rPr>
          <w:spacing w:val="14"/>
        </w:rPr>
        <w:t> </w:t>
      </w:r>
      <w:r>
        <w:rPr>
          <w:w w:val="105"/>
        </w:rPr>
        <w:t>y</w:t>
      </w:r>
      <w:r>
        <w:rPr>
          <w:spacing w:val="14"/>
        </w:rPr>
        <w:t> </w:t>
      </w:r>
      <w:r>
        <w:rPr>
          <w:w w:val="243"/>
        </w:rPr>
        <w:t>l</w:t>
      </w:r>
      <w:r>
        <w:rPr>
          <w:w w:val="109"/>
        </w:rPr>
        <w:t>eandro</w:t>
      </w:r>
    </w:p>
    <w:p>
      <w:pPr>
        <w:pStyle w:val="ListParagraph"/>
        <w:numPr>
          <w:ilvl w:val="0"/>
          <w:numId w:val="37"/>
        </w:numPr>
        <w:tabs>
          <w:tab w:pos="968" w:val="left" w:leader="none"/>
        </w:tabs>
        <w:spacing w:line="252" w:lineRule="auto" w:before="11" w:after="0"/>
        <w:ind w:left="727" w:right="412" w:firstLine="0"/>
        <w:jc w:val="left"/>
        <w:rPr>
          <w:sz w:val="19"/>
        </w:rPr>
      </w:pPr>
      <w:r>
        <w:rPr>
          <w:w w:val="115"/>
          <w:sz w:val="19"/>
        </w:rPr>
        <w:t>serino (eds.) </w:t>
      </w:r>
      <w:r>
        <w:rPr>
          <w:i/>
          <w:w w:val="115"/>
          <w:sz w:val="19"/>
        </w:rPr>
        <w:t>South-South Globalization. Challenges and </w:t>
      </w:r>
      <w:r>
        <w:rPr>
          <w:i/>
          <w:w w:val="115"/>
          <w:sz w:val="19"/>
        </w:rPr>
        <w:t>opportunities</w:t>
      </w:r>
      <w:r>
        <w:rPr>
          <w:i/>
          <w:spacing w:val="-9"/>
          <w:w w:val="115"/>
          <w:sz w:val="19"/>
        </w:rPr>
        <w:t> </w:t>
      </w:r>
      <w:r>
        <w:rPr>
          <w:i/>
          <w:w w:val="115"/>
          <w:sz w:val="19"/>
        </w:rPr>
        <w:t>or</w:t>
      </w:r>
      <w:r>
        <w:rPr>
          <w:i/>
          <w:spacing w:val="-9"/>
          <w:w w:val="115"/>
          <w:sz w:val="19"/>
        </w:rPr>
        <w:t> </w:t>
      </w:r>
      <w:r>
        <w:rPr>
          <w:i/>
          <w:w w:val="115"/>
          <w:sz w:val="19"/>
        </w:rPr>
        <w:t>development</w:t>
      </w:r>
      <w:r>
        <w:rPr>
          <w:i/>
          <w:spacing w:val="-9"/>
          <w:w w:val="115"/>
          <w:sz w:val="19"/>
        </w:rPr>
        <w:t> </w:t>
      </w:r>
      <w:r>
        <w:rPr>
          <w:w w:val="115"/>
          <w:sz w:val="19"/>
        </w:rPr>
        <w:t>(New</w:t>
      </w:r>
      <w:r>
        <w:rPr>
          <w:spacing w:val="-9"/>
          <w:w w:val="115"/>
          <w:sz w:val="19"/>
        </w:rPr>
        <w:t> </w:t>
      </w:r>
      <w:r>
        <w:rPr>
          <w:spacing w:val="-4"/>
          <w:w w:val="115"/>
          <w:sz w:val="19"/>
        </w:rPr>
        <w:t>York:</w:t>
      </w:r>
      <w:r>
        <w:rPr>
          <w:spacing w:val="-9"/>
          <w:w w:val="115"/>
          <w:sz w:val="19"/>
        </w:rPr>
        <w:t> </w:t>
      </w:r>
      <w:r>
        <w:rPr>
          <w:w w:val="115"/>
          <w:sz w:val="19"/>
        </w:rPr>
        <w:t>routledge,</w:t>
      </w:r>
      <w:r>
        <w:rPr>
          <w:spacing w:val="-9"/>
          <w:w w:val="115"/>
          <w:sz w:val="19"/>
        </w:rPr>
        <w:t> </w:t>
      </w:r>
      <w:r>
        <w:rPr>
          <w:spacing w:val="-3"/>
          <w:w w:val="115"/>
          <w:sz w:val="19"/>
        </w:rPr>
        <w:t>taylor</w:t>
      </w:r>
      <w:r>
        <w:rPr>
          <w:spacing w:val="-9"/>
          <w:w w:val="115"/>
          <w:sz w:val="19"/>
        </w:rPr>
        <w:t> </w:t>
      </w:r>
      <w:r>
        <w:rPr>
          <w:w w:val="115"/>
          <w:sz w:val="19"/>
        </w:rPr>
        <w:t>&amp; Francis</w:t>
      </w:r>
      <w:r>
        <w:rPr>
          <w:spacing w:val="-14"/>
          <w:w w:val="115"/>
          <w:sz w:val="19"/>
        </w:rPr>
        <w:t> </w:t>
      </w:r>
      <w:r>
        <w:rPr>
          <w:w w:val="115"/>
          <w:sz w:val="19"/>
        </w:rPr>
        <w:t>Group).</w:t>
      </w:r>
    </w:p>
    <w:p>
      <w:pPr>
        <w:pStyle w:val="BodyText"/>
        <w:spacing w:line="252" w:lineRule="auto" w:before="28"/>
        <w:ind w:left="727" w:right="163" w:hanging="397"/>
      </w:pPr>
      <w:r>
        <w:rPr>
          <w:w w:val="110"/>
        </w:rPr>
        <w:t>Pérez-Caldentey, Esteban; daniel titelman y Pablo Carvallo 2013 “Weak expansions: a distinctive Feature of business Cycle in </w:t>
      </w:r>
      <w:r>
        <w:rPr>
          <w:w w:val="243"/>
        </w:rPr>
        <w:t>l</w:t>
      </w:r>
      <w:r>
        <w:rPr>
          <w:w w:val="111"/>
        </w:rPr>
        <w:t>atin</w:t>
      </w:r>
      <w:r>
        <w:rPr/>
        <w:t> </w:t>
      </w:r>
      <w:r>
        <w:rPr>
          <w:w w:val="139"/>
        </w:rPr>
        <w:t>a</w:t>
      </w:r>
      <w:r>
        <w:rPr>
          <w:w w:val="111"/>
        </w:rPr>
        <w:t>merica</w:t>
      </w:r>
      <w:r>
        <w:rPr/>
        <w:t> </w:t>
      </w:r>
      <w:r>
        <w:rPr>
          <w:w w:val="111"/>
        </w:rPr>
        <w:t>and</w:t>
      </w:r>
      <w:r>
        <w:rPr/>
        <w:t> </w:t>
      </w:r>
      <w:r>
        <w:rPr>
          <w:w w:val="108"/>
        </w:rPr>
        <w:t>the</w:t>
      </w:r>
      <w:r>
        <w:rPr/>
        <w:t> </w:t>
      </w:r>
      <w:r>
        <w:rPr>
          <w:w w:val="113"/>
        </w:rPr>
        <w:t>Caribbean”,</w:t>
      </w:r>
      <w:r>
        <w:rPr/>
        <w:t> </w:t>
      </w:r>
      <w:r>
        <w:rPr>
          <w:w w:val="108"/>
        </w:rPr>
        <w:t>en</w:t>
      </w:r>
      <w:r>
        <w:rPr/>
        <w:t> </w:t>
      </w:r>
      <w:r>
        <w:rPr>
          <w:i/>
          <w:w w:val="110"/>
        </w:rPr>
        <w:t>Levy</w:t>
      </w:r>
      <w:r>
        <w:rPr>
          <w:i/>
        </w:rPr>
        <w:t> </w:t>
      </w:r>
      <w:r>
        <w:rPr>
          <w:i/>
          <w:w w:val="116"/>
        </w:rPr>
        <w:t>Economics</w:t>
      </w:r>
      <w:r>
        <w:rPr>
          <w:i/>
        </w:rPr>
        <w:t> </w:t>
      </w:r>
      <w:r>
        <w:rPr>
          <w:i/>
          <w:w w:val="111"/>
        </w:rPr>
        <w:t>Institute</w:t>
      </w:r>
      <w:r>
        <w:rPr>
          <w:w w:val="138"/>
        </w:rPr>
        <w:t>, </w:t>
      </w:r>
      <w:r>
        <w:rPr>
          <w:w w:val="105"/>
        </w:rPr>
        <w:t>Working Paper Nº 749, en </w:t>
      </w:r>
      <w:hyperlink r:id="rId578">
        <w:r>
          <w:rPr>
            <w:w w:val="105"/>
          </w:rPr>
          <w:t>&lt;http://www.imf.org/external/pubs/ft/</w:t>
        </w:r>
      </w:hyperlink>
      <w:r>
        <w:rPr>
          <w:w w:val="105"/>
        </w:rPr>
        <w:t> </w:t>
      </w:r>
      <w:r>
        <w:rPr>
          <w:w w:val="110"/>
        </w:rPr>
        <w:t>wp/wp9709.pdf&gt;.</w:t>
      </w:r>
    </w:p>
    <w:p>
      <w:pPr>
        <w:pStyle w:val="BodyText"/>
        <w:tabs>
          <w:tab w:pos="1397" w:val="left" w:leader="none"/>
        </w:tabs>
        <w:spacing w:line="252" w:lineRule="auto" w:before="28"/>
        <w:ind w:left="727" w:right="476" w:hanging="397"/>
      </w:pPr>
      <w:r>
        <w:rPr>
          <w:w w:val="128"/>
          <w:u w:val="single"/>
        </w:rPr>
        <w:t> </w:t>
      </w:r>
      <w:r>
        <w:rPr>
          <w:u w:val="single"/>
        </w:rPr>
        <w:tab/>
        <w:tab/>
      </w:r>
      <w:r>
        <w:rPr>
          <w:spacing w:val="12"/>
        </w:rPr>
        <w:t> </w:t>
      </w:r>
      <w:r>
        <w:rPr>
          <w:w w:val="110"/>
        </w:rPr>
        <w:t>y Vernego, Matías 2012 “retrato de </w:t>
      </w:r>
      <w:r>
        <w:rPr>
          <w:spacing w:val="36"/>
          <w:w w:val="110"/>
        </w:rPr>
        <w:t> </w:t>
      </w:r>
      <w:r>
        <w:rPr>
          <w:w w:val="110"/>
        </w:rPr>
        <w:t>un</w:t>
      </w:r>
      <w:r>
        <w:rPr>
          <w:spacing w:val="13"/>
          <w:w w:val="110"/>
        </w:rPr>
        <w:t> </w:t>
      </w:r>
      <w:r>
        <w:rPr>
          <w:w w:val="110"/>
        </w:rPr>
        <w:t>Joven</w:t>
      </w:r>
      <w:r>
        <w:rPr>
          <w:w w:val="113"/>
        </w:rPr>
        <w:t> </w:t>
      </w:r>
      <w:r>
        <w:rPr>
          <w:w w:val="110"/>
        </w:rPr>
        <w:t>Economista: la Evolución de las opiniones de raúl Prebisch sobre el ciclo económico y el dinero, 1919-1949”, en </w:t>
      </w:r>
      <w:r>
        <w:rPr>
          <w:i/>
          <w:w w:val="110"/>
        </w:rPr>
        <w:t>Revista </w:t>
      </w:r>
      <w:r>
        <w:rPr>
          <w:i/>
          <w:w w:val="110"/>
        </w:rPr>
        <w:t>de</w:t>
      </w:r>
      <w:r>
        <w:rPr>
          <w:i/>
          <w:spacing w:val="-24"/>
          <w:w w:val="110"/>
        </w:rPr>
        <w:t> </w:t>
      </w:r>
      <w:r>
        <w:rPr>
          <w:i/>
          <w:w w:val="110"/>
        </w:rPr>
        <w:t>la</w:t>
      </w:r>
      <w:r>
        <w:rPr>
          <w:i/>
          <w:spacing w:val="-24"/>
          <w:w w:val="110"/>
        </w:rPr>
        <w:t> </w:t>
      </w:r>
      <w:r>
        <w:rPr>
          <w:i/>
          <w:w w:val="110"/>
        </w:rPr>
        <w:t>CEPAL</w:t>
      </w:r>
      <w:r>
        <w:rPr>
          <w:w w:val="110"/>
        </w:rPr>
        <w:t>,</w:t>
      </w:r>
      <w:r>
        <w:rPr>
          <w:spacing w:val="-24"/>
          <w:w w:val="110"/>
        </w:rPr>
        <w:t> </w:t>
      </w:r>
      <w:r>
        <w:rPr>
          <w:w w:val="110"/>
        </w:rPr>
        <w:t>Nº</w:t>
      </w:r>
      <w:r>
        <w:rPr>
          <w:spacing w:val="-24"/>
          <w:w w:val="110"/>
        </w:rPr>
        <w:t> </w:t>
      </w:r>
      <w:r>
        <w:rPr>
          <w:w w:val="110"/>
        </w:rPr>
        <w:t>106,</w:t>
      </w:r>
      <w:r>
        <w:rPr>
          <w:spacing w:val="-24"/>
          <w:w w:val="110"/>
        </w:rPr>
        <w:t> </w:t>
      </w:r>
      <w:r>
        <w:rPr>
          <w:w w:val="110"/>
        </w:rPr>
        <w:t>en</w:t>
      </w:r>
      <w:r>
        <w:rPr>
          <w:spacing w:val="-24"/>
          <w:w w:val="110"/>
        </w:rPr>
        <w:t> </w:t>
      </w:r>
      <w:hyperlink r:id="rId579">
        <w:r>
          <w:rPr>
            <w:w w:val="110"/>
          </w:rPr>
          <w:t>&lt;http://www.eclac.org/publicaciones/</w:t>
        </w:r>
      </w:hyperlink>
      <w:r>
        <w:rPr>
          <w:w w:val="110"/>
        </w:rPr>
        <w:t> xml/8/46218/rVE106PerezVernengo.pdf&gt;.</w:t>
      </w:r>
    </w:p>
    <w:p>
      <w:pPr>
        <w:pStyle w:val="BodyText"/>
        <w:spacing w:line="252" w:lineRule="auto" w:before="28"/>
        <w:ind w:left="727" w:right="269" w:hanging="397"/>
        <w:jc w:val="both"/>
      </w:pPr>
      <w:r>
        <w:rPr>
          <w:w w:val="111"/>
        </w:rPr>
        <w:t>Prebisch,</w:t>
      </w:r>
      <w:r>
        <w:rPr>
          <w:spacing w:val="12"/>
        </w:rPr>
        <w:t> </w:t>
      </w:r>
      <w:r>
        <w:rPr>
          <w:w w:val="182"/>
        </w:rPr>
        <w:t>r</w:t>
      </w:r>
      <w:r>
        <w:rPr>
          <w:w w:val="112"/>
        </w:rPr>
        <w:t>aúl</w:t>
      </w:r>
      <w:r>
        <w:rPr>
          <w:spacing w:val="12"/>
        </w:rPr>
        <w:t> </w:t>
      </w:r>
      <w:r>
        <w:rPr>
          <w:w w:val="102"/>
        </w:rPr>
        <w:t>1950</w:t>
      </w:r>
      <w:r>
        <w:rPr>
          <w:spacing w:val="12"/>
        </w:rPr>
        <w:t> </w:t>
      </w:r>
      <w:r>
        <w:rPr>
          <w:w w:val="120"/>
        </w:rPr>
        <w:t>“El</w:t>
      </w:r>
      <w:r>
        <w:rPr>
          <w:spacing w:val="12"/>
        </w:rPr>
        <w:t> </w:t>
      </w:r>
      <w:r>
        <w:rPr>
          <w:w w:val="139"/>
        </w:rPr>
        <w:t>d</w:t>
      </w:r>
      <w:r>
        <w:rPr>
          <w:w w:val="108"/>
        </w:rPr>
        <w:t>esarrollo</w:t>
      </w:r>
      <w:r>
        <w:rPr>
          <w:spacing w:val="12"/>
        </w:rPr>
        <w:t> </w:t>
      </w:r>
      <w:r>
        <w:rPr>
          <w:w w:val="114"/>
        </w:rPr>
        <w:t>Económico</w:t>
      </w:r>
      <w:r>
        <w:rPr>
          <w:spacing w:val="12"/>
        </w:rPr>
        <w:t> </w:t>
      </w:r>
      <w:r>
        <w:rPr>
          <w:w w:val="107"/>
        </w:rPr>
        <w:t>de</w:t>
      </w:r>
      <w:r>
        <w:rPr>
          <w:spacing w:val="12"/>
        </w:rPr>
        <w:t> </w:t>
      </w:r>
      <w:r>
        <w:rPr>
          <w:w w:val="139"/>
        </w:rPr>
        <w:t>a</w:t>
      </w:r>
      <w:r>
        <w:rPr>
          <w:w w:val="111"/>
        </w:rPr>
        <w:t>mérica</w:t>
      </w:r>
      <w:r>
        <w:rPr>
          <w:spacing w:val="12"/>
        </w:rPr>
        <w:t> </w:t>
      </w:r>
      <w:r>
        <w:rPr>
          <w:w w:val="243"/>
        </w:rPr>
        <w:t>l</w:t>
      </w:r>
      <w:r>
        <w:rPr>
          <w:w w:val="111"/>
        </w:rPr>
        <w:t>atina</w:t>
      </w:r>
      <w:r>
        <w:rPr>
          <w:spacing w:val="12"/>
        </w:rPr>
        <w:t> </w:t>
      </w:r>
      <w:r>
        <w:rPr>
          <w:w w:val="105"/>
        </w:rPr>
        <w:t>y </w:t>
      </w:r>
      <w:r>
        <w:rPr>
          <w:w w:val="110"/>
        </w:rPr>
        <w:t>sus</w:t>
      </w:r>
      <w:r>
        <w:rPr>
          <w:spacing w:val="-28"/>
          <w:w w:val="110"/>
        </w:rPr>
        <w:t> </w:t>
      </w:r>
      <w:r>
        <w:rPr>
          <w:w w:val="110"/>
        </w:rPr>
        <w:t>Principales</w:t>
      </w:r>
      <w:r>
        <w:rPr>
          <w:spacing w:val="-28"/>
          <w:w w:val="110"/>
        </w:rPr>
        <w:t> </w:t>
      </w:r>
      <w:r>
        <w:rPr>
          <w:w w:val="110"/>
        </w:rPr>
        <w:t>Problemas”,</w:t>
      </w:r>
      <w:r>
        <w:rPr>
          <w:spacing w:val="-28"/>
          <w:w w:val="110"/>
        </w:rPr>
        <w:t> </w:t>
      </w:r>
      <w:r>
        <w:rPr>
          <w:w w:val="110"/>
        </w:rPr>
        <w:t>en</w:t>
      </w:r>
      <w:r>
        <w:rPr>
          <w:spacing w:val="-28"/>
          <w:w w:val="110"/>
        </w:rPr>
        <w:t> </w:t>
      </w:r>
      <w:hyperlink r:id="rId580">
        <w:r>
          <w:rPr>
            <w:w w:val="110"/>
          </w:rPr>
          <w:t>&lt;http://prebisch.cepal.org/sites/</w:t>
        </w:r>
      </w:hyperlink>
      <w:r>
        <w:rPr>
          <w:w w:val="110"/>
        </w:rPr>
        <w:t> default/files/2013/prebisch_el_desarrollo_eco.pdf&gt;.</w:t>
      </w:r>
    </w:p>
    <w:p>
      <w:pPr>
        <w:tabs>
          <w:tab w:pos="912" w:val="left" w:leader="none"/>
        </w:tabs>
        <w:spacing w:line="252" w:lineRule="auto" w:before="28"/>
        <w:ind w:left="727" w:right="179" w:hanging="397"/>
        <w:jc w:val="left"/>
        <w:rPr>
          <w:sz w:val="19"/>
        </w:rPr>
      </w:pPr>
      <w:r>
        <w:rPr>
          <w:w w:val="128"/>
          <w:sz w:val="19"/>
          <w:u w:val="single"/>
        </w:rPr>
        <w:t> </w:t>
      </w:r>
      <w:r>
        <w:rPr>
          <w:sz w:val="19"/>
          <w:u w:val="single"/>
        </w:rPr>
        <w:tab/>
        <w:tab/>
      </w:r>
      <w:r>
        <w:rPr>
          <w:w w:val="115"/>
          <w:sz w:val="19"/>
        </w:rPr>
        <w:t>, 1993 </w:t>
      </w:r>
      <w:r>
        <w:rPr>
          <w:i/>
          <w:w w:val="115"/>
          <w:sz w:val="19"/>
        </w:rPr>
        <w:t>obras 1919-1949</w:t>
      </w:r>
      <w:r>
        <w:rPr>
          <w:w w:val="115"/>
          <w:sz w:val="19"/>
        </w:rPr>
        <w:t>, </w:t>
      </w:r>
      <w:r>
        <w:rPr>
          <w:spacing w:val="-4"/>
          <w:w w:val="115"/>
          <w:sz w:val="19"/>
        </w:rPr>
        <w:t>Vol. </w:t>
      </w:r>
      <w:r>
        <w:rPr>
          <w:w w:val="115"/>
          <w:sz w:val="19"/>
        </w:rPr>
        <w:t>4 (buenos aires:</w:t>
      </w:r>
      <w:r>
        <w:rPr>
          <w:spacing w:val="-27"/>
          <w:w w:val="115"/>
          <w:sz w:val="19"/>
        </w:rPr>
        <w:t> </w:t>
      </w:r>
      <w:r>
        <w:rPr>
          <w:w w:val="115"/>
          <w:sz w:val="19"/>
        </w:rPr>
        <w:t>Fundación</w:t>
      </w:r>
      <w:r>
        <w:rPr>
          <w:spacing w:val="-4"/>
          <w:w w:val="115"/>
          <w:sz w:val="19"/>
        </w:rPr>
        <w:t> </w:t>
      </w:r>
      <w:r>
        <w:rPr>
          <w:w w:val="115"/>
          <w:sz w:val="19"/>
        </w:rPr>
        <w:t>raúl</w:t>
      </w:r>
      <w:r>
        <w:rPr>
          <w:w w:val="112"/>
          <w:sz w:val="19"/>
        </w:rPr>
        <w:t> </w:t>
      </w:r>
      <w:r>
        <w:rPr>
          <w:w w:val="115"/>
          <w:sz w:val="19"/>
        </w:rPr>
        <w:t>Prebisch).</w:t>
      </w:r>
    </w:p>
    <w:p>
      <w:pPr>
        <w:spacing w:line="252" w:lineRule="auto" w:before="28"/>
        <w:ind w:left="727" w:right="222" w:hanging="397"/>
        <w:jc w:val="left"/>
        <w:rPr>
          <w:sz w:val="19"/>
        </w:rPr>
      </w:pPr>
      <w:r>
        <w:rPr>
          <w:w w:val="110"/>
          <w:sz w:val="19"/>
        </w:rPr>
        <w:t>rosales, osvaldo y Kuwayama, Mikio 2012 </w:t>
      </w:r>
      <w:r>
        <w:rPr>
          <w:i/>
          <w:w w:val="110"/>
          <w:sz w:val="19"/>
        </w:rPr>
        <w:t>China y América Latina      </w:t>
      </w:r>
      <w:r>
        <w:rPr>
          <w:i/>
          <w:w w:val="110"/>
          <w:sz w:val="19"/>
        </w:rPr>
        <w:t>y el Caribe. Hacia una relación económica y comercial estratégica </w:t>
      </w:r>
      <w:r>
        <w:rPr>
          <w:w w:val="110"/>
          <w:sz w:val="19"/>
        </w:rPr>
        <w:t>(CEPal),  en </w:t>
      </w:r>
      <w:r>
        <w:rPr>
          <w:spacing w:val="42"/>
          <w:w w:val="110"/>
          <w:sz w:val="19"/>
        </w:rPr>
        <w:t> </w:t>
      </w:r>
      <w:hyperlink r:id="rId570">
        <w:r>
          <w:rPr>
            <w:w w:val="110"/>
            <w:sz w:val="19"/>
          </w:rPr>
          <w:t>&lt;www.eclac.cl&gt;.</w:t>
        </w:r>
      </w:hyperlink>
    </w:p>
    <w:p>
      <w:pPr>
        <w:pStyle w:val="BodyText"/>
        <w:spacing w:line="252" w:lineRule="auto" w:before="28"/>
        <w:ind w:left="727" w:hanging="397"/>
      </w:pPr>
      <w:r>
        <w:rPr>
          <w:w w:val="115"/>
        </w:rPr>
        <w:t>rossi, Vanessa 2008 “decoupling debate Will return: Emergents </w:t>
      </w:r>
      <w:r>
        <w:rPr>
          <w:w w:val="139"/>
        </w:rPr>
        <w:t>d</w:t>
      </w:r>
      <w:r>
        <w:rPr>
          <w:w w:val="110"/>
        </w:rPr>
        <w:t>ominate</w:t>
      </w:r>
      <w:r>
        <w:rPr/>
        <w:t> </w:t>
      </w:r>
      <w:r>
        <w:rPr>
          <w:w w:val="113"/>
        </w:rPr>
        <w:t>in</w:t>
      </w:r>
      <w:r>
        <w:rPr/>
        <w:t> </w:t>
      </w:r>
      <w:r>
        <w:rPr>
          <w:w w:val="243"/>
        </w:rPr>
        <w:t>l</w:t>
      </w:r>
      <w:r>
        <w:rPr>
          <w:w w:val="111"/>
        </w:rPr>
        <w:t>ong</w:t>
      </w:r>
      <w:r>
        <w:rPr/>
        <w:t> </w:t>
      </w:r>
      <w:r>
        <w:rPr>
          <w:w w:val="182"/>
        </w:rPr>
        <w:t>r</w:t>
      </w:r>
      <w:r>
        <w:rPr>
          <w:w w:val="116"/>
        </w:rPr>
        <w:t>un”,</w:t>
      </w:r>
      <w:r>
        <w:rPr/>
        <w:t> </w:t>
      </w:r>
      <w:r>
        <w:rPr>
          <w:w w:val="108"/>
        </w:rPr>
        <w:t>en</w:t>
      </w:r>
      <w:r>
        <w:rPr/>
        <w:t> </w:t>
      </w:r>
      <w:hyperlink r:id="rId581">
        <w:r>
          <w:rPr>
            <w:w w:val="99"/>
          </w:rPr>
          <w:t>&lt;http://www</w:t>
        </w:r>
        <w:r>
          <w:rPr>
            <w:w w:val="109"/>
          </w:rPr>
          <w:t>.chathamhouse.org/</w:t>
        </w:r>
      </w:hyperlink>
      <w:r>
        <w:rPr>
          <w:w w:val="109"/>
        </w:rPr>
        <w:t> </w:t>
      </w:r>
      <w:r>
        <w:rPr>
          <w:w w:val="105"/>
        </w:rPr>
        <w:t>sites/default/files/public/research/international%20Economics/ </w:t>
      </w:r>
      <w:r>
        <w:rPr>
          <w:w w:val="115"/>
        </w:rPr>
        <w:t>iepbn0801.pdf&gt;.</w:t>
      </w:r>
    </w:p>
    <w:p>
      <w:pPr>
        <w:pStyle w:val="BodyText"/>
        <w:spacing w:line="252" w:lineRule="auto" w:before="28"/>
        <w:ind w:left="727" w:right="114" w:hanging="397"/>
      </w:pPr>
      <w:r>
        <w:rPr>
          <w:w w:val="149"/>
        </w:rPr>
        <w:t>s</w:t>
      </w:r>
      <w:r>
        <w:rPr>
          <w:w w:val="111"/>
        </w:rPr>
        <w:t>ánchez</w:t>
      </w:r>
      <w:r>
        <w:rPr/>
        <w:t> </w:t>
      </w:r>
      <w:r>
        <w:rPr>
          <w:w w:val="115"/>
        </w:rPr>
        <w:t>Egozcue,</w:t>
      </w:r>
      <w:r>
        <w:rPr/>
        <w:t> </w:t>
      </w:r>
      <w:r>
        <w:rPr>
          <w:w w:val="114"/>
        </w:rPr>
        <w:t>Jorge</w:t>
      </w:r>
      <w:r>
        <w:rPr/>
        <w:t> </w:t>
      </w:r>
      <w:r>
        <w:rPr>
          <w:w w:val="113"/>
        </w:rPr>
        <w:t>Mario</w:t>
      </w:r>
      <w:r>
        <w:rPr/>
        <w:t> </w:t>
      </w:r>
      <w:r>
        <w:rPr>
          <w:w w:val="102"/>
        </w:rPr>
        <w:t>2009</w:t>
      </w:r>
      <w:r>
        <w:rPr/>
        <w:t> </w:t>
      </w:r>
      <w:r>
        <w:rPr>
          <w:w w:val="115"/>
        </w:rPr>
        <w:t>“</w:t>
      </w:r>
      <w:r>
        <w:rPr>
          <w:w w:val="139"/>
        </w:rPr>
        <w:t>a</w:t>
      </w:r>
      <w:r>
        <w:rPr>
          <w:w w:val="111"/>
        </w:rPr>
        <w:t>mérica</w:t>
      </w:r>
      <w:r>
        <w:rPr/>
        <w:t> </w:t>
      </w:r>
      <w:r>
        <w:rPr>
          <w:w w:val="243"/>
        </w:rPr>
        <w:t>l</w:t>
      </w:r>
      <w:r>
        <w:rPr>
          <w:w w:val="111"/>
        </w:rPr>
        <w:t>atina</w:t>
      </w:r>
      <w:r>
        <w:rPr/>
        <w:t> </w:t>
      </w:r>
      <w:r>
        <w:rPr>
          <w:w w:val="108"/>
        </w:rPr>
        <w:t>en</w:t>
      </w:r>
      <w:r>
        <w:rPr/>
        <w:t> </w:t>
      </w:r>
      <w:r>
        <w:rPr>
          <w:w w:val="111"/>
        </w:rPr>
        <w:t>la</w:t>
      </w:r>
      <w:r>
        <w:rPr/>
        <w:t> </w:t>
      </w:r>
      <w:r>
        <w:rPr>
          <w:w w:val="110"/>
        </w:rPr>
        <w:t>coyuntura </w:t>
      </w:r>
      <w:r>
        <w:rPr>
          <w:w w:val="110"/>
        </w:rPr>
        <w:t>de la crisis financiera internacional”, en </w:t>
      </w:r>
      <w:r>
        <w:rPr>
          <w:i/>
          <w:w w:val="110"/>
        </w:rPr>
        <w:t>Revista Pensamiento </w:t>
      </w:r>
      <w:r>
        <w:rPr>
          <w:i/>
          <w:w w:val="110"/>
        </w:rPr>
        <w:t>Propio</w:t>
      </w:r>
      <w:r>
        <w:rPr>
          <w:w w:val="110"/>
        </w:rPr>
        <w:t>,  Editorial  </w:t>
      </w:r>
      <w:r>
        <w:rPr>
          <w:w w:val="125"/>
        </w:rPr>
        <w:t>CriEs, </w:t>
      </w:r>
      <w:r>
        <w:rPr>
          <w:w w:val="110"/>
        </w:rPr>
        <w:t>Edición  Especial,  Nº  30,  julio- diciembre,  año  14,  buenos aires.</w:t>
      </w:r>
    </w:p>
    <w:p>
      <w:pPr>
        <w:spacing w:after="0" w:line="252" w:lineRule="auto"/>
        <w:sectPr>
          <w:pgSz w:w="8790" w:h="12760"/>
          <w:pgMar w:header="697" w:footer="725" w:top="880" w:bottom="920" w:left="1200" w:right="920"/>
        </w:sectPr>
      </w:pPr>
    </w:p>
    <w:p>
      <w:pPr>
        <w:pStyle w:val="BodyText"/>
        <w:spacing w:before="9"/>
        <w:rPr>
          <w:sz w:val="28"/>
        </w:rPr>
      </w:pPr>
    </w:p>
    <w:p>
      <w:pPr>
        <w:spacing w:line="252" w:lineRule="auto" w:before="73"/>
        <w:ind w:left="497" w:right="439" w:hanging="397"/>
        <w:jc w:val="both"/>
        <w:rPr>
          <w:sz w:val="19"/>
        </w:rPr>
      </w:pPr>
      <w:r>
        <w:rPr>
          <w:w w:val="130"/>
          <w:sz w:val="19"/>
        </w:rPr>
        <w:t>sEla </w:t>
      </w:r>
      <w:r>
        <w:rPr>
          <w:w w:val="110"/>
          <w:sz w:val="19"/>
        </w:rPr>
        <w:t>2012 </w:t>
      </w:r>
      <w:r>
        <w:rPr>
          <w:i/>
          <w:w w:val="110"/>
          <w:sz w:val="19"/>
        </w:rPr>
        <w:t>Las relaciones entre China y América Latina y el Caribe en </w:t>
      </w:r>
      <w:r>
        <w:rPr>
          <w:i/>
          <w:w w:val="110"/>
          <w:sz w:val="19"/>
        </w:rPr>
        <w:t>la actual coyuntura económica mundial</w:t>
      </w:r>
      <w:r>
        <w:rPr>
          <w:w w:val="110"/>
          <w:sz w:val="19"/>
        </w:rPr>
        <w:t>, secretaría Permanente Caracas, septiembre, N° 10-12, Venezuela, en </w:t>
      </w:r>
      <w:hyperlink r:id="rId582">
        <w:r>
          <w:rPr>
            <w:w w:val="110"/>
            <w:sz w:val="19"/>
          </w:rPr>
          <w:t>&lt;www.sela.org&gt;.</w:t>
        </w:r>
      </w:hyperlink>
    </w:p>
    <w:p>
      <w:pPr>
        <w:pStyle w:val="BodyText"/>
        <w:spacing w:line="252" w:lineRule="auto" w:before="28"/>
        <w:ind w:left="497" w:right="279" w:hanging="397"/>
      </w:pPr>
      <w:r>
        <w:rPr>
          <w:w w:val="115"/>
        </w:rPr>
        <w:t>shelby-Colby, sally 2009 “the Global Financial Crisis and its impacts </w:t>
      </w:r>
      <w:r>
        <w:rPr>
          <w:w w:val="111"/>
        </w:rPr>
        <w:t>on</w:t>
      </w:r>
      <w:r>
        <w:rPr/>
        <w:t> </w:t>
      </w:r>
      <w:r>
        <w:rPr>
          <w:w w:val="243"/>
        </w:rPr>
        <w:t>l</w:t>
      </w:r>
      <w:r>
        <w:rPr>
          <w:w w:val="111"/>
        </w:rPr>
        <w:t>atin</w:t>
      </w:r>
      <w:r>
        <w:rPr/>
        <w:t> </w:t>
      </w:r>
      <w:r>
        <w:rPr>
          <w:w w:val="139"/>
        </w:rPr>
        <w:t>a</w:t>
      </w:r>
      <w:r>
        <w:rPr>
          <w:w w:val="111"/>
        </w:rPr>
        <w:t>merica</w:t>
      </w:r>
      <w:r>
        <w:rPr/>
        <w:t> </w:t>
      </w:r>
      <w:r>
        <w:rPr>
          <w:w w:val="111"/>
        </w:rPr>
        <w:t>and</w:t>
      </w:r>
      <w:r>
        <w:rPr/>
        <w:t> </w:t>
      </w:r>
      <w:r>
        <w:rPr>
          <w:w w:val="108"/>
        </w:rPr>
        <w:t>the</w:t>
      </w:r>
      <w:r>
        <w:rPr/>
        <w:t> </w:t>
      </w:r>
      <w:r>
        <w:rPr>
          <w:w w:val="113"/>
        </w:rPr>
        <w:t>Caribbean”,</w:t>
      </w:r>
      <w:r>
        <w:rPr/>
        <w:t> </w:t>
      </w:r>
      <w:r>
        <w:rPr>
          <w:w w:val="108"/>
        </w:rPr>
        <w:t>en</w:t>
      </w:r>
      <w:r>
        <w:rPr/>
        <w:t> </w:t>
      </w:r>
      <w:r>
        <w:rPr>
          <w:i/>
          <w:w w:val="111"/>
        </w:rPr>
        <w:t>Revista</w:t>
      </w:r>
      <w:r>
        <w:rPr>
          <w:i/>
        </w:rPr>
        <w:t> </w:t>
      </w:r>
      <w:r>
        <w:rPr>
          <w:i/>
          <w:w w:val="110"/>
        </w:rPr>
        <w:t>Pensamiento</w:t>
      </w:r>
      <w:r>
        <w:rPr>
          <w:i/>
          <w:w w:val="110"/>
        </w:rPr>
        <w:t> </w:t>
      </w:r>
      <w:r>
        <w:rPr>
          <w:i/>
          <w:w w:val="115"/>
        </w:rPr>
        <w:t>Propio</w:t>
      </w:r>
      <w:r>
        <w:rPr>
          <w:w w:val="115"/>
        </w:rPr>
        <w:t>, Editorial </w:t>
      </w:r>
      <w:r>
        <w:rPr>
          <w:w w:val="125"/>
        </w:rPr>
        <w:t>CriEs, </w:t>
      </w:r>
      <w:r>
        <w:rPr>
          <w:w w:val="115"/>
        </w:rPr>
        <w:t>Edición Especial, Nº 30, julio- diciembre, año 14, buenos aires.</w:t>
      </w:r>
    </w:p>
    <w:p>
      <w:pPr>
        <w:pStyle w:val="BodyText"/>
        <w:spacing w:line="252" w:lineRule="auto" w:before="28"/>
        <w:ind w:left="497" w:right="438" w:hanging="397"/>
      </w:pPr>
      <w:r>
        <w:rPr>
          <w:w w:val="110"/>
        </w:rPr>
        <w:t>sidaway, </w:t>
      </w:r>
      <w:r>
        <w:rPr>
          <w:w w:val="120"/>
        </w:rPr>
        <w:t>J. d. </w:t>
      </w:r>
      <w:r>
        <w:rPr>
          <w:w w:val="110"/>
        </w:rPr>
        <w:t>2012 “Geographies of development: New Maps, New Visions?”, en </w:t>
      </w:r>
      <w:r>
        <w:rPr>
          <w:i/>
          <w:w w:val="110"/>
        </w:rPr>
        <w:t>The Professional Geographer</w:t>
      </w:r>
      <w:r>
        <w:rPr>
          <w:w w:val="110"/>
        </w:rPr>
        <w:t>, Vol. 64, Nº 1, febrero, en </w:t>
      </w:r>
      <w:hyperlink r:id="rId583">
        <w:r>
          <w:rPr>
            <w:w w:val="110"/>
          </w:rPr>
          <w:t>&lt;http://www.colorado.edu/geography/class_homepages/</w:t>
        </w:r>
      </w:hyperlink>
      <w:r>
        <w:rPr>
          <w:w w:val="110"/>
        </w:rPr>
        <w:t> geog_4632_s12/sidaway-developmentGeographies.pdf&gt;.</w:t>
      </w:r>
    </w:p>
    <w:p>
      <w:pPr>
        <w:pStyle w:val="BodyText"/>
        <w:spacing w:line="252" w:lineRule="auto" w:before="28"/>
        <w:ind w:left="497" w:right="350" w:hanging="397"/>
      </w:pPr>
      <w:r>
        <w:rPr>
          <w:w w:val="115"/>
        </w:rPr>
        <w:t>titelman, daniel; Esteban Pérez-Caldentey y </w:t>
      </w:r>
      <w:r>
        <w:rPr>
          <w:w w:val="130"/>
        </w:rPr>
        <w:t>r. </w:t>
      </w:r>
      <w:r>
        <w:rPr>
          <w:w w:val="115"/>
        </w:rPr>
        <w:t>Minzer 2008 “una Comparación de la dinámica e impactos de los Choques de </w:t>
      </w:r>
      <w:r>
        <w:rPr>
          <w:spacing w:val="-18"/>
          <w:w w:val="195"/>
        </w:rPr>
        <w:t>t</w:t>
      </w:r>
      <w:r>
        <w:rPr>
          <w:w w:val="109"/>
        </w:rPr>
        <w:t>érminos</w:t>
      </w:r>
      <w:r>
        <w:rPr>
          <w:spacing w:val="12"/>
        </w:rPr>
        <w:t> </w:t>
      </w:r>
      <w:r>
        <w:rPr>
          <w:w w:val="107"/>
        </w:rPr>
        <w:t>de</w:t>
      </w:r>
      <w:r>
        <w:rPr>
          <w:spacing w:val="12"/>
        </w:rPr>
        <w:t> </w:t>
      </w:r>
      <w:r>
        <w:rPr>
          <w:w w:val="142"/>
        </w:rPr>
        <w:t>i</w:t>
      </w:r>
      <w:r>
        <w:rPr>
          <w:w w:val="110"/>
        </w:rPr>
        <w:t>ntercambio</w:t>
      </w:r>
      <w:r>
        <w:rPr>
          <w:spacing w:val="12"/>
        </w:rPr>
        <w:t> </w:t>
      </w:r>
      <w:r>
        <w:rPr>
          <w:w w:val="105"/>
        </w:rPr>
        <w:t>y</w:t>
      </w:r>
      <w:r>
        <w:rPr>
          <w:spacing w:val="12"/>
        </w:rPr>
        <w:t> </w:t>
      </w:r>
      <w:r>
        <w:rPr>
          <w:w w:val="111"/>
        </w:rPr>
        <w:t>Financieros</w:t>
      </w:r>
      <w:r>
        <w:rPr>
          <w:spacing w:val="12"/>
        </w:rPr>
        <w:t> </w:t>
      </w:r>
      <w:r>
        <w:rPr>
          <w:w w:val="108"/>
        </w:rPr>
        <w:t>en</w:t>
      </w:r>
      <w:r>
        <w:rPr>
          <w:spacing w:val="12"/>
        </w:rPr>
        <w:t> </w:t>
      </w:r>
      <w:r>
        <w:rPr>
          <w:w w:val="139"/>
        </w:rPr>
        <w:t>a</w:t>
      </w:r>
      <w:r>
        <w:rPr>
          <w:w w:val="111"/>
        </w:rPr>
        <w:t>mérica</w:t>
      </w:r>
      <w:r>
        <w:rPr>
          <w:spacing w:val="12"/>
        </w:rPr>
        <w:t> </w:t>
      </w:r>
      <w:r>
        <w:rPr>
          <w:w w:val="243"/>
        </w:rPr>
        <w:t>l</w:t>
      </w:r>
      <w:r>
        <w:rPr>
          <w:w w:val="111"/>
        </w:rPr>
        <w:t>atina</w:t>
      </w:r>
      <w:r>
        <w:rPr>
          <w:spacing w:val="12"/>
        </w:rPr>
        <w:t> </w:t>
      </w:r>
      <w:r>
        <w:rPr>
          <w:w w:val="102"/>
        </w:rPr>
        <w:t>1980- </w:t>
      </w:r>
      <w:r>
        <w:rPr>
          <w:w w:val="115"/>
        </w:rPr>
        <w:t>2006”,</w:t>
      </w:r>
      <w:r>
        <w:rPr>
          <w:spacing w:val="-21"/>
          <w:w w:val="115"/>
        </w:rPr>
        <w:t> </w:t>
      </w:r>
      <w:r>
        <w:rPr>
          <w:w w:val="115"/>
        </w:rPr>
        <w:t>en</w:t>
      </w:r>
      <w:r>
        <w:rPr>
          <w:spacing w:val="-21"/>
          <w:w w:val="115"/>
        </w:rPr>
        <w:t> </w:t>
      </w:r>
      <w:r>
        <w:rPr>
          <w:i/>
          <w:w w:val="115"/>
        </w:rPr>
        <w:t>Serie</w:t>
      </w:r>
      <w:r>
        <w:rPr>
          <w:i/>
          <w:spacing w:val="-21"/>
          <w:w w:val="115"/>
        </w:rPr>
        <w:t> </w:t>
      </w:r>
      <w:r>
        <w:rPr>
          <w:i/>
          <w:w w:val="115"/>
        </w:rPr>
        <w:t>Financiamiento</w:t>
      </w:r>
      <w:r>
        <w:rPr>
          <w:i/>
          <w:spacing w:val="-21"/>
          <w:w w:val="115"/>
        </w:rPr>
        <w:t> </w:t>
      </w:r>
      <w:r>
        <w:rPr>
          <w:i/>
          <w:w w:val="115"/>
        </w:rPr>
        <w:t>del</w:t>
      </w:r>
      <w:r>
        <w:rPr>
          <w:i/>
          <w:spacing w:val="-21"/>
          <w:w w:val="115"/>
        </w:rPr>
        <w:t> </w:t>
      </w:r>
      <w:r>
        <w:rPr>
          <w:i/>
          <w:w w:val="115"/>
        </w:rPr>
        <w:t>Desarrollo</w:t>
      </w:r>
      <w:r>
        <w:rPr>
          <w:i/>
          <w:spacing w:val="-21"/>
          <w:w w:val="115"/>
        </w:rPr>
        <w:t> </w:t>
      </w:r>
      <w:r>
        <w:rPr>
          <w:w w:val="115"/>
        </w:rPr>
        <w:t>(santiago</w:t>
      </w:r>
      <w:r>
        <w:rPr>
          <w:spacing w:val="-21"/>
          <w:w w:val="115"/>
        </w:rPr>
        <w:t> </w:t>
      </w:r>
      <w:r>
        <w:rPr>
          <w:w w:val="115"/>
        </w:rPr>
        <w:t>de</w:t>
      </w:r>
      <w:r>
        <w:rPr>
          <w:spacing w:val="-21"/>
          <w:w w:val="115"/>
        </w:rPr>
        <w:t> </w:t>
      </w:r>
      <w:r>
        <w:rPr>
          <w:w w:val="115"/>
        </w:rPr>
        <w:t>Chile: CElaC).</w:t>
      </w:r>
    </w:p>
    <w:p>
      <w:pPr>
        <w:spacing w:before="28"/>
        <w:ind w:left="100" w:right="0" w:firstLine="0"/>
        <w:jc w:val="left"/>
        <w:rPr>
          <w:i/>
          <w:sz w:val="19"/>
        </w:rPr>
      </w:pPr>
      <w:r>
        <w:rPr>
          <w:w w:val="195"/>
          <w:sz w:val="19"/>
        </w:rPr>
        <w:t>t</w:t>
      </w:r>
      <w:r>
        <w:rPr>
          <w:w w:val="110"/>
          <w:sz w:val="19"/>
        </w:rPr>
        <w:t>horsrud,</w:t>
      </w:r>
      <w:r>
        <w:rPr>
          <w:spacing w:val="12"/>
          <w:sz w:val="19"/>
        </w:rPr>
        <w:t> </w:t>
      </w:r>
      <w:r>
        <w:rPr>
          <w:w w:val="243"/>
          <w:sz w:val="19"/>
        </w:rPr>
        <w:t>l</w:t>
      </w:r>
      <w:r>
        <w:rPr>
          <w:w w:val="111"/>
          <w:sz w:val="19"/>
        </w:rPr>
        <w:t>eif</w:t>
      </w:r>
      <w:r>
        <w:rPr>
          <w:spacing w:val="12"/>
          <w:sz w:val="19"/>
        </w:rPr>
        <w:t> </w:t>
      </w:r>
      <w:r>
        <w:rPr>
          <w:w w:val="139"/>
          <w:sz w:val="19"/>
        </w:rPr>
        <w:t>a</w:t>
      </w:r>
      <w:r>
        <w:rPr>
          <w:w w:val="107"/>
          <w:sz w:val="19"/>
        </w:rPr>
        <w:t>nders</w:t>
      </w:r>
      <w:r>
        <w:rPr>
          <w:spacing w:val="12"/>
          <w:sz w:val="19"/>
        </w:rPr>
        <w:t> </w:t>
      </w:r>
      <w:r>
        <w:rPr>
          <w:w w:val="102"/>
          <w:sz w:val="19"/>
        </w:rPr>
        <w:t>2013</w:t>
      </w:r>
      <w:r>
        <w:rPr>
          <w:spacing w:val="12"/>
          <w:sz w:val="19"/>
        </w:rPr>
        <w:t> </w:t>
      </w:r>
      <w:r>
        <w:rPr>
          <w:i/>
          <w:w w:val="113"/>
          <w:sz w:val="19"/>
        </w:rPr>
        <w:t>Global</w:t>
      </w:r>
      <w:r>
        <w:rPr>
          <w:i/>
          <w:spacing w:val="12"/>
          <w:sz w:val="19"/>
        </w:rPr>
        <w:t> </w:t>
      </w:r>
      <w:r>
        <w:rPr>
          <w:i/>
          <w:w w:val="109"/>
          <w:sz w:val="19"/>
        </w:rPr>
        <w:t>and</w:t>
      </w:r>
      <w:r>
        <w:rPr>
          <w:i/>
          <w:spacing w:val="12"/>
          <w:sz w:val="19"/>
        </w:rPr>
        <w:t> </w:t>
      </w:r>
      <w:r>
        <w:rPr>
          <w:i/>
          <w:w w:val="109"/>
          <w:sz w:val="19"/>
        </w:rPr>
        <w:t>Regional</w:t>
      </w:r>
      <w:r>
        <w:rPr>
          <w:i/>
          <w:spacing w:val="12"/>
          <w:sz w:val="19"/>
        </w:rPr>
        <w:t> </w:t>
      </w:r>
      <w:r>
        <w:rPr>
          <w:i/>
          <w:w w:val="115"/>
          <w:sz w:val="19"/>
        </w:rPr>
        <w:t>Business</w:t>
      </w:r>
      <w:r>
        <w:rPr>
          <w:i/>
          <w:spacing w:val="12"/>
          <w:sz w:val="19"/>
        </w:rPr>
        <w:t> </w:t>
      </w:r>
      <w:r>
        <w:rPr>
          <w:i/>
          <w:w w:val="114"/>
          <w:sz w:val="19"/>
        </w:rPr>
        <w:t>Cycles.</w:t>
      </w:r>
    </w:p>
    <w:p>
      <w:pPr>
        <w:pStyle w:val="BodyText"/>
        <w:spacing w:line="252" w:lineRule="auto" w:before="11"/>
        <w:ind w:left="497" w:right="424"/>
        <w:jc w:val="both"/>
      </w:pPr>
      <w:r>
        <w:rPr>
          <w:i/>
          <w:w w:val="105"/>
        </w:rPr>
        <w:t>Shocks and Propagations</w:t>
      </w:r>
      <w:r>
        <w:rPr>
          <w:w w:val="105"/>
        </w:rPr>
        <w:t>, en </w:t>
      </w:r>
      <w:hyperlink r:id="rId584">
        <w:r>
          <w:rPr>
            <w:w w:val="105"/>
          </w:rPr>
          <w:t>&lt;http://www.bi.edu/</w:t>
        </w:r>
      </w:hyperlink>
      <w:r>
        <w:rPr>
          <w:w w:val="105"/>
        </w:rPr>
        <w:t>i</w:t>
      </w:r>
      <w:hyperlink r:id="rId584">
        <w:r>
          <w:rPr>
            <w:w w:val="105"/>
          </w:rPr>
          <w:t>nstitutterFiles/</w:t>
        </w:r>
      </w:hyperlink>
      <w:r>
        <w:rPr>
          <w:w w:val="105"/>
        </w:rPr>
        <w:t> samfunns%C3%b8konomi/Papers/Fall%202012/thorsrud.pdf&gt;, </w:t>
      </w:r>
      <w:r>
        <w:rPr>
          <w:w w:val="110"/>
        </w:rPr>
        <w:t>acceso 10 de mayo de 2014.</w:t>
      </w:r>
    </w:p>
    <w:p>
      <w:pPr>
        <w:spacing w:line="252" w:lineRule="auto" w:before="28"/>
        <w:ind w:left="497" w:right="512" w:hanging="397"/>
        <w:jc w:val="left"/>
        <w:rPr>
          <w:sz w:val="19"/>
        </w:rPr>
      </w:pPr>
      <w:r>
        <w:rPr>
          <w:spacing w:val="-5"/>
          <w:w w:val="115"/>
          <w:sz w:val="19"/>
        </w:rPr>
        <w:t>Von </w:t>
      </w:r>
      <w:r>
        <w:rPr>
          <w:w w:val="115"/>
          <w:sz w:val="19"/>
        </w:rPr>
        <w:t>armin, rudiger 2011 “Global imbalances, Financial Crisis and Globalization”, en syed Mansoob Murshed, Pedro Goulart y </w:t>
      </w:r>
      <w:r>
        <w:rPr>
          <w:w w:val="243"/>
          <w:sz w:val="19"/>
        </w:rPr>
        <w:t>l</w:t>
      </w:r>
      <w:r>
        <w:rPr>
          <w:w w:val="109"/>
          <w:sz w:val="19"/>
        </w:rPr>
        <w:t>eandro</w:t>
      </w:r>
      <w:r>
        <w:rPr>
          <w:spacing w:val="12"/>
          <w:sz w:val="19"/>
        </w:rPr>
        <w:t> </w:t>
      </w:r>
      <w:r>
        <w:rPr>
          <w:w w:val="139"/>
          <w:sz w:val="19"/>
        </w:rPr>
        <w:t>a</w:t>
      </w:r>
      <w:r>
        <w:rPr>
          <w:w w:val="138"/>
          <w:sz w:val="19"/>
        </w:rPr>
        <w:t>.</w:t>
      </w:r>
      <w:r>
        <w:rPr>
          <w:spacing w:val="12"/>
          <w:sz w:val="19"/>
        </w:rPr>
        <w:t> </w:t>
      </w:r>
      <w:r>
        <w:rPr>
          <w:w w:val="149"/>
          <w:sz w:val="19"/>
        </w:rPr>
        <w:t>s</w:t>
      </w:r>
      <w:r>
        <w:rPr>
          <w:w w:val="109"/>
          <w:sz w:val="19"/>
        </w:rPr>
        <w:t>erino</w:t>
      </w:r>
      <w:r>
        <w:rPr>
          <w:spacing w:val="12"/>
          <w:sz w:val="19"/>
        </w:rPr>
        <w:t> </w:t>
      </w:r>
      <w:r>
        <w:rPr>
          <w:w w:val="106"/>
          <w:sz w:val="19"/>
        </w:rPr>
        <w:t>(eds.)</w:t>
      </w:r>
      <w:r>
        <w:rPr>
          <w:spacing w:val="12"/>
          <w:sz w:val="19"/>
        </w:rPr>
        <w:t> </w:t>
      </w:r>
      <w:r>
        <w:rPr>
          <w:i/>
          <w:w w:val="115"/>
          <w:sz w:val="19"/>
        </w:rPr>
        <w:t>South-South</w:t>
      </w:r>
      <w:r>
        <w:rPr>
          <w:i/>
          <w:spacing w:val="12"/>
          <w:sz w:val="19"/>
        </w:rPr>
        <w:t> </w:t>
      </w:r>
      <w:r>
        <w:rPr>
          <w:i/>
          <w:w w:val="112"/>
          <w:sz w:val="19"/>
        </w:rPr>
        <w:t>Globalization.</w:t>
      </w:r>
      <w:r>
        <w:rPr>
          <w:i/>
          <w:spacing w:val="12"/>
          <w:sz w:val="19"/>
        </w:rPr>
        <w:t> </w:t>
      </w:r>
      <w:r>
        <w:rPr>
          <w:i/>
          <w:w w:val="108"/>
          <w:sz w:val="19"/>
        </w:rPr>
        <w:t>Challenges</w:t>
      </w:r>
      <w:r>
        <w:rPr>
          <w:i/>
          <w:w w:val="108"/>
          <w:sz w:val="19"/>
        </w:rPr>
        <w:t> </w:t>
      </w:r>
      <w:r>
        <w:rPr>
          <w:i/>
          <w:w w:val="115"/>
          <w:sz w:val="19"/>
        </w:rPr>
        <w:t>and</w:t>
      </w:r>
      <w:r>
        <w:rPr>
          <w:i/>
          <w:spacing w:val="-16"/>
          <w:w w:val="115"/>
          <w:sz w:val="19"/>
        </w:rPr>
        <w:t> </w:t>
      </w:r>
      <w:r>
        <w:rPr>
          <w:i/>
          <w:w w:val="115"/>
          <w:sz w:val="19"/>
        </w:rPr>
        <w:t>opportunities</w:t>
      </w:r>
      <w:r>
        <w:rPr>
          <w:i/>
          <w:spacing w:val="-16"/>
          <w:w w:val="115"/>
          <w:sz w:val="19"/>
        </w:rPr>
        <w:t> </w:t>
      </w:r>
      <w:r>
        <w:rPr>
          <w:i/>
          <w:w w:val="115"/>
          <w:sz w:val="19"/>
        </w:rPr>
        <w:t>or</w:t>
      </w:r>
      <w:r>
        <w:rPr>
          <w:i/>
          <w:spacing w:val="-16"/>
          <w:w w:val="115"/>
          <w:sz w:val="19"/>
        </w:rPr>
        <w:t> </w:t>
      </w:r>
      <w:r>
        <w:rPr>
          <w:i/>
          <w:w w:val="115"/>
          <w:sz w:val="19"/>
        </w:rPr>
        <w:t>development</w:t>
      </w:r>
      <w:r>
        <w:rPr>
          <w:i/>
          <w:spacing w:val="-16"/>
          <w:w w:val="115"/>
          <w:sz w:val="19"/>
        </w:rPr>
        <w:t> </w:t>
      </w:r>
      <w:r>
        <w:rPr>
          <w:w w:val="115"/>
          <w:sz w:val="19"/>
        </w:rPr>
        <w:t>(New</w:t>
      </w:r>
      <w:r>
        <w:rPr>
          <w:spacing w:val="-16"/>
          <w:w w:val="115"/>
          <w:sz w:val="19"/>
        </w:rPr>
        <w:t> </w:t>
      </w:r>
      <w:r>
        <w:rPr>
          <w:spacing w:val="-4"/>
          <w:w w:val="115"/>
          <w:sz w:val="19"/>
        </w:rPr>
        <w:t>York:</w:t>
      </w:r>
      <w:r>
        <w:rPr>
          <w:spacing w:val="-16"/>
          <w:w w:val="115"/>
          <w:sz w:val="19"/>
        </w:rPr>
        <w:t> </w:t>
      </w:r>
      <w:r>
        <w:rPr>
          <w:w w:val="115"/>
          <w:sz w:val="19"/>
        </w:rPr>
        <w:t>routledge,</w:t>
      </w:r>
      <w:r>
        <w:rPr>
          <w:spacing w:val="-16"/>
          <w:w w:val="115"/>
          <w:sz w:val="19"/>
        </w:rPr>
        <w:t> </w:t>
      </w:r>
      <w:r>
        <w:rPr>
          <w:spacing w:val="-3"/>
          <w:w w:val="115"/>
          <w:sz w:val="19"/>
        </w:rPr>
        <w:t>taylor </w:t>
      </w:r>
      <w:r>
        <w:rPr>
          <w:w w:val="115"/>
          <w:sz w:val="19"/>
        </w:rPr>
        <w:t>&amp; Francis</w:t>
      </w:r>
      <w:r>
        <w:rPr>
          <w:spacing w:val="-3"/>
          <w:w w:val="115"/>
          <w:sz w:val="19"/>
        </w:rPr>
        <w:t> </w:t>
      </w:r>
      <w:r>
        <w:rPr>
          <w:w w:val="115"/>
          <w:sz w:val="19"/>
        </w:rPr>
        <w:t>Group).</w:t>
      </w:r>
    </w:p>
    <w:p>
      <w:pPr>
        <w:spacing w:line="252" w:lineRule="auto" w:before="28"/>
        <w:ind w:left="497" w:right="366" w:hanging="397"/>
        <w:jc w:val="left"/>
        <w:rPr>
          <w:sz w:val="19"/>
        </w:rPr>
      </w:pPr>
      <w:r>
        <w:rPr>
          <w:spacing w:val="-4"/>
          <w:w w:val="115"/>
          <w:sz w:val="19"/>
        </w:rPr>
        <w:t>Vos, </w:t>
      </w:r>
      <w:r>
        <w:rPr>
          <w:w w:val="115"/>
          <w:sz w:val="19"/>
        </w:rPr>
        <w:t>rob 2011 “New directions for Globalization in </w:t>
      </w:r>
      <w:r>
        <w:rPr>
          <w:spacing w:val="-3"/>
          <w:w w:val="115"/>
          <w:sz w:val="19"/>
        </w:rPr>
        <w:t>times </w:t>
      </w:r>
      <w:r>
        <w:rPr>
          <w:w w:val="115"/>
          <w:sz w:val="19"/>
        </w:rPr>
        <w:t>of Crisis”, </w:t>
      </w:r>
      <w:r>
        <w:rPr>
          <w:w w:val="108"/>
          <w:sz w:val="19"/>
        </w:rPr>
        <w:t>en</w:t>
      </w:r>
      <w:r>
        <w:rPr>
          <w:spacing w:val="12"/>
          <w:sz w:val="19"/>
        </w:rPr>
        <w:t> </w:t>
      </w:r>
      <w:r>
        <w:rPr>
          <w:w w:val="149"/>
          <w:sz w:val="19"/>
        </w:rPr>
        <w:t>s</w:t>
      </w:r>
      <w:r>
        <w:rPr>
          <w:w w:val="106"/>
          <w:sz w:val="19"/>
        </w:rPr>
        <w:t>yed</w:t>
      </w:r>
      <w:r>
        <w:rPr>
          <w:spacing w:val="12"/>
          <w:sz w:val="19"/>
        </w:rPr>
        <w:t> </w:t>
      </w:r>
      <w:r>
        <w:rPr>
          <w:w w:val="112"/>
          <w:sz w:val="19"/>
        </w:rPr>
        <w:t>Mansoob</w:t>
      </w:r>
      <w:r>
        <w:rPr>
          <w:spacing w:val="12"/>
          <w:sz w:val="19"/>
        </w:rPr>
        <w:t> </w:t>
      </w:r>
      <w:r>
        <w:rPr>
          <w:w w:val="112"/>
          <w:sz w:val="19"/>
        </w:rPr>
        <w:t>Murshed,</w:t>
      </w:r>
      <w:r>
        <w:rPr>
          <w:spacing w:val="12"/>
          <w:sz w:val="19"/>
        </w:rPr>
        <w:t> </w:t>
      </w:r>
      <w:r>
        <w:rPr>
          <w:w w:val="108"/>
          <w:sz w:val="19"/>
        </w:rPr>
        <w:t>Pedro</w:t>
      </w:r>
      <w:r>
        <w:rPr>
          <w:spacing w:val="12"/>
          <w:sz w:val="19"/>
        </w:rPr>
        <w:t> </w:t>
      </w:r>
      <w:r>
        <w:rPr>
          <w:w w:val="113"/>
          <w:sz w:val="19"/>
        </w:rPr>
        <w:t>Goulart</w:t>
      </w:r>
      <w:r>
        <w:rPr>
          <w:spacing w:val="12"/>
          <w:sz w:val="19"/>
        </w:rPr>
        <w:t> </w:t>
      </w:r>
      <w:r>
        <w:rPr>
          <w:w w:val="105"/>
          <w:sz w:val="19"/>
        </w:rPr>
        <w:t>y</w:t>
      </w:r>
      <w:r>
        <w:rPr>
          <w:spacing w:val="12"/>
          <w:sz w:val="19"/>
        </w:rPr>
        <w:t> </w:t>
      </w:r>
      <w:r>
        <w:rPr>
          <w:w w:val="243"/>
          <w:sz w:val="19"/>
        </w:rPr>
        <w:t>l</w:t>
      </w:r>
      <w:r>
        <w:rPr>
          <w:w w:val="109"/>
          <w:sz w:val="19"/>
        </w:rPr>
        <w:t>eandro</w:t>
      </w:r>
      <w:r>
        <w:rPr>
          <w:spacing w:val="12"/>
          <w:sz w:val="19"/>
        </w:rPr>
        <w:t> </w:t>
      </w:r>
      <w:r>
        <w:rPr>
          <w:w w:val="139"/>
          <w:sz w:val="19"/>
        </w:rPr>
        <w:t>a</w:t>
      </w:r>
      <w:r>
        <w:rPr>
          <w:w w:val="138"/>
          <w:sz w:val="19"/>
        </w:rPr>
        <w:t>.</w:t>
      </w:r>
      <w:r>
        <w:rPr>
          <w:spacing w:val="12"/>
          <w:sz w:val="19"/>
        </w:rPr>
        <w:t> </w:t>
      </w:r>
      <w:r>
        <w:rPr>
          <w:w w:val="149"/>
          <w:sz w:val="19"/>
        </w:rPr>
        <w:t>s</w:t>
      </w:r>
      <w:r>
        <w:rPr>
          <w:w w:val="109"/>
          <w:sz w:val="19"/>
        </w:rPr>
        <w:t>erino </w:t>
      </w:r>
      <w:r>
        <w:rPr>
          <w:w w:val="115"/>
          <w:sz w:val="19"/>
        </w:rPr>
        <w:t>(eds.)</w:t>
      </w:r>
      <w:r>
        <w:rPr>
          <w:spacing w:val="-28"/>
          <w:w w:val="115"/>
          <w:sz w:val="19"/>
        </w:rPr>
        <w:t> </w:t>
      </w:r>
      <w:r>
        <w:rPr>
          <w:i/>
          <w:w w:val="115"/>
          <w:sz w:val="19"/>
        </w:rPr>
        <w:t>South-South</w:t>
      </w:r>
      <w:r>
        <w:rPr>
          <w:i/>
          <w:spacing w:val="-28"/>
          <w:w w:val="115"/>
          <w:sz w:val="19"/>
        </w:rPr>
        <w:t> </w:t>
      </w:r>
      <w:r>
        <w:rPr>
          <w:i/>
          <w:w w:val="115"/>
          <w:sz w:val="19"/>
        </w:rPr>
        <w:t>Globalization.</w:t>
      </w:r>
      <w:r>
        <w:rPr>
          <w:i/>
          <w:spacing w:val="-28"/>
          <w:w w:val="115"/>
          <w:sz w:val="19"/>
        </w:rPr>
        <w:t> </w:t>
      </w:r>
      <w:r>
        <w:rPr>
          <w:i/>
          <w:w w:val="115"/>
          <w:sz w:val="19"/>
        </w:rPr>
        <w:t>Challenges</w:t>
      </w:r>
      <w:r>
        <w:rPr>
          <w:i/>
          <w:spacing w:val="-28"/>
          <w:w w:val="115"/>
          <w:sz w:val="19"/>
        </w:rPr>
        <w:t> </w:t>
      </w:r>
      <w:r>
        <w:rPr>
          <w:i/>
          <w:w w:val="115"/>
          <w:sz w:val="19"/>
        </w:rPr>
        <w:t>and</w:t>
      </w:r>
      <w:r>
        <w:rPr>
          <w:i/>
          <w:spacing w:val="-28"/>
          <w:w w:val="115"/>
          <w:sz w:val="19"/>
        </w:rPr>
        <w:t> </w:t>
      </w:r>
      <w:r>
        <w:rPr>
          <w:i/>
          <w:w w:val="115"/>
          <w:sz w:val="19"/>
        </w:rPr>
        <w:t>opportunities</w:t>
      </w:r>
      <w:r>
        <w:rPr>
          <w:i/>
          <w:spacing w:val="-28"/>
          <w:w w:val="115"/>
          <w:sz w:val="19"/>
        </w:rPr>
        <w:t> </w:t>
      </w:r>
      <w:r>
        <w:rPr>
          <w:i/>
          <w:w w:val="115"/>
          <w:sz w:val="19"/>
        </w:rPr>
        <w:t>or </w:t>
      </w:r>
      <w:r>
        <w:rPr>
          <w:i/>
          <w:w w:val="115"/>
          <w:sz w:val="19"/>
        </w:rPr>
        <w:t>development </w:t>
      </w:r>
      <w:r>
        <w:rPr>
          <w:w w:val="115"/>
          <w:sz w:val="19"/>
        </w:rPr>
        <w:t>(New </w:t>
      </w:r>
      <w:r>
        <w:rPr>
          <w:spacing w:val="-4"/>
          <w:w w:val="115"/>
          <w:sz w:val="19"/>
        </w:rPr>
        <w:t>York: </w:t>
      </w:r>
      <w:r>
        <w:rPr>
          <w:w w:val="115"/>
          <w:sz w:val="19"/>
        </w:rPr>
        <w:t>routledge, </w:t>
      </w:r>
      <w:r>
        <w:rPr>
          <w:spacing w:val="-3"/>
          <w:w w:val="115"/>
          <w:sz w:val="19"/>
        </w:rPr>
        <w:t>taylor </w:t>
      </w:r>
      <w:r>
        <w:rPr>
          <w:w w:val="115"/>
          <w:sz w:val="19"/>
        </w:rPr>
        <w:t>&amp; Francis</w:t>
      </w:r>
      <w:r>
        <w:rPr>
          <w:spacing w:val="-31"/>
          <w:w w:val="115"/>
          <w:sz w:val="19"/>
        </w:rPr>
        <w:t> </w:t>
      </w:r>
      <w:r>
        <w:rPr>
          <w:w w:val="115"/>
          <w:sz w:val="19"/>
        </w:rPr>
        <w:t>Group).</w:t>
      </w:r>
    </w:p>
    <w:p>
      <w:pPr>
        <w:pStyle w:val="BodyText"/>
        <w:spacing w:line="252" w:lineRule="auto" w:before="28"/>
        <w:ind w:left="497" w:right="440" w:hanging="397"/>
      </w:pPr>
      <w:r>
        <w:rPr>
          <w:w w:val="105"/>
        </w:rPr>
        <w:t>Wallerstein, immanuel 1976 “semi-Peripheral Countries and the Contemporary  </w:t>
      </w:r>
      <w:r>
        <w:rPr>
          <w:spacing w:val="-3"/>
          <w:w w:val="105"/>
        </w:rPr>
        <w:t>World  </w:t>
      </w:r>
      <w:r>
        <w:rPr>
          <w:w w:val="105"/>
        </w:rPr>
        <w:t>Crisis”,  en  </w:t>
      </w:r>
      <w:r>
        <w:rPr>
          <w:i/>
          <w:w w:val="105"/>
        </w:rPr>
        <w:t>Theory  and  Society</w:t>
      </w:r>
      <w:r>
        <w:rPr>
          <w:w w:val="105"/>
        </w:rPr>
        <w:t>,  </w:t>
      </w:r>
      <w:r>
        <w:rPr>
          <w:spacing w:val="-4"/>
          <w:w w:val="105"/>
        </w:rPr>
        <w:t>Vol.  </w:t>
      </w:r>
      <w:r>
        <w:rPr>
          <w:w w:val="105"/>
        </w:rPr>
        <w:t>3,  Nº 4, pp. 461-483, en </w:t>
      </w:r>
      <w:hyperlink r:id="rId585">
        <w:r>
          <w:rPr>
            <w:w w:val="105"/>
          </w:rPr>
          <w:t>&lt;http://graduateinstitute.ch/files/live/sites/</w:t>
        </w:r>
      </w:hyperlink>
      <w:r>
        <w:rPr>
          <w:w w:val="105"/>
        </w:rPr>
        <w:t> </w:t>
      </w:r>
      <w:r>
        <w:rPr>
          <w:spacing w:val="-1"/>
          <w:w w:val="105"/>
        </w:rPr>
        <w:t>iheid/files/sites/mia/users/imene_ajala/public/Global%20trends/ </w:t>
      </w:r>
      <w:r>
        <w:rPr>
          <w:w w:val="105"/>
        </w:rPr>
        <w:t>wallerstein-semi-peripheral.pdf&gt;.</w:t>
      </w:r>
    </w:p>
    <w:p>
      <w:pPr>
        <w:pStyle w:val="BodyText"/>
        <w:spacing w:line="252" w:lineRule="auto" w:before="28"/>
        <w:ind w:left="497" w:right="194" w:hanging="397"/>
      </w:pPr>
      <w:r>
        <w:rPr>
          <w:w w:val="110"/>
        </w:rPr>
        <w:t>Wälti, sébastien 2009 </w:t>
      </w:r>
      <w:r>
        <w:rPr>
          <w:i/>
          <w:w w:val="110"/>
        </w:rPr>
        <w:t>The Myth of Decoupling</w:t>
      </w:r>
      <w:r>
        <w:rPr>
          <w:w w:val="110"/>
        </w:rPr>
        <w:t>, swiss National bank, MPra Paper Nº 20870, en </w:t>
      </w:r>
      <w:hyperlink r:id="rId586">
        <w:r>
          <w:rPr>
            <w:w w:val="110"/>
          </w:rPr>
          <w:t>&lt;http://mpra.ub.uni-muenchen.</w:t>
        </w:r>
      </w:hyperlink>
      <w:r>
        <w:rPr>
          <w:w w:val="110"/>
        </w:rPr>
        <w:t> de/20870/1/MPra_paper_20870.pdf&gt;.</w:t>
      </w:r>
    </w:p>
    <w:p>
      <w:pPr>
        <w:spacing w:after="0" w:line="252" w:lineRule="auto"/>
        <w:sectPr>
          <w:pgSz w:w="8790" w:h="12760"/>
          <w:pgMar w:header="695" w:footer="723" w:top="880" w:bottom="920" w:left="920" w:right="1200"/>
        </w:sectPr>
      </w:pPr>
    </w:p>
    <w:p>
      <w:pPr>
        <w:pStyle w:val="BodyText"/>
        <w:spacing w:before="4"/>
        <w:rPr>
          <w:rFonts w:ascii="Times New Roman"/>
          <w:sz w:val="17"/>
        </w:rPr>
      </w:pPr>
    </w:p>
    <w:p>
      <w:pPr>
        <w:spacing w:after="0"/>
        <w:rPr>
          <w:rFonts w:ascii="Times New Roman"/>
          <w:sz w:val="17"/>
        </w:rPr>
        <w:sectPr>
          <w:headerReference w:type="default" r:id="rId587"/>
          <w:footerReference w:type="default" r:id="rId588"/>
          <w:pgSz w:w="8790" w:h="12760"/>
          <w:pgMar w:header="0" w:footer="0" w:top="1180" w:bottom="280" w:left="1200" w:right="1200"/>
        </w:sectPr>
      </w:pPr>
    </w:p>
    <w:p>
      <w:pPr>
        <w:pStyle w:val="BodyText"/>
        <w:spacing w:before="4"/>
        <w:rPr>
          <w:rFonts w:ascii="Times New Roman"/>
          <w:sz w:val="17"/>
        </w:rPr>
      </w:pPr>
    </w:p>
    <w:p>
      <w:pPr>
        <w:spacing w:after="0"/>
        <w:rPr>
          <w:rFonts w:ascii="Times New Roman"/>
          <w:sz w:val="17"/>
        </w:rPr>
        <w:sectPr>
          <w:headerReference w:type="even" r:id="rId589"/>
          <w:footerReference w:type="even" r:id="rId590"/>
          <w:pgSz w:w="8790" w:h="12760"/>
          <w:pgMar w:header="0" w:footer="0" w:top="1180" w:bottom="280" w:left="1200" w:right="1200"/>
        </w:sectPr>
      </w:pPr>
    </w:p>
    <w:p>
      <w:pPr>
        <w:pStyle w:val="BodyText"/>
        <w:spacing w:before="4"/>
        <w:rPr>
          <w:rFonts w:ascii="Times New Roman"/>
          <w:sz w:val="17"/>
        </w:rPr>
      </w:pPr>
    </w:p>
    <w:sectPr>
      <w:headerReference w:type="default" r:id="rId591"/>
      <w:footerReference w:type="default" r:id="rId592"/>
      <w:pgSz w:w="8790" w:h="12760"/>
      <w:pgMar w:header="0" w:footer="0" w:top="1180" w:bottom="280" w:left="120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 w:name="Cambria">
    <w:altName w:val="Cambria"/>
    <w:charset w:val="0"/>
    <w:family w:val="roman"/>
    <w:pitch w:val="variable"/>
  </w:font>
  <w:font w:name="Trebuchet MS">
    <w:altName w:val="Trebuchet MS"/>
    <w:charset w:val="0"/>
    <w:family w:val="swiss"/>
    <w:pitch w:val="variable"/>
  </w:font>
  <w:font w:name="Meiryo">
    <w:altName w:val="Meiryo"/>
    <w:charset w:val="0"/>
    <w:family w:val="swiss"/>
    <w:pitch w:val="variable"/>
  </w:font>
  <w:font w:name="Georgia">
    <w:altName w:val="Georgia"/>
    <w:charset w:val="0"/>
    <w:family w:val="roman"/>
    <w:pitch w:val="variable"/>
  </w:font>
  <w:font w:name="Sakkal Majalla">
    <w:altName w:val="Sakkal Majalla"/>
    <w:charset w:val="0"/>
    <w:family w:val="auto"/>
    <w:pitch w:val="variable"/>
  </w:font>
  <w:font w:name="Franklin Gothic Medium">
    <w:altName w:val="Franklin Gothic Medium"/>
    <w:charset w:val="0"/>
    <w:family w:val="swiss"/>
    <w:pitch w:val="variable"/>
  </w:font>
  <w:font w:name="Tahoma">
    <w:altName w:val="Tahoma"/>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7560"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1.814789pt;margin-top:590.629333pt;width:12.05pt;height:12pt;mso-position-horizontal-relative:page;mso-position-vertical-relative:page;z-index:-257320" type="#_x0000_t202" filled="false" stroked="false">
          <v:textbox inset="0,0,0,0">
            <w:txbxContent>
              <w:p>
                <w:pPr>
                  <w:spacing w:line="219" w:lineRule="exact" w:before="0"/>
                  <w:ind w:left="20" w:right="-10" w:firstLine="0"/>
                  <w:jc w:val="left"/>
                  <w:rPr>
                    <w:sz w:val="20"/>
                  </w:rPr>
                </w:pPr>
                <w:r>
                  <w:rPr>
                    <w:w w:val="95"/>
                    <w:sz w:val="20"/>
                  </w:rPr>
                  <w:t>21</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484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192</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482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193</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4752" type="#_x0000_t202" filled="false" stroked="false">
          <v:textbox inset="0,0,0,0">
            <w:txbxContent>
              <w:p>
                <w:pPr>
                  <w:spacing w:line="219" w:lineRule="exact" w:before="0"/>
                  <w:ind w:left="20" w:right="0" w:firstLine="0"/>
                  <w:jc w:val="left"/>
                  <w:rPr>
                    <w:sz w:val="20"/>
                  </w:rPr>
                </w:pPr>
                <w:r>
                  <w:rPr>
                    <w:w w:val="90"/>
                    <w:sz w:val="20"/>
                  </w:rPr>
                  <w:t>198</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4728" type="#_x0000_t202" filled="false" stroked="false">
          <v:textbox inset="0,0,0,0">
            <w:txbxContent>
              <w:p>
                <w:pPr>
                  <w:spacing w:line="219" w:lineRule="exact" w:before="0"/>
                  <w:ind w:left="20" w:right="0" w:firstLine="0"/>
                  <w:jc w:val="left"/>
                  <w:rPr>
                    <w:sz w:val="20"/>
                  </w:rPr>
                </w:pPr>
                <w:r>
                  <w:rPr>
                    <w:w w:val="90"/>
                    <w:sz w:val="20"/>
                  </w:rPr>
                  <w:t>199</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4704" type="#_x0000_t202" filled="false" stroked="false">
          <v:textbox inset="0,0,0,0">
            <w:txbxContent>
              <w:p>
                <w:pPr>
                  <w:spacing w:line="219" w:lineRule="exact" w:before="0"/>
                  <w:ind w:left="20" w:right="0" w:firstLine="0"/>
                  <w:jc w:val="left"/>
                  <w:rPr>
                    <w:sz w:val="20"/>
                  </w:rPr>
                </w:pPr>
                <w:r>
                  <w:rPr>
                    <w:w w:val="90"/>
                    <w:sz w:val="20"/>
                  </w:rPr>
                  <w:t>200</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4680" type="#_x0000_t202" filled="false" stroked="false">
          <v:textbox inset="0,0,0,0">
            <w:txbxContent>
              <w:p>
                <w:pPr>
                  <w:spacing w:line="219" w:lineRule="exact" w:before="0"/>
                  <w:ind w:left="20" w:right="0" w:firstLine="0"/>
                  <w:jc w:val="left"/>
                  <w:rPr>
                    <w:sz w:val="20"/>
                  </w:rPr>
                </w:pPr>
                <w:r>
                  <w:rPr>
                    <w:w w:val="90"/>
                    <w:sz w:val="20"/>
                  </w:rPr>
                  <w:t>201</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4656" from="76.5354pt,500.290985pt" to="104.8814pt,500.290985pt" stroked="true" strokeweight=".5pt" strokecolor="#000000">
          <w10:wrap type="none"/>
        </v:line>
      </w:pict>
    </w:r>
    <w:r>
      <w:rPr/>
      <w:pict>
        <v:shape style="position:absolute;margin-left:75.5354pt;margin-top:590.521973pt;width:17.05pt;height:12pt;mso-position-horizontal-relative:page;mso-position-vertical-relative:page;z-index:-254632" type="#_x0000_t202" filled="false" stroked="false">
          <v:textbox inset="0,0,0,0">
            <w:txbxContent>
              <w:p>
                <w:pPr>
                  <w:spacing w:line="219" w:lineRule="exact" w:before="0"/>
                  <w:ind w:left="20" w:right="0" w:firstLine="0"/>
                  <w:jc w:val="left"/>
                  <w:rPr>
                    <w:sz w:val="20"/>
                  </w:rPr>
                </w:pPr>
                <w:r>
                  <w:rPr>
                    <w:w w:val="90"/>
                    <w:sz w:val="20"/>
                  </w:rPr>
                  <w:t>202</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4608" type="#_x0000_t202" filled="false" stroked="false">
          <v:textbox inset="0,0,0,0">
            <w:txbxContent>
              <w:p>
                <w:pPr>
                  <w:spacing w:line="219" w:lineRule="exact" w:before="0"/>
                  <w:ind w:left="40" w:right="0" w:firstLine="0"/>
                  <w:jc w:val="left"/>
                  <w:rPr>
                    <w:sz w:val="20"/>
                  </w:rPr>
                </w:pPr>
                <w:r>
                  <w:rPr>
                    <w:w w:val="95"/>
                    <w:sz w:val="20"/>
                  </w:rPr>
                  <w:t>203</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7296"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22</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458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204</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456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205</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4536" type="#_x0000_t202" filled="false" stroked="false">
          <v:textbox inset="0,0,0,0">
            <w:txbxContent>
              <w:p>
                <w:pPr>
                  <w:spacing w:line="219" w:lineRule="exact" w:before="0"/>
                  <w:ind w:left="20" w:right="0" w:firstLine="0"/>
                  <w:jc w:val="left"/>
                  <w:rPr>
                    <w:sz w:val="20"/>
                  </w:rPr>
                </w:pPr>
                <w:r>
                  <w:rPr>
                    <w:w w:val="90"/>
                    <w:sz w:val="20"/>
                  </w:rPr>
                  <w:t>210</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4512" type="#_x0000_t202" filled="false" stroked="false">
          <v:textbox inset="0,0,0,0">
            <w:txbxContent>
              <w:p>
                <w:pPr>
                  <w:spacing w:line="219" w:lineRule="exact" w:before="0"/>
                  <w:ind w:left="20" w:right="0" w:firstLine="0"/>
                  <w:jc w:val="left"/>
                  <w:rPr>
                    <w:sz w:val="20"/>
                  </w:rPr>
                </w:pPr>
                <w:r>
                  <w:rPr>
                    <w:w w:val="90"/>
                    <w:sz w:val="20"/>
                  </w:rPr>
                  <w:t>211</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448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212</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446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213</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4392" type="#_x0000_t202" filled="false" stroked="false">
          <v:textbox inset="0,0,0,0">
            <w:txbxContent>
              <w:p>
                <w:pPr>
                  <w:spacing w:line="219" w:lineRule="exact" w:before="0"/>
                  <w:ind w:left="20" w:right="0" w:firstLine="0"/>
                  <w:jc w:val="left"/>
                  <w:rPr>
                    <w:sz w:val="20"/>
                  </w:rPr>
                </w:pPr>
                <w:r>
                  <w:rPr>
                    <w:w w:val="90"/>
                    <w:sz w:val="20"/>
                  </w:rPr>
                  <w:t>220</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4368" type="#_x0000_t202" filled="false" stroked="false">
          <v:textbox inset="0,0,0,0">
            <w:txbxContent>
              <w:p>
                <w:pPr>
                  <w:spacing w:line="219" w:lineRule="exact" w:before="0"/>
                  <w:ind w:left="40" w:right="0" w:firstLine="0"/>
                  <w:jc w:val="left"/>
                  <w:rPr>
                    <w:sz w:val="20"/>
                  </w:rPr>
                </w:pPr>
                <w:r>
                  <w:rPr>
                    <w:w w:val="95"/>
                    <w:sz w:val="20"/>
                  </w:rPr>
                  <w:t>221</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434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222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432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223</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4296" type="#_x0000_t202" filled="false" stroked="false">
          <v:textbox inset="0,0,0,0">
            <w:txbxContent>
              <w:p>
                <w:pPr>
                  <w:spacing w:line="219" w:lineRule="exact" w:before="0"/>
                  <w:ind w:left="20" w:right="0" w:firstLine="0"/>
                  <w:jc w:val="left"/>
                  <w:rPr>
                    <w:sz w:val="20"/>
                  </w:rPr>
                </w:pPr>
                <w:r>
                  <w:rPr>
                    <w:w w:val="90"/>
                    <w:sz w:val="20"/>
                  </w:rPr>
                  <w:t>230</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4272" type="#_x0000_t202" filled="false" stroked="false">
          <v:textbox inset="0,0,0,0">
            <w:txbxContent>
              <w:p>
                <w:pPr>
                  <w:spacing w:line="219" w:lineRule="exact" w:before="0"/>
                  <w:ind w:left="20" w:right="0" w:firstLine="0"/>
                  <w:jc w:val="left"/>
                  <w:rPr>
                    <w:sz w:val="20"/>
                  </w:rPr>
                </w:pPr>
                <w:r>
                  <w:rPr>
                    <w:w w:val="90"/>
                    <w:sz w:val="20"/>
                  </w:rPr>
                  <w:t>231</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424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232</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422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233</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4200" type="#_x0000_t202" filled="false" stroked="false">
          <v:textbox inset="0,0,0,0">
            <w:txbxContent>
              <w:p>
                <w:pPr>
                  <w:spacing w:line="219" w:lineRule="exact" w:before="0"/>
                  <w:ind w:left="20" w:right="0" w:firstLine="0"/>
                  <w:jc w:val="left"/>
                  <w:rPr>
                    <w:sz w:val="20"/>
                  </w:rPr>
                </w:pPr>
                <w:r>
                  <w:rPr>
                    <w:w w:val="90"/>
                    <w:sz w:val="20"/>
                  </w:rPr>
                  <w:t>240</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4176" type="#_x0000_t202" filled="false" stroked="false">
          <v:textbox inset="0,0,0,0">
            <w:txbxContent>
              <w:p>
                <w:pPr>
                  <w:spacing w:line="219" w:lineRule="exact" w:before="0"/>
                  <w:ind w:left="20" w:right="0" w:firstLine="0"/>
                  <w:jc w:val="left"/>
                  <w:rPr>
                    <w:sz w:val="20"/>
                  </w:rPr>
                </w:pPr>
                <w:r>
                  <w:rPr>
                    <w:w w:val="90"/>
                    <w:sz w:val="20"/>
                  </w:rPr>
                  <w:t>241</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415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242</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412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243</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7224"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24</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4056" type="#_x0000_t202" filled="false" stroked="false">
          <v:textbox inset="0,0,0,0">
            <w:txbxContent>
              <w:p>
                <w:pPr>
                  <w:spacing w:line="219" w:lineRule="exact" w:before="0"/>
                  <w:ind w:left="20" w:right="0" w:firstLine="0"/>
                  <w:jc w:val="left"/>
                  <w:rPr>
                    <w:sz w:val="20"/>
                  </w:rPr>
                </w:pPr>
                <w:r>
                  <w:rPr>
                    <w:w w:val="90"/>
                    <w:sz w:val="20"/>
                  </w:rPr>
                  <w:t>252</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4032" type="#_x0000_t202" filled="false" stroked="false">
          <v:textbox inset="0,0,0,0">
            <w:txbxContent>
              <w:p>
                <w:pPr>
                  <w:spacing w:line="219" w:lineRule="exact" w:before="0"/>
                  <w:ind w:left="40" w:right="0" w:firstLine="0"/>
                  <w:jc w:val="left"/>
                  <w:rPr>
                    <w:sz w:val="20"/>
                  </w:rPr>
                </w:pPr>
                <w:r>
                  <w:rPr>
                    <w:w w:val="95"/>
                    <w:sz w:val="20"/>
                  </w:rPr>
                  <w:t>253</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400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254</w:t>
                </w:r>
                <w:r>
                  <w:rPr/>
                  <w:fldChar w:fldCharType="end"/>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398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255</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3960" type="#_x0000_t202" filled="false" stroked="false">
          <v:textbox inset="0,0,0,0">
            <w:txbxContent>
              <w:p>
                <w:pPr>
                  <w:spacing w:line="219" w:lineRule="exact" w:before="0"/>
                  <w:ind w:left="20" w:right="0" w:firstLine="0"/>
                  <w:jc w:val="left"/>
                  <w:rPr>
                    <w:sz w:val="20"/>
                  </w:rPr>
                </w:pPr>
                <w:r>
                  <w:rPr>
                    <w:w w:val="90"/>
                    <w:sz w:val="20"/>
                  </w:rPr>
                  <w:t>260</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3936" type="#_x0000_t202" filled="false" stroked="false">
          <v:textbox inset="0,0,0,0">
            <w:txbxContent>
              <w:p>
                <w:pPr>
                  <w:spacing w:line="219" w:lineRule="exact" w:before="0"/>
                  <w:ind w:left="20" w:right="0" w:firstLine="0"/>
                  <w:jc w:val="left"/>
                  <w:rPr>
                    <w:sz w:val="20"/>
                  </w:rPr>
                </w:pPr>
                <w:r>
                  <w:rPr>
                    <w:w w:val="90"/>
                    <w:sz w:val="20"/>
                  </w:rPr>
                  <w:t>261</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391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262</w:t>
                </w:r>
                <w:r>
                  <w:rPr/>
                  <w:fldChar w:fldCharType="end"/>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388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263</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7200"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25</w:t>
                </w:r>
                <w:r>
                  <w:rPr/>
                  <w:fldChar w:fldCharType="end"/>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3864" type="#_x0000_t202" filled="false" stroked="false">
          <v:textbox inset="0,0,0,0">
            <w:txbxContent>
              <w:p>
                <w:pPr>
                  <w:spacing w:line="219" w:lineRule="exact" w:before="0"/>
                  <w:ind w:left="20" w:right="0" w:firstLine="0"/>
                  <w:jc w:val="left"/>
                  <w:rPr>
                    <w:sz w:val="20"/>
                  </w:rPr>
                </w:pPr>
                <w:r>
                  <w:rPr>
                    <w:w w:val="90"/>
                    <w:sz w:val="20"/>
                  </w:rPr>
                  <w:t>270</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3840" type="#_x0000_t202" filled="false" stroked="false">
          <v:textbox inset="0,0,0,0">
            <w:txbxContent>
              <w:p>
                <w:pPr>
                  <w:spacing w:line="219" w:lineRule="exact" w:before="0"/>
                  <w:ind w:left="20" w:right="0" w:firstLine="0"/>
                  <w:jc w:val="left"/>
                  <w:rPr>
                    <w:sz w:val="20"/>
                  </w:rPr>
                </w:pPr>
                <w:r>
                  <w:rPr>
                    <w:w w:val="90"/>
                    <w:sz w:val="20"/>
                  </w:rPr>
                  <w:t>271</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376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274</w:t>
                </w:r>
                <w:r>
                  <w:rPr/>
                  <w:fldChar w:fldCharType="end"/>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374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275</w:t>
                </w:r>
                <w:r>
                  <w:rPr/>
                  <w:fldChar w:fldCharType="end"/>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3720" type="#_x0000_t202" filled="false" stroked="false">
          <v:textbox inset="0,0,0,0">
            <w:txbxContent>
              <w:p>
                <w:pPr>
                  <w:spacing w:line="219" w:lineRule="exact" w:before="0"/>
                  <w:ind w:left="20" w:right="0" w:firstLine="0"/>
                  <w:jc w:val="left"/>
                  <w:rPr>
                    <w:sz w:val="20"/>
                  </w:rPr>
                </w:pPr>
                <w:r>
                  <w:rPr>
                    <w:w w:val="90"/>
                    <w:sz w:val="20"/>
                  </w:rPr>
                  <w:t>280</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3696" type="#_x0000_t202" filled="false" stroked="false">
          <v:textbox inset="0,0,0,0">
            <w:txbxContent>
              <w:p>
                <w:pPr>
                  <w:spacing w:line="219" w:lineRule="exact" w:before="0"/>
                  <w:ind w:left="20" w:right="0" w:firstLine="0"/>
                  <w:jc w:val="left"/>
                  <w:rPr>
                    <w:sz w:val="20"/>
                  </w:rPr>
                </w:pPr>
                <w:r>
                  <w:rPr>
                    <w:w w:val="90"/>
                    <w:sz w:val="20"/>
                  </w:rPr>
                  <w:t>281</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367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282</w:t>
                </w:r>
                <w:r>
                  <w:rPr/>
                  <w:fldChar w:fldCharType="end"/>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364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283</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2.05pt;height:12pt;mso-position-horizontal-relative:page;mso-position-vertical-relative:page;z-index:-257176" type="#_x0000_t202" filled="false" stroked="false">
          <v:textbox inset="0,0,0,0">
            <w:txbxContent>
              <w:p>
                <w:pPr>
                  <w:spacing w:line="219" w:lineRule="exact" w:before="0"/>
                  <w:ind w:left="20" w:right="-10" w:firstLine="0"/>
                  <w:jc w:val="left"/>
                  <w:rPr>
                    <w:sz w:val="20"/>
                  </w:rPr>
                </w:pPr>
                <w:r>
                  <w:rPr>
                    <w:w w:val="95"/>
                    <w:sz w:val="20"/>
                  </w:rPr>
                  <w:t>30</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3624" type="#_x0000_t202" filled="false" stroked="false">
          <v:textbox inset="0,0,0,0">
            <w:txbxContent>
              <w:p>
                <w:pPr>
                  <w:spacing w:line="219" w:lineRule="exact" w:before="0"/>
                  <w:ind w:left="20" w:right="0" w:firstLine="0"/>
                  <w:jc w:val="left"/>
                  <w:rPr>
                    <w:sz w:val="20"/>
                  </w:rPr>
                </w:pPr>
                <w:r>
                  <w:rPr>
                    <w:w w:val="90"/>
                    <w:sz w:val="20"/>
                  </w:rPr>
                  <w:t>290</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3600" type="#_x0000_t202" filled="false" stroked="false">
          <v:textbox inset="0,0,0,0">
            <w:txbxContent>
              <w:p>
                <w:pPr>
                  <w:spacing w:line="219" w:lineRule="exact" w:before="0"/>
                  <w:ind w:left="20" w:right="0" w:firstLine="0"/>
                  <w:jc w:val="left"/>
                  <w:rPr>
                    <w:sz w:val="20"/>
                  </w:rPr>
                </w:pPr>
                <w:r>
                  <w:rPr>
                    <w:w w:val="90"/>
                    <w:sz w:val="20"/>
                  </w:rPr>
                  <w:t>291</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3576"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292</w:t>
                </w:r>
                <w:r>
                  <w:rPr/>
                  <w:fldChar w:fldCharType="end"/>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355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293</w:t>
                </w:r>
                <w:r>
                  <w:rPr/>
                  <w:fldChar w:fldCharType="end"/>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348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304</w:t>
                </w:r>
                <w:r>
                  <w:rPr/>
                  <w:fldChar w:fldCharType="end"/>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3456"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305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1.814789pt;margin-top:590.629333pt;width:12.05pt;height:12pt;mso-position-horizontal-relative:page;mso-position-vertical-relative:page;z-index:-257152" type="#_x0000_t202" filled="false" stroked="false">
          <v:textbox inset="0,0,0,0">
            <w:txbxContent>
              <w:p>
                <w:pPr>
                  <w:spacing w:line="219" w:lineRule="exact" w:before="0"/>
                  <w:ind w:left="20" w:right="-10" w:firstLine="0"/>
                  <w:jc w:val="left"/>
                  <w:rPr>
                    <w:sz w:val="20"/>
                  </w:rPr>
                </w:pPr>
                <w:r>
                  <w:rPr>
                    <w:w w:val="95"/>
                    <w:sz w:val="20"/>
                  </w:rPr>
                  <w:t>31</w:t>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3432" type="#_x0000_t202" filled="false" stroked="false">
          <v:textbox inset="0,0,0,0">
            <w:txbxContent>
              <w:p>
                <w:pPr>
                  <w:spacing w:line="219" w:lineRule="exact" w:before="0"/>
                  <w:ind w:left="20" w:right="0" w:firstLine="0"/>
                  <w:jc w:val="left"/>
                  <w:rPr>
                    <w:sz w:val="20"/>
                  </w:rPr>
                </w:pPr>
                <w:r>
                  <w:rPr>
                    <w:w w:val="90"/>
                    <w:sz w:val="20"/>
                  </w:rPr>
                  <w:t>310</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3408" type="#_x0000_t202" filled="false" stroked="false">
          <v:textbox inset="0,0,0,0">
            <w:txbxContent>
              <w:p>
                <w:pPr>
                  <w:spacing w:line="219" w:lineRule="exact" w:before="0"/>
                  <w:ind w:left="20" w:right="0" w:firstLine="0"/>
                  <w:jc w:val="left"/>
                  <w:rPr>
                    <w:sz w:val="20"/>
                  </w:rPr>
                </w:pPr>
                <w:r>
                  <w:rPr>
                    <w:w w:val="90"/>
                    <w:sz w:val="20"/>
                  </w:rPr>
                  <w:t>311</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338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312</w:t>
                </w:r>
                <w:r>
                  <w:rPr/>
                  <w:fldChar w:fldCharType="end"/>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336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313</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3336" type="#_x0000_t202" filled="false" stroked="false">
          <v:textbox inset="0,0,0,0">
            <w:txbxContent>
              <w:p>
                <w:pPr>
                  <w:spacing w:line="219" w:lineRule="exact" w:before="0"/>
                  <w:ind w:left="20" w:right="0" w:firstLine="0"/>
                  <w:jc w:val="left"/>
                  <w:rPr>
                    <w:sz w:val="20"/>
                  </w:rPr>
                </w:pPr>
                <w:r>
                  <w:rPr>
                    <w:w w:val="90"/>
                    <w:sz w:val="20"/>
                  </w:rPr>
                  <w:t>320</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3312" type="#_x0000_t202" filled="false" stroked="false">
          <v:textbox inset="0,0,0,0">
            <w:txbxContent>
              <w:p>
                <w:pPr>
                  <w:spacing w:line="219" w:lineRule="exact" w:before="0"/>
                  <w:ind w:left="20" w:right="0" w:firstLine="0"/>
                  <w:jc w:val="left"/>
                  <w:rPr>
                    <w:sz w:val="20"/>
                  </w:rPr>
                </w:pPr>
                <w:r>
                  <w:rPr>
                    <w:w w:val="90"/>
                    <w:sz w:val="20"/>
                  </w:rPr>
                  <w:t>321</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324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324</w:t>
                </w:r>
                <w:r>
                  <w:rPr/>
                  <w:fldChar w:fldCharType="end"/>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3216"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325</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7128"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32</w:t>
                </w:r>
                <w:r>
                  <w:rPr/>
                  <w:fldChar w:fldCharType="end"/>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3192" type="#_x0000_t202" filled="false" stroked="false">
          <v:textbox inset="0,0,0,0">
            <w:txbxContent>
              <w:p>
                <w:pPr>
                  <w:spacing w:line="219" w:lineRule="exact" w:before="0"/>
                  <w:ind w:left="20" w:right="0" w:firstLine="0"/>
                  <w:jc w:val="left"/>
                  <w:rPr>
                    <w:sz w:val="20"/>
                  </w:rPr>
                </w:pPr>
                <w:r>
                  <w:rPr>
                    <w:w w:val="90"/>
                    <w:sz w:val="20"/>
                  </w:rPr>
                  <w:t>330</w:t>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3168" type="#_x0000_t202" filled="false" stroked="false">
          <v:textbox inset="0,0,0,0">
            <w:txbxContent>
              <w:p>
                <w:pPr>
                  <w:spacing w:line="219" w:lineRule="exact" w:before="0"/>
                  <w:ind w:left="20" w:right="0" w:firstLine="0"/>
                  <w:jc w:val="left"/>
                  <w:rPr>
                    <w:sz w:val="20"/>
                  </w:rPr>
                </w:pPr>
                <w:r>
                  <w:rPr>
                    <w:w w:val="90"/>
                    <w:sz w:val="20"/>
                  </w:rPr>
                  <w:t>331</w:t>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314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332</w:t>
                </w:r>
                <w:r>
                  <w:rPr/>
                  <w:fldChar w:fldCharType="end"/>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312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333</w:t>
                </w:r>
                <w:r>
                  <w:rPr/>
                  <w:fldChar w:fldCharType="end"/>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3096" type="#_x0000_t202" filled="false" stroked="false">
          <v:textbox inset="0,0,0,0">
            <w:txbxContent>
              <w:p>
                <w:pPr>
                  <w:spacing w:line="219" w:lineRule="exact" w:before="0"/>
                  <w:ind w:left="20" w:right="0" w:firstLine="0"/>
                  <w:jc w:val="left"/>
                  <w:rPr>
                    <w:sz w:val="20"/>
                  </w:rPr>
                </w:pPr>
                <w:r>
                  <w:rPr>
                    <w:w w:val="90"/>
                    <w:sz w:val="20"/>
                  </w:rPr>
                  <w:t>340</w:t>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3072" type="#_x0000_t202" filled="false" stroked="false">
          <v:textbox inset="0,0,0,0">
            <w:txbxContent>
              <w:p>
                <w:pPr>
                  <w:spacing w:line="219" w:lineRule="exact" w:before="0"/>
                  <w:ind w:left="20" w:right="0" w:firstLine="0"/>
                  <w:jc w:val="left"/>
                  <w:rPr>
                    <w:sz w:val="20"/>
                  </w:rPr>
                </w:pPr>
                <w:r>
                  <w:rPr>
                    <w:w w:val="90"/>
                    <w:sz w:val="20"/>
                  </w:rPr>
                  <w:t>341</w:t>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304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342</w:t>
                </w:r>
                <w:r>
                  <w:rPr/>
                  <w:fldChar w:fldCharType="end"/>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302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343</w:t>
                </w:r>
                <w:r>
                  <w:rPr/>
                  <w:fldChar w:fldCharType="end"/>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2952" type="#_x0000_t202" filled="false" stroked="false">
          <v:textbox inset="0,0,0,0">
            <w:txbxContent>
              <w:p>
                <w:pPr>
                  <w:spacing w:line="219" w:lineRule="exact" w:before="0"/>
                  <w:ind w:left="20" w:right="0" w:firstLine="0"/>
                  <w:jc w:val="left"/>
                  <w:rPr>
                    <w:sz w:val="20"/>
                  </w:rPr>
                </w:pPr>
                <w:r>
                  <w:rPr>
                    <w:w w:val="90"/>
                    <w:sz w:val="20"/>
                  </w:rPr>
                  <w:t>350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7104"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33</w:t>
                </w:r>
                <w:r>
                  <w:rPr/>
                  <w:fldChar w:fldCharType="end"/>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2928" type="#_x0000_t202" filled="false" stroked="false">
          <v:textbox inset="0,0,0,0">
            <w:txbxContent>
              <w:p>
                <w:pPr>
                  <w:spacing w:line="219" w:lineRule="exact" w:before="0"/>
                  <w:ind w:left="40" w:right="0" w:firstLine="0"/>
                  <w:jc w:val="left"/>
                  <w:rPr>
                    <w:sz w:val="20"/>
                  </w:rPr>
                </w:pPr>
                <w:r>
                  <w:rPr>
                    <w:w w:val="95"/>
                    <w:sz w:val="20"/>
                  </w:rPr>
                  <w:t>351</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290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352</w:t>
                </w:r>
                <w:r>
                  <w:rPr/>
                  <w:fldChar w:fldCharType="end"/>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288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353</w:t>
                </w:r>
                <w:r>
                  <w:rPr/>
                  <w:fldChar w:fldCharType="end"/>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2856" type="#_x0000_t202" filled="false" stroked="false">
          <v:textbox inset="0,0,0,0">
            <w:txbxContent>
              <w:p>
                <w:pPr>
                  <w:spacing w:line="219" w:lineRule="exact" w:before="0"/>
                  <w:ind w:left="20" w:right="0" w:firstLine="0"/>
                  <w:jc w:val="left"/>
                  <w:rPr>
                    <w:sz w:val="20"/>
                  </w:rPr>
                </w:pPr>
                <w:r>
                  <w:rPr>
                    <w:w w:val="90"/>
                    <w:sz w:val="20"/>
                  </w:rPr>
                  <w:t>360</w:t>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2832" type="#_x0000_t202" filled="false" stroked="false">
          <v:textbox inset="0,0,0,0">
            <w:txbxContent>
              <w:p>
                <w:pPr>
                  <w:spacing w:line="219" w:lineRule="exact" w:before="0"/>
                  <w:ind w:left="20" w:right="0" w:firstLine="0"/>
                  <w:jc w:val="left"/>
                  <w:rPr>
                    <w:sz w:val="20"/>
                  </w:rPr>
                </w:pPr>
                <w:r>
                  <w:rPr>
                    <w:w w:val="90"/>
                    <w:sz w:val="20"/>
                  </w:rPr>
                  <w:t>361</w:t>
                </w:r>
              </w:p>
            </w:txbxContent>
          </v:textbox>
          <w10:wrap type="none"/>
        </v:shape>
      </w:pict>
    </w: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280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362</w:t>
                </w:r>
                <w:r>
                  <w:rPr/>
                  <w:fldChar w:fldCharType="end"/>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278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363</w:t>
                </w:r>
                <w:r>
                  <w:rPr/>
                  <w:fldChar w:fldCharType="end"/>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2760" type="#_x0000_t202" filled="false" stroked="false">
          <v:textbox inset="0,0,0,0">
            <w:txbxContent>
              <w:p>
                <w:pPr>
                  <w:spacing w:line="219" w:lineRule="exact" w:before="0"/>
                  <w:ind w:left="20" w:right="0" w:firstLine="0"/>
                  <w:jc w:val="left"/>
                  <w:rPr>
                    <w:sz w:val="20"/>
                  </w:rPr>
                </w:pPr>
                <w:r>
                  <w:rPr>
                    <w:w w:val="90"/>
                    <w:sz w:val="20"/>
                  </w:rPr>
                  <w:t>370</w:t>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2736" type="#_x0000_t202" filled="false" stroked="false">
          <v:textbox inset="0,0,0,0">
            <w:txbxContent>
              <w:p>
                <w:pPr>
                  <w:spacing w:line="219" w:lineRule="exact" w:before="0"/>
                  <w:ind w:left="20" w:right="0" w:firstLine="0"/>
                  <w:jc w:val="left"/>
                  <w:rPr>
                    <w:sz w:val="20"/>
                  </w:rPr>
                </w:pPr>
                <w:r>
                  <w:rPr>
                    <w:w w:val="90"/>
                    <w:sz w:val="20"/>
                  </w:rPr>
                  <w:t>371</w:t>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271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372</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268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373</w:t>
                </w:r>
                <w:r>
                  <w:rPr/>
                  <w:fldChar w:fldCharType="end"/>
                </w:r>
              </w:p>
            </w:txbxContent>
          </v:textbox>
          <w10:wrap type="none"/>
        </v:shape>
      </w:pict>
    </w: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2616" type="#_x0000_t202" filled="false" stroked="false">
          <v:textbox inset="0,0,0,0">
            <w:txbxContent>
              <w:p>
                <w:pPr>
                  <w:spacing w:line="219" w:lineRule="exact" w:before="0"/>
                  <w:ind w:left="20" w:right="0" w:firstLine="0"/>
                  <w:jc w:val="left"/>
                  <w:rPr>
                    <w:sz w:val="20"/>
                  </w:rPr>
                </w:pPr>
                <w:r>
                  <w:rPr>
                    <w:w w:val="90"/>
                    <w:sz w:val="20"/>
                  </w:rPr>
                  <w:t>382</w:t>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2592" type="#_x0000_t202" filled="false" stroked="false">
          <v:textbox inset="0,0,0,0">
            <w:txbxContent>
              <w:p>
                <w:pPr>
                  <w:spacing w:line="219" w:lineRule="exact" w:before="0"/>
                  <w:ind w:left="40" w:right="0" w:firstLine="0"/>
                  <w:jc w:val="left"/>
                  <w:rPr>
                    <w:sz w:val="20"/>
                  </w:rPr>
                </w:pPr>
                <w:r>
                  <w:rPr>
                    <w:w w:val="95"/>
                    <w:sz w:val="20"/>
                  </w:rPr>
                  <w:t>383</w:t>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256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384</w:t>
                </w:r>
                <w:r>
                  <w:rPr/>
                  <w:fldChar w:fldCharType="end"/>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254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385</w:t>
                </w:r>
                <w:r>
                  <w:rPr/>
                  <w:fldChar w:fldCharType="end"/>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2520" from="51.023602pt,493.625671pt" to="79.369602pt,493.625671pt" stroked="true" strokeweight=".5pt" strokecolor="#000000">
          <w10:wrap type="none"/>
        </v:line>
      </w:pict>
    </w:r>
    <w:r>
      <w:rPr/>
      <w:pict>
        <v:shape style="position:absolute;margin-left:346.804901pt;margin-top:590.629333pt;width:17.05pt;height:12pt;mso-position-horizontal-relative:page;mso-position-vertical-relative:page;z-index:-252496" type="#_x0000_t202" filled="false" stroked="false">
          <v:textbox inset="0,0,0,0">
            <w:txbxContent>
              <w:p>
                <w:pPr>
                  <w:spacing w:line="219" w:lineRule="exact" w:before="0"/>
                  <w:ind w:left="20" w:right="0" w:firstLine="0"/>
                  <w:jc w:val="left"/>
                  <w:rPr>
                    <w:sz w:val="20"/>
                  </w:rPr>
                </w:pPr>
                <w:r>
                  <w:rPr>
                    <w:w w:val="90"/>
                    <w:sz w:val="20"/>
                  </w:rPr>
                  <w:t>387</w:t>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2472" type="#_x0000_t202" filled="false" stroked="false">
          <v:textbox inset="0,0,0,0">
            <w:txbxContent>
              <w:p>
                <w:pPr>
                  <w:spacing w:line="219" w:lineRule="exact" w:before="0"/>
                  <w:ind w:left="40" w:right="0" w:firstLine="0"/>
                  <w:jc w:val="left"/>
                  <w:rPr>
                    <w:sz w:val="20"/>
                  </w:rPr>
                </w:pPr>
                <w:r>
                  <w:rPr>
                    <w:w w:val="95"/>
                    <w:sz w:val="20"/>
                  </w:rPr>
                  <w:t>388</w:t>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2448" type="#_x0000_t202" filled="false" stroked="false">
          <v:textbox inset="0,0,0,0">
            <w:txbxContent>
              <w:p>
                <w:pPr>
                  <w:spacing w:line="219" w:lineRule="exact" w:before="0"/>
                  <w:ind w:left="20" w:right="0" w:firstLine="0"/>
                  <w:jc w:val="left"/>
                  <w:rPr>
                    <w:sz w:val="20"/>
                  </w:rPr>
                </w:pPr>
                <w:r>
                  <w:rPr>
                    <w:w w:val="90"/>
                    <w:sz w:val="20"/>
                  </w:rPr>
                  <w:t>389</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7536"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11</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2424" type="#_x0000_t202" filled="false" stroked="false">
          <v:textbox inset="0,0,0,0">
            <w:txbxContent>
              <w:p>
                <w:pPr>
                  <w:spacing w:line="219" w:lineRule="exact" w:before="0"/>
                  <w:ind w:left="20" w:right="0" w:firstLine="0"/>
                  <w:jc w:val="left"/>
                  <w:rPr>
                    <w:sz w:val="20"/>
                  </w:rPr>
                </w:pPr>
                <w:r>
                  <w:rPr>
                    <w:w w:val="90"/>
                    <w:sz w:val="20"/>
                  </w:rPr>
                  <w:t>390</w:t>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2400" from="51.023602pt,524.960388pt" to="79.369602pt,524.960388pt" stroked="true" strokeweight=".5pt" strokecolor="#000000">
          <w10:wrap type="none"/>
        </v:line>
      </w:pict>
    </w:r>
    <w:r>
      <w:rPr/>
      <w:pict>
        <v:shape style="position:absolute;margin-left:346.804901pt;margin-top:590.629333pt;width:17.05pt;height:12pt;mso-position-horizontal-relative:page;mso-position-vertical-relative:page;z-index:-252376" type="#_x0000_t202" filled="false" stroked="false">
          <v:textbox inset="0,0,0,0">
            <w:txbxContent>
              <w:p>
                <w:pPr>
                  <w:spacing w:line="219" w:lineRule="exact" w:before="0"/>
                  <w:ind w:left="20" w:right="0" w:firstLine="0"/>
                  <w:jc w:val="left"/>
                  <w:rPr>
                    <w:sz w:val="20"/>
                  </w:rPr>
                </w:pPr>
                <w:r>
                  <w:rPr>
                    <w:w w:val="90"/>
                    <w:sz w:val="20"/>
                  </w:rPr>
                  <w:t>391</w:t>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2352" type="#_x0000_t202" filled="false" stroked="false">
          <v:textbox inset="0,0,0,0">
            <w:txbxContent>
              <w:p>
                <w:pPr>
                  <w:spacing w:line="219" w:lineRule="exact" w:before="0"/>
                  <w:ind w:left="40" w:right="0" w:firstLine="0"/>
                  <w:jc w:val="left"/>
                  <w:rPr>
                    <w:sz w:val="20"/>
                  </w:rPr>
                </w:pPr>
                <w:r>
                  <w:rPr>
                    <w:w w:val="95"/>
                    <w:sz w:val="20"/>
                  </w:rPr>
                  <w:t>392</w:t>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232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393</w:t>
                </w:r>
                <w:r>
                  <w:rPr/>
                  <w:fldChar w:fldCharType="end"/>
                </w:r>
              </w:p>
            </w:txbxContent>
          </v:textbox>
          <w10:wrap type="none"/>
        </v:shape>
      </w:pict>
    </w: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230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394</w:t>
                </w:r>
                <w:r>
                  <w:rPr/>
                  <w:fldChar w:fldCharType="end"/>
                </w:r>
              </w:p>
            </w:txbxContent>
          </v:textbox>
          <w10:wrap type="none"/>
        </v:shape>
      </w:pict>
    </w: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2280" type="#_x0000_t202" filled="false" stroked="false">
          <v:textbox inset="0,0,0,0">
            <w:txbxContent>
              <w:p>
                <w:pPr>
                  <w:spacing w:line="219" w:lineRule="exact" w:before="0"/>
                  <w:ind w:left="20" w:right="0" w:firstLine="0"/>
                  <w:jc w:val="left"/>
                  <w:rPr>
                    <w:sz w:val="20"/>
                  </w:rPr>
                </w:pPr>
                <w:r>
                  <w:rPr>
                    <w:w w:val="90"/>
                    <w:sz w:val="20"/>
                  </w:rPr>
                  <w:t>400</w:t>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2256" type="#_x0000_t202" filled="false" stroked="false">
          <v:textbox inset="0,0,0,0">
            <w:txbxContent>
              <w:p>
                <w:pPr>
                  <w:spacing w:line="219" w:lineRule="exact" w:before="0"/>
                  <w:ind w:left="20" w:right="0" w:firstLine="0"/>
                  <w:jc w:val="left"/>
                  <w:rPr>
                    <w:sz w:val="20"/>
                  </w:rPr>
                </w:pPr>
                <w:r>
                  <w:rPr>
                    <w:w w:val="90"/>
                    <w:sz w:val="20"/>
                  </w:rPr>
                  <w:t>401</w:t>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223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402</w:t>
                </w:r>
                <w:r>
                  <w:rPr/>
                  <w:fldChar w:fldCharType="end"/>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2208" type="#_x0000_t202" filled="false" stroked="false">
          <v:textbox inset="0,0,0,0">
            <w:txbxContent>
              <w:p>
                <w:pPr>
                  <w:spacing w:line="219" w:lineRule="exact" w:before="0"/>
                  <w:ind w:left="20" w:right="0" w:firstLine="0"/>
                  <w:jc w:val="left"/>
                  <w:rPr>
                    <w:sz w:val="20"/>
                  </w:rPr>
                </w:pPr>
                <w:r>
                  <w:rPr>
                    <w:w w:val="90"/>
                    <w:sz w:val="20"/>
                  </w:rPr>
                  <w:t>403</w:t>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2184" from="51.023602pt,546.794983pt" to="79.369602pt,546.794983pt" stroked="true" strokeweight=".5pt" strokecolor="#000000">
          <w10:wrap type="none"/>
        </v:line>
      </w:pict>
    </w:r>
    <w:r>
      <w:rPr/>
      <w:pict>
        <v:shape style="position:absolute;margin-left:346.804901pt;margin-top:590.629333pt;width:17.05pt;height:12pt;mso-position-horizontal-relative:page;mso-position-vertical-relative:page;z-index:-252160" type="#_x0000_t202" filled="false" stroked="false">
          <v:textbox inset="0,0,0,0">
            <w:txbxContent>
              <w:p>
                <w:pPr>
                  <w:spacing w:line="219" w:lineRule="exact" w:before="0"/>
                  <w:ind w:left="20" w:right="0" w:firstLine="0"/>
                  <w:jc w:val="left"/>
                  <w:rPr>
                    <w:sz w:val="20"/>
                  </w:rPr>
                </w:pPr>
                <w:r>
                  <w:rPr>
                    <w:w w:val="90"/>
                    <w:sz w:val="20"/>
                  </w:rPr>
                  <w:t>405</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2136" type="#_x0000_t202" filled="false" stroked="false">
          <v:textbox inset="0,0,0,0">
            <w:txbxContent>
              <w:p>
                <w:pPr>
                  <w:spacing w:line="219" w:lineRule="exact" w:before="0"/>
                  <w:ind w:left="40" w:right="0" w:firstLine="0"/>
                  <w:jc w:val="left"/>
                  <w:rPr>
                    <w:sz w:val="20"/>
                  </w:rPr>
                </w:pPr>
                <w:r>
                  <w:rPr>
                    <w:w w:val="95"/>
                    <w:sz w:val="20"/>
                  </w:rPr>
                  <w:t>406</w:t>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211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407</w:t>
                </w:r>
                <w:r>
                  <w:rPr/>
                  <w:fldChar w:fldCharType="end"/>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208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408</w:t>
                </w:r>
                <w:r>
                  <w:rPr/>
                  <w:fldChar w:fldCharType="end"/>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2064" type="#_x0000_t202" filled="false" stroked="false">
          <v:textbox inset="0,0,0,0">
            <w:txbxContent>
              <w:p>
                <w:pPr>
                  <w:spacing w:line="219" w:lineRule="exact" w:before="0"/>
                  <w:ind w:left="20" w:right="0" w:firstLine="0"/>
                  <w:jc w:val="left"/>
                  <w:rPr>
                    <w:sz w:val="20"/>
                  </w:rPr>
                </w:pPr>
                <w:r>
                  <w:rPr>
                    <w:w w:val="90"/>
                    <w:sz w:val="20"/>
                  </w:rPr>
                  <w:t>410</w:t>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199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412</w:t>
                </w:r>
                <w:r>
                  <w:rPr/>
                  <w:fldChar w:fldCharType="end"/>
                </w:r>
              </w:p>
            </w:txbxContent>
          </v:textbox>
          <w10:wrap type="none"/>
        </v:shape>
      </w:pict>
    </w: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196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413</w:t>
                </w:r>
                <w:r>
                  <w:rPr/>
                  <w:fldChar w:fldCharType="end"/>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1944" type="#_x0000_t202" filled="false" stroked="false">
          <v:textbox inset="0,0,0,0">
            <w:txbxContent>
              <w:p>
                <w:pPr>
                  <w:spacing w:line="219" w:lineRule="exact" w:before="0"/>
                  <w:ind w:left="20" w:right="0" w:firstLine="0"/>
                  <w:jc w:val="left"/>
                  <w:rPr>
                    <w:sz w:val="20"/>
                  </w:rPr>
                </w:pPr>
                <w:r>
                  <w:rPr>
                    <w:w w:val="90"/>
                    <w:sz w:val="20"/>
                  </w:rPr>
                  <w:t>420</w:t>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1920" type="#_x0000_t202" filled="false" stroked="false">
          <v:textbox inset="0,0,0,0">
            <w:txbxContent>
              <w:p>
                <w:pPr>
                  <w:spacing w:line="219" w:lineRule="exact" w:before="0"/>
                  <w:ind w:left="20" w:right="0" w:firstLine="0"/>
                  <w:jc w:val="left"/>
                  <w:rPr>
                    <w:sz w:val="20"/>
                  </w:rPr>
                </w:pPr>
                <w:r>
                  <w:rPr>
                    <w:w w:val="90"/>
                    <w:sz w:val="20"/>
                  </w:rPr>
                  <w:t>421</w:t>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1896"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422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2.05pt;height:12pt;mso-position-horizontal-relative:page;mso-position-vertical-relative:page;z-index:-257032" type="#_x0000_t202" filled="false" stroked="false">
          <v:textbox inset="0,0,0,0">
            <w:txbxContent>
              <w:p>
                <w:pPr>
                  <w:spacing w:line="219" w:lineRule="exact" w:before="0"/>
                  <w:ind w:left="20" w:right="-10" w:firstLine="0"/>
                  <w:jc w:val="left"/>
                  <w:rPr>
                    <w:sz w:val="20"/>
                  </w:rPr>
                </w:pPr>
                <w:r>
                  <w:rPr>
                    <w:w w:val="95"/>
                    <w:sz w:val="20"/>
                  </w:rPr>
                  <w:t>40</w:t>
                </w:r>
              </w:p>
            </w:txbxContent>
          </v:textbox>
          <w10:wrap type="none"/>
        </v:shape>
      </w:pict>
    </w: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187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423</w:t>
                </w:r>
                <w:r>
                  <w:rPr/>
                  <w:fldChar w:fldCharType="end"/>
                </w:r>
              </w:p>
            </w:txbxContent>
          </v:textbox>
          <w10:wrap type="none"/>
        </v:shape>
      </w:pict>
    </w: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1848" type="#_x0000_t202" filled="false" stroked="false">
          <v:textbox inset="0,0,0,0">
            <w:txbxContent>
              <w:p>
                <w:pPr>
                  <w:spacing w:line="219" w:lineRule="exact" w:before="0"/>
                  <w:ind w:left="20" w:right="0" w:firstLine="0"/>
                  <w:jc w:val="left"/>
                  <w:rPr>
                    <w:sz w:val="20"/>
                  </w:rPr>
                </w:pPr>
                <w:r>
                  <w:rPr>
                    <w:w w:val="90"/>
                    <w:sz w:val="20"/>
                  </w:rPr>
                  <w:t>430</w:t>
                </w:r>
              </w:p>
            </w:txbxContent>
          </v:textbox>
          <w10:wrap type="none"/>
        </v:shape>
      </w:pict>
    </w: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1824" type="#_x0000_t202" filled="false" stroked="false">
          <v:textbox inset="0,0,0,0">
            <w:txbxContent>
              <w:p>
                <w:pPr>
                  <w:spacing w:line="219" w:lineRule="exact" w:before="0"/>
                  <w:ind w:left="20" w:right="0" w:firstLine="0"/>
                  <w:jc w:val="left"/>
                  <w:rPr>
                    <w:sz w:val="20"/>
                  </w:rPr>
                </w:pPr>
                <w:r>
                  <w:rPr>
                    <w:w w:val="90"/>
                    <w:sz w:val="20"/>
                  </w:rPr>
                  <w:t>431</w:t>
                </w:r>
              </w:p>
            </w:txbxContent>
          </v:textbox>
          <w10:wrap type="none"/>
        </v:shape>
      </w:pict>
    </w: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180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432</w:t>
                </w:r>
                <w:r>
                  <w:rPr/>
                  <w:fldChar w:fldCharType="end"/>
                </w:r>
              </w:p>
            </w:txbxContent>
          </v:textbox>
          <w10:wrap type="none"/>
        </v:shape>
      </w:pict>
    </w: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1776"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433</w:t>
                </w:r>
                <w:r>
                  <w:rPr/>
                  <w:fldChar w:fldCharType="end"/>
                </w:r>
              </w:p>
            </w:txbxContent>
          </v:textbox>
          <w10:wrap type="none"/>
        </v:shape>
      </w:pict>
    </w: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1752" type="#_x0000_t202" filled="false" stroked="false">
          <v:textbox inset="0,0,0,0">
            <w:txbxContent>
              <w:p>
                <w:pPr>
                  <w:spacing w:line="219" w:lineRule="exact" w:before="0"/>
                  <w:ind w:left="20" w:right="0" w:firstLine="0"/>
                  <w:jc w:val="left"/>
                  <w:rPr>
                    <w:sz w:val="20"/>
                  </w:rPr>
                </w:pPr>
                <w:r>
                  <w:rPr>
                    <w:w w:val="90"/>
                    <w:sz w:val="20"/>
                  </w:rPr>
                  <w:t>440</w:t>
                </w:r>
              </w:p>
            </w:txbxContent>
          </v:textbox>
          <w10:wrap type="none"/>
        </v:shape>
      </w:pict>
    </w: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1728" type="#_x0000_t202" filled="false" stroked="false">
          <v:textbox inset="0,0,0,0">
            <w:txbxContent>
              <w:p>
                <w:pPr>
                  <w:spacing w:line="219" w:lineRule="exact" w:before="0"/>
                  <w:ind w:left="20" w:right="0" w:firstLine="0"/>
                  <w:jc w:val="left"/>
                  <w:rPr>
                    <w:sz w:val="20"/>
                  </w:rPr>
                </w:pPr>
                <w:r>
                  <w:rPr>
                    <w:w w:val="90"/>
                    <w:sz w:val="20"/>
                  </w:rPr>
                  <w:t>441</w:t>
                </w:r>
              </w:p>
            </w:txbxContent>
          </v:textbox>
          <w10:wrap type="none"/>
        </v:shape>
      </w:pict>
    </w: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170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442</w:t>
                </w:r>
                <w:r>
                  <w:rPr/>
                  <w:fldChar w:fldCharType="end"/>
                </w:r>
              </w:p>
            </w:txbxContent>
          </v:textbox>
          <w10:wrap type="none"/>
        </v:shape>
      </w:pict>
    </w:r>
  </w:p>
</w:ftr>
</file>

<file path=word/footer2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168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443</w:t>
                </w:r>
                <w:r>
                  <w:rPr/>
                  <w:fldChar w:fldCharType="end"/>
                </w:r>
              </w:p>
            </w:txbxContent>
          </v:textbox>
          <w10:wrap type="none"/>
        </v:shape>
      </w:pict>
    </w:r>
  </w:p>
</w:ftr>
</file>

<file path=word/footer2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7008" type="#_x0000_t202" filled="false" stroked="false">
          <v:textbox inset="0,0,0,0">
            <w:txbxContent>
              <w:p>
                <w:pPr>
                  <w:spacing w:line="219" w:lineRule="exact" w:before="0"/>
                  <w:ind w:left="40" w:right="-1" w:firstLine="0"/>
                  <w:jc w:val="left"/>
                  <w:rPr>
                    <w:sz w:val="20"/>
                  </w:rPr>
                </w:pPr>
                <w:r>
                  <w:rPr>
                    <w:sz w:val="20"/>
                  </w:rPr>
                  <w:t>41</w:t>
                </w:r>
              </w:p>
            </w:txbxContent>
          </v:textbox>
          <w10:wrap type="none"/>
        </v:shape>
      </w:pict>
    </w:r>
  </w:p>
</w:ftr>
</file>

<file path=word/footer2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6984"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42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6960"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43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6936"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50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1.814789pt;margin-top:590.629333pt;width:12.05pt;height:12pt;mso-position-horizontal-relative:page;mso-position-vertical-relative:page;z-index:-256912" type="#_x0000_t202" filled="false" stroked="false">
          <v:textbox inset="0,0,0,0">
            <w:txbxContent>
              <w:p>
                <w:pPr>
                  <w:spacing w:line="219" w:lineRule="exact" w:before="0"/>
                  <w:ind w:left="20" w:right="-10" w:firstLine="0"/>
                  <w:jc w:val="left"/>
                  <w:rPr>
                    <w:sz w:val="20"/>
                  </w:rPr>
                </w:pPr>
                <w:r>
                  <w:rPr>
                    <w:w w:val="95"/>
                    <w:sz w:val="20"/>
                  </w:rPr>
                  <w:t>51</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6888"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53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6864" from="76.5354pt,546.794983pt" to="104.8814pt,546.794983pt" stroked="true" strokeweight=".5pt" strokecolor="#000000">
          <w10:wrap type="none"/>
        </v:line>
      </w:pict>
    </w:r>
    <w:r>
      <w:rPr/>
      <w:pict>
        <v:shape style="position:absolute;margin-left:75.5354pt;margin-top:590.521973pt;width:12.05pt;height:12pt;mso-position-horizontal-relative:page;mso-position-vertical-relative:page;z-index:-256840" type="#_x0000_t202" filled="false" stroked="false">
          <v:textbox inset="0,0,0,0">
            <w:txbxContent>
              <w:p>
                <w:pPr>
                  <w:spacing w:line="219" w:lineRule="exact" w:before="0"/>
                  <w:ind w:left="20" w:right="-10" w:firstLine="0"/>
                  <w:jc w:val="left"/>
                  <w:rPr>
                    <w:sz w:val="20"/>
                  </w:rPr>
                </w:pPr>
                <w:r>
                  <w:rPr>
                    <w:w w:val="95"/>
                    <w:sz w:val="20"/>
                  </w:rPr>
                  <w:t>54</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7488"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12</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6816"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56</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6792"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57</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2.05pt;height:12pt;mso-position-horizontal-relative:page;mso-position-vertical-relative:page;z-index:-256768" type="#_x0000_t202" filled="false" stroked="false">
          <v:textbox inset="0,0,0,0">
            <w:txbxContent>
              <w:p>
                <w:pPr>
                  <w:spacing w:line="219" w:lineRule="exact" w:before="0"/>
                  <w:ind w:left="20" w:right="-10" w:firstLine="0"/>
                  <w:jc w:val="left"/>
                  <w:rPr>
                    <w:sz w:val="20"/>
                  </w:rPr>
                </w:pPr>
                <w:r>
                  <w:rPr>
                    <w:w w:val="95"/>
                    <w:sz w:val="20"/>
                  </w:rPr>
                  <w:t>60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1.814789pt;margin-top:590.629333pt;width:12.05pt;height:12pt;mso-position-horizontal-relative:page;mso-position-vertical-relative:page;z-index:-256744" type="#_x0000_t202" filled="false" stroked="false">
          <v:textbox inset="0,0,0,0">
            <w:txbxContent>
              <w:p>
                <w:pPr>
                  <w:spacing w:line="219" w:lineRule="exact" w:before="0"/>
                  <w:ind w:left="20" w:right="-10" w:firstLine="0"/>
                  <w:jc w:val="left"/>
                  <w:rPr>
                    <w:sz w:val="20"/>
                  </w:rPr>
                </w:pPr>
                <w:r>
                  <w:rPr>
                    <w:w w:val="95"/>
                    <w:sz w:val="20"/>
                  </w:rPr>
                  <w:t>61</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6720"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62</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6696"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63</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2.05pt;height:12pt;mso-position-horizontal-relative:page;mso-position-vertical-relative:page;z-index:-256432" type="#_x0000_t202" filled="false" stroked="false">
          <v:textbox inset="0,0,0,0">
            <w:txbxContent>
              <w:p>
                <w:pPr>
                  <w:spacing w:line="219" w:lineRule="exact" w:before="0"/>
                  <w:ind w:left="20" w:right="-10" w:firstLine="0"/>
                  <w:jc w:val="left"/>
                  <w:rPr>
                    <w:sz w:val="20"/>
                  </w:rPr>
                </w:pPr>
                <w:r>
                  <w:rPr>
                    <w:w w:val="95"/>
                    <w:sz w:val="20"/>
                  </w:rPr>
                  <w:t>70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6408" type="#_x0000_t202" filled="false" stroked="false">
          <v:textbox inset="0,0,0,0">
            <w:txbxContent>
              <w:p>
                <w:pPr>
                  <w:spacing w:line="219" w:lineRule="exact" w:before="0"/>
                  <w:ind w:left="40" w:right="-1" w:firstLine="0"/>
                  <w:jc w:val="left"/>
                  <w:rPr>
                    <w:sz w:val="20"/>
                  </w:rPr>
                </w:pPr>
                <w:r>
                  <w:rPr>
                    <w:sz w:val="20"/>
                  </w:rPr>
                  <w:t>71</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6384"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72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7464"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13</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6360"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73</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2.05pt;height:12pt;mso-position-horizontal-relative:page;mso-position-vertical-relative:page;z-index:-256336" type="#_x0000_t202" filled="false" stroked="false">
          <v:textbox inset="0,0,0,0">
            <w:txbxContent>
              <w:p>
                <w:pPr>
                  <w:spacing w:line="219" w:lineRule="exact" w:before="0"/>
                  <w:ind w:left="20" w:right="-10" w:firstLine="0"/>
                  <w:jc w:val="left"/>
                  <w:rPr>
                    <w:sz w:val="20"/>
                  </w:rPr>
                </w:pPr>
                <w:r>
                  <w:rPr>
                    <w:w w:val="95"/>
                    <w:sz w:val="20"/>
                  </w:rPr>
                  <w:t>80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1.814789pt;margin-top:590.629333pt;width:12.05pt;height:12pt;mso-position-horizontal-relative:page;mso-position-vertical-relative:page;z-index:-256312" type="#_x0000_t202" filled="false" stroked="false">
          <v:textbox inset="0,0,0,0">
            <w:txbxContent>
              <w:p>
                <w:pPr>
                  <w:spacing w:line="219" w:lineRule="exact" w:before="0"/>
                  <w:ind w:left="20" w:right="-10" w:firstLine="0"/>
                  <w:jc w:val="left"/>
                  <w:rPr>
                    <w:sz w:val="20"/>
                  </w:rPr>
                </w:pPr>
                <w:r>
                  <w:rPr>
                    <w:w w:val="95"/>
                    <w:sz w:val="20"/>
                  </w:rPr>
                  <w:t>81</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6288"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82</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6264"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83</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2.05pt;height:12pt;mso-position-horizontal-relative:page;mso-position-vertical-relative:page;z-index:-256192" type="#_x0000_t202" filled="false" stroked="false">
          <v:textbox inset="0,0,0,0">
            <w:txbxContent>
              <w:p>
                <w:pPr>
                  <w:spacing w:line="219" w:lineRule="exact" w:before="0"/>
                  <w:ind w:left="20" w:right="-10" w:firstLine="0"/>
                  <w:jc w:val="left"/>
                  <w:rPr>
                    <w:sz w:val="20"/>
                  </w:rPr>
                </w:pPr>
                <w:r>
                  <w:rPr>
                    <w:w w:val="95"/>
                    <w:sz w:val="20"/>
                  </w:rPr>
                  <w:t>90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6168" type="#_x0000_t202" filled="false" stroked="false">
          <v:textbox inset="0,0,0,0">
            <w:txbxContent>
              <w:p>
                <w:pPr>
                  <w:spacing w:line="219" w:lineRule="exact" w:before="0"/>
                  <w:ind w:left="40" w:right="-1" w:firstLine="0"/>
                  <w:jc w:val="left"/>
                  <w:rPr>
                    <w:sz w:val="20"/>
                  </w:rPr>
                </w:pPr>
                <w:r>
                  <w:rPr>
                    <w:sz w:val="20"/>
                  </w:rPr>
                  <w:t>91</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6144"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92</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6120"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93</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6096" type="#_x0000_t202" filled="false" stroked="false">
          <v:textbox inset="0,0,0,0">
            <w:txbxContent>
              <w:p>
                <w:pPr>
                  <w:spacing w:line="219" w:lineRule="exact" w:before="0"/>
                  <w:ind w:left="20" w:right="0" w:firstLine="0"/>
                  <w:jc w:val="left"/>
                  <w:rPr>
                    <w:sz w:val="20"/>
                  </w:rPr>
                </w:pPr>
                <w:r>
                  <w:rPr>
                    <w:w w:val="90"/>
                    <w:sz w:val="20"/>
                  </w:rPr>
                  <w:t>100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6072" type="#_x0000_t202" filled="false" stroked="false">
          <v:textbox inset="0,0,0,0">
            <w:txbxContent>
              <w:p>
                <w:pPr>
                  <w:spacing w:line="219" w:lineRule="exact" w:before="0"/>
                  <w:ind w:left="20" w:right="0" w:firstLine="0"/>
                  <w:jc w:val="left"/>
                  <w:rPr>
                    <w:sz w:val="20"/>
                  </w:rPr>
                </w:pPr>
                <w:r>
                  <w:rPr>
                    <w:w w:val="90"/>
                    <w:sz w:val="20"/>
                  </w:rPr>
                  <w:t>101</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604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102</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602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103</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6000" type="#_x0000_t202" filled="false" stroked="false">
          <v:textbox inset="0,0,0,0">
            <w:txbxContent>
              <w:p>
                <w:pPr>
                  <w:spacing w:line="219" w:lineRule="exact" w:before="0"/>
                  <w:ind w:left="20" w:right="0" w:firstLine="0"/>
                  <w:jc w:val="left"/>
                  <w:rPr>
                    <w:sz w:val="20"/>
                  </w:rPr>
                </w:pPr>
                <w:r>
                  <w:rPr>
                    <w:w w:val="90"/>
                    <w:sz w:val="20"/>
                  </w:rPr>
                  <w:t>110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5976" type="#_x0000_t202" filled="false" stroked="false">
          <v:textbox inset="0,0,0,0">
            <w:txbxContent>
              <w:p>
                <w:pPr>
                  <w:spacing w:line="219" w:lineRule="exact" w:before="0"/>
                  <w:ind w:left="20" w:right="0" w:firstLine="0"/>
                  <w:jc w:val="left"/>
                  <w:rPr>
                    <w:sz w:val="20"/>
                  </w:rPr>
                </w:pPr>
                <w:r>
                  <w:rPr>
                    <w:w w:val="90"/>
                    <w:sz w:val="20"/>
                  </w:rPr>
                  <w:t>111</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595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112</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5928" type="#_x0000_t202" filled="false" stroked="false">
          <v:textbox inset="0,0,0,0">
            <w:txbxContent>
              <w:p>
                <w:pPr>
                  <w:spacing w:line="219" w:lineRule="exact" w:before="0"/>
                  <w:ind w:left="20" w:right="0" w:firstLine="0"/>
                  <w:jc w:val="left"/>
                  <w:rPr>
                    <w:sz w:val="20"/>
                  </w:rPr>
                </w:pPr>
                <w:r>
                  <w:rPr>
                    <w:w w:val="90"/>
                    <w:sz w:val="20"/>
                  </w:rPr>
                  <w:t>113</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5856"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116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5832" type="#_x0000_t202" filled="false" stroked="false">
          <v:textbox inset="0,0,0,0">
            <w:txbxContent>
              <w:p>
                <w:pPr>
                  <w:spacing w:line="219" w:lineRule="exact" w:before="0"/>
                  <w:ind w:left="20" w:right="0" w:firstLine="0"/>
                  <w:jc w:val="left"/>
                  <w:rPr>
                    <w:sz w:val="20"/>
                  </w:rPr>
                </w:pPr>
                <w:r>
                  <w:rPr>
                    <w:w w:val="90"/>
                    <w:sz w:val="20"/>
                  </w:rPr>
                  <w:t>117</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5808" from="51.023602pt,546.794983pt" to="79.369602pt,546.794983pt" stroked="true" strokeweight=".5pt" strokecolor="#000000">
          <w10:wrap type="none"/>
        </v:line>
      </w:pict>
    </w:r>
    <w:r>
      <w:rPr/>
      <w:pict>
        <v:shape style="position:absolute;margin-left:346.804901pt;margin-top:590.629333pt;width:17.05pt;height:12pt;mso-position-horizontal-relative:page;mso-position-vertical-relative:page;z-index:-255784" type="#_x0000_t202" filled="false" stroked="false">
          <v:textbox inset="0,0,0,0">
            <w:txbxContent>
              <w:p>
                <w:pPr>
                  <w:spacing w:line="219" w:lineRule="exact" w:before="0"/>
                  <w:ind w:left="20" w:right="0" w:firstLine="0"/>
                  <w:jc w:val="left"/>
                  <w:rPr>
                    <w:sz w:val="20"/>
                  </w:rPr>
                </w:pPr>
                <w:r>
                  <w:rPr>
                    <w:w w:val="90"/>
                    <w:sz w:val="20"/>
                  </w:rPr>
                  <w:t>119</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5760" type="#_x0000_t202" filled="false" stroked="false">
          <v:textbox inset="0,0,0,0">
            <w:txbxContent>
              <w:p>
                <w:pPr>
                  <w:spacing w:line="219" w:lineRule="exact" w:before="0"/>
                  <w:ind w:left="20" w:right="0" w:firstLine="0"/>
                  <w:jc w:val="left"/>
                  <w:rPr>
                    <w:sz w:val="20"/>
                  </w:rPr>
                </w:pPr>
                <w:r>
                  <w:rPr>
                    <w:w w:val="90"/>
                    <w:sz w:val="20"/>
                  </w:rPr>
                  <w:t>120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5736" type="#_x0000_t202" filled="false" stroked="false">
          <v:textbox inset="0,0,0,0">
            <w:txbxContent>
              <w:p>
                <w:pPr>
                  <w:spacing w:line="219" w:lineRule="exact" w:before="0"/>
                  <w:ind w:left="20" w:right="0" w:firstLine="0"/>
                  <w:jc w:val="left"/>
                  <w:rPr>
                    <w:sz w:val="20"/>
                  </w:rPr>
                </w:pPr>
                <w:r>
                  <w:rPr>
                    <w:w w:val="90"/>
                    <w:sz w:val="20"/>
                  </w:rPr>
                  <w:t>121</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5712" type="#_x0000_t202" filled="false" stroked="false">
          <v:textbox inset="0,0,0,0">
            <w:txbxContent>
              <w:p>
                <w:pPr>
                  <w:spacing w:line="219" w:lineRule="exact" w:before="0"/>
                  <w:ind w:left="40" w:right="0" w:firstLine="0"/>
                  <w:jc w:val="left"/>
                  <w:rPr>
                    <w:sz w:val="20"/>
                  </w:rPr>
                </w:pPr>
                <w:r>
                  <w:rPr>
                    <w:w w:val="95"/>
                    <w:sz w:val="20"/>
                  </w:rPr>
                  <w:t>122</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5688"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123</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566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124</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5592" type="#_x0000_t202" filled="false" stroked="false">
          <v:textbox inset="0,0,0,0">
            <w:txbxContent>
              <w:p>
                <w:pPr>
                  <w:spacing w:line="219" w:lineRule="exact" w:before="0"/>
                  <w:ind w:left="20" w:right="0" w:firstLine="0"/>
                  <w:jc w:val="left"/>
                  <w:rPr>
                    <w:sz w:val="20"/>
                  </w:rPr>
                </w:pPr>
                <w:r>
                  <w:rPr>
                    <w:w w:val="90"/>
                    <w:sz w:val="20"/>
                  </w:rPr>
                  <w:t>130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5568" type="#_x0000_t202" filled="false" stroked="false">
          <v:textbox inset="0,0,0,0">
            <w:txbxContent>
              <w:p>
                <w:pPr>
                  <w:spacing w:line="219" w:lineRule="exact" w:before="0"/>
                  <w:ind w:left="40" w:right="0" w:firstLine="0"/>
                  <w:jc w:val="left"/>
                  <w:rPr>
                    <w:sz w:val="20"/>
                  </w:rPr>
                </w:pPr>
                <w:r>
                  <w:rPr>
                    <w:w w:val="95"/>
                    <w:sz w:val="20"/>
                  </w:rPr>
                  <w:t>131</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4.05pt;height:12pt;mso-position-horizontal-relative:page;mso-position-vertical-relative:page;z-index:-257392"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16</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554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132</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552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133</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5496" type="#_x0000_t202" filled="false" stroked="false">
          <v:textbox inset="0,0,0,0">
            <w:txbxContent>
              <w:p>
                <w:pPr>
                  <w:spacing w:line="219" w:lineRule="exact" w:before="0"/>
                  <w:ind w:left="20" w:right="0" w:firstLine="0"/>
                  <w:jc w:val="left"/>
                  <w:rPr>
                    <w:sz w:val="20"/>
                  </w:rPr>
                </w:pPr>
                <w:r>
                  <w:rPr>
                    <w:w w:val="90"/>
                    <w:sz w:val="20"/>
                  </w:rPr>
                  <w:t>140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5472" type="#_x0000_t202" filled="false" stroked="false">
          <v:textbox inset="0,0,0,0">
            <w:txbxContent>
              <w:p>
                <w:pPr>
                  <w:spacing w:line="219" w:lineRule="exact" w:before="0"/>
                  <w:ind w:left="20" w:right="0" w:firstLine="0"/>
                  <w:jc w:val="left"/>
                  <w:rPr>
                    <w:sz w:val="20"/>
                  </w:rPr>
                </w:pPr>
                <w:r>
                  <w:rPr>
                    <w:w w:val="90"/>
                    <w:sz w:val="20"/>
                  </w:rPr>
                  <w:t>141</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5448" type="#_x0000_t202" filled="false" stroked="false">
          <v:textbox inset="0,0,0,0">
            <w:txbxContent>
              <w:p>
                <w:pPr>
                  <w:spacing w:line="219" w:lineRule="exact" w:before="0"/>
                  <w:ind w:left="20" w:right="0" w:firstLine="0"/>
                  <w:jc w:val="left"/>
                  <w:rPr>
                    <w:sz w:val="20"/>
                  </w:rPr>
                </w:pPr>
                <w:r>
                  <w:rPr>
                    <w:w w:val="90"/>
                    <w:sz w:val="20"/>
                  </w:rPr>
                  <w:t>142</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5376"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146</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535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147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50.814789pt;margin-top:590.629333pt;width:14.05pt;height:12pt;mso-position-horizontal-relative:page;mso-position-vertical-relative:page;z-index:-257368" type="#_x0000_t202" filled="false" stroked="false">
          <v:textbox inset="0,0,0,0">
            <w:txbxContent>
              <w:p>
                <w:pPr>
                  <w:spacing w:line="219" w:lineRule="exact" w:before="0"/>
                  <w:ind w:left="40" w:right="-1" w:firstLine="0"/>
                  <w:jc w:val="left"/>
                  <w:rPr>
                    <w:sz w:val="20"/>
                  </w:rPr>
                </w:pPr>
                <w:r>
                  <w:rPr/>
                  <w:fldChar w:fldCharType="begin"/>
                </w:r>
                <w:r>
                  <w:rPr>
                    <w:sz w:val="20"/>
                  </w:rPr>
                  <w:instrText> PAGE </w:instrText>
                </w:r>
                <w:r>
                  <w:rPr/>
                  <w:fldChar w:fldCharType="separate"/>
                </w:r>
                <w:r>
                  <w:rPr/>
                  <w:t>17</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5328" type="#_x0000_t202" filled="false" stroked="false">
          <v:textbox inset="0,0,0,0">
            <w:txbxContent>
              <w:p>
                <w:pPr>
                  <w:spacing w:line="219" w:lineRule="exact" w:before="0"/>
                  <w:ind w:left="20" w:right="0" w:firstLine="0"/>
                  <w:jc w:val="left"/>
                  <w:rPr>
                    <w:sz w:val="20"/>
                  </w:rPr>
                </w:pPr>
                <w:r>
                  <w:rPr>
                    <w:w w:val="90"/>
                    <w:sz w:val="20"/>
                  </w:rPr>
                  <w:t>150</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5304" type="#_x0000_t202" filled="false" stroked="false">
          <v:textbox inset="0,0,0,0">
            <w:txbxContent>
              <w:p>
                <w:pPr>
                  <w:spacing w:line="219" w:lineRule="exact" w:before="0"/>
                  <w:ind w:left="20" w:right="0" w:firstLine="0"/>
                  <w:jc w:val="left"/>
                  <w:rPr>
                    <w:sz w:val="20"/>
                  </w:rPr>
                </w:pPr>
                <w:r>
                  <w:rPr>
                    <w:w w:val="90"/>
                    <w:sz w:val="20"/>
                  </w:rPr>
                  <w:t>151</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528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152</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5256"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153</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5232" type="#_x0000_t202" filled="false" stroked="false">
          <v:textbox inset="0,0,0,0">
            <w:txbxContent>
              <w:p>
                <w:pPr>
                  <w:spacing w:line="219" w:lineRule="exact" w:before="0"/>
                  <w:ind w:left="20" w:right="0" w:firstLine="0"/>
                  <w:jc w:val="left"/>
                  <w:rPr>
                    <w:sz w:val="20"/>
                  </w:rPr>
                </w:pPr>
                <w:r>
                  <w:rPr>
                    <w:w w:val="90"/>
                    <w:sz w:val="20"/>
                  </w:rPr>
                  <w:t>160</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5208" type="#_x0000_t202" filled="false" stroked="false">
          <v:textbox inset="0,0,0,0">
            <w:txbxContent>
              <w:p>
                <w:pPr>
                  <w:spacing w:line="219" w:lineRule="exact" w:before="0"/>
                  <w:ind w:left="20" w:right="0" w:firstLine="0"/>
                  <w:jc w:val="left"/>
                  <w:rPr>
                    <w:sz w:val="20"/>
                  </w:rPr>
                </w:pPr>
                <w:r>
                  <w:rPr>
                    <w:w w:val="90"/>
                    <w:sz w:val="20"/>
                  </w:rPr>
                  <w:t>161</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5136"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164</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5112"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165</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2.05pt;height:12pt;mso-position-horizontal-relative:page;mso-position-vertical-relative:page;z-index:-257344" type="#_x0000_t202" filled="false" stroked="false">
          <v:textbox inset="0,0,0,0">
            <w:txbxContent>
              <w:p>
                <w:pPr>
                  <w:spacing w:line="219" w:lineRule="exact" w:before="0"/>
                  <w:ind w:left="20" w:right="-10" w:firstLine="0"/>
                  <w:jc w:val="left"/>
                  <w:rPr>
                    <w:sz w:val="20"/>
                  </w:rPr>
                </w:pPr>
                <w:r>
                  <w:rPr>
                    <w:w w:val="95"/>
                    <w:sz w:val="20"/>
                  </w:rPr>
                  <w:t>20</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5088" type="#_x0000_t202" filled="false" stroked="false">
          <v:textbox inset="0,0,0,0">
            <w:txbxContent>
              <w:p>
                <w:pPr>
                  <w:spacing w:line="219" w:lineRule="exact" w:before="0"/>
                  <w:ind w:left="20" w:right="0" w:firstLine="0"/>
                  <w:jc w:val="left"/>
                  <w:rPr>
                    <w:sz w:val="20"/>
                  </w:rPr>
                </w:pPr>
                <w:r>
                  <w:rPr>
                    <w:w w:val="90"/>
                    <w:sz w:val="20"/>
                  </w:rPr>
                  <w:t>170</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5064" type="#_x0000_t202" filled="false" stroked="false">
          <v:textbox inset="0,0,0,0">
            <w:txbxContent>
              <w:p>
                <w:pPr>
                  <w:spacing w:line="219" w:lineRule="exact" w:before="0"/>
                  <w:ind w:left="20" w:right="0" w:firstLine="0"/>
                  <w:jc w:val="left"/>
                  <w:rPr>
                    <w:sz w:val="20"/>
                  </w:rPr>
                </w:pPr>
                <w:r>
                  <w:rPr>
                    <w:w w:val="90"/>
                    <w:sz w:val="20"/>
                  </w:rPr>
                  <w:t>171</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504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172</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5016"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173</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4992" type="#_x0000_t202" filled="false" stroked="false">
          <v:textbox inset="0,0,0,0">
            <w:txbxContent>
              <w:p>
                <w:pPr>
                  <w:spacing w:line="219" w:lineRule="exact" w:before="0"/>
                  <w:ind w:left="20" w:right="0" w:firstLine="0"/>
                  <w:jc w:val="left"/>
                  <w:rPr>
                    <w:sz w:val="20"/>
                  </w:rPr>
                </w:pPr>
                <w:r>
                  <w:rPr>
                    <w:w w:val="90"/>
                    <w:sz w:val="20"/>
                  </w:rPr>
                  <w:t>180</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4968" type="#_x0000_t202" filled="false" stroked="false">
          <v:textbox inset="0,0,0,0">
            <w:txbxContent>
              <w:p>
                <w:pPr>
                  <w:spacing w:line="219" w:lineRule="exact" w:before="0"/>
                  <w:ind w:left="20" w:right="0" w:firstLine="0"/>
                  <w:jc w:val="left"/>
                  <w:rPr>
                    <w:sz w:val="20"/>
                  </w:rPr>
                </w:pPr>
                <w:r>
                  <w:rPr>
                    <w:w w:val="90"/>
                    <w:sz w:val="20"/>
                  </w:rPr>
                  <w:t>181</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4.5354pt;margin-top:590.521973pt;width:19.05pt;height:12pt;mso-position-horizontal-relative:page;mso-position-vertical-relative:page;z-index:-254944"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182</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5.804901pt;margin-top:590.629333pt;width:19.05pt;height:12pt;mso-position-horizontal-relative:page;mso-position-vertical-relative:page;z-index:-254920" type="#_x0000_t202" filled="false" stroked="false">
          <v:textbox inset="0,0,0,0">
            <w:txbxContent>
              <w:p>
                <w:pPr>
                  <w:spacing w:line="219" w:lineRule="exact" w:before="0"/>
                  <w:ind w:left="40" w:right="0" w:firstLine="0"/>
                  <w:jc w:val="left"/>
                  <w:rPr>
                    <w:sz w:val="20"/>
                  </w:rPr>
                </w:pPr>
                <w:r>
                  <w:rPr/>
                  <w:fldChar w:fldCharType="begin"/>
                </w:r>
                <w:r>
                  <w:rPr>
                    <w:w w:val="95"/>
                    <w:sz w:val="20"/>
                  </w:rPr>
                  <w:instrText> PAGE </w:instrText>
                </w:r>
                <w:r>
                  <w:rPr/>
                  <w:fldChar w:fldCharType="separate"/>
                </w:r>
                <w:r>
                  <w:rPr/>
                  <w:t>183</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354pt;margin-top:590.521973pt;width:17.05pt;height:12pt;mso-position-horizontal-relative:page;mso-position-vertical-relative:page;z-index:-254896" type="#_x0000_t202" filled="false" stroked="false">
          <v:textbox inset="0,0,0,0">
            <w:txbxContent>
              <w:p>
                <w:pPr>
                  <w:spacing w:line="219" w:lineRule="exact" w:before="0"/>
                  <w:ind w:left="20" w:right="0" w:firstLine="0"/>
                  <w:jc w:val="left"/>
                  <w:rPr>
                    <w:sz w:val="20"/>
                  </w:rPr>
                </w:pPr>
                <w:r>
                  <w:rPr>
                    <w:w w:val="90"/>
                    <w:sz w:val="20"/>
                  </w:rPr>
                  <w:t>190</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46.804901pt;margin-top:590.629333pt;width:17.05pt;height:12pt;mso-position-horizontal-relative:page;mso-position-vertical-relative:page;z-index:-254872" type="#_x0000_t202" filled="false" stroked="false">
          <v:textbox inset="0,0,0,0">
            <w:txbxContent>
              <w:p>
                <w:pPr>
                  <w:spacing w:line="219" w:lineRule="exact" w:before="0"/>
                  <w:ind w:left="20" w:right="0" w:firstLine="0"/>
                  <w:jc w:val="left"/>
                  <w:rPr>
                    <w:sz w:val="20"/>
                  </w:rPr>
                </w:pPr>
                <w:r>
                  <w:rPr>
                    <w:w w:val="90"/>
                    <w:sz w:val="20"/>
                  </w:rPr>
                  <w:t>191</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7584"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7272"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9.947510pt;margin-top:36.227932pt;width:43.9pt;height:9.5pt;mso-position-horizontal-relative:page;mso-position-vertical-relative:page;z-index:-257248" type="#_x0000_t202" filled="false" stroked="false">
          <v:textbox inset="0,0,0,0">
            <w:txbxContent>
              <w:p>
                <w:pPr>
                  <w:spacing w:line="169" w:lineRule="exact" w:before="0"/>
                  <w:ind w:left="20" w:right="0" w:firstLine="0"/>
                  <w:jc w:val="left"/>
                  <w:rPr>
                    <w:sz w:val="15"/>
                  </w:rPr>
                </w:pPr>
                <w:r>
                  <w:rPr>
                    <w:sz w:val="15"/>
                  </w:rPr>
                  <w:t>Introducción</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708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718201pt;margin-top:36.227932pt;width:78.150pt;height:9.5pt;mso-position-horizontal-relative:page;mso-position-vertical-relative:page;z-index:-257056" type="#_x0000_t202" filled="false" stroked="false">
          <v:textbox inset="0,0,0,0">
            <w:txbxContent>
              <w:p>
                <w:pPr>
                  <w:spacing w:line="169" w:lineRule="exact" w:before="0"/>
                  <w:ind w:left="20" w:right="0" w:firstLine="0"/>
                  <w:jc w:val="left"/>
                  <w:rPr>
                    <w:rFonts w:ascii="Times New Roman"/>
                    <w:sz w:val="15"/>
                  </w:rPr>
                </w:pPr>
                <w:r>
                  <w:rPr>
                    <w:rFonts w:ascii="Times New Roman"/>
                    <w:w w:val="105"/>
                    <w:sz w:val="15"/>
                  </w:rPr>
                  <w:t>Carlos Eduardo Martins</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6672" from="51.023602pt,92.765686pt" to="399.684602pt,92.765686pt" stroked="true" strokeweight="1pt" strokecolor="#000000">
          <w10:wrap type="none"/>
        </v:line>
      </w:pict>
    </w:r>
    <w:r>
      <w:rPr/>
      <w:pict>
        <v:shape style="position:absolute;margin-left:285.718201pt;margin-top:36.227932pt;width:78.150pt;height:9.5pt;mso-position-horizontal-relative:page;mso-position-vertical-relative:page;z-index:-256648" type="#_x0000_t202" filled="false" stroked="false">
          <v:textbox inset="0,0,0,0">
            <w:txbxContent>
              <w:p>
                <w:pPr>
                  <w:spacing w:line="169" w:lineRule="exact" w:before="0"/>
                  <w:ind w:left="20" w:right="0" w:firstLine="0"/>
                  <w:jc w:val="left"/>
                  <w:rPr>
                    <w:rFonts w:ascii="Times New Roman"/>
                    <w:sz w:val="15"/>
                  </w:rPr>
                </w:pPr>
                <w:r>
                  <w:rPr>
                    <w:rFonts w:ascii="Times New Roman"/>
                    <w:w w:val="105"/>
                    <w:sz w:val="15"/>
                  </w:rPr>
                  <w:t>Carlos Eduardo Martins</w:t>
                </w:r>
              </w:p>
            </w:txbxContent>
          </v:textbox>
          <w10:wrap type="none"/>
        </v:shape>
      </w:pict>
    </w:r>
    <w:r>
      <w:rPr/>
      <w:pict>
        <v:shape style="position:absolute;margin-left:184.24530pt;margin-top:65.073036pt;width:79.4pt;height:20.7pt;mso-position-horizontal-relative:page;mso-position-vertical-relative:page;z-index:-256624" type="#_x0000_t202" filled="false" stroked="false">
          <v:textbox inset="0,0,0,0">
            <w:txbxContent>
              <w:p>
                <w:pPr>
                  <w:spacing w:line="194" w:lineRule="exact" w:before="0"/>
                  <w:ind w:left="2" w:right="2" w:firstLine="0"/>
                  <w:jc w:val="center"/>
                  <w:rPr>
                    <w:rFonts w:ascii="Arial" w:hAnsi="Arial"/>
                    <w:b/>
                    <w:sz w:val="17"/>
                  </w:rPr>
                </w:pPr>
                <w:r>
                  <w:rPr>
                    <w:rFonts w:ascii="Arial" w:hAnsi="Arial"/>
                    <w:b/>
                    <w:w w:val="85"/>
                    <w:sz w:val="17"/>
                  </w:rPr>
                  <w:t>Gráfico 6</w:t>
                </w:r>
              </w:p>
              <w:p>
                <w:pPr>
                  <w:spacing w:before="8"/>
                  <w:ind w:left="2" w:right="2" w:firstLine="0"/>
                  <w:jc w:val="center"/>
                  <w:rPr>
                    <w:rFonts w:ascii="Arial"/>
                    <w:sz w:val="17"/>
                  </w:rPr>
                </w:pPr>
                <w:r>
                  <w:rPr>
                    <w:rFonts w:ascii="Arial"/>
                    <w:spacing w:val="-4"/>
                    <w:w w:val="85"/>
                    <w:sz w:val="17"/>
                  </w:rPr>
                  <w:t>Tasa</w:t>
                </w:r>
                <w:r>
                  <w:rPr>
                    <w:rFonts w:ascii="Arial"/>
                    <w:spacing w:val="-21"/>
                    <w:w w:val="85"/>
                    <w:sz w:val="17"/>
                  </w:rPr>
                  <w:t> </w:t>
                </w:r>
                <w:r>
                  <w:rPr>
                    <w:rFonts w:ascii="Arial"/>
                    <w:w w:val="85"/>
                    <w:sz w:val="17"/>
                  </w:rPr>
                  <w:t>de</w:t>
                </w:r>
                <w:r>
                  <w:rPr>
                    <w:rFonts w:ascii="Arial"/>
                    <w:spacing w:val="-21"/>
                    <w:w w:val="85"/>
                    <w:sz w:val="17"/>
                  </w:rPr>
                  <w:t> </w:t>
                </w:r>
                <w:r>
                  <w:rPr>
                    <w:rFonts w:ascii="Arial"/>
                    <w:w w:val="85"/>
                    <w:sz w:val="17"/>
                  </w:rPr>
                  <w:t>ahorro</w:t>
                </w:r>
                <w:r>
                  <w:rPr>
                    <w:rFonts w:ascii="Arial"/>
                    <w:spacing w:val="-21"/>
                    <w:w w:val="85"/>
                    <w:sz w:val="17"/>
                  </w:rPr>
                  <w:t> </w:t>
                </w:r>
                <w:r>
                  <w:rPr>
                    <w:rFonts w:ascii="Arial"/>
                    <w:w w:val="85"/>
                    <w:sz w:val="17"/>
                  </w:rPr>
                  <w:t>bruta/PIB</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660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6576" from="51.023602pt,92.765686pt" to="399.684602pt,92.765686pt" stroked="true" strokeweight="1pt" strokecolor="#000000">
          <w10:wrap type="none"/>
        </v:line>
      </w:pict>
    </w:r>
    <w:r>
      <w:rPr/>
      <w:pict>
        <v:shape style="position:absolute;margin-left:285.718201pt;margin-top:36.227932pt;width:78.150pt;height:9.5pt;mso-position-horizontal-relative:page;mso-position-vertical-relative:page;z-index:-256552" type="#_x0000_t202" filled="false" stroked="false">
          <v:textbox inset="0,0,0,0">
            <w:txbxContent>
              <w:p>
                <w:pPr>
                  <w:spacing w:line="169" w:lineRule="exact" w:before="0"/>
                  <w:ind w:left="20" w:right="0" w:firstLine="0"/>
                  <w:jc w:val="left"/>
                  <w:rPr>
                    <w:rFonts w:ascii="Times New Roman"/>
                    <w:sz w:val="15"/>
                  </w:rPr>
                </w:pPr>
                <w:r>
                  <w:rPr>
                    <w:rFonts w:ascii="Times New Roman"/>
                    <w:w w:val="105"/>
                    <w:sz w:val="15"/>
                  </w:rPr>
                  <w:t>Carlos Eduardo Martins</w:t>
                </w:r>
              </w:p>
            </w:txbxContent>
          </v:textbox>
          <w10:wrap type="none"/>
        </v:shape>
      </w:pict>
    </w:r>
    <w:r>
      <w:rPr/>
      <w:pict>
        <v:shape style="position:absolute;margin-left:128.170807pt;margin-top:65.073036pt;width:191.55pt;height:20.7pt;mso-position-horizontal-relative:page;mso-position-vertical-relative:page;z-index:-256528" type="#_x0000_t202" filled="false" stroked="false">
          <v:textbox inset="0,0,0,0">
            <w:txbxContent>
              <w:p>
                <w:pPr>
                  <w:spacing w:line="194" w:lineRule="exact" w:before="0"/>
                  <w:ind w:left="3" w:right="3" w:firstLine="0"/>
                  <w:jc w:val="center"/>
                  <w:rPr>
                    <w:rFonts w:ascii="Arial" w:hAnsi="Arial"/>
                    <w:b/>
                    <w:sz w:val="17"/>
                  </w:rPr>
                </w:pPr>
                <w:r>
                  <w:rPr>
                    <w:rFonts w:ascii="Arial" w:hAnsi="Arial"/>
                    <w:b/>
                    <w:w w:val="85"/>
                    <w:sz w:val="17"/>
                  </w:rPr>
                  <w:t>Gráfico 10</w:t>
                </w:r>
              </w:p>
              <w:p>
                <w:pPr>
                  <w:spacing w:before="8"/>
                  <w:ind w:left="3" w:right="3" w:firstLine="0"/>
                  <w:jc w:val="center"/>
                  <w:rPr>
                    <w:rFonts w:ascii="Arial" w:hAnsi="Arial"/>
                    <w:sz w:val="17"/>
                  </w:rPr>
                </w:pPr>
                <w:r>
                  <w:rPr>
                    <w:rFonts w:ascii="Arial" w:hAnsi="Arial"/>
                    <w:spacing w:val="-3"/>
                    <w:w w:val="85"/>
                    <w:sz w:val="17"/>
                  </w:rPr>
                  <w:t>Tasas</w:t>
                </w:r>
                <w:r>
                  <w:rPr>
                    <w:rFonts w:ascii="Arial" w:hAnsi="Arial"/>
                    <w:spacing w:val="-16"/>
                    <w:w w:val="85"/>
                    <w:sz w:val="17"/>
                  </w:rPr>
                  <w:t> </w:t>
                </w:r>
                <w:r>
                  <w:rPr>
                    <w:rFonts w:ascii="Arial" w:hAnsi="Arial"/>
                    <w:w w:val="85"/>
                    <w:sz w:val="17"/>
                  </w:rPr>
                  <w:t>de</w:t>
                </w:r>
                <w:r>
                  <w:rPr>
                    <w:rFonts w:ascii="Arial" w:hAnsi="Arial"/>
                    <w:spacing w:val="-16"/>
                    <w:w w:val="85"/>
                    <w:sz w:val="17"/>
                  </w:rPr>
                  <w:t> </w:t>
                </w:r>
                <w:r>
                  <w:rPr>
                    <w:rFonts w:ascii="Arial" w:hAnsi="Arial"/>
                    <w:w w:val="85"/>
                    <w:sz w:val="17"/>
                  </w:rPr>
                  <w:t>intereses</w:t>
                </w:r>
                <w:r>
                  <w:rPr>
                    <w:rFonts w:ascii="Arial" w:hAnsi="Arial"/>
                    <w:spacing w:val="-16"/>
                    <w:w w:val="85"/>
                    <w:sz w:val="17"/>
                  </w:rPr>
                  <w:t> </w:t>
                </w:r>
                <w:r>
                  <w:rPr>
                    <w:rFonts w:ascii="Arial" w:hAnsi="Arial"/>
                    <w:w w:val="85"/>
                    <w:sz w:val="17"/>
                  </w:rPr>
                  <w:t>nominales</w:t>
                </w:r>
                <w:r>
                  <w:rPr>
                    <w:rFonts w:ascii="Arial" w:hAnsi="Arial"/>
                    <w:spacing w:val="-16"/>
                    <w:w w:val="85"/>
                    <w:sz w:val="17"/>
                  </w:rPr>
                  <w:t> </w:t>
                </w:r>
                <w:r>
                  <w:rPr>
                    <w:rFonts w:ascii="Arial" w:hAnsi="Arial"/>
                    <w:w w:val="85"/>
                    <w:sz w:val="17"/>
                  </w:rPr>
                  <w:t>vs</w:t>
                </w:r>
                <w:r>
                  <w:rPr>
                    <w:rFonts w:ascii="Arial" w:hAnsi="Arial"/>
                    <w:spacing w:val="-16"/>
                    <w:w w:val="85"/>
                    <w:sz w:val="17"/>
                  </w:rPr>
                  <w:t> </w:t>
                </w:r>
                <w:r>
                  <w:rPr>
                    <w:rFonts w:ascii="Arial" w:hAnsi="Arial"/>
                    <w:w w:val="85"/>
                    <w:sz w:val="17"/>
                  </w:rPr>
                  <w:t>inflación</w:t>
                </w:r>
                <w:r>
                  <w:rPr>
                    <w:rFonts w:ascii="Arial" w:hAnsi="Arial"/>
                    <w:spacing w:val="-16"/>
                    <w:w w:val="85"/>
                    <w:sz w:val="17"/>
                  </w:rPr>
                  <w:t> </w:t>
                </w:r>
                <w:r>
                  <w:rPr>
                    <w:rFonts w:ascii="Arial" w:hAnsi="Arial"/>
                    <w:w w:val="85"/>
                    <w:sz w:val="17"/>
                  </w:rPr>
                  <w:t>en</w:t>
                </w:r>
                <w:r>
                  <w:rPr>
                    <w:rFonts w:ascii="Arial" w:hAnsi="Arial"/>
                    <w:spacing w:val="-16"/>
                    <w:w w:val="85"/>
                    <w:sz w:val="17"/>
                  </w:rPr>
                  <w:t> </w:t>
                </w:r>
                <w:r>
                  <w:rPr>
                    <w:rFonts w:ascii="Arial" w:hAnsi="Arial"/>
                    <w:w w:val="85"/>
                    <w:sz w:val="17"/>
                  </w:rPr>
                  <w:t>Estados</w:t>
                </w:r>
                <w:r>
                  <w:rPr>
                    <w:rFonts w:ascii="Arial" w:hAnsi="Arial"/>
                    <w:spacing w:val="-16"/>
                    <w:w w:val="85"/>
                    <w:sz w:val="17"/>
                  </w:rPr>
                  <w:t> </w:t>
                </w:r>
                <w:r>
                  <w:rPr>
                    <w:rFonts w:ascii="Arial" w:hAnsi="Arial"/>
                    <w:w w:val="85"/>
                    <w:sz w:val="17"/>
                  </w:rPr>
                  <w:t>Unidos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6504"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648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7.280914pt;margin-top:36.227932pt;width:86.6pt;height:9.5pt;mso-position-horizontal-relative:page;mso-position-vertical-relative:page;z-index:-256456" type="#_x0000_t202" filled="false" stroked="false">
          <v:textbox inset="0,0,0,0">
            <w:txbxContent>
              <w:p>
                <w:pPr>
                  <w:spacing w:line="169" w:lineRule="exact" w:before="0"/>
                  <w:ind w:left="20" w:right="0" w:firstLine="0"/>
                  <w:jc w:val="left"/>
                  <w:rPr>
                    <w:rFonts w:ascii="Georgia" w:hAnsi="Georgia"/>
                    <w:sz w:val="15"/>
                  </w:rPr>
                </w:pPr>
                <w:r>
                  <w:rPr>
                    <w:rFonts w:ascii="Georgia" w:hAnsi="Georgia"/>
                    <w:sz w:val="15"/>
                  </w:rPr>
                  <w:t>Marco</w:t>
                </w:r>
                <w:r>
                  <w:rPr>
                    <w:rFonts w:ascii="Georgia" w:hAnsi="Georgia"/>
                    <w:spacing w:val="-23"/>
                    <w:sz w:val="15"/>
                  </w:rPr>
                  <w:t> </w:t>
                </w:r>
                <w:r>
                  <w:rPr>
                    <w:rFonts w:ascii="Georgia" w:hAnsi="Georgia"/>
                    <w:sz w:val="15"/>
                  </w:rPr>
                  <w:t>A.</w:t>
                </w:r>
                <w:r>
                  <w:rPr>
                    <w:rFonts w:ascii="Georgia" w:hAnsi="Georgia"/>
                    <w:spacing w:val="-23"/>
                    <w:sz w:val="15"/>
                  </w:rPr>
                  <w:t> </w:t>
                </w:r>
                <w:r>
                  <w:rPr>
                    <w:rFonts w:ascii="Georgia" w:hAnsi="Georgia"/>
                    <w:sz w:val="15"/>
                  </w:rPr>
                  <w:t>Gandásegui,</w:t>
                </w:r>
                <w:r>
                  <w:rPr>
                    <w:rFonts w:ascii="Georgia" w:hAnsi="Georgia"/>
                    <w:spacing w:val="-23"/>
                    <w:sz w:val="15"/>
                  </w:rPr>
                  <w:t> </w:t>
                </w:r>
                <w:r>
                  <w:rPr>
                    <w:rFonts w:ascii="Georgia" w:hAnsi="Georgia"/>
                    <w:sz w:val="15"/>
                  </w:rPr>
                  <w:t>hijo</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624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1.856003pt;margin-top:36.227932pt;width:112pt;height:9.5pt;mso-position-horizontal-relative:page;mso-position-vertical-relative:page;z-index:-256216"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w w:val="105"/>
                    <w:sz w:val="15"/>
                  </w:rPr>
                  <w:t>Gladys Cecilia Hernández Pedraza</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5904"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6.920013pt;margin-top:36.227932pt;width:26.95pt;height:9.5pt;mso-position-horizontal-relative:page;mso-position-vertical-relative:page;z-index:-25588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w w:val="105"/>
                    <w:sz w:val="15"/>
                  </w:rPr>
                  <w:t>Prólogo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7512"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564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0.802490pt;margin-top:36.227932pt;width:43.05pt;height:9.5pt;mso-position-horizontal-relative:page;mso-position-vertical-relative:page;z-index:-255616" type="#_x0000_t202" filled="false" stroked="false">
          <v:textbox inset="0,0,0,0">
            <w:txbxContent>
              <w:p>
                <w:pPr>
                  <w:spacing w:line="169" w:lineRule="exact" w:before="0"/>
                  <w:ind w:left="20" w:right="0" w:firstLine="0"/>
                  <w:jc w:val="left"/>
                  <w:rPr>
                    <w:rFonts w:ascii="Georgia"/>
                    <w:sz w:val="15"/>
                  </w:rPr>
                </w:pPr>
                <w:r>
                  <w:rPr>
                    <w:rFonts w:ascii="Georgia"/>
                    <w:w w:val="95"/>
                    <w:sz w:val="15"/>
                  </w:rPr>
                  <w:t>Claudio Katz</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5424"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5.990692pt;margin-top:36.227932pt;width:87.85pt;height:9.5pt;mso-position-horizontal-relative:page;mso-position-vertical-relative:page;z-index:-255400" type="#_x0000_t202" filled="false" stroked="false">
          <v:textbox inset="0,0,0,0">
            <w:txbxContent>
              <w:p>
                <w:pPr>
                  <w:spacing w:line="169" w:lineRule="exact" w:before="0"/>
                  <w:ind w:left="20" w:right="0" w:firstLine="0"/>
                  <w:jc w:val="left"/>
                  <w:rPr>
                    <w:rFonts w:ascii="Georgia" w:hAnsi="Georgia"/>
                    <w:sz w:val="15"/>
                  </w:rPr>
                </w:pPr>
                <w:r>
                  <w:rPr>
                    <w:rFonts w:ascii="Georgia" w:hAnsi="Georgia"/>
                    <w:w w:val="95"/>
                    <w:sz w:val="15"/>
                  </w:rPr>
                  <w:t>Dídimo Castillo Fernández</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5184"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823303pt;margin-top:36.227932pt;width:78.05pt;height:9.5pt;mso-position-horizontal-relative:page;mso-position-vertical-relative:page;z-index:-255160" type="#_x0000_t202" filled="false" stroked="false">
          <v:textbox inset="0,0,0,0">
            <w:txbxContent>
              <w:p>
                <w:pPr>
                  <w:spacing w:line="169" w:lineRule="exact" w:before="0"/>
                  <w:ind w:left="20" w:right="0" w:firstLine="0"/>
                  <w:jc w:val="left"/>
                  <w:rPr>
                    <w:rFonts w:ascii="Georgia"/>
                    <w:sz w:val="15"/>
                  </w:rPr>
                </w:pPr>
                <w:r>
                  <w:rPr>
                    <w:rFonts w:ascii="Georgia"/>
                    <w:w w:val="95"/>
                    <w:sz w:val="15"/>
                  </w:rPr>
                  <w:t>Fabio Grobart Sunshine</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480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158203pt;margin-top:36.227932pt;width:94.7pt;height:9.5pt;mso-position-horizontal-relative:page;mso-position-vertical-relative:page;z-index:-254776" type="#_x0000_t202" filled="false" stroked="false">
          <v:textbox inset="0,0,0,0">
            <w:txbxContent>
              <w:p>
                <w:pPr>
                  <w:spacing w:line="169" w:lineRule="exact" w:before="0"/>
                  <w:ind w:left="20" w:right="0" w:firstLine="0"/>
                  <w:jc w:val="left"/>
                  <w:rPr>
                    <w:rFonts w:ascii="Georgia" w:hAnsi="Georgia"/>
                    <w:sz w:val="15"/>
                  </w:rPr>
                </w:pPr>
                <w:r>
                  <w:rPr>
                    <w:rFonts w:ascii="Georgia" w:hAnsi="Georgia"/>
                    <w:w w:val="95"/>
                    <w:sz w:val="15"/>
                  </w:rPr>
                  <w:t>Casandra Castorena Sánchez</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444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918091pt;margin-top:36.227932pt;width:58.95pt;height:9.5pt;mso-position-horizontal-relative:page;mso-position-vertical-relative:page;z-index:-254416" type="#_x0000_t202" filled="false" stroked="false">
          <v:textbox inset="0,0,0,0">
            <w:txbxContent>
              <w:p>
                <w:pPr>
                  <w:spacing w:line="169" w:lineRule="exact" w:before="0"/>
                  <w:ind w:left="20" w:right="0" w:firstLine="0"/>
                  <w:jc w:val="left"/>
                  <w:rPr>
                    <w:rFonts w:ascii="Georgia"/>
                    <w:sz w:val="15"/>
                  </w:rPr>
                </w:pPr>
                <w:r>
                  <w:rPr>
                    <w:rFonts w:ascii="Georgia"/>
                    <w:sz w:val="15"/>
                  </w:rPr>
                  <w:t>Ary</w:t>
                </w:r>
                <w:r>
                  <w:rPr>
                    <w:rFonts w:ascii="Georgia"/>
                    <w:spacing w:val="-26"/>
                    <w:sz w:val="15"/>
                  </w:rPr>
                  <w:t> </w:t>
                </w:r>
                <w:r>
                  <w:rPr>
                    <w:rFonts w:ascii="Georgia"/>
                    <w:sz w:val="15"/>
                  </w:rPr>
                  <w:t>Cesar</w:t>
                </w:r>
                <w:r>
                  <w:rPr>
                    <w:rFonts w:ascii="Georgia"/>
                    <w:spacing w:val="-26"/>
                    <w:sz w:val="15"/>
                  </w:rPr>
                  <w:t> </w:t>
                </w:r>
                <w:r>
                  <w:rPr>
                    <w:rFonts w:ascii="Georgia"/>
                    <w:sz w:val="15"/>
                  </w:rPr>
                  <w:t>Minella</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4104"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325195pt;margin-top:36.227932pt;width:62.55pt;height:9.5pt;mso-position-horizontal-relative:page;mso-position-vertical-relative:page;z-index:-254080" type="#_x0000_t202" filled="false" stroked="false">
          <v:textbox inset="0,0,0,0">
            <w:txbxContent>
              <w:p>
                <w:pPr>
                  <w:spacing w:line="169" w:lineRule="exact" w:before="0"/>
                  <w:ind w:left="20" w:right="0" w:firstLine="0"/>
                  <w:jc w:val="left"/>
                  <w:rPr>
                    <w:rFonts w:ascii="Times New Roman"/>
                    <w:sz w:val="15"/>
                  </w:rPr>
                </w:pPr>
                <w:r>
                  <w:rPr>
                    <w:rFonts w:ascii="Times New Roman"/>
                    <w:w w:val="105"/>
                    <w:sz w:val="15"/>
                  </w:rPr>
                  <w:t>Silvina M.</w:t>
                </w:r>
                <w:r>
                  <w:rPr>
                    <w:rFonts w:ascii="Times New Roman"/>
                    <w:spacing w:val="-31"/>
                    <w:w w:val="105"/>
                    <w:sz w:val="15"/>
                  </w:rPr>
                  <w:t> </w:t>
                </w:r>
                <w:r>
                  <w:rPr>
                    <w:rFonts w:ascii="Times New Roman"/>
                    <w:w w:val="105"/>
                    <w:sz w:val="15"/>
                  </w:rPr>
                  <w:t>Romano</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3816"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7.588196pt;margin-top:36.227932pt;width:86.25pt;height:9.5pt;mso-position-horizontal-relative:page;mso-position-vertical-relative:page;z-index:-253792"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w w:val="105"/>
                    <w:sz w:val="15"/>
                  </w:rPr>
                  <w:t>Jorge Hernández Martínez</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3528"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0354pt;margin-top:36.227932pt;width:66.8pt;height:9.5pt;mso-position-horizontal-relative:page;mso-position-vertical-relative:page;z-index:-253504" type="#_x0000_t202" filled="false" stroked="false">
          <v:textbox inset="0,0,0,0">
            <w:txbxContent>
              <w:p>
                <w:pPr>
                  <w:spacing w:line="169" w:lineRule="exact" w:before="0"/>
                  <w:ind w:left="20" w:right="0" w:firstLine="0"/>
                  <w:jc w:val="left"/>
                  <w:rPr>
                    <w:sz w:val="15"/>
                  </w:rPr>
                </w:pPr>
                <w:r>
                  <w:rPr>
                    <w:sz w:val="15"/>
                  </w:rPr>
                  <w:t>Jaime Zuluaga Nieto</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3288"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5.485809pt;margin-top:36.227932pt;width:78.350pt;height:9.5pt;mso-position-horizontal-relative:page;mso-position-vertical-relative:page;z-index:-253264" type="#_x0000_t202" filled="false" stroked="false">
          <v:textbox inset="0,0,0,0">
            <w:txbxContent>
              <w:p>
                <w:pPr>
                  <w:spacing w:line="169" w:lineRule="exact" w:before="0"/>
                  <w:ind w:left="20" w:right="0" w:firstLine="0"/>
                  <w:jc w:val="left"/>
                  <w:rPr>
                    <w:rFonts w:ascii="Georgia" w:hAnsi="Georgia"/>
                    <w:sz w:val="15"/>
                  </w:rPr>
                </w:pPr>
                <w:r>
                  <w:rPr>
                    <w:rFonts w:ascii="Georgia" w:hAnsi="Georgia"/>
                    <w:w w:val="95"/>
                    <w:sz w:val="15"/>
                  </w:rPr>
                  <w:t>Darío Salinas Figueredo</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300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744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0.642914pt;margin-top:36.227932pt;width:63.2pt;height:9.5pt;mso-position-horizontal-relative:page;mso-position-vertical-relative:page;z-index:-252976" type="#_x0000_t202" filled="false" stroked="false">
          <v:textbox inset="0,0,0,0">
            <w:txbxContent>
              <w:p>
                <w:pPr>
                  <w:spacing w:line="169" w:lineRule="exact" w:before="0"/>
                  <w:ind w:left="20" w:right="-11" w:firstLine="0"/>
                  <w:jc w:val="left"/>
                  <w:rPr>
                    <w:sz w:val="15"/>
                  </w:rPr>
                </w:pPr>
                <w:r>
                  <w:rPr>
                    <w:sz w:val="15"/>
                  </w:rPr>
                  <w:t>Luis Suárez Salazar</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2664"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075714pt;margin-top:36.227932pt;width:67.8pt;height:9.5pt;mso-position-horizontal-relative:page;mso-position-vertical-relative:page;z-index:-252640" type="#_x0000_t202" filled="false" stroked="false">
          <v:textbox inset="0,0,0,0">
            <w:txbxContent>
              <w:p>
                <w:pPr>
                  <w:spacing w:line="169" w:lineRule="exact" w:before="0"/>
                  <w:ind w:left="20" w:right="0" w:firstLine="0"/>
                  <w:jc w:val="left"/>
                  <w:rPr>
                    <w:rFonts w:ascii="Georgia"/>
                    <w:sz w:val="15"/>
                  </w:rPr>
                </w:pPr>
                <w:r>
                  <w:rPr>
                    <w:rFonts w:ascii="Georgia"/>
                    <w:w w:val="95"/>
                    <w:sz w:val="15"/>
                  </w:rPr>
                  <w:t>Leandro Morgenfeld</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572502pt;margin-top:36.331833pt;width:255.7pt;height:9.5pt;mso-position-horizontal-relative:page;mso-position-vertical-relative:page;z-index:-252040"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spacing w:val="-1"/>
                    <w:w w:val="93"/>
                    <w:sz w:val="15"/>
                  </w:rPr>
                  <w:t>E</w:t>
                </w:r>
                <w:r>
                  <w:rPr>
                    <w:rFonts w:ascii="Times New Roman" w:hAnsi="Times New Roman"/>
                    <w:spacing w:val="-3"/>
                    <w:w w:val="130"/>
                    <w:sz w:val="15"/>
                  </w:rPr>
                  <w:t>s</w:t>
                </w:r>
                <w:r>
                  <w:rPr>
                    <w:rFonts w:ascii="Times New Roman" w:hAnsi="Times New Roman"/>
                    <w:spacing w:val="-11"/>
                    <w:w w:val="209"/>
                    <w:sz w:val="15"/>
                  </w:rPr>
                  <w:t>t</w:t>
                </w:r>
                <w:r>
                  <w:rPr>
                    <w:rFonts w:ascii="Times New Roman" w:hAnsi="Times New Roman"/>
                    <w:spacing w:val="-2"/>
                    <w:w w:val="144"/>
                    <w:sz w:val="15"/>
                  </w:rPr>
                  <w:t>a</w:t>
                </w:r>
                <w:r>
                  <w:rPr>
                    <w:rFonts w:ascii="Times New Roman" w:hAnsi="Times New Roman"/>
                    <w:spacing w:val="1"/>
                    <w:w w:val="14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spacing w:val="-2"/>
                    <w:w w:val="124"/>
                    <w:sz w:val="15"/>
                  </w:rPr>
                  <w:t>Uni</w:t>
                </w:r>
                <w:r>
                  <w:rPr>
                    <w:rFonts w:ascii="Times New Roman" w:hAnsi="Times New Roman"/>
                    <w:spacing w:val="1"/>
                    <w:w w:val="124"/>
                    <w:sz w:val="15"/>
                  </w:rPr>
                  <w:t>d</w:t>
                </w:r>
                <w:r>
                  <w:rPr>
                    <w:rFonts w:ascii="Times New Roman" w:hAnsi="Times New Roman"/>
                    <w:spacing w:val="-1"/>
                    <w:w w:val="143"/>
                    <w:sz w:val="15"/>
                  </w:rPr>
                  <w:t>o</w:t>
                </w:r>
                <w:r>
                  <w:rPr>
                    <w:rFonts w:ascii="Times New Roman" w:hAnsi="Times New Roman"/>
                    <w:w w:val="130"/>
                    <w:sz w:val="15"/>
                  </w:rPr>
                  <w:t>s</w:t>
                </w:r>
                <w:r>
                  <w:rPr>
                    <w:rFonts w:ascii="Times New Roman" w:hAnsi="Times New Roman"/>
                    <w:spacing w:val="-12"/>
                    <w:sz w:val="15"/>
                  </w:rPr>
                  <w:t> </w:t>
                </w:r>
                <w:r>
                  <w:rPr>
                    <w:rFonts w:ascii="Times New Roman" w:hAnsi="Times New Roman"/>
                    <w:w w:val="115"/>
                    <w:sz w:val="15"/>
                  </w:rPr>
                  <w:t>y</w:t>
                </w:r>
                <w:r>
                  <w:rPr>
                    <w:rFonts w:ascii="Times New Roman" w:hAnsi="Times New Roman"/>
                    <w:spacing w:val="-12"/>
                    <w:sz w:val="15"/>
                  </w:rPr>
                  <w:t> </w:t>
                </w:r>
                <w:r>
                  <w:rPr>
                    <w:rFonts w:ascii="Times New Roman" w:hAnsi="Times New Roman"/>
                    <w:spacing w:val="2"/>
                    <w:w w:val="195"/>
                    <w:sz w:val="15"/>
                  </w:rPr>
                  <w:t>l</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5"/>
                    <w:sz w:val="15"/>
                  </w:rPr>
                  <w:t>n</w:t>
                </w:r>
                <w:r>
                  <w:rPr>
                    <w:rFonts w:ascii="Times New Roman" w:hAnsi="Times New Roman"/>
                    <w:spacing w:val="-2"/>
                    <w:w w:val="95"/>
                    <w:sz w:val="15"/>
                  </w:rPr>
                  <w:t>UE</w:t>
                </w:r>
                <w:r>
                  <w:rPr>
                    <w:rFonts w:ascii="Times New Roman" w:hAnsi="Times New Roman"/>
                    <w:spacing w:val="-11"/>
                    <w:w w:val="123"/>
                    <w:sz w:val="15"/>
                  </w:rPr>
                  <w:t>v</w:t>
                </w:r>
                <w:r>
                  <w:rPr>
                    <w:rFonts w:ascii="Times New Roman" w:hAnsi="Times New Roman"/>
                    <w:w w:val="141"/>
                    <w:sz w:val="15"/>
                  </w:rPr>
                  <w:t>a</w:t>
                </w:r>
                <w:r>
                  <w:rPr>
                    <w:rFonts w:ascii="Times New Roman" w:hAnsi="Times New Roman"/>
                    <w:spacing w:val="-12"/>
                    <w:sz w:val="15"/>
                  </w:rPr>
                  <w:t> </w:t>
                </w:r>
                <w:r>
                  <w:rPr>
                    <w:rFonts w:ascii="Times New Roman" w:hAnsi="Times New Roman"/>
                    <w:spacing w:val="-2"/>
                    <w:w w:val="146"/>
                    <w:sz w:val="15"/>
                  </w:rPr>
                  <w:t>c</w:t>
                </w:r>
                <w:r>
                  <w:rPr>
                    <w:rFonts w:ascii="Times New Roman" w:hAnsi="Times New Roman"/>
                    <w:spacing w:val="-2"/>
                    <w:w w:val="165"/>
                    <w:sz w:val="15"/>
                  </w:rPr>
                  <w:t>orr</w:t>
                </w:r>
                <w:r>
                  <w:rPr>
                    <w:rFonts w:ascii="Times New Roman" w:hAnsi="Times New Roman"/>
                    <w:spacing w:val="-2"/>
                    <w:w w:val="93"/>
                    <w:sz w:val="15"/>
                  </w:rPr>
                  <w:t>E</w:t>
                </w:r>
                <w:r>
                  <w:rPr>
                    <w:rFonts w:ascii="Times New Roman" w:hAnsi="Times New Roman"/>
                    <w:spacing w:val="2"/>
                    <w:w w:val="195"/>
                    <w:sz w:val="15"/>
                  </w:rPr>
                  <w:t>l</w:t>
                </w:r>
                <w:r>
                  <w:rPr>
                    <w:rFonts w:ascii="Times New Roman" w:hAnsi="Times New Roman"/>
                    <w:spacing w:val="-3"/>
                    <w:w w:val="141"/>
                    <w:sz w:val="15"/>
                  </w:rPr>
                  <w:t>a</w:t>
                </w:r>
                <w:r>
                  <w:rPr>
                    <w:rFonts w:ascii="Times New Roman" w:hAnsi="Times New Roman"/>
                    <w:spacing w:val="-2"/>
                    <w:w w:val="140"/>
                    <w:sz w:val="15"/>
                  </w:rPr>
                  <w:t>ció</w:t>
                </w:r>
                <w:r>
                  <w:rPr>
                    <w:rFonts w:ascii="Times New Roman" w:hAnsi="Times New Roman"/>
                    <w:w w:val="140"/>
                    <w:sz w:val="15"/>
                  </w:rPr>
                  <w:t>n</w:t>
                </w:r>
                <w:r>
                  <w:rPr>
                    <w:rFonts w:ascii="Times New Roman" w:hAnsi="Times New Roman"/>
                    <w:spacing w:val="-12"/>
                    <w:sz w:val="15"/>
                  </w:rPr>
                  <w:t> </w:t>
                </w:r>
                <w:r>
                  <w:rPr>
                    <w:rFonts w:ascii="Times New Roman" w:hAnsi="Times New Roman"/>
                    <w:spacing w:val="-2"/>
                    <w:w w:val="146"/>
                    <w:sz w:val="15"/>
                  </w:rPr>
                  <w:t>d</w:t>
                </w:r>
                <w:r>
                  <w:rPr>
                    <w:rFonts w:ascii="Times New Roman" w:hAnsi="Times New Roman"/>
                    <w:w w:val="93"/>
                    <w:sz w:val="15"/>
                  </w:rPr>
                  <w:t>E</w:t>
                </w:r>
                <w:r>
                  <w:rPr>
                    <w:rFonts w:ascii="Times New Roman" w:hAnsi="Times New Roman"/>
                    <w:spacing w:val="-12"/>
                    <w:sz w:val="15"/>
                  </w:rPr>
                  <w:t> </w:t>
                </w:r>
                <w:r>
                  <w:rPr>
                    <w:rFonts w:ascii="Times New Roman" w:hAnsi="Times New Roman"/>
                    <w:spacing w:val="-1"/>
                    <w:w w:val="162"/>
                    <w:sz w:val="15"/>
                  </w:rPr>
                  <w:t>f</w:t>
                </w:r>
                <w:r>
                  <w:rPr>
                    <w:rFonts w:ascii="Times New Roman" w:hAnsi="Times New Roman"/>
                    <w:spacing w:val="-2"/>
                    <w:w w:val="95"/>
                    <w:sz w:val="15"/>
                  </w:rPr>
                  <w:t>UE</w:t>
                </w:r>
                <w:r>
                  <w:rPr>
                    <w:rFonts w:ascii="Times New Roman" w:hAnsi="Times New Roman"/>
                    <w:w w:val="182"/>
                    <w:sz w:val="15"/>
                  </w:rPr>
                  <w:t>r</w:t>
                </w:r>
                <w:r>
                  <w:rPr>
                    <w:rFonts w:ascii="Times New Roman" w:hAnsi="Times New Roman"/>
                    <w:w w:val="130"/>
                    <w:sz w:val="15"/>
                  </w:rPr>
                  <w:t>z</w:t>
                </w:r>
                <w:r>
                  <w:rPr>
                    <w:rFonts w:ascii="Times New Roman" w:hAnsi="Times New Roman"/>
                    <w:spacing w:val="-2"/>
                    <w:w w:val="136"/>
                    <w:sz w:val="15"/>
                  </w:rPr>
                  <w:t>a</w:t>
                </w:r>
                <w:r>
                  <w:rPr>
                    <w:rFonts w:ascii="Times New Roman" w:hAnsi="Times New Roman"/>
                    <w:w w:val="136"/>
                    <w:sz w:val="15"/>
                  </w:rPr>
                  <w:t>s</w:t>
                </w:r>
                <w:r>
                  <w:rPr>
                    <w:rFonts w:ascii="Times New Roman" w:hAnsi="Times New Roman"/>
                    <w:spacing w:val="-12"/>
                    <w:sz w:val="15"/>
                  </w:rPr>
                  <w:t> </w:t>
                </w:r>
                <w:r>
                  <w:rPr>
                    <w:rFonts w:ascii="Times New Roman" w:hAnsi="Times New Roman"/>
                    <w:spacing w:val="-2"/>
                    <w:w w:val="135"/>
                    <w:sz w:val="15"/>
                  </w:rPr>
                  <w:t>i</w:t>
                </w:r>
                <w:r>
                  <w:rPr>
                    <w:rFonts w:ascii="Times New Roman" w:hAnsi="Times New Roman"/>
                    <w:spacing w:val="-1"/>
                    <w:w w:val="135"/>
                    <w:sz w:val="15"/>
                  </w:rPr>
                  <w:t>n</w:t>
                </w:r>
                <w:r>
                  <w:rPr>
                    <w:rFonts w:ascii="Times New Roman" w:hAnsi="Times New Roman"/>
                    <w:spacing w:val="-2"/>
                    <w:w w:val="209"/>
                    <w:sz w:val="15"/>
                  </w:rPr>
                  <w:t>t</w:t>
                </w:r>
                <w:r>
                  <w:rPr>
                    <w:rFonts w:ascii="Times New Roman" w:hAnsi="Times New Roman"/>
                    <w:spacing w:val="-2"/>
                    <w:w w:val="93"/>
                    <w:sz w:val="15"/>
                  </w:rPr>
                  <w:t>E</w:t>
                </w:r>
                <w:r>
                  <w:rPr>
                    <w:rFonts w:ascii="Times New Roman" w:hAnsi="Times New Roman"/>
                    <w:spacing w:val="-2"/>
                    <w:w w:val="160"/>
                    <w:sz w:val="15"/>
                  </w:rPr>
                  <w:t>r</w:t>
                </w:r>
                <w:r>
                  <w:rPr>
                    <w:rFonts w:ascii="Times New Roman" w:hAnsi="Times New Roman"/>
                    <w:spacing w:val="-4"/>
                    <w:w w:val="160"/>
                    <w:sz w:val="15"/>
                  </w:rPr>
                  <w:t>n</w:t>
                </w:r>
                <w:r>
                  <w:rPr>
                    <w:rFonts w:ascii="Times New Roman" w:hAnsi="Times New Roman"/>
                    <w:spacing w:val="-3"/>
                    <w:w w:val="141"/>
                    <w:sz w:val="15"/>
                  </w:rPr>
                  <w:t>a</w:t>
                </w:r>
                <w:r>
                  <w:rPr>
                    <w:rFonts w:ascii="Times New Roman" w:hAnsi="Times New Roman"/>
                    <w:spacing w:val="-2"/>
                    <w:w w:val="140"/>
                    <w:sz w:val="15"/>
                  </w:rPr>
                  <w:t>cio</w:t>
                </w:r>
                <w:r>
                  <w:rPr>
                    <w:rFonts w:ascii="Times New Roman" w:hAnsi="Times New Roman"/>
                    <w:spacing w:val="-4"/>
                    <w:w w:val="140"/>
                    <w:sz w:val="15"/>
                  </w:rPr>
                  <w:t>n</w:t>
                </w:r>
                <w:r>
                  <w:rPr>
                    <w:rFonts w:ascii="Times New Roman" w:hAnsi="Times New Roman"/>
                    <w:spacing w:val="-2"/>
                    <w:w w:val="162"/>
                    <w:sz w:val="15"/>
                  </w:rPr>
                  <w:t>al</w:t>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553497pt;margin-top:36.227932pt;width:84.3pt;height:9.5pt;mso-position-horizontal-relative:page;mso-position-vertical-relative:page;z-index:-252016" type="#_x0000_t202" filled="false" stroked="false">
          <v:textbox inset="0,0,0,0">
            <w:txbxContent>
              <w:p>
                <w:pPr>
                  <w:spacing w:line="169" w:lineRule="exact" w:before="0"/>
                  <w:ind w:left="20" w:right="0" w:firstLine="0"/>
                  <w:jc w:val="left"/>
                  <w:rPr>
                    <w:rFonts w:ascii="Georgia" w:hAnsi="Georgia"/>
                    <w:sz w:val="15"/>
                  </w:rPr>
                </w:pPr>
                <w:r>
                  <w:rPr>
                    <w:rFonts w:ascii="Georgia" w:hAnsi="Georgia"/>
                    <w:w w:val="95"/>
                    <w:sz w:val="15"/>
                  </w:rPr>
                  <w:t>Laneydi Martínez Alfonso</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6.920013pt;margin-top:36.227932pt;width:26.95pt;height:9.5pt;mso-position-horizontal-relative:page;mso-position-vertical-relative:page;z-index:-257416" type="#_x0000_t202" filled="false" stroked="false">
          <v:textbox inset="0,0,0,0">
            <w:txbxContent>
              <w:p>
                <w:pPr>
                  <w:spacing w:line="169" w:lineRule="exact" w:before="0"/>
                  <w:ind w:left="20" w:right="0" w:firstLine="0"/>
                  <w:jc w:val="left"/>
                  <w:rPr>
                    <w:rFonts w:ascii="Times New Roman" w:hAnsi="Times New Roman"/>
                    <w:sz w:val="15"/>
                  </w:rPr>
                </w:pPr>
                <w:r>
                  <w:rPr>
                    <w:rFonts w:ascii="Times New Roman" w:hAnsi="Times New Roman"/>
                    <w:w w:val="105"/>
                    <w:sz w:val="15"/>
                  </w:rPr>
                  <w:t>Prólogo</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6">
    <w:multiLevelType w:val="hybridMultilevel"/>
    <w:lvl w:ilvl="0">
      <w:start w:val="1"/>
      <w:numFmt w:val="lowerLetter"/>
      <w:lvlText w:val="%1."/>
      <w:lvlJc w:val="left"/>
      <w:pPr>
        <w:ind w:left="727" w:hanging="241"/>
        <w:jc w:val="left"/>
      </w:pPr>
      <w:rPr>
        <w:rFonts w:hint="default" w:ascii="Cambria" w:hAnsi="Cambria" w:eastAsia="Cambria" w:cs="Cambria"/>
        <w:w w:val="138"/>
        <w:sz w:val="19"/>
        <w:szCs w:val="19"/>
      </w:rPr>
    </w:lvl>
    <w:lvl w:ilvl="1">
      <w:start w:val="1"/>
      <w:numFmt w:val="bullet"/>
      <w:lvlText w:val="•"/>
      <w:lvlJc w:val="left"/>
      <w:pPr>
        <w:ind w:left="1314" w:hanging="241"/>
      </w:pPr>
      <w:rPr>
        <w:rFonts w:hint="default"/>
      </w:rPr>
    </w:lvl>
    <w:lvl w:ilvl="2">
      <w:start w:val="1"/>
      <w:numFmt w:val="bullet"/>
      <w:lvlText w:val="•"/>
      <w:lvlJc w:val="left"/>
      <w:pPr>
        <w:ind w:left="1909" w:hanging="241"/>
      </w:pPr>
      <w:rPr>
        <w:rFonts w:hint="default"/>
      </w:rPr>
    </w:lvl>
    <w:lvl w:ilvl="3">
      <w:start w:val="1"/>
      <w:numFmt w:val="bullet"/>
      <w:lvlText w:val="•"/>
      <w:lvlJc w:val="left"/>
      <w:pPr>
        <w:ind w:left="2504" w:hanging="241"/>
      </w:pPr>
      <w:rPr>
        <w:rFonts w:hint="default"/>
      </w:rPr>
    </w:lvl>
    <w:lvl w:ilvl="4">
      <w:start w:val="1"/>
      <w:numFmt w:val="bullet"/>
      <w:lvlText w:val="•"/>
      <w:lvlJc w:val="left"/>
      <w:pPr>
        <w:ind w:left="3098" w:hanging="241"/>
      </w:pPr>
      <w:rPr>
        <w:rFonts w:hint="default"/>
      </w:rPr>
    </w:lvl>
    <w:lvl w:ilvl="5">
      <w:start w:val="1"/>
      <w:numFmt w:val="bullet"/>
      <w:lvlText w:val="•"/>
      <w:lvlJc w:val="left"/>
      <w:pPr>
        <w:ind w:left="3693" w:hanging="241"/>
      </w:pPr>
      <w:rPr>
        <w:rFonts w:hint="default"/>
      </w:rPr>
    </w:lvl>
    <w:lvl w:ilvl="6">
      <w:start w:val="1"/>
      <w:numFmt w:val="bullet"/>
      <w:lvlText w:val="•"/>
      <w:lvlJc w:val="left"/>
      <w:pPr>
        <w:ind w:left="4288" w:hanging="241"/>
      </w:pPr>
      <w:rPr>
        <w:rFonts w:hint="default"/>
      </w:rPr>
    </w:lvl>
    <w:lvl w:ilvl="7">
      <w:start w:val="1"/>
      <w:numFmt w:val="bullet"/>
      <w:lvlText w:val="•"/>
      <w:lvlJc w:val="left"/>
      <w:pPr>
        <w:ind w:left="4883" w:hanging="241"/>
      </w:pPr>
      <w:rPr>
        <w:rFonts w:hint="default"/>
      </w:rPr>
    </w:lvl>
    <w:lvl w:ilvl="8">
      <w:start w:val="1"/>
      <w:numFmt w:val="bullet"/>
      <w:lvlText w:val="•"/>
      <w:lvlJc w:val="left"/>
      <w:pPr>
        <w:ind w:left="5477" w:hanging="241"/>
      </w:pPr>
      <w:rPr>
        <w:rFonts w:hint="default"/>
      </w:rPr>
    </w:lvl>
  </w:abstractNum>
  <w:abstractNum w:abstractNumId="30">
    <w:multiLevelType w:val="hybridMultilevel"/>
    <w:lvl w:ilvl="0">
      <w:start w:val="2"/>
      <w:numFmt w:val="decimal"/>
      <w:lvlText w:val="%1"/>
      <w:lvlJc w:val="left"/>
      <w:pPr>
        <w:ind w:left="330" w:hanging="256"/>
        <w:jc w:val="right"/>
      </w:pPr>
      <w:rPr>
        <w:rFonts w:hint="default" w:ascii="Cambria" w:hAnsi="Cambria" w:eastAsia="Cambria" w:cs="Cambria"/>
        <w:w w:val="100"/>
        <w:sz w:val="16"/>
        <w:szCs w:val="16"/>
      </w:rPr>
    </w:lvl>
    <w:lvl w:ilvl="1">
      <w:start w:val="1"/>
      <w:numFmt w:val="bullet"/>
      <w:lvlText w:val="•"/>
      <w:lvlJc w:val="left"/>
      <w:pPr>
        <w:ind w:left="974" w:hanging="256"/>
      </w:pPr>
      <w:rPr>
        <w:rFonts w:hint="default"/>
      </w:rPr>
    </w:lvl>
    <w:lvl w:ilvl="2">
      <w:start w:val="1"/>
      <w:numFmt w:val="bullet"/>
      <w:lvlText w:val="•"/>
      <w:lvlJc w:val="left"/>
      <w:pPr>
        <w:ind w:left="1609" w:hanging="256"/>
      </w:pPr>
      <w:rPr>
        <w:rFonts w:hint="default"/>
      </w:rPr>
    </w:lvl>
    <w:lvl w:ilvl="3">
      <w:start w:val="1"/>
      <w:numFmt w:val="bullet"/>
      <w:lvlText w:val="•"/>
      <w:lvlJc w:val="left"/>
      <w:pPr>
        <w:ind w:left="2244" w:hanging="256"/>
      </w:pPr>
      <w:rPr>
        <w:rFonts w:hint="default"/>
      </w:rPr>
    </w:lvl>
    <w:lvl w:ilvl="4">
      <w:start w:val="1"/>
      <w:numFmt w:val="bullet"/>
      <w:lvlText w:val="•"/>
      <w:lvlJc w:val="left"/>
      <w:pPr>
        <w:ind w:left="2878" w:hanging="256"/>
      </w:pPr>
      <w:rPr>
        <w:rFonts w:hint="default"/>
      </w:rPr>
    </w:lvl>
    <w:lvl w:ilvl="5">
      <w:start w:val="1"/>
      <w:numFmt w:val="bullet"/>
      <w:lvlText w:val="•"/>
      <w:lvlJc w:val="left"/>
      <w:pPr>
        <w:ind w:left="3513" w:hanging="256"/>
      </w:pPr>
      <w:rPr>
        <w:rFonts w:hint="default"/>
      </w:rPr>
    </w:lvl>
    <w:lvl w:ilvl="6">
      <w:start w:val="1"/>
      <w:numFmt w:val="bullet"/>
      <w:lvlText w:val="•"/>
      <w:lvlJc w:val="left"/>
      <w:pPr>
        <w:ind w:left="4148" w:hanging="256"/>
      </w:pPr>
      <w:rPr>
        <w:rFonts w:hint="default"/>
      </w:rPr>
    </w:lvl>
    <w:lvl w:ilvl="7">
      <w:start w:val="1"/>
      <w:numFmt w:val="bullet"/>
      <w:lvlText w:val="•"/>
      <w:lvlJc w:val="left"/>
      <w:pPr>
        <w:ind w:left="4783" w:hanging="256"/>
      </w:pPr>
      <w:rPr>
        <w:rFonts w:hint="default"/>
      </w:rPr>
    </w:lvl>
    <w:lvl w:ilvl="8">
      <w:start w:val="1"/>
      <w:numFmt w:val="bullet"/>
      <w:lvlText w:val="•"/>
      <w:lvlJc w:val="left"/>
      <w:pPr>
        <w:ind w:left="5417" w:hanging="256"/>
      </w:pPr>
      <w:rPr>
        <w:rFonts w:hint="default"/>
      </w:rPr>
    </w:lvl>
  </w:abstractNum>
  <w:abstractNum w:abstractNumId="27">
    <w:multiLevelType w:val="hybridMultilevel"/>
    <w:lvl w:ilvl="0">
      <w:start w:val="2"/>
      <w:numFmt w:val="decimal"/>
      <w:lvlText w:val="%1"/>
      <w:lvlJc w:val="left"/>
      <w:pPr>
        <w:ind w:left="330" w:hanging="256"/>
        <w:jc w:val="right"/>
      </w:pPr>
      <w:rPr>
        <w:rFonts w:hint="default" w:ascii="Cambria" w:hAnsi="Cambria" w:eastAsia="Cambria" w:cs="Cambria"/>
        <w:w w:val="100"/>
        <w:sz w:val="16"/>
        <w:szCs w:val="16"/>
      </w:rPr>
    </w:lvl>
    <w:lvl w:ilvl="1">
      <w:start w:val="1"/>
      <w:numFmt w:val="bullet"/>
      <w:lvlText w:val="•"/>
      <w:lvlJc w:val="left"/>
      <w:pPr>
        <w:ind w:left="974" w:hanging="256"/>
      </w:pPr>
      <w:rPr>
        <w:rFonts w:hint="default"/>
      </w:rPr>
    </w:lvl>
    <w:lvl w:ilvl="2">
      <w:start w:val="1"/>
      <w:numFmt w:val="bullet"/>
      <w:lvlText w:val="•"/>
      <w:lvlJc w:val="left"/>
      <w:pPr>
        <w:ind w:left="1609" w:hanging="256"/>
      </w:pPr>
      <w:rPr>
        <w:rFonts w:hint="default"/>
      </w:rPr>
    </w:lvl>
    <w:lvl w:ilvl="3">
      <w:start w:val="1"/>
      <w:numFmt w:val="bullet"/>
      <w:lvlText w:val="•"/>
      <w:lvlJc w:val="left"/>
      <w:pPr>
        <w:ind w:left="2244" w:hanging="256"/>
      </w:pPr>
      <w:rPr>
        <w:rFonts w:hint="default"/>
      </w:rPr>
    </w:lvl>
    <w:lvl w:ilvl="4">
      <w:start w:val="1"/>
      <w:numFmt w:val="bullet"/>
      <w:lvlText w:val="•"/>
      <w:lvlJc w:val="left"/>
      <w:pPr>
        <w:ind w:left="2878" w:hanging="256"/>
      </w:pPr>
      <w:rPr>
        <w:rFonts w:hint="default"/>
      </w:rPr>
    </w:lvl>
    <w:lvl w:ilvl="5">
      <w:start w:val="1"/>
      <w:numFmt w:val="bullet"/>
      <w:lvlText w:val="•"/>
      <w:lvlJc w:val="left"/>
      <w:pPr>
        <w:ind w:left="3513" w:hanging="256"/>
      </w:pPr>
      <w:rPr>
        <w:rFonts w:hint="default"/>
      </w:rPr>
    </w:lvl>
    <w:lvl w:ilvl="6">
      <w:start w:val="1"/>
      <w:numFmt w:val="bullet"/>
      <w:lvlText w:val="•"/>
      <w:lvlJc w:val="left"/>
      <w:pPr>
        <w:ind w:left="4148" w:hanging="256"/>
      </w:pPr>
      <w:rPr>
        <w:rFonts w:hint="default"/>
      </w:rPr>
    </w:lvl>
    <w:lvl w:ilvl="7">
      <w:start w:val="1"/>
      <w:numFmt w:val="bullet"/>
      <w:lvlText w:val="•"/>
      <w:lvlJc w:val="left"/>
      <w:pPr>
        <w:ind w:left="4783" w:hanging="256"/>
      </w:pPr>
      <w:rPr>
        <w:rFonts w:hint="default"/>
      </w:rPr>
    </w:lvl>
    <w:lvl w:ilvl="8">
      <w:start w:val="1"/>
      <w:numFmt w:val="bullet"/>
      <w:lvlText w:val="•"/>
      <w:lvlJc w:val="left"/>
      <w:pPr>
        <w:ind w:left="5417" w:hanging="256"/>
      </w:pPr>
      <w:rPr>
        <w:rFonts w:hint="default"/>
      </w:rPr>
    </w:lvl>
  </w:abstractNum>
  <w:abstractNum w:abstractNumId="8">
    <w:multiLevelType w:val="hybridMultilevel"/>
    <w:lvl w:ilvl="0">
      <w:start w:val="3"/>
      <w:numFmt w:val="decimal"/>
      <w:lvlText w:val="%1"/>
      <w:lvlJc w:val="left"/>
      <w:pPr>
        <w:ind w:left="330" w:hanging="256"/>
        <w:jc w:val="right"/>
      </w:pPr>
      <w:rPr>
        <w:rFonts w:hint="default" w:ascii="Cambria" w:hAnsi="Cambria" w:eastAsia="Cambria" w:cs="Cambria"/>
        <w:w w:val="100"/>
        <w:sz w:val="16"/>
        <w:szCs w:val="16"/>
      </w:rPr>
    </w:lvl>
    <w:lvl w:ilvl="1">
      <w:start w:val="1"/>
      <w:numFmt w:val="bullet"/>
      <w:lvlText w:val="•"/>
      <w:lvlJc w:val="left"/>
      <w:pPr>
        <w:ind w:left="974" w:hanging="256"/>
      </w:pPr>
      <w:rPr>
        <w:rFonts w:hint="default"/>
      </w:rPr>
    </w:lvl>
    <w:lvl w:ilvl="2">
      <w:start w:val="1"/>
      <w:numFmt w:val="bullet"/>
      <w:lvlText w:val="•"/>
      <w:lvlJc w:val="left"/>
      <w:pPr>
        <w:ind w:left="1609" w:hanging="256"/>
      </w:pPr>
      <w:rPr>
        <w:rFonts w:hint="default"/>
      </w:rPr>
    </w:lvl>
    <w:lvl w:ilvl="3">
      <w:start w:val="1"/>
      <w:numFmt w:val="bullet"/>
      <w:lvlText w:val="•"/>
      <w:lvlJc w:val="left"/>
      <w:pPr>
        <w:ind w:left="2244" w:hanging="256"/>
      </w:pPr>
      <w:rPr>
        <w:rFonts w:hint="default"/>
      </w:rPr>
    </w:lvl>
    <w:lvl w:ilvl="4">
      <w:start w:val="1"/>
      <w:numFmt w:val="bullet"/>
      <w:lvlText w:val="•"/>
      <w:lvlJc w:val="left"/>
      <w:pPr>
        <w:ind w:left="2878" w:hanging="256"/>
      </w:pPr>
      <w:rPr>
        <w:rFonts w:hint="default"/>
      </w:rPr>
    </w:lvl>
    <w:lvl w:ilvl="5">
      <w:start w:val="1"/>
      <w:numFmt w:val="bullet"/>
      <w:lvlText w:val="•"/>
      <w:lvlJc w:val="left"/>
      <w:pPr>
        <w:ind w:left="3513" w:hanging="256"/>
      </w:pPr>
      <w:rPr>
        <w:rFonts w:hint="default"/>
      </w:rPr>
    </w:lvl>
    <w:lvl w:ilvl="6">
      <w:start w:val="1"/>
      <w:numFmt w:val="bullet"/>
      <w:lvlText w:val="•"/>
      <w:lvlJc w:val="left"/>
      <w:pPr>
        <w:ind w:left="4148" w:hanging="256"/>
      </w:pPr>
      <w:rPr>
        <w:rFonts w:hint="default"/>
      </w:rPr>
    </w:lvl>
    <w:lvl w:ilvl="7">
      <w:start w:val="1"/>
      <w:numFmt w:val="bullet"/>
      <w:lvlText w:val="•"/>
      <w:lvlJc w:val="left"/>
      <w:pPr>
        <w:ind w:left="4783" w:hanging="256"/>
      </w:pPr>
      <w:rPr>
        <w:rFonts w:hint="default"/>
      </w:rPr>
    </w:lvl>
    <w:lvl w:ilvl="8">
      <w:start w:val="1"/>
      <w:numFmt w:val="bullet"/>
      <w:lvlText w:val="•"/>
      <w:lvlJc w:val="left"/>
      <w:pPr>
        <w:ind w:left="5417" w:hanging="256"/>
      </w:pPr>
      <w:rPr>
        <w:rFonts w:hint="default"/>
      </w:rPr>
    </w:lvl>
  </w:abstractNum>
  <w:abstractNum w:abstractNumId="2">
    <w:multiLevelType w:val="hybridMultilevel"/>
    <w:lvl w:ilvl="0">
      <w:start w:val="4"/>
      <w:numFmt w:val="decimal"/>
      <w:lvlText w:val="%1"/>
      <w:lvlJc w:val="left"/>
      <w:pPr>
        <w:ind w:left="330" w:hanging="256"/>
        <w:jc w:val="right"/>
      </w:pPr>
      <w:rPr>
        <w:rFonts w:hint="default" w:ascii="Cambria" w:hAnsi="Cambria" w:eastAsia="Cambria" w:cs="Cambria"/>
        <w:w w:val="100"/>
        <w:sz w:val="16"/>
        <w:szCs w:val="16"/>
      </w:rPr>
    </w:lvl>
    <w:lvl w:ilvl="1">
      <w:start w:val="1"/>
      <w:numFmt w:val="bullet"/>
      <w:lvlText w:val="•"/>
      <w:lvlJc w:val="left"/>
      <w:pPr>
        <w:ind w:left="974" w:hanging="256"/>
      </w:pPr>
      <w:rPr>
        <w:rFonts w:hint="default"/>
      </w:rPr>
    </w:lvl>
    <w:lvl w:ilvl="2">
      <w:start w:val="1"/>
      <w:numFmt w:val="bullet"/>
      <w:lvlText w:val="•"/>
      <w:lvlJc w:val="left"/>
      <w:pPr>
        <w:ind w:left="1609" w:hanging="256"/>
      </w:pPr>
      <w:rPr>
        <w:rFonts w:hint="default"/>
      </w:rPr>
    </w:lvl>
    <w:lvl w:ilvl="3">
      <w:start w:val="1"/>
      <w:numFmt w:val="bullet"/>
      <w:lvlText w:val="•"/>
      <w:lvlJc w:val="left"/>
      <w:pPr>
        <w:ind w:left="2244" w:hanging="256"/>
      </w:pPr>
      <w:rPr>
        <w:rFonts w:hint="default"/>
      </w:rPr>
    </w:lvl>
    <w:lvl w:ilvl="4">
      <w:start w:val="1"/>
      <w:numFmt w:val="bullet"/>
      <w:lvlText w:val="•"/>
      <w:lvlJc w:val="left"/>
      <w:pPr>
        <w:ind w:left="2878" w:hanging="256"/>
      </w:pPr>
      <w:rPr>
        <w:rFonts w:hint="default"/>
      </w:rPr>
    </w:lvl>
    <w:lvl w:ilvl="5">
      <w:start w:val="1"/>
      <w:numFmt w:val="bullet"/>
      <w:lvlText w:val="•"/>
      <w:lvlJc w:val="left"/>
      <w:pPr>
        <w:ind w:left="3513" w:hanging="256"/>
      </w:pPr>
      <w:rPr>
        <w:rFonts w:hint="default"/>
      </w:rPr>
    </w:lvl>
    <w:lvl w:ilvl="6">
      <w:start w:val="1"/>
      <w:numFmt w:val="bullet"/>
      <w:lvlText w:val="•"/>
      <w:lvlJc w:val="left"/>
      <w:pPr>
        <w:ind w:left="4148" w:hanging="256"/>
      </w:pPr>
      <w:rPr>
        <w:rFonts w:hint="default"/>
      </w:rPr>
    </w:lvl>
    <w:lvl w:ilvl="7">
      <w:start w:val="1"/>
      <w:numFmt w:val="bullet"/>
      <w:lvlText w:val="•"/>
      <w:lvlJc w:val="left"/>
      <w:pPr>
        <w:ind w:left="4783" w:hanging="256"/>
      </w:pPr>
      <w:rPr>
        <w:rFonts w:hint="default"/>
      </w:rPr>
    </w:lvl>
    <w:lvl w:ilvl="8">
      <w:start w:val="1"/>
      <w:numFmt w:val="bullet"/>
      <w:lvlText w:val="•"/>
      <w:lvlJc w:val="left"/>
      <w:pPr>
        <w:ind w:left="5417" w:hanging="256"/>
      </w:pPr>
      <w:rPr>
        <w:rFonts w:hint="default"/>
      </w:rPr>
    </w:lvl>
  </w:abstractNum>
  <w:abstractNum w:abstractNumId="0">
    <w:multiLevelType w:val="hybridMultilevel"/>
    <w:lvl w:ilvl="0">
      <w:start w:val="1"/>
      <w:numFmt w:val="lowerLetter"/>
      <w:lvlText w:val="%1."/>
      <w:lvlJc w:val="left"/>
      <w:pPr>
        <w:ind w:left="724" w:hanging="227"/>
        <w:jc w:val="right"/>
      </w:pPr>
      <w:rPr>
        <w:rFonts w:hint="default" w:ascii="Cambria" w:hAnsi="Cambria" w:eastAsia="Cambria" w:cs="Cambria"/>
        <w:w w:val="120"/>
        <w:sz w:val="19"/>
        <w:szCs w:val="19"/>
      </w:rPr>
    </w:lvl>
    <w:lvl w:ilvl="1">
      <w:start w:val="1"/>
      <w:numFmt w:val="bullet"/>
      <w:lvlText w:val="•"/>
      <w:lvlJc w:val="left"/>
      <w:pPr>
        <w:ind w:left="1314" w:hanging="227"/>
      </w:pPr>
      <w:rPr>
        <w:rFonts w:hint="default"/>
      </w:rPr>
    </w:lvl>
    <w:lvl w:ilvl="2">
      <w:start w:val="1"/>
      <w:numFmt w:val="bullet"/>
      <w:lvlText w:val="•"/>
      <w:lvlJc w:val="left"/>
      <w:pPr>
        <w:ind w:left="1909" w:hanging="227"/>
      </w:pPr>
      <w:rPr>
        <w:rFonts w:hint="default"/>
      </w:rPr>
    </w:lvl>
    <w:lvl w:ilvl="3">
      <w:start w:val="1"/>
      <w:numFmt w:val="bullet"/>
      <w:lvlText w:val="•"/>
      <w:lvlJc w:val="left"/>
      <w:pPr>
        <w:ind w:left="2504" w:hanging="227"/>
      </w:pPr>
      <w:rPr>
        <w:rFonts w:hint="default"/>
      </w:rPr>
    </w:lvl>
    <w:lvl w:ilvl="4">
      <w:start w:val="1"/>
      <w:numFmt w:val="bullet"/>
      <w:lvlText w:val="•"/>
      <w:lvlJc w:val="left"/>
      <w:pPr>
        <w:ind w:left="3098" w:hanging="227"/>
      </w:pPr>
      <w:rPr>
        <w:rFonts w:hint="default"/>
      </w:rPr>
    </w:lvl>
    <w:lvl w:ilvl="5">
      <w:start w:val="1"/>
      <w:numFmt w:val="bullet"/>
      <w:lvlText w:val="•"/>
      <w:lvlJc w:val="left"/>
      <w:pPr>
        <w:ind w:left="3693" w:hanging="227"/>
      </w:pPr>
      <w:rPr>
        <w:rFonts w:hint="default"/>
      </w:rPr>
    </w:lvl>
    <w:lvl w:ilvl="6">
      <w:start w:val="1"/>
      <w:numFmt w:val="bullet"/>
      <w:lvlText w:val="•"/>
      <w:lvlJc w:val="left"/>
      <w:pPr>
        <w:ind w:left="4288" w:hanging="227"/>
      </w:pPr>
      <w:rPr>
        <w:rFonts w:hint="default"/>
      </w:rPr>
    </w:lvl>
    <w:lvl w:ilvl="7">
      <w:start w:val="1"/>
      <w:numFmt w:val="bullet"/>
      <w:lvlText w:val="•"/>
      <w:lvlJc w:val="left"/>
      <w:pPr>
        <w:ind w:left="4883" w:hanging="227"/>
      </w:pPr>
      <w:rPr>
        <w:rFonts w:hint="default"/>
      </w:rPr>
    </w:lvl>
    <w:lvl w:ilvl="8">
      <w:start w:val="1"/>
      <w:numFmt w:val="bullet"/>
      <w:lvlText w:val="•"/>
      <w:lvlJc w:val="left"/>
      <w:pPr>
        <w:ind w:left="5477" w:hanging="227"/>
      </w:pPr>
      <w:rPr>
        <w:rFonts w:hint="default"/>
      </w:rPr>
    </w:lvl>
  </w:abstractNum>
  <w:abstractNum w:abstractNumId="35">
    <w:multiLevelType w:val="hybridMultilevel"/>
    <w:lvl w:ilvl="0">
      <w:start w:val="1"/>
      <w:numFmt w:val="bullet"/>
      <w:lvlText w:val="-"/>
      <w:lvlJc w:val="left"/>
      <w:pPr>
        <w:ind w:left="744" w:hanging="227"/>
      </w:pPr>
      <w:rPr>
        <w:rFonts w:hint="default" w:ascii="Cambria" w:hAnsi="Cambria" w:eastAsia="Cambria" w:cs="Cambria"/>
        <w:w w:val="100"/>
        <w:sz w:val="24"/>
        <w:szCs w:val="24"/>
      </w:rPr>
    </w:lvl>
    <w:lvl w:ilvl="1">
      <w:start w:val="1"/>
      <w:numFmt w:val="bullet"/>
      <w:lvlText w:val="•"/>
      <w:lvlJc w:val="left"/>
      <w:pPr>
        <w:ind w:left="1388" w:hanging="227"/>
      </w:pPr>
      <w:rPr>
        <w:rFonts w:hint="default"/>
      </w:rPr>
    </w:lvl>
    <w:lvl w:ilvl="2">
      <w:start w:val="1"/>
      <w:numFmt w:val="bullet"/>
      <w:lvlText w:val="•"/>
      <w:lvlJc w:val="left"/>
      <w:pPr>
        <w:ind w:left="2037" w:hanging="227"/>
      </w:pPr>
      <w:rPr>
        <w:rFonts w:hint="default"/>
      </w:rPr>
    </w:lvl>
    <w:lvl w:ilvl="3">
      <w:start w:val="1"/>
      <w:numFmt w:val="bullet"/>
      <w:lvlText w:val="•"/>
      <w:lvlJc w:val="left"/>
      <w:pPr>
        <w:ind w:left="2686" w:hanging="227"/>
      </w:pPr>
      <w:rPr>
        <w:rFonts w:hint="default"/>
      </w:rPr>
    </w:lvl>
    <w:lvl w:ilvl="4">
      <w:start w:val="1"/>
      <w:numFmt w:val="bullet"/>
      <w:lvlText w:val="•"/>
      <w:lvlJc w:val="left"/>
      <w:pPr>
        <w:ind w:left="3334" w:hanging="227"/>
      </w:pPr>
      <w:rPr>
        <w:rFonts w:hint="default"/>
      </w:rPr>
    </w:lvl>
    <w:lvl w:ilvl="5">
      <w:start w:val="1"/>
      <w:numFmt w:val="bullet"/>
      <w:lvlText w:val="•"/>
      <w:lvlJc w:val="left"/>
      <w:pPr>
        <w:ind w:left="3983" w:hanging="227"/>
      </w:pPr>
      <w:rPr>
        <w:rFonts w:hint="default"/>
      </w:rPr>
    </w:lvl>
    <w:lvl w:ilvl="6">
      <w:start w:val="1"/>
      <w:numFmt w:val="bullet"/>
      <w:lvlText w:val="•"/>
      <w:lvlJc w:val="left"/>
      <w:pPr>
        <w:ind w:left="4632" w:hanging="227"/>
      </w:pPr>
      <w:rPr>
        <w:rFonts w:hint="default"/>
      </w:rPr>
    </w:lvl>
    <w:lvl w:ilvl="7">
      <w:start w:val="1"/>
      <w:numFmt w:val="bullet"/>
      <w:lvlText w:val="•"/>
      <w:lvlJc w:val="left"/>
      <w:pPr>
        <w:ind w:left="5281" w:hanging="227"/>
      </w:pPr>
      <w:rPr>
        <w:rFonts w:hint="default"/>
      </w:rPr>
    </w:lvl>
    <w:lvl w:ilvl="8">
      <w:start w:val="1"/>
      <w:numFmt w:val="bullet"/>
      <w:lvlText w:val="•"/>
      <w:lvlJc w:val="left"/>
      <w:pPr>
        <w:ind w:left="5929" w:hanging="227"/>
      </w:pPr>
      <w:rPr>
        <w:rFonts w:hint="default"/>
      </w:rPr>
    </w:lvl>
  </w:abstractNum>
  <w:abstractNum w:abstractNumId="34">
    <w:multiLevelType w:val="hybridMultilevel"/>
    <w:lvl w:ilvl="0">
      <w:start w:val="1"/>
      <w:numFmt w:val="decimal"/>
      <w:lvlText w:val="%1"/>
      <w:lvlJc w:val="left"/>
      <w:pPr>
        <w:ind w:left="120" w:hanging="256"/>
        <w:jc w:val="right"/>
      </w:pPr>
      <w:rPr>
        <w:rFonts w:hint="default" w:ascii="Cambria" w:hAnsi="Cambria" w:eastAsia="Cambria" w:cs="Cambria"/>
        <w:w w:val="100"/>
        <w:sz w:val="16"/>
        <w:szCs w:val="16"/>
      </w:rPr>
    </w:lvl>
    <w:lvl w:ilvl="1">
      <w:start w:val="1"/>
      <w:numFmt w:val="bullet"/>
      <w:lvlText w:val="-"/>
      <w:lvlJc w:val="left"/>
      <w:pPr>
        <w:ind w:left="954" w:hanging="227"/>
      </w:pPr>
      <w:rPr>
        <w:rFonts w:hint="default" w:ascii="Cambria" w:hAnsi="Cambria" w:eastAsia="Cambria" w:cs="Cambria"/>
        <w:w w:val="100"/>
        <w:sz w:val="24"/>
        <w:szCs w:val="24"/>
      </w:rPr>
    </w:lvl>
    <w:lvl w:ilvl="2">
      <w:start w:val="1"/>
      <w:numFmt w:val="bullet"/>
      <w:lvlText w:val="-"/>
      <w:lvlJc w:val="left"/>
      <w:pPr>
        <w:ind w:left="954" w:hanging="227"/>
      </w:pPr>
      <w:rPr>
        <w:rFonts w:hint="default" w:ascii="Cambria" w:hAnsi="Cambria" w:eastAsia="Cambria" w:cs="Cambria"/>
        <w:w w:val="100"/>
        <w:sz w:val="24"/>
        <w:szCs w:val="24"/>
      </w:rPr>
    </w:lvl>
    <w:lvl w:ilvl="3">
      <w:start w:val="1"/>
      <w:numFmt w:val="bullet"/>
      <w:lvlText w:val="•"/>
      <w:lvlJc w:val="left"/>
      <w:pPr>
        <w:ind w:left="1638" w:hanging="227"/>
      </w:pPr>
      <w:rPr>
        <w:rFonts w:hint="default"/>
      </w:rPr>
    </w:lvl>
    <w:lvl w:ilvl="4">
      <w:start w:val="1"/>
      <w:numFmt w:val="bullet"/>
      <w:lvlText w:val="•"/>
      <w:lvlJc w:val="left"/>
      <w:pPr>
        <w:ind w:left="2316" w:hanging="227"/>
      </w:pPr>
      <w:rPr>
        <w:rFonts w:hint="default"/>
      </w:rPr>
    </w:lvl>
    <w:lvl w:ilvl="5">
      <w:start w:val="1"/>
      <w:numFmt w:val="bullet"/>
      <w:lvlText w:val="•"/>
      <w:lvlJc w:val="left"/>
      <w:pPr>
        <w:ind w:left="2995" w:hanging="227"/>
      </w:pPr>
      <w:rPr>
        <w:rFonts w:hint="default"/>
      </w:rPr>
    </w:lvl>
    <w:lvl w:ilvl="6">
      <w:start w:val="1"/>
      <w:numFmt w:val="bullet"/>
      <w:lvlText w:val="•"/>
      <w:lvlJc w:val="left"/>
      <w:pPr>
        <w:ind w:left="3673" w:hanging="227"/>
      </w:pPr>
      <w:rPr>
        <w:rFonts w:hint="default"/>
      </w:rPr>
    </w:lvl>
    <w:lvl w:ilvl="7">
      <w:start w:val="1"/>
      <w:numFmt w:val="bullet"/>
      <w:lvlText w:val="•"/>
      <w:lvlJc w:val="left"/>
      <w:pPr>
        <w:ind w:left="4352" w:hanging="227"/>
      </w:pPr>
      <w:rPr>
        <w:rFonts w:hint="default"/>
      </w:rPr>
    </w:lvl>
    <w:lvl w:ilvl="8">
      <w:start w:val="1"/>
      <w:numFmt w:val="bullet"/>
      <w:lvlText w:val="•"/>
      <w:lvlJc w:val="left"/>
      <w:pPr>
        <w:ind w:left="5030" w:hanging="227"/>
      </w:pPr>
      <w:rPr>
        <w:rFonts w:hint="default"/>
      </w:rPr>
    </w:lvl>
  </w:abstractNum>
  <w:abstractNum w:abstractNumId="33">
    <w:multiLevelType w:val="hybridMultilevel"/>
    <w:lvl w:ilvl="0">
      <w:start w:val="13"/>
      <w:numFmt w:val="decimal"/>
      <w:lvlText w:val="%1"/>
      <w:lvlJc w:val="left"/>
      <w:pPr>
        <w:ind w:left="120" w:hanging="256"/>
        <w:jc w:val="right"/>
      </w:pPr>
      <w:rPr>
        <w:rFonts w:hint="default" w:ascii="Cambria" w:hAnsi="Cambria" w:eastAsia="Cambria" w:cs="Cambria"/>
        <w:w w:val="100"/>
        <w:sz w:val="16"/>
        <w:szCs w:val="16"/>
      </w:rPr>
    </w:lvl>
    <w:lvl w:ilvl="1">
      <w:start w:val="1"/>
      <w:numFmt w:val="bullet"/>
      <w:lvlText w:val="•"/>
      <w:lvlJc w:val="left"/>
      <w:pPr>
        <w:ind w:left="776" w:hanging="256"/>
      </w:pPr>
      <w:rPr>
        <w:rFonts w:hint="default"/>
      </w:rPr>
    </w:lvl>
    <w:lvl w:ilvl="2">
      <w:start w:val="1"/>
      <w:numFmt w:val="bullet"/>
      <w:lvlText w:val="•"/>
      <w:lvlJc w:val="left"/>
      <w:pPr>
        <w:ind w:left="1433" w:hanging="256"/>
      </w:pPr>
      <w:rPr>
        <w:rFonts w:hint="default"/>
      </w:rPr>
    </w:lvl>
    <w:lvl w:ilvl="3">
      <w:start w:val="1"/>
      <w:numFmt w:val="bullet"/>
      <w:lvlText w:val="•"/>
      <w:lvlJc w:val="left"/>
      <w:pPr>
        <w:ind w:left="2090" w:hanging="256"/>
      </w:pPr>
      <w:rPr>
        <w:rFonts w:hint="default"/>
      </w:rPr>
    </w:lvl>
    <w:lvl w:ilvl="4">
      <w:start w:val="1"/>
      <w:numFmt w:val="bullet"/>
      <w:lvlText w:val="•"/>
      <w:lvlJc w:val="left"/>
      <w:pPr>
        <w:ind w:left="2746" w:hanging="256"/>
      </w:pPr>
      <w:rPr>
        <w:rFonts w:hint="default"/>
      </w:rPr>
    </w:lvl>
    <w:lvl w:ilvl="5">
      <w:start w:val="1"/>
      <w:numFmt w:val="bullet"/>
      <w:lvlText w:val="•"/>
      <w:lvlJc w:val="left"/>
      <w:pPr>
        <w:ind w:left="3403" w:hanging="256"/>
      </w:pPr>
      <w:rPr>
        <w:rFonts w:hint="default"/>
      </w:rPr>
    </w:lvl>
    <w:lvl w:ilvl="6">
      <w:start w:val="1"/>
      <w:numFmt w:val="bullet"/>
      <w:lvlText w:val="•"/>
      <w:lvlJc w:val="left"/>
      <w:pPr>
        <w:ind w:left="4060" w:hanging="256"/>
      </w:pPr>
      <w:rPr>
        <w:rFonts w:hint="default"/>
      </w:rPr>
    </w:lvl>
    <w:lvl w:ilvl="7">
      <w:start w:val="1"/>
      <w:numFmt w:val="bullet"/>
      <w:lvlText w:val="•"/>
      <w:lvlJc w:val="left"/>
      <w:pPr>
        <w:ind w:left="4717" w:hanging="256"/>
      </w:pPr>
      <w:rPr>
        <w:rFonts w:hint="default"/>
      </w:rPr>
    </w:lvl>
    <w:lvl w:ilvl="8">
      <w:start w:val="1"/>
      <w:numFmt w:val="bullet"/>
      <w:lvlText w:val="•"/>
      <w:lvlJc w:val="left"/>
      <w:pPr>
        <w:ind w:left="5373" w:hanging="256"/>
      </w:pPr>
      <w:rPr>
        <w:rFonts w:hint="default"/>
      </w:rPr>
    </w:lvl>
  </w:abstractNum>
  <w:abstractNum w:abstractNumId="32">
    <w:multiLevelType w:val="hybridMultilevel"/>
    <w:lvl w:ilvl="0">
      <w:start w:val="3"/>
      <w:numFmt w:val="decimal"/>
      <w:lvlText w:val="%1"/>
      <w:lvlJc w:val="left"/>
      <w:pPr>
        <w:ind w:left="120" w:hanging="256"/>
        <w:jc w:val="right"/>
      </w:pPr>
      <w:rPr>
        <w:rFonts w:hint="default" w:ascii="Cambria" w:hAnsi="Cambria" w:eastAsia="Cambria" w:cs="Cambria"/>
        <w:w w:val="100"/>
        <w:sz w:val="16"/>
        <w:szCs w:val="16"/>
      </w:rPr>
    </w:lvl>
    <w:lvl w:ilvl="1">
      <w:start w:val="1"/>
      <w:numFmt w:val="bullet"/>
      <w:lvlText w:val="•"/>
      <w:lvlJc w:val="left"/>
      <w:pPr>
        <w:ind w:left="776" w:hanging="256"/>
      </w:pPr>
      <w:rPr>
        <w:rFonts w:hint="default"/>
      </w:rPr>
    </w:lvl>
    <w:lvl w:ilvl="2">
      <w:start w:val="1"/>
      <w:numFmt w:val="bullet"/>
      <w:lvlText w:val="•"/>
      <w:lvlJc w:val="left"/>
      <w:pPr>
        <w:ind w:left="1433" w:hanging="256"/>
      </w:pPr>
      <w:rPr>
        <w:rFonts w:hint="default"/>
      </w:rPr>
    </w:lvl>
    <w:lvl w:ilvl="3">
      <w:start w:val="1"/>
      <w:numFmt w:val="bullet"/>
      <w:lvlText w:val="•"/>
      <w:lvlJc w:val="left"/>
      <w:pPr>
        <w:ind w:left="2090" w:hanging="256"/>
      </w:pPr>
      <w:rPr>
        <w:rFonts w:hint="default"/>
      </w:rPr>
    </w:lvl>
    <w:lvl w:ilvl="4">
      <w:start w:val="1"/>
      <w:numFmt w:val="bullet"/>
      <w:lvlText w:val="•"/>
      <w:lvlJc w:val="left"/>
      <w:pPr>
        <w:ind w:left="2746" w:hanging="256"/>
      </w:pPr>
      <w:rPr>
        <w:rFonts w:hint="default"/>
      </w:rPr>
    </w:lvl>
    <w:lvl w:ilvl="5">
      <w:start w:val="1"/>
      <w:numFmt w:val="bullet"/>
      <w:lvlText w:val="•"/>
      <w:lvlJc w:val="left"/>
      <w:pPr>
        <w:ind w:left="3403" w:hanging="256"/>
      </w:pPr>
      <w:rPr>
        <w:rFonts w:hint="default"/>
      </w:rPr>
    </w:lvl>
    <w:lvl w:ilvl="6">
      <w:start w:val="1"/>
      <w:numFmt w:val="bullet"/>
      <w:lvlText w:val="•"/>
      <w:lvlJc w:val="left"/>
      <w:pPr>
        <w:ind w:left="4060" w:hanging="256"/>
      </w:pPr>
      <w:rPr>
        <w:rFonts w:hint="default"/>
      </w:rPr>
    </w:lvl>
    <w:lvl w:ilvl="7">
      <w:start w:val="1"/>
      <w:numFmt w:val="bullet"/>
      <w:lvlText w:val="•"/>
      <w:lvlJc w:val="left"/>
      <w:pPr>
        <w:ind w:left="4717" w:hanging="256"/>
      </w:pPr>
      <w:rPr>
        <w:rFonts w:hint="default"/>
      </w:rPr>
    </w:lvl>
    <w:lvl w:ilvl="8">
      <w:start w:val="1"/>
      <w:numFmt w:val="bullet"/>
      <w:lvlText w:val="•"/>
      <w:lvlJc w:val="left"/>
      <w:pPr>
        <w:ind w:left="5373" w:hanging="256"/>
      </w:pPr>
      <w:rPr>
        <w:rFonts w:hint="default"/>
      </w:rPr>
    </w:lvl>
  </w:abstractNum>
  <w:abstractNum w:abstractNumId="31">
    <w:multiLevelType w:val="hybridMultilevel"/>
    <w:lvl w:ilvl="0">
      <w:start w:val="1"/>
      <w:numFmt w:val="decimal"/>
      <w:lvlText w:val="%1"/>
      <w:lvlJc w:val="left"/>
      <w:pPr>
        <w:ind w:left="120" w:hanging="256"/>
        <w:jc w:val="right"/>
      </w:pPr>
      <w:rPr>
        <w:rFonts w:hint="default" w:ascii="Cambria" w:hAnsi="Cambria" w:eastAsia="Cambria" w:cs="Cambria"/>
        <w:w w:val="100"/>
        <w:sz w:val="16"/>
        <w:szCs w:val="16"/>
      </w:rPr>
    </w:lvl>
    <w:lvl w:ilvl="1">
      <w:start w:val="1"/>
      <w:numFmt w:val="decimal"/>
      <w:lvlText w:val="%2"/>
      <w:lvlJc w:val="left"/>
      <w:pPr>
        <w:ind w:left="330" w:hanging="256"/>
        <w:jc w:val="right"/>
      </w:pPr>
      <w:rPr>
        <w:rFonts w:hint="default" w:ascii="Cambria" w:hAnsi="Cambria" w:eastAsia="Cambria" w:cs="Cambria"/>
        <w:w w:val="100"/>
        <w:sz w:val="16"/>
        <w:szCs w:val="16"/>
      </w:rPr>
    </w:lvl>
    <w:lvl w:ilvl="2">
      <w:start w:val="1"/>
      <w:numFmt w:val="decimal"/>
      <w:lvlText w:val="%3."/>
      <w:lvlJc w:val="left"/>
      <w:pPr>
        <w:ind w:left="744" w:hanging="227"/>
        <w:jc w:val="left"/>
      </w:pPr>
      <w:rPr>
        <w:rFonts w:hint="default" w:ascii="Cambria" w:hAnsi="Cambria" w:eastAsia="Cambria" w:cs="Cambria"/>
        <w:w w:val="112"/>
        <w:sz w:val="19"/>
        <w:szCs w:val="19"/>
      </w:rPr>
    </w:lvl>
    <w:lvl w:ilvl="3">
      <w:start w:val="1"/>
      <w:numFmt w:val="bullet"/>
      <w:lvlText w:val="•"/>
      <w:lvlJc w:val="left"/>
      <w:pPr>
        <w:ind w:left="740" w:hanging="227"/>
      </w:pPr>
      <w:rPr>
        <w:rFonts w:hint="default"/>
      </w:rPr>
    </w:lvl>
    <w:lvl w:ilvl="4">
      <w:start w:val="1"/>
      <w:numFmt w:val="bullet"/>
      <w:lvlText w:val="•"/>
      <w:lvlJc w:val="left"/>
      <w:pPr>
        <w:ind w:left="1546" w:hanging="227"/>
      </w:pPr>
      <w:rPr>
        <w:rFonts w:hint="default"/>
      </w:rPr>
    </w:lvl>
    <w:lvl w:ilvl="5">
      <w:start w:val="1"/>
      <w:numFmt w:val="bullet"/>
      <w:lvlText w:val="•"/>
      <w:lvlJc w:val="left"/>
      <w:pPr>
        <w:ind w:left="2353" w:hanging="227"/>
      </w:pPr>
      <w:rPr>
        <w:rFonts w:hint="default"/>
      </w:rPr>
    </w:lvl>
    <w:lvl w:ilvl="6">
      <w:start w:val="1"/>
      <w:numFmt w:val="bullet"/>
      <w:lvlText w:val="•"/>
      <w:lvlJc w:val="left"/>
      <w:pPr>
        <w:ind w:left="3160" w:hanging="227"/>
      </w:pPr>
      <w:rPr>
        <w:rFonts w:hint="default"/>
      </w:rPr>
    </w:lvl>
    <w:lvl w:ilvl="7">
      <w:start w:val="1"/>
      <w:numFmt w:val="bullet"/>
      <w:lvlText w:val="•"/>
      <w:lvlJc w:val="left"/>
      <w:pPr>
        <w:ind w:left="3967" w:hanging="227"/>
      </w:pPr>
      <w:rPr>
        <w:rFonts w:hint="default"/>
      </w:rPr>
    </w:lvl>
    <w:lvl w:ilvl="8">
      <w:start w:val="1"/>
      <w:numFmt w:val="bullet"/>
      <w:lvlText w:val="•"/>
      <w:lvlJc w:val="left"/>
      <w:pPr>
        <w:ind w:left="4773" w:hanging="227"/>
      </w:pPr>
      <w:rPr>
        <w:rFonts w:hint="default"/>
      </w:rPr>
    </w:lvl>
  </w:abstractNum>
  <w:abstractNum w:abstractNumId="29">
    <w:multiLevelType w:val="hybridMultilevel"/>
    <w:lvl w:ilvl="0">
      <w:start w:val="1"/>
      <w:numFmt w:val="decimal"/>
      <w:lvlText w:val="%1"/>
      <w:lvlJc w:val="left"/>
      <w:pPr>
        <w:ind w:left="120" w:hanging="256"/>
        <w:jc w:val="right"/>
      </w:pPr>
      <w:rPr>
        <w:rFonts w:hint="default" w:ascii="Cambria" w:hAnsi="Cambria" w:eastAsia="Cambria" w:cs="Cambria"/>
        <w:w w:val="100"/>
        <w:sz w:val="16"/>
        <w:szCs w:val="16"/>
      </w:rPr>
    </w:lvl>
    <w:lvl w:ilvl="1">
      <w:start w:val="1"/>
      <w:numFmt w:val="bullet"/>
      <w:lvlText w:val="•"/>
      <w:lvlJc w:val="left"/>
      <w:pPr>
        <w:ind w:left="776" w:hanging="256"/>
      </w:pPr>
      <w:rPr>
        <w:rFonts w:hint="default"/>
      </w:rPr>
    </w:lvl>
    <w:lvl w:ilvl="2">
      <w:start w:val="1"/>
      <w:numFmt w:val="bullet"/>
      <w:lvlText w:val="•"/>
      <w:lvlJc w:val="left"/>
      <w:pPr>
        <w:ind w:left="1433" w:hanging="256"/>
      </w:pPr>
      <w:rPr>
        <w:rFonts w:hint="default"/>
      </w:rPr>
    </w:lvl>
    <w:lvl w:ilvl="3">
      <w:start w:val="1"/>
      <w:numFmt w:val="bullet"/>
      <w:lvlText w:val="•"/>
      <w:lvlJc w:val="left"/>
      <w:pPr>
        <w:ind w:left="2090" w:hanging="256"/>
      </w:pPr>
      <w:rPr>
        <w:rFonts w:hint="default"/>
      </w:rPr>
    </w:lvl>
    <w:lvl w:ilvl="4">
      <w:start w:val="1"/>
      <w:numFmt w:val="bullet"/>
      <w:lvlText w:val="•"/>
      <w:lvlJc w:val="left"/>
      <w:pPr>
        <w:ind w:left="2746" w:hanging="256"/>
      </w:pPr>
      <w:rPr>
        <w:rFonts w:hint="default"/>
      </w:rPr>
    </w:lvl>
    <w:lvl w:ilvl="5">
      <w:start w:val="1"/>
      <w:numFmt w:val="bullet"/>
      <w:lvlText w:val="•"/>
      <w:lvlJc w:val="left"/>
      <w:pPr>
        <w:ind w:left="3403" w:hanging="256"/>
      </w:pPr>
      <w:rPr>
        <w:rFonts w:hint="default"/>
      </w:rPr>
    </w:lvl>
    <w:lvl w:ilvl="6">
      <w:start w:val="1"/>
      <w:numFmt w:val="bullet"/>
      <w:lvlText w:val="•"/>
      <w:lvlJc w:val="left"/>
      <w:pPr>
        <w:ind w:left="4060" w:hanging="256"/>
      </w:pPr>
      <w:rPr>
        <w:rFonts w:hint="default"/>
      </w:rPr>
    </w:lvl>
    <w:lvl w:ilvl="7">
      <w:start w:val="1"/>
      <w:numFmt w:val="bullet"/>
      <w:lvlText w:val="•"/>
      <w:lvlJc w:val="left"/>
      <w:pPr>
        <w:ind w:left="4717" w:hanging="256"/>
      </w:pPr>
      <w:rPr>
        <w:rFonts w:hint="default"/>
      </w:rPr>
    </w:lvl>
    <w:lvl w:ilvl="8">
      <w:start w:val="1"/>
      <w:numFmt w:val="bullet"/>
      <w:lvlText w:val="•"/>
      <w:lvlJc w:val="left"/>
      <w:pPr>
        <w:ind w:left="5373" w:hanging="256"/>
      </w:pPr>
      <w:rPr>
        <w:rFonts w:hint="default"/>
      </w:rPr>
    </w:lvl>
  </w:abstractNum>
  <w:abstractNum w:abstractNumId="28">
    <w:multiLevelType w:val="hybridMultilevel"/>
    <w:lvl w:ilvl="0">
      <w:start w:val="7"/>
      <w:numFmt w:val="decimal"/>
      <w:lvlText w:val="%1"/>
      <w:lvlJc w:val="left"/>
      <w:pPr>
        <w:ind w:left="497" w:hanging="390"/>
        <w:jc w:val="left"/>
      </w:pPr>
      <w:rPr>
        <w:rFonts w:hint="default"/>
      </w:rPr>
    </w:lvl>
    <w:lvl w:ilvl="1">
      <w:start w:val="10"/>
      <w:numFmt w:val="decimal"/>
      <w:lvlText w:val="%1-%2"/>
      <w:lvlJc w:val="left"/>
      <w:pPr>
        <w:ind w:left="497" w:hanging="390"/>
        <w:jc w:val="left"/>
      </w:pPr>
      <w:rPr>
        <w:rFonts w:hint="default" w:ascii="Cambria" w:hAnsi="Cambria" w:eastAsia="Cambria" w:cs="Cambria"/>
        <w:w w:val="102"/>
        <w:sz w:val="19"/>
        <w:szCs w:val="19"/>
      </w:rPr>
    </w:lvl>
    <w:lvl w:ilvl="2">
      <w:start w:val="1"/>
      <w:numFmt w:val="lowerLetter"/>
      <w:lvlText w:val="%3."/>
      <w:lvlJc w:val="left"/>
      <w:pPr>
        <w:ind w:left="727" w:hanging="238"/>
        <w:jc w:val="left"/>
      </w:pPr>
      <w:rPr>
        <w:rFonts w:hint="default" w:ascii="Cambria" w:hAnsi="Cambria" w:eastAsia="Cambria" w:cs="Cambria"/>
        <w:w w:val="138"/>
        <w:sz w:val="19"/>
        <w:szCs w:val="19"/>
      </w:rPr>
    </w:lvl>
    <w:lvl w:ilvl="3">
      <w:start w:val="1"/>
      <w:numFmt w:val="bullet"/>
      <w:lvlText w:val="•"/>
      <w:lvlJc w:val="left"/>
      <w:pPr>
        <w:ind w:left="1979" w:hanging="238"/>
      </w:pPr>
      <w:rPr>
        <w:rFonts w:hint="default"/>
      </w:rPr>
    </w:lvl>
    <w:lvl w:ilvl="4">
      <w:start w:val="1"/>
      <w:numFmt w:val="bullet"/>
      <w:lvlText w:val="•"/>
      <w:lvlJc w:val="left"/>
      <w:pPr>
        <w:ind w:left="2609" w:hanging="238"/>
      </w:pPr>
      <w:rPr>
        <w:rFonts w:hint="default"/>
      </w:rPr>
    </w:lvl>
    <w:lvl w:ilvl="5">
      <w:start w:val="1"/>
      <w:numFmt w:val="bullet"/>
      <w:lvlText w:val="•"/>
      <w:lvlJc w:val="left"/>
      <w:pPr>
        <w:ind w:left="3238" w:hanging="238"/>
      </w:pPr>
      <w:rPr>
        <w:rFonts w:hint="default"/>
      </w:rPr>
    </w:lvl>
    <w:lvl w:ilvl="6">
      <w:start w:val="1"/>
      <w:numFmt w:val="bullet"/>
      <w:lvlText w:val="•"/>
      <w:lvlJc w:val="left"/>
      <w:pPr>
        <w:ind w:left="3868" w:hanging="238"/>
      </w:pPr>
      <w:rPr>
        <w:rFonts w:hint="default"/>
      </w:rPr>
    </w:lvl>
    <w:lvl w:ilvl="7">
      <w:start w:val="1"/>
      <w:numFmt w:val="bullet"/>
      <w:lvlText w:val="•"/>
      <w:lvlJc w:val="left"/>
      <w:pPr>
        <w:ind w:left="4498" w:hanging="238"/>
      </w:pPr>
      <w:rPr>
        <w:rFonts w:hint="default"/>
      </w:rPr>
    </w:lvl>
    <w:lvl w:ilvl="8">
      <w:start w:val="1"/>
      <w:numFmt w:val="bullet"/>
      <w:lvlText w:val="•"/>
      <w:lvlJc w:val="left"/>
      <w:pPr>
        <w:ind w:left="5127" w:hanging="238"/>
      </w:pPr>
      <w:rPr>
        <w:rFonts w:hint="default"/>
      </w:rPr>
    </w:lvl>
  </w:abstractNum>
  <w:abstractNum w:abstractNumId="26">
    <w:multiLevelType w:val="hybridMultilevel"/>
    <w:lvl w:ilvl="0">
      <w:start w:val="1"/>
      <w:numFmt w:val="bullet"/>
      <w:lvlText w:val="•"/>
      <w:lvlJc w:val="left"/>
      <w:pPr>
        <w:ind w:left="74" w:hanging="119"/>
      </w:pPr>
      <w:rPr>
        <w:rFonts w:hint="default" w:ascii="Trebuchet MS" w:hAnsi="Trebuchet MS" w:eastAsia="Trebuchet MS" w:cs="Trebuchet MS"/>
        <w:w w:val="95"/>
        <w:sz w:val="16"/>
        <w:szCs w:val="16"/>
      </w:rPr>
    </w:lvl>
    <w:lvl w:ilvl="1">
      <w:start w:val="1"/>
      <w:numFmt w:val="bullet"/>
      <w:lvlText w:val="•"/>
      <w:lvlJc w:val="left"/>
      <w:pPr>
        <w:ind w:left="420" w:hanging="119"/>
      </w:pPr>
      <w:rPr>
        <w:rFonts w:hint="default"/>
      </w:rPr>
    </w:lvl>
    <w:lvl w:ilvl="2">
      <w:start w:val="1"/>
      <w:numFmt w:val="bullet"/>
      <w:lvlText w:val="•"/>
      <w:lvlJc w:val="left"/>
      <w:pPr>
        <w:ind w:left="760" w:hanging="119"/>
      </w:pPr>
      <w:rPr>
        <w:rFonts w:hint="default"/>
      </w:rPr>
    </w:lvl>
    <w:lvl w:ilvl="3">
      <w:start w:val="1"/>
      <w:numFmt w:val="bullet"/>
      <w:lvlText w:val="•"/>
      <w:lvlJc w:val="left"/>
      <w:pPr>
        <w:ind w:left="1100" w:hanging="119"/>
      </w:pPr>
      <w:rPr>
        <w:rFonts w:hint="default"/>
      </w:rPr>
    </w:lvl>
    <w:lvl w:ilvl="4">
      <w:start w:val="1"/>
      <w:numFmt w:val="bullet"/>
      <w:lvlText w:val="•"/>
      <w:lvlJc w:val="left"/>
      <w:pPr>
        <w:ind w:left="1440" w:hanging="119"/>
      </w:pPr>
      <w:rPr>
        <w:rFonts w:hint="default"/>
      </w:rPr>
    </w:lvl>
    <w:lvl w:ilvl="5">
      <w:start w:val="1"/>
      <w:numFmt w:val="bullet"/>
      <w:lvlText w:val="•"/>
      <w:lvlJc w:val="left"/>
      <w:pPr>
        <w:ind w:left="1780" w:hanging="119"/>
      </w:pPr>
      <w:rPr>
        <w:rFonts w:hint="default"/>
      </w:rPr>
    </w:lvl>
    <w:lvl w:ilvl="6">
      <w:start w:val="1"/>
      <w:numFmt w:val="bullet"/>
      <w:lvlText w:val="•"/>
      <w:lvlJc w:val="left"/>
      <w:pPr>
        <w:ind w:left="2120" w:hanging="119"/>
      </w:pPr>
      <w:rPr>
        <w:rFonts w:hint="default"/>
      </w:rPr>
    </w:lvl>
    <w:lvl w:ilvl="7">
      <w:start w:val="1"/>
      <w:numFmt w:val="bullet"/>
      <w:lvlText w:val="•"/>
      <w:lvlJc w:val="left"/>
      <w:pPr>
        <w:ind w:left="2461" w:hanging="119"/>
      </w:pPr>
      <w:rPr>
        <w:rFonts w:hint="default"/>
      </w:rPr>
    </w:lvl>
    <w:lvl w:ilvl="8">
      <w:start w:val="1"/>
      <w:numFmt w:val="bullet"/>
      <w:lvlText w:val="•"/>
      <w:lvlJc w:val="left"/>
      <w:pPr>
        <w:ind w:left="2801" w:hanging="119"/>
      </w:pPr>
      <w:rPr>
        <w:rFonts w:hint="default"/>
      </w:rPr>
    </w:lvl>
  </w:abstractNum>
  <w:abstractNum w:abstractNumId="25">
    <w:multiLevelType w:val="hybridMultilevel"/>
    <w:lvl w:ilvl="0">
      <w:start w:val="1"/>
      <w:numFmt w:val="bullet"/>
      <w:lvlText w:val="•"/>
      <w:lvlJc w:val="left"/>
      <w:pPr>
        <w:ind w:left="80" w:hanging="113"/>
      </w:pPr>
      <w:rPr>
        <w:rFonts w:hint="default" w:ascii="Trebuchet MS" w:hAnsi="Trebuchet MS" w:eastAsia="Trebuchet MS" w:cs="Trebuchet MS"/>
        <w:w w:val="95"/>
        <w:sz w:val="16"/>
        <w:szCs w:val="16"/>
      </w:rPr>
    </w:lvl>
    <w:lvl w:ilvl="1">
      <w:start w:val="1"/>
      <w:numFmt w:val="bullet"/>
      <w:lvlText w:val="•"/>
      <w:lvlJc w:val="left"/>
      <w:pPr>
        <w:ind w:left="420" w:hanging="113"/>
      </w:pPr>
      <w:rPr>
        <w:rFonts w:hint="default"/>
      </w:rPr>
    </w:lvl>
    <w:lvl w:ilvl="2">
      <w:start w:val="1"/>
      <w:numFmt w:val="bullet"/>
      <w:lvlText w:val="•"/>
      <w:lvlJc w:val="left"/>
      <w:pPr>
        <w:ind w:left="760" w:hanging="113"/>
      </w:pPr>
      <w:rPr>
        <w:rFonts w:hint="default"/>
      </w:rPr>
    </w:lvl>
    <w:lvl w:ilvl="3">
      <w:start w:val="1"/>
      <w:numFmt w:val="bullet"/>
      <w:lvlText w:val="•"/>
      <w:lvlJc w:val="left"/>
      <w:pPr>
        <w:ind w:left="1100" w:hanging="113"/>
      </w:pPr>
      <w:rPr>
        <w:rFonts w:hint="default"/>
      </w:rPr>
    </w:lvl>
    <w:lvl w:ilvl="4">
      <w:start w:val="1"/>
      <w:numFmt w:val="bullet"/>
      <w:lvlText w:val="•"/>
      <w:lvlJc w:val="left"/>
      <w:pPr>
        <w:ind w:left="1440" w:hanging="113"/>
      </w:pPr>
      <w:rPr>
        <w:rFonts w:hint="default"/>
      </w:rPr>
    </w:lvl>
    <w:lvl w:ilvl="5">
      <w:start w:val="1"/>
      <w:numFmt w:val="bullet"/>
      <w:lvlText w:val="•"/>
      <w:lvlJc w:val="left"/>
      <w:pPr>
        <w:ind w:left="1780" w:hanging="113"/>
      </w:pPr>
      <w:rPr>
        <w:rFonts w:hint="default"/>
      </w:rPr>
    </w:lvl>
    <w:lvl w:ilvl="6">
      <w:start w:val="1"/>
      <w:numFmt w:val="bullet"/>
      <w:lvlText w:val="•"/>
      <w:lvlJc w:val="left"/>
      <w:pPr>
        <w:ind w:left="2120" w:hanging="113"/>
      </w:pPr>
      <w:rPr>
        <w:rFonts w:hint="default"/>
      </w:rPr>
    </w:lvl>
    <w:lvl w:ilvl="7">
      <w:start w:val="1"/>
      <w:numFmt w:val="bullet"/>
      <w:lvlText w:val="•"/>
      <w:lvlJc w:val="left"/>
      <w:pPr>
        <w:ind w:left="2461" w:hanging="113"/>
      </w:pPr>
      <w:rPr>
        <w:rFonts w:hint="default"/>
      </w:rPr>
    </w:lvl>
    <w:lvl w:ilvl="8">
      <w:start w:val="1"/>
      <w:numFmt w:val="bullet"/>
      <w:lvlText w:val="•"/>
      <w:lvlJc w:val="left"/>
      <w:pPr>
        <w:ind w:left="2801" w:hanging="113"/>
      </w:pPr>
      <w:rPr>
        <w:rFonts w:hint="default"/>
      </w:rPr>
    </w:lvl>
  </w:abstractNum>
  <w:abstractNum w:abstractNumId="24">
    <w:multiLevelType w:val="hybridMultilevel"/>
    <w:lvl w:ilvl="0">
      <w:start w:val="1"/>
      <w:numFmt w:val="bullet"/>
      <w:lvlText w:val="•"/>
      <w:lvlJc w:val="left"/>
      <w:pPr>
        <w:ind w:left="74" w:hanging="119"/>
      </w:pPr>
      <w:rPr>
        <w:rFonts w:hint="default" w:ascii="Trebuchet MS" w:hAnsi="Trebuchet MS" w:eastAsia="Trebuchet MS" w:cs="Trebuchet MS"/>
        <w:w w:val="95"/>
        <w:sz w:val="16"/>
        <w:szCs w:val="16"/>
      </w:rPr>
    </w:lvl>
    <w:lvl w:ilvl="1">
      <w:start w:val="1"/>
      <w:numFmt w:val="bullet"/>
      <w:lvlText w:val="•"/>
      <w:lvlJc w:val="left"/>
      <w:pPr>
        <w:ind w:left="420" w:hanging="119"/>
      </w:pPr>
      <w:rPr>
        <w:rFonts w:hint="default"/>
      </w:rPr>
    </w:lvl>
    <w:lvl w:ilvl="2">
      <w:start w:val="1"/>
      <w:numFmt w:val="bullet"/>
      <w:lvlText w:val="•"/>
      <w:lvlJc w:val="left"/>
      <w:pPr>
        <w:ind w:left="760" w:hanging="119"/>
      </w:pPr>
      <w:rPr>
        <w:rFonts w:hint="default"/>
      </w:rPr>
    </w:lvl>
    <w:lvl w:ilvl="3">
      <w:start w:val="1"/>
      <w:numFmt w:val="bullet"/>
      <w:lvlText w:val="•"/>
      <w:lvlJc w:val="left"/>
      <w:pPr>
        <w:ind w:left="1100" w:hanging="119"/>
      </w:pPr>
      <w:rPr>
        <w:rFonts w:hint="default"/>
      </w:rPr>
    </w:lvl>
    <w:lvl w:ilvl="4">
      <w:start w:val="1"/>
      <w:numFmt w:val="bullet"/>
      <w:lvlText w:val="•"/>
      <w:lvlJc w:val="left"/>
      <w:pPr>
        <w:ind w:left="1440" w:hanging="119"/>
      </w:pPr>
      <w:rPr>
        <w:rFonts w:hint="default"/>
      </w:rPr>
    </w:lvl>
    <w:lvl w:ilvl="5">
      <w:start w:val="1"/>
      <w:numFmt w:val="bullet"/>
      <w:lvlText w:val="•"/>
      <w:lvlJc w:val="left"/>
      <w:pPr>
        <w:ind w:left="1780" w:hanging="119"/>
      </w:pPr>
      <w:rPr>
        <w:rFonts w:hint="default"/>
      </w:rPr>
    </w:lvl>
    <w:lvl w:ilvl="6">
      <w:start w:val="1"/>
      <w:numFmt w:val="bullet"/>
      <w:lvlText w:val="•"/>
      <w:lvlJc w:val="left"/>
      <w:pPr>
        <w:ind w:left="2120" w:hanging="119"/>
      </w:pPr>
      <w:rPr>
        <w:rFonts w:hint="default"/>
      </w:rPr>
    </w:lvl>
    <w:lvl w:ilvl="7">
      <w:start w:val="1"/>
      <w:numFmt w:val="bullet"/>
      <w:lvlText w:val="•"/>
      <w:lvlJc w:val="left"/>
      <w:pPr>
        <w:ind w:left="2461" w:hanging="119"/>
      </w:pPr>
      <w:rPr>
        <w:rFonts w:hint="default"/>
      </w:rPr>
    </w:lvl>
    <w:lvl w:ilvl="8">
      <w:start w:val="1"/>
      <w:numFmt w:val="bullet"/>
      <w:lvlText w:val="•"/>
      <w:lvlJc w:val="left"/>
      <w:pPr>
        <w:ind w:left="2801" w:hanging="119"/>
      </w:pPr>
      <w:rPr>
        <w:rFonts w:hint="default"/>
      </w:rPr>
    </w:lvl>
  </w:abstractNum>
  <w:abstractNum w:abstractNumId="23">
    <w:multiLevelType w:val="hybridMultilevel"/>
    <w:lvl w:ilvl="0">
      <w:start w:val="1"/>
      <w:numFmt w:val="bullet"/>
      <w:lvlText w:val="•"/>
      <w:lvlJc w:val="left"/>
      <w:pPr>
        <w:ind w:left="80" w:hanging="119"/>
      </w:pPr>
      <w:rPr>
        <w:rFonts w:hint="default" w:ascii="Trebuchet MS" w:hAnsi="Trebuchet MS" w:eastAsia="Trebuchet MS" w:cs="Trebuchet MS"/>
        <w:w w:val="95"/>
        <w:sz w:val="16"/>
        <w:szCs w:val="16"/>
      </w:rPr>
    </w:lvl>
    <w:lvl w:ilvl="1">
      <w:start w:val="1"/>
      <w:numFmt w:val="bullet"/>
      <w:lvlText w:val="•"/>
      <w:lvlJc w:val="left"/>
      <w:pPr>
        <w:ind w:left="420" w:hanging="119"/>
      </w:pPr>
      <w:rPr>
        <w:rFonts w:hint="default"/>
      </w:rPr>
    </w:lvl>
    <w:lvl w:ilvl="2">
      <w:start w:val="1"/>
      <w:numFmt w:val="bullet"/>
      <w:lvlText w:val="•"/>
      <w:lvlJc w:val="left"/>
      <w:pPr>
        <w:ind w:left="760" w:hanging="119"/>
      </w:pPr>
      <w:rPr>
        <w:rFonts w:hint="default"/>
      </w:rPr>
    </w:lvl>
    <w:lvl w:ilvl="3">
      <w:start w:val="1"/>
      <w:numFmt w:val="bullet"/>
      <w:lvlText w:val="•"/>
      <w:lvlJc w:val="left"/>
      <w:pPr>
        <w:ind w:left="1100" w:hanging="119"/>
      </w:pPr>
      <w:rPr>
        <w:rFonts w:hint="default"/>
      </w:rPr>
    </w:lvl>
    <w:lvl w:ilvl="4">
      <w:start w:val="1"/>
      <w:numFmt w:val="bullet"/>
      <w:lvlText w:val="•"/>
      <w:lvlJc w:val="left"/>
      <w:pPr>
        <w:ind w:left="1440" w:hanging="119"/>
      </w:pPr>
      <w:rPr>
        <w:rFonts w:hint="default"/>
      </w:rPr>
    </w:lvl>
    <w:lvl w:ilvl="5">
      <w:start w:val="1"/>
      <w:numFmt w:val="bullet"/>
      <w:lvlText w:val="•"/>
      <w:lvlJc w:val="left"/>
      <w:pPr>
        <w:ind w:left="1780" w:hanging="119"/>
      </w:pPr>
      <w:rPr>
        <w:rFonts w:hint="default"/>
      </w:rPr>
    </w:lvl>
    <w:lvl w:ilvl="6">
      <w:start w:val="1"/>
      <w:numFmt w:val="bullet"/>
      <w:lvlText w:val="•"/>
      <w:lvlJc w:val="left"/>
      <w:pPr>
        <w:ind w:left="2120" w:hanging="119"/>
      </w:pPr>
      <w:rPr>
        <w:rFonts w:hint="default"/>
      </w:rPr>
    </w:lvl>
    <w:lvl w:ilvl="7">
      <w:start w:val="1"/>
      <w:numFmt w:val="bullet"/>
      <w:lvlText w:val="•"/>
      <w:lvlJc w:val="left"/>
      <w:pPr>
        <w:ind w:left="2461" w:hanging="119"/>
      </w:pPr>
      <w:rPr>
        <w:rFonts w:hint="default"/>
      </w:rPr>
    </w:lvl>
    <w:lvl w:ilvl="8">
      <w:start w:val="1"/>
      <w:numFmt w:val="bullet"/>
      <w:lvlText w:val="•"/>
      <w:lvlJc w:val="left"/>
      <w:pPr>
        <w:ind w:left="2801" w:hanging="119"/>
      </w:pPr>
      <w:rPr>
        <w:rFonts w:hint="default"/>
      </w:rPr>
    </w:lvl>
  </w:abstractNum>
  <w:abstractNum w:abstractNumId="22">
    <w:multiLevelType w:val="hybridMultilevel"/>
    <w:lvl w:ilvl="0">
      <w:start w:val="27"/>
      <w:numFmt w:val="decimal"/>
      <w:lvlText w:val="%1"/>
      <w:lvlJc w:val="left"/>
      <w:pPr>
        <w:ind w:left="330" w:hanging="256"/>
        <w:jc w:val="right"/>
      </w:pPr>
      <w:rPr>
        <w:rFonts w:hint="default" w:ascii="Cambria" w:hAnsi="Cambria" w:eastAsia="Cambria" w:cs="Cambria"/>
        <w:w w:val="100"/>
        <w:sz w:val="16"/>
        <w:szCs w:val="16"/>
      </w:rPr>
    </w:lvl>
    <w:lvl w:ilvl="1">
      <w:start w:val="1"/>
      <w:numFmt w:val="bullet"/>
      <w:lvlText w:val="•"/>
      <w:lvlJc w:val="left"/>
      <w:pPr>
        <w:ind w:left="860" w:hanging="256"/>
      </w:pPr>
      <w:rPr>
        <w:rFonts w:hint="default"/>
      </w:rPr>
    </w:lvl>
    <w:lvl w:ilvl="2">
      <w:start w:val="1"/>
      <w:numFmt w:val="bullet"/>
      <w:lvlText w:val="•"/>
      <w:lvlJc w:val="left"/>
      <w:pPr>
        <w:ind w:left="1507" w:hanging="256"/>
      </w:pPr>
      <w:rPr>
        <w:rFonts w:hint="default"/>
      </w:rPr>
    </w:lvl>
    <w:lvl w:ilvl="3">
      <w:start w:val="1"/>
      <w:numFmt w:val="bullet"/>
      <w:lvlText w:val="•"/>
      <w:lvlJc w:val="left"/>
      <w:pPr>
        <w:ind w:left="2154" w:hanging="256"/>
      </w:pPr>
      <w:rPr>
        <w:rFonts w:hint="default"/>
      </w:rPr>
    </w:lvl>
    <w:lvl w:ilvl="4">
      <w:start w:val="1"/>
      <w:numFmt w:val="bullet"/>
      <w:lvlText w:val="•"/>
      <w:lvlJc w:val="left"/>
      <w:pPr>
        <w:ind w:left="2802" w:hanging="256"/>
      </w:pPr>
      <w:rPr>
        <w:rFonts w:hint="default"/>
      </w:rPr>
    </w:lvl>
    <w:lvl w:ilvl="5">
      <w:start w:val="1"/>
      <w:numFmt w:val="bullet"/>
      <w:lvlText w:val="•"/>
      <w:lvlJc w:val="left"/>
      <w:pPr>
        <w:ind w:left="3449" w:hanging="256"/>
      </w:pPr>
      <w:rPr>
        <w:rFonts w:hint="default"/>
      </w:rPr>
    </w:lvl>
    <w:lvl w:ilvl="6">
      <w:start w:val="1"/>
      <w:numFmt w:val="bullet"/>
      <w:lvlText w:val="•"/>
      <w:lvlJc w:val="left"/>
      <w:pPr>
        <w:ind w:left="4097" w:hanging="256"/>
      </w:pPr>
      <w:rPr>
        <w:rFonts w:hint="default"/>
      </w:rPr>
    </w:lvl>
    <w:lvl w:ilvl="7">
      <w:start w:val="1"/>
      <w:numFmt w:val="bullet"/>
      <w:lvlText w:val="•"/>
      <w:lvlJc w:val="left"/>
      <w:pPr>
        <w:ind w:left="4744" w:hanging="256"/>
      </w:pPr>
      <w:rPr>
        <w:rFonts w:hint="default"/>
      </w:rPr>
    </w:lvl>
    <w:lvl w:ilvl="8">
      <w:start w:val="1"/>
      <w:numFmt w:val="bullet"/>
      <w:lvlText w:val="•"/>
      <w:lvlJc w:val="left"/>
      <w:pPr>
        <w:ind w:left="5392" w:hanging="256"/>
      </w:pPr>
      <w:rPr>
        <w:rFonts w:hint="default"/>
      </w:rPr>
    </w:lvl>
  </w:abstractNum>
  <w:abstractNum w:abstractNumId="21">
    <w:multiLevelType w:val="hybridMultilevel"/>
    <w:lvl w:ilvl="0">
      <w:start w:val="1"/>
      <w:numFmt w:val="bullet"/>
      <w:lvlText w:val="-"/>
      <w:lvlJc w:val="left"/>
      <w:pPr>
        <w:ind w:left="744" w:hanging="227"/>
      </w:pPr>
      <w:rPr>
        <w:rFonts w:hint="default" w:ascii="Cambria" w:hAnsi="Cambria" w:eastAsia="Cambria" w:cs="Cambria"/>
        <w:w w:val="100"/>
        <w:sz w:val="24"/>
        <w:szCs w:val="24"/>
      </w:rPr>
    </w:lvl>
    <w:lvl w:ilvl="1">
      <w:start w:val="1"/>
      <w:numFmt w:val="bullet"/>
      <w:lvlText w:val="•"/>
      <w:lvlJc w:val="left"/>
      <w:pPr>
        <w:ind w:left="1334" w:hanging="227"/>
      </w:pPr>
      <w:rPr>
        <w:rFonts w:hint="default"/>
      </w:rPr>
    </w:lvl>
    <w:lvl w:ilvl="2">
      <w:start w:val="1"/>
      <w:numFmt w:val="bullet"/>
      <w:lvlText w:val="•"/>
      <w:lvlJc w:val="left"/>
      <w:pPr>
        <w:ind w:left="1929" w:hanging="227"/>
      </w:pPr>
      <w:rPr>
        <w:rFonts w:hint="default"/>
      </w:rPr>
    </w:lvl>
    <w:lvl w:ilvl="3">
      <w:start w:val="1"/>
      <w:numFmt w:val="bullet"/>
      <w:lvlText w:val="•"/>
      <w:lvlJc w:val="left"/>
      <w:pPr>
        <w:ind w:left="2524" w:hanging="227"/>
      </w:pPr>
      <w:rPr>
        <w:rFonts w:hint="default"/>
      </w:rPr>
    </w:lvl>
    <w:lvl w:ilvl="4">
      <w:start w:val="1"/>
      <w:numFmt w:val="bullet"/>
      <w:lvlText w:val="•"/>
      <w:lvlJc w:val="left"/>
      <w:pPr>
        <w:ind w:left="3118" w:hanging="227"/>
      </w:pPr>
      <w:rPr>
        <w:rFonts w:hint="default"/>
      </w:rPr>
    </w:lvl>
    <w:lvl w:ilvl="5">
      <w:start w:val="1"/>
      <w:numFmt w:val="bullet"/>
      <w:lvlText w:val="•"/>
      <w:lvlJc w:val="left"/>
      <w:pPr>
        <w:ind w:left="3713" w:hanging="227"/>
      </w:pPr>
      <w:rPr>
        <w:rFonts w:hint="default"/>
      </w:rPr>
    </w:lvl>
    <w:lvl w:ilvl="6">
      <w:start w:val="1"/>
      <w:numFmt w:val="bullet"/>
      <w:lvlText w:val="•"/>
      <w:lvlJc w:val="left"/>
      <w:pPr>
        <w:ind w:left="4308" w:hanging="227"/>
      </w:pPr>
      <w:rPr>
        <w:rFonts w:hint="default"/>
      </w:rPr>
    </w:lvl>
    <w:lvl w:ilvl="7">
      <w:start w:val="1"/>
      <w:numFmt w:val="bullet"/>
      <w:lvlText w:val="•"/>
      <w:lvlJc w:val="left"/>
      <w:pPr>
        <w:ind w:left="4903" w:hanging="227"/>
      </w:pPr>
      <w:rPr>
        <w:rFonts w:hint="default"/>
      </w:rPr>
    </w:lvl>
    <w:lvl w:ilvl="8">
      <w:start w:val="1"/>
      <w:numFmt w:val="bullet"/>
      <w:lvlText w:val="•"/>
      <w:lvlJc w:val="left"/>
      <w:pPr>
        <w:ind w:left="5497" w:hanging="227"/>
      </w:pPr>
      <w:rPr>
        <w:rFonts w:hint="default"/>
      </w:rPr>
    </w:lvl>
  </w:abstractNum>
  <w:abstractNum w:abstractNumId="20">
    <w:multiLevelType w:val="hybridMultilevel"/>
    <w:lvl w:ilvl="0">
      <w:start w:val="1"/>
      <w:numFmt w:val="bullet"/>
      <w:lvlText w:val="-"/>
      <w:lvlJc w:val="left"/>
      <w:pPr>
        <w:ind w:left="954" w:hanging="227"/>
      </w:pPr>
      <w:rPr>
        <w:rFonts w:hint="default" w:ascii="Cambria" w:hAnsi="Cambria" w:eastAsia="Cambria" w:cs="Cambria"/>
        <w:w w:val="100"/>
        <w:sz w:val="24"/>
        <w:szCs w:val="24"/>
      </w:rPr>
    </w:lvl>
    <w:lvl w:ilvl="1">
      <w:start w:val="1"/>
      <w:numFmt w:val="bullet"/>
      <w:lvlText w:val="•"/>
      <w:lvlJc w:val="left"/>
      <w:pPr>
        <w:ind w:left="1532" w:hanging="227"/>
      </w:pPr>
      <w:rPr>
        <w:rFonts w:hint="default"/>
      </w:rPr>
    </w:lvl>
    <w:lvl w:ilvl="2">
      <w:start w:val="1"/>
      <w:numFmt w:val="bullet"/>
      <w:lvlText w:val="•"/>
      <w:lvlJc w:val="left"/>
      <w:pPr>
        <w:ind w:left="2105" w:hanging="227"/>
      </w:pPr>
      <w:rPr>
        <w:rFonts w:hint="default"/>
      </w:rPr>
    </w:lvl>
    <w:lvl w:ilvl="3">
      <w:start w:val="1"/>
      <w:numFmt w:val="bullet"/>
      <w:lvlText w:val="•"/>
      <w:lvlJc w:val="left"/>
      <w:pPr>
        <w:ind w:left="2678" w:hanging="227"/>
      </w:pPr>
      <w:rPr>
        <w:rFonts w:hint="default"/>
      </w:rPr>
    </w:lvl>
    <w:lvl w:ilvl="4">
      <w:start w:val="1"/>
      <w:numFmt w:val="bullet"/>
      <w:lvlText w:val="•"/>
      <w:lvlJc w:val="left"/>
      <w:pPr>
        <w:ind w:left="3250" w:hanging="227"/>
      </w:pPr>
      <w:rPr>
        <w:rFonts w:hint="default"/>
      </w:rPr>
    </w:lvl>
    <w:lvl w:ilvl="5">
      <w:start w:val="1"/>
      <w:numFmt w:val="bullet"/>
      <w:lvlText w:val="•"/>
      <w:lvlJc w:val="left"/>
      <w:pPr>
        <w:ind w:left="3823" w:hanging="227"/>
      </w:pPr>
      <w:rPr>
        <w:rFonts w:hint="default"/>
      </w:rPr>
    </w:lvl>
    <w:lvl w:ilvl="6">
      <w:start w:val="1"/>
      <w:numFmt w:val="bullet"/>
      <w:lvlText w:val="•"/>
      <w:lvlJc w:val="left"/>
      <w:pPr>
        <w:ind w:left="4396" w:hanging="227"/>
      </w:pPr>
      <w:rPr>
        <w:rFonts w:hint="default"/>
      </w:rPr>
    </w:lvl>
    <w:lvl w:ilvl="7">
      <w:start w:val="1"/>
      <w:numFmt w:val="bullet"/>
      <w:lvlText w:val="•"/>
      <w:lvlJc w:val="left"/>
      <w:pPr>
        <w:ind w:left="4969" w:hanging="227"/>
      </w:pPr>
      <w:rPr>
        <w:rFonts w:hint="default"/>
      </w:rPr>
    </w:lvl>
    <w:lvl w:ilvl="8">
      <w:start w:val="1"/>
      <w:numFmt w:val="bullet"/>
      <w:lvlText w:val="•"/>
      <w:lvlJc w:val="left"/>
      <w:pPr>
        <w:ind w:left="5541" w:hanging="227"/>
      </w:pPr>
      <w:rPr>
        <w:rFonts w:hint="default"/>
      </w:rPr>
    </w:lvl>
  </w:abstractNum>
  <w:abstractNum w:abstractNumId="19">
    <w:multiLevelType w:val="hybridMultilevel"/>
    <w:lvl w:ilvl="0">
      <w:start w:val="2"/>
      <w:numFmt w:val="decimal"/>
      <w:lvlText w:val="%1."/>
      <w:lvlJc w:val="left"/>
      <w:pPr>
        <w:ind w:left="744" w:hanging="227"/>
        <w:jc w:val="left"/>
      </w:pPr>
      <w:rPr>
        <w:rFonts w:hint="default" w:ascii="Cambria" w:hAnsi="Cambria" w:eastAsia="Cambria" w:cs="Cambria"/>
        <w:w w:val="112"/>
        <w:sz w:val="19"/>
        <w:szCs w:val="19"/>
      </w:rPr>
    </w:lvl>
    <w:lvl w:ilvl="1">
      <w:start w:val="2"/>
      <w:numFmt w:val="decimal"/>
      <w:lvlText w:val="%2."/>
      <w:lvlJc w:val="left"/>
      <w:pPr>
        <w:ind w:left="954" w:hanging="227"/>
        <w:jc w:val="left"/>
      </w:pPr>
      <w:rPr>
        <w:rFonts w:hint="default" w:ascii="Cambria" w:hAnsi="Cambria" w:eastAsia="Cambria" w:cs="Cambria"/>
        <w:w w:val="112"/>
        <w:sz w:val="19"/>
        <w:szCs w:val="19"/>
      </w:rPr>
    </w:lvl>
    <w:lvl w:ilvl="2">
      <w:start w:val="1"/>
      <w:numFmt w:val="bullet"/>
      <w:lvlText w:val="•"/>
      <w:lvlJc w:val="left"/>
      <w:pPr>
        <w:ind w:left="1900" w:hanging="227"/>
      </w:pPr>
      <w:rPr>
        <w:rFonts w:hint="default"/>
      </w:rPr>
    </w:lvl>
    <w:lvl w:ilvl="3">
      <w:start w:val="1"/>
      <w:numFmt w:val="bullet"/>
      <w:lvlText w:val="•"/>
      <w:lvlJc w:val="left"/>
      <w:pPr>
        <w:ind w:left="2460" w:hanging="227"/>
      </w:pPr>
      <w:rPr>
        <w:rFonts w:hint="default"/>
      </w:rPr>
    </w:lvl>
    <w:lvl w:ilvl="4">
      <w:start w:val="1"/>
      <w:numFmt w:val="bullet"/>
      <w:lvlText w:val="•"/>
      <w:lvlJc w:val="left"/>
      <w:pPr>
        <w:ind w:left="3021" w:hanging="227"/>
      </w:pPr>
      <w:rPr>
        <w:rFonts w:hint="default"/>
      </w:rPr>
    </w:lvl>
    <w:lvl w:ilvl="5">
      <w:start w:val="1"/>
      <w:numFmt w:val="bullet"/>
      <w:lvlText w:val="•"/>
      <w:lvlJc w:val="left"/>
      <w:pPr>
        <w:ind w:left="3582" w:hanging="227"/>
      </w:pPr>
      <w:rPr>
        <w:rFonts w:hint="default"/>
      </w:rPr>
    </w:lvl>
    <w:lvl w:ilvl="6">
      <w:start w:val="1"/>
      <w:numFmt w:val="bullet"/>
      <w:lvlText w:val="•"/>
      <w:lvlJc w:val="left"/>
      <w:pPr>
        <w:ind w:left="4143" w:hanging="227"/>
      </w:pPr>
      <w:rPr>
        <w:rFonts w:hint="default"/>
      </w:rPr>
    </w:lvl>
    <w:lvl w:ilvl="7">
      <w:start w:val="1"/>
      <w:numFmt w:val="bullet"/>
      <w:lvlText w:val="•"/>
      <w:lvlJc w:val="left"/>
      <w:pPr>
        <w:ind w:left="4704" w:hanging="227"/>
      </w:pPr>
      <w:rPr>
        <w:rFonts w:hint="default"/>
      </w:rPr>
    </w:lvl>
    <w:lvl w:ilvl="8">
      <w:start w:val="1"/>
      <w:numFmt w:val="bullet"/>
      <w:lvlText w:val="•"/>
      <w:lvlJc w:val="left"/>
      <w:pPr>
        <w:ind w:left="5265" w:hanging="227"/>
      </w:pPr>
      <w:rPr>
        <w:rFonts w:hint="default"/>
      </w:rPr>
    </w:lvl>
  </w:abstractNum>
  <w:abstractNum w:abstractNumId="18">
    <w:multiLevelType w:val="hybridMultilevel"/>
    <w:lvl w:ilvl="0">
      <w:start w:val="1"/>
      <w:numFmt w:val="bullet"/>
      <w:lvlText w:val="•"/>
      <w:lvlJc w:val="left"/>
      <w:pPr>
        <w:ind w:left="75" w:hanging="76"/>
      </w:pPr>
      <w:rPr>
        <w:rFonts w:hint="default" w:ascii="Trebuchet MS" w:hAnsi="Trebuchet MS" w:eastAsia="Trebuchet MS" w:cs="Trebuchet MS"/>
        <w:w w:val="93"/>
        <w:sz w:val="12"/>
        <w:szCs w:val="12"/>
      </w:rPr>
    </w:lvl>
    <w:lvl w:ilvl="1">
      <w:start w:val="1"/>
      <w:numFmt w:val="bullet"/>
      <w:lvlText w:val="•"/>
      <w:lvlJc w:val="left"/>
      <w:pPr>
        <w:ind w:left="165" w:hanging="76"/>
      </w:pPr>
      <w:rPr>
        <w:rFonts w:hint="default"/>
      </w:rPr>
    </w:lvl>
    <w:lvl w:ilvl="2">
      <w:start w:val="1"/>
      <w:numFmt w:val="bullet"/>
      <w:lvlText w:val="•"/>
      <w:lvlJc w:val="left"/>
      <w:pPr>
        <w:ind w:left="251" w:hanging="76"/>
      </w:pPr>
      <w:rPr>
        <w:rFonts w:hint="default"/>
      </w:rPr>
    </w:lvl>
    <w:lvl w:ilvl="3">
      <w:start w:val="1"/>
      <w:numFmt w:val="bullet"/>
      <w:lvlText w:val="•"/>
      <w:lvlJc w:val="left"/>
      <w:pPr>
        <w:ind w:left="337" w:hanging="76"/>
      </w:pPr>
      <w:rPr>
        <w:rFonts w:hint="default"/>
      </w:rPr>
    </w:lvl>
    <w:lvl w:ilvl="4">
      <w:start w:val="1"/>
      <w:numFmt w:val="bullet"/>
      <w:lvlText w:val="•"/>
      <w:lvlJc w:val="left"/>
      <w:pPr>
        <w:ind w:left="423" w:hanging="76"/>
      </w:pPr>
      <w:rPr>
        <w:rFonts w:hint="default"/>
      </w:rPr>
    </w:lvl>
    <w:lvl w:ilvl="5">
      <w:start w:val="1"/>
      <w:numFmt w:val="bullet"/>
      <w:lvlText w:val="•"/>
      <w:lvlJc w:val="left"/>
      <w:pPr>
        <w:ind w:left="509" w:hanging="76"/>
      </w:pPr>
      <w:rPr>
        <w:rFonts w:hint="default"/>
      </w:rPr>
    </w:lvl>
    <w:lvl w:ilvl="6">
      <w:start w:val="1"/>
      <w:numFmt w:val="bullet"/>
      <w:lvlText w:val="•"/>
      <w:lvlJc w:val="left"/>
      <w:pPr>
        <w:ind w:left="595" w:hanging="76"/>
      </w:pPr>
      <w:rPr>
        <w:rFonts w:hint="default"/>
      </w:rPr>
    </w:lvl>
    <w:lvl w:ilvl="7">
      <w:start w:val="1"/>
      <w:numFmt w:val="bullet"/>
      <w:lvlText w:val="•"/>
      <w:lvlJc w:val="left"/>
      <w:pPr>
        <w:ind w:left="680" w:hanging="76"/>
      </w:pPr>
      <w:rPr>
        <w:rFonts w:hint="default"/>
      </w:rPr>
    </w:lvl>
    <w:lvl w:ilvl="8">
      <w:start w:val="1"/>
      <w:numFmt w:val="bullet"/>
      <w:lvlText w:val="•"/>
      <w:lvlJc w:val="left"/>
      <w:pPr>
        <w:ind w:left="766" w:hanging="76"/>
      </w:pPr>
      <w:rPr>
        <w:rFonts w:hint="default"/>
      </w:rPr>
    </w:lvl>
  </w:abstractNum>
  <w:abstractNum w:abstractNumId="17">
    <w:multiLevelType w:val="hybridMultilevel"/>
    <w:lvl w:ilvl="0">
      <w:start w:val="1"/>
      <w:numFmt w:val="bullet"/>
      <w:lvlText w:val="•"/>
      <w:lvlJc w:val="left"/>
      <w:pPr>
        <w:ind w:left="67" w:hanging="76"/>
      </w:pPr>
      <w:rPr>
        <w:rFonts w:hint="default" w:ascii="Trebuchet MS" w:hAnsi="Trebuchet MS" w:eastAsia="Trebuchet MS" w:cs="Trebuchet MS"/>
        <w:w w:val="93"/>
        <w:sz w:val="12"/>
        <w:szCs w:val="12"/>
      </w:rPr>
    </w:lvl>
    <w:lvl w:ilvl="1">
      <w:start w:val="1"/>
      <w:numFmt w:val="bullet"/>
      <w:lvlText w:val="•"/>
      <w:lvlJc w:val="left"/>
      <w:pPr>
        <w:ind w:left="126" w:hanging="76"/>
      </w:pPr>
      <w:rPr>
        <w:rFonts w:hint="default"/>
      </w:rPr>
    </w:lvl>
    <w:lvl w:ilvl="2">
      <w:start w:val="1"/>
      <w:numFmt w:val="bullet"/>
      <w:lvlText w:val="•"/>
      <w:lvlJc w:val="left"/>
      <w:pPr>
        <w:ind w:left="192" w:hanging="76"/>
      </w:pPr>
      <w:rPr>
        <w:rFonts w:hint="default"/>
      </w:rPr>
    </w:lvl>
    <w:lvl w:ilvl="3">
      <w:start w:val="1"/>
      <w:numFmt w:val="bullet"/>
      <w:lvlText w:val="•"/>
      <w:lvlJc w:val="left"/>
      <w:pPr>
        <w:ind w:left="258" w:hanging="76"/>
      </w:pPr>
      <w:rPr>
        <w:rFonts w:hint="default"/>
      </w:rPr>
    </w:lvl>
    <w:lvl w:ilvl="4">
      <w:start w:val="1"/>
      <w:numFmt w:val="bullet"/>
      <w:lvlText w:val="•"/>
      <w:lvlJc w:val="left"/>
      <w:pPr>
        <w:ind w:left="324" w:hanging="76"/>
      </w:pPr>
      <w:rPr>
        <w:rFonts w:hint="default"/>
      </w:rPr>
    </w:lvl>
    <w:lvl w:ilvl="5">
      <w:start w:val="1"/>
      <w:numFmt w:val="bullet"/>
      <w:lvlText w:val="•"/>
      <w:lvlJc w:val="left"/>
      <w:pPr>
        <w:ind w:left="390" w:hanging="76"/>
      </w:pPr>
      <w:rPr>
        <w:rFonts w:hint="default"/>
      </w:rPr>
    </w:lvl>
    <w:lvl w:ilvl="6">
      <w:start w:val="1"/>
      <w:numFmt w:val="bullet"/>
      <w:lvlText w:val="•"/>
      <w:lvlJc w:val="left"/>
      <w:pPr>
        <w:ind w:left="456" w:hanging="76"/>
      </w:pPr>
      <w:rPr>
        <w:rFonts w:hint="default"/>
      </w:rPr>
    </w:lvl>
    <w:lvl w:ilvl="7">
      <w:start w:val="1"/>
      <w:numFmt w:val="bullet"/>
      <w:lvlText w:val="•"/>
      <w:lvlJc w:val="left"/>
      <w:pPr>
        <w:ind w:left="522" w:hanging="76"/>
      </w:pPr>
      <w:rPr>
        <w:rFonts w:hint="default"/>
      </w:rPr>
    </w:lvl>
    <w:lvl w:ilvl="8">
      <w:start w:val="1"/>
      <w:numFmt w:val="bullet"/>
      <w:lvlText w:val="•"/>
      <w:lvlJc w:val="left"/>
      <w:pPr>
        <w:ind w:left="588" w:hanging="76"/>
      </w:pPr>
      <w:rPr>
        <w:rFonts w:hint="default"/>
      </w:rPr>
    </w:lvl>
  </w:abstractNum>
  <w:abstractNum w:abstractNumId="16">
    <w:multiLevelType w:val="hybridMultilevel"/>
    <w:lvl w:ilvl="0">
      <w:start w:val="1"/>
      <w:numFmt w:val="bullet"/>
      <w:lvlText w:val="•"/>
      <w:lvlJc w:val="left"/>
      <w:pPr>
        <w:ind w:left="117" w:hanging="76"/>
      </w:pPr>
      <w:rPr>
        <w:rFonts w:hint="default" w:ascii="Trebuchet MS" w:hAnsi="Trebuchet MS" w:eastAsia="Trebuchet MS" w:cs="Trebuchet MS"/>
        <w:w w:val="93"/>
        <w:sz w:val="12"/>
        <w:szCs w:val="12"/>
      </w:rPr>
    </w:lvl>
    <w:lvl w:ilvl="1">
      <w:start w:val="1"/>
      <w:numFmt w:val="bullet"/>
      <w:lvlText w:val="•"/>
      <w:lvlJc w:val="left"/>
      <w:pPr>
        <w:ind w:left="232" w:hanging="76"/>
      </w:pPr>
      <w:rPr>
        <w:rFonts w:hint="default"/>
      </w:rPr>
    </w:lvl>
    <w:lvl w:ilvl="2">
      <w:start w:val="1"/>
      <w:numFmt w:val="bullet"/>
      <w:lvlText w:val="•"/>
      <w:lvlJc w:val="left"/>
      <w:pPr>
        <w:ind w:left="345" w:hanging="76"/>
      </w:pPr>
      <w:rPr>
        <w:rFonts w:hint="default"/>
      </w:rPr>
    </w:lvl>
    <w:lvl w:ilvl="3">
      <w:start w:val="1"/>
      <w:numFmt w:val="bullet"/>
      <w:lvlText w:val="•"/>
      <w:lvlJc w:val="left"/>
      <w:pPr>
        <w:ind w:left="458" w:hanging="76"/>
      </w:pPr>
      <w:rPr>
        <w:rFonts w:hint="default"/>
      </w:rPr>
    </w:lvl>
    <w:lvl w:ilvl="4">
      <w:start w:val="1"/>
      <w:numFmt w:val="bullet"/>
      <w:lvlText w:val="•"/>
      <w:lvlJc w:val="left"/>
      <w:pPr>
        <w:ind w:left="571" w:hanging="76"/>
      </w:pPr>
      <w:rPr>
        <w:rFonts w:hint="default"/>
      </w:rPr>
    </w:lvl>
    <w:lvl w:ilvl="5">
      <w:start w:val="1"/>
      <w:numFmt w:val="bullet"/>
      <w:lvlText w:val="•"/>
      <w:lvlJc w:val="left"/>
      <w:pPr>
        <w:ind w:left="683" w:hanging="76"/>
      </w:pPr>
      <w:rPr>
        <w:rFonts w:hint="default"/>
      </w:rPr>
    </w:lvl>
    <w:lvl w:ilvl="6">
      <w:start w:val="1"/>
      <w:numFmt w:val="bullet"/>
      <w:lvlText w:val="•"/>
      <w:lvlJc w:val="left"/>
      <w:pPr>
        <w:ind w:left="796" w:hanging="76"/>
      </w:pPr>
      <w:rPr>
        <w:rFonts w:hint="default"/>
      </w:rPr>
    </w:lvl>
    <w:lvl w:ilvl="7">
      <w:start w:val="1"/>
      <w:numFmt w:val="bullet"/>
      <w:lvlText w:val="•"/>
      <w:lvlJc w:val="left"/>
      <w:pPr>
        <w:ind w:left="909" w:hanging="76"/>
      </w:pPr>
      <w:rPr>
        <w:rFonts w:hint="default"/>
      </w:rPr>
    </w:lvl>
    <w:lvl w:ilvl="8">
      <w:start w:val="1"/>
      <w:numFmt w:val="bullet"/>
      <w:lvlText w:val="•"/>
      <w:lvlJc w:val="left"/>
      <w:pPr>
        <w:ind w:left="1022" w:hanging="76"/>
      </w:pPr>
      <w:rPr>
        <w:rFonts w:hint="default"/>
      </w:rPr>
    </w:lvl>
  </w:abstractNum>
  <w:abstractNum w:abstractNumId="15">
    <w:multiLevelType w:val="hybridMultilevel"/>
    <w:lvl w:ilvl="0">
      <w:start w:val="1"/>
      <w:numFmt w:val="bullet"/>
      <w:lvlText w:val="•"/>
      <w:lvlJc w:val="left"/>
      <w:pPr>
        <w:ind w:left="67" w:hanging="76"/>
      </w:pPr>
      <w:rPr>
        <w:rFonts w:hint="default" w:ascii="Trebuchet MS" w:hAnsi="Trebuchet MS" w:eastAsia="Trebuchet MS" w:cs="Trebuchet MS"/>
        <w:w w:val="93"/>
        <w:sz w:val="12"/>
        <w:szCs w:val="12"/>
      </w:rPr>
    </w:lvl>
    <w:lvl w:ilvl="1">
      <w:start w:val="1"/>
      <w:numFmt w:val="bullet"/>
      <w:lvlText w:val="•"/>
      <w:lvlJc w:val="left"/>
      <w:pPr>
        <w:ind w:left="144" w:hanging="76"/>
      </w:pPr>
      <w:rPr>
        <w:rFonts w:hint="default"/>
      </w:rPr>
    </w:lvl>
    <w:lvl w:ilvl="2">
      <w:start w:val="1"/>
      <w:numFmt w:val="bullet"/>
      <w:lvlText w:val="•"/>
      <w:lvlJc w:val="left"/>
      <w:pPr>
        <w:ind w:left="229" w:hanging="76"/>
      </w:pPr>
      <w:rPr>
        <w:rFonts w:hint="default"/>
      </w:rPr>
    </w:lvl>
    <w:lvl w:ilvl="3">
      <w:start w:val="1"/>
      <w:numFmt w:val="bullet"/>
      <w:lvlText w:val="•"/>
      <w:lvlJc w:val="left"/>
      <w:pPr>
        <w:ind w:left="313" w:hanging="76"/>
      </w:pPr>
      <w:rPr>
        <w:rFonts w:hint="default"/>
      </w:rPr>
    </w:lvl>
    <w:lvl w:ilvl="4">
      <w:start w:val="1"/>
      <w:numFmt w:val="bullet"/>
      <w:lvlText w:val="•"/>
      <w:lvlJc w:val="left"/>
      <w:pPr>
        <w:ind w:left="398" w:hanging="76"/>
      </w:pPr>
      <w:rPr>
        <w:rFonts w:hint="default"/>
      </w:rPr>
    </w:lvl>
    <w:lvl w:ilvl="5">
      <w:start w:val="1"/>
      <w:numFmt w:val="bullet"/>
      <w:lvlText w:val="•"/>
      <w:lvlJc w:val="left"/>
      <w:pPr>
        <w:ind w:left="483" w:hanging="76"/>
      </w:pPr>
      <w:rPr>
        <w:rFonts w:hint="default"/>
      </w:rPr>
    </w:lvl>
    <w:lvl w:ilvl="6">
      <w:start w:val="1"/>
      <w:numFmt w:val="bullet"/>
      <w:lvlText w:val="•"/>
      <w:lvlJc w:val="left"/>
      <w:pPr>
        <w:ind w:left="567" w:hanging="76"/>
      </w:pPr>
      <w:rPr>
        <w:rFonts w:hint="default"/>
      </w:rPr>
    </w:lvl>
    <w:lvl w:ilvl="7">
      <w:start w:val="1"/>
      <w:numFmt w:val="bullet"/>
      <w:lvlText w:val="•"/>
      <w:lvlJc w:val="left"/>
      <w:pPr>
        <w:ind w:left="652" w:hanging="76"/>
      </w:pPr>
      <w:rPr>
        <w:rFonts w:hint="default"/>
      </w:rPr>
    </w:lvl>
    <w:lvl w:ilvl="8">
      <w:start w:val="1"/>
      <w:numFmt w:val="bullet"/>
      <w:lvlText w:val="•"/>
      <w:lvlJc w:val="left"/>
      <w:pPr>
        <w:ind w:left="736" w:hanging="76"/>
      </w:pPr>
      <w:rPr>
        <w:rFonts w:hint="default"/>
      </w:rPr>
    </w:lvl>
  </w:abstractNum>
  <w:abstractNum w:abstractNumId="14">
    <w:multiLevelType w:val="hybridMultilevel"/>
    <w:lvl w:ilvl="0">
      <w:start w:val="1"/>
      <w:numFmt w:val="bullet"/>
      <w:lvlText w:val="•"/>
      <w:lvlJc w:val="left"/>
      <w:pPr>
        <w:ind w:left="67" w:hanging="76"/>
      </w:pPr>
      <w:rPr>
        <w:rFonts w:hint="default" w:ascii="Trebuchet MS" w:hAnsi="Trebuchet MS" w:eastAsia="Trebuchet MS" w:cs="Trebuchet MS"/>
        <w:w w:val="93"/>
        <w:sz w:val="12"/>
        <w:szCs w:val="12"/>
      </w:rPr>
    </w:lvl>
    <w:lvl w:ilvl="1">
      <w:start w:val="1"/>
      <w:numFmt w:val="bullet"/>
      <w:lvlText w:val="•"/>
      <w:lvlJc w:val="left"/>
      <w:pPr>
        <w:ind w:left="146" w:hanging="76"/>
      </w:pPr>
      <w:rPr>
        <w:rFonts w:hint="default"/>
      </w:rPr>
    </w:lvl>
    <w:lvl w:ilvl="2">
      <w:start w:val="1"/>
      <w:numFmt w:val="bullet"/>
      <w:lvlText w:val="•"/>
      <w:lvlJc w:val="left"/>
      <w:pPr>
        <w:ind w:left="232" w:hanging="76"/>
      </w:pPr>
      <w:rPr>
        <w:rFonts w:hint="default"/>
      </w:rPr>
    </w:lvl>
    <w:lvl w:ilvl="3">
      <w:start w:val="1"/>
      <w:numFmt w:val="bullet"/>
      <w:lvlText w:val="•"/>
      <w:lvlJc w:val="left"/>
      <w:pPr>
        <w:ind w:left="319" w:hanging="76"/>
      </w:pPr>
      <w:rPr>
        <w:rFonts w:hint="default"/>
      </w:rPr>
    </w:lvl>
    <w:lvl w:ilvl="4">
      <w:start w:val="1"/>
      <w:numFmt w:val="bullet"/>
      <w:lvlText w:val="•"/>
      <w:lvlJc w:val="left"/>
      <w:pPr>
        <w:ind w:left="405" w:hanging="76"/>
      </w:pPr>
      <w:rPr>
        <w:rFonts w:hint="default"/>
      </w:rPr>
    </w:lvl>
    <w:lvl w:ilvl="5">
      <w:start w:val="1"/>
      <w:numFmt w:val="bullet"/>
      <w:lvlText w:val="•"/>
      <w:lvlJc w:val="left"/>
      <w:pPr>
        <w:ind w:left="491" w:hanging="76"/>
      </w:pPr>
      <w:rPr>
        <w:rFonts w:hint="default"/>
      </w:rPr>
    </w:lvl>
    <w:lvl w:ilvl="6">
      <w:start w:val="1"/>
      <w:numFmt w:val="bullet"/>
      <w:lvlText w:val="•"/>
      <w:lvlJc w:val="left"/>
      <w:pPr>
        <w:ind w:left="578" w:hanging="76"/>
      </w:pPr>
      <w:rPr>
        <w:rFonts w:hint="default"/>
      </w:rPr>
    </w:lvl>
    <w:lvl w:ilvl="7">
      <w:start w:val="1"/>
      <w:numFmt w:val="bullet"/>
      <w:lvlText w:val="•"/>
      <w:lvlJc w:val="left"/>
      <w:pPr>
        <w:ind w:left="664" w:hanging="76"/>
      </w:pPr>
      <w:rPr>
        <w:rFonts w:hint="default"/>
      </w:rPr>
    </w:lvl>
    <w:lvl w:ilvl="8">
      <w:start w:val="1"/>
      <w:numFmt w:val="bullet"/>
      <w:lvlText w:val="•"/>
      <w:lvlJc w:val="left"/>
      <w:pPr>
        <w:ind w:left="750" w:hanging="76"/>
      </w:pPr>
      <w:rPr>
        <w:rFonts w:hint="default"/>
      </w:rPr>
    </w:lvl>
  </w:abstractNum>
  <w:abstractNum w:abstractNumId="13">
    <w:multiLevelType w:val="hybridMultilevel"/>
    <w:lvl w:ilvl="0">
      <w:start w:val="1"/>
      <w:numFmt w:val="bullet"/>
      <w:lvlText w:val="•"/>
      <w:lvlJc w:val="left"/>
      <w:pPr>
        <w:ind w:left="75" w:hanging="76"/>
      </w:pPr>
      <w:rPr>
        <w:rFonts w:hint="default" w:ascii="Trebuchet MS" w:hAnsi="Trebuchet MS" w:eastAsia="Trebuchet MS" w:cs="Trebuchet MS"/>
        <w:w w:val="93"/>
        <w:sz w:val="12"/>
        <w:szCs w:val="12"/>
      </w:rPr>
    </w:lvl>
    <w:lvl w:ilvl="1">
      <w:start w:val="1"/>
      <w:numFmt w:val="bullet"/>
      <w:lvlText w:val="•"/>
      <w:lvlJc w:val="left"/>
      <w:pPr>
        <w:ind w:left="166" w:hanging="76"/>
      </w:pPr>
      <w:rPr>
        <w:rFonts w:hint="default"/>
      </w:rPr>
    </w:lvl>
    <w:lvl w:ilvl="2">
      <w:start w:val="1"/>
      <w:numFmt w:val="bullet"/>
      <w:lvlText w:val="•"/>
      <w:lvlJc w:val="left"/>
      <w:pPr>
        <w:ind w:left="252" w:hanging="76"/>
      </w:pPr>
      <w:rPr>
        <w:rFonts w:hint="default"/>
      </w:rPr>
    </w:lvl>
    <w:lvl w:ilvl="3">
      <w:start w:val="1"/>
      <w:numFmt w:val="bullet"/>
      <w:lvlText w:val="•"/>
      <w:lvlJc w:val="left"/>
      <w:pPr>
        <w:ind w:left="339" w:hanging="76"/>
      </w:pPr>
      <w:rPr>
        <w:rFonts w:hint="default"/>
      </w:rPr>
    </w:lvl>
    <w:lvl w:ilvl="4">
      <w:start w:val="1"/>
      <w:numFmt w:val="bullet"/>
      <w:lvlText w:val="•"/>
      <w:lvlJc w:val="left"/>
      <w:pPr>
        <w:ind w:left="425" w:hanging="76"/>
      </w:pPr>
      <w:rPr>
        <w:rFonts w:hint="default"/>
      </w:rPr>
    </w:lvl>
    <w:lvl w:ilvl="5">
      <w:start w:val="1"/>
      <w:numFmt w:val="bullet"/>
      <w:lvlText w:val="•"/>
      <w:lvlJc w:val="left"/>
      <w:pPr>
        <w:ind w:left="512" w:hanging="76"/>
      </w:pPr>
      <w:rPr>
        <w:rFonts w:hint="default"/>
      </w:rPr>
    </w:lvl>
    <w:lvl w:ilvl="6">
      <w:start w:val="1"/>
      <w:numFmt w:val="bullet"/>
      <w:lvlText w:val="•"/>
      <w:lvlJc w:val="left"/>
      <w:pPr>
        <w:ind w:left="598" w:hanging="76"/>
      </w:pPr>
      <w:rPr>
        <w:rFonts w:hint="default"/>
      </w:rPr>
    </w:lvl>
    <w:lvl w:ilvl="7">
      <w:start w:val="1"/>
      <w:numFmt w:val="bullet"/>
      <w:lvlText w:val="•"/>
      <w:lvlJc w:val="left"/>
      <w:pPr>
        <w:ind w:left="684" w:hanging="76"/>
      </w:pPr>
      <w:rPr>
        <w:rFonts w:hint="default"/>
      </w:rPr>
    </w:lvl>
    <w:lvl w:ilvl="8">
      <w:start w:val="1"/>
      <w:numFmt w:val="bullet"/>
      <w:lvlText w:val="•"/>
      <w:lvlJc w:val="left"/>
      <w:pPr>
        <w:ind w:left="771" w:hanging="76"/>
      </w:pPr>
      <w:rPr>
        <w:rFonts w:hint="default"/>
      </w:rPr>
    </w:lvl>
  </w:abstractNum>
  <w:abstractNum w:abstractNumId="12">
    <w:multiLevelType w:val="hybridMultilevel"/>
    <w:lvl w:ilvl="0">
      <w:start w:val="1"/>
      <w:numFmt w:val="bullet"/>
      <w:lvlText w:val="•"/>
      <w:lvlJc w:val="left"/>
      <w:pPr>
        <w:ind w:left="67" w:hanging="76"/>
      </w:pPr>
      <w:rPr>
        <w:rFonts w:hint="default" w:ascii="Trebuchet MS" w:hAnsi="Trebuchet MS" w:eastAsia="Trebuchet MS" w:cs="Trebuchet MS"/>
        <w:w w:val="93"/>
        <w:sz w:val="12"/>
        <w:szCs w:val="12"/>
      </w:rPr>
    </w:lvl>
    <w:lvl w:ilvl="1">
      <w:start w:val="1"/>
      <w:numFmt w:val="bullet"/>
      <w:lvlText w:val="•"/>
      <w:lvlJc w:val="left"/>
      <w:pPr>
        <w:ind w:left="151" w:hanging="76"/>
      </w:pPr>
      <w:rPr>
        <w:rFonts w:hint="default" w:ascii="Trebuchet MS" w:hAnsi="Trebuchet MS" w:eastAsia="Trebuchet MS" w:cs="Trebuchet MS"/>
        <w:w w:val="93"/>
        <w:sz w:val="12"/>
        <w:szCs w:val="12"/>
      </w:rPr>
    </w:lvl>
    <w:lvl w:ilvl="2">
      <w:start w:val="1"/>
      <w:numFmt w:val="bullet"/>
      <w:lvlText w:val="•"/>
      <w:lvlJc w:val="left"/>
      <w:pPr>
        <w:ind w:left="247" w:hanging="76"/>
      </w:pPr>
      <w:rPr>
        <w:rFonts w:hint="default"/>
      </w:rPr>
    </w:lvl>
    <w:lvl w:ilvl="3">
      <w:start w:val="1"/>
      <w:numFmt w:val="bullet"/>
      <w:lvlText w:val="•"/>
      <w:lvlJc w:val="left"/>
      <w:pPr>
        <w:ind w:left="335" w:hanging="76"/>
      </w:pPr>
      <w:rPr>
        <w:rFonts w:hint="default"/>
      </w:rPr>
    </w:lvl>
    <w:lvl w:ilvl="4">
      <w:start w:val="1"/>
      <w:numFmt w:val="bullet"/>
      <w:lvlText w:val="•"/>
      <w:lvlJc w:val="left"/>
      <w:pPr>
        <w:ind w:left="422" w:hanging="76"/>
      </w:pPr>
      <w:rPr>
        <w:rFonts w:hint="default"/>
      </w:rPr>
    </w:lvl>
    <w:lvl w:ilvl="5">
      <w:start w:val="1"/>
      <w:numFmt w:val="bullet"/>
      <w:lvlText w:val="•"/>
      <w:lvlJc w:val="left"/>
      <w:pPr>
        <w:ind w:left="510" w:hanging="76"/>
      </w:pPr>
      <w:rPr>
        <w:rFonts w:hint="default"/>
      </w:rPr>
    </w:lvl>
    <w:lvl w:ilvl="6">
      <w:start w:val="1"/>
      <w:numFmt w:val="bullet"/>
      <w:lvlText w:val="•"/>
      <w:lvlJc w:val="left"/>
      <w:pPr>
        <w:ind w:left="597" w:hanging="76"/>
      </w:pPr>
      <w:rPr>
        <w:rFonts w:hint="default"/>
      </w:rPr>
    </w:lvl>
    <w:lvl w:ilvl="7">
      <w:start w:val="1"/>
      <w:numFmt w:val="bullet"/>
      <w:lvlText w:val="•"/>
      <w:lvlJc w:val="left"/>
      <w:pPr>
        <w:ind w:left="685" w:hanging="76"/>
      </w:pPr>
      <w:rPr>
        <w:rFonts w:hint="default"/>
      </w:rPr>
    </w:lvl>
    <w:lvl w:ilvl="8">
      <w:start w:val="1"/>
      <w:numFmt w:val="bullet"/>
      <w:lvlText w:val="•"/>
      <w:lvlJc w:val="left"/>
      <w:pPr>
        <w:ind w:left="772" w:hanging="76"/>
      </w:pPr>
      <w:rPr>
        <w:rFonts w:hint="default"/>
      </w:rPr>
    </w:lvl>
  </w:abstractNum>
  <w:abstractNum w:abstractNumId="11">
    <w:multiLevelType w:val="hybridMultilevel"/>
    <w:lvl w:ilvl="0">
      <w:start w:val="10"/>
      <w:numFmt w:val="decimal"/>
      <w:lvlText w:val="%1"/>
      <w:lvlJc w:val="left"/>
      <w:pPr>
        <w:ind w:left="120" w:hanging="256"/>
        <w:jc w:val="left"/>
      </w:pPr>
      <w:rPr>
        <w:rFonts w:hint="default" w:ascii="Cambria" w:hAnsi="Cambria" w:eastAsia="Cambria" w:cs="Cambria"/>
        <w:w w:val="100"/>
        <w:sz w:val="16"/>
        <w:szCs w:val="16"/>
      </w:rPr>
    </w:lvl>
    <w:lvl w:ilvl="1">
      <w:start w:val="13"/>
      <w:numFmt w:val="decimal"/>
      <w:lvlText w:val="%2"/>
      <w:lvlJc w:val="left"/>
      <w:pPr>
        <w:ind w:left="330" w:hanging="256"/>
        <w:jc w:val="right"/>
      </w:pPr>
      <w:rPr>
        <w:rFonts w:hint="default" w:ascii="Cambria" w:hAnsi="Cambria" w:eastAsia="Cambria" w:cs="Cambria"/>
        <w:spacing w:val="-2"/>
        <w:w w:val="98"/>
        <w:sz w:val="16"/>
        <w:szCs w:val="16"/>
      </w:rPr>
    </w:lvl>
    <w:lvl w:ilvl="2">
      <w:start w:val="1"/>
      <w:numFmt w:val="decimal"/>
      <w:lvlText w:val="%3."/>
      <w:lvlJc w:val="left"/>
      <w:pPr>
        <w:ind w:left="954" w:hanging="227"/>
        <w:jc w:val="left"/>
      </w:pPr>
      <w:rPr>
        <w:rFonts w:hint="default" w:ascii="Cambria" w:hAnsi="Cambria" w:eastAsia="Cambria" w:cs="Cambria"/>
        <w:w w:val="112"/>
        <w:sz w:val="19"/>
        <w:szCs w:val="19"/>
      </w:rPr>
    </w:lvl>
    <w:lvl w:ilvl="3">
      <w:start w:val="1"/>
      <w:numFmt w:val="bullet"/>
      <w:lvlText w:val="•"/>
      <w:lvlJc w:val="left"/>
      <w:pPr>
        <w:ind w:left="1638" w:hanging="227"/>
      </w:pPr>
      <w:rPr>
        <w:rFonts w:hint="default"/>
      </w:rPr>
    </w:lvl>
    <w:lvl w:ilvl="4">
      <w:start w:val="1"/>
      <w:numFmt w:val="bullet"/>
      <w:lvlText w:val="•"/>
      <w:lvlJc w:val="left"/>
      <w:pPr>
        <w:ind w:left="2316" w:hanging="227"/>
      </w:pPr>
      <w:rPr>
        <w:rFonts w:hint="default"/>
      </w:rPr>
    </w:lvl>
    <w:lvl w:ilvl="5">
      <w:start w:val="1"/>
      <w:numFmt w:val="bullet"/>
      <w:lvlText w:val="•"/>
      <w:lvlJc w:val="left"/>
      <w:pPr>
        <w:ind w:left="2995" w:hanging="227"/>
      </w:pPr>
      <w:rPr>
        <w:rFonts w:hint="default"/>
      </w:rPr>
    </w:lvl>
    <w:lvl w:ilvl="6">
      <w:start w:val="1"/>
      <w:numFmt w:val="bullet"/>
      <w:lvlText w:val="•"/>
      <w:lvlJc w:val="left"/>
      <w:pPr>
        <w:ind w:left="3673" w:hanging="227"/>
      </w:pPr>
      <w:rPr>
        <w:rFonts w:hint="default"/>
      </w:rPr>
    </w:lvl>
    <w:lvl w:ilvl="7">
      <w:start w:val="1"/>
      <w:numFmt w:val="bullet"/>
      <w:lvlText w:val="•"/>
      <w:lvlJc w:val="left"/>
      <w:pPr>
        <w:ind w:left="4352" w:hanging="227"/>
      </w:pPr>
      <w:rPr>
        <w:rFonts w:hint="default"/>
      </w:rPr>
    </w:lvl>
    <w:lvl w:ilvl="8">
      <w:start w:val="1"/>
      <w:numFmt w:val="bullet"/>
      <w:lvlText w:val="•"/>
      <w:lvlJc w:val="left"/>
      <w:pPr>
        <w:ind w:left="5030" w:hanging="227"/>
      </w:pPr>
      <w:rPr>
        <w:rFonts w:hint="default"/>
      </w:rPr>
    </w:lvl>
  </w:abstractNum>
  <w:abstractNum w:abstractNumId="10">
    <w:multiLevelType w:val="hybridMultilevel"/>
    <w:lvl w:ilvl="0">
      <w:start w:val="1"/>
      <w:numFmt w:val="decimal"/>
      <w:lvlText w:val="%1"/>
      <w:lvlJc w:val="left"/>
      <w:pPr>
        <w:ind w:left="120" w:hanging="256"/>
        <w:jc w:val="right"/>
      </w:pPr>
      <w:rPr>
        <w:rFonts w:hint="default" w:ascii="Cambria" w:hAnsi="Cambria" w:eastAsia="Cambria" w:cs="Cambria"/>
        <w:w w:val="100"/>
        <w:sz w:val="16"/>
        <w:szCs w:val="16"/>
      </w:rPr>
    </w:lvl>
    <w:lvl w:ilvl="1">
      <w:start w:val="1"/>
      <w:numFmt w:val="lowerRoman"/>
      <w:lvlText w:val="%2."/>
      <w:lvlJc w:val="left"/>
      <w:pPr>
        <w:ind w:left="954" w:hanging="227"/>
        <w:jc w:val="left"/>
      </w:pPr>
      <w:rPr>
        <w:rFonts w:hint="default" w:ascii="Cambria" w:hAnsi="Cambria" w:eastAsia="Cambria" w:cs="Cambria"/>
        <w:w w:val="125"/>
        <w:sz w:val="19"/>
        <w:szCs w:val="19"/>
      </w:rPr>
    </w:lvl>
    <w:lvl w:ilvl="2">
      <w:start w:val="1"/>
      <w:numFmt w:val="bullet"/>
      <w:lvlText w:val="•"/>
      <w:lvlJc w:val="left"/>
      <w:pPr>
        <w:ind w:left="1563" w:hanging="227"/>
      </w:pPr>
      <w:rPr>
        <w:rFonts w:hint="default"/>
      </w:rPr>
    </w:lvl>
    <w:lvl w:ilvl="3">
      <w:start w:val="1"/>
      <w:numFmt w:val="bullet"/>
      <w:lvlText w:val="•"/>
      <w:lvlJc w:val="left"/>
      <w:pPr>
        <w:ind w:left="2166" w:hanging="227"/>
      </w:pPr>
      <w:rPr>
        <w:rFonts w:hint="default"/>
      </w:rPr>
    </w:lvl>
    <w:lvl w:ilvl="4">
      <w:start w:val="1"/>
      <w:numFmt w:val="bullet"/>
      <w:lvlText w:val="•"/>
      <w:lvlJc w:val="left"/>
      <w:pPr>
        <w:ind w:left="2769" w:hanging="227"/>
      </w:pPr>
      <w:rPr>
        <w:rFonts w:hint="default"/>
      </w:rPr>
    </w:lvl>
    <w:lvl w:ilvl="5">
      <w:start w:val="1"/>
      <w:numFmt w:val="bullet"/>
      <w:lvlText w:val="•"/>
      <w:lvlJc w:val="left"/>
      <w:pPr>
        <w:ind w:left="3372" w:hanging="227"/>
      </w:pPr>
      <w:rPr>
        <w:rFonts w:hint="default"/>
      </w:rPr>
    </w:lvl>
    <w:lvl w:ilvl="6">
      <w:start w:val="1"/>
      <w:numFmt w:val="bullet"/>
      <w:lvlText w:val="•"/>
      <w:lvlJc w:val="left"/>
      <w:pPr>
        <w:ind w:left="3975" w:hanging="227"/>
      </w:pPr>
      <w:rPr>
        <w:rFonts w:hint="default"/>
      </w:rPr>
    </w:lvl>
    <w:lvl w:ilvl="7">
      <w:start w:val="1"/>
      <w:numFmt w:val="bullet"/>
      <w:lvlText w:val="•"/>
      <w:lvlJc w:val="left"/>
      <w:pPr>
        <w:ind w:left="4578" w:hanging="227"/>
      </w:pPr>
      <w:rPr>
        <w:rFonts w:hint="default"/>
      </w:rPr>
    </w:lvl>
    <w:lvl w:ilvl="8">
      <w:start w:val="1"/>
      <w:numFmt w:val="bullet"/>
      <w:lvlText w:val="•"/>
      <w:lvlJc w:val="left"/>
      <w:pPr>
        <w:ind w:left="5181" w:hanging="227"/>
      </w:pPr>
      <w:rPr>
        <w:rFonts w:hint="default"/>
      </w:rPr>
    </w:lvl>
  </w:abstractNum>
  <w:abstractNum w:abstractNumId="9">
    <w:multiLevelType w:val="hybridMultilevel"/>
    <w:lvl w:ilvl="0">
      <w:start w:val="1"/>
      <w:numFmt w:val="bullet"/>
      <w:lvlText w:val="-"/>
      <w:lvlJc w:val="left"/>
      <w:pPr>
        <w:ind w:left="954" w:hanging="227"/>
      </w:pPr>
      <w:rPr>
        <w:rFonts w:hint="default" w:ascii="Cambria" w:hAnsi="Cambria" w:eastAsia="Cambria" w:cs="Cambria"/>
        <w:w w:val="100"/>
        <w:sz w:val="24"/>
        <w:szCs w:val="24"/>
      </w:rPr>
    </w:lvl>
    <w:lvl w:ilvl="1">
      <w:start w:val="1"/>
      <w:numFmt w:val="bullet"/>
      <w:lvlText w:val="•"/>
      <w:lvlJc w:val="left"/>
      <w:pPr>
        <w:ind w:left="1532" w:hanging="227"/>
      </w:pPr>
      <w:rPr>
        <w:rFonts w:hint="default"/>
      </w:rPr>
    </w:lvl>
    <w:lvl w:ilvl="2">
      <w:start w:val="1"/>
      <w:numFmt w:val="bullet"/>
      <w:lvlText w:val="•"/>
      <w:lvlJc w:val="left"/>
      <w:pPr>
        <w:ind w:left="2105" w:hanging="227"/>
      </w:pPr>
      <w:rPr>
        <w:rFonts w:hint="default"/>
      </w:rPr>
    </w:lvl>
    <w:lvl w:ilvl="3">
      <w:start w:val="1"/>
      <w:numFmt w:val="bullet"/>
      <w:lvlText w:val="•"/>
      <w:lvlJc w:val="left"/>
      <w:pPr>
        <w:ind w:left="2678" w:hanging="227"/>
      </w:pPr>
      <w:rPr>
        <w:rFonts w:hint="default"/>
      </w:rPr>
    </w:lvl>
    <w:lvl w:ilvl="4">
      <w:start w:val="1"/>
      <w:numFmt w:val="bullet"/>
      <w:lvlText w:val="•"/>
      <w:lvlJc w:val="left"/>
      <w:pPr>
        <w:ind w:left="3250" w:hanging="227"/>
      </w:pPr>
      <w:rPr>
        <w:rFonts w:hint="default"/>
      </w:rPr>
    </w:lvl>
    <w:lvl w:ilvl="5">
      <w:start w:val="1"/>
      <w:numFmt w:val="bullet"/>
      <w:lvlText w:val="•"/>
      <w:lvlJc w:val="left"/>
      <w:pPr>
        <w:ind w:left="3823" w:hanging="227"/>
      </w:pPr>
      <w:rPr>
        <w:rFonts w:hint="default"/>
      </w:rPr>
    </w:lvl>
    <w:lvl w:ilvl="6">
      <w:start w:val="1"/>
      <w:numFmt w:val="bullet"/>
      <w:lvlText w:val="•"/>
      <w:lvlJc w:val="left"/>
      <w:pPr>
        <w:ind w:left="4396" w:hanging="227"/>
      </w:pPr>
      <w:rPr>
        <w:rFonts w:hint="default"/>
      </w:rPr>
    </w:lvl>
    <w:lvl w:ilvl="7">
      <w:start w:val="1"/>
      <w:numFmt w:val="bullet"/>
      <w:lvlText w:val="•"/>
      <w:lvlJc w:val="left"/>
      <w:pPr>
        <w:ind w:left="4969" w:hanging="227"/>
      </w:pPr>
      <w:rPr>
        <w:rFonts w:hint="default"/>
      </w:rPr>
    </w:lvl>
    <w:lvl w:ilvl="8">
      <w:start w:val="1"/>
      <w:numFmt w:val="bullet"/>
      <w:lvlText w:val="•"/>
      <w:lvlJc w:val="left"/>
      <w:pPr>
        <w:ind w:left="5541" w:hanging="227"/>
      </w:pPr>
      <w:rPr>
        <w:rFonts w:hint="default"/>
      </w:rPr>
    </w:lvl>
  </w:abstractNum>
  <w:abstractNum w:abstractNumId="7">
    <w:multiLevelType w:val="hybridMultilevel"/>
    <w:lvl w:ilvl="0">
      <w:start w:val="1"/>
      <w:numFmt w:val="bullet"/>
      <w:lvlText w:val="-"/>
      <w:lvlJc w:val="left"/>
      <w:pPr>
        <w:ind w:left="954" w:hanging="227"/>
      </w:pPr>
      <w:rPr>
        <w:rFonts w:hint="default" w:ascii="Cambria" w:hAnsi="Cambria" w:eastAsia="Cambria" w:cs="Cambria"/>
        <w:w w:val="100"/>
        <w:sz w:val="24"/>
        <w:szCs w:val="24"/>
      </w:rPr>
    </w:lvl>
    <w:lvl w:ilvl="1">
      <w:start w:val="1"/>
      <w:numFmt w:val="bullet"/>
      <w:lvlText w:val="•"/>
      <w:lvlJc w:val="left"/>
      <w:pPr>
        <w:ind w:left="1532" w:hanging="227"/>
      </w:pPr>
      <w:rPr>
        <w:rFonts w:hint="default"/>
      </w:rPr>
    </w:lvl>
    <w:lvl w:ilvl="2">
      <w:start w:val="1"/>
      <w:numFmt w:val="bullet"/>
      <w:lvlText w:val="•"/>
      <w:lvlJc w:val="left"/>
      <w:pPr>
        <w:ind w:left="2105" w:hanging="227"/>
      </w:pPr>
      <w:rPr>
        <w:rFonts w:hint="default"/>
      </w:rPr>
    </w:lvl>
    <w:lvl w:ilvl="3">
      <w:start w:val="1"/>
      <w:numFmt w:val="bullet"/>
      <w:lvlText w:val="•"/>
      <w:lvlJc w:val="left"/>
      <w:pPr>
        <w:ind w:left="2678" w:hanging="227"/>
      </w:pPr>
      <w:rPr>
        <w:rFonts w:hint="default"/>
      </w:rPr>
    </w:lvl>
    <w:lvl w:ilvl="4">
      <w:start w:val="1"/>
      <w:numFmt w:val="bullet"/>
      <w:lvlText w:val="•"/>
      <w:lvlJc w:val="left"/>
      <w:pPr>
        <w:ind w:left="3250" w:hanging="227"/>
      </w:pPr>
      <w:rPr>
        <w:rFonts w:hint="default"/>
      </w:rPr>
    </w:lvl>
    <w:lvl w:ilvl="5">
      <w:start w:val="1"/>
      <w:numFmt w:val="bullet"/>
      <w:lvlText w:val="•"/>
      <w:lvlJc w:val="left"/>
      <w:pPr>
        <w:ind w:left="3823" w:hanging="227"/>
      </w:pPr>
      <w:rPr>
        <w:rFonts w:hint="default"/>
      </w:rPr>
    </w:lvl>
    <w:lvl w:ilvl="6">
      <w:start w:val="1"/>
      <w:numFmt w:val="bullet"/>
      <w:lvlText w:val="•"/>
      <w:lvlJc w:val="left"/>
      <w:pPr>
        <w:ind w:left="4396" w:hanging="227"/>
      </w:pPr>
      <w:rPr>
        <w:rFonts w:hint="default"/>
      </w:rPr>
    </w:lvl>
    <w:lvl w:ilvl="7">
      <w:start w:val="1"/>
      <w:numFmt w:val="bullet"/>
      <w:lvlText w:val="•"/>
      <w:lvlJc w:val="left"/>
      <w:pPr>
        <w:ind w:left="4969" w:hanging="227"/>
      </w:pPr>
      <w:rPr>
        <w:rFonts w:hint="default"/>
      </w:rPr>
    </w:lvl>
    <w:lvl w:ilvl="8">
      <w:start w:val="1"/>
      <w:numFmt w:val="bullet"/>
      <w:lvlText w:val="•"/>
      <w:lvlJc w:val="left"/>
      <w:pPr>
        <w:ind w:left="5541" w:hanging="227"/>
      </w:pPr>
      <w:rPr>
        <w:rFonts w:hint="default"/>
      </w:rPr>
    </w:lvl>
  </w:abstractNum>
  <w:abstractNum w:abstractNumId="6">
    <w:multiLevelType w:val="hybridMultilevel"/>
    <w:lvl w:ilvl="0">
      <w:start w:val="1"/>
      <w:numFmt w:val="bullet"/>
      <w:lvlText w:val="-"/>
      <w:lvlJc w:val="left"/>
      <w:pPr>
        <w:ind w:left="954" w:hanging="227"/>
      </w:pPr>
      <w:rPr>
        <w:rFonts w:hint="default" w:ascii="Cambria" w:hAnsi="Cambria" w:eastAsia="Cambria" w:cs="Cambria"/>
        <w:w w:val="100"/>
        <w:sz w:val="24"/>
        <w:szCs w:val="24"/>
      </w:rPr>
    </w:lvl>
    <w:lvl w:ilvl="1">
      <w:start w:val="1"/>
      <w:numFmt w:val="bullet"/>
      <w:lvlText w:val="•"/>
      <w:lvlJc w:val="left"/>
      <w:pPr>
        <w:ind w:left="1532" w:hanging="227"/>
      </w:pPr>
      <w:rPr>
        <w:rFonts w:hint="default"/>
      </w:rPr>
    </w:lvl>
    <w:lvl w:ilvl="2">
      <w:start w:val="1"/>
      <w:numFmt w:val="bullet"/>
      <w:lvlText w:val="•"/>
      <w:lvlJc w:val="left"/>
      <w:pPr>
        <w:ind w:left="2105" w:hanging="227"/>
      </w:pPr>
      <w:rPr>
        <w:rFonts w:hint="default"/>
      </w:rPr>
    </w:lvl>
    <w:lvl w:ilvl="3">
      <w:start w:val="1"/>
      <w:numFmt w:val="bullet"/>
      <w:lvlText w:val="•"/>
      <w:lvlJc w:val="left"/>
      <w:pPr>
        <w:ind w:left="2678" w:hanging="227"/>
      </w:pPr>
      <w:rPr>
        <w:rFonts w:hint="default"/>
      </w:rPr>
    </w:lvl>
    <w:lvl w:ilvl="4">
      <w:start w:val="1"/>
      <w:numFmt w:val="bullet"/>
      <w:lvlText w:val="•"/>
      <w:lvlJc w:val="left"/>
      <w:pPr>
        <w:ind w:left="3250" w:hanging="227"/>
      </w:pPr>
      <w:rPr>
        <w:rFonts w:hint="default"/>
      </w:rPr>
    </w:lvl>
    <w:lvl w:ilvl="5">
      <w:start w:val="1"/>
      <w:numFmt w:val="bullet"/>
      <w:lvlText w:val="•"/>
      <w:lvlJc w:val="left"/>
      <w:pPr>
        <w:ind w:left="3823" w:hanging="227"/>
      </w:pPr>
      <w:rPr>
        <w:rFonts w:hint="default"/>
      </w:rPr>
    </w:lvl>
    <w:lvl w:ilvl="6">
      <w:start w:val="1"/>
      <w:numFmt w:val="bullet"/>
      <w:lvlText w:val="•"/>
      <w:lvlJc w:val="left"/>
      <w:pPr>
        <w:ind w:left="4396" w:hanging="227"/>
      </w:pPr>
      <w:rPr>
        <w:rFonts w:hint="default"/>
      </w:rPr>
    </w:lvl>
    <w:lvl w:ilvl="7">
      <w:start w:val="1"/>
      <w:numFmt w:val="bullet"/>
      <w:lvlText w:val="•"/>
      <w:lvlJc w:val="left"/>
      <w:pPr>
        <w:ind w:left="4969" w:hanging="227"/>
      </w:pPr>
      <w:rPr>
        <w:rFonts w:hint="default"/>
      </w:rPr>
    </w:lvl>
    <w:lvl w:ilvl="8">
      <w:start w:val="1"/>
      <w:numFmt w:val="bullet"/>
      <w:lvlText w:val="•"/>
      <w:lvlJc w:val="left"/>
      <w:pPr>
        <w:ind w:left="5541" w:hanging="227"/>
      </w:pPr>
      <w:rPr>
        <w:rFonts w:hint="default"/>
      </w:rPr>
    </w:lvl>
  </w:abstractNum>
  <w:abstractNum w:abstractNumId="5">
    <w:multiLevelType w:val="hybridMultilevel"/>
    <w:lvl w:ilvl="0">
      <w:start w:val="1"/>
      <w:numFmt w:val="bullet"/>
      <w:lvlText w:val="*"/>
      <w:lvlJc w:val="left"/>
      <w:pPr>
        <w:ind w:left="290" w:hanging="171"/>
      </w:pPr>
      <w:rPr>
        <w:rFonts w:hint="default" w:ascii="Cambria" w:hAnsi="Cambria" w:eastAsia="Cambria" w:cs="Cambria"/>
        <w:w w:val="117"/>
        <w:sz w:val="16"/>
        <w:szCs w:val="16"/>
      </w:rPr>
    </w:lvl>
    <w:lvl w:ilvl="1">
      <w:start w:val="1"/>
      <w:numFmt w:val="bullet"/>
      <w:lvlText w:val="-"/>
      <w:lvlJc w:val="left"/>
      <w:pPr>
        <w:ind w:left="444" w:hanging="227"/>
      </w:pPr>
      <w:rPr>
        <w:rFonts w:hint="default" w:ascii="Cambria" w:hAnsi="Cambria" w:eastAsia="Cambria" w:cs="Cambria"/>
        <w:w w:val="100"/>
        <w:sz w:val="24"/>
        <w:szCs w:val="24"/>
      </w:rPr>
    </w:lvl>
    <w:lvl w:ilvl="2">
      <w:start w:val="1"/>
      <w:numFmt w:val="bullet"/>
      <w:lvlText w:val="-"/>
      <w:lvlJc w:val="left"/>
      <w:pPr>
        <w:ind w:left="954" w:hanging="227"/>
      </w:pPr>
      <w:rPr>
        <w:rFonts w:hint="default" w:ascii="Cambria" w:hAnsi="Cambria" w:eastAsia="Cambria" w:cs="Cambria"/>
        <w:w w:val="100"/>
        <w:sz w:val="24"/>
        <w:szCs w:val="24"/>
      </w:rPr>
    </w:lvl>
    <w:lvl w:ilvl="3">
      <w:start w:val="1"/>
      <w:numFmt w:val="bullet"/>
      <w:lvlText w:val="•"/>
      <w:lvlJc w:val="left"/>
      <w:pPr>
        <w:ind w:left="1638" w:hanging="227"/>
      </w:pPr>
      <w:rPr>
        <w:rFonts w:hint="default"/>
      </w:rPr>
    </w:lvl>
    <w:lvl w:ilvl="4">
      <w:start w:val="1"/>
      <w:numFmt w:val="bullet"/>
      <w:lvlText w:val="•"/>
      <w:lvlJc w:val="left"/>
      <w:pPr>
        <w:ind w:left="2316" w:hanging="227"/>
      </w:pPr>
      <w:rPr>
        <w:rFonts w:hint="default"/>
      </w:rPr>
    </w:lvl>
    <w:lvl w:ilvl="5">
      <w:start w:val="1"/>
      <w:numFmt w:val="bullet"/>
      <w:lvlText w:val="•"/>
      <w:lvlJc w:val="left"/>
      <w:pPr>
        <w:ind w:left="2995" w:hanging="227"/>
      </w:pPr>
      <w:rPr>
        <w:rFonts w:hint="default"/>
      </w:rPr>
    </w:lvl>
    <w:lvl w:ilvl="6">
      <w:start w:val="1"/>
      <w:numFmt w:val="bullet"/>
      <w:lvlText w:val="•"/>
      <w:lvlJc w:val="left"/>
      <w:pPr>
        <w:ind w:left="3673" w:hanging="227"/>
      </w:pPr>
      <w:rPr>
        <w:rFonts w:hint="default"/>
      </w:rPr>
    </w:lvl>
    <w:lvl w:ilvl="7">
      <w:start w:val="1"/>
      <w:numFmt w:val="bullet"/>
      <w:lvlText w:val="•"/>
      <w:lvlJc w:val="left"/>
      <w:pPr>
        <w:ind w:left="4352" w:hanging="227"/>
      </w:pPr>
      <w:rPr>
        <w:rFonts w:hint="default"/>
      </w:rPr>
    </w:lvl>
    <w:lvl w:ilvl="8">
      <w:start w:val="1"/>
      <w:numFmt w:val="bullet"/>
      <w:lvlText w:val="•"/>
      <w:lvlJc w:val="left"/>
      <w:pPr>
        <w:ind w:left="5030" w:hanging="227"/>
      </w:pPr>
      <w:rPr>
        <w:rFonts w:hint="default"/>
      </w:rPr>
    </w:lvl>
  </w:abstractNum>
  <w:abstractNum w:abstractNumId="4">
    <w:multiLevelType w:val="hybridMultilevel"/>
    <w:lvl w:ilvl="0">
      <w:start w:val="1"/>
      <w:numFmt w:val="bullet"/>
      <w:lvlText w:val="-"/>
      <w:lvlJc w:val="left"/>
      <w:pPr>
        <w:ind w:left="444" w:hanging="227"/>
      </w:pPr>
      <w:rPr>
        <w:rFonts w:hint="default" w:ascii="Cambria" w:hAnsi="Cambria" w:eastAsia="Cambria" w:cs="Cambria"/>
        <w:w w:val="100"/>
        <w:sz w:val="24"/>
        <w:szCs w:val="24"/>
      </w:rPr>
    </w:lvl>
    <w:lvl w:ilvl="1">
      <w:start w:val="1"/>
      <w:numFmt w:val="bullet"/>
      <w:lvlText w:val="-"/>
      <w:lvlJc w:val="left"/>
      <w:pPr>
        <w:ind w:left="954" w:hanging="227"/>
      </w:pPr>
      <w:rPr>
        <w:rFonts w:hint="default" w:ascii="Cambria" w:hAnsi="Cambria" w:eastAsia="Cambria" w:cs="Cambria"/>
        <w:w w:val="100"/>
        <w:sz w:val="24"/>
        <w:szCs w:val="24"/>
      </w:rPr>
    </w:lvl>
    <w:lvl w:ilvl="2">
      <w:start w:val="1"/>
      <w:numFmt w:val="bullet"/>
      <w:lvlText w:val="•"/>
      <w:lvlJc w:val="left"/>
      <w:pPr>
        <w:ind w:left="1563" w:hanging="227"/>
      </w:pPr>
      <w:rPr>
        <w:rFonts w:hint="default"/>
      </w:rPr>
    </w:lvl>
    <w:lvl w:ilvl="3">
      <w:start w:val="1"/>
      <w:numFmt w:val="bullet"/>
      <w:lvlText w:val="•"/>
      <w:lvlJc w:val="left"/>
      <w:pPr>
        <w:ind w:left="2166" w:hanging="227"/>
      </w:pPr>
      <w:rPr>
        <w:rFonts w:hint="default"/>
      </w:rPr>
    </w:lvl>
    <w:lvl w:ilvl="4">
      <w:start w:val="1"/>
      <w:numFmt w:val="bullet"/>
      <w:lvlText w:val="•"/>
      <w:lvlJc w:val="left"/>
      <w:pPr>
        <w:ind w:left="2769" w:hanging="227"/>
      </w:pPr>
      <w:rPr>
        <w:rFonts w:hint="default"/>
      </w:rPr>
    </w:lvl>
    <w:lvl w:ilvl="5">
      <w:start w:val="1"/>
      <w:numFmt w:val="bullet"/>
      <w:lvlText w:val="•"/>
      <w:lvlJc w:val="left"/>
      <w:pPr>
        <w:ind w:left="3372" w:hanging="227"/>
      </w:pPr>
      <w:rPr>
        <w:rFonts w:hint="default"/>
      </w:rPr>
    </w:lvl>
    <w:lvl w:ilvl="6">
      <w:start w:val="1"/>
      <w:numFmt w:val="bullet"/>
      <w:lvlText w:val="•"/>
      <w:lvlJc w:val="left"/>
      <w:pPr>
        <w:ind w:left="3975" w:hanging="227"/>
      </w:pPr>
      <w:rPr>
        <w:rFonts w:hint="default"/>
      </w:rPr>
    </w:lvl>
    <w:lvl w:ilvl="7">
      <w:start w:val="1"/>
      <w:numFmt w:val="bullet"/>
      <w:lvlText w:val="•"/>
      <w:lvlJc w:val="left"/>
      <w:pPr>
        <w:ind w:left="4578" w:hanging="227"/>
      </w:pPr>
      <w:rPr>
        <w:rFonts w:hint="default"/>
      </w:rPr>
    </w:lvl>
    <w:lvl w:ilvl="8">
      <w:start w:val="1"/>
      <w:numFmt w:val="bullet"/>
      <w:lvlText w:val="•"/>
      <w:lvlJc w:val="left"/>
      <w:pPr>
        <w:ind w:left="5181" w:hanging="227"/>
      </w:pPr>
      <w:rPr>
        <w:rFonts w:hint="default"/>
      </w:rPr>
    </w:lvl>
  </w:abstractNum>
  <w:abstractNum w:abstractNumId="3">
    <w:multiLevelType w:val="hybridMultilevel"/>
    <w:lvl w:ilvl="0">
      <w:start w:val="1"/>
      <w:numFmt w:val="bullet"/>
      <w:lvlText w:val="-"/>
      <w:lvlJc w:val="left"/>
      <w:pPr>
        <w:ind w:left="954" w:hanging="227"/>
      </w:pPr>
      <w:rPr>
        <w:rFonts w:hint="default" w:ascii="Cambria" w:hAnsi="Cambria" w:eastAsia="Cambria" w:cs="Cambria"/>
        <w:w w:val="100"/>
        <w:sz w:val="24"/>
        <w:szCs w:val="24"/>
      </w:rPr>
    </w:lvl>
    <w:lvl w:ilvl="1">
      <w:start w:val="1"/>
      <w:numFmt w:val="bullet"/>
      <w:lvlText w:val="•"/>
      <w:lvlJc w:val="left"/>
      <w:pPr>
        <w:ind w:left="1532" w:hanging="227"/>
      </w:pPr>
      <w:rPr>
        <w:rFonts w:hint="default"/>
      </w:rPr>
    </w:lvl>
    <w:lvl w:ilvl="2">
      <w:start w:val="1"/>
      <w:numFmt w:val="bullet"/>
      <w:lvlText w:val="•"/>
      <w:lvlJc w:val="left"/>
      <w:pPr>
        <w:ind w:left="2105" w:hanging="227"/>
      </w:pPr>
      <w:rPr>
        <w:rFonts w:hint="default"/>
      </w:rPr>
    </w:lvl>
    <w:lvl w:ilvl="3">
      <w:start w:val="1"/>
      <w:numFmt w:val="bullet"/>
      <w:lvlText w:val="•"/>
      <w:lvlJc w:val="left"/>
      <w:pPr>
        <w:ind w:left="2678" w:hanging="227"/>
      </w:pPr>
      <w:rPr>
        <w:rFonts w:hint="default"/>
      </w:rPr>
    </w:lvl>
    <w:lvl w:ilvl="4">
      <w:start w:val="1"/>
      <w:numFmt w:val="bullet"/>
      <w:lvlText w:val="•"/>
      <w:lvlJc w:val="left"/>
      <w:pPr>
        <w:ind w:left="3250" w:hanging="227"/>
      </w:pPr>
      <w:rPr>
        <w:rFonts w:hint="default"/>
      </w:rPr>
    </w:lvl>
    <w:lvl w:ilvl="5">
      <w:start w:val="1"/>
      <w:numFmt w:val="bullet"/>
      <w:lvlText w:val="•"/>
      <w:lvlJc w:val="left"/>
      <w:pPr>
        <w:ind w:left="3823" w:hanging="227"/>
      </w:pPr>
      <w:rPr>
        <w:rFonts w:hint="default"/>
      </w:rPr>
    </w:lvl>
    <w:lvl w:ilvl="6">
      <w:start w:val="1"/>
      <w:numFmt w:val="bullet"/>
      <w:lvlText w:val="•"/>
      <w:lvlJc w:val="left"/>
      <w:pPr>
        <w:ind w:left="4396" w:hanging="227"/>
      </w:pPr>
      <w:rPr>
        <w:rFonts w:hint="default"/>
      </w:rPr>
    </w:lvl>
    <w:lvl w:ilvl="7">
      <w:start w:val="1"/>
      <w:numFmt w:val="bullet"/>
      <w:lvlText w:val="•"/>
      <w:lvlJc w:val="left"/>
      <w:pPr>
        <w:ind w:left="4969" w:hanging="227"/>
      </w:pPr>
      <w:rPr>
        <w:rFonts w:hint="default"/>
      </w:rPr>
    </w:lvl>
    <w:lvl w:ilvl="8">
      <w:start w:val="1"/>
      <w:numFmt w:val="bullet"/>
      <w:lvlText w:val="•"/>
      <w:lvlJc w:val="left"/>
      <w:pPr>
        <w:ind w:left="5541" w:hanging="227"/>
      </w:pPr>
      <w:rPr>
        <w:rFonts w:hint="default"/>
      </w:rPr>
    </w:lvl>
  </w:abstractNum>
  <w:abstractNum w:abstractNumId="1">
    <w:multiLevelType w:val="hybridMultilevel"/>
    <w:lvl w:ilvl="0">
      <w:start w:val="1"/>
      <w:numFmt w:val="decimal"/>
      <w:lvlText w:val="%1"/>
      <w:lvlJc w:val="left"/>
      <w:pPr>
        <w:ind w:left="330" w:hanging="256"/>
        <w:jc w:val="right"/>
      </w:pPr>
      <w:rPr>
        <w:rFonts w:hint="default" w:ascii="Cambria" w:hAnsi="Cambria" w:eastAsia="Cambria" w:cs="Cambria"/>
        <w:w w:val="100"/>
        <w:sz w:val="16"/>
        <w:szCs w:val="16"/>
      </w:rPr>
    </w:lvl>
    <w:lvl w:ilvl="1">
      <w:start w:val="1"/>
      <w:numFmt w:val="lowerLetter"/>
      <w:lvlText w:val="%2."/>
      <w:lvlJc w:val="left"/>
      <w:pPr>
        <w:ind w:left="1474" w:hanging="227"/>
        <w:jc w:val="left"/>
      </w:pPr>
      <w:rPr>
        <w:rFonts w:hint="default" w:ascii="Cambria" w:hAnsi="Cambria" w:eastAsia="Cambria" w:cs="Cambria"/>
        <w:w w:val="120"/>
        <w:sz w:val="19"/>
        <w:szCs w:val="19"/>
      </w:rPr>
    </w:lvl>
    <w:lvl w:ilvl="2">
      <w:start w:val="1"/>
      <w:numFmt w:val="bullet"/>
      <w:lvlText w:val="•"/>
      <w:lvlJc w:val="left"/>
      <w:pPr>
        <w:ind w:left="2058" w:hanging="227"/>
      </w:pPr>
      <w:rPr>
        <w:rFonts w:hint="default"/>
      </w:rPr>
    </w:lvl>
    <w:lvl w:ilvl="3">
      <w:start w:val="1"/>
      <w:numFmt w:val="bullet"/>
      <w:lvlText w:val="•"/>
      <w:lvlJc w:val="left"/>
      <w:pPr>
        <w:ind w:left="2637" w:hanging="227"/>
      </w:pPr>
      <w:rPr>
        <w:rFonts w:hint="default"/>
      </w:rPr>
    </w:lvl>
    <w:lvl w:ilvl="4">
      <w:start w:val="1"/>
      <w:numFmt w:val="bullet"/>
      <w:lvlText w:val="•"/>
      <w:lvlJc w:val="left"/>
      <w:pPr>
        <w:ind w:left="3215" w:hanging="227"/>
      </w:pPr>
      <w:rPr>
        <w:rFonts w:hint="default"/>
      </w:rPr>
    </w:lvl>
    <w:lvl w:ilvl="5">
      <w:start w:val="1"/>
      <w:numFmt w:val="bullet"/>
      <w:lvlText w:val="•"/>
      <w:lvlJc w:val="left"/>
      <w:pPr>
        <w:ind w:left="3794" w:hanging="227"/>
      </w:pPr>
      <w:rPr>
        <w:rFonts w:hint="default"/>
      </w:rPr>
    </w:lvl>
    <w:lvl w:ilvl="6">
      <w:start w:val="1"/>
      <w:numFmt w:val="bullet"/>
      <w:lvlText w:val="•"/>
      <w:lvlJc w:val="left"/>
      <w:pPr>
        <w:ind w:left="4373" w:hanging="227"/>
      </w:pPr>
      <w:rPr>
        <w:rFonts w:hint="default"/>
      </w:rPr>
    </w:lvl>
    <w:lvl w:ilvl="7">
      <w:start w:val="1"/>
      <w:numFmt w:val="bullet"/>
      <w:lvlText w:val="•"/>
      <w:lvlJc w:val="left"/>
      <w:pPr>
        <w:ind w:left="4951" w:hanging="227"/>
      </w:pPr>
      <w:rPr>
        <w:rFonts w:hint="default"/>
      </w:rPr>
    </w:lvl>
    <w:lvl w:ilvl="8">
      <w:start w:val="1"/>
      <w:numFmt w:val="bullet"/>
      <w:lvlText w:val="•"/>
      <w:lvlJc w:val="left"/>
      <w:pPr>
        <w:ind w:left="5530" w:hanging="227"/>
      </w:pPr>
      <w:rPr>
        <w:rFonts w:hint="default"/>
      </w:rPr>
    </w:lvl>
  </w:abstractNum>
  <w:num w:numId="37">
    <w:abstractNumId w:val="36"/>
  </w:num>
  <w:num w:numId="31">
    <w:abstractNumId w:val="30"/>
  </w:num>
  <w:num w:numId="28">
    <w:abstractNumId w:val="27"/>
  </w:num>
  <w:num w:numId="9">
    <w:abstractNumId w:val="8"/>
  </w:num>
  <w:num w:numId="3">
    <w:abstractNumId w:val="2"/>
  </w:num>
  <w:num w:numId="1">
    <w:abstractNumId w:val="0"/>
  </w:num>
  <w:num w:numId="36">
    <w:abstractNumId w:val="35"/>
  </w:num>
  <w:num w:numId="35">
    <w:abstractNumId w:val="34"/>
  </w:num>
  <w:num w:numId="34">
    <w:abstractNumId w:val="33"/>
  </w:num>
  <w:num w:numId="33">
    <w:abstractNumId w:val="32"/>
  </w:num>
  <w:num w:numId="32">
    <w:abstractNumId w:val="31"/>
  </w:num>
  <w:num w:numId="30">
    <w:abstractNumId w:val="29"/>
  </w:num>
  <w:num w:numId="29">
    <w:abstractNumId w:val="28"/>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8">
    <w:abstractNumId w:val="7"/>
  </w:num>
  <w:num w:numId="7">
    <w:abstractNumId w:val="6"/>
  </w:num>
  <w:num w:numId="6">
    <w:abstractNumId w:val="5"/>
  </w:num>
  <w:num w:numId="5">
    <w:abstractNumId w:val="4"/>
  </w:num>
  <w:num w:numId="4">
    <w:abstractNumId w:val="3"/>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212"/>
      <w:ind w:left="100"/>
    </w:pPr>
    <w:rPr>
      <w:rFonts w:ascii="Times New Roman" w:hAnsi="Times New Roman" w:eastAsia="Times New Roman" w:cs="Times New Roman"/>
      <w:b/>
      <w:bCs/>
      <w:sz w:val="18"/>
      <w:szCs w:val="18"/>
    </w:rPr>
  </w:style>
  <w:style w:styleId="TOC2" w:type="paragraph">
    <w:name w:val="TOC 2"/>
    <w:basedOn w:val="Normal"/>
    <w:uiPriority w:val="1"/>
    <w:qFormat/>
    <w:pPr>
      <w:spacing w:before="10"/>
      <w:ind w:left="100"/>
    </w:pPr>
    <w:rPr>
      <w:rFonts w:ascii="Cambria" w:hAnsi="Cambria" w:eastAsia="Cambria" w:cs="Cambria"/>
      <w:sz w:val="18"/>
      <w:szCs w:val="18"/>
    </w:rPr>
  </w:style>
  <w:style w:styleId="BodyText" w:type="paragraph">
    <w:name w:val="Body Text"/>
    <w:basedOn w:val="Normal"/>
    <w:uiPriority w:val="1"/>
    <w:qFormat/>
    <w:pPr/>
    <w:rPr>
      <w:rFonts w:ascii="Cambria" w:hAnsi="Cambria" w:eastAsia="Cambria" w:cs="Cambria"/>
      <w:sz w:val="19"/>
      <w:szCs w:val="19"/>
    </w:rPr>
  </w:style>
  <w:style w:styleId="Heading1" w:type="paragraph">
    <w:name w:val="Heading 1"/>
    <w:basedOn w:val="Normal"/>
    <w:uiPriority w:val="1"/>
    <w:qFormat/>
    <w:pPr>
      <w:spacing w:before="58" w:line="400" w:lineRule="exact"/>
      <w:ind w:left="1135" w:right="1462"/>
      <w:outlineLvl w:val="1"/>
    </w:pPr>
    <w:rPr>
      <w:rFonts w:ascii="Times New Roman" w:hAnsi="Times New Roman" w:eastAsia="Times New Roman" w:cs="Times New Roman"/>
      <w:b/>
      <w:bCs/>
      <w:sz w:val="36"/>
      <w:szCs w:val="36"/>
    </w:rPr>
  </w:style>
  <w:style w:styleId="Heading2" w:type="paragraph">
    <w:name w:val="Heading 2"/>
    <w:basedOn w:val="Normal"/>
    <w:uiPriority w:val="1"/>
    <w:qFormat/>
    <w:pPr>
      <w:spacing w:line="340" w:lineRule="exact"/>
      <w:ind w:left="789" w:right="370"/>
      <w:jc w:val="center"/>
      <w:outlineLvl w:val="2"/>
    </w:pPr>
    <w:rPr>
      <w:rFonts w:ascii="Times New Roman" w:hAnsi="Times New Roman" w:eastAsia="Times New Roman" w:cs="Times New Roman"/>
      <w:b/>
      <w:bCs/>
      <w:sz w:val="30"/>
      <w:szCs w:val="30"/>
    </w:rPr>
  </w:style>
  <w:style w:styleId="Heading3" w:type="paragraph">
    <w:name w:val="Heading 3"/>
    <w:basedOn w:val="Normal"/>
    <w:uiPriority w:val="1"/>
    <w:qFormat/>
    <w:pPr>
      <w:spacing w:before="55"/>
      <w:ind w:left="789" w:right="1017"/>
      <w:jc w:val="center"/>
      <w:outlineLvl w:val="3"/>
    </w:pPr>
    <w:rPr>
      <w:rFonts w:ascii="Cambria" w:hAnsi="Cambria" w:eastAsia="Cambria" w:cs="Cambria"/>
      <w:sz w:val="26"/>
      <w:szCs w:val="26"/>
    </w:rPr>
  </w:style>
  <w:style w:styleId="Heading4" w:type="paragraph">
    <w:name w:val="Heading 4"/>
    <w:basedOn w:val="Normal"/>
    <w:uiPriority w:val="1"/>
    <w:qFormat/>
    <w:pPr>
      <w:spacing w:before="222"/>
      <w:ind w:left="321"/>
      <w:outlineLvl w:val="4"/>
    </w:pPr>
    <w:rPr>
      <w:rFonts w:ascii="Arial" w:hAnsi="Arial" w:eastAsia="Arial" w:cs="Arial"/>
      <w:b/>
      <w:bCs/>
      <w:sz w:val="24"/>
      <w:szCs w:val="24"/>
    </w:rPr>
  </w:style>
  <w:style w:styleId="Heading5" w:type="paragraph">
    <w:name w:val="Heading 5"/>
    <w:basedOn w:val="Normal"/>
    <w:uiPriority w:val="1"/>
    <w:qFormat/>
    <w:pPr>
      <w:spacing w:before="90"/>
      <w:ind w:left="619" w:hanging="60"/>
      <w:outlineLvl w:val="5"/>
    </w:pPr>
    <w:rPr>
      <w:rFonts w:ascii="Times New Roman" w:hAnsi="Times New Roman" w:eastAsia="Times New Roman" w:cs="Times New Roman"/>
      <w:sz w:val="24"/>
      <w:szCs w:val="24"/>
    </w:rPr>
  </w:style>
  <w:style w:styleId="Heading6" w:type="paragraph">
    <w:name w:val="Heading 6"/>
    <w:basedOn w:val="Normal"/>
    <w:uiPriority w:val="1"/>
    <w:qFormat/>
    <w:pPr>
      <w:ind w:left="101"/>
      <w:jc w:val="both"/>
      <w:outlineLvl w:val="6"/>
    </w:pPr>
    <w:rPr>
      <w:rFonts w:ascii="Times New Roman" w:hAnsi="Times New Roman" w:eastAsia="Times New Roman" w:cs="Times New Roman"/>
      <w:b/>
      <w:bCs/>
      <w:sz w:val="20"/>
      <w:szCs w:val="20"/>
    </w:rPr>
  </w:style>
  <w:style w:styleId="Heading7" w:type="paragraph">
    <w:name w:val="Heading 7"/>
    <w:basedOn w:val="Normal"/>
    <w:uiPriority w:val="1"/>
    <w:qFormat/>
    <w:pPr>
      <w:spacing w:line="219" w:lineRule="exact"/>
      <w:ind w:left="40"/>
      <w:outlineLvl w:val="7"/>
    </w:pPr>
    <w:rPr>
      <w:rFonts w:ascii="Cambria" w:hAnsi="Cambria" w:eastAsia="Cambria" w:cs="Cambria"/>
      <w:sz w:val="20"/>
      <w:szCs w:val="20"/>
    </w:rPr>
  </w:style>
  <w:style w:styleId="ListParagraph" w:type="paragraph">
    <w:name w:val="List Paragraph"/>
    <w:basedOn w:val="Normal"/>
    <w:uiPriority w:val="1"/>
    <w:qFormat/>
    <w:pPr>
      <w:spacing w:before="89"/>
      <w:ind w:left="330" w:right="118"/>
      <w:jc w:val="both"/>
    </w:pPr>
    <w:rPr>
      <w:rFonts w:ascii="Cambria" w:hAnsi="Cambria" w:eastAsia="Cambria" w:cs="Cambria"/>
    </w:rPr>
  </w:style>
  <w:style w:styleId="TableParagraph" w:type="paragraph">
    <w:name w:val="Table Paragraph"/>
    <w:basedOn w:val="Normal"/>
    <w:uiPriority w:val="1"/>
    <w:qFormat/>
    <w:pPr>
      <w:spacing w:before="16"/>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hyperlink" Target="http://www.biblioteca.clacso.edu.ar/" TargetMode="External"/><Relationship Id="rId34" Type="http://schemas.openxmlformats.org/officeDocument/2006/relationships/hyperlink" Target="mailto:clacsoinst@clacso.edu.ar" TargetMode="External"/><Relationship Id="rId35" Type="http://schemas.openxmlformats.org/officeDocument/2006/relationships/hyperlink" Target="http://www.clacso.org/" TargetMode="External"/><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header" Target="header1.xml"/><Relationship Id="rId39" Type="http://schemas.openxmlformats.org/officeDocument/2006/relationships/footer" Target="footer1.xml"/><Relationship Id="rId40" Type="http://schemas.openxmlformats.org/officeDocument/2006/relationships/footer" Target="footer2.xml"/><Relationship Id="rId41" Type="http://schemas.openxmlformats.org/officeDocument/2006/relationships/header" Target="header2.xml"/><Relationship Id="rId42" Type="http://schemas.openxmlformats.org/officeDocument/2006/relationships/header" Target="header3.xml"/><Relationship Id="rId43" Type="http://schemas.openxmlformats.org/officeDocument/2006/relationships/footer" Target="footer3.xml"/><Relationship Id="rId44" Type="http://schemas.openxmlformats.org/officeDocument/2006/relationships/footer" Target="footer4.xml"/><Relationship Id="rId45" Type="http://schemas.openxmlformats.org/officeDocument/2006/relationships/header" Target="header4.xml"/><Relationship Id="rId46" Type="http://schemas.openxmlformats.org/officeDocument/2006/relationships/header" Target="header5.xml"/><Relationship Id="rId47" Type="http://schemas.openxmlformats.org/officeDocument/2006/relationships/footer" Target="footer5.xml"/><Relationship Id="rId48" Type="http://schemas.openxmlformats.org/officeDocument/2006/relationships/header" Target="header6.xml"/><Relationship Id="rId49" Type="http://schemas.openxmlformats.org/officeDocument/2006/relationships/footer" Target="footer6.xml"/><Relationship Id="rId50" Type="http://schemas.openxmlformats.org/officeDocument/2006/relationships/header" Target="header7.xml"/><Relationship Id="rId51" Type="http://schemas.openxmlformats.org/officeDocument/2006/relationships/header" Target="header8.xml"/><Relationship Id="rId52" Type="http://schemas.openxmlformats.org/officeDocument/2006/relationships/footer" Target="footer7.xml"/><Relationship Id="rId53" Type="http://schemas.openxmlformats.org/officeDocument/2006/relationships/footer" Target="footer8.xml"/><Relationship Id="rId54" Type="http://schemas.openxmlformats.org/officeDocument/2006/relationships/footer" Target="footer9.xml"/><Relationship Id="rId55" Type="http://schemas.openxmlformats.org/officeDocument/2006/relationships/footer" Target="footer10.xml"/><Relationship Id="rId56" Type="http://schemas.openxmlformats.org/officeDocument/2006/relationships/footer" Target="footer11.xml"/><Relationship Id="rId57" Type="http://schemas.openxmlformats.org/officeDocument/2006/relationships/header" Target="header9.xml"/><Relationship Id="rId58" Type="http://schemas.openxmlformats.org/officeDocument/2006/relationships/footer" Target="footer12.xml"/><Relationship Id="rId59" Type="http://schemas.openxmlformats.org/officeDocument/2006/relationships/header" Target="header10.xml"/><Relationship Id="rId60" Type="http://schemas.openxmlformats.org/officeDocument/2006/relationships/header" Target="header11.xml"/><Relationship Id="rId61" Type="http://schemas.openxmlformats.org/officeDocument/2006/relationships/footer" Target="footer13.xml"/><Relationship Id="rId62" Type="http://schemas.openxmlformats.org/officeDocument/2006/relationships/footer" Target="footer14.xml"/><Relationship Id="rId63" Type="http://schemas.openxmlformats.org/officeDocument/2006/relationships/footer" Target="footer15.xml"/><Relationship Id="rId64" Type="http://schemas.openxmlformats.org/officeDocument/2006/relationships/footer" Target="footer16.xml"/><Relationship Id="rId65" Type="http://schemas.openxmlformats.org/officeDocument/2006/relationships/footer" Target="footer17.xml"/><Relationship Id="rId66" Type="http://schemas.openxmlformats.org/officeDocument/2006/relationships/footer" Target="footer18.xml"/><Relationship Id="rId67" Type="http://schemas.openxmlformats.org/officeDocument/2006/relationships/header" Target="header12.xml"/><Relationship Id="rId68" Type="http://schemas.openxmlformats.org/officeDocument/2006/relationships/footer" Target="footer19.xml"/><Relationship Id="rId69" Type="http://schemas.openxmlformats.org/officeDocument/2006/relationships/header" Target="header13.xml"/><Relationship Id="rId70" Type="http://schemas.openxmlformats.org/officeDocument/2006/relationships/footer" Target="footer20.xml"/><Relationship Id="rId71" Type="http://schemas.openxmlformats.org/officeDocument/2006/relationships/header" Target="header14.xml"/><Relationship Id="rId72" Type="http://schemas.openxmlformats.org/officeDocument/2006/relationships/footer" Target="footer21.xml"/><Relationship Id="rId73" Type="http://schemas.openxmlformats.org/officeDocument/2006/relationships/header" Target="header15.xml"/><Relationship Id="rId74" Type="http://schemas.openxmlformats.org/officeDocument/2006/relationships/header" Target="header16.xml"/><Relationship Id="rId75" Type="http://schemas.openxmlformats.org/officeDocument/2006/relationships/footer" Target="footer22.xml"/><Relationship Id="rId76" Type="http://schemas.openxmlformats.org/officeDocument/2006/relationships/footer" Target="footer23.xml"/><Relationship Id="rId77" Type="http://schemas.openxmlformats.org/officeDocument/2006/relationships/footer" Target="footer24.xml"/><Relationship Id="rId78" Type="http://schemas.openxmlformats.org/officeDocument/2006/relationships/footer" Target="footer25.xml"/><Relationship Id="rId79" Type="http://schemas.openxmlformats.org/officeDocument/2006/relationships/hyperlink" Target="http://www.ggdc.net/maddison/maddison-" TargetMode="External"/><Relationship Id="rId80" Type="http://schemas.openxmlformats.org/officeDocument/2006/relationships/hyperlink" Target="http://www.ggdc.net/maddison/maddison-project/home.htm" TargetMode="External"/><Relationship Id="rId81" Type="http://schemas.openxmlformats.org/officeDocument/2006/relationships/hyperlink" Target="http://www.federalreserve.gov/econresdata/releases/mortoutstand/current.htm" TargetMode="External"/><Relationship Id="rId82" Type="http://schemas.openxmlformats.org/officeDocument/2006/relationships/footer" Target="footer26.xml"/><Relationship Id="rId83" Type="http://schemas.openxmlformats.org/officeDocument/2006/relationships/footer" Target="footer27.xml"/><Relationship Id="rId84" Type="http://schemas.openxmlformats.org/officeDocument/2006/relationships/hyperlink" Target="http://epp.eurostat.ec.europa.eu/portal/page/portal/eurostat/home/" TargetMode="External"/><Relationship Id="rId85" Type="http://schemas.openxmlformats.org/officeDocument/2006/relationships/footer" Target="footer28.xml"/><Relationship Id="rId86" Type="http://schemas.openxmlformats.org/officeDocument/2006/relationships/footer" Target="footer29.xml"/><Relationship Id="rId87" Type="http://schemas.openxmlformats.org/officeDocument/2006/relationships/footer" Target="footer30.xml"/><Relationship Id="rId88" Type="http://schemas.openxmlformats.org/officeDocument/2006/relationships/footer" Target="footer31.xml"/><Relationship Id="rId89" Type="http://schemas.openxmlformats.org/officeDocument/2006/relationships/hyperlink" Target="http://www.southgov.net/" TargetMode="External"/><Relationship Id="rId90" Type="http://schemas.openxmlformats.org/officeDocument/2006/relationships/hyperlink" Target="http://unctad.org/en/pages/diaE/World%20investment%20report/" TargetMode="External"/><Relationship Id="rId91" Type="http://schemas.openxmlformats.org/officeDocument/2006/relationships/footer" Target="footer32.xml"/><Relationship Id="rId92" Type="http://schemas.openxmlformats.org/officeDocument/2006/relationships/footer" Target="footer33.xml"/><Relationship Id="rId93" Type="http://schemas.openxmlformats.org/officeDocument/2006/relationships/footer" Target="footer34.xml"/><Relationship Id="rId94" Type="http://schemas.openxmlformats.org/officeDocument/2006/relationships/footer" Target="footer35.xml"/><Relationship Id="rId95" Type="http://schemas.openxmlformats.org/officeDocument/2006/relationships/image" Target="media/image31.png"/><Relationship Id="rId96" Type="http://schemas.openxmlformats.org/officeDocument/2006/relationships/image" Target="media/image32.png"/><Relationship Id="rId97" Type="http://schemas.openxmlformats.org/officeDocument/2006/relationships/image" Target="media/image33.png"/><Relationship Id="rId98" Type="http://schemas.openxmlformats.org/officeDocument/2006/relationships/header" Target="header17.xml"/><Relationship Id="rId99" Type="http://schemas.openxmlformats.org/officeDocument/2006/relationships/header" Target="header18.xml"/><Relationship Id="rId100" Type="http://schemas.openxmlformats.org/officeDocument/2006/relationships/image" Target="media/image34.png"/><Relationship Id="rId101" Type="http://schemas.openxmlformats.org/officeDocument/2006/relationships/image" Target="media/image35.png"/><Relationship Id="rId102" Type="http://schemas.openxmlformats.org/officeDocument/2006/relationships/image" Target="media/image36.png"/><Relationship Id="rId103" Type="http://schemas.openxmlformats.org/officeDocument/2006/relationships/image" Target="media/image37.png"/><Relationship Id="rId104" Type="http://schemas.openxmlformats.org/officeDocument/2006/relationships/header" Target="header19.xml"/><Relationship Id="rId105" Type="http://schemas.openxmlformats.org/officeDocument/2006/relationships/header" Target="header20.xml"/><Relationship Id="rId106" Type="http://schemas.openxmlformats.org/officeDocument/2006/relationships/hyperlink" Target="http://goo.gl/Fy8ztF" TargetMode="External"/><Relationship Id="rId107" Type="http://schemas.openxmlformats.org/officeDocument/2006/relationships/hyperlink" Target="http://www.une.edu/" TargetMode="External"/><Relationship Id="rId108" Type="http://schemas.openxmlformats.org/officeDocument/2006/relationships/hyperlink" Target="http://goo.gl/" TargetMode="External"/><Relationship Id="rId109" Type="http://schemas.openxmlformats.org/officeDocument/2006/relationships/header" Target="header21.xml"/><Relationship Id="rId110" Type="http://schemas.openxmlformats.org/officeDocument/2006/relationships/footer" Target="footer36.xml"/><Relationship Id="rId111" Type="http://schemas.openxmlformats.org/officeDocument/2006/relationships/header" Target="header22.xml"/><Relationship Id="rId112" Type="http://schemas.openxmlformats.org/officeDocument/2006/relationships/header" Target="header23.xml"/><Relationship Id="rId113" Type="http://schemas.openxmlformats.org/officeDocument/2006/relationships/footer" Target="footer37.xml"/><Relationship Id="rId114" Type="http://schemas.openxmlformats.org/officeDocument/2006/relationships/footer" Target="footer38.xml"/><Relationship Id="rId115" Type="http://schemas.openxmlformats.org/officeDocument/2006/relationships/footer" Target="footer39.xml"/><Relationship Id="rId116" Type="http://schemas.openxmlformats.org/officeDocument/2006/relationships/footer" Target="footer40.xml"/><Relationship Id="rId117" Type="http://schemas.openxmlformats.org/officeDocument/2006/relationships/footer" Target="footer41.xml"/><Relationship Id="rId118" Type="http://schemas.openxmlformats.org/officeDocument/2006/relationships/footer" Target="footer42.xml"/><Relationship Id="rId119" Type="http://schemas.openxmlformats.org/officeDocument/2006/relationships/footer" Target="footer43.xml"/><Relationship Id="rId120" Type="http://schemas.openxmlformats.org/officeDocument/2006/relationships/footer" Target="footer44.xml"/><Relationship Id="rId121" Type="http://schemas.openxmlformats.org/officeDocument/2006/relationships/hyperlink" Target="http://goo.gl/vzdr18" TargetMode="External"/><Relationship Id="rId122" Type="http://schemas.openxmlformats.org/officeDocument/2006/relationships/hyperlink" Target="http://www.sinpermiso.info/" TargetMode="External"/><Relationship Id="rId123" Type="http://schemas.openxmlformats.org/officeDocument/2006/relationships/hyperlink" Target="http://goo.gl/c0qi9l" TargetMode="External"/><Relationship Id="rId124" Type="http://schemas.openxmlformats.org/officeDocument/2006/relationships/header" Target="header24.xml"/><Relationship Id="rId125" Type="http://schemas.openxmlformats.org/officeDocument/2006/relationships/footer" Target="footer45.xml"/><Relationship Id="rId126" Type="http://schemas.openxmlformats.org/officeDocument/2006/relationships/header" Target="header25.xml"/><Relationship Id="rId127" Type="http://schemas.openxmlformats.org/officeDocument/2006/relationships/header" Target="header26.xml"/><Relationship Id="rId128" Type="http://schemas.openxmlformats.org/officeDocument/2006/relationships/footer" Target="footer46.xml"/><Relationship Id="rId129" Type="http://schemas.openxmlformats.org/officeDocument/2006/relationships/footer" Target="footer47.xml"/><Relationship Id="rId130" Type="http://schemas.openxmlformats.org/officeDocument/2006/relationships/hyperlink" Target="http://www.elpais.com/" TargetMode="External"/><Relationship Id="rId131" Type="http://schemas.openxmlformats.org/officeDocument/2006/relationships/footer" Target="footer48.xml"/><Relationship Id="rId132" Type="http://schemas.openxmlformats.org/officeDocument/2006/relationships/footer" Target="footer49.xml"/><Relationship Id="rId133" Type="http://schemas.openxmlformats.org/officeDocument/2006/relationships/hyperlink" Target="http://www.spanish.peopledaily.com.cn/" TargetMode="External"/><Relationship Id="rId134" Type="http://schemas.openxmlformats.org/officeDocument/2006/relationships/hyperlink" Target="http://www.spanish.peopledaily/" TargetMode="External"/><Relationship Id="rId135" Type="http://schemas.openxmlformats.org/officeDocument/2006/relationships/hyperlink" Target="http://www.spanish.china.org.cn/" TargetMode="External"/><Relationship Id="rId136" Type="http://schemas.openxmlformats.org/officeDocument/2006/relationships/hyperlink" Target="http://www.spanish.peopleedaily.com/" TargetMode="External"/><Relationship Id="rId137" Type="http://schemas.openxmlformats.org/officeDocument/2006/relationships/footer" Target="footer50.xml"/><Relationship Id="rId138" Type="http://schemas.openxmlformats.org/officeDocument/2006/relationships/footer" Target="footer51.xml"/><Relationship Id="rId139" Type="http://schemas.openxmlformats.org/officeDocument/2006/relationships/hyperlink" Target="http://www/" TargetMode="External"/><Relationship Id="rId140" Type="http://schemas.openxmlformats.org/officeDocument/2006/relationships/hyperlink" Target="http://www.espa&#241;ol.cntv.cn/" TargetMode="External"/><Relationship Id="rId141" Type="http://schemas.openxmlformats.org/officeDocument/2006/relationships/hyperlink" Target="http://www.larouchista.com/" TargetMode="External"/><Relationship Id="rId142" Type="http://schemas.openxmlformats.org/officeDocument/2006/relationships/hyperlink" Target="http://www.prensa.com/" TargetMode="External"/><Relationship Id="rId143" Type="http://schemas.openxmlformats.org/officeDocument/2006/relationships/hyperlink" Target="http://www.spanish.people-/" TargetMode="External"/><Relationship Id="rId144" Type="http://schemas.openxmlformats.org/officeDocument/2006/relationships/footer" Target="footer52.xml"/><Relationship Id="rId145" Type="http://schemas.openxmlformats.org/officeDocument/2006/relationships/footer" Target="footer53.xml"/><Relationship Id="rId146" Type="http://schemas.openxmlformats.org/officeDocument/2006/relationships/hyperlink" Target="http://www.world.kbs.co.kr/" TargetMode="External"/><Relationship Id="rId147" Type="http://schemas.openxmlformats.org/officeDocument/2006/relationships/hyperlink" Target="http://www.politica-china.org/" TargetMode="External"/><Relationship Id="rId148" Type="http://schemas.openxmlformats.org/officeDocument/2006/relationships/hyperlink" Target="http://www.actualidad.rt.com/" TargetMode="External"/><Relationship Id="rId149" Type="http://schemas.openxmlformats.org/officeDocument/2006/relationships/footer" Target="footer54.xml"/><Relationship Id="rId150" Type="http://schemas.openxmlformats.org/officeDocument/2006/relationships/footer" Target="footer55.xml"/><Relationship Id="rId151" Type="http://schemas.openxmlformats.org/officeDocument/2006/relationships/image" Target="media/image38.png"/><Relationship Id="rId152" Type="http://schemas.openxmlformats.org/officeDocument/2006/relationships/hyperlink" Target="http://goo.gl/7hQHfO" TargetMode="External"/><Relationship Id="rId153" Type="http://schemas.openxmlformats.org/officeDocument/2006/relationships/image" Target="media/image39.png"/><Relationship Id="rId154" Type="http://schemas.openxmlformats.org/officeDocument/2006/relationships/hyperlink" Target="http://www.reingex.com/Master-Negocios-Asia-Acuerdos.shtml" TargetMode="External"/><Relationship Id="rId155" Type="http://schemas.openxmlformats.org/officeDocument/2006/relationships/footer" Target="footer56.xml"/><Relationship Id="rId156" Type="http://schemas.openxmlformats.org/officeDocument/2006/relationships/footer" Target="footer57.xml"/><Relationship Id="rId157" Type="http://schemas.openxmlformats.org/officeDocument/2006/relationships/hyperlink" Target="http://goo.gl/Cqdgi4" TargetMode="External"/><Relationship Id="rId158" Type="http://schemas.openxmlformats.org/officeDocument/2006/relationships/hyperlink" Target="http://goo.gl/CiiWW7" TargetMode="External"/><Relationship Id="rId159" Type="http://schemas.openxmlformats.org/officeDocument/2006/relationships/hyperlink" Target="http://goo.gl/eyu1pv" TargetMode="External"/><Relationship Id="rId160" Type="http://schemas.openxmlformats.org/officeDocument/2006/relationships/hyperlink" Target="http://goo.gl/GoPNku" TargetMode="External"/><Relationship Id="rId161" Type="http://schemas.openxmlformats.org/officeDocument/2006/relationships/hyperlink" Target="http://goo.gl/Jcn2F0" TargetMode="External"/><Relationship Id="rId162" Type="http://schemas.openxmlformats.org/officeDocument/2006/relationships/hyperlink" Target="http://goo.gl/xmxut2" TargetMode="External"/><Relationship Id="rId163" Type="http://schemas.openxmlformats.org/officeDocument/2006/relationships/hyperlink" Target="http://goo.gl/ZjtNVm" TargetMode="External"/><Relationship Id="rId164" Type="http://schemas.openxmlformats.org/officeDocument/2006/relationships/hyperlink" Target="http://goo.gl/9blbHl" TargetMode="External"/><Relationship Id="rId165" Type="http://schemas.openxmlformats.org/officeDocument/2006/relationships/hyperlink" Target="http://goo.gl/rjrptF" TargetMode="External"/><Relationship Id="rId166" Type="http://schemas.openxmlformats.org/officeDocument/2006/relationships/hyperlink" Target="http://goo.gl/ifCuxa" TargetMode="External"/><Relationship Id="rId167" Type="http://schemas.openxmlformats.org/officeDocument/2006/relationships/hyperlink" Target="http://goo.gl/6ntxCK" TargetMode="External"/><Relationship Id="rId168" Type="http://schemas.openxmlformats.org/officeDocument/2006/relationships/hyperlink" Target="http://goo.gl/gklkNu" TargetMode="External"/><Relationship Id="rId169" Type="http://schemas.openxmlformats.org/officeDocument/2006/relationships/hyperlink" Target="http://goo.gl/pzPhCs" TargetMode="External"/><Relationship Id="rId170" Type="http://schemas.openxmlformats.org/officeDocument/2006/relationships/hyperlink" Target="http://goo/" TargetMode="External"/><Relationship Id="rId171" Type="http://schemas.openxmlformats.org/officeDocument/2006/relationships/hyperlink" Target="http://goo.gl/eeCV4P" TargetMode="External"/><Relationship Id="rId172" Type="http://schemas.openxmlformats.org/officeDocument/2006/relationships/hyperlink" Target="http://goo.gl/x7ddWl" TargetMode="External"/><Relationship Id="rId173" Type="http://schemas.openxmlformats.org/officeDocument/2006/relationships/hyperlink" Target="http://goo.gl/sqsVzk" TargetMode="External"/><Relationship Id="rId174" Type="http://schemas.openxmlformats.org/officeDocument/2006/relationships/hyperlink" Target="http://goo.gl/6drWmh" TargetMode="External"/><Relationship Id="rId175" Type="http://schemas.openxmlformats.org/officeDocument/2006/relationships/hyperlink" Target="http://goo.gl/ijjopu" TargetMode="External"/><Relationship Id="rId176" Type="http://schemas.openxmlformats.org/officeDocument/2006/relationships/hyperlink" Target="http://goo.gl/JiakF9" TargetMode="External"/><Relationship Id="rId177" Type="http://schemas.openxmlformats.org/officeDocument/2006/relationships/hyperlink" Target="http://goo.gl/MxuE8J" TargetMode="External"/><Relationship Id="rId178" Type="http://schemas.openxmlformats.org/officeDocument/2006/relationships/hyperlink" Target="http://goo.gl/jQyhcb" TargetMode="External"/><Relationship Id="rId179" Type="http://schemas.openxmlformats.org/officeDocument/2006/relationships/hyperlink" Target="http://goo.gl/auFFW1" TargetMode="External"/><Relationship Id="rId180" Type="http://schemas.openxmlformats.org/officeDocument/2006/relationships/header" Target="header27.xml"/><Relationship Id="rId181" Type="http://schemas.openxmlformats.org/officeDocument/2006/relationships/footer" Target="footer58.xml"/><Relationship Id="rId182" Type="http://schemas.openxmlformats.org/officeDocument/2006/relationships/header" Target="header28.xml"/><Relationship Id="rId183" Type="http://schemas.openxmlformats.org/officeDocument/2006/relationships/header" Target="header29.xml"/><Relationship Id="rId184" Type="http://schemas.openxmlformats.org/officeDocument/2006/relationships/footer" Target="footer59.xml"/><Relationship Id="rId185" Type="http://schemas.openxmlformats.org/officeDocument/2006/relationships/footer" Target="footer60.xml"/><Relationship Id="rId186" Type="http://schemas.openxmlformats.org/officeDocument/2006/relationships/footer" Target="footer61.xml"/><Relationship Id="rId187" Type="http://schemas.openxmlformats.org/officeDocument/2006/relationships/footer" Target="footer62.xml"/><Relationship Id="rId188" Type="http://schemas.openxmlformats.org/officeDocument/2006/relationships/footer" Target="footer63.xml"/><Relationship Id="rId189" Type="http://schemas.openxmlformats.org/officeDocument/2006/relationships/footer" Target="footer64.xml"/><Relationship Id="rId190" Type="http://schemas.openxmlformats.org/officeDocument/2006/relationships/footer" Target="footer65.xml"/><Relationship Id="rId191" Type="http://schemas.openxmlformats.org/officeDocument/2006/relationships/footer" Target="footer66.xml"/><Relationship Id="rId192" Type="http://schemas.openxmlformats.org/officeDocument/2006/relationships/header" Target="header30.xml"/><Relationship Id="rId193" Type="http://schemas.openxmlformats.org/officeDocument/2006/relationships/footer" Target="footer67.xml"/><Relationship Id="rId194" Type="http://schemas.openxmlformats.org/officeDocument/2006/relationships/hyperlink" Target="http://www.lahaine.org/katz" TargetMode="External"/><Relationship Id="rId195" Type="http://schemas.openxmlformats.org/officeDocument/2006/relationships/header" Target="header31.xml"/><Relationship Id="rId196" Type="http://schemas.openxmlformats.org/officeDocument/2006/relationships/header" Target="header32.xml"/><Relationship Id="rId197" Type="http://schemas.openxmlformats.org/officeDocument/2006/relationships/footer" Target="footer68.xml"/><Relationship Id="rId198" Type="http://schemas.openxmlformats.org/officeDocument/2006/relationships/footer" Target="footer69.xml"/><Relationship Id="rId199" Type="http://schemas.openxmlformats.org/officeDocument/2006/relationships/footer" Target="footer70.xml"/><Relationship Id="rId200" Type="http://schemas.openxmlformats.org/officeDocument/2006/relationships/footer" Target="footer71.xml"/><Relationship Id="rId201" Type="http://schemas.openxmlformats.org/officeDocument/2006/relationships/footer" Target="footer72.xml"/><Relationship Id="rId202" Type="http://schemas.openxmlformats.org/officeDocument/2006/relationships/footer" Target="footer73.xml"/><Relationship Id="rId203" Type="http://schemas.openxmlformats.org/officeDocument/2006/relationships/hyperlink" Target="http://www.other-news.info/31/3" TargetMode="External"/><Relationship Id="rId204" Type="http://schemas.openxmlformats.org/officeDocument/2006/relationships/hyperlink" Target="http://www.alainet.org/active" TargetMode="External"/><Relationship Id="rId205" Type="http://schemas.openxmlformats.org/officeDocument/2006/relationships/hyperlink" Target="http://www.voltairenet.org/" TargetMode="External"/><Relationship Id="rId206" Type="http://schemas.openxmlformats.org/officeDocument/2006/relationships/hyperlink" Target="http://www.albatv.org/" TargetMode="External"/><Relationship Id="rId207" Type="http://schemas.openxmlformats.org/officeDocument/2006/relationships/hyperlink" Target="http://www.vnavarro.org/" TargetMode="External"/><Relationship Id="rId208" Type="http://schemas.openxmlformats.org/officeDocument/2006/relationships/footer" Target="footer74.xml"/><Relationship Id="rId209" Type="http://schemas.openxmlformats.org/officeDocument/2006/relationships/hyperlink" Target="http://www.contralinea.info/" TargetMode="External"/><Relationship Id="rId210" Type="http://schemas.openxmlformats.org/officeDocument/2006/relationships/hyperlink" Target="http://www.elnuevoherald.com/" TargetMode="External"/><Relationship Id="rId211" Type="http://schemas.openxmlformats.org/officeDocument/2006/relationships/hyperlink" Target="http://www.worldtruth.org/" TargetMode="External"/><Relationship Id="rId212" Type="http://schemas.openxmlformats.org/officeDocument/2006/relationships/hyperlink" Target="http://www.ambito.com/" TargetMode="External"/><Relationship Id="rId213" Type="http://schemas.openxmlformats.org/officeDocument/2006/relationships/hyperlink" Target="http://www.elpais.com/elpais" TargetMode="External"/><Relationship Id="rId214" Type="http://schemas.openxmlformats.org/officeDocument/2006/relationships/header" Target="header33.xml"/><Relationship Id="rId215" Type="http://schemas.openxmlformats.org/officeDocument/2006/relationships/footer" Target="footer75.xml"/><Relationship Id="rId216" Type="http://schemas.openxmlformats.org/officeDocument/2006/relationships/header" Target="header34.xml"/><Relationship Id="rId217" Type="http://schemas.openxmlformats.org/officeDocument/2006/relationships/footer" Target="footer76.xml"/><Relationship Id="rId218" Type="http://schemas.openxmlformats.org/officeDocument/2006/relationships/header" Target="header35.xml"/><Relationship Id="rId219" Type="http://schemas.openxmlformats.org/officeDocument/2006/relationships/footer" Target="footer77.xml"/><Relationship Id="rId220" Type="http://schemas.openxmlformats.org/officeDocument/2006/relationships/header" Target="header36.xml"/><Relationship Id="rId221" Type="http://schemas.openxmlformats.org/officeDocument/2006/relationships/header" Target="header37.xml"/><Relationship Id="rId222" Type="http://schemas.openxmlformats.org/officeDocument/2006/relationships/footer" Target="footer78.xml"/><Relationship Id="rId223" Type="http://schemas.openxmlformats.org/officeDocument/2006/relationships/footer" Target="footer79.xml"/><Relationship Id="rId224" Type="http://schemas.openxmlformats.org/officeDocument/2006/relationships/footer" Target="footer80.xml"/><Relationship Id="rId225" Type="http://schemas.openxmlformats.org/officeDocument/2006/relationships/footer" Target="footer81.xml"/><Relationship Id="rId226" Type="http://schemas.openxmlformats.org/officeDocument/2006/relationships/image" Target="media/image40.png"/><Relationship Id="rId227" Type="http://schemas.openxmlformats.org/officeDocument/2006/relationships/footer" Target="footer82.xml"/><Relationship Id="rId228" Type="http://schemas.openxmlformats.org/officeDocument/2006/relationships/footer" Target="footer83.xml"/><Relationship Id="rId229" Type="http://schemas.openxmlformats.org/officeDocument/2006/relationships/image" Target="media/image41.png"/><Relationship Id="rId230" Type="http://schemas.openxmlformats.org/officeDocument/2006/relationships/image" Target="media/image42.png"/><Relationship Id="rId231" Type="http://schemas.openxmlformats.org/officeDocument/2006/relationships/image" Target="media/image43.png"/><Relationship Id="rId232" Type="http://schemas.openxmlformats.org/officeDocument/2006/relationships/footer" Target="footer84.xml"/><Relationship Id="rId233" Type="http://schemas.openxmlformats.org/officeDocument/2006/relationships/footer" Target="footer85.xml"/><Relationship Id="rId234" Type="http://schemas.openxmlformats.org/officeDocument/2006/relationships/hyperlink" Target="http://www.vientosur.info/spip.php?article7843" TargetMode="External"/><Relationship Id="rId235" Type="http://schemas.openxmlformats.org/officeDocument/2006/relationships/header" Target="header38.xml"/><Relationship Id="rId236" Type="http://schemas.openxmlformats.org/officeDocument/2006/relationships/footer" Target="footer86.xml"/><Relationship Id="rId237" Type="http://schemas.openxmlformats.org/officeDocument/2006/relationships/header" Target="header39.xml"/><Relationship Id="rId238" Type="http://schemas.openxmlformats.org/officeDocument/2006/relationships/footer" Target="footer87.xml"/><Relationship Id="rId239" Type="http://schemas.openxmlformats.org/officeDocument/2006/relationships/header" Target="header40.xml"/><Relationship Id="rId240" Type="http://schemas.openxmlformats.org/officeDocument/2006/relationships/header" Target="header41.xml"/><Relationship Id="rId241" Type="http://schemas.openxmlformats.org/officeDocument/2006/relationships/footer" Target="footer88.xml"/><Relationship Id="rId242" Type="http://schemas.openxmlformats.org/officeDocument/2006/relationships/footer" Target="footer89.xml"/><Relationship Id="rId243" Type="http://schemas.openxmlformats.org/officeDocument/2006/relationships/footer" Target="footer90.xml"/><Relationship Id="rId244" Type="http://schemas.openxmlformats.org/officeDocument/2006/relationships/footer" Target="footer91.xml"/><Relationship Id="rId245" Type="http://schemas.openxmlformats.org/officeDocument/2006/relationships/footer" Target="footer92.xml"/><Relationship Id="rId246" Type="http://schemas.openxmlformats.org/officeDocument/2006/relationships/footer" Target="footer93.xml"/><Relationship Id="rId247" Type="http://schemas.openxmlformats.org/officeDocument/2006/relationships/footer" Target="footer94.xml"/><Relationship Id="rId248" Type="http://schemas.openxmlformats.org/officeDocument/2006/relationships/footer" Target="footer95.xml"/><Relationship Id="rId249" Type="http://schemas.openxmlformats.org/officeDocument/2006/relationships/footer" Target="footer96.xml"/><Relationship Id="rId250" Type="http://schemas.openxmlformats.org/officeDocument/2006/relationships/footer" Target="footer97.xml"/><Relationship Id="rId251" Type="http://schemas.openxmlformats.org/officeDocument/2006/relationships/footer" Target="footer98.xml"/><Relationship Id="rId252" Type="http://schemas.openxmlformats.org/officeDocument/2006/relationships/footer" Target="footer99.xml"/><Relationship Id="rId253" Type="http://schemas.openxmlformats.org/officeDocument/2006/relationships/footer" Target="footer100.xml"/><Relationship Id="rId254" Type="http://schemas.openxmlformats.org/officeDocument/2006/relationships/footer" Target="footer101.xml"/><Relationship Id="rId255" Type="http://schemas.openxmlformats.org/officeDocument/2006/relationships/hyperlink" Target="http://www.sinpermiso.170907/" TargetMode="External"/><Relationship Id="rId256" Type="http://schemas.openxmlformats.org/officeDocument/2006/relationships/hyperlink" Target="http://www.nature.com/nature/journal/v455/n7212/full/455431a" TargetMode="External"/><Relationship Id="rId257" Type="http://schemas.openxmlformats.org/officeDocument/2006/relationships/header" Target="header42.xml"/><Relationship Id="rId258" Type="http://schemas.openxmlformats.org/officeDocument/2006/relationships/footer" Target="footer102.xml"/><Relationship Id="rId259" Type="http://schemas.openxmlformats.org/officeDocument/2006/relationships/header" Target="header43.xml"/><Relationship Id="rId260" Type="http://schemas.openxmlformats.org/officeDocument/2006/relationships/footer" Target="footer103.xml"/><Relationship Id="rId261" Type="http://schemas.openxmlformats.org/officeDocument/2006/relationships/header" Target="header44.xml"/><Relationship Id="rId262" Type="http://schemas.openxmlformats.org/officeDocument/2006/relationships/header" Target="header45.xml"/><Relationship Id="rId263" Type="http://schemas.openxmlformats.org/officeDocument/2006/relationships/footer" Target="footer104.xml"/><Relationship Id="rId264" Type="http://schemas.openxmlformats.org/officeDocument/2006/relationships/footer" Target="footer105.xml"/><Relationship Id="rId265" Type="http://schemas.openxmlformats.org/officeDocument/2006/relationships/footer" Target="footer106.xml"/><Relationship Id="rId266" Type="http://schemas.openxmlformats.org/officeDocument/2006/relationships/footer" Target="footer107.xml"/><Relationship Id="rId267" Type="http://schemas.openxmlformats.org/officeDocument/2006/relationships/footer" Target="footer108.xml"/><Relationship Id="rId268" Type="http://schemas.openxmlformats.org/officeDocument/2006/relationships/footer" Target="footer109.xml"/><Relationship Id="rId269" Type="http://schemas.openxmlformats.org/officeDocument/2006/relationships/image" Target="media/image44.png"/><Relationship Id="rId270" Type="http://schemas.openxmlformats.org/officeDocument/2006/relationships/image" Target="media/image45.png"/><Relationship Id="rId271" Type="http://schemas.openxmlformats.org/officeDocument/2006/relationships/image" Target="media/image46.png"/><Relationship Id="rId272" Type="http://schemas.openxmlformats.org/officeDocument/2006/relationships/image" Target="media/image47.png"/><Relationship Id="rId273" Type="http://schemas.openxmlformats.org/officeDocument/2006/relationships/image" Target="media/image48.png"/><Relationship Id="rId274" Type="http://schemas.openxmlformats.org/officeDocument/2006/relationships/image" Target="media/image49.png"/><Relationship Id="rId275" Type="http://schemas.openxmlformats.org/officeDocument/2006/relationships/image" Target="media/image50.png"/><Relationship Id="rId276" Type="http://schemas.openxmlformats.org/officeDocument/2006/relationships/footer" Target="footer110.xml"/><Relationship Id="rId277" Type="http://schemas.openxmlformats.org/officeDocument/2006/relationships/footer" Target="footer111.xml"/><Relationship Id="rId278" Type="http://schemas.openxmlformats.org/officeDocument/2006/relationships/image" Target="media/image51.png"/><Relationship Id="rId279" Type="http://schemas.openxmlformats.org/officeDocument/2006/relationships/image" Target="media/image52.png"/><Relationship Id="rId280" Type="http://schemas.openxmlformats.org/officeDocument/2006/relationships/image" Target="media/image53.png"/><Relationship Id="rId281" Type="http://schemas.openxmlformats.org/officeDocument/2006/relationships/image" Target="media/image54.png"/><Relationship Id="rId282" Type="http://schemas.openxmlformats.org/officeDocument/2006/relationships/image" Target="media/image55.png"/><Relationship Id="rId283" Type="http://schemas.openxmlformats.org/officeDocument/2006/relationships/image" Target="media/image56.png"/><Relationship Id="rId284" Type="http://schemas.openxmlformats.org/officeDocument/2006/relationships/image" Target="media/image57.png"/><Relationship Id="rId285" Type="http://schemas.openxmlformats.org/officeDocument/2006/relationships/image" Target="media/image58.png"/><Relationship Id="rId286" Type="http://schemas.openxmlformats.org/officeDocument/2006/relationships/image" Target="media/image59.png"/><Relationship Id="rId287" Type="http://schemas.openxmlformats.org/officeDocument/2006/relationships/image" Target="media/image60.png"/><Relationship Id="rId288" Type="http://schemas.openxmlformats.org/officeDocument/2006/relationships/image" Target="media/image61.png"/><Relationship Id="rId289" Type="http://schemas.openxmlformats.org/officeDocument/2006/relationships/image" Target="media/image62.png"/><Relationship Id="rId290" Type="http://schemas.openxmlformats.org/officeDocument/2006/relationships/image" Target="media/image63.png"/><Relationship Id="rId291" Type="http://schemas.openxmlformats.org/officeDocument/2006/relationships/hyperlink" Target="http://goo.gl/cd6HEJ" TargetMode="External"/><Relationship Id="rId292" Type="http://schemas.openxmlformats.org/officeDocument/2006/relationships/footer" Target="footer112.xml"/><Relationship Id="rId293" Type="http://schemas.openxmlformats.org/officeDocument/2006/relationships/footer" Target="footer113.xml"/><Relationship Id="rId294" Type="http://schemas.openxmlformats.org/officeDocument/2006/relationships/footer" Target="footer114.xml"/><Relationship Id="rId295" Type="http://schemas.openxmlformats.org/officeDocument/2006/relationships/footer" Target="footer115.xml"/><Relationship Id="rId296" Type="http://schemas.openxmlformats.org/officeDocument/2006/relationships/hyperlink" Target="http://goo.gl/f4WFfb" TargetMode="External"/><Relationship Id="rId297" Type="http://schemas.openxmlformats.org/officeDocument/2006/relationships/hyperlink" Target="http://goo.gl/9stt1N" TargetMode="External"/><Relationship Id="rId298" Type="http://schemas.openxmlformats.org/officeDocument/2006/relationships/hyperlink" Target="http://goo.gl/Qe3QH0" TargetMode="External"/><Relationship Id="rId299" Type="http://schemas.openxmlformats.org/officeDocument/2006/relationships/hyperlink" Target="http://go.usa.gov/3EGK4" TargetMode="External"/><Relationship Id="rId300" Type="http://schemas.openxmlformats.org/officeDocument/2006/relationships/hyperlink" Target="http://go.usa.gov/3EGKk" TargetMode="External"/><Relationship Id="rId301" Type="http://schemas.openxmlformats.org/officeDocument/2006/relationships/hyperlink" Target="http://go.usa.gov/37MHQ" TargetMode="External"/><Relationship Id="rId302" Type="http://schemas.openxmlformats.org/officeDocument/2006/relationships/hyperlink" Target="http://go.usa.gov/3mKwF" TargetMode="External"/><Relationship Id="rId303" Type="http://schemas.openxmlformats.org/officeDocument/2006/relationships/hyperlink" Target="http://go.usa.gov/cxgKb" TargetMode="External"/><Relationship Id="rId304" Type="http://schemas.openxmlformats.org/officeDocument/2006/relationships/hyperlink" Target="http://goo.gl/o5Zrfy" TargetMode="External"/><Relationship Id="rId305" Type="http://schemas.openxmlformats.org/officeDocument/2006/relationships/image" Target="media/image64.png"/><Relationship Id="rId306" Type="http://schemas.openxmlformats.org/officeDocument/2006/relationships/hyperlink" Target="http://go.usa/" TargetMode="External"/><Relationship Id="rId307" Type="http://schemas.openxmlformats.org/officeDocument/2006/relationships/header" Target="header46.xml"/><Relationship Id="rId308" Type="http://schemas.openxmlformats.org/officeDocument/2006/relationships/footer" Target="footer116.xml"/><Relationship Id="rId309" Type="http://schemas.openxmlformats.org/officeDocument/2006/relationships/header" Target="header47.xml"/><Relationship Id="rId310" Type="http://schemas.openxmlformats.org/officeDocument/2006/relationships/header" Target="header48.xml"/><Relationship Id="rId311" Type="http://schemas.openxmlformats.org/officeDocument/2006/relationships/footer" Target="footer117.xml"/><Relationship Id="rId312" Type="http://schemas.openxmlformats.org/officeDocument/2006/relationships/footer" Target="footer118.xml"/><Relationship Id="rId313" Type="http://schemas.openxmlformats.org/officeDocument/2006/relationships/footer" Target="footer119.xml"/><Relationship Id="rId314" Type="http://schemas.openxmlformats.org/officeDocument/2006/relationships/footer" Target="footer120.xml"/><Relationship Id="rId315" Type="http://schemas.openxmlformats.org/officeDocument/2006/relationships/hyperlink" Target="http://www.reclaimdemocracy.org/corporate_ac-" TargetMode="External"/><Relationship Id="rId316" Type="http://schemas.openxmlformats.org/officeDocument/2006/relationships/hyperlink" Target="http://www.cipe.org/regional/lac/pdf/spanishnba.pdf" TargetMode="External"/><Relationship Id="rId317" Type="http://schemas.openxmlformats.org/officeDocument/2006/relationships/hyperlink" Target="http://www.cipe.org/about/aboutCiPE.pdf" TargetMode="External"/><Relationship Id="rId318" Type="http://schemas.openxmlformats.org/officeDocument/2006/relationships/hyperlink" Target="http://www.apoyo.com/" TargetMode="External"/><Relationship Id="rId319" Type="http://schemas.openxmlformats.org/officeDocument/2006/relationships/hyperlink" Target="http://www.ieral.org/" TargetMode="External"/><Relationship Id="rId320" Type="http://schemas.openxmlformats.org/officeDocument/2006/relationships/hyperlink" Target="http://www.cippec.org/" TargetMode="External"/><Relationship Id="rId321" Type="http://schemas.openxmlformats.org/officeDocument/2006/relationships/hyperlink" Target="http://www.ned.org/grants" TargetMode="External"/><Relationship Id="rId322" Type="http://schemas.openxmlformats.org/officeDocument/2006/relationships/hyperlink" Target="http://www.cippec.org/Main.php?do=contentshow&amp;amp;id=17" TargetMode="External"/><Relationship Id="rId323" Type="http://schemas.openxmlformats.org/officeDocument/2006/relationships/hyperlink" Target="http://www.cippec.org/Main" TargetMode="External"/><Relationship Id="rId324" Type="http://schemas.openxmlformats.org/officeDocument/2006/relationships/footer" Target="footer121.xml"/><Relationship Id="rId325" Type="http://schemas.openxmlformats.org/officeDocument/2006/relationships/footer" Target="footer122.xml"/><Relationship Id="rId326" Type="http://schemas.openxmlformats.org/officeDocument/2006/relationships/footer" Target="footer123.xml"/><Relationship Id="rId327" Type="http://schemas.openxmlformats.org/officeDocument/2006/relationships/footer" Target="footer124.xml"/><Relationship Id="rId328" Type="http://schemas.openxmlformats.org/officeDocument/2006/relationships/hyperlink" Target="http://www.cefargentina.org/apoyan" TargetMode="External"/><Relationship Id="rId329" Type="http://schemas.openxmlformats.org/officeDocument/2006/relationships/hyperlink" Target="http://www.ibgc.org.br/userfiles/files/relatorio_anual/ra_2005.pdf" TargetMode="External"/><Relationship Id="rId330" Type="http://schemas.openxmlformats.org/officeDocument/2006/relationships/hyperlink" Target="http://www.ibgc.org.br/" TargetMode="External"/><Relationship Id="rId331" Type="http://schemas.openxmlformats.org/officeDocument/2006/relationships/hyperlink" Target="http://www.adebaargentina.com.ar/?page=institucional" TargetMode="External"/><Relationship Id="rId332" Type="http://schemas.openxmlformats.org/officeDocument/2006/relationships/hyperlink" Target="http://www.oecd.org/daf/ca/corporategovernanceprinciples/10" TargetMode="External"/><Relationship Id="rId333" Type="http://schemas.openxmlformats.org/officeDocument/2006/relationships/footer" Target="footer125.xml"/><Relationship Id="rId334" Type="http://schemas.openxmlformats.org/officeDocument/2006/relationships/footer" Target="footer126.xml"/><Relationship Id="rId335" Type="http://schemas.openxmlformats.org/officeDocument/2006/relationships/hyperlink" Target="http://www.cipe.org/sites/default/files/publication-" TargetMode="External"/><Relationship Id="rId336" Type="http://schemas.openxmlformats.org/officeDocument/2006/relationships/hyperlink" Target="http://www.cipe.org/" TargetMode="External"/><Relationship Id="rId337" Type="http://schemas.openxmlformats.org/officeDocument/2006/relationships/hyperlink" Target="http://www.cipe.org/sites/default/files/publication-docs/" TargetMode="External"/><Relationship Id="rId338" Type="http://schemas.openxmlformats.org/officeDocument/2006/relationships/hyperlink" Target="http://www.CiPE.org/" TargetMode="External"/><Relationship Id="rId339" Type="http://schemas.openxmlformats.org/officeDocument/2006/relationships/hyperlink" Target="http://www.cipe.org/sites/" TargetMode="External"/><Relationship Id="rId340" Type="http://schemas.openxmlformats.org/officeDocument/2006/relationships/hyperlink" Target="http://www.cipe.org/sites/default/files/" TargetMode="External"/><Relationship Id="rId341" Type="http://schemas.openxmlformats.org/officeDocument/2006/relationships/footer" Target="footer127.xml"/><Relationship Id="rId342" Type="http://schemas.openxmlformats.org/officeDocument/2006/relationships/footer" Target="footer128.xml"/><Relationship Id="rId343" Type="http://schemas.openxmlformats.org/officeDocument/2006/relationships/hyperlink" Target="http://www.cairn.info/article.php?id_rEVuE=arss&amp;amp;id_" TargetMode="External"/><Relationship Id="rId344" Type="http://schemas.openxmlformats.org/officeDocument/2006/relationships/hyperlink" Target="http://www.gcgf.org/ifcext/cgf.nsf/" TargetMode="External"/><Relationship Id="rId345" Type="http://schemas.openxmlformats.org/officeDocument/2006/relationships/hyperlink" Target="http://www.ned.org/about/" TargetMode="External"/><Relationship Id="rId346" Type="http://schemas.openxmlformats.org/officeDocument/2006/relationships/hyperlink" Target="http://www.ned.org/" TargetMode="External"/><Relationship Id="rId347" Type="http://schemas.openxmlformats.org/officeDocument/2006/relationships/hyperlink" Target="http://bibliotecavirtual.clacso.org.ar/" TargetMode="External"/><Relationship Id="rId348" Type="http://schemas.openxmlformats.org/officeDocument/2006/relationships/hyperlink" Target="http://www.oecd.org/dataoecd/32/18/31557724.pdf" TargetMode="External"/><Relationship Id="rId349" Type="http://schemas.openxmlformats.org/officeDocument/2006/relationships/hyperlink" Target="http://www.oecd.org/dataoecd/25/2/18976210.pdf" TargetMode="External"/><Relationship Id="rId350" Type="http://schemas.openxmlformats.org/officeDocument/2006/relationships/hyperlink" Target="http://www.bndes.gov.br/sitebNdEs/" TargetMode="External"/><Relationship Id="rId351" Type="http://schemas.openxmlformats.org/officeDocument/2006/relationships/hyperlink" Target="http://www.cipe.org/publications/" TargetMode="External"/><Relationship Id="rId352" Type="http://schemas.openxmlformats.org/officeDocument/2006/relationships/header" Target="header49.xml"/><Relationship Id="rId353" Type="http://schemas.openxmlformats.org/officeDocument/2006/relationships/footer" Target="footer129.xml"/><Relationship Id="rId354" Type="http://schemas.openxmlformats.org/officeDocument/2006/relationships/header" Target="header50.xml"/><Relationship Id="rId355" Type="http://schemas.openxmlformats.org/officeDocument/2006/relationships/footer" Target="footer130.xml"/><Relationship Id="rId356" Type="http://schemas.openxmlformats.org/officeDocument/2006/relationships/header" Target="header51.xml"/><Relationship Id="rId357" Type="http://schemas.openxmlformats.org/officeDocument/2006/relationships/footer" Target="footer131.xml"/><Relationship Id="rId358" Type="http://schemas.openxmlformats.org/officeDocument/2006/relationships/header" Target="header52.xml"/><Relationship Id="rId359" Type="http://schemas.openxmlformats.org/officeDocument/2006/relationships/header" Target="header53.xml"/><Relationship Id="rId360" Type="http://schemas.openxmlformats.org/officeDocument/2006/relationships/footer" Target="footer132.xml"/><Relationship Id="rId361" Type="http://schemas.openxmlformats.org/officeDocument/2006/relationships/footer" Target="footer133.xml"/><Relationship Id="rId362" Type="http://schemas.openxmlformats.org/officeDocument/2006/relationships/footer" Target="footer134.xml"/><Relationship Id="rId363" Type="http://schemas.openxmlformats.org/officeDocument/2006/relationships/footer" Target="footer135.xml"/><Relationship Id="rId364" Type="http://schemas.openxmlformats.org/officeDocument/2006/relationships/hyperlink" Target="http://www.archives.gov/research/military/" TargetMode="External"/><Relationship Id="rId365" Type="http://schemas.openxmlformats.org/officeDocument/2006/relationships/footer" Target="footer136.xml"/><Relationship Id="rId366" Type="http://schemas.openxmlformats.org/officeDocument/2006/relationships/footer" Target="footer137.xml"/><Relationship Id="rId367" Type="http://schemas.openxmlformats.org/officeDocument/2006/relationships/hyperlink" Target="http://www.vvaw.org/about/" TargetMode="External"/><Relationship Id="rId368" Type="http://schemas.openxmlformats.org/officeDocument/2006/relationships/hyperlink" Target="http://historynewsnetwork.org/article/157189" TargetMode="External"/><Relationship Id="rId369" Type="http://schemas.openxmlformats.org/officeDocument/2006/relationships/hyperlink" Target="http://www.vietnamwar50th.com/" TargetMode="External"/><Relationship Id="rId370" Type="http://schemas.openxmlformats.org/officeDocument/2006/relationships/footer" Target="footer138.xml"/><Relationship Id="rId371" Type="http://schemas.openxmlformats.org/officeDocument/2006/relationships/footer" Target="footer139.xml"/><Relationship Id="rId372" Type="http://schemas.openxmlformats.org/officeDocument/2006/relationships/hyperlink" Target="http://www.archives.gov/research/military/vietnam-war/ca-" TargetMode="External"/><Relationship Id="rId373" Type="http://schemas.openxmlformats.org/officeDocument/2006/relationships/hyperlink" Target="http://www.archives.gov/research/" TargetMode="External"/><Relationship Id="rId374" Type="http://schemas.openxmlformats.org/officeDocument/2006/relationships/hyperlink" Target="http://www.marxists.org/history/usa/workers/black-panthers/" TargetMode="External"/><Relationship Id="rId375" Type="http://schemas.openxmlformats.org/officeDocument/2006/relationships/hyperlink" Target="http://zinnedproject.org/materials/rethinking-the-teaching-of-the-vietnam-war/" TargetMode="External"/><Relationship Id="rId376" Type="http://schemas.openxmlformats.org/officeDocument/2006/relationships/hyperlink" Target="http://www.investigatingpower.org/timelines/vietnam/" TargetMode="External"/><Relationship Id="rId377" Type="http://schemas.openxmlformats.org/officeDocument/2006/relationships/hyperlink" Target="http://www.historians.org/publications-and-directories/perspectives-on-his-" TargetMode="External"/><Relationship Id="rId378" Type="http://schemas.openxmlformats.org/officeDocument/2006/relationships/hyperlink" Target="http://depts.washington.edu/labpics/repository/d/5855-3/" TargetMode="External"/><Relationship Id="rId379" Type="http://schemas.openxmlformats.org/officeDocument/2006/relationships/hyperlink" Target="http://www.reuters.com/" TargetMode="External"/><Relationship Id="rId380" Type="http://schemas.openxmlformats.org/officeDocument/2006/relationships/hyperlink" Target="http://www.nytimes.com/2014/10/10/us/pentagons-web-timeline-" TargetMode="External"/><Relationship Id="rId381" Type="http://schemas.openxmlformats.org/officeDocument/2006/relationships/hyperlink" Target="http://www.thedailybeast.com/" TargetMode="External"/><Relationship Id="rId382" Type="http://schemas.openxmlformats.org/officeDocument/2006/relationships/footer" Target="footer140.xml"/><Relationship Id="rId383" Type="http://schemas.openxmlformats.org/officeDocument/2006/relationships/footer" Target="footer141.xml"/><Relationship Id="rId384" Type="http://schemas.openxmlformats.org/officeDocument/2006/relationships/hyperlink" Target="http://mlkkpp01/" TargetMode="External"/><Relationship Id="rId385" Type="http://schemas.openxmlformats.org/officeDocument/2006/relationships/hyperlink" Target="http://truth-out.org/opinion/item/10729-the-toxic-" TargetMode="External"/><Relationship Id="rId386" Type="http://schemas.openxmlformats.org/officeDocument/2006/relationships/hyperlink" Target="http://www.vietnamwar50th.com/videos/" TargetMode="External"/><Relationship Id="rId387" Type="http://schemas.openxmlformats.org/officeDocument/2006/relationships/hyperlink" Target="http://www.washingtonpost.com/national/" TargetMode="External"/><Relationship Id="rId388" Type="http://schemas.openxmlformats.org/officeDocument/2006/relationships/hyperlink" Target="http://www2.iath.virginia.edu/sixties/HtMl_docs/resources/" TargetMode="External"/><Relationship Id="rId389" Type="http://schemas.openxmlformats.org/officeDocument/2006/relationships/hyperlink" Target="http://www.historians.org/publications-and-" TargetMode="External"/><Relationship Id="rId390" Type="http://schemas.openxmlformats.org/officeDocument/2006/relationships/hyperlink" Target="http://www.ipetitions.com/petition/vpcc" TargetMode="External"/><Relationship Id="rId391" Type="http://schemas.openxmlformats.org/officeDocument/2006/relationships/header" Target="header54.xml"/><Relationship Id="rId392" Type="http://schemas.openxmlformats.org/officeDocument/2006/relationships/footer" Target="footer142.xml"/><Relationship Id="rId393" Type="http://schemas.openxmlformats.org/officeDocument/2006/relationships/header" Target="header55.xml"/><Relationship Id="rId394" Type="http://schemas.openxmlformats.org/officeDocument/2006/relationships/footer" Target="footer143.xml"/><Relationship Id="rId395" Type="http://schemas.openxmlformats.org/officeDocument/2006/relationships/header" Target="header56.xml"/><Relationship Id="rId396" Type="http://schemas.openxmlformats.org/officeDocument/2006/relationships/header" Target="header57.xml"/><Relationship Id="rId397" Type="http://schemas.openxmlformats.org/officeDocument/2006/relationships/footer" Target="footer144.xml"/><Relationship Id="rId398" Type="http://schemas.openxmlformats.org/officeDocument/2006/relationships/footer" Target="footer145.xml"/><Relationship Id="rId399" Type="http://schemas.openxmlformats.org/officeDocument/2006/relationships/hyperlink" Target="http://goo.gl/8WMmGc" TargetMode="External"/><Relationship Id="rId400" Type="http://schemas.openxmlformats.org/officeDocument/2006/relationships/hyperlink" Target="http://goo.gl/lyG8d3" TargetMode="External"/><Relationship Id="rId401" Type="http://schemas.openxmlformats.org/officeDocument/2006/relationships/footer" Target="footer146.xml"/><Relationship Id="rId402" Type="http://schemas.openxmlformats.org/officeDocument/2006/relationships/footer" Target="footer147.xml"/><Relationship Id="rId403" Type="http://schemas.openxmlformats.org/officeDocument/2006/relationships/footer" Target="footer148.xml"/><Relationship Id="rId404" Type="http://schemas.openxmlformats.org/officeDocument/2006/relationships/footer" Target="footer149.xml"/><Relationship Id="rId405" Type="http://schemas.openxmlformats.org/officeDocument/2006/relationships/footer" Target="footer150.xml"/><Relationship Id="rId406" Type="http://schemas.openxmlformats.org/officeDocument/2006/relationships/footer" Target="footer151.xml"/><Relationship Id="rId407" Type="http://schemas.openxmlformats.org/officeDocument/2006/relationships/footer" Target="footer152.xml"/><Relationship Id="rId408" Type="http://schemas.openxmlformats.org/officeDocument/2006/relationships/footer" Target="footer153.xml"/><Relationship Id="rId409" Type="http://schemas.openxmlformats.org/officeDocument/2006/relationships/hyperlink" Target="http://www.philosophie.org/garaudy1" TargetMode="External"/><Relationship Id="rId410" Type="http://schemas.openxmlformats.org/officeDocument/2006/relationships/header" Target="header58.xml"/><Relationship Id="rId411" Type="http://schemas.openxmlformats.org/officeDocument/2006/relationships/footer" Target="footer154.xml"/><Relationship Id="rId412" Type="http://schemas.openxmlformats.org/officeDocument/2006/relationships/header" Target="header59.xml"/><Relationship Id="rId413" Type="http://schemas.openxmlformats.org/officeDocument/2006/relationships/footer" Target="footer155.xml"/><Relationship Id="rId414" Type="http://schemas.openxmlformats.org/officeDocument/2006/relationships/header" Target="header60.xml"/><Relationship Id="rId415" Type="http://schemas.openxmlformats.org/officeDocument/2006/relationships/footer" Target="footer156.xml"/><Relationship Id="rId416" Type="http://schemas.openxmlformats.org/officeDocument/2006/relationships/header" Target="header61.xml"/><Relationship Id="rId417" Type="http://schemas.openxmlformats.org/officeDocument/2006/relationships/footer" Target="footer157.xml"/><Relationship Id="rId418" Type="http://schemas.openxmlformats.org/officeDocument/2006/relationships/header" Target="header62.xml"/><Relationship Id="rId419" Type="http://schemas.openxmlformats.org/officeDocument/2006/relationships/header" Target="header63.xml"/><Relationship Id="rId420" Type="http://schemas.openxmlformats.org/officeDocument/2006/relationships/footer" Target="footer158.xml"/><Relationship Id="rId421" Type="http://schemas.openxmlformats.org/officeDocument/2006/relationships/footer" Target="footer159.xml"/><Relationship Id="rId422" Type="http://schemas.openxmlformats.org/officeDocument/2006/relationships/footer" Target="footer160.xml"/><Relationship Id="rId423" Type="http://schemas.openxmlformats.org/officeDocument/2006/relationships/footer" Target="footer161.xml"/><Relationship Id="rId424" Type="http://schemas.openxmlformats.org/officeDocument/2006/relationships/footer" Target="footer162.xml"/><Relationship Id="rId425" Type="http://schemas.openxmlformats.org/officeDocument/2006/relationships/footer" Target="footer163.xml"/><Relationship Id="rId426" Type="http://schemas.openxmlformats.org/officeDocument/2006/relationships/hyperlink" Target="http://iipdigital.usembassy.gov/st/" TargetMode="External"/><Relationship Id="rId427" Type="http://schemas.openxmlformats.org/officeDocument/2006/relationships/image" Target="media/image65.png"/><Relationship Id="rId428" Type="http://schemas.openxmlformats.org/officeDocument/2006/relationships/image" Target="media/image66.png"/><Relationship Id="rId429" Type="http://schemas.openxmlformats.org/officeDocument/2006/relationships/hyperlink" Target="http://www.economiahoy.mx/economia-eAm-mexico/noticias/7168554/11/15/" TargetMode="External"/><Relationship Id="rId430" Type="http://schemas.openxmlformats.org/officeDocument/2006/relationships/footer" Target="footer164.xml"/><Relationship Id="rId431" Type="http://schemas.openxmlformats.org/officeDocument/2006/relationships/footer" Target="footer165.xml"/><Relationship Id="rId432" Type="http://schemas.openxmlformats.org/officeDocument/2006/relationships/hyperlink" Target="http://www.america.gov/st/peacesec-spanish/2010/" TargetMode="External"/><Relationship Id="rId433" Type="http://schemas.openxmlformats.org/officeDocument/2006/relationships/hyperlink" Target="http://www.ucm.es/buCM/revistas/inf/11370734/" TargetMode="External"/><Relationship Id="rId434" Type="http://schemas.openxmlformats.org/officeDocument/2006/relationships/hyperlink" Target="http://www.america.gov/st/peacesec-spanish/2010/May/2010052808341" TargetMode="External"/><Relationship Id="rId435" Type="http://schemas.openxmlformats.org/officeDocument/2006/relationships/hyperlink" Target="http://www.voanoticias.com/content/" TargetMode="External"/><Relationship Id="rId436" Type="http://schemas.openxmlformats.org/officeDocument/2006/relationships/hyperlink" Target="http://www.ieee.es/" TargetMode="External"/><Relationship Id="rId437" Type="http://schemas.openxmlformats.org/officeDocument/2006/relationships/hyperlink" Target="http://merln.ndu.edu/" TargetMode="External"/><Relationship Id="rId438" Type="http://schemas.openxmlformats.org/officeDocument/2006/relationships/header" Target="header64.xml"/><Relationship Id="rId439" Type="http://schemas.openxmlformats.org/officeDocument/2006/relationships/footer" Target="footer166.xml"/><Relationship Id="rId440" Type="http://schemas.openxmlformats.org/officeDocument/2006/relationships/header" Target="header65.xml"/><Relationship Id="rId441" Type="http://schemas.openxmlformats.org/officeDocument/2006/relationships/footer" Target="footer167.xml"/><Relationship Id="rId442" Type="http://schemas.openxmlformats.org/officeDocument/2006/relationships/header" Target="header66.xml"/><Relationship Id="rId443" Type="http://schemas.openxmlformats.org/officeDocument/2006/relationships/header" Target="header67.xml"/><Relationship Id="rId444" Type="http://schemas.openxmlformats.org/officeDocument/2006/relationships/footer" Target="footer168.xml"/><Relationship Id="rId445" Type="http://schemas.openxmlformats.org/officeDocument/2006/relationships/footer" Target="footer169.xml"/><Relationship Id="rId446" Type="http://schemas.openxmlformats.org/officeDocument/2006/relationships/footer" Target="footer170.xml"/><Relationship Id="rId447" Type="http://schemas.openxmlformats.org/officeDocument/2006/relationships/footer" Target="footer171.xml"/><Relationship Id="rId448" Type="http://schemas.openxmlformats.org/officeDocument/2006/relationships/footer" Target="footer172.xml"/><Relationship Id="rId449" Type="http://schemas.openxmlformats.org/officeDocument/2006/relationships/footer" Target="footer173.xml"/><Relationship Id="rId450" Type="http://schemas.openxmlformats.org/officeDocument/2006/relationships/hyperlink" Target="http://goo.gl/f8hJwt" TargetMode="External"/><Relationship Id="rId451" Type="http://schemas.openxmlformats.org/officeDocument/2006/relationships/footer" Target="footer174.xml"/><Relationship Id="rId452" Type="http://schemas.openxmlformats.org/officeDocument/2006/relationships/footer" Target="footer175.xml"/><Relationship Id="rId453" Type="http://schemas.openxmlformats.org/officeDocument/2006/relationships/hyperlink" Target="http://goo.gl/F5895K" TargetMode="External"/><Relationship Id="rId454" Type="http://schemas.openxmlformats.org/officeDocument/2006/relationships/footer" Target="footer176.xml"/><Relationship Id="rId455" Type="http://schemas.openxmlformats.org/officeDocument/2006/relationships/footer" Target="footer177.xml"/><Relationship Id="rId456" Type="http://schemas.openxmlformats.org/officeDocument/2006/relationships/hyperlink" Target="http://goo.gl/Gwmsvq" TargetMode="External"/><Relationship Id="rId457" Type="http://schemas.openxmlformats.org/officeDocument/2006/relationships/hyperlink" Target="http://goo.gl/ZEzb7Y" TargetMode="External"/><Relationship Id="rId458" Type="http://schemas.openxmlformats.org/officeDocument/2006/relationships/hyperlink" Target="http://goo.gl/PFxsug" TargetMode="External"/><Relationship Id="rId459" Type="http://schemas.openxmlformats.org/officeDocument/2006/relationships/hyperlink" Target="http://goo.gl/Ktye25" TargetMode="External"/><Relationship Id="rId460" Type="http://schemas.openxmlformats.org/officeDocument/2006/relationships/hyperlink" Target="http://goo.gl/bblcQu" TargetMode="External"/><Relationship Id="rId461" Type="http://schemas.openxmlformats.org/officeDocument/2006/relationships/header" Target="header68.xml"/><Relationship Id="rId462" Type="http://schemas.openxmlformats.org/officeDocument/2006/relationships/footer" Target="footer178.xml"/><Relationship Id="rId463" Type="http://schemas.openxmlformats.org/officeDocument/2006/relationships/header" Target="header69.xml"/><Relationship Id="rId464" Type="http://schemas.openxmlformats.org/officeDocument/2006/relationships/header" Target="header70.xml"/><Relationship Id="rId465" Type="http://schemas.openxmlformats.org/officeDocument/2006/relationships/footer" Target="footer179.xml"/><Relationship Id="rId466" Type="http://schemas.openxmlformats.org/officeDocument/2006/relationships/footer" Target="footer180.xml"/><Relationship Id="rId467" Type="http://schemas.openxmlformats.org/officeDocument/2006/relationships/footer" Target="footer181.xml"/><Relationship Id="rId468" Type="http://schemas.openxmlformats.org/officeDocument/2006/relationships/footer" Target="footer182.xml"/><Relationship Id="rId469" Type="http://schemas.openxmlformats.org/officeDocument/2006/relationships/footer" Target="footer183.xml"/><Relationship Id="rId470" Type="http://schemas.openxmlformats.org/officeDocument/2006/relationships/footer" Target="footer184.xml"/><Relationship Id="rId471" Type="http://schemas.openxmlformats.org/officeDocument/2006/relationships/footer" Target="footer185.xml"/><Relationship Id="rId472" Type="http://schemas.openxmlformats.org/officeDocument/2006/relationships/footer" Target="footer186.xml"/><Relationship Id="rId473" Type="http://schemas.openxmlformats.org/officeDocument/2006/relationships/footer" Target="footer187.xml"/><Relationship Id="rId474" Type="http://schemas.openxmlformats.org/officeDocument/2006/relationships/footer" Target="footer188.xml"/><Relationship Id="rId475" Type="http://schemas.openxmlformats.org/officeDocument/2006/relationships/footer" Target="footer189.xml"/><Relationship Id="rId476" Type="http://schemas.openxmlformats.org/officeDocument/2006/relationships/footer" Target="footer190.xml"/><Relationship Id="rId477" Type="http://schemas.openxmlformats.org/officeDocument/2006/relationships/hyperlink" Target="http://goo.gl/rikqxl" TargetMode="External"/><Relationship Id="rId478" Type="http://schemas.openxmlformats.org/officeDocument/2006/relationships/hyperlink" Target="http://goo.gl/vEPMq0" TargetMode="External"/><Relationship Id="rId479" Type="http://schemas.openxmlformats.org/officeDocument/2006/relationships/hyperlink" Target="http://goo.gl/ofYruw" TargetMode="External"/><Relationship Id="rId480" Type="http://schemas.openxmlformats.org/officeDocument/2006/relationships/hyperlink" Target="http://goo.gl/xrHclK" TargetMode="External"/><Relationship Id="rId481" Type="http://schemas.openxmlformats.org/officeDocument/2006/relationships/hyperlink" Target="http://goo.gl/7K8tCF" TargetMode="External"/><Relationship Id="rId482" Type="http://schemas.openxmlformats.org/officeDocument/2006/relationships/hyperlink" Target="http://goo.gl/msqxuY" TargetMode="External"/><Relationship Id="rId483" Type="http://schemas.openxmlformats.org/officeDocument/2006/relationships/hyperlink" Target="http://www.thedialogue.org/" TargetMode="External"/><Relationship Id="rId484" Type="http://schemas.openxmlformats.org/officeDocument/2006/relationships/hyperlink" Target="http://goo.gl/aFn2ot" TargetMode="External"/><Relationship Id="rId485" Type="http://schemas.openxmlformats.org/officeDocument/2006/relationships/hyperlink" Target="http://goo.gl/fNho11" TargetMode="External"/><Relationship Id="rId486" Type="http://schemas.openxmlformats.org/officeDocument/2006/relationships/hyperlink" Target="http://goo.gl/MNFQ5x" TargetMode="External"/><Relationship Id="rId487" Type="http://schemas.openxmlformats.org/officeDocument/2006/relationships/hyperlink" Target="http://goo.gl/ludprm" TargetMode="External"/><Relationship Id="rId488" Type="http://schemas.openxmlformats.org/officeDocument/2006/relationships/hyperlink" Target="http://goo.gl/uQniYP" TargetMode="External"/><Relationship Id="rId489" Type="http://schemas.openxmlformats.org/officeDocument/2006/relationships/hyperlink" Target="http://www.noticias.terra.com/" TargetMode="External"/><Relationship Id="rId490" Type="http://schemas.openxmlformats.org/officeDocument/2006/relationships/hyperlink" Target="http://goo.gl/QuG2WE" TargetMode="External"/><Relationship Id="rId491" Type="http://schemas.openxmlformats.org/officeDocument/2006/relationships/hyperlink" Target="http://www.infolatam.com/" TargetMode="External"/><Relationship Id="rId492" Type="http://schemas.openxmlformats.org/officeDocument/2006/relationships/hyperlink" Target="http://goo.gl/Pci7Fo" TargetMode="External"/><Relationship Id="rId493" Type="http://schemas.openxmlformats.org/officeDocument/2006/relationships/hyperlink" Target="http://www.fal.itam.mx/" TargetMode="External"/><Relationship Id="rId494" Type="http://schemas.openxmlformats.org/officeDocument/2006/relationships/header" Target="header71.xml"/><Relationship Id="rId495" Type="http://schemas.openxmlformats.org/officeDocument/2006/relationships/footer" Target="footer191.xml"/><Relationship Id="rId496" Type="http://schemas.openxmlformats.org/officeDocument/2006/relationships/header" Target="header72.xml"/><Relationship Id="rId497" Type="http://schemas.openxmlformats.org/officeDocument/2006/relationships/footer" Target="footer192.xml"/><Relationship Id="rId498" Type="http://schemas.openxmlformats.org/officeDocument/2006/relationships/header" Target="header73.xml"/><Relationship Id="rId499" Type="http://schemas.openxmlformats.org/officeDocument/2006/relationships/header" Target="header74.xml"/><Relationship Id="rId500" Type="http://schemas.openxmlformats.org/officeDocument/2006/relationships/footer" Target="footer193.xml"/><Relationship Id="rId501" Type="http://schemas.openxmlformats.org/officeDocument/2006/relationships/footer" Target="footer194.xml"/><Relationship Id="rId502" Type="http://schemas.openxmlformats.org/officeDocument/2006/relationships/footer" Target="footer195.xml"/><Relationship Id="rId503" Type="http://schemas.openxmlformats.org/officeDocument/2006/relationships/footer" Target="footer196.xml"/><Relationship Id="rId504" Type="http://schemas.openxmlformats.org/officeDocument/2006/relationships/hyperlink" Target="http://www.summit-americas.org/i_" TargetMode="External"/><Relationship Id="rId505" Type="http://schemas.openxmlformats.org/officeDocument/2006/relationships/hyperlink" Target="http://www.summit-americas.org/i_summit/i_" TargetMode="External"/><Relationship Id="rId506" Type="http://schemas.openxmlformats.org/officeDocument/2006/relationships/footer" Target="footer197.xml"/><Relationship Id="rId507" Type="http://schemas.openxmlformats.org/officeDocument/2006/relationships/footer" Target="footer198.xml"/><Relationship Id="rId508" Type="http://schemas.openxmlformats.org/officeDocument/2006/relationships/hyperlink" Target="http://www.summit-americas.org/" TargetMode="External"/><Relationship Id="rId509" Type="http://schemas.openxmlformats.org/officeDocument/2006/relationships/footer" Target="footer199.xml"/><Relationship Id="rId510" Type="http://schemas.openxmlformats.org/officeDocument/2006/relationships/footer" Target="footer200.xml"/><Relationship Id="rId511" Type="http://schemas.openxmlformats.org/officeDocument/2006/relationships/hyperlink" Target="http://www.summit-americas.org/iii_summit/iii_" TargetMode="External"/><Relationship Id="rId512" Type="http://schemas.openxmlformats.org/officeDocument/2006/relationships/hyperlink" Target="http://www.summit-americas.org/iii_summit/iii_summit_poa_sp.pdf" TargetMode="External"/><Relationship Id="rId513" Type="http://schemas.openxmlformats.org/officeDocument/2006/relationships/footer" Target="footer201.xml"/><Relationship Id="rId514" Type="http://schemas.openxmlformats.org/officeDocument/2006/relationships/footer" Target="footer202.xml"/><Relationship Id="rId515" Type="http://schemas.openxmlformats.org/officeDocument/2006/relationships/hyperlink" Target="http://www.summit-americas.org/sp_summit/" TargetMode="External"/><Relationship Id="rId516" Type="http://schemas.openxmlformats.org/officeDocument/2006/relationships/hyperlink" Target="http://www.summit-americas.org/v_" TargetMode="External"/><Relationship Id="rId517" Type="http://schemas.openxmlformats.org/officeDocument/2006/relationships/footer" Target="footer203.xml"/><Relationship Id="rId518" Type="http://schemas.openxmlformats.org/officeDocument/2006/relationships/footer" Target="footer204.xml"/><Relationship Id="rId519" Type="http://schemas.openxmlformats.org/officeDocument/2006/relationships/footer" Target="footer205.xml"/><Relationship Id="rId520" Type="http://schemas.openxmlformats.org/officeDocument/2006/relationships/footer" Target="footer206.xml"/><Relationship Id="rId521" Type="http://schemas.openxmlformats.org/officeDocument/2006/relationships/footer" Target="footer207.xml"/><Relationship Id="rId522" Type="http://schemas.openxmlformats.org/officeDocument/2006/relationships/footer" Target="footer208.xml"/><Relationship Id="rId523" Type="http://schemas.openxmlformats.org/officeDocument/2006/relationships/hyperlink" Target="http://www.albamovimientos.org/" TargetMode="External"/><Relationship Id="rId524" Type="http://schemas.openxmlformats.org/officeDocument/2006/relationships/hyperlink" Target="http://cnnespanol.cnn.com/2013/11/18/" TargetMode="External"/><Relationship Id="rId525" Type="http://schemas.openxmlformats.org/officeDocument/2006/relationships/hyperlink" Target="http://www.cubadebate.cu/" TargetMode="External"/><Relationship Id="rId526" Type="http://schemas.openxmlformats.org/officeDocument/2006/relationships/footer" Target="footer209.xml"/><Relationship Id="rId527" Type="http://schemas.openxmlformats.org/officeDocument/2006/relationships/footer" Target="footer210.xml"/><Relationship Id="rId528" Type="http://schemas.openxmlformats.org/officeDocument/2006/relationships/footer" Target="footer211.xml"/><Relationship Id="rId529" Type="http://schemas.openxmlformats.org/officeDocument/2006/relationships/footer" Target="footer212.xml"/><Relationship Id="rId530" Type="http://schemas.openxmlformats.org/officeDocument/2006/relationships/hyperlink" Target="http://www.rebelion.org/noticia.php?id=84397" TargetMode="External"/><Relationship Id="rId531" Type="http://schemas.openxmlformats.org/officeDocument/2006/relationships/hyperlink" Target="http://www.thewhitehouse.gov/" TargetMode="External"/><Relationship Id="rId532" Type="http://schemas.openxmlformats.org/officeDocument/2006/relationships/footer" Target="footer213.xml"/><Relationship Id="rId533" Type="http://schemas.openxmlformats.org/officeDocument/2006/relationships/header" Target="header75.xml"/><Relationship Id="rId534" Type="http://schemas.openxmlformats.org/officeDocument/2006/relationships/footer" Target="footer214.xml"/><Relationship Id="rId535" Type="http://schemas.openxmlformats.org/officeDocument/2006/relationships/header" Target="header76.xml"/><Relationship Id="rId536" Type="http://schemas.openxmlformats.org/officeDocument/2006/relationships/header" Target="header77.xml"/><Relationship Id="rId537" Type="http://schemas.openxmlformats.org/officeDocument/2006/relationships/footer" Target="footer215.xml"/><Relationship Id="rId538" Type="http://schemas.openxmlformats.org/officeDocument/2006/relationships/footer" Target="footer216.xml"/><Relationship Id="rId539" Type="http://schemas.openxmlformats.org/officeDocument/2006/relationships/footer" Target="footer217.xml"/><Relationship Id="rId540" Type="http://schemas.openxmlformats.org/officeDocument/2006/relationships/footer" Target="footer218.xml"/><Relationship Id="rId541" Type="http://schemas.openxmlformats.org/officeDocument/2006/relationships/footer" Target="footer219.xml"/><Relationship Id="rId542" Type="http://schemas.openxmlformats.org/officeDocument/2006/relationships/footer" Target="footer220.xml"/><Relationship Id="rId543" Type="http://schemas.openxmlformats.org/officeDocument/2006/relationships/image" Target="media/image67.png"/><Relationship Id="rId544" Type="http://schemas.openxmlformats.org/officeDocument/2006/relationships/image" Target="media/image68.png"/><Relationship Id="rId545" Type="http://schemas.openxmlformats.org/officeDocument/2006/relationships/image" Target="media/image69.png"/><Relationship Id="rId546" Type="http://schemas.openxmlformats.org/officeDocument/2006/relationships/image" Target="media/image70.png"/><Relationship Id="rId547" Type="http://schemas.openxmlformats.org/officeDocument/2006/relationships/image" Target="media/image71.png"/><Relationship Id="rId548" Type="http://schemas.openxmlformats.org/officeDocument/2006/relationships/image" Target="media/image72.png"/><Relationship Id="rId549" Type="http://schemas.openxmlformats.org/officeDocument/2006/relationships/image" Target="media/image73.png"/><Relationship Id="rId550" Type="http://schemas.openxmlformats.org/officeDocument/2006/relationships/footer" Target="footer221.xml"/><Relationship Id="rId551" Type="http://schemas.openxmlformats.org/officeDocument/2006/relationships/footer" Target="footer222.xml"/><Relationship Id="rId552" Type="http://schemas.openxmlformats.org/officeDocument/2006/relationships/image" Target="media/image74.png"/><Relationship Id="rId553" Type="http://schemas.openxmlformats.org/officeDocument/2006/relationships/image" Target="media/image75.png"/><Relationship Id="rId554" Type="http://schemas.openxmlformats.org/officeDocument/2006/relationships/image" Target="media/image76.png"/><Relationship Id="rId555" Type="http://schemas.openxmlformats.org/officeDocument/2006/relationships/footer" Target="footer223.xml"/><Relationship Id="rId556" Type="http://schemas.openxmlformats.org/officeDocument/2006/relationships/footer" Target="footer224.xml"/><Relationship Id="rId557" Type="http://schemas.openxmlformats.org/officeDocument/2006/relationships/image" Target="media/image77.png"/><Relationship Id="rId558" Type="http://schemas.openxmlformats.org/officeDocument/2006/relationships/image" Target="media/image78.png"/><Relationship Id="rId559" Type="http://schemas.openxmlformats.org/officeDocument/2006/relationships/image" Target="media/image79.png"/><Relationship Id="rId560" Type="http://schemas.openxmlformats.org/officeDocument/2006/relationships/footer" Target="footer225.xml"/><Relationship Id="rId561" Type="http://schemas.openxmlformats.org/officeDocument/2006/relationships/footer" Target="footer226.xml"/><Relationship Id="rId562" Type="http://schemas.openxmlformats.org/officeDocument/2006/relationships/footer" Target="footer227.xml"/><Relationship Id="rId563" Type="http://schemas.openxmlformats.org/officeDocument/2006/relationships/footer" Target="footer228.xml"/><Relationship Id="rId564" Type="http://schemas.openxmlformats.org/officeDocument/2006/relationships/hyperlink" Target="http://cib.natixis.com/flushdoc" TargetMode="External"/><Relationship Id="rId565" Type="http://schemas.openxmlformats.org/officeDocument/2006/relationships/hyperlink" Target="http://onlinelibrary.wiley.com/doi/10.1002/jae.837/pdf" TargetMode="External"/><Relationship Id="rId566" Type="http://schemas.openxmlformats.org/officeDocument/2006/relationships/hyperlink" Target="http://www.eui.eu/Personal/Canova/articles/" TargetMode="External"/><Relationship Id="rId567" Type="http://schemas.openxmlformats.org/officeDocument/2006/relationships/hyperlink" Target="http://biblioteca.clacso.edu.ar/ar/" TargetMode="External"/><Relationship Id="rId568" Type="http://schemas.openxmlformats.org/officeDocument/2006/relationships/hyperlink" Target="http://pendientedemigracion.ucm.es/info/ec/jec13/Ponencias/" TargetMode="External"/><Relationship Id="rId569" Type="http://schemas.openxmlformats.org/officeDocument/2006/relationships/hyperlink" Target="http://www.whitehouse.gov/sites/default/files/" TargetMode="External"/><Relationship Id="rId570" Type="http://schemas.openxmlformats.org/officeDocument/2006/relationships/hyperlink" Target="http://www.eclac.cl/" TargetMode="External"/><Relationship Id="rId571" Type="http://schemas.openxmlformats.org/officeDocument/2006/relationships/hyperlink" Target="http://www.ecb.europa.eu/pub/pdf/" TargetMode="External"/><Relationship Id="rId572" Type="http://schemas.openxmlformats.org/officeDocument/2006/relationships/hyperlink" Target="http://www.imf.org/external/" TargetMode="External"/><Relationship Id="rId573" Type="http://schemas.openxmlformats.org/officeDocument/2006/relationships/hyperlink" Target="http://www.imf.org/" TargetMode="External"/><Relationship Id="rId574" Type="http://schemas.openxmlformats.org/officeDocument/2006/relationships/hyperlink" Target="http://ageconsearch.umn.edu/bitstream/43546/2/" TargetMode="External"/><Relationship Id="rId575" Type="http://schemas.openxmlformats.org/officeDocument/2006/relationships/hyperlink" Target="http://www.iadb.org/en/research-and-data/publication-" TargetMode="External"/><Relationship Id="rId576" Type="http://schemas.openxmlformats.org/officeDocument/2006/relationships/hyperlink" Target="http://biblioteca.clacso/" TargetMode="External"/><Relationship Id="rId577" Type="http://schemas.openxmlformats.org/officeDocument/2006/relationships/hyperlink" Target="http://www.anpec.org.br/" TargetMode="External"/><Relationship Id="rId578" Type="http://schemas.openxmlformats.org/officeDocument/2006/relationships/hyperlink" Target="http://www.imf.org/external/pubs/ft/" TargetMode="External"/><Relationship Id="rId579" Type="http://schemas.openxmlformats.org/officeDocument/2006/relationships/hyperlink" Target="http://www.eclac.org/publicaciones/" TargetMode="External"/><Relationship Id="rId580" Type="http://schemas.openxmlformats.org/officeDocument/2006/relationships/hyperlink" Target="http://prebisch.cepal.org/sites/" TargetMode="External"/><Relationship Id="rId581" Type="http://schemas.openxmlformats.org/officeDocument/2006/relationships/hyperlink" Target="http://www.chathamhouse.org/" TargetMode="External"/><Relationship Id="rId582" Type="http://schemas.openxmlformats.org/officeDocument/2006/relationships/hyperlink" Target="http://www.sela.org/" TargetMode="External"/><Relationship Id="rId583" Type="http://schemas.openxmlformats.org/officeDocument/2006/relationships/hyperlink" Target="http://www.colorado.edu/geography/class_homepages/" TargetMode="External"/><Relationship Id="rId584" Type="http://schemas.openxmlformats.org/officeDocument/2006/relationships/hyperlink" Target="http://www.bi.edu/institutterFiles/" TargetMode="External"/><Relationship Id="rId585" Type="http://schemas.openxmlformats.org/officeDocument/2006/relationships/hyperlink" Target="http://graduateinstitute.ch/files/live/sites/" TargetMode="External"/><Relationship Id="rId586" Type="http://schemas.openxmlformats.org/officeDocument/2006/relationships/hyperlink" Target="http://mpra.ub.uni-muenchen/" TargetMode="External"/><Relationship Id="rId587" Type="http://schemas.openxmlformats.org/officeDocument/2006/relationships/header" Target="header78.xml"/><Relationship Id="rId588" Type="http://schemas.openxmlformats.org/officeDocument/2006/relationships/footer" Target="footer229.xml"/><Relationship Id="rId589" Type="http://schemas.openxmlformats.org/officeDocument/2006/relationships/header" Target="header79.xml"/><Relationship Id="rId590" Type="http://schemas.openxmlformats.org/officeDocument/2006/relationships/footer" Target="footer230.xml"/><Relationship Id="rId591" Type="http://schemas.openxmlformats.org/officeDocument/2006/relationships/header" Target="header80.xml"/><Relationship Id="rId592" Type="http://schemas.openxmlformats.org/officeDocument/2006/relationships/footer" Target="footer231.xml"/><Relationship Id="rId59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2017-05-31T20:14:33Z</dcterms:created>
  <dcterms:modified xsi:type="dcterms:W3CDTF">2017-05-31T20:14:33Z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2016-05-11T00:00:00Z</vt:filetime>
  </property>
  <property fmtid="{D5CDD505-2E9C-101B-9397-08002B2CF9AE}" pid="3" name="Creator">
    <vt:lpwstr>Adobe InDesign CS6 (Macintosh)</vt:lpwstr>
  </property>
  <property fmtid="{D5CDD505-2E9C-101B-9397-08002B2CF9AE}" pid="4" name="LastSaved">
    <vt:filetime>2017-05-31T00:00:00Z</vt:filetime>
  </property>
</Properties>
</file>